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54064" w14:textId="77777777" w:rsidR="00837A97" w:rsidRPr="00105BB9" w:rsidRDefault="00837A97" w:rsidP="00837A97">
      <w:pPr>
        <w:spacing w:after="0" w:line="240" w:lineRule="auto"/>
        <w:jc w:val="center"/>
        <w:rPr>
          <w:rFonts w:ascii="Times New Roman" w:eastAsia="Times New Roman" w:hAnsi="Times New Roman" w:cs="Times New Roman"/>
          <w:b/>
          <w:kern w:val="0"/>
          <w:lang w:val="en-CA"/>
          <w14:ligatures w14:val="none"/>
        </w:rPr>
      </w:pPr>
      <w:r w:rsidRPr="00105BB9">
        <w:rPr>
          <w:rFonts w:ascii="Times New Roman" w:eastAsia="Times New Roman" w:hAnsi="Times New Roman" w:cs="Times New Roman"/>
          <w:b/>
          <w:kern w:val="0"/>
          <w14:ligatures w14:val="none"/>
        </w:rPr>
        <w:t>An Epidemiologic Study of Chronic Obstructive Pulmonary Disease in the United States</w:t>
      </w:r>
      <w:r w:rsidRPr="00105BB9">
        <w:rPr>
          <w:rFonts w:ascii="Times New Roman" w:eastAsia="Times New Roman" w:hAnsi="Times New Roman" w:cs="Times New Roman"/>
          <w:b/>
          <w:kern w:val="0"/>
          <w:lang w:val="en-CA"/>
          <w14:ligatures w14:val="none"/>
        </w:rPr>
        <w:tab/>
      </w:r>
    </w:p>
    <w:p w14:paraId="0BC42C33"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7FE05B44"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5D1A4F7D"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55685E21"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1FEFEB29"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521D4F32"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4974200F"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06FEB2B3"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741A28EF"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2AA14399"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07AB1848"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49CF3183" w14:textId="77777777" w:rsid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7FC4B6C4" w14:textId="77777777" w:rsidR="00A62FDC" w:rsidRDefault="00A62FDC" w:rsidP="00837A97">
      <w:pPr>
        <w:spacing w:after="0" w:line="240" w:lineRule="auto"/>
        <w:jc w:val="center"/>
        <w:rPr>
          <w:rFonts w:ascii="Times New Roman" w:eastAsia="Times New Roman" w:hAnsi="Times New Roman" w:cs="Times New Roman"/>
          <w:bCs/>
          <w:kern w:val="0"/>
          <w:lang w:val="en-CA"/>
          <w14:ligatures w14:val="none"/>
        </w:rPr>
      </w:pPr>
    </w:p>
    <w:p w14:paraId="1A0FA916" w14:textId="77777777" w:rsidR="00A62FDC" w:rsidRPr="00837A97" w:rsidRDefault="00A62FDC" w:rsidP="00837A97">
      <w:pPr>
        <w:spacing w:after="0" w:line="240" w:lineRule="auto"/>
        <w:jc w:val="center"/>
        <w:rPr>
          <w:rFonts w:ascii="Times New Roman" w:eastAsia="Times New Roman" w:hAnsi="Times New Roman" w:cs="Times New Roman"/>
          <w:bCs/>
          <w:kern w:val="0"/>
          <w:lang w:val="en-CA"/>
          <w14:ligatures w14:val="none"/>
        </w:rPr>
      </w:pPr>
    </w:p>
    <w:p w14:paraId="2CAB40A3" w14:textId="77777777" w:rsidR="00837A97" w:rsidRPr="00837A97" w:rsidRDefault="00837A97" w:rsidP="00837A97">
      <w:pPr>
        <w:spacing w:after="0" w:line="240" w:lineRule="auto"/>
        <w:rPr>
          <w:rFonts w:ascii="Times New Roman" w:eastAsia="Times New Roman" w:hAnsi="Times New Roman" w:cs="Times New Roman"/>
          <w:bCs/>
          <w:kern w:val="0"/>
          <w:lang w:val="en-CA"/>
          <w14:ligatures w14:val="none"/>
        </w:rPr>
      </w:pPr>
    </w:p>
    <w:p w14:paraId="40DB8315" w14:textId="77777777" w:rsidR="00837A97" w:rsidRPr="00837A97" w:rsidRDefault="00837A97" w:rsidP="00837A97">
      <w:pPr>
        <w:spacing w:after="0" w:line="480" w:lineRule="auto"/>
        <w:jc w:val="center"/>
        <w:rPr>
          <w:rFonts w:ascii="Times New Roman" w:eastAsia="Times New Roman" w:hAnsi="Times New Roman" w:cs="Times New Roman"/>
          <w:bCs/>
          <w:kern w:val="0"/>
          <w:lang w:val="en-CA"/>
          <w14:ligatures w14:val="none"/>
        </w:rPr>
      </w:pPr>
      <w:r w:rsidRPr="00837A97">
        <w:rPr>
          <w:rFonts w:ascii="Times New Roman" w:eastAsia="Times New Roman" w:hAnsi="Times New Roman" w:cs="Times New Roman"/>
          <w:bCs/>
          <w:kern w:val="0"/>
          <w:lang w:val="en-CA"/>
          <w14:ligatures w14:val="none"/>
        </w:rPr>
        <w:t>A Dissertation Presented for the</w:t>
      </w:r>
    </w:p>
    <w:p w14:paraId="40409C9D" w14:textId="77777777" w:rsidR="00837A97" w:rsidRPr="00837A97" w:rsidRDefault="00837A97" w:rsidP="00837A97">
      <w:pPr>
        <w:spacing w:after="0" w:line="480" w:lineRule="auto"/>
        <w:jc w:val="center"/>
        <w:rPr>
          <w:rFonts w:ascii="Times New Roman" w:eastAsia="Times New Roman" w:hAnsi="Times New Roman" w:cs="Times New Roman"/>
          <w:bCs/>
          <w:kern w:val="0"/>
          <w:lang w:val="en-CA"/>
          <w14:ligatures w14:val="none"/>
        </w:rPr>
      </w:pPr>
      <w:r w:rsidRPr="00837A97">
        <w:rPr>
          <w:rFonts w:ascii="Times New Roman" w:eastAsia="Times New Roman" w:hAnsi="Times New Roman" w:cs="Times New Roman"/>
          <w:bCs/>
          <w:kern w:val="0"/>
          <w:lang w:val="en-CA"/>
          <w14:ligatures w14:val="none"/>
        </w:rPr>
        <w:t xml:space="preserve">Doctor of Philosophy </w:t>
      </w:r>
    </w:p>
    <w:p w14:paraId="09C500AA" w14:textId="77777777" w:rsidR="00837A97" w:rsidRPr="00837A97" w:rsidRDefault="00837A97" w:rsidP="00837A97">
      <w:pPr>
        <w:spacing w:after="0" w:line="480" w:lineRule="auto"/>
        <w:jc w:val="center"/>
        <w:rPr>
          <w:rFonts w:ascii="Times New Roman" w:eastAsia="Times New Roman" w:hAnsi="Times New Roman" w:cs="Times New Roman"/>
          <w:bCs/>
          <w:kern w:val="0"/>
          <w:lang w:val="en-CA"/>
          <w14:ligatures w14:val="none"/>
        </w:rPr>
      </w:pPr>
      <w:r w:rsidRPr="00837A97">
        <w:rPr>
          <w:rFonts w:ascii="Times New Roman" w:eastAsia="Times New Roman" w:hAnsi="Times New Roman" w:cs="Times New Roman"/>
          <w:bCs/>
          <w:kern w:val="0"/>
          <w:lang w:val="en-CA"/>
          <w14:ligatures w14:val="none"/>
        </w:rPr>
        <w:t>Degree</w:t>
      </w:r>
    </w:p>
    <w:p w14:paraId="65B73420" w14:textId="77777777" w:rsidR="00837A97" w:rsidRPr="00837A97" w:rsidRDefault="00837A97" w:rsidP="00837A97">
      <w:pPr>
        <w:spacing w:after="0" w:line="480" w:lineRule="auto"/>
        <w:jc w:val="center"/>
        <w:rPr>
          <w:rFonts w:ascii="Times New Roman" w:eastAsia="Times New Roman" w:hAnsi="Times New Roman" w:cs="Times New Roman"/>
          <w:bCs/>
          <w:kern w:val="0"/>
          <w:lang w:val="en-CA"/>
          <w14:ligatures w14:val="none"/>
        </w:rPr>
      </w:pPr>
      <w:r w:rsidRPr="00837A97">
        <w:rPr>
          <w:rFonts w:ascii="Times New Roman" w:eastAsia="Times New Roman" w:hAnsi="Times New Roman" w:cs="Times New Roman"/>
          <w:bCs/>
          <w:kern w:val="0"/>
          <w:lang w:val="en-CA"/>
          <w14:ligatures w14:val="none"/>
        </w:rPr>
        <w:t>The University of Tennessee, Knoxville</w:t>
      </w:r>
    </w:p>
    <w:p w14:paraId="40579C92"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7C1E6AEC"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35F8D06D"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2560C6A2"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0CB0F0F3"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7B184150"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6C8E8C40"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33A76C8F"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38FC86C9"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4ACBA8E2"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021AB41B"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557C26A8" w14:textId="77777777" w:rsidR="00837A97" w:rsidRP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16E3D360" w14:textId="77777777" w:rsidR="00837A97" w:rsidRDefault="00837A97" w:rsidP="00837A97">
      <w:pPr>
        <w:spacing w:after="0" w:line="240" w:lineRule="auto"/>
        <w:jc w:val="center"/>
        <w:rPr>
          <w:rFonts w:ascii="Times New Roman" w:eastAsia="Times New Roman" w:hAnsi="Times New Roman" w:cs="Times New Roman"/>
          <w:bCs/>
          <w:kern w:val="0"/>
          <w:lang w:val="en-CA"/>
          <w14:ligatures w14:val="none"/>
        </w:rPr>
      </w:pPr>
    </w:p>
    <w:p w14:paraId="6C12CA30" w14:textId="77777777" w:rsidR="00A62FDC" w:rsidRDefault="00A62FDC" w:rsidP="00837A97">
      <w:pPr>
        <w:spacing w:after="0" w:line="240" w:lineRule="auto"/>
        <w:jc w:val="center"/>
        <w:rPr>
          <w:rFonts w:ascii="Times New Roman" w:eastAsia="Times New Roman" w:hAnsi="Times New Roman" w:cs="Times New Roman"/>
          <w:bCs/>
          <w:kern w:val="0"/>
          <w:lang w:val="en-CA"/>
          <w14:ligatures w14:val="none"/>
        </w:rPr>
      </w:pPr>
    </w:p>
    <w:p w14:paraId="5D3153F4" w14:textId="77777777" w:rsidR="00A62FDC" w:rsidRDefault="00A62FDC" w:rsidP="00837A97">
      <w:pPr>
        <w:spacing w:after="0" w:line="240" w:lineRule="auto"/>
        <w:jc w:val="center"/>
        <w:rPr>
          <w:rFonts w:ascii="Times New Roman" w:eastAsia="Times New Roman" w:hAnsi="Times New Roman" w:cs="Times New Roman"/>
          <w:bCs/>
          <w:kern w:val="0"/>
          <w:lang w:val="en-CA"/>
          <w14:ligatures w14:val="none"/>
        </w:rPr>
      </w:pPr>
    </w:p>
    <w:p w14:paraId="20FACFED" w14:textId="77777777" w:rsidR="00FA71EB" w:rsidRPr="00837A97" w:rsidRDefault="00FA71EB" w:rsidP="00837A97">
      <w:pPr>
        <w:spacing w:after="0" w:line="240" w:lineRule="auto"/>
        <w:jc w:val="center"/>
        <w:rPr>
          <w:rFonts w:ascii="Times New Roman" w:eastAsia="Times New Roman" w:hAnsi="Times New Roman" w:cs="Times New Roman"/>
          <w:bCs/>
          <w:kern w:val="0"/>
          <w:lang w:val="en-CA"/>
          <w14:ligatures w14:val="none"/>
        </w:rPr>
      </w:pPr>
    </w:p>
    <w:p w14:paraId="3D30DA46" w14:textId="77777777" w:rsidR="00837A97" w:rsidRPr="00837A97" w:rsidRDefault="00837A97" w:rsidP="00837A97">
      <w:pPr>
        <w:spacing w:after="0" w:line="480" w:lineRule="auto"/>
        <w:jc w:val="center"/>
        <w:rPr>
          <w:rFonts w:ascii="Times New Roman" w:eastAsia="Times New Roman" w:hAnsi="Times New Roman" w:cs="Times New Roman"/>
          <w:bCs/>
          <w:kern w:val="0"/>
          <w:lang w:val="en-CA"/>
          <w14:ligatures w14:val="none"/>
        </w:rPr>
      </w:pPr>
      <w:r w:rsidRPr="00837A97">
        <w:rPr>
          <w:rFonts w:ascii="Times New Roman" w:eastAsia="Times New Roman" w:hAnsi="Times New Roman" w:cs="Times New Roman"/>
          <w:bCs/>
          <w:kern w:val="0"/>
          <w:lang w:val="en-CA"/>
          <w14:ligatures w14:val="none"/>
        </w:rPr>
        <w:t>Sara Chesnee Howard</w:t>
      </w:r>
    </w:p>
    <w:p w14:paraId="16328573" w14:textId="77777777" w:rsidR="00837A97" w:rsidRPr="00837A97" w:rsidRDefault="00837A97" w:rsidP="00837A97">
      <w:pPr>
        <w:spacing w:after="0" w:line="480" w:lineRule="auto"/>
        <w:jc w:val="center"/>
        <w:rPr>
          <w:rFonts w:ascii="Times New Roman" w:eastAsia="Times New Roman" w:hAnsi="Times New Roman" w:cs="Times New Roman"/>
          <w:bCs/>
          <w:kern w:val="0"/>
          <w:lang w:val="en-CA"/>
          <w14:ligatures w14:val="none"/>
        </w:rPr>
      </w:pPr>
      <w:r w:rsidRPr="00837A97">
        <w:rPr>
          <w:rFonts w:ascii="Times New Roman" w:eastAsia="Times New Roman" w:hAnsi="Times New Roman" w:cs="Times New Roman"/>
          <w:bCs/>
          <w:kern w:val="0"/>
          <w:lang w:val="en-CA"/>
          <w14:ligatures w14:val="none"/>
        </w:rPr>
        <w:t>August 2025</w:t>
      </w:r>
    </w:p>
    <w:p w14:paraId="7812D79B" w14:textId="77777777" w:rsidR="00837A97" w:rsidRPr="00837A97" w:rsidRDefault="00837A97" w:rsidP="00837A97">
      <w:pPr>
        <w:spacing w:after="0" w:line="240" w:lineRule="auto"/>
        <w:rPr>
          <w:rFonts w:ascii="Times New Roman" w:eastAsia="Times New Roman" w:hAnsi="Times New Roman" w:cs="Times New Roman"/>
          <w:kern w:val="0"/>
          <w14:ligatures w14:val="none"/>
        </w:rPr>
      </w:pPr>
      <w:r w:rsidRPr="00837A97">
        <w:rPr>
          <w:rFonts w:ascii="Times New Roman" w:eastAsia="Times New Roman" w:hAnsi="Times New Roman" w:cs="Times New Roman"/>
          <w:kern w:val="0"/>
          <w14:ligatures w14:val="none"/>
        </w:rPr>
        <w:br w:type="page"/>
      </w:r>
    </w:p>
    <w:p w14:paraId="20D017F5" w14:textId="5176FC27" w:rsidR="00837A97" w:rsidRDefault="00837A97" w:rsidP="005824CC">
      <w:pPr>
        <w:jc w:val="center"/>
        <w:rPr>
          <w:rFonts w:ascii="Times New Roman" w:hAnsi="Times New Roman" w:cs="Times New Roman"/>
          <w:b/>
          <w:bCs/>
          <w:sz w:val="28"/>
          <w:szCs w:val="28"/>
        </w:rPr>
      </w:pPr>
      <w:r w:rsidRPr="005824CC">
        <w:rPr>
          <w:rFonts w:ascii="Times New Roman" w:hAnsi="Times New Roman" w:cs="Times New Roman"/>
          <w:b/>
          <w:bCs/>
          <w:sz w:val="28"/>
          <w:szCs w:val="28"/>
        </w:rPr>
        <w:lastRenderedPageBreak/>
        <w:t>ACKNOWLEDGEMENTS</w:t>
      </w:r>
    </w:p>
    <w:p w14:paraId="7B3D6265" w14:textId="6550283C" w:rsidR="0009664C" w:rsidRPr="002C5718" w:rsidRDefault="002C5718" w:rsidP="00DB1798">
      <w:pPr>
        <w:spacing w:line="480" w:lineRule="auto"/>
        <w:rPr>
          <w:rFonts w:ascii="Times New Roman" w:hAnsi="Times New Roman" w:cs="Times New Roman"/>
        </w:rPr>
      </w:pPr>
      <w:r>
        <w:rPr>
          <w:rFonts w:ascii="Times New Roman" w:hAnsi="Times New Roman" w:cs="Times New Roman"/>
        </w:rPr>
        <w:t xml:space="preserve">First, </w:t>
      </w:r>
      <w:r w:rsidR="00561C2A">
        <w:rPr>
          <w:rFonts w:ascii="Times New Roman" w:hAnsi="Times New Roman" w:cs="Times New Roman"/>
        </w:rPr>
        <w:t>I must express my sincerest gratitude to my mentor, Dr. Agricola Odoi, without who</w:t>
      </w:r>
      <w:r w:rsidR="00DB1798">
        <w:rPr>
          <w:rFonts w:ascii="Times New Roman" w:hAnsi="Times New Roman" w:cs="Times New Roman"/>
        </w:rPr>
        <w:t xml:space="preserve">m </w:t>
      </w:r>
      <w:r w:rsidR="00561C2A">
        <w:rPr>
          <w:rFonts w:ascii="Times New Roman" w:hAnsi="Times New Roman" w:cs="Times New Roman"/>
        </w:rPr>
        <w:t xml:space="preserve">completion of </w:t>
      </w:r>
      <w:r w:rsidR="00DB1798">
        <w:rPr>
          <w:rFonts w:ascii="Times New Roman" w:hAnsi="Times New Roman" w:cs="Times New Roman"/>
        </w:rPr>
        <w:t xml:space="preserve">this degree would not be possible. Dr. Odoi supported, encouraged, and challenged me </w:t>
      </w:r>
      <w:r w:rsidR="009C7E50">
        <w:rPr>
          <w:rFonts w:ascii="Times New Roman" w:hAnsi="Times New Roman" w:cs="Times New Roman"/>
        </w:rPr>
        <w:t xml:space="preserve">throughout this process, and I will forever be grateful for his tutelage. I would also like to thank my committee members, Drs. Ashley Golden, Louis Rocconi, and </w:t>
      </w:r>
      <w:r w:rsidR="00470F8C">
        <w:rPr>
          <w:rFonts w:ascii="Times New Roman" w:hAnsi="Times New Roman" w:cs="Times New Roman"/>
        </w:rPr>
        <w:t xml:space="preserve">Russell </w:t>
      </w:r>
      <w:r w:rsidR="00470F8C" w:rsidRPr="009C7E50">
        <w:rPr>
          <w:rFonts w:ascii="Times New Roman" w:hAnsi="Times New Roman" w:cs="Times New Roman"/>
        </w:rPr>
        <w:t>Zaretzki</w:t>
      </w:r>
      <w:r w:rsidR="009C7E50">
        <w:rPr>
          <w:rFonts w:ascii="Times New Roman" w:hAnsi="Times New Roman" w:cs="Times New Roman"/>
        </w:rPr>
        <w:t>, for the</w:t>
      </w:r>
      <w:r w:rsidR="00470F8C">
        <w:rPr>
          <w:rFonts w:ascii="Times New Roman" w:hAnsi="Times New Roman" w:cs="Times New Roman"/>
        </w:rPr>
        <w:t xml:space="preserve">ir incredible </w:t>
      </w:r>
      <w:r w:rsidR="00B91FB7">
        <w:rPr>
          <w:rFonts w:ascii="Times New Roman" w:hAnsi="Times New Roman" w:cs="Times New Roman"/>
        </w:rPr>
        <w:t>guidance</w:t>
      </w:r>
      <w:r w:rsidR="00470F8C">
        <w:rPr>
          <w:rFonts w:ascii="Times New Roman" w:hAnsi="Times New Roman" w:cs="Times New Roman"/>
        </w:rPr>
        <w:t xml:space="preserve">. I would also like to extend my gratitude to the National Supplemental Screening Program </w:t>
      </w:r>
      <w:r w:rsidR="00113815">
        <w:rPr>
          <w:rFonts w:ascii="Times New Roman" w:hAnsi="Times New Roman" w:cs="Times New Roman"/>
        </w:rPr>
        <w:t xml:space="preserve">(NSSP) </w:t>
      </w:r>
      <w:r w:rsidR="00470F8C">
        <w:rPr>
          <w:rFonts w:ascii="Times New Roman" w:hAnsi="Times New Roman" w:cs="Times New Roman"/>
        </w:rPr>
        <w:t>for not only the use of their data for this research but for the</w:t>
      </w:r>
      <w:r w:rsidR="00113815">
        <w:rPr>
          <w:rFonts w:ascii="Times New Roman" w:hAnsi="Times New Roman" w:cs="Times New Roman"/>
        </w:rPr>
        <w:t xml:space="preserve"> </w:t>
      </w:r>
      <w:r w:rsidR="00470F8C">
        <w:rPr>
          <w:rFonts w:ascii="Times New Roman" w:hAnsi="Times New Roman" w:cs="Times New Roman"/>
        </w:rPr>
        <w:t xml:space="preserve">thoughtful feedback and encouragement </w:t>
      </w:r>
      <w:r w:rsidR="00113815">
        <w:rPr>
          <w:rFonts w:ascii="Times New Roman" w:hAnsi="Times New Roman" w:cs="Times New Roman"/>
        </w:rPr>
        <w:t xml:space="preserve">provided by NSSP Research Team </w:t>
      </w:r>
      <w:r w:rsidR="00470F8C">
        <w:rPr>
          <w:rFonts w:ascii="Times New Roman" w:hAnsi="Times New Roman" w:cs="Times New Roman"/>
        </w:rPr>
        <w:t xml:space="preserve">throughout this process. </w:t>
      </w:r>
      <w:r w:rsidR="00B91FB7">
        <w:rPr>
          <w:rFonts w:ascii="Times New Roman" w:hAnsi="Times New Roman" w:cs="Times New Roman"/>
        </w:rPr>
        <w:t xml:space="preserve">I would like to </w:t>
      </w:r>
      <w:r w:rsidR="00113815">
        <w:rPr>
          <w:rFonts w:ascii="Times New Roman" w:hAnsi="Times New Roman" w:cs="Times New Roman"/>
        </w:rPr>
        <w:t>thank</w:t>
      </w:r>
      <w:r w:rsidR="00B91FB7">
        <w:rPr>
          <w:rFonts w:ascii="Times New Roman" w:hAnsi="Times New Roman" w:cs="Times New Roman"/>
        </w:rPr>
        <w:t xml:space="preserve"> my colleagues and friends at Oak Ridge Associated Universities for their</w:t>
      </w:r>
      <w:r w:rsidR="0009664C">
        <w:rPr>
          <w:rFonts w:ascii="Times New Roman" w:hAnsi="Times New Roman" w:cs="Times New Roman"/>
        </w:rPr>
        <w:t xml:space="preserve"> constant</w:t>
      </w:r>
      <w:r w:rsidR="00B91FB7">
        <w:rPr>
          <w:rFonts w:ascii="Times New Roman" w:hAnsi="Times New Roman" w:cs="Times New Roman"/>
        </w:rPr>
        <w:t xml:space="preserve"> support and flexibility as I navigated </w:t>
      </w:r>
      <w:r w:rsidR="00FF7196">
        <w:rPr>
          <w:rFonts w:ascii="Times New Roman" w:hAnsi="Times New Roman" w:cs="Times New Roman"/>
        </w:rPr>
        <w:t>my professional career while on this PhD journey. Additionally, I would like to thank the organization’s Tuition Reimbursement Program, which provided financial support through my degree program. Finally, I</w:t>
      </w:r>
      <w:r w:rsidR="00BA5830">
        <w:rPr>
          <w:rFonts w:ascii="Times New Roman" w:hAnsi="Times New Roman" w:cs="Times New Roman"/>
        </w:rPr>
        <w:t xml:space="preserve"> must thank</w:t>
      </w:r>
      <w:r w:rsidR="00FF7196">
        <w:rPr>
          <w:rFonts w:ascii="Times New Roman" w:hAnsi="Times New Roman" w:cs="Times New Roman"/>
        </w:rPr>
        <w:t xml:space="preserve"> my family and friends who have </w:t>
      </w:r>
      <w:r w:rsidR="0009664C">
        <w:rPr>
          <w:rFonts w:ascii="Times New Roman" w:hAnsi="Times New Roman" w:cs="Times New Roman"/>
        </w:rPr>
        <w:t>been a source of joy and encouragement throughout</w:t>
      </w:r>
      <w:r w:rsidR="00113815">
        <w:rPr>
          <w:rFonts w:ascii="Times New Roman" w:hAnsi="Times New Roman" w:cs="Times New Roman"/>
        </w:rPr>
        <w:t xml:space="preserve"> this program</w:t>
      </w:r>
      <w:r w:rsidR="0009664C">
        <w:rPr>
          <w:rFonts w:ascii="Times New Roman" w:hAnsi="Times New Roman" w:cs="Times New Roman"/>
        </w:rPr>
        <w:t xml:space="preserve">. To my parents, Robby and Deborah Howard, I can never thank you enough for the lifetime of love and constant belief for which I am </w:t>
      </w:r>
      <w:r w:rsidR="00113815">
        <w:rPr>
          <w:rFonts w:ascii="Times New Roman" w:hAnsi="Times New Roman" w:cs="Times New Roman"/>
        </w:rPr>
        <w:t>eternally</w:t>
      </w:r>
      <w:r w:rsidR="0009664C">
        <w:rPr>
          <w:rFonts w:ascii="Times New Roman" w:hAnsi="Times New Roman" w:cs="Times New Roman"/>
        </w:rPr>
        <w:t xml:space="preserve"> grateful.</w:t>
      </w:r>
    </w:p>
    <w:p w14:paraId="2B1F8B1E" w14:textId="7428C8E6" w:rsidR="00837A97" w:rsidRDefault="00837A97">
      <w:r>
        <w:br w:type="page"/>
      </w:r>
    </w:p>
    <w:p w14:paraId="57118643" w14:textId="03B18DBA" w:rsidR="00837A97" w:rsidRPr="00D36702" w:rsidRDefault="00837A97" w:rsidP="00D36702">
      <w:pPr>
        <w:jc w:val="center"/>
        <w:rPr>
          <w:rFonts w:ascii="Times New Roman" w:hAnsi="Times New Roman" w:cs="Times New Roman"/>
          <w:b/>
          <w:bCs/>
          <w:sz w:val="28"/>
          <w:szCs w:val="28"/>
        </w:rPr>
      </w:pPr>
      <w:r w:rsidRPr="005824CC">
        <w:rPr>
          <w:rFonts w:ascii="Times New Roman" w:hAnsi="Times New Roman" w:cs="Times New Roman"/>
          <w:b/>
          <w:bCs/>
          <w:sz w:val="28"/>
          <w:szCs w:val="28"/>
        </w:rPr>
        <w:lastRenderedPageBreak/>
        <w:t>ABSTRACT</w:t>
      </w:r>
    </w:p>
    <w:p w14:paraId="5A4806FB" w14:textId="77777777" w:rsidR="00837A97" w:rsidRDefault="00837A97" w:rsidP="00657A07">
      <w:pPr>
        <w:spacing w:line="480" w:lineRule="auto"/>
        <w:ind w:firstLine="720"/>
        <w:rPr>
          <w:rFonts w:ascii="Times New Roman" w:hAnsi="Times New Roman" w:cs="Times New Roman"/>
          <w:b/>
          <w:bCs/>
        </w:rPr>
      </w:pPr>
      <w:r w:rsidRPr="00E14FEA">
        <w:rPr>
          <w:rFonts w:ascii="Times New Roman" w:hAnsi="Times New Roman" w:cs="Times New Roman"/>
        </w:rPr>
        <w:t xml:space="preserve">Chronic Obstructive Pulmonary Disease (COPD) is a leading cause of </w:t>
      </w:r>
      <w:r>
        <w:rPr>
          <w:rFonts w:ascii="Times New Roman" w:hAnsi="Times New Roman" w:cs="Times New Roman"/>
        </w:rPr>
        <w:t>morbidity and mortality in the United States (US),</w:t>
      </w:r>
      <w:r w:rsidRPr="00E14FEA">
        <w:rPr>
          <w:rFonts w:ascii="Times New Roman" w:hAnsi="Times New Roman" w:cs="Times New Roman"/>
        </w:rPr>
        <w:t xml:space="preserve"> and its risk increases with age </w:t>
      </w:r>
      <w:r>
        <w:rPr>
          <w:rFonts w:ascii="Times New Roman" w:hAnsi="Times New Roman" w:cs="Times New Roman"/>
        </w:rPr>
        <w:t xml:space="preserve">resulting in </w:t>
      </w:r>
      <w:r w:rsidRPr="00E14FEA">
        <w:rPr>
          <w:rFonts w:ascii="Times New Roman" w:hAnsi="Times New Roman" w:cs="Times New Roman"/>
        </w:rPr>
        <w:t xml:space="preserve">higher </w:t>
      </w:r>
      <w:r>
        <w:rPr>
          <w:rFonts w:ascii="Times New Roman" w:hAnsi="Times New Roman" w:cs="Times New Roman"/>
        </w:rPr>
        <w:t xml:space="preserve">prevalence </w:t>
      </w:r>
      <w:r w:rsidRPr="00E14FEA">
        <w:rPr>
          <w:rFonts w:ascii="Times New Roman" w:hAnsi="Times New Roman" w:cs="Times New Roman"/>
        </w:rPr>
        <w:t xml:space="preserve">in aging populations like Florida. Understanding geographic disparities and predictors </w:t>
      </w:r>
      <w:r>
        <w:rPr>
          <w:rFonts w:ascii="Times New Roman" w:hAnsi="Times New Roman" w:cs="Times New Roman"/>
        </w:rPr>
        <w:t xml:space="preserve">of </w:t>
      </w:r>
      <w:r w:rsidRPr="00E14FEA">
        <w:rPr>
          <w:rFonts w:ascii="Times New Roman" w:hAnsi="Times New Roman" w:cs="Times New Roman"/>
        </w:rPr>
        <w:t xml:space="preserve">COPD in such populations is useful for guiding intervention strategies. </w:t>
      </w:r>
      <w:r>
        <w:rPr>
          <w:rFonts w:ascii="Times New Roman" w:hAnsi="Times New Roman" w:cs="Times New Roman"/>
        </w:rPr>
        <w:t>O</w:t>
      </w:r>
      <w:r w:rsidRPr="00E14FEA">
        <w:rPr>
          <w:rFonts w:ascii="Times New Roman" w:hAnsi="Times New Roman" w:cs="Times New Roman"/>
        </w:rPr>
        <w:t>ccupational exposures increase COPD risk implying that Department of Energy (DOE) workers may have different risk profiles and comorbidit</w:t>
      </w:r>
      <w:r>
        <w:rPr>
          <w:rFonts w:ascii="Times New Roman" w:hAnsi="Times New Roman" w:cs="Times New Roman"/>
        </w:rPr>
        <w:t>y clusters</w:t>
      </w:r>
      <w:r w:rsidRPr="00E14FEA">
        <w:rPr>
          <w:rFonts w:ascii="Times New Roman" w:hAnsi="Times New Roman" w:cs="Times New Roman"/>
        </w:rPr>
        <w:t xml:space="preserve"> th</w:t>
      </w:r>
      <w:r>
        <w:rPr>
          <w:rFonts w:ascii="Times New Roman" w:hAnsi="Times New Roman" w:cs="Times New Roman"/>
        </w:rPr>
        <w:t>a</w:t>
      </w:r>
      <w:r w:rsidRPr="00E14FEA">
        <w:rPr>
          <w:rFonts w:ascii="Times New Roman" w:hAnsi="Times New Roman" w:cs="Times New Roman"/>
        </w:rPr>
        <w:t>n the general population. However, little is known about the</w:t>
      </w:r>
      <w:r>
        <w:rPr>
          <w:rFonts w:ascii="Times New Roman" w:hAnsi="Times New Roman" w:cs="Times New Roman"/>
        </w:rPr>
        <w:t xml:space="preserve"> disparities and the</w:t>
      </w:r>
      <w:r w:rsidRPr="00E14FEA">
        <w:rPr>
          <w:rFonts w:ascii="Times New Roman" w:hAnsi="Times New Roman" w:cs="Times New Roman"/>
        </w:rPr>
        <w:t>se differences and yet this information may be important for guiding screening, prevention, and control programs.</w:t>
      </w:r>
      <w:r>
        <w:rPr>
          <w:rFonts w:ascii="Times New Roman" w:hAnsi="Times New Roman" w:cs="Times New Roman"/>
        </w:rPr>
        <w:t xml:space="preserve"> Therefore, the objectives of this study were to identify: </w:t>
      </w:r>
      <w:r w:rsidRPr="00033941">
        <w:rPr>
          <w:rFonts w:ascii="Times New Roman" w:hAnsi="Times New Roman" w:cs="Times New Roman"/>
        </w:rPr>
        <w:t>(i)</w:t>
      </w:r>
      <w:r>
        <w:rPr>
          <w:rFonts w:ascii="Times New Roman" w:hAnsi="Times New Roman" w:cs="Times New Roman"/>
        </w:rPr>
        <w:t xml:space="preserve"> county-level geographic disparities and predictors of COPD in Florida, </w:t>
      </w:r>
      <w:r w:rsidRPr="00033941">
        <w:rPr>
          <w:rFonts w:ascii="Times New Roman" w:hAnsi="Times New Roman" w:cs="Times New Roman"/>
        </w:rPr>
        <w:t>(ii)</w:t>
      </w:r>
      <w:r>
        <w:rPr>
          <w:rFonts w:ascii="Times New Roman" w:hAnsi="Times New Roman" w:cs="Times New Roman"/>
        </w:rPr>
        <w:t xml:space="preserve"> predictors of COPD occurrence and severity among DOE former workers, and </w:t>
      </w:r>
      <w:r w:rsidRPr="00033941">
        <w:rPr>
          <w:rFonts w:ascii="Times New Roman" w:hAnsi="Times New Roman" w:cs="Times New Roman"/>
        </w:rPr>
        <w:t>(iii)</w:t>
      </w:r>
      <w:r w:rsidRPr="00151A50">
        <w:rPr>
          <w:rFonts w:ascii="Times New Roman" w:hAnsi="Times New Roman" w:cs="Times New Roman"/>
          <w:i/>
          <w:iCs/>
        </w:rPr>
        <w:t xml:space="preserve"> </w:t>
      </w:r>
      <w:r>
        <w:rPr>
          <w:rFonts w:ascii="Times New Roman" w:hAnsi="Times New Roman" w:cs="Times New Roman"/>
        </w:rPr>
        <w:t>comorbidity clusters and predictors of lung function changes and decline among DOE former workers.</w:t>
      </w:r>
      <w:r>
        <w:rPr>
          <w:rFonts w:ascii="Times New Roman" w:hAnsi="Times New Roman" w:cs="Times New Roman"/>
          <w:b/>
          <w:bCs/>
        </w:rPr>
        <w:t xml:space="preserve"> </w:t>
      </w:r>
    </w:p>
    <w:p w14:paraId="18409FEE" w14:textId="77777777" w:rsidR="00837A97" w:rsidRDefault="00837A97" w:rsidP="00657A07">
      <w:pPr>
        <w:spacing w:line="480" w:lineRule="auto"/>
        <w:ind w:firstLine="720"/>
        <w:rPr>
          <w:rFonts w:ascii="Times New Roman" w:hAnsi="Times New Roman" w:cs="Times New Roman"/>
          <w:b/>
          <w:bCs/>
        </w:rPr>
      </w:pPr>
      <w:r w:rsidRPr="006B45E3">
        <w:rPr>
          <w:rFonts w:ascii="Times New Roman" w:hAnsi="Times New Roman" w:cs="Times New Roman"/>
        </w:rPr>
        <w:t>Retro</w:t>
      </w:r>
      <w:r>
        <w:rPr>
          <w:rFonts w:ascii="Times New Roman" w:hAnsi="Times New Roman" w:cs="Times New Roman"/>
        </w:rPr>
        <w:t>spective data were obtained from the Florida Department of Health, US Census Bureau, County Health Rankings and Roadmaps, and the National Supplemental Screening Program. High-prevalence geographic clusters were identified using Tango’s flexible scan statistics. Predictors of COPD prevalence, occurrence, and severity were identified using ordinary least squares, ordinary logistic, and multinomial logistic regression, respectively. Comorbidity clusters were identified using hierarchical clustering, and predictors of lung function change and decline were identified using random forest models.</w:t>
      </w:r>
      <w:r>
        <w:rPr>
          <w:rFonts w:ascii="Times New Roman" w:hAnsi="Times New Roman" w:cs="Times New Roman"/>
          <w:b/>
          <w:bCs/>
        </w:rPr>
        <w:t xml:space="preserve"> </w:t>
      </w:r>
    </w:p>
    <w:p w14:paraId="0D316C06" w14:textId="08A217E9" w:rsidR="00837A97" w:rsidRDefault="00837A97" w:rsidP="004531D0">
      <w:pPr>
        <w:spacing w:line="480" w:lineRule="auto"/>
        <w:ind w:firstLine="720"/>
        <w:rPr>
          <w:rFonts w:ascii="Times New Roman" w:hAnsi="Times New Roman" w:cs="Times New Roman"/>
        </w:rPr>
      </w:pPr>
      <w:r>
        <w:rPr>
          <w:rFonts w:ascii="Times New Roman" w:hAnsi="Times New Roman" w:cs="Times New Roman"/>
        </w:rPr>
        <w:t xml:space="preserve">High-prevalence clusters of COPD were identified in the panhandle, north-central, and south-central counties. Counties with high percentages of smokers and asthma patients tended to have high COPD prevalence. At the individual level, smoking, asthma, age, and body mass index were significant predictors of both COPD occurrence and severity. However, silica and diesel </w:t>
      </w:r>
      <w:r>
        <w:rPr>
          <w:rFonts w:ascii="Times New Roman" w:hAnsi="Times New Roman" w:cs="Times New Roman"/>
        </w:rPr>
        <w:lastRenderedPageBreak/>
        <w:t>exhaust exposures were significant predictors of occurrence and severity, respectively. S</w:t>
      </w:r>
      <w:r w:rsidRPr="00C47735">
        <w:rPr>
          <w:rFonts w:ascii="Times New Roman" w:hAnsi="Times New Roman" w:cs="Times New Roman"/>
        </w:rPr>
        <w:t xml:space="preserve">ignificant predictors of </w:t>
      </w:r>
      <w:r>
        <w:rPr>
          <w:rFonts w:ascii="Times New Roman" w:hAnsi="Times New Roman" w:cs="Times New Roman"/>
        </w:rPr>
        <w:t>lung function were age, forced expiratory volume per second, age at hire,</w:t>
      </w:r>
      <w:r w:rsidRPr="00C47735">
        <w:rPr>
          <w:rFonts w:ascii="Times New Roman" w:hAnsi="Times New Roman" w:cs="Times New Roman"/>
        </w:rPr>
        <w:t xml:space="preserve"> welding fume exposure, and silica exposure</w:t>
      </w:r>
      <w:r>
        <w:rPr>
          <w:rFonts w:ascii="Times New Roman" w:hAnsi="Times New Roman" w:cs="Times New Roman"/>
        </w:rPr>
        <w:t>. Characteristics of the comorbidity clusters were: low prevalence of comorbidities (cluster 1), high cardiovascular disease prevalence (cluster 2), high lung cancer prevalence (cluster 3), and high prevalence of multiple comorbidities (cluster 4). Study findings are important for informing disease management programs and ultimately decreasing COPD burden.</w:t>
      </w:r>
    </w:p>
    <w:p w14:paraId="5A38824D" w14:textId="4561594D" w:rsidR="00837A97" w:rsidRDefault="00837A97">
      <w:pPr>
        <w:rPr>
          <w:rFonts w:ascii="Times New Roman" w:hAnsi="Times New Roman" w:cs="Times New Roman"/>
        </w:rPr>
      </w:pPr>
      <w:r>
        <w:rPr>
          <w:rFonts w:ascii="Times New Roman" w:hAnsi="Times New Roman" w:cs="Times New Roman"/>
        </w:rPr>
        <w:br w:type="page"/>
      </w:r>
    </w:p>
    <w:p w14:paraId="42ABAFBF" w14:textId="6AED7B41" w:rsidR="00837A97" w:rsidRPr="005824CC" w:rsidRDefault="00837A97" w:rsidP="005824CC">
      <w:pPr>
        <w:jc w:val="center"/>
        <w:rPr>
          <w:rFonts w:ascii="Times New Roman" w:hAnsi="Times New Roman" w:cs="Times New Roman"/>
          <w:b/>
          <w:bCs/>
          <w:sz w:val="28"/>
          <w:szCs w:val="28"/>
        </w:rPr>
      </w:pPr>
      <w:r w:rsidRPr="005824CC">
        <w:rPr>
          <w:rFonts w:ascii="Times New Roman" w:hAnsi="Times New Roman" w:cs="Times New Roman"/>
          <w:b/>
          <w:bCs/>
          <w:sz w:val="28"/>
          <w:szCs w:val="28"/>
        </w:rPr>
        <w:lastRenderedPageBreak/>
        <w:t>TABLE OF CONTENTS</w:t>
      </w:r>
    </w:p>
    <w:p w14:paraId="72139570" w14:textId="307A6189" w:rsidR="00CF59A1" w:rsidRDefault="00D36702">
      <w:pPr>
        <w:pStyle w:val="TOC1"/>
        <w:tabs>
          <w:tab w:val="right" w:leader="dot" w:pos="9350"/>
        </w:tabs>
        <w:rPr>
          <w:rFonts w:asciiTheme="minorHAnsi" w:eastAsiaTheme="minorEastAsia" w:hAnsiTheme="minorHAnsi"/>
          <w:b w:val="0"/>
          <w:bCs w:val="0"/>
          <w:caps w:val="0"/>
          <w:noProof/>
          <w:color w:val="auto"/>
          <w:szCs w:val="24"/>
        </w:rPr>
      </w:pPr>
      <w:r>
        <w:rPr>
          <w:b w:val="0"/>
          <w:bCs w:val="0"/>
          <w:caps w:val="0"/>
          <w:sz w:val="20"/>
        </w:rPr>
        <w:fldChar w:fldCharType="begin"/>
      </w:r>
      <w:r>
        <w:rPr>
          <w:b w:val="0"/>
          <w:bCs w:val="0"/>
          <w:caps w:val="0"/>
          <w:sz w:val="20"/>
        </w:rPr>
        <w:instrText xml:space="preserve"> TOC \o "1-8" \h \z \u </w:instrText>
      </w:r>
      <w:r>
        <w:rPr>
          <w:b w:val="0"/>
          <w:bCs w:val="0"/>
          <w:caps w:val="0"/>
          <w:sz w:val="20"/>
        </w:rPr>
        <w:fldChar w:fldCharType="separate"/>
      </w:r>
      <w:hyperlink w:anchor="_Toc200096932" w:history="1">
        <w:r w:rsidR="00CF59A1" w:rsidRPr="002F296A">
          <w:rPr>
            <w:rStyle w:val="Hyperlink"/>
            <w:noProof/>
          </w:rPr>
          <w:t>CHAPTER 1</w:t>
        </w:r>
        <w:r w:rsidR="00CF59A1">
          <w:rPr>
            <w:noProof/>
            <w:webHidden/>
          </w:rPr>
          <w:tab/>
        </w:r>
        <w:r w:rsidR="00CF59A1">
          <w:rPr>
            <w:noProof/>
            <w:webHidden/>
          </w:rPr>
          <w:fldChar w:fldCharType="begin"/>
        </w:r>
        <w:r w:rsidR="00CF59A1">
          <w:rPr>
            <w:noProof/>
            <w:webHidden/>
          </w:rPr>
          <w:instrText xml:space="preserve"> PAGEREF _Toc200096932 \h </w:instrText>
        </w:r>
        <w:r w:rsidR="00CF59A1">
          <w:rPr>
            <w:noProof/>
            <w:webHidden/>
          </w:rPr>
        </w:r>
        <w:r w:rsidR="00CF59A1">
          <w:rPr>
            <w:noProof/>
            <w:webHidden/>
          </w:rPr>
          <w:fldChar w:fldCharType="separate"/>
        </w:r>
        <w:r w:rsidR="00CF59A1">
          <w:rPr>
            <w:noProof/>
            <w:webHidden/>
          </w:rPr>
          <w:t>1</w:t>
        </w:r>
        <w:r w:rsidR="00CF59A1">
          <w:rPr>
            <w:noProof/>
            <w:webHidden/>
          </w:rPr>
          <w:fldChar w:fldCharType="end"/>
        </w:r>
      </w:hyperlink>
    </w:p>
    <w:p w14:paraId="7458E70A" w14:textId="3135B12D" w:rsidR="00CF59A1" w:rsidRDefault="00CF59A1">
      <w:pPr>
        <w:pStyle w:val="TOC2"/>
        <w:rPr>
          <w:rFonts w:asciiTheme="minorHAnsi" w:eastAsiaTheme="minorEastAsia" w:hAnsiTheme="minorHAnsi"/>
          <w:noProof/>
          <w:color w:val="auto"/>
          <w:szCs w:val="24"/>
        </w:rPr>
      </w:pPr>
      <w:hyperlink w:anchor="_Toc200096933" w:history="1">
        <w:r w:rsidRPr="002F296A">
          <w:rPr>
            <w:rStyle w:val="Hyperlink"/>
            <w:noProof/>
          </w:rPr>
          <w:t>Introduction and Literature Review</w:t>
        </w:r>
        <w:r>
          <w:rPr>
            <w:noProof/>
            <w:webHidden/>
          </w:rPr>
          <w:tab/>
        </w:r>
        <w:r>
          <w:rPr>
            <w:noProof/>
            <w:webHidden/>
          </w:rPr>
          <w:fldChar w:fldCharType="begin"/>
        </w:r>
        <w:r>
          <w:rPr>
            <w:noProof/>
            <w:webHidden/>
          </w:rPr>
          <w:instrText xml:space="preserve"> PAGEREF _Toc200096933 \h </w:instrText>
        </w:r>
        <w:r>
          <w:rPr>
            <w:noProof/>
            <w:webHidden/>
          </w:rPr>
        </w:r>
        <w:r>
          <w:rPr>
            <w:noProof/>
            <w:webHidden/>
          </w:rPr>
          <w:fldChar w:fldCharType="separate"/>
        </w:r>
        <w:r>
          <w:rPr>
            <w:noProof/>
            <w:webHidden/>
          </w:rPr>
          <w:t>1</w:t>
        </w:r>
        <w:r>
          <w:rPr>
            <w:noProof/>
            <w:webHidden/>
          </w:rPr>
          <w:fldChar w:fldCharType="end"/>
        </w:r>
      </w:hyperlink>
    </w:p>
    <w:p w14:paraId="11A4667E" w14:textId="2D5E0DB8" w:rsidR="00CF59A1" w:rsidRDefault="00CF59A1">
      <w:pPr>
        <w:pStyle w:val="TOC3"/>
        <w:tabs>
          <w:tab w:val="right" w:leader="dot" w:pos="9350"/>
        </w:tabs>
        <w:rPr>
          <w:rFonts w:asciiTheme="minorHAnsi" w:eastAsiaTheme="minorEastAsia" w:hAnsiTheme="minorHAnsi"/>
          <w:iCs w:val="0"/>
          <w:noProof/>
          <w:color w:val="auto"/>
          <w:szCs w:val="24"/>
        </w:rPr>
      </w:pPr>
      <w:hyperlink w:anchor="_Toc200096934" w:history="1">
        <w:r w:rsidRPr="002F296A">
          <w:rPr>
            <w:rStyle w:val="Hyperlink"/>
            <w:noProof/>
          </w:rPr>
          <w:t>1.1 Introduction</w:t>
        </w:r>
        <w:r>
          <w:rPr>
            <w:noProof/>
            <w:webHidden/>
          </w:rPr>
          <w:tab/>
        </w:r>
        <w:r>
          <w:rPr>
            <w:noProof/>
            <w:webHidden/>
          </w:rPr>
          <w:fldChar w:fldCharType="begin"/>
        </w:r>
        <w:r>
          <w:rPr>
            <w:noProof/>
            <w:webHidden/>
          </w:rPr>
          <w:instrText xml:space="preserve"> PAGEREF _Toc200096934 \h </w:instrText>
        </w:r>
        <w:r>
          <w:rPr>
            <w:noProof/>
            <w:webHidden/>
          </w:rPr>
        </w:r>
        <w:r>
          <w:rPr>
            <w:noProof/>
            <w:webHidden/>
          </w:rPr>
          <w:fldChar w:fldCharType="separate"/>
        </w:r>
        <w:r>
          <w:rPr>
            <w:noProof/>
            <w:webHidden/>
          </w:rPr>
          <w:t>1</w:t>
        </w:r>
        <w:r>
          <w:rPr>
            <w:noProof/>
            <w:webHidden/>
          </w:rPr>
          <w:fldChar w:fldCharType="end"/>
        </w:r>
      </w:hyperlink>
    </w:p>
    <w:p w14:paraId="6AFCACFD" w14:textId="360B2D64" w:rsidR="00CF59A1" w:rsidRDefault="00CF59A1">
      <w:pPr>
        <w:pStyle w:val="TOC3"/>
        <w:tabs>
          <w:tab w:val="right" w:leader="dot" w:pos="9350"/>
        </w:tabs>
        <w:rPr>
          <w:rFonts w:asciiTheme="minorHAnsi" w:eastAsiaTheme="minorEastAsia" w:hAnsiTheme="minorHAnsi"/>
          <w:iCs w:val="0"/>
          <w:noProof/>
          <w:color w:val="auto"/>
          <w:szCs w:val="24"/>
        </w:rPr>
      </w:pPr>
      <w:hyperlink w:anchor="_Toc200096935" w:history="1">
        <w:r w:rsidRPr="002F296A">
          <w:rPr>
            <w:rStyle w:val="Hyperlink"/>
            <w:noProof/>
          </w:rPr>
          <w:t>1.2 Literature Review</w:t>
        </w:r>
        <w:r>
          <w:rPr>
            <w:noProof/>
            <w:webHidden/>
          </w:rPr>
          <w:tab/>
        </w:r>
        <w:r>
          <w:rPr>
            <w:noProof/>
            <w:webHidden/>
          </w:rPr>
          <w:fldChar w:fldCharType="begin"/>
        </w:r>
        <w:r>
          <w:rPr>
            <w:noProof/>
            <w:webHidden/>
          </w:rPr>
          <w:instrText xml:space="preserve"> PAGEREF _Toc200096935 \h </w:instrText>
        </w:r>
        <w:r>
          <w:rPr>
            <w:noProof/>
            <w:webHidden/>
          </w:rPr>
        </w:r>
        <w:r>
          <w:rPr>
            <w:noProof/>
            <w:webHidden/>
          </w:rPr>
          <w:fldChar w:fldCharType="separate"/>
        </w:r>
        <w:r>
          <w:rPr>
            <w:noProof/>
            <w:webHidden/>
          </w:rPr>
          <w:t>3</w:t>
        </w:r>
        <w:r>
          <w:rPr>
            <w:noProof/>
            <w:webHidden/>
          </w:rPr>
          <w:fldChar w:fldCharType="end"/>
        </w:r>
      </w:hyperlink>
    </w:p>
    <w:p w14:paraId="7A854F1B" w14:textId="56D9A2F7" w:rsidR="00CF59A1" w:rsidRDefault="00CF59A1">
      <w:pPr>
        <w:pStyle w:val="TOC4"/>
        <w:tabs>
          <w:tab w:val="right" w:leader="dot" w:pos="9350"/>
        </w:tabs>
        <w:rPr>
          <w:rFonts w:asciiTheme="minorHAnsi" w:eastAsiaTheme="minorEastAsia" w:hAnsiTheme="minorHAnsi"/>
          <w:noProof/>
          <w:color w:val="auto"/>
          <w:szCs w:val="24"/>
        </w:rPr>
      </w:pPr>
      <w:hyperlink w:anchor="_Toc200096936" w:history="1">
        <w:r w:rsidRPr="002F296A">
          <w:rPr>
            <w:rStyle w:val="Hyperlink"/>
            <w:noProof/>
          </w:rPr>
          <w:t>1.2.1 Chronic Obstructive Pulmonary Disease Overview</w:t>
        </w:r>
        <w:r>
          <w:rPr>
            <w:noProof/>
            <w:webHidden/>
          </w:rPr>
          <w:tab/>
        </w:r>
        <w:r>
          <w:rPr>
            <w:noProof/>
            <w:webHidden/>
          </w:rPr>
          <w:fldChar w:fldCharType="begin"/>
        </w:r>
        <w:r>
          <w:rPr>
            <w:noProof/>
            <w:webHidden/>
          </w:rPr>
          <w:instrText xml:space="preserve"> PAGEREF _Toc200096936 \h </w:instrText>
        </w:r>
        <w:r>
          <w:rPr>
            <w:noProof/>
            <w:webHidden/>
          </w:rPr>
        </w:r>
        <w:r>
          <w:rPr>
            <w:noProof/>
            <w:webHidden/>
          </w:rPr>
          <w:fldChar w:fldCharType="separate"/>
        </w:r>
        <w:r>
          <w:rPr>
            <w:noProof/>
            <w:webHidden/>
          </w:rPr>
          <w:t>3</w:t>
        </w:r>
        <w:r>
          <w:rPr>
            <w:noProof/>
            <w:webHidden/>
          </w:rPr>
          <w:fldChar w:fldCharType="end"/>
        </w:r>
      </w:hyperlink>
    </w:p>
    <w:p w14:paraId="6738BFE8" w14:textId="217F0B92" w:rsidR="00CF59A1" w:rsidRDefault="00CF59A1">
      <w:pPr>
        <w:pStyle w:val="TOC5"/>
        <w:tabs>
          <w:tab w:val="right" w:leader="dot" w:pos="9350"/>
        </w:tabs>
        <w:rPr>
          <w:rFonts w:asciiTheme="minorHAnsi" w:eastAsiaTheme="minorEastAsia" w:hAnsiTheme="minorHAnsi"/>
          <w:noProof/>
          <w:color w:val="auto"/>
          <w:szCs w:val="24"/>
        </w:rPr>
      </w:pPr>
      <w:hyperlink w:anchor="_Toc200096937" w:history="1">
        <w:r w:rsidRPr="002F296A">
          <w:rPr>
            <w:rStyle w:val="Hyperlink"/>
            <w:noProof/>
          </w:rPr>
          <w:t>1.2.1.1 Definition</w:t>
        </w:r>
        <w:r>
          <w:rPr>
            <w:noProof/>
            <w:webHidden/>
          </w:rPr>
          <w:tab/>
        </w:r>
        <w:r>
          <w:rPr>
            <w:noProof/>
            <w:webHidden/>
          </w:rPr>
          <w:fldChar w:fldCharType="begin"/>
        </w:r>
        <w:r>
          <w:rPr>
            <w:noProof/>
            <w:webHidden/>
          </w:rPr>
          <w:instrText xml:space="preserve"> PAGEREF _Toc200096937 \h </w:instrText>
        </w:r>
        <w:r>
          <w:rPr>
            <w:noProof/>
            <w:webHidden/>
          </w:rPr>
        </w:r>
        <w:r>
          <w:rPr>
            <w:noProof/>
            <w:webHidden/>
          </w:rPr>
          <w:fldChar w:fldCharType="separate"/>
        </w:r>
        <w:r>
          <w:rPr>
            <w:noProof/>
            <w:webHidden/>
          </w:rPr>
          <w:t>3</w:t>
        </w:r>
        <w:r>
          <w:rPr>
            <w:noProof/>
            <w:webHidden/>
          </w:rPr>
          <w:fldChar w:fldCharType="end"/>
        </w:r>
      </w:hyperlink>
    </w:p>
    <w:p w14:paraId="0727264A" w14:textId="692A56B9" w:rsidR="00CF59A1" w:rsidRDefault="00CF59A1">
      <w:pPr>
        <w:pStyle w:val="TOC5"/>
        <w:tabs>
          <w:tab w:val="right" w:leader="dot" w:pos="9350"/>
        </w:tabs>
        <w:rPr>
          <w:rFonts w:asciiTheme="minorHAnsi" w:eastAsiaTheme="minorEastAsia" w:hAnsiTheme="minorHAnsi"/>
          <w:noProof/>
          <w:color w:val="auto"/>
          <w:szCs w:val="24"/>
        </w:rPr>
      </w:pPr>
      <w:hyperlink w:anchor="_Toc200096938" w:history="1">
        <w:r w:rsidRPr="002F296A">
          <w:rPr>
            <w:rStyle w:val="Hyperlink"/>
            <w:noProof/>
          </w:rPr>
          <w:t>1.2.1.2 Etiology</w:t>
        </w:r>
        <w:r>
          <w:rPr>
            <w:noProof/>
            <w:webHidden/>
          </w:rPr>
          <w:tab/>
        </w:r>
        <w:r>
          <w:rPr>
            <w:noProof/>
            <w:webHidden/>
          </w:rPr>
          <w:fldChar w:fldCharType="begin"/>
        </w:r>
        <w:r>
          <w:rPr>
            <w:noProof/>
            <w:webHidden/>
          </w:rPr>
          <w:instrText xml:space="preserve"> PAGEREF _Toc200096938 \h </w:instrText>
        </w:r>
        <w:r>
          <w:rPr>
            <w:noProof/>
            <w:webHidden/>
          </w:rPr>
        </w:r>
        <w:r>
          <w:rPr>
            <w:noProof/>
            <w:webHidden/>
          </w:rPr>
          <w:fldChar w:fldCharType="separate"/>
        </w:r>
        <w:r>
          <w:rPr>
            <w:noProof/>
            <w:webHidden/>
          </w:rPr>
          <w:t>3</w:t>
        </w:r>
        <w:r>
          <w:rPr>
            <w:noProof/>
            <w:webHidden/>
          </w:rPr>
          <w:fldChar w:fldCharType="end"/>
        </w:r>
      </w:hyperlink>
    </w:p>
    <w:p w14:paraId="03F493CB" w14:textId="7D67BEDF" w:rsidR="00CF59A1" w:rsidRDefault="00CF59A1">
      <w:pPr>
        <w:pStyle w:val="TOC5"/>
        <w:tabs>
          <w:tab w:val="right" w:leader="dot" w:pos="9350"/>
        </w:tabs>
        <w:rPr>
          <w:rFonts w:asciiTheme="minorHAnsi" w:eastAsiaTheme="minorEastAsia" w:hAnsiTheme="minorHAnsi"/>
          <w:noProof/>
          <w:color w:val="auto"/>
          <w:szCs w:val="24"/>
        </w:rPr>
      </w:pPr>
      <w:hyperlink w:anchor="_Toc200096939" w:history="1">
        <w:r w:rsidRPr="002F296A">
          <w:rPr>
            <w:rStyle w:val="Hyperlink"/>
            <w:noProof/>
          </w:rPr>
          <w:t>1.2.1.3 Symptoms and Disease Complications</w:t>
        </w:r>
        <w:r>
          <w:rPr>
            <w:noProof/>
            <w:webHidden/>
          </w:rPr>
          <w:tab/>
        </w:r>
        <w:r>
          <w:rPr>
            <w:noProof/>
            <w:webHidden/>
          </w:rPr>
          <w:fldChar w:fldCharType="begin"/>
        </w:r>
        <w:r>
          <w:rPr>
            <w:noProof/>
            <w:webHidden/>
          </w:rPr>
          <w:instrText xml:space="preserve"> PAGEREF _Toc200096939 \h </w:instrText>
        </w:r>
        <w:r>
          <w:rPr>
            <w:noProof/>
            <w:webHidden/>
          </w:rPr>
        </w:r>
        <w:r>
          <w:rPr>
            <w:noProof/>
            <w:webHidden/>
          </w:rPr>
          <w:fldChar w:fldCharType="separate"/>
        </w:r>
        <w:r>
          <w:rPr>
            <w:noProof/>
            <w:webHidden/>
          </w:rPr>
          <w:t>4</w:t>
        </w:r>
        <w:r>
          <w:rPr>
            <w:noProof/>
            <w:webHidden/>
          </w:rPr>
          <w:fldChar w:fldCharType="end"/>
        </w:r>
      </w:hyperlink>
    </w:p>
    <w:p w14:paraId="58D67AFB" w14:textId="2DED23F9" w:rsidR="00CF59A1" w:rsidRDefault="00CF59A1">
      <w:pPr>
        <w:pStyle w:val="TOC6"/>
        <w:tabs>
          <w:tab w:val="right" w:leader="dot" w:pos="9350"/>
        </w:tabs>
        <w:rPr>
          <w:rFonts w:asciiTheme="minorHAnsi" w:eastAsiaTheme="minorEastAsia" w:hAnsiTheme="minorHAnsi"/>
          <w:noProof/>
          <w:color w:val="auto"/>
          <w:szCs w:val="24"/>
        </w:rPr>
      </w:pPr>
      <w:hyperlink w:anchor="_Toc200096940" w:history="1">
        <w:r w:rsidRPr="002F296A">
          <w:rPr>
            <w:rStyle w:val="Hyperlink"/>
            <w:rFonts w:cs="Times New Roman"/>
            <w:noProof/>
          </w:rPr>
          <w:t>1.2.1.3.1 Exacerbations</w:t>
        </w:r>
        <w:r>
          <w:rPr>
            <w:noProof/>
            <w:webHidden/>
          </w:rPr>
          <w:tab/>
        </w:r>
        <w:r>
          <w:rPr>
            <w:noProof/>
            <w:webHidden/>
          </w:rPr>
          <w:fldChar w:fldCharType="begin"/>
        </w:r>
        <w:r>
          <w:rPr>
            <w:noProof/>
            <w:webHidden/>
          </w:rPr>
          <w:instrText xml:space="preserve"> PAGEREF _Toc200096940 \h </w:instrText>
        </w:r>
        <w:r>
          <w:rPr>
            <w:noProof/>
            <w:webHidden/>
          </w:rPr>
        </w:r>
        <w:r>
          <w:rPr>
            <w:noProof/>
            <w:webHidden/>
          </w:rPr>
          <w:fldChar w:fldCharType="separate"/>
        </w:r>
        <w:r>
          <w:rPr>
            <w:noProof/>
            <w:webHidden/>
          </w:rPr>
          <w:t>5</w:t>
        </w:r>
        <w:r>
          <w:rPr>
            <w:noProof/>
            <w:webHidden/>
          </w:rPr>
          <w:fldChar w:fldCharType="end"/>
        </w:r>
      </w:hyperlink>
    </w:p>
    <w:p w14:paraId="3738DDC7" w14:textId="28E64836" w:rsidR="00CF59A1" w:rsidRDefault="00CF59A1">
      <w:pPr>
        <w:pStyle w:val="TOC5"/>
        <w:tabs>
          <w:tab w:val="right" w:leader="dot" w:pos="9350"/>
        </w:tabs>
        <w:rPr>
          <w:rFonts w:asciiTheme="minorHAnsi" w:eastAsiaTheme="minorEastAsia" w:hAnsiTheme="minorHAnsi"/>
          <w:noProof/>
          <w:color w:val="auto"/>
          <w:szCs w:val="24"/>
        </w:rPr>
      </w:pPr>
      <w:hyperlink w:anchor="_Toc200096941" w:history="1">
        <w:r w:rsidRPr="002F296A">
          <w:rPr>
            <w:rStyle w:val="Hyperlink"/>
            <w:noProof/>
          </w:rPr>
          <w:t>1.2.1.4 Diagnosis</w:t>
        </w:r>
        <w:r>
          <w:rPr>
            <w:noProof/>
            <w:webHidden/>
          </w:rPr>
          <w:tab/>
        </w:r>
        <w:r>
          <w:rPr>
            <w:noProof/>
            <w:webHidden/>
          </w:rPr>
          <w:fldChar w:fldCharType="begin"/>
        </w:r>
        <w:r>
          <w:rPr>
            <w:noProof/>
            <w:webHidden/>
          </w:rPr>
          <w:instrText xml:space="preserve"> PAGEREF _Toc200096941 \h </w:instrText>
        </w:r>
        <w:r>
          <w:rPr>
            <w:noProof/>
            <w:webHidden/>
          </w:rPr>
        </w:r>
        <w:r>
          <w:rPr>
            <w:noProof/>
            <w:webHidden/>
          </w:rPr>
          <w:fldChar w:fldCharType="separate"/>
        </w:r>
        <w:r>
          <w:rPr>
            <w:noProof/>
            <w:webHidden/>
          </w:rPr>
          <w:t>6</w:t>
        </w:r>
        <w:r>
          <w:rPr>
            <w:noProof/>
            <w:webHidden/>
          </w:rPr>
          <w:fldChar w:fldCharType="end"/>
        </w:r>
      </w:hyperlink>
    </w:p>
    <w:p w14:paraId="1BA0F908" w14:textId="643A3D66" w:rsidR="00CF59A1" w:rsidRDefault="00CF59A1">
      <w:pPr>
        <w:pStyle w:val="TOC5"/>
        <w:tabs>
          <w:tab w:val="right" w:leader="dot" w:pos="9350"/>
        </w:tabs>
        <w:rPr>
          <w:rFonts w:asciiTheme="minorHAnsi" w:eastAsiaTheme="minorEastAsia" w:hAnsiTheme="minorHAnsi"/>
          <w:noProof/>
          <w:color w:val="auto"/>
          <w:szCs w:val="24"/>
        </w:rPr>
      </w:pPr>
      <w:hyperlink w:anchor="_Toc200096942" w:history="1">
        <w:r w:rsidRPr="002F296A">
          <w:rPr>
            <w:rStyle w:val="Hyperlink"/>
            <w:noProof/>
          </w:rPr>
          <w:t>1.2.1.5 Treatment</w:t>
        </w:r>
        <w:r>
          <w:rPr>
            <w:noProof/>
            <w:webHidden/>
          </w:rPr>
          <w:tab/>
        </w:r>
        <w:r>
          <w:rPr>
            <w:noProof/>
            <w:webHidden/>
          </w:rPr>
          <w:fldChar w:fldCharType="begin"/>
        </w:r>
        <w:r>
          <w:rPr>
            <w:noProof/>
            <w:webHidden/>
          </w:rPr>
          <w:instrText xml:space="preserve"> PAGEREF _Toc200096942 \h </w:instrText>
        </w:r>
        <w:r>
          <w:rPr>
            <w:noProof/>
            <w:webHidden/>
          </w:rPr>
        </w:r>
        <w:r>
          <w:rPr>
            <w:noProof/>
            <w:webHidden/>
          </w:rPr>
          <w:fldChar w:fldCharType="separate"/>
        </w:r>
        <w:r>
          <w:rPr>
            <w:noProof/>
            <w:webHidden/>
          </w:rPr>
          <w:t>7</w:t>
        </w:r>
        <w:r>
          <w:rPr>
            <w:noProof/>
            <w:webHidden/>
          </w:rPr>
          <w:fldChar w:fldCharType="end"/>
        </w:r>
      </w:hyperlink>
    </w:p>
    <w:p w14:paraId="097E644D" w14:textId="59D6AC94" w:rsidR="00CF59A1" w:rsidRDefault="00CF59A1">
      <w:pPr>
        <w:pStyle w:val="TOC4"/>
        <w:tabs>
          <w:tab w:val="right" w:leader="dot" w:pos="9350"/>
        </w:tabs>
        <w:rPr>
          <w:rFonts w:asciiTheme="minorHAnsi" w:eastAsiaTheme="minorEastAsia" w:hAnsiTheme="minorHAnsi"/>
          <w:noProof/>
          <w:color w:val="auto"/>
          <w:szCs w:val="24"/>
        </w:rPr>
      </w:pPr>
      <w:hyperlink w:anchor="_Toc200096943" w:history="1">
        <w:r w:rsidRPr="002F296A">
          <w:rPr>
            <w:rStyle w:val="Hyperlink"/>
            <w:noProof/>
          </w:rPr>
          <w:t>1.2.2 Burden of Disease</w:t>
        </w:r>
        <w:r>
          <w:rPr>
            <w:noProof/>
            <w:webHidden/>
          </w:rPr>
          <w:tab/>
        </w:r>
        <w:r>
          <w:rPr>
            <w:noProof/>
            <w:webHidden/>
          </w:rPr>
          <w:fldChar w:fldCharType="begin"/>
        </w:r>
        <w:r>
          <w:rPr>
            <w:noProof/>
            <w:webHidden/>
          </w:rPr>
          <w:instrText xml:space="preserve"> PAGEREF _Toc200096943 \h </w:instrText>
        </w:r>
        <w:r>
          <w:rPr>
            <w:noProof/>
            <w:webHidden/>
          </w:rPr>
        </w:r>
        <w:r>
          <w:rPr>
            <w:noProof/>
            <w:webHidden/>
          </w:rPr>
          <w:fldChar w:fldCharType="separate"/>
        </w:r>
        <w:r>
          <w:rPr>
            <w:noProof/>
            <w:webHidden/>
          </w:rPr>
          <w:t>8</w:t>
        </w:r>
        <w:r>
          <w:rPr>
            <w:noProof/>
            <w:webHidden/>
          </w:rPr>
          <w:fldChar w:fldCharType="end"/>
        </w:r>
      </w:hyperlink>
    </w:p>
    <w:p w14:paraId="50DAA0E2" w14:textId="08A3B29E" w:rsidR="00CF59A1" w:rsidRDefault="00CF59A1">
      <w:pPr>
        <w:pStyle w:val="TOC5"/>
        <w:tabs>
          <w:tab w:val="right" w:leader="dot" w:pos="9350"/>
        </w:tabs>
        <w:rPr>
          <w:rFonts w:asciiTheme="minorHAnsi" w:eastAsiaTheme="minorEastAsia" w:hAnsiTheme="minorHAnsi"/>
          <w:noProof/>
          <w:color w:val="auto"/>
          <w:szCs w:val="24"/>
        </w:rPr>
      </w:pPr>
      <w:hyperlink w:anchor="_Toc200096944" w:history="1">
        <w:r w:rsidRPr="002F296A">
          <w:rPr>
            <w:rStyle w:val="Hyperlink"/>
            <w:noProof/>
          </w:rPr>
          <w:t>1.2.2.1 Prevalence of COPD</w:t>
        </w:r>
        <w:r>
          <w:rPr>
            <w:noProof/>
            <w:webHidden/>
          </w:rPr>
          <w:tab/>
        </w:r>
        <w:r>
          <w:rPr>
            <w:noProof/>
            <w:webHidden/>
          </w:rPr>
          <w:fldChar w:fldCharType="begin"/>
        </w:r>
        <w:r>
          <w:rPr>
            <w:noProof/>
            <w:webHidden/>
          </w:rPr>
          <w:instrText xml:space="preserve"> PAGEREF _Toc200096944 \h </w:instrText>
        </w:r>
        <w:r>
          <w:rPr>
            <w:noProof/>
            <w:webHidden/>
          </w:rPr>
        </w:r>
        <w:r>
          <w:rPr>
            <w:noProof/>
            <w:webHidden/>
          </w:rPr>
          <w:fldChar w:fldCharType="separate"/>
        </w:r>
        <w:r>
          <w:rPr>
            <w:noProof/>
            <w:webHidden/>
          </w:rPr>
          <w:t>8</w:t>
        </w:r>
        <w:r>
          <w:rPr>
            <w:noProof/>
            <w:webHidden/>
          </w:rPr>
          <w:fldChar w:fldCharType="end"/>
        </w:r>
      </w:hyperlink>
    </w:p>
    <w:p w14:paraId="6E5ADFCE" w14:textId="4D821176" w:rsidR="00CF59A1" w:rsidRDefault="00CF59A1">
      <w:pPr>
        <w:pStyle w:val="TOC5"/>
        <w:tabs>
          <w:tab w:val="right" w:leader="dot" w:pos="9350"/>
        </w:tabs>
        <w:rPr>
          <w:rFonts w:asciiTheme="minorHAnsi" w:eastAsiaTheme="minorEastAsia" w:hAnsiTheme="minorHAnsi"/>
          <w:noProof/>
          <w:color w:val="auto"/>
          <w:szCs w:val="24"/>
        </w:rPr>
      </w:pPr>
      <w:hyperlink w:anchor="_Toc200096945" w:history="1">
        <w:r w:rsidRPr="002F296A">
          <w:rPr>
            <w:rStyle w:val="Hyperlink"/>
            <w:noProof/>
          </w:rPr>
          <w:t>1.2.2.2 Economic Burden</w:t>
        </w:r>
        <w:r>
          <w:rPr>
            <w:noProof/>
            <w:webHidden/>
          </w:rPr>
          <w:tab/>
        </w:r>
        <w:r>
          <w:rPr>
            <w:noProof/>
            <w:webHidden/>
          </w:rPr>
          <w:fldChar w:fldCharType="begin"/>
        </w:r>
        <w:r>
          <w:rPr>
            <w:noProof/>
            <w:webHidden/>
          </w:rPr>
          <w:instrText xml:space="preserve"> PAGEREF _Toc200096945 \h </w:instrText>
        </w:r>
        <w:r>
          <w:rPr>
            <w:noProof/>
            <w:webHidden/>
          </w:rPr>
        </w:r>
        <w:r>
          <w:rPr>
            <w:noProof/>
            <w:webHidden/>
          </w:rPr>
          <w:fldChar w:fldCharType="separate"/>
        </w:r>
        <w:r>
          <w:rPr>
            <w:noProof/>
            <w:webHidden/>
          </w:rPr>
          <w:t>10</w:t>
        </w:r>
        <w:r>
          <w:rPr>
            <w:noProof/>
            <w:webHidden/>
          </w:rPr>
          <w:fldChar w:fldCharType="end"/>
        </w:r>
      </w:hyperlink>
    </w:p>
    <w:p w14:paraId="2F48DCA5" w14:textId="0FD65E83" w:rsidR="00CF59A1" w:rsidRDefault="00CF59A1">
      <w:pPr>
        <w:pStyle w:val="TOC5"/>
        <w:tabs>
          <w:tab w:val="right" w:leader="dot" w:pos="9350"/>
        </w:tabs>
        <w:rPr>
          <w:rFonts w:asciiTheme="minorHAnsi" w:eastAsiaTheme="minorEastAsia" w:hAnsiTheme="minorHAnsi"/>
          <w:noProof/>
          <w:color w:val="auto"/>
          <w:szCs w:val="24"/>
        </w:rPr>
      </w:pPr>
      <w:hyperlink w:anchor="_Toc200096946" w:history="1">
        <w:r w:rsidRPr="002F296A">
          <w:rPr>
            <w:rStyle w:val="Hyperlink"/>
            <w:noProof/>
          </w:rPr>
          <w:t>1.2.2.3 Workforce Impacts</w:t>
        </w:r>
        <w:r>
          <w:rPr>
            <w:noProof/>
            <w:webHidden/>
          </w:rPr>
          <w:tab/>
        </w:r>
        <w:r>
          <w:rPr>
            <w:noProof/>
            <w:webHidden/>
          </w:rPr>
          <w:fldChar w:fldCharType="begin"/>
        </w:r>
        <w:r>
          <w:rPr>
            <w:noProof/>
            <w:webHidden/>
          </w:rPr>
          <w:instrText xml:space="preserve"> PAGEREF _Toc200096946 \h </w:instrText>
        </w:r>
        <w:r>
          <w:rPr>
            <w:noProof/>
            <w:webHidden/>
          </w:rPr>
        </w:r>
        <w:r>
          <w:rPr>
            <w:noProof/>
            <w:webHidden/>
          </w:rPr>
          <w:fldChar w:fldCharType="separate"/>
        </w:r>
        <w:r>
          <w:rPr>
            <w:noProof/>
            <w:webHidden/>
          </w:rPr>
          <w:t>12</w:t>
        </w:r>
        <w:r>
          <w:rPr>
            <w:noProof/>
            <w:webHidden/>
          </w:rPr>
          <w:fldChar w:fldCharType="end"/>
        </w:r>
      </w:hyperlink>
    </w:p>
    <w:p w14:paraId="194574B2" w14:textId="19B16F5D" w:rsidR="00CF59A1" w:rsidRDefault="00CF59A1">
      <w:pPr>
        <w:pStyle w:val="TOC4"/>
        <w:tabs>
          <w:tab w:val="right" w:leader="dot" w:pos="9350"/>
        </w:tabs>
        <w:rPr>
          <w:rFonts w:asciiTheme="minorHAnsi" w:eastAsiaTheme="minorEastAsia" w:hAnsiTheme="minorHAnsi"/>
          <w:noProof/>
          <w:color w:val="auto"/>
          <w:szCs w:val="24"/>
        </w:rPr>
      </w:pPr>
      <w:hyperlink w:anchor="_Toc200096947" w:history="1">
        <w:r w:rsidRPr="002F296A">
          <w:rPr>
            <w:rStyle w:val="Hyperlink"/>
            <w:noProof/>
          </w:rPr>
          <w:t>1.2.3 Geographic Patterns of COPD</w:t>
        </w:r>
        <w:r>
          <w:rPr>
            <w:noProof/>
            <w:webHidden/>
          </w:rPr>
          <w:tab/>
        </w:r>
        <w:r>
          <w:rPr>
            <w:noProof/>
            <w:webHidden/>
          </w:rPr>
          <w:fldChar w:fldCharType="begin"/>
        </w:r>
        <w:r>
          <w:rPr>
            <w:noProof/>
            <w:webHidden/>
          </w:rPr>
          <w:instrText xml:space="preserve"> PAGEREF _Toc200096947 \h </w:instrText>
        </w:r>
        <w:r>
          <w:rPr>
            <w:noProof/>
            <w:webHidden/>
          </w:rPr>
        </w:r>
        <w:r>
          <w:rPr>
            <w:noProof/>
            <w:webHidden/>
          </w:rPr>
          <w:fldChar w:fldCharType="separate"/>
        </w:r>
        <w:r>
          <w:rPr>
            <w:noProof/>
            <w:webHidden/>
          </w:rPr>
          <w:t>13</w:t>
        </w:r>
        <w:r>
          <w:rPr>
            <w:noProof/>
            <w:webHidden/>
          </w:rPr>
          <w:fldChar w:fldCharType="end"/>
        </w:r>
      </w:hyperlink>
    </w:p>
    <w:p w14:paraId="189A8079" w14:textId="67135929" w:rsidR="00CF59A1" w:rsidRDefault="00CF59A1">
      <w:pPr>
        <w:pStyle w:val="TOC6"/>
        <w:tabs>
          <w:tab w:val="right" w:leader="dot" w:pos="9350"/>
        </w:tabs>
        <w:rPr>
          <w:rFonts w:asciiTheme="minorHAnsi" w:eastAsiaTheme="minorEastAsia" w:hAnsiTheme="minorHAnsi"/>
          <w:noProof/>
          <w:color w:val="auto"/>
          <w:szCs w:val="24"/>
        </w:rPr>
      </w:pPr>
      <w:hyperlink w:anchor="_Toc200096948" w:history="1">
        <w:r w:rsidRPr="002F296A">
          <w:rPr>
            <w:rStyle w:val="Hyperlink"/>
            <w:noProof/>
          </w:rPr>
          <w:t>1.2.3.1.1 Global Patterns</w:t>
        </w:r>
        <w:r>
          <w:rPr>
            <w:noProof/>
            <w:webHidden/>
          </w:rPr>
          <w:tab/>
        </w:r>
        <w:r>
          <w:rPr>
            <w:noProof/>
            <w:webHidden/>
          </w:rPr>
          <w:fldChar w:fldCharType="begin"/>
        </w:r>
        <w:r>
          <w:rPr>
            <w:noProof/>
            <w:webHidden/>
          </w:rPr>
          <w:instrText xml:space="preserve"> PAGEREF _Toc200096948 \h </w:instrText>
        </w:r>
        <w:r>
          <w:rPr>
            <w:noProof/>
            <w:webHidden/>
          </w:rPr>
        </w:r>
        <w:r>
          <w:rPr>
            <w:noProof/>
            <w:webHidden/>
          </w:rPr>
          <w:fldChar w:fldCharType="separate"/>
        </w:r>
        <w:r>
          <w:rPr>
            <w:noProof/>
            <w:webHidden/>
          </w:rPr>
          <w:t>13</w:t>
        </w:r>
        <w:r>
          <w:rPr>
            <w:noProof/>
            <w:webHidden/>
          </w:rPr>
          <w:fldChar w:fldCharType="end"/>
        </w:r>
      </w:hyperlink>
    </w:p>
    <w:p w14:paraId="7A3F5115" w14:textId="64B3F669" w:rsidR="00CF59A1" w:rsidRDefault="00CF59A1">
      <w:pPr>
        <w:pStyle w:val="TOC6"/>
        <w:tabs>
          <w:tab w:val="right" w:leader="dot" w:pos="9350"/>
        </w:tabs>
        <w:rPr>
          <w:rFonts w:asciiTheme="minorHAnsi" w:eastAsiaTheme="minorEastAsia" w:hAnsiTheme="minorHAnsi"/>
          <w:noProof/>
          <w:color w:val="auto"/>
          <w:szCs w:val="24"/>
        </w:rPr>
      </w:pPr>
      <w:hyperlink w:anchor="_Toc200096949" w:history="1">
        <w:r w:rsidRPr="002F296A">
          <w:rPr>
            <w:rStyle w:val="Hyperlink"/>
            <w:noProof/>
          </w:rPr>
          <w:t>1.2.3.1.2 Pattern in the United States</w:t>
        </w:r>
        <w:r>
          <w:rPr>
            <w:noProof/>
            <w:webHidden/>
          </w:rPr>
          <w:tab/>
        </w:r>
        <w:r>
          <w:rPr>
            <w:noProof/>
            <w:webHidden/>
          </w:rPr>
          <w:fldChar w:fldCharType="begin"/>
        </w:r>
        <w:r>
          <w:rPr>
            <w:noProof/>
            <w:webHidden/>
          </w:rPr>
          <w:instrText xml:space="preserve"> PAGEREF _Toc200096949 \h </w:instrText>
        </w:r>
        <w:r>
          <w:rPr>
            <w:noProof/>
            <w:webHidden/>
          </w:rPr>
        </w:r>
        <w:r>
          <w:rPr>
            <w:noProof/>
            <w:webHidden/>
          </w:rPr>
          <w:fldChar w:fldCharType="separate"/>
        </w:r>
        <w:r>
          <w:rPr>
            <w:noProof/>
            <w:webHidden/>
          </w:rPr>
          <w:t>15</w:t>
        </w:r>
        <w:r>
          <w:rPr>
            <w:noProof/>
            <w:webHidden/>
          </w:rPr>
          <w:fldChar w:fldCharType="end"/>
        </w:r>
      </w:hyperlink>
    </w:p>
    <w:p w14:paraId="6A169C7F" w14:textId="2C744703" w:rsidR="00CF59A1" w:rsidRDefault="00CF59A1">
      <w:pPr>
        <w:pStyle w:val="TOC6"/>
        <w:tabs>
          <w:tab w:val="right" w:leader="dot" w:pos="9350"/>
        </w:tabs>
        <w:rPr>
          <w:rFonts w:asciiTheme="minorHAnsi" w:eastAsiaTheme="minorEastAsia" w:hAnsiTheme="minorHAnsi"/>
          <w:noProof/>
          <w:color w:val="auto"/>
          <w:szCs w:val="24"/>
        </w:rPr>
      </w:pPr>
      <w:hyperlink w:anchor="_Toc200096950" w:history="1">
        <w:r w:rsidRPr="002F296A">
          <w:rPr>
            <w:rStyle w:val="Hyperlink"/>
            <w:noProof/>
          </w:rPr>
          <w:t>1.2.3.1.3 Temporal Patterns</w:t>
        </w:r>
        <w:r>
          <w:rPr>
            <w:noProof/>
            <w:webHidden/>
          </w:rPr>
          <w:tab/>
        </w:r>
        <w:r>
          <w:rPr>
            <w:noProof/>
            <w:webHidden/>
          </w:rPr>
          <w:fldChar w:fldCharType="begin"/>
        </w:r>
        <w:r>
          <w:rPr>
            <w:noProof/>
            <w:webHidden/>
          </w:rPr>
          <w:instrText xml:space="preserve"> PAGEREF _Toc200096950 \h </w:instrText>
        </w:r>
        <w:r>
          <w:rPr>
            <w:noProof/>
            <w:webHidden/>
          </w:rPr>
        </w:r>
        <w:r>
          <w:rPr>
            <w:noProof/>
            <w:webHidden/>
          </w:rPr>
          <w:fldChar w:fldCharType="separate"/>
        </w:r>
        <w:r>
          <w:rPr>
            <w:noProof/>
            <w:webHidden/>
          </w:rPr>
          <w:t>16</w:t>
        </w:r>
        <w:r>
          <w:rPr>
            <w:noProof/>
            <w:webHidden/>
          </w:rPr>
          <w:fldChar w:fldCharType="end"/>
        </w:r>
      </w:hyperlink>
    </w:p>
    <w:p w14:paraId="007E965F" w14:textId="1D6640C7" w:rsidR="00CF59A1" w:rsidRDefault="00CF59A1">
      <w:pPr>
        <w:pStyle w:val="TOC4"/>
        <w:tabs>
          <w:tab w:val="right" w:leader="dot" w:pos="9350"/>
        </w:tabs>
        <w:rPr>
          <w:rFonts w:asciiTheme="minorHAnsi" w:eastAsiaTheme="minorEastAsia" w:hAnsiTheme="minorHAnsi"/>
          <w:noProof/>
          <w:color w:val="auto"/>
          <w:szCs w:val="24"/>
        </w:rPr>
      </w:pPr>
      <w:hyperlink w:anchor="_Toc200096951" w:history="1">
        <w:r w:rsidRPr="002F296A">
          <w:rPr>
            <w:rStyle w:val="Hyperlink"/>
            <w:noProof/>
          </w:rPr>
          <w:t>1.2.4 Risk factors of COPD</w:t>
        </w:r>
        <w:r>
          <w:rPr>
            <w:noProof/>
            <w:webHidden/>
          </w:rPr>
          <w:tab/>
        </w:r>
        <w:r>
          <w:rPr>
            <w:noProof/>
            <w:webHidden/>
          </w:rPr>
          <w:fldChar w:fldCharType="begin"/>
        </w:r>
        <w:r>
          <w:rPr>
            <w:noProof/>
            <w:webHidden/>
          </w:rPr>
          <w:instrText xml:space="preserve"> PAGEREF _Toc200096951 \h </w:instrText>
        </w:r>
        <w:r>
          <w:rPr>
            <w:noProof/>
            <w:webHidden/>
          </w:rPr>
        </w:r>
        <w:r>
          <w:rPr>
            <w:noProof/>
            <w:webHidden/>
          </w:rPr>
          <w:fldChar w:fldCharType="separate"/>
        </w:r>
        <w:r>
          <w:rPr>
            <w:noProof/>
            <w:webHidden/>
          </w:rPr>
          <w:t>18</w:t>
        </w:r>
        <w:r>
          <w:rPr>
            <w:noProof/>
            <w:webHidden/>
          </w:rPr>
          <w:fldChar w:fldCharType="end"/>
        </w:r>
      </w:hyperlink>
    </w:p>
    <w:p w14:paraId="135B7303" w14:textId="1F35C1F6" w:rsidR="00CF59A1" w:rsidRDefault="00CF59A1">
      <w:pPr>
        <w:pStyle w:val="TOC5"/>
        <w:tabs>
          <w:tab w:val="right" w:leader="dot" w:pos="9350"/>
        </w:tabs>
        <w:rPr>
          <w:rFonts w:asciiTheme="minorHAnsi" w:eastAsiaTheme="minorEastAsia" w:hAnsiTheme="minorHAnsi"/>
          <w:noProof/>
          <w:color w:val="auto"/>
          <w:szCs w:val="24"/>
        </w:rPr>
      </w:pPr>
      <w:hyperlink w:anchor="_Toc200096952" w:history="1">
        <w:r w:rsidRPr="002F296A">
          <w:rPr>
            <w:rStyle w:val="Hyperlink"/>
            <w:noProof/>
          </w:rPr>
          <w:t>1.2.4.1 Non-modifiable Risk Factors</w:t>
        </w:r>
        <w:r>
          <w:rPr>
            <w:noProof/>
            <w:webHidden/>
          </w:rPr>
          <w:tab/>
        </w:r>
        <w:r>
          <w:rPr>
            <w:noProof/>
            <w:webHidden/>
          </w:rPr>
          <w:fldChar w:fldCharType="begin"/>
        </w:r>
        <w:r>
          <w:rPr>
            <w:noProof/>
            <w:webHidden/>
          </w:rPr>
          <w:instrText xml:space="preserve"> PAGEREF _Toc200096952 \h </w:instrText>
        </w:r>
        <w:r>
          <w:rPr>
            <w:noProof/>
            <w:webHidden/>
          </w:rPr>
        </w:r>
        <w:r>
          <w:rPr>
            <w:noProof/>
            <w:webHidden/>
          </w:rPr>
          <w:fldChar w:fldCharType="separate"/>
        </w:r>
        <w:r>
          <w:rPr>
            <w:noProof/>
            <w:webHidden/>
          </w:rPr>
          <w:t>18</w:t>
        </w:r>
        <w:r>
          <w:rPr>
            <w:noProof/>
            <w:webHidden/>
          </w:rPr>
          <w:fldChar w:fldCharType="end"/>
        </w:r>
      </w:hyperlink>
    </w:p>
    <w:p w14:paraId="3657EBEB" w14:textId="085F7C36" w:rsidR="00CF59A1" w:rsidRDefault="00CF59A1">
      <w:pPr>
        <w:pStyle w:val="TOC6"/>
        <w:tabs>
          <w:tab w:val="right" w:leader="dot" w:pos="9350"/>
        </w:tabs>
        <w:rPr>
          <w:rFonts w:asciiTheme="minorHAnsi" w:eastAsiaTheme="minorEastAsia" w:hAnsiTheme="minorHAnsi"/>
          <w:noProof/>
          <w:color w:val="auto"/>
          <w:szCs w:val="24"/>
        </w:rPr>
      </w:pPr>
      <w:hyperlink w:anchor="_Toc200096953" w:history="1">
        <w:r w:rsidRPr="002F296A">
          <w:rPr>
            <w:rStyle w:val="Hyperlink"/>
            <w:noProof/>
          </w:rPr>
          <w:t>1.2.4.1.1 Age</w:t>
        </w:r>
        <w:r>
          <w:rPr>
            <w:noProof/>
            <w:webHidden/>
          </w:rPr>
          <w:tab/>
        </w:r>
        <w:r>
          <w:rPr>
            <w:noProof/>
            <w:webHidden/>
          </w:rPr>
          <w:fldChar w:fldCharType="begin"/>
        </w:r>
        <w:r>
          <w:rPr>
            <w:noProof/>
            <w:webHidden/>
          </w:rPr>
          <w:instrText xml:space="preserve"> PAGEREF _Toc200096953 \h </w:instrText>
        </w:r>
        <w:r>
          <w:rPr>
            <w:noProof/>
            <w:webHidden/>
          </w:rPr>
        </w:r>
        <w:r>
          <w:rPr>
            <w:noProof/>
            <w:webHidden/>
          </w:rPr>
          <w:fldChar w:fldCharType="separate"/>
        </w:r>
        <w:r>
          <w:rPr>
            <w:noProof/>
            <w:webHidden/>
          </w:rPr>
          <w:t>18</w:t>
        </w:r>
        <w:r>
          <w:rPr>
            <w:noProof/>
            <w:webHidden/>
          </w:rPr>
          <w:fldChar w:fldCharType="end"/>
        </w:r>
      </w:hyperlink>
    </w:p>
    <w:p w14:paraId="660273B1" w14:textId="1EB474D7" w:rsidR="00CF59A1" w:rsidRDefault="00CF59A1">
      <w:pPr>
        <w:pStyle w:val="TOC6"/>
        <w:tabs>
          <w:tab w:val="right" w:leader="dot" w:pos="9350"/>
        </w:tabs>
        <w:rPr>
          <w:rFonts w:asciiTheme="minorHAnsi" w:eastAsiaTheme="minorEastAsia" w:hAnsiTheme="minorHAnsi"/>
          <w:noProof/>
          <w:color w:val="auto"/>
          <w:szCs w:val="24"/>
        </w:rPr>
      </w:pPr>
      <w:hyperlink w:anchor="_Toc200096954" w:history="1">
        <w:r w:rsidRPr="002F296A">
          <w:rPr>
            <w:rStyle w:val="Hyperlink"/>
            <w:noProof/>
          </w:rPr>
          <w:t>1.2.4.1.2 Genetic Risk Factors</w:t>
        </w:r>
        <w:r>
          <w:rPr>
            <w:noProof/>
            <w:webHidden/>
          </w:rPr>
          <w:tab/>
        </w:r>
        <w:r>
          <w:rPr>
            <w:noProof/>
            <w:webHidden/>
          </w:rPr>
          <w:fldChar w:fldCharType="begin"/>
        </w:r>
        <w:r>
          <w:rPr>
            <w:noProof/>
            <w:webHidden/>
          </w:rPr>
          <w:instrText xml:space="preserve"> PAGEREF _Toc200096954 \h </w:instrText>
        </w:r>
        <w:r>
          <w:rPr>
            <w:noProof/>
            <w:webHidden/>
          </w:rPr>
        </w:r>
        <w:r>
          <w:rPr>
            <w:noProof/>
            <w:webHidden/>
          </w:rPr>
          <w:fldChar w:fldCharType="separate"/>
        </w:r>
        <w:r>
          <w:rPr>
            <w:noProof/>
            <w:webHidden/>
          </w:rPr>
          <w:t>19</w:t>
        </w:r>
        <w:r>
          <w:rPr>
            <w:noProof/>
            <w:webHidden/>
          </w:rPr>
          <w:fldChar w:fldCharType="end"/>
        </w:r>
      </w:hyperlink>
    </w:p>
    <w:p w14:paraId="071D433E" w14:textId="08084907" w:rsidR="00CF59A1" w:rsidRDefault="00CF59A1">
      <w:pPr>
        <w:pStyle w:val="TOC6"/>
        <w:tabs>
          <w:tab w:val="right" w:leader="dot" w:pos="9350"/>
        </w:tabs>
        <w:rPr>
          <w:rFonts w:asciiTheme="minorHAnsi" w:eastAsiaTheme="minorEastAsia" w:hAnsiTheme="minorHAnsi"/>
          <w:noProof/>
          <w:color w:val="auto"/>
          <w:szCs w:val="24"/>
        </w:rPr>
      </w:pPr>
      <w:hyperlink w:anchor="_Toc200096955" w:history="1">
        <w:r w:rsidRPr="002F296A">
          <w:rPr>
            <w:rStyle w:val="Hyperlink"/>
            <w:noProof/>
          </w:rPr>
          <w:t>1.2.4.1.3 Early Life Exposures</w:t>
        </w:r>
        <w:r>
          <w:rPr>
            <w:noProof/>
            <w:webHidden/>
          </w:rPr>
          <w:tab/>
        </w:r>
        <w:r>
          <w:rPr>
            <w:noProof/>
            <w:webHidden/>
          </w:rPr>
          <w:fldChar w:fldCharType="begin"/>
        </w:r>
        <w:r>
          <w:rPr>
            <w:noProof/>
            <w:webHidden/>
          </w:rPr>
          <w:instrText xml:space="preserve"> PAGEREF _Toc200096955 \h </w:instrText>
        </w:r>
        <w:r>
          <w:rPr>
            <w:noProof/>
            <w:webHidden/>
          </w:rPr>
        </w:r>
        <w:r>
          <w:rPr>
            <w:noProof/>
            <w:webHidden/>
          </w:rPr>
          <w:fldChar w:fldCharType="separate"/>
        </w:r>
        <w:r>
          <w:rPr>
            <w:noProof/>
            <w:webHidden/>
          </w:rPr>
          <w:t>19</w:t>
        </w:r>
        <w:r>
          <w:rPr>
            <w:noProof/>
            <w:webHidden/>
          </w:rPr>
          <w:fldChar w:fldCharType="end"/>
        </w:r>
      </w:hyperlink>
    </w:p>
    <w:p w14:paraId="08A95142" w14:textId="5C462A3F" w:rsidR="00CF59A1" w:rsidRDefault="00CF59A1">
      <w:pPr>
        <w:pStyle w:val="TOC6"/>
        <w:tabs>
          <w:tab w:val="right" w:leader="dot" w:pos="9350"/>
        </w:tabs>
        <w:rPr>
          <w:rFonts w:asciiTheme="minorHAnsi" w:eastAsiaTheme="minorEastAsia" w:hAnsiTheme="minorHAnsi"/>
          <w:noProof/>
          <w:color w:val="auto"/>
          <w:szCs w:val="24"/>
        </w:rPr>
      </w:pPr>
      <w:hyperlink w:anchor="_Toc200096956" w:history="1">
        <w:r w:rsidRPr="002F296A">
          <w:rPr>
            <w:rStyle w:val="Hyperlink"/>
            <w:noProof/>
          </w:rPr>
          <w:t>1.2.4.1.4 Changes in Lung Function</w:t>
        </w:r>
        <w:r>
          <w:rPr>
            <w:noProof/>
            <w:webHidden/>
          </w:rPr>
          <w:tab/>
        </w:r>
        <w:r>
          <w:rPr>
            <w:noProof/>
            <w:webHidden/>
          </w:rPr>
          <w:fldChar w:fldCharType="begin"/>
        </w:r>
        <w:r>
          <w:rPr>
            <w:noProof/>
            <w:webHidden/>
          </w:rPr>
          <w:instrText xml:space="preserve"> PAGEREF _Toc200096956 \h </w:instrText>
        </w:r>
        <w:r>
          <w:rPr>
            <w:noProof/>
            <w:webHidden/>
          </w:rPr>
        </w:r>
        <w:r>
          <w:rPr>
            <w:noProof/>
            <w:webHidden/>
          </w:rPr>
          <w:fldChar w:fldCharType="separate"/>
        </w:r>
        <w:r>
          <w:rPr>
            <w:noProof/>
            <w:webHidden/>
          </w:rPr>
          <w:t>20</w:t>
        </w:r>
        <w:r>
          <w:rPr>
            <w:noProof/>
            <w:webHidden/>
          </w:rPr>
          <w:fldChar w:fldCharType="end"/>
        </w:r>
      </w:hyperlink>
    </w:p>
    <w:p w14:paraId="629EF923" w14:textId="59D4B088" w:rsidR="00CF59A1" w:rsidRDefault="00CF59A1">
      <w:pPr>
        <w:pStyle w:val="TOC5"/>
        <w:tabs>
          <w:tab w:val="right" w:leader="dot" w:pos="9350"/>
        </w:tabs>
        <w:rPr>
          <w:rFonts w:asciiTheme="minorHAnsi" w:eastAsiaTheme="minorEastAsia" w:hAnsiTheme="minorHAnsi"/>
          <w:noProof/>
          <w:color w:val="auto"/>
          <w:szCs w:val="24"/>
        </w:rPr>
      </w:pPr>
      <w:hyperlink w:anchor="_Toc200096957" w:history="1">
        <w:r w:rsidRPr="002F296A">
          <w:rPr>
            <w:rStyle w:val="Hyperlink"/>
            <w:noProof/>
          </w:rPr>
          <w:t>1.2.4.2 Modifiable Risk Factors</w:t>
        </w:r>
        <w:r>
          <w:rPr>
            <w:noProof/>
            <w:webHidden/>
          </w:rPr>
          <w:tab/>
        </w:r>
        <w:r>
          <w:rPr>
            <w:noProof/>
            <w:webHidden/>
          </w:rPr>
          <w:fldChar w:fldCharType="begin"/>
        </w:r>
        <w:r>
          <w:rPr>
            <w:noProof/>
            <w:webHidden/>
          </w:rPr>
          <w:instrText xml:space="preserve"> PAGEREF _Toc200096957 \h </w:instrText>
        </w:r>
        <w:r>
          <w:rPr>
            <w:noProof/>
            <w:webHidden/>
          </w:rPr>
        </w:r>
        <w:r>
          <w:rPr>
            <w:noProof/>
            <w:webHidden/>
          </w:rPr>
          <w:fldChar w:fldCharType="separate"/>
        </w:r>
        <w:r>
          <w:rPr>
            <w:noProof/>
            <w:webHidden/>
          </w:rPr>
          <w:t>21</w:t>
        </w:r>
        <w:r>
          <w:rPr>
            <w:noProof/>
            <w:webHidden/>
          </w:rPr>
          <w:fldChar w:fldCharType="end"/>
        </w:r>
      </w:hyperlink>
    </w:p>
    <w:p w14:paraId="07C89B58" w14:textId="43A7D83F" w:rsidR="00CF59A1" w:rsidRDefault="00CF59A1">
      <w:pPr>
        <w:pStyle w:val="TOC6"/>
        <w:tabs>
          <w:tab w:val="right" w:leader="dot" w:pos="9350"/>
        </w:tabs>
        <w:rPr>
          <w:rFonts w:asciiTheme="minorHAnsi" w:eastAsiaTheme="minorEastAsia" w:hAnsiTheme="minorHAnsi"/>
          <w:noProof/>
          <w:color w:val="auto"/>
          <w:szCs w:val="24"/>
        </w:rPr>
      </w:pPr>
      <w:hyperlink w:anchor="_Toc200096958" w:history="1">
        <w:r w:rsidRPr="002F296A">
          <w:rPr>
            <w:rStyle w:val="Hyperlink"/>
            <w:noProof/>
          </w:rPr>
          <w:t>1.2.4.2.1 Sociodemographic and Behavioral Factors</w:t>
        </w:r>
        <w:r>
          <w:rPr>
            <w:noProof/>
            <w:webHidden/>
          </w:rPr>
          <w:tab/>
        </w:r>
        <w:r>
          <w:rPr>
            <w:noProof/>
            <w:webHidden/>
          </w:rPr>
          <w:fldChar w:fldCharType="begin"/>
        </w:r>
        <w:r>
          <w:rPr>
            <w:noProof/>
            <w:webHidden/>
          </w:rPr>
          <w:instrText xml:space="preserve"> PAGEREF _Toc200096958 \h </w:instrText>
        </w:r>
        <w:r>
          <w:rPr>
            <w:noProof/>
            <w:webHidden/>
          </w:rPr>
        </w:r>
        <w:r>
          <w:rPr>
            <w:noProof/>
            <w:webHidden/>
          </w:rPr>
          <w:fldChar w:fldCharType="separate"/>
        </w:r>
        <w:r>
          <w:rPr>
            <w:noProof/>
            <w:webHidden/>
          </w:rPr>
          <w:t>21</w:t>
        </w:r>
        <w:r>
          <w:rPr>
            <w:noProof/>
            <w:webHidden/>
          </w:rPr>
          <w:fldChar w:fldCharType="end"/>
        </w:r>
      </w:hyperlink>
    </w:p>
    <w:p w14:paraId="35FC3A76" w14:textId="73F3DA6D" w:rsidR="00CF59A1" w:rsidRDefault="00CF59A1">
      <w:pPr>
        <w:pStyle w:val="TOC6"/>
        <w:tabs>
          <w:tab w:val="right" w:leader="dot" w:pos="9350"/>
        </w:tabs>
        <w:rPr>
          <w:rFonts w:asciiTheme="minorHAnsi" w:eastAsiaTheme="minorEastAsia" w:hAnsiTheme="minorHAnsi"/>
          <w:noProof/>
          <w:color w:val="auto"/>
          <w:szCs w:val="24"/>
        </w:rPr>
      </w:pPr>
      <w:hyperlink w:anchor="_Toc200096959" w:history="1">
        <w:r w:rsidRPr="002F296A">
          <w:rPr>
            <w:rStyle w:val="Hyperlink"/>
            <w:noProof/>
          </w:rPr>
          <w:t>1.2.4.2.2 Environmental</w:t>
        </w:r>
        <w:r>
          <w:rPr>
            <w:noProof/>
            <w:webHidden/>
          </w:rPr>
          <w:tab/>
        </w:r>
        <w:r>
          <w:rPr>
            <w:noProof/>
            <w:webHidden/>
          </w:rPr>
          <w:fldChar w:fldCharType="begin"/>
        </w:r>
        <w:r>
          <w:rPr>
            <w:noProof/>
            <w:webHidden/>
          </w:rPr>
          <w:instrText xml:space="preserve"> PAGEREF _Toc200096959 \h </w:instrText>
        </w:r>
        <w:r>
          <w:rPr>
            <w:noProof/>
            <w:webHidden/>
          </w:rPr>
        </w:r>
        <w:r>
          <w:rPr>
            <w:noProof/>
            <w:webHidden/>
          </w:rPr>
          <w:fldChar w:fldCharType="separate"/>
        </w:r>
        <w:r>
          <w:rPr>
            <w:noProof/>
            <w:webHidden/>
          </w:rPr>
          <w:t>22</w:t>
        </w:r>
        <w:r>
          <w:rPr>
            <w:noProof/>
            <w:webHidden/>
          </w:rPr>
          <w:fldChar w:fldCharType="end"/>
        </w:r>
      </w:hyperlink>
    </w:p>
    <w:p w14:paraId="285BA340" w14:textId="07FC13AC" w:rsidR="00CF59A1" w:rsidRDefault="00CF59A1">
      <w:pPr>
        <w:pStyle w:val="TOC7"/>
        <w:tabs>
          <w:tab w:val="right" w:leader="dot" w:pos="9350"/>
        </w:tabs>
        <w:rPr>
          <w:rFonts w:asciiTheme="minorHAnsi" w:eastAsiaTheme="minorEastAsia" w:hAnsiTheme="minorHAnsi"/>
          <w:noProof/>
          <w:color w:val="auto"/>
          <w:szCs w:val="24"/>
        </w:rPr>
      </w:pPr>
      <w:hyperlink w:anchor="_Toc200096960" w:history="1">
        <w:r w:rsidRPr="002F296A">
          <w:rPr>
            <w:rStyle w:val="Hyperlink"/>
            <w:noProof/>
          </w:rPr>
          <w:t>1.2.4.2.2.1 Occupational Exposures</w:t>
        </w:r>
        <w:r>
          <w:rPr>
            <w:noProof/>
            <w:webHidden/>
          </w:rPr>
          <w:tab/>
        </w:r>
        <w:r>
          <w:rPr>
            <w:noProof/>
            <w:webHidden/>
          </w:rPr>
          <w:fldChar w:fldCharType="begin"/>
        </w:r>
        <w:r>
          <w:rPr>
            <w:noProof/>
            <w:webHidden/>
          </w:rPr>
          <w:instrText xml:space="preserve"> PAGEREF _Toc200096960 \h </w:instrText>
        </w:r>
        <w:r>
          <w:rPr>
            <w:noProof/>
            <w:webHidden/>
          </w:rPr>
        </w:r>
        <w:r>
          <w:rPr>
            <w:noProof/>
            <w:webHidden/>
          </w:rPr>
          <w:fldChar w:fldCharType="separate"/>
        </w:r>
        <w:r>
          <w:rPr>
            <w:noProof/>
            <w:webHidden/>
          </w:rPr>
          <w:t>22</w:t>
        </w:r>
        <w:r>
          <w:rPr>
            <w:noProof/>
            <w:webHidden/>
          </w:rPr>
          <w:fldChar w:fldCharType="end"/>
        </w:r>
      </w:hyperlink>
    </w:p>
    <w:p w14:paraId="5E9294AE" w14:textId="396716CD" w:rsidR="00CF59A1" w:rsidRDefault="00CF59A1">
      <w:pPr>
        <w:pStyle w:val="TOC7"/>
        <w:tabs>
          <w:tab w:val="right" w:leader="dot" w:pos="9350"/>
        </w:tabs>
        <w:rPr>
          <w:rFonts w:asciiTheme="minorHAnsi" w:eastAsiaTheme="minorEastAsia" w:hAnsiTheme="minorHAnsi"/>
          <w:noProof/>
          <w:color w:val="auto"/>
          <w:szCs w:val="24"/>
        </w:rPr>
      </w:pPr>
      <w:hyperlink w:anchor="_Toc200096961" w:history="1">
        <w:r w:rsidRPr="002F296A">
          <w:rPr>
            <w:rStyle w:val="Hyperlink"/>
            <w:noProof/>
          </w:rPr>
          <w:t>1.2.4.2.2.2 Air Quality</w:t>
        </w:r>
        <w:r>
          <w:rPr>
            <w:noProof/>
            <w:webHidden/>
          </w:rPr>
          <w:tab/>
        </w:r>
        <w:r>
          <w:rPr>
            <w:noProof/>
            <w:webHidden/>
          </w:rPr>
          <w:fldChar w:fldCharType="begin"/>
        </w:r>
        <w:r>
          <w:rPr>
            <w:noProof/>
            <w:webHidden/>
          </w:rPr>
          <w:instrText xml:space="preserve"> PAGEREF _Toc200096961 \h </w:instrText>
        </w:r>
        <w:r>
          <w:rPr>
            <w:noProof/>
            <w:webHidden/>
          </w:rPr>
        </w:r>
        <w:r>
          <w:rPr>
            <w:noProof/>
            <w:webHidden/>
          </w:rPr>
          <w:fldChar w:fldCharType="separate"/>
        </w:r>
        <w:r>
          <w:rPr>
            <w:noProof/>
            <w:webHidden/>
          </w:rPr>
          <w:t>23</w:t>
        </w:r>
        <w:r>
          <w:rPr>
            <w:noProof/>
            <w:webHidden/>
          </w:rPr>
          <w:fldChar w:fldCharType="end"/>
        </w:r>
      </w:hyperlink>
    </w:p>
    <w:p w14:paraId="385ECD86" w14:textId="058B43FC" w:rsidR="00CF59A1" w:rsidRDefault="00CF59A1">
      <w:pPr>
        <w:pStyle w:val="TOC6"/>
        <w:tabs>
          <w:tab w:val="right" w:leader="dot" w:pos="9350"/>
        </w:tabs>
        <w:rPr>
          <w:rFonts w:asciiTheme="minorHAnsi" w:eastAsiaTheme="minorEastAsia" w:hAnsiTheme="minorHAnsi"/>
          <w:noProof/>
          <w:color w:val="auto"/>
          <w:szCs w:val="24"/>
        </w:rPr>
      </w:pPr>
      <w:hyperlink w:anchor="_Toc200096962" w:history="1">
        <w:r w:rsidRPr="002F296A">
          <w:rPr>
            <w:rStyle w:val="Hyperlink"/>
            <w:noProof/>
          </w:rPr>
          <w:t>1.2.4.2.3 Respiratory Infections</w:t>
        </w:r>
        <w:r>
          <w:rPr>
            <w:noProof/>
            <w:webHidden/>
          </w:rPr>
          <w:tab/>
        </w:r>
        <w:r>
          <w:rPr>
            <w:noProof/>
            <w:webHidden/>
          </w:rPr>
          <w:fldChar w:fldCharType="begin"/>
        </w:r>
        <w:r>
          <w:rPr>
            <w:noProof/>
            <w:webHidden/>
          </w:rPr>
          <w:instrText xml:space="preserve"> PAGEREF _Toc200096962 \h </w:instrText>
        </w:r>
        <w:r>
          <w:rPr>
            <w:noProof/>
            <w:webHidden/>
          </w:rPr>
        </w:r>
        <w:r>
          <w:rPr>
            <w:noProof/>
            <w:webHidden/>
          </w:rPr>
          <w:fldChar w:fldCharType="separate"/>
        </w:r>
        <w:r>
          <w:rPr>
            <w:noProof/>
            <w:webHidden/>
          </w:rPr>
          <w:t>24</w:t>
        </w:r>
        <w:r>
          <w:rPr>
            <w:noProof/>
            <w:webHidden/>
          </w:rPr>
          <w:fldChar w:fldCharType="end"/>
        </w:r>
      </w:hyperlink>
    </w:p>
    <w:p w14:paraId="27FF6041" w14:textId="216E52C5" w:rsidR="00CF59A1" w:rsidRDefault="00CF59A1">
      <w:pPr>
        <w:pStyle w:val="TOC6"/>
        <w:tabs>
          <w:tab w:val="right" w:leader="dot" w:pos="9350"/>
        </w:tabs>
        <w:rPr>
          <w:rFonts w:asciiTheme="minorHAnsi" w:eastAsiaTheme="minorEastAsia" w:hAnsiTheme="minorHAnsi"/>
          <w:noProof/>
          <w:color w:val="auto"/>
          <w:szCs w:val="24"/>
        </w:rPr>
      </w:pPr>
      <w:hyperlink w:anchor="_Toc200096963" w:history="1">
        <w:r w:rsidRPr="002F296A">
          <w:rPr>
            <w:rStyle w:val="Hyperlink"/>
            <w:noProof/>
          </w:rPr>
          <w:t>1.2.4.2.4 Comorbidities</w:t>
        </w:r>
        <w:r>
          <w:rPr>
            <w:noProof/>
            <w:webHidden/>
          </w:rPr>
          <w:tab/>
        </w:r>
        <w:r>
          <w:rPr>
            <w:noProof/>
            <w:webHidden/>
          </w:rPr>
          <w:fldChar w:fldCharType="begin"/>
        </w:r>
        <w:r>
          <w:rPr>
            <w:noProof/>
            <w:webHidden/>
          </w:rPr>
          <w:instrText xml:space="preserve"> PAGEREF _Toc200096963 \h </w:instrText>
        </w:r>
        <w:r>
          <w:rPr>
            <w:noProof/>
            <w:webHidden/>
          </w:rPr>
        </w:r>
        <w:r>
          <w:rPr>
            <w:noProof/>
            <w:webHidden/>
          </w:rPr>
          <w:fldChar w:fldCharType="separate"/>
        </w:r>
        <w:r>
          <w:rPr>
            <w:noProof/>
            <w:webHidden/>
          </w:rPr>
          <w:t>25</w:t>
        </w:r>
        <w:r>
          <w:rPr>
            <w:noProof/>
            <w:webHidden/>
          </w:rPr>
          <w:fldChar w:fldCharType="end"/>
        </w:r>
      </w:hyperlink>
    </w:p>
    <w:p w14:paraId="0B1C5789" w14:textId="1E6B0A04" w:rsidR="00CF59A1" w:rsidRDefault="00CF59A1">
      <w:pPr>
        <w:pStyle w:val="TOC4"/>
        <w:tabs>
          <w:tab w:val="right" w:leader="dot" w:pos="9350"/>
        </w:tabs>
        <w:rPr>
          <w:rFonts w:asciiTheme="minorHAnsi" w:eastAsiaTheme="minorEastAsia" w:hAnsiTheme="minorHAnsi"/>
          <w:noProof/>
          <w:color w:val="auto"/>
          <w:szCs w:val="24"/>
        </w:rPr>
      </w:pPr>
      <w:hyperlink w:anchor="_Toc200096964" w:history="1">
        <w:r w:rsidRPr="002F296A">
          <w:rPr>
            <w:rStyle w:val="Hyperlink"/>
            <w:noProof/>
          </w:rPr>
          <w:t>1.2.5 Prevention and Control</w:t>
        </w:r>
        <w:r>
          <w:rPr>
            <w:noProof/>
            <w:webHidden/>
          </w:rPr>
          <w:tab/>
        </w:r>
        <w:r>
          <w:rPr>
            <w:noProof/>
            <w:webHidden/>
          </w:rPr>
          <w:fldChar w:fldCharType="begin"/>
        </w:r>
        <w:r>
          <w:rPr>
            <w:noProof/>
            <w:webHidden/>
          </w:rPr>
          <w:instrText xml:space="preserve"> PAGEREF _Toc200096964 \h </w:instrText>
        </w:r>
        <w:r>
          <w:rPr>
            <w:noProof/>
            <w:webHidden/>
          </w:rPr>
        </w:r>
        <w:r>
          <w:rPr>
            <w:noProof/>
            <w:webHidden/>
          </w:rPr>
          <w:fldChar w:fldCharType="separate"/>
        </w:r>
        <w:r>
          <w:rPr>
            <w:noProof/>
            <w:webHidden/>
          </w:rPr>
          <w:t>26</w:t>
        </w:r>
        <w:r>
          <w:rPr>
            <w:noProof/>
            <w:webHidden/>
          </w:rPr>
          <w:fldChar w:fldCharType="end"/>
        </w:r>
      </w:hyperlink>
    </w:p>
    <w:p w14:paraId="5956E5E7" w14:textId="476C2A1D" w:rsidR="00CF59A1" w:rsidRDefault="00CF59A1">
      <w:pPr>
        <w:pStyle w:val="TOC1"/>
        <w:tabs>
          <w:tab w:val="right" w:leader="dot" w:pos="9350"/>
        </w:tabs>
        <w:rPr>
          <w:rFonts w:asciiTheme="minorHAnsi" w:eastAsiaTheme="minorEastAsia" w:hAnsiTheme="minorHAnsi"/>
          <w:b w:val="0"/>
          <w:bCs w:val="0"/>
          <w:caps w:val="0"/>
          <w:noProof/>
          <w:color w:val="auto"/>
          <w:szCs w:val="24"/>
        </w:rPr>
      </w:pPr>
      <w:hyperlink w:anchor="_Toc200096965" w:history="1">
        <w:r w:rsidRPr="002F296A">
          <w:rPr>
            <w:rStyle w:val="Hyperlink"/>
            <w:noProof/>
          </w:rPr>
          <w:t>CHAPTER 2</w:t>
        </w:r>
        <w:r>
          <w:rPr>
            <w:noProof/>
            <w:webHidden/>
          </w:rPr>
          <w:tab/>
        </w:r>
        <w:r>
          <w:rPr>
            <w:noProof/>
            <w:webHidden/>
          </w:rPr>
          <w:fldChar w:fldCharType="begin"/>
        </w:r>
        <w:r>
          <w:rPr>
            <w:noProof/>
            <w:webHidden/>
          </w:rPr>
          <w:instrText xml:space="preserve"> PAGEREF _Toc200096965 \h </w:instrText>
        </w:r>
        <w:r>
          <w:rPr>
            <w:noProof/>
            <w:webHidden/>
          </w:rPr>
        </w:r>
        <w:r>
          <w:rPr>
            <w:noProof/>
            <w:webHidden/>
          </w:rPr>
          <w:fldChar w:fldCharType="separate"/>
        </w:r>
        <w:r>
          <w:rPr>
            <w:noProof/>
            <w:webHidden/>
          </w:rPr>
          <w:t>27</w:t>
        </w:r>
        <w:r>
          <w:rPr>
            <w:noProof/>
            <w:webHidden/>
          </w:rPr>
          <w:fldChar w:fldCharType="end"/>
        </w:r>
      </w:hyperlink>
    </w:p>
    <w:p w14:paraId="75BEC587" w14:textId="449842D2" w:rsidR="00CF59A1" w:rsidRDefault="00CF59A1">
      <w:pPr>
        <w:pStyle w:val="TOC2"/>
        <w:rPr>
          <w:rFonts w:asciiTheme="minorHAnsi" w:eastAsiaTheme="minorEastAsia" w:hAnsiTheme="minorHAnsi"/>
          <w:noProof/>
          <w:color w:val="auto"/>
          <w:szCs w:val="24"/>
        </w:rPr>
      </w:pPr>
      <w:hyperlink w:anchor="_Toc200096966" w:history="1">
        <w:r w:rsidRPr="002F296A">
          <w:rPr>
            <w:rStyle w:val="Hyperlink"/>
            <w:noProof/>
          </w:rPr>
          <w:t>Spatial patterns and sociodemographic predictors of chronic obstructive pulmonary disease in Florida</w:t>
        </w:r>
        <w:r>
          <w:rPr>
            <w:noProof/>
            <w:webHidden/>
          </w:rPr>
          <w:tab/>
        </w:r>
        <w:r>
          <w:rPr>
            <w:noProof/>
            <w:webHidden/>
          </w:rPr>
          <w:fldChar w:fldCharType="begin"/>
        </w:r>
        <w:r>
          <w:rPr>
            <w:noProof/>
            <w:webHidden/>
          </w:rPr>
          <w:instrText xml:space="preserve"> PAGEREF _Toc200096966 \h </w:instrText>
        </w:r>
        <w:r>
          <w:rPr>
            <w:noProof/>
            <w:webHidden/>
          </w:rPr>
        </w:r>
        <w:r>
          <w:rPr>
            <w:noProof/>
            <w:webHidden/>
          </w:rPr>
          <w:fldChar w:fldCharType="separate"/>
        </w:r>
        <w:r>
          <w:rPr>
            <w:noProof/>
            <w:webHidden/>
          </w:rPr>
          <w:t>27</w:t>
        </w:r>
        <w:r>
          <w:rPr>
            <w:noProof/>
            <w:webHidden/>
          </w:rPr>
          <w:fldChar w:fldCharType="end"/>
        </w:r>
      </w:hyperlink>
    </w:p>
    <w:p w14:paraId="32ACBA7D" w14:textId="1047238B" w:rsidR="00CF59A1" w:rsidRDefault="00CF59A1">
      <w:pPr>
        <w:pStyle w:val="TOC3"/>
        <w:tabs>
          <w:tab w:val="right" w:leader="dot" w:pos="9350"/>
        </w:tabs>
        <w:rPr>
          <w:rFonts w:asciiTheme="minorHAnsi" w:eastAsiaTheme="minorEastAsia" w:hAnsiTheme="minorHAnsi"/>
          <w:iCs w:val="0"/>
          <w:noProof/>
          <w:color w:val="auto"/>
          <w:szCs w:val="24"/>
        </w:rPr>
      </w:pPr>
      <w:hyperlink w:anchor="_Toc200096967" w:history="1">
        <w:r w:rsidRPr="002F296A">
          <w:rPr>
            <w:rStyle w:val="Hyperlink"/>
            <w:noProof/>
          </w:rPr>
          <w:t>2.1 Abstract</w:t>
        </w:r>
        <w:r>
          <w:rPr>
            <w:noProof/>
            <w:webHidden/>
          </w:rPr>
          <w:tab/>
        </w:r>
        <w:r>
          <w:rPr>
            <w:noProof/>
            <w:webHidden/>
          </w:rPr>
          <w:fldChar w:fldCharType="begin"/>
        </w:r>
        <w:r>
          <w:rPr>
            <w:noProof/>
            <w:webHidden/>
          </w:rPr>
          <w:instrText xml:space="preserve"> PAGEREF _Toc200096967 \h </w:instrText>
        </w:r>
        <w:r>
          <w:rPr>
            <w:noProof/>
            <w:webHidden/>
          </w:rPr>
        </w:r>
        <w:r>
          <w:rPr>
            <w:noProof/>
            <w:webHidden/>
          </w:rPr>
          <w:fldChar w:fldCharType="separate"/>
        </w:r>
        <w:r>
          <w:rPr>
            <w:noProof/>
            <w:webHidden/>
          </w:rPr>
          <w:t>28</w:t>
        </w:r>
        <w:r>
          <w:rPr>
            <w:noProof/>
            <w:webHidden/>
          </w:rPr>
          <w:fldChar w:fldCharType="end"/>
        </w:r>
      </w:hyperlink>
    </w:p>
    <w:p w14:paraId="277B1D5C" w14:textId="5B521A29" w:rsidR="00CF59A1" w:rsidRDefault="00CF59A1">
      <w:pPr>
        <w:pStyle w:val="TOC3"/>
        <w:tabs>
          <w:tab w:val="right" w:leader="dot" w:pos="9350"/>
        </w:tabs>
        <w:rPr>
          <w:rFonts w:asciiTheme="minorHAnsi" w:eastAsiaTheme="minorEastAsia" w:hAnsiTheme="minorHAnsi"/>
          <w:iCs w:val="0"/>
          <w:noProof/>
          <w:color w:val="auto"/>
          <w:szCs w:val="24"/>
        </w:rPr>
      </w:pPr>
      <w:hyperlink w:anchor="_Toc200096968" w:history="1">
        <w:r w:rsidRPr="002F296A">
          <w:rPr>
            <w:rStyle w:val="Hyperlink"/>
            <w:noProof/>
          </w:rPr>
          <w:t>2.2 Background</w:t>
        </w:r>
        <w:r>
          <w:rPr>
            <w:noProof/>
            <w:webHidden/>
          </w:rPr>
          <w:tab/>
        </w:r>
        <w:r>
          <w:rPr>
            <w:noProof/>
            <w:webHidden/>
          </w:rPr>
          <w:fldChar w:fldCharType="begin"/>
        </w:r>
        <w:r>
          <w:rPr>
            <w:noProof/>
            <w:webHidden/>
          </w:rPr>
          <w:instrText xml:space="preserve"> PAGEREF _Toc200096968 \h </w:instrText>
        </w:r>
        <w:r>
          <w:rPr>
            <w:noProof/>
            <w:webHidden/>
          </w:rPr>
        </w:r>
        <w:r>
          <w:rPr>
            <w:noProof/>
            <w:webHidden/>
          </w:rPr>
          <w:fldChar w:fldCharType="separate"/>
        </w:r>
        <w:r>
          <w:rPr>
            <w:noProof/>
            <w:webHidden/>
          </w:rPr>
          <w:t>30</w:t>
        </w:r>
        <w:r>
          <w:rPr>
            <w:noProof/>
            <w:webHidden/>
          </w:rPr>
          <w:fldChar w:fldCharType="end"/>
        </w:r>
      </w:hyperlink>
    </w:p>
    <w:p w14:paraId="392224FE" w14:textId="7BA4D45C" w:rsidR="00CF59A1" w:rsidRDefault="00CF59A1">
      <w:pPr>
        <w:pStyle w:val="TOC3"/>
        <w:tabs>
          <w:tab w:val="right" w:leader="dot" w:pos="9350"/>
        </w:tabs>
        <w:rPr>
          <w:rFonts w:asciiTheme="minorHAnsi" w:eastAsiaTheme="minorEastAsia" w:hAnsiTheme="minorHAnsi"/>
          <w:iCs w:val="0"/>
          <w:noProof/>
          <w:color w:val="auto"/>
          <w:szCs w:val="24"/>
        </w:rPr>
      </w:pPr>
      <w:hyperlink w:anchor="_Toc200096969" w:history="1">
        <w:r w:rsidRPr="002F296A">
          <w:rPr>
            <w:rStyle w:val="Hyperlink"/>
            <w:noProof/>
          </w:rPr>
          <w:t>2.3 Materials &amp; Methods</w:t>
        </w:r>
        <w:r>
          <w:rPr>
            <w:noProof/>
            <w:webHidden/>
          </w:rPr>
          <w:tab/>
        </w:r>
        <w:r>
          <w:rPr>
            <w:noProof/>
            <w:webHidden/>
          </w:rPr>
          <w:fldChar w:fldCharType="begin"/>
        </w:r>
        <w:r>
          <w:rPr>
            <w:noProof/>
            <w:webHidden/>
          </w:rPr>
          <w:instrText xml:space="preserve"> PAGEREF _Toc200096969 \h </w:instrText>
        </w:r>
        <w:r>
          <w:rPr>
            <w:noProof/>
            <w:webHidden/>
          </w:rPr>
        </w:r>
        <w:r>
          <w:rPr>
            <w:noProof/>
            <w:webHidden/>
          </w:rPr>
          <w:fldChar w:fldCharType="separate"/>
        </w:r>
        <w:r>
          <w:rPr>
            <w:noProof/>
            <w:webHidden/>
          </w:rPr>
          <w:t>32</w:t>
        </w:r>
        <w:r>
          <w:rPr>
            <w:noProof/>
            <w:webHidden/>
          </w:rPr>
          <w:fldChar w:fldCharType="end"/>
        </w:r>
      </w:hyperlink>
    </w:p>
    <w:p w14:paraId="6DF2048E" w14:textId="5D06577E" w:rsidR="00CF59A1" w:rsidRDefault="00CF59A1">
      <w:pPr>
        <w:pStyle w:val="TOC4"/>
        <w:tabs>
          <w:tab w:val="right" w:leader="dot" w:pos="9350"/>
        </w:tabs>
        <w:rPr>
          <w:rFonts w:asciiTheme="minorHAnsi" w:eastAsiaTheme="minorEastAsia" w:hAnsiTheme="minorHAnsi"/>
          <w:noProof/>
          <w:color w:val="auto"/>
          <w:szCs w:val="24"/>
        </w:rPr>
      </w:pPr>
      <w:hyperlink w:anchor="_Toc200096970" w:history="1">
        <w:r w:rsidRPr="002F296A">
          <w:rPr>
            <w:rStyle w:val="Hyperlink"/>
            <w:noProof/>
          </w:rPr>
          <w:t>2.3.1 Ethical Statement</w:t>
        </w:r>
        <w:r>
          <w:rPr>
            <w:noProof/>
            <w:webHidden/>
          </w:rPr>
          <w:tab/>
        </w:r>
        <w:r>
          <w:rPr>
            <w:noProof/>
            <w:webHidden/>
          </w:rPr>
          <w:fldChar w:fldCharType="begin"/>
        </w:r>
        <w:r>
          <w:rPr>
            <w:noProof/>
            <w:webHidden/>
          </w:rPr>
          <w:instrText xml:space="preserve"> PAGEREF _Toc200096970 \h </w:instrText>
        </w:r>
        <w:r>
          <w:rPr>
            <w:noProof/>
            <w:webHidden/>
          </w:rPr>
        </w:r>
        <w:r>
          <w:rPr>
            <w:noProof/>
            <w:webHidden/>
          </w:rPr>
          <w:fldChar w:fldCharType="separate"/>
        </w:r>
        <w:r>
          <w:rPr>
            <w:noProof/>
            <w:webHidden/>
          </w:rPr>
          <w:t>32</w:t>
        </w:r>
        <w:r>
          <w:rPr>
            <w:noProof/>
            <w:webHidden/>
          </w:rPr>
          <w:fldChar w:fldCharType="end"/>
        </w:r>
      </w:hyperlink>
    </w:p>
    <w:p w14:paraId="78A5A515" w14:textId="50516C4A" w:rsidR="00CF59A1" w:rsidRDefault="00CF59A1">
      <w:pPr>
        <w:pStyle w:val="TOC4"/>
        <w:tabs>
          <w:tab w:val="right" w:leader="dot" w:pos="9350"/>
        </w:tabs>
        <w:rPr>
          <w:rFonts w:asciiTheme="minorHAnsi" w:eastAsiaTheme="minorEastAsia" w:hAnsiTheme="minorHAnsi"/>
          <w:noProof/>
          <w:color w:val="auto"/>
          <w:szCs w:val="24"/>
        </w:rPr>
      </w:pPr>
      <w:hyperlink w:anchor="_Toc200096971" w:history="1">
        <w:r w:rsidRPr="002F296A">
          <w:rPr>
            <w:rStyle w:val="Hyperlink"/>
            <w:noProof/>
          </w:rPr>
          <w:t>2.3.2 Study Area</w:t>
        </w:r>
        <w:r>
          <w:rPr>
            <w:noProof/>
            <w:webHidden/>
          </w:rPr>
          <w:tab/>
        </w:r>
        <w:r>
          <w:rPr>
            <w:noProof/>
            <w:webHidden/>
          </w:rPr>
          <w:fldChar w:fldCharType="begin"/>
        </w:r>
        <w:r>
          <w:rPr>
            <w:noProof/>
            <w:webHidden/>
          </w:rPr>
          <w:instrText xml:space="preserve"> PAGEREF _Toc200096971 \h </w:instrText>
        </w:r>
        <w:r>
          <w:rPr>
            <w:noProof/>
            <w:webHidden/>
          </w:rPr>
        </w:r>
        <w:r>
          <w:rPr>
            <w:noProof/>
            <w:webHidden/>
          </w:rPr>
          <w:fldChar w:fldCharType="separate"/>
        </w:r>
        <w:r>
          <w:rPr>
            <w:noProof/>
            <w:webHidden/>
          </w:rPr>
          <w:t>32</w:t>
        </w:r>
        <w:r>
          <w:rPr>
            <w:noProof/>
            <w:webHidden/>
          </w:rPr>
          <w:fldChar w:fldCharType="end"/>
        </w:r>
      </w:hyperlink>
    </w:p>
    <w:p w14:paraId="05BB0D3F" w14:textId="3FBA572D" w:rsidR="00CF59A1" w:rsidRDefault="00CF59A1">
      <w:pPr>
        <w:pStyle w:val="TOC4"/>
        <w:tabs>
          <w:tab w:val="right" w:leader="dot" w:pos="9350"/>
        </w:tabs>
        <w:rPr>
          <w:rFonts w:asciiTheme="minorHAnsi" w:eastAsiaTheme="minorEastAsia" w:hAnsiTheme="minorHAnsi"/>
          <w:noProof/>
          <w:color w:val="auto"/>
          <w:szCs w:val="24"/>
        </w:rPr>
      </w:pPr>
      <w:hyperlink w:anchor="_Toc200096972" w:history="1">
        <w:r w:rsidRPr="002F296A">
          <w:rPr>
            <w:rStyle w:val="Hyperlink"/>
            <w:noProof/>
          </w:rPr>
          <w:t>2.3.3 Data Sources</w:t>
        </w:r>
        <w:r>
          <w:rPr>
            <w:noProof/>
            <w:webHidden/>
          </w:rPr>
          <w:tab/>
        </w:r>
        <w:r>
          <w:rPr>
            <w:noProof/>
            <w:webHidden/>
          </w:rPr>
          <w:fldChar w:fldCharType="begin"/>
        </w:r>
        <w:r>
          <w:rPr>
            <w:noProof/>
            <w:webHidden/>
          </w:rPr>
          <w:instrText xml:space="preserve"> PAGEREF _Toc200096972 \h </w:instrText>
        </w:r>
        <w:r>
          <w:rPr>
            <w:noProof/>
            <w:webHidden/>
          </w:rPr>
        </w:r>
        <w:r>
          <w:rPr>
            <w:noProof/>
            <w:webHidden/>
          </w:rPr>
          <w:fldChar w:fldCharType="separate"/>
        </w:r>
        <w:r>
          <w:rPr>
            <w:noProof/>
            <w:webHidden/>
          </w:rPr>
          <w:t>32</w:t>
        </w:r>
        <w:r>
          <w:rPr>
            <w:noProof/>
            <w:webHidden/>
          </w:rPr>
          <w:fldChar w:fldCharType="end"/>
        </w:r>
      </w:hyperlink>
    </w:p>
    <w:p w14:paraId="73F7CBAD" w14:textId="5B8E29AA" w:rsidR="00CF59A1" w:rsidRDefault="00CF59A1">
      <w:pPr>
        <w:pStyle w:val="TOC4"/>
        <w:tabs>
          <w:tab w:val="right" w:leader="dot" w:pos="9350"/>
        </w:tabs>
        <w:rPr>
          <w:rFonts w:asciiTheme="minorHAnsi" w:eastAsiaTheme="minorEastAsia" w:hAnsiTheme="minorHAnsi"/>
          <w:noProof/>
          <w:color w:val="auto"/>
          <w:szCs w:val="24"/>
        </w:rPr>
      </w:pPr>
      <w:hyperlink w:anchor="_Toc200096973" w:history="1">
        <w:r w:rsidRPr="002F296A">
          <w:rPr>
            <w:rStyle w:val="Hyperlink"/>
            <w:noProof/>
          </w:rPr>
          <w:t>2.3.4 Descriptive Analyses and Data Preparation</w:t>
        </w:r>
        <w:r>
          <w:rPr>
            <w:noProof/>
            <w:webHidden/>
          </w:rPr>
          <w:tab/>
        </w:r>
        <w:r>
          <w:rPr>
            <w:noProof/>
            <w:webHidden/>
          </w:rPr>
          <w:fldChar w:fldCharType="begin"/>
        </w:r>
        <w:r>
          <w:rPr>
            <w:noProof/>
            <w:webHidden/>
          </w:rPr>
          <w:instrText xml:space="preserve"> PAGEREF _Toc200096973 \h </w:instrText>
        </w:r>
        <w:r>
          <w:rPr>
            <w:noProof/>
            <w:webHidden/>
          </w:rPr>
        </w:r>
        <w:r>
          <w:rPr>
            <w:noProof/>
            <w:webHidden/>
          </w:rPr>
          <w:fldChar w:fldCharType="separate"/>
        </w:r>
        <w:r>
          <w:rPr>
            <w:noProof/>
            <w:webHidden/>
          </w:rPr>
          <w:t>35</w:t>
        </w:r>
        <w:r>
          <w:rPr>
            <w:noProof/>
            <w:webHidden/>
          </w:rPr>
          <w:fldChar w:fldCharType="end"/>
        </w:r>
      </w:hyperlink>
    </w:p>
    <w:p w14:paraId="044DA8FB" w14:textId="176A4A11" w:rsidR="00CF59A1" w:rsidRDefault="00CF59A1">
      <w:pPr>
        <w:pStyle w:val="TOC4"/>
        <w:tabs>
          <w:tab w:val="right" w:leader="dot" w:pos="9350"/>
        </w:tabs>
        <w:rPr>
          <w:rFonts w:asciiTheme="minorHAnsi" w:eastAsiaTheme="minorEastAsia" w:hAnsiTheme="minorHAnsi"/>
          <w:noProof/>
          <w:color w:val="auto"/>
          <w:szCs w:val="24"/>
        </w:rPr>
      </w:pPr>
      <w:hyperlink w:anchor="_Toc200096974" w:history="1">
        <w:r w:rsidRPr="002F296A">
          <w:rPr>
            <w:rStyle w:val="Hyperlink"/>
            <w:noProof/>
          </w:rPr>
          <w:t>2.3.5 Cluster Identification and Investigation</w:t>
        </w:r>
        <w:r>
          <w:rPr>
            <w:noProof/>
            <w:webHidden/>
          </w:rPr>
          <w:tab/>
        </w:r>
        <w:r>
          <w:rPr>
            <w:noProof/>
            <w:webHidden/>
          </w:rPr>
          <w:fldChar w:fldCharType="begin"/>
        </w:r>
        <w:r>
          <w:rPr>
            <w:noProof/>
            <w:webHidden/>
          </w:rPr>
          <w:instrText xml:space="preserve"> PAGEREF _Toc200096974 \h </w:instrText>
        </w:r>
        <w:r>
          <w:rPr>
            <w:noProof/>
            <w:webHidden/>
          </w:rPr>
        </w:r>
        <w:r>
          <w:rPr>
            <w:noProof/>
            <w:webHidden/>
          </w:rPr>
          <w:fldChar w:fldCharType="separate"/>
        </w:r>
        <w:r>
          <w:rPr>
            <w:noProof/>
            <w:webHidden/>
          </w:rPr>
          <w:t>35</w:t>
        </w:r>
        <w:r>
          <w:rPr>
            <w:noProof/>
            <w:webHidden/>
          </w:rPr>
          <w:fldChar w:fldCharType="end"/>
        </w:r>
      </w:hyperlink>
    </w:p>
    <w:p w14:paraId="325865D9" w14:textId="444DD345" w:rsidR="00CF59A1" w:rsidRDefault="00CF59A1">
      <w:pPr>
        <w:pStyle w:val="TOC4"/>
        <w:tabs>
          <w:tab w:val="right" w:leader="dot" w:pos="9350"/>
        </w:tabs>
        <w:rPr>
          <w:rFonts w:asciiTheme="minorHAnsi" w:eastAsiaTheme="minorEastAsia" w:hAnsiTheme="minorHAnsi"/>
          <w:noProof/>
          <w:color w:val="auto"/>
          <w:szCs w:val="24"/>
        </w:rPr>
      </w:pPr>
      <w:hyperlink w:anchor="_Toc200096975" w:history="1">
        <w:r w:rsidRPr="002F296A">
          <w:rPr>
            <w:rStyle w:val="Hyperlink"/>
            <w:noProof/>
          </w:rPr>
          <w:t>2.3.6 Assessment of Correlations among Potential Predictors</w:t>
        </w:r>
        <w:r>
          <w:rPr>
            <w:noProof/>
            <w:webHidden/>
          </w:rPr>
          <w:tab/>
        </w:r>
        <w:r>
          <w:rPr>
            <w:noProof/>
            <w:webHidden/>
          </w:rPr>
          <w:fldChar w:fldCharType="begin"/>
        </w:r>
        <w:r>
          <w:rPr>
            <w:noProof/>
            <w:webHidden/>
          </w:rPr>
          <w:instrText xml:space="preserve"> PAGEREF _Toc200096975 \h </w:instrText>
        </w:r>
        <w:r>
          <w:rPr>
            <w:noProof/>
            <w:webHidden/>
          </w:rPr>
        </w:r>
        <w:r>
          <w:rPr>
            <w:noProof/>
            <w:webHidden/>
          </w:rPr>
          <w:fldChar w:fldCharType="separate"/>
        </w:r>
        <w:r>
          <w:rPr>
            <w:noProof/>
            <w:webHidden/>
          </w:rPr>
          <w:t>35</w:t>
        </w:r>
        <w:r>
          <w:rPr>
            <w:noProof/>
            <w:webHidden/>
          </w:rPr>
          <w:fldChar w:fldCharType="end"/>
        </w:r>
      </w:hyperlink>
    </w:p>
    <w:p w14:paraId="0448064F" w14:textId="682A5F1B" w:rsidR="00CF59A1" w:rsidRDefault="00CF59A1">
      <w:pPr>
        <w:pStyle w:val="TOC4"/>
        <w:tabs>
          <w:tab w:val="right" w:leader="dot" w:pos="9350"/>
        </w:tabs>
        <w:rPr>
          <w:rFonts w:asciiTheme="minorHAnsi" w:eastAsiaTheme="minorEastAsia" w:hAnsiTheme="minorHAnsi"/>
          <w:noProof/>
          <w:color w:val="auto"/>
          <w:szCs w:val="24"/>
        </w:rPr>
      </w:pPr>
      <w:hyperlink w:anchor="_Toc200096976" w:history="1">
        <w:r w:rsidRPr="002F296A">
          <w:rPr>
            <w:rStyle w:val="Hyperlink"/>
            <w:noProof/>
          </w:rPr>
          <w:t>2.3.7 Predictors Investigation of Geographic Distribution of COPD Prevalence</w:t>
        </w:r>
        <w:r>
          <w:rPr>
            <w:noProof/>
            <w:webHidden/>
          </w:rPr>
          <w:tab/>
        </w:r>
        <w:r>
          <w:rPr>
            <w:noProof/>
            <w:webHidden/>
          </w:rPr>
          <w:fldChar w:fldCharType="begin"/>
        </w:r>
        <w:r>
          <w:rPr>
            <w:noProof/>
            <w:webHidden/>
          </w:rPr>
          <w:instrText xml:space="preserve"> PAGEREF _Toc200096976 \h </w:instrText>
        </w:r>
        <w:r>
          <w:rPr>
            <w:noProof/>
            <w:webHidden/>
          </w:rPr>
        </w:r>
        <w:r>
          <w:rPr>
            <w:noProof/>
            <w:webHidden/>
          </w:rPr>
          <w:fldChar w:fldCharType="separate"/>
        </w:r>
        <w:r>
          <w:rPr>
            <w:noProof/>
            <w:webHidden/>
          </w:rPr>
          <w:t>36</w:t>
        </w:r>
        <w:r>
          <w:rPr>
            <w:noProof/>
            <w:webHidden/>
          </w:rPr>
          <w:fldChar w:fldCharType="end"/>
        </w:r>
      </w:hyperlink>
    </w:p>
    <w:p w14:paraId="5A26BB52" w14:textId="659FEF1C" w:rsidR="00CF59A1" w:rsidRDefault="00CF59A1">
      <w:pPr>
        <w:pStyle w:val="TOC4"/>
        <w:tabs>
          <w:tab w:val="right" w:leader="dot" w:pos="9350"/>
        </w:tabs>
        <w:rPr>
          <w:rFonts w:asciiTheme="minorHAnsi" w:eastAsiaTheme="minorEastAsia" w:hAnsiTheme="minorHAnsi"/>
          <w:noProof/>
          <w:color w:val="auto"/>
          <w:szCs w:val="24"/>
        </w:rPr>
      </w:pPr>
      <w:hyperlink w:anchor="_Toc200096977" w:history="1">
        <w:r w:rsidRPr="002F296A">
          <w:rPr>
            <w:rStyle w:val="Hyperlink"/>
            <w:noProof/>
          </w:rPr>
          <w:t>2.3.8 Cartographic displays</w:t>
        </w:r>
        <w:r>
          <w:rPr>
            <w:noProof/>
            <w:webHidden/>
          </w:rPr>
          <w:tab/>
        </w:r>
        <w:r>
          <w:rPr>
            <w:noProof/>
            <w:webHidden/>
          </w:rPr>
          <w:fldChar w:fldCharType="begin"/>
        </w:r>
        <w:r>
          <w:rPr>
            <w:noProof/>
            <w:webHidden/>
          </w:rPr>
          <w:instrText xml:space="preserve"> PAGEREF _Toc200096977 \h </w:instrText>
        </w:r>
        <w:r>
          <w:rPr>
            <w:noProof/>
            <w:webHidden/>
          </w:rPr>
        </w:r>
        <w:r>
          <w:rPr>
            <w:noProof/>
            <w:webHidden/>
          </w:rPr>
          <w:fldChar w:fldCharType="separate"/>
        </w:r>
        <w:r>
          <w:rPr>
            <w:noProof/>
            <w:webHidden/>
          </w:rPr>
          <w:t>37</w:t>
        </w:r>
        <w:r>
          <w:rPr>
            <w:noProof/>
            <w:webHidden/>
          </w:rPr>
          <w:fldChar w:fldCharType="end"/>
        </w:r>
      </w:hyperlink>
    </w:p>
    <w:p w14:paraId="1AED2297" w14:textId="2C9847E0" w:rsidR="00CF59A1" w:rsidRDefault="00CF59A1">
      <w:pPr>
        <w:pStyle w:val="TOC3"/>
        <w:tabs>
          <w:tab w:val="right" w:leader="dot" w:pos="9350"/>
        </w:tabs>
        <w:rPr>
          <w:rFonts w:asciiTheme="minorHAnsi" w:eastAsiaTheme="minorEastAsia" w:hAnsiTheme="minorHAnsi"/>
          <w:iCs w:val="0"/>
          <w:noProof/>
          <w:color w:val="auto"/>
          <w:szCs w:val="24"/>
        </w:rPr>
      </w:pPr>
      <w:hyperlink w:anchor="_Toc200096978" w:history="1">
        <w:r w:rsidRPr="002F296A">
          <w:rPr>
            <w:rStyle w:val="Hyperlink"/>
            <w:noProof/>
          </w:rPr>
          <w:t>2.4 Results</w:t>
        </w:r>
        <w:r>
          <w:rPr>
            <w:noProof/>
            <w:webHidden/>
          </w:rPr>
          <w:tab/>
        </w:r>
        <w:r>
          <w:rPr>
            <w:noProof/>
            <w:webHidden/>
          </w:rPr>
          <w:fldChar w:fldCharType="begin"/>
        </w:r>
        <w:r>
          <w:rPr>
            <w:noProof/>
            <w:webHidden/>
          </w:rPr>
          <w:instrText xml:space="preserve"> PAGEREF _Toc200096978 \h </w:instrText>
        </w:r>
        <w:r>
          <w:rPr>
            <w:noProof/>
            <w:webHidden/>
          </w:rPr>
        </w:r>
        <w:r>
          <w:rPr>
            <w:noProof/>
            <w:webHidden/>
          </w:rPr>
          <w:fldChar w:fldCharType="separate"/>
        </w:r>
        <w:r>
          <w:rPr>
            <w:noProof/>
            <w:webHidden/>
          </w:rPr>
          <w:t>39</w:t>
        </w:r>
        <w:r>
          <w:rPr>
            <w:noProof/>
            <w:webHidden/>
          </w:rPr>
          <w:fldChar w:fldCharType="end"/>
        </w:r>
      </w:hyperlink>
    </w:p>
    <w:p w14:paraId="1654C09E" w14:textId="475BB2D3" w:rsidR="00CF59A1" w:rsidRDefault="00CF59A1">
      <w:pPr>
        <w:pStyle w:val="TOC4"/>
        <w:tabs>
          <w:tab w:val="right" w:leader="dot" w:pos="9350"/>
        </w:tabs>
        <w:rPr>
          <w:rFonts w:asciiTheme="minorHAnsi" w:eastAsiaTheme="minorEastAsia" w:hAnsiTheme="minorHAnsi"/>
          <w:noProof/>
          <w:color w:val="auto"/>
          <w:szCs w:val="24"/>
        </w:rPr>
      </w:pPr>
      <w:hyperlink w:anchor="_Toc200096979" w:history="1">
        <w:r w:rsidRPr="002F296A">
          <w:rPr>
            <w:rStyle w:val="Hyperlink"/>
            <w:noProof/>
          </w:rPr>
          <w:t>2.4.1 Geographic Distribution of COPD Prevalence</w:t>
        </w:r>
        <w:r>
          <w:rPr>
            <w:noProof/>
            <w:webHidden/>
          </w:rPr>
          <w:tab/>
        </w:r>
        <w:r>
          <w:rPr>
            <w:noProof/>
            <w:webHidden/>
          </w:rPr>
          <w:fldChar w:fldCharType="begin"/>
        </w:r>
        <w:r>
          <w:rPr>
            <w:noProof/>
            <w:webHidden/>
          </w:rPr>
          <w:instrText xml:space="preserve"> PAGEREF _Toc200096979 \h </w:instrText>
        </w:r>
        <w:r>
          <w:rPr>
            <w:noProof/>
            <w:webHidden/>
          </w:rPr>
        </w:r>
        <w:r>
          <w:rPr>
            <w:noProof/>
            <w:webHidden/>
          </w:rPr>
          <w:fldChar w:fldCharType="separate"/>
        </w:r>
        <w:r>
          <w:rPr>
            <w:noProof/>
            <w:webHidden/>
          </w:rPr>
          <w:t>39</w:t>
        </w:r>
        <w:r>
          <w:rPr>
            <w:noProof/>
            <w:webHidden/>
          </w:rPr>
          <w:fldChar w:fldCharType="end"/>
        </w:r>
      </w:hyperlink>
    </w:p>
    <w:p w14:paraId="4C6E24FF" w14:textId="1D23BA91" w:rsidR="00CF59A1" w:rsidRDefault="00CF59A1">
      <w:pPr>
        <w:pStyle w:val="TOC4"/>
        <w:tabs>
          <w:tab w:val="right" w:leader="dot" w:pos="9350"/>
        </w:tabs>
        <w:rPr>
          <w:rFonts w:asciiTheme="minorHAnsi" w:eastAsiaTheme="minorEastAsia" w:hAnsiTheme="minorHAnsi"/>
          <w:noProof/>
          <w:color w:val="auto"/>
          <w:szCs w:val="24"/>
        </w:rPr>
      </w:pPr>
      <w:hyperlink w:anchor="_Toc200096980" w:history="1">
        <w:r w:rsidRPr="002F296A">
          <w:rPr>
            <w:rStyle w:val="Hyperlink"/>
            <w:noProof/>
          </w:rPr>
          <w:t>2.4.2 High-prevalence Clusters of COPD</w:t>
        </w:r>
        <w:r>
          <w:rPr>
            <w:noProof/>
            <w:webHidden/>
          </w:rPr>
          <w:tab/>
        </w:r>
        <w:r>
          <w:rPr>
            <w:noProof/>
            <w:webHidden/>
          </w:rPr>
          <w:fldChar w:fldCharType="begin"/>
        </w:r>
        <w:r>
          <w:rPr>
            <w:noProof/>
            <w:webHidden/>
          </w:rPr>
          <w:instrText xml:space="preserve"> PAGEREF _Toc200096980 \h </w:instrText>
        </w:r>
        <w:r>
          <w:rPr>
            <w:noProof/>
            <w:webHidden/>
          </w:rPr>
        </w:r>
        <w:r>
          <w:rPr>
            <w:noProof/>
            <w:webHidden/>
          </w:rPr>
          <w:fldChar w:fldCharType="separate"/>
        </w:r>
        <w:r>
          <w:rPr>
            <w:noProof/>
            <w:webHidden/>
          </w:rPr>
          <w:t>39</w:t>
        </w:r>
        <w:r>
          <w:rPr>
            <w:noProof/>
            <w:webHidden/>
          </w:rPr>
          <w:fldChar w:fldCharType="end"/>
        </w:r>
      </w:hyperlink>
    </w:p>
    <w:p w14:paraId="388E1BEF" w14:textId="1C0815AB" w:rsidR="00CF59A1" w:rsidRDefault="00CF59A1">
      <w:pPr>
        <w:pStyle w:val="TOC4"/>
        <w:tabs>
          <w:tab w:val="right" w:leader="dot" w:pos="9350"/>
        </w:tabs>
        <w:rPr>
          <w:rFonts w:asciiTheme="minorHAnsi" w:eastAsiaTheme="minorEastAsia" w:hAnsiTheme="minorHAnsi"/>
          <w:noProof/>
          <w:color w:val="auto"/>
          <w:szCs w:val="24"/>
        </w:rPr>
      </w:pPr>
      <w:hyperlink w:anchor="_Toc200096981" w:history="1">
        <w:r w:rsidRPr="002F296A">
          <w:rPr>
            <w:rStyle w:val="Hyperlink"/>
            <w:noProof/>
          </w:rPr>
          <w:t>2.4.3 Predictors of COPD Prevalence</w:t>
        </w:r>
        <w:r>
          <w:rPr>
            <w:noProof/>
            <w:webHidden/>
          </w:rPr>
          <w:tab/>
        </w:r>
        <w:r>
          <w:rPr>
            <w:noProof/>
            <w:webHidden/>
          </w:rPr>
          <w:fldChar w:fldCharType="begin"/>
        </w:r>
        <w:r>
          <w:rPr>
            <w:noProof/>
            <w:webHidden/>
          </w:rPr>
          <w:instrText xml:space="preserve"> PAGEREF _Toc200096981 \h </w:instrText>
        </w:r>
        <w:r>
          <w:rPr>
            <w:noProof/>
            <w:webHidden/>
          </w:rPr>
        </w:r>
        <w:r>
          <w:rPr>
            <w:noProof/>
            <w:webHidden/>
          </w:rPr>
          <w:fldChar w:fldCharType="separate"/>
        </w:r>
        <w:r>
          <w:rPr>
            <w:noProof/>
            <w:webHidden/>
          </w:rPr>
          <w:t>44</w:t>
        </w:r>
        <w:r>
          <w:rPr>
            <w:noProof/>
            <w:webHidden/>
          </w:rPr>
          <w:fldChar w:fldCharType="end"/>
        </w:r>
      </w:hyperlink>
    </w:p>
    <w:p w14:paraId="3ED27CBC" w14:textId="4E9453BC" w:rsidR="00CF59A1" w:rsidRDefault="00CF59A1">
      <w:pPr>
        <w:pStyle w:val="TOC4"/>
        <w:tabs>
          <w:tab w:val="right" w:leader="dot" w:pos="9350"/>
        </w:tabs>
        <w:rPr>
          <w:rFonts w:asciiTheme="minorHAnsi" w:eastAsiaTheme="minorEastAsia" w:hAnsiTheme="minorHAnsi"/>
          <w:noProof/>
          <w:color w:val="auto"/>
          <w:szCs w:val="24"/>
        </w:rPr>
      </w:pPr>
      <w:hyperlink w:anchor="_Toc200096982" w:history="1">
        <w:r w:rsidRPr="002F296A">
          <w:rPr>
            <w:rStyle w:val="Hyperlink"/>
            <w:noProof/>
          </w:rPr>
          <w:t>2.4.4 Geographic Distribution of Significant Predictors</w:t>
        </w:r>
        <w:r>
          <w:rPr>
            <w:noProof/>
            <w:webHidden/>
          </w:rPr>
          <w:tab/>
        </w:r>
        <w:r>
          <w:rPr>
            <w:noProof/>
            <w:webHidden/>
          </w:rPr>
          <w:fldChar w:fldCharType="begin"/>
        </w:r>
        <w:r>
          <w:rPr>
            <w:noProof/>
            <w:webHidden/>
          </w:rPr>
          <w:instrText xml:space="preserve"> PAGEREF _Toc200096982 \h </w:instrText>
        </w:r>
        <w:r>
          <w:rPr>
            <w:noProof/>
            <w:webHidden/>
          </w:rPr>
        </w:r>
        <w:r>
          <w:rPr>
            <w:noProof/>
            <w:webHidden/>
          </w:rPr>
          <w:fldChar w:fldCharType="separate"/>
        </w:r>
        <w:r>
          <w:rPr>
            <w:noProof/>
            <w:webHidden/>
          </w:rPr>
          <w:t>47</w:t>
        </w:r>
        <w:r>
          <w:rPr>
            <w:noProof/>
            <w:webHidden/>
          </w:rPr>
          <w:fldChar w:fldCharType="end"/>
        </w:r>
      </w:hyperlink>
    </w:p>
    <w:p w14:paraId="2C081B21" w14:textId="312EE2AA" w:rsidR="00CF59A1" w:rsidRDefault="00CF59A1">
      <w:pPr>
        <w:pStyle w:val="TOC3"/>
        <w:tabs>
          <w:tab w:val="right" w:leader="dot" w:pos="9350"/>
        </w:tabs>
        <w:rPr>
          <w:rFonts w:asciiTheme="minorHAnsi" w:eastAsiaTheme="minorEastAsia" w:hAnsiTheme="minorHAnsi"/>
          <w:iCs w:val="0"/>
          <w:noProof/>
          <w:color w:val="auto"/>
          <w:szCs w:val="24"/>
        </w:rPr>
      </w:pPr>
      <w:hyperlink w:anchor="_Toc200096983" w:history="1">
        <w:r w:rsidRPr="002F296A">
          <w:rPr>
            <w:rStyle w:val="Hyperlink"/>
            <w:noProof/>
          </w:rPr>
          <w:t>2.5 Discussion</w:t>
        </w:r>
        <w:r>
          <w:rPr>
            <w:noProof/>
            <w:webHidden/>
          </w:rPr>
          <w:tab/>
        </w:r>
        <w:r>
          <w:rPr>
            <w:noProof/>
            <w:webHidden/>
          </w:rPr>
          <w:fldChar w:fldCharType="begin"/>
        </w:r>
        <w:r>
          <w:rPr>
            <w:noProof/>
            <w:webHidden/>
          </w:rPr>
          <w:instrText xml:space="preserve"> PAGEREF _Toc200096983 \h </w:instrText>
        </w:r>
        <w:r>
          <w:rPr>
            <w:noProof/>
            <w:webHidden/>
          </w:rPr>
        </w:r>
        <w:r>
          <w:rPr>
            <w:noProof/>
            <w:webHidden/>
          </w:rPr>
          <w:fldChar w:fldCharType="separate"/>
        </w:r>
        <w:r>
          <w:rPr>
            <w:noProof/>
            <w:webHidden/>
          </w:rPr>
          <w:t>49</w:t>
        </w:r>
        <w:r>
          <w:rPr>
            <w:noProof/>
            <w:webHidden/>
          </w:rPr>
          <w:fldChar w:fldCharType="end"/>
        </w:r>
      </w:hyperlink>
    </w:p>
    <w:p w14:paraId="4E058ADE" w14:textId="7D9BBFD3" w:rsidR="00CF59A1" w:rsidRDefault="00CF59A1">
      <w:pPr>
        <w:pStyle w:val="TOC4"/>
        <w:tabs>
          <w:tab w:val="right" w:leader="dot" w:pos="9350"/>
        </w:tabs>
        <w:rPr>
          <w:rFonts w:asciiTheme="minorHAnsi" w:eastAsiaTheme="minorEastAsia" w:hAnsiTheme="minorHAnsi"/>
          <w:noProof/>
          <w:color w:val="auto"/>
          <w:szCs w:val="24"/>
        </w:rPr>
      </w:pPr>
      <w:hyperlink w:anchor="_Toc200096984" w:history="1">
        <w:r w:rsidRPr="002F296A">
          <w:rPr>
            <w:rStyle w:val="Hyperlink"/>
            <w:noProof/>
          </w:rPr>
          <w:t>2.5.1 Strengths and Limitations</w:t>
        </w:r>
        <w:r>
          <w:rPr>
            <w:noProof/>
            <w:webHidden/>
          </w:rPr>
          <w:tab/>
        </w:r>
        <w:r>
          <w:rPr>
            <w:noProof/>
            <w:webHidden/>
          </w:rPr>
          <w:fldChar w:fldCharType="begin"/>
        </w:r>
        <w:r>
          <w:rPr>
            <w:noProof/>
            <w:webHidden/>
          </w:rPr>
          <w:instrText xml:space="preserve"> PAGEREF _Toc200096984 \h </w:instrText>
        </w:r>
        <w:r>
          <w:rPr>
            <w:noProof/>
            <w:webHidden/>
          </w:rPr>
        </w:r>
        <w:r>
          <w:rPr>
            <w:noProof/>
            <w:webHidden/>
          </w:rPr>
          <w:fldChar w:fldCharType="separate"/>
        </w:r>
        <w:r>
          <w:rPr>
            <w:noProof/>
            <w:webHidden/>
          </w:rPr>
          <w:t>52</w:t>
        </w:r>
        <w:r>
          <w:rPr>
            <w:noProof/>
            <w:webHidden/>
          </w:rPr>
          <w:fldChar w:fldCharType="end"/>
        </w:r>
      </w:hyperlink>
    </w:p>
    <w:p w14:paraId="45AD443C" w14:textId="3554099E" w:rsidR="00CF59A1" w:rsidRDefault="00CF59A1">
      <w:pPr>
        <w:pStyle w:val="TOC3"/>
        <w:tabs>
          <w:tab w:val="right" w:leader="dot" w:pos="9350"/>
        </w:tabs>
        <w:rPr>
          <w:rFonts w:asciiTheme="minorHAnsi" w:eastAsiaTheme="minorEastAsia" w:hAnsiTheme="minorHAnsi"/>
          <w:iCs w:val="0"/>
          <w:noProof/>
          <w:color w:val="auto"/>
          <w:szCs w:val="24"/>
        </w:rPr>
      </w:pPr>
      <w:hyperlink w:anchor="_Toc200096985" w:history="1">
        <w:r w:rsidRPr="002F296A">
          <w:rPr>
            <w:rStyle w:val="Hyperlink"/>
            <w:noProof/>
          </w:rPr>
          <w:t>2.6 Conclusion</w:t>
        </w:r>
        <w:r>
          <w:rPr>
            <w:noProof/>
            <w:webHidden/>
          </w:rPr>
          <w:tab/>
        </w:r>
        <w:r>
          <w:rPr>
            <w:noProof/>
            <w:webHidden/>
          </w:rPr>
          <w:fldChar w:fldCharType="begin"/>
        </w:r>
        <w:r>
          <w:rPr>
            <w:noProof/>
            <w:webHidden/>
          </w:rPr>
          <w:instrText xml:space="preserve"> PAGEREF _Toc200096985 \h </w:instrText>
        </w:r>
        <w:r>
          <w:rPr>
            <w:noProof/>
            <w:webHidden/>
          </w:rPr>
        </w:r>
        <w:r>
          <w:rPr>
            <w:noProof/>
            <w:webHidden/>
          </w:rPr>
          <w:fldChar w:fldCharType="separate"/>
        </w:r>
        <w:r>
          <w:rPr>
            <w:noProof/>
            <w:webHidden/>
          </w:rPr>
          <w:t>53</w:t>
        </w:r>
        <w:r>
          <w:rPr>
            <w:noProof/>
            <w:webHidden/>
          </w:rPr>
          <w:fldChar w:fldCharType="end"/>
        </w:r>
      </w:hyperlink>
    </w:p>
    <w:p w14:paraId="231F869E" w14:textId="0378382C" w:rsidR="00CF59A1" w:rsidRDefault="00CF59A1">
      <w:pPr>
        <w:pStyle w:val="TOC1"/>
        <w:tabs>
          <w:tab w:val="right" w:leader="dot" w:pos="9350"/>
        </w:tabs>
        <w:rPr>
          <w:rFonts w:asciiTheme="minorHAnsi" w:eastAsiaTheme="minorEastAsia" w:hAnsiTheme="minorHAnsi"/>
          <w:b w:val="0"/>
          <w:bCs w:val="0"/>
          <w:caps w:val="0"/>
          <w:noProof/>
          <w:color w:val="auto"/>
          <w:szCs w:val="24"/>
        </w:rPr>
      </w:pPr>
      <w:hyperlink w:anchor="_Toc200096986" w:history="1">
        <w:r w:rsidRPr="002F296A">
          <w:rPr>
            <w:rStyle w:val="Hyperlink"/>
            <w:noProof/>
          </w:rPr>
          <w:t>CHAPTER 3</w:t>
        </w:r>
        <w:r>
          <w:rPr>
            <w:noProof/>
            <w:webHidden/>
          </w:rPr>
          <w:tab/>
        </w:r>
        <w:r>
          <w:rPr>
            <w:noProof/>
            <w:webHidden/>
          </w:rPr>
          <w:fldChar w:fldCharType="begin"/>
        </w:r>
        <w:r>
          <w:rPr>
            <w:noProof/>
            <w:webHidden/>
          </w:rPr>
          <w:instrText xml:space="preserve"> PAGEREF _Toc200096986 \h </w:instrText>
        </w:r>
        <w:r>
          <w:rPr>
            <w:noProof/>
            <w:webHidden/>
          </w:rPr>
        </w:r>
        <w:r>
          <w:rPr>
            <w:noProof/>
            <w:webHidden/>
          </w:rPr>
          <w:fldChar w:fldCharType="separate"/>
        </w:r>
        <w:r>
          <w:rPr>
            <w:noProof/>
            <w:webHidden/>
          </w:rPr>
          <w:t>54</w:t>
        </w:r>
        <w:r>
          <w:rPr>
            <w:noProof/>
            <w:webHidden/>
          </w:rPr>
          <w:fldChar w:fldCharType="end"/>
        </w:r>
      </w:hyperlink>
    </w:p>
    <w:p w14:paraId="0B7C268E" w14:textId="127466BB" w:rsidR="00CF59A1" w:rsidRDefault="00CF59A1">
      <w:pPr>
        <w:pStyle w:val="TOC2"/>
        <w:rPr>
          <w:rFonts w:asciiTheme="minorHAnsi" w:eastAsiaTheme="minorEastAsia" w:hAnsiTheme="minorHAnsi"/>
          <w:noProof/>
          <w:color w:val="auto"/>
          <w:szCs w:val="24"/>
        </w:rPr>
      </w:pPr>
      <w:hyperlink w:anchor="_Toc200096987" w:history="1">
        <w:r w:rsidRPr="002F296A">
          <w:rPr>
            <w:rStyle w:val="Hyperlink"/>
            <w:noProof/>
          </w:rPr>
          <w:t>Burden and predictors of chronic obstructive pulmonary disease occurrence and severity among an occupational cohort of United States Department of Energy former workers</w:t>
        </w:r>
        <w:r>
          <w:rPr>
            <w:noProof/>
            <w:webHidden/>
          </w:rPr>
          <w:tab/>
        </w:r>
        <w:r>
          <w:rPr>
            <w:noProof/>
            <w:webHidden/>
          </w:rPr>
          <w:fldChar w:fldCharType="begin"/>
        </w:r>
        <w:r>
          <w:rPr>
            <w:noProof/>
            <w:webHidden/>
          </w:rPr>
          <w:instrText xml:space="preserve"> PAGEREF _Toc200096987 \h </w:instrText>
        </w:r>
        <w:r>
          <w:rPr>
            <w:noProof/>
            <w:webHidden/>
          </w:rPr>
        </w:r>
        <w:r>
          <w:rPr>
            <w:noProof/>
            <w:webHidden/>
          </w:rPr>
          <w:fldChar w:fldCharType="separate"/>
        </w:r>
        <w:r>
          <w:rPr>
            <w:noProof/>
            <w:webHidden/>
          </w:rPr>
          <w:t>54</w:t>
        </w:r>
        <w:r>
          <w:rPr>
            <w:noProof/>
            <w:webHidden/>
          </w:rPr>
          <w:fldChar w:fldCharType="end"/>
        </w:r>
      </w:hyperlink>
    </w:p>
    <w:p w14:paraId="34DFD02E" w14:textId="0B325745" w:rsidR="00CF59A1" w:rsidRDefault="00CF59A1">
      <w:pPr>
        <w:pStyle w:val="TOC3"/>
        <w:tabs>
          <w:tab w:val="right" w:leader="dot" w:pos="9350"/>
        </w:tabs>
        <w:rPr>
          <w:rFonts w:asciiTheme="minorHAnsi" w:eastAsiaTheme="minorEastAsia" w:hAnsiTheme="minorHAnsi"/>
          <w:iCs w:val="0"/>
          <w:noProof/>
          <w:color w:val="auto"/>
          <w:szCs w:val="24"/>
        </w:rPr>
      </w:pPr>
      <w:hyperlink w:anchor="_Toc200096988" w:history="1">
        <w:r w:rsidRPr="002F296A">
          <w:rPr>
            <w:rStyle w:val="Hyperlink"/>
            <w:noProof/>
          </w:rPr>
          <w:t>3.1 Abstract</w:t>
        </w:r>
        <w:r>
          <w:rPr>
            <w:noProof/>
            <w:webHidden/>
          </w:rPr>
          <w:tab/>
        </w:r>
        <w:r>
          <w:rPr>
            <w:noProof/>
            <w:webHidden/>
          </w:rPr>
          <w:fldChar w:fldCharType="begin"/>
        </w:r>
        <w:r>
          <w:rPr>
            <w:noProof/>
            <w:webHidden/>
          </w:rPr>
          <w:instrText xml:space="preserve"> PAGEREF _Toc200096988 \h </w:instrText>
        </w:r>
        <w:r>
          <w:rPr>
            <w:noProof/>
            <w:webHidden/>
          </w:rPr>
        </w:r>
        <w:r>
          <w:rPr>
            <w:noProof/>
            <w:webHidden/>
          </w:rPr>
          <w:fldChar w:fldCharType="separate"/>
        </w:r>
        <w:r>
          <w:rPr>
            <w:noProof/>
            <w:webHidden/>
          </w:rPr>
          <w:t>55</w:t>
        </w:r>
        <w:r>
          <w:rPr>
            <w:noProof/>
            <w:webHidden/>
          </w:rPr>
          <w:fldChar w:fldCharType="end"/>
        </w:r>
      </w:hyperlink>
    </w:p>
    <w:p w14:paraId="09425034" w14:textId="3A02EB16" w:rsidR="00CF59A1" w:rsidRDefault="00CF59A1">
      <w:pPr>
        <w:pStyle w:val="TOC3"/>
        <w:tabs>
          <w:tab w:val="right" w:leader="dot" w:pos="9350"/>
        </w:tabs>
        <w:rPr>
          <w:rFonts w:asciiTheme="minorHAnsi" w:eastAsiaTheme="minorEastAsia" w:hAnsiTheme="minorHAnsi"/>
          <w:iCs w:val="0"/>
          <w:noProof/>
          <w:color w:val="auto"/>
          <w:szCs w:val="24"/>
        </w:rPr>
      </w:pPr>
      <w:hyperlink w:anchor="_Toc200096989" w:history="1">
        <w:r w:rsidRPr="002F296A">
          <w:rPr>
            <w:rStyle w:val="Hyperlink"/>
            <w:noProof/>
          </w:rPr>
          <w:t>3.2 Background</w:t>
        </w:r>
        <w:r>
          <w:rPr>
            <w:noProof/>
            <w:webHidden/>
          </w:rPr>
          <w:tab/>
        </w:r>
        <w:r>
          <w:rPr>
            <w:noProof/>
            <w:webHidden/>
          </w:rPr>
          <w:fldChar w:fldCharType="begin"/>
        </w:r>
        <w:r>
          <w:rPr>
            <w:noProof/>
            <w:webHidden/>
          </w:rPr>
          <w:instrText xml:space="preserve"> PAGEREF _Toc200096989 \h </w:instrText>
        </w:r>
        <w:r>
          <w:rPr>
            <w:noProof/>
            <w:webHidden/>
          </w:rPr>
        </w:r>
        <w:r>
          <w:rPr>
            <w:noProof/>
            <w:webHidden/>
          </w:rPr>
          <w:fldChar w:fldCharType="separate"/>
        </w:r>
        <w:r>
          <w:rPr>
            <w:noProof/>
            <w:webHidden/>
          </w:rPr>
          <w:t>57</w:t>
        </w:r>
        <w:r>
          <w:rPr>
            <w:noProof/>
            <w:webHidden/>
          </w:rPr>
          <w:fldChar w:fldCharType="end"/>
        </w:r>
      </w:hyperlink>
    </w:p>
    <w:p w14:paraId="500B860C" w14:textId="5B9FD016" w:rsidR="00CF59A1" w:rsidRDefault="00CF59A1">
      <w:pPr>
        <w:pStyle w:val="TOC3"/>
        <w:tabs>
          <w:tab w:val="right" w:leader="dot" w:pos="9350"/>
        </w:tabs>
        <w:rPr>
          <w:rFonts w:asciiTheme="minorHAnsi" w:eastAsiaTheme="minorEastAsia" w:hAnsiTheme="minorHAnsi"/>
          <w:iCs w:val="0"/>
          <w:noProof/>
          <w:color w:val="auto"/>
          <w:szCs w:val="24"/>
        </w:rPr>
      </w:pPr>
      <w:hyperlink w:anchor="_Toc200096990" w:history="1">
        <w:r w:rsidRPr="002F296A">
          <w:rPr>
            <w:rStyle w:val="Hyperlink"/>
            <w:noProof/>
          </w:rPr>
          <w:t>3.3 Methods</w:t>
        </w:r>
        <w:r>
          <w:rPr>
            <w:noProof/>
            <w:webHidden/>
          </w:rPr>
          <w:tab/>
        </w:r>
        <w:r>
          <w:rPr>
            <w:noProof/>
            <w:webHidden/>
          </w:rPr>
          <w:fldChar w:fldCharType="begin"/>
        </w:r>
        <w:r>
          <w:rPr>
            <w:noProof/>
            <w:webHidden/>
          </w:rPr>
          <w:instrText xml:space="preserve"> PAGEREF _Toc200096990 \h </w:instrText>
        </w:r>
        <w:r>
          <w:rPr>
            <w:noProof/>
            <w:webHidden/>
          </w:rPr>
        </w:r>
        <w:r>
          <w:rPr>
            <w:noProof/>
            <w:webHidden/>
          </w:rPr>
          <w:fldChar w:fldCharType="separate"/>
        </w:r>
        <w:r>
          <w:rPr>
            <w:noProof/>
            <w:webHidden/>
          </w:rPr>
          <w:t>58</w:t>
        </w:r>
        <w:r>
          <w:rPr>
            <w:noProof/>
            <w:webHidden/>
          </w:rPr>
          <w:fldChar w:fldCharType="end"/>
        </w:r>
      </w:hyperlink>
    </w:p>
    <w:p w14:paraId="65226C2C" w14:textId="76FF0B18" w:rsidR="00CF59A1" w:rsidRDefault="00CF59A1">
      <w:pPr>
        <w:pStyle w:val="TOC4"/>
        <w:tabs>
          <w:tab w:val="right" w:leader="dot" w:pos="9350"/>
        </w:tabs>
        <w:rPr>
          <w:rFonts w:asciiTheme="minorHAnsi" w:eastAsiaTheme="minorEastAsia" w:hAnsiTheme="minorHAnsi"/>
          <w:noProof/>
          <w:color w:val="auto"/>
          <w:szCs w:val="24"/>
        </w:rPr>
      </w:pPr>
      <w:hyperlink w:anchor="_Toc200096991" w:history="1">
        <w:r w:rsidRPr="002F296A">
          <w:rPr>
            <w:rStyle w:val="Hyperlink"/>
            <w:noProof/>
          </w:rPr>
          <w:t>3.3.1 Ethics approval</w:t>
        </w:r>
        <w:r>
          <w:rPr>
            <w:noProof/>
            <w:webHidden/>
          </w:rPr>
          <w:tab/>
        </w:r>
        <w:r>
          <w:rPr>
            <w:noProof/>
            <w:webHidden/>
          </w:rPr>
          <w:fldChar w:fldCharType="begin"/>
        </w:r>
        <w:r>
          <w:rPr>
            <w:noProof/>
            <w:webHidden/>
          </w:rPr>
          <w:instrText xml:space="preserve"> PAGEREF _Toc200096991 \h </w:instrText>
        </w:r>
        <w:r>
          <w:rPr>
            <w:noProof/>
            <w:webHidden/>
          </w:rPr>
        </w:r>
        <w:r>
          <w:rPr>
            <w:noProof/>
            <w:webHidden/>
          </w:rPr>
          <w:fldChar w:fldCharType="separate"/>
        </w:r>
        <w:r>
          <w:rPr>
            <w:noProof/>
            <w:webHidden/>
          </w:rPr>
          <w:t>58</w:t>
        </w:r>
        <w:r>
          <w:rPr>
            <w:noProof/>
            <w:webHidden/>
          </w:rPr>
          <w:fldChar w:fldCharType="end"/>
        </w:r>
      </w:hyperlink>
    </w:p>
    <w:p w14:paraId="749CD0D0" w14:textId="5337A0B9" w:rsidR="00CF59A1" w:rsidRDefault="00CF59A1">
      <w:pPr>
        <w:pStyle w:val="TOC4"/>
        <w:tabs>
          <w:tab w:val="right" w:leader="dot" w:pos="9350"/>
        </w:tabs>
        <w:rPr>
          <w:rFonts w:asciiTheme="minorHAnsi" w:eastAsiaTheme="minorEastAsia" w:hAnsiTheme="minorHAnsi"/>
          <w:noProof/>
          <w:color w:val="auto"/>
          <w:szCs w:val="24"/>
        </w:rPr>
      </w:pPr>
      <w:hyperlink w:anchor="_Toc200096992" w:history="1">
        <w:r w:rsidRPr="002F296A">
          <w:rPr>
            <w:rStyle w:val="Hyperlink"/>
            <w:noProof/>
          </w:rPr>
          <w:t>3.3.2 Study population</w:t>
        </w:r>
        <w:r>
          <w:rPr>
            <w:noProof/>
            <w:webHidden/>
          </w:rPr>
          <w:tab/>
        </w:r>
        <w:r>
          <w:rPr>
            <w:noProof/>
            <w:webHidden/>
          </w:rPr>
          <w:fldChar w:fldCharType="begin"/>
        </w:r>
        <w:r>
          <w:rPr>
            <w:noProof/>
            <w:webHidden/>
          </w:rPr>
          <w:instrText xml:space="preserve"> PAGEREF _Toc200096992 \h </w:instrText>
        </w:r>
        <w:r>
          <w:rPr>
            <w:noProof/>
            <w:webHidden/>
          </w:rPr>
        </w:r>
        <w:r>
          <w:rPr>
            <w:noProof/>
            <w:webHidden/>
          </w:rPr>
          <w:fldChar w:fldCharType="separate"/>
        </w:r>
        <w:r>
          <w:rPr>
            <w:noProof/>
            <w:webHidden/>
          </w:rPr>
          <w:t>58</w:t>
        </w:r>
        <w:r>
          <w:rPr>
            <w:noProof/>
            <w:webHidden/>
          </w:rPr>
          <w:fldChar w:fldCharType="end"/>
        </w:r>
      </w:hyperlink>
    </w:p>
    <w:p w14:paraId="3F03ACEE" w14:textId="4A221A39" w:rsidR="00CF59A1" w:rsidRDefault="00CF59A1">
      <w:pPr>
        <w:pStyle w:val="TOC4"/>
        <w:tabs>
          <w:tab w:val="right" w:leader="dot" w:pos="9350"/>
        </w:tabs>
        <w:rPr>
          <w:rFonts w:asciiTheme="minorHAnsi" w:eastAsiaTheme="minorEastAsia" w:hAnsiTheme="minorHAnsi"/>
          <w:noProof/>
          <w:color w:val="auto"/>
          <w:szCs w:val="24"/>
        </w:rPr>
      </w:pPr>
      <w:hyperlink w:anchor="_Toc200096993" w:history="1">
        <w:r w:rsidRPr="002F296A">
          <w:rPr>
            <w:rStyle w:val="Hyperlink"/>
            <w:noProof/>
          </w:rPr>
          <w:t>3.3.3 Data sources, description, preparation, and management</w:t>
        </w:r>
        <w:r>
          <w:rPr>
            <w:noProof/>
            <w:webHidden/>
          </w:rPr>
          <w:tab/>
        </w:r>
        <w:r>
          <w:rPr>
            <w:noProof/>
            <w:webHidden/>
          </w:rPr>
          <w:fldChar w:fldCharType="begin"/>
        </w:r>
        <w:r>
          <w:rPr>
            <w:noProof/>
            <w:webHidden/>
          </w:rPr>
          <w:instrText xml:space="preserve"> PAGEREF _Toc200096993 \h </w:instrText>
        </w:r>
        <w:r>
          <w:rPr>
            <w:noProof/>
            <w:webHidden/>
          </w:rPr>
        </w:r>
        <w:r>
          <w:rPr>
            <w:noProof/>
            <w:webHidden/>
          </w:rPr>
          <w:fldChar w:fldCharType="separate"/>
        </w:r>
        <w:r>
          <w:rPr>
            <w:noProof/>
            <w:webHidden/>
          </w:rPr>
          <w:t>59</w:t>
        </w:r>
        <w:r>
          <w:rPr>
            <w:noProof/>
            <w:webHidden/>
          </w:rPr>
          <w:fldChar w:fldCharType="end"/>
        </w:r>
      </w:hyperlink>
    </w:p>
    <w:p w14:paraId="0B0DF98F" w14:textId="6932CDF3" w:rsidR="00CF59A1" w:rsidRDefault="00CF59A1">
      <w:pPr>
        <w:pStyle w:val="TOC5"/>
        <w:tabs>
          <w:tab w:val="right" w:leader="dot" w:pos="9350"/>
        </w:tabs>
        <w:rPr>
          <w:rFonts w:asciiTheme="minorHAnsi" w:eastAsiaTheme="minorEastAsia" w:hAnsiTheme="minorHAnsi"/>
          <w:noProof/>
          <w:color w:val="auto"/>
          <w:szCs w:val="24"/>
        </w:rPr>
      </w:pPr>
      <w:hyperlink w:anchor="_Toc200096994" w:history="1">
        <w:r w:rsidRPr="002F296A">
          <w:rPr>
            <w:rStyle w:val="Hyperlink"/>
            <w:noProof/>
          </w:rPr>
          <w:t>3.3.3.1 Chronic Obstructive Pulmonary Disease (COPD) data</w:t>
        </w:r>
        <w:r>
          <w:rPr>
            <w:noProof/>
            <w:webHidden/>
          </w:rPr>
          <w:tab/>
        </w:r>
        <w:r>
          <w:rPr>
            <w:noProof/>
            <w:webHidden/>
          </w:rPr>
          <w:fldChar w:fldCharType="begin"/>
        </w:r>
        <w:r>
          <w:rPr>
            <w:noProof/>
            <w:webHidden/>
          </w:rPr>
          <w:instrText xml:space="preserve"> PAGEREF _Toc200096994 \h </w:instrText>
        </w:r>
        <w:r>
          <w:rPr>
            <w:noProof/>
            <w:webHidden/>
          </w:rPr>
        </w:r>
        <w:r>
          <w:rPr>
            <w:noProof/>
            <w:webHidden/>
          </w:rPr>
          <w:fldChar w:fldCharType="separate"/>
        </w:r>
        <w:r>
          <w:rPr>
            <w:noProof/>
            <w:webHidden/>
          </w:rPr>
          <w:t>59</w:t>
        </w:r>
        <w:r>
          <w:rPr>
            <w:noProof/>
            <w:webHidden/>
          </w:rPr>
          <w:fldChar w:fldCharType="end"/>
        </w:r>
      </w:hyperlink>
    </w:p>
    <w:p w14:paraId="322BA749" w14:textId="5AB80925" w:rsidR="00CF59A1" w:rsidRDefault="00CF59A1">
      <w:pPr>
        <w:pStyle w:val="TOC5"/>
        <w:tabs>
          <w:tab w:val="right" w:leader="dot" w:pos="9350"/>
        </w:tabs>
        <w:rPr>
          <w:rFonts w:asciiTheme="minorHAnsi" w:eastAsiaTheme="minorEastAsia" w:hAnsiTheme="minorHAnsi"/>
          <w:noProof/>
          <w:color w:val="auto"/>
          <w:szCs w:val="24"/>
        </w:rPr>
      </w:pPr>
      <w:hyperlink w:anchor="_Toc200096995" w:history="1">
        <w:r w:rsidRPr="002F296A">
          <w:rPr>
            <w:rStyle w:val="Hyperlink"/>
            <w:noProof/>
          </w:rPr>
          <w:t>3.3.3.2 Occupational exposures data</w:t>
        </w:r>
        <w:r>
          <w:rPr>
            <w:noProof/>
            <w:webHidden/>
          </w:rPr>
          <w:tab/>
        </w:r>
        <w:r>
          <w:rPr>
            <w:noProof/>
            <w:webHidden/>
          </w:rPr>
          <w:fldChar w:fldCharType="begin"/>
        </w:r>
        <w:r>
          <w:rPr>
            <w:noProof/>
            <w:webHidden/>
          </w:rPr>
          <w:instrText xml:space="preserve"> PAGEREF _Toc200096995 \h </w:instrText>
        </w:r>
        <w:r>
          <w:rPr>
            <w:noProof/>
            <w:webHidden/>
          </w:rPr>
        </w:r>
        <w:r>
          <w:rPr>
            <w:noProof/>
            <w:webHidden/>
          </w:rPr>
          <w:fldChar w:fldCharType="separate"/>
        </w:r>
        <w:r>
          <w:rPr>
            <w:noProof/>
            <w:webHidden/>
          </w:rPr>
          <w:t>59</w:t>
        </w:r>
        <w:r>
          <w:rPr>
            <w:noProof/>
            <w:webHidden/>
          </w:rPr>
          <w:fldChar w:fldCharType="end"/>
        </w:r>
      </w:hyperlink>
    </w:p>
    <w:p w14:paraId="4FBD682C" w14:textId="7DE526EF" w:rsidR="00CF59A1" w:rsidRDefault="00CF59A1">
      <w:pPr>
        <w:pStyle w:val="TOC5"/>
        <w:tabs>
          <w:tab w:val="right" w:leader="dot" w:pos="9350"/>
        </w:tabs>
        <w:rPr>
          <w:rFonts w:asciiTheme="minorHAnsi" w:eastAsiaTheme="minorEastAsia" w:hAnsiTheme="minorHAnsi"/>
          <w:noProof/>
          <w:color w:val="auto"/>
          <w:szCs w:val="24"/>
        </w:rPr>
      </w:pPr>
      <w:hyperlink w:anchor="_Toc200096996" w:history="1">
        <w:r w:rsidRPr="002F296A">
          <w:rPr>
            <w:rStyle w:val="Hyperlink"/>
            <w:noProof/>
          </w:rPr>
          <w:t>3.3.3.3 Smoking data</w:t>
        </w:r>
        <w:r>
          <w:rPr>
            <w:noProof/>
            <w:webHidden/>
          </w:rPr>
          <w:tab/>
        </w:r>
        <w:r>
          <w:rPr>
            <w:noProof/>
            <w:webHidden/>
          </w:rPr>
          <w:fldChar w:fldCharType="begin"/>
        </w:r>
        <w:r>
          <w:rPr>
            <w:noProof/>
            <w:webHidden/>
          </w:rPr>
          <w:instrText xml:space="preserve"> PAGEREF _Toc200096996 \h </w:instrText>
        </w:r>
        <w:r>
          <w:rPr>
            <w:noProof/>
            <w:webHidden/>
          </w:rPr>
        </w:r>
        <w:r>
          <w:rPr>
            <w:noProof/>
            <w:webHidden/>
          </w:rPr>
          <w:fldChar w:fldCharType="separate"/>
        </w:r>
        <w:r>
          <w:rPr>
            <w:noProof/>
            <w:webHidden/>
          </w:rPr>
          <w:t>60</w:t>
        </w:r>
        <w:r>
          <w:rPr>
            <w:noProof/>
            <w:webHidden/>
          </w:rPr>
          <w:fldChar w:fldCharType="end"/>
        </w:r>
      </w:hyperlink>
    </w:p>
    <w:p w14:paraId="305232DB" w14:textId="1AA3430C" w:rsidR="00CF59A1" w:rsidRDefault="00CF59A1">
      <w:pPr>
        <w:pStyle w:val="TOC5"/>
        <w:tabs>
          <w:tab w:val="right" w:leader="dot" w:pos="9350"/>
        </w:tabs>
        <w:rPr>
          <w:rFonts w:asciiTheme="minorHAnsi" w:eastAsiaTheme="minorEastAsia" w:hAnsiTheme="minorHAnsi"/>
          <w:noProof/>
          <w:color w:val="auto"/>
          <w:szCs w:val="24"/>
        </w:rPr>
      </w:pPr>
      <w:hyperlink w:anchor="_Toc200096997" w:history="1">
        <w:r w:rsidRPr="002F296A">
          <w:rPr>
            <w:rStyle w:val="Hyperlink"/>
            <w:noProof/>
          </w:rPr>
          <w:t>3.3.3.4 Air quality data</w:t>
        </w:r>
        <w:r>
          <w:rPr>
            <w:noProof/>
            <w:webHidden/>
          </w:rPr>
          <w:tab/>
        </w:r>
        <w:r>
          <w:rPr>
            <w:noProof/>
            <w:webHidden/>
          </w:rPr>
          <w:fldChar w:fldCharType="begin"/>
        </w:r>
        <w:r>
          <w:rPr>
            <w:noProof/>
            <w:webHidden/>
          </w:rPr>
          <w:instrText xml:space="preserve"> PAGEREF _Toc200096997 \h </w:instrText>
        </w:r>
        <w:r>
          <w:rPr>
            <w:noProof/>
            <w:webHidden/>
          </w:rPr>
        </w:r>
        <w:r>
          <w:rPr>
            <w:noProof/>
            <w:webHidden/>
          </w:rPr>
          <w:fldChar w:fldCharType="separate"/>
        </w:r>
        <w:r>
          <w:rPr>
            <w:noProof/>
            <w:webHidden/>
          </w:rPr>
          <w:t>61</w:t>
        </w:r>
        <w:r>
          <w:rPr>
            <w:noProof/>
            <w:webHidden/>
          </w:rPr>
          <w:fldChar w:fldCharType="end"/>
        </w:r>
      </w:hyperlink>
    </w:p>
    <w:p w14:paraId="5C75D15A" w14:textId="0A3E8FE3" w:rsidR="00CF59A1" w:rsidRDefault="00CF59A1">
      <w:pPr>
        <w:pStyle w:val="TOC4"/>
        <w:tabs>
          <w:tab w:val="right" w:leader="dot" w:pos="9350"/>
        </w:tabs>
        <w:rPr>
          <w:rFonts w:asciiTheme="minorHAnsi" w:eastAsiaTheme="minorEastAsia" w:hAnsiTheme="minorHAnsi"/>
          <w:noProof/>
          <w:color w:val="auto"/>
          <w:szCs w:val="24"/>
        </w:rPr>
      </w:pPr>
      <w:hyperlink w:anchor="_Toc200096998" w:history="1">
        <w:r w:rsidRPr="002F296A">
          <w:rPr>
            <w:rStyle w:val="Hyperlink"/>
            <w:noProof/>
          </w:rPr>
          <w:t>3.3.4 Statistical analyses</w:t>
        </w:r>
        <w:r>
          <w:rPr>
            <w:noProof/>
            <w:webHidden/>
          </w:rPr>
          <w:tab/>
        </w:r>
        <w:r>
          <w:rPr>
            <w:noProof/>
            <w:webHidden/>
          </w:rPr>
          <w:fldChar w:fldCharType="begin"/>
        </w:r>
        <w:r>
          <w:rPr>
            <w:noProof/>
            <w:webHidden/>
          </w:rPr>
          <w:instrText xml:space="preserve"> PAGEREF _Toc200096998 \h </w:instrText>
        </w:r>
        <w:r>
          <w:rPr>
            <w:noProof/>
            <w:webHidden/>
          </w:rPr>
        </w:r>
        <w:r>
          <w:rPr>
            <w:noProof/>
            <w:webHidden/>
          </w:rPr>
          <w:fldChar w:fldCharType="separate"/>
        </w:r>
        <w:r>
          <w:rPr>
            <w:noProof/>
            <w:webHidden/>
          </w:rPr>
          <w:t>61</w:t>
        </w:r>
        <w:r>
          <w:rPr>
            <w:noProof/>
            <w:webHidden/>
          </w:rPr>
          <w:fldChar w:fldCharType="end"/>
        </w:r>
      </w:hyperlink>
    </w:p>
    <w:p w14:paraId="2EED42B6" w14:textId="55219B70" w:rsidR="00CF59A1" w:rsidRDefault="00CF59A1">
      <w:pPr>
        <w:pStyle w:val="TOC5"/>
        <w:tabs>
          <w:tab w:val="right" w:leader="dot" w:pos="9350"/>
        </w:tabs>
        <w:rPr>
          <w:rFonts w:asciiTheme="minorHAnsi" w:eastAsiaTheme="minorEastAsia" w:hAnsiTheme="minorHAnsi"/>
          <w:noProof/>
          <w:color w:val="auto"/>
          <w:szCs w:val="24"/>
        </w:rPr>
      </w:pPr>
      <w:hyperlink w:anchor="_Toc200096999" w:history="1">
        <w:r w:rsidRPr="002F296A">
          <w:rPr>
            <w:rStyle w:val="Hyperlink"/>
            <w:noProof/>
          </w:rPr>
          <w:t>3.3.4.1 Descriptive analysis</w:t>
        </w:r>
        <w:r>
          <w:rPr>
            <w:noProof/>
            <w:webHidden/>
          </w:rPr>
          <w:tab/>
        </w:r>
        <w:r>
          <w:rPr>
            <w:noProof/>
            <w:webHidden/>
          </w:rPr>
          <w:fldChar w:fldCharType="begin"/>
        </w:r>
        <w:r>
          <w:rPr>
            <w:noProof/>
            <w:webHidden/>
          </w:rPr>
          <w:instrText xml:space="preserve"> PAGEREF _Toc200096999 \h </w:instrText>
        </w:r>
        <w:r>
          <w:rPr>
            <w:noProof/>
            <w:webHidden/>
          </w:rPr>
        </w:r>
        <w:r>
          <w:rPr>
            <w:noProof/>
            <w:webHidden/>
          </w:rPr>
          <w:fldChar w:fldCharType="separate"/>
        </w:r>
        <w:r>
          <w:rPr>
            <w:noProof/>
            <w:webHidden/>
          </w:rPr>
          <w:t>61</w:t>
        </w:r>
        <w:r>
          <w:rPr>
            <w:noProof/>
            <w:webHidden/>
          </w:rPr>
          <w:fldChar w:fldCharType="end"/>
        </w:r>
      </w:hyperlink>
    </w:p>
    <w:p w14:paraId="5F2511DD" w14:textId="297D1A4A" w:rsidR="00CF59A1" w:rsidRDefault="00CF59A1">
      <w:pPr>
        <w:pStyle w:val="TOC5"/>
        <w:tabs>
          <w:tab w:val="right" w:leader="dot" w:pos="9350"/>
        </w:tabs>
        <w:rPr>
          <w:rFonts w:asciiTheme="minorHAnsi" w:eastAsiaTheme="minorEastAsia" w:hAnsiTheme="minorHAnsi"/>
          <w:noProof/>
          <w:color w:val="auto"/>
          <w:szCs w:val="24"/>
        </w:rPr>
      </w:pPr>
      <w:hyperlink w:anchor="_Toc200097000" w:history="1">
        <w:r w:rsidRPr="002F296A">
          <w:rPr>
            <w:rStyle w:val="Hyperlink"/>
            <w:noProof/>
          </w:rPr>
          <w:t>3.3.4.2 Multiple imputation</w:t>
        </w:r>
        <w:r>
          <w:rPr>
            <w:noProof/>
            <w:webHidden/>
          </w:rPr>
          <w:tab/>
        </w:r>
        <w:r>
          <w:rPr>
            <w:noProof/>
            <w:webHidden/>
          </w:rPr>
          <w:fldChar w:fldCharType="begin"/>
        </w:r>
        <w:r>
          <w:rPr>
            <w:noProof/>
            <w:webHidden/>
          </w:rPr>
          <w:instrText xml:space="preserve"> PAGEREF _Toc200097000 \h </w:instrText>
        </w:r>
        <w:r>
          <w:rPr>
            <w:noProof/>
            <w:webHidden/>
          </w:rPr>
        </w:r>
        <w:r>
          <w:rPr>
            <w:noProof/>
            <w:webHidden/>
          </w:rPr>
          <w:fldChar w:fldCharType="separate"/>
        </w:r>
        <w:r>
          <w:rPr>
            <w:noProof/>
            <w:webHidden/>
          </w:rPr>
          <w:t>62</w:t>
        </w:r>
        <w:r>
          <w:rPr>
            <w:noProof/>
            <w:webHidden/>
          </w:rPr>
          <w:fldChar w:fldCharType="end"/>
        </w:r>
      </w:hyperlink>
    </w:p>
    <w:p w14:paraId="2C2B2BA5" w14:textId="553C8C82" w:rsidR="00CF59A1" w:rsidRDefault="00CF59A1">
      <w:pPr>
        <w:pStyle w:val="TOC5"/>
        <w:tabs>
          <w:tab w:val="right" w:leader="dot" w:pos="9350"/>
        </w:tabs>
        <w:rPr>
          <w:rFonts w:asciiTheme="minorHAnsi" w:eastAsiaTheme="minorEastAsia" w:hAnsiTheme="minorHAnsi"/>
          <w:noProof/>
          <w:color w:val="auto"/>
          <w:szCs w:val="24"/>
        </w:rPr>
      </w:pPr>
      <w:hyperlink w:anchor="_Toc200097001" w:history="1">
        <w:r w:rsidRPr="002F296A">
          <w:rPr>
            <w:rStyle w:val="Hyperlink"/>
            <w:noProof/>
          </w:rPr>
          <w:t>3.3.4.3 Identification of highly correlated potential predictors</w:t>
        </w:r>
        <w:r>
          <w:rPr>
            <w:noProof/>
            <w:webHidden/>
          </w:rPr>
          <w:tab/>
        </w:r>
        <w:r>
          <w:rPr>
            <w:noProof/>
            <w:webHidden/>
          </w:rPr>
          <w:fldChar w:fldCharType="begin"/>
        </w:r>
        <w:r>
          <w:rPr>
            <w:noProof/>
            <w:webHidden/>
          </w:rPr>
          <w:instrText xml:space="preserve"> PAGEREF _Toc200097001 \h </w:instrText>
        </w:r>
        <w:r>
          <w:rPr>
            <w:noProof/>
            <w:webHidden/>
          </w:rPr>
        </w:r>
        <w:r>
          <w:rPr>
            <w:noProof/>
            <w:webHidden/>
          </w:rPr>
          <w:fldChar w:fldCharType="separate"/>
        </w:r>
        <w:r>
          <w:rPr>
            <w:noProof/>
            <w:webHidden/>
          </w:rPr>
          <w:t>62</w:t>
        </w:r>
        <w:r>
          <w:rPr>
            <w:noProof/>
            <w:webHidden/>
          </w:rPr>
          <w:fldChar w:fldCharType="end"/>
        </w:r>
      </w:hyperlink>
    </w:p>
    <w:p w14:paraId="0F36230C" w14:textId="58323540" w:rsidR="00CF59A1" w:rsidRDefault="00CF59A1">
      <w:pPr>
        <w:pStyle w:val="TOC5"/>
        <w:tabs>
          <w:tab w:val="right" w:leader="dot" w:pos="9350"/>
        </w:tabs>
        <w:rPr>
          <w:rFonts w:asciiTheme="minorHAnsi" w:eastAsiaTheme="minorEastAsia" w:hAnsiTheme="minorHAnsi"/>
          <w:noProof/>
          <w:color w:val="auto"/>
          <w:szCs w:val="24"/>
        </w:rPr>
      </w:pPr>
      <w:hyperlink w:anchor="_Toc200097002" w:history="1">
        <w:r w:rsidRPr="002F296A">
          <w:rPr>
            <w:rStyle w:val="Hyperlink"/>
            <w:noProof/>
          </w:rPr>
          <w:t>3.3.4.4 Predictors of COPD occurrence</w:t>
        </w:r>
        <w:r>
          <w:rPr>
            <w:noProof/>
            <w:webHidden/>
          </w:rPr>
          <w:tab/>
        </w:r>
        <w:r>
          <w:rPr>
            <w:noProof/>
            <w:webHidden/>
          </w:rPr>
          <w:fldChar w:fldCharType="begin"/>
        </w:r>
        <w:r>
          <w:rPr>
            <w:noProof/>
            <w:webHidden/>
          </w:rPr>
          <w:instrText xml:space="preserve"> PAGEREF _Toc200097002 \h </w:instrText>
        </w:r>
        <w:r>
          <w:rPr>
            <w:noProof/>
            <w:webHidden/>
          </w:rPr>
        </w:r>
        <w:r>
          <w:rPr>
            <w:noProof/>
            <w:webHidden/>
          </w:rPr>
          <w:fldChar w:fldCharType="separate"/>
        </w:r>
        <w:r>
          <w:rPr>
            <w:noProof/>
            <w:webHidden/>
          </w:rPr>
          <w:t>64</w:t>
        </w:r>
        <w:r>
          <w:rPr>
            <w:noProof/>
            <w:webHidden/>
          </w:rPr>
          <w:fldChar w:fldCharType="end"/>
        </w:r>
      </w:hyperlink>
    </w:p>
    <w:p w14:paraId="2AEB4F7D" w14:textId="22D1CACC" w:rsidR="00CF59A1" w:rsidRDefault="00CF59A1">
      <w:pPr>
        <w:pStyle w:val="TOC5"/>
        <w:tabs>
          <w:tab w:val="right" w:leader="dot" w:pos="9350"/>
        </w:tabs>
        <w:rPr>
          <w:rFonts w:asciiTheme="minorHAnsi" w:eastAsiaTheme="minorEastAsia" w:hAnsiTheme="minorHAnsi"/>
          <w:noProof/>
          <w:color w:val="auto"/>
          <w:szCs w:val="24"/>
        </w:rPr>
      </w:pPr>
      <w:hyperlink w:anchor="_Toc200097003" w:history="1">
        <w:r w:rsidRPr="002F296A">
          <w:rPr>
            <w:rStyle w:val="Hyperlink"/>
            <w:noProof/>
          </w:rPr>
          <w:t>3.3.4.5 Predictors of COPD severity</w:t>
        </w:r>
        <w:r>
          <w:rPr>
            <w:noProof/>
            <w:webHidden/>
          </w:rPr>
          <w:tab/>
        </w:r>
        <w:r>
          <w:rPr>
            <w:noProof/>
            <w:webHidden/>
          </w:rPr>
          <w:fldChar w:fldCharType="begin"/>
        </w:r>
        <w:r>
          <w:rPr>
            <w:noProof/>
            <w:webHidden/>
          </w:rPr>
          <w:instrText xml:space="preserve"> PAGEREF _Toc200097003 \h </w:instrText>
        </w:r>
        <w:r>
          <w:rPr>
            <w:noProof/>
            <w:webHidden/>
          </w:rPr>
        </w:r>
        <w:r>
          <w:rPr>
            <w:noProof/>
            <w:webHidden/>
          </w:rPr>
          <w:fldChar w:fldCharType="separate"/>
        </w:r>
        <w:r>
          <w:rPr>
            <w:noProof/>
            <w:webHidden/>
          </w:rPr>
          <w:t>64</w:t>
        </w:r>
        <w:r>
          <w:rPr>
            <w:noProof/>
            <w:webHidden/>
          </w:rPr>
          <w:fldChar w:fldCharType="end"/>
        </w:r>
      </w:hyperlink>
    </w:p>
    <w:p w14:paraId="205536DE" w14:textId="56B0831E" w:rsidR="00CF59A1" w:rsidRDefault="00CF59A1">
      <w:pPr>
        <w:pStyle w:val="TOC3"/>
        <w:tabs>
          <w:tab w:val="right" w:leader="dot" w:pos="9350"/>
        </w:tabs>
        <w:rPr>
          <w:rFonts w:asciiTheme="minorHAnsi" w:eastAsiaTheme="minorEastAsia" w:hAnsiTheme="minorHAnsi"/>
          <w:iCs w:val="0"/>
          <w:noProof/>
          <w:color w:val="auto"/>
          <w:szCs w:val="24"/>
        </w:rPr>
      </w:pPr>
      <w:hyperlink w:anchor="_Toc200097004" w:history="1">
        <w:r w:rsidRPr="002F296A">
          <w:rPr>
            <w:rStyle w:val="Hyperlink"/>
            <w:noProof/>
          </w:rPr>
          <w:t>3.4 Results</w:t>
        </w:r>
        <w:r>
          <w:rPr>
            <w:noProof/>
            <w:webHidden/>
          </w:rPr>
          <w:tab/>
        </w:r>
        <w:r>
          <w:rPr>
            <w:noProof/>
            <w:webHidden/>
          </w:rPr>
          <w:fldChar w:fldCharType="begin"/>
        </w:r>
        <w:r>
          <w:rPr>
            <w:noProof/>
            <w:webHidden/>
          </w:rPr>
          <w:instrText xml:space="preserve"> PAGEREF _Toc200097004 \h </w:instrText>
        </w:r>
        <w:r>
          <w:rPr>
            <w:noProof/>
            <w:webHidden/>
          </w:rPr>
        </w:r>
        <w:r>
          <w:rPr>
            <w:noProof/>
            <w:webHidden/>
          </w:rPr>
          <w:fldChar w:fldCharType="separate"/>
        </w:r>
        <w:r>
          <w:rPr>
            <w:noProof/>
            <w:webHidden/>
          </w:rPr>
          <w:t>65</w:t>
        </w:r>
        <w:r>
          <w:rPr>
            <w:noProof/>
            <w:webHidden/>
          </w:rPr>
          <w:fldChar w:fldCharType="end"/>
        </w:r>
      </w:hyperlink>
    </w:p>
    <w:p w14:paraId="0026AEEE" w14:textId="23C540F6" w:rsidR="00CF59A1" w:rsidRDefault="00CF59A1">
      <w:pPr>
        <w:pStyle w:val="TOC4"/>
        <w:tabs>
          <w:tab w:val="right" w:leader="dot" w:pos="9350"/>
        </w:tabs>
        <w:rPr>
          <w:rFonts w:asciiTheme="minorHAnsi" w:eastAsiaTheme="minorEastAsia" w:hAnsiTheme="minorHAnsi"/>
          <w:noProof/>
          <w:color w:val="auto"/>
          <w:szCs w:val="24"/>
        </w:rPr>
      </w:pPr>
      <w:hyperlink w:anchor="_Toc200097005" w:history="1">
        <w:r w:rsidRPr="002F296A">
          <w:rPr>
            <w:rStyle w:val="Hyperlink"/>
            <w:noProof/>
          </w:rPr>
          <w:t>3.4.1 Descriptive statistics</w:t>
        </w:r>
        <w:r>
          <w:rPr>
            <w:noProof/>
            <w:webHidden/>
          </w:rPr>
          <w:tab/>
        </w:r>
        <w:r>
          <w:rPr>
            <w:noProof/>
            <w:webHidden/>
          </w:rPr>
          <w:fldChar w:fldCharType="begin"/>
        </w:r>
        <w:r>
          <w:rPr>
            <w:noProof/>
            <w:webHidden/>
          </w:rPr>
          <w:instrText xml:space="preserve"> PAGEREF _Toc200097005 \h </w:instrText>
        </w:r>
        <w:r>
          <w:rPr>
            <w:noProof/>
            <w:webHidden/>
          </w:rPr>
        </w:r>
        <w:r>
          <w:rPr>
            <w:noProof/>
            <w:webHidden/>
          </w:rPr>
          <w:fldChar w:fldCharType="separate"/>
        </w:r>
        <w:r>
          <w:rPr>
            <w:noProof/>
            <w:webHidden/>
          </w:rPr>
          <w:t>65</w:t>
        </w:r>
        <w:r>
          <w:rPr>
            <w:noProof/>
            <w:webHidden/>
          </w:rPr>
          <w:fldChar w:fldCharType="end"/>
        </w:r>
      </w:hyperlink>
    </w:p>
    <w:p w14:paraId="6711907D" w14:textId="5000C55F" w:rsidR="00CF59A1" w:rsidRDefault="00CF59A1">
      <w:pPr>
        <w:pStyle w:val="TOC4"/>
        <w:tabs>
          <w:tab w:val="right" w:leader="dot" w:pos="9350"/>
        </w:tabs>
        <w:rPr>
          <w:rFonts w:asciiTheme="minorHAnsi" w:eastAsiaTheme="minorEastAsia" w:hAnsiTheme="minorHAnsi"/>
          <w:noProof/>
          <w:color w:val="auto"/>
          <w:szCs w:val="24"/>
        </w:rPr>
      </w:pPr>
      <w:hyperlink w:anchor="_Toc200097006" w:history="1">
        <w:r w:rsidRPr="002F296A">
          <w:rPr>
            <w:rStyle w:val="Hyperlink"/>
            <w:noProof/>
          </w:rPr>
          <w:t>3.4.2 Predictors of COPD occurrence</w:t>
        </w:r>
        <w:r>
          <w:rPr>
            <w:noProof/>
            <w:webHidden/>
          </w:rPr>
          <w:tab/>
        </w:r>
        <w:r>
          <w:rPr>
            <w:noProof/>
            <w:webHidden/>
          </w:rPr>
          <w:fldChar w:fldCharType="begin"/>
        </w:r>
        <w:r>
          <w:rPr>
            <w:noProof/>
            <w:webHidden/>
          </w:rPr>
          <w:instrText xml:space="preserve"> PAGEREF _Toc200097006 \h </w:instrText>
        </w:r>
        <w:r>
          <w:rPr>
            <w:noProof/>
            <w:webHidden/>
          </w:rPr>
        </w:r>
        <w:r>
          <w:rPr>
            <w:noProof/>
            <w:webHidden/>
          </w:rPr>
          <w:fldChar w:fldCharType="separate"/>
        </w:r>
        <w:r>
          <w:rPr>
            <w:noProof/>
            <w:webHidden/>
          </w:rPr>
          <w:t>70</w:t>
        </w:r>
        <w:r>
          <w:rPr>
            <w:noProof/>
            <w:webHidden/>
          </w:rPr>
          <w:fldChar w:fldCharType="end"/>
        </w:r>
      </w:hyperlink>
    </w:p>
    <w:p w14:paraId="27E0F5D0" w14:textId="54D3E9CA" w:rsidR="00CF59A1" w:rsidRDefault="00CF59A1">
      <w:pPr>
        <w:pStyle w:val="TOC4"/>
        <w:tabs>
          <w:tab w:val="right" w:leader="dot" w:pos="9350"/>
        </w:tabs>
        <w:rPr>
          <w:rFonts w:asciiTheme="minorHAnsi" w:eastAsiaTheme="minorEastAsia" w:hAnsiTheme="minorHAnsi"/>
          <w:noProof/>
          <w:color w:val="auto"/>
          <w:szCs w:val="24"/>
        </w:rPr>
      </w:pPr>
      <w:hyperlink w:anchor="_Toc200097007" w:history="1">
        <w:r w:rsidRPr="002F296A">
          <w:rPr>
            <w:rStyle w:val="Hyperlink"/>
            <w:noProof/>
          </w:rPr>
          <w:t>3.4.3 Predictors of COPD severity</w:t>
        </w:r>
        <w:r>
          <w:rPr>
            <w:noProof/>
            <w:webHidden/>
          </w:rPr>
          <w:tab/>
        </w:r>
        <w:r>
          <w:rPr>
            <w:noProof/>
            <w:webHidden/>
          </w:rPr>
          <w:fldChar w:fldCharType="begin"/>
        </w:r>
        <w:r>
          <w:rPr>
            <w:noProof/>
            <w:webHidden/>
          </w:rPr>
          <w:instrText xml:space="preserve"> PAGEREF _Toc200097007 \h </w:instrText>
        </w:r>
        <w:r>
          <w:rPr>
            <w:noProof/>
            <w:webHidden/>
          </w:rPr>
        </w:r>
        <w:r>
          <w:rPr>
            <w:noProof/>
            <w:webHidden/>
          </w:rPr>
          <w:fldChar w:fldCharType="separate"/>
        </w:r>
        <w:r>
          <w:rPr>
            <w:noProof/>
            <w:webHidden/>
          </w:rPr>
          <w:t>76</w:t>
        </w:r>
        <w:r>
          <w:rPr>
            <w:noProof/>
            <w:webHidden/>
          </w:rPr>
          <w:fldChar w:fldCharType="end"/>
        </w:r>
      </w:hyperlink>
    </w:p>
    <w:p w14:paraId="7C42EBB9" w14:textId="4861069B" w:rsidR="00CF59A1" w:rsidRDefault="00CF59A1">
      <w:pPr>
        <w:pStyle w:val="TOC3"/>
        <w:tabs>
          <w:tab w:val="right" w:leader="dot" w:pos="9350"/>
        </w:tabs>
        <w:rPr>
          <w:rFonts w:asciiTheme="minorHAnsi" w:eastAsiaTheme="minorEastAsia" w:hAnsiTheme="minorHAnsi"/>
          <w:iCs w:val="0"/>
          <w:noProof/>
          <w:color w:val="auto"/>
          <w:szCs w:val="24"/>
        </w:rPr>
      </w:pPr>
      <w:hyperlink w:anchor="_Toc200097008" w:history="1">
        <w:r w:rsidRPr="002F296A">
          <w:rPr>
            <w:rStyle w:val="Hyperlink"/>
            <w:noProof/>
          </w:rPr>
          <w:t>3.5 Discussion</w:t>
        </w:r>
        <w:r>
          <w:rPr>
            <w:noProof/>
            <w:webHidden/>
          </w:rPr>
          <w:tab/>
        </w:r>
        <w:r>
          <w:rPr>
            <w:noProof/>
            <w:webHidden/>
          </w:rPr>
          <w:fldChar w:fldCharType="begin"/>
        </w:r>
        <w:r>
          <w:rPr>
            <w:noProof/>
            <w:webHidden/>
          </w:rPr>
          <w:instrText xml:space="preserve"> PAGEREF _Toc200097008 \h </w:instrText>
        </w:r>
        <w:r>
          <w:rPr>
            <w:noProof/>
            <w:webHidden/>
          </w:rPr>
        </w:r>
        <w:r>
          <w:rPr>
            <w:noProof/>
            <w:webHidden/>
          </w:rPr>
          <w:fldChar w:fldCharType="separate"/>
        </w:r>
        <w:r>
          <w:rPr>
            <w:noProof/>
            <w:webHidden/>
          </w:rPr>
          <w:t>81</w:t>
        </w:r>
        <w:r>
          <w:rPr>
            <w:noProof/>
            <w:webHidden/>
          </w:rPr>
          <w:fldChar w:fldCharType="end"/>
        </w:r>
      </w:hyperlink>
    </w:p>
    <w:p w14:paraId="2E5A1D22" w14:textId="436DCA35" w:rsidR="00CF59A1" w:rsidRDefault="00CF59A1">
      <w:pPr>
        <w:pStyle w:val="TOC4"/>
        <w:tabs>
          <w:tab w:val="right" w:leader="dot" w:pos="9350"/>
        </w:tabs>
        <w:rPr>
          <w:rFonts w:asciiTheme="minorHAnsi" w:eastAsiaTheme="minorEastAsia" w:hAnsiTheme="minorHAnsi"/>
          <w:noProof/>
          <w:color w:val="auto"/>
          <w:szCs w:val="24"/>
        </w:rPr>
      </w:pPr>
      <w:hyperlink w:anchor="_Toc200097009" w:history="1">
        <w:r w:rsidRPr="002F296A">
          <w:rPr>
            <w:rStyle w:val="Hyperlink"/>
            <w:noProof/>
          </w:rPr>
          <w:t>3.5.1 Strengths and limitations</w:t>
        </w:r>
        <w:r>
          <w:rPr>
            <w:noProof/>
            <w:webHidden/>
          </w:rPr>
          <w:tab/>
        </w:r>
        <w:r>
          <w:rPr>
            <w:noProof/>
            <w:webHidden/>
          </w:rPr>
          <w:fldChar w:fldCharType="begin"/>
        </w:r>
        <w:r>
          <w:rPr>
            <w:noProof/>
            <w:webHidden/>
          </w:rPr>
          <w:instrText xml:space="preserve"> PAGEREF _Toc200097009 \h </w:instrText>
        </w:r>
        <w:r>
          <w:rPr>
            <w:noProof/>
            <w:webHidden/>
          </w:rPr>
        </w:r>
        <w:r>
          <w:rPr>
            <w:noProof/>
            <w:webHidden/>
          </w:rPr>
          <w:fldChar w:fldCharType="separate"/>
        </w:r>
        <w:r>
          <w:rPr>
            <w:noProof/>
            <w:webHidden/>
          </w:rPr>
          <w:t>83</w:t>
        </w:r>
        <w:r>
          <w:rPr>
            <w:noProof/>
            <w:webHidden/>
          </w:rPr>
          <w:fldChar w:fldCharType="end"/>
        </w:r>
      </w:hyperlink>
    </w:p>
    <w:p w14:paraId="521C5DD1" w14:textId="3CFBE48E" w:rsidR="00CF59A1" w:rsidRDefault="00CF59A1">
      <w:pPr>
        <w:pStyle w:val="TOC3"/>
        <w:tabs>
          <w:tab w:val="right" w:leader="dot" w:pos="9350"/>
        </w:tabs>
        <w:rPr>
          <w:rFonts w:asciiTheme="minorHAnsi" w:eastAsiaTheme="minorEastAsia" w:hAnsiTheme="minorHAnsi"/>
          <w:iCs w:val="0"/>
          <w:noProof/>
          <w:color w:val="auto"/>
          <w:szCs w:val="24"/>
        </w:rPr>
      </w:pPr>
      <w:hyperlink w:anchor="_Toc200097010" w:history="1">
        <w:r w:rsidRPr="002F296A">
          <w:rPr>
            <w:rStyle w:val="Hyperlink"/>
            <w:noProof/>
          </w:rPr>
          <w:t>3.6 Conclusion</w:t>
        </w:r>
        <w:r>
          <w:rPr>
            <w:noProof/>
            <w:webHidden/>
          </w:rPr>
          <w:tab/>
        </w:r>
        <w:r>
          <w:rPr>
            <w:noProof/>
            <w:webHidden/>
          </w:rPr>
          <w:fldChar w:fldCharType="begin"/>
        </w:r>
        <w:r>
          <w:rPr>
            <w:noProof/>
            <w:webHidden/>
          </w:rPr>
          <w:instrText xml:space="preserve"> PAGEREF _Toc200097010 \h </w:instrText>
        </w:r>
        <w:r>
          <w:rPr>
            <w:noProof/>
            <w:webHidden/>
          </w:rPr>
        </w:r>
        <w:r>
          <w:rPr>
            <w:noProof/>
            <w:webHidden/>
          </w:rPr>
          <w:fldChar w:fldCharType="separate"/>
        </w:r>
        <w:r>
          <w:rPr>
            <w:noProof/>
            <w:webHidden/>
          </w:rPr>
          <w:t>85</w:t>
        </w:r>
        <w:r>
          <w:rPr>
            <w:noProof/>
            <w:webHidden/>
          </w:rPr>
          <w:fldChar w:fldCharType="end"/>
        </w:r>
      </w:hyperlink>
    </w:p>
    <w:p w14:paraId="25480B2C" w14:textId="7C410B3E" w:rsidR="00CF59A1" w:rsidRDefault="00CF59A1">
      <w:pPr>
        <w:pStyle w:val="TOC3"/>
        <w:tabs>
          <w:tab w:val="right" w:leader="dot" w:pos="9350"/>
        </w:tabs>
        <w:rPr>
          <w:rFonts w:asciiTheme="minorHAnsi" w:eastAsiaTheme="minorEastAsia" w:hAnsiTheme="minorHAnsi"/>
          <w:iCs w:val="0"/>
          <w:noProof/>
          <w:color w:val="auto"/>
          <w:szCs w:val="24"/>
        </w:rPr>
      </w:pPr>
      <w:hyperlink w:anchor="_Toc200097011" w:history="1">
        <w:r w:rsidRPr="002F296A">
          <w:rPr>
            <w:rStyle w:val="Hyperlink"/>
            <w:noProof/>
          </w:rPr>
          <w:t>3.7 Acknowledgements</w:t>
        </w:r>
        <w:r>
          <w:rPr>
            <w:noProof/>
            <w:webHidden/>
          </w:rPr>
          <w:tab/>
        </w:r>
        <w:r>
          <w:rPr>
            <w:noProof/>
            <w:webHidden/>
          </w:rPr>
          <w:fldChar w:fldCharType="begin"/>
        </w:r>
        <w:r>
          <w:rPr>
            <w:noProof/>
            <w:webHidden/>
          </w:rPr>
          <w:instrText xml:space="preserve"> PAGEREF _Toc200097011 \h </w:instrText>
        </w:r>
        <w:r>
          <w:rPr>
            <w:noProof/>
            <w:webHidden/>
          </w:rPr>
        </w:r>
        <w:r>
          <w:rPr>
            <w:noProof/>
            <w:webHidden/>
          </w:rPr>
          <w:fldChar w:fldCharType="separate"/>
        </w:r>
        <w:r>
          <w:rPr>
            <w:noProof/>
            <w:webHidden/>
          </w:rPr>
          <w:t>85</w:t>
        </w:r>
        <w:r>
          <w:rPr>
            <w:noProof/>
            <w:webHidden/>
          </w:rPr>
          <w:fldChar w:fldCharType="end"/>
        </w:r>
      </w:hyperlink>
    </w:p>
    <w:p w14:paraId="57E14E35" w14:textId="0751FA38" w:rsidR="00CF59A1" w:rsidRDefault="00CF59A1">
      <w:pPr>
        <w:pStyle w:val="TOC1"/>
        <w:tabs>
          <w:tab w:val="right" w:leader="dot" w:pos="9350"/>
        </w:tabs>
        <w:rPr>
          <w:rFonts w:asciiTheme="minorHAnsi" w:eastAsiaTheme="minorEastAsia" w:hAnsiTheme="minorHAnsi"/>
          <w:b w:val="0"/>
          <w:bCs w:val="0"/>
          <w:caps w:val="0"/>
          <w:noProof/>
          <w:color w:val="auto"/>
          <w:szCs w:val="24"/>
        </w:rPr>
      </w:pPr>
      <w:hyperlink w:anchor="_Toc200097012" w:history="1">
        <w:r w:rsidRPr="002F296A">
          <w:rPr>
            <w:rStyle w:val="Hyperlink"/>
            <w:noProof/>
          </w:rPr>
          <w:t>CHAPTER 4</w:t>
        </w:r>
        <w:r>
          <w:rPr>
            <w:noProof/>
            <w:webHidden/>
          </w:rPr>
          <w:tab/>
        </w:r>
        <w:r>
          <w:rPr>
            <w:noProof/>
            <w:webHidden/>
          </w:rPr>
          <w:fldChar w:fldCharType="begin"/>
        </w:r>
        <w:r>
          <w:rPr>
            <w:noProof/>
            <w:webHidden/>
          </w:rPr>
          <w:instrText xml:space="preserve"> PAGEREF _Toc200097012 \h </w:instrText>
        </w:r>
        <w:r>
          <w:rPr>
            <w:noProof/>
            <w:webHidden/>
          </w:rPr>
        </w:r>
        <w:r>
          <w:rPr>
            <w:noProof/>
            <w:webHidden/>
          </w:rPr>
          <w:fldChar w:fldCharType="separate"/>
        </w:r>
        <w:r>
          <w:rPr>
            <w:noProof/>
            <w:webHidden/>
          </w:rPr>
          <w:t>86</w:t>
        </w:r>
        <w:r>
          <w:rPr>
            <w:noProof/>
            <w:webHidden/>
          </w:rPr>
          <w:fldChar w:fldCharType="end"/>
        </w:r>
      </w:hyperlink>
    </w:p>
    <w:p w14:paraId="79821C12" w14:textId="5ECD07D9" w:rsidR="00CF59A1" w:rsidRDefault="00CF59A1">
      <w:pPr>
        <w:pStyle w:val="TOC2"/>
        <w:rPr>
          <w:rFonts w:asciiTheme="minorHAnsi" w:eastAsiaTheme="minorEastAsia" w:hAnsiTheme="minorHAnsi"/>
          <w:noProof/>
          <w:color w:val="auto"/>
          <w:szCs w:val="24"/>
        </w:rPr>
      </w:pPr>
      <w:hyperlink w:anchor="_Toc200097013" w:history="1">
        <w:r w:rsidRPr="002F296A">
          <w:rPr>
            <w:rStyle w:val="Hyperlink"/>
            <w:noProof/>
          </w:rPr>
          <w:t>Chronic obstructive pulmonary disease among former United States Department of Energy workers: comorbidities and lung function changes</w:t>
        </w:r>
        <w:r>
          <w:rPr>
            <w:noProof/>
            <w:webHidden/>
          </w:rPr>
          <w:tab/>
        </w:r>
        <w:r>
          <w:rPr>
            <w:noProof/>
            <w:webHidden/>
          </w:rPr>
          <w:fldChar w:fldCharType="begin"/>
        </w:r>
        <w:r>
          <w:rPr>
            <w:noProof/>
            <w:webHidden/>
          </w:rPr>
          <w:instrText xml:space="preserve"> PAGEREF _Toc200097013 \h </w:instrText>
        </w:r>
        <w:r>
          <w:rPr>
            <w:noProof/>
            <w:webHidden/>
          </w:rPr>
        </w:r>
        <w:r>
          <w:rPr>
            <w:noProof/>
            <w:webHidden/>
          </w:rPr>
          <w:fldChar w:fldCharType="separate"/>
        </w:r>
        <w:r>
          <w:rPr>
            <w:noProof/>
            <w:webHidden/>
          </w:rPr>
          <w:t>86</w:t>
        </w:r>
        <w:r>
          <w:rPr>
            <w:noProof/>
            <w:webHidden/>
          </w:rPr>
          <w:fldChar w:fldCharType="end"/>
        </w:r>
      </w:hyperlink>
    </w:p>
    <w:p w14:paraId="0F7BD00F" w14:textId="3D33F7BA" w:rsidR="00CF59A1" w:rsidRDefault="00CF59A1">
      <w:pPr>
        <w:pStyle w:val="TOC3"/>
        <w:tabs>
          <w:tab w:val="right" w:leader="dot" w:pos="9350"/>
        </w:tabs>
        <w:rPr>
          <w:rFonts w:asciiTheme="minorHAnsi" w:eastAsiaTheme="minorEastAsia" w:hAnsiTheme="minorHAnsi"/>
          <w:iCs w:val="0"/>
          <w:noProof/>
          <w:color w:val="auto"/>
          <w:szCs w:val="24"/>
        </w:rPr>
      </w:pPr>
      <w:hyperlink w:anchor="_Toc200097014" w:history="1">
        <w:r w:rsidRPr="002F296A">
          <w:rPr>
            <w:rStyle w:val="Hyperlink"/>
            <w:noProof/>
          </w:rPr>
          <w:t>4.1 Abstract</w:t>
        </w:r>
        <w:r>
          <w:rPr>
            <w:noProof/>
            <w:webHidden/>
          </w:rPr>
          <w:tab/>
        </w:r>
        <w:r>
          <w:rPr>
            <w:noProof/>
            <w:webHidden/>
          </w:rPr>
          <w:fldChar w:fldCharType="begin"/>
        </w:r>
        <w:r>
          <w:rPr>
            <w:noProof/>
            <w:webHidden/>
          </w:rPr>
          <w:instrText xml:space="preserve"> PAGEREF _Toc200097014 \h </w:instrText>
        </w:r>
        <w:r>
          <w:rPr>
            <w:noProof/>
            <w:webHidden/>
          </w:rPr>
        </w:r>
        <w:r>
          <w:rPr>
            <w:noProof/>
            <w:webHidden/>
          </w:rPr>
          <w:fldChar w:fldCharType="separate"/>
        </w:r>
        <w:r>
          <w:rPr>
            <w:noProof/>
            <w:webHidden/>
          </w:rPr>
          <w:t>87</w:t>
        </w:r>
        <w:r>
          <w:rPr>
            <w:noProof/>
            <w:webHidden/>
          </w:rPr>
          <w:fldChar w:fldCharType="end"/>
        </w:r>
      </w:hyperlink>
    </w:p>
    <w:p w14:paraId="1BE98A1F" w14:textId="3583547A" w:rsidR="00CF59A1" w:rsidRDefault="00CF59A1">
      <w:pPr>
        <w:pStyle w:val="TOC3"/>
        <w:tabs>
          <w:tab w:val="right" w:leader="dot" w:pos="9350"/>
        </w:tabs>
        <w:rPr>
          <w:rFonts w:asciiTheme="minorHAnsi" w:eastAsiaTheme="minorEastAsia" w:hAnsiTheme="minorHAnsi"/>
          <w:iCs w:val="0"/>
          <w:noProof/>
          <w:color w:val="auto"/>
          <w:szCs w:val="24"/>
        </w:rPr>
      </w:pPr>
      <w:hyperlink w:anchor="_Toc200097015" w:history="1">
        <w:r w:rsidRPr="002F296A">
          <w:rPr>
            <w:rStyle w:val="Hyperlink"/>
            <w:noProof/>
          </w:rPr>
          <w:t>4.2 Background</w:t>
        </w:r>
        <w:r>
          <w:rPr>
            <w:noProof/>
            <w:webHidden/>
          </w:rPr>
          <w:tab/>
        </w:r>
        <w:r>
          <w:rPr>
            <w:noProof/>
            <w:webHidden/>
          </w:rPr>
          <w:fldChar w:fldCharType="begin"/>
        </w:r>
        <w:r>
          <w:rPr>
            <w:noProof/>
            <w:webHidden/>
          </w:rPr>
          <w:instrText xml:space="preserve"> PAGEREF _Toc200097015 \h </w:instrText>
        </w:r>
        <w:r>
          <w:rPr>
            <w:noProof/>
            <w:webHidden/>
          </w:rPr>
        </w:r>
        <w:r>
          <w:rPr>
            <w:noProof/>
            <w:webHidden/>
          </w:rPr>
          <w:fldChar w:fldCharType="separate"/>
        </w:r>
        <w:r>
          <w:rPr>
            <w:noProof/>
            <w:webHidden/>
          </w:rPr>
          <w:t>89</w:t>
        </w:r>
        <w:r>
          <w:rPr>
            <w:noProof/>
            <w:webHidden/>
          </w:rPr>
          <w:fldChar w:fldCharType="end"/>
        </w:r>
      </w:hyperlink>
    </w:p>
    <w:p w14:paraId="6964835A" w14:textId="3847934F" w:rsidR="00CF59A1" w:rsidRDefault="00CF59A1">
      <w:pPr>
        <w:pStyle w:val="TOC3"/>
        <w:tabs>
          <w:tab w:val="right" w:leader="dot" w:pos="9350"/>
        </w:tabs>
        <w:rPr>
          <w:rFonts w:asciiTheme="minorHAnsi" w:eastAsiaTheme="minorEastAsia" w:hAnsiTheme="minorHAnsi"/>
          <w:iCs w:val="0"/>
          <w:noProof/>
          <w:color w:val="auto"/>
          <w:szCs w:val="24"/>
        </w:rPr>
      </w:pPr>
      <w:hyperlink w:anchor="_Toc200097016" w:history="1">
        <w:r w:rsidRPr="002F296A">
          <w:rPr>
            <w:rStyle w:val="Hyperlink"/>
            <w:noProof/>
          </w:rPr>
          <w:t>4.3 Methods</w:t>
        </w:r>
        <w:r>
          <w:rPr>
            <w:noProof/>
            <w:webHidden/>
          </w:rPr>
          <w:tab/>
        </w:r>
        <w:r>
          <w:rPr>
            <w:noProof/>
            <w:webHidden/>
          </w:rPr>
          <w:fldChar w:fldCharType="begin"/>
        </w:r>
        <w:r>
          <w:rPr>
            <w:noProof/>
            <w:webHidden/>
          </w:rPr>
          <w:instrText xml:space="preserve"> PAGEREF _Toc200097016 \h </w:instrText>
        </w:r>
        <w:r>
          <w:rPr>
            <w:noProof/>
            <w:webHidden/>
          </w:rPr>
        </w:r>
        <w:r>
          <w:rPr>
            <w:noProof/>
            <w:webHidden/>
          </w:rPr>
          <w:fldChar w:fldCharType="separate"/>
        </w:r>
        <w:r>
          <w:rPr>
            <w:noProof/>
            <w:webHidden/>
          </w:rPr>
          <w:t>90</w:t>
        </w:r>
        <w:r>
          <w:rPr>
            <w:noProof/>
            <w:webHidden/>
          </w:rPr>
          <w:fldChar w:fldCharType="end"/>
        </w:r>
      </w:hyperlink>
    </w:p>
    <w:p w14:paraId="50100775" w14:textId="534BCB49" w:rsidR="00CF59A1" w:rsidRDefault="00CF59A1">
      <w:pPr>
        <w:pStyle w:val="TOC4"/>
        <w:tabs>
          <w:tab w:val="right" w:leader="dot" w:pos="9350"/>
        </w:tabs>
        <w:rPr>
          <w:rFonts w:asciiTheme="minorHAnsi" w:eastAsiaTheme="minorEastAsia" w:hAnsiTheme="minorHAnsi"/>
          <w:noProof/>
          <w:color w:val="auto"/>
          <w:szCs w:val="24"/>
        </w:rPr>
      </w:pPr>
      <w:hyperlink w:anchor="_Toc200097017" w:history="1">
        <w:r w:rsidRPr="002F296A">
          <w:rPr>
            <w:rStyle w:val="Hyperlink"/>
            <w:noProof/>
          </w:rPr>
          <w:t>4.3.1 Ethical Statement</w:t>
        </w:r>
        <w:r>
          <w:rPr>
            <w:noProof/>
            <w:webHidden/>
          </w:rPr>
          <w:tab/>
        </w:r>
        <w:r>
          <w:rPr>
            <w:noProof/>
            <w:webHidden/>
          </w:rPr>
          <w:fldChar w:fldCharType="begin"/>
        </w:r>
        <w:r>
          <w:rPr>
            <w:noProof/>
            <w:webHidden/>
          </w:rPr>
          <w:instrText xml:space="preserve"> PAGEREF _Toc200097017 \h </w:instrText>
        </w:r>
        <w:r>
          <w:rPr>
            <w:noProof/>
            <w:webHidden/>
          </w:rPr>
        </w:r>
        <w:r>
          <w:rPr>
            <w:noProof/>
            <w:webHidden/>
          </w:rPr>
          <w:fldChar w:fldCharType="separate"/>
        </w:r>
        <w:r>
          <w:rPr>
            <w:noProof/>
            <w:webHidden/>
          </w:rPr>
          <w:t>90</w:t>
        </w:r>
        <w:r>
          <w:rPr>
            <w:noProof/>
            <w:webHidden/>
          </w:rPr>
          <w:fldChar w:fldCharType="end"/>
        </w:r>
      </w:hyperlink>
    </w:p>
    <w:p w14:paraId="11FB05B3" w14:textId="4BAC19A1" w:rsidR="00CF59A1" w:rsidRDefault="00CF59A1">
      <w:pPr>
        <w:pStyle w:val="TOC4"/>
        <w:tabs>
          <w:tab w:val="right" w:leader="dot" w:pos="9350"/>
        </w:tabs>
        <w:rPr>
          <w:rFonts w:asciiTheme="minorHAnsi" w:eastAsiaTheme="minorEastAsia" w:hAnsiTheme="minorHAnsi"/>
          <w:noProof/>
          <w:color w:val="auto"/>
          <w:szCs w:val="24"/>
        </w:rPr>
      </w:pPr>
      <w:hyperlink w:anchor="_Toc200097018" w:history="1">
        <w:r w:rsidRPr="002F296A">
          <w:rPr>
            <w:rStyle w:val="Hyperlink"/>
            <w:noProof/>
          </w:rPr>
          <w:t>4.3.2 Study Population</w:t>
        </w:r>
        <w:r>
          <w:rPr>
            <w:noProof/>
            <w:webHidden/>
          </w:rPr>
          <w:tab/>
        </w:r>
        <w:r>
          <w:rPr>
            <w:noProof/>
            <w:webHidden/>
          </w:rPr>
          <w:fldChar w:fldCharType="begin"/>
        </w:r>
        <w:r>
          <w:rPr>
            <w:noProof/>
            <w:webHidden/>
          </w:rPr>
          <w:instrText xml:space="preserve"> PAGEREF _Toc200097018 \h </w:instrText>
        </w:r>
        <w:r>
          <w:rPr>
            <w:noProof/>
            <w:webHidden/>
          </w:rPr>
        </w:r>
        <w:r>
          <w:rPr>
            <w:noProof/>
            <w:webHidden/>
          </w:rPr>
          <w:fldChar w:fldCharType="separate"/>
        </w:r>
        <w:r>
          <w:rPr>
            <w:noProof/>
            <w:webHidden/>
          </w:rPr>
          <w:t>90</w:t>
        </w:r>
        <w:r>
          <w:rPr>
            <w:noProof/>
            <w:webHidden/>
          </w:rPr>
          <w:fldChar w:fldCharType="end"/>
        </w:r>
      </w:hyperlink>
    </w:p>
    <w:p w14:paraId="6616509C" w14:textId="1205748A" w:rsidR="00CF59A1" w:rsidRDefault="00CF59A1">
      <w:pPr>
        <w:pStyle w:val="TOC4"/>
        <w:tabs>
          <w:tab w:val="right" w:leader="dot" w:pos="9350"/>
        </w:tabs>
        <w:rPr>
          <w:rFonts w:asciiTheme="minorHAnsi" w:eastAsiaTheme="minorEastAsia" w:hAnsiTheme="minorHAnsi"/>
          <w:noProof/>
          <w:color w:val="auto"/>
          <w:szCs w:val="24"/>
        </w:rPr>
      </w:pPr>
      <w:hyperlink w:anchor="_Toc200097019" w:history="1">
        <w:r w:rsidRPr="002F296A">
          <w:rPr>
            <w:rStyle w:val="Hyperlink"/>
            <w:noProof/>
          </w:rPr>
          <w:t>4.3.3 Data sources and preparation</w:t>
        </w:r>
        <w:r>
          <w:rPr>
            <w:noProof/>
            <w:webHidden/>
          </w:rPr>
          <w:tab/>
        </w:r>
        <w:r>
          <w:rPr>
            <w:noProof/>
            <w:webHidden/>
          </w:rPr>
          <w:fldChar w:fldCharType="begin"/>
        </w:r>
        <w:r>
          <w:rPr>
            <w:noProof/>
            <w:webHidden/>
          </w:rPr>
          <w:instrText xml:space="preserve"> PAGEREF _Toc200097019 \h </w:instrText>
        </w:r>
        <w:r>
          <w:rPr>
            <w:noProof/>
            <w:webHidden/>
          </w:rPr>
        </w:r>
        <w:r>
          <w:rPr>
            <w:noProof/>
            <w:webHidden/>
          </w:rPr>
          <w:fldChar w:fldCharType="separate"/>
        </w:r>
        <w:r>
          <w:rPr>
            <w:noProof/>
            <w:webHidden/>
          </w:rPr>
          <w:t>91</w:t>
        </w:r>
        <w:r>
          <w:rPr>
            <w:noProof/>
            <w:webHidden/>
          </w:rPr>
          <w:fldChar w:fldCharType="end"/>
        </w:r>
      </w:hyperlink>
    </w:p>
    <w:p w14:paraId="011F4D70" w14:textId="23D5C080" w:rsidR="00CF59A1" w:rsidRDefault="00CF59A1">
      <w:pPr>
        <w:pStyle w:val="TOC5"/>
        <w:tabs>
          <w:tab w:val="right" w:leader="dot" w:pos="9350"/>
        </w:tabs>
        <w:rPr>
          <w:rFonts w:asciiTheme="minorHAnsi" w:eastAsiaTheme="minorEastAsia" w:hAnsiTheme="minorHAnsi"/>
          <w:noProof/>
          <w:color w:val="auto"/>
          <w:szCs w:val="24"/>
        </w:rPr>
      </w:pPr>
      <w:hyperlink w:anchor="_Toc200097020" w:history="1">
        <w:r w:rsidRPr="002F296A">
          <w:rPr>
            <w:rStyle w:val="Hyperlink"/>
            <w:noProof/>
          </w:rPr>
          <w:t>4.3.3.1 Chronic obstructive pulmonary disease definition</w:t>
        </w:r>
        <w:r>
          <w:rPr>
            <w:noProof/>
            <w:webHidden/>
          </w:rPr>
          <w:tab/>
        </w:r>
        <w:r>
          <w:rPr>
            <w:noProof/>
            <w:webHidden/>
          </w:rPr>
          <w:fldChar w:fldCharType="begin"/>
        </w:r>
        <w:r>
          <w:rPr>
            <w:noProof/>
            <w:webHidden/>
          </w:rPr>
          <w:instrText xml:space="preserve"> PAGEREF _Toc200097020 \h </w:instrText>
        </w:r>
        <w:r>
          <w:rPr>
            <w:noProof/>
            <w:webHidden/>
          </w:rPr>
        </w:r>
        <w:r>
          <w:rPr>
            <w:noProof/>
            <w:webHidden/>
          </w:rPr>
          <w:fldChar w:fldCharType="separate"/>
        </w:r>
        <w:r>
          <w:rPr>
            <w:noProof/>
            <w:webHidden/>
          </w:rPr>
          <w:t>91</w:t>
        </w:r>
        <w:r>
          <w:rPr>
            <w:noProof/>
            <w:webHidden/>
          </w:rPr>
          <w:fldChar w:fldCharType="end"/>
        </w:r>
      </w:hyperlink>
    </w:p>
    <w:p w14:paraId="28EA7038" w14:textId="66589C1B" w:rsidR="00CF59A1" w:rsidRDefault="00CF59A1">
      <w:pPr>
        <w:pStyle w:val="TOC5"/>
        <w:tabs>
          <w:tab w:val="right" w:leader="dot" w:pos="9350"/>
        </w:tabs>
        <w:rPr>
          <w:rFonts w:asciiTheme="minorHAnsi" w:eastAsiaTheme="minorEastAsia" w:hAnsiTheme="minorHAnsi"/>
          <w:noProof/>
          <w:color w:val="auto"/>
          <w:szCs w:val="24"/>
        </w:rPr>
      </w:pPr>
      <w:hyperlink w:anchor="_Toc200097021" w:history="1">
        <w:r w:rsidRPr="002F296A">
          <w:rPr>
            <w:rStyle w:val="Hyperlink"/>
            <w:noProof/>
          </w:rPr>
          <w:t>4.3.3.2 Comorbidities Data</w:t>
        </w:r>
        <w:r>
          <w:rPr>
            <w:noProof/>
            <w:webHidden/>
          </w:rPr>
          <w:tab/>
        </w:r>
        <w:r>
          <w:rPr>
            <w:noProof/>
            <w:webHidden/>
          </w:rPr>
          <w:fldChar w:fldCharType="begin"/>
        </w:r>
        <w:r>
          <w:rPr>
            <w:noProof/>
            <w:webHidden/>
          </w:rPr>
          <w:instrText xml:space="preserve"> PAGEREF _Toc200097021 \h </w:instrText>
        </w:r>
        <w:r>
          <w:rPr>
            <w:noProof/>
            <w:webHidden/>
          </w:rPr>
        </w:r>
        <w:r>
          <w:rPr>
            <w:noProof/>
            <w:webHidden/>
          </w:rPr>
          <w:fldChar w:fldCharType="separate"/>
        </w:r>
        <w:r>
          <w:rPr>
            <w:noProof/>
            <w:webHidden/>
          </w:rPr>
          <w:t>91</w:t>
        </w:r>
        <w:r>
          <w:rPr>
            <w:noProof/>
            <w:webHidden/>
          </w:rPr>
          <w:fldChar w:fldCharType="end"/>
        </w:r>
      </w:hyperlink>
    </w:p>
    <w:p w14:paraId="44DFE677" w14:textId="208BF65F" w:rsidR="00CF59A1" w:rsidRDefault="00CF59A1">
      <w:pPr>
        <w:pStyle w:val="TOC5"/>
        <w:tabs>
          <w:tab w:val="right" w:leader="dot" w:pos="9350"/>
        </w:tabs>
        <w:rPr>
          <w:rFonts w:asciiTheme="minorHAnsi" w:eastAsiaTheme="minorEastAsia" w:hAnsiTheme="minorHAnsi"/>
          <w:noProof/>
          <w:color w:val="auto"/>
          <w:szCs w:val="24"/>
        </w:rPr>
      </w:pPr>
      <w:hyperlink w:anchor="_Toc200097022" w:history="1">
        <w:r w:rsidRPr="002F296A">
          <w:rPr>
            <w:rStyle w:val="Hyperlink"/>
            <w:noProof/>
          </w:rPr>
          <w:t>4.3.3.3 Demographic, clinical, behavioral, and work history data</w:t>
        </w:r>
        <w:r>
          <w:rPr>
            <w:noProof/>
            <w:webHidden/>
          </w:rPr>
          <w:tab/>
        </w:r>
        <w:r>
          <w:rPr>
            <w:noProof/>
            <w:webHidden/>
          </w:rPr>
          <w:fldChar w:fldCharType="begin"/>
        </w:r>
        <w:r>
          <w:rPr>
            <w:noProof/>
            <w:webHidden/>
          </w:rPr>
          <w:instrText xml:space="preserve"> PAGEREF _Toc200097022 \h </w:instrText>
        </w:r>
        <w:r>
          <w:rPr>
            <w:noProof/>
            <w:webHidden/>
          </w:rPr>
        </w:r>
        <w:r>
          <w:rPr>
            <w:noProof/>
            <w:webHidden/>
          </w:rPr>
          <w:fldChar w:fldCharType="separate"/>
        </w:r>
        <w:r>
          <w:rPr>
            <w:noProof/>
            <w:webHidden/>
          </w:rPr>
          <w:t>94</w:t>
        </w:r>
        <w:r>
          <w:rPr>
            <w:noProof/>
            <w:webHidden/>
          </w:rPr>
          <w:fldChar w:fldCharType="end"/>
        </w:r>
      </w:hyperlink>
    </w:p>
    <w:p w14:paraId="5C994B91" w14:textId="61732382" w:rsidR="00CF59A1" w:rsidRDefault="00CF59A1">
      <w:pPr>
        <w:pStyle w:val="TOC4"/>
        <w:tabs>
          <w:tab w:val="right" w:leader="dot" w:pos="9350"/>
        </w:tabs>
        <w:rPr>
          <w:rFonts w:asciiTheme="minorHAnsi" w:eastAsiaTheme="minorEastAsia" w:hAnsiTheme="minorHAnsi"/>
          <w:noProof/>
          <w:color w:val="auto"/>
          <w:szCs w:val="24"/>
        </w:rPr>
      </w:pPr>
      <w:hyperlink w:anchor="_Toc200097023" w:history="1">
        <w:r w:rsidRPr="002F296A">
          <w:rPr>
            <w:rStyle w:val="Hyperlink"/>
            <w:noProof/>
          </w:rPr>
          <w:t>4.3.4 Statistical &amp; machine learning analyses</w:t>
        </w:r>
        <w:r>
          <w:rPr>
            <w:noProof/>
            <w:webHidden/>
          </w:rPr>
          <w:tab/>
        </w:r>
        <w:r>
          <w:rPr>
            <w:noProof/>
            <w:webHidden/>
          </w:rPr>
          <w:fldChar w:fldCharType="begin"/>
        </w:r>
        <w:r>
          <w:rPr>
            <w:noProof/>
            <w:webHidden/>
          </w:rPr>
          <w:instrText xml:space="preserve"> PAGEREF _Toc200097023 \h </w:instrText>
        </w:r>
        <w:r>
          <w:rPr>
            <w:noProof/>
            <w:webHidden/>
          </w:rPr>
        </w:r>
        <w:r>
          <w:rPr>
            <w:noProof/>
            <w:webHidden/>
          </w:rPr>
          <w:fldChar w:fldCharType="separate"/>
        </w:r>
        <w:r>
          <w:rPr>
            <w:noProof/>
            <w:webHidden/>
          </w:rPr>
          <w:t>94</w:t>
        </w:r>
        <w:r>
          <w:rPr>
            <w:noProof/>
            <w:webHidden/>
          </w:rPr>
          <w:fldChar w:fldCharType="end"/>
        </w:r>
      </w:hyperlink>
    </w:p>
    <w:p w14:paraId="7FF4E438" w14:textId="684FC44E" w:rsidR="00CF59A1" w:rsidRDefault="00CF59A1">
      <w:pPr>
        <w:pStyle w:val="TOC5"/>
        <w:tabs>
          <w:tab w:val="right" w:leader="dot" w:pos="9350"/>
        </w:tabs>
        <w:rPr>
          <w:rFonts w:asciiTheme="minorHAnsi" w:eastAsiaTheme="minorEastAsia" w:hAnsiTheme="minorHAnsi"/>
          <w:noProof/>
          <w:color w:val="auto"/>
          <w:szCs w:val="24"/>
        </w:rPr>
      </w:pPr>
      <w:hyperlink w:anchor="_Toc200097024" w:history="1">
        <w:r w:rsidRPr="002F296A">
          <w:rPr>
            <w:rStyle w:val="Hyperlink"/>
            <w:noProof/>
          </w:rPr>
          <w:t>4.3.4.1 Descriptive statistics</w:t>
        </w:r>
        <w:r>
          <w:rPr>
            <w:noProof/>
            <w:webHidden/>
          </w:rPr>
          <w:tab/>
        </w:r>
        <w:r>
          <w:rPr>
            <w:noProof/>
            <w:webHidden/>
          </w:rPr>
          <w:fldChar w:fldCharType="begin"/>
        </w:r>
        <w:r>
          <w:rPr>
            <w:noProof/>
            <w:webHidden/>
          </w:rPr>
          <w:instrText xml:space="preserve"> PAGEREF _Toc200097024 \h </w:instrText>
        </w:r>
        <w:r>
          <w:rPr>
            <w:noProof/>
            <w:webHidden/>
          </w:rPr>
        </w:r>
        <w:r>
          <w:rPr>
            <w:noProof/>
            <w:webHidden/>
          </w:rPr>
          <w:fldChar w:fldCharType="separate"/>
        </w:r>
        <w:r>
          <w:rPr>
            <w:noProof/>
            <w:webHidden/>
          </w:rPr>
          <w:t>94</w:t>
        </w:r>
        <w:r>
          <w:rPr>
            <w:noProof/>
            <w:webHidden/>
          </w:rPr>
          <w:fldChar w:fldCharType="end"/>
        </w:r>
      </w:hyperlink>
    </w:p>
    <w:p w14:paraId="70E443C8" w14:textId="20C573E1" w:rsidR="00CF59A1" w:rsidRDefault="00CF59A1">
      <w:pPr>
        <w:pStyle w:val="TOC5"/>
        <w:tabs>
          <w:tab w:val="right" w:leader="dot" w:pos="9350"/>
        </w:tabs>
        <w:rPr>
          <w:rFonts w:asciiTheme="minorHAnsi" w:eastAsiaTheme="minorEastAsia" w:hAnsiTheme="minorHAnsi"/>
          <w:noProof/>
          <w:color w:val="auto"/>
          <w:szCs w:val="24"/>
        </w:rPr>
      </w:pPr>
      <w:hyperlink w:anchor="_Toc200097025" w:history="1">
        <w:r w:rsidRPr="002F296A">
          <w:rPr>
            <w:rStyle w:val="Hyperlink"/>
            <w:noProof/>
          </w:rPr>
          <w:t>4.3.4.2 Multiple imputation</w:t>
        </w:r>
        <w:r>
          <w:rPr>
            <w:noProof/>
            <w:webHidden/>
          </w:rPr>
          <w:tab/>
        </w:r>
        <w:r>
          <w:rPr>
            <w:noProof/>
            <w:webHidden/>
          </w:rPr>
          <w:fldChar w:fldCharType="begin"/>
        </w:r>
        <w:r>
          <w:rPr>
            <w:noProof/>
            <w:webHidden/>
          </w:rPr>
          <w:instrText xml:space="preserve"> PAGEREF _Toc200097025 \h </w:instrText>
        </w:r>
        <w:r>
          <w:rPr>
            <w:noProof/>
            <w:webHidden/>
          </w:rPr>
        </w:r>
        <w:r>
          <w:rPr>
            <w:noProof/>
            <w:webHidden/>
          </w:rPr>
          <w:fldChar w:fldCharType="separate"/>
        </w:r>
        <w:r>
          <w:rPr>
            <w:noProof/>
            <w:webHidden/>
          </w:rPr>
          <w:t>95</w:t>
        </w:r>
        <w:r>
          <w:rPr>
            <w:noProof/>
            <w:webHidden/>
          </w:rPr>
          <w:fldChar w:fldCharType="end"/>
        </w:r>
      </w:hyperlink>
    </w:p>
    <w:p w14:paraId="00095136" w14:textId="305FD003" w:rsidR="00CF59A1" w:rsidRDefault="00CF59A1">
      <w:pPr>
        <w:pStyle w:val="TOC5"/>
        <w:tabs>
          <w:tab w:val="right" w:leader="dot" w:pos="9350"/>
        </w:tabs>
        <w:rPr>
          <w:rFonts w:asciiTheme="minorHAnsi" w:eastAsiaTheme="minorEastAsia" w:hAnsiTheme="minorHAnsi"/>
          <w:noProof/>
          <w:color w:val="auto"/>
          <w:szCs w:val="24"/>
        </w:rPr>
      </w:pPr>
      <w:hyperlink w:anchor="_Toc200097026" w:history="1">
        <w:r w:rsidRPr="002F296A">
          <w:rPr>
            <w:rStyle w:val="Hyperlink"/>
            <w:noProof/>
          </w:rPr>
          <w:t>4.3.4.3 Investigation of chronic obstructive pulmonary disease comorbidity clusters</w:t>
        </w:r>
        <w:r>
          <w:rPr>
            <w:noProof/>
            <w:webHidden/>
          </w:rPr>
          <w:tab/>
        </w:r>
        <w:r>
          <w:rPr>
            <w:noProof/>
            <w:webHidden/>
          </w:rPr>
          <w:fldChar w:fldCharType="begin"/>
        </w:r>
        <w:r>
          <w:rPr>
            <w:noProof/>
            <w:webHidden/>
          </w:rPr>
          <w:instrText xml:space="preserve"> PAGEREF _Toc200097026 \h </w:instrText>
        </w:r>
        <w:r>
          <w:rPr>
            <w:noProof/>
            <w:webHidden/>
          </w:rPr>
        </w:r>
        <w:r>
          <w:rPr>
            <w:noProof/>
            <w:webHidden/>
          </w:rPr>
          <w:fldChar w:fldCharType="separate"/>
        </w:r>
        <w:r>
          <w:rPr>
            <w:noProof/>
            <w:webHidden/>
          </w:rPr>
          <w:t>95</w:t>
        </w:r>
        <w:r>
          <w:rPr>
            <w:noProof/>
            <w:webHidden/>
          </w:rPr>
          <w:fldChar w:fldCharType="end"/>
        </w:r>
      </w:hyperlink>
    </w:p>
    <w:p w14:paraId="007D3A58" w14:textId="4CA20FF7" w:rsidR="00CF59A1" w:rsidRDefault="00CF59A1">
      <w:pPr>
        <w:pStyle w:val="TOC5"/>
        <w:tabs>
          <w:tab w:val="right" w:leader="dot" w:pos="9350"/>
        </w:tabs>
        <w:rPr>
          <w:rFonts w:asciiTheme="minorHAnsi" w:eastAsiaTheme="minorEastAsia" w:hAnsiTheme="minorHAnsi"/>
          <w:noProof/>
          <w:color w:val="auto"/>
          <w:szCs w:val="24"/>
        </w:rPr>
      </w:pPr>
      <w:hyperlink w:anchor="_Toc200097027" w:history="1">
        <w:r w:rsidRPr="002F296A">
          <w:rPr>
            <w:rStyle w:val="Hyperlink"/>
            <w:noProof/>
          </w:rPr>
          <w:t>4.3.4.4 Investigation of predictors of lung function changes and decline</w:t>
        </w:r>
        <w:r>
          <w:rPr>
            <w:noProof/>
            <w:webHidden/>
          </w:rPr>
          <w:tab/>
        </w:r>
        <w:r>
          <w:rPr>
            <w:noProof/>
            <w:webHidden/>
          </w:rPr>
          <w:fldChar w:fldCharType="begin"/>
        </w:r>
        <w:r>
          <w:rPr>
            <w:noProof/>
            <w:webHidden/>
          </w:rPr>
          <w:instrText xml:space="preserve"> PAGEREF _Toc200097027 \h </w:instrText>
        </w:r>
        <w:r>
          <w:rPr>
            <w:noProof/>
            <w:webHidden/>
          </w:rPr>
        </w:r>
        <w:r>
          <w:rPr>
            <w:noProof/>
            <w:webHidden/>
          </w:rPr>
          <w:fldChar w:fldCharType="separate"/>
        </w:r>
        <w:r>
          <w:rPr>
            <w:noProof/>
            <w:webHidden/>
          </w:rPr>
          <w:t>96</w:t>
        </w:r>
        <w:r>
          <w:rPr>
            <w:noProof/>
            <w:webHidden/>
          </w:rPr>
          <w:fldChar w:fldCharType="end"/>
        </w:r>
      </w:hyperlink>
    </w:p>
    <w:p w14:paraId="5F33FE83" w14:textId="64CBFDCB" w:rsidR="00CF59A1" w:rsidRDefault="00CF59A1">
      <w:pPr>
        <w:pStyle w:val="TOC3"/>
        <w:tabs>
          <w:tab w:val="right" w:leader="dot" w:pos="9350"/>
        </w:tabs>
        <w:rPr>
          <w:rFonts w:asciiTheme="minorHAnsi" w:eastAsiaTheme="minorEastAsia" w:hAnsiTheme="minorHAnsi"/>
          <w:iCs w:val="0"/>
          <w:noProof/>
          <w:color w:val="auto"/>
          <w:szCs w:val="24"/>
        </w:rPr>
      </w:pPr>
      <w:hyperlink w:anchor="_Toc200097028" w:history="1">
        <w:r w:rsidRPr="002F296A">
          <w:rPr>
            <w:rStyle w:val="Hyperlink"/>
            <w:noProof/>
          </w:rPr>
          <w:t>4.4 Results</w:t>
        </w:r>
        <w:r>
          <w:rPr>
            <w:noProof/>
            <w:webHidden/>
          </w:rPr>
          <w:tab/>
        </w:r>
        <w:r>
          <w:rPr>
            <w:noProof/>
            <w:webHidden/>
          </w:rPr>
          <w:fldChar w:fldCharType="begin"/>
        </w:r>
        <w:r>
          <w:rPr>
            <w:noProof/>
            <w:webHidden/>
          </w:rPr>
          <w:instrText xml:space="preserve"> PAGEREF _Toc200097028 \h </w:instrText>
        </w:r>
        <w:r>
          <w:rPr>
            <w:noProof/>
            <w:webHidden/>
          </w:rPr>
        </w:r>
        <w:r>
          <w:rPr>
            <w:noProof/>
            <w:webHidden/>
          </w:rPr>
          <w:fldChar w:fldCharType="separate"/>
        </w:r>
        <w:r>
          <w:rPr>
            <w:noProof/>
            <w:webHidden/>
          </w:rPr>
          <w:t>98</w:t>
        </w:r>
        <w:r>
          <w:rPr>
            <w:noProof/>
            <w:webHidden/>
          </w:rPr>
          <w:fldChar w:fldCharType="end"/>
        </w:r>
      </w:hyperlink>
    </w:p>
    <w:p w14:paraId="68B7C617" w14:textId="6C41D48A" w:rsidR="00CF59A1" w:rsidRDefault="00CF59A1">
      <w:pPr>
        <w:pStyle w:val="TOC4"/>
        <w:tabs>
          <w:tab w:val="right" w:leader="dot" w:pos="9350"/>
        </w:tabs>
        <w:rPr>
          <w:rFonts w:asciiTheme="minorHAnsi" w:eastAsiaTheme="minorEastAsia" w:hAnsiTheme="minorHAnsi"/>
          <w:noProof/>
          <w:color w:val="auto"/>
          <w:szCs w:val="24"/>
        </w:rPr>
      </w:pPr>
      <w:hyperlink w:anchor="_Toc200097029" w:history="1">
        <w:r w:rsidRPr="002F296A">
          <w:rPr>
            <w:rStyle w:val="Hyperlink"/>
            <w:noProof/>
          </w:rPr>
          <w:t>4.4.1 Descriptive statistics</w:t>
        </w:r>
        <w:r>
          <w:rPr>
            <w:noProof/>
            <w:webHidden/>
          </w:rPr>
          <w:tab/>
        </w:r>
        <w:r>
          <w:rPr>
            <w:noProof/>
            <w:webHidden/>
          </w:rPr>
          <w:fldChar w:fldCharType="begin"/>
        </w:r>
        <w:r>
          <w:rPr>
            <w:noProof/>
            <w:webHidden/>
          </w:rPr>
          <w:instrText xml:space="preserve"> PAGEREF _Toc200097029 \h </w:instrText>
        </w:r>
        <w:r>
          <w:rPr>
            <w:noProof/>
            <w:webHidden/>
          </w:rPr>
        </w:r>
        <w:r>
          <w:rPr>
            <w:noProof/>
            <w:webHidden/>
          </w:rPr>
          <w:fldChar w:fldCharType="separate"/>
        </w:r>
        <w:r>
          <w:rPr>
            <w:noProof/>
            <w:webHidden/>
          </w:rPr>
          <w:t>98</w:t>
        </w:r>
        <w:r>
          <w:rPr>
            <w:noProof/>
            <w:webHidden/>
          </w:rPr>
          <w:fldChar w:fldCharType="end"/>
        </w:r>
      </w:hyperlink>
    </w:p>
    <w:p w14:paraId="6D3754DE" w14:textId="3B7A293C" w:rsidR="00CF59A1" w:rsidRDefault="00CF59A1">
      <w:pPr>
        <w:pStyle w:val="TOC4"/>
        <w:tabs>
          <w:tab w:val="right" w:leader="dot" w:pos="9350"/>
        </w:tabs>
        <w:rPr>
          <w:rFonts w:asciiTheme="minorHAnsi" w:eastAsiaTheme="minorEastAsia" w:hAnsiTheme="minorHAnsi"/>
          <w:noProof/>
          <w:color w:val="auto"/>
          <w:szCs w:val="24"/>
        </w:rPr>
      </w:pPr>
      <w:hyperlink w:anchor="_Toc200097030" w:history="1">
        <w:r w:rsidRPr="002F296A">
          <w:rPr>
            <w:rStyle w:val="Hyperlink"/>
            <w:noProof/>
          </w:rPr>
          <w:t>4.4.2 Comorbidity clusters</w:t>
        </w:r>
        <w:r>
          <w:rPr>
            <w:noProof/>
            <w:webHidden/>
          </w:rPr>
          <w:tab/>
        </w:r>
        <w:r>
          <w:rPr>
            <w:noProof/>
            <w:webHidden/>
          </w:rPr>
          <w:fldChar w:fldCharType="begin"/>
        </w:r>
        <w:r>
          <w:rPr>
            <w:noProof/>
            <w:webHidden/>
          </w:rPr>
          <w:instrText xml:space="preserve"> PAGEREF _Toc200097030 \h </w:instrText>
        </w:r>
        <w:r>
          <w:rPr>
            <w:noProof/>
            <w:webHidden/>
          </w:rPr>
        </w:r>
        <w:r>
          <w:rPr>
            <w:noProof/>
            <w:webHidden/>
          </w:rPr>
          <w:fldChar w:fldCharType="separate"/>
        </w:r>
        <w:r>
          <w:rPr>
            <w:noProof/>
            <w:webHidden/>
          </w:rPr>
          <w:t>104</w:t>
        </w:r>
        <w:r>
          <w:rPr>
            <w:noProof/>
            <w:webHidden/>
          </w:rPr>
          <w:fldChar w:fldCharType="end"/>
        </w:r>
      </w:hyperlink>
    </w:p>
    <w:p w14:paraId="7EBFB3CB" w14:textId="2A92265D" w:rsidR="00CF59A1" w:rsidRDefault="00CF59A1">
      <w:pPr>
        <w:pStyle w:val="TOC4"/>
        <w:tabs>
          <w:tab w:val="right" w:leader="dot" w:pos="9350"/>
        </w:tabs>
        <w:rPr>
          <w:rFonts w:asciiTheme="minorHAnsi" w:eastAsiaTheme="minorEastAsia" w:hAnsiTheme="minorHAnsi"/>
          <w:noProof/>
          <w:color w:val="auto"/>
          <w:szCs w:val="24"/>
        </w:rPr>
      </w:pPr>
      <w:hyperlink w:anchor="_Toc200097031" w:history="1">
        <w:r w:rsidRPr="002F296A">
          <w:rPr>
            <w:rStyle w:val="Hyperlink"/>
            <w:noProof/>
          </w:rPr>
          <w:t>4.4.3 Predictors of FEV</w:t>
        </w:r>
        <w:r w:rsidRPr="002F296A">
          <w:rPr>
            <w:rStyle w:val="Hyperlink"/>
            <w:noProof/>
            <w:vertAlign w:val="subscript"/>
          </w:rPr>
          <w:t>1</w:t>
        </w:r>
        <w:r w:rsidRPr="002F296A">
          <w:rPr>
            <w:rStyle w:val="Hyperlink"/>
            <w:noProof/>
          </w:rPr>
          <w:t xml:space="preserve"> change</w:t>
        </w:r>
        <w:r>
          <w:rPr>
            <w:noProof/>
            <w:webHidden/>
          </w:rPr>
          <w:tab/>
        </w:r>
        <w:r>
          <w:rPr>
            <w:noProof/>
            <w:webHidden/>
          </w:rPr>
          <w:fldChar w:fldCharType="begin"/>
        </w:r>
        <w:r>
          <w:rPr>
            <w:noProof/>
            <w:webHidden/>
          </w:rPr>
          <w:instrText xml:space="preserve"> PAGEREF _Toc200097031 \h </w:instrText>
        </w:r>
        <w:r>
          <w:rPr>
            <w:noProof/>
            <w:webHidden/>
          </w:rPr>
        </w:r>
        <w:r>
          <w:rPr>
            <w:noProof/>
            <w:webHidden/>
          </w:rPr>
          <w:fldChar w:fldCharType="separate"/>
        </w:r>
        <w:r>
          <w:rPr>
            <w:noProof/>
            <w:webHidden/>
          </w:rPr>
          <w:t>107</w:t>
        </w:r>
        <w:r>
          <w:rPr>
            <w:noProof/>
            <w:webHidden/>
          </w:rPr>
          <w:fldChar w:fldCharType="end"/>
        </w:r>
      </w:hyperlink>
    </w:p>
    <w:p w14:paraId="1B61695C" w14:textId="161439E2" w:rsidR="00CF59A1" w:rsidRDefault="00CF59A1">
      <w:pPr>
        <w:pStyle w:val="TOC4"/>
        <w:tabs>
          <w:tab w:val="right" w:leader="dot" w:pos="9350"/>
        </w:tabs>
        <w:rPr>
          <w:rFonts w:asciiTheme="minorHAnsi" w:eastAsiaTheme="minorEastAsia" w:hAnsiTheme="minorHAnsi"/>
          <w:noProof/>
          <w:color w:val="auto"/>
          <w:szCs w:val="24"/>
        </w:rPr>
      </w:pPr>
      <w:hyperlink w:anchor="_Toc200097032" w:history="1">
        <w:r w:rsidRPr="002F296A">
          <w:rPr>
            <w:rStyle w:val="Hyperlink"/>
            <w:noProof/>
          </w:rPr>
          <w:t>4.4.4 Predictors of FEV</w:t>
        </w:r>
        <w:r w:rsidRPr="002F296A">
          <w:rPr>
            <w:rStyle w:val="Hyperlink"/>
            <w:noProof/>
            <w:vertAlign w:val="subscript"/>
          </w:rPr>
          <w:t>1</w:t>
        </w:r>
        <w:r w:rsidRPr="002F296A">
          <w:rPr>
            <w:rStyle w:val="Hyperlink"/>
            <w:noProof/>
          </w:rPr>
          <w:t xml:space="preserve"> decline</w:t>
        </w:r>
        <w:r>
          <w:rPr>
            <w:noProof/>
            <w:webHidden/>
          </w:rPr>
          <w:tab/>
        </w:r>
        <w:r>
          <w:rPr>
            <w:noProof/>
            <w:webHidden/>
          </w:rPr>
          <w:fldChar w:fldCharType="begin"/>
        </w:r>
        <w:r>
          <w:rPr>
            <w:noProof/>
            <w:webHidden/>
          </w:rPr>
          <w:instrText xml:space="preserve"> PAGEREF _Toc200097032 \h </w:instrText>
        </w:r>
        <w:r>
          <w:rPr>
            <w:noProof/>
            <w:webHidden/>
          </w:rPr>
        </w:r>
        <w:r>
          <w:rPr>
            <w:noProof/>
            <w:webHidden/>
          </w:rPr>
          <w:fldChar w:fldCharType="separate"/>
        </w:r>
        <w:r>
          <w:rPr>
            <w:noProof/>
            <w:webHidden/>
          </w:rPr>
          <w:t>114</w:t>
        </w:r>
        <w:r>
          <w:rPr>
            <w:noProof/>
            <w:webHidden/>
          </w:rPr>
          <w:fldChar w:fldCharType="end"/>
        </w:r>
      </w:hyperlink>
    </w:p>
    <w:p w14:paraId="0313B695" w14:textId="31F371A2" w:rsidR="00CF59A1" w:rsidRDefault="00CF59A1">
      <w:pPr>
        <w:pStyle w:val="TOC3"/>
        <w:tabs>
          <w:tab w:val="right" w:leader="dot" w:pos="9350"/>
        </w:tabs>
        <w:rPr>
          <w:rFonts w:asciiTheme="minorHAnsi" w:eastAsiaTheme="minorEastAsia" w:hAnsiTheme="minorHAnsi"/>
          <w:iCs w:val="0"/>
          <w:noProof/>
          <w:color w:val="auto"/>
          <w:szCs w:val="24"/>
        </w:rPr>
      </w:pPr>
      <w:hyperlink w:anchor="_Toc200097033" w:history="1">
        <w:r w:rsidRPr="002F296A">
          <w:rPr>
            <w:rStyle w:val="Hyperlink"/>
            <w:noProof/>
          </w:rPr>
          <w:t>4.5 Discussion</w:t>
        </w:r>
        <w:r>
          <w:rPr>
            <w:noProof/>
            <w:webHidden/>
          </w:rPr>
          <w:tab/>
        </w:r>
        <w:r>
          <w:rPr>
            <w:noProof/>
            <w:webHidden/>
          </w:rPr>
          <w:fldChar w:fldCharType="begin"/>
        </w:r>
        <w:r>
          <w:rPr>
            <w:noProof/>
            <w:webHidden/>
          </w:rPr>
          <w:instrText xml:space="preserve"> PAGEREF _Toc200097033 \h </w:instrText>
        </w:r>
        <w:r>
          <w:rPr>
            <w:noProof/>
            <w:webHidden/>
          </w:rPr>
        </w:r>
        <w:r>
          <w:rPr>
            <w:noProof/>
            <w:webHidden/>
          </w:rPr>
          <w:fldChar w:fldCharType="separate"/>
        </w:r>
        <w:r>
          <w:rPr>
            <w:noProof/>
            <w:webHidden/>
          </w:rPr>
          <w:t>115</w:t>
        </w:r>
        <w:r>
          <w:rPr>
            <w:noProof/>
            <w:webHidden/>
          </w:rPr>
          <w:fldChar w:fldCharType="end"/>
        </w:r>
      </w:hyperlink>
    </w:p>
    <w:p w14:paraId="26502289" w14:textId="3B569816" w:rsidR="00CF59A1" w:rsidRDefault="00CF59A1">
      <w:pPr>
        <w:pStyle w:val="TOC4"/>
        <w:tabs>
          <w:tab w:val="right" w:leader="dot" w:pos="9350"/>
        </w:tabs>
        <w:rPr>
          <w:rFonts w:asciiTheme="minorHAnsi" w:eastAsiaTheme="minorEastAsia" w:hAnsiTheme="minorHAnsi"/>
          <w:noProof/>
          <w:color w:val="auto"/>
          <w:szCs w:val="24"/>
        </w:rPr>
      </w:pPr>
      <w:hyperlink w:anchor="_Toc200097034" w:history="1">
        <w:r w:rsidRPr="002F296A">
          <w:rPr>
            <w:rStyle w:val="Hyperlink"/>
            <w:noProof/>
          </w:rPr>
          <w:t>4.5.1 Comorbidity Cluster Identification</w:t>
        </w:r>
        <w:r>
          <w:rPr>
            <w:noProof/>
            <w:webHidden/>
          </w:rPr>
          <w:tab/>
        </w:r>
        <w:r>
          <w:rPr>
            <w:noProof/>
            <w:webHidden/>
          </w:rPr>
          <w:fldChar w:fldCharType="begin"/>
        </w:r>
        <w:r>
          <w:rPr>
            <w:noProof/>
            <w:webHidden/>
          </w:rPr>
          <w:instrText xml:space="preserve"> PAGEREF _Toc200097034 \h </w:instrText>
        </w:r>
        <w:r>
          <w:rPr>
            <w:noProof/>
            <w:webHidden/>
          </w:rPr>
        </w:r>
        <w:r>
          <w:rPr>
            <w:noProof/>
            <w:webHidden/>
          </w:rPr>
          <w:fldChar w:fldCharType="separate"/>
        </w:r>
        <w:r>
          <w:rPr>
            <w:noProof/>
            <w:webHidden/>
          </w:rPr>
          <w:t>115</w:t>
        </w:r>
        <w:r>
          <w:rPr>
            <w:noProof/>
            <w:webHidden/>
          </w:rPr>
          <w:fldChar w:fldCharType="end"/>
        </w:r>
      </w:hyperlink>
    </w:p>
    <w:p w14:paraId="6B49A248" w14:textId="42252CE8" w:rsidR="00CF59A1" w:rsidRDefault="00CF59A1">
      <w:pPr>
        <w:pStyle w:val="TOC4"/>
        <w:tabs>
          <w:tab w:val="right" w:leader="dot" w:pos="9350"/>
        </w:tabs>
        <w:rPr>
          <w:rFonts w:asciiTheme="minorHAnsi" w:eastAsiaTheme="minorEastAsia" w:hAnsiTheme="minorHAnsi"/>
          <w:noProof/>
          <w:color w:val="auto"/>
          <w:szCs w:val="24"/>
        </w:rPr>
      </w:pPr>
      <w:hyperlink w:anchor="_Toc200097035" w:history="1">
        <w:r w:rsidRPr="002F296A">
          <w:rPr>
            <w:rStyle w:val="Hyperlink"/>
            <w:noProof/>
          </w:rPr>
          <w:t>4.5.2 Prediction of FEV</w:t>
        </w:r>
        <w:r w:rsidRPr="002F296A">
          <w:rPr>
            <w:rStyle w:val="Hyperlink"/>
            <w:noProof/>
            <w:vertAlign w:val="subscript"/>
          </w:rPr>
          <w:t>1</w:t>
        </w:r>
        <w:r w:rsidRPr="002F296A">
          <w:rPr>
            <w:rStyle w:val="Hyperlink"/>
            <w:noProof/>
          </w:rPr>
          <w:t xml:space="preserve"> Change</w:t>
        </w:r>
        <w:r>
          <w:rPr>
            <w:noProof/>
            <w:webHidden/>
          </w:rPr>
          <w:tab/>
        </w:r>
        <w:r>
          <w:rPr>
            <w:noProof/>
            <w:webHidden/>
          </w:rPr>
          <w:fldChar w:fldCharType="begin"/>
        </w:r>
        <w:r>
          <w:rPr>
            <w:noProof/>
            <w:webHidden/>
          </w:rPr>
          <w:instrText xml:space="preserve"> PAGEREF _Toc200097035 \h </w:instrText>
        </w:r>
        <w:r>
          <w:rPr>
            <w:noProof/>
            <w:webHidden/>
          </w:rPr>
        </w:r>
        <w:r>
          <w:rPr>
            <w:noProof/>
            <w:webHidden/>
          </w:rPr>
          <w:fldChar w:fldCharType="separate"/>
        </w:r>
        <w:r>
          <w:rPr>
            <w:noProof/>
            <w:webHidden/>
          </w:rPr>
          <w:t>116</w:t>
        </w:r>
        <w:r>
          <w:rPr>
            <w:noProof/>
            <w:webHidden/>
          </w:rPr>
          <w:fldChar w:fldCharType="end"/>
        </w:r>
      </w:hyperlink>
    </w:p>
    <w:p w14:paraId="02E3A410" w14:textId="3FA8DE04" w:rsidR="00CF59A1" w:rsidRDefault="00CF59A1">
      <w:pPr>
        <w:pStyle w:val="TOC4"/>
        <w:tabs>
          <w:tab w:val="right" w:leader="dot" w:pos="9350"/>
        </w:tabs>
        <w:rPr>
          <w:rFonts w:asciiTheme="minorHAnsi" w:eastAsiaTheme="minorEastAsia" w:hAnsiTheme="minorHAnsi"/>
          <w:noProof/>
          <w:color w:val="auto"/>
          <w:szCs w:val="24"/>
        </w:rPr>
      </w:pPr>
      <w:hyperlink w:anchor="_Toc200097036" w:history="1">
        <w:r w:rsidRPr="002F296A">
          <w:rPr>
            <w:rStyle w:val="Hyperlink"/>
            <w:noProof/>
          </w:rPr>
          <w:t>4.5.3 Prediction of FEV</w:t>
        </w:r>
        <w:r w:rsidRPr="002F296A">
          <w:rPr>
            <w:rStyle w:val="Hyperlink"/>
            <w:noProof/>
            <w:vertAlign w:val="subscript"/>
          </w:rPr>
          <w:t>1</w:t>
        </w:r>
        <w:r w:rsidRPr="002F296A">
          <w:rPr>
            <w:rStyle w:val="Hyperlink"/>
            <w:noProof/>
          </w:rPr>
          <w:t xml:space="preserve"> Decline</w:t>
        </w:r>
        <w:r>
          <w:rPr>
            <w:noProof/>
            <w:webHidden/>
          </w:rPr>
          <w:tab/>
        </w:r>
        <w:r>
          <w:rPr>
            <w:noProof/>
            <w:webHidden/>
          </w:rPr>
          <w:fldChar w:fldCharType="begin"/>
        </w:r>
        <w:r>
          <w:rPr>
            <w:noProof/>
            <w:webHidden/>
          </w:rPr>
          <w:instrText xml:space="preserve"> PAGEREF _Toc200097036 \h </w:instrText>
        </w:r>
        <w:r>
          <w:rPr>
            <w:noProof/>
            <w:webHidden/>
          </w:rPr>
        </w:r>
        <w:r>
          <w:rPr>
            <w:noProof/>
            <w:webHidden/>
          </w:rPr>
          <w:fldChar w:fldCharType="separate"/>
        </w:r>
        <w:r>
          <w:rPr>
            <w:noProof/>
            <w:webHidden/>
          </w:rPr>
          <w:t>117</w:t>
        </w:r>
        <w:r>
          <w:rPr>
            <w:noProof/>
            <w:webHidden/>
          </w:rPr>
          <w:fldChar w:fldCharType="end"/>
        </w:r>
      </w:hyperlink>
    </w:p>
    <w:p w14:paraId="7219AFAF" w14:textId="34A66528" w:rsidR="00CF59A1" w:rsidRDefault="00CF59A1">
      <w:pPr>
        <w:pStyle w:val="TOC4"/>
        <w:tabs>
          <w:tab w:val="right" w:leader="dot" w:pos="9350"/>
        </w:tabs>
        <w:rPr>
          <w:rFonts w:asciiTheme="minorHAnsi" w:eastAsiaTheme="minorEastAsia" w:hAnsiTheme="minorHAnsi"/>
          <w:noProof/>
          <w:color w:val="auto"/>
          <w:szCs w:val="24"/>
        </w:rPr>
      </w:pPr>
      <w:hyperlink w:anchor="_Toc200097037" w:history="1">
        <w:r w:rsidRPr="002F296A">
          <w:rPr>
            <w:rStyle w:val="Hyperlink"/>
            <w:noProof/>
          </w:rPr>
          <w:t>4.5.4 Strengths and Limitations</w:t>
        </w:r>
        <w:r>
          <w:rPr>
            <w:noProof/>
            <w:webHidden/>
          </w:rPr>
          <w:tab/>
        </w:r>
        <w:r>
          <w:rPr>
            <w:noProof/>
            <w:webHidden/>
          </w:rPr>
          <w:fldChar w:fldCharType="begin"/>
        </w:r>
        <w:r>
          <w:rPr>
            <w:noProof/>
            <w:webHidden/>
          </w:rPr>
          <w:instrText xml:space="preserve"> PAGEREF _Toc200097037 \h </w:instrText>
        </w:r>
        <w:r>
          <w:rPr>
            <w:noProof/>
            <w:webHidden/>
          </w:rPr>
        </w:r>
        <w:r>
          <w:rPr>
            <w:noProof/>
            <w:webHidden/>
          </w:rPr>
          <w:fldChar w:fldCharType="separate"/>
        </w:r>
        <w:r>
          <w:rPr>
            <w:noProof/>
            <w:webHidden/>
          </w:rPr>
          <w:t>119</w:t>
        </w:r>
        <w:r>
          <w:rPr>
            <w:noProof/>
            <w:webHidden/>
          </w:rPr>
          <w:fldChar w:fldCharType="end"/>
        </w:r>
      </w:hyperlink>
    </w:p>
    <w:p w14:paraId="5E75BD6B" w14:textId="44E6CDF4" w:rsidR="00CF59A1" w:rsidRDefault="00CF59A1">
      <w:pPr>
        <w:pStyle w:val="TOC3"/>
        <w:tabs>
          <w:tab w:val="right" w:leader="dot" w:pos="9350"/>
        </w:tabs>
        <w:rPr>
          <w:rFonts w:asciiTheme="minorHAnsi" w:eastAsiaTheme="minorEastAsia" w:hAnsiTheme="minorHAnsi"/>
          <w:iCs w:val="0"/>
          <w:noProof/>
          <w:color w:val="auto"/>
          <w:szCs w:val="24"/>
        </w:rPr>
      </w:pPr>
      <w:hyperlink w:anchor="_Toc200097038" w:history="1">
        <w:r w:rsidRPr="002F296A">
          <w:rPr>
            <w:rStyle w:val="Hyperlink"/>
            <w:noProof/>
          </w:rPr>
          <w:t>4.6 Conclusions</w:t>
        </w:r>
        <w:r>
          <w:rPr>
            <w:noProof/>
            <w:webHidden/>
          </w:rPr>
          <w:tab/>
        </w:r>
        <w:r>
          <w:rPr>
            <w:noProof/>
            <w:webHidden/>
          </w:rPr>
          <w:fldChar w:fldCharType="begin"/>
        </w:r>
        <w:r>
          <w:rPr>
            <w:noProof/>
            <w:webHidden/>
          </w:rPr>
          <w:instrText xml:space="preserve"> PAGEREF _Toc200097038 \h </w:instrText>
        </w:r>
        <w:r>
          <w:rPr>
            <w:noProof/>
            <w:webHidden/>
          </w:rPr>
        </w:r>
        <w:r>
          <w:rPr>
            <w:noProof/>
            <w:webHidden/>
          </w:rPr>
          <w:fldChar w:fldCharType="separate"/>
        </w:r>
        <w:r>
          <w:rPr>
            <w:noProof/>
            <w:webHidden/>
          </w:rPr>
          <w:t>119</w:t>
        </w:r>
        <w:r>
          <w:rPr>
            <w:noProof/>
            <w:webHidden/>
          </w:rPr>
          <w:fldChar w:fldCharType="end"/>
        </w:r>
      </w:hyperlink>
    </w:p>
    <w:p w14:paraId="65F0918D" w14:textId="44AC285B" w:rsidR="00CF59A1" w:rsidRDefault="00CF59A1">
      <w:pPr>
        <w:pStyle w:val="TOC1"/>
        <w:tabs>
          <w:tab w:val="right" w:leader="dot" w:pos="9350"/>
        </w:tabs>
        <w:rPr>
          <w:rFonts w:asciiTheme="minorHAnsi" w:eastAsiaTheme="minorEastAsia" w:hAnsiTheme="minorHAnsi"/>
          <w:b w:val="0"/>
          <w:bCs w:val="0"/>
          <w:caps w:val="0"/>
          <w:noProof/>
          <w:color w:val="auto"/>
          <w:szCs w:val="24"/>
        </w:rPr>
      </w:pPr>
      <w:hyperlink w:anchor="_Toc200097039" w:history="1">
        <w:r w:rsidRPr="002F296A">
          <w:rPr>
            <w:rStyle w:val="Hyperlink"/>
            <w:noProof/>
          </w:rPr>
          <w:t>CHAPTER 5</w:t>
        </w:r>
        <w:r>
          <w:rPr>
            <w:noProof/>
            <w:webHidden/>
          </w:rPr>
          <w:tab/>
        </w:r>
        <w:r>
          <w:rPr>
            <w:noProof/>
            <w:webHidden/>
          </w:rPr>
          <w:fldChar w:fldCharType="begin"/>
        </w:r>
        <w:r>
          <w:rPr>
            <w:noProof/>
            <w:webHidden/>
          </w:rPr>
          <w:instrText xml:space="preserve"> PAGEREF _Toc200097039 \h </w:instrText>
        </w:r>
        <w:r>
          <w:rPr>
            <w:noProof/>
            <w:webHidden/>
          </w:rPr>
        </w:r>
        <w:r>
          <w:rPr>
            <w:noProof/>
            <w:webHidden/>
          </w:rPr>
          <w:fldChar w:fldCharType="separate"/>
        </w:r>
        <w:r>
          <w:rPr>
            <w:noProof/>
            <w:webHidden/>
          </w:rPr>
          <w:t>121</w:t>
        </w:r>
        <w:r>
          <w:rPr>
            <w:noProof/>
            <w:webHidden/>
          </w:rPr>
          <w:fldChar w:fldCharType="end"/>
        </w:r>
      </w:hyperlink>
    </w:p>
    <w:p w14:paraId="590CCCB3" w14:textId="3C321C86" w:rsidR="00CF59A1" w:rsidRDefault="00CF59A1">
      <w:pPr>
        <w:pStyle w:val="TOC3"/>
        <w:tabs>
          <w:tab w:val="right" w:leader="dot" w:pos="9350"/>
        </w:tabs>
        <w:rPr>
          <w:rFonts w:asciiTheme="minorHAnsi" w:eastAsiaTheme="minorEastAsia" w:hAnsiTheme="minorHAnsi"/>
          <w:iCs w:val="0"/>
          <w:noProof/>
          <w:color w:val="auto"/>
          <w:szCs w:val="24"/>
        </w:rPr>
      </w:pPr>
      <w:hyperlink w:anchor="_Toc200097040" w:history="1">
        <w:r w:rsidRPr="002F296A">
          <w:rPr>
            <w:rStyle w:val="Hyperlink"/>
            <w:noProof/>
          </w:rPr>
          <w:t>5.1 Summary, Discussions, and Conclusions</w:t>
        </w:r>
        <w:r>
          <w:rPr>
            <w:noProof/>
            <w:webHidden/>
          </w:rPr>
          <w:tab/>
        </w:r>
        <w:r>
          <w:rPr>
            <w:noProof/>
            <w:webHidden/>
          </w:rPr>
          <w:fldChar w:fldCharType="begin"/>
        </w:r>
        <w:r>
          <w:rPr>
            <w:noProof/>
            <w:webHidden/>
          </w:rPr>
          <w:instrText xml:space="preserve"> PAGEREF _Toc200097040 \h </w:instrText>
        </w:r>
        <w:r>
          <w:rPr>
            <w:noProof/>
            <w:webHidden/>
          </w:rPr>
        </w:r>
        <w:r>
          <w:rPr>
            <w:noProof/>
            <w:webHidden/>
          </w:rPr>
          <w:fldChar w:fldCharType="separate"/>
        </w:r>
        <w:r>
          <w:rPr>
            <w:noProof/>
            <w:webHidden/>
          </w:rPr>
          <w:t>121</w:t>
        </w:r>
        <w:r>
          <w:rPr>
            <w:noProof/>
            <w:webHidden/>
          </w:rPr>
          <w:fldChar w:fldCharType="end"/>
        </w:r>
      </w:hyperlink>
    </w:p>
    <w:p w14:paraId="5B15E03E" w14:textId="7F583305" w:rsidR="00CF59A1" w:rsidRDefault="00CF59A1">
      <w:pPr>
        <w:pStyle w:val="TOC2"/>
        <w:rPr>
          <w:rFonts w:asciiTheme="minorHAnsi" w:eastAsiaTheme="minorEastAsia" w:hAnsiTheme="minorHAnsi"/>
          <w:noProof/>
          <w:color w:val="auto"/>
          <w:szCs w:val="24"/>
        </w:rPr>
      </w:pPr>
      <w:hyperlink w:anchor="_Toc200097041" w:history="1">
        <w:r w:rsidRPr="002F296A">
          <w:rPr>
            <w:rStyle w:val="Hyperlink"/>
            <w:noProof/>
          </w:rPr>
          <w:t>References</w:t>
        </w:r>
        <w:r>
          <w:rPr>
            <w:noProof/>
            <w:webHidden/>
          </w:rPr>
          <w:tab/>
        </w:r>
        <w:r>
          <w:rPr>
            <w:noProof/>
            <w:webHidden/>
          </w:rPr>
          <w:fldChar w:fldCharType="begin"/>
        </w:r>
        <w:r>
          <w:rPr>
            <w:noProof/>
            <w:webHidden/>
          </w:rPr>
          <w:instrText xml:space="preserve"> PAGEREF _Toc200097041 \h </w:instrText>
        </w:r>
        <w:r>
          <w:rPr>
            <w:noProof/>
            <w:webHidden/>
          </w:rPr>
        </w:r>
        <w:r>
          <w:rPr>
            <w:noProof/>
            <w:webHidden/>
          </w:rPr>
          <w:fldChar w:fldCharType="separate"/>
        </w:r>
        <w:r>
          <w:rPr>
            <w:noProof/>
            <w:webHidden/>
          </w:rPr>
          <w:t>125</w:t>
        </w:r>
        <w:r>
          <w:rPr>
            <w:noProof/>
            <w:webHidden/>
          </w:rPr>
          <w:fldChar w:fldCharType="end"/>
        </w:r>
      </w:hyperlink>
    </w:p>
    <w:p w14:paraId="714895F8" w14:textId="1F9326A7" w:rsidR="00CF59A1" w:rsidRDefault="00CF59A1">
      <w:pPr>
        <w:pStyle w:val="TOC2"/>
        <w:rPr>
          <w:rFonts w:asciiTheme="minorHAnsi" w:eastAsiaTheme="minorEastAsia" w:hAnsiTheme="minorHAnsi"/>
          <w:noProof/>
          <w:color w:val="auto"/>
          <w:szCs w:val="24"/>
        </w:rPr>
      </w:pPr>
      <w:hyperlink w:anchor="_Toc200097042" w:history="1">
        <w:r w:rsidRPr="002F296A">
          <w:rPr>
            <w:rStyle w:val="Hyperlink"/>
            <w:noProof/>
          </w:rPr>
          <w:t>VITA</w:t>
        </w:r>
        <w:r>
          <w:rPr>
            <w:noProof/>
            <w:webHidden/>
          </w:rPr>
          <w:tab/>
        </w:r>
        <w:r>
          <w:rPr>
            <w:noProof/>
            <w:webHidden/>
          </w:rPr>
          <w:fldChar w:fldCharType="begin"/>
        </w:r>
        <w:r>
          <w:rPr>
            <w:noProof/>
            <w:webHidden/>
          </w:rPr>
          <w:instrText xml:space="preserve"> PAGEREF _Toc200097042 \h </w:instrText>
        </w:r>
        <w:r>
          <w:rPr>
            <w:noProof/>
            <w:webHidden/>
          </w:rPr>
        </w:r>
        <w:r>
          <w:rPr>
            <w:noProof/>
            <w:webHidden/>
          </w:rPr>
          <w:fldChar w:fldCharType="separate"/>
        </w:r>
        <w:r>
          <w:rPr>
            <w:noProof/>
            <w:webHidden/>
          </w:rPr>
          <w:t>148</w:t>
        </w:r>
        <w:r>
          <w:rPr>
            <w:noProof/>
            <w:webHidden/>
          </w:rPr>
          <w:fldChar w:fldCharType="end"/>
        </w:r>
      </w:hyperlink>
    </w:p>
    <w:p w14:paraId="56B3E92C" w14:textId="08AE3712" w:rsidR="002C159F" w:rsidRPr="005824CC" w:rsidRDefault="00D36702" w:rsidP="00D36702">
      <w:pPr>
        <w:jc w:val="center"/>
        <w:rPr>
          <w:rFonts w:ascii="Times New Roman" w:hAnsi="Times New Roman" w:cs="Times New Roman"/>
          <w:b/>
          <w:bCs/>
          <w:sz w:val="28"/>
          <w:szCs w:val="28"/>
        </w:rPr>
      </w:pPr>
      <w:r>
        <w:rPr>
          <w:rFonts w:ascii="Times New Roman" w:hAnsi="Times New Roman"/>
          <w:b/>
          <w:bCs/>
          <w:caps/>
          <w:color w:val="000000" w:themeColor="text1"/>
          <w:sz w:val="20"/>
          <w:szCs w:val="20"/>
        </w:rPr>
        <w:lastRenderedPageBreak/>
        <w:fldChar w:fldCharType="end"/>
      </w:r>
      <w:r w:rsidR="00837A97" w:rsidRPr="005824CC">
        <w:rPr>
          <w:rFonts w:ascii="Times New Roman" w:hAnsi="Times New Roman" w:cs="Times New Roman"/>
          <w:b/>
          <w:bCs/>
          <w:sz w:val="28"/>
          <w:szCs w:val="28"/>
        </w:rPr>
        <w:t>LIST OF TABLES</w:t>
      </w:r>
    </w:p>
    <w:p w14:paraId="677113A3" w14:textId="45944940" w:rsidR="00CF59A1" w:rsidRDefault="002C159F">
      <w:pPr>
        <w:pStyle w:val="TableofFigures"/>
        <w:tabs>
          <w:tab w:val="right" w:leader="dot" w:pos="9350"/>
        </w:tabs>
        <w:rPr>
          <w:rFonts w:asciiTheme="minorHAnsi" w:eastAsiaTheme="minorEastAsia" w:hAnsiTheme="minorHAnsi"/>
          <w:noProof/>
          <w:color w:val="auto"/>
        </w:rPr>
      </w:pPr>
      <w:r>
        <w:fldChar w:fldCharType="begin"/>
      </w:r>
      <w:r>
        <w:instrText xml:space="preserve"> TOC \h \z \c "Table" </w:instrText>
      </w:r>
      <w:r>
        <w:fldChar w:fldCharType="separate"/>
      </w:r>
      <w:hyperlink w:anchor="_Toc200097043" w:history="1">
        <w:r w:rsidR="00CF59A1" w:rsidRPr="003E198A">
          <w:rPr>
            <w:rStyle w:val="Hyperlink"/>
            <w:noProof/>
          </w:rPr>
          <w:t>Table 2.1. Potential Predictors of Chronic Obstructive Pulmonary Disease Prevalence</w:t>
        </w:r>
        <w:r w:rsidR="00CF59A1">
          <w:rPr>
            <w:noProof/>
            <w:webHidden/>
          </w:rPr>
          <w:tab/>
        </w:r>
        <w:r w:rsidR="00CF59A1">
          <w:rPr>
            <w:noProof/>
            <w:webHidden/>
          </w:rPr>
          <w:fldChar w:fldCharType="begin"/>
        </w:r>
        <w:r w:rsidR="00CF59A1">
          <w:rPr>
            <w:noProof/>
            <w:webHidden/>
          </w:rPr>
          <w:instrText xml:space="preserve"> PAGEREF _Toc200097043 \h </w:instrText>
        </w:r>
        <w:r w:rsidR="00CF59A1">
          <w:rPr>
            <w:noProof/>
            <w:webHidden/>
          </w:rPr>
        </w:r>
        <w:r w:rsidR="00CF59A1">
          <w:rPr>
            <w:noProof/>
            <w:webHidden/>
          </w:rPr>
          <w:fldChar w:fldCharType="separate"/>
        </w:r>
        <w:r w:rsidR="00CF59A1">
          <w:rPr>
            <w:noProof/>
            <w:webHidden/>
          </w:rPr>
          <w:t>34</w:t>
        </w:r>
        <w:r w:rsidR="00CF59A1">
          <w:rPr>
            <w:noProof/>
            <w:webHidden/>
          </w:rPr>
          <w:fldChar w:fldCharType="end"/>
        </w:r>
      </w:hyperlink>
    </w:p>
    <w:p w14:paraId="780B304C" w14:textId="59300373" w:rsidR="00CF59A1" w:rsidRDefault="00CF59A1">
      <w:pPr>
        <w:pStyle w:val="TableofFigures"/>
        <w:tabs>
          <w:tab w:val="right" w:leader="dot" w:pos="9350"/>
        </w:tabs>
        <w:rPr>
          <w:rFonts w:asciiTheme="minorHAnsi" w:eastAsiaTheme="minorEastAsia" w:hAnsiTheme="minorHAnsi"/>
          <w:noProof/>
          <w:color w:val="auto"/>
        </w:rPr>
      </w:pPr>
      <w:hyperlink w:anchor="_Toc200097044" w:history="1">
        <w:r w:rsidRPr="003E198A">
          <w:rPr>
            <w:rStyle w:val="Hyperlink"/>
            <w:noProof/>
          </w:rPr>
          <w:t>Table 2.2. Significant High-Prevalence Clusters of Age-Adjusted Chronic Obstructive Pulmonary Disease in Florida, 2019</w:t>
        </w:r>
        <w:r>
          <w:rPr>
            <w:noProof/>
            <w:webHidden/>
          </w:rPr>
          <w:tab/>
        </w:r>
        <w:r>
          <w:rPr>
            <w:noProof/>
            <w:webHidden/>
          </w:rPr>
          <w:fldChar w:fldCharType="begin"/>
        </w:r>
        <w:r>
          <w:rPr>
            <w:noProof/>
            <w:webHidden/>
          </w:rPr>
          <w:instrText xml:space="preserve"> PAGEREF _Toc200097044 \h </w:instrText>
        </w:r>
        <w:r>
          <w:rPr>
            <w:noProof/>
            <w:webHidden/>
          </w:rPr>
        </w:r>
        <w:r>
          <w:rPr>
            <w:noProof/>
            <w:webHidden/>
          </w:rPr>
          <w:fldChar w:fldCharType="separate"/>
        </w:r>
        <w:r>
          <w:rPr>
            <w:noProof/>
            <w:webHidden/>
          </w:rPr>
          <w:t>42</w:t>
        </w:r>
        <w:r>
          <w:rPr>
            <w:noProof/>
            <w:webHidden/>
          </w:rPr>
          <w:fldChar w:fldCharType="end"/>
        </w:r>
      </w:hyperlink>
    </w:p>
    <w:p w14:paraId="6048DCE0" w14:textId="23138FD2" w:rsidR="00CF59A1" w:rsidRDefault="00CF59A1">
      <w:pPr>
        <w:pStyle w:val="TableofFigures"/>
        <w:tabs>
          <w:tab w:val="right" w:leader="dot" w:pos="9350"/>
        </w:tabs>
        <w:rPr>
          <w:rFonts w:asciiTheme="minorHAnsi" w:eastAsiaTheme="minorEastAsia" w:hAnsiTheme="minorHAnsi"/>
          <w:noProof/>
          <w:color w:val="auto"/>
        </w:rPr>
      </w:pPr>
      <w:hyperlink w:anchor="_Toc200097045" w:history="1">
        <w:r w:rsidRPr="003E198A">
          <w:rPr>
            <w:rStyle w:val="Hyperlink"/>
            <w:noProof/>
          </w:rPr>
          <w:t>Table 2.3. Descriptive Statistics &amp; Univariable associations between Age-Adjusted Chronic Obstructive Pulmonary Disease Prevalence and socioeconomic factors in Florida, 2019</w:t>
        </w:r>
        <w:r>
          <w:rPr>
            <w:noProof/>
            <w:webHidden/>
          </w:rPr>
          <w:tab/>
        </w:r>
        <w:r>
          <w:rPr>
            <w:noProof/>
            <w:webHidden/>
          </w:rPr>
          <w:fldChar w:fldCharType="begin"/>
        </w:r>
        <w:r>
          <w:rPr>
            <w:noProof/>
            <w:webHidden/>
          </w:rPr>
          <w:instrText xml:space="preserve"> PAGEREF _Toc200097045 \h </w:instrText>
        </w:r>
        <w:r>
          <w:rPr>
            <w:noProof/>
            <w:webHidden/>
          </w:rPr>
        </w:r>
        <w:r>
          <w:rPr>
            <w:noProof/>
            <w:webHidden/>
          </w:rPr>
          <w:fldChar w:fldCharType="separate"/>
        </w:r>
        <w:r>
          <w:rPr>
            <w:noProof/>
            <w:webHidden/>
          </w:rPr>
          <w:t>45</w:t>
        </w:r>
        <w:r>
          <w:rPr>
            <w:noProof/>
            <w:webHidden/>
          </w:rPr>
          <w:fldChar w:fldCharType="end"/>
        </w:r>
      </w:hyperlink>
    </w:p>
    <w:p w14:paraId="664E7495" w14:textId="3837CC54" w:rsidR="00CF59A1" w:rsidRDefault="00CF59A1">
      <w:pPr>
        <w:pStyle w:val="TableofFigures"/>
        <w:tabs>
          <w:tab w:val="right" w:leader="dot" w:pos="9350"/>
        </w:tabs>
        <w:rPr>
          <w:rFonts w:asciiTheme="minorHAnsi" w:eastAsiaTheme="minorEastAsia" w:hAnsiTheme="minorHAnsi"/>
          <w:noProof/>
          <w:color w:val="auto"/>
        </w:rPr>
      </w:pPr>
      <w:hyperlink w:anchor="_Toc200097046" w:history="1">
        <w:r w:rsidRPr="003E198A">
          <w:rPr>
            <w:rStyle w:val="Hyperlink"/>
            <w:noProof/>
          </w:rPr>
          <w:t>Table 2.4. Significant Predictors Age-Adjusted Chronic Obstructive Pulmonary Disease Prevalence in Florida, 2019</w:t>
        </w:r>
        <w:r>
          <w:rPr>
            <w:noProof/>
            <w:webHidden/>
          </w:rPr>
          <w:tab/>
        </w:r>
        <w:r>
          <w:rPr>
            <w:noProof/>
            <w:webHidden/>
          </w:rPr>
          <w:fldChar w:fldCharType="begin"/>
        </w:r>
        <w:r>
          <w:rPr>
            <w:noProof/>
            <w:webHidden/>
          </w:rPr>
          <w:instrText xml:space="preserve"> PAGEREF _Toc200097046 \h </w:instrText>
        </w:r>
        <w:r>
          <w:rPr>
            <w:noProof/>
            <w:webHidden/>
          </w:rPr>
        </w:r>
        <w:r>
          <w:rPr>
            <w:noProof/>
            <w:webHidden/>
          </w:rPr>
          <w:fldChar w:fldCharType="separate"/>
        </w:r>
        <w:r>
          <w:rPr>
            <w:noProof/>
            <w:webHidden/>
          </w:rPr>
          <w:t>46</w:t>
        </w:r>
        <w:r>
          <w:rPr>
            <w:noProof/>
            <w:webHidden/>
          </w:rPr>
          <w:fldChar w:fldCharType="end"/>
        </w:r>
      </w:hyperlink>
    </w:p>
    <w:p w14:paraId="6ADB77F4" w14:textId="415B0823" w:rsidR="00CF59A1" w:rsidRDefault="00CF59A1">
      <w:pPr>
        <w:pStyle w:val="TableofFigures"/>
        <w:tabs>
          <w:tab w:val="right" w:leader="dot" w:pos="9350"/>
        </w:tabs>
        <w:rPr>
          <w:rFonts w:asciiTheme="minorHAnsi" w:eastAsiaTheme="minorEastAsia" w:hAnsiTheme="minorHAnsi"/>
          <w:noProof/>
          <w:color w:val="auto"/>
        </w:rPr>
      </w:pPr>
      <w:hyperlink w:anchor="_Toc200097047" w:history="1">
        <w:r w:rsidRPr="003E198A">
          <w:rPr>
            <w:rStyle w:val="Hyperlink"/>
            <w:noProof/>
          </w:rPr>
          <w:t>Table 3.1. Spearman rank correlation coefficients for potential predictors of chronic obstructive pulmonary disease among the National Supplemental Screening Program participants, 2006-2019</w:t>
        </w:r>
        <w:r>
          <w:rPr>
            <w:noProof/>
            <w:webHidden/>
          </w:rPr>
          <w:tab/>
        </w:r>
        <w:r>
          <w:rPr>
            <w:noProof/>
            <w:webHidden/>
          </w:rPr>
          <w:fldChar w:fldCharType="begin"/>
        </w:r>
        <w:r>
          <w:rPr>
            <w:noProof/>
            <w:webHidden/>
          </w:rPr>
          <w:instrText xml:space="preserve"> PAGEREF _Toc200097047 \h </w:instrText>
        </w:r>
        <w:r>
          <w:rPr>
            <w:noProof/>
            <w:webHidden/>
          </w:rPr>
        </w:r>
        <w:r>
          <w:rPr>
            <w:noProof/>
            <w:webHidden/>
          </w:rPr>
          <w:fldChar w:fldCharType="separate"/>
        </w:r>
        <w:r>
          <w:rPr>
            <w:noProof/>
            <w:webHidden/>
          </w:rPr>
          <w:t>63</w:t>
        </w:r>
        <w:r>
          <w:rPr>
            <w:noProof/>
            <w:webHidden/>
          </w:rPr>
          <w:fldChar w:fldCharType="end"/>
        </w:r>
      </w:hyperlink>
    </w:p>
    <w:p w14:paraId="0095C734" w14:textId="20215CAE" w:rsidR="00CF59A1" w:rsidRDefault="00CF59A1">
      <w:pPr>
        <w:pStyle w:val="TableofFigures"/>
        <w:tabs>
          <w:tab w:val="right" w:leader="dot" w:pos="9350"/>
        </w:tabs>
        <w:rPr>
          <w:rFonts w:asciiTheme="minorHAnsi" w:eastAsiaTheme="minorEastAsia" w:hAnsiTheme="minorHAnsi"/>
          <w:noProof/>
          <w:color w:val="auto"/>
        </w:rPr>
      </w:pPr>
      <w:hyperlink w:anchor="_Toc200097048" w:history="1">
        <w:r w:rsidRPr="003E198A">
          <w:rPr>
            <w:rStyle w:val="Hyperlink"/>
            <w:noProof/>
          </w:rPr>
          <w:t>Table 3.2. Summary Statistics of the characteristics of National Supplemental Screening Program participants at initial examination, 2006-2019</w:t>
        </w:r>
        <w:r>
          <w:rPr>
            <w:noProof/>
            <w:webHidden/>
          </w:rPr>
          <w:tab/>
        </w:r>
        <w:r>
          <w:rPr>
            <w:noProof/>
            <w:webHidden/>
          </w:rPr>
          <w:fldChar w:fldCharType="begin"/>
        </w:r>
        <w:r>
          <w:rPr>
            <w:noProof/>
            <w:webHidden/>
          </w:rPr>
          <w:instrText xml:space="preserve"> PAGEREF _Toc200097048 \h </w:instrText>
        </w:r>
        <w:r>
          <w:rPr>
            <w:noProof/>
            <w:webHidden/>
          </w:rPr>
        </w:r>
        <w:r>
          <w:rPr>
            <w:noProof/>
            <w:webHidden/>
          </w:rPr>
          <w:fldChar w:fldCharType="separate"/>
        </w:r>
        <w:r>
          <w:rPr>
            <w:noProof/>
            <w:webHidden/>
          </w:rPr>
          <w:t>67</w:t>
        </w:r>
        <w:r>
          <w:rPr>
            <w:noProof/>
            <w:webHidden/>
          </w:rPr>
          <w:fldChar w:fldCharType="end"/>
        </w:r>
      </w:hyperlink>
    </w:p>
    <w:p w14:paraId="0D07B73D" w14:textId="3A2B6B30" w:rsidR="00CF59A1" w:rsidRDefault="00CF59A1">
      <w:pPr>
        <w:pStyle w:val="TableofFigures"/>
        <w:tabs>
          <w:tab w:val="right" w:leader="dot" w:pos="9350"/>
        </w:tabs>
        <w:rPr>
          <w:rFonts w:asciiTheme="minorHAnsi" w:eastAsiaTheme="minorEastAsia" w:hAnsiTheme="minorHAnsi"/>
          <w:noProof/>
          <w:color w:val="auto"/>
        </w:rPr>
      </w:pPr>
      <w:hyperlink w:anchor="_Toc200097049" w:history="1">
        <w:r w:rsidRPr="003E198A">
          <w:rPr>
            <w:rStyle w:val="Hyperlink"/>
            <w:noProof/>
          </w:rPr>
          <w:t>Table 3.3. Unadjusted logistic regression model results investigating predictors of chronic obstructive pulmonary disease occurrence among the National Supplemental Screening Program participants, 2006-2019</w:t>
        </w:r>
        <w:r>
          <w:rPr>
            <w:noProof/>
            <w:webHidden/>
          </w:rPr>
          <w:tab/>
        </w:r>
        <w:r>
          <w:rPr>
            <w:noProof/>
            <w:webHidden/>
          </w:rPr>
          <w:fldChar w:fldCharType="begin"/>
        </w:r>
        <w:r>
          <w:rPr>
            <w:noProof/>
            <w:webHidden/>
          </w:rPr>
          <w:instrText xml:space="preserve"> PAGEREF _Toc200097049 \h </w:instrText>
        </w:r>
        <w:r>
          <w:rPr>
            <w:noProof/>
            <w:webHidden/>
          </w:rPr>
        </w:r>
        <w:r>
          <w:rPr>
            <w:noProof/>
            <w:webHidden/>
          </w:rPr>
          <w:fldChar w:fldCharType="separate"/>
        </w:r>
        <w:r>
          <w:rPr>
            <w:noProof/>
            <w:webHidden/>
          </w:rPr>
          <w:t>72</w:t>
        </w:r>
        <w:r>
          <w:rPr>
            <w:noProof/>
            <w:webHidden/>
          </w:rPr>
          <w:fldChar w:fldCharType="end"/>
        </w:r>
      </w:hyperlink>
    </w:p>
    <w:p w14:paraId="7C0D4C1D" w14:textId="765482C9" w:rsidR="00CF59A1" w:rsidRDefault="00CF59A1">
      <w:pPr>
        <w:pStyle w:val="TableofFigures"/>
        <w:tabs>
          <w:tab w:val="right" w:leader="dot" w:pos="9350"/>
        </w:tabs>
        <w:rPr>
          <w:rFonts w:asciiTheme="minorHAnsi" w:eastAsiaTheme="minorEastAsia" w:hAnsiTheme="minorHAnsi"/>
          <w:noProof/>
          <w:color w:val="auto"/>
        </w:rPr>
      </w:pPr>
      <w:hyperlink w:anchor="_Toc200097050" w:history="1">
        <w:r w:rsidRPr="003E198A">
          <w:rPr>
            <w:rStyle w:val="Hyperlink"/>
            <w:noProof/>
          </w:rPr>
          <w:t>Table 3.4. Predictors of chronic obstructive pulmonary disease occurrence among National Supplemental Screening Program participants, 2006-2019</w:t>
        </w:r>
        <w:r>
          <w:rPr>
            <w:noProof/>
            <w:webHidden/>
          </w:rPr>
          <w:tab/>
        </w:r>
        <w:r>
          <w:rPr>
            <w:noProof/>
            <w:webHidden/>
          </w:rPr>
          <w:fldChar w:fldCharType="begin"/>
        </w:r>
        <w:r>
          <w:rPr>
            <w:noProof/>
            <w:webHidden/>
          </w:rPr>
          <w:instrText xml:space="preserve"> PAGEREF _Toc200097050 \h </w:instrText>
        </w:r>
        <w:r>
          <w:rPr>
            <w:noProof/>
            <w:webHidden/>
          </w:rPr>
        </w:r>
        <w:r>
          <w:rPr>
            <w:noProof/>
            <w:webHidden/>
          </w:rPr>
          <w:fldChar w:fldCharType="separate"/>
        </w:r>
        <w:r>
          <w:rPr>
            <w:noProof/>
            <w:webHidden/>
          </w:rPr>
          <w:t>75</w:t>
        </w:r>
        <w:r>
          <w:rPr>
            <w:noProof/>
            <w:webHidden/>
          </w:rPr>
          <w:fldChar w:fldCharType="end"/>
        </w:r>
      </w:hyperlink>
    </w:p>
    <w:p w14:paraId="252DFFA4" w14:textId="2A885336" w:rsidR="00CF59A1" w:rsidRDefault="00CF59A1">
      <w:pPr>
        <w:pStyle w:val="TableofFigures"/>
        <w:tabs>
          <w:tab w:val="right" w:leader="dot" w:pos="9350"/>
        </w:tabs>
        <w:rPr>
          <w:rFonts w:asciiTheme="minorHAnsi" w:eastAsiaTheme="minorEastAsia" w:hAnsiTheme="minorHAnsi"/>
          <w:noProof/>
          <w:color w:val="auto"/>
        </w:rPr>
      </w:pPr>
      <w:hyperlink w:anchor="_Toc200097051" w:history="1">
        <w:r w:rsidRPr="003E198A">
          <w:rPr>
            <w:rStyle w:val="Hyperlink"/>
            <w:noProof/>
          </w:rPr>
          <w:t>Table 3.5. Unadjusted multinomial regression model results investigating predictors of chronic obstructive pulmonary disease severity among the National Supplemental Screening Program participants, 2006-2019</w:t>
        </w:r>
        <w:r>
          <w:rPr>
            <w:noProof/>
            <w:webHidden/>
          </w:rPr>
          <w:tab/>
        </w:r>
        <w:r>
          <w:rPr>
            <w:noProof/>
            <w:webHidden/>
          </w:rPr>
          <w:fldChar w:fldCharType="begin"/>
        </w:r>
        <w:r>
          <w:rPr>
            <w:noProof/>
            <w:webHidden/>
          </w:rPr>
          <w:instrText xml:space="preserve"> PAGEREF _Toc200097051 \h </w:instrText>
        </w:r>
        <w:r>
          <w:rPr>
            <w:noProof/>
            <w:webHidden/>
          </w:rPr>
        </w:r>
        <w:r>
          <w:rPr>
            <w:noProof/>
            <w:webHidden/>
          </w:rPr>
          <w:fldChar w:fldCharType="separate"/>
        </w:r>
        <w:r>
          <w:rPr>
            <w:noProof/>
            <w:webHidden/>
          </w:rPr>
          <w:t>77</w:t>
        </w:r>
        <w:r>
          <w:rPr>
            <w:noProof/>
            <w:webHidden/>
          </w:rPr>
          <w:fldChar w:fldCharType="end"/>
        </w:r>
      </w:hyperlink>
    </w:p>
    <w:p w14:paraId="70B505A0" w14:textId="035D42DD" w:rsidR="00CF59A1" w:rsidRDefault="00CF59A1">
      <w:pPr>
        <w:pStyle w:val="TableofFigures"/>
        <w:tabs>
          <w:tab w:val="right" w:leader="dot" w:pos="9350"/>
        </w:tabs>
        <w:rPr>
          <w:rFonts w:asciiTheme="minorHAnsi" w:eastAsiaTheme="minorEastAsia" w:hAnsiTheme="minorHAnsi"/>
          <w:noProof/>
          <w:color w:val="auto"/>
        </w:rPr>
      </w:pPr>
      <w:hyperlink w:anchor="_Toc200097052" w:history="1">
        <w:r w:rsidRPr="003E198A">
          <w:rPr>
            <w:rStyle w:val="Hyperlink"/>
            <w:noProof/>
          </w:rPr>
          <w:t>Table 3.6. Predictors of chronic obstructive pulmonary disease severity among National Supplemental Screening Program participants, 2006-2019</w:t>
        </w:r>
        <w:r>
          <w:rPr>
            <w:noProof/>
            <w:webHidden/>
          </w:rPr>
          <w:tab/>
        </w:r>
        <w:r>
          <w:rPr>
            <w:noProof/>
            <w:webHidden/>
          </w:rPr>
          <w:fldChar w:fldCharType="begin"/>
        </w:r>
        <w:r>
          <w:rPr>
            <w:noProof/>
            <w:webHidden/>
          </w:rPr>
          <w:instrText xml:space="preserve"> PAGEREF _Toc200097052 \h </w:instrText>
        </w:r>
        <w:r>
          <w:rPr>
            <w:noProof/>
            <w:webHidden/>
          </w:rPr>
        </w:r>
        <w:r>
          <w:rPr>
            <w:noProof/>
            <w:webHidden/>
          </w:rPr>
          <w:fldChar w:fldCharType="separate"/>
        </w:r>
        <w:r>
          <w:rPr>
            <w:noProof/>
            <w:webHidden/>
          </w:rPr>
          <w:t>79</w:t>
        </w:r>
        <w:r>
          <w:rPr>
            <w:noProof/>
            <w:webHidden/>
          </w:rPr>
          <w:fldChar w:fldCharType="end"/>
        </w:r>
      </w:hyperlink>
    </w:p>
    <w:p w14:paraId="6BA5BD2A" w14:textId="02E4B3BC" w:rsidR="00CF59A1" w:rsidRDefault="00CF59A1">
      <w:pPr>
        <w:pStyle w:val="TableofFigures"/>
        <w:tabs>
          <w:tab w:val="right" w:leader="dot" w:pos="9350"/>
        </w:tabs>
        <w:rPr>
          <w:rFonts w:asciiTheme="minorHAnsi" w:eastAsiaTheme="minorEastAsia" w:hAnsiTheme="minorHAnsi"/>
          <w:noProof/>
          <w:color w:val="auto"/>
        </w:rPr>
      </w:pPr>
      <w:hyperlink w:anchor="_Toc200097053" w:history="1">
        <w:r w:rsidRPr="003E198A">
          <w:rPr>
            <w:rStyle w:val="Hyperlink"/>
            <w:noProof/>
          </w:rPr>
          <w:t>Table 4.1. Variables investigated for potential association with lung function changes.</w:t>
        </w:r>
        <w:r>
          <w:rPr>
            <w:noProof/>
            <w:webHidden/>
          </w:rPr>
          <w:tab/>
        </w:r>
        <w:r>
          <w:rPr>
            <w:noProof/>
            <w:webHidden/>
          </w:rPr>
          <w:fldChar w:fldCharType="begin"/>
        </w:r>
        <w:r>
          <w:rPr>
            <w:noProof/>
            <w:webHidden/>
          </w:rPr>
          <w:instrText xml:space="preserve"> PAGEREF _Toc200097053 \h </w:instrText>
        </w:r>
        <w:r>
          <w:rPr>
            <w:noProof/>
            <w:webHidden/>
          </w:rPr>
        </w:r>
        <w:r>
          <w:rPr>
            <w:noProof/>
            <w:webHidden/>
          </w:rPr>
          <w:fldChar w:fldCharType="separate"/>
        </w:r>
        <w:r>
          <w:rPr>
            <w:noProof/>
            <w:webHidden/>
          </w:rPr>
          <w:t>93</w:t>
        </w:r>
        <w:r>
          <w:rPr>
            <w:noProof/>
            <w:webHidden/>
          </w:rPr>
          <w:fldChar w:fldCharType="end"/>
        </w:r>
      </w:hyperlink>
    </w:p>
    <w:p w14:paraId="5056DFC7" w14:textId="31CFCE65" w:rsidR="00CF59A1" w:rsidRDefault="00CF59A1">
      <w:pPr>
        <w:pStyle w:val="TableofFigures"/>
        <w:tabs>
          <w:tab w:val="right" w:leader="dot" w:pos="9350"/>
        </w:tabs>
        <w:rPr>
          <w:rFonts w:asciiTheme="minorHAnsi" w:eastAsiaTheme="minorEastAsia" w:hAnsiTheme="minorHAnsi"/>
          <w:noProof/>
          <w:color w:val="auto"/>
        </w:rPr>
      </w:pPr>
      <w:hyperlink w:anchor="_Toc200097054" w:history="1">
        <w:r w:rsidRPr="003E198A">
          <w:rPr>
            <w:rStyle w:val="Hyperlink"/>
            <w:noProof/>
          </w:rPr>
          <w:t>Table 4.2. Descriptive statistics of work history, demographic, and clinical characteristics of Department of Energy former workers participating in the National Supplemental Screening Program, 2005-2019.</w:t>
        </w:r>
        <w:r>
          <w:rPr>
            <w:noProof/>
            <w:webHidden/>
          </w:rPr>
          <w:tab/>
        </w:r>
        <w:r>
          <w:rPr>
            <w:noProof/>
            <w:webHidden/>
          </w:rPr>
          <w:fldChar w:fldCharType="begin"/>
        </w:r>
        <w:r>
          <w:rPr>
            <w:noProof/>
            <w:webHidden/>
          </w:rPr>
          <w:instrText xml:space="preserve"> PAGEREF _Toc200097054 \h </w:instrText>
        </w:r>
        <w:r>
          <w:rPr>
            <w:noProof/>
            <w:webHidden/>
          </w:rPr>
        </w:r>
        <w:r>
          <w:rPr>
            <w:noProof/>
            <w:webHidden/>
          </w:rPr>
          <w:fldChar w:fldCharType="separate"/>
        </w:r>
        <w:r>
          <w:rPr>
            <w:noProof/>
            <w:webHidden/>
          </w:rPr>
          <w:t>99</w:t>
        </w:r>
        <w:r>
          <w:rPr>
            <w:noProof/>
            <w:webHidden/>
          </w:rPr>
          <w:fldChar w:fldCharType="end"/>
        </w:r>
      </w:hyperlink>
    </w:p>
    <w:p w14:paraId="2FD3C84F" w14:textId="51FB9F38" w:rsidR="00CF59A1" w:rsidRDefault="00CF59A1">
      <w:pPr>
        <w:pStyle w:val="TableofFigures"/>
        <w:tabs>
          <w:tab w:val="right" w:leader="dot" w:pos="9350"/>
        </w:tabs>
        <w:rPr>
          <w:rFonts w:asciiTheme="minorHAnsi" w:eastAsiaTheme="minorEastAsia" w:hAnsiTheme="minorHAnsi"/>
          <w:noProof/>
          <w:color w:val="auto"/>
        </w:rPr>
      </w:pPr>
      <w:hyperlink w:anchor="_Toc200097055" w:history="1">
        <w:r w:rsidRPr="003E198A">
          <w:rPr>
            <w:rStyle w:val="Hyperlink"/>
            <w:noProof/>
          </w:rPr>
          <w:t>Table 4.3. Associations between COPD</w:t>
        </w:r>
        <w:r w:rsidRPr="003E198A">
          <w:rPr>
            <w:rStyle w:val="Hyperlink"/>
            <w:noProof/>
            <w:vertAlign w:val="superscript"/>
          </w:rPr>
          <w:t>1</w:t>
        </w:r>
        <w:r w:rsidRPr="003E198A">
          <w:rPr>
            <w:rStyle w:val="Hyperlink"/>
            <w:noProof/>
          </w:rPr>
          <w:t xml:space="preserve"> and several comorbidities among Department of Energy former workers who participated in the National Supplemental Screening Program, 2005-2019.</w:t>
        </w:r>
        <w:r>
          <w:rPr>
            <w:noProof/>
            <w:webHidden/>
          </w:rPr>
          <w:tab/>
        </w:r>
        <w:r>
          <w:rPr>
            <w:noProof/>
            <w:webHidden/>
          </w:rPr>
          <w:fldChar w:fldCharType="begin"/>
        </w:r>
        <w:r>
          <w:rPr>
            <w:noProof/>
            <w:webHidden/>
          </w:rPr>
          <w:instrText xml:space="preserve"> PAGEREF _Toc200097055 \h </w:instrText>
        </w:r>
        <w:r>
          <w:rPr>
            <w:noProof/>
            <w:webHidden/>
          </w:rPr>
        </w:r>
        <w:r>
          <w:rPr>
            <w:noProof/>
            <w:webHidden/>
          </w:rPr>
          <w:fldChar w:fldCharType="separate"/>
        </w:r>
        <w:r>
          <w:rPr>
            <w:noProof/>
            <w:webHidden/>
          </w:rPr>
          <w:t>103</w:t>
        </w:r>
        <w:r>
          <w:rPr>
            <w:noProof/>
            <w:webHidden/>
          </w:rPr>
          <w:fldChar w:fldCharType="end"/>
        </w:r>
      </w:hyperlink>
    </w:p>
    <w:p w14:paraId="6AB85191" w14:textId="5EF1E2B9" w:rsidR="00CF59A1" w:rsidRDefault="00CF59A1">
      <w:pPr>
        <w:pStyle w:val="TableofFigures"/>
        <w:tabs>
          <w:tab w:val="right" w:leader="dot" w:pos="9350"/>
        </w:tabs>
        <w:rPr>
          <w:rFonts w:asciiTheme="minorHAnsi" w:eastAsiaTheme="minorEastAsia" w:hAnsiTheme="minorHAnsi"/>
          <w:noProof/>
          <w:color w:val="auto"/>
        </w:rPr>
      </w:pPr>
      <w:hyperlink w:anchor="_Toc200097056" w:history="1">
        <w:r w:rsidRPr="003E198A">
          <w:rPr>
            <w:rStyle w:val="Hyperlink"/>
            <w:noProof/>
          </w:rPr>
          <w:t>Table 4.4. Summary of comorbidities within clusters of National Supplemental Screening Program participants with chronic obstructive pulmonary disease (n=3,647) across all imputed datasets (n=20), 2005-2019.</w:t>
        </w:r>
        <w:r>
          <w:rPr>
            <w:noProof/>
            <w:webHidden/>
          </w:rPr>
          <w:tab/>
        </w:r>
        <w:r>
          <w:rPr>
            <w:noProof/>
            <w:webHidden/>
          </w:rPr>
          <w:fldChar w:fldCharType="begin"/>
        </w:r>
        <w:r>
          <w:rPr>
            <w:noProof/>
            <w:webHidden/>
          </w:rPr>
          <w:instrText xml:space="preserve"> PAGEREF _Toc200097056 \h </w:instrText>
        </w:r>
        <w:r>
          <w:rPr>
            <w:noProof/>
            <w:webHidden/>
          </w:rPr>
        </w:r>
        <w:r>
          <w:rPr>
            <w:noProof/>
            <w:webHidden/>
          </w:rPr>
          <w:fldChar w:fldCharType="separate"/>
        </w:r>
        <w:r>
          <w:rPr>
            <w:noProof/>
            <w:webHidden/>
          </w:rPr>
          <w:t>105</w:t>
        </w:r>
        <w:r>
          <w:rPr>
            <w:noProof/>
            <w:webHidden/>
          </w:rPr>
          <w:fldChar w:fldCharType="end"/>
        </w:r>
      </w:hyperlink>
    </w:p>
    <w:p w14:paraId="3C1E23D5" w14:textId="415EBD9C" w:rsidR="00CF59A1" w:rsidRDefault="00CF59A1">
      <w:pPr>
        <w:pStyle w:val="TableofFigures"/>
        <w:tabs>
          <w:tab w:val="right" w:leader="dot" w:pos="9350"/>
        </w:tabs>
        <w:rPr>
          <w:rFonts w:asciiTheme="minorHAnsi" w:eastAsiaTheme="minorEastAsia" w:hAnsiTheme="minorHAnsi"/>
          <w:noProof/>
          <w:color w:val="auto"/>
        </w:rPr>
      </w:pPr>
      <w:hyperlink w:anchor="_Toc200097057" w:history="1">
        <w:r w:rsidRPr="003E198A">
          <w:rPr>
            <w:rStyle w:val="Hyperlink"/>
            <w:noProof/>
          </w:rPr>
          <w:t xml:space="preserve">Table 4.5. Associations of </w:t>
        </w:r>
        <w:r w:rsidRPr="003E198A">
          <w:rPr>
            <w:rStyle w:val="Hyperlink"/>
            <w:noProof/>
            <w:vertAlign w:val="superscript"/>
          </w:rPr>
          <w:t>1</w:t>
        </w:r>
        <w:r w:rsidRPr="003E198A">
          <w:rPr>
            <w:rStyle w:val="Hyperlink"/>
            <w:noProof/>
          </w:rPr>
          <w:t xml:space="preserve">FEV1 change and </w:t>
        </w:r>
        <w:r w:rsidRPr="003E198A">
          <w:rPr>
            <w:rStyle w:val="Hyperlink"/>
            <w:noProof/>
            <w:vertAlign w:val="superscript"/>
          </w:rPr>
          <w:t>1</w:t>
        </w:r>
        <w:r w:rsidRPr="003E198A">
          <w:rPr>
            <w:rStyle w:val="Hyperlink"/>
            <w:noProof/>
          </w:rPr>
          <w:t>FEV1 decline with several potential predictor variables among the National Supplemental Screening Program participants with chronic obstructive pulmonary at initial exam.</w:t>
        </w:r>
        <w:r>
          <w:rPr>
            <w:noProof/>
            <w:webHidden/>
          </w:rPr>
          <w:tab/>
        </w:r>
        <w:r>
          <w:rPr>
            <w:noProof/>
            <w:webHidden/>
          </w:rPr>
          <w:fldChar w:fldCharType="begin"/>
        </w:r>
        <w:r>
          <w:rPr>
            <w:noProof/>
            <w:webHidden/>
          </w:rPr>
          <w:instrText xml:space="preserve"> PAGEREF _Toc200097057 \h </w:instrText>
        </w:r>
        <w:r>
          <w:rPr>
            <w:noProof/>
            <w:webHidden/>
          </w:rPr>
        </w:r>
        <w:r>
          <w:rPr>
            <w:noProof/>
            <w:webHidden/>
          </w:rPr>
          <w:fldChar w:fldCharType="separate"/>
        </w:r>
        <w:r>
          <w:rPr>
            <w:noProof/>
            <w:webHidden/>
          </w:rPr>
          <w:t>108</w:t>
        </w:r>
        <w:r>
          <w:rPr>
            <w:noProof/>
            <w:webHidden/>
          </w:rPr>
          <w:fldChar w:fldCharType="end"/>
        </w:r>
      </w:hyperlink>
    </w:p>
    <w:p w14:paraId="6B517B64" w14:textId="21802254" w:rsidR="00CF59A1" w:rsidRDefault="00CF59A1">
      <w:pPr>
        <w:pStyle w:val="TableofFigures"/>
        <w:tabs>
          <w:tab w:val="right" w:leader="dot" w:pos="9350"/>
        </w:tabs>
        <w:rPr>
          <w:rFonts w:asciiTheme="minorHAnsi" w:eastAsiaTheme="minorEastAsia" w:hAnsiTheme="minorHAnsi"/>
          <w:noProof/>
          <w:color w:val="auto"/>
        </w:rPr>
      </w:pPr>
      <w:hyperlink w:anchor="_Toc200097058" w:history="1">
        <w:r w:rsidRPr="003E198A">
          <w:rPr>
            <w:rStyle w:val="Hyperlink"/>
            <w:noProof/>
          </w:rPr>
          <w:t xml:space="preserve">Table 4.6. Importance scores for predictors of change in </w:t>
        </w:r>
        <w:r w:rsidRPr="003E198A">
          <w:rPr>
            <w:rStyle w:val="Hyperlink"/>
            <w:noProof/>
            <w:vertAlign w:val="superscript"/>
          </w:rPr>
          <w:t>1</w:t>
        </w:r>
        <w:r w:rsidRPr="003E198A">
          <w:rPr>
            <w:rStyle w:val="Hyperlink"/>
            <w:noProof/>
          </w:rPr>
          <w:t xml:space="preserve">FEV1 and </w:t>
        </w:r>
        <w:r w:rsidRPr="003E198A">
          <w:rPr>
            <w:rStyle w:val="Hyperlink"/>
            <w:noProof/>
            <w:vertAlign w:val="superscript"/>
          </w:rPr>
          <w:t>1</w:t>
        </w:r>
        <w:r w:rsidRPr="003E198A">
          <w:rPr>
            <w:rStyle w:val="Hyperlink"/>
            <w:noProof/>
          </w:rPr>
          <w:t>FEV1 decline for National Supplemental Screening Program participants with chronic obstructive pulmonary at initial exam (n=769) across all imputed datasets (n=20)</w:t>
        </w:r>
        <w:r>
          <w:rPr>
            <w:noProof/>
            <w:webHidden/>
          </w:rPr>
          <w:tab/>
        </w:r>
        <w:r>
          <w:rPr>
            <w:noProof/>
            <w:webHidden/>
          </w:rPr>
          <w:fldChar w:fldCharType="begin"/>
        </w:r>
        <w:r>
          <w:rPr>
            <w:noProof/>
            <w:webHidden/>
          </w:rPr>
          <w:instrText xml:space="preserve"> PAGEREF _Toc200097058 \h </w:instrText>
        </w:r>
        <w:r>
          <w:rPr>
            <w:noProof/>
            <w:webHidden/>
          </w:rPr>
        </w:r>
        <w:r>
          <w:rPr>
            <w:noProof/>
            <w:webHidden/>
          </w:rPr>
          <w:fldChar w:fldCharType="separate"/>
        </w:r>
        <w:r>
          <w:rPr>
            <w:noProof/>
            <w:webHidden/>
          </w:rPr>
          <w:t>112</w:t>
        </w:r>
        <w:r>
          <w:rPr>
            <w:noProof/>
            <w:webHidden/>
          </w:rPr>
          <w:fldChar w:fldCharType="end"/>
        </w:r>
      </w:hyperlink>
    </w:p>
    <w:p w14:paraId="4BE8226E" w14:textId="1D04BAD7" w:rsidR="00837A97" w:rsidRDefault="002C159F">
      <w:r>
        <w:rPr>
          <w:rFonts w:ascii="Times New Roman" w:hAnsi="Times New Roman"/>
          <w:color w:val="000000" w:themeColor="text1"/>
        </w:rPr>
        <w:fldChar w:fldCharType="end"/>
      </w:r>
      <w:r w:rsidR="00837A97">
        <w:br w:type="page"/>
      </w:r>
    </w:p>
    <w:p w14:paraId="267DCC47" w14:textId="6DED5333" w:rsidR="00837A97" w:rsidRPr="005824CC" w:rsidRDefault="00837A97" w:rsidP="005824CC">
      <w:pPr>
        <w:jc w:val="center"/>
        <w:rPr>
          <w:rFonts w:ascii="Times New Roman" w:hAnsi="Times New Roman" w:cs="Times New Roman"/>
          <w:b/>
          <w:bCs/>
          <w:sz w:val="28"/>
          <w:szCs w:val="28"/>
        </w:rPr>
      </w:pPr>
      <w:r w:rsidRPr="005824CC">
        <w:rPr>
          <w:rFonts w:ascii="Times New Roman" w:hAnsi="Times New Roman" w:cs="Times New Roman"/>
          <w:b/>
          <w:bCs/>
          <w:sz w:val="28"/>
          <w:szCs w:val="28"/>
        </w:rPr>
        <w:lastRenderedPageBreak/>
        <w:t>LIST OF FIGURES</w:t>
      </w:r>
    </w:p>
    <w:p w14:paraId="251BB028" w14:textId="568E42CD" w:rsidR="00CF59A1" w:rsidRDefault="00357E7C">
      <w:pPr>
        <w:pStyle w:val="TableofFigures"/>
        <w:tabs>
          <w:tab w:val="right" w:leader="dot" w:pos="9350"/>
        </w:tabs>
        <w:rPr>
          <w:rFonts w:asciiTheme="minorHAnsi" w:eastAsiaTheme="minorEastAsia" w:hAnsiTheme="minorHAnsi"/>
          <w:noProof/>
          <w:color w:val="auto"/>
        </w:rPr>
      </w:pPr>
      <w:r>
        <w:fldChar w:fldCharType="begin"/>
      </w:r>
      <w:r>
        <w:instrText xml:space="preserve"> TOC \h \z \c "Figure" </w:instrText>
      </w:r>
      <w:r>
        <w:fldChar w:fldCharType="separate"/>
      </w:r>
      <w:hyperlink w:anchor="_Toc200097059" w:history="1">
        <w:r w:rsidR="00CF59A1" w:rsidRPr="003106C8">
          <w:rPr>
            <w:rStyle w:val="Hyperlink"/>
            <w:noProof/>
          </w:rPr>
          <w:t>Figure 2.1 Conceptual model representing predictors of chronic obstructive pulmonary disease in Florida.</w:t>
        </w:r>
        <w:r w:rsidR="00CF59A1">
          <w:rPr>
            <w:noProof/>
            <w:webHidden/>
          </w:rPr>
          <w:tab/>
        </w:r>
        <w:r w:rsidR="00CF59A1">
          <w:rPr>
            <w:noProof/>
            <w:webHidden/>
          </w:rPr>
          <w:fldChar w:fldCharType="begin"/>
        </w:r>
        <w:r w:rsidR="00CF59A1">
          <w:rPr>
            <w:noProof/>
            <w:webHidden/>
          </w:rPr>
          <w:instrText xml:space="preserve"> PAGEREF _Toc200097059 \h </w:instrText>
        </w:r>
        <w:r w:rsidR="00CF59A1">
          <w:rPr>
            <w:noProof/>
            <w:webHidden/>
          </w:rPr>
        </w:r>
        <w:r w:rsidR="00CF59A1">
          <w:rPr>
            <w:noProof/>
            <w:webHidden/>
          </w:rPr>
          <w:fldChar w:fldCharType="separate"/>
        </w:r>
        <w:r w:rsidR="00CF59A1">
          <w:rPr>
            <w:noProof/>
            <w:webHidden/>
          </w:rPr>
          <w:t>38</w:t>
        </w:r>
        <w:r w:rsidR="00CF59A1">
          <w:rPr>
            <w:noProof/>
            <w:webHidden/>
          </w:rPr>
          <w:fldChar w:fldCharType="end"/>
        </w:r>
      </w:hyperlink>
    </w:p>
    <w:p w14:paraId="3241A4B5" w14:textId="30239B46" w:rsidR="00CF59A1" w:rsidRDefault="00CF59A1">
      <w:pPr>
        <w:pStyle w:val="TableofFigures"/>
        <w:tabs>
          <w:tab w:val="right" w:leader="dot" w:pos="9350"/>
        </w:tabs>
        <w:rPr>
          <w:rFonts w:asciiTheme="minorHAnsi" w:eastAsiaTheme="minorEastAsia" w:hAnsiTheme="minorHAnsi"/>
          <w:noProof/>
          <w:color w:val="auto"/>
        </w:rPr>
      </w:pPr>
      <w:hyperlink w:anchor="_Toc200097060" w:history="1">
        <w:r w:rsidRPr="003106C8">
          <w:rPr>
            <w:rStyle w:val="Hyperlink"/>
            <w:noProof/>
          </w:rPr>
          <w:t>Figure 2.2  Geographic distribution of rural and urban counties in Florida.</w:t>
        </w:r>
        <w:r>
          <w:rPr>
            <w:noProof/>
            <w:webHidden/>
          </w:rPr>
          <w:tab/>
        </w:r>
        <w:r>
          <w:rPr>
            <w:noProof/>
            <w:webHidden/>
          </w:rPr>
          <w:fldChar w:fldCharType="begin"/>
        </w:r>
        <w:r>
          <w:rPr>
            <w:noProof/>
            <w:webHidden/>
          </w:rPr>
          <w:instrText xml:space="preserve"> PAGEREF _Toc200097060 \h </w:instrText>
        </w:r>
        <w:r>
          <w:rPr>
            <w:noProof/>
            <w:webHidden/>
          </w:rPr>
        </w:r>
        <w:r>
          <w:rPr>
            <w:noProof/>
            <w:webHidden/>
          </w:rPr>
          <w:fldChar w:fldCharType="separate"/>
        </w:r>
        <w:r>
          <w:rPr>
            <w:noProof/>
            <w:webHidden/>
          </w:rPr>
          <w:t>40</w:t>
        </w:r>
        <w:r>
          <w:rPr>
            <w:noProof/>
            <w:webHidden/>
          </w:rPr>
          <w:fldChar w:fldCharType="end"/>
        </w:r>
      </w:hyperlink>
    </w:p>
    <w:p w14:paraId="1B5873BF" w14:textId="215E7395" w:rsidR="00CF59A1" w:rsidRDefault="00CF59A1">
      <w:pPr>
        <w:pStyle w:val="TableofFigures"/>
        <w:tabs>
          <w:tab w:val="right" w:leader="dot" w:pos="9350"/>
        </w:tabs>
        <w:rPr>
          <w:rFonts w:asciiTheme="minorHAnsi" w:eastAsiaTheme="minorEastAsia" w:hAnsiTheme="minorHAnsi"/>
          <w:noProof/>
          <w:color w:val="auto"/>
        </w:rPr>
      </w:pPr>
      <w:hyperlink w:anchor="_Toc200097061" w:history="1">
        <w:r w:rsidRPr="003106C8">
          <w:rPr>
            <w:rStyle w:val="Hyperlink"/>
            <w:noProof/>
          </w:rPr>
          <w:t>Figure 2.3 Geographic distribution of age-adjusted chronic obstructive pulmonary disease prevalence per 100 in Florida, 2019.</w:t>
        </w:r>
        <w:r>
          <w:rPr>
            <w:noProof/>
            <w:webHidden/>
          </w:rPr>
          <w:tab/>
        </w:r>
        <w:r>
          <w:rPr>
            <w:noProof/>
            <w:webHidden/>
          </w:rPr>
          <w:fldChar w:fldCharType="begin"/>
        </w:r>
        <w:r>
          <w:rPr>
            <w:noProof/>
            <w:webHidden/>
          </w:rPr>
          <w:instrText xml:space="preserve"> PAGEREF _Toc200097061 \h </w:instrText>
        </w:r>
        <w:r>
          <w:rPr>
            <w:noProof/>
            <w:webHidden/>
          </w:rPr>
        </w:r>
        <w:r>
          <w:rPr>
            <w:noProof/>
            <w:webHidden/>
          </w:rPr>
          <w:fldChar w:fldCharType="separate"/>
        </w:r>
        <w:r>
          <w:rPr>
            <w:noProof/>
            <w:webHidden/>
          </w:rPr>
          <w:t>41</w:t>
        </w:r>
        <w:r>
          <w:rPr>
            <w:noProof/>
            <w:webHidden/>
          </w:rPr>
          <w:fldChar w:fldCharType="end"/>
        </w:r>
      </w:hyperlink>
    </w:p>
    <w:p w14:paraId="2B5D1E82" w14:textId="64A385BB" w:rsidR="00CF59A1" w:rsidRDefault="00CF59A1">
      <w:pPr>
        <w:pStyle w:val="TableofFigures"/>
        <w:tabs>
          <w:tab w:val="right" w:leader="dot" w:pos="9350"/>
        </w:tabs>
        <w:rPr>
          <w:rFonts w:asciiTheme="minorHAnsi" w:eastAsiaTheme="minorEastAsia" w:hAnsiTheme="minorHAnsi"/>
          <w:noProof/>
          <w:color w:val="auto"/>
        </w:rPr>
      </w:pPr>
      <w:hyperlink w:anchor="_Toc200097062" w:history="1">
        <w:r w:rsidRPr="003106C8">
          <w:rPr>
            <w:rStyle w:val="Hyperlink"/>
            <w:noProof/>
          </w:rPr>
          <w:t>Figure 2.4 Significant clusters of age-adjusted chronic obstructive pulmonary disease Prevalence in Florida, 2019.</w:t>
        </w:r>
        <w:r>
          <w:rPr>
            <w:noProof/>
            <w:webHidden/>
          </w:rPr>
          <w:tab/>
        </w:r>
        <w:r>
          <w:rPr>
            <w:noProof/>
            <w:webHidden/>
          </w:rPr>
          <w:fldChar w:fldCharType="begin"/>
        </w:r>
        <w:r>
          <w:rPr>
            <w:noProof/>
            <w:webHidden/>
          </w:rPr>
          <w:instrText xml:space="preserve"> PAGEREF _Toc200097062 \h </w:instrText>
        </w:r>
        <w:r>
          <w:rPr>
            <w:noProof/>
            <w:webHidden/>
          </w:rPr>
        </w:r>
        <w:r>
          <w:rPr>
            <w:noProof/>
            <w:webHidden/>
          </w:rPr>
          <w:fldChar w:fldCharType="separate"/>
        </w:r>
        <w:r>
          <w:rPr>
            <w:noProof/>
            <w:webHidden/>
          </w:rPr>
          <w:t>43</w:t>
        </w:r>
        <w:r>
          <w:rPr>
            <w:noProof/>
            <w:webHidden/>
          </w:rPr>
          <w:fldChar w:fldCharType="end"/>
        </w:r>
      </w:hyperlink>
    </w:p>
    <w:p w14:paraId="2E683CF1" w14:textId="034A46C0" w:rsidR="00CF59A1" w:rsidRDefault="00CF59A1">
      <w:pPr>
        <w:pStyle w:val="TableofFigures"/>
        <w:tabs>
          <w:tab w:val="right" w:leader="dot" w:pos="9350"/>
        </w:tabs>
        <w:rPr>
          <w:rFonts w:asciiTheme="minorHAnsi" w:eastAsiaTheme="minorEastAsia" w:hAnsiTheme="minorHAnsi"/>
          <w:noProof/>
          <w:color w:val="auto"/>
        </w:rPr>
      </w:pPr>
      <w:hyperlink w:anchor="_Toc200097063" w:history="1">
        <w:r w:rsidRPr="003106C8">
          <w:rPr>
            <w:rStyle w:val="Hyperlink"/>
            <w:noProof/>
          </w:rPr>
          <w:t>Figure 2.5 Geographic distributions of the percentages of Florida population with asthma (2.5A) or are current smokers (2.5B)</w:t>
        </w:r>
        <w:r>
          <w:rPr>
            <w:noProof/>
            <w:webHidden/>
          </w:rPr>
          <w:tab/>
        </w:r>
        <w:r>
          <w:rPr>
            <w:noProof/>
            <w:webHidden/>
          </w:rPr>
          <w:fldChar w:fldCharType="begin"/>
        </w:r>
        <w:r>
          <w:rPr>
            <w:noProof/>
            <w:webHidden/>
          </w:rPr>
          <w:instrText xml:space="preserve"> PAGEREF _Toc200097063 \h </w:instrText>
        </w:r>
        <w:r>
          <w:rPr>
            <w:noProof/>
            <w:webHidden/>
          </w:rPr>
        </w:r>
        <w:r>
          <w:rPr>
            <w:noProof/>
            <w:webHidden/>
          </w:rPr>
          <w:fldChar w:fldCharType="separate"/>
        </w:r>
        <w:r>
          <w:rPr>
            <w:noProof/>
            <w:webHidden/>
          </w:rPr>
          <w:t>48</w:t>
        </w:r>
        <w:r>
          <w:rPr>
            <w:noProof/>
            <w:webHidden/>
          </w:rPr>
          <w:fldChar w:fldCharType="end"/>
        </w:r>
      </w:hyperlink>
    </w:p>
    <w:p w14:paraId="19BFE1A9" w14:textId="23CA07BF" w:rsidR="00D67AF7" w:rsidRDefault="00357E7C">
      <w:r>
        <w:rPr>
          <w:rFonts w:ascii="Times New Roman" w:hAnsi="Times New Roman"/>
          <w:color w:val="000000" w:themeColor="text1"/>
        </w:rPr>
        <w:fldChar w:fldCharType="end"/>
      </w:r>
      <w:r w:rsidR="00D67AF7">
        <w:br w:type="page"/>
      </w:r>
    </w:p>
    <w:p w14:paraId="3B0228E5" w14:textId="3AEBE6EF" w:rsidR="00471DA5" w:rsidRPr="00D67AF7" w:rsidRDefault="00D67AF7" w:rsidP="00D67AF7">
      <w:pPr>
        <w:jc w:val="center"/>
        <w:rPr>
          <w:rFonts w:ascii="Times New Roman" w:hAnsi="Times New Roman" w:cs="Times New Roman"/>
          <w:b/>
          <w:bCs/>
          <w:sz w:val="28"/>
          <w:szCs w:val="28"/>
        </w:rPr>
      </w:pPr>
      <w:r w:rsidRPr="00D67AF7">
        <w:rPr>
          <w:rFonts w:ascii="Times New Roman" w:hAnsi="Times New Roman" w:cs="Times New Roman"/>
          <w:b/>
          <w:bCs/>
          <w:sz w:val="28"/>
          <w:szCs w:val="28"/>
        </w:rPr>
        <w:lastRenderedPageBreak/>
        <w:t>LIST OF ABBREVIATIONS</w:t>
      </w:r>
    </w:p>
    <w:p w14:paraId="7D584EAD"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AAT: Alpha-1 Antitrypsin</w:t>
      </w:r>
    </w:p>
    <w:p w14:paraId="3FCF3650"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AQI: Air Quality Index</w:t>
      </w:r>
    </w:p>
    <w:p w14:paraId="0B637175"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BMI: Body Mass Index</w:t>
      </w:r>
    </w:p>
    <w:p w14:paraId="0104598B"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BOLD: Burden of Obstructive Lung Disease</w:t>
      </w:r>
    </w:p>
    <w:p w14:paraId="1EEBDA47"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CAT: Chronic Obstructive Pulmonary Disease Assessment Test</w:t>
      </w:r>
    </w:p>
    <w:p w14:paraId="592192C9"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CI: Confidence Interval</w:t>
      </w:r>
    </w:p>
    <w:p w14:paraId="780908D0"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COPD: Chronic Obstructive Pulmonary Disease</w:t>
      </w:r>
    </w:p>
    <w:p w14:paraId="0DA4095A"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DALY: Disability Adjusted Life Years</w:t>
      </w:r>
    </w:p>
    <w:p w14:paraId="690789D9"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DOE: Department of Energy</w:t>
      </w:r>
    </w:p>
    <w:p w14:paraId="614046F6"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EPA: Environmental Protection Agency</w:t>
      </w:r>
    </w:p>
    <w:p w14:paraId="79EF323E"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FEV</w:t>
      </w:r>
      <w:r w:rsidRPr="00D67AF7">
        <w:rPr>
          <w:rFonts w:ascii="Times New Roman" w:hAnsi="Times New Roman" w:cs="Times New Roman"/>
          <w:vertAlign w:val="subscript"/>
        </w:rPr>
        <w:t>1</w:t>
      </w:r>
      <w:r w:rsidRPr="00D67AF7">
        <w:rPr>
          <w:rFonts w:ascii="Times New Roman" w:hAnsi="Times New Roman" w:cs="Times New Roman"/>
        </w:rPr>
        <w:t>: Forced Expiratory Volume in One Second</w:t>
      </w:r>
    </w:p>
    <w:p w14:paraId="68675D6C"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FSSS: Flexible Spatial Scan Statistic</w:t>
      </w:r>
    </w:p>
    <w:p w14:paraId="6077DD76"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FWP: Former Worker Medical Screening Program</w:t>
      </w:r>
    </w:p>
    <w:p w14:paraId="7177E0EA"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FVC: Forced Vital Capacity</w:t>
      </w:r>
    </w:p>
    <w:p w14:paraId="1EFC642D"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GOLD: Global Initiative of Chronic Obstructive Lung Disease</w:t>
      </w:r>
    </w:p>
    <w:p w14:paraId="539BCCDE"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 xml:space="preserve">ICS: Inhaled Corticosteroid </w:t>
      </w:r>
    </w:p>
    <w:p w14:paraId="1B0F352C"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IQR: Interquartile Range</w:t>
      </w:r>
    </w:p>
    <w:p w14:paraId="31778844"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IRB: Institutional Review Board</w:t>
      </w:r>
    </w:p>
    <w:p w14:paraId="51B363C8"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LABA: Long-Acting Beta-Agonists</w:t>
      </w:r>
    </w:p>
    <w:p w14:paraId="6A07C9A5"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LAMA: Long-Acting Muscarinic Antagonists</w:t>
      </w:r>
    </w:p>
    <w:p w14:paraId="47CF9E8D"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 xml:space="preserve">LISE: Local Indicators of Spatial Associations </w:t>
      </w:r>
    </w:p>
    <w:p w14:paraId="03025860"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LLN: Lower Limit of Normal</w:t>
      </w:r>
    </w:p>
    <w:p w14:paraId="0C05037D"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LLR: Log Likelihood Ratio</w:t>
      </w:r>
    </w:p>
    <w:p w14:paraId="3763971F"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MICE: Multivariate Imputation by Chained Equation</w:t>
      </w:r>
    </w:p>
    <w:p w14:paraId="02A96064" w14:textId="77777777" w:rsidR="00D67AF7" w:rsidRPr="00D67AF7" w:rsidRDefault="00D67AF7" w:rsidP="00D67AF7">
      <w:pPr>
        <w:rPr>
          <w:rFonts w:ascii="Times New Roman" w:hAnsi="Times New Roman" w:cs="Times New Roman"/>
        </w:rPr>
      </w:pPr>
      <w:proofErr w:type="spellStart"/>
      <w:r w:rsidRPr="00D67AF7">
        <w:rPr>
          <w:rFonts w:ascii="Times New Roman" w:hAnsi="Times New Roman" w:cs="Times New Roman"/>
        </w:rPr>
        <w:t>mMRC</w:t>
      </w:r>
      <w:proofErr w:type="spellEnd"/>
      <w:r w:rsidRPr="00D67AF7">
        <w:rPr>
          <w:rFonts w:ascii="Times New Roman" w:hAnsi="Times New Roman" w:cs="Times New Roman"/>
        </w:rPr>
        <w:t xml:space="preserve">: Modified Medical Research Council </w:t>
      </w:r>
    </w:p>
    <w:p w14:paraId="36E3823E"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NSSP: National Supplemental Screening Program</w:t>
      </w:r>
    </w:p>
    <w:p w14:paraId="51085AEB"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lastRenderedPageBreak/>
        <w:t>OLS: Ordinary Least Squares</w:t>
      </w:r>
    </w:p>
    <w:p w14:paraId="4894C469"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OR: Odds Ratio</w:t>
      </w:r>
    </w:p>
    <w:p w14:paraId="0E3FBE39"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PM</w:t>
      </w:r>
      <w:r w:rsidRPr="00D67AF7">
        <w:rPr>
          <w:rFonts w:ascii="Times New Roman" w:hAnsi="Times New Roman" w:cs="Times New Roman"/>
          <w:vertAlign w:val="subscript"/>
        </w:rPr>
        <w:t>2.5</w:t>
      </w:r>
      <w:r w:rsidRPr="00D67AF7">
        <w:rPr>
          <w:rFonts w:ascii="Times New Roman" w:hAnsi="Times New Roman" w:cs="Times New Roman"/>
        </w:rPr>
        <w:t>: Particulate Matter 2.5</w:t>
      </w:r>
    </w:p>
    <w:p w14:paraId="3E714E86"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PM</w:t>
      </w:r>
      <w:r w:rsidRPr="00D67AF7">
        <w:rPr>
          <w:rFonts w:ascii="Times New Roman" w:hAnsi="Times New Roman" w:cs="Times New Roman"/>
          <w:vertAlign w:val="subscript"/>
        </w:rPr>
        <w:t>10</w:t>
      </w:r>
      <w:r w:rsidRPr="00D67AF7">
        <w:rPr>
          <w:rFonts w:ascii="Times New Roman" w:hAnsi="Times New Roman" w:cs="Times New Roman"/>
        </w:rPr>
        <w:t>: Particulate Matter 10</w:t>
      </w:r>
    </w:p>
    <w:p w14:paraId="1BDE3EE7"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RMSE: Root Mean Square Error</w:t>
      </w:r>
    </w:p>
    <w:p w14:paraId="381FDDB0"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RRR: Relative Risk Ratios</w:t>
      </w:r>
    </w:p>
    <w:p w14:paraId="39888480"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RSV: Respiratory Syncytial Virus</w:t>
      </w:r>
    </w:p>
    <w:p w14:paraId="454FFAFE"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UTK: University of Tennessee, Knoxville</w:t>
      </w:r>
    </w:p>
    <w:p w14:paraId="285CA99B"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US: United States</w:t>
      </w:r>
    </w:p>
    <w:p w14:paraId="05E37628"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VIF: Variance Inflation Factor</w:t>
      </w:r>
    </w:p>
    <w:p w14:paraId="02387DA7" w14:textId="77777777" w:rsidR="00D67AF7" w:rsidRPr="00D67AF7" w:rsidRDefault="00D67AF7" w:rsidP="00D67AF7">
      <w:pPr>
        <w:rPr>
          <w:rFonts w:ascii="Times New Roman" w:hAnsi="Times New Roman" w:cs="Times New Roman"/>
        </w:rPr>
      </w:pPr>
      <w:r w:rsidRPr="00D67AF7">
        <w:rPr>
          <w:rFonts w:ascii="Times New Roman" w:hAnsi="Times New Roman" w:cs="Times New Roman"/>
        </w:rPr>
        <w:t>ZCTA: Zip Code Tabulation Area</w:t>
      </w:r>
    </w:p>
    <w:p w14:paraId="5C50D790" w14:textId="77777777" w:rsidR="00471DA5" w:rsidRDefault="00471DA5" w:rsidP="00837A97"/>
    <w:p w14:paraId="007065C4" w14:textId="77777777" w:rsidR="00471DA5" w:rsidRDefault="00471DA5" w:rsidP="00837A97">
      <w:pPr>
        <w:sectPr w:rsidR="00471DA5" w:rsidSect="00837A97">
          <w:footerReference w:type="even" r:id="rId8"/>
          <w:footerReference w:type="default" r:id="rId9"/>
          <w:pgSz w:w="12240" w:h="15840"/>
          <w:pgMar w:top="1440" w:right="1440" w:bottom="1440" w:left="1440" w:header="720" w:footer="720" w:gutter="0"/>
          <w:pgNumType w:fmt="lowerRoman" w:start="1"/>
          <w:cols w:space="720"/>
          <w:titlePg/>
          <w:docGrid w:linePitch="360"/>
        </w:sectPr>
      </w:pPr>
    </w:p>
    <w:p w14:paraId="7B568699" w14:textId="205C7A98" w:rsidR="00837A97" w:rsidRDefault="000A4C23" w:rsidP="006A1C6C">
      <w:pPr>
        <w:pStyle w:val="Heading1"/>
        <w:numPr>
          <w:ilvl w:val="0"/>
          <w:numId w:val="0"/>
        </w:numPr>
        <w:spacing w:before="0" w:after="0" w:line="480" w:lineRule="auto"/>
        <w:jc w:val="center"/>
      </w:pPr>
      <w:bookmarkStart w:id="0" w:name="_Toc200096932"/>
      <w:r>
        <w:lastRenderedPageBreak/>
        <w:t>CHAPTER 1</w:t>
      </w:r>
      <w:bookmarkEnd w:id="0"/>
    </w:p>
    <w:p w14:paraId="07403EAB" w14:textId="0309EB30" w:rsidR="00471DA5" w:rsidRDefault="00471DA5" w:rsidP="006A1C6C">
      <w:pPr>
        <w:pStyle w:val="Heading2"/>
        <w:spacing w:before="0" w:after="0" w:line="480" w:lineRule="auto"/>
      </w:pPr>
      <w:bookmarkStart w:id="1" w:name="_Toc199884031"/>
      <w:bookmarkStart w:id="2" w:name="_Toc199884748"/>
      <w:bookmarkStart w:id="3" w:name="_Toc200096933"/>
      <w:r w:rsidRPr="00360192">
        <w:t>Introduction and Literature Review</w:t>
      </w:r>
      <w:bookmarkEnd w:id="1"/>
      <w:bookmarkEnd w:id="2"/>
      <w:bookmarkEnd w:id="3"/>
    </w:p>
    <w:p w14:paraId="6398E14E" w14:textId="77777777" w:rsidR="00D36702" w:rsidRPr="00D36702" w:rsidRDefault="00D36702" w:rsidP="006A1C6C">
      <w:pPr>
        <w:spacing w:after="0" w:line="480" w:lineRule="auto"/>
      </w:pPr>
    </w:p>
    <w:p w14:paraId="013EF1BB" w14:textId="0AB74522" w:rsidR="00D47413" w:rsidRDefault="00D47413" w:rsidP="00D36702">
      <w:pPr>
        <w:pStyle w:val="Heading3"/>
        <w:spacing w:before="0" w:after="0" w:line="480" w:lineRule="auto"/>
      </w:pPr>
      <w:bookmarkStart w:id="4" w:name="_Toc199884032"/>
      <w:bookmarkStart w:id="5" w:name="_Toc199884749"/>
      <w:bookmarkStart w:id="6" w:name="_Toc200096934"/>
      <w:r>
        <w:t>Introduction</w:t>
      </w:r>
      <w:bookmarkEnd w:id="4"/>
      <w:bookmarkEnd w:id="5"/>
      <w:bookmarkEnd w:id="6"/>
    </w:p>
    <w:p w14:paraId="6374CC9C" w14:textId="20DA2A58" w:rsidR="00573378" w:rsidRDefault="00573378" w:rsidP="00D36702">
      <w:pPr>
        <w:spacing w:after="0" w:line="480" w:lineRule="auto"/>
        <w:ind w:firstLine="418"/>
        <w:rPr>
          <w:rFonts w:ascii="Times New Roman" w:hAnsi="Times New Roman" w:cs="Times New Roman"/>
        </w:rPr>
      </w:pPr>
      <w:r>
        <w:rPr>
          <w:rFonts w:ascii="Times New Roman" w:hAnsi="Times New Roman" w:cs="Times New Roman"/>
        </w:rPr>
        <w:t>Chronic obstructive pulmonary disease (COPD) is a major public health concern with high morbidity and mortality. The condition is ranked as the third leading cause of death globally and in the top 10 causes of death in the United States (US)</w:t>
      </w:r>
      <w:r>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"/>
          <w:id w:val="-1760442551"/>
          <w:placeholder>
            <w:docPart w:val="26AE7B969E074255A376F4AF5BE4535F"/>
          </w:placeholder>
        </w:sdtPr>
        <w:sdtEndPr/>
        <w:sdtContent>
          <w:r w:rsidR="00572E88" w:rsidRPr="00572E88">
            <w:rPr>
              <w:rFonts w:ascii="Times New Roman" w:hAnsi="Times New Roman" w:cs="Times New Roman"/>
              <w:color w:val="000000"/>
            </w:rPr>
            <w:t>[1,2]</w:t>
          </w:r>
        </w:sdtContent>
      </w:sdt>
      <w:r>
        <w:rPr>
          <w:rFonts w:ascii="Times New Roman" w:hAnsi="Times New Roman" w:cs="Times New Roman"/>
        </w:rPr>
        <w:t xml:space="preserve">. The prevalence is estimated at 2,638 cases per 100,000 persons globally </w:t>
      </w:r>
      <w:sdt>
        <w:sdtPr>
          <w:rPr>
            <w:rFonts w:ascii="Times New Roman" w:hAnsi="Times New Roman" w:cs="Times New Roman"/>
            <w:color w:val="000000"/>
          </w:rPr>
          <w:tag w:val="MENDELEY_CITATION_v3_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"/>
          <w:id w:val="-655995809"/>
          <w:placeholder>
            <w:docPart w:val="26AE7B969E074255A376F4AF5BE4535F"/>
          </w:placeholder>
        </w:sdtPr>
        <w:sdtEndPr/>
        <w:sdtContent>
          <w:r w:rsidR="00572E88" w:rsidRPr="00572E88">
            <w:rPr>
              <w:rFonts w:ascii="Times New Roman" w:hAnsi="Times New Roman" w:cs="Times New Roman"/>
              <w:color w:val="000000"/>
            </w:rPr>
            <w:t>[1,3]</w:t>
          </w:r>
        </w:sdtContent>
      </w:sdt>
      <w:r>
        <w:rPr>
          <w:rFonts w:ascii="Times New Roman" w:hAnsi="Times New Roman" w:cs="Times New Roman"/>
        </w:rPr>
        <w:t xml:space="preserve"> and 6.2% in the US </w:t>
      </w:r>
      <w:sdt>
        <w:sdtPr>
          <w:rPr>
            <w:rFonts w:ascii="Times New Roman" w:hAnsi="Times New Roman" w:cs="Times New Roman"/>
            <w:color w:val="000000"/>
          </w:rPr>
          <w:tag w:val="MENDELEY_CITATION_v3_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"/>
          <w:id w:val="-1849394053"/>
          <w:placeholder>
            <w:docPart w:val="26AE7B969E074255A376F4AF5BE4535F"/>
          </w:placeholder>
        </w:sdtPr>
        <w:sdtEndPr/>
        <w:sdtContent>
          <w:r w:rsidR="00572E88" w:rsidRPr="00572E88">
            <w:rPr>
              <w:rFonts w:ascii="Times New Roman" w:hAnsi="Times New Roman" w:cs="Times New Roman"/>
              <w:color w:val="000000"/>
            </w:rPr>
            <w:t>[2,4]</w:t>
          </w:r>
        </w:sdtContent>
      </w:sdt>
      <w:r>
        <w:rPr>
          <w:rFonts w:ascii="Times New Roman" w:hAnsi="Times New Roman" w:cs="Times New Roman"/>
        </w:rPr>
        <w:t xml:space="preserve">. The prevalence of COPD increases with advancing age from 2.7% among those 18-44 years old to 12.8% among those ≥ 65 years old </w:t>
      </w:r>
      <w:sdt>
        <w:sdtPr>
          <w:rPr>
            <w:rFonts w:ascii="Times New Roman" w:hAnsi="Times New Roman" w:cs="Times New Roman"/>
            <w:color w:val="000000"/>
          </w:rPr>
          <w:tag w:val="MENDELEY_CITATION_v3_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"/>
          <w:id w:val="977039820"/>
          <w:placeholder>
            <w:docPart w:val="26AE7B969E074255A376F4AF5BE4535F"/>
          </w:placeholder>
        </w:sdtPr>
        <w:sdtEndPr/>
        <w:sdtContent>
          <w:r w:rsidR="00572E88" w:rsidRPr="00572E88">
            <w:rPr>
              <w:rFonts w:ascii="Times New Roman" w:hAnsi="Times New Roman" w:cs="Times New Roman"/>
              <w:color w:val="000000"/>
            </w:rPr>
            <w:t>[4,5]</w:t>
          </w:r>
        </w:sdtContent>
      </w:sdt>
      <w:r>
        <w:rPr>
          <w:rFonts w:ascii="Times New Roman" w:hAnsi="Times New Roman" w:cs="Times New Roman"/>
        </w:rPr>
        <w:t xml:space="preserve">. Advancing age tends to increase the frequency of co-morbid conditions, which further complicates disease management </w:t>
      </w:r>
      <w:sdt>
        <w:sdtPr>
          <w:rPr>
            <w:rFonts w:ascii="Times New Roman" w:hAnsi="Times New Roman" w:cs="Times New Roman"/>
            <w:color w:val="000000"/>
          </w:rPr>
          <w:tag w:val="MENDELEY_CITATION_v3_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"/>
          <w:id w:val="-1156828472"/>
          <w:placeholder>
            <w:docPart w:val="26AE7B969E074255A376F4AF5BE4535F"/>
          </w:placeholder>
        </w:sdtPr>
        <w:sdtEndPr/>
        <w:sdtContent>
          <w:r w:rsidR="00572E88" w:rsidRPr="00572E88">
            <w:rPr>
              <w:rFonts w:ascii="Times New Roman" w:hAnsi="Times New Roman" w:cs="Times New Roman"/>
              <w:color w:val="000000"/>
            </w:rPr>
            <w:t>[5]</w:t>
          </w:r>
        </w:sdtContent>
      </w:sdt>
      <w:r>
        <w:rPr>
          <w:rFonts w:ascii="Times New Roman" w:hAnsi="Times New Roman" w:cs="Times New Roman"/>
        </w:rPr>
        <w:t xml:space="preserve">. In the US, the combined direct and indirect economic cost of COPD is estimated at </w:t>
      </w:r>
      <w:r w:rsidRPr="008B02C0">
        <w:rPr>
          <w:rFonts w:ascii="Times New Roman" w:hAnsi="Times New Roman" w:cs="Times New Roman"/>
        </w:rPr>
        <w:t>$</w:t>
      </w:r>
      <w:r>
        <w:rPr>
          <w:rFonts w:ascii="Times New Roman" w:hAnsi="Times New Roman" w:cs="Times New Roman"/>
        </w:rPr>
        <w:t>5</w:t>
      </w:r>
      <w:r w:rsidRPr="008B02C0">
        <w:rPr>
          <w:rFonts w:ascii="Times New Roman" w:hAnsi="Times New Roman" w:cs="Times New Roman"/>
        </w:rPr>
        <w:t>2 billion</w:t>
      </w:r>
      <w:r>
        <w:rPr>
          <w:rFonts w:ascii="Times New Roman" w:hAnsi="Times New Roman" w:cs="Times New Roman"/>
        </w:rPr>
        <w:t xml:space="preserve"> annually </w:t>
      </w:r>
      <w:sdt>
        <w:sdtPr>
          <w:rPr>
            <w:rFonts w:ascii="Times New Roman" w:hAnsi="Times New Roman" w:cs="Times New Roman"/>
            <w:color w:val="000000"/>
          </w:rPr>
          <w:tag w:val="MENDELEY_CITATION_v3_eyJjaXRhdGlvbklEIjoiTUVOREVMRVlfQ0lUQVRJT05fMjQ3MDE4MzItYTMwNC00ZGI2LWFkYzQtMDNiZTQ0MTg5NjUx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
          <w:id w:val="-636330162"/>
          <w:placeholder>
            <w:docPart w:val="26AE7B969E074255A376F4AF5BE4535F"/>
          </w:placeholder>
        </w:sdtPr>
        <w:sdtEndPr/>
        <w:sdtContent>
          <w:r w:rsidR="00572E88" w:rsidRPr="00572E88">
            <w:rPr>
              <w:rFonts w:ascii="Times New Roman" w:hAnsi="Times New Roman" w:cs="Times New Roman"/>
              <w:color w:val="000000"/>
            </w:rPr>
            <w:t>[6]</w:t>
          </w:r>
        </w:sdtContent>
      </w:sdt>
      <w:r>
        <w:rPr>
          <w:rFonts w:ascii="Times New Roman" w:hAnsi="Times New Roman" w:cs="Times New Roman"/>
        </w:rPr>
        <w:t xml:space="preserve">. </w:t>
      </w:r>
    </w:p>
    <w:p w14:paraId="12DA6E31" w14:textId="46518C3E" w:rsidR="00573378" w:rsidRDefault="00573378" w:rsidP="00D36702">
      <w:pPr>
        <w:spacing w:after="0" w:line="480" w:lineRule="auto"/>
        <w:ind w:firstLine="418"/>
        <w:rPr>
          <w:rFonts w:ascii="Times New Roman" w:hAnsi="Times New Roman" w:cs="Times New Roman"/>
        </w:rPr>
      </w:pPr>
      <w:r>
        <w:rPr>
          <w:rFonts w:ascii="Times New Roman" w:hAnsi="Times New Roman" w:cs="Times New Roman"/>
        </w:rPr>
        <w:t xml:space="preserve">Several sociodemographic, environmental, and occupational factors are reported to be associated with increased COPD risk. Identifying how these factors increase the risk of COPD within aging populations may be helpful in guiding disease management and preventive strategies </w:t>
      </w:r>
      <w:sdt>
        <w:sdtPr>
          <w:rPr>
            <w:rFonts w:ascii="Times New Roman" w:hAnsi="Times New Roman" w:cs="Times New Roman"/>
            <w:color w:val="000000"/>
          </w:rPr>
          <w:tag w:val="MENDELEY_CITATION_v3_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"/>
          <w:id w:val="-917323003"/>
          <w:placeholder>
            <w:docPart w:val="26AE7B969E074255A376F4AF5BE4535F"/>
          </w:placeholder>
        </w:sdtPr>
        <w:sdtEndPr/>
        <w:sdtContent>
          <w:r w:rsidR="00572E88" w:rsidRPr="00572E88">
            <w:rPr>
              <w:rFonts w:ascii="Times New Roman" w:hAnsi="Times New Roman" w:cs="Times New Roman"/>
              <w:color w:val="000000"/>
            </w:rPr>
            <w:t>[7]</w:t>
          </w:r>
        </w:sdtContent>
      </w:sdt>
      <w:r>
        <w:rPr>
          <w:rFonts w:ascii="Times New Roman" w:hAnsi="Times New Roman" w:cs="Times New Roman"/>
        </w:rPr>
        <w:t xml:space="preserve">. Approximately 4.5 million Florida residents are &gt;65 years old, which makes it the state with one of the oldest populations in the country </w:t>
      </w:r>
      <w:sdt>
        <w:sdtPr>
          <w:rPr>
            <w:rFonts w:ascii="Times New Roman" w:hAnsi="Times New Roman" w:cs="Times New Roman"/>
            <w:color w:val="000000"/>
          </w:rPr>
          <w:tag w:val="MENDELEY_CITATION_v3_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"/>
          <w:id w:val="436415401"/>
          <w:placeholder>
            <w:docPart w:val="26AE7B969E074255A376F4AF5BE4535F"/>
          </w:placeholder>
        </w:sdtPr>
        <w:sdtEndPr/>
        <w:sdtContent>
          <w:r w:rsidR="00572E88" w:rsidRPr="00572E88">
            <w:rPr>
              <w:rFonts w:ascii="Times New Roman" w:hAnsi="Times New Roman" w:cs="Times New Roman"/>
              <w:color w:val="000000"/>
            </w:rPr>
            <w:t>[8]</w:t>
          </w:r>
        </w:sdtContent>
      </w:sdt>
      <w:r>
        <w:rPr>
          <w:rFonts w:ascii="Times New Roman" w:hAnsi="Times New Roman" w:cs="Times New Roman"/>
        </w:rPr>
        <w:t xml:space="preserve">. The state experiences one of the highest economic burdens of COPD within the US. The reported cost of the disease in the state is $3.1 billion annually </w:t>
      </w:r>
      <w:sdt>
        <w:sdtPr>
          <w:rPr>
            <w:rFonts w:ascii="Times New Roman" w:hAnsi="Times New Roman" w:cs="Times New Roman"/>
            <w:color w:val="000000"/>
          </w:rPr>
          <w:tag w:val="MENDELEY_CITATION_v3_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"/>
          <w:id w:val="-1937595636"/>
          <w:placeholder>
            <w:docPart w:val="26AE7B969E074255A376F4AF5BE4535F"/>
          </w:placeholder>
        </w:sdtPr>
        <w:sdtEndPr/>
        <w:sdtContent>
          <w:r w:rsidR="00572E88" w:rsidRPr="00572E88">
            <w:rPr>
              <w:rFonts w:ascii="Times New Roman" w:hAnsi="Times New Roman" w:cs="Times New Roman"/>
              <w:color w:val="000000"/>
            </w:rPr>
            <w:t>[9]</w:t>
          </w:r>
        </w:sdtContent>
      </w:sdt>
      <w:r>
        <w:rPr>
          <w:rFonts w:ascii="Times New Roman" w:hAnsi="Times New Roman" w:cs="Times New Roman"/>
        </w:rPr>
        <w:t xml:space="preserve">. Healthcare utilization due to COPD is also high with the state reporting 32.8 emergency department visits per 10,000 persons and 10.2 hospitalizations per 10,000 persons </w:t>
      </w:r>
      <w:sdt>
        <w:sdtPr>
          <w:rPr>
            <w:rFonts w:ascii="Times New Roman" w:hAnsi="Times New Roman" w:cs="Times New Roman"/>
            <w:color w:val="000000"/>
          </w:rPr>
          <w:tag w:val="MENDELEY_CITATION_v3_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"/>
          <w:id w:val="1807508078"/>
          <w:placeholder>
            <w:docPart w:val="26AE7B969E074255A376F4AF5BE4535F"/>
          </w:placeholder>
        </w:sdtPr>
        <w:sdtEndPr/>
        <w:sdtContent>
          <w:r w:rsidR="00572E88" w:rsidRPr="00572E88">
            <w:rPr>
              <w:rFonts w:ascii="Times New Roman" w:hAnsi="Times New Roman" w:cs="Times New Roman"/>
              <w:color w:val="000000"/>
            </w:rPr>
            <w:t>[10]</w:t>
          </w:r>
        </w:sdtContent>
      </w:sdt>
      <w:r>
        <w:rPr>
          <w:rFonts w:ascii="Times New Roman" w:hAnsi="Times New Roman" w:cs="Times New Roman"/>
        </w:rPr>
        <w:t>. However, no studies have investigated the geographic disparities nor area-level predictors of COPD prevalence in Florida and yet this information is useful in developing intervention strategies for reducing COPD burden.</w:t>
      </w:r>
    </w:p>
    <w:p w14:paraId="60C20865" w14:textId="55E9B5D7" w:rsidR="00573378" w:rsidRPr="00C033B0" w:rsidRDefault="00573378" w:rsidP="00D36702">
      <w:pPr>
        <w:spacing w:after="0" w:line="480" w:lineRule="auto"/>
        <w:ind w:firstLine="418"/>
        <w:rPr>
          <w:rFonts w:ascii="Times New Roman" w:hAnsi="Times New Roman" w:cs="Times New Roman"/>
        </w:rPr>
      </w:pPr>
      <w:r>
        <w:rPr>
          <w:rFonts w:ascii="Times New Roman" w:hAnsi="Times New Roman" w:cs="Times New Roman"/>
        </w:rPr>
        <w:lastRenderedPageBreak/>
        <w:t xml:space="preserve">Previous studies have reported positive associations between COPD and several occupational exposures </w:t>
      </w:r>
      <w:sdt>
        <w:sdtPr>
          <w:rPr>
            <w:rFonts w:ascii="Times New Roman" w:hAnsi="Times New Roman" w:cs="Times New Roman"/>
            <w:color w:val="000000"/>
          </w:rPr>
          <w:tag w:val="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"/>
          <w:id w:val="-1125077459"/>
          <w:placeholder>
            <w:docPart w:val="26AE7B969E074255A376F4AF5BE4535F"/>
          </w:placeholder>
        </w:sdtPr>
        <w:sdtEndPr/>
        <w:sdtContent>
          <w:r w:rsidR="00572E88" w:rsidRPr="00572E88">
            <w:rPr>
              <w:rFonts w:ascii="Times New Roman" w:hAnsi="Times New Roman" w:cs="Times New Roman"/>
              <w:color w:val="000000"/>
            </w:rPr>
            <w:t>[11–13]</w:t>
          </w:r>
        </w:sdtContent>
      </w:sdt>
      <w:r>
        <w:rPr>
          <w:rFonts w:ascii="Times New Roman" w:hAnsi="Times New Roman" w:cs="Times New Roman"/>
        </w:rPr>
        <w:t xml:space="preserve">. Occupational exposures account for 14% of all COPD cases and 31% of COPD cases in non-smokers </w:t>
      </w:r>
      <w:r w:rsidRPr="00C033B0">
        <w:rPr>
          <w:rFonts w:ascii="Times New Roman" w:hAnsi="Times New Roman" w:cs="Times New Roman"/>
        </w:rPr>
        <w:t>[11].</w:t>
      </w:r>
      <w:r>
        <w:rPr>
          <w:rFonts w:ascii="Times New Roman" w:hAnsi="Times New Roman" w:cs="Times New Roman"/>
        </w:rPr>
        <w:t xml:space="preserve"> However, studies investigating the role of occupational exposures in causing COPD remain under-recognized. Therefore, limited information is available on how these exposures impact specific disease attributes such as comorbidities or lung function changes </w:t>
      </w:r>
      <w:sdt>
        <w:sdtPr>
          <w:rPr>
            <w:rFonts w:ascii="Times New Roman" w:hAnsi="Times New Roman" w:cs="Times New Roman"/>
            <w:color w:val="000000"/>
          </w:rPr>
          <w:tag w:val="MENDELEY_CITATION_v3_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"/>
          <w:id w:val="2145306465"/>
          <w:placeholder>
            <w:docPart w:val="9BACF06DD71F459BAA9ED1EA6DAE1FF7"/>
          </w:placeholder>
        </w:sdtPr>
        <w:sdtEndPr/>
        <w:sdtContent>
          <w:r w:rsidR="00572E88" w:rsidRPr="00572E88">
            <w:rPr>
              <w:rFonts w:ascii="Times New Roman" w:hAnsi="Times New Roman" w:cs="Times New Roman"/>
              <w:color w:val="000000"/>
            </w:rPr>
            <w:t>[11]</w:t>
          </w:r>
        </w:sdtContent>
      </w:sdt>
      <w:r>
        <w:rPr>
          <w:rFonts w:ascii="Times New Roman" w:hAnsi="Times New Roman" w:cs="Times New Roman"/>
        </w:rPr>
        <w:t xml:space="preserve">. In the general population, at least one comorbidity is reported for 80% of COPD patients. Moreover, the frequency of conditions increases with age </w:t>
      </w:r>
      <w:sdt>
        <w:sdtPr>
          <w:rPr>
            <w:rFonts w:ascii="Times New Roman" w:hAnsi="Times New Roman" w:cs="Times New Roman"/>
            <w:color w:val="000000"/>
          </w:rPr>
          <w:tag w:val="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"/>
          <w:id w:val="-1756664703"/>
          <w:placeholder>
            <w:docPart w:val="26AE7B969E074255A376F4AF5BE4535F"/>
          </w:placeholder>
        </w:sdtPr>
        <w:sdtEndPr/>
        <w:sdtContent>
          <w:r w:rsidR="00572E88" w:rsidRPr="00572E88">
            <w:rPr>
              <w:rFonts w:ascii="Times New Roman" w:hAnsi="Times New Roman" w:cs="Times New Roman"/>
              <w:color w:val="000000"/>
            </w:rPr>
            <w:t>[5,14]</w:t>
          </w:r>
        </w:sdtContent>
      </w:sdt>
      <w:r>
        <w:rPr>
          <w:rFonts w:ascii="Times New Roman" w:hAnsi="Times New Roman" w:cs="Times New Roman"/>
        </w:rPr>
        <w:t>. Comorbidities are associated with worsening health outcomes including lung function decline, which makes</w:t>
      </w:r>
      <w:r w:rsidR="002F65BE">
        <w:rPr>
          <w:rFonts w:ascii="Times New Roman" w:hAnsi="Times New Roman" w:cs="Times New Roman"/>
        </w:rPr>
        <w:t xml:space="preserve"> comorbidities</w:t>
      </w:r>
      <w:r>
        <w:rPr>
          <w:rFonts w:ascii="Times New Roman" w:hAnsi="Times New Roman" w:cs="Times New Roman"/>
        </w:rPr>
        <w:t xml:space="preserve"> an important aspect for disease management </w:t>
      </w:r>
      <w:sdt>
        <w:sdtPr>
          <w:rPr>
            <w:rFonts w:ascii="Times New Roman" w:hAnsi="Times New Roman" w:cs="Times New Roman"/>
            <w:color w:val="000000"/>
          </w:rPr>
          <w:tag w:val="MENDELEY_CITATION_v3_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"/>
          <w:id w:val="-516700423"/>
          <w:placeholder>
            <w:docPart w:val="26AE7B969E074255A376F4AF5BE4535F"/>
          </w:placeholder>
        </w:sdtPr>
        <w:sdtEndPr/>
        <w:sdtContent>
          <w:r w:rsidR="00572E88" w:rsidRPr="00572E88">
            <w:rPr>
              <w:rFonts w:ascii="Times New Roman" w:hAnsi="Times New Roman" w:cs="Times New Roman"/>
              <w:color w:val="000000"/>
            </w:rPr>
            <w:t>[15]</w:t>
          </w:r>
        </w:sdtContent>
      </w:sdt>
      <w:r>
        <w:rPr>
          <w:rFonts w:ascii="Times New Roman" w:hAnsi="Times New Roman" w:cs="Times New Roman"/>
        </w:rPr>
        <w:t xml:space="preserve">. The Department of Energy (DOE) workers are exposed to respiratory irritants (such as diesel exhaust, welding fumes, cadmium, and silica) in the course of their routine job duties. These exposures may produce differences in the risk of COPD occurrence, severity, disease progression, or comorbidities among these workers compared to the general population </w:t>
      </w:r>
      <w:sdt>
        <w:sdtPr>
          <w:rPr>
            <w:rFonts w:ascii="Times New Roman" w:hAnsi="Times New Roman" w:cs="Times New Roman"/>
            <w:color w:val="000000"/>
          </w:rPr>
          <w:tag w:val="MENDELEY_CITATION_v3_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"/>
          <w:id w:val="-102656095"/>
          <w:placeholder>
            <w:docPart w:val="26AE7B969E074255A376F4AF5BE4535F"/>
          </w:placeholder>
        </w:sdtPr>
        <w:sdtEndPr/>
        <w:sdtContent>
          <w:r w:rsidR="00572E88" w:rsidRPr="00572E88">
            <w:rPr>
              <w:rFonts w:ascii="Times New Roman" w:hAnsi="Times New Roman" w:cs="Times New Roman"/>
              <w:color w:val="000000"/>
            </w:rPr>
            <w:t>[16]</w:t>
          </w:r>
        </w:sdtContent>
      </w:sdt>
      <w:r>
        <w:rPr>
          <w:rFonts w:ascii="Times New Roman" w:hAnsi="Times New Roman" w:cs="Times New Roman"/>
        </w:rPr>
        <w:t>.</w:t>
      </w:r>
      <w:r>
        <w:t xml:space="preserve"> </w:t>
      </w:r>
      <w:r w:rsidRPr="008261D0">
        <w:rPr>
          <w:rFonts w:ascii="Times New Roman" w:hAnsi="Times New Roman" w:cs="Times New Roman"/>
        </w:rPr>
        <w:t>Thus, understanding the association</w:t>
      </w:r>
      <w:r>
        <w:rPr>
          <w:rFonts w:ascii="Times New Roman" w:hAnsi="Times New Roman" w:cs="Times New Roman"/>
        </w:rPr>
        <w:t>s</w:t>
      </w:r>
      <w:r w:rsidRPr="008261D0">
        <w:rPr>
          <w:rFonts w:ascii="Times New Roman" w:hAnsi="Times New Roman" w:cs="Times New Roman"/>
        </w:rPr>
        <w:t xml:space="preserve"> between occupational exposures and COPD </w:t>
      </w:r>
      <w:r>
        <w:rPr>
          <w:rFonts w:ascii="Times New Roman" w:hAnsi="Times New Roman" w:cs="Times New Roman"/>
        </w:rPr>
        <w:t xml:space="preserve">among the DOE former workers </w:t>
      </w:r>
      <w:r w:rsidRPr="008261D0">
        <w:rPr>
          <w:rFonts w:ascii="Times New Roman" w:hAnsi="Times New Roman" w:cs="Times New Roman"/>
        </w:rPr>
        <w:t>may</w:t>
      </w:r>
      <w:r>
        <w:rPr>
          <w:rFonts w:ascii="Times New Roman" w:hAnsi="Times New Roman" w:cs="Times New Roman"/>
        </w:rPr>
        <w:t xml:space="preserve"> provide helpful</w:t>
      </w:r>
      <w:r w:rsidRPr="008261D0">
        <w:rPr>
          <w:rFonts w:ascii="Times New Roman" w:hAnsi="Times New Roman" w:cs="Times New Roman"/>
        </w:rPr>
        <w:t xml:space="preserve"> information </w:t>
      </w:r>
      <w:r>
        <w:rPr>
          <w:rFonts w:ascii="Times New Roman" w:hAnsi="Times New Roman" w:cs="Times New Roman"/>
        </w:rPr>
        <w:t xml:space="preserve">for </w:t>
      </w:r>
      <w:r w:rsidRPr="008261D0">
        <w:rPr>
          <w:rFonts w:ascii="Times New Roman" w:hAnsi="Times New Roman" w:cs="Times New Roman"/>
        </w:rPr>
        <w:t>preventing COPD, managing c</w:t>
      </w:r>
      <w:r>
        <w:rPr>
          <w:rFonts w:ascii="Times New Roman" w:hAnsi="Times New Roman" w:cs="Times New Roman"/>
        </w:rPr>
        <w:t xml:space="preserve">omorbidities, and controlling disease progression. Therefore, the objectives of this study were to identify: </w:t>
      </w:r>
      <w:r w:rsidRPr="00033941">
        <w:rPr>
          <w:rFonts w:ascii="Times New Roman" w:hAnsi="Times New Roman" w:cs="Times New Roman"/>
        </w:rPr>
        <w:t>(i)</w:t>
      </w:r>
      <w:r>
        <w:rPr>
          <w:rFonts w:ascii="Times New Roman" w:hAnsi="Times New Roman" w:cs="Times New Roman"/>
        </w:rPr>
        <w:t xml:space="preserve"> county-level geographic disparities and predictors of COPD in Florida, </w:t>
      </w:r>
      <w:r w:rsidRPr="00033941">
        <w:rPr>
          <w:rFonts w:ascii="Times New Roman" w:hAnsi="Times New Roman" w:cs="Times New Roman"/>
        </w:rPr>
        <w:t>(ii)</w:t>
      </w:r>
      <w:r>
        <w:rPr>
          <w:rFonts w:ascii="Times New Roman" w:hAnsi="Times New Roman" w:cs="Times New Roman"/>
        </w:rPr>
        <w:t xml:space="preserve"> predictors of COPD occurrence and severity among DOE former workers, and </w:t>
      </w:r>
      <w:r w:rsidRPr="00033941">
        <w:rPr>
          <w:rFonts w:ascii="Times New Roman" w:hAnsi="Times New Roman" w:cs="Times New Roman"/>
        </w:rPr>
        <w:t>(iii)</w:t>
      </w:r>
      <w:r w:rsidRPr="00151A50">
        <w:rPr>
          <w:rFonts w:ascii="Times New Roman" w:hAnsi="Times New Roman" w:cs="Times New Roman"/>
          <w:i/>
          <w:iCs/>
        </w:rPr>
        <w:t xml:space="preserve"> </w:t>
      </w:r>
      <w:r>
        <w:rPr>
          <w:rFonts w:ascii="Times New Roman" w:hAnsi="Times New Roman" w:cs="Times New Roman"/>
        </w:rPr>
        <w:t>comorbidity clusters and predictors of lung function changes and decline among DOE former workers.</w:t>
      </w:r>
    </w:p>
    <w:p w14:paraId="0EC8E62F" w14:textId="77777777" w:rsidR="00573378" w:rsidRDefault="00573378" w:rsidP="00D36702">
      <w:pPr>
        <w:spacing w:after="0" w:line="480" w:lineRule="auto"/>
        <w:ind w:firstLine="418"/>
        <w:rPr>
          <w:rFonts w:ascii="Times New Roman" w:hAnsi="Times New Roman" w:cs="Times New Roman"/>
        </w:rPr>
      </w:pPr>
      <w:r>
        <w:rPr>
          <w:rFonts w:ascii="Times New Roman" w:hAnsi="Times New Roman" w:cs="Times New Roman"/>
        </w:rPr>
        <w:t xml:space="preserve">This dissertation includes five chapters. Chapter 1 includes a brief introduction and literature review. </w:t>
      </w:r>
      <w:r w:rsidRPr="00A35E18">
        <w:rPr>
          <w:rFonts w:ascii="Times New Roman" w:hAnsi="Times New Roman" w:cs="Times New Roman"/>
        </w:rPr>
        <w:t>Chapters 2, 3, and 4 describe the methods and findings of studies addressing objectives 1, 2, and 3, respectively</w:t>
      </w:r>
      <w:r>
        <w:rPr>
          <w:rFonts w:ascii="Times New Roman" w:hAnsi="Times New Roman" w:cs="Times New Roman"/>
        </w:rPr>
        <w:t xml:space="preserve">. Chapter 5 provides a summary of the conclusions and recommendations. </w:t>
      </w:r>
      <w:r>
        <w:rPr>
          <w:rFonts w:ascii="Times New Roman" w:hAnsi="Times New Roman" w:cs="Times New Roman"/>
        </w:rPr>
        <w:br w:type="page"/>
      </w:r>
    </w:p>
    <w:p w14:paraId="32FBA076" w14:textId="77777777" w:rsidR="00D47413" w:rsidRDefault="00D47413" w:rsidP="00D36702">
      <w:pPr>
        <w:pStyle w:val="Heading3"/>
        <w:spacing w:before="0" w:after="0" w:line="480" w:lineRule="auto"/>
      </w:pPr>
      <w:bookmarkStart w:id="7" w:name="_Toc199884033"/>
      <w:bookmarkStart w:id="8" w:name="_Toc199884750"/>
      <w:bookmarkStart w:id="9" w:name="_Toc200096935"/>
      <w:r w:rsidRPr="003B4DE3">
        <w:lastRenderedPageBreak/>
        <w:t>Literature Review</w:t>
      </w:r>
      <w:bookmarkEnd w:id="7"/>
      <w:bookmarkEnd w:id="8"/>
      <w:bookmarkEnd w:id="9"/>
    </w:p>
    <w:p w14:paraId="7A478EDA" w14:textId="77777777" w:rsidR="00D47413" w:rsidRPr="00D47413" w:rsidRDefault="00D47413" w:rsidP="00D36702">
      <w:pPr>
        <w:pStyle w:val="Heading4"/>
        <w:spacing w:before="0" w:after="0" w:line="480" w:lineRule="auto"/>
        <w:rPr>
          <w:szCs w:val="28"/>
        </w:rPr>
      </w:pPr>
      <w:bookmarkStart w:id="10" w:name="_Toc200096936"/>
      <w:r w:rsidRPr="00D47413">
        <w:rPr>
          <w:szCs w:val="28"/>
        </w:rPr>
        <w:t>Chronic Obstructive Pulmonary Disease Overview</w:t>
      </w:r>
      <w:bookmarkEnd w:id="10"/>
    </w:p>
    <w:p w14:paraId="2640460C" w14:textId="77777777" w:rsidR="00D47413" w:rsidRDefault="00D47413" w:rsidP="00D36702">
      <w:pPr>
        <w:pStyle w:val="Heading5"/>
        <w:spacing w:before="0" w:after="0" w:line="480" w:lineRule="auto"/>
      </w:pPr>
      <w:bookmarkStart w:id="11" w:name="_Toc200096937"/>
      <w:r>
        <w:t>Definition</w:t>
      </w:r>
      <w:bookmarkEnd w:id="11"/>
    </w:p>
    <w:p w14:paraId="0AC29216" w14:textId="0A0A39F0" w:rsidR="00573378" w:rsidRDefault="00573378" w:rsidP="00D36702">
      <w:pPr>
        <w:spacing w:after="0" w:line="480" w:lineRule="auto"/>
        <w:ind w:firstLine="720"/>
        <w:rPr>
          <w:rFonts w:ascii="Times New Roman" w:hAnsi="Times New Roman" w:cs="Times New Roman"/>
        </w:rPr>
      </w:pPr>
      <w:r>
        <w:rPr>
          <w:rFonts w:ascii="Times New Roman" w:hAnsi="Times New Roman" w:cs="Times New Roman"/>
        </w:rPr>
        <w:t xml:space="preserve">Chronic obstructive pulmonary disease (COPD) is a chronic respiratory disease, characterized by persistent inflammation resulting in air flow limitations and ultimately reducing lung function </w:t>
      </w:r>
      <w:sdt>
        <w:sdtPr>
          <w:rPr>
            <w:rFonts w:ascii="Times New Roman" w:hAnsi="Times New Roman" w:cs="Times New Roman"/>
            <w:color w:val="000000"/>
          </w:rPr>
          <w:tag w:val="MENDELEY_CITATION_v3_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"/>
          <w:id w:val="1007942543"/>
          <w:placeholder>
            <w:docPart w:val="7C2CB457BEF04A34869BF10F42B85AD2"/>
          </w:placeholder>
        </w:sdtPr>
        <w:sdtEndPr/>
        <w:sdtContent>
          <w:r w:rsidR="00572E88" w:rsidRPr="00572E88">
            <w:rPr>
              <w:rFonts w:ascii="Times New Roman" w:hAnsi="Times New Roman" w:cs="Times New Roman"/>
              <w:color w:val="000000"/>
            </w:rPr>
            <w:t>[17]</w:t>
          </w:r>
        </w:sdtContent>
      </w:sdt>
      <w:r>
        <w:rPr>
          <w:rFonts w:ascii="Times New Roman" w:hAnsi="Times New Roman" w:cs="Times New Roman"/>
        </w:rPr>
        <w:t xml:space="preserve">. Historically, the chronic bronchitis and emphysema components of COPD were considered separate conditions until the1960s when they were recognized as phenotypes of COPD </w:t>
      </w:r>
      <w:sdt>
        <w:sdtPr>
          <w:rPr>
            <w:rFonts w:ascii="Times New Roman" w:hAnsi="Times New Roman" w:cs="Times New Roman"/>
            <w:color w:val="000000"/>
          </w:rPr>
          <w:tag w:val="MENDELEY_CITATION_v3_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"/>
          <w:id w:val="1844586429"/>
          <w:placeholder>
            <w:docPart w:val="7C2CB457BEF04A34869BF10F42B85AD2"/>
          </w:placeholder>
        </w:sdtPr>
        <w:sdtEndPr/>
        <w:sdtContent>
          <w:r w:rsidR="00572E88" w:rsidRPr="00572E88">
            <w:rPr>
              <w:rFonts w:ascii="Times New Roman" w:hAnsi="Times New Roman" w:cs="Times New Roman"/>
              <w:color w:val="000000"/>
            </w:rPr>
            <w:t>[18,19]</w:t>
          </w:r>
        </w:sdtContent>
      </w:sdt>
      <w:r>
        <w:rPr>
          <w:rFonts w:ascii="Times New Roman" w:hAnsi="Times New Roman" w:cs="Times New Roman"/>
        </w:rPr>
        <w:t>. Clinically, COPD is defined by spirometry, or lung function tests</w:t>
      </w:r>
      <w:r w:rsidR="002F65BE">
        <w:rPr>
          <w:rFonts w:ascii="Times New Roman" w:hAnsi="Times New Roman" w:cs="Times New Roman"/>
        </w:rPr>
        <w:t>,</w:t>
      </w:r>
      <w:r>
        <w:rPr>
          <w:rFonts w:ascii="Times New Roman" w:hAnsi="Times New Roman" w:cs="Times New Roman"/>
        </w:rPr>
        <w:t xml:space="preserve"> that are interpreted using two different criteria. The first criterion is the Global Initiative of Chronic Obstructive Lung Disease (GOLD) criterion which uses a fixed ratio of forced expiratory volume in one second (FEV</w:t>
      </w:r>
      <w:r>
        <w:rPr>
          <w:rFonts w:ascii="Times New Roman" w:hAnsi="Times New Roman" w:cs="Times New Roman"/>
          <w:vertAlign w:val="subscript"/>
        </w:rPr>
        <w:t>1</w:t>
      </w:r>
      <w:r>
        <w:rPr>
          <w:rFonts w:ascii="Times New Roman" w:hAnsi="Times New Roman" w:cs="Times New Roman"/>
        </w:rPr>
        <w:t>) to forced vital capacity (FVC) to define COPD. A ratio less than 0.70 (i.e., FEV</w:t>
      </w:r>
      <w:r>
        <w:rPr>
          <w:rFonts w:ascii="Times New Roman" w:hAnsi="Times New Roman" w:cs="Times New Roman"/>
          <w:vertAlign w:val="subscript"/>
        </w:rPr>
        <w:t>1</w:t>
      </w:r>
      <w:r>
        <w:rPr>
          <w:rFonts w:ascii="Times New Roman" w:hAnsi="Times New Roman" w:cs="Times New Roman"/>
        </w:rPr>
        <w:t xml:space="preserve">/FVC &lt; 0.7) is considered indicative of COPD </w:t>
      </w:r>
      <w:sdt>
        <w:sdtPr>
          <w:rPr>
            <w:rFonts w:ascii="Times New Roman" w:hAnsi="Times New Roman" w:cs="Times New Roman"/>
            <w:color w:val="000000"/>
          </w:rPr>
          <w:tag w:val="MENDELEY_CITATION_v3_eyJjaXRhdGlvbklEIjoiTUVOREVMRVlfQ0lUQVRJT05fYmFkMjAwMjEtNWUyZC00OTc1LWE4ZTYtYTRmZTM1M2RkZDU1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
          <w:id w:val="-2043043901"/>
          <w:placeholder>
            <w:docPart w:val="7C2CB457BEF04A34869BF10F42B85AD2"/>
          </w:placeholder>
        </w:sdtPr>
        <w:sdtEndPr/>
        <w:sdtContent>
          <w:r w:rsidR="00572E88" w:rsidRPr="00572E88">
            <w:rPr>
              <w:rFonts w:ascii="Times New Roman" w:hAnsi="Times New Roman" w:cs="Times New Roman"/>
              <w:color w:val="000000"/>
            </w:rPr>
            <w:t>[6]</w:t>
          </w:r>
        </w:sdtContent>
      </w:sdt>
      <w:r>
        <w:rPr>
          <w:rFonts w:ascii="Times New Roman" w:hAnsi="Times New Roman" w:cs="Times New Roman"/>
        </w:rPr>
        <w:t>. The second criterion, referred to as the lower limit of normal (LLN) standard, identifies COPD when the ratio of FEV</w:t>
      </w:r>
      <w:r>
        <w:rPr>
          <w:rFonts w:ascii="Times New Roman" w:hAnsi="Times New Roman" w:cs="Times New Roman"/>
          <w:vertAlign w:val="subscript"/>
        </w:rPr>
        <w:t>1</w:t>
      </w:r>
      <w:r>
        <w:rPr>
          <w:rFonts w:ascii="Times New Roman" w:hAnsi="Times New Roman" w:cs="Times New Roman"/>
        </w:rPr>
        <w:t>/FVC is less than the 5</w:t>
      </w:r>
      <w:r w:rsidRPr="00BB4FBB">
        <w:rPr>
          <w:rFonts w:ascii="Times New Roman" w:hAnsi="Times New Roman" w:cs="Times New Roman"/>
          <w:vertAlign w:val="superscript"/>
        </w:rPr>
        <w:t>th</w:t>
      </w:r>
      <w:r>
        <w:rPr>
          <w:rFonts w:ascii="Times New Roman" w:hAnsi="Times New Roman" w:cs="Times New Roman"/>
        </w:rPr>
        <w:t xml:space="preserve"> percentile of the normal population </w:t>
      </w:r>
      <w:sdt>
        <w:sdtPr>
          <w:rPr>
            <w:rFonts w:ascii="Times New Roman" w:hAnsi="Times New Roman" w:cs="Times New Roman"/>
            <w:color w:val="000000"/>
          </w:rPr>
          <w:tag w:val="MENDELEY_CITATION_v3_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"/>
          <w:id w:val="-722217150"/>
          <w:placeholder>
            <w:docPart w:val="7C2CB457BEF04A34869BF10F42B85AD2"/>
          </w:placeholder>
        </w:sdtPr>
        <w:sdtEndPr/>
        <w:sdtContent>
          <w:r w:rsidR="00572E88" w:rsidRPr="00572E88">
            <w:rPr>
              <w:rFonts w:ascii="Times New Roman" w:hAnsi="Times New Roman" w:cs="Times New Roman"/>
              <w:color w:val="000000"/>
            </w:rPr>
            <w:t>[20]</w:t>
          </w:r>
        </w:sdtContent>
      </w:sdt>
      <w:r>
        <w:rPr>
          <w:rFonts w:ascii="Times New Roman" w:hAnsi="Times New Roman" w:cs="Times New Roman"/>
        </w:rPr>
        <w:t xml:space="preserve">. In clinical practice, the LLN method is often preferred because the GOLD criterion may underestimate COPD in younger populations but overestimate it in elderly populations </w:t>
      </w:r>
      <w:sdt>
        <w:sdtPr>
          <w:rPr>
            <w:rFonts w:ascii="Times New Roman" w:hAnsi="Times New Roman" w:cs="Times New Roman"/>
            <w:color w:val="000000"/>
          </w:rPr>
          <w:tag w:val="MENDELEY_CITATION_v3_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"/>
          <w:id w:val="-2093994596"/>
          <w:placeholder>
            <w:docPart w:val="7C2CB457BEF04A34869BF10F42B85AD2"/>
          </w:placeholder>
        </w:sdtPr>
        <w:sdtEndPr/>
        <w:sdtContent>
          <w:r w:rsidR="00572E88" w:rsidRPr="00572E88">
            <w:rPr>
              <w:rFonts w:ascii="Times New Roman" w:hAnsi="Times New Roman" w:cs="Times New Roman"/>
              <w:color w:val="000000"/>
            </w:rPr>
            <w:t>[20]</w:t>
          </w:r>
        </w:sdtContent>
      </w:sdt>
      <w:r>
        <w:rPr>
          <w:rFonts w:ascii="Times New Roman" w:hAnsi="Times New Roman" w:cs="Times New Roman"/>
        </w:rPr>
        <w:t xml:space="preserve">. In contrast, the LLN definition of COPD may underestimate the disease in populations where smoking is not the primary risk factor </w:t>
      </w:r>
      <w:sdt>
        <w:sdtPr>
          <w:rPr>
            <w:rFonts w:ascii="Times New Roman" w:hAnsi="Times New Roman" w:cs="Times New Roman"/>
            <w:color w:val="000000"/>
          </w:rPr>
          <w:tag w:val="MENDELEY_CITATION_v3_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"/>
          <w:id w:val="-167022560"/>
          <w:placeholder>
            <w:docPart w:val="C76A03022FD54B9B9021C66AA32B4443"/>
          </w:placeholder>
        </w:sdtPr>
        <w:sdtEndPr/>
        <w:sdtContent>
          <w:r w:rsidR="00572E88" w:rsidRPr="00572E88">
            <w:rPr>
              <w:rFonts w:ascii="Times New Roman" w:hAnsi="Times New Roman" w:cs="Times New Roman"/>
              <w:color w:val="000000"/>
            </w:rPr>
            <w:t>[21]</w:t>
          </w:r>
        </w:sdtContent>
      </w:sdt>
      <w:r>
        <w:rPr>
          <w:rFonts w:ascii="Times New Roman" w:hAnsi="Times New Roman" w:cs="Times New Roman"/>
        </w:rPr>
        <w:t xml:space="preserve">. Thus, the GOLD criterion is still used in some clinical trials and epidemiologic studies </w:t>
      </w:r>
      <w:sdt>
        <w:sdtPr>
          <w:rPr>
            <w:rFonts w:ascii="Times New Roman" w:hAnsi="Times New Roman" w:cs="Times New Roman"/>
            <w:color w:val="000000"/>
          </w:rPr>
          <w:tag w:val="MENDELEY_CITATION_v3_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"/>
          <w:id w:val="-733316424"/>
          <w:placeholder>
            <w:docPart w:val="A783323BBAD44D1A821DAAA5564523CB"/>
          </w:placeholder>
        </w:sdtPr>
        <w:sdtEndPr/>
        <w:sdtContent>
          <w:r w:rsidR="00572E88" w:rsidRPr="00572E88">
            <w:rPr>
              <w:rFonts w:ascii="Times New Roman" w:hAnsi="Times New Roman" w:cs="Times New Roman"/>
              <w:color w:val="000000"/>
            </w:rPr>
            <w:t>[20,21]</w:t>
          </w:r>
        </w:sdtContent>
      </w:sdt>
      <w:r>
        <w:rPr>
          <w:rFonts w:ascii="Times New Roman" w:hAnsi="Times New Roman" w:cs="Times New Roman"/>
        </w:rPr>
        <w:t>.</w:t>
      </w:r>
    </w:p>
    <w:p w14:paraId="18A852B2" w14:textId="77777777" w:rsidR="002642C6" w:rsidRDefault="002642C6" w:rsidP="00D36702">
      <w:pPr>
        <w:spacing w:after="0" w:line="480" w:lineRule="auto"/>
        <w:rPr>
          <w:rFonts w:ascii="Times New Roman" w:hAnsi="Times New Roman" w:cs="Times New Roman"/>
        </w:rPr>
      </w:pPr>
    </w:p>
    <w:p w14:paraId="325A090E" w14:textId="77777777" w:rsidR="00D47413" w:rsidRDefault="00D47413" w:rsidP="00D36702">
      <w:pPr>
        <w:pStyle w:val="Heading5"/>
        <w:spacing w:before="0" w:after="0" w:line="480" w:lineRule="auto"/>
      </w:pPr>
      <w:bookmarkStart w:id="12" w:name="_Toc200096938"/>
      <w:r>
        <w:t>Etiology</w:t>
      </w:r>
      <w:bookmarkEnd w:id="12"/>
      <w:r>
        <w:t xml:space="preserve"> </w:t>
      </w:r>
    </w:p>
    <w:p w14:paraId="552EFF96" w14:textId="0AA85A6D" w:rsidR="00573378" w:rsidRDefault="00573378" w:rsidP="00D36702">
      <w:pPr>
        <w:spacing w:after="0" w:line="480" w:lineRule="auto"/>
        <w:ind w:firstLine="720"/>
        <w:rPr>
          <w:color w:val="000000"/>
        </w:rPr>
      </w:pPr>
      <w:r w:rsidRPr="008859D1">
        <w:rPr>
          <w:rFonts w:ascii="Times New Roman" w:hAnsi="Times New Roman" w:cs="Times New Roman"/>
        </w:rPr>
        <w:t>Ch</w:t>
      </w:r>
      <w:r>
        <w:rPr>
          <w:rFonts w:ascii="Times New Roman" w:hAnsi="Times New Roman" w:cs="Times New Roman"/>
        </w:rPr>
        <w:t xml:space="preserve">ronic obstructive pulmonary disease (COPD) arises from a complex combination of genetic factors, personal behaviors, and environmental factors, and as such, both the etiology and pathogenesis are currently still areas of ongoing research </w:t>
      </w:r>
      <w:sdt>
        <w:sdtPr>
          <w:rPr>
            <w:rFonts w:ascii="Times New Roman" w:hAnsi="Times New Roman" w:cs="Times New Roman"/>
            <w:color w:val="000000"/>
          </w:rPr>
          <w:tag w:val="MENDELEY_CITATION_v3_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"/>
          <w:id w:val="1859080648"/>
          <w:placeholder>
            <w:docPart w:val="AB5E377CA2D44CB3AC4300A4F39AC600"/>
          </w:placeholder>
        </w:sdtPr>
        <w:sdtEndPr/>
        <w:sdtContent>
          <w:r w:rsidR="00572E88" w:rsidRPr="00572E88">
            <w:rPr>
              <w:rFonts w:ascii="Times New Roman" w:hAnsi="Times New Roman" w:cs="Times New Roman"/>
              <w:color w:val="000000"/>
            </w:rPr>
            <w:t>[22]</w:t>
          </w:r>
        </w:sdtContent>
      </w:sdt>
      <w:r>
        <w:rPr>
          <w:rFonts w:ascii="Times New Roman" w:hAnsi="Times New Roman" w:cs="Times New Roman"/>
        </w:rPr>
        <w:t xml:space="preserve">. Fundamentally, COPD is </w:t>
      </w:r>
      <w:r>
        <w:rPr>
          <w:rFonts w:ascii="Times New Roman" w:hAnsi="Times New Roman" w:cs="Times New Roman"/>
        </w:rPr>
        <w:lastRenderedPageBreak/>
        <w:t xml:space="preserve">recognized as an accelerated lung function decline </w:t>
      </w:r>
      <w:sdt>
        <w:sdtPr>
          <w:rPr>
            <w:rFonts w:ascii="Times New Roman" w:hAnsi="Times New Roman" w:cs="Times New Roman"/>
            <w:color w:val="000000"/>
          </w:rPr>
          <w:tag w:val="MENDELEY_CITATION_v3_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"/>
          <w:id w:val="-936677799"/>
          <w:placeholder>
            <w:docPart w:val="AB5E377CA2D44CB3AC4300A4F39AC600"/>
          </w:placeholder>
        </w:sdtPr>
        <w:sdtEndPr/>
        <w:sdtContent>
          <w:r w:rsidR="00572E88" w:rsidRPr="00572E88">
            <w:rPr>
              <w:rFonts w:ascii="Times New Roman" w:hAnsi="Times New Roman" w:cs="Times New Roman"/>
              <w:color w:val="000000"/>
            </w:rPr>
            <w:t>[22]</w:t>
          </w:r>
        </w:sdtContent>
      </w:sdt>
      <w:r>
        <w:rPr>
          <w:rFonts w:ascii="Times New Roman" w:hAnsi="Times New Roman" w:cs="Times New Roman"/>
        </w:rPr>
        <w:t xml:space="preserve">. Historically, the Fletcher and Peto model of COPD focused on rapid decline produced by physiological changes induced from exposure to respiratory irritants such as tobacco smoke, air pollution, or other fine particle exposures </w:t>
      </w:r>
      <w:sdt>
        <w:sdtPr>
          <w:rPr>
            <w:rFonts w:ascii="Times New Roman" w:hAnsi="Times New Roman" w:cs="Times New Roman"/>
            <w:color w:val="000000"/>
          </w:rPr>
          <w:tag w:val="MENDELEY_CITATION_v3_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"/>
          <w:id w:val="-1204398910"/>
          <w:placeholder>
            <w:docPart w:val="AB5E377CA2D44CB3AC4300A4F39AC600"/>
          </w:placeholder>
        </w:sdtPr>
        <w:sdtEndPr/>
        <w:sdtContent>
          <w:r w:rsidR="00572E88" w:rsidRPr="00572E88">
            <w:rPr>
              <w:rFonts w:ascii="Times New Roman" w:hAnsi="Times New Roman" w:cs="Times New Roman"/>
              <w:color w:val="000000"/>
            </w:rPr>
            <w:t>[23–25]</w:t>
          </w:r>
        </w:sdtContent>
      </w:sdt>
      <w:r>
        <w:rPr>
          <w:rFonts w:ascii="Times New Roman" w:hAnsi="Times New Roman" w:cs="Times New Roman"/>
        </w:rPr>
        <w:t xml:space="preserve">. However, recent developments have recognized possible new etiological contributions to COPD including contributions from early life exposures and genetic predispositions </w:t>
      </w:r>
      <w:sdt>
        <w:sdtPr>
          <w:rPr>
            <w:rFonts w:ascii="Times New Roman" w:hAnsi="Times New Roman" w:cs="Times New Roman"/>
            <w:color w:val="000000"/>
          </w:rPr>
          <w:tag w:val="MENDELEY_CITATION_v3_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"/>
          <w:id w:val="1062758602"/>
          <w:placeholder>
            <w:docPart w:val="AB5E377CA2D44CB3AC4300A4F39AC600"/>
          </w:placeholder>
        </w:sdtPr>
        <w:sdtEndPr/>
        <w:sdtContent>
          <w:r w:rsidR="00572E88" w:rsidRPr="00572E88">
            <w:rPr>
              <w:rFonts w:ascii="Times New Roman" w:hAnsi="Times New Roman" w:cs="Times New Roman"/>
              <w:color w:val="000000"/>
            </w:rPr>
            <w:t>[22,26]</w:t>
          </w:r>
        </w:sdtContent>
      </w:sdt>
      <w:r>
        <w:rPr>
          <w:rFonts w:ascii="Times New Roman" w:hAnsi="Times New Roman" w:cs="Times New Roman"/>
          <w:color w:val="000000"/>
        </w:rPr>
        <w:t>.</w:t>
      </w:r>
      <w:r>
        <w:rPr>
          <w:rFonts w:ascii="Times New Roman" w:hAnsi="Times New Roman" w:cs="Times New Roman"/>
        </w:rPr>
        <w:t xml:space="preserve"> Alpha-1 antitrypsin is the most widely recognized genetic marker for COPD, and it has also been associated with decreased pulmonary function and emphysema </w:t>
      </w:r>
      <w:sdt>
        <w:sdtPr>
          <w:rPr>
            <w:rFonts w:ascii="Times New Roman" w:hAnsi="Times New Roman" w:cs="Times New Roman"/>
            <w:color w:val="000000"/>
          </w:rPr>
          <w:tag w:val="MENDELEY_CITATION_v3_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"/>
          <w:id w:val="2034069878"/>
          <w:placeholder>
            <w:docPart w:val="AB5E377CA2D44CB3AC4300A4F39AC600"/>
          </w:placeholder>
        </w:sdtPr>
        <w:sdtEndPr/>
        <w:sdtContent>
          <w:r w:rsidR="00572E88" w:rsidRPr="00572E88">
            <w:rPr>
              <w:rFonts w:ascii="Times New Roman" w:hAnsi="Times New Roman" w:cs="Times New Roman"/>
              <w:color w:val="000000"/>
            </w:rPr>
            <w:t>[22,23]</w:t>
          </w:r>
        </w:sdtContent>
      </w:sdt>
      <w:r>
        <w:rPr>
          <w:rFonts w:ascii="Times New Roman" w:hAnsi="Times New Roman" w:cs="Times New Roman"/>
        </w:rPr>
        <w:t xml:space="preserve">. However, other genetic markers are still being evaluated with more than 50 genetic markers for COPD and accelerated pulmonary decline identified in a recent review </w:t>
      </w:r>
      <w:sdt>
        <w:sdtPr>
          <w:rPr>
            <w:rFonts w:ascii="Times New Roman" w:hAnsi="Times New Roman" w:cs="Times New Roman"/>
            <w:color w:val="000000"/>
          </w:rPr>
          <w:tag w:val="MENDELEY_CITATION_v3_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"/>
          <w:id w:val="-1804068908"/>
          <w:placeholder>
            <w:docPart w:val="AB5E377CA2D44CB3AC4300A4F39AC600"/>
          </w:placeholder>
        </w:sdtPr>
        <w:sdtEndPr/>
        <w:sdtContent>
          <w:r w:rsidR="00572E88" w:rsidRPr="00572E88">
            <w:rPr>
              <w:rFonts w:ascii="Times New Roman" w:hAnsi="Times New Roman" w:cs="Times New Roman"/>
              <w:color w:val="000000"/>
            </w:rPr>
            <w:t>[7]</w:t>
          </w:r>
        </w:sdtContent>
      </w:sdt>
      <w:r>
        <w:rPr>
          <w:rFonts w:ascii="Times New Roman" w:hAnsi="Times New Roman" w:cs="Times New Roman"/>
        </w:rPr>
        <w:t xml:space="preserve">. Additionally, early life exposures also appear to be important for disease initiation. Pulmonary function and lung development is an intricate process that begins in utero and continues for approximately the first 20 years of life </w:t>
      </w:r>
      <w:sdt>
        <w:sdtPr>
          <w:rPr>
            <w:rFonts w:ascii="Times New Roman" w:hAnsi="Times New Roman" w:cs="Times New Roman"/>
            <w:color w:val="000000"/>
          </w:rPr>
          <w:tag w:val="MENDELEY_CITATION_v3_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"/>
          <w:id w:val="-1824276123"/>
          <w:placeholder>
            <w:docPart w:val="AB5E377CA2D44CB3AC4300A4F39AC600"/>
          </w:placeholder>
        </w:sdtPr>
        <w:sdtEndPr/>
        <w:sdtContent>
          <w:r w:rsidR="00572E88" w:rsidRPr="00572E88">
            <w:rPr>
              <w:rFonts w:ascii="Times New Roman" w:hAnsi="Times New Roman" w:cs="Times New Roman"/>
              <w:color w:val="000000"/>
            </w:rPr>
            <w:t>[22,23]</w:t>
          </w:r>
        </w:sdtContent>
      </w:sdt>
      <w:r>
        <w:rPr>
          <w:rFonts w:ascii="Times New Roman" w:hAnsi="Times New Roman" w:cs="Times New Roman"/>
        </w:rPr>
        <w:t xml:space="preserve">. Thus, exposures which influence lung development may subsequently impair pulmonary function later in life leading to COPD </w:t>
      </w:r>
      <w:sdt>
        <w:sdtPr>
          <w:rPr>
            <w:rFonts w:ascii="Times New Roman" w:hAnsi="Times New Roman" w:cs="Times New Roman"/>
            <w:color w:val="000000"/>
          </w:rPr>
          <w:tag w:val="MENDELEY_CITATION_v3_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"/>
          <w:id w:val="-1583219198"/>
          <w:placeholder>
            <w:docPart w:val="AB5E377CA2D44CB3AC4300A4F39AC600"/>
          </w:placeholder>
        </w:sdtPr>
        <w:sdtEndPr/>
        <w:sdtContent>
          <w:r w:rsidR="00572E88" w:rsidRPr="00572E88">
            <w:rPr>
              <w:rFonts w:ascii="Times New Roman" w:hAnsi="Times New Roman" w:cs="Times New Roman"/>
              <w:color w:val="000000"/>
            </w:rPr>
            <w:t>[23]</w:t>
          </w:r>
        </w:sdtContent>
      </w:sdt>
      <w:r>
        <w:rPr>
          <w:rFonts w:ascii="Times New Roman" w:hAnsi="Times New Roman" w:cs="Times New Roman"/>
        </w:rPr>
        <w:t xml:space="preserve">. Common factors under consideration for these early life predictors of COPD include premature birth, maternal smoking, respiratory infections, and asthma </w:t>
      </w:r>
      <w:sdt>
        <w:sdtPr>
          <w:rPr>
            <w:rFonts w:ascii="Times New Roman" w:hAnsi="Times New Roman" w:cs="Times New Roman"/>
            <w:color w:val="000000"/>
          </w:rPr>
          <w:tag w:val="MENDELEY_CITATION_v3_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"/>
          <w:id w:val="1040703747"/>
          <w:placeholder>
            <w:docPart w:val="AB5E377CA2D44CB3AC4300A4F39AC600"/>
          </w:placeholder>
        </w:sdtPr>
        <w:sdtEndPr/>
        <w:sdtContent>
          <w:r w:rsidR="00572E88" w:rsidRPr="00572E88">
            <w:rPr>
              <w:rFonts w:ascii="Times New Roman" w:hAnsi="Times New Roman" w:cs="Times New Roman"/>
              <w:color w:val="000000"/>
            </w:rPr>
            <w:t>[23,27]</w:t>
          </w:r>
        </w:sdtContent>
      </w:sdt>
      <w:r>
        <w:rPr>
          <w:rFonts w:ascii="Times New Roman" w:hAnsi="Times New Roman" w:cs="Times New Roman"/>
        </w:rPr>
        <w:t xml:space="preserve">. These newly recognized COPD etiologies suggest </w:t>
      </w:r>
      <w:r w:rsidRPr="00BF18CC">
        <w:rPr>
          <w:rFonts w:ascii="Times New Roman" w:hAnsi="Times New Roman" w:cs="Times New Roman"/>
        </w:rPr>
        <w:t xml:space="preserve">a time-dependent element </w:t>
      </w:r>
      <w:r>
        <w:rPr>
          <w:rFonts w:ascii="Times New Roman" w:hAnsi="Times New Roman" w:cs="Times New Roman"/>
        </w:rPr>
        <w:t>in</w:t>
      </w:r>
      <w:r w:rsidRPr="00BF18CC">
        <w:rPr>
          <w:rFonts w:ascii="Times New Roman" w:hAnsi="Times New Roman" w:cs="Times New Roman"/>
        </w:rPr>
        <w:t xml:space="preserve"> the interplay of genetics and </w:t>
      </w:r>
      <w:r>
        <w:rPr>
          <w:rFonts w:ascii="Times New Roman" w:hAnsi="Times New Roman" w:cs="Times New Roman"/>
        </w:rPr>
        <w:t>external exposures</w:t>
      </w:r>
      <w:r w:rsidRPr="00BF18CC">
        <w:rPr>
          <w:rFonts w:ascii="Times New Roman" w:hAnsi="Times New Roman" w:cs="Times New Roman"/>
        </w:rPr>
        <w:t xml:space="preserve"> that accumulate over a lifespan ultimately culminating in disease </w:t>
      </w:r>
      <w:sdt>
        <w:sdtPr>
          <w:rPr>
            <w:color w:val="000000"/>
          </w:rPr>
          <w:tag w:val="MENDELEY_CITATION_v3_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"/>
          <w:id w:val="36091889"/>
          <w:placeholder>
            <w:docPart w:val="D7F9B0572DBC452990801528407531C9"/>
          </w:placeholder>
        </w:sdtPr>
        <w:sdtEndPr/>
        <w:sdtContent>
          <w:r w:rsidR="00572E88" w:rsidRPr="00572E88">
            <w:rPr>
              <w:rFonts w:ascii="Times New Roman" w:hAnsi="Times New Roman" w:cs="Times New Roman"/>
              <w:color w:val="000000"/>
            </w:rPr>
            <w:t>[23]</w:t>
          </w:r>
        </w:sdtContent>
      </w:sdt>
      <w:r>
        <w:rPr>
          <w:color w:val="000000"/>
        </w:rPr>
        <w:t>.</w:t>
      </w:r>
    </w:p>
    <w:p w14:paraId="77A1BDB1" w14:textId="77777777" w:rsidR="00F007B4" w:rsidRPr="00D715E7" w:rsidRDefault="00F007B4" w:rsidP="00450C23">
      <w:pPr>
        <w:spacing w:after="0" w:line="480" w:lineRule="auto"/>
        <w:rPr>
          <w:color w:val="000000"/>
        </w:rPr>
      </w:pPr>
    </w:p>
    <w:p w14:paraId="76A717B0" w14:textId="77777777" w:rsidR="00D47413" w:rsidRPr="00A01398" w:rsidRDefault="00D47413" w:rsidP="00D36702">
      <w:pPr>
        <w:pStyle w:val="Heading5"/>
        <w:spacing w:before="0" w:after="0" w:line="480" w:lineRule="auto"/>
      </w:pPr>
      <w:bookmarkStart w:id="13" w:name="_Toc200096939"/>
      <w:r>
        <w:t>Symptoms and Disease Complications</w:t>
      </w:r>
      <w:bookmarkEnd w:id="13"/>
      <w:r>
        <w:t xml:space="preserve"> </w:t>
      </w:r>
    </w:p>
    <w:p w14:paraId="541FAE19" w14:textId="1E69B26A" w:rsidR="00573378" w:rsidRDefault="00573378" w:rsidP="00D36702">
      <w:pPr>
        <w:spacing w:after="0" w:line="480" w:lineRule="auto"/>
        <w:ind w:firstLine="720"/>
        <w:rPr>
          <w:rFonts w:ascii="Times New Roman" w:hAnsi="Times New Roman" w:cs="Times New Roman"/>
          <w:color w:val="000000"/>
        </w:rPr>
      </w:pPr>
      <w:bookmarkStart w:id="14" w:name="_Hlk199671033"/>
      <w:r>
        <w:rPr>
          <w:rFonts w:ascii="Times New Roman" w:hAnsi="Times New Roman" w:cs="Times New Roman"/>
        </w:rPr>
        <w:t xml:space="preserve">The primary symptoms of COPD are dyspnea and chronic cough accompanied by sputum production </w:t>
      </w:r>
      <w:sdt>
        <w:sdtPr>
          <w:rPr>
            <w:rFonts w:ascii="Times New Roman" w:hAnsi="Times New Roman" w:cs="Times New Roman"/>
            <w:color w:val="000000"/>
          </w:rPr>
          <w:tag w:val="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"/>
          <w:id w:val="831880278"/>
          <w:placeholder>
            <w:docPart w:val="815CC93E304E45059BF8F9337ECE71FF"/>
          </w:placeholder>
        </w:sdtPr>
        <w:sdtEndPr/>
        <w:sdtContent>
          <w:r w:rsidR="00572E88" w:rsidRPr="00572E88">
            <w:rPr>
              <w:rFonts w:ascii="Times New Roman" w:hAnsi="Times New Roman" w:cs="Times New Roman"/>
              <w:color w:val="000000"/>
            </w:rPr>
            <w:t>[24,25,28,29]</w:t>
          </w:r>
        </w:sdtContent>
      </w:sdt>
      <w:r>
        <w:rPr>
          <w:rFonts w:ascii="Times New Roman" w:hAnsi="Times New Roman" w:cs="Times New Roman"/>
        </w:rPr>
        <w:t xml:space="preserve">. Dyspnea in COPD may manifest as chest tightness, wheezing, or shortness of breath </w:t>
      </w:r>
      <w:sdt>
        <w:sdtPr>
          <w:rPr>
            <w:rFonts w:ascii="Times New Roman" w:hAnsi="Times New Roman" w:cs="Times New Roman"/>
            <w:color w:val="000000"/>
          </w:rPr>
          <w:tag w:val="MENDELEY_CITATION_v3_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"/>
          <w:id w:val="-1130860077"/>
          <w:placeholder>
            <w:docPart w:val="815CC93E304E45059BF8F9337ECE71FF"/>
          </w:placeholder>
        </w:sdtPr>
        <w:sdtEndPr/>
        <w:sdtContent>
          <w:r w:rsidR="00572E88" w:rsidRPr="00572E88">
            <w:rPr>
              <w:rFonts w:ascii="Times New Roman" w:hAnsi="Times New Roman" w:cs="Times New Roman"/>
              <w:color w:val="000000"/>
            </w:rPr>
            <w:t>[26,28]</w:t>
          </w:r>
        </w:sdtContent>
      </w:sdt>
      <w:r>
        <w:rPr>
          <w:rFonts w:ascii="Times New Roman" w:hAnsi="Times New Roman" w:cs="Times New Roman"/>
        </w:rPr>
        <w:t xml:space="preserve">. Patients may experience other physical manifestations of the disease that include fatigue, unintentional weight loss, swelling in extremities, sleep disturbances, and </w:t>
      </w:r>
      <w:r>
        <w:rPr>
          <w:rFonts w:ascii="Times New Roman" w:hAnsi="Times New Roman" w:cs="Times New Roman"/>
        </w:rPr>
        <w:lastRenderedPageBreak/>
        <w:t xml:space="preserve">decreased physical activity </w:t>
      </w:r>
      <w:sdt>
        <w:sdtPr>
          <w:rPr>
            <w:rFonts w:ascii="Times New Roman" w:hAnsi="Times New Roman" w:cs="Times New Roman"/>
            <w:color w:val="000000"/>
          </w:rPr>
          <w:tag w:val="MENDELEY_CITATION_v3_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"/>
          <w:id w:val="852842165"/>
          <w:placeholder>
            <w:docPart w:val="815CC93E304E45059BF8F9337ECE71FF"/>
          </w:placeholder>
        </w:sdtPr>
        <w:sdtEndPr/>
        <w:sdtContent>
          <w:r w:rsidR="00572E88" w:rsidRPr="00572E88">
            <w:rPr>
              <w:rFonts w:ascii="Times New Roman" w:hAnsi="Times New Roman" w:cs="Times New Roman"/>
              <w:color w:val="000000"/>
            </w:rPr>
            <w:t>[28,30]</w:t>
          </w:r>
        </w:sdtContent>
      </w:sdt>
      <w:r>
        <w:rPr>
          <w:rFonts w:ascii="Times New Roman" w:hAnsi="Times New Roman" w:cs="Times New Roman"/>
          <w:color w:val="000000"/>
        </w:rPr>
        <w:t xml:space="preserve">. Symptoms may have a pronounced impact on a patient’s ability to perform routine tasks and as well as their quality of life. Approximately 33-50% of COPD patients report that symptoms impair their routine daily activities, and 92.5% of patients experience at least 1 COPD symptom </w:t>
      </w:r>
      <w:r w:rsidR="007077CC">
        <w:rPr>
          <w:rFonts w:ascii="Times New Roman" w:hAnsi="Times New Roman" w:cs="Times New Roman"/>
          <w:color w:val="000000"/>
        </w:rPr>
        <w:t>per</w:t>
      </w:r>
      <w:r>
        <w:rPr>
          <w:rFonts w:ascii="Times New Roman" w:hAnsi="Times New Roman" w:cs="Times New Roman"/>
          <w:color w:val="000000"/>
        </w:rPr>
        <w:t xml:space="preserve"> week </w:t>
      </w:r>
      <w:sdt>
        <w:sdtPr>
          <w:rPr>
            <w:rFonts w:ascii="Times New Roman" w:hAnsi="Times New Roman" w:cs="Times New Roman"/>
            <w:color w:val="000000"/>
          </w:rPr>
          <w:tag w:val="MENDELEY_CITATION_v3_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"/>
          <w:id w:val="-1405286114"/>
          <w:placeholder>
            <w:docPart w:val="815CC93E304E45059BF8F9337ECE71FF"/>
          </w:placeholder>
        </w:sdtPr>
        <w:sdtEndPr/>
        <w:sdtContent>
          <w:r w:rsidR="00572E88" w:rsidRPr="00572E88">
            <w:rPr>
              <w:rFonts w:ascii="Times New Roman" w:hAnsi="Times New Roman" w:cs="Times New Roman"/>
              <w:color w:val="000000"/>
            </w:rPr>
            <w:t>[30]</w:t>
          </w:r>
        </w:sdtContent>
      </w:sdt>
      <w:r>
        <w:rPr>
          <w:rFonts w:ascii="Times New Roman" w:hAnsi="Times New Roman" w:cs="Times New Roman"/>
          <w:color w:val="000000"/>
        </w:rPr>
        <w:t xml:space="preserve">. However, occurrence and severity of symptoms vary, with studies reporting seasonal and daily variability </w:t>
      </w:r>
      <w:sdt>
        <w:sdtPr>
          <w:rPr>
            <w:rFonts w:ascii="Times New Roman" w:hAnsi="Times New Roman" w:cs="Times New Roman"/>
            <w:color w:val="000000"/>
          </w:rPr>
          <w:tag w:val="MENDELEY_CITATION_v3_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"/>
          <w:id w:val="-853107532"/>
          <w:placeholder>
            <w:docPart w:val="815CC93E304E45059BF8F9337ECE71FF"/>
          </w:placeholder>
        </w:sdtPr>
        <w:sdtEndPr/>
        <w:sdtContent>
          <w:r w:rsidR="00572E88" w:rsidRPr="00572E88">
            <w:rPr>
              <w:rFonts w:ascii="Times New Roman" w:hAnsi="Times New Roman" w:cs="Times New Roman"/>
              <w:color w:val="000000"/>
            </w:rPr>
            <w:t>[30]</w:t>
          </w:r>
        </w:sdtContent>
      </w:sdt>
      <w:r>
        <w:rPr>
          <w:rFonts w:ascii="Times New Roman" w:hAnsi="Times New Roman" w:cs="Times New Roman"/>
          <w:color w:val="000000"/>
        </w:rPr>
        <w:t xml:space="preserve">. The review by </w:t>
      </w:r>
      <w:proofErr w:type="spellStart"/>
      <w:r>
        <w:rPr>
          <w:rFonts w:ascii="Times New Roman" w:hAnsi="Times New Roman" w:cs="Times New Roman"/>
          <w:color w:val="000000"/>
        </w:rPr>
        <w:t>Miravitilles</w:t>
      </w:r>
      <w:proofErr w:type="spellEnd"/>
      <w:r>
        <w:rPr>
          <w:rFonts w:ascii="Times New Roman" w:hAnsi="Times New Roman" w:cs="Times New Roman"/>
          <w:color w:val="000000"/>
        </w:rPr>
        <w:t xml:space="preserve"> and Ribera reports that patients experience greater respiratory symptoms in winter months due to greater risk of respiratory infections and weather conditions </w:t>
      </w:r>
      <w:sdt>
        <w:sdtPr>
          <w:rPr>
            <w:rFonts w:ascii="Times New Roman" w:hAnsi="Times New Roman" w:cs="Times New Roman"/>
            <w:color w:val="000000"/>
          </w:rPr>
          <w:tag w:val="MENDELEY_CITATION_v3_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"/>
          <w:id w:val="-1466198808"/>
          <w:placeholder>
            <w:docPart w:val="815CC93E304E45059BF8F9337ECE71FF"/>
          </w:placeholder>
        </w:sdtPr>
        <w:sdtEndPr/>
        <w:sdtContent>
          <w:r w:rsidR="00572E88" w:rsidRPr="00572E88">
            <w:rPr>
              <w:rFonts w:ascii="Times New Roman" w:hAnsi="Times New Roman" w:cs="Times New Roman"/>
              <w:color w:val="000000"/>
            </w:rPr>
            <w:t>[30]</w:t>
          </w:r>
        </w:sdtContent>
      </w:sdt>
      <w:r>
        <w:rPr>
          <w:rFonts w:ascii="Times New Roman" w:hAnsi="Times New Roman" w:cs="Times New Roman"/>
          <w:color w:val="000000"/>
        </w:rPr>
        <w:t xml:space="preserve">. In clinical practice, several questionnaires for assessing the severity of COPD symptoms have been developed </w:t>
      </w:r>
      <w:sdt>
        <w:sdtPr>
          <w:rPr>
            <w:rFonts w:ascii="Times New Roman" w:hAnsi="Times New Roman" w:cs="Times New Roman"/>
            <w:color w:val="000000"/>
          </w:rPr>
          <w:tag w:val="MENDELEY_CITATION_v3_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"/>
          <w:id w:val="587039036"/>
          <w:placeholder>
            <w:docPart w:val="815CC93E304E45059BF8F9337ECE71FF"/>
          </w:placeholder>
        </w:sdtPr>
        <w:sdtEndPr/>
        <w:sdtContent>
          <w:r w:rsidR="00572E88" w:rsidRPr="00572E88">
            <w:rPr>
              <w:rFonts w:ascii="Times New Roman" w:hAnsi="Times New Roman" w:cs="Times New Roman"/>
              <w:color w:val="000000"/>
            </w:rPr>
            <w:t>[29]</w:t>
          </w:r>
        </w:sdtContent>
      </w:sdt>
      <w:r>
        <w:rPr>
          <w:rFonts w:ascii="Times New Roman" w:hAnsi="Times New Roman" w:cs="Times New Roman"/>
          <w:color w:val="000000"/>
        </w:rPr>
        <w:t>. Some questionnaires like the COPD Assessment Test (CAT) measure the impact of symptoms on quality of while others like the modified medical Research Council dyspnea scale (</w:t>
      </w:r>
      <w:proofErr w:type="spellStart"/>
      <w:r>
        <w:rPr>
          <w:rFonts w:ascii="Times New Roman" w:hAnsi="Times New Roman" w:cs="Times New Roman"/>
          <w:color w:val="000000"/>
        </w:rPr>
        <w:t>mMRC</w:t>
      </w:r>
      <w:proofErr w:type="spellEnd"/>
      <w:r>
        <w:rPr>
          <w:rFonts w:ascii="Times New Roman" w:hAnsi="Times New Roman" w:cs="Times New Roman"/>
          <w:color w:val="000000"/>
        </w:rPr>
        <w:t xml:space="preserve">) classify dyspnea impairment during routine actives </w:t>
      </w:r>
      <w:sdt>
        <w:sdtPr>
          <w:rPr>
            <w:rFonts w:ascii="Times New Roman" w:hAnsi="Times New Roman" w:cs="Times New Roman"/>
            <w:color w:val="000000"/>
          </w:rPr>
          <w:tag w:val="MENDELEY_CITATION_v3_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"/>
          <w:id w:val="512037901"/>
          <w:placeholder>
            <w:docPart w:val="815CC93E304E45059BF8F9337ECE71FF"/>
          </w:placeholder>
        </w:sdtPr>
        <w:sdtEndPr/>
        <w:sdtContent>
          <w:r w:rsidR="00572E88" w:rsidRPr="00572E88">
            <w:rPr>
              <w:rFonts w:ascii="Times New Roman" w:hAnsi="Times New Roman" w:cs="Times New Roman"/>
              <w:color w:val="000000"/>
            </w:rPr>
            <w:t>[29]</w:t>
          </w:r>
        </w:sdtContent>
      </w:sdt>
      <w:r>
        <w:rPr>
          <w:rFonts w:ascii="Times New Roman" w:hAnsi="Times New Roman" w:cs="Times New Roman"/>
          <w:color w:val="000000"/>
        </w:rPr>
        <w:t>. The Clinical COPD questionnaire combines both symptom severity and impairment during routine activities to classify patients</w:t>
      </w:r>
      <w:sdt>
        <w:sdtPr>
          <w:rPr>
            <w:rFonts w:ascii="Times New Roman" w:hAnsi="Times New Roman" w:cs="Times New Roman"/>
            <w:color w:val="000000"/>
          </w:rPr>
          <w:tag w:val="MENDELEY_CITATION_v3_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"/>
          <w:id w:val="-123316106"/>
          <w:placeholder>
            <w:docPart w:val="815CC93E304E45059BF8F9337ECE71FF"/>
          </w:placeholder>
        </w:sdtPr>
        <w:sdtEndPr/>
        <w:sdtContent>
          <w:r w:rsidR="00572E88" w:rsidRPr="00572E88">
            <w:rPr>
              <w:rFonts w:ascii="Times New Roman" w:hAnsi="Times New Roman" w:cs="Times New Roman"/>
              <w:color w:val="000000"/>
            </w:rPr>
            <w:t>[29]</w:t>
          </w:r>
        </w:sdtContent>
      </w:sdt>
      <w:r>
        <w:rPr>
          <w:rFonts w:ascii="Times New Roman" w:hAnsi="Times New Roman" w:cs="Times New Roman"/>
          <w:color w:val="000000"/>
        </w:rPr>
        <w:t xml:space="preserve">. </w:t>
      </w:r>
    </w:p>
    <w:p w14:paraId="01C8C718" w14:textId="77777777" w:rsidR="00270AE8" w:rsidRDefault="00270AE8" w:rsidP="00D36702">
      <w:pPr>
        <w:spacing w:after="0" w:line="480" w:lineRule="auto"/>
        <w:rPr>
          <w:rFonts w:ascii="Times New Roman" w:hAnsi="Times New Roman" w:cs="Times New Roman"/>
          <w:color w:val="000000"/>
        </w:rPr>
      </w:pPr>
    </w:p>
    <w:p w14:paraId="5BD01EA0" w14:textId="77777777" w:rsidR="00D47413" w:rsidRPr="00D47413" w:rsidRDefault="00D47413" w:rsidP="00155738">
      <w:pPr>
        <w:pStyle w:val="Heading6"/>
        <w:spacing w:before="0" w:line="480" w:lineRule="auto"/>
        <w:rPr>
          <w:rFonts w:cs="Times New Roman"/>
          <w:color w:val="auto"/>
          <w:szCs w:val="28"/>
        </w:rPr>
      </w:pPr>
      <w:bookmarkStart w:id="15" w:name="_Toc200096940"/>
      <w:r w:rsidRPr="00D47413">
        <w:rPr>
          <w:rFonts w:cs="Times New Roman"/>
          <w:color w:val="auto"/>
          <w:szCs w:val="28"/>
        </w:rPr>
        <w:t>Exacerbations</w:t>
      </w:r>
      <w:bookmarkEnd w:id="15"/>
    </w:p>
    <w:bookmarkEnd w:id="14"/>
    <w:p w14:paraId="4E5497B1" w14:textId="78828B70" w:rsidR="00573378" w:rsidRDefault="00573378" w:rsidP="00155738">
      <w:pPr>
        <w:spacing w:after="0" w:line="480" w:lineRule="auto"/>
        <w:ind w:firstLine="720"/>
        <w:rPr>
          <w:rFonts w:ascii="Times New Roman" w:hAnsi="Times New Roman" w:cs="Times New Roman"/>
        </w:rPr>
      </w:pPr>
      <w:r>
        <w:rPr>
          <w:rFonts w:ascii="Times New Roman" w:hAnsi="Times New Roman" w:cs="Times New Roman"/>
        </w:rPr>
        <w:t xml:space="preserve">During the course of the disease, patients may experience exacerbations of COPD symptoms, which are broadly defined as acute periods of worsening symptoms of dyspnea, coughing, and sputum production </w:t>
      </w:r>
      <w:sdt>
        <w:sdtPr>
          <w:rPr>
            <w:rFonts w:ascii="Times New Roman" w:hAnsi="Times New Roman" w:cs="Times New Roman"/>
            <w:color w:val="000000"/>
          </w:rPr>
          <w:tag w:val="MENDELEY_CITATION_v3_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"/>
          <w:id w:val="1790860908"/>
          <w:placeholder>
            <w:docPart w:val="FEE93E19D7344919B6D6517941E231B0"/>
          </w:placeholder>
        </w:sdtPr>
        <w:sdtEndPr/>
        <w:sdtContent>
          <w:r w:rsidR="00572E88" w:rsidRPr="00572E88">
            <w:rPr>
              <w:rFonts w:ascii="Times New Roman" w:hAnsi="Times New Roman" w:cs="Times New Roman"/>
              <w:color w:val="000000"/>
            </w:rPr>
            <w:t>[31]</w:t>
          </w:r>
        </w:sdtContent>
      </w:sdt>
      <w:r>
        <w:rPr>
          <w:rFonts w:ascii="Times New Roman" w:hAnsi="Times New Roman" w:cs="Times New Roman"/>
        </w:rPr>
        <w:t xml:space="preserve">. The GOLD report extends the definition to include a period of worsening of symptoms that require additional treatment or hospitalization </w:t>
      </w:r>
      <w:sdt>
        <w:sdtPr>
          <w:rPr>
            <w:rFonts w:ascii="Times New Roman" w:hAnsi="Times New Roman" w:cs="Times New Roman"/>
            <w:color w:val="000000"/>
          </w:rPr>
          <w:tag w:val="MENDELEY_CITATION_v3_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"/>
          <w:id w:val="-1415621565"/>
          <w:placeholder>
            <w:docPart w:val="FEE93E19D7344919B6D6517941E231B0"/>
          </w:placeholder>
        </w:sdtPr>
        <w:sdtEndPr/>
        <w:sdtContent>
          <w:r w:rsidR="00572E88" w:rsidRPr="00572E88">
            <w:rPr>
              <w:rFonts w:ascii="Times New Roman" w:hAnsi="Times New Roman" w:cs="Times New Roman"/>
              <w:color w:val="000000"/>
            </w:rPr>
            <w:t>[24,31]</w:t>
          </w:r>
        </w:sdtContent>
      </w:sdt>
      <w:r>
        <w:rPr>
          <w:rFonts w:ascii="Times New Roman" w:hAnsi="Times New Roman" w:cs="Times New Roman"/>
        </w:rPr>
        <w:t xml:space="preserve">. Exacerbations may impact the general health of an individual, and they are reported to increase hospitalization and mortality risks </w:t>
      </w:r>
      <w:sdt>
        <w:sdtPr>
          <w:rPr>
            <w:rFonts w:ascii="Times New Roman" w:hAnsi="Times New Roman" w:cs="Times New Roman"/>
            <w:color w:val="000000"/>
          </w:rPr>
          <w:tag w:val="MENDELEY_CITATION_v3_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"/>
          <w:id w:val="-245112378"/>
          <w:placeholder>
            <w:docPart w:val="FEE93E19D7344919B6D6517941E231B0"/>
          </w:placeholder>
        </w:sdtPr>
        <w:sdtEndPr/>
        <w:sdtContent>
          <w:r w:rsidR="00572E88" w:rsidRPr="00572E88">
            <w:rPr>
              <w:rFonts w:ascii="Times New Roman" w:hAnsi="Times New Roman" w:cs="Times New Roman"/>
              <w:color w:val="000000"/>
            </w:rPr>
            <w:t>[31]</w:t>
          </w:r>
        </w:sdtContent>
      </w:sdt>
      <w:r>
        <w:rPr>
          <w:rFonts w:ascii="Times New Roman" w:hAnsi="Times New Roman" w:cs="Times New Roman"/>
        </w:rPr>
        <w:t xml:space="preserve">. Recent updates to the GOLD report treatment recommendations incorporated the exacerbations into the treatment planning schema, which reflects the importance of preventing these events </w:t>
      </w:r>
      <w:sdt>
        <w:sdtPr>
          <w:rPr>
            <w:rFonts w:ascii="Times New Roman" w:hAnsi="Times New Roman" w:cs="Times New Roman"/>
            <w:color w:val="000000"/>
          </w:rPr>
          <w:tag w:val="MENDELEY_CITATION_v3_eyJjaXRhdGlvbklEIjoiTUVOREVMRVlfQ0lUQVRJT05fNTFjYjIyNGYtNDk3OS00ZGFmLWE5MDItOTBhNDVmYWRkYzI5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
          <w:id w:val="-724305521"/>
          <w:placeholder>
            <w:docPart w:val="FEE93E19D7344919B6D6517941E231B0"/>
          </w:placeholder>
        </w:sdtPr>
        <w:sdtEndPr/>
        <w:sdtContent>
          <w:r w:rsidR="00572E88" w:rsidRPr="00572E88">
            <w:rPr>
              <w:rFonts w:ascii="Times New Roman" w:hAnsi="Times New Roman" w:cs="Times New Roman"/>
              <w:color w:val="000000"/>
            </w:rPr>
            <w:t>[24]</w:t>
          </w:r>
        </w:sdtContent>
      </w:sdt>
      <w:r>
        <w:rPr>
          <w:rFonts w:ascii="Times New Roman" w:hAnsi="Times New Roman" w:cs="Times New Roman"/>
        </w:rPr>
        <w:t xml:space="preserve">. Etiologically, the majority of </w:t>
      </w:r>
      <w:r>
        <w:rPr>
          <w:rFonts w:ascii="Times New Roman" w:hAnsi="Times New Roman" w:cs="Times New Roman"/>
        </w:rPr>
        <w:lastRenderedPageBreak/>
        <w:t xml:space="preserve">exacerbations are due to bacterial or viral infections which are detected in approximately 78% of exacerbations </w:t>
      </w:r>
      <w:sdt>
        <w:sdtPr>
          <w:rPr>
            <w:rFonts w:ascii="Times New Roman" w:hAnsi="Times New Roman" w:cs="Times New Roman"/>
            <w:color w:val="000000"/>
          </w:rPr>
          <w:tag w:val="MENDELEY_CITATION_v3_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"/>
          <w:id w:val="1108161778"/>
          <w:placeholder>
            <w:docPart w:val="FEE93E19D7344919B6D6517941E231B0"/>
          </w:placeholder>
        </w:sdtPr>
        <w:sdtEndPr/>
        <w:sdtContent>
          <w:r w:rsidR="00572E88" w:rsidRPr="00572E88">
            <w:rPr>
              <w:rFonts w:ascii="Times New Roman" w:hAnsi="Times New Roman" w:cs="Times New Roman"/>
              <w:color w:val="000000"/>
            </w:rPr>
            <w:t>[31]</w:t>
          </w:r>
        </w:sdtContent>
      </w:sdt>
      <w:r>
        <w:rPr>
          <w:rFonts w:ascii="Times New Roman" w:hAnsi="Times New Roman" w:cs="Times New Roman"/>
        </w:rPr>
        <w:t xml:space="preserve">. Other possible causes for exacerbations include increased exposure to air pollution or worsening of comorbid condition(s) </w:t>
      </w:r>
      <w:sdt>
        <w:sdtPr>
          <w:rPr>
            <w:rFonts w:ascii="Times New Roman" w:hAnsi="Times New Roman" w:cs="Times New Roman"/>
            <w:color w:val="000000"/>
          </w:rPr>
          <w:tag w:val="MENDELEY_CITATION_v3_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"/>
          <w:id w:val="1972940578"/>
          <w:placeholder>
            <w:docPart w:val="FEE93E19D7344919B6D6517941E231B0"/>
          </w:placeholder>
        </w:sdtPr>
        <w:sdtEndPr/>
        <w:sdtContent>
          <w:r w:rsidR="00572E88" w:rsidRPr="00572E88">
            <w:rPr>
              <w:rFonts w:ascii="Times New Roman" w:hAnsi="Times New Roman" w:cs="Times New Roman"/>
              <w:color w:val="000000"/>
            </w:rPr>
            <w:t>[31]</w:t>
          </w:r>
        </w:sdtContent>
      </w:sdt>
      <w:r>
        <w:rPr>
          <w:rFonts w:ascii="Times New Roman" w:hAnsi="Times New Roman" w:cs="Times New Roman"/>
        </w:rPr>
        <w:t>.</w:t>
      </w:r>
    </w:p>
    <w:p w14:paraId="5549D1CA" w14:textId="77777777" w:rsidR="00573378" w:rsidRDefault="00573378" w:rsidP="00155738">
      <w:pPr>
        <w:spacing w:after="0" w:line="480" w:lineRule="auto"/>
        <w:rPr>
          <w:rFonts w:ascii="Times New Roman" w:hAnsi="Times New Roman" w:cs="Times New Roman"/>
        </w:rPr>
      </w:pPr>
    </w:p>
    <w:p w14:paraId="5D65B7AC" w14:textId="77777777" w:rsidR="00D47413" w:rsidRDefault="00D47413" w:rsidP="00155738">
      <w:pPr>
        <w:pStyle w:val="Heading5"/>
        <w:spacing w:before="0" w:after="0" w:line="480" w:lineRule="auto"/>
      </w:pPr>
      <w:bookmarkStart w:id="16" w:name="_Toc200096941"/>
      <w:r>
        <w:t>Diagnosis</w:t>
      </w:r>
      <w:bookmarkEnd w:id="16"/>
    </w:p>
    <w:p w14:paraId="2AE6ED31" w14:textId="3D8D916A" w:rsidR="00573378" w:rsidRDefault="00573378" w:rsidP="00155738">
      <w:pPr>
        <w:spacing w:after="0" w:line="480" w:lineRule="auto"/>
        <w:ind w:firstLine="720"/>
        <w:rPr>
          <w:rFonts w:ascii="Times New Roman" w:hAnsi="Times New Roman" w:cs="Times New Roman"/>
        </w:rPr>
      </w:pPr>
      <w:r w:rsidRPr="006909F1">
        <w:rPr>
          <w:rFonts w:ascii="Times New Roman" w:hAnsi="Times New Roman" w:cs="Times New Roman"/>
        </w:rPr>
        <w:t>Spirometry is used to diagnos</w:t>
      </w:r>
      <w:r>
        <w:rPr>
          <w:rFonts w:ascii="Times New Roman" w:hAnsi="Times New Roman" w:cs="Times New Roman"/>
        </w:rPr>
        <w:t>e</w:t>
      </w:r>
      <w:r w:rsidRPr="006909F1">
        <w:rPr>
          <w:rFonts w:ascii="Times New Roman" w:hAnsi="Times New Roman" w:cs="Times New Roman"/>
        </w:rPr>
        <w:t xml:space="preserve"> COPD </w:t>
      </w:r>
      <w:r>
        <w:rPr>
          <w:rFonts w:ascii="Times New Roman" w:hAnsi="Times New Roman" w:cs="Times New Roman"/>
        </w:rPr>
        <w:t xml:space="preserve">using either the GOLD criterion or the LLN standard </w:t>
      </w:r>
      <w:sdt>
        <w:sdtPr>
          <w:rPr>
            <w:rFonts w:ascii="Times New Roman" w:hAnsi="Times New Roman" w:cs="Times New Roman"/>
            <w:color w:val="000000"/>
          </w:rPr>
          <w:tag w:val="MENDELEY_CITATION_v3_eyJjaXRhdGlvbklEIjoiTUVOREVMRVlfQ0lUQVRJT05fNjI2N2Y2MzctN2VhMy00ZDFiLThiMjktM2RmYzJkMDg5Mzhj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
          <w:id w:val="1099449658"/>
          <w:placeholder>
            <w:docPart w:val="4838C9DB7D074D418BFCBE341C0E3CA6"/>
          </w:placeholder>
        </w:sdtPr>
        <w:sdtEndPr/>
        <w:sdtContent>
          <w:r w:rsidR="00572E88" w:rsidRPr="00572E88">
            <w:rPr>
              <w:rFonts w:ascii="Times New Roman" w:hAnsi="Times New Roman" w:cs="Times New Roman"/>
              <w:color w:val="000000"/>
            </w:rPr>
            <w:t>[24]</w:t>
          </w:r>
        </w:sdtContent>
      </w:sdt>
      <w:r>
        <w:rPr>
          <w:rFonts w:ascii="Times New Roman" w:hAnsi="Times New Roman" w:cs="Times New Roman"/>
          <w:color w:val="000000"/>
        </w:rPr>
        <w:t>. The GOLD criterion identifies COPD when FEV</w:t>
      </w:r>
      <w:r>
        <w:rPr>
          <w:rFonts w:ascii="Times New Roman" w:hAnsi="Times New Roman" w:cs="Times New Roman"/>
          <w:color w:val="000000"/>
          <w:vertAlign w:val="subscript"/>
        </w:rPr>
        <w:t>1</w:t>
      </w:r>
      <w:r>
        <w:rPr>
          <w:rFonts w:ascii="Times New Roman" w:hAnsi="Times New Roman" w:cs="Times New Roman"/>
          <w:color w:val="000000"/>
        </w:rPr>
        <w:t>/FVC &lt; 0.70 whereas the LLN standard identifies COPD when FEV</w:t>
      </w:r>
      <w:r>
        <w:rPr>
          <w:rFonts w:ascii="Times New Roman" w:hAnsi="Times New Roman" w:cs="Times New Roman"/>
          <w:color w:val="000000"/>
          <w:vertAlign w:val="subscript"/>
        </w:rPr>
        <w:t>1</w:t>
      </w:r>
      <w:r>
        <w:rPr>
          <w:rFonts w:ascii="Times New Roman" w:hAnsi="Times New Roman" w:cs="Times New Roman"/>
          <w:color w:val="000000"/>
        </w:rPr>
        <w:t xml:space="preserve">/FVC is less than the fifth percentile of the normal population </w:t>
      </w:r>
      <w:sdt>
        <w:sdtPr>
          <w:rPr>
            <w:rFonts w:ascii="Times New Roman" w:hAnsi="Times New Roman" w:cs="Times New Roman"/>
            <w:color w:val="000000"/>
          </w:rPr>
          <w:tag w:val="MENDELEY_CITATION_v3_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
          <w:id w:val="-1716182487"/>
          <w:placeholder>
            <w:docPart w:val="4838C9DB7D074D418BFCBE341C0E3CA6"/>
          </w:placeholder>
        </w:sdtPr>
        <w:sdtEndPr/>
        <w:sdtContent>
          <w:r w:rsidR="00572E88" w:rsidRPr="00572E88">
            <w:rPr>
              <w:rFonts w:ascii="Times New Roman" w:hAnsi="Times New Roman" w:cs="Times New Roman"/>
              <w:color w:val="000000"/>
            </w:rPr>
            <w:t>[24,25]</w:t>
          </w:r>
        </w:sdtContent>
      </w:sdt>
      <w:r>
        <w:rPr>
          <w:rFonts w:ascii="Times New Roman" w:hAnsi="Times New Roman" w:cs="Times New Roman"/>
          <w:color w:val="000000"/>
        </w:rPr>
        <w:t xml:space="preserve">. </w:t>
      </w:r>
      <w:r>
        <w:rPr>
          <w:rFonts w:ascii="Times New Roman" w:hAnsi="Times New Roman" w:cs="Times New Roman"/>
        </w:rPr>
        <w:t xml:space="preserve">In clinical practice, however, spirometry testing is only recommended </w:t>
      </w:r>
      <w:r w:rsidRPr="008D13AB">
        <w:rPr>
          <w:rFonts w:ascii="Times New Roman" w:hAnsi="Times New Roman" w:cs="Times New Roman"/>
        </w:rPr>
        <w:t xml:space="preserve">for </w:t>
      </w:r>
      <w:r>
        <w:rPr>
          <w:rFonts w:ascii="Times New Roman" w:hAnsi="Times New Roman" w:cs="Times New Roman"/>
        </w:rPr>
        <w:t xml:space="preserve">symptomatic </w:t>
      </w:r>
      <w:r w:rsidRPr="008D13AB">
        <w:rPr>
          <w:rFonts w:ascii="Times New Roman" w:hAnsi="Times New Roman" w:cs="Times New Roman"/>
        </w:rPr>
        <w:t>individuals</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"/>
          <w:id w:val="-154692591"/>
          <w:placeholder>
            <w:docPart w:val="4838C9DB7D074D418BFCBE341C0E3CA6"/>
          </w:placeholder>
        </w:sdtPr>
        <w:sdtEndPr/>
        <w:sdtContent>
          <w:r w:rsidR="00572E88" w:rsidRPr="00572E88">
            <w:rPr>
              <w:rFonts w:ascii="Times New Roman" w:hAnsi="Times New Roman" w:cs="Times New Roman"/>
              <w:color w:val="000000"/>
            </w:rPr>
            <w:t>[22,29]</w:t>
          </w:r>
        </w:sdtContent>
      </w:sdt>
      <w:r>
        <w:rPr>
          <w:rFonts w:ascii="Times New Roman" w:hAnsi="Times New Roman" w:cs="Times New Roman"/>
        </w:rPr>
        <w:t xml:space="preserve">. Clinicians may also use additional clinical tests such as chest x-rays for differential diagnosis </w:t>
      </w:r>
      <w:sdt>
        <w:sdtPr>
          <w:rPr>
            <w:rFonts w:ascii="Times New Roman" w:hAnsi="Times New Roman" w:cs="Times New Roman"/>
            <w:color w:val="000000"/>
          </w:rPr>
          <w:tag w:val="MENDELEY_CITATION_v3_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"/>
          <w:id w:val="904732108"/>
          <w:placeholder>
            <w:docPart w:val="4838C9DB7D074D418BFCBE341C0E3CA6"/>
          </w:placeholder>
        </w:sdtPr>
        <w:sdtEndPr/>
        <w:sdtContent>
          <w:r w:rsidR="00572E88" w:rsidRPr="00572E88">
            <w:rPr>
              <w:rFonts w:ascii="Times New Roman" w:hAnsi="Times New Roman" w:cs="Times New Roman"/>
              <w:color w:val="000000"/>
            </w:rPr>
            <w:t>[32]</w:t>
          </w:r>
        </w:sdtContent>
      </w:sdt>
      <w:r>
        <w:rPr>
          <w:rFonts w:ascii="Times New Roman" w:hAnsi="Times New Roman" w:cs="Times New Roman"/>
        </w:rPr>
        <w:t xml:space="preserve">. </w:t>
      </w:r>
    </w:p>
    <w:p w14:paraId="21D8BD82" w14:textId="5E1ABE26" w:rsidR="00D715E7" w:rsidRDefault="00573378" w:rsidP="00155738">
      <w:pPr>
        <w:spacing w:after="0" w:line="480" w:lineRule="auto"/>
        <w:ind w:firstLine="720"/>
        <w:rPr>
          <w:rFonts w:ascii="Times New Roman" w:hAnsi="Times New Roman" w:cs="Times New Roman"/>
        </w:rPr>
      </w:pPr>
      <w:r>
        <w:rPr>
          <w:rFonts w:ascii="Times New Roman" w:hAnsi="Times New Roman" w:cs="Times New Roman"/>
        </w:rPr>
        <w:t>The severity of COPD can be graded through two possible measurements: the level of obstruction and the level of dyspnea. Obstruction level is classified as mild (FEV</w:t>
      </w:r>
      <w:r>
        <w:rPr>
          <w:rFonts w:ascii="Times New Roman" w:hAnsi="Times New Roman" w:cs="Times New Roman"/>
          <w:vertAlign w:val="subscript"/>
        </w:rPr>
        <w:t>1</w:t>
      </w:r>
      <w:r>
        <w:rPr>
          <w:rFonts w:ascii="Times New Roman" w:hAnsi="Times New Roman" w:cs="Times New Roman"/>
        </w:rPr>
        <w:t xml:space="preserve"> </w:t>
      </w:r>
      <w:r>
        <w:rPr>
          <w:rFonts w:ascii="Times New Roman" w:hAnsi="Times New Roman" w:cs="Times New Roman"/>
        </w:rPr>
        <w:sym w:font="Symbol" w:char="F0B3"/>
      </w:r>
      <w:r>
        <w:rPr>
          <w:rFonts w:ascii="Times New Roman" w:hAnsi="Times New Roman" w:cs="Times New Roman"/>
        </w:rPr>
        <w:t xml:space="preserve"> 80% of predicted), moderate (FEV</w:t>
      </w:r>
      <w:r>
        <w:rPr>
          <w:rFonts w:ascii="Times New Roman" w:hAnsi="Times New Roman" w:cs="Times New Roman"/>
          <w:vertAlign w:val="subscript"/>
        </w:rPr>
        <w:t>1</w:t>
      </w:r>
      <w:r>
        <w:rPr>
          <w:rFonts w:ascii="Times New Roman" w:hAnsi="Times New Roman" w:cs="Times New Roman"/>
        </w:rPr>
        <w:t xml:space="preserve"> 50-79% of predicted), severe (FEV</w:t>
      </w:r>
      <w:r>
        <w:rPr>
          <w:rFonts w:ascii="Times New Roman" w:hAnsi="Times New Roman" w:cs="Times New Roman"/>
          <w:vertAlign w:val="subscript"/>
        </w:rPr>
        <w:t>1</w:t>
      </w:r>
      <w:r>
        <w:rPr>
          <w:rFonts w:ascii="Times New Roman" w:hAnsi="Times New Roman" w:cs="Times New Roman"/>
        </w:rPr>
        <w:t xml:space="preserve"> 30-49% of predicted), and very severe (FEV</w:t>
      </w:r>
      <w:r>
        <w:rPr>
          <w:rFonts w:ascii="Times New Roman" w:hAnsi="Times New Roman" w:cs="Times New Roman"/>
          <w:vertAlign w:val="subscript"/>
        </w:rPr>
        <w:t>1</w:t>
      </w:r>
      <w:r>
        <w:rPr>
          <w:rFonts w:ascii="Times New Roman" w:hAnsi="Times New Roman" w:cs="Times New Roman"/>
        </w:rPr>
        <w:t xml:space="preserve"> &lt;30% of predicted) </w:t>
      </w:r>
      <w:sdt>
        <w:sdtPr>
          <w:rPr>
            <w:rFonts w:ascii="Times New Roman" w:hAnsi="Times New Roman" w:cs="Times New Roman"/>
            <w:color w:val="000000"/>
          </w:rPr>
          <w:tag w:val="MENDELEY_CITATION_v3_eyJjaXRhdGlvbklEIjoiTUVOREVMRVlfQ0lUQVRJT05fZmM5MTJkZjctMGM0Yy00MzA1LWEyM2EtMDkyMzZkMTNiYmYw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
          <w:id w:val="159587909"/>
          <w:placeholder>
            <w:docPart w:val="4838C9DB7D074D418BFCBE341C0E3CA6"/>
          </w:placeholder>
        </w:sdtPr>
        <w:sdtEndPr/>
        <w:sdtContent>
          <w:r w:rsidR="00572E88" w:rsidRPr="00572E88">
            <w:rPr>
              <w:rFonts w:ascii="Times New Roman" w:hAnsi="Times New Roman" w:cs="Times New Roman"/>
              <w:color w:val="000000"/>
            </w:rPr>
            <w:t>[24]</w:t>
          </w:r>
        </w:sdtContent>
      </w:sdt>
      <w:r>
        <w:rPr>
          <w:rFonts w:ascii="Times New Roman" w:hAnsi="Times New Roman" w:cs="Times New Roman"/>
        </w:rPr>
        <w:t>. The level of dyspnea can be classified using a dyspnea scale like the COPD Assessment Test (CAT) or modified Medical Research Council (</w:t>
      </w:r>
      <w:proofErr w:type="spellStart"/>
      <w:r>
        <w:rPr>
          <w:rFonts w:ascii="Times New Roman" w:hAnsi="Times New Roman" w:cs="Times New Roman"/>
        </w:rPr>
        <w:t>mMRC</w:t>
      </w:r>
      <w:proofErr w:type="spellEnd"/>
      <w:r>
        <w:rPr>
          <w:rFonts w:ascii="Times New Roman" w:hAnsi="Times New Roman" w:cs="Times New Roman"/>
        </w:rPr>
        <w:t xml:space="preserve">) scales </w:t>
      </w:r>
      <w:sdt>
        <w:sdtPr>
          <w:rPr>
            <w:rFonts w:ascii="Times New Roman" w:hAnsi="Times New Roman" w:cs="Times New Roman"/>
            <w:color w:val="000000"/>
          </w:rPr>
          <w:tag w:val="MENDELEY_CITATION_v3_eyJjaXRhdGlvbklEIjoiTUVOREVMRVlfQ0lUQVRJT05fOGI1NGI5MTgtODljNy00OTZkLThiYjItOGM3NjU0YjVlOGNl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
          <w:id w:val="-1730834843"/>
          <w:placeholder>
            <w:docPart w:val="4838C9DB7D074D418BFCBE341C0E3CA6"/>
          </w:placeholder>
        </w:sdtPr>
        <w:sdtEndPr/>
        <w:sdtContent>
          <w:r w:rsidR="00572E88" w:rsidRPr="00572E88">
            <w:rPr>
              <w:rFonts w:ascii="Times New Roman" w:hAnsi="Times New Roman" w:cs="Times New Roman"/>
              <w:color w:val="000000"/>
            </w:rPr>
            <w:t>[24]</w:t>
          </w:r>
        </w:sdtContent>
      </w:sdt>
      <w:r>
        <w:rPr>
          <w:rFonts w:ascii="Times New Roman" w:hAnsi="Times New Roman" w:cs="Times New Roman"/>
        </w:rPr>
        <w:t xml:space="preserve">. Both the CAT and </w:t>
      </w:r>
      <w:proofErr w:type="spellStart"/>
      <w:r>
        <w:rPr>
          <w:rFonts w:ascii="Times New Roman" w:hAnsi="Times New Roman" w:cs="Times New Roman"/>
        </w:rPr>
        <w:t>mMRC</w:t>
      </w:r>
      <w:proofErr w:type="spellEnd"/>
      <w:r>
        <w:rPr>
          <w:rFonts w:ascii="Times New Roman" w:hAnsi="Times New Roman" w:cs="Times New Roman"/>
        </w:rPr>
        <w:t xml:space="preserve"> dyspnea scales measure the impact of dyspnea on patient lives </w:t>
      </w:r>
      <w:sdt>
        <w:sdtPr>
          <w:rPr>
            <w:rFonts w:ascii="Times New Roman" w:hAnsi="Times New Roman" w:cs="Times New Roman"/>
            <w:color w:val="000000"/>
          </w:rPr>
          <w:tag w:val="MENDELEY_CITATION_v3_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"/>
          <w:id w:val="-1161772472"/>
          <w:placeholder>
            <w:docPart w:val="4838C9DB7D074D418BFCBE341C0E3CA6"/>
          </w:placeholder>
        </w:sdtPr>
        <w:sdtEndPr/>
        <w:sdtContent>
          <w:r w:rsidR="00572E88" w:rsidRPr="00572E88">
            <w:rPr>
              <w:rFonts w:ascii="Times New Roman" w:hAnsi="Times New Roman" w:cs="Times New Roman"/>
              <w:color w:val="000000"/>
            </w:rPr>
            <w:t>[33]</w:t>
          </w:r>
        </w:sdtContent>
      </w:sdt>
      <w:r>
        <w:rPr>
          <w:rFonts w:ascii="Times New Roman" w:hAnsi="Times New Roman" w:cs="Times New Roman"/>
        </w:rPr>
        <w:t xml:space="preserve">. The CAT scale identifies dyspnea levels as low daily impact (score&lt;10), medium (score 10-20), high (score 21-30), or very high (score &gt;30) </w:t>
      </w:r>
      <w:sdt>
        <w:sdtPr>
          <w:rPr>
            <w:rFonts w:ascii="Times New Roman" w:hAnsi="Times New Roman" w:cs="Times New Roman"/>
            <w:color w:val="000000"/>
          </w:rPr>
          <w:tag w:val="MENDELEY_CITATION_v3_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"/>
          <w:id w:val="-372158353"/>
          <w:placeholder>
            <w:docPart w:val="4838C9DB7D074D418BFCBE341C0E3CA6"/>
          </w:placeholder>
        </w:sdtPr>
        <w:sdtEndPr/>
        <w:sdtContent>
          <w:r w:rsidR="00572E88" w:rsidRPr="00572E88">
            <w:rPr>
              <w:rFonts w:ascii="Times New Roman" w:hAnsi="Times New Roman" w:cs="Times New Roman"/>
              <w:color w:val="000000"/>
            </w:rPr>
            <w:t>[34]</w:t>
          </w:r>
        </w:sdtContent>
      </w:sdt>
      <w:r>
        <w:rPr>
          <w:rFonts w:ascii="Times New Roman" w:hAnsi="Times New Roman" w:cs="Times New Roman"/>
        </w:rPr>
        <w:t xml:space="preserve">. The </w:t>
      </w:r>
      <w:proofErr w:type="spellStart"/>
      <w:r>
        <w:rPr>
          <w:rFonts w:ascii="Times New Roman" w:hAnsi="Times New Roman" w:cs="Times New Roman"/>
        </w:rPr>
        <w:t>mMRC</w:t>
      </w:r>
      <w:proofErr w:type="spellEnd"/>
      <w:r>
        <w:rPr>
          <w:rFonts w:ascii="Times New Roman" w:hAnsi="Times New Roman" w:cs="Times New Roman"/>
        </w:rPr>
        <w:t xml:space="preserve"> dyspnea scale grades the level of dyspnea as 0, which indicates no dyspnea unless undertaking strenuous activity, to 5, which indicates dyspnea levels w</w:t>
      </w:r>
      <w:r w:rsidR="00AD1A31">
        <w:rPr>
          <w:rFonts w:ascii="Times New Roman" w:hAnsi="Times New Roman" w:cs="Times New Roman"/>
        </w:rPr>
        <w:t>hen</w:t>
      </w:r>
      <w:r>
        <w:rPr>
          <w:rFonts w:ascii="Times New Roman" w:hAnsi="Times New Roman" w:cs="Times New Roman"/>
        </w:rPr>
        <w:t xml:space="preserve"> completing daily tasks like dressing </w:t>
      </w:r>
      <w:sdt>
        <w:sdtPr>
          <w:rPr>
            <w:rFonts w:ascii="Times New Roman" w:hAnsi="Times New Roman" w:cs="Times New Roman"/>
            <w:color w:val="000000"/>
          </w:rPr>
          <w:tag w:val="MENDELEY_CITATION_v3_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"/>
          <w:id w:val="1916900352"/>
          <w:placeholder>
            <w:docPart w:val="4838C9DB7D074D418BFCBE341C0E3CA6"/>
          </w:placeholder>
        </w:sdtPr>
        <w:sdtEndPr/>
        <w:sdtContent>
          <w:r w:rsidR="00572E88" w:rsidRPr="00572E88">
            <w:rPr>
              <w:rFonts w:ascii="Times New Roman" w:hAnsi="Times New Roman" w:cs="Times New Roman"/>
              <w:color w:val="000000"/>
            </w:rPr>
            <w:t>[35]</w:t>
          </w:r>
        </w:sdtContent>
      </w:sdt>
      <w:r>
        <w:rPr>
          <w:rFonts w:ascii="Times New Roman" w:hAnsi="Times New Roman" w:cs="Times New Roman"/>
        </w:rPr>
        <w:t xml:space="preserve">. In 2024, the GOLD report proposed including the frequency and severity of exacerbations as part of the grading for COPD severity, but this proposal is still under evaluation </w:t>
      </w:r>
      <w:sdt>
        <w:sdtPr>
          <w:rPr>
            <w:rFonts w:ascii="Times New Roman" w:hAnsi="Times New Roman" w:cs="Times New Roman"/>
            <w:color w:val="000000"/>
          </w:rPr>
          <w:tag w:val="MENDELEY_CITATION_v3_eyJjaXRhdGlvbklEIjoiTUVOREVMRVlfQ0lUQVRJT05fZTZhMzUwOTItYWJlMi00MGQ3LTgxNmQtMzVkNDU1Y2ViNjU5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
          <w:id w:val="1156802784"/>
          <w:placeholder>
            <w:docPart w:val="4838C9DB7D074D418BFCBE341C0E3CA6"/>
          </w:placeholder>
        </w:sdtPr>
        <w:sdtEndPr/>
        <w:sdtContent>
          <w:r w:rsidR="00572E88" w:rsidRPr="00572E88">
            <w:rPr>
              <w:rFonts w:ascii="Times New Roman" w:hAnsi="Times New Roman" w:cs="Times New Roman"/>
              <w:color w:val="000000"/>
            </w:rPr>
            <w:t>[24]</w:t>
          </w:r>
        </w:sdtContent>
      </w:sdt>
      <w:r>
        <w:rPr>
          <w:rFonts w:ascii="Times New Roman" w:hAnsi="Times New Roman" w:cs="Times New Roman"/>
        </w:rPr>
        <w:t>.</w:t>
      </w:r>
    </w:p>
    <w:p w14:paraId="2E1A487F" w14:textId="77777777" w:rsidR="00D47413" w:rsidRPr="00EE3FF3" w:rsidRDefault="00D47413" w:rsidP="00155738">
      <w:pPr>
        <w:pStyle w:val="Heading5"/>
        <w:spacing w:before="0" w:after="0" w:line="480" w:lineRule="auto"/>
      </w:pPr>
      <w:bookmarkStart w:id="17" w:name="_Toc200096942"/>
      <w:r>
        <w:lastRenderedPageBreak/>
        <w:t>Treatment</w:t>
      </w:r>
      <w:bookmarkEnd w:id="17"/>
    </w:p>
    <w:p w14:paraId="56BFA116" w14:textId="62105C1C" w:rsidR="00573378" w:rsidRDefault="00573378" w:rsidP="00155738">
      <w:pPr>
        <w:spacing w:after="0" w:line="480" w:lineRule="auto"/>
        <w:ind w:firstLine="720"/>
        <w:rPr>
          <w:rFonts w:ascii="Times New Roman" w:hAnsi="Times New Roman" w:cs="Times New Roman"/>
        </w:rPr>
      </w:pPr>
      <w:r>
        <w:rPr>
          <w:rFonts w:ascii="Times New Roman" w:hAnsi="Times New Roman" w:cs="Times New Roman"/>
        </w:rPr>
        <w:t xml:space="preserve">The treatment goals for COPD are to improve symptoms, prevent progression, improve general health status, and reduce the risk of death </w:t>
      </w:r>
      <w:sdt>
        <w:sdtPr>
          <w:rPr>
            <w:rFonts w:ascii="Times New Roman" w:hAnsi="Times New Roman" w:cs="Times New Roman"/>
            <w:color w:val="000000"/>
          </w:rPr>
          <w:tag w:val="MENDELEY_CITATION_v3_eyJjaXRhdGlvbklEIjoiTUVOREVMRVlfQ0lUQVRJT05fMjhjYWRjMWMtYzhlOC00YzBiLWE3NDMtMzU5OWJlNmMzYTBk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
          <w:id w:val="-387807909"/>
          <w:placeholder>
            <w:docPart w:val="262B8AA6F0A34140B93310913159A08F"/>
          </w:placeholder>
        </w:sdtPr>
        <w:sdtEndPr/>
        <w:sdtContent>
          <w:r w:rsidR="00572E88" w:rsidRPr="00572E88">
            <w:rPr>
              <w:rFonts w:ascii="Times New Roman" w:hAnsi="Times New Roman" w:cs="Times New Roman"/>
              <w:color w:val="000000"/>
            </w:rPr>
            <w:t>[6]</w:t>
          </w:r>
        </w:sdtContent>
      </w:sdt>
      <w:r>
        <w:rPr>
          <w:rFonts w:ascii="Times New Roman" w:hAnsi="Times New Roman" w:cs="Times New Roman"/>
        </w:rPr>
        <w:t xml:space="preserve">. Thus, treatment plans may involve broader strategies for treating comorbidities and improving general health </w:t>
      </w:r>
      <w:sdt>
        <w:sdtPr>
          <w:rPr>
            <w:rFonts w:ascii="Times New Roman" w:hAnsi="Times New Roman" w:cs="Times New Roman"/>
            <w:color w:val="000000"/>
          </w:rPr>
          <w:tag w:val="MENDELEY_CITATION_v3_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"/>
          <w:id w:val="-596165973"/>
          <w:placeholder>
            <w:docPart w:val="C1A0BC2249A145FBBB6A62165E64BB0B"/>
          </w:placeholder>
        </w:sdtPr>
        <w:sdtEndPr/>
        <w:sdtContent>
          <w:r w:rsidR="00572E88" w:rsidRPr="00572E88">
            <w:rPr>
              <w:rFonts w:ascii="Times New Roman" w:hAnsi="Times New Roman" w:cs="Times New Roman"/>
              <w:color w:val="000000"/>
            </w:rPr>
            <w:t>[25,29]</w:t>
          </w:r>
        </w:sdtContent>
      </w:sdt>
      <w:r>
        <w:rPr>
          <w:rFonts w:ascii="Times New Roman" w:hAnsi="Times New Roman" w:cs="Times New Roman"/>
        </w:rPr>
        <w:t xml:space="preserve">. These strategies may include immunizations to prevent respiratory infections, physical activity to improve general health, or other pharmacological interventions for managing specific comorbid conditions </w:t>
      </w:r>
      <w:sdt>
        <w:sdtPr>
          <w:rPr>
            <w:rFonts w:ascii="Times New Roman" w:hAnsi="Times New Roman" w:cs="Times New Roman"/>
            <w:color w:val="000000"/>
          </w:rPr>
          <w:tag w:val="MENDELEY_CITATION_v3_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"/>
          <w:id w:val="1820463670"/>
          <w:placeholder>
            <w:docPart w:val="C1A0BC2249A145FBBB6A62165E64BB0B"/>
          </w:placeholder>
        </w:sdtPr>
        <w:sdtEndPr/>
        <w:sdtContent>
          <w:r w:rsidR="00572E88" w:rsidRPr="00572E88">
            <w:rPr>
              <w:rFonts w:ascii="Times New Roman" w:hAnsi="Times New Roman" w:cs="Times New Roman"/>
              <w:color w:val="000000"/>
            </w:rPr>
            <w:t>[25]</w:t>
          </w:r>
        </w:sdtContent>
      </w:sdt>
      <w:r>
        <w:rPr>
          <w:rFonts w:ascii="Times New Roman" w:hAnsi="Times New Roman" w:cs="Times New Roman"/>
        </w:rPr>
        <w:t xml:space="preserve">. Treatments specific to COPD are recommended based on dyspnea level and exacerbations </w:t>
      </w:r>
      <w:sdt>
        <w:sdtPr>
          <w:rPr>
            <w:rFonts w:ascii="Times New Roman" w:hAnsi="Times New Roman" w:cs="Times New Roman"/>
            <w:color w:val="000000"/>
          </w:rPr>
          <w:tag w:val="MENDELEY_CITATION_v3_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
          <w:id w:val="1685163034"/>
          <w:placeholder>
            <w:docPart w:val="2440911FCF4341849AFB6324093855EB"/>
          </w:placeholder>
        </w:sdtPr>
        <w:sdtEndPr/>
        <w:sdtContent>
          <w:r w:rsidR="00572E88" w:rsidRPr="00572E88">
            <w:rPr>
              <w:rFonts w:ascii="Times New Roman" w:hAnsi="Times New Roman" w:cs="Times New Roman"/>
              <w:color w:val="000000"/>
            </w:rPr>
            <w:t>[24,25]</w:t>
          </w:r>
        </w:sdtContent>
      </w:sdt>
      <w:r>
        <w:rPr>
          <w:rFonts w:ascii="Times New Roman" w:hAnsi="Times New Roman" w:cs="Times New Roman"/>
        </w:rPr>
        <w:t xml:space="preserve">. </w:t>
      </w:r>
    </w:p>
    <w:p w14:paraId="1093BE1C" w14:textId="11FAFF7E" w:rsidR="00573378" w:rsidRDefault="00573378" w:rsidP="00155738">
      <w:pPr>
        <w:spacing w:after="0" w:line="480" w:lineRule="auto"/>
        <w:ind w:firstLine="720"/>
        <w:rPr>
          <w:rFonts w:ascii="Times New Roman" w:hAnsi="Times New Roman" w:cs="Times New Roman"/>
        </w:rPr>
      </w:pPr>
      <w:r>
        <w:rPr>
          <w:rFonts w:ascii="Times New Roman" w:hAnsi="Times New Roman" w:cs="Times New Roman"/>
        </w:rPr>
        <w:t>For patients who experience ≤1 symptom exacerbation per year that did not require hospitalization, a bronchodilator is recommended for those with low levels of dyspnea. However, both l</w:t>
      </w:r>
      <w:r w:rsidRPr="005D5E64">
        <w:rPr>
          <w:rFonts w:ascii="Times New Roman" w:hAnsi="Times New Roman" w:cs="Times New Roman"/>
        </w:rPr>
        <w:t>ong-acting beta-agonists </w:t>
      </w:r>
      <w:r>
        <w:rPr>
          <w:rFonts w:ascii="Times New Roman" w:hAnsi="Times New Roman" w:cs="Times New Roman"/>
        </w:rPr>
        <w:t>(LABA) and l</w:t>
      </w:r>
      <w:r w:rsidRPr="005D5E64">
        <w:rPr>
          <w:rFonts w:ascii="Times New Roman" w:hAnsi="Times New Roman" w:cs="Times New Roman"/>
        </w:rPr>
        <w:t>ong-acting muscarinic antagonists</w:t>
      </w:r>
      <w:r>
        <w:rPr>
          <w:rFonts w:ascii="Times New Roman" w:hAnsi="Times New Roman" w:cs="Times New Roman"/>
        </w:rPr>
        <w:t xml:space="preserve"> (LAMA) are recommended for higher levels of dyspnea </w:t>
      </w:r>
      <w:sdt>
        <w:sdtPr>
          <w:rPr>
            <w:rFonts w:ascii="Times New Roman" w:hAnsi="Times New Roman" w:cs="Times New Roman"/>
            <w:color w:val="000000"/>
          </w:rPr>
          <w:tag w:val="MENDELEY_CITATION_v3_eyJjaXRhdGlvbklEIjoiTUVOREVMRVlfQ0lUQVRJT05fNDkxMzk5ZjAtNTIxMy00ZjQyLWI1OTAtNTQ0NzRiZGNjMzQ5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
          <w:id w:val="838282978"/>
          <w:placeholder>
            <w:docPart w:val="2440911FCF4341849AFB6324093855EB"/>
          </w:placeholder>
        </w:sdtPr>
        <w:sdtEndPr/>
        <w:sdtContent>
          <w:r w:rsidR="00572E88" w:rsidRPr="00572E88">
            <w:rPr>
              <w:rFonts w:ascii="Times New Roman" w:hAnsi="Times New Roman" w:cs="Times New Roman"/>
              <w:color w:val="000000"/>
            </w:rPr>
            <w:t>[24]</w:t>
          </w:r>
        </w:sdtContent>
      </w:sdt>
      <w:r>
        <w:rPr>
          <w:rFonts w:ascii="Times New Roman" w:hAnsi="Times New Roman" w:cs="Times New Roman"/>
        </w:rPr>
        <w:t xml:space="preserve">. The combination of LAMA and LABA treatment is also recommended for patients who experience ≥2 symptom exacerbations per year or patients who are hospitalized from an exacerbation </w:t>
      </w:r>
      <w:sdt>
        <w:sdtPr>
          <w:rPr>
            <w:rFonts w:ascii="Times New Roman" w:hAnsi="Times New Roman" w:cs="Times New Roman"/>
            <w:color w:val="000000"/>
          </w:rPr>
          <w:tag w:val="MENDELEY_CITATION_v3_eyJjaXRhdGlvbklEIjoiTUVOREVMRVlfQ0lUQVRJT05fZjA0NDQ4YzgtODQ0MS00YmJjLTk1YjUtNzdmNjBkMjNlOWVl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
          <w:id w:val="-475376411"/>
          <w:placeholder>
            <w:docPart w:val="2440911FCF4341849AFB6324093855EB"/>
          </w:placeholder>
        </w:sdtPr>
        <w:sdtEndPr/>
        <w:sdtContent>
          <w:r w:rsidR="00572E88" w:rsidRPr="00572E88">
            <w:rPr>
              <w:rFonts w:ascii="Times New Roman" w:hAnsi="Times New Roman" w:cs="Times New Roman"/>
              <w:color w:val="000000"/>
            </w:rPr>
            <w:t>[24]</w:t>
          </w:r>
        </w:sdtContent>
      </w:sdt>
      <w:r>
        <w:rPr>
          <w:rFonts w:ascii="Times New Roman" w:hAnsi="Times New Roman" w:cs="Times New Roman"/>
        </w:rPr>
        <w:t xml:space="preserve">. Additionally, triple combination treatment of LAMA, LABA, and an inhaled corticosteroid (ICS) is recommended for patients with increased levels of eosinophils </w:t>
      </w:r>
      <w:sdt>
        <w:sdtPr>
          <w:rPr>
            <w:rFonts w:ascii="Times New Roman" w:hAnsi="Times New Roman" w:cs="Times New Roman"/>
            <w:color w:val="000000"/>
          </w:rPr>
          <w:tag w:val="MENDELEY_CITATION_v3_eyJjaXRhdGlvbklEIjoiTUVOREVMRVlfQ0lUQVRJT05fNjY5YzExNzctY2ViMy00YTk5LWE0MWQtMGU5YTRiZTVlNGZl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
          <w:id w:val="908350416"/>
          <w:placeholder>
            <w:docPart w:val="2440911FCF4341849AFB6324093855EB"/>
          </w:placeholder>
        </w:sdtPr>
        <w:sdtEndPr/>
        <w:sdtContent>
          <w:r w:rsidR="00572E88" w:rsidRPr="00572E88">
            <w:rPr>
              <w:rFonts w:ascii="Times New Roman" w:hAnsi="Times New Roman" w:cs="Times New Roman"/>
              <w:color w:val="000000"/>
            </w:rPr>
            <w:t>[24]</w:t>
          </w:r>
        </w:sdtContent>
      </w:sdt>
      <w:r>
        <w:rPr>
          <w:rFonts w:ascii="Times New Roman" w:hAnsi="Times New Roman" w:cs="Times New Roman"/>
        </w:rPr>
        <w:t xml:space="preserve">. For patients with persistent exacerbations even after the triple combination treatment of LAMA, LABAM, &amp; ICS, macrolide or roflumilast are other treatment options. Macrolide and roflumilast are also possible treatment options for those with low eosinophil counts </w:t>
      </w:r>
      <w:sdt>
        <w:sdtPr>
          <w:rPr>
            <w:rFonts w:ascii="Times New Roman" w:hAnsi="Times New Roman" w:cs="Times New Roman"/>
            <w:color w:val="000000"/>
          </w:rPr>
          <w:tag w:val="MENDELEY_CITATION_v3_eyJjaXRhdGlvbklEIjoiTUVOREVMRVlfQ0lUQVRJT05fNWIzZTY0MzktODJkOS00ODBiLWFjZGEtZGUwMTcwODEyMDUy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
          <w:id w:val="23063136"/>
          <w:placeholder>
            <w:docPart w:val="C1A0BC2249A145FBBB6A62165E64BB0B"/>
          </w:placeholder>
        </w:sdtPr>
        <w:sdtEndPr/>
        <w:sdtContent>
          <w:r w:rsidR="00572E88" w:rsidRPr="00572E88">
            <w:rPr>
              <w:rFonts w:ascii="Times New Roman" w:hAnsi="Times New Roman" w:cs="Times New Roman"/>
              <w:color w:val="000000"/>
            </w:rPr>
            <w:t>[24]</w:t>
          </w:r>
        </w:sdtContent>
      </w:sdt>
      <w:r>
        <w:rPr>
          <w:rFonts w:ascii="Times New Roman" w:hAnsi="Times New Roman" w:cs="Times New Roman"/>
        </w:rPr>
        <w:t>. The roflumilast is suggested when FEV</w:t>
      </w:r>
      <w:r>
        <w:rPr>
          <w:rFonts w:ascii="Times New Roman" w:hAnsi="Times New Roman" w:cs="Times New Roman"/>
          <w:vertAlign w:val="subscript"/>
        </w:rPr>
        <w:t>1</w:t>
      </w:r>
      <w:r>
        <w:rPr>
          <w:rFonts w:ascii="Times New Roman" w:hAnsi="Times New Roman" w:cs="Times New Roman"/>
        </w:rPr>
        <w:t xml:space="preserve"> &lt;50% of predicted while the macrolide is most effective in non-smokers </w:t>
      </w:r>
      <w:sdt>
        <w:sdtPr>
          <w:rPr>
            <w:rFonts w:ascii="Times New Roman" w:hAnsi="Times New Roman" w:cs="Times New Roman"/>
            <w:color w:val="000000"/>
          </w:rPr>
          <w:tag w:val="MENDELEY_CITATION_v3_eyJjaXRhdGlvbklEIjoiTUVOREVMRVlfQ0lUQVRJT05fMDI1MDIzZmEtZDhiYy00YzE0LWE1YmItNzU4ODZjMGE4NWJi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
          <w:id w:val="-1625698212"/>
          <w:placeholder>
            <w:docPart w:val="2440911FCF4341849AFB6324093855EB"/>
          </w:placeholder>
        </w:sdtPr>
        <w:sdtEndPr/>
        <w:sdtContent>
          <w:r w:rsidR="00572E88" w:rsidRPr="00572E88">
            <w:rPr>
              <w:rFonts w:ascii="Times New Roman" w:hAnsi="Times New Roman" w:cs="Times New Roman"/>
              <w:color w:val="000000"/>
            </w:rPr>
            <w:t>[24]</w:t>
          </w:r>
        </w:sdtContent>
      </w:sdt>
      <w:r>
        <w:rPr>
          <w:rFonts w:ascii="Times New Roman" w:hAnsi="Times New Roman" w:cs="Times New Roman"/>
        </w:rPr>
        <w:t xml:space="preserve">. As the disease progresses towards end-of-life care, additional support for oxygenation may be required through oxygen therapy or non-invasive ventilation support </w:t>
      </w:r>
      <w:sdt>
        <w:sdtPr>
          <w:rPr>
            <w:rFonts w:ascii="Times New Roman" w:hAnsi="Times New Roman" w:cs="Times New Roman"/>
            <w:color w:val="000000"/>
          </w:rPr>
          <w:tag w:val="MENDELEY_CITATION_v3_eyJjaXRhdGlvbklEIjoiTUVOREVMRVlfQ0lUQVRJT05fY2RiZjFlZDgtZDllMC00Y2ZiLWI2NWQtOTVmMjdhMTM4ZWJm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
          <w:id w:val="-1084674483"/>
          <w:placeholder>
            <w:docPart w:val="2440911FCF4341849AFB6324093855EB"/>
          </w:placeholder>
        </w:sdtPr>
        <w:sdtEndPr/>
        <w:sdtContent>
          <w:r w:rsidR="00572E88" w:rsidRPr="00572E88">
            <w:rPr>
              <w:rFonts w:ascii="Times New Roman" w:hAnsi="Times New Roman" w:cs="Times New Roman"/>
              <w:color w:val="000000"/>
            </w:rPr>
            <w:t>[24]</w:t>
          </w:r>
        </w:sdtContent>
      </w:sdt>
      <w:r>
        <w:rPr>
          <w:rFonts w:ascii="Times New Roman" w:hAnsi="Times New Roman" w:cs="Times New Roman"/>
        </w:rPr>
        <w:t xml:space="preserve">. </w:t>
      </w:r>
    </w:p>
    <w:p w14:paraId="3754024C" w14:textId="77777777" w:rsidR="00D47413" w:rsidRPr="00CF47F9" w:rsidRDefault="00D47413" w:rsidP="00155738">
      <w:pPr>
        <w:pStyle w:val="Heading4"/>
        <w:spacing w:before="0" w:after="0" w:line="480" w:lineRule="auto"/>
        <w:rPr>
          <w:szCs w:val="28"/>
        </w:rPr>
      </w:pPr>
      <w:bookmarkStart w:id="18" w:name="_Toc200096943"/>
      <w:r w:rsidRPr="00CF47F9">
        <w:rPr>
          <w:szCs w:val="28"/>
        </w:rPr>
        <w:lastRenderedPageBreak/>
        <w:t>Burden of Disease</w:t>
      </w:r>
      <w:bookmarkEnd w:id="18"/>
    </w:p>
    <w:p w14:paraId="2CE8E3B5" w14:textId="77777777" w:rsidR="00D47413" w:rsidRDefault="00D47413" w:rsidP="00155738">
      <w:pPr>
        <w:pStyle w:val="Heading5"/>
        <w:spacing w:before="0" w:after="0" w:line="480" w:lineRule="auto"/>
      </w:pPr>
      <w:bookmarkStart w:id="19" w:name="_Toc200096944"/>
      <w:r>
        <w:t>Prevalence of COPD</w:t>
      </w:r>
      <w:bookmarkEnd w:id="19"/>
    </w:p>
    <w:p w14:paraId="669A5B2F" w14:textId="7BC73430" w:rsidR="00573378" w:rsidRDefault="00573378" w:rsidP="00155738">
      <w:pPr>
        <w:spacing w:after="0" w:line="480" w:lineRule="auto"/>
        <w:ind w:firstLine="720"/>
        <w:rPr>
          <w:rFonts w:ascii="Times New Roman" w:hAnsi="Times New Roman" w:cs="Times New Roman"/>
          <w:color w:val="000000"/>
        </w:rPr>
      </w:pPr>
      <w:r w:rsidRPr="004C337A">
        <w:rPr>
          <w:rFonts w:ascii="Times New Roman" w:hAnsi="Times New Roman" w:cs="Times New Roman"/>
        </w:rPr>
        <w:t xml:space="preserve">The global prevalence of COPD is difficult to estimate due to differences in disease definitions and diagnostic criteria </w:t>
      </w:r>
      <w:sdt>
        <w:sdtPr>
          <w:rPr>
            <w:rFonts w:ascii="Times New Roman" w:hAnsi="Times New Roman" w:cs="Times New Roman"/>
            <w:color w:val="000000"/>
          </w:rPr>
          <w:tag w:val="MENDELEY_CITATION_v3_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"/>
          <w:id w:val="-525398627"/>
          <w:placeholder>
            <w:docPart w:val="9D85636738AB4A488387CAE5BA0D187E"/>
          </w:placeholder>
        </w:sdtPr>
        <w:sdtEndPr/>
        <w:sdtContent>
          <w:r w:rsidR="00572E88" w:rsidRPr="00572E88">
            <w:rPr>
              <w:rFonts w:ascii="Times New Roman" w:hAnsi="Times New Roman" w:cs="Times New Roman"/>
              <w:color w:val="000000"/>
            </w:rPr>
            <w:t>[36]</w:t>
          </w:r>
        </w:sdtContent>
      </w:sdt>
      <w:r w:rsidRPr="004C337A">
        <w:rPr>
          <w:rFonts w:ascii="Times New Roman" w:hAnsi="Times New Roman" w:cs="Times New Roman"/>
          <w:color w:val="000000"/>
        </w:rPr>
        <w:t>. The most recent estimate of global age-standardized COPD prevalence is 2,512.</w:t>
      </w:r>
      <w:r>
        <w:rPr>
          <w:rFonts w:ascii="Times New Roman" w:hAnsi="Times New Roman" w:cs="Times New Roman"/>
          <w:color w:val="000000"/>
        </w:rPr>
        <w:t>9</w:t>
      </w:r>
      <w:r w:rsidRPr="004C337A">
        <w:rPr>
          <w:rFonts w:ascii="Times New Roman" w:hAnsi="Times New Roman" w:cs="Times New Roman"/>
          <w:color w:val="000000"/>
        </w:rPr>
        <w:t xml:space="preserve"> cases per 100,000 </w:t>
      </w:r>
      <w:r>
        <w:rPr>
          <w:rFonts w:ascii="Times New Roman" w:hAnsi="Times New Roman" w:cs="Times New Roman"/>
          <w:color w:val="000000"/>
        </w:rPr>
        <w:t>person</w:t>
      </w:r>
      <w:r w:rsidRPr="004C337A">
        <w:rPr>
          <w:rFonts w:ascii="Times New Roman" w:hAnsi="Times New Roman" w:cs="Times New Roman"/>
          <w:color w:val="000000"/>
        </w:rPr>
        <w:t>s</w:t>
      </w:r>
      <w:r>
        <w:rPr>
          <w:rFonts w:ascii="Times New Roman" w:hAnsi="Times New Roman" w:cs="Times New Roman"/>
          <w:color w:val="000000"/>
        </w:rPr>
        <w:t xml:space="preserve"> in 2021</w:t>
      </w:r>
      <w:r w:rsidRPr="004C337A">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"/>
          <w:id w:val="631984291"/>
          <w:placeholder>
            <w:docPart w:val="9D85636738AB4A488387CAE5BA0D187E"/>
          </w:placeholder>
        </w:sdtPr>
        <w:sdtEndPr/>
        <w:sdtContent>
          <w:r w:rsidR="00572E88" w:rsidRPr="00572E88">
            <w:rPr>
              <w:rFonts w:ascii="Times New Roman" w:hAnsi="Times New Roman" w:cs="Times New Roman"/>
              <w:color w:val="000000"/>
            </w:rPr>
            <w:t>[37]</w:t>
          </w:r>
        </w:sdtContent>
      </w:sdt>
      <w:r>
        <w:rPr>
          <w:rFonts w:ascii="Times New Roman" w:hAnsi="Times New Roman" w:cs="Times New Roman"/>
          <w:color w:val="000000"/>
        </w:rPr>
        <w:t xml:space="preserve">. Overall, the regions with the highest prevalence estimates of COPD were North America and South Asia with prevalence estimates of 3,298.9 and 3,019.1 per 100,000 persons, respectively </w:t>
      </w:r>
      <w:sdt>
        <w:sdtPr>
          <w:rPr>
            <w:rFonts w:ascii="Times New Roman" w:hAnsi="Times New Roman" w:cs="Times New Roman"/>
            <w:color w:val="000000"/>
          </w:rPr>
          <w:tag w:val="MENDELEY_CITATION_v3_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"/>
          <w:id w:val="637839278"/>
          <w:placeholder>
            <w:docPart w:val="9D85636738AB4A488387CAE5BA0D187E"/>
          </w:placeholder>
        </w:sdtPr>
        <w:sdtEndPr/>
        <w:sdtContent>
          <w:r w:rsidR="00572E88" w:rsidRPr="00572E88">
            <w:rPr>
              <w:rFonts w:ascii="Times New Roman" w:hAnsi="Times New Roman" w:cs="Times New Roman"/>
              <w:color w:val="000000"/>
            </w:rPr>
            <w:t>[37]</w:t>
          </w:r>
        </w:sdtContent>
      </w:sdt>
      <w:r>
        <w:rPr>
          <w:rFonts w:ascii="Times New Roman" w:hAnsi="Times New Roman" w:cs="Times New Roman"/>
          <w:color w:val="000000"/>
        </w:rPr>
        <w:t>. Males and females had similar prevalence estimates at 44,027.7 per 100,000 and 41,728.0 per 100,000 persons</w:t>
      </w:r>
      <w:r w:rsidR="003D452F">
        <w:rPr>
          <w:rFonts w:ascii="Times New Roman" w:hAnsi="Times New Roman" w:cs="Times New Roman"/>
          <w:color w:val="000000"/>
        </w:rPr>
        <w:t xml:space="preserve">, which Wang et al suggest could </w:t>
      </w:r>
      <w:r w:rsidR="004606E3">
        <w:rPr>
          <w:rFonts w:ascii="Times New Roman" w:hAnsi="Times New Roman" w:cs="Times New Roman"/>
          <w:color w:val="000000"/>
        </w:rPr>
        <w:t>reflect changes in</w:t>
      </w:r>
      <w:r w:rsidR="003D452F">
        <w:rPr>
          <w:rFonts w:ascii="Times New Roman" w:hAnsi="Times New Roman" w:cs="Times New Roman"/>
          <w:color w:val="000000"/>
        </w:rPr>
        <w:t xml:space="preserve"> global smoking trends particularly in women</w:t>
      </w:r>
      <w:r>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"/>
          <w:id w:val="1130515592"/>
          <w:placeholder>
            <w:docPart w:val="9D85636738AB4A488387CAE5BA0D187E"/>
          </w:placeholder>
        </w:sdtPr>
        <w:sdtEndPr/>
        <w:sdtContent>
          <w:r w:rsidR="00572E88" w:rsidRPr="00572E88">
            <w:rPr>
              <w:rFonts w:ascii="Times New Roman" w:hAnsi="Times New Roman" w:cs="Times New Roman"/>
              <w:color w:val="000000"/>
            </w:rPr>
            <w:t>[37]</w:t>
          </w:r>
        </w:sdtContent>
      </w:sdt>
      <w:r>
        <w:rPr>
          <w:rFonts w:ascii="Times New Roman" w:hAnsi="Times New Roman" w:cs="Times New Roman"/>
          <w:color w:val="000000"/>
        </w:rPr>
        <w:t>. A separate analysis</w:t>
      </w:r>
      <w:r w:rsidRPr="005A0097">
        <w:t xml:space="preserve"> </w:t>
      </w:r>
      <w:r w:rsidRPr="005A0097">
        <w:rPr>
          <w:rFonts w:ascii="Times New Roman" w:hAnsi="Times New Roman" w:cs="Times New Roman"/>
          <w:color w:val="000000"/>
        </w:rPr>
        <w:t>in adults 30-79 years old</w:t>
      </w:r>
      <w:r>
        <w:rPr>
          <w:rFonts w:ascii="Times New Roman" w:hAnsi="Times New Roman" w:cs="Times New Roman"/>
          <w:color w:val="000000"/>
        </w:rPr>
        <w:t xml:space="preserve"> reported the global prevalence as 10.3% using the GOLD criterion and 7.8% using the LLN standard in 2019 </w:t>
      </w:r>
      <w:sdt>
        <w:sdtPr>
          <w:rPr>
            <w:rFonts w:ascii="Times New Roman" w:hAnsi="Times New Roman" w:cs="Times New Roman"/>
            <w:color w:val="000000"/>
          </w:rPr>
          <w:tag w:val="MENDELEY_CITATION_v3_eyJjaXRhdGlvbklEIjoiTUVOREVMRVlfQ0lUQVRJT05fMTFkMGU3ZmMtYWMyYS00MjkwLWJjYmQtNjQ1YzE2N2I5OTNi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
          <w:id w:val="1479799853"/>
          <w:placeholder>
            <w:docPart w:val="9D85636738AB4A488387CAE5BA0D187E"/>
          </w:placeholder>
        </w:sdtPr>
        <w:sdtEndPr/>
        <w:sdtContent>
          <w:r w:rsidR="00572E88" w:rsidRPr="00572E88">
            <w:rPr>
              <w:rFonts w:ascii="Times New Roman" w:hAnsi="Times New Roman" w:cs="Times New Roman"/>
              <w:color w:val="000000"/>
            </w:rPr>
            <w:t>[38]</w:t>
          </w:r>
        </w:sdtContent>
      </w:sdt>
      <w:r>
        <w:rPr>
          <w:rFonts w:ascii="Times New Roman" w:hAnsi="Times New Roman" w:cs="Times New Roman"/>
          <w:color w:val="000000"/>
        </w:rPr>
        <w:t xml:space="preserve">. This equates to approximately 391.9 million and 292.0 million active cases when defined using the GOLD criterion and LLN standard, respectively </w:t>
      </w:r>
      <w:sdt>
        <w:sdtPr>
          <w:rPr>
            <w:rFonts w:ascii="Times New Roman" w:hAnsi="Times New Roman" w:cs="Times New Roman"/>
            <w:color w:val="000000"/>
          </w:rPr>
          <w:tag w:val="MENDELEY_CITATION_v3_eyJjaXRhdGlvbklEIjoiTUVOREVMRVlfQ0lUQVRJT05fOGMwOWVkOTMtZmJhNC00NWRhLTg3NjAtZjhmMzc1Y2ZjYjU0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
          <w:id w:val="1398556867"/>
          <w:placeholder>
            <w:docPart w:val="9D85636738AB4A488387CAE5BA0D187E"/>
          </w:placeholder>
        </w:sdtPr>
        <w:sdtEndPr/>
        <w:sdtContent>
          <w:r w:rsidR="00572E88" w:rsidRPr="00572E88">
            <w:rPr>
              <w:rFonts w:ascii="Times New Roman" w:hAnsi="Times New Roman" w:cs="Times New Roman"/>
              <w:color w:val="000000"/>
            </w:rPr>
            <w:t>[38]</w:t>
          </w:r>
        </w:sdtContent>
      </w:sdt>
      <w:r>
        <w:rPr>
          <w:rFonts w:ascii="Times New Roman" w:hAnsi="Times New Roman" w:cs="Times New Roman"/>
          <w:color w:val="000000"/>
        </w:rPr>
        <w:t xml:space="preserve">. Even with the restricted age range, COPD prevalence increased with advancing age based on both the GOLD criterion and the LLN standard </w:t>
      </w:r>
      <w:sdt>
        <w:sdtPr>
          <w:rPr>
            <w:rFonts w:ascii="Times New Roman" w:hAnsi="Times New Roman" w:cs="Times New Roman"/>
            <w:color w:val="000000"/>
          </w:rPr>
          <w:tag w:val="MENDELEY_CITATION_v3_eyJjaXRhdGlvbklEIjoiTUVOREVMRVlfQ0lUQVRJT05fNjllOWUyMTEtYzA2Ni00YWZhLTg2ODYtNmRhNDBkZjhlYWM0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
          <w:id w:val="1918597723"/>
          <w:placeholder>
            <w:docPart w:val="9D85636738AB4A488387CAE5BA0D187E"/>
          </w:placeholder>
        </w:sdtPr>
        <w:sdtEndPr/>
        <w:sdtContent>
          <w:r w:rsidR="00572E88" w:rsidRPr="00572E88">
            <w:rPr>
              <w:rFonts w:ascii="Times New Roman" w:hAnsi="Times New Roman" w:cs="Times New Roman"/>
              <w:color w:val="000000"/>
            </w:rPr>
            <w:t>[38]</w:t>
          </w:r>
        </w:sdtContent>
      </w:sdt>
      <w:r>
        <w:rPr>
          <w:rFonts w:ascii="Times New Roman" w:hAnsi="Times New Roman" w:cs="Times New Roman"/>
          <w:color w:val="000000"/>
        </w:rPr>
        <w:t>. Using the GOLD criterion, the prevalence of COPD increased from 3.8% among those 30-34 years old to 27.8% among those 75-79 years old whereas the prevalence increased from 3.6% among those 30-34 years old to 17.9% among 7</w:t>
      </w:r>
      <w:r w:rsidR="008A051B">
        <w:rPr>
          <w:rFonts w:ascii="Times New Roman" w:hAnsi="Times New Roman" w:cs="Times New Roman"/>
          <w:color w:val="000000"/>
        </w:rPr>
        <w:t>5</w:t>
      </w:r>
      <w:r>
        <w:rPr>
          <w:rFonts w:ascii="Times New Roman" w:hAnsi="Times New Roman" w:cs="Times New Roman"/>
          <w:color w:val="000000"/>
        </w:rPr>
        <w:t xml:space="preserve">-79 years old using the LLN standard </w:t>
      </w:r>
      <w:sdt>
        <w:sdtPr>
          <w:rPr>
            <w:rFonts w:ascii="Times New Roman" w:hAnsi="Times New Roman" w:cs="Times New Roman"/>
            <w:color w:val="000000"/>
          </w:rPr>
          <w:tag w:val="MENDELEY_CITATION_v3_eyJjaXRhdGlvbklEIjoiTUVOREVMRVlfQ0lUQVRJT05fNzQ3ZTM2OWYtNTFjMC00NzVjLWJmMWItODUxNmUxOTcwYjlm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
          <w:id w:val="-850568584"/>
          <w:placeholder>
            <w:docPart w:val="9D85636738AB4A488387CAE5BA0D187E"/>
          </w:placeholder>
        </w:sdtPr>
        <w:sdtEndPr/>
        <w:sdtContent>
          <w:r w:rsidR="00572E88" w:rsidRPr="00572E88">
            <w:rPr>
              <w:rFonts w:ascii="Times New Roman" w:hAnsi="Times New Roman" w:cs="Times New Roman"/>
              <w:color w:val="000000"/>
            </w:rPr>
            <w:t>[38]</w:t>
          </w:r>
        </w:sdtContent>
      </w:sdt>
      <w:r>
        <w:rPr>
          <w:rFonts w:ascii="Times New Roman" w:hAnsi="Times New Roman" w:cs="Times New Roman"/>
          <w:color w:val="000000"/>
        </w:rPr>
        <w:t xml:space="preserve">. </w:t>
      </w:r>
      <w:r w:rsidR="004606E3">
        <w:rPr>
          <w:rFonts w:ascii="Times New Roman" w:hAnsi="Times New Roman" w:cs="Times New Roman"/>
          <w:color w:val="000000"/>
        </w:rPr>
        <w:t xml:space="preserve">The </w:t>
      </w:r>
      <w:r w:rsidR="008A051B">
        <w:rPr>
          <w:rFonts w:ascii="Times New Roman" w:hAnsi="Times New Roman" w:cs="Times New Roman"/>
          <w:color w:val="000000"/>
        </w:rPr>
        <w:t>difference</w:t>
      </w:r>
      <w:r w:rsidR="004606E3">
        <w:rPr>
          <w:rFonts w:ascii="Times New Roman" w:hAnsi="Times New Roman" w:cs="Times New Roman"/>
          <w:color w:val="000000"/>
        </w:rPr>
        <w:t xml:space="preserve"> in </w:t>
      </w:r>
      <w:r w:rsidR="008A051B">
        <w:rPr>
          <w:rFonts w:ascii="Times New Roman" w:hAnsi="Times New Roman" w:cs="Times New Roman"/>
          <w:color w:val="000000"/>
        </w:rPr>
        <w:t xml:space="preserve">GOLD criterion and LLN standard </w:t>
      </w:r>
      <w:r w:rsidR="004606E3">
        <w:rPr>
          <w:rFonts w:ascii="Times New Roman" w:hAnsi="Times New Roman" w:cs="Times New Roman"/>
          <w:color w:val="000000"/>
        </w:rPr>
        <w:t xml:space="preserve">prevalence estimates </w:t>
      </w:r>
      <w:r w:rsidR="008A051B">
        <w:rPr>
          <w:rFonts w:ascii="Times New Roman" w:hAnsi="Times New Roman" w:cs="Times New Roman"/>
          <w:color w:val="000000"/>
        </w:rPr>
        <w:t xml:space="preserve">for </w:t>
      </w:r>
      <w:proofErr w:type="gramStart"/>
      <w:r w:rsidR="008A051B">
        <w:rPr>
          <w:rFonts w:ascii="Times New Roman" w:hAnsi="Times New Roman" w:cs="Times New Roman"/>
          <w:color w:val="000000"/>
        </w:rPr>
        <w:t>75-79 year olds</w:t>
      </w:r>
      <w:proofErr w:type="gramEnd"/>
      <w:r w:rsidR="008A051B">
        <w:rPr>
          <w:rFonts w:ascii="Times New Roman" w:hAnsi="Times New Roman" w:cs="Times New Roman"/>
          <w:color w:val="000000"/>
        </w:rPr>
        <w:t xml:space="preserve"> possibly reflect the potential for overclassification in elderly populations by the GOLD criterion </w:t>
      </w:r>
      <w:sdt>
        <w:sdtPr>
          <w:rPr>
            <w:rFonts w:ascii="Times New Roman" w:hAnsi="Times New Roman" w:cs="Times New Roman"/>
            <w:color w:val="000000"/>
          </w:rPr>
          <w:tag w:val="MENDELEY_CITATION_v3_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"/>
          <w:id w:val="1346598016"/>
          <w:placeholder>
            <w:docPart w:val="DefaultPlaceholder_-1854013440"/>
          </w:placeholder>
        </w:sdtPr>
        <w:sdtEndPr/>
        <w:sdtContent>
          <w:r w:rsidR="00572E88" w:rsidRPr="00572E88">
            <w:rPr>
              <w:rFonts w:ascii="Times New Roman" w:hAnsi="Times New Roman" w:cs="Times New Roman"/>
              <w:color w:val="000000"/>
            </w:rPr>
            <w:t>[20]</w:t>
          </w:r>
        </w:sdtContent>
      </w:sdt>
      <w:r w:rsidR="008A051B">
        <w:rPr>
          <w:rFonts w:ascii="Times New Roman" w:hAnsi="Times New Roman" w:cs="Times New Roman"/>
          <w:color w:val="000000"/>
        </w:rPr>
        <w:t xml:space="preserve">. </w:t>
      </w:r>
      <w:r>
        <w:rPr>
          <w:rFonts w:ascii="Times New Roman" w:hAnsi="Times New Roman" w:cs="Times New Roman"/>
          <w:color w:val="000000"/>
        </w:rPr>
        <w:t xml:space="preserve">By sex, COPD prevalence was higher in males (14.1%) compared to females (6.5%) when using the GOLD criterion </w:t>
      </w:r>
      <w:sdt>
        <w:sdtPr>
          <w:rPr>
            <w:rFonts w:ascii="Times New Roman" w:hAnsi="Times New Roman" w:cs="Times New Roman"/>
            <w:color w:val="000000"/>
          </w:rPr>
          <w:tag w:val="MENDELEY_CITATION_v3_eyJjaXRhdGlvbklEIjoiTUVOREVMRVlfQ0lUQVRJT05fY2JiOWM1YzctYzllMy00NjYyLWEzMGYtYTYxNDIyOTIzMWIy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
          <w:id w:val="-883634502"/>
          <w:placeholder>
            <w:docPart w:val="9D85636738AB4A488387CAE5BA0D187E"/>
          </w:placeholder>
        </w:sdtPr>
        <w:sdtEndPr/>
        <w:sdtContent>
          <w:r w:rsidR="00572E88" w:rsidRPr="00572E88">
            <w:rPr>
              <w:rFonts w:ascii="Times New Roman" w:hAnsi="Times New Roman" w:cs="Times New Roman"/>
              <w:color w:val="000000"/>
            </w:rPr>
            <w:t>[38]</w:t>
          </w:r>
        </w:sdtContent>
      </w:sdt>
      <w:r>
        <w:rPr>
          <w:rFonts w:ascii="Times New Roman" w:hAnsi="Times New Roman" w:cs="Times New Roman"/>
          <w:color w:val="000000"/>
        </w:rPr>
        <w:t xml:space="preserve">. However, the LLN standard produced similar prevalence estimates between the sexes with prevalence estimates of 7.8% among males and 7.5% among females </w:t>
      </w:r>
      <w:sdt>
        <w:sdtPr>
          <w:rPr>
            <w:rFonts w:ascii="Times New Roman" w:hAnsi="Times New Roman" w:cs="Times New Roman"/>
            <w:color w:val="000000"/>
          </w:rPr>
          <w:tag w:val="MENDELEY_CITATION_v3_eyJjaXRhdGlvbklEIjoiTUVOREVMRVlfQ0lUQVRJT05fYjhmNmY0MDgtMzI0OS00YmE2LTliMWUtMjgxMzYxNDE5MjUw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
          <w:id w:val="-1527399530"/>
          <w:placeholder>
            <w:docPart w:val="9D85636738AB4A488387CAE5BA0D187E"/>
          </w:placeholder>
        </w:sdtPr>
        <w:sdtEndPr/>
        <w:sdtContent>
          <w:r w:rsidR="00572E88" w:rsidRPr="00572E88">
            <w:rPr>
              <w:rFonts w:ascii="Times New Roman" w:hAnsi="Times New Roman" w:cs="Times New Roman"/>
              <w:color w:val="000000"/>
            </w:rPr>
            <w:t>[38]</w:t>
          </w:r>
        </w:sdtContent>
      </w:sdt>
      <w:r>
        <w:rPr>
          <w:rFonts w:ascii="Times New Roman" w:hAnsi="Times New Roman" w:cs="Times New Roman"/>
          <w:color w:val="000000"/>
        </w:rPr>
        <w:t xml:space="preserve">. </w:t>
      </w:r>
      <w:proofErr w:type="spellStart"/>
      <w:r w:rsidR="00D92913">
        <w:rPr>
          <w:rFonts w:ascii="Times New Roman" w:hAnsi="Times New Roman" w:cs="Times New Roman"/>
          <w:color w:val="000000"/>
        </w:rPr>
        <w:t>Adeloye</w:t>
      </w:r>
      <w:proofErr w:type="spellEnd"/>
      <w:r w:rsidR="00D92913">
        <w:rPr>
          <w:rFonts w:ascii="Times New Roman" w:hAnsi="Times New Roman" w:cs="Times New Roman"/>
          <w:color w:val="000000"/>
        </w:rPr>
        <w:t xml:space="preserve"> et al suggests that smoking and occupational exposure to respiratory irritants may explain the </w:t>
      </w:r>
      <w:r w:rsidR="00D92913">
        <w:rPr>
          <w:rFonts w:ascii="Times New Roman" w:hAnsi="Times New Roman" w:cs="Times New Roman"/>
          <w:color w:val="000000"/>
        </w:rPr>
        <w:lastRenderedPageBreak/>
        <w:t>higher prevalence estimate in males compared to females using the GOLD criterion</w:t>
      </w:r>
      <w:r w:rsidR="00DD201C">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MjQwYWRhZjYtNjQ4MC00M2VkLTllYzAtNjQ4MWI4NDg4MDI5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
          <w:id w:val="-740565851"/>
          <w:placeholder>
            <w:docPart w:val="DefaultPlaceholder_-1854013440"/>
          </w:placeholder>
        </w:sdtPr>
        <w:sdtEndPr/>
        <w:sdtContent>
          <w:r w:rsidR="00572E88" w:rsidRPr="00572E88">
            <w:rPr>
              <w:rFonts w:ascii="Times New Roman" w:hAnsi="Times New Roman" w:cs="Times New Roman"/>
              <w:color w:val="000000"/>
            </w:rPr>
            <w:t>[38]</w:t>
          </w:r>
        </w:sdtContent>
      </w:sdt>
      <w:r w:rsidR="00D92913">
        <w:rPr>
          <w:rFonts w:ascii="Times New Roman" w:hAnsi="Times New Roman" w:cs="Times New Roman"/>
          <w:color w:val="000000"/>
        </w:rPr>
        <w:t xml:space="preserve">. </w:t>
      </w:r>
      <w:r>
        <w:rPr>
          <w:rFonts w:ascii="Times New Roman" w:hAnsi="Times New Roman" w:cs="Times New Roman"/>
          <w:color w:val="000000"/>
        </w:rPr>
        <w:t>Globally, the prevalence estimates are higher in high</w:t>
      </w:r>
      <w:r w:rsidR="004B4A40">
        <w:rPr>
          <w:rFonts w:ascii="Times New Roman" w:hAnsi="Times New Roman" w:cs="Times New Roman"/>
          <w:color w:val="000000"/>
        </w:rPr>
        <w:t>-</w:t>
      </w:r>
      <w:r>
        <w:rPr>
          <w:rFonts w:ascii="Times New Roman" w:hAnsi="Times New Roman" w:cs="Times New Roman"/>
          <w:color w:val="000000"/>
        </w:rPr>
        <w:t xml:space="preserve">income countries compared to </w:t>
      </w:r>
      <w:r w:rsidR="004B4A40">
        <w:rPr>
          <w:rFonts w:ascii="Times New Roman" w:hAnsi="Times New Roman" w:cs="Times New Roman"/>
          <w:color w:val="000000"/>
        </w:rPr>
        <w:t>low-income</w:t>
      </w:r>
      <w:r>
        <w:rPr>
          <w:rFonts w:ascii="Times New Roman" w:hAnsi="Times New Roman" w:cs="Times New Roman"/>
          <w:color w:val="000000"/>
        </w:rPr>
        <w:t xml:space="preserve"> countries, which </w:t>
      </w:r>
      <w:proofErr w:type="spellStart"/>
      <w:r>
        <w:rPr>
          <w:rFonts w:ascii="Times New Roman" w:hAnsi="Times New Roman" w:cs="Times New Roman"/>
          <w:color w:val="000000"/>
        </w:rPr>
        <w:t>Adeloye</w:t>
      </w:r>
      <w:proofErr w:type="spellEnd"/>
      <w:r>
        <w:rPr>
          <w:rFonts w:ascii="Times New Roman" w:hAnsi="Times New Roman" w:cs="Times New Roman"/>
          <w:color w:val="000000"/>
        </w:rPr>
        <w:t xml:space="preserve"> et al </w:t>
      </w:r>
      <w:r w:rsidR="004B4A40">
        <w:rPr>
          <w:rFonts w:ascii="Times New Roman" w:hAnsi="Times New Roman" w:cs="Times New Roman"/>
          <w:color w:val="000000"/>
        </w:rPr>
        <w:t>attributes</w:t>
      </w:r>
      <w:r>
        <w:rPr>
          <w:rFonts w:ascii="Times New Roman" w:hAnsi="Times New Roman" w:cs="Times New Roman"/>
          <w:color w:val="000000"/>
        </w:rPr>
        <w:t xml:space="preserve"> to the generally young population in </w:t>
      </w:r>
      <w:r w:rsidR="006C2F5D">
        <w:rPr>
          <w:rFonts w:ascii="Times New Roman" w:hAnsi="Times New Roman" w:cs="Times New Roman"/>
          <w:color w:val="000000"/>
        </w:rPr>
        <w:t>low-income countries</w:t>
      </w:r>
      <w:r>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MWEyYTIwYTYtNWUxZS00N2UyLTk1MjYtZTgyZWI1YTFjN2M5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
          <w:id w:val="1300114928"/>
          <w:placeholder>
            <w:docPart w:val="9D85636738AB4A488387CAE5BA0D187E"/>
          </w:placeholder>
        </w:sdtPr>
        <w:sdtEndPr/>
        <w:sdtContent>
          <w:r w:rsidR="00572E88" w:rsidRPr="00572E88">
            <w:rPr>
              <w:rFonts w:ascii="Times New Roman" w:hAnsi="Times New Roman" w:cs="Times New Roman"/>
              <w:color w:val="000000"/>
            </w:rPr>
            <w:t>[38]</w:t>
          </w:r>
        </w:sdtContent>
      </w:sdt>
      <w:r>
        <w:rPr>
          <w:rFonts w:ascii="Times New Roman" w:hAnsi="Times New Roman" w:cs="Times New Roman"/>
          <w:color w:val="000000"/>
        </w:rPr>
        <w:t>.</w:t>
      </w:r>
      <w:r w:rsidR="002E3FD8">
        <w:rPr>
          <w:rFonts w:ascii="Times New Roman" w:hAnsi="Times New Roman" w:cs="Times New Roman"/>
          <w:color w:val="000000"/>
        </w:rPr>
        <w:t xml:space="preserve"> However, they hypothesize that the prevalence estimates low-income countries may grow as the younger population ages and</w:t>
      </w:r>
      <w:r w:rsidR="008A051B">
        <w:rPr>
          <w:rFonts w:ascii="Times New Roman" w:hAnsi="Times New Roman" w:cs="Times New Roman"/>
          <w:color w:val="000000"/>
        </w:rPr>
        <w:t xml:space="preserve"> experiences</w:t>
      </w:r>
      <w:r w:rsidR="002E3FD8">
        <w:rPr>
          <w:rFonts w:ascii="Times New Roman" w:hAnsi="Times New Roman" w:cs="Times New Roman"/>
          <w:color w:val="000000"/>
        </w:rPr>
        <w:t xml:space="preserve"> continu</w:t>
      </w:r>
      <w:r w:rsidR="008A051B">
        <w:rPr>
          <w:rFonts w:ascii="Times New Roman" w:hAnsi="Times New Roman" w:cs="Times New Roman"/>
          <w:color w:val="000000"/>
        </w:rPr>
        <w:t xml:space="preserve">ed </w:t>
      </w:r>
      <w:r w:rsidR="002E3FD8">
        <w:rPr>
          <w:rFonts w:ascii="Times New Roman" w:hAnsi="Times New Roman" w:cs="Times New Roman"/>
          <w:color w:val="000000"/>
        </w:rPr>
        <w:t>expo</w:t>
      </w:r>
      <w:r w:rsidR="008A051B">
        <w:rPr>
          <w:rFonts w:ascii="Times New Roman" w:hAnsi="Times New Roman" w:cs="Times New Roman"/>
          <w:color w:val="000000"/>
        </w:rPr>
        <w:t>sure</w:t>
      </w:r>
      <w:r w:rsidR="002E3FD8">
        <w:rPr>
          <w:rFonts w:ascii="Times New Roman" w:hAnsi="Times New Roman" w:cs="Times New Roman"/>
          <w:color w:val="000000"/>
        </w:rPr>
        <w:t xml:space="preserve"> to respiratory irritants like smoke from tobacco or biomass fuels </w:t>
      </w:r>
      <w:sdt>
        <w:sdtPr>
          <w:rPr>
            <w:rFonts w:ascii="Times New Roman" w:hAnsi="Times New Roman" w:cs="Times New Roman"/>
            <w:color w:val="000000"/>
          </w:rPr>
          <w:tag w:val="MENDELEY_CITATION_v3_eyJjaXRhdGlvbklEIjoiTUVOREVMRVlfQ0lUQVRJT05fNmUxNjhjZWEtYTAyZC00MjNkLWE1MjctMTVlYmRmOTA0Y2U0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
          <w:id w:val="329107765"/>
          <w:placeholder>
            <w:docPart w:val="DefaultPlaceholder_-1854013440"/>
          </w:placeholder>
        </w:sdtPr>
        <w:sdtEndPr/>
        <w:sdtContent>
          <w:r w:rsidR="00572E88" w:rsidRPr="00572E88">
            <w:rPr>
              <w:rFonts w:ascii="Times New Roman" w:hAnsi="Times New Roman" w:cs="Times New Roman"/>
              <w:color w:val="000000"/>
            </w:rPr>
            <w:t>[38]</w:t>
          </w:r>
        </w:sdtContent>
      </w:sdt>
      <w:r w:rsidR="002E3FD8">
        <w:rPr>
          <w:rFonts w:ascii="Times New Roman" w:hAnsi="Times New Roman" w:cs="Times New Roman"/>
          <w:color w:val="000000"/>
        </w:rPr>
        <w:t xml:space="preserve">. </w:t>
      </w:r>
      <w:r>
        <w:rPr>
          <w:rFonts w:ascii="Times New Roman" w:hAnsi="Times New Roman" w:cs="Times New Roman"/>
          <w:color w:val="000000"/>
        </w:rPr>
        <w:t>By 2050, the projected global prevalence is estimated at 9.5% and represents a total of 592 million cases</w:t>
      </w:r>
      <w:r w:rsidR="006C2F5D">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"/>
          <w:id w:val="1597132371"/>
          <w:placeholder>
            <w:docPart w:val="9D85636738AB4A488387CAE5BA0D187E"/>
          </w:placeholder>
        </w:sdtPr>
        <w:sdtEndPr/>
        <w:sdtContent>
          <w:r w:rsidR="00572E88" w:rsidRPr="00572E88">
            <w:rPr>
              <w:rFonts w:ascii="Times New Roman" w:hAnsi="Times New Roman" w:cs="Times New Roman"/>
              <w:color w:val="000000"/>
            </w:rPr>
            <w:t>[39]</w:t>
          </w:r>
        </w:sdtContent>
      </w:sdt>
      <w:r>
        <w:rPr>
          <w:rFonts w:ascii="Times New Roman" w:hAnsi="Times New Roman" w:cs="Times New Roman"/>
          <w:color w:val="000000"/>
        </w:rPr>
        <w:t>. Low and middle income-countries and females are projected to have the highest estimated prevalence changes by 2050</w:t>
      </w:r>
      <w:r w:rsidR="008A051B">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"/>
          <w:id w:val="2077239675"/>
          <w:placeholder>
            <w:docPart w:val="DefaultPlaceholder_-1854013440"/>
          </w:placeholder>
        </w:sdtPr>
        <w:sdtEndPr/>
        <w:sdtContent>
          <w:r w:rsidR="00572E88" w:rsidRPr="00572E88">
            <w:rPr>
              <w:rFonts w:ascii="Times New Roman" w:hAnsi="Times New Roman" w:cs="Times New Roman"/>
              <w:color w:val="000000"/>
            </w:rPr>
            <w:t>[39]</w:t>
          </w:r>
        </w:sdtContent>
      </w:sdt>
      <w:r>
        <w:rPr>
          <w:rFonts w:ascii="Times New Roman" w:hAnsi="Times New Roman" w:cs="Times New Roman"/>
          <w:color w:val="000000"/>
        </w:rPr>
        <w:t xml:space="preserve">. </w:t>
      </w:r>
      <w:r w:rsidR="00DD201C">
        <w:rPr>
          <w:rFonts w:ascii="Times New Roman" w:hAnsi="Times New Roman" w:cs="Times New Roman"/>
          <w:color w:val="000000"/>
        </w:rPr>
        <w:t>These projected prevalence estimates changes reflect the population growth in low and middle-income countries as well as the exposures to both smoking and environmental exposures like biomass fuel smoke</w:t>
      </w:r>
      <w:r w:rsidR="007952F4">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"/>
          <w:id w:val="609009430"/>
          <w:placeholder>
            <w:docPart w:val="DefaultPlaceholder_-1854013440"/>
          </w:placeholder>
        </w:sdtPr>
        <w:sdtEndPr/>
        <w:sdtContent>
          <w:r w:rsidR="00572E88" w:rsidRPr="00572E88">
            <w:rPr>
              <w:rFonts w:ascii="Times New Roman" w:hAnsi="Times New Roman" w:cs="Times New Roman"/>
              <w:color w:val="000000"/>
            </w:rPr>
            <w:t>[39]</w:t>
          </w:r>
        </w:sdtContent>
      </w:sdt>
      <w:r w:rsidR="00DD201C">
        <w:rPr>
          <w:rFonts w:ascii="Times New Roman" w:hAnsi="Times New Roman" w:cs="Times New Roman"/>
          <w:color w:val="000000"/>
        </w:rPr>
        <w:t xml:space="preserve">. Females, especially in low and middle-income countries, are more likely to be exposed to biomass fuel </w:t>
      </w:r>
      <w:r w:rsidR="007952F4">
        <w:rPr>
          <w:rFonts w:ascii="Times New Roman" w:hAnsi="Times New Roman" w:cs="Times New Roman"/>
          <w:color w:val="000000"/>
        </w:rPr>
        <w:t xml:space="preserve">smoke </w:t>
      </w:r>
      <w:r w:rsidR="009A2BD9">
        <w:rPr>
          <w:rFonts w:ascii="Times New Roman" w:hAnsi="Times New Roman" w:cs="Times New Roman"/>
          <w:color w:val="000000"/>
        </w:rPr>
        <w:t>during</w:t>
      </w:r>
      <w:r w:rsidR="00DD201C">
        <w:rPr>
          <w:rFonts w:ascii="Times New Roman" w:hAnsi="Times New Roman" w:cs="Times New Roman"/>
          <w:color w:val="000000"/>
        </w:rPr>
        <w:t xml:space="preserve"> cooking, which </w:t>
      </w:r>
      <w:r w:rsidR="007952F4">
        <w:rPr>
          <w:rFonts w:ascii="Times New Roman" w:hAnsi="Times New Roman" w:cs="Times New Roman"/>
          <w:color w:val="000000"/>
        </w:rPr>
        <w:t xml:space="preserve">contributes to projected prevalence estimates </w:t>
      </w:r>
      <w:sdt>
        <w:sdtPr>
          <w:rPr>
            <w:rFonts w:ascii="Times New Roman" w:hAnsi="Times New Roman" w:cs="Times New Roman"/>
            <w:color w:val="000000"/>
          </w:rPr>
          <w:tag w:val="MENDELEY_CITATION_v3_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"/>
          <w:id w:val="-2101484108"/>
          <w:placeholder>
            <w:docPart w:val="DefaultPlaceholder_-1854013440"/>
          </w:placeholder>
        </w:sdtPr>
        <w:sdtEndPr/>
        <w:sdtContent>
          <w:r w:rsidR="00572E88" w:rsidRPr="00572E88">
            <w:rPr>
              <w:rFonts w:ascii="Times New Roman" w:hAnsi="Times New Roman" w:cs="Times New Roman"/>
              <w:color w:val="000000"/>
            </w:rPr>
            <w:t>[39]</w:t>
          </w:r>
        </w:sdtContent>
      </w:sdt>
      <w:r w:rsidR="007952F4">
        <w:rPr>
          <w:rFonts w:ascii="Times New Roman" w:hAnsi="Times New Roman" w:cs="Times New Roman"/>
          <w:color w:val="000000"/>
        </w:rPr>
        <w:t xml:space="preserve">. </w:t>
      </w:r>
    </w:p>
    <w:p w14:paraId="226021CB" w14:textId="49DED1D6" w:rsidR="00573378" w:rsidRDefault="00573378" w:rsidP="00155738">
      <w:pPr>
        <w:spacing w:after="0" w:line="480" w:lineRule="auto"/>
        <w:ind w:firstLine="720"/>
        <w:rPr>
          <w:rFonts w:ascii="Times New Roman" w:hAnsi="Times New Roman" w:cs="Times New Roman"/>
          <w:color w:val="000000"/>
        </w:rPr>
      </w:pPr>
      <w:r>
        <w:rPr>
          <w:rFonts w:ascii="Times New Roman" w:hAnsi="Times New Roman" w:cs="Times New Roman"/>
          <w:color w:val="000000"/>
        </w:rPr>
        <w:t xml:space="preserve">In the US, the National Health Interview Survey reports the crude prevalence of COPD to be 4.3% in adults ≥18 years  </w:t>
      </w:r>
      <w:sdt>
        <w:sdtPr>
          <w:rPr>
            <w:rFonts w:ascii="Times New Roman" w:hAnsi="Times New Roman" w:cs="Times New Roman"/>
            <w:color w:val="000000"/>
          </w:rPr>
          <w:tag w:val="MENDELEY_CITATION_v3_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"/>
          <w:id w:val="369883691"/>
          <w:placeholder>
            <w:docPart w:val="9D85636738AB4A488387CAE5BA0D187E"/>
          </w:placeholder>
        </w:sdtPr>
        <w:sdtEndPr/>
        <w:sdtContent>
          <w:r w:rsidR="00572E88" w:rsidRPr="00572E88">
            <w:rPr>
              <w:rFonts w:ascii="Times New Roman" w:hAnsi="Times New Roman" w:cs="Times New Roman"/>
              <w:color w:val="000000"/>
            </w:rPr>
            <w:t>[40]</w:t>
          </w:r>
        </w:sdtContent>
      </w:sdt>
      <w:r>
        <w:rPr>
          <w:rFonts w:ascii="Times New Roman" w:hAnsi="Times New Roman" w:cs="Times New Roman"/>
          <w:color w:val="000000"/>
        </w:rPr>
        <w:t xml:space="preserve">. Higher crude prevalence was reported among females (4.8%) compared to males (3.8%) </w:t>
      </w:r>
      <w:sdt>
        <w:sdtPr>
          <w:rPr>
            <w:rFonts w:ascii="Times New Roman" w:hAnsi="Times New Roman" w:cs="Times New Roman"/>
            <w:color w:val="000000"/>
          </w:rPr>
          <w:tag w:val="MENDELEY_CITATION_v3_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"/>
          <w:id w:val="925697914"/>
          <w:placeholder>
            <w:docPart w:val="9D85636738AB4A488387CAE5BA0D187E"/>
          </w:placeholder>
        </w:sdtPr>
        <w:sdtEndPr/>
        <w:sdtContent>
          <w:r w:rsidR="00572E88" w:rsidRPr="00572E88">
            <w:rPr>
              <w:rFonts w:ascii="Times New Roman" w:hAnsi="Times New Roman" w:cs="Times New Roman"/>
              <w:color w:val="000000"/>
            </w:rPr>
            <w:t>[40]</w:t>
          </w:r>
        </w:sdtContent>
      </w:sdt>
      <w:r>
        <w:rPr>
          <w:rFonts w:ascii="Times New Roman" w:hAnsi="Times New Roman" w:cs="Times New Roman"/>
          <w:color w:val="000000"/>
        </w:rPr>
        <w:t xml:space="preserve">. The overall COPD prevalence increased with age from 0.6% among those 18-34 years old, 2.1% among 35-39 years old, 6.1% among 50-64 years old, and 9.6% among those ≥65 years old </w:t>
      </w:r>
      <w:sdt>
        <w:sdtPr>
          <w:rPr>
            <w:rFonts w:ascii="Times New Roman" w:hAnsi="Times New Roman" w:cs="Times New Roman"/>
            <w:color w:val="000000"/>
          </w:rPr>
          <w:tag w:val="MENDELEY_CITATION_v3_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"/>
          <w:id w:val="-1360661939"/>
          <w:placeholder>
            <w:docPart w:val="9D85636738AB4A488387CAE5BA0D187E"/>
          </w:placeholder>
        </w:sdtPr>
        <w:sdtEndPr/>
        <w:sdtContent>
          <w:r w:rsidR="00572E88" w:rsidRPr="00572E88">
            <w:rPr>
              <w:rFonts w:ascii="Times New Roman" w:hAnsi="Times New Roman" w:cs="Times New Roman"/>
              <w:color w:val="000000"/>
            </w:rPr>
            <w:t>[40]</w:t>
          </w:r>
        </w:sdtContent>
      </w:sdt>
      <w:r>
        <w:rPr>
          <w:rFonts w:ascii="Times New Roman" w:hAnsi="Times New Roman" w:cs="Times New Roman"/>
          <w:color w:val="000000"/>
        </w:rPr>
        <w:t xml:space="preserve">. Approximately 8.6% of the US unemployed population suffered from COPD compared to only 1.9% in the working population </w:t>
      </w:r>
      <w:sdt>
        <w:sdtPr>
          <w:rPr>
            <w:rFonts w:ascii="Times New Roman" w:hAnsi="Times New Roman" w:cs="Times New Roman"/>
            <w:color w:val="000000"/>
          </w:rPr>
          <w:tag w:val="MENDELEY_CITATION_v3_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"/>
          <w:id w:val="1214774503"/>
          <w:placeholder>
            <w:docPart w:val="9D85636738AB4A488387CAE5BA0D187E"/>
          </w:placeholder>
        </w:sdtPr>
        <w:sdtEndPr/>
        <w:sdtContent>
          <w:r w:rsidR="00572E88" w:rsidRPr="00572E88">
            <w:rPr>
              <w:rFonts w:ascii="Times New Roman" w:hAnsi="Times New Roman" w:cs="Times New Roman"/>
              <w:color w:val="000000"/>
            </w:rPr>
            <w:t>[40]</w:t>
          </w:r>
        </w:sdtContent>
      </w:sdt>
      <w:r>
        <w:rPr>
          <w:rFonts w:ascii="Times New Roman" w:hAnsi="Times New Roman" w:cs="Times New Roman"/>
          <w:color w:val="000000"/>
        </w:rPr>
        <w:t xml:space="preserve">. Similarly, the COPD prevalence had an inverse relationship with educational attainment. Approximately 8.8% of individuals without a high school diploma suffered from COPD compared to only 1.9% among those with college degrees </w:t>
      </w:r>
      <w:sdt>
        <w:sdtPr>
          <w:rPr>
            <w:rFonts w:ascii="Times New Roman" w:hAnsi="Times New Roman" w:cs="Times New Roman"/>
            <w:color w:val="000000"/>
          </w:rPr>
          <w:tag w:val="MENDELEY_CITATION_v3_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"/>
          <w:id w:val="-1766445655"/>
          <w:placeholder>
            <w:docPart w:val="9D85636738AB4A488387CAE5BA0D187E"/>
          </w:placeholder>
        </w:sdtPr>
        <w:sdtEndPr/>
        <w:sdtContent>
          <w:r w:rsidR="00572E88" w:rsidRPr="00572E88">
            <w:rPr>
              <w:rFonts w:ascii="Times New Roman" w:hAnsi="Times New Roman" w:cs="Times New Roman"/>
              <w:color w:val="000000"/>
            </w:rPr>
            <w:t>[40]</w:t>
          </w:r>
        </w:sdtContent>
      </w:sdt>
      <w:r>
        <w:rPr>
          <w:rFonts w:ascii="Times New Roman" w:hAnsi="Times New Roman" w:cs="Times New Roman"/>
          <w:color w:val="000000"/>
        </w:rPr>
        <w:t xml:space="preserve">. In a separate analysis by Liu et al, the crude COPD prevalence within the US adult population was 6.5% and the age standardized prevalence was </w:t>
      </w:r>
      <w:r>
        <w:rPr>
          <w:rFonts w:ascii="Times New Roman" w:hAnsi="Times New Roman" w:cs="Times New Roman"/>
          <w:color w:val="000000"/>
        </w:rPr>
        <w:lastRenderedPageBreak/>
        <w:t xml:space="preserve">6.0% </w:t>
      </w:r>
      <w:sdt>
        <w:sdtPr>
          <w:rPr>
            <w:rFonts w:ascii="Times New Roman" w:hAnsi="Times New Roman" w:cs="Times New Roman"/>
            <w:color w:val="000000"/>
          </w:rPr>
          <w:tag w:val="MENDELEY_CITATION_v3_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"/>
          <w:id w:val="-337537656"/>
          <w:placeholder>
            <w:docPart w:val="9D85636738AB4A488387CAE5BA0D187E"/>
          </w:placeholder>
        </w:sdtPr>
        <w:sdtEndPr/>
        <w:sdtContent>
          <w:r w:rsidR="00572E88" w:rsidRPr="00572E88">
            <w:rPr>
              <w:rFonts w:ascii="Times New Roman" w:hAnsi="Times New Roman" w:cs="Times New Roman"/>
              <w:color w:val="000000"/>
            </w:rPr>
            <w:t>[41]</w:t>
          </w:r>
        </w:sdtContent>
      </w:sdt>
      <w:r>
        <w:rPr>
          <w:rFonts w:ascii="Times New Roman" w:hAnsi="Times New Roman" w:cs="Times New Roman"/>
          <w:color w:val="000000"/>
        </w:rPr>
        <w:t xml:space="preserve">. Females (6.5%) also had a higher prevalence compared to males (5.5%) </w:t>
      </w:r>
      <w:sdt>
        <w:sdtPr>
          <w:rPr>
            <w:rFonts w:ascii="Times New Roman" w:hAnsi="Times New Roman" w:cs="Times New Roman"/>
            <w:color w:val="000000"/>
          </w:rPr>
          <w:tag w:val="MENDELEY_CITATION_v3_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"/>
          <w:id w:val="-182825479"/>
          <w:placeholder>
            <w:docPart w:val="9D85636738AB4A488387CAE5BA0D187E"/>
          </w:placeholder>
        </w:sdtPr>
        <w:sdtEndPr/>
        <w:sdtContent>
          <w:r w:rsidR="00572E88" w:rsidRPr="00572E88">
            <w:rPr>
              <w:rFonts w:ascii="Times New Roman" w:hAnsi="Times New Roman" w:cs="Times New Roman"/>
              <w:color w:val="000000"/>
            </w:rPr>
            <w:t>[41]</w:t>
          </w:r>
        </w:sdtContent>
      </w:sdt>
      <w:r>
        <w:rPr>
          <w:rFonts w:ascii="Times New Roman" w:hAnsi="Times New Roman" w:cs="Times New Roman"/>
          <w:color w:val="000000"/>
        </w:rPr>
        <w:t>. The employed (3.7%) population had a lower prevalence estimate compared to unemployed (7.7%), retired (11.0%), and disabled population (19.3%)</w:t>
      </w:r>
      <w:r w:rsidR="00B70C08">
        <w:rPr>
          <w:rFonts w:ascii="Times New Roman" w:hAnsi="Times New Roman" w:cs="Times New Roman"/>
          <w:color w:val="000000"/>
        </w:rPr>
        <w:t>, which likely reflects a combination of age, smoking patterns, and other environmental exposures</w:t>
      </w:r>
      <w:r>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"/>
          <w:id w:val="766973170"/>
          <w:placeholder>
            <w:docPart w:val="9D85636738AB4A488387CAE5BA0D187E"/>
          </w:placeholder>
        </w:sdtPr>
        <w:sdtEndPr/>
        <w:sdtContent>
          <w:r w:rsidR="00572E88" w:rsidRPr="00572E88">
            <w:rPr>
              <w:rFonts w:ascii="Times New Roman" w:hAnsi="Times New Roman" w:cs="Times New Roman"/>
              <w:color w:val="000000"/>
            </w:rPr>
            <w:t>[41]</w:t>
          </w:r>
        </w:sdtContent>
      </w:sdt>
      <w:r>
        <w:rPr>
          <w:rFonts w:ascii="Times New Roman" w:hAnsi="Times New Roman" w:cs="Times New Roman"/>
          <w:color w:val="000000"/>
        </w:rPr>
        <w:t>.</w:t>
      </w:r>
    </w:p>
    <w:p w14:paraId="32242481" w14:textId="77777777" w:rsidR="00270AE8" w:rsidRDefault="00270AE8" w:rsidP="00155738">
      <w:pPr>
        <w:spacing w:after="0" w:line="480" w:lineRule="auto"/>
        <w:rPr>
          <w:rFonts w:ascii="Times New Roman" w:hAnsi="Times New Roman" w:cs="Times New Roman"/>
          <w:color w:val="000000"/>
        </w:rPr>
      </w:pPr>
    </w:p>
    <w:p w14:paraId="4FA27EB3" w14:textId="77777777" w:rsidR="00D47413" w:rsidRDefault="00D47413" w:rsidP="00155738">
      <w:pPr>
        <w:pStyle w:val="Heading5"/>
        <w:spacing w:before="0" w:after="0" w:line="480" w:lineRule="auto"/>
      </w:pPr>
      <w:bookmarkStart w:id="20" w:name="_Toc200096945"/>
      <w:r>
        <w:t>Economic Burden</w:t>
      </w:r>
      <w:bookmarkEnd w:id="20"/>
    </w:p>
    <w:p w14:paraId="61DD715B" w14:textId="249AC5C8" w:rsidR="00573378" w:rsidRDefault="00573378" w:rsidP="00155738">
      <w:pPr>
        <w:spacing w:after="0" w:line="480" w:lineRule="auto"/>
        <w:ind w:firstLine="720"/>
        <w:rPr>
          <w:rFonts w:ascii="Times New Roman" w:hAnsi="Times New Roman" w:cs="Times New Roman"/>
          <w:color w:val="000000"/>
        </w:rPr>
      </w:pPr>
      <w:r>
        <w:rPr>
          <w:rFonts w:ascii="Times New Roman" w:hAnsi="Times New Roman" w:cs="Times New Roman"/>
        </w:rPr>
        <w:t xml:space="preserve">Chronic obstructive pulmonary disease (COPD) represents a substantial challenge to the global economy, and its impact can be observed in both direct and indirect cost </w:t>
      </w:r>
      <w:sdt>
        <w:sdtPr>
          <w:rPr>
            <w:rFonts w:ascii="Times New Roman" w:hAnsi="Times New Roman" w:cs="Times New Roman"/>
            <w:color w:val="000000"/>
          </w:rPr>
          <w:tag w:val="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"/>
          <w:id w:val="-412007567"/>
          <w:placeholder>
            <w:docPart w:val="1719D996AE344E97AA47511CDABB0F89"/>
          </w:placeholder>
        </w:sdtPr>
        <w:sdtEndPr/>
        <w:sdtContent>
          <w:r w:rsidR="00572E88" w:rsidRPr="00572E88">
            <w:rPr>
              <w:rFonts w:ascii="Times New Roman" w:hAnsi="Times New Roman" w:cs="Times New Roman"/>
              <w:color w:val="000000"/>
            </w:rPr>
            <w:t>[42–45]</w:t>
          </w:r>
        </w:sdtContent>
      </w:sdt>
      <w:r>
        <w:rPr>
          <w:rFonts w:ascii="Times New Roman" w:hAnsi="Times New Roman" w:cs="Times New Roman"/>
          <w:color w:val="000000"/>
        </w:rPr>
        <w:t xml:space="preserve">. Globally, the economic cost of COPD is estimated to be $2.1 trillion annually </w:t>
      </w:r>
      <w:sdt>
        <w:sdtPr>
          <w:rPr>
            <w:rFonts w:ascii="Times New Roman" w:hAnsi="Times New Roman" w:cs="Times New Roman"/>
            <w:color w:val="000000"/>
          </w:rPr>
          <w:tag w:val="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"/>
          <w:id w:val="-1142884746"/>
          <w:placeholder>
            <w:docPart w:val="1719D996AE344E97AA47511CDABB0F89"/>
          </w:placeholder>
        </w:sdtPr>
        <w:sdtEndPr/>
        <w:sdtContent>
          <w:r w:rsidR="00572E88" w:rsidRPr="00572E88">
            <w:rPr>
              <w:rFonts w:ascii="Times New Roman" w:hAnsi="Times New Roman" w:cs="Times New Roman"/>
              <w:color w:val="000000"/>
            </w:rPr>
            <w:t>[43,46]</w:t>
          </w:r>
        </w:sdtContent>
      </w:sdt>
      <w:r>
        <w:rPr>
          <w:rFonts w:ascii="Times New Roman" w:hAnsi="Times New Roman" w:cs="Times New Roman"/>
          <w:color w:val="000000"/>
        </w:rPr>
        <w:t>. However, economic costs are projected to increase to $4.236 trillion by 2050</w:t>
      </w:r>
      <w:bookmarkStart w:id="21" w:name="_Hlk199693703"/>
      <w:r>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"/>
          <w:id w:val="1139309172"/>
          <w:placeholder>
            <w:docPart w:val="1719D996AE344E97AA47511CDABB0F89"/>
          </w:placeholder>
        </w:sdtPr>
        <w:sdtEndPr/>
        <w:sdtContent>
          <w:r w:rsidR="00572E88" w:rsidRPr="00572E88">
            <w:rPr>
              <w:rFonts w:ascii="Times New Roman" w:hAnsi="Times New Roman" w:cs="Times New Roman"/>
              <w:color w:val="000000"/>
            </w:rPr>
            <w:t>[42]</w:t>
          </w:r>
        </w:sdtContent>
      </w:sdt>
      <w:r>
        <w:rPr>
          <w:rFonts w:ascii="Times New Roman" w:hAnsi="Times New Roman" w:cs="Times New Roman"/>
          <w:color w:val="000000"/>
        </w:rPr>
        <w:t xml:space="preserve">. North America, East and Central Asia, and the Pacific regions are projected to incur approximately 82.4% of the total economic burden during this time period </w:t>
      </w:r>
      <w:sdt>
        <w:sdtPr>
          <w:rPr>
            <w:rFonts w:ascii="Times New Roman" w:hAnsi="Times New Roman" w:cs="Times New Roman"/>
            <w:color w:val="000000"/>
          </w:rPr>
          <w:tag w:val="MENDELEY_CITATION_v3_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"/>
          <w:id w:val="-1334443738"/>
          <w:placeholder>
            <w:docPart w:val="1719D996AE344E97AA47511CDABB0F89"/>
          </w:placeholder>
        </w:sdtPr>
        <w:sdtEndPr/>
        <w:sdtContent>
          <w:r w:rsidR="00572E88" w:rsidRPr="00572E88">
            <w:rPr>
              <w:rFonts w:ascii="Times New Roman" w:hAnsi="Times New Roman" w:cs="Times New Roman"/>
              <w:color w:val="000000"/>
            </w:rPr>
            <w:t>[42]</w:t>
          </w:r>
        </w:sdtContent>
      </w:sdt>
      <w:r>
        <w:rPr>
          <w:rFonts w:ascii="Times New Roman" w:hAnsi="Times New Roman" w:cs="Times New Roman"/>
        </w:rPr>
        <w:t xml:space="preserve">. </w:t>
      </w:r>
      <w:bookmarkEnd w:id="21"/>
      <w:r>
        <w:rPr>
          <w:rFonts w:ascii="Times New Roman" w:hAnsi="Times New Roman" w:cs="Times New Roman"/>
        </w:rPr>
        <w:t xml:space="preserve">In a meta-analysis and review of COPD cost in eleven European countries, the annual mean direct cost per </w:t>
      </w:r>
      <w:r w:rsidRPr="00C4107C">
        <w:rPr>
          <w:rFonts w:ascii="Times New Roman" w:hAnsi="Times New Roman" w:cs="Times New Roman"/>
        </w:rPr>
        <w:t>person</w:t>
      </w:r>
      <w:r>
        <w:rPr>
          <w:rFonts w:ascii="Times New Roman" w:hAnsi="Times New Roman" w:cs="Times New Roman"/>
        </w:rPr>
        <w:t xml:space="preserve"> ranged from €1,715 in Spain to €10,701 in Norway </w:t>
      </w:r>
      <w:sdt>
        <w:sdtPr>
          <w:rPr>
            <w:rFonts w:ascii="Times New Roman" w:hAnsi="Times New Roman" w:cs="Times New Roman"/>
            <w:color w:val="000000"/>
          </w:rPr>
          <w:tag w:val="MENDELEY_CITATION_v3_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"/>
          <w:id w:val="1760325353"/>
          <w:placeholder>
            <w:docPart w:val="1719D996AE344E97AA47511CDABB0F89"/>
          </w:placeholder>
        </w:sdtPr>
        <w:sdtEndPr/>
        <w:sdtContent>
          <w:r w:rsidR="00572E88" w:rsidRPr="00572E88">
            <w:rPr>
              <w:rFonts w:ascii="Times New Roman" w:hAnsi="Times New Roman" w:cs="Times New Roman"/>
              <w:color w:val="000000"/>
            </w:rPr>
            <w:t>[44]</w:t>
          </w:r>
        </w:sdtContent>
      </w:sdt>
      <w:r>
        <w:rPr>
          <w:rFonts w:ascii="Times New Roman" w:hAnsi="Times New Roman" w:cs="Times New Roman"/>
        </w:rPr>
        <w:t xml:space="preserve">. Indirect costs also varied across countries which Rehman et al attributed to differences social programs and country characteristics. The annual indirect costs due to lost productivity per person ranged from €998 in Greece to € 5,735 in Germany, and the annual cost per person due to early retirements ranged from €3,695 in Sweeden to €19,031 in Germany </w:t>
      </w:r>
      <w:sdt>
        <w:sdtPr>
          <w:rPr>
            <w:rFonts w:ascii="Times New Roman" w:hAnsi="Times New Roman" w:cs="Times New Roman"/>
            <w:color w:val="000000"/>
          </w:rPr>
          <w:tag w:val="MENDELEY_CITATION_v3_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"/>
          <w:id w:val="-526634719"/>
          <w:placeholder>
            <w:docPart w:val="1719D996AE344E97AA47511CDABB0F89"/>
          </w:placeholder>
        </w:sdtPr>
        <w:sdtEndPr/>
        <w:sdtContent>
          <w:r w:rsidR="00572E88" w:rsidRPr="00572E88">
            <w:rPr>
              <w:rFonts w:ascii="Times New Roman" w:hAnsi="Times New Roman" w:cs="Times New Roman"/>
              <w:color w:val="000000"/>
            </w:rPr>
            <w:t>[44]</w:t>
          </w:r>
        </w:sdtContent>
      </w:sdt>
      <w:r>
        <w:rPr>
          <w:rFonts w:ascii="Times New Roman" w:hAnsi="Times New Roman" w:cs="Times New Roman"/>
        </w:rPr>
        <w:t xml:space="preserve">. </w:t>
      </w:r>
      <w:r>
        <w:rPr>
          <w:rFonts w:ascii="Times New Roman" w:hAnsi="Times New Roman" w:cs="Times New Roman"/>
          <w:color w:val="000000"/>
        </w:rPr>
        <w:t>Separately, Iheanacho et al found the direct cost of COPD to differ widely by country</w:t>
      </w:r>
      <w:r w:rsidR="008C6DAA">
        <w:rPr>
          <w:rFonts w:ascii="Times New Roman" w:hAnsi="Times New Roman" w:cs="Times New Roman"/>
          <w:color w:val="000000"/>
        </w:rPr>
        <w:t>,</w:t>
      </w:r>
      <w:r>
        <w:rPr>
          <w:rFonts w:ascii="Times New Roman" w:hAnsi="Times New Roman" w:cs="Times New Roman"/>
          <w:color w:val="000000"/>
        </w:rPr>
        <w:t xml:space="preserve"> likely reflecting the differences in patient characteristics, comorbidities, severity level, exacerbation frequency, healthcare systems, and social policies </w:t>
      </w:r>
      <w:sdt>
        <w:sdtPr>
          <w:rPr>
            <w:rFonts w:ascii="Times New Roman" w:hAnsi="Times New Roman" w:cs="Times New Roman"/>
            <w:color w:val="000000"/>
          </w:rPr>
          <w:tag w:val="MENDELEY_CITATION_v3_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"/>
          <w:id w:val="-670108428"/>
          <w:placeholder>
            <w:docPart w:val="1719D996AE344E97AA47511CDABB0F89"/>
          </w:placeholder>
        </w:sdtPr>
        <w:sdtEndPr/>
        <w:sdtContent>
          <w:r w:rsidR="00572E88" w:rsidRPr="00572E88">
            <w:rPr>
              <w:rFonts w:ascii="Times New Roman" w:hAnsi="Times New Roman" w:cs="Times New Roman"/>
              <w:color w:val="000000"/>
            </w:rPr>
            <w:t>[43]</w:t>
          </w:r>
        </w:sdtContent>
      </w:sdt>
      <w:r>
        <w:rPr>
          <w:rFonts w:ascii="Times New Roman" w:hAnsi="Times New Roman" w:cs="Times New Roman"/>
          <w:color w:val="000000"/>
        </w:rPr>
        <w:t xml:space="preserve">. </w:t>
      </w:r>
    </w:p>
    <w:p w14:paraId="07529A3C" w14:textId="555B996C" w:rsidR="00573378" w:rsidRDefault="00573378" w:rsidP="00155738">
      <w:pPr>
        <w:spacing w:after="0" w:line="480" w:lineRule="auto"/>
        <w:ind w:firstLine="720"/>
        <w:rPr>
          <w:rFonts w:ascii="Times New Roman" w:hAnsi="Times New Roman" w:cs="Times New Roman"/>
          <w:color w:val="000000"/>
        </w:rPr>
      </w:pPr>
      <w:r>
        <w:rPr>
          <w:rFonts w:ascii="Times New Roman" w:hAnsi="Times New Roman" w:cs="Times New Roman"/>
          <w:color w:val="000000"/>
        </w:rPr>
        <w:t xml:space="preserve">For the US, Guarascio et al estimated the annual direct and indirect costs of COPD to be $30 billion and $20 billion, respectively </w:t>
      </w:r>
      <w:sdt>
        <w:sdtPr>
          <w:rPr>
            <w:rFonts w:ascii="Times New Roman" w:hAnsi="Times New Roman" w:cs="Times New Roman"/>
            <w:color w:val="000000"/>
          </w:rPr>
          <w:tag w:val="MENDELEY_CITATION_v3_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"/>
          <w:id w:val="-2062094799"/>
          <w:placeholder>
            <w:docPart w:val="1719D996AE344E97AA47511CDABB0F89"/>
          </w:placeholder>
        </w:sdtPr>
        <w:sdtEndPr/>
        <w:sdtContent>
          <w:r w:rsidR="00572E88" w:rsidRPr="00572E88">
            <w:rPr>
              <w:rFonts w:ascii="Times New Roman" w:hAnsi="Times New Roman" w:cs="Times New Roman"/>
              <w:color w:val="000000"/>
            </w:rPr>
            <w:t>[47]</w:t>
          </w:r>
        </w:sdtContent>
      </w:sdt>
      <w:r>
        <w:rPr>
          <w:rFonts w:ascii="Times New Roman" w:hAnsi="Times New Roman" w:cs="Times New Roman"/>
          <w:color w:val="000000"/>
        </w:rPr>
        <w:t>.</w:t>
      </w:r>
      <w:bookmarkStart w:id="22" w:name="_Hlk199103241"/>
      <w:r>
        <w:rPr>
          <w:rFonts w:ascii="Times New Roman" w:hAnsi="Times New Roman" w:cs="Times New Roman"/>
          <w:color w:val="000000"/>
        </w:rPr>
        <w:t xml:space="preserve"> A separate analysis by Mannino et al reported a similar estimate of $31.3 billion for the annual direct cost of COPD in the US </w:t>
      </w:r>
      <w:sdt>
        <w:sdtPr>
          <w:rPr>
            <w:rFonts w:ascii="Times New Roman" w:hAnsi="Times New Roman" w:cs="Times New Roman"/>
            <w:color w:val="000000"/>
          </w:rPr>
          <w:tag w:val="MENDELEY_CITATION_v3_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"/>
          <w:id w:val="70700167"/>
          <w:placeholder>
            <w:docPart w:val="1719D996AE344E97AA47511CDABB0F89"/>
          </w:placeholder>
        </w:sdtPr>
        <w:sdtEndPr/>
        <w:sdtContent>
          <w:r w:rsidR="00572E88" w:rsidRPr="00572E88">
            <w:rPr>
              <w:rFonts w:ascii="Times New Roman" w:hAnsi="Times New Roman" w:cs="Times New Roman"/>
              <w:color w:val="000000"/>
            </w:rPr>
            <w:t>[9]</w:t>
          </w:r>
        </w:sdtContent>
      </w:sdt>
      <w:r>
        <w:rPr>
          <w:rFonts w:ascii="Times New Roman" w:hAnsi="Times New Roman" w:cs="Times New Roman"/>
          <w:color w:val="000000"/>
        </w:rPr>
        <w:t xml:space="preserve">. The annual </w:t>
      </w:r>
      <w:r>
        <w:rPr>
          <w:rFonts w:ascii="Times New Roman" w:hAnsi="Times New Roman" w:cs="Times New Roman"/>
          <w:color w:val="000000"/>
        </w:rPr>
        <w:lastRenderedPageBreak/>
        <w:t xml:space="preserve">direct cost estimates varied across the US with Florida incurring the highest annual direct cost of any state ($3.1 billion) </w:t>
      </w:r>
      <w:sdt>
        <w:sdtPr>
          <w:rPr>
            <w:rFonts w:ascii="Times New Roman" w:hAnsi="Times New Roman" w:cs="Times New Roman"/>
            <w:color w:val="000000"/>
          </w:rPr>
          <w:tag w:val="MENDELEY_CITATION_v3_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"/>
          <w:id w:val="-677421201"/>
          <w:placeholder>
            <w:docPart w:val="1719D996AE344E97AA47511CDABB0F89"/>
          </w:placeholder>
        </w:sdtPr>
        <w:sdtEndPr/>
        <w:sdtContent>
          <w:r w:rsidR="00572E88" w:rsidRPr="00572E88">
            <w:rPr>
              <w:rFonts w:ascii="Times New Roman" w:hAnsi="Times New Roman" w:cs="Times New Roman"/>
              <w:color w:val="000000"/>
            </w:rPr>
            <w:t>[9]</w:t>
          </w:r>
        </w:sdtContent>
      </w:sdt>
      <w:r>
        <w:rPr>
          <w:rFonts w:ascii="Times New Roman" w:hAnsi="Times New Roman" w:cs="Times New Roman"/>
          <w:color w:val="000000"/>
        </w:rPr>
        <w:t xml:space="preserve">. Approximately 54.6% of the US annual direct costs of COPD were accounted for by females while 55.6% of the annual direct costs were incurred by patients </w:t>
      </w:r>
      <w:bookmarkEnd w:id="22"/>
      <w:r>
        <w:rPr>
          <w:rFonts w:ascii="Times New Roman" w:hAnsi="Times New Roman" w:cs="Times New Roman"/>
          <w:color w:val="000000"/>
        </w:rPr>
        <w:t xml:space="preserve">≥65 years old </w:t>
      </w:r>
      <w:sdt>
        <w:sdtPr>
          <w:rPr>
            <w:rFonts w:ascii="Times New Roman" w:hAnsi="Times New Roman" w:cs="Times New Roman"/>
            <w:color w:val="000000"/>
          </w:rPr>
          <w:tag w:val="MENDELEY_CITATION_v3_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"/>
          <w:id w:val="-1622298303"/>
          <w:placeholder>
            <w:docPart w:val="1719D996AE344E97AA47511CDABB0F89"/>
          </w:placeholder>
        </w:sdtPr>
        <w:sdtEndPr/>
        <w:sdtContent>
          <w:r w:rsidR="00572E88" w:rsidRPr="00572E88">
            <w:rPr>
              <w:rFonts w:ascii="Times New Roman" w:hAnsi="Times New Roman" w:cs="Times New Roman"/>
              <w:color w:val="000000"/>
            </w:rPr>
            <w:t>[9]</w:t>
          </w:r>
        </w:sdtContent>
      </w:sdt>
      <w:r>
        <w:rPr>
          <w:rFonts w:ascii="Times New Roman" w:hAnsi="Times New Roman" w:cs="Times New Roman"/>
          <w:color w:val="000000"/>
        </w:rPr>
        <w:t xml:space="preserve">. By insurance type, the public insurance programs constituted nearly $14 billion in COPD costs, with $10.8 billion attributed to Medicare claims and $3.0 billion in Medicaid claims </w:t>
      </w:r>
      <w:sdt>
        <w:sdtPr>
          <w:rPr>
            <w:rFonts w:ascii="Times New Roman" w:hAnsi="Times New Roman" w:cs="Times New Roman"/>
            <w:color w:val="000000"/>
          </w:rPr>
          <w:tag w:val="MENDELEY_CITATION_v3_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"/>
          <w:id w:val="2051806703"/>
          <w:placeholder>
            <w:docPart w:val="1719D996AE344E97AA47511CDABB0F89"/>
          </w:placeholder>
        </w:sdtPr>
        <w:sdtEndPr/>
        <w:sdtContent>
          <w:r w:rsidR="00572E88" w:rsidRPr="00572E88">
            <w:rPr>
              <w:rFonts w:ascii="Times New Roman" w:hAnsi="Times New Roman" w:cs="Times New Roman"/>
              <w:color w:val="000000"/>
            </w:rPr>
            <w:t>[9]</w:t>
          </w:r>
        </w:sdtContent>
      </w:sdt>
      <w:r>
        <w:rPr>
          <w:rFonts w:ascii="Times New Roman" w:hAnsi="Times New Roman" w:cs="Times New Roman"/>
          <w:color w:val="000000"/>
        </w:rPr>
        <w:t xml:space="preserve">. In comparison, private insurance companies covered $11.4 billion in COPD medical expenditure claims </w:t>
      </w:r>
      <w:sdt>
        <w:sdtPr>
          <w:rPr>
            <w:rFonts w:ascii="Times New Roman" w:hAnsi="Times New Roman" w:cs="Times New Roman"/>
            <w:color w:val="000000"/>
          </w:rPr>
          <w:tag w:val="MENDELEY_CITATION_v3_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"/>
          <w:id w:val="-910308896"/>
          <w:placeholder>
            <w:docPart w:val="1719D996AE344E97AA47511CDABB0F89"/>
          </w:placeholder>
        </w:sdtPr>
        <w:sdtEndPr/>
        <w:sdtContent>
          <w:r w:rsidR="00572E88" w:rsidRPr="00572E88">
            <w:rPr>
              <w:rFonts w:ascii="Times New Roman" w:hAnsi="Times New Roman" w:cs="Times New Roman"/>
              <w:color w:val="000000"/>
            </w:rPr>
            <w:t>[9]</w:t>
          </w:r>
        </w:sdtContent>
      </w:sdt>
      <w:r>
        <w:rPr>
          <w:rFonts w:ascii="Times New Roman" w:hAnsi="Times New Roman" w:cs="Times New Roman"/>
          <w:color w:val="000000"/>
        </w:rPr>
        <w:t xml:space="preserve">. At the individual level, the mean annual cost for medical care was approximately $16,086 for COPD patients compared to $6,283 for general medical care cost among individuals without COPD </w:t>
      </w:r>
      <w:sdt>
        <w:sdtPr>
          <w:rPr>
            <w:rFonts w:ascii="Times New Roman" w:hAnsi="Times New Roman" w:cs="Times New Roman"/>
            <w:color w:val="000000"/>
          </w:rPr>
          <w:tag w:val="MENDELEY_CITATION_v3_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"/>
          <w:id w:val="871506121"/>
          <w:placeholder>
            <w:docPart w:val="1719D996AE344E97AA47511CDABB0F89"/>
          </w:placeholder>
        </w:sdtPr>
        <w:sdtEndPr/>
        <w:sdtContent>
          <w:r w:rsidR="00572E88" w:rsidRPr="00572E88">
            <w:rPr>
              <w:rFonts w:ascii="Times New Roman" w:hAnsi="Times New Roman" w:cs="Times New Roman"/>
              <w:color w:val="000000"/>
            </w:rPr>
            <w:t>[9]</w:t>
          </w:r>
        </w:sdtContent>
      </w:sdt>
      <w:r>
        <w:rPr>
          <w:rFonts w:ascii="Times New Roman" w:hAnsi="Times New Roman" w:cs="Times New Roman"/>
          <w:color w:val="000000"/>
        </w:rPr>
        <w:t xml:space="preserve">. However, this cost estimate varies by age, sex, and location </w:t>
      </w:r>
      <w:sdt>
        <w:sdtPr>
          <w:rPr>
            <w:rFonts w:ascii="Times New Roman" w:hAnsi="Times New Roman" w:cs="Times New Roman"/>
            <w:color w:val="000000"/>
          </w:rPr>
          <w:tag w:val="MENDELEY_CITATION_v3_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"/>
          <w:id w:val="-60479055"/>
          <w:placeholder>
            <w:docPart w:val="1719D996AE344E97AA47511CDABB0F89"/>
          </w:placeholder>
        </w:sdtPr>
        <w:sdtEndPr/>
        <w:sdtContent>
          <w:r w:rsidR="00572E88" w:rsidRPr="00572E88">
            <w:rPr>
              <w:rFonts w:ascii="Times New Roman" w:hAnsi="Times New Roman" w:cs="Times New Roman"/>
              <w:color w:val="000000"/>
            </w:rPr>
            <w:t>[9]</w:t>
          </w:r>
        </w:sdtContent>
      </w:sdt>
      <w:r>
        <w:rPr>
          <w:rFonts w:ascii="Times New Roman" w:hAnsi="Times New Roman" w:cs="Times New Roman"/>
          <w:color w:val="000000"/>
        </w:rPr>
        <w:t xml:space="preserve">. Within the US working population, the total annual of COPD is approximately $5 billion, </w:t>
      </w:r>
      <w:r>
        <w:rPr>
          <w:rFonts w:ascii="Times New Roman" w:hAnsi="Times New Roman" w:cs="Times New Roman"/>
        </w:rPr>
        <w:t xml:space="preserve">of which 59% were paid by private insurance </w:t>
      </w:r>
      <w:sdt>
        <w:sdtPr>
          <w:rPr>
            <w:rFonts w:ascii="Times New Roman" w:hAnsi="Times New Roman" w:cs="Times New Roman"/>
            <w:color w:val="000000"/>
          </w:rPr>
          <w:tag w:val="MENDELEY_CITATION_v3_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"/>
          <w:id w:val="-1057159448"/>
          <w:placeholder>
            <w:docPart w:val="826A811A651C4A53AFC18E17732ACB9E"/>
          </w:placeholder>
        </w:sdtPr>
        <w:sdtEndPr/>
        <w:sdtContent>
          <w:r w:rsidR="00572E88" w:rsidRPr="00572E88">
            <w:rPr>
              <w:rFonts w:ascii="Times New Roman" w:hAnsi="Times New Roman" w:cs="Times New Roman"/>
              <w:color w:val="000000"/>
            </w:rPr>
            <w:t>[48]</w:t>
          </w:r>
        </w:sdtContent>
      </w:sdt>
      <w:r>
        <w:rPr>
          <w:rFonts w:ascii="Times New Roman" w:hAnsi="Times New Roman" w:cs="Times New Roman"/>
        </w:rPr>
        <w:t>. In-patient hospital visits constituted the highest COPD-related medical cost for US workers at $</w:t>
      </w:r>
      <w:r w:rsidRPr="007C7815">
        <w:rPr>
          <w:rFonts w:ascii="Times New Roman" w:hAnsi="Times New Roman" w:cs="Times New Roman"/>
        </w:rPr>
        <w:t>27,597</w:t>
      </w:r>
      <w:r>
        <w:rPr>
          <w:rFonts w:ascii="Times New Roman" w:hAnsi="Times New Roman" w:cs="Times New Roman"/>
        </w:rPr>
        <w:t xml:space="preserve"> per person annually </w:t>
      </w:r>
      <w:sdt>
        <w:sdtPr>
          <w:rPr>
            <w:rFonts w:ascii="Times New Roman" w:hAnsi="Times New Roman" w:cs="Times New Roman"/>
            <w:color w:val="000000"/>
          </w:rPr>
          <w:tag w:val="MENDELEY_CITATION_v3_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"/>
          <w:id w:val="1098291570"/>
          <w:placeholder>
            <w:docPart w:val="826A811A651C4A53AFC18E17732ACB9E"/>
          </w:placeholder>
        </w:sdtPr>
        <w:sdtEndPr/>
        <w:sdtContent>
          <w:r w:rsidR="00572E88" w:rsidRPr="00572E88">
            <w:rPr>
              <w:rFonts w:ascii="Times New Roman" w:hAnsi="Times New Roman" w:cs="Times New Roman"/>
              <w:color w:val="000000"/>
            </w:rPr>
            <w:t>[48]</w:t>
          </w:r>
        </w:sdtContent>
      </w:sdt>
      <w:r>
        <w:rPr>
          <w:rFonts w:ascii="Times New Roman" w:hAnsi="Times New Roman" w:cs="Times New Roman"/>
        </w:rPr>
        <w:t>.</w:t>
      </w:r>
    </w:p>
    <w:p w14:paraId="06F3B20A" w14:textId="586A5F85" w:rsidR="00573378" w:rsidRDefault="00573378" w:rsidP="00155738">
      <w:pPr>
        <w:spacing w:after="0" w:line="480" w:lineRule="auto"/>
        <w:ind w:firstLine="720"/>
        <w:rPr>
          <w:rFonts w:ascii="Times New Roman" w:hAnsi="Times New Roman" w:cs="Times New Roman"/>
          <w:color w:val="000000"/>
        </w:rPr>
      </w:pPr>
      <w:r>
        <w:rPr>
          <w:rFonts w:ascii="Times New Roman" w:hAnsi="Times New Roman" w:cs="Times New Roman"/>
          <w:color w:val="000000"/>
        </w:rPr>
        <w:t xml:space="preserve">Future projections anticipate a continued increase in the economic burden of COPD in the US. By 2029, Mannino et al estimates the annual cost of COPD to be $60.5 billion compared to only $33.5 billion in 2020 </w:t>
      </w:r>
      <w:sdt>
        <w:sdtPr>
          <w:rPr>
            <w:rFonts w:ascii="Times New Roman" w:hAnsi="Times New Roman" w:cs="Times New Roman"/>
            <w:color w:val="000000"/>
          </w:rPr>
          <w:tag w:val="MENDELEY_CITATION_v3_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"/>
          <w:id w:val="1027762929"/>
          <w:placeholder>
            <w:docPart w:val="1719D996AE344E97AA47511CDABB0F89"/>
          </w:placeholder>
        </w:sdtPr>
        <w:sdtEndPr/>
        <w:sdtContent>
          <w:r w:rsidR="00572E88" w:rsidRPr="00572E88">
            <w:rPr>
              <w:rFonts w:ascii="Times New Roman" w:hAnsi="Times New Roman" w:cs="Times New Roman"/>
              <w:color w:val="000000"/>
            </w:rPr>
            <w:t>[9]</w:t>
          </w:r>
        </w:sdtContent>
      </w:sdt>
      <w:r>
        <w:rPr>
          <w:rFonts w:ascii="Times New Roman" w:hAnsi="Times New Roman" w:cs="Times New Roman"/>
          <w:color w:val="000000"/>
        </w:rPr>
        <w:t xml:space="preserve">. In a separate study, Zafari et al projected $800.9 billion in direct and $101.3 billion in indirect costs from 2019-2038 </w:t>
      </w:r>
      <w:sdt>
        <w:sdtPr>
          <w:rPr>
            <w:rFonts w:ascii="Times New Roman" w:hAnsi="Times New Roman" w:cs="Times New Roman"/>
            <w:color w:val="000000"/>
          </w:rPr>
          <w:tag w:val="MENDELEY_CITATION_v3_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"/>
          <w:id w:val="1182163940"/>
          <w:placeholder>
            <w:docPart w:val="1719D996AE344E97AA47511CDABB0F89"/>
          </w:placeholder>
        </w:sdtPr>
        <w:sdtEndPr/>
        <w:sdtContent>
          <w:r w:rsidR="00572E88" w:rsidRPr="00572E88">
            <w:rPr>
              <w:rFonts w:ascii="Times New Roman" w:hAnsi="Times New Roman" w:cs="Times New Roman"/>
              <w:color w:val="000000"/>
            </w:rPr>
            <w:t>[49]</w:t>
          </w:r>
        </w:sdtContent>
      </w:sdt>
      <w:r>
        <w:rPr>
          <w:rFonts w:ascii="Times New Roman" w:hAnsi="Times New Roman" w:cs="Times New Roman"/>
          <w:color w:val="000000"/>
        </w:rPr>
        <w:t xml:space="preserve">. The projections varied by both age and sex. Males are estimated to account for $337.1 billion in direct costs during the same 20-year period while females are projected to contribute $463.8 billion </w:t>
      </w:r>
      <w:sdt>
        <w:sdtPr>
          <w:rPr>
            <w:rFonts w:ascii="Times New Roman" w:hAnsi="Times New Roman" w:cs="Times New Roman"/>
            <w:color w:val="000000"/>
          </w:rPr>
          <w:tag w:val="MENDELEY_CITATION_v3_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"/>
          <w:id w:val="-1707401895"/>
          <w:placeholder>
            <w:docPart w:val="1719D996AE344E97AA47511CDABB0F89"/>
          </w:placeholder>
        </w:sdtPr>
        <w:sdtEndPr/>
        <w:sdtContent>
          <w:r w:rsidR="00572E88" w:rsidRPr="00572E88">
            <w:rPr>
              <w:rFonts w:ascii="Times New Roman" w:hAnsi="Times New Roman" w:cs="Times New Roman"/>
              <w:color w:val="000000"/>
            </w:rPr>
            <w:t>[49]</w:t>
          </w:r>
        </w:sdtContent>
      </w:sdt>
      <w:r>
        <w:rPr>
          <w:rFonts w:ascii="Times New Roman" w:hAnsi="Times New Roman" w:cs="Times New Roman"/>
          <w:color w:val="000000"/>
        </w:rPr>
        <w:t xml:space="preserve">. For both males and females, the age group with the highest projected economic cost was 60-69 years at $95.1 billion for males and $125.9 billion for females </w:t>
      </w:r>
      <w:sdt>
        <w:sdtPr>
          <w:rPr>
            <w:rFonts w:ascii="Times New Roman" w:hAnsi="Times New Roman" w:cs="Times New Roman"/>
            <w:color w:val="000000"/>
          </w:rPr>
          <w:tag w:val="MENDELEY_CITATION_v3_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"/>
          <w:id w:val="-983690560"/>
          <w:placeholder>
            <w:docPart w:val="1719D996AE344E97AA47511CDABB0F89"/>
          </w:placeholder>
        </w:sdtPr>
        <w:sdtEndPr/>
        <w:sdtContent>
          <w:r w:rsidR="00572E88" w:rsidRPr="00572E88">
            <w:rPr>
              <w:rFonts w:ascii="Times New Roman" w:hAnsi="Times New Roman" w:cs="Times New Roman"/>
              <w:color w:val="000000"/>
            </w:rPr>
            <w:t>[49]</w:t>
          </w:r>
        </w:sdtContent>
      </w:sdt>
      <w:r>
        <w:rPr>
          <w:rFonts w:ascii="Times New Roman" w:hAnsi="Times New Roman" w:cs="Times New Roman"/>
          <w:color w:val="000000"/>
        </w:rPr>
        <w:t>.</w:t>
      </w:r>
    </w:p>
    <w:p w14:paraId="6CBCB9D3" w14:textId="77777777" w:rsidR="00CD53E6" w:rsidRPr="005363C9" w:rsidRDefault="00CD53E6" w:rsidP="00155738">
      <w:pPr>
        <w:spacing w:after="0" w:line="480" w:lineRule="auto"/>
      </w:pPr>
    </w:p>
    <w:p w14:paraId="27375BBA" w14:textId="77777777" w:rsidR="00D47413" w:rsidRDefault="00D47413" w:rsidP="00155738">
      <w:pPr>
        <w:pStyle w:val="Heading5"/>
        <w:spacing w:before="0" w:after="0" w:line="480" w:lineRule="auto"/>
      </w:pPr>
      <w:bookmarkStart w:id="23" w:name="_Toc200096946"/>
      <w:r>
        <w:lastRenderedPageBreak/>
        <w:t>Workforce Impacts</w:t>
      </w:r>
      <w:bookmarkEnd w:id="23"/>
    </w:p>
    <w:p w14:paraId="0B789F51" w14:textId="6EEC952B" w:rsidR="00573378" w:rsidRDefault="00573378" w:rsidP="00155738">
      <w:pPr>
        <w:spacing w:after="0" w:line="480" w:lineRule="auto"/>
        <w:ind w:firstLine="720"/>
        <w:rPr>
          <w:rFonts w:ascii="Times New Roman" w:hAnsi="Times New Roman" w:cs="Times New Roman"/>
        </w:rPr>
      </w:pPr>
      <w:r>
        <w:rPr>
          <w:rFonts w:ascii="Times New Roman" w:hAnsi="Times New Roman" w:cs="Times New Roman"/>
        </w:rPr>
        <w:t xml:space="preserve">Although the burden of COPD is often measured in monetary terms, the impacts to the workforce can be measured through other standards such as absenteeism, early retirement, and physical impairment that interferes with daily tasks. In a multi-country study of working age COPD patients, 70% of the cohort were unemployed, and approximately 40% of the cohort reported early retirement due to COPD </w:t>
      </w:r>
      <w:sdt>
        <w:sdtPr>
          <w:rPr>
            <w:rFonts w:ascii="Times New Roman" w:hAnsi="Times New Roman" w:cs="Times New Roman"/>
            <w:color w:val="000000"/>
          </w:rPr>
          <w:tag w:val="MENDELEY_CITATION_v3_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"/>
          <w:id w:val="-1244728026"/>
          <w:placeholder>
            <w:docPart w:val="0F4EA1311A904595B7145B515945434A"/>
          </w:placeholder>
        </w:sdtPr>
        <w:sdtEndPr/>
        <w:sdtContent>
          <w:r w:rsidR="00572E88" w:rsidRPr="00572E88">
            <w:rPr>
              <w:rFonts w:ascii="Times New Roman" w:hAnsi="Times New Roman" w:cs="Times New Roman"/>
              <w:color w:val="000000"/>
            </w:rPr>
            <w:t>[50]</w:t>
          </w:r>
        </w:sdtContent>
      </w:sdt>
      <w:r>
        <w:rPr>
          <w:rFonts w:ascii="Times New Roman" w:hAnsi="Times New Roman" w:cs="Times New Roman"/>
          <w:color w:val="000000"/>
        </w:rPr>
        <w:t xml:space="preserve">. In the Burden of Obstructive Lung Disease (BOLD) study, only 36.7% of those &lt;65 years old with obstructive pulmonary disease were employed in the past year compared 53.2% employment in those without obstructive pulmonary disease </w:t>
      </w:r>
      <w:sdt>
        <w:sdtPr>
          <w:rPr>
            <w:rFonts w:ascii="Times New Roman" w:hAnsi="Times New Roman" w:cs="Times New Roman"/>
            <w:color w:val="000000"/>
          </w:rPr>
          <w:tag w:val="MENDELEY_CITATION_v3_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"/>
          <w:id w:val="946743431"/>
          <w:placeholder>
            <w:docPart w:val="0F4EA1311A904595B7145B515945434A"/>
          </w:placeholder>
        </w:sdtPr>
        <w:sdtEndPr/>
        <w:sdtContent>
          <w:r w:rsidR="00572E88" w:rsidRPr="00572E88">
            <w:rPr>
              <w:rFonts w:ascii="Times New Roman" w:hAnsi="Times New Roman" w:cs="Times New Roman"/>
              <w:color w:val="000000"/>
            </w:rPr>
            <w:t>[51]</w:t>
          </w:r>
        </w:sdtContent>
      </w:sdt>
      <w:r>
        <w:rPr>
          <w:rFonts w:ascii="Times New Roman" w:hAnsi="Times New Roman" w:cs="Times New Roman"/>
          <w:color w:val="000000"/>
        </w:rPr>
        <w:t xml:space="preserve">. Regarding absenteeism, individuals with COPD miss a mean of 12 workdays per year compared to a mean of only 7.2 days for those without COPD </w:t>
      </w:r>
      <w:sdt>
        <w:sdtPr>
          <w:rPr>
            <w:rFonts w:ascii="Times New Roman" w:hAnsi="Times New Roman" w:cs="Times New Roman"/>
            <w:color w:val="000000"/>
          </w:rPr>
          <w:tag w:val="MENDELEY_CITATION_v3_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"/>
          <w:id w:val="-1544512823"/>
          <w:placeholder>
            <w:docPart w:val="0F4EA1311A904595B7145B515945434A"/>
          </w:placeholder>
        </w:sdtPr>
        <w:sdtEndPr/>
        <w:sdtContent>
          <w:r w:rsidR="00572E88" w:rsidRPr="00572E88">
            <w:rPr>
              <w:rFonts w:ascii="Times New Roman" w:hAnsi="Times New Roman" w:cs="Times New Roman"/>
              <w:color w:val="000000"/>
            </w:rPr>
            <w:t>[52]</w:t>
          </w:r>
        </w:sdtContent>
      </w:sdt>
      <w:r>
        <w:rPr>
          <w:rFonts w:ascii="Times New Roman" w:hAnsi="Times New Roman" w:cs="Times New Roman"/>
        </w:rPr>
        <w:t xml:space="preserve">. </w:t>
      </w:r>
    </w:p>
    <w:p w14:paraId="2D849AA7" w14:textId="00DE1DBF" w:rsidR="00573378" w:rsidRPr="00234CA5" w:rsidRDefault="00573378" w:rsidP="00155738">
      <w:pPr>
        <w:spacing w:after="0" w:line="480" w:lineRule="auto"/>
        <w:ind w:firstLine="720"/>
        <w:rPr>
          <w:rFonts w:ascii="Times New Roman" w:hAnsi="Times New Roman" w:cs="Times New Roman"/>
        </w:rPr>
      </w:pPr>
      <w:r>
        <w:rPr>
          <w:rFonts w:ascii="Times New Roman" w:hAnsi="Times New Roman" w:cs="Times New Roman"/>
        </w:rPr>
        <w:t xml:space="preserve">In country-specific studies, comorbidities, length of disease, and higher dyspnea levels were associated with lower productivity and higher daily activity impairment in a cohort of Egyptian COPD patients </w:t>
      </w:r>
      <w:sdt>
        <w:sdtPr>
          <w:rPr>
            <w:rFonts w:ascii="Times New Roman" w:hAnsi="Times New Roman" w:cs="Times New Roman"/>
            <w:color w:val="000000"/>
          </w:rPr>
          <w:tag w:val="MENDELEY_CITATION_v3_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"/>
          <w:id w:val="-396977311"/>
          <w:placeholder>
            <w:docPart w:val="0F4EA1311A904595B7145B515945434A"/>
          </w:placeholder>
        </w:sdtPr>
        <w:sdtEndPr/>
        <w:sdtContent>
          <w:r w:rsidR="00572E88" w:rsidRPr="00572E88">
            <w:rPr>
              <w:rFonts w:ascii="Times New Roman" w:hAnsi="Times New Roman" w:cs="Times New Roman"/>
              <w:color w:val="000000"/>
            </w:rPr>
            <w:t>[53]</w:t>
          </w:r>
        </w:sdtContent>
      </w:sdt>
      <w:r>
        <w:rPr>
          <w:rFonts w:ascii="Times New Roman" w:hAnsi="Times New Roman" w:cs="Times New Roman"/>
        </w:rPr>
        <w:t xml:space="preserve">. After 18 months of follow-up, 78.5% of a United Kingdom cohort of COPD patients remained in full time employment while 10.6% and 10.9% transitioned to part-time or full unemployment, respectively </w:t>
      </w:r>
      <w:sdt>
        <w:sdtPr>
          <w:rPr>
            <w:rFonts w:ascii="Times New Roman" w:hAnsi="Times New Roman" w:cs="Times New Roman"/>
            <w:color w:val="000000"/>
          </w:rPr>
          <w:tag w:val="MENDELEY_CITATION_v3_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"/>
          <w:id w:val="2125569793"/>
          <w:placeholder>
            <w:docPart w:val="0F4EA1311A904595B7145B515945434A"/>
          </w:placeholder>
        </w:sdtPr>
        <w:sdtEndPr/>
        <w:sdtContent>
          <w:r w:rsidR="00572E88" w:rsidRPr="00572E88">
            <w:rPr>
              <w:rFonts w:ascii="Times New Roman" w:hAnsi="Times New Roman" w:cs="Times New Roman"/>
              <w:color w:val="000000"/>
            </w:rPr>
            <w:t>[54]</w:t>
          </w:r>
        </w:sdtContent>
      </w:sdt>
      <w:r>
        <w:rPr>
          <w:rFonts w:ascii="Times New Roman" w:hAnsi="Times New Roman" w:cs="Times New Roman"/>
        </w:rPr>
        <w:t xml:space="preserve">. Only 30% of working age adults (ages 35-59 years) in the Netherlands were actively employed one year after first hospitalization for COPD exacerbation </w:t>
      </w:r>
      <w:sdt>
        <w:sdtPr>
          <w:rPr>
            <w:rFonts w:ascii="Times New Roman" w:hAnsi="Times New Roman" w:cs="Times New Roman"/>
            <w:color w:val="000000"/>
          </w:rPr>
          <w:tag w:val="MENDELEY_CITATION_v3_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"/>
          <w:id w:val="1300267185"/>
          <w:placeholder>
            <w:docPart w:val="0F4EA1311A904595B7145B515945434A"/>
          </w:placeholder>
        </w:sdtPr>
        <w:sdtEndPr/>
        <w:sdtContent>
          <w:r w:rsidR="00572E88" w:rsidRPr="00572E88">
            <w:rPr>
              <w:rFonts w:ascii="Times New Roman" w:hAnsi="Times New Roman" w:cs="Times New Roman"/>
              <w:color w:val="000000"/>
            </w:rPr>
            <w:t>[55]</w:t>
          </w:r>
        </w:sdtContent>
      </w:sdt>
      <w:r>
        <w:rPr>
          <w:rFonts w:ascii="Times New Roman" w:hAnsi="Times New Roman" w:cs="Times New Roman"/>
          <w:color w:val="000000"/>
        </w:rPr>
        <w:t xml:space="preserve">. In the same period, 51% reported early retirement </w:t>
      </w:r>
      <w:sdt>
        <w:sdtPr>
          <w:rPr>
            <w:rFonts w:ascii="Times New Roman" w:hAnsi="Times New Roman" w:cs="Times New Roman"/>
            <w:color w:val="000000"/>
          </w:rPr>
          <w:tag w:val="MENDELEY_CITATION_v3_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"/>
          <w:id w:val="-197474520"/>
          <w:placeholder>
            <w:docPart w:val="0F4EA1311A904595B7145B515945434A"/>
          </w:placeholder>
        </w:sdtPr>
        <w:sdtEndPr/>
        <w:sdtContent>
          <w:r w:rsidR="00572E88" w:rsidRPr="00572E88">
            <w:rPr>
              <w:rFonts w:ascii="Times New Roman" w:hAnsi="Times New Roman" w:cs="Times New Roman"/>
              <w:color w:val="000000"/>
            </w:rPr>
            <w:t>[55]</w:t>
          </w:r>
        </w:sdtContent>
      </w:sdt>
      <w:r>
        <w:rPr>
          <w:rFonts w:ascii="Times New Roman" w:hAnsi="Times New Roman" w:cs="Times New Roman"/>
        </w:rPr>
        <w:t xml:space="preserve">. Compared to those still actively working, cohort members who received early retirement had higher odds of hospital readmittance and mortality over the follow-up period </w:t>
      </w:r>
      <w:sdt>
        <w:sdtPr>
          <w:rPr>
            <w:rFonts w:ascii="Times New Roman" w:hAnsi="Times New Roman" w:cs="Times New Roman"/>
            <w:color w:val="000000"/>
          </w:rPr>
          <w:tag w:val="MENDELEY_CITATION_v3_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"/>
          <w:id w:val="-2073496820"/>
          <w:placeholder>
            <w:docPart w:val="0F4EA1311A904595B7145B515945434A"/>
          </w:placeholder>
        </w:sdtPr>
        <w:sdtEndPr/>
        <w:sdtContent>
          <w:r w:rsidR="00572E88" w:rsidRPr="00572E88">
            <w:rPr>
              <w:rFonts w:ascii="Times New Roman" w:hAnsi="Times New Roman" w:cs="Times New Roman"/>
              <w:color w:val="000000"/>
            </w:rPr>
            <w:t>[55]</w:t>
          </w:r>
        </w:sdtContent>
      </w:sdt>
      <w:r>
        <w:rPr>
          <w:rFonts w:ascii="Times New Roman" w:hAnsi="Times New Roman" w:cs="Times New Roman"/>
        </w:rPr>
        <w:t xml:space="preserve">. A similar study in Denmark reported an increase in disability retirements after first hospitalization for COPD exacerbation in those with advanced, comorbidities, lower educational attainment, solo living, and advanced treatment regiments </w:t>
      </w:r>
      <w:sdt>
        <w:sdtPr>
          <w:rPr>
            <w:rFonts w:ascii="Times New Roman" w:hAnsi="Times New Roman" w:cs="Times New Roman"/>
            <w:color w:val="000000"/>
          </w:rPr>
          <w:tag w:val="MENDELEY_CITATION_v3_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"/>
          <w:id w:val="-327904572"/>
          <w:placeholder>
            <w:docPart w:val="0F4EA1311A904595B7145B515945434A"/>
          </w:placeholder>
        </w:sdtPr>
        <w:sdtEndPr/>
        <w:sdtContent>
          <w:r w:rsidR="00572E88" w:rsidRPr="00572E88">
            <w:rPr>
              <w:rFonts w:ascii="Times New Roman" w:hAnsi="Times New Roman" w:cs="Times New Roman"/>
              <w:color w:val="000000"/>
            </w:rPr>
            <w:t>[56]</w:t>
          </w:r>
        </w:sdtContent>
      </w:sdt>
      <w:r>
        <w:rPr>
          <w:rFonts w:ascii="Times New Roman" w:hAnsi="Times New Roman" w:cs="Times New Roman"/>
        </w:rPr>
        <w:t xml:space="preserve">. </w:t>
      </w:r>
    </w:p>
    <w:p w14:paraId="2C01EF42" w14:textId="6617DDA4" w:rsidR="00D47413" w:rsidRDefault="00573378" w:rsidP="00155738">
      <w:pPr>
        <w:spacing w:after="0" w:line="480" w:lineRule="auto"/>
        <w:ind w:firstLine="720"/>
        <w:rPr>
          <w:rFonts w:ascii="Times New Roman" w:hAnsi="Times New Roman" w:cs="Times New Roman"/>
        </w:rPr>
      </w:pPr>
      <w:r>
        <w:rPr>
          <w:rFonts w:ascii="Times New Roman" w:hAnsi="Times New Roman" w:cs="Times New Roman"/>
        </w:rPr>
        <w:lastRenderedPageBreak/>
        <w:t xml:space="preserve">Specific to the United States (US), Blanc et al reported the population attributable fraction of COPD from occupational exposures to be 14% for all US workers, and for non-smoking US workers at 31% </w:t>
      </w:r>
      <w:sdt>
        <w:sdtPr>
          <w:rPr>
            <w:rFonts w:ascii="Times New Roman" w:hAnsi="Times New Roman" w:cs="Times New Roman"/>
            <w:color w:val="000000"/>
          </w:rPr>
          <w:tag w:val="MENDELEY_CITATION_v3_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"/>
          <w:id w:val="387842044"/>
          <w:placeholder>
            <w:docPart w:val="0F4EA1311A904595B7145B515945434A"/>
          </w:placeholder>
        </w:sdtPr>
        <w:sdtEndPr/>
        <w:sdtContent>
          <w:r w:rsidR="00572E88" w:rsidRPr="00572E88">
            <w:rPr>
              <w:rFonts w:ascii="Times New Roman" w:hAnsi="Times New Roman" w:cs="Times New Roman"/>
              <w:color w:val="000000"/>
            </w:rPr>
            <w:t>[13]</w:t>
          </w:r>
        </w:sdtContent>
      </w:sdt>
      <w:r>
        <w:rPr>
          <w:rFonts w:ascii="Times New Roman" w:hAnsi="Times New Roman" w:cs="Times New Roman"/>
          <w:color w:val="000000"/>
        </w:rPr>
        <w:t xml:space="preserve">. In a recent update from the National Health Interview Survey, approximately 27.3% of COPD cases in all workers can be attributed to occupational causes </w:t>
      </w:r>
      <w:sdt>
        <w:sdtPr>
          <w:rPr>
            <w:rFonts w:ascii="Times New Roman" w:hAnsi="Times New Roman" w:cs="Times New Roman"/>
            <w:color w:val="000000"/>
          </w:rPr>
          <w:tag w:val="MENDELEY_CITATION_v3_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"/>
          <w:id w:val="-368075155"/>
          <w:placeholder>
            <w:docPart w:val="0F4EA1311A904595B7145B515945434A"/>
          </w:placeholder>
        </w:sdtPr>
        <w:sdtEndPr/>
        <w:sdtContent>
          <w:r w:rsidR="00572E88" w:rsidRPr="00572E88">
            <w:rPr>
              <w:rFonts w:ascii="Times New Roman" w:hAnsi="Times New Roman" w:cs="Times New Roman"/>
              <w:color w:val="000000"/>
            </w:rPr>
            <w:t>[57]</w:t>
          </w:r>
        </w:sdtContent>
      </w:sdt>
      <w:r>
        <w:rPr>
          <w:rFonts w:ascii="Times New Roman" w:hAnsi="Times New Roman" w:cs="Times New Roman"/>
        </w:rPr>
        <w:t xml:space="preserve">. Regarding productivity, 24.3% of individuals with COPD were unable to work due to physical impairment, and nearly 50% of individuals with COPD experienced health-related activity limitation </w:t>
      </w:r>
      <w:sdt>
        <w:sdtPr>
          <w:rPr>
            <w:rFonts w:ascii="Times New Roman" w:hAnsi="Times New Roman" w:cs="Times New Roman"/>
            <w:color w:val="000000"/>
          </w:rPr>
          <w:tag w:val="MENDELEY_CITATION_v3_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"/>
          <w:id w:val="809821452"/>
          <w:placeholder>
            <w:docPart w:val="0F4EA1311A904595B7145B515945434A"/>
          </w:placeholder>
        </w:sdtPr>
        <w:sdtEndPr/>
        <w:sdtContent>
          <w:r w:rsidR="00572E88" w:rsidRPr="00572E88">
            <w:rPr>
              <w:rFonts w:ascii="Times New Roman" w:hAnsi="Times New Roman" w:cs="Times New Roman"/>
              <w:color w:val="000000"/>
            </w:rPr>
            <w:t>[58]</w:t>
          </w:r>
        </w:sdtContent>
      </w:sdt>
      <w:r>
        <w:rPr>
          <w:rFonts w:ascii="Times New Roman" w:hAnsi="Times New Roman" w:cs="Times New Roman"/>
        </w:rPr>
        <w:t xml:space="preserve">. However, Patel et al reported the likelihood of absenteeism to be the same in the workforce regardless of COPD status </w:t>
      </w:r>
      <w:sdt>
        <w:sdtPr>
          <w:rPr>
            <w:rFonts w:ascii="Times New Roman" w:hAnsi="Times New Roman" w:cs="Times New Roman"/>
            <w:color w:val="000000"/>
          </w:rPr>
          <w:tag w:val="MENDELEY_CITATION_v3_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"/>
          <w:id w:val="2129114501"/>
          <w:placeholder>
            <w:docPart w:val="0F4EA1311A904595B7145B515945434A"/>
          </w:placeholder>
        </w:sdtPr>
        <w:sdtEndPr/>
        <w:sdtContent>
          <w:r w:rsidR="00572E88" w:rsidRPr="00572E88">
            <w:rPr>
              <w:rFonts w:ascii="Times New Roman" w:hAnsi="Times New Roman" w:cs="Times New Roman"/>
              <w:color w:val="000000"/>
            </w:rPr>
            <w:t>[59]</w:t>
          </w:r>
        </w:sdtContent>
      </w:sdt>
      <w:r>
        <w:rPr>
          <w:rFonts w:ascii="Times New Roman" w:hAnsi="Times New Roman" w:cs="Times New Roman"/>
        </w:rPr>
        <w:t xml:space="preserve">. However, workers with COPD had 2.6 times higher odds of short-term disability compared to those without COPD </w:t>
      </w:r>
      <w:sdt>
        <w:sdtPr>
          <w:rPr>
            <w:rFonts w:ascii="Times New Roman" w:hAnsi="Times New Roman" w:cs="Times New Roman"/>
            <w:color w:val="000000"/>
          </w:rPr>
          <w:tag w:val="MENDELEY_CITATION_v3_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"/>
          <w:id w:val="2136367930"/>
          <w:placeholder>
            <w:docPart w:val="0F4EA1311A904595B7145B515945434A"/>
          </w:placeholder>
        </w:sdtPr>
        <w:sdtEndPr/>
        <w:sdtContent>
          <w:r w:rsidR="00572E88" w:rsidRPr="00572E88">
            <w:rPr>
              <w:rFonts w:ascii="Times New Roman" w:hAnsi="Times New Roman" w:cs="Times New Roman"/>
              <w:color w:val="000000"/>
            </w:rPr>
            <w:t>[59]</w:t>
          </w:r>
        </w:sdtContent>
      </w:sdt>
      <w:r>
        <w:rPr>
          <w:rFonts w:ascii="Times New Roman" w:hAnsi="Times New Roman" w:cs="Times New Roman"/>
        </w:rPr>
        <w:t>.</w:t>
      </w:r>
    </w:p>
    <w:p w14:paraId="51E32958" w14:textId="77777777" w:rsidR="00CD53E6" w:rsidRPr="00D715E7" w:rsidRDefault="00CD53E6" w:rsidP="00155738">
      <w:pPr>
        <w:spacing w:after="0" w:line="480" w:lineRule="auto"/>
        <w:rPr>
          <w:rFonts w:ascii="Times New Roman" w:hAnsi="Times New Roman" w:cs="Times New Roman"/>
          <w:color w:val="000000"/>
        </w:rPr>
      </w:pPr>
    </w:p>
    <w:p w14:paraId="61447038" w14:textId="77777777" w:rsidR="00D47413" w:rsidRPr="00CF47F9" w:rsidRDefault="00D47413" w:rsidP="00155738">
      <w:pPr>
        <w:pStyle w:val="Heading4"/>
        <w:spacing w:before="0" w:after="0" w:line="480" w:lineRule="auto"/>
        <w:rPr>
          <w:szCs w:val="28"/>
        </w:rPr>
      </w:pPr>
      <w:bookmarkStart w:id="24" w:name="_Toc200096947"/>
      <w:r w:rsidRPr="00CF47F9">
        <w:rPr>
          <w:szCs w:val="28"/>
        </w:rPr>
        <w:t>Geographic Patterns of COPD</w:t>
      </w:r>
      <w:bookmarkEnd w:id="24"/>
    </w:p>
    <w:p w14:paraId="19920BDB" w14:textId="77777777" w:rsidR="00D47413" w:rsidRDefault="00D47413" w:rsidP="00155738">
      <w:pPr>
        <w:pStyle w:val="Heading6"/>
        <w:spacing w:before="0" w:line="480" w:lineRule="auto"/>
      </w:pPr>
      <w:bookmarkStart w:id="25" w:name="_Toc200096948"/>
      <w:r>
        <w:t>Global Patterns</w:t>
      </w:r>
      <w:bookmarkEnd w:id="25"/>
    </w:p>
    <w:p w14:paraId="0CB3BDB1" w14:textId="20D720FA" w:rsidR="00573378" w:rsidRDefault="00573378" w:rsidP="00155738">
      <w:pPr>
        <w:spacing w:after="0" w:line="480" w:lineRule="auto"/>
        <w:ind w:firstLine="720"/>
        <w:rPr>
          <w:rFonts w:ascii="Times New Roman" w:hAnsi="Times New Roman" w:cs="Times New Roman"/>
        </w:rPr>
      </w:pPr>
      <w:r>
        <w:rPr>
          <w:rFonts w:ascii="Times New Roman" w:hAnsi="Times New Roman" w:cs="Times New Roman"/>
        </w:rPr>
        <w:t xml:space="preserve">Differences in geographic distribution of COPD prevalence estimates exist </w:t>
      </w:r>
      <w:sdt>
        <w:sdtPr>
          <w:rPr>
            <w:rFonts w:ascii="Times New Roman" w:hAnsi="Times New Roman" w:cs="Times New Roman"/>
            <w:color w:val="000000"/>
          </w:rPr>
          <w:tag w:val="MENDELEY_CITATION_v3_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"/>
          <w:id w:val="-282809885"/>
          <w:placeholder>
            <w:docPart w:val="ADCFB543CDDF4A8BA07AE611AFBD88B1"/>
          </w:placeholder>
        </w:sdtPr>
        <w:sdtEndPr/>
        <w:sdtContent>
          <w:r w:rsidR="00572E88" w:rsidRPr="00572E88">
            <w:rPr>
              <w:rFonts w:ascii="Times New Roman" w:hAnsi="Times New Roman" w:cs="Times New Roman"/>
              <w:color w:val="000000"/>
            </w:rPr>
            <w:t>[38,60–64]</w:t>
          </w:r>
        </w:sdtContent>
      </w:sdt>
      <w:r>
        <w:rPr>
          <w:rFonts w:ascii="Times New Roman" w:hAnsi="Times New Roman" w:cs="Times New Roman"/>
        </w:rPr>
        <w:t xml:space="preserve">. Globally, the prevalence of COPD is approximately 10.3% using the GOLD criterion, and 7.6% using the LLN standard </w:t>
      </w:r>
      <w:sdt>
        <w:sdtPr>
          <w:rPr>
            <w:rFonts w:ascii="Times New Roman" w:hAnsi="Times New Roman" w:cs="Times New Roman"/>
            <w:color w:val="000000"/>
          </w:rPr>
          <w:tag w:val="MENDELEY_CITATION_v3_eyJjaXRhdGlvbklEIjoiTUVOREVMRVlfQ0lUQVRJT05fZTlkNDNjZWItZWFiMi00ZjA0LWJjYmYtYjAyYTk4YTMxZmQ0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
          <w:id w:val="-1364668858"/>
          <w:placeholder>
            <w:docPart w:val="ADCFB543CDDF4A8BA07AE611AFBD88B1"/>
          </w:placeholder>
        </w:sdtPr>
        <w:sdtEndPr/>
        <w:sdtContent>
          <w:r w:rsidR="00572E88" w:rsidRPr="00572E88">
            <w:rPr>
              <w:rFonts w:ascii="Times New Roman" w:hAnsi="Times New Roman" w:cs="Times New Roman"/>
              <w:color w:val="000000"/>
            </w:rPr>
            <w:t>[38]</w:t>
          </w:r>
        </w:sdtContent>
      </w:sdt>
      <w:r>
        <w:rPr>
          <w:rFonts w:ascii="Times New Roman" w:hAnsi="Times New Roman" w:cs="Times New Roman"/>
        </w:rPr>
        <w:t xml:space="preserve">. The geographic distribution is similar for high-income (10.1%) and low-to-middle income countries (10.3%) when prevalence is defined using the GOLD criterion. However, the prevalence estimates calculated with the LLN standard is higher at 9.3% in high-income countries compared to low-to-middle income countries where the prevalence is 7.3% </w:t>
      </w:r>
      <w:sdt>
        <w:sdtPr>
          <w:rPr>
            <w:rFonts w:ascii="Times New Roman" w:hAnsi="Times New Roman" w:cs="Times New Roman"/>
            <w:color w:val="000000"/>
          </w:rPr>
          <w:tag w:val="MENDELEY_CITATION_v3_eyJjaXRhdGlvbklEIjoiTUVOREVMRVlfQ0lUQVRJT05fNThmMTU4YzEtYTllMi00ZDA4LWI5NjItMTgzNGIzMDEwNWIx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
          <w:id w:val="-1416002997"/>
          <w:placeholder>
            <w:docPart w:val="ADCFB543CDDF4A8BA07AE611AFBD88B1"/>
          </w:placeholder>
        </w:sdtPr>
        <w:sdtEndPr/>
        <w:sdtContent>
          <w:r w:rsidR="00572E88" w:rsidRPr="00572E88">
            <w:rPr>
              <w:rFonts w:ascii="Times New Roman" w:hAnsi="Times New Roman" w:cs="Times New Roman"/>
              <w:color w:val="000000"/>
            </w:rPr>
            <w:t>[38]</w:t>
          </w:r>
        </w:sdtContent>
      </w:sdt>
      <w:r>
        <w:rPr>
          <w:rFonts w:ascii="Times New Roman" w:hAnsi="Times New Roman" w:cs="Times New Roman"/>
        </w:rPr>
        <w:t xml:space="preserve">. A separate study reported that high-income countries in North America had the highest prevalence of COPD at 3,558.4 cases per 100,000 followed by countries in South Asia at 3,298.8 per 100,000 </w:t>
      </w:r>
      <w:sdt>
        <w:sdtPr>
          <w:rPr>
            <w:rFonts w:ascii="Times New Roman" w:hAnsi="Times New Roman" w:cs="Times New Roman"/>
            <w:color w:val="000000"/>
          </w:rPr>
          <w:tag w:val="MENDELEY_CITATION_v3_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"/>
          <w:id w:val="1560589484"/>
          <w:placeholder>
            <w:docPart w:val="ADCFB543CDDF4A8BA07AE611AFBD88B1"/>
          </w:placeholder>
        </w:sdtPr>
        <w:sdtEndPr/>
        <w:sdtContent>
          <w:r w:rsidR="00572E88" w:rsidRPr="00572E88">
            <w:rPr>
              <w:rFonts w:ascii="Times New Roman" w:hAnsi="Times New Roman" w:cs="Times New Roman"/>
              <w:color w:val="000000"/>
            </w:rPr>
            <w:t>[3]</w:t>
          </w:r>
        </w:sdtContent>
      </w:sdt>
      <w:r>
        <w:rPr>
          <w:rFonts w:ascii="Times New Roman" w:hAnsi="Times New Roman" w:cs="Times New Roman"/>
        </w:rPr>
        <w:t xml:space="preserve">. The regions with the lowest prevalence of COPD were Andean Latin America (1,382.6 per 100,000), Asia Pacific high-income countries (1,500.7 per 100,000), and eastern sub-Saharan Africa (1,503.7 per 100,000) </w:t>
      </w:r>
      <w:sdt>
        <w:sdtPr>
          <w:rPr>
            <w:rFonts w:ascii="Times New Roman" w:hAnsi="Times New Roman" w:cs="Times New Roman"/>
            <w:color w:val="000000"/>
          </w:rPr>
          <w:tag w:val="MENDELEY_CITATION_v3_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"/>
          <w:id w:val="-50548949"/>
          <w:placeholder>
            <w:docPart w:val="ADCFB543CDDF4A8BA07AE611AFBD88B1"/>
          </w:placeholder>
        </w:sdtPr>
        <w:sdtEndPr/>
        <w:sdtContent>
          <w:r w:rsidR="00572E88" w:rsidRPr="00572E88">
            <w:rPr>
              <w:rFonts w:ascii="Times New Roman" w:hAnsi="Times New Roman" w:cs="Times New Roman"/>
              <w:color w:val="000000"/>
            </w:rPr>
            <w:t>[3]</w:t>
          </w:r>
        </w:sdtContent>
      </w:sdt>
      <w:r>
        <w:rPr>
          <w:rFonts w:ascii="Times New Roman" w:hAnsi="Times New Roman" w:cs="Times New Roman"/>
        </w:rPr>
        <w:t xml:space="preserve">. However, Safiri et al suggests that access to </w:t>
      </w:r>
      <w:r>
        <w:rPr>
          <w:rFonts w:ascii="Times New Roman" w:hAnsi="Times New Roman" w:cs="Times New Roman"/>
        </w:rPr>
        <w:lastRenderedPageBreak/>
        <w:t xml:space="preserve">healthcare services, particularly diagnostic equipment, may limit the ability to classify COPD in low-income countries and therefore it is potentially under reported </w:t>
      </w:r>
      <w:sdt>
        <w:sdtPr>
          <w:rPr>
            <w:rFonts w:ascii="Times New Roman" w:hAnsi="Times New Roman" w:cs="Times New Roman"/>
            <w:color w:val="000000"/>
          </w:rPr>
          <w:tag w:val="MENDELEY_CITATION_v3_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"/>
          <w:id w:val="-1262300743"/>
          <w:placeholder>
            <w:docPart w:val="ADCFB543CDDF4A8BA07AE611AFBD88B1"/>
          </w:placeholder>
        </w:sdtPr>
        <w:sdtEndPr/>
        <w:sdtContent>
          <w:r w:rsidR="00572E88" w:rsidRPr="00572E88">
            <w:rPr>
              <w:rFonts w:ascii="Times New Roman" w:hAnsi="Times New Roman" w:cs="Times New Roman"/>
              <w:color w:val="000000"/>
            </w:rPr>
            <w:t>[3]</w:t>
          </w:r>
        </w:sdtContent>
      </w:sdt>
      <w:r>
        <w:rPr>
          <w:rFonts w:ascii="Times New Roman" w:hAnsi="Times New Roman" w:cs="Times New Roman"/>
        </w:rPr>
        <w:t xml:space="preserve">. </w:t>
      </w:r>
    </w:p>
    <w:p w14:paraId="6680E014" w14:textId="6F56316C" w:rsidR="00573378" w:rsidRPr="00CB3863" w:rsidRDefault="00573378" w:rsidP="00155738">
      <w:pPr>
        <w:spacing w:after="0" w:line="480" w:lineRule="auto"/>
        <w:ind w:firstLine="720"/>
        <w:rPr>
          <w:rFonts w:ascii="Times New Roman" w:hAnsi="Times New Roman" w:cs="Times New Roman"/>
        </w:rPr>
      </w:pPr>
      <w:r>
        <w:rPr>
          <w:rFonts w:ascii="Times New Roman" w:hAnsi="Times New Roman" w:cs="Times New Roman"/>
        </w:rPr>
        <w:t xml:space="preserve">Spatial variations of COPD prevalence were also reported across China with the highest prevalence occurring in </w:t>
      </w:r>
      <w:proofErr w:type="spellStart"/>
      <w:r>
        <w:rPr>
          <w:rFonts w:ascii="Times New Roman" w:hAnsi="Times New Roman" w:cs="Times New Roman"/>
        </w:rPr>
        <w:t>Deyang</w:t>
      </w:r>
      <w:proofErr w:type="spellEnd"/>
      <w:r>
        <w:rPr>
          <w:rFonts w:ascii="Times New Roman" w:hAnsi="Times New Roman" w:cs="Times New Roman"/>
        </w:rPr>
        <w:t xml:space="preserve"> City at 21.8% </w:t>
      </w:r>
      <w:sdt>
        <w:sdtPr>
          <w:rPr>
            <w:rFonts w:ascii="Times New Roman" w:hAnsi="Times New Roman" w:cs="Times New Roman"/>
            <w:color w:val="000000"/>
          </w:rPr>
          <w:tag w:val="MENDELEY_CITATION_v3_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"/>
          <w:id w:val="-1252273955"/>
          <w:placeholder>
            <w:docPart w:val="ADCFB543CDDF4A8BA07AE611AFBD88B1"/>
          </w:placeholder>
        </w:sdtPr>
        <w:sdtEndPr/>
        <w:sdtContent>
          <w:r w:rsidR="00572E88" w:rsidRPr="00572E88">
            <w:rPr>
              <w:rFonts w:ascii="Times New Roman" w:hAnsi="Times New Roman" w:cs="Times New Roman"/>
              <w:color w:val="000000"/>
            </w:rPr>
            <w:t>[65]</w:t>
          </w:r>
        </w:sdtContent>
      </w:sdt>
      <w:r>
        <w:rPr>
          <w:rFonts w:ascii="Times New Roman" w:hAnsi="Times New Roman" w:cs="Times New Roman"/>
        </w:rPr>
        <w:t xml:space="preserve">. Three high prevalence clusters in the Sichuan, Gansu, and Shaanxi areas of China were also geographic areas with high proportions of smokers and older adults </w:t>
      </w:r>
      <w:sdt>
        <w:sdtPr>
          <w:rPr>
            <w:rFonts w:ascii="Times New Roman" w:hAnsi="Times New Roman" w:cs="Times New Roman"/>
            <w:color w:val="000000"/>
          </w:rPr>
          <w:tag w:val="MENDELEY_CITATION_v3_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"/>
          <w:id w:val="1984733321"/>
          <w:placeholder>
            <w:docPart w:val="ADCFB543CDDF4A8BA07AE611AFBD88B1"/>
          </w:placeholder>
        </w:sdtPr>
        <w:sdtEndPr/>
        <w:sdtContent>
          <w:r w:rsidR="00572E88" w:rsidRPr="00572E88">
            <w:rPr>
              <w:rFonts w:ascii="Times New Roman" w:hAnsi="Times New Roman" w:cs="Times New Roman"/>
              <w:color w:val="000000"/>
            </w:rPr>
            <w:t>[65]</w:t>
          </w:r>
        </w:sdtContent>
      </w:sdt>
      <w:r>
        <w:rPr>
          <w:rFonts w:ascii="Times New Roman" w:hAnsi="Times New Roman" w:cs="Times New Roman"/>
          <w:color w:val="000000"/>
        </w:rPr>
        <w:t>. In Australia, the prevalence of COPD within the Canberra community was estimated to be 2.2%</w:t>
      </w:r>
      <w:sdt>
        <w:sdtPr>
          <w:rPr>
            <w:rFonts w:ascii="Times New Roman" w:hAnsi="Times New Roman" w:cs="Times New Roman"/>
            <w:color w:val="000000"/>
          </w:rPr>
          <w:tag w:val="MENDELEY_CITATION_v3_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"/>
          <w:id w:val="1086573378"/>
          <w:placeholder>
            <w:docPart w:val="ADCFB543CDDF4A8BA07AE611AFBD88B1"/>
          </w:placeholder>
        </w:sdtPr>
        <w:sdtEndPr/>
        <w:sdtContent>
          <w:r w:rsidR="00572E88" w:rsidRPr="00572E88">
            <w:rPr>
              <w:rFonts w:ascii="Times New Roman" w:hAnsi="Times New Roman" w:cs="Times New Roman"/>
              <w:color w:val="000000"/>
            </w:rPr>
            <w:t>[66]</w:t>
          </w:r>
        </w:sdtContent>
      </w:sdt>
      <w:r>
        <w:rPr>
          <w:rFonts w:ascii="Times New Roman" w:hAnsi="Times New Roman" w:cs="Times New Roman"/>
        </w:rPr>
        <w:t xml:space="preserve">. The eastern suburbs of Canberra tended to have the highest prevalence of COPD while the lowest prevalence estimates were estimated in the southeastern areas </w:t>
      </w:r>
      <w:sdt>
        <w:sdtPr>
          <w:rPr>
            <w:rFonts w:ascii="Times New Roman" w:hAnsi="Times New Roman" w:cs="Times New Roman"/>
            <w:color w:val="000000"/>
          </w:rPr>
          <w:tag w:val="MENDELEY_CITATION_v3_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"/>
          <w:id w:val="-1885246309"/>
          <w:placeholder>
            <w:docPart w:val="ADCFB543CDDF4A8BA07AE611AFBD88B1"/>
          </w:placeholder>
        </w:sdtPr>
        <w:sdtEndPr/>
        <w:sdtContent>
          <w:r w:rsidR="00572E88" w:rsidRPr="00572E88">
            <w:rPr>
              <w:rFonts w:ascii="Times New Roman" w:hAnsi="Times New Roman" w:cs="Times New Roman"/>
              <w:color w:val="000000"/>
            </w:rPr>
            <w:t>[66]</w:t>
          </w:r>
        </w:sdtContent>
      </w:sdt>
      <w:r>
        <w:rPr>
          <w:rFonts w:ascii="Times New Roman" w:hAnsi="Times New Roman" w:cs="Times New Roman"/>
        </w:rPr>
        <w:t xml:space="preserve">. High COPD prevalence tended to occur in areas </w:t>
      </w:r>
      <w:r w:rsidR="005B4219">
        <w:rPr>
          <w:rFonts w:ascii="Times New Roman" w:hAnsi="Times New Roman" w:cs="Times New Roman"/>
        </w:rPr>
        <w:t>with</w:t>
      </w:r>
      <w:r>
        <w:rPr>
          <w:rFonts w:ascii="Times New Roman" w:hAnsi="Times New Roman" w:cs="Times New Roman"/>
        </w:rPr>
        <w:t xml:space="preserve"> low socioeconomic status and older residents.  </w:t>
      </w:r>
    </w:p>
    <w:p w14:paraId="7921429E" w14:textId="32FDD5CD" w:rsidR="00573378" w:rsidRPr="00A015A2" w:rsidRDefault="00573378" w:rsidP="00155738">
      <w:pPr>
        <w:spacing w:after="0" w:line="480" w:lineRule="auto"/>
        <w:rPr>
          <w:rFonts w:ascii="Times New Roman" w:hAnsi="Times New Roman" w:cs="Times New Roman"/>
        </w:rPr>
      </w:pPr>
      <w:r>
        <w:rPr>
          <w:rFonts w:ascii="Times New Roman" w:hAnsi="Times New Roman" w:cs="Times New Roman"/>
        </w:rPr>
        <w:tab/>
        <w:t xml:space="preserve">In Europe, the overall COPD prevalence was estimated to be 12.3%, but regional geographic variations were not observed by Blanco et al </w:t>
      </w:r>
      <w:sdt>
        <w:sdtPr>
          <w:rPr>
            <w:rFonts w:ascii="Times New Roman" w:hAnsi="Times New Roman" w:cs="Times New Roman"/>
            <w:color w:val="000000"/>
          </w:rPr>
          <w:tag w:val="MENDELEY_CITATION_v3_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"/>
          <w:id w:val="-1371371627"/>
          <w:placeholder>
            <w:docPart w:val="ADCFB543CDDF4A8BA07AE611AFBD88B1"/>
          </w:placeholder>
        </w:sdtPr>
        <w:sdtEndPr/>
        <w:sdtContent>
          <w:r w:rsidR="00572E88" w:rsidRPr="00572E88">
            <w:rPr>
              <w:rFonts w:ascii="Times New Roman" w:hAnsi="Times New Roman" w:cs="Times New Roman"/>
              <w:color w:val="000000"/>
            </w:rPr>
            <w:t>[63]</w:t>
          </w:r>
        </w:sdtContent>
      </w:sdt>
      <w:r>
        <w:rPr>
          <w:rFonts w:ascii="Times New Roman" w:hAnsi="Times New Roman" w:cs="Times New Roman"/>
        </w:rPr>
        <w:t xml:space="preserve">. However, Blanco et al attributed the lack of geographic variation to the limited data on COPD prevalence in some regions of Europe </w:t>
      </w:r>
      <w:sdt>
        <w:sdtPr>
          <w:rPr>
            <w:rFonts w:ascii="Times New Roman" w:hAnsi="Times New Roman" w:cs="Times New Roman"/>
            <w:color w:val="000000"/>
          </w:rPr>
          <w:tag w:val="MENDELEY_CITATION_v3_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"/>
          <w:id w:val="-595705660"/>
          <w:placeholder>
            <w:docPart w:val="ADCFB543CDDF4A8BA07AE611AFBD88B1"/>
          </w:placeholder>
        </w:sdtPr>
        <w:sdtEndPr/>
        <w:sdtContent>
          <w:r w:rsidR="00572E88" w:rsidRPr="00572E88">
            <w:rPr>
              <w:rFonts w:ascii="Times New Roman" w:hAnsi="Times New Roman" w:cs="Times New Roman"/>
              <w:color w:val="000000"/>
            </w:rPr>
            <w:t>[63]</w:t>
          </w:r>
        </w:sdtContent>
      </w:sdt>
      <w:r>
        <w:rPr>
          <w:rFonts w:ascii="Times New Roman" w:hAnsi="Times New Roman" w:cs="Times New Roman"/>
        </w:rPr>
        <w:t xml:space="preserve">. Within specific countries, high COPD prevalence clusters were identified in eastern, southern, and northern Norway while western Norway reported low COPD prevalence clusters </w:t>
      </w:r>
      <w:sdt>
        <w:sdtPr>
          <w:rPr>
            <w:rFonts w:ascii="Times New Roman" w:hAnsi="Times New Roman" w:cs="Times New Roman"/>
            <w:color w:val="000000"/>
          </w:rPr>
          <w:tag w:val="MENDELEY_CITATION_v3_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"/>
          <w:id w:val="-648133213"/>
          <w:placeholder>
            <w:docPart w:val="ADCFB543CDDF4A8BA07AE611AFBD88B1"/>
          </w:placeholder>
        </w:sdtPr>
        <w:sdtEndPr/>
        <w:sdtContent>
          <w:r w:rsidR="00572E88" w:rsidRPr="00572E88">
            <w:rPr>
              <w:rFonts w:ascii="Times New Roman" w:hAnsi="Times New Roman" w:cs="Times New Roman"/>
              <w:color w:val="000000"/>
            </w:rPr>
            <w:t>[67]</w:t>
          </w:r>
        </w:sdtContent>
      </w:sdt>
      <w:r>
        <w:rPr>
          <w:rFonts w:ascii="Times New Roman" w:hAnsi="Times New Roman" w:cs="Times New Roman"/>
        </w:rPr>
        <w:t xml:space="preserve">. The geographic distribution of COPD reflects the general pattern of most health conditions in Norway, with the western portion of the country generally having better health outcomes </w:t>
      </w:r>
      <w:sdt>
        <w:sdtPr>
          <w:rPr>
            <w:rFonts w:ascii="Times New Roman" w:hAnsi="Times New Roman" w:cs="Times New Roman"/>
            <w:color w:val="000000"/>
          </w:rPr>
          <w:tag w:val="MENDELEY_CITATION_v3_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"/>
          <w:id w:val="760808056"/>
          <w:placeholder>
            <w:docPart w:val="ADCFB543CDDF4A8BA07AE611AFBD88B1"/>
          </w:placeholder>
        </w:sdtPr>
        <w:sdtEndPr/>
        <w:sdtContent>
          <w:r w:rsidR="00572E88" w:rsidRPr="00572E88">
            <w:rPr>
              <w:rFonts w:ascii="Times New Roman" w:hAnsi="Times New Roman" w:cs="Times New Roman"/>
              <w:color w:val="000000"/>
            </w:rPr>
            <w:t>[67]</w:t>
          </w:r>
        </w:sdtContent>
      </w:sdt>
      <w:r>
        <w:rPr>
          <w:rFonts w:ascii="Times New Roman" w:hAnsi="Times New Roman" w:cs="Times New Roman"/>
        </w:rPr>
        <w:t xml:space="preserve">. In northern Germany, </w:t>
      </w:r>
      <w:proofErr w:type="spellStart"/>
      <w:r>
        <w:rPr>
          <w:rFonts w:ascii="Times New Roman" w:hAnsi="Times New Roman" w:cs="Times New Roman"/>
        </w:rPr>
        <w:t>Kauhl</w:t>
      </w:r>
      <w:proofErr w:type="spellEnd"/>
      <w:r>
        <w:rPr>
          <w:rFonts w:ascii="Times New Roman" w:hAnsi="Times New Roman" w:cs="Times New Roman"/>
        </w:rPr>
        <w:t xml:space="preserve"> et al reported the prevalence to be 6.5%, and the geographic clusters of high COPD prevalence to be in west Berlin, the communities surrounding Berlin, northern Brandenberg, and northwestern Mecklenburg-West-Pomerania </w:t>
      </w:r>
      <w:sdt>
        <w:sdtPr>
          <w:rPr>
            <w:rFonts w:ascii="Times New Roman" w:hAnsi="Times New Roman" w:cs="Times New Roman"/>
            <w:color w:val="000000"/>
          </w:rPr>
          <w:tag w:val="MENDELEY_CITATION_v3_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"/>
          <w:id w:val="-1396050739"/>
          <w:placeholder>
            <w:docPart w:val="ADCFB543CDDF4A8BA07AE611AFBD88B1"/>
          </w:placeholder>
        </w:sdtPr>
        <w:sdtEndPr/>
        <w:sdtContent>
          <w:r w:rsidR="00572E88" w:rsidRPr="00572E88">
            <w:rPr>
              <w:rFonts w:ascii="Times New Roman" w:hAnsi="Times New Roman" w:cs="Times New Roman"/>
              <w:color w:val="000000"/>
            </w:rPr>
            <w:t>[68]</w:t>
          </w:r>
        </w:sdtContent>
      </w:sdt>
      <w:r>
        <w:rPr>
          <w:rFonts w:ascii="Times New Roman" w:hAnsi="Times New Roman" w:cs="Times New Roman"/>
        </w:rPr>
        <w:t xml:space="preserve">. A separate study of COPD prevalence within Hamberg City found the prevalence to be 7.0% with high prevalence clusters in urban and socioeconomically depressed areas of east Hamberg </w:t>
      </w:r>
      <w:sdt>
        <w:sdtPr>
          <w:rPr>
            <w:rFonts w:ascii="Times New Roman" w:hAnsi="Times New Roman" w:cs="Times New Roman"/>
            <w:color w:val="000000"/>
          </w:rPr>
          <w:tag w:val="MENDELEY_CITATION_v3_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"/>
          <w:id w:val="610480613"/>
          <w:placeholder>
            <w:docPart w:val="ADCFB543CDDF4A8BA07AE611AFBD88B1"/>
          </w:placeholder>
        </w:sdtPr>
        <w:sdtEndPr/>
        <w:sdtContent>
          <w:r w:rsidR="00572E88" w:rsidRPr="00572E88">
            <w:rPr>
              <w:rFonts w:ascii="Times New Roman" w:hAnsi="Times New Roman" w:cs="Times New Roman"/>
              <w:color w:val="000000"/>
            </w:rPr>
            <w:t>[69]</w:t>
          </w:r>
        </w:sdtContent>
      </w:sdt>
      <w:r>
        <w:rPr>
          <w:rFonts w:ascii="Times New Roman" w:hAnsi="Times New Roman" w:cs="Times New Roman"/>
        </w:rPr>
        <w:t xml:space="preserve">. </w:t>
      </w:r>
    </w:p>
    <w:p w14:paraId="0581798C" w14:textId="484DA6BE" w:rsidR="00D47413" w:rsidRDefault="00573378" w:rsidP="00155738">
      <w:pPr>
        <w:spacing w:after="0" w:line="480" w:lineRule="auto"/>
        <w:ind w:firstLine="720"/>
        <w:rPr>
          <w:rFonts w:ascii="Times New Roman" w:hAnsi="Times New Roman" w:cs="Times New Roman"/>
        </w:rPr>
      </w:pPr>
      <w:r>
        <w:rPr>
          <w:rFonts w:ascii="Times New Roman" w:hAnsi="Times New Roman" w:cs="Times New Roman"/>
        </w:rPr>
        <w:lastRenderedPageBreak/>
        <w:t xml:space="preserve">A global review of COPD prevalence by Aaron et al reported that both Latin America and North America had higher COPD prevalence </w:t>
      </w:r>
      <w:r w:rsidR="00E93205">
        <w:rPr>
          <w:rFonts w:ascii="Times New Roman" w:hAnsi="Times New Roman" w:cs="Times New Roman"/>
        </w:rPr>
        <w:t xml:space="preserve">estimates </w:t>
      </w:r>
      <w:r>
        <w:rPr>
          <w:rFonts w:ascii="Times New Roman" w:hAnsi="Times New Roman" w:cs="Times New Roman"/>
        </w:rPr>
        <w:t xml:space="preserve">compared to Northern Europe </w:t>
      </w:r>
      <w:sdt>
        <w:sdtPr>
          <w:rPr>
            <w:rFonts w:ascii="Times New Roman" w:hAnsi="Times New Roman" w:cs="Times New Roman"/>
            <w:color w:val="000000"/>
          </w:rPr>
          <w:tag w:val="MENDELEY_CITATION_v3_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"/>
          <w:id w:val="-984150228"/>
          <w:placeholder>
            <w:docPart w:val="ADCFB543CDDF4A8BA07AE611AFBD88B1"/>
          </w:placeholder>
        </w:sdtPr>
        <w:sdtEndPr/>
        <w:sdtContent>
          <w:r w:rsidR="00572E88" w:rsidRPr="00572E88">
            <w:rPr>
              <w:rFonts w:ascii="Times New Roman" w:hAnsi="Times New Roman" w:cs="Times New Roman"/>
              <w:color w:val="000000"/>
            </w:rPr>
            <w:t>[60]</w:t>
          </w:r>
        </w:sdtContent>
      </w:sdt>
      <w:r>
        <w:rPr>
          <w:rFonts w:ascii="Times New Roman" w:hAnsi="Times New Roman" w:cs="Times New Roman"/>
          <w:color w:val="000000"/>
        </w:rPr>
        <w:t xml:space="preserve">. However, the study was limited by the lack of COPD prevalence information from some regions, including Latin America </w:t>
      </w:r>
      <w:sdt>
        <w:sdtPr>
          <w:rPr>
            <w:rFonts w:ascii="Times New Roman" w:hAnsi="Times New Roman" w:cs="Times New Roman"/>
            <w:color w:val="000000"/>
          </w:rPr>
          <w:tag w:val="MENDELEY_CITATION_v3_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"/>
          <w:id w:val="-1069646089"/>
          <w:placeholder>
            <w:docPart w:val="ADCFB543CDDF4A8BA07AE611AFBD88B1"/>
          </w:placeholder>
        </w:sdtPr>
        <w:sdtEndPr/>
        <w:sdtContent>
          <w:r w:rsidR="00572E88" w:rsidRPr="00572E88">
            <w:rPr>
              <w:rFonts w:ascii="Times New Roman" w:hAnsi="Times New Roman" w:cs="Times New Roman"/>
              <w:color w:val="000000"/>
            </w:rPr>
            <w:t>[60]</w:t>
          </w:r>
        </w:sdtContent>
      </w:sdt>
      <w:r>
        <w:rPr>
          <w:rFonts w:ascii="Times New Roman" w:hAnsi="Times New Roman" w:cs="Times New Roman"/>
          <w:color w:val="000000"/>
        </w:rPr>
        <w:t xml:space="preserve">. Similarly, a review of COPD prevalence across the Americas found the prevalence to be generally high across all regions </w:t>
      </w:r>
      <w:sdt>
        <w:sdtPr>
          <w:rPr>
            <w:rFonts w:ascii="Times New Roman" w:hAnsi="Times New Roman" w:cs="Times New Roman"/>
            <w:color w:val="000000"/>
          </w:rPr>
          <w:tag w:val="MENDELEY_CITATION_v3_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"/>
          <w:id w:val="-1849475190"/>
          <w:placeholder>
            <w:docPart w:val="ADCFB543CDDF4A8BA07AE611AFBD88B1"/>
          </w:placeholder>
        </w:sdtPr>
        <w:sdtEndPr/>
        <w:sdtContent>
          <w:r w:rsidR="00572E88" w:rsidRPr="00572E88">
            <w:rPr>
              <w:rFonts w:ascii="Times New Roman" w:hAnsi="Times New Roman" w:cs="Times New Roman"/>
              <w:color w:val="000000"/>
            </w:rPr>
            <w:t>[64]</w:t>
          </w:r>
        </w:sdtContent>
      </w:sdt>
      <w:r>
        <w:rPr>
          <w:rFonts w:ascii="Times New Roman" w:hAnsi="Times New Roman" w:cs="Times New Roman"/>
          <w:color w:val="000000"/>
        </w:rPr>
        <w:t xml:space="preserve">. The study reported the highest prevalence areas to be in northeastern North America and the South American areas bordering the South Atlantic Ocean </w:t>
      </w:r>
      <w:sdt>
        <w:sdtPr>
          <w:rPr>
            <w:rFonts w:ascii="Times New Roman" w:hAnsi="Times New Roman" w:cs="Times New Roman"/>
            <w:color w:val="000000"/>
          </w:rPr>
          <w:tag w:val="MENDELEY_CITATION_v3_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"/>
          <w:id w:val="1020968724"/>
          <w:placeholder>
            <w:docPart w:val="ADCFB543CDDF4A8BA07AE611AFBD88B1"/>
          </w:placeholder>
        </w:sdtPr>
        <w:sdtEndPr/>
        <w:sdtContent>
          <w:r w:rsidR="00572E88" w:rsidRPr="00572E88">
            <w:rPr>
              <w:rFonts w:ascii="Times New Roman" w:hAnsi="Times New Roman" w:cs="Times New Roman"/>
              <w:color w:val="000000"/>
            </w:rPr>
            <w:t>[64]</w:t>
          </w:r>
        </w:sdtContent>
      </w:sdt>
      <w:r>
        <w:rPr>
          <w:rFonts w:ascii="Times New Roman" w:hAnsi="Times New Roman" w:cs="Times New Roman"/>
        </w:rPr>
        <w:t xml:space="preserve">. However, the study suffered from limited COPD prevalence data in many South American countries and Central America, which impacted the studies ability calculate adequate prevalence estimates in these areas </w:t>
      </w:r>
      <w:sdt>
        <w:sdtPr>
          <w:rPr>
            <w:rFonts w:ascii="Times New Roman" w:hAnsi="Times New Roman" w:cs="Times New Roman"/>
            <w:color w:val="000000"/>
          </w:rPr>
          <w:tag w:val="MENDELEY_CITATION_v3_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"/>
          <w:id w:val="938421696"/>
          <w:placeholder>
            <w:docPart w:val="ADCFB543CDDF4A8BA07AE611AFBD88B1"/>
          </w:placeholder>
        </w:sdtPr>
        <w:sdtEndPr/>
        <w:sdtContent>
          <w:r w:rsidR="00572E88" w:rsidRPr="00572E88">
            <w:rPr>
              <w:rFonts w:ascii="Times New Roman" w:hAnsi="Times New Roman" w:cs="Times New Roman"/>
              <w:color w:val="000000"/>
            </w:rPr>
            <w:t>[64]</w:t>
          </w:r>
        </w:sdtContent>
      </w:sdt>
      <w:r>
        <w:rPr>
          <w:rFonts w:ascii="Times New Roman" w:hAnsi="Times New Roman" w:cs="Times New Roman"/>
        </w:rPr>
        <w:t>.</w:t>
      </w:r>
    </w:p>
    <w:p w14:paraId="1711058A" w14:textId="77777777" w:rsidR="00CD53E6" w:rsidRPr="001B1B9A" w:rsidRDefault="00CD53E6" w:rsidP="00155738">
      <w:pPr>
        <w:spacing w:after="0" w:line="480" w:lineRule="auto"/>
        <w:rPr>
          <w:rFonts w:ascii="Times New Roman" w:hAnsi="Times New Roman" w:cs="Times New Roman"/>
        </w:rPr>
      </w:pPr>
    </w:p>
    <w:p w14:paraId="532097DF" w14:textId="77777777" w:rsidR="00D47413" w:rsidRDefault="00D47413" w:rsidP="00155738">
      <w:pPr>
        <w:pStyle w:val="Heading6"/>
        <w:spacing w:before="0" w:line="480" w:lineRule="auto"/>
      </w:pPr>
      <w:bookmarkStart w:id="26" w:name="_Toc200096949"/>
      <w:r>
        <w:t>Pattern in the United States</w:t>
      </w:r>
      <w:bookmarkEnd w:id="26"/>
    </w:p>
    <w:p w14:paraId="51BAC941" w14:textId="3F02F0DD" w:rsidR="00573378" w:rsidRDefault="00573378" w:rsidP="00155738">
      <w:pPr>
        <w:spacing w:after="0" w:line="480" w:lineRule="auto"/>
        <w:ind w:firstLine="720"/>
        <w:rPr>
          <w:rFonts w:ascii="Times New Roman" w:hAnsi="Times New Roman" w:cs="Times New Roman"/>
          <w:color w:val="000000"/>
        </w:rPr>
      </w:pPr>
      <w:r>
        <w:rPr>
          <w:rFonts w:ascii="Times New Roman" w:hAnsi="Times New Roman" w:cs="Times New Roman"/>
          <w:color w:val="000000"/>
        </w:rPr>
        <w:t xml:space="preserve">Geographic variations in COPD prevalence are reported across the US with the Southeast and Appalachian regions reporting the highest regional prevalence estimates </w:t>
      </w:r>
      <w:sdt>
        <w:sdtPr>
          <w:rPr>
            <w:rFonts w:ascii="Times New Roman" w:hAnsi="Times New Roman" w:cs="Times New Roman"/>
            <w:color w:val="000000"/>
          </w:rPr>
          <w:tag w:val="MENDELEY_CITATION_v3_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"/>
          <w:id w:val="-1265531919"/>
          <w:placeholder>
            <w:docPart w:val="30F2A2370AD24526A3556EB4DA89549B"/>
          </w:placeholder>
        </w:sdtPr>
        <w:sdtEndPr/>
        <w:sdtContent>
          <w:r w:rsidR="00572E88" w:rsidRPr="00572E88">
            <w:rPr>
              <w:rFonts w:ascii="Times New Roman" w:hAnsi="Times New Roman" w:cs="Times New Roman"/>
              <w:color w:val="000000"/>
            </w:rPr>
            <w:t>[4]</w:t>
          </w:r>
        </w:sdtContent>
      </w:sdt>
      <w:r>
        <w:rPr>
          <w:rFonts w:ascii="Times New Roman" w:hAnsi="Times New Roman" w:cs="Times New Roman"/>
          <w:color w:val="000000"/>
        </w:rPr>
        <w:t xml:space="preserve">. Specifically, West Virgina (13.8%), Kentucky (11.3%), and Alabama (10.1%) had the highest state-level COPD prevalence estimates </w:t>
      </w:r>
      <w:sdt>
        <w:sdtPr>
          <w:rPr>
            <w:rFonts w:ascii="Times New Roman" w:hAnsi="Times New Roman" w:cs="Times New Roman"/>
            <w:color w:val="000000"/>
          </w:rPr>
          <w:tag w:val="MENDELEY_CITATION_v3_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"/>
          <w:id w:val="-1075355943"/>
          <w:placeholder>
            <w:docPart w:val="30F2A2370AD24526A3556EB4DA89549B"/>
          </w:placeholder>
        </w:sdtPr>
        <w:sdtEndPr/>
        <w:sdtContent>
          <w:r w:rsidR="00572E88" w:rsidRPr="00572E88">
            <w:rPr>
              <w:rFonts w:ascii="Times New Roman" w:hAnsi="Times New Roman" w:cs="Times New Roman"/>
              <w:color w:val="000000"/>
            </w:rPr>
            <w:t>[4]</w:t>
          </w:r>
        </w:sdtContent>
      </w:sdt>
      <w:r>
        <w:rPr>
          <w:rFonts w:ascii="Times New Roman" w:hAnsi="Times New Roman" w:cs="Times New Roman"/>
          <w:color w:val="000000"/>
        </w:rPr>
        <w:t xml:space="preserve">. At the county-level, rural counties (8.2%) tended to have higher COPD prevalence than urban counties (4.7%) across the US </w:t>
      </w:r>
      <w:sdt>
        <w:sdtPr>
          <w:rPr>
            <w:rFonts w:ascii="Times New Roman" w:hAnsi="Times New Roman" w:cs="Times New Roman"/>
            <w:color w:val="000000"/>
          </w:rPr>
          <w:tag w:val="MENDELEY_CITATION_v3_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"/>
          <w:id w:val="-991106563"/>
          <w:placeholder>
            <w:docPart w:val="30F2A2370AD24526A3556EB4DA89549B"/>
          </w:placeholder>
        </w:sdtPr>
        <w:sdtEndPr/>
        <w:sdtContent>
          <w:r w:rsidR="00572E88" w:rsidRPr="00572E88">
            <w:rPr>
              <w:rFonts w:ascii="Times New Roman" w:hAnsi="Times New Roman" w:cs="Times New Roman"/>
              <w:color w:val="000000"/>
            </w:rPr>
            <w:t>[70]</w:t>
          </w:r>
        </w:sdtContent>
      </w:sdt>
      <w:r>
        <w:rPr>
          <w:rFonts w:ascii="Times New Roman" w:hAnsi="Times New Roman" w:cs="Times New Roman"/>
          <w:color w:val="000000"/>
        </w:rPr>
        <w:t xml:space="preserve">. McDaniel et al compared the county-level geographic distribution of COPD prevalence and reported that many of the highest prevalent areas were located in Appalachian counties </w:t>
      </w:r>
      <w:sdt>
        <w:sdtPr>
          <w:rPr>
            <w:rFonts w:ascii="Times New Roman" w:hAnsi="Times New Roman" w:cs="Times New Roman"/>
            <w:color w:val="000000"/>
          </w:rPr>
          <w:tag w:val="MENDELEY_CITATION_v3_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"/>
          <w:id w:val="426623821"/>
          <w:placeholder>
            <w:docPart w:val="30F2A2370AD24526A3556EB4DA89549B"/>
          </w:placeholder>
        </w:sdtPr>
        <w:sdtEndPr/>
        <w:sdtContent>
          <w:r w:rsidR="00572E88" w:rsidRPr="00572E88">
            <w:rPr>
              <w:rFonts w:ascii="Times New Roman" w:hAnsi="Times New Roman" w:cs="Times New Roman"/>
              <w:color w:val="000000"/>
            </w:rPr>
            <w:t>[71]</w:t>
          </w:r>
        </w:sdtContent>
      </w:sdt>
      <w:r>
        <w:rPr>
          <w:rFonts w:ascii="Times New Roman" w:hAnsi="Times New Roman" w:cs="Times New Roman"/>
          <w:color w:val="000000"/>
        </w:rPr>
        <w:t xml:space="preserve">. </w:t>
      </w:r>
    </w:p>
    <w:p w14:paraId="544E70E2" w14:textId="1C1393D8" w:rsidR="00573378" w:rsidRDefault="00573378" w:rsidP="00155738">
      <w:pPr>
        <w:spacing w:after="0" w:line="480" w:lineRule="auto"/>
        <w:ind w:firstLine="720"/>
        <w:rPr>
          <w:rFonts w:ascii="Times New Roman" w:hAnsi="Times New Roman" w:cs="Times New Roman"/>
        </w:rPr>
      </w:pPr>
      <w:r>
        <w:rPr>
          <w:rFonts w:ascii="Times New Roman" w:hAnsi="Times New Roman" w:cs="Times New Roman"/>
          <w:color w:val="000000"/>
        </w:rPr>
        <w:t xml:space="preserve">For studies within individual states, Lipton et al found geographic variations of COPD hospitalization rates at the zip code tabulation area (ZCTAs) level in California. Areas with the highest COPD hospitalization rates occurred in the central valley and northern California </w:t>
      </w:r>
      <w:sdt>
        <w:sdtPr>
          <w:rPr>
            <w:rFonts w:ascii="Times New Roman" w:hAnsi="Times New Roman" w:cs="Times New Roman"/>
            <w:color w:val="000000"/>
          </w:rPr>
          <w:tag w:val="MENDELEY_CITATION_v3_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"/>
          <w:id w:val="-1186207768"/>
          <w:placeholder>
            <w:docPart w:val="30F2A2370AD24526A3556EB4DA89549B"/>
          </w:placeholder>
        </w:sdtPr>
        <w:sdtEndPr/>
        <w:sdtContent>
          <w:r w:rsidR="00572E88" w:rsidRPr="00572E88">
            <w:rPr>
              <w:rFonts w:ascii="Times New Roman" w:hAnsi="Times New Roman" w:cs="Times New Roman"/>
              <w:color w:val="000000"/>
            </w:rPr>
            <w:t>[72]</w:t>
          </w:r>
        </w:sdtContent>
      </w:sdt>
      <w:r>
        <w:rPr>
          <w:rFonts w:ascii="Times New Roman" w:hAnsi="Times New Roman" w:cs="Times New Roman"/>
        </w:rPr>
        <w:t xml:space="preserve">. Hotspots of COPD hospital claims were also identified in Los Angeles region, and these areas tended to have lower socioeconomic status, higher proportions of Hispanic residents, and higher </w:t>
      </w:r>
      <w:r>
        <w:rPr>
          <w:rFonts w:ascii="Times New Roman" w:hAnsi="Times New Roman" w:cs="Times New Roman"/>
        </w:rPr>
        <w:lastRenderedPageBreak/>
        <w:t xml:space="preserve">proportions of immigrants </w:t>
      </w:r>
      <w:sdt>
        <w:sdtPr>
          <w:rPr>
            <w:rFonts w:ascii="Times New Roman" w:hAnsi="Times New Roman" w:cs="Times New Roman"/>
            <w:color w:val="000000"/>
          </w:rPr>
          <w:tag w:val="MENDELEY_CITATION_v3_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"/>
          <w:id w:val="1243213642"/>
          <w:placeholder>
            <w:docPart w:val="30F2A2370AD24526A3556EB4DA89549B"/>
          </w:placeholder>
        </w:sdtPr>
        <w:sdtEndPr/>
        <w:sdtContent>
          <w:r w:rsidR="00572E88" w:rsidRPr="00572E88">
            <w:rPr>
              <w:rFonts w:ascii="Times New Roman" w:hAnsi="Times New Roman" w:cs="Times New Roman"/>
              <w:color w:val="000000"/>
            </w:rPr>
            <w:t>[72]</w:t>
          </w:r>
        </w:sdtContent>
      </w:sdt>
      <w:r>
        <w:rPr>
          <w:rFonts w:ascii="Times New Roman" w:hAnsi="Times New Roman" w:cs="Times New Roman"/>
        </w:rPr>
        <w:t>. In a separate study, high COPD hospitalization rates were found in central valley, southern, and northern regions of California, and areas of high hospitalization tended to occur in areas of high socioeconomic depression and high minority populations</w:t>
      </w:r>
      <w:sdt>
        <w:sdtPr>
          <w:rPr>
            <w:rFonts w:ascii="Times New Roman" w:hAnsi="Times New Roman" w:cs="Times New Roman"/>
            <w:color w:val="000000"/>
          </w:rPr>
          <w:tag w:val="MENDELEY_CITATION_v3_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"/>
          <w:id w:val="1126885889"/>
          <w:placeholder>
            <w:docPart w:val="30F2A2370AD24526A3556EB4DA89549B"/>
          </w:placeholder>
        </w:sdtPr>
        <w:sdtEndPr/>
        <w:sdtContent>
          <w:r w:rsidR="00572E88" w:rsidRPr="00572E88">
            <w:rPr>
              <w:rFonts w:ascii="Times New Roman" w:hAnsi="Times New Roman" w:cs="Times New Roman"/>
              <w:color w:val="000000"/>
            </w:rPr>
            <w:t>[73]</w:t>
          </w:r>
        </w:sdtContent>
      </w:sdt>
      <w:r>
        <w:rPr>
          <w:rFonts w:ascii="Times New Roman" w:hAnsi="Times New Roman" w:cs="Times New Roman"/>
        </w:rPr>
        <w:t xml:space="preserve">. In Texas, the central east region had the highest COPD hospitalization rates while non-metropolitan counties tended to have higher COPD hospitalization rates in comparison to metropolitan counties </w:t>
      </w:r>
      <w:sdt>
        <w:sdtPr>
          <w:rPr>
            <w:rFonts w:ascii="Times New Roman" w:hAnsi="Times New Roman" w:cs="Times New Roman"/>
            <w:color w:val="000000"/>
          </w:rPr>
          <w:tag w:val="MENDELEY_CITATION_v3_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"/>
          <w:id w:val="-675192893"/>
          <w:placeholder>
            <w:docPart w:val="30F2A2370AD24526A3556EB4DA89549B"/>
          </w:placeholder>
        </w:sdtPr>
        <w:sdtEndPr/>
        <w:sdtContent>
          <w:r w:rsidR="00572E88" w:rsidRPr="00572E88">
            <w:rPr>
              <w:rFonts w:ascii="Times New Roman" w:hAnsi="Times New Roman" w:cs="Times New Roman"/>
              <w:color w:val="000000"/>
            </w:rPr>
            <w:t>[74]</w:t>
          </w:r>
        </w:sdtContent>
      </w:sdt>
      <w:r>
        <w:rPr>
          <w:rFonts w:ascii="Times New Roman" w:hAnsi="Times New Roman" w:cs="Times New Roman"/>
        </w:rPr>
        <w:t xml:space="preserve">. Farah et al identified both hot and cold spots of COPD hospitalizations in Maine. The coastal areas between Portland and Rockport contained the majority of the cold-spots of COPD hospitalization while hotspots tended to occur primarily in areas of high population in Maine </w:t>
      </w:r>
      <w:sdt>
        <w:sdtPr>
          <w:rPr>
            <w:rFonts w:ascii="Times New Roman" w:hAnsi="Times New Roman" w:cs="Times New Roman"/>
            <w:color w:val="000000"/>
          </w:rPr>
          <w:tag w:val="MENDELEY_CITATION_v3_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"/>
          <w:id w:val="-1127384212"/>
          <w:placeholder>
            <w:docPart w:val="30F2A2370AD24526A3556EB4DA89549B"/>
          </w:placeholder>
        </w:sdtPr>
        <w:sdtEndPr/>
        <w:sdtContent>
          <w:r w:rsidR="00572E88" w:rsidRPr="00572E88">
            <w:rPr>
              <w:rFonts w:ascii="Times New Roman" w:hAnsi="Times New Roman" w:cs="Times New Roman"/>
              <w:color w:val="000000"/>
            </w:rPr>
            <w:t>[75]</w:t>
          </w:r>
        </w:sdtContent>
      </w:sdt>
      <w:r>
        <w:rPr>
          <w:rFonts w:ascii="Times New Roman" w:hAnsi="Times New Roman" w:cs="Times New Roman"/>
        </w:rPr>
        <w:t xml:space="preserve">. </w:t>
      </w:r>
    </w:p>
    <w:p w14:paraId="63EECC31" w14:textId="37BBF3FD" w:rsidR="00DA766D" w:rsidRDefault="00573378" w:rsidP="00155738">
      <w:pPr>
        <w:spacing w:after="0" w:line="480" w:lineRule="auto"/>
        <w:rPr>
          <w:rFonts w:ascii="Times New Roman" w:hAnsi="Times New Roman" w:cs="Times New Roman"/>
        </w:rPr>
      </w:pPr>
      <w:r>
        <w:rPr>
          <w:rFonts w:ascii="Times New Roman" w:hAnsi="Times New Roman" w:cs="Times New Roman"/>
        </w:rPr>
        <w:tab/>
        <w:t xml:space="preserve">At the neighborhood level, areas of high COPD hospitalizations rates were identified in southern Illinois while areas of low COPD hospitalizations rates were reported in the northern Chicago suburbs and Springfield </w:t>
      </w:r>
      <w:sdt>
        <w:sdtPr>
          <w:rPr>
            <w:rFonts w:ascii="Times New Roman" w:hAnsi="Times New Roman" w:cs="Times New Roman"/>
            <w:color w:val="000000"/>
          </w:rPr>
          <w:tag w:val="MENDELEY_CITATION_v3_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"/>
          <w:id w:val="-1763142537"/>
          <w:placeholder>
            <w:docPart w:val="30F2A2370AD24526A3556EB4DA89549B"/>
          </w:placeholder>
        </w:sdtPr>
        <w:sdtEndPr/>
        <w:sdtContent>
          <w:r w:rsidR="00572E88" w:rsidRPr="00572E88">
            <w:rPr>
              <w:rFonts w:ascii="Times New Roman" w:hAnsi="Times New Roman" w:cs="Times New Roman"/>
              <w:color w:val="000000"/>
            </w:rPr>
            <w:t>[76]</w:t>
          </w:r>
        </w:sdtContent>
      </w:sdt>
      <w:r>
        <w:rPr>
          <w:rFonts w:ascii="Times New Roman" w:hAnsi="Times New Roman" w:cs="Times New Roman"/>
        </w:rPr>
        <w:t xml:space="preserve">. Hotspots of high COPD hospitalizations and high air pollution were identified in Peoria, Springfield, and Metro East </w:t>
      </w:r>
      <w:sdt>
        <w:sdtPr>
          <w:rPr>
            <w:rFonts w:ascii="Times New Roman" w:hAnsi="Times New Roman" w:cs="Times New Roman"/>
            <w:color w:val="000000"/>
          </w:rPr>
          <w:tag w:val="MENDELEY_CITATION_v3_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"/>
          <w:id w:val="-1515450139"/>
          <w:placeholder>
            <w:docPart w:val="30F2A2370AD24526A3556EB4DA89549B"/>
          </w:placeholder>
        </w:sdtPr>
        <w:sdtEndPr/>
        <w:sdtContent>
          <w:r w:rsidR="00572E88" w:rsidRPr="00572E88">
            <w:rPr>
              <w:rFonts w:ascii="Times New Roman" w:hAnsi="Times New Roman" w:cs="Times New Roman"/>
              <w:color w:val="000000"/>
            </w:rPr>
            <w:t>[76]</w:t>
          </w:r>
        </w:sdtContent>
      </w:sdt>
      <w:r>
        <w:rPr>
          <w:rFonts w:ascii="Times New Roman" w:hAnsi="Times New Roman" w:cs="Times New Roman"/>
        </w:rPr>
        <w:t xml:space="preserve">. In an analysis in Jefferson County, Alabama, neighborhoods with higher COPD prevalence tended to be located near toxic release facilities within the county </w:t>
      </w:r>
      <w:sdt>
        <w:sdtPr>
          <w:rPr>
            <w:rFonts w:ascii="Times New Roman" w:hAnsi="Times New Roman" w:cs="Times New Roman"/>
            <w:color w:val="000000"/>
          </w:rPr>
          <w:tag w:val="MENDELEY_CITATION_v3_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"/>
          <w:id w:val="-856657334"/>
          <w:placeholder>
            <w:docPart w:val="30F2A2370AD24526A3556EB4DA89549B"/>
          </w:placeholder>
        </w:sdtPr>
        <w:sdtEndPr/>
        <w:sdtContent>
          <w:r w:rsidR="00572E88" w:rsidRPr="00572E88">
            <w:rPr>
              <w:rFonts w:ascii="Times New Roman" w:hAnsi="Times New Roman" w:cs="Times New Roman"/>
              <w:color w:val="000000"/>
            </w:rPr>
            <w:t>[77]</w:t>
          </w:r>
        </w:sdtContent>
      </w:sdt>
      <w:r>
        <w:rPr>
          <w:rFonts w:ascii="Times New Roman" w:hAnsi="Times New Roman" w:cs="Times New Roman"/>
        </w:rPr>
        <w:t>.</w:t>
      </w:r>
    </w:p>
    <w:p w14:paraId="4A92DC57" w14:textId="77777777" w:rsidR="00CD53E6" w:rsidRDefault="00CD53E6" w:rsidP="00155738">
      <w:pPr>
        <w:spacing w:after="0" w:line="480" w:lineRule="auto"/>
        <w:rPr>
          <w:rFonts w:ascii="Times New Roman" w:hAnsi="Times New Roman" w:cs="Times New Roman"/>
        </w:rPr>
      </w:pPr>
    </w:p>
    <w:p w14:paraId="23000404" w14:textId="77777777" w:rsidR="00D47413" w:rsidRDefault="00D47413" w:rsidP="00155738">
      <w:pPr>
        <w:pStyle w:val="Heading6"/>
        <w:spacing w:before="0" w:line="480" w:lineRule="auto"/>
      </w:pPr>
      <w:bookmarkStart w:id="27" w:name="_Toc200096950"/>
      <w:r>
        <w:t>Temporal Patterns</w:t>
      </w:r>
      <w:bookmarkEnd w:id="27"/>
    </w:p>
    <w:p w14:paraId="5B1C6E75" w14:textId="4C18F737" w:rsidR="00DA766D" w:rsidRDefault="00DA766D" w:rsidP="00155738">
      <w:pPr>
        <w:spacing w:after="0" w:line="480" w:lineRule="auto"/>
        <w:ind w:firstLine="720"/>
        <w:rPr>
          <w:rFonts w:ascii="Times New Roman" w:hAnsi="Times New Roman" w:cs="Times New Roman"/>
          <w:color w:val="000000"/>
        </w:rPr>
      </w:pPr>
      <w:r>
        <w:rPr>
          <w:rFonts w:ascii="Times New Roman" w:hAnsi="Times New Roman" w:cs="Times New Roman"/>
        </w:rPr>
        <w:t xml:space="preserve">Overall, the temporal trends of COPD prevalence remained relatively stable. From 1990 to 2021, the global COPD prevalence decreased by 1.5% </w:t>
      </w:r>
      <w:sdt>
        <w:sdtPr>
          <w:rPr>
            <w:rFonts w:ascii="Times New Roman" w:hAnsi="Times New Roman" w:cs="Times New Roman"/>
            <w:color w:val="000000"/>
          </w:rPr>
          <w:tag w:val="MENDELEY_CITATION_v3_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"/>
          <w:id w:val="-414238443"/>
          <w:placeholder>
            <w:docPart w:val="018E281CDF8541A58BC3E66EA3B0B8E4"/>
          </w:placeholder>
        </w:sdtPr>
        <w:sdtEndPr/>
        <w:sdtContent>
          <w:r w:rsidR="00572E88" w:rsidRPr="00572E88">
            <w:rPr>
              <w:rFonts w:ascii="Times New Roman" w:hAnsi="Times New Roman" w:cs="Times New Roman"/>
              <w:color w:val="000000"/>
            </w:rPr>
            <w:t>[37]</w:t>
          </w:r>
        </w:sdtContent>
      </w:sdt>
      <w:r>
        <w:rPr>
          <w:rFonts w:ascii="Times New Roman" w:hAnsi="Times New Roman" w:cs="Times New Roman"/>
        </w:rPr>
        <w:t xml:space="preserve">. Regional changes in COPD prevalence were observed for several geographic locations. North Africa and the Middle East experienced 19.4% increase in COPD prevalence, which was the largest of any geographic region </w:t>
      </w:r>
      <w:sdt>
        <w:sdtPr>
          <w:rPr>
            <w:rFonts w:ascii="Times New Roman" w:hAnsi="Times New Roman" w:cs="Times New Roman"/>
            <w:color w:val="000000"/>
          </w:rPr>
          <w:tag w:val="MENDELEY_CITATION_v3_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"/>
          <w:id w:val="-36898598"/>
          <w:placeholder>
            <w:docPart w:val="018E281CDF8541A58BC3E66EA3B0B8E4"/>
          </w:placeholder>
        </w:sdtPr>
        <w:sdtEndPr/>
        <w:sdtContent>
          <w:r w:rsidR="00572E88" w:rsidRPr="00572E88">
            <w:rPr>
              <w:rFonts w:ascii="Times New Roman" w:hAnsi="Times New Roman" w:cs="Times New Roman"/>
              <w:color w:val="000000"/>
            </w:rPr>
            <w:t>[37]</w:t>
          </w:r>
        </w:sdtContent>
      </w:sdt>
      <w:r>
        <w:rPr>
          <w:rFonts w:ascii="Times New Roman" w:hAnsi="Times New Roman" w:cs="Times New Roman"/>
        </w:rPr>
        <w:t xml:space="preserve">. However, several regions reported declines in prevalence including Australasia with a decline of 23.1% followed by high-income Pacific Asia and Eastern Europe with declines of </w:t>
      </w:r>
      <w:r>
        <w:rPr>
          <w:rFonts w:ascii="Times New Roman" w:hAnsi="Times New Roman" w:cs="Times New Roman"/>
        </w:rPr>
        <w:lastRenderedPageBreak/>
        <w:t xml:space="preserve">12.7% and 11.4%, respectively </w:t>
      </w:r>
      <w:sdt>
        <w:sdtPr>
          <w:rPr>
            <w:rFonts w:ascii="Times New Roman" w:hAnsi="Times New Roman" w:cs="Times New Roman"/>
            <w:color w:val="000000"/>
          </w:rPr>
          <w:tag w:val="MENDELEY_CITATION_v3_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"/>
          <w:id w:val="-537354541"/>
          <w:placeholder>
            <w:docPart w:val="018E281CDF8541A58BC3E66EA3B0B8E4"/>
          </w:placeholder>
        </w:sdtPr>
        <w:sdtEndPr/>
        <w:sdtContent>
          <w:r w:rsidR="00572E88" w:rsidRPr="00572E88">
            <w:rPr>
              <w:rFonts w:ascii="Times New Roman" w:hAnsi="Times New Roman" w:cs="Times New Roman"/>
              <w:color w:val="000000"/>
            </w:rPr>
            <w:t>[37]</w:t>
          </w:r>
        </w:sdtContent>
      </w:sdt>
      <w:r>
        <w:rPr>
          <w:rFonts w:ascii="Times New Roman" w:hAnsi="Times New Roman" w:cs="Times New Roman"/>
        </w:rPr>
        <w:t xml:space="preserve">. Similar trends were reported by Safiri et al in their comparison of COPD prevalence from 1990 to 2019 which reported a global decrease of 8.7% </w:t>
      </w:r>
      <w:sdt>
        <w:sdtPr>
          <w:rPr>
            <w:rFonts w:ascii="Times New Roman" w:hAnsi="Times New Roman" w:cs="Times New Roman"/>
            <w:color w:val="000000"/>
          </w:rPr>
          <w:tag w:val="MENDELEY_CITATION_v3_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"/>
          <w:id w:val="-1677730550"/>
          <w:placeholder>
            <w:docPart w:val="018E281CDF8541A58BC3E66EA3B0B8E4"/>
          </w:placeholder>
        </w:sdtPr>
        <w:sdtEndPr/>
        <w:sdtContent>
          <w:r w:rsidR="00572E88" w:rsidRPr="00572E88">
            <w:rPr>
              <w:rFonts w:ascii="Times New Roman" w:hAnsi="Times New Roman" w:cs="Times New Roman"/>
              <w:color w:val="000000"/>
            </w:rPr>
            <w:t>[3]</w:t>
          </w:r>
        </w:sdtContent>
      </w:sdt>
      <w:r>
        <w:rPr>
          <w:rFonts w:ascii="Times New Roman" w:hAnsi="Times New Roman" w:cs="Times New Roman"/>
        </w:rPr>
        <w:t>. North Africa and the Middle East reported the highest regional increase of COPD prevalence at 30.6%</w:t>
      </w:r>
      <w:r>
        <w:rPr>
          <w:rFonts w:ascii="Times New Roman" w:hAnsi="Times New Roman" w:cs="Times New Roman"/>
          <w:color w:val="000000"/>
        </w:rPr>
        <w:t xml:space="preserve"> while</w:t>
      </w:r>
      <w:r>
        <w:rPr>
          <w:rFonts w:ascii="Times New Roman" w:hAnsi="Times New Roman" w:cs="Times New Roman"/>
        </w:rPr>
        <w:t xml:space="preserve"> Eastern Europe recorded the largest decrease in COPD prevalence at 29.5% </w:t>
      </w:r>
      <w:sdt>
        <w:sdtPr>
          <w:rPr>
            <w:rFonts w:ascii="Times New Roman" w:hAnsi="Times New Roman" w:cs="Times New Roman"/>
            <w:color w:val="000000"/>
          </w:rPr>
          <w:tag w:val="MENDELEY_CITATION_v3_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"/>
          <w:id w:val="1906648737"/>
          <w:placeholder>
            <w:docPart w:val="D8C2669476204D9B9F1334FD96B17885"/>
          </w:placeholder>
        </w:sdtPr>
        <w:sdtEndPr/>
        <w:sdtContent>
          <w:r w:rsidR="00572E88" w:rsidRPr="00572E88">
            <w:rPr>
              <w:rFonts w:ascii="Times New Roman" w:hAnsi="Times New Roman" w:cs="Times New Roman"/>
              <w:color w:val="000000"/>
            </w:rPr>
            <w:t>[3]</w:t>
          </w:r>
        </w:sdtContent>
      </w:sdt>
      <w:r>
        <w:rPr>
          <w:rFonts w:ascii="Times New Roman" w:hAnsi="Times New Roman" w:cs="Times New Roman"/>
        </w:rPr>
        <w:t xml:space="preserve">. Safiri et al hypothesize that the changes in COPD prevalence were likely due to multiple factors including widespread implementation of smoking restrictions, enhanced public awareness of prevention strategies, increased diagnostic availability, and enhanced safety practices for reducing exposure to respiratory irritants </w:t>
      </w:r>
      <w:sdt>
        <w:sdtPr>
          <w:rPr>
            <w:rFonts w:ascii="Times New Roman" w:hAnsi="Times New Roman" w:cs="Times New Roman"/>
            <w:color w:val="000000"/>
          </w:rPr>
          <w:tag w:val="MENDELEY_CITATION_v3_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"/>
          <w:id w:val="-718124594"/>
          <w:placeholder>
            <w:docPart w:val="018E281CDF8541A58BC3E66EA3B0B8E4"/>
          </w:placeholder>
        </w:sdtPr>
        <w:sdtEndPr/>
        <w:sdtContent>
          <w:r w:rsidR="00572E88" w:rsidRPr="00572E88">
            <w:rPr>
              <w:rFonts w:ascii="Times New Roman" w:hAnsi="Times New Roman" w:cs="Times New Roman"/>
              <w:color w:val="000000"/>
            </w:rPr>
            <w:t>[3]</w:t>
          </w:r>
        </w:sdtContent>
      </w:sdt>
      <w:r>
        <w:rPr>
          <w:rFonts w:ascii="Times New Roman" w:hAnsi="Times New Roman" w:cs="Times New Roman"/>
        </w:rPr>
        <w:t xml:space="preserve">. Conversely, a comparison of temporal trends from 1990 to 2017 by </w:t>
      </w:r>
      <w:proofErr w:type="spellStart"/>
      <w:r>
        <w:rPr>
          <w:rFonts w:ascii="Times New Roman" w:hAnsi="Times New Roman" w:cs="Times New Roman"/>
        </w:rPr>
        <w:t>Sorinano</w:t>
      </w:r>
      <w:proofErr w:type="spellEnd"/>
      <w:r>
        <w:rPr>
          <w:rFonts w:ascii="Times New Roman" w:hAnsi="Times New Roman" w:cs="Times New Roman"/>
        </w:rPr>
        <w:t xml:space="preserve"> et al reported an increase in COPD prevalence for high income countries with estimates increasing from 4.4% in 1990 to 5.9% in 2017. The largest regional increases were reported for</w:t>
      </w:r>
      <w:r>
        <w:rPr>
          <w:rFonts w:ascii="Times New Roman" w:hAnsi="Times New Roman" w:cs="Times New Roman"/>
          <w:color w:val="000000"/>
        </w:rPr>
        <w:t xml:space="preserve"> Latin America and the Caribbean followed by North Africa and the Middle East </w:t>
      </w:r>
      <w:sdt>
        <w:sdtPr>
          <w:rPr>
            <w:rFonts w:ascii="Times New Roman" w:hAnsi="Times New Roman" w:cs="Times New Roman"/>
            <w:color w:val="000000"/>
          </w:rPr>
          <w:tag w:val="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"/>
          <w:id w:val="1557596774"/>
          <w:placeholder>
            <w:docPart w:val="018E281CDF8541A58BC3E66EA3B0B8E4"/>
          </w:placeholder>
        </w:sdtPr>
        <w:sdtEndPr/>
        <w:sdtContent>
          <w:r w:rsidR="00572E88" w:rsidRPr="00572E88">
            <w:rPr>
              <w:rFonts w:ascii="Times New Roman" w:hAnsi="Times New Roman" w:cs="Times New Roman"/>
              <w:color w:val="000000"/>
            </w:rPr>
            <w:t>[61]</w:t>
          </w:r>
        </w:sdtContent>
      </w:sdt>
      <w:r>
        <w:rPr>
          <w:rFonts w:ascii="Times New Roman" w:hAnsi="Times New Roman" w:cs="Times New Roman"/>
          <w:color w:val="000000"/>
        </w:rPr>
        <w:t xml:space="preserve">. </w:t>
      </w:r>
      <w:proofErr w:type="spellStart"/>
      <w:r>
        <w:rPr>
          <w:rFonts w:ascii="Times New Roman" w:hAnsi="Times New Roman" w:cs="Times New Roman"/>
          <w:color w:val="000000"/>
        </w:rPr>
        <w:t>Sorinano</w:t>
      </w:r>
      <w:proofErr w:type="spellEnd"/>
      <w:r>
        <w:rPr>
          <w:rFonts w:ascii="Times New Roman" w:hAnsi="Times New Roman" w:cs="Times New Roman"/>
          <w:color w:val="000000"/>
        </w:rPr>
        <w:t xml:space="preserve"> et al attributed the observed increases in COPD prevalence to increased life expectancy, especially in high income countries, and improvements in diagnostic availability </w:t>
      </w:r>
      <w:sdt>
        <w:sdtPr>
          <w:rPr>
            <w:rFonts w:ascii="Times New Roman" w:hAnsi="Times New Roman" w:cs="Times New Roman"/>
            <w:color w:val="000000"/>
          </w:rPr>
          <w:tag w:val="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"/>
          <w:id w:val="-296608098"/>
          <w:placeholder>
            <w:docPart w:val="018E281CDF8541A58BC3E66EA3B0B8E4"/>
          </w:placeholder>
        </w:sdtPr>
        <w:sdtEndPr/>
        <w:sdtContent>
          <w:r w:rsidR="00572E88" w:rsidRPr="00572E88">
            <w:rPr>
              <w:rFonts w:ascii="Times New Roman" w:hAnsi="Times New Roman" w:cs="Times New Roman"/>
              <w:color w:val="000000"/>
            </w:rPr>
            <w:t>[61]</w:t>
          </w:r>
        </w:sdtContent>
      </w:sdt>
      <w:r>
        <w:rPr>
          <w:rFonts w:ascii="Times New Roman" w:hAnsi="Times New Roman" w:cs="Times New Roman"/>
          <w:color w:val="000000"/>
        </w:rPr>
        <w:t>.</w:t>
      </w:r>
    </w:p>
    <w:p w14:paraId="6CC6659A" w14:textId="0BFF5A57" w:rsidR="00DA766D" w:rsidRDefault="00DA766D" w:rsidP="00155738">
      <w:pPr>
        <w:spacing w:after="0" w:line="480" w:lineRule="auto"/>
        <w:ind w:firstLine="720"/>
        <w:rPr>
          <w:rFonts w:ascii="Times New Roman" w:hAnsi="Times New Roman" w:cs="Times New Roman"/>
          <w:color w:val="000000"/>
        </w:rPr>
      </w:pPr>
      <w:r>
        <w:rPr>
          <w:rFonts w:ascii="Times New Roman" w:hAnsi="Times New Roman" w:cs="Times New Roman"/>
          <w:color w:val="000000"/>
        </w:rPr>
        <w:t xml:space="preserve">In the US, the COPD prevalence trends remained similar from 2011 to 2021 with estimated prevalences of 6.1% and 6.0%, respectively </w:t>
      </w:r>
      <w:sdt>
        <w:sdtPr>
          <w:rPr>
            <w:rFonts w:ascii="Times New Roman" w:hAnsi="Times New Roman" w:cs="Times New Roman"/>
            <w:color w:val="000000"/>
          </w:rPr>
          <w:tag w:val="MENDELEY_CITATION_v3_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"/>
          <w:id w:val="350463257"/>
          <w:placeholder>
            <w:docPart w:val="6E332DD3A82E4F09830B74C0A287EA0D"/>
          </w:placeholder>
        </w:sdtPr>
        <w:sdtEndPr/>
        <w:sdtContent>
          <w:r w:rsidR="00572E88" w:rsidRPr="00572E88">
            <w:rPr>
              <w:rFonts w:ascii="Times New Roman" w:hAnsi="Times New Roman" w:cs="Times New Roman"/>
              <w:color w:val="000000"/>
            </w:rPr>
            <w:t>[41]</w:t>
          </w:r>
        </w:sdtContent>
      </w:sdt>
      <w:r>
        <w:rPr>
          <w:rFonts w:ascii="Times New Roman" w:hAnsi="Times New Roman" w:cs="Times New Roman"/>
          <w:color w:val="000000"/>
        </w:rPr>
        <w:t xml:space="preserve">. The prevalence by age category remained constant across the 10-year period while the prevalence in females decreased from 6.9% to 6.5% </w:t>
      </w:r>
      <w:sdt>
        <w:sdtPr>
          <w:rPr>
            <w:rFonts w:ascii="Times New Roman" w:hAnsi="Times New Roman" w:cs="Times New Roman"/>
            <w:color w:val="000000"/>
          </w:rPr>
          <w:tag w:val="MENDELEY_CITATION_v3_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"/>
          <w:id w:val="-742711750"/>
          <w:placeholder>
            <w:docPart w:val="018E281CDF8541A58BC3E66EA3B0B8E4"/>
          </w:placeholder>
        </w:sdtPr>
        <w:sdtEndPr/>
        <w:sdtContent>
          <w:r w:rsidR="00572E88" w:rsidRPr="00572E88">
            <w:rPr>
              <w:rFonts w:ascii="Times New Roman" w:hAnsi="Times New Roman" w:cs="Times New Roman"/>
              <w:color w:val="000000"/>
            </w:rPr>
            <w:t>[41]</w:t>
          </w:r>
        </w:sdtContent>
      </w:sdt>
      <w:r>
        <w:rPr>
          <w:rFonts w:ascii="Times New Roman" w:hAnsi="Times New Roman" w:cs="Times New Roman"/>
          <w:color w:val="000000"/>
        </w:rPr>
        <w:t xml:space="preserve">. However, the COPD prevalence in both current and former smokers increased during the 10-year period. The prevalence of COPD in current smokers increased from 13.7% in 2011 to 16.2% in 2021 while the prevalence in former smokers increased from 7.0% to 7.7% </w:t>
      </w:r>
      <w:sdt>
        <w:sdtPr>
          <w:rPr>
            <w:rFonts w:ascii="Times New Roman" w:hAnsi="Times New Roman" w:cs="Times New Roman"/>
            <w:color w:val="000000"/>
          </w:rPr>
          <w:tag w:val="MENDELEY_CITATION_v3_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"/>
          <w:id w:val="-1834061202"/>
          <w:placeholder>
            <w:docPart w:val="018E281CDF8541A58BC3E66EA3B0B8E4"/>
          </w:placeholder>
        </w:sdtPr>
        <w:sdtEndPr/>
        <w:sdtContent>
          <w:r w:rsidR="00572E88" w:rsidRPr="00572E88">
            <w:rPr>
              <w:rFonts w:ascii="Times New Roman" w:hAnsi="Times New Roman" w:cs="Times New Roman"/>
              <w:color w:val="000000"/>
            </w:rPr>
            <w:t>[41]</w:t>
          </w:r>
        </w:sdtContent>
      </w:sdt>
      <w:r>
        <w:rPr>
          <w:rFonts w:ascii="Times New Roman" w:hAnsi="Times New Roman" w:cs="Times New Roman"/>
          <w:color w:val="000000"/>
        </w:rPr>
        <w:t xml:space="preserve">. The prevalence in retirees increased 8.5% to 11.0% in 2021 </w:t>
      </w:r>
      <w:sdt>
        <w:sdtPr>
          <w:rPr>
            <w:rFonts w:ascii="Times New Roman" w:hAnsi="Times New Roman" w:cs="Times New Roman"/>
            <w:color w:val="000000"/>
          </w:rPr>
          <w:tag w:val="MENDELEY_CITATION_v3_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"/>
          <w:id w:val="1913892975"/>
          <w:placeholder>
            <w:docPart w:val="018E281CDF8541A58BC3E66EA3B0B8E4"/>
          </w:placeholder>
        </w:sdtPr>
        <w:sdtEndPr/>
        <w:sdtContent>
          <w:r w:rsidR="00572E88" w:rsidRPr="00572E88">
            <w:rPr>
              <w:rFonts w:ascii="Times New Roman" w:hAnsi="Times New Roman" w:cs="Times New Roman"/>
              <w:color w:val="000000"/>
            </w:rPr>
            <w:t>[41]</w:t>
          </w:r>
        </w:sdtContent>
      </w:sdt>
      <w:r>
        <w:rPr>
          <w:rFonts w:ascii="Times New Roman" w:hAnsi="Times New Roman" w:cs="Times New Roman"/>
          <w:color w:val="000000"/>
        </w:rPr>
        <w:t xml:space="preserve">. </w:t>
      </w:r>
    </w:p>
    <w:p w14:paraId="3A662A64" w14:textId="4C60C650" w:rsidR="007F59C1" w:rsidRDefault="00B74771" w:rsidP="00155738">
      <w:pPr>
        <w:spacing w:after="0" w:line="480" w:lineRule="auto"/>
        <w:ind w:firstLine="720"/>
        <w:rPr>
          <w:rFonts w:ascii="Times New Roman" w:hAnsi="Times New Roman" w:cs="Times New Roman"/>
          <w:color w:val="000000"/>
        </w:rPr>
      </w:pPr>
      <w:r>
        <w:rPr>
          <w:rFonts w:ascii="Times New Roman" w:hAnsi="Times New Roman" w:cs="Times New Roman"/>
          <w:color w:val="000000"/>
        </w:rPr>
        <w:t xml:space="preserve">Seasonal variations, primarily </w:t>
      </w:r>
      <w:r w:rsidR="00D92356">
        <w:rPr>
          <w:rFonts w:ascii="Times New Roman" w:hAnsi="Times New Roman" w:cs="Times New Roman"/>
          <w:color w:val="000000"/>
        </w:rPr>
        <w:t xml:space="preserve">related to symptom </w:t>
      </w:r>
      <w:r>
        <w:rPr>
          <w:rFonts w:ascii="Times New Roman" w:hAnsi="Times New Roman" w:cs="Times New Roman"/>
          <w:color w:val="000000"/>
        </w:rPr>
        <w:t>exacerbations, have also been reported with COPD</w:t>
      </w:r>
      <w:r w:rsidR="00F43C48">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"/>
          <w:id w:val="2101684520"/>
          <w:placeholder>
            <w:docPart w:val="DefaultPlaceholder_-1854013440"/>
          </w:placeholder>
        </w:sdtPr>
        <w:sdtEndPr/>
        <w:sdtContent>
          <w:r w:rsidR="00572E88" w:rsidRPr="00572E88">
            <w:rPr>
              <w:rFonts w:ascii="Times New Roman" w:hAnsi="Times New Roman" w:cs="Times New Roman"/>
              <w:color w:val="000000"/>
            </w:rPr>
            <w:t>[78]</w:t>
          </w:r>
        </w:sdtContent>
      </w:sdt>
      <w:r>
        <w:rPr>
          <w:rFonts w:ascii="Times New Roman" w:hAnsi="Times New Roman" w:cs="Times New Roman"/>
          <w:color w:val="000000"/>
        </w:rPr>
        <w:t xml:space="preserve">. </w:t>
      </w:r>
      <w:r w:rsidR="00F43C48">
        <w:rPr>
          <w:rFonts w:ascii="Times New Roman" w:hAnsi="Times New Roman" w:cs="Times New Roman"/>
          <w:color w:val="000000"/>
        </w:rPr>
        <w:t xml:space="preserve">In a study </w:t>
      </w:r>
      <w:r w:rsidR="00426A28">
        <w:rPr>
          <w:rFonts w:ascii="Times New Roman" w:hAnsi="Times New Roman" w:cs="Times New Roman"/>
          <w:color w:val="000000"/>
        </w:rPr>
        <w:t xml:space="preserve">of COPD in 42 countries, the risk of exacerbation was nearly double </w:t>
      </w:r>
      <w:r w:rsidR="00426A28">
        <w:rPr>
          <w:rFonts w:ascii="Times New Roman" w:hAnsi="Times New Roman" w:cs="Times New Roman"/>
          <w:color w:val="000000"/>
        </w:rPr>
        <w:lastRenderedPageBreak/>
        <w:t>during the winter months for non-tropical countries</w:t>
      </w:r>
      <w:r w:rsidR="00E93205">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"/>
          <w:id w:val="-611435917"/>
          <w:placeholder>
            <w:docPart w:val="DefaultPlaceholder_-1854013440"/>
          </w:placeholder>
        </w:sdtPr>
        <w:sdtEndPr/>
        <w:sdtContent>
          <w:r w:rsidR="00572E88" w:rsidRPr="00572E88">
            <w:rPr>
              <w:rFonts w:ascii="Times New Roman" w:hAnsi="Times New Roman" w:cs="Times New Roman"/>
              <w:color w:val="000000"/>
            </w:rPr>
            <w:t>[79]</w:t>
          </w:r>
        </w:sdtContent>
      </w:sdt>
      <w:r w:rsidR="00E93205">
        <w:rPr>
          <w:rFonts w:ascii="Times New Roman" w:hAnsi="Times New Roman" w:cs="Times New Roman"/>
          <w:color w:val="000000"/>
        </w:rPr>
        <w:t xml:space="preserve">. This trend was hypothesized to </w:t>
      </w:r>
      <w:r w:rsidR="00426A28">
        <w:rPr>
          <w:rFonts w:ascii="Times New Roman" w:hAnsi="Times New Roman" w:cs="Times New Roman"/>
          <w:color w:val="000000"/>
        </w:rPr>
        <w:t xml:space="preserve">reflect the seasonal trends of </w:t>
      </w:r>
      <w:r w:rsidR="00D92356">
        <w:rPr>
          <w:rFonts w:ascii="Times New Roman" w:hAnsi="Times New Roman" w:cs="Times New Roman"/>
          <w:color w:val="000000"/>
        </w:rPr>
        <w:t>infectious respiratory illness</w:t>
      </w:r>
      <w:r w:rsidR="00E75450">
        <w:rPr>
          <w:rFonts w:ascii="Times New Roman" w:hAnsi="Times New Roman" w:cs="Times New Roman"/>
          <w:color w:val="000000"/>
        </w:rPr>
        <w:t xml:space="preserve">es and lower temperatures </w:t>
      </w:r>
      <w:r w:rsidR="00E93205">
        <w:rPr>
          <w:rFonts w:ascii="Times New Roman" w:hAnsi="Times New Roman" w:cs="Times New Roman"/>
          <w:color w:val="000000"/>
        </w:rPr>
        <w:t xml:space="preserve">compared to the summer month which typically leads </w:t>
      </w:r>
      <w:r w:rsidR="00E75450">
        <w:rPr>
          <w:rFonts w:ascii="Times New Roman" w:hAnsi="Times New Roman" w:cs="Times New Roman"/>
          <w:color w:val="000000"/>
        </w:rPr>
        <w:t xml:space="preserve">physical activity reductions and increased indoor activities </w:t>
      </w:r>
      <w:sdt>
        <w:sdtPr>
          <w:rPr>
            <w:rFonts w:ascii="Times New Roman" w:hAnsi="Times New Roman" w:cs="Times New Roman"/>
            <w:color w:val="000000"/>
          </w:rPr>
          <w:tag w:val="MENDELEY_CITATION_v3_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"/>
          <w:id w:val="-797381149"/>
          <w:placeholder>
            <w:docPart w:val="DefaultPlaceholder_-1854013440"/>
          </w:placeholder>
        </w:sdtPr>
        <w:sdtEndPr/>
        <w:sdtContent>
          <w:r w:rsidR="00572E88" w:rsidRPr="00572E88">
            <w:rPr>
              <w:rFonts w:ascii="Times New Roman" w:hAnsi="Times New Roman" w:cs="Times New Roman"/>
              <w:color w:val="000000"/>
            </w:rPr>
            <w:t>[79]</w:t>
          </w:r>
        </w:sdtContent>
      </w:sdt>
      <w:r w:rsidR="00D92356">
        <w:rPr>
          <w:rFonts w:ascii="Times New Roman" w:hAnsi="Times New Roman" w:cs="Times New Roman"/>
          <w:color w:val="000000"/>
        </w:rPr>
        <w:t xml:space="preserve">. </w:t>
      </w:r>
      <w:r w:rsidR="009F54AE">
        <w:rPr>
          <w:rFonts w:ascii="Times New Roman" w:hAnsi="Times New Roman" w:cs="Times New Roman"/>
          <w:color w:val="000000"/>
        </w:rPr>
        <w:t xml:space="preserve">A separate study reported the monthly exacerbation rate to be &gt;2 times higher in the winter compared to the summer and </w:t>
      </w:r>
      <w:r w:rsidR="007F59C1">
        <w:rPr>
          <w:rFonts w:ascii="Times New Roman" w:hAnsi="Times New Roman" w:cs="Times New Roman"/>
          <w:color w:val="000000"/>
        </w:rPr>
        <w:t xml:space="preserve">persisted </w:t>
      </w:r>
      <w:r w:rsidR="009F54AE">
        <w:rPr>
          <w:rFonts w:ascii="Times New Roman" w:hAnsi="Times New Roman" w:cs="Times New Roman"/>
          <w:color w:val="000000"/>
        </w:rPr>
        <w:t xml:space="preserve">regardless of patient demographics, disease severity, or comorbidities </w:t>
      </w:r>
      <w:sdt>
        <w:sdtPr>
          <w:rPr>
            <w:rFonts w:ascii="Times New Roman" w:hAnsi="Times New Roman" w:cs="Times New Roman"/>
            <w:color w:val="000000"/>
          </w:rPr>
          <w:tag w:val="MENDELEY_CITATION_v3_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"/>
          <w:id w:val="1547407076"/>
          <w:placeholder>
            <w:docPart w:val="DefaultPlaceholder_-1854013440"/>
          </w:placeholder>
        </w:sdtPr>
        <w:sdtEndPr/>
        <w:sdtContent>
          <w:r w:rsidR="00572E88" w:rsidRPr="00572E88">
            <w:rPr>
              <w:rFonts w:ascii="Times New Roman" w:hAnsi="Times New Roman" w:cs="Times New Roman"/>
              <w:color w:val="000000"/>
            </w:rPr>
            <w:t>[80]</w:t>
          </w:r>
        </w:sdtContent>
      </w:sdt>
      <w:r w:rsidR="009F54AE">
        <w:rPr>
          <w:rFonts w:ascii="Times New Roman" w:hAnsi="Times New Roman" w:cs="Times New Roman"/>
          <w:color w:val="000000"/>
        </w:rPr>
        <w:t xml:space="preserve">. </w:t>
      </w:r>
      <w:r w:rsidR="007F59C1">
        <w:rPr>
          <w:rFonts w:ascii="Times New Roman" w:hAnsi="Times New Roman" w:cs="Times New Roman"/>
          <w:color w:val="000000"/>
        </w:rPr>
        <w:t>In tropical climates whose temperature fluctuations are minimal, the exacerbation</w:t>
      </w:r>
      <w:r w:rsidR="00AD519C">
        <w:rPr>
          <w:rFonts w:ascii="Times New Roman" w:hAnsi="Times New Roman" w:cs="Times New Roman"/>
          <w:color w:val="000000"/>
        </w:rPr>
        <w:t xml:space="preserve"> seasonal trends tend to follow the patterns of the rainy season, which also coincides with higher risk of respiratory infection </w:t>
      </w:r>
      <w:sdt>
        <w:sdtPr>
          <w:rPr>
            <w:rFonts w:ascii="Times New Roman" w:hAnsi="Times New Roman" w:cs="Times New Roman"/>
            <w:color w:val="000000"/>
          </w:rPr>
          <w:tag w:val="MENDELEY_CITATION_v3_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"/>
          <w:id w:val="-629855166"/>
          <w:placeholder>
            <w:docPart w:val="DefaultPlaceholder_-1854013440"/>
          </w:placeholder>
        </w:sdtPr>
        <w:sdtEndPr/>
        <w:sdtContent>
          <w:r w:rsidR="00572E88" w:rsidRPr="00572E88">
            <w:rPr>
              <w:rFonts w:ascii="Times New Roman" w:hAnsi="Times New Roman" w:cs="Times New Roman"/>
              <w:color w:val="000000"/>
            </w:rPr>
            <w:t>[78]</w:t>
          </w:r>
        </w:sdtContent>
      </w:sdt>
      <w:r w:rsidR="00AD519C">
        <w:rPr>
          <w:rFonts w:ascii="Times New Roman" w:hAnsi="Times New Roman" w:cs="Times New Roman"/>
          <w:color w:val="000000"/>
        </w:rPr>
        <w:t xml:space="preserve">. During the COVID-19 pandemic, however, the seasonal trends of </w:t>
      </w:r>
      <w:r w:rsidR="00E93205">
        <w:rPr>
          <w:rFonts w:ascii="Times New Roman" w:hAnsi="Times New Roman" w:cs="Times New Roman"/>
          <w:color w:val="000000"/>
        </w:rPr>
        <w:t>COPD symptom exacerbation</w:t>
      </w:r>
      <w:r w:rsidR="00AD519C">
        <w:rPr>
          <w:rFonts w:ascii="Times New Roman" w:hAnsi="Times New Roman" w:cs="Times New Roman"/>
          <w:color w:val="000000"/>
        </w:rPr>
        <w:t xml:space="preserve"> inverted with higher exacerbatio</w:t>
      </w:r>
      <w:r w:rsidR="00965E17">
        <w:rPr>
          <w:rFonts w:ascii="Times New Roman" w:hAnsi="Times New Roman" w:cs="Times New Roman"/>
          <w:color w:val="000000"/>
        </w:rPr>
        <w:t>n hospitalizations</w:t>
      </w:r>
      <w:r w:rsidR="00AD519C">
        <w:rPr>
          <w:rFonts w:ascii="Times New Roman" w:hAnsi="Times New Roman" w:cs="Times New Roman"/>
          <w:color w:val="000000"/>
        </w:rPr>
        <w:t xml:space="preserve"> occurring</w:t>
      </w:r>
      <w:r w:rsidR="00965E17">
        <w:rPr>
          <w:rFonts w:ascii="Times New Roman" w:hAnsi="Times New Roman" w:cs="Times New Roman"/>
          <w:color w:val="000000"/>
        </w:rPr>
        <w:t xml:space="preserve"> in</w:t>
      </w:r>
      <w:r w:rsidR="00AD519C">
        <w:rPr>
          <w:rFonts w:ascii="Times New Roman" w:hAnsi="Times New Roman" w:cs="Times New Roman"/>
          <w:color w:val="000000"/>
        </w:rPr>
        <w:t xml:space="preserve"> the summer compared to the winter</w:t>
      </w:r>
      <w:r w:rsidR="00965E17">
        <w:rPr>
          <w:rFonts w:ascii="Times New Roman" w:hAnsi="Times New Roman" w:cs="Times New Roman"/>
          <w:color w:val="000000"/>
        </w:rPr>
        <w:t xml:space="preserve"> </w:t>
      </w:r>
      <w:sdt>
        <w:sdtPr>
          <w:rPr>
            <w:rFonts w:ascii="Times New Roman" w:hAnsi="Times New Roman" w:cs="Times New Roman"/>
            <w:color w:val="000000"/>
          </w:rPr>
          <w:tag w:val="MENDELEY_CITATION_v3_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"/>
          <w:id w:val="2141849611"/>
          <w:placeholder>
            <w:docPart w:val="DefaultPlaceholder_-1854013440"/>
          </w:placeholder>
        </w:sdtPr>
        <w:sdtEndPr/>
        <w:sdtContent>
          <w:r w:rsidR="00572E88" w:rsidRPr="00572E88">
            <w:rPr>
              <w:rFonts w:ascii="Times New Roman" w:hAnsi="Times New Roman" w:cs="Times New Roman"/>
              <w:color w:val="000000"/>
            </w:rPr>
            <w:t>[81]</w:t>
          </w:r>
        </w:sdtContent>
      </w:sdt>
      <w:r w:rsidR="00AD519C">
        <w:rPr>
          <w:rFonts w:ascii="Times New Roman" w:hAnsi="Times New Roman" w:cs="Times New Roman"/>
          <w:color w:val="000000"/>
        </w:rPr>
        <w:t xml:space="preserve">. The </w:t>
      </w:r>
      <w:r w:rsidR="00965E17">
        <w:rPr>
          <w:rFonts w:ascii="Times New Roman" w:hAnsi="Times New Roman" w:cs="Times New Roman"/>
          <w:color w:val="000000"/>
        </w:rPr>
        <w:t xml:space="preserve">authors attributed the change in trend to the public health initiatives for reducing respiratory infections, specifically COVID, and the lessening of the public health restrictions in the summer months </w:t>
      </w:r>
      <w:sdt>
        <w:sdtPr>
          <w:rPr>
            <w:rFonts w:ascii="Times New Roman" w:hAnsi="Times New Roman" w:cs="Times New Roman"/>
            <w:color w:val="000000"/>
          </w:rPr>
          <w:tag w:val="MENDELEY_CITATION_v3_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"/>
          <w:id w:val="1373266919"/>
          <w:placeholder>
            <w:docPart w:val="DefaultPlaceholder_-1854013440"/>
          </w:placeholder>
        </w:sdtPr>
        <w:sdtEndPr/>
        <w:sdtContent>
          <w:r w:rsidR="00572E88" w:rsidRPr="00572E88">
            <w:rPr>
              <w:rFonts w:ascii="Times New Roman" w:hAnsi="Times New Roman" w:cs="Times New Roman"/>
              <w:color w:val="000000"/>
            </w:rPr>
            <w:t>[81]</w:t>
          </w:r>
        </w:sdtContent>
      </w:sdt>
      <w:r w:rsidR="00965E17">
        <w:rPr>
          <w:rFonts w:ascii="Times New Roman" w:hAnsi="Times New Roman" w:cs="Times New Roman"/>
          <w:color w:val="000000"/>
        </w:rPr>
        <w:t>.</w:t>
      </w:r>
      <w:r w:rsidR="00DE692B">
        <w:rPr>
          <w:rFonts w:ascii="Times New Roman" w:hAnsi="Times New Roman" w:cs="Times New Roman"/>
          <w:color w:val="000000"/>
        </w:rPr>
        <w:t xml:space="preserve"> </w:t>
      </w:r>
    </w:p>
    <w:p w14:paraId="438D70C1" w14:textId="77777777" w:rsidR="00203A81" w:rsidRDefault="00203A81" w:rsidP="00155738">
      <w:pPr>
        <w:spacing w:after="0" w:line="480" w:lineRule="auto"/>
        <w:rPr>
          <w:rFonts w:ascii="Times New Roman" w:hAnsi="Times New Roman" w:cs="Times New Roman"/>
          <w:color w:val="000000"/>
        </w:rPr>
      </w:pPr>
    </w:p>
    <w:p w14:paraId="62DDF0EE" w14:textId="77777777" w:rsidR="00D47413" w:rsidRPr="00CF47F9" w:rsidRDefault="00D47413" w:rsidP="00155738">
      <w:pPr>
        <w:pStyle w:val="Heading4"/>
        <w:spacing w:before="0" w:after="0" w:line="480" w:lineRule="auto"/>
        <w:rPr>
          <w:szCs w:val="28"/>
        </w:rPr>
      </w:pPr>
      <w:bookmarkStart w:id="28" w:name="_Toc200096951"/>
      <w:r w:rsidRPr="00CF47F9">
        <w:rPr>
          <w:szCs w:val="28"/>
        </w:rPr>
        <w:t>Risk factors of COPD</w:t>
      </w:r>
      <w:bookmarkEnd w:id="28"/>
    </w:p>
    <w:p w14:paraId="7770B92B" w14:textId="77777777" w:rsidR="00D47413" w:rsidRDefault="00D47413" w:rsidP="00155738">
      <w:pPr>
        <w:pStyle w:val="Heading5"/>
        <w:spacing w:before="0" w:after="0" w:line="480" w:lineRule="auto"/>
      </w:pPr>
      <w:bookmarkStart w:id="29" w:name="_Toc200096952"/>
      <w:r>
        <w:t>Non-modifiable Risk Factors</w:t>
      </w:r>
      <w:bookmarkEnd w:id="29"/>
    </w:p>
    <w:p w14:paraId="3A7C973D" w14:textId="77777777" w:rsidR="00D47413" w:rsidRPr="002D23C9" w:rsidRDefault="00D47413" w:rsidP="00155738">
      <w:pPr>
        <w:pStyle w:val="Heading6"/>
        <w:spacing w:before="0" w:line="480" w:lineRule="auto"/>
      </w:pPr>
      <w:bookmarkStart w:id="30" w:name="_Toc200096953"/>
      <w:r>
        <w:t>Age</w:t>
      </w:r>
      <w:bookmarkEnd w:id="30"/>
      <w:r>
        <w:t xml:space="preserve"> </w:t>
      </w:r>
    </w:p>
    <w:p w14:paraId="039BA5F2" w14:textId="5BFB8E1B" w:rsidR="00DA766D" w:rsidRDefault="00DA766D" w:rsidP="000D714C">
      <w:pPr>
        <w:spacing w:after="0" w:line="480" w:lineRule="auto"/>
        <w:ind w:firstLine="720"/>
        <w:rPr>
          <w:rFonts w:ascii="Times New Roman" w:hAnsi="Times New Roman" w:cs="Times New Roman"/>
        </w:rPr>
      </w:pPr>
      <w:r>
        <w:rPr>
          <w:rFonts w:ascii="Times New Roman" w:hAnsi="Times New Roman" w:cs="Times New Roman"/>
        </w:rPr>
        <w:t>Advanced age is widely recognized as an important factor in lung function. Regardless of the disease state, l</w:t>
      </w:r>
      <w:r w:rsidRPr="00797660">
        <w:rPr>
          <w:rFonts w:ascii="Times New Roman" w:hAnsi="Times New Roman" w:cs="Times New Roman"/>
        </w:rPr>
        <w:t xml:space="preserve">ung function is expected to change over a lifespan, with lung function increasing until early adulthood when a natural decline occurs </w:t>
      </w:r>
      <w:sdt>
        <w:sdtPr>
          <w:rPr>
            <w:color w:val="000000"/>
          </w:rPr>
          <w:tag w:val="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"/>
          <w:id w:val="-606656125"/>
          <w:placeholder>
            <w:docPart w:val="6D93D839B45E47F7BD15C5C0D1E235AB"/>
          </w:placeholder>
        </w:sdtPr>
        <w:sdtEndPr/>
        <w:sdtContent>
          <w:r w:rsidR="00572E88" w:rsidRPr="00572E88">
            <w:rPr>
              <w:rFonts w:ascii="Times New Roman" w:hAnsi="Times New Roman" w:cs="Times New Roman"/>
              <w:color w:val="000000"/>
            </w:rPr>
            <w:t>[82]</w:t>
          </w:r>
        </w:sdtContent>
      </w:sdt>
      <w:r w:rsidRPr="00797660">
        <w:rPr>
          <w:rFonts w:ascii="Times New Roman" w:hAnsi="Times New Roman" w:cs="Times New Roman"/>
        </w:rPr>
        <w:t>. Mechanistically, this decline is thought to be driven by declines in respiratory muscles, elasticity, and gas exchange</w:t>
      </w:r>
      <w:r>
        <w:rPr>
          <w:rFonts w:ascii="Times New Roman" w:hAnsi="Times New Roman" w:cs="Times New Roman"/>
        </w:rPr>
        <w:t xml:space="preserve"> produced by aging</w:t>
      </w:r>
      <w:r w:rsidRPr="00797660">
        <w:rPr>
          <w:rFonts w:ascii="Times New Roman" w:hAnsi="Times New Roman" w:cs="Times New Roman"/>
        </w:rPr>
        <w:t xml:space="preserve"> </w:t>
      </w:r>
      <w:sdt>
        <w:sdtPr>
          <w:rPr>
            <w:color w:val="000000"/>
          </w:rPr>
          <w:tag w:val="MENDELEY_CITATION_v3_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"/>
          <w:id w:val="-1202236399"/>
          <w:placeholder>
            <w:docPart w:val="6D93D839B45E47F7BD15C5C0D1E235AB"/>
          </w:placeholder>
        </w:sdtPr>
        <w:sdtEndPr/>
        <w:sdtContent>
          <w:r w:rsidR="00572E88" w:rsidRPr="00572E88">
            <w:rPr>
              <w:rFonts w:ascii="Times New Roman" w:hAnsi="Times New Roman" w:cs="Times New Roman"/>
              <w:color w:val="000000"/>
            </w:rPr>
            <w:t>[83]</w:t>
          </w:r>
        </w:sdtContent>
      </w:sdt>
      <w:r w:rsidRPr="00797660">
        <w:rPr>
          <w:rFonts w:ascii="Times New Roman" w:hAnsi="Times New Roman" w:cs="Times New Roman"/>
        </w:rPr>
        <w:t xml:space="preserve">. However, the natural lung function trajectory can be altered through other factors that can accelerate decline leading to COPD, which makes age a risk factor for COPD </w:t>
      </w:r>
      <w:sdt>
        <w:sdtPr>
          <w:rPr>
            <w:color w:val="000000"/>
          </w:rPr>
          <w:tag w:val="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"/>
          <w:id w:val="2022423921"/>
          <w:placeholder>
            <w:docPart w:val="6D93D839B45E47F7BD15C5C0D1E235AB"/>
          </w:placeholder>
        </w:sdtPr>
        <w:sdtEndPr/>
        <w:sdtContent>
          <w:r w:rsidR="00572E88" w:rsidRPr="00572E88">
            <w:rPr>
              <w:rFonts w:ascii="Times New Roman" w:hAnsi="Times New Roman" w:cs="Times New Roman"/>
              <w:color w:val="000000"/>
            </w:rPr>
            <w:t>[83,84]</w:t>
          </w:r>
        </w:sdtContent>
      </w:sdt>
      <w:r w:rsidRPr="00797660">
        <w:rPr>
          <w:rFonts w:ascii="Times New Roman" w:hAnsi="Times New Roman" w:cs="Times New Roman"/>
        </w:rPr>
        <w:t>.</w:t>
      </w:r>
    </w:p>
    <w:p w14:paraId="1B3B5603" w14:textId="77777777" w:rsidR="00F15644" w:rsidRPr="00D715E7" w:rsidRDefault="00F15644" w:rsidP="000D714C">
      <w:pPr>
        <w:spacing w:after="0" w:line="480" w:lineRule="auto"/>
        <w:rPr>
          <w:rFonts w:ascii="Times New Roman" w:hAnsi="Times New Roman" w:cs="Times New Roman"/>
        </w:rPr>
      </w:pPr>
    </w:p>
    <w:p w14:paraId="011F9571" w14:textId="09F46F8D" w:rsidR="00D47413" w:rsidRPr="007142D9" w:rsidRDefault="00D47413" w:rsidP="000D714C">
      <w:pPr>
        <w:pStyle w:val="Heading6"/>
        <w:spacing w:before="0" w:line="480" w:lineRule="auto"/>
      </w:pPr>
      <w:bookmarkStart w:id="31" w:name="_Toc200096954"/>
      <w:r>
        <w:lastRenderedPageBreak/>
        <w:t>Genetic Risk Factors</w:t>
      </w:r>
      <w:bookmarkEnd w:id="31"/>
    </w:p>
    <w:p w14:paraId="622F438E" w14:textId="2499B2ED" w:rsidR="00DA766D" w:rsidRDefault="00DA766D" w:rsidP="000D714C">
      <w:pPr>
        <w:spacing w:after="0" w:line="480" w:lineRule="auto"/>
        <w:ind w:firstLine="720"/>
        <w:rPr>
          <w:rFonts w:ascii="Times New Roman" w:hAnsi="Times New Roman" w:cs="Times New Roman"/>
        </w:rPr>
      </w:pPr>
      <w:r>
        <w:rPr>
          <w:rFonts w:ascii="Times New Roman" w:hAnsi="Times New Roman" w:cs="Times New Roman"/>
        </w:rPr>
        <w:t>For &gt;25 years, genetic mutations have been assessed as possible risk factors for COPD, and alpha-1 antitrypsin (AAT) deficiency</w:t>
      </w:r>
      <w:r w:rsidRPr="00F35F2C">
        <w:t xml:space="preserve"> </w:t>
      </w:r>
      <w:r>
        <w:rPr>
          <w:rFonts w:ascii="Times New Roman" w:hAnsi="Times New Roman" w:cs="Times New Roman"/>
        </w:rPr>
        <w:t xml:space="preserve">remains the most broadly recognized genetic risk factor </w:t>
      </w:r>
      <w:sdt>
        <w:sdtPr>
          <w:rPr>
            <w:rFonts w:ascii="Times New Roman" w:hAnsi="Times New Roman" w:cs="Times New Roman"/>
            <w:color w:val="000000"/>
          </w:rPr>
          <w:tag w:val="MENDELEY_CITATION_v3_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"/>
          <w:id w:val="1476645826"/>
          <w:placeholder>
            <w:docPart w:val="793ABAAD81EB44E49C95FE3A1CB15A91"/>
          </w:placeholder>
        </w:sdtPr>
        <w:sdtEndPr/>
        <w:sdtContent>
          <w:r w:rsidR="00572E88" w:rsidRPr="00572E88">
            <w:rPr>
              <w:rFonts w:ascii="Times New Roman" w:hAnsi="Times New Roman" w:cs="Times New Roman"/>
              <w:color w:val="000000"/>
            </w:rPr>
            <w:t>[85]</w:t>
          </w:r>
        </w:sdtContent>
      </w:sdt>
      <w:r>
        <w:rPr>
          <w:rFonts w:ascii="Times New Roman" w:hAnsi="Times New Roman" w:cs="Times New Roman"/>
        </w:rPr>
        <w:t xml:space="preserve">. The AAT inhibits leukocyte elastase in neutrophils, which results in a malformation to the AAT structure from a change in an amino acid </w:t>
      </w:r>
      <w:sdt>
        <w:sdtPr>
          <w:rPr>
            <w:rFonts w:ascii="Times New Roman" w:hAnsi="Times New Roman" w:cs="Times New Roman"/>
            <w:color w:val="000000"/>
          </w:rPr>
          <w:tag w:val="MENDELEY_CITATION_v3_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"/>
          <w:id w:val="1618644434"/>
          <w:placeholder>
            <w:docPart w:val="793ABAAD81EB44E49C95FE3A1CB15A91"/>
          </w:placeholder>
        </w:sdtPr>
        <w:sdtEndPr/>
        <w:sdtContent>
          <w:r w:rsidR="00572E88" w:rsidRPr="00572E88">
            <w:rPr>
              <w:rFonts w:ascii="Times New Roman" w:hAnsi="Times New Roman" w:cs="Times New Roman"/>
              <w:color w:val="000000"/>
            </w:rPr>
            <w:t>[85]</w:t>
          </w:r>
        </w:sdtContent>
      </w:sdt>
      <w:r>
        <w:rPr>
          <w:rFonts w:ascii="Times New Roman" w:hAnsi="Times New Roman" w:cs="Times New Roman"/>
        </w:rPr>
        <w:t xml:space="preserve">. Ultimately, this reduces the amount of AAT available for regulation of the leukocyte elastase, which increases the risk of COPD </w:t>
      </w:r>
      <w:sdt>
        <w:sdtPr>
          <w:rPr>
            <w:rFonts w:ascii="Times New Roman" w:hAnsi="Times New Roman" w:cs="Times New Roman"/>
            <w:color w:val="000000"/>
          </w:rPr>
          <w:tag w:val="MENDELEY_CITATION_v3_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"/>
          <w:id w:val="-629168897"/>
          <w:placeholder>
            <w:docPart w:val="793ABAAD81EB44E49C95FE3A1CB15A91"/>
          </w:placeholder>
        </w:sdtPr>
        <w:sdtEndPr/>
        <w:sdtContent>
          <w:r w:rsidR="00572E88" w:rsidRPr="00572E88">
            <w:rPr>
              <w:rFonts w:ascii="Times New Roman" w:hAnsi="Times New Roman" w:cs="Times New Roman"/>
              <w:color w:val="000000"/>
            </w:rPr>
            <w:t>[85]</w:t>
          </w:r>
        </w:sdtContent>
      </w:sdt>
      <w:r>
        <w:rPr>
          <w:rFonts w:ascii="Times New Roman" w:hAnsi="Times New Roman" w:cs="Times New Roman"/>
        </w:rPr>
        <w:t xml:space="preserve">. In the United States, severe AAT dysfunction occurs in only 1 per 3,000 persons </w:t>
      </w:r>
      <w:sdt>
        <w:sdtPr>
          <w:rPr>
            <w:rFonts w:ascii="Times New Roman" w:hAnsi="Times New Roman" w:cs="Times New Roman"/>
            <w:color w:val="000000"/>
          </w:rPr>
          <w:tag w:val="MENDELEY_CITATION_v3_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"/>
          <w:id w:val="-504671211"/>
          <w:placeholder>
            <w:docPart w:val="793ABAAD81EB44E49C95FE3A1CB15A91"/>
          </w:placeholder>
        </w:sdtPr>
        <w:sdtEndPr/>
        <w:sdtContent>
          <w:r w:rsidR="00572E88" w:rsidRPr="00572E88">
            <w:rPr>
              <w:rFonts w:ascii="Times New Roman" w:hAnsi="Times New Roman" w:cs="Times New Roman"/>
              <w:color w:val="000000"/>
            </w:rPr>
            <w:t>[85]</w:t>
          </w:r>
        </w:sdtContent>
      </w:sdt>
      <w:r>
        <w:rPr>
          <w:rFonts w:ascii="Times New Roman" w:hAnsi="Times New Roman" w:cs="Times New Roman"/>
        </w:rPr>
        <w:t xml:space="preserve">. Thus, active research into other genetic factors is ongoing, which one review listing &gt;50 possible genetic risk factors </w:t>
      </w:r>
      <w:sdt>
        <w:sdtPr>
          <w:rPr>
            <w:rFonts w:ascii="Times New Roman" w:hAnsi="Times New Roman" w:cs="Times New Roman"/>
            <w:color w:val="000000"/>
          </w:rPr>
          <w:tag w:val="MENDELEY_CITATION_v3_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"/>
          <w:id w:val="-56634649"/>
          <w:placeholder>
            <w:docPart w:val="793ABAAD81EB44E49C95FE3A1CB15A91"/>
          </w:placeholder>
        </w:sdtPr>
        <w:sdtEndPr/>
        <w:sdtContent>
          <w:r w:rsidR="00572E88" w:rsidRPr="00572E88">
            <w:rPr>
              <w:rFonts w:ascii="Times New Roman" w:hAnsi="Times New Roman" w:cs="Times New Roman"/>
              <w:color w:val="000000"/>
            </w:rPr>
            <w:t>[7]</w:t>
          </w:r>
        </w:sdtContent>
      </w:sdt>
      <w:r>
        <w:rPr>
          <w:rFonts w:ascii="Times New Roman" w:hAnsi="Times New Roman" w:cs="Times New Roman"/>
        </w:rPr>
        <w:t>.</w:t>
      </w:r>
    </w:p>
    <w:p w14:paraId="4481F0D0" w14:textId="77777777" w:rsidR="00203A81" w:rsidRDefault="00203A81" w:rsidP="000D714C">
      <w:pPr>
        <w:spacing w:after="0" w:line="480" w:lineRule="auto"/>
        <w:rPr>
          <w:rFonts w:ascii="Times New Roman" w:hAnsi="Times New Roman" w:cs="Times New Roman"/>
        </w:rPr>
      </w:pPr>
    </w:p>
    <w:p w14:paraId="40B3F122" w14:textId="77777777" w:rsidR="00D47413" w:rsidRPr="007142D9" w:rsidRDefault="00D47413" w:rsidP="000D714C">
      <w:pPr>
        <w:pStyle w:val="Heading6"/>
        <w:spacing w:before="0" w:line="480" w:lineRule="auto"/>
      </w:pPr>
      <w:bookmarkStart w:id="32" w:name="_Toc200096955"/>
      <w:r>
        <w:t>Early Life Exposures</w:t>
      </w:r>
      <w:bookmarkEnd w:id="32"/>
    </w:p>
    <w:p w14:paraId="2169FE95" w14:textId="77777777" w:rsidR="00203A81" w:rsidRDefault="00DA766D" w:rsidP="000D714C">
      <w:pPr>
        <w:spacing w:after="0" w:line="480" w:lineRule="auto"/>
        <w:ind w:firstLine="720"/>
        <w:rPr>
          <w:rFonts w:ascii="Times New Roman" w:hAnsi="Times New Roman" w:cs="Times New Roman"/>
        </w:rPr>
      </w:pPr>
      <w:r>
        <w:rPr>
          <w:rFonts w:ascii="Times New Roman" w:hAnsi="Times New Roman" w:cs="Times New Roman"/>
        </w:rPr>
        <w:t xml:space="preserve">Before aging can occur, in-utero and early life exposures may impact COPD risk. Specifically, pre-mature birth and low birth weight have been identified as possible risk factors for COPD </w:t>
      </w:r>
      <w:sdt>
        <w:sdtPr>
          <w:rPr>
            <w:rFonts w:ascii="Times New Roman" w:hAnsi="Times New Roman" w:cs="Times New Roman"/>
            <w:color w:val="000000"/>
          </w:rPr>
          <w:tag w:val="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"/>
          <w:id w:val="-786735220"/>
          <w:placeholder>
            <w:docPart w:val="0020F80FB8194713A91DE5B8FD37E3FC"/>
          </w:placeholder>
        </w:sdtPr>
        <w:sdtEndPr/>
        <w:sdtContent>
          <w:r w:rsidR="00572E88" w:rsidRPr="00572E88">
            <w:rPr>
              <w:rFonts w:ascii="Times New Roman" w:hAnsi="Times New Roman" w:cs="Times New Roman"/>
              <w:color w:val="000000"/>
            </w:rPr>
            <w:t>[86–89]</w:t>
          </w:r>
        </w:sdtContent>
      </w:sdt>
      <w:r>
        <w:rPr>
          <w:rFonts w:ascii="Times New Roman" w:hAnsi="Times New Roman" w:cs="Times New Roman"/>
          <w:color w:val="000000"/>
        </w:rPr>
        <w:t xml:space="preserve">. </w:t>
      </w:r>
      <w:r>
        <w:rPr>
          <w:rFonts w:ascii="Times New Roman" w:hAnsi="Times New Roman" w:cs="Times New Roman"/>
        </w:rPr>
        <w:t xml:space="preserve">A meta-analysis reported the odds of COPD development for those with a low birth weight were 58% higher compared to those with a normal birth weight </w:t>
      </w:r>
      <w:sdt>
        <w:sdtPr>
          <w:rPr>
            <w:rFonts w:ascii="Times New Roman" w:hAnsi="Times New Roman" w:cs="Times New Roman"/>
            <w:color w:val="000000"/>
          </w:rPr>
          <w:tag w:val="MENDELEY_CITATION_v3_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"/>
          <w:id w:val="1665505935"/>
          <w:placeholder>
            <w:docPart w:val="AFF18572186D431EA330730C6087E465"/>
          </w:placeholder>
        </w:sdtPr>
        <w:sdtEndPr/>
        <w:sdtContent>
          <w:r w:rsidR="00572E88" w:rsidRPr="00572E88">
            <w:rPr>
              <w:rFonts w:ascii="Times New Roman" w:hAnsi="Times New Roman" w:cs="Times New Roman"/>
              <w:color w:val="000000"/>
            </w:rPr>
            <w:t>[86]</w:t>
          </w:r>
        </w:sdtContent>
      </w:sdt>
      <w:r>
        <w:rPr>
          <w:rFonts w:ascii="Times New Roman" w:hAnsi="Times New Roman" w:cs="Times New Roman"/>
        </w:rPr>
        <w:t xml:space="preserve">. However, the same increase was not reported for pre-term birth in the same meta-analysis </w:t>
      </w:r>
      <w:sdt>
        <w:sdtPr>
          <w:rPr>
            <w:rFonts w:ascii="Times New Roman" w:hAnsi="Times New Roman" w:cs="Times New Roman"/>
            <w:color w:val="000000"/>
          </w:rPr>
          <w:tag w:val="MENDELEY_CITATION_v3_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"/>
          <w:id w:val="1263343671"/>
          <w:placeholder>
            <w:docPart w:val="BD92850995544EB2BB1823C025C486FB"/>
          </w:placeholder>
        </w:sdtPr>
        <w:sdtEndPr/>
        <w:sdtContent>
          <w:r w:rsidR="00572E88" w:rsidRPr="00572E88">
            <w:rPr>
              <w:rFonts w:ascii="Times New Roman" w:hAnsi="Times New Roman" w:cs="Times New Roman"/>
              <w:color w:val="000000"/>
            </w:rPr>
            <w:t>[86]</w:t>
          </w:r>
        </w:sdtContent>
      </w:sdt>
      <w:r>
        <w:rPr>
          <w:rFonts w:ascii="Times New Roman" w:hAnsi="Times New Roman" w:cs="Times New Roman"/>
        </w:rPr>
        <w:t xml:space="preserve">. In individual studies, </w:t>
      </w:r>
      <w:r>
        <w:rPr>
          <w:rFonts w:ascii="Times New Roman" w:hAnsi="Times New Roman" w:cs="Times New Roman"/>
          <w:color w:val="000000"/>
        </w:rPr>
        <w:t xml:space="preserve">the odds of COPD development from age 30-50 years were 7.4 times higher in those born before 28 weeks gestation compared to those with full term birth and 3.2 times higher in those born between 28-31 weeks </w:t>
      </w:r>
      <w:sdt>
        <w:sdtPr>
          <w:rPr>
            <w:rFonts w:ascii="Times New Roman" w:hAnsi="Times New Roman" w:cs="Times New Roman"/>
            <w:color w:val="000000"/>
          </w:rPr>
          <w:tag w:val="MENDELEY_CITATION_v3_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"/>
          <w:id w:val="-788204207"/>
          <w:placeholder>
            <w:docPart w:val="BD92850995544EB2BB1823C025C486FB"/>
          </w:placeholder>
        </w:sdtPr>
        <w:sdtEndPr/>
        <w:sdtContent>
          <w:r w:rsidR="00572E88" w:rsidRPr="00572E88">
            <w:rPr>
              <w:rFonts w:ascii="Times New Roman" w:hAnsi="Times New Roman" w:cs="Times New Roman"/>
              <w:color w:val="000000"/>
            </w:rPr>
            <w:t>[89]</w:t>
          </w:r>
        </w:sdtContent>
      </w:sdt>
      <w:r>
        <w:rPr>
          <w:rFonts w:ascii="Times New Roman" w:hAnsi="Times New Roman" w:cs="Times New Roman"/>
          <w:color w:val="000000"/>
        </w:rPr>
        <w:t xml:space="preserve">. The risk of COPD in adulthood was 21% higher </w:t>
      </w:r>
      <w:r>
        <w:rPr>
          <w:rFonts w:ascii="Times New Roman" w:hAnsi="Times New Roman" w:cs="Times New Roman"/>
        </w:rPr>
        <w:t xml:space="preserve">in individuals with a birthweight &lt;2.86 kg compared to individuals with normal birth weights </w:t>
      </w:r>
      <w:sdt>
        <w:sdtPr>
          <w:rPr>
            <w:rFonts w:ascii="Times New Roman" w:hAnsi="Times New Roman" w:cs="Times New Roman"/>
            <w:color w:val="000000"/>
          </w:rPr>
          <w:tag w:val="MENDELEY_CITATION_v3_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"/>
          <w:id w:val="-1990240575"/>
          <w:placeholder>
            <w:docPart w:val="8BC366C50D0C45E4997343CBD1B78B5A"/>
          </w:placeholder>
        </w:sdtPr>
        <w:sdtEndPr/>
        <w:sdtContent>
          <w:r w:rsidR="00572E88" w:rsidRPr="00572E88">
            <w:rPr>
              <w:rFonts w:ascii="Times New Roman" w:hAnsi="Times New Roman" w:cs="Times New Roman"/>
              <w:color w:val="000000"/>
            </w:rPr>
            <w:t>[87]</w:t>
          </w:r>
        </w:sdtContent>
      </w:sdt>
      <w:r>
        <w:rPr>
          <w:rFonts w:ascii="Times New Roman" w:hAnsi="Times New Roman" w:cs="Times New Roman"/>
        </w:rPr>
        <w:t xml:space="preserve">. Moreover, the risk of COPD was higher in those exposed to maternal smoking as well as in individuals who passively smoked and were younger ages </w:t>
      </w:r>
      <w:sdt>
        <w:sdtPr>
          <w:rPr>
            <w:rFonts w:ascii="Times New Roman" w:hAnsi="Times New Roman" w:cs="Times New Roman"/>
            <w:color w:val="000000"/>
          </w:rPr>
          <w:tag w:val="MENDELEY_CITATION_v3_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"/>
          <w:id w:val="2076393508"/>
          <w:placeholder>
            <w:docPart w:val="BD92850995544EB2BB1823C025C486FB"/>
          </w:placeholder>
        </w:sdtPr>
        <w:sdtEndPr/>
        <w:sdtContent>
          <w:r w:rsidR="00572E88" w:rsidRPr="00572E88">
            <w:rPr>
              <w:rFonts w:ascii="Times New Roman" w:hAnsi="Times New Roman" w:cs="Times New Roman"/>
              <w:color w:val="000000"/>
            </w:rPr>
            <w:t>[87]</w:t>
          </w:r>
        </w:sdtContent>
      </w:sdt>
      <w:r>
        <w:rPr>
          <w:rFonts w:ascii="Times New Roman" w:hAnsi="Times New Roman" w:cs="Times New Roman"/>
        </w:rPr>
        <w:t xml:space="preserve">. In a recent meta-analysis, the odds of COPD in adulthood increased by 42% in individuals exposed to maternal smoking either </w:t>
      </w:r>
      <w:r>
        <w:rPr>
          <w:rFonts w:ascii="Times New Roman" w:hAnsi="Times New Roman" w:cs="Times New Roman"/>
        </w:rPr>
        <w:lastRenderedPageBreak/>
        <w:t xml:space="preserve">in-utero or post-natal </w:t>
      </w:r>
      <w:sdt>
        <w:sdtPr>
          <w:rPr>
            <w:rFonts w:ascii="Times New Roman" w:hAnsi="Times New Roman" w:cs="Times New Roman"/>
            <w:color w:val="000000"/>
          </w:rPr>
          <w:tag w:val="MENDELEY_CITATION_v3_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"/>
          <w:id w:val="1125660283"/>
          <w:placeholder>
            <w:docPart w:val="BD92850995544EB2BB1823C025C486FB"/>
          </w:placeholder>
        </w:sdtPr>
        <w:sdtEndPr/>
        <w:sdtContent>
          <w:r w:rsidR="00572E88" w:rsidRPr="00572E88">
            <w:rPr>
              <w:rFonts w:ascii="Times New Roman" w:hAnsi="Times New Roman" w:cs="Times New Roman"/>
              <w:color w:val="000000"/>
            </w:rPr>
            <w:t>[86]</w:t>
          </w:r>
        </w:sdtContent>
      </w:sdt>
      <w:r>
        <w:rPr>
          <w:rFonts w:ascii="Times New Roman" w:hAnsi="Times New Roman" w:cs="Times New Roman"/>
        </w:rPr>
        <w:t xml:space="preserve">. Separately, the odds of COPD were higher after exposure to maternal tobacco smoke for both in-utero (36%) and post-natal (50%) exposure scenarios compared to individuals who were not exposed to maternal tobacco smoke </w:t>
      </w:r>
      <w:sdt>
        <w:sdtPr>
          <w:rPr>
            <w:rFonts w:ascii="Times New Roman" w:hAnsi="Times New Roman" w:cs="Times New Roman"/>
            <w:color w:val="000000"/>
          </w:rPr>
          <w:tag w:val="MENDELEY_CITATION_v3_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"/>
          <w:id w:val="1908032613"/>
          <w:placeholder>
            <w:docPart w:val="BD92850995544EB2BB1823C025C486FB"/>
          </w:placeholder>
        </w:sdtPr>
        <w:sdtEndPr/>
        <w:sdtContent>
          <w:r w:rsidR="00572E88" w:rsidRPr="00572E88">
            <w:rPr>
              <w:rFonts w:ascii="Times New Roman" w:hAnsi="Times New Roman" w:cs="Times New Roman"/>
              <w:color w:val="000000"/>
            </w:rPr>
            <w:t>[86]</w:t>
          </w:r>
        </w:sdtContent>
      </w:sdt>
      <w:r>
        <w:rPr>
          <w:rFonts w:ascii="Times New Roman" w:hAnsi="Times New Roman" w:cs="Times New Roman"/>
        </w:rPr>
        <w:t xml:space="preserve">. Maternal smoking is an important indicator for lung development and can lead to deleterious health outcomes during pregnancy, including both pre-term birth and low birth weight </w:t>
      </w:r>
      <w:sdt>
        <w:sdtPr>
          <w:rPr>
            <w:rFonts w:ascii="Times New Roman" w:hAnsi="Times New Roman" w:cs="Times New Roman"/>
            <w:color w:val="000000"/>
          </w:rPr>
          <w:tag w:val="MENDELEY_CITATION_v3_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"/>
          <w:id w:val="-1845929068"/>
          <w:placeholder>
            <w:docPart w:val="BD92850995544EB2BB1823C025C486FB"/>
          </w:placeholder>
        </w:sdtPr>
        <w:sdtEndPr/>
        <w:sdtContent>
          <w:r w:rsidR="00572E88" w:rsidRPr="00572E88">
            <w:rPr>
              <w:rFonts w:ascii="Times New Roman" w:hAnsi="Times New Roman" w:cs="Times New Roman"/>
              <w:color w:val="000000"/>
            </w:rPr>
            <w:t>[87,90]</w:t>
          </w:r>
        </w:sdtContent>
      </w:sdt>
      <w:r>
        <w:rPr>
          <w:rFonts w:ascii="Times New Roman" w:hAnsi="Times New Roman" w:cs="Times New Roman"/>
        </w:rPr>
        <w:t xml:space="preserve">. In the US, 5.4% of women reported smoking during pregnancy while 12.0% and 7.2% reported smoking pre- and post-pregnancy, respectively </w:t>
      </w:r>
      <w:sdt>
        <w:sdtPr>
          <w:rPr>
            <w:rFonts w:ascii="Times New Roman" w:hAnsi="Times New Roman" w:cs="Times New Roman"/>
            <w:color w:val="000000"/>
          </w:rPr>
          <w:tag w:val="MENDELEY_CITATION_v3_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"/>
          <w:id w:val="-1644888820"/>
          <w:placeholder>
            <w:docPart w:val="BD92850995544EB2BB1823C025C486FB"/>
          </w:placeholder>
        </w:sdtPr>
        <w:sdtEndPr/>
        <w:sdtContent>
          <w:r w:rsidR="00572E88" w:rsidRPr="00572E88">
            <w:rPr>
              <w:rFonts w:ascii="Times New Roman" w:hAnsi="Times New Roman" w:cs="Times New Roman"/>
              <w:color w:val="000000"/>
            </w:rPr>
            <w:t>[91]</w:t>
          </w:r>
        </w:sdtContent>
      </w:sdt>
      <w:r>
        <w:rPr>
          <w:rFonts w:ascii="Times New Roman" w:hAnsi="Times New Roman" w:cs="Times New Roman"/>
        </w:rPr>
        <w:t xml:space="preserve">. Similarly, maternal smoking can increase the risk of childhood asthma which further increases the risk of adulthood COPD development </w:t>
      </w:r>
      <w:sdt>
        <w:sdtPr>
          <w:rPr>
            <w:rFonts w:ascii="Times New Roman" w:hAnsi="Times New Roman" w:cs="Times New Roman"/>
            <w:color w:val="000000"/>
          </w:rPr>
          <w:tag w:val="MENDELEY_CITATION_v3_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"/>
          <w:id w:val="1973634200"/>
          <w:placeholder>
            <w:docPart w:val="BD92850995544EB2BB1823C025C486FB"/>
          </w:placeholder>
        </w:sdtPr>
        <w:sdtEndPr/>
        <w:sdtContent>
          <w:r w:rsidR="00572E88" w:rsidRPr="00572E88">
            <w:rPr>
              <w:rFonts w:ascii="Times New Roman" w:hAnsi="Times New Roman" w:cs="Times New Roman"/>
              <w:color w:val="000000"/>
            </w:rPr>
            <w:t>[90,92]</w:t>
          </w:r>
        </w:sdtContent>
      </w:sdt>
      <w:r>
        <w:rPr>
          <w:rFonts w:ascii="Times New Roman" w:hAnsi="Times New Roman" w:cs="Times New Roman"/>
        </w:rPr>
        <w:t xml:space="preserve">. A meta-analysis of childhood asthma and COPD reported the odds of COPD in individuals with childhood asthma to be 3 times higher than the odds in those without childhood asthma </w:t>
      </w:r>
      <w:sdt>
        <w:sdtPr>
          <w:rPr>
            <w:rFonts w:ascii="Times New Roman" w:hAnsi="Times New Roman" w:cs="Times New Roman"/>
            <w:color w:val="000000"/>
          </w:rPr>
          <w:tag w:val="MENDELEY_CITATION_v3_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"/>
          <w:id w:val="1100761503"/>
          <w:placeholder>
            <w:docPart w:val="BD92850995544EB2BB1823C025C486FB"/>
          </w:placeholder>
        </w:sdtPr>
        <w:sdtEndPr/>
        <w:sdtContent>
          <w:r w:rsidR="00572E88" w:rsidRPr="00572E88">
            <w:rPr>
              <w:rFonts w:ascii="Times New Roman" w:hAnsi="Times New Roman" w:cs="Times New Roman"/>
              <w:color w:val="000000"/>
            </w:rPr>
            <w:t>[92]</w:t>
          </w:r>
        </w:sdtContent>
      </w:sdt>
      <w:r>
        <w:rPr>
          <w:rFonts w:ascii="Times New Roman" w:hAnsi="Times New Roman" w:cs="Times New Roman"/>
        </w:rPr>
        <w:t xml:space="preserve">. However, the odds of COPD were 7.8 times higher in those with a history of asthma, either childhood or adult onset, than those without a history of asthma in a separate meta-analysis </w:t>
      </w:r>
      <w:sdt>
        <w:sdtPr>
          <w:rPr>
            <w:rFonts w:ascii="Times New Roman" w:hAnsi="Times New Roman" w:cs="Times New Roman"/>
            <w:color w:val="000000"/>
          </w:rPr>
          <w:tag w:val="MENDELEY_CITATION_v3_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"/>
          <w:id w:val="187948034"/>
          <w:placeholder>
            <w:docPart w:val="BD92850995544EB2BB1823C025C486FB"/>
          </w:placeholder>
        </w:sdtPr>
        <w:sdtEndPr/>
        <w:sdtContent>
          <w:r w:rsidR="00572E88" w:rsidRPr="00572E88">
            <w:rPr>
              <w:rFonts w:ascii="Times New Roman" w:hAnsi="Times New Roman" w:cs="Times New Roman"/>
              <w:color w:val="000000"/>
            </w:rPr>
            <w:t>[93]</w:t>
          </w:r>
        </w:sdtContent>
      </w:sdt>
      <w:r>
        <w:rPr>
          <w:rFonts w:ascii="Times New Roman" w:hAnsi="Times New Roman" w:cs="Times New Roman"/>
        </w:rPr>
        <w:t>.</w:t>
      </w:r>
    </w:p>
    <w:p w14:paraId="49C49C02" w14:textId="7259150F" w:rsidR="00DA766D" w:rsidRDefault="00DA766D" w:rsidP="000D714C">
      <w:pPr>
        <w:spacing w:after="0" w:line="480" w:lineRule="auto"/>
        <w:rPr>
          <w:rFonts w:ascii="Times New Roman" w:hAnsi="Times New Roman" w:cs="Times New Roman"/>
        </w:rPr>
      </w:pPr>
    </w:p>
    <w:p w14:paraId="637F66D5" w14:textId="4A57D383" w:rsidR="00DA766D" w:rsidRPr="007142D9" w:rsidRDefault="00DA766D" w:rsidP="000D714C">
      <w:pPr>
        <w:pStyle w:val="Heading6"/>
        <w:spacing w:before="0" w:line="480" w:lineRule="auto"/>
      </w:pPr>
      <w:bookmarkStart w:id="33" w:name="_Toc200096956"/>
      <w:r>
        <w:t>Changes in Lung Function</w:t>
      </w:r>
      <w:bookmarkEnd w:id="33"/>
    </w:p>
    <w:p w14:paraId="360313CE" w14:textId="77777777" w:rsidR="00203A81" w:rsidRDefault="00591E69" w:rsidP="000D714C">
      <w:pPr>
        <w:spacing w:after="0" w:line="480" w:lineRule="auto"/>
        <w:ind w:firstLine="720"/>
        <w:rPr>
          <w:rFonts w:ascii="Times New Roman" w:hAnsi="Times New Roman" w:cs="Times New Roman"/>
        </w:rPr>
      </w:pPr>
      <w:r>
        <w:rPr>
          <w:rFonts w:ascii="Times New Roman" w:hAnsi="Times New Roman" w:cs="Times New Roman"/>
        </w:rPr>
        <w:t xml:space="preserve">Irrespective of COPD development, lung function is expected to change over the course of a normal lifespan as a natural consequence of aging due to the modification of pulmonary characteristics including reductions in respiratory strength, elasticity, or alveolar surface area </w:t>
      </w:r>
      <w:sdt>
        <w:sdtPr>
          <w:rPr>
            <w:rFonts w:ascii="Times New Roman" w:hAnsi="Times New Roman" w:cs="Times New Roman"/>
            <w:color w:val="000000"/>
          </w:rPr>
          <w:tag w:val="MENDELEY_CITATION_v3_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"/>
          <w:id w:val="-829594395"/>
          <w:placeholder>
            <w:docPart w:val="7DBC24F4CD1C43C2B5B14B141555D8F9"/>
          </w:placeholder>
        </w:sdtPr>
        <w:sdtEndPr/>
        <w:sdtContent>
          <w:r w:rsidR="00572E88" w:rsidRPr="00572E88">
            <w:rPr>
              <w:rFonts w:ascii="Times New Roman" w:hAnsi="Times New Roman" w:cs="Times New Roman"/>
              <w:color w:val="000000"/>
            </w:rPr>
            <w:t>[83]</w:t>
          </w:r>
        </w:sdtContent>
      </w:sdt>
      <w:r>
        <w:rPr>
          <w:rFonts w:ascii="Times New Roman" w:hAnsi="Times New Roman" w:cs="Times New Roman"/>
        </w:rPr>
        <w:t>. The expected median annual decline in FEV</w:t>
      </w:r>
      <w:r>
        <w:rPr>
          <w:rFonts w:ascii="Times New Roman" w:hAnsi="Times New Roman" w:cs="Times New Roman"/>
          <w:vertAlign w:val="subscript"/>
        </w:rPr>
        <w:t>1</w:t>
      </w:r>
      <w:r>
        <w:rPr>
          <w:rFonts w:ascii="Times New Roman" w:hAnsi="Times New Roman" w:cs="Times New Roman"/>
        </w:rPr>
        <w:t xml:space="preserve"> after reaching peak function is estimated to be 29.2 mL per year with a range of 9.9-56.0 mL per year </w:t>
      </w:r>
      <w:sdt>
        <w:sdtPr>
          <w:rPr>
            <w:rFonts w:ascii="Times New Roman" w:hAnsi="Times New Roman" w:cs="Times New Roman"/>
            <w:color w:val="000000"/>
          </w:rPr>
          <w:tag w:val="MENDELEY_CITATION_v3_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"/>
          <w:id w:val="-853643230"/>
          <w:placeholder>
            <w:docPart w:val="7DBC24F4CD1C43C2B5B14B141555D8F9"/>
          </w:placeholder>
        </w:sdtPr>
        <w:sdtEndPr/>
        <w:sdtContent>
          <w:r w:rsidR="00572E88" w:rsidRPr="00572E88">
            <w:rPr>
              <w:rFonts w:ascii="Times New Roman" w:hAnsi="Times New Roman" w:cs="Times New Roman"/>
              <w:color w:val="000000"/>
            </w:rPr>
            <w:t>[83]</w:t>
          </w:r>
        </w:sdtContent>
      </w:sdt>
      <w:r>
        <w:rPr>
          <w:rFonts w:ascii="Times New Roman" w:hAnsi="Times New Roman" w:cs="Times New Roman"/>
        </w:rPr>
        <w:t xml:space="preserve">. Traditionally, an accelerated decline in lung function which deviates from the normal trajectory has been a characteristic of COPD </w:t>
      </w:r>
      <w:sdt>
        <w:sdtPr>
          <w:rPr>
            <w:rFonts w:ascii="Times New Roman" w:hAnsi="Times New Roman" w:cs="Times New Roman"/>
            <w:color w:val="000000"/>
          </w:rPr>
          <w:tag w:val="MENDELEY_CITATION_v3_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"/>
          <w:id w:val="-1325431493"/>
          <w:placeholder>
            <w:docPart w:val="7DBC24F4CD1C43C2B5B14B141555D8F9"/>
          </w:placeholder>
        </w:sdtPr>
        <w:sdtEndPr/>
        <w:sdtContent>
          <w:r w:rsidR="00572E88" w:rsidRPr="00572E88">
            <w:rPr>
              <w:rFonts w:ascii="Times New Roman" w:hAnsi="Times New Roman" w:cs="Times New Roman"/>
              <w:color w:val="000000"/>
            </w:rPr>
            <w:t>[94,95]</w:t>
          </w:r>
        </w:sdtContent>
      </w:sdt>
      <w:r>
        <w:rPr>
          <w:rFonts w:ascii="Times New Roman" w:hAnsi="Times New Roman" w:cs="Times New Roman"/>
        </w:rPr>
        <w:t xml:space="preserve">. However, only between 40% and 50% of COPD cases fit this lung function trajectory </w:t>
      </w:r>
      <w:sdt>
        <w:sdtPr>
          <w:rPr>
            <w:rFonts w:ascii="Times New Roman" w:hAnsi="Times New Roman" w:cs="Times New Roman"/>
            <w:color w:val="000000"/>
          </w:rPr>
          <w:tag w:val="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"/>
          <w:id w:val="2097200356"/>
          <w:placeholder>
            <w:docPart w:val="7DBC24F4CD1C43C2B5B14B141555D8F9"/>
          </w:placeholder>
        </w:sdtPr>
        <w:sdtEndPr/>
        <w:sdtContent>
          <w:r w:rsidR="00572E88" w:rsidRPr="00572E88">
            <w:rPr>
              <w:rFonts w:ascii="Times New Roman" w:hAnsi="Times New Roman" w:cs="Times New Roman"/>
              <w:color w:val="000000"/>
            </w:rPr>
            <w:t>[82]</w:t>
          </w:r>
        </w:sdtContent>
      </w:sdt>
      <w:r>
        <w:rPr>
          <w:rFonts w:ascii="Times New Roman" w:hAnsi="Times New Roman" w:cs="Times New Roman"/>
        </w:rPr>
        <w:t xml:space="preserve">. Recently, a second possible COPD lung function trajectory has emerged, which is hypothesized to be derived from in-utero or childhood exposures and inherited susceptibility </w:t>
      </w:r>
      <w:sdt>
        <w:sdtPr>
          <w:rPr>
            <w:rFonts w:ascii="Times New Roman" w:hAnsi="Times New Roman" w:cs="Times New Roman"/>
            <w:color w:val="000000"/>
          </w:rPr>
          <w:tag w:val="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"/>
          <w:id w:val="-1048830905"/>
          <w:placeholder>
            <w:docPart w:val="7DBC24F4CD1C43C2B5B14B141555D8F9"/>
          </w:placeholder>
        </w:sdtPr>
        <w:sdtEndPr/>
        <w:sdtContent>
          <w:r w:rsidR="00572E88" w:rsidRPr="00572E88">
            <w:rPr>
              <w:rFonts w:ascii="Times New Roman" w:hAnsi="Times New Roman" w:cs="Times New Roman"/>
              <w:color w:val="000000"/>
            </w:rPr>
            <w:t>[82,95]</w:t>
          </w:r>
        </w:sdtContent>
      </w:sdt>
      <w:r>
        <w:rPr>
          <w:rFonts w:ascii="Times New Roman" w:hAnsi="Times New Roman" w:cs="Times New Roman"/>
        </w:rPr>
        <w:t xml:space="preserve">. In this trajectory, individuals fail to reach a normal peak lung function in early adulthood but experience a slower rate of lung function decline than the typical COPD trajectory </w:t>
      </w:r>
      <w:sdt>
        <w:sdtPr>
          <w:rPr>
            <w:rFonts w:ascii="Times New Roman" w:hAnsi="Times New Roman" w:cs="Times New Roman"/>
            <w:color w:val="000000"/>
          </w:rPr>
          <w:tag w:val="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"/>
          <w:id w:val="125439511"/>
          <w:placeholder>
            <w:docPart w:val="7DBC24F4CD1C43C2B5B14B141555D8F9"/>
          </w:placeholder>
        </w:sdtPr>
        <w:sdtEndPr/>
        <w:sdtContent>
          <w:r w:rsidR="00572E88" w:rsidRPr="00572E88">
            <w:rPr>
              <w:rFonts w:ascii="Times New Roman" w:hAnsi="Times New Roman" w:cs="Times New Roman"/>
              <w:color w:val="000000"/>
            </w:rPr>
            <w:t>[82,95]</w:t>
          </w:r>
        </w:sdtContent>
      </w:sdt>
      <w:r>
        <w:rPr>
          <w:rFonts w:ascii="Times New Roman" w:hAnsi="Times New Roman" w:cs="Times New Roman"/>
        </w:rPr>
        <w:t xml:space="preserve">. Instead, these individuals experience a rate of decline more similar to that of normal aging </w:t>
      </w:r>
      <w:sdt>
        <w:sdtPr>
          <w:rPr>
            <w:rFonts w:ascii="Times New Roman" w:hAnsi="Times New Roman" w:cs="Times New Roman"/>
            <w:color w:val="000000"/>
          </w:rPr>
          <w:tag w:val="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"/>
          <w:id w:val="1994065237"/>
          <w:placeholder>
            <w:docPart w:val="7DBC24F4CD1C43C2B5B14B141555D8F9"/>
          </w:placeholder>
        </w:sdtPr>
        <w:sdtEndPr/>
        <w:sdtContent>
          <w:r w:rsidR="00572E88" w:rsidRPr="00572E88">
            <w:rPr>
              <w:rFonts w:ascii="Times New Roman" w:hAnsi="Times New Roman" w:cs="Times New Roman"/>
              <w:color w:val="000000"/>
            </w:rPr>
            <w:t>[82]</w:t>
          </w:r>
        </w:sdtContent>
      </w:sdt>
      <w:r>
        <w:rPr>
          <w:rFonts w:ascii="Times New Roman" w:hAnsi="Times New Roman" w:cs="Times New Roman"/>
        </w:rPr>
        <w:t xml:space="preserve">. Although both lung trajectories comprise COPD patients, rapid lung function decline is reported to be significantly associated with higher mortality compared to those with slower lung function decline </w:t>
      </w:r>
      <w:sdt>
        <w:sdtPr>
          <w:rPr>
            <w:rFonts w:ascii="Times New Roman" w:hAnsi="Times New Roman" w:cs="Times New Roman"/>
            <w:color w:val="000000"/>
          </w:rPr>
          <w:tag w:val="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"/>
          <w:id w:val="-1871369268"/>
          <w:placeholder>
            <w:docPart w:val="7DBC24F4CD1C43C2B5B14B141555D8F9"/>
          </w:placeholder>
        </w:sdtPr>
        <w:sdtEndPr/>
        <w:sdtContent>
          <w:r w:rsidR="00572E88" w:rsidRPr="00572E88">
            <w:rPr>
              <w:rFonts w:ascii="Times New Roman" w:hAnsi="Times New Roman" w:cs="Times New Roman"/>
              <w:color w:val="000000"/>
            </w:rPr>
            <w:t>[82]</w:t>
          </w:r>
        </w:sdtContent>
      </w:sdt>
      <w:r>
        <w:rPr>
          <w:rFonts w:ascii="Times New Roman" w:hAnsi="Times New Roman" w:cs="Times New Roman"/>
        </w:rPr>
        <w:t>.</w:t>
      </w:r>
    </w:p>
    <w:p w14:paraId="16A1E620" w14:textId="1CC33A95" w:rsidR="00DA766D" w:rsidRPr="00797660" w:rsidRDefault="00DA766D" w:rsidP="000D714C">
      <w:pPr>
        <w:spacing w:after="0" w:line="480" w:lineRule="auto"/>
        <w:rPr>
          <w:rFonts w:ascii="Times New Roman" w:hAnsi="Times New Roman" w:cs="Times New Roman"/>
        </w:rPr>
      </w:pPr>
    </w:p>
    <w:p w14:paraId="7D3FB6CB" w14:textId="77777777" w:rsidR="00D47413" w:rsidRDefault="00D47413" w:rsidP="000D714C">
      <w:pPr>
        <w:pStyle w:val="Heading5"/>
        <w:spacing w:before="0" w:after="0" w:line="480" w:lineRule="auto"/>
      </w:pPr>
      <w:bookmarkStart w:id="34" w:name="_Toc200096957"/>
      <w:r w:rsidRPr="007142D9">
        <w:t>Modifiable Risk Factors</w:t>
      </w:r>
      <w:bookmarkEnd w:id="34"/>
    </w:p>
    <w:p w14:paraId="1054769F" w14:textId="0A8C5A9D" w:rsidR="00D47413" w:rsidRDefault="00D47413" w:rsidP="000D714C">
      <w:pPr>
        <w:pStyle w:val="Heading6"/>
        <w:spacing w:before="0" w:line="480" w:lineRule="auto"/>
      </w:pPr>
      <w:bookmarkStart w:id="35" w:name="_Toc200096958"/>
      <w:r>
        <w:t xml:space="preserve">Sociodemographic and Behavioral </w:t>
      </w:r>
      <w:r w:rsidR="00DA766D">
        <w:t>F</w:t>
      </w:r>
      <w:r>
        <w:t>actors</w:t>
      </w:r>
      <w:bookmarkEnd w:id="35"/>
    </w:p>
    <w:p w14:paraId="0E775EE1" w14:textId="3E219B41" w:rsidR="00DA766D" w:rsidRDefault="00DA766D" w:rsidP="000D714C">
      <w:pPr>
        <w:spacing w:after="0" w:line="480" w:lineRule="auto"/>
        <w:ind w:firstLine="720"/>
        <w:rPr>
          <w:rFonts w:ascii="Times New Roman" w:hAnsi="Times New Roman" w:cs="Times New Roman"/>
        </w:rPr>
      </w:pPr>
      <w:r>
        <w:rPr>
          <w:rFonts w:ascii="Times New Roman" w:hAnsi="Times New Roman" w:cs="Times New Roman"/>
        </w:rPr>
        <w:t xml:space="preserve">Smoking is widely recognized as a risk factor for COPD </w:t>
      </w:r>
      <w:sdt>
        <w:sdtPr>
          <w:rPr>
            <w:rFonts w:ascii="Times New Roman" w:hAnsi="Times New Roman" w:cs="Times New Roman"/>
            <w:color w:val="000000"/>
          </w:rPr>
          <w:tag w:val="MENDELEY_CITATION_v3_eyJjaXRhdGlvbklEIjoiTUVOREVMRVlfQ0lUQVRJT05fNTg4Y2MzYTMtM2FkMS00ZjYxLTgxZDItNjBmZTA2OWY3MzZiIiwicHJvcGVydGllcyI6eyJub3RlSW5kZXgiOjB9LCJpc0VkaXRlZCI6ZmFsc2UsIm1hbnVhbE92ZXJyaWRlIjp7ImlzTWFudWFsbHlPdmVycmlkZGVuIjpmYWxzZSwiY2l0ZXByb2NUZXh0IjoiWzYsOTUsOT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"/>
          <w:id w:val="-2116974738"/>
          <w:placeholder>
            <w:docPart w:val="998349FE8C454FA5B48580B99F55DAA3"/>
          </w:placeholder>
        </w:sdtPr>
        <w:sdtEndPr/>
        <w:sdtContent>
          <w:r w:rsidR="00572E88" w:rsidRPr="00572E88">
            <w:rPr>
              <w:rFonts w:ascii="Times New Roman" w:hAnsi="Times New Roman" w:cs="Times New Roman"/>
              <w:color w:val="000000"/>
            </w:rPr>
            <w:t>[6,95,96]</w:t>
          </w:r>
        </w:sdtContent>
      </w:sdt>
      <w:r>
        <w:rPr>
          <w:rFonts w:ascii="Times New Roman" w:hAnsi="Times New Roman" w:cs="Times New Roman"/>
        </w:rPr>
        <w:t xml:space="preserve">. In a recent review, </w:t>
      </w:r>
      <w:proofErr w:type="spellStart"/>
      <w:r>
        <w:rPr>
          <w:rFonts w:ascii="Times New Roman" w:hAnsi="Times New Roman" w:cs="Times New Roman"/>
        </w:rPr>
        <w:t>Holtjer</w:t>
      </w:r>
      <w:proofErr w:type="spellEnd"/>
      <w:r>
        <w:rPr>
          <w:rFonts w:ascii="Times New Roman" w:hAnsi="Times New Roman" w:cs="Times New Roman"/>
        </w:rPr>
        <w:t xml:space="preserve"> et al reported the odds of COPD in smokers ranged from 2.89 to </w:t>
      </w:r>
      <w:r w:rsidRPr="00B700CA">
        <w:rPr>
          <w:rFonts w:ascii="Times New Roman" w:hAnsi="Times New Roman" w:cs="Times New Roman"/>
        </w:rPr>
        <w:t>5.50</w:t>
      </w:r>
      <w:r>
        <w:rPr>
          <w:rFonts w:ascii="Times New Roman" w:hAnsi="Times New Roman" w:cs="Times New Roman"/>
        </w:rPr>
        <w:t xml:space="preserve"> times the odds in non-smokers </w:t>
      </w:r>
      <w:sdt>
        <w:sdtPr>
          <w:rPr>
            <w:rFonts w:ascii="Times New Roman" w:hAnsi="Times New Roman" w:cs="Times New Roman"/>
            <w:color w:val="000000"/>
          </w:rPr>
          <w:tag w:val="MENDELEY_CITATION_v3_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"/>
          <w:id w:val="1377441157"/>
          <w:placeholder>
            <w:docPart w:val="998349FE8C454FA5B48580B99F55DAA3"/>
          </w:placeholder>
        </w:sdtPr>
        <w:sdtEndPr/>
        <w:sdtContent>
          <w:r w:rsidR="00572E88" w:rsidRPr="00572E88">
            <w:rPr>
              <w:rFonts w:ascii="Times New Roman" w:hAnsi="Times New Roman" w:cs="Times New Roman"/>
              <w:color w:val="000000"/>
            </w:rPr>
            <w:t>[97]</w:t>
          </w:r>
        </w:sdtContent>
      </w:sdt>
      <w:r>
        <w:rPr>
          <w:rFonts w:ascii="Times New Roman" w:hAnsi="Times New Roman" w:cs="Times New Roman"/>
        </w:rPr>
        <w:t xml:space="preserve">. However, it is estimated that between 25% and 45% of individuals with COPD are non-smokers </w:t>
      </w:r>
      <w:sdt>
        <w:sdtPr>
          <w:rPr>
            <w:rFonts w:ascii="Times New Roman" w:hAnsi="Times New Roman" w:cs="Times New Roman"/>
            <w:color w:val="000000"/>
          </w:rPr>
          <w:tag w:val="MENDELEY_CITATION_v3_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"/>
          <w:id w:val="-1157071840"/>
          <w:placeholder>
            <w:docPart w:val="998349FE8C454FA5B48580B99F55DAA3"/>
          </w:placeholder>
        </w:sdtPr>
        <w:sdtEndPr/>
        <w:sdtContent>
          <w:r w:rsidR="00572E88" w:rsidRPr="00572E88">
            <w:rPr>
              <w:rFonts w:ascii="Times New Roman" w:hAnsi="Times New Roman" w:cs="Times New Roman"/>
              <w:color w:val="000000"/>
            </w:rPr>
            <w:t>[98]</w:t>
          </w:r>
        </w:sdtContent>
      </w:sdt>
      <w:r>
        <w:rPr>
          <w:rFonts w:ascii="Times New Roman" w:hAnsi="Times New Roman" w:cs="Times New Roman"/>
          <w:color w:val="000000"/>
        </w:rPr>
        <w:t xml:space="preserve">, and less than 50% of smokers develop COPD </w:t>
      </w:r>
      <w:sdt>
        <w:sdtPr>
          <w:rPr>
            <w:rFonts w:ascii="Times New Roman" w:hAnsi="Times New Roman" w:cs="Times New Roman"/>
            <w:color w:val="000000"/>
          </w:rPr>
          <w:tag w:val="MENDELEY_CITATION_v3_eyJjaXRhdGlvbklEIjoiTUVOREVMRVlfQ0lUQVRJT05fYzZhNGIzMjAtZmUyNi00Y2ViLWI0OGMtZDRhYWIxODNiZjVl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
          <w:id w:val="-18165189"/>
          <w:placeholder>
            <w:docPart w:val="998349FE8C454FA5B48580B99F55DAA3"/>
          </w:placeholder>
        </w:sdtPr>
        <w:sdtEndPr/>
        <w:sdtContent>
          <w:r w:rsidR="00572E88" w:rsidRPr="00572E88">
            <w:rPr>
              <w:rFonts w:ascii="Times New Roman" w:hAnsi="Times New Roman" w:cs="Times New Roman"/>
              <w:color w:val="000000"/>
            </w:rPr>
            <w:t>[6]</w:t>
          </w:r>
        </w:sdtContent>
      </w:sdt>
      <w:r>
        <w:rPr>
          <w:rFonts w:ascii="Times New Roman" w:hAnsi="Times New Roman" w:cs="Times New Roman"/>
        </w:rPr>
        <w:t xml:space="preserve">. Sex differences in COPD are often observed with males generally having a higher risk of COPD compared to females </w:t>
      </w:r>
      <w:sdt>
        <w:sdtPr>
          <w:rPr>
            <w:rFonts w:ascii="Times New Roman" w:hAnsi="Times New Roman" w:cs="Times New Roman"/>
            <w:color w:val="000000"/>
          </w:rPr>
          <w:tag w:val="MENDELEY_CITATION_v3_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"/>
          <w:id w:val="383991818"/>
          <w:placeholder>
            <w:docPart w:val="998349FE8C454FA5B48580B99F55DAA3"/>
          </w:placeholder>
        </w:sdtPr>
        <w:sdtEndPr/>
        <w:sdtContent>
          <w:r w:rsidR="00572E88" w:rsidRPr="00572E88">
            <w:rPr>
              <w:rFonts w:ascii="Times New Roman" w:hAnsi="Times New Roman" w:cs="Times New Roman"/>
              <w:color w:val="000000"/>
            </w:rPr>
            <w:t>[99]</w:t>
          </w:r>
        </w:sdtContent>
      </w:sdt>
      <w:r>
        <w:rPr>
          <w:rFonts w:ascii="Times New Roman" w:hAnsi="Times New Roman" w:cs="Times New Roman"/>
        </w:rPr>
        <w:t xml:space="preserve">. Historically, the higher prevalence of COPD in males compared to females was attributed to sex-specific differences in smoking patterns </w:t>
      </w:r>
      <w:sdt>
        <w:sdtPr>
          <w:rPr>
            <w:rFonts w:ascii="Times New Roman" w:hAnsi="Times New Roman" w:cs="Times New Roman"/>
            <w:color w:val="000000"/>
          </w:rPr>
          <w:tag w:val="MENDELEY_CITATION_v3_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"/>
          <w:id w:val="845289547"/>
          <w:placeholder>
            <w:docPart w:val="998349FE8C454FA5B48580B99F55DAA3"/>
          </w:placeholder>
        </w:sdtPr>
        <w:sdtEndPr/>
        <w:sdtContent>
          <w:r w:rsidR="00572E88" w:rsidRPr="00572E88">
            <w:rPr>
              <w:rFonts w:ascii="Times New Roman" w:hAnsi="Times New Roman" w:cs="Times New Roman"/>
              <w:color w:val="000000"/>
            </w:rPr>
            <w:t>[99]</w:t>
          </w:r>
        </w:sdtContent>
      </w:sdt>
      <w:r>
        <w:rPr>
          <w:rFonts w:ascii="Times New Roman" w:hAnsi="Times New Roman" w:cs="Times New Roman"/>
        </w:rPr>
        <w:t xml:space="preserve">. However, females, especially in low- or middle-income countries, are more likely to be exposed to poor indoor air quality from burning biomass fuel for cooking, which increases the risk of COPD </w:t>
      </w:r>
      <w:sdt>
        <w:sdtPr>
          <w:rPr>
            <w:rFonts w:ascii="Times New Roman" w:hAnsi="Times New Roman" w:cs="Times New Roman"/>
            <w:color w:val="000000"/>
          </w:rPr>
          <w:tag w:val="MENDELEY_CITATION_v3_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"/>
          <w:id w:val="1780369160"/>
          <w:placeholder>
            <w:docPart w:val="998349FE8C454FA5B48580B99F55DAA3"/>
          </w:placeholder>
        </w:sdtPr>
        <w:sdtEndPr/>
        <w:sdtContent>
          <w:r w:rsidR="00572E88" w:rsidRPr="00572E88">
            <w:rPr>
              <w:rFonts w:ascii="Times New Roman" w:hAnsi="Times New Roman" w:cs="Times New Roman"/>
              <w:color w:val="000000"/>
            </w:rPr>
            <w:t>[100]</w:t>
          </w:r>
        </w:sdtContent>
      </w:sdt>
      <w:r>
        <w:rPr>
          <w:rFonts w:ascii="Times New Roman" w:hAnsi="Times New Roman" w:cs="Times New Roman"/>
        </w:rPr>
        <w:t xml:space="preserve">. According to a review by DeMeo, females experience COPD earlier in life, suffer from different comorbidities, experience more severe COPD symptoms, and worse long-term outcomes than males </w:t>
      </w:r>
      <w:sdt>
        <w:sdtPr>
          <w:rPr>
            <w:rFonts w:ascii="Times New Roman" w:hAnsi="Times New Roman" w:cs="Times New Roman"/>
            <w:color w:val="000000"/>
          </w:rPr>
          <w:tag w:val="MENDELEY_CITATION_v3_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"/>
          <w:id w:val="513961284"/>
          <w:placeholder>
            <w:docPart w:val="998349FE8C454FA5B48580B99F55DAA3"/>
          </w:placeholder>
        </w:sdtPr>
        <w:sdtEndPr/>
        <w:sdtContent>
          <w:r w:rsidR="00572E88" w:rsidRPr="00572E88">
            <w:rPr>
              <w:rFonts w:ascii="Times New Roman" w:hAnsi="Times New Roman" w:cs="Times New Roman"/>
              <w:color w:val="000000"/>
            </w:rPr>
            <w:t>[99]</w:t>
          </w:r>
        </w:sdtContent>
      </w:sdt>
      <w:r>
        <w:rPr>
          <w:rFonts w:ascii="Times New Roman" w:hAnsi="Times New Roman" w:cs="Times New Roman"/>
        </w:rPr>
        <w:t xml:space="preserve">. </w:t>
      </w:r>
    </w:p>
    <w:p w14:paraId="147F914B" w14:textId="213B42B0" w:rsidR="00DA766D" w:rsidRDefault="00DA766D" w:rsidP="000D714C">
      <w:pPr>
        <w:spacing w:after="0" w:line="480" w:lineRule="auto"/>
        <w:ind w:firstLine="720"/>
        <w:rPr>
          <w:rFonts w:ascii="Times New Roman" w:hAnsi="Times New Roman" w:cs="Times New Roman"/>
        </w:rPr>
      </w:pPr>
      <w:r>
        <w:rPr>
          <w:rFonts w:ascii="Times New Roman" w:hAnsi="Times New Roman" w:cs="Times New Roman"/>
        </w:rPr>
        <w:t xml:space="preserve">Poor nutrition and body composition are also possible risk factors for COPD although the association appears to be paradoxical </w:t>
      </w:r>
      <w:sdt>
        <w:sdtPr>
          <w:rPr>
            <w:rFonts w:ascii="Times New Roman" w:hAnsi="Times New Roman" w:cs="Times New Roman"/>
            <w:color w:val="000000"/>
          </w:rPr>
          <w:tag w:val="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"/>
          <w:id w:val="-917935931"/>
          <w:placeholder>
            <w:docPart w:val="998349FE8C454FA5B48580B99F55DAA3"/>
          </w:placeholder>
        </w:sdtPr>
        <w:sdtEndPr/>
        <w:sdtContent>
          <w:r w:rsidR="00572E88" w:rsidRPr="00572E88">
            <w:rPr>
              <w:rFonts w:ascii="Times New Roman" w:hAnsi="Times New Roman" w:cs="Times New Roman"/>
              <w:color w:val="000000"/>
            </w:rPr>
            <w:t>[96,101–103]</w:t>
          </w:r>
        </w:sdtContent>
      </w:sdt>
      <w:r>
        <w:rPr>
          <w:rFonts w:ascii="Times New Roman" w:hAnsi="Times New Roman" w:cs="Times New Roman"/>
        </w:rPr>
        <w:t xml:space="preserve">. Nutrition deficiency and low body weight commonly occur among COPD patients </w:t>
      </w:r>
      <w:sdt>
        <w:sdtPr>
          <w:rPr>
            <w:rFonts w:ascii="Times New Roman" w:hAnsi="Times New Roman" w:cs="Times New Roman"/>
            <w:color w:val="000000"/>
          </w:rPr>
          <w:tag w:val="MENDELEY_CITATION_v3_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"/>
          <w:id w:val="-1162699178"/>
          <w:placeholder>
            <w:docPart w:val="998349FE8C454FA5B48580B99F55DAA3"/>
          </w:placeholder>
        </w:sdtPr>
        <w:sdtEndPr/>
        <w:sdtContent>
          <w:r w:rsidR="00572E88" w:rsidRPr="00572E88">
            <w:rPr>
              <w:rFonts w:ascii="Times New Roman" w:hAnsi="Times New Roman" w:cs="Times New Roman"/>
              <w:color w:val="000000"/>
            </w:rPr>
            <w:t>[102]</w:t>
          </w:r>
        </w:sdtContent>
      </w:sdt>
      <w:r>
        <w:rPr>
          <w:rFonts w:ascii="Times New Roman" w:hAnsi="Times New Roman" w:cs="Times New Roman"/>
        </w:rPr>
        <w:t xml:space="preserve">. At higher severity levels, the mortality risk is </w:t>
      </w:r>
      <w:r>
        <w:rPr>
          <w:rFonts w:ascii="Times New Roman" w:hAnsi="Times New Roman" w:cs="Times New Roman"/>
        </w:rPr>
        <w:lastRenderedPageBreak/>
        <w:t xml:space="preserve">higher in COPD patients with low body weight compared to high body weight </w:t>
      </w:r>
      <w:sdt>
        <w:sdtPr>
          <w:rPr>
            <w:rFonts w:ascii="Times New Roman" w:hAnsi="Times New Roman" w:cs="Times New Roman"/>
            <w:color w:val="000000"/>
          </w:rPr>
          <w:tag w:val="MENDELEY_CITATION_v3_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"/>
          <w:id w:val="889932045"/>
          <w:placeholder>
            <w:docPart w:val="998349FE8C454FA5B48580B99F55DAA3"/>
          </w:placeholder>
        </w:sdtPr>
        <w:sdtEndPr/>
        <w:sdtContent>
          <w:r w:rsidR="00572E88" w:rsidRPr="00572E88">
            <w:rPr>
              <w:rFonts w:ascii="Times New Roman" w:hAnsi="Times New Roman" w:cs="Times New Roman"/>
              <w:color w:val="000000"/>
            </w:rPr>
            <w:t>[103]</w:t>
          </w:r>
        </w:sdtContent>
      </w:sdt>
      <w:r>
        <w:rPr>
          <w:rFonts w:ascii="Times New Roman" w:hAnsi="Times New Roman" w:cs="Times New Roman"/>
        </w:rPr>
        <w:t xml:space="preserve">. However, the mortality risk is higher for COPD patients with high body weight at less severe stages of COPD </w:t>
      </w:r>
      <w:sdt>
        <w:sdtPr>
          <w:rPr>
            <w:rFonts w:ascii="Times New Roman" w:hAnsi="Times New Roman" w:cs="Times New Roman"/>
            <w:color w:val="000000"/>
          </w:rPr>
          <w:tag w:val="MENDELEY_CITATION_v3_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"/>
          <w:id w:val="2122343287"/>
          <w:placeholder>
            <w:docPart w:val="998349FE8C454FA5B48580B99F55DAA3"/>
          </w:placeholder>
        </w:sdtPr>
        <w:sdtEndPr/>
        <w:sdtContent>
          <w:r w:rsidR="00572E88" w:rsidRPr="00572E88">
            <w:rPr>
              <w:rFonts w:ascii="Times New Roman" w:hAnsi="Times New Roman" w:cs="Times New Roman"/>
              <w:color w:val="000000"/>
            </w:rPr>
            <w:t>[103]</w:t>
          </w:r>
        </w:sdtContent>
      </w:sdt>
      <w:r>
        <w:rPr>
          <w:rFonts w:ascii="Times New Roman" w:hAnsi="Times New Roman" w:cs="Times New Roman"/>
        </w:rPr>
        <w:t xml:space="preserve">. The nutritional value of dietary intakes is also important in COPD risk </w:t>
      </w:r>
      <w:sdt>
        <w:sdtPr>
          <w:rPr>
            <w:rFonts w:ascii="Times New Roman" w:hAnsi="Times New Roman" w:cs="Times New Roman"/>
            <w:color w:val="000000"/>
          </w:rPr>
          <w:tag w:val="MENDELEY_CITATION_v3_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"/>
          <w:id w:val="2064597678"/>
          <w:placeholder>
            <w:docPart w:val="998349FE8C454FA5B48580B99F55DAA3"/>
          </w:placeholder>
        </w:sdtPr>
        <w:sdtEndPr/>
        <w:sdtContent>
          <w:r w:rsidR="00572E88" w:rsidRPr="00572E88">
            <w:rPr>
              <w:rFonts w:ascii="Times New Roman" w:hAnsi="Times New Roman" w:cs="Times New Roman"/>
              <w:color w:val="000000"/>
            </w:rPr>
            <w:t>[101]</w:t>
          </w:r>
        </w:sdtContent>
      </w:sdt>
      <w:r>
        <w:rPr>
          <w:rFonts w:ascii="Times New Roman" w:hAnsi="Times New Roman" w:cs="Times New Roman"/>
        </w:rPr>
        <w:t xml:space="preserve">. The risk of COPD is higher by approximately 40% for those with diets </w:t>
      </w:r>
      <w:r w:rsidR="003956AD">
        <w:rPr>
          <w:rFonts w:ascii="Times New Roman" w:hAnsi="Times New Roman" w:cs="Times New Roman"/>
        </w:rPr>
        <w:t xml:space="preserve">that include </w:t>
      </w:r>
      <w:r>
        <w:rPr>
          <w:rFonts w:ascii="Times New Roman" w:hAnsi="Times New Roman" w:cs="Times New Roman"/>
        </w:rPr>
        <w:t>high intakes of red meat compared to those with normal</w:t>
      </w:r>
      <w:r w:rsidR="003956AD">
        <w:rPr>
          <w:rFonts w:ascii="Times New Roman" w:hAnsi="Times New Roman" w:cs="Times New Roman"/>
        </w:rPr>
        <w:t xml:space="preserve"> dietary</w:t>
      </w:r>
      <w:r>
        <w:rPr>
          <w:rFonts w:ascii="Times New Roman" w:hAnsi="Times New Roman" w:cs="Times New Roman"/>
        </w:rPr>
        <w:t xml:space="preserve"> intakes of red meat </w:t>
      </w:r>
      <w:sdt>
        <w:sdtPr>
          <w:rPr>
            <w:rFonts w:ascii="Times New Roman" w:hAnsi="Times New Roman" w:cs="Times New Roman"/>
            <w:color w:val="000000"/>
          </w:rPr>
          <w:tag w:val="MENDELEY_CITATION_v3_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"/>
          <w:id w:val="-1720975621"/>
          <w:placeholder>
            <w:docPart w:val="998349FE8C454FA5B48580B99F55DAA3"/>
          </w:placeholder>
        </w:sdtPr>
        <w:sdtEndPr/>
        <w:sdtContent>
          <w:r w:rsidR="00572E88" w:rsidRPr="00572E88">
            <w:rPr>
              <w:rFonts w:ascii="Times New Roman" w:hAnsi="Times New Roman" w:cs="Times New Roman"/>
              <w:color w:val="000000"/>
            </w:rPr>
            <w:t>[101]</w:t>
          </w:r>
        </w:sdtContent>
      </w:sdt>
      <w:r>
        <w:rPr>
          <w:rFonts w:ascii="Times New Roman" w:hAnsi="Times New Roman" w:cs="Times New Roman"/>
        </w:rPr>
        <w:t xml:space="preserve">. Individuals with diets high in fruits and vegetables may have lower risk of COPD </w:t>
      </w:r>
      <w:r w:rsidR="003956AD">
        <w:rPr>
          <w:rFonts w:ascii="Times New Roman" w:hAnsi="Times New Roman" w:cs="Times New Roman"/>
        </w:rPr>
        <w:t>compared</w:t>
      </w:r>
      <w:r>
        <w:rPr>
          <w:rFonts w:ascii="Times New Roman" w:hAnsi="Times New Roman" w:cs="Times New Roman"/>
        </w:rPr>
        <w:t xml:space="preserve"> those with lower</w:t>
      </w:r>
      <w:r w:rsidR="003956AD">
        <w:rPr>
          <w:rFonts w:ascii="Times New Roman" w:hAnsi="Times New Roman" w:cs="Times New Roman"/>
        </w:rPr>
        <w:t xml:space="preserve"> dietary</w:t>
      </w:r>
      <w:r>
        <w:rPr>
          <w:rFonts w:ascii="Times New Roman" w:hAnsi="Times New Roman" w:cs="Times New Roman"/>
        </w:rPr>
        <w:t xml:space="preserve"> intakes of fruits and vegetables </w:t>
      </w:r>
      <w:sdt>
        <w:sdtPr>
          <w:rPr>
            <w:rFonts w:ascii="Times New Roman" w:hAnsi="Times New Roman" w:cs="Times New Roman"/>
            <w:color w:val="000000"/>
          </w:rPr>
          <w:tag w:val="MENDELEY_CITATION_v3_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"/>
          <w:id w:val="-19015982"/>
          <w:placeholder>
            <w:docPart w:val="998349FE8C454FA5B48580B99F55DAA3"/>
          </w:placeholder>
        </w:sdtPr>
        <w:sdtEndPr/>
        <w:sdtContent>
          <w:r w:rsidR="00572E88" w:rsidRPr="00572E88">
            <w:rPr>
              <w:rFonts w:ascii="Times New Roman" w:hAnsi="Times New Roman" w:cs="Times New Roman"/>
              <w:color w:val="000000"/>
            </w:rPr>
            <w:t>[101]</w:t>
          </w:r>
        </w:sdtContent>
      </w:sdt>
      <w:r>
        <w:rPr>
          <w:rFonts w:ascii="Times New Roman" w:hAnsi="Times New Roman" w:cs="Times New Roman"/>
        </w:rPr>
        <w:t xml:space="preserve">. The mechanism driving these associations is not well understood, but </w:t>
      </w:r>
      <w:proofErr w:type="spellStart"/>
      <w:r>
        <w:rPr>
          <w:rFonts w:ascii="Times New Roman" w:hAnsi="Times New Roman" w:cs="Times New Roman"/>
        </w:rPr>
        <w:t>Beijers</w:t>
      </w:r>
      <w:proofErr w:type="spellEnd"/>
      <w:r>
        <w:rPr>
          <w:rFonts w:ascii="Times New Roman" w:hAnsi="Times New Roman" w:cs="Times New Roman"/>
        </w:rPr>
        <w:t xml:space="preserve"> et al hypothesized that the paradoxical association between weight and mortality risk may be due to reduced muscle mass or distribution of body fat </w:t>
      </w:r>
      <w:sdt>
        <w:sdtPr>
          <w:rPr>
            <w:rFonts w:ascii="Times New Roman" w:hAnsi="Times New Roman" w:cs="Times New Roman"/>
            <w:color w:val="000000"/>
          </w:rPr>
          <w:tag w:val="MENDELEY_CITATION_v3_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"/>
          <w:id w:val="-399439029"/>
          <w:placeholder>
            <w:docPart w:val="998349FE8C454FA5B48580B99F55DAA3"/>
          </w:placeholder>
        </w:sdtPr>
        <w:sdtEndPr/>
        <w:sdtContent>
          <w:r w:rsidR="00572E88" w:rsidRPr="00572E88">
            <w:rPr>
              <w:rFonts w:ascii="Times New Roman" w:hAnsi="Times New Roman" w:cs="Times New Roman"/>
              <w:color w:val="000000"/>
            </w:rPr>
            <w:t>[103]</w:t>
          </w:r>
        </w:sdtContent>
      </w:sdt>
      <w:r>
        <w:rPr>
          <w:rFonts w:ascii="Times New Roman" w:hAnsi="Times New Roman" w:cs="Times New Roman"/>
        </w:rPr>
        <w:t xml:space="preserve">. </w:t>
      </w:r>
    </w:p>
    <w:p w14:paraId="69D43940" w14:textId="77777777" w:rsidR="00E1591B" w:rsidRDefault="00E1591B" w:rsidP="000D714C">
      <w:pPr>
        <w:spacing w:after="0" w:line="480" w:lineRule="auto"/>
        <w:rPr>
          <w:rFonts w:ascii="Times New Roman" w:hAnsi="Times New Roman" w:cs="Times New Roman"/>
        </w:rPr>
      </w:pPr>
    </w:p>
    <w:p w14:paraId="4DECF616" w14:textId="77777777" w:rsidR="00D47413" w:rsidRPr="00D63B5E" w:rsidRDefault="00D47413" w:rsidP="000D714C">
      <w:pPr>
        <w:pStyle w:val="Heading6"/>
        <w:spacing w:before="0" w:line="480" w:lineRule="auto"/>
      </w:pPr>
      <w:bookmarkStart w:id="36" w:name="_Toc200096959"/>
      <w:r>
        <w:t>Environmental</w:t>
      </w:r>
      <w:bookmarkEnd w:id="36"/>
    </w:p>
    <w:p w14:paraId="16A9887B" w14:textId="77777777" w:rsidR="00D47413" w:rsidRDefault="00D47413" w:rsidP="000D714C">
      <w:pPr>
        <w:pStyle w:val="Heading7"/>
        <w:spacing w:before="0" w:line="480" w:lineRule="auto"/>
        <w:rPr>
          <w:b w:val="0"/>
        </w:rPr>
      </w:pPr>
      <w:bookmarkStart w:id="37" w:name="_Toc200096960"/>
      <w:r>
        <w:t>Occupational Exposures</w:t>
      </w:r>
      <w:bookmarkEnd w:id="37"/>
    </w:p>
    <w:p w14:paraId="741A4067" w14:textId="63E163A5" w:rsidR="00DA766D" w:rsidRDefault="00DA766D" w:rsidP="000D714C">
      <w:pPr>
        <w:spacing w:after="0" w:line="480" w:lineRule="auto"/>
        <w:ind w:firstLine="720"/>
        <w:rPr>
          <w:rFonts w:ascii="Times New Roman" w:hAnsi="Times New Roman" w:cs="Times New Roman"/>
        </w:rPr>
      </w:pPr>
      <w:bookmarkStart w:id="38" w:name="_Hlk199595871"/>
      <w:r>
        <w:rPr>
          <w:rFonts w:ascii="Times New Roman" w:hAnsi="Times New Roman" w:cs="Times New Roman"/>
        </w:rPr>
        <w:t xml:space="preserve">Occupational exposures have been identified as possible risk factors for obstructive pulmonary dysfunction from as early as the nineteenth century </w:t>
      </w:r>
      <w:sdt>
        <w:sdtPr>
          <w:rPr>
            <w:rFonts w:ascii="Times New Roman" w:hAnsi="Times New Roman" w:cs="Times New Roman"/>
            <w:color w:val="000000"/>
          </w:rPr>
          <w:tag w:val="MENDELEY_CITATION_v3_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"/>
          <w:id w:val="69313916"/>
          <w:placeholder>
            <w:docPart w:val="20BE406F02F442F9BCC09F504F4C01BC"/>
          </w:placeholder>
        </w:sdtPr>
        <w:sdtEndPr/>
        <w:sdtContent>
          <w:r w:rsidR="00572E88" w:rsidRPr="00572E88">
            <w:rPr>
              <w:rFonts w:ascii="Times New Roman" w:hAnsi="Times New Roman" w:cs="Times New Roman"/>
              <w:color w:val="000000"/>
            </w:rPr>
            <w:t>[11]</w:t>
          </w:r>
        </w:sdtContent>
      </w:sdt>
      <w:r>
        <w:rPr>
          <w:rFonts w:ascii="Times New Roman" w:hAnsi="Times New Roman" w:cs="Times New Roman"/>
        </w:rPr>
        <w:t xml:space="preserve">. Common occupational exposures include particulate matter, silica, cadmium, welding fumes, deiseal exhaust, pesticides, chemical cleaners, biomass fuels, cement dust, general dust, and the combined exposure of vapors, dusts, and gases </w:t>
      </w:r>
      <w:sdt>
        <w:sdtPr>
          <w:rPr>
            <w:rFonts w:ascii="Times New Roman" w:hAnsi="Times New Roman" w:cs="Times New Roman"/>
            <w:color w:val="000000"/>
          </w:rPr>
          <w:tag w:val="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"/>
          <w:id w:val="-2016218917"/>
          <w:placeholder>
            <w:docPart w:val="35334A7A521C49A99F709737C8B77BC7"/>
          </w:placeholder>
        </w:sdtPr>
        <w:sdtEndPr/>
        <w:sdtContent>
          <w:r w:rsidR="00572E88" w:rsidRPr="00572E88">
            <w:rPr>
              <w:rFonts w:ascii="Times New Roman" w:hAnsi="Times New Roman" w:cs="Times New Roman"/>
              <w:color w:val="000000"/>
            </w:rPr>
            <w:t>[11,13,104–107]</w:t>
          </w:r>
        </w:sdtContent>
      </w:sdt>
      <w:r>
        <w:rPr>
          <w:rFonts w:ascii="Times New Roman" w:hAnsi="Times New Roman" w:cs="Times New Roman"/>
        </w:rPr>
        <w:t xml:space="preserve">. Regardless of the source, an estimated </w:t>
      </w:r>
      <w:r w:rsidRPr="00304472">
        <w:rPr>
          <w:rFonts w:ascii="Times New Roman" w:hAnsi="Times New Roman" w:cs="Times New Roman"/>
        </w:rPr>
        <w:t>143.02</w:t>
      </w:r>
      <w:r>
        <w:rPr>
          <w:rFonts w:ascii="Times New Roman" w:hAnsi="Times New Roman" w:cs="Times New Roman"/>
        </w:rPr>
        <w:t xml:space="preserve"> DAILYs per 100,000 persons and 6.61 deaths per 100,000 persons are attributed to occupationally related COPD </w:t>
      </w:r>
      <w:sdt>
        <w:sdtPr>
          <w:rPr>
            <w:rFonts w:ascii="Times New Roman" w:hAnsi="Times New Roman" w:cs="Times New Roman"/>
            <w:color w:val="000000"/>
          </w:rPr>
          <w:tag w:val="MENDELEY_CITATION_v3_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"/>
          <w:id w:val="313148427"/>
          <w:placeholder>
            <w:docPart w:val="46EC69D49F1C4A548D840E8F1F45D6D3"/>
          </w:placeholder>
        </w:sdtPr>
        <w:sdtEndPr/>
        <w:sdtContent>
          <w:r w:rsidR="00572E88" w:rsidRPr="00572E88">
            <w:rPr>
              <w:rFonts w:ascii="Times New Roman" w:hAnsi="Times New Roman" w:cs="Times New Roman"/>
              <w:color w:val="000000"/>
            </w:rPr>
            <w:t>[108]</w:t>
          </w:r>
        </w:sdtContent>
      </w:sdt>
      <w:r>
        <w:rPr>
          <w:rFonts w:ascii="Times New Roman" w:hAnsi="Times New Roman" w:cs="Times New Roman"/>
        </w:rPr>
        <w:t xml:space="preserve">. In total, occupational exposures are estimated to account for approximately 14% of all COPD cases </w:t>
      </w:r>
      <w:sdt>
        <w:sdtPr>
          <w:rPr>
            <w:rFonts w:ascii="Times New Roman" w:hAnsi="Times New Roman" w:cs="Times New Roman"/>
            <w:color w:val="000000"/>
          </w:rPr>
          <w:tag w:val="MENDELEY_CITATION_v3_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"/>
          <w:id w:val="-1064940306"/>
          <w:placeholder>
            <w:docPart w:val="20BE406F02F442F9BCC09F504F4C01BC"/>
          </w:placeholder>
        </w:sdtPr>
        <w:sdtEndPr/>
        <w:sdtContent>
          <w:r w:rsidR="00572E88" w:rsidRPr="00572E88">
            <w:rPr>
              <w:rFonts w:ascii="Times New Roman" w:hAnsi="Times New Roman" w:cs="Times New Roman"/>
              <w:color w:val="000000"/>
            </w:rPr>
            <w:t>[13,108]</w:t>
          </w:r>
        </w:sdtContent>
      </w:sdt>
      <w:r>
        <w:rPr>
          <w:rFonts w:ascii="Times New Roman" w:hAnsi="Times New Roman" w:cs="Times New Roman"/>
        </w:rPr>
        <w:t xml:space="preserve">. A recent review of meta-analyses of COPD risk factors reported the meta-analysis derived odds ratios from all occupational exposure to range from 0.97 to 1.79 </w:t>
      </w:r>
      <w:sdt>
        <w:sdtPr>
          <w:rPr>
            <w:rFonts w:ascii="Times New Roman" w:hAnsi="Times New Roman" w:cs="Times New Roman"/>
            <w:color w:val="000000"/>
          </w:rPr>
          <w:tag w:val="MENDELEY_CITATION_v3_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"/>
          <w:id w:val="635999346"/>
          <w:placeholder>
            <w:docPart w:val="20BE406F02F442F9BCC09F504F4C01BC"/>
          </w:placeholder>
        </w:sdtPr>
        <w:sdtEndPr/>
        <w:sdtContent>
          <w:r w:rsidR="00572E88" w:rsidRPr="00572E88">
            <w:rPr>
              <w:rFonts w:ascii="Times New Roman" w:hAnsi="Times New Roman" w:cs="Times New Roman"/>
              <w:color w:val="000000"/>
            </w:rPr>
            <w:t>[97]</w:t>
          </w:r>
        </w:sdtContent>
      </w:sdt>
      <w:r>
        <w:rPr>
          <w:rFonts w:ascii="Times New Roman" w:hAnsi="Times New Roman" w:cs="Times New Roman"/>
        </w:rPr>
        <w:t xml:space="preserve">. Within the US, the odds of COPD were higher after exposure to several occupational exposures including mineral dust, sensitizers, diesel exhaust, and general vapors and gases </w:t>
      </w:r>
      <w:sdt>
        <w:sdtPr>
          <w:rPr>
            <w:rFonts w:ascii="Times New Roman" w:hAnsi="Times New Roman" w:cs="Times New Roman"/>
            <w:color w:val="000000"/>
          </w:rPr>
          <w:tag w:val="MENDELEY_CITATION_v3_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"/>
          <w:id w:val="-1180427014"/>
          <w:placeholder>
            <w:docPart w:val="20BE406F02F442F9BCC09F504F4C01BC"/>
          </w:placeholder>
        </w:sdtPr>
        <w:sdtEndPr/>
        <w:sdtContent>
          <w:r w:rsidR="00572E88" w:rsidRPr="00572E88">
            <w:rPr>
              <w:rFonts w:ascii="Times New Roman" w:hAnsi="Times New Roman" w:cs="Times New Roman"/>
              <w:color w:val="000000"/>
            </w:rPr>
            <w:t>[109]</w:t>
          </w:r>
        </w:sdtContent>
      </w:sdt>
      <w:r>
        <w:rPr>
          <w:rFonts w:ascii="Times New Roman" w:hAnsi="Times New Roman" w:cs="Times New Roman"/>
        </w:rPr>
        <w:t xml:space="preserve">. The US </w:t>
      </w:r>
      <w:r>
        <w:rPr>
          <w:rFonts w:ascii="Times New Roman" w:hAnsi="Times New Roman" w:cs="Times New Roman"/>
        </w:rPr>
        <w:lastRenderedPageBreak/>
        <w:t xml:space="preserve">Health and Retirement Study reported increased risk of COPD in retirement age populations across multiple occupations including laborers, famers, maids, mechanics, and equipment operators </w:t>
      </w:r>
      <w:sdt>
        <w:sdtPr>
          <w:rPr>
            <w:rFonts w:ascii="Times New Roman" w:hAnsi="Times New Roman" w:cs="Times New Roman"/>
            <w:color w:val="000000"/>
          </w:rPr>
          <w:tag w:val="MENDELEY_CITATION_v3_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"/>
          <w:id w:val="722491183"/>
          <w:placeholder>
            <w:docPart w:val="20BE406F02F442F9BCC09F504F4C01BC"/>
          </w:placeholder>
        </w:sdtPr>
        <w:sdtEndPr/>
        <w:sdtContent>
          <w:r w:rsidR="00572E88" w:rsidRPr="00572E88">
            <w:rPr>
              <w:rFonts w:ascii="Times New Roman" w:hAnsi="Times New Roman" w:cs="Times New Roman"/>
              <w:color w:val="000000"/>
            </w:rPr>
            <w:t>[110]</w:t>
          </w:r>
        </w:sdtContent>
      </w:sdt>
      <w:r>
        <w:rPr>
          <w:rFonts w:ascii="Times New Roman" w:hAnsi="Times New Roman" w:cs="Times New Roman"/>
        </w:rPr>
        <w:t xml:space="preserve">. </w:t>
      </w:r>
    </w:p>
    <w:p w14:paraId="672A36BD" w14:textId="0103D5A5" w:rsidR="00203A81" w:rsidRDefault="00DA766D" w:rsidP="000D714C">
      <w:pPr>
        <w:spacing w:after="0" w:line="480" w:lineRule="auto"/>
        <w:ind w:firstLine="720"/>
        <w:rPr>
          <w:rFonts w:ascii="Times New Roman" w:hAnsi="Times New Roman" w:cs="Times New Roman"/>
        </w:rPr>
      </w:pPr>
      <w:r>
        <w:rPr>
          <w:rFonts w:ascii="Times New Roman" w:hAnsi="Times New Roman" w:cs="Times New Roman"/>
        </w:rPr>
        <w:t xml:space="preserve">Regardless of the possible exposure agent, the biological mechanism linking occupational exposures and COPD remains unclear. In fact, occupationally related COPD is still considered to be an under-recognized aspect of the disease </w:t>
      </w:r>
      <w:sdt>
        <w:sdtPr>
          <w:rPr>
            <w:rFonts w:ascii="Times New Roman" w:hAnsi="Times New Roman" w:cs="Times New Roman"/>
            <w:color w:val="000000"/>
          </w:rPr>
          <w:tag w:val="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"/>
          <w:id w:val="-644196233"/>
          <w:placeholder>
            <w:docPart w:val="20BE406F02F442F9BCC09F504F4C01BC"/>
          </w:placeholder>
        </w:sdtPr>
        <w:sdtEndPr/>
        <w:sdtContent>
          <w:r w:rsidR="00572E88" w:rsidRPr="00572E88">
            <w:rPr>
              <w:rFonts w:ascii="Times New Roman" w:hAnsi="Times New Roman" w:cs="Times New Roman"/>
              <w:color w:val="000000"/>
            </w:rPr>
            <w:t>[11–13,111]</w:t>
          </w:r>
        </w:sdtContent>
      </w:sdt>
      <w:r>
        <w:rPr>
          <w:rFonts w:ascii="Times New Roman" w:hAnsi="Times New Roman" w:cs="Times New Roman"/>
        </w:rPr>
        <w:t xml:space="preserve">. De Matteis attributes this under recognition to a lack of centralized surveillance of occupational respiratory hazards as well as the general under-reporting of occupational conditions </w:t>
      </w:r>
      <w:sdt>
        <w:sdtPr>
          <w:rPr>
            <w:rFonts w:ascii="Times New Roman" w:hAnsi="Times New Roman" w:cs="Times New Roman"/>
            <w:color w:val="000000"/>
          </w:rPr>
          <w:tag w:val="MENDELEY_CITATION_v3_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"/>
          <w:id w:val="337886639"/>
          <w:placeholder>
            <w:docPart w:val="20BE406F02F442F9BCC09F504F4C01BC"/>
          </w:placeholder>
        </w:sdtPr>
        <w:sdtEndPr/>
        <w:sdtContent>
          <w:r w:rsidR="00572E88" w:rsidRPr="00572E88">
            <w:rPr>
              <w:rFonts w:ascii="Times New Roman" w:hAnsi="Times New Roman" w:cs="Times New Roman"/>
              <w:color w:val="000000"/>
            </w:rPr>
            <w:t>[12]</w:t>
          </w:r>
        </w:sdtContent>
      </w:sdt>
      <w:r>
        <w:rPr>
          <w:rFonts w:ascii="Times New Roman" w:hAnsi="Times New Roman" w:cs="Times New Roman"/>
        </w:rPr>
        <w:t>. Additionally, the lack of standardized measurements for occupational exposures across epidemiologic studies likely contribute</w:t>
      </w:r>
      <w:r w:rsidR="00E1591B">
        <w:rPr>
          <w:rFonts w:ascii="Times New Roman" w:hAnsi="Times New Roman" w:cs="Times New Roman"/>
        </w:rPr>
        <w:t>s</w:t>
      </w:r>
      <w:r>
        <w:rPr>
          <w:rFonts w:ascii="Times New Roman" w:hAnsi="Times New Roman" w:cs="Times New Roman"/>
        </w:rPr>
        <w:t xml:space="preserve"> to the under-recognition of the disease as well </w:t>
      </w:r>
      <w:sdt>
        <w:sdtPr>
          <w:rPr>
            <w:rFonts w:ascii="Times New Roman" w:hAnsi="Times New Roman" w:cs="Times New Roman"/>
            <w:color w:val="000000"/>
          </w:rPr>
          <w:tag w:val="MENDELEY_CITATION_v3_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"/>
          <w:id w:val="-1629622243"/>
          <w:placeholder>
            <w:docPart w:val="20BE406F02F442F9BCC09F504F4C01BC"/>
          </w:placeholder>
        </w:sdtPr>
        <w:sdtEndPr/>
        <w:sdtContent>
          <w:r w:rsidR="00572E88" w:rsidRPr="00572E88">
            <w:rPr>
              <w:rFonts w:ascii="Times New Roman" w:hAnsi="Times New Roman" w:cs="Times New Roman"/>
              <w:color w:val="000000"/>
            </w:rPr>
            <w:t>[98,111]</w:t>
          </w:r>
        </w:sdtContent>
      </w:sdt>
      <w:r>
        <w:rPr>
          <w:rFonts w:ascii="Times New Roman" w:hAnsi="Times New Roman" w:cs="Times New Roman"/>
        </w:rPr>
        <w:t>.</w:t>
      </w:r>
    </w:p>
    <w:p w14:paraId="2E25ACB3" w14:textId="52941603" w:rsidR="00DA766D" w:rsidRDefault="00DA766D" w:rsidP="000D714C">
      <w:pPr>
        <w:spacing w:after="0" w:line="480" w:lineRule="auto"/>
        <w:rPr>
          <w:rFonts w:ascii="Times New Roman" w:hAnsi="Times New Roman" w:cs="Times New Roman"/>
        </w:rPr>
      </w:pPr>
    </w:p>
    <w:p w14:paraId="4CD7D6F8" w14:textId="77777777" w:rsidR="00D47413" w:rsidRDefault="00D47413" w:rsidP="000D714C">
      <w:pPr>
        <w:pStyle w:val="Heading7"/>
        <w:spacing w:before="0" w:line="480" w:lineRule="auto"/>
      </w:pPr>
      <w:bookmarkStart w:id="39" w:name="_Toc200096961"/>
      <w:r>
        <w:t>Air Quality</w:t>
      </w:r>
      <w:bookmarkEnd w:id="39"/>
    </w:p>
    <w:bookmarkEnd w:id="38"/>
    <w:p w14:paraId="08D4AEC2" w14:textId="561F2C7E" w:rsidR="00DA766D" w:rsidRDefault="00DA766D" w:rsidP="000D714C">
      <w:pPr>
        <w:spacing w:after="0" w:line="480" w:lineRule="auto"/>
        <w:ind w:firstLine="720"/>
        <w:rPr>
          <w:rFonts w:ascii="Times New Roman" w:hAnsi="Times New Roman" w:cs="Times New Roman"/>
        </w:rPr>
      </w:pPr>
      <w:r>
        <w:rPr>
          <w:rFonts w:ascii="Times New Roman" w:hAnsi="Times New Roman" w:cs="Times New Roman"/>
          <w:color w:val="000000"/>
        </w:rPr>
        <w:t xml:space="preserve">Studies investigating the role of air quality in COPD have produced inconsistent results </w:t>
      </w:r>
      <w:r w:rsidRPr="00106717">
        <w:rPr>
          <w:rFonts w:ascii="Times New Roman" w:hAnsi="Times New Roman" w:cs="Times New Roman"/>
          <w:color w:val="000000"/>
        </w:rPr>
        <w:t>[89,92,104–110]</w:t>
      </w:r>
      <w:r>
        <w:rPr>
          <w:rFonts w:ascii="Times New Roman" w:hAnsi="Times New Roman" w:cs="Times New Roman"/>
          <w:color w:val="000000"/>
        </w:rPr>
        <w:t xml:space="preserve">. </w:t>
      </w:r>
      <w:r>
        <w:rPr>
          <w:rFonts w:ascii="Times New Roman" w:hAnsi="Times New Roman" w:cs="Times New Roman"/>
        </w:rPr>
        <w:t xml:space="preserve">Sin et al attributes the inconsistency to the limited agreement on the definition of poor air quality or pollution used across studies </w:t>
      </w:r>
      <w:sdt>
        <w:sdtPr>
          <w:rPr>
            <w:rFonts w:ascii="Times New Roman" w:hAnsi="Times New Roman" w:cs="Times New Roman"/>
            <w:color w:val="000000"/>
          </w:rPr>
          <w:tag w:val="MENDELEY_CITATION_v3_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"/>
          <w:id w:val="1961996083"/>
          <w:placeholder>
            <w:docPart w:val="90D59EC0309643B092DBEE0BD11BDB03"/>
          </w:placeholder>
        </w:sdtPr>
        <w:sdtEndPr/>
        <w:sdtContent>
          <w:r w:rsidR="00572E88" w:rsidRPr="00572E88">
            <w:rPr>
              <w:rFonts w:ascii="Times New Roman" w:hAnsi="Times New Roman" w:cs="Times New Roman"/>
              <w:color w:val="000000"/>
            </w:rPr>
            <w:t>[112]</w:t>
          </w:r>
        </w:sdtContent>
      </w:sdt>
      <w:r>
        <w:rPr>
          <w:rFonts w:ascii="Times New Roman" w:hAnsi="Times New Roman" w:cs="Times New Roman"/>
        </w:rPr>
        <w:t xml:space="preserve">. The primary source of exposure for poor indoor air quality is thought to be biomass fuel combustion for cooking or heating residential areas although other common household products like chemicals found in cleaning supplies may also contribute to poor air quality </w:t>
      </w:r>
      <w:sdt>
        <w:sdtPr>
          <w:rPr>
            <w:rFonts w:ascii="Times New Roman" w:hAnsi="Times New Roman" w:cs="Times New Roman"/>
            <w:color w:val="000000"/>
          </w:rPr>
          <w:tag w:val="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"/>
          <w:id w:val="1165057703"/>
          <w:placeholder>
            <w:docPart w:val="90D59EC0309643B092DBEE0BD11BDB03"/>
          </w:placeholder>
        </w:sdtPr>
        <w:sdtEndPr/>
        <w:sdtContent>
          <w:r w:rsidR="00572E88" w:rsidRPr="00572E88">
            <w:rPr>
              <w:rFonts w:ascii="Times New Roman" w:hAnsi="Times New Roman" w:cs="Times New Roman"/>
              <w:color w:val="000000"/>
            </w:rPr>
            <w:t>[97,100,113,114]</w:t>
          </w:r>
        </w:sdtContent>
      </w:sdt>
      <w:r>
        <w:rPr>
          <w:rFonts w:ascii="Times New Roman" w:hAnsi="Times New Roman" w:cs="Times New Roman"/>
        </w:rPr>
        <w:t xml:space="preserve">. Women, particularly in low- and middle-income countries, are the most affected by this source of exposure </w:t>
      </w:r>
      <w:sdt>
        <w:sdtPr>
          <w:rPr>
            <w:rFonts w:ascii="Times New Roman" w:hAnsi="Times New Roman" w:cs="Times New Roman"/>
            <w:color w:val="000000"/>
          </w:rPr>
          <w:tag w:val="MENDELEY_CITATION_v3_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"/>
          <w:id w:val="6410475"/>
          <w:placeholder>
            <w:docPart w:val="90D59EC0309643B092DBEE0BD11BDB03"/>
          </w:placeholder>
        </w:sdtPr>
        <w:sdtEndPr/>
        <w:sdtContent>
          <w:r w:rsidR="00572E88" w:rsidRPr="00572E88">
            <w:rPr>
              <w:rFonts w:ascii="Times New Roman" w:hAnsi="Times New Roman" w:cs="Times New Roman"/>
              <w:color w:val="000000"/>
            </w:rPr>
            <w:t>[115,116]</w:t>
          </w:r>
        </w:sdtContent>
      </w:sdt>
      <w:r>
        <w:rPr>
          <w:rFonts w:ascii="Times New Roman" w:hAnsi="Times New Roman" w:cs="Times New Roman"/>
        </w:rPr>
        <w:t xml:space="preserve">. This potentially explains why low- and middle-income countries account for over 90% of COPD mortality, and more than 75% of these deaths are women </w:t>
      </w:r>
      <w:sdt>
        <w:sdtPr>
          <w:rPr>
            <w:rFonts w:ascii="Times New Roman" w:hAnsi="Times New Roman" w:cs="Times New Roman"/>
            <w:color w:val="000000"/>
          </w:rPr>
          <w:tag w:val="MENDELEY_CITATION_v3_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"/>
          <w:id w:val="-1365521572"/>
          <w:placeholder>
            <w:docPart w:val="90D59EC0309643B092DBEE0BD11BDB03"/>
          </w:placeholder>
        </w:sdtPr>
        <w:sdtEndPr/>
        <w:sdtContent>
          <w:r w:rsidR="00572E88" w:rsidRPr="00572E88">
            <w:rPr>
              <w:rFonts w:ascii="Times New Roman" w:hAnsi="Times New Roman" w:cs="Times New Roman"/>
              <w:color w:val="000000"/>
            </w:rPr>
            <w:t>[100]</w:t>
          </w:r>
        </w:sdtContent>
      </w:sdt>
      <w:r>
        <w:rPr>
          <w:rFonts w:ascii="Times New Roman" w:hAnsi="Times New Roman" w:cs="Times New Roman"/>
        </w:rPr>
        <w:t xml:space="preserve">. Overall, Pathak et al reported a pooled risk of COPD from biomass exposure to be 2.38 times higher than that of the pooled controls in a meta-analysis of 24 studies. </w:t>
      </w:r>
      <w:sdt>
        <w:sdtPr>
          <w:rPr>
            <w:rFonts w:ascii="Times New Roman" w:hAnsi="Times New Roman" w:cs="Times New Roman"/>
            <w:color w:val="000000"/>
          </w:rPr>
          <w:tag w:val="MENDELEY_CITATION_v3_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"/>
          <w:id w:val="705840627"/>
          <w:placeholder>
            <w:docPart w:val="90D59EC0309643B092DBEE0BD11BDB03"/>
          </w:placeholder>
        </w:sdtPr>
        <w:sdtEndPr/>
        <w:sdtContent>
          <w:r w:rsidR="00572E88" w:rsidRPr="00572E88">
            <w:rPr>
              <w:rFonts w:ascii="Times New Roman" w:hAnsi="Times New Roman" w:cs="Times New Roman"/>
              <w:color w:val="000000"/>
            </w:rPr>
            <w:t>[100]</w:t>
          </w:r>
        </w:sdtContent>
      </w:sdt>
      <w:r>
        <w:rPr>
          <w:rFonts w:ascii="Times New Roman" w:hAnsi="Times New Roman" w:cs="Times New Roman"/>
        </w:rPr>
        <w:t xml:space="preserve">. The review by Raju et al also reported increases </w:t>
      </w:r>
      <w:r>
        <w:rPr>
          <w:rFonts w:ascii="Times New Roman" w:hAnsi="Times New Roman" w:cs="Times New Roman"/>
        </w:rPr>
        <w:lastRenderedPageBreak/>
        <w:t xml:space="preserve">in COPD in low- and middle-income countries from indoor air pollution, but they suggested </w:t>
      </w:r>
      <w:r w:rsidRPr="00E21756">
        <w:rPr>
          <w:rFonts w:ascii="Times New Roman" w:hAnsi="Times New Roman" w:cs="Times New Roman"/>
        </w:rPr>
        <w:t>mo</w:t>
      </w:r>
      <w:r>
        <w:rPr>
          <w:rFonts w:ascii="Times New Roman" w:hAnsi="Times New Roman" w:cs="Times New Roman"/>
        </w:rPr>
        <w:t xml:space="preserve">re evidence was needed before confirming a causative relationship </w:t>
      </w:r>
      <w:sdt>
        <w:sdtPr>
          <w:rPr>
            <w:rFonts w:ascii="Times New Roman" w:hAnsi="Times New Roman" w:cs="Times New Roman"/>
            <w:color w:val="000000"/>
          </w:rPr>
          <w:tag w:val="MENDELEY_CITATION_v3_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"/>
          <w:id w:val="-1116602460"/>
          <w:placeholder>
            <w:docPart w:val="90D59EC0309643B092DBEE0BD11BDB03"/>
          </w:placeholder>
        </w:sdtPr>
        <w:sdtEndPr/>
        <w:sdtContent>
          <w:r w:rsidR="00572E88" w:rsidRPr="00572E88">
            <w:rPr>
              <w:rFonts w:ascii="Times New Roman" w:hAnsi="Times New Roman" w:cs="Times New Roman"/>
              <w:color w:val="000000"/>
            </w:rPr>
            <w:t>[113]</w:t>
          </w:r>
        </w:sdtContent>
      </w:sdt>
      <w:r>
        <w:rPr>
          <w:rFonts w:ascii="Times New Roman" w:hAnsi="Times New Roman" w:cs="Times New Roman"/>
        </w:rPr>
        <w:t>.</w:t>
      </w:r>
    </w:p>
    <w:p w14:paraId="7108FD14" w14:textId="1B57DD49" w:rsidR="00DA766D" w:rsidRDefault="00DA766D" w:rsidP="000D714C">
      <w:pPr>
        <w:spacing w:after="0" w:line="480" w:lineRule="auto"/>
        <w:ind w:firstLine="720"/>
        <w:rPr>
          <w:rFonts w:ascii="Times New Roman" w:hAnsi="Times New Roman" w:cs="Times New Roman"/>
        </w:rPr>
      </w:pPr>
      <w:r>
        <w:rPr>
          <w:rFonts w:ascii="Times New Roman" w:hAnsi="Times New Roman" w:cs="Times New Roman"/>
        </w:rPr>
        <w:t xml:space="preserve">As for poor outdoor air quality, traffic patterns, weather conditions, and wildfires contribute to ambient air conditions through the release of particulate matter or other noxious substances that can impact respiratory health </w:t>
      </w:r>
      <w:sdt>
        <w:sdtPr>
          <w:rPr>
            <w:rFonts w:ascii="Times New Roman" w:hAnsi="Times New Roman" w:cs="Times New Roman"/>
            <w:color w:val="000000"/>
          </w:rPr>
          <w:tag w:val="MENDELEY_CITATION_v3_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"/>
          <w:id w:val="1629810267"/>
          <w:placeholder>
            <w:docPart w:val="90D59EC0309643B092DBEE0BD11BDB03"/>
          </w:placeholder>
        </w:sdtPr>
        <w:sdtEndPr/>
        <w:sdtContent>
          <w:r w:rsidR="00572E88" w:rsidRPr="00572E88">
            <w:rPr>
              <w:rFonts w:ascii="Times New Roman" w:hAnsi="Times New Roman" w:cs="Times New Roman"/>
              <w:color w:val="000000"/>
            </w:rPr>
            <w:t>[117]</w:t>
          </w:r>
        </w:sdtContent>
      </w:sdt>
      <w:r>
        <w:rPr>
          <w:rFonts w:ascii="Times New Roman" w:hAnsi="Times New Roman" w:cs="Times New Roman"/>
        </w:rPr>
        <w:t xml:space="preserve">. However, the association between outdoor air pollution and COPD risk is less well defined </w:t>
      </w:r>
      <w:sdt>
        <w:sdtPr>
          <w:rPr>
            <w:rFonts w:ascii="Times New Roman" w:hAnsi="Times New Roman" w:cs="Times New Roman"/>
            <w:color w:val="000000"/>
          </w:rPr>
          <w:tag w:val="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"/>
          <w:id w:val="-2007421761"/>
          <w:placeholder>
            <w:docPart w:val="90D59EC0309643B092DBEE0BD11BDB03"/>
          </w:placeholder>
        </w:sdtPr>
        <w:sdtEndPr/>
        <w:sdtContent>
          <w:r w:rsidR="00572E88" w:rsidRPr="00572E88">
            <w:rPr>
              <w:rFonts w:ascii="Times New Roman" w:hAnsi="Times New Roman" w:cs="Times New Roman"/>
              <w:color w:val="000000"/>
            </w:rPr>
            <w:t>[115,117,118]</w:t>
          </w:r>
        </w:sdtContent>
      </w:sdt>
      <w:r>
        <w:rPr>
          <w:rFonts w:ascii="Times New Roman" w:hAnsi="Times New Roman" w:cs="Times New Roman"/>
        </w:rPr>
        <w:t>. In a report produced by the American Thoracic Society, Thurston et al concluded that the evidence of an association between COPD and traffic induced air pollution is inadequate a</w:t>
      </w:r>
      <w:r w:rsidRPr="00E21756">
        <w:rPr>
          <w:rFonts w:ascii="Times New Roman" w:hAnsi="Times New Roman" w:cs="Times New Roman"/>
        </w:rPr>
        <w:t>s the</w:t>
      </w:r>
      <w:r>
        <w:rPr>
          <w:rFonts w:ascii="Times New Roman" w:hAnsi="Times New Roman" w:cs="Times New Roman"/>
        </w:rPr>
        <w:t xml:space="preserve"> strongest support is provided from meta-analyses </w:t>
      </w:r>
      <w:sdt>
        <w:sdtPr>
          <w:rPr>
            <w:rFonts w:ascii="Times New Roman" w:hAnsi="Times New Roman" w:cs="Times New Roman"/>
            <w:color w:val="000000"/>
          </w:rPr>
          <w:tag w:val="MENDELEY_CITATION_v3_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"/>
          <w:id w:val="-1221283017"/>
          <w:placeholder>
            <w:docPart w:val="90D59EC0309643B092DBEE0BD11BDB03"/>
          </w:placeholder>
        </w:sdtPr>
        <w:sdtEndPr/>
        <w:sdtContent>
          <w:r w:rsidR="00572E88" w:rsidRPr="00572E88">
            <w:rPr>
              <w:rFonts w:ascii="Times New Roman" w:hAnsi="Times New Roman" w:cs="Times New Roman"/>
              <w:color w:val="000000"/>
            </w:rPr>
            <w:t>[118]</w:t>
          </w:r>
        </w:sdtContent>
      </w:sdt>
      <w:r>
        <w:rPr>
          <w:rFonts w:ascii="Times New Roman" w:hAnsi="Times New Roman" w:cs="Times New Roman"/>
        </w:rPr>
        <w:t xml:space="preserve">. However, they noted that the few published animal studies simulating ambient air pollution produced pulmonary damage consistent with COPD development, which is suggestive of a possible risk factor </w:t>
      </w:r>
      <w:sdt>
        <w:sdtPr>
          <w:rPr>
            <w:rFonts w:ascii="Times New Roman" w:hAnsi="Times New Roman" w:cs="Times New Roman"/>
            <w:color w:val="000000"/>
          </w:rPr>
          <w:tag w:val="MENDELEY_CITATION_v3_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"/>
          <w:id w:val="-1670398014"/>
          <w:placeholder>
            <w:docPart w:val="90D59EC0309643B092DBEE0BD11BDB03"/>
          </w:placeholder>
        </w:sdtPr>
        <w:sdtEndPr/>
        <w:sdtContent>
          <w:r w:rsidR="00572E88" w:rsidRPr="00572E88">
            <w:rPr>
              <w:rFonts w:ascii="Times New Roman" w:hAnsi="Times New Roman" w:cs="Times New Roman"/>
              <w:color w:val="000000"/>
            </w:rPr>
            <w:t>[118]</w:t>
          </w:r>
        </w:sdtContent>
      </w:sdt>
      <w:r>
        <w:rPr>
          <w:rFonts w:ascii="Times New Roman" w:hAnsi="Times New Roman" w:cs="Times New Roman"/>
        </w:rPr>
        <w:t>. Additionally, Sin et al reported an 18% increase in COPD after particulate matter 2.5 (PM</w:t>
      </w:r>
      <w:r>
        <w:rPr>
          <w:rFonts w:ascii="Times New Roman" w:hAnsi="Times New Roman" w:cs="Times New Roman"/>
          <w:vertAlign w:val="subscript"/>
        </w:rPr>
        <w:t>2.5</w:t>
      </w:r>
      <w:r>
        <w:rPr>
          <w:rFonts w:ascii="Times New Roman" w:hAnsi="Times New Roman" w:cs="Times New Roman"/>
        </w:rPr>
        <w:t xml:space="preserve">) exposures increased by 10 </w:t>
      </w:r>
      <w:r>
        <w:rPr>
          <w:rFonts w:ascii="Times New Roman" w:hAnsi="Times New Roman" w:cs="Times New Roman"/>
        </w:rPr>
        <w:sym w:font="Symbol" w:char="F06D"/>
      </w:r>
      <w:r>
        <w:rPr>
          <w:rFonts w:ascii="Times New Roman" w:hAnsi="Times New Roman" w:cs="Times New Roman"/>
        </w:rPr>
        <w:t>g/m</w:t>
      </w:r>
      <w:r w:rsidRPr="00A35E18">
        <w:rPr>
          <w:rFonts w:ascii="Times New Roman" w:hAnsi="Times New Roman" w:cs="Times New Roman"/>
          <w:vertAlign w:val="superscript"/>
        </w:rPr>
        <w:t>3</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"/>
          <w:id w:val="-1613510122"/>
          <w:placeholder>
            <w:docPart w:val="90D59EC0309643B092DBEE0BD11BDB03"/>
          </w:placeholder>
        </w:sdtPr>
        <w:sdtEndPr/>
        <w:sdtContent>
          <w:r w:rsidR="00572E88" w:rsidRPr="00572E88">
            <w:rPr>
              <w:rFonts w:ascii="Times New Roman" w:hAnsi="Times New Roman" w:cs="Times New Roman"/>
              <w:color w:val="000000"/>
            </w:rPr>
            <w:t>[112,117]</w:t>
          </w:r>
        </w:sdtContent>
      </w:sdt>
      <w:r>
        <w:rPr>
          <w:rFonts w:ascii="Times New Roman" w:hAnsi="Times New Roman" w:cs="Times New Roman"/>
        </w:rPr>
        <w:t xml:space="preserve">. However, they also concluded that the causal association between air pollution and COPD lacked sufficient evidence due to the presence of confounding and biases inherent in observational studies </w:t>
      </w:r>
      <w:sdt>
        <w:sdtPr>
          <w:rPr>
            <w:rFonts w:ascii="Times New Roman" w:hAnsi="Times New Roman" w:cs="Times New Roman"/>
            <w:color w:val="000000"/>
          </w:rPr>
          <w:tag w:val="MENDELEY_CITATION_v3_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"/>
          <w:id w:val="1984891286"/>
          <w:placeholder>
            <w:docPart w:val="90D59EC0309643B092DBEE0BD11BDB03"/>
          </w:placeholder>
        </w:sdtPr>
        <w:sdtEndPr/>
        <w:sdtContent>
          <w:r w:rsidR="00572E88" w:rsidRPr="00572E88">
            <w:rPr>
              <w:rFonts w:ascii="Times New Roman" w:hAnsi="Times New Roman" w:cs="Times New Roman"/>
              <w:color w:val="000000"/>
            </w:rPr>
            <w:t>[112]</w:t>
          </w:r>
        </w:sdtContent>
      </w:sdt>
      <w:r>
        <w:rPr>
          <w:rFonts w:ascii="Times New Roman" w:hAnsi="Times New Roman" w:cs="Times New Roman"/>
        </w:rPr>
        <w:t>. Thus, air quality, both indoor and outdoor, represents areas of further COPD research.</w:t>
      </w:r>
    </w:p>
    <w:p w14:paraId="3991B1C5" w14:textId="77777777" w:rsidR="00203A81" w:rsidRDefault="00203A81" w:rsidP="000D714C">
      <w:pPr>
        <w:spacing w:after="0" w:line="480" w:lineRule="auto"/>
        <w:rPr>
          <w:rFonts w:ascii="Times New Roman" w:hAnsi="Times New Roman" w:cs="Times New Roman"/>
        </w:rPr>
      </w:pPr>
    </w:p>
    <w:p w14:paraId="787F36AE" w14:textId="77777777" w:rsidR="00D47413" w:rsidRPr="007142D9" w:rsidRDefault="00D47413" w:rsidP="000D714C">
      <w:pPr>
        <w:pStyle w:val="Heading6"/>
        <w:spacing w:before="0" w:line="480" w:lineRule="auto"/>
      </w:pPr>
      <w:bookmarkStart w:id="40" w:name="_Toc200096962"/>
      <w:r>
        <w:t>Respiratory Infections</w:t>
      </w:r>
      <w:bookmarkEnd w:id="40"/>
    </w:p>
    <w:p w14:paraId="08A9AF82" w14:textId="77777777" w:rsidR="00203A81" w:rsidRDefault="00DA766D" w:rsidP="000D714C">
      <w:pPr>
        <w:spacing w:after="0" w:line="480" w:lineRule="auto"/>
        <w:ind w:firstLine="720"/>
        <w:rPr>
          <w:rFonts w:ascii="Times New Roman" w:hAnsi="Times New Roman" w:cs="Times New Roman"/>
          <w:color w:val="000000"/>
        </w:rPr>
      </w:pPr>
      <w:r>
        <w:rPr>
          <w:rFonts w:ascii="Times New Roman" w:hAnsi="Times New Roman" w:cs="Times New Roman"/>
        </w:rPr>
        <w:t xml:space="preserve">Serious childhood respiratory infections increase the odds of COPD development. In a recent meta-analysis, the odds of COPD development are 2.2 times higher in those who experience serious childhood respiratory illnesses like pneumonia or bronchitis than individuals with no serious childhood respiratory illness </w:t>
      </w:r>
      <w:sdt>
        <w:sdtPr>
          <w:rPr>
            <w:rFonts w:ascii="Times New Roman" w:hAnsi="Times New Roman" w:cs="Times New Roman"/>
            <w:color w:val="000000"/>
          </w:rPr>
          <w:tag w:val="MENDELEY_CITATION_v3_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"/>
          <w:id w:val="278541349"/>
          <w:placeholder>
            <w:docPart w:val="C6CEE3CB60B94E859A6DC5E3B1C4067D"/>
          </w:placeholder>
        </w:sdtPr>
        <w:sdtEndPr/>
        <w:sdtContent>
          <w:r w:rsidR="00572E88" w:rsidRPr="00572E88">
            <w:rPr>
              <w:rFonts w:ascii="Times New Roman" w:hAnsi="Times New Roman" w:cs="Times New Roman"/>
              <w:color w:val="000000"/>
            </w:rPr>
            <w:t>[86]</w:t>
          </w:r>
        </w:sdtContent>
      </w:sdt>
      <w:r>
        <w:rPr>
          <w:rFonts w:ascii="Times New Roman" w:hAnsi="Times New Roman" w:cs="Times New Roman"/>
        </w:rPr>
        <w:t xml:space="preserve">. Although the mechanism for this association is unknown, Duan et al provide two possible hypotheses </w:t>
      </w:r>
      <w:sdt>
        <w:sdtPr>
          <w:rPr>
            <w:rFonts w:ascii="Times New Roman" w:hAnsi="Times New Roman" w:cs="Times New Roman"/>
            <w:color w:val="000000"/>
          </w:rPr>
          <w:tag w:val="MENDELEY_CITATION_v3_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"/>
          <w:id w:val="-1159686034"/>
          <w:placeholder>
            <w:docPart w:val="C6CEE3CB60B94E859A6DC5E3B1C4067D"/>
          </w:placeholder>
        </w:sdtPr>
        <w:sdtEndPr/>
        <w:sdtContent>
          <w:r w:rsidR="00572E88" w:rsidRPr="00572E88">
            <w:rPr>
              <w:rFonts w:ascii="Times New Roman" w:hAnsi="Times New Roman" w:cs="Times New Roman"/>
              <w:color w:val="000000"/>
            </w:rPr>
            <w:t>[86]</w:t>
          </w:r>
        </w:sdtContent>
      </w:sdt>
      <w:r>
        <w:rPr>
          <w:rFonts w:ascii="Times New Roman" w:hAnsi="Times New Roman" w:cs="Times New Roman"/>
        </w:rPr>
        <w:t xml:space="preserve">. First, an inherited lung function abnormality increases both the risk of acute respiratory illness and COPD </w:t>
      </w:r>
      <w:sdt>
        <w:sdtPr>
          <w:rPr>
            <w:rFonts w:ascii="Times New Roman" w:hAnsi="Times New Roman" w:cs="Times New Roman"/>
            <w:color w:val="000000"/>
          </w:rPr>
          <w:tag w:val="MENDELEY_CITATION_v3_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"/>
          <w:id w:val="103697281"/>
          <w:placeholder>
            <w:docPart w:val="C6CEE3CB60B94E859A6DC5E3B1C4067D"/>
          </w:placeholder>
        </w:sdtPr>
        <w:sdtEndPr/>
        <w:sdtContent>
          <w:r w:rsidR="00572E88" w:rsidRPr="00572E88">
            <w:rPr>
              <w:rFonts w:ascii="Times New Roman" w:hAnsi="Times New Roman" w:cs="Times New Roman"/>
              <w:color w:val="000000"/>
            </w:rPr>
            <w:t>[86]</w:t>
          </w:r>
        </w:sdtContent>
      </w:sdt>
      <w:r>
        <w:rPr>
          <w:rFonts w:ascii="Times New Roman" w:hAnsi="Times New Roman" w:cs="Times New Roman"/>
        </w:rPr>
        <w:t xml:space="preserve">. In the second </w:t>
      </w:r>
      <w:r>
        <w:rPr>
          <w:rFonts w:ascii="Times New Roman" w:hAnsi="Times New Roman" w:cs="Times New Roman"/>
        </w:rPr>
        <w:lastRenderedPageBreak/>
        <w:t>hypothesis, COPD develops from inflammation resulting from serious respiratory infections</w:t>
      </w:r>
      <w:r>
        <w:t xml:space="preserve"> </w:t>
      </w:r>
      <w:sdt>
        <w:sdtPr>
          <w:rPr>
            <w:rFonts w:ascii="Times New Roman" w:hAnsi="Times New Roman" w:cs="Times New Roman"/>
            <w:color w:val="000000"/>
          </w:rPr>
          <w:tag w:val="MENDELEY_CITATION_v3_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"/>
          <w:id w:val="-333612605"/>
          <w:placeholder>
            <w:docPart w:val="C6CEE3CB60B94E859A6DC5E3B1C4067D"/>
          </w:placeholder>
        </w:sdtPr>
        <w:sdtEndPr/>
        <w:sdtContent>
          <w:r w:rsidR="00572E88" w:rsidRPr="00572E88">
            <w:rPr>
              <w:rFonts w:ascii="Times New Roman" w:hAnsi="Times New Roman" w:cs="Times New Roman"/>
              <w:color w:val="000000"/>
            </w:rPr>
            <w:t>[86]</w:t>
          </w:r>
        </w:sdtContent>
      </w:sdt>
      <w:r>
        <w:rPr>
          <w:rFonts w:ascii="Times New Roman" w:hAnsi="Times New Roman" w:cs="Times New Roman"/>
        </w:rPr>
        <w:t xml:space="preserve">. In adulthood, respiratory illnesses also increase the risk of exacerbations in those with COPD. Estimates of exacerbations attributed to either viral or bacterial respiratory infections can be as high as 80% </w:t>
      </w:r>
      <w:sdt>
        <w:sdtPr>
          <w:rPr>
            <w:rFonts w:ascii="Times New Roman" w:hAnsi="Times New Roman" w:cs="Times New Roman"/>
            <w:color w:val="000000"/>
          </w:rPr>
          <w:tag w:val="MENDELEY_CITATION_v3_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"/>
          <w:id w:val="2084872645"/>
          <w:placeholder>
            <w:docPart w:val="C6CEE3CB60B94E859A6DC5E3B1C4067D"/>
          </w:placeholder>
        </w:sdtPr>
        <w:sdtEndPr/>
        <w:sdtContent>
          <w:r w:rsidR="00572E88" w:rsidRPr="00572E88">
            <w:rPr>
              <w:rFonts w:ascii="Times New Roman" w:hAnsi="Times New Roman" w:cs="Times New Roman"/>
              <w:color w:val="000000"/>
            </w:rPr>
            <w:t>[119]</w:t>
          </w:r>
        </w:sdtContent>
      </w:sdt>
      <w:r>
        <w:rPr>
          <w:rFonts w:ascii="Times New Roman" w:hAnsi="Times New Roman" w:cs="Times New Roman"/>
          <w:color w:val="000000"/>
        </w:rPr>
        <w:t xml:space="preserve">. More conservative estimates suggest that viral infections account for approximately 30% of exacerbations while bacterial infections account for 5-10% </w:t>
      </w:r>
      <w:sdt>
        <w:sdtPr>
          <w:rPr>
            <w:rFonts w:ascii="Times New Roman" w:hAnsi="Times New Roman" w:cs="Times New Roman"/>
            <w:color w:val="000000"/>
          </w:rPr>
          <w:tag w:val="MENDELEY_CITATION_v3_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"/>
          <w:id w:val="1711768293"/>
          <w:placeholder>
            <w:docPart w:val="05731AE2CBE44BCA9A8549F67D53C9D7"/>
          </w:placeholder>
        </w:sdtPr>
        <w:sdtEndPr/>
        <w:sdtContent>
          <w:r w:rsidR="00572E88" w:rsidRPr="00572E88">
            <w:rPr>
              <w:rFonts w:ascii="Times New Roman" w:hAnsi="Times New Roman" w:cs="Times New Roman"/>
              <w:color w:val="000000"/>
            </w:rPr>
            <w:t>[120]</w:t>
          </w:r>
        </w:sdtContent>
      </w:sdt>
      <w:r>
        <w:rPr>
          <w:rFonts w:ascii="Times New Roman" w:hAnsi="Times New Roman" w:cs="Times New Roman"/>
          <w:color w:val="000000"/>
        </w:rPr>
        <w:t>.</w:t>
      </w:r>
    </w:p>
    <w:p w14:paraId="205E195F" w14:textId="1B231232" w:rsidR="00DA766D" w:rsidRPr="007142D9" w:rsidRDefault="00DA766D" w:rsidP="000D714C">
      <w:pPr>
        <w:spacing w:after="0" w:line="480" w:lineRule="auto"/>
        <w:rPr>
          <w:rFonts w:ascii="Times New Roman" w:hAnsi="Times New Roman" w:cs="Times New Roman"/>
          <w:color w:val="000000"/>
        </w:rPr>
      </w:pPr>
    </w:p>
    <w:p w14:paraId="14835369" w14:textId="77777777" w:rsidR="00D47413" w:rsidRDefault="00D47413" w:rsidP="000D714C">
      <w:pPr>
        <w:pStyle w:val="Heading6"/>
        <w:spacing w:before="0" w:line="480" w:lineRule="auto"/>
      </w:pPr>
      <w:bookmarkStart w:id="41" w:name="_Toc200096963"/>
      <w:r>
        <w:t>Comorbidities</w:t>
      </w:r>
      <w:bookmarkEnd w:id="41"/>
    </w:p>
    <w:p w14:paraId="1CDB8F4A" w14:textId="7B9A3AC8" w:rsidR="00DA766D" w:rsidRDefault="00DA766D" w:rsidP="000D714C">
      <w:pPr>
        <w:spacing w:after="0" w:line="480" w:lineRule="auto"/>
        <w:ind w:firstLine="720"/>
        <w:rPr>
          <w:rFonts w:ascii="Times New Roman" w:hAnsi="Times New Roman" w:cs="Times New Roman"/>
          <w:color w:val="000000"/>
        </w:rPr>
      </w:pPr>
      <w:r w:rsidRPr="009640FB">
        <w:rPr>
          <w:rFonts w:ascii="Times New Roman" w:hAnsi="Times New Roman" w:cs="Times New Roman"/>
        </w:rPr>
        <w:t xml:space="preserve">Co-occurring conditions, or comorbidities, are common among those suffering from COPD, regardless of severity level </w:t>
      </w:r>
      <w:sdt>
        <w:sdtPr>
          <w:rPr>
            <w:color w:val="000000"/>
          </w:rPr>
          <w:tag w:val="MENDELEY_CITATION_v3_eyJjaXRhdGlvbklEIjoiTUVOREVMRVlfQ0lUQVRJT05fYTBhNjhmMjktZDU3Zi00M2ZkLWJhYWUtODkyMDNlNzRlOWQy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
          <w:id w:val="-1132407036"/>
          <w:placeholder>
            <w:docPart w:val="5CDCC5C726994C4FB46955ECF3872851"/>
          </w:placeholder>
        </w:sdtPr>
        <w:sdtEndPr/>
        <w:sdtContent>
          <w:r w:rsidR="00572E88" w:rsidRPr="00572E88">
            <w:rPr>
              <w:rFonts w:ascii="Times New Roman" w:hAnsi="Times New Roman" w:cs="Times New Roman"/>
              <w:color w:val="000000"/>
            </w:rPr>
            <w:t>[24]</w:t>
          </w:r>
        </w:sdtContent>
      </w:sdt>
      <w:r w:rsidRPr="009640FB">
        <w:rPr>
          <w:rFonts w:ascii="Times New Roman" w:hAnsi="Times New Roman" w:cs="Times New Roman"/>
        </w:rPr>
        <w:t xml:space="preserve">. An accurate prevalence of comorbidities is difficult to ascertain due to overlapping risk factors, underdiagnosis of both COPD and comorbidities, and shared clinical characteristics between the disease </w:t>
      </w:r>
      <w:sdt>
        <w:sdtPr>
          <w:rPr>
            <w:color w:val="000000"/>
          </w:rPr>
          <w:tag w:val="MENDELEY_CITATION_v3_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"/>
          <w:id w:val="604302162"/>
          <w:placeholder>
            <w:docPart w:val="A25B3F1ACB874F5EAF59C26519809D57"/>
          </w:placeholder>
        </w:sdtPr>
        <w:sdtEndPr/>
        <w:sdtContent>
          <w:r w:rsidR="00572E88" w:rsidRPr="00572E88">
            <w:rPr>
              <w:rFonts w:ascii="Times New Roman" w:hAnsi="Times New Roman" w:cs="Times New Roman"/>
              <w:color w:val="000000"/>
            </w:rPr>
            <w:t>[121]</w:t>
          </w:r>
        </w:sdtContent>
      </w:sdt>
      <w:r w:rsidRPr="009640FB">
        <w:rPr>
          <w:rFonts w:ascii="Times New Roman" w:hAnsi="Times New Roman" w:cs="Times New Roman"/>
          <w:color w:val="000000"/>
        </w:rPr>
        <w:t xml:space="preserve">. However, the estimated prevalence of at least one comorbid condition is estimated to be around 80% or higher </w:t>
      </w:r>
      <w:sdt>
        <w:sdtPr>
          <w:rPr>
            <w:color w:val="000000"/>
          </w:rPr>
          <w:tag w:val="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"/>
          <w:id w:val="561920342"/>
          <w:placeholder>
            <w:docPart w:val="383A4341EB234820A52FB2B1AAC6A93A"/>
          </w:placeholder>
        </w:sdtPr>
        <w:sdtEndPr/>
        <w:sdtContent>
          <w:r w:rsidR="00572E88" w:rsidRPr="00572E88">
            <w:rPr>
              <w:rFonts w:ascii="Times New Roman" w:hAnsi="Times New Roman" w:cs="Times New Roman"/>
              <w:color w:val="000000"/>
            </w:rPr>
            <w:t>[14,25,121]</w:t>
          </w:r>
        </w:sdtContent>
      </w:sdt>
      <w:r w:rsidRPr="009640FB">
        <w:rPr>
          <w:rFonts w:ascii="Times New Roman" w:hAnsi="Times New Roman" w:cs="Times New Roman"/>
          <w:color w:val="000000"/>
        </w:rPr>
        <w:t xml:space="preserve">. </w:t>
      </w:r>
      <w:r w:rsidRPr="009640FB">
        <w:rPr>
          <w:rFonts w:ascii="Times New Roman" w:hAnsi="Times New Roman" w:cs="Times New Roman"/>
        </w:rPr>
        <w:t xml:space="preserve">In a survey of COPD patients in the United States (US), approximately 46% of women and 48% of men suffered from 6-10 comorbid conditions, and only 15% of women and 24% of men suffered from &lt;6 comorbidities </w:t>
      </w:r>
      <w:sdt>
        <w:sdtPr>
          <w:rPr>
            <w:color w:val="000000"/>
          </w:rPr>
          <w:tag w:val="MENDELEY_CITATION_v3_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"/>
          <w:id w:val="-436517290"/>
          <w:placeholder>
            <w:docPart w:val="5CDCC5C726994C4FB46955ECF3872851"/>
          </w:placeholder>
        </w:sdtPr>
        <w:sdtEndPr/>
        <w:sdtContent>
          <w:r w:rsidR="00572E88" w:rsidRPr="00572E88">
            <w:rPr>
              <w:rFonts w:ascii="Times New Roman" w:hAnsi="Times New Roman" w:cs="Times New Roman"/>
              <w:color w:val="000000"/>
            </w:rPr>
            <w:t>[122]</w:t>
          </w:r>
        </w:sdtContent>
      </w:sdt>
      <w:r w:rsidRPr="009640FB">
        <w:rPr>
          <w:rFonts w:ascii="Times New Roman" w:hAnsi="Times New Roman" w:cs="Times New Roman"/>
        </w:rPr>
        <w:t xml:space="preserve">.  </w:t>
      </w:r>
      <w:r w:rsidRPr="009640FB">
        <w:rPr>
          <w:rFonts w:ascii="Times New Roman" w:hAnsi="Times New Roman" w:cs="Times New Roman"/>
          <w:color w:val="000000"/>
        </w:rPr>
        <w:t xml:space="preserve">The prevalence and types of commodities tend to increase with advancing age </w:t>
      </w:r>
      <w:sdt>
        <w:sdtPr>
          <w:rPr>
            <w:color w:val="000000"/>
          </w:rPr>
          <w:tag w:val="MENDELEY_CITATION_v3_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"/>
          <w:id w:val="-1698386542"/>
          <w:placeholder>
            <w:docPart w:val="5CDCC5C726994C4FB46955ECF3872851"/>
          </w:placeholder>
        </w:sdtPr>
        <w:sdtEndPr/>
        <w:sdtContent>
          <w:r w:rsidR="00572E88" w:rsidRPr="00572E88">
            <w:rPr>
              <w:rFonts w:ascii="Times New Roman" w:hAnsi="Times New Roman" w:cs="Times New Roman"/>
              <w:color w:val="000000"/>
            </w:rPr>
            <w:t>[5]</w:t>
          </w:r>
        </w:sdtContent>
      </w:sdt>
      <w:r w:rsidRPr="009640FB">
        <w:rPr>
          <w:rFonts w:ascii="Times New Roman" w:hAnsi="Times New Roman" w:cs="Times New Roman"/>
          <w:color w:val="000000"/>
        </w:rPr>
        <w:t xml:space="preserve">. The most common types of comorbidities include metabolic disorders like diabetes, cardiovascular diseases including hypertension, cognitive impairment, anxiety, depression, skeletal and muscle dysfunction such as osteoporosis, gastrointestinal diseases, lung cancer, and other respiratory conditions including asthma and pulmonary fibrosis </w:t>
      </w:r>
      <w:sdt>
        <w:sdtPr>
          <w:rPr>
            <w:color w:val="000000"/>
          </w:rPr>
          <w:tag w:val="MENDELEY_CITATION_v3_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"/>
          <w:id w:val="606165571"/>
          <w:placeholder>
            <w:docPart w:val="5CDCC5C726994C4FB46955ECF3872851"/>
          </w:placeholder>
        </w:sdtPr>
        <w:sdtEndPr/>
        <w:sdtContent>
          <w:r w:rsidR="00572E88" w:rsidRPr="00572E88">
            <w:rPr>
              <w:rFonts w:ascii="Times New Roman" w:hAnsi="Times New Roman" w:cs="Times New Roman"/>
              <w:color w:val="000000"/>
            </w:rPr>
            <w:t>[123]</w:t>
          </w:r>
        </w:sdtContent>
      </w:sdt>
      <w:r w:rsidRPr="009640FB">
        <w:rPr>
          <w:rFonts w:ascii="Times New Roman" w:hAnsi="Times New Roman" w:cs="Times New Roman"/>
          <w:color w:val="000000"/>
        </w:rPr>
        <w:t xml:space="preserve">. Although the biological mechanism for comorbidity development is still unclear, leading theories suggest a combination of chronic systemic inflammation, genetic susceptibility, or shared risk factors </w:t>
      </w:r>
      <w:sdt>
        <w:sdtPr>
          <w:rPr>
            <w:color w:val="000000"/>
          </w:rPr>
          <w:tag w:val="MENDELEY_CITATION_v3_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"/>
          <w:id w:val="156437550"/>
          <w:placeholder>
            <w:docPart w:val="5CDCC5C726994C4FB46955ECF3872851"/>
          </w:placeholder>
        </w:sdtPr>
        <w:sdtEndPr/>
        <w:sdtContent>
          <w:r w:rsidR="00572E88" w:rsidRPr="00572E88">
            <w:rPr>
              <w:rFonts w:ascii="Times New Roman" w:hAnsi="Times New Roman" w:cs="Times New Roman"/>
              <w:color w:val="000000"/>
            </w:rPr>
            <w:t>[123]</w:t>
          </w:r>
        </w:sdtContent>
      </w:sdt>
      <w:r w:rsidRPr="009640FB">
        <w:rPr>
          <w:rFonts w:ascii="Times New Roman" w:hAnsi="Times New Roman" w:cs="Times New Roman"/>
          <w:color w:val="000000"/>
        </w:rPr>
        <w:t xml:space="preserve">. The presence of comorbidities has been associated with poor health outcomes in COPD patients regardless of the type of co-occurring condition. Overall, COPD patients with </w:t>
      </w:r>
      <w:r w:rsidRPr="009640FB">
        <w:rPr>
          <w:rFonts w:ascii="Times New Roman" w:hAnsi="Times New Roman" w:cs="Times New Roman"/>
          <w:color w:val="000000"/>
        </w:rPr>
        <w:lastRenderedPageBreak/>
        <w:t xml:space="preserve">comorbid conditions experience lower quality of life, more frequent hospitalizations, and higher mortality risk than those without comorbidities </w:t>
      </w:r>
      <w:sdt>
        <w:sdtPr>
          <w:rPr>
            <w:color w:val="000000"/>
          </w:rPr>
          <w:tag w:val="MENDELEY_CITATION_v3_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"/>
          <w:id w:val="-2067485413"/>
          <w:placeholder>
            <w:docPart w:val="5CDCC5C726994C4FB46955ECF3872851"/>
          </w:placeholder>
        </w:sdtPr>
        <w:sdtEndPr/>
        <w:sdtContent>
          <w:r w:rsidR="00572E88" w:rsidRPr="00572E88">
            <w:rPr>
              <w:rFonts w:ascii="Times New Roman" w:hAnsi="Times New Roman" w:cs="Times New Roman"/>
              <w:color w:val="000000"/>
            </w:rPr>
            <w:t>[121,123]</w:t>
          </w:r>
        </w:sdtContent>
      </w:sdt>
      <w:r w:rsidRPr="009640FB">
        <w:rPr>
          <w:rFonts w:ascii="Times New Roman" w:hAnsi="Times New Roman" w:cs="Times New Roman"/>
          <w:color w:val="000000"/>
        </w:rPr>
        <w:t>.</w:t>
      </w:r>
    </w:p>
    <w:p w14:paraId="09A45169" w14:textId="77777777" w:rsidR="00203A81" w:rsidRPr="00A42873" w:rsidRDefault="00203A81" w:rsidP="000D714C">
      <w:pPr>
        <w:spacing w:after="0" w:line="480" w:lineRule="auto"/>
        <w:rPr>
          <w:rFonts w:ascii="Times New Roman" w:hAnsi="Times New Roman" w:cs="Times New Roman"/>
          <w:color w:val="000000"/>
        </w:rPr>
      </w:pPr>
    </w:p>
    <w:p w14:paraId="622AD7E1" w14:textId="77777777" w:rsidR="00D47413" w:rsidRPr="00094461" w:rsidRDefault="00D47413" w:rsidP="000D714C">
      <w:pPr>
        <w:pStyle w:val="Heading4"/>
        <w:spacing w:before="0" w:after="0" w:line="480" w:lineRule="auto"/>
        <w:rPr>
          <w:szCs w:val="28"/>
        </w:rPr>
      </w:pPr>
      <w:bookmarkStart w:id="42" w:name="_Toc200096964"/>
      <w:r w:rsidRPr="00094461">
        <w:rPr>
          <w:szCs w:val="28"/>
        </w:rPr>
        <w:t>Prevention and Control</w:t>
      </w:r>
      <w:bookmarkEnd w:id="42"/>
    </w:p>
    <w:p w14:paraId="268A9C7F" w14:textId="10D6E928" w:rsidR="00DA766D" w:rsidRPr="004A3C29" w:rsidRDefault="00DA766D" w:rsidP="00575C6A">
      <w:pPr>
        <w:spacing w:after="0" w:line="480" w:lineRule="auto"/>
        <w:ind w:firstLine="720"/>
        <w:rPr>
          <w:rFonts w:ascii="Times New Roman" w:hAnsi="Times New Roman" w:cs="Times New Roman"/>
        </w:rPr>
      </w:pPr>
      <w:r>
        <w:rPr>
          <w:rFonts w:ascii="Times New Roman" w:hAnsi="Times New Roman" w:cs="Times New Roman"/>
        </w:rPr>
        <w:t xml:space="preserve">Prevention and control efforts for COPD are multifaceted reflecting the complex nature of the disease and the variety of risk factors </w:t>
      </w:r>
      <w:sdt>
        <w:sdtPr>
          <w:rPr>
            <w:rFonts w:ascii="Times New Roman" w:hAnsi="Times New Roman" w:cs="Times New Roman"/>
            <w:color w:val="000000"/>
          </w:rPr>
          <w:tag w:val="MENDELEY_CITATION_v3_eyJjaXRhdGlvbklEIjoiTUVOREVMRVlfQ0lUQVRJT05fNmNmNjM5NTEtNTcwMC00M2RlLWJmYjMtMDNlM2EwNWViMWJi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
          <w:id w:val="-320502770"/>
          <w:placeholder>
            <w:docPart w:val="E3CE73266AE8430297795F3E1E8B3974"/>
          </w:placeholder>
        </w:sdtPr>
        <w:sdtEndPr/>
        <w:sdtContent>
          <w:r w:rsidR="00572E88" w:rsidRPr="00572E88">
            <w:rPr>
              <w:rFonts w:ascii="Times New Roman" w:hAnsi="Times New Roman" w:cs="Times New Roman"/>
              <w:color w:val="000000"/>
            </w:rPr>
            <w:t>[24]</w:t>
          </w:r>
        </w:sdtContent>
      </w:sdt>
      <w:r>
        <w:rPr>
          <w:rFonts w:ascii="Times New Roman" w:hAnsi="Times New Roman" w:cs="Times New Roman"/>
        </w:rPr>
        <w:t>. P</w:t>
      </w:r>
      <w:r w:rsidRPr="004A3C29">
        <w:rPr>
          <w:rFonts w:ascii="Times New Roman" w:hAnsi="Times New Roman" w:cs="Times New Roman"/>
        </w:rPr>
        <w:t xml:space="preserve">revention and control efforts should focus on risk factors which are modifiable to prevent both the initiation and progression of the disease. One of the best recognized ways to prevent COPD and its progression is the removal of airway irritants, specifically, smoking cession for current smokers, and the avoidance of occupational related hazards or air pollution where possible </w:t>
      </w:r>
      <w:sdt>
        <w:sdtPr>
          <w:rPr>
            <w:color w:val="000000"/>
          </w:rPr>
          <w:tag w:val="MENDELEY_CITATION_v3_eyJjaXRhdGlvbklEIjoiTUVOREVMRVlfQ0lUQVRJT05fNDJmZTNlOTMtOTIzMS00OTdkLTg1YTAtNzViM2Q3ZDNjNGMw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
          <w:id w:val="1618486433"/>
          <w:placeholder>
            <w:docPart w:val="A19BD0686721482197C7FB5327C12566"/>
          </w:placeholder>
        </w:sdtPr>
        <w:sdtEndPr/>
        <w:sdtContent>
          <w:r w:rsidR="00572E88" w:rsidRPr="00572E88">
            <w:rPr>
              <w:rFonts w:ascii="Times New Roman" w:hAnsi="Times New Roman" w:cs="Times New Roman"/>
              <w:color w:val="000000"/>
            </w:rPr>
            <w:t>[24]</w:t>
          </w:r>
        </w:sdtContent>
      </w:sdt>
      <w:r w:rsidRPr="004A3C29">
        <w:rPr>
          <w:rFonts w:ascii="Times New Roman" w:hAnsi="Times New Roman" w:cs="Times New Roman"/>
        </w:rPr>
        <w:t xml:space="preserve">. Additionally, ensuring vaccination against respiratory illnesses could help prevent severe disease or exacerbations in those with COPD </w:t>
      </w:r>
      <w:sdt>
        <w:sdtPr>
          <w:rPr>
            <w:color w:val="000000"/>
          </w:rPr>
          <w:tag w:val="MENDELEY_CITATION_v3_eyJjaXRhdGlvbklEIjoiTUVOREVMRVlfQ0lUQVRJT05fODI5OWFkNzAtOGI0Mi00ZmM3LWJlMzMtZjFkZDQ4OTVmNTNj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
          <w:id w:val="-1878385064"/>
          <w:placeholder>
            <w:docPart w:val="A19BD0686721482197C7FB5327C12566"/>
          </w:placeholder>
        </w:sdtPr>
        <w:sdtEndPr/>
        <w:sdtContent>
          <w:r w:rsidR="00572E88" w:rsidRPr="00572E88">
            <w:rPr>
              <w:rFonts w:ascii="Times New Roman" w:hAnsi="Times New Roman" w:cs="Times New Roman"/>
              <w:color w:val="000000"/>
            </w:rPr>
            <w:t>[24]</w:t>
          </w:r>
        </w:sdtContent>
      </w:sdt>
      <w:r w:rsidRPr="004A3C29">
        <w:rPr>
          <w:rFonts w:ascii="Times New Roman" w:hAnsi="Times New Roman" w:cs="Times New Roman"/>
        </w:rPr>
        <w:t xml:space="preserve">. The influenza and pneumococcal vaccinations are specifically recommended by GOLD report, but they also suggest following country and physician guidelines for other respiratory illnesses including respiratory syncytial virus (RSV) and COVID-19 </w:t>
      </w:r>
      <w:sdt>
        <w:sdtPr>
          <w:rPr>
            <w:color w:val="000000"/>
          </w:rPr>
          <w:tag w:val="MENDELEY_CITATION_v3_eyJjaXRhdGlvbklEIjoiTUVOREVMRVlfQ0lUQVRJT05fODBhOWEwOWYtZWNhNy00YWQ1LThkOTUtYzBmY2Q3ZGY1ZWVk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
          <w:id w:val="1438095252"/>
          <w:placeholder>
            <w:docPart w:val="A19BD0686721482197C7FB5327C12566"/>
          </w:placeholder>
        </w:sdtPr>
        <w:sdtEndPr/>
        <w:sdtContent>
          <w:r w:rsidR="00572E88" w:rsidRPr="00572E88">
            <w:rPr>
              <w:rFonts w:ascii="Times New Roman" w:hAnsi="Times New Roman" w:cs="Times New Roman"/>
              <w:color w:val="000000"/>
            </w:rPr>
            <w:t>[24]</w:t>
          </w:r>
        </w:sdtContent>
      </w:sdt>
      <w:r w:rsidRPr="004A3C29">
        <w:rPr>
          <w:rFonts w:ascii="Times New Roman" w:hAnsi="Times New Roman" w:cs="Times New Roman"/>
        </w:rPr>
        <w:t xml:space="preserve">. Other control activities involve physical activity and pulmonary rehabilitation as needed. Both can aid in improving lung function and preventing further decline </w:t>
      </w:r>
      <w:sdt>
        <w:sdtPr>
          <w:rPr>
            <w:color w:val="000000"/>
          </w:rPr>
          <w:tag w:val="MENDELEY_CITATION_v3_eyJjaXRhdGlvbklEIjoiTUVOREVMRVlfQ0lUQVRJT05fYTE5NDUxNjUtMzMyOS00MTM5LWI2OTYtMGZjYzg3ZWY1NmM4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
          <w:id w:val="1436787763"/>
          <w:placeholder>
            <w:docPart w:val="A19BD0686721482197C7FB5327C12566"/>
          </w:placeholder>
        </w:sdtPr>
        <w:sdtEndPr/>
        <w:sdtContent>
          <w:r w:rsidR="00572E88" w:rsidRPr="00572E88">
            <w:rPr>
              <w:rFonts w:ascii="Times New Roman" w:hAnsi="Times New Roman" w:cs="Times New Roman"/>
              <w:color w:val="000000"/>
            </w:rPr>
            <w:t>[24]</w:t>
          </w:r>
        </w:sdtContent>
      </w:sdt>
      <w:r w:rsidRPr="004A3C29">
        <w:rPr>
          <w:rFonts w:ascii="Times New Roman" w:hAnsi="Times New Roman" w:cs="Times New Roman"/>
        </w:rPr>
        <w:t>.</w:t>
      </w:r>
    </w:p>
    <w:p w14:paraId="38AC7A16" w14:textId="4BD46ADE" w:rsidR="00ED6CD9" w:rsidRDefault="00ED6CD9" w:rsidP="000D714C">
      <w:pPr>
        <w:spacing w:after="0"/>
      </w:pPr>
      <w:r>
        <w:br w:type="page"/>
      </w:r>
    </w:p>
    <w:p w14:paraId="2F14AE6D" w14:textId="77777777" w:rsidR="00ED6CD9" w:rsidRPr="00ED6CD9" w:rsidRDefault="00ED6CD9" w:rsidP="00ED6CD9"/>
    <w:p w14:paraId="39901D27" w14:textId="02DA579C" w:rsidR="00360192" w:rsidRPr="00360192" w:rsidRDefault="00360192" w:rsidP="00360192">
      <w:pPr>
        <w:pStyle w:val="Heading1"/>
        <w:jc w:val="center"/>
      </w:pPr>
      <w:bookmarkStart w:id="43" w:name="_Toc199884034"/>
      <w:bookmarkStart w:id="44" w:name="_Toc199884751"/>
      <w:bookmarkStart w:id="45" w:name="_Toc200096965"/>
      <w:bookmarkEnd w:id="43"/>
      <w:bookmarkEnd w:id="44"/>
      <w:bookmarkEnd w:id="45"/>
    </w:p>
    <w:p w14:paraId="465074D7" w14:textId="6B6C6CA0" w:rsidR="00471DA5" w:rsidRPr="00360192" w:rsidRDefault="00471DA5" w:rsidP="00360192">
      <w:pPr>
        <w:pStyle w:val="Heading2"/>
      </w:pPr>
      <w:bookmarkStart w:id="46" w:name="_Toc199884035"/>
      <w:bookmarkStart w:id="47" w:name="_Toc199884752"/>
      <w:bookmarkStart w:id="48" w:name="_Toc200096966"/>
      <w:r w:rsidRPr="00360192">
        <w:t>Spatial patterns and sociodemographic predictors of chronic obstructive pulmonary disease in Florida</w:t>
      </w:r>
      <w:bookmarkEnd w:id="46"/>
      <w:bookmarkEnd w:id="47"/>
      <w:bookmarkEnd w:id="48"/>
    </w:p>
    <w:p w14:paraId="4A1DA5A0" w14:textId="77777777" w:rsidR="00471DA5" w:rsidRDefault="00471DA5" w:rsidP="00471DA5"/>
    <w:p w14:paraId="1DE98F42" w14:textId="77777777" w:rsidR="00471DA5" w:rsidRPr="00127EDF" w:rsidRDefault="00471DA5" w:rsidP="00471DA5">
      <w:pPr>
        <w:rPr>
          <w:rFonts w:ascii="Times New Roman" w:hAnsi="Times New Roman" w:cs="Times New Roman"/>
          <w:b/>
          <w:bCs/>
          <w:sz w:val="28"/>
          <w:szCs w:val="28"/>
        </w:rPr>
      </w:pPr>
    </w:p>
    <w:p w14:paraId="21237A6F" w14:textId="6E5BDD06" w:rsidR="00471DA5" w:rsidRDefault="00471DA5" w:rsidP="00A53238">
      <w:pPr>
        <w:jc w:val="center"/>
        <w:rPr>
          <w:rFonts w:ascii="Times New Roman" w:hAnsi="Times New Roman" w:cs="Times New Roman"/>
        </w:rPr>
      </w:pPr>
      <w:r w:rsidRPr="00127EDF">
        <w:rPr>
          <w:rFonts w:ascii="Times New Roman" w:hAnsi="Times New Roman" w:cs="Times New Roman"/>
        </w:rPr>
        <w:t>Sara C Howard</w:t>
      </w:r>
      <w:r w:rsidRPr="00127EDF">
        <w:rPr>
          <w:rFonts w:ascii="Times New Roman" w:hAnsi="Times New Roman" w:cs="Times New Roman"/>
          <w:vertAlign w:val="superscript"/>
        </w:rPr>
        <w:t>1</w:t>
      </w:r>
      <w:r w:rsidRPr="00127EDF">
        <w:rPr>
          <w:rFonts w:ascii="Times New Roman" w:hAnsi="Times New Roman" w:cs="Times New Roman"/>
        </w:rPr>
        <w:t>, Agricola Odoi</w:t>
      </w:r>
      <w:proofErr w:type="gramStart"/>
      <w:r w:rsidRPr="00127EDF">
        <w:rPr>
          <w:rFonts w:ascii="Times New Roman" w:hAnsi="Times New Roman" w:cs="Times New Roman"/>
          <w:vertAlign w:val="superscript"/>
        </w:rPr>
        <w:t>1</w:t>
      </w:r>
      <w:r>
        <w:rPr>
          <w:rFonts w:ascii="Times New Roman" w:hAnsi="Times New Roman" w:cs="Times New Roman"/>
          <w:vertAlign w:val="superscript"/>
        </w:rPr>
        <w:t>,*</w:t>
      </w:r>
      <w:proofErr w:type="gramEnd"/>
    </w:p>
    <w:p w14:paraId="691CB8A8" w14:textId="77777777" w:rsidR="00471DA5" w:rsidRDefault="00471DA5" w:rsidP="00471DA5">
      <w:pPr>
        <w:rPr>
          <w:rFonts w:ascii="Times New Roman" w:hAnsi="Times New Roman" w:cs="Times New Roman"/>
        </w:rPr>
      </w:pPr>
    </w:p>
    <w:p w14:paraId="426B5C27" w14:textId="77777777" w:rsidR="00355C2E" w:rsidRPr="00127EDF" w:rsidRDefault="00355C2E" w:rsidP="00471DA5">
      <w:pPr>
        <w:rPr>
          <w:rFonts w:ascii="Times New Roman" w:hAnsi="Times New Roman" w:cs="Times New Roman"/>
        </w:rPr>
      </w:pPr>
    </w:p>
    <w:p w14:paraId="0DE4F80D" w14:textId="77777777" w:rsidR="00471DA5" w:rsidRDefault="00471DA5" w:rsidP="00471DA5">
      <w:pPr>
        <w:rPr>
          <w:rFonts w:ascii="Times New Roman" w:hAnsi="Times New Roman" w:cs="Times New Roman"/>
        </w:rPr>
      </w:pPr>
      <w:r w:rsidRPr="00127EDF">
        <w:rPr>
          <w:rFonts w:ascii="Times New Roman" w:hAnsi="Times New Roman" w:cs="Times New Roman"/>
          <w:vertAlign w:val="superscript"/>
        </w:rPr>
        <w:t>1</w:t>
      </w:r>
      <w:r>
        <w:rPr>
          <w:rFonts w:ascii="Times New Roman" w:hAnsi="Times New Roman" w:cs="Times New Roman"/>
        </w:rPr>
        <w:t>Department of Biomedical and Diagnostic Sciences, University of Tennessee, Knoxville, TN, United States</w:t>
      </w:r>
    </w:p>
    <w:p w14:paraId="240CB73B" w14:textId="77777777" w:rsidR="00471DA5" w:rsidRDefault="00471DA5" w:rsidP="00471DA5">
      <w:pPr>
        <w:rPr>
          <w:rFonts w:ascii="Times New Roman" w:hAnsi="Times New Roman" w:cs="Times New Roman"/>
        </w:rPr>
      </w:pPr>
    </w:p>
    <w:p w14:paraId="16DE283B" w14:textId="77777777" w:rsidR="00471DA5" w:rsidRDefault="00471DA5" w:rsidP="00471DA5">
      <w:pPr>
        <w:rPr>
          <w:rFonts w:ascii="Times New Roman" w:hAnsi="Times New Roman" w:cs="Times New Roman"/>
        </w:rPr>
      </w:pPr>
    </w:p>
    <w:p w14:paraId="63BA1215" w14:textId="30B229AD" w:rsidR="00471DA5" w:rsidRDefault="004B1323" w:rsidP="00471DA5">
      <w:pPr>
        <w:rPr>
          <w:rFonts w:ascii="Times New Roman" w:hAnsi="Times New Roman" w:cs="Times New Roman"/>
        </w:rPr>
      </w:pPr>
      <w:r>
        <w:rPr>
          <w:rFonts w:ascii="Times New Roman" w:hAnsi="Times New Roman" w:cs="Times New Roman"/>
        </w:rPr>
        <w:t>A version of this chapter has been published in PeerJ.</w:t>
      </w:r>
    </w:p>
    <w:p w14:paraId="7D4B1C1D" w14:textId="77777777" w:rsidR="00355C2E" w:rsidRDefault="00355C2E" w:rsidP="00471DA5">
      <w:pPr>
        <w:rPr>
          <w:rFonts w:ascii="Times New Roman" w:hAnsi="Times New Roman" w:cs="Times New Roman"/>
          <w:b/>
          <w:bCs/>
        </w:rPr>
      </w:pPr>
    </w:p>
    <w:p w14:paraId="7454A7BC" w14:textId="5A795F55" w:rsidR="00471DA5" w:rsidRPr="004B1323" w:rsidRDefault="004B1323" w:rsidP="00471DA5">
      <w:pPr>
        <w:rPr>
          <w:rFonts w:ascii="Times New Roman" w:hAnsi="Times New Roman" w:cs="Times New Roman"/>
          <w:b/>
          <w:bCs/>
        </w:rPr>
      </w:pPr>
      <w:r w:rsidRPr="004B1323">
        <w:rPr>
          <w:rFonts w:ascii="Times New Roman" w:hAnsi="Times New Roman" w:cs="Times New Roman"/>
          <w:b/>
          <w:bCs/>
        </w:rPr>
        <w:t>Citation:</w:t>
      </w:r>
    </w:p>
    <w:p w14:paraId="6EB3DE04" w14:textId="594E1219" w:rsidR="00471DA5" w:rsidRDefault="004B1323" w:rsidP="00471DA5">
      <w:pPr>
        <w:rPr>
          <w:rFonts w:ascii="Times New Roman" w:hAnsi="Times New Roman" w:cs="Times New Roman"/>
        </w:rPr>
      </w:pPr>
      <w:r w:rsidRPr="004B1323">
        <w:rPr>
          <w:rFonts w:ascii="Times New Roman" w:hAnsi="Times New Roman" w:cs="Times New Roman"/>
        </w:rPr>
        <w:t>Howard S, Odoi A. Spatial patterns and sociodemographic predictors of chronic obstructive pulmonary disease in Florida. PeerJ. 2024 Aug 2;</w:t>
      </w:r>
      <w:proofErr w:type="gramStart"/>
      <w:r w:rsidRPr="004B1323">
        <w:rPr>
          <w:rFonts w:ascii="Times New Roman" w:hAnsi="Times New Roman" w:cs="Times New Roman"/>
        </w:rPr>
        <w:t>12:e</w:t>
      </w:r>
      <w:proofErr w:type="gramEnd"/>
      <w:r w:rsidRPr="004B1323">
        <w:rPr>
          <w:rFonts w:ascii="Times New Roman" w:hAnsi="Times New Roman" w:cs="Times New Roman"/>
        </w:rPr>
        <w:t xml:space="preserve">17771. </w:t>
      </w:r>
      <w:proofErr w:type="spellStart"/>
      <w:r w:rsidRPr="004B1323">
        <w:rPr>
          <w:rFonts w:ascii="Times New Roman" w:hAnsi="Times New Roman" w:cs="Times New Roman"/>
        </w:rPr>
        <w:t>doi</w:t>
      </w:r>
      <w:proofErr w:type="spellEnd"/>
      <w:r w:rsidRPr="004B1323">
        <w:rPr>
          <w:rFonts w:ascii="Times New Roman" w:hAnsi="Times New Roman" w:cs="Times New Roman"/>
        </w:rPr>
        <w:t>: 10.7717/peerj.17771.</w:t>
      </w:r>
    </w:p>
    <w:p w14:paraId="05593013" w14:textId="77777777" w:rsidR="00471DA5" w:rsidRDefault="00471DA5" w:rsidP="00471DA5">
      <w:pPr>
        <w:rPr>
          <w:rFonts w:ascii="Times New Roman" w:hAnsi="Times New Roman" w:cs="Times New Roman"/>
        </w:rPr>
      </w:pPr>
    </w:p>
    <w:p w14:paraId="4995FCAD" w14:textId="37E13DFB" w:rsidR="00471DA5" w:rsidRDefault="0024530B" w:rsidP="00471DA5">
      <w:pPr>
        <w:rPr>
          <w:rFonts w:ascii="Times New Roman" w:hAnsi="Times New Roman" w:cs="Times New Roman"/>
        </w:rPr>
      </w:pPr>
      <w:r>
        <w:rPr>
          <w:rFonts w:ascii="Times New Roman" w:hAnsi="Times New Roman" w:cs="Times New Roman"/>
        </w:rPr>
        <w:t>My contribution to this research include</w:t>
      </w:r>
      <w:r w:rsidR="00657A07">
        <w:rPr>
          <w:rFonts w:ascii="Times New Roman" w:hAnsi="Times New Roman" w:cs="Times New Roman"/>
        </w:rPr>
        <w:t>s</w:t>
      </w:r>
      <w:r>
        <w:rPr>
          <w:rFonts w:ascii="Times New Roman" w:hAnsi="Times New Roman" w:cs="Times New Roman"/>
        </w:rPr>
        <w:t xml:space="preserve"> conceptual design, data analysis, and manuscript writing. </w:t>
      </w:r>
    </w:p>
    <w:p w14:paraId="63C06EC0" w14:textId="2B3D7D3C" w:rsidR="00471DA5" w:rsidRPr="00E6499A" w:rsidRDefault="00471DA5" w:rsidP="00471DA5">
      <w:r>
        <w:rPr>
          <w:rFonts w:ascii="Times New Roman" w:hAnsi="Times New Roman" w:cs="Times New Roman"/>
        </w:rPr>
        <w:br w:type="page"/>
      </w:r>
    </w:p>
    <w:p w14:paraId="41A2333F" w14:textId="5AE6B51A" w:rsidR="00A40EB0" w:rsidRPr="00360192" w:rsidRDefault="00A40EB0" w:rsidP="00575C6A">
      <w:pPr>
        <w:pStyle w:val="Heading3"/>
        <w:spacing w:before="0" w:after="0" w:line="480" w:lineRule="auto"/>
      </w:pPr>
      <w:bookmarkStart w:id="49" w:name="_Toc199884036"/>
      <w:bookmarkStart w:id="50" w:name="_Toc199884753"/>
      <w:bookmarkStart w:id="51" w:name="_Toc200096967"/>
      <w:r w:rsidRPr="00360192">
        <w:lastRenderedPageBreak/>
        <w:t>Abstract</w:t>
      </w:r>
      <w:bookmarkEnd w:id="49"/>
      <w:bookmarkEnd w:id="50"/>
      <w:bookmarkEnd w:id="51"/>
    </w:p>
    <w:p w14:paraId="155E6855" w14:textId="5EF1E45C" w:rsidR="00A40EB0" w:rsidRPr="00A40EB0" w:rsidRDefault="00A40EB0" w:rsidP="00575C6A">
      <w:pPr>
        <w:spacing w:after="0" w:line="480" w:lineRule="auto"/>
        <w:rPr>
          <w:rFonts w:ascii="Times New Roman" w:hAnsi="Times New Roman" w:cs="Times New Roman"/>
        </w:rPr>
      </w:pPr>
      <w:r w:rsidRPr="00A40EB0">
        <w:rPr>
          <w:rFonts w:ascii="Times New Roman" w:hAnsi="Times New Roman" w:cs="Times New Roman"/>
          <w:b/>
          <w:bCs/>
        </w:rPr>
        <w:t xml:space="preserve">Background. </w:t>
      </w:r>
      <w:r w:rsidRPr="00A40EB0">
        <w:rPr>
          <w:rFonts w:ascii="Times New Roman" w:hAnsi="Times New Roman" w:cs="Times New Roman"/>
        </w:rPr>
        <w:t>Chronic Obstructive Pulmonary Disease (COPD) is a chronic, inflammatory respiratory disease that obstructs airflow and decreases lung function and is a leading cause death globally. In the United States (US), the prevalence among adults is 6.2%, but increases with age to 12.8% among those 65 years or older. Florida has one of the largest populations of older adults in the US, accounting for 4.5 million adults 65 years or older. This makes Florida an ideal geographic location for investigating COPD as disease prevalence increases with age. Understanding the geographic disparities in COPD and potential associations between its disparities and environmental factors as well as population characteristics is useful in guiding intervention strategies. Thus, the objectives of this study are to investigate county-level geographic disparities of COPD prevalence in Florida and identify county-level socio-demographic predictors of COPD prevalence.</w:t>
      </w:r>
    </w:p>
    <w:p w14:paraId="61D54670" w14:textId="77777777" w:rsidR="00A40EB0" w:rsidRPr="00A40EB0" w:rsidRDefault="00A40EB0" w:rsidP="00575C6A">
      <w:pPr>
        <w:spacing w:after="0" w:line="480" w:lineRule="auto"/>
        <w:rPr>
          <w:rFonts w:ascii="Times New Roman" w:hAnsi="Times New Roman" w:cs="Times New Roman"/>
        </w:rPr>
      </w:pPr>
      <w:r w:rsidRPr="00A40EB0">
        <w:rPr>
          <w:rFonts w:ascii="Times New Roman" w:hAnsi="Times New Roman" w:cs="Times New Roman"/>
          <w:b/>
          <w:bCs/>
        </w:rPr>
        <w:t xml:space="preserve">Methods. </w:t>
      </w:r>
      <w:r w:rsidRPr="00A40EB0">
        <w:rPr>
          <w:rFonts w:ascii="Times New Roman" w:hAnsi="Times New Roman" w:cs="Times New Roman"/>
        </w:rPr>
        <w:t xml:space="preserve">This ecological study was performed in Florida using data obtained from the US Census Bureau, Florida Health CHARTS, and County Health Rankings and Roadmaps. County-level COPD prevalence for 2019 was age-standardized using the direct method and 2020 US population as the standard population. High-prevalence spatial clusters of COPD were identified using Tango’s flexible spatial scan statistics. Predictors of county-level COPD prevalence were investigated using multivariable ordinary least squares model built using backwards elimination approach. Multicollinearity of regression coefficients was assessed using variance inflation factor. Shapiro-Wilks, Breusch Pagan, and Robust Lagrange Multiplier tests were used to assess for normality, homoskedasticity, and spatial autocorrelation of model residuals, respectively. </w:t>
      </w:r>
    </w:p>
    <w:p w14:paraId="766A537F" w14:textId="1B4C0F98" w:rsidR="00A40EB0" w:rsidRPr="00A40EB0" w:rsidRDefault="00A40EB0" w:rsidP="00575C6A">
      <w:pPr>
        <w:spacing w:after="0" w:line="480" w:lineRule="auto"/>
        <w:rPr>
          <w:rFonts w:ascii="Times New Roman" w:hAnsi="Times New Roman" w:cs="Times New Roman"/>
        </w:rPr>
      </w:pPr>
      <w:r w:rsidRPr="00A40EB0">
        <w:rPr>
          <w:rFonts w:ascii="Times New Roman" w:hAnsi="Times New Roman" w:cs="Times New Roman"/>
          <w:b/>
          <w:bCs/>
        </w:rPr>
        <w:t xml:space="preserve">Results. </w:t>
      </w:r>
      <w:r w:rsidRPr="00A40EB0">
        <w:rPr>
          <w:rFonts w:ascii="Times New Roman" w:hAnsi="Times New Roman" w:cs="Times New Roman"/>
        </w:rPr>
        <w:t xml:space="preserve">County-level age-adjusted COPD prevalence ranged from 4.7% (Miami-Dade) to 16.9% (Baker and Bradford) with a median prevalence of 9.6%. A total of 6 high-prevalence </w:t>
      </w:r>
      <w:r w:rsidRPr="00A40EB0">
        <w:rPr>
          <w:rFonts w:ascii="Times New Roman" w:hAnsi="Times New Roman" w:cs="Times New Roman"/>
        </w:rPr>
        <w:lastRenderedPageBreak/>
        <w:t>clusters with prevalence ratios &gt;1.2 were identified. The primary cluster, which was also the largest geographic cluster that included 13 counties, stretched from Nassau County in north-central Florida to Charlotte County in south-central Florida. However, cluster 2 had the highest prevalence ratio (1.68) and included 10 counties in north-central Florida. Together, the primary cluster and cluster 2 covered most of the counties in north-central Florida. Significant predictors of county-level COPD prevalence were county-level percentage of residents with asthma and the percentage of current smokers.</w:t>
      </w:r>
    </w:p>
    <w:p w14:paraId="6812175C" w14:textId="77777777" w:rsidR="00A40EB0" w:rsidRPr="00A40EB0" w:rsidRDefault="00A40EB0" w:rsidP="00575C6A">
      <w:pPr>
        <w:spacing w:after="0" w:line="480" w:lineRule="auto"/>
        <w:rPr>
          <w:rFonts w:ascii="Times New Roman" w:hAnsi="Times New Roman" w:cs="Times New Roman"/>
        </w:rPr>
      </w:pPr>
      <w:r w:rsidRPr="00A40EB0">
        <w:rPr>
          <w:rFonts w:ascii="Times New Roman" w:hAnsi="Times New Roman" w:cs="Times New Roman"/>
          <w:b/>
          <w:bCs/>
        </w:rPr>
        <w:t xml:space="preserve">Conclusions. </w:t>
      </w:r>
      <w:r w:rsidRPr="00A40EB0">
        <w:rPr>
          <w:rFonts w:ascii="Times New Roman" w:hAnsi="Times New Roman" w:cs="Times New Roman"/>
        </w:rPr>
        <w:t>There is evidence of spatial clusters of COPD prevalence in Florida. These patterns are explained, in part, by differences in distribution of some health behaviors (smoking) and co-morbidities (asthma). This information is important for guiding intervention efforts to address the condition, reduce health disparities, and improve population health.</w:t>
      </w:r>
    </w:p>
    <w:p w14:paraId="1C07D66B" w14:textId="1E2B9E0E" w:rsidR="00A40EB0" w:rsidRDefault="00A40EB0" w:rsidP="00575C6A">
      <w:pPr>
        <w:spacing w:after="0" w:line="480" w:lineRule="auto"/>
      </w:pPr>
      <w:r>
        <w:br w:type="page"/>
      </w:r>
    </w:p>
    <w:p w14:paraId="71BEC73F" w14:textId="2CEE186C" w:rsidR="00A40EB0" w:rsidRPr="00120D5B" w:rsidRDefault="00120D5B" w:rsidP="00575C6A">
      <w:pPr>
        <w:pStyle w:val="Heading3"/>
        <w:spacing w:before="0" w:after="0" w:line="480" w:lineRule="auto"/>
      </w:pPr>
      <w:bookmarkStart w:id="52" w:name="_Toc199884037"/>
      <w:bookmarkStart w:id="53" w:name="_Toc199884754"/>
      <w:bookmarkStart w:id="54" w:name="_Toc200096968"/>
      <w:r w:rsidRPr="00120D5B">
        <w:lastRenderedPageBreak/>
        <w:t>Background</w:t>
      </w:r>
      <w:bookmarkEnd w:id="52"/>
      <w:bookmarkEnd w:id="53"/>
      <w:bookmarkEnd w:id="54"/>
      <w:r w:rsidRPr="00120D5B">
        <w:t xml:space="preserve"> </w:t>
      </w:r>
    </w:p>
    <w:p w14:paraId="07506836" w14:textId="1254DD31" w:rsidR="00385781" w:rsidRDefault="00385781" w:rsidP="00575C6A">
      <w:pPr>
        <w:spacing w:after="0" w:line="480" w:lineRule="auto"/>
        <w:ind w:firstLine="720"/>
        <w:rPr>
          <w:rFonts w:ascii="Times New Roman" w:hAnsi="Times New Roman" w:cs="Times New Roman"/>
        </w:rPr>
      </w:pPr>
      <w:r w:rsidRPr="00385781">
        <w:rPr>
          <w:rFonts w:ascii="Times New Roman" w:hAnsi="Times New Roman" w:cs="Times New Roman"/>
        </w:rPr>
        <w:t>Chronic Obstructive Pulmonary Disease (COPD) is a chronic respiratory condition in which inflammation obstructs airflow and decreases lung function</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"/>
          <w:id w:val="813764497"/>
          <w:placeholder>
            <w:docPart w:val="DefaultPlaceholder_-1854013440"/>
          </w:placeholder>
        </w:sdtPr>
        <w:sdtEndPr/>
        <w:sdtContent>
          <w:r w:rsidR="00572E88" w:rsidRPr="00572E88">
            <w:rPr>
              <w:rFonts w:ascii="Times New Roman" w:hAnsi="Times New Roman" w:cs="Times New Roman"/>
              <w:color w:val="000000"/>
            </w:rPr>
            <w:t>[17]</w:t>
          </w:r>
        </w:sdtContent>
      </w:sdt>
      <w:r w:rsidRPr="00385781">
        <w:rPr>
          <w:rFonts w:ascii="Times New Roman" w:hAnsi="Times New Roman" w:cs="Times New Roman"/>
        </w:rPr>
        <w:t>. Globally, COPD was ranked as the third leading cause of death in 2019</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"/>
          <w:id w:val="-2099238490"/>
          <w:placeholder>
            <w:docPart w:val="DefaultPlaceholder_-1854013440"/>
          </w:placeholder>
        </w:sdtPr>
        <w:sdtEndPr/>
        <w:sdtContent>
          <w:r w:rsidR="00572E88" w:rsidRPr="00572E88">
            <w:rPr>
              <w:rFonts w:ascii="Times New Roman" w:hAnsi="Times New Roman" w:cs="Times New Roman"/>
              <w:color w:val="000000"/>
            </w:rPr>
            <w:t>[1]</w:t>
          </w:r>
        </w:sdtContent>
      </w:sdt>
      <w:r w:rsidRPr="00385781">
        <w:rPr>
          <w:rFonts w:ascii="Times New Roman" w:hAnsi="Times New Roman" w:cs="Times New Roman"/>
        </w:rPr>
        <w:t xml:space="preserve"> and had a prevalence of 2,638.2 cases per 100,000 people in 2019</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"/>
          <w:id w:val="-1058389060"/>
          <w:placeholder>
            <w:docPart w:val="DefaultPlaceholder_-1854013440"/>
          </w:placeholder>
        </w:sdtPr>
        <w:sdtEndPr/>
        <w:sdtContent>
          <w:r w:rsidR="00572E88" w:rsidRPr="00572E88">
            <w:rPr>
              <w:rFonts w:ascii="Times New Roman" w:hAnsi="Times New Roman" w:cs="Times New Roman"/>
              <w:color w:val="000000"/>
            </w:rPr>
            <w:t>[3]</w:t>
          </w:r>
        </w:sdtContent>
      </w:sdt>
      <w:r w:rsidRPr="00385781">
        <w:rPr>
          <w:rFonts w:ascii="Times New Roman" w:hAnsi="Times New Roman" w:cs="Times New Roman"/>
        </w:rPr>
        <w:t>. In the United States (US), the prevalence among adults is 6.2%, but increases with age to 12.8% among those 65 years or older</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"/>
          <w:id w:val="1285625517"/>
          <w:placeholder>
            <w:docPart w:val="DefaultPlaceholder_-1854013440"/>
          </w:placeholder>
        </w:sdtPr>
        <w:sdtEndPr/>
        <w:sdtContent>
          <w:r w:rsidR="00572E88" w:rsidRPr="00572E88">
            <w:rPr>
              <w:rFonts w:ascii="Times New Roman" w:hAnsi="Times New Roman" w:cs="Times New Roman"/>
              <w:color w:val="000000"/>
            </w:rPr>
            <w:t>[4]</w:t>
          </w:r>
        </w:sdtContent>
      </w:sdt>
      <w:r w:rsidRPr="00385781">
        <w:rPr>
          <w:rFonts w:ascii="Times New Roman" w:hAnsi="Times New Roman" w:cs="Times New Roman"/>
        </w:rPr>
        <w:t>. The condition is ranked among the top 10 causes of death in the US</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"/>
          <w:id w:val="-1689745470"/>
          <w:placeholder>
            <w:docPart w:val="DefaultPlaceholder_-1854013440"/>
          </w:placeholder>
        </w:sdtPr>
        <w:sdtEndPr/>
        <w:sdtContent>
          <w:r w:rsidR="00572E88" w:rsidRPr="00572E88">
            <w:rPr>
              <w:rFonts w:ascii="Times New Roman" w:hAnsi="Times New Roman" w:cs="Times New Roman"/>
              <w:color w:val="000000"/>
            </w:rPr>
            <w:t>[2]</w:t>
          </w:r>
        </w:sdtContent>
      </w:sdt>
      <w:r w:rsidRPr="00385781">
        <w:rPr>
          <w:rFonts w:ascii="Times New Roman" w:hAnsi="Times New Roman" w:cs="Times New Roman"/>
        </w:rPr>
        <w:t>. Economically, the financial costs of COPD are steadily increasing. From 2002 to 2010, the annual direct cost of COPD in the US increased from $18 billion to $29.5 billion</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"/>
          <w:id w:val="-65339114"/>
          <w:placeholder>
            <w:docPart w:val="DefaultPlaceholder_-1854013440"/>
          </w:placeholder>
        </w:sdtPr>
        <w:sdtEndPr/>
        <w:sdtContent>
          <w:r w:rsidR="00572E88" w:rsidRPr="00572E88">
            <w:rPr>
              <w:rFonts w:ascii="Times New Roman" w:hAnsi="Times New Roman" w:cs="Times New Roman"/>
              <w:color w:val="000000"/>
            </w:rPr>
            <w:t>[15]</w:t>
          </w:r>
        </w:sdtContent>
      </w:sdt>
      <w:r w:rsidRPr="00385781">
        <w:rPr>
          <w:rFonts w:ascii="Times New Roman" w:hAnsi="Times New Roman" w:cs="Times New Roman"/>
        </w:rPr>
        <w:t>, and more recent calculations estimate the annual direct cost at $32 billion</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"/>
          <w:id w:val="-1826820634"/>
          <w:placeholder>
            <w:docPart w:val="DefaultPlaceholder_-1854013440"/>
          </w:placeholder>
        </w:sdtPr>
        <w:sdtEndPr/>
        <w:sdtContent>
          <w:r w:rsidR="00572E88" w:rsidRPr="00572E88">
            <w:rPr>
              <w:rFonts w:ascii="Times New Roman" w:hAnsi="Times New Roman" w:cs="Times New Roman"/>
              <w:color w:val="000000"/>
            </w:rPr>
            <w:t>[47]</w:t>
          </w:r>
        </w:sdtContent>
      </w:sdt>
      <w:r w:rsidRPr="00385781">
        <w:rPr>
          <w:rFonts w:ascii="Times New Roman" w:hAnsi="Times New Roman" w:cs="Times New Roman"/>
        </w:rPr>
        <w:t>.</w:t>
      </w:r>
    </w:p>
    <w:p w14:paraId="65762277" w14:textId="708DECC4" w:rsidR="00385781" w:rsidRPr="00385781" w:rsidRDefault="00385781" w:rsidP="00575C6A">
      <w:pPr>
        <w:spacing w:after="0" w:line="480" w:lineRule="auto"/>
        <w:ind w:firstLine="720"/>
        <w:rPr>
          <w:rFonts w:ascii="Times New Roman" w:hAnsi="Times New Roman" w:cs="Times New Roman"/>
        </w:rPr>
      </w:pPr>
      <w:r w:rsidRPr="00385781">
        <w:rPr>
          <w:rFonts w:ascii="Times New Roman" w:hAnsi="Times New Roman" w:cs="Times New Roman"/>
        </w:rPr>
        <w:t>Several environmental and sociodemographic factors have been shown to be associated with COPD including air pollutants</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"/>
          <w:id w:val="-720822019"/>
          <w:placeholder>
            <w:docPart w:val="DefaultPlaceholder_-1854013440"/>
          </w:placeholder>
        </w:sdtPr>
        <w:sdtEndPr/>
        <w:sdtContent>
          <w:r w:rsidR="00572E88" w:rsidRPr="00572E88">
            <w:rPr>
              <w:rFonts w:ascii="Times New Roman" w:hAnsi="Times New Roman" w:cs="Times New Roman"/>
              <w:color w:val="000000"/>
            </w:rPr>
            <w:t>[7]</w:t>
          </w:r>
        </w:sdtContent>
      </w:sdt>
      <w:r w:rsidRPr="00385781">
        <w:rPr>
          <w:rFonts w:ascii="Times New Roman" w:hAnsi="Times New Roman" w:cs="Times New Roman"/>
        </w:rPr>
        <w:t>, rurality</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"/>
          <w:id w:val="-1550608478"/>
          <w:placeholder>
            <w:docPart w:val="DefaultPlaceholder_-1854013440"/>
          </w:placeholder>
        </w:sdtPr>
        <w:sdtEndPr/>
        <w:sdtContent>
          <w:r w:rsidR="00572E88" w:rsidRPr="00572E88">
            <w:rPr>
              <w:rFonts w:ascii="Times New Roman" w:hAnsi="Times New Roman" w:cs="Times New Roman"/>
              <w:color w:val="000000"/>
            </w:rPr>
            <w:t>[70,124]</w:t>
          </w:r>
        </w:sdtContent>
      </w:sdt>
      <w:r w:rsidRPr="00385781">
        <w:rPr>
          <w:rFonts w:ascii="Times New Roman" w:hAnsi="Times New Roman" w:cs="Times New Roman"/>
        </w:rPr>
        <w:t>, and poverty</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"/>
          <w:id w:val="1588887488"/>
          <w:placeholder>
            <w:docPart w:val="DefaultPlaceholder_-1854013440"/>
          </w:placeholder>
        </w:sdtPr>
        <w:sdtEndPr/>
        <w:sdtContent>
          <w:r w:rsidR="00572E88" w:rsidRPr="00572E88">
            <w:rPr>
              <w:rFonts w:ascii="Times New Roman" w:hAnsi="Times New Roman" w:cs="Times New Roman"/>
              <w:color w:val="000000"/>
            </w:rPr>
            <w:t>[7,124]</w:t>
          </w:r>
        </w:sdtContent>
      </w:sdt>
      <w:r w:rsidRPr="00385781">
        <w:rPr>
          <w:rFonts w:ascii="Times New Roman" w:hAnsi="Times New Roman" w:cs="Times New Roman"/>
        </w:rPr>
        <w:t>. Chronic exposure to outdoor air pollutants including particulate matter 2.5 (PM</w:t>
      </w:r>
      <w:r w:rsidRPr="00385781">
        <w:rPr>
          <w:rFonts w:ascii="Times New Roman" w:hAnsi="Times New Roman" w:cs="Times New Roman"/>
          <w:vertAlign w:val="subscript"/>
        </w:rPr>
        <w:t>2.5</w:t>
      </w:r>
      <w:r w:rsidRPr="00385781">
        <w:rPr>
          <w:rFonts w:ascii="Times New Roman" w:hAnsi="Times New Roman" w:cs="Times New Roman"/>
        </w:rPr>
        <w:t>) have been shown to reduce lung function and increase COPD risk</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"/>
          <w:id w:val="-1920624409"/>
          <w:placeholder>
            <w:docPart w:val="DefaultPlaceholder_-1854013440"/>
          </w:placeholder>
        </w:sdtPr>
        <w:sdtEndPr/>
        <w:sdtContent>
          <w:r w:rsidR="00572E88" w:rsidRPr="00572E88">
            <w:rPr>
              <w:rFonts w:ascii="Times New Roman" w:hAnsi="Times New Roman" w:cs="Times New Roman"/>
              <w:color w:val="000000"/>
            </w:rPr>
            <w:t>[7]</w:t>
          </w:r>
        </w:sdtContent>
      </w:sdt>
      <w:r w:rsidRPr="00385781">
        <w:rPr>
          <w:rFonts w:ascii="Times New Roman" w:hAnsi="Times New Roman" w:cs="Times New Roman"/>
        </w:rPr>
        <w:t>. Interestingly, COPD prevalence is reportedly higher in rural areas (8.2%) compared to metropolitan areas (4.7%)</w:t>
      </w:r>
      <w:r w:rsidR="000C339C">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"/>
          <w:id w:val="1686941648"/>
          <w:placeholder>
            <w:docPart w:val="DefaultPlaceholder_-1854013440"/>
          </w:placeholder>
        </w:sdtPr>
        <w:sdtEndPr/>
        <w:sdtContent>
          <w:r w:rsidR="00572E88" w:rsidRPr="00572E88">
            <w:rPr>
              <w:rFonts w:ascii="Times New Roman" w:hAnsi="Times New Roman" w:cs="Times New Roman"/>
              <w:color w:val="000000"/>
            </w:rPr>
            <w:t>[70]</w:t>
          </w:r>
        </w:sdtContent>
      </w:sdt>
      <w:r w:rsidRPr="00385781">
        <w:rPr>
          <w:rFonts w:ascii="Times New Roman" w:hAnsi="Times New Roman" w:cs="Times New Roman"/>
        </w:rPr>
        <w:t>. This is surprising because rural areas tend to have better air quality with the mean total number of PM</w:t>
      </w:r>
      <w:r w:rsidRPr="00385781">
        <w:rPr>
          <w:rFonts w:ascii="Times New Roman" w:hAnsi="Times New Roman" w:cs="Times New Roman"/>
          <w:vertAlign w:val="subscript"/>
        </w:rPr>
        <w:t>2.5</w:t>
      </w:r>
      <w:r w:rsidRPr="00385781">
        <w:rPr>
          <w:rFonts w:ascii="Times New Roman" w:hAnsi="Times New Roman" w:cs="Times New Roman"/>
        </w:rPr>
        <w:t xml:space="preserve"> days greater than the US Environmental Protection Agency’s National Ambient Air Quality Standard at 0.95 days compared to 11.21 days in metropolitan areas</w:t>
      </w:r>
      <w:r w:rsidR="000C339C">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"/>
          <w:id w:val="-1622067343"/>
          <w:placeholder>
            <w:docPart w:val="DefaultPlaceholder_-1854013440"/>
          </w:placeholder>
        </w:sdtPr>
        <w:sdtEndPr/>
        <w:sdtContent>
          <w:r w:rsidR="00572E88" w:rsidRPr="00572E88">
            <w:rPr>
              <w:rFonts w:ascii="Times New Roman" w:hAnsi="Times New Roman" w:cs="Times New Roman"/>
              <w:color w:val="000000"/>
            </w:rPr>
            <w:t>[125]</w:t>
          </w:r>
        </w:sdtContent>
      </w:sdt>
      <w:r w:rsidRPr="00385781">
        <w:rPr>
          <w:rFonts w:ascii="Times New Roman" w:hAnsi="Times New Roman" w:cs="Times New Roman"/>
        </w:rPr>
        <w:t>. However, rural communities often suffer from poor indoor air quality, including exposure to second-hand smoke and solid fuels used as heating sources. Populations in rural areas may also participate in occupations such as mining that increase risk of harmful respiratory exposures that may contribute to higher COPD prevalence</w:t>
      </w:r>
      <w:r w:rsidR="000C339C">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"/>
          <w:id w:val="2062978901"/>
          <w:placeholder>
            <w:docPart w:val="DefaultPlaceholder_-1854013440"/>
          </w:placeholder>
        </w:sdtPr>
        <w:sdtEndPr/>
        <w:sdtContent>
          <w:r w:rsidR="00572E88" w:rsidRPr="00572E88">
            <w:rPr>
              <w:rFonts w:ascii="Times New Roman" w:hAnsi="Times New Roman" w:cs="Times New Roman"/>
              <w:color w:val="000000"/>
            </w:rPr>
            <w:t>[70,124,126]</w:t>
          </w:r>
        </w:sdtContent>
      </w:sdt>
      <w:r w:rsidRPr="00385781">
        <w:rPr>
          <w:rFonts w:ascii="Times New Roman" w:hAnsi="Times New Roman" w:cs="Times New Roman"/>
        </w:rPr>
        <w:t xml:space="preserve">. Other sociodemographic characteristics such as poverty have been </w:t>
      </w:r>
      <w:r w:rsidRPr="00385781">
        <w:rPr>
          <w:rFonts w:ascii="Times New Roman" w:hAnsi="Times New Roman" w:cs="Times New Roman"/>
        </w:rPr>
        <w:lastRenderedPageBreak/>
        <w:t xml:space="preserve">reported to be associated with higher COPD prevalence including both community-level poverty (OR: 1.12, 95% CI: 1.03-1.32) and household poverty (OR: 1.08, 95% CI: 1.06-1.10) </w:t>
      </w:r>
      <w:sdt>
        <w:sdtPr>
          <w:rPr>
            <w:rFonts w:ascii="Times New Roman" w:hAnsi="Times New Roman" w:cs="Times New Roman"/>
            <w:color w:val="000000"/>
          </w:rPr>
          <w:tag w:val="MENDELEY_CITATION_v3_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"/>
          <w:id w:val="845760660"/>
          <w:placeholder>
            <w:docPart w:val="DefaultPlaceholder_-1854013440"/>
          </w:placeholder>
        </w:sdtPr>
        <w:sdtEndPr/>
        <w:sdtContent>
          <w:r w:rsidR="00572E88" w:rsidRPr="00572E88">
            <w:rPr>
              <w:rFonts w:ascii="Times New Roman" w:hAnsi="Times New Roman" w:cs="Times New Roman"/>
              <w:color w:val="000000"/>
            </w:rPr>
            <w:t>[124]</w:t>
          </w:r>
        </w:sdtContent>
      </w:sdt>
      <w:r w:rsidRPr="00385781">
        <w:rPr>
          <w:rFonts w:ascii="Times New Roman" w:hAnsi="Times New Roman" w:cs="Times New Roman"/>
        </w:rPr>
        <w:t xml:space="preserve">. </w:t>
      </w:r>
    </w:p>
    <w:p w14:paraId="00150FAB" w14:textId="61E0EDD5" w:rsidR="00385781" w:rsidRDefault="00385781" w:rsidP="00575C6A">
      <w:pPr>
        <w:spacing w:after="0" w:line="480" w:lineRule="auto"/>
        <w:ind w:firstLine="720"/>
        <w:rPr>
          <w:rFonts w:ascii="Times New Roman" w:hAnsi="Times New Roman" w:cs="Times New Roman"/>
        </w:rPr>
      </w:pPr>
      <w:r w:rsidRPr="00385781">
        <w:rPr>
          <w:rFonts w:ascii="Times New Roman" w:hAnsi="Times New Roman" w:cs="Times New Roman"/>
        </w:rPr>
        <w:t>In the US, Florida has one of the largest populations of older adult residents, accounting for 4.5 million adults 65 years or older</w:t>
      </w:r>
      <w:r w:rsidR="000C339C">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"/>
          <w:id w:val="288473449"/>
          <w:placeholder>
            <w:docPart w:val="DefaultPlaceholder_-1854013440"/>
          </w:placeholder>
        </w:sdtPr>
        <w:sdtEndPr/>
        <w:sdtContent>
          <w:r w:rsidR="00572E88" w:rsidRPr="00572E88">
            <w:rPr>
              <w:rFonts w:ascii="Times New Roman" w:hAnsi="Times New Roman" w:cs="Times New Roman"/>
              <w:color w:val="000000"/>
            </w:rPr>
            <w:t>[8]</w:t>
          </w:r>
        </w:sdtContent>
      </w:sdt>
      <w:r w:rsidRPr="00385781">
        <w:rPr>
          <w:rFonts w:ascii="Times New Roman" w:hAnsi="Times New Roman" w:cs="Times New Roman"/>
        </w:rPr>
        <w:t>, which makes Florida an ideal geographic location for investigating COPD since disease prevalence increases with age</w:t>
      </w:r>
      <w:r w:rsidR="000C339C">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"/>
          <w:id w:val="-1002977285"/>
          <w:placeholder>
            <w:docPart w:val="DefaultPlaceholder_-1854013440"/>
          </w:placeholder>
        </w:sdtPr>
        <w:sdtEndPr/>
        <w:sdtContent>
          <w:r w:rsidR="00572E88" w:rsidRPr="00572E88">
            <w:rPr>
              <w:rFonts w:ascii="Times New Roman" w:hAnsi="Times New Roman" w:cs="Times New Roman"/>
              <w:color w:val="000000"/>
            </w:rPr>
            <w:t>[4]</w:t>
          </w:r>
        </w:sdtContent>
      </w:sdt>
      <w:r w:rsidRPr="00385781">
        <w:rPr>
          <w:rFonts w:ascii="Times New Roman" w:hAnsi="Times New Roman" w:cs="Times New Roman"/>
        </w:rPr>
        <w:t>. In 2021, COPD resulted in 77,506 emergency department visits and 25,405 hospitalizations in Florida</w:t>
      </w:r>
      <w:r w:rsidR="000C339C">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"/>
          <w:id w:val="99072754"/>
          <w:placeholder>
            <w:docPart w:val="DefaultPlaceholder_-1854013440"/>
          </w:placeholder>
        </w:sdtPr>
        <w:sdtEndPr/>
        <w:sdtContent>
          <w:r w:rsidR="00572E88" w:rsidRPr="00572E88">
            <w:rPr>
              <w:rFonts w:ascii="Times New Roman" w:hAnsi="Times New Roman" w:cs="Times New Roman"/>
              <w:color w:val="000000"/>
            </w:rPr>
            <w:t>[10]</w:t>
          </w:r>
        </w:sdtContent>
      </w:sdt>
      <w:r w:rsidR="002E2CBB">
        <w:rPr>
          <w:rFonts w:ascii="Times New Roman" w:hAnsi="Times New Roman" w:cs="Times New Roman"/>
          <w:color w:val="000000"/>
        </w:rPr>
        <w:t>.</w:t>
      </w:r>
      <w:r w:rsidRPr="00385781">
        <w:rPr>
          <w:rFonts w:ascii="Times New Roman" w:hAnsi="Times New Roman" w:cs="Times New Roman"/>
        </w:rPr>
        <w:t xml:space="preserve"> These frequencies equate to an age-adjusted prevalence of 32.8 COPD related emergency room visits per 10,000 persons, and 10.2 COPD related hospitalizations per 10,000 persons</w:t>
      </w:r>
      <w:r w:rsidR="002E2CBB">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"/>
          <w:id w:val="-112600386"/>
          <w:placeholder>
            <w:docPart w:val="DefaultPlaceholder_-1854013440"/>
          </w:placeholder>
        </w:sdtPr>
        <w:sdtEndPr/>
        <w:sdtContent>
          <w:r w:rsidR="00572E88" w:rsidRPr="00572E88">
            <w:rPr>
              <w:rFonts w:ascii="Times New Roman" w:hAnsi="Times New Roman" w:cs="Times New Roman"/>
              <w:color w:val="000000"/>
            </w:rPr>
            <w:t>[10]</w:t>
          </w:r>
        </w:sdtContent>
      </w:sdt>
      <w:r w:rsidRPr="00385781">
        <w:rPr>
          <w:rFonts w:ascii="Times New Roman" w:hAnsi="Times New Roman" w:cs="Times New Roman"/>
        </w:rPr>
        <w:fldChar w:fldCharType="begin"/>
      </w:r>
      <w:r w:rsidRPr="00385781">
        <w:rPr>
          <w:rFonts w:ascii="Times New Roman" w:hAnsi="Times New Roman" w:cs="Times New Roman"/>
        </w:rPr>
        <w:instrText xml:space="preserve"> ADDIN ZOTERO_ITEM CSL_CITATION {"citationID":"AE5XnHHY","properties":{"formattedCitation":"(Florida Department of Health, 2022)","plainCitation":"(Florida Department of Health, 2022)","noteIndex":0},"citationItems":[{"id":688,"uris":["http://zotero.org/users/8373699/items/689XB88F"],"itemData":{"id":688,"type":"dataset","title":"Florida Environmental Public Health Tracking System","URL":"https://www.floridatracking.com/healthtracking/topic.htm?i=30","author":[{"family":"Florida Department of Health","given":""}],"accessed":{"date-parts":[["2023",4,24]]},"issued":{"date-parts":[["2022"]]}}}],"schema":"https://github.com/citation-style-language/schema/raw/master/csl-citation.json"} </w:instrText>
      </w:r>
      <w:r w:rsidRPr="00385781">
        <w:rPr>
          <w:rFonts w:ascii="Times New Roman" w:hAnsi="Times New Roman" w:cs="Times New Roman"/>
        </w:rPr>
        <w:fldChar w:fldCharType="separate"/>
      </w:r>
      <w:r w:rsidRPr="00385781">
        <w:rPr>
          <w:rFonts w:ascii="Times New Roman" w:hAnsi="Times New Roman" w:cs="Times New Roman"/>
        </w:rPr>
        <w:fldChar w:fldCharType="end"/>
      </w:r>
      <w:r w:rsidRPr="00385781">
        <w:rPr>
          <w:rFonts w:ascii="Times New Roman" w:hAnsi="Times New Roman" w:cs="Times New Roman"/>
        </w:rPr>
        <w:t>. However, even with an older state population and the reported burden of COPD in Florida, there is limited information on the association between COPD and environmental factors and population characteristics in Florida. No studies have examined the association between COPD and area-level characteristics such as environmental and sociodemographic factors in the state. These types of area-level studies are useful for not only identifying predictors of COPD risk but also in identifying possible geographic disparities. The information gleaned from such studies can be helpful in the creation of targeted public health prevention and control efforts. Thus, the objectives of this study were to investigate county-level spatial patterns of COPD prevalence in Florida and identify county-level sociodemographic predictors of the identified spatial patterns of COPD prevalence.</w:t>
      </w:r>
    </w:p>
    <w:p w14:paraId="749C7090" w14:textId="77777777" w:rsidR="00575C6A" w:rsidRDefault="00575C6A" w:rsidP="00575C6A">
      <w:pPr>
        <w:spacing w:after="0" w:line="480" w:lineRule="auto"/>
        <w:rPr>
          <w:rFonts w:ascii="Times New Roman" w:hAnsi="Times New Roman" w:cs="Times New Roman"/>
        </w:rPr>
      </w:pPr>
    </w:p>
    <w:p w14:paraId="48AB275F" w14:textId="0EB27C8D" w:rsidR="004E1844" w:rsidRPr="004E1844" w:rsidRDefault="004E1844" w:rsidP="00575C6A">
      <w:pPr>
        <w:pStyle w:val="Heading3"/>
        <w:spacing w:before="0" w:after="0" w:line="480" w:lineRule="auto"/>
      </w:pPr>
      <w:bookmarkStart w:id="55" w:name="_Toc199884038"/>
      <w:bookmarkStart w:id="56" w:name="_Toc199884755"/>
      <w:bookmarkStart w:id="57" w:name="_Toc200096969"/>
      <w:r w:rsidRPr="004E1844">
        <w:lastRenderedPageBreak/>
        <w:t>Materials &amp; Methods</w:t>
      </w:r>
      <w:bookmarkEnd w:id="55"/>
      <w:bookmarkEnd w:id="56"/>
      <w:bookmarkEnd w:id="57"/>
    </w:p>
    <w:p w14:paraId="6912537B" w14:textId="5B5405B0" w:rsidR="004E1844" w:rsidRPr="00360192" w:rsidRDefault="004E1844" w:rsidP="00575C6A">
      <w:pPr>
        <w:pStyle w:val="Heading4"/>
        <w:spacing w:before="0" w:after="0" w:line="480" w:lineRule="auto"/>
      </w:pPr>
      <w:r w:rsidRPr="00360192">
        <w:t xml:space="preserve"> </w:t>
      </w:r>
      <w:bookmarkStart w:id="58" w:name="_Toc200096970"/>
      <w:r w:rsidRPr="00360192">
        <w:t>Ethical Statement</w:t>
      </w:r>
      <w:bookmarkEnd w:id="58"/>
    </w:p>
    <w:p w14:paraId="7F198C11" w14:textId="203FF183" w:rsidR="004E1844" w:rsidRDefault="004E1844" w:rsidP="00575C6A">
      <w:pPr>
        <w:spacing w:after="0" w:line="480" w:lineRule="auto"/>
        <w:ind w:firstLine="720"/>
        <w:rPr>
          <w:rFonts w:ascii="Times New Roman" w:hAnsi="Times New Roman" w:cs="Times New Roman"/>
        </w:rPr>
      </w:pPr>
      <w:r w:rsidRPr="004E1844">
        <w:rPr>
          <w:rFonts w:ascii="Times New Roman" w:hAnsi="Times New Roman" w:cs="Times New Roman"/>
        </w:rPr>
        <w:t>This study was reviewed by the University of Tennessee, Knoxville Institutional Review Board which determined that it was not human subjects’ research (IRB Number: UTK IRB-23-07928-XM). Therefore, it determined that IRB oversight was not required.</w:t>
      </w:r>
    </w:p>
    <w:p w14:paraId="232980E1" w14:textId="77777777" w:rsidR="00F90ABA" w:rsidRPr="004E1844" w:rsidRDefault="00F90ABA" w:rsidP="00575C6A">
      <w:pPr>
        <w:spacing w:after="0" w:line="480" w:lineRule="auto"/>
        <w:rPr>
          <w:rFonts w:ascii="Times New Roman" w:hAnsi="Times New Roman" w:cs="Times New Roman"/>
        </w:rPr>
      </w:pPr>
    </w:p>
    <w:p w14:paraId="59E8A380" w14:textId="2471D895" w:rsidR="004E1844" w:rsidRPr="004E1844" w:rsidRDefault="004E1844" w:rsidP="00575C6A">
      <w:pPr>
        <w:pStyle w:val="Heading4"/>
        <w:spacing w:before="0" w:after="0" w:line="480" w:lineRule="auto"/>
      </w:pPr>
      <w:bookmarkStart w:id="59" w:name="_Toc200096971"/>
      <w:r w:rsidRPr="004E1844">
        <w:t>Study Area</w:t>
      </w:r>
      <w:bookmarkEnd w:id="59"/>
    </w:p>
    <w:p w14:paraId="50DFC1F1" w14:textId="2C1DF5E9" w:rsidR="004E1844" w:rsidRDefault="004E1844" w:rsidP="00575C6A">
      <w:pPr>
        <w:spacing w:after="0" w:line="480" w:lineRule="auto"/>
        <w:ind w:firstLine="720"/>
        <w:rPr>
          <w:rFonts w:ascii="Times New Roman" w:hAnsi="Times New Roman" w:cs="Times New Roman"/>
        </w:rPr>
      </w:pPr>
      <w:r w:rsidRPr="004E1844">
        <w:rPr>
          <w:rFonts w:ascii="Times New Roman" w:hAnsi="Times New Roman" w:cs="Times New Roman"/>
        </w:rPr>
        <w:t>This ecological study was performed in Florida, which has an estimated population of 21.2 million people</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"/>
          <w:id w:val="-808165334"/>
          <w:placeholder>
            <w:docPart w:val="DefaultPlaceholder_-1854013440"/>
          </w:placeholder>
        </w:sdtPr>
        <w:sdtEndPr/>
        <w:sdtContent>
          <w:r w:rsidR="00572E88" w:rsidRPr="00572E88">
            <w:rPr>
              <w:rFonts w:ascii="Times New Roman" w:hAnsi="Times New Roman" w:cs="Times New Roman"/>
              <w:color w:val="000000"/>
            </w:rPr>
            <w:t>[127]</w:t>
          </w:r>
        </w:sdtContent>
      </w:sdt>
      <w:r w:rsidRPr="004E1844">
        <w:rPr>
          <w:rFonts w:ascii="Times New Roman" w:hAnsi="Times New Roman" w:cs="Times New Roman"/>
        </w:rPr>
        <w:t xml:space="preserve"> spread across 67 counties, 44.7% of which are considered rural</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"/>
          <w:id w:val="1182011639"/>
          <w:placeholder>
            <w:docPart w:val="DefaultPlaceholder_-1854013440"/>
          </w:placeholder>
        </w:sdtPr>
        <w:sdtEndPr/>
        <w:sdtContent>
          <w:r w:rsidR="00572E88" w:rsidRPr="00572E88">
            <w:rPr>
              <w:rFonts w:ascii="Times New Roman" w:hAnsi="Times New Roman" w:cs="Times New Roman"/>
              <w:color w:val="000000"/>
            </w:rPr>
            <w:t>[128]</w:t>
          </w:r>
        </w:sdtContent>
      </w:sdt>
      <w:r w:rsidRPr="004E1844">
        <w:rPr>
          <w:rFonts w:ascii="Times New Roman" w:hAnsi="Times New Roman" w:cs="Times New Roman"/>
        </w:rPr>
        <w:t>. The most populated county is Miami-Dade with 2,830,500 residents, and the least populated is Lafayette County with 8,613 residents</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"/>
          <w:id w:val="-1721198267"/>
          <w:placeholder>
            <w:docPart w:val="DefaultPlaceholder_-1854013440"/>
          </w:placeholder>
        </w:sdtPr>
        <w:sdtEndPr/>
        <w:sdtContent>
          <w:r w:rsidR="00572E88" w:rsidRPr="00572E88">
            <w:rPr>
              <w:rFonts w:ascii="Times New Roman" w:hAnsi="Times New Roman" w:cs="Times New Roman"/>
              <w:color w:val="000000"/>
            </w:rPr>
            <w:t>[129]</w:t>
          </w:r>
        </w:sdtContent>
      </w:sdt>
      <w:r w:rsidRPr="004E1844">
        <w:rPr>
          <w:rFonts w:ascii="Times New Roman" w:hAnsi="Times New Roman" w:cs="Times New Roman"/>
        </w:rPr>
        <w:t>. Approximately 80.1% of the Florida residents are at least 18 years old</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"/>
          <w:id w:val="1340040975"/>
          <w:placeholder>
            <w:docPart w:val="DefaultPlaceholder_-1854013440"/>
          </w:placeholder>
        </w:sdtPr>
        <w:sdtEndPr/>
        <w:sdtContent>
          <w:r w:rsidR="00572E88" w:rsidRPr="00572E88">
            <w:rPr>
              <w:rFonts w:ascii="Times New Roman" w:hAnsi="Times New Roman" w:cs="Times New Roman"/>
              <w:color w:val="000000"/>
            </w:rPr>
            <w:t>[127]</w:t>
          </w:r>
        </w:sdtContent>
      </w:sdt>
      <w:r w:rsidRPr="004E1844">
        <w:rPr>
          <w:rFonts w:ascii="Times New Roman" w:hAnsi="Times New Roman" w:cs="Times New Roman"/>
        </w:rPr>
        <w:t xml:space="preserve">. Of these, 41.6% are 18-44 years old, 32.8% are 45-64 years old, and 25.6% are ≥65 years old </w:t>
      </w:r>
      <w:sdt>
        <w:sdtPr>
          <w:rPr>
            <w:rFonts w:ascii="Times New Roman" w:hAnsi="Times New Roman" w:cs="Times New Roman"/>
            <w:color w:val="000000"/>
          </w:rPr>
          <w:tag w:val="MENDELEY_CITATION_v3_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"/>
          <w:id w:val="-1668852412"/>
          <w:placeholder>
            <w:docPart w:val="DefaultPlaceholder_-1854013440"/>
          </w:placeholder>
        </w:sdtPr>
        <w:sdtEndPr/>
        <w:sdtContent>
          <w:r w:rsidR="00572E88" w:rsidRPr="00572E88">
            <w:rPr>
              <w:rFonts w:ascii="Times New Roman" w:hAnsi="Times New Roman" w:cs="Times New Roman"/>
              <w:color w:val="000000"/>
            </w:rPr>
            <w:t>[127]</w:t>
          </w:r>
        </w:sdtContent>
      </w:sdt>
      <w:r w:rsidRPr="004E1844">
        <w:rPr>
          <w:rFonts w:ascii="Times New Roman" w:hAnsi="Times New Roman" w:cs="Times New Roman"/>
        </w:rPr>
        <w:t>. Florida has a slightly lower percentage of males (48.9%) compared to females (51.1%)</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"/>
          <w:id w:val="1391687448"/>
          <w:placeholder>
            <w:docPart w:val="DefaultPlaceholder_-1854013440"/>
          </w:placeholder>
        </w:sdtPr>
        <w:sdtEndPr/>
        <w:sdtContent>
          <w:r w:rsidR="00572E88" w:rsidRPr="00572E88">
            <w:rPr>
              <w:rFonts w:ascii="Times New Roman" w:hAnsi="Times New Roman" w:cs="Times New Roman"/>
              <w:color w:val="000000"/>
            </w:rPr>
            <w:t>[129]</w:t>
          </w:r>
        </w:sdtContent>
      </w:sdt>
      <w:r w:rsidRPr="004E1844">
        <w:rPr>
          <w:rFonts w:ascii="Times New Roman" w:hAnsi="Times New Roman" w:cs="Times New Roman"/>
        </w:rPr>
        <w:t xml:space="preserve">. Individuals of white race account for 76.9% of the population whereas those who are black account for 17.0% and other races account for 6.0% </w:t>
      </w:r>
      <w:sdt>
        <w:sdtPr>
          <w:rPr>
            <w:rFonts w:ascii="Times New Roman" w:hAnsi="Times New Roman" w:cs="Times New Roman"/>
            <w:color w:val="000000"/>
          </w:rPr>
          <w:tag w:val="MENDELEY_CITATION_v3_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"/>
          <w:id w:val="755019884"/>
          <w:placeholder>
            <w:docPart w:val="DefaultPlaceholder_-1854013440"/>
          </w:placeholder>
        </w:sdtPr>
        <w:sdtEndPr/>
        <w:sdtContent>
          <w:r w:rsidR="00572E88" w:rsidRPr="00572E88">
            <w:rPr>
              <w:rFonts w:ascii="Times New Roman" w:hAnsi="Times New Roman" w:cs="Times New Roman"/>
              <w:color w:val="000000"/>
            </w:rPr>
            <w:t>[127]</w:t>
          </w:r>
        </w:sdtContent>
      </w:sdt>
      <w:r w:rsidRPr="004E1844">
        <w:rPr>
          <w:rFonts w:ascii="Times New Roman" w:hAnsi="Times New Roman" w:cs="Times New Roman"/>
        </w:rPr>
        <w:t>. Residents of Hispanic or Latino ethnicity comprise 26.8% of the population</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"/>
          <w:id w:val="-663314128"/>
          <w:placeholder>
            <w:docPart w:val="DefaultPlaceholder_-1854013440"/>
          </w:placeholder>
        </w:sdtPr>
        <w:sdtEndPr/>
        <w:sdtContent>
          <w:r w:rsidR="00572E88" w:rsidRPr="00572E88">
            <w:rPr>
              <w:rFonts w:ascii="Times New Roman" w:hAnsi="Times New Roman" w:cs="Times New Roman"/>
              <w:color w:val="000000"/>
            </w:rPr>
            <w:t>[127]</w:t>
          </w:r>
        </w:sdtContent>
      </w:sdt>
      <w:r w:rsidRPr="004E1844">
        <w:rPr>
          <w:rFonts w:ascii="Times New Roman" w:hAnsi="Times New Roman" w:cs="Times New Roman"/>
        </w:rPr>
        <w:t>.</w:t>
      </w:r>
    </w:p>
    <w:p w14:paraId="15E8CB0C" w14:textId="77777777" w:rsidR="00F90ABA" w:rsidRDefault="00F90ABA" w:rsidP="00575C6A">
      <w:pPr>
        <w:spacing w:after="0" w:line="480" w:lineRule="auto"/>
        <w:rPr>
          <w:rFonts w:ascii="Times New Roman" w:hAnsi="Times New Roman" w:cs="Times New Roman"/>
        </w:rPr>
      </w:pPr>
    </w:p>
    <w:p w14:paraId="1520CD9C" w14:textId="3934D0A6" w:rsidR="004E1844" w:rsidRPr="001B3CE2" w:rsidRDefault="004E1844" w:rsidP="00575C6A">
      <w:pPr>
        <w:pStyle w:val="Heading4"/>
        <w:spacing w:before="0" w:after="0" w:line="480" w:lineRule="auto"/>
      </w:pPr>
      <w:bookmarkStart w:id="60" w:name="_Toc200096972"/>
      <w:r w:rsidRPr="001B3CE2">
        <w:t>Data Sources</w:t>
      </w:r>
      <w:bookmarkEnd w:id="60"/>
    </w:p>
    <w:p w14:paraId="1293443D" w14:textId="0FCB1C4A" w:rsidR="004E1844" w:rsidRDefault="004E1844" w:rsidP="00575C6A">
      <w:pPr>
        <w:spacing w:after="0" w:line="480" w:lineRule="auto"/>
        <w:ind w:firstLine="720"/>
        <w:rPr>
          <w:rFonts w:ascii="Times New Roman" w:hAnsi="Times New Roman" w:cs="Times New Roman"/>
        </w:rPr>
      </w:pPr>
      <w:r w:rsidRPr="004E1844">
        <w:rPr>
          <w:rFonts w:ascii="Times New Roman" w:hAnsi="Times New Roman" w:cs="Times New Roman"/>
        </w:rPr>
        <w:t xml:space="preserve">The 2019 county-level crude prevalence of COPD for each age group (18-44 years old, 45-64 years old, and ≥65 years old) were obtained from Florida Health CHARTS </w:t>
      </w:r>
      <w:sdt>
        <w:sdtPr>
          <w:rPr>
            <w:rFonts w:ascii="Times New Roman" w:hAnsi="Times New Roman" w:cs="Times New Roman"/>
            <w:color w:val="000000"/>
          </w:rPr>
          <w:tag w:val="MENDELEY_CITATION_v3_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"/>
          <w:id w:val="44729296"/>
          <w:placeholder>
            <w:docPart w:val="DefaultPlaceholder_-1854013440"/>
          </w:placeholder>
        </w:sdtPr>
        <w:sdtEndPr/>
        <w:sdtContent>
          <w:r w:rsidR="00572E88" w:rsidRPr="00572E88">
            <w:rPr>
              <w:rFonts w:ascii="Times New Roman" w:hAnsi="Times New Roman" w:cs="Times New Roman"/>
              <w:color w:val="000000"/>
            </w:rPr>
            <w:t>[129]</w:t>
          </w:r>
        </w:sdtContent>
      </w:sdt>
      <w:r w:rsidRPr="004E1844">
        <w:rPr>
          <w:rFonts w:ascii="Times New Roman" w:hAnsi="Times New Roman" w:cs="Times New Roman"/>
        </w:rPr>
        <w:t xml:space="preserve">. Sociodemographic variables investigated for possible association with county-level COPD prevalence were also downloaded from Florida Health CHARTS </w:t>
      </w:r>
      <w:sdt>
        <w:sdtPr>
          <w:rPr>
            <w:rFonts w:ascii="Times New Roman" w:hAnsi="Times New Roman" w:cs="Times New Roman"/>
            <w:color w:val="000000"/>
          </w:rPr>
          <w:tag w:val="MENDELEY_CITATION_v3_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"/>
          <w:id w:val="-228772016"/>
          <w:placeholder>
            <w:docPart w:val="DefaultPlaceholder_-1854013440"/>
          </w:placeholder>
        </w:sdtPr>
        <w:sdtEndPr/>
        <w:sdtContent>
          <w:r w:rsidR="00572E88" w:rsidRPr="00572E88">
            <w:rPr>
              <w:rFonts w:ascii="Times New Roman" w:hAnsi="Times New Roman" w:cs="Times New Roman"/>
              <w:color w:val="000000"/>
            </w:rPr>
            <w:t>[129]</w:t>
          </w:r>
        </w:sdtContent>
      </w:sdt>
      <w:r w:rsidRPr="004E1844">
        <w:rPr>
          <w:rFonts w:ascii="Times New Roman" w:hAnsi="Times New Roman" w:cs="Times New Roman"/>
        </w:rPr>
        <w:t xml:space="preserve"> and County Health </w:t>
      </w:r>
      <w:r w:rsidRPr="004E1844">
        <w:rPr>
          <w:rFonts w:ascii="Times New Roman" w:hAnsi="Times New Roman" w:cs="Times New Roman"/>
        </w:rPr>
        <w:lastRenderedPageBreak/>
        <w:t xml:space="preserve">Rankings and Roadmaps (Table </w:t>
      </w:r>
      <w:r w:rsidR="00657A07">
        <w:rPr>
          <w:rFonts w:ascii="Times New Roman" w:hAnsi="Times New Roman" w:cs="Times New Roman"/>
        </w:rPr>
        <w:t>2.</w:t>
      </w:r>
      <w:r w:rsidRPr="004E1844">
        <w:rPr>
          <w:rFonts w:ascii="Times New Roman" w:hAnsi="Times New Roman" w:cs="Times New Roman"/>
        </w:rPr>
        <w:t>1)</w:t>
      </w:r>
      <w:r w:rsidR="001B3CE2">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"/>
          <w:id w:val="264664786"/>
          <w:placeholder>
            <w:docPart w:val="DefaultPlaceholder_-1854013440"/>
          </w:placeholder>
        </w:sdtPr>
        <w:sdtEndPr/>
        <w:sdtContent>
          <w:r w:rsidR="00572E88" w:rsidRPr="00572E88">
            <w:rPr>
              <w:rFonts w:ascii="Times New Roman" w:hAnsi="Times New Roman" w:cs="Times New Roman"/>
              <w:color w:val="000000"/>
            </w:rPr>
            <w:t>[130]</w:t>
          </w:r>
        </w:sdtContent>
      </w:sdt>
      <w:r w:rsidRPr="004E1844">
        <w:rPr>
          <w:rFonts w:ascii="Times New Roman" w:hAnsi="Times New Roman" w:cs="Times New Roman"/>
        </w:rPr>
        <w:t>. Cartographic boundary files, for map generation, were obtained from the United States Census Bureau TIGER Geodatabase</w:t>
      </w:r>
      <w:r w:rsidR="001B3CE2">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"/>
          <w:id w:val="1102536607"/>
          <w:placeholder>
            <w:docPart w:val="DefaultPlaceholder_-1854013440"/>
          </w:placeholder>
        </w:sdtPr>
        <w:sdtEndPr/>
        <w:sdtContent>
          <w:r w:rsidR="00572E88" w:rsidRPr="00572E88">
            <w:rPr>
              <w:rFonts w:ascii="Times New Roman" w:hAnsi="Times New Roman" w:cs="Times New Roman"/>
              <w:color w:val="000000"/>
            </w:rPr>
            <w:t>[131]</w:t>
          </w:r>
        </w:sdtContent>
      </w:sdt>
      <w:r w:rsidRPr="004E1844">
        <w:rPr>
          <w:rFonts w:ascii="Times New Roman" w:hAnsi="Times New Roman" w:cs="Times New Roman"/>
        </w:rPr>
        <w:t>.</w:t>
      </w:r>
    </w:p>
    <w:p w14:paraId="6075EA4F" w14:textId="26AACABE" w:rsidR="00657A07" w:rsidRDefault="00657A07" w:rsidP="00575C6A">
      <w:pPr>
        <w:spacing w:after="0" w:line="480" w:lineRule="auto"/>
        <w:rPr>
          <w:rFonts w:ascii="Times New Roman" w:hAnsi="Times New Roman" w:cs="Times New Roman"/>
        </w:rPr>
      </w:pPr>
      <w:r>
        <w:rPr>
          <w:rFonts w:ascii="Times New Roman" w:hAnsi="Times New Roman" w:cs="Times New Roman"/>
        </w:rPr>
        <w:br w:type="page"/>
      </w:r>
    </w:p>
    <w:p w14:paraId="3640A387" w14:textId="65B0C520" w:rsidR="00F67163" w:rsidRPr="00F67163" w:rsidRDefault="00F67163" w:rsidP="00B73A2F">
      <w:pPr>
        <w:pStyle w:val="Caption"/>
        <w:spacing w:after="0"/>
      </w:pPr>
      <w:bookmarkStart w:id="61" w:name="_Toc199886026"/>
      <w:bookmarkStart w:id="62" w:name="_Toc200097043"/>
      <w:r w:rsidRPr="00F67163">
        <w:lastRenderedPageBreak/>
        <w:t xml:space="preserve">Table </w:t>
      </w:r>
      <w:r w:rsidR="00450C23">
        <w:fldChar w:fldCharType="begin"/>
      </w:r>
      <w:r w:rsidR="00450C23">
        <w:instrText xml:space="preserve"> STYLEREF 1 \s </w:instrText>
      </w:r>
      <w:r w:rsidR="00450C23">
        <w:fldChar w:fldCharType="separate"/>
      </w:r>
      <w:r w:rsidR="005D69AE">
        <w:rPr>
          <w:noProof/>
        </w:rPr>
        <w:t>2</w:t>
      </w:r>
      <w:r w:rsidR="00450C23">
        <w:rPr>
          <w:noProof/>
        </w:rPr>
        <w:fldChar w:fldCharType="end"/>
      </w:r>
      <w:r w:rsidR="005D69AE">
        <w:t>.</w:t>
      </w:r>
      <w:r w:rsidR="00450C23">
        <w:fldChar w:fldCharType="begin"/>
      </w:r>
      <w:r w:rsidR="00450C23">
        <w:instrText xml:space="preserve"> SEQ Table \* ARABIC \s 1 </w:instrText>
      </w:r>
      <w:r w:rsidR="00450C23">
        <w:fldChar w:fldCharType="separate"/>
      </w:r>
      <w:r w:rsidR="005D69AE">
        <w:rPr>
          <w:noProof/>
        </w:rPr>
        <w:t>1</w:t>
      </w:r>
      <w:r w:rsidR="00450C23">
        <w:rPr>
          <w:noProof/>
        </w:rPr>
        <w:fldChar w:fldCharType="end"/>
      </w:r>
      <w:r w:rsidRPr="00F67163">
        <w:t>. Potential Predictors of Chronic Obstructive Pulmonary Disease Prevalence</w:t>
      </w:r>
      <w:bookmarkEnd w:id="61"/>
      <w:bookmarkEnd w:id="62"/>
    </w:p>
    <w:tbl>
      <w:tblPr>
        <w:tblStyle w:val="TableGrid"/>
        <w:tblW w:w="0" w:type="auto"/>
        <w:tblLook w:val="04A0" w:firstRow="1" w:lastRow="0" w:firstColumn="1" w:lastColumn="0" w:noHBand="0" w:noVBand="1"/>
      </w:tblPr>
      <w:tblGrid>
        <w:gridCol w:w="4675"/>
        <w:gridCol w:w="4675"/>
      </w:tblGrid>
      <w:tr w:rsidR="00657A07" w:rsidRPr="00657A07" w14:paraId="32BE1323" w14:textId="77777777" w:rsidTr="007529CA">
        <w:tc>
          <w:tcPr>
            <w:tcW w:w="4675" w:type="dxa"/>
            <w:tcBorders>
              <w:top w:val="single" w:sz="12" w:space="0" w:color="auto"/>
              <w:left w:val="nil"/>
              <w:bottom w:val="single" w:sz="12" w:space="0" w:color="auto"/>
              <w:right w:val="nil"/>
            </w:tcBorders>
          </w:tcPr>
          <w:p w14:paraId="3B2C5F22" w14:textId="77777777" w:rsidR="00657A07" w:rsidRPr="00657A07" w:rsidRDefault="00657A07" w:rsidP="004D7656">
            <w:pPr>
              <w:jc w:val="center"/>
              <w:rPr>
                <w:rFonts w:ascii="Times New Roman" w:hAnsi="Times New Roman" w:cs="Times New Roman"/>
                <w:b/>
                <w:bCs/>
              </w:rPr>
            </w:pPr>
            <w:r w:rsidRPr="00657A07">
              <w:rPr>
                <w:rFonts w:ascii="Times New Roman" w:hAnsi="Times New Roman" w:cs="Times New Roman"/>
                <w:b/>
                <w:bCs/>
              </w:rPr>
              <w:t>Variable Theme</w:t>
            </w:r>
          </w:p>
        </w:tc>
        <w:tc>
          <w:tcPr>
            <w:tcW w:w="4675" w:type="dxa"/>
            <w:tcBorders>
              <w:top w:val="single" w:sz="12" w:space="0" w:color="auto"/>
              <w:left w:val="nil"/>
              <w:bottom w:val="single" w:sz="12" w:space="0" w:color="auto"/>
              <w:right w:val="nil"/>
            </w:tcBorders>
          </w:tcPr>
          <w:p w14:paraId="304A702C" w14:textId="77777777" w:rsidR="00657A07" w:rsidRPr="00657A07" w:rsidRDefault="00657A07" w:rsidP="004D7656">
            <w:pPr>
              <w:jc w:val="center"/>
              <w:rPr>
                <w:rFonts w:ascii="Times New Roman" w:hAnsi="Times New Roman" w:cs="Times New Roman"/>
                <w:b/>
                <w:bCs/>
              </w:rPr>
            </w:pPr>
            <w:r w:rsidRPr="00657A07">
              <w:rPr>
                <w:rFonts w:ascii="Times New Roman" w:hAnsi="Times New Roman" w:cs="Times New Roman"/>
                <w:b/>
                <w:bCs/>
              </w:rPr>
              <w:t>Variable</w:t>
            </w:r>
          </w:p>
        </w:tc>
      </w:tr>
      <w:tr w:rsidR="00657A07" w:rsidRPr="00657A07" w14:paraId="1CCC54FB" w14:textId="77777777" w:rsidTr="007529CA">
        <w:tc>
          <w:tcPr>
            <w:tcW w:w="4675" w:type="dxa"/>
            <w:tcBorders>
              <w:top w:val="single" w:sz="12" w:space="0" w:color="auto"/>
              <w:left w:val="nil"/>
              <w:bottom w:val="nil"/>
              <w:right w:val="nil"/>
            </w:tcBorders>
            <w:vAlign w:val="center"/>
          </w:tcPr>
          <w:p w14:paraId="40F106AC" w14:textId="77777777" w:rsidR="00657A07" w:rsidRPr="00657A07" w:rsidRDefault="00657A07" w:rsidP="004D7656">
            <w:pPr>
              <w:rPr>
                <w:rFonts w:ascii="Times New Roman" w:hAnsi="Times New Roman" w:cs="Times New Roman"/>
              </w:rPr>
            </w:pPr>
            <w:r w:rsidRPr="00657A07">
              <w:rPr>
                <w:rFonts w:ascii="Times New Roman" w:hAnsi="Times New Roman" w:cs="Times New Roman"/>
              </w:rPr>
              <w:t>Health</w:t>
            </w:r>
          </w:p>
        </w:tc>
        <w:tc>
          <w:tcPr>
            <w:tcW w:w="4675" w:type="dxa"/>
            <w:tcBorders>
              <w:top w:val="single" w:sz="12" w:space="0" w:color="auto"/>
              <w:left w:val="nil"/>
              <w:bottom w:val="nil"/>
              <w:right w:val="nil"/>
            </w:tcBorders>
            <w:vAlign w:val="center"/>
          </w:tcPr>
          <w:p w14:paraId="7999CFF8" w14:textId="77777777" w:rsidR="00657A07" w:rsidRPr="00657A07" w:rsidRDefault="00657A07" w:rsidP="004D7656">
            <w:pPr>
              <w:rPr>
                <w:rFonts w:ascii="Times New Roman" w:hAnsi="Times New Roman" w:cs="Times New Roman"/>
              </w:rPr>
            </w:pPr>
            <w:r w:rsidRPr="00657A07">
              <w:rPr>
                <w:rFonts w:ascii="Times New Roman" w:hAnsi="Times New Roman" w:cs="Times New Roman"/>
              </w:rPr>
              <w:t>% Asthma Diagnosis</w:t>
            </w:r>
          </w:p>
        </w:tc>
      </w:tr>
      <w:tr w:rsidR="00657A07" w:rsidRPr="00657A07" w14:paraId="169BA795" w14:textId="77777777" w:rsidTr="004D7656">
        <w:tc>
          <w:tcPr>
            <w:tcW w:w="4675" w:type="dxa"/>
            <w:vMerge w:val="restart"/>
            <w:tcBorders>
              <w:top w:val="nil"/>
              <w:left w:val="nil"/>
              <w:right w:val="nil"/>
            </w:tcBorders>
          </w:tcPr>
          <w:p w14:paraId="65E4ECA2" w14:textId="77777777" w:rsidR="00657A07" w:rsidRPr="00657A07" w:rsidRDefault="00657A07" w:rsidP="004D7656">
            <w:pPr>
              <w:rPr>
                <w:rFonts w:ascii="Times New Roman" w:hAnsi="Times New Roman" w:cs="Times New Roman"/>
              </w:rPr>
            </w:pPr>
            <w:r w:rsidRPr="00657A07">
              <w:rPr>
                <w:rFonts w:ascii="Times New Roman" w:hAnsi="Times New Roman" w:cs="Times New Roman"/>
              </w:rPr>
              <w:t>Smoking</w:t>
            </w:r>
          </w:p>
        </w:tc>
        <w:tc>
          <w:tcPr>
            <w:tcW w:w="4675" w:type="dxa"/>
            <w:tcBorders>
              <w:top w:val="nil"/>
              <w:left w:val="nil"/>
              <w:bottom w:val="nil"/>
              <w:right w:val="nil"/>
            </w:tcBorders>
            <w:vAlign w:val="center"/>
          </w:tcPr>
          <w:p w14:paraId="1A56FFAF" w14:textId="77777777" w:rsidR="00657A07" w:rsidRPr="00657A07" w:rsidRDefault="00657A07" w:rsidP="004D7656">
            <w:pPr>
              <w:rPr>
                <w:rFonts w:ascii="Times New Roman" w:hAnsi="Times New Roman" w:cs="Times New Roman"/>
              </w:rPr>
            </w:pPr>
            <w:r w:rsidRPr="00657A07">
              <w:rPr>
                <w:rFonts w:ascii="Times New Roman" w:hAnsi="Times New Roman" w:cs="Times New Roman"/>
              </w:rPr>
              <w:t>% Current Smokers</w:t>
            </w:r>
          </w:p>
        </w:tc>
      </w:tr>
      <w:tr w:rsidR="00657A07" w:rsidRPr="00657A07" w14:paraId="32129399" w14:textId="77777777" w:rsidTr="004D7656">
        <w:tc>
          <w:tcPr>
            <w:tcW w:w="4675" w:type="dxa"/>
            <w:vMerge/>
            <w:tcBorders>
              <w:left w:val="nil"/>
              <w:right w:val="nil"/>
            </w:tcBorders>
          </w:tcPr>
          <w:p w14:paraId="6C78ABC9" w14:textId="77777777" w:rsidR="00657A07" w:rsidRPr="00657A07" w:rsidRDefault="00657A07" w:rsidP="004D7656">
            <w:pPr>
              <w:rPr>
                <w:rFonts w:ascii="Times New Roman" w:hAnsi="Times New Roman" w:cs="Times New Roman"/>
              </w:rPr>
            </w:pPr>
          </w:p>
        </w:tc>
        <w:tc>
          <w:tcPr>
            <w:tcW w:w="4675" w:type="dxa"/>
            <w:tcBorders>
              <w:top w:val="nil"/>
              <w:left w:val="nil"/>
              <w:bottom w:val="nil"/>
              <w:right w:val="nil"/>
            </w:tcBorders>
            <w:vAlign w:val="center"/>
          </w:tcPr>
          <w:p w14:paraId="6C6321BF" w14:textId="77777777" w:rsidR="00657A07" w:rsidRPr="00657A07" w:rsidRDefault="00657A07" w:rsidP="004D7656">
            <w:pPr>
              <w:rPr>
                <w:rFonts w:ascii="Times New Roman" w:hAnsi="Times New Roman" w:cs="Times New Roman"/>
              </w:rPr>
            </w:pPr>
            <w:r w:rsidRPr="00657A07">
              <w:rPr>
                <w:rFonts w:ascii="Times New Roman" w:hAnsi="Times New Roman" w:cs="Times New Roman"/>
              </w:rPr>
              <w:t>% Former Smokers</w:t>
            </w:r>
          </w:p>
        </w:tc>
      </w:tr>
      <w:tr w:rsidR="00657A07" w:rsidRPr="00657A07" w14:paraId="61D6141B" w14:textId="77777777" w:rsidTr="004D7656">
        <w:tc>
          <w:tcPr>
            <w:tcW w:w="4675" w:type="dxa"/>
            <w:vMerge/>
            <w:tcBorders>
              <w:left w:val="nil"/>
              <w:bottom w:val="nil"/>
              <w:right w:val="nil"/>
            </w:tcBorders>
          </w:tcPr>
          <w:p w14:paraId="0DB52E20" w14:textId="77777777" w:rsidR="00657A07" w:rsidRPr="00657A07" w:rsidRDefault="00657A07" w:rsidP="004D7656">
            <w:pPr>
              <w:rPr>
                <w:rFonts w:ascii="Times New Roman" w:hAnsi="Times New Roman" w:cs="Times New Roman"/>
              </w:rPr>
            </w:pPr>
          </w:p>
        </w:tc>
        <w:tc>
          <w:tcPr>
            <w:tcW w:w="4675" w:type="dxa"/>
            <w:tcBorders>
              <w:top w:val="nil"/>
              <w:left w:val="nil"/>
              <w:bottom w:val="nil"/>
              <w:right w:val="nil"/>
            </w:tcBorders>
            <w:vAlign w:val="center"/>
          </w:tcPr>
          <w:p w14:paraId="7AB7376C" w14:textId="77777777" w:rsidR="00657A07" w:rsidRPr="00657A07" w:rsidRDefault="00657A07" w:rsidP="004D7656">
            <w:pPr>
              <w:rPr>
                <w:rFonts w:ascii="Times New Roman" w:hAnsi="Times New Roman" w:cs="Times New Roman"/>
              </w:rPr>
            </w:pPr>
            <w:r w:rsidRPr="00657A07">
              <w:rPr>
                <w:rFonts w:ascii="Times New Roman" w:hAnsi="Times New Roman" w:cs="Times New Roman"/>
              </w:rPr>
              <w:t>% Never Smokers</w:t>
            </w:r>
          </w:p>
        </w:tc>
      </w:tr>
      <w:tr w:rsidR="00657A07" w:rsidRPr="00657A07" w14:paraId="62449D41" w14:textId="77777777" w:rsidTr="004D7656">
        <w:tc>
          <w:tcPr>
            <w:tcW w:w="4675" w:type="dxa"/>
            <w:vMerge w:val="restart"/>
            <w:tcBorders>
              <w:top w:val="nil"/>
              <w:left w:val="nil"/>
              <w:right w:val="nil"/>
            </w:tcBorders>
          </w:tcPr>
          <w:p w14:paraId="6CCE42F9" w14:textId="77777777" w:rsidR="00657A07" w:rsidRPr="00657A07" w:rsidRDefault="00657A07" w:rsidP="004D7656">
            <w:pPr>
              <w:rPr>
                <w:rFonts w:ascii="Times New Roman" w:hAnsi="Times New Roman" w:cs="Times New Roman"/>
              </w:rPr>
            </w:pPr>
            <w:r w:rsidRPr="00657A07">
              <w:rPr>
                <w:rFonts w:ascii="Times New Roman" w:hAnsi="Times New Roman" w:cs="Times New Roman"/>
              </w:rPr>
              <w:t>Economic</w:t>
            </w:r>
          </w:p>
        </w:tc>
        <w:tc>
          <w:tcPr>
            <w:tcW w:w="4675" w:type="dxa"/>
            <w:tcBorders>
              <w:top w:val="nil"/>
              <w:left w:val="nil"/>
              <w:bottom w:val="nil"/>
              <w:right w:val="nil"/>
            </w:tcBorders>
          </w:tcPr>
          <w:p w14:paraId="3FEC2B44" w14:textId="77777777" w:rsidR="00657A07" w:rsidRPr="00657A07" w:rsidRDefault="00657A07" w:rsidP="004D7656">
            <w:pPr>
              <w:rPr>
                <w:rFonts w:ascii="Times New Roman" w:hAnsi="Times New Roman" w:cs="Times New Roman"/>
              </w:rPr>
            </w:pPr>
            <w:r w:rsidRPr="00657A07">
              <w:rPr>
                <w:rFonts w:ascii="Times New Roman" w:hAnsi="Times New Roman" w:cs="Times New Roman"/>
              </w:rPr>
              <w:t>% Individuals Below Poverty Line</w:t>
            </w:r>
          </w:p>
        </w:tc>
      </w:tr>
      <w:tr w:rsidR="00657A07" w:rsidRPr="00657A07" w14:paraId="0AA6C224" w14:textId="77777777" w:rsidTr="004D7656">
        <w:tc>
          <w:tcPr>
            <w:tcW w:w="4675" w:type="dxa"/>
            <w:vMerge/>
            <w:tcBorders>
              <w:left w:val="nil"/>
              <w:right w:val="nil"/>
            </w:tcBorders>
          </w:tcPr>
          <w:p w14:paraId="7D51A060" w14:textId="77777777" w:rsidR="00657A07" w:rsidRPr="00657A07" w:rsidRDefault="00657A07" w:rsidP="004D7656">
            <w:pPr>
              <w:rPr>
                <w:rFonts w:ascii="Times New Roman" w:hAnsi="Times New Roman" w:cs="Times New Roman"/>
              </w:rPr>
            </w:pPr>
          </w:p>
        </w:tc>
        <w:tc>
          <w:tcPr>
            <w:tcW w:w="4675" w:type="dxa"/>
            <w:tcBorders>
              <w:top w:val="nil"/>
              <w:left w:val="nil"/>
              <w:bottom w:val="nil"/>
              <w:right w:val="nil"/>
            </w:tcBorders>
          </w:tcPr>
          <w:p w14:paraId="3F8273F1" w14:textId="77777777" w:rsidR="00657A07" w:rsidRPr="00657A07" w:rsidRDefault="00657A07" w:rsidP="004D7656">
            <w:pPr>
              <w:rPr>
                <w:rFonts w:ascii="Times New Roman" w:hAnsi="Times New Roman" w:cs="Times New Roman"/>
              </w:rPr>
            </w:pPr>
            <w:r w:rsidRPr="00657A07">
              <w:rPr>
                <w:rFonts w:ascii="Times New Roman" w:hAnsi="Times New Roman" w:cs="Times New Roman"/>
              </w:rPr>
              <w:t>% Families Below Poverty Line</w:t>
            </w:r>
          </w:p>
        </w:tc>
      </w:tr>
      <w:tr w:rsidR="00657A07" w:rsidRPr="00657A07" w14:paraId="1180BDB2" w14:textId="77777777" w:rsidTr="004D7656">
        <w:tc>
          <w:tcPr>
            <w:tcW w:w="4675" w:type="dxa"/>
            <w:vMerge/>
            <w:tcBorders>
              <w:left w:val="nil"/>
              <w:bottom w:val="nil"/>
              <w:right w:val="nil"/>
            </w:tcBorders>
          </w:tcPr>
          <w:p w14:paraId="3A728D89" w14:textId="77777777" w:rsidR="00657A07" w:rsidRPr="00657A07" w:rsidRDefault="00657A07" w:rsidP="004D7656">
            <w:pPr>
              <w:rPr>
                <w:rFonts w:ascii="Times New Roman" w:hAnsi="Times New Roman" w:cs="Times New Roman"/>
              </w:rPr>
            </w:pPr>
          </w:p>
        </w:tc>
        <w:tc>
          <w:tcPr>
            <w:tcW w:w="4675" w:type="dxa"/>
            <w:tcBorders>
              <w:top w:val="nil"/>
              <w:left w:val="nil"/>
              <w:bottom w:val="nil"/>
              <w:right w:val="nil"/>
            </w:tcBorders>
          </w:tcPr>
          <w:p w14:paraId="57AC8BEC" w14:textId="77777777" w:rsidR="00657A07" w:rsidRPr="00657A07" w:rsidRDefault="00657A07" w:rsidP="004D7656">
            <w:pPr>
              <w:rPr>
                <w:rFonts w:ascii="Times New Roman" w:hAnsi="Times New Roman" w:cs="Times New Roman"/>
              </w:rPr>
            </w:pPr>
            <w:r w:rsidRPr="00657A07">
              <w:rPr>
                <w:rFonts w:ascii="Times New Roman" w:hAnsi="Times New Roman" w:cs="Times New Roman"/>
              </w:rPr>
              <w:t>Median Household Income</w:t>
            </w:r>
          </w:p>
        </w:tc>
      </w:tr>
      <w:tr w:rsidR="00657A07" w:rsidRPr="00657A07" w14:paraId="54CE67BC" w14:textId="77777777" w:rsidTr="004D7656">
        <w:tc>
          <w:tcPr>
            <w:tcW w:w="4675" w:type="dxa"/>
            <w:vMerge w:val="restart"/>
            <w:tcBorders>
              <w:top w:val="nil"/>
              <w:left w:val="nil"/>
              <w:right w:val="nil"/>
            </w:tcBorders>
          </w:tcPr>
          <w:p w14:paraId="12FA0ACB" w14:textId="77777777" w:rsidR="00657A07" w:rsidRPr="00657A07" w:rsidRDefault="00657A07" w:rsidP="004D7656">
            <w:pPr>
              <w:rPr>
                <w:rFonts w:ascii="Times New Roman" w:hAnsi="Times New Roman" w:cs="Times New Roman"/>
              </w:rPr>
            </w:pPr>
            <w:r w:rsidRPr="00657A07">
              <w:rPr>
                <w:rFonts w:ascii="Times New Roman" w:hAnsi="Times New Roman" w:cs="Times New Roman"/>
              </w:rPr>
              <w:t>Sex</w:t>
            </w:r>
          </w:p>
        </w:tc>
        <w:tc>
          <w:tcPr>
            <w:tcW w:w="4675" w:type="dxa"/>
            <w:tcBorders>
              <w:top w:val="nil"/>
              <w:left w:val="nil"/>
              <w:bottom w:val="nil"/>
              <w:right w:val="nil"/>
            </w:tcBorders>
          </w:tcPr>
          <w:p w14:paraId="1D7CB8E8" w14:textId="77777777" w:rsidR="00657A07" w:rsidRPr="00657A07" w:rsidRDefault="00657A07" w:rsidP="004D7656">
            <w:pPr>
              <w:rPr>
                <w:rFonts w:ascii="Times New Roman" w:hAnsi="Times New Roman" w:cs="Times New Roman"/>
              </w:rPr>
            </w:pPr>
            <w:r w:rsidRPr="00657A07">
              <w:rPr>
                <w:rFonts w:ascii="Times New Roman" w:hAnsi="Times New Roman" w:cs="Times New Roman"/>
              </w:rPr>
              <w:t>% Male</w:t>
            </w:r>
          </w:p>
        </w:tc>
      </w:tr>
      <w:tr w:rsidR="00657A07" w:rsidRPr="00657A07" w14:paraId="20CE9B47" w14:textId="77777777" w:rsidTr="004D7656">
        <w:tc>
          <w:tcPr>
            <w:tcW w:w="4675" w:type="dxa"/>
            <w:vMerge/>
            <w:tcBorders>
              <w:left w:val="nil"/>
              <w:bottom w:val="nil"/>
              <w:right w:val="nil"/>
            </w:tcBorders>
          </w:tcPr>
          <w:p w14:paraId="0D6E6DC4" w14:textId="77777777" w:rsidR="00657A07" w:rsidRPr="00657A07" w:rsidRDefault="00657A07" w:rsidP="004D7656">
            <w:pPr>
              <w:rPr>
                <w:rFonts w:ascii="Times New Roman" w:hAnsi="Times New Roman" w:cs="Times New Roman"/>
              </w:rPr>
            </w:pPr>
          </w:p>
        </w:tc>
        <w:tc>
          <w:tcPr>
            <w:tcW w:w="4675" w:type="dxa"/>
            <w:tcBorders>
              <w:top w:val="nil"/>
              <w:left w:val="nil"/>
              <w:bottom w:val="nil"/>
              <w:right w:val="nil"/>
            </w:tcBorders>
          </w:tcPr>
          <w:p w14:paraId="6075C334" w14:textId="77777777" w:rsidR="00657A07" w:rsidRPr="00657A07" w:rsidRDefault="00657A07" w:rsidP="004D7656">
            <w:pPr>
              <w:rPr>
                <w:rFonts w:ascii="Times New Roman" w:hAnsi="Times New Roman" w:cs="Times New Roman"/>
              </w:rPr>
            </w:pPr>
            <w:r w:rsidRPr="00657A07">
              <w:rPr>
                <w:rFonts w:ascii="Times New Roman" w:hAnsi="Times New Roman" w:cs="Times New Roman"/>
              </w:rPr>
              <w:t>% Female</w:t>
            </w:r>
          </w:p>
        </w:tc>
      </w:tr>
      <w:tr w:rsidR="00657A07" w:rsidRPr="00657A07" w14:paraId="7680A39D" w14:textId="77777777" w:rsidTr="004D7656">
        <w:tc>
          <w:tcPr>
            <w:tcW w:w="4675" w:type="dxa"/>
            <w:vMerge w:val="restart"/>
            <w:tcBorders>
              <w:top w:val="nil"/>
              <w:left w:val="nil"/>
              <w:right w:val="nil"/>
            </w:tcBorders>
          </w:tcPr>
          <w:p w14:paraId="3127B029" w14:textId="77777777" w:rsidR="00657A07" w:rsidRPr="00657A07" w:rsidRDefault="00657A07" w:rsidP="004D7656">
            <w:pPr>
              <w:rPr>
                <w:rFonts w:ascii="Times New Roman" w:hAnsi="Times New Roman" w:cs="Times New Roman"/>
              </w:rPr>
            </w:pPr>
            <w:r w:rsidRPr="00657A07">
              <w:rPr>
                <w:rFonts w:ascii="Times New Roman" w:hAnsi="Times New Roman" w:cs="Times New Roman"/>
              </w:rPr>
              <w:t>Race and Ethnicity</w:t>
            </w:r>
          </w:p>
        </w:tc>
        <w:tc>
          <w:tcPr>
            <w:tcW w:w="4675" w:type="dxa"/>
            <w:tcBorders>
              <w:top w:val="nil"/>
              <w:left w:val="nil"/>
              <w:bottom w:val="nil"/>
              <w:right w:val="nil"/>
            </w:tcBorders>
          </w:tcPr>
          <w:p w14:paraId="5A9DE5AA" w14:textId="77777777" w:rsidR="00657A07" w:rsidRPr="00657A07" w:rsidRDefault="00657A07" w:rsidP="004D7656">
            <w:pPr>
              <w:rPr>
                <w:rFonts w:ascii="Times New Roman" w:hAnsi="Times New Roman" w:cs="Times New Roman"/>
              </w:rPr>
            </w:pPr>
            <w:r w:rsidRPr="00657A07">
              <w:rPr>
                <w:rFonts w:ascii="Times New Roman" w:hAnsi="Times New Roman" w:cs="Times New Roman"/>
              </w:rPr>
              <w:t>% White Hispanic</w:t>
            </w:r>
          </w:p>
        </w:tc>
      </w:tr>
      <w:tr w:rsidR="00657A07" w:rsidRPr="00657A07" w14:paraId="59CC0E88" w14:textId="77777777" w:rsidTr="004D7656">
        <w:tc>
          <w:tcPr>
            <w:tcW w:w="4675" w:type="dxa"/>
            <w:vMerge/>
            <w:tcBorders>
              <w:left w:val="nil"/>
              <w:right w:val="nil"/>
            </w:tcBorders>
          </w:tcPr>
          <w:p w14:paraId="4011BDB7" w14:textId="77777777" w:rsidR="00657A07" w:rsidRPr="00657A07" w:rsidRDefault="00657A07" w:rsidP="004D7656">
            <w:pPr>
              <w:rPr>
                <w:rFonts w:ascii="Times New Roman" w:hAnsi="Times New Roman" w:cs="Times New Roman"/>
              </w:rPr>
            </w:pPr>
          </w:p>
        </w:tc>
        <w:tc>
          <w:tcPr>
            <w:tcW w:w="4675" w:type="dxa"/>
            <w:tcBorders>
              <w:top w:val="nil"/>
              <w:left w:val="nil"/>
              <w:bottom w:val="nil"/>
              <w:right w:val="nil"/>
            </w:tcBorders>
          </w:tcPr>
          <w:p w14:paraId="03A7DCBE" w14:textId="77777777" w:rsidR="00657A07" w:rsidRPr="00657A07" w:rsidRDefault="00657A07" w:rsidP="004D7656">
            <w:pPr>
              <w:rPr>
                <w:rFonts w:ascii="Times New Roman" w:hAnsi="Times New Roman" w:cs="Times New Roman"/>
              </w:rPr>
            </w:pPr>
            <w:r w:rsidRPr="00657A07">
              <w:rPr>
                <w:rFonts w:ascii="Times New Roman" w:hAnsi="Times New Roman" w:cs="Times New Roman"/>
              </w:rPr>
              <w:t>% White Non-Hispanic</w:t>
            </w:r>
          </w:p>
        </w:tc>
      </w:tr>
      <w:tr w:rsidR="00657A07" w:rsidRPr="00657A07" w14:paraId="05280B23" w14:textId="77777777" w:rsidTr="004D7656">
        <w:tc>
          <w:tcPr>
            <w:tcW w:w="4675" w:type="dxa"/>
            <w:vMerge/>
            <w:tcBorders>
              <w:left w:val="nil"/>
              <w:right w:val="nil"/>
            </w:tcBorders>
          </w:tcPr>
          <w:p w14:paraId="04566960" w14:textId="77777777" w:rsidR="00657A07" w:rsidRPr="00657A07" w:rsidRDefault="00657A07" w:rsidP="004D7656">
            <w:pPr>
              <w:rPr>
                <w:rFonts w:ascii="Times New Roman" w:hAnsi="Times New Roman" w:cs="Times New Roman"/>
              </w:rPr>
            </w:pPr>
          </w:p>
        </w:tc>
        <w:tc>
          <w:tcPr>
            <w:tcW w:w="4675" w:type="dxa"/>
            <w:tcBorders>
              <w:top w:val="nil"/>
              <w:left w:val="nil"/>
              <w:bottom w:val="nil"/>
              <w:right w:val="nil"/>
            </w:tcBorders>
          </w:tcPr>
          <w:p w14:paraId="021545EB" w14:textId="77777777" w:rsidR="00657A07" w:rsidRPr="00657A07" w:rsidRDefault="00657A07" w:rsidP="004D7656">
            <w:pPr>
              <w:rPr>
                <w:rFonts w:ascii="Times New Roman" w:hAnsi="Times New Roman" w:cs="Times New Roman"/>
              </w:rPr>
            </w:pPr>
            <w:r w:rsidRPr="00657A07">
              <w:rPr>
                <w:rFonts w:ascii="Times New Roman" w:hAnsi="Times New Roman" w:cs="Times New Roman"/>
              </w:rPr>
              <w:t>% Non-White Hispanic</w:t>
            </w:r>
          </w:p>
        </w:tc>
      </w:tr>
      <w:tr w:rsidR="00657A07" w:rsidRPr="00657A07" w14:paraId="10D3B4A4" w14:textId="77777777" w:rsidTr="004D7656">
        <w:tc>
          <w:tcPr>
            <w:tcW w:w="4675" w:type="dxa"/>
            <w:vMerge/>
            <w:tcBorders>
              <w:left w:val="nil"/>
              <w:bottom w:val="nil"/>
              <w:right w:val="nil"/>
            </w:tcBorders>
          </w:tcPr>
          <w:p w14:paraId="6C3FEB1F" w14:textId="77777777" w:rsidR="00657A07" w:rsidRPr="00657A07" w:rsidRDefault="00657A07" w:rsidP="004D7656">
            <w:pPr>
              <w:rPr>
                <w:rFonts w:ascii="Times New Roman" w:hAnsi="Times New Roman" w:cs="Times New Roman"/>
              </w:rPr>
            </w:pPr>
          </w:p>
        </w:tc>
        <w:tc>
          <w:tcPr>
            <w:tcW w:w="4675" w:type="dxa"/>
            <w:tcBorders>
              <w:top w:val="nil"/>
              <w:left w:val="nil"/>
              <w:bottom w:val="nil"/>
              <w:right w:val="nil"/>
            </w:tcBorders>
          </w:tcPr>
          <w:p w14:paraId="6B2BF7F0" w14:textId="77777777" w:rsidR="00657A07" w:rsidRPr="00657A07" w:rsidRDefault="00657A07" w:rsidP="004D7656">
            <w:pPr>
              <w:rPr>
                <w:rFonts w:ascii="Times New Roman" w:hAnsi="Times New Roman" w:cs="Times New Roman"/>
              </w:rPr>
            </w:pPr>
            <w:r w:rsidRPr="00657A07">
              <w:rPr>
                <w:rFonts w:ascii="Times New Roman" w:hAnsi="Times New Roman" w:cs="Times New Roman"/>
              </w:rPr>
              <w:t>% Non-White Non-Hispanic</w:t>
            </w:r>
          </w:p>
        </w:tc>
      </w:tr>
      <w:tr w:rsidR="00657A07" w:rsidRPr="00657A07" w14:paraId="1751A788" w14:textId="77777777" w:rsidTr="004D7656">
        <w:tc>
          <w:tcPr>
            <w:tcW w:w="4675" w:type="dxa"/>
            <w:vMerge w:val="restart"/>
            <w:tcBorders>
              <w:top w:val="nil"/>
              <w:left w:val="nil"/>
              <w:right w:val="nil"/>
            </w:tcBorders>
          </w:tcPr>
          <w:p w14:paraId="24C5B432" w14:textId="77777777" w:rsidR="00657A07" w:rsidRPr="00657A07" w:rsidRDefault="00657A07" w:rsidP="004D7656">
            <w:pPr>
              <w:rPr>
                <w:rFonts w:ascii="Times New Roman" w:hAnsi="Times New Roman" w:cs="Times New Roman"/>
              </w:rPr>
            </w:pPr>
            <w:r w:rsidRPr="00657A07">
              <w:rPr>
                <w:rFonts w:ascii="Times New Roman" w:hAnsi="Times New Roman" w:cs="Times New Roman"/>
              </w:rPr>
              <w:t>Geographic</w:t>
            </w:r>
          </w:p>
        </w:tc>
        <w:tc>
          <w:tcPr>
            <w:tcW w:w="4675" w:type="dxa"/>
            <w:tcBorders>
              <w:top w:val="nil"/>
              <w:left w:val="nil"/>
              <w:bottom w:val="nil"/>
              <w:right w:val="nil"/>
            </w:tcBorders>
          </w:tcPr>
          <w:p w14:paraId="4F9EB9FB" w14:textId="77777777" w:rsidR="00657A07" w:rsidRPr="00657A07" w:rsidRDefault="00657A07" w:rsidP="004D7656">
            <w:pPr>
              <w:rPr>
                <w:rFonts w:ascii="Times New Roman" w:hAnsi="Times New Roman" w:cs="Times New Roman"/>
              </w:rPr>
            </w:pPr>
            <w:r w:rsidRPr="00657A07">
              <w:rPr>
                <w:rFonts w:ascii="Times New Roman" w:hAnsi="Times New Roman" w:cs="Times New Roman"/>
              </w:rPr>
              <w:t>% Rural</w:t>
            </w:r>
          </w:p>
        </w:tc>
      </w:tr>
      <w:tr w:rsidR="00657A07" w:rsidRPr="00657A07" w14:paraId="64397B8D" w14:textId="77777777" w:rsidTr="00B73A2F">
        <w:tc>
          <w:tcPr>
            <w:tcW w:w="4675" w:type="dxa"/>
            <w:vMerge/>
            <w:tcBorders>
              <w:left w:val="nil"/>
              <w:bottom w:val="single" w:sz="12" w:space="0" w:color="auto"/>
              <w:right w:val="nil"/>
            </w:tcBorders>
          </w:tcPr>
          <w:p w14:paraId="3294BB9D" w14:textId="77777777" w:rsidR="00657A07" w:rsidRPr="00657A07" w:rsidRDefault="00657A07" w:rsidP="004D7656">
            <w:pPr>
              <w:rPr>
                <w:rFonts w:ascii="Times New Roman" w:hAnsi="Times New Roman" w:cs="Times New Roman"/>
              </w:rPr>
            </w:pPr>
          </w:p>
        </w:tc>
        <w:tc>
          <w:tcPr>
            <w:tcW w:w="4675" w:type="dxa"/>
            <w:tcBorders>
              <w:top w:val="nil"/>
              <w:left w:val="nil"/>
              <w:bottom w:val="single" w:sz="12" w:space="0" w:color="auto"/>
              <w:right w:val="nil"/>
            </w:tcBorders>
          </w:tcPr>
          <w:p w14:paraId="0EEE3A26" w14:textId="77777777" w:rsidR="00657A07" w:rsidRPr="00657A07" w:rsidRDefault="00657A07" w:rsidP="004D7656">
            <w:pPr>
              <w:rPr>
                <w:rFonts w:ascii="Times New Roman" w:hAnsi="Times New Roman" w:cs="Times New Roman"/>
              </w:rPr>
            </w:pPr>
            <w:r w:rsidRPr="00657A07">
              <w:rPr>
                <w:rFonts w:ascii="Times New Roman" w:hAnsi="Times New Roman" w:cs="Times New Roman"/>
              </w:rPr>
              <w:t>Mean Daily Particulate Matter 2.5 (PM</w:t>
            </w:r>
            <w:r w:rsidRPr="00657A07">
              <w:rPr>
                <w:rFonts w:ascii="Times New Roman" w:hAnsi="Times New Roman" w:cs="Times New Roman"/>
                <w:vertAlign w:val="subscript"/>
              </w:rPr>
              <w:t>2.5</w:t>
            </w:r>
            <w:r w:rsidRPr="00657A07">
              <w:rPr>
                <w:rFonts w:ascii="Times New Roman" w:hAnsi="Times New Roman" w:cs="Times New Roman"/>
              </w:rPr>
              <w:t>)</w:t>
            </w:r>
          </w:p>
        </w:tc>
      </w:tr>
    </w:tbl>
    <w:p w14:paraId="3108D6FC" w14:textId="77777777" w:rsidR="00657A07" w:rsidRDefault="00657A07" w:rsidP="00657A07">
      <w:pPr>
        <w:spacing w:line="480" w:lineRule="auto"/>
        <w:rPr>
          <w:rFonts w:ascii="Times New Roman" w:hAnsi="Times New Roman" w:cs="Times New Roman"/>
        </w:rPr>
      </w:pPr>
    </w:p>
    <w:p w14:paraId="3C05B9CA" w14:textId="42B55F03" w:rsidR="00657A07" w:rsidRDefault="00657A07">
      <w:pPr>
        <w:rPr>
          <w:rFonts w:ascii="Times New Roman" w:hAnsi="Times New Roman" w:cs="Times New Roman"/>
        </w:rPr>
      </w:pPr>
      <w:r>
        <w:rPr>
          <w:rFonts w:ascii="Times New Roman" w:hAnsi="Times New Roman" w:cs="Times New Roman"/>
        </w:rPr>
        <w:br w:type="page"/>
      </w:r>
    </w:p>
    <w:p w14:paraId="36AD9C45" w14:textId="5C41F192" w:rsidR="004E1844" w:rsidRPr="001B3CE2" w:rsidRDefault="004E1844" w:rsidP="00B73A2F">
      <w:pPr>
        <w:pStyle w:val="Heading4"/>
        <w:spacing w:before="0" w:after="0" w:line="480" w:lineRule="auto"/>
      </w:pPr>
      <w:bookmarkStart w:id="63" w:name="_Toc200096973"/>
      <w:r w:rsidRPr="001B3CE2">
        <w:lastRenderedPageBreak/>
        <w:t>Descriptive Analyses and Data Preparation</w:t>
      </w:r>
      <w:bookmarkEnd w:id="63"/>
      <w:r w:rsidRPr="001B3CE2">
        <w:t xml:space="preserve"> </w:t>
      </w:r>
    </w:p>
    <w:p w14:paraId="62DB5A94" w14:textId="6A2F90F3" w:rsidR="004E1844" w:rsidRDefault="004E1844" w:rsidP="00B73A2F">
      <w:pPr>
        <w:spacing w:after="0" w:line="480" w:lineRule="auto"/>
        <w:ind w:firstLine="720"/>
        <w:rPr>
          <w:rFonts w:ascii="Times New Roman" w:hAnsi="Times New Roman" w:cs="Times New Roman"/>
        </w:rPr>
      </w:pPr>
      <w:r w:rsidRPr="004E1844">
        <w:rPr>
          <w:rFonts w:ascii="Times New Roman" w:hAnsi="Times New Roman" w:cs="Times New Roman"/>
          <w:iCs/>
        </w:rPr>
        <w:t>All</w:t>
      </w:r>
      <w:r w:rsidRPr="004E1844">
        <w:rPr>
          <w:rFonts w:ascii="Times New Roman" w:hAnsi="Times New Roman" w:cs="Times New Roman"/>
          <w:i/>
          <w:iCs/>
        </w:rPr>
        <w:t xml:space="preserve"> </w:t>
      </w:r>
      <w:r w:rsidRPr="004E1844">
        <w:rPr>
          <w:rFonts w:ascii="Times New Roman" w:hAnsi="Times New Roman" w:cs="Times New Roman"/>
        </w:rPr>
        <w:t xml:space="preserve">descriptive analyses and data preparation were performed using RStudio 2021.09.2 </w:t>
      </w:r>
      <w:sdt>
        <w:sdtPr>
          <w:rPr>
            <w:rFonts w:ascii="Times New Roman" w:hAnsi="Times New Roman" w:cs="Times New Roman"/>
            <w:color w:val="000000"/>
          </w:rPr>
          <w:tag w:val="MENDELEY_CITATION_v3_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"/>
          <w:id w:val="1387532288"/>
          <w:placeholder>
            <w:docPart w:val="DefaultPlaceholder_-1854013440"/>
          </w:placeholder>
        </w:sdtPr>
        <w:sdtEndPr/>
        <w:sdtContent>
          <w:r w:rsidR="00572E88" w:rsidRPr="00572E88">
            <w:rPr>
              <w:rFonts w:ascii="Times New Roman" w:hAnsi="Times New Roman" w:cs="Times New Roman"/>
              <w:color w:val="000000"/>
            </w:rPr>
            <w:t>[132]</w:t>
          </w:r>
        </w:sdtContent>
      </w:sdt>
      <w:r w:rsidRPr="004E1844">
        <w:rPr>
          <w:rFonts w:ascii="Times New Roman" w:hAnsi="Times New Roman" w:cs="Times New Roman"/>
        </w:rPr>
        <w:t xml:space="preserve"> interface of R version 4.0.4</w:t>
      </w:r>
      <w:r w:rsidR="001B3CE2">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"/>
          <w:id w:val="-518232471"/>
          <w:placeholder>
            <w:docPart w:val="DefaultPlaceholder_-1854013440"/>
          </w:placeholder>
        </w:sdtPr>
        <w:sdtEndPr/>
        <w:sdtContent>
          <w:r w:rsidR="00572E88" w:rsidRPr="00572E88">
            <w:rPr>
              <w:rFonts w:ascii="Times New Roman" w:hAnsi="Times New Roman" w:cs="Times New Roman"/>
              <w:color w:val="000000"/>
            </w:rPr>
            <w:t>[133]</w:t>
          </w:r>
        </w:sdtContent>
      </w:sdt>
      <w:r w:rsidRPr="004E1844">
        <w:rPr>
          <w:rFonts w:ascii="Times New Roman" w:hAnsi="Times New Roman" w:cs="Times New Roman"/>
        </w:rPr>
        <w:t xml:space="preserve">. County-level COPD prevalence was age-standardized using the direct method </w:t>
      </w:r>
      <w:sdt>
        <w:sdtPr>
          <w:rPr>
            <w:rFonts w:ascii="Times New Roman" w:hAnsi="Times New Roman" w:cs="Times New Roman"/>
            <w:color w:val="000000"/>
          </w:rPr>
          <w:tag w:val="MENDELEY_CITATION_v3_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"/>
          <w:id w:val="-369457612"/>
          <w:placeholder>
            <w:docPart w:val="DefaultPlaceholder_-1854013440"/>
          </w:placeholder>
        </w:sdtPr>
        <w:sdtEndPr/>
        <w:sdtContent>
          <w:r w:rsidR="00572E88" w:rsidRPr="00572E88">
            <w:rPr>
              <w:rFonts w:ascii="Times New Roman" w:hAnsi="Times New Roman" w:cs="Times New Roman"/>
              <w:color w:val="000000"/>
            </w:rPr>
            <w:t>[134]</w:t>
          </w:r>
        </w:sdtContent>
      </w:sdt>
      <w:r w:rsidRPr="004E1844">
        <w:rPr>
          <w:rFonts w:ascii="Times New Roman" w:hAnsi="Times New Roman" w:cs="Times New Roman"/>
        </w:rPr>
        <w:t xml:space="preserve"> and 2020 United States population as the standard population </w:t>
      </w:r>
      <w:sdt>
        <w:sdtPr>
          <w:rPr>
            <w:rFonts w:ascii="Times New Roman" w:hAnsi="Times New Roman" w:cs="Times New Roman"/>
            <w:color w:val="000000"/>
          </w:rPr>
          <w:tag w:val="MENDELEY_CITATION_v3_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"/>
          <w:id w:val="321089225"/>
          <w:placeholder>
            <w:docPart w:val="DefaultPlaceholder_-1854013440"/>
          </w:placeholder>
        </w:sdtPr>
        <w:sdtEndPr/>
        <w:sdtContent>
          <w:r w:rsidR="00572E88" w:rsidRPr="00572E88">
            <w:rPr>
              <w:rFonts w:ascii="Times New Roman" w:hAnsi="Times New Roman" w:cs="Times New Roman"/>
              <w:color w:val="000000"/>
            </w:rPr>
            <w:t>[135]</w:t>
          </w:r>
        </w:sdtContent>
      </w:sdt>
      <w:r w:rsidRPr="004E1844">
        <w:rPr>
          <w:rFonts w:ascii="Times New Roman" w:hAnsi="Times New Roman" w:cs="Times New Roman"/>
        </w:rPr>
        <w:t xml:space="preserve">. The normality distribution of continuous variables was assessed using the Shapiro-Wilks test </w:t>
      </w:r>
      <w:sdt>
        <w:sdtPr>
          <w:rPr>
            <w:rFonts w:ascii="Times New Roman" w:hAnsi="Times New Roman" w:cs="Times New Roman"/>
            <w:color w:val="000000"/>
          </w:rPr>
          <w:tag w:val="MENDELEY_CITATION_v3_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"/>
          <w:id w:val="-1949776608"/>
          <w:placeholder>
            <w:docPart w:val="DefaultPlaceholder_-1854013440"/>
          </w:placeholder>
        </w:sdtPr>
        <w:sdtEndPr/>
        <w:sdtContent>
          <w:r w:rsidR="00572E88" w:rsidRPr="00572E88">
            <w:rPr>
              <w:rFonts w:ascii="Times New Roman" w:hAnsi="Times New Roman" w:cs="Times New Roman"/>
              <w:color w:val="000000"/>
            </w:rPr>
            <w:t>[136]</w:t>
          </w:r>
        </w:sdtContent>
      </w:sdt>
      <w:r w:rsidRPr="004E1844">
        <w:rPr>
          <w:rFonts w:ascii="Times New Roman" w:hAnsi="Times New Roman" w:cs="Times New Roman"/>
        </w:rPr>
        <w:t>. Since the majority of the continuous variables were not normally distributed, medians and interquartile ranges were reported for all continuous variables.</w:t>
      </w:r>
    </w:p>
    <w:p w14:paraId="40B4C586" w14:textId="77777777" w:rsidR="004E6532" w:rsidRPr="004E1844" w:rsidRDefault="004E6532" w:rsidP="00B73A2F">
      <w:pPr>
        <w:spacing w:after="0" w:line="480" w:lineRule="auto"/>
        <w:rPr>
          <w:rFonts w:ascii="Times New Roman" w:hAnsi="Times New Roman" w:cs="Times New Roman"/>
        </w:rPr>
      </w:pPr>
    </w:p>
    <w:p w14:paraId="142EDACD" w14:textId="79E69842" w:rsidR="004E1844" w:rsidRPr="001B3CE2" w:rsidRDefault="004E1844" w:rsidP="00B73A2F">
      <w:pPr>
        <w:pStyle w:val="Heading4"/>
        <w:spacing w:before="0" w:after="0" w:line="480" w:lineRule="auto"/>
      </w:pPr>
      <w:bookmarkStart w:id="64" w:name="_Toc200096974"/>
      <w:r w:rsidRPr="001B3CE2">
        <w:t>Cluster Identification and Investigation</w:t>
      </w:r>
      <w:bookmarkEnd w:id="64"/>
    </w:p>
    <w:p w14:paraId="00A3D46A" w14:textId="77777777" w:rsidR="004E6532" w:rsidRDefault="004E1844" w:rsidP="00B73A2F">
      <w:pPr>
        <w:spacing w:after="0" w:line="480" w:lineRule="auto"/>
        <w:ind w:firstLine="720"/>
        <w:rPr>
          <w:rFonts w:ascii="Times New Roman" w:hAnsi="Times New Roman" w:cs="Times New Roman"/>
        </w:rPr>
      </w:pPr>
      <w:r w:rsidRPr="004E1844">
        <w:rPr>
          <w:rFonts w:ascii="Times New Roman" w:hAnsi="Times New Roman" w:cs="Times New Roman"/>
        </w:rPr>
        <w:t xml:space="preserve">Tango’s flexible spatial scan statistic (FSSS) was used to detect and identify high-prevalence spatial clusters of COPD using </w:t>
      </w:r>
      <w:proofErr w:type="spellStart"/>
      <w:r w:rsidRPr="004E1844">
        <w:rPr>
          <w:rFonts w:ascii="Times New Roman" w:hAnsi="Times New Roman" w:cs="Times New Roman"/>
        </w:rPr>
        <w:t>FleXScan</w:t>
      </w:r>
      <w:proofErr w:type="spellEnd"/>
      <w:r w:rsidR="001B3CE2">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"/>
          <w:id w:val="1159887876"/>
          <w:placeholder>
            <w:docPart w:val="DefaultPlaceholder_-1854013440"/>
          </w:placeholder>
        </w:sdtPr>
        <w:sdtEndPr/>
        <w:sdtContent>
          <w:r w:rsidR="00572E88" w:rsidRPr="00572E88">
            <w:rPr>
              <w:rFonts w:ascii="Times New Roman" w:hAnsi="Times New Roman" w:cs="Times New Roman"/>
              <w:color w:val="000000"/>
            </w:rPr>
            <w:t>[137]</w:t>
          </w:r>
        </w:sdtContent>
      </w:sdt>
      <w:r w:rsidRPr="004E1844">
        <w:rPr>
          <w:rFonts w:ascii="Times New Roman" w:hAnsi="Times New Roman" w:cs="Times New Roman"/>
        </w:rPr>
        <w:t>. Specification of FSSS included maximum scanning window of 15 counties and Poisson probability models with a restricted log likelihood ratio (LLR) tests and an alpha of 0.2. Significance testing was performed using 999 Monte Carlo permutations and a critical p-value of 0.05. Only statistically significant clusters (p-value &lt; 0.05) with a relative risk &gt;1.2 were reported to avoid reporting clusters with very low relative risks. The choice of 1.2 cut-off was based on similar interpretations from previous published studies</w:t>
      </w:r>
      <w:r w:rsidR="00852506">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"/>
          <w:id w:val="-1163234274"/>
          <w:placeholder>
            <w:docPart w:val="DefaultPlaceholder_-1854013440"/>
          </w:placeholder>
        </w:sdtPr>
        <w:sdtEndPr/>
        <w:sdtContent>
          <w:r w:rsidR="00572E88" w:rsidRPr="00572E88">
            <w:rPr>
              <w:rFonts w:ascii="Times New Roman" w:hAnsi="Times New Roman" w:cs="Times New Roman"/>
              <w:color w:val="000000"/>
            </w:rPr>
            <w:t>[138–140]</w:t>
          </w:r>
        </w:sdtContent>
      </w:sdt>
      <w:r w:rsidRPr="004E1844">
        <w:rPr>
          <w:rFonts w:ascii="Times New Roman" w:hAnsi="Times New Roman" w:cs="Times New Roman"/>
        </w:rPr>
        <w:t>.</w:t>
      </w:r>
    </w:p>
    <w:p w14:paraId="0309F424" w14:textId="73349320" w:rsidR="004E1844" w:rsidRPr="004E1844" w:rsidRDefault="004E1844" w:rsidP="00B73A2F">
      <w:pPr>
        <w:spacing w:after="0" w:line="480" w:lineRule="auto"/>
        <w:rPr>
          <w:rFonts w:ascii="Times New Roman" w:hAnsi="Times New Roman" w:cs="Times New Roman"/>
        </w:rPr>
      </w:pPr>
    </w:p>
    <w:p w14:paraId="2FE7BD74" w14:textId="0A2EF1FE" w:rsidR="004E1844" w:rsidRPr="00852506" w:rsidRDefault="004E1844" w:rsidP="00B73A2F">
      <w:pPr>
        <w:pStyle w:val="Heading4"/>
        <w:spacing w:before="0" w:after="0" w:line="480" w:lineRule="auto"/>
      </w:pPr>
      <w:bookmarkStart w:id="65" w:name="_Toc200096975"/>
      <w:r w:rsidRPr="00852506">
        <w:t>Assessment of Correlations among Potential Predictors</w:t>
      </w:r>
      <w:bookmarkEnd w:id="65"/>
      <w:r w:rsidRPr="00852506">
        <w:t xml:space="preserve"> </w:t>
      </w:r>
    </w:p>
    <w:p w14:paraId="685BE3B5" w14:textId="77777777" w:rsidR="004E1844" w:rsidRDefault="004E1844" w:rsidP="00B73A2F">
      <w:pPr>
        <w:spacing w:after="0" w:line="480" w:lineRule="auto"/>
        <w:ind w:firstLine="720"/>
        <w:rPr>
          <w:rFonts w:ascii="Times New Roman" w:hAnsi="Times New Roman" w:cs="Times New Roman"/>
        </w:rPr>
      </w:pPr>
      <w:r w:rsidRPr="004E1844">
        <w:rPr>
          <w:rFonts w:ascii="Times New Roman" w:hAnsi="Times New Roman" w:cs="Times New Roman"/>
        </w:rPr>
        <w:t>Spearman’s rank correlation coefficient was used to identify highly correlated (|r|≥0.7) potential predictors of COPD prevalence. Only one of a pair of highly correlated variables was retained for assessment in the subsequent multivariable model. The decision of which of a pair of highly correlated variables to retain was based on biological and statistical considerations.</w:t>
      </w:r>
    </w:p>
    <w:p w14:paraId="418939EB" w14:textId="77777777" w:rsidR="00591E69" w:rsidRPr="004E1844" w:rsidRDefault="00591E69" w:rsidP="00B73A2F">
      <w:pPr>
        <w:spacing w:after="0" w:line="480" w:lineRule="auto"/>
        <w:ind w:firstLine="720"/>
        <w:rPr>
          <w:rFonts w:ascii="Times New Roman" w:hAnsi="Times New Roman" w:cs="Times New Roman"/>
        </w:rPr>
      </w:pPr>
    </w:p>
    <w:p w14:paraId="0D13151B" w14:textId="30C57C10" w:rsidR="004E1844" w:rsidRPr="00852506" w:rsidRDefault="004E1844" w:rsidP="00B73A2F">
      <w:pPr>
        <w:pStyle w:val="Heading4"/>
        <w:spacing w:before="0" w:after="0" w:line="480" w:lineRule="auto"/>
      </w:pPr>
      <w:bookmarkStart w:id="66" w:name="_Toc200096976"/>
      <w:r w:rsidRPr="00852506">
        <w:t>Predictors Investigation of Geographic Distribution of COPD Prevalence</w:t>
      </w:r>
      <w:bookmarkEnd w:id="66"/>
      <w:r w:rsidRPr="00852506">
        <w:t xml:space="preserve"> </w:t>
      </w:r>
    </w:p>
    <w:p w14:paraId="46A9F36C" w14:textId="5ED55CB7" w:rsidR="004E6532" w:rsidRDefault="004E1844" w:rsidP="00B73A2F">
      <w:pPr>
        <w:spacing w:after="0" w:line="480" w:lineRule="auto"/>
        <w:ind w:firstLine="720"/>
        <w:rPr>
          <w:rFonts w:ascii="Times New Roman" w:hAnsi="Times New Roman" w:cs="Times New Roman"/>
        </w:rPr>
      </w:pPr>
      <w:r w:rsidRPr="004E1844">
        <w:rPr>
          <w:rFonts w:ascii="Times New Roman" w:hAnsi="Times New Roman" w:cs="Times New Roman"/>
        </w:rPr>
        <w:t>Ordinary least squares (OLS) regression was used to identify county-level predictors of age-adjusted COPD prevalence using RStudio 2021.09.2</w:t>
      </w:r>
      <w:r w:rsidR="00852506">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"/>
          <w:id w:val="-1702617790"/>
          <w:placeholder>
            <w:docPart w:val="DefaultPlaceholder_-1854013440"/>
          </w:placeholder>
        </w:sdtPr>
        <w:sdtEndPr/>
        <w:sdtContent>
          <w:r w:rsidR="00572E88" w:rsidRPr="00572E88">
            <w:rPr>
              <w:rFonts w:ascii="Times New Roman" w:hAnsi="Times New Roman" w:cs="Times New Roman"/>
              <w:color w:val="000000"/>
            </w:rPr>
            <w:t>[132]</w:t>
          </w:r>
        </w:sdtContent>
      </w:sdt>
      <w:r w:rsidRPr="004E1844">
        <w:rPr>
          <w:rFonts w:ascii="Times New Roman" w:hAnsi="Times New Roman" w:cs="Times New Roman"/>
        </w:rPr>
        <w:t xml:space="preserve"> interface of R version 4.0.4 </w:t>
      </w:r>
      <w:sdt>
        <w:sdtPr>
          <w:rPr>
            <w:rFonts w:ascii="Times New Roman" w:hAnsi="Times New Roman" w:cs="Times New Roman"/>
            <w:color w:val="000000"/>
          </w:rPr>
          <w:tag w:val="MENDELEY_CITATION_v3_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"/>
          <w:id w:val="-1165011015"/>
          <w:placeholder>
            <w:docPart w:val="DefaultPlaceholder_-1854013440"/>
          </w:placeholder>
        </w:sdtPr>
        <w:sdtEndPr/>
        <w:sdtContent>
          <w:r w:rsidR="00572E88" w:rsidRPr="00572E88">
            <w:rPr>
              <w:rFonts w:ascii="Times New Roman" w:hAnsi="Times New Roman" w:cs="Times New Roman"/>
              <w:color w:val="000000"/>
            </w:rPr>
            <w:t>[133]</w:t>
          </w:r>
        </w:sdtContent>
      </w:sdt>
      <w:r w:rsidRPr="004E1844">
        <w:rPr>
          <w:rFonts w:ascii="Times New Roman" w:hAnsi="Times New Roman" w:cs="Times New Roman"/>
        </w:rPr>
        <w:t>. A conceptual model was developed and used to guide model development and selection of variables to include in the investigation (Fig</w:t>
      </w:r>
      <w:r w:rsidR="00E36A86">
        <w:rPr>
          <w:rFonts w:ascii="Times New Roman" w:hAnsi="Times New Roman" w:cs="Times New Roman"/>
        </w:rPr>
        <w:t>ures</w:t>
      </w:r>
      <w:r w:rsidRPr="004E1844">
        <w:rPr>
          <w:rFonts w:ascii="Times New Roman" w:hAnsi="Times New Roman" w:cs="Times New Roman"/>
        </w:rPr>
        <w:t xml:space="preserve">. </w:t>
      </w:r>
      <w:r w:rsidR="00C23EEE">
        <w:rPr>
          <w:rFonts w:ascii="Times New Roman" w:hAnsi="Times New Roman" w:cs="Times New Roman"/>
        </w:rPr>
        <w:t>2.</w:t>
      </w:r>
      <w:r w:rsidRPr="004E1844">
        <w:rPr>
          <w:rFonts w:ascii="Times New Roman" w:hAnsi="Times New Roman" w:cs="Times New Roman"/>
        </w:rPr>
        <w:t>1). The multivariable OLS model was built in two steps. In the first step, univariable models identified potential predictors that had univariable associations with age-adjusted COPD prevalence at a relaxed critical p-value of 0.2. Only potential predictors with a p-value &lt;0.2 were considered for investigation in the multivariable model. In the second step, a multivariable OLS model was built using manual backwards selection and a critical p-value of 0.05. A variable was considered a confounder if its removal from the OLS model resulted in a &gt;20% change in the OLS regression coefficient of at least one of the other variables in the model. The above approach of identification was used in conjunction with the conceptual diagram shown in Fig</w:t>
      </w:r>
      <w:r w:rsidR="00E36A86">
        <w:rPr>
          <w:rFonts w:ascii="Times New Roman" w:hAnsi="Times New Roman" w:cs="Times New Roman"/>
        </w:rPr>
        <w:t>ure</w:t>
      </w:r>
      <w:r w:rsidRPr="004E1844">
        <w:rPr>
          <w:rFonts w:ascii="Times New Roman" w:hAnsi="Times New Roman" w:cs="Times New Roman"/>
        </w:rPr>
        <w:t xml:space="preserve"> 1. Multicollinearity was assessed using variance inflation factor (VIF) with values &gt;10 considered indicative of multicollinearity. The Shapiro-Wilks test </w:t>
      </w:r>
      <w:sdt>
        <w:sdtPr>
          <w:rPr>
            <w:rFonts w:ascii="Times New Roman" w:hAnsi="Times New Roman" w:cs="Times New Roman"/>
            <w:color w:val="000000"/>
          </w:rPr>
          <w:tag w:val="MENDELEY_CITATION_v3_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"/>
          <w:id w:val="-962190116"/>
          <w:placeholder>
            <w:docPart w:val="DefaultPlaceholder_-1854013440"/>
          </w:placeholder>
        </w:sdtPr>
        <w:sdtEndPr/>
        <w:sdtContent>
          <w:r w:rsidR="00572E88" w:rsidRPr="00572E88">
            <w:rPr>
              <w:rFonts w:ascii="Times New Roman" w:hAnsi="Times New Roman" w:cs="Times New Roman"/>
              <w:color w:val="000000"/>
            </w:rPr>
            <w:t>[136]</w:t>
          </w:r>
        </w:sdtContent>
      </w:sdt>
      <w:r w:rsidR="00852506">
        <w:rPr>
          <w:rFonts w:ascii="Times New Roman" w:hAnsi="Times New Roman" w:cs="Times New Roman"/>
        </w:rPr>
        <w:t xml:space="preserve"> </w:t>
      </w:r>
      <w:r w:rsidRPr="004E1844">
        <w:rPr>
          <w:rFonts w:ascii="Times New Roman" w:hAnsi="Times New Roman" w:cs="Times New Roman"/>
        </w:rPr>
        <w:t xml:space="preserve"> and the Breusch Pagan tests</w:t>
      </w:r>
      <w:r w:rsidR="00852506">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"/>
          <w:id w:val="1736664995"/>
          <w:placeholder>
            <w:docPart w:val="DefaultPlaceholder_-1854013440"/>
          </w:placeholder>
        </w:sdtPr>
        <w:sdtEndPr/>
        <w:sdtContent>
          <w:r w:rsidR="00572E88" w:rsidRPr="00572E88">
            <w:rPr>
              <w:rFonts w:ascii="Times New Roman" w:hAnsi="Times New Roman" w:cs="Times New Roman"/>
              <w:color w:val="000000"/>
            </w:rPr>
            <w:t>[141]</w:t>
          </w:r>
        </w:sdtContent>
      </w:sdt>
      <w:r w:rsidRPr="004E1844">
        <w:rPr>
          <w:rFonts w:ascii="Times New Roman" w:hAnsi="Times New Roman" w:cs="Times New Roman"/>
        </w:rPr>
        <w:t xml:space="preserve">  were used to assess normality of residuals and heteroskedasticity, respectively</w:t>
      </w:r>
      <w:r w:rsidR="00D34899">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"/>
          <w:id w:val="134071853"/>
          <w:placeholder>
            <w:docPart w:val="DefaultPlaceholder_-1854013440"/>
          </w:placeholder>
        </w:sdtPr>
        <w:sdtEndPr/>
        <w:sdtContent>
          <w:r w:rsidR="00572E88" w:rsidRPr="00572E88">
            <w:rPr>
              <w:rFonts w:ascii="Times New Roman" w:hAnsi="Times New Roman" w:cs="Times New Roman"/>
              <w:color w:val="000000"/>
            </w:rPr>
            <w:t>[134]</w:t>
          </w:r>
        </w:sdtContent>
      </w:sdt>
      <w:r w:rsidRPr="004E1844">
        <w:rPr>
          <w:rFonts w:ascii="Times New Roman" w:hAnsi="Times New Roman" w:cs="Times New Roman"/>
        </w:rPr>
        <w:t>. The VIF, Shapiro-Wilks test, and Breusch Pagan test were all implemented in R version 4.0.4</w:t>
      </w:r>
      <w:r w:rsidR="00D34899">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"/>
          <w:id w:val="1775430165"/>
          <w:placeholder>
            <w:docPart w:val="DefaultPlaceholder_-1854013440"/>
          </w:placeholder>
        </w:sdtPr>
        <w:sdtEndPr/>
        <w:sdtContent>
          <w:r w:rsidR="00572E88" w:rsidRPr="00572E88">
            <w:rPr>
              <w:rFonts w:ascii="Times New Roman" w:hAnsi="Times New Roman" w:cs="Times New Roman"/>
              <w:color w:val="000000"/>
            </w:rPr>
            <w:t>[133]</w:t>
          </w:r>
        </w:sdtContent>
      </w:sdt>
      <w:r w:rsidRPr="004E1844">
        <w:rPr>
          <w:rFonts w:ascii="Times New Roman" w:hAnsi="Times New Roman" w:cs="Times New Roman"/>
        </w:rPr>
        <w:t xml:space="preserve"> with the RStudio version 2021.09.2 </w:t>
      </w:r>
      <w:sdt>
        <w:sdtPr>
          <w:rPr>
            <w:rFonts w:ascii="Times New Roman" w:hAnsi="Times New Roman" w:cs="Times New Roman"/>
            <w:color w:val="000000"/>
          </w:rPr>
          <w:tag w:val="MENDELEY_CITATION_v3_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"/>
          <w:id w:val="1724174188"/>
          <w:placeholder>
            <w:docPart w:val="DefaultPlaceholder_-1854013440"/>
          </w:placeholder>
        </w:sdtPr>
        <w:sdtEndPr/>
        <w:sdtContent>
          <w:r w:rsidR="00572E88" w:rsidRPr="00572E88">
            <w:rPr>
              <w:rFonts w:ascii="Times New Roman" w:hAnsi="Times New Roman" w:cs="Times New Roman"/>
              <w:color w:val="000000"/>
            </w:rPr>
            <w:t>[132]</w:t>
          </w:r>
        </w:sdtContent>
      </w:sdt>
      <w:r w:rsidRPr="004E1844">
        <w:rPr>
          <w:rFonts w:ascii="Times New Roman" w:hAnsi="Times New Roman" w:cs="Times New Roman"/>
        </w:rPr>
        <w:t xml:space="preserve"> interface. Robust Lagrange Multiplier test, implemented in GeoDa</w:t>
      </w:r>
      <w:r w:rsidR="00D34899">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"/>
          <w:id w:val="498014867"/>
          <w:placeholder>
            <w:docPart w:val="DefaultPlaceholder_-1854013440"/>
          </w:placeholder>
        </w:sdtPr>
        <w:sdtEndPr/>
        <w:sdtContent>
          <w:r w:rsidR="00572E88" w:rsidRPr="00572E88">
            <w:rPr>
              <w:rFonts w:ascii="Times New Roman" w:hAnsi="Times New Roman" w:cs="Times New Roman"/>
              <w:color w:val="000000"/>
            </w:rPr>
            <w:t>[142]</w:t>
          </w:r>
        </w:sdtContent>
      </w:sdt>
      <w:r w:rsidRPr="004E1844">
        <w:rPr>
          <w:rFonts w:ascii="Times New Roman" w:hAnsi="Times New Roman" w:cs="Times New Roman"/>
        </w:rPr>
        <w:t>, using queen weights was used to assess spatial autocorrelation of model residuals.</w:t>
      </w:r>
    </w:p>
    <w:p w14:paraId="58669BA1" w14:textId="52966A54" w:rsidR="00245C51" w:rsidRPr="004E1844" w:rsidRDefault="00245C51" w:rsidP="00B73A2F">
      <w:pPr>
        <w:spacing w:after="0" w:line="480" w:lineRule="auto"/>
        <w:rPr>
          <w:rFonts w:ascii="Times New Roman" w:hAnsi="Times New Roman" w:cs="Times New Roman"/>
        </w:rPr>
      </w:pPr>
    </w:p>
    <w:p w14:paraId="78491A3F" w14:textId="3C323721" w:rsidR="004E1844" w:rsidRPr="00D34899" w:rsidRDefault="004E1844" w:rsidP="00B73A2F">
      <w:pPr>
        <w:pStyle w:val="Heading4"/>
        <w:spacing w:before="0" w:after="0" w:line="480" w:lineRule="auto"/>
      </w:pPr>
      <w:bookmarkStart w:id="67" w:name="_Toc200096977"/>
      <w:r w:rsidRPr="00D34899">
        <w:lastRenderedPageBreak/>
        <w:t>Cartographic displays</w:t>
      </w:r>
      <w:bookmarkEnd w:id="67"/>
    </w:p>
    <w:p w14:paraId="6224B45D" w14:textId="77777777" w:rsidR="007529CA" w:rsidRDefault="004E1844" w:rsidP="00B73A2F">
      <w:pPr>
        <w:spacing w:after="0" w:line="480" w:lineRule="auto"/>
        <w:ind w:firstLine="720"/>
        <w:rPr>
          <w:rFonts w:ascii="Times New Roman" w:hAnsi="Times New Roman" w:cs="Times New Roman"/>
        </w:rPr>
        <w:sectPr w:rsidR="007529CA" w:rsidSect="00DC6B26">
          <w:pgSz w:w="12240" w:h="15840"/>
          <w:pgMar w:top="1440" w:right="1440" w:bottom="1440" w:left="1440" w:header="720" w:footer="720" w:gutter="0"/>
          <w:pgNumType w:start="1"/>
          <w:cols w:space="720"/>
          <w:docGrid w:linePitch="360"/>
        </w:sectPr>
      </w:pPr>
      <w:r w:rsidRPr="004E1844">
        <w:rPr>
          <w:rFonts w:ascii="Times New Roman" w:hAnsi="Times New Roman" w:cs="Times New Roman"/>
        </w:rPr>
        <w:t>All cartographic displays were generated in ArGIS</w:t>
      </w:r>
      <w:r w:rsidR="00D34899">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"/>
          <w:id w:val="1311676181"/>
          <w:placeholder>
            <w:docPart w:val="DefaultPlaceholder_-1854013440"/>
          </w:placeholder>
        </w:sdtPr>
        <w:sdtEndPr/>
        <w:sdtContent>
          <w:r w:rsidR="00572E88" w:rsidRPr="00572E88">
            <w:rPr>
              <w:rFonts w:ascii="Times New Roman" w:hAnsi="Times New Roman" w:cs="Times New Roman"/>
              <w:color w:val="000000"/>
            </w:rPr>
            <w:t>[143]</w:t>
          </w:r>
        </w:sdtContent>
      </w:sdt>
      <w:r w:rsidRPr="004E1844">
        <w:rPr>
          <w:rFonts w:ascii="Times New Roman" w:hAnsi="Times New Roman" w:cs="Times New Roman"/>
        </w:rPr>
        <w:t>. The spatial distribution of county-level age-adjusted COPD prevalence as well as its significant county-level predictors were displayed in choropleth maps. The critical intervals of the choropleth maps were determined using Jenk’s optimization classification scheme</w:t>
      </w:r>
      <w:r w:rsidR="007A4EBA">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"/>
          <w:id w:val="-1573421592"/>
          <w:placeholder>
            <w:docPart w:val="DefaultPlaceholder_-1854013440"/>
          </w:placeholder>
        </w:sdtPr>
        <w:sdtEndPr/>
        <w:sdtContent>
          <w:r w:rsidR="00572E88" w:rsidRPr="00572E88">
            <w:rPr>
              <w:rFonts w:ascii="Times New Roman" w:hAnsi="Times New Roman" w:cs="Times New Roman"/>
              <w:color w:val="000000"/>
            </w:rPr>
            <w:t>[144]</w:t>
          </w:r>
        </w:sdtContent>
      </w:sdt>
      <w:r w:rsidRPr="004E1844">
        <w:rPr>
          <w:rFonts w:ascii="Times New Roman" w:hAnsi="Times New Roman" w:cs="Times New Roman"/>
        </w:rPr>
        <w:t>. Spatial distribution of the identified significant high-prevalence clusters of COPD were also displayed in a map.</w:t>
      </w:r>
    </w:p>
    <w:p w14:paraId="28FB7DD7" w14:textId="77777777" w:rsidR="00F03C71" w:rsidRDefault="002C563E" w:rsidP="007529CA">
      <w:pPr>
        <w:keepNext/>
        <w:spacing w:line="480" w:lineRule="auto"/>
        <w:ind w:firstLine="720"/>
      </w:pPr>
      <w:r>
        <w:rPr>
          <w:rFonts w:ascii="Times New Roman" w:hAnsi="Times New Roman" w:cs="Times New Roman"/>
          <w:noProof/>
        </w:rPr>
        <w:lastRenderedPageBreak/>
        <w:drawing>
          <wp:inline distT="0" distB="0" distL="0" distR="0" wp14:anchorId="156266BA" wp14:editId="0EF88536">
            <wp:extent cx="7321550" cy="4583586"/>
            <wp:effectExtent l="0" t="0" r="0" b="7620"/>
            <wp:docPr id="53371019" name="Picture 2"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71019" name="Picture 2" descr="A diagram of a network&#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7343201" cy="4597140"/>
                    </a:xfrm>
                    <a:prstGeom prst="rect">
                      <a:avLst/>
                    </a:prstGeom>
                  </pic:spPr>
                </pic:pic>
              </a:graphicData>
            </a:graphic>
          </wp:inline>
        </w:drawing>
      </w:r>
    </w:p>
    <w:p w14:paraId="3B7FA84B" w14:textId="492598EB" w:rsidR="00245C51" w:rsidRDefault="00F03C71" w:rsidP="00B73A2F">
      <w:pPr>
        <w:pStyle w:val="Caption"/>
        <w:spacing w:after="0"/>
      </w:pPr>
      <w:bookmarkStart w:id="68" w:name="_Toc200097059"/>
      <w:r>
        <w:t xml:space="preserve">Figure </w:t>
      </w:r>
      <w:r w:rsidR="00450C23">
        <w:fldChar w:fldCharType="begin"/>
      </w:r>
      <w:r w:rsidR="00450C23">
        <w:instrText xml:space="preserve"> STYLEREF 1 \s </w:instrText>
      </w:r>
      <w:r w:rsidR="00450C23">
        <w:fldChar w:fldCharType="separate"/>
      </w:r>
      <w:r w:rsidR="00591E69">
        <w:rPr>
          <w:noProof/>
        </w:rPr>
        <w:t>2</w:t>
      </w:r>
      <w:r w:rsidR="00450C23">
        <w:rPr>
          <w:noProof/>
        </w:rPr>
        <w:fldChar w:fldCharType="end"/>
      </w:r>
      <w:r w:rsidR="00591E69">
        <w:t>.</w:t>
      </w:r>
      <w:r w:rsidR="00450C23">
        <w:fldChar w:fldCharType="begin"/>
      </w:r>
      <w:r w:rsidR="00450C23">
        <w:instrText xml:space="preserve"> SEQ Figure \* ARABIC \s 1 </w:instrText>
      </w:r>
      <w:r w:rsidR="00450C23">
        <w:fldChar w:fldCharType="separate"/>
      </w:r>
      <w:r w:rsidR="00591E69">
        <w:rPr>
          <w:noProof/>
        </w:rPr>
        <w:t>1</w:t>
      </w:r>
      <w:r w:rsidR="00450C23">
        <w:rPr>
          <w:noProof/>
        </w:rPr>
        <w:fldChar w:fldCharType="end"/>
      </w:r>
      <w:r>
        <w:t xml:space="preserve"> </w:t>
      </w:r>
      <w:r w:rsidRPr="005D3909">
        <w:t>Conceptual model representing predictors of chronic obstructive pulmonary disease in Florida.</w:t>
      </w:r>
      <w:bookmarkEnd w:id="68"/>
    </w:p>
    <w:p w14:paraId="3780148B" w14:textId="77777777" w:rsidR="007529CA" w:rsidRPr="007529CA" w:rsidRDefault="007529CA" w:rsidP="007529CA"/>
    <w:p w14:paraId="340C4563" w14:textId="77777777" w:rsidR="007529CA" w:rsidRDefault="007529CA" w:rsidP="00245C51">
      <w:pPr>
        <w:spacing w:line="480" w:lineRule="auto"/>
        <w:ind w:firstLine="720"/>
        <w:rPr>
          <w:rFonts w:ascii="Times New Roman" w:hAnsi="Times New Roman" w:cs="Times New Roman"/>
        </w:rPr>
        <w:sectPr w:rsidR="007529CA" w:rsidSect="00B72663">
          <w:pgSz w:w="15840" w:h="12240" w:orient="landscape"/>
          <w:pgMar w:top="1440" w:right="1440" w:bottom="1440" w:left="1440" w:header="720" w:footer="720" w:gutter="0"/>
          <w:cols w:space="720"/>
          <w:docGrid w:linePitch="360"/>
        </w:sectPr>
      </w:pPr>
    </w:p>
    <w:p w14:paraId="7F2A1FEA" w14:textId="6CD72D1D" w:rsidR="00970977" w:rsidRPr="00970977" w:rsidRDefault="00970977" w:rsidP="00B73A2F">
      <w:pPr>
        <w:pStyle w:val="Heading3"/>
        <w:spacing w:before="0" w:after="0" w:line="480" w:lineRule="auto"/>
      </w:pPr>
      <w:bookmarkStart w:id="69" w:name="_Toc199884039"/>
      <w:bookmarkStart w:id="70" w:name="_Toc199884756"/>
      <w:bookmarkStart w:id="71" w:name="_Toc200096978"/>
      <w:r w:rsidRPr="00970977">
        <w:lastRenderedPageBreak/>
        <w:t>Results</w:t>
      </w:r>
      <w:bookmarkEnd w:id="69"/>
      <w:bookmarkEnd w:id="70"/>
      <w:bookmarkEnd w:id="71"/>
    </w:p>
    <w:p w14:paraId="0E1752F1" w14:textId="19FE9F63" w:rsidR="00970977" w:rsidRPr="00970977" w:rsidRDefault="00970977" w:rsidP="00B73A2F">
      <w:pPr>
        <w:pStyle w:val="Heading4"/>
        <w:spacing w:before="0" w:after="0" w:line="480" w:lineRule="auto"/>
      </w:pPr>
      <w:bookmarkStart w:id="72" w:name="_Toc200096979"/>
      <w:r w:rsidRPr="00970977">
        <w:t>Geographic Distribution of COPD Prevalence</w:t>
      </w:r>
      <w:bookmarkEnd w:id="72"/>
    </w:p>
    <w:p w14:paraId="2EF440E0" w14:textId="70B6B752" w:rsidR="00970977" w:rsidRDefault="00970977" w:rsidP="00B73A2F">
      <w:pPr>
        <w:spacing w:after="0" w:line="480" w:lineRule="auto"/>
        <w:ind w:firstLine="720"/>
        <w:rPr>
          <w:rFonts w:ascii="Times New Roman" w:hAnsi="Times New Roman" w:cs="Times New Roman"/>
        </w:rPr>
      </w:pPr>
      <w:r w:rsidRPr="00970977">
        <w:rPr>
          <w:rFonts w:ascii="Times New Roman" w:hAnsi="Times New Roman" w:cs="Times New Roman"/>
        </w:rPr>
        <w:t>The county-level age-adjusted COPD prevalence ranged from 4.7% (Miami-Dade) to 16.9% (Baker and Bradford) (Fig</w:t>
      </w:r>
      <w:r w:rsidR="00E36A86">
        <w:rPr>
          <w:rFonts w:ascii="Times New Roman" w:hAnsi="Times New Roman" w:cs="Times New Roman"/>
        </w:rPr>
        <w:t>ures</w:t>
      </w:r>
      <w:r w:rsidRPr="00970977">
        <w:rPr>
          <w:rFonts w:ascii="Times New Roman" w:hAnsi="Times New Roman" w:cs="Times New Roman"/>
        </w:rPr>
        <w:t xml:space="preserve">. </w:t>
      </w:r>
      <w:r w:rsidR="00C23EEE">
        <w:rPr>
          <w:rFonts w:ascii="Times New Roman" w:hAnsi="Times New Roman" w:cs="Times New Roman"/>
        </w:rPr>
        <w:t>2.</w:t>
      </w:r>
      <w:r w:rsidRPr="00970977">
        <w:rPr>
          <w:rFonts w:ascii="Times New Roman" w:hAnsi="Times New Roman" w:cs="Times New Roman"/>
        </w:rPr>
        <w:t xml:space="preserve">2 and </w:t>
      </w:r>
      <w:r w:rsidR="00C23EEE">
        <w:rPr>
          <w:rFonts w:ascii="Times New Roman" w:hAnsi="Times New Roman" w:cs="Times New Roman"/>
        </w:rPr>
        <w:t>2.</w:t>
      </w:r>
      <w:r w:rsidRPr="00970977">
        <w:rPr>
          <w:rFonts w:ascii="Times New Roman" w:hAnsi="Times New Roman" w:cs="Times New Roman"/>
        </w:rPr>
        <w:t>3) with a median prevalence of 9.6%. The highest prevalence proportions were observed in seven counties, six of which (Baker, Bradford, Citrus, Dixie, Lafayette, and Suwannee) were located near north-central Florida. The remaining county, Walton, was in the panhandle. The lowest prevalence was observed among seven counties, four of which (Collier, Miami-Dade, Pasco, and Sarasota) were located in the south and south-central portions of the state. Two counties (Alachua and Seminole) were in the north-central Florida, and the other county (Wakulla) was located in the panhandle area (Fig</w:t>
      </w:r>
      <w:r w:rsidR="00E36A86">
        <w:rPr>
          <w:rFonts w:ascii="Times New Roman" w:hAnsi="Times New Roman" w:cs="Times New Roman"/>
        </w:rPr>
        <w:t>ure</w:t>
      </w:r>
      <w:r w:rsidRPr="00970977">
        <w:rPr>
          <w:rFonts w:ascii="Times New Roman" w:hAnsi="Times New Roman" w:cs="Times New Roman"/>
        </w:rPr>
        <w:t xml:space="preserve">s. </w:t>
      </w:r>
      <w:r w:rsidR="00C23EEE">
        <w:rPr>
          <w:rFonts w:ascii="Times New Roman" w:hAnsi="Times New Roman" w:cs="Times New Roman"/>
        </w:rPr>
        <w:t>2.</w:t>
      </w:r>
      <w:r w:rsidRPr="00970977">
        <w:rPr>
          <w:rFonts w:ascii="Times New Roman" w:hAnsi="Times New Roman" w:cs="Times New Roman"/>
        </w:rPr>
        <w:t xml:space="preserve">2 and </w:t>
      </w:r>
      <w:r w:rsidR="00C23EEE">
        <w:rPr>
          <w:rFonts w:ascii="Times New Roman" w:hAnsi="Times New Roman" w:cs="Times New Roman"/>
        </w:rPr>
        <w:t>2.</w:t>
      </w:r>
      <w:r w:rsidRPr="00970977">
        <w:rPr>
          <w:rFonts w:ascii="Times New Roman" w:hAnsi="Times New Roman" w:cs="Times New Roman"/>
        </w:rPr>
        <w:t>3).</w:t>
      </w:r>
    </w:p>
    <w:p w14:paraId="49F66B70" w14:textId="77777777" w:rsidR="00F4096B" w:rsidRPr="00970977" w:rsidRDefault="00F4096B" w:rsidP="00B73A2F">
      <w:pPr>
        <w:spacing w:after="0" w:line="480" w:lineRule="auto"/>
        <w:rPr>
          <w:rFonts w:ascii="Times New Roman" w:hAnsi="Times New Roman" w:cs="Times New Roman"/>
        </w:rPr>
      </w:pPr>
    </w:p>
    <w:p w14:paraId="6B6990FD" w14:textId="6D0C7575" w:rsidR="00970977" w:rsidRPr="00970977" w:rsidRDefault="00970977" w:rsidP="00B73A2F">
      <w:pPr>
        <w:pStyle w:val="Heading4"/>
        <w:spacing w:before="0" w:after="0" w:line="480" w:lineRule="auto"/>
      </w:pPr>
      <w:bookmarkStart w:id="73" w:name="_Toc200096980"/>
      <w:r w:rsidRPr="00970977">
        <w:t>High-prevalence Clusters of COPD</w:t>
      </w:r>
      <w:bookmarkEnd w:id="73"/>
    </w:p>
    <w:p w14:paraId="26D52F4A" w14:textId="0CAE5016" w:rsidR="00F03C71" w:rsidRDefault="00970977" w:rsidP="00B73A2F">
      <w:pPr>
        <w:spacing w:after="0" w:line="480" w:lineRule="auto"/>
        <w:ind w:firstLine="720"/>
        <w:rPr>
          <w:rFonts w:ascii="Times New Roman" w:hAnsi="Times New Roman" w:cs="Times New Roman"/>
        </w:rPr>
      </w:pPr>
      <w:r w:rsidRPr="00970977">
        <w:rPr>
          <w:rFonts w:ascii="Times New Roman" w:hAnsi="Times New Roman" w:cs="Times New Roman"/>
        </w:rPr>
        <w:t xml:space="preserve">A total of 6 high-prevalence clusters with prevalence ratios &gt;1.2 were identified (Table </w:t>
      </w:r>
      <w:r w:rsidR="00C23EEE">
        <w:rPr>
          <w:rFonts w:ascii="Times New Roman" w:hAnsi="Times New Roman" w:cs="Times New Roman"/>
        </w:rPr>
        <w:t>2.</w:t>
      </w:r>
      <w:r w:rsidRPr="00970977">
        <w:rPr>
          <w:rFonts w:ascii="Times New Roman" w:hAnsi="Times New Roman" w:cs="Times New Roman"/>
        </w:rPr>
        <w:t>2 and</w:t>
      </w:r>
      <w:r w:rsidR="00E36A86">
        <w:rPr>
          <w:rFonts w:ascii="Times New Roman" w:hAnsi="Times New Roman" w:cs="Times New Roman"/>
        </w:rPr>
        <w:t xml:space="preserve"> </w:t>
      </w:r>
      <w:r w:rsidR="00E36A86" w:rsidRPr="00970977">
        <w:rPr>
          <w:rFonts w:ascii="Times New Roman" w:hAnsi="Times New Roman" w:cs="Times New Roman"/>
        </w:rPr>
        <w:t>F</w:t>
      </w:r>
      <w:r w:rsidR="00E36A86">
        <w:rPr>
          <w:rFonts w:ascii="Times New Roman" w:hAnsi="Times New Roman" w:cs="Times New Roman"/>
        </w:rPr>
        <w:t>igure</w:t>
      </w:r>
      <w:r w:rsidRPr="00970977">
        <w:rPr>
          <w:rFonts w:ascii="Times New Roman" w:hAnsi="Times New Roman" w:cs="Times New Roman"/>
        </w:rPr>
        <w:t xml:space="preserve">. </w:t>
      </w:r>
      <w:r w:rsidR="00C23EEE">
        <w:rPr>
          <w:rFonts w:ascii="Times New Roman" w:hAnsi="Times New Roman" w:cs="Times New Roman"/>
        </w:rPr>
        <w:t>2.</w:t>
      </w:r>
      <w:r w:rsidRPr="00970977">
        <w:rPr>
          <w:rFonts w:ascii="Times New Roman" w:hAnsi="Times New Roman" w:cs="Times New Roman"/>
        </w:rPr>
        <w:t>4). The primary cluster, which was also the largest geographic cluster with 13 counties, stretched from Nassau County in north-central Florida to Charlotte County in south-central Florida (F</w:t>
      </w:r>
      <w:r w:rsidR="00E36A86">
        <w:rPr>
          <w:rFonts w:ascii="Times New Roman" w:hAnsi="Times New Roman" w:cs="Times New Roman"/>
        </w:rPr>
        <w:t>igure</w:t>
      </w:r>
      <w:r w:rsidRPr="00970977">
        <w:rPr>
          <w:rFonts w:ascii="Times New Roman" w:hAnsi="Times New Roman" w:cs="Times New Roman"/>
        </w:rPr>
        <w:t xml:space="preserve">s. </w:t>
      </w:r>
      <w:r w:rsidR="00C23EEE">
        <w:rPr>
          <w:rFonts w:ascii="Times New Roman" w:hAnsi="Times New Roman" w:cs="Times New Roman"/>
        </w:rPr>
        <w:t>2.</w:t>
      </w:r>
      <w:r w:rsidRPr="00970977">
        <w:rPr>
          <w:rFonts w:ascii="Times New Roman" w:hAnsi="Times New Roman" w:cs="Times New Roman"/>
        </w:rPr>
        <w:t xml:space="preserve">2 and </w:t>
      </w:r>
      <w:r w:rsidR="00C23EEE">
        <w:rPr>
          <w:rFonts w:ascii="Times New Roman" w:hAnsi="Times New Roman" w:cs="Times New Roman"/>
        </w:rPr>
        <w:t>2,</w:t>
      </w:r>
      <w:r w:rsidRPr="00970977">
        <w:rPr>
          <w:rFonts w:ascii="Times New Roman" w:hAnsi="Times New Roman" w:cs="Times New Roman"/>
        </w:rPr>
        <w:t>4). However, cluster 2 had the highest prevalence ratio (1.68) and included 10 counties in north-central Florida. Together, the primary cluster and cluster 2 covered most of the counties in north-central Florida (</w:t>
      </w:r>
      <w:r w:rsidR="00E36A86" w:rsidRPr="00970977">
        <w:rPr>
          <w:rFonts w:ascii="Times New Roman" w:hAnsi="Times New Roman" w:cs="Times New Roman"/>
        </w:rPr>
        <w:t>F</w:t>
      </w:r>
      <w:r w:rsidR="00E36A86">
        <w:rPr>
          <w:rFonts w:ascii="Times New Roman" w:hAnsi="Times New Roman" w:cs="Times New Roman"/>
        </w:rPr>
        <w:t>igure</w:t>
      </w:r>
      <w:r w:rsidR="00E36A86" w:rsidRPr="00970977">
        <w:rPr>
          <w:rFonts w:ascii="Times New Roman" w:hAnsi="Times New Roman" w:cs="Times New Roman"/>
        </w:rPr>
        <w:t>s</w:t>
      </w:r>
      <w:r w:rsidRPr="00970977">
        <w:rPr>
          <w:rFonts w:ascii="Times New Roman" w:hAnsi="Times New Roman" w:cs="Times New Roman"/>
        </w:rPr>
        <w:t xml:space="preserve">. </w:t>
      </w:r>
      <w:r w:rsidR="00C23EEE">
        <w:rPr>
          <w:rFonts w:ascii="Times New Roman" w:hAnsi="Times New Roman" w:cs="Times New Roman"/>
        </w:rPr>
        <w:t>2.</w:t>
      </w:r>
      <w:r w:rsidRPr="00970977">
        <w:rPr>
          <w:rFonts w:ascii="Times New Roman" w:hAnsi="Times New Roman" w:cs="Times New Roman"/>
        </w:rPr>
        <w:t xml:space="preserve">2 and </w:t>
      </w:r>
      <w:r w:rsidR="00C23EEE">
        <w:rPr>
          <w:rFonts w:ascii="Times New Roman" w:hAnsi="Times New Roman" w:cs="Times New Roman"/>
        </w:rPr>
        <w:t>2.</w:t>
      </w:r>
      <w:r w:rsidRPr="00970977">
        <w:rPr>
          <w:rFonts w:ascii="Times New Roman" w:hAnsi="Times New Roman" w:cs="Times New Roman"/>
        </w:rPr>
        <w:t xml:space="preserve">4). Additionally, two other clusters (clusters 3 &amp; 4) covering large geographic areas were identified. Cluster 3 covered 7 counties in south and south-central Florida and had a prevalence ratio of 1.24 whereas cluster 4 had a prevalence ratio of 1.54 and included 7 counties in the panhandle area. </w:t>
      </w:r>
      <w:r w:rsidR="00B367C2">
        <w:rPr>
          <w:rFonts w:ascii="Times New Roman" w:hAnsi="Times New Roman" w:cs="Times New Roman"/>
        </w:rPr>
        <w:t xml:space="preserve"> </w:t>
      </w:r>
      <w:r w:rsidR="00B367C2">
        <w:rPr>
          <w:rFonts w:ascii="Times New Roman" w:hAnsi="Times New Roman" w:cs="Times New Roman"/>
        </w:rPr>
        <w:br w:type="page"/>
      </w:r>
    </w:p>
    <w:p w14:paraId="0AADD325" w14:textId="77777777" w:rsidR="008A0501" w:rsidRDefault="008A0501" w:rsidP="008A0501">
      <w:pPr>
        <w:keepNext/>
      </w:pPr>
      <w:r>
        <w:rPr>
          <w:rFonts w:ascii="Times New Roman" w:hAnsi="Times New Roman" w:cs="Times New Roman"/>
          <w:noProof/>
        </w:rPr>
        <w:lastRenderedPageBreak/>
        <w:drawing>
          <wp:inline distT="0" distB="0" distL="0" distR="0" wp14:anchorId="432E7BC8" wp14:editId="5D51F406">
            <wp:extent cx="5943600" cy="5754370"/>
            <wp:effectExtent l="0" t="0" r="0" b="0"/>
            <wp:docPr id="1915917540" name="Picture 10" descr="A map of the state of florid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917540" name="Picture 10" descr="A map of the state of florida&#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943600" cy="5754370"/>
                    </a:xfrm>
                    <a:prstGeom prst="rect">
                      <a:avLst/>
                    </a:prstGeom>
                  </pic:spPr>
                </pic:pic>
              </a:graphicData>
            </a:graphic>
          </wp:inline>
        </w:drawing>
      </w:r>
    </w:p>
    <w:p w14:paraId="4989EA6A" w14:textId="1A957968" w:rsidR="008A0501" w:rsidRDefault="008A0501" w:rsidP="00B73A2F">
      <w:pPr>
        <w:pStyle w:val="Caption"/>
        <w:spacing w:after="0"/>
      </w:pPr>
      <w:bookmarkStart w:id="74" w:name="_Toc200097060"/>
      <w:r>
        <w:t xml:space="preserve">Figure </w:t>
      </w:r>
      <w:r w:rsidR="00450C23">
        <w:fldChar w:fldCharType="begin"/>
      </w:r>
      <w:r w:rsidR="00450C23">
        <w:instrText xml:space="preserve"> STYLEREF 1 \s </w:instrText>
      </w:r>
      <w:r w:rsidR="00450C23">
        <w:fldChar w:fldCharType="separate"/>
      </w:r>
      <w:r w:rsidR="00591E69">
        <w:rPr>
          <w:noProof/>
        </w:rPr>
        <w:t>2</w:t>
      </w:r>
      <w:r w:rsidR="00450C23">
        <w:rPr>
          <w:noProof/>
        </w:rPr>
        <w:fldChar w:fldCharType="end"/>
      </w:r>
      <w:r w:rsidR="00591E69">
        <w:t>.</w:t>
      </w:r>
      <w:r w:rsidR="00450C23">
        <w:fldChar w:fldCharType="begin"/>
      </w:r>
      <w:r w:rsidR="00450C23">
        <w:instrText xml:space="preserve"> SEQ Figure \* ARABIC \s 1 </w:instrText>
      </w:r>
      <w:r w:rsidR="00450C23">
        <w:fldChar w:fldCharType="separate"/>
      </w:r>
      <w:r w:rsidR="00591E69">
        <w:rPr>
          <w:noProof/>
        </w:rPr>
        <w:t>2</w:t>
      </w:r>
      <w:r w:rsidR="00450C23">
        <w:rPr>
          <w:noProof/>
        </w:rPr>
        <w:fldChar w:fldCharType="end"/>
      </w:r>
      <w:r>
        <w:t xml:space="preserve"> </w:t>
      </w:r>
      <w:r w:rsidRPr="00736339">
        <w:t xml:space="preserve"> Geographic distribution of rural and urban counties in Florida.</w:t>
      </w:r>
      <w:bookmarkEnd w:id="74"/>
    </w:p>
    <w:p w14:paraId="168A204C" w14:textId="73792C85" w:rsidR="00F548CA" w:rsidRDefault="00F548CA">
      <w:pPr>
        <w:rPr>
          <w:rFonts w:ascii="Times New Roman" w:hAnsi="Times New Roman" w:cs="Times New Roman"/>
        </w:rPr>
      </w:pPr>
      <w:r>
        <w:rPr>
          <w:rFonts w:ascii="Times New Roman" w:hAnsi="Times New Roman" w:cs="Times New Roman"/>
        </w:rPr>
        <w:br w:type="page"/>
      </w:r>
    </w:p>
    <w:p w14:paraId="32D5A6B2" w14:textId="77777777" w:rsidR="008A0501" w:rsidRDefault="008A0501" w:rsidP="008A0501">
      <w:pPr>
        <w:keepNext/>
      </w:pPr>
      <w:r>
        <w:rPr>
          <w:rFonts w:ascii="Times New Roman" w:hAnsi="Times New Roman" w:cs="Times New Roman"/>
          <w:noProof/>
        </w:rPr>
        <w:lastRenderedPageBreak/>
        <w:drawing>
          <wp:inline distT="0" distB="0" distL="0" distR="0" wp14:anchorId="4E1EF0DA" wp14:editId="1413EAE1">
            <wp:extent cx="5943600" cy="4604385"/>
            <wp:effectExtent l="0" t="0" r="0" b="5715"/>
            <wp:docPr id="2077995048" name="Picture 9" descr="A map of the state of florid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995048" name="Picture 9" descr="A map of the state of florida&#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5943600" cy="4604385"/>
                    </a:xfrm>
                    <a:prstGeom prst="rect">
                      <a:avLst/>
                    </a:prstGeom>
                  </pic:spPr>
                </pic:pic>
              </a:graphicData>
            </a:graphic>
          </wp:inline>
        </w:drawing>
      </w:r>
    </w:p>
    <w:p w14:paraId="78F16BEA" w14:textId="132C4D98" w:rsidR="008A0501" w:rsidRDefault="008A0501" w:rsidP="00B73A2F">
      <w:pPr>
        <w:pStyle w:val="Caption"/>
        <w:spacing w:after="0"/>
      </w:pPr>
      <w:bookmarkStart w:id="75" w:name="_Toc200097061"/>
      <w:r>
        <w:t xml:space="preserve">Figure </w:t>
      </w:r>
      <w:r w:rsidR="00450C23">
        <w:fldChar w:fldCharType="begin"/>
      </w:r>
      <w:r w:rsidR="00450C23">
        <w:instrText xml:space="preserve"> STYLEREF 1 \s </w:instrText>
      </w:r>
      <w:r w:rsidR="00450C23">
        <w:fldChar w:fldCharType="separate"/>
      </w:r>
      <w:r w:rsidR="00591E69">
        <w:rPr>
          <w:noProof/>
        </w:rPr>
        <w:t>2</w:t>
      </w:r>
      <w:r w:rsidR="00450C23">
        <w:rPr>
          <w:noProof/>
        </w:rPr>
        <w:fldChar w:fldCharType="end"/>
      </w:r>
      <w:r w:rsidR="00591E69">
        <w:t>.</w:t>
      </w:r>
      <w:r w:rsidR="00450C23">
        <w:fldChar w:fldCharType="begin"/>
      </w:r>
      <w:r w:rsidR="00450C23">
        <w:instrText xml:space="preserve"> SEQ Figure \* ARABIC \s 1 </w:instrText>
      </w:r>
      <w:r w:rsidR="00450C23">
        <w:fldChar w:fldCharType="separate"/>
      </w:r>
      <w:r w:rsidR="00591E69">
        <w:rPr>
          <w:noProof/>
        </w:rPr>
        <w:t>3</w:t>
      </w:r>
      <w:r w:rsidR="00450C23">
        <w:rPr>
          <w:noProof/>
        </w:rPr>
        <w:fldChar w:fldCharType="end"/>
      </w:r>
      <w:r>
        <w:t xml:space="preserve"> </w:t>
      </w:r>
      <w:r w:rsidRPr="00461A6E">
        <w:t>Geographic distribution of age-adjusted chronic obstructive pulmonary disease prevalence per 100 in Florida, 2019.</w:t>
      </w:r>
      <w:bookmarkEnd w:id="75"/>
    </w:p>
    <w:p w14:paraId="1275D6DB" w14:textId="30C7B82D" w:rsidR="00F548CA" w:rsidRDefault="00F548CA">
      <w:pPr>
        <w:rPr>
          <w:rFonts w:ascii="Times New Roman" w:hAnsi="Times New Roman" w:cs="Times New Roman"/>
        </w:rPr>
      </w:pPr>
      <w:r>
        <w:rPr>
          <w:rFonts w:ascii="Times New Roman" w:hAnsi="Times New Roman" w:cs="Times New Roman"/>
        </w:rPr>
        <w:br w:type="page"/>
      </w:r>
    </w:p>
    <w:p w14:paraId="39A3FC05" w14:textId="2CBE97E0" w:rsidR="00F67163" w:rsidRDefault="00F67163" w:rsidP="00B73A2F">
      <w:pPr>
        <w:pStyle w:val="Caption"/>
        <w:spacing w:after="0"/>
      </w:pPr>
      <w:bookmarkStart w:id="76" w:name="_Toc199886027"/>
      <w:bookmarkStart w:id="77" w:name="_Toc200097044"/>
      <w:r>
        <w:lastRenderedPageBreak/>
        <w:t xml:space="preserve">Table </w:t>
      </w:r>
      <w:r w:rsidR="00450C23">
        <w:fldChar w:fldCharType="begin"/>
      </w:r>
      <w:r w:rsidR="00450C23">
        <w:instrText xml:space="preserve"> STYLEREF 1 \s </w:instrText>
      </w:r>
      <w:r w:rsidR="00450C23">
        <w:fldChar w:fldCharType="separate"/>
      </w:r>
      <w:r w:rsidR="005D69AE">
        <w:rPr>
          <w:noProof/>
        </w:rPr>
        <w:t>2</w:t>
      </w:r>
      <w:r w:rsidR="00450C23">
        <w:rPr>
          <w:noProof/>
        </w:rPr>
        <w:fldChar w:fldCharType="end"/>
      </w:r>
      <w:r w:rsidR="005D69AE">
        <w:t>.</w:t>
      </w:r>
      <w:r w:rsidR="00450C23">
        <w:fldChar w:fldCharType="begin"/>
      </w:r>
      <w:r w:rsidR="00450C23">
        <w:instrText xml:space="preserve"> SEQ Table \* ARABIC \s 1 </w:instrText>
      </w:r>
      <w:r w:rsidR="00450C23">
        <w:fldChar w:fldCharType="separate"/>
      </w:r>
      <w:r w:rsidR="005D69AE">
        <w:rPr>
          <w:noProof/>
        </w:rPr>
        <w:t>2</w:t>
      </w:r>
      <w:r w:rsidR="00450C23">
        <w:rPr>
          <w:noProof/>
        </w:rPr>
        <w:fldChar w:fldCharType="end"/>
      </w:r>
      <w:r>
        <w:t xml:space="preserve">. </w:t>
      </w:r>
      <w:r w:rsidRPr="0056782E">
        <w:t>Significant High-Prevalence Clusters of Age-Adjusted Chronic Obstructive Pulmonary Disease in Florida, 2019</w:t>
      </w:r>
      <w:bookmarkEnd w:id="76"/>
      <w:bookmarkEnd w:id="77"/>
    </w:p>
    <w:tbl>
      <w:tblPr>
        <w:tblStyle w:val="TableGrid"/>
        <w:tblW w:w="9270" w:type="dxa"/>
        <w:tblLook w:val="04A0" w:firstRow="1" w:lastRow="0" w:firstColumn="1" w:lastColumn="0" w:noHBand="0" w:noVBand="1"/>
      </w:tblPr>
      <w:tblGrid>
        <w:gridCol w:w="1368"/>
        <w:gridCol w:w="1782"/>
        <w:gridCol w:w="1710"/>
        <w:gridCol w:w="1440"/>
        <w:gridCol w:w="1620"/>
        <w:gridCol w:w="1350"/>
      </w:tblGrid>
      <w:tr w:rsidR="00B367C2" w:rsidRPr="00B367C2" w14:paraId="05543B9E" w14:textId="77777777" w:rsidTr="004560D6">
        <w:trPr>
          <w:trHeight w:val="896"/>
        </w:trPr>
        <w:tc>
          <w:tcPr>
            <w:tcW w:w="1368" w:type="dxa"/>
            <w:tcBorders>
              <w:top w:val="single" w:sz="12" w:space="0" w:color="auto"/>
              <w:left w:val="nil"/>
              <w:bottom w:val="single" w:sz="12" w:space="0" w:color="auto"/>
              <w:right w:val="nil"/>
            </w:tcBorders>
            <w:vAlign w:val="center"/>
            <w:hideMark/>
          </w:tcPr>
          <w:p w14:paraId="1BB6BBD5" w14:textId="77777777" w:rsidR="00B367C2" w:rsidRPr="00B367C2" w:rsidRDefault="00B367C2" w:rsidP="004D7656">
            <w:pPr>
              <w:jc w:val="center"/>
              <w:rPr>
                <w:rFonts w:ascii="Times New Roman" w:hAnsi="Times New Roman" w:cs="Times New Roman"/>
                <w:b/>
                <w:bCs/>
              </w:rPr>
            </w:pPr>
            <w:r w:rsidRPr="00B367C2">
              <w:rPr>
                <w:rFonts w:ascii="Times New Roman" w:hAnsi="Times New Roman" w:cs="Times New Roman"/>
                <w:b/>
                <w:bCs/>
              </w:rPr>
              <w:t>Cluster</w:t>
            </w:r>
          </w:p>
        </w:tc>
        <w:tc>
          <w:tcPr>
            <w:tcW w:w="1782" w:type="dxa"/>
            <w:tcBorders>
              <w:top w:val="single" w:sz="12" w:space="0" w:color="auto"/>
              <w:left w:val="nil"/>
              <w:bottom w:val="single" w:sz="12" w:space="0" w:color="auto"/>
              <w:right w:val="nil"/>
            </w:tcBorders>
            <w:vAlign w:val="center"/>
            <w:hideMark/>
          </w:tcPr>
          <w:p w14:paraId="4C50AE00" w14:textId="77777777" w:rsidR="00B367C2" w:rsidRPr="00B367C2" w:rsidRDefault="00B367C2" w:rsidP="004D7656">
            <w:pPr>
              <w:jc w:val="center"/>
              <w:rPr>
                <w:rFonts w:ascii="Times New Roman" w:hAnsi="Times New Roman" w:cs="Times New Roman"/>
                <w:b/>
                <w:bCs/>
              </w:rPr>
            </w:pPr>
            <w:r w:rsidRPr="00B367C2">
              <w:rPr>
                <w:rFonts w:ascii="Times New Roman" w:hAnsi="Times New Roman" w:cs="Times New Roman"/>
                <w:b/>
                <w:bCs/>
              </w:rPr>
              <w:t>Observed Number of Cases</w:t>
            </w:r>
          </w:p>
        </w:tc>
        <w:tc>
          <w:tcPr>
            <w:tcW w:w="1710" w:type="dxa"/>
            <w:tcBorders>
              <w:top w:val="single" w:sz="12" w:space="0" w:color="auto"/>
              <w:left w:val="nil"/>
              <w:bottom w:val="single" w:sz="12" w:space="0" w:color="auto"/>
              <w:right w:val="nil"/>
            </w:tcBorders>
            <w:vAlign w:val="center"/>
            <w:hideMark/>
          </w:tcPr>
          <w:p w14:paraId="4E3004C0" w14:textId="77777777" w:rsidR="00B367C2" w:rsidRPr="00B367C2" w:rsidRDefault="00B367C2" w:rsidP="004D7656">
            <w:pPr>
              <w:jc w:val="center"/>
              <w:rPr>
                <w:rFonts w:ascii="Times New Roman" w:hAnsi="Times New Roman" w:cs="Times New Roman"/>
                <w:b/>
                <w:bCs/>
              </w:rPr>
            </w:pPr>
            <w:r w:rsidRPr="00B367C2">
              <w:rPr>
                <w:rFonts w:ascii="Times New Roman" w:hAnsi="Times New Roman" w:cs="Times New Roman"/>
                <w:b/>
                <w:bCs/>
              </w:rPr>
              <w:t>Expected Number of Cases</w:t>
            </w:r>
          </w:p>
        </w:tc>
        <w:tc>
          <w:tcPr>
            <w:tcW w:w="1440" w:type="dxa"/>
            <w:tcBorders>
              <w:top w:val="single" w:sz="12" w:space="0" w:color="auto"/>
              <w:left w:val="nil"/>
              <w:bottom w:val="single" w:sz="12" w:space="0" w:color="auto"/>
              <w:right w:val="nil"/>
            </w:tcBorders>
            <w:vAlign w:val="center"/>
            <w:hideMark/>
          </w:tcPr>
          <w:p w14:paraId="23330FEB" w14:textId="77777777" w:rsidR="00B367C2" w:rsidRPr="00B367C2" w:rsidRDefault="00B367C2" w:rsidP="004D7656">
            <w:pPr>
              <w:jc w:val="center"/>
              <w:rPr>
                <w:rFonts w:ascii="Times New Roman" w:hAnsi="Times New Roman" w:cs="Times New Roman"/>
                <w:b/>
                <w:bCs/>
              </w:rPr>
            </w:pPr>
            <w:r w:rsidRPr="00B367C2">
              <w:rPr>
                <w:rFonts w:ascii="Times New Roman" w:hAnsi="Times New Roman" w:cs="Times New Roman"/>
                <w:b/>
                <w:bCs/>
              </w:rPr>
              <w:t>Number of Counties</w:t>
            </w:r>
          </w:p>
        </w:tc>
        <w:tc>
          <w:tcPr>
            <w:tcW w:w="1620" w:type="dxa"/>
            <w:tcBorders>
              <w:top w:val="single" w:sz="12" w:space="0" w:color="auto"/>
              <w:left w:val="nil"/>
              <w:bottom w:val="single" w:sz="12" w:space="0" w:color="auto"/>
              <w:right w:val="nil"/>
            </w:tcBorders>
            <w:vAlign w:val="center"/>
            <w:hideMark/>
          </w:tcPr>
          <w:p w14:paraId="78F67FDC" w14:textId="77777777" w:rsidR="00B367C2" w:rsidRPr="00B367C2" w:rsidRDefault="00B367C2" w:rsidP="004D7656">
            <w:pPr>
              <w:jc w:val="center"/>
              <w:rPr>
                <w:rFonts w:ascii="Times New Roman" w:hAnsi="Times New Roman" w:cs="Times New Roman"/>
                <w:b/>
                <w:bCs/>
              </w:rPr>
            </w:pPr>
            <w:r w:rsidRPr="00B367C2">
              <w:rPr>
                <w:rFonts w:ascii="Times New Roman" w:hAnsi="Times New Roman" w:cs="Times New Roman"/>
                <w:b/>
                <w:bCs/>
              </w:rPr>
              <w:t>Prevalence Ratio</w:t>
            </w:r>
          </w:p>
        </w:tc>
        <w:tc>
          <w:tcPr>
            <w:tcW w:w="1350" w:type="dxa"/>
            <w:tcBorders>
              <w:top w:val="single" w:sz="12" w:space="0" w:color="auto"/>
              <w:left w:val="nil"/>
              <w:bottom w:val="single" w:sz="12" w:space="0" w:color="auto"/>
              <w:right w:val="nil"/>
            </w:tcBorders>
            <w:vAlign w:val="center"/>
            <w:hideMark/>
          </w:tcPr>
          <w:p w14:paraId="239424CB" w14:textId="77777777" w:rsidR="00B367C2" w:rsidRPr="00B367C2" w:rsidRDefault="00B367C2" w:rsidP="004D7656">
            <w:pPr>
              <w:jc w:val="center"/>
              <w:rPr>
                <w:rFonts w:ascii="Times New Roman" w:hAnsi="Times New Roman" w:cs="Times New Roman"/>
                <w:b/>
                <w:bCs/>
              </w:rPr>
            </w:pPr>
            <w:r w:rsidRPr="00B367C2">
              <w:rPr>
                <w:rFonts w:ascii="Times New Roman" w:hAnsi="Times New Roman" w:cs="Times New Roman"/>
                <w:b/>
                <w:bCs/>
              </w:rPr>
              <w:t>p-value</w:t>
            </w:r>
          </w:p>
        </w:tc>
      </w:tr>
      <w:tr w:rsidR="00B367C2" w:rsidRPr="00B367C2" w14:paraId="5A029F78" w14:textId="77777777" w:rsidTr="004560D6">
        <w:trPr>
          <w:trHeight w:val="279"/>
        </w:trPr>
        <w:tc>
          <w:tcPr>
            <w:tcW w:w="1368" w:type="dxa"/>
            <w:tcBorders>
              <w:top w:val="single" w:sz="12" w:space="0" w:color="auto"/>
              <w:left w:val="nil"/>
              <w:bottom w:val="nil"/>
              <w:right w:val="nil"/>
            </w:tcBorders>
            <w:noWrap/>
            <w:vAlign w:val="center"/>
            <w:hideMark/>
          </w:tcPr>
          <w:p w14:paraId="0B7FD4E6"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rPr>
              <w:t>1</w:t>
            </w:r>
          </w:p>
        </w:tc>
        <w:tc>
          <w:tcPr>
            <w:tcW w:w="1782" w:type="dxa"/>
            <w:tcBorders>
              <w:top w:val="single" w:sz="12" w:space="0" w:color="auto"/>
              <w:left w:val="nil"/>
              <w:bottom w:val="nil"/>
              <w:right w:val="nil"/>
            </w:tcBorders>
            <w:noWrap/>
            <w:vAlign w:val="center"/>
            <w:hideMark/>
          </w:tcPr>
          <w:p w14:paraId="42172D62"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334,202</w:t>
            </w:r>
          </w:p>
        </w:tc>
        <w:tc>
          <w:tcPr>
            <w:tcW w:w="1710" w:type="dxa"/>
            <w:tcBorders>
              <w:top w:val="single" w:sz="12" w:space="0" w:color="auto"/>
              <w:left w:val="nil"/>
              <w:bottom w:val="nil"/>
              <w:right w:val="nil"/>
            </w:tcBorders>
            <w:noWrap/>
            <w:vAlign w:val="center"/>
            <w:hideMark/>
          </w:tcPr>
          <w:p w14:paraId="0E34DA6D"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243,935</w:t>
            </w:r>
          </w:p>
        </w:tc>
        <w:tc>
          <w:tcPr>
            <w:tcW w:w="1440" w:type="dxa"/>
            <w:tcBorders>
              <w:top w:val="single" w:sz="12" w:space="0" w:color="auto"/>
              <w:left w:val="nil"/>
              <w:bottom w:val="nil"/>
              <w:right w:val="nil"/>
            </w:tcBorders>
            <w:noWrap/>
            <w:vAlign w:val="center"/>
            <w:hideMark/>
          </w:tcPr>
          <w:p w14:paraId="1CAC4890"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13</w:t>
            </w:r>
          </w:p>
        </w:tc>
        <w:tc>
          <w:tcPr>
            <w:tcW w:w="1620" w:type="dxa"/>
            <w:tcBorders>
              <w:top w:val="single" w:sz="12" w:space="0" w:color="auto"/>
              <w:left w:val="nil"/>
              <w:bottom w:val="nil"/>
              <w:right w:val="nil"/>
            </w:tcBorders>
            <w:noWrap/>
            <w:vAlign w:val="center"/>
            <w:hideMark/>
          </w:tcPr>
          <w:p w14:paraId="1868824C"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1.37</w:t>
            </w:r>
          </w:p>
        </w:tc>
        <w:tc>
          <w:tcPr>
            <w:tcW w:w="1350" w:type="dxa"/>
            <w:tcBorders>
              <w:top w:val="single" w:sz="12" w:space="0" w:color="auto"/>
              <w:left w:val="nil"/>
              <w:bottom w:val="nil"/>
              <w:right w:val="nil"/>
            </w:tcBorders>
            <w:noWrap/>
            <w:vAlign w:val="center"/>
            <w:hideMark/>
          </w:tcPr>
          <w:p w14:paraId="7C5B6A1C"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0.001</w:t>
            </w:r>
          </w:p>
        </w:tc>
      </w:tr>
      <w:tr w:rsidR="00B367C2" w:rsidRPr="00B367C2" w14:paraId="53BD23BC" w14:textId="77777777" w:rsidTr="00A1684A">
        <w:trPr>
          <w:trHeight w:val="279"/>
        </w:trPr>
        <w:tc>
          <w:tcPr>
            <w:tcW w:w="1368" w:type="dxa"/>
            <w:tcBorders>
              <w:top w:val="nil"/>
              <w:left w:val="nil"/>
              <w:bottom w:val="nil"/>
              <w:right w:val="nil"/>
            </w:tcBorders>
            <w:noWrap/>
            <w:vAlign w:val="center"/>
            <w:hideMark/>
          </w:tcPr>
          <w:p w14:paraId="31AC9CA1"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rPr>
              <w:t>2</w:t>
            </w:r>
          </w:p>
        </w:tc>
        <w:tc>
          <w:tcPr>
            <w:tcW w:w="1782" w:type="dxa"/>
            <w:tcBorders>
              <w:top w:val="nil"/>
              <w:left w:val="nil"/>
              <w:bottom w:val="nil"/>
              <w:right w:val="nil"/>
            </w:tcBorders>
            <w:noWrap/>
            <w:vAlign w:val="center"/>
            <w:hideMark/>
          </w:tcPr>
          <w:p w14:paraId="4601A4C1"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74,174</w:t>
            </w:r>
          </w:p>
        </w:tc>
        <w:tc>
          <w:tcPr>
            <w:tcW w:w="1710" w:type="dxa"/>
            <w:tcBorders>
              <w:top w:val="nil"/>
              <w:left w:val="nil"/>
              <w:bottom w:val="nil"/>
              <w:right w:val="nil"/>
            </w:tcBorders>
            <w:noWrap/>
            <w:vAlign w:val="center"/>
            <w:hideMark/>
          </w:tcPr>
          <w:p w14:paraId="481A58E7"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44,165.7</w:t>
            </w:r>
          </w:p>
        </w:tc>
        <w:tc>
          <w:tcPr>
            <w:tcW w:w="1440" w:type="dxa"/>
            <w:tcBorders>
              <w:top w:val="nil"/>
              <w:left w:val="nil"/>
              <w:bottom w:val="nil"/>
              <w:right w:val="nil"/>
            </w:tcBorders>
            <w:noWrap/>
            <w:vAlign w:val="center"/>
            <w:hideMark/>
          </w:tcPr>
          <w:p w14:paraId="35D17920"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10</w:t>
            </w:r>
          </w:p>
        </w:tc>
        <w:tc>
          <w:tcPr>
            <w:tcW w:w="1620" w:type="dxa"/>
            <w:tcBorders>
              <w:top w:val="nil"/>
              <w:left w:val="nil"/>
              <w:bottom w:val="nil"/>
              <w:right w:val="nil"/>
            </w:tcBorders>
            <w:noWrap/>
            <w:vAlign w:val="center"/>
            <w:hideMark/>
          </w:tcPr>
          <w:p w14:paraId="402086FC"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1.68</w:t>
            </w:r>
          </w:p>
        </w:tc>
        <w:tc>
          <w:tcPr>
            <w:tcW w:w="1350" w:type="dxa"/>
            <w:tcBorders>
              <w:top w:val="nil"/>
              <w:left w:val="nil"/>
              <w:bottom w:val="nil"/>
              <w:right w:val="nil"/>
            </w:tcBorders>
            <w:noWrap/>
            <w:vAlign w:val="center"/>
            <w:hideMark/>
          </w:tcPr>
          <w:p w14:paraId="3AE73A87"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0.001</w:t>
            </w:r>
          </w:p>
        </w:tc>
      </w:tr>
      <w:tr w:rsidR="00B367C2" w:rsidRPr="00B367C2" w14:paraId="69E1BD2C" w14:textId="77777777" w:rsidTr="00A1684A">
        <w:trPr>
          <w:trHeight w:val="279"/>
        </w:trPr>
        <w:tc>
          <w:tcPr>
            <w:tcW w:w="1368" w:type="dxa"/>
            <w:tcBorders>
              <w:top w:val="nil"/>
              <w:left w:val="nil"/>
              <w:bottom w:val="nil"/>
              <w:right w:val="nil"/>
            </w:tcBorders>
            <w:noWrap/>
            <w:vAlign w:val="center"/>
            <w:hideMark/>
          </w:tcPr>
          <w:p w14:paraId="1A10C335"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rPr>
              <w:t>3</w:t>
            </w:r>
          </w:p>
        </w:tc>
        <w:tc>
          <w:tcPr>
            <w:tcW w:w="1782" w:type="dxa"/>
            <w:tcBorders>
              <w:top w:val="nil"/>
              <w:left w:val="nil"/>
              <w:bottom w:val="nil"/>
              <w:right w:val="nil"/>
            </w:tcBorders>
            <w:noWrap/>
            <w:vAlign w:val="center"/>
            <w:hideMark/>
          </w:tcPr>
          <w:p w14:paraId="101D8EEA"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200,116</w:t>
            </w:r>
          </w:p>
        </w:tc>
        <w:tc>
          <w:tcPr>
            <w:tcW w:w="1710" w:type="dxa"/>
            <w:tcBorders>
              <w:top w:val="nil"/>
              <w:left w:val="nil"/>
              <w:bottom w:val="nil"/>
              <w:right w:val="nil"/>
            </w:tcBorders>
            <w:noWrap/>
            <w:vAlign w:val="center"/>
            <w:hideMark/>
          </w:tcPr>
          <w:p w14:paraId="5900657F"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161,968</w:t>
            </w:r>
          </w:p>
        </w:tc>
        <w:tc>
          <w:tcPr>
            <w:tcW w:w="1440" w:type="dxa"/>
            <w:tcBorders>
              <w:top w:val="nil"/>
              <w:left w:val="nil"/>
              <w:bottom w:val="nil"/>
              <w:right w:val="nil"/>
            </w:tcBorders>
            <w:noWrap/>
            <w:vAlign w:val="center"/>
            <w:hideMark/>
          </w:tcPr>
          <w:p w14:paraId="7F42A5B4"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7</w:t>
            </w:r>
          </w:p>
        </w:tc>
        <w:tc>
          <w:tcPr>
            <w:tcW w:w="1620" w:type="dxa"/>
            <w:tcBorders>
              <w:top w:val="nil"/>
              <w:left w:val="nil"/>
              <w:bottom w:val="nil"/>
              <w:right w:val="nil"/>
            </w:tcBorders>
            <w:noWrap/>
            <w:vAlign w:val="center"/>
            <w:hideMark/>
          </w:tcPr>
          <w:p w14:paraId="3ADBF229"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1.24</w:t>
            </w:r>
          </w:p>
        </w:tc>
        <w:tc>
          <w:tcPr>
            <w:tcW w:w="1350" w:type="dxa"/>
            <w:tcBorders>
              <w:top w:val="nil"/>
              <w:left w:val="nil"/>
              <w:bottom w:val="nil"/>
              <w:right w:val="nil"/>
            </w:tcBorders>
            <w:noWrap/>
            <w:vAlign w:val="center"/>
            <w:hideMark/>
          </w:tcPr>
          <w:p w14:paraId="22E5EDD5"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0.001</w:t>
            </w:r>
          </w:p>
        </w:tc>
      </w:tr>
      <w:tr w:rsidR="00B367C2" w:rsidRPr="00B367C2" w14:paraId="5F96A0B1" w14:textId="77777777" w:rsidTr="00A1684A">
        <w:trPr>
          <w:trHeight w:val="279"/>
        </w:trPr>
        <w:tc>
          <w:tcPr>
            <w:tcW w:w="1368" w:type="dxa"/>
            <w:tcBorders>
              <w:top w:val="nil"/>
              <w:left w:val="nil"/>
              <w:bottom w:val="nil"/>
              <w:right w:val="nil"/>
            </w:tcBorders>
            <w:noWrap/>
            <w:vAlign w:val="center"/>
            <w:hideMark/>
          </w:tcPr>
          <w:p w14:paraId="1423350D"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rPr>
              <w:t>4</w:t>
            </w:r>
          </w:p>
        </w:tc>
        <w:tc>
          <w:tcPr>
            <w:tcW w:w="1782" w:type="dxa"/>
            <w:tcBorders>
              <w:top w:val="nil"/>
              <w:left w:val="nil"/>
              <w:bottom w:val="nil"/>
              <w:right w:val="nil"/>
            </w:tcBorders>
            <w:noWrap/>
            <w:vAlign w:val="center"/>
            <w:hideMark/>
          </w:tcPr>
          <w:p w14:paraId="25B6F510"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47,200</w:t>
            </w:r>
          </w:p>
        </w:tc>
        <w:tc>
          <w:tcPr>
            <w:tcW w:w="1710" w:type="dxa"/>
            <w:tcBorders>
              <w:top w:val="nil"/>
              <w:left w:val="nil"/>
              <w:bottom w:val="nil"/>
              <w:right w:val="nil"/>
            </w:tcBorders>
            <w:noWrap/>
            <w:vAlign w:val="center"/>
            <w:hideMark/>
          </w:tcPr>
          <w:p w14:paraId="76E42945"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30,564.2</w:t>
            </w:r>
          </w:p>
        </w:tc>
        <w:tc>
          <w:tcPr>
            <w:tcW w:w="1440" w:type="dxa"/>
            <w:tcBorders>
              <w:top w:val="nil"/>
              <w:left w:val="nil"/>
              <w:bottom w:val="nil"/>
              <w:right w:val="nil"/>
            </w:tcBorders>
            <w:noWrap/>
            <w:vAlign w:val="center"/>
            <w:hideMark/>
          </w:tcPr>
          <w:p w14:paraId="2A1040B1"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7</w:t>
            </w:r>
          </w:p>
        </w:tc>
        <w:tc>
          <w:tcPr>
            <w:tcW w:w="1620" w:type="dxa"/>
            <w:tcBorders>
              <w:top w:val="nil"/>
              <w:left w:val="nil"/>
              <w:bottom w:val="nil"/>
              <w:right w:val="nil"/>
            </w:tcBorders>
            <w:noWrap/>
            <w:vAlign w:val="center"/>
            <w:hideMark/>
          </w:tcPr>
          <w:p w14:paraId="4C8E8D42"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1.54</w:t>
            </w:r>
          </w:p>
        </w:tc>
        <w:tc>
          <w:tcPr>
            <w:tcW w:w="1350" w:type="dxa"/>
            <w:tcBorders>
              <w:top w:val="nil"/>
              <w:left w:val="nil"/>
              <w:bottom w:val="nil"/>
              <w:right w:val="nil"/>
            </w:tcBorders>
            <w:noWrap/>
            <w:vAlign w:val="center"/>
            <w:hideMark/>
          </w:tcPr>
          <w:p w14:paraId="13CDF758"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0.001</w:t>
            </w:r>
          </w:p>
        </w:tc>
      </w:tr>
      <w:tr w:rsidR="00B367C2" w:rsidRPr="00B367C2" w14:paraId="799F3EDA" w14:textId="77777777" w:rsidTr="004560D6">
        <w:trPr>
          <w:trHeight w:val="279"/>
        </w:trPr>
        <w:tc>
          <w:tcPr>
            <w:tcW w:w="1368" w:type="dxa"/>
            <w:tcBorders>
              <w:top w:val="nil"/>
              <w:left w:val="nil"/>
              <w:bottom w:val="nil"/>
              <w:right w:val="nil"/>
            </w:tcBorders>
            <w:noWrap/>
            <w:vAlign w:val="center"/>
            <w:hideMark/>
          </w:tcPr>
          <w:p w14:paraId="309F8935"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rPr>
              <w:t>5</w:t>
            </w:r>
          </w:p>
        </w:tc>
        <w:tc>
          <w:tcPr>
            <w:tcW w:w="1782" w:type="dxa"/>
            <w:tcBorders>
              <w:top w:val="nil"/>
              <w:left w:val="nil"/>
              <w:bottom w:val="nil"/>
              <w:right w:val="nil"/>
            </w:tcBorders>
            <w:noWrap/>
            <w:vAlign w:val="center"/>
            <w:hideMark/>
          </w:tcPr>
          <w:p w14:paraId="735F8719"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94,887</w:t>
            </w:r>
          </w:p>
        </w:tc>
        <w:tc>
          <w:tcPr>
            <w:tcW w:w="1710" w:type="dxa"/>
            <w:tcBorders>
              <w:top w:val="nil"/>
              <w:left w:val="nil"/>
              <w:bottom w:val="nil"/>
              <w:right w:val="nil"/>
            </w:tcBorders>
            <w:noWrap/>
            <w:vAlign w:val="center"/>
            <w:hideMark/>
          </w:tcPr>
          <w:p w14:paraId="32CEC9E9"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75,070.9</w:t>
            </w:r>
          </w:p>
        </w:tc>
        <w:tc>
          <w:tcPr>
            <w:tcW w:w="1440" w:type="dxa"/>
            <w:tcBorders>
              <w:top w:val="nil"/>
              <w:left w:val="nil"/>
              <w:bottom w:val="nil"/>
              <w:right w:val="nil"/>
            </w:tcBorders>
            <w:noWrap/>
            <w:vAlign w:val="center"/>
            <w:hideMark/>
          </w:tcPr>
          <w:p w14:paraId="4224C4FD"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1</w:t>
            </w:r>
          </w:p>
        </w:tc>
        <w:tc>
          <w:tcPr>
            <w:tcW w:w="1620" w:type="dxa"/>
            <w:tcBorders>
              <w:top w:val="nil"/>
              <w:left w:val="nil"/>
              <w:bottom w:val="nil"/>
              <w:right w:val="nil"/>
            </w:tcBorders>
            <w:noWrap/>
            <w:vAlign w:val="center"/>
            <w:hideMark/>
          </w:tcPr>
          <w:p w14:paraId="17A5F37B"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1.26</w:t>
            </w:r>
          </w:p>
        </w:tc>
        <w:tc>
          <w:tcPr>
            <w:tcW w:w="1350" w:type="dxa"/>
            <w:tcBorders>
              <w:top w:val="nil"/>
              <w:left w:val="nil"/>
              <w:bottom w:val="nil"/>
              <w:right w:val="nil"/>
            </w:tcBorders>
            <w:noWrap/>
            <w:vAlign w:val="center"/>
            <w:hideMark/>
          </w:tcPr>
          <w:p w14:paraId="547A79CB"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0.001</w:t>
            </w:r>
          </w:p>
        </w:tc>
      </w:tr>
      <w:tr w:rsidR="00B367C2" w:rsidRPr="00B367C2" w14:paraId="4D98E09A" w14:textId="77777777" w:rsidTr="00B73A2F">
        <w:trPr>
          <w:trHeight w:val="279"/>
        </w:trPr>
        <w:tc>
          <w:tcPr>
            <w:tcW w:w="1368" w:type="dxa"/>
            <w:tcBorders>
              <w:top w:val="nil"/>
              <w:left w:val="nil"/>
              <w:bottom w:val="single" w:sz="12" w:space="0" w:color="auto"/>
              <w:right w:val="nil"/>
            </w:tcBorders>
            <w:noWrap/>
            <w:vAlign w:val="center"/>
            <w:hideMark/>
          </w:tcPr>
          <w:p w14:paraId="6D3B36CA"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rPr>
              <w:t>6</w:t>
            </w:r>
          </w:p>
        </w:tc>
        <w:tc>
          <w:tcPr>
            <w:tcW w:w="1782" w:type="dxa"/>
            <w:tcBorders>
              <w:top w:val="nil"/>
              <w:left w:val="nil"/>
              <w:bottom w:val="single" w:sz="12" w:space="0" w:color="auto"/>
              <w:right w:val="nil"/>
            </w:tcBorders>
            <w:noWrap/>
            <w:vAlign w:val="center"/>
            <w:hideMark/>
          </w:tcPr>
          <w:p w14:paraId="13B1DE7E"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1,914</w:t>
            </w:r>
          </w:p>
        </w:tc>
        <w:tc>
          <w:tcPr>
            <w:tcW w:w="1710" w:type="dxa"/>
            <w:tcBorders>
              <w:top w:val="nil"/>
              <w:left w:val="nil"/>
              <w:bottom w:val="single" w:sz="12" w:space="0" w:color="auto"/>
              <w:right w:val="nil"/>
            </w:tcBorders>
            <w:noWrap/>
            <w:vAlign w:val="center"/>
            <w:hideMark/>
          </w:tcPr>
          <w:p w14:paraId="29B14C09"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1,496.96</w:t>
            </w:r>
          </w:p>
        </w:tc>
        <w:tc>
          <w:tcPr>
            <w:tcW w:w="1440" w:type="dxa"/>
            <w:tcBorders>
              <w:top w:val="nil"/>
              <w:left w:val="nil"/>
              <w:bottom w:val="single" w:sz="12" w:space="0" w:color="auto"/>
              <w:right w:val="nil"/>
            </w:tcBorders>
            <w:noWrap/>
            <w:vAlign w:val="center"/>
            <w:hideMark/>
          </w:tcPr>
          <w:p w14:paraId="11BEBAF5"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1</w:t>
            </w:r>
          </w:p>
        </w:tc>
        <w:tc>
          <w:tcPr>
            <w:tcW w:w="1620" w:type="dxa"/>
            <w:tcBorders>
              <w:top w:val="nil"/>
              <w:left w:val="nil"/>
              <w:bottom w:val="single" w:sz="12" w:space="0" w:color="auto"/>
              <w:right w:val="nil"/>
            </w:tcBorders>
            <w:noWrap/>
            <w:vAlign w:val="center"/>
            <w:hideMark/>
          </w:tcPr>
          <w:p w14:paraId="5D16F9A2"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1.28</w:t>
            </w:r>
          </w:p>
        </w:tc>
        <w:tc>
          <w:tcPr>
            <w:tcW w:w="1350" w:type="dxa"/>
            <w:tcBorders>
              <w:top w:val="nil"/>
              <w:left w:val="nil"/>
              <w:bottom w:val="single" w:sz="12" w:space="0" w:color="auto"/>
              <w:right w:val="nil"/>
            </w:tcBorders>
            <w:noWrap/>
            <w:vAlign w:val="center"/>
            <w:hideMark/>
          </w:tcPr>
          <w:p w14:paraId="55739145" w14:textId="77777777" w:rsidR="00B367C2" w:rsidRPr="00B367C2" w:rsidRDefault="00B367C2" w:rsidP="004D7656">
            <w:pPr>
              <w:jc w:val="center"/>
              <w:rPr>
                <w:rFonts w:ascii="Times New Roman" w:hAnsi="Times New Roman" w:cs="Times New Roman"/>
              </w:rPr>
            </w:pPr>
            <w:r w:rsidRPr="00B367C2">
              <w:rPr>
                <w:rFonts w:ascii="Times New Roman" w:hAnsi="Times New Roman" w:cs="Times New Roman"/>
                <w:color w:val="000000"/>
              </w:rPr>
              <w:t>0.001</w:t>
            </w:r>
          </w:p>
        </w:tc>
      </w:tr>
    </w:tbl>
    <w:p w14:paraId="06BECB18" w14:textId="2D62AFA7" w:rsidR="00B367C2" w:rsidRDefault="00B367C2" w:rsidP="00B367C2">
      <w:pPr>
        <w:spacing w:line="480" w:lineRule="auto"/>
        <w:rPr>
          <w:rFonts w:ascii="Times New Roman" w:hAnsi="Times New Roman" w:cs="Times New Roman"/>
        </w:rPr>
      </w:pPr>
    </w:p>
    <w:p w14:paraId="7812BDB0" w14:textId="19125FD1" w:rsidR="00A1684A" w:rsidRDefault="00A1684A">
      <w:pPr>
        <w:rPr>
          <w:rFonts w:ascii="Times New Roman" w:hAnsi="Times New Roman" w:cs="Times New Roman"/>
        </w:rPr>
      </w:pPr>
      <w:r>
        <w:rPr>
          <w:rFonts w:ascii="Times New Roman" w:hAnsi="Times New Roman" w:cs="Times New Roman"/>
        </w:rPr>
        <w:br w:type="page"/>
      </w:r>
    </w:p>
    <w:p w14:paraId="6FE93E85" w14:textId="77777777" w:rsidR="008A0501" w:rsidRDefault="008A0501" w:rsidP="008A0501">
      <w:pPr>
        <w:keepNext/>
        <w:spacing w:line="480" w:lineRule="auto"/>
      </w:pPr>
      <w:r>
        <w:rPr>
          <w:rFonts w:ascii="Times New Roman" w:hAnsi="Times New Roman" w:cs="Times New Roman"/>
          <w:noProof/>
        </w:rPr>
        <w:lastRenderedPageBreak/>
        <w:drawing>
          <wp:inline distT="0" distB="0" distL="0" distR="0" wp14:anchorId="31C7362F" wp14:editId="661E3621">
            <wp:extent cx="5943600" cy="4535805"/>
            <wp:effectExtent l="0" t="0" r="0" b="0"/>
            <wp:docPr id="620564807" name="Picture 8" descr="A map of florida showing the number of clus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564807" name="Picture 8" descr="A map of florida showing the number of clusters&#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5943600" cy="4535805"/>
                    </a:xfrm>
                    <a:prstGeom prst="rect">
                      <a:avLst/>
                    </a:prstGeom>
                  </pic:spPr>
                </pic:pic>
              </a:graphicData>
            </a:graphic>
          </wp:inline>
        </w:drawing>
      </w:r>
    </w:p>
    <w:p w14:paraId="565BC145" w14:textId="5B8DB9C3" w:rsidR="00A1684A" w:rsidRDefault="008A0501" w:rsidP="00B73A2F">
      <w:pPr>
        <w:pStyle w:val="Caption"/>
        <w:spacing w:after="0"/>
      </w:pPr>
      <w:bookmarkStart w:id="78" w:name="_Toc200097062"/>
      <w:r>
        <w:t xml:space="preserve">Figure </w:t>
      </w:r>
      <w:r w:rsidR="00450C23">
        <w:fldChar w:fldCharType="begin"/>
      </w:r>
      <w:r w:rsidR="00450C23">
        <w:instrText xml:space="preserve"> STYLEREF 1 \s </w:instrText>
      </w:r>
      <w:r w:rsidR="00450C23">
        <w:fldChar w:fldCharType="separate"/>
      </w:r>
      <w:r w:rsidR="00591E69">
        <w:rPr>
          <w:noProof/>
        </w:rPr>
        <w:t>2</w:t>
      </w:r>
      <w:r w:rsidR="00450C23">
        <w:rPr>
          <w:noProof/>
        </w:rPr>
        <w:fldChar w:fldCharType="end"/>
      </w:r>
      <w:r w:rsidR="00591E69">
        <w:t>.</w:t>
      </w:r>
      <w:r w:rsidR="00450C23">
        <w:fldChar w:fldCharType="begin"/>
      </w:r>
      <w:r w:rsidR="00450C23">
        <w:instrText xml:space="preserve"> SEQ Figure \* ARABIC \s 1 </w:instrText>
      </w:r>
      <w:r w:rsidR="00450C23">
        <w:fldChar w:fldCharType="separate"/>
      </w:r>
      <w:r w:rsidR="00591E69">
        <w:rPr>
          <w:noProof/>
        </w:rPr>
        <w:t>4</w:t>
      </w:r>
      <w:r w:rsidR="00450C23">
        <w:rPr>
          <w:noProof/>
        </w:rPr>
        <w:fldChar w:fldCharType="end"/>
      </w:r>
      <w:r>
        <w:t xml:space="preserve"> </w:t>
      </w:r>
      <w:r w:rsidRPr="00AD7740">
        <w:t>Significant clusters of age-adjusted chronic obstructive pulmonary disease Prevalence in Florida, 2019.</w:t>
      </w:r>
      <w:bookmarkEnd w:id="78"/>
    </w:p>
    <w:p w14:paraId="323CBA30" w14:textId="2080D48D" w:rsidR="00B367C2" w:rsidRPr="00970977" w:rsidRDefault="00B367C2" w:rsidP="00B367C2">
      <w:pPr>
        <w:rPr>
          <w:rFonts w:ascii="Times New Roman" w:hAnsi="Times New Roman" w:cs="Times New Roman"/>
        </w:rPr>
      </w:pPr>
      <w:r>
        <w:rPr>
          <w:rFonts w:ascii="Times New Roman" w:hAnsi="Times New Roman" w:cs="Times New Roman"/>
        </w:rPr>
        <w:br w:type="page"/>
      </w:r>
    </w:p>
    <w:p w14:paraId="2CFFE4B5" w14:textId="5ADBF59D" w:rsidR="00970977" w:rsidRPr="00970977" w:rsidRDefault="00970977" w:rsidP="00B73A2F">
      <w:pPr>
        <w:pStyle w:val="Heading4"/>
        <w:spacing w:before="0" w:after="0" w:line="480" w:lineRule="auto"/>
      </w:pPr>
      <w:bookmarkStart w:id="79" w:name="_Toc200096981"/>
      <w:r w:rsidRPr="00970977">
        <w:lastRenderedPageBreak/>
        <w:t>Predictors of COPD Prevalence</w:t>
      </w:r>
      <w:bookmarkEnd w:id="79"/>
      <w:r w:rsidRPr="00970977">
        <w:t xml:space="preserve"> </w:t>
      </w:r>
    </w:p>
    <w:p w14:paraId="2FD7F4EB" w14:textId="77777777" w:rsidR="00CC4E50" w:rsidRDefault="00970977" w:rsidP="00B73A2F">
      <w:pPr>
        <w:spacing w:after="0" w:line="480" w:lineRule="auto"/>
        <w:ind w:firstLine="720"/>
        <w:rPr>
          <w:rFonts w:ascii="Times New Roman" w:hAnsi="Times New Roman" w:cs="Times New Roman"/>
        </w:rPr>
        <w:sectPr w:rsidR="00CC4E50" w:rsidSect="00B72663">
          <w:pgSz w:w="12240" w:h="15840"/>
          <w:pgMar w:top="1440" w:right="1440" w:bottom="1440" w:left="1440" w:header="720" w:footer="720" w:gutter="0"/>
          <w:cols w:space="720"/>
          <w:docGrid w:linePitch="360"/>
        </w:sectPr>
      </w:pPr>
      <w:r w:rsidRPr="00970977">
        <w:rPr>
          <w:rFonts w:ascii="Times New Roman" w:hAnsi="Times New Roman" w:cs="Times New Roman"/>
        </w:rPr>
        <w:t>All investigated potential predictors, except percentage of former smokers and mean daily PM</w:t>
      </w:r>
      <w:r w:rsidRPr="00970977">
        <w:rPr>
          <w:rFonts w:ascii="Times New Roman" w:hAnsi="Times New Roman" w:cs="Times New Roman"/>
          <w:vertAlign w:val="subscript"/>
        </w:rPr>
        <w:t>2.5</w:t>
      </w:r>
      <w:r w:rsidRPr="00970977">
        <w:rPr>
          <w:rFonts w:ascii="Times New Roman" w:hAnsi="Times New Roman" w:cs="Times New Roman"/>
        </w:rPr>
        <w:t xml:space="preserve">, had univariable associations (p&lt;0.2) with county-level COPD prevalence (Table </w:t>
      </w:r>
      <w:r w:rsidR="00C23EEE">
        <w:rPr>
          <w:rFonts w:ascii="Times New Roman" w:hAnsi="Times New Roman" w:cs="Times New Roman"/>
        </w:rPr>
        <w:t>2.</w:t>
      </w:r>
      <w:r w:rsidRPr="00970977">
        <w:rPr>
          <w:rFonts w:ascii="Times New Roman" w:hAnsi="Times New Roman" w:cs="Times New Roman"/>
        </w:rPr>
        <w:t xml:space="preserve">3) and were assessed in the multivariable model. Based on the results of the final multivariable model, only percentage of residents with asthma and percentage of current smokers were significant predictors of county-level COPD prevalence (Table </w:t>
      </w:r>
      <w:r w:rsidR="00C23EEE">
        <w:rPr>
          <w:rFonts w:ascii="Times New Roman" w:hAnsi="Times New Roman" w:cs="Times New Roman"/>
        </w:rPr>
        <w:t>2.</w:t>
      </w:r>
      <w:r w:rsidRPr="00970977">
        <w:rPr>
          <w:rFonts w:ascii="Times New Roman" w:hAnsi="Times New Roman" w:cs="Times New Roman"/>
        </w:rPr>
        <w:t>4). The percentage of non-White non-Hispanic residents was included in the final model as a confounder for the association between percentage of residents with asthma and COPD prevalence. The final multivariable OLS model accounted for 62.1% (adjusted R</w:t>
      </w:r>
      <w:r w:rsidRPr="00970977">
        <w:rPr>
          <w:rFonts w:ascii="Times New Roman" w:hAnsi="Times New Roman" w:cs="Times New Roman"/>
          <w:vertAlign w:val="superscript"/>
        </w:rPr>
        <w:t>2</w:t>
      </w:r>
      <w:r w:rsidRPr="00970977">
        <w:rPr>
          <w:rFonts w:ascii="Times New Roman" w:hAnsi="Times New Roman" w:cs="Times New Roman"/>
        </w:rPr>
        <w:t>=0.621) of the variation in COPD prevalence and showed no evidence of non-normally of residuals (Shapiro-Wilks test p=0.805), multicollinearity (all VIFs&lt;5), or heteroscedasticity of residuals (Breusch Pagan test p=0.191). There was also no evidence of spatial dependence of residuals based on both the robust Lagrange Multiplier tests for error (</w:t>
      </w:r>
      <w:proofErr w:type="spellStart"/>
      <w:r w:rsidRPr="00970977">
        <w:rPr>
          <w:rFonts w:ascii="Times New Roman" w:hAnsi="Times New Roman" w:cs="Times New Roman"/>
        </w:rPr>
        <w:t>LM</w:t>
      </w:r>
      <w:r w:rsidRPr="00970977">
        <w:rPr>
          <w:rFonts w:ascii="Times New Roman" w:hAnsi="Times New Roman" w:cs="Times New Roman"/>
          <w:vertAlign w:val="subscript"/>
        </w:rPr>
        <w:t>error</w:t>
      </w:r>
      <w:proofErr w:type="spellEnd"/>
      <w:r w:rsidRPr="00970977">
        <w:rPr>
          <w:rFonts w:ascii="Times New Roman" w:hAnsi="Times New Roman" w:cs="Times New Roman"/>
        </w:rPr>
        <w:t xml:space="preserve"> p=0.646) and lag (</w:t>
      </w:r>
      <w:proofErr w:type="spellStart"/>
      <w:r w:rsidRPr="00970977">
        <w:rPr>
          <w:rFonts w:ascii="Times New Roman" w:hAnsi="Times New Roman" w:cs="Times New Roman"/>
        </w:rPr>
        <w:t>LM</w:t>
      </w:r>
      <w:r w:rsidRPr="00970977">
        <w:rPr>
          <w:rFonts w:ascii="Times New Roman" w:hAnsi="Times New Roman" w:cs="Times New Roman"/>
          <w:vertAlign w:val="subscript"/>
        </w:rPr>
        <w:t>lag</w:t>
      </w:r>
      <w:proofErr w:type="spellEnd"/>
      <w:r w:rsidRPr="00970977">
        <w:rPr>
          <w:rFonts w:ascii="Times New Roman" w:hAnsi="Times New Roman" w:cs="Times New Roman"/>
        </w:rPr>
        <w:t xml:space="preserve"> p=0.221). This indicates that spatial autocorrelation is not violating model assumptions, which suggests the OLS model is appropriate for analyzing the county level data.</w:t>
      </w:r>
    </w:p>
    <w:p w14:paraId="1C689CFA" w14:textId="3B8C065F" w:rsidR="00F67163" w:rsidRDefault="00F67163" w:rsidP="00B73A2F">
      <w:pPr>
        <w:pStyle w:val="Caption"/>
        <w:spacing w:after="0"/>
      </w:pPr>
      <w:bookmarkStart w:id="80" w:name="_Toc199886028"/>
      <w:bookmarkStart w:id="81" w:name="_Toc200097045"/>
      <w:r>
        <w:lastRenderedPageBreak/>
        <w:t xml:space="preserve">Table </w:t>
      </w:r>
      <w:r w:rsidR="00450C23">
        <w:fldChar w:fldCharType="begin"/>
      </w:r>
      <w:r w:rsidR="00450C23">
        <w:instrText xml:space="preserve"> STYLEREF 1 \s </w:instrText>
      </w:r>
      <w:r w:rsidR="00450C23">
        <w:fldChar w:fldCharType="separate"/>
      </w:r>
      <w:r w:rsidR="005D69AE">
        <w:rPr>
          <w:noProof/>
        </w:rPr>
        <w:t>2</w:t>
      </w:r>
      <w:r w:rsidR="00450C23">
        <w:rPr>
          <w:noProof/>
        </w:rPr>
        <w:fldChar w:fldCharType="end"/>
      </w:r>
      <w:r w:rsidR="005D69AE">
        <w:t>.</w:t>
      </w:r>
      <w:r w:rsidR="00450C23">
        <w:fldChar w:fldCharType="begin"/>
      </w:r>
      <w:r w:rsidR="00450C23">
        <w:instrText xml:space="preserve"> SEQ Table \* ARABIC \s 1 </w:instrText>
      </w:r>
      <w:r w:rsidR="00450C23">
        <w:fldChar w:fldCharType="separate"/>
      </w:r>
      <w:r w:rsidR="005D69AE">
        <w:rPr>
          <w:noProof/>
        </w:rPr>
        <w:t>3</w:t>
      </w:r>
      <w:r w:rsidR="00450C23">
        <w:rPr>
          <w:noProof/>
        </w:rPr>
        <w:fldChar w:fldCharType="end"/>
      </w:r>
      <w:r>
        <w:t xml:space="preserve">. </w:t>
      </w:r>
      <w:r w:rsidRPr="00D72848">
        <w:t>Descriptive Statistics &amp; Univariable associations between Age-Adjusted Chronic Obstructive Pulmonary Disease Prevalence and socioeconomic factors in Florida, 2019</w:t>
      </w:r>
      <w:bookmarkEnd w:id="80"/>
      <w:bookmarkEnd w:id="81"/>
    </w:p>
    <w:tbl>
      <w:tblPr>
        <w:tblStyle w:val="TableGrid"/>
        <w:tblW w:w="11795" w:type="dxa"/>
        <w:jc w:val="center"/>
        <w:tblLook w:val="04A0" w:firstRow="1" w:lastRow="0" w:firstColumn="1" w:lastColumn="0" w:noHBand="0" w:noVBand="1"/>
      </w:tblPr>
      <w:tblGrid>
        <w:gridCol w:w="2953"/>
        <w:gridCol w:w="1410"/>
        <w:gridCol w:w="1257"/>
        <w:gridCol w:w="1264"/>
        <w:gridCol w:w="1675"/>
        <w:gridCol w:w="1940"/>
        <w:gridCol w:w="1296"/>
      </w:tblGrid>
      <w:tr w:rsidR="00C86E03" w:rsidRPr="00591E69" w14:paraId="6940086E" w14:textId="77777777" w:rsidTr="00CC4E50">
        <w:trPr>
          <w:trHeight w:val="1134"/>
          <w:jc w:val="center"/>
        </w:trPr>
        <w:tc>
          <w:tcPr>
            <w:tcW w:w="2953" w:type="dxa"/>
            <w:tcBorders>
              <w:top w:val="single" w:sz="12" w:space="0" w:color="auto"/>
              <w:left w:val="nil"/>
              <w:bottom w:val="single" w:sz="12" w:space="0" w:color="auto"/>
              <w:right w:val="nil"/>
            </w:tcBorders>
            <w:noWrap/>
            <w:vAlign w:val="center"/>
            <w:hideMark/>
          </w:tcPr>
          <w:p w14:paraId="44BDF004" w14:textId="77777777" w:rsidR="00C86E03" w:rsidRPr="00A606C8" w:rsidRDefault="00C86E03" w:rsidP="004D7656">
            <w:pPr>
              <w:jc w:val="center"/>
              <w:rPr>
                <w:rFonts w:ascii="Times New Roman" w:hAnsi="Times New Roman" w:cs="Times New Roman"/>
                <w:b/>
                <w:bCs/>
              </w:rPr>
            </w:pPr>
            <w:r w:rsidRPr="00A606C8">
              <w:rPr>
                <w:rFonts w:ascii="Times New Roman" w:hAnsi="Times New Roman" w:cs="Times New Roman"/>
                <w:b/>
                <w:bCs/>
              </w:rPr>
              <w:t>Variable</w:t>
            </w:r>
          </w:p>
        </w:tc>
        <w:tc>
          <w:tcPr>
            <w:tcW w:w="1410" w:type="dxa"/>
            <w:tcBorders>
              <w:top w:val="single" w:sz="12" w:space="0" w:color="auto"/>
              <w:left w:val="nil"/>
              <w:bottom w:val="single" w:sz="12" w:space="0" w:color="auto"/>
              <w:right w:val="nil"/>
            </w:tcBorders>
            <w:noWrap/>
            <w:vAlign w:val="center"/>
            <w:hideMark/>
          </w:tcPr>
          <w:p w14:paraId="45ADB1E7" w14:textId="77777777" w:rsidR="00C86E03" w:rsidRPr="00A606C8" w:rsidRDefault="00C86E03" w:rsidP="004D7656">
            <w:pPr>
              <w:jc w:val="center"/>
              <w:rPr>
                <w:rFonts w:ascii="Times New Roman" w:hAnsi="Times New Roman" w:cs="Times New Roman"/>
                <w:b/>
                <w:bCs/>
              </w:rPr>
            </w:pPr>
            <w:r w:rsidRPr="00A606C8">
              <w:rPr>
                <w:rFonts w:ascii="Times New Roman" w:hAnsi="Times New Roman" w:cs="Times New Roman"/>
                <w:b/>
                <w:bCs/>
              </w:rPr>
              <w:t>Median</w:t>
            </w:r>
          </w:p>
        </w:tc>
        <w:tc>
          <w:tcPr>
            <w:tcW w:w="1257" w:type="dxa"/>
            <w:tcBorders>
              <w:top w:val="single" w:sz="12" w:space="0" w:color="auto"/>
              <w:left w:val="nil"/>
              <w:bottom w:val="single" w:sz="12" w:space="0" w:color="auto"/>
              <w:right w:val="nil"/>
            </w:tcBorders>
            <w:noWrap/>
            <w:vAlign w:val="center"/>
            <w:hideMark/>
          </w:tcPr>
          <w:p w14:paraId="338ECCB3" w14:textId="77777777" w:rsidR="00C86E03" w:rsidRPr="00A606C8" w:rsidRDefault="00C86E03" w:rsidP="004D7656">
            <w:pPr>
              <w:jc w:val="center"/>
              <w:rPr>
                <w:rFonts w:ascii="Times New Roman" w:hAnsi="Times New Roman" w:cs="Times New Roman"/>
                <w:b/>
                <w:bCs/>
              </w:rPr>
            </w:pPr>
            <w:r w:rsidRPr="00A606C8">
              <w:rPr>
                <w:rFonts w:ascii="Times New Roman" w:hAnsi="Times New Roman" w:cs="Times New Roman"/>
                <w:b/>
                <w:bCs/>
              </w:rPr>
              <w:t>25th Quartile</w:t>
            </w:r>
          </w:p>
        </w:tc>
        <w:tc>
          <w:tcPr>
            <w:tcW w:w="1264" w:type="dxa"/>
            <w:tcBorders>
              <w:top w:val="single" w:sz="12" w:space="0" w:color="auto"/>
              <w:left w:val="nil"/>
              <w:bottom w:val="single" w:sz="12" w:space="0" w:color="auto"/>
              <w:right w:val="nil"/>
            </w:tcBorders>
            <w:noWrap/>
            <w:vAlign w:val="center"/>
            <w:hideMark/>
          </w:tcPr>
          <w:p w14:paraId="084FCA72" w14:textId="77777777" w:rsidR="00C86E03" w:rsidRPr="00A606C8" w:rsidRDefault="00C86E03" w:rsidP="004D7656">
            <w:pPr>
              <w:jc w:val="center"/>
              <w:rPr>
                <w:rFonts w:ascii="Times New Roman" w:hAnsi="Times New Roman" w:cs="Times New Roman"/>
                <w:b/>
                <w:bCs/>
              </w:rPr>
            </w:pPr>
            <w:r w:rsidRPr="00A606C8">
              <w:rPr>
                <w:rFonts w:ascii="Times New Roman" w:hAnsi="Times New Roman" w:cs="Times New Roman"/>
                <w:b/>
                <w:bCs/>
              </w:rPr>
              <w:t>75th Quartile</w:t>
            </w:r>
          </w:p>
        </w:tc>
        <w:tc>
          <w:tcPr>
            <w:tcW w:w="1675" w:type="dxa"/>
            <w:tcBorders>
              <w:top w:val="single" w:sz="12" w:space="0" w:color="auto"/>
              <w:left w:val="nil"/>
              <w:bottom w:val="single" w:sz="12" w:space="0" w:color="auto"/>
              <w:right w:val="nil"/>
            </w:tcBorders>
            <w:vAlign w:val="center"/>
            <w:hideMark/>
          </w:tcPr>
          <w:p w14:paraId="78161B9A" w14:textId="77777777" w:rsidR="00C86E03" w:rsidRPr="00A606C8" w:rsidRDefault="00C86E03" w:rsidP="004D7656">
            <w:pPr>
              <w:jc w:val="center"/>
              <w:rPr>
                <w:rFonts w:ascii="Times New Roman" w:hAnsi="Times New Roman" w:cs="Times New Roman"/>
                <w:b/>
                <w:bCs/>
              </w:rPr>
            </w:pPr>
            <w:r w:rsidRPr="00A606C8">
              <w:rPr>
                <w:rFonts w:ascii="Times New Roman" w:hAnsi="Times New Roman" w:cs="Times New Roman"/>
                <w:b/>
                <w:bCs/>
              </w:rPr>
              <w:t>Unadjusted Parameter Estimate</w:t>
            </w:r>
          </w:p>
        </w:tc>
        <w:tc>
          <w:tcPr>
            <w:tcW w:w="1940" w:type="dxa"/>
            <w:tcBorders>
              <w:top w:val="single" w:sz="12" w:space="0" w:color="auto"/>
              <w:left w:val="nil"/>
              <w:bottom w:val="single" w:sz="12" w:space="0" w:color="auto"/>
              <w:right w:val="nil"/>
            </w:tcBorders>
            <w:vAlign w:val="center"/>
            <w:hideMark/>
          </w:tcPr>
          <w:p w14:paraId="032DD8E3" w14:textId="77777777" w:rsidR="00C86E03" w:rsidRPr="00A606C8" w:rsidRDefault="00C86E03" w:rsidP="004D7656">
            <w:pPr>
              <w:jc w:val="center"/>
              <w:rPr>
                <w:rFonts w:ascii="Times New Roman" w:hAnsi="Times New Roman" w:cs="Times New Roman"/>
                <w:b/>
                <w:bCs/>
              </w:rPr>
            </w:pPr>
            <w:r w:rsidRPr="00A606C8">
              <w:rPr>
                <w:rFonts w:ascii="Times New Roman" w:hAnsi="Times New Roman" w:cs="Times New Roman"/>
                <w:b/>
                <w:bCs/>
              </w:rPr>
              <w:t>95% Confidence Interval</w:t>
            </w:r>
          </w:p>
        </w:tc>
        <w:tc>
          <w:tcPr>
            <w:tcW w:w="1296" w:type="dxa"/>
            <w:tcBorders>
              <w:top w:val="single" w:sz="12" w:space="0" w:color="auto"/>
              <w:left w:val="nil"/>
              <w:bottom w:val="single" w:sz="12" w:space="0" w:color="auto"/>
              <w:right w:val="nil"/>
            </w:tcBorders>
            <w:vAlign w:val="center"/>
            <w:hideMark/>
          </w:tcPr>
          <w:p w14:paraId="10E62C59" w14:textId="77777777" w:rsidR="00C86E03" w:rsidRPr="00A606C8" w:rsidRDefault="00C86E03" w:rsidP="004D7656">
            <w:pPr>
              <w:jc w:val="center"/>
              <w:rPr>
                <w:rFonts w:ascii="Times New Roman" w:hAnsi="Times New Roman" w:cs="Times New Roman"/>
                <w:b/>
                <w:bCs/>
              </w:rPr>
            </w:pPr>
            <w:r w:rsidRPr="00A606C8">
              <w:rPr>
                <w:rFonts w:ascii="Times New Roman" w:hAnsi="Times New Roman" w:cs="Times New Roman"/>
                <w:b/>
                <w:bCs/>
              </w:rPr>
              <w:t>p-value</w:t>
            </w:r>
          </w:p>
        </w:tc>
      </w:tr>
      <w:tr w:rsidR="00C86E03" w:rsidRPr="00591E69" w14:paraId="12ABDDED" w14:textId="77777777" w:rsidTr="00CC4E50">
        <w:trPr>
          <w:trHeight w:val="354"/>
          <w:jc w:val="center"/>
        </w:trPr>
        <w:tc>
          <w:tcPr>
            <w:tcW w:w="2953" w:type="dxa"/>
            <w:tcBorders>
              <w:top w:val="single" w:sz="12" w:space="0" w:color="auto"/>
              <w:left w:val="nil"/>
              <w:bottom w:val="nil"/>
              <w:right w:val="nil"/>
            </w:tcBorders>
            <w:noWrap/>
            <w:hideMark/>
          </w:tcPr>
          <w:p w14:paraId="58905A59" w14:textId="77777777" w:rsidR="00C86E03" w:rsidRPr="00A606C8" w:rsidRDefault="00C86E03" w:rsidP="004D7656">
            <w:pPr>
              <w:rPr>
                <w:rFonts w:ascii="Times New Roman" w:hAnsi="Times New Roman" w:cs="Times New Roman"/>
              </w:rPr>
            </w:pPr>
            <w:r w:rsidRPr="00A606C8">
              <w:rPr>
                <w:rFonts w:ascii="Times New Roman" w:hAnsi="Times New Roman" w:cs="Times New Roman"/>
              </w:rPr>
              <w:t>% Asthma Diagnosed</w:t>
            </w:r>
          </w:p>
        </w:tc>
        <w:tc>
          <w:tcPr>
            <w:tcW w:w="1410" w:type="dxa"/>
            <w:tcBorders>
              <w:top w:val="single" w:sz="12" w:space="0" w:color="auto"/>
              <w:left w:val="nil"/>
              <w:bottom w:val="nil"/>
              <w:right w:val="nil"/>
            </w:tcBorders>
            <w:noWrap/>
            <w:hideMark/>
          </w:tcPr>
          <w:p w14:paraId="34E6E1DF"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13.3</w:t>
            </w:r>
          </w:p>
        </w:tc>
        <w:tc>
          <w:tcPr>
            <w:tcW w:w="1257" w:type="dxa"/>
            <w:tcBorders>
              <w:top w:val="single" w:sz="12" w:space="0" w:color="auto"/>
              <w:left w:val="nil"/>
              <w:bottom w:val="nil"/>
              <w:right w:val="nil"/>
            </w:tcBorders>
            <w:noWrap/>
            <w:hideMark/>
          </w:tcPr>
          <w:p w14:paraId="1874042D"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11.3</w:t>
            </w:r>
          </w:p>
        </w:tc>
        <w:tc>
          <w:tcPr>
            <w:tcW w:w="1264" w:type="dxa"/>
            <w:tcBorders>
              <w:top w:val="single" w:sz="12" w:space="0" w:color="auto"/>
              <w:left w:val="nil"/>
              <w:bottom w:val="nil"/>
              <w:right w:val="nil"/>
            </w:tcBorders>
            <w:noWrap/>
            <w:hideMark/>
          </w:tcPr>
          <w:p w14:paraId="35D0F5DC"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14.8</w:t>
            </w:r>
          </w:p>
        </w:tc>
        <w:tc>
          <w:tcPr>
            <w:tcW w:w="1675" w:type="dxa"/>
            <w:tcBorders>
              <w:top w:val="single" w:sz="12" w:space="0" w:color="auto"/>
              <w:left w:val="nil"/>
              <w:bottom w:val="nil"/>
              <w:right w:val="nil"/>
            </w:tcBorders>
            <w:noWrap/>
            <w:hideMark/>
          </w:tcPr>
          <w:p w14:paraId="2C74C5A6"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0.455</w:t>
            </w:r>
          </w:p>
        </w:tc>
        <w:tc>
          <w:tcPr>
            <w:tcW w:w="1940" w:type="dxa"/>
            <w:tcBorders>
              <w:top w:val="single" w:sz="12" w:space="0" w:color="auto"/>
              <w:left w:val="nil"/>
              <w:bottom w:val="nil"/>
              <w:right w:val="nil"/>
            </w:tcBorders>
            <w:noWrap/>
            <w:hideMark/>
          </w:tcPr>
          <w:p w14:paraId="16CF4B26"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0.213, 0.697</w:t>
            </w:r>
          </w:p>
        </w:tc>
        <w:tc>
          <w:tcPr>
            <w:tcW w:w="1296" w:type="dxa"/>
            <w:tcBorders>
              <w:top w:val="single" w:sz="12" w:space="0" w:color="auto"/>
              <w:left w:val="nil"/>
              <w:bottom w:val="nil"/>
              <w:right w:val="nil"/>
            </w:tcBorders>
            <w:noWrap/>
            <w:hideMark/>
          </w:tcPr>
          <w:p w14:paraId="29829C1D"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0.000372</w:t>
            </w:r>
          </w:p>
        </w:tc>
      </w:tr>
      <w:tr w:rsidR="00C86E03" w:rsidRPr="00591E69" w14:paraId="0CF53C04" w14:textId="77777777" w:rsidTr="00CC4E50">
        <w:trPr>
          <w:trHeight w:val="354"/>
          <w:jc w:val="center"/>
        </w:trPr>
        <w:tc>
          <w:tcPr>
            <w:tcW w:w="2953" w:type="dxa"/>
            <w:tcBorders>
              <w:top w:val="nil"/>
              <w:left w:val="nil"/>
              <w:bottom w:val="nil"/>
              <w:right w:val="nil"/>
            </w:tcBorders>
            <w:noWrap/>
            <w:hideMark/>
          </w:tcPr>
          <w:p w14:paraId="666D9B52" w14:textId="77777777" w:rsidR="00C86E03" w:rsidRPr="00A606C8" w:rsidRDefault="00C86E03" w:rsidP="004D7656">
            <w:pPr>
              <w:rPr>
                <w:rFonts w:ascii="Times New Roman" w:hAnsi="Times New Roman" w:cs="Times New Roman"/>
              </w:rPr>
            </w:pPr>
            <w:r w:rsidRPr="00A606C8">
              <w:rPr>
                <w:rFonts w:ascii="Times New Roman" w:hAnsi="Times New Roman" w:cs="Times New Roman"/>
              </w:rPr>
              <w:t>% Current Smokers</w:t>
            </w:r>
          </w:p>
        </w:tc>
        <w:tc>
          <w:tcPr>
            <w:tcW w:w="1410" w:type="dxa"/>
            <w:tcBorders>
              <w:top w:val="nil"/>
              <w:left w:val="nil"/>
              <w:bottom w:val="nil"/>
              <w:right w:val="nil"/>
            </w:tcBorders>
            <w:noWrap/>
            <w:hideMark/>
          </w:tcPr>
          <w:p w14:paraId="15EC8AE8"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19.3</w:t>
            </w:r>
          </w:p>
        </w:tc>
        <w:tc>
          <w:tcPr>
            <w:tcW w:w="1257" w:type="dxa"/>
            <w:tcBorders>
              <w:top w:val="nil"/>
              <w:left w:val="nil"/>
              <w:bottom w:val="nil"/>
              <w:right w:val="nil"/>
            </w:tcBorders>
            <w:noWrap/>
            <w:hideMark/>
          </w:tcPr>
          <w:p w14:paraId="2E99B243"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15.7</w:t>
            </w:r>
          </w:p>
        </w:tc>
        <w:tc>
          <w:tcPr>
            <w:tcW w:w="1264" w:type="dxa"/>
            <w:tcBorders>
              <w:top w:val="nil"/>
              <w:left w:val="nil"/>
              <w:bottom w:val="nil"/>
              <w:right w:val="nil"/>
            </w:tcBorders>
            <w:noWrap/>
            <w:hideMark/>
          </w:tcPr>
          <w:p w14:paraId="59586EDC"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22.3</w:t>
            </w:r>
          </w:p>
        </w:tc>
        <w:tc>
          <w:tcPr>
            <w:tcW w:w="1675" w:type="dxa"/>
            <w:tcBorders>
              <w:top w:val="nil"/>
              <w:left w:val="nil"/>
              <w:bottom w:val="nil"/>
              <w:right w:val="nil"/>
            </w:tcBorders>
            <w:noWrap/>
            <w:hideMark/>
          </w:tcPr>
          <w:p w14:paraId="30A1C271"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0.465</w:t>
            </w:r>
          </w:p>
        </w:tc>
        <w:tc>
          <w:tcPr>
            <w:tcW w:w="1940" w:type="dxa"/>
            <w:tcBorders>
              <w:top w:val="nil"/>
              <w:left w:val="nil"/>
              <w:bottom w:val="nil"/>
              <w:right w:val="nil"/>
            </w:tcBorders>
            <w:noWrap/>
            <w:hideMark/>
          </w:tcPr>
          <w:p w14:paraId="48AD3EB2"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0.373, 0.558</w:t>
            </w:r>
          </w:p>
        </w:tc>
        <w:tc>
          <w:tcPr>
            <w:tcW w:w="1296" w:type="dxa"/>
            <w:tcBorders>
              <w:top w:val="nil"/>
              <w:left w:val="nil"/>
              <w:bottom w:val="nil"/>
              <w:right w:val="nil"/>
            </w:tcBorders>
            <w:noWrap/>
            <w:hideMark/>
          </w:tcPr>
          <w:p w14:paraId="394AFDBE"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&lt;0.0001</w:t>
            </w:r>
          </w:p>
        </w:tc>
      </w:tr>
      <w:tr w:rsidR="00C86E03" w:rsidRPr="00591E69" w14:paraId="4256AE02" w14:textId="77777777" w:rsidTr="00CC4E50">
        <w:trPr>
          <w:trHeight w:val="354"/>
          <w:jc w:val="center"/>
        </w:trPr>
        <w:tc>
          <w:tcPr>
            <w:tcW w:w="2953" w:type="dxa"/>
            <w:tcBorders>
              <w:top w:val="nil"/>
              <w:left w:val="nil"/>
              <w:bottom w:val="nil"/>
              <w:right w:val="nil"/>
            </w:tcBorders>
            <w:noWrap/>
            <w:hideMark/>
          </w:tcPr>
          <w:p w14:paraId="370C1EB3" w14:textId="77777777" w:rsidR="00C86E03" w:rsidRPr="00A606C8" w:rsidRDefault="00C86E03" w:rsidP="004D7656">
            <w:pPr>
              <w:rPr>
                <w:rFonts w:ascii="Times New Roman" w:hAnsi="Times New Roman" w:cs="Times New Roman"/>
              </w:rPr>
            </w:pPr>
            <w:r w:rsidRPr="00A606C8">
              <w:rPr>
                <w:rFonts w:ascii="Times New Roman" w:hAnsi="Times New Roman" w:cs="Times New Roman"/>
              </w:rPr>
              <w:t>% Former Smokers</w:t>
            </w:r>
          </w:p>
        </w:tc>
        <w:tc>
          <w:tcPr>
            <w:tcW w:w="1410" w:type="dxa"/>
            <w:tcBorders>
              <w:top w:val="nil"/>
              <w:left w:val="nil"/>
              <w:bottom w:val="nil"/>
              <w:right w:val="nil"/>
            </w:tcBorders>
            <w:noWrap/>
            <w:hideMark/>
          </w:tcPr>
          <w:p w14:paraId="67028A2C"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26.8</w:t>
            </w:r>
          </w:p>
        </w:tc>
        <w:tc>
          <w:tcPr>
            <w:tcW w:w="1257" w:type="dxa"/>
            <w:tcBorders>
              <w:top w:val="nil"/>
              <w:left w:val="nil"/>
              <w:bottom w:val="nil"/>
              <w:right w:val="nil"/>
            </w:tcBorders>
            <w:noWrap/>
            <w:hideMark/>
          </w:tcPr>
          <w:p w14:paraId="677BAF52"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24.4</w:t>
            </w:r>
          </w:p>
        </w:tc>
        <w:tc>
          <w:tcPr>
            <w:tcW w:w="1264" w:type="dxa"/>
            <w:tcBorders>
              <w:top w:val="nil"/>
              <w:left w:val="nil"/>
              <w:bottom w:val="nil"/>
              <w:right w:val="nil"/>
            </w:tcBorders>
            <w:noWrap/>
            <w:hideMark/>
          </w:tcPr>
          <w:p w14:paraId="0F01C7DD"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30.1</w:t>
            </w:r>
          </w:p>
        </w:tc>
        <w:tc>
          <w:tcPr>
            <w:tcW w:w="1675" w:type="dxa"/>
            <w:tcBorders>
              <w:top w:val="nil"/>
              <w:left w:val="nil"/>
              <w:bottom w:val="nil"/>
              <w:right w:val="nil"/>
            </w:tcBorders>
            <w:noWrap/>
            <w:hideMark/>
          </w:tcPr>
          <w:p w14:paraId="525D326A"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0.002</w:t>
            </w:r>
          </w:p>
        </w:tc>
        <w:tc>
          <w:tcPr>
            <w:tcW w:w="1940" w:type="dxa"/>
            <w:tcBorders>
              <w:top w:val="nil"/>
              <w:left w:val="nil"/>
              <w:bottom w:val="nil"/>
              <w:right w:val="nil"/>
            </w:tcBorders>
            <w:noWrap/>
            <w:hideMark/>
          </w:tcPr>
          <w:p w14:paraId="5C63F123"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-0.142, 0.147</w:t>
            </w:r>
          </w:p>
        </w:tc>
        <w:tc>
          <w:tcPr>
            <w:tcW w:w="1296" w:type="dxa"/>
            <w:tcBorders>
              <w:top w:val="nil"/>
              <w:left w:val="nil"/>
              <w:bottom w:val="nil"/>
              <w:right w:val="nil"/>
            </w:tcBorders>
            <w:noWrap/>
            <w:hideMark/>
          </w:tcPr>
          <w:p w14:paraId="0126A363"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0.9750</w:t>
            </w:r>
          </w:p>
        </w:tc>
      </w:tr>
      <w:tr w:rsidR="00C86E03" w:rsidRPr="00591E69" w14:paraId="156428DC" w14:textId="77777777" w:rsidTr="00CC4E50">
        <w:trPr>
          <w:trHeight w:val="354"/>
          <w:jc w:val="center"/>
        </w:trPr>
        <w:tc>
          <w:tcPr>
            <w:tcW w:w="2953" w:type="dxa"/>
            <w:tcBorders>
              <w:top w:val="nil"/>
              <w:left w:val="nil"/>
              <w:bottom w:val="nil"/>
              <w:right w:val="nil"/>
            </w:tcBorders>
            <w:noWrap/>
            <w:hideMark/>
          </w:tcPr>
          <w:p w14:paraId="125E608B" w14:textId="77777777" w:rsidR="00C86E03" w:rsidRPr="00A606C8" w:rsidRDefault="00C86E03" w:rsidP="004D7656">
            <w:pPr>
              <w:rPr>
                <w:rFonts w:ascii="Times New Roman" w:hAnsi="Times New Roman" w:cs="Times New Roman"/>
              </w:rPr>
            </w:pPr>
            <w:r w:rsidRPr="00A606C8">
              <w:rPr>
                <w:rFonts w:ascii="Times New Roman" w:hAnsi="Times New Roman" w:cs="Times New Roman"/>
              </w:rPr>
              <w:t>% Never Smokers</w:t>
            </w:r>
          </w:p>
        </w:tc>
        <w:tc>
          <w:tcPr>
            <w:tcW w:w="1410" w:type="dxa"/>
            <w:tcBorders>
              <w:top w:val="nil"/>
              <w:left w:val="nil"/>
              <w:bottom w:val="nil"/>
              <w:right w:val="nil"/>
            </w:tcBorders>
            <w:noWrap/>
            <w:hideMark/>
          </w:tcPr>
          <w:p w14:paraId="49AA5CF5"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52.2</w:t>
            </w:r>
          </w:p>
        </w:tc>
        <w:tc>
          <w:tcPr>
            <w:tcW w:w="1257" w:type="dxa"/>
            <w:tcBorders>
              <w:top w:val="nil"/>
              <w:left w:val="nil"/>
              <w:bottom w:val="nil"/>
              <w:right w:val="nil"/>
            </w:tcBorders>
            <w:noWrap/>
            <w:hideMark/>
          </w:tcPr>
          <w:p w14:paraId="27BD0024"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48.3</w:t>
            </w:r>
          </w:p>
        </w:tc>
        <w:tc>
          <w:tcPr>
            <w:tcW w:w="1264" w:type="dxa"/>
            <w:tcBorders>
              <w:top w:val="nil"/>
              <w:left w:val="nil"/>
              <w:bottom w:val="nil"/>
              <w:right w:val="nil"/>
            </w:tcBorders>
            <w:noWrap/>
            <w:hideMark/>
          </w:tcPr>
          <w:p w14:paraId="18BB3674"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57.2</w:t>
            </w:r>
          </w:p>
        </w:tc>
        <w:tc>
          <w:tcPr>
            <w:tcW w:w="1675" w:type="dxa"/>
            <w:tcBorders>
              <w:top w:val="nil"/>
              <w:left w:val="nil"/>
              <w:bottom w:val="nil"/>
              <w:right w:val="nil"/>
            </w:tcBorders>
            <w:noWrap/>
            <w:hideMark/>
          </w:tcPr>
          <w:p w14:paraId="6124BDA8"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-0.251</w:t>
            </w:r>
          </w:p>
        </w:tc>
        <w:tc>
          <w:tcPr>
            <w:tcW w:w="1940" w:type="dxa"/>
            <w:tcBorders>
              <w:top w:val="nil"/>
              <w:left w:val="nil"/>
              <w:bottom w:val="nil"/>
              <w:right w:val="nil"/>
            </w:tcBorders>
            <w:noWrap/>
            <w:hideMark/>
          </w:tcPr>
          <w:p w14:paraId="598CB4BD"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-0.340, -0.162</w:t>
            </w:r>
          </w:p>
        </w:tc>
        <w:tc>
          <w:tcPr>
            <w:tcW w:w="1296" w:type="dxa"/>
            <w:tcBorders>
              <w:top w:val="nil"/>
              <w:left w:val="nil"/>
              <w:bottom w:val="nil"/>
              <w:right w:val="nil"/>
            </w:tcBorders>
            <w:noWrap/>
            <w:hideMark/>
          </w:tcPr>
          <w:p w14:paraId="05FEA748"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&lt;0.0001</w:t>
            </w:r>
          </w:p>
        </w:tc>
      </w:tr>
      <w:tr w:rsidR="00C86E03" w:rsidRPr="00591E69" w14:paraId="6BB9B3B3" w14:textId="77777777" w:rsidTr="00CC4E50">
        <w:trPr>
          <w:trHeight w:val="354"/>
          <w:jc w:val="center"/>
        </w:trPr>
        <w:tc>
          <w:tcPr>
            <w:tcW w:w="2953" w:type="dxa"/>
            <w:tcBorders>
              <w:top w:val="nil"/>
              <w:left w:val="nil"/>
              <w:bottom w:val="nil"/>
              <w:right w:val="nil"/>
            </w:tcBorders>
            <w:noWrap/>
            <w:hideMark/>
          </w:tcPr>
          <w:p w14:paraId="3E804023" w14:textId="77777777" w:rsidR="00C86E03" w:rsidRPr="00A606C8" w:rsidRDefault="00C86E03" w:rsidP="004D7656">
            <w:pPr>
              <w:rPr>
                <w:rFonts w:ascii="Times New Roman" w:hAnsi="Times New Roman" w:cs="Times New Roman"/>
              </w:rPr>
            </w:pPr>
            <w:r w:rsidRPr="00A606C8">
              <w:rPr>
                <w:rFonts w:ascii="Times New Roman" w:hAnsi="Times New Roman" w:cs="Times New Roman"/>
              </w:rPr>
              <w:t>Mean Daily PM 2.5</w:t>
            </w:r>
          </w:p>
        </w:tc>
        <w:tc>
          <w:tcPr>
            <w:tcW w:w="1410" w:type="dxa"/>
            <w:tcBorders>
              <w:top w:val="nil"/>
              <w:left w:val="nil"/>
              <w:bottom w:val="nil"/>
              <w:right w:val="nil"/>
            </w:tcBorders>
            <w:noWrap/>
            <w:hideMark/>
          </w:tcPr>
          <w:p w14:paraId="59294BBD"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14.6</w:t>
            </w:r>
          </w:p>
        </w:tc>
        <w:tc>
          <w:tcPr>
            <w:tcW w:w="1257" w:type="dxa"/>
            <w:tcBorders>
              <w:top w:val="nil"/>
              <w:left w:val="nil"/>
              <w:bottom w:val="nil"/>
              <w:right w:val="nil"/>
            </w:tcBorders>
            <w:noWrap/>
            <w:hideMark/>
          </w:tcPr>
          <w:p w14:paraId="204B8760"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12.1</w:t>
            </w:r>
          </w:p>
        </w:tc>
        <w:tc>
          <w:tcPr>
            <w:tcW w:w="1264" w:type="dxa"/>
            <w:tcBorders>
              <w:top w:val="nil"/>
              <w:left w:val="nil"/>
              <w:bottom w:val="nil"/>
              <w:right w:val="nil"/>
            </w:tcBorders>
            <w:noWrap/>
            <w:hideMark/>
          </w:tcPr>
          <w:p w14:paraId="0C952F11"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20.0</w:t>
            </w:r>
          </w:p>
        </w:tc>
        <w:tc>
          <w:tcPr>
            <w:tcW w:w="1675" w:type="dxa"/>
            <w:tcBorders>
              <w:top w:val="nil"/>
              <w:left w:val="nil"/>
              <w:bottom w:val="nil"/>
              <w:right w:val="nil"/>
            </w:tcBorders>
            <w:noWrap/>
            <w:hideMark/>
          </w:tcPr>
          <w:p w14:paraId="523B53B3"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0.4645</w:t>
            </w:r>
          </w:p>
        </w:tc>
        <w:tc>
          <w:tcPr>
            <w:tcW w:w="1940" w:type="dxa"/>
            <w:tcBorders>
              <w:top w:val="nil"/>
              <w:left w:val="nil"/>
              <w:bottom w:val="nil"/>
              <w:right w:val="nil"/>
            </w:tcBorders>
            <w:noWrap/>
            <w:hideMark/>
          </w:tcPr>
          <w:p w14:paraId="4906E087"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-0.366, 1.295</w:t>
            </w:r>
          </w:p>
        </w:tc>
        <w:tc>
          <w:tcPr>
            <w:tcW w:w="1296" w:type="dxa"/>
            <w:tcBorders>
              <w:top w:val="nil"/>
              <w:left w:val="nil"/>
              <w:bottom w:val="nil"/>
              <w:right w:val="nil"/>
            </w:tcBorders>
            <w:noWrap/>
            <w:hideMark/>
          </w:tcPr>
          <w:p w14:paraId="27E08777"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0.2679</w:t>
            </w:r>
          </w:p>
        </w:tc>
      </w:tr>
      <w:tr w:rsidR="00C86E03" w:rsidRPr="00591E69" w14:paraId="28C8ABEA" w14:textId="77777777" w:rsidTr="00CC4E50">
        <w:trPr>
          <w:trHeight w:val="354"/>
          <w:jc w:val="center"/>
        </w:trPr>
        <w:tc>
          <w:tcPr>
            <w:tcW w:w="2953" w:type="dxa"/>
            <w:tcBorders>
              <w:top w:val="nil"/>
              <w:left w:val="nil"/>
              <w:bottom w:val="nil"/>
              <w:right w:val="nil"/>
            </w:tcBorders>
            <w:noWrap/>
            <w:hideMark/>
          </w:tcPr>
          <w:p w14:paraId="4E2FC134" w14:textId="77777777" w:rsidR="00C86E03" w:rsidRPr="00A606C8" w:rsidRDefault="00C86E03" w:rsidP="004D7656">
            <w:pPr>
              <w:rPr>
                <w:rFonts w:ascii="Times New Roman" w:hAnsi="Times New Roman" w:cs="Times New Roman"/>
              </w:rPr>
            </w:pPr>
            <w:r w:rsidRPr="00A606C8">
              <w:rPr>
                <w:rFonts w:ascii="Times New Roman" w:hAnsi="Times New Roman" w:cs="Times New Roman"/>
              </w:rPr>
              <w:t>% Individuals Below the Poverty Line</w:t>
            </w:r>
          </w:p>
        </w:tc>
        <w:tc>
          <w:tcPr>
            <w:tcW w:w="1410" w:type="dxa"/>
            <w:tcBorders>
              <w:top w:val="nil"/>
              <w:left w:val="nil"/>
              <w:bottom w:val="nil"/>
              <w:right w:val="nil"/>
            </w:tcBorders>
            <w:noWrap/>
            <w:hideMark/>
          </w:tcPr>
          <w:p w14:paraId="1913C661"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10.2</w:t>
            </w:r>
          </w:p>
        </w:tc>
        <w:tc>
          <w:tcPr>
            <w:tcW w:w="1257" w:type="dxa"/>
            <w:tcBorders>
              <w:top w:val="nil"/>
              <w:left w:val="nil"/>
              <w:bottom w:val="nil"/>
              <w:right w:val="nil"/>
            </w:tcBorders>
            <w:noWrap/>
            <w:hideMark/>
          </w:tcPr>
          <w:p w14:paraId="26AE2C97"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8.3</w:t>
            </w:r>
          </w:p>
        </w:tc>
        <w:tc>
          <w:tcPr>
            <w:tcW w:w="1264" w:type="dxa"/>
            <w:tcBorders>
              <w:top w:val="nil"/>
              <w:left w:val="nil"/>
              <w:bottom w:val="nil"/>
              <w:right w:val="nil"/>
            </w:tcBorders>
            <w:noWrap/>
            <w:hideMark/>
          </w:tcPr>
          <w:p w14:paraId="02F15CEC"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14.2</w:t>
            </w:r>
          </w:p>
        </w:tc>
        <w:tc>
          <w:tcPr>
            <w:tcW w:w="1675" w:type="dxa"/>
            <w:tcBorders>
              <w:top w:val="nil"/>
              <w:left w:val="nil"/>
              <w:bottom w:val="nil"/>
              <w:right w:val="nil"/>
            </w:tcBorders>
            <w:noWrap/>
            <w:hideMark/>
          </w:tcPr>
          <w:p w14:paraId="008688D4"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0.129</w:t>
            </w:r>
          </w:p>
        </w:tc>
        <w:tc>
          <w:tcPr>
            <w:tcW w:w="1940" w:type="dxa"/>
            <w:tcBorders>
              <w:top w:val="nil"/>
              <w:left w:val="nil"/>
              <w:bottom w:val="nil"/>
              <w:right w:val="nil"/>
            </w:tcBorders>
            <w:noWrap/>
            <w:hideMark/>
          </w:tcPr>
          <w:p w14:paraId="443BDE3F"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-0.016, 0.274</w:t>
            </w:r>
          </w:p>
        </w:tc>
        <w:tc>
          <w:tcPr>
            <w:tcW w:w="1296" w:type="dxa"/>
            <w:tcBorders>
              <w:top w:val="nil"/>
              <w:left w:val="nil"/>
              <w:bottom w:val="nil"/>
              <w:right w:val="nil"/>
            </w:tcBorders>
            <w:noWrap/>
            <w:hideMark/>
          </w:tcPr>
          <w:p w14:paraId="47C9EE52"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0.0805</w:t>
            </w:r>
          </w:p>
        </w:tc>
      </w:tr>
      <w:tr w:rsidR="00C86E03" w:rsidRPr="00591E69" w14:paraId="76574158" w14:textId="77777777" w:rsidTr="00CC4E50">
        <w:trPr>
          <w:trHeight w:val="354"/>
          <w:jc w:val="center"/>
        </w:trPr>
        <w:tc>
          <w:tcPr>
            <w:tcW w:w="2953" w:type="dxa"/>
            <w:tcBorders>
              <w:top w:val="nil"/>
              <w:left w:val="nil"/>
              <w:bottom w:val="nil"/>
              <w:right w:val="nil"/>
            </w:tcBorders>
            <w:noWrap/>
            <w:hideMark/>
          </w:tcPr>
          <w:p w14:paraId="3577E79B" w14:textId="77777777" w:rsidR="00C86E03" w:rsidRPr="00A606C8" w:rsidRDefault="00C86E03" w:rsidP="004D7656">
            <w:pPr>
              <w:rPr>
                <w:rFonts w:ascii="Times New Roman" w:hAnsi="Times New Roman" w:cs="Times New Roman"/>
              </w:rPr>
            </w:pPr>
            <w:r w:rsidRPr="00A606C8">
              <w:rPr>
                <w:rFonts w:ascii="Times New Roman" w:hAnsi="Times New Roman" w:cs="Times New Roman"/>
              </w:rPr>
              <w:t>% Families Below the Poverty Line</w:t>
            </w:r>
          </w:p>
        </w:tc>
        <w:tc>
          <w:tcPr>
            <w:tcW w:w="1410" w:type="dxa"/>
            <w:tcBorders>
              <w:top w:val="nil"/>
              <w:left w:val="nil"/>
              <w:bottom w:val="nil"/>
              <w:right w:val="nil"/>
            </w:tcBorders>
            <w:noWrap/>
            <w:hideMark/>
          </w:tcPr>
          <w:p w14:paraId="53FCF69B"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49.4</w:t>
            </w:r>
          </w:p>
        </w:tc>
        <w:tc>
          <w:tcPr>
            <w:tcW w:w="1257" w:type="dxa"/>
            <w:tcBorders>
              <w:top w:val="nil"/>
              <w:left w:val="nil"/>
              <w:bottom w:val="nil"/>
              <w:right w:val="nil"/>
            </w:tcBorders>
            <w:noWrap/>
            <w:hideMark/>
          </w:tcPr>
          <w:p w14:paraId="2A8D7539"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48.7</w:t>
            </w:r>
          </w:p>
        </w:tc>
        <w:tc>
          <w:tcPr>
            <w:tcW w:w="1264" w:type="dxa"/>
            <w:tcBorders>
              <w:top w:val="nil"/>
              <w:left w:val="nil"/>
              <w:bottom w:val="nil"/>
              <w:right w:val="nil"/>
            </w:tcBorders>
            <w:noWrap/>
            <w:hideMark/>
          </w:tcPr>
          <w:p w14:paraId="0FD6C82D"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53.2</w:t>
            </w:r>
          </w:p>
        </w:tc>
        <w:tc>
          <w:tcPr>
            <w:tcW w:w="1675" w:type="dxa"/>
            <w:tcBorders>
              <w:top w:val="nil"/>
              <w:left w:val="nil"/>
              <w:bottom w:val="nil"/>
              <w:right w:val="nil"/>
            </w:tcBorders>
            <w:noWrap/>
            <w:hideMark/>
          </w:tcPr>
          <w:p w14:paraId="3DCA303A"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0.214</w:t>
            </w:r>
          </w:p>
        </w:tc>
        <w:tc>
          <w:tcPr>
            <w:tcW w:w="1940" w:type="dxa"/>
            <w:tcBorders>
              <w:top w:val="nil"/>
              <w:left w:val="nil"/>
              <w:bottom w:val="nil"/>
              <w:right w:val="nil"/>
            </w:tcBorders>
            <w:noWrap/>
            <w:hideMark/>
          </w:tcPr>
          <w:p w14:paraId="10A8FEA9"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0.045, 0.382</w:t>
            </w:r>
          </w:p>
        </w:tc>
        <w:tc>
          <w:tcPr>
            <w:tcW w:w="1296" w:type="dxa"/>
            <w:tcBorders>
              <w:top w:val="nil"/>
              <w:left w:val="nil"/>
              <w:bottom w:val="nil"/>
              <w:right w:val="nil"/>
            </w:tcBorders>
            <w:noWrap/>
            <w:hideMark/>
          </w:tcPr>
          <w:p w14:paraId="3E3E47DA"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0.0137</w:t>
            </w:r>
          </w:p>
        </w:tc>
      </w:tr>
      <w:tr w:rsidR="00C86E03" w:rsidRPr="00591E69" w14:paraId="3FA64205" w14:textId="77777777" w:rsidTr="00CC4E50">
        <w:trPr>
          <w:trHeight w:val="354"/>
          <w:jc w:val="center"/>
        </w:trPr>
        <w:tc>
          <w:tcPr>
            <w:tcW w:w="2953" w:type="dxa"/>
            <w:tcBorders>
              <w:top w:val="nil"/>
              <w:left w:val="nil"/>
              <w:bottom w:val="nil"/>
              <w:right w:val="nil"/>
            </w:tcBorders>
            <w:noWrap/>
            <w:hideMark/>
          </w:tcPr>
          <w:p w14:paraId="0C72D44B" w14:textId="77777777" w:rsidR="00C86E03" w:rsidRPr="00A606C8" w:rsidRDefault="00C86E03" w:rsidP="004D7656">
            <w:pPr>
              <w:rPr>
                <w:rFonts w:ascii="Times New Roman" w:hAnsi="Times New Roman" w:cs="Times New Roman"/>
              </w:rPr>
            </w:pPr>
            <w:r w:rsidRPr="00A606C8">
              <w:rPr>
                <w:rFonts w:ascii="Times New Roman" w:hAnsi="Times New Roman" w:cs="Times New Roman"/>
              </w:rPr>
              <w:t>% Male</w:t>
            </w:r>
          </w:p>
        </w:tc>
        <w:tc>
          <w:tcPr>
            <w:tcW w:w="1410" w:type="dxa"/>
            <w:tcBorders>
              <w:top w:val="nil"/>
              <w:left w:val="nil"/>
              <w:bottom w:val="nil"/>
              <w:right w:val="nil"/>
            </w:tcBorders>
            <w:noWrap/>
            <w:hideMark/>
          </w:tcPr>
          <w:p w14:paraId="2C46F686"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50.6</w:t>
            </w:r>
          </w:p>
        </w:tc>
        <w:tc>
          <w:tcPr>
            <w:tcW w:w="1257" w:type="dxa"/>
            <w:tcBorders>
              <w:top w:val="nil"/>
              <w:left w:val="nil"/>
              <w:bottom w:val="nil"/>
              <w:right w:val="nil"/>
            </w:tcBorders>
            <w:noWrap/>
            <w:hideMark/>
          </w:tcPr>
          <w:p w14:paraId="396C2BC7"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46.8</w:t>
            </w:r>
          </w:p>
        </w:tc>
        <w:tc>
          <w:tcPr>
            <w:tcW w:w="1264" w:type="dxa"/>
            <w:tcBorders>
              <w:top w:val="nil"/>
              <w:left w:val="nil"/>
              <w:bottom w:val="nil"/>
              <w:right w:val="nil"/>
            </w:tcBorders>
            <w:noWrap/>
            <w:hideMark/>
          </w:tcPr>
          <w:p w14:paraId="05D83482"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51.3</w:t>
            </w:r>
          </w:p>
        </w:tc>
        <w:tc>
          <w:tcPr>
            <w:tcW w:w="1675" w:type="dxa"/>
            <w:tcBorders>
              <w:top w:val="nil"/>
              <w:left w:val="nil"/>
              <w:bottom w:val="nil"/>
              <w:right w:val="nil"/>
            </w:tcBorders>
            <w:noWrap/>
            <w:hideMark/>
          </w:tcPr>
          <w:p w14:paraId="52631014"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0.356</w:t>
            </w:r>
          </w:p>
        </w:tc>
        <w:tc>
          <w:tcPr>
            <w:tcW w:w="1940" w:type="dxa"/>
            <w:tcBorders>
              <w:top w:val="nil"/>
              <w:left w:val="nil"/>
              <w:bottom w:val="nil"/>
              <w:right w:val="nil"/>
            </w:tcBorders>
            <w:noWrap/>
            <w:hideMark/>
          </w:tcPr>
          <w:p w14:paraId="3D6CB997"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0.163, 0.548</w:t>
            </w:r>
          </w:p>
        </w:tc>
        <w:tc>
          <w:tcPr>
            <w:tcW w:w="1296" w:type="dxa"/>
            <w:tcBorders>
              <w:top w:val="nil"/>
              <w:left w:val="nil"/>
              <w:bottom w:val="nil"/>
              <w:right w:val="nil"/>
            </w:tcBorders>
            <w:noWrap/>
            <w:hideMark/>
          </w:tcPr>
          <w:p w14:paraId="0F18A608"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0.0005</w:t>
            </w:r>
          </w:p>
        </w:tc>
      </w:tr>
      <w:tr w:rsidR="00C86E03" w:rsidRPr="00591E69" w14:paraId="17E1C544" w14:textId="77777777" w:rsidTr="00CC4E50">
        <w:trPr>
          <w:trHeight w:val="354"/>
          <w:jc w:val="center"/>
        </w:trPr>
        <w:tc>
          <w:tcPr>
            <w:tcW w:w="2953" w:type="dxa"/>
            <w:tcBorders>
              <w:top w:val="nil"/>
              <w:left w:val="nil"/>
              <w:bottom w:val="nil"/>
              <w:right w:val="nil"/>
            </w:tcBorders>
            <w:noWrap/>
            <w:hideMark/>
          </w:tcPr>
          <w:p w14:paraId="683F8DBC" w14:textId="77777777" w:rsidR="00C86E03" w:rsidRPr="00A606C8" w:rsidRDefault="00C86E03" w:rsidP="004D7656">
            <w:pPr>
              <w:rPr>
                <w:rFonts w:ascii="Times New Roman" w:hAnsi="Times New Roman" w:cs="Times New Roman"/>
              </w:rPr>
            </w:pPr>
            <w:r w:rsidRPr="00A606C8">
              <w:rPr>
                <w:rFonts w:ascii="Times New Roman" w:hAnsi="Times New Roman" w:cs="Times New Roman"/>
              </w:rPr>
              <w:t>% Female</w:t>
            </w:r>
          </w:p>
        </w:tc>
        <w:tc>
          <w:tcPr>
            <w:tcW w:w="1410" w:type="dxa"/>
            <w:tcBorders>
              <w:top w:val="nil"/>
              <w:left w:val="nil"/>
              <w:bottom w:val="nil"/>
              <w:right w:val="nil"/>
            </w:tcBorders>
            <w:noWrap/>
            <w:hideMark/>
          </w:tcPr>
          <w:p w14:paraId="692D4FEB"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8.6</w:t>
            </w:r>
          </w:p>
        </w:tc>
        <w:tc>
          <w:tcPr>
            <w:tcW w:w="1257" w:type="dxa"/>
            <w:tcBorders>
              <w:top w:val="nil"/>
              <w:left w:val="nil"/>
              <w:bottom w:val="nil"/>
              <w:right w:val="nil"/>
            </w:tcBorders>
            <w:noWrap/>
            <w:hideMark/>
          </w:tcPr>
          <w:p w14:paraId="0A5FD66C"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5.0</w:t>
            </w:r>
          </w:p>
        </w:tc>
        <w:tc>
          <w:tcPr>
            <w:tcW w:w="1264" w:type="dxa"/>
            <w:tcBorders>
              <w:top w:val="nil"/>
              <w:left w:val="nil"/>
              <w:bottom w:val="nil"/>
              <w:right w:val="nil"/>
            </w:tcBorders>
            <w:noWrap/>
            <w:hideMark/>
          </w:tcPr>
          <w:p w14:paraId="19B19DDE"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18.1</w:t>
            </w:r>
          </w:p>
        </w:tc>
        <w:tc>
          <w:tcPr>
            <w:tcW w:w="1675" w:type="dxa"/>
            <w:tcBorders>
              <w:top w:val="nil"/>
              <w:left w:val="nil"/>
              <w:bottom w:val="nil"/>
              <w:right w:val="nil"/>
            </w:tcBorders>
            <w:noWrap/>
            <w:hideMark/>
          </w:tcPr>
          <w:p w14:paraId="4E01FCB4"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-0.356</w:t>
            </w:r>
          </w:p>
        </w:tc>
        <w:tc>
          <w:tcPr>
            <w:tcW w:w="1940" w:type="dxa"/>
            <w:tcBorders>
              <w:top w:val="nil"/>
              <w:left w:val="nil"/>
              <w:bottom w:val="nil"/>
              <w:right w:val="nil"/>
            </w:tcBorders>
            <w:noWrap/>
            <w:hideMark/>
          </w:tcPr>
          <w:p w14:paraId="3D4861ED"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-0.548, -0.163</w:t>
            </w:r>
          </w:p>
        </w:tc>
        <w:tc>
          <w:tcPr>
            <w:tcW w:w="1296" w:type="dxa"/>
            <w:tcBorders>
              <w:top w:val="nil"/>
              <w:left w:val="nil"/>
              <w:bottom w:val="nil"/>
              <w:right w:val="nil"/>
            </w:tcBorders>
            <w:noWrap/>
            <w:hideMark/>
          </w:tcPr>
          <w:p w14:paraId="1CE1A774"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0.0005</w:t>
            </w:r>
          </w:p>
        </w:tc>
      </w:tr>
      <w:tr w:rsidR="00C86E03" w:rsidRPr="00591E69" w14:paraId="6CF7DF41" w14:textId="77777777" w:rsidTr="00CC4E50">
        <w:trPr>
          <w:trHeight w:val="354"/>
          <w:jc w:val="center"/>
        </w:trPr>
        <w:tc>
          <w:tcPr>
            <w:tcW w:w="2953" w:type="dxa"/>
            <w:tcBorders>
              <w:top w:val="nil"/>
              <w:left w:val="nil"/>
              <w:bottom w:val="nil"/>
              <w:right w:val="nil"/>
            </w:tcBorders>
            <w:noWrap/>
            <w:hideMark/>
          </w:tcPr>
          <w:p w14:paraId="4B59770D" w14:textId="77777777" w:rsidR="00C86E03" w:rsidRPr="00A606C8" w:rsidRDefault="00C86E03" w:rsidP="004D7656">
            <w:pPr>
              <w:rPr>
                <w:rFonts w:ascii="Times New Roman" w:hAnsi="Times New Roman" w:cs="Times New Roman"/>
              </w:rPr>
            </w:pPr>
            <w:r w:rsidRPr="00A606C8">
              <w:rPr>
                <w:rFonts w:ascii="Times New Roman" w:hAnsi="Times New Roman" w:cs="Times New Roman"/>
              </w:rPr>
              <w:t>% White Hispanic</w:t>
            </w:r>
          </w:p>
        </w:tc>
        <w:tc>
          <w:tcPr>
            <w:tcW w:w="1410" w:type="dxa"/>
            <w:tcBorders>
              <w:top w:val="nil"/>
              <w:left w:val="nil"/>
              <w:bottom w:val="nil"/>
              <w:right w:val="nil"/>
            </w:tcBorders>
            <w:noWrap/>
            <w:hideMark/>
          </w:tcPr>
          <w:p w14:paraId="42391426"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71.3</w:t>
            </w:r>
          </w:p>
        </w:tc>
        <w:tc>
          <w:tcPr>
            <w:tcW w:w="1257" w:type="dxa"/>
            <w:tcBorders>
              <w:top w:val="nil"/>
              <w:left w:val="nil"/>
              <w:bottom w:val="nil"/>
              <w:right w:val="nil"/>
            </w:tcBorders>
            <w:noWrap/>
            <w:hideMark/>
          </w:tcPr>
          <w:p w14:paraId="22C6DB42"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59.8</w:t>
            </w:r>
          </w:p>
        </w:tc>
        <w:tc>
          <w:tcPr>
            <w:tcW w:w="1264" w:type="dxa"/>
            <w:tcBorders>
              <w:top w:val="nil"/>
              <w:left w:val="nil"/>
              <w:bottom w:val="nil"/>
              <w:right w:val="nil"/>
            </w:tcBorders>
            <w:noWrap/>
            <w:hideMark/>
          </w:tcPr>
          <w:p w14:paraId="41D64A91"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77.5</w:t>
            </w:r>
          </w:p>
        </w:tc>
        <w:tc>
          <w:tcPr>
            <w:tcW w:w="1675" w:type="dxa"/>
            <w:tcBorders>
              <w:top w:val="nil"/>
              <w:left w:val="nil"/>
              <w:bottom w:val="nil"/>
              <w:right w:val="nil"/>
            </w:tcBorders>
            <w:noWrap/>
            <w:hideMark/>
          </w:tcPr>
          <w:p w14:paraId="54F7837A"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-0.092</w:t>
            </w:r>
          </w:p>
        </w:tc>
        <w:tc>
          <w:tcPr>
            <w:tcW w:w="1940" w:type="dxa"/>
            <w:tcBorders>
              <w:top w:val="nil"/>
              <w:left w:val="nil"/>
              <w:bottom w:val="nil"/>
              <w:right w:val="nil"/>
            </w:tcBorders>
            <w:noWrap/>
            <w:hideMark/>
          </w:tcPr>
          <w:p w14:paraId="367BC141"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-0.149, -0.036</w:t>
            </w:r>
          </w:p>
        </w:tc>
        <w:tc>
          <w:tcPr>
            <w:tcW w:w="1296" w:type="dxa"/>
            <w:tcBorders>
              <w:top w:val="nil"/>
              <w:left w:val="nil"/>
              <w:bottom w:val="nil"/>
              <w:right w:val="nil"/>
            </w:tcBorders>
            <w:noWrap/>
            <w:hideMark/>
          </w:tcPr>
          <w:p w14:paraId="44B19D99"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0.0018</w:t>
            </w:r>
          </w:p>
        </w:tc>
      </w:tr>
      <w:tr w:rsidR="00C86E03" w:rsidRPr="00591E69" w14:paraId="3E2497A1" w14:textId="77777777" w:rsidTr="00CC4E50">
        <w:trPr>
          <w:trHeight w:val="354"/>
          <w:jc w:val="center"/>
        </w:trPr>
        <w:tc>
          <w:tcPr>
            <w:tcW w:w="2953" w:type="dxa"/>
            <w:tcBorders>
              <w:top w:val="nil"/>
              <w:left w:val="nil"/>
              <w:bottom w:val="nil"/>
              <w:right w:val="nil"/>
            </w:tcBorders>
            <w:noWrap/>
            <w:hideMark/>
          </w:tcPr>
          <w:p w14:paraId="7C3CB74C" w14:textId="77777777" w:rsidR="00C86E03" w:rsidRPr="00A606C8" w:rsidRDefault="00C86E03" w:rsidP="004D7656">
            <w:pPr>
              <w:rPr>
                <w:rFonts w:ascii="Times New Roman" w:hAnsi="Times New Roman" w:cs="Times New Roman"/>
              </w:rPr>
            </w:pPr>
            <w:r w:rsidRPr="00A606C8">
              <w:rPr>
                <w:rFonts w:ascii="Times New Roman" w:hAnsi="Times New Roman" w:cs="Times New Roman"/>
              </w:rPr>
              <w:t>% White Non-Hispanic</w:t>
            </w:r>
          </w:p>
        </w:tc>
        <w:tc>
          <w:tcPr>
            <w:tcW w:w="1410" w:type="dxa"/>
            <w:tcBorders>
              <w:top w:val="nil"/>
              <w:left w:val="nil"/>
              <w:bottom w:val="nil"/>
              <w:right w:val="nil"/>
            </w:tcBorders>
            <w:noWrap/>
            <w:hideMark/>
          </w:tcPr>
          <w:p w14:paraId="4050D406"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1.2</w:t>
            </w:r>
          </w:p>
        </w:tc>
        <w:tc>
          <w:tcPr>
            <w:tcW w:w="1257" w:type="dxa"/>
            <w:tcBorders>
              <w:top w:val="nil"/>
              <w:left w:val="nil"/>
              <w:bottom w:val="nil"/>
              <w:right w:val="nil"/>
            </w:tcBorders>
            <w:noWrap/>
            <w:hideMark/>
          </w:tcPr>
          <w:p w14:paraId="77E2B5EE"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0.9</w:t>
            </w:r>
          </w:p>
        </w:tc>
        <w:tc>
          <w:tcPr>
            <w:tcW w:w="1264" w:type="dxa"/>
            <w:tcBorders>
              <w:top w:val="nil"/>
              <w:left w:val="nil"/>
              <w:bottom w:val="nil"/>
              <w:right w:val="nil"/>
            </w:tcBorders>
            <w:noWrap/>
            <w:hideMark/>
          </w:tcPr>
          <w:p w14:paraId="4F6A5DCD"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1.8</w:t>
            </w:r>
          </w:p>
        </w:tc>
        <w:tc>
          <w:tcPr>
            <w:tcW w:w="1675" w:type="dxa"/>
            <w:tcBorders>
              <w:top w:val="nil"/>
              <w:left w:val="nil"/>
              <w:bottom w:val="nil"/>
              <w:right w:val="nil"/>
            </w:tcBorders>
            <w:noWrap/>
            <w:hideMark/>
          </w:tcPr>
          <w:p w14:paraId="3E9D6281"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0.085</w:t>
            </w:r>
          </w:p>
        </w:tc>
        <w:tc>
          <w:tcPr>
            <w:tcW w:w="1940" w:type="dxa"/>
            <w:tcBorders>
              <w:top w:val="nil"/>
              <w:left w:val="nil"/>
              <w:bottom w:val="nil"/>
              <w:right w:val="nil"/>
            </w:tcBorders>
            <w:noWrap/>
            <w:hideMark/>
          </w:tcPr>
          <w:p w14:paraId="36D8D152"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0.041, 0.123</w:t>
            </w:r>
          </w:p>
        </w:tc>
        <w:tc>
          <w:tcPr>
            <w:tcW w:w="1296" w:type="dxa"/>
            <w:tcBorders>
              <w:top w:val="nil"/>
              <w:left w:val="nil"/>
              <w:bottom w:val="nil"/>
              <w:right w:val="nil"/>
            </w:tcBorders>
            <w:noWrap/>
            <w:hideMark/>
          </w:tcPr>
          <w:p w14:paraId="36E30431"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0.0003</w:t>
            </w:r>
          </w:p>
        </w:tc>
      </w:tr>
      <w:tr w:rsidR="00C86E03" w:rsidRPr="00591E69" w14:paraId="1EEE9BF2" w14:textId="77777777" w:rsidTr="00CC4E50">
        <w:trPr>
          <w:trHeight w:val="354"/>
          <w:jc w:val="center"/>
        </w:trPr>
        <w:tc>
          <w:tcPr>
            <w:tcW w:w="2953" w:type="dxa"/>
            <w:tcBorders>
              <w:top w:val="nil"/>
              <w:left w:val="nil"/>
              <w:bottom w:val="nil"/>
              <w:right w:val="nil"/>
            </w:tcBorders>
            <w:noWrap/>
            <w:hideMark/>
          </w:tcPr>
          <w:p w14:paraId="1CD9CE70" w14:textId="77777777" w:rsidR="00C86E03" w:rsidRPr="00A606C8" w:rsidRDefault="00C86E03" w:rsidP="004D7656">
            <w:pPr>
              <w:rPr>
                <w:rFonts w:ascii="Times New Roman" w:hAnsi="Times New Roman" w:cs="Times New Roman"/>
              </w:rPr>
            </w:pPr>
            <w:r w:rsidRPr="00A606C8">
              <w:rPr>
                <w:rFonts w:ascii="Times New Roman" w:hAnsi="Times New Roman" w:cs="Times New Roman"/>
              </w:rPr>
              <w:t>% Non-White Hispanic</w:t>
            </w:r>
          </w:p>
        </w:tc>
        <w:tc>
          <w:tcPr>
            <w:tcW w:w="1410" w:type="dxa"/>
            <w:tcBorders>
              <w:top w:val="nil"/>
              <w:left w:val="nil"/>
              <w:bottom w:val="nil"/>
              <w:right w:val="nil"/>
            </w:tcBorders>
            <w:noWrap/>
            <w:hideMark/>
          </w:tcPr>
          <w:p w14:paraId="6AD15515"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16.2</w:t>
            </w:r>
          </w:p>
        </w:tc>
        <w:tc>
          <w:tcPr>
            <w:tcW w:w="1257" w:type="dxa"/>
            <w:tcBorders>
              <w:top w:val="nil"/>
              <w:left w:val="nil"/>
              <w:bottom w:val="nil"/>
              <w:right w:val="nil"/>
            </w:tcBorders>
            <w:noWrap/>
            <w:hideMark/>
          </w:tcPr>
          <w:p w14:paraId="7BBA01E2"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11.7</w:t>
            </w:r>
          </w:p>
        </w:tc>
        <w:tc>
          <w:tcPr>
            <w:tcW w:w="1264" w:type="dxa"/>
            <w:tcBorders>
              <w:top w:val="nil"/>
              <w:left w:val="nil"/>
              <w:bottom w:val="nil"/>
              <w:right w:val="nil"/>
            </w:tcBorders>
            <w:noWrap/>
            <w:hideMark/>
          </w:tcPr>
          <w:p w14:paraId="29E733AA"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22.0</w:t>
            </w:r>
          </w:p>
        </w:tc>
        <w:tc>
          <w:tcPr>
            <w:tcW w:w="1675" w:type="dxa"/>
            <w:tcBorders>
              <w:top w:val="nil"/>
              <w:left w:val="nil"/>
              <w:bottom w:val="nil"/>
              <w:right w:val="nil"/>
            </w:tcBorders>
            <w:noWrap/>
            <w:hideMark/>
          </w:tcPr>
          <w:p w14:paraId="25B5BE47"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-1.089</w:t>
            </w:r>
          </w:p>
        </w:tc>
        <w:tc>
          <w:tcPr>
            <w:tcW w:w="1940" w:type="dxa"/>
            <w:tcBorders>
              <w:top w:val="nil"/>
              <w:left w:val="nil"/>
              <w:bottom w:val="nil"/>
              <w:right w:val="nil"/>
            </w:tcBorders>
            <w:noWrap/>
            <w:hideMark/>
          </w:tcPr>
          <w:p w14:paraId="48516224"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-1.807, -0.372</w:t>
            </w:r>
          </w:p>
        </w:tc>
        <w:tc>
          <w:tcPr>
            <w:tcW w:w="1296" w:type="dxa"/>
            <w:tcBorders>
              <w:top w:val="nil"/>
              <w:left w:val="nil"/>
              <w:bottom w:val="nil"/>
              <w:right w:val="nil"/>
            </w:tcBorders>
            <w:noWrap/>
            <w:hideMark/>
          </w:tcPr>
          <w:p w14:paraId="752EC954"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0.0035</w:t>
            </w:r>
          </w:p>
        </w:tc>
      </w:tr>
      <w:tr w:rsidR="00C86E03" w:rsidRPr="00591E69" w14:paraId="7FABFE61" w14:textId="77777777" w:rsidTr="00CC4E50">
        <w:trPr>
          <w:trHeight w:val="354"/>
          <w:jc w:val="center"/>
        </w:trPr>
        <w:tc>
          <w:tcPr>
            <w:tcW w:w="2953" w:type="dxa"/>
            <w:tcBorders>
              <w:top w:val="nil"/>
              <w:left w:val="nil"/>
              <w:bottom w:val="nil"/>
              <w:right w:val="nil"/>
            </w:tcBorders>
            <w:noWrap/>
            <w:hideMark/>
          </w:tcPr>
          <w:p w14:paraId="42E15347" w14:textId="77777777" w:rsidR="00C86E03" w:rsidRPr="00A606C8" w:rsidRDefault="00C86E03" w:rsidP="004D7656">
            <w:pPr>
              <w:rPr>
                <w:rFonts w:ascii="Times New Roman" w:hAnsi="Times New Roman" w:cs="Times New Roman"/>
              </w:rPr>
            </w:pPr>
            <w:r w:rsidRPr="00A606C8">
              <w:rPr>
                <w:rFonts w:ascii="Times New Roman" w:hAnsi="Times New Roman" w:cs="Times New Roman"/>
              </w:rPr>
              <w:t>% Non-White Non-Hispanic</w:t>
            </w:r>
          </w:p>
        </w:tc>
        <w:tc>
          <w:tcPr>
            <w:tcW w:w="1410" w:type="dxa"/>
            <w:tcBorders>
              <w:top w:val="nil"/>
              <w:left w:val="nil"/>
              <w:bottom w:val="nil"/>
              <w:right w:val="nil"/>
            </w:tcBorders>
            <w:noWrap/>
            <w:hideMark/>
          </w:tcPr>
          <w:p w14:paraId="5944A5C1"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23.8</w:t>
            </w:r>
          </w:p>
        </w:tc>
        <w:tc>
          <w:tcPr>
            <w:tcW w:w="1257" w:type="dxa"/>
            <w:tcBorders>
              <w:top w:val="nil"/>
              <w:left w:val="nil"/>
              <w:bottom w:val="nil"/>
              <w:right w:val="nil"/>
            </w:tcBorders>
            <w:noWrap/>
            <w:hideMark/>
          </w:tcPr>
          <w:p w14:paraId="3997CA96"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8.5</w:t>
            </w:r>
          </w:p>
        </w:tc>
        <w:tc>
          <w:tcPr>
            <w:tcW w:w="1264" w:type="dxa"/>
            <w:tcBorders>
              <w:top w:val="nil"/>
              <w:left w:val="nil"/>
              <w:bottom w:val="nil"/>
              <w:right w:val="nil"/>
            </w:tcBorders>
            <w:noWrap/>
            <w:hideMark/>
          </w:tcPr>
          <w:p w14:paraId="0F439E6F"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67.5</w:t>
            </w:r>
          </w:p>
        </w:tc>
        <w:tc>
          <w:tcPr>
            <w:tcW w:w="1675" w:type="dxa"/>
            <w:tcBorders>
              <w:top w:val="nil"/>
              <w:left w:val="nil"/>
              <w:bottom w:val="nil"/>
              <w:right w:val="nil"/>
            </w:tcBorders>
            <w:noWrap/>
            <w:hideMark/>
          </w:tcPr>
          <w:p w14:paraId="3021B5CF"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-0.057</w:t>
            </w:r>
          </w:p>
        </w:tc>
        <w:tc>
          <w:tcPr>
            <w:tcW w:w="1940" w:type="dxa"/>
            <w:tcBorders>
              <w:top w:val="nil"/>
              <w:left w:val="nil"/>
              <w:bottom w:val="nil"/>
              <w:right w:val="nil"/>
            </w:tcBorders>
            <w:noWrap/>
            <w:hideMark/>
          </w:tcPr>
          <w:p w14:paraId="1848837E"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-0.135, 0.022</w:t>
            </w:r>
          </w:p>
        </w:tc>
        <w:tc>
          <w:tcPr>
            <w:tcW w:w="1296" w:type="dxa"/>
            <w:tcBorders>
              <w:top w:val="nil"/>
              <w:left w:val="nil"/>
              <w:bottom w:val="nil"/>
              <w:right w:val="nil"/>
            </w:tcBorders>
            <w:noWrap/>
            <w:hideMark/>
          </w:tcPr>
          <w:p w14:paraId="30E94294"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0.1560</w:t>
            </w:r>
          </w:p>
        </w:tc>
      </w:tr>
      <w:tr w:rsidR="00C86E03" w:rsidRPr="00591E69" w14:paraId="11EFB5C1" w14:textId="77777777" w:rsidTr="00CC4E50">
        <w:trPr>
          <w:trHeight w:val="354"/>
          <w:jc w:val="center"/>
        </w:trPr>
        <w:tc>
          <w:tcPr>
            <w:tcW w:w="2953" w:type="dxa"/>
            <w:tcBorders>
              <w:top w:val="nil"/>
              <w:left w:val="nil"/>
              <w:bottom w:val="nil"/>
              <w:right w:val="nil"/>
            </w:tcBorders>
            <w:noWrap/>
            <w:hideMark/>
          </w:tcPr>
          <w:p w14:paraId="044ACE8C" w14:textId="77777777" w:rsidR="00C86E03" w:rsidRPr="00A606C8" w:rsidRDefault="00C86E03" w:rsidP="004D7656">
            <w:pPr>
              <w:rPr>
                <w:rFonts w:ascii="Times New Roman" w:hAnsi="Times New Roman" w:cs="Times New Roman"/>
              </w:rPr>
            </w:pPr>
            <w:r w:rsidRPr="00A606C8">
              <w:rPr>
                <w:rFonts w:ascii="Times New Roman" w:hAnsi="Times New Roman" w:cs="Times New Roman"/>
              </w:rPr>
              <w:t>% Median Household Income</w:t>
            </w:r>
          </w:p>
        </w:tc>
        <w:tc>
          <w:tcPr>
            <w:tcW w:w="1410" w:type="dxa"/>
            <w:tcBorders>
              <w:top w:val="nil"/>
              <w:left w:val="nil"/>
              <w:bottom w:val="nil"/>
              <w:right w:val="nil"/>
            </w:tcBorders>
            <w:noWrap/>
            <w:hideMark/>
          </w:tcPr>
          <w:p w14:paraId="44E27559"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53,023.0</w:t>
            </w:r>
          </w:p>
        </w:tc>
        <w:tc>
          <w:tcPr>
            <w:tcW w:w="1257" w:type="dxa"/>
            <w:tcBorders>
              <w:top w:val="nil"/>
              <w:left w:val="nil"/>
              <w:bottom w:val="nil"/>
              <w:right w:val="nil"/>
            </w:tcBorders>
            <w:noWrap/>
            <w:hideMark/>
          </w:tcPr>
          <w:p w14:paraId="3EBCC2C8"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43,644.0</w:t>
            </w:r>
          </w:p>
        </w:tc>
        <w:tc>
          <w:tcPr>
            <w:tcW w:w="1264" w:type="dxa"/>
            <w:tcBorders>
              <w:top w:val="nil"/>
              <w:left w:val="nil"/>
              <w:bottom w:val="nil"/>
              <w:right w:val="nil"/>
            </w:tcBorders>
            <w:noWrap/>
            <w:hideMark/>
          </w:tcPr>
          <w:p w14:paraId="6A893843"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60,264.5</w:t>
            </w:r>
          </w:p>
        </w:tc>
        <w:tc>
          <w:tcPr>
            <w:tcW w:w="1675" w:type="dxa"/>
            <w:tcBorders>
              <w:top w:val="nil"/>
              <w:left w:val="nil"/>
              <w:bottom w:val="nil"/>
              <w:right w:val="nil"/>
            </w:tcBorders>
            <w:noWrap/>
            <w:hideMark/>
          </w:tcPr>
          <w:p w14:paraId="2D4058BA"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-0.0001</w:t>
            </w:r>
          </w:p>
        </w:tc>
        <w:tc>
          <w:tcPr>
            <w:tcW w:w="1940" w:type="dxa"/>
            <w:tcBorders>
              <w:top w:val="nil"/>
              <w:left w:val="nil"/>
              <w:bottom w:val="nil"/>
              <w:right w:val="nil"/>
            </w:tcBorders>
            <w:noWrap/>
            <w:hideMark/>
          </w:tcPr>
          <w:p w14:paraId="1898B11D"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-0.0002, -3.121</w:t>
            </w:r>
          </w:p>
        </w:tc>
        <w:tc>
          <w:tcPr>
            <w:tcW w:w="1296" w:type="dxa"/>
            <w:tcBorders>
              <w:top w:val="nil"/>
              <w:left w:val="nil"/>
              <w:bottom w:val="nil"/>
              <w:right w:val="nil"/>
            </w:tcBorders>
            <w:noWrap/>
            <w:hideMark/>
          </w:tcPr>
          <w:p w14:paraId="34CF5B56"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0.0042</w:t>
            </w:r>
          </w:p>
        </w:tc>
      </w:tr>
      <w:tr w:rsidR="00C86E03" w:rsidRPr="00591E69" w14:paraId="2C3555E1" w14:textId="77777777" w:rsidTr="00E44524">
        <w:trPr>
          <w:trHeight w:val="354"/>
          <w:jc w:val="center"/>
        </w:trPr>
        <w:tc>
          <w:tcPr>
            <w:tcW w:w="2953" w:type="dxa"/>
            <w:tcBorders>
              <w:top w:val="nil"/>
              <w:left w:val="nil"/>
              <w:bottom w:val="single" w:sz="12" w:space="0" w:color="auto"/>
              <w:right w:val="nil"/>
            </w:tcBorders>
            <w:noWrap/>
            <w:hideMark/>
          </w:tcPr>
          <w:p w14:paraId="341C79D7" w14:textId="77777777" w:rsidR="00C86E03" w:rsidRPr="00A606C8" w:rsidRDefault="00C86E03" w:rsidP="004D7656">
            <w:pPr>
              <w:rPr>
                <w:rFonts w:ascii="Times New Roman" w:hAnsi="Times New Roman" w:cs="Times New Roman"/>
              </w:rPr>
            </w:pPr>
            <w:r w:rsidRPr="00A606C8">
              <w:rPr>
                <w:rFonts w:ascii="Times New Roman" w:hAnsi="Times New Roman" w:cs="Times New Roman"/>
              </w:rPr>
              <w:t>% Rural Population</w:t>
            </w:r>
          </w:p>
        </w:tc>
        <w:tc>
          <w:tcPr>
            <w:tcW w:w="1410" w:type="dxa"/>
            <w:tcBorders>
              <w:top w:val="nil"/>
              <w:left w:val="nil"/>
              <w:bottom w:val="single" w:sz="12" w:space="0" w:color="auto"/>
              <w:right w:val="nil"/>
            </w:tcBorders>
            <w:noWrap/>
            <w:hideMark/>
          </w:tcPr>
          <w:p w14:paraId="437B06F2"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7.7</w:t>
            </w:r>
          </w:p>
        </w:tc>
        <w:tc>
          <w:tcPr>
            <w:tcW w:w="1257" w:type="dxa"/>
            <w:tcBorders>
              <w:top w:val="nil"/>
              <w:left w:val="nil"/>
              <w:bottom w:val="single" w:sz="12" w:space="0" w:color="auto"/>
              <w:right w:val="nil"/>
            </w:tcBorders>
            <w:noWrap/>
            <w:hideMark/>
          </w:tcPr>
          <w:p w14:paraId="61C64396"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7.0</w:t>
            </w:r>
          </w:p>
        </w:tc>
        <w:tc>
          <w:tcPr>
            <w:tcW w:w="1264" w:type="dxa"/>
            <w:tcBorders>
              <w:top w:val="nil"/>
              <w:left w:val="nil"/>
              <w:bottom w:val="single" w:sz="12" w:space="0" w:color="auto"/>
              <w:right w:val="nil"/>
            </w:tcBorders>
            <w:noWrap/>
            <w:hideMark/>
          </w:tcPr>
          <w:p w14:paraId="0E1BAAE3"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rPr>
              <w:t>9.1</w:t>
            </w:r>
          </w:p>
        </w:tc>
        <w:tc>
          <w:tcPr>
            <w:tcW w:w="1675" w:type="dxa"/>
            <w:tcBorders>
              <w:top w:val="nil"/>
              <w:left w:val="nil"/>
              <w:bottom w:val="single" w:sz="12" w:space="0" w:color="auto"/>
              <w:right w:val="nil"/>
            </w:tcBorders>
            <w:noWrap/>
            <w:hideMark/>
          </w:tcPr>
          <w:p w14:paraId="56776E53"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0.023</w:t>
            </w:r>
          </w:p>
        </w:tc>
        <w:tc>
          <w:tcPr>
            <w:tcW w:w="1940" w:type="dxa"/>
            <w:tcBorders>
              <w:top w:val="nil"/>
              <w:left w:val="nil"/>
              <w:bottom w:val="single" w:sz="12" w:space="0" w:color="auto"/>
              <w:right w:val="nil"/>
            </w:tcBorders>
            <w:noWrap/>
            <w:hideMark/>
          </w:tcPr>
          <w:p w14:paraId="3ED05845"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0.0001, 0.046</w:t>
            </w:r>
          </w:p>
        </w:tc>
        <w:tc>
          <w:tcPr>
            <w:tcW w:w="1296" w:type="dxa"/>
            <w:tcBorders>
              <w:top w:val="nil"/>
              <w:left w:val="nil"/>
              <w:bottom w:val="single" w:sz="12" w:space="0" w:color="auto"/>
              <w:right w:val="nil"/>
            </w:tcBorders>
            <w:noWrap/>
            <w:hideMark/>
          </w:tcPr>
          <w:p w14:paraId="59D71B0B" w14:textId="77777777" w:rsidR="00C86E03" w:rsidRPr="00A606C8" w:rsidRDefault="00C86E03" w:rsidP="004D7656">
            <w:pPr>
              <w:jc w:val="center"/>
              <w:rPr>
                <w:rFonts w:ascii="Times New Roman" w:hAnsi="Times New Roman" w:cs="Times New Roman"/>
              </w:rPr>
            </w:pPr>
            <w:r w:rsidRPr="00A606C8">
              <w:rPr>
                <w:rFonts w:ascii="Times New Roman" w:hAnsi="Times New Roman" w:cs="Times New Roman"/>
                <w:color w:val="000000"/>
              </w:rPr>
              <w:t>0.0493</w:t>
            </w:r>
          </w:p>
        </w:tc>
      </w:tr>
    </w:tbl>
    <w:p w14:paraId="2147BF46" w14:textId="77777777" w:rsidR="00C86E03" w:rsidRDefault="00C86E03" w:rsidP="00C86E03">
      <w:pPr>
        <w:spacing w:line="240" w:lineRule="auto"/>
        <w:rPr>
          <w:rFonts w:ascii="Times New Roman" w:hAnsi="Times New Roman" w:cs="Times New Roman"/>
          <w:b/>
          <w:bCs/>
        </w:rPr>
      </w:pPr>
    </w:p>
    <w:p w14:paraId="2BB0244A" w14:textId="77777777" w:rsidR="00CC4E50" w:rsidRDefault="00CC4E50">
      <w:pPr>
        <w:rPr>
          <w:rFonts w:ascii="Times New Roman" w:hAnsi="Times New Roman" w:cs="Times New Roman"/>
          <w:b/>
          <w:bCs/>
        </w:rPr>
        <w:sectPr w:rsidR="00CC4E50" w:rsidSect="00B72663">
          <w:pgSz w:w="15840" w:h="12240" w:orient="landscape"/>
          <w:pgMar w:top="1440" w:right="1440" w:bottom="1440" w:left="1440" w:header="720" w:footer="720" w:gutter="0"/>
          <w:cols w:space="720"/>
          <w:docGrid w:linePitch="360"/>
        </w:sectPr>
      </w:pPr>
    </w:p>
    <w:p w14:paraId="35E7A68B" w14:textId="40B97A9D" w:rsidR="00F67163" w:rsidRDefault="00F67163" w:rsidP="00E44524">
      <w:pPr>
        <w:pStyle w:val="Caption"/>
        <w:spacing w:after="0"/>
      </w:pPr>
      <w:bookmarkStart w:id="82" w:name="_Toc199886029"/>
      <w:bookmarkStart w:id="83" w:name="_Toc200097046"/>
      <w:r>
        <w:lastRenderedPageBreak/>
        <w:t xml:space="preserve">Table </w:t>
      </w:r>
      <w:r w:rsidR="00450C23">
        <w:fldChar w:fldCharType="begin"/>
      </w:r>
      <w:r w:rsidR="00450C23">
        <w:instrText xml:space="preserve"> STYLEREF 1 \s </w:instrText>
      </w:r>
      <w:r w:rsidR="00450C23">
        <w:fldChar w:fldCharType="separate"/>
      </w:r>
      <w:r w:rsidR="005D69AE">
        <w:rPr>
          <w:noProof/>
        </w:rPr>
        <w:t>2</w:t>
      </w:r>
      <w:r w:rsidR="00450C23">
        <w:rPr>
          <w:noProof/>
        </w:rPr>
        <w:fldChar w:fldCharType="end"/>
      </w:r>
      <w:r w:rsidR="005D69AE">
        <w:t>.</w:t>
      </w:r>
      <w:r w:rsidR="00450C23">
        <w:fldChar w:fldCharType="begin"/>
      </w:r>
      <w:r w:rsidR="00450C23">
        <w:instrText xml:space="preserve"> SEQ Table \* ARABIC \s 1 </w:instrText>
      </w:r>
      <w:r w:rsidR="00450C23">
        <w:fldChar w:fldCharType="separate"/>
      </w:r>
      <w:r w:rsidR="005D69AE">
        <w:rPr>
          <w:noProof/>
        </w:rPr>
        <w:t>4</w:t>
      </w:r>
      <w:r w:rsidR="00450C23">
        <w:rPr>
          <w:noProof/>
        </w:rPr>
        <w:fldChar w:fldCharType="end"/>
      </w:r>
      <w:r>
        <w:t xml:space="preserve">. </w:t>
      </w:r>
      <w:r w:rsidRPr="00E85591">
        <w:t>Significant Predictors Age-Adjusted Chronic Obstructive Pulmonary Disease Prevalence in Florida, 2019</w:t>
      </w:r>
      <w:bookmarkEnd w:id="82"/>
      <w:bookmarkEnd w:id="83"/>
    </w:p>
    <w:tbl>
      <w:tblPr>
        <w:tblStyle w:val="TableGrid"/>
        <w:tblW w:w="0" w:type="auto"/>
        <w:tblLook w:val="04A0" w:firstRow="1" w:lastRow="0" w:firstColumn="1" w:lastColumn="0" w:noHBand="0" w:noVBand="1"/>
      </w:tblPr>
      <w:tblGrid>
        <w:gridCol w:w="3800"/>
        <w:gridCol w:w="1700"/>
        <w:gridCol w:w="2040"/>
        <w:gridCol w:w="1700"/>
      </w:tblGrid>
      <w:tr w:rsidR="00C86E03" w:rsidRPr="00C86E03" w14:paraId="47D0B05D" w14:textId="77777777" w:rsidTr="00A606C8">
        <w:trPr>
          <w:trHeight w:val="1020"/>
        </w:trPr>
        <w:tc>
          <w:tcPr>
            <w:tcW w:w="3800" w:type="dxa"/>
            <w:tcBorders>
              <w:top w:val="single" w:sz="12" w:space="0" w:color="auto"/>
              <w:left w:val="nil"/>
              <w:bottom w:val="single" w:sz="12" w:space="0" w:color="auto"/>
              <w:right w:val="nil"/>
            </w:tcBorders>
            <w:noWrap/>
            <w:vAlign w:val="center"/>
            <w:hideMark/>
          </w:tcPr>
          <w:p w14:paraId="687D0FA6" w14:textId="77777777" w:rsidR="00C86E03" w:rsidRPr="00C86E03" w:rsidRDefault="00C86E03" w:rsidP="004D7656">
            <w:pPr>
              <w:jc w:val="center"/>
              <w:rPr>
                <w:rFonts w:ascii="Times New Roman" w:hAnsi="Times New Roman" w:cs="Times New Roman"/>
                <w:b/>
                <w:bCs/>
              </w:rPr>
            </w:pPr>
            <w:r w:rsidRPr="00C86E03">
              <w:rPr>
                <w:rFonts w:ascii="Times New Roman" w:hAnsi="Times New Roman" w:cs="Times New Roman"/>
                <w:b/>
                <w:bCs/>
              </w:rPr>
              <w:t>Variable</w:t>
            </w:r>
          </w:p>
        </w:tc>
        <w:tc>
          <w:tcPr>
            <w:tcW w:w="1700" w:type="dxa"/>
            <w:tcBorders>
              <w:top w:val="single" w:sz="12" w:space="0" w:color="auto"/>
              <w:left w:val="nil"/>
              <w:bottom w:val="single" w:sz="12" w:space="0" w:color="auto"/>
              <w:right w:val="nil"/>
            </w:tcBorders>
            <w:vAlign w:val="center"/>
            <w:hideMark/>
          </w:tcPr>
          <w:p w14:paraId="20CE4ECA" w14:textId="77777777" w:rsidR="00C86E03" w:rsidRPr="00C86E03" w:rsidRDefault="00C86E03" w:rsidP="004D7656">
            <w:pPr>
              <w:jc w:val="center"/>
              <w:rPr>
                <w:rFonts w:ascii="Times New Roman" w:hAnsi="Times New Roman" w:cs="Times New Roman"/>
                <w:b/>
                <w:bCs/>
              </w:rPr>
            </w:pPr>
            <w:r w:rsidRPr="00C86E03">
              <w:rPr>
                <w:rFonts w:ascii="Times New Roman" w:hAnsi="Times New Roman" w:cs="Times New Roman"/>
                <w:b/>
                <w:bCs/>
              </w:rPr>
              <w:t>Adjusted Parameter Estimate</w:t>
            </w:r>
          </w:p>
        </w:tc>
        <w:tc>
          <w:tcPr>
            <w:tcW w:w="2040" w:type="dxa"/>
            <w:tcBorders>
              <w:top w:val="single" w:sz="12" w:space="0" w:color="auto"/>
              <w:left w:val="nil"/>
              <w:bottom w:val="single" w:sz="12" w:space="0" w:color="auto"/>
              <w:right w:val="nil"/>
            </w:tcBorders>
            <w:vAlign w:val="center"/>
            <w:hideMark/>
          </w:tcPr>
          <w:p w14:paraId="25B15C0C" w14:textId="77777777" w:rsidR="00C86E03" w:rsidRPr="00C86E03" w:rsidRDefault="00C86E03" w:rsidP="004D7656">
            <w:pPr>
              <w:jc w:val="center"/>
              <w:rPr>
                <w:rFonts w:ascii="Times New Roman" w:hAnsi="Times New Roman" w:cs="Times New Roman"/>
                <w:b/>
                <w:bCs/>
              </w:rPr>
            </w:pPr>
            <w:r w:rsidRPr="00C86E03">
              <w:rPr>
                <w:rFonts w:ascii="Times New Roman" w:hAnsi="Times New Roman" w:cs="Times New Roman"/>
                <w:b/>
                <w:bCs/>
              </w:rPr>
              <w:t>95% Confidence Interval</w:t>
            </w:r>
          </w:p>
        </w:tc>
        <w:tc>
          <w:tcPr>
            <w:tcW w:w="1700" w:type="dxa"/>
            <w:tcBorders>
              <w:top w:val="single" w:sz="12" w:space="0" w:color="auto"/>
              <w:left w:val="nil"/>
              <w:bottom w:val="single" w:sz="12" w:space="0" w:color="auto"/>
              <w:right w:val="nil"/>
            </w:tcBorders>
            <w:vAlign w:val="center"/>
            <w:hideMark/>
          </w:tcPr>
          <w:p w14:paraId="202508D6" w14:textId="77777777" w:rsidR="00C86E03" w:rsidRPr="00C86E03" w:rsidRDefault="00C86E03" w:rsidP="004D7656">
            <w:pPr>
              <w:jc w:val="center"/>
              <w:rPr>
                <w:rFonts w:ascii="Times New Roman" w:hAnsi="Times New Roman" w:cs="Times New Roman"/>
                <w:b/>
                <w:bCs/>
              </w:rPr>
            </w:pPr>
            <w:r w:rsidRPr="00C86E03">
              <w:rPr>
                <w:rFonts w:ascii="Times New Roman" w:hAnsi="Times New Roman" w:cs="Times New Roman"/>
                <w:b/>
                <w:bCs/>
              </w:rPr>
              <w:t>p-value</w:t>
            </w:r>
          </w:p>
        </w:tc>
      </w:tr>
      <w:tr w:rsidR="00C86E03" w:rsidRPr="00C86E03" w14:paraId="6D986BEB" w14:textId="77777777" w:rsidTr="00A606C8">
        <w:trPr>
          <w:trHeight w:val="320"/>
        </w:trPr>
        <w:tc>
          <w:tcPr>
            <w:tcW w:w="3800" w:type="dxa"/>
            <w:tcBorders>
              <w:top w:val="single" w:sz="12" w:space="0" w:color="auto"/>
              <w:left w:val="nil"/>
              <w:bottom w:val="nil"/>
              <w:right w:val="nil"/>
            </w:tcBorders>
            <w:noWrap/>
            <w:vAlign w:val="center"/>
            <w:hideMark/>
          </w:tcPr>
          <w:p w14:paraId="2C0AC996" w14:textId="77777777" w:rsidR="00C86E03" w:rsidRPr="00C86E03" w:rsidRDefault="00C86E03" w:rsidP="004D7656">
            <w:pPr>
              <w:jc w:val="center"/>
              <w:rPr>
                <w:rFonts w:ascii="Times New Roman" w:hAnsi="Times New Roman" w:cs="Times New Roman"/>
              </w:rPr>
            </w:pPr>
            <w:r w:rsidRPr="00C86E03">
              <w:rPr>
                <w:rFonts w:ascii="Times New Roman" w:hAnsi="Times New Roman" w:cs="Times New Roman"/>
              </w:rPr>
              <w:t>% Asthma Diagnosis</w:t>
            </w:r>
          </w:p>
        </w:tc>
        <w:tc>
          <w:tcPr>
            <w:tcW w:w="1700" w:type="dxa"/>
            <w:tcBorders>
              <w:top w:val="single" w:sz="12" w:space="0" w:color="auto"/>
              <w:left w:val="nil"/>
              <w:bottom w:val="nil"/>
              <w:right w:val="nil"/>
            </w:tcBorders>
            <w:noWrap/>
            <w:vAlign w:val="center"/>
            <w:hideMark/>
          </w:tcPr>
          <w:p w14:paraId="34E44540" w14:textId="77777777" w:rsidR="00C86E03" w:rsidRPr="00C86E03" w:rsidRDefault="00C86E03" w:rsidP="004D7656">
            <w:pPr>
              <w:jc w:val="center"/>
              <w:rPr>
                <w:rFonts w:ascii="Times New Roman" w:hAnsi="Times New Roman" w:cs="Times New Roman"/>
              </w:rPr>
            </w:pPr>
            <w:r w:rsidRPr="00C86E03">
              <w:rPr>
                <w:rFonts w:ascii="Times New Roman" w:hAnsi="Times New Roman" w:cs="Times New Roman"/>
                <w:color w:val="000000"/>
              </w:rPr>
              <w:t>0.200</w:t>
            </w:r>
          </w:p>
        </w:tc>
        <w:tc>
          <w:tcPr>
            <w:tcW w:w="2040" w:type="dxa"/>
            <w:tcBorders>
              <w:top w:val="single" w:sz="12" w:space="0" w:color="auto"/>
              <w:left w:val="nil"/>
              <w:bottom w:val="nil"/>
              <w:right w:val="nil"/>
            </w:tcBorders>
            <w:noWrap/>
            <w:vAlign w:val="center"/>
            <w:hideMark/>
          </w:tcPr>
          <w:p w14:paraId="34418636" w14:textId="77777777" w:rsidR="00C86E03" w:rsidRPr="00C86E03" w:rsidRDefault="00C86E03" w:rsidP="004D7656">
            <w:pPr>
              <w:jc w:val="center"/>
              <w:rPr>
                <w:rFonts w:ascii="Times New Roman" w:hAnsi="Times New Roman" w:cs="Times New Roman"/>
              </w:rPr>
            </w:pPr>
            <w:r w:rsidRPr="00C86E03">
              <w:rPr>
                <w:rFonts w:ascii="Times New Roman" w:hAnsi="Times New Roman" w:cs="Times New Roman"/>
                <w:color w:val="000000"/>
              </w:rPr>
              <w:t>0.004, 0.396</w:t>
            </w:r>
          </w:p>
        </w:tc>
        <w:tc>
          <w:tcPr>
            <w:tcW w:w="1700" w:type="dxa"/>
            <w:tcBorders>
              <w:top w:val="single" w:sz="12" w:space="0" w:color="auto"/>
              <w:left w:val="nil"/>
              <w:bottom w:val="nil"/>
              <w:right w:val="nil"/>
            </w:tcBorders>
            <w:noWrap/>
            <w:vAlign w:val="center"/>
            <w:hideMark/>
          </w:tcPr>
          <w:p w14:paraId="50C696EA" w14:textId="77777777" w:rsidR="00C86E03" w:rsidRPr="00C86E03" w:rsidRDefault="00C86E03" w:rsidP="004D7656">
            <w:pPr>
              <w:jc w:val="center"/>
              <w:rPr>
                <w:rFonts w:ascii="Times New Roman" w:hAnsi="Times New Roman" w:cs="Times New Roman"/>
              </w:rPr>
            </w:pPr>
            <w:r w:rsidRPr="00C86E03">
              <w:rPr>
                <w:rFonts w:ascii="Times New Roman" w:hAnsi="Times New Roman" w:cs="Times New Roman"/>
                <w:color w:val="000000"/>
              </w:rPr>
              <w:t>0.0457</w:t>
            </w:r>
          </w:p>
        </w:tc>
      </w:tr>
      <w:tr w:rsidR="00C86E03" w:rsidRPr="00C86E03" w14:paraId="389F6944" w14:textId="77777777" w:rsidTr="004D7656">
        <w:trPr>
          <w:trHeight w:val="320"/>
        </w:trPr>
        <w:tc>
          <w:tcPr>
            <w:tcW w:w="3800" w:type="dxa"/>
            <w:tcBorders>
              <w:top w:val="nil"/>
              <w:left w:val="nil"/>
              <w:bottom w:val="nil"/>
              <w:right w:val="nil"/>
            </w:tcBorders>
            <w:noWrap/>
            <w:vAlign w:val="center"/>
            <w:hideMark/>
          </w:tcPr>
          <w:p w14:paraId="0B70F934" w14:textId="77777777" w:rsidR="00C86E03" w:rsidRPr="00C86E03" w:rsidRDefault="00C86E03" w:rsidP="004D7656">
            <w:pPr>
              <w:jc w:val="center"/>
              <w:rPr>
                <w:rFonts w:ascii="Times New Roman" w:hAnsi="Times New Roman" w:cs="Times New Roman"/>
              </w:rPr>
            </w:pPr>
            <w:r w:rsidRPr="00C86E03">
              <w:rPr>
                <w:rFonts w:ascii="Times New Roman" w:hAnsi="Times New Roman" w:cs="Times New Roman"/>
              </w:rPr>
              <w:t>% Current Smoker</w:t>
            </w:r>
          </w:p>
        </w:tc>
        <w:tc>
          <w:tcPr>
            <w:tcW w:w="1700" w:type="dxa"/>
            <w:tcBorders>
              <w:top w:val="nil"/>
              <w:left w:val="nil"/>
              <w:bottom w:val="nil"/>
              <w:right w:val="nil"/>
            </w:tcBorders>
            <w:noWrap/>
            <w:vAlign w:val="center"/>
            <w:hideMark/>
          </w:tcPr>
          <w:p w14:paraId="081509D9" w14:textId="77777777" w:rsidR="00C86E03" w:rsidRPr="00C86E03" w:rsidRDefault="00C86E03" w:rsidP="004D7656">
            <w:pPr>
              <w:jc w:val="center"/>
              <w:rPr>
                <w:rFonts w:ascii="Times New Roman" w:hAnsi="Times New Roman" w:cs="Times New Roman"/>
              </w:rPr>
            </w:pPr>
            <w:r w:rsidRPr="00C86E03">
              <w:rPr>
                <w:rFonts w:ascii="Times New Roman" w:hAnsi="Times New Roman" w:cs="Times New Roman"/>
                <w:color w:val="000000"/>
              </w:rPr>
              <w:t>0.408</w:t>
            </w:r>
          </w:p>
        </w:tc>
        <w:tc>
          <w:tcPr>
            <w:tcW w:w="2040" w:type="dxa"/>
            <w:tcBorders>
              <w:top w:val="nil"/>
              <w:left w:val="nil"/>
              <w:bottom w:val="nil"/>
              <w:right w:val="nil"/>
            </w:tcBorders>
            <w:noWrap/>
            <w:vAlign w:val="center"/>
            <w:hideMark/>
          </w:tcPr>
          <w:p w14:paraId="2A278806" w14:textId="77777777" w:rsidR="00C86E03" w:rsidRPr="00C86E03" w:rsidRDefault="00C86E03" w:rsidP="004D7656">
            <w:pPr>
              <w:jc w:val="center"/>
              <w:rPr>
                <w:rFonts w:ascii="Times New Roman" w:hAnsi="Times New Roman" w:cs="Times New Roman"/>
              </w:rPr>
            </w:pPr>
            <w:r w:rsidRPr="00C86E03">
              <w:rPr>
                <w:rFonts w:ascii="Times New Roman" w:hAnsi="Times New Roman" w:cs="Times New Roman"/>
                <w:color w:val="000000"/>
              </w:rPr>
              <w:t>0.305, 0.512</w:t>
            </w:r>
          </w:p>
        </w:tc>
        <w:tc>
          <w:tcPr>
            <w:tcW w:w="1700" w:type="dxa"/>
            <w:tcBorders>
              <w:top w:val="nil"/>
              <w:left w:val="nil"/>
              <w:bottom w:val="nil"/>
              <w:right w:val="nil"/>
            </w:tcBorders>
            <w:noWrap/>
            <w:vAlign w:val="center"/>
            <w:hideMark/>
          </w:tcPr>
          <w:p w14:paraId="499A1EE1" w14:textId="77777777" w:rsidR="00C86E03" w:rsidRPr="00C86E03" w:rsidRDefault="00C86E03" w:rsidP="004D7656">
            <w:pPr>
              <w:jc w:val="center"/>
              <w:rPr>
                <w:rFonts w:ascii="Times New Roman" w:hAnsi="Times New Roman" w:cs="Times New Roman"/>
              </w:rPr>
            </w:pPr>
            <w:r w:rsidRPr="00C86E03">
              <w:rPr>
                <w:rFonts w:ascii="Times New Roman" w:hAnsi="Times New Roman" w:cs="Times New Roman"/>
                <w:color w:val="000000"/>
              </w:rPr>
              <w:t>&lt;0.0001</w:t>
            </w:r>
          </w:p>
        </w:tc>
      </w:tr>
      <w:tr w:rsidR="00C86E03" w:rsidRPr="00C86E03" w14:paraId="3B1A6DE4" w14:textId="77777777" w:rsidTr="00E44524">
        <w:trPr>
          <w:trHeight w:val="320"/>
        </w:trPr>
        <w:tc>
          <w:tcPr>
            <w:tcW w:w="3800" w:type="dxa"/>
            <w:tcBorders>
              <w:top w:val="nil"/>
              <w:left w:val="nil"/>
              <w:bottom w:val="single" w:sz="12" w:space="0" w:color="auto"/>
              <w:right w:val="nil"/>
            </w:tcBorders>
            <w:noWrap/>
            <w:vAlign w:val="center"/>
            <w:hideMark/>
          </w:tcPr>
          <w:p w14:paraId="56963323" w14:textId="77777777" w:rsidR="00C86E03" w:rsidRPr="00C86E03" w:rsidRDefault="00C86E03" w:rsidP="004D7656">
            <w:pPr>
              <w:jc w:val="center"/>
              <w:rPr>
                <w:rFonts w:ascii="Times New Roman" w:hAnsi="Times New Roman" w:cs="Times New Roman"/>
              </w:rPr>
            </w:pPr>
            <w:r w:rsidRPr="00C86E03">
              <w:rPr>
                <w:rFonts w:ascii="Times New Roman" w:hAnsi="Times New Roman" w:cs="Times New Roman"/>
              </w:rPr>
              <w:t>% Non-White Non-Hispanic*</w:t>
            </w:r>
          </w:p>
        </w:tc>
        <w:tc>
          <w:tcPr>
            <w:tcW w:w="1700" w:type="dxa"/>
            <w:tcBorders>
              <w:top w:val="nil"/>
              <w:left w:val="nil"/>
              <w:bottom w:val="single" w:sz="12" w:space="0" w:color="auto"/>
              <w:right w:val="nil"/>
            </w:tcBorders>
            <w:noWrap/>
            <w:vAlign w:val="center"/>
            <w:hideMark/>
          </w:tcPr>
          <w:p w14:paraId="5B34B2F5" w14:textId="77777777" w:rsidR="00C86E03" w:rsidRPr="00C86E03" w:rsidRDefault="00C86E03" w:rsidP="004D7656">
            <w:pPr>
              <w:jc w:val="center"/>
              <w:rPr>
                <w:rFonts w:ascii="Times New Roman" w:hAnsi="Times New Roman" w:cs="Times New Roman"/>
              </w:rPr>
            </w:pPr>
            <w:r w:rsidRPr="00C86E03">
              <w:rPr>
                <w:rFonts w:ascii="Times New Roman" w:hAnsi="Times New Roman" w:cs="Times New Roman"/>
                <w:color w:val="000000"/>
              </w:rPr>
              <w:t>-0.047</w:t>
            </w:r>
          </w:p>
        </w:tc>
        <w:tc>
          <w:tcPr>
            <w:tcW w:w="2040" w:type="dxa"/>
            <w:tcBorders>
              <w:top w:val="nil"/>
              <w:left w:val="nil"/>
              <w:bottom w:val="single" w:sz="12" w:space="0" w:color="auto"/>
              <w:right w:val="nil"/>
            </w:tcBorders>
            <w:noWrap/>
            <w:vAlign w:val="center"/>
            <w:hideMark/>
          </w:tcPr>
          <w:p w14:paraId="0FC25AC4" w14:textId="77777777" w:rsidR="00C86E03" w:rsidRPr="00C86E03" w:rsidRDefault="00C86E03" w:rsidP="004D7656">
            <w:pPr>
              <w:jc w:val="center"/>
              <w:rPr>
                <w:rFonts w:ascii="Times New Roman" w:hAnsi="Times New Roman" w:cs="Times New Roman"/>
              </w:rPr>
            </w:pPr>
            <w:r w:rsidRPr="00C86E03">
              <w:rPr>
                <w:rFonts w:ascii="Times New Roman" w:hAnsi="Times New Roman" w:cs="Times New Roman"/>
                <w:color w:val="000000"/>
              </w:rPr>
              <w:t>-0.101, 0.007</w:t>
            </w:r>
          </w:p>
        </w:tc>
        <w:tc>
          <w:tcPr>
            <w:tcW w:w="1700" w:type="dxa"/>
            <w:tcBorders>
              <w:top w:val="nil"/>
              <w:left w:val="nil"/>
              <w:bottom w:val="single" w:sz="12" w:space="0" w:color="auto"/>
              <w:right w:val="nil"/>
            </w:tcBorders>
            <w:noWrap/>
            <w:vAlign w:val="center"/>
            <w:hideMark/>
          </w:tcPr>
          <w:p w14:paraId="2E20CB0D" w14:textId="77777777" w:rsidR="00C86E03" w:rsidRPr="00C86E03" w:rsidRDefault="00C86E03" w:rsidP="004D7656">
            <w:pPr>
              <w:jc w:val="center"/>
              <w:rPr>
                <w:rFonts w:ascii="Times New Roman" w:hAnsi="Times New Roman" w:cs="Times New Roman"/>
              </w:rPr>
            </w:pPr>
            <w:r w:rsidRPr="00C86E03">
              <w:rPr>
                <w:rFonts w:ascii="Times New Roman" w:hAnsi="Times New Roman" w:cs="Times New Roman"/>
                <w:color w:val="000000"/>
              </w:rPr>
              <w:t>0.0858</w:t>
            </w:r>
          </w:p>
        </w:tc>
      </w:tr>
      <w:tr w:rsidR="00C86E03" w:rsidRPr="00C86E03" w14:paraId="3239A43C" w14:textId="77777777" w:rsidTr="00E44524">
        <w:trPr>
          <w:trHeight w:val="320"/>
        </w:trPr>
        <w:tc>
          <w:tcPr>
            <w:tcW w:w="9240" w:type="dxa"/>
            <w:gridSpan w:val="4"/>
            <w:tcBorders>
              <w:top w:val="single" w:sz="12" w:space="0" w:color="auto"/>
              <w:left w:val="nil"/>
              <w:bottom w:val="nil"/>
              <w:right w:val="nil"/>
            </w:tcBorders>
            <w:noWrap/>
            <w:vAlign w:val="center"/>
          </w:tcPr>
          <w:p w14:paraId="7FF69832" w14:textId="77777777" w:rsidR="00C86E03" w:rsidRPr="00C86E03" w:rsidRDefault="00C86E03" w:rsidP="004D7656">
            <w:pPr>
              <w:rPr>
                <w:rFonts w:ascii="Times New Roman" w:hAnsi="Times New Roman" w:cs="Times New Roman"/>
              </w:rPr>
            </w:pPr>
            <w:r w:rsidRPr="00C86E03">
              <w:rPr>
                <w:rFonts w:ascii="Times New Roman" w:hAnsi="Times New Roman" w:cs="Times New Roman"/>
              </w:rPr>
              <w:t>* Included as a confounder for % of asthma diagnosis</w:t>
            </w:r>
          </w:p>
        </w:tc>
      </w:tr>
    </w:tbl>
    <w:p w14:paraId="16CE1243" w14:textId="77777777" w:rsidR="00C86E03" w:rsidRPr="00C86E03" w:rsidRDefault="00C86E03" w:rsidP="00C86E03">
      <w:pPr>
        <w:spacing w:line="240" w:lineRule="auto"/>
        <w:rPr>
          <w:rFonts w:ascii="Times New Roman" w:hAnsi="Times New Roman" w:cs="Times New Roman"/>
          <w:b/>
          <w:bCs/>
        </w:rPr>
      </w:pPr>
    </w:p>
    <w:p w14:paraId="70D69105" w14:textId="72866C91" w:rsidR="00C86E03" w:rsidRDefault="00C86E03" w:rsidP="00C86E03">
      <w:pPr>
        <w:rPr>
          <w:rFonts w:ascii="Times New Roman" w:hAnsi="Times New Roman" w:cs="Times New Roman"/>
        </w:rPr>
      </w:pPr>
      <w:r>
        <w:rPr>
          <w:rFonts w:ascii="Times New Roman" w:hAnsi="Times New Roman" w:cs="Times New Roman"/>
        </w:rPr>
        <w:br w:type="page"/>
      </w:r>
    </w:p>
    <w:p w14:paraId="0575BA90" w14:textId="134710EB" w:rsidR="00970977" w:rsidRPr="00970977" w:rsidRDefault="00970977" w:rsidP="00E44524">
      <w:pPr>
        <w:pStyle w:val="Heading4"/>
        <w:spacing w:before="0" w:after="0" w:line="480" w:lineRule="auto"/>
      </w:pPr>
      <w:bookmarkStart w:id="84" w:name="_Toc200096982"/>
      <w:r w:rsidRPr="00970977">
        <w:lastRenderedPageBreak/>
        <w:t>Geographic Distribution of Significant Predictors</w:t>
      </w:r>
      <w:bookmarkEnd w:id="84"/>
    </w:p>
    <w:p w14:paraId="4C1CC7F8" w14:textId="66F1FFBA" w:rsidR="00CC4E50" w:rsidRDefault="00970977" w:rsidP="00E44524">
      <w:pPr>
        <w:spacing w:after="0" w:line="480" w:lineRule="auto"/>
        <w:ind w:firstLine="720"/>
        <w:rPr>
          <w:rFonts w:ascii="Times New Roman" w:hAnsi="Times New Roman" w:cs="Times New Roman"/>
        </w:rPr>
        <w:sectPr w:rsidR="00CC4E50" w:rsidSect="00B72663">
          <w:pgSz w:w="12240" w:h="15840"/>
          <w:pgMar w:top="1440" w:right="1440" w:bottom="1440" w:left="1440" w:header="720" w:footer="720" w:gutter="0"/>
          <w:cols w:space="720"/>
          <w:docGrid w:linePitch="360"/>
        </w:sectPr>
      </w:pPr>
      <w:r w:rsidRPr="00970977">
        <w:rPr>
          <w:rFonts w:ascii="Times New Roman" w:hAnsi="Times New Roman" w:cs="Times New Roman"/>
        </w:rPr>
        <w:t>The geographic distributions of both the percentage of individuals with asthma (Fig</w:t>
      </w:r>
      <w:r w:rsidR="00E36A86">
        <w:rPr>
          <w:rFonts w:ascii="Times New Roman" w:hAnsi="Times New Roman" w:cs="Times New Roman"/>
        </w:rPr>
        <w:t>ure</w:t>
      </w:r>
      <w:r w:rsidRPr="00970977">
        <w:rPr>
          <w:rFonts w:ascii="Times New Roman" w:hAnsi="Times New Roman" w:cs="Times New Roman"/>
        </w:rPr>
        <w:t xml:space="preserve">. </w:t>
      </w:r>
      <w:r w:rsidR="00C23EEE">
        <w:rPr>
          <w:rFonts w:ascii="Times New Roman" w:hAnsi="Times New Roman" w:cs="Times New Roman"/>
        </w:rPr>
        <w:t>2.</w:t>
      </w:r>
      <w:r w:rsidRPr="00970977">
        <w:rPr>
          <w:rFonts w:ascii="Times New Roman" w:hAnsi="Times New Roman" w:cs="Times New Roman"/>
        </w:rPr>
        <w:t>5A) and those who are current smokers (Fig</w:t>
      </w:r>
      <w:r w:rsidR="00E36A86">
        <w:rPr>
          <w:rFonts w:ascii="Times New Roman" w:hAnsi="Times New Roman" w:cs="Times New Roman"/>
        </w:rPr>
        <w:t>ure</w:t>
      </w:r>
      <w:r w:rsidRPr="00970977">
        <w:rPr>
          <w:rFonts w:ascii="Times New Roman" w:hAnsi="Times New Roman" w:cs="Times New Roman"/>
        </w:rPr>
        <w:t xml:space="preserve">. </w:t>
      </w:r>
      <w:r w:rsidR="00C23EEE">
        <w:rPr>
          <w:rFonts w:ascii="Times New Roman" w:hAnsi="Times New Roman" w:cs="Times New Roman"/>
        </w:rPr>
        <w:t>2.</w:t>
      </w:r>
      <w:r w:rsidRPr="00970977">
        <w:rPr>
          <w:rFonts w:ascii="Times New Roman" w:hAnsi="Times New Roman" w:cs="Times New Roman"/>
        </w:rPr>
        <w:t>5B) are similar to that of age-adjusted COPD prevalence (Fig</w:t>
      </w:r>
      <w:r w:rsidR="00E36A86">
        <w:rPr>
          <w:rFonts w:ascii="Times New Roman" w:hAnsi="Times New Roman" w:cs="Times New Roman"/>
        </w:rPr>
        <w:t>ure</w:t>
      </w:r>
      <w:r w:rsidRPr="00970977">
        <w:rPr>
          <w:rFonts w:ascii="Times New Roman" w:hAnsi="Times New Roman" w:cs="Times New Roman"/>
        </w:rPr>
        <w:t xml:space="preserve">. </w:t>
      </w:r>
      <w:r w:rsidR="00C23EEE">
        <w:rPr>
          <w:rFonts w:ascii="Times New Roman" w:hAnsi="Times New Roman" w:cs="Times New Roman"/>
        </w:rPr>
        <w:t>2.</w:t>
      </w:r>
      <w:r w:rsidRPr="00970977">
        <w:rPr>
          <w:rFonts w:ascii="Times New Roman" w:hAnsi="Times New Roman" w:cs="Times New Roman"/>
        </w:rPr>
        <w:t>3). Counties with the highest percentage of current smokers were primarily located in north-central Florida as well as the panhandle. However, the percentage of current smokers was fairly high across the state, with 29 counties having at least 20% current smokers. Of the counties with the seven highest COPD prevalence (Baker, Bradford, Citrus, Dixie, Lafayette, Suwannee, and Walton), all but Citrus County had more that 25% of current smokers. The similarity in the geographic distribution in the prevalence of asthma and that of COPD was less pronounced. The panhandle and north-central Florida generally had high prevalence of both asthma and COPD.</w:t>
      </w:r>
    </w:p>
    <w:p w14:paraId="62E0C3BE" w14:textId="77777777" w:rsidR="00591E69" w:rsidRDefault="00591E69">
      <w:pPr>
        <w:rPr>
          <w:rFonts w:ascii="Times New Roman" w:hAnsi="Times New Roman" w:cs="Times New Roman"/>
        </w:rPr>
      </w:pPr>
    </w:p>
    <w:p w14:paraId="718B65DF" w14:textId="77777777" w:rsidR="00591E69" w:rsidRDefault="00591E69" w:rsidP="00591E69">
      <w:pPr>
        <w:keepNext/>
        <w:jc w:val="center"/>
      </w:pPr>
      <w:r>
        <w:rPr>
          <w:rFonts w:ascii="Times New Roman" w:hAnsi="Times New Roman" w:cs="Times New Roman"/>
          <w:noProof/>
        </w:rPr>
        <w:drawing>
          <wp:inline distT="0" distB="0" distL="0" distR="0" wp14:anchorId="15D65CAD" wp14:editId="40B42FF2">
            <wp:extent cx="8123105" cy="3710940"/>
            <wp:effectExtent l="0" t="0" r="0" b="3810"/>
            <wp:docPr id="918129351" name="Picture 1" descr="A map of the state of florid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129351" name="Picture 1" descr="A map of the state of florida&#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8123105" cy="3710940"/>
                    </a:xfrm>
                    <a:prstGeom prst="rect">
                      <a:avLst/>
                    </a:prstGeom>
                  </pic:spPr>
                </pic:pic>
              </a:graphicData>
            </a:graphic>
          </wp:inline>
        </w:drawing>
      </w:r>
    </w:p>
    <w:p w14:paraId="2ECF06CA" w14:textId="522E66BD" w:rsidR="00591E69" w:rsidRDefault="00591E69" w:rsidP="00E44524">
      <w:pPr>
        <w:pStyle w:val="Caption"/>
        <w:spacing w:after="0"/>
      </w:pPr>
      <w:bookmarkStart w:id="85" w:name="_Toc200097063"/>
      <w:r>
        <w:t xml:space="preserve">Figure </w:t>
      </w:r>
      <w:r w:rsidR="00450C23">
        <w:fldChar w:fldCharType="begin"/>
      </w:r>
      <w:r w:rsidR="00450C23">
        <w:instrText xml:space="preserve"> STYLEREF 1 \s </w:instrText>
      </w:r>
      <w:r w:rsidR="00450C23">
        <w:fldChar w:fldCharType="separate"/>
      </w:r>
      <w:r>
        <w:rPr>
          <w:noProof/>
        </w:rPr>
        <w:t>2</w:t>
      </w:r>
      <w:r w:rsidR="00450C23">
        <w:rPr>
          <w:noProof/>
        </w:rPr>
        <w:fldChar w:fldCharType="end"/>
      </w:r>
      <w:r>
        <w:t>.</w:t>
      </w:r>
      <w:r w:rsidR="00450C23">
        <w:fldChar w:fldCharType="begin"/>
      </w:r>
      <w:r w:rsidR="00450C23">
        <w:instrText xml:space="preserve"> SEQ Figure \* ARABIC \s 1 </w:instrText>
      </w:r>
      <w:r w:rsidR="00450C23">
        <w:fldChar w:fldCharType="separate"/>
      </w:r>
      <w:r>
        <w:rPr>
          <w:noProof/>
        </w:rPr>
        <w:t>5</w:t>
      </w:r>
      <w:r w:rsidR="00450C23">
        <w:rPr>
          <w:noProof/>
        </w:rPr>
        <w:fldChar w:fldCharType="end"/>
      </w:r>
      <w:r>
        <w:t xml:space="preserve"> </w:t>
      </w:r>
      <w:r w:rsidRPr="00435C03">
        <w:t>Geographic distributions of the percentages of Florida population with asthma (2.5A) or are current smokers (2.5B)</w:t>
      </w:r>
      <w:bookmarkEnd w:id="85"/>
    </w:p>
    <w:p w14:paraId="6BCA9C7B" w14:textId="77777777" w:rsidR="00CC4E50" w:rsidRDefault="00CC4E50">
      <w:pPr>
        <w:rPr>
          <w:rFonts w:ascii="Times New Roman" w:hAnsi="Times New Roman" w:cs="Times New Roman"/>
        </w:rPr>
        <w:sectPr w:rsidR="00CC4E50" w:rsidSect="00B72663">
          <w:pgSz w:w="15840" w:h="12240" w:orient="landscape"/>
          <w:pgMar w:top="1440" w:right="1440" w:bottom="1440" w:left="1440" w:header="720" w:footer="720" w:gutter="0"/>
          <w:cols w:space="720"/>
          <w:docGrid w:linePitch="360"/>
        </w:sectPr>
      </w:pPr>
    </w:p>
    <w:p w14:paraId="75C69D60" w14:textId="66E9B2B9" w:rsidR="003252B1" w:rsidRPr="003252B1" w:rsidRDefault="003252B1" w:rsidP="00E44524">
      <w:pPr>
        <w:pStyle w:val="Heading3"/>
        <w:spacing w:before="0" w:after="0" w:line="480" w:lineRule="auto"/>
      </w:pPr>
      <w:bookmarkStart w:id="86" w:name="_Toc199884040"/>
      <w:bookmarkStart w:id="87" w:name="_Toc199884757"/>
      <w:bookmarkStart w:id="88" w:name="_Toc200096983"/>
      <w:r w:rsidRPr="003252B1">
        <w:lastRenderedPageBreak/>
        <w:t>Discussion</w:t>
      </w:r>
      <w:bookmarkEnd w:id="86"/>
      <w:bookmarkEnd w:id="87"/>
      <w:bookmarkEnd w:id="88"/>
    </w:p>
    <w:p w14:paraId="5F905440" w14:textId="0C427CA9" w:rsidR="003252B1" w:rsidRPr="00C23EEE" w:rsidRDefault="003252B1" w:rsidP="00E44524">
      <w:pPr>
        <w:spacing w:after="0" w:line="480" w:lineRule="auto"/>
        <w:ind w:firstLine="720"/>
        <w:rPr>
          <w:rFonts w:ascii="Times New Roman" w:hAnsi="Times New Roman" w:cs="Times New Roman"/>
        </w:rPr>
      </w:pPr>
      <w:r w:rsidRPr="003252B1">
        <w:rPr>
          <w:rFonts w:ascii="Times New Roman" w:hAnsi="Times New Roman" w:cs="Times New Roman"/>
        </w:rPr>
        <w:t>This study investigated geographic clusters and county-level predictors of COPD prevalence in Florida. The results suggest that COPD prevalence varies across geographic areas, which is consistent with the results from other ecological studies of COPD in the US</w:t>
      </w:r>
      <w:r>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"/>
          <w:id w:val="-144593714"/>
          <w:placeholder>
            <w:docPart w:val="DefaultPlaceholder_-1854013440"/>
          </w:placeholder>
        </w:sdtPr>
        <w:sdtEndPr/>
        <w:sdtContent>
          <w:r w:rsidR="00572E88" w:rsidRPr="00572E88">
            <w:rPr>
              <w:rFonts w:ascii="Times New Roman" w:hAnsi="Times New Roman" w:cs="Times New Roman"/>
              <w:color w:val="000000"/>
            </w:rPr>
            <w:t>[4,64,70,72,73,75]</w:t>
          </w:r>
        </w:sdtContent>
      </w:sdt>
      <w:r w:rsidRPr="003252B1">
        <w:rPr>
          <w:rFonts w:ascii="Times New Roman" w:hAnsi="Times New Roman" w:cs="Times New Roman"/>
        </w:rPr>
        <w:t xml:space="preserve">. In a state-level study of COPD prevalence, the geographic distribution of COPD was similar to that of current smokers, which is similar to the results of the current analysis </w:t>
      </w:r>
      <w:sdt>
        <w:sdtPr>
          <w:rPr>
            <w:rFonts w:ascii="Times New Roman" w:hAnsi="Times New Roman" w:cs="Times New Roman"/>
            <w:color w:val="000000"/>
          </w:rPr>
          <w:tag w:val="MENDELEY_CITATION_v3_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"/>
          <w:id w:val="-51305652"/>
          <w:placeholder>
            <w:docPart w:val="DefaultPlaceholder_-1854013440"/>
          </w:placeholder>
        </w:sdtPr>
        <w:sdtEndPr/>
        <w:sdtContent>
          <w:r w:rsidR="00572E88" w:rsidRPr="00572E88">
            <w:rPr>
              <w:rFonts w:ascii="Times New Roman" w:hAnsi="Times New Roman" w:cs="Times New Roman"/>
              <w:color w:val="000000"/>
            </w:rPr>
            <w:t>[4]</w:t>
          </w:r>
        </w:sdtContent>
      </w:sdt>
      <w:r w:rsidRPr="003252B1">
        <w:rPr>
          <w:rFonts w:ascii="Times New Roman" w:hAnsi="Times New Roman" w:cs="Times New Roman"/>
        </w:rPr>
        <w:t>. A study in Maine reported an overlap between areas of high COPD risk and high asthma risk at the Zip Code Tabulation Area (ZCTA)-level</w:t>
      </w:r>
      <w:r w:rsidR="00BC7647">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"/>
          <w:id w:val="2073925817"/>
          <w:placeholder>
            <w:docPart w:val="DefaultPlaceholder_-1854013440"/>
          </w:placeholder>
        </w:sdtPr>
        <w:sdtEndPr/>
        <w:sdtContent>
          <w:r w:rsidR="00572E88" w:rsidRPr="00572E88">
            <w:rPr>
              <w:rFonts w:ascii="Times New Roman" w:hAnsi="Times New Roman" w:cs="Times New Roman"/>
              <w:color w:val="000000"/>
            </w:rPr>
            <w:t>[75]</w:t>
          </w:r>
        </w:sdtContent>
      </w:sdt>
      <w:r w:rsidRPr="003252B1">
        <w:rPr>
          <w:rFonts w:ascii="Times New Roman" w:hAnsi="Times New Roman" w:cs="Times New Roman"/>
        </w:rPr>
        <w:t>. However, that study excluded any non-white cases of COPD from the analysis</w:t>
      </w:r>
      <w:r w:rsidR="00BC7647">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"/>
          <w:id w:val="-1960018620"/>
          <w:placeholder>
            <w:docPart w:val="DefaultPlaceholder_-1854013440"/>
          </w:placeholder>
        </w:sdtPr>
        <w:sdtEndPr/>
        <w:sdtContent>
          <w:r w:rsidR="00572E88" w:rsidRPr="00572E88">
            <w:rPr>
              <w:rFonts w:ascii="Times New Roman" w:hAnsi="Times New Roman" w:cs="Times New Roman"/>
              <w:color w:val="000000"/>
            </w:rPr>
            <w:t>[75]</w:t>
          </w:r>
        </w:sdtContent>
      </w:sdt>
      <w:r w:rsidRPr="003252B1">
        <w:rPr>
          <w:rFonts w:ascii="Times New Roman" w:hAnsi="Times New Roman" w:cs="Times New Roman"/>
        </w:rPr>
        <w:t>, which may limit the generalizability of the results especially to a more racially or ethnically diverse population. In a study of state-level prevalence, the geographic distribution of COPD prevalence was similar in current smokers and non-smokers, which the authors hypothesized was due to possible exposure to second-hand smoke among non-smokers</w:t>
      </w:r>
      <w:r w:rsidR="00BC7647">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"/>
          <w:id w:val="-1976674108"/>
          <w:placeholder>
            <w:docPart w:val="DefaultPlaceholder_-1854013440"/>
          </w:placeholder>
        </w:sdtPr>
        <w:sdtEndPr/>
        <w:sdtContent>
          <w:r w:rsidR="00572E88" w:rsidRPr="00572E88">
            <w:rPr>
              <w:rFonts w:ascii="Times New Roman" w:hAnsi="Times New Roman" w:cs="Times New Roman"/>
              <w:color w:val="000000"/>
            </w:rPr>
            <w:t>[4]</w:t>
          </w:r>
        </w:sdtContent>
      </w:sdt>
      <w:r w:rsidRPr="003252B1">
        <w:rPr>
          <w:rFonts w:ascii="Times New Roman" w:hAnsi="Times New Roman" w:cs="Times New Roman"/>
        </w:rPr>
        <w:t>. Other studies of geographic distributions of COPD have primarily focused on hospitalizations</w:t>
      </w:r>
      <w:r w:rsidR="00BC7647">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"/>
          <w:id w:val="2085789508"/>
          <w:placeholder>
            <w:docPart w:val="DefaultPlaceholder_-1854013440"/>
          </w:placeholder>
        </w:sdtPr>
        <w:sdtEndPr/>
        <w:sdtContent>
          <w:r w:rsidR="00572E88" w:rsidRPr="00572E88">
            <w:rPr>
              <w:rFonts w:ascii="Times New Roman" w:hAnsi="Times New Roman" w:cs="Times New Roman"/>
              <w:color w:val="000000"/>
            </w:rPr>
            <w:t>[72,73]</w:t>
          </w:r>
        </w:sdtContent>
      </w:sdt>
      <w:r w:rsidRPr="003252B1">
        <w:rPr>
          <w:rFonts w:ascii="Times New Roman" w:hAnsi="Times New Roman" w:cs="Times New Roman"/>
        </w:rPr>
        <w:t>. A California study of COPD hospitalizations showed that the COPD hospitalization rates varied across ZCTAs, particularly across urban and rural areas or areas with varying socioeconomic status</w:t>
      </w:r>
      <w:r w:rsidR="00BC7647">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"/>
          <w:id w:val="-1636642518"/>
          <w:placeholder>
            <w:docPart w:val="DefaultPlaceholder_-1854013440"/>
          </w:placeholder>
        </w:sdtPr>
        <w:sdtEndPr/>
        <w:sdtContent>
          <w:r w:rsidR="00572E88" w:rsidRPr="00572E88">
            <w:rPr>
              <w:rFonts w:ascii="Times New Roman" w:hAnsi="Times New Roman" w:cs="Times New Roman"/>
              <w:color w:val="000000"/>
            </w:rPr>
            <w:t>[72]</w:t>
          </w:r>
        </w:sdtContent>
      </w:sdt>
      <w:r w:rsidRPr="003252B1">
        <w:rPr>
          <w:rFonts w:ascii="Times New Roman" w:hAnsi="Times New Roman" w:cs="Times New Roman"/>
        </w:rPr>
        <w:t xml:space="preserve">. </w:t>
      </w:r>
    </w:p>
    <w:p w14:paraId="3EFCF623" w14:textId="0DC001E0" w:rsidR="003252B1" w:rsidRPr="003252B1" w:rsidRDefault="003252B1" w:rsidP="00E44524">
      <w:pPr>
        <w:spacing w:after="0" w:line="480" w:lineRule="auto"/>
        <w:ind w:firstLine="720"/>
        <w:rPr>
          <w:rFonts w:ascii="Times New Roman" w:hAnsi="Times New Roman" w:cs="Times New Roman"/>
        </w:rPr>
      </w:pPr>
      <w:r w:rsidRPr="003252B1">
        <w:rPr>
          <w:rFonts w:ascii="Times New Roman" w:hAnsi="Times New Roman" w:cs="Times New Roman"/>
        </w:rPr>
        <w:t>In this study, COPD prevalence was associated with the county-level percentage of current smokers and percentage of population with asthma. Although the association between smoking and COPD in individual-level studies is well documented</w:t>
      </w:r>
      <w:r w:rsidR="00C20699">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
          <w:id w:val="-1672859392"/>
          <w:placeholder>
            <w:docPart w:val="DefaultPlaceholder_-1854013440"/>
          </w:placeholder>
        </w:sdtPr>
        <w:sdtEndPr/>
        <w:sdtContent>
          <w:r w:rsidR="00572E88" w:rsidRPr="00572E88">
            <w:rPr>
              <w:rFonts w:ascii="Times New Roman" w:hAnsi="Times New Roman" w:cs="Times New Roman"/>
              <w:color w:val="000000"/>
            </w:rPr>
            <w:t>[4,6,145]</w:t>
          </w:r>
        </w:sdtContent>
      </w:sdt>
      <w:r w:rsidRPr="003252B1">
        <w:rPr>
          <w:rFonts w:ascii="Times New Roman" w:hAnsi="Times New Roman" w:cs="Times New Roman"/>
        </w:rPr>
        <w:t>, previous ecological studies are limited in their assessment of area-level risk factors, including smoking status</w:t>
      </w:r>
      <w:r w:rsidR="00C20699">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"/>
          <w:id w:val="1203519085"/>
          <w:placeholder>
            <w:docPart w:val="DefaultPlaceholder_-1854013440"/>
          </w:placeholder>
        </w:sdtPr>
        <w:sdtEndPr/>
        <w:sdtContent>
          <w:r w:rsidR="00572E88" w:rsidRPr="00572E88">
            <w:rPr>
              <w:rFonts w:ascii="Times New Roman" w:hAnsi="Times New Roman" w:cs="Times New Roman"/>
              <w:color w:val="000000"/>
            </w:rPr>
            <w:t>[66,68,75,146,147]</w:t>
          </w:r>
        </w:sdtContent>
      </w:sdt>
      <w:r w:rsidRPr="003252B1">
        <w:rPr>
          <w:rFonts w:ascii="Times New Roman" w:hAnsi="Times New Roman" w:cs="Times New Roman"/>
        </w:rPr>
        <w:t>. Previous studies assessing area-level smoking reported no associations with COPD prevalence. The authors hypothesized that the lack of association may be due to methodological limitations</w:t>
      </w:r>
      <w:r w:rsidR="00C20699">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"/>
          <w:id w:val="1892228240"/>
          <w:placeholder>
            <w:docPart w:val="DefaultPlaceholder_-1854013440"/>
          </w:placeholder>
        </w:sdtPr>
        <w:sdtEndPr/>
        <w:sdtContent>
          <w:r w:rsidR="00572E88" w:rsidRPr="00572E88">
            <w:rPr>
              <w:rFonts w:ascii="Times New Roman" w:hAnsi="Times New Roman" w:cs="Times New Roman"/>
              <w:color w:val="000000"/>
            </w:rPr>
            <w:t>[75,147]</w:t>
          </w:r>
        </w:sdtContent>
      </w:sdt>
      <w:r w:rsidRPr="003252B1">
        <w:rPr>
          <w:rFonts w:ascii="Times New Roman" w:hAnsi="Times New Roman" w:cs="Times New Roman"/>
        </w:rPr>
        <w:t xml:space="preserve">. At the individual-level, however, smoking is recognized as </w:t>
      </w:r>
      <w:r w:rsidRPr="003252B1">
        <w:rPr>
          <w:rFonts w:ascii="Times New Roman" w:hAnsi="Times New Roman" w:cs="Times New Roman"/>
        </w:rPr>
        <w:lastRenderedPageBreak/>
        <w:t>a primary risk factor for COPD</w:t>
      </w:r>
      <w:r w:rsidR="00C20699">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Tc0OTU0MzctMzViMS00ODhiLWI5NTgtNWNkOTdmMDU3MjU0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
          <w:id w:val="-195855816"/>
          <w:placeholder>
            <w:docPart w:val="DefaultPlaceholder_-1854013440"/>
          </w:placeholder>
        </w:sdtPr>
        <w:sdtEndPr/>
        <w:sdtContent>
          <w:r w:rsidR="00572E88" w:rsidRPr="00572E88">
            <w:rPr>
              <w:rFonts w:ascii="Times New Roman" w:hAnsi="Times New Roman" w:cs="Times New Roman"/>
              <w:color w:val="000000"/>
            </w:rPr>
            <w:t>[6]</w:t>
          </w:r>
        </w:sdtContent>
      </w:sdt>
      <w:r w:rsidRPr="003252B1">
        <w:rPr>
          <w:rFonts w:ascii="Times New Roman" w:hAnsi="Times New Roman" w:cs="Times New Roman"/>
        </w:rPr>
        <w:t>, which is similar to the results of the current study although not directly comparable. The results of the current ecological study taken together with the results in the individual-level study suggest that targeting areas with high percentages of current smokers for smoking cessation or prevention campaigns may help reduce the burden of COPD in these areas.</w:t>
      </w:r>
    </w:p>
    <w:p w14:paraId="097B8338" w14:textId="7E91F424" w:rsidR="003252B1" w:rsidRPr="003252B1" w:rsidRDefault="003252B1" w:rsidP="00E44524">
      <w:pPr>
        <w:spacing w:after="0" w:line="480" w:lineRule="auto"/>
        <w:ind w:firstLine="720"/>
        <w:rPr>
          <w:rFonts w:ascii="Times New Roman" w:hAnsi="Times New Roman" w:cs="Times New Roman"/>
        </w:rPr>
      </w:pPr>
      <w:r w:rsidRPr="003252B1">
        <w:rPr>
          <w:rFonts w:ascii="Times New Roman" w:hAnsi="Times New Roman" w:cs="Times New Roman"/>
        </w:rPr>
        <w:t>The association between COPD prevalence and asthma is less clear as the mechanism of COPD development among individuals with asthma is not well understood. Only a few individual-level studies have studied the risk of COPD development in those with asthma, both of which found an increase in risk of COPD</w:t>
      </w:r>
      <w:r w:rsidR="00C20699">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"/>
          <w:id w:val="-1704859235"/>
          <w:placeholder>
            <w:docPart w:val="DefaultPlaceholder_-1854013440"/>
          </w:placeholder>
        </w:sdtPr>
        <w:sdtEndPr/>
        <w:sdtContent>
          <w:r w:rsidR="00572E88" w:rsidRPr="00572E88">
            <w:rPr>
              <w:rFonts w:ascii="Times New Roman" w:hAnsi="Times New Roman" w:cs="Times New Roman"/>
              <w:color w:val="000000"/>
            </w:rPr>
            <w:t>[148,149]</w:t>
          </w:r>
        </w:sdtContent>
      </w:sdt>
      <w:r w:rsidRPr="003252B1">
        <w:rPr>
          <w:rFonts w:ascii="Times New Roman" w:hAnsi="Times New Roman" w:cs="Times New Roman"/>
        </w:rPr>
        <w:t>. In ecological studies, asthma prevalence is typically not included in the area-level risk factor investigation</w:t>
      </w:r>
      <w:r w:rsidR="00C20699">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"/>
          <w:id w:val="91980459"/>
          <w:placeholder>
            <w:docPart w:val="DefaultPlaceholder_-1854013440"/>
          </w:placeholder>
        </w:sdtPr>
        <w:sdtEndPr/>
        <w:sdtContent>
          <w:r w:rsidR="00572E88" w:rsidRPr="00572E88">
            <w:rPr>
              <w:rFonts w:ascii="Times New Roman" w:hAnsi="Times New Roman" w:cs="Times New Roman"/>
              <w:color w:val="000000"/>
            </w:rPr>
            <w:t>[68,146,147]</w:t>
          </w:r>
        </w:sdtContent>
      </w:sdt>
      <w:r w:rsidRPr="003252B1">
        <w:rPr>
          <w:rFonts w:ascii="Times New Roman" w:hAnsi="Times New Roman" w:cs="Times New Roman"/>
        </w:rPr>
        <w:t>. Only one ecological study reported overlap in high prevalence locations of COPD and asthma, which they suggested could be the result of shared risk factors or co-occurring diseases</w:t>
      </w:r>
      <w:r w:rsidR="00C20699">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"/>
          <w:id w:val="-2032021441"/>
          <w:placeholder>
            <w:docPart w:val="DefaultPlaceholder_-1854013440"/>
          </w:placeholder>
        </w:sdtPr>
        <w:sdtEndPr/>
        <w:sdtContent>
          <w:r w:rsidR="00572E88" w:rsidRPr="00572E88">
            <w:rPr>
              <w:rFonts w:ascii="Times New Roman" w:hAnsi="Times New Roman" w:cs="Times New Roman"/>
              <w:color w:val="000000"/>
            </w:rPr>
            <w:t>[75]</w:t>
          </w:r>
        </w:sdtContent>
      </w:sdt>
      <w:r w:rsidRPr="003252B1">
        <w:rPr>
          <w:rFonts w:ascii="Times New Roman" w:hAnsi="Times New Roman" w:cs="Times New Roman"/>
        </w:rPr>
        <w:t>. Although traditionally identified as two distinct diseases, both asthma and COPD are consequences of airway inflammation. A recent review comparing risk factors of COPD and adult-onset asthma identified several risk-factor overlaps between the two conditions. The risk factors common to both conditions included early-life factors (such as low-birth weight and pre-term births), smoking, air pollution, and a number of occupational exposures including dust, pesticides, and other chemical respiratory irritants</w:t>
      </w:r>
      <w:sdt>
        <w:sdtPr>
          <w:rPr>
            <w:rFonts w:ascii="Times New Roman" w:hAnsi="Times New Roman" w:cs="Times New Roman"/>
            <w:color w:val="000000"/>
          </w:rPr>
          <w:tag w:val="MENDELEY_CITATION_v3_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"/>
          <w:id w:val="1380513709"/>
          <w:placeholder>
            <w:docPart w:val="DefaultPlaceholder_-1854013440"/>
          </w:placeholder>
        </w:sdtPr>
        <w:sdtEndPr/>
        <w:sdtContent>
          <w:r w:rsidR="00572E88" w:rsidRPr="00572E88">
            <w:rPr>
              <w:rFonts w:ascii="Times New Roman" w:hAnsi="Times New Roman" w:cs="Times New Roman"/>
              <w:color w:val="000000"/>
            </w:rPr>
            <w:t>[97]</w:t>
          </w:r>
        </w:sdtContent>
      </w:sdt>
      <w:r w:rsidRPr="003252B1">
        <w:rPr>
          <w:rFonts w:ascii="Times New Roman" w:hAnsi="Times New Roman" w:cs="Times New Roman"/>
        </w:rPr>
        <w:t>. In recent years, however, the overlap of asthma and COPD within the same individual has been recognized as a separate syndrome, referred to as the asthma-COPD overlap syndrome</w:t>
      </w:r>
      <w:r w:rsidR="00DB6509">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"/>
          <w:id w:val="-601028200"/>
          <w:placeholder>
            <w:docPart w:val="DefaultPlaceholder_-1854013440"/>
          </w:placeholder>
        </w:sdtPr>
        <w:sdtEndPr/>
        <w:sdtContent>
          <w:r w:rsidR="00572E88" w:rsidRPr="00572E88">
            <w:rPr>
              <w:rFonts w:ascii="Times New Roman" w:hAnsi="Times New Roman" w:cs="Times New Roman"/>
              <w:color w:val="000000"/>
            </w:rPr>
            <w:t>[150,151]</w:t>
          </w:r>
        </w:sdtContent>
      </w:sdt>
      <w:r w:rsidRPr="003252B1">
        <w:rPr>
          <w:rFonts w:ascii="Times New Roman" w:hAnsi="Times New Roman" w:cs="Times New Roman"/>
        </w:rPr>
        <w:t xml:space="preserve">. Thus, it may be possible that the association between county-level percentage of asthma and prevalence of COPD may be the result of the asthma-COPD overlap syndrome. However, the reported prevalence of asthma-COPD overlap syndrome is highly variable across studies primarily due to lack of consensus on the definition of </w:t>
      </w:r>
      <w:r w:rsidRPr="003252B1">
        <w:rPr>
          <w:rFonts w:ascii="Times New Roman" w:hAnsi="Times New Roman" w:cs="Times New Roman"/>
        </w:rPr>
        <w:lastRenderedPageBreak/>
        <w:t>the syndrome, but the reported estimate in the United States general population is approximately 3.7%</w:t>
      </w:r>
      <w:r w:rsidR="00DB6509">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"/>
          <w:id w:val="2071467399"/>
          <w:placeholder>
            <w:docPart w:val="DefaultPlaceholder_-1854013440"/>
          </w:placeholder>
        </w:sdtPr>
        <w:sdtEndPr/>
        <w:sdtContent>
          <w:r w:rsidR="00572E88" w:rsidRPr="00572E88">
            <w:rPr>
              <w:rFonts w:ascii="Times New Roman" w:hAnsi="Times New Roman" w:cs="Times New Roman"/>
              <w:color w:val="000000"/>
            </w:rPr>
            <w:t>[150]</w:t>
          </w:r>
        </w:sdtContent>
      </w:sdt>
      <w:r w:rsidRPr="003252B1">
        <w:rPr>
          <w:rFonts w:ascii="Times New Roman" w:hAnsi="Times New Roman" w:cs="Times New Roman"/>
        </w:rPr>
        <w:t xml:space="preserve">. Regardless, the current results suggest that efforts targeted at reducing asthma prevalence may also be beneficial for reducing COPD prevalence. However, whether these strategies should be focused on shared risk factors or asthma-COPD overlap syndrome is still unclear. Further investigation is needed to elucidate the nature of the association between asthma and COPD in order to better attune prevention efforts. </w:t>
      </w:r>
    </w:p>
    <w:p w14:paraId="6265C166" w14:textId="778CD9D6" w:rsidR="003252B1" w:rsidRPr="003252B1" w:rsidRDefault="003252B1" w:rsidP="00E44524">
      <w:pPr>
        <w:spacing w:after="0" w:line="480" w:lineRule="auto"/>
        <w:ind w:firstLine="720"/>
        <w:rPr>
          <w:rFonts w:ascii="Times New Roman" w:hAnsi="Times New Roman" w:cs="Times New Roman"/>
        </w:rPr>
      </w:pPr>
      <w:r w:rsidRPr="003252B1">
        <w:rPr>
          <w:rFonts w:ascii="Times New Roman" w:hAnsi="Times New Roman" w:cs="Times New Roman"/>
        </w:rPr>
        <w:t>The percentage of non-white non-Hispanic residents was a confounder for the association between COPD prevalence and percentage of asthma. In the United States, asthma prevalence is higher in the non-white non-Hispanic population compared to the white population</w:t>
      </w:r>
      <w:r w:rsidR="00DB6509">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"/>
          <w:id w:val="-1152905584"/>
          <w:placeholder>
            <w:docPart w:val="DefaultPlaceholder_-1854013440"/>
          </w:placeholder>
        </w:sdtPr>
        <w:sdtEndPr/>
        <w:sdtContent>
          <w:r w:rsidR="00572E88" w:rsidRPr="00572E88">
            <w:rPr>
              <w:rFonts w:ascii="Times New Roman" w:hAnsi="Times New Roman" w:cs="Times New Roman"/>
              <w:color w:val="000000"/>
            </w:rPr>
            <w:t>[152]</w:t>
          </w:r>
        </w:sdtContent>
      </w:sdt>
      <w:r w:rsidRPr="003252B1">
        <w:rPr>
          <w:rFonts w:ascii="Times New Roman" w:hAnsi="Times New Roman" w:cs="Times New Roman"/>
        </w:rPr>
        <w:t xml:space="preserve">. It is suggested that the higher prevalence of asthma among non-white non-Hispanic populations may be due to differences in socioeconomic determinants of health </w:t>
      </w:r>
      <w:sdt>
        <w:sdtPr>
          <w:rPr>
            <w:rFonts w:ascii="Times New Roman" w:hAnsi="Times New Roman" w:cs="Times New Roman"/>
            <w:color w:val="000000"/>
          </w:rPr>
          <w:tag w:val="MENDELEY_CITATION_v3_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"/>
          <w:id w:val="984121074"/>
          <w:placeholder>
            <w:docPart w:val="DefaultPlaceholder_-1854013440"/>
          </w:placeholder>
        </w:sdtPr>
        <w:sdtEndPr/>
        <w:sdtContent>
          <w:r w:rsidR="00572E88" w:rsidRPr="00572E88">
            <w:rPr>
              <w:rFonts w:ascii="Times New Roman" w:hAnsi="Times New Roman" w:cs="Times New Roman"/>
              <w:color w:val="000000"/>
            </w:rPr>
            <w:t>[153]</w:t>
          </w:r>
        </w:sdtContent>
      </w:sdt>
      <w:r w:rsidRPr="003252B1">
        <w:rPr>
          <w:rFonts w:ascii="Times New Roman" w:hAnsi="Times New Roman" w:cs="Times New Roman"/>
        </w:rPr>
        <w:t xml:space="preserve"> some of which are also associated with COPD. </w:t>
      </w:r>
    </w:p>
    <w:p w14:paraId="06A06EA5" w14:textId="550EEDA2" w:rsidR="003252B1" w:rsidRDefault="003252B1" w:rsidP="00E44524">
      <w:pPr>
        <w:spacing w:after="0" w:line="480" w:lineRule="auto"/>
        <w:ind w:firstLine="720"/>
        <w:rPr>
          <w:rFonts w:ascii="Times New Roman" w:hAnsi="Times New Roman" w:cs="Times New Roman"/>
        </w:rPr>
      </w:pPr>
      <w:r w:rsidRPr="003252B1">
        <w:rPr>
          <w:rFonts w:ascii="Times New Roman" w:hAnsi="Times New Roman" w:cs="Times New Roman"/>
        </w:rPr>
        <w:t>Perhaps, the most surprising result from the study is the lack of association between COPD prevalence and poor air quality and poverty. Previous studies of socioeconomic status have reported significant associations between poverty or lower socioeconomic status and higher COPD prevalence</w:t>
      </w:r>
      <w:r w:rsidR="005F1F6D">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"/>
          <w:id w:val="-1731533206"/>
          <w:placeholder>
            <w:docPart w:val="DefaultPlaceholder_-1854013440"/>
          </w:placeholder>
        </w:sdtPr>
        <w:sdtEndPr/>
        <w:sdtContent>
          <w:r w:rsidR="00572E88" w:rsidRPr="00572E88">
            <w:rPr>
              <w:rFonts w:ascii="Times New Roman" w:hAnsi="Times New Roman" w:cs="Times New Roman"/>
              <w:color w:val="000000"/>
            </w:rPr>
            <w:t>[38,124,154]</w:t>
          </w:r>
        </w:sdtContent>
      </w:sdt>
      <w:r w:rsidRPr="003252B1">
        <w:rPr>
          <w:rFonts w:ascii="Times New Roman" w:hAnsi="Times New Roman" w:cs="Times New Roman"/>
        </w:rPr>
        <w:t>. Unfortunately, the variables used as measures of socioeconomic status vary widely across studies and some of these measures may not completely capture the socioeconomic status within an area, particularly for areas undergoing dynamic changes</w:t>
      </w:r>
      <w:r w:rsidR="00C97CD8">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"/>
          <w:id w:val="1709990483"/>
          <w:placeholder>
            <w:docPart w:val="DefaultPlaceholder_-1854013440"/>
          </w:placeholder>
        </w:sdtPr>
        <w:sdtEndPr/>
        <w:sdtContent>
          <w:r w:rsidR="00572E88" w:rsidRPr="00572E88">
            <w:rPr>
              <w:rFonts w:ascii="Times New Roman" w:hAnsi="Times New Roman" w:cs="Times New Roman"/>
              <w:color w:val="000000"/>
            </w:rPr>
            <w:t>[154]</w:t>
          </w:r>
        </w:sdtContent>
      </w:sdt>
      <w:r w:rsidRPr="003252B1">
        <w:rPr>
          <w:rFonts w:ascii="Times New Roman" w:hAnsi="Times New Roman" w:cs="Times New Roman"/>
        </w:rPr>
        <w:t>. Thus, it is possible that a different measure of socioeconomic status or a smaller unit of analysis, such as census tract might be worth considering for future investigations. Although not directly comparable with the findings of this county-level study, previous individual-level studies have provided some evidence of association between poor air quality and COPD</w:t>
      </w:r>
      <w:r w:rsidR="00C97CD8">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"/>
          <w:id w:val="1869491960"/>
          <w:placeholder>
            <w:docPart w:val="DefaultPlaceholder_-1854013440"/>
          </w:placeholder>
        </w:sdtPr>
        <w:sdtEndPr/>
        <w:sdtContent>
          <w:r w:rsidR="00572E88" w:rsidRPr="00572E88">
            <w:rPr>
              <w:rFonts w:ascii="Times New Roman" w:hAnsi="Times New Roman" w:cs="Times New Roman"/>
              <w:color w:val="000000"/>
            </w:rPr>
            <w:t>[155,156]</w:t>
          </w:r>
        </w:sdtContent>
      </w:sdt>
      <w:r w:rsidRPr="003252B1">
        <w:rPr>
          <w:rFonts w:ascii="Times New Roman" w:hAnsi="Times New Roman" w:cs="Times New Roman"/>
        </w:rPr>
        <w:t xml:space="preserve">. Moreover, poor air quality has been reported to have strong associations with some severe outcomes such as </w:t>
      </w:r>
      <w:r w:rsidRPr="003252B1">
        <w:rPr>
          <w:rFonts w:ascii="Times New Roman" w:hAnsi="Times New Roman" w:cs="Times New Roman"/>
        </w:rPr>
        <w:lastRenderedPageBreak/>
        <w:t>hospitalizations and mortality</w:t>
      </w:r>
      <w:r w:rsidR="00C97CD8">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"/>
          <w:id w:val="1799721485"/>
          <w:placeholder>
            <w:docPart w:val="DefaultPlaceholder_-1854013440"/>
          </w:placeholder>
        </w:sdtPr>
        <w:sdtEndPr/>
        <w:sdtContent>
          <w:r w:rsidR="00572E88" w:rsidRPr="00572E88">
            <w:rPr>
              <w:rFonts w:ascii="Times New Roman" w:hAnsi="Times New Roman" w:cs="Times New Roman"/>
              <w:color w:val="000000"/>
            </w:rPr>
            <w:t>[118]</w:t>
          </w:r>
        </w:sdtContent>
      </w:sdt>
      <w:r w:rsidRPr="003252B1">
        <w:rPr>
          <w:rFonts w:ascii="Times New Roman" w:hAnsi="Times New Roman" w:cs="Times New Roman"/>
        </w:rPr>
        <w:t>. A recent review stated that more evidence is required before poor air quality could be considered a universal risk factor for the onset of COPD</w:t>
      </w:r>
      <w:r w:rsidR="00C15BA6">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"/>
          <w:id w:val="-295374789"/>
          <w:placeholder>
            <w:docPart w:val="DefaultPlaceholder_-1854013440"/>
          </w:placeholder>
        </w:sdtPr>
        <w:sdtEndPr/>
        <w:sdtContent>
          <w:r w:rsidR="00572E88" w:rsidRPr="00572E88">
            <w:rPr>
              <w:rFonts w:ascii="Times New Roman" w:hAnsi="Times New Roman" w:cs="Times New Roman"/>
              <w:color w:val="000000"/>
            </w:rPr>
            <w:t>[118]</w:t>
          </w:r>
        </w:sdtContent>
      </w:sdt>
      <w:r w:rsidRPr="003252B1">
        <w:rPr>
          <w:rFonts w:ascii="Times New Roman" w:hAnsi="Times New Roman" w:cs="Times New Roman"/>
        </w:rPr>
        <w:t xml:space="preserve">. </w:t>
      </w:r>
    </w:p>
    <w:p w14:paraId="5619B5AB" w14:textId="77777777" w:rsidR="00825C78" w:rsidRPr="00C15BA6" w:rsidRDefault="00825C78" w:rsidP="00E44524">
      <w:pPr>
        <w:spacing w:after="0" w:line="480" w:lineRule="auto"/>
        <w:rPr>
          <w:rFonts w:ascii="Times New Roman" w:hAnsi="Times New Roman" w:cs="Times New Roman"/>
        </w:rPr>
      </w:pPr>
    </w:p>
    <w:p w14:paraId="53C16810" w14:textId="6848E03F" w:rsidR="003252B1" w:rsidRPr="00C15BA6" w:rsidRDefault="003252B1" w:rsidP="00E44524">
      <w:pPr>
        <w:pStyle w:val="Heading4"/>
        <w:spacing w:before="0" w:after="0" w:line="480" w:lineRule="auto"/>
      </w:pPr>
      <w:bookmarkStart w:id="89" w:name="_Toc200096984"/>
      <w:r w:rsidRPr="00C15BA6">
        <w:t>Strengths and Limitations</w:t>
      </w:r>
      <w:bookmarkEnd w:id="89"/>
    </w:p>
    <w:p w14:paraId="3DC20986" w14:textId="10CA5C75" w:rsidR="003252B1" w:rsidRPr="003252B1" w:rsidRDefault="003252B1" w:rsidP="00E44524">
      <w:pPr>
        <w:spacing w:after="0" w:line="480" w:lineRule="auto"/>
        <w:ind w:firstLine="720"/>
        <w:rPr>
          <w:rFonts w:ascii="Times New Roman" w:hAnsi="Times New Roman" w:cs="Times New Roman"/>
        </w:rPr>
      </w:pPr>
      <w:r w:rsidRPr="003252B1">
        <w:rPr>
          <w:rFonts w:ascii="Times New Roman" w:hAnsi="Times New Roman" w:cs="Times New Roman"/>
        </w:rPr>
        <w:t>This study used rigorous spatial statistical methods to identify spatial clusters of COPD in Florida. The strength of Tango’s Flexible Scan Statistic (FSSS) is its ability to identify irregularly shaped clusters, unlike other methods such as Kulldorff’s Spatial Scan Statistics that are better at identifying circular clusters. Additionally, FSSS does not suffer from multiple comparisons that may be associated with other cluster identification methods such as Moran’s Local Indicators of Spatial Associations (LISA)</w:t>
      </w:r>
      <w:r w:rsidR="00C15BA6">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"/>
          <w:id w:val="1307048816"/>
          <w:placeholder>
            <w:docPart w:val="DefaultPlaceholder_-1854013440"/>
          </w:placeholder>
        </w:sdtPr>
        <w:sdtEndPr/>
        <w:sdtContent>
          <w:r w:rsidR="00572E88" w:rsidRPr="00572E88">
            <w:rPr>
              <w:rFonts w:ascii="Times New Roman" w:hAnsi="Times New Roman" w:cs="Times New Roman"/>
              <w:color w:val="000000"/>
            </w:rPr>
            <w:t>[137]</w:t>
          </w:r>
        </w:sdtContent>
      </w:sdt>
      <w:r w:rsidRPr="003252B1">
        <w:rPr>
          <w:rFonts w:ascii="Times New Roman" w:hAnsi="Times New Roman" w:cs="Times New Roman"/>
        </w:rPr>
        <w:t xml:space="preserve">. </w:t>
      </w:r>
    </w:p>
    <w:p w14:paraId="2598FAF9" w14:textId="77777777" w:rsidR="00825C78" w:rsidRDefault="003252B1" w:rsidP="00E44524">
      <w:pPr>
        <w:spacing w:after="0" w:line="480" w:lineRule="auto"/>
        <w:ind w:firstLine="720"/>
        <w:rPr>
          <w:rFonts w:ascii="Times New Roman" w:hAnsi="Times New Roman" w:cs="Times New Roman"/>
        </w:rPr>
      </w:pPr>
      <w:r w:rsidRPr="003252B1">
        <w:rPr>
          <w:rFonts w:ascii="Times New Roman" w:hAnsi="Times New Roman" w:cs="Times New Roman"/>
        </w:rPr>
        <w:t>A limitation of this study is that the estimates of COPD prevalence, smoking status, and asthma are all based on self-reporting from health surveys</w:t>
      </w:r>
      <w:r w:rsidR="00C15BA6">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"/>
          <w:id w:val="-2002731395"/>
          <w:placeholder>
            <w:docPart w:val="DefaultPlaceholder_-1854013440"/>
          </w:placeholder>
        </w:sdtPr>
        <w:sdtEndPr/>
        <w:sdtContent>
          <w:r w:rsidR="00572E88" w:rsidRPr="00572E88">
            <w:rPr>
              <w:rFonts w:ascii="Times New Roman" w:hAnsi="Times New Roman" w:cs="Times New Roman"/>
              <w:color w:val="000000"/>
            </w:rPr>
            <w:t>[129]</w:t>
          </w:r>
        </w:sdtContent>
      </w:sdt>
      <w:r w:rsidRPr="003252B1">
        <w:rPr>
          <w:rFonts w:ascii="Times New Roman" w:hAnsi="Times New Roman" w:cs="Times New Roman"/>
        </w:rPr>
        <w:t>. Self-reported measures may be biased</w:t>
      </w:r>
      <w:r w:rsidR="00C15BA6">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"/>
          <w:id w:val="1986819794"/>
          <w:placeholder>
            <w:docPart w:val="DefaultPlaceholder_-1854013440"/>
          </w:placeholder>
        </w:sdtPr>
        <w:sdtEndPr/>
        <w:sdtContent>
          <w:r w:rsidR="00572E88" w:rsidRPr="00572E88">
            <w:rPr>
              <w:rFonts w:ascii="Times New Roman" w:hAnsi="Times New Roman" w:cs="Times New Roman"/>
              <w:color w:val="000000"/>
            </w:rPr>
            <w:t>[157]</w:t>
          </w:r>
        </w:sdtContent>
      </w:sdt>
      <w:r w:rsidRPr="003252B1">
        <w:rPr>
          <w:rFonts w:ascii="Times New Roman" w:hAnsi="Times New Roman" w:cs="Times New Roman"/>
        </w:rPr>
        <w:t>. Additionally, due to unavailability of data, this study could not investigate the association between COPD prevalence and occupational exposures such as welding fumes or diesel exhaust</w:t>
      </w:r>
      <w:r w:rsidR="00C15BA6">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"/>
          <w:id w:val="-1306157154"/>
          <w:placeholder>
            <w:docPart w:val="DefaultPlaceholder_-1854013440"/>
          </w:placeholder>
        </w:sdtPr>
        <w:sdtEndPr/>
        <w:sdtContent>
          <w:r w:rsidR="00572E88" w:rsidRPr="00572E88">
            <w:rPr>
              <w:rFonts w:ascii="Times New Roman" w:hAnsi="Times New Roman" w:cs="Times New Roman"/>
              <w:color w:val="000000"/>
            </w:rPr>
            <w:t>[158,159]</w:t>
          </w:r>
        </w:sdtContent>
      </w:sdt>
      <w:r w:rsidRPr="003252B1">
        <w:rPr>
          <w:rFonts w:ascii="Times New Roman" w:hAnsi="Times New Roman" w:cs="Times New Roman"/>
        </w:rPr>
        <w:t>. Although the findings of this study are directly valid for Florida, similar study approaches can be used in other geographic locations to help improve our understanding of these disparities and their predictors. Suffice it to say that this study provides important information on the geographic distribution of COPD prevalence and on area-level predictors of COPD prevalence that are imperative for local health planning and resource allocation to address the condition.</w:t>
      </w:r>
    </w:p>
    <w:p w14:paraId="504C3143" w14:textId="5BE7B015" w:rsidR="003252B1" w:rsidRPr="003252B1" w:rsidRDefault="003252B1" w:rsidP="00E44524">
      <w:pPr>
        <w:spacing w:after="0" w:line="480" w:lineRule="auto"/>
        <w:rPr>
          <w:rFonts w:ascii="Times New Roman" w:hAnsi="Times New Roman" w:cs="Times New Roman"/>
        </w:rPr>
      </w:pPr>
    </w:p>
    <w:p w14:paraId="160AAEEF" w14:textId="5136CC41" w:rsidR="003252B1" w:rsidRPr="00C15BA6" w:rsidRDefault="003252B1" w:rsidP="00E44524">
      <w:pPr>
        <w:pStyle w:val="Heading3"/>
        <w:spacing w:before="0" w:after="0" w:line="480" w:lineRule="auto"/>
      </w:pPr>
      <w:bookmarkStart w:id="90" w:name="_Toc199884041"/>
      <w:bookmarkStart w:id="91" w:name="_Toc199884758"/>
      <w:bookmarkStart w:id="92" w:name="_Toc200096985"/>
      <w:r w:rsidRPr="00C15BA6">
        <w:lastRenderedPageBreak/>
        <w:t>Conclusion</w:t>
      </w:r>
      <w:bookmarkEnd w:id="90"/>
      <w:bookmarkEnd w:id="91"/>
      <w:bookmarkEnd w:id="92"/>
    </w:p>
    <w:p w14:paraId="6790334C" w14:textId="7CB72812" w:rsidR="00970977" w:rsidRPr="004E1844" w:rsidRDefault="003252B1" w:rsidP="00E44524">
      <w:pPr>
        <w:spacing w:after="0" w:line="480" w:lineRule="auto"/>
        <w:ind w:firstLine="720"/>
        <w:rPr>
          <w:rFonts w:ascii="Times New Roman" w:hAnsi="Times New Roman" w:cs="Times New Roman"/>
        </w:rPr>
      </w:pPr>
      <w:r w:rsidRPr="003252B1">
        <w:rPr>
          <w:rFonts w:ascii="Times New Roman" w:hAnsi="Times New Roman" w:cs="Times New Roman"/>
        </w:rPr>
        <w:t>There is evidence of spatial clusters of COPD prevalence in Florida. These patterns are explained, in part, by differences in distribution of some health behaviors (smoking) and co-morbidities (asthma). This information is important for guiding intervention efforts to address the condition, reduce health disparities, and improve health for all</w:t>
      </w:r>
      <w:r w:rsidR="00C15BA6">
        <w:rPr>
          <w:rFonts w:ascii="Times New Roman" w:hAnsi="Times New Roman" w:cs="Times New Roman"/>
        </w:rPr>
        <w:t>.</w:t>
      </w:r>
    </w:p>
    <w:p w14:paraId="465B900A" w14:textId="77777777" w:rsidR="0024530B" w:rsidRDefault="0024530B">
      <w:r>
        <w:br w:type="page"/>
      </w:r>
    </w:p>
    <w:p w14:paraId="5A5A9029" w14:textId="363A9E43" w:rsidR="00360192" w:rsidRDefault="00360192" w:rsidP="00360192">
      <w:pPr>
        <w:pStyle w:val="Heading1"/>
        <w:jc w:val="center"/>
      </w:pPr>
      <w:bookmarkStart w:id="93" w:name="_Toc199884042"/>
      <w:bookmarkStart w:id="94" w:name="_Toc199884759"/>
      <w:bookmarkStart w:id="95" w:name="_Toc200096986"/>
      <w:bookmarkEnd w:id="93"/>
      <w:bookmarkEnd w:id="94"/>
      <w:bookmarkEnd w:id="95"/>
    </w:p>
    <w:p w14:paraId="2D11AB8F" w14:textId="7F903552" w:rsidR="0024530B" w:rsidRPr="00AB0536" w:rsidRDefault="0024530B" w:rsidP="00360192">
      <w:pPr>
        <w:pStyle w:val="Heading2"/>
      </w:pPr>
      <w:bookmarkStart w:id="96" w:name="_Toc199884043"/>
      <w:bookmarkStart w:id="97" w:name="_Toc199884760"/>
      <w:bookmarkStart w:id="98" w:name="_Toc200096987"/>
      <w:r w:rsidRPr="00AB0536">
        <w:t>Burden and predictors of chronic obstructive pulmonary disease occurrence and severity among an occupational cohort of United States Department of Energy former workers</w:t>
      </w:r>
      <w:bookmarkEnd w:id="96"/>
      <w:bookmarkEnd w:id="97"/>
      <w:bookmarkEnd w:id="98"/>
    </w:p>
    <w:p w14:paraId="0C3C8769" w14:textId="77777777" w:rsidR="0024530B" w:rsidRDefault="0024530B" w:rsidP="0024530B"/>
    <w:p w14:paraId="2FD86404" w14:textId="77777777" w:rsidR="0024530B" w:rsidRPr="00591E69" w:rsidRDefault="0024530B" w:rsidP="004560D6">
      <w:pPr>
        <w:rPr>
          <w:rFonts w:ascii="Times New Roman" w:hAnsi="Times New Roman" w:cs="Times New Roman"/>
          <w:sz w:val="28"/>
          <w:szCs w:val="28"/>
        </w:rPr>
      </w:pPr>
    </w:p>
    <w:p w14:paraId="372CECE3" w14:textId="20AA7D68" w:rsidR="0024530B" w:rsidRPr="008B02C0" w:rsidRDefault="0024530B" w:rsidP="004560D6">
      <w:pPr>
        <w:spacing w:line="480" w:lineRule="auto"/>
        <w:jc w:val="center"/>
        <w:rPr>
          <w:rFonts w:ascii="Times New Roman" w:hAnsi="Times New Roman" w:cs="Times New Roman"/>
          <w:b/>
        </w:rPr>
      </w:pPr>
      <w:r w:rsidRPr="008B02C0">
        <w:rPr>
          <w:rFonts w:ascii="Times New Roman" w:hAnsi="Times New Roman" w:cs="Times New Roman"/>
        </w:rPr>
        <w:t xml:space="preserve">Sara </w:t>
      </w:r>
      <w:r>
        <w:rPr>
          <w:rFonts w:ascii="Times New Roman" w:hAnsi="Times New Roman" w:cs="Times New Roman"/>
        </w:rPr>
        <w:t xml:space="preserve">C. </w:t>
      </w:r>
      <w:r w:rsidRPr="008B02C0">
        <w:rPr>
          <w:rFonts w:ascii="Times New Roman" w:hAnsi="Times New Roman" w:cs="Times New Roman"/>
        </w:rPr>
        <w:t>Howard</w:t>
      </w:r>
      <w:r w:rsidRPr="008B02C0">
        <w:rPr>
          <w:rFonts w:ascii="Times New Roman" w:hAnsi="Times New Roman" w:cs="Times New Roman"/>
          <w:bCs/>
          <w:vertAlign w:val="superscript"/>
        </w:rPr>
        <w:t>1,</w:t>
      </w:r>
      <w:proofErr w:type="gramStart"/>
      <w:r w:rsidRPr="008B02C0">
        <w:rPr>
          <w:rFonts w:ascii="Times New Roman" w:hAnsi="Times New Roman" w:cs="Times New Roman"/>
          <w:bCs/>
          <w:vertAlign w:val="superscript"/>
        </w:rPr>
        <w:t>2,</w:t>
      </w:r>
      <w:r>
        <w:rPr>
          <w:rFonts w:ascii="Times New Roman" w:hAnsi="Times New Roman" w:cs="Times New Roman"/>
          <w:bCs/>
          <w:vertAlign w:val="superscript"/>
        </w:rPr>
        <w:t>*</w:t>
      </w:r>
      <w:proofErr w:type="gramEnd"/>
      <w:r w:rsidRPr="008B02C0">
        <w:rPr>
          <w:rFonts w:ascii="Times New Roman" w:hAnsi="Times New Roman" w:cs="Times New Roman"/>
        </w:rPr>
        <w:t>,</w:t>
      </w:r>
      <w:r>
        <w:rPr>
          <w:rFonts w:ascii="Times New Roman" w:hAnsi="Times New Roman" w:cs="Times New Roman"/>
        </w:rPr>
        <w:t xml:space="preserve"> Louis Rocconi</w:t>
      </w:r>
      <w:r>
        <w:rPr>
          <w:rFonts w:ascii="Times New Roman" w:hAnsi="Times New Roman" w:cs="Times New Roman"/>
          <w:vertAlign w:val="superscript"/>
        </w:rPr>
        <w:t>3</w:t>
      </w:r>
      <w:r>
        <w:rPr>
          <w:rFonts w:ascii="Times New Roman" w:hAnsi="Times New Roman" w:cs="Times New Roman"/>
        </w:rPr>
        <w:t>,</w:t>
      </w:r>
      <w:r w:rsidRPr="008B02C0">
        <w:rPr>
          <w:rFonts w:ascii="Times New Roman" w:hAnsi="Times New Roman" w:cs="Times New Roman"/>
        </w:rPr>
        <w:t xml:space="preserve"> Agricola Odoi</w:t>
      </w:r>
      <w:proofErr w:type="gramStart"/>
      <w:r w:rsidRPr="008B02C0">
        <w:rPr>
          <w:rFonts w:ascii="Times New Roman" w:hAnsi="Times New Roman" w:cs="Times New Roman"/>
          <w:bCs/>
          <w:vertAlign w:val="superscript"/>
        </w:rPr>
        <w:t>1,*</w:t>
      </w:r>
      <w:proofErr w:type="gramEnd"/>
      <w:r w:rsidRPr="008B02C0">
        <w:rPr>
          <w:rFonts w:ascii="Times New Roman" w:hAnsi="Times New Roman" w:cs="Times New Roman"/>
          <w:bCs/>
          <w:vertAlign w:val="superscript"/>
        </w:rPr>
        <w:t>,</w:t>
      </w:r>
    </w:p>
    <w:p w14:paraId="518892BC" w14:textId="77777777" w:rsidR="0024530B" w:rsidRPr="008B02C0" w:rsidRDefault="0024530B" w:rsidP="0024530B">
      <w:pPr>
        <w:rPr>
          <w:rFonts w:ascii="Times New Roman" w:hAnsi="Times New Roman" w:cs="Times New Roman"/>
          <w:b/>
        </w:rPr>
      </w:pPr>
    </w:p>
    <w:p w14:paraId="7F722111" w14:textId="77777777" w:rsidR="0024530B" w:rsidRPr="008B02C0" w:rsidRDefault="0024530B" w:rsidP="0024530B">
      <w:pPr>
        <w:rPr>
          <w:rFonts w:ascii="Times New Roman" w:hAnsi="Times New Roman" w:cs="Times New Roman"/>
        </w:rPr>
      </w:pPr>
      <w:bookmarkStart w:id="99" w:name="OLE_LINK41"/>
      <w:bookmarkStart w:id="100" w:name="OLE_LINK42"/>
      <w:r w:rsidRPr="008B02C0">
        <w:rPr>
          <w:rFonts w:ascii="Times New Roman" w:hAnsi="Times New Roman" w:cs="Times New Roman"/>
          <w:vertAlign w:val="superscript"/>
        </w:rPr>
        <w:t>1</w:t>
      </w:r>
      <w:r w:rsidRPr="008B02C0">
        <w:rPr>
          <w:rFonts w:ascii="Times New Roman" w:hAnsi="Times New Roman" w:cs="Times New Roman"/>
        </w:rPr>
        <w:t xml:space="preserve">Department of Biomedical and Diagnostic Sciences, </w:t>
      </w:r>
      <w:bookmarkStart w:id="101" w:name="OLE_LINK45"/>
      <w:bookmarkStart w:id="102" w:name="OLE_LINK46"/>
      <w:r w:rsidRPr="008B02C0">
        <w:rPr>
          <w:rFonts w:ascii="Times New Roman" w:hAnsi="Times New Roman" w:cs="Times New Roman"/>
        </w:rPr>
        <w:t>The University of Tennessee, Knoxville, T</w:t>
      </w:r>
      <w:r>
        <w:rPr>
          <w:rFonts w:ascii="Times New Roman" w:hAnsi="Times New Roman" w:cs="Times New Roman"/>
        </w:rPr>
        <w:t>ennessee</w:t>
      </w:r>
      <w:r w:rsidRPr="008B02C0">
        <w:rPr>
          <w:rFonts w:ascii="Times New Roman" w:hAnsi="Times New Roman" w:cs="Times New Roman"/>
        </w:rPr>
        <w:t xml:space="preserve">, United States </w:t>
      </w:r>
      <w:r>
        <w:rPr>
          <w:rFonts w:ascii="Times New Roman" w:hAnsi="Times New Roman" w:cs="Times New Roman"/>
        </w:rPr>
        <w:t>of America</w:t>
      </w:r>
    </w:p>
    <w:p w14:paraId="586B8328" w14:textId="77777777" w:rsidR="0024530B" w:rsidRPr="008B02C0" w:rsidRDefault="0024530B" w:rsidP="0024530B">
      <w:pPr>
        <w:rPr>
          <w:rFonts w:ascii="Times New Roman" w:hAnsi="Times New Roman" w:cs="Times New Roman"/>
        </w:rPr>
      </w:pPr>
    </w:p>
    <w:p w14:paraId="2F938AA5" w14:textId="77777777" w:rsidR="0024530B" w:rsidRDefault="0024530B" w:rsidP="0024530B">
      <w:pPr>
        <w:rPr>
          <w:rFonts w:ascii="Times New Roman" w:hAnsi="Times New Roman" w:cs="Times New Roman"/>
        </w:rPr>
      </w:pPr>
      <w:r w:rsidRPr="008B02C0">
        <w:rPr>
          <w:rFonts w:ascii="Times New Roman" w:hAnsi="Times New Roman" w:cs="Times New Roman"/>
          <w:vertAlign w:val="superscript"/>
        </w:rPr>
        <w:t>2</w:t>
      </w:r>
      <w:r w:rsidRPr="008B02C0">
        <w:rPr>
          <w:rFonts w:ascii="Times New Roman" w:hAnsi="Times New Roman" w:cs="Times New Roman"/>
        </w:rPr>
        <w:t>Epidemiology and Exposure Science, Oak Ridge Associated Universities, Oak Ridge, T</w:t>
      </w:r>
      <w:r>
        <w:rPr>
          <w:rFonts w:ascii="Times New Roman" w:hAnsi="Times New Roman" w:cs="Times New Roman"/>
        </w:rPr>
        <w:t>ennessee</w:t>
      </w:r>
      <w:r w:rsidRPr="008B02C0">
        <w:rPr>
          <w:rFonts w:ascii="Times New Roman" w:hAnsi="Times New Roman" w:cs="Times New Roman"/>
        </w:rPr>
        <w:t>, U</w:t>
      </w:r>
      <w:r>
        <w:rPr>
          <w:rFonts w:ascii="Times New Roman" w:hAnsi="Times New Roman" w:cs="Times New Roman"/>
        </w:rPr>
        <w:t>nited States of America</w:t>
      </w:r>
    </w:p>
    <w:p w14:paraId="4A3AB21C" w14:textId="77777777" w:rsidR="0024530B" w:rsidRDefault="0024530B" w:rsidP="0024530B">
      <w:pPr>
        <w:rPr>
          <w:rFonts w:ascii="Times New Roman" w:hAnsi="Times New Roman" w:cs="Times New Roman"/>
        </w:rPr>
      </w:pPr>
    </w:p>
    <w:p w14:paraId="48CFB1AA" w14:textId="77777777" w:rsidR="0024530B" w:rsidRPr="0006617A" w:rsidRDefault="0024530B" w:rsidP="0024530B">
      <w:pPr>
        <w:rPr>
          <w:rFonts w:ascii="Times New Roman" w:hAnsi="Times New Roman" w:cs="Times New Roman"/>
        </w:rPr>
      </w:pPr>
      <w:r w:rsidRPr="00963674">
        <w:rPr>
          <w:rFonts w:ascii="Times New Roman" w:hAnsi="Times New Roman" w:cs="Times New Roman"/>
          <w:vertAlign w:val="superscript"/>
        </w:rPr>
        <w:t>3</w:t>
      </w:r>
      <w:r>
        <w:rPr>
          <w:rFonts w:ascii="Times New Roman" w:hAnsi="Times New Roman" w:cs="Times New Roman"/>
        </w:rPr>
        <w:t xml:space="preserve">Department of </w:t>
      </w:r>
      <w:r w:rsidRPr="0006617A">
        <w:rPr>
          <w:rFonts w:ascii="Times New Roman" w:hAnsi="Times New Roman" w:cs="Times New Roman"/>
        </w:rPr>
        <w:t>Educational</w:t>
      </w:r>
      <w:r>
        <w:rPr>
          <w:rFonts w:ascii="Times New Roman" w:hAnsi="Times New Roman" w:cs="Times New Roman"/>
        </w:rPr>
        <w:t xml:space="preserve"> Leadership and Policy Studies, The University of Tennessee, Knoxville, Tennessee, United States of America</w:t>
      </w:r>
    </w:p>
    <w:bookmarkEnd w:id="101"/>
    <w:bookmarkEnd w:id="102"/>
    <w:p w14:paraId="62DFAA43" w14:textId="77777777" w:rsidR="0024530B" w:rsidRDefault="0024530B" w:rsidP="0024530B">
      <w:pPr>
        <w:rPr>
          <w:rFonts w:ascii="Times New Roman" w:hAnsi="Times New Roman" w:cs="Times New Roman"/>
        </w:rPr>
      </w:pPr>
    </w:p>
    <w:p w14:paraId="185ADCB5" w14:textId="77777777" w:rsidR="0029444D" w:rsidRPr="008B02C0" w:rsidRDefault="0029444D" w:rsidP="0024530B">
      <w:pPr>
        <w:rPr>
          <w:rFonts w:ascii="Times New Roman" w:hAnsi="Times New Roman" w:cs="Times New Roman"/>
        </w:rPr>
      </w:pPr>
    </w:p>
    <w:bookmarkEnd w:id="99"/>
    <w:bookmarkEnd w:id="100"/>
    <w:p w14:paraId="3993AE92" w14:textId="61C9F963" w:rsidR="0024530B" w:rsidRPr="0024530B" w:rsidRDefault="0024530B" w:rsidP="0024530B">
      <w:pPr>
        <w:rPr>
          <w:rFonts w:ascii="Times New Roman" w:hAnsi="Times New Roman" w:cs="Times New Roman"/>
          <w:bCs/>
        </w:rPr>
      </w:pPr>
      <w:r w:rsidRPr="0024530B">
        <w:rPr>
          <w:rFonts w:ascii="Times New Roman" w:hAnsi="Times New Roman" w:cs="Times New Roman"/>
          <w:bCs/>
        </w:rPr>
        <w:t xml:space="preserve">A version of this chapter was published in </w:t>
      </w:r>
      <w:proofErr w:type="spellStart"/>
      <w:r w:rsidRPr="0024530B">
        <w:rPr>
          <w:rFonts w:ascii="Times New Roman" w:hAnsi="Times New Roman" w:cs="Times New Roman"/>
          <w:bCs/>
        </w:rPr>
        <w:t>Plo</w:t>
      </w:r>
      <w:r>
        <w:rPr>
          <w:rFonts w:ascii="Times New Roman" w:hAnsi="Times New Roman" w:cs="Times New Roman"/>
          <w:bCs/>
        </w:rPr>
        <w:t>S</w:t>
      </w:r>
      <w:proofErr w:type="spellEnd"/>
      <w:r>
        <w:rPr>
          <w:rFonts w:ascii="Times New Roman" w:hAnsi="Times New Roman" w:cs="Times New Roman"/>
          <w:bCs/>
        </w:rPr>
        <w:t xml:space="preserve"> </w:t>
      </w:r>
      <w:r w:rsidRPr="0024530B">
        <w:rPr>
          <w:rFonts w:ascii="Times New Roman" w:hAnsi="Times New Roman" w:cs="Times New Roman"/>
          <w:bCs/>
        </w:rPr>
        <w:t>One</w:t>
      </w:r>
      <w:r>
        <w:rPr>
          <w:rFonts w:ascii="Times New Roman" w:hAnsi="Times New Roman" w:cs="Times New Roman"/>
          <w:bCs/>
        </w:rPr>
        <w:t>.</w:t>
      </w:r>
    </w:p>
    <w:p w14:paraId="6E033F93" w14:textId="77777777" w:rsidR="0029444D" w:rsidRDefault="0029444D" w:rsidP="0024530B">
      <w:pPr>
        <w:rPr>
          <w:rFonts w:ascii="Times New Roman" w:hAnsi="Times New Roman" w:cs="Times New Roman"/>
          <w:b/>
        </w:rPr>
      </w:pPr>
    </w:p>
    <w:p w14:paraId="48A7EE8A" w14:textId="0BDB100B" w:rsidR="0024530B" w:rsidRDefault="0024530B" w:rsidP="0024530B">
      <w:pPr>
        <w:rPr>
          <w:rFonts w:ascii="Times New Roman" w:hAnsi="Times New Roman" w:cs="Times New Roman"/>
          <w:b/>
        </w:rPr>
      </w:pPr>
      <w:r>
        <w:rPr>
          <w:rFonts w:ascii="Times New Roman" w:hAnsi="Times New Roman" w:cs="Times New Roman"/>
          <w:b/>
        </w:rPr>
        <w:t>Citation:</w:t>
      </w:r>
    </w:p>
    <w:p w14:paraId="719CF5E5" w14:textId="5619746A" w:rsidR="0024530B" w:rsidRPr="0024530B" w:rsidRDefault="0024530B" w:rsidP="0024530B">
      <w:pPr>
        <w:rPr>
          <w:rFonts w:ascii="Times New Roman" w:hAnsi="Times New Roman" w:cs="Times New Roman"/>
          <w:bCs/>
        </w:rPr>
      </w:pPr>
      <w:r w:rsidRPr="0024530B">
        <w:rPr>
          <w:rFonts w:ascii="Times New Roman" w:hAnsi="Times New Roman" w:cs="Times New Roman"/>
          <w:bCs/>
        </w:rPr>
        <w:t xml:space="preserve">Howard SC, Rocconi L, Odoi A. Burden and predictors of chronic obstructive pulmonary disease occurrence and severity among an occupational cohort of United States Department of Energy former workers. </w:t>
      </w:r>
      <w:proofErr w:type="spellStart"/>
      <w:r w:rsidRPr="0024530B">
        <w:rPr>
          <w:rFonts w:ascii="Times New Roman" w:hAnsi="Times New Roman" w:cs="Times New Roman"/>
          <w:bCs/>
        </w:rPr>
        <w:t>PLoS</w:t>
      </w:r>
      <w:proofErr w:type="spellEnd"/>
      <w:r w:rsidRPr="0024530B">
        <w:rPr>
          <w:rFonts w:ascii="Times New Roman" w:hAnsi="Times New Roman" w:cs="Times New Roman"/>
          <w:bCs/>
        </w:rPr>
        <w:t xml:space="preserve"> One. 2025 May 6;20(5</w:t>
      </w:r>
      <w:proofErr w:type="gramStart"/>
      <w:r w:rsidRPr="0024530B">
        <w:rPr>
          <w:rFonts w:ascii="Times New Roman" w:hAnsi="Times New Roman" w:cs="Times New Roman"/>
          <w:bCs/>
        </w:rPr>
        <w:t>):e</w:t>
      </w:r>
      <w:proofErr w:type="gramEnd"/>
      <w:r w:rsidRPr="0024530B">
        <w:rPr>
          <w:rFonts w:ascii="Times New Roman" w:hAnsi="Times New Roman" w:cs="Times New Roman"/>
          <w:bCs/>
        </w:rPr>
        <w:t xml:space="preserve">0322815. </w:t>
      </w:r>
      <w:proofErr w:type="spellStart"/>
      <w:r w:rsidRPr="0024530B">
        <w:rPr>
          <w:rFonts w:ascii="Times New Roman" w:hAnsi="Times New Roman" w:cs="Times New Roman"/>
          <w:bCs/>
        </w:rPr>
        <w:t>doi</w:t>
      </w:r>
      <w:proofErr w:type="spellEnd"/>
      <w:r w:rsidRPr="0024530B">
        <w:rPr>
          <w:rFonts w:ascii="Times New Roman" w:hAnsi="Times New Roman" w:cs="Times New Roman"/>
          <w:bCs/>
        </w:rPr>
        <w:t xml:space="preserve">: 10.1371/journal.pone.0322815. </w:t>
      </w:r>
    </w:p>
    <w:p w14:paraId="2D9250BF" w14:textId="77777777" w:rsidR="0024530B" w:rsidRPr="008B02C0" w:rsidRDefault="0024530B" w:rsidP="0024530B">
      <w:pPr>
        <w:rPr>
          <w:rFonts w:ascii="Times New Roman" w:hAnsi="Times New Roman" w:cs="Times New Roman"/>
          <w:b/>
        </w:rPr>
      </w:pPr>
    </w:p>
    <w:p w14:paraId="61308148" w14:textId="77777777" w:rsidR="0024530B" w:rsidRPr="008B02C0" w:rsidRDefault="0024530B" w:rsidP="0024530B">
      <w:pPr>
        <w:rPr>
          <w:rFonts w:ascii="Times New Roman" w:hAnsi="Times New Roman" w:cs="Times New Roman"/>
          <w:b/>
        </w:rPr>
      </w:pPr>
    </w:p>
    <w:p w14:paraId="757CDBF2" w14:textId="2C55ECAC" w:rsidR="0024530B" w:rsidRDefault="0024530B">
      <w:pPr>
        <w:rPr>
          <w:rFonts w:ascii="Times New Roman" w:hAnsi="Times New Roman" w:cs="Times New Roman"/>
          <w:b/>
        </w:rPr>
      </w:pPr>
      <w:r>
        <w:rPr>
          <w:rFonts w:ascii="Times New Roman" w:hAnsi="Times New Roman" w:cs="Times New Roman"/>
          <w:bCs/>
        </w:rPr>
        <w:t>My contribution to this work included conceptual design, data analysis, and manuscript preparation.</w:t>
      </w:r>
      <w:r w:rsidR="0029444D">
        <w:rPr>
          <w:rFonts w:ascii="Times New Roman" w:hAnsi="Times New Roman" w:cs="Times New Roman"/>
          <w:bCs/>
        </w:rPr>
        <w:t xml:space="preserve"> </w:t>
      </w:r>
      <w:r>
        <w:rPr>
          <w:rFonts w:ascii="Times New Roman" w:hAnsi="Times New Roman" w:cs="Times New Roman"/>
          <w:b/>
        </w:rPr>
        <w:br w:type="page"/>
      </w:r>
    </w:p>
    <w:p w14:paraId="771CDA38" w14:textId="4A31FC98" w:rsidR="006B7C5E" w:rsidRPr="006B7C5E" w:rsidRDefault="006B7C5E" w:rsidP="00E44524">
      <w:pPr>
        <w:pStyle w:val="Heading3"/>
        <w:spacing w:before="0" w:after="0" w:line="480" w:lineRule="auto"/>
      </w:pPr>
      <w:bookmarkStart w:id="103" w:name="_Toc199884044"/>
      <w:bookmarkStart w:id="104" w:name="_Toc199884761"/>
      <w:bookmarkStart w:id="105" w:name="_Toc200096988"/>
      <w:r w:rsidRPr="006B7C5E">
        <w:lastRenderedPageBreak/>
        <w:t>Abstract</w:t>
      </w:r>
      <w:bookmarkEnd w:id="103"/>
      <w:bookmarkEnd w:id="104"/>
      <w:bookmarkEnd w:id="105"/>
    </w:p>
    <w:p w14:paraId="28EC9C51" w14:textId="77777777" w:rsidR="006B7C5E" w:rsidRPr="006B7C5E" w:rsidRDefault="006B7C5E" w:rsidP="00E44524">
      <w:pPr>
        <w:spacing w:after="0" w:line="480" w:lineRule="auto"/>
        <w:rPr>
          <w:rFonts w:ascii="Times New Roman" w:hAnsi="Times New Roman" w:cs="Times New Roman"/>
        </w:rPr>
      </w:pPr>
      <w:r w:rsidRPr="006B7C5E">
        <w:rPr>
          <w:rFonts w:ascii="Times New Roman" w:hAnsi="Times New Roman" w:cs="Times New Roman"/>
          <w:b/>
          <w:bCs/>
        </w:rPr>
        <w:t>Background</w:t>
      </w:r>
      <w:r w:rsidRPr="006B7C5E">
        <w:rPr>
          <w:rFonts w:ascii="Times New Roman" w:hAnsi="Times New Roman" w:cs="Times New Roman"/>
        </w:rPr>
        <w:t>: Chronic Obstructive Pulmonary Disease (COPD) is a chronic inflammatory lung disease that reduces lung function and primarily affects older adults. Evidence suggests that occupational exposures like diesel exhaust, cadmium, welding fumes, and silica increase the risk of COPD. Some United States Department of Energy (DOE) workers may be exposed to these noxious substances as they execute their job responsibilities. Assessment of the burden of COPD among these workers and identification of the potential associations between the condition and the above occupational exposures is important for guiding screening, prevention, and control programs. Therefore, the objectives of this study are to: (a) estimate the burden of COPD among former workers of the DOE in the United States and (b) investigate the association between occupational exposures and COPD occurrence and severity among these workers while controlling for environmental, behavioral, and socio-demographic factors.</w:t>
      </w:r>
    </w:p>
    <w:p w14:paraId="1835A093" w14:textId="77777777" w:rsidR="006B7C5E" w:rsidRPr="006B7C5E" w:rsidRDefault="006B7C5E" w:rsidP="00E44524">
      <w:pPr>
        <w:spacing w:after="0" w:line="480" w:lineRule="auto"/>
        <w:rPr>
          <w:rFonts w:ascii="Times New Roman" w:hAnsi="Times New Roman" w:cs="Times New Roman"/>
        </w:rPr>
      </w:pPr>
      <w:r w:rsidRPr="006B7C5E">
        <w:rPr>
          <w:rFonts w:ascii="Times New Roman" w:hAnsi="Times New Roman" w:cs="Times New Roman"/>
          <w:b/>
          <w:bCs/>
        </w:rPr>
        <w:t>Methods</w:t>
      </w:r>
      <w:r w:rsidRPr="006B7C5E">
        <w:rPr>
          <w:rFonts w:ascii="Times New Roman" w:hAnsi="Times New Roman" w:cs="Times New Roman"/>
        </w:rPr>
        <w:t>: Retrospective data containing health screening records of former DOE workers, covering the time period 2006-2019, were obtained from the National Supplemental Screening Program. Multivariate imputation by chained equation was used to impute missing values. Binary and multinomial logistic regression models were used to investigate predictors of COPD occurrence and severity, respectively.</w:t>
      </w:r>
    </w:p>
    <w:p w14:paraId="5C5DF660" w14:textId="77777777" w:rsidR="006B7C5E" w:rsidRPr="006B7C5E" w:rsidRDefault="006B7C5E" w:rsidP="00E44524">
      <w:pPr>
        <w:spacing w:after="0" w:line="480" w:lineRule="auto"/>
        <w:rPr>
          <w:rFonts w:ascii="Times New Roman" w:hAnsi="Times New Roman" w:cs="Times New Roman"/>
        </w:rPr>
      </w:pPr>
      <w:r w:rsidRPr="006B7C5E">
        <w:rPr>
          <w:rFonts w:ascii="Times New Roman" w:hAnsi="Times New Roman" w:cs="Times New Roman"/>
          <w:b/>
          <w:bCs/>
        </w:rPr>
        <w:t>Results</w:t>
      </w:r>
      <w:r w:rsidRPr="006B7C5E">
        <w:rPr>
          <w:rFonts w:ascii="Times New Roman" w:hAnsi="Times New Roman" w:cs="Times New Roman"/>
        </w:rPr>
        <w:t>: Of the 17,376 participants included in the study, 20.8% had COPD. History of asthma, age at exam, body mass index, and smoking were significant predictors of both COPD occurrence and severity. Individuals exposed to silica had higher odds of COPD compared to those that were not exposed to silica. Similarly, diesel exhaust exposure was significantly associated with risk of more severe COPD.</w:t>
      </w:r>
    </w:p>
    <w:p w14:paraId="1BC1ABF3" w14:textId="77777777" w:rsidR="006B7C5E" w:rsidRPr="006B7C5E" w:rsidRDefault="006B7C5E" w:rsidP="00E44524">
      <w:pPr>
        <w:spacing w:after="0" w:line="480" w:lineRule="auto"/>
        <w:rPr>
          <w:rFonts w:ascii="Times New Roman" w:hAnsi="Times New Roman" w:cs="Times New Roman"/>
        </w:rPr>
      </w:pPr>
      <w:r w:rsidRPr="006B7C5E">
        <w:rPr>
          <w:rFonts w:ascii="Times New Roman" w:hAnsi="Times New Roman" w:cs="Times New Roman"/>
          <w:b/>
          <w:bCs/>
        </w:rPr>
        <w:lastRenderedPageBreak/>
        <w:t>Conclusions</w:t>
      </w:r>
      <w:r w:rsidRPr="006B7C5E">
        <w:rPr>
          <w:rFonts w:ascii="Times New Roman" w:hAnsi="Times New Roman" w:cs="Times New Roman"/>
        </w:rPr>
        <w:t>: The findings of this study demonstrate the importance of considering occupational experience in the assessment of both COPD occurrence and severity. This information may be important for occupational screening programs as well as aiding in identifying modifiable risk factors to guide prevention and control efforts.</w:t>
      </w:r>
    </w:p>
    <w:p w14:paraId="5A05748E" w14:textId="77777777" w:rsidR="0047391E" w:rsidRDefault="0047391E" w:rsidP="00E44524">
      <w:pPr>
        <w:spacing w:after="0" w:line="480" w:lineRule="auto"/>
      </w:pPr>
      <w:r>
        <w:br w:type="page"/>
      </w:r>
    </w:p>
    <w:p w14:paraId="6664988A" w14:textId="2E7BDADC" w:rsidR="0047391E" w:rsidRPr="0047391E" w:rsidRDefault="0047391E" w:rsidP="00E44524">
      <w:pPr>
        <w:pStyle w:val="Heading3"/>
        <w:spacing w:before="0" w:after="0" w:line="480" w:lineRule="auto"/>
      </w:pPr>
      <w:bookmarkStart w:id="106" w:name="_Toc199884045"/>
      <w:bookmarkStart w:id="107" w:name="_Toc199884762"/>
      <w:bookmarkStart w:id="108" w:name="_Toc200096989"/>
      <w:r w:rsidRPr="0047391E">
        <w:lastRenderedPageBreak/>
        <w:t>Background</w:t>
      </w:r>
      <w:bookmarkEnd w:id="106"/>
      <w:bookmarkEnd w:id="107"/>
      <w:bookmarkEnd w:id="108"/>
    </w:p>
    <w:p w14:paraId="3C3CD1F5" w14:textId="00310D13" w:rsidR="0047391E" w:rsidRPr="0047391E" w:rsidRDefault="0047391E" w:rsidP="00E44524">
      <w:pPr>
        <w:spacing w:after="0" w:line="480" w:lineRule="auto"/>
        <w:ind w:firstLine="720"/>
        <w:rPr>
          <w:rFonts w:ascii="Times New Roman" w:hAnsi="Times New Roman" w:cs="Times New Roman"/>
        </w:rPr>
      </w:pPr>
      <w:r w:rsidRPr="0047391E">
        <w:rPr>
          <w:rFonts w:ascii="Times New Roman" w:hAnsi="Times New Roman" w:cs="Times New Roman"/>
        </w:rPr>
        <w:t>Chronic Obstructive Pulmonary Disease (COPD) is an inflammatory disease of the lungs, which obstructs airflow and reduces lung function</w:t>
      </w:r>
      <w:r w:rsidR="00B654E0">
        <w:rPr>
          <w:rFonts w:ascii="Times New Roman" w:hAnsi="Times New Roman" w:cs="Times New Roman"/>
        </w:rPr>
        <w:t xml:space="preserve"> </w:t>
      </w:r>
      <w:sdt>
        <w:sdtPr>
          <w:rPr>
            <w:rFonts w:ascii="Times New Roman" w:hAnsi="Times New Roman" w:cs="Times New Roman"/>
            <w:color w:val="000000"/>
          </w:rPr>
          <w:tag w:val="MENDELEY_CITATION_v3_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"/>
          <w:id w:val="579344541"/>
          <w:placeholder>
            <w:docPart w:val="B4911CEBA69B734B9C51CE7118BB8F30"/>
          </w:placeholder>
        </w:sdtPr>
        <w:sdtEndPr/>
        <w:sdtContent>
          <w:r w:rsidR="00572E88" w:rsidRPr="00572E88">
            <w:rPr>
              <w:rFonts w:ascii="Times New Roman" w:hAnsi="Times New Roman" w:cs="Times New Roman"/>
              <w:color w:val="000000"/>
            </w:rPr>
            <w:t>[17]</w:t>
          </w:r>
        </w:sdtContent>
      </w:sdt>
      <w:r w:rsidRPr="0047391E">
        <w:rPr>
          <w:rFonts w:ascii="Times New Roman" w:hAnsi="Times New Roman" w:cs="Times New Roman"/>
        </w:rPr>
        <w:t>. Although the prevalence of the condition in the United States is only 6.2%</w:t>
      </w:r>
      <w:sdt>
        <w:sdtPr>
          <w:rPr>
            <w:rFonts w:ascii="Times New Roman" w:hAnsi="Times New Roman" w:cs="Times New Roman"/>
            <w:color w:val="000000"/>
          </w:rPr>
          <w:tag w:val="MENDELEY_CITATION_v3_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"/>
          <w:id w:val="126522794"/>
          <w:placeholder>
            <w:docPart w:val="B4911CEBA69B734B9C51CE7118BB8F30"/>
          </w:placeholder>
        </w:sdtPr>
        <w:sdtEndPr/>
        <w:sdtContent>
          <w:r w:rsidR="00572E88" w:rsidRPr="00572E88">
            <w:rPr>
              <w:rFonts w:ascii="Times New Roman" w:hAnsi="Times New Roman" w:cs="Times New Roman"/>
              <w:color w:val="000000"/>
            </w:rPr>
            <w:t>[4]</w:t>
          </w:r>
        </w:sdtContent>
      </w:sdt>
      <w:r w:rsidRPr="0047391E">
        <w:rPr>
          <w:rFonts w:ascii="Times New Roman" w:hAnsi="Times New Roman" w:cs="Times New Roman"/>
        </w:rPr>
        <w:t>, its annual economic burden is high and results in $32 billion in direct costs and $20.4 billion in indirect costs</w:t>
      </w:r>
      <w:sdt>
        <w:sdtPr>
          <w:rPr>
            <w:rFonts w:ascii="Times New Roman" w:hAnsi="Times New Roman" w:cs="Times New Roman"/>
            <w:color w:val="000000"/>
          </w:rPr>
          <w:tag w:val="MENDELEY_CITATION_v3_eyJjaXRhdGlvbklEIjoiTUVOREVMRVlfQ0lUQVRJT05fODAzNjUyOWUtMTk5Mi00ZGMwLWE3MmYtZGRkMTVlNjU3OWEw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
          <w:id w:val="-1321736780"/>
          <w:placeholder>
            <w:docPart w:val="B4911CEBA69B734B9C51CE7118BB8F30"/>
          </w:placeholder>
        </w:sdtPr>
        <w:sdtEndPr/>
        <w:sdtContent>
          <w:r w:rsidR="00572E88" w:rsidRPr="00572E88">
            <w:rPr>
              <w:rFonts w:ascii="Times New Roman" w:hAnsi="Times New Roman" w:cs="Times New Roman"/>
              <w:color w:val="000000"/>
            </w:rPr>
            <w:t>[6]</w:t>
          </w:r>
        </w:sdtContent>
      </w:sdt>
      <w:r w:rsidRPr="0047391E">
        <w:rPr>
          <w:rFonts w:ascii="Times New Roman" w:hAnsi="Times New Roman" w:cs="Times New Roman"/>
        </w:rPr>
        <w:t>. The prevalence of COPD increases with age, and hence older adults experience a higher burden of the condition. In the United States, approximately 10.6% of adults 55-64 years old and 12.8% of those ≥65 years old suffer from the condition [2]. Thus, COPD represents a significant challenge during aging.</w:t>
      </w:r>
    </w:p>
    <w:p w14:paraId="044F6618" w14:textId="1E13D88C" w:rsidR="0047391E" w:rsidRPr="0047391E" w:rsidRDefault="0047391E" w:rsidP="00E44524">
      <w:pPr>
        <w:spacing w:after="0" w:line="480" w:lineRule="auto"/>
        <w:ind w:firstLine="720"/>
        <w:rPr>
          <w:rFonts w:ascii="Times New Roman" w:hAnsi="Times New Roman" w:cs="Times New Roman"/>
        </w:rPr>
      </w:pPr>
      <w:r w:rsidRPr="0047391E">
        <w:rPr>
          <w:rFonts w:ascii="Times New Roman" w:hAnsi="Times New Roman" w:cs="Times New Roman"/>
        </w:rPr>
        <w:t xml:space="preserve">Evidence suggests that occupational exposures to substances such as cadmium </w:t>
      </w:r>
      <w:sdt>
        <w:sdtPr>
          <w:rPr>
            <w:rFonts w:ascii="Times New Roman" w:hAnsi="Times New Roman" w:cs="Times New Roman"/>
            <w:color w:val="000000"/>
          </w:rPr>
          <w:tag w:val="MENDELEY_CITATION_v3_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"/>
          <w:id w:val="640626696"/>
          <w:placeholder>
            <w:docPart w:val="E948E43EFCBB0048932327627CD1EC95"/>
          </w:placeholder>
        </w:sdtPr>
        <w:sdtEndPr/>
        <w:sdtContent>
          <w:r w:rsidR="00572E88" w:rsidRPr="00572E88">
            <w:rPr>
              <w:rFonts w:ascii="Times New Roman" w:hAnsi="Times New Roman" w:cs="Times New Roman"/>
              <w:color w:val="000000"/>
            </w:rPr>
            <w:t>[160]</w:t>
          </w:r>
        </w:sdtContent>
      </w:sdt>
      <w:r w:rsidRPr="0047391E">
        <w:rPr>
          <w:rFonts w:ascii="Times New Roman" w:hAnsi="Times New Roman" w:cs="Times New Roman"/>
        </w:rPr>
        <w:t xml:space="preserve">, diesel exhaust </w:t>
      </w:r>
      <w:sdt>
        <w:sdtPr>
          <w:rPr>
            <w:rFonts w:ascii="Times New Roman" w:hAnsi="Times New Roman" w:cs="Times New Roman"/>
            <w:color w:val="000000"/>
          </w:rPr>
          <w:tag w:val="MENDELEY_CITATION_v3_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"/>
          <w:id w:val="6481534"/>
          <w:placeholder>
            <w:docPart w:val="E948E43EFCBB0048932327627CD1EC95"/>
          </w:placeholder>
        </w:sdtPr>
        <w:sdtEndPr/>
        <w:sdtContent>
          <w:r w:rsidR="00572E88" w:rsidRPr="00572E88">
            <w:rPr>
              <w:rFonts w:ascii="Times New Roman" w:hAnsi="Times New Roman" w:cs="Times New Roman"/>
              <w:color w:val="000000"/>
            </w:rPr>
            <w:t>[158]</w:t>
          </w:r>
        </w:sdtContent>
      </w:sdt>
      <w:r w:rsidRPr="0047391E">
        <w:rPr>
          <w:rFonts w:ascii="Times New Roman" w:hAnsi="Times New Roman" w:cs="Times New Roman"/>
        </w:rPr>
        <w:t xml:space="preserve">, welding fumes </w:t>
      </w:r>
      <w:sdt>
        <w:sdtPr>
          <w:rPr>
            <w:rFonts w:ascii="Times New Roman" w:hAnsi="Times New Roman" w:cs="Times New Roman"/>
            <w:color w:val="000000"/>
          </w:rPr>
          <w:tag w:val="MENDELEY_CITATION_v3_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"/>
          <w:id w:val="-1123697708"/>
          <w:placeholder>
            <w:docPart w:val="E948E43EFCBB0048932327627CD1EC95"/>
          </w:placeholder>
        </w:sdtPr>
        <w:sdtEndPr/>
        <w:sdtContent>
          <w:r w:rsidR="00572E88" w:rsidRPr="00572E88">
            <w:rPr>
              <w:rFonts w:ascii="Times New Roman" w:hAnsi="Times New Roman" w:cs="Times New Roman"/>
              <w:color w:val="000000"/>
            </w:rPr>
            <w:t>[161]</w:t>
          </w:r>
        </w:sdtContent>
      </w:sdt>
      <w:r w:rsidRPr="0047391E">
        <w:rPr>
          <w:rFonts w:ascii="Times New Roman" w:hAnsi="Times New Roman" w:cs="Times New Roman"/>
        </w:rPr>
        <w:t xml:space="preserve">, and silica </w:t>
      </w:r>
      <w:sdt>
        <w:sdtPr>
          <w:rPr>
            <w:rFonts w:ascii="Times New Roman" w:hAnsi="Times New Roman" w:cs="Times New Roman"/>
            <w:color w:val="000000"/>
          </w:rPr>
          <w:tag w:val="MENDELEY_CITATION_v3_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"/>
          <w:id w:val="197510665"/>
          <w:placeholder>
            <w:docPart w:val="E948E43EFCBB0048932327627CD1EC95"/>
          </w:placeholder>
        </w:sdtPr>
        <w:sdtEndPr/>
        <w:sdtContent>
          <w:r w:rsidR="00572E88" w:rsidRPr="00572E88">
            <w:rPr>
              <w:rFonts w:ascii="Times New Roman" w:hAnsi="Times New Roman" w:cs="Times New Roman"/>
              <w:color w:val="000000"/>
            </w:rPr>
            <w:t>[162]</w:t>
          </w:r>
        </w:sdtContent>
      </w:sdt>
      <w:r w:rsidRPr="0047391E">
        <w:rPr>
          <w:rFonts w:ascii="Times New Roman" w:hAnsi="Times New Roman" w:cs="Times New Roman"/>
        </w:rPr>
        <w:t xml:space="preserve"> increase the risk of COPD. Approximately 31% (95% CI: 18-43%) of the COPD cases among non-smokers and 14% (95% CI: 10-18%) of cases among smokers are attributed to occupational exposures </w:t>
      </w:r>
      <w:sdt>
        <w:sdtPr>
          <w:rPr>
            <w:rFonts w:ascii="Times New Roman" w:hAnsi="Times New Roman" w:cs="Times New Roman"/>
            <w:color w:val="000000"/>
          </w:rPr>
          <w:tag w:val="MENDELEY_CITATION_v3_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"/>
          <w:id w:val="-2109109201"/>
          <w:placeholder>
            <w:docPart w:val="E948E43EFCBB0048932327627CD1EC95"/>
          </w:placeholder>
        </w:sdtPr>
        <w:sdtEndPr/>
        <w:sdtContent>
          <w:r w:rsidR="00572E88" w:rsidRPr="00572E88">
            <w:rPr>
              <w:rFonts w:ascii="Times New Roman" w:hAnsi="Times New Roman" w:cs="Times New Roman"/>
              <w:color w:val="000000"/>
            </w:rPr>
            <w:t>[13]</w:t>
          </w:r>
        </w:sdtContent>
      </w:sdt>
      <w:r w:rsidRPr="0047391E">
        <w:rPr>
          <w:rFonts w:ascii="Times New Roman" w:hAnsi="Times New Roman" w:cs="Times New Roman"/>
        </w:rPr>
        <w:t xml:space="preserve">. Historically, the United States Department of Energy (DOE) workers have been tasked with activities such as energy production, weapons design and production, and environmental cleanup, which may have resulted in occupational exposures of noxious substances </w:t>
      </w:r>
      <w:sdt>
        <w:sdtPr>
          <w:rPr>
            <w:rFonts w:ascii="Times New Roman" w:hAnsi="Times New Roman" w:cs="Times New Roman"/>
            <w:color w:val="000000"/>
          </w:rPr>
          <w:tag w:val="MENDELEY_CITATION_v3_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"/>
          <w:id w:val="-281578654"/>
          <w:placeholder>
            <w:docPart w:val="E948E43EFCBB0048932327627CD1EC95"/>
          </w:placeholder>
        </w:sdtPr>
        <w:sdtEndPr/>
        <w:sdtContent>
          <w:r w:rsidR="00572E88" w:rsidRPr="00572E88">
            <w:rPr>
              <w:rFonts w:ascii="Times New Roman" w:hAnsi="Times New Roman" w:cs="Times New Roman"/>
              <w:color w:val="000000"/>
            </w:rPr>
            <w:t>[16]</w:t>
          </w:r>
        </w:sdtContent>
      </w:sdt>
      <w:r w:rsidRPr="0047391E">
        <w:rPr>
          <w:rFonts w:ascii="Times New Roman" w:hAnsi="Times New Roman" w:cs="Times New Roman"/>
        </w:rPr>
        <w:t xml:space="preserve">. As a result, the DOE instituted the Former Worker Medical Screening Program (FWP), which is comprised of six individual surveillance programs, for screening and early identification of diseases, such as COPD </w:t>
      </w:r>
      <w:sdt>
        <w:sdtPr>
          <w:rPr>
            <w:rFonts w:ascii="Times New Roman" w:hAnsi="Times New Roman" w:cs="Times New Roman"/>
            <w:color w:val="000000"/>
          </w:rPr>
          <w:tag w:val="MENDELEY_CITATION_v3_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"/>
          <w:id w:val="-841241553"/>
          <w:placeholder>
            <w:docPart w:val="E948E43EFCBB0048932327627CD1EC95"/>
          </w:placeholder>
        </w:sdtPr>
        <w:sdtEndPr/>
        <w:sdtContent>
          <w:r w:rsidR="00572E88" w:rsidRPr="00572E88">
            <w:rPr>
              <w:rFonts w:ascii="Times New Roman" w:hAnsi="Times New Roman" w:cs="Times New Roman"/>
              <w:color w:val="000000"/>
            </w:rPr>
            <w:t>[16]</w:t>
          </w:r>
        </w:sdtContent>
      </w:sdt>
      <w:r w:rsidRPr="0047391E">
        <w:rPr>
          <w:rFonts w:ascii="Times New Roman" w:hAnsi="Times New Roman" w:cs="Times New Roman"/>
        </w:rPr>
        <w:t>.</w:t>
      </w:r>
    </w:p>
    <w:p w14:paraId="7DF9AF61" w14:textId="34ECA9AF" w:rsidR="006B7C5E" w:rsidRPr="0047391E" w:rsidRDefault="0047391E" w:rsidP="00E44524">
      <w:pPr>
        <w:spacing w:after="0" w:line="480" w:lineRule="auto"/>
        <w:ind w:firstLine="720"/>
        <w:rPr>
          <w:rFonts w:ascii="Times New Roman" w:hAnsi="Times New Roman" w:cs="Times New Roman"/>
        </w:rPr>
      </w:pPr>
      <w:r w:rsidRPr="0047391E">
        <w:rPr>
          <w:rFonts w:ascii="Times New Roman" w:hAnsi="Times New Roman" w:cs="Times New Roman"/>
        </w:rPr>
        <w:t xml:space="preserve">Understanding the association between occupational exposures and risk of COPD while controlling for environmental (e.g. air quality) </w:t>
      </w:r>
      <w:sdt>
        <w:sdtPr>
          <w:rPr>
            <w:rFonts w:ascii="Times New Roman" w:hAnsi="Times New Roman" w:cs="Times New Roman"/>
            <w:color w:val="000000"/>
          </w:rPr>
          <w:tag w:val="MENDELEY_CITATION_v3_eyJjaXRhdGlvbklEIjoiTUVOREVMRVlfQ0lUQVRJT05fOGM5YTQxNjgtZmM2MS00ZWJmLTkwYTQtZTg2ZGYwOTdjOGY3IiwicHJvcGVydGllcyI6eyJub3RlSW5kZXgiOjB9LCJpc0VkaXRlZCI6ZmFsc2UsIm1hbnVhbE92ZXJyaWRlIjp7ImNpdGVwcm9jVGV4dCI6Ils2XSIsImlzTWFudWFsbHlPdmVycmlkZGVuIjpmYWxzZS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
          <w:id w:val="-1841152883"/>
          <w:placeholder>
            <w:docPart w:val="E948E43EFCBB0048932327627CD1EC95"/>
          </w:placeholder>
        </w:sdtPr>
        <w:sdtEndPr/>
        <w:sdtContent>
          <w:r w:rsidR="00572E88" w:rsidRPr="00572E88">
            <w:rPr>
              <w:rFonts w:ascii="Times New Roman" w:hAnsi="Times New Roman" w:cs="Times New Roman"/>
              <w:color w:val="000000"/>
            </w:rPr>
            <w:t>[6]</w:t>
          </w:r>
        </w:sdtContent>
      </w:sdt>
      <w:r w:rsidRPr="0047391E">
        <w:rPr>
          <w:rFonts w:ascii="Times New Roman" w:hAnsi="Times New Roman" w:cs="Times New Roman"/>
        </w:rPr>
        <w:t>, socio-demographic, and behavioral (e.g. smoking) factors</w:t>
      </w:r>
      <w:sdt>
        <w:sdtPr>
          <w:rPr>
            <w:rFonts w:ascii="Times New Roman" w:hAnsi="Times New Roman" w:cs="Times New Roman"/>
            <w:color w:val="000000"/>
          </w:rPr>
          <w:tag w:val="MENDELEY_CITATION_v3_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"/>
          <w:id w:val="-88312363"/>
          <w:placeholder>
            <w:docPart w:val="B4911CEBA69B734B9C51CE7118BB8F30"/>
          </w:placeholder>
        </w:sdtPr>
        <w:sdtEndPr/>
        <w:sdtContent>
          <w:r w:rsidR="00572E88" w:rsidRPr="00572E88">
            <w:rPr>
              <w:rFonts w:ascii="Times New Roman" w:hAnsi="Times New Roman" w:cs="Times New Roman"/>
              <w:color w:val="000000"/>
            </w:rPr>
            <w:t>[163]</w:t>
          </w:r>
        </w:sdtContent>
      </w:sdt>
      <w:r w:rsidRPr="0047391E">
        <w:rPr>
          <w:rFonts w:ascii="Times New Roman" w:hAnsi="Times New Roman" w:cs="Times New Roman"/>
        </w:rPr>
        <w:t xml:space="preserve">, among aging DOE former workers is important for guiding disease prevention/control and reduction of healthcare costs associated with the condition. Therefore, the objectives of this study were to: (a) estimate the burden of COPD among former workers of the </w:t>
      </w:r>
      <w:r w:rsidRPr="0047391E">
        <w:rPr>
          <w:rFonts w:ascii="Times New Roman" w:hAnsi="Times New Roman" w:cs="Times New Roman"/>
        </w:rPr>
        <w:lastRenderedPageBreak/>
        <w:t>DOE in the United States and (b) investigate occupational predictors of COPD among these former workers while controlling for environmental, behavioral, and socio-demographic factors.</w:t>
      </w:r>
    </w:p>
    <w:p w14:paraId="7BD77BF6" w14:textId="77777777" w:rsidR="0024530B" w:rsidRDefault="0024530B" w:rsidP="00E44524">
      <w:pPr>
        <w:spacing w:after="0" w:line="480" w:lineRule="auto"/>
      </w:pPr>
    </w:p>
    <w:p w14:paraId="2834DABD" w14:textId="647F9523" w:rsidR="0047391E" w:rsidRPr="0047391E" w:rsidRDefault="0047391E" w:rsidP="00E44524">
      <w:pPr>
        <w:pStyle w:val="Heading3"/>
        <w:spacing w:before="0" w:after="0" w:line="480" w:lineRule="auto"/>
      </w:pPr>
      <w:bookmarkStart w:id="109" w:name="_Toc199884046"/>
      <w:bookmarkStart w:id="110" w:name="_Toc199884763"/>
      <w:bookmarkStart w:id="111" w:name="_Toc200096990"/>
      <w:r w:rsidRPr="0047391E">
        <w:t>Methods</w:t>
      </w:r>
      <w:bookmarkEnd w:id="109"/>
      <w:bookmarkEnd w:id="110"/>
      <w:bookmarkEnd w:id="111"/>
    </w:p>
    <w:p w14:paraId="0EB83B23" w14:textId="1A5864E0" w:rsidR="0047391E" w:rsidRPr="00B902E6" w:rsidRDefault="0047391E" w:rsidP="00E44524">
      <w:pPr>
        <w:pStyle w:val="Heading4"/>
        <w:spacing w:before="0" w:after="0" w:line="480" w:lineRule="auto"/>
        <w:rPr>
          <w:szCs w:val="28"/>
        </w:rPr>
      </w:pPr>
      <w:bookmarkStart w:id="112" w:name="_Toc200096991"/>
      <w:r w:rsidRPr="00B902E6">
        <w:rPr>
          <w:szCs w:val="28"/>
        </w:rPr>
        <w:t>Ethics approval</w:t>
      </w:r>
      <w:bookmarkEnd w:id="112"/>
    </w:p>
    <w:p w14:paraId="320802FB" w14:textId="74AAA968" w:rsidR="0047391E" w:rsidRDefault="0047391E" w:rsidP="00E44524">
      <w:pPr>
        <w:spacing w:after="0" w:line="480" w:lineRule="auto"/>
        <w:ind w:firstLine="720"/>
        <w:rPr>
          <w:rFonts w:ascii="Times New Roman" w:hAnsi="Times New Roman" w:cs="Times New Roman"/>
        </w:rPr>
      </w:pPr>
      <w:r w:rsidRPr="0047391E">
        <w:rPr>
          <w:rFonts w:ascii="Times New Roman" w:hAnsi="Times New Roman" w:cs="Times New Roman"/>
        </w:rPr>
        <w:t>This study was reviewed and approved by the United States Central Department of Energy Institutional Review Board (DOE ID: DOE000645). The need for consent was waived by the Institutional Review Board. No minors were included in the study since it involved only DOE former workers.</w:t>
      </w:r>
    </w:p>
    <w:p w14:paraId="150F9C56" w14:textId="77777777" w:rsidR="00A26F0A" w:rsidRPr="0047391E" w:rsidRDefault="00A26F0A" w:rsidP="00E44524">
      <w:pPr>
        <w:spacing w:after="0" w:line="480" w:lineRule="auto"/>
        <w:rPr>
          <w:rFonts w:ascii="Times New Roman" w:hAnsi="Times New Roman" w:cs="Times New Roman"/>
        </w:rPr>
      </w:pPr>
    </w:p>
    <w:p w14:paraId="78673464" w14:textId="652E69CB" w:rsidR="0047391E" w:rsidRPr="00B902E6" w:rsidRDefault="0047391E" w:rsidP="00E44524">
      <w:pPr>
        <w:pStyle w:val="Heading4"/>
        <w:spacing w:before="0" w:after="0" w:line="480" w:lineRule="auto"/>
        <w:rPr>
          <w:szCs w:val="28"/>
        </w:rPr>
      </w:pPr>
      <w:bookmarkStart w:id="113" w:name="_Toc200096992"/>
      <w:r w:rsidRPr="00B902E6">
        <w:rPr>
          <w:szCs w:val="28"/>
        </w:rPr>
        <w:t>Study population</w:t>
      </w:r>
      <w:bookmarkEnd w:id="113"/>
      <w:r w:rsidRPr="00B902E6">
        <w:rPr>
          <w:szCs w:val="28"/>
        </w:rPr>
        <w:t xml:space="preserve"> </w:t>
      </w:r>
    </w:p>
    <w:p w14:paraId="13D6FA16" w14:textId="431DDD7B" w:rsidR="00E24B3C" w:rsidRPr="00E24B3C" w:rsidRDefault="00E24B3C" w:rsidP="00E44524">
      <w:pPr>
        <w:spacing w:after="0" w:line="480" w:lineRule="auto"/>
        <w:ind w:firstLine="720"/>
        <w:rPr>
          <w:rFonts w:ascii="Times New Roman" w:hAnsi="Times New Roman" w:cs="Times New Roman"/>
        </w:rPr>
      </w:pPr>
      <w:r w:rsidRPr="00E24B3C">
        <w:rPr>
          <w:rFonts w:ascii="Times New Roman" w:hAnsi="Times New Roman" w:cs="Times New Roman"/>
        </w:rPr>
        <w:t xml:space="preserve">This retrospective study used data collected as part of the National Supplemental Screening Program (NSSP), which is one of the six surveillance programs under the Former Worker Program (FWP), and is the only national program for non-construction former workers. These data were accessed for research purposes on August 26, 2021 in an anonymized form to ensure that the investigators could not identify participants during or after data collection. The NSSP provides free, voluntary medical screening to DOE former workers, contractors, and subcontractors across all 50 states of the United States. Repeated screening exams are offered to participants every three years </w:t>
      </w:r>
      <w:sdt>
        <w:sdtPr>
          <w:rPr>
            <w:rFonts w:ascii="Times New Roman" w:hAnsi="Times New Roman" w:cs="Times New Roman"/>
            <w:color w:val="000000"/>
          </w:rPr>
          <w:tag w:val="MENDELEY_CITATION_v3_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"/>
          <w:id w:val="-197164185"/>
          <w:placeholder>
            <w:docPart w:val="91AE5079046FA247ABBC37E741FB78DD"/>
          </w:placeholder>
        </w:sdtPr>
        <w:sdtEndPr/>
        <w:sdtContent>
          <w:r w:rsidR="00572E88" w:rsidRPr="00572E88">
            <w:rPr>
              <w:rFonts w:ascii="Times New Roman" w:hAnsi="Times New Roman" w:cs="Times New Roman"/>
              <w:color w:val="000000"/>
            </w:rPr>
            <w:t>[16,164]</w:t>
          </w:r>
        </w:sdtContent>
      </w:sdt>
      <w:r w:rsidRPr="00E24B3C">
        <w:rPr>
          <w:rFonts w:ascii="Times New Roman" w:hAnsi="Times New Roman" w:cs="Times New Roman"/>
        </w:rPr>
        <w:t xml:space="preserve">. Only participants who completed an initial screening exam that included a spirometry test from January 1, 2006, to December 31, 2019, were included in this study (n=17,960). Individuals who reported a history of restrictive lung disease including silicosis, asbestosis, and chronic beryllium disease at the time of the initial exam (n=584) were excluded to avoid false positives since obstructive lung function patterns, similar to COPD, have </w:t>
      </w:r>
      <w:r w:rsidRPr="00E24B3C">
        <w:rPr>
          <w:rFonts w:ascii="Times New Roman" w:hAnsi="Times New Roman" w:cs="Times New Roman"/>
        </w:rPr>
        <w:lastRenderedPageBreak/>
        <w:t xml:space="preserve">been reported among individuals with restrictive lung diseases </w:t>
      </w:r>
      <w:sdt>
        <w:sdtPr>
          <w:rPr>
            <w:rFonts w:ascii="Times New Roman" w:hAnsi="Times New Roman" w:cs="Times New Roman"/>
            <w:color w:val="000000"/>
          </w:rPr>
          <w:tag w:val="MENDELEY_CITATION_v3_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"/>
          <w:id w:val="-2045428198"/>
          <w:placeholder>
            <w:docPart w:val="91AE5079046FA247ABBC37E741FB78DD"/>
          </w:placeholder>
        </w:sdtPr>
        <w:sdtEndPr/>
        <w:sdtContent>
          <w:r w:rsidR="00572E88" w:rsidRPr="00572E88">
            <w:rPr>
              <w:rFonts w:ascii="Times New Roman" w:hAnsi="Times New Roman" w:cs="Times New Roman"/>
              <w:color w:val="000000"/>
            </w:rPr>
            <w:t>[165]</w:t>
          </w:r>
        </w:sdtContent>
      </w:sdt>
      <w:r w:rsidRPr="00E24B3C">
        <w:rPr>
          <w:rFonts w:ascii="Times New Roman" w:hAnsi="Times New Roman" w:cs="Times New Roman"/>
        </w:rPr>
        <w:t xml:space="preserve">. In some instances, participants had some aspects of their initial screening exams repeated (n=2,230). When this occurred, the most recent exam results were used. The final study cohort included </w:t>
      </w:r>
      <w:r w:rsidRPr="00E24B3C">
        <w:rPr>
          <w:rFonts w:ascii="Times New Roman" w:hAnsi="Times New Roman" w:cs="Times New Roman"/>
          <w:iCs/>
        </w:rPr>
        <w:t xml:space="preserve">17,376 </w:t>
      </w:r>
      <w:r w:rsidRPr="00E24B3C">
        <w:rPr>
          <w:rFonts w:ascii="Times New Roman" w:hAnsi="Times New Roman" w:cs="Times New Roman"/>
        </w:rPr>
        <w:t>participants.</w:t>
      </w:r>
    </w:p>
    <w:p w14:paraId="4207BE4B" w14:textId="77777777" w:rsidR="00E24B3C" w:rsidRPr="00E24B3C" w:rsidRDefault="00E24B3C" w:rsidP="00E44524">
      <w:pPr>
        <w:spacing w:after="0" w:line="480" w:lineRule="auto"/>
      </w:pPr>
    </w:p>
    <w:p w14:paraId="12DCD9B7" w14:textId="20F72AEE" w:rsidR="0047391E" w:rsidRPr="00B902E6" w:rsidRDefault="0047391E" w:rsidP="00E44524">
      <w:pPr>
        <w:pStyle w:val="Heading4"/>
        <w:spacing w:before="0" w:after="0" w:line="480" w:lineRule="auto"/>
        <w:rPr>
          <w:szCs w:val="28"/>
        </w:rPr>
      </w:pPr>
      <w:bookmarkStart w:id="114" w:name="_Toc200096993"/>
      <w:r w:rsidRPr="00B902E6">
        <w:rPr>
          <w:szCs w:val="28"/>
        </w:rPr>
        <w:t>Data sources, description, preparation, and management</w:t>
      </w:r>
      <w:bookmarkEnd w:id="114"/>
    </w:p>
    <w:p w14:paraId="3D990418" w14:textId="6868F0CA" w:rsidR="0047391E" w:rsidRPr="00B902E6" w:rsidRDefault="0047391E" w:rsidP="00E44524">
      <w:pPr>
        <w:pStyle w:val="Heading5"/>
        <w:spacing w:before="0" w:after="0" w:line="480" w:lineRule="auto"/>
      </w:pPr>
      <w:bookmarkStart w:id="115" w:name="_Toc200096994"/>
      <w:r w:rsidRPr="00B902E6">
        <w:t>Chronic Obstructive Pulmonary Disease (COPD) data</w:t>
      </w:r>
      <w:bookmarkEnd w:id="115"/>
    </w:p>
    <w:p w14:paraId="713FD619" w14:textId="1D1F43BA" w:rsidR="00E24B3C" w:rsidRDefault="00E24B3C" w:rsidP="00E44524">
      <w:pPr>
        <w:spacing w:after="0" w:line="480" w:lineRule="auto"/>
        <w:ind w:firstLine="720"/>
        <w:rPr>
          <w:rFonts w:ascii="Times New Roman" w:hAnsi="Times New Roman" w:cs="Times New Roman"/>
        </w:rPr>
      </w:pPr>
      <w:r w:rsidRPr="00E24B3C">
        <w:rPr>
          <w:rFonts w:ascii="Times New Roman" w:hAnsi="Times New Roman" w:cs="Times New Roman"/>
        </w:rPr>
        <w:t xml:space="preserve">Spirometry measurements, which assess lung function, were used to identify COPD based on the </w:t>
      </w:r>
      <w:r w:rsidRPr="00E24B3C">
        <w:rPr>
          <w:rFonts w:ascii="Times New Roman" w:hAnsi="Times New Roman" w:cs="Times New Roman"/>
          <w:b/>
        </w:rPr>
        <w:t>G</w:t>
      </w:r>
      <w:r w:rsidRPr="00E24B3C">
        <w:rPr>
          <w:rFonts w:ascii="Times New Roman" w:hAnsi="Times New Roman" w:cs="Times New Roman"/>
        </w:rPr>
        <w:t xml:space="preserve">lobal Initiative for Chronic </w:t>
      </w:r>
      <w:r w:rsidRPr="00E24B3C">
        <w:rPr>
          <w:rFonts w:ascii="Times New Roman" w:hAnsi="Times New Roman" w:cs="Times New Roman"/>
          <w:b/>
        </w:rPr>
        <w:t>O</w:t>
      </w:r>
      <w:r w:rsidRPr="00E24B3C">
        <w:rPr>
          <w:rFonts w:ascii="Times New Roman" w:hAnsi="Times New Roman" w:cs="Times New Roman"/>
        </w:rPr>
        <w:t xml:space="preserve">bstructive </w:t>
      </w:r>
      <w:r w:rsidRPr="00E24B3C">
        <w:rPr>
          <w:rFonts w:ascii="Times New Roman" w:hAnsi="Times New Roman" w:cs="Times New Roman"/>
          <w:b/>
        </w:rPr>
        <w:t>L</w:t>
      </w:r>
      <w:r w:rsidRPr="00E24B3C">
        <w:rPr>
          <w:rFonts w:ascii="Times New Roman" w:hAnsi="Times New Roman" w:cs="Times New Roman"/>
        </w:rPr>
        <w:t xml:space="preserve">ung </w:t>
      </w:r>
      <w:r w:rsidRPr="00E24B3C">
        <w:rPr>
          <w:rFonts w:ascii="Times New Roman" w:hAnsi="Times New Roman" w:cs="Times New Roman"/>
          <w:b/>
        </w:rPr>
        <w:t>D</w:t>
      </w:r>
      <w:r w:rsidRPr="00E24B3C">
        <w:rPr>
          <w:rFonts w:ascii="Times New Roman" w:hAnsi="Times New Roman" w:cs="Times New Roman"/>
        </w:rPr>
        <w:t xml:space="preserve">isease (GOLD) criterion </w:t>
      </w:r>
      <w:sdt>
        <w:sdtPr>
          <w:rPr>
            <w:rFonts w:ascii="Times New Roman" w:hAnsi="Times New Roman" w:cs="Times New Roman"/>
            <w:color w:val="000000"/>
          </w:rPr>
          <w:tag w:val="MENDELEY_CITATION_v3_eyJjaXRhdGlvbklEIjoiTUVOREVMRVlfQ0lUQVRJT05fNTFhZGJhOTMtZTAwNS00ZWE0LWIxNjUtNmQ2YWNmOTZhNGMw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
          <w:id w:val="-1838212863"/>
          <w:placeholder>
            <w:docPart w:val="38D9BE5B2A536A468867F9A245F1C9D3"/>
          </w:placeholder>
        </w:sdtPr>
        <w:sdtEndPr/>
        <w:sdtContent>
          <w:r w:rsidR="00572E88" w:rsidRPr="00572E88">
            <w:rPr>
              <w:rFonts w:ascii="Times New Roman" w:hAnsi="Times New Roman" w:cs="Times New Roman"/>
              <w:color w:val="000000"/>
            </w:rPr>
            <w:t>[6]</w:t>
          </w:r>
        </w:sdtContent>
      </w:sdt>
      <w:r w:rsidRPr="00E24B3C">
        <w:rPr>
          <w:rFonts w:ascii="Times New Roman" w:hAnsi="Times New Roman" w:cs="Times New Roman"/>
        </w:rPr>
        <w:t>. Using this criterion, participants with COPD were identified as those with forced expiratory volume in one second (FEV</w:t>
      </w:r>
      <w:r w:rsidRPr="00E24B3C">
        <w:rPr>
          <w:rFonts w:ascii="Times New Roman" w:hAnsi="Times New Roman" w:cs="Times New Roman"/>
          <w:vertAlign w:val="subscript"/>
        </w:rPr>
        <w:t>1</w:t>
      </w:r>
      <w:r w:rsidRPr="00E24B3C">
        <w:rPr>
          <w:rFonts w:ascii="Times New Roman" w:hAnsi="Times New Roman" w:cs="Times New Roman"/>
        </w:rPr>
        <w:t>) to forced vital capacity (FVC) ratio less than 0.7 (i.e. FEV</w:t>
      </w:r>
      <w:r w:rsidRPr="00E24B3C">
        <w:rPr>
          <w:rFonts w:ascii="Times New Roman" w:hAnsi="Times New Roman" w:cs="Times New Roman"/>
          <w:vertAlign w:val="subscript"/>
        </w:rPr>
        <w:t>1</w:t>
      </w:r>
      <w:r w:rsidRPr="00E24B3C">
        <w:rPr>
          <w:rFonts w:ascii="Times New Roman" w:hAnsi="Times New Roman" w:cs="Times New Roman"/>
        </w:rPr>
        <w:t>/FVC &lt;0.7). The severity of the condition was also graded using the GOLD criterion as mild (FEV</w:t>
      </w:r>
      <w:r w:rsidRPr="00E24B3C">
        <w:rPr>
          <w:rFonts w:ascii="Times New Roman" w:hAnsi="Times New Roman" w:cs="Times New Roman"/>
          <w:vertAlign w:val="subscript"/>
        </w:rPr>
        <w:t>1</w:t>
      </w:r>
      <w:r w:rsidRPr="00E24B3C">
        <w:rPr>
          <w:rFonts w:ascii="Times New Roman" w:hAnsi="Times New Roman" w:cs="Times New Roman"/>
        </w:rPr>
        <w:t xml:space="preserve"> ≥ 80% of predicted), moderate (FEV</w:t>
      </w:r>
      <w:r w:rsidRPr="00E24B3C">
        <w:rPr>
          <w:rFonts w:ascii="Times New Roman" w:hAnsi="Times New Roman" w:cs="Times New Roman"/>
          <w:vertAlign w:val="subscript"/>
        </w:rPr>
        <w:t>1</w:t>
      </w:r>
      <w:r w:rsidRPr="00E24B3C">
        <w:rPr>
          <w:rFonts w:ascii="Times New Roman" w:hAnsi="Times New Roman" w:cs="Times New Roman"/>
        </w:rPr>
        <w:t xml:space="preserve"> 50-79% of predicted), severe (FEV</w:t>
      </w:r>
      <w:r w:rsidRPr="00E24B3C">
        <w:rPr>
          <w:rFonts w:ascii="Times New Roman" w:hAnsi="Times New Roman" w:cs="Times New Roman"/>
          <w:vertAlign w:val="subscript"/>
        </w:rPr>
        <w:t>1</w:t>
      </w:r>
      <w:r w:rsidRPr="00E24B3C">
        <w:rPr>
          <w:rFonts w:ascii="Times New Roman" w:hAnsi="Times New Roman" w:cs="Times New Roman"/>
        </w:rPr>
        <w:t xml:space="preserve"> 30-49% of predicted), and very severe (FEV</w:t>
      </w:r>
      <w:r w:rsidRPr="00E24B3C">
        <w:rPr>
          <w:rFonts w:ascii="Times New Roman" w:hAnsi="Times New Roman" w:cs="Times New Roman"/>
          <w:vertAlign w:val="subscript"/>
        </w:rPr>
        <w:t>1</w:t>
      </w:r>
      <w:r w:rsidRPr="00E24B3C">
        <w:rPr>
          <w:rFonts w:ascii="Times New Roman" w:hAnsi="Times New Roman" w:cs="Times New Roman"/>
        </w:rPr>
        <w:t xml:space="preserve"> &lt; 30% of predicted)</w:t>
      </w:r>
      <w:sdt>
        <w:sdtPr>
          <w:rPr>
            <w:rFonts w:ascii="Times New Roman" w:hAnsi="Times New Roman" w:cs="Times New Roman"/>
            <w:color w:val="000000"/>
          </w:rPr>
          <w:tag w:val="MENDELEY_CITATION_v3_eyJjaXRhdGlvbklEIjoiTUVOREVMRVlfQ0lUQVRJT05fNDJmY2QzZWYtMDI1MC00ZTI0LTg3NDktYTZiMWNiZTBhMDhlIiwicHJvcGVydGllcyI6eyJub3RlSW5kZXgiOjB9LCJpc0VkaXRlZCI6ZmFsc2UsIm1hbnVhbE92ZXJyaWRlIjp7ImlzTWFudWFsbHlPdmVycmlkZGVuIjpmYWxzZSwiY2l0ZXByb2NUZXh0IjoiWzYsMjF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"/>
          <w:id w:val="-646057453"/>
          <w:placeholder>
            <w:docPart w:val="38D9BE5B2A536A468867F9A245F1C9D3"/>
          </w:placeholder>
        </w:sdtPr>
        <w:sdtEndPr/>
        <w:sdtContent>
          <w:r w:rsidR="00572E88" w:rsidRPr="00572E88">
            <w:rPr>
              <w:rFonts w:ascii="Times New Roman" w:hAnsi="Times New Roman" w:cs="Times New Roman"/>
              <w:color w:val="000000"/>
            </w:rPr>
            <w:t>[6,21]</w:t>
          </w:r>
        </w:sdtContent>
      </w:sdt>
      <w:r w:rsidRPr="00E24B3C">
        <w:rPr>
          <w:rFonts w:ascii="Times New Roman" w:hAnsi="Times New Roman" w:cs="Times New Roman"/>
        </w:rPr>
        <w:t>. For investigation of predictors of COPD, two outcome variables were used: COPD occurrence (yes/no) and COPD severity (very severe, severe, moderate, mild). Due to the small number of NSSP participants with very severe COPD, this category was combined with the severe category to avoid the small number problem resulting in unreliable/unstable estimates during statistical analysis.</w:t>
      </w:r>
    </w:p>
    <w:p w14:paraId="403BCF98" w14:textId="77777777" w:rsidR="00A26F0A" w:rsidRPr="00E24B3C" w:rsidRDefault="00A26F0A" w:rsidP="00E44524">
      <w:pPr>
        <w:spacing w:after="0" w:line="480" w:lineRule="auto"/>
        <w:rPr>
          <w:rFonts w:ascii="Times New Roman" w:hAnsi="Times New Roman" w:cs="Times New Roman"/>
        </w:rPr>
      </w:pPr>
    </w:p>
    <w:p w14:paraId="05AFB559" w14:textId="7E4BC3C1" w:rsidR="0047391E" w:rsidRDefault="0047391E" w:rsidP="00E44524">
      <w:pPr>
        <w:pStyle w:val="Heading5"/>
        <w:spacing w:before="0" w:after="0" w:line="480" w:lineRule="auto"/>
      </w:pPr>
      <w:bookmarkStart w:id="116" w:name="_Toc200096995"/>
      <w:r w:rsidRPr="00105A5B">
        <w:t>Occupational exposures data</w:t>
      </w:r>
      <w:bookmarkEnd w:id="116"/>
    </w:p>
    <w:p w14:paraId="72577A3E" w14:textId="253C0B6D" w:rsidR="00E24B3C" w:rsidRDefault="00E24B3C" w:rsidP="00E44524">
      <w:pPr>
        <w:spacing w:after="0" w:line="480" w:lineRule="auto"/>
        <w:ind w:firstLine="720"/>
        <w:rPr>
          <w:rFonts w:ascii="Times New Roman" w:hAnsi="Times New Roman" w:cs="Times New Roman"/>
        </w:rPr>
      </w:pPr>
      <w:r w:rsidRPr="00E24B3C">
        <w:rPr>
          <w:rFonts w:ascii="Times New Roman" w:hAnsi="Times New Roman" w:cs="Times New Roman"/>
        </w:rPr>
        <w:t xml:space="preserve">Occupational exposures to cadmium, diesel exhaust, welding fumes, and silica were assessed using the exposure history available in the NSSP at the time of initial screening exams. Participants were asked if they were exposed to each of the substances as a normal part of their </w:t>
      </w:r>
      <w:r w:rsidRPr="00E24B3C">
        <w:rPr>
          <w:rFonts w:ascii="Times New Roman" w:hAnsi="Times New Roman" w:cs="Times New Roman"/>
        </w:rPr>
        <w:lastRenderedPageBreak/>
        <w:t xml:space="preserve">job duties. Response options were dichotomous (yes/no). Job title for each participant was provided by the NSSP as one of twelve standardized job titles: administrative support, biohazard, crafts, field professionals, guests, in-house professionals, line operators, management, security/fire protection, service, technical support, and unknown. For participants who had more than one job title, the longest held title was recorded as the job title. The twelve standardized job titles were classified into three occupational exposure categories (low, medium, and high) based on potential level of occupational hazards as described in a previous DOE surveillance program which used the same standardized job titles </w:t>
      </w:r>
      <w:sdt>
        <w:sdtPr>
          <w:rPr>
            <w:rFonts w:ascii="Times New Roman" w:hAnsi="Times New Roman" w:cs="Times New Roman"/>
            <w:color w:val="000000"/>
          </w:rPr>
          <w:tag w:val="MENDELEY_CITATION_v3_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"/>
          <w:id w:val="-682830202"/>
          <w:placeholder>
            <w:docPart w:val="3871738A67F26644BB40965BEF15693E"/>
          </w:placeholder>
        </w:sdtPr>
        <w:sdtEndPr/>
        <w:sdtContent>
          <w:r w:rsidR="00572E88" w:rsidRPr="00572E88">
            <w:rPr>
              <w:rFonts w:ascii="Times New Roman" w:hAnsi="Times New Roman" w:cs="Times New Roman"/>
              <w:color w:val="000000"/>
            </w:rPr>
            <w:t>[166]</w:t>
          </w:r>
        </w:sdtContent>
      </w:sdt>
      <w:r w:rsidRPr="00E24B3C">
        <w:rPr>
          <w:rFonts w:ascii="Times New Roman" w:hAnsi="Times New Roman" w:cs="Times New Roman"/>
        </w:rPr>
        <w:t xml:space="preserve"> . The low exposure category included individuals involved in administrative support, management, and in-house professionals while the medium exposure category included field-professionals, biohazard, security/fire protection, and guests. Line operators, crafts, service, and technical support job titles were categorized in the high exposure risk category. The DOE facility where the worker spent most of their career was recorded as their primary site. The facilities were categorized as weapons production, uranium processing, or science and laboratory facilities. Hire and termination dates were provided as month/year and were used to calculate duration of employment, which was then categorized into 5-year time periods.</w:t>
      </w:r>
    </w:p>
    <w:p w14:paraId="57D7CC7F" w14:textId="77777777" w:rsidR="00A26F0A" w:rsidRPr="00E24B3C" w:rsidRDefault="00A26F0A" w:rsidP="00E44524">
      <w:pPr>
        <w:spacing w:after="0" w:line="480" w:lineRule="auto"/>
        <w:rPr>
          <w:rFonts w:ascii="Times New Roman" w:hAnsi="Times New Roman" w:cs="Times New Roman"/>
        </w:rPr>
      </w:pPr>
    </w:p>
    <w:p w14:paraId="1472A360" w14:textId="67F9FF7C" w:rsidR="0047391E" w:rsidRPr="00105A5B" w:rsidRDefault="0047391E" w:rsidP="00E44524">
      <w:pPr>
        <w:pStyle w:val="Heading5"/>
        <w:spacing w:before="0" w:after="0" w:line="480" w:lineRule="auto"/>
      </w:pPr>
      <w:bookmarkStart w:id="117" w:name="_Toc200096996"/>
      <w:r w:rsidRPr="00105A5B">
        <w:t>Smoking data</w:t>
      </w:r>
      <w:bookmarkEnd w:id="117"/>
    </w:p>
    <w:p w14:paraId="4765DDAB" w14:textId="418BEC03" w:rsidR="0047391E" w:rsidRDefault="0047391E" w:rsidP="00E44524">
      <w:pPr>
        <w:spacing w:after="0" w:line="480" w:lineRule="auto"/>
        <w:ind w:firstLine="720"/>
        <w:rPr>
          <w:rFonts w:ascii="Times New Roman" w:hAnsi="Times New Roman" w:cs="Times New Roman"/>
        </w:rPr>
      </w:pPr>
      <w:r w:rsidRPr="0047391E">
        <w:rPr>
          <w:rFonts w:ascii="Times New Roman" w:hAnsi="Times New Roman" w:cs="Times New Roman"/>
        </w:rPr>
        <w:t xml:space="preserve">Data on lifetime smoking habits were captured at the time of the initial exams. Participants were categorized as ever smokers or never smokers based on whether they ever smoked more than 20 packs of cigarettes or if they were smokers at the time of the screening. </w:t>
      </w:r>
    </w:p>
    <w:p w14:paraId="0BED453C" w14:textId="77777777" w:rsidR="007C79D7" w:rsidRPr="0047391E" w:rsidRDefault="007C79D7" w:rsidP="00E44524">
      <w:pPr>
        <w:spacing w:after="0" w:line="480" w:lineRule="auto"/>
        <w:rPr>
          <w:rFonts w:ascii="Times New Roman" w:hAnsi="Times New Roman" w:cs="Times New Roman"/>
        </w:rPr>
      </w:pPr>
    </w:p>
    <w:p w14:paraId="29F5C057" w14:textId="2AF322F9" w:rsidR="0047391E" w:rsidRDefault="0047391E" w:rsidP="00E44524">
      <w:pPr>
        <w:pStyle w:val="Heading5"/>
        <w:spacing w:before="0" w:after="0" w:line="480" w:lineRule="auto"/>
      </w:pPr>
      <w:bookmarkStart w:id="118" w:name="_Toc200096997"/>
      <w:r w:rsidRPr="00105A5B">
        <w:lastRenderedPageBreak/>
        <w:t>Air quality data</w:t>
      </w:r>
      <w:bookmarkEnd w:id="118"/>
    </w:p>
    <w:p w14:paraId="09148CCB" w14:textId="6315E6AE" w:rsidR="00E24B3C" w:rsidRPr="00E24B3C" w:rsidRDefault="00E24B3C" w:rsidP="00E44524">
      <w:pPr>
        <w:spacing w:after="0" w:line="480" w:lineRule="auto"/>
        <w:ind w:firstLine="720"/>
        <w:rPr>
          <w:rFonts w:ascii="Times New Roman" w:hAnsi="Times New Roman" w:cs="Times New Roman"/>
        </w:rPr>
      </w:pPr>
      <w:r w:rsidRPr="00E24B3C">
        <w:rPr>
          <w:rFonts w:ascii="Times New Roman" w:hAnsi="Times New Roman" w:cs="Times New Roman"/>
        </w:rPr>
        <w:t xml:space="preserve">Air quality data were downloaded from the Environmental Protection Agency (EPA) website </w:t>
      </w:r>
      <w:sdt>
        <w:sdtPr>
          <w:rPr>
            <w:rFonts w:ascii="Times New Roman" w:hAnsi="Times New Roman" w:cs="Times New Roman"/>
            <w:color w:val="000000"/>
          </w:rPr>
          <w:tag w:val="MENDELEY_CITATION_v3_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"/>
          <w:id w:val="563691050"/>
          <w:placeholder>
            <w:docPart w:val="FAC8E92E5E95EB4794482FA3AA7CE77E"/>
          </w:placeholder>
        </w:sdtPr>
        <w:sdtEndPr/>
        <w:sdtContent>
          <w:r w:rsidR="00572E88" w:rsidRPr="00572E88">
            <w:rPr>
              <w:rFonts w:ascii="Times New Roman" w:hAnsi="Times New Roman" w:cs="Times New Roman"/>
              <w:color w:val="000000"/>
            </w:rPr>
            <w:t>[167]</w:t>
          </w:r>
        </w:sdtContent>
      </w:sdt>
      <w:r w:rsidRPr="00E24B3C">
        <w:rPr>
          <w:rFonts w:ascii="Times New Roman" w:hAnsi="Times New Roman" w:cs="Times New Roman"/>
        </w:rPr>
        <w:t>. Data on mean concentration of air pollutants were used to calculate the EPA’s air quality index (AQI) per zip code per year. To calculate AQI, the mean concentrations for ozone, carbon monoxide, sulfur dioxide, nitrogen dioxide, and particulate matter (PM</w:t>
      </w:r>
      <w:r w:rsidRPr="00E24B3C">
        <w:rPr>
          <w:rFonts w:ascii="Times New Roman" w:hAnsi="Times New Roman" w:cs="Times New Roman"/>
          <w:vertAlign w:val="subscript"/>
        </w:rPr>
        <w:t>2.5</w:t>
      </w:r>
      <w:r w:rsidRPr="00E24B3C">
        <w:rPr>
          <w:rFonts w:ascii="Times New Roman" w:hAnsi="Times New Roman" w:cs="Times New Roman"/>
        </w:rPr>
        <w:t xml:space="preserve"> and PM</w:t>
      </w:r>
      <w:r w:rsidRPr="00E24B3C">
        <w:rPr>
          <w:rFonts w:ascii="Times New Roman" w:hAnsi="Times New Roman" w:cs="Times New Roman"/>
          <w:vertAlign w:val="subscript"/>
        </w:rPr>
        <w:t>10</w:t>
      </w:r>
      <w:r w:rsidRPr="00E24B3C">
        <w:rPr>
          <w:rFonts w:ascii="Times New Roman" w:hAnsi="Times New Roman" w:cs="Times New Roman"/>
        </w:rPr>
        <w:t xml:space="preserve">) were calculated per zip code. Using EPA’s technical basis document for air quality, the mean values were converted to AQI values and categorized as good (AQI: &lt;51), moderate (AQI: 51-100), unhealthy for sensitive groups (AQI: 101-150), unhealthy (AQI: 151-200), very unhealthy (AQI: 201-300), and hazardous (AQI: 301-500) </w:t>
      </w:r>
      <w:sdt>
        <w:sdtPr>
          <w:rPr>
            <w:rFonts w:ascii="Times New Roman" w:hAnsi="Times New Roman" w:cs="Times New Roman"/>
            <w:color w:val="000000"/>
          </w:rPr>
          <w:tag w:val="MENDELEY_CITATION_v3_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"/>
          <w:id w:val="-951776972"/>
          <w:placeholder>
            <w:docPart w:val="FAC8E92E5E95EB4794482FA3AA7CE77E"/>
          </w:placeholder>
        </w:sdtPr>
        <w:sdtEndPr/>
        <w:sdtContent>
          <w:r w:rsidR="00572E88" w:rsidRPr="00572E88">
            <w:rPr>
              <w:rFonts w:ascii="Times New Roman" w:hAnsi="Times New Roman" w:cs="Times New Roman"/>
              <w:color w:val="000000"/>
            </w:rPr>
            <w:t>[168]</w:t>
          </w:r>
        </w:sdtContent>
      </w:sdt>
      <w:r w:rsidRPr="00E24B3C">
        <w:rPr>
          <w:rFonts w:ascii="Times New Roman" w:hAnsi="Times New Roman" w:cs="Times New Roman"/>
        </w:rPr>
        <w:t>.</w:t>
      </w:r>
    </w:p>
    <w:p w14:paraId="746A0A82" w14:textId="7AF5C796" w:rsidR="00E24B3C" w:rsidRPr="00E24B3C" w:rsidRDefault="00E24B3C" w:rsidP="00E44524">
      <w:pPr>
        <w:spacing w:after="0" w:line="480" w:lineRule="auto"/>
        <w:ind w:firstLine="720"/>
        <w:rPr>
          <w:rFonts w:ascii="Times New Roman" w:hAnsi="Times New Roman" w:cs="Times New Roman"/>
        </w:rPr>
      </w:pPr>
      <w:r w:rsidRPr="00E24B3C">
        <w:rPr>
          <w:rFonts w:ascii="Times New Roman" w:hAnsi="Times New Roman" w:cs="Times New Roman"/>
        </w:rPr>
        <w:t xml:space="preserve">Study participants were matched to AQI based on their zip code of residence and year of their initial exam. If a participant’s zip code did not contain air quality data, then AQI of the closest zip code was assigned. To find the nearest zip code, the zip codes were first converted to zip code tabulation areas (ZCTAs) using the crosswalk developed by USA Mapper </w:t>
      </w:r>
      <w:sdt>
        <w:sdtPr>
          <w:rPr>
            <w:rFonts w:ascii="Times New Roman" w:hAnsi="Times New Roman" w:cs="Times New Roman"/>
            <w:color w:val="000000"/>
          </w:rPr>
          <w:tag w:val="MENDELEY_CITATION_v3_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"/>
          <w:id w:val="-789130296"/>
          <w:placeholder>
            <w:docPart w:val="FAC8E92E5E95EB4794482FA3AA7CE77E"/>
          </w:placeholder>
        </w:sdtPr>
        <w:sdtEndPr/>
        <w:sdtContent>
          <w:r w:rsidR="00572E88" w:rsidRPr="00572E88">
            <w:rPr>
              <w:rFonts w:ascii="Times New Roman" w:hAnsi="Times New Roman" w:cs="Times New Roman"/>
              <w:color w:val="000000"/>
            </w:rPr>
            <w:t>[169]</w:t>
          </w:r>
        </w:sdtContent>
      </w:sdt>
      <w:r w:rsidRPr="00E24B3C">
        <w:rPr>
          <w:rFonts w:ascii="Times New Roman" w:hAnsi="Times New Roman" w:cs="Times New Roman"/>
        </w:rPr>
        <w:t xml:space="preserve"> and then matched to the US Census Bureau’s TIGER/Line shapefiles </w:t>
      </w:r>
      <w:sdt>
        <w:sdtPr>
          <w:rPr>
            <w:rFonts w:ascii="Times New Roman" w:hAnsi="Times New Roman" w:cs="Times New Roman"/>
            <w:color w:val="000000"/>
          </w:rPr>
          <w:tag w:val="MENDELEY_CITATION_v3_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"/>
          <w:id w:val="-1644190212"/>
          <w:placeholder>
            <w:docPart w:val="FAC8E92E5E95EB4794482FA3AA7CE77E"/>
          </w:placeholder>
        </w:sdtPr>
        <w:sdtEndPr/>
        <w:sdtContent>
          <w:r w:rsidR="00572E88" w:rsidRPr="00572E88">
            <w:rPr>
              <w:rFonts w:ascii="Times New Roman" w:hAnsi="Times New Roman" w:cs="Times New Roman"/>
              <w:color w:val="000000"/>
            </w:rPr>
            <w:t>[170]</w:t>
          </w:r>
        </w:sdtContent>
      </w:sdt>
      <w:r w:rsidRPr="00E24B3C">
        <w:rPr>
          <w:rFonts w:ascii="Times New Roman" w:hAnsi="Times New Roman" w:cs="Times New Roman"/>
        </w:rPr>
        <w:t>. The centroid of the ZCTAs were then used to calculate the distance to the nearest ZCTA.</w:t>
      </w:r>
    </w:p>
    <w:p w14:paraId="7CD97296" w14:textId="77777777" w:rsidR="00E24B3C" w:rsidRPr="00E24B3C" w:rsidRDefault="00E24B3C" w:rsidP="00E44524">
      <w:pPr>
        <w:spacing w:after="0" w:line="480" w:lineRule="auto"/>
      </w:pPr>
    </w:p>
    <w:p w14:paraId="452C019E" w14:textId="6EE038E2" w:rsidR="0047391E" w:rsidRPr="00F67163" w:rsidRDefault="0047391E" w:rsidP="00E44524">
      <w:pPr>
        <w:pStyle w:val="Heading4"/>
        <w:spacing w:before="0" w:after="0" w:line="480" w:lineRule="auto"/>
        <w:rPr>
          <w:szCs w:val="28"/>
        </w:rPr>
      </w:pPr>
      <w:bookmarkStart w:id="119" w:name="_Toc200096998"/>
      <w:r w:rsidRPr="00F67163">
        <w:rPr>
          <w:szCs w:val="28"/>
        </w:rPr>
        <w:t>Statistical analyses</w:t>
      </w:r>
      <w:bookmarkEnd w:id="119"/>
    </w:p>
    <w:p w14:paraId="4446F505" w14:textId="37CDB027" w:rsidR="0047391E" w:rsidRPr="00B902E6" w:rsidRDefault="0047391E" w:rsidP="00E44524">
      <w:pPr>
        <w:pStyle w:val="Heading5"/>
        <w:spacing w:before="0" w:after="0" w:line="480" w:lineRule="auto"/>
      </w:pPr>
      <w:bookmarkStart w:id="120" w:name="_Toc200096999"/>
      <w:r w:rsidRPr="00B902E6">
        <w:t>Descriptive analysis</w:t>
      </w:r>
      <w:bookmarkEnd w:id="120"/>
    </w:p>
    <w:p w14:paraId="42C361DF" w14:textId="03812343" w:rsidR="00E24B3C" w:rsidRDefault="00E24B3C" w:rsidP="00E44524">
      <w:pPr>
        <w:spacing w:after="0" w:line="480" w:lineRule="auto"/>
        <w:ind w:firstLine="720"/>
        <w:rPr>
          <w:rFonts w:ascii="Times New Roman" w:hAnsi="Times New Roman" w:cs="Times New Roman"/>
        </w:rPr>
      </w:pPr>
      <w:r w:rsidRPr="00E24B3C">
        <w:rPr>
          <w:rFonts w:ascii="Times New Roman" w:hAnsi="Times New Roman" w:cs="Times New Roman"/>
        </w:rPr>
        <w:t xml:space="preserve">All statistical analyses were performed in SAS 9.4 </w:t>
      </w:r>
      <w:sdt>
        <w:sdtPr>
          <w:rPr>
            <w:rFonts w:ascii="Times New Roman" w:hAnsi="Times New Roman" w:cs="Times New Roman"/>
            <w:color w:val="000000"/>
          </w:rPr>
          <w:tag w:val="MENDELEY_CITATION_v3_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"/>
          <w:id w:val="1066374551"/>
          <w:placeholder>
            <w:docPart w:val="D5C218BA284BB14DA1D7172F76D370BC"/>
          </w:placeholder>
        </w:sdtPr>
        <w:sdtEndPr/>
        <w:sdtContent>
          <w:r w:rsidR="00572E88" w:rsidRPr="00572E88">
            <w:rPr>
              <w:rFonts w:ascii="Times New Roman" w:hAnsi="Times New Roman" w:cs="Times New Roman"/>
              <w:color w:val="000000"/>
            </w:rPr>
            <w:t>[171]</w:t>
          </w:r>
        </w:sdtContent>
      </w:sdt>
      <w:r w:rsidRPr="00E24B3C">
        <w:rPr>
          <w:rFonts w:ascii="Times New Roman" w:hAnsi="Times New Roman" w:cs="Times New Roman"/>
        </w:rPr>
        <w:t xml:space="preserve"> and R version 4.0.3 </w:t>
      </w:r>
      <w:sdt>
        <w:sdtPr>
          <w:rPr>
            <w:rFonts w:ascii="Times New Roman" w:hAnsi="Times New Roman" w:cs="Times New Roman"/>
            <w:color w:val="000000"/>
          </w:rPr>
          <w:tag w:val="MENDELEY_CITATION_v3_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"/>
          <w:id w:val="922920367"/>
          <w:placeholder>
            <w:docPart w:val="D5C218BA284BB14DA1D7172F76D370BC"/>
          </w:placeholder>
        </w:sdtPr>
        <w:sdtEndPr/>
        <w:sdtContent>
          <w:r w:rsidR="00572E88" w:rsidRPr="00572E88">
            <w:rPr>
              <w:rFonts w:ascii="Times New Roman" w:hAnsi="Times New Roman" w:cs="Times New Roman"/>
              <w:color w:val="000000"/>
            </w:rPr>
            <w:t>[172]</w:t>
          </w:r>
        </w:sdtContent>
      </w:sdt>
      <w:r w:rsidRPr="00E24B3C">
        <w:rPr>
          <w:rFonts w:ascii="Times New Roman" w:hAnsi="Times New Roman" w:cs="Times New Roman"/>
        </w:rPr>
        <w:t xml:space="preserve"> using RStudio version 2021.09.2 interface</w:t>
      </w:r>
      <w:sdt>
        <w:sdtPr>
          <w:rPr>
            <w:rFonts w:ascii="Times New Roman" w:hAnsi="Times New Roman" w:cs="Times New Roman"/>
            <w:color w:val="000000"/>
          </w:rPr>
          <w:tag w:val="MENDELEY_CITATION_v3_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"/>
          <w:id w:val="138393080"/>
          <w:placeholder>
            <w:docPart w:val="D5C218BA284BB14DA1D7172F76D370BC"/>
          </w:placeholder>
        </w:sdtPr>
        <w:sdtEndPr/>
        <w:sdtContent>
          <w:r w:rsidR="00572E88" w:rsidRPr="00572E88">
            <w:rPr>
              <w:rFonts w:ascii="Times New Roman" w:hAnsi="Times New Roman" w:cs="Times New Roman"/>
              <w:color w:val="000000"/>
            </w:rPr>
            <w:t>[132]</w:t>
          </w:r>
        </w:sdtContent>
      </w:sdt>
      <w:r w:rsidRPr="00E24B3C">
        <w:rPr>
          <w:rFonts w:ascii="Times New Roman" w:hAnsi="Times New Roman" w:cs="Times New Roman"/>
        </w:rPr>
        <w:t>. Frequencies and 95% confidence intervals were computed for categorical variables.</w:t>
      </w:r>
    </w:p>
    <w:p w14:paraId="13188290" w14:textId="77777777" w:rsidR="007E5340" w:rsidRPr="00E24B3C" w:rsidRDefault="007E5340" w:rsidP="00E44524">
      <w:pPr>
        <w:spacing w:after="0" w:line="480" w:lineRule="auto"/>
        <w:rPr>
          <w:rFonts w:ascii="Times New Roman" w:hAnsi="Times New Roman" w:cs="Times New Roman"/>
        </w:rPr>
      </w:pPr>
    </w:p>
    <w:p w14:paraId="6AEC8649" w14:textId="624EBA5D" w:rsidR="0047391E" w:rsidRPr="00B902E6" w:rsidRDefault="0047391E" w:rsidP="00E44524">
      <w:pPr>
        <w:pStyle w:val="Heading5"/>
        <w:spacing w:before="0" w:after="0" w:line="480" w:lineRule="auto"/>
      </w:pPr>
      <w:bookmarkStart w:id="121" w:name="_Toc200097000"/>
      <w:r w:rsidRPr="00B902E6">
        <w:lastRenderedPageBreak/>
        <w:t>Multiple imputation</w:t>
      </w:r>
      <w:bookmarkEnd w:id="121"/>
    </w:p>
    <w:p w14:paraId="26CBB3C2" w14:textId="0DC8E7DC" w:rsidR="007E5340" w:rsidRDefault="00E24B3C" w:rsidP="00E44524">
      <w:pPr>
        <w:spacing w:after="0" w:line="480" w:lineRule="auto"/>
        <w:ind w:firstLine="720"/>
        <w:rPr>
          <w:rFonts w:ascii="Times New Roman" w:hAnsi="Times New Roman" w:cs="Times New Roman"/>
        </w:rPr>
      </w:pPr>
      <w:r w:rsidRPr="00E24B3C">
        <w:rPr>
          <w:rFonts w:ascii="Times New Roman" w:hAnsi="Times New Roman" w:cs="Times New Roman"/>
        </w:rPr>
        <w:t xml:space="preserve">Due to the high proportion of missing values for race (22.3%) as well as smaller proportion of missing data in potential predictors of COPD occurrence and severity, multivariate imputation by chained equation (MICE) was performed on the dataset using the MICE package </w:t>
      </w:r>
      <w:sdt>
        <w:sdtPr>
          <w:rPr>
            <w:rFonts w:ascii="Times New Roman" w:hAnsi="Times New Roman" w:cs="Times New Roman"/>
            <w:color w:val="000000"/>
          </w:rPr>
          <w:tag w:val="MENDELEY_CITATION_v3_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"/>
          <w:id w:val="1203366596"/>
          <w:placeholder>
            <w:docPart w:val="1A1FB72ACE2E2F419EA07104F6D9CB6A"/>
          </w:placeholder>
        </w:sdtPr>
        <w:sdtEndPr/>
        <w:sdtContent>
          <w:r w:rsidR="00572E88" w:rsidRPr="00572E88">
            <w:rPr>
              <w:rFonts w:ascii="Times New Roman" w:hAnsi="Times New Roman" w:cs="Times New Roman"/>
              <w:color w:val="000000"/>
            </w:rPr>
            <w:t>[173]</w:t>
          </w:r>
        </w:sdtContent>
      </w:sdt>
      <w:r w:rsidRPr="00E24B3C">
        <w:rPr>
          <w:rFonts w:ascii="Times New Roman" w:hAnsi="Times New Roman" w:cs="Times New Roman"/>
        </w:rPr>
        <w:t xml:space="preserve"> in RStudio version 2021.09.2 </w:t>
      </w:r>
      <w:sdt>
        <w:sdtPr>
          <w:rPr>
            <w:rFonts w:ascii="Times New Roman" w:hAnsi="Times New Roman" w:cs="Times New Roman"/>
            <w:color w:val="000000"/>
          </w:rPr>
          <w:tag w:val="MENDELEY_CITATION_v3_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"/>
          <w:id w:val="-87165691"/>
          <w:placeholder>
            <w:docPart w:val="1A1FB72ACE2E2F419EA07104F6D9CB6A"/>
          </w:placeholder>
        </w:sdtPr>
        <w:sdtEndPr/>
        <w:sdtContent>
          <w:r w:rsidR="00572E88" w:rsidRPr="00572E88">
            <w:rPr>
              <w:rFonts w:ascii="Times New Roman" w:hAnsi="Times New Roman" w:cs="Times New Roman"/>
              <w:color w:val="000000"/>
            </w:rPr>
            <w:t>[132]</w:t>
          </w:r>
        </w:sdtContent>
      </w:sdt>
      <w:r w:rsidRPr="00E24B3C">
        <w:rPr>
          <w:rFonts w:ascii="Times New Roman" w:hAnsi="Times New Roman" w:cs="Times New Roman"/>
        </w:rPr>
        <w:t xml:space="preserve"> interface of R </w:t>
      </w:r>
      <w:sdt>
        <w:sdtPr>
          <w:rPr>
            <w:rFonts w:ascii="Times New Roman" w:hAnsi="Times New Roman" w:cs="Times New Roman"/>
            <w:color w:val="000000"/>
          </w:rPr>
          <w:tag w:val="MENDELEY_CITATION_v3_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"/>
          <w:id w:val="-1721203951"/>
          <w:placeholder>
            <w:docPart w:val="1A1FB72ACE2E2F419EA07104F6D9CB6A"/>
          </w:placeholder>
        </w:sdtPr>
        <w:sdtEndPr/>
        <w:sdtContent>
          <w:r w:rsidR="00572E88" w:rsidRPr="00572E88">
            <w:rPr>
              <w:rFonts w:ascii="Times New Roman" w:hAnsi="Times New Roman" w:cs="Times New Roman"/>
              <w:color w:val="000000"/>
            </w:rPr>
            <w:t>[172]</w:t>
          </w:r>
        </w:sdtContent>
      </w:sdt>
      <w:r w:rsidRPr="00E24B3C">
        <w:rPr>
          <w:rFonts w:ascii="Times New Roman" w:hAnsi="Times New Roman" w:cs="Times New Roman"/>
        </w:rPr>
        <w:t xml:space="preserve"> . The MICE procedure used logistic regression for binary variables and multinomial logistic regression for categorical variables with more than two categories </w:t>
      </w:r>
      <w:sdt>
        <w:sdtPr>
          <w:rPr>
            <w:rFonts w:ascii="Times New Roman" w:hAnsi="Times New Roman" w:cs="Times New Roman"/>
            <w:color w:val="000000"/>
          </w:rPr>
          <w:tag w:val="MENDELEY_CITATION_v3_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"/>
          <w:id w:val="-1111734317"/>
          <w:placeholder>
            <w:docPart w:val="1A1FB72ACE2E2F419EA07104F6D9CB6A"/>
          </w:placeholder>
        </w:sdtPr>
        <w:sdtEndPr/>
        <w:sdtContent>
          <w:r w:rsidR="00572E88" w:rsidRPr="00572E88">
            <w:rPr>
              <w:rFonts w:ascii="Times New Roman" w:hAnsi="Times New Roman" w:cs="Times New Roman"/>
              <w:color w:val="000000"/>
            </w:rPr>
            <w:t>[173]</w:t>
          </w:r>
        </w:sdtContent>
      </w:sdt>
      <w:r w:rsidRPr="00E24B3C">
        <w:rPr>
          <w:rFonts w:ascii="Times New Roman" w:hAnsi="Times New Roman" w:cs="Times New Roman"/>
        </w:rPr>
        <w:t xml:space="preserve">. Since the outcome variable of interest should be included in the multiple imputation model </w:t>
      </w:r>
      <w:sdt>
        <w:sdtPr>
          <w:rPr>
            <w:rFonts w:ascii="Times New Roman" w:hAnsi="Times New Roman" w:cs="Times New Roman"/>
            <w:color w:val="000000"/>
          </w:rPr>
          <w:tag w:val="MENDELEY_CITATION_v3_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"/>
          <w:id w:val="1628439892"/>
          <w:placeholder>
            <w:docPart w:val="1A1FB72ACE2E2F419EA07104F6D9CB6A"/>
          </w:placeholder>
        </w:sdtPr>
        <w:sdtEndPr/>
        <w:sdtContent>
          <w:r w:rsidR="00572E88" w:rsidRPr="00572E88">
            <w:rPr>
              <w:rFonts w:ascii="Times New Roman" w:hAnsi="Times New Roman" w:cs="Times New Roman"/>
              <w:color w:val="000000"/>
            </w:rPr>
            <w:t>[174]</w:t>
          </w:r>
        </w:sdtContent>
      </w:sdt>
      <w:r w:rsidRPr="00E24B3C">
        <w:rPr>
          <w:rFonts w:ascii="Times New Roman" w:hAnsi="Times New Roman" w:cs="Times New Roman"/>
        </w:rPr>
        <w:t xml:space="preserve">, multiple imputed (or MICE) datasets were created separately for the two outcome variables of interest: COPD occurrence (yes/no) and COPD severity (very severe, severe, moderate, mild). Multiple imputation by chained equations was conducted for all potential predictors of COPD occurrence and COPD severity separately. For both the COPD occurrence and COPD severity imputations, the number of imputed datasets was 20 and the maximum number of iterations for the imputation was 30. The choice of the number of imputations was based on the fraction of missing data and on limiting the decrease in power as outlined by Graham et al. </w:t>
      </w:r>
      <w:sdt>
        <w:sdtPr>
          <w:rPr>
            <w:rFonts w:ascii="Times New Roman" w:hAnsi="Times New Roman" w:cs="Times New Roman"/>
            <w:color w:val="000000"/>
          </w:rPr>
          <w:tag w:val="MENDELEY_CITATION_v3_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"/>
          <w:id w:val="-1218816113"/>
          <w:placeholder>
            <w:docPart w:val="06C75614716D6140A4CFC41A3EB672F0"/>
          </w:placeholder>
        </w:sdtPr>
        <w:sdtEndPr/>
        <w:sdtContent>
          <w:r w:rsidR="00572E88" w:rsidRPr="00572E88">
            <w:rPr>
              <w:rFonts w:ascii="Times New Roman" w:hAnsi="Times New Roman" w:cs="Times New Roman"/>
              <w:color w:val="000000"/>
            </w:rPr>
            <w:t>[175]</w:t>
          </w:r>
        </w:sdtContent>
      </w:sdt>
      <w:r w:rsidRPr="00E24B3C">
        <w:rPr>
          <w:rFonts w:ascii="Times New Roman" w:hAnsi="Times New Roman" w:cs="Times New Roman"/>
        </w:rPr>
        <w:t xml:space="preserve">. The results of the statistical models performed on the multiple imputed datasets were pooled in accordance with Rubin’s rules for pooling, which accounts for the additional variability produced by multiple imputation </w:t>
      </w:r>
      <w:sdt>
        <w:sdtPr>
          <w:rPr>
            <w:rFonts w:ascii="Times New Roman" w:hAnsi="Times New Roman" w:cs="Times New Roman"/>
            <w:color w:val="000000"/>
          </w:rPr>
          <w:tag w:val="MENDELEY_CITATION_v3_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"/>
          <w:id w:val="-927184252"/>
          <w:placeholder>
            <w:docPart w:val="1A1FB72ACE2E2F419EA07104F6D9CB6A"/>
          </w:placeholder>
        </w:sdtPr>
        <w:sdtEndPr/>
        <w:sdtContent>
          <w:r w:rsidR="00572E88" w:rsidRPr="00572E88">
            <w:rPr>
              <w:rFonts w:ascii="Times New Roman" w:hAnsi="Times New Roman" w:cs="Times New Roman"/>
              <w:color w:val="000000"/>
            </w:rPr>
            <w:t>[176]</w:t>
          </w:r>
        </w:sdtContent>
      </w:sdt>
      <w:r w:rsidRPr="00E24B3C">
        <w:rPr>
          <w:rFonts w:ascii="Times New Roman" w:hAnsi="Times New Roman" w:cs="Times New Roman"/>
        </w:rPr>
        <w:t>.</w:t>
      </w:r>
    </w:p>
    <w:p w14:paraId="08D1026A" w14:textId="57BDFDAA" w:rsidR="0047391E" w:rsidRPr="0047391E" w:rsidRDefault="0047391E" w:rsidP="00E44524">
      <w:pPr>
        <w:spacing w:after="0" w:line="480" w:lineRule="auto"/>
        <w:rPr>
          <w:rFonts w:ascii="Times New Roman" w:hAnsi="Times New Roman" w:cs="Times New Roman"/>
        </w:rPr>
      </w:pPr>
    </w:p>
    <w:p w14:paraId="55565501" w14:textId="32DDCE0A" w:rsidR="0047391E" w:rsidRPr="00B902E6" w:rsidRDefault="0047391E" w:rsidP="00E44524">
      <w:pPr>
        <w:pStyle w:val="Heading5"/>
        <w:spacing w:before="0" w:after="0" w:line="480" w:lineRule="auto"/>
      </w:pPr>
      <w:bookmarkStart w:id="122" w:name="_Toc200097001"/>
      <w:r w:rsidRPr="00B902E6">
        <w:t>Identification of highly correlated potential predictors</w:t>
      </w:r>
      <w:bookmarkEnd w:id="122"/>
      <w:r w:rsidRPr="00B902E6">
        <w:t xml:space="preserve"> </w:t>
      </w:r>
    </w:p>
    <w:p w14:paraId="4001CD3D" w14:textId="532AEFE0" w:rsidR="00B13FAB" w:rsidRDefault="0047391E" w:rsidP="00E44524">
      <w:pPr>
        <w:spacing w:after="0" w:line="480" w:lineRule="auto"/>
        <w:ind w:firstLine="720"/>
        <w:rPr>
          <w:rFonts w:ascii="Times New Roman" w:hAnsi="Times New Roman" w:cs="Times New Roman"/>
        </w:rPr>
        <w:sectPr w:rsidR="00B13FAB" w:rsidSect="00B72663">
          <w:pgSz w:w="12240" w:h="15840"/>
          <w:pgMar w:top="1440" w:right="1440" w:bottom="1440" w:left="1440" w:header="720" w:footer="720" w:gutter="0"/>
          <w:cols w:space="720"/>
          <w:docGrid w:linePitch="360"/>
        </w:sectPr>
      </w:pPr>
      <w:r w:rsidRPr="0047391E">
        <w:rPr>
          <w:rFonts w:ascii="Times New Roman" w:hAnsi="Times New Roman" w:cs="Times New Roman"/>
        </w:rPr>
        <w:t xml:space="preserve">To avoid multicollinearity, pairwise Spearman’s rank correlation coefficients were computed to identify highly correlated (|r|&gt;0.70) potential predictors. If a pair of variables was highly correlated, only one of them was included for assessment in the multivariable models. However, none of the variables were highly correlated (Table </w:t>
      </w:r>
      <w:r w:rsidR="007B23A4">
        <w:rPr>
          <w:rFonts w:ascii="Times New Roman" w:hAnsi="Times New Roman" w:cs="Times New Roman"/>
        </w:rPr>
        <w:t>3.</w:t>
      </w:r>
      <w:r w:rsidRPr="0047391E">
        <w:rPr>
          <w:rFonts w:ascii="Times New Roman" w:hAnsi="Times New Roman" w:cs="Times New Roman"/>
        </w:rPr>
        <w:t>1).</w:t>
      </w:r>
    </w:p>
    <w:tbl>
      <w:tblPr>
        <w:tblpPr w:leftFromText="180" w:rightFromText="180" w:vertAnchor="page" w:horzAnchor="margin" w:tblpY="2391"/>
        <w:tblW w:w="13319" w:type="dxa"/>
        <w:tblLayout w:type="fixed"/>
        <w:tblCellMar>
          <w:top w:w="15" w:type="dxa"/>
        </w:tblCellMar>
        <w:tblLook w:val="04A0" w:firstRow="1" w:lastRow="0" w:firstColumn="1" w:lastColumn="0" w:noHBand="0" w:noVBand="1"/>
      </w:tblPr>
      <w:tblGrid>
        <w:gridCol w:w="1264"/>
        <w:gridCol w:w="851"/>
        <w:gridCol w:w="803"/>
        <w:gridCol w:w="777"/>
        <w:gridCol w:w="794"/>
        <w:gridCol w:w="1059"/>
        <w:gridCol w:w="793"/>
        <w:gridCol w:w="928"/>
        <w:gridCol w:w="989"/>
        <w:gridCol w:w="817"/>
        <w:gridCol w:w="635"/>
        <w:gridCol w:w="908"/>
        <w:gridCol w:w="999"/>
        <w:gridCol w:w="908"/>
        <w:gridCol w:w="794"/>
      </w:tblGrid>
      <w:tr w:rsidR="00CC4E50" w:rsidRPr="0099627D" w14:paraId="56486B21" w14:textId="77777777" w:rsidTr="00CC4E50">
        <w:trPr>
          <w:trHeight w:hRule="exact" w:val="765"/>
        </w:trPr>
        <w:tc>
          <w:tcPr>
            <w:tcW w:w="1264" w:type="dxa"/>
            <w:tcBorders>
              <w:top w:val="single" w:sz="12" w:space="0" w:color="auto"/>
              <w:bottom w:val="single" w:sz="12" w:space="0" w:color="auto"/>
              <w:right w:val="nil"/>
            </w:tcBorders>
            <w:shd w:val="clear" w:color="auto" w:fill="auto"/>
            <w:vAlign w:val="center"/>
            <w:hideMark/>
          </w:tcPr>
          <w:p w14:paraId="307C0804" w14:textId="5BA01FAB" w:rsidR="00CC4E50" w:rsidRPr="00A85AB0" w:rsidRDefault="00CC4E50" w:rsidP="00CC4E50">
            <w:pPr>
              <w:jc w:val="center"/>
              <w:rPr>
                <w:rFonts w:ascii="Times New Roman" w:eastAsia="Times New Roman" w:hAnsi="Times New Roman" w:cs="Times New Roman"/>
                <w:b/>
                <w:bCs/>
                <w:color w:val="000000"/>
                <w:sz w:val="16"/>
                <w:szCs w:val="16"/>
              </w:rPr>
            </w:pPr>
          </w:p>
        </w:tc>
        <w:tc>
          <w:tcPr>
            <w:tcW w:w="851" w:type="dxa"/>
            <w:tcBorders>
              <w:top w:val="single" w:sz="12" w:space="0" w:color="auto"/>
              <w:left w:val="nil"/>
              <w:bottom w:val="single" w:sz="12" w:space="0" w:color="auto"/>
              <w:right w:val="nil"/>
            </w:tcBorders>
            <w:shd w:val="clear" w:color="auto" w:fill="auto"/>
            <w:vAlign w:val="center"/>
            <w:hideMark/>
          </w:tcPr>
          <w:p w14:paraId="214C5932" w14:textId="77777777" w:rsidR="00CC4E50" w:rsidRPr="00A85AB0" w:rsidRDefault="00CC4E50" w:rsidP="00CC4E50">
            <w:pPr>
              <w:jc w:val="center"/>
              <w:rPr>
                <w:rFonts w:ascii="Times New Roman" w:eastAsia="Times New Roman" w:hAnsi="Times New Roman" w:cs="Times New Roman"/>
                <w:b/>
                <w:bCs/>
                <w:color w:val="000000"/>
                <w:sz w:val="16"/>
                <w:szCs w:val="16"/>
              </w:rPr>
            </w:pPr>
            <w:r w:rsidRPr="00A85AB0">
              <w:rPr>
                <w:rFonts w:ascii="Times New Roman" w:eastAsia="Times New Roman" w:hAnsi="Times New Roman" w:cs="Times New Roman"/>
                <w:b/>
                <w:bCs/>
                <w:color w:val="000000"/>
                <w:sz w:val="16"/>
                <w:szCs w:val="16"/>
              </w:rPr>
              <w:t>Body Mass Index</w:t>
            </w:r>
          </w:p>
        </w:tc>
        <w:tc>
          <w:tcPr>
            <w:tcW w:w="803" w:type="dxa"/>
            <w:tcBorders>
              <w:top w:val="single" w:sz="12" w:space="0" w:color="auto"/>
              <w:left w:val="nil"/>
              <w:bottom w:val="single" w:sz="12" w:space="0" w:color="auto"/>
              <w:right w:val="nil"/>
            </w:tcBorders>
            <w:shd w:val="clear" w:color="auto" w:fill="auto"/>
            <w:vAlign w:val="center"/>
            <w:hideMark/>
          </w:tcPr>
          <w:p w14:paraId="0906A18B" w14:textId="77777777" w:rsidR="00CC4E50" w:rsidRPr="00A85AB0" w:rsidRDefault="00CC4E50" w:rsidP="00CC4E50">
            <w:pPr>
              <w:jc w:val="center"/>
              <w:rPr>
                <w:rFonts w:ascii="Times New Roman" w:eastAsia="Times New Roman" w:hAnsi="Times New Roman" w:cs="Times New Roman"/>
                <w:b/>
                <w:bCs/>
                <w:color w:val="000000"/>
                <w:sz w:val="16"/>
                <w:szCs w:val="16"/>
              </w:rPr>
            </w:pPr>
            <w:r w:rsidRPr="00A85AB0">
              <w:rPr>
                <w:rFonts w:ascii="Times New Roman" w:eastAsia="Times New Roman" w:hAnsi="Times New Roman" w:cs="Times New Roman"/>
                <w:b/>
                <w:bCs/>
                <w:color w:val="000000"/>
                <w:sz w:val="16"/>
                <w:szCs w:val="16"/>
              </w:rPr>
              <w:t>Air Quality Index</w:t>
            </w:r>
          </w:p>
        </w:tc>
        <w:tc>
          <w:tcPr>
            <w:tcW w:w="777" w:type="dxa"/>
            <w:tcBorders>
              <w:top w:val="single" w:sz="12" w:space="0" w:color="auto"/>
              <w:left w:val="nil"/>
              <w:bottom w:val="single" w:sz="12" w:space="0" w:color="auto"/>
              <w:right w:val="nil"/>
            </w:tcBorders>
            <w:shd w:val="clear" w:color="auto" w:fill="auto"/>
            <w:vAlign w:val="center"/>
            <w:hideMark/>
          </w:tcPr>
          <w:p w14:paraId="5E7004D2" w14:textId="77777777" w:rsidR="00CC4E50" w:rsidRPr="00A85AB0" w:rsidRDefault="00CC4E50" w:rsidP="00CC4E50">
            <w:pPr>
              <w:jc w:val="center"/>
              <w:rPr>
                <w:rFonts w:ascii="Times New Roman" w:eastAsia="Times New Roman" w:hAnsi="Times New Roman" w:cs="Times New Roman"/>
                <w:b/>
                <w:bCs/>
                <w:color w:val="000000"/>
                <w:sz w:val="16"/>
                <w:szCs w:val="16"/>
              </w:rPr>
            </w:pPr>
            <w:r w:rsidRPr="00A85AB0">
              <w:rPr>
                <w:rFonts w:ascii="Times New Roman" w:eastAsia="Times New Roman" w:hAnsi="Times New Roman" w:cs="Times New Roman"/>
                <w:b/>
                <w:bCs/>
                <w:color w:val="000000"/>
                <w:sz w:val="16"/>
                <w:szCs w:val="16"/>
              </w:rPr>
              <w:t>Sex</w:t>
            </w:r>
          </w:p>
        </w:tc>
        <w:tc>
          <w:tcPr>
            <w:tcW w:w="794" w:type="dxa"/>
            <w:tcBorders>
              <w:top w:val="single" w:sz="12" w:space="0" w:color="auto"/>
              <w:left w:val="nil"/>
              <w:bottom w:val="single" w:sz="12" w:space="0" w:color="auto"/>
              <w:right w:val="nil"/>
            </w:tcBorders>
            <w:shd w:val="clear" w:color="auto" w:fill="auto"/>
            <w:vAlign w:val="center"/>
            <w:hideMark/>
          </w:tcPr>
          <w:p w14:paraId="0A75D664" w14:textId="77777777" w:rsidR="00CC4E50" w:rsidRPr="00A85AB0" w:rsidRDefault="00CC4E50" w:rsidP="00CC4E50">
            <w:pPr>
              <w:jc w:val="center"/>
              <w:rPr>
                <w:rFonts w:ascii="Times New Roman" w:eastAsia="Times New Roman" w:hAnsi="Times New Roman" w:cs="Times New Roman"/>
                <w:b/>
                <w:bCs/>
                <w:color w:val="000000"/>
                <w:sz w:val="16"/>
                <w:szCs w:val="16"/>
              </w:rPr>
            </w:pPr>
            <w:r w:rsidRPr="00A85AB0">
              <w:rPr>
                <w:rFonts w:ascii="Times New Roman" w:eastAsia="Times New Roman" w:hAnsi="Times New Roman" w:cs="Times New Roman"/>
                <w:b/>
                <w:bCs/>
                <w:color w:val="000000"/>
                <w:sz w:val="16"/>
                <w:szCs w:val="16"/>
              </w:rPr>
              <w:t>Race</w:t>
            </w:r>
          </w:p>
        </w:tc>
        <w:tc>
          <w:tcPr>
            <w:tcW w:w="1059" w:type="dxa"/>
            <w:tcBorders>
              <w:top w:val="single" w:sz="12" w:space="0" w:color="auto"/>
              <w:left w:val="nil"/>
              <w:bottom w:val="single" w:sz="12" w:space="0" w:color="auto"/>
              <w:right w:val="nil"/>
            </w:tcBorders>
            <w:shd w:val="clear" w:color="auto" w:fill="auto"/>
            <w:vAlign w:val="center"/>
            <w:hideMark/>
          </w:tcPr>
          <w:p w14:paraId="65AE7598" w14:textId="77777777" w:rsidR="00CC4E50" w:rsidRPr="00A85AB0" w:rsidRDefault="00CC4E50" w:rsidP="00CC4E50">
            <w:pPr>
              <w:jc w:val="center"/>
              <w:rPr>
                <w:rFonts w:ascii="Times New Roman" w:eastAsia="Times New Roman" w:hAnsi="Times New Roman" w:cs="Times New Roman"/>
                <w:b/>
                <w:bCs/>
                <w:color w:val="000000"/>
                <w:sz w:val="16"/>
                <w:szCs w:val="16"/>
              </w:rPr>
            </w:pPr>
            <w:r w:rsidRPr="00A85AB0">
              <w:rPr>
                <w:rFonts w:ascii="Times New Roman" w:eastAsia="Times New Roman" w:hAnsi="Times New Roman" w:cs="Times New Roman"/>
                <w:b/>
                <w:bCs/>
                <w:color w:val="000000"/>
                <w:sz w:val="16"/>
                <w:szCs w:val="16"/>
              </w:rPr>
              <w:t>Smoking Status</w:t>
            </w:r>
          </w:p>
        </w:tc>
        <w:tc>
          <w:tcPr>
            <w:tcW w:w="793" w:type="dxa"/>
            <w:tcBorders>
              <w:top w:val="single" w:sz="12" w:space="0" w:color="auto"/>
              <w:left w:val="nil"/>
              <w:bottom w:val="single" w:sz="12" w:space="0" w:color="auto"/>
              <w:right w:val="nil"/>
            </w:tcBorders>
            <w:shd w:val="clear" w:color="auto" w:fill="auto"/>
            <w:vAlign w:val="center"/>
            <w:hideMark/>
          </w:tcPr>
          <w:p w14:paraId="70E23C0E" w14:textId="77777777" w:rsidR="00CC4E50" w:rsidRPr="00A85AB0" w:rsidRDefault="00CC4E50" w:rsidP="00CC4E50">
            <w:pPr>
              <w:jc w:val="center"/>
              <w:rPr>
                <w:rFonts w:ascii="Times New Roman" w:eastAsia="Times New Roman" w:hAnsi="Times New Roman" w:cs="Times New Roman"/>
                <w:b/>
                <w:bCs/>
                <w:color w:val="000000"/>
                <w:sz w:val="16"/>
                <w:szCs w:val="16"/>
              </w:rPr>
            </w:pPr>
            <w:r w:rsidRPr="00A85AB0">
              <w:rPr>
                <w:rFonts w:ascii="Times New Roman" w:eastAsia="Times New Roman" w:hAnsi="Times New Roman" w:cs="Times New Roman"/>
                <w:b/>
                <w:bCs/>
                <w:color w:val="000000"/>
                <w:sz w:val="16"/>
                <w:szCs w:val="16"/>
              </w:rPr>
              <w:t>DOE Site</w:t>
            </w:r>
          </w:p>
        </w:tc>
        <w:tc>
          <w:tcPr>
            <w:tcW w:w="928" w:type="dxa"/>
            <w:tcBorders>
              <w:top w:val="single" w:sz="12" w:space="0" w:color="auto"/>
              <w:left w:val="nil"/>
              <w:bottom w:val="single" w:sz="12" w:space="0" w:color="auto"/>
              <w:right w:val="nil"/>
            </w:tcBorders>
            <w:shd w:val="clear" w:color="auto" w:fill="auto"/>
            <w:vAlign w:val="center"/>
            <w:hideMark/>
          </w:tcPr>
          <w:p w14:paraId="3226DE3F" w14:textId="77777777" w:rsidR="00CC4E50" w:rsidRPr="00A85AB0" w:rsidRDefault="00CC4E50" w:rsidP="00CC4E50">
            <w:pPr>
              <w:jc w:val="center"/>
              <w:rPr>
                <w:rFonts w:ascii="Times New Roman" w:eastAsia="Times New Roman" w:hAnsi="Times New Roman" w:cs="Times New Roman"/>
                <w:b/>
                <w:bCs/>
                <w:color w:val="000000"/>
                <w:sz w:val="16"/>
                <w:szCs w:val="16"/>
              </w:rPr>
            </w:pPr>
            <w:r w:rsidRPr="00A85AB0">
              <w:rPr>
                <w:rFonts w:ascii="Times New Roman" w:eastAsia="Times New Roman" w:hAnsi="Times New Roman" w:cs="Times New Roman"/>
                <w:b/>
                <w:bCs/>
                <w:color w:val="000000"/>
                <w:sz w:val="16"/>
                <w:szCs w:val="16"/>
              </w:rPr>
              <w:t>Asthma</w:t>
            </w:r>
          </w:p>
        </w:tc>
        <w:tc>
          <w:tcPr>
            <w:tcW w:w="989" w:type="dxa"/>
            <w:tcBorders>
              <w:top w:val="single" w:sz="12" w:space="0" w:color="auto"/>
              <w:left w:val="nil"/>
              <w:bottom w:val="single" w:sz="12" w:space="0" w:color="auto"/>
              <w:right w:val="nil"/>
            </w:tcBorders>
            <w:shd w:val="clear" w:color="auto" w:fill="auto"/>
            <w:vAlign w:val="center"/>
            <w:hideMark/>
          </w:tcPr>
          <w:p w14:paraId="1828E5CA" w14:textId="77777777" w:rsidR="00CC4E50" w:rsidRPr="00A85AB0" w:rsidRDefault="00CC4E50" w:rsidP="00CC4E50">
            <w:pPr>
              <w:jc w:val="center"/>
              <w:rPr>
                <w:rFonts w:ascii="Times New Roman" w:eastAsia="Times New Roman" w:hAnsi="Times New Roman" w:cs="Times New Roman"/>
                <w:b/>
                <w:bCs/>
                <w:color w:val="000000"/>
                <w:sz w:val="16"/>
                <w:szCs w:val="16"/>
              </w:rPr>
            </w:pPr>
            <w:r w:rsidRPr="00A85AB0">
              <w:rPr>
                <w:rFonts w:ascii="Times New Roman" w:eastAsia="Times New Roman" w:hAnsi="Times New Roman" w:cs="Times New Roman"/>
                <w:b/>
                <w:bCs/>
                <w:color w:val="000000"/>
                <w:sz w:val="16"/>
                <w:szCs w:val="16"/>
              </w:rPr>
              <w:t>Cadmium</w:t>
            </w:r>
          </w:p>
        </w:tc>
        <w:tc>
          <w:tcPr>
            <w:tcW w:w="817" w:type="dxa"/>
            <w:tcBorders>
              <w:top w:val="single" w:sz="12" w:space="0" w:color="auto"/>
              <w:left w:val="nil"/>
              <w:bottom w:val="single" w:sz="12" w:space="0" w:color="auto"/>
              <w:right w:val="nil"/>
            </w:tcBorders>
            <w:shd w:val="clear" w:color="auto" w:fill="auto"/>
            <w:vAlign w:val="center"/>
            <w:hideMark/>
          </w:tcPr>
          <w:p w14:paraId="7404341F" w14:textId="77777777" w:rsidR="00CC4E50" w:rsidRPr="00A85AB0" w:rsidRDefault="00CC4E50" w:rsidP="00CC4E50">
            <w:pPr>
              <w:jc w:val="center"/>
              <w:rPr>
                <w:rFonts w:ascii="Times New Roman" w:eastAsia="Times New Roman" w:hAnsi="Times New Roman" w:cs="Times New Roman"/>
                <w:b/>
                <w:bCs/>
                <w:color w:val="000000"/>
                <w:sz w:val="16"/>
                <w:szCs w:val="16"/>
              </w:rPr>
            </w:pPr>
            <w:r w:rsidRPr="00A85AB0">
              <w:rPr>
                <w:rFonts w:ascii="Times New Roman" w:eastAsia="Times New Roman" w:hAnsi="Times New Roman" w:cs="Times New Roman"/>
                <w:b/>
                <w:bCs/>
                <w:color w:val="000000"/>
                <w:sz w:val="16"/>
                <w:szCs w:val="16"/>
              </w:rPr>
              <w:t>Diesel Exhaust</w:t>
            </w:r>
          </w:p>
        </w:tc>
        <w:tc>
          <w:tcPr>
            <w:tcW w:w="635" w:type="dxa"/>
            <w:tcBorders>
              <w:top w:val="single" w:sz="12" w:space="0" w:color="auto"/>
              <w:left w:val="nil"/>
              <w:bottom w:val="single" w:sz="12" w:space="0" w:color="auto"/>
              <w:right w:val="nil"/>
            </w:tcBorders>
            <w:shd w:val="clear" w:color="auto" w:fill="auto"/>
            <w:vAlign w:val="center"/>
            <w:hideMark/>
          </w:tcPr>
          <w:p w14:paraId="60507CE0" w14:textId="77777777" w:rsidR="00CC4E50" w:rsidRPr="00A85AB0" w:rsidRDefault="00CC4E50" w:rsidP="00CC4E50">
            <w:pPr>
              <w:jc w:val="center"/>
              <w:rPr>
                <w:rFonts w:ascii="Times New Roman" w:eastAsia="Times New Roman" w:hAnsi="Times New Roman" w:cs="Times New Roman"/>
                <w:b/>
                <w:bCs/>
                <w:color w:val="000000"/>
                <w:sz w:val="16"/>
                <w:szCs w:val="16"/>
              </w:rPr>
            </w:pPr>
            <w:r w:rsidRPr="00A85AB0">
              <w:rPr>
                <w:rFonts w:ascii="Times New Roman" w:eastAsia="Times New Roman" w:hAnsi="Times New Roman" w:cs="Times New Roman"/>
                <w:b/>
                <w:bCs/>
                <w:color w:val="000000"/>
                <w:sz w:val="16"/>
                <w:szCs w:val="16"/>
              </w:rPr>
              <w:t>Silica</w:t>
            </w:r>
          </w:p>
        </w:tc>
        <w:tc>
          <w:tcPr>
            <w:tcW w:w="908" w:type="dxa"/>
            <w:tcBorders>
              <w:top w:val="single" w:sz="12" w:space="0" w:color="auto"/>
              <w:left w:val="nil"/>
              <w:bottom w:val="single" w:sz="12" w:space="0" w:color="auto"/>
              <w:right w:val="nil"/>
            </w:tcBorders>
            <w:shd w:val="clear" w:color="auto" w:fill="auto"/>
            <w:vAlign w:val="center"/>
            <w:hideMark/>
          </w:tcPr>
          <w:p w14:paraId="0AD381B5" w14:textId="77777777" w:rsidR="00CC4E50" w:rsidRPr="00A85AB0" w:rsidRDefault="00CC4E50" w:rsidP="00CC4E50">
            <w:pPr>
              <w:jc w:val="center"/>
              <w:rPr>
                <w:rFonts w:ascii="Times New Roman" w:eastAsia="Times New Roman" w:hAnsi="Times New Roman" w:cs="Times New Roman"/>
                <w:b/>
                <w:bCs/>
                <w:color w:val="000000"/>
                <w:sz w:val="16"/>
                <w:szCs w:val="16"/>
              </w:rPr>
            </w:pPr>
            <w:r w:rsidRPr="00A85AB0">
              <w:rPr>
                <w:rFonts w:ascii="Times New Roman" w:eastAsia="Times New Roman" w:hAnsi="Times New Roman" w:cs="Times New Roman"/>
                <w:b/>
                <w:bCs/>
                <w:color w:val="000000"/>
                <w:sz w:val="16"/>
                <w:szCs w:val="16"/>
              </w:rPr>
              <w:t>Welding Fumes</w:t>
            </w:r>
          </w:p>
        </w:tc>
        <w:tc>
          <w:tcPr>
            <w:tcW w:w="999" w:type="dxa"/>
            <w:tcBorders>
              <w:top w:val="single" w:sz="12" w:space="0" w:color="auto"/>
              <w:left w:val="nil"/>
              <w:bottom w:val="single" w:sz="12" w:space="0" w:color="auto"/>
              <w:right w:val="nil"/>
            </w:tcBorders>
            <w:shd w:val="clear" w:color="auto" w:fill="auto"/>
            <w:vAlign w:val="center"/>
            <w:hideMark/>
          </w:tcPr>
          <w:p w14:paraId="6F23B88B" w14:textId="77777777" w:rsidR="00CC4E50" w:rsidRPr="00A85AB0" w:rsidRDefault="00CC4E50" w:rsidP="00CC4E50">
            <w:pPr>
              <w:jc w:val="center"/>
              <w:rPr>
                <w:rFonts w:ascii="Times New Roman" w:eastAsia="Times New Roman" w:hAnsi="Times New Roman" w:cs="Times New Roman"/>
                <w:b/>
                <w:bCs/>
                <w:color w:val="000000"/>
                <w:sz w:val="16"/>
                <w:szCs w:val="16"/>
              </w:rPr>
            </w:pPr>
            <w:r w:rsidRPr="00A85AB0">
              <w:rPr>
                <w:rFonts w:ascii="Times New Roman" w:eastAsia="Times New Roman" w:hAnsi="Times New Roman" w:cs="Times New Roman"/>
                <w:b/>
                <w:bCs/>
                <w:color w:val="000000"/>
                <w:sz w:val="16"/>
                <w:szCs w:val="16"/>
              </w:rPr>
              <w:t>Exposure Potential</w:t>
            </w:r>
          </w:p>
        </w:tc>
        <w:tc>
          <w:tcPr>
            <w:tcW w:w="908" w:type="dxa"/>
            <w:tcBorders>
              <w:top w:val="single" w:sz="12" w:space="0" w:color="auto"/>
              <w:left w:val="nil"/>
              <w:bottom w:val="single" w:sz="12" w:space="0" w:color="auto"/>
              <w:right w:val="nil"/>
            </w:tcBorders>
            <w:shd w:val="clear" w:color="auto" w:fill="auto"/>
            <w:vAlign w:val="center"/>
            <w:hideMark/>
          </w:tcPr>
          <w:p w14:paraId="486BAAC0" w14:textId="28EBCB46" w:rsidR="00CC4E50" w:rsidRPr="00A85AB0" w:rsidRDefault="00CC4E50" w:rsidP="00CC4E50">
            <w:pPr>
              <w:jc w:val="center"/>
              <w:rPr>
                <w:rFonts w:ascii="Times New Roman" w:eastAsia="Times New Roman" w:hAnsi="Times New Roman" w:cs="Times New Roman"/>
                <w:b/>
                <w:bCs/>
                <w:color w:val="000000"/>
                <w:sz w:val="16"/>
                <w:szCs w:val="16"/>
              </w:rPr>
            </w:pPr>
            <w:r w:rsidRPr="00A85AB0">
              <w:rPr>
                <w:rFonts w:ascii="Times New Roman" w:eastAsia="Times New Roman" w:hAnsi="Times New Roman" w:cs="Times New Roman"/>
                <w:b/>
                <w:bCs/>
                <w:color w:val="000000"/>
                <w:sz w:val="16"/>
                <w:szCs w:val="16"/>
              </w:rPr>
              <w:t>Work Duration</w:t>
            </w:r>
          </w:p>
        </w:tc>
        <w:tc>
          <w:tcPr>
            <w:tcW w:w="794" w:type="dxa"/>
            <w:tcBorders>
              <w:top w:val="single" w:sz="12" w:space="0" w:color="auto"/>
              <w:left w:val="nil"/>
              <w:bottom w:val="single" w:sz="12" w:space="0" w:color="auto"/>
              <w:right w:val="nil"/>
            </w:tcBorders>
            <w:shd w:val="clear" w:color="auto" w:fill="auto"/>
            <w:vAlign w:val="center"/>
            <w:hideMark/>
          </w:tcPr>
          <w:p w14:paraId="65826422" w14:textId="77777777" w:rsidR="00CC4E50" w:rsidRPr="00A85AB0" w:rsidRDefault="00CC4E50" w:rsidP="00CC4E50">
            <w:pPr>
              <w:jc w:val="center"/>
              <w:rPr>
                <w:rFonts w:ascii="Times New Roman" w:eastAsia="Times New Roman" w:hAnsi="Times New Roman" w:cs="Times New Roman"/>
                <w:b/>
                <w:bCs/>
                <w:color w:val="000000"/>
                <w:sz w:val="16"/>
                <w:szCs w:val="16"/>
              </w:rPr>
            </w:pPr>
            <w:r w:rsidRPr="00A85AB0">
              <w:rPr>
                <w:rFonts w:ascii="Times New Roman" w:eastAsia="Times New Roman" w:hAnsi="Times New Roman" w:cs="Times New Roman"/>
                <w:b/>
                <w:bCs/>
                <w:color w:val="000000"/>
                <w:sz w:val="16"/>
                <w:szCs w:val="16"/>
              </w:rPr>
              <w:t>Age</w:t>
            </w:r>
          </w:p>
        </w:tc>
      </w:tr>
      <w:tr w:rsidR="00CC4E50" w:rsidRPr="0099627D" w14:paraId="5B689124" w14:textId="77777777" w:rsidTr="00CC4E50">
        <w:trPr>
          <w:trHeight w:hRule="exact" w:val="167"/>
        </w:trPr>
        <w:tc>
          <w:tcPr>
            <w:tcW w:w="1264" w:type="dxa"/>
            <w:vMerge w:val="restart"/>
            <w:tcBorders>
              <w:top w:val="single" w:sz="12" w:space="0" w:color="auto"/>
              <w:bottom w:val="nil"/>
              <w:right w:val="nil"/>
            </w:tcBorders>
            <w:shd w:val="clear" w:color="auto" w:fill="auto"/>
            <w:vAlign w:val="center"/>
            <w:hideMark/>
          </w:tcPr>
          <w:p w14:paraId="3342B7B7"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Body Mass Index</w:t>
            </w:r>
          </w:p>
        </w:tc>
        <w:tc>
          <w:tcPr>
            <w:tcW w:w="851" w:type="dxa"/>
            <w:vMerge w:val="restart"/>
            <w:tcBorders>
              <w:top w:val="single" w:sz="12" w:space="0" w:color="auto"/>
              <w:left w:val="nil"/>
              <w:bottom w:val="nil"/>
              <w:right w:val="nil"/>
            </w:tcBorders>
            <w:shd w:val="clear" w:color="auto" w:fill="auto"/>
            <w:noWrap/>
            <w:vAlign w:val="center"/>
            <w:hideMark/>
          </w:tcPr>
          <w:p w14:paraId="218EC272"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1.000</w:t>
            </w:r>
          </w:p>
        </w:tc>
        <w:tc>
          <w:tcPr>
            <w:tcW w:w="803" w:type="dxa"/>
            <w:vMerge w:val="restart"/>
            <w:tcBorders>
              <w:top w:val="single" w:sz="12" w:space="0" w:color="auto"/>
              <w:left w:val="nil"/>
              <w:bottom w:val="nil"/>
              <w:right w:val="nil"/>
            </w:tcBorders>
            <w:shd w:val="clear" w:color="auto" w:fill="auto"/>
            <w:noWrap/>
            <w:vAlign w:val="center"/>
            <w:hideMark/>
          </w:tcPr>
          <w:p w14:paraId="7CC65685"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-0.016</w:t>
            </w:r>
          </w:p>
        </w:tc>
        <w:tc>
          <w:tcPr>
            <w:tcW w:w="777" w:type="dxa"/>
            <w:vMerge w:val="restart"/>
            <w:tcBorders>
              <w:top w:val="single" w:sz="12" w:space="0" w:color="auto"/>
              <w:left w:val="nil"/>
              <w:bottom w:val="nil"/>
              <w:right w:val="nil"/>
            </w:tcBorders>
            <w:shd w:val="clear" w:color="auto" w:fill="auto"/>
            <w:noWrap/>
            <w:vAlign w:val="center"/>
            <w:hideMark/>
          </w:tcPr>
          <w:p w14:paraId="5FF2149D"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0.007</w:t>
            </w:r>
          </w:p>
        </w:tc>
        <w:tc>
          <w:tcPr>
            <w:tcW w:w="794" w:type="dxa"/>
            <w:vMerge w:val="restart"/>
            <w:tcBorders>
              <w:top w:val="single" w:sz="12" w:space="0" w:color="auto"/>
              <w:left w:val="nil"/>
              <w:bottom w:val="nil"/>
              <w:right w:val="nil"/>
            </w:tcBorders>
            <w:shd w:val="clear" w:color="auto" w:fill="auto"/>
            <w:noWrap/>
            <w:vAlign w:val="center"/>
            <w:hideMark/>
          </w:tcPr>
          <w:p w14:paraId="650DC53E"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0.090</w:t>
            </w:r>
          </w:p>
        </w:tc>
        <w:tc>
          <w:tcPr>
            <w:tcW w:w="1059" w:type="dxa"/>
            <w:vMerge w:val="restart"/>
            <w:tcBorders>
              <w:top w:val="single" w:sz="12" w:space="0" w:color="auto"/>
              <w:left w:val="nil"/>
              <w:bottom w:val="nil"/>
              <w:right w:val="nil"/>
            </w:tcBorders>
            <w:shd w:val="clear" w:color="auto" w:fill="auto"/>
            <w:noWrap/>
            <w:vAlign w:val="center"/>
            <w:hideMark/>
          </w:tcPr>
          <w:p w14:paraId="5C54BF2D"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0.036</w:t>
            </w:r>
          </w:p>
        </w:tc>
        <w:tc>
          <w:tcPr>
            <w:tcW w:w="793" w:type="dxa"/>
            <w:vMerge w:val="restart"/>
            <w:tcBorders>
              <w:top w:val="single" w:sz="12" w:space="0" w:color="auto"/>
              <w:left w:val="nil"/>
              <w:bottom w:val="nil"/>
              <w:right w:val="nil"/>
            </w:tcBorders>
            <w:shd w:val="clear" w:color="auto" w:fill="auto"/>
            <w:noWrap/>
            <w:vAlign w:val="center"/>
            <w:hideMark/>
          </w:tcPr>
          <w:p w14:paraId="3A371184"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0.097</w:t>
            </w:r>
          </w:p>
        </w:tc>
        <w:tc>
          <w:tcPr>
            <w:tcW w:w="928" w:type="dxa"/>
            <w:vMerge w:val="restart"/>
            <w:tcBorders>
              <w:top w:val="single" w:sz="12" w:space="0" w:color="auto"/>
              <w:left w:val="nil"/>
              <w:bottom w:val="nil"/>
              <w:right w:val="nil"/>
            </w:tcBorders>
            <w:shd w:val="clear" w:color="auto" w:fill="auto"/>
            <w:noWrap/>
            <w:vAlign w:val="center"/>
            <w:hideMark/>
          </w:tcPr>
          <w:p w14:paraId="6DA7CB91"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0.062</w:t>
            </w:r>
          </w:p>
        </w:tc>
        <w:tc>
          <w:tcPr>
            <w:tcW w:w="989" w:type="dxa"/>
            <w:vMerge w:val="restart"/>
            <w:tcBorders>
              <w:top w:val="single" w:sz="12" w:space="0" w:color="auto"/>
              <w:left w:val="nil"/>
              <w:bottom w:val="nil"/>
              <w:right w:val="nil"/>
            </w:tcBorders>
            <w:shd w:val="clear" w:color="auto" w:fill="auto"/>
            <w:noWrap/>
            <w:vAlign w:val="center"/>
            <w:hideMark/>
          </w:tcPr>
          <w:p w14:paraId="593978FA"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0.047</w:t>
            </w:r>
          </w:p>
        </w:tc>
        <w:tc>
          <w:tcPr>
            <w:tcW w:w="817" w:type="dxa"/>
            <w:vMerge w:val="restart"/>
            <w:tcBorders>
              <w:top w:val="single" w:sz="12" w:space="0" w:color="auto"/>
              <w:left w:val="nil"/>
              <w:bottom w:val="nil"/>
              <w:right w:val="nil"/>
            </w:tcBorders>
            <w:shd w:val="clear" w:color="auto" w:fill="auto"/>
            <w:noWrap/>
            <w:vAlign w:val="center"/>
            <w:hideMark/>
          </w:tcPr>
          <w:p w14:paraId="0CE3000A"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0.082</w:t>
            </w:r>
          </w:p>
        </w:tc>
        <w:tc>
          <w:tcPr>
            <w:tcW w:w="635" w:type="dxa"/>
            <w:vMerge w:val="restart"/>
            <w:tcBorders>
              <w:top w:val="single" w:sz="12" w:space="0" w:color="auto"/>
              <w:left w:val="nil"/>
              <w:bottom w:val="nil"/>
              <w:right w:val="nil"/>
            </w:tcBorders>
            <w:shd w:val="clear" w:color="auto" w:fill="auto"/>
            <w:noWrap/>
            <w:vAlign w:val="center"/>
            <w:hideMark/>
          </w:tcPr>
          <w:p w14:paraId="7B8544B7"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0.056</w:t>
            </w:r>
          </w:p>
        </w:tc>
        <w:tc>
          <w:tcPr>
            <w:tcW w:w="908" w:type="dxa"/>
            <w:vMerge w:val="restart"/>
            <w:tcBorders>
              <w:top w:val="single" w:sz="12" w:space="0" w:color="auto"/>
              <w:left w:val="nil"/>
              <w:bottom w:val="nil"/>
              <w:right w:val="nil"/>
            </w:tcBorders>
            <w:shd w:val="clear" w:color="auto" w:fill="auto"/>
            <w:noWrap/>
            <w:vAlign w:val="center"/>
            <w:hideMark/>
          </w:tcPr>
          <w:p w14:paraId="42AA0C74"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0.083</w:t>
            </w:r>
          </w:p>
        </w:tc>
        <w:tc>
          <w:tcPr>
            <w:tcW w:w="999" w:type="dxa"/>
            <w:vMerge w:val="restart"/>
            <w:tcBorders>
              <w:top w:val="single" w:sz="12" w:space="0" w:color="auto"/>
              <w:left w:val="nil"/>
              <w:bottom w:val="nil"/>
              <w:right w:val="nil"/>
            </w:tcBorders>
            <w:shd w:val="clear" w:color="auto" w:fill="auto"/>
            <w:noWrap/>
            <w:vAlign w:val="center"/>
            <w:hideMark/>
          </w:tcPr>
          <w:p w14:paraId="10AC8E3E"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0.074</w:t>
            </w:r>
          </w:p>
        </w:tc>
        <w:tc>
          <w:tcPr>
            <w:tcW w:w="908" w:type="dxa"/>
            <w:vMerge w:val="restart"/>
            <w:tcBorders>
              <w:top w:val="single" w:sz="12" w:space="0" w:color="auto"/>
              <w:left w:val="nil"/>
              <w:bottom w:val="nil"/>
              <w:right w:val="nil"/>
            </w:tcBorders>
            <w:shd w:val="clear" w:color="auto" w:fill="auto"/>
            <w:noWrap/>
            <w:vAlign w:val="center"/>
            <w:hideMark/>
          </w:tcPr>
          <w:p w14:paraId="46D99AAB"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0.035</w:t>
            </w:r>
          </w:p>
        </w:tc>
        <w:tc>
          <w:tcPr>
            <w:tcW w:w="794" w:type="dxa"/>
            <w:vMerge w:val="restart"/>
            <w:tcBorders>
              <w:top w:val="single" w:sz="12" w:space="0" w:color="auto"/>
              <w:left w:val="nil"/>
              <w:bottom w:val="nil"/>
              <w:right w:val="nil"/>
            </w:tcBorders>
            <w:shd w:val="clear" w:color="auto" w:fill="auto"/>
            <w:noWrap/>
            <w:vAlign w:val="center"/>
            <w:hideMark/>
          </w:tcPr>
          <w:p w14:paraId="250F6A2A"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-0.073</w:t>
            </w:r>
          </w:p>
        </w:tc>
      </w:tr>
      <w:tr w:rsidR="00CC4E50" w:rsidRPr="0099627D" w14:paraId="2EEA4B79" w14:textId="77777777" w:rsidTr="00CC4E50">
        <w:trPr>
          <w:trHeight w:hRule="exact" w:val="167"/>
        </w:trPr>
        <w:tc>
          <w:tcPr>
            <w:tcW w:w="1264" w:type="dxa"/>
            <w:vMerge/>
            <w:tcBorders>
              <w:top w:val="nil"/>
              <w:bottom w:val="nil"/>
              <w:right w:val="nil"/>
            </w:tcBorders>
            <w:vAlign w:val="center"/>
            <w:hideMark/>
          </w:tcPr>
          <w:p w14:paraId="559501A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bottom w:val="nil"/>
              <w:right w:val="nil"/>
            </w:tcBorders>
            <w:vAlign w:val="center"/>
            <w:hideMark/>
          </w:tcPr>
          <w:p w14:paraId="506D028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bottom w:val="nil"/>
              <w:right w:val="nil"/>
            </w:tcBorders>
            <w:vAlign w:val="center"/>
            <w:hideMark/>
          </w:tcPr>
          <w:p w14:paraId="01073BAF"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bottom w:val="nil"/>
              <w:right w:val="nil"/>
            </w:tcBorders>
            <w:vAlign w:val="center"/>
            <w:hideMark/>
          </w:tcPr>
          <w:p w14:paraId="0D8949FF"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66E86F90"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bottom w:val="nil"/>
              <w:right w:val="nil"/>
            </w:tcBorders>
            <w:vAlign w:val="center"/>
            <w:hideMark/>
          </w:tcPr>
          <w:p w14:paraId="7E0CC7EE"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bottom w:val="nil"/>
              <w:right w:val="nil"/>
            </w:tcBorders>
            <w:vAlign w:val="center"/>
            <w:hideMark/>
          </w:tcPr>
          <w:p w14:paraId="4B5EEB19"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bottom w:val="nil"/>
              <w:right w:val="nil"/>
            </w:tcBorders>
            <w:vAlign w:val="center"/>
            <w:hideMark/>
          </w:tcPr>
          <w:p w14:paraId="136DFED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bottom w:val="nil"/>
              <w:right w:val="nil"/>
            </w:tcBorders>
            <w:vAlign w:val="center"/>
            <w:hideMark/>
          </w:tcPr>
          <w:p w14:paraId="7DD55E8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bottom w:val="nil"/>
              <w:right w:val="nil"/>
            </w:tcBorders>
            <w:vAlign w:val="center"/>
            <w:hideMark/>
          </w:tcPr>
          <w:p w14:paraId="7D977F1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bottom w:val="nil"/>
              <w:right w:val="nil"/>
            </w:tcBorders>
            <w:vAlign w:val="center"/>
            <w:hideMark/>
          </w:tcPr>
          <w:p w14:paraId="37F445F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312BF04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bottom w:val="nil"/>
              <w:right w:val="nil"/>
            </w:tcBorders>
            <w:vAlign w:val="center"/>
            <w:hideMark/>
          </w:tcPr>
          <w:p w14:paraId="7DAD1FA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75A3C698"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2706A457"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0B34EC0B" w14:textId="77777777" w:rsidTr="00CC4E50">
        <w:trPr>
          <w:trHeight w:hRule="exact" w:val="167"/>
        </w:trPr>
        <w:tc>
          <w:tcPr>
            <w:tcW w:w="1264" w:type="dxa"/>
            <w:vMerge/>
            <w:tcBorders>
              <w:top w:val="nil"/>
              <w:right w:val="nil"/>
            </w:tcBorders>
            <w:vAlign w:val="center"/>
            <w:hideMark/>
          </w:tcPr>
          <w:p w14:paraId="6D5E225E"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right w:val="nil"/>
            </w:tcBorders>
            <w:vAlign w:val="center"/>
            <w:hideMark/>
          </w:tcPr>
          <w:p w14:paraId="4F595FF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right w:val="nil"/>
            </w:tcBorders>
            <w:vAlign w:val="center"/>
            <w:hideMark/>
          </w:tcPr>
          <w:p w14:paraId="32C27AB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right w:val="nil"/>
            </w:tcBorders>
            <w:vAlign w:val="center"/>
            <w:hideMark/>
          </w:tcPr>
          <w:p w14:paraId="69E99F7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right w:val="nil"/>
            </w:tcBorders>
            <w:vAlign w:val="center"/>
            <w:hideMark/>
          </w:tcPr>
          <w:p w14:paraId="429820F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right w:val="nil"/>
            </w:tcBorders>
            <w:vAlign w:val="center"/>
            <w:hideMark/>
          </w:tcPr>
          <w:p w14:paraId="6135005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right w:val="nil"/>
            </w:tcBorders>
            <w:vAlign w:val="center"/>
            <w:hideMark/>
          </w:tcPr>
          <w:p w14:paraId="495BD3D0"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right w:val="nil"/>
            </w:tcBorders>
            <w:vAlign w:val="center"/>
            <w:hideMark/>
          </w:tcPr>
          <w:p w14:paraId="62D9BF3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right w:val="nil"/>
            </w:tcBorders>
            <w:vAlign w:val="center"/>
            <w:hideMark/>
          </w:tcPr>
          <w:p w14:paraId="56893CA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right w:val="nil"/>
            </w:tcBorders>
            <w:vAlign w:val="center"/>
            <w:hideMark/>
          </w:tcPr>
          <w:p w14:paraId="69E7C74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right w:val="nil"/>
            </w:tcBorders>
            <w:vAlign w:val="center"/>
            <w:hideMark/>
          </w:tcPr>
          <w:p w14:paraId="7BD5B48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right w:val="nil"/>
            </w:tcBorders>
            <w:vAlign w:val="center"/>
            <w:hideMark/>
          </w:tcPr>
          <w:p w14:paraId="507AA968"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right w:val="nil"/>
            </w:tcBorders>
            <w:vAlign w:val="center"/>
            <w:hideMark/>
          </w:tcPr>
          <w:p w14:paraId="0CC1CE08"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right w:val="nil"/>
            </w:tcBorders>
            <w:vAlign w:val="center"/>
            <w:hideMark/>
          </w:tcPr>
          <w:p w14:paraId="0209B4D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right w:val="nil"/>
            </w:tcBorders>
            <w:vAlign w:val="center"/>
            <w:hideMark/>
          </w:tcPr>
          <w:p w14:paraId="496A7A56"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570F25CF" w14:textId="77777777" w:rsidTr="00CC4E50">
        <w:trPr>
          <w:trHeight w:hRule="exact" w:val="167"/>
        </w:trPr>
        <w:tc>
          <w:tcPr>
            <w:tcW w:w="1264" w:type="dxa"/>
            <w:vMerge w:val="restart"/>
            <w:tcBorders>
              <w:bottom w:val="nil"/>
              <w:right w:val="nil"/>
            </w:tcBorders>
            <w:shd w:val="clear" w:color="auto" w:fill="auto"/>
            <w:vAlign w:val="center"/>
            <w:hideMark/>
          </w:tcPr>
          <w:p w14:paraId="085008BD"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Air Quality Index</w:t>
            </w:r>
          </w:p>
        </w:tc>
        <w:tc>
          <w:tcPr>
            <w:tcW w:w="851" w:type="dxa"/>
            <w:vMerge w:val="restart"/>
            <w:tcBorders>
              <w:left w:val="nil"/>
              <w:bottom w:val="nil"/>
              <w:right w:val="nil"/>
            </w:tcBorders>
            <w:shd w:val="clear" w:color="auto" w:fill="auto"/>
            <w:noWrap/>
            <w:vAlign w:val="center"/>
            <w:hideMark/>
          </w:tcPr>
          <w:p w14:paraId="016BEA9E"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-0.016</w:t>
            </w:r>
          </w:p>
        </w:tc>
        <w:tc>
          <w:tcPr>
            <w:tcW w:w="803" w:type="dxa"/>
            <w:vMerge w:val="restart"/>
            <w:tcBorders>
              <w:left w:val="nil"/>
              <w:bottom w:val="nil"/>
              <w:right w:val="nil"/>
            </w:tcBorders>
            <w:shd w:val="clear" w:color="auto" w:fill="auto"/>
            <w:noWrap/>
            <w:vAlign w:val="center"/>
            <w:hideMark/>
          </w:tcPr>
          <w:p w14:paraId="24146C78"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1.000</w:t>
            </w:r>
          </w:p>
        </w:tc>
        <w:tc>
          <w:tcPr>
            <w:tcW w:w="777" w:type="dxa"/>
            <w:vMerge w:val="restart"/>
            <w:tcBorders>
              <w:left w:val="nil"/>
              <w:bottom w:val="nil"/>
              <w:right w:val="nil"/>
            </w:tcBorders>
            <w:shd w:val="clear" w:color="auto" w:fill="auto"/>
            <w:noWrap/>
            <w:vAlign w:val="center"/>
            <w:hideMark/>
          </w:tcPr>
          <w:p w14:paraId="3E91EC7F"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-0.011</w:t>
            </w:r>
          </w:p>
        </w:tc>
        <w:tc>
          <w:tcPr>
            <w:tcW w:w="794" w:type="dxa"/>
            <w:vMerge w:val="restart"/>
            <w:tcBorders>
              <w:left w:val="nil"/>
              <w:bottom w:val="nil"/>
              <w:right w:val="nil"/>
            </w:tcBorders>
            <w:shd w:val="clear" w:color="auto" w:fill="auto"/>
            <w:noWrap/>
            <w:vAlign w:val="center"/>
            <w:hideMark/>
          </w:tcPr>
          <w:p w14:paraId="7F2A8C40"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-0.049</w:t>
            </w:r>
          </w:p>
        </w:tc>
        <w:tc>
          <w:tcPr>
            <w:tcW w:w="1059" w:type="dxa"/>
            <w:vMerge w:val="restart"/>
            <w:tcBorders>
              <w:left w:val="nil"/>
              <w:bottom w:val="nil"/>
              <w:right w:val="nil"/>
            </w:tcBorders>
            <w:shd w:val="clear" w:color="auto" w:fill="auto"/>
            <w:noWrap/>
            <w:vAlign w:val="center"/>
            <w:hideMark/>
          </w:tcPr>
          <w:p w14:paraId="1E53801E"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0.066</w:t>
            </w:r>
          </w:p>
        </w:tc>
        <w:tc>
          <w:tcPr>
            <w:tcW w:w="793" w:type="dxa"/>
            <w:vMerge w:val="restart"/>
            <w:tcBorders>
              <w:left w:val="nil"/>
              <w:bottom w:val="nil"/>
              <w:right w:val="nil"/>
            </w:tcBorders>
            <w:shd w:val="clear" w:color="auto" w:fill="auto"/>
            <w:noWrap/>
            <w:vAlign w:val="center"/>
            <w:hideMark/>
          </w:tcPr>
          <w:p w14:paraId="0466C4F6"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0.036</w:t>
            </w:r>
          </w:p>
        </w:tc>
        <w:tc>
          <w:tcPr>
            <w:tcW w:w="928" w:type="dxa"/>
            <w:vMerge w:val="restart"/>
            <w:tcBorders>
              <w:left w:val="nil"/>
              <w:bottom w:val="nil"/>
              <w:right w:val="nil"/>
            </w:tcBorders>
            <w:shd w:val="clear" w:color="auto" w:fill="auto"/>
            <w:noWrap/>
            <w:vAlign w:val="center"/>
            <w:hideMark/>
          </w:tcPr>
          <w:p w14:paraId="759EBE79"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0.009</w:t>
            </w:r>
          </w:p>
        </w:tc>
        <w:tc>
          <w:tcPr>
            <w:tcW w:w="989" w:type="dxa"/>
            <w:vMerge w:val="restart"/>
            <w:tcBorders>
              <w:left w:val="nil"/>
              <w:bottom w:val="nil"/>
              <w:right w:val="nil"/>
            </w:tcBorders>
            <w:shd w:val="clear" w:color="auto" w:fill="auto"/>
            <w:noWrap/>
            <w:vAlign w:val="center"/>
            <w:hideMark/>
          </w:tcPr>
          <w:p w14:paraId="65FE0F22"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0.084</w:t>
            </w:r>
          </w:p>
        </w:tc>
        <w:tc>
          <w:tcPr>
            <w:tcW w:w="817" w:type="dxa"/>
            <w:vMerge w:val="restart"/>
            <w:tcBorders>
              <w:left w:val="nil"/>
              <w:bottom w:val="nil"/>
              <w:right w:val="nil"/>
            </w:tcBorders>
            <w:shd w:val="clear" w:color="auto" w:fill="auto"/>
            <w:noWrap/>
            <w:vAlign w:val="center"/>
            <w:hideMark/>
          </w:tcPr>
          <w:p w14:paraId="5E9769D6"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-0.011</w:t>
            </w:r>
          </w:p>
        </w:tc>
        <w:tc>
          <w:tcPr>
            <w:tcW w:w="635" w:type="dxa"/>
            <w:vMerge w:val="restart"/>
            <w:tcBorders>
              <w:left w:val="nil"/>
              <w:bottom w:val="nil"/>
              <w:right w:val="nil"/>
            </w:tcBorders>
            <w:shd w:val="clear" w:color="auto" w:fill="auto"/>
            <w:noWrap/>
            <w:vAlign w:val="center"/>
            <w:hideMark/>
          </w:tcPr>
          <w:p w14:paraId="71C41274"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0.046</w:t>
            </w:r>
          </w:p>
        </w:tc>
        <w:tc>
          <w:tcPr>
            <w:tcW w:w="908" w:type="dxa"/>
            <w:vMerge w:val="restart"/>
            <w:tcBorders>
              <w:left w:val="nil"/>
              <w:bottom w:val="nil"/>
              <w:right w:val="nil"/>
            </w:tcBorders>
            <w:shd w:val="clear" w:color="auto" w:fill="auto"/>
            <w:noWrap/>
            <w:vAlign w:val="center"/>
            <w:hideMark/>
          </w:tcPr>
          <w:p w14:paraId="0A04D292"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0.050</w:t>
            </w:r>
          </w:p>
        </w:tc>
        <w:tc>
          <w:tcPr>
            <w:tcW w:w="999" w:type="dxa"/>
            <w:vMerge w:val="restart"/>
            <w:tcBorders>
              <w:left w:val="nil"/>
              <w:bottom w:val="nil"/>
              <w:right w:val="nil"/>
            </w:tcBorders>
            <w:shd w:val="clear" w:color="auto" w:fill="auto"/>
            <w:noWrap/>
            <w:vAlign w:val="center"/>
            <w:hideMark/>
          </w:tcPr>
          <w:p w14:paraId="760EEA33"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0.103</w:t>
            </w:r>
          </w:p>
        </w:tc>
        <w:tc>
          <w:tcPr>
            <w:tcW w:w="908" w:type="dxa"/>
            <w:vMerge w:val="restart"/>
            <w:tcBorders>
              <w:left w:val="nil"/>
              <w:bottom w:val="nil"/>
              <w:right w:val="nil"/>
            </w:tcBorders>
            <w:shd w:val="clear" w:color="auto" w:fill="auto"/>
            <w:noWrap/>
            <w:vAlign w:val="center"/>
            <w:hideMark/>
          </w:tcPr>
          <w:p w14:paraId="353BAB73"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0.005</w:t>
            </w:r>
          </w:p>
        </w:tc>
        <w:tc>
          <w:tcPr>
            <w:tcW w:w="794" w:type="dxa"/>
            <w:vMerge w:val="restart"/>
            <w:tcBorders>
              <w:left w:val="nil"/>
              <w:bottom w:val="nil"/>
              <w:right w:val="nil"/>
            </w:tcBorders>
            <w:shd w:val="clear" w:color="auto" w:fill="auto"/>
            <w:noWrap/>
            <w:vAlign w:val="center"/>
            <w:hideMark/>
          </w:tcPr>
          <w:p w14:paraId="4D2D3D9B"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-0.034</w:t>
            </w:r>
          </w:p>
        </w:tc>
      </w:tr>
      <w:tr w:rsidR="00CC4E50" w:rsidRPr="0099627D" w14:paraId="3D32372D" w14:textId="77777777" w:rsidTr="00CC4E50">
        <w:trPr>
          <w:trHeight w:hRule="exact" w:val="167"/>
        </w:trPr>
        <w:tc>
          <w:tcPr>
            <w:tcW w:w="1264" w:type="dxa"/>
            <w:vMerge/>
            <w:tcBorders>
              <w:top w:val="nil"/>
              <w:bottom w:val="nil"/>
              <w:right w:val="nil"/>
            </w:tcBorders>
            <w:vAlign w:val="center"/>
            <w:hideMark/>
          </w:tcPr>
          <w:p w14:paraId="7B2A4B0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bottom w:val="nil"/>
              <w:right w:val="nil"/>
            </w:tcBorders>
            <w:vAlign w:val="center"/>
            <w:hideMark/>
          </w:tcPr>
          <w:p w14:paraId="208CC9F9"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bottom w:val="nil"/>
              <w:right w:val="nil"/>
            </w:tcBorders>
            <w:vAlign w:val="center"/>
            <w:hideMark/>
          </w:tcPr>
          <w:p w14:paraId="542D1020"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bottom w:val="nil"/>
              <w:right w:val="nil"/>
            </w:tcBorders>
            <w:vAlign w:val="center"/>
            <w:hideMark/>
          </w:tcPr>
          <w:p w14:paraId="5FD07E1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5C81B90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bottom w:val="nil"/>
              <w:right w:val="nil"/>
            </w:tcBorders>
            <w:vAlign w:val="center"/>
            <w:hideMark/>
          </w:tcPr>
          <w:p w14:paraId="77A433B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bottom w:val="nil"/>
              <w:right w:val="nil"/>
            </w:tcBorders>
            <w:vAlign w:val="center"/>
            <w:hideMark/>
          </w:tcPr>
          <w:p w14:paraId="7161863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bottom w:val="nil"/>
              <w:right w:val="nil"/>
            </w:tcBorders>
            <w:vAlign w:val="center"/>
            <w:hideMark/>
          </w:tcPr>
          <w:p w14:paraId="4567D55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bottom w:val="nil"/>
              <w:right w:val="nil"/>
            </w:tcBorders>
            <w:vAlign w:val="center"/>
            <w:hideMark/>
          </w:tcPr>
          <w:p w14:paraId="3B71065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bottom w:val="nil"/>
              <w:right w:val="nil"/>
            </w:tcBorders>
            <w:vAlign w:val="center"/>
            <w:hideMark/>
          </w:tcPr>
          <w:p w14:paraId="7A0DCC63"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bottom w:val="nil"/>
              <w:right w:val="nil"/>
            </w:tcBorders>
            <w:vAlign w:val="center"/>
            <w:hideMark/>
          </w:tcPr>
          <w:p w14:paraId="7E66F16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4E486EA9"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bottom w:val="nil"/>
              <w:right w:val="nil"/>
            </w:tcBorders>
            <w:vAlign w:val="center"/>
            <w:hideMark/>
          </w:tcPr>
          <w:p w14:paraId="4BCA2CA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2620B62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4FF9A135"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5B67CCEC" w14:textId="77777777" w:rsidTr="00CC4E50">
        <w:trPr>
          <w:trHeight w:hRule="exact" w:val="167"/>
        </w:trPr>
        <w:tc>
          <w:tcPr>
            <w:tcW w:w="1264" w:type="dxa"/>
            <w:vMerge/>
            <w:tcBorders>
              <w:top w:val="nil"/>
              <w:bottom w:val="nil"/>
              <w:right w:val="nil"/>
            </w:tcBorders>
            <w:vAlign w:val="center"/>
            <w:hideMark/>
          </w:tcPr>
          <w:p w14:paraId="4A7B91C3"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bottom w:val="nil"/>
              <w:right w:val="nil"/>
            </w:tcBorders>
            <w:vAlign w:val="center"/>
            <w:hideMark/>
          </w:tcPr>
          <w:p w14:paraId="0193CC92"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bottom w:val="nil"/>
              <w:right w:val="nil"/>
            </w:tcBorders>
            <w:vAlign w:val="center"/>
            <w:hideMark/>
          </w:tcPr>
          <w:p w14:paraId="1E1BB1A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bottom w:val="nil"/>
              <w:right w:val="nil"/>
            </w:tcBorders>
            <w:vAlign w:val="center"/>
            <w:hideMark/>
          </w:tcPr>
          <w:p w14:paraId="277AA7B0"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277FD86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bottom w:val="nil"/>
              <w:right w:val="nil"/>
            </w:tcBorders>
            <w:vAlign w:val="center"/>
            <w:hideMark/>
          </w:tcPr>
          <w:p w14:paraId="6E9CBD5E"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bottom w:val="nil"/>
              <w:right w:val="nil"/>
            </w:tcBorders>
            <w:vAlign w:val="center"/>
            <w:hideMark/>
          </w:tcPr>
          <w:p w14:paraId="0E19A338"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bottom w:val="nil"/>
              <w:right w:val="nil"/>
            </w:tcBorders>
            <w:vAlign w:val="center"/>
            <w:hideMark/>
          </w:tcPr>
          <w:p w14:paraId="089751F8"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bottom w:val="nil"/>
              <w:right w:val="nil"/>
            </w:tcBorders>
            <w:vAlign w:val="center"/>
            <w:hideMark/>
          </w:tcPr>
          <w:p w14:paraId="30305A88"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bottom w:val="nil"/>
              <w:right w:val="nil"/>
            </w:tcBorders>
            <w:vAlign w:val="center"/>
            <w:hideMark/>
          </w:tcPr>
          <w:p w14:paraId="4A0DD92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bottom w:val="nil"/>
              <w:right w:val="nil"/>
            </w:tcBorders>
            <w:vAlign w:val="center"/>
            <w:hideMark/>
          </w:tcPr>
          <w:p w14:paraId="1050FE39"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0E357BA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bottom w:val="nil"/>
              <w:right w:val="nil"/>
            </w:tcBorders>
            <w:vAlign w:val="center"/>
            <w:hideMark/>
          </w:tcPr>
          <w:p w14:paraId="34D51F7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6F25E13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1B3ED168"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31D9C049" w14:textId="77777777" w:rsidTr="00CC4E50">
        <w:trPr>
          <w:trHeight w:hRule="exact" w:val="167"/>
        </w:trPr>
        <w:tc>
          <w:tcPr>
            <w:tcW w:w="1264" w:type="dxa"/>
            <w:vMerge w:val="restart"/>
            <w:tcBorders>
              <w:top w:val="nil"/>
              <w:bottom w:val="nil"/>
              <w:right w:val="nil"/>
            </w:tcBorders>
            <w:shd w:val="clear" w:color="auto" w:fill="auto"/>
            <w:vAlign w:val="center"/>
            <w:hideMark/>
          </w:tcPr>
          <w:p w14:paraId="382D6302"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Sex</w:t>
            </w:r>
          </w:p>
        </w:tc>
        <w:tc>
          <w:tcPr>
            <w:tcW w:w="851" w:type="dxa"/>
            <w:vMerge w:val="restart"/>
            <w:tcBorders>
              <w:top w:val="nil"/>
              <w:left w:val="nil"/>
              <w:bottom w:val="nil"/>
              <w:right w:val="nil"/>
            </w:tcBorders>
            <w:shd w:val="clear" w:color="auto" w:fill="auto"/>
            <w:noWrap/>
            <w:vAlign w:val="center"/>
            <w:hideMark/>
          </w:tcPr>
          <w:p w14:paraId="403C256F"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0.007</w:t>
            </w:r>
          </w:p>
        </w:tc>
        <w:tc>
          <w:tcPr>
            <w:tcW w:w="803" w:type="dxa"/>
            <w:vMerge w:val="restart"/>
            <w:tcBorders>
              <w:top w:val="nil"/>
              <w:left w:val="nil"/>
              <w:bottom w:val="nil"/>
              <w:right w:val="nil"/>
            </w:tcBorders>
            <w:shd w:val="clear" w:color="auto" w:fill="auto"/>
            <w:noWrap/>
            <w:vAlign w:val="center"/>
            <w:hideMark/>
          </w:tcPr>
          <w:p w14:paraId="5E74E7C4"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-0.011</w:t>
            </w:r>
          </w:p>
        </w:tc>
        <w:tc>
          <w:tcPr>
            <w:tcW w:w="777" w:type="dxa"/>
            <w:vMerge w:val="restart"/>
            <w:tcBorders>
              <w:top w:val="nil"/>
              <w:left w:val="nil"/>
              <w:bottom w:val="nil"/>
              <w:right w:val="nil"/>
            </w:tcBorders>
            <w:shd w:val="clear" w:color="auto" w:fill="auto"/>
            <w:noWrap/>
            <w:vAlign w:val="center"/>
            <w:hideMark/>
          </w:tcPr>
          <w:p w14:paraId="45EC3F3E"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1.000</w:t>
            </w:r>
          </w:p>
        </w:tc>
        <w:tc>
          <w:tcPr>
            <w:tcW w:w="794" w:type="dxa"/>
            <w:vMerge w:val="restart"/>
            <w:tcBorders>
              <w:top w:val="nil"/>
              <w:left w:val="nil"/>
              <w:bottom w:val="nil"/>
              <w:right w:val="nil"/>
            </w:tcBorders>
            <w:shd w:val="clear" w:color="auto" w:fill="auto"/>
            <w:noWrap/>
            <w:vAlign w:val="center"/>
            <w:hideMark/>
          </w:tcPr>
          <w:p w14:paraId="1342FCBA"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0.014</w:t>
            </w:r>
          </w:p>
        </w:tc>
        <w:tc>
          <w:tcPr>
            <w:tcW w:w="1059" w:type="dxa"/>
            <w:vMerge w:val="restart"/>
            <w:tcBorders>
              <w:top w:val="nil"/>
              <w:left w:val="nil"/>
              <w:bottom w:val="nil"/>
              <w:right w:val="nil"/>
            </w:tcBorders>
            <w:shd w:val="clear" w:color="auto" w:fill="auto"/>
            <w:noWrap/>
            <w:vAlign w:val="center"/>
            <w:hideMark/>
          </w:tcPr>
          <w:p w14:paraId="0BE61ED3"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0.000</w:t>
            </w:r>
          </w:p>
        </w:tc>
        <w:tc>
          <w:tcPr>
            <w:tcW w:w="793" w:type="dxa"/>
            <w:vMerge w:val="restart"/>
            <w:tcBorders>
              <w:top w:val="nil"/>
              <w:left w:val="nil"/>
              <w:bottom w:val="nil"/>
              <w:right w:val="nil"/>
            </w:tcBorders>
            <w:shd w:val="clear" w:color="auto" w:fill="auto"/>
            <w:noWrap/>
            <w:vAlign w:val="center"/>
            <w:hideMark/>
          </w:tcPr>
          <w:p w14:paraId="1639416C"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0.013</w:t>
            </w:r>
          </w:p>
        </w:tc>
        <w:tc>
          <w:tcPr>
            <w:tcW w:w="928" w:type="dxa"/>
            <w:vMerge w:val="restart"/>
            <w:tcBorders>
              <w:top w:val="nil"/>
              <w:left w:val="nil"/>
              <w:bottom w:val="nil"/>
              <w:right w:val="nil"/>
            </w:tcBorders>
            <w:shd w:val="clear" w:color="auto" w:fill="auto"/>
            <w:noWrap/>
            <w:vAlign w:val="center"/>
            <w:hideMark/>
          </w:tcPr>
          <w:p w14:paraId="2D8F8BA0"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0.000</w:t>
            </w:r>
          </w:p>
        </w:tc>
        <w:tc>
          <w:tcPr>
            <w:tcW w:w="989" w:type="dxa"/>
            <w:vMerge w:val="restart"/>
            <w:tcBorders>
              <w:top w:val="nil"/>
              <w:left w:val="nil"/>
              <w:bottom w:val="nil"/>
              <w:right w:val="nil"/>
            </w:tcBorders>
            <w:shd w:val="clear" w:color="auto" w:fill="auto"/>
            <w:noWrap/>
            <w:vAlign w:val="center"/>
            <w:hideMark/>
          </w:tcPr>
          <w:p w14:paraId="76EC4639"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0.006</w:t>
            </w:r>
          </w:p>
        </w:tc>
        <w:tc>
          <w:tcPr>
            <w:tcW w:w="817" w:type="dxa"/>
            <w:vMerge w:val="restart"/>
            <w:tcBorders>
              <w:top w:val="nil"/>
              <w:left w:val="nil"/>
              <w:bottom w:val="nil"/>
              <w:right w:val="nil"/>
            </w:tcBorders>
            <w:shd w:val="clear" w:color="auto" w:fill="auto"/>
            <w:noWrap/>
            <w:vAlign w:val="center"/>
            <w:hideMark/>
          </w:tcPr>
          <w:p w14:paraId="614EF563"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0.006</w:t>
            </w:r>
          </w:p>
        </w:tc>
        <w:tc>
          <w:tcPr>
            <w:tcW w:w="635" w:type="dxa"/>
            <w:vMerge w:val="restart"/>
            <w:tcBorders>
              <w:top w:val="nil"/>
              <w:left w:val="nil"/>
              <w:bottom w:val="nil"/>
              <w:right w:val="nil"/>
            </w:tcBorders>
            <w:shd w:val="clear" w:color="auto" w:fill="auto"/>
            <w:noWrap/>
            <w:vAlign w:val="center"/>
            <w:hideMark/>
          </w:tcPr>
          <w:p w14:paraId="2D28BA65"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0.002</w:t>
            </w:r>
          </w:p>
        </w:tc>
        <w:tc>
          <w:tcPr>
            <w:tcW w:w="908" w:type="dxa"/>
            <w:vMerge w:val="restart"/>
            <w:tcBorders>
              <w:top w:val="nil"/>
              <w:left w:val="nil"/>
              <w:bottom w:val="nil"/>
              <w:right w:val="nil"/>
            </w:tcBorders>
            <w:shd w:val="clear" w:color="auto" w:fill="auto"/>
            <w:noWrap/>
            <w:vAlign w:val="center"/>
            <w:hideMark/>
          </w:tcPr>
          <w:p w14:paraId="0E838FF5"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0.002</w:t>
            </w:r>
          </w:p>
        </w:tc>
        <w:tc>
          <w:tcPr>
            <w:tcW w:w="999" w:type="dxa"/>
            <w:vMerge w:val="restart"/>
            <w:tcBorders>
              <w:top w:val="nil"/>
              <w:left w:val="nil"/>
              <w:bottom w:val="nil"/>
              <w:right w:val="nil"/>
            </w:tcBorders>
            <w:shd w:val="clear" w:color="auto" w:fill="auto"/>
            <w:noWrap/>
            <w:vAlign w:val="center"/>
            <w:hideMark/>
          </w:tcPr>
          <w:p w14:paraId="6836669E"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0.004</w:t>
            </w:r>
          </w:p>
        </w:tc>
        <w:tc>
          <w:tcPr>
            <w:tcW w:w="908" w:type="dxa"/>
            <w:vMerge w:val="restart"/>
            <w:tcBorders>
              <w:top w:val="nil"/>
              <w:left w:val="nil"/>
              <w:bottom w:val="nil"/>
              <w:right w:val="nil"/>
            </w:tcBorders>
            <w:shd w:val="clear" w:color="auto" w:fill="auto"/>
            <w:noWrap/>
            <w:vAlign w:val="center"/>
            <w:hideMark/>
          </w:tcPr>
          <w:p w14:paraId="0A0BB995"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0.002</w:t>
            </w:r>
          </w:p>
        </w:tc>
        <w:tc>
          <w:tcPr>
            <w:tcW w:w="794" w:type="dxa"/>
            <w:vMerge w:val="restart"/>
            <w:tcBorders>
              <w:top w:val="nil"/>
              <w:left w:val="nil"/>
              <w:bottom w:val="nil"/>
              <w:right w:val="nil"/>
            </w:tcBorders>
            <w:shd w:val="clear" w:color="auto" w:fill="auto"/>
            <w:noWrap/>
            <w:vAlign w:val="center"/>
            <w:hideMark/>
          </w:tcPr>
          <w:p w14:paraId="7EDB381B"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-0.011</w:t>
            </w:r>
          </w:p>
        </w:tc>
      </w:tr>
      <w:tr w:rsidR="00CC4E50" w:rsidRPr="0099627D" w14:paraId="0FA2A996" w14:textId="77777777" w:rsidTr="00CC4E50">
        <w:trPr>
          <w:trHeight w:hRule="exact" w:val="167"/>
        </w:trPr>
        <w:tc>
          <w:tcPr>
            <w:tcW w:w="1264" w:type="dxa"/>
            <w:vMerge/>
            <w:tcBorders>
              <w:top w:val="nil"/>
              <w:bottom w:val="nil"/>
              <w:right w:val="nil"/>
            </w:tcBorders>
            <w:vAlign w:val="center"/>
            <w:hideMark/>
          </w:tcPr>
          <w:p w14:paraId="09B2763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bottom w:val="nil"/>
              <w:right w:val="nil"/>
            </w:tcBorders>
            <w:vAlign w:val="center"/>
            <w:hideMark/>
          </w:tcPr>
          <w:p w14:paraId="1E6D7FE2"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bottom w:val="nil"/>
              <w:right w:val="nil"/>
            </w:tcBorders>
            <w:vAlign w:val="center"/>
            <w:hideMark/>
          </w:tcPr>
          <w:p w14:paraId="69CFD68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bottom w:val="nil"/>
              <w:right w:val="nil"/>
            </w:tcBorders>
            <w:vAlign w:val="center"/>
            <w:hideMark/>
          </w:tcPr>
          <w:p w14:paraId="656588D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033FF98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bottom w:val="nil"/>
              <w:right w:val="nil"/>
            </w:tcBorders>
            <w:vAlign w:val="center"/>
            <w:hideMark/>
          </w:tcPr>
          <w:p w14:paraId="48554E58"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bottom w:val="nil"/>
              <w:right w:val="nil"/>
            </w:tcBorders>
            <w:vAlign w:val="center"/>
            <w:hideMark/>
          </w:tcPr>
          <w:p w14:paraId="0BAB61B0"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bottom w:val="nil"/>
              <w:right w:val="nil"/>
            </w:tcBorders>
            <w:vAlign w:val="center"/>
            <w:hideMark/>
          </w:tcPr>
          <w:p w14:paraId="48CF4DA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bottom w:val="nil"/>
              <w:right w:val="nil"/>
            </w:tcBorders>
            <w:vAlign w:val="center"/>
            <w:hideMark/>
          </w:tcPr>
          <w:p w14:paraId="53E268F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bottom w:val="nil"/>
              <w:right w:val="nil"/>
            </w:tcBorders>
            <w:vAlign w:val="center"/>
            <w:hideMark/>
          </w:tcPr>
          <w:p w14:paraId="2FE1A426"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bottom w:val="nil"/>
              <w:right w:val="nil"/>
            </w:tcBorders>
            <w:vAlign w:val="center"/>
            <w:hideMark/>
          </w:tcPr>
          <w:p w14:paraId="7E63062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37F07A96"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bottom w:val="nil"/>
              <w:right w:val="nil"/>
            </w:tcBorders>
            <w:vAlign w:val="center"/>
            <w:hideMark/>
          </w:tcPr>
          <w:p w14:paraId="1F9B93C0"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2E7FFCA0"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7F0B51B9"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22D53DDB" w14:textId="77777777" w:rsidTr="00CC4E50">
        <w:trPr>
          <w:trHeight w:hRule="exact" w:val="167"/>
        </w:trPr>
        <w:tc>
          <w:tcPr>
            <w:tcW w:w="1264" w:type="dxa"/>
            <w:vMerge w:val="restart"/>
            <w:tcBorders>
              <w:top w:val="nil"/>
              <w:bottom w:val="nil"/>
              <w:right w:val="nil"/>
            </w:tcBorders>
            <w:shd w:val="clear" w:color="auto" w:fill="auto"/>
            <w:vAlign w:val="center"/>
            <w:hideMark/>
          </w:tcPr>
          <w:p w14:paraId="6E508CF9"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Race</w:t>
            </w:r>
          </w:p>
        </w:tc>
        <w:tc>
          <w:tcPr>
            <w:tcW w:w="851" w:type="dxa"/>
            <w:vMerge w:val="restart"/>
            <w:tcBorders>
              <w:top w:val="nil"/>
              <w:left w:val="nil"/>
              <w:bottom w:val="nil"/>
              <w:right w:val="nil"/>
            </w:tcBorders>
            <w:shd w:val="clear" w:color="auto" w:fill="auto"/>
            <w:noWrap/>
            <w:vAlign w:val="center"/>
            <w:hideMark/>
          </w:tcPr>
          <w:p w14:paraId="233D101D"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0.090</w:t>
            </w:r>
          </w:p>
        </w:tc>
        <w:tc>
          <w:tcPr>
            <w:tcW w:w="803" w:type="dxa"/>
            <w:vMerge w:val="restart"/>
            <w:tcBorders>
              <w:top w:val="nil"/>
              <w:left w:val="nil"/>
              <w:bottom w:val="nil"/>
              <w:right w:val="nil"/>
            </w:tcBorders>
            <w:shd w:val="clear" w:color="auto" w:fill="auto"/>
            <w:noWrap/>
            <w:vAlign w:val="center"/>
            <w:hideMark/>
          </w:tcPr>
          <w:p w14:paraId="789FF27C"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-0.049</w:t>
            </w:r>
          </w:p>
        </w:tc>
        <w:tc>
          <w:tcPr>
            <w:tcW w:w="777" w:type="dxa"/>
            <w:vMerge w:val="restart"/>
            <w:tcBorders>
              <w:top w:val="nil"/>
              <w:left w:val="nil"/>
              <w:bottom w:val="nil"/>
              <w:right w:val="nil"/>
            </w:tcBorders>
            <w:shd w:val="clear" w:color="auto" w:fill="auto"/>
            <w:noWrap/>
            <w:vAlign w:val="center"/>
            <w:hideMark/>
          </w:tcPr>
          <w:p w14:paraId="2B2689F7"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0.014</w:t>
            </w:r>
          </w:p>
        </w:tc>
        <w:tc>
          <w:tcPr>
            <w:tcW w:w="794" w:type="dxa"/>
            <w:vMerge w:val="restart"/>
            <w:tcBorders>
              <w:top w:val="nil"/>
              <w:left w:val="nil"/>
              <w:bottom w:val="nil"/>
              <w:right w:val="nil"/>
            </w:tcBorders>
            <w:shd w:val="clear" w:color="auto" w:fill="auto"/>
            <w:noWrap/>
            <w:vAlign w:val="center"/>
            <w:hideMark/>
          </w:tcPr>
          <w:p w14:paraId="00879995"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1.000</w:t>
            </w:r>
          </w:p>
        </w:tc>
        <w:tc>
          <w:tcPr>
            <w:tcW w:w="1059" w:type="dxa"/>
            <w:vMerge w:val="restart"/>
            <w:tcBorders>
              <w:top w:val="nil"/>
              <w:left w:val="nil"/>
              <w:bottom w:val="nil"/>
              <w:right w:val="nil"/>
            </w:tcBorders>
            <w:shd w:val="clear" w:color="auto" w:fill="auto"/>
            <w:noWrap/>
            <w:vAlign w:val="center"/>
            <w:hideMark/>
          </w:tcPr>
          <w:p w14:paraId="6D1B9C3A"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-0.069</w:t>
            </w:r>
          </w:p>
        </w:tc>
        <w:tc>
          <w:tcPr>
            <w:tcW w:w="793" w:type="dxa"/>
            <w:vMerge w:val="restart"/>
            <w:tcBorders>
              <w:top w:val="nil"/>
              <w:left w:val="nil"/>
              <w:bottom w:val="nil"/>
              <w:right w:val="nil"/>
            </w:tcBorders>
            <w:shd w:val="clear" w:color="auto" w:fill="auto"/>
            <w:noWrap/>
            <w:vAlign w:val="center"/>
            <w:hideMark/>
          </w:tcPr>
          <w:p w14:paraId="574558A1"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0.116</w:t>
            </w:r>
          </w:p>
        </w:tc>
        <w:tc>
          <w:tcPr>
            <w:tcW w:w="928" w:type="dxa"/>
            <w:vMerge w:val="restart"/>
            <w:tcBorders>
              <w:top w:val="nil"/>
              <w:left w:val="nil"/>
              <w:bottom w:val="nil"/>
              <w:right w:val="nil"/>
            </w:tcBorders>
            <w:shd w:val="clear" w:color="auto" w:fill="auto"/>
            <w:noWrap/>
            <w:vAlign w:val="center"/>
            <w:hideMark/>
          </w:tcPr>
          <w:p w14:paraId="1A65EBBC"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0.023</w:t>
            </w:r>
          </w:p>
        </w:tc>
        <w:tc>
          <w:tcPr>
            <w:tcW w:w="989" w:type="dxa"/>
            <w:vMerge w:val="restart"/>
            <w:tcBorders>
              <w:top w:val="nil"/>
              <w:left w:val="nil"/>
              <w:bottom w:val="nil"/>
              <w:right w:val="nil"/>
            </w:tcBorders>
            <w:shd w:val="clear" w:color="auto" w:fill="auto"/>
            <w:noWrap/>
            <w:vAlign w:val="center"/>
            <w:hideMark/>
          </w:tcPr>
          <w:p w14:paraId="53115D91"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0.013</w:t>
            </w:r>
          </w:p>
        </w:tc>
        <w:tc>
          <w:tcPr>
            <w:tcW w:w="817" w:type="dxa"/>
            <w:vMerge w:val="restart"/>
            <w:tcBorders>
              <w:top w:val="nil"/>
              <w:left w:val="nil"/>
              <w:bottom w:val="nil"/>
              <w:right w:val="nil"/>
            </w:tcBorders>
            <w:shd w:val="clear" w:color="auto" w:fill="auto"/>
            <w:noWrap/>
            <w:vAlign w:val="center"/>
            <w:hideMark/>
          </w:tcPr>
          <w:p w14:paraId="5C3F6E72"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0.074</w:t>
            </w:r>
          </w:p>
        </w:tc>
        <w:tc>
          <w:tcPr>
            <w:tcW w:w="635" w:type="dxa"/>
            <w:vMerge w:val="restart"/>
            <w:tcBorders>
              <w:top w:val="nil"/>
              <w:left w:val="nil"/>
              <w:bottom w:val="nil"/>
              <w:right w:val="nil"/>
            </w:tcBorders>
            <w:shd w:val="clear" w:color="auto" w:fill="auto"/>
            <w:noWrap/>
            <w:vAlign w:val="center"/>
            <w:hideMark/>
          </w:tcPr>
          <w:p w14:paraId="087D0567"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-0.001</w:t>
            </w:r>
          </w:p>
        </w:tc>
        <w:tc>
          <w:tcPr>
            <w:tcW w:w="908" w:type="dxa"/>
            <w:vMerge w:val="restart"/>
            <w:tcBorders>
              <w:top w:val="nil"/>
              <w:left w:val="nil"/>
              <w:bottom w:val="nil"/>
              <w:right w:val="nil"/>
            </w:tcBorders>
            <w:shd w:val="clear" w:color="auto" w:fill="auto"/>
            <w:noWrap/>
            <w:vAlign w:val="center"/>
            <w:hideMark/>
          </w:tcPr>
          <w:p w14:paraId="3F44E8CE"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0.027</w:t>
            </w:r>
          </w:p>
        </w:tc>
        <w:tc>
          <w:tcPr>
            <w:tcW w:w="999" w:type="dxa"/>
            <w:vMerge w:val="restart"/>
            <w:tcBorders>
              <w:top w:val="nil"/>
              <w:left w:val="nil"/>
              <w:bottom w:val="nil"/>
              <w:right w:val="nil"/>
            </w:tcBorders>
            <w:shd w:val="clear" w:color="auto" w:fill="auto"/>
            <w:noWrap/>
            <w:vAlign w:val="center"/>
            <w:hideMark/>
          </w:tcPr>
          <w:p w14:paraId="51A3FD01"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0.081</w:t>
            </w:r>
          </w:p>
        </w:tc>
        <w:tc>
          <w:tcPr>
            <w:tcW w:w="908" w:type="dxa"/>
            <w:vMerge w:val="restart"/>
            <w:tcBorders>
              <w:top w:val="nil"/>
              <w:left w:val="nil"/>
              <w:bottom w:val="nil"/>
              <w:right w:val="nil"/>
            </w:tcBorders>
            <w:shd w:val="clear" w:color="auto" w:fill="auto"/>
            <w:noWrap/>
            <w:vAlign w:val="center"/>
            <w:hideMark/>
          </w:tcPr>
          <w:p w14:paraId="1B2DE4DC"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0.045</w:t>
            </w:r>
          </w:p>
        </w:tc>
        <w:tc>
          <w:tcPr>
            <w:tcW w:w="794" w:type="dxa"/>
            <w:vMerge w:val="restart"/>
            <w:tcBorders>
              <w:top w:val="nil"/>
              <w:left w:val="nil"/>
              <w:bottom w:val="nil"/>
              <w:right w:val="nil"/>
            </w:tcBorders>
            <w:shd w:val="clear" w:color="auto" w:fill="auto"/>
            <w:noWrap/>
            <w:vAlign w:val="center"/>
            <w:hideMark/>
          </w:tcPr>
          <w:p w14:paraId="4AB18910"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-0.108</w:t>
            </w:r>
          </w:p>
        </w:tc>
      </w:tr>
      <w:tr w:rsidR="00CC4E50" w:rsidRPr="0099627D" w14:paraId="2A945894" w14:textId="77777777" w:rsidTr="00CC4E50">
        <w:trPr>
          <w:trHeight w:hRule="exact" w:val="167"/>
        </w:trPr>
        <w:tc>
          <w:tcPr>
            <w:tcW w:w="1264" w:type="dxa"/>
            <w:vMerge/>
            <w:tcBorders>
              <w:top w:val="nil"/>
              <w:bottom w:val="nil"/>
              <w:right w:val="nil"/>
            </w:tcBorders>
            <w:vAlign w:val="center"/>
            <w:hideMark/>
          </w:tcPr>
          <w:p w14:paraId="69B2D2BF"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bottom w:val="nil"/>
              <w:right w:val="nil"/>
            </w:tcBorders>
            <w:vAlign w:val="center"/>
            <w:hideMark/>
          </w:tcPr>
          <w:p w14:paraId="0C4BE193"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bottom w:val="nil"/>
              <w:right w:val="nil"/>
            </w:tcBorders>
            <w:vAlign w:val="center"/>
            <w:hideMark/>
          </w:tcPr>
          <w:p w14:paraId="5619855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bottom w:val="nil"/>
              <w:right w:val="nil"/>
            </w:tcBorders>
            <w:vAlign w:val="center"/>
            <w:hideMark/>
          </w:tcPr>
          <w:p w14:paraId="2C1E2D22"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1CB63DD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bottom w:val="nil"/>
              <w:right w:val="nil"/>
            </w:tcBorders>
            <w:vAlign w:val="center"/>
            <w:hideMark/>
          </w:tcPr>
          <w:p w14:paraId="166FBF7F"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bottom w:val="nil"/>
              <w:right w:val="nil"/>
            </w:tcBorders>
            <w:vAlign w:val="center"/>
            <w:hideMark/>
          </w:tcPr>
          <w:p w14:paraId="581222CF"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bottom w:val="nil"/>
              <w:right w:val="nil"/>
            </w:tcBorders>
            <w:vAlign w:val="center"/>
            <w:hideMark/>
          </w:tcPr>
          <w:p w14:paraId="4ACE377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bottom w:val="nil"/>
              <w:right w:val="nil"/>
            </w:tcBorders>
            <w:vAlign w:val="center"/>
            <w:hideMark/>
          </w:tcPr>
          <w:p w14:paraId="6432A90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bottom w:val="nil"/>
              <w:right w:val="nil"/>
            </w:tcBorders>
            <w:vAlign w:val="center"/>
            <w:hideMark/>
          </w:tcPr>
          <w:p w14:paraId="068B0806"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bottom w:val="nil"/>
              <w:right w:val="nil"/>
            </w:tcBorders>
            <w:vAlign w:val="center"/>
            <w:hideMark/>
          </w:tcPr>
          <w:p w14:paraId="1EBF948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36B23B1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bottom w:val="nil"/>
              <w:right w:val="nil"/>
            </w:tcBorders>
            <w:vAlign w:val="center"/>
            <w:hideMark/>
          </w:tcPr>
          <w:p w14:paraId="6E929E3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09CCF6F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172BC1D8"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6B52D739" w14:textId="77777777" w:rsidTr="00CC4E50">
        <w:trPr>
          <w:trHeight w:hRule="exact" w:val="167"/>
        </w:trPr>
        <w:tc>
          <w:tcPr>
            <w:tcW w:w="1264" w:type="dxa"/>
            <w:vMerge w:val="restart"/>
            <w:tcBorders>
              <w:top w:val="nil"/>
              <w:bottom w:val="nil"/>
              <w:right w:val="nil"/>
            </w:tcBorders>
            <w:shd w:val="clear" w:color="auto" w:fill="auto"/>
            <w:vAlign w:val="center"/>
            <w:hideMark/>
          </w:tcPr>
          <w:p w14:paraId="1816E0D0"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Smoking Status</w:t>
            </w:r>
          </w:p>
        </w:tc>
        <w:tc>
          <w:tcPr>
            <w:tcW w:w="851" w:type="dxa"/>
            <w:vMerge w:val="restart"/>
            <w:tcBorders>
              <w:top w:val="nil"/>
              <w:left w:val="nil"/>
              <w:bottom w:val="nil"/>
              <w:right w:val="nil"/>
            </w:tcBorders>
            <w:shd w:val="clear" w:color="auto" w:fill="auto"/>
            <w:noWrap/>
            <w:vAlign w:val="center"/>
            <w:hideMark/>
          </w:tcPr>
          <w:p w14:paraId="40BB4422"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0.036</w:t>
            </w:r>
          </w:p>
        </w:tc>
        <w:tc>
          <w:tcPr>
            <w:tcW w:w="803" w:type="dxa"/>
            <w:vMerge w:val="restart"/>
            <w:tcBorders>
              <w:top w:val="nil"/>
              <w:left w:val="nil"/>
              <w:bottom w:val="nil"/>
              <w:right w:val="nil"/>
            </w:tcBorders>
            <w:shd w:val="clear" w:color="auto" w:fill="auto"/>
            <w:noWrap/>
            <w:vAlign w:val="center"/>
            <w:hideMark/>
          </w:tcPr>
          <w:p w14:paraId="6B31AB82"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0.066</w:t>
            </w:r>
          </w:p>
        </w:tc>
        <w:tc>
          <w:tcPr>
            <w:tcW w:w="777" w:type="dxa"/>
            <w:vMerge w:val="restart"/>
            <w:tcBorders>
              <w:top w:val="nil"/>
              <w:left w:val="nil"/>
              <w:bottom w:val="nil"/>
              <w:right w:val="nil"/>
            </w:tcBorders>
            <w:shd w:val="clear" w:color="auto" w:fill="auto"/>
            <w:noWrap/>
            <w:vAlign w:val="center"/>
            <w:hideMark/>
          </w:tcPr>
          <w:p w14:paraId="6B8D8E4A"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0.000</w:t>
            </w:r>
          </w:p>
        </w:tc>
        <w:tc>
          <w:tcPr>
            <w:tcW w:w="794" w:type="dxa"/>
            <w:vMerge w:val="restart"/>
            <w:tcBorders>
              <w:top w:val="nil"/>
              <w:left w:val="nil"/>
              <w:bottom w:val="nil"/>
              <w:right w:val="nil"/>
            </w:tcBorders>
            <w:shd w:val="clear" w:color="auto" w:fill="auto"/>
            <w:noWrap/>
            <w:vAlign w:val="center"/>
            <w:hideMark/>
          </w:tcPr>
          <w:p w14:paraId="309894A9"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-0.069</w:t>
            </w:r>
          </w:p>
        </w:tc>
        <w:tc>
          <w:tcPr>
            <w:tcW w:w="1059" w:type="dxa"/>
            <w:vMerge w:val="restart"/>
            <w:tcBorders>
              <w:top w:val="nil"/>
              <w:left w:val="nil"/>
              <w:bottom w:val="nil"/>
              <w:right w:val="nil"/>
            </w:tcBorders>
            <w:shd w:val="clear" w:color="auto" w:fill="auto"/>
            <w:noWrap/>
            <w:vAlign w:val="center"/>
            <w:hideMark/>
          </w:tcPr>
          <w:p w14:paraId="688BE0E6"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1.000</w:t>
            </w:r>
          </w:p>
        </w:tc>
        <w:tc>
          <w:tcPr>
            <w:tcW w:w="793" w:type="dxa"/>
            <w:vMerge w:val="restart"/>
            <w:tcBorders>
              <w:top w:val="nil"/>
              <w:left w:val="nil"/>
              <w:bottom w:val="nil"/>
              <w:right w:val="nil"/>
            </w:tcBorders>
            <w:shd w:val="clear" w:color="auto" w:fill="auto"/>
            <w:noWrap/>
            <w:vAlign w:val="center"/>
            <w:hideMark/>
          </w:tcPr>
          <w:p w14:paraId="593FB8A9"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0.077</w:t>
            </w:r>
          </w:p>
        </w:tc>
        <w:tc>
          <w:tcPr>
            <w:tcW w:w="928" w:type="dxa"/>
            <w:vMerge w:val="restart"/>
            <w:tcBorders>
              <w:top w:val="nil"/>
              <w:left w:val="nil"/>
              <w:bottom w:val="nil"/>
              <w:right w:val="nil"/>
            </w:tcBorders>
            <w:shd w:val="clear" w:color="auto" w:fill="auto"/>
            <w:noWrap/>
            <w:vAlign w:val="center"/>
            <w:hideMark/>
          </w:tcPr>
          <w:p w14:paraId="7C9C14D1"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-0.021</w:t>
            </w:r>
          </w:p>
        </w:tc>
        <w:tc>
          <w:tcPr>
            <w:tcW w:w="989" w:type="dxa"/>
            <w:vMerge w:val="restart"/>
            <w:tcBorders>
              <w:top w:val="nil"/>
              <w:left w:val="nil"/>
              <w:bottom w:val="nil"/>
              <w:right w:val="nil"/>
            </w:tcBorders>
            <w:shd w:val="clear" w:color="auto" w:fill="auto"/>
            <w:noWrap/>
            <w:vAlign w:val="center"/>
            <w:hideMark/>
          </w:tcPr>
          <w:p w14:paraId="0AD78593"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0.068</w:t>
            </w:r>
          </w:p>
        </w:tc>
        <w:tc>
          <w:tcPr>
            <w:tcW w:w="817" w:type="dxa"/>
            <w:vMerge w:val="restart"/>
            <w:tcBorders>
              <w:top w:val="nil"/>
              <w:left w:val="nil"/>
              <w:bottom w:val="nil"/>
              <w:right w:val="nil"/>
            </w:tcBorders>
            <w:shd w:val="clear" w:color="auto" w:fill="auto"/>
            <w:noWrap/>
            <w:vAlign w:val="center"/>
            <w:hideMark/>
          </w:tcPr>
          <w:p w14:paraId="092BFE65"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0.066</w:t>
            </w:r>
          </w:p>
        </w:tc>
        <w:tc>
          <w:tcPr>
            <w:tcW w:w="635" w:type="dxa"/>
            <w:vMerge w:val="restart"/>
            <w:tcBorders>
              <w:top w:val="nil"/>
              <w:left w:val="nil"/>
              <w:bottom w:val="nil"/>
              <w:right w:val="nil"/>
            </w:tcBorders>
            <w:shd w:val="clear" w:color="auto" w:fill="auto"/>
            <w:noWrap/>
            <w:vAlign w:val="center"/>
            <w:hideMark/>
          </w:tcPr>
          <w:p w14:paraId="77CB1FB0"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0.066</w:t>
            </w:r>
          </w:p>
        </w:tc>
        <w:tc>
          <w:tcPr>
            <w:tcW w:w="908" w:type="dxa"/>
            <w:vMerge w:val="restart"/>
            <w:tcBorders>
              <w:top w:val="nil"/>
              <w:left w:val="nil"/>
              <w:bottom w:val="nil"/>
              <w:right w:val="nil"/>
            </w:tcBorders>
            <w:shd w:val="clear" w:color="auto" w:fill="auto"/>
            <w:noWrap/>
            <w:vAlign w:val="center"/>
            <w:hideMark/>
          </w:tcPr>
          <w:p w14:paraId="468B8937"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0.116</w:t>
            </w:r>
          </w:p>
        </w:tc>
        <w:tc>
          <w:tcPr>
            <w:tcW w:w="999" w:type="dxa"/>
            <w:vMerge w:val="restart"/>
            <w:tcBorders>
              <w:top w:val="nil"/>
              <w:left w:val="nil"/>
              <w:bottom w:val="nil"/>
              <w:right w:val="nil"/>
            </w:tcBorders>
            <w:shd w:val="clear" w:color="auto" w:fill="auto"/>
            <w:noWrap/>
            <w:vAlign w:val="center"/>
            <w:hideMark/>
          </w:tcPr>
          <w:p w14:paraId="721BDA92"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0.135</w:t>
            </w:r>
          </w:p>
        </w:tc>
        <w:tc>
          <w:tcPr>
            <w:tcW w:w="908" w:type="dxa"/>
            <w:vMerge w:val="restart"/>
            <w:tcBorders>
              <w:top w:val="nil"/>
              <w:left w:val="nil"/>
              <w:bottom w:val="nil"/>
              <w:right w:val="nil"/>
            </w:tcBorders>
            <w:shd w:val="clear" w:color="auto" w:fill="auto"/>
            <w:noWrap/>
            <w:vAlign w:val="center"/>
            <w:hideMark/>
          </w:tcPr>
          <w:p w14:paraId="319CF9D8"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0.094</w:t>
            </w:r>
          </w:p>
        </w:tc>
        <w:tc>
          <w:tcPr>
            <w:tcW w:w="794" w:type="dxa"/>
            <w:vMerge w:val="restart"/>
            <w:tcBorders>
              <w:top w:val="nil"/>
              <w:left w:val="nil"/>
              <w:bottom w:val="nil"/>
              <w:right w:val="nil"/>
            </w:tcBorders>
            <w:shd w:val="clear" w:color="auto" w:fill="auto"/>
            <w:noWrap/>
            <w:vAlign w:val="center"/>
            <w:hideMark/>
          </w:tcPr>
          <w:p w14:paraId="6E298F09"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0.179</w:t>
            </w:r>
          </w:p>
        </w:tc>
      </w:tr>
      <w:tr w:rsidR="00CC4E50" w:rsidRPr="0099627D" w14:paraId="03C0009F" w14:textId="77777777" w:rsidTr="00CC4E50">
        <w:trPr>
          <w:trHeight w:hRule="exact" w:val="167"/>
        </w:trPr>
        <w:tc>
          <w:tcPr>
            <w:tcW w:w="1264" w:type="dxa"/>
            <w:vMerge/>
            <w:tcBorders>
              <w:top w:val="nil"/>
              <w:bottom w:val="nil"/>
              <w:right w:val="nil"/>
            </w:tcBorders>
            <w:vAlign w:val="center"/>
            <w:hideMark/>
          </w:tcPr>
          <w:p w14:paraId="641783F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bottom w:val="nil"/>
              <w:right w:val="nil"/>
            </w:tcBorders>
            <w:vAlign w:val="center"/>
            <w:hideMark/>
          </w:tcPr>
          <w:p w14:paraId="752E880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bottom w:val="nil"/>
              <w:right w:val="nil"/>
            </w:tcBorders>
            <w:vAlign w:val="center"/>
            <w:hideMark/>
          </w:tcPr>
          <w:p w14:paraId="1526351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bottom w:val="nil"/>
              <w:right w:val="nil"/>
            </w:tcBorders>
            <w:vAlign w:val="center"/>
            <w:hideMark/>
          </w:tcPr>
          <w:p w14:paraId="75CF693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3104C6E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bottom w:val="nil"/>
              <w:right w:val="nil"/>
            </w:tcBorders>
            <w:vAlign w:val="center"/>
            <w:hideMark/>
          </w:tcPr>
          <w:p w14:paraId="1F4FC7C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bottom w:val="nil"/>
              <w:right w:val="nil"/>
            </w:tcBorders>
            <w:vAlign w:val="center"/>
            <w:hideMark/>
          </w:tcPr>
          <w:p w14:paraId="52AF6BF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bottom w:val="nil"/>
              <w:right w:val="nil"/>
            </w:tcBorders>
            <w:vAlign w:val="center"/>
            <w:hideMark/>
          </w:tcPr>
          <w:p w14:paraId="2ECEB52F"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bottom w:val="nil"/>
              <w:right w:val="nil"/>
            </w:tcBorders>
            <w:vAlign w:val="center"/>
            <w:hideMark/>
          </w:tcPr>
          <w:p w14:paraId="4B09919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bottom w:val="nil"/>
              <w:right w:val="nil"/>
            </w:tcBorders>
            <w:vAlign w:val="center"/>
            <w:hideMark/>
          </w:tcPr>
          <w:p w14:paraId="4923D6B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bottom w:val="nil"/>
              <w:right w:val="nil"/>
            </w:tcBorders>
            <w:vAlign w:val="center"/>
            <w:hideMark/>
          </w:tcPr>
          <w:p w14:paraId="7EF17B3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11116239"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bottom w:val="nil"/>
              <w:right w:val="nil"/>
            </w:tcBorders>
            <w:vAlign w:val="center"/>
            <w:hideMark/>
          </w:tcPr>
          <w:p w14:paraId="62F1EBD0"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75F072D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24735C22"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51D7403B" w14:textId="77777777" w:rsidTr="00CC4E50">
        <w:trPr>
          <w:trHeight w:hRule="exact" w:val="167"/>
        </w:trPr>
        <w:tc>
          <w:tcPr>
            <w:tcW w:w="1264" w:type="dxa"/>
            <w:vMerge/>
            <w:tcBorders>
              <w:top w:val="nil"/>
              <w:bottom w:val="nil"/>
              <w:right w:val="nil"/>
            </w:tcBorders>
            <w:vAlign w:val="center"/>
            <w:hideMark/>
          </w:tcPr>
          <w:p w14:paraId="77E4800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bottom w:val="nil"/>
              <w:right w:val="nil"/>
            </w:tcBorders>
            <w:vAlign w:val="center"/>
            <w:hideMark/>
          </w:tcPr>
          <w:p w14:paraId="14110D40"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bottom w:val="nil"/>
              <w:right w:val="nil"/>
            </w:tcBorders>
            <w:vAlign w:val="center"/>
            <w:hideMark/>
          </w:tcPr>
          <w:p w14:paraId="6D360F6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bottom w:val="nil"/>
              <w:right w:val="nil"/>
            </w:tcBorders>
            <w:vAlign w:val="center"/>
            <w:hideMark/>
          </w:tcPr>
          <w:p w14:paraId="4DFA341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12AC5302"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bottom w:val="nil"/>
              <w:right w:val="nil"/>
            </w:tcBorders>
            <w:vAlign w:val="center"/>
            <w:hideMark/>
          </w:tcPr>
          <w:p w14:paraId="77F93D9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bottom w:val="nil"/>
              <w:right w:val="nil"/>
            </w:tcBorders>
            <w:vAlign w:val="center"/>
            <w:hideMark/>
          </w:tcPr>
          <w:p w14:paraId="2FBD40E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bottom w:val="nil"/>
              <w:right w:val="nil"/>
            </w:tcBorders>
            <w:vAlign w:val="center"/>
            <w:hideMark/>
          </w:tcPr>
          <w:p w14:paraId="0A6F661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bottom w:val="nil"/>
              <w:right w:val="nil"/>
            </w:tcBorders>
            <w:vAlign w:val="center"/>
            <w:hideMark/>
          </w:tcPr>
          <w:p w14:paraId="6EAC2C1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bottom w:val="nil"/>
              <w:right w:val="nil"/>
            </w:tcBorders>
            <w:vAlign w:val="center"/>
            <w:hideMark/>
          </w:tcPr>
          <w:p w14:paraId="5E25315F"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bottom w:val="nil"/>
              <w:right w:val="nil"/>
            </w:tcBorders>
            <w:vAlign w:val="center"/>
            <w:hideMark/>
          </w:tcPr>
          <w:p w14:paraId="53E3E573"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68E641BE"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bottom w:val="nil"/>
              <w:right w:val="nil"/>
            </w:tcBorders>
            <w:vAlign w:val="center"/>
            <w:hideMark/>
          </w:tcPr>
          <w:p w14:paraId="64751579"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7AC5C208"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0FB1AF82"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2E1187AA" w14:textId="77777777" w:rsidTr="00CC4E50">
        <w:trPr>
          <w:trHeight w:hRule="exact" w:val="167"/>
        </w:trPr>
        <w:tc>
          <w:tcPr>
            <w:tcW w:w="1264" w:type="dxa"/>
            <w:vMerge w:val="restart"/>
            <w:tcBorders>
              <w:top w:val="nil"/>
              <w:bottom w:val="nil"/>
              <w:right w:val="nil"/>
            </w:tcBorders>
            <w:shd w:val="clear" w:color="auto" w:fill="auto"/>
            <w:vAlign w:val="center"/>
            <w:hideMark/>
          </w:tcPr>
          <w:p w14:paraId="49C7ED87"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DOE Site</w:t>
            </w:r>
          </w:p>
        </w:tc>
        <w:tc>
          <w:tcPr>
            <w:tcW w:w="851" w:type="dxa"/>
            <w:vMerge w:val="restart"/>
            <w:tcBorders>
              <w:top w:val="nil"/>
              <w:left w:val="nil"/>
              <w:bottom w:val="nil"/>
              <w:right w:val="nil"/>
            </w:tcBorders>
            <w:shd w:val="clear" w:color="auto" w:fill="auto"/>
            <w:noWrap/>
            <w:vAlign w:val="center"/>
            <w:hideMark/>
          </w:tcPr>
          <w:p w14:paraId="15F02292"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0.097</w:t>
            </w:r>
          </w:p>
        </w:tc>
        <w:tc>
          <w:tcPr>
            <w:tcW w:w="803" w:type="dxa"/>
            <w:vMerge w:val="restart"/>
            <w:tcBorders>
              <w:top w:val="nil"/>
              <w:left w:val="nil"/>
              <w:bottom w:val="nil"/>
              <w:right w:val="nil"/>
            </w:tcBorders>
            <w:shd w:val="clear" w:color="auto" w:fill="auto"/>
            <w:noWrap/>
            <w:vAlign w:val="center"/>
            <w:hideMark/>
          </w:tcPr>
          <w:p w14:paraId="386AFC4D"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0.036</w:t>
            </w:r>
          </w:p>
        </w:tc>
        <w:tc>
          <w:tcPr>
            <w:tcW w:w="777" w:type="dxa"/>
            <w:vMerge w:val="restart"/>
            <w:tcBorders>
              <w:top w:val="nil"/>
              <w:left w:val="nil"/>
              <w:bottom w:val="nil"/>
              <w:right w:val="nil"/>
            </w:tcBorders>
            <w:shd w:val="clear" w:color="auto" w:fill="auto"/>
            <w:noWrap/>
            <w:vAlign w:val="center"/>
            <w:hideMark/>
          </w:tcPr>
          <w:p w14:paraId="7B5DF7D3"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0.013</w:t>
            </w:r>
          </w:p>
        </w:tc>
        <w:tc>
          <w:tcPr>
            <w:tcW w:w="794" w:type="dxa"/>
            <w:vMerge w:val="restart"/>
            <w:tcBorders>
              <w:top w:val="nil"/>
              <w:left w:val="nil"/>
              <w:bottom w:val="nil"/>
              <w:right w:val="nil"/>
            </w:tcBorders>
            <w:shd w:val="clear" w:color="auto" w:fill="auto"/>
            <w:noWrap/>
            <w:vAlign w:val="center"/>
            <w:hideMark/>
          </w:tcPr>
          <w:p w14:paraId="5EF96265"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0.116</w:t>
            </w:r>
          </w:p>
        </w:tc>
        <w:tc>
          <w:tcPr>
            <w:tcW w:w="1059" w:type="dxa"/>
            <w:vMerge w:val="restart"/>
            <w:tcBorders>
              <w:top w:val="nil"/>
              <w:left w:val="nil"/>
              <w:bottom w:val="nil"/>
              <w:right w:val="nil"/>
            </w:tcBorders>
            <w:shd w:val="clear" w:color="auto" w:fill="auto"/>
            <w:noWrap/>
            <w:vAlign w:val="center"/>
            <w:hideMark/>
          </w:tcPr>
          <w:p w14:paraId="2040A991"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0.077</w:t>
            </w:r>
          </w:p>
        </w:tc>
        <w:tc>
          <w:tcPr>
            <w:tcW w:w="793" w:type="dxa"/>
            <w:vMerge w:val="restart"/>
            <w:tcBorders>
              <w:top w:val="nil"/>
              <w:left w:val="nil"/>
              <w:bottom w:val="nil"/>
              <w:right w:val="nil"/>
            </w:tcBorders>
            <w:shd w:val="clear" w:color="auto" w:fill="auto"/>
            <w:noWrap/>
            <w:vAlign w:val="center"/>
            <w:hideMark/>
          </w:tcPr>
          <w:p w14:paraId="6BB5D03A"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1.000</w:t>
            </w:r>
          </w:p>
        </w:tc>
        <w:tc>
          <w:tcPr>
            <w:tcW w:w="928" w:type="dxa"/>
            <w:vMerge w:val="restart"/>
            <w:tcBorders>
              <w:top w:val="nil"/>
              <w:left w:val="nil"/>
              <w:bottom w:val="nil"/>
              <w:right w:val="nil"/>
            </w:tcBorders>
            <w:shd w:val="clear" w:color="auto" w:fill="auto"/>
            <w:noWrap/>
            <w:vAlign w:val="center"/>
            <w:hideMark/>
          </w:tcPr>
          <w:p w14:paraId="390235E2"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0.008</w:t>
            </w:r>
          </w:p>
        </w:tc>
        <w:tc>
          <w:tcPr>
            <w:tcW w:w="989" w:type="dxa"/>
            <w:vMerge w:val="restart"/>
            <w:tcBorders>
              <w:top w:val="nil"/>
              <w:left w:val="nil"/>
              <w:bottom w:val="nil"/>
              <w:right w:val="nil"/>
            </w:tcBorders>
            <w:shd w:val="clear" w:color="auto" w:fill="auto"/>
            <w:noWrap/>
            <w:vAlign w:val="center"/>
            <w:hideMark/>
          </w:tcPr>
          <w:p w14:paraId="24D9FFD6"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0.111</w:t>
            </w:r>
          </w:p>
        </w:tc>
        <w:tc>
          <w:tcPr>
            <w:tcW w:w="817" w:type="dxa"/>
            <w:vMerge w:val="restart"/>
            <w:tcBorders>
              <w:top w:val="nil"/>
              <w:left w:val="nil"/>
              <w:bottom w:val="nil"/>
              <w:right w:val="nil"/>
            </w:tcBorders>
            <w:shd w:val="clear" w:color="auto" w:fill="auto"/>
            <w:noWrap/>
            <w:vAlign w:val="center"/>
            <w:hideMark/>
          </w:tcPr>
          <w:p w14:paraId="5A387B53"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0.132</w:t>
            </w:r>
          </w:p>
        </w:tc>
        <w:tc>
          <w:tcPr>
            <w:tcW w:w="635" w:type="dxa"/>
            <w:vMerge w:val="restart"/>
            <w:tcBorders>
              <w:top w:val="nil"/>
              <w:left w:val="nil"/>
              <w:bottom w:val="nil"/>
              <w:right w:val="nil"/>
            </w:tcBorders>
            <w:shd w:val="clear" w:color="auto" w:fill="auto"/>
            <w:noWrap/>
            <w:vAlign w:val="center"/>
            <w:hideMark/>
          </w:tcPr>
          <w:p w14:paraId="43DFFD0A"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0.081</w:t>
            </w:r>
          </w:p>
        </w:tc>
        <w:tc>
          <w:tcPr>
            <w:tcW w:w="908" w:type="dxa"/>
            <w:vMerge w:val="restart"/>
            <w:tcBorders>
              <w:top w:val="nil"/>
              <w:left w:val="nil"/>
              <w:bottom w:val="nil"/>
              <w:right w:val="nil"/>
            </w:tcBorders>
            <w:shd w:val="clear" w:color="auto" w:fill="auto"/>
            <w:noWrap/>
            <w:vAlign w:val="center"/>
            <w:hideMark/>
          </w:tcPr>
          <w:p w14:paraId="02FB32F7"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0.126</w:t>
            </w:r>
          </w:p>
        </w:tc>
        <w:tc>
          <w:tcPr>
            <w:tcW w:w="999" w:type="dxa"/>
            <w:vMerge w:val="restart"/>
            <w:tcBorders>
              <w:top w:val="nil"/>
              <w:left w:val="nil"/>
              <w:bottom w:val="nil"/>
              <w:right w:val="nil"/>
            </w:tcBorders>
            <w:shd w:val="clear" w:color="auto" w:fill="auto"/>
            <w:noWrap/>
            <w:vAlign w:val="center"/>
            <w:hideMark/>
          </w:tcPr>
          <w:p w14:paraId="79DEE865"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0.165</w:t>
            </w:r>
          </w:p>
        </w:tc>
        <w:tc>
          <w:tcPr>
            <w:tcW w:w="908" w:type="dxa"/>
            <w:vMerge w:val="restart"/>
            <w:tcBorders>
              <w:top w:val="nil"/>
              <w:left w:val="nil"/>
              <w:bottom w:val="nil"/>
              <w:right w:val="nil"/>
            </w:tcBorders>
            <w:shd w:val="clear" w:color="auto" w:fill="auto"/>
            <w:noWrap/>
            <w:vAlign w:val="center"/>
            <w:hideMark/>
          </w:tcPr>
          <w:p w14:paraId="77867382"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0.143</w:t>
            </w:r>
          </w:p>
        </w:tc>
        <w:tc>
          <w:tcPr>
            <w:tcW w:w="794" w:type="dxa"/>
            <w:vMerge w:val="restart"/>
            <w:tcBorders>
              <w:top w:val="nil"/>
              <w:left w:val="nil"/>
              <w:bottom w:val="nil"/>
              <w:right w:val="nil"/>
            </w:tcBorders>
            <w:shd w:val="clear" w:color="auto" w:fill="auto"/>
            <w:noWrap/>
            <w:vAlign w:val="center"/>
            <w:hideMark/>
          </w:tcPr>
          <w:p w14:paraId="7C0A4D11"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0.063</w:t>
            </w:r>
          </w:p>
        </w:tc>
      </w:tr>
      <w:tr w:rsidR="00CC4E50" w:rsidRPr="0099627D" w14:paraId="33C56A35" w14:textId="77777777" w:rsidTr="00CC4E50">
        <w:trPr>
          <w:trHeight w:hRule="exact" w:val="167"/>
        </w:trPr>
        <w:tc>
          <w:tcPr>
            <w:tcW w:w="1264" w:type="dxa"/>
            <w:vMerge/>
            <w:tcBorders>
              <w:top w:val="nil"/>
              <w:bottom w:val="nil"/>
              <w:right w:val="nil"/>
            </w:tcBorders>
            <w:vAlign w:val="center"/>
            <w:hideMark/>
          </w:tcPr>
          <w:p w14:paraId="718E3E4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bottom w:val="nil"/>
              <w:right w:val="nil"/>
            </w:tcBorders>
            <w:vAlign w:val="center"/>
            <w:hideMark/>
          </w:tcPr>
          <w:p w14:paraId="78F8FCF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bottom w:val="nil"/>
              <w:right w:val="nil"/>
            </w:tcBorders>
            <w:vAlign w:val="center"/>
            <w:hideMark/>
          </w:tcPr>
          <w:p w14:paraId="030E813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bottom w:val="nil"/>
              <w:right w:val="nil"/>
            </w:tcBorders>
            <w:vAlign w:val="center"/>
            <w:hideMark/>
          </w:tcPr>
          <w:p w14:paraId="5E7F752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5ABDCA5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bottom w:val="nil"/>
              <w:right w:val="nil"/>
            </w:tcBorders>
            <w:vAlign w:val="center"/>
            <w:hideMark/>
          </w:tcPr>
          <w:p w14:paraId="3E081112"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bottom w:val="nil"/>
              <w:right w:val="nil"/>
            </w:tcBorders>
            <w:vAlign w:val="center"/>
            <w:hideMark/>
          </w:tcPr>
          <w:p w14:paraId="5683B27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bottom w:val="nil"/>
              <w:right w:val="nil"/>
            </w:tcBorders>
            <w:vAlign w:val="center"/>
            <w:hideMark/>
          </w:tcPr>
          <w:p w14:paraId="15631BD0"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bottom w:val="nil"/>
              <w:right w:val="nil"/>
            </w:tcBorders>
            <w:vAlign w:val="center"/>
            <w:hideMark/>
          </w:tcPr>
          <w:p w14:paraId="162EA919"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bottom w:val="nil"/>
              <w:right w:val="nil"/>
            </w:tcBorders>
            <w:vAlign w:val="center"/>
            <w:hideMark/>
          </w:tcPr>
          <w:p w14:paraId="1719CFD8"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bottom w:val="nil"/>
              <w:right w:val="nil"/>
            </w:tcBorders>
            <w:vAlign w:val="center"/>
            <w:hideMark/>
          </w:tcPr>
          <w:p w14:paraId="544747F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4D9FC46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bottom w:val="nil"/>
              <w:right w:val="nil"/>
            </w:tcBorders>
            <w:vAlign w:val="center"/>
            <w:hideMark/>
          </w:tcPr>
          <w:p w14:paraId="053EE483"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58D12C70"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6BA29D07"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10F59461" w14:textId="77777777" w:rsidTr="00CC4E50">
        <w:trPr>
          <w:trHeight w:hRule="exact" w:val="167"/>
        </w:trPr>
        <w:tc>
          <w:tcPr>
            <w:tcW w:w="1264" w:type="dxa"/>
            <w:vMerge/>
            <w:tcBorders>
              <w:top w:val="nil"/>
              <w:bottom w:val="nil"/>
              <w:right w:val="nil"/>
            </w:tcBorders>
            <w:vAlign w:val="center"/>
            <w:hideMark/>
          </w:tcPr>
          <w:p w14:paraId="378847E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bottom w:val="nil"/>
              <w:right w:val="nil"/>
            </w:tcBorders>
            <w:vAlign w:val="center"/>
            <w:hideMark/>
          </w:tcPr>
          <w:p w14:paraId="023C0C5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bottom w:val="nil"/>
              <w:right w:val="nil"/>
            </w:tcBorders>
            <w:vAlign w:val="center"/>
            <w:hideMark/>
          </w:tcPr>
          <w:p w14:paraId="54B14243"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bottom w:val="nil"/>
              <w:right w:val="nil"/>
            </w:tcBorders>
            <w:vAlign w:val="center"/>
            <w:hideMark/>
          </w:tcPr>
          <w:p w14:paraId="2F47DF1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7345F1D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bottom w:val="nil"/>
              <w:right w:val="nil"/>
            </w:tcBorders>
            <w:vAlign w:val="center"/>
            <w:hideMark/>
          </w:tcPr>
          <w:p w14:paraId="5D5B63F9"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bottom w:val="nil"/>
              <w:right w:val="nil"/>
            </w:tcBorders>
            <w:vAlign w:val="center"/>
            <w:hideMark/>
          </w:tcPr>
          <w:p w14:paraId="1617415E"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bottom w:val="nil"/>
              <w:right w:val="nil"/>
            </w:tcBorders>
            <w:vAlign w:val="center"/>
            <w:hideMark/>
          </w:tcPr>
          <w:p w14:paraId="15337AEF"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bottom w:val="nil"/>
              <w:right w:val="nil"/>
            </w:tcBorders>
            <w:vAlign w:val="center"/>
            <w:hideMark/>
          </w:tcPr>
          <w:p w14:paraId="72FFD6BF"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bottom w:val="nil"/>
              <w:right w:val="nil"/>
            </w:tcBorders>
            <w:vAlign w:val="center"/>
            <w:hideMark/>
          </w:tcPr>
          <w:p w14:paraId="5BDE58DE"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bottom w:val="nil"/>
              <w:right w:val="nil"/>
            </w:tcBorders>
            <w:vAlign w:val="center"/>
            <w:hideMark/>
          </w:tcPr>
          <w:p w14:paraId="7C0423A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45D97452"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bottom w:val="nil"/>
              <w:right w:val="nil"/>
            </w:tcBorders>
            <w:vAlign w:val="center"/>
            <w:hideMark/>
          </w:tcPr>
          <w:p w14:paraId="42504AE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1D573779"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35F7DA79"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05AA6E0A" w14:textId="77777777" w:rsidTr="00CC4E50">
        <w:trPr>
          <w:trHeight w:hRule="exact" w:val="167"/>
        </w:trPr>
        <w:tc>
          <w:tcPr>
            <w:tcW w:w="1264" w:type="dxa"/>
            <w:vMerge w:val="restart"/>
            <w:tcBorders>
              <w:top w:val="nil"/>
              <w:bottom w:val="nil"/>
              <w:right w:val="nil"/>
            </w:tcBorders>
            <w:shd w:val="clear" w:color="auto" w:fill="auto"/>
            <w:vAlign w:val="center"/>
            <w:hideMark/>
          </w:tcPr>
          <w:p w14:paraId="384A00F1"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Asthma</w:t>
            </w:r>
          </w:p>
        </w:tc>
        <w:tc>
          <w:tcPr>
            <w:tcW w:w="851" w:type="dxa"/>
            <w:vMerge w:val="restart"/>
            <w:tcBorders>
              <w:top w:val="nil"/>
              <w:left w:val="nil"/>
              <w:bottom w:val="nil"/>
              <w:right w:val="nil"/>
            </w:tcBorders>
            <w:shd w:val="clear" w:color="auto" w:fill="auto"/>
            <w:noWrap/>
            <w:vAlign w:val="center"/>
            <w:hideMark/>
          </w:tcPr>
          <w:p w14:paraId="0A12E945"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0.062</w:t>
            </w:r>
          </w:p>
        </w:tc>
        <w:tc>
          <w:tcPr>
            <w:tcW w:w="803" w:type="dxa"/>
            <w:vMerge w:val="restart"/>
            <w:tcBorders>
              <w:top w:val="nil"/>
              <w:left w:val="nil"/>
              <w:bottom w:val="nil"/>
              <w:right w:val="nil"/>
            </w:tcBorders>
            <w:shd w:val="clear" w:color="auto" w:fill="auto"/>
            <w:noWrap/>
            <w:vAlign w:val="center"/>
            <w:hideMark/>
          </w:tcPr>
          <w:p w14:paraId="128BB16B"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0.009</w:t>
            </w:r>
          </w:p>
        </w:tc>
        <w:tc>
          <w:tcPr>
            <w:tcW w:w="777" w:type="dxa"/>
            <w:vMerge w:val="restart"/>
            <w:tcBorders>
              <w:top w:val="nil"/>
              <w:left w:val="nil"/>
              <w:bottom w:val="nil"/>
              <w:right w:val="nil"/>
            </w:tcBorders>
            <w:shd w:val="clear" w:color="auto" w:fill="auto"/>
            <w:noWrap/>
            <w:vAlign w:val="center"/>
            <w:hideMark/>
          </w:tcPr>
          <w:p w14:paraId="142215F0"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0.000</w:t>
            </w:r>
          </w:p>
        </w:tc>
        <w:tc>
          <w:tcPr>
            <w:tcW w:w="794" w:type="dxa"/>
            <w:vMerge w:val="restart"/>
            <w:tcBorders>
              <w:top w:val="nil"/>
              <w:left w:val="nil"/>
              <w:bottom w:val="nil"/>
              <w:right w:val="nil"/>
            </w:tcBorders>
            <w:shd w:val="clear" w:color="auto" w:fill="auto"/>
            <w:noWrap/>
            <w:vAlign w:val="center"/>
            <w:hideMark/>
          </w:tcPr>
          <w:p w14:paraId="7AB05746"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0.023</w:t>
            </w:r>
          </w:p>
        </w:tc>
        <w:tc>
          <w:tcPr>
            <w:tcW w:w="1059" w:type="dxa"/>
            <w:vMerge w:val="restart"/>
            <w:tcBorders>
              <w:top w:val="nil"/>
              <w:left w:val="nil"/>
              <w:bottom w:val="nil"/>
              <w:right w:val="nil"/>
            </w:tcBorders>
            <w:shd w:val="clear" w:color="auto" w:fill="auto"/>
            <w:noWrap/>
            <w:vAlign w:val="center"/>
            <w:hideMark/>
          </w:tcPr>
          <w:p w14:paraId="5A111662"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-0.021</w:t>
            </w:r>
          </w:p>
        </w:tc>
        <w:tc>
          <w:tcPr>
            <w:tcW w:w="793" w:type="dxa"/>
            <w:vMerge w:val="restart"/>
            <w:tcBorders>
              <w:top w:val="nil"/>
              <w:left w:val="nil"/>
              <w:bottom w:val="nil"/>
              <w:right w:val="nil"/>
            </w:tcBorders>
            <w:shd w:val="clear" w:color="auto" w:fill="auto"/>
            <w:noWrap/>
            <w:vAlign w:val="center"/>
            <w:hideMark/>
          </w:tcPr>
          <w:p w14:paraId="5C94947A"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0.008</w:t>
            </w:r>
          </w:p>
        </w:tc>
        <w:tc>
          <w:tcPr>
            <w:tcW w:w="928" w:type="dxa"/>
            <w:vMerge w:val="restart"/>
            <w:tcBorders>
              <w:top w:val="nil"/>
              <w:left w:val="nil"/>
              <w:bottom w:val="nil"/>
              <w:right w:val="nil"/>
            </w:tcBorders>
            <w:shd w:val="clear" w:color="auto" w:fill="auto"/>
            <w:noWrap/>
            <w:vAlign w:val="center"/>
            <w:hideMark/>
          </w:tcPr>
          <w:p w14:paraId="4B10F538"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1.000</w:t>
            </w:r>
          </w:p>
        </w:tc>
        <w:tc>
          <w:tcPr>
            <w:tcW w:w="989" w:type="dxa"/>
            <w:vMerge w:val="restart"/>
            <w:tcBorders>
              <w:top w:val="nil"/>
              <w:left w:val="nil"/>
              <w:bottom w:val="nil"/>
              <w:right w:val="nil"/>
            </w:tcBorders>
            <w:shd w:val="clear" w:color="auto" w:fill="auto"/>
            <w:noWrap/>
            <w:vAlign w:val="center"/>
            <w:hideMark/>
          </w:tcPr>
          <w:p w14:paraId="649C4A92"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0.002</w:t>
            </w:r>
          </w:p>
        </w:tc>
        <w:tc>
          <w:tcPr>
            <w:tcW w:w="817" w:type="dxa"/>
            <w:vMerge w:val="restart"/>
            <w:tcBorders>
              <w:top w:val="nil"/>
              <w:left w:val="nil"/>
              <w:bottom w:val="nil"/>
              <w:right w:val="nil"/>
            </w:tcBorders>
            <w:shd w:val="clear" w:color="auto" w:fill="auto"/>
            <w:noWrap/>
            <w:vAlign w:val="center"/>
            <w:hideMark/>
          </w:tcPr>
          <w:p w14:paraId="5AE5AC16"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0.013</w:t>
            </w:r>
          </w:p>
        </w:tc>
        <w:tc>
          <w:tcPr>
            <w:tcW w:w="635" w:type="dxa"/>
            <w:vMerge w:val="restart"/>
            <w:tcBorders>
              <w:top w:val="nil"/>
              <w:left w:val="nil"/>
              <w:bottom w:val="nil"/>
              <w:right w:val="nil"/>
            </w:tcBorders>
            <w:shd w:val="clear" w:color="auto" w:fill="auto"/>
            <w:noWrap/>
            <w:vAlign w:val="center"/>
            <w:hideMark/>
          </w:tcPr>
          <w:p w14:paraId="3807BB28"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0.004</w:t>
            </w:r>
          </w:p>
        </w:tc>
        <w:tc>
          <w:tcPr>
            <w:tcW w:w="908" w:type="dxa"/>
            <w:vMerge w:val="restart"/>
            <w:tcBorders>
              <w:top w:val="nil"/>
              <w:left w:val="nil"/>
              <w:bottom w:val="nil"/>
              <w:right w:val="nil"/>
            </w:tcBorders>
            <w:shd w:val="clear" w:color="auto" w:fill="auto"/>
            <w:noWrap/>
            <w:vAlign w:val="center"/>
            <w:hideMark/>
          </w:tcPr>
          <w:p w14:paraId="1BA3CE57"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0.003</w:t>
            </w:r>
          </w:p>
        </w:tc>
        <w:tc>
          <w:tcPr>
            <w:tcW w:w="999" w:type="dxa"/>
            <w:vMerge w:val="restart"/>
            <w:tcBorders>
              <w:top w:val="nil"/>
              <w:left w:val="nil"/>
              <w:bottom w:val="nil"/>
              <w:right w:val="nil"/>
            </w:tcBorders>
            <w:shd w:val="clear" w:color="auto" w:fill="auto"/>
            <w:noWrap/>
            <w:vAlign w:val="center"/>
            <w:hideMark/>
          </w:tcPr>
          <w:p w14:paraId="762FAD27"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-0.023</w:t>
            </w:r>
          </w:p>
        </w:tc>
        <w:tc>
          <w:tcPr>
            <w:tcW w:w="908" w:type="dxa"/>
            <w:vMerge w:val="restart"/>
            <w:tcBorders>
              <w:top w:val="nil"/>
              <w:left w:val="nil"/>
              <w:bottom w:val="nil"/>
              <w:right w:val="nil"/>
            </w:tcBorders>
            <w:shd w:val="clear" w:color="auto" w:fill="auto"/>
            <w:noWrap/>
            <w:vAlign w:val="center"/>
            <w:hideMark/>
          </w:tcPr>
          <w:p w14:paraId="1E12B14C"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-0.018</w:t>
            </w:r>
          </w:p>
        </w:tc>
        <w:tc>
          <w:tcPr>
            <w:tcW w:w="794" w:type="dxa"/>
            <w:vMerge w:val="restart"/>
            <w:tcBorders>
              <w:top w:val="nil"/>
              <w:left w:val="nil"/>
              <w:bottom w:val="nil"/>
              <w:right w:val="nil"/>
            </w:tcBorders>
            <w:shd w:val="clear" w:color="auto" w:fill="auto"/>
            <w:noWrap/>
            <w:vAlign w:val="center"/>
            <w:hideMark/>
          </w:tcPr>
          <w:p w14:paraId="4E287B76"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-0.053</w:t>
            </w:r>
          </w:p>
        </w:tc>
      </w:tr>
      <w:tr w:rsidR="00CC4E50" w:rsidRPr="0099627D" w14:paraId="3073A1FE" w14:textId="77777777" w:rsidTr="00CC4E50">
        <w:trPr>
          <w:trHeight w:hRule="exact" w:val="167"/>
        </w:trPr>
        <w:tc>
          <w:tcPr>
            <w:tcW w:w="1264" w:type="dxa"/>
            <w:vMerge/>
            <w:tcBorders>
              <w:top w:val="nil"/>
              <w:bottom w:val="nil"/>
              <w:right w:val="nil"/>
            </w:tcBorders>
            <w:vAlign w:val="center"/>
            <w:hideMark/>
          </w:tcPr>
          <w:p w14:paraId="764C1F4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bottom w:val="nil"/>
              <w:right w:val="nil"/>
            </w:tcBorders>
            <w:vAlign w:val="center"/>
            <w:hideMark/>
          </w:tcPr>
          <w:p w14:paraId="615970C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bottom w:val="nil"/>
              <w:right w:val="nil"/>
            </w:tcBorders>
            <w:vAlign w:val="center"/>
            <w:hideMark/>
          </w:tcPr>
          <w:p w14:paraId="3F486C9E"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bottom w:val="nil"/>
              <w:right w:val="nil"/>
            </w:tcBorders>
            <w:vAlign w:val="center"/>
            <w:hideMark/>
          </w:tcPr>
          <w:p w14:paraId="587BB992"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1D8AFD8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bottom w:val="nil"/>
              <w:right w:val="nil"/>
            </w:tcBorders>
            <w:vAlign w:val="center"/>
            <w:hideMark/>
          </w:tcPr>
          <w:p w14:paraId="782C84DF"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bottom w:val="nil"/>
              <w:right w:val="nil"/>
            </w:tcBorders>
            <w:vAlign w:val="center"/>
            <w:hideMark/>
          </w:tcPr>
          <w:p w14:paraId="5EF249A2"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bottom w:val="nil"/>
              <w:right w:val="nil"/>
            </w:tcBorders>
            <w:vAlign w:val="center"/>
            <w:hideMark/>
          </w:tcPr>
          <w:p w14:paraId="0FFFB7F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bottom w:val="nil"/>
              <w:right w:val="nil"/>
            </w:tcBorders>
            <w:vAlign w:val="center"/>
            <w:hideMark/>
          </w:tcPr>
          <w:p w14:paraId="6041A96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bottom w:val="nil"/>
              <w:right w:val="nil"/>
            </w:tcBorders>
            <w:vAlign w:val="center"/>
            <w:hideMark/>
          </w:tcPr>
          <w:p w14:paraId="520D3F2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bottom w:val="nil"/>
              <w:right w:val="nil"/>
            </w:tcBorders>
            <w:vAlign w:val="center"/>
            <w:hideMark/>
          </w:tcPr>
          <w:p w14:paraId="613D3188"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03A2113E"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bottom w:val="nil"/>
              <w:right w:val="nil"/>
            </w:tcBorders>
            <w:vAlign w:val="center"/>
            <w:hideMark/>
          </w:tcPr>
          <w:p w14:paraId="7B7C1B09"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63262C3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4A7B353D"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4809E943" w14:textId="77777777" w:rsidTr="00CC4E50">
        <w:trPr>
          <w:trHeight w:hRule="exact" w:val="167"/>
        </w:trPr>
        <w:tc>
          <w:tcPr>
            <w:tcW w:w="1264" w:type="dxa"/>
            <w:vMerge/>
            <w:tcBorders>
              <w:top w:val="nil"/>
              <w:bottom w:val="nil"/>
              <w:right w:val="nil"/>
            </w:tcBorders>
            <w:vAlign w:val="center"/>
            <w:hideMark/>
          </w:tcPr>
          <w:p w14:paraId="5F1A693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bottom w:val="nil"/>
              <w:right w:val="nil"/>
            </w:tcBorders>
            <w:vAlign w:val="center"/>
            <w:hideMark/>
          </w:tcPr>
          <w:p w14:paraId="1343119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bottom w:val="nil"/>
              <w:right w:val="nil"/>
            </w:tcBorders>
            <w:vAlign w:val="center"/>
            <w:hideMark/>
          </w:tcPr>
          <w:p w14:paraId="0F068096"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bottom w:val="nil"/>
              <w:right w:val="nil"/>
            </w:tcBorders>
            <w:vAlign w:val="center"/>
            <w:hideMark/>
          </w:tcPr>
          <w:p w14:paraId="077FACD9"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4816B6B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bottom w:val="nil"/>
              <w:right w:val="nil"/>
            </w:tcBorders>
            <w:vAlign w:val="center"/>
            <w:hideMark/>
          </w:tcPr>
          <w:p w14:paraId="2A6C083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bottom w:val="nil"/>
              <w:right w:val="nil"/>
            </w:tcBorders>
            <w:vAlign w:val="center"/>
            <w:hideMark/>
          </w:tcPr>
          <w:p w14:paraId="0D84AE68"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bottom w:val="nil"/>
              <w:right w:val="nil"/>
            </w:tcBorders>
            <w:vAlign w:val="center"/>
            <w:hideMark/>
          </w:tcPr>
          <w:p w14:paraId="36237FA2"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bottom w:val="nil"/>
              <w:right w:val="nil"/>
            </w:tcBorders>
            <w:vAlign w:val="center"/>
            <w:hideMark/>
          </w:tcPr>
          <w:p w14:paraId="0AE4380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bottom w:val="nil"/>
              <w:right w:val="nil"/>
            </w:tcBorders>
            <w:vAlign w:val="center"/>
            <w:hideMark/>
          </w:tcPr>
          <w:p w14:paraId="7045432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bottom w:val="nil"/>
              <w:right w:val="nil"/>
            </w:tcBorders>
            <w:vAlign w:val="center"/>
            <w:hideMark/>
          </w:tcPr>
          <w:p w14:paraId="2C2DD8E8"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75E6F67F"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bottom w:val="nil"/>
              <w:right w:val="nil"/>
            </w:tcBorders>
            <w:vAlign w:val="center"/>
            <w:hideMark/>
          </w:tcPr>
          <w:p w14:paraId="388B6B83"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57A8405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6CB9ACA3"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4ADA63FD" w14:textId="77777777" w:rsidTr="00CC4E50">
        <w:trPr>
          <w:trHeight w:hRule="exact" w:val="167"/>
        </w:trPr>
        <w:tc>
          <w:tcPr>
            <w:tcW w:w="1264" w:type="dxa"/>
            <w:vMerge w:val="restart"/>
            <w:tcBorders>
              <w:top w:val="nil"/>
              <w:bottom w:val="nil"/>
              <w:right w:val="nil"/>
            </w:tcBorders>
            <w:shd w:val="clear" w:color="auto" w:fill="auto"/>
            <w:vAlign w:val="center"/>
            <w:hideMark/>
          </w:tcPr>
          <w:p w14:paraId="3F467FF7"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Cadmium</w:t>
            </w:r>
          </w:p>
        </w:tc>
        <w:tc>
          <w:tcPr>
            <w:tcW w:w="851" w:type="dxa"/>
            <w:vMerge w:val="restart"/>
            <w:tcBorders>
              <w:top w:val="nil"/>
              <w:left w:val="nil"/>
              <w:bottom w:val="nil"/>
              <w:right w:val="nil"/>
            </w:tcBorders>
            <w:shd w:val="clear" w:color="auto" w:fill="auto"/>
            <w:noWrap/>
            <w:vAlign w:val="center"/>
            <w:hideMark/>
          </w:tcPr>
          <w:p w14:paraId="0EA7EB4B"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0.047</w:t>
            </w:r>
          </w:p>
        </w:tc>
        <w:tc>
          <w:tcPr>
            <w:tcW w:w="803" w:type="dxa"/>
            <w:vMerge w:val="restart"/>
            <w:tcBorders>
              <w:top w:val="nil"/>
              <w:left w:val="nil"/>
              <w:bottom w:val="nil"/>
              <w:right w:val="nil"/>
            </w:tcBorders>
            <w:shd w:val="clear" w:color="auto" w:fill="auto"/>
            <w:noWrap/>
            <w:vAlign w:val="center"/>
            <w:hideMark/>
          </w:tcPr>
          <w:p w14:paraId="5AFA5770"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0.084</w:t>
            </w:r>
          </w:p>
        </w:tc>
        <w:tc>
          <w:tcPr>
            <w:tcW w:w="777" w:type="dxa"/>
            <w:vMerge w:val="restart"/>
            <w:tcBorders>
              <w:top w:val="nil"/>
              <w:left w:val="nil"/>
              <w:bottom w:val="nil"/>
              <w:right w:val="nil"/>
            </w:tcBorders>
            <w:shd w:val="clear" w:color="auto" w:fill="auto"/>
            <w:noWrap/>
            <w:vAlign w:val="center"/>
            <w:hideMark/>
          </w:tcPr>
          <w:p w14:paraId="50F9508F"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0.006</w:t>
            </w:r>
          </w:p>
        </w:tc>
        <w:tc>
          <w:tcPr>
            <w:tcW w:w="794" w:type="dxa"/>
            <w:vMerge w:val="restart"/>
            <w:tcBorders>
              <w:top w:val="nil"/>
              <w:left w:val="nil"/>
              <w:bottom w:val="nil"/>
              <w:right w:val="nil"/>
            </w:tcBorders>
            <w:shd w:val="clear" w:color="auto" w:fill="auto"/>
            <w:noWrap/>
            <w:vAlign w:val="center"/>
            <w:hideMark/>
          </w:tcPr>
          <w:p w14:paraId="079454DF"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0.013</w:t>
            </w:r>
          </w:p>
        </w:tc>
        <w:tc>
          <w:tcPr>
            <w:tcW w:w="1059" w:type="dxa"/>
            <w:vMerge w:val="restart"/>
            <w:tcBorders>
              <w:top w:val="nil"/>
              <w:left w:val="nil"/>
              <w:bottom w:val="nil"/>
              <w:right w:val="nil"/>
            </w:tcBorders>
            <w:shd w:val="clear" w:color="auto" w:fill="auto"/>
            <w:noWrap/>
            <w:vAlign w:val="center"/>
            <w:hideMark/>
          </w:tcPr>
          <w:p w14:paraId="60889719"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0.068</w:t>
            </w:r>
          </w:p>
        </w:tc>
        <w:tc>
          <w:tcPr>
            <w:tcW w:w="793" w:type="dxa"/>
            <w:vMerge w:val="restart"/>
            <w:tcBorders>
              <w:top w:val="nil"/>
              <w:left w:val="nil"/>
              <w:bottom w:val="nil"/>
              <w:right w:val="nil"/>
            </w:tcBorders>
            <w:shd w:val="clear" w:color="auto" w:fill="auto"/>
            <w:noWrap/>
            <w:vAlign w:val="center"/>
            <w:hideMark/>
          </w:tcPr>
          <w:p w14:paraId="73197ABD"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0.111</w:t>
            </w:r>
          </w:p>
        </w:tc>
        <w:tc>
          <w:tcPr>
            <w:tcW w:w="928" w:type="dxa"/>
            <w:vMerge w:val="restart"/>
            <w:tcBorders>
              <w:top w:val="nil"/>
              <w:left w:val="nil"/>
              <w:bottom w:val="nil"/>
              <w:right w:val="nil"/>
            </w:tcBorders>
            <w:shd w:val="clear" w:color="auto" w:fill="auto"/>
            <w:noWrap/>
            <w:vAlign w:val="center"/>
            <w:hideMark/>
          </w:tcPr>
          <w:p w14:paraId="33868AA3"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0.002</w:t>
            </w:r>
          </w:p>
        </w:tc>
        <w:tc>
          <w:tcPr>
            <w:tcW w:w="989" w:type="dxa"/>
            <w:vMerge w:val="restart"/>
            <w:tcBorders>
              <w:top w:val="nil"/>
              <w:left w:val="nil"/>
              <w:bottom w:val="nil"/>
              <w:right w:val="nil"/>
            </w:tcBorders>
            <w:shd w:val="clear" w:color="auto" w:fill="auto"/>
            <w:noWrap/>
            <w:vAlign w:val="center"/>
            <w:hideMark/>
          </w:tcPr>
          <w:p w14:paraId="4B81714C"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1.000</w:t>
            </w:r>
          </w:p>
        </w:tc>
        <w:tc>
          <w:tcPr>
            <w:tcW w:w="817" w:type="dxa"/>
            <w:vMerge w:val="restart"/>
            <w:tcBorders>
              <w:top w:val="nil"/>
              <w:left w:val="nil"/>
              <w:bottom w:val="nil"/>
              <w:right w:val="nil"/>
            </w:tcBorders>
            <w:shd w:val="clear" w:color="auto" w:fill="auto"/>
            <w:noWrap/>
            <w:vAlign w:val="center"/>
            <w:hideMark/>
          </w:tcPr>
          <w:p w14:paraId="3FE44188"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0.230</w:t>
            </w:r>
          </w:p>
        </w:tc>
        <w:tc>
          <w:tcPr>
            <w:tcW w:w="635" w:type="dxa"/>
            <w:vMerge w:val="restart"/>
            <w:tcBorders>
              <w:top w:val="nil"/>
              <w:left w:val="nil"/>
              <w:bottom w:val="nil"/>
              <w:right w:val="nil"/>
            </w:tcBorders>
            <w:shd w:val="clear" w:color="auto" w:fill="auto"/>
            <w:noWrap/>
            <w:vAlign w:val="center"/>
            <w:hideMark/>
          </w:tcPr>
          <w:p w14:paraId="32B2DED7"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0.370</w:t>
            </w:r>
          </w:p>
        </w:tc>
        <w:tc>
          <w:tcPr>
            <w:tcW w:w="908" w:type="dxa"/>
            <w:vMerge w:val="restart"/>
            <w:tcBorders>
              <w:top w:val="nil"/>
              <w:left w:val="nil"/>
              <w:bottom w:val="nil"/>
              <w:right w:val="nil"/>
            </w:tcBorders>
            <w:shd w:val="clear" w:color="auto" w:fill="auto"/>
            <w:noWrap/>
            <w:vAlign w:val="center"/>
            <w:hideMark/>
          </w:tcPr>
          <w:p w14:paraId="131BAF2E"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0.328</w:t>
            </w:r>
          </w:p>
        </w:tc>
        <w:tc>
          <w:tcPr>
            <w:tcW w:w="999" w:type="dxa"/>
            <w:vMerge w:val="restart"/>
            <w:tcBorders>
              <w:top w:val="nil"/>
              <w:left w:val="nil"/>
              <w:bottom w:val="nil"/>
              <w:right w:val="nil"/>
            </w:tcBorders>
            <w:shd w:val="clear" w:color="auto" w:fill="auto"/>
            <w:noWrap/>
            <w:vAlign w:val="center"/>
            <w:hideMark/>
          </w:tcPr>
          <w:p w14:paraId="281C3FB8"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0.166</w:t>
            </w:r>
          </w:p>
        </w:tc>
        <w:tc>
          <w:tcPr>
            <w:tcW w:w="908" w:type="dxa"/>
            <w:vMerge w:val="restart"/>
            <w:tcBorders>
              <w:top w:val="nil"/>
              <w:left w:val="nil"/>
              <w:bottom w:val="nil"/>
              <w:right w:val="nil"/>
            </w:tcBorders>
            <w:shd w:val="clear" w:color="auto" w:fill="auto"/>
            <w:noWrap/>
            <w:vAlign w:val="center"/>
            <w:hideMark/>
          </w:tcPr>
          <w:p w14:paraId="5EC53EAC"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0.197</w:t>
            </w:r>
          </w:p>
        </w:tc>
        <w:tc>
          <w:tcPr>
            <w:tcW w:w="794" w:type="dxa"/>
            <w:vMerge w:val="restart"/>
            <w:tcBorders>
              <w:top w:val="nil"/>
              <w:left w:val="nil"/>
              <w:bottom w:val="nil"/>
              <w:right w:val="nil"/>
            </w:tcBorders>
            <w:shd w:val="clear" w:color="auto" w:fill="auto"/>
            <w:noWrap/>
            <w:vAlign w:val="center"/>
            <w:hideMark/>
          </w:tcPr>
          <w:p w14:paraId="50023B9A"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0.008</w:t>
            </w:r>
          </w:p>
        </w:tc>
      </w:tr>
      <w:tr w:rsidR="00CC4E50" w:rsidRPr="0099627D" w14:paraId="64763523" w14:textId="77777777" w:rsidTr="00CC4E50">
        <w:trPr>
          <w:trHeight w:hRule="exact" w:val="167"/>
        </w:trPr>
        <w:tc>
          <w:tcPr>
            <w:tcW w:w="1264" w:type="dxa"/>
            <w:vMerge/>
            <w:tcBorders>
              <w:top w:val="nil"/>
              <w:bottom w:val="nil"/>
              <w:right w:val="nil"/>
            </w:tcBorders>
            <w:vAlign w:val="center"/>
            <w:hideMark/>
          </w:tcPr>
          <w:p w14:paraId="373ACCCF"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bottom w:val="nil"/>
              <w:right w:val="nil"/>
            </w:tcBorders>
            <w:vAlign w:val="center"/>
            <w:hideMark/>
          </w:tcPr>
          <w:p w14:paraId="65CFF5B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bottom w:val="nil"/>
              <w:right w:val="nil"/>
            </w:tcBorders>
            <w:vAlign w:val="center"/>
            <w:hideMark/>
          </w:tcPr>
          <w:p w14:paraId="7612697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bottom w:val="nil"/>
              <w:right w:val="nil"/>
            </w:tcBorders>
            <w:vAlign w:val="center"/>
            <w:hideMark/>
          </w:tcPr>
          <w:p w14:paraId="3B65AB7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4670B48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bottom w:val="nil"/>
              <w:right w:val="nil"/>
            </w:tcBorders>
            <w:vAlign w:val="center"/>
            <w:hideMark/>
          </w:tcPr>
          <w:p w14:paraId="6CCB4C6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bottom w:val="nil"/>
              <w:right w:val="nil"/>
            </w:tcBorders>
            <w:vAlign w:val="center"/>
            <w:hideMark/>
          </w:tcPr>
          <w:p w14:paraId="4E3EFAB0"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bottom w:val="nil"/>
              <w:right w:val="nil"/>
            </w:tcBorders>
            <w:vAlign w:val="center"/>
            <w:hideMark/>
          </w:tcPr>
          <w:p w14:paraId="612401B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bottom w:val="nil"/>
              <w:right w:val="nil"/>
            </w:tcBorders>
            <w:vAlign w:val="center"/>
            <w:hideMark/>
          </w:tcPr>
          <w:p w14:paraId="3D63744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bottom w:val="nil"/>
              <w:right w:val="nil"/>
            </w:tcBorders>
            <w:vAlign w:val="center"/>
            <w:hideMark/>
          </w:tcPr>
          <w:p w14:paraId="2B7149C6"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bottom w:val="nil"/>
              <w:right w:val="nil"/>
            </w:tcBorders>
            <w:vAlign w:val="center"/>
            <w:hideMark/>
          </w:tcPr>
          <w:p w14:paraId="3427F35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7BAE41B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bottom w:val="nil"/>
              <w:right w:val="nil"/>
            </w:tcBorders>
            <w:vAlign w:val="center"/>
            <w:hideMark/>
          </w:tcPr>
          <w:p w14:paraId="671BFAC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377049F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69D30A08"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5238BAB6" w14:textId="77777777" w:rsidTr="00CC4E50">
        <w:trPr>
          <w:trHeight w:hRule="exact" w:val="167"/>
        </w:trPr>
        <w:tc>
          <w:tcPr>
            <w:tcW w:w="1264" w:type="dxa"/>
            <w:vMerge w:val="restart"/>
            <w:tcBorders>
              <w:top w:val="nil"/>
              <w:bottom w:val="nil"/>
              <w:right w:val="nil"/>
            </w:tcBorders>
            <w:shd w:val="clear" w:color="auto" w:fill="auto"/>
            <w:vAlign w:val="center"/>
            <w:hideMark/>
          </w:tcPr>
          <w:p w14:paraId="25E16DA3"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Diesel Exhaust</w:t>
            </w:r>
          </w:p>
        </w:tc>
        <w:tc>
          <w:tcPr>
            <w:tcW w:w="851" w:type="dxa"/>
            <w:vMerge w:val="restart"/>
            <w:tcBorders>
              <w:top w:val="nil"/>
              <w:left w:val="nil"/>
              <w:bottom w:val="nil"/>
              <w:right w:val="nil"/>
            </w:tcBorders>
            <w:shd w:val="clear" w:color="auto" w:fill="auto"/>
            <w:noWrap/>
            <w:vAlign w:val="center"/>
            <w:hideMark/>
          </w:tcPr>
          <w:p w14:paraId="5437CB99"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0.082</w:t>
            </w:r>
          </w:p>
        </w:tc>
        <w:tc>
          <w:tcPr>
            <w:tcW w:w="803" w:type="dxa"/>
            <w:vMerge w:val="restart"/>
            <w:tcBorders>
              <w:top w:val="nil"/>
              <w:left w:val="nil"/>
              <w:bottom w:val="nil"/>
              <w:right w:val="nil"/>
            </w:tcBorders>
            <w:shd w:val="clear" w:color="auto" w:fill="auto"/>
            <w:noWrap/>
            <w:vAlign w:val="center"/>
            <w:hideMark/>
          </w:tcPr>
          <w:p w14:paraId="7B8A8E0F"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-0.011</w:t>
            </w:r>
          </w:p>
        </w:tc>
        <w:tc>
          <w:tcPr>
            <w:tcW w:w="777" w:type="dxa"/>
            <w:vMerge w:val="restart"/>
            <w:tcBorders>
              <w:top w:val="nil"/>
              <w:left w:val="nil"/>
              <w:bottom w:val="nil"/>
              <w:right w:val="nil"/>
            </w:tcBorders>
            <w:shd w:val="clear" w:color="auto" w:fill="auto"/>
            <w:noWrap/>
            <w:vAlign w:val="center"/>
            <w:hideMark/>
          </w:tcPr>
          <w:p w14:paraId="0D78E1B8"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0.006</w:t>
            </w:r>
          </w:p>
        </w:tc>
        <w:tc>
          <w:tcPr>
            <w:tcW w:w="794" w:type="dxa"/>
            <w:vMerge w:val="restart"/>
            <w:tcBorders>
              <w:top w:val="nil"/>
              <w:left w:val="nil"/>
              <w:bottom w:val="nil"/>
              <w:right w:val="nil"/>
            </w:tcBorders>
            <w:shd w:val="clear" w:color="auto" w:fill="auto"/>
            <w:noWrap/>
            <w:vAlign w:val="center"/>
            <w:hideMark/>
          </w:tcPr>
          <w:p w14:paraId="71780484"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0.074</w:t>
            </w:r>
          </w:p>
        </w:tc>
        <w:tc>
          <w:tcPr>
            <w:tcW w:w="1059" w:type="dxa"/>
            <w:vMerge w:val="restart"/>
            <w:tcBorders>
              <w:top w:val="nil"/>
              <w:left w:val="nil"/>
              <w:bottom w:val="nil"/>
              <w:right w:val="nil"/>
            </w:tcBorders>
            <w:shd w:val="clear" w:color="auto" w:fill="auto"/>
            <w:noWrap/>
            <w:vAlign w:val="center"/>
            <w:hideMark/>
          </w:tcPr>
          <w:p w14:paraId="24523065"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0.066</w:t>
            </w:r>
          </w:p>
        </w:tc>
        <w:tc>
          <w:tcPr>
            <w:tcW w:w="793" w:type="dxa"/>
            <w:vMerge w:val="restart"/>
            <w:tcBorders>
              <w:top w:val="nil"/>
              <w:left w:val="nil"/>
              <w:bottom w:val="nil"/>
              <w:right w:val="nil"/>
            </w:tcBorders>
            <w:shd w:val="clear" w:color="auto" w:fill="auto"/>
            <w:noWrap/>
            <w:vAlign w:val="center"/>
            <w:hideMark/>
          </w:tcPr>
          <w:p w14:paraId="001750A9"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0.132</w:t>
            </w:r>
          </w:p>
        </w:tc>
        <w:tc>
          <w:tcPr>
            <w:tcW w:w="928" w:type="dxa"/>
            <w:vMerge w:val="restart"/>
            <w:tcBorders>
              <w:top w:val="nil"/>
              <w:left w:val="nil"/>
              <w:bottom w:val="nil"/>
              <w:right w:val="nil"/>
            </w:tcBorders>
            <w:shd w:val="clear" w:color="auto" w:fill="auto"/>
            <w:noWrap/>
            <w:vAlign w:val="center"/>
            <w:hideMark/>
          </w:tcPr>
          <w:p w14:paraId="197E1F31"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0.013</w:t>
            </w:r>
          </w:p>
        </w:tc>
        <w:tc>
          <w:tcPr>
            <w:tcW w:w="989" w:type="dxa"/>
            <w:vMerge w:val="restart"/>
            <w:tcBorders>
              <w:top w:val="nil"/>
              <w:left w:val="nil"/>
              <w:bottom w:val="nil"/>
              <w:right w:val="nil"/>
            </w:tcBorders>
            <w:shd w:val="clear" w:color="auto" w:fill="auto"/>
            <w:noWrap/>
            <w:vAlign w:val="center"/>
            <w:hideMark/>
          </w:tcPr>
          <w:p w14:paraId="167F4C55"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0.230</w:t>
            </w:r>
          </w:p>
        </w:tc>
        <w:tc>
          <w:tcPr>
            <w:tcW w:w="817" w:type="dxa"/>
            <w:vMerge w:val="restart"/>
            <w:tcBorders>
              <w:top w:val="nil"/>
              <w:left w:val="nil"/>
              <w:bottom w:val="nil"/>
              <w:right w:val="nil"/>
            </w:tcBorders>
            <w:shd w:val="clear" w:color="auto" w:fill="auto"/>
            <w:noWrap/>
            <w:vAlign w:val="center"/>
            <w:hideMark/>
          </w:tcPr>
          <w:p w14:paraId="2CA01C7C"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1.000</w:t>
            </w:r>
          </w:p>
        </w:tc>
        <w:tc>
          <w:tcPr>
            <w:tcW w:w="635" w:type="dxa"/>
            <w:vMerge w:val="restart"/>
            <w:tcBorders>
              <w:top w:val="nil"/>
              <w:left w:val="nil"/>
              <w:bottom w:val="nil"/>
              <w:right w:val="nil"/>
            </w:tcBorders>
            <w:shd w:val="clear" w:color="auto" w:fill="auto"/>
            <w:noWrap/>
            <w:vAlign w:val="center"/>
            <w:hideMark/>
          </w:tcPr>
          <w:p w14:paraId="15718CE5"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0.303</w:t>
            </w:r>
          </w:p>
        </w:tc>
        <w:tc>
          <w:tcPr>
            <w:tcW w:w="908" w:type="dxa"/>
            <w:vMerge w:val="restart"/>
            <w:tcBorders>
              <w:top w:val="nil"/>
              <w:left w:val="nil"/>
              <w:bottom w:val="nil"/>
              <w:right w:val="nil"/>
            </w:tcBorders>
            <w:shd w:val="clear" w:color="auto" w:fill="auto"/>
            <w:noWrap/>
            <w:vAlign w:val="center"/>
            <w:hideMark/>
          </w:tcPr>
          <w:p w14:paraId="4036F845"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0.361</w:t>
            </w:r>
          </w:p>
        </w:tc>
        <w:tc>
          <w:tcPr>
            <w:tcW w:w="999" w:type="dxa"/>
            <w:vMerge w:val="restart"/>
            <w:tcBorders>
              <w:top w:val="nil"/>
              <w:left w:val="nil"/>
              <w:bottom w:val="nil"/>
              <w:right w:val="nil"/>
            </w:tcBorders>
            <w:shd w:val="clear" w:color="auto" w:fill="auto"/>
            <w:noWrap/>
            <w:vAlign w:val="center"/>
            <w:hideMark/>
          </w:tcPr>
          <w:p w14:paraId="17DF490F"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0.132</w:t>
            </w:r>
          </w:p>
        </w:tc>
        <w:tc>
          <w:tcPr>
            <w:tcW w:w="908" w:type="dxa"/>
            <w:vMerge w:val="restart"/>
            <w:tcBorders>
              <w:top w:val="nil"/>
              <w:left w:val="nil"/>
              <w:bottom w:val="nil"/>
              <w:right w:val="nil"/>
            </w:tcBorders>
            <w:shd w:val="clear" w:color="auto" w:fill="auto"/>
            <w:noWrap/>
            <w:vAlign w:val="center"/>
            <w:hideMark/>
          </w:tcPr>
          <w:p w14:paraId="6C027DB1"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0.168</w:t>
            </w:r>
          </w:p>
        </w:tc>
        <w:tc>
          <w:tcPr>
            <w:tcW w:w="794" w:type="dxa"/>
            <w:vMerge w:val="restart"/>
            <w:tcBorders>
              <w:top w:val="nil"/>
              <w:left w:val="nil"/>
              <w:bottom w:val="nil"/>
              <w:right w:val="nil"/>
            </w:tcBorders>
            <w:shd w:val="clear" w:color="auto" w:fill="auto"/>
            <w:noWrap/>
            <w:vAlign w:val="center"/>
            <w:hideMark/>
          </w:tcPr>
          <w:p w14:paraId="369CE6D0"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-0.040</w:t>
            </w:r>
          </w:p>
        </w:tc>
      </w:tr>
      <w:tr w:rsidR="00CC4E50" w:rsidRPr="0099627D" w14:paraId="73D86D6E" w14:textId="77777777" w:rsidTr="00CC4E50">
        <w:trPr>
          <w:trHeight w:hRule="exact" w:val="167"/>
        </w:trPr>
        <w:tc>
          <w:tcPr>
            <w:tcW w:w="1264" w:type="dxa"/>
            <w:vMerge/>
            <w:tcBorders>
              <w:top w:val="nil"/>
              <w:bottom w:val="nil"/>
              <w:right w:val="nil"/>
            </w:tcBorders>
            <w:vAlign w:val="center"/>
            <w:hideMark/>
          </w:tcPr>
          <w:p w14:paraId="655FC37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bottom w:val="nil"/>
              <w:right w:val="nil"/>
            </w:tcBorders>
            <w:vAlign w:val="center"/>
            <w:hideMark/>
          </w:tcPr>
          <w:p w14:paraId="25DB776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bottom w:val="nil"/>
              <w:right w:val="nil"/>
            </w:tcBorders>
            <w:vAlign w:val="center"/>
            <w:hideMark/>
          </w:tcPr>
          <w:p w14:paraId="6F80F1A6"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bottom w:val="nil"/>
              <w:right w:val="nil"/>
            </w:tcBorders>
            <w:vAlign w:val="center"/>
            <w:hideMark/>
          </w:tcPr>
          <w:p w14:paraId="40C36CD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2433073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bottom w:val="nil"/>
              <w:right w:val="nil"/>
            </w:tcBorders>
            <w:vAlign w:val="center"/>
            <w:hideMark/>
          </w:tcPr>
          <w:p w14:paraId="54A888A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bottom w:val="nil"/>
              <w:right w:val="nil"/>
            </w:tcBorders>
            <w:vAlign w:val="center"/>
            <w:hideMark/>
          </w:tcPr>
          <w:p w14:paraId="608FF118"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bottom w:val="nil"/>
              <w:right w:val="nil"/>
            </w:tcBorders>
            <w:vAlign w:val="center"/>
            <w:hideMark/>
          </w:tcPr>
          <w:p w14:paraId="0D2111E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bottom w:val="nil"/>
              <w:right w:val="nil"/>
            </w:tcBorders>
            <w:vAlign w:val="center"/>
            <w:hideMark/>
          </w:tcPr>
          <w:p w14:paraId="48B922F0"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bottom w:val="nil"/>
              <w:right w:val="nil"/>
            </w:tcBorders>
            <w:vAlign w:val="center"/>
            <w:hideMark/>
          </w:tcPr>
          <w:p w14:paraId="017E1E5E"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bottom w:val="nil"/>
              <w:right w:val="nil"/>
            </w:tcBorders>
            <w:vAlign w:val="center"/>
            <w:hideMark/>
          </w:tcPr>
          <w:p w14:paraId="5E5FB312"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186598D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bottom w:val="nil"/>
              <w:right w:val="nil"/>
            </w:tcBorders>
            <w:vAlign w:val="center"/>
            <w:hideMark/>
          </w:tcPr>
          <w:p w14:paraId="0CA5A3F0"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498EDF4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09180C92"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380C4019" w14:textId="77777777" w:rsidTr="00CC4E50">
        <w:trPr>
          <w:trHeight w:hRule="exact" w:val="167"/>
        </w:trPr>
        <w:tc>
          <w:tcPr>
            <w:tcW w:w="1264" w:type="dxa"/>
            <w:vMerge/>
            <w:tcBorders>
              <w:top w:val="nil"/>
              <w:bottom w:val="nil"/>
              <w:right w:val="nil"/>
            </w:tcBorders>
            <w:vAlign w:val="center"/>
            <w:hideMark/>
          </w:tcPr>
          <w:p w14:paraId="50EB04AE"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bottom w:val="nil"/>
              <w:right w:val="nil"/>
            </w:tcBorders>
            <w:vAlign w:val="center"/>
            <w:hideMark/>
          </w:tcPr>
          <w:p w14:paraId="631F5A7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bottom w:val="nil"/>
              <w:right w:val="nil"/>
            </w:tcBorders>
            <w:vAlign w:val="center"/>
            <w:hideMark/>
          </w:tcPr>
          <w:p w14:paraId="44DE0CC6"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bottom w:val="nil"/>
              <w:right w:val="nil"/>
            </w:tcBorders>
            <w:vAlign w:val="center"/>
            <w:hideMark/>
          </w:tcPr>
          <w:p w14:paraId="159CF2B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4117B703"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bottom w:val="nil"/>
              <w:right w:val="nil"/>
            </w:tcBorders>
            <w:vAlign w:val="center"/>
            <w:hideMark/>
          </w:tcPr>
          <w:p w14:paraId="45D4BCD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bottom w:val="nil"/>
              <w:right w:val="nil"/>
            </w:tcBorders>
            <w:vAlign w:val="center"/>
            <w:hideMark/>
          </w:tcPr>
          <w:p w14:paraId="0D5D5A4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bottom w:val="nil"/>
              <w:right w:val="nil"/>
            </w:tcBorders>
            <w:vAlign w:val="center"/>
            <w:hideMark/>
          </w:tcPr>
          <w:p w14:paraId="515D04E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bottom w:val="nil"/>
              <w:right w:val="nil"/>
            </w:tcBorders>
            <w:vAlign w:val="center"/>
            <w:hideMark/>
          </w:tcPr>
          <w:p w14:paraId="7892B53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bottom w:val="nil"/>
              <w:right w:val="nil"/>
            </w:tcBorders>
            <w:vAlign w:val="center"/>
            <w:hideMark/>
          </w:tcPr>
          <w:p w14:paraId="2F3FC76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bottom w:val="nil"/>
              <w:right w:val="nil"/>
            </w:tcBorders>
            <w:vAlign w:val="center"/>
            <w:hideMark/>
          </w:tcPr>
          <w:p w14:paraId="3CD12643"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3EB5B780"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bottom w:val="nil"/>
              <w:right w:val="nil"/>
            </w:tcBorders>
            <w:vAlign w:val="center"/>
            <w:hideMark/>
          </w:tcPr>
          <w:p w14:paraId="5C4D7733"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22E2C73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7101E4E4"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22CBE925" w14:textId="77777777" w:rsidTr="00CC4E50">
        <w:trPr>
          <w:trHeight w:hRule="exact" w:val="167"/>
        </w:trPr>
        <w:tc>
          <w:tcPr>
            <w:tcW w:w="1264" w:type="dxa"/>
            <w:vMerge w:val="restart"/>
            <w:tcBorders>
              <w:top w:val="nil"/>
              <w:bottom w:val="nil"/>
              <w:right w:val="nil"/>
            </w:tcBorders>
            <w:shd w:val="clear" w:color="auto" w:fill="auto"/>
            <w:vAlign w:val="center"/>
            <w:hideMark/>
          </w:tcPr>
          <w:p w14:paraId="4903D985"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Silica</w:t>
            </w:r>
          </w:p>
        </w:tc>
        <w:tc>
          <w:tcPr>
            <w:tcW w:w="851" w:type="dxa"/>
            <w:vMerge w:val="restart"/>
            <w:tcBorders>
              <w:top w:val="nil"/>
              <w:left w:val="nil"/>
              <w:bottom w:val="nil"/>
              <w:right w:val="nil"/>
            </w:tcBorders>
            <w:shd w:val="clear" w:color="auto" w:fill="auto"/>
            <w:noWrap/>
            <w:vAlign w:val="center"/>
            <w:hideMark/>
          </w:tcPr>
          <w:p w14:paraId="33BCA65F"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0.056</w:t>
            </w:r>
          </w:p>
        </w:tc>
        <w:tc>
          <w:tcPr>
            <w:tcW w:w="803" w:type="dxa"/>
            <w:vMerge w:val="restart"/>
            <w:tcBorders>
              <w:top w:val="nil"/>
              <w:left w:val="nil"/>
              <w:bottom w:val="nil"/>
              <w:right w:val="nil"/>
            </w:tcBorders>
            <w:shd w:val="clear" w:color="auto" w:fill="auto"/>
            <w:noWrap/>
            <w:vAlign w:val="center"/>
            <w:hideMark/>
          </w:tcPr>
          <w:p w14:paraId="6747694B"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0.046</w:t>
            </w:r>
          </w:p>
        </w:tc>
        <w:tc>
          <w:tcPr>
            <w:tcW w:w="777" w:type="dxa"/>
            <w:vMerge w:val="restart"/>
            <w:tcBorders>
              <w:top w:val="nil"/>
              <w:left w:val="nil"/>
              <w:bottom w:val="nil"/>
              <w:right w:val="nil"/>
            </w:tcBorders>
            <w:shd w:val="clear" w:color="auto" w:fill="auto"/>
            <w:noWrap/>
            <w:vAlign w:val="center"/>
            <w:hideMark/>
          </w:tcPr>
          <w:p w14:paraId="399F59D5"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0.002</w:t>
            </w:r>
          </w:p>
        </w:tc>
        <w:tc>
          <w:tcPr>
            <w:tcW w:w="794" w:type="dxa"/>
            <w:vMerge w:val="restart"/>
            <w:tcBorders>
              <w:top w:val="nil"/>
              <w:left w:val="nil"/>
              <w:bottom w:val="nil"/>
              <w:right w:val="nil"/>
            </w:tcBorders>
            <w:shd w:val="clear" w:color="auto" w:fill="auto"/>
            <w:noWrap/>
            <w:vAlign w:val="center"/>
            <w:hideMark/>
          </w:tcPr>
          <w:p w14:paraId="31461653"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-0.001</w:t>
            </w:r>
          </w:p>
        </w:tc>
        <w:tc>
          <w:tcPr>
            <w:tcW w:w="1059" w:type="dxa"/>
            <w:vMerge w:val="restart"/>
            <w:tcBorders>
              <w:top w:val="nil"/>
              <w:left w:val="nil"/>
              <w:bottom w:val="nil"/>
              <w:right w:val="nil"/>
            </w:tcBorders>
            <w:shd w:val="clear" w:color="auto" w:fill="auto"/>
            <w:noWrap/>
            <w:vAlign w:val="center"/>
            <w:hideMark/>
          </w:tcPr>
          <w:p w14:paraId="68D32EBD"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0.066</w:t>
            </w:r>
          </w:p>
        </w:tc>
        <w:tc>
          <w:tcPr>
            <w:tcW w:w="793" w:type="dxa"/>
            <w:vMerge w:val="restart"/>
            <w:tcBorders>
              <w:top w:val="nil"/>
              <w:left w:val="nil"/>
              <w:bottom w:val="nil"/>
              <w:right w:val="nil"/>
            </w:tcBorders>
            <w:shd w:val="clear" w:color="auto" w:fill="auto"/>
            <w:noWrap/>
            <w:vAlign w:val="center"/>
            <w:hideMark/>
          </w:tcPr>
          <w:p w14:paraId="08B4F888"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0.081</w:t>
            </w:r>
          </w:p>
        </w:tc>
        <w:tc>
          <w:tcPr>
            <w:tcW w:w="928" w:type="dxa"/>
            <w:vMerge w:val="restart"/>
            <w:tcBorders>
              <w:top w:val="nil"/>
              <w:left w:val="nil"/>
              <w:bottom w:val="nil"/>
              <w:right w:val="nil"/>
            </w:tcBorders>
            <w:shd w:val="clear" w:color="auto" w:fill="auto"/>
            <w:noWrap/>
            <w:vAlign w:val="center"/>
            <w:hideMark/>
          </w:tcPr>
          <w:p w14:paraId="21AF3427"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0.004</w:t>
            </w:r>
          </w:p>
        </w:tc>
        <w:tc>
          <w:tcPr>
            <w:tcW w:w="989" w:type="dxa"/>
            <w:vMerge w:val="restart"/>
            <w:tcBorders>
              <w:top w:val="nil"/>
              <w:left w:val="nil"/>
              <w:bottom w:val="nil"/>
              <w:right w:val="nil"/>
            </w:tcBorders>
            <w:shd w:val="clear" w:color="auto" w:fill="auto"/>
            <w:noWrap/>
            <w:vAlign w:val="center"/>
            <w:hideMark/>
          </w:tcPr>
          <w:p w14:paraId="59707F3A"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0.370</w:t>
            </w:r>
          </w:p>
        </w:tc>
        <w:tc>
          <w:tcPr>
            <w:tcW w:w="817" w:type="dxa"/>
            <w:vMerge w:val="restart"/>
            <w:tcBorders>
              <w:top w:val="nil"/>
              <w:left w:val="nil"/>
              <w:bottom w:val="nil"/>
              <w:right w:val="nil"/>
            </w:tcBorders>
            <w:shd w:val="clear" w:color="auto" w:fill="auto"/>
            <w:noWrap/>
            <w:vAlign w:val="center"/>
            <w:hideMark/>
          </w:tcPr>
          <w:p w14:paraId="4BCDC3B7"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0.303</w:t>
            </w:r>
          </w:p>
        </w:tc>
        <w:tc>
          <w:tcPr>
            <w:tcW w:w="635" w:type="dxa"/>
            <w:vMerge w:val="restart"/>
            <w:tcBorders>
              <w:top w:val="nil"/>
              <w:left w:val="nil"/>
              <w:bottom w:val="nil"/>
              <w:right w:val="nil"/>
            </w:tcBorders>
            <w:shd w:val="clear" w:color="auto" w:fill="auto"/>
            <w:noWrap/>
            <w:vAlign w:val="center"/>
            <w:hideMark/>
          </w:tcPr>
          <w:p w14:paraId="2FDA0FAF"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1.000</w:t>
            </w:r>
          </w:p>
        </w:tc>
        <w:tc>
          <w:tcPr>
            <w:tcW w:w="908" w:type="dxa"/>
            <w:vMerge w:val="restart"/>
            <w:tcBorders>
              <w:top w:val="nil"/>
              <w:left w:val="nil"/>
              <w:bottom w:val="nil"/>
              <w:right w:val="nil"/>
            </w:tcBorders>
            <w:shd w:val="clear" w:color="auto" w:fill="auto"/>
            <w:noWrap/>
            <w:vAlign w:val="center"/>
            <w:hideMark/>
          </w:tcPr>
          <w:p w14:paraId="5B987BFF"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0.364</w:t>
            </w:r>
          </w:p>
        </w:tc>
        <w:tc>
          <w:tcPr>
            <w:tcW w:w="999" w:type="dxa"/>
            <w:vMerge w:val="restart"/>
            <w:tcBorders>
              <w:top w:val="nil"/>
              <w:left w:val="nil"/>
              <w:bottom w:val="nil"/>
              <w:right w:val="nil"/>
            </w:tcBorders>
            <w:shd w:val="clear" w:color="auto" w:fill="auto"/>
            <w:noWrap/>
            <w:vAlign w:val="center"/>
            <w:hideMark/>
          </w:tcPr>
          <w:p w14:paraId="03D9D429"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0.133</w:t>
            </w:r>
          </w:p>
        </w:tc>
        <w:tc>
          <w:tcPr>
            <w:tcW w:w="908" w:type="dxa"/>
            <w:vMerge w:val="restart"/>
            <w:tcBorders>
              <w:top w:val="nil"/>
              <w:left w:val="nil"/>
              <w:bottom w:val="nil"/>
              <w:right w:val="nil"/>
            </w:tcBorders>
            <w:shd w:val="clear" w:color="auto" w:fill="auto"/>
            <w:noWrap/>
            <w:vAlign w:val="center"/>
            <w:hideMark/>
          </w:tcPr>
          <w:p w14:paraId="56ACD94C"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0.160</w:t>
            </w:r>
          </w:p>
        </w:tc>
        <w:tc>
          <w:tcPr>
            <w:tcW w:w="794" w:type="dxa"/>
            <w:vMerge w:val="restart"/>
            <w:tcBorders>
              <w:top w:val="nil"/>
              <w:left w:val="nil"/>
              <w:bottom w:val="nil"/>
              <w:right w:val="nil"/>
            </w:tcBorders>
            <w:shd w:val="clear" w:color="auto" w:fill="auto"/>
            <w:noWrap/>
            <w:vAlign w:val="center"/>
            <w:hideMark/>
          </w:tcPr>
          <w:p w14:paraId="40191F7C"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-0.029</w:t>
            </w:r>
          </w:p>
        </w:tc>
      </w:tr>
      <w:tr w:rsidR="00CC4E50" w:rsidRPr="0099627D" w14:paraId="4BCCFBEF" w14:textId="77777777" w:rsidTr="00CC4E50">
        <w:trPr>
          <w:trHeight w:hRule="exact" w:val="167"/>
        </w:trPr>
        <w:tc>
          <w:tcPr>
            <w:tcW w:w="1264" w:type="dxa"/>
            <w:vMerge/>
            <w:tcBorders>
              <w:top w:val="nil"/>
              <w:bottom w:val="nil"/>
              <w:right w:val="nil"/>
            </w:tcBorders>
            <w:vAlign w:val="center"/>
            <w:hideMark/>
          </w:tcPr>
          <w:p w14:paraId="03BBF322"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bottom w:val="nil"/>
              <w:right w:val="nil"/>
            </w:tcBorders>
            <w:vAlign w:val="center"/>
            <w:hideMark/>
          </w:tcPr>
          <w:p w14:paraId="5C6B05C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bottom w:val="nil"/>
              <w:right w:val="nil"/>
            </w:tcBorders>
            <w:vAlign w:val="center"/>
            <w:hideMark/>
          </w:tcPr>
          <w:p w14:paraId="10C9F732"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bottom w:val="nil"/>
              <w:right w:val="nil"/>
            </w:tcBorders>
            <w:vAlign w:val="center"/>
            <w:hideMark/>
          </w:tcPr>
          <w:p w14:paraId="2F1CE05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01D7B67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bottom w:val="nil"/>
              <w:right w:val="nil"/>
            </w:tcBorders>
            <w:vAlign w:val="center"/>
            <w:hideMark/>
          </w:tcPr>
          <w:p w14:paraId="4B7F9792"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bottom w:val="nil"/>
              <w:right w:val="nil"/>
            </w:tcBorders>
            <w:vAlign w:val="center"/>
            <w:hideMark/>
          </w:tcPr>
          <w:p w14:paraId="78E6998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bottom w:val="nil"/>
              <w:right w:val="nil"/>
            </w:tcBorders>
            <w:vAlign w:val="center"/>
            <w:hideMark/>
          </w:tcPr>
          <w:p w14:paraId="419D9B1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bottom w:val="nil"/>
              <w:right w:val="nil"/>
            </w:tcBorders>
            <w:vAlign w:val="center"/>
            <w:hideMark/>
          </w:tcPr>
          <w:p w14:paraId="5653149F"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bottom w:val="nil"/>
              <w:right w:val="nil"/>
            </w:tcBorders>
            <w:vAlign w:val="center"/>
            <w:hideMark/>
          </w:tcPr>
          <w:p w14:paraId="4C4B071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bottom w:val="nil"/>
              <w:right w:val="nil"/>
            </w:tcBorders>
            <w:vAlign w:val="center"/>
            <w:hideMark/>
          </w:tcPr>
          <w:p w14:paraId="755C6D7F"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75E1A768"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bottom w:val="nil"/>
              <w:right w:val="nil"/>
            </w:tcBorders>
            <w:vAlign w:val="center"/>
            <w:hideMark/>
          </w:tcPr>
          <w:p w14:paraId="6CE02DC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6F49F666"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037E9AAC"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0079B76C" w14:textId="77777777" w:rsidTr="00CC4E50">
        <w:trPr>
          <w:trHeight w:hRule="exact" w:val="167"/>
        </w:trPr>
        <w:tc>
          <w:tcPr>
            <w:tcW w:w="1264" w:type="dxa"/>
            <w:vMerge/>
            <w:tcBorders>
              <w:top w:val="nil"/>
              <w:bottom w:val="nil"/>
              <w:right w:val="nil"/>
            </w:tcBorders>
            <w:vAlign w:val="center"/>
            <w:hideMark/>
          </w:tcPr>
          <w:p w14:paraId="11E9D7B8"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bottom w:val="nil"/>
              <w:right w:val="nil"/>
            </w:tcBorders>
            <w:vAlign w:val="center"/>
            <w:hideMark/>
          </w:tcPr>
          <w:p w14:paraId="530563C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bottom w:val="nil"/>
              <w:right w:val="nil"/>
            </w:tcBorders>
            <w:vAlign w:val="center"/>
            <w:hideMark/>
          </w:tcPr>
          <w:p w14:paraId="10D23432"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bottom w:val="nil"/>
              <w:right w:val="nil"/>
            </w:tcBorders>
            <w:vAlign w:val="center"/>
            <w:hideMark/>
          </w:tcPr>
          <w:p w14:paraId="6B2926A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24BC88E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bottom w:val="nil"/>
              <w:right w:val="nil"/>
            </w:tcBorders>
            <w:vAlign w:val="center"/>
            <w:hideMark/>
          </w:tcPr>
          <w:p w14:paraId="6FDC83E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bottom w:val="nil"/>
              <w:right w:val="nil"/>
            </w:tcBorders>
            <w:vAlign w:val="center"/>
            <w:hideMark/>
          </w:tcPr>
          <w:p w14:paraId="79BCC5B3"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bottom w:val="nil"/>
              <w:right w:val="nil"/>
            </w:tcBorders>
            <w:vAlign w:val="center"/>
            <w:hideMark/>
          </w:tcPr>
          <w:p w14:paraId="59F9583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bottom w:val="nil"/>
              <w:right w:val="nil"/>
            </w:tcBorders>
            <w:vAlign w:val="center"/>
            <w:hideMark/>
          </w:tcPr>
          <w:p w14:paraId="4DBB11DF"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bottom w:val="nil"/>
              <w:right w:val="nil"/>
            </w:tcBorders>
            <w:vAlign w:val="center"/>
            <w:hideMark/>
          </w:tcPr>
          <w:p w14:paraId="1CA97F9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bottom w:val="nil"/>
              <w:right w:val="nil"/>
            </w:tcBorders>
            <w:vAlign w:val="center"/>
            <w:hideMark/>
          </w:tcPr>
          <w:p w14:paraId="2D8F923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77E8950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bottom w:val="nil"/>
              <w:right w:val="nil"/>
            </w:tcBorders>
            <w:vAlign w:val="center"/>
            <w:hideMark/>
          </w:tcPr>
          <w:p w14:paraId="30AA19F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08B2EC4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531F2793"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24736434" w14:textId="77777777" w:rsidTr="00CC4E50">
        <w:trPr>
          <w:trHeight w:hRule="exact" w:val="167"/>
        </w:trPr>
        <w:tc>
          <w:tcPr>
            <w:tcW w:w="1264" w:type="dxa"/>
            <w:vMerge w:val="restart"/>
            <w:tcBorders>
              <w:top w:val="nil"/>
              <w:left w:val="single" w:sz="8" w:space="0" w:color="C1C1C1"/>
              <w:bottom w:val="nil"/>
              <w:right w:val="nil"/>
            </w:tcBorders>
            <w:shd w:val="clear" w:color="auto" w:fill="auto"/>
            <w:vAlign w:val="center"/>
            <w:hideMark/>
          </w:tcPr>
          <w:p w14:paraId="587E6AE5"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Welding Fumes</w:t>
            </w:r>
          </w:p>
        </w:tc>
        <w:tc>
          <w:tcPr>
            <w:tcW w:w="851" w:type="dxa"/>
            <w:vMerge w:val="restart"/>
            <w:tcBorders>
              <w:top w:val="nil"/>
              <w:left w:val="nil"/>
              <w:bottom w:val="nil"/>
              <w:right w:val="nil"/>
            </w:tcBorders>
            <w:shd w:val="clear" w:color="auto" w:fill="auto"/>
            <w:noWrap/>
            <w:vAlign w:val="center"/>
            <w:hideMark/>
          </w:tcPr>
          <w:p w14:paraId="04D7CA08"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0.083</w:t>
            </w:r>
          </w:p>
        </w:tc>
        <w:tc>
          <w:tcPr>
            <w:tcW w:w="803" w:type="dxa"/>
            <w:vMerge w:val="restart"/>
            <w:tcBorders>
              <w:top w:val="nil"/>
              <w:left w:val="nil"/>
              <w:bottom w:val="nil"/>
              <w:right w:val="nil"/>
            </w:tcBorders>
            <w:shd w:val="clear" w:color="auto" w:fill="auto"/>
            <w:noWrap/>
            <w:vAlign w:val="center"/>
            <w:hideMark/>
          </w:tcPr>
          <w:p w14:paraId="656E56FE"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0.050</w:t>
            </w:r>
          </w:p>
        </w:tc>
        <w:tc>
          <w:tcPr>
            <w:tcW w:w="777" w:type="dxa"/>
            <w:vMerge w:val="restart"/>
            <w:tcBorders>
              <w:top w:val="nil"/>
              <w:left w:val="nil"/>
              <w:bottom w:val="nil"/>
              <w:right w:val="nil"/>
            </w:tcBorders>
            <w:shd w:val="clear" w:color="auto" w:fill="auto"/>
            <w:noWrap/>
            <w:vAlign w:val="center"/>
            <w:hideMark/>
          </w:tcPr>
          <w:p w14:paraId="550C300E"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0.002</w:t>
            </w:r>
          </w:p>
        </w:tc>
        <w:tc>
          <w:tcPr>
            <w:tcW w:w="794" w:type="dxa"/>
            <w:vMerge w:val="restart"/>
            <w:tcBorders>
              <w:top w:val="nil"/>
              <w:left w:val="nil"/>
              <w:bottom w:val="nil"/>
              <w:right w:val="nil"/>
            </w:tcBorders>
            <w:shd w:val="clear" w:color="auto" w:fill="auto"/>
            <w:noWrap/>
            <w:vAlign w:val="center"/>
            <w:hideMark/>
          </w:tcPr>
          <w:p w14:paraId="4F9C647F"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0.027</w:t>
            </w:r>
          </w:p>
        </w:tc>
        <w:tc>
          <w:tcPr>
            <w:tcW w:w="1059" w:type="dxa"/>
            <w:vMerge w:val="restart"/>
            <w:tcBorders>
              <w:top w:val="nil"/>
              <w:left w:val="nil"/>
              <w:bottom w:val="nil"/>
              <w:right w:val="nil"/>
            </w:tcBorders>
            <w:shd w:val="clear" w:color="auto" w:fill="auto"/>
            <w:noWrap/>
            <w:vAlign w:val="center"/>
            <w:hideMark/>
          </w:tcPr>
          <w:p w14:paraId="3DC84D0E"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0.116</w:t>
            </w:r>
          </w:p>
        </w:tc>
        <w:tc>
          <w:tcPr>
            <w:tcW w:w="793" w:type="dxa"/>
            <w:vMerge w:val="restart"/>
            <w:tcBorders>
              <w:top w:val="nil"/>
              <w:left w:val="nil"/>
              <w:bottom w:val="nil"/>
              <w:right w:val="nil"/>
            </w:tcBorders>
            <w:shd w:val="clear" w:color="auto" w:fill="auto"/>
            <w:noWrap/>
            <w:vAlign w:val="center"/>
            <w:hideMark/>
          </w:tcPr>
          <w:p w14:paraId="4840E1A9"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0.126</w:t>
            </w:r>
          </w:p>
        </w:tc>
        <w:tc>
          <w:tcPr>
            <w:tcW w:w="928" w:type="dxa"/>
            <w:vMerge w:val="restart"/>
            <w:tcBorders>
              <w:top w:val="nil"/>
              <w:left w:val="nil"/>
              <w:bottom w:val="nil"/>
              <w:right w:val="nil"/>
            </w:tcBorders>
            <w:shd w:val="clear" w:color="auto" w:fill="auto"/>
            <w:noWrap/>
            <w:vAlign w:val="center"/>
            <w:hideMark/>
          </w:tcPr>
          <w:p w14:paraId="7C1DE67C"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0.003</w:t>
            </w:r>
          </w:p>
        </w:tc>
        <w:tc>
          <w:tcPr>
            <w:tcW w:w="989" w:type="dxa"/>
            <w:vMerge w:val="restart"/>
            <w:tcBorders>
              <w:top w:val="nil"/>
              <w:left w:val="nil"/>
              <w:bottom w:val="nil"/>
              <w:right w:val="nil"/>
            </w:tcBorders>
            <w:shd w:val="clear" w:color="auto" w:fill="auto"/>
            <w:noWrap/>
            <w:vAlign w:val="center"/>
            <w:hideMark/>
          </w:tcPr>
          <w:p w14:paraId="222017F0"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0.328</w:t>
            </w:r>
          </w:p>
        </w:tc>
        <w:tc>
          <w:tcPr>
            <w:tcW w:w="817" w:type="dxa"/>
            <w:vMerge w:val="restart"/>
            <w:tcBorders>
              <w:top w:val="nil"/>
              <w:left w:val="nil"/>
              <w:bottom w:val="nil"/>
              <w:right w:val="nil"/>
            </w:tcBorders>
            <w:shd w:val="clear" w:color="auto" w:fill="auto"/>
            <w:noWrap/>
            <w:vAlign w:val="center"/>
            <w:hideMark/>
          </w:tcPr>
          <w:p w14:paraId="44431373"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0.361</w:t>
            </w:r>
          </w:p>
        </w:tc>
        <w:tc>
          <w:tcPr>
            <w:tcW w:w="635" w:type="dxa"/>
            <w:vMerge w:val="restart"/>
            <w:tcBorders>
              <w:top w:val="nil"/>
              <w:left w:val="nil"/>
              <w:bottom w:val="nil"/>
              <w:right w:val="nil"/>
            </w:tcBorders>
            <w:shd w:val="clear" w:color="auto" w:fill="auto"/>
            <w:noWrap/>
            <w:vAlign w:val="center"/>
            <w:hideMark/>
          </w:tcPr>
          <w:p w14:paraId="5C4E04A2"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0.364</w:t>
            </w:r>
          </w:p>
        </w:tc>
        <w:tc>
          <w:tcPr>
            <w:tcW w:w="908" w:type="dxa"/>
            <w:vMerge w:val="restart"/>
            <w:tcBorders>
              <w:top w:val="nil"/>
              <w:left w:val="nil"/>
              <w:bottom w:val="nil"/>
              <w:right w:val="nil"/>
            </w:tcBorders>
            <w:shd w:val="clear" w:color="auto" w:fill="auto"/>
            <w:noWrap/>
            <w:vAlign w:val="center"/>
            <w:hideMark/>
          </w:tcPr>
          <w:p w14:paraId="38149D3C"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1.000</w:t>
            </w:r>
          </w:p>
        </w:tc>
        <w:tc>
          <w:tcPr>
            <w:tcW w:w="999" w:type="dxa"/>
            <w:vMerge w:val="restart"/>
            <w:tcBorders>
              <w:top w:val="nil"/>
              <w:left w:val="nil"/>
              <w:bottom w:val="nil"/>
              <w:right w:val="nil"/>
            </w:tcBorders>
            <w:shd w:val="clear" w:color="auto" w:fill="auto"/>
            <w:noWrap/>
            <w:vAlign w:val="center"/>
            <w:hideMark/>
          </w:tcPr>
          <w:p w14:paraId="09E0CD3C"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0.193</w:t>
            </w:r>
          </w:p>
        </w:tc>
        <w:tc>
          <w:tcPr>
            <w:tcW w:w="908" w:type="dxa"/>
            <w:vMerge w:val="restart"/>
            <w:tcBorders>
              <w:top w:val="nil"/>
              <w:left w:val="nil"/>
              <w:bottom w:val="nil"/>
              <w:right w:val="nil"/>
            </w:tcBorders>
            <w:shd w:val="clear" w:color="auto" w:fill="auto"/>
            <w:noWrap/>
            <w:vAlign w:val="center"/>
            <w:hideMark/>
          </w:tcPr>
          <w:p w14:paraId="102E2063"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0.218</w:t>
            </w:r>
          </w:p>
        </w:tc>
        <w:tc>
          <w:tcPr>
            <w:tcW w:w="794" w:type="dxa"/>
            <w:vMerge w:val="restart"/>
            <w:tcBorders>
              <w:top w:val="nil"/>
              <w:left w:val="nil"/>
              <w:bottom w:val="nil"/>
              <w:right w:val="nil"/>
            </w:tcBorders>
            <w:shd w:val="clear" w:color="auto" w:fill="auto"/>
            <w:noWrap/>
            <w:vAlign w:val="center"/>
            <w:hideMark/>
          </w:tcPr>
          <w:p w14:paraId="549D222C"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0.008</w:t>
            </w:r>
          </w:p>
        </w:tc>
      </w:tr>
      <w:tr w:rsidR="00CC4E50" w:rsidRPr="0099627D" w14:paraId="694B6D11" w14:textId="77777777" w:rsidTr="00CC4E50">
        <w:trPr>
          <w:trHeight w:hRule="exact" w:val="167"/>
        </w:trPr>
        <w:tc>
          <w:tcPr>
            <w:tcW w:w="1264" w:type="dxa"/>
            <w:vMerge/>
            <w:tcBorders>
              <w:top w:val="nil"/>
              <w:bottom w:val="nil"/>
              <w:right w:val="nil"/>
            </w:tcBorders>
            <w:vAlign w:val="center"/>
            <w:hideMark/>
          </w:tcPr>
          <w:p w14:paraId="79D7EF23"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bottom w:val="nil"/>
              <w:right w:val="nil"/>
            </w:tcBorders>
            <w:vAlign w:val="center"/>
            <w:hideMark/>
          </w:tcPr>
          <w:p w14:paraId="6BFE0028"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bottom w:val="nil"/>
              <w:right w:val="nil"/>
            </w:tcBorders>
            <w:vAlign w:val="center"/>
            <w:hideMark/>
          </w:tcPr>
          <w:p w14:paraId="0A58F4D9"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bottom w:val="nil"/>
              <w:right w:val="nil"/>
            </w:tcBorders>
            <w:vAlign w:val="center"/>
            <w:hideMark/>
          </w:tcPr>
          <w:p w14:paraId="11B5D51E"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07BDA0C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bottom w:val="nil"/>
              <w:right w:val="nil"/>
            </w:tcBorders>
            <w:vAlign w:val="center"/>
            <w:hideMark/>
          </w:tcPr>
          <w:p w14:paraId="10CE246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bottom w:val="nil"/>
              <w:right w:val="nil"/>
            </w:tcBorders>
            <w:vAlign w:val="center"/>
            <w:hideMark/>
          </w:tcPr>
          <w:p w14:paraId="4F572DA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bottom w:val="nil"/>
              <w:right w:val="nil"/>
            </w:tcBorders>
            <w:vAlign w:val="center"/>
            <w:hideMark/>
          </w:tcPr>
          <w:p w14:paraId="5E8030C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bottom w:val="nil"/>
              <w:right w:val="nil"/>
            </w:tcBorders>
            <w:vAlign w:val="center"/>
            <w:hideMark/>
          </w:tcPr>
          <w:p w14:paraId="76DBD71F"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bottom w:val="nil"/>
              <w:right w:val="nil"/>
            </w:tcBorders>
            <w:vAlign w:val="center"/>
            <w:hideMark/>
          </w:tcPr>
          <w:p w14:paraId="6AD8AD2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bottom w:val="nil"/>
              <w:right w:val="nil"/>
            </w:tcBorders>
            <w:vAlign w:val="center"/>
            <w:hideMark/>
          </w:tcPr>
          <w:p w14:paraId="1576C859"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08F0AD7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bottom w:val="nil"/>
              <w:right w:val="nil"/>
            </w:tcBorders>
            <w:vAlign w:val="center"/>
            <w:hideMark/>
          </w:tcPr>
          <w:p w14:paraId="143B6B60"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4692FDBE"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101D40E3"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56AF75BC" w14:textId="77777777" w:rsidTr="00CC4E50">
        <w:trPr>
          <w:trHeight w:hRule="exact" w:val="167"/>
        </w:trPr>
        <w:tc>
          <w:tcPr>
            <w:tcW w:w="1264" w:type="dxa"/>
            <w:vMerge/>
            <w:tcBorders>
              <w:top w:val="nil"/>
              <w:bottom w:val="nil"/>
              <w:right w:val="nil"/>
            </w:tcBorders>
            <w:vAlign w:val="center"/>
            <w:hideMark/>
          </w:tcPr>
          <w:p w14:paraId="0DA40C8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bottom w:val="nil"/>
              <w:right w:val="nil"/>
            </w:tcBorders>
            <w:vAlign w:val="center"/>
            <w:hideMark/>
          </w:tcPr>
          <w:p w14:paraId="698076D8"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bottom w:val="nil"/>
              <w:right w:val="nil"/>
            </w:tcBorders>
            <w:vAlign w:val="center"/>
            <w:hideMark/>
          </w:tcPr>
          <w:p w14:paraId="005C2F5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bottom w:val="nil"/>
              <w:right w:val="nil"/>
            </w:tcBorders>
            <w:vAlign w:val="center"/>
            <w:hideMark/>
          </w:tcPr>
          <w:p w14:paraId="6B90BB2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2A698B63"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bottom w:val="nil"/>
              <w:right w:val="nil"/>
            </w:tcBorders>
            <w:vAlign w:val="center"/>
            <w:hideMark/>
          </w:tcPr>
          <w:p w14:paraId="2E15155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bottom w:val="nil"/>
              <w:right w:val="nil"/>
            </w:tcBorders>
            <w:vAlign w:val="center"/>
            <w:hideMark/>
          </w:tcPr>
          <w:p w14:paraId="79E0127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bottom w:val="nil"/>
              <w:right w:val="nil"/>
            </w:tcBorders>
            <w:vAlign w:val="center"/>
            <w:hideMark/>
          </w:tcPr>
          <w:p w14:paraId="2431BFC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bottom w:val="nil"/>
              <w:right w:val="nil"/>
            </w:tcBorders>
            <w:vAlign w:val="center"/>
            <w:hideMark/>
          </w:tcPr>
          <w:p w14:paraId="239790C3"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bottom w:val="nil"/>
              <w:right w:val="nil"/>
            </w:tcBorders>
            <w:vAlign w:val="center"/>
            <w:hideMark/>
          </w:tcPr>
          <w:p w14:paraId="08993D4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bottom w:val="nil"/>
              <w:right w:val="nil"/>
            </w:tcBorders>
            <w:vAlign w:val="center"/>
            <w:hideMark/>
          </w:tcPr>
          <w:p w14:paraId="79D11F6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66AF160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bottom w:val="nil"/>
              <w:right w:val="nil"/>
            </w:tcBorders>
            <w:vAlign w:val="center"/>
            <w:hideMark/>
          </w:tcPr>
          <w:p w14:paraId="65EDC3F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6D83D35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7550818E"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01541488" w14:textId="77777777" w:rsidTr="00CC4E50">
        <w:trPr>
          <w:trHeight w:hRule="exact" w:val="167"/>
        </w:trPr>
        <w:tc>
          <w:tcPr>
            <w:tcW w:w="1264" w:type="dxa"/>
            <w:vMerge w:val="restart"/>
            <w:tcBorders>
              <w:top w:val="nil"/>
              <w:bottom w:val="nil"/>
              <w:right w:val="nil"/>
            </w:tcBorders>
            <w:shd w:val="clear" w:color="auto" w:fill="auto"/>
            <w:vAlign w:val="center"/>
            <w:hideMark/>
          </w:tcPr>
          <w:p w14:paraId="24448650"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Exposure Potential</w:t>
            </w:r>
          </w:p>
        </w:tc>
        <w:tc>
          <w:tcPr>
            <w:tcW w:w="851" w:type="dxa"/>
            <w:vMerge w:val="restart"/>
            <w:tcBorders>
              <w:top w:val="nil"/>
              <w:left w:val="nil"/>
              <w:bottom w:val="nil"/>
              <w:right w:val="nil"/>
            </w:tcBorders>
            <w:shd w:val="clear" w:color="auto" w:fill="auto"/>
            <w:noWrap/>
            <w:vAlign w:val="center"/>
            <w:hideMark/>
          </w:tcPr>
          <w:p w14:paraId="73E17CCE"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0.074</w:t>
            </w:r>
          </w:p>
        </w:tc>
        <w:tc>
          <w:tcPr>
            <w:tcW w:w="803" w:type="dxa"/>
            <w:vMerge w:val="restart"/>
            <w:tcBorders>
              <w:top w:val="nil"/>
              <w:left w:val="nil"/>
              <w:bottom w:val="nil"/>
              <w:right w:val="nil"/>
            </w:tcBorders>
            <w:shd w:val="clear" w:color="auto" w:fill="auto"/>
            <w:noWrap/>
            <w:vAlign w:val="center"/>
            <w:hideMark/>
          </w:tcPr>
          <w:p w14:paraId="2C7DF18F"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0.103</w:t>
            </w:r>
          </w:p>
        </w:tc>
        <w:tc>
          <w:tcPr>
            <w:tcW w:w="777" w:type="dxa"/>
            <w:vMerge w:val="restart"/>
            <w:tcBorders>
              <w:top w:val="nil"/>
              <w:left w:val="nil"/>
              <w:bottom w:val="nil"/>
              <w:right w:val="nil"/>
            </w:tcBorders>
            <w:shd w:val="clear" w:color="auto" w:fill="auto"/>
            <w:noWrap/>
            <w:vAlign w:val="center"/>
            <w:hideMark/>
          </w:tcPr>
          <w:p w14:paraId="76A8C533"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0.004</w:t>
            </w:r>
          </w:p>
        </w:tc>
        <w:tc>
          <w:tcPr>
            <w:tcW w:w="794" w:type="dxa"/>
            <w:vMerge w:val="restart"/>
            <w:tcBorders>
              <w:top w:val="nil"/>
              <w:left w:val="nil"/>
              <w:bottom w:val="nil"/>
              <w:right w:val="nil"/>
            </w:tcBorders>
            <w:shd w:val="clear" w:color="auto" w:fill="auto"/>
            <w:noWrap/>
            <w:vAlign w:val="center"/>
            <w:hideMark/>
          </w:tcPr>
          <w:p w14:paraId="43A235F4"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0.081</w:t>
            </w:r>
          </w:p>
        </w:tc>
        <w:tc>
          <w:tcPr>
            <w:tcW w:w="1059" w:type="dxa"/>
            <w:vMerge w:val="restart"/>
            <w:tcBorders>
              <w:top w:val="nil"/>
              <w:left w:val="nil"/>
              <w:bottom w:val="nil"/>
              <w:right w:val="nil"/>
            </w:tcBorders>
            <w:shd w:val="clear" w:color="auto" w:fill="auto"/>
            <w:noWrap/>
            <w:vAlign w:val="center"/>
            <w:hideMark/>
          </w:tcPr>
          <w:p w14:paraId="40FCB85E"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0.135</w:t>
            </w:r>
          </w:p>
        </w:tc>
        <w:tc>
          <w:tcPr>
            <w:tcW w:w="793" w:type="dxa"/>
            <w:vMerge w:val="restart"/>
            <w:tcBorders>
              <w:top w:val="nil"/>
              <w:left w:val="nil"/>
              <w:bottom w:val="nil"/>
              <w:right w:val="nil"/>
            </w:tcBorders>
            <w:shd w:val="clear" w:color="auto" w:fill="auto"/>
            <w:noWrap/>
            <w:vAlign w:val="center"/>
            <w:hideMark/>
          </w:tcPr>
          <w:p w14:paraId="3A39C91D"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0.165</w:t>
            </w:r>
          </w:p>
        </w:tc>
        <w:tc>
          <w:tcPr>
            <w:tcW w:w="928" w:type="dxa"/>
            <w:vMerge w:val="restart"/>
            <w:tcBorders>
              <w:top w:val="nil"/>
              <w:left w:val="nil"/>
              <w:bottom w:val="nil"/>
              <w:right w:val="nil"/>
            </w:tcBorders>
            <w:shd w:val="clear" w:color="auto" w:fill="auto"/>
            <w:noWrap/>
            <w:vAlign w:val="center"/>
            <w:hideMark/>
          </w:tcPr>
          <w:p w14:paraId="55E524A4"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-0.023</w:t>
            </w:r>
          </w:p>
        </w:tc>
        <w:tc>
          <w:tcPr>
            <w:tcW w:w="989" w:type="dxa"/>
            <w:vMerge w:val="restart"/>
            <w:tcBorders>
              <w:top w:val="nil"/>
              <w:left w:val="nil"/>
              <w:bottom w:val="nil"/>
              <w:right w:val="nil"/>
            </w:tcBorders>
            <w:shd w:val="clear" w:color="auto" w:fill="auto"/>
            <w:noWrap/>
            <w:vAlign w:val="center"/>
            <w:hideMark/>
          </w:tcPr>
          <w:p w14:paraId="52BB8FE1"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0.166</w:t>
            </w:r>
          </w:p>
        </w:tc>
        <w:tc>
          <w:tcPr>
            <w:tcW w:w="817" w:type="dxa"/>
            <w:vMerge w:val="restart"/>
            <w:tcBorders>
              <w:top w:val="nil"/>
              <w:left w:val="nil"/>
              <w:bottom w:val="nil"/>
              <w:right w:val="nil"/>
            </w:tcBorders>
            <w:shd w:val="clear" w:color="auto" w:fill="auto"/>
            <w:noWrap/>
            <w:vAlign w:val="center"/>
            <w:hideMark/>
          </w:tcPr>
          <w:p w14:paraId="008B7E96"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0.132</w:t>
            </w:r>
          </w:p>
        </w:tc>
        <w:tc>
          <w:tcPr>
            <w:tcW w:w="635" w:type="dxa"/>
            <w:vMerge w:val="restart"/>
            <w:tcBorders>
              <w:top w:val="nil"/>
              <w:left w:val="nil"/>
              <w:bottom w:val="nil"/>
              <w:right w:val="nil"/>
            </w:tcBorders>
            <w:shd w:val="clear" w:color="auto" w:fill="auto"/>
            <w:noWrap/>
            <w:vAlign w:val="center"/>
            <w:hideMark/>
          </w:tcPr>
          <w:p w14:paraId="0283FDCA"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0.133</w:t>
            </w:r>
          </w:p>
        </w:tc>
        <w:tc>
          <w:tcPr>
            <w:tcW w:w="908" w:type="dxa"/>
            <w:vMerge w:val="restart"/>
            <w:tcBorders>
              <w:top w:val="nil"/>
              <w:left w:val="nil"/>
              <w:bottom w:val="nil"/>
              <w:right w:val="nil"/>
            </w:tcBorders>
            <w:shd w:val="clear" w:color="auto" w:fill="auto"/>
            <w:noWrap/>
            <w:vAlign w:val="center"/>
            <w:hideMark/>
          </w:tcPr>
          <w:p w14:paraId="1CABD1D4"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0.193</w:t>
            </w:r>
          </w:p>
        </w:tc>
        <w:tc>
          <w:tcPr>
            <w:tcW w:w="999" w:type="dxa"/>
            <w:vMerge w:val="restart"/>
            <w:tcBorders>
              <w:top w:val="nil"/>
              <w:left w:val="nil"/>
              <w:bottom w:val="nil"/>
              <w:right w:val="nil"/>
            </w:tcBorders>
            <w:shd w:val="clear" w:color="auto" w:fill="auto"/>
            <w:noWrap/>
            <w:vAlign w:val="center"/>
            <w:hideMark/>
          </w:tcPr>
          <w:p w14:paraId="069D6DC6"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1.000</w:t>
            </w:r>
          </w:p>
        </w:tc>
        <w:tc>
          <w:tcPr>
            <w:tcW w:w="908" w:type="dxa"/>
            <w:vMerge w:val="restart"/>
            <w:tcBorders>
              <w:top w:val="nil"/>
              <w:left w:val="nil"/>
              <w:bottom w:val="nil"/>
              <w:right w:val="nil"/>
            </w:tcBorders>
            <w:shd w:val="clear" w:color="auto" w:fill="auto"/>
            <w:noWrap/>
            <w:vAlign w:val="center"/>
            <w:hideMark/>
          </w:tcPr>
          <w:p w14:paraId="6088EF26"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0.135</w:t>
            </w:r>
          </w:p>
        </w:tc>
        <w:tc>
          <w:tcPr>
            <w:tcW w:w="794" w:type="dxa"/>
            <w:vMerge w:val="restart"/>
            <w:tcBorders>
              <w:top w:val="nil"/>
              <w:left w:val="nil"/>
              <w:bottom w:val="nil"/>
              <w:right w:val="nil"/>
            </w:tcBorders>
            <w:shd w:val="clear" w:color="auto" w:fill="auto"/>
            <w:noWrap/>
            <w:vAlign w:val="center"/>
            <w:hideMark/>
          </w:tcPr>
          <w:p w14:paraId="004B7F6E"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0.004</w:t>
            </w:r>
          </w:p>
        </w:tc>
      </w:tr>
      <w:tr w:rsidR="00CC4E50" w:rsidRPr="0099627D" w14:paraId="11320927" w14:textId="77777777" w:rsidTr="00CC4E50">
        <w:trPr>
          <w:trHeight w:hRule="exact" w:val="167"/>
        </w:trPr>
        <w:tc>
          <w:tcPr>
            <w:tcW w:w="1264" w:type="dxa"/>
            <w:vMerge/>
            <w:tcBorders>
              <w:top w:val="nil"/>
              <w:bottom w:val="nil"/>
              <w:right w:val="nil"/>
            </w:tcBorders>
            <w:vAlign w:val="center"/>
            <w:hideMark/>
          </w:tcPr>
          <w:p w14:paraId="11A450F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bottom w:val="nil"/>
              <w:right w:val="nil"/>
            </w:tcBorders>
            <w:vAlign w:val="center"/>
            <w:hideMark/>
          </w:tcPr>
          <w:p w14:paraId="67C1F57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bottom w:val="nil"/>
              <w:right w:val="nil"/>
            </w:tcBorders>
            <w:vAlign w:val="center"/>
            <w:hideMark/>
          </w:tcPr>
          <w:p w14:paraId="16F3636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bottom w:val="nil"/>
              <w:right w:val="nil"/>
            </w:tcBorders>
            <w:vAlign w:val="center"/>
            <w:hideMark/>
          </w:tcPr>
          <w:p w14:paraId="12398EB6"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45248E3F"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bottom w:val="nil"/>
              <w:right w:val="nil"/>
            </w:tcBorders>
            <w:vAlign w:val="center"/>
            <w:hideMark/>
          </w:tcPr>
          <w:p w14:paraId="2671CE38"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bottom w:val="nil"/>
              <w:right w:val="nil"/>
            </w:tcBorders>
            <w:vAlign w:val="center"/>
            <w:hideMark/>
          </w:tcPr>
          <w:p w14:paraId="7701112F"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bottom w:val="nil"/>
              <w:right w:val="nil"/>
            </w:tcBorders>
            <w:vAlign w:val="center"/>
            <w:hideMark/>
          </w:tcPr>
          <w:p w14:paraId="7EFD25E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bottom w:val="nil"/>
              <w:right w:val="nil"/>
            </w:tcBorders>
            <w:vAlign w:val="center"/>
            <w:hideMark/>
          </w:tcPr>
          <w:p w14:paraId="50A48D4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bottom w:val="nil"/>
              <w:right w:val="nil"/>
            </w:tcBorders>
            <w:vAlign w:val="center"/>
            <w:hideMark/>
          </w:tcPr>
          <w:p w14:paraId="53CD9039"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bottom w:val="nil"/>
              <w:right w:val="nil"/>
            </w:tcBorders>
            <w:vAlign w:val="center"/>
            <w:hideMark/>
          </w:tcPr>
          <w:p w14:paraId="1022BEF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2004BE8F"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bottom w:val="nil"/>
              <w:right w:val="nil"/>
            </w:tcBorders>
            <w:vAlign w:val="center"/>
            <w:hideMark/>
          </w:tcPr>
          <w:p w14:paraId="710F2998"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6DBBAE8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5422F95C"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22617E42" w14:textId="77777777" w:rsidTr="00CC4E50">
        <w:trPr>
          <w:trHeight w:hRule="exact" w:val="167"/>
        </w:trPr>
        <w:tc>
          <w:tcPr>
            <w:tcW w:w="1264" w:type="dxa"/>
            <w:vMerge/>
            <w:tcBorders>
              <w:top w:val="nil"/>
              <w:bottom w:val="nil"/>
              <w:right w:val="nil"/>
            </w:tcBorders>
            <w:vAlign w:val="center"/>
            <w:hideMark/>
          </w:tcPr>
          <w:p w14:paraId="4795CF4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bottom w:val="nil"/>
              <w:right w:val="nil"/>
            </w:tcBorders>
            <w:vAlign w:val="center"/>
            <w:hideMark/>
          </w:tcPr>
          <w:p w14:paraId="593E5DF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bottom w:val="nil"/>
              <w:right w:val="nil"/>
            </w:tcBorders>
            <w:vAlign w:val="center"/>
            <w:hideMark/>
          </w:tcPr>
          <w:p w14:paraId="48A6BD6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bottom w:val="nil"/>
              <w:right w:val="nil"/>
            </w:tcBorders>
            <w:vAlign w:val="center"/>
            <w:hideMark/>
          </w:tcPr>
          <w:p w14:paraId="3FBC932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4066E3C3"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bottom w:val="nil"/>
              <w:right w:val="nil"/>
            </w:tcBorders>
            <w:vAlign w:val="center"/>
            <w:hideMark/>
          </w:tcPr>
          <w:p w14:paraId="463C957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bottom w:val="nil"/>
              <w:right w:val="nil"/>
            </w:tcBorders>
            <w:vAlign w:val="center"/>
            <w:hideMark/>
          </w:tcPr>
          <w:p w14:paraId="1D3DF59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bottom w:val="nil"/>
              <w:right w:val="nil"/>
            </w:tcBorders>
            <w:vAlign w:val="center"/>
            <w:hideMark/>
          </w:tcPr>
          <w:p w14:paraId="6D030D53"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bottom w:val="nil"/>
              <w:right w:val="nil"/>
            </w:tcBorders>
            <w:vAlign w:val="center"/>
            <w:hideMark/>
          </w:tcPr>
          <w:p w14:paraId="29230BD6"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bottom w:val="nil"/>
              <w:right w:val="nil"/>
            </w:tcBorders>
            <w:vAlign w:val="center"/>
            <w:hideMark/>
          </w:tcPr>
          <w:p w14:paraId="4089CCC3"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bottom w:val="nil"/>
              <w:right w:val="nil"/>
            </w:tcBorders>
            <w:vAlign w:val="center"/>
            <w:hideMark/>
          </w:tcPr>
          <w:p w14:paraId="01811B47"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51001C6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bottom w:val="nil"/>
              <w:right w:val="nil"/>
            </w:tcBorders>
            <w:vAlign w:val="center"/>
            <w:hideMark/>
          </w:tcPr>
          <w:p w14:paraId="0C4D87D0"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155FFBF3"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1E515466"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1575C14D" w14:textId="77777777" w:rsidTr="00CC4E50">
        <w:trPr>
          <w:trHeight w:hRule="exact" w:val="167"/>
        </w:trPr>
        <w:tc>
          <w:tcPr>
            <w:tcW w:w="1264" w:type="dxa"/>
            <w:vMerge w:val="restart"/>
            <w:tcBorders>
              <w:top w:val="nil"/>
              <w:bottom w:val="nil"/>
              <w:right w:val="nil"/>
            </w:tcBorders>
            <w:shd w:val="clear" w:color="auto" w:fill="auto"/>
            <w:vAlign w:val="center"/>
            <w:hideMark/>
          </w:tcPr>
          <w:p w14:paraId="1135780E" w14:textId="78E20256"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Work Duration</w:t>
            </w:r>
          </w:p>
        </w:tc>
        <w:tc>
          <w:tcPr>
            <w:tcW w:w="851" w:type="dxa"/>
            <w:vMerge w:val="restart"/>
            <w:tcBorders>
              <w:top w:val="nil"/>
              <w:left w:val="nil"/>
              <w:bottom w:val="nil"/>
              <w:right w:val="nil"/>
            </w:tcBorders>
            <w:shd w:val="clear" w:color="auto" w:fill="auto"/>
            <w:noWrap/>
            <w:vAlign w:val="center"/>
            <w:hideMark/>
          </w:tcPr>
          <w:p w14:paraId="4B4B6EE7"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0.035</w:t>
            </w:r>
          </w:p>
        </w:tc>
        <w:tc>
          <w:tcPr>
            <w:tcW w:w="803" w:type="dxa"/>
            <w:vMerge w:val="restart"/>
            <w:tcBorders>
              <w:top w:val="nil"/>
              <w:left w:val="nil"/>
              <w:bottom w:val="nil"/>
              <w:right w:val="nil"/>
            </w:tcBorders>
            <w:shd w:val="clear" w:color="auto" w:fill="auto"/>
            <w:noWrap/>
            <w:vAlign w:val="center"/>
            <w:hideMark/>
          </w:tcPr>
          <w:p w14:paraId="27EA6824"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0.005</w:t>
            </w:r>
          </w:p>
        </w:tc>
        <w:tc>
          <w:tcPr>
            <w:tcW w:w="777" w:type="dxa"/>
            <w:vMerge w:val="restart"/>
            <w:tcBorders>
              <w:top w:val="nil"/>
              <w:left w:val="nil"/>
              <w:bottom w:val="nil"/>
              <w:right w:val="nil"/>
            </w:tcBorders>
            <w:shd w:val="clear" w:color="auto" w:fill="auto"/>
            <w:noWrap/>
            <w:vAlign w:val="center"/>
            <w:hideMark/>
          </w:tcPr>
          <w:p w14:paraId="66A9E6D9"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0.002</w:t>
            </w:r>
          </w:p>
        </w:tc>
        <w:tc>
          <w:tcPr>
            <w:tcW w:w="794" w:type="dxa"/>
            <w:vMerge w:val="restart"/>
            <w:tcBorders>
              <w:top w:val="nil"/>
              <w:left w:val="nil"/>
              <w:bottom w:val="nil"/>
              <w:right w:val="nil"/>
            </w:tcBorders>
            <w:shd w:val="clear" w:color="auto" w:fill="auto"/>
            <w:noWrap/>
            <w:vAlign w:val="center"/>
            <w:hideMark/>
          </w:tcPr>
          <w:p w14:paraId="1F09EE66"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0.045</w:t>
            </w:r>
          </w:p>
        </w:tc>
        <w:tc>
          <w:tcPr>
            <w:tcW w:w="1059" w:type="dxa"/>
            <w:vMerge w:val="restart"/>
            <w:tcBorders>
              <w:top w:val="nil"/>
              <w:left w:val="nil"/>
              <w:bottom w:val="nil"/>
              <w:right w:val="nil"/>
            </w:tcBorders>
            <w:shd w:val="clear" w:color="auto" w:fill="auto"/>
            <w:noWrap/>
            <w:vAlign w:val="center"/>
            <w:hideMark/>
          </w:tcPr>
          <w:p w14:paraId="5B0B712E"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0.094</w:t>
            </w:r>
          </w:p>
        </w:tc>
        <w:tc>
          <w:tcPr>
            <w:tcW w:w="793" w:type="dxa"/>
            <w:vMerge w:val="restart"/>
            <w:tcBorders>
              <w:top w:val="nil"/>
              <w:left w:val="nil"/>
              <w:bottom w:val="nil"/>
              <w:right w:val="nil"/>
            </w:tcBorders>
            <w:shd w:val="clear" w:color="auto" w:fill="auto"/>
            <w:noWrap/>
            <w:vAlign w:val="center"/>
            <w:hideMark/>
          </w:tcPr>
          <w:p w14:paraId="6101DF67"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0.143</w:t>
            </w:r>
          </w:p>
        </w:tc>
        <w:tc>
          <w:tcPr>
            <w:tcW w:w="928" w:type="dxa"/>
            <w:vMerge w:val="restart"/>
            <w:tcBorders>
              <w:top w:val="nil"/>
              <w:left w:val="nil"/>
              <w:bottom w:val="nil"/>
              <w:right w:val="nil"/>
            </w:tcBorders>
            <w:shd w:val="clear" w:color="auto" w:fill="auto"/>
            <w:noWrap/>
            <w:vAlign w:val="center"/>
            <w:hideMark/>
          </w:tcPr>
          <w:p w14:paraId="1FE46FA0"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-0.018</w:t>
            </w:r>
          </w:p>
        </w:tc>
        <w:tc>
          <w:tcPr>
            <w:tcW w:w="989" w:type="dxa"/>
            <w:vMerge w:val="restart"/>
            <w:tcBorders>
              <w:top w:val="nil"/>
              <w:left w:val="nil"/>
              <w:bottom w:val="nil"/>
              <w:right w:val="nil"/>
            </w:tcBorders>
            <w:shd w:val="clear" w:color="auto" w:fill="auto"/>
            <w:noWrap/>
            <w:vAlign w:val="center"/>
            <w:hideMark/>
          </w:tcPr>
          <w:p w14:paraId="199B149C"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0.197</w:t>
            </w:r>
          </w:p>
        </w:tc>
        <w:tc>
          <w:tcPr>
            <w:tcW w:w="817" w:type="dxa"/>
            <w:vMerge w:val="restart"/>
            <w:tcBorders>
              <w:top w:val="nil"/>
              <w:left w:val="nil"/>
              <w:bottom w:val="nil"/>
              <w:right w:val="nil"/>
            </w:tcBorders>
            <w:shd w:val="clear" w:color="auto" w:fill="auto"/>
            <w:noWrap/>
            <w:vAlign w:val="center"/>
            <w:hideMark/>
          </w:tcPr>
          <w:p w14:paraId="6D726316"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0.168</w:t>
            </w:r>
          </w:p>
        </w:tc>
        <w:tc>
          <w:tcPr>
            <w:tcW w:w="635" w:type="dxa"/>
            <w:vMerge w:val="restart"/>
            <w:tcBorders>
              <w:top w:val="nil"/>
              <w:left w:val="nil"/>
              <w:bottom w:val="nil"/>
              <w:right w:val="nil"/>
            </w:tcBorders>
            <w:shd w:val="clear" w:color="auto" w:fill="auto"/>
            <w:noWrap/>
            <w:vAlign w:val="center"/>
            <w:hideMark/>
          </w:tcPr>
          <w:p w14:paraId="58502898"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0.160</w:t>
            </w:r>
          </w:p>
        </w:tc>
        <w:tc>
          <w:tcPr>
            <w:tcW w:w="908" w:type="dxa"/>
            <w:vMerge w:val="restart"/>
            <w:tcBorders>
              <w:top w:val="nil"/>
              <w:left w:val="nil"/>
              <w:bottom w:val="nil"/>
              <w:right w:val="nil"/>
            </w:tcBorders>
            <w:shd w:val="clear" w:color="auto" w:fill="auto"/>
            <w:noWrap/>
            <w:vAlign w:val="center"/>
            <w:hideMark/>
          </w:tcPr>
          <w:p w14:paraId="163234C0"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0.218</w:t>
            </w:r>
          </w:p>
        </w:tc>
        <w:tc>
          <w:tcPr>
            <w:tcW w:w="999" w:type="dxa"/>
            <w:vMerge w:val="restart"/>
            <w:tcBorders>
              <w:top w:val="nil"/>
              <w:left w:val="nil"/>
              <w:bottom w:val="nil"/>
              <w:right w:val="nil"/>
            </w:tcBorders>
            <w:shd w:val="clear" w:color="auto" w:fill="auto"/>
            <w:noWrap/>
            <w:vAlign w:val="center"/>
            <w:hideMark/>
          </w:tcPr>
          <w:p w14:paraId="1F1E61F3"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0.135</w:t>
            </w:r>
          </w:p>
        </w:tc>
        <w:tc>
          <w:tcPr>
            <w:tcW w:w="908" w:type="dxa"/>
            <w:vMerge w:val="restart"/>
            <w:tcBorders>
              <w:top w:val="nil"/>
              <w:left w:val="nil"/>
              <w:bottom w:val="nil"/>
              <w:right w:val="nil"/>
            </w:tcBorders>
            <w:shd w:val="clear" w:color="auto" w:fill="auto"/>
            <w:noWrap/>
            <w:vAlign w:val="center"/>
            <w:hideMark/>
          </w:tcPr>
          <w:p w14:paraId="6BA06398"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1.000</w:t>
            </w:r>
          </w:p>
        </w:tc>
        <w:tc>
          <w:tcPr>
            <w:tcW w:w="794" w:type="dxa"/>
            <w:vMerge w:val="restart"/>
            <w:tcBorders>
              <w:top w:val="nil"/>
              <w:left w:val="nil"/>
              <w:bottom w:val="nil"/>
              <w:right w:val="nil"/>
            </w:tcBorders>
            <w:shd w:val="clear" w:color="auto" w:fill="auto"/>
            <w:noWrap/>
            <w:vAlign w:val="center"/>
            <w:hideMark/>
          </w:tcPr>
          <w:p w14:paraId="0319A087"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0.239</w:t>
            </w:r>
          </w:p>
        </w:tc>
      </w:tr>
      <w:tr w:rsidR="00CC4E50" w:rsidRPr="0099627D" w14:paraId="4F42B5D9" w14:textId="77777777" w:rsidTr="00CC4E50">
        <w:trPr>
          <w:trHeight w:hRule="exact" w:val="167"/>
        </w:trPr>
        <w:tc>
          <w:tcPr>
            <w:tcW w:w="1264" w:type="dxa"/>
            <w:vMerge/>
            <w:tcBorders>
              <w:top w:val="nil"/>
              <w:bottom w:val="nil"/>
              <w:right w:val="nil"/>
            </w:tcBorders>
            <w:vAlign w:val="center"/>
            <w:hideMark/>
          </w:tcPr>
          <w:p w14:paraId="618569C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bottom w:val="nil"/>
              <w:right w:val="nil"/>
            </w:tcBorders>
            <w:vAlign w:val="center"/>
            <w:hideMark/>
          </w:tcPr>
          <w:p w14:paraId="5638A8F6"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bottom w:val="nil"/>
              <w:right w:val="nil"/>
            </w:tcBorders>
            <w:vAlign w:val="center"/>
            <w:hideMark/>
          </w:tcPr>
          <w:p w14:paraId="56B6D276"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bottom w:val="nil"/>
              <w:right w:val="nil"/>
            </w:tcBorders>
            <w:vAlign w:val="center"/>
            <w:hideMark/>
          </w:tcPr>
          <w:p w14:paraId="3EB4E4B0"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3CB61C63"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bottom w:val="nil"/>
              <w:right w:val="nil"/>
            </w:tcBorders>
            <w:vAlign w:val="center"/>
            <w:hideMark/>
          </w:tcPr>
          <w:p w14:paraId="316BE3BF"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bottom w:val="nil"/>
              <w:right w:val="nil"/>
            </w:tcBorders>
            <w:vAlign w:val="center"/>
            <w:hideMark/>
          </w:tcPr>
          <w:p w14:paraId="130CF1CD"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bottom w:val="nil"/>
              <w:right w:val="nil"/>
            </w:tcBorders>
            <w:vAlign w:val="center"/>
            <w:hideMark/>
          </w:tcPr>
          <w:p w14:paraId="72A51006"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bottom w:val="nil"/>
              <w:right w:val="nil"/>
            </w:tcBorders>
            <w:vAlign w:val="center"/>
            <w:hideMark/>
          </w:tcPr>
          <w:p w14:paraId="4164AC1E"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bottom w:val="nil"/>
              <w:right w:val="nil"/>
            </w:tcBorders>
            <w:vAlign w:val="center"/>
            <w:hideMark/>
          </w:tcPr>
          <w:p w14:paraId="4E2BD12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bottom w:val="nil"/>
              <w:right w:val="nil"/>
            </w:tcBorders>
            <w:vAlign w:val="center"/>
            <w:hideMark/>
          </w:tcPr>
          <w:p w14:paraId="02032E8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4F1D438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bottom w:val="nil"/>
              <w:right w:val="nil"/>
            </w:tcBorders>
            <w:vAlign w:val="center"/>
            <w:hideMark/>
          </w:tcPr>
          <w:p w14:paraId="30B40190"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bottom w:val="nil"/>
              <w:right w:val="nil"/>
            </w:tcBorders>
            <w:vAlign w:val="center"/>
            <w:hideMark/>
          </w:tcPr>
          <w:p w14:paraId="04ACBD4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bottom w:val="nil"/>
              <w:right w:val="nil"/>
            </w:tcBorders>
            <w:vAlign w:val="center"/>
            <w:hideMark/>
          </w:tcPr>
          <w:p w14:paraId="71E6A0C3"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1A1053EC" w14:textId="77777777" w:rsidTr="00CC4E50">
        <w:trPr>
          <w:trHeight w:hRule="exact" w:val="83"/>
        </w:trPr>
        <w:tc>
          <w:tcPr>
            <w:tcW w:w="1264" w:type="dxa"/>
            <w:vMerge/>
            <w:tcBorders>
              <w:top w:val="nil"/>
              <w:right w:val="nil"/>
            </w:tcBorders>
            <w:vAlign w:val="center"/>
            <w:hideMark/>
          </w:tcPr>
          <w:p w14:paraId="4D473746"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51" w:type="dxa"/>
            <w:vMerge/>
            <w:tcBorders>
              <w:top w:val="nil"/>
              <w:left w:val="nil"/>
              <w:right w:val="nil"/>
            </w:tcBorders>
            <w:vAlign w:val="center"/>
            <w:hideMark/>
          </w:tcPr>
          <w:p w14:paraId="4020526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03" w:type="dxa"/>
            <w:vMerge/>
            <w:tcBorders>
              <w:top w:val="nil"/>
              <w:left w:val="nil"/>
              <w:right w:val="nil"/>
            </w:tcBorders>
            <w:vAlign w:val="center"/>
            <w:hideMark/>
          </w:tcPr>
          <w:p w14:paraId="3306B27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77" w:type="dxa"/>
            <w:vMerge/>
            <w:tcBorders>
              <w:top w:val="nil"/>
              <w:left w:val="nil"/>
              <w:right w:val="nil"/>
            </w:tcBorders>
            <w:vAlign w:val="center"/>
            <w:hideMark/>
          </w:tcPr>
          <w:p w14:paraId="22F9E9D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right w:val="nil"/>
            </w:tcBorders>
            <w:vAlign w:val="center"/>
            <w:hideMark/>
          </w:tcPr>
          <w:p w14:paraId="688C5F5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1059" w:type="dxa"/>
            <w:vMerge/>
            <w:tcBorders>
              <w:top w:val="nil"/>
              <w:left w:val="nil"/>
              <w:right w:val="nil"/>
            </w:tcBorders>
            <w:vAlign w:val="center"/>
            <w:hideMark/>
          </w:tcPr>
          <w:p w14:paraId="6C32EAC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3" w:type="dxa"/>
            <w:vMerge/>
            <w:tcBorders>
              <w:top w:val="nil"/>
              <w:left w:val="nil"/>
              <w:right w:val="nil"/>
            </w:tcBorders>
            <w:vAlign w:val="center"/>
            <w:hideMark/>
          </w:tcPr>
          <w:p w14:paraId="786550B1"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28" w:type="dxa"/>
            <w:vMerge/>
            <w:tcBorders>
              <w:top w:val="nil"/>
              <w:left w:val="nil"/>
              <w:right w:val="nil"/>
            </w:tcBorders>
            <w:vAlign w:val="center"/>
            <w:hideMark/>
          </w:tcPr>
          <w:p w14:paraId="61D5A14B"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89" w:type="dxa"/>
            <w:vMerge/>
            <w:tcBorders>
              <w:top w:val="nil"/>
              <w:left w:val="nil"/>
              <w:right w:val="nil"/>
            </w:tcBorders>
            <w:vAlign w:val="center"/>
            <w:hideMark/>
          </w:tcPr>
          <w:p w14:paraId="5B9991FC"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817" w:type="dxa"/>
            <w:vMerge/>
            <w:tcBorders>
              <w:top w:val="nil"/>
              <w:left w:val="nil"/>
              <w:right w:val="nil"/>
            </w:tcBorders>
            <w:vAlign w:val="center"/>
            <w:hideMark/>
          </w:tcPr>
          <w:p w14:paraId="2D826549"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635" w:type="dxa"/>
            <w:vMerge/>
            <w:tcBorders>
              <w:top w:val="nil"/>
              <w:left w:val="nil"/>
              <w:right w:val="nil"/>
            </w:tcBorders>
            <w:vAlign w:val="center"/>
            <w:hideMark/>
          </w:tcPr>
          <w:p w14:paraId="7E747B35"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right w:val="nil"/>
            </w:tcBorders>
            <w:vAlign w:val="center"/>
            <w:hideMark/>
          </w:tcPr>
          <w:p w14:paraId="55A78A5A"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99" w:type="dxa"/>
            <w:vMerge/>
            <w:tcBorders>
              <w:top w:val="nil"/>
              <w:left w:val="nil"/>
              <w:right w:val="nil"/>
            </w:tcBorders>
            <w:vAlign w:val="center"/>
            <w:hideMark/>
          </w:tcPr>
          <w:p w14:paraId="17738054"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908" w:type="dxa"/>
            <w:vMerge/>
            <w:tcBorders>
              <w:top w:val="nil"/>
              <w:left w:val="nil"/>
              <w:right w:val="nil"/>
            </w:tcBorders>
            <w:vAlign w:val="center"/>
            <w:hideMark/>
          </w:tcPr>
          <w:p w14:paraId="450EE3FE" w14:textId="77777777" w:rsidR="00CC4E50" w:rsidRPr="0099627D" w:rsidRDefault="00CC4E50" w:rsidP="00CC4E50">
            <w:pPr>
              <w:jc w:val="center"/>
              <w:rPr>
                <w:rFonts w:ascii="Times New Roman" w:eastAsia="Times New Roman" w:hAnsi="Times New Roman" w:cs="Times New Roman"/>
                <w:color w:val="000000"/>
                <w:sz w:val="16"/>
                <w:szCs w:val="16"/>
              </w:rPr>
            </w:pPr>
          </w:p>
        </w:tc>
        <w:tc>
          <w:tcPr>
            <w:tcW w:w="794" w:type="dxa"/>
            <w:vMerge/>
            <w:tcBorders>
              <w:top w:val="nil"/>
              <w:left w:val="nil"/>
              <w:right w:val="nil"/>
            </w:tcBorders>
            <w:vAlign w:val="center"/>
            <w:hideMark/>
          </w:tcPr>
          <w:p w14:paraId="674D5A11" w14:textId="77777777" w:rsidR="00CC4E50" w:rsidRPr="0099627D" w:rsidRDefault="00CC4E50" w:rsidP="00CC4E50">
            <w:pPr>
              <w:jc w:val="center"/>
              <w:rPr>
                <w:rFonts w:ascii="Times New Roman" w:eastAsia="Times New Roman" w:hAnsi="Times New Roman" w:cs="Times New Roman"/>
                <w:color w:val="000000"/>
                <w:sz w:val="16"/>
                <w:szCs w:val="16"/>
              </w:rPr>
            </w:pPr>
          </w:p>
        </w:tc>
      </w:tr>
      <w:tr w:rsidR="00CC4E50" w:rsidRPr="0099627D" w14:paraId="7B26F1F8" w14:textId="77777777" w:rsidTr="00CC4E50">
        <w:trPr>
          <w:trHeight w:hRule="exact" w:val="167"/>
        </w:trPr>
        <w:tc>
          <w:tcPr>
            <w:tcW w:w="1264" w:type="dxa"/>
            <w:vMerge w:val="restart"/>
            <w:tcBorders>
              <w:top w:val="nil"/>
              <w:bottom w:val="single" w:sz="12" w:space="0" w:color="auto"/>
              <w:right w:val="nil"/>
            </w:tcBorders>
            <w:shd w:val="clear" w:color="auto" w:fill="auto"/>
            <w:vAlign w:val="center"/>
            <w:hideMark/>
          </w:tcPr>
          <w:p w14:paraId="7F70561A"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Age</w:t>
            </w:r>
          </w:p>
        </w:tc>
        <w:tc>
          <w:tcPr>
            <w:tcW w:w="851" w:type="dxa"/>
            <w:vMerge w:val="restart"/>
            <w:tcBorders>
              <w:top w:val="nil"/>
              <w:left w:val="nil"/>
              <w:bottom w:val="single" w:sz="12" w:space="0" w:color="auto"/>
              <w:right w:val="nil"/>
            </w:tcBorders>
            <w:shd w:val="clear" w:color="auto" w:fill="auto"/>
            <w:noWrap/>
            <w:vAlign w:val="center"/>
            <w:hideMark/>
          </w:tcPr>
          <w:p w14:paraId="13A42DB1"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-0.073</w:t>
            </w:r>
          </w:p>
        </w:tc>
        <w:tc>
          <w:tcPr>
            <w:tcW w:w="803" w:type="dxa"/>
            <w:vMerge w:val="restart"/>
            <w:tcBorders>
              <w:top w:val="nil"/>
              <w:left w:val="nil"/>
              <w:bottom w:val="single" w:sz="12" w:space="0" w:color="auto"/>
              <w:right w:val="nil"/>
            </w:tcBorders>
            <w:shd w:val="clear" w:color="auto" w:fill="auto"/>
            <w:noWrap/>
            <w:vAlign w:val="center"/>
            <w:hideMark/>
          </w:tcPr>
          <w:p w14:paraId="1C7997B9"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-0.034</w:t>
            </w:r>
          </w:p>
        </w:tc>
        <w:tc>
          <w:tcPr>
            <w:tcW w:w="777" w:type="dxa"/>
            <w:vMerge w:val="restart"/>
            <w:tcBorders>
              <w:top w:val="nil"/>
              <w:left w:val="nil"/>
              <w:bottom w:val="single" w:sz="12" w:space="0" w:color="auto"/>
              <w:right w:val="nil"/>
            </w:tcBorders>
            <w:shd w:val="clear" w:color="auto" w:fill="auto"/>
            <w:noWrap/>
            <w:vAlign w:val="center"/>
            <w:hideMark/>
          </w:tcPr>
          <w:p w14:paraId="7FBE656D"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-0.011</w:t>
            </w:r>
          </w:p>
        </w:tc>
        <w:tc>
          <w:tcPr>
            <w:tcW w:w="794" w:type="dxa"/>
            <w:vMerge w:val="restart"/>
            <w:tcBorders>
              <w:top w:val="nil"/>
              <w:left w:val="nil"/>
              <w:bottom w:val="single" w:sz="12" w:space="0" w:color="auto"/>
              <w:right w:val="nil"/>
            </w:tcBorders>
            <w:shd w:val="clear" w:color="auto" w:fill="auto"/>
            <w:noWrap/>
            <w:vAlign w:val="center"/>
            <w:hideMark/>
          </w:tcPr>
          <w:p w14:paraId="464602E7"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-0.108</w:t>
            </w:r>
          </w:p>
        </w:tc>
        <w:tc>
          <w:tcPr>
            <w:tcW w:w="1059" w:type="dxa"/>
            <w:vMerge w:val="restart"/>
            <w:tcBorders>
              <w:top w:val="nil"/>
              <w:left w:val="nil"/>
              <w:bottom w:val="single" w:sz="12" w:space="0" w:color="auto"/>
              <w:right w:val="nil"/>
            </w:tcBorders>
            <w:shd w:val="clear" w:color="auto" w:fill="auto"/>
            <w:noWrap/>
            <w:vAlign w:val="center"/>
            <w:hideMark/>
          </w:tcPr>
          <w:p w14:paraId="06EA3EF3"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0.179</w:t>
            </w:r>
          </w:p>
        </w:tc>
        <w:tc>
          <w:tcPr>
            <w:tcW w:w="793" w:type="dxa"/>
            <w:vMerge w:val="restart"/>
            <w:tcBorders>
              <w:top w:val="nil"/>
              <w:left w:val="nil"/>
              <w:bottom w:val="single" w:sz="12" w:space="0" w:color="auto"/>
              <w:right w:val="nil"/>
            </w:tcBorders>
            <w:shd w:val="clear" w:color="auto" w:fill="auto"/>
            <w:noWrap/>
            <w:vAlign w:val="center"/>
            <w:hideMark/>
          </w:tcPr>
          <w:p w14:paraId="637D9A63"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0.063</w:t>
            </w:r>
          </w:p>
        </w:tc>
        <w:tc>
          <w:tcPr>
            <w:tcW w:w="928" w:type="dxa"/>
            <w:vMerge w:val="restart"/>
            <w:tcBorders>
              <w:top w:val="nil"/>
              <w:left w:val="nil"/>
              <w:bottom w:val="single" w:sz="12" w:space="0" w:color="auto"/>
              <w:right w:val="nil"/>
            </w:tcBorders>
            <w:shd w:val="clear" w:color="auto" w:fill="auto"/>
            <w:noWrap/>
            <w:vAlign w:val="center"/>
            <w:hideMark/>
          </w:tcPr>
          <w:p w14:paraId="6498A4F3"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-0.053</w:t>
            </w:r>
          </w:p>
        </w:tc>
        <w:tc>
          <w:tcPr>
            <w:tcW w:w="989" w:type="dxa"/>
            <w:vMerge w:val="restart"/>
            <w:tcBorders>
              <w:top w:val="nil"/>
              <w:left w:val="nil"/>
              <w:bottom w:val="single" w:sz="12" w:space="0" w:color="auto"/>
              <w:right w:val="nil"/>
            </w:tcBorders>
            <w:shd w:val="clear" w:color="auto" w:fill="auto"/>
            <w:noWrap/>
            <w:vAlign w:val="center"/>
            <w:hideMark/>
          </w:tcPr>
          <w:p w14:paraId="4EFCE813"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0.008</w:t>
            </w:r>
          </w:p>
        </w:tc>
        <w:tc>
          <w:tcPr>
            <w:tcW w:w="817" w:type="dxa"/>
            <w:vMerge w:val="restart"/>
            <w:tcBorders>
              <w:top w:val="nil"/>
              <w:left w:val="nil"/>
              <w:bottom w:val="single" w:sz="12" w:space="0" w:color="auto"/>
              <w:right w:val="nil"/>
            </w:tcBorders>
            <w:shd w:val="clear" w:color="auto" w:fill="auto"/>
            <w:noWrap/>
            <w:vAlign w:val="center"/>
            <w:hideMark/>
          </w:tcPr>
          <w:p w14:paraId="57600D06"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-0.040</w:t>
            </w:r>
          </w:p>
        </w:tc>
        <w:tc>
          <w:tcPr>
            <w:tcW w:w="635" w:type="dxa"/>
            <w:vMerge w:val="restart"/>
            <w:tcBorders>
              <w:top w:val="nil"/>
              <w:left w:val="nil"/>
              <w:bottom w:val="single" w:sz="12" w:space="0" w:color="auto"/>
              <w:right w:val="nil"/>
            </w:tcBorders>
            <w:shd w:val="clear" w:color="auto" w:fill="auto"/>
            <w:noWrap/>
            <w:vAlign w:val="center"/>
            <w:hideMark/>
          </w:tcPr>
          <w:p w14:paraId="1AE07D24"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-0.029</w:t>
            </w:r>
          </w:p>
        </w:tc>
        <w:tc>
          <w:tcPr>
            <w:tcW w:w="908" w:type="dxa"/>
            <w:vMerge w:val="restart"/>
            <w:tcBorders>
              <w:top w:val="nil"/>
              <w:left w:val="nil"/>
              <w:bottom w:val="single" w:sz="12" w:space="0" w:color="auto"/>
              <w:right w:val="nil"/>
            </w:tcBorders>
            <w:shd w:val="clear" w:color="auto" w:fill="auto"/>
            <w:noWrap/>
            <w:vAlign w:val="center"/>
            <w:hideMark/>
          </w:tcPr>
          <w:p w14:paraId="312D9F60"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0.008</w:t>
            </w:r>
          </w:p>
        </w:tc>
        <w:tc>
          <w:tcPr>
            <w:tcW w:w="999" w:type="dxa"/>
            <w:vMerge w:val="restart"/>
            <w:tcBorders>
              <w:top w:val="nil"/>
              <w:left w:val="nil"/>
              <w:bottom w:val="single" w:sz="12" w:space="0" w:color="auto"/>
              <w:right w:val="nil"/>
            </w:tcBorders>
            <w:shd w:val="clear" w:color="auto" w:fill="auto"/>
            <w:noWrap/>
            <w:vAlign w:val="center"/>
            <w:hideMark/>
          </w:tcPr>
          <w:p w14:paraId="3E4802C9"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0.004</w:t>
            </w:r>
          </w:p>
        </w:tc>
        <w:tc>
          <w:tcPr>
            <w:tcW w:w="908" w:type="dxa"/>
            <w:vMerge w:val="restart"/>
            <w:tcBorders>
              <w:top w:val="nil"/>
              <w:left w:val="nil"/>
              <w:bottom w:val="single" w:sz="12" w:space="0" w:color="auto"/>
              <w:right w:val="nil"/>
            </w:tcBorders>
            <w:shd w:val="clear" w:color="auto" w:fill="auto"/>
            <w:noWrap/>
            <w:vAlign w:val="center"/>
            <w:hideMark/>
          </w:tcPr>
          <w:p w14:paraId="6B9FBBD9"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0.239</w:t>
            </w:r>
          </w:p>
        </w:tc>
        <w:tc>
          <w:tcPr>
            <w:tcW w:w="794" w:type="dxa"/>
            <w:vMerge w:val="restart"/>
            <w:tcBorders>
              <w:top w:val="nil"/>
              <w:left w:val="nil"/>
              <w:bottom w:val="single" w:sz="12" w:space="0" w:color="auto"/>
              <w:right w:val="nil"/>
            </w:tcBorders>
            <w:shd w:val="clear" w:color="auto" w:fill="auto"/>
            <w:noWrap/>
            <w:vAlign w:val="center"/>
            <w:hideMark/>
          </w:tcPr>
          <w:p w14:paraId="69F66413" w14:textId="77777777" w:rsidR="00CC4E50" w:rsidRPr="0099627D" w:rsidRDefault="00CC4E50" w:rsidP="00CC4E50">
            <w:pPr>
              <w:jc w:val="center"/>
              <w:rPr>
                <w:rFonts w:ascii="Times New Roman" w:eastAsia="Times New Roman" w:hAnsi="Times New Roman" w:cs="Times New Roman"/>
                <w:color w:val="000000"/>
                <w:sz w:val="16"/>
                <w:szCs w:val="16"/>
              </w:rPr>
            </w:pPr>
            <w:r w:rsidRPr="0099627D">
              <w:rPr>
                <w:rFonts w:ascii="Times New Roman" w:eastAsia="Times New Roman" w:hAnsi="Times New Roman" w:cs="Times New Roman"/>
                <w:color w:val="000000"/>
                <w:sz w:val="16"/>
                <w:szCs w:val="16"/>
              </w:rPr>
              <w:t>1.000</w:t>
            </w:r>
          </w:p>
        </w:tc>
      </w:tr>
      <w:tr w:rsidR="00CC4E50" w:rsidRPr="0099627D" w14:paraId="1E545A6E" w14:textId="77777777" w:rsidTr="00DD1F85">
        <w:trPr>
          <w:trHeight w:val="499"/>
        </w:trPr>
        <w:tc>
          <w:tcPr>
            <w:tcW w:w="1264" w:type="dxa"/>
            <w:vMerge/>
            <w:tcBorders>
              <w:top w:val="nil"/>
              <w:bottom w:val="single" w:sz="12" w:space="0" w:color="auto"/>
              <w:right w:val="nil"/>
            </w:tcBorders>
            <w:vAlign w:val="center"/>
            <w:hideMark/>
          </w:tcPr>
          <w:p w14:paraId="201DA05F" w14:textId="77777777" w:rsidR="00CC4E50" w:rsidRPr="0099627D" w:rsidRDefault="00CC4E50" w:rsidP="003515C9">
            <w:pPr>
              <w:rPr>
                <w:rFonts w:ascii="Times New Roman" w:eastAsia="Times New Roman" w:hAnsi="Times New Roman" w:cs="Times New Roman"/>
                <w:b/>
                <w:bCs/>
                <w:color w:val="000000"/>
                <w:sz w:val="16"/>
                <w:szCs w:val="16"/>
              </w:rPr>
            </w:pPr>
          </w:p>
        </w:tc>
        <w:tc>
          <w:tcPr>
            <w:tcW w:w="851" w:type="dxa"/>
            <w:vMerge/>
            <w:tcBorders>
              <w:top w:val="nil"/>
              <w:left w:val="nil"/>
              <w:bottom w:val="single" w:sz="12" w:space="0" w:color="auto"/>
              <w:right w:val="nil"/>
            </w:tcBorders>
            <w:vAlign w:val="center"/>
            <w:hideMark/>
          </w:tcPr>
          <w:p w14:paraId="2B9E17EE" w14:textId="77777777" w:rsidR="00CC4E50" w:rsidRPr="0099627D" w:rsidRDefault="00CC4E50" w:rsidP="003515C9">
            <w:pPr>
              <w:rPr>
                <w:rFonts w:ascii="Times New Roman" w:eastAsia="Times New Roman" w:hAnsi="Times New Roman" w:cs="Times New Roman"/>
                <w:color w:val="000000"/>
                <w:sz w:val="16"/>
                <w:szCs w:val="16"/>
              </w:rPr>
            </w:pPr>
          </w:p>
        </w:tc>
        <w:tc>
          <w:tcPr>
            <w:tcW w:w="803" w:type="dxa"/>
            <w:vMerge/>
            <w:tcBorders>
              <w:top w:val="nil"/>
              <w:left w:val="nil"/>
              <w:bottom w:val="single" w:sz="12" w:space="0" w:color="auto"/>
              <w:right w:val="nil"/>
            </w:tcBorders>
            <w:vAlign w:val="center"/>
            <w:hideMark/>
          </w:tcPr>
          <w:p w14:paraId="6B08E0DF" w14:textId="77777777" w:rsidR="00CC4E50" w:rsidRPr="0099627D" w:rsidRDefault="00CC4E50" w:rsidP="003515C9">
            <w:pPr>
              <w:rPr>
                <w:rFonts w:ascii="Times New Roman" w:eastAsia="Times New Roman" w:hAnsi="Times New Roman" w:cs="Times New Roman"/>
                <w:color w:val="000000"/>
                <w:sz w:val="16"/>
                <w:szCs w:val="16"/>
              </w:rPr>
            </w:pPr>
          </w:p>
        </w:tc>
        <w:tc>
          <w:tcPr>
            <w:tcW w:w="777" w:type="dxa"/>
            <w:vMerge/>
            <w:tcBorders>
              <w:top w:val="nil"/>
              <w:left w:val="nil"/>
              <w:bottom w:val="single" w:sz="12" w:space="0" w:color="auto"/>
              <w:right w:val="nil"/>
            </w:tcBorders>
            <w:vAlign w:val="center"/>
            <w:hideMark/>
          </w:tcPr>
          <w:p w14:paraId="4EA7BBEE" w14:textId="77777777" w:rsidR="00CC4E50" w:rsidRPr="0099627D" w:rsidRDefault="00CC4E50" w:rsidP="003515C9">
            <w:pPr>
              <w:rPr>
                <w:rFonts w:ascii="Times New Roman" w:eastAsia="Times New Roman" w:hAnsi="Times New Roman" w:cs="Times New Roman"/>
                <w:color w:val="000000"/>
                <w:sz w:val="16"/>
                <w:szCs w:val="16"/>
              </w:rPr>
            </w:pPr>
          </w:p>
        </w:tc>
        <w:tc>
          <w:tcPr>
            <w:tcW w:w="794" w:type="dxa"/>
            <w:vMerge/>
            <w:tcBorders>
              <w:top w:val="nil"/>
              <w:left w:val="nil"/>
              <w:bottom w:val="single" w:sz="12" w:space="0" w:color="auto"/>
              <w:right w:val="nil"/>
            </w:tcBorders>
            <w:vAlign w:val="center"/>
            <w:hideMark/>
          </w:tcPr>
          <w:p w14:paraId="13E1691D" w14:textId="77777777" w:rsidR="00CC4E50" w:rsidRPr="0099627D" w:rsidRDefault="00CC4E50" w:rsidP="003515C9">
            <w:pPr>
              <w:rPr>
                <w:rFonts w:ascii="Times New Roman" w:eastAsia="Times New Roman" w:hAnsi="Times New Roman" w:cs="Times New Roman"/>
                <w:color w:val="000000"/>
                <w:sz w:val="16"/>
                <w:szCs w:val="16"/>
              </w:rPr>
            </w:pPr>
          </w:p>
        </w:tc>
        <w:tc>
          <w:tcPr>
            <w:tcW w:w="1059" w:type="dxa"/>
            <w:vMerge/>
            <w:tcBorders>
              <w:top w:val="nil"/>
              <w:left w:val="nil"/>
              <w:bottom w:val="single" w:sz="12" w:space="0" w:color="auto"/>
              <w:right w:val="nil"/>
            </w:tcBorders>
            <w:vAlign w:val="center"/>
            <w:hideMark/>
          </w:tcPr>
          <w:p w14:paraId="498A343C" w14:textId="77777777" w:rsidR="00CC4E50" w:rsidRPr="0099627D" w:rsidRDefault="00CC4E50" w:rsidP="003515C9">
            <w:pPr>
              <w:rPr>
                <w:rFonts w:ascii="Times New Roman" w:eastAsia="Times New Roman" w:hAnsi="Times New Roman" w:cs="Times New Roman"/>
                <w:color w:val="000000"/>
                <w:sz w:val="16"/>
                <w:szCs w:val="16"/>
              </w:rPr>
            </w:pPr>
          </w:p>
        </w:tc>
        <w:tc>
          <w:tcPr>
            <w:tcW w:w="793" w:type="dxa"/>
            <w:vMerge/>
            <w:tcBorders>
              <w:top w:val="nil"/>
              <w:left w:val="nil"/>
              <w:bottom w:val="single" w:sz="12" w:space="0" w:color="auto"/>
              <w:right w:val="nil"/>
            </w:tcBorders>
            <w:vAlign w:val="center"/>
            <w:hideMark/>
          </w:tcPr>
          <w:p w14:paraId="5602AC33" w14:textId="77777777" w:rsidR="00CC4E50" w:rsidRPr="0099627D" w:rsidRDefault="00CC4E50" w:rsidP="003515C9">
            <w:pPr>
              <w:rPr>
                <w:rFonts w:ascii="Times New Roman" w:eastAsia="Times New Roman" w:hAnsi="Times New Roman" w:cs="Times New Roman"/>
                <w:color w:val="000000"/>
                <w:sz w:val="16"/>
                <w:szCs w:val="16"/>
              </w:rPr>
            </w:pPr>
          </w:p>
        </w:tc>
        <w:tc>
          <w:tcPr>
            <w:tcW w:w="928" w:type="dxa"/>
            <w:vMerge/>
            <w:tcBorders>
              <w:top w:val="nil"/>
              <w:left w:val="nil"/>
              <w:bottom w:val="single" w:sz="12" w:space="0" w:color="auto"/>
              <w:right w:val="nil"/>
            </w:tcBorders>
            <w:vAlign w:val="center"/>
            <w:hideMark/>
          </w:tcPr>
          <w:p w14:paraId="3F950887" w14:textId="77777777" w:rsidR="00CC4E50" w:rsidRPr="0099627D" w:rsidRDefault="00CC4E50" w:rsidP="003515C9">
            <w:pPr>
              <w:rPr>
                <w:rFonts w:ascii="Times New Roman" w:eastAsia="Times New Roman" w:hAnsi="Times New Roman" w:cs="Times New Roman"/>
                <w:color w:val="000000"/>
                <w:sz w:val="16"/>
                <w:szCs w:val="16"/>
              </w:rPr>
            </w:pPr>
          </w:p>
        </w:tc>
        <w:tc>
          <w:tcPr>
            <w:tcW w:w="989" w:type="dxa"/>
            <w:vMerge/>
            <w:tcBorders>
              <w:top w:val="nil"/>
              <w:left w:val="nil"/>
              <w:bottom w:val="single" w:sz="12" w:space="0" w:color="auto"/>
              <w:right w:val="nil"/>
            </w:tcBorders>
            <w:vAlign w:val="center"/>
            <w:hideMark/>
          </w:tcPr>
          <w:p w14:paraId="53750160" w14:textId="77777777" w:rsidR="00CC4E50" w:rsidRPr="0099627D" w:rsidRDefault="00CC4E50" w:rsidP="003515C9">
            <w:pPr>
              <w:rPr>
                <w:rFonts w:ascii="Times New Roman" w:eastAsia="Times New Roman" w:hAnsi="Times New Roman" w:cs="Times New Roman"/>
                <w:color w:val="000000"/>
                <w:sz w:val="16"/>
                <w:szCs w:val="16"/>
              </w:rPr>
            </w:pPr>
          </w:p>
        </w:tc>
        <w:tc>
          <w:tcPr>
            <w:tcW w:w="817" w:type="dxa"/>
            <w:vMerge/>
            <w:tcBorders>
              <w:top w:val="nil"/>
              <w:left w:val="nil"/>
              <w:bottom w:val="single" w:sz="12" w:space="0" w:color="auto"/>
              <w:right w:val="nil"/>
            </w:tcBorders>
            <w:vAlign w:val="center"/>
            <w:hideMark/>
          </w:tcPr>
          <w:p w14:paraId="4AC2B403" w14:textId="77777777" w:rsidR="00CC4E50" w:rsidRPr="0099627D" w:rsidRDefault="00CC4E50" w:rsidP="003515C9">
            <w:pPr>
              <w:rPr>
                <w:rFonts w:ascii="Times New Roman" w:eastAsia="Times New Roman" w:hAnsi="Times New Roman" w:cs="Times New Roman"/>
                <w:color w:val="000000"/>
                <w:sz w:val="16"/>
                <w:szCs w:val="16"/>
              </w:rPr>
            </w:pPr>
          </w:p>
        </w:tc>
        <w:tc>
          <w:tcPr>
            <w:tcW w:w="635" w:type="dxa"/>
            <w:vMerge/>
            <w:tcBorders>
              <w:top w:val="nil"/>
              <w:left w:val="nil"/>
              <w:bottom w:val="single" w:sz="12" w:space="0" w:color="auto"/>
              <w:right w:val="nil"/>
            </w:tcBorders>
            <w:vAlign w:val="center"/>
            <w:hideMark/>
          </w:tcPr>
          <w:p w14:paraId="2A80C5C3" w14:textId="77777777" w:rsidR="00CC4E50" w:rsidRPr="0099627D" w:rsidRDefault="00CC4E50" w:rsidP="003515C9">
            <w:pPr>
              <w:rPr>
                <w:rFonts w:ascii="Times New Roman" w:eastAsia="Times New Roman" w:hAnsi="Times New Roman" w:cs="Times New Roman"/>
                <w:color w:val="000000"/>
                <w:sz w:val="16"/>
                <w:szCs w:val="16"/>
              </w:rPr>
            </w:pPr>
          </w:p>
        </w:tc>
        <w:tc>
          <w:tcPr>
            <w:tcW w:w="908" w:type="dxa"/>
            <w:vMerge/>
            <w:tcBorders>
              <w:top w:val="nil"/>
              <w:left w:val="nil"/>
              <w:bottom w:val="single" w:sz="12" w:space="0" w:color="auto"/>
              <w:right w:val="nil"/>
            </w:tcBorders>
            <w:vAlign w:val="center"/>
            <w:hideMark/>
          </w:tcPr>
          <w:p w14:paraId="292F882F" w14:textId="77777777" w:rsidR="00CC4E50" w:rsidRPr="0099627D" w:rsidRDefault="00CC4E50" w:rsidP="003515C9">
            <w:pPr>
              <w:rPr>
                <w:rFonts w:ascii="Times New Roman" w:eastAsia="Times New Roman" w:hAnsi="Times New Roman" w:cs="Times New Roman"/>
                <w:color w:val="000000"/>
                <w:sz w:val="16"/>
                <w:szCs w:val="16"/>
              </w:rPr>
            </w:pPr>
          </w:p>
        </w:tc>
        <w:tc>
          <w:tcPr>
            <w:tcW w:w="999" w:type="dxa"/>
            <w:vMerge/>
            <w:tcBorders>
              <w:top w:val="nil"/>
              <w:left w:val="nil"/>
              <w:bottom w:val="single" w:sz="12" w:space="0" w:color="auto"/>
              <w:right w:val="nil"/>
            </w:tcBorders>
            <w:vAlign w:val="center"/>
            <w:hideMark/>
          </w:tcPr>
          <w:p w14:paraId="1F882B59" w14:textId="77777777" w:rsidR="00CC4E50" w:rsidRPr="0099627D" w:rsidRDefault="00CC4E50" w:rsidP="003515C9">
            <w:pPr>
              <w:rPr>
                <w:rFonts w:ascii="Times New Roman" w:eastAsia="Times New Roman" w:hAnsi="Times New Roman" w:cs="Times New Roman"/>
                <w:color w:val="000000"/>
                <w:sz w:val="16"/>
                <w:szCs w:val="16"/>
              </w:rPr>
            </w:pPr>
          </w:p>
        </w:tc>
        <w:tc>
          <w:tcPr>
            <w:tcW w:w="908" w:type="dxa"/>
            <w:vMerge/>
            <w:tcBorders>
              <w:top w:val="nil"/>
              <w:left w:val="nil"/>
              <w:bottom w:val="single" w:sz="12" w:space="0" w:color="auto"/>
              <w:right w:val="nil"/>
            </w:tcBorders>
            <w:vAlign w:val="center"/>
            <w:hideMark/>
          </w:tcPr>
          <w:p w14:paraId="45F3B89E" w14:textId="77777777" w:rsidR="00CC4E50" w:rsidRPr="0099627D" w:rsidRDefault="00CC4E50" w:rsidP="003515C9">
            <w:pPr>
              <w:rPr>
                <w:rFonts w:ascii="Times New Roman" w:eastAsia="Times New Roman" w:hAnsi="Times New Roman" w:cs="Times New Roman"/>
                <w:color w:val="000000"/>
                <w:sz w:val="16"/>
                <w:szCs w:val="16"/>
              </w:rPr>
            </w:pPr>
          </w:p>
        </w:tc>
        <w:tc>
          <w:tcPr>
            <w:tcW w:w="794" w:type="dxa"/>
            <w:vMerge/>
            <w:tcBorders>
              <w:top w:val="nil"/>
              <w:left w:val="nil"/>
              <w:bottom w:val="single" w:sz="12" w:space="0" w:color="auto"/>
              <w:right w:val="nil"/>
            </w:tcBorders>
            <w:vAlign w:val="center"/>
            <w:hideMark/>
          </w:tcPr>
          <w:p w14:paraId="31FE6396" w14:textId="77777777" w:rsidR="00CC4E50" w:rsidRPr="0099627D" w:rsidRDefault="00CC4E50" w:rsidP="003515C9">
            <w:pPr>
              <w:rPr>
                <w:rFonts w:ascii="Times New Roman" w:eastAsia="Times New Roman" w:hAnsi="Times New Roman" w:cs="Times New Roman"/>
                <w:color w:val="000000"/>
                <w:sz w:val="16"/>
                <w:szCs w:val="16"/>
              </w:rPr>
            </w:pPr>
          </w:p>
        </w:tc>
      </w:tr>
    </w:tbl>
    <w:p w14:paraId="58F6AD0C" w14:textId="72EC2C3F" w:rsidR="00B13FAB" w:rsidRDefault="003515C9" w:rsidP="00DD1F85">
      <w:pPr>
        <w:pStyle w:val="Caption"/>
        <w:spacing w:after="0"/>
      </w:pPr>
      <w:bookmarkStart w:id="123" w:name="_Toc199886030"/>
      <w:bookmarkStart w:id="124" w:name="_Toc200097047"/>
      <w:r>
        <w:t xml:space="preserve">Table </w:t>
      </w:r>
      <w:r w:rsidR="00450C23">
        <w:fldChar w:fldCharType="begin"/>
      </w:r>
      <w:r w:rsidR="00450C23">
        <w:instrText xml:space="preserve"> STYLEREF 1 \s </w:instrText>
      </w:r>
      <w:r w:rsidR="00450C23">
        <w:fldChar w:fldCharType="separate"/>
      </w:r>
      <w:r w:rsidR="005D69AE">
        <w:rPr>
          <w:noProof/>
        </w:rPr>
        <w:t>3</w:t>
      </w:r>
      <w:r w:rsidR="00450C23">
        <w:rPr>
          <w:noProof/>
        </w:rPr>
        <w:fldChar w:fldCharType="end"/>
      </w:r>
      <w:r w:rsidR="005D69AE">
        <w:t>.</w:t>
      </w:r>
      <w:r w:rsidR="00450C23">
        <w:fldChar w:fldCharType="begin"/>
      </w:r>
      <w:r w:rsidR="00450C23">
        <w:instrText xml:space="preserve"> SEQ Table \* ARABIC \s 1 </w:instrText>
      </w:r>
      <w:r w:rsidR="00450C23">
        <w:fldChar w:fldCharType="separate"/>
      </w:r>
      <w:r w:rsidR="005D69AE">
        <w:rPr>
          <w:noProof/>
        </w:rPr>
        <w:t>1</w:t>
      </w:r>
      <w:r w:rsidR="00450C23">
        <w:rPr>
          <w:noProof/>
        </w:rPr>
        <w:fldChar w:fldCharType="end"/>
      </w:r>
      <w:r>
        <w:t xml:space="preserve">. </w:t>
      </w:r>
      <w:r w:rsidRPr="0070583E">
        <w:t>Spearman rank correlation coefficients for potential predictors of chronic obstructive pulmonary disease among the National Supplemental Screening Program participants, 2006-2019</w:t>
      </w:r>
      <w:bookmarkEnd w:id="123"/>
      <w:bookmarkEnd w:id="124"/>
    </w:p>
    <w:p w14:paraId="25FBBE81" w14:textId="77777777" w:rsidR="00B13FAB" w:rsidRDefault="00B13FAB" w:rsidP="00DD1F85">
      <w:pPr>
        <w:spacing w:after="0" w:line="240" w:lineRule="auto"/>
        <w:rPr>
          <w:rFonts w:ascii="Times New Roman" w:hAnsi="Times New Roman" w:cs="Times New Roman"/>
        </w:rPr>
      </w:pPr>
    </w:p>
    <w:p w14:paraId="291CB749" w14:textId="77777777" w:rsidR="00B13FAB" w:rsidRDefault="00B13FAB" w:rsidP="0047391E">
      <w:pPr>
        <w:spacing w:line="480" w:lineRule="auto"/>
        <w:rPr>
          <w:rFonts w:ascii="Times New Roman" w:hAnsi="Times New Roman" w:cs="Times New Roman"/>
        </w:rPr>
      </w:pPr>
    </w:p>
    <w:p w14:paraId="3B676E0E" w14:textId="77777777" w:rsidR="00DD1F85" w:rsidRDefault="00DD1F85" w:rsidP="0047391E">
      <w:pPr>
        <w:spacing w:line="480" w:lineRule="auto"/>
        <w:rPr>
          <w:rFonts w:ascii="Times New Roman" w:hAnsi="Times New Roman" w:cs="Times New Roman"/>
        </w:rPr>
      </w:pPr>
    </w:p>
    <w:p w14:paraId="7F42E194" w14:textId="77777777" w:rsidR="00B13FAB" w:rsidRDefault="00B13FAB" w:rsidP="0047391E">
      <w:pPr>
        <w:spacing w:line="480" w:lineRule="auto"/>
        <w:rPr>
          <w:rFonts w:ascii="Times New Roman" w:hAnsi="Times New Roman" w:cs="Times New Roman"/>
        </w:rPr>
        <w:sectPr w:rsidR="00B13FAB" w:rsidSect="009C2E43">
          <w:pgSz w:w="15840" w:h="12240" w:orient="landscape"/>
          <w:pgMar w:top="1440" w:right="1440" w:bottom="1440" w:left="1440" w:header="720" w:footer="720" w:gutter="0"/>
          <w:cols w:space="720"/>
          <w:docGrid w:linePitch="360"/>
        </w:sectPr>
      </w:pPr>
    </w:p>
    <w:p w14:paraId="251DDF70" w14:textId="3842F2B6" w:rsidR="0047391E" w:rsidRPr="00B902E6" w:rsidRDefault="0047391E" w:rsidP="00DD1F85">
      <w:pPr>
        <w:pStyle w:val="Heading5"/>
        <w:spacing w:before="0" w:after="0" w:line="480" w:lineRule="auto"/>
      </w:pPr>
      <w:bookmarkStart w:id="125" w:name="_Toc200097002"/>
      <w:r w:rsidRPr="00B902E6">
        <w:lastRenderedPageBreak/>
        <w:t>Predictors of COPD occurrence</w:t>
      </w:r>
      <w:bookmarkEnd w:id="125"/>
    </w:p>
    <w:p w14:paraId="0AFEC444" w14:textId="6B4C4223" w:rsidR="00E24B3C" w:rsidRDefault="00E24B3C" w:rsidP="00DD1F85">
      <w:pPr>
        <w:spacing w:after="0" w:line="480" w:lineRule="auto"/>
        <w:ind w:firstLine="720"/>
        <w:rPr>
          <w:rFonts w:ascii="Times New Roman" w:hAnsi="Times New Roman" w:cs="Times New Roman"/>
        </w:rPr>
      </w:pPr>
      <w:r w:rsidRPr="00E24B3C">
        <w:rPr>
          <w:rFonts w:ascii="Times New Roman" w:hAnsi="Times New Roman" w:cs="Times New Roman"/>
        </w:rPr>
        <w:t xml:space="preserve">To identify potential predictors of COPD occurrence (yes/no), logistic regression models were fit using RStudio version 2021.09.2 </w:t>
      </w:r>
      <w:sdt>
        <w:sdtPr>
          <w:rPr>
            <w:rFonts w:ascii="Times New Roman" w:hAnsi="Times New Roman" w:cs="Times New Roman"/>
            <w:color w:val="000000"/>
          </w:rPr>
          <w:tag w:val="MENDELEY_CITATION_v3_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"/>
          <w:id w:val="192270893"/>
          <w:placeholder>
            <w:docPart w:val="A4502AD3CF554945889EF270326494AE"/>
          </w:placeholder>
        </w:sdtPr>
        <w:sdtEndPr/>
        <w:sdtContent>
          <w:r w:rsidR="00572E88" w:rsidRPr="00572E88">
            <w:rPr>
              <w:rFonts w:ascii="Times New Roman" w:hAnsi="Times New Roman" w:cs="Times New Roman"/>
              <w:color w:val="000000"/>
            </w:rPr>
            <w:t>[132]</w:t>
          </w:r>
        </w:sdtContent>
      </w:sdt>
      <w:r w:rsidRPr="00E24B3C">
        <w:rPr>
          <w:rFonts w:ascii="Times New Roman" w:hAnsi="Times New Roman" w:cs="Times New Roman"/>
        </w:rPr>
        <w:t xml:space="preserve"> interface of R </w:t>
      </w:r>
      <w:sdt>
        <w:sdtPr>
          <w:rPr>
            <w:rFonts w:ascii="Times New Roman" w:hAnsi="Times New Roman" w:cs="Times New Roman"/>
            <w:color w:val="000000"/>
          </w:rPr>
          <w:tag w:val="MENDELEY_CITATION_v3_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"/>
          <w:id w:val="1782847949"/>
          <w:placeholder>
            <w:docPart w:val="A4502AD3CF554945889EF270326494AE"/>
          </w:placeholder>
        </w:sdtPr>
        <w:sdtEndPr/>
        <w:sdtContent>
          <w:r w:rsidR="00572E88" w:rsidRPr="00572E88">
            <w:rPr>
              <w:rFonts w:ascii="Times New Roman" w:hAnsi="Times New Roman" w:cs="Times New Roman"/>
              <w:color w:val="000000"/>
            </w:rPr>
            <w:t>[172]</w:t>
          </w:r>
        </w:sdtContent>
      </w:sdt>
      <w:r w:rsidRPr="00E24B3C">
        <w:rPr>
          <w:rFonts w:ascii="Times New Roman" w:hAnsi="Times New Roman" w:cs="Times New Roman"/>
        </w:rPr>
        <w:t xml:space="preserve"> for multiple imputation data. Initially, univariable logistic regression models were fit, and the independent variables with a </w:t>
      </w:r>
      <m:oMath>
        <m:r>
          <w:rPr>
            <w:rFonts w:ascii="Cambria Math" w:hAnsi="Cambria Math" w:cs="Times New Roman"/>
          </w:rPr>
          <m:t>p&lt;0.20</m:t>
        </m:r>
      </m:oMath>
      <w:r w:rsidRPr="00E24B3C">
        <w:rPr>
          <w:rFonts w:ascii="Times New Roman" w:hAnsi="Times New Roman" w:cs="Times New Roman"/>
        </w:rPr>
        <w:t xml:space="preserve"> were considered for the multivariable logistic regression model. The reference categories for the logistic regression models were chosen with apriori knowledge of the data and the possible direction of association with COPD. Backwards elimination was used to build the multivariable logistic model using an alpha of 0.05. An independent variable was considered a confounder if its removal from the model resulted in at least a 20% change in the regression coefficients of any of the variables still in the model </w:t>
      </w:r>
      <w:sdt>
        <w:sdtPr>
          <w:rPr>
            <w:rFonts w:ascii="Times New Roman" w:hAnsi="Times New Roman" w:cs="Times New Roman"/>
            <w:color w:val="000000"/>
          </w:rPr>
          <w:tag w:val="MENDELEY_CITATION_v3_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"/>
          <w:id w:val="1874112951"/>
          <w:placeholder>
            <w:docPart w:val="A4502AD3CF554945889EF270326494AE"/>
          </w:placeholder>
        </w:sdtPr>
        <w:sdtEndPr/>
        <w:sdtContent>
          <w:r w:rsidR="00572E88" w:rsidRPr="00572E88">
            <w:rPr>
              <w:rFonts w:ascii="Times New Roman" w:hAnsi="Times New Roman" w:cs="Times New Roman"/>
              <w:color w:val="000000"/>
            </w:rPr>
            <w:t>[134]</w:t>
          </w:r>
        </w:sdtContent>
      </w:sdt>
      <w:r w:rsidRPr="00E24B3C">
        <w:rPr>
          <w:rFonts w:ascii="Times New Roman" w:hAnsi="Times New Roman" w:cs="Times New Roman"/>
        </w:rPr>
        <w:t>. Goodness of fit of the final model was assessed using the Hosmer-</w:t>
      </w:r>
      <w:proofErr w:type="spellStart"/>
      <w:r w:rsidRPr="00E24B3C">
        <w:rPr>
          <w:rFonts w:ascii="Times New Roman" w:hAnsi="Times New Roman" w:cs="Times New Roman"/>
        </w:rPr>
        <w:t>Lemeshow</w:t>
      </w:r>
      <w:proofErr w:type="spellEnd"/>
      <w:r w:rsidRPr="00E24B3C">
        <w:rPr>
          <w:rFonts w:ascii="Times New Roman" w:hAnsi="Times New Roman" w:cs="Times New Roman"/>
        </w:rPr>
        <w:t xml:space="preserve"> test </w:t>
      </w:r>
      <w:sdt>
        <w:sdtPr>
          <w:rPr>
            <w:rFonts w:ascii="Times New Roman" w:hAnsi="Times New Roman" w:cs="Times New Roman"/>
            <w:color w:val="000000"/>
          </w:rPr>
          <w:tag w:val="MENDELEY_CITATION_v3_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"/>
          <w:id w:val="330487031"/>
          <w:placeholder>
            <w:docPart w:val="A4502AD3CF554945889EF270326494AE"/>
          </w:placeholder>
        </w:sdtPr>
        <w:sdtEndPr/>
        <w:sdtContent>
          <w:r w:rsidR="00572E88" w:rsidRPr="00572E88">
            <w:rPr>
              <w:rFonts w:ascii="Times New Roman" w:hAnsi="Times New Roman" w:cs="Times New Roman"/>
              <w:color w:val="000000"/>
            </w:rPr>
            <w:t>[177]</w:t>
          </w:r>
        </w:sdtContent>
      </w:sdt>
      <w:r w:rsidRPr="00E24B3C">
        <w:rPr>
          <w:rFonts w:ascii="Times New Roman" w:hAnsi="Times New Roman" w:cs="Times New Roman"/>
        </w:rPr>
        <w:t>.</w:t>
      </w:r>
    </w:p>
    <w:p w14:paraId="168DDDA4" w14:textId="77777777" w:rsidR="00753DC6" w:rsidRPr="0045673E" w:rsidRDefault="00753DC6" w:rsidP="00DD1F85">
      <w:pPr>
        <w:spacing w:after="0" w:line="480" w:lineRule="auto"/>
        <w:rPr>
          <w:rFonts w:ascii="Times New Roman" w:hAnsi="Times New Roman" w:cs="Times New Roman"/>
        </w:rPr>
      </w:pPr>
    </w:p>
    <w:p w14:paraId="3C3FD8D4" w14:textId="3F8565E4" w:rsidR="0047391E" w:rsidRPr="00B902E6" w:rsidRDefault="0047391E" w:rsidP="00DD1F85">
      <w:pPr>
        <w:pStyle w:val="Heading5"/>
        <w:spacing w:before="0" w:after="0" w:line="480" w:lineRule="auto"/>
      </w:pPr>
      <w:bookmarkStart w:id="126" w:name="_Toc200097003"/>
      <w:r w:rsidRPr="00B902E6">
        <w:t>Predictors of COPD severity</w:t>
      </w:r>
      <w:bookmarkEnd w:id="126"/>
    </w:p>
    <w:p w14:paraId="66851FF0" w14:textId="62A40C04" w:rsidR="0045673E" w:rsidRDefault="0045673E" w:rsidP="00DD1F85">
      <w:pPr>
        <w:spacing w:after="0" w:line="480" w:lineRule="auto"/>
        <w:ind w:firstLine="720"/>
        <w:rPr>
          <w:rFonts w:ascii="Times New Roman" w:hAnsi="Times New Roman" w:cs="Times New Roman"/>
        </w:rPr>
      </w:pPr>
      <w:r w:rsidRPr="0045673E">
        <w:rPr>
          <w:rFonts w:ascii="Times New Roman" w:hAnsi="Times New Roman" w:cs="Times New Roman"/>
        </w:rPr>
        <w:t xml:space="preserve">For COPD severity, only participants with COPD were included in the model. Due to the small number of participants with very severe COPD, the severity variable was re-coded from a 4-categeory variable (very severe, severe, moderate, mild) to a 3-category (severe, moderate, mild) variable by combining the very severe and severe categories. Multinomial logistic regression models were used to identify potential predictors of COPD severity in RStudio 2021.09.2 interface </w:t>
      </w:r>
      <w:sdt>
        <w:sdtPr>
          <w:rPr>
            <w:rFonts w:ascii="Times New Roman" w:hAnsi="Times New Roman" w:cs="Times New Roman"/>
            <w:color w:val="000000"/>
          </w:rPr>
          <w:tag w:val="MENDELEY_CITATION_v3_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"/>
          <w:id w:val="-1987925653"/>
          <w:placeholder>
            <w:docPart w:val="88166AD67CAF7040A23845506DCC548E"/>
          </w:placeholder>
        </w:sdtPr>
        <w:sdtEndPr/>
        <w:sdtContent>
          <w:r w:rsidR="00572E88" w:rsidRPr="00572E88">
            <w:rPr>
              <w:rFonts w:ascii="Times New Roman" w:hAnsi="Times New Roman" w:cs="Times New Roman"/>
              <w:color w:val="000000"/>
            </w:rPr>
            <w:t>[132]</w:t>
          </w:r>
        </w:sdtContent>
      </w:sdt>
      <w:r w:rsidRPr="0045673E">
        <w:rPr>
          <w:rFonts w:ascii="Times New Roman" w:hAnsi="Times New Roman" w:cs="Times New Roman"/>
        </w:rPr>
        <w:t xml:space="preserve"> of R </w:t>
      </w:r>
      <w:sdt>
        <w:sdtPr>
          <w:rPr>
            <w:rFonts w:ascii="Times New Roman" w:hAnsi="Times New Roman" w:cs="Times New Roman"/>
            <w:color w:val="000000"/>
          </w:rPr>
          <w:tag w:val="MENDELEY_CITATION_v3_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"/>
          <w:id w:val="263118002"/>
          <w:placeholder>
            <w:docPart w:val="88166AD67CAF7040A23845506DCC548E"/>
          </w:placeholder>
        </w:sdtPr>
        <w:sdtEndPr/>
        <w:sdtContent>
          <w:r w:rsidR="00572E88" w:rsidRPr="00572E88">
            <w:rPr>
              <w:rFonts w:ascii="Times New Roman" w:hAnsi="Times New Roman" w:cs="Times New Roman"/>
              <w:color w:val="000000"/>
            </w:rPr>
            <w:t>[172]</w:t>
          </w:r>
        </w:sdtContent>
      </w:sdt>
      <w:r w:rsidRPr="0045673E">
        <w:rPr>
          <w:rFonts w:ascii="Times New Roman" w:hAnsi="Times New Roman" w:cs="Times New Roman"/>
        </w:rPr>
        <w:t xml:space="preserve"> for analyses with MICE data. As with the ordinary logistic regression models, a relaxed critical value of </w:t>
      </w:r>
      <m:oMath>
        <m:r>
          <w:rPr>
            <w:rFonts w:ascii="Cambria Math" w:hAnsi="Cambria Math" w:cs="Times New Roman"/>
          </w:rPr>
          <m:t>p&lt;0.20</m:t>
        </m:r>
      </m:oMath>
      <w:r w:rsidRPr="0045673E">
        <w:rPr>
          <w:rFonts w:ascii="Times New Roman" w:hAnsi="Times New Roman" w:cs="Times New Roman"/>
        </w:rPr>
        <w:t xml:space="preserve"> was used to determine which independent variables from the univariable multinomial logistic regression models would be included in the multivariable multinomial logistic regression model. Variables were removed from the multivariable multinomial logistic regression model using backwards elimination when the </w:t>
      </w:r>
      <m:oMath>
        <m:r>
          <w:rPr>
            <w:rFonts w:ascii="Cambria Math" w:hAnsi="Cambria Math" w:cs="Times New Roman"/>
          </w:rPr>
          <m:t>p&gt;</m:t>
        </m:r>
        <m:r>
          <w:rPr>
            <w:rFonts w:ascii="Cambria Math" w:hAnsi="Cambria Math" w:cs="Times New Roman"/>
          </w:rPr>
          <w:lastRenderedPageBreak/>
          <m:t>0.05</m:t>
        </m:r>
      </m:oMath>
      <w:r w:rsidRPr="0045673E">
        <w:rPr>
          <w:rFonts w:ascii="Times New Roman" w:hAnsi="Times New Roman" w:cs="Times New Roman"/>
        </w:rPr>
        <w:t xml:space="preserve">.  An independent variable was considered a confounder if its removal from the model resulted in at least a 20% change in the regression coefficients of any of the variables still in the model </w:t>
      </w:r>
      <w:sdt>
        <w:sdtPr>
          <w:rPr>
            <w:rFonts w:ascii="Times New Roman" w:hAnsi="Times New Roman" w:cs="Times New Roman"/>
            <w:color w:val="000000"/>
          </w:rPr>
          <w:tag w:val="MENDELEY_CITATION_v3_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"/>
          <w:id w:val="880750458"/>
          <w:placeholder>
            <w:docPart w:val="88166AD67CAF7040A23845506DCC548E"/>
          </w:placeholder>
        </w:sdtPr>
        <w:sdtEndPr/>
        <w:sdtContent>
          <w:r w:rsidR="00572E88" w:rsidRPr="00572E88">
            <w:rPr>
              <w:rFonts w:ascii="Times New Roman" w:hAnsi="Times New Roman" w:cs="Times New Roman"/>
              <w:color w:val="000000"/>
            </w:rPr>
            <w:t>[134]</w:t>
          </w:r>
        </w:sdtContent>
      </w:sdt>
      <w:r w:rsidRPr="0045673E">
        <w:rPr>
          <w:rFonts w:ascii="Times New Roman" w:hAnsi="Times New Roman" w:cs="Times New Roman"/>
        </w:rPr>
        <w:t xml:space="preserve">. The exponentiated regression coefficients of the multinomial logistic regression models are Relative Risk Ratios (RRR) which are similar to odds ratios in interpretation </w:t>
      </w:r>
      <w:sdt>
        <w:sdtPr>
          <w:rPr>
            <w:rFonts w:ascii="Times New Roman" w:hAnsi="Times New Roman" w:cs="Times New Roman"/>
            <w:color w:val="000000"/>
          </w:rPr>
          <w:tag w:val="MENDELEY_CITATION_v3_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"/>
          <w:id w:val="1308976310"/>
          <w:placeholder>
            <w:docPart w:val="88166AD67CAF7040A23845506DCC548E"/>
          </w:placeholder>
        </w:sdtPr>
        <w:sdtEndPr/>
        <w:sdtContent>
          <w:r w:rsidR="00572E88" w:rsidRPr="00572E88">
            <w:rPr>
              <w:rFonts w:ascii="Times New Roman" w:hAnsi="Times New Roman" w:cs="Times New Roman"/>
              <w:color w:val="000000"/>
            </w:rPr>
            <w:t>[178]</w:t>
          </w:r>
        </w:sdtContent>
      </w:sdt>
      <w:r w:rsidRPr="0045673E">
        <w:rPr>
          <w:rFonts w:ascii="Times New Roman" w:hAnsi="Times New Roman" w:cs="Times New Roman"/>
        </w:rPr>
        <w:t xml:space="preserve">. Thus, the RRR is a ratio of the relative risks produced by the multinomial model for each level of the outcome compared to the baseline outcome level </w:t>
      </w:r>
      <w:sdt>
        <w:sdtPr>
          <w:rPr>
            <w:rFonts w:ascii="Times New Roman" w:hAnsi="Times New Roman" w:cs="Times New Roman"/>
            <w:color w:val="000000"/>
          </w:rPr>
          <w:tag w:val="MENDELEY_CITATION_v3_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"/>
          <w:id w:val="-253671819"/>
          <w:placeholder>
            <w:docPart w:val="88166AD67CAF7040A23845506DCC548E"/>
          </w:placeholder>
        </w:sdtPr>
        <w:sdtEndPr/>
        <w:sdtContent>
          <w:r w:rsidR="00572E88" w:rsidRPr="00572E88">
            <w:rPr>
              <w:rFonts w:ascii="Times New Roman" w:hAnsi="Times New Roman" w:cs="Times New Roman"/>
              <w:color w:val="000000"/>
            </w:rPr>
            <w:t>[134,178]</w:t>
          </w:r>
        </w:sdtContent>
      </w:sdt>
      <w:r w:rsidRPr="0045673E">
        <w:rPr>
          <w:rFonts w:ascii="Times New Roman" w:hAnsi="Times New Roman" w:cs="Times New Roman"/>
        </w:rPr>
        <w:t xml:space="preserve">. The reference categories for each variable were selected based on apriori knowledge of the data and the hypothesized/plausible association with COPD. For example, advanced age tends to be associated with higher risk of COPD </w:t>
      </w:r>
      <w:sdt>
        <w:sdtPr>
          <w:rPr>
            <w:rFonts w:ascii="Times New Roman" w:hAnsi="Times New Roman" w:cs="Times New Roman"/>
            <w:color w:val="000000"/>
          </w:rPr>
          <w:tag w:val="MENDELEY_CITATION_v3_eyJjaXRhdGlvbklEIjoiTUVOREVMRVlfQ0lUQVRJT05fNDY3NDk4OTctMTQyNC00NWM0LWIwOWEtNjIyZGZiNWYwZjg0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
          <w:id w:val="-1983463573"/>
          <w:placeholder>
            <w:docPart w:val="783419E79BF55741A78DDB9F315D30E7"/>
          </w:placeholder>
        </w:sdtPr>
        <w:sdtEndPr/>
        <w:sdtContent>
          <w:r w:rsidR="00572E88" w:rsidRPr="00572E88">
            <w:rPr>
              <w:rFonts w:ascii="Times New Roman" w:hAnsi="Times New Roman" w:cs="Times New Roman"/>
              <w:color w:val="000000"/>
            </w:rPr>
            <w:t>[6]</w:t>
          </w:r>
        </w:sdtContent>
      </w:sdt>
      <w:r w:rsidRPr="0045673E">
        <w:rPr>
          <w:rFonts w:ascii="Times New Roman" w:hAnsi="Times New Roman" w:cs="Times New Roman"/>
        </w:rPr>
        <w:t>. Therefore, the reference category for the age variable would be the lowest age category.</w:t>
      </w:r>
    </w:p>
    <w:p w14:paraId="2A68C0AE" w14:textId="4D2426FB" w:rsidR="00753DC6" w:rsidRDefault="00FC6456" w:rsidP="00450C23">
      <w:pPr>
        <w:rPr>
          <w:rFonts w:ascii="Times New Roman" w:hAnsi="Times New Roman" w:cs="Times New Roman"/>
        </w:rPr>
      </w:pPr>
      <w:r>
        <w:rPr>
          <w:rFonts w:ascii="Times New Roman" w:hAnsi="Times New Roman" w:cs="Times New Roman"/>
        </w:rPr>
        <w:br w:type="page"/>
      </w:r>
    </w:p>
    <w:p w14:paraId="36FCB514" w14:textId="53DB2350" w:rsidR="0045673E" w:rsidRPr="002735C7" w:rsidRDefault="0045673E" w:rsidP="00DD1F85">
      <w:pPr>
        <w:pStyle w:val="Heading3"/>
        <w:spacing w:before="0" w:after="0" w:line="480" w:lineRule="auto"/>
      </w:pPr>
      <w:bookmarkStart w:id="127" w:name="_Toc199884047"/>
      <w:bookmarkStart w:id="128" w:name="_Toc199884764"/>
      <w:bookmarkStart w:id="129" w:name="_Toc200097004"/>
      <w:r w:rsidRPr="002735C7">
        <w:lastRenderedPageBreak/>
        <w:t>Results</w:t>
      </w:r>
      <w:bookmarkEnd w:id="127"/>
      <w:bookmarkEnd w:id="128"/>
      <w:bookmarkEnd w:id="129"/>
    </w:p>
    <w:p w14:paraId="17BB8CC5" w14:textId="12CC7D46" w:rsidR="0045673E" w:rsidRPr="00B902E6" w:rsidRDefault="0045673E" w:rsidP="00DD1F85">
      <w:pPr>
        <w:pStyle w:val="Heading4"/>
        <w:spacing w:before="0" w:after="0" w:line="480" w:lineRule="auto"/>
        <w:rPr>
          <w:szCs w:val="28"/>
        </w:rPr>
      </w:pPr>
      <w:bookmarkStart w:id="130" w:name="_Toc200097005"/>
      <w:r w:rsidRPr="00B902E6">
        <w:rPr>
          <w:szCs w:val="28"/>
        </w:rPr>
        <w:t>Descriptive statistics</w:t>
      </w:r>
      <w:bookmarkEnd w:id="130"/>
    </w:p>
    <w:p w14:paraId="32CD074D" w14:textId="68C41622" w:rsidR="007C79D7" w:rsidRDefault="0045673E" w:rsidP="00DD1F85">
      <w:pPr>
        <w:spacing w:after="0" w:line="480" w:lineRule="auto"/>
        <w:ind w:firstLine="720"/>
        <w:rPr>
          <w:rFonts w:ascii="Times New Roman" w:hAnsi="Times New Roman" w:cs="Times New Roman"/>
          <w:iCs/>
        </w:rPr>
      </w:pPr>
      <w:r w:rsidRPr="0045673E">
        <w:rPr>
          <w:rFonts w:ascii="Times New Roman" w:hAnsi="Times New Roman" w:cs="Times New Roman"/>
          <w:iCs/>
        </w:rPr>
        <w:t xml:space="preserve">The study included 17,376 DOE former workers who participated in the NSSP from 2006 through 2019. Based on the GOLD criteria, 20.8% of the study participants had COPD (Table </w:t>
      </w:r>
      <w:r w:rsidR="007B23A4">
        <w:rPr>
          <w:rFonts w:ascii="Times New Roman" w:hAnsi="Times New Roman" w:cs="Times New Roman"/>
          <w:iCs/>
        </w:rPr>
        <w:t>3.</w:t>
      </w:r>
      <w:r w:rsidRPr="0045673E">
        <w:rPr>
          <w:rFonts w:ascii="Times New Roman" w:hAnsi="Times New Roman" w:cs="Times New Roman"/>
          <w:iCs/>
        </w:rPr>
        <w:t xml:space="preserve">2). A total of 43.0% of the COPD cases were classified as mild, 42.8% as moderate, and 14.2% as severe or very severe. The study population was predominantly non-black (88.1%) and male (74.7%). There was a fairly even spread across age categories with 17.9% less than 55 years old, 12.0% 55-59 years old, 16.5% 60-64 years old, 17.3% 65-69 years old, 14.3% 70-74 years old, and 21.5% </w:t>
      </w:r>
      <w:r w:rsidRPr="0045673E">
        <w:rPr>
          <w:rFonts w:ascii="Times New Roman" w:hAnsi="Times New Roman" w:cs="Times New Roman"/>
          <w:iCs/>
        </w:rPr>
        <w:sym w:font="Symbol" w:char="F0B3"/>
      </w:r>
      <w:r w:rsidRPr="0045673E">
        <w:rPr>
          <w:rFonts w:ascii="Times New Roman" w:hAnsi="Times New Roman" w:cs="Times New Roman"/>
          <w:iCs/>
        </w:rPr>
        <w:t xml:space="preserve"> 75 years old. The majority of the study cohort were overweight (39.9%) or obese (39.8%) while only 19.9% had normal weight and an additional 0.5% were underweight. Less than a half (43.5%) were ever smokers, and 13.2% reported a history of asthma. The majority (85.7%) of the study population lived in areas where the air quality index (AQI) was considered good whereas 14.3% lived in areas where the AQI was moderate or unhealthy for sensitive groups.</w:t>
      </w:r>
    </w:p>
    <w:p w14:paraId="730D254C" w14:textId="77777777" w:rsidR="007C79D7" w:rsidRDefault="007C79D7" w:rsidP="00DD1F85">
      <w:pPr>
        <w:spacing w:after="0" w:line="480" w:lineRule="auto"/>
        <w:rPr>
          <w:rFonts w:ascii="Times New Roman" w:hAnsi="Times New Roman" w:cs="Times New Roman"/>
          <w:iCs/>
        </w:rPr>
      </w:pPr>
    </w:p>
    <w:p w14:paraId="17A95E6C" w14:textId="24985762" w:rsidR="007C79D7" w:rsidRDefault="007C79D7" w:rsidP="0045673E">
      <w:pPr>
        <w:spacing w:line="480" w:lineRule="auto"/>
        <w:rPr>
          <w:rFonts w:ascii="Times New Roman" w:hAnsi="Times New Roman" w:cs="Times New Roman"/>
          <w:iCs/>
        </w:rPr>
        <w:sectPr w:rsidR="007C79D7" w:rsidSect="009C2E43">
          <w:pgSz w:w="12240" w:h="15840"/>
          <w:pgMar w:top="1440" w:right="1440" w:bottom="1440" w:left="1440" w:header="720" w:footer="720" w:gutter="0"/>
          <w:cols w:space="720"/>
          <w:docGrid w:linePitch="360"/>
        </w:sectPr>
      </w:pPr>
    </w:p>
    <w:p w14:paraId="247D719A" w14:textId="631D741D" w:rsidR="007E0071" w:rsidRDefault="007E0071" w:rsidP="00DD1F85">
      <w:pPr>
        <w:pStyle w:val="Caption"/>
        <w:spacing w:after="0"/>
      </w:pPr>
      <w:bookmarkStart w:id="131" w:name="_Toc199886031"/>
      <w:bookmarkStart w:id="132" w:name="_Toc200097048"/>
      <w:r>
        <w:lastRenderedPageBreak/>
        <w:t xml:space="preserve">Table </w:t>
      </w:r>
      <w:r w:rsidR="00450C23">
        <w:fldChar w:fldCharType="begin"/>
      </w:r>
      <w:r w:rsidR="00450C23">
        <w:instrText xml:space="preserve"> STYLEREF 1 \s </w:instrText>
      </w:r>
      <w:r w:rsidR="00450C23">
        <w:fldChar w:fldCharType="separate"/>
      </w:r>
      <w:r w:rsidR="005D69AE">
        <w:rPr>
          <w:noProof/>
        </w:rPr>
        <w:t>3</w:t>
      </w:r>
      <w:r w:rsidR="00450C23">
        <w:rPr>
          <w:noProof/>
        </w:rPr>
        <w:fldChar w:fldCharType="end"/>
      </w:r>
      <w:r w:rsidR="005D69AE">
        <w:t>.</w:t>
      </w:r>
      <w:r w:rsidR="00450C23">
        <w:fldChar w:fldCharType="begin"/>
      </w:r>
      <w:r w:rsidR="00450C23">
        <w:instrText xml:space="preserve"> SEQ Table \* ARABIC \s 1 </w:instrText>
      </w:r>
      <w:r w:rsidR="00450C23">
        <w:fldChar w:fldCharType="separate"/>
      </w:r>
      <w:r w:rsidR="005D69AE">
        <w:rPr>
          <w:noProof/>
        </w:rPr>
        <w:t>2</w:t>
      </w:r>
      <w:r w:rsidR="00450C23">
        <w:rPr>
          <w:noProof/>
        </w:rPr>
        <w:fldChar w:fldCharType="end"/>
      </w:r>
      <w:r>
        <w:t xml:space="preserve">. </w:t>
      </w:r>
      <w:r w:rsidRPr="00375632">
        <w:t>Summary Statistics of the characteristics of National Supplemental Screening Program participants at initial examination, 2006-2019</w:t>
      </w:r>
      <w:bookmarkEnd w:id="131"/>
      <w:bookmarkEnd w:id="132"/>
    </w:p>
    <w:tbl>
      <w:tblPr>
        <w:tblW w:w="12843" w:type="dxa"/>
        <w:tblLook w:val="04A0" w:firstRow="1" w:lastRow="0" w:firstColumn="1" w:lastColumn="0" w:noHBand="0" w:noVBand="1"/>
      </w:tblPr>
      <w:tblGrid>
        <w:gridCol w:w="6439"/>
        <w:gridCol w:w="2100"/>
        <w:gridCol w:w="2037"/>
        <w:gridCol w:w="2267"/>
      </w:tblGrid>
      <w:tr w:rsidR="00F24F2B" w:rsidRPr="007E0071" w14:paraId="4493FA3C" w14:textId="77777777" w:rsidTr="00F24F2B">
        <w:trPr>
          <w:trHeight w:val="667"/>
          <w:tblHeader/>
        </w:trPr>
        <w:tc>
          <w:tcPr>
            <w:tcW w:w="6439" w:type="dxa"/>
            <w:tcBorders>
              <w:top w:val="single" w:sz="12" w:space="0" w:color="auto"/>
              <w:left w:val="nil"/>
              <w:bottom w:val="single" w:sz="12" w:space="0" w:color="auto"/>
              <w:right w:val="nil"/>
            </w:tcBorders>
            <w:shd w:val="clear" w:color="auto" w:fill="auto"/>
            <w:noWrap/>
            <w:vAlign w:val="center"/>
            <w:hideMark/>
          </w:tcPr>
          <w:p w14:paraId="6B1CED18"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Characteristics</w:t>
            </w:r>
          </w:p>
        </w:tc>
        <w:tc>
          <w:tcPr>
            <w:tcW w:w="2100" w:type="dxa"/>
            <w:tcBorders>
              <w:top w:val="single" w:sz="12" w:space="0" w:color="auto"/>
              <w:left w:val="nil"/>
              <w:bottom w:val="single" w:sz="12" w:space="0" w:color="auto"/>
              <w:right w:val="nil"/>
            </w:tcBorders>
            <w:shd w:val="clear" w:color="auto" w:fill="auto"/>
            <w:noWrap/>
            <w:vAlign w:val="center"/>
            <w:hideMark/>
          </w:tcPr>
          <w:p w14:paraId="4FC0B01F"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Frequency</w:t>
            </w:r>
          </w:p>
        </w:tc>
        <w:tc>
          <w:tcPr>
            <w:tcW w:w="2037" w:type="dxa"/>
            <w:tcBorders>
              <w:top w:val="single" w:sz="12" w:space="0" w:color="auto"/>
              <w:left w:val="nil"/>
              <w:bottom w:val="single" w:sz="12" w:space="0" w:color="auto"/>
              <w:right w:val="nil"/>
            </w:tcBorders>
            <w:shd w:val="clear" w:color="auto" w:fill="auto"/>
            <w:vAlign w:val="center"/>
            <w:hideMark/>
          </w:tcPr>
          <w:p w14:paraId="2E317F96"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Percentage</w:t>
            </w:r>
          </w:p>
        </w:tc>
        <w:tc>
          <w:tcPr>
            <w:tcW w:w="2267" w:type="dxa"/>
            <w:tcBorders>
              <w:top w:val="single" w:sz="12" w:space="0" w:color="auto"/>
              <w:left w:val="nil"/>
              <w:bottom w:val="single" w:sz="12" w:space="0" w:color="auto"/>
              <w:right w:val="nil"/>
            </w:tcBorders>
            <w:shd w:val="clear" w:color="auto" w:fill="auto"/>
            <w:vAlign w:val="bottom"/>
            <w:hideMark/>
          </w:tcPr>
          <w:p w14:paraId="3BF86DAB"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95% Confidence Interval</w:t>
            </w:r>
          </w:p>
        </w:tc>
      </w:tr>
      <w:tr w:rsidR="00F24F2B" w:rsidRPr="007E0071" w14:paraId="0C065584" w14:textId="77777777" w:rsidTr="00F24F2B">
        <w:trPr>
          <w:trHeight w:val="312"/>
        </w:trPr>
        <w:tc>
          <w:tcPr>
            <w:tcW w:w="6439" w:type="dxa"/>
            <w:tcBorders>
              <w:top w:val="single" w:sz="12" w:space="0" w:color="auto"/>
              <w:left w:val="nil"/>
              <w:bottom w:val="nil"/>
              <w:right w:val="nil"/>
            </w:tcBorders>
            <w:shd w:val="clear" w:color="auto" w:fill="auto"/>
            <w:noWrap/>
            <w:vAlign w:val="bottom"/>
          </w:tcPr>
          <w:p w14:paraId="7BF3A3B7" w14:textId="77777777" w:rsidR="00F24F2B" w:rsidRPr="007E0071" w:rsidRDefault="00F24F2B" w:rsidP="00715BF3">
            <w:pPr>
              <w:spacing w:after="0" w:line="240" w:lineRule="auto"/>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Chronic Obstructive Pulmonary Disease Occurrence (COPD)</w:t>
            </w:r>
          </w:p>
        </w:tc>
        <w:tc>
          <w:tcPr>
            <w:tcW w:w="2100" w:type="dxa"/>
            <w:tcBorders>
              <w:top w:val="single" w:sz="12" w:space="0" w:color="auto"/>
              <w:left w:val="nil"/>
              <w:bottom w:val="nil"/>
              <w:right w:val="nil"/>
            </w:tcBorders>
            <w:shd w:val="clear" w:color="auto" w:fill="auto"/>
            <w:noWrap/>
            <w:vAlign w:val="center"/>
          </w:tcPr>
          <w:p w14:paraId="4CDC8E1A"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n = 17,376</w:t>
            </w:r>
          </w:p>
        </w:tc>
        <w:tc>
          <w:tcPr>
            <w:tcW w:w="2037" w:type="dxa"/>
            <w:tcBorders>
              <w:top w:val="single" w:sz="12" w:space="0" w:color="auto"/>
              <w:left w:val="nil"/>
              <w:bottom w:val="nil"/>
              <w:right w:val="nil"/>
            </w:tcBorders>
            <w:shd w:val="clear" w:color="auto" w:fill="auto"/>
            <w:noWrap/>
            <w:vAlign w:val="center"/>
          </w:tcPr>
          <w:p w14:paraId="44446791"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p>
        </w:tc>
        <w:tc>
          <w:tcPr>
            <w:tcW w:w="2267" w:type="dxa"/>
            <w:tcBorders>
              <w:top w:val="single" w:sz="12" w:space="0" w:color="auto"/>
              <w:left w:val="nil"/>
              <w:bottom w:val="nil"/>
              <w:right w:val="nil"/>
            </w:tcBorders>
            <w:shd w:val="clear" w:color="auto" w:fill="auto"/>
            <w:noWrap/>
            <w:vAlign w:val="center"/>
          </w:tcPr>
          <w:p w14:paraId="0F4603A4"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p>
        </w:tc>
      </w:tr>
      <w:tr w:rsidR="00F24F2B" w:rsidRPr="007E0071" w14:paraId="6A4D84A1" w14:textId="77777777" w:rsidTr="00715BF3">
        <w:trPr>
          <w:trHeight w:val="312"/>
        </w:trPr>
        <w:tc>
          <w:tcPr>
            <w:tcW w:w="6439" w:type="dxa"/>
            <w:tcBorders>
              <w:left w:val="nil"/>
              <w:bottom w:val="nil"/>
              <w:right w:val="nil"/>
            </w:tcBorders>
            <w:shd w:val="clear" w:color="auto" w:fill="auto"/>
            <w:noWrap/>
            <w:vAlign w:val="bottom"/>
          </w:tcPr>
          <w:p w14:paraId="6A0B5F80" w14:textId="77777777" w:rsidR="00F24F2B" w:rsidRPr="007E0071" w:rsidRDefault="00F24F2B" w:rsidP="00715BF3">
            <w:pPr>
              <w:spacing w:after="0" w:line="240" w:lineRule="auto"/>
              <w:ind w:left="720"/>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No</w:t>
            </w:r>
          </w:p>
        </w:tc>
        <w:tc>
          <w:tcPr>
            <w:tcW w:w="2100" w:type="dxa"/>
            <w:tcBorders>
              <w:left w:val="nil"/>
              <w:bottom w:val="nil"/>
              <w:right w:val="nil"/>
            </w:tcBorders>
            <w:shd w:val="clear" w:color="auto" w:fill="auto"/>
            <w:noWrap/>
            <w:vAlign w:val="center"/>
          </w:tcPr>
          <w:p w14:paraId="515B9454"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13,755</w:t>
            </w:r>
          </w:p>
        </w:tc>
        <w:tc>
          <w:tcPr>
            <w:tcW w:w="2037" w:type="dxa"/>
            <w:tcBorders>
              <w:left w:val="nil"/>
              <w:bottom w:val="nil"/>
              <w:right w:val="nil"/>
            </w:tcBorders>
            <w:shd w:val="clear" w:color="auto" w:fill="auto"/>
            <w:noWrap/>
            <w:vAlign w:val="center"/>
          </w:tcPr>
          <w:p w14:paraId="41564AC2"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79.2</w:t>
            </w:r>
          </w:p>
        </w:tc>
        <w:tc>
          <w:tcPr>
            <w:tcW w:w="2267" w:type="dxa"/>
            <w:tcBorders>
              <w:left w:val="nil"/>
              <w:bottom w:val="nil"/>
              <w:right w:val="nil"/>
            </w:tcBorders>
            <w:shd w:val="clear" w:color="auto" w:fill="auto"/>
            <w:noWrap/>
            <w:vAlign w:val="center"/>
          </w:tcPr>
          <w:p w14:paraId="267ED210"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r w:rsidRPr="007E0071">
              <w:rPr>
                <w:rFonts w:ascii="Times New Roman" w:eastAsia="Calibri" w:hAnsi="Times New Roman" w:cs="Times New Roman"/>
                <w:color w:val="000000"/>
                <w:kern w:val="0"/>
                <w14:ligatures w14:val="none"/>
              </w:rPr>
              <w:t>78.6, 79.8</w:t>
            </w:r>
          </w:p>
        </w:tc>
      </w:tr>
      <w:tr w:rsidR="00F24F2B" w:rsidRPr="007E0071" w14:paraId="3BF985E1" w14:textId="77777777" w:rsidTr="00715BF3">
        <w:trPr>
          <w:trHeight w:val="312"/>
        </w:trPr>
        <w:tc>
          <w:tcPr>
            <w:tcW w:w="6439" w:type="dxa"/>
            <w:tcBorders>
              <w:left w:val="nil"/>
              <w:bottom w:val="nil"/>
              <w:right w:val="nil"/>
            </w:tcBorders>
            <w:shd w:val="clear" w:color="auto" w:fill="auto"/>
            <w:noWrap/>
            <w:vAlign w:val="bottom"/>
          </w:tcPr>
          <w:p w14:paraId="3AE60601" w14:textId="77777777" w:rsidR="00F24F2B" w:rsidRPr="007E0071" w:rsidRDefault="00F24F2B" w:rsidP="00715BF3">
            <w:pPr>
              <w:spacing w:after="0" w:line="240" w:lineRule="auto"/>
              <w:ind w:left="720"/>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Yes</w:t>
            </w:r>
          </w:p>
        </w:tc>
        <w:tc>
          <w:tcPr>
            <w:tcW w:w="2100" w:type="dxa"/>
            <w:tcBorders>
              <w:left w:val="nil"/>
              <w:bottom w:val="nil"/>
              <w:right w:val="nil"/>
            </w:tcBorders>
            <w:shd w:val="clear" w:color="auto" w:fill="auto"/>
            <w:noWrap/>
            <w:vAlign w:val="center"/>
          </w:tcPr>
          <w:p w14:paraId="25813553"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3,621</w:t>
            </w:r>
          </w:p>
        </w:tc>
        <w:tc>
          <w:tcPr>
            <w:tcW w:w="2037" w:type="dxa"/>
            <w:tcBorders>
              <w:left w:val="nil"/>
              <w:bottom w:val="nil"/>
              <w:right w:val="nil"/>
            </w:tcBorders>
            <w:shd w:val="clear" w:color="auto" w:fill="auto"/>
            <w:noWrap/>
            <w:vAlign w:val="center"/>
          </w:tcPr>
          <w:p w14:paraId="68E76646"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20.8</w:t>
            </w:r>
          </w:p>
        </w:tc>
        <w:tc>
          <w:tcPr>
            <w:tcW w:w="2267" w:type="dxa"/>
            <w:tcBorders>
              <w:left w:val="nil"/>
              <w:bottom w:val="nil"/>
              <w:right w:val="nil"/>
            </w:tcBorders>
            <w:shd w:val="clear" w:color="auto" w:fill="auto"/>
            <w:noWrap/>
            <w:vAlign w:val="center"/>
          </w:tcPr>
          <w:p w14:paraId="104B8351"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r w:rsidRPr="007E0071">
              <w:rPr>
                <w:rFonts w:ascii="Times New Roman" w:eastAsia="Calibri" w:hAnsi="Times New Roman" w:cs="Times New Roman"/>
                <w:color w:val="000000"/>
                <w:kern w:val="0"/>
                <w14:ligatures w14:val="none"/>
              </w:rPr>
              <w:t>20.2, 21.44</w:t>
            </w:r>
          </w:p>
        </w:tc>
      </w:tr>
      <w:tr w:rsidR="00F24F2B" w:rsidRPr="007E0071" w14:paraId="581B43AE" w14:textId="77777777" w:rsidTr="00715BF3">
        <w:trPr>
          <w:trHeight w:val="312"/>
        </w:trPr>
        <w:tc>
          <w:tcPr>
            <w:tcW w:w="6439" w:type="dxa"/>
            <w:tcBorders>
              <w:left w:val="nil"/>
              <w:bottom w:val="nil"/>
              <w:right w:val="nil"/>
            </w:tcBorders>
            <w:shd w:val="clear" w:color="auto" w:fill="auto"/>
            <w:noWrap/>
            <w:vAlign w:val="bottom"/>
          </w:tcPr>
          <w:p w14:paraId="6E91DF34" w14:textId="77777777" w:rsidR="00F24F2B" w:rsidRPr="007E0071" w:rsidRDefault="00F24F2B" w:rsidP="00715BF3">
            <w:pPr>
              <w:spacing w:after="0" w:line="240" w:lineRule="auto"/>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Chronic Obstructive Pulmonary Disease Severity</w:t>
            </w:r>
          </w:p>
        </w:tc>
        <w:tc>
          <w:tcPr>
            <w:tcW w:w="2100" w:type="dxa"/>
            <w:tcBorders>
              <w:left w:val="nil"/>
              <w:bottom w:val="nil"/>
              <w:right w:val="nil"/>
            </w:tcBorders>
            <w:shd w:val="clear" w:color="auto" w:fill="auto"/>
            <w:noWrap/>
            <w:vAlign w:val="center"/>
          </w:tcPr>
          <w:p w14:paraId="6D2CBF41"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n = 3,621</w:t>
            </w:r>
          </w:p>
        </w:tc>
        <w:tc>
          <w:tcPr>
            <w:tcW w:w="2037" w:type="dxa"/>
            <w:tcBorders>
              <w:left w:val="nil"/>
              <w:bottom w:val="nil"/>
              <w:right w:val="nil"/>
            </w:tcBorders>
            <w:shd w:val="clear" w:color="auto" w:fill="auto"/>
            <w:noWrap/>
            <w:vAlign w:val="center"/>
          </w:tcPr>
          <w:p w14:paraId="68B21A12"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p>
        </w:tc>
        <w:tc>
          <w:tcPr>
            <w:tcW w:w="2267" w:type="dxa"/>
            <w:tcBorders>
              <w:left w:val="nil"/>
              <w:bottom w:val="nil"/>
              <w:right w:val="nil"/>
            </w:tcBorders>
            <w:shd w:val="clear" w:color="auto" w:fill="auto"/>
            <w:noWrap/>
            <w:vAlign w:val="center"/>
          </w:tcPr>
          <w:p w14:paraId="139F0F51"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p>
        </w:tc>
      </w:tr>
      <w:tr w:rsidR="00F24F2B" w:rsidRPr="007E0071" w14:paraId="61BF52A0" w14:textId="77777777" w:rsidTr="00715BF3">
        <w:trPr>
          <w:trHeight w:val="312"/>
        </w:trPr>
        <w:tc>
          <w:tcPr>
            <w:tcW w:w="6439" w:type="dxa"/>
            <w:tcBorders>
              <w:left w:val="nil"/>
              <w:bottom w:val="nil"/>
              <w:right w:val="nil"/>
            </w:tcBorders>
            <w:shd w:val="clear" w:color="auto" w:fill="auto"/>
            <w:noWrap/>
            <w:vAlign w:val="bottom"/>
          </w:tcPr>
          <w:p w14:paraId="29005F53" w14:textId="77777777" w:rsidR="00F24F2B" w:rsidRPr="007E0071" w:rsidRDefault="00F24F2B" w:rsidP="00715BF3">
            <w:pPr>
              <w:spacing w:after="0" w:line="240" w:lineRule="auto"/>
              <w:ind w:left="720"/>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Mild</w:t>
            </w:r>
          </w:p>
        </w:tc>
        <w:tc>
          <w:tcPr>
            <w:tcW w:w="2100" w:type="dxa"/>
            <w:tcBorders>
              <w:left w:val="nil"/>
              <w:bottom w:val="nil"/>
              <w:right w:val="nil"/>
            </w:tcBorders>
            <w:shd w:val="clear" w:color="auto" w:fill="auto"/>
            <w:noWrap/>
            <w:vAlign w:val="center"/>
          </w:tcPr>
          <w:p w14:paraId="0E55C953"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1,557</w:t>
            </w:r>
          </w:p>
        </w:tc>
        <w:tc>
          <w:tcPr>
            <w:tcW w:w="2037" w:type="dxa"/>
            <w:tcBorders>
              <w:left w:val="nil"/>
              <w:bottom w:val="nil"/>
              <w:right w:val="nil"/>
            </w:tcBorders>
            <w:shd w:val="clear" w:color="auto" w:fill="auto"/>
            <w:noWrap/>
            <w:vAlign w:val="center"/>
          </w:tcPr>
          <w:p w14:paraId="0C192449"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43.0</w:t>
            </w:r>
          </w:p>
        </w:tc>
        <w:tc>
          <w:tcPr>
            <w:tcW w:w="2267" w:type="dxa"/>
            <w:tcBorders>
              <w:left w:val="nil"/>
              <w:bottom w:val="nil"/>
              <w:right w:val="nil"/>
            </w:tcBorders>
            <w:shd w:val="clear" w:color="auto" w:fill="auto"/>
            <w:noWrap/>
            <w:vAlign w:val="center"/>
          </w:tcPr>
          <w:p w14:paraId="3B91C1A9"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r w:rsidRPr="007E0071">
              <w:rPr>
                <w:rFonts w:ascii="Times New Roman" w:eastAsia="Calibri" w:hAnsi="Times New Roman" w:cs="Times New Roman"/>
                <w:color w:val="000000"/>
                <w:kern w:val="0"/>
                <w14:ligatures w14:val="none"/>
              </w:rPr>
              <w:t>41.4, 44.6</w:t>
            </w:r>
          </w:p>
        </w:tc>
      </w:tr>
      <w:tr w:rsidR="00F24F2B" w:rsidRPr="007E0071" w14:paraId="337D0413" w14:textId="77777777" w:rsidTr="00715BF3">
        <w:trPr>
          <w:trHeight w:val="312"/>
        </w:trPr>
        <w:tc>
          <w:tcPr>
            <w:tcW w:w="6439" w:type="dxa"/>
            <w:tcBorders>
              <w:left w:val="nil"/>
              <w:bottom w:val="nil"/>
              <w:right w:val="nil"/>
            </w:tcBorders>
            <w:shd w:val="clear" w:color="auto" w:fill="auto"/>
            <w:noWrap/>
            <w:vAlign w:val="bottom"/>
          </w:tcPr>
          <w:p w14:paraId="03D1A2FD" w14:textId="77777777" w:rsidR="00F24F2B" w:rsidRPr="007E0071" w:rsidRDefault="00F24F2B" w:rsidP="00715BF3">
            <w:pPr>
              <w:spacing w:after="0" w:line="240" w:lineRule="auto"/>
              <w:ind w:left="720"/>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Moderate</w:t>
            </w:r>
          </w:p>
        </w:tc>
        <w:tc>
          <w:tcPr>
            <w:tcW w:w="2100" w:type="dxa"/>
            <w:tcBorders>
              <w:left w:val="nil"/>
              <w:bottom w:val="nil"/>
              <w:right w:val="nil"/>
            </w:tcBorders>
            <w:shd w:val="clear" w:color="auto" w:fill="auto"/>
            <w:noWrap/>
            <w:vAlign w:val="center"/>
          </w:tcPr>
          <w:p w14:paraId="1C6675BD"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1,549</w:t>
            </w:r>
          </w:p>
        </w:tc>
        <w:tc>
          <w:tcPr>
            <w:tcW w:w="2037" w:type="dxa"/>
            <w:tcBorders>
              <w:left w:val="nil"/>
              <w:bottom w:val="nil"/>
              <w:right w:val="nil"/>
            </w:tcBorders>
            <w:shd w:val="clear" w:color="auto" w:fill="auto"/>
            <w:noWrap/>
            <w:vAlign w:val="center"/>
          </w:tcPr>
          <w:p w14:paraId="21BFA57C"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42.8</w:t>
            </w:r>
          </w:p>
        </w:tc>
        <w:tc>
          <w:tcPr>
            <w:tcW w:w="2267" w:type="dxa"/>
            <w:tcBorders>
              <w:left w:val="nil"/>
              <w:bottom w:val="nil"/>
              <w:right w:val="nil"/>
            </w:tcBorders>
            <w:shd w:val="clear" w:color="auto" w:fill="auto"/>
            <w:noWrap/>
            <w:vAlign w:val="center"/>
          </w:tcPr>
          <w:p w14:paraId="503C4702"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r w:rsidRPr="007E0071">
              <w:rPr>
                <w:rFonts w:ascii="Times New Roman" w:eastAsia="Calibri" w:hAnsi="Times New Roman" w:cs="Times New Roman"/>
                <w:color w:val="000000"/>
                <w:kern w:val="0"/>
                <w14:ligatures w14:val="none"/>
              </w:rPr>
              <w:t>41.2, 44.4</w:t>
            </w:r>
          </w:p>
        </w:tc>
      </w:tr>
      <w:tr w:rsidR="00F24F2B" w:rsidRPr="007E0071" w14:paraId="25A98202" w14:textId="77777777" w:rsidTr="00715BF3">
        <w:trPr>
          <w:trHeight w:val="312"/>
        </w:trPr>
        <w:tc>
          <w:tcPr>
            <w:tcW w:w="6439" w:type="dxa"/>
            <w:tcBorders>
              <w:left w:val="nil"/>
              <w:bottom w:val="nil"/>
              <w:right w:val="nil"/>
            </w:tcBorders>
            <w:shd w:val="clear" w:color="auto" w:fill="auto"/>
            <w:noWrap/>
            <w:vAlign w:val="bottom"/>
          </w:tcPr>
          <w:p w14:paraId="5E121967" w14:textId="77777777" w:rsidR="00F24F2B" w:rsidRPr="007E0071" w:rsidRDefault="00F24F2B" w:rsidP="00715BF3">
            <w:pPr>
              <w:spacing w:after="0" w:line="240" w:lineRule="auto"/>
              <w:ind w:left="720"/>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Severe or Very Severe</w:t>
            </w:r>
          </w:p>
        </w:tc>
        <w:tc>
          <w:tcPr>
            <w:tcW w:w="2100" w:type="dxa"/>
            <w:tcBorders>
              <w:left w:val="nil"/>
              <w:bottom w:val="nil"/>
              <w:right w:val="nil"/>
            </w:tcBorders>
            <w:shd w:val="clear" w:color="auto" w:fill="auto"/>
            <w:noWrap/>
            <w:vAlign w:val="center"/>
          </w:tcPr>
          <w:p w14:paraId="77656FB6"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515</w:t>
            </w:r>
          </w:p>
        </w:tc>
        <w:tc>
          <w:tcPr>
            <w:tcW w:w="2037" w:type="dxa"/>
            <w:tcBorders>
              <w:left w:val="nil"/>
              <w:bottom w:val="nil"/>
              <w:right w:val="nil"/>
            </w:tcBorders>
            <w:shd w:val="clear" w:color="auto" w:fill="auto"/>
            <w:noWrap/>
            <w:vAlign w:val="center"/>
          </w:tcPr>
          <w:p w14:paraId="097B9D85"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14.2</w:t>
            </w:r>
          </w:p>
        </w:tc>
        <w:tc>
          <w:tcPr>
            <w:tcW w:w="2267" w:type="dxa"/>
            <w:tcBorders>
              <w:left w:val="nil"/>
              <w:bottom w:val="nil"/>
              <w:right w:val="nil"/>
            </w:tcBorders>
            <w:shd w:val="clear" w:color="auto" w:fill="auto"/>
            <w:noWrap/>
            <w:vAlign w:val="center"/>
          </w:tcPr>
          <w:p w14:paraId="6656A94B"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r w:rsidRPr="007E0071">
              <w:rPr>
                <w:rFonts w:ascii="Times New Roman" w:eastAsia="Calibri" w:hAnsi="Times New Roman" w:cs="Times New Roman"/>
                <w:color w:val="000000"/>
                <w:kern w:val="0"/>
                <w14:ligatures w14:val="none"/>
              </w:rPr>
              <w:t>13.1, 15.4</w:t>
            </w:r>
          </w:p>
        </w:tc>
      </w:tr>
      <w:tr w:rsidR="00F24F2B" w:rsidRPr="007E0071" w14:paraId="76E6A2FA" w14:textId="77777777" w:rsidTr="00715BF3">
        <w:trPr>
          <w:trHeight w:val="312"/>
        </w:trPr>
        <w:tc>
          <w:tcPr>
            <w:tcW w:w="6439" w:type="dxa"/>
            <w:tcBorders>
              <w:left w:val="nil"/>
              <w:bottom w:val="nil"/>
              <w:right w:val="nil"/>
            </w:tcBorders>
            <w:shd w:val="clear" w:color="auto" w:fill="auto"/>
            <w:noWrap/>
            <w:vAlign w:val="bottom"/>
          </w:tcPr>
          <w:p w14:paraId="72ED3F72" w14:textId="77777777" w:rsidR="00F24F2B" w:rsidRPr="007E0071" w:rsidRDefault="00F24F2B" w:rsidP="00715BF3">
            <w:pPr>
              <w:spacing w:after="0" w:line="240" w:lineRule="auto"/>
              <w:rPr>
                <w:rFonts w:ascii="Times New Roman" w:eastAsia="Calibri" w:hAnsi="Times New Roman" w:cs="Times New Roman"/>
                <w:color w:val="000000"/>
                <w:kern w:val="0"/>
                <w14:ligatures w14:val="none"/>
              </w:rPr>
            </w:pPr>
            <w:r w:rsidRPr="007E0071">
              <w:rPr>
                <w:rFonts w:ascii="Times New Roman" w:eastAsia="Calibri" w:hAnsi="Times New Roman" w:cs="Times New Roman"/>
                <w:b/>
                <w:bCs/>
                <w:color w:val="000000"/>
                <w:kern w:val="0"/>
                <w:sz w:val="22"/>
                <w:szCs w:val="22"/>
                <w14:ligatures w14:val="none"/>
              </w:rPr>
              <w:t>Race</w:t>
            </w:r>
          </w:p>
        </w:tc>
        <w:tc>
          <w:tcPr>
            <w:tcW w:w="2100" w:type="dxa"/>
            <w:tcBorders>
              <w:left w:val="nil"/>
              <w:bottom w:val="nil"/>
              <w:right w:val="nil"/>
            </w:tcBorders>
            <w:shd w:val="clear" w:color="auto" w:fill="auto"/>
            <w:noWrap/>
            <w:vAlign w:val="center"/>
          </w:tcPr>
          <w:p w14:paraId="12A7E583"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b/>
                <w:bCs/>
                <w:color w:val="000000"/>
                <w:kern w:val="0"/>
                <w14:ligatures w14:val="none"/>
              </w:rPr>
              <w:t>n = 13,515</w:t>
            </w:r>
          </w:p>
        </w:tc>
        <w:tc>
          <w:tcPr>
            <w:tcW w:w="2037" w:type="dxa"/>
            <w:tcBorders>
              <w:left w:val="nil"/>
              <w:bottom w:val="nil"/>
              <w:right w:val="nil"/>
            </w:tcBorders>
            <w:shd w:val="clear" w:color="auto" w:fill="auto"/>
            <w:noWrap/>
            <w:vAlign w:val="center"/>
          </w:tcPr>
          <w:p w14:paraId="4E1C980C"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p>
        </w:tc>
        <w:tc>
          <w:tcPr>
            <w:tcW w:w="2267" w:type="dxa"/>
            <w:tcBorders>
              <w:left w:val="nil"/>
              <w:bottom w:val="nil"/>
              <w:right w:val="nil"/>
            </w:tcBorders>
            <w:shd w:val="clear" w:color="auto" w:fill="auto"/>
            <w:noWrap/>
            <w:vAlign w:val="center"/>
          </w:tcPr>
          <w:p w14:paraId="3A01ECCF"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p>
        </w:tc>
      </w:tr>
      <w:tr w:rsidR="00F24F2B" w:rsidRPr="007E0071" w14:paraId="2FDE492A" w14:textId="77777777" w:rsidTr="00715BF3">
        <w:trPr>
          <w:trHeight w:val="312"/>
        </w:trPr>
        <w:tc>
          <w:tcPr>
            <w:tcW w:w="6439" w:type="dxa"/>
            <w:tcBorders>
              <w:left w:val="nil"/>
              <w:bottom w:val="nil"/>
              <w:right w:val="nil"/>
            </w:tcBorders>
            <w:shd w:val="clear" w:color="auto" w:fill="auto"/>
            <w:noWrap/>
            <w:vAlign w:val="bottom"/>
          </w:tcPr>
          <w:p w14:paraId="0907529A" w14:textId="77777777" w:rsidR="00F24F2B" w:rsidRPr="007E0071" w:rsidRDefault="00F24F2B" w:rsidP="00715BF3">
            <w:pPr>
              <w:spacing w:after="0" w:line="240" w:lineRule="auto"/>
              <w:ind w:left="720"/>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Black</w:t>
            </w:r>
          </w:p>
        </w:tc>
        <w:tc>
          <w:tcPr>
            <w:tcW w:w="2100" w:type="dxa"/>
            <w:tcBorders>
              <w:left w:val="nil"/>
              <w:bottom w:val="nil"/>
              <w:right w:val="nil"/>
            </w:tcBorders>
            <w:shd w:val="clear" w:color="auto" w:fill="auto"/>
            <w:noWrap/>
            <w:vAlign w:val="center"/>
          </w:tcPr>
          <w:p w14:paraId="78F88222"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1,612</w:t>
            </w:r>
          </w:p>
        </w:tc>
        <w:tc>
          <w:tcPr>
            <w:tcW w:w="2037" w:type="dxa"/>
            <w:tcBorders>
              <w:left w:val="nil"/>
              <w:bottom w:val="nil"/>
              <w:right w:val="nil"/>
            </w:tcBorders>
            <w:shd w:val="clear" w:color="auto" w:fill="auto"/>
            <w:noWrap/>
            <w:vAlign w:val="center"/>
          </w:tcPr>
          <w:p w14:paraId="70A54849"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11.9</w:t>
            </w:r>
          </w:p>
        </w:tc>
        <w:tc>
          <w:tcPr>
            <w:tcW w:w="2267" w:type="dxa"/>
            <w:tcBorders>
              <w:left w:val="nil"/>
              <w:bottom w:val="nil"/>
              <w:right w:val="nil"/>
            </w:tcBorders>
            <w:shd w:val="clear" w:color="auto" w:fill="auto"/>
            <w:noWrap/>
            <w:vAlign w:val="center"/>
          </w:tcPr>
          <w:p w14:paraId="0FD31521"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11.4, 12.5</w:t>
            </w:r>
          </w:p>
        </w:tc>
      </w:tr>
      <w:tr w:rsidR="00F24F2B" w:rsidRPr="007E0071" w14:paraId="226F4791" w14:textId="77777777" w:rsidTr="00715BF3">
        <w:trPr>
          <w:trHeight w:val="312"/>
        </w:trPr>
        <w:tc>
          <w:tcPr>
            <w:tcW w:w="6439" w:type="dxa"/>
            <w:tcBorders>
              <w:left w:val="nil"/>
              <w:bottom w:val="nil"/>
              <w:right w:val="nil"/>
            </w:tcBorders>
            <w:shd w:val="clear" w:color="auto" w:fill="auto"/>
            <w:noWrap/>
            <w:vAlign w:val="bottom"/>
          </w:tcPr>
          <w:p w14:paraId="7DA9903E" w14:textId="77777777" w:rsidR="00F24F2B" w:rsidRPr="007E0071" w:rsidRDefault="00F24F2B" w:rsidP="00715BF3">
            <w:pPr>
              <w:spacing w:after="0" w:line="240" w:lineRule="auto"/>
              <w:ind w:left="720"/>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Non-Black</w:t>
            </w:r>
          </w:p>
        </w:tc>
        <w:tc>
          <w:tcPr>
            <w:tcW w:w="2100" w:type="dxa"/>
            <w:tcBorders>
              <w:left w:val="nil"/>
              <w:bottom w:val="nil"/>
              <w:right w:val="nil"/>
            </w:tcBorders>
            <w:shd w:val="clear" w:color="auto" w:fill="auto"/>
            <w:noWrap/>
            <w:vAlign w:val="center"/>
          </w:tcPr>
          <w:p w14:paraId="6D0F9F5E"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11,903</w:t>
            </w:r>
          </w:p>
        </w:tc>
        <w:tc>
          <w:tcPr>
            <w:tcW w:w="2037" w:type="dxa"/>
            <w:tcBorders>
              <w:left w:val="nil"/>
              <w:bottom w:val="nil"/>
              <w:right w:val="nil"/>
            </w:tcBorders>
            <w:shd w:val="clear" w:color="auto" w:fill="auto"/>
            <w:noWrap/>
            <w:vAlign w:val="center"/>
          </w:tcPr>
          <w:p w14:paraId="0B61DB4D"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88.1</w:t>
            </w:r>
          </w:p>
        </w:tc>
        <w:tc>
          <w:tcPr>
            <w:tcW w:w="2267" w:type="dxa"/>
            <w:tcBorders>
              <w:left w:val="nil"/>
              <w:bottom w:val="nil"/>
              <w:right w:val="nil"/>
            </w:tcBorders>
            <w:shd w:val="clear" w:color="auto" w:fill="auto"/>
            <w:noWrap/>
            <w:vAlign w:val="center"/>
          </w:tcPr>
          <w:p w14:paraId="4426E014"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87.5, 66.6</w:t>
            </w:r>
          </w:p>
        </w:tc>
      </w:tr>
      <w:tr w:rsidR="00F24F2B" w:rsidRPr="007E0071" w14:paraId="2CB617F2" w14:textId="77777777" w:rsidTr="00715BF3">
        <w:trPr>
          <w:trHeight w:val="312"/>
        </w:trPr>
        <w:tc>
          <w:tcPr>
            <w:tcW w:w="6439" w:type="dxa"/>
            <w:tcBorders>
              <w:left w:val="nil"/>
              <w:bottom w:val="nil"/>
              <w:right w:val="nil"/>
            </w:tcBorders>
            <w:shd w:val="clear" w:color="auto" w:fill="auto"/>
            <w:noWrap/>
            <w:vAlign w:val="bottom"/>
            <w:hideMark/>
          </w:tcPr>
          <w:p w14:paraId="22195986" w14:textId="77777777" w:rsidR="00F24F2B" w:rsidRPr="007E0071" w:rsidRDefault="00F24F2B" w:rsidP="00715BF3">
            <w:pPr>
              <w:spacing w:after="0" w:line="240" w:lineRule="auto"/>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Sex</w:t>
            </w:r>
          </w:p>
        </w:tc>
        <w:tc>
          <w:tcPr>
            <w:tcW w:w="2100" w:type="dxa"/>
            <w:tcBorders>
              <w:left w:val="nil"/>
              <w:bottom w:val="nil"/>
              <w:right w:val="nil"/>
            </w:tcBorders>
            <w:shd w:val="clear" w:color="auto" w:fill="auto"/>
            <w:noWrap/>
            <w:vAlign w:val="center"/>
            <w:hideMark/>
          </w:tcPr>
          <w:p w14:paraId="418C26F9"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n=17,376</w:t>
            </w:r>
          </w:p>
        </w:tc>
        <w:tc>
          <w:tcPr>
            <w:tcW w:w="2037" w:type="dxa"/>
            <w:tcBorders>
              <w:left w:val="nil"/>
              <w:bottom w:val="nil"/>
              <w:right w:val="nil"/>
            </w:tcBorders>
            <w:shd w:val="clear" w:color="auto" w:fill="auto"/>
            <w:noWrap/>
            <w:vAlign w:val="center"/>
            <w:hideMark/>
          </w:tcPr>
          <w:p w14:paraId="38BFE843"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p>
        </w:tc>
        <w:tc>
          <w:tcPr>
            <w:tcW w:w="2267" w:type="dxa"/>
            <w:tcBorders>
              <w:left w:val="nil"/>
              <w:bottom w:val="nil"/>
              <w:right w:val="nil"/>
            </w:tcBorders>
            <w:shd w:val="clear" w:color="auto" w:fill="auto"/>
            <w:noWrap/>
            <w:vAlign w:val="center"/>
            <w:hideMark/>
          </w:tcPr>
          <w:p w14:paraId="353E28F5"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p>
        </w:tc>
      </w:tr>
      <w:tr w:rsidR="00F24F2B" w:rsidRPr="007E0071" w14:paraId="5234722C" w14:textId="77777777" w:rsidTr="00715BF3">
        <w:trPr>
          <w:trHeight w:val="312"/>
        </w:trPr>
        <w:tc>
          <w:tcPr>
            <w:tcW w:w="6439" w:type="dxa"/>
            <w:tcBorders>
              <w:top w:val="nil"/>
              <w:left w:val="nil"/>
              <w:bottom w:val="nil"/>
              <w:right w:val="nil"/>
            </w:tcBorders>
            <w:shd w:val="clear" w:color="auto" w:fill="auto"/>
            <w:noWrap/>
            <w:vAlign w:val="bottom"/>
            <w:hideMark/>
          </w:tcPr>
          <w:p w14:paraId="60C169B1" w14:textId="77777777" w:rsidR="00F24F2B" w:rsidRPr="007E0071" w:rsidRDefault="00F24F2B" w:rsidP="00715BF3">
            <w:pPr>
              <w:spacing w:after="0" w:line="240" w:lineRule="auto"/>
              <w:ind w:left="720"/>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 xml:space="preserve">Male  </w:t>
            </w:r>
          </w:p>
        </w:tc>
        <w:tc>
          <w:tcPr>
            <w:tcW w:w="2100" w:type="dxa"/>
            <w:tcBorders>
              <w:top w:val="nil"/>
              <w:left w:val="nil"/>
              <w:bottom w:val="nil"/>
              <w:right w:val="nil"/>
            </w:tcBorders>
            <w:shd w:val="clear" w:color="auto" w:fill="auto"/>
            <w:noWrap/>
            <w:vAlign w:val="center"/>
            <w:hideMark/>
          </w:tcPr>
          <w:p w14:paraId="77008FC7"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12,978</w:t>
            </w:r>
          </w:p>
        </w:tc>
        <w:tc>
          <w:tcPr>
            <w:tcW w:w="2037" w:type="dxa"/>
            <w:tcBorders>
              <w:top w:val="nil"/>
              <w:left w:val="nil"/>
              <w:bottom w:val="nil"/>
              <w:right w:val="nil"/>
            </w:tcBorders>
            <w:shd w:val="clear" w:color="auto" w:fill="auto"/>
            <w:noWrap/>
            <w:vAlign w:val="center"/>
            <w:hideMark/>
          </w:tcPr>
          <w:p w14:paraId="6B98B562"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74.7</w:t>
            </w:r>
          </w:p>
        </w:tc>
        <w:tc>
          <w:tcPr>
            <w:tcW w:w="2267" w:type="dxa"/>
            <w:tcBorders>
              <w:top w:val="nil"/>
              <w:left w:val="nil"/>
              <w:bottom w:val="nil"/>
              <w:right w:val="nil"/>
            </w:tcBorders>
            <w:shd w:val="clear" w:color="auto" w:fill="auto"/>
            <w:noWrap/>
            <w:vAlign w:val="center"/>
            <w:hideMark/>
          </w:tcPr>
          <w:p w14:paraId="5C73669D"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74.0, 75.3</w:t>
            </w:r>
          </w:p>
        </w:tc>
      </w:tr>
      <w:tr w:rsidR="00F24F2B" w:rsidRPr="007E0071" w14:paraId="27269A44" w14:textId="77777777" w:rsidTr="00715BF3">
        <w:trPr>
          <w:trHeight w:val="312"/>
        </w:trPr>
        <w:tc>
          <w:tcPr>
            <w:tcW w:w="6439" w:type="dxa"/>
            <w:tcBorders>
              <w:top w:val="nil"/>
              <w:left w:val="nil"/>
              <w:bottom w:val="nil"/>
              <w:right w:val="nil"/>
            </w:tcBorders>
            <w:shd w:val="clear" w:color="auto" w:fill="auto"/>
            <w:noWrap/>
            <w:vAlign w:val="bottom"/>
            <w:hideMark/>
          </w:tcPr>
          <w:p w14:paraId="410CD35B" w14:textId="77777777" w:rsidR="00F24F2B" w:rsidRPr="007E0071" w:rsidRDefault="00F24F2B" w:rsidP="00715BF3">
            <w:pPr>
              <w:spacing w:after="0" w:line="240" w:lineRule="auto"/>
              <w:ind w:left="720"/>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 xml:space="preserve">Female  </w:t>
            </w:r>
          </w:p>
        </w:tc>
        <w:tc>
          <w:tcPr>
            <w:tcW w:w="2100" w:type="dxa"/>
            <w:tcBorders>
              <w:top w:val="nil"/>
              <w:left w:val="nil"/>
              <w:bottom w:val="nil"/>
              <w:right w:val="nil"/>
            </w:tcBorders>
            <w:shd w:val="clear" w:color="auto" w:fill="auto"/>
            <w:noWrap/>
            <w:vAlign w:val="center"/>
            <w:hideMark/>
          </w:tcPr>
          <w:p w14:paraId="24152DF1"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4,398</w:t>
            </w:r>
          </w:p>
        </w:tc>
        <w:tc>
          <w:tcPr>
            <w:tcW w:w="2037" w:type="dxa"/>
            <w:tcBorders>
              <w:top w:val="nil"/>
              <w:left w:val="nil"/>
              <w:bottom w:val="nil"/>
              <w:right w:val="nil"/>
            </w:tcBorders>
            <w:shd w:val="clear" w:color="auto" w:fill="auto"/>
            <w:noWrap/>
            <w:vAlign w:val="center"/>
            <w:hideMark/>
          </w:tcPr>
          <w:p w14:paraId="5B902EE5"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25.3</w:t>
            </w:r>
          </w:p>
        </w:tc>
        <w:tc>
          <w:tcPr>
            <w:tcW w:w="2267" w:type="dxa"/>
            <w:tcBorders>
              <w:top w:val="nil"/>
              <w:left w:val="nil"/>
              <w:bottom w:val="nil"/>
              <w:right w:val="nil"/>
            </w:tcBorders>
            <w:shd w:val="clear" w:color="auto" w:fill="auto"/>
            <w:noWrap/>
            <w:vAlign w:val="center"/>
            <w:hideMark/>
          </w:tcPr>
          <w:p w14:paraId="4563F7CF"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24.7, 26.0</w:t>
            </w:r>
          </w:p>
        </w:tc>
      </w:tr>
      <w:tr w:rsidR="00F24F2B" w:rsidRPr="007E0071" w14:paraId="0B3990DB" w14:textId="77777777" w:rsidTr="00715BF3">
        <w:trPr>
          <w:trHeight w:val="312"/>
        </w:trPr>
        <w:tc>
          <w:tcPr>
            <w:tcW w:w="6439" w:type="dxa"/>
            <w:tcBorders>
              <w:top w:val="nil"/>
              <w:left w:val="nil"/>
              <w:bottom w:val="nil"/>
              <w:right w:val="nil"/>
            </w:tcBorders>
            <w:shd w:val="clear" w:color="auto" w:fill="auto"/>
            <w:noWrap/>
            <w:vAlign w:val="bottom"/>
          </w:tcPr>
          <w:p w14:paraId="0EF8E2EC" w14:textId="77777777" w:rsidR="00F24F2B" w:rsidRPr="007E0071" w:rsidRDefault="00F24F2B" w:rsidP="00715BF3">
            <w:pPr>
              <w:spacing w:after="0" w:line="240" w:lineRule="auto"/>
              <w:rPr>
                <w:rFonts w:ascii="Times New Roman" w:eastAsia="Calibri" w:hAnsi="Times New Roman" w:cs="Times New Roman"/>
                <w:b/>
                <w:bCs/>
                <w:color w:val="000000"/>
                <w:kern w:val="0"/>
                <w:sz w:val="22"/>
                <w:szCs w:val="22"/>
                <w14:ligatures w14:val="none"/>
              </w:rPr>
            </w:pPr>
            <w:r w:rsidRPr="007E0071">
              <w:rPr>
                <w:rFonts w:ascii="Times New Roman" w:eastAsia="Calibri" w:hAnsi="Times New Roman" w:cs="Times New Roman"/>
                <w:b/>
                <w:bCs/>
                <w:color w:val="000000"/>
                <w:kern w:val="0"/>
                <w14:ligatures w14:val="none"/>
              </w:rPr>
              <w:t>Age Categories</w:t>
            </w:r>
          </w:p>
        </w:tc>
        <w:tc>
          <w:tcPr>
            <w:tcW w:w="2100" w:type="dxa"/>
            <w:tcBorders>
              <w:top w:val="nil"/>
              <w:left w:val="nil"/>
              <w:bottom w:val="nil"/>
              <w:right w:val="nil"/>
            </w:tcBorders>
            <w:shd w:val="clear" w:color="auto" w:fill="auto"/>
            <w:noWrap/>
            <w:vAlign w:val="center"/>
          </w:tcPr>
          <w:p w14:paraId="7D261E65"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n = 17,376</w:t>
            </w:r>
          </w:p>
        </w:tc>
        <w:tc>
          <w:tcPr>
            <w:tcW w:w="2037" w:type="dxa"/>
            <w:tcBorders>
              <w:top w:val="nil"/>
              <w:left w:val="nil"/>
              <w:bottom w:val="nil"/>
              <w:right w:val="nil"/>
            </w:tcBorders>
            <w:shd w:val="clear" w:color="auto" w:fill="auto"/>
            <w:noWrap/>
            <w:vAlign w:val="bottom"/>
          </w:tcPr>
          <w:p w14:paraId="3A68FE68"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p>
        </w:tc>
        <w:tc>
          <w:tcPr>
            <w:tcW w:w="2267" w:type="dxa"/>
            <w:tcBorders>
              <w:top w:val="nil"/>
              <w:left w:val="nil"/>
              <w:bottom w:val="nil"/>
              <w:right w:val="nil"/>
            </w:tcBorders>
            <w:shd w:val="clear" w:color="auto" w:fill="auto"/>
            <w:noWrap/>
            <w:vAlign w:val="center"/>
          </w:tcPr>
          <w:p w14:paraId="68F49D0B"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p>
        </w:tc>
      </w:tr>
      <w:tr w:rsidR="00F24F2B" w:rsidRPr="007E0071" w14:paraId="1C51A1FC" w14:textId="77777777" w:rsidTr="00715BF3">
        <w:trPr>
          <w:trHeight w:val="312"/>
        </w:trPr>
        <w:tc>
          <w:tcPr>
            <w:tcW w:w="6439" w:type="dxa"/>
            <w:tcBorders>
              <w:top w:val="nil"/>
              <w:left w:val="nil"/>
              <w:bottom w:val="nil"/>
              <w:right w:val="nil"/>
            </w:tcBorders>
            <w:shd w:val="clear" w:color="auto" w:fill="auto"/>
            <w:noWrap/>
            <w:vAlign w:val="bottom"/>
          </w:tcPr>
          <w:p w14:paraId="3A76DD94" w14:textId="77777777" w:rsidR="00F24F2B" w:rsidRPr="007E0071" w:rsidRDefault="00F24F2B" w:rsidP="00715BF3">
            <w:pPr>
              <w:spacing w:after="0" w:line="240" w:lineRule="auto"/>
              <w:ind w:left="720"/>
              <w:rPr>
                <w:rFonts w:ascii="Times New Roman" w:eastAsia="Calibri" w:hAnsi="Times New Roman" w:cs="Times New Roman"/>
                <w:b/>
                <w:bCs/>
                <w:color w:val="000000"/>
                <w:kern w:val="0"/>
                <w:sz w:val="22"/>
                <w:szCs w:val="22"/>
                <w14:ligatures w14:val="none"/>
              </w:rPr>
            </w:pPr>
            <w:r w:rsidRPr="007E0071">
              <w:rPr>
                <w:rFonts w:ascii="Times New Roman" w:eastAsia="Calibri" w:hAnsi="Times New Roman" w:cs="Times New Roman"/>
                <w:color w:val="000000"/>
                <w:kern w:val="0"/>
                <w14:ligatures w14:val="none"/>
              </w:rPr>
              <w:t>&lt; 55 years old</w:t>
            </w:r>
          </w:p>
        </w:tc>
        <w:tc>
          <w:tcPr>
            <w:tcW w:w="2100" w:type="dxa"/>
            <w:tcBorders>
              <w:top w:val="nil"/>
              <w:left w:val="nil"/>
              <w:bottom w:val="nil"/>
              <w:right w:val="nil"/>
            </w:tcBorders>
            <w:shd w:val="clear" w:color="auto" w:fill="auto"/>
            <w:noWrap/>
            <w:vAlign w:val="center"/>
          </w:tcPr>
          <w:p w14:paraId="7D1F3D32"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3,112</w:t>
            </w:r>
          </w:p>
        </w:tc>
        <w:tc>
          <w:tcPr>
            <w:tcW w:w="2037" w:type="dxa"/>
            <w:tcBorders>
              <w:top w:val="nil"/>
              <w:left w:val="nil"/>
              <w:bottom w:val="nil"/>
              <w:right w:val="nil"/>
            </w:tcBorders>
            <w:shd w:val="clear" w:color="auto" w:fill="auto"/>
            <w:noWrap/>
            <w:vAlign w:val="center"/>
          </w:tcPr>
          <w:p w14:paraId="327B9D7A"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17.9</w:t>
            </w:r>
          </w:p>
        </w:tc>
        <w:tc>
          <w:tcPr>
            <w:tcW w:w="2267" w:type="dxa"/>
            <w:tcBorders>
              <w:top w:val="nil"/>
              <w:left w:val="nil"/>
              <w:bottom w:val="nil"/>
              <w:right w:val="nil"/>
            </w:tcBorders>
            <w:shd w:val="clear" w:color="auto" w:fill="auto"/>
            <w:noWrap/>
            <w:vAlign w:val="center"/>
          </w:tcPr>
          <w:p w14:paraId="4B5523F7"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r w:rsidRPr="007E0071">
              <w:rPr>
                <w:rFonts w:ascii="Times New Roman" w:eastAsia="Calibri" w:hAnsi="Times New Roman" w:cs="Times New Roman"/>
                <w:color w:val="000000"/>
                <w:kern w:val="0"/>
                <w14:ligatures w14:val="none"/>
              </w:rPr>
              <w:t>17.3, 18.5</w:t>
            </w:r>
          </w:p>
        </w:tc>
      </w:tr>
      <w:tr w:rsidR="00F24F2B" w:rsidRPr="007E0071" w14:paraId="2E2CF8B8" w14:textId="77777777" w:rsidTr="00715BF3">
        <w:trPr>
          <w:trHeight w:val="312"/>
        </w:trPr>
        <w:tc>
          <w:tcPr>
            <w:tcW w:w="6439" w:type="dxa"/>
            <w:tcBorders>
              <w:top w:val="nil"/>
              <w:left w:val="nil"/>
              <w:bottom w:val="nil"/>
              <w:right w:val="nil"/>
            </w:tcBorders>
            <w:shd w:val="clear" w:color="auto" w:fill="auto"/>
            <w:noWrap/>
            <w:vAlign w:val="bottom"/>
          </w:tcPr>
          <w:p w14:paraId="02BFFF91" w14:textId="77777777" w:rsidR="00F24F2B" w:rsidRPr="007E0071" w:rsidRDefault="00F24F2B" w:rsidP="00715BF3">
            <w:pPr>
              <w:spacing w:after="0" w:line="240" w:lineRule="auto"/>
              <w:ind w:left="720"/>
              <w:rPr>
                <w:rFonts w:ascii="Times New Roman" w:eastAsia="Calibri" w:hAnsi="Times New Roman" w:cs="Times New Roman"/>
                <w:b/>
                <w:bCs/>
                <w:color w:val="000000"/>
                <w:kern w:val="0"/>
                <w:sz w:val="22"/>
                <w:szCs w:val="22"/>
                <w14:ligatures w14:val="none"/>
              </w:rPr>
            </w:pPr>
            <w:r w:rsidRPr="007E0071">
              <w:rPr>
                <w:rFonts w:ascii="Times New Roman" w:eastAsia="Calibri" w:hAnsi="Times New Roman" w:cs="Times New Roman"/>
                <w:color w:val="000000"/>
                <w:kern w:val="0"/>
                <w14:ligatures w14:val="none"/>
              </w:rPr>
              <w:t>55-59 years old</w:t>
            </w:r>
          </w:p>
        </w:tc>
        <w:tc>
          <w:tcPr>
            <w:tcW w:w="2100" w:type="dxa"/>
            <w:tcBorders>
              <w:top w:val="nil"/>
              <w:left w:val="nil"/>
              <w:bottom w:val="nil"/>
              <w:right w:val="nil"/>
            </w:tcBorders>
            <w:shd w:val="clear" w:color="auto" w:fill="auto"/>
            <w:noWrap/>
            <w:vAlign w:val="center"/>
          </w:tcPr>
          <w:p w14:paraId="1ABC07F0"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2,085</w:t>
            </w:r>
          </w:p>
        </w:tc>
        <w:tc>
          <w:tcPr>
            <w:tcW w:w="2037" w:type="dxa"/>
            <w:tcBorders>
              <w:top w:val="nil"/>
              <w:left w:val="nil"/>
              <w:bottom w:val="nil"/>
              <w:right w:val="nil"/>
            </w:tcBorders>
            <w:shd w:val="clear" w:color="auto" w:fill="auto"/>
            <w:noWrap/>
            <w:vAlign w:val="center"/>
          </w:tcPr>
          <w:p w14:paraId="3A8946C0"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12.0</w:t>
            </w:r>
          </w:p>
        </w:tc>
        <w:tc>
          <w:tcPr>
            <w:tcW w:w="2267" w:type="dxa"/>
            <w:tcBorders>
              <w:top w:val="nil"/>
              <w:left w:val="nil"/>
              <w:bottom w:val="nil"/>
              <w:right w:val="nil"/>
            </w:tcBorders>
            <w:shd w:val="clear" w:color="auto" w:fill="auto"/>
            <w:noWrap/>
            <w:vAlign w:val="center"/>
          </w:tcPr>
          <w:p w14:paraId="3F6C05F2"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r w:rsidRPr="007E0071">
              <w:rPr>
                <w:rFonts w:ascii="Times New Roman" w:eastAsia="Calibri" w:hAnsi="Times New Roman" w:cs="Times New Roman"/>
                <w:color w:val="000000"/>
                <w:kern w:val="0"/>
                <w14:ligatures w14:val="none"/>
              </w:rPr>
              <w:t>11.5, 12.5</w:t>
            </w:r>
          </w:p>
        </w:tc>
      </w:tr>
      <w:tr w:rsidR="00F24F2B" w:rsidRPr="007E0071" w14:paraId="019C5C1D" w14:textId="77777777" w:rsidTr="00715BF3">
        <w:trPr>
          <w:trHeight w:val="312"/>
        </w:trPr>
        <w:tc>
          <w:tcPr>
            <w:tcW w:w="6439" w:type="dxa"/>
            <w:tcBorders>
              <w:top w:val="nil"/>
              <w:left w:val="nil"/>
              <w:bottom w:val="nil"/>
              <w:right w:val="nil"/>
            </w:tcBorders>
            <w:shd w:val="clear" w:color="auto" w:fill="auto"/>
            <w:noWrap/>
            <w:vAlign w:val="bottom"/>
          </w:tcPr>
          <w:p w14:paraId="0E4E8297" w14:textId="77777777" w:rsidR="00F24F2B" w:rsidRPr="007E0071" w:rsidRDefault="00F24F2B" w:rsidP="00715BF3">
            <w:pPr>
              <w:spacing w:after="0" w:line="240" w:lineRule="auto"/>
              <w:ind w:left="720"/>
              <w:rPr>
                <w:rFonts w:ascii="Times New Roman" w:eastAsia="Calibri" w:hAnsi="Times New Roman" w:cs="Times New Roman"/>
                <w:b/>
                <w:bCs/>
                <w:color w:val="000000"/>
                <w:kern w:val="0"/>
                <w:sz w:val="22"/>
                <w:szCs w:val="22"/>
                <w14:ligatures w14:val="none"/>
              </w:rPr>
            </w:pPr>
            <w:r w:rsidRPr="007E0071">
              <w:rPr>
                <w:rFonts w:ascii="Times New Roman" w:eastAsia="Calibri" w:hAnsi="Times New Roman" w:cs="Times New Roman"/>
                <w:color w:val="000000"/>
                <w:kern w:val="0"/>
                <w14:ligatures w14:val="none"/>
              </w:rPr>
              <w:t>60-64 years old</w:t>
            </w:r>
          </w:p>
        </w:tc>
        <w:tc>
          <w:tcPr>
            <w:tcW w:w="2100" w:type="dxa"/>
            <w:tcBorders>
              <w:top w:val="nil"/>
              <w:left w:val="nil"/>
              <w:bottom w:val="nil"/>
              <w:right w:val="nil"/>
            </w:tcBorders>
            <w:shd w:val="clear" w:color="auto" w:fill="auto"/>
            <w:noWrap/>
            <w:vAlign w:val="center"/>
          </w:tcPr>
          <w:p w14:paraId="74F482DD"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2,871</w:t>
            </w:r>
          </w:p>
        </w:tc>
        <w:tc>
          <w:tcPr>
            <w:tcW w:w="2037" w:type="dxa"/>
            <w:tcBorders>
              <w:top w:val="nil"/>
              <w:left w:val="nil"/>
              <w:bottom w:val="nil"/>
              <w:right w:val="nil"/>
            </w:tcBorders>
            <w:shd w:val="clear" w:color="auto" w:fill="auto"/>
            <w:noWrap/>
            <w:vAlign w:val="center"/>
          </w:tcPr>
          <w:p w14:paraId="634D5856"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16.5</w:t>
            </w:r>
          </w:p>
        </w:tc>
        <w:tc>
          <w:tcPr>
            <w:tcW w:w="2267" w:type="dxa"/>
            <w:tcBorders>
              <w:top w:val="nil"/>
              <w:left w:val="nil"/>
              <w:bottom w:val="nil"/>
              <w:right w:val="nil"/>
            </w:tcBorders>
            <w:shd w:val="clear" w:color="auto" w:fill="auto"/>
            <w:noWrap/>
            <w:vAlign w:val="center"/>
          </w:tcPr>
          <w:p w14:paraId="2942C56B"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r w:rsidRPr="007E0071">
              <w:rPr>
                <w:rFonts w:ascii="Times New Roman" w:eastAsia="Calibri" w:hAnsi="Times New Roman" w:cs="Times New Roman"/>
                <w:color w:val="000000"/>
                <w:kern w:val="0"/>
                <w14:ligatures w14:val="none"/>
              </w:rPr>
              <w:t>16.0, 17.1</w:t>
            </w:r>
          </w:p>
        </w:tc>
      </w:tr>
      <w:tr w:rsidR="00F24F2B" w:rsidRPr="007E0071" w14:paraId="6E21B250" w14:textId="77777777" w:rsidTr="00715BF3">
        <w:trPr>
          <w:trHeight w:val="312"/>
        </w:trPr>
        <w:tc>
          <w:tcPr>
            <w:tcW w:w="6439" w:type="dxa"/>
            <w:tcBorders>
              <w:top w:val="nil"/>
              <w:left w:val="nil"/>
              <w:bottom w:val="nil"/>
              <w:right w:val="nil"/>
            </w:tcBorders>
            <w:shd w:val="clear" w:color="auto" w:fill="auto"/>
            <w:noWrap/>
            <w:vAlign w:val="bottom"/>
          </w:tcPr>
          <w:p w14:paraId="66866786" w14:textId="77777777" w:rsidR="00F24F2B" w:rsidRPr="007E0071" w:rsidRDefault="00F24F2B" w:rsidP="00715BF3">
            <w:pPr>
              <w:spacing w:after="0" w:line="240" w:lineRule="auto"/>
              <w:ind w:left="720"/>
              <w:rPr>
                <w:rFonts w:ascii="Times New Roman" w:eastAsia="Calibri" w:hAnsi="Times New Roman" w:cs="Times New Roman"/>
                <w:b/>
                <w:bCs/>
                <w:color w:val="000000"/>
                <w:kern w:val="0"/>
                <w:sz w:val="22"/>
                <w:szCs w:val="22"/>
                <w14:ligatures w14:val="none"/>
              </w:rPr>
            </w:pPr>
            <w:r w:rsidRPr="007E0071">
              <w:rPr>
                <w:rFonts w:ascii="Times New Roman" w:eastAsia="Calibri" w:hAnsi="Times New Roman" w:cs="Times New Roman"/>
                <w:color w:val="000000"/>
                <w:kern w:val="0"/>
                <w14:ligatures w14:val="none"/>
              </w:rPr>
              <w:t>65-69 years old</w:t>
            </w:r>
          </w:p>
        </w:tc>
        <w:tc>
          <w:tcPr>
            <w:tcW w:w="2100" w:type="dxa"/>
            <w:tcBorders>
              <w:top w:val="nil"/>
              <w:left w:val="nil"/>
              <w:bottom w:val="nil"/>
              <w:right w:val="nil"/>
            </w:tcBorders>
            <w:shd w:val="clear" w:color="auto" w:fill="auto"/>
            <w:noWrap/>
            <w:vAlign w:val="center"/>
          </w:tcPr>
          <w:p w14:paraId="4D3E7937"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3,010</w:t>
            </w:r>
          </w:p>
        </w:tc>
        <w:tc>
          <w:tcPr>
            <w:tcW w:w="2037" w:type="dxa"/>
            <w:tcBorders>
              <w:top w:val="nil"/>
              <w:left w:val="nil"/>
              <w:bottom w:val="nil"/>
              <w:right w:val="nil"/>
            </w:tcBorders>
            <w:shd w:val="clear" w:color="auto" w:fill="auto"/>
            <w:noWrap/>
            <w:vAlign w:val="center"/>
          </w:tcPr>
          <w:p w14:paraId="70BD09BF"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17.3</w:t>
            </w:r>
          </w:p>
        </w:tc>
        <w:tc>
          <w:tcPr>
            <w:tcW w:w="2267" w:type="dxa"/>
            <w:tcBorders>
              <w:top w:val="nil"/>
              <w:left w:val="nil"/>
              <w:bottom w:val="nil"/>
              <w:right w:val="nil"/>
            </w:tcBorders>
            <w:shd w:val="clear" w:color="auto" w:fill="auto"/>
            <w:noWrap/>
            <w:vAlign w:val="center"/>
          </w:tcPr>
          <w:p w14:paraId="1F2BCB44"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r w:rsidRPr="007E0071">
              <w:rPr>
                <w:rFonts w:ascii="Times New Roman" w:eastAsia="Calibri" w:hAnsi="Times New Roman" w:cs="Times New Roman"/>
                <w:color w:val="000000"/>
                <w:kern w:val="0"/>
                <w14:ligatures w14:val="none"/>
              </w:rPr>
              <w:t>16.8, 17.9</w:t>
            </w:r>
          </w:p>
        </w:tc>
      </w:tr>
      <w:tr w:rsidR="00F24F2B" w:rsidRPr="007E0071" w14:paraId="3E4A99B1" w14:textId="77777777" w:rsidTr="00DD1F85">
        <w:trPr>
          <w:trHeight w:val="312"/>
        </w:trPr>
        <w:tc>
          <w:tcPr>
            <w:tcW w:w="6439" w:type="dxa"/>
            <w:tcBorders>
              <w:top w:val="nil"/>
              <w:left w:val="nil"/>
              <w:right w:val="nil"/>
            </w:tcBorders>
            <w:shd w:val="clear" w:color="auto" w:fill="auto"/>
            <w:noWrap/>
            <w:vAlign w:val="bottom"/>
          </w:tcPr>
          <w:p w14:paraId="1DC29343" w14:textId="77777777" w:rsidR="00F24F2B" w:rsidRPr="007E0071" w:rsidRDefault="00F24F2B" w:rsidP="00715BF3">
            <w:pPr>
              <w:spacing w:after="0" w:line="240" w:lineRule="auto"/>
              <w:ind w:left="720"/>
              <w:rPr>
                <w:rFonts w:ascii="Times New Roman" w:eastAsia="Calibri" w:hAnsi="Times New Roman" w:cs="Times New Roman"/>
                <w:b/>
                <w:bCs/>
                <w:color w:val="000000"/>
                <w:kern w:val="0"/>
                <w:sz w:val="22"/>
                <w:szCs w:val="22"/>
                <w14:ligatures w14:val="none"/>
              </w:rPr>
            </w:pPr>
            <w:r w:rsidRPr="007E0071">
              <w:rPr>
                <w:rFonts w:ascii="Times New Roman" w:eastAsia="Calibri" w:hAnsi="Times New Roman" w:cs="Times New Roman"/>
                <w:color w:val="000000"/>
                <w:kern w:val="0"/>
                <w14:ligatures w14:val="none"/>
              </w:rPr>
              <w:t>70-74 years old</w:t>
            </w:r>
          </w:p>
        </w:tc>
        <w:tc>
          <w:tcPr>
            <w:tcW w:w="2100" w:type="dxa"/>
            <w:tcBorders>
              <w:top w:val="nil"/>
              <w:left w:val="nil"/>
              <w:right w:val="nil"/>
            </w:tcBorders>
            <w:shd w:val="clear" w:color="auto" w:fill="auto"/>
            <w:noWrap/>
            <w:vAlign w:val="center"/>
          </w:tcPr>
          <w:p w14:paraId="4C982FE8"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2,562</w:t>
            </w:r>
          </w:p>
        </w:tc>
        <w:tc>
          <w:tcPr>
            <w:tcW w:w="2037" w:type="dxa"/>
            <w:tcBorders>
              <w:top w:val="nil"/>
              <w:left w:val="nil"/>
              <w:right w:val="nil"/>
            </w:tcBorders>
            <w:shd w:val="clear" w:color="auto" w:fill="auto"/>
            <w:noWrap/>
            <w:vAlign w:val="center"/>
          </w:tcPr>
          <w:p w14:paraId="0572A476"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14.7</w:t>
            </w:r>
          </w:p>
        </w:tc>
        <w:tc>
          <w:tcPr>
            <w:tcW w:w="2267" w:type="dxa"/>
            <w:tcBorders>
              <w:top w:val="nil"/>
              <w:left w:val="nil"/>
              <w:right w:val="nil"/>
            </w:tcBorders>
            <w:shd w:val="clear" w:color="auto" w:fill="auto"/>
            <w:noWrap/>
            <w:vAlign w:val="center"/>
          </w:tcPr>
          <w:p w14:paraId="1A1BF9CB"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r w:rsidRPr="007E0071">
              <w:rPr>
                <w:rFonts w:ascii="Times New Roman" w:eastAsia="Calibri" w:hAnsi="Times New Roman" w:cs="Times New Roman"/>
                <w:color w:val="000000"/>
                <w:kern w:val="0"/>
                <w14:ligatures w14:val="none"/>
              </w:rPr>
              <w:t>14.2, 15.3</w:t>
            </w:r>
          </w:p>
        </w:tc>
      </w:tr>
      <w:tr w:rsidR="00F24F2B" w:rsidRPr="007E0071" w14:paraId="2A2AFDD1" w14:textId="77777777" w:rsidTr="00DD1F85">
        <w:trPr>
          <w:trHeight w:val="312"/>
        </w:trPr>
        <w:tc>
          <w:tcPr>
            <w:tcW w:w="6439" w:type="dxa"/>
            <w:tcBorders>
              <w:top w:val="nil"/>
              <w:left w:val="nil"/>
              <w:right w:val="nil"/>
            </w:tcBorders>
            <w:shd w:val="clear" w:color="auto" w:fill="auto"/>
            <w:noWrap/>
            <w:vAlign w:val="bottom"/>
          </w:tcPr>
          <w:p w14:paraId="4EF6F6F0" w14:textId="77777777" w:rsidR="00F24F2B" w:rsidRPr="007E0071" w:rsidRDefault="00F24F2B" w:rsidP="00715BF3">
            <w:pPr>
              <w:spacing w:after="0" w:line="240" w:lineRule="auto"/>
              <w:ind w:left="720"/>
              <w:rPr>
                <w:rFonts w:ascii="Times New Roman" w:eastAsia="Calibri" w:hAnsi="Times New Roman" w:cs="Times New Roman"/>
                <w:b/>
                <w:bCs/>
                <w:color w:val="000000"/>
                <w:kern w:val="0"/>
                <w:sz w:val="22"/>
                <w:szCs w:val="22"/>
                <w14:ligatures w14:val="none"/>
              </w:rPr>
            </w:pPr>
            <w:r w:rsidRPr="007E0071">
              <w:rPr>
                <w:rFonts w:ascii="Times New Roman" w:eastAsia="Calibri" w:hAnsi="Times New Roman" w:cs="Times New Roman"/>
                <w:color w:val="000000"/>
                <w:kern w:val="0"/>
                <w14:ligatures w14:val="none"/>
              </w:rPr>
              <w:t>≥ 75 years old</w:t>
            </w:r>
          </w:p>
        </w:tc>
        <w:tc>
          <w:tcPr>
            <w:tcW w:w="2100" w:type="dxa"/>
            <w:tcBorders>
              <w:top w:val="nil"/>
              <w:left w:val="nil"/>
              <w:right w:val="nil"/>
            </w:tcBorders>
            <w:shd w:val="clear" w:color="auto" w:fill="auto"/>
            <w:noWrap/>
            <w:vAlign w:val="center"/>
          </w:tcPr>
          <w:p w14:paraId="736C34A5"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3,736</w:t>
            </w:r>
          </w:p>
        </w:tc>
        <w:tc>
          <w:tcPr>
            <w:tcW w:w="2037" w:type="dxa"/>
            <w:tcBorders>
              <w:top w:val="nil"/>
              <w:left w:val="nil"/>
              <w:right w:val="nil"/>
            </w:tcBorders>
            <w:shd w:val="clear" w:color="auto" w:fill="auto"/>
            <w:noWrap/>
            <w:vAlign w:val="center"/>
          </w:tcPr>
          <w:p w14:paraId="192C8785"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21.5</w:t>
            </w:r>
          </w:p>
        </w:tc>
        <w:tc>
          <w:tcPr>
            <w:tcW w:w="2267" w:type="dxa"/>
            <w:tcBorders>
              <w:top w:val="nil"/>
              <w:left w:val="nil"/>
              <w:right w:val="nil"/>
            </w:tcBorders>
            <w:shd w:val="clear" w:color="auto" w:fill="auto"/>
            <w:noWrap/>
            <w:vAlign w:val="center"/>
          </w:tcPr>
          <w:p w14:paraId="5C57AA3E"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r w:rsidRPr="007E0071">
              <w:rPr>
                <w:rFonts w:ascii="Times New Roman" w:eastAsia="Calibri" w:hAnsi="Times New Roman" w:cs="Times New Roman"/>
                <w:color w:val="000000"/>
                <w:kern w:val="0"/>
                <w14:ligatures w14:val="none"/>
              </w:rPr>
              <w:t>20.9, 22.1</w:t>
            </w:r>
          </w:p>
        </w:tc>
      </w:tr>
      <w:tr w:rsidR="00F24F2B" w:rsidRPr="007E0071" w14:paraId="1D7D52D2" w14:textId="77777777" w:rsidTr="00DD1F85">
        <w:trPr>
          <w:trHeight w:val="312"/>
        </w:trPr>
        <w:tc>
          <w:tcPr>
            <w:tcW w:w="6439" w:type="dxa"/>
            <w:tcBorders>
              <w:left w:val="nil"/>
              <w:bottom w:val="nil"/>
              <w:right w:val="nil"/>
            </w:tcBorders>
            <w:shd w:val="clear" w:color="auto" w:fill="auto"/>
            <w:noWrap/>
            <w:vAlign w:val="bottom"/>
          </w:tcPr>
          <w:p w14:paraId="4E5806FA" w14:textId="77777777" w:rsidR="00F24F2B" w:rsidRPr="007E0071" w:rsidRDefault="00F24F2B" w:rsidP="00715BF3">
            <w:pPr>
              <w:spacing w:after="0" w:line="240" w:lineRule="auto"/>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Body Mass Index (BMI) Category</w:t>
            </w:r>
          </w:p>
        </w:tc>
        <w:tc>
          <w:tcPr>
            <w:tcW w:w="2100" w:type="dxa"/>
            <w:tcBorders>
              <w:left w:val="nil"/>
              <w:bottom w:val="nil"/>
              <w:right w:val="nil"/>
            </w:tcBorders>
            <w:shd w:val="clear" w:color="auto" w:fill="auto"/>
            <w:noWrap/>
            <w:vAlign w:val="center"/>
          </w:tcPr>
          <w:p w14:paraId="22108CAC"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n = 17,333</w:t>
            </w:r>
          </w:p>
        </w:tc>
        <w:tc>
          <w:tcPr>
            <w:tcW w:w="2037" w:type="dxa"/>
            <w:tcBorders>
              <w:left w:val="nil"/>
              <w:bottom w:val="nil"/>
              <w:right w:val="nil"/>
            </w:tcBorders>
            <w:shd w:val="clear" w:color="auto" w:fill="auto"/>
            <w:noWrap/>
            <w:vAlign w:val="center"/>
          </w:tcPr>
          <w:p w14:paraId="6FF172E1"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p>
        </w:tc>
        <w:tc>
          <w:tcPr>
            <w:tcW w:w="2267" w:type="dxa"/>
            <w:tcBorders>
              <w:left w:val="nil"/>
              <w:bottom w:val="nil"/>
              <w:right w:val="nil"/>
            </w:tcBorders>
            <w:shd w:val="clear" w:color="auto" w:fill="auto"/>
            <w:noWrap/>
            <w:vAlign w:val="center"/>
          </w:tcPr>
          <w:p w14:paraId="1CD11E1F"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p>
        </w:tc>
      </w:tr>
      <w:tr w:rsidR="00F24F2B" w:rsidRPr="007E0071" w14:paraId="7F2C4ACA" w14:textId="77777777" w:rsidTr="00715BF3">
        <w:trPr>
          <w:trHeight w:val="312"/>
        </w:trPr>
        <w:tc>
          <w:tcPr>
            <w:tcW w:w="6439" w:type="dxa"/>
            <w:tcBorders>
              <w:top w:val="nil"/>
              <w:left w:val="nil"/>
              <w:bottom w:val="nil"/>
              <w:right w:val="nil"/>
            </w:tcBorders>
            <w:shd w:val="clear" w:color="auto" w:fill="auto"/>
            <w:noWrap/>
            <w:vAlign w:val="bottom"/>
          </w:tcPr>
          <w:p w14:paraId="6BDF07AC" w14:textId="77777777" w:rsidR="00F24F2B" w:rsidRPr="007E0071" w:rsidRDefault="00F24F2B" w:rsidP="00715BF3">
            <w:pPr>
              <w:spacing w:after="0" w:line="240" w:lineRule="auto"/>
              <w:ind w:left="720"/>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Underweight</w:t>
            </w:r>
          </w:p>
        </w:tc>
        <w:tc>
          <w:tcPr>
            <w:tcW w:w="2100" w:type="dxa"/>
            <w:tcBorders>
              <w:top w:val="nil"/>
              <w:left w:val="nil"/>
              <w:bottom w:val="nil"/>
              <w:right w:val="nil"/>
            </w:tcBorders>
            <w:shd w:val="clear" w:color="auto" w:fill="auto"/>
            <w:noWrap/>
            <w:vAlign w:val="center"/>
          </w:tcPr>
          <w:p w14:paraId="663632F7"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82</w:t>
            </w:r>
          </w:p>
        </w:tc>
        <w:tc>
          <w:tcPr>
            <w:tcW w:w="2037" w:type="dxa"/>
            <w:tcBorders>
              <w:top w:val="nil"/>
              <w:left w:val="nil"/>
              <w:bottom w:val="nil"/>
              <w:right w:val="nil"/>
            </w:tcBorders>
            <w:shd w:val="clear" w:color="auto" w:fill="auto"/>
            <w:noWrap/>
            <w:vAlign w:val="center"/>
          </w:tcPr>
          <w:p w14:paraId="484E13B5"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0.47</w:t>
            </w:r>
          </w:p>
        </w:tc>
        <w:tc>
          <w:tcPr>
            <w:tcW w:w="2267" w:type="dxa"/>
            <w:tcBorders>
              <w:top w:val="nil"/>
              <w:left w:val="nil"/>
              <w:bottom w:val="nil"/>
              <w:right w:val="nil"/>
            </w:tcBorders>
            <w:shd w:val="clear" w:color="auto" w:fill="auto"/>
            <w:noWrap/>
            <w:vAlign w:val="center"/>
          </w:tcPr>
          <w:p w14:paraId="7656E8C2"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r w:rsidRPr="007E0071">
              <w:rPr>
                <w:rFonts w:ascii="Times New Roman" w:eastAsia="Calibri" w:hAnsi="Times New Roman" w:cs="Times New Roman"/>
                <w:color w:val="000000"/>
                <w:kern w:val="0"/>
                <w14:ligatures w14:val="none"/>
              </w:rPr>
              <w:t>0.37, 0.59</w:t>
            </w:r>
          </w:p>
        </w:tc>
      </w:tr>
      <w:tr w:rsidR="00F24F2B" w:rsidRPr="007E0071" w14:paraId="11856F80" w14:textId="77777777" w:rsidTr="00715BF3">
        <w:trPr>
          <w:trHeight w:val="312"/>
        </w:trPr>
        <w:tc>
          <w:tcPr>
            <w:tcW w:w="6439" w:type="dxa"/>
            <w:tcBorders>
              <w:top w:val="nil"/>
              <w:left w:val="nil"/>
              <w:bottom w:val="nil"/>
              <w:right w:val="nil"/>
            </w:tcBorders>
            <w:shd w:val="clear" w:color="auto" w:fill="auto"/>
            <w:noWrap/>
            <w:vAlign w:val="bottom"/>
          </w:tcPr>
          <w:p w14:paraId="613E3260" w14:textId="77777777" w:rsidR="00F24F2B" w:rsidRPr="007E0071" w:rsidRDefault="00F24F2B" w:rsidP="00715BF3">
            <w:pPr>
              <w:spacing w:after="0" w:line="240" w:lineRule="auto"/>
              <w:ind w:left="720"/>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Normal</w:t>
            </w:r>
          </w:p>
        </w:tc>
        <w:tc>
          <w:tcPr>
            <w:tcW w:w="2100" w:type="dxa"/>
            <w:tcBorders>
              <w:top w:val="nil"/>
              <w:left w:val="nil"/>
              <w:bottom w:val="nil"/>
              <w:right w:val="nil"/>
            </w:tcBorders>
            <w:shd w:val="clear" w:color="auto" w:fill="auto"/>
            <w:noWrap/>
            <w:vAlign w:val="center"/>
          </w:tcPr>
          <w:p w14:paraId="2A1F649E"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3,442</w:t>
            </w:r>
          </w:p>
        </w:tc>
        <w:tc>
          <w:tcPr>
            <w:tcW w:w="2037" w:type="dxa"/>
            <w:tcBorders>
              <w:top w:val="nil"/>
              <w:left w:val="nil"/>
              <w:bottom w:val="nil"/>
              <w:right w:val="nil"/>
            </w:tcBorders>
            <w:shd w:val="clear" w:color="auto" w:fill="auto"/>
            <w:noWrap/>
            <w:vAlign w:val="center"/>
          </w:tcPr>
          <w:p w14:paraId="1163CFC7"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19.9</w:t>
            </w:r>
          </w:p>
        </w:tc>
        <w:tc>
          <w:tcPr>
            <w:tcW w:w="2267" w:type="dxa"/>
            <w:tcBorders>
              <w:top w:val="nil"/>
              <w:left w:val="nil"/>
              <w:bottom w:val="nil"/>
              <w:right w:val="nil"/>
            </w:tcBorders>
            <w:shd w:val="clear" w:color="auto" w:fill="auto"/>
            <w:noWrap/>
            <w:vAlign w:val="center"/>
          </w:tcPr>
          <w:p w14:paraId="3D26B89F"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r w:rsidRPr="007E0071">
              <w:rPr>
                <w:rFonts w:ascii="Times New Roman" w:eastAsia="Calibri" w:hAnsi="Times New Roman" w:cs="Times New Roman"/>
                <w:color w:val="000000"/>
                <w:kern w:val="0"/>
                <w14:ligatures w14:val="none"/>
              </w:rPr>
              <w:t>19.3, 20.5</w:t>
            </w:r>
          </w:p>
        </w:tc>
      </w:tr>
      <w:tr w:rsidR="00F24F2B" w:rsidRPr="007E0071" w14:paraId="1EEAA32D" w14:textId="77777777" w:rsidTr="00DD1F85">
        <w:trPr>
          <w:trHeight w:val="312"/>
        </w:trPr>
        <w:tc>
          <w:tcPr>
            <w:tcW w:w="6439" w:type="dxa"/>
            <w:tcBorders>
              <w:top w:val="nil"/>
              <w:left w:val="nil"/>
              <w:right w:val="nil"/>
            </w:tcBorders>
            <w:shd w:val="clear" w:color="auto" w:fill="auto"/>
            <w:noWrap/>
            <w:vAlign w:val="bottom"/>
          </w:tcPr>
          <w:p w14:paraId="47133CC5" w14:textId="77777777" w:rsidR="00F24F2B" w:rsidRPr="007E0071" w:rsidRDefault="00F24F2B" w:rsidP="00715BF3">
            <w:pPr>
              <w:spacing w:after="0" w:line="240" w:lineRule="auto"/>
              <w:ind w:left="720"/>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Overweight</w:t>
            </w:r>
          </w:p>
        </w:tc>
        <w:tc>
          <w:tcPr>
            <w:tcW w:w="2100" w:type="dxa"/>
            <w:tcBorders>
              <w:top w:val="nil"/>
              <w:left w:val="nil"/>
              <w:right w:val="nil"/>
            </w:tcBorders>
            <w:shd w:val="clear" w:color="auto" w:fill="auto"/>
            <w:noWrap/>
            <w:vAlign w:val="center"/>
          </w:tcPr>
          <w:p w14:paraId="480F1F0B"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6,910</w:t>
            </w:r>
          </w:p>
        </w:tc>
        <w:tc>
          <w:tcPr>
            <w:tcW w:w="2037" w:type="dxa"/>
            <w:tcBorders>
              <w:top w:val="nil"/>
              <w:left w:val="nil"/>
              <w:right w:val="nil"/>
            </w:tcBorders>
            <w:shd w:val="clear" w:color="auto" w:fill="auto"/>
            <w:noWrap/>
            <w:vAlign w:val="center"/>
          </w:tcPr>
          <w:p w14:paraId="0726BBCC"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39.9</w:t>
            </w:r>
          </w:p>
        </w:tc>
        <w:tc>
          <w:tcPr>
            <w:tcW w:w="2267" w:type="dxa"/>
            <w:tcBorders>
              <w:top w:val="nil"/>
              <w:left w:val="nil"/>
              <w:right w:val="nil"/>
            </w:tcBorders>
            <w:shd w:val="clear" w:color="auto" w:fill="auto"/>
            <w:noWrap/>
            <w:vAlign w:val="center"/>
          </w:tcPr>
          <w:p w14:paraId="73FF2991"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r w:rsidRPr="007E0071">
              <w:rPr>
                <w:rFonts w:ascii="Times New Roman" w:eastAsia="Calibri" w:hAnsi="Times New Roman" w:cs="Times New Roman"/>
                <w:color w:val="000000"/>
                <w:kern w:val="0"/>
                <w14:ligatures w14:val="none"/>
              </w:rPr>
              <w:t>39.1, 40.6</w:t>
            </w:r>
          </w:p>
        </w:tc>
      </w:tr>
      <w:tr w:rsidR="00F24F2B" w:rsidRPr="007E0071" w14:paraId="0E206B6F" w14:textId="77777777" w:rsidTr="00DD1F85">
        <w:trPr>
          <w:trHeight w:val="312"/>
        </w:trPr>
        <w:tc>
          <w:tcPr>
            <w:tcW w:w="6439" w:type="dxa"/>
            <w:tcBorders>
              <w:top w:val="nil"/>
              <w:left w:val="nil"/>
              <w:right w:val="nil"/>
            </w:tcBorders>
            <w:shd w:val="clear" w:color="auto" w:fill="auto"/>
            <w:noWrap/>
            <w:vAlign w:val="bottom"/>
          </w:tcPr>
          <w:p w14:paraId="2A82C6CC" w14:textId="77777777" w:rsidR="00F24F2B" w:rsidRPr="007E0071" w:rsidRDefault="00F24F2B" w:rsidP="00715BF3">
            <w:pPr>
              <w:spacing w:after="0" w:line="240" w:lineRule="auto"/>
              <w:ind w:left="720"/>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Obese &amp; Extremely Obese</w:t>
            </w:r>
          </w:p>
        </w:tc>
        <w:tc>
          <w:tcPr>
            <w:tcW w:w="2100" w:type="dxa"/>
            <w:tcBorders>
              <w:top w:val="nil"/>
              <w:left w:val="nil"/>
              <w:right w:val="nil"/>
            </w:tcBorders>
            <w:shd w:val="clear" w:color="auto" w:fill="auto"/>
            <w:noWrap/>
            <w:vAlign w:val="center"/>
          </w:tcPr>
          <w:p w14:paraId="76114497"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6,899</w:t>
            </w:r>
          </w:p>
        </w:tc>
        <w:tc>
          <w:tcPr>
            <w:tcW w:w="2037" w:type="dxa"/>
            <w:tcBorders>
              <w:top w:val="nil"/>
              <w:left w:val="nil"/>
              <w:right w:val="nil"/>
            </w:tcBorders>
            <w:shd w:val="clear" w:color="auto" w:fill="auto"/>
            <w:noWrap/>
            <w:vAlign w:val="center"/>
          </w:tcPr>
          <w:p w14:paraId="0F8155CF"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39.8</w:t>
            </w:r>
          </w:p>
        </w:tc>
        <w:tc>
          <w:tcPr>
            <w:tcW w:w="2267" w:type="dxa"/>
            <w:tcBorders>
              <w:top w:val="nil"/>
              <w:left w:val="nil"/>
              <w:right w:val="nil"/>
            </w:tcBorders>
            <w:shd w:val="clear" w:color="auto" w:fill="auto"/>
            <w:noWrap/>
            <w:vAlign w:val="center"/>
          </w:tcPr>
          <w:p w14:paraId="6FC5B0E6"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r w:rsidRPr="007E0071">
              <w:rPr>
                <w:rFonts w:ascii="Times New Roman" w:eastAsia="Calibri" w:hAnsi="Times New Roman" w:cs="Times New Roman"/>
                <w:color w:val="000000"/>
                <w:kern w:val="0"/>
                <w14:ligatures w14:val="none"/>
              </w:rPr>
              <w:t>39.1, 40.5</w:t>
            </w:r>
          </w:p>
        </w:tc>
      </w:tr>
      <w:tr w:rsidR="00F24F2B" w:rsidRPr="007E0071" w14:paraId="60FD4A05" w14:textId="77777777" w:rsidTr="00DD1F85">
        <w:trPr>
          <w:trHeight w:val="312"/>
        </w:trPr>
        <w:tc>
          <w:tcPr>
            <w:tcW w:w="6439" w:type="dxa"/>
            <w:tcBorders>
              <w:left w:val="nil"/>
              <w:bottom w:val="nil"/>
              <w:right w:val="nil"/>
            </w:tcBorders>
            <w:shd w:val="clear" w:color="auto" w:fill="auto"/>
            <w:noWrap/>
            <w:vAlign w:val="bottom"/>
            <w:hideMark/>
          </w:tcPr>
          <w:p w14:paraId="0CC628D1" w14:textId="77777777" w:rsidR="00F24F2B" w:rsidRPr="007E0071" w:rsidRDefault="00F24F2B" w:rsidP="00715BF3">
            <w:pPr>
              <w:spacing w:after="0" w:line="240" w:lineRule="auto"/>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lastRenderedPageBreak/>
              <w:t>Smoking Status</w:t>
            </w:r>
          </w:p>
        </w:tc>
        <w:tc>
          <w:tcPr>
            <w:tcW w:w="2100" w:type="dxa"/>
            <w:tcBorders>
              <w:left w:val="nil"/>
              <w:bottom w:val="nil"/>
              <w:right w:val="nil"/>
            </w:tcBorders>
            <w:shd w:val="clear" w:color="auto" w:fill="auto"/>
            <w:noWrap/>
            <w:vAlign w:val="center"/>
            <w:hideMark/>
          </w:tcPr>
          <w:p w14:paraId="291882D7"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n = 17,376</w:t>
            </w:r>
          </w:p>
        </w:tc>
        <w:tc>
          <w:tcPr>
            <w:tcW w:w="2037" w:type="dxa"/>
            <w:tcBorders>
              <w:left w:val="nil"/>
              <w:bottom w:val="nil"/>
              <w:right w:val="nil"/>
            </w:tcBorders>
            <w:shd w:val="clear" w:color="auto" w:fill="auto"/>
            <w:noWrap/>
            <w:vAlign w:val="bottom"/>
            <w:hideMark/>
          </w:tcPr>
          <w:p w14:paraId="2C602C54"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p>
        </w:tc>
        <w:tc>
          <w:tcPr>
            <w:tcW w:w="2267" w:type="dxa"/>
            <w:tcBorders>
              <w:left w:val="nil"/>
              <w:bottom w:val="nil"/>
              <w:right w:val="nil"/>
            </w:tcBorders>
            <w:shd w:val="clear" w:color="auto" w:fill="auto"/>
            <w:noWrap/>
            <w:vAlign w:val="bottom"/>
            <w:hideMark/>
          </w:tcPr>
          <w:p w14:paraId="00914B2A"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p>
        </w:tc>
      </w:tr>
      <w:tr w:rsidR="00F24F2B" w:rsidRPr="007E0071" w14:paraId="0997CB84" w14:textId="77777777" w:rsidTr="00715BF3">
        <w:trPr>
          <w:trHeight w:val="312"/>
        </w:trPr>
        <w:tc>
          <w:tcPr>
            <w:tcW w:w="6439" w:type="dxa"/>
            <w:tcBorders>
              <w:top w:val="nil"/>
              <w:left w:val="nil"/>
              <w:bottom w:val="nil"/>
              <w:right w:val="nil"/>
            </w:tcBorders>
            <w:shd w:val="clear" w:color="auto" w:fill="auto"/>
            <w:noWrap/>
            <w:vAlign w:val="bottom"/>
            <w:hideMark/>
          </w:tcPr>
          <w:p w14:paraId="700D91C2" w14:textId="77777777" w:rsidR="00F24F2B" w:rsidRPr="007E0071" w:rsidRDefault="00F24F2B" w:rsidP="00715BF3">
            <w:pPr>
              <w:spacing w:after="0" w:line="240" w:lineRule="auto"/>
              <w:ind w:left="720"/>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Non-Smoker</w:t>
            </w:r>
          </w:p>
        </w:tc>
        <w:tc>
          <w:tcPr>
            <w:tcW w:w="2100" w:type="dxa"/>
            <w:tcBorders>
              <w:top w:val="nil"/>
              <w:left w:val="nil"/>
              <w:bottom w:val="nil"/>
              <w:right w:val="nil"/>
            </w:tcBorders>
            <w:shd w:val="clear" w:color="auto" w:fill="auto"/>
            <w:noWrap/>
            <w:vAlign w:val="center"/>
            <w:hideMark/>
          </w:tcPr>
          <w:p w14:paraId="539DB304"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9,825</w:t>
            </w:r>
          </w:p>
        </w:tc>
        <w:tc>
          <w:tcPr>
            <w:tcW w:w="2037" w:type="dxa"/>
            <w:tcBorders>
              <w:top w:val="nil"/>
              <w:left w:val="nil"/>
              <w:bottom w:val="nil"/>
              <w:right w:val="nil"/>
            </w:tcBorders>
            <w:shd w:val="clear" w:color="auto" w:fill="auto"/>
            <w:noWrap/>
            <w:vAlign w:val="center"/>
            <w:hideMark/>
          </w:tcPr>
          <w:p w14:paraId="63E97DE3"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56.5</w:t>
            </w:r>
          </w:p>
        </w:tc>
        <w:tc>
          <w:tcPr>
            <w:tcW w:w="2267" w:type="dxa"/>
            <w:tcBorders>
              <w:top w:val="nil"/>
              <w:left w:val="nil"/>
              <w:bottom w:val="nil"/>
              <w:right w:val="nil"/>
            </w:tcBorders>
            <w:shd w:val="clear" w:color="auto" w:fill="auto"/>
            <w:noWrap/>
            <w:vAlign w:val="center"/>
            <w:hideMark/>
          </w:tcPr>
          <w:p w14:paraId="0F8F5AB7"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55.8, 57.3</w:t>
            </w:r>
          </w:p>
        </w:tc>
      </w:tr>
      <w:tr w:rsidR="00F24F2B" w:rsidRPr="007E0071" w14:paraId="5444C6DE" w14:textId="77777777" w:rsidTr="00715BF3">
        <w:trPr>
          <w:trHeight w:val="312"/>
        </w:trPr>
        <w:tc>
          <w:tcPr>
            <w:tcW w:w="6439" w:type="dxa"/>
            <w:tcBorders>
              <w:top w:val="nil"/>
              <w:left w:val="nil"/>
              <w:bottom w:val="nil"/>
              <w:right w:val="nil"/>
            </w:tcBorders>
            <w:shd w:val="clear" w:color="auto" w:fill="auto"/>
            <w:noWrap/>
            <w:vAlign w:val="bottom"/>
            <w:hideMark/>
          </w:tcPr>
          <w:p w14:paraId="1F6740CD" w14:textId="77777777" w:rsidR="00F24F2B" w:rsidRPr="007E0071" w:rsidRDefault="00F24F2B" w:rsidP="00715BF3">
            <w:pPr>
              <w:spacing w:after="0" w:line="240" w:lineRule="auto"/>
              <w:ind w:left="720"/>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Ever Smoker</w:t>
            </w:r>
          </w:p>
        </w:tc>
        <w:tc>
          <w:tcPr>
            <w:tcW w:w="2100" w:type="dxa"/>
            <w:tcBorders>
              <w:top w:val="nil"/>
              <w:left w:val="nil"/>
              <w:bottom w:val="nil"/>
              <w:right w:val="nil"/>
            </w:tcBorders>
            <w:shd w:val="clear" w:color="auto" w:fill="auto"/>
            <w:noWrap/>
            <w:vAlign w:val="center"/>
            <w:hideMark/>
          </w:tcPr>
          <w:p w14:paraId="572DB4A4"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7,551</w:t>
            </w:r>
          </w:p>
        </w:tc>
        <w:tc>
          <w:tcPr>
            <w:tcW w:w="2037" w:type="dxa"/>
            <w:tcBorders>
              <w:top w:val="nil"/>
              <w:left w:val="nil"/>
              <w:bottom w:val="nil"/>
              <w:right w:val="nil"/>
            </w:tcBorders>
            <w:shd w:val="clear" w:color="auto" w:fill="auto"/>
            <w:noWrap/>
            <w:vAlign w:val="center"/>
            <w:hideMark/>
          </w:tcPr>
          <w:p w14:paraId="0F77CBF3"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43.5</w:t>
            </w:r>
          </w:p>
        </w:tc>
        <w:tc>
          <w:tcPr>
            <w:tcW w:w="2267" w:type="dxa"/>
            <w:tcBorders>
              <w:top w:val="nil"/>
              <w:left w:val="nil"/>
              <w:bottom w:val="nil"/>
              <w:right w:val="nil"/>
            </w:tcBorders>
            <w:shd w:val="clear" w:color="auto" w:fill="auto"/>
            <w:noWrap/>
            <w:vAlign w:val="center"/>
            <w:hideMark/>
          </w:tcPr>
          <w:p w14:paraId="01D7F0FD"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42.7, 44.2</w:t>
            </w:r>
          </w:p>
        </w:tc>
      </w:tr>
      <w:tr w:rsidR="00F24F2B" w:rsidRPr="007E0071" w14:paraId="6C3988CE" w14:textId="77777777" w:rsidTr="00715BF3">
        <w:trPr>
          <w:trHeight w:val="312"/>
        </w:trPr>
        <w:tc>
          <w:tcPr>
            <w:tcW w:w="6439" w:type="dxa"/>
            <w:tcBorders>
              <w:top w:val="nil"/>
              <w:left w:val="nil"/>
              <w:bottom w:val="nil"/>
              <w:right w:val="nil"/>
            </w:tcBorders>
            <w:shd w:val="clear" w:color="auto" w:fill="auto"/>
            <w:noWrap/>
            <w:vAlign w:val="bottom"/>
            <w:hideMark/>
          </w:tcPr>
          <w:p w14:paraId="6D8E0BE3" w14:textId="77777777" w:rsidR="00F24F2B" w:rsidRPr="007E0071" w:rsidRDefault="00F24F2B" w:rsidP="00715BF3">
            <w:pPr>
              <w:spacing w:after="0" w:line="240" w:lineRule="auto"/>
              <w:rPr>
                <w:rFonts w:ascii="Times New Roman" w:eastAsia="Calibri" w:hAnsi="Times New Roman" w:cs="Times New Roman"/>
                <w:color w:val="000000"/>
                <w:kern w:val="0"/>
                <w14:ligatures w14:val="none"/>
              </w:rPr>
            </w:pPr>
            <w:r w:rsidRPr="007E0071">
              <w:rPr>
                <w:rFonts w:ascii="Times New Roman" w:eastAsia="Calibri" w:hAnsi="Times New Roman" w:cs="Times New Roman"/>
                <w:b/>
                <w:bCs/>
                <w:color w:val="000000"/>
                <w:kern w:val="0"/>
                <w14:ligatures w14:val="none"/>
              </w:rPr>
              <w:t>History of Asthma</w:t>
            </w:r>
          </w:p>
        </w:tc>
        <w:tc>
          <w:tcPr>
            <w:tcW w:w="2100" w:type="dxa"/>
            <w:tcBorders>
              <w:top w:val="nil"/>
              <w:left w:val="nil"/>
              <w:bottom w:val="nil"/>
              <w:right w:val="nil"/>
            </w:tcBorders>
            <w:shd w:val="clear" w:color="auto" w:fill="auto"/>
            <w:noWrap/>
            <w:vAlign w:val="center"/>
            <w:hideMark/>
          </w:tcPr>
          <w:p w14:paraId="7D6B011E"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b/>
                <w:bCs/>
                <w:color w:val="000000"/>
                <w:kern w:val="0"/>
                <w14:ligatures w14:val="none"/>
              </w:rPr>
              <w:t>n = 16,932</w:t>
            </w:r>
          </w:p>
        </w:tc>
        <w:tc>
          <w:tcPr>
            <w:tcW w:w="2037" w:type="dxa"/>
            <w:tcBorders>
              <w:top w:val="nil"/>
              <w:left w:val="nil"/>
              <w:bottom w:val="nil"/>
              <w:right w:val="nil"/>
            </w:tcBorders>
            <w:shd w:val="clear" w:color="auto" w:fill="auto"/>
            <w:noWrap/>
            <w:vAlign w:val="center"/>
            <w:hideMark/>
          </w:tcPr>
          <w:p w14:paraId="0D16CD45"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p>
        </w:tc>
        <w:tc>
          <w:tcPr>
            <w:tcW w:w="2267" w:type="dxa"/>
            <w:tcBorders>
              <w:top w:val="nil"/>
              <w:left w:val="nil"/>
              <w:bottom w:val="nil"/>
              <w:right w:val="nil"/>
            </w:tcBorders>
            <w:shd w:val="clear" w:color="auto" w:fill="auto"/>
            <w:noWrap/>
            <w:vAlign w:val="center"/>
            <w:hideMark/>
          </w:tcPr>
          <w:p w14:paraId="3ECD7CCD"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p>
        </w:tc>
      </w:tr>
      <w:tr w:rsidR="00F24F2B" w:rsidRPr="007E0071" w14:paraId="1043FD04" w14:textId="77777777" w:rsidTr="00715BF3">
        <w:trPr>
          <w:trHeight w:val="312"/>
        </w:trPr>
        <w:tc>
          <w:tcPr>
            <w:tcW w:w="6439" w:type="dxa"/>
            <w:tcBorders>
              <w:top w:val="nil"/>
              <w:left w:val="nil"/>
              <w:bottom w:val="nil"/>
              <w:right w:val="nil"/>
            </w:tcBorders>
            <w:shd w:val="clear" w:color="auto" w:fill="auto"/>
            <w:noWrap/>
            <w:vAlign w:val="bottom"/>
            <w:hideMark/>
          </w:tcPr>
          <w:p w14:paraId="764239D9" w14:textId="77777777" w:rsidR="00F24F2B" w:rsidRPr="007E0071" w:rsidRDefault="00F24F2B" w:rsidP="00715BF3">
            <w:pPr>
              <w:spacing w:after="0" w:line="240" w:lineRule="auto"/>
              <w:ind w:left="720"/>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No</w:t>
            </w:r>
          </w:p>
        </w:tc>
        <w:tc>
          <w:tcPr>
            <w:tcW w:w="2100" w:type="dxa"/>
            <w:tcBorders>
              <w:top w:val="nil"/>
              <w:left w:val="nil"/>
              <w:bottom w:val="nil"/>
              <w:right w:val="nil"/>
            </w:tcBorders>
            <w:shd w:val="clear" w:color="auto" w:fill="auto"/>
            <w:noWrap/>
            <w:vAlign w:val="center"/>
            <w:hideMark/>
          </w:tcPr>
          <w:p w14:paraId="65B23324"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14,697</w:t>
            </w:r>
          </w:p>
        </w:tc>
        <w:tc>
          <w:tcPr>
            <w:tcW w:w="2037" w:type="dxa"/>
            <w:tcBorders>
              <w:top w:val="nil"/>
              <w:left w:val="nil"/>
              <w:bottom w:val="nil"/>
              <w:right w:val="nil"/>
            </w:tcBorders>
            <w:shd w:val="clear" w:color="auto" w:fill="auto"/>
            <w:noWrap/>
            <w:vAlign w:val="center"/>
            <w:hideMark/>
          </w:tcPr>
          <w:p w14:paraId="0060C8EB"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86.8</w:t>
            </w:r>
          </w:p>
        </w:tc>
        <w:tc>
          <w:tcPr>
            <w:tcW w:w="2267" w:type="dxa"/>
            <w:tcBorders>
              <w:top w:val="nil"/>
              <w:left w:val="nil"/>
              <w:bottom w:val="nil"/>
              <w:right w:val="nil"/>
            </w:tcBorders>
            <w:shd w:val="clear" w:color="auto" w:fill="auto"/>
            <w:noWrap/>
            <w:vAlign w:val="center"/>
            <w:hideMark/>
          </w:tcPr>
          <w:p w14:paraId="1C0894DF"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r w:rsidRPr="007E0071">
              <w:rPr>
                <w:rFonts w:ascii="Times New Roman" w:eastAsia="Calibri" w:hAnsi="Times New Roman" w:cs="Times New Roman"/>
                <w:color w:val="000000"/>
                <w:kern w:val="0"/>
                <w14:ligatures w14:val="none"/>
              </w:rPr>
              <w:t>86.3, 87.3</w:t>
            </w:r>
          </w:p>
        </w:tc>
      </w:tr>
      <w:tr w:rsidR="00F24F2B" w:rsidRPr="007E0071" w14:paraId="0A887A88" w14:textId="77777777" w:rsidTr="00715BF3">
        <w:trPr>
          <w:trHeight w:val="312"/>
        </w:trPr>
        <w:tc>
          <w:tcPr>
            <w:tcW w:w="6439" w:type="dxa"/>
            <w:tcBorders>
              <w:top w:val="nil"/>
              <w:left w:val="nil"/>
              <w:bottom w:val="nil"/>
              <w:right w:val="nil"/>
            </w:tcBorders>
            <w:shd w:val="clear" w:color="auto" w:fill="auto"/>
            <w:noWrap/>
            <w:vAlign w:val="bottom"/>
            <w:hideMark/>
          </w:tcPr>
          <w:p w14:paraId="1B4E47B0" w14:textId="77777777" w:rsidR="00F24F2B" w:rsidRPr="007E0071" w:rsidRDefault="00F24F2B" w:rsidP="00715BF3">
            <w:pPr>
              <w:spacing w:after="0" w:line="240" w:lineRule="auto"/>
              <w:ind w:left="720"/>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Yes</w:t>
            </w:r>
          </w:p>
        </w:tc>
        <w:tc>
          <w:tcPr>
            <w:tcW w:w="2100" w:type="dxa"/>
            <w:tcBorders>
              <w:top w:val="nil"/>
              <w:left w:val="nil"/>
              <w:bottom w:val="nil"/>
              <w:right w:val="nil"/>
            </w:tcBorders>
            <w:shd w:val="clear" w:color="auto" w:fill="auto"/>
            <w:noWrap/>
            <w:vAlign w:val="center"/>
            <w:hideMark/>
          </w:tcPr>
          <w:p w14:paraId="2520FE7C"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2,235</w:t>
            </w:r>
          </w:p>
        </w:tc>
        <w:tc>
          <w:tcPr>
            <w:tcW w:w="2037" w:type="dxa"/>
            <w:tcBorders>
              <w:top w:val="nil"/>
              <w:left w:val="nil"/>
              <w:bottom w:val="nil"/>
              <w:right w:val="nil"/>
            </w:tcBorders>
            <w:shd w:val="clear" w:color="auto" w:fill="auto"/>
            <w:noWrap/>
            <w:vAlign w:val="center"/>
            <w:hideMark/>
          </w:tcPr>
          <w:p w14:paraId="7DCFA2D3"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13.2</w:t>
            </w:r>
          </w:p>
        </w:tc>
        <w:tc>
          <w:tcPr>
            <w:tcW w:w="2267" w:type="dxa"/>
            <w:tcBorders>
              <w:top w:val="nil"/>
              <w:left w:val="nil"/>
              <w:bottom w:val="nil"/>
              <w:right w:val="nil"/>
            </w:tcBorders>
            <w:shd w:val="clear" w:color="auto" w:fill="auto"/>
            <w:noWrap/>
            <w:vAlign w:val="center"/>
            <w:hideMark/>
          </w:tcPr>
          <w:p w14:paraId="21A6794E"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12.7, 13.71</w:t>
            </w:r>
          </w:p>
        </w:tc>
      </w:tr>
      <w:tr w:rsidR="00F24F2B" w:rsidRPr="007E0071" w14:paraId="2FF64935" w14:textId="77777777" w:rsidTr="00715BF3">
        <w:trPr>
          <w:trHeight w:val="312"/>
        </w:trPr>
        <w:tc>
          <w:tcPr>
            <w:tcW w:w="6439" w:type="dxa"/>
            <w:tcBorders>
              <w:top w:val="nil"/>
              <w:left w:val="nil"/>
              <w:bottom w:val="nil"/>
              <w:right w:val="nil"/>
            </w:tcBorders>
            <w:shd w:val="clear" w:color="auto" w:fill="auto"/>
            <w:noWrap/>
            <w:vAlign w:val="bottom"/>
            <w:hideMark/>
          </w:tcPr>
          <w:p w14:paraId="30D17B0A" w14:textId="77777777" w:rsidR="00F24F2B" w:rsidRPr="007E0071" w:rsidRDefault="00F24F2B" w:rsidP="00715BF3">
            <w:pPr>
              <w:spacing w:after="0" w:line="240" w:lineRule="auto"/>
              <w:rPr>
                <w:rFonts w:ascii="Times New Roman" w:eastAsia="Calibri" w:hAnsi="Times New Roman" w:cs="Times New Roman"/>
                <w:color w:val="000000"/>
                <w:kern w:val="0"/>
                <w14:ligatures w14:val="none"/>
              </w:rPr>
            </w:pPr>
            <w:r w:rsidRPr="007E0071">
              <w:rPr>
                <w:rFonts w:ascii="Times New Roman" w:eastAsia="Calibri" w:hAnsi="Times New Roman" w:cs="Times New Roman"/>
                <w:b/>
                <w:bCs/>
                <w:color w:val="000000"/>
                <w:kern w:val="0"/>
                <w14:ligatures w14:val="none"/>
              </w:rPr>
              <w:t>Air Quality Index (AQI) Category</w:t>
            </w:r>
          </w:p>
        </w:tc>
        <w:tc>
          <w:tcPr>
            <w:tcW w:w="2100" w:type="dxa"/>
            <w:tcBorders>
              <w:top w:val="nil"/>
              <w:left w:val="nil"/>
              <w:bottom w:val="nil"/>
              <w:right w:val="nil"/>
            </w:tcBorders>
            <w:shd w:val="clear" w:color="auto" w:fill="auto"/>
            <w:noWrap/>
            <w:vAlign w:val="center"/>
            <w:hideMark/>
          </w:tcPr>
          <w:p w14:paraId="6F69FAFB"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b/>
                <w:bCs/>
                <w:color w:val="000000"/>
                <w:kern w:val="0"/>
                <w14:ligatures w14:val="none"/>
              </w:rPr>
              <w:t>n = 17,338</w:t>
            </w:r>
          </w:p>
        </w:tc>
        <w:tc>
          <w:tcPr>
            <w:tcW w:w="2037" w:type="dxa"/>
            <w:tcBorders>
              <w:top w:val="nil"/>
              <w:left w:val="nil"/>
              <w:bottom w:val="nil"/>
              <w:right w:val="nil"/>
            </w:tcBorders>
            <w:shd w:val="clear" w:color="auto" w:fill="auto"/>
            <w:noWrap/>
            <w:vAlign w:val="bottom"/>
            <w:hideMark/>
          </w:tcPr>
          <w:p w14:paraId="4FCE72E8"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p>
        </w:tc>
        <w:tc>
          <w:tcPr>
            <w:tcW w:w="2267" w:type="dxa"/>
            <w:tcBorders>
              <w:top w:val="nil"/>
              <w:left w:val="nil"/>
              <w:bottom w:val="nil"/>
              <w:right w:val="nil"/>
            </w:tcBorders>
            <w:shd w:val="clear" w:color="auto" w:fill="auto"/>
            <w:noWrap/>
            <w:vAlign w:val="center"/>
            <w:hideMark/>
          </w:tcPr>
          <w:p w14:paraId="3E1B14B5"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p>
        </w:tc>
      </w:tr>
      <w:tr w:rsidR="00F24F2B" w:rsidRPr="007E0071" w14:paraId="64CBFD17" w14:textId="77777777" w:rsidTr="00715BF3">
        <w:trPr>
          <w:trHeight w:val="312"/>
        </w:trPr>
        <w:tc>
          <w:tcPr>
            <w:tcW w:w="6439" w:type="dxa"/>
            <w:tcBorders>
              <w:top w:val="nil"/>
              <w:left w:val="nil"/>
              <w:bottom w:val="nil"/>
              <w:right w:val="nil"/>
            </w:tcBorders>
            <w:shd w:val="clear" w:color="auto" w:fill="auto"/>
            <w:noWrap/>
            <w:vAlign w:val="bottom"/>
            <w:hideMark/>
          </w:tcPr>
          <w:p w14:paraId="16634DD9" w14:textId="77777777" w:rsidR="00F24F2B" w:rsidRPr="007E0071" w:rsidRDefault="00F24F2B" w:rsidP="00715BF3">
            <w:pPr>
              <w:spacing w:after="0" w:line="240" w:lineRule="auto"/>
              <w:ind w:left="720"/>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Good</w:t>
            </w:r>
          </w:p>
        </w:tc>
        <w:tc>
          <w:tcPr>
            <w:tcW w:w="2100" w:type="dxa"/>
            <w:tcBorders>
              <w:top w:val="nil"/>
              <w:left w:val="nil"/>
              <w:bottom w:val="nil"/>
              <w:right w:val="nil"/>
            </w:tcBorders>
            <w:shd w:val="clear" w:color="auto" w:fill="auto"/>
            <w:noWrap/>
            <w:vAlign w:val="center"/>
            <w:hideMark/>
          </w:tcPr>
          <w:p w14:paraId="7AAE3E44"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14,862</w:t>
            </w:r>
          </w:p>
        </w:tc>
        <w:tc>
          <w:tcPr>
            <w:tcW w:w="2037" w:type="dxa"/>
            <w:tcBorders>
              <w:top w:val="nil"/>
              <w:left w:val="nil"/>
              <w:bottom w:val="nil"/>
              <w:right w:val="nil"/>
            </w:tcBorders>
            <w:shd w:val="clear" w:color="auto" w:fill="auto"/>
            <w:noWrap/>
            <w:vAlign w:val="center"/>
            <w:hideMark/>
          </w:tcPr>
          <w:p w14:paraId="0997BF00"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85.7</w:t>
            </w:r>
          </w:p>
        </w:tc>
        <w:tc>
          <w:tcPr>
            <w:tcW w:w="2267" w:type="dxa"/>
            <w:tcBorders>
              <w:top w:val="nil"/>
              <w:left w:val="nil"/>
              <w:bottom w:val="nil"/>
              <w:right w:val="nil"/>
            </w:tcBorders>
            <w:shd w:val="clear" w:color="auto" w:fill="auto"/>
            <w:noWrap/>
            <w:vAlign w:val="center"/>
            <w:hideMark/>
          </w:tcPr>
          <w:p w14:paraId="1D872610"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r w:rsidRPr="007E0071">
              <w:rPr>
                <w:rFonts w:ascii="Times New Roman" w:eastAsia="Calibri" w:hAnsi="Times New Roman" w:cs="Times New Roman"/>
                <w:color w:val="000000"/>
                <w:kern w:val="0"/>
                <w14:ligatures w14:val="none"/>
              </w:rPr>
              <w:t>85.2, 86.2</w:t>
            </w:r>
          </w:p>
        </w:tc>
      </w:tr>
      <w:tr w:rsidR="00F24F2B" w:rsidRPr="007E0071" w14:paraId="383D4693" w14:textId="77777777" w:rsidTr="00715BF3">
        <w:trPr>
          <w:trHeight w:val="312"/>
        </w:trPr>
        <w:tc>
          <w:tcPr>
            <w:tcW w:w="6439" w:type="dxa"/>
            <w:tcBorders>
              <w:top w:val="nil"/>
              <w:left w:val="nil"/>
              <w:bottom w:val="nil"/>
              <w:right w:val="nil"/>
            </w:tcBorders>
            <w:shd w:val="clear" w:color="auto" w:fill="auto"/>
            <w:noWrap/>
            <w:vAlign w:val="bottom"/>
          </w:tcPr>
          <w:p w14:paraId="00B94DED" w14:textId="77777777" w:rsidR="00F24F2B" w:rsidRPr="007E0071" w:rsidRDefault="00F24F2B" w:rsidP="00715BF3">
            <w:pPr>
              <w:spacing w:after="0" w:line="240" w:lineRule="auto"/>
              <w:ind w:left="720"/>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Moderate or Unhealthy for Sensitive Groups</w:t>
            </w:r>
          </w:p>
        </w:tc>
        <w:tc>
          <w:tcPr>
            <w:tcW w:w="2100" w:type="dxa"/>
            <w:tcBorders>
              <w:top w:val="nil"/>
              <w:left w:val="nil"/>
              <w:bottom w:val="nil"/>
              <w:right w:val="nil"/>
            </w:tcBorders>
            <w:shd w:val="clear" w:color="auto" w:fill="auto"/>
            <w:noWrap/>
            <w:vAlign w:val="center"/>
          </w:tcPr>
          <w:p w14:paraId="5FEF2628"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2,476</w:t>
            </w:r>
          </w:p>
        </w:tc>
        <w:tc>
          <w:tcPr>
            <w:tcW w:w="2037" w:type="dxa"/>
            <w:tcBorders>
              <w:top w:val="nil"/>
              <w:left w:val="nil"/>
              <w:bottom w:val="nil"/>
              <w:right w:val="nil"/>
            </w:tcBorders>
            <w:shd w:val="clear" w:color="auto" w:fill="auto"/>
            <w:noWrap/>
            <w:vAlign w:val="center"/>
          </w:tcPr>
          <w:p w14:paraId="7497BB0C"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14.3</w:t>
            </w:r>
          </w:p>
        </w:tc>
        <w:tc>
          <w:tcPr>
            <w:tcW w:w="2267" w:type="dxa"/>
            <w:tcBorders>
              <w:top w:val="nil"/>
              <w:left w:val="nil"/>
              <w:bottom w:val="nil"/>
              <w:right w:val="nil"/>
            </w:tcBorders>
            <w:shd w:val="clear" w:color="auto" w:fill="auto"/>
            <w:noWrap/>
            <w:vAlign w:val="center"/>
          </w:tcPr>
          <w:p w14:paraId="7BEFC3F3"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r w:rsidRPr="007E0071">
              <w:rPr>
                <w:rFonts w:ascii="Times New Roman" w:eastAsia="Calibri" w:hAnsi="Times New Roman" w:cs="Times New Roman"/>
                <w:color w:val="000000"/>
                <w:kern w:val="0"/>
                <w14:ligatures w14:val="none"/>
              </w:rPr>
              <w:t>13.8, 14.8</w:t>
            </w:r>
          </w:p>
        </w:tc>
      </w:tr>
      <w:tr w:rsidR="00F24F2B" w:rsidRPr="007E0071" w14:paraId="688C84E1" w14:textId="77777777" w:rsidTr="00715BF3">
        <w:trPr>
          <w:trHeight w:val="312"/>
        </w:trPr>
        <w:tc>
          <w:tcPr>
            <w:tcW w:w="6439" w:type="dxa"/>
            <w:tcBorders>
              <w:top w:val="nil"/>
              <w:left w:val="nil"/>
              <w:bottom w:val="nil"/>
              <w:right w:val="nil"/>
            </w:tcBorders>
            <w:shd w:val="clear" w:color="auto" w:fill="auto"/>
            <w:noWrap/>
            <w:vAlign w:val="bottom"/>
          </w:tcPr>
          <w:p w14:paraId="21C954A3" w14:textId="77777777" w:rsidR="00F24F2B" w:rsidRPr="007E0071" w:rsidRDefault="00F24F2B" w:rsidP="00715BF3">
            <w:pPr>
              <w:spacing w:after="0" w:line="240" w:lineRule="auto"/>
              <w:rPr>
                <w:rFonts w:ascii="Times New Roman" w:eastAsia="Calibri" w:hAnsi="Times New Roman" w:cs="Times New Roman"/>
                <w:color w:val="000000"/>
                <w:kern w:val="0"/>
                <w14:ligatures w14:val="none"/>
              </w:rPr>
            </w:pPr>
            <w:r w:rsidRPr="007E0071">
              <w:rPr>
                <w:rFonts w:ascii="Times New Roman" w:eastAsia="Calibri" w:hAnsi="Times New Roman" w:cs="Times New Roman"/>
                <w:b/>
                <w:bCs/>
                <w:color w:val="000000"/>
                <w:kern w:val="0"/>
                <w14:ligatures w14:val="none"/>
              </w:rPr>
              <w:t>Department of Energy Site Category</w:t>
            </w:r>
          </w:p>
        </w:tc>
        <w:tc>
          <w:tcPr>
            <w:tcW w:w="2100" w:type="dxa"/>
            <w:tcBorders>
              <w:top w:val="nil"/>
              <w:left w:val="nil"/>
              <w:bottom w:val="nil"/>
              <w:right w:val="nil"/>
            </w:tcBorders>
            <w:shd w:val="clear" w:color="auto" w:fill="auto"/>
            <w:noWrap/>
            <w:vAlign w:val="center"/>
          </w:tcPr>
          <w:p w14:paraId="43C0C5E2"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b/>
                <w:bCs/>
                <w:color w:val="000000"/>
                <w:kern w:val="0"/>
                <w14:ligatures w14:val="none"/>
              </w:rPr>
              <w:t>n = 17,376</w:t>
            </w:r>
          </w:p>
        </w:tc>
        <w:tc>
          <w:tcPr>
            <w:tcW w:w="2037" w:type="dxa"/>
            <w:tcBorders>
              <w:top w:val="nil"/>
              <w:left w:val="nil"/>
              <w:bottom w:val="nil"/>
              <w:right w:val="nil"/>
            </w:tcBorders>
            <w:shd w:val="clear" w:color="auto" w:fill="auto"/>
            <w:noWrap/>
            <w:vAlign w:val="center"/>
          </w:tcPr>
          <w:p w14:paraId="557452AE"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p>
        </w:tc>
        <w:tc>
          <w:tcPr>
            <w:tcW w:w="2267" w:type="dxa"/>
            <w:tcBorders>
              <w:top w:val="nil"/>
              <w:left w:val="nil"/>
              <w:bottom w:val="nil"/>
              <w:right w:val="nil"/>
            </w:tcBorders>
            <w:shd w:val="clear" w:color="auto" w:fill="auto"/>
            <w:noWrap/>
            <w:vAlign w:val="center"/>
          </w:tcPr>
          <w:p w14:paraId="6A94C668"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p>
        </w:tc>
      </w:tr>
      <w:tr w:rsidR="00F24F2B" w:rsidRPr="007E0071" w14:paraId="5CB8C211" w14:textId="77777777" w:rsidTr="00715BF3">
        <w:trPr>
          <w:trHeight w:val="312"/>
        </w:trPr>
        <w:tc>
          <w:tcPr>
            <w:tcW w:w="6439" w:type="dxa"/>
            <w:tcBorders>
              <w:top w:val="nil"/>
              <w:left w:val="nil"/>
              <w:bottom w:val="nil"/>
              <w:right w:val="nil"/>
            </w:tcBorders>
            <w:shd w:val="clear" w:color="auto" w:fill="auto"/>
            <w:noWrap/>
            <w:vAlign w:val="bottom"/>
          </w:tcPr>
          <w:p w14:paraId="71D2AAAA" w14:textId="77777777" w:rsidR="00F24F2B" w:rsidRPr="007E0071" w:rsidRDefault="00F24F2B" w:rsidP="00715BF3">
            <w:pPr>
              <w:spacing w:after="0" w:line="240" w:lineRule="auto"/>
              <w:ind w:left="720"/>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Science and Laboratory Facilities</w:t>
            </w:r>
          </w:p>
        </w:tc>
        <w:tc>
          <w:tcPr>
            <w:tcW w:w="2100" w:type="dxa"/>
            <w:tcBorders>
              <w:top w:val="nil"/>
              <w:left w:val="nil"/>
              <w:bottom w:val="nil"/>
              <w:right w:val="nil"/>
            </w:tcBorders>
            <w:shd w:val="clear" w:color="auto" w:fill="auto"/>
            <w:noWrap/>
            <w:vAlign w:val="center"/>
          </w:tcPr>
          <w:p w14:paraId="39EA306C"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3,600</w:t>
            </w:r>
          </w:p>
        </w:tc>
        <w:tc>
          <w:tcPr>
            <w:tcW w:w="2037" w:type="dxa"/>
            <w:tcBorders>
              <w:top w:val="nil"/>
              <w:left w:val="nil"/>
              <w:bottom w:val="nil"/>
              <w:right w:val="nil"/>
            </w:tcBorders>
            <w:shd w:val="clear" w:color="auto" w:fill="auto"/>
            <w:noWrap/>
            <w:vAlign w:val="center"/>
          </w:tcPr>
          <w:p w14:paraId="68507207"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20.7</w:t>
            </w:r>
          </w:p>
        </w:tc>
        <w:tc>
          <w:tcPr>
            <w:tcW w:w="2267" w:type="dxa"/>
            <w:tcBorders>
              <w:top w:val="nil"/>
              <w:left w:val="nil"/>
              <w:bottom w:val="nil"/>
              <w:right w:val="nil"/>
            </w:tcBorders>
            <w:shd w:val="clear" w:color="auto" w:fill="auto"/>
            <w:noWrap/>
            <w:vAlign w:val="center"/>
          </w:tcPr>
          <w:p w14:paraId="71336BBA"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20.1, 21.3</w:t>
            </w:r>
          </w:p>
        </w:tc>
      </w:tr>
      <w:tr w:rsidR="00F24F2B" w:rsidRPr="007E0071" w14:paraId="49465190" w14:textId="77777777" w:rsidTr="00715BF3">
        <w:trPr>
          <w:trHeight w:val="312"/>
        </w:trPr>
        <w:tc>
          <w:tcPr>
            <w:tcW w:w="6439" w:type="dxa"/>
            <w:tcBorders>
              <w:top w:val="nil"/>
              <w:left w:val="nil"/>
              <w:bottom w:val="nil"/>
              <w:right w:val="nil"/>
            </w:tcBorders>
            <w:shd w:val="clear" w:color="auto" w:fill="auto"/>
            <w:noWrap/>
            <w:vAlign w:val="bottom"/>
          </w:tcPr>
          <w:p w14:paraId="36F9FDFD" w14:textId="77777777" w:rsidR="00F24F2B" w:rsidRPr="007E0071" w:rsidRDefault="00F24F2B" w:rsidP="00715BF3">
            <w:pPr>
              <w:spacing w:after="0" w:line="240" w:lineRule="auto"/>
              <w:ind w:left="720"/>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Uranium Processing Facilities</w:t>
            </w:r>
          </w:p>
        </w:tc>
        <w:tc>
          <w:tcPr>
            <w:tcW w:w="2100" w:type="dxa"/>
            <w:tcBorders>
              <w:top w:val="nil"/>
              <w:left w:val="nil"/>
              <w:bottom w:val="nil"/>
              <w:right w:val="nil"/>
            </w:tcBorders>
            <w:shd w:val="clear" w:color="auto" w:fill="auto"/>
            <w:noWrap/>
            <w:vAlign w:val="center"/>
          </w:tcPr>
          <w:p w14:paraId="2F919765"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1,125</w:t>
            </w:r>
          </w:p>
        </w:tc>
        <w:tc>
          <w:tcPr>
            <w:tcW w:w="2037" w:type="dxa"/>
            <w:tcBorders>
              <w:top w:val="nil"/>
              <w:left w:val="nil"/>
              <w:bottom w:val="nil"/>
              <w:right w:val="nil"/>
            </w:tcBorders>
            <w:shd w:val="clear" w:color="auto" w:fill="auto"/>
            <w:noWrap/>
            <w:vAlign w:val="center"/>
          </w:tcPr>
          <w:p w14:paraId="7F69D847"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6.5</w:t>
            </w:r>
          </w:p>
        </w:tc>
        <w:tc>
          <w:tcPr>
            <w:tcW w:w="2267" w:type="dxa"/>
            <w:tcBorders>
              <w:top w:val="nil"/>
              <w:left w:val="nil"/>
              <w:bottom w:val="nil"/>
              <w:right w:val="nil"/>
            </w:tcBorders>
            <w:shd w:val="clear" w:color="auto" w:fill="auto"/>
            <w:noWrap/>
            <w:vAlign w:val="center"/>
          </w:tcPr>
          <w:p w14:paraId="1A9B0CCA"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6.1, 6.8</w:t>
            </w:r>
          </w:p>
        </w:tc>
      </w:tr>
      <w:tr w:rsidR="00F24F2B" w:rsidRPr="007E0071" w14:paraId="71BE94CA" w14:textId="77777777" w:rsidTr="00715BF3">
        <w:trPr>
          <w:trHeight w:val="312"/>
        </w:trPr>
        <w:tc>
          <w:tcPr>
            <w:tcW w:w="6439" w:type="dxa"/>
            <w:tcBorders>
              <w:top w:val="nil"/>
              <w:left w:val="nil"/>
              <w:bottom w:val="nil"/>
              <w:right w:val="nil"/>
            </w:tcBorders>
            <w:shd w:val="clear" w:color="auto" w:fill="auto"/>
            <w:noWrap/>
            <w:vAlign w:val="bottom"/>
          </w:tcPr>
          <w:p w14:paraId="29B3D349" w14:textId="77777777" w:rsidR="00F24F2B" w:rsidRPr="007E0071" w:rsidRDefault="00F24F2B" w:rsidP="00715BF3">
            <w:pPr>
              <w:spacing w:after="0" w:line="240" w:lineRule="auto"/>
              <w:ind w:left="720"/>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Weapons Production Facilities</w:t>
            </w:r>
          </w:p>
        </w:tc>
        <w:tc>
          <w:tcPr>
            <w:tcW w:w="2100" w:type="dxa"/>
            <w:tcBorders>
              <w:top w:val="nil"/>
              <w:left w:val="nil"/>
              <w:bottom w:val="nil"/>
              <w:right w:val="nil"/>
            </w:tcBorders>
            <w:shd w:val="clear" w:color="auto" w:fill="auto"/>
            <w:noWrap/>
            <w:vAlign w:val="center"/>
          </w:tcPr>
          <w:p w14:paraId="72BD666B"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12,651</w:t>
            </w:r>
          </w:p>
        </w:tc>
        <w:tc>
          <w:tcPr>
            <w:tcW w:w="2037" w:type="dxa"/>
            <w:tcBorders>
              <w:top w:val="nil"/>
              <w:left w:val="nil"/>
              <w:bottom w:val="nil"/>
              <w:right w:val="nil"/>
            </w:tcBorders>
            <w:shd w:val="clear" w:color="auto" w:fill="auto"/>
            <w:noWrap/>
            <w:vAlign w:val="center"/>
          </w:tcPr>
          <w:p w14:paraId="670EFAF9"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72.8</w:t>
            </w:r>
          </w:p>
        </w:tc>
        <w:tc>
          <w:tcPr>
            <w:tcW w:w="2267" w:type="dxa"/>
            <w:tcBorders>
              <w:top w:val="nil"/>
              <w:left w:val="nil"/>
              <w:bottom w:val="nil"/>
              <w:right w:val="nil"/>
            </w:tcBorders>
            <w:shd w:val="clear" w:color="auto" w:fill="auto"/>
            <w:noWrap/>
            <w:vAlign w:val="center"/>
          </w:tcPr>
          <w:p w14:paraId="44BF1612"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72.2, 73.5</w:t>
            </w:r>
          </w:p>
        </w:tc>
      </w:tr>
      <w:tr w:rsidR="00F24F2B" w:rsidRPr="007E0071" w14:paraId="1A21F102" w14:textId="77777777" w:rsidTr="00715BF3">
        <w:trPr>
          <w:trHeight w:val="312"/>
        </w:trPr>
        <w:tc>
          <w:tcPr>
            <w:tcW w:w="6439" w:type="dxa"/>
            <w:tcBorders>
              <w:top w:val="nil"/>
              <w:left w:val="nil"/>
              <w:bottom w:val="nil"/>
              <w:right w:val="nil"/>
            </w:tcBorders>
            <w:shd w:val="clear" w:color="auto" w:fill="auto"/>
            <w:noWrap/>
            <w:vAlign w:val="bottom"/>
          </w:tcPr>
          <w:p w14:paraId="375F0AEF" w14:textId="77777777" w:rsidR="00F24F2B" w:rsidRPr="007E0071" w:rsidRDefault="00F24F2B" w:rsidP="00715BF3">
            <w:pPr>
              <w:spacing w:after="0" w:line="240" w:lineRule="auto"/>
              <w:rPr>
                <w:rFonts w:ascii="Times New Roman" w:eastAsia="Calibri" w:hAnsi="Times New Roman" w:cs="Times New Roman"/>
                <w:color w:val="000000"/>
                <w:kern w:val="0"/>
                <w14:ligatures w14:val="none"/>
              </w:rPr>
            </w:pPr>
            <w:r w:rsidRPr="007E0071">
              <w:rPr>
                <w:rFonts w:ascii="Times New Roman" w:eastAsia="Calibri" w:hAnsi="Times New Roman" w:cs="Times New Roman"/>
                <w:b/>
                <w:bCs/>
                <w:color w:val="000000"/>
                <w:kern w:val="0"/>
                <w14:ligatures w14:val="none"/>
              </w:rPr>
              <w:t>Working Duration</w:t>
            </w:r>
          </w:p>
        </w:tc>
        <w:tc>
          <w:tcPr>
            <w:tcW w:w="2100" w:type="dxa"/>
            <w:tcBorders>
              <w:top w:val="nil"/>
              <w:left w:val="nil"/>
              <w:bottom w:val="nil"/>
              <w:right w:val="nil"/>
            </w:tcBorders>
            <w:shd w:val="clear" w:color="auto" w:fill="auto"/>
            <w:noWrap/>
            <w:vAlign w:val="center"/>
          </w:tcPr>
          <w:p w14:paraId="54334EE9"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b/>
                <w:bCs/>
                <w:color w:val="000000"/>
                <w:kern w:val="0"/>
                <w14:ligatures w14:val="none"/>
              </w:rPr>
              <w:t>n = 17,376</w:t>
            </w:r>
          </w:p>
        </w:tc>
        <w:tc>
          <w:tcPr>
            <w:tcW w:w="2037" w:type="dxa"/>
            <w:tcBorders>
              <w:top w:val="nil"/>
              <w:left w:val="nil"/>
              <w:bottom w:val="nil"/>
              <w:right w:val="nil"/>
            </w:tcBorders>
            <w:shd w:val="clear" w:color="auto" w:fill="auto"/>
            <w:noWrap/>
            <w:vAlign w:val="bottom"/>
          </w:tcPr>
          <w:p w14:paraId="4F67238D"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p>
        </w:tc>
        <w:tc>
          <w:tcPr>
            <w:tcW w:w="2267" w:type="dxa"/>
            <w:tcBorders>
              <w:top w:val="nil"/>
              <w:left w:val="nil"/>
              <w:bottom w:val="nil"/>
              <w:right w:val="nil"/>
            </w:tcBorders>
            <w:shd w:val="clear" w:color="auto" w:fill="auto"/>
            <w:noWrap/>
            <w:vAlign w:val="bottom"/>
          </w:tcPr>
          <w:p w14:paraId="42CBA912"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p>
        </w:tc>
      </w:tr>
      <w:tr w:rsidR="00F24F2B" w:rsidRPr="007E0071" w14:paraId="42FA5946" w14:textId="77777777" w:rsidTr="00715BF3">
        <w:trPr>
          <w:trHeight w:val="312"/>
        </w:trPr>
        <w:tc>
          <w:tcPr>
            <w:tcW w:w="6439" w:type="dxa"/>
            <w:tcBorders>
              <w:top w:val="nil"/>
              <w:left w:val="nil"/>
              <w:bottom w:val="nil"/>
              <w:right w:val="nil"/>
            </w:tcBorders>
            <w:shd w:val="clear" w:color="auto" w:fill="auto"/>
            <w:noWrap/>
            <w:vAlign w:val="bottom"/>
          </w:tcPr>
          <w:p w14:paraId="2327888F" w14:textId="77777777" w:rsidR="00F24F2B" w:rsidRPr="007E0071" w:rsidRDefault="00F24F2B" w:rsidP="00715BF3">
            <w:pPr>
              <w:spacing w:after="0" w:line="240" w:lineRule="auto"/>
              <w:ind w:left="720"/>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&lt; 5 years</w:t>
            </w:r>
          </w:p>
        </w:tc>
        <w:tc>
          <w:tcPr>
            <w:tcW w:w="2100" w:type="dxa"/>
            <w:tcBorders>
              <w:top w:val="nil"/>
              <w:left w:val="nil"/>
              <w:bottom w:val="nil"/>
              <w:right w:val="nil"/>
            </w:tcBorders>
            <w:shd w:val="clear" w:color="auto" w:fill="auto"/>
            <w:noWrap/>
            <w:vAlign w:val="center"/>
          </w:tcPr>
          <w:p w14:paraId="3EAE9D95"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5,594</w:t>
            </w:r>
          </w:p>
        </w:tc>
        <w:tc>
          <w:tcPr>
            <w:tcW w:w="2037" w:type="dxa"/>
            <w:tcBorders>
              <w:top w:val="nil"/>
              <w:left w:val="nil"/>
              <w:bottom w:val="nil"/>
              <w:right w:val="nil"/>
            </w:tcBorders>
            <w:shd w:val="clear" w:color="auto" w:fill="auto"/>
            <w:noWrap/>
            <w:vAlign w:val="center"/>
          </w:tcPr>
          <w:p w14:paraId="4BE0297B"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32.2</w:t>
            </w:r>
          </w:p>
        </w:tc>
        <w:tc>
          <w:tcPr>
            <w:tcW w:w="2267" w:type="dxa"/>
            <w:tcBorders>
              <w:top w:val="nil"/>
              <w:left w:val="nil"/>
              <w:bottom w:val="nil"/>
              <w:right w:val="nil"/>
            </w:tcBorders>
            <w:shd w:val="clear" w:color="auto" w:fill="auto"/>
            <w:noWrap/>
            <w:vAlign w:val="center"/>
          </w:tcPr>
          <w:p w14:paraId="71A4310B"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31.5, 32.9</w:t>
            </w:r>
          </w:p>
        </w:tc>
      </w:tr>
      <w:tr w:rsidR="00F24F2B" w:rsidRPr="007E0071" w14:paraId="37E678F6" w14:textId="77777777" w:rsidTr="00715BF3">
        <w:trPr>
          <w:trHeight w:val="312"/>
        </w:trPr>
        <w:tc>
          <w:tcPr>
            <w:tcW w:w="6439" w:type="dxa"/>
            <w:tcBorders>
              <w:top w:val="nil"/>
              <w:left w:val="nil"/>
              <w:bottom w:val="nil"/>
              <w:right w:val="nil"/>
            </w:tcBorders>
            <w:shd w:val="clear" w:color="auto" w:fill="auto"/>
            <w:noWrap/>
            <w:vAlign w:val="bottom"/>
          </w:tcPr>
          <w:p w14:paraId="193FAA06" w14:textId="77777777" w:rsidR="00F24F2B" w:rsidRPr="007E0071" w:rsidRDefault="00F24F2B" w:rsidP="00715BF3">
            <w:pPr>
              <w:spacing w:after="0" w:line="240" w:lineRule="auto"/>
              <w:ind w:left="720"/>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5-9 years</w:t>
            </w:r>
          </w:p>
        </w:tc>
        <w:tc>
          <w:tcPr>
            <w:tcW w:w="2100" w:type="dxa"/>
            <w:tcBorders>
              <w:top w:val="nil"/>
              <w:left w:val="nil"/>
              <w:bottom w:val="nil"/>
              <w:right w:val="nil"/>
            </w:tcBorders>
            <w:shd w:val="clear" w:color="auto" w:fill="auto"/>
            <w:noWrap/>
            <w:vAlign w:val="center"/>
          </w:tcPr>
          <w:p w14:paraId="3A6A689E"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2,879</w:t>
            </w:r>
          </w:p>
        </w:tc>
        <w:tc>
          <w:tcPr>
            <w:tcW w:w="2037" w:type="dxa"/>
            <w:tcBorders>
              <w:top w:val="nil"/>
              <w:left w:val="nil"/>
              <w:bottom w:val="nil"/>
              <w:right w:val="nil"/>
            </w:tcBorders>
            <w:shd w:val="clear" w:color="auto" w:fill="auto"/>
            <w:noWrap/>
            <w:vAlign w:val="center"/>
          </w:tcPr>
          <w:p w14:paraId="1F3C5755"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16.6</w:t>
            </w:r>
          </w:p>
        </w:tc>
        <w:tc>
          <w:tcPr>
            <w:tcW w:w="2267" w:type="dxa"/>
            <w:tcBorders>
              <w:top w:val="nil"/>
              <w:left w:val="nil"/>
              <w:bottom w:val="nil"/>
              <w:right w:val="nil"/>
            </w:tcBorders>
            <w:shd w:val="clear" w:color="auto" w:fill="auto"/>
            <w:noWrap/>
            <w:vAlign w:val="center"/>
          </w:tcPr>
          <w:p w14:paraId="68EF1ADD"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16.0, 17.1</w:t>
            </w:r>
          </w:p>
        </w:tc>
      </w:tr>
      <w:tr w:rsidR="00F24F2B" w:rsidRPr="007E0071" w14:paraId="147933ED" w14:textId="77777777" w:rsidTr="00715BF3">
        <w:trPr>
          <w:trHeight w:val="312"/>
        </w:trPr>
        <w:tc>
          <w:tcPr>
            <w:tcW w:w="6439" w:type="dxa"/>
            <w:tcBorders>
              <w:top w:val="nil"/>
              <w:left w:val="nil"/>
              <w:bottom w:val="nil"/>
              <w:right w:val="nil"/>
            </w:tcBorders>
            <w:shd w:val="clear" w:color="auto" w:fill="auto"/>
            <w:noWrap/>
            <w:vAlign w:val="bottom"/>
          </w:tcPr>
          <w:p w14:paraId="1FBB45B1" w14:textId="77777777" w:rsidR="00F24F2B" w:rsidRPr="007E0071" w:rsidRDefault="00F24F2B" w:rsidP="00715BF3">
            <w:pPr>
              <w:spacing w:after="0" w:line="240" w:lineRule="auto"/>
              <w:ind w:left="720"/>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10-14 years</w:t>
            </w:r>
          </w:p>
        </w:tc>
        <w:tc>
          <w:tcPr>
            <w:tcW w:w="2100" w:type="dxa"/>
            <w:tcBorders>
              <w:top w:val="nil"/>
              <w:left w:val="nil"/>
              <w:bottom w:val="nil"/>
              <w:right w:val="nil"/>
            </w:tcBorders>
            <w:shd w:val="clear" w:color="auto" w:fill="auto"/>
            <w:noWrap/>
            <w:vAlign w:val="center"/>
          </w:tcPr>
          <w:p w14:paraId="6E6D6659"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1,998</w:t>
            </w:r>
          </w:p>
        </w:tc>
        <w:tc>
          <w:tcPr>
            <w:tcW w:w="2037" w:type="dxa"/>
            <w:tcBorders>
              <w:top w:val="nil"/>
              <w:left w:val="nil"/>
              <w:bottom w:val="nil"/>
              <w:right w:val="nil"/>
            </w:tcBorders>
            <w:shd w:val="clear" w:color="auto" w:fill="auto"/>
            <w:noWrap/>
            <w:vAlign w:val="center"/>
          </w:tcPr>
          <w:p w14:paraId="75FC565F"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11.5</w:t>
            </w:r>
          </w:p>
        </w:tc>
        <w:tc>
          <w:tcPr>
            <w:tcW w:w="2267" w:type="dxa"/>
            <w:tcBorders>
              <w:top w:val="nil"/>
              <w:left w:val="nil"/>
              <w:bottom w:val="nil"/>
              <w:right w:val="nil"/>
            </w:tcBorders>
            <w:shd w:val="clear" w:color="auto" w:fill="auto"/>
            <w:noWrap/>
            <w:vAlign w:val="center"/>
          </w:tcPr>
          <w:p w14:paraId="6C8A6608"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11.0, 12.0</w:t>
            </w:r>
          </w:p>
        </w:tc>
      </w:tr>
      <w:tr w:rsidR="00F24F2B" w:rsidRPr="007E0071" w14:paraId="7AC8A3C2" w14:textId="77777777" w:rsidTr="00715BF3">
        <w:trPr>
          <w:trHeight w:val="312"/>
        </w:trPr>
        <w:tc>
          <w:tcPr>
            <w:tcW w:w="6439" w:type="dxa"/>
            <w:tcBorders>
              <w:top w:val="nil"/>
              <w:left w:val="nil"/>
              <w:bottom w:val="nil"/>
              <w:right w:val="nil"/>
            </w:tcBorders>
            <w:shd w:val="clear" w:color="auto" w:fill="auto"/>
            <w:noWrap/>
            <w:vAlign w:val="bottom"/>
          </w:tcPr>
          <w:p w14:paraId="08C9B7AF" w14:textId="77777777" w:rsidR="00F24F2B" w:rsidRPr="007E0071" w:rsidRDefault="00F24F2B" w:rsidP="00715BF3">
            <w:pPr>
              <w:spacing w:after="0" w:line="240" w:lineRule="auto"/>
              <w:ind w:left="720"/>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15-19 years</w:t>
            </w:r>
          </w:p>
        </w:tc>
        <w:tc>
          <w:tcPr>
            <w:tcW w:w="2100" w:type="dxa"/>
            <w:tcBorders>
              <w:top w:val="nil"/>
              <w:left w:val="nil"/>
              <w:bottom w:val="nil"/>
              <w:right w:val="nil"/>
            </w:tcBorders>
            <w:shd w:val="clear" w:color="auto" w:fill="auto"/>
            <w:noWrap/>
            <w:vAlign w:val="center"/>
          </w:tcPr>
          <w:p w14:paraId="3D986AF9"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1,547</w:t>
            </w:r>
          </w:p>
        </w:tc>
        <w:tc>
          <w:tcPr>
            <w:tcW w:w="2037" w:type="dxa"/>
            <w:tcBorders>
              <w:top w:val="nil"/>
              <w:left w:val="nil"/>
              <w:bottom w:val="nil"/>
              <w:right w:val="nil"/>
            </w:tcBorders>
            <w:shd w:val="clear" w:color="auto" w:fill="auto"/>
            <w:noWrap/>
            <w:vAlign w:val="center"/>
          </w:tcPr>
          <w:p w14:paraId="1B4CA75A"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8.9</w:t>
            </w:r>
          </w:p>
        </w:tc>
        <w:tc>
          <w:tcPr>
            <w:tcW w:w="2267" w:type="dxa"/>
            <w:tcBorders>
              <w:top w:val="nil"/>
              <w:left w:val="nil"/>
              <w:bottom w:val="nil"/>
              <w:right w:val="nil"/>
            </w:tcBorders>
            <w:shd w:val="clear" w:color="auto" w:fill="auto"/>
            <w:noWrap/>
            <w:vAlign w:val="center"/>
          </w:tcPr>
          <w:p w14:paraId="66BCF9D1"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8.5, 9.3</w:t>
            </w:r>
          </w:p>
        </w:tc>
      </w:tr>
      <w:tr w:rsidR="00F24F2B" w:rsidRPr="007E0071" w14:paraId="2D3A3903" w14:textId="77777777" w:rsidTr="00715BF3">
        <w:trPr>
          <w:trHeight w:val="312"/>
        </w:trPr>
        <w:tc>
          <w:tcPr>
            <w:tcW w:w="6439" w:type="dxa"/>
            <w:tcBorders>
              <w:top w:val="nil"/>
              <w:left w:val="nil"/>
              <w:bottom w:val="nil"/>
              <w:right w:val="nil"/>
            </w:tcBorders>
            <w:shd w:val="clear" w:color="auto" w:fill="auto"/>
            <w:noWrap/>
            <w:vAlign w:val="bottom"/>
          </w:tcPr>
          <w:p w14:paraId="7E3F4BB3" w14:textId="77777777" w:rsidR="00F24F2B" w:rsidRPr="007E0071" w:rsidRDefault="00F24F2B" w:rsidP="00715BF3">
            <w:pPr>
              <w:spacing w:after="0" w:line="240" w:lineRule="auto"/>
              <w:ind w:left="720"/>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20-24 years</w:t>
            </w:r>
          </w:p>
        </w:tc>
        <w:tc>
          <w:tcPr>
            <w:tcW w:w="2100" w:type="dxa"/>
            <w:tcBorders>
              <w:top w:val="nil"/>
              <w:left w:val="nil"/>
              <w:bottom w:val="nil"/>
              <w:right w:val="nil"/>
            </w:tcBorders>
            <w:shd w:val="clear" w:color="auto" w:fill="auto"/>
            <w:noWrap/>
            <w:vAlign w:val="center"/>
          </w:tcPr>
          <w:p w14:paraId="5D48068A"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1,368</w:t>
            </w:r>
          </w:p>
        </w:tc>
        <w:tc>
          <w:tcPr>
            <w:tcW w:w="2037" w:type="dxa"/>
            <w:tcBorders>
              <w:top w:val="nil"/>
              <w:left w:val="nil"/>
              <w:bottom w:val="nil"/>
              <w:right w:val="nil"/>
            </w:tcBorders>
            <w:shd w:val="clear" w:color="auto" w:fill="auto"/>
            <w:noWrap/>
            <w:vAlign w:val="center"/>
          </w:tcPr>
          <w:p w14:paraId="2F2FC75B"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7.9</w:t>
            </w:r>
          </w:p>
        </w:tc>
        <w:tc>
          <w:tcPr>
            <w:tcW w:w="2267" w:type="dxa"/>
            <w:tcBorders>
              <w:top w:val="nil"/>
              <w:left w:val="nil"/>
              <w:bottom w:val="nil"/>
              <w:right w:val="nil"/>
            </w:tcBorders>
            <w:shd w:val="clear" w:color="auto" w:fill="auto"/>
            <w:noWrap/>
            <w:vAlign w:val="center"/>
          </w:tcPr>
          <w:p w14:paraId="56FFC520"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7.5, 8.3</w:t>
            </w:r>
          </w:p>
        </w:tc>
      </w:tr>
      <w:tr w:rsidR="00F24F2B" w:rsidRPr="007E0071" w14:paraId="55BC67BB" w14:textId="77777777" w:rsidTr="00DD1F85">
        <w:trPr>
          <w:trHeight w:val="312"/>
        </w:trPr>
        <w:tc>
          <w:tcPr>
            <w:tcW w:w="6439" w:type="dxa"/>
            <w:tcBorders>
              <w:top w:val="nil"/>
              <w:left w:val="nil"/>
              <w:right w:val="nil"/>
            </w:tcBorders>
            <w:shd w:val="clear" w:color="auto" w:fill="auto"/>
            <w:noWrap/>
            <w:vAlign w:val="bottom"/>
          </w:tcPr>
          <w:p w14:paraId="2DAA0082" w14:textId="77777777" w:rsidR="00F24F2B" w:rsidRPr="007E0071" w:rsidRDefault="00F24F2B" w:rsidP="00715BF3">
            <w:pPr>
              <w:spacing w:after="0" w:line="240" w:lineRule="auto"/>
              <w:ind w:left="720"/>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25-29 years</w:t>
            </w:r>
          </w:p>
        </w:tc>
        <w:tc>
          <w:tcPr>
            <w:tcW w:w="2100" w:type="dxa"/>
            <w:tcBorders>
              <w:top w:val="nil"/>
              <w:left w:val="nil"/>
              <w:right w:val="nil"/>
            </w:tcBorders>
            <w:shd w:val="clear" w:color="auto" w:fill="auto"/>
            <w:noWrap/>
            <w:vAlign w:val="center"/>
          </w:tcPr>
          <w:p w14:paraId="6DE23B96"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1,212</w:t>
            </w:r>
          </w:p>
        </w:tc>
        <w:tc>
          <w:tcPr>
            <w:tcW w:w="2037" w:type="dxa"/>
            <w:tcBorders>
              <w:top w:val="nil"/>
              <w:left w:val="nil"/>
              <w:right w:val="nil"/>
            </w:tcBorders>
            <w:shd w:val="clear" w:color="auto" w:fill="auto"/>
            <w:noWrap/>
            <w:vAlign w:val="center"/>
          </w:tcPr>
          <w:p w14:paraId="1B14EAD2"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7.0</w:t>
            </w:r>
          </w:p>
        </w:tc>
        <w:tc>
          <w:tcPr>
            <w:tcW w:w="2267" w:type="dxa"/>
            <w:tcBorders>
              <w:top w:val="nil"/>
              <w:left w:val="nil"/>
              <w:right w:val="nil"/>
            </w:tcBorders>
            <w:shd w:val="clear" w:color="auto" w:fill="auto"/>
            <w:noWrap/>
            <w:vAlign w:val="center"/>
          </w:tcPr>
          <w:p w14:paraId="0C81418D"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6.6, 7.4</w:t>
            </w:r>
          </w:p>
        </w:tc>
      </w:tr>
      <w:tr w:rsidR="00F24F2B" w:rsidRPr="007E0071" w14:paraId="3DD9E92A" w14:textId="77777777" w:rsidTr="00DD1F85">
        <w:trPr>
          <w:trHeight w:val="312"/>
        </w:trPr>
        <w:tc>
          <w:tcPr>
            <w:tcW w:w="6439" w:type="dxa"/>
            <w:tcBorders>
              <w:top w:val="nil"/>
              <w:left w:val="nil"/>
              <w:right w:val="nil"/>
            </w:tcBorders>
            <w:shd w:val="clear" w:color="auto" w:fill="auto"/>
            <w:noWrap/>
            <w:vAlign w:val="bottom"/>
          </w:tcPr>
          <w:p w14:paraId="37E462E6" w14:textId="77777777" w:rsidR="00F24F2B" w:rsidRPr="007E0071" w:rsidRDefault="00F24F2B" w:rsidP="00715BF3">
            <w:pPr>
              <w:spacing w:after="0" w:line="240" w:lineRule="auto"/>
              <w:ind w:left="720"/>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 30 years</w:t>
            </w:r>
          </w:p>
        </w:tc>
        <w:tc>
          <w:tcPr>
            <w:tcW w:w="2100" w:type="dxa"/>
            <w:tcBorders>
              <w:top w:val="nil"/>
              <w:left w:val="nil"/>
              <w:right w:val="nil"/>
            </w:tcBorders>
            <w:shd w:val="clear" w:color="auto" w:fill="auto"/>
            <w:noWrap/>
            <w:vAlign w:val="center"/>
          </w:tcPr>
          <w:p w14:paraId="4FB2F5F5"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2,778</w:t>
            </w:r>
          </w:p>
        </w:tc>
        <w:tc>
          <w:tcPr>
            <w:tcW w:w="2037" w:type="dxa"/>
            <w:tcBorders>
              <w:top w:val="nil"/>
              <w:left w:val="nil"/>
              <w:right w:val="nil"/>
            </w:tcBorders>
            <w:shd w:val="clear" w:color="auto" w:fill="auto"/>
            <w:noWrap/>
            <w:vAlign w:val="center"/>
          </w:tcPr>
          <w:p w14:paraId="1F92A121"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16.0</w:t>
            </w:r>
          </w:p>
        </w:tc>
        <w:tc>
          <w:tcPr>
            <w:tcW w:w="2267" w:type="dxa"/>
            <w:tcBorders>
              <w:top w:val="nil"/>
              <w:left w:val="nil"/>
              <w:right w:val="nil"/>
            </w:tcBorders>
            <w:shd w:val="clear" w:color="auto" w:fill="auto"/>
            <w:noWrap/>
            <w:vAlign w:val="center"/>
          </w:tcPr>
          <w:p w14:paraId="573C42C2"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15.4, 16.5</w:t>
            </w:r>
          </w:p>
        </w:tc>
      </w:tr>
      <w:tr w:rsidR="00F24F2B" w:rsidRPr="007E0071" w14:paraId="6EBC0253" w14:textId="77777777" w:rsidTr="00DD1F85">
        <w:trPr>
          <w:trHeight w:val="312"/>
        </w:trPr>
        <w:tc>
          <w:tcPr>
            <w:tcW w:w="6439" w:type="dxa"/>
            <w:tcBorders>
              <w:left w:val="nil"/>
              <w:bottom w:val="nil"/>
              <w:right w:val="nil"/>
            </w:tcBorders>
            <w:shd w:val="clear" w:color="auto" w:fill="auto"/>
            <w:noWrap/>
            <w:vAlign w:val="bottom"/>
          </w:tcPr>
          <w:p w14:paraId="6BD2BE2E" w14:textId="77777777" w:rsidR="00F24F2B" w:rsidRPr="007E0071" w:rsidRDefault="00F24F2B" w:rsidP="00715BF3">
            <w:pPr>
              <w:spacing w:after="0" w:line="240" w:lineRule="auto"/>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Exposure Potential</w:t>
            </w:r>
          </w:p>
        </w:tc>
        <w:tc>
          <w:tcPr>
            <w:tcW w:w="2100" w:type="dxa"/>
            <w:tcBorders>
              <w:left w:val="nil"/>
              <w:bottom w:val="nil"/>
              <w:right w:val="nil"/>
            </w:tcBorders>
            <w:shd w:val="clear" w:color="auto" w:fill="auto"/>
            <w:noWrap/>
            <w:vAlign w:val="center"/>
          </w:tcPr>
          <w:p w14:paraId="0ED6E752"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n = 17,140</w:t>
            </w:r>
          </w:p>
        </w:tc>
        <w:tc>
          <w:tcPr>
            <w:tcW w:w="2037" w:type="dxa"/>
            <w:tcBorders>
              <w:left w:val="nil"/>
              <w:bottom w:val="nil"/>
              <w:right w:val="nil"/>
            </w:tcBorders>
            <w:shd w:val="clear" w:color="auto" w:fill="auto"/>
            <w:noWrap/>
            <w:vAlign w:val="center"/>
          </w:tcPr>
          <w:p w14:paraId="6574EAF6"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p>
        </w:tc>
        <w:tc>
          <w:tcPr>
            <w:tcW w:w="2267" w:type="dxa"/>
            <w:tcBorders>
              <w:left w:val="nil"/>
              <w:bottom w:val="nil"/>
              <w:right w:val="nil"/>
            </w:tcBorders>
            <w:shd w:val="clear" w:color="auto" w:fill="auto"/>
            <w:noWrap/>
            <w:vAlign w:val="center"/>
          </w:tcPr>
          <w:p w14:paraId="5166C5B8"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p>
        </w:tc>
      </w:tr>
      <w:tr w:rsidR="00F24F2B" w:rsidRPr="007E0071" w14:paraId="546E4808" w14:textId="77777777" w:rsidTr="00715BF3">
        <w:trPr>
          <w:trHeight w:val="312"/>
        </w:trPr>
        <w:tc>
          <w:tcPr>
            <w:tcW w:w="6439" w:type="dxa"/>
            <w:tcBorders>
              <w:top w:val="nil"/>
              <w:left w:val="nil"/>
              <w:bottom w:val="nil"/>
              <w:right w:val="nil"/>
            </w:tcBorders>
            <w:shd w:val="clear" w:color="auto" w:fill="auto"/>
            <w:noWrap/>
            <w:vAlign w:val="bottom"/>
          </w:tcPr>
          <w:p w14:paraId="3DB22C3A" w14:textId="77777777" w:rsidR="00F24F2B" w:rsidRPr="007E0071" w:rsidRDefault="00F24F2B" w:rsidP="00715BF3">
            <w:pPr>
              <w:spacing w:after="0" w:line="240" w:lineRule="auto"/>
              <w:ind w:left="720"/>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Low</w:t>
            </w:r>
          </w:p>
        </w:tc>
        <w:tc>
          <w:tcPr>
            <w:tcW w:w="2100" w:type="dxa"/>
            <w:tcBorders>
              <w:top w:val="nil"/>
              <w:left w:val="nil"/>
              <w:bottom w:val="nil"/>
              <w:right w:val="nil"/>
            </w:tcBorders>
            <w:shd w:val="clear" w:color="auto" w:fill="auto"/>
            <w:noWrap/>
            <w:vAlign w:val="center"/>
          </w:tcPr>
          <w:p w14:paraId="7757937F"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4,568</w:t>
            </w:r>
          </w:p>
        </w:tc>
        <w:tc>
          <w:tcPr>
            <w:tcW w:w="2037" w:type="dxa"/>
            <w:tcBorders>
              <w:top w:val="nil"/>
              <w:left w:val="nil"/>
              <w:bottom w:val="nil"/>
              <w:right w:val="nil"/>
            </w:tcBorders>
            <w:shd w:val="clear" w:color="auto" w:fill="auto"/>
            <w:noWrap/>
            <w:vAlign w:val="center"/>
          </w:tcPr>
          <w:p w14:paraId="75C25496"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26.7</w:t>
            </w:r>
          </w:p>
        </w:tc>
        <w:tc>
          <w:tcPr>
            <w:tcW w:w="2267" w:type="dxa"/>
            <w:tcBorders>
              <w:top w:val="nil"/>
              <w:left w:val="nil"/>
              <w:bottom w:val="nil"/>
              <w:right w:val="nil"/>
            </w:tcBorders>
            <w:shd w:val="clear" w:color="auto" w:fill="auto"/>
            <w:noWrap/>
            <w:vAlign w:val="center"/>
          </w:tcPr>
          <w:p w14:paraId="3B33FC99"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r w:rsidRPr="007E0071">
              <w:rPr>
                <w:rFonts w:ascii="Times New Roman" w:eastAsia="Calibri" w:hAnsi="Times New Roman" w:cs="Times New Roman"/>
                <w:color w:val="000000"/>
                <w:kern w:val="0"/>
                <w14:ligatures w14:val="none"/>
              </w:rPr>
              <w:t>26.0, 27.3</w:t>
            </w:r>
          </w:p>
        </w:tc>
      </w:tr>
      <w:tr w:rsidR="00F24F2B" w:rsidRPr="007E0071" w14:paraId="2F72C636" w14:textId="77777777" w:rsidTr="00DD1F85">
        <w:trPr>
          <w:trHeight w:val="312"/>
        </w:trPr>
        <w:tc>
          <w:tcPr>
            <w:tcW w:w="6439" w:type="dxa"/>
            <w:tcBorders>
              <w:top w:val="nil"/>
              <w:left w:val="nil"/>
              <w:right w:val="nil"/>
            </w:tcBorders>
            <w:shd w:val="clear" w:color="auto" w:fill="auto"/>
            <w:noWrap/>
            <w:vAlign w:val="bottom"/>
          </w:tcPr>
          <w:p w14:paraId="25CE3B91" w14:textId="77777777" w:rsidR="00F24F2B" w:rsidRPr="007E0071" w:rsidRDefault="00F24F2B" w:rsidP="00715BF3">
            <w:pPr>
              <w:spacing w:after="0" w:line="240" w:lineRule="auto"/>
              <w:ind w:left="720"/>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Medium</w:t>
            </w:r>
          </w:p>
        </w:tc>
        <w:tc>
          <w:tcPr>
            <w:tcW w:w="2100" w:type="dxa"/>
            <w:tcBorders>
              <w:top w:val="nil"/>
              <w:left w:val="nil"/>
              <w:right w:val="nil"/>
            </w:tcBorders>
            <w:shd w:val="clear" w:color="auto" w:fill="auto"/>
            <w:noWrap/>
            <w:vAlign w:val="center"/>
          </w:tcPr>
          <w:p w14:paraId="73CFE949"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4,946</w:t>
            </w:r>
          </w:p>
        </w:tc>
        <w:tc>
          <w:tcPr>
            <w:tcW w:w="2037" w:type="dxa"/>
            <w:tcBorders>
              <w:top w:val="nil"/>
              <w:left w:val="nil"/>
              <w:right w:val="nil"/>
            </w:tcBorders>
            <w:shd w:val="clear" w:color="auto" w:fill="auto"/>
            <w:noWrap/>
            <w:vAlign w:val="center"/>
          </w:tcPr>
          <w:p w14:paraId="0A359DE5"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28.9</w:t>
            </w:r>
          </w:p>
        </w:tc>
        <w:tc>
          <w:tcPr>
            <w:tcW w:w="2267" w:type="dxa"/>
            <w:tcBorders>
              <w:top w:val="nil"/>
              <w:left w:val="nil"/>
              <w:right w:val="nil"/>
            </w:tcBorders>
            <w:shd w:val="clear" w:color="auto" w:fill="auto"/>
            <w:noWrap/>
            <w:vAlign w:val="center"/>
          </w:tcPr>
          <w:p w14:paraId="45F6FDC8"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r w:rsidRPr="007E0071">
              <w:rPr>
                <w:rFonts w:ascii="Times New Roman" w:eastAsia="Calibri" w:hAnsi="Times New Roman" w:cs="Times New Roman"/>
                <w:color w:val="000000"/>
                <w:kern w:val="0"/>
                <w14:ligatures w14:val="none"/>
              </w:rPr>
              <w:t>28.2, 29.5</w:t>
            </w:r>
          </w:p>
        </w:tc>
      </w:tr>
      <w:tr w:rsidR="00F24F2B" w:rsidRPr="007E0071" w14:paraId="2CB62D34" w14:textId="77777777" w:rsidTr="00DD1F85">
        <w:trPr>
          <w:trHeight w:val="312"/>
        </w:trPr>
        <w:tc>
          <w:tcPr>
            <w:tcW w:w="6439" w:type="dxa"/>
            <w:tcBorders>
              <w:top w:val="nil"/>
              <w:left w:val="nil"/>
              <w:right w:val="nil"/>
            </w:tcBorders>
            <w:shd w:val="clear" w:color="auto" w:fill="auto"/>
            <w:noWrap/>
            <w:vAlign w:val="bottom"/>
          </w:tcPr>
          <w:p w14:paraId="612AD650" w14:textId="77777777" w:rsidR="00F24F2B" w:rsidRPr="007E0071" w:rsidRDefault="00F24F2B" w:rsidP="00715BF3">
            <w:pPr>
              <w:spacing w:after="0" w:line="240" w:lineRule="auto"/>
              <w:ind w:left="720"/>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High</w:t>
            </w:r>
          </w:p>
        </w:tc>
        <w:tc>
          <w:tcPr>
            <w:tcW w:w="2100" w:type="dxa"/>
            <w:tcBorders>
              <w:top w:val="nil"/>
              <w:left w:val="nil"/>
              <w:right w:val="nil"/>
            </w:tcBorders>
            <w:shd w:val="clear" w:color="auto" w:fill="auto"/>
            <w:noWrap/>
            <w:vAlign w:val="center"/>
          </w:tcPr>
          <w:p w14:paraId="436CACF4"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7,626</w:t>
            </w:r>
          </w:p>
        </w:tc>
        <w:tc>
          <w:tcPr>
            <w:tcW w:w="2037" w:type="dxa"/>
            <w:tcBorders>
              <w:top w:val="nil"/>
              <w:left w:val="nil"/>
              <w:right w:val="nil"/>
            </w:tcBorders>
            <w:shd w:val="clear" w:color="auto" w:fill="auto"/>
            <w:noWrap/>
            <w:vAlign w:val="center"/>
          </w:tcPr>
          <w:p w14:paraId="3B33EA14"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44.5</w:t>
            </w:r>
          </w:p>
        </w:tc>
        <w:tc>
          <w:tcPr>
            <w:tcW w:w="2267" w:type="dxa"/>
            <w:tcBorders>
              <w:top w:val="nil"/>
              <w:left w:val="nil"/>
              <w:right w:val="nil"/>
            </w:tcBorders>
            <w:shd w:val="clear" w:color="auto" w:fill="auto"/>
            <w:noWrap/>
            <w:vAlign w:val="center"/>
          </w:tcPr>
          <w:p w14:paraId="51A7C826"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r w:rsidRPr="007E0071">
              <w:rPr>
                <w:rFonts w:ascii="Times New Roman" w:eastAsia="Calibri" w:hAnsi="Times New Roman" w:cs="Times New Roman"/>
                <w:color w:val="000000"/>
                <w:kern w:val="0"/>
                <w14:ligatures w14:val="none"/>
              </w:rPr>
              <w:t>43.8, 45.2</w:t>
            </w:r>
          </w:p>
        </w:tc>
      </w:tr>
      <w:tr w:rsidR="00DD1F85" w:rsidRPr="007E0071" w14:paraId="4AB6EE0D" w14:textId="77777777" w:rsidTr="00DD1F85">
        <w:trPr>
          <w:trHeight w:val="312"/>
        </w:trPr>
        <w:tc>
          <w:tcPr>
            <w:tcW w:w="6439" w:type="dxa"/>
            <w:tcBorders>
              <w:left w:val="nil"/>
              <w:bottom w:val="nil"/>
              <w:right w:val="nil"/>
            </w:tcBorders>
            <w:shd w:val="clear" w:color="auto" w:fill="auto"/>
            <w:noWrap/>
            <w:vAlign w:val="bottom"/>
          </w:tcPr>
          <w:p w14:paraId="32EC7E9F" w14:textId="77777777" w:rsidR="00DD1F85" w:rsidRPr="007E0071" w:rsidRDefault="00DD1F85" w:rsidP="00715BF3">
            <w:pPr>
              <w:spacing w:after="0" w:line="240" w:lineRule="auto"/>
              <w:ind w:left="720"/>
              <w:rPr>
                <w:rFonts w:ascii="Times New Roman" w:eastAsia="Calibri" w:hAnsi="Times New Roman" w:cs="Times New Roman"/>
                <w:color w:val="000000"/>
                <w:kern w:val="0"/>
                <w14:ligatures w14:val="none"/>
              </w:rPr>
            </w:pPr>
          </w:p>
        </w:tc>
        <w:tc>
          <w:tcPr>
            <w:tcW w:w="2100" w:type="dxa"/>
            <w:tcBorders>
              <w:left w:val="nil"/>
              <w:bottom w:val="nil"/>
              <w:right w:val="nil"/>
            </w:tcBorders>
            <w:shd w:val="clear" w:color="auto" w:fill="auto"/>
            <w:noWrap/>
            <w:vAlign w:val="center"/>
          </w:tcPr>
          <w:p w14:paraId="35C267EA" w14:textId="77777777" w:rsidR="00DD1F85" w:rsidRPr="007E0071" w:rsidRDefault="00DD1F85" w:rsidP="00715BF3">
            <w:pPr>
              <w:spacing w:after="0" w:line="240" w:lineRule="auto"/>
              <w:jc w:val="center"/>
              <w:rPr>
                <w:rFonts w:ascii="Times New Roman" w:eastAsia="Calibri" w:hAnsi="Times New Roman" w:cs="Times New Roman"/>
                <w:color w:val="000000"/>
                <w:kern w:val="0"/>
                <w14:ligatures w14:val="none"/>
              </w:rPr>
            </w:pPr>
          </w:p>
        </w:tc>
        <w:tc>
          <w:tcPr>
            <w:tcW w:w="2037" w:type="dxa"/>
            <w:tcBorders>
              <w:left w:val="nil"/>
              <w:bottom w:val="nil"/>
              <w:right w:val="nil"/>
            </w:tcBorders>
            <w:shd w:val="clear" w:color="auto" w:fill="auto"/>
            <w:noWrap/>
            <w:vAlign w:val="center"/>
          </w:tcPr>
          <w:p w14:paraId="7E1940CA" w14:textId="77777777" w:rsidR="00DD1F85" w:rsidRPr="007E0071" w:rsidRDefault="00DD1F85" w:rsidP="00715BF3">
            <w:pPr>
              <w:spacing w:after="0" w:line="240" w:lineRule="auto"/>
              <w:jc w:val="center"/>
              <w:rPr>
                <w:rFonts w:ascii="Times New Roman" w:eastAsia="Calibri" w:hAnsi="Times New Roman" w:cs="Times New Roman"/>
                <w:color w:val="000000"/>
                <w:kern w:val="0"/>
                <w14:ligatures w14:val="none"/>
              </w:rPr>
            </w:pPr>
          </w:p>
        </w:tc>
        <w:tc>
          <w:tcPr>
            <w:tcW w:w="2267" w:type="dxa"/>
            <w:tcBorders>
              <w:left w:val="nil"/>
              <w:bottom w:val="nil"/>
              <w:right w:val="nil"/>
            </w:tcBorders>
            <w:shd w:val="clear" w:color="auto" w:fill="auto"/>
            <w:noWrap/>
            <w:vAlign w:val="center"/>
          </w:tcPr>
          <w:p w14:paraId="29D77BD9" w14:textId="77777777" w:rsidR="00DD1F85" w:rsidRPr="007E0071" w:rsidRDefault="00DD1F85" w:rsidP="00715BF3">
            <w:pPr>
              <w:spacing w:after="0" w:line="240" w:lineRule="auto"/>
              <w:jc w:val="center"/>
              <w:rPr>
                <w:rFonts w:ascii="Times New Roman" w:eastAsia="Calibri" w:hAnsi="Times New Roman" w:cs="Times New Roman"/>
                <w:color w:val="000000"/>
                <w:kern w:val="0"/>
                <w14:ligatures w14:val="none"/>
              </w:rPr>
            </w:pPr>
          </w:p>
        </w:tc>
      </w:tr>
      <w:tr w:rsidR="00DD1F85" w:rsidRPr="007E0071" w14:paraId="717B96D9" w14:textId="77777777" w:rsidTr="00715BF3">
        <w:trPr>
          <w:trHeight w:val="312"/>
        </w:trPr>
        <w:tc>
          <w:tcPr>
            <w:tcW w:w="6439" w:type="dxa"/>
            <w:tcBorders>
              <w:top w:val="nil"/>
              <w:left w:val="nil"/>
              <w:bottom w:val="nil"/>
              <w:right w:val="nil"/>
            </w:tcBorders>
            <w:shd w:val="clear" w:color="auto" w:fill="auto"/>
            <w:noWrap/>
            <w:vAlign w:val="bottom"/>
          </w:tcPr>
          <w:p w14:paraId="15396277" w14:textId="77777777" w:rsidR="00DD1F85" w:rsidRPr="007E0071" w:rsidRDefault="00DD1F85" w:rsidP="00715BF3">
            <w:pPr>
              <w:spacing w:after="0" w:line="240" w:lineRule="auto"/>
              <w:ind w:left="720"/>
              <w:rPr>
                <w:rFonts w:ascii="Times New Roman" w:eastAsia="Calibri" w:hAnsi="Times New Roman" w:cs="Times New Roman"/>
                <w:color w:val="000000"/>
                <w:kern w:val="0"/>
                <w14:ligatures w14:val="none"/>
              </w:rPr>
            </w:pPr>
          </w:p>
        </w:tc>
        <w:tc>
          <w:tcPr>
            <w:tcW w:w="2100" w:type="dxa"/>
            <w:tcBorders>
              <w:top w:val="nil"/>
              <w:left w:val="nil"/>
              <w:bottom w:val="nil"/>
              <w:right w:val="nil"/>
            </w:tcBorders>
            <w:shd w:val="clear" w:color="auto" w:fill="auto"/>
            <w:noWrap/>
            <w:vAlign w:val="center"/>
          </w:tcPr>
          <w:p w14:paraId="558330A4" w14:textId="77777777" w:rsidR="00DD1F85" w:rsidRPr="007E0071" w:rsidRDefault="00DD1F85" w:rsidP="00715BF3">
            <w:pPr>
              <w:spacing w:after="0" w:line="240" w:lineRule="auto"/>
              <w:jc w:val="center"/>
              <w:rPr>
                <w:rFonts w:ascii="Times New Roman" w:eastAsia="Calibri" w:hAnsi="Times New Roman" w:cs="Times New Roman"/>
                <w:color w:val="000000"/>
                <w:kern w:val="0"/>
                <w14:ligatures w14:val="none"/>
              </w:rPr>
            </w:pPr>
          </w:p>
        </w:tc>
        <w:tc>
          <w:tcPr>
            <w:tcW w:w="2037" w:type="dxa"/>
            <w:tcBorders>
              <w:top w:val="nil"/>
              <w:left w:val="nil"/>
              <w:bottom w:val="nil"/>
              <w:right w:val="nil"/>
            </w:tcBorders>
            <w:shd w:val="clear" w:color="auto" w:fill="auto"/>
            <w:noWrap/>
            <w:vAlign w:val="center"/>
          </w:tcPr>
          <w:p w14:paraId="24EDF360" w14:textId="77777777" w:rsidR="00DD1F85" w:rsidRPr="007E0071" w:rsidRDefault="00DD1F85" w:rsidP="00715BF3">
            <w:pPr>
              <w:spacing w:after="0" w:line="240" w:lineRule="auto"/>
              <w:jc w:val="center"/>
              <w:rPr>
                <w:rFonts w:ascii="Times New Roman" w:eastAsia="Calibri" w:hAnsi="Times New Roman" w:cs="Times New Roman"/>
                <w:color w:val="000000"/>
                <w:kern w:val="0"/>
                <w14:ligatures w14:val="none"/>
              </w:rPr>
            </w:pPr>
          </w:p>
        </w:tc>
        <w:tc>
          <w:tcPr>
            <w:tcW w:w="2267" w:type="dxa"/>
            <w:tcBorders>
              <w:top w:val="nil"/>
              <w:left w:val="nil"/>
              <w:bottom w:val="nil"/>
              <w:right w:val="nil"/>
            </w:tcBorders>
            <w:shd w:val="clear" w:color="auto" w:fill="auto"/>
            <w:noWrap/>
            <w:vAlign w:val="center"/>
          </w:tcPr>
          <w:p w14:paraId="579E5DA6" w14:textId="77777777" w:rsidR="00DD1F85" w:rsidRPr="007E0071" w:rsidRDefault="00DD1F85" w:rsidP="00715BF3">
            <w:pPr>
              <w:spacing w:after="0" w:line="240" w:lineRule="auto"/>
              <w:jc w:val="center"/>
              <w:rPr>
                <w:rFonts w:ascii="Times New Roman" w:eastAsia="Calibri" w:hAnsi="Times New Roman" w:cs="Times New Roman"/>
                <w:color w:val="000000"/>
                <w:kern w:val="0"/>
                <w14:ligatures w14:val="none"/>
              </w:rPr>
            </w:pPr>
          </w:p>
        </w:tc>
      </w:tr>
      <w:tr w:rsidR="00F24F2B" w:rsidRPr="007E0071" w14:paraId="3CC276CE" w14:textId="77777777" w:rsidTr="00DD1F85">
        <w:trPr>
          <w:trHeight w:val="312"/>
        </w:trPr>
        <w:tc>
          <w:tcPr>
            <w:tcW w:w="6439" w:type="dxa"/>
            <w:tcBorders>
              <w:top w:val="single" w:sz="12" w:space="0" w:color="auto"/>
              <w:left w:val="nil"/>
              <w:bottom w:val="nil"/>
              <w:right w:val="nil"/>
            </w:tcBorders>
            <w:shd w:val="clear" w:color="auto" w:fill="auto"/>
            <w:noWrap/>
            <w:vAlign w:val="bottom"/>
            <w:hideMark/>
          </w:tcPr>
          <w:p w14:paraId="63F0DDBC" w14:textId="77777777" w:rsidR="00F24F2B" w:rsidRPr="007E0071" w:rsidRDefault="00F24F2B" w:rsidP="00715BF3">
            <w:pPr>
              <w:spacing w:after="0" w:line="240" w:lineRule="auto"/>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lastRenderedPageBreak/>
              <w:t>Occupational Exposure to Cadmium</w:t>
            </w:r>
          </w:p>
        </w:tc>
        <w:tc>
          <w:tcPr>
            <w:tcW w:w="2100" w:type="dxa"/>
            <w:tcBorders>
              <w:top w:val="nil"/>
              <w:left w:val="nil"/>
              <w:bottom w:val="nil"/>
              <w:right w:val="nil"/>
            </w:tcBorders>
            <w:shd w:val="clear" w:color="auto" w:fill="auto"/>
            <w:noWrap/>
            <w:vAlign w:val="center"/>
            <w:hideMark/>
          </w:tcPr>
          <w:p w14:paraId="2A7757D4"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n= 17,343</w:t>
            </w:r>
          </w:p>
        </w:tc>
        <w:tc>
          <w:tcPr>
            <w:tcW w:w="2037" w:type="dxa"/>
            <w:tcBorders>
              <w:top w:val="nil"/>
              <w:left w:val="nil"/>
              <w:bottom w:val="nil"/>
              <w:right w:val="nil"/>
            </w:tcBorders>
            <w:shd w:val="clear" w:color="auto" w:fill="auto"/>
            <w:noWrap/>
            <w:vAlign w:val="center"/>
            <w:hideMark/>
          </w:tcPr>
          <w:p w14:paraId="3F713463"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p>
        </w:tc>
        <w:tc>
          <w:tcPr>
            <w:tcW w:w="2267" w:type="dxa"/>
            <w:tcBorders>
              <w:top w:val="nil"/>
              <w:left w:val="nil"/>
              <w:bottom w:val="nil"/>
              <w:right w:val="nil"/>
            </w:tcBorders>
            <w:shd w:val="clear" w:color="auto" w:fill="auto"/>
            <w:noWrap/>
            <w:vAlign w:val="center"/>
            <w:hideMark/>
          </w:tcPr>
          <w:p w14:paraId="74F381AB"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p>
        </w:tc>
      </w:tr>
      <w:tr w:rsidR="00F24F2B" w:rsidRPr="007E0071" w14:paraId="181C31FD" w14:textId="77777777" w:rsidTr="00715BF3">
        <w:trPr>
          <w:trHeight w:val="312"/>
        </w:trPr>
        <w:tc>
          <w:tcPr>
            <w:tcW w:w="6439" w:type="dxa"/>
            <w:tcBorders>
              <w:top w:val="nil"/>
              <w:left w:val="nil"/>
              <w:bottom w:val="nil"/>
              <w:right w:val="nil"/>
            </w:tcBorders>
            <w:shd w:val="clear" w:color="auto" w:fill="auto"/>
            <w:noWrap/>
            <w:vAlign w:val="bottom"/>
            <w:hideMark/>
          </w:tcPr>
          <w:p w14:paraId="0B549614" w14:textId="77777777" w:rsidR="00F24F2B" w:rsidRPr="007E0071" w:rsidRDefault="00F24F2B" w:rsidP="00715BF3">
            <w:pPr>
              <w:spacing w:after="0" w:line="240" w:lineRule="auto"/>
              <w:ind w:left="720"/>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No</w:t>
            </w:r>
          </w:p>
        </w:tc>
        <w:tc>
          <w:tcPr>
            <w:tcW w:w="2100" w:type="dxa"/>
            <w:tcBorders>
              <w:top w:val="nil"/>
              <w:left w:val="nil"/>
              <w:bottom w:val="nil"/>
              <w:right w:val="nil"/>
            </w:tcBorders>
            <w:shd w:val="clear" w:color="auto" w:fill="auto"/>
            <w:noWrap/>
            <w:vAlign w:val="center"/>
            <w:hideMark/>
          </w:tcPr>
          <w:p w14:paraId="470E3D8E"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9,188</w:t>
            </w:r>
          </w:p>
        </w:tc>
        <w:tc>
          <w:tcPr>
            <w:tcW w:w="2037" w:type="dxa"/>
            <w:tcBorders>
              <w:top w:val="nil"/>
              <w:left w:val="nil"/>
              <w:bottom w:val="nil"/>
              <w:right w:val="nil"/>
            </w:tcBorders>
            <w:shd w:val="clear" w:color="auto" w:fill="auto"/>
            <w:noWrap/>
            <w:vAlign w:val="center"/>
            <w:hideMark/>
          </w:tcPr>
          <w:p w14:paraId="085C4496"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53.0</w:t>
            </w:r>
          </w:p>
        </w:tc>
        <w:tc>
          <w:tcPr>
            <w:tcW w:w="2267" w:type="dxa"/>
            <w:tcBorders>
              <w:top w:val="nil"/>
              <w:left w:val="nil"/>
              <w:bottom w:val="nil"/>
              <w:right w:val="nil"/>
            </w:tcBorders>
            <w:shd w:val="clear" w:color="auto" w:fill="auto"/>
            <w:noWrap/>
            <w:vAlign w:val="center"/>
            <w:hideMark/>
          </w:tcPr>
          <w:p w14:paraId="56BFD35B"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64.5, 65.9</w:t>
            </w:r>
          </w:p>
        </w:tc>
      </w:tr>
      <w:tr w:rsidR="00F24F2B" w:rsidRPr="007E0071" w14:paraId="51333B58" w14:textId="77777777" w:rsidTr="00715BF3">
        <w:trPr>
          <w:trHeight w:val="312"/>
        </w:trPr>
        <w:tc>
          <w:tcPr>
            <w:tcW w:w="6439" w:type="dxa"/>
            <w:tcBorders>
              <w:top w:val="nil"/>
              <w:left w:val="nil"/>
              <w:bottom w:val="nil"/>
              <w:right w:val="nil"/>
            </w:tcBorders>
            <w:shd w:val="clear" w:color="auto" w:fill="auto"/>
            <w:noWrap/>
            <w:vAlign w:val="bottom"/>
            <w:hideMark/>
          </w:tcPr>
          <w:p w14:paraId="0CB667EB" w14:textId="77777777" w:rsidR="00F24F2B" w:rsidRPr="007E0071" w:rsidRDefault="00F24F2B" w:rsidP="00715BF3">
            <w:pPr>
              <w:spacing w:after="0" w:line="240" w:lineRule="auto"/>
              <w:ind w:left="720"/>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Yes</w:t>
            </w:r>
          </w:p>
        </w:tc>
        <w:tc>
          <w:tcPr>
            <w:tcW w:w="2100" w:type="dxa"/>
            <w:tcBorders>
              <w:top w:val="nil"/>
              <w:left w:val="nil"/>
              <w:bottom w:val="nil"/>
              <w:right w:val="nil"/>
            </w:tcBorders>
            <w:shd w:val="clear" w:color="auto" w:fill="auto"/>
            <w:noWrap/>
            <w:vAlign w:val="center"/>
            <w:hideMark/>
          </w:tcPr>
          <w:p w14:paraId="4CBD4DE7"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8,148</w:t>
            </w:r>
          </w:p>
        </w:tc>
        <w:tc>
          <w:tcPr>
            <w:tcW w:w="2037" w:type="dxa"/>
            <w:tcBorders>
              <w:top w:val="nil"/>
              <w:left w:val="nil"/>
              <w:bottom w:val="nil"/>
              <w:right w:val="nil"/>
            </w:tcBorders>
            <w:shd w:val="clear" w:color="auto" w:fill="auto"/>
            <w:noWrap/>
            <w:vAlign w:val="center"/>
            <w:hideMark/>
          </w:tcPr>
          <w:p w14:paraId="15628537"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47.0</w:t>
            </w:r>
          </w:p>
        </w:tc>
        <w:tc>
          <w:tcPr>
            <w:tcW w:w="2267" w:type="dxa"/>
            <w:tcBorders>
              <w:top w:val="nil"/>
              <w:left w:val="nil"/>
              <w:bottom w:val="nil"/>
              <w:right w:val="nil"/>
            </w:tcBorders>
            <w:shd w:val="clear" w:color="auto" w:fill="auto"/>
            <w:noWrap/>
            <w:vAlign w:val="center"/>
            <w:hideMark/>
          </w:tcPr>
          <w:p w14:paraId="7F9D50D7"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34.1, 35.5</w:t>
            </w:r>
          </w:p>
        </w:tc>
      </w:tr>
      <w:tr w:rsidR="00F24F2B" w:rsidRPr="007E0071" w14:paraId="07CB4204" w14:textId="77777777" w:rsidTr="00715BF3">
        <w:trPr>
          <w:trHeight w:val="312"/>
        </w:trPr>
        <w:tc>
          <w:tcPr>
            <w:tcW w:w="6439" w:type="dxa"/>
            <w:tcBorders>
              <w:top w:val="nil"/>
              <w:left w:val="nil"/>
              <w:bottom w:val="nil"/>
              <w:right w:val="nil"/>
            </w:tcBorders>
            <w:shd w:val="clear" w:color="auto" w:fill="auto"/>
            <w:noWrap/>
            <w:vAlign w:val="bottom"/>
            <w:hideMark/>
          </w:tcPr>
          <w:p w14:paraId="357886E5" w14:textId="77777777" w:rsidR="00F24F2B" w:rsidRPr="007E0071" w:rsidRDefault="00F24F2B" w:rsidP="00715BF3">
            <w:pPr>
              <w:spacing w:after="0" w:line="240" w:lineRule="auto"/>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Occupational Exposure to Welding Fumes</w:t>
            </w:r>
          </w:p>
        </w:tc>
        <w:tc>
          <w:tcPr>
            <w:tcW w:w="2100" w:type="dxa"/>
            <w:tcBorders>
              <w:top w:val="nil"/>
              <w:left w:val="nil"/>
              <w:bottom w:val="nil"/>
              <w:right w:val="nil"/>
            </w:tcBorders>
            <w:shd w:val="clear" w:color="auto" w:fill="auto"/>
            <w:noWrap/>
            <w:vAlign w:val="center"/>
            <w:hideMark/>
          </w:tcPr>
          <w:p w14:paraId="6BDBD68E"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n = 17,336</w:t>
            </w:r>
          </w:p>
        </w:tc>
        <w:tc>
          <w:tcPr>
            <w:tcW w:w="2037" w:type="dxa"/>
            <w:tcBorders>
              <w:top w:val="nil"/>
              <w:left w:val="nil"/>
              <w:bottom w:val="nil"/>
              <w:right w:val="nil"/>
            </w:tcBorders>
            <w:shd w:val="clear" w:color="auto" w:fill="auto"/>
            <w:noWrap/>
            <w:vAlign w:val="center"/>
            <w:hideMark/>
          </w:tcPr>
          <w:p w14:paraId="6BC2FDD8"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p>
        </w:tc>
        <w:tc>
          <w:tcPr>
            <w:tcW w:w="2267" w:type="dxa"/>
            <w:tcBorders>
              <w:top w:val="nil"/>
              <w:left w:val="nil"/>
              <w:bottom w:val="nil"/>
              <w:right w:val="nil"/>
            </w:tcBorders>
            <w:shd w:val="clear" w:color="auto" w:fill="auto"/>
            <w:noWrap/>
            <w:vAlign w:val="center"/>
            <w:hideMark/>
          </w:tcPr>
          <w:p w14:paraId="329135D7"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p>
        </w:tc>
      </w:tr>
      <w:tr w:rsidR="00F24F2B" w:rsidRPr="007E0071" w14:paraId="4DB66630" w14:textId="77777777" w:rsidTr="00715BF3">
        <w:trPr>
          <w:trHeight w:val="312"/>
        </w:trPr>
        <w:tc>
          <w:tcPr>
            <w:tcW w:w="6439" w:type="dxa"/>
            <w:tcBorders>
              <w:top w:val="nil"/>
              <w:left w:val="nil"/>
              <w:bottom w:val="nil"/>
              <w:right w:val="nil"/>
            </w:tcBorders>
            <w:shd w:val="clear" w:color="auto" w:fill="auto"/>
            <w:noWrap/>
            <w:vAlign w:val="bottom"/>
            <w:hideMark/>
          </w:tcPr>
          <w:p w14:paraId="1BB03CD1" w14:textId="77777777" w:rsidR="00F24F2B" w:rsidRPr="007E0071" w:rsidRDefault="00F24F2B" w:rsidP="00715BF3">
            <w:pPr>
              <w:spacing w:after="0" w:line="240" w:lineRule="auto"/>
              <w:ind w:left="720"/>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No</w:t>
            </w:r>
          </w:p>
        </w:tc>
        <w:tc>
          <w:tcPr>
            <w:tcW w:w="2100" w:type="dxa"/>
            <w:tcBorders>
              <w:top w:val="nil"/>
              <w:left w:val="nil"/>
              <w:bottom w:val="nil"/>
              <w:right w:val="nil"/>
            </w:tcBorders>
            <w:shd w:val="clear" w:color="auto" w:fill="auto"/>
            <w:noWrap/>
            <w:vAlign w:val="center"/>
            <w:hideMark/>
          </w:tcPr>
          <w:p w14:paraId="5319DB97"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9,188</w:t>
            </w:r>
          </w:p>
        </w:tc>
        <w:tc>
          <w:tcPr>
            <w:tcW w:w="2037" w:type="dxa"/>
            <w:tcBorders>
              <w:top w:val="nil"/>
              <w:left w:val="nil"/>
              <w:bottom w:val="nil"/>
              <w:right w:val="nil"/>
            </w:tcBorders>
            <w:shd w:val="clear" w:color="auto" w:fill="auto"/>
            <w:noWrap/>
            <w:vAlign w:val="center"/>
            <w:hideMark/>
          </w:tcPr>
          <w:p w14:paraId="220A1C81"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53.0</w:t>
            </w:r>
          </w:p>
        </w:tc>
        <w:tc>
          <w:tcPr>
            <w:tcW w:w="2267" w:type="dxa"/>
            <w:tcBorders>
              <w:top w:val="nil"/>
              <w:left w:val="nil"/>
              <w:bottom w:val="nil"/>
              <w:right w:val="nil"/>
            </w:tcBorders>
            <w:shd w:val="clear" w:color="auto" w:fill="auto"/>
            <w:noWrap/>
            <w:vAlign w:val="center"/>
            <w:hideMark/>
          </w:tcPr>
          <w:p w14:paraId="78F442DF"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52.3, 53.7</w:t>
            </w:r>
          </w:p>
        </w:tc>
      </w:tr>
      <w:tr w:rsidR="00F24F2B" w:rsidRPr="007E0071" w14:paraId="311F72B5" w14:textId="77777777" w:rsidTr="00715BF3">
        <w:trPr>
          <w:trHeight w:val="312"/>
        </w:trPr>
        <w:tc>
          <w:tcPr>
            <w:tcW w:w="6439" w:type="dxa"/>
            <w:tcBorders>
              <w:top w:val="nil"/>
              <w:left w:val="nil"/>
              <w:bottom w:val="nil"/>
              <w:right w:val="nil"/>
            </w:tcBorders>
            <w:shd w:val="clear" w:color="auto" w:fill="auto"/>
            <w:noWrap/>
            <w:vAlign w:val="bottom"/>
            <w:hideMark/>
          </w:tcPr>
          <w:p w14:paraId="697B1EF8" w14:textId="77777777" w:rsidR="00F24F2B" w:rsidRPr="007E0071" w:rsidRDefault="00F24F2B" w:rsidP="00715BF3">
            <w:pPr>
              <w:spacing w:after="0" w:line="240" w:lineRule="auto"/>
              <w:ind w:left="720"/>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Yes</w:t>
            </w:r>
          </w:p>
        </w:tc>
        <w:tc>
          <w:tcPr>
            <w:tcW w:w="2100" w:type="dxa"/>
            <w:tcBorders>
              <w:top w:val="nil"/>
              <w:left w:val="nil"/>
              <w:bottom w:val="nil"/>
              <w:right w:val="nil"/>
            </w:tcBorders>
            <w:shd w:val="clear" w:color="auto" w:fill="auto"/>
            <w:noWrap/>
            <w:vAlign w:val="center"/>
            <w:hideMark/>
          </w:tcPr>
          <w:p w14:paraId="336000A3"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8,148</w:t>
            </w:r>
          </w:p>
        </w:tc>
        <w:tc>
          <w:tcPr>
            <w:tcW w:w="2037" w:type="dxa"/>
            <w:tcBorders>
              <w:top w:val="nil"/>
              <w:left w:val="nil"/>
              <w:bottom w:val="nil"/>
              <w:right w:val="nil"/>
            </w:tcBorders>
            <w:shd w:val="clear" w:color="auto" w:fill="auto"/>
            <w:noWrap/>
            <w:vAlign w:val="center"/>
            <w:hideMark/>
          </w:tcPr>
          <w:p w14:paraId="05054050"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47.0</w:t>
            </w:r>
          </w:p>
        </w:tc>
        <w:tc>
          <w:tcPr>
            <w:tcW w:w="2267" w:type="dxa"/>
            <w:tcBorders>
              <w:top w:val="nil"/>
              <w:left w:val="nil"/>
              <w:bottom w:val="nil"/>
              <w:right w:val="nil"/>
            </w:tcBorders>
            <w:shd w:val="clear" w:color="auto" w:fill="auto"/>
            <w:noWrap/>
            <w:vAlign w:val="center"/>
            <w:hideMark/>
          </w:tcPr>
          <w:p w14:paraId="35810166"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46.3, 47.7</w:t>
            </w:r>
          </w:p>
        </w:tc>
      </w:tr>
      <w:tr w:rsidR="00F24F2B" w:rsidRPr="007E0071" w14:paraId="45C9887A" w14:textId="77777777" w:rsidTr="00715BF3">
        <w:trPr>
          <w:trHeight w:val="312"/>
        </w:trPr>
        <w:tc>
          <w:tcPr>
            <w:tcW w:w="6439" w:type="dxa"/>
            <w:tcBorders>
              <w:top w:val="nil"/>
              <w:left w:val="nil"/>
              <w:bottom w:val="nil"/>
              <w:right w:val="nil"/>
            </w:tcBorders>
            <w:shd w:val="clear" w:color="auto" w:fill="auto"/>
            <w:noWrap/>
            <w:vAlign w:val="bottom"/>
          </w:tcPr>
          <w:p w14:paraId="1E805CA1" w14:textId="77777777" w:rsidR="00F24F2B" w:rsidRPr="007E0071" w:rsidRDefault="00F24F2B" w:rsidP="00715BF3">
            <w:pPr>
              <w:spacing w:after="0" w:line="240" w:lineRule="auto"/>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Occupational Exposure to Silica</w:t>
            </w:r>
          </w:p>
        </w:tc>
        <w:tc>
          <w:tcPr>
            <w:tcW w:w="2100" w:type="dxa"/>
            <w:tcBorders>
              <w:top w:val="nil"/>
              <w:left w:val="nil"/>
              <w:bottom w:val="nil"/>
              <w:right w:val="nil"/>
            </w:tcBorders>
            <w:shd w:val="clear" w:color="auto" w:fill="auto"/>
            <w:noWrap/>
            <w:vAlign w:val="center"/>
          </w:tcPr>
          <w:p w14:paraId="3D6E3BEB"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n= 17,340</w:t>
            </w:r>
          </w:p>
        </w:tc>
        <w:tc>
          <w:tcPr>
            <w:tcW w:w="2037" w:type="dxa"/>
            <w:tcBorders>
              <w:top w:val="nil"/>
              <w:left w:val="nil"/>
              <w:bottom w:val="nil"/>
              <w:right w:val="nil"/>
            </w:tcBorders>
            <w:shd w:val="clear" w:color="auto" w:fill="auto"/>
            <w:noWrap/>
            <w:vAlign w:val="center"/>
          </w:tcPr>
          <w:p w14:paraId="48FD7F63"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p>
        </w:tc>
        <w:tc>
          <w:tcPr>
            <w:tcW w:w="2267" w:type="dxa"/>
            <w:tcBorders>
              <w:top w:val="nil"/>
              <w:left w:val="nil"/>
              <w:bottom w:val="nil"/>
              <w:right w:val="nil"/>
            </w:tcBorders>
            <w:shd w:val="clear" w:color="auto" w:fill="auto"/>
            <w:noWrap/>
            <w:vAlign w:val="center"/>
          </w:tcPr>
          <w:p w14:paraId="400CCAB6"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p>
        </w:tc>
      </w:tr>
      <w:tr w:rsidR="00F24F2B" w:rsidRPr="007E0071" w14:paraId="189FEDAF" w14:textId="77777777" w:rsidTr="00715BF3">
        <w:trPr>
          <w:trHeight w:val="312"/>
        </w:trPr>
        <w:tc>
          <w:tcPr>
            <w:tcW w:w="6439" w:type="dxa"/>
            <w:tcBorders>
              <w:top w:val="nil"/>
              <w:left w:val="nil"/>
              <w:bottom w:val="nil"/>
              <w:right w:val="nil"/>
            </w:tcBorders>
            <w:shd w:val="clear" w:color="auto" w:fill="auto"/>
            <w:noWrap/>
            <w:vAlign w:val="bottom"/>
          </w:tcPr>
          <w:p w14:paraId="5F857A6C" w14:textId="77777777" w:rsidR="00F24F2B" w:rsidRPr="007E0071" w:rsidRDefault="00F24F2B" w:rsidP="00715BF3">
            <w:pPr>
              <w:spacing w:after="0" w:line="240" w:lineRule="auto"/>
              <w:ind w:left="720"/>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No</w:t>
            </w:r>
          </w:p>
        </w:tc>
        <w:tc>
          <w:tcPr>
            <w:tcW w:w="2100" w:type="dxa"/>
            <w:tcBorders>
              <w:top w:val="nil"/>
              <w:left w:val="nil"/>
              <w:bottom w:val="nil"/>
              <w:right w:val="nil"/>
            </w:tcBorders>
            <w:shd w:val="clear" w:color="auto" w:fill="auto"/>
            <w:noWrap/>
            <w:vAlign w:val="center"/>
          </w:tcPr>
          <w:p w14:paraId="1EB673BA"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11,308</w:t>
            </w:r>
          </w:p>
        </w:tc>
        <w:tc>
          <w:tcPr>
            <w:tcW w:w="2037" w:type="dxa"/>
            <w:tcBorders>
              <w:top w:val="nil"/>
              <w:left w:val="nil"/>
              <w:bottom w:val="nil"/>
              <w:right w:val="nil"/>
            </w:tcBorders>
            <w:shd w:val="clear" w:color="auto" w:fill="auto"/>
            <w:noWrap/>
            <w:vAlign w:val="center"/>
          </w:tcPr>
          <w:p w14:paraId="58826F06"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65.2</w:t>
            </w:r>
          </w:p>
        </w:tc>
        <w:tc>
          <w:tcPr>
            <w:tcW w:w="2267" w:type="dxa"/>
            <w:tcBorders>
              <w:top w:val="nil"/>
              <w:left w:val="nil"/>
              <w:bottom w:val="nil"/>
              <w:right w:val="nil"/>
            </w:tcBorders>
            <w:shd w:val="clear" w:color="auto" w:fill="auto"/>
            <w:noWrap/>
            <w:vAlign w:val="center"/>
          </w:tcPr>
          <w:p w14:paraId="1EEA2BD3" w14:textId="77777777" w:rsidR="00F24F2B" w:rsidRPr="007E0071" w:rsidRDefault="00F24F2B" w:rsidP="00715BF3">
            <w:pPr>
              <w:spacing w:after="0" w:line="240" w:lineRule="auto"/>
              <w:jc w:val="center"/>
              <w:rPr>
                <w:rFonts w:ascii="Times New Roman" w:eastAsia="Calibri" w:hAnsi="Times New Roman" w:cs="Times New Roman"/>
                <w:kern w:val="0"/>
                <w14:ligatures w14:val="none"/>
              </w:rPr>
            </w:pPr>
            <w:r w:rsidRPr="007E0071">
              <w:rPr>
                <w:rFonts w:ascii="Times New Roman" w:eastAsia="Calibri" w:hAnsi="Times New Roman" w:cs="Times New Roman"/>
                <w:kern w:val="0"/>
                <w14:ligatures w14:val="none"/>
              </w:rPr>
              <w:t>52.3, 53.7</w:t>
            </w:r>
          </w:p>
        </w:tc>
      </w:tr>
      <w:tr w:rsidR="00F24F2B" w:rsidRPr="007E0071" w14:paraId="619626AC" w14:textId="77777777" w:rsidTr="00715BF3">
        <w:trPr>
          <w:trHeight w:val="312"/>
        </w:trPr>
        <w:tc>
          <w:tcPr>
            <w:tcW w:w="6439" w:type="dxa"/>
            <w:tcBorders>
              <w:top w:val="nil"/>
              <w:left w:val="nil"/>
              <w:bottom w:val="nil"/>
              <w:right w:val="nil"/>
            </w:tcBorders>
            <w:shd w:val="clear" w:color="auto" w:fill="auto"/>
            <w:noWrap/>
            <w:vAlign w:val="bottom"/>
          </w:tcPr>
          <w:p w14:paraId="4A6E169C" w14:textId="77777777" w:rsidR="00F24F2B" w:rsidRPr="007E0071" w:rsidRDefault="00F24F2B" w:rsidP="00715BF3">
            <w:pPr>
              <w:spacing w:after="0" w:line="240" w:lineRule="auto"/>
              <w:ind w:left="720"/>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Yes</w:t>
            </w:r>
          </w:p>
        </w:tc>
        <w:tc>
          <w:tcPr>
            <w:tcW w:w="2100" w:type="dxa"/>
            <w:tcBorders>
              <w:top w:val="nil"/>
              <w:left w:val="nil"/>
              <w:bottom w:val="nil"/>
              <w:right w:val="nil"/>
            </w:tcBorders>
            <w:shd w:val="clear" w:color="auto" w:fill="auto"/>
            <w:noWrap/>
            <w:vAlign w:val="center"/>
          </w:tcPr>
          <w:p w14:paraId="7C6635CF"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6,032</w:t>
            </w:r>
          </w:p>
        </w:tc>
        <w:tc>
          <w:tcPr>
            <w:tcW w:w="2037" w:type="dxa"/>
            <w:tcBorders>
              <w:top w:val="nil"/>
              <w:left w:val="nil"/>
              <w:bottom w:val="nil"/>
              <w:right w:val="nil"/>
            </w:tcBorders>
            <w:shd w:val="clear" w:color="auto" w:fill="auto"/>
            <w:noWrap/>
            <w:vAlign w:val="center"/>
          </w:tcPr>
          <w:p w14:paraId="782B4FEA"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34.8</w:t>
            </w:r>
          </w:p>
        </w:tc>
        <w:tc>
          <w:tcPr>
            <w:tcW w:w="2267" w:type="dxa"/>
            <w:tcBorders>
              <w:top w:val="nil"/>
              <w:left w:val="nil"/>
              <w:bottom w:val="nil"/>
              <w:right w:val="nil"/>
            </w:tcBorders>
            <w:shd w:val="clear" w:color="auto" w:fill="auto"/>
            <w:noWrap/>
            <w:vAlign w:val="center"/>
          </w:tcPr>
          <w:p w14:paraId="30A5BED1" w14:textId="77777777" w:rsidR="00F24F2B" w:rsidRPr="007E0071" w:rsidRDefault="00F24F2B" w:rsidP="00715BF3">
            <w:pPr>
              <w:spacing w:after="0" w:line="240" w:lineRule="auto"/>
              <w:jc w:val="center"/>
              <w:rPr>
                <w:rFonts w:ascii="Times New Roman" w:eastAsia="Calibri" w:hAnsi="Times New Roman" w:cs="Times New Roman"/>
                <w:kern w:val="0"/>
                <w14:ligatures w14:val="none"/>
              </w:rPr>
            </w:pPr>
            <w:r w:rsidRPr="007E0071">
              <w:rPr>
                <w:rFonts w:ascii="Times New Roman" w:eastAsia="Calibri" w:hAnsi="Times New Roman" w:cs="Times New Roman"/>
                <w:kern w:val="0"/>
                <w14:ligatures w14:val="none"/>
              </w:rPr>
              <w:t>46.3, 47.7</w:t>
            </w:r>
          </w:p>
        </w:tc>
      </w:tr>
      <w:tr w:rsidR="00F24F2B" w:rsidRPr="007E0071" w14:paraId="3E0D494E" w14:textId="77777777" w:rsidTr="00715BF3">
        <w:trPr>
          <w:trHeight w:val="312"/>
        </w:trPr>
        <w:tc>
          <w:tcPr>
            <w:tcW w:w="6439" w:type="dxa"/>
            <w:tcBorders>
              <w:top w:val="nil"/>
              <w:left w:val="nil"/>
              <w:bottom w:val="nil"/>
              <w:right w:val="nil"/>
            </w:tcBorders>
            <w:shd w:val="clear" w:color="auto" w:fill="auto"/>
            <w:noWrap/>
            <w:vAlign w:val="bottom"/>
          </w:tcPr>
          <w:p w14:paraId="58569104" w14:textId="77777777" w:rsidR="00F24F2B" w:rsidRPr="007E0071" w:rsidRDefault="00F24F2B" w:rsidP="00715BF3">
            <w:pPr>
              <w:spacing w:after="0" w:line="240" w:lineRule="auto"/>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Occupational Exposure to Diesel Exhaust</w:t>
            </w:r>
          </w:p>
        </w:tc>
        <w:tc>
          <w:tcPr>
            <w:tcW w:w="2100" w:type="dxa"/>
            <w:tcBorders>
              <w:top w:val="nil"/>
              <w:left w:val="nil"/>
              <w:bottom w:val="nil"/>
              <w:right w:val="nil"/>
            </w:tcBorders>
            <w:shd w:val="clear" w:color="auto" w:fill="auto"/>
            <w:noWrap/>
            <w:vAlign w:val="center"/>
          </w:tcPr>
          <w:p w14:paraId="0C061BF3"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b/>
                <w:bCs/>
                <w:color w:val="000000"/>
                <w:kern w:val="0"/>
                <w14:ligatures w14:val="none"/>
              </w:rPr>
              <w:t>n = 17,352</w:t>
            </w:r>
          </w:p>
        </w:tc>
        <w:tc>
          <w:tcPr>
            <w:tcW w:w="2037" w:type="dxa"/>
            <w:tcBorders>
              <w:top w:val="nil"/>
              <w:left w:val="nil"/>
              <w:bottom w:val="nil"/>
              <w:right w:val="nil"/>
            </w:tcBorders>
            <w:shd w:val="clear" w:color="auto" w:fill="auto"/>
            <w:noWrap/>
            <w:vAlign w:val="center"/>
          </w:tcPr>
          <w:p w14:paraId="616AF66B" w14:textId="77777777" w:rsidR="00F24F2B" w:rsidRPr="007E0071" w:rsidRDefault="00F24F2B" w:rsidP="00715BF3">
            <w:pPr>
              <w:spacing w:after="0" w:line="240" w:lineRule="auto"/>
              <w:jc w:val="center"/>
              <w:rPr>
                <w:rFonts w:ascii="Times New Roman" w:eastAsia="Calibri" w:hAnsi="Times New Roman" w:cs="Times New Roman"/>
                <w:b/>
                <w:bCs/>
                <w:color w:val="000000"/>
                <w:kern w:val="0"/>
                <w14:ligatures w14:val="none"/>
              </w:rPr>
            </w:pPr>
          </w:p>
        </w:tc>
        <w:tc>
          <w:tcPr>
            <w:tcW w:w="2267" w:type="dxa"/>
            <w:tcBorders>
              <w:top w:val="nil"/>
              <w:left w:val="nil"/>
              <w:bottom w:val="nil"/>
              <w:right w:val="nil"/>
            </w:tcBorders>
            <w:shd w:val="clear" w:color="auto" w:fill="auto"/>
            <w:noWrap/>
            <w:vAlign w:val="center"/>
          </w:tcPr>
          <w:p w14:paraId="5F7C491A" w14:textId="77777777" w:rsidR="00F24F2B" w:rsidRPr="007E0071" w:rsidRDefault="00F24F2B" w:rsidP="00715BF3">
            <w:pPr>
              <w:spacing w:after="0" w:line="240" w:lineRule="auto"/>
              <w:jc w:val="center"/>
              <w:rPr>
                <w:rFonts w:ascii="Times New Roman" w:eastAsia="Calibri" w:hAnsi="Times New Roman" w:cs="Times New Roman"/>
                <w:kern w:val="0"/>
                <w:sz w:val="20"/>
                <w:szCs w:val="20"/>
                <w14:ligatures w14:val="none"/>
              </w:rPr>
            </w:pPr>
          </w:p>
        </w:tc>
      </w:tr>
      <w:tr w:rsidR="00F24F2B" w:rsidRPr="007E0071" w14:paraId="732B4B77" w14:textId="77777777" w:rsidTr="00DD1F85">
        <w:trPr>
          <w:trHeight w:val="312"/>
        </w:trPr>
        <w:tc>
          <w:tcPr>
            <w:tcW w:w="6439" w:type="dxa"/>
            <w:tcBorders>
              <w:top w:val="nil"/>
              <w:left w:val="nil"/>
              <w:right w:val="nil"/>
            </w:tcBorders>
            <w:shd w:val="clear" w:color="auto" w:fill="auto"/>
            <w:noWrap/>
            <w:vAlign w:val="bottom"/>
          </w:tcPr>
          <w:p w14:paraId="1EC20D87" w14:textId="77777777" w:rsidR="00F24F2B" w:rsidRPr="007E0071" w:rsidRDefault="00F24F2B" w:rsidP="00715BF3">
            <w:pPr>
              <w:spacing w:after="0" w:line="240" w:lineRule="auto"/>
              <w:ind w:left="720"/>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No</w:t>
            </w:r>
          </w:p>
        </w:tc>
        <w:tc>
          <w:tcPr>
            <w:tcW w:w="2100" w:type="dxa"/>
            <w:tcBorders>
              <w:top w:val="nil"/>
              <w:left w:val="nil"/>
              <w:right w:val="nil"/>
            </w:tcBorders>
            <w:shd w:val="clear" w:color="auto" w:fill="auto"/>
            <w:noWrap/>
            <w:vAlign w:val="center"/>
          </w:tcPr>
          <w:p w14:paraId="158DC5DE"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12,313</w:t>
            </w:r>
          </w:p>
        </w:tc>
        <w:tc>
          <w:tcPr>
            <w:tcW w:w="2037" w:type="dxa"/>
            <w:tcBorders>
              <w:top w:val="nil"/>
              <w:left w:val="nil"/>
              <w:right w:val="nil"/>
            </w:tcBorders>
            <w:shd w:val="clear" w:color="auto" w:fill="auto"/>
            <w:noWrap/>
            <w:vAlign w:val="center"/>
          </w:tcPr>
          <w:p w14:paraId="7AEC969C"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71.0</w:t>
            </w:r>
          </w:p>
        </w:tc>
        <w:tc>
          <w:tcPr>
            <w:tcW w:w="2267" w:type="dxa"/>
            <w:tcBorders>
              <w:top w:val="nil"/>
              <w:left w:val="nil"/>
              <w:right w:val="nil"/>
            </w:tcBorders>
            <w:shd w:val="clear" w:color="auto" w:fill="auto"/>
            <w:noWrap/>
            <w:vAlign w:val="center"/>
          </w:tcPr>
          <w:p w14:paraId="615ACB04" w14:textId="77777777" w:rsidR="00F24F2B" w:rsidRPr="007E0071" w:rsidRDefault="00F24F2B" w:rsidP="00715BF3">
            <w:pPr>
              <w:spacing w:after="0" w:line="240" w:lineRule="auto"/>
              <w:jc w:val="center"/>
              <w:rPr>
                <w:rFonts w:ascii="Times New Roman" w:eastAsia="Calibri" w:hAnsi="Times New Roman" w:cs="Times New Roman"/>
                <w:kern w:val="0"/>
                <w14:ligatures w14:val="none"/>
              </w:rPr>
            </w:pPr>
            <w:r w:rsidRPr="007E0071">
              <w:rPr>
                <w:rFonts w:ascii="Times New Roman" w:eastAsia="Calibri" w:hAnsi="Times New Roman" w:cs="Times New Roman"/>
                <w:kern w:val="0"/>
                <w14:ligatures w14:val="none"/>
              </w:rPr>
              <w:t>70.3, 71.6</w:t>
            </w:r>
          </w:p>
        </w:tc>
      </w:tr>
      <w:tr w:rsidR="00F24F2B" w:rsidRPr="007E0071" w14:paraId="7C130968" w14:textId="77777777" w:rsidTr="00DD1F85">
        <w:trPr>
          <w:trHeight w:val="312"/>
        </w:trPr>
        <w:tc>
          <w:tcPr>
            <w:tcW w:w="6439" w:type="dxa"/>
            <w:tcBorders>
              <w:top w:val="nil"/>
              <w:left w:val="nil"/>
              <w:bottom w:val="single" w:sz="12" w:space="0" w:color="auto"/>
              <w:right w:val="nil"/>
            </w:tcBorders>
            <w:shd w:val="clear" w:color="auto" w:fill="auto"/>
            <w:noWrap/>
            <w:vAlign w:val="bottom"/>
          </w:tcPr>
          <w:p w14:paraId="5EFB0D77" w14:textId="77777777" w:rsidR="00F24F2B" w:rsidRPr="007E0071" w:rsidRDefault="00F24F2B" w:rsidP="00715BF3">
            <w:pPr>
              <w:spacing w:after="0" w:line="240" w:lineRule="auto"/>
              <w:ind w:left="720"/>
              <w:rPr>
                <w:rFonts w:ascii="Times New Roman" w:eastAsia="Calibri" w:hAnsi="Times New Roman" w:cs="Times New Roman"/>
                <w:b/>
                <w:bCs/>
                <w:color w:val="000000"/>
                <w:kern w:val="0"/>
                <w14:ligatures w14:val="none"/>
              </w:rPr>
            </w:pPr>
            <w:r w:rsidRPr="007E0071">
              <w:rPr>
                <w:rFonts w:ascii="Times New Roman" w:eastAsia="Calibri" w:hAnsi="Times New Roman" w:cs="Times New Roman"/>
                <w:color w:val="000000"/>
                <w:kern w:val="0"/>
                <w14:ligatures w14:val="none"/>
              </w:rPr>
              <w:t>Yes</w:t>
            </w:r>
          </w:p>
        </w:tc>
        <w:tc>
          <w:tcPr>
            <w:tcW w:w="2100" w:type="dxa"/>
            <w:tcBorders>
              <w:top w:val="nil"/>
              <w:left w:val="nil"/>
              <w:bottom w:val="single" w:sz="12" w:space="0" w:color="auto"/>
              <w:right w:val="nil"/>
            </w:tcBorders>
            <w:shd w:val="clear" w:color="auto" w:fill="auto"/>
            <w:noWrap/>
            <w:vAlign w:val="center"/>
          </w:tcPr>
          <w:p w14:paraId="6040642C"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5,039</w:t>
            </w:r>
          </w:p>
        </w:tc>
        <w:tc>
          <w:tcPr>
            <w:tcW w:w="2037" w:type="dxa"/>
            <w:tcBorders>
              <w:top w:val="nil"/>
              <w:left w:val="nil"/>
              <w:bottom w:val="single" w:sz="12" w:space="0" w:color="auto"/>
              <w:right w:val="nil"/>
            </w:tcBorders>
            <w:shd w:val="clear" w:color="auto" w:fill="auto"/>
            <w:noWrap/>
            <w:vAlign w:val="center"/>
          </w:tcPr>
          <w:p w14:paraId="214FD2F0" w14:textId="77777777" w:rsidR="00F24F2B" w:rsidRPr="007E0071" w:rsidRDefault="00F24F2B" w:rsidP="00715BF3">
            <w:pPr>
              <w:spacing w:after="0" w:line="240" w:lineRule="auto"/>
              <w:jc w:val="center"/>
              <w:rPr>
                <w:rFonts w:ascii="Times New Roman" w:eastAsia="Calibri" w:hAnsi="Times New Roman" w:cs="Times New Roman"/>
                <w:color w:val="000000"/>
                <w:kern w:val="0"/>
                <w14:ligatures w14:val="none"/>
              </w:rPr>
            </w:pPr>
            <w:r w:rsidRPr="007E0071">
              <w:rPr>
                <w:rFonts w:ascii="Times New Roman" w:eastAsia="Calibri" w:hAnsi="Times New Roman" w:cs="Times New Roman"/>
                <w:color w:val="000000"/>
                <w:kern w:val="0"/>
                <w14:ligatures w14:val="none"/>
              </w:rPr>
              <w:t>29.0</w:t>
            </w:r>
          </w:p>
        </w:tc>
        <w:tc>
          <w:tcPr>
            <w:tcW w:w="2267" w:type="dxa"/>
            <w:tcBorders>
              <w:top w:val="nil"/>
              <w:left w:val="nil"/>
              <w:bottom w:val="single" w:sz="12" w:space="0" w:color="auto"/>
              <w:right w:val="nil"/>
            </w:tcBorders>
            <w:shd w:val="clear" w:color="auto" w:fill="auto"/>
            <w:noWrap/>
            <w:vAlign w:val="center"/>
          </w:tcPr>
          <w:p w14:paraId="0E5C0AB2" w14:textId="77777777" w:rsidR="00F24F2B" w:rsidRPr="007E0071" w:rsidRDefault="00F24F2B" w:rsidP="00715BF3">
            <w:pPr>
              <w:spacing w:after="0" w:line="240" w:lineRule="auto"/>
              <w:jc w:val="center"/>
              <w:rPr>
                <w:rFonts w:ascii="Times New Roman" w:eastAsia="Calibri" w:hAnsi="Times New Roman" w:cs="Times New Roman"/>
                <w:kern w:val="0"/>
                <w14:ligatures w14:val="none"/>
              </w:rPr>
            </w:pPr>
            <w:r w:rsidRPr="007E0071">
              <w:rPr>
                <w:rFonts w:ascii="Times New Roman" w:eastAsia="Calibri" w:hAnsi="Times New Roman" w:cs="Times New Roman"/>
                <w:kern w:val="0"/>
                <w14:ligatures w14:val="none"/>
              </w:rPr>
              <w:t>28.4, 29.7</w:t>
            </w:r>
          </w:p>
        </w:tc>
      </w:tr>
    </w:tbl>
    <w:p w14:paraId="4D4CD4B5" w14:textId="77777777" w:rsidR="003E4BF5" w:rsidRDefault="003E4BF5" w:rsidP="0045673E">
      <w:pPr>
        <w:spacing w:line="480" w:lineRule="auto"/>
        <w:rPr>
          <w:rFonts w:ascii="Times New Roman" w:hAnsi="Times New Roman" w:cs="Times New Roman"/>
          <w:iCs/>
        </w:rPr>
      </w:pPr>
    </w:p>
    <w:p w14:paraId="4E6BFFCB" w14:textId="77777777" w:rsidR="003E4BF5" w:rsidRDefault="003E4BF5" w:rsidP="0045673E">
      <w:pPr>
        <w:spacing w:line="480" w:lineRule="auto"/>
        <w:rPr>
          <w:rFonts w:ascii="Times New Roman" w:hAnsi="Times New Roman" w:cs="Times New Roman"/>
          <w:iCs/>
        </w:rPr>
      </w:pPr>
    </w:p>
    <w:p w14:paraId="762A4886" w14:textId="77777777" w:rsidR="003E4BF5" w:rsidRDefault="003E4BF5" w:rsidP="0045673E">
      <w:pPr>
        <w:spacing w:line="480" w:lineRule="auto"/>
        <w:rPr>
          <w:rFonts w:ascii="Times New Roman" w:hAnsi="Times New Roman" w:cs="Times New Roman"/>
          <w:iCs/>
        </w:rPr>
      </w:pPr>
    </w:p>
    <w:p w14:paraId="0E5FA139" w14:textId="77777777" w:rsidR="003E4BF5" w:rsidRDefault="003E4BF5" w:rsidP="0045673E">
      <w:pPr>
        <w:spacing w:line="480" w:lineRule="auto"/>
        <w:rPr>
          <w:rFonts w:ascii="Times New Roman" w:hAnsi="Times New Roman" w:cs="Times New Roman"/>
          <w:iCs/>
        </w:rPr>
        <w:sectPr w:rsidR="003E4BF5" w:rsidSect="009C2E43">
          <w:pgSz w:w="15840" w:h="12240" w:orient="landscape"/>
          <w:pgMar w:top="1440" w:right="1440" w:bottom="1440" w:left="1440" w:header="720" w:footer="720" w:gutter="0"/>
          <w:cols w:space="720"/>
          <w:docGrid w:linePitch="360"/>
        </w:sectPr>
      </w:pPr>
    </w:p>
    <w:p w14:paraId="0DF772EF" w14:textId="4EDFF490" w:rsidR="0045673E" w:rsidRDefault="0045673E" w:rsidP="00DD1F85">
      <w:pPr>
        <w:spacing w:after="0" w:line="480" w:lineRule="auto"/>
        <w:ind w:firstLine="634"/>
        <w:rPr>
          <w:rFonts w:ascii="Times New Roman" w:hAnsi="Times New Roman" w:cs="Times New Roman"/>
          <w:iCs/>
        </w:rPr>
      </w:pPr>
      <w:r w:rsidRPr="0045673E">
        <w:rPr>
          <w:rFonts w:ascii="Times New Roman" w:hAnsi="Times New Roman" w:cs="Times New Roman"/>
          <w:iCs/>
        </w:rPr>
        <w:lastRenderedPageBreak/>
        <w:t>Most of the study population were employed at weapons production facilities (72.8%), followed by science and laboratory facilities (20.7%), and uranium processing facilities (6.5%). The majority were employed at DOE facility for less than 15 years (&lt;5 years: 32.2%, 5-9 years: 16.6%, 10-14 years: 11.5%) although 16.0% were employed for at least 30 years. Regarding potential for occupational exposures, 26.7% of the study participants were classified as having low potential for exposure, 28.9% were classified as medium potential, and 44.5% were classified as high potential. Welding fumes and cadmium were the most commonly reported occupational exposures at 47.0% of the cohort each, with silica at 34.8% and diesel exhaust at 29.0%.</w:t>
      </w:r>
    </w:p>
    <w:p w14:paraId="4E8C60F7" w14:textId="77777777" w:rsidR="00753DC6" w:rsidRDefault="00753DC6" w:rsidP="00DD1F85">
      <w:pPr>
        <w:spacing w:after="0" w:line="480" w:lineRule="auto"/>
        <w:rPr>
          <w:rFonts w:ascii="Times New Roman" w:hAnsi="Times New Roman" w:cs="Times New Roman"/>
          <w:iCs/>
        </w:rPr>
      </w:pPr>
    </w:p>
    <w:p w14:paraId="0AFA65F3" w14:textId="446A07E7" w:rsidR="0045673E" w:rsidRPr="00B902E6" w:rsidRDefault="0045673E" w:rsidP="00DD1F85">
      <w:pPr>
        <w:pStyle w:val="Heading4"/>
        <w:spacing w:before="0" w:after="0" w:line="480" w:lineRule="auto"/>
        <w:rPr>
          <w:szCs w:val="28"/>
        </w:rPr>
      </w:pPr>
      <w:bookmarkStart w:id="133" w:name="_Toc200097006"/>
      <w:r w:rsidRPr="00B902E6">
        <w:rPr>
          <w:szCs w:val="28"/>
        </w:rPr>
        <w:t>Predictors of COPD occurrence</w:t>
      </w:r>
      <w:bookmarkEnd w:id="133"/>
      <w:r w:rsidRPr="00B902E6">
        <w:rPr>
          <w:szCs w:val="28"/>
        </w:rPr>
        <w:t xml:space="preserve"> </w:t>
      </w:r>
    </w:p>
    <w:p w14:paraId="4325C204" w14:textId="6D94F90D" w:rsidR="0045673E" w:rsidRDefault="0045673E" w:rsidP="00DD1F85">
      <w:pPr>
        <w:spacing w:after="0" w:line="480" w:lineRule="auto"/>
        <w:ind w:firstLine="634"/>
        <w:rPr>
          <w:rFonts w:ascii="Times New Roman" w:hAnsi="Times New Roman" w:cs="Times New Roman"/>
          <w:iCs/>
        </w:rPr>
      </w:pPr>
      <w:r w:rsidRPr="0045673E">
        <w:rPr>
          <w:rFonts w:ascii="Times New Roman" w:hAnsi="Times New Roman" w:cs="Times New Roman"/>
          <w:iCs/>
        </w:rPr>
        <w:t xml:space="preserve">Of the potential predictors investigated, only sex and AQI category did not have univariable associations (p&gt;0.2) with COPD occurrence (Table </w:t>
      </w:r>
      <w:r w:rsidR="007B23A4">
        <w:rPr>
          <w:rFonts w:ascii="Times New Roman" w:hAnsi="Times New Roman" w:cs="Times New Roman"/>
          <w:iCs/>
        </w:rPr>
        <w:t>3.</w:t>
      </w:r>
      <w:r w:rsidRPr="0045673E">
        <w:rPr>
          <w:rFonts w:ascii="Times New Roman" w:hAnsi="Times New Roman" w:cs="Times New Roman"/>
          <w:iCs/>
        </w:rPr>
        <w:t xml:space="preserve">3). However, based on the multivariable model, significant (p&lt;0.05) predictors of COPD occurrence were age category, BMI category, smoking, history of asthma, DOE facility, and occupational exposure to silica (Table </w:t>
      </w:r>
      <w:r w:rsidR="007B23A4">
        <w:rPr>
          <w:rFonts w:ascii="Times New Roman" w:hAnsi="Times New Roman" w:cs="Times New Roman"/>
          <w:iCs/>
        </w:rPr>
        <w:t>3.</w:t>
      </w:r>
      <w:r w:rsidRPr="0045673E">
        <w:rPr>
          <w:rFonts w:ascii="Times New Roman" w:hAnsi="Times New Roman" w:cs="Times New Roman"/>
          <w:iCs/>
        </w:rPr>
        <w:t xml:space="preserve">4). The odds of COPD were higher across all age categories compared to those &lt; 55 years old, and the odds ratios steadily increased with each advancing age category, reaching its highest value of 3.184 (95% CI: 2.786, 3.638) among those </w:t>
      </w:r>
      <w:r w:rsidRPr="0045673E">
        <w:rPr>
          <w:rFonts w:ascii="Times New Roman" w:hAnsi="Times New Roman" w:cs="Times New Roman"/>
          <w:iCs/>
        </w:rPr>
        <w:sym w:font="Symbol" w:char="F0B3"/>
      </w:r>
      <w:r w:rsidRPr="0045673E">
        <w:rPr>
          <w:rFonts w:ascii="Times New Roman" w:hAnsi="Times New Roman" w:cs="Times New Roman"/>
          <w:iCs/>
        </w:rPr>
        <w:t xml:space="preserve">75 years old. Individuals who were underweight had higher odds of COPD (OR: 2.161; 95% CI: 1.355, 3.445) compared to normal weight individuals. However, those who were overweight (OR: 0.676; 95% CI: 0.612, 0.746) or obese (OR: 0.513: 95% CI: 0.463, 0.569) had lower odds of COPD compared to individuals with normal weight. The odds of COPD occurrence were 2.029 times (95% CI: 1.877, 2.193) higher among ever smokers than non-smokers. Individuals with a self-reported history of asthma had </w:t>
      </w:r>
      <w:r w:rsidRPr="0045673E">
        <w:rPr>
          <w:rFonts w:ascii="Times New Roman" w:hAnsi="Times New Roman" w:cs="Times New Roman"/>
          <w:iCs/>
        </w:rPr>
        <w:lastRenderedPageBreak/>
        <w:t>2.259 times (95% CI: 2.035, 2.508) higher odds of COPD occurrence compared to those without history of asthma. Additionally, NSSP participants who were employed at uranium processing facilities (OR: 1.255; 95% CI: 1.057, 1.491) or weapons production facilities (OR: 1.173; 95% CI: 1.061, 1.296) had higher odds of COPD occurrence compared to participants employed at science and laboratory facilities. The Hosmer-</w:t>
      </w:r>
      <w:proofErr w:type="spellStart"/>
      <w:r w:rsidRPr="0045673E">
        <w:rPr>
          <w:rFonts w:ascii="Times New Roman" w:hAnsi="Times New Roman" w:cs="Times New Roman"/>
          <w:iCs/>
        </w:rPr>
        <w:t>Lemeshow</w:t>
      </w:r>
      <w:proofErr w:type="spellEnd"/>
      <w:r w:rsidRPr="0045673E">
        <w:rPr>
          <w:rFonts w:ascii="Times New Roman" w:hAnsi="Times New Roman" w:cs="Times New Roman"/>
          <w:iCs/>
        </w:rPr>
        <w:t xml:space="preserve"> goodness of fit test p-value was p=0.0872 implying a good model fit.</w:t>
      </w:r>
    </w:p>
    <w:p w14:paraId="01DE80F1" w14:textId="77777777" w:rsidR="004A7120" w:rsidRDefault="004A7120" w:rsidP="004A7120">
      <w:pPr>
        <w:spacing w:line="480" w:lineRule="auto"/>
        <w:rPr>
          <w:rFonts w:ascii="Times New Roman" w:hAnsi="Times New Roman" w:cs="Times New Roman"/>
          <w:iCs/>
        </w:rPr>
        <w:sectPr w:rsidR="004A7120" w:rsidSect="009C2E43">
          <w:pgSz w:w="12240" w:h="15840"/>
          <w:pgMar w:top="1440" w:right="1440" w:bottom="1440" w:left="1440" w:header="720" w:footer="720" w:gutter="0"/>
          <w:cols w:space="720"/>
          <w:docGrid w:linePitch="360"/>
        </w:sectPr>
      </w:pPr>
    </w:p>
    <w:p w14:paraId="6715B2D5" w14:textId="68EED97E" w:rsidR="004A7120" w:rsidRDefault="004A7120" w:rsidP="00DD1F85">
      <w:pPr>
        <w:pStyle w:val="Caption"/>
        <w:spacing w:after="0"/>
      </w:pPr>
      <w:bookmarkStart w:id="134" w:name="_Toc199886032"/>
      <w:bookmarkStart w:id="135" w:name="_Toc200097049"/>
      <w:r>
        <w:lastRenderedPageBreak/>
        <w:t xml:space="preserve">Table </w:t>
      </w:r>
      <w:r w:rsidR="00450C23">
        <w:fldChar w:fldCharType="begin"/>
      </w:r>
      <w:r w:rsidR="00450C23">
        <w:instrText xml:space="preserve"> STYLEREF 1 \s </w:instrText>
      </w:r>
      <w:r w:rsidR="00450C23">
        <w:fldChar w:fldCharType="separate"/>
      </w:r>
      <w:r w:rsidR="005D69AE">
        <w:rPr>
          <w:noProof/>
        </w:rPr>
        <w:t>3</w:t>
      </w:r>
      <w:r w:rsidR="00450C23">
        <w:rPr>
          <w:noProof/>
        </w:rPr>
        <w:fldChar w:fldCharType="end"/>
      </w:r>
      <w:r w:rsidR="005D69AE">
        <w:t>.</w:t>
      </w:r>
      <w:r w:rsidR="00450C23">
        <w:fldChar w:fldCharType="begin"/>
      </w:r>
      <w:r w:rsidR="00450C23">
        <w:instrText xml:space="preserve"> SEQ Table \* ARABIC \s 1 </w:instrText>
      </w:r>
      <w:r w:rsidR="00450C23">
        <w:fldChar w:fldCharType="separate"/>
      </w:r>
      <w:r w:rsidR="005D69AE">
        <w:rPr>
          <w:noProof/>
        </w:rPr>
        <w:t>3</w:t>
      </w:r>
      <w:r w:rsidR="00450C23">
        <w:rPr>
          <w:noProof/>
        </w:rPr>
        <w:fldChar w:fldCharType="end"/>
      </w:r>
      <w:r>
        <w:t xml:space="preserve">. </w:t>
      </w:r>
      <w:r w:rsidRPr="006A6414">
        <w:t>Unadjusted logistic regression model results investigating predictors of chronic obstructive pulmonary disease occurrence among the National Supplemental Screening Program participants, 2006-2019</w:t>
      </w:r>
      <w:bookmarkEnd w:id="134"/>
      <w:bookmarkEnd w:id="135"/>
    </w:p>
    <w:tbl>
      <w:tblPr>
        <w:tblW w:w="13230" w:type="dxa"/>
        <w:tblLook w:val="04A0" w:firstRow="1" w:lastRow="0" w:firstColumn="1" w:lastColumn="0" w:noHBand="0" w:noVBand="1"/>
      </w:tblPr>
      <w:tblGrid>
        <w:gridCol w:w="5580"/>
        <w:gridCol w:w="1890"/>
        <w:gridCol w:w="2880"/>
        <w:gridCol w:w="1350"/>
        <w:gridCol w:w="1530"/>
      </w:tblGrid>
      <w:tr w:rsidR="004A7120" w:rsidRPr="004A7120" w14:paraId="5805D170" w14:textId="77777777" w:rsidTr="008535F6">
        <w:trPr>
          <w:trHeight w:val="310"/>
          <w:tblHeader/>
        </w:trPr>
        <w:tc>
          <w:tcPr>
            <w:tcW w:w="5580" w:type="dxa"/>
            <w:tcBorders>
              <w:top w:val="single" w:sz="12" w:space="0" w:color="auto"/>
              <w:left w:val="nil"/>
              <w:bottom w:val="single" w:sz="12" w:space="0" w:color="auto"/>
              <w:right w:val="nil"/>
            </w:tcBorders>
            <w:shd w:val="clear" w:color="auto" w:fill="auto"/>
            <w:noWrap/>
            <w:vAlign w:val="center"/>
            <w:hideMark/>
          </w:tcPr>
          <w:p w14:paraId="17406C8A"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Characteristics</w:t>
            </w:r>
          </w:p>
        </w:tc>
        <w:tc>
          <w:tcPr>
            <w:tcW w:w="1890" w:type="dxa"/>
            <w:tcBorders>
              <w:top w:val="single" w:sz="12" w:space="0" w:color="auto"/>
              <w:left w:val="nil"/>
              <w:bottom w:val="single" w:sz="12" w:space="0" w:color="auto"/>
              <w:right w:val="nil"/>
            </w:tcBorders>
            <w:shd w:val="clear" w:color="auto" w:fill="auto"/>
            <w:noWrap/>
            <w:vAlign w:val="center"/>
            <w:hideMark/>
          </w:tcPr>
          <w:p w14:paraId="1D909CDD"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Odds Ratio</w:t>
            </w:r>
          </w:p>
        </w:tc>
        <w:tc>
          <w:tcPr>
            <w:tcW w:w="2880" w:type="dxa"/>
            <w:tcBorders>
              <w:top w:val="single" w:sz="12" w:space="0" w:color="auto"/>
              <w:left w:val="nil"/>
              <w:bottom w:val="single" w:sz="12" w:space="0" w:color="auto"/>
              <w:right w:val="nil"/>
            </w:tcBorders>
            <w:shd w:val="clear" w:color="auto" w:fill="auto"/>
            <w:noWrap/>
            <w:vAlign w:val="center"/>
            <w:hideMark/>
          </w:tcPr>
          <w:p w14:paraId="4FDE7CA3"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95% Confidence Interval</w:t>
            </w:r>
          </w:p>
        </w:tc>
        <w:tc>
          <w:tcPr>
            <w:tcW w:w="1350" w:type="dxa"/>
            <w:tcBorders>
              <w:top w:val="single" w:sz="12" w:space="0" w:color="auto"/>
              <w:left w:val="nil"/>
              <w:bottom w:val="single" w:sz="12" w:space="0" w:color="auto"/>
              <w:right w:val="nil"/>
            </w:tcBorders>
            <w:shd w:val="clear" w:color="auto" w:fill="auto"/>
            <w:noWrap/>
            <w:vAlign w:val="center"/>
            <w:hideMark/>
          </w:tcPr>
          <w:p w14:paraId="25605574"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p-value</w:t>
            </w:r>
          </w:p>
        </w:tc>
        <w:tc>
          <w:tcPr>
            <w:tcW w:w="1530" w:type="dxa"/>
            <w:tcBorders>
              <w:top w:val="single" w:sz="12" w:space="0" w:color="auto"/>
              <w:left w:val="nil"/>
              <w:bottom w:val="single" w:sz="12" w:space="0" w:color="auto"/>
              <w:right w:val="nil"/>
            </w:tcBorders>
          </w:tcPr>
          <w:p w14:paraId="7BBB0D9E"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 xml:space="preserve">Overall </w:t>
            </w:r>
          </w:p>
          <w:p w14:paraId="5206555E"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p-value</w:t>
            </w:r>
          </w:p>
        </w:tc>
      </w:tr>
      <w:tr w:rsidR="004A7120" w:rsidRPr="004A7120" w14:paraId="136BD216" w14:textId="77777777" w:rsidTr="008535F6">
        <w:trPr>
          <w:trHeight w:val="310"/>
        </w:trPr>
        <w:tc>
          <w:tcPr>
            <w:tcW w:w="5580" w:type="dxa"/>
            <w:tcBorders>
              <w:top w:val="single" w:sz="12" w:space="0" w:color="auto"/>
              <w:left w:val="nil"/>
              <w:bottom w:val="nil"/>
              <w:right w:val="nil"/>
            </w:tcBorders>
            <w:shd w:val="clear" w:color="auto" w:fill="auto"/>
            <w:noWrap/>
            <w:vAlign w:val="bottom"/>
          </w:tcPr>
          <w:p w14:paraId="72408ACE"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sz w:val="22"/>
                <w:szCs w:val="22"/>
                <w14:ligatures w14:val="none"/>
              </w:rPr>
              <w:t>Race</w:t>
            </w:r>
          </w:p>
        </w:tc>
        <w:tc>
          <w:tcPr>
            <w:tcW w:w="1890" w:type="dxa"/>
            <w:tcBorders>
              <w:top w:val="single" w:sz="12" w:space="0" w:color="auto"/>
              <w:left w:val="nil"/>
              <w:bottom w:val="nil"/>
              <w:right w:val="nil"/>
            </w:tcBorders>
            <w:shd w:val="clear" w:color="auto" w:fill="auto"/>
            <w:noWrap/>
            <w:vAlign w:val="bottom"/>
          </w:tcPr>
          <w:p w14:paraId="3119E7DD"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p>
        </w:tc>
        <w:tc>
          <w:tcPr>
            <w:tcW w:w="2880" w:type="dxa"/>
            <w:tcBorders>
              <w:top w:val="single" w:sz="12" w:space="0" w:color="auto"/>
              <w:left w:val="nil"/>
              <w:bottom w:val="nil"/>
              <w:right w:val="nil"/>
            </w:tcBorders>
            <w:shd w:val="clear" w:color="auto" w:fill="auto"/>
            <w:noWrap/>
            <w:vAlign w:val="bottom"/>
          </w:tcPr>
          <w:p w14:paraId="49E0D9D5"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350" w:type="dxa"/>
            <w:tcBorders>
              <w:top w:val="single" w:sz="12" w:space="0" w:color="auto"/>
              <w:left w:val="nil"/>
              <w:bottom w:val="nil"/>
              <w:right w:val="nil"/>
            </w:tcBorders>
            <w:shd w:val="clear" w:color="auto" w:fill="auto"/>
            <w:noWrap/>
            <w:vAlign w:val="bottom"/>
          </w:tcPr>
          <w:p w14:paraId="5211A455"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530" w:type="dxa"/>
            <w:tcBorders>
              <w:top w:val="single" w:sz="12" w:space="0" w:color="auto"/>
              <w:left w:val="nil"/>
              <w:bottom w:val="nil"/>
              <w:right w:val="nil"/>
            </w:tcBorders>
            <w:vAlign w:val="center"/>
          </w:tcPr>
          <w:p w14:paraId="09DA368F"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&lt;0.001</w:t>
            </w:r>
          </w:p>
        </w:tc>
      </w:tr>
      <w:tr w:rsidR="004A7120" w:rsidRPr="004A7120" w14:paraId="23B1305A" w14:textId="77777777" w:rsidTr="00F5727C">
        <w:trPr>
          <w:trHeight w:val="310"/>
        </w:trPr>
        <w:tc>
          <w:tcPr>
            <w:tcW w:w="5580" w:type="dxa"/>
            <w:tcBorders>
              <w:left w:val="nil"/>
              <w:bottom w:val="nil"/>
              <w:right w:val="nil"/>
            </w:tcBorders>
            <w:shd w:val="clear" w:color="auto" w:fill="auto"/>
            <w:noWrap/>
            <w:vAlign w:val="bottom"/>
          </w:tcPr>
          <w:p w14:paraId="2A674A12" w14:textId="77777777" w:rsidR="004A7120" w:rsidRPr="004A7120" w:rsidRDefault="004A7120" w:rsidP="004A7120">
            <w:pPr>
              <w:spacing w:after="0" w:line="240" w:lineRule="auto"/>
              <w:ind w:left="720"/>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Black</w:t>
            </w:r>
          </w:p>
        </w:tc>
        <w:tc>
          <w:tcPr>
            <w:tcW w:w="1890" w:type="dxa"/>
            <w:tcBorders>
              <w:left w:val="nil"/>
              <w:bottom w:val="nil"/>
              <w:right w:val="nil"/>
            </w:tcBorders>
            <w:shd w:val="clear" w:color="auto" w:fill="auto"/>
            <w:noWrap/>
            <w:vAlign w:val="center"/>
          </w:tcPr>
          <w:p w14:paraId="5791513B" w14:textId="77777777" w:rsidR="004A7120" w:rsidRPr="004A7120" w:rsidRDefault="004A7120" w:rsidP="00F5727C">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0.776</w:t>
            </w:r>
          </w:p>
        </w:tc>
        <w:tc>
          <w:tcPr>
            <w:tcW w:w="2880" w:type="dxa"/>
            <w:tcBorders>
              <w:left w:val="nil"/>
              <w:bottom w:val="nil"/>
              <w:right w:val="nil"/>
            </w:tcBorders>
            <w:shd w:val="clear" w:color="auto" w:fill="auto"/>
            <w:noWrap/>
            <w:vAlign w:val="center"/>
          </w:tcPr>
          <w:p w14:paraId="7CE62337"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0.673, 0.894</w:t>
            </w:r>
          </w:p>
        </w:tc>
        <w:tc>
          <w:tcPr>
            <w:tcW w:w="1350" w:type="dxa"/>
            <w:tcBorders>
              <w:left w:val="nil"/>
              <w:bottom w:val="nil"/>
              <w:right w:val="nil"/>
            </w:tcBorders>
            <w:shd w:val="clear" w:color="auto" w:fill="auto"/>
            <w:noWrap/>
            <w:vAlign w:val="center"/>
          </w:tcPr>
          <w:p w14:paraId="23E1EC91"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&lt;0.001</w:t>
            </w:r>
          </w:p>
        </w:tc>
        <w:tc>
          <w:tcPr>
            <w:tcW w:w="1530" w:type="dxa"/>
            <w:tcBorders>
              <w:left w:val="nil"/>
              <w:bottom w:val="nil"/>
              <w:right w:val="nil"/>
            </w:tcBorders>
          </w:tcPr>
          <w:p w14:paraId="2D3D4C9F"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4F32D813" w14:textId="77777777" w:rsidTr="00F5727C">
        <w:trPr>
          <w:trHeight w:val="310"/>
        </w:trPr>
        <w:tc>
          <w:tcPr>
            <w:tcW w:w="5580" w:type="dxa"/>
            <w:tcBorders>
              <w:left w:val="nil"/>
              <w:bottom w:val="nil"/>
              <w:right w:val="nil"/>
            </w:tcBorders>
            <w:shd w:val="clear" w:color="auto" w:fill="auto"/>
            <w:noWrap/>
            <w:vAlign w:val="bottom"/>
          </w:tcPr>
          <w:p w14:paraId="5F98B633"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Non-Black</w:t>
            </w:r>
          </w:p>
        </w:tc>
        <w:tc>
          <w:tcPr>
            <w:tcW w:w="6120" w:type="dxa"/>
            <w:gridSpan w:val="3"/>
            <w:tcBorders>
              <w:left w:val="nil"/>
              <w:bottom w:val="nil"/>
              <w:right w:val="nil"/>
            </w:tcBorders>
            <w:shd w:val="clear" w:color="auto" w:fill="auto"/>
            <w:noWrap/>
            <w:vAlign w:val="center"/>
          </w:tcPr>
          <w:p w14:paraId="0092A3A3"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i/>
                <w:iCs/>
                <w:color w:val="000000"/>
                <w:kern w:val="0"/>
                <w14:ligatures w14:val="none"/>
              </w:rPr>
              <w:t>Reference</w:t>
            </w:r>
          </w:p>
        </w:tc>
        <w:tc>
          <w:tcPr>
            <w:tcW w:w="1530" w:type="dxa"/>
            <w:tcBorders>
              <w:left w:val="nil"/>
              <w:bottom w:val="nil"/>
              <w:right w:val="nil"/>
            </w:tcBorders>
          </w:tcPr>
          <w:p w14:paraId="149C6747"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64B107C1" w14:textId="77777777" w:rsidTr="00F5727C">
        <w:trPr>
          <w:trHeight w:val="310"/>
        </w:trPr>
        <w:tc>
          <w:tcPr>
            <w:tcW w:w="5580" w:type="dxa"/>
            <w:tcBorders>
              <w:left w:val="nil"/>
              <w:bottom w:val="nil"/>
              <w:right w:val="nil"/>
            </w:tcBorders>
            <w:shd w:val="clear" w:color="auto" w:fill="auto"/>
            <w:noWrap/>
            <w:vAlign w:val="bottom"/>
          </w:tcPr>
          <w:p w14:paraId="6C98289B"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Sex</w:t>
            </w:r>
          </w:p>
        </w:tc>
        <w:tc>
          <w:tcPr>
            <w:tcW w:w="1890" w:type="dxa"/>
            <w:tcBorders>
              <w:left w:val="nil"/>
              <w:bottom w:val="nil"/>
              <w:right w:val="nil"/>
            </w:tcBorders>
            <w:shd w:val="clear" w:color="auto" w:fill="auto"/>
            <w:noWrap/>
            <w:vAlign w:val="bottom"/>
          </w:tcPr>
          <w:p w14:paraId="245AA06C"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p>
        </w:tc>
        <w:tc>
          <w:tcPr>
            <w:tcW w:w="2880" w:type="dxa"/>
            <w:tcBorders>
              <w:left w:val="nil"/>
              <w:bottom w:val="nil"/>
              <w:right w:val="nil"/>
            </w:tcBorders>
            <w:shd w:val="clear" w:color="auto" w:fill="auto"/>
            <w:noWrap/>
            <w:vAlign w:val="bottom"/>
          </w:tcPr>
          <w:p w14:paraId="43C9081B"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350" w:type="dxa"/>
            <w:tcBorders>
              <w:left w:val="nil"/>
              <w:bottom w:val="nil"/>
              <w:right w:val="nil"/>
            </w:tcBorders>
            <w:shd w:val="clear" w:color="auto" w:fill="auto"/>
            <w:noWrap/>
            <w:vAlign w:val="bottom"/>
          </w:tcPr>
          <w:p w14:paraId="1248C87B"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530" w:type="dxa"/>
            <w:tcBorders>
              <w:left w:val="nil"/>
              <w:bottom w:val="nil"/>
              <w:right w:val="nil"/>
            </w:tcBorders>
          </w:tcPr>
          <w:p w14:paraId="0D3FD3E7"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0.683</w:t>
            </w:r>
          </w:p>
        </w:tc>
      </w:tr>
      <w:tr w:rsidR="004A7120" w:rsidRPr="004A7120" w14:paraId="699CDA2D" w14:textId="77777777" w:rsidTr="00F5727C">
        <w:trPr>
          <w:trHeight w:val="310"/>
        </w:trPr>
        <w:tc>
          <w:tcPr>
            <w:tcW w:w="5580" w:type="dxa"/>
            <w:tcBorders>
              <w:top w:val="nil"/>
              <w:left w:val="nil"/>
              <w:bottom w:val="nil"/>
              <w:right w:val="nil"/>
            </w:tcBorders>
            <w:shd w:val="clear" w:color="auto" w:fill="auto"/>
            <w:noWrap/>
            <w:vAlign w:val="bottom"/>
            <w:hideMark/>
          </w:tcPr>
          <w:p w14:paraId="768351D9"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Female</w:t>
            </w:r>
          </w:p>
        </w:tc>
        <w:tc>
          <w:tcPr>
            <w:tcW w:w="1890" w:type="dxa"/>
            <w:tcBorders>
              <w:top w:val="nil"/>
              <w:left w:val="nil"/>
              <w:bottom w:val="nil"/>
              <w:right w:val="nil"/>
            </w:tcBorders>
            <w:shd w:val="clear" w:color="auto" w:fill="auto"/>
            <w:noWrap/>
            <w:vAlign w:val="bottom"/>
            <w:hideMark/>
          </w:tcPr>
          <w:p w14:paraId="26E7F0C3"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0.983</w:t>
            </w:r>
          </w:p>
        </w:tc>
        <w:tc>
          <w:tcPr>
            <w:tcW w:w="2880" w:type="dxa"/>
            <w:tcBorders>
              <w:top w:val="nil"/>
              <w:left w:val="nil"/>
              <w:bottom w:val="nil"/>
              <w:right w:val="nil"/>
            </w:tcBorders>
            <w:shd w:val="clear" w:color="auto" w:fill="auto"/>
            <w:noWrap/>
            <w:vAlign w:val="bottom"/>
            <w:hideMark/>
          </w:tcPr>
          <w:p w14:paraId="2B0C374B"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0.903, 1.069</w:t>
            </w:r>
          </w:p>
        </w:tc>
        <w:tc>
          <w:tcPr>
            <w:tcW w:w="1350" w:type="dxa"/>
            <w:tcBorders>
              <w:top w:val="nil"/>
              <w:left w:val="nil"/>
              <w:bottom w:val="nil"/>
              <w:right w:val="nil"/>
            </w:tcBorders>
            <w:shd w:val="clear" w:color="auto" w:fill="auto"/>
            <w:noWrap/>
            <w:vAlign w:val="bottom"/>
            <w:hideMark/>
          </w:tcPr>
          <w:p w14:paraId="0EB1F28B"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0.683</w:t>
            </w:r>
          </w:p>
        </w:tc>
        <w:tc>
          <w:tcPr>
            <w:tcW w:w="1530" w:type="dxa"/>
            <w:tcBorders>
              <w:top w:val="nil"/>
              <w:left w:val="nil"/>
              <w:bottom w:val="nil"/>
              <w:right w:val="nil"/>
            </w:tcBorders>
          </w:tcPr>
          <w:p w14:paraId="5BB27E1C"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4E36AB5E" w14:textId="77777777" w:rsidTr="00F5727C">
        <w:trPr>
          <w:trHeight w:val="310"/>
        </w:trPr>
        <w:tc>
          <w:tcPr>
            <w:tcW w:w="5580" w:type="dxa"/>
            <w:tcBorders>
              <w:top w:val="nil"/>
              <w:left w:val="nil"/>
              <w:bottom w:val="nil"/>
              <w:right w:val="nil"/>
            </w:tcBorders>
            <w:shd w:val="clear" w:color="auto" w:fill="auto"/>
            <w:noWrap/>
            <w:vAlign w:val="bottom"/>
          </w:tcPr>
          <w:p w14:paraId="416AE0AA"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Male</w:t>
            </w:r>
          </w:p>
        </w:tc>
        <w:tc>
          <w:tcPr>
            <w:tcW w:w="6120" w:type="dxa"/>
            <w:gridSpan w:val="3"/>
            <w:tcBorders>
              <w:top w:val="nil"/>
              <w:left w:val="nil"/>
              <w:bottom w:val="nil"/>
              <w:right w:val="nil"/>
            </w:tcBorders>
            <w:shd w:val="clear" w:color="auto" w:fill="auto"/>
            <w:noWrap/>
            <w:vAlign w:val="bottom"/>
          </w:tcPr>
          <w:p w14:paraId="3C39BE50"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i/>
                <w:iCs/>
                <w:color w:val="000000"/>
                <w:kern w:val="0"/>
                <w14:ligatures w14:val="none"/>
              </w:rPr>
              <w:t>Reference</w:t>
            </w:r>
          </w:p>
        </w:tc>
        <w:tc>
          <w:tcPr>
            <w:tcW w:w="1530" w:type="dxa"/>
            <w:tcBorders>
              <w:top w:val="nil"/>
              <w:left w:val="nil"/>
              <w:bottom w:val="nil"/>
              <w:right w:val="nil"/>
            </w:tcBorders>
          </w:tcPr>
          <w:p w14:paraId="0E46D3C3"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10F32CBD" w14:textId="77777777" w:rsidTr="00F5727C">
        <w:trPr>
          <w:trHeight w:val="310"/>
        </w:trPr>
        <w:tc>
          <w:tcPr>
            <w:tcW w:w="5580" w:type="dxa"/>
            <w:tcBorders>
              <w:top w:val="nil"/>
              <w:left w:val="nil"/>
              <w:bottom w:val="nil"/>
              <w:right w:val="nil"/>
            </w:tcBorders>
            <w:shd w:val="clear" w:color="auto" w:fill="auto"/>
            <w:noWrap/>
            <w:vAlign w:val="bottom"/>
          </w:tcPr>
          <w:p w14:paraId="22591296" w14:textId="77777777" w:rsidR="004A7120" w:rsidRPr="004A7120" w:rsidRDefault="004A7120" w:rsidP="004A7120">
            <w:pPr>
              <w:spacing w:after="0" w:line="240" w:lineRule="auto"/>
              <w:rPr>
                <w:rFonts w:ascii="Times New Roman" w:eastAsia="Calibri" w:hAnsi="Times New Roman" w:cs="Times New Roman"/>
                <w:color w:val="000000"/>
                <w:kern w:val="0"/>
                <w14:ligatures w14:val="none"/>
              </w:rPr>
            </w:pPr>
            <w:r w:rsidRPr="004A7120">
              <w:rPr>
                <w:rFonts w:ascii="Times New Roman" w:eastAsia="Calibri" w:hAnsi="Times New Roman" w:cs="Times New Roman"/>
                <w:b/>
                <w:bCs/>
                <w:color w:val="000000"/>
                <w:kern w:val="0"/>
                <w14:ligatures w14:val="none"/>
              </w:rPr>
              <w:t>Age Categories</w:t>
            </w:r>
          </w:p>
        </w:tc>
        <w:tc>
          <w:tcPr>
            <w:tcW w:w="1890" w:type="dxa"/>
            <w:tcBorders>
              <w:top w:val="nil"/>
              <w:left w:val="nil"/>
              <w:bottom w:val="nil"/>
              <w:right w:val="nil"/>
            </w:tcBorders>
            <w:shd w:val="clear" w:color="auto" w:fill="auto"/>
            <w:noWrap/>
            <w:vAlign w:val="bottom"/>
          </w:tcPr>
          <w:p w14:paraId="4E2ACB60"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c>
          <w:tcPr>
            <w:tcW w:w="2880" w:type="dxa"/>
            <w:tcBorders>
              <w:top w:val="nil"/>
              <w:left w:val="nil"/>
              <w:bottom w:val="nil"/>
              <w:right w:val="nil"/>
            </w:tcBorders>
            <w:shd w:val="clear" w:color="auto" w:fill="auto"/>
            <w:noWrap/>
            <w:vAlign w:val="bottom"/>
          </w:tcPr>
          <w:p w14:paraId="5AC8F545"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c>
          <w:tcPr>
            <w:tcW w:w="1350" w:type="dxa"/>
            <w:tcBorders>
              <w:top w:val="nil"/>
              <w:left w:val="nil"/>
              <w:bottom w:val="nil"/>
              <w:right w:val="nil"/>
            </w:tcBorders>
            <w:shd w:val="clear" w:color="auto" w:fill="auto"/>
            <w:noWrap/>
            <w:vAlign w:val="bottom"/>
          </w:tcPr>
          <w:p w14:paraId="6A763846"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c>
          <w:tcPr>
            <w:tcW w:w="1530" w:type="dxa"/>
            <w:tcBorders>
              <w:top w:val="nil"/>
              <w:left w:val="nil"/>
              <w:bottom w:val="nil"/>
              <w:right w:val="nil"/>
            </w:tcBorders>
            <w:vAlign w:val="center"/>
          </w:tcPr>
          <w:p w14:paraId="5459B7F6"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kern w:val="0"/>
                <w14:ligatures w14:val="none"/>
              </w:rPr>
              <w:t>&lt;0.001</w:t>
            </w:r>
          </w:p>
        </w:tc>
      </w:tr>
      <w:tr w:rsidR="004A7120" w:rsidRPr="004A7120" w14:paraId="24FC3426" w14:textId="77777777" w:rsidTr="00F5727C">
        <w:trPr>
          <w:trHeight w:val="310"/>
        </w:trPr>
        <w:tc>
          <w:tcPr>
            <w:tcW w:w="5580" w:type="dxa"/>
            <w:tcBorders>
              <w:top w:val="nil"/>
              <w:left w:val="nil"/>
              <w:bottom w:val="nil"/>
              <w:right w:val="nil"/>
            </w:tcBorders>
            <w:shd w:val="clear" w:color="auto" w:fill="auto"/>
            <w:noWrap/>
            <w:vAlign w:val="bottom"/>
          </w:tcPr>
          <w:p w14:paraId="5C08165D"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55-59 years old</w:t>
            </w:r>
          </w:p>
        </w:tc>
        <w:tc>
          <w:tcPr>
            <w:tcW w:w="1890" w:type="dxa"/>
            <w:tcBorders>
              <w:top w:val="nil"/>
              <w:left w:val="nil"/>
              <w:bottom w:val="nil"/>
              <w:right w:val="nil"/>
            </w:tcBorders>
            <w:shd w:val="clear" w:color="auto" w:fill="auto"/>
            <w:noWrap/>
            <w:vAlign w:val="center"/>
          </w:tcPr>
          <w:p w14:paraId="3D4EE778"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1.295</w:t>
            </w:r>
          </w:p>
        </w:tc>
        <w:tc>
          <w:tcPr>
            <w:tcW w:w="2880" w:type="dxa"/>
            <w:tcBorders>
              <w:top w:val="nil"/>
              <w:left w:val="nil"/>
              <w:bottom w:val="nil"/>
              <w:right w:val="nil"/>
            </w:tcBorders>
            <w:shd w:val="clear" w:color="auto" w:fill="auto"/>
            <w:noWrap/>
            <w:vAlign w:val="center"/>
          </w:tcPr>
          <w:p w14:paraId="1712BFD6"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1.010, 1.524</w:t>
            </w:r>
          </w:p>
        </w:tc>
        <w:tc>
          <w:tcPr>
            <w:tcW w:w="1350" w:type="dxa"/>
            <w:tcBorders>
              <w:top w:val="nil"/>
              <w:left w:val="nil"/>
              <w:bottom w:val="nil"/>
              <w:right w:val="nil"/>
            </w:tcBorders>
            <w:shd w:val="clear" w:color="auto" w:fill="auto"/>
            <w:noWrap/>
            <w:vAlign w:val="center"/>
          </w:tcPr>
          <w:p w14:paraId="45563508"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0.002</w:t>
            </w:r>
          </w:p>
        </w:tc>
        <w:tc>
          <w:tcPr>
            <w:tcW w:w="1530" w:type="dxa"/>
            <w:tcBorders>
              <w:top w:val="nil"/>
              <w:left w:val="nil"/>
              <w:bottom w:val="nil"/>
              <w:right w:val="nil"/>
            </w:tcBorders>
          </w:tcPr>
          <w:p w14:paraId="173D47E7"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4B476F7A" w14:textId="77777777" w:rsidTr="00F5727C">
        <w:trPr>
          <w:trHeight w:val="310"/>
        </w:trPr>
        <w:tc>
          <w:tcPr>
            <w:tcW w:w="5580" w:type="dxa"/>
            <w:tcBorders>
              <w:top w:val="nil"/>
              <w:left w:val="nil"/>
              <w:bottom w:val="nil"/>
              <w:right w:val="nil"/>
            </w:tcBorders>
            <w:shd w:val="clear" w:color="auto" w:fill="auto"/>
            <w:noWrap/>
            <w:vAlign w:val="bottom"/>
          </w:tcPr>
          <w:p w14:paraId="7A69575D"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60-64 years old</w:t>
            </w:r>
          </w:p>
        </w:tc>
        <w:tc>
          <w:tcPr>
            <w:tcW w:w="1890" w:type="dxa"/>
            <w:tcBorders>
              <w:top w:val="nil"/>
              <w:left w:val="nil"/>
              <w:bottom w:val="nil"/>
              <w:right w:val="nil"/>
            </w:tcBorders>
            <w:shd w:val="clear" w:color="auto" w:fill="auto"/>
            <w:noWrap/>
            <w:vAlign w:val="bottom"/>
          </w:tcPr>
          <w:p w14:paraId="36498884"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1.645</w:t>
            </w:r>
          </w:p>
        </w:tc>
        <w:tc>
          <w:tcPr>
            <w:tcW w:w="2880" w:type="dxa"/>
            <w:tcBorders>
              <w:top w:val="nil"/>
              <w:left w:val="nil"/>
              <w:bottom w:val="nil"/>
              <w:right w:val="nil"/>
            </w:tcBorders>
            <w:shd w:val="clear" w:color="auto" w:fill="auto"/>
            <w:noWrap/>
            <w:vAlign w:val="center"/>
          </w:tcPr>
          <w:p w14:paraId="3E070200"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1.423, 1.902</w:t>
            </w:r>
          </w:p>
        </w:tc>
        <w:tc>
          <w:tcPr>
            <w:tcW w:w="1350" w:type="dxa"/>
            <w:tcBorders>
              <w:top w:val="nil"/>
              <w:left w:val="nil"/>
              <w:bottom w:val="nil"/>
              <w:right w:val="nil"/>
            </w:tcBorders>
            <w:shd w:val="clear" w:color="auto" w:fill="auto"/>
            <w:noWrap/>
            <w:vAlign w:val="center"/>
          </w:tcPr>
          <w:p w14:paraId="2DE48FDF"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&lt;0.001</w:t>
            </w:r>
          </w:p>
        </w:tc>
        <w:tc>
          <w:tcPr>
            <w:tcW w:w="1530" w:type="dxa"/>
            <w:tcBorders>
              <w:top w:val="nil"/>
              <w:left w:val="nil"/>
              <w:bottom w:val="nil"/>
              <w:right w:val="nil"/>
            </w:tcBorders>
          </w:tcPr>
          <w:p w14:paraId="347017A2"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0B0C935C" w14:textId="77777777" w:rsidTr="00F5727C">
        <w:trPr>
          <w:trHeight w:val="310"/>
        </w:trPr>
        <w:tc>
          <w:tcPr>
            <w:tcW w:w="5580" w:type="dxa"/>
            <w:tcBorders>
              <w:top w:val="nil"/>
              <w:left w:val="nil"/>
              <w:bottom w:val="nil"/>
              <w:right w:val="nil"/>
            </w:tcBorders>
            <w:shd w:val="clear" w:color="auto" w:fill="auto"/>
            <w:noWrap/>
            <w:vAlign w:val="bottom"/>
          </w:tcPr>
          <w:p w14:paraId="0E8C7C0E"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65-69 years old</w:t>
            </w:r>
          </w:p>
        </w:tc>
        <w:tc>
          <w:tcPr>
            <w:tcW w:w="1890" w:type="dxa"/>
            <w:tcBorders>
              <w:top w:val="nil"/>
              <w:left w:val="nil"/>
              <w:bottom w:val="nil"/>
              <w:right w:val="nil"/>
            </w:tcBorders>
            <w:shd w:val="clear" w:color="auto" w:fill="auto"/>
            <w:noWrap/>
            <w:vAlign w:val="center"/>
          </w:tcPr>
          <w:p w14:paraId="3E7FEBAB"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1.944</w:t>
            </w:r>
          </w:p>
        </w:tc>
        <w:tc>
          <w:tcPr>
            <w:tcW w:w="2880" w:type="dxa"/>
            <w:tcBorders>
              <w:top w:val="nil"/>
              <w:left w:val="nil"/>
              <w:bottom w:val="nil"/>
              <w:right w:val="nil"/>
            </w:tcBorders>
            <w:shd w:val="clear" w:color="auto" w:fill="auto"/>
            <w:noWrap/>
            <w:vAlign w:val="center"/>
          </w:tcPr>
          <w:p w14:paraId="4C80DD01"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1.690, 2.238</w:t>
            </w:r>
          </w:p>
        </w:tc>
        <w:tc>
          <w:tcPr>
            <w:tcW w:w="1350" w:type="dxa"/>
            <w:tcBorders>
              <w:top w:val="nil"/>
              <w:left w:val="nil"/>
              <w:bottom w:val="nil"/>
              <w:right w:val="nil"/>
            </w:tcBorders>
            <w:shd w:val="clear" w:color="auto" w:fill="auto"/>
            <w:noWrap/>
            <w:vAlign w:val="center"/>
          </w:tcPr>
          <w:p w14:paraId="06AB600F"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&lt;0.001</w:t>
            </w:r>
          </w:p>
        </w:tc>
        <w:tc>
          <w:tcPr>
            <w:tcW w:w="1530" w:type="dxa"/>
            <w:tcBorders>
              <w:top w:val="nil"/>
              <w:left w:val="nil"/>
              <w:bottom w:val="nil"/>
              <w:right w:val="nil"/>
            </w:tcBorders>
          </w:tcPr>
          <w:p w14:paraId="7790DA1D"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062114FC" w14:textId="77777777" w:rsidTr="00F5727C">
        <w:trPr>
          <w:trHeight w:val="310"/>
        </w:trPr>
        <w:tc>
          <w:tcPr>
            <w:tcW w:w="5580" w:type="dxa"/>
            <w:tcBorders>
              <w:top w:val="nil"/>
              <w:left w:val="nil"/>
              <w:bottom w:val="nil"/>
              <w:right w:val="nil"/>
            </w:tcBorders>
            <w:shd w:val="clear" w:color="auto" w:fill="auto"/>
            <w:noWrap/>
            <w:vAlign w:val="bottom"/>
          </w:tcPr>
          <w:p w14:paraId="7C7DD79B"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70-74 years old</w:t>
            </w:r>
          </w:p>
        </w:tc>
        <w:tc>
          <w:tcPr>
            <w:tcW w:w="1890" w:type="dxa"/>
            <w:tcBorders>
              <w:top w:val="nil"/>
              <w:left w:val="nil"/>
              <w:bottom w:val="nil"/>
              <w:right w:val="nil"/>
            </w:tcBorders>
            <w:shd w:val="clear" w:color="auto" w:fill="auto"/>
            <w:noWrap/>
            <w:vAlign w:val="center"/>
          </w:tcPr>
          <w:p w14:paraId="02C55571"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2.292</w:t>
            </w:r>
          </w:p>
        </w:tc>
        <w:tc>
          <w:tcPr>
            <w:tcW w:w="2880" w:type="dxa"/>
            <w:tcBorders>
              <w:top w:val="nil"/>
              <w:left w:val="nil"/>
              <w:bottom w:val="nil"/>
              <w:right w:val="nil"/>
            </w:tcBorders>
            <w:shd w:val="clear" w:color="auto" w:fill="auto"/>
            <w:noWrap/>
            <w:vAlign w:val="center"/>
          </w:tcPr>
          <w:p w14:paraId="676B748A"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1.987, 2.642</w:t>
            </w:r>
          </w:p>
        </w:tc>
        <w:tc>
          <w:tcPr>
            <w:tcW w:w="1350" w:type="dxa"/>
            <w:tcBorders>
              <w:top w:val="nil"/>
              <w:left w:val="nil"/>
              <w:bottom w:val="nil"/>
              <w:right w:val="nil"/>
            </w:tcBorders>
            <w:shd w:val="clear" w:color="auto" w:fill="auto"/>
            <w:noWrap/>
            <w:vAlign w:val="center"/>
          </w:tcPr>
          <w:p w14:paraId="2062BD96"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&lt;0.001</w:t>
            </w:r>
          </w:p>
        </w:tc>
        <w:tc>
          <w:tcPr>
            <w:tcW w:w="1530" w:type="dxa"/>
            <w:tcBorders>
              <w:top w:val="nil"/>
              <w:left w:val="nil"/>
              <w:bottom w:val="nil"/>
              <w:right w:val="nil"/>
            </w:tcBorders>
          </w:tcPr>
          <w:p w14:paraId="070FD9BE"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5ED755E7" w14:textId="77777777" w:rsidTr="00F5727C">
        <w:trPr>
          <w:trHeight w:val="310"/>
        </w:trPr>
        <w:tc>
          <w:tcPr>
            <w:tcW w:w="5580" w:type="dxa"/>
            <w:tcBorders>
              <w:top w:val="nil"/>
              <w:left w:val="nil"/>
              <w:bottom w:val="nil"/>
              <w:right w:val="nil"/>
            </w:tcBorders>
            <w:shd w:val="clear" w:color="auto" w:fill="auto"/>
            <w:noWrap/>
            <w:vAlign w:val="bottom"/>
          </w:tcPr>
          <w:p w14:paraId="3E2EBB8C"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 75 years old</w:t>
            </w:r>
          </w:p>
        </w:tc>
        <w:tc>
          <w:tcPr>
            <w:tcW w:w="1890" w:type="dxa"/>
            <w:tcBorders>
              <w:top w:val="nil"/>
              <w:left w:val="nil"/>
              <w:bottom w:val="nil"/>
              <w:right w:val="nil"/>
            </w:tcBorders>
            <w:shd w:val="clear" w:color="auto" w:fill="auto"/>
            <w:noWrap/>
            <w:vAlign w:val="center"/>
          </w:tcPr>
          <w:p w14:paraId="21DDC5F3"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3.645</w:t>
            </w:r>
          </w:p>
        </w:tc>
        <w:tc>
          <w:tcPr>
            <w:tcW w:w="2880" w:type="dxa"/>
            <w:tcBorders>
              <w:top w:val="nil"/>
              <w:left w:val="nil"/>
              <w:bottom w:val="nil"/>
              <w:right w:val="nil"/>
            </w:tcBorders>
            <w:shd w:val="clear" w:color="auto" w:fill="auto"/>
            <w:noWrap/>
            <w:vAlign w:val="center"/>
          </w:tcPr>
          <w:p w14:paraId="53FFB7D2"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3.204, 4.146</w:t>
            </w:r>
          </w:p>
        </w:tc>
        <w:tc>
          <w:tcPr>
            <w:tcW w:w="1350" w:type="dxa"/>
            <w:tcBorders>
              <w:top w:val="nil"/>
              <w:left w:val="nil"/>
              <w:bottom w:val="nil"/>
              <w:right w:val="nil"/>
            </w:tcBorders>
            <w:shd w:val="clear" w:color="auto" w:fill="auto"/>
            <w:noWrap/>
            <w:vAlign w:val="center"/>
          </w:tcPr>
          <w:p w14:paraId="143BC424"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&lt;0.001</w:t>
            </w:r>
          </w:p>
        </w:tc>
        <w:tc>
          <w:tcPr>
            <w:tcW w:w="1530" w:type="dxa"/>
            <w:tcBorders>
              <w:top w:val="nil"/>
              <w:left w:val="nil"/>
              <w:bottom w:val="nil"/>
              <w:right w:val="nil"/>
            </w:tcBorders>
          </w:tcPr>
          <w:p w14:paraId="53E04C2E"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68BFCDEE" w14:textId="77777777" w:rsidTr="00F5727C">
        <w:trPr>
          <w:trHeight w:val="310"/>
        </w:trPr>
        <w:tc>
          <w:tcPr>
            <w:tcW w:w="5580" w:type="dxa"/>
            <w:tcBorders>
              <w:top w:val="nil"/>
              <w:left w:val="nil"/>
              <w:bottom w:val="nil"/>
              <w:right w:val="nil"/>
            </w:tcBorders>
            <w:shd w:val="clear" w:color="auto" w:fill="auto"/>
            <w:noWrap/>
            <w:vAlign w:val="bottom"/>
          </w:tcPr>
          <w:p w14:paraId="06076CEB"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&lt; 55 years old</w:t>
            </w:r>
          </w:p>
        </w:tc>
        <w:tc>
          <w:tcPr>
            <w:tcW w:w="6120" w:type="dxa"/>
            <w:gridSpan w:val="3"/>
            <w:tcBorders>
              <w:top w:val="nil"/>
              <w:left w:val="nil"/>
              <w:bottom w:val="nil"/>
              <w:right w:val="nil"/>
            </w:tcBorders>
            <w:shd w:val="clear" w:color="auto" w:fill="auto"/>
            <w:noWrap/>
            <w:vAlign w:val="center"/>
          </w:tcPr>
          <w:p w14:paraId="65EA195C"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i/>
                <w:iCs/>
                <w:color w:val="000000"/>
                <w:kern w:val="0"/>
                <w14:ligatures w14:val="none"/>
              </w:rPr>
              <w:t>Reference</w:t>
            </w:r>
          </w:p>
        </w:tc>
        <w:tc>
          <w:tcPr>
            <w:tcW w:w="1530" w:type="dxa"/>
            <w:tcBorders>
              <w:top w:val="nil"/>
              <w:left w:val="nil"/>
              <w:bottom w:val="nil"/>
              <w:right w:val="nil"/>
            </w:tcBorders>
          </w:tcPr>
          <w:p w14:paraId="60DBBBC8"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3FEB8394" w14:textId="77777777" w:rsidTr="00F5727C">
        <w:trPr>
          <w:trHeight w:val="310"/>
        </w:trPr>
        <w:tc>
          <w:tcPr>
            <w:tcW w:w="5580" w:type="dxa"/>
            <w:tcBorders>
              <w:top w:val="nil"/>
              <w:left w:val="nil"/>
              <w:bottom w:val="nil"/>
              <w:right w:val="nil"/>
            </w:tcBorders>
            <w:shd w:val="clear" w:color="auto" w:fill="auto"/>
            <w:noWrap/>
            <w:vAlign w:val="bottom"/>
          </w:tcPr>
          <w:p w14:paraId="214C2158" w14:textId="77777777" w:rsidR="004A7120" w:rsidRPr="004A7120" w:rsidRDefault="004A7120" w:rsidP="004A7120">
            <w:pPr>
              <w:spacing w:after="0" w:line="240" w:lineRule="auto"/>
              <w:rPr>
                <w:rFonts w:ascii="Times New Roman" w:eastAsia="Calibri" w:hAnsi="Times New Roman" w:cs="Times New Roman"/>
                <w:color w:val="000000"/>
                <w:kern w:val="0"/>
                <w14:ligatures w14:val="none"/>
              </w:rPr>
            </w:pPr>
            <w:r w:rsidRPr="004A7120">
              <w:rPr>
                <w:rFonts w:ascii="Times New Roman" w:eastAsia="Calibri" w:hAnsi="Times New Roman" w:cs="Times New Roman"/>
                <w:b/>
                <w:bCs/>
                <w:color w:val="000000"/>
                <w:kern w:val="0"/>
                <w14:ligatures w14:val="none"/>
              </w:rPr>
              <w:t>Body Mass Index (BMI) Categories</w:t>
            </w:r>
          </w:p>
        </w:tc>
        <w:tc>
          <w:tcPr>
            <w:tcW w:w="1890" w:type="dxa"/>
            <w:tcBorders>
              <w:top w:val="nil"/>
              <w:left w:val="nil"/>
              <w:bottom w:val="nil"/>
              <w:right w:val="nil"/>
            </w:tcBorders>
            <w:shd w:val="clear" w:color="auto" w:fill="auto"/>
            <w:noWrap/>
            <w:vAlign w:val="bottom"/>
          </w:tcPr>
          <w:p w14:paraId="00A7E671"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c>
          <w:tcPr>
            <w:tcW w:w="2880" w:type="dxa"/>
            <w:tcBorders>
              <w:top w:val="nil"/>
              <w:left w:val="nil"/>
              <w:bottom w:val="nil"/>
              <w:right w:val="nil"/>
            </w:tcBorders>
            <w:shd w:val="clear" w:color="auto" w:fill="auto"/>
            <w:noWrap/>
            <w:vAlign w:val="bottom"/>
          </w:tcPr>
          <w:p w14:paraId="44403CBD"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c>
          <w:tcPr>
            <w:tcW w:w="1350" w:type="dxa"/>
            <w:tcBorders>
              <w:top w:val="nil"/>
              <w:left w:val="nil"/>
              <w:bottom w:val="nil"/>
              <w:right w:val="nil"/>
            </w:tcBorders>
            <w:shd w:val="clear" w:color="auto" w:fill="auto"/>
            <w:noWrap/>
            <w:vAlign w:val="bottom"/>
          </w:tcPr>
          <w:p w14:paraId="6F6707A2"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c>
          <w:tcPr>
            <w:tcW w:w="1530" w:type="dxa"/>
            <w:tcBorders>
              <w:top w:val="nil"/>
              <w:left w:val="nil"/>
              <w:bottom w:val="nil"/>
              <w:right w:val="nil"/>
            </w:tcBorders>
            <w:vAlign w:val="center"/>
          </w:tcPr>
          <w:p w14:paraId="5E9CC983"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&lt;0.001</w:t>
            </w:r>
          </w:p>
        </w:tc>
      </w:tr>
      <w:tr w:rsidR="004A7120" w:rsidRPr="004A7120" w14:paraId="31464D42" w14:textId="77777777" w:rsidTr="00F5727C">
        <w:trPr>
          <w:trHeight w:val="310"/>
        </w:trPr>
        <w:tc>
          <w:tcPr>
            <w:tcW w:w="5580" w:type="dxa"/>
            <w:tcBorders>
              <w:top w:val="nil"/>
              <w:left w:val="nil"/>
              <w:bottom w:val="nil"/>
              <w:right w:val="nil"/>
            </w:tcBorders>
            <w:shd w:val="clear" w:color="auto" w:fill="auto"/>
            <w:noWrap/>
            <w:vAlign w:val="bottom"/>
          </w:tcPr>
          <w:p w14:paraId="49238833"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Underweight</w:t>
            </w:r>
          </w:p>
        </w:tc>
        <w:tc>
          <w:tcPr>
            <w:tcW w:w="1890" w:type="dxa"/>
            <w:tcBorders>
              <w:top w:val="nil"/>
              <w:left w:val="nil"/>
              <w:bottom w:val="nil"/>
              <w:right w:val="nil"/>
            </w:tcBorders>
            <w:shd w:val="clear" w:color="auto" w:fill="auto"/>
            <w:noWrap/>
            <w:vAlign w:val="center"/>
          </w:tcPr>
          <w:p w14:paraId="732CF8A5"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2.21</w:t>
            </w:r>
          </w:p>
        </w:tc>
        <w:tc>
          <w:tcPr>
            <w:tcW w:w="2880" w:type="dxa"/>
            <w:tcBorders>
              <w:top w:val="nil"/>
              <w:left w:val="nil"/>
              <w:bottom w:val="nil"/>
              <w:right w:val="nil"/>
            </w:tcBorders>
            <w:shd w:val="clear" w:color="auto" w:fill="auto"/>
            <w:noWrap/>
            <w:vAlign w:val="center"/>
          </w:tcPr>
          <w:p w14:paraId="1F4BD644"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1.421, 3.436</w:t>
            </w:r>
          </w:p>
        </w:tc>
        <w:tc>
          <w:tcPr>
            <w:tcW w:w="1350" w:type="dxa"/>
            <w:tcBorders>
              <w:top w:val="nil"/>
              <w:left w:val="nil"/>
              <w:bottom w:val="nil"/>
              <w:right w:val="nil"/>
            </w:tcBorders>
            <w:shd w:val="clear" w:color="auto" w:fill="auto"/>
            <w:noWrap/>
            <w:vAlign w:val="center"/>
          </w:tcPr>
          <w:p w14:paraId="3B67C027"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&lt;0.001</w:t>
            </w:r>
          </w:p>
        </w:tc>
        <w:tc>
          <w:tcPr>
            <w:tcW w:w="1530" w:type="dxa"/>
            <w:tcBorders>
              <w:top w:val="nil"/>
              <w:left w:val="nil"/>
              <w:bottom w:val="nil"/>
              <w:right w:val="nil"/>
            </w:tcBorders>
          </w:tcPr>
          <w:p w14:paraId="16435CA8"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437FFE27" w14:textId="77777777" w:rsidTr="00F5727C">
        <w:trPr>
          <w:trHeight w:val="310"/>
        </w:trPr>
        <w:tc>
          <w:tcPr>
            <w:tcW w:w="5580" w:type="dxa"/>
            <w:tcBorders>
              <w:top w:val="nil"/>
              <w:left w:val="nil"/>
              <w:bottom w:val="nil"/>
              <w:right w:val="nil"/>
            </w:tcBorders>
            <w:shd w:val="clear" w:color="auto" w:fill="auto"/>
            <w:noWrap/>
            <w:vAlign w:val="bottom"/>
          </w:tcPr>
          <w:p w14:paraId="710EA79A"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Overweight</w:t>
            </w:r>
          </w:p>
        </w:tc>
        <w:tc>
          <w:tcPr>
            <w:tcW w:w="1890" w:type="dxa"/>
            <w:tcBorders>
              <w:top w:val="nil"/>
              <w:left w:val="nil"/>
              <w:bottom w:val="nil"/>
              <w:right w:val="nil"/>
            </w:tcBorders>
            <w:shd w:val="clear" w:color="auto" w:fill="auto"/>
            <w:noWrap/>
            <w:vAlign w:val="center"/>
          </w:tcPr>
          <w:p w14:paraId="5A40BBD9"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0.724</w:t>
            </w:r>
          </w:p>
        </w:tc>
        <w:tc>
          <w:tcPr>
            <w:tcW w:w="2880" w:type="dxa"/>
            <w:tcBorders>
              <w:top w:val="nil"/>
              <w:left w:val="nil"/>
              <w:bottom w:val="nil"/>
              <w:right w:val="nil"/>
            </w:tcBorders>
            <w:shd w:val="clear" w:color="auto" w:fill="auto"/>
            <w:noWrap/>
            <w:vAlign w:val="center"/>
          </w:tcPr>
          <w:p w14:paraId="00736C3F"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0.658, 0.795</w:t>
            </w:r>
          </w:p>
        </w:tc>
        <w:tc>
          <w:tcPr>
            <w:tcW w:w="1350" w:type="dxa"/>
            <w:tcBorders>
              <w:top w:val="nil"/>
              <w:left w:val="nil"/>
              <w:bottom w:val="nil"/>
              <w:right w:val="nil"/>
            </w:tcBorders>
            <w:shd w:val="clear" w:color="auto" w:fill="auto"/>
            <w:noWrap/>
            <w:vAlign w:val="center"/>
          </w:tcPr>
          <w:p w14:paraId="670C5C64"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&lt;0.001</w:t>
            </w:r>
          </w:p>
        </w:tc>
        <w:tc>
          <w:tcPr>
            <w:tcW w:w="1530" w:type="dxa"/>
            <w:tcBorders>
              <w:top w:val="nil"/>
              <w:left w:val="nil"/>
              <w:bottom w:val="nil"/>
              <w:right w:val="nil"/>
            </w:tcBorders>
          </w:tcPr>
          <w:p w14:paraId="60414850"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75A4FB34" w14:textId="77777777" w:rsidTr="00F5727C">
        <w:trPr>
          <w:trHeight w:val="310"/>
        </w:trPr>
        <w:tc>
          <w:tcPr>
            <w:tcW w:w="5580" w:type="dxa"/>
            <w:tcBorders>
              <w:top w:val="nil"/>
              <w:left w:val="nil"/>
              <w:bottom w:val="nil"/>
              <w:right w:val="nil"/>
            </w:tcBorders>
            <w:shd w:val="clear" w:color="auto" w:fill="auto"/>
            <w:noWrap/>
            <w:vAlign w:val="bottom"/>
          </w:tcPr>
          <w:p w14:paraId="2045F6E3"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Obese &amp; Extremely Obese</w:t>
            </w:r>
          </w:p>
        </w:tc>
        <w:tc>
          <w:tcPr>
            <w:tcW w:w="1890" w:type="dxa"/>
            <w:tcBorders>
              <w:top w:val="nil"/>
              <w:left w:val="nil"/>
              <w:bottom w:val="nil"/>
              <w:right w:val="nil"/>
            </w:tcBorders>
            <w:shd w:val="clear" w:color="auto" w:fill="auto"/>
            <w:noWrap/>
            <w:vAlign w:val="center"/>
          </w:tcPr>
          <w:p w14:paraId="371D1857"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0.551</w:t>
            </w:r>
          </w:p>
        </w:tc>
        <w:tc>
          <w:tcPr>
            <w:tcW w:w="2880" w:type="dxa"/>
            <w:tcBorders>
              <w:top w:val="nil"/>
              <w:left w:val="nil"/>
              <w:bottom w:val="nil"/>
              <w:right w:val="nil"/>
            </w:tcBorders>
            <w:shd w:val="clear" w:color="auto" w:fill="auto"/>
            <w:noWrap/>
            <w:vAlign w:val="center"/>
          </w:tcPr>
          <w:p w14:paraId="723B8C15"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0.499, 0.608</w:t>
            </w:r>
          </w:p>
        </w:tc>
        <w:tc>
          <w:tcPr>
            <w:tcW w:w="1350" w:type="dxa"/>
            <w:tcBorders>
              <w:top w:val="nil"/>
              <w:left w:val="nil"/>
              <w:bottom w:val="nil"/>
              <w:right w:val="nil"/>
            </w:tcBorders>
            <w:shd w:val="clear" w:color="auto" w:fill="auto"/>
            <w:noWrap/>
            <w:vAlign w:val="center"/>
          </w:tcPr>
          <w:p w14:paraId="7179F098"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&lt;0.001</w:t>
            </w:r>
          </w:p>
        </w:tc>
        <w:tc>
          <w:tcPr>
            <w:tcW w:w="1530" w:type="dxa"/>
            <w:tcBorders>
              <w:top w:val="nil"/>
              <w:left w:val="nil"/>
              <w:bottom w:val="nil"/>
              <w:right w:val="nil"/>
            </w:tcBorders>
          </w:tcPr>
          <w:p w14:paraId="6E0FF7DE"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3DD876E4" w14:textId="77777777" w:rsidTr="00F5727C">
        <w:trPr>
          <w:trHeight w:val="310"/>
        </w:trPr>
        <w:tc>
          <w:tcPr>
            <w:tcW w:w="5580" w:type="dxa"/>
            <w:tcBorders>
              <w:top w:val="nil"/>
              <w:left w:val="nil"/>
              <w:bottom w:val="nil"/>
              <w:right w:val="nil"/>
            </w:tcBorders>
            <w:shd w:val="clear" w:color="auto" w:fill="auto"/>
            <w:noWrap/>
            <w:vAlign w:val="bottom"/>
          </w:tcPr>
          <w:p w14:paraId="5545E7F6"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Normal</w:t>
            </w:r>
          </w:p>
        </w:tc>
        <w:tc>
          <w:tcPr>
            <w:tcW w:w="6120" w:type="dxa"/>
            <w:gridSpan w:val="3"/>
            <w:tcBorders>
              <w:top w:val="nil"/>
              <w:left w:val="nil"/>
              <w:bottom w:val="nil"/>
              <w:right w:val="nil"/>
            </w:tcBorders>
            <w:shd w:val="clear" w:color="auto" w:fill="auto"/>
            <w:noWrap/>
            <w:vAlign w:val="center"/>
          </w:tcPr>
          <w:p w14:paraId="75E09BC2"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i/>
                <w:iCs/>
                <w:color w:val="000000"/>
                <w:kern w:val="0"/>
                <w14:ligatures w14:val="none"/>
              </w:rPr>
              <w:t>Reference</w:t>
            </w:r>
          </w:p>
        </w:tc>
        <w:tc>
          <w:tcPr>
            <w:tcW w:w="1530" w:type="dxa"/>
            <w:tcBorders>
              <w:top w:val="nil"/>
              <w:left w:val="nil"/>
              <w:bottom w:val="nil"/>
              <w:right w:val="nil"/>
            </w:tcBorders>
          </w:tcPr>
          <w:p w14:paraId="44C4680C"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39654D25" w14:textId="77777777" w:rsidTr="00F5727C">
        <w:trPr>
          <w:trHeight w:val="310"/>
        </w:trPr>
        <w:tc>
          <w:tcPr>
            <w:tcW w:w="5580" w:type="dxa"/>
            <w:tcBorders>
              <w:top w:val="nil"/>
              <w:left w:val="nil"/>
              <w:bottom w:val="nil"/>
              <w:right w:val="nil"/>
            </w:tcBorders>
            <w:shd w:val="clear" w:color="auto" w:fill="auto"/>
            <w:noWrap/>
            <w:vAlign w:val="bottom"/>
          </w:tcPr>
          <w:p w14:paraId="3455DD33"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Smoking Status</w:t>
            </w:r>
          </w:p>
        </w:tc>
        <w:tc>
          <w:tcPr>
            <w:tcW w:w="1890" w:type="dxa"/>
            <w:tcBorders>
              <w:top w:val="nil"/>
              <w:left w:val="nil"/>
              <w:bottom w:val="nil"/>
              <w:right w:val="nil"/>
            </w:tcBorders>
            <w:shd w:val="clear" w:color="auto" w:fill="auto"/>
            <w:noWrap/>
            <w:vAlign w:val="bottom"/>
          </w:tcPr>
          <w:p w14:paraId="5D13B53B"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p>
        </w:tc>
        <w:tc>
          <w:tcPr>
            <w:tcW w:w="2880" w:type="dxa"/>
            <w:tcBorders>
              <w:top w:val="nil"/>
              <w:left w:val="nil"/>
              <w:bottom w:val="nil"/>
              <w:right w:val="nil"/>
            </w:tcBorders>
            <w:shd w:val="clear" w:color="auto" w:fill="auto"/>
            <w:noWrap/>
            <w:vAlign w:val="bottom"/>
          </w:tcPr>
          <w:p w14:paraId="581C921E" w14:textId="77777777" w:rsidR="004A7120" w:rsidRPr="004A7120" w:rsidRDefault="004A7120" w:rsidP="004A7120">
            <w:pPr>
              <w:spacing w:after="0" w:line="240" w:lineRule="auto"/>
              <w:rPr>
                <w:rFonts w:ascii="Times New Roman" w:eastAsia="Calibri" w:hAnsi="Times New Roman" w:cs="Times New Roman"/>
                <w:kern w:val="0"/>
                <w:sz w:val="20"/>
                <w:szCs w:val="20"/>
                <w14:ligatures w14:val="none"/>
              </w:rPr>
            </w:pPr>
          </w:p>
        </w:tc>
        <w:tc>
          <w:tcPr>
            <w:tcW w:w="1350" w:type="dxa"/>
            <w:tcBorders>
              <w:top w:val="nil"/>
              <w:left w:val="nil"/>
              <w:bottom w:val="nil"/>
              <w:right w:val="nil"/>
            </w:tcBorders>
            <w:shd w:val="clear" w:color="auto" w:fill="auto"/>
            <w:noWrap/>
            <w:vAlign w:val="bottom"/>
          </w:tcPr>
          <w:p w14:paraId="5B1E6223" w14:textId="77777777" w:rsidR="004A7120" w:rsidRPr="004A7120" w:rsidRDefault="004A7120" w:rsidP="004A7120">
            <w:pPr>
              <w:spacing w:after="0" w:line="240" w:lineRule="auto"/>
              <w:rPr>
                <w:rFonts w:ascii="Times New Roman" w:eastAsia="Calibri" w:hAnsi="Times New Roman" w:cs="Times New Roman"/>
                <w:kern w:val="0"/>
                <w:sz w:val="20"/>
                <w:szCs w:val="20"/>
                <w14:ligatures w14:val="none"/>
              </w:rPr>
            </w:pPr>
          </w:p>
        </w:tc>
        <w:tc>
          <w:tcPr>
            <w:tcW w:w="1530" w:type="dxa"/>
            <w:tcBorders>
              <w:top w:val="nil"/>
              <w:left w:val="nil"/>
              <w:bottom w:val="nil"/>
              <w:right w:val="nil"/>
            </w:tcBorders>
            <w:vAlign w:val="center"/>
          </w:tcPr>
          <w:p w14:paraId="37A7BF5E" w14:textId="77777777" w:rsidR="004A7120" w:rsidRPr="004A7120" w:rsidRDefault="004A7120" w:rsidP="004A7120">
            <w:pPr>
              <w:spacing w:after="0" w:line="240" w:lineRule="auto"/>
              <w:jc w:val="center"/>
              <w:rPr>
                <w:rFonts w:ascii="Times New Roman" w:eastAsia="Calibri" w:hAnsi="Times New Roman" w:cs="Times New Roman"/>
                <w:kern w:val="0"/>
                <w14:ligatures w14:val="none"/>
              </w:rPr>
            </w:pPr>
            <w:r w:rsidRPr="004A7120">
              <w:rPr>
                <w:rFonts w:ascii="Times New Roman" w:eastAsia="Calibri" w:hAnsi="Times New Roman" w:cs="Times New Roman"/>
                <w:color w:val="000000"/>
                <w:kern w:val="0"/>
                <w14:ligatures w14:val="none"/>
              </w:rPr>
              <w:t>&lt;0.001</w:t>
            </w:r>
          </w:p>
        </w:tc>
      </w:tr>
      <w:tr w:rsidR="004A7120" w:rsidRPr="004A7120" w14:paraId="44D6E100" w14:textId="77777777" w:rsidTr="00F5727C">
        <w:trPr>
          <w:trHeight w:val="310"/>
        </w:trPr>
        <w:tc>
          <w:tcPr>
            <w:tcW w:w="5580" w:type="dxa"/>
            <w:tcBorders>
              <w:top w:val="nil"/>
              <w:left w:val="nil"/>
              <w:bottom w:val="nil"/>
              <w:right w:val="nil"/>
            </w:tcBorders>
            <w:shd w:val="clear" w:color="auto" w:fill="auto"/>
            <w:noWrap/>
            <w:vAlign w:val="bottom"/>
          </w:tcPr>
          <w:p w14:paraId="7E4D4FAA" w14:textId="77777777" w:rsidR="004A7120" w:rsidRPr="004A7120" w:rsidRDefault="004A7120" w:rsidP="004A7120">
            <w:pPr>
              <w:spacing w:after="0" w:line="240" w:lineRule="auto"/>
              <w:ind w:left="720"/>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Ever Smoker</w:t>
            </w:r>
          </w:p>
        </w:tc>
        <w:tc>
          <w:tcPr>
            <w:tcW w:w="1890" w:type="dxa"/>
            <w:tcBorders>
              <w:top w:val="nil"/>
              <w:left w:val="nil"/>
              <w:bottom w:val="nil"/>
              <w:right w:val="nil"/>
            </w:tcBorders>
            <w:shd w:val="clear" w:color="auto" w:fill="auto"/>
            <w:noWrap/>
            <w:vAlign w:val="bottom"/>
          </w:tcPr>
          <w:p w14:paraId="76F63B0B"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2.196</w:t>
            </w:r>
          </w:p>
        </w:tc>
        <w:tc>
          <w:tcPr>
            <w:tcW w:w="2880" w:type="dxa"/>
            <w:tcBorders>
              <w:top w:val="nil"/>
              <w:left w:val="nil"/>
              <w:bottom w:val="nil"/>
              <w:right w:val="nil"/>
            </w:tcBorders>
            <w:shd w:val="clear" w:color="auto" w:fill="auto"/>
            <w:noWrap/>
            <w:vAlign w:val="bottom"/>
          </w:tcPr>
          <w:p w14:paraId="5F4412CD"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2.039, 2.366</w:t>
            </w:r>
          </w:p>
        </w:tc>
        <w:tc>
          <w:tcPr>
            <w:tcW w:w="1350" w:type="dxa"/>
            <w:tcBorders>
              <w:top w:val="nil"/>
              <w:left w:val="nil"/>
              <w:bottom w:val="nil"/>
              <w:right w:val="nil"/>
            </w:tcBorders>
            <w:shd w:val="clear" w:color="auto" w:fill="auto"/>
            <w:noWrap/>
            <w:vAlign w:val="center"/>
          </w:tcPr>
          <w:p w14:paraId="51921B69"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&lt;0.001</w:t>
            </w:r>
          </w:p>
        </w:tc>
        <w:tc>
          <w:tcPr>
            <w:tcW w:w="1530" w:type="dxa"/>
            <w:tcBorders>
              <w:top w:val="nil"/>
              <w:left w:val="nil"/>
              <w:bottom w:val="nil"/>
              <w:right w:val="nil"/>
            </w:tcBorders>
          </w:tcPr>
          <w:p w14:paraId="6D327C49" w14:textId="77777777" w:rsidR="004A7120" w:rsidRPr="004A7120" w:rsidRDefault="004A7120" w:rsidP="004A7120">
            <w:pPr>
              <w:spacing w:after="0" w:line="240" w:lineRule="auto"/>
              <w:jc w:val="center"/>
              <w:rPr>
                <w:rFonts w:ascii="Times New Roman" w:eastAsia="Calibri" w:hAnsi="Times New Roman" w:cs="Times New Roman"/>
                <w:kern w:val="0"/>
                <w14:ligatures w14:val="none"/>
              </w:rPr>
            </w:pPr>
          </w:p>
        </w:tc>
      </w:tr>
      <w:tr w:rsidR="004A7120" w:rsidRPr="004A7120" w14:paraId="0DFC316A" w14:textId="77777777" w:rsidTr="00F5727C">
        <w:trPr>
          <w:trHeight w:val="310"/>
        </w:trPr>
        <w:tc>
          <w:tcPr>
            <w:tcW w:w="5580" w:type="dxa"/>
            <w:tcBorders>
              <w:top w:val="nil"/>
              <w:left w:val="nil"/>
              <w:bottom w:val="nil"/>
              <w:right w:val="nil"/>
            </w:tcBorders>
            <w:shd w:val="clear" w:color="auto" w:fill="auto"/>
            <w:noWrap/>
            <w:vAlign w:val="bottom"/>
          </w:tcPr>
          <w:p w14:paraId="028286CF"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Non-Smoker</w:t>
            </w:r>
          </w:p>
        </w:tc>
        <w:tc>
          <w:tcPr>
            <w:tcW w:w="6120" w:type="dxa"/>
            <w:gridSpan w:val="3"/>
            <w:tcBorders>
              <w:top w:val="nil"/>
              <w:left w:val="nil"/>
              <w:bottom w:val="nil"/>
              <w:right w:val="nil"/>
            </w:tcBorders>
            <w:shd w:val="clear" w:color="auto" w:fill="auto"/>
            <w:noWrap/>
            <w:vAlign w:val="bottom"/>
          </w:tcPr>
          <w:p w14:paraId="647A6373"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i/>
                <w:iCs/>
                <w:color w:val="000000"/>
                <w:kern w:val="0"/>
                <w14:ligatures w14:val="none"/>
              </w:rPr>
              <w:t>Reference</w:t>
            </w:r>
          </w:p>
        </w:tc>
        <w:tc>
          <w:tcPr>
            <w:tcW w:w="1530" w:type="dxa"/>
            <w:tcBorders>
              <w:top w:val="nil"/>
              <w:left w:val="nil"/>
              <w:bottom w:val="nil"/>
              <w:right w:val="nil"/>
            </w:tcBorders>
          </w:tcPr>
          <w:p w14:paraId="46463215" w14:textId="77777777" w:rsidR="004A7120" w:rsidRPr="004A7120" w:rsidRDefault="004A7120" w:rsidP="004A7120">
            <w:pPr>
              <w:spacing w:after="0" w:line="240" w:lineRule="auto"/>
              <w:jc w:val="center"/>
              <w:rPr>
                <w:rFonts w:ascii="Times New Roman" w:eastAsia="Calibri" w:hAnsi="Times New Roman" w:cs="Times New Roman"/>
                <w:kern w:val="0"/>
                <w14:ligatures w14:val="none"/>
              </w:rPr>
            </w:pPr>
          </w:p>
        </w:tc>
      </w:tr>
      <w:tr w:rsidR="004A7120" w:rsidRPr="004A7120" w14:paraId="69A0F91E" w14:textId="77777777" w:rsidTr="00F5727C">
        <w:trPr>
          <w:trHeight w:val="310"/>
        </w:trPr>
        <w:tc>
          <w:tcPr>
            <w:tcW w:w="5580" w:type="dxa"/>
            <w:tcBorders>
              <w:top w:val="nil"/>
              <w:left w:val="nil"/>
              <w:bottom w:val="nil"/>
              <w:right w:val="nil"/>
            </w:tcBorders>
            <w:shd w:val="clear" w:color="auto" w:fill="auto"/>
            <w:noWrap/>
            <w:vAlign w:val="bottom"/>
          </w:tcPr>
          <w:p w14:paraId="1F00648F"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History of Asthma</w:t>
            </w:r>
          </w:p>
        </w:tc>
        <w:tc>
          <w:tcPr>
            <w:tcW w:w="1890" w:type="dxa"/>
            <w:tcBorders>
              <w:top w:val="nil"/>
              <w:left w:val="nil"/>
              <w:bottom w:val="nil"/>
              <w:right w:val="nil"/>
            </w:tcBorders>
            <w:shd w:val="clear" w:color="auto" w:fill="auto"/>
            <w:noWrap/>
            <w:vAlign w:val="bottom"/>
          </w:tcPr>
          <w:p w14:paraId="6D1E8C80"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p>
        </w:tc>
        <w:tc>
          <w:tcPr>
            <w:tcW w:w="2880" w:type="dxa"/>
            <w:tcBorders>
              <w:top w:val="nil"/>
              <w:left w:val="nil"/>
              <w:bottom w:val="nil"/>
              <w:right w:val="nil"/>
            </w:tcBorders>
            <w:shd w:val="clear" w:color="auto" w:fill="auto"/>
            <w:noWrap/>
            <w:vAlign w:val="bottom"/>
          </w:tcPr>
          <w:p w14:paraId="48010070" w14:textId="77777777" w:rsidR="004A7120" w:rsidRPr="004A7120" w:rsidRDefault="004A7120" w:rsidP="004A7120">
            <w:pPr>
              <w:spacing w:after="0" w:line="240" w:lineRule="auto"/>
              <w:rPr>
                <w:rFonts w:ascii="Times New Roman" w:eastAsia="Calibri" w:hAnsi="Times New Roman" w:cs="Times New Roman"/>
                <w:kern w:val="0"/>
                <w:sz w:val="20"/>
                <w:szCs w:val="20"/>
                <w14:ligatures w14:val="none"/>
              </w:rPr>
            </w:pPr>
          </w:p>
        </w:tc>
        <w:tc>
          <w:tcPr>
            <w:tcW w:w="1350" w:type="dxa"/>
            <w:tcBorders>
              <w:top w:val="nil"/>
              <w:left w:val="nil"/>
              <w:bottom w:val="nil"/>
              <w:right w:val="nil"/>
            </w:tcBorders>
            <w:shd w:val="clear" w:color="auto" w:fill="auto"/>
            <w:noWrap/>
            <w:vAlign w:val="bottom"/>
          </w:tcPr>
          <w:p w14:paraId="697A9EEE" w14:textId="77777777" w:rsidR="004A7120" w:rsidRPr="004A7120" w:rsidRDefault="004A7120" w:rsidP="004A7120">
            <w:pPr>
              <w:spacing w:after="0" w:line="240" w:lineRule="auto"/>
              <w:rPr>
                <w:rFonts w:ascii="Times New Roman" w:eastAsia="Calibri" w:hAnsi="Times New Roman" w:cs="Times New Roman"/>
                <w:kern w:val="0"/>
                <w:sz w:val="20"/>
                <w:szCs w:val="20"/>
                <w14:ligatures w14:val="none"/>
              </w:rPr>
            </w:pPr>
          </w:p>
        </w:tc>
        <w:tc>
          <w:tcPr>
            <w:tcW w:w="1530" w:type="dxa"/>
            <w:tcBorders>
              <w:top w:val="nil"/>
              <w:left w:val="nil"/>
              <w:bottom w:val="nil"/>
              <w:right w:val="nil"/>
            </w:tcBorders>
            <w:vAlign w:val="center"/>
          </w:tcPr>
          <w:p w14:paraId="202FECED" w14:textId="77777777" w:rsidR="004A7120" w:rsidRPr="004A7120" w:rsidRDefault="004A7120" w:rsidP="004A7120">
            <w:pPr>
              <w:spacing w:after="0" w:line="240" w:lineRule="auto"/>
              <w:jc w:val="center"/>
              <w:rPr>
                <w:rFonts w:ascii="Times New Roman" w:eastAsia="Calibri" w:hAnsi="Times New Roman" w:cs="Times New Roman"/>
                <w:kern w:val="0"/>
                <w14:ligatures w14:val="none"/>
              </w:rPr>
            </w:pPr>
            <w:r w:rsidRPr="004A7120">
              <w:rPr>
                <w:rFonts w:ascii="Times New Roman" w:eastAsia="Calibri" w:hAnsi="Times New Roman" w:cs="Times New Roman"/>
                <w:color w:val="000000"/>
                <w:kern w:val="0"/>
                <w14:ligatures w14:val="none"/>
              </w:rPr>
              <w:t>&lt;0.001</w:t>
            </w:r>
          </w:p>
        </w:tc>
      </w:tr>
      <w:tr w:rsidR="004A7120" w:rsidRPr="004A7120" w14:paraId="05D0CD09" w14:textId="77777777" w:rsidTr="00DD1F85">
        <w:trPr>
          <w:trHeight w:val="310"/>
        </w:trPr>
        <w:tc>
          <w:tcPr>
            <w:tcW w:w="5580" w:type="dxa"/>
            <w:tcBorders>
              <w:top w:val="nil"/>
              <w:left w:val="nil"/>
              <w:right w:val="nil"/>
            </w:tcBorders>
            <w:shd w:val="clear" w:color="auto" w:fill="auto"/>
            <w:noWrap/>
            <w:vAlign w:val="bottom"/>
          </w:tcPr>
          <w:p w14:paraId="5F81D681" w14:textId="77777777" w:rsidR="004A7120" w:rsidRPr="004A7120" w:rsidRDefault="004A7120" w:rsidP="004A7120">
            <w:pPr>
              <w:spacing w:after="0" w:line="240" w:lineRule="auto"/>
              <w:ind w:left="720"/>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Yes</w:t>
            </w:r>
          </w:p>
        </w:tc>
        <w:tc>
          <w:tcPr>
            <w:tcW w:w="1890" w:type="dxa"/>
            <w:tcBorders>
              <w:top w:val="nil"/>
              <w:left w:val="nil"/>
              <w:right w:val="nil"/>
            </w:tcBorders>
            <w:shd w:val="clear" w:color="auto" w:fill="auto"/>
            <w:noWrap/>
            <w:vAlign w:val="center"/>
          </w:tcPr>
          <w:p w14:paraId="130EEE34"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1.902</w:t>
            </w:r>
          </w:p>
        </w:tc>
        <w:tc>
          <w:tcPr>
            <w:tcW w:w="2880" w:type="dxa"/>
            <w:tcBorders>
              <w:top w:val="nil"/>
              <w:left w:val="nil"/>
              <w:right w:val="nil"/>
            </w:tcBorders>
            <w:shd w:val="clear" w:color="auto" w:fill="auto"/>
            <w:noWrap/>
            <w:vAlign w:val="center"/>
          </w:tcPr>
          <w:p w14:paraId="3ED5047A"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1.721, 2.101</w:t>
            </w:r>
          </w:p>
        </w:tc>
        <w:tc>
          <w:tcPr>
            <w:tcW w:w="1350" w:type="dxa"/>
            <w:tcBorders>
              <w:top w:val="nil"/>
              <w:left w:val="nil"/>
              <w:right w:val="nil"/>
            </w:tcBorders>
            <w:shd w:val="clear" w:color="auto" w:fill="auto"/>
            <w:noWrap/>
            <w:vAlign w:val="center"/>
          </w:tcPr>
          <w:p w14:paraId="0D199005"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&lt;0.001</w:t>
            </w:r>
          </w:p>
        </w:tc>
        <w:tc>
          <w:tcPr>
            <w:tcW w:w="1530" w:type="dxa"/>
            <w:tcBorders>
              <w:top w:val="nil"/>
              <w:left w:val="nil"/>
              <w:right w:val="nil"/>
            </w:tcBorders>
          </w:tcPr>
          <w:p w14:paraId="28B6BF2C" w14:textId="77777777" w:rsidR="004A7120" w:rsidRPr="004A7120" w:rsidRDefault="004A7120" w:rsidP="004A7120">
            <w:pPr>
              <w:spacing w:after="0" w:line="240" w:lineRule="auto"/>
              <w:jc w:val="center"/>
              <w:rPr>
                <w:rFonts w:ascii="Times New Roman" w:eastAsia="Calibri" w:hAnsi="Times New Roman" w:cs="Times New Roman"/>
                <w:kern w:val="0"/>
                <w14:ligatures w14:val="none"/>
              </w:rPr>
            </w:pPr>
          </w:p>
        </w:tc>
      </w:tr>
      <w:tr w:rsidR="004A7120" w:rsidRPr="004A7120" w14:paraId="7FFB7595" w14:textId="77777777" w:rsidTr="00DD1F85">
        <w:trPr>
          <w:trHeight w:val="310"/>
        </w:trPr>
        <w:tc>
          <w:tcPr>
            <w:tcW w:w="5580" w:type="dxa"/>
            <w:tcBorders>
              <w:top w:val="nil"/>
              <w:left w:val="nil"/>
              <w:right w:val="nil"/>
            </w:tcBorders>
            <w:shd w:val="clear" w:color="auto" w:fill="auto"/>
            <w:noWrap/>
            <w:vAlign w:val="bottom"/>
          </w:tcPr>
          <w:p w14:paraId="365681C6" w14:textId="77777777" w:rsidR="004A7120" w:rsidRPr="004A7120" w:rsidRDefault="004A7120" w:rsidP="004A7120">
            <w:pPr>
              <w:spacing w:after="0" w:line="240" w:lineRule="auto"/>
              <w:ind w:left="720"/>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No</w:t>
            </w:r>
          </w:p>
        </w:tc>
        <w:tc>
          <w:tcPr>
            <w:tcW w:w="6120" w:type="dxa"/>
            <w:gridSpan w:val="3"/>
            <w:tcBorders>
              <w:top w:val="nil"/>
              <w:left w:val="nil"/>
              <w:right w:val="nil"/>
            </w:tcBorders>
            <w:shd w:val="clear" w:color="auto" w:fill="auto"/>
            <w:noWrap/>
            <w:vAlign w:val="center"/>
          </w:tcPr>
          <w:p w14:paraId="2FBD68EA"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i/>
                <w:iCs/>
                <w:color w:val="000000"/>
                <w:kern w:val="0"/>
                <w14:ligatures w14:val="none"/>
              </w:rPr>
              <w:t>Reference</w:t>
            </w:r>
          </w:p>
        </w:tc>
        <w:tc>
          <w:tcPr>
            <w:tcW w:w="1530" w:type="dxa"/>
            <w:tcBorders>
              <w:top w:val="nil"/>
              <w:left w:val="nil"/>
              <w:right w:val="nil"/>
            </w:tcBorders>
            <w:vAlign w:val="center"/>
          </w:tcPr>
          <w:p w14:paraId="106EA6A3" w14:textId="77777777" w:rsidR="004A7120" w:rsidRPr="004A7120" w:rsidRDefault="004A7120" w:rsidP="004A7120">
            <w:pPr>
              <w:spacing w:after="0" w:line="240" w:lineRule="auto"/>
              <w:jc w:val="center"/>
              <w:rPr>
                <w:rFonts w:ascii="Times New Roman" w:eastAsia="Calibri" w:hAnsi="Times New Roman" w:cs="Times New Roman"/>
                <w:kern w:val="0"/>
                <w14:ligatures w14:val="none"/>
              </w:rPr>
            </w:pPr>
          </w:p>
        </w:tc>
      </w:tr>
      <w:tr w:rsidR="004A7120" w:rsidRPr="004A7120" w14:paraId="0AC8B780" w14:textId="77777777" w:rsidTr="00DD1F85">
        <w:trPr>
          <w:trHeight w:val="310"/>
        </w:trPr>
        <w:tc>
          <w:tcPr>
            <w:tcW w:w="5580" w:type="dxa"/>
            <w:tcBorders>
              <w:left w:val="nil"/>
              <w:bottom w:val="nil"/>
              <w:right w:val="nil"/>
            </w:tcBorders>
            <w:shd w:val="clear" w:color="auto" w:fill="auto"/>
            <w:noWrap/>
            <w:vAlign w:val="bottom"/>
          </w:tcPr>
          <w:p w14:paraId="5EC72B02"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p>
        </w:tc>
        <w:tc>
          <w:tcPr>
            <w:tcW w:w="6120" w:type="dxa"/>
            <w:gridSpan w:val="3"/>
            <w:tcBorders>
              <w:left w:val="nil"/>
              <w:bottom w:val="nil"/>
              <w:right w:val="nil"/>
            </w:tcBorders>
            <w:shd w:val="clear" w:color="auto" w:fill="auto"/>
            <w:noWrap/>
            <w:vAlign w:val="center"/>
          </w:tcPr>
          <w:p w14:paraId="19C9D83A" w14:textId="77777777" w:rsidR="004A7120" w:rsidRPr="004A7120" w:rsidRDefault="004A7120" w:rsidP="004A7120">
            <w:pPr>
              <w:spacing w:after="0" w:line="240" w:lineRule="auto"/>
              <w:jc w:val="center"/>
              <w:rPr>
                <w:rFonts w:ascii="Times New Roman" w:eastAsia="Calibri" w:hAnsi="Times New Roman" w:cs="Times New Roman"/>
                <w:i/>
                <w:iCs/>
                <w:color w:val="000000"/>
                <w:kern w:val="0"/>
                <w14:ligatures w14:val="none"/>
              </w:rPr>
            </w:pPr>
          </w:p>
        </w:tc>
        <w:tc>
          <w:tcPr>
            <w:tcW w:w="1530" w:type="dxa"/>
            <w:tcBorders>
              <w:left w:val="nil"/>
              <w:bottom w:val="nil"/>
              <w:right w:val="nil"/>
            </w:tcBorders>
            <w:vAlign w:val="center"/>
          </w:tcPr>
          <w:p w14:paraId="6F78DD25" w14:textId="77777777" w:rsidR="004A7120" w:rsidRPr="004A7120" w:rsidRDefault="004A7120" w:rsidP="004A7120">
            <w:pPr>
              <w:spacing w:after="0" w:line="240" w:lineRule="auto"/>
              <w:jc w:val="center"/>
              <w:rPr>
                <w:rFonts w:ascii="Times New Roman" w:eastAsia="Calibri" w:hAnsi="Times New Roman" w:cs="Times New Roman"/>
                <w:kern w:val="0"/>
                <w14:ligatures w14:val="none"/>
              </w:rPr>
            </w:pPr>
          </w:p>
        </w:tc>
      </w:tr>
      <w:tr w:rsidR="004A7120" w:rsidRPr="004A7120" w14:paraId="5CE04729" w14:textId="77777777" w:rsidTr="00F5727C">
        <w:trPr>
          <w:trHeight w:val="310"/>
        </w:trPr>
        <w:tc>
          <w:tcPr>
            <w:tcW w:w="5580" w:type="dxa"/>
            <w:tcBorders>
              <w:top w:val="nil"/>
              <w:left w:val="nil"/>
              <w:bottom w:val="nil"/>
              <w:right w:val="nil"/>
            </w:tcBorders>
            <w:shd w:val="clear" w:color="auto" w:fill="auto"/>
            <w:noWrap/>
            <w:vAlign w:val="bottom"/>
          </w:tcPr>
          <w:p w14:paraId="0F29AA46"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p>
        </w:tc>
        <w:tc>
          <w:tcPr>
            <w:tcW w:w="6120" w:type="dxa"/>
            <w:gridSpan w:val="3"/>
            <w:tcBorders>
              <w:top w:val="nil"/>
              <w:left w:val="nil"/>
              <w:bottom w:val="nil"/>
              <w:right w:val="nil"/>
            </w:tcBorders>
            <w:shd w:val="clear" w:color="auto" w:fill="auto"/>
            <w:noWrap/>
            <w:vAlign w:val="center"/>
          </w:tcPr>
          <w:p w14:paraId="4C7601E4" w14:textId="77777777" w:rsidR="004A7120" w:rsidRPr="004A7120" w:rsidRDefault="004A7120" w:rsidP="004A7120">
            <w:pPr>
              <w:spacing w:after="0" w:line="240" w:lineRule="auto"/>
              <w:jc w:val="center"/>
              <w:rPr>
                <w:rFonts w:ascii="Times New Roman" w:eastAsia="Calibri" w:hAnsi="Times New Roman" w:cs="Times New Roman"/>
                <w:i/>
                <w:iCs/>
                <w:color w:val="000000"/>
                <w:kern w:val="0"/>
                <w14:ligatures w14:val="none"/>
              </w:rPr>
            </w:pPr>
          </w:p>
        </w:tc>
        <w:tc>
          <w:tcPr>
            <w:tcW w:w="1530" w:type="dxa"/>
            <w:tcBorders>
              <w:top w:val="nil"/>
              <w:left w:val="nil"/>
              <w:bottom w:val="nil"/>
              <w:right w:val="nil"/>
            </w:tcBorders>
            <w:vAlign w:val="center"/>
          </w:tcPr>
          <w:p w14:paraId="66336616" w14:textId="77777777" w:rsidR="004A7120" w:rsidRPr="004A7120" w:rsidRDefault="004A7120" w:rsidP="004A7120">
            <w:pPr>
              <w:spacing w:after="0" w:line="240" w:lineRule="auto"/>
              <w:jc w:val="center"/>
              <w:rPr>
                <w:rFonts w:ascii="Times New Roman" w:eastAsia="Calibri" w:hAnsi="Times New Roman" w:cs="Times New Roman"/>
                <w:kern w:val="0"/>
                <w14:ligatures w14:val="none"/>
              </w:rPr>
            </w:pPr>
          </w:p>
        </w:tc>
      </w:tr>
      <w:tr w:rsidR="004A7120" w:rsidRPr="004A7120" w14:paraId="4F4E746C" w14:textId="77777777" w:rsidTr="00F5727C">
        <w:trPr>
          <w:trHeight w:val="310"/>
        </w:trPr>
        <w:tc>
          <w:tcPr>
            <w:tcW w:w="5580" w:type="dxa"/>
            <w:tcBorders>
              <w:top w:val="nil"/>
              <w:left w:val="nil"/>
              <w:bottom w:val="nil"/>
              <w:right w:val="nil"/>
            </w:tcBorders>
            <w:shd w:val="clear" w:color="auto" w:fill="auto"/>
            <w:noWrap/>
            <w:vAlign w:val="bottom"/>
          </w:tcPr>
          <w:p w14:paraId="6CDAC212" w14:textId="77777777" w:rsidR="004A7120" w:rsidRPr="004A7120" w:rsidRDefault="004A7120" w:rsidP="004A7120">
            <w:pPr>
              <w:spacing w:after="0" w:line="240" w:lineRule="auto"/>
              <w:rPr>
                <w:rFonts w:ascii="Calibri" w:eastAsia="Calibri" w:hAnsi="Calibri" w:cs="Times New Roman"/>
                <w:b/>
                <w:bCs/>
                <w:color w:val="000000"/>
                <w:kern w:val="0"/>
                <w14:ligatures w14:val="none"/>
              </w:rPr>
            </w:pPr>
            <w:r w:rsidRPr="004A7120">
              <w:rPr>
                <w:rFonts w:ascii="Times New Roman" w:eastAsia="Calibri" w:hAnsi="Times New Roman" w:cs="Times New Roman"/>
                <w:b/>
                <w:bCs/>
                <w:color w:val="000000"/>
                <w:kern w:val="0"/>
                <w14:ligatures w14:val="none"/>
              </w:rPr>
              <w:lastRenderedPageBreak/>
              <w:t>Air Quality Index (AQI) Category</w:t>
            </w:r>
          </w:p>
        </w:tc>
        <w:tc>
          <w:tcPr>
            <w:tcW w:w="1890" w:type="dxa"/>
            <w:tcBorders>
              <w:top w:val="nil"/>
              <w:left w:val="nil"/>
              <w:bottom w:val="nil"/>
              <w:right w:val="nil"/>
            </w:tcBorders>
            <w:shd w:val="clear" w:color="auto" w:fill="auto"/>
            <w:noWrap/>
            <w:vAlign w:val="bottom"/>
          </w:tcPr>
          <w:p w14:paraId="1F5430F1" w14:textId="77777777" w:rsidR="004A7120" w:rsidRPr="004A7120" w:rsidRDefault="004A7120" w:rsidP="004A7120">
            <w:pPr>
              <w:spacing w:after="0" w:line="240" w:lineRule="auto"/>
              <w:rPr>
                <w:rFonts w:ascii="Calibri" w:eastAsia="Calibri" w:hAnsi="Calibri" w:cs="Times New Roman"/>
                <w:b/>
                <w:bCs/>
                <w:color w:val="000000"/>
                <w:kern w:val="0"/>
                <w14:ligatures w14:val="none"/>
              </w:rPr>
            </w:pPr>
          </w:p>
        </w:tc>
        <w:tc>
          <w:tcPr>
            <w:tcW w:w="2880" w:type="dxa"/>
            <w:tcBorders>
              <w:top w:val="nil"/>
              <w:left w:val="nil"/>
              <w:bottom w:val="nil"/>
              <w:right w:val="nil"/>
            </w:tcBorders>
            <w:shd w:val="clear" w:color="auto" w:fill="auto"/>
            <w:noWrap/>
            <w:vAlign w:val="bottom"/>
          </w:tcPr>
          <w:p w14:paraId="7BE63F86" w14:textId="77777777" w:rsidR="004A7120" w:rsidRPr="004A7120" w:rsidRDefault="004A7120" w:rsidP="004A7120">
            <w:pPr>
              <w:spacing w:after="0" w:line="240" w:lineRule="auto"/>
              <w:rPr>
                <w:rFonts w:ascii="Calibri" w:eastAsia="Calibri" w:hAnsi="Calibri" w:cs="Times New Roman"/>
                <w:kern w:val="0"/>
                <w:sz w:val="20"/>
                <w:szCs w:val="20"/>
                <w14:ligatures w14:val="none"/>
              </w:rPr>
            </w:pPr>
          </w:p>
        </w:tc>
        <w:tc>
          <w:tcPr>
            <w:tcW w:w="1350" w:type="dxa"/>
            <w:tcBorders>
              <w:top w:val="nil"/>
              <w:left w:val="nil"/>
              <w:bottom w:val="nil"/>
              <w:right w:val="nil"/>
            </w:tcBorders>
            <w:shd w:val="clear" w:color="auto" w:fill="auto"/>
            <w:noWrap/>
            <w:vAlign w:val="bottom"/>
          </w:tcPr>
          <w:p w14:paraId="4B1FFDCD" w14:textId="77777777" w:rsidR="004A7120" w:rsidRPr="004A7120" w:rsidRDefault="004A7120" w:rsidP="004A7120">
            <w:pPr>
              <w:spacing w:after="0" w:line="240" w:lineRule="auto"/>
              <w:rPr>
                <w:rFonts w:ascii="Times New Roman" w:eastAsia="Calibri" w:hAnsi="Times New Roman" w:cs="Times New Roman"/>
                <w:kern w:val="0"/>
                <w:sz w:val="20"/>
                <w:szCs w:val="20"/>
                <w14:ligatures w14:val="none"/>
              </w:rPr>
            </w:pPr>
          </w:p>
        </w:tc>
        <w:tc>
          <w:tcPr>
            <w:tcW w:w="1530" w:type="dxa"/>
            <w:tcBorders>
              <w:top w:val="nil"/>
              <w:left w:val="nil"/>
              <w:bottom w:val="nil"/>
              <w:right w:val="nil"/>
            </w:tcBorders>
          </w:tcPr>
          <w:p w14:paraId="255880B5" w14:textId="77777777" w:rsidR="004A7120" w:rsidRPr="004A7120" w:rsidRDefault="004A7120" w:rsidP="004A7120">
            <w:pPr>
              <w:spacing w:after="0" w:line="240" w:lineRule="auto"/>
              <w:jc w:val="center"/>
              <w:rPr>
                <w:rFonts w:ascii="Times New Roman" w:eastAsia="Calibri" w:hAnsi="Times New Roman" w:cs="Times New Roman"/>
                <w:kern w:val="0"/>
                <w14:ligatures w14:val="none"/>
              </w:rPr>
            </w:pPr>
            <w:r w:rsidRPr="004A7120">
              <w:rPr>
                <w:rFonts w:ascii="Times New Roman" w:eastAsia="Calibri" w:hAnsi="Times New Roman" w:cs="Times New Roman"/>
                <w:color w:val="000000"/>
                <w:kern w:val="0"/>
                <w14:ligatures w14:val="none"/>
              </w:rPr>
              <w:t>0.412</w:t>
            </w:r>
          </w:p>
        </w:tc>
      </w:tr>
      <w:tr w:rsidR="004A7120" w:rsidRPr="004A7120" w14:paraId="4E61D99E" w14:textId="77777777" w:rsidTr="00F5727C">
        <w:trPr>
          <w:trHeight w:val="310"/>
        </w:trPr>
        <w:tc>
          <w:tcPr>
            <w:tcW w:w="5580" w:type="dxa"/>
            <w:tcBorders>
              <w:top w:val="nil"/>
              <w:left w:val="nil"/>
              <w:bottom w:val="nil"/>
              <w:right w:val="nil"/>
            </w:tcBorders>
            <w:shd w:val="clear" w:color="auto" w:fill="auto"/>
            <w:noWrap/>
            <w:vAlign w:val="bottom"/>
          </w:tcPr>
          <w:p w14:paraId="0FD536D1"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 xml:space="preserve">             Moderate or Unhealthy for Sensitive Groups</w:t>
            </w:r>
          </w:p>
        </w:tc>
        <w:tc>
          <w:tcPr>
            <w:tcW w:w="1890" w:type="dxa"/>
            <w:tcBorders>
              <w:top w:val="nil"/>
              <w:left w:val="nil"/>
              <w:bottom w:val="nil"/>
              <w:right w:val="nil"/>
            </w:tcBorders>
            <w:shd w:val="clear" w:color="auto" w:fill="auto"/>
            <w:noWrap/>
            <w:vAlign w:val="center"/>
          </w:tcPr>
          <w:p w14:paraId="01A4B2C4"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 xml:space="preserve">        1.044</w:t>
            </w:r>
          </w:p>
        </w:tc>
        <w:tc>
          <w:tcPr>
            <w:tcW w:w="2880" w:type="dxa"/>
            <w:tcBorders>
              <w:top w:val="nil"/>
              <w:left w:val="nil"/>
              <w:bottom w:val="nil"/>
              <w:right w:val="nil"/>
            </w:tcBorders>
            <w:shd w:val="clear" w:color="auto" w:fill="auto"/>
            <w:noWrap/>
            <w:vAlign w:val="center"/>
          </w:tcPr>
          <w:p w14:paraId="266ABD94" w14:textId="77777777" w:rsidR="004A7120" w:rsidRPr="004A7120" w:rsidRDefault="004A7120" w:rsidP="004A7120">
            <w:pPr>
              <w:spacing w:after="0" w:line="240" w:lineRule="auto"/>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 xml:space="preserve">         0.941, 1.159</w:t>
            </w:r>
          </w:p>
        </w:tc>
        <w:tc>
          <w:tcPr>
            <w:tcW w:w="1350" w:type="dxa"/>
            <w:tcBorders>
              <w:top w:val="nil"/>
              <w:left w:val="nil"/>
              <w:bottom w:val="nil"/>
              <w:right w:val="nil"/>
            </w:tcBorders>
            <w:shd w:val="clear" w:color="auto" w:fill="auto"/>
            <w:noWrap/>
            <w:vAlign w:val="center"/>
          </w:tcPr>
          <w:p w14:paraId="67F7AF54" w14:textId="77777777" w:rsidR="004A7120" w:rsidRPr="004A7120" w:rsidRDefault="004A7120" w:rsidP="004A7120">
            <w:pPr>
              <w:spacing w:after="0" w:line="240" w:lineRule="auto"/>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 xml:space="preserve">       0.412</w:t>
            </w:r>
          </w:p>
        </w:tc>
        <w:tc>
          <w:tcPr>
            <w:tcW w:w="1530" w:type="dxa"/>
            <w:tcBorders>
              <w:top w:val="nil"/>
              <w:left w:val="nil"/>
              <w:bottom w:val="nil"/>
              <w:right w:val="nil"/>
            </w:tcBorders>
          </w:tcPr>
          <w:p w14:paraId="240E29AF" w14:textId="77777777" w:rsidR="004A7120" w:rsidRPr="004A7120" w:rsidRDefault="004A7120" w:rsidP="004A7120">
            <w:pPr>
              <w:spacing w:after="0" w:line="240" w:lineRule="auto"/>
              <w:jc w:val="center"/>
              <w:rPr>
                <w:rFonts w:ascii="Times New Roman" w:eastAsia="Calibri" w:hAnsi="Times New Roman" w:cs="Times New Roman"/>
                <w:kern w:val="0"/>
                <w14:ligatures w14:val="none"/>
              </w:rPr>
            </w:pPr>
          </w:p>
        </w:tc>
      </w:tr>
      <w:tr w:rsidR="004A7120" w:rsidRPr="004A7120" w14:paraId="59FBEB1D" w14:textId="77777777" w:rsidTr="00F5727C">
        <w:trPr>
          <w:trHeight w:val="310"/>
        </w:trPr>
        <w:tc>
          <w:tcPr>
            <w:tcW w:w="5580" w:type="dxa"/>
            <w:tcBorders>
              <w:top w:val="nil"/>
              <w:left w:val="nil"/>
              <w:bottom w:val="nil"/>
              <w:right w:val="nil"/>
            </w:tcBorders>
            <w:shd w:val="clear" w:color="auto" w:fill="auto"/>
            <w:noWrap/>
            <w:vAlign w:val="bottom"/>
          </w:tcPr>
          <w:p w14:paraId="1AE66156" w14:textId="77777777" w:rsidR="004A7120" w:rsidRPr="004A7120" w:rsidRDefault="004A7120" w:rsidP="004A7120">
            <w:pPr>
              <w:spacing w:after="0" w:line="240" w:lineRule="auto"/>
              <w:ind w:left="720"/>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Good</w:t>
            </w:r>
          </w:p>
        </w:tc>
        <w:tc>
          <w:tcPr>
            <w:tcW w:w="1890" w:type="dxa"/>
            <w:tcBorders>
              <w:top w:val="nil"/>
              <w:left w:val="nil"/>
              <w:bottom w:val="nil"/>
              <w:right w:val="nil"/>
            </w:tcBorders>
            <w:shd w:val="clear" w:color="auto" w:fill="auto"/>
            <w:noWrap/>
            <w:vAlign w:val="center"/>
          </w:tcPr>
          <w:p w14:paraId="1330D90A"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i/>
                <w:iCs/>
                <w:color w:val="000000"/>
                <w:kern w:val="0"/>
                <w14:ligatures w14:val="none"/>
              </w:rPr>
              <w:t>Reference</w:t>
            </w:r>
          </w:p>
        </w:tc>
        <w:tc>
          <w:tcPr>
            <w:tcW w:w="2880" w:type="dxa"/>
            <w:tcBorders>
              <w:top w:val="nil"/>
              <w:left w:val="nil"/>
              <w:bottom w:val="nil"/>
              <w:right w:val="nil"/>
            </w:tcBorders>
            <w:shd w:val="clear" w:color="auto" w:fill="auto"/>
            <w:noWrap/>
          </w:tcPr>
          <w:p w14:paraId="54032255"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350" w:type="dxa"/>
            <w:tcBorders>
              <w:top w:val="nil"/>
              <w:left w:val="nil"/>
              <w:bottom w:val="nil"/>
              <w:right w:val="nil"/>
            </w:tcBorders>
            <w:shd w:val="clear" w:color="auto" w:fill="auto"/>
            <w:noWrap/>
            <w:vAlign w:val="center"/>
          </w:tcPr>
          <w:p w14:paraId="1748FE95"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530" w:type="dxa"/>
            <w:tcBorders>
              <w:top w:val="nil"/>
              <w:left w:val="nil"/>
              <w:bottom w:val="nil"/>
              <w:right w:val="nil"/>
            </w:tcBorders>
          </w:tcPr>
          <w:p w14:paraId="665B5C97" w14:textId="77777777" w:rsidR="004A7120" w:rsidRPr="004A7120" w:rsidRDefault="004A7120" w:rsidP="004A7120">
            <w:pPr>
              <w:spacing w:after="0" w:line="240" w:lineRule="auto"/>
              <w:jc w:val="center"/>
              <w:rPr>
                <w:rFonts w:ascii="Times New Roman" w:eastAsia="Calibri" w:hAnsi="Times New Roman" w:cs="Times New Roman"/>
                <w:kern w:val="0"/>
                <w14:ligatures w14:val="none"/>
              </w:rPr>
            </w:pPr>
          </w:p>
        </w:tc>
      </w:tr>
      <w:tr w:rsidR="004A7120" w:rsidRPr="004A7120" w14:paraId="1C8A2383" w14:textId="77777777" w:rsidTr="00F5727C">
        <w:trPr>
          <w:trHeight w:val="310"/>
        </w:trPr>
        <w:tc>
          <w:tcPr>
            <w:tcW w:w="5580" w:type="dxa"/>
            <w:tcBorders>
              <w:top w:val="nil"/>
              <w:left w:val="nil"/>
              <w:bottom w:val="nil"/>
              <w:right w:val="nil"/>
            </w:tcBorders>
            <w:shd w:val="clear" w:color="auto" w:fill="auto"/>
            <w:noWrap/>
            <w:vAlign w:val="bottom"/>
            <w:hideMark/>
          </w:tcPr>
          <w:p w14:paraId="578B8B25"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Department of Energy Site Category</w:t>
            </w:r>
          </w:p>
        </w:tc>
        <w:tc>
          <w:tcPr>
            <w:tcW w:w="1890" w:type="dxa"/>
            <w:tcBorders>
              <w:top w:val="nil"/>
              <w:left w:val="nil"/>
              <w:bottom w:val="nil"/>
              <w:right w:val="nil"/>
            </w:tcBorders>
            <w:shd w:val="clear" w:color="auto" w:fill="auto"/>
            <w:noWrap/>
            <w:vAlign w:val="bottom"/>
            <w:hideMark/>
          </w:tcPr>
          <w:p w14:paraId="1F65E2A2"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p>
        </w:tc>
        <w:tc>
          <w:tcPr>
            <w:tcW w:w="2880" w:type="dxa"/>
            <w:tcBorders>
              <w:top w:val="nil"/>
              <w:left w:val="nil"/>
              <w:bottom w:val="nil"/>
              <w:right w:val="nil"/>
            </w:tcBorders>
            <w:shd w:val="clear" w:color="auto" w:fill="auto"/>
            <w:noWrap/>
            <w:vAlign w:val="bottom"/>
            <w:hideMark/>
          </w:tcPr>
          <w:p w14:paraId="22B432AD" w14:textId="77777777" w:rsidR="004A7120" w:rsidRPr="004A7120" w:rsidRDefault="004A7120" w:rsidP="004A7120">
            <w:pPr>
              <w:spacing w:after="0" w:line="240" w:lineRule="auto"/>
              <w:rPr>
                <w:rFonts w:ascii="Times New Roman" w:eastAsia="Calibri" w:hAnsi="Times New Roman" w:cs="Times New Roman"/>
                <w:kern w:val="0"/>
                <w:sz w:val="20"/>
                <w:szCs w:val="20"/>
                <w14:ligatures w14:val="none"/>
              </w:rPr>
            </w:pPr>
          </w:p>
        </w:tc>
        <w:tc>
          <w:tcPr>
            <w:tcW w:w="1350" w:type="dxa"/>
            <w:tcBorders>
              <w:top w:val="nil"/>
              <w:left w:val="nil"/>
              <w:bottom w:val="nil"/>
              <w:right w:val="nil"/>
            </w:tcBorders>
            <w:shd w:val="clear" w:color="auto" w:fill="auto"/>
            <w:noWrap/>
            <w:vAlign w:val="bottom"/>
            <w:hideMark/>
          </w:tcPr>
          <w:p w14:paraId="7608D7CF" w14:textId="77777777" w:rsidR="004A7120" w:rsidRPr="004A7120" w:rsidRDefault="004A7120" w:rsidP="004A7120">
            <w:pPr>
              <w:spacing w:after="0" w:line="240" w:lineRule="auto"/>
              <w:rPr>
                <w:rFonts w:ascii="Times New Roman" w:eastAsia="Calibri" w:hAnsi="Times New Roman" w:cs="Times New Roman"/>
                <w:kern w:val="0"/>
                <w:sz w:val="20"/>
                <w:szCs w:val="20"/>
                <w14:ligatures w14:val="none"/>
              </w:rPr>
            </w:pPr>
          </w:p>
        </w:tc>
        <w:tc>
          <w:tcPr>
            <w:tcW w:w="1530" w:type="dxa"/>
            <w:tcBorders>
              <w:top w:val="nil"/>
              <w:left w:val="nil"/>
              <w:bottom w:val="nil"/>
              <w:right w:val="nil"/>
            </w:tcBorders>
            <w:vAlign w:val="center"/>
          </w:tcPr>
          <w:p w14:paraId="4C4C0C8C" w14:textId="77777777" w:rsidR="004A7120" w:rsidRPr="004A7120" w:rsidRDefault="004A7120" w:rsidP="004A7120">
            <w:pPr>
              <w:spacing w:after="0" w:line="240" w:lineRule="auto"/>
              <w:jc w:val="center"/>
              <w:rPr>
                <w:rFonts w:ascii="Times New Roman" w:eastAsia="Calibri" w:hAnsi="Times New Roman" w:cs="Times New Roman"/>
                <w:kern w:val="0"/>
                <w14:ligatures w14:val="none"/>
              </w:rPr>
            </w:pPr>
            <w:r w:rsidRPr="004A7120">
              <w:rPr>
                <w:rFonts w:ascii="Times New Roman" w:eastAsia="Calibri" w:hAnsi="Times New Roman" w:cs="Times New Roman"/>
                <w:kern w:val="0"/>
                <w14:ligatures w14:val="none"/>
              </w:rPr>
              <w:t>&lt;0.001</w:t>
            </w:r>
          </w:p>
        </w:tc>
      </w:tr>
      <w:tr w:rsidR="004A7120" w:rsidRPr="004A7120" w14:paraId="12EA6EBF" w14:textId="77777777" w:rsidTr="00F5727C">
        <w:trPr>
          <w:trHeight w:val="310"/>
        </w:trPr>
        <w:tc>
          <w:tcPr>
            <w:tcW w:w="5580" w:type="dxa"/>
            <w:tcBorders>
              <w:top w:val="nil"/>
              <w:left w:val="nil"/>
              <w:bottom w:val="nil"/>
              <w:right w:val="nil"/>
            </w:tcBorders>
            <w:shd w:val="clear" w:color="auto" w:fill="auto"/>
            <w:noWrap/>
            <w:vAlign w:val="bottom"/>
            <w:hideMark/>
          </w:tcPr>
          <w:p w14:paraId="7A812B75"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Uranium Processing Facilities</w:t>
            </w:r>
          </w:p>
        </w:tc>
        <w:tc>
          <w:tcPr>
            <w:tcW w:w="1890" w:type="dxa"/>
            <w:tcBorders>
              <w:top w:val="nil"/>
              <w:left w:val="nil"/>
              <w:bottom w:val="nil"/>
              <w:right w:val="nil"/>
            </w:tcBorders>
            <w:shd w:val="clear" w:color="auto" w:fill="auto"/>
            <w:noWrap/>
            <w:vAlign w:val="center"/>
            <w:hideMark/>
          </w:tcPr>
          <w:p w14:paraId="486D23A9"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1.296</w:t>
            </w:r>
          </w:p>
        </w:tc>
        <w:tc>
          <w:tcPr>
            <w:tcW w:w="2880" w:type="dxa"/>
            <w:tcBorders>
              <w:top w:val="nil"/>
              <w:left w:val="nil"/>
              <w:bottom w:val="nil"/>
              <w:right w:val="nil"/>
            </w:tcBorders>
            <w:shd w:val="clear" w:color="auto" w:fill="auto"/>
            <w:noWrap/>
            <w:vAlign w:val="center"/>
            <w:hideMark/>
          </w:tcPr>
          <w:p w14:paraId="1DFDE37D"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1.099, 1.526</w:t>
            </w:r>
          </w:p>
        </w:tc>
        <w:tc>
          <w:tcPr>
            <w:tcW w:w="1350" w:type="dxa"/>
            <w:tcBorders>
              <w:top w:val="nil"/>
              <w:left w:val="nil"/>
              <w:bottom w:val="nil"/>
              <w:right w:val="nil"/>
            </w:tcBorders>
            <w:shd w:val="clear" w:color="auto" w:fill="auto"/>
            <w:noWrap/>
            <w:vAlign w:val="center"/>
            <w:hideMark/>
          </w:tcPr>
          <w:p w14:paraId="300CE4C3"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0.002</w:t>
            </w:r>
          </w:p>
        </w:tc>
        <w:tc>
          <w:tcPr>
            <w:tcW w:w="1530" w:type="dxa"/>
            <w:tcBorders>
              <w:top w:val="nil"/>
              <w:left w:val="nil"/>
              <w:bottom w:val="nil"/>
              <w:right w:val="nil"/>
            </w:tcBorders>
          </w:tcPr>
          <w:p w14:paraId="79B0E913"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1464EF1C" w14:textId="77777777" w:rsidTr="00F5727C">
        <w:trPr>
          <w:trHeight w:val="310"/>
        </w:trPr>
        <w:tc>
          <w:tcPr>
            <w:tcW w:w="5580" w:type="dxa"/>
            <w:tcBorders>
              <w:top w:val="nil"/>
              <w:left w:val="nil"/>
              <w:bottom w:val="nil"/>
              <w:right w:val="nil"/>
            </w:tcBorders>
            <w:shd w:val="clear" w:color="auto" w:fill="auto"/>
            <w:noWrap/>
            <w:vAlign w:val="bottom"/>
            <w:hideMark/>
          </w:tcPr>
          <w:p w14:paraId="46A75E24"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Weapons Production</w:t>
            </w:r>
          </w:p>
        </w:tc>
        <w:tc>
          <w:tcPr>
            <w:tcW w:w="1890" w:type="dxa"/>
            <w:tcBorders>
              <w:top w:val="nil"/>
              <w:left w:val="nil"/>
              <w:bottom w:val="nil"/>
              <w:right w:val="nil"/>
            </w:tcBorders>
            <w:shd w:val="clear" w:color="auto" w:fill="auto"/>
            <w:noWrap/>
            <w:vAlign w:val="center"/>
            <w:hideMark/>
          </w:tcPr>
          <w:p w14:paraId="1DD3733B"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1.26</w:t>
            </w:r>
          </w:p>
        </w:tc>
        <w:tc>
          <w:tcPr>
            <w:tcW w:w="2880" w:type="dxa"/>
            <w:tcBorders>
              <w:top w:val="nil"/>
              <w:left w:val="nil"/>
              <w:bottom w:val="nil"/>
              <w:right w:val="nil"/>
            </w:tcBorders>
            <w:shd w:val="clear" w:color="auto" w:fill="auto"/>
            <w:noWrap/>
            <w:vAlign w:val="center"/>
            <w:hideMark/>
          </w:tcPr>
          <w:p w14:paraId="53F86457"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1.145, 1.285</w:t>
            </w:r>
          </w:p>
        </w:tc>
        <w:tc>
          <w:tcPr>
            <w:tcW w:w="1350" w:type="dxa"/>
            <w:tcBorders>
              <w:top w:val="nil"/>
              <w:left w:val="nil"/>
              <w:bottom w:val="nil"/>
              <w:right w:val="nil"/>
            </w:tcBorders>
            <w:shd w:val="clear" w:color="auto" w:fill="auto"/>
            <w:noWrap/>
            <w:vAlign w:val="bottom"/>
            <w:hideMark/>
          </w:tcPr>
          <w:p w14:paraId="7B2E4980"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&lt;0.001</w:t>
            </w:r>
          </w:p>
        </w:tc>
        <w:tc>
          <w:tcPr>
            <w:tcW w:w="1530" w:type="dxa"/>
            <w:tcBorders>
              <w:top w:val="nil"/>
              <w:left w:val="nil"/>
              <w:bottom w:val="nil"/>
              <w:right w:val="nil"/>
            </w:tcBorders>
          </w:tcPr>
          <w:p w14:paraId="39C6A2EB"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4BC9AED8" w14:textId="77777777" w:rsidTr="00F5727C">
        <w:trPr>
          <w:trHeight w:val="310"/>
        </w:trPr>
        <w:tc>
          <w:tcPr>
            <w:tcW w:w="5580" w:type="dxa"/>
            <w:tcBorders>
              <w:top w:val="nil"/>
              <w:left w:val="nil"/>
              <w:bottom w:val="nil"/>
              <w:right w:val="nil"/>
            </w:tcBorders>
            <w:shd w:val="clear" w:color="auto" w:fill="auto"/>
            <w:noWrap/>
            <w:vAlign w:val="bottom"/>
          </w:tcPr>
          <w:p w14:paraId="7F35C190"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Science and Laboratory Facilities</w:t>
            </w:r>
          </w:p>
        </w:tc>
        <w:tc>
          <w:tcPr>
            <w:tcW w:w="6120" w:type="dxa"/>
            <w:gridSpan w:val="3"/>
            <w:tcBorders>
              <w:top w:val="nil"/>
              <w:left w:val="nil"/>
              <w:bottom w:val="nil"/>
              <w:right w:val="nil"/>
            </w:tcBorders>
            <w:shd w:val="clear" w:color="auto" w:fill="auto"/>
            <w:noWrap/>
            <w:vAlign w:val="center"/>
          </w:tcPr>
          <w:p w14:paraId="4C4F9A96"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i/>
                <w:iCs/>
                <w:color w:val="000000"/>
                <w:kern w:val="0"/>
                <w14:ligatures w14:val="none"/>
              </w:rPr>
              <w:t>Reference</w:t>
            </w:r>
          </w:p>
        </w:tc>
        <w:tc>
          <w:tcPr>
            <w:tcW w:w="1530" w:type="dxa"/>
            <w:tcBorders>
              <w:top w:val="nil"/>
              <w:left w:val="nil"/>
              <w:bottom w:val="nil"/>
              <w:right w:val="nil"/>
            </w:tcBorders>
          </w:tcPr>
          <w:p w14:paraId="24EA4E47"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08D9C74E" w14:textId="77777777" w:rsidTr="00F5727C">
        <w:trPr>
          <w:trHeight w:val="310"/>
        </w:trPr>
        <w:tc>
          <w:tcPr>
            <w:tcW w:w="5580" w:type="dxa"/>
            <w:tcBorders>
              <w:top w:val="nil"/>
              <w:left w:val="nil"/>
              <w:bottom w:val="nil"/>
              <w:right w:val="nil"/>
            </w:tcBorders>
            <w:shd w:val="clear" w:color="auto" w:fill="auto"/>
            <w:noWrap/>
            <w:vAlign w:val="bottom"/>
          </w:tcPr>
          <w:p w14:paraId="13455F07"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Working Duration</w:t>
            </w:r>
          </w:p>
        </w:tc>
        <w:tc>
          <w:tcPr>
            <w:tcW w:w="1890" w:type="dxa"/>
            <w:tcBorders>
              <w:top w:val="nil"/>
              <w:left w:val="nil"/>
              <w:bottom w:val="nil"/>
              <w:right w:val="nil"/>
            </w:tcBorders>
            <w:shd w:val="clear" w:color="auto" w:fill="auto"/>
            <w:noWrap/>
            <w:vAlign w:val="bottom"/>
          </w:tcPr>
          <w:p w14:paraId="675B38C0"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p>
        </w:tc>
        <w:tc>
          <w:tcPr>
            <w:tcW w:w="2880" w:type="dxa"/>
            <w:tcBorders>
              <w:top w:val="nil"/>
              <w:left w:val="nil"/>
              <w:bottom w:val="nil"/>
              <w:right w:val="nil"/>
            </w:tcBorders>
            <w:shd w:val="clear" w:color="auto" w:fill="auto"/>
            <w:noWrap/>
            <w:vAlign w:val="center"/>
          </w:tcPr>
          <w:p w14:paraId="319D1A35" w14:textId="77777777" w:rsidR="004A7120" w:rsidRPr="004A7120" w:rsidRDefault="004A7120" w:rsidP="004A7120">
            <w:pPr>
              <w:spacing w:after="0" w:line="240" w:lineRule="auto"/>
              <w:rPr>
                <w:rFonts w:ascii="Times New Roman" w:eastAsia="Calibri" w:hAnsi="Times New Roman" w:cs="Times New Roman"/>
                <w:kern w:val="0"/>
                <w:sz w:val="20"/>
                <w:szCs w:val="20"/>
                <w14:ligatures w14:val="none"/>
              </w:rPr>
            </w:pPr>
          </w:p>
        </w:tc>
        <w:tc>
          <w:tcPr>
            <w:tcW w:w="1350" w:type="dxa"/>
            <w:tcBorders>
              <w:top w:val="nil"/>
              <w:left w:val="nil"/>
              <w:bottom w:val="nil"/>
              <w:right w:val="nil"/>
            </w:tcBorders>
            <w:shd w:val="clear" w:color="auto" w:fill="auto"/>
            <w:noWrap/>
            <w:vAlign w:val="bottom"/>
          </w:tcPr>
          <w:p w14:paraId="730331C7" w14:textId="77777777" w:rsidR="004A7120" w:rsidRPr="004A7120" w:rsidRDefault="004A7120" w:rsidP="004A7120">
            <w:pPr>
              <w:spacing w:after="0" w:line="240" w:lineRule="auto"/>
              <w:rPr>
                <w:rFonts w:ascii="Times New Roman" w:eastAsia="Calibri" w:hAnsi="Times New Roman" w:cs="Times New Roman"/>
                <w:kern w:val="0"/>
                <w:sz w:val="20"/>
                <w:szCs w:val="20"/>
                <w14:ligatures w14:val="none"/>
              </w:rPr>
            </w:pPr>
          </w:p>
        </w:tc>
        <w:tc>
          <w:tcPr>
            <w:tcW w:w="1530" w:type="dxa"/>
            <w:tcBorders>
              <w:top w:val="nil"/>
              <w:left w:val="nil"/>
              <w:bottom w:val="nil"/>
              <w:right w:val="nil"/>
            </w:tcBorders>
            <w:vAlign w:val="center"/>
          </w:tcPr>
          <w:p w14:paraId="5C9986EB" w14:textId="77777777" w:rsidR="004A7120" w:rsidRPr="004A7120" w:rsidRDefault="004A7120" w:rsidP="004A7120">
            <w:pPr>
              <w:spacing w:after="0" w:line="240" w:lineRule="auto"/>
              <w:jc w:val="center"/>
              <w:rPr>
                <w:rFonts w:ascii="Times New Roman" w:eastAsia="Calibri" w:hAnsi="Times New Roman" w:cs="Times New Roman"/>
                <w:kern w:val="0"/>
                <w14:ligatures w14:val="none"/>
              </w:rPr>
            </w:pPr>
            <w:r w:rsidRPr="004A7120">
              <w:rPr>
                <w:rFonts w:ascii="Times New Roman" w:eastAsia="Calibri" w:hAnsi="Times New Roman" w:cs="Times New Roman"/>
                <w:color w:val="000000"/>
                <w:kern w:val="0"/>
                <w14:ligatures w14:val="none"/>
              </w:rPr>
              <w:t>&lt;0.001</w:t>
            </w:r>
          </w:p>
        </w:tc>
      </w:tr>
      <w:tr w:rsidR="004A7120" w:rsidRPr="004A7120" w14:paraId="4041A533" w14:textId="77777777" w:rsidTr="00F5727C">
        <w:trPr>
          <w:trHeight w:val="310"/>
        </w:trPr>
        <w:tc>
          <w:tcPr>
            <w:tcW w:w="5580" w:type="dxa"/>
            <w:tcBorders>
              <w:top w:val="nil"/>
              <w:left w:val="nil"/>
              <w:bottom w:val="nil"/>
              <w:right w:val="nil"/>
            </w:tcBorders>
            <w:shd w:val="clear" w:color="auto" w:fill="auto"/>
            <w:noWrap/>
            <w:vAlign w:val="bottom"/>
          </w:tcPr>
          <w:p w14:paraId="25BFBE53" w14:textId="77777777" w:rsidR="004A7120" w:rsidRPr="004A7120" w:rsidRDefault="004A7120" w:rsidP="004A7120">
            <w:pPr>
              <w:spacing w:after="0" w:line="240" w:lineRule="auto"/>
              <w:ind w:left="720"/>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5-9 years</w:t>
            </w:r>
          </w:p>
        </w:tc>
        <w:tc>
          <w:tcPr>
            <w:tcW w:w="1890" w:type="dxa"/>
            <w:tcBorders>
              <w:top w:val="nil"/>
              <w:left w:val="nil"/>
              <w:bottom w:val="nil"/>
              <w:right w:val="nil"/>
            </w:tcBorders>
            <w:shd w:val="clear" w:color="auto" w:fill="auto"/>
            <w:noWrap/>
            <w:vAlign w:val="center"/>
          </w:tcPr>
          <w:p w14:paraId="47F53877"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1.028</w:t>
            </w:r>
          </w:p>
        </w:tc>
        <w:tc>
          <w:tcPr>
            <w:tcW w:w="2880" w:type="dxa"/>
            <w:tcBorders>
              <w:top w:val="nil"/>
              <w:left w:val="nil"/>
              <w:bottom w:val="nil"/>
              <w:right w:val="nil"/>
            </w:tcBorders>
            <w:shd w:val="clear" w:color="auto" w:fill="auto"/>
            <w:noWrap/>
            <w:vAlign w:val="center"/>
          </w:tcPr>
          <w:p w14:paraId="2583FD8E"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0.918, 1.152</w:t>
            </w:r>
          </w:p>
        </w:tc>
        <w:tc>
          <w:tcPr>
            <w:tcW w:w="1350" w:type="dxa"/>
            <w:tcBorders>
              <w:top w:val="nil"/>
              <w:left w:val="nil"/>
              <w:bottom w:val="nil"/>
              <w:right w:val="nil"/>
            </w:tcBorders>
            <w:shd w:val="clear" w:color="auto" w:fill="auto"/>
            <w:noWrap/>
            <w:vAlign w:val="center"/>
          </w:tcPr>
          <w:p w14:paraId="53A2FFA2"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0.629</w:t>
            </w:r>
          </w:p>
        </w:tc>
        <w:tc>
          <w:tcPr>
            <w:tcW w:w="1530" w:type="dxa"/>
            <w:tcBorders>
              <w:top w:val="nil"/>
              <w:left w:val="nil"/>
              <w:bottom w:val="nil"/>
              <w:right w:val="nil"/>
            </w:tcBorders>
          </w:tcPr>
          <w:p w14:paraId="2F35DBE5" w14:textId="77777777" w:rsidR="004A7120" w:rsidRPr="004A7120" w:rsidRDefault="004A7120" w:rsidP="004A7120">
            <w:pPr>
              <w:spacing w:after="0" w:line="240" w:lineRule="auto"/>
              <w:jc w:val="center"/>
              <w:rPr>
                <w:rFonts w:ascii="Times New Roman" w:eastAsia="Calibri" w:hAnsi="Times New Roman" w:cs="Times New Roman"/>
                <w:kern w:val="0"/>
                <w14:ligatures w14:val="none"/>
              </w:rPr>
            </w:pPr>
          </w:p>
        </w:tc>
      </w:tr>
      <w:tr w:rsidR="004A7120" w:rsidRPr="004A7120" w14:paraId="3A768063" w14:textId="77777777" w:rsidTr="00F5727C">
        <w:trPr>
          <w:trHeight w:val="310"/>
        </w:trPr>
        <w:tc>
          <w:tcPr>
            <w:tcW w:w="5580" w:type="dxa"/>
            <w:tcBorders>
              <w:top w:val="nil"/>
              <w:left w:val="nil"/>
              <w:bottom w:val="nil"/>
              <w:right w:val="nil"/>
            </w:tcBorders>
            <w:shd w:val="clear" w:color="auto" w:fill="auto"/>
            <w:noWrap/>
            <w:vAlign w:val="bottom"/>
          </w:tcPr>
          <w:p w14:paraId="316B7A88" w14:textId="77777777" w:rsidR="004A7120" w:rsidRPr="004A7120" w:rsidRDefault="004A7120" w:rsidP="004A7120">
            <w:pPr>
              <w:spacing w:after="0" w:line="240" w:lineRule="auto"/>
              <w:ind w:left="720"/>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10-14 years</w:t>
            </w:r>
          </w:p>
        </w:tc>
        <w:tc>
          <w:tcPr>
            <w:tcW w:w="1890" w:type="dxa"/>
            <w:tcBorders>
              <w:top w:val="nil"/>
              <w:left w:val="nil"/>
              <w:bottom w:val="nil"/>
              <w:right w:val="nil"/>
            </w:tcBorders>
            <w:shd w:val="clear" w:color="auto" w:fill="auto"/>
            <w:noWrap/>
            <w:vAlign w:val="center"/>
          </w:tcPr>
          <w:p w14:paraId="0348878E"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1.128</w:t>
            </w:r>
          </w:p>
        </w:tc>
        <w:tc>
          <w:tcPr>
            <w:tcW w:w="2880" w:type="dxa"/>
            <w:tcBorders>
              <w:top w:val="nil"/>
              <w:left w:val="nil"/>
              <w:bottom w:val="nil"/>
              <w:right w:val="nil"/>
            </w:tcBorders>
            <w:shd w:val="clear" w:color="auto" w:fill="auto"/>
            <w:noWrap/>
            <w:vAlign w:val="center"/>
          </w:tcPr>
          <w:p w14:paraId="10850564"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0.994, 1.280</w:t>
            </w:r>
          </w:p>
        </w:tc>
        <w:tc>
          <w:tcPr>
            <w:tcW w:w="1350" w:type="dxa"/>
            <w:tcBorders>
              <w:top w:val="nil"/>
              <w:left w:val="nil"/>
              <w:bottom w:val="nil"/>
              <w:right w:val="nil"/>
            </w:tcBorders>
            <w:shd w:val="clear" w:color="auto" w:fill="auto"/>
            <w:noWrap/>
            <w:vAlign w:val="center"/>
          </w:tcPr>
          <w:p w14:paraId="5A2C86A6"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0.061</w:t>
            </w:r>
          </w:p>
        </w:tc>
        <w:tc>
          <w:tcPr>
            <w:tcW w:w="1530" w:type="dxa"/>
            <w:tcBorders>
              <w:top w:val="nil"/>
              <w:left w:val="nil"/>
              <w:bottom w:val="nil"/>
              <w:right w:val="nil"/>
            </w:tcBorders>
          </w:tcPr>
          <w:p w14:paraId="79367D6C" w14:textId="77777777" w:rsidR="004A7120" w:rsidRPr="004A7120" w:rsidRDefault="004A7120" w:rsidP="004A7120">
            <w:pPr>
              <w:spacing w:after="0" w:line="240" w:lineRule="auto"/>
              <w:jc w:val="center"/>
              <w:rPr>
                <w:rFonts w:ascii="Times New Roman" w:eastAsia="Calibri" w:hAnsi="Times New Roman" w:cs="Times New Roman"/>
                <w:kern w:val="0"/>
                <w14:ligatures w14:val="none"/>
              </w:rPr>
            </w:pPr>
          </w:p>
        </w:tc>
      </w:tr>
      <w:tr w:rsidR="004A7120" w:rsidRPr="004A7120" w14:paraId="601989B6" w14:textId="77777777" w:rsidTr="00F5727C">
        <w:trPr>
          <w:trHeight w:val="310"/>
        </w:trPr>
        <w:tc>
          <w:tcPr>
            <w:tcW w:w="5580" w:type="dxa"/>
            <w:tcBorders>
              <w:top w:val="nil"/>
              <w:left w:val="nil"/>
              <w:bottom w:val="nil"/>
              <w:right w:val="nil"/>
            </w:tcBorders>
            <w:shd w:val="clear" w:color="auto" w:fill="auto"/>
            <w:noWrap/>
            <w:vAlign w:val="bottom"/>
          </w:tcPr>
          <w:p w14:paraId="6F281C05" w14:textId="77777777" w:rsidR="004A7120" w:rsidRPr="004A7120" w:rsidRDefault="004A7120" w:rsidP="004A7120">
            <w:pPr>
              <w:spacing w:after="0" w:line="240" w:lineRule="auto"/>
              <w:ind w:left="720"/>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15-19 years</w:t>
            </w:r>
          </w:p>
        </w:tc>
        <w:tc>
          <w:tcPr>
            <w:tcW w:w="1890" w:type="dxa"/>
            <w:tcBorders>
              <w:top w:val="nil"/>
              <w:left w:val="nil"/>
              <w:bottom w:val="nil"/>
              <w:right w:val="nil"/>
            </w:tcBorders>
            <w:shd w:val="clear" w:color="auto" w:fill="auto"/>
            <w:noWrap/>
            <w:vAlign w:val="center"/>
          </w:tcPr>
          <w:p w14:paraId="70C7E5A6"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1.076</w:t>
            </w:r>
          </w:p>
        </w:tc>
        <w:tc>
          <w:tcPr>
            <w:tcW w:w="2880" w:type="dxa"/>
            <w:tcBorders>
              <w:top w:val="nil"/>
              <w:left w:val="nil"/>
              <w:bottom w:val="nil"/>
              <w:right w:val="nil"/>
            </w:tcBorders>
            <w:shd w:val="clear" w:color="auto" w:fill="auto"/>
            <w:noWrap/>
            <w:vAlign w:val="center"/>
          </w:tcPr>
          <w:p w14:paraId="3FC1F8A2"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0.935, 1.238</w:t>
            </w:r>
          </w:p>
        </w:tc>
        <w:tc>
          <w:tcPr>
            <w:tcW w:w="1350" w:type="dxa"/>
            <w:tcBorders>
              <w:top w:val="nil"/>
              <w:left w:val="nil"/>
              <w:bottom w:val="nil"/>
              <w:right w:val="nil"/>
            </w:tcBorders>
            <w:shd w:val="clear" w:color="auto" w:fill="auto"/>
            <w:noWrap/>
            <w:vAlign w:val="center"/>
          </w:tcPr>
          <w:p w14:paraId="0F6C24EA"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0.306</w:t>
            </w:r>
          </w:p>
        </w:tc>
        <w:tc>
          <w:tcPr>
            <w:tcW w:w="1530" w:type="dxa"/>
            <w:tcBorders>
              <w:top w:val="nil"/>
              <w:left w:val="nil"/>
              <w:bottom w:val="nil"/>
              <w:right w:val="nil"/>
            </w:tcBorders>
          </w:tcPr>
          <w:p w14:paraId="42D0D21D" w14:textId="77777777" w:rsidR="004A7120" w:rsidRPr="004A7120" w:rsidRDefault="004A7120" w:rsidP="004A7120">
            <w:pPr>
              <w:spacing w:after="0" w:line="240" w:lineRule="auto"/>
              <w:jc w:val="center"/>
              <w:rPr>
                <w:rFonts w:ascii="Times New Roman" w:eastAsia="Calibri" w:hAnsi="Times New Roman" w:cs="Times New Roman"/>
                <w:kern w:val="0"/>
                <w14:ligatures w14:val="none"/>
              </w:rPr>
            </w:pPr>
          </w:p>
        </w:tc>
      </w:tr>
      <w:tr w:rsidR="004A7120" w:rsidRPr="004A7120" w14:paraId="523B7CC4" w14:textId="77777777" w:rsidTr="00F5727C">
        <w:trPr>
          <w:trHeight w:val="310"/>
        </w:trPr>
        <w:tc>
          <w:tcPr>
            <w:tcW w:w="5580" w:type="dxa"/>
            <w:tcBorders>
              <w:top w:val="nil"/>
              <w:left w:val="nil"/>
              <w:bottom w:val="nil"/>
              <w:right w:val="nil"/>
            </w:tcBorders>
            <w:shd w:val="clear" w:color="auto" w:fill="auto"/>
            <w:noWrap/>
            <w:vAlign w:val="bottom"/>
          </w:tcPr>
          <w:p w14:paraId="4EC4E987" w14:textId="77777777" w:rsidR="004A7120" w:rsidRPr="004A7120" w:rsidRDefault="004A7120" w:rsidP="004A7120">
            <w:pPr>
              <w:spacing w:after="0" w:line="240" w:lineRule="auto"/>
              <w:ind w:left="720"/>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20-24 years</w:t>
            </w:r>
          </w:p>
        </w:tc>
        <w:tc>
          <w:tcPr>
            <w:tcW w:w="1890" w:type="dxa"/>
            <w:tcBorders>
              <w:top w:val="nil"/>
              <w:left w:val="nil"/>
              <w:bottom w:val="nil"/>
              <w:right w:val="nil"/>
            </w:tcBorders>
            <w:shd w:val="clear" w:color="auto" w:fill="auto"/>
            <w:noWrap/>
            <w:vAlign w:val="center"/>
          </w:tcPr>
          <w:p w14:paraId="733FB4C9"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1.012</w:t>
            </w:r>
          </w:p>
        </w:tc>
        <w:tc>
          <w:tcPr>
            <w:tcW w:w="2880" w:type="dxa"/>
            <w:tcBorders>
              <w:top w:val="nil"/>
              <w:left w:val="nil"/>
              <w:bottom w:val="nil"/>
              <w:right w:val="nil"/>
            </w:tcBorders>
            <w:shd w:val="clear" w:color="auto" w:fill="auto"/>
            <w:noWrap/>
            <w:vAlign w:val="center"/>
          </w:tcPr>
          <w:p w14:paraId="6E076D91"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0.872, 1.175</w:t>
            </w:r>
          </w:p>
        </w:tc>
        <w:tc>
          <w:tcPr>
            <w:tcW w:w="1350" w:type="dxa"/>
            <w:tcBorders>
              <w:top w:val="nil"/>
              <w:left w:val="nil"/>
              <w:bottom w:val="nil"/>
              <w:right w:val="nil"/>
            </w:tcBorders>
            <w:shd w:val="clear" w:color="auto" w:fill="auto"/>
            <w:noWrap/>
            <w:vAlign w:val="center"/>
          </w:tcPr>
          <w:p w14:paraId="2E0338E8"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0.871</w:t>
            </w:r>
          </w:p>
        </w:tc>
        <w:tc>
          <w:tcPr>
            <w:tcW w:w="1530" w:type="dxa"/>
            <w:tcBorders>
              <w:top w:val="nil"/>
              <w:left w:val="nil"/>
              <w:bottom w:val="nil"/>
              <w:right w:val="nil"/>
            </w:tcBorders>
          </w:tcPr>
          <w:p w14:paraId="4CAADF0B" w14:textId="77777777" w:rsidR="004A7120" w:rsidRPr="004A7120" w:rsidRDefault="004A7120" w:rsidP="004A7120">
            <w:pPr>
              <w:spacing w:after="0" w:line="240" w:lineRule="auto"/>
              <w:jc w:val="center"/>
              <w:rPr>
                <w:rFonts w:ascii="Times New Roman" w:eastAsia="Calibri" w:hAnsi="Times New Roman" w:cs="Times New Roman"/>
                <w:kern w:val="0"/>
                <w14:ligatures w14:val="none"/>
              </w:rPr>
            </w:pPr>
          </w:p>
        </w:tc>
      </w:tr>
      <w:tr w:rsidR="004A7120" w:rsidRPr="004A7120" w14:paraId="1D8DE2B6" w14:textId="77777777" w:rsidTr="00F5727C">
        <w:trPr>
          <w:trHeight w:val="310"/>
        </w:trPr>
        <w:tc>
          <w:tcPr>
            <w:tcW w:w="5580" w:type="dxa"/>
            <w:tcBorders>
              <w:top w:val="nil"/>
              <w:left w:val="nil"/>
              <w:bottom w:val="nil"/>
              <w:right w:val="nil"/>
            </w:tcBorders>
            <w:shd w:val="clear" w:color="auto" w:fill="auto"/>
            <w:noWrap/>
            <w:vAlign w:val="bottom"/>
          </w:tcPr>
          <w:p w14:paraId="4F2E47E4" w14:textId="77777777" w:rsidR="004A7120" w:rsidRPr="004A7120" w:rsidRDefault="004A7120" w:rsidP="004A7120">
            <w:pPr>
              <w:spacing w:after="0" w:line="240" w:lineRule="auto"/>
              <w:ind w:left="720"/>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25-29 years</w:t>
            </w:r>
          </w:p>
        </w:tc>
        <w:tc>
          <w:tcPr>
            <w:tcW w:w="1890" w:type="dxa"/>
            <w:tcBorders>
              <w:top w:val="nil"/>
              <w:left w:val="nil"/>
              <w:bottom w:val="nil"/>
              <w:right w:val="nil"/>
            </w:tcBorders>
            <w:shd w:val="clear" w:color="auto" w:fill="auto"/>
            <w:noWrap/>
            <w:vAlign w:val="center"/>
          </w:tcPr>
          <w:p w14:paraId="3D88C3C1"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1.295</w:t>
            </w:r>
          </w:p>
        </w:tc>
        <w:tc>
          <w:tcPr>
            <w:tcW w:w="2880" w:type="dxa"/>
            <w:tcBorders>
              <w:top w:val="nil"/>
              <w:left w:val="nil"/>
              <w:bottom w:val="nil"/>
              <w:right w:val="nil"/>
            </w:tcBorders>
            <w:shd w:val="clear" w:color="auto" w:fill="auto"/>
            <w:noWrap/>
            <w:vAlign w:val="center"/>
          </w:tcPr>
          <w:p w14:paraId="42CA995B"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1.117, 1.502</w:t>
            </w:r>
          </w:p>
        </w:tc>
        <w:tc>
          <w:tcPr>
            <w:tcW w:w="1350" w:type="dxa"/>
            <w:tcBorders>
              <w:top w:val="nil"/>
              <w:left w:val="nil"/>
              <w:bottom w:val="nil"/>
              <w:right w:val="nil"/>
            </w:tcBorders>
            <w:shd w:val="clear" w:color="auto" w:fill="auto"/>
            <w:noWrap/>
            <w:vAlign w:val="center"/>
          </w:tcPr>
          <w:p w14:paraId="716A1484"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&lt;0.001</w:t>
            </w:r>
          </w:p>
        </w:tc>
        <w:tc>
          <w:tcPr>
            <w:tcW w:w="1530" w:type="dxa"/>
            <w:tcBorders>
              <w:top w:val="nil"/>
              <w:left w:val="nil"/>
              <w:bottom w:val="nil"/>
              <w:right w:val="nil"/>
            </w:tcBorders>
          </w:tcPr>
          <w:p w14:paraId="0DA211B4" w14:textId="77777777" w:rsidR="004A7120" w:rsidRPr="004A7120" w:rsidRDefault="004A7120" w:rsidP="004A7120">
            <w:pPr>
              <w:spacing w:after="0" w:line="240" w:lineRule="auto"/>
              <w:jc w:val="center"/>
              <w:rPr>
                <w:rFonts w:ascii="Times New Roman" w:eastAsia="Calibri" w:hAnsi="Times New Roman" w:cs="Times New Roman"/>
                <w:kern w:val="0"/>
                <w14:ligatures w14:val="none"/>
              </w:rPr>
            </w:pPr>
          </w:p>
        </w:tc>
      </w:tr>
      <w:tr w:rsidR="004A7120" w:rsidRPr="004A7120" w14:paraId="002514F0" w14:textId="77777777" w:rsidTr="00F5727C">
        <w:trPr>
          <w:trHeight w:val="310"/>
        </w:trPr>
        <w:tc>
          <w:tcPr>
            <w:tcW w:w="5580" w:type="dxa"/>
            <w:tcBorders>
              <w:top w:val="nil"/>
              <w:left w:val="nil"/>
              <w:bottom w:val="nil"/>
              <w:right w:val="nil"/>
            </w:tcBorders>
            <w:shd w:val="clear" w:color="auto" w:fill="auto"/>
            <w:noWrap/>
            <w:vAlign w:val="bottom"/>
          </w:tcPr>
          <w:p w14:paraId="673F1C0F" w14:textId="77777777" w:rsidR="004A7120" w:rsidRPr="004A7120" w:rsidRDefault="004A7120" w:rsidP="004A7120">
            <w:pPr>
              <w:spacing w:after="0" w:line="240" w:lineRule="auto"/>
              <w:ind w:left="720"/>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 30 years</w:t>
            </w:r>
          </w:p>
        </w:tc>
        <w:tc>
          <w:tcPr>
            <w:tcW w:w="1890" w:type="dxa"/>
            <w:tcBorders>
              <w:top w:val="nil"/>
              <w:left w:val="nil"/>
              <w:bottom w:val="nil"/>
              <w:right w:val="nil"/>
            </w:tcBorders>
            <w:shd w:val="clear" w:color="auto" w:fill="auto"/>
            <w:noWrap/>
            <w:vAlign w:val="center"/>
          </w:tcPr>
          <w:p w14:paraId="7B245146"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1.34</w:t>
            </w:r>
          </w:p>
        </w:tc>
        <w:tc>
          <w:tcPr>
            <w:tcW w:w="2880" w:type="dxa"/>
            <w:tcBorders>
              <w:top w:val="nil"/>
              <w:left w:val="nil"/>
              <w:bottom w:val="nil"/>
              <w:right w:val="nil"/>
            </w:tcBorders>
            <w:shd w:val="clear" w:color="auto" w:fill="auto"/>
            <w:noWrap/>
            <w:vAlign w:val="center"/>
          </w:tcPr>
          <w:p w14:paraId="3B4EE4DD"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1.201, 1.495</w:t>
            </w:r>
          </w:p>
        </w:tc>
        <w:tc>
          <w:tcPr>
            <w:tcW w:w="1350" w:type="dxa"/>
            <w:tcBorders>
              <w:top w:val="nil"/>
              <w:left w:val="nil"/>
              <w:bottom w:val="nil"/>
              <w:right w:val="nil"/>
            </w:tcBorders>
            <w:shd w:val="clear" w:color="auto" w:fill="auto"/>
            <w:noWrap/>
            <w:vAlign w:val="center"/>
          </w:tcPr>
          <w:p w14:paraId="5CAEC4A1"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&lt;0.001</w:t>
            </w:r>
          </w:p>
        </w:tc>
        <w:tc>
          <w:tcPr>
            <w:tcW w:w="1530" w:type="dxa"/>
            <w:tcBorders>
              <w:top w:val="nil"/>
              <w:left w:val="nil"/>
              <w:bottom w:val="nil"/>
              <w:right w:val="nil"/>
            </w:tcBorders>
          </w:tcPr>
          <w:p w14:paraId="37BA463B" w14:textId="77777777" w:rsidR="004A7120" w:rsidRPr="004A7120" w:rsidRDefault="004A7120" w:rsidP="004A7120">
            <w:pPr>
              <w:spacing w:after="0" w:line="240" w:lineRule="auto"/>
              <w:jc w:val="center"/>
              <w:rPr>
                <w:rFonts w:ascii="Times New Roman" w:eastAsia="Calibri" w:hAnsi="Times New Roman" w:cs="Times New Roman"/>
                <w:kern w:val="0"/>
                <w14:ligatures w14:val="none"/>
              </w:rPr>
            </w:pPr>
          </w:p>
        </w:tc>
      </w:tr>
      <w:tr w:rsidR="004A7120" w:rsidRPr="004A7120" w14:paraId="396BCF18" w14:textId="77777777" w:rsidTr="00F5727C">
        <w:trPr>
          <w:trHeight w:val="310"/>
        </w:trPr>
        <w:tc>
          <w:tcPr>
            <w:tcW w:w="5580" w:type="dxa"/>
            <w:tcBorders>
              <w:top w:val="nil"/>
              <w:left w:val="nil"/>
              <w:bottom w:val="nil"/>
              <w:right w:val="nil"/>
            </w:tcBorders>
            <w:shd w:val="clear" w:color="auto" w:fill="auto"/>
            <w:noWrap/>
            <w:vAlign w:val="bottom"/>
          </w:tcPr>
          <w:p w14:paraId="29A0E3F3"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&lt; 5 years</w:t>
            </w:r>
          </w:p>
        </w:tc>
        <w:tc>
          <w:tcPr>
            <w:tcW w:w="6120" w:type="dxa"/>
            <w:gridSpan w:val="3"/>
            <w:tcBorders>
              <w:top w:val="nil"/>
              <w:left w:val="nil"/>
              <w:bottom w:val="nil"/>
              <w:right w:val="nil"/>
            </w:tcBorders>
            <w:shd w:val="clear" w:color="auto" w:fill="auto"/>
            <w:noWrap/>
            <w:vAlign w:val="center"/>
          </w:tcPr>
          <w:p w14:paraId="1C55B3ED"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i/>
                <w:iCs/>
                <w:color w:val="000000"/>
                <w:kern w:val="0"/>
                <w14:ligatures w14:val="none"/>
              </w:rPr>
              <w:t>Reference</w:t>
            </w:r>
          </w:p>
        </w:tc>
        <w:tc>
          <w:tcPr>
            <w:tcW w:w="1530" w:type="dxa"/>
            <w:tcBorders>
              <w:top w:val="nil"/>
              <w:left w:val="nil"/>
              <w:bottom w:val="nil"/>
              <w:right w:val="nil"/>
            </w:tcBorders>
          </w:tcPr>
          <w:p w14:paraId="1EE45A60" w14:textId="77777777" w:rsidR="004A7120" w:rsidRPr="004A7120" w:rsidRDefault="004A7120" w:rsidP="004A7120">
            <w:pPr>
              <w:spacing w:after="0" w:line="240" w:lineRule="auto"/>
              <w:jc w:val="center"/>
              <w:rPr>
                <w:rFonts w:ascii="Times New Roman" w:eastAsia="Calibri" w:hAnsi="Times New Roman" w:cs="Times New Roman"/>
                <w:kern w:val="0"/>
                <w14:ligatures w14:val="none"/>
              </w:rPr>
            </w:pPr>
          </w:p>
        </w:tc>
      </w:tr>
      <w:tr w:rsidR="004A7120" w:rsidRPr="004A7120" w14:paraId="73A47E4E" w14:textId="77777777" w:rsidTr="00F5727C">
        <w:trPr>
          <w:trHeight w:val="310"/>
        </w:trPr>
        <w:tc>
          <w:tcPr>
            <w:tcW w:w="5580" w:type="dxa"/>
            <w:tcBorders>
              <w:top w:val="nil"/>
              <w:left w:val="nil"/>
              <w:bottom w:val="nil"/>
              <w:right w:val="nil"/>
            </w:tcBorders>
            <w:shd w:val="clear" w:color="auto" w:fill="auto"/>
            <w:noWrap/>
            <w:vAlign w:val="bottom"/>
            <w:hideMark/>
          </w:tcPr>
          <w:p w14:paraId="77F4AABA"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Exposure Potential</w:t>
            </w:r>
          </w:p>
        </w:tc>
        <w:tc>
          <w:tcPr>
            <w:tcW w:w="1890" w:type="dxa"/>
            <w:tcBorders>
              <w:top w:val="nil"/>
              <w:left w:val="nil"/>
              <w:bottom w:val="nil"/>
              <w:right w:val="nil"/>
            </w:tcBorders>
            <w:shd w:val="clear" w:color="auto" w:fill="auto"/>
            <w:noWrap/>
            <w:vAlign w:val="bottom"/>
            <w:hideMark/>
          </w:tcPr>
          <w:p w14:paraId="004687B4"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p>
        </w:tc>
        <w:tc>
          <w:tcPr>
            <w:tcW w:w="2880" w:type="dxa"/>
            <w:tcBorders>
              <w:top w:val="nil"/>
              <w:left w:val="nil"/>
              <w:bottom w:val="nil"/>
              <w:right w:val="nil"/>
            </w:tcBorders>
            <w:shd w:val="clear" w:color="auto" w:fill="auto"/>
            <w:noWrap/>
            <w:vAlign w:val="bottom"/>
            <w:hideMark/>
          </w:tcPr>
          <w:p w14:paraId="2CD0A7AF" w14:textId="77777777" w:rsidR="004A7120" w:rsidRPr="004A7120" w:rsidRDefault="004A7120" w:rsidP="004A7120">
            <w:pPr>
              <w:spacing w:after="0" w:line="240" w:lineRule="auto"/>
              <w:rPr>
                <w:rFonts w:ascii="Times New Roman" w:eastAsia="Calibri" w:hAnsi="Times New Roman" w:cs="Times New Roman"/>
                <w:kern w:val="0"/>
                <w:sz w:val="20"/>
                <w:szCs w:val="20"/>
                <w14:ligatures w14:val="none"/>
              </w:rPr>
            </w:pPr>
          </w:p>
        </w:tc>
        <w:tc>
          <w:tcPr>
            <w:tcW w:w="1350" w:type="dxa"/>
            <w:tcBorders>
              <w:top w:val="nil"/>
              <w:left w:val="nil"/>
              <w:bottom w:val="nil"/>
              <w:right w:val="nil"/>
            </w:tcBorders>
            <w:shd w:val="clear" w:color="auto" w:fill="auto"/>
            <w:noWrap/>
            <w:vAlign w:val="bottom"/>
            <w:hideMark/>
          </w:tcPr>
          <w:p w14:paraId="5BBDAD41" w14:textId="77777777" w:rsidR="004A7120" w:rsidRPr="004A7120" w:rsidRDefault="004A7120" w:rsidP="004A7120">
            <w:pPr>
              <w:spacing w:after="0" w:line="240" w:lineRule="auto"/>
              <w:rPr>
                <w:rFonts w:ascii="Times New Roman" w:eastAsia="Calibri" w:hAnsi="Times New Roman" w:cs="Times New Roman"/>
                <w:kern w:val="0"/>
                <w:sz w:val="20"/>
                <w:szCs w:val="20"/>
                <w14:ligatures w14:val="none"/>
              </w:rPr>
            </w:pPr>
          </w:p>
        </w:tc>
        <w:tc>
          <w:tcPr>
            <w:tcW w:w="1530" w:type="dxa"/>
            <w:tcBorders>
              <w:top w:val="nil"/>
              <w:left w:val="nil"/>
              <w:bottom w:val="nil"/>
              <w:right w:val="nil"/>
            </w:tcBorders>
            <w:vAlign w:val="center"/>
          </w:tcPr>
          <w:p w14:paraId="16AC862F" w14:textId="77777777" w:rsidR="004A7120" w:rsidRPr="004A7120" w:rsidRDefault="004A7120" w:rsidP="004A7120">
            <w:pPr>
              <w:spacing w:after="0" w:line="240" w:lineRule="auto"/>
              <w:jc w:val="center"/>
              <w:rPr>
                <w:rFonts w:ascii="Times New Roman" w:eastAsia="Calibri" w:hAnsi="Times New Roman" w:cs="Times New Roman"/>
                <w:kern w:val="0"/>
                <w14:ligatures w14:val="none"/>
              </w:rPr>
            </w:pPr>
            <w:r w:rsidRPr="004A7120">
              <w:rPr>
                <w:rFonts w:ascii="Times New Roman" w:eastAsia="Calibri" w:hAnsi="Times New Roman" w:cs="Times New Roman"/>
                <w:kern w:val="0"/>
                <w14:ligatures w14:val="none"/>
              </w:rPr>
              <w:t>0.024</w:t>
            </w:r>
          </w:p>
        </w:tc>
      </w:tr>
      <w:tr w:rsidR="004A7120" w:rsidRPr="004A7120" w14:paraId="492BEDFD" w14:textId="77777777" w:rsidTr="00F5727C">
        <w:trPr>
          <w:trHeight w:val="310"/>
        </w:trPr>
        <w:tc>
          <w:tcPr>
            <w:tcW w:w="5580" w:type="dxa"/>
            <w:tcBorders>
              <w:top w:val="nil"/>
              <w:left w:val="nil"/>
              <w:bottom w:val="nil"/>
              <w:right w:val="nil"/>
            </w:tcBorders>
            <w:shd w:val="clear" w:color="auto" w:fill="auto"/>
            <w:noWrap/>
            <w:vAlign w:val="bottom"/>
            <w:hideMark/>
          </w:tcPr>
          <w:p w14:paraId="088E703F"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Medium</w:t>
            </w:r>
          </w:p>
        </w:tc>
        <w:tc>
          <w:tcPr>
            <w:tcW w:w="1890" w:type="dxa"/>
            <w:tcBorders>
              <w:top w:val="nil"/>
              <w:left w:val="nil"/>
              <w:bottom w:val="nil"/>
              <w:right w:val="nil"/>
            </w:tcBorders>
            <w:shd w:val="clear" w:color="auto" w:fill="auto"/>
            <w:noWrap/>
            <w:vAlign w:val="center"/>
            <w:hideMark/>
          </w:tcPr>
          <w:p w14:paraId="5B74E8BE"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0.917</w:t>
            </w:r>
          </w:p>
        </w:tc>
        <w:tc>
          <w:tcPr>
            <w:tcW w:w="2880" w:type="dxa"/>
            <w:tcBorders>
              <w:top w:val="nil"/>
              <w:left w:val="nil"/>
              <w:bottom w:val="nil"/>
              <w:right w:val="nil"/>
            </w:tcBorders>
            <w:shd w:val="clear" w:color="auto" w:fill="auto"/>
            <w:noWrap/>
            <w:vAlign w:val="center"/>
            <w:hideMark/>
          </w:tcPr>
          <w:p w14:paraId="2F11A248"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0.829, 1.014</w:t>
            </w:r>
          </w:p>
        </w:tc>
        <w:tc>
          <w:tcPr>
            <w:tcW w:w="1350" w:type="dxa"/>
            <w:tcBorders>
              <w:top w:val="nil"/>
              <w:left w:val="nil"/>
              <w:bottom w:val="nil"/>
              <w:right w:val="nil"/>
            </w:tcBorders>
            <w:shd w:val="clear" w:color="auto" w:fill="auto"/>
            <w:noWrap/>
            <w:vAlign w:val="center"/>
            <w:hideMark/>
          </w:tcPr>
          <w:p w14:paraId="528B7527"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0.091</w:t>
            </w:r>
          </w:p>
        </w:tc>
        <w:tc>
          <w:tcPr>
            <w:tcW w:w="1530" w:type="dxa"/>
            <w:tcBorders>
              <w:top w:val="nil"/>
              <w:left w:val="nil"/>
              <w:bottom w:val="nil"/>
              <w:right w:val="nil"/>
            </w:tcBorders>
          </w:tcPr>
          <w:p w14:paraId="4B1A4092"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7DE93DCC" w14:textId="77777777" w:rsidTr="00F5727C">
        <w:trPr>
          <w:trHeight w:val="310"/>
        </w:trPr>
        <w:tc>
          <w:tcPr>
            <w:tcW w:w="5580" w:type="dxa"/>
            <w:tcBorders>
              <w:top w:val="nil"/>
              <w:left w:val="nil"/>
              <w:bottom w:val="nil"/>
              <w:right w:val="nil"/>
            </w:tcBorders>
            <w:shd w:val="clear" w:color="auto" w:fill="auto"/>
            <w:noWrap/>
            <w:vAlign w:val="bottom"/>
            <w:hideMark/>
          </w:tcPr>
          <w:p w14:paraId="3555F1A8"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High</w:t>
            </w:r>
          </w:p>
        </w:tc>
        <w:tc>
          <w:tcPr>
            <w:tcW w:w="1890" w:type="dxa"/>
            <w:tcBorders>
              <w:top w:val="nil"/>
              <w:left w:val="nil"/>
              <w:bottom w:val="nil"/>
              <w:right w:val="nil"/>
            </w:tcBorders>
            <w:shd w:val="clear" w:color="auto" w:fill="auto"/>
            <w:noWrap/>
            <w:vAlign w:val="center"/>
            <w:hideMark/>
          </w:tcPr>
          <w:p w14:paraId="3D247F57"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1.038</w:t>
            </w:r>
          </w:p>
        </w:tc>
        <w:tc>
          <w:tcPr>
            <w:tcW w:w="2880" w:type="dxa"/>
            <w:tcBorders>
              <w:top w:val="nil"/>
              <w:left w:val="nil"/>
              <w:bottom w:val="nil"/>
              <w:right w:val="nil"/>
            </w:tcBorders>
            <w:shd w:val="clear" w:color="auto" w:fill="auto"/>
            <w:noWrap/>
            <w:vAlign w:val="center"/>
            <w:hideMark/>
          </w:tcPr>
          <w:p w14:paraId="3C36071F"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0.948, 1.136</w:t>
            </w:r>
          </w:p>
        </w:tc>
        <w:tc>
          <w:tcPr>
            <w:tcW w:w="1350" w:type="dxa"/>
            <w:tcBorders>
              <w:top w:val="nil"/>
              <w:left w:val="nil"/>
              <w:bottom w:val="nil"/>
              <w:right w:val="nil"/>
            </w:tcBorders>
            <w:shd w:val="clear" w:color="auto" w:fill="auto"/>
            <w:noWrap/>
            <w:vAlign w:val="center"/>
            <w:hideMark/>
          </w:tcPr>
          <w:p w14:paraId="7FBBF3EB"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0.417</w:t>
            </w:r>
          </w:p>
        </w:tc>
        <w:tc>
          <w:tcPr>
            <w:tcW w:w="1530" w:type="dxa"/>
            <w:tcBorders>
              <w:top w:val="nil"/>
              <w:left w:val="nil"/>
              <w:bottom w:val="nil"/>
              <w:right w:val="nil"/>
            </w:tcBorders>
          </w:tcPr>
          <w:p w14:paraId="68897F65"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7EBA5974" w14:textId="77777777" w:rsidTr="00F5727C">
        <w:trPr>
          <w:trHeight w:val="310"/>
        </w:trPr>
        <w:tc>
          <w:tcPr>
            <w:tcW w:w="5580" w:type="dxa"/>
            <w:tcBorders>
              <w:top w:val="nil"/>
              <w:left w:val="nil"/>
              <w:bottom w:val="nil"/>
              <w:right w:val="nil"/>
            </w:tcBorders>
            <w:shd w:val="clear" w:color="auto" w:fill="auto"/>
            <w:noWrap/>
            <w:vAlign w:val="bottom"/>
          </w:tcPr>
          <w:p w14:paraId="77F4C1D4"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Low</w:t>
            </w:r>
          </w:p>
        </w:tc>
        <w:tc>
          <w:tcPr>
            <w:tcW w:w="6120" w:type="dxa"/>
            <w:gridSpan w:val="3"/>
            <w:tcBorders>
              <w:top w:val="nil"/>
              <w:left w:val="nil"/>
              <w:bottom w:val="nil"/>
              <w:right w:val="nil"/>
            </w:tcBorders>
            <w:shd w:val="clear" w:color="auto" w:fill="auto"/>
            <w:noWrap/>
            <w:vAlign w:val="center"/>
          </w:tcPr>
          <w:p w14:paraId="03BCD2A3"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i/>
                <w:iCs/>
                <w:color w:val="000000"/>
                <w:kern w:val="0"/>
                <w14:ligatures w14:val="none"/>
              </w:rPr>
              <w:t>Reference</w:t>
            </w:r>
          </w:p>
        </w:tc>
        <w:tc>
          <w:tcPr>
            <w:tcW w:w="1530" w:type="dxa"/>
            <w:tcBorders>
              <w:top w:val="nil"/>
              <w:left w:val="nil"/>
              <w:bottom w:val="nil"/>
              <w:right w:val="nil"/>
            </w:tcBorders>
          </w:tcPr>
          <w:p w14:paraId="7DE96AFD"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07BB7196" w14:textId="77777777" w:rsidTr="00F5727C">
        <w:trPr>
          <w:trHeight w:val="310"/>
        </w:trPr>
        <w:tc>
          <w:tcPr>
            <w:tcW w:w="5580" w:type="dxa"/>
            <w:tcBorders>
              <w:top w:val="nil"/>
              <w:left w:val="nil"/>
              <w:bottom w:val="nil"/>
              <w:right w:val="nil"/>
            </w:tcBorders>
            <w:shd w:val="clear" w:color="auto" w:fill="auto"/>
            <w:noWrap/>
            <w:vAlign w:val="bottom"/>
            <w:hideMark/>
          </w:tcPr>
          <w:p w14:paraId="4E06A68F"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Occupational Exposure to Cadmium</w:t>
            </w:r>
          </w:p>
        </w:tc>
        <w:tc>
          <w:tcPr>
            <w:tcW w:w="1890" w:type="dxa"/>
            <w:tcBorders>
              <w:top w:val="nil"/>
              <w:left w:val="nil"/>
              <w:bottom w:val="nil"/>
              <w:right w:val="nil"/>
            </w:tcBorders>
            <w:shd w:val="clear" w:color="auto" w:fill="auto"/>
            <w:noWrap/>
            <w:vAlign w:val="bottom"/>
            <w:hideMark/>
          </w:tcPr>
          <w:p w14:paraId="703099AF"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p>
        </w:tc>
        <w:tc>
          <w:tcPr>
            <w:tcW w:w="2880" w:type="dxa"/>
            <w:tcBorders>
              <w:top w:val="nil"/>
              <w:left w:val="nil"/>
              <w:bottom w:val="nil"/>
              <w:right w:val="nil"/>
            </w:tcBorders>
            <w:shd w:val="clear" w:color="auto" w:fill="auto"/>
            <w:noWrap/>
            <w:vAlign w:val="bottom"/>
            <w:hideMark/>
          </w:tcPr>
          <w:p w14:paraId="1384B155" w14:textId="77777777" w:rsidR="004A7120" w:rsidRPr="004A7120" w:rsidRDefault="004A7120" w:rsidP="004A7120">
            <w:pPr>
              <w:spacing w:after="0" w:line="240" w:lineRule="auto"/>
              <w:rPr>
                <w:rFonts w:ascii="Times New Roman" w:eastAsia="Calibri" w:hAnsi="Times New Roman" w:cs="Times New Roman"/>
                <w:kern w:val="0"/>
                <w:sz w:val="20"/>
                <w:szCs w:val="20"/>
                <w14:ligatures w14:val="none"/>
              </w:rPr>
            </w:pPr>
          </w:p>
        </w:tc>
        <w:tc>
          <w:tcPr>
            <w:tcW w:w="1350" w:type="dxa"/>
            <w:tcBorders>
              <w:top w:val="nil"/>
              <w:left w:val="nil"/>
              <w:bottom w:val="nil"/>
              <w:right w:val="nil"/>
            </w:tcBorders>
            <w:shd w:val="clear" w:color="auto" w:fill="auto"/>
            <w:noWrap/>
            <w:vAlign w:val="bottom"/>
            <w:hideMark/>
          </w:tcPr>
          <w:p w14:paraId="6493CCF0" w14:textId="77777777" w:rsidR="004A7120" w:rsidRPr="004A7120" w:rsidRDefault="004A7120" w:rsidP="004A7120">
            <w:pPr>
              <w:spacing w:after="0" w:line="240" w:lineRule="auto"/>
              <w:rPr>
                <w:rFonts w:ascii="Times New Roman" w:eastAsia="Calibri" w:hAnsi="Times New Roman" w:cs="Times New Roman"/>
                <w:kern w:val="0"/>
                <w:sz w:val="20"/>
                <w:szCs w:val="20"/>
                <w14:ligatures w14:val="none"/>
              </w:rPr>
            </w:pPr>
          </w:p>
        </w:tc>
        <w:tc>
          <w:tcPr>
            <w:tcW w:w="1530" w:type="dxa"/>
            <w:tcBorders>
              <w:top w:val="nil"/>
              <w:left w:val="nil"/>
              <w:bottom w:val="nil"/>
              <w:right w:val="nil"/>
            </w:tcBorders>
            <w:vAlign w:val="center"/>
          </w:tcPr>
          <w:p w14:paraId="152A02D5"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0.063</w:t>
            </w:r>
          </w:p>
        </w:tc>
      </w:tr>
      <w:tr w:rsidR="004A7120" w:rsidRPr="004A7120" w14:paraId="58642C88" w14:textId="77777777" w:rsidTr="00F5727C">
        <w:trPr>
          <w:trHeight w:val="310"/>
        </w:trPr>
        <w:tc>
          <w:tcPr>
            <w:tcW w:w="5580" w:type="dxa"/>
            <w:tcBorders>
              <w:top w:val="nil"/>
              <w:left w:val="nil"/>
              <w:bottom w:val="nil"/>
              <w:right w:val="nil"/>
            </w:tcBorders>
            <w:shd w:val="clear" w:color="auto" w:fill="auto"/>
            <w:noWrap/>
            <w:vAlign w:val="bottom"/>
            <w:hideMark/>
          </w:tcPr>
          <w:p w14:paraId="3D01308E"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Yes</w:t>
            </w:r>
          </w:p>
        </w:tc>
        <w:tc>
          <w:tcPr>
            <w:tcW w:w="1890" w:type="dxa"/>
            <w:tcBorders>
              <w:top w:val="nil"/>
              <w:left w:val="nil"/>
              <w:bottom w:val="nil"/>
              <w:right w:val="nil"/>
            </w:tcBorders>
            <w:shd w:val="clear" w:color="auto" w:fill="auto"/>
            <w:noWrap/>
            <w:vAlign w:val="bottom"/>
            <w:hideMark/>
          </w:tcPr>
          <w:p w14:paraId="71B07FBD"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1.075</w:t>
            </w:r>
          </w:p>
        </w:tc>
        <w:tc>
          <w:tcPr>
            <w:tcW w:w="2880" w:type="dxa"/>
            <w:tcBorders>
              <w:top w:val="nil"/>
              <w:left w:val="nil"/>
              <w:bottom w:val="nil"/>
              <w:right w:val="nil"/>
            </w:tcBorders>
            <w:shd w:val="clear" w:color="auto" w:fill="auto"/>
            <w:noWrap/>
            <w:vAlign w:val="bottom"/>
            <w:hideMark/>
          </w:tcPr>
          <w:p w14:paraId="1B2172CB"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0.996, 1.160</w:t>
            </w:r>
          </w:p>
        </w:tc>
        <w:tc>
          <w:tcPr>
            <w:tcW w:w="1350" w:type="dxa"/>
            <w:tcBorders>
              <w:top w:val="nil"/>
              <w:left w:val="nil"/>
              <w:bottom w:val="nil"/>
              <w:right w:val="nil"/>
            </w:tcBorders>
            <w:shd w:val="clear" w:color="auto" w:fill="auto"/>
            <w:noWrap/>
            <w:vAlign w:val="bottom"/>
            <w:hideMark/>
          </w:tcPr>
          <w:p w14:paraId="6D3D9668"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0.063</w:t>
            </w:r>
          </w:p>
        </w:tc>
        <w:tc>
          <w:tcPr>
            <w:tcW w:w="1530" w:type="dxa"/>
            <w:tcBorders>
              <w:top w:val="nil"/>
              <w:left w:val="nil"/>
              <w:bottom w:val="nil"/>
              <w:right w:val="nil"/>
            </w:tcBorders>
          </w:tcPr>
          <w:p w14:paraId="6EC00A9D"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3BC2D8F0" w14:textId="77777777" w:rsidTr="00F5727C">
        <w:trPr>
          <w:trHeight w:val="310"/>
        </w:trPr>
        <w:tc>
          <w:tcPr>
            <w:tcW w:w="5580" w:type="dxa"/>
            <w:tcBorders>
              <w:top w:val="nil"/>
              <w:left w:val="nil"/>
              <w:bottom w:val="nil"/>
              <w:right w:val="nil"/>
            </w:tcBorders>
            <w:shd w:val="clear" w:color="auto" w:fill="auto"/>
            <w:noWrap/>
            <w:vAlign w:val="bottom"/>
          </w:tcPr>
          <w:p w14:paraId="160D5538"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No</w:t>
            </w:r>
          </w:p>
        </w:tc>
        <w:tc>
          <w:tcPr>
            <w:tcW w:w="6120" w:type="dxa"/>
            <w:gridSpan w:val="3"/>
            <w:tcBorders>
              <w:top w:val="nil"/>
              <w:left w:val="nil"/>
              <w:bottom w:val="nil"/>
              <w:right w:val="nil"/>
            </w:tcBorders>
            <w:shd w:val="clear" w:color="auto" w:fill="auto"/>
            <w:noWrap/>
            <w:vAlign w:val="bottom"/>
          </w:tcPr>
          <w:p w14:paraId="188B09D5"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i/>
                <w:iCs/>
                <w:color w:val="000000"/>
                <w:kern w:val="0"/>
                <w14:ligatures w14:val="none"/>
              </w:rPr>
              <w:t>Reference</w:t>
            </w:r>
          </w:p>
        </w:tc>
        <w:tc>
          <w:tcPr>
            <w:tcW w:w="1530" w:type="dxa"/>
            <w:tcBorders>
              <w:top w:val="nil"/>
              <w:left w:val="nil"/>
              <w:bottom w:val="nil"/>
              <w:right w:val="nil"/>
            </w:tcBorders>
          </w:tcPr>
          <w:p w14:paraId="2904E49B"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5A05BA2D" w14:textId="77777777" w:rsidTr="00F5727C">
        <w:trPr>
          <w:trHeight w:val="310"/>
        </w:trPr>
        <w:tc>
          <w:tcPr>
            <w:tcW w:w="7470" w:type="dxa"/>
            <w:gridSpan w:val="2"/>
            <w:tcBorders>
              <w:top w:val="nil"/>
              <w:left w:val="nil"/>
              <w:bottom w:val="nil"/>
              <w:right w:val="nil"/>
            </w:tcBorders>
            <w:shd w:val="clear" w:color="auto" w:fill="auto"/>
            <w:noWrap/>
            <w:vAlign w:val="bottom"/>
            <w:hideMark/>
          </w:tcPr>
          <w:p w14:paraId="3D0945BB"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Occupational Exposure to Welding Fumes</w:t>
            </w:r>
          </w:p>
        </w:tc>
        <w:tc>
          <w:tcPr>
            <w:tcW w:w="2880" w:type="dxa"/>
            <w:tcBorders>
              <w:top w:val="nil"/>
              <w:left w:val="nil"/>
              <w:bottom w:val="nil"/>
              <w:right w:val="nil"/>
            </w:tcBorders>
            <w:shd w:val="clear" w:color="auto" w:fill="auto"/>
            <w:noWrap/>
            <w:vAlign w:val="bottom"/>
            <w:hideMark/>
          </w:tcPr>
          <w:p w14:paraId="27C4E8E8"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p>
        </w:tc>
        <w:tc>
          <w:tcPr>
            <w:tcW w:w="1350" w:type="dxa"/>
            <w:tcBorders>
              <w:top w:val="nil"/>
              <w:left w:val="nil"/>
              <w:bottom w:val="nil"/>
              <w:right w:val="nil"/>
            </w:tcBorders>
            <w:shd w:val="clear" w:color="auto" w:fill="auto"/>
            <w:noWrap/>
            <w:vAlign w:val="bottom"/>
            <w:hideMark/>
          </w:tcPr>
          <w:p w14:paraId="4827DB2E" w14:textId="77777777" w:rsidR="004A7120" w:rsidRPr="004A7120" w:rsidRDefault="004A7120" w:rsidP="004A7120">
            <w:pPr>
              <w:spacing w:after="0" w:line="240" w:lineRule="auto"/>
              <w:rPr>
                <w:rFonts w:ascii="Times New Roman" w:eastAsia="Calibri" w:hAnsi="Times New Roman" w:cs="Times New Roman"/>
                <w:kern w:val="0"/>
                <w:sz w:val="20"/>
                <w:szCs w:val="20"/>
                <w14:ligatures w14:val="none"/>
              </w:rPr>
            </w:pPr>
          </w:p>
        </w:tc>
        <w:tc>
          <w:tcPr>
            <w:tcW w:w="1530" w:type="dxa"/>
            <w:tcBorders>
              <w:top w:val="nil"/>
              <w:left w:val="nil"/>
              <w:bottom w:val="nil"/>
              <w:right w:val="nil"/>
            </w:tcBorders>
            <w:vAlign w:val="center"/>
          </w:tcPr>
          <w:p w14:paraId="3C1057D1"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kern w:val="0"/>
                <w14:ligatures w14:val="none"/>
              </w:rPr>
              <w:t>0.009</w:t>
            </w:r>
          </w:p>
        </w:tc>
      </w:tr>
      <w:tr w:rsidR="004A7120" w:rsidRPr="004A7120" w14:paraId="561B774F" w14:textId="77777777" w:rsidTr="00F5727C">
        <w:trPr>
          <w:trHeight w:val="310"/>
        </w:trPr>
        <w:tc>
          <w:tcPr>
            <w:tcW w:w="5580" w:type="dxa"/>
            <w:tcBorders>
              <w:top w:val="nil"/>
              <w:left w:val="nil"/>
              <w:bottom w:val="nil"/>
              <w:right w:val="nil"/>
            </w:tcBorders>
            <w:shd w:val="clear" w:color="auto" w:fill="auto"/>
            <w:noWrap/>
            <w:vAlign w:val="bottom"/>
            <w:hideMark/>
          </w:tcPr>
          <w:p w14:paraId="28C4349A"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Yes</w:t>
            </w:r>
          </w:p>
        </w:tc>
        <w:tc>
          <w:tcPr>
            <w:tcW w:w="1890" w:type="dxa"/>
            <w:tcBorders>
              <w:top w:val="nil"/>
              <w:left w:val="nil"/>
              <w:bottom w:val="nil"/>
              <w:right w:val="nil"/>
            </w:tcBorders>
            <w:shd w:val="clear" w:color="auto" w:fill="auto"/>
            <w:noWrap/>
            <w:vAlign w:val="center"/>
            <w:hideMark/>
          </w:tcPr>
          <w:p w14:paraId="0A22D323"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1.103</w:t>
            </w:r>
          </w:p>
        </w:tc>
        <w:tc>
          <w:tcPr>
            <w:tcW w:w="2880" w:type="dxa"/>
            <w:tcBorders>
              <w:top w:val="nil"/>
              <w:left w:val="nil"/>
              <w:bottom w:val="nil"/>
              <w:right w:val="nil"/>
            </w:tcBorders>
            <w:shd w:val="clear" w:color="auto" w:fill="auto"/>
            <w:noWrap/>
            <w:vAlign w:val="center"/>
            <w:hideMark/>
          </w:tcPr>
          <w:p w14:paraId="750A9B5C"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1.025, 1.187</w:t>
            </w:r>
          </w:p>
        </w:tc>
        <w:tc>
          <w:tcPr>
            <w:tcW w:w="1350" w:type="dxa"/>
            <w:tcBorders>
              <w:top w:val="nil"/>
              <w:left w:val="nil"/>
              <w:bottom w:val="nil"/>
              <w:right w:val="nil"/>
            </w:tcBorders>
            <w:shd w:val="clear" w:color="auto" w:fill="auto"/>
            <w:noWrap/>
            <w:vAlign w:val="center"/>
            <w:hideMark/>
          </w:tcPr>
          <w:p w14:paraId="32F71AB9"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0.009</w:t>
            </w:r>
          </w:p>
        </w:tc>
        <w:tc>
          <w:tcPr>
            <w:tcW w:w="1530" w:type="dxa"/>
            <w:tcBorders>
              <w:top w:val="nil"/>
              <w:left w:val="nil"/>
              <w:bottom w:val="nil"/>
              <w:right w:val="nil"/>
            </w:tcBorders>
          </w:tcPr>
          <w:p w14:paraId="4CC90040"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73C1B719" w14:textId="77777777" w:rsidTr="00F5727C">
        <w:trPr>
          <w:trHeight w:val="310"/>
        </w:trPr>
        <w:tc>
          <w:tcPr>
            <w:tcW w:w="5580" w:type="dxa"/>
            <w:tcBorders>
              <w:top w:val="nil"/>
              <w:left w:val="nil"/>
              <w:bottom w:val="nil"/>
              <w:right w:val="nil"/>
            </w:tcBorders>
            <w:shd w:val="clear" w:color="auto" w:fill="auto"/>
            <w:noWrap/>
            <w:vAlign w:val="bottom"/>
          </w:tcPr>
          <w:p w14:paraId="76BCE64A"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No</w:t>
            </w:r>
          </w:p>
        </w:tc>
        <w:tc>
          <w:tcPr>
            <w:tcW w:w="6120" w:type="dxa"/>
            <w:gridSpan w:val="3"/>
            <w:tcBorders>
              <w:top w:val="nil"/>
              <w:left w:val="nil"/>
              <w:bottom w:val="nil"/>
              <w:right w:val="nil"/>
            </w:tcBorders>
            <w:shd w:val="clear" w:color="auto" w:fill="auto"/>
            <w:noWrap/>
            <w:vAlign w:val="center"/>
          </w:tcPr>
          <w:p w14:paraId="47DBA7DB"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i/>
                <w:iCs/>
                <w:color w:val="000000"/>
                <w:kern w:val="0"/>
                <w14:ligatures w14:val="none"/>
              </w:rPr>
              <w:t>Reference</w:t>
            </w:r>
          </w:p>
        </w:tc>
        <w:tc>
          <w:tcPr>
            <w:tcW w:w="1530" w:type="dxa"/>
            <w:tcBorders>
              <w:top w:val="nil"/>
              <w:left w:val="nil"/>
              <w:bottom w:val="nil"/>
              <w:right w:val="nil"/>
            </w:tcBorders>
          </w:tcPr>
          <w:p w14:paraId="50C369E1"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0D2F1506" w14:textId="77777777" w:rsidTr="00F5727C">
        <w:trPr>
          <w:trHeight w:val="310"/>
        </w:trPr>
        <w:tc>
          <w:tcPr>
            <w:tcW w:w="5580" w:type="dxa"/>
            <w:tcBorders>
              <w:top w:val="nil"/>
              <w:left w:val="nil"/>
              <w:bottom w:val="nil"/>
              <w:right w:val="nil"/>
            </w:tcBorders>
            <w:shd w:val="clear" w:color="auto" w:fill="auto"/>
            <w:noWrap/>
            <w:vAlign w:val="bottom"/>
            <w:hideMark/>
          </w:tcPr>
          <w:p w14:paraId="699A3C88"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Occupational Exposure to Silica</w:t>
            </w:r>
          </w:p>
        </w:tc>
        <w:tc>
          <w:tcPr>
            <w:tcW w:w="1890" w:type="dxa"/>
            <w:tcBorders>
              <w:top w:val="nil"/>
              <w:left w:val="nil"/>
              <w:bottom w:val="nil"/>
              <w:right w:val="nil"/>
            </w:tcBorders>
            <w:shd w:val="clear" w:color="auto" w:fill="auto"/>
            <w:noWrap/>
            <w:vAlign w:val="bottom"/>
            <w:hideMark/>
          </w:tcPr>
          <w:p w14:paraId="5D111063"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p>
        </w:tc>
        <w:tc>
          <w:tcPr>
            <w:tcW w:w="2880" w:type="dxa"/>
            <w:tcBorders>
              <w:top w:val="nil"/>
              <w:left w:val="nil"/>
              <w:bottom w:val="nil"/>
              <w:right w:val="nil"/>
            </w:tcBorders>
            <w:shd w:val="clear" w:color="auto" w:fill="auto"/>
            <w:noWrap/>
            <w:vAlign w:val="bottom"/>
            <w:hideMark/>
          </w:tcPr>
          <w:p w14:paraId="72AE7DC7" w14:textId="77777777" w:rsidR="004A7120" w:rsidRPr="004A7120" w:rsidRDefault="004A7120" w:rsidP="004A7120">
            <w:pPr>
              <w:spacing w:after="0" w:line="240" w:lineRule="auto"/>
              <w:rPr>
                <w:rFonts w:ascii="Times New Roman" w:eastAsia="Calibri" w:hAnsi="Times New Roman" w:cs="Times New Roman"/>
                <w:kern w:val="0"/>
                <w:sz w:val="20"/>
                <w:szCs w:val="20"/>
                <w14:ligatures w14:val="none"/>
              </w:rPr>
            </w:pPr>
          </w:p>
        </w:tc>
        <w:tc>
          <w:tcPr>
            <w:tcW w:w="1350" w:type="dxa"/>
            <w:tcBorders>
              <w:top w:val="nil"/>
              <w:left w:val="nil"/>
              <w:bottom w:val="nil"/>
              <w:right w:val="nil"/>
            </w:tcBorders>
            <w:shd w:val="clear" w:color="auto" w:fill="auto"/>
            <w:noWrap/>
            <w:vAlign w:val="bottom"/>
            <w:hideMark/>
          </w:tcPr>
          <w:p w14:paraId="2B1C3700" w14:textId="77777777" w:rsidR="004A7120" w:rsidRPr="004A7120" w:rsidRDefault="004A7120" w:rsidP="004A7120">
            <w:pPr>
              <w:spacing w:after="0" w:line="240" w:lineRule="auto"/>
              <w:rPr>
                <w:rFonts w:ascii="Times New Roman" w:eastAsia="Calibri" w:hAnsi="Times New Roman" w:cs="Times New Roman"/>
                <w:kern w:val="0"/>
                <w:sz w:val="20"/>
                <w:szCs w:val="20"/>
                <w14:ligatures w14:val="none"/>
              </w:rPr>
            </w:pPr>
          </w:p>
        </w:tc>
        <w:tc>
          <w:tcPr>
            <w:tcW w:w="1530" w:type="dxa"/>
            <w:tcBorders>
              <w:top w:val="nil"/>
              <w:left w:val="nil"/>
              <w:bottom w:val="nil"/>
              <w:right w:val="nil"/>
            </w:tcBorders>
            <w:vAlign w:val="center"/>
          </w:tcPr>
          <w:p w14:paraId="7476D0A4"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&lt;0.001</w:t>
            </w:r>
          </w:p>
        </w:tc>
      </w:tr>
      <w:tr w:rsidR="004A7120" w:rsidRPr="004A7120" w14:paraId="133CAE2A" w14:textId="77777777" w:rsidTr="00F5727C">
        <w:trPr>
          <w:trHeight w:val="310"/>
        </w:trPr>
        <w:tc>
          <w:tcPr>
            <w:tcW w:w="5580" w:type="dxa"/>
            <w:tcBorders>
              <w:top w:val="nil"/>
              <w:left w:val="nil"/>
              <w:bottom w:val="nil"/>
              <w:right w:val="nil"/>
            </w:tcBorders>
            <w:shd w:val="clear" w:color="auto" w:fill="auto"/>
            <w:noWrap/>
            <w:vAlign w:val="bottom"/>
            <w:hideMark/>
          </w:tcPr>
          <w:p w14:paraId="62463AF4"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Yes</w:t>
            </w:r>
          </w:p>
        </w:tc>
        <w:tc>
          <w:tcPr>
            <w:tcW w:w="1890" w:type="dxa"/>
            <w:tcBorders>
              <w:top w:val="nil"/>
              <w:left w:val="nil"/>
              <w:bottom w:val="nil"/>
              <w:right w:val="nil"/>
            </w:tcBorders>
            <w:shd w:val="clear" w:color="auto" w:fill="auto"/>
            <w:noWrap/>
            <w:vAlign w:val="center"/>
            <w:hideMark/>
          </w:tcPr>
          <w:p w14:paraId="3B509030"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1.139</w:t>
            </w:r>
          </w:p>
        </w:tc>
        <w:tc>
          <w:tcPr>
            <w:tcW w:w="2880" w:type="dxa"/>
            <w:tcBorders>
              <w:top w:val="nil"/>
              <w:left w:val="nil"/>
              <w:bottom w:val="nil"/>
              <w:right w:val="nil"/>
            </w:tcBorders>
            <w:shd w:val="clear" w:color="auto" w:fill="auto"/>
            <w:noWrap/>
            <w:vAlign w:val="center"/>
            <w:hideMark/>
          </w:tcPr>
          <w:p w14:paraId="1CB84A58"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1.056, 1.229</w:t>
            </w:r>
          </w:p>
        </w:tc>
        <w:tc>
          <w:tcPr>
            <w:tcW w:w="1350" w:type="dxa"/>
            <w:tcBorders>
              <w:top w:val="nil"/>
              <w:left w:val="nil"/>
              <w:bottom w:val="nil"/>
              <w:right w:val="nil"/>
            </w:tcBorders>
            <w:shd w:val="clear" w:color="auto" w:fill="auto"/>
            <w:noWrap/>
            <w:vAlign w:val="center"/>
            <w:hideMark/>
          </w:tcPr>
          <w:p w14:paraId="6508E1B1"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&lt;0.001</w:t>
            </w:r>
          </w:p>
        </w:tc>
        <w:tc>
          <w:tcPr>
            <w:tcW w:w="1530" w:type="dxa"/>
            <w:tcBorders>
              <w:top w:val="nil"/>
              <w:left w:val="nil"/>
              <w:bottom w:val="nil"/>
              <w:right w:val="nil"/>
            </w:tcBorders>
          </w:tcPr>
          <w:p w14:paraId="20C72755"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57E3EAAF" w14:textId="77777777" w:rsidTr="00F5727C">
        <w:trPr>
          <w:trHeight w:val="310"/>
        </w:trPr>
        <w:tc>
          <w:tcPr>
            <w:tcW w:w="5580" w:type="dxa"/>
            <w:tcBorders>
              <w:top w:val="nil"/>
              <w:left w:val="nil"/>
              <w:bottom w:val="nil"/>
              <w:right w:val="nil"/>
            </w:tcBorders>
            <w:shd w:val="clear" w:color="auto" w:fill="auto"/>
            <w:noWrap/>
            <w:vAlign w:val="bottom"/>
          </w:tcPr>
          <w:p w14:paraId="19F24346"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No</w:t>
            </w:r>
          </w:p>
        </w:tc>
        <w:tc>
          <w:tcPr>
            <w:tcW w:w="6120" w:type="dxa"/>
            <w:gridSpan w:val="3"/>
            <w:tcBorders>
              <w:top w:val="nil"/>
              <w:left w:val="nil"/>
              <w:bottom w:val="nil"/>
              <w:right w:val="nil"/>
            </w:tcBorders>
            <w:shd w:val="clear" w:color="auto" w:fill="auto"/>
            <w:noWrap/>
            <w:vAlign w:val="center"/>
          </w:tcPr>
          <w:p w14:paraId="7E0B88E0"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i/>
                <w:iCs/>
                <w:color w:val="000000"/>
                <w:kern w:val="0"/>
                <w14:ligatures w14:val="none"/>
              </w:rPr>
              <w:t>Reference</w:t>
            </w:r>
          </w:p>
        </w:tc>
        <w:tc>
          <w:tcPr>
            <w:tcW w:w="1530" w:type="dxa"/>
            <w:tcBorders>
              <w:top w:val="nil"/>
              <w:left w:val="nil"/>
              <w:bottom w:val="nil"/>
              <w:right w:val="nil"/>
            </w:tcBorders>
          </w:tcPr>
          <w:p w14:paraId="1B8EFF46"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7404F66A" w14:textId="77777777" w:rsidTr="00F5727C">
        <w:trPr>
          <w:trHeight w:val="310"/>
        </w:trPr>
        <w:tc>
          <w:tcPr>
            <w:tcW w:w="7470" w:type="dxa"/>
            <w:gridSpan w:val="2"/>
            <w:tcBorders>
              <w:top w:val="nil"/>
              <w:left w:val="nil"/>
              <w:bottom w:val="nil"/>
              <w:right w:val="nil"/>
            </w:tcBorders>
            <w:shd w:val="clear" w:color="auto" w:fill="auto"/>
            <w:noWrap/>
            <w:vAlign w:val="bottom"/>
            <w:hideMark/>
          </w:tcPr>
          <w:p w14:paraId="5DAF15A3"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lastRenderedPageBreak/>
              <w:t>Occupational Exposure to Diesel Exhaust</w:t>
            </w:r>
          </w:p>
        </w:tc>
        <w:tc>
          <w:tcPr>
            <w:tcW w:w="2880" w:type="dxa"/>
            <w:tcBorders>
              <w:top w:val="nil"/>
              <w:left w:val="nil"/>
              <w:bottom w:val="nil"/>
              <w:right w:val="nil"/>
            </w:tcBorders>
            <w:shd w:val="clear" w:color="auto" w:fill="auto"/>
            <w:noWrap/>
            <w:vAlign w:val="bottom"/>
            <w:hideMark/>
          </w:tcPr>
          <w:p w14:paraId="20DDF4CB"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p>
        </w:tc>
        <w:tc>
          <w:tcPr>
            <w:tcW w:w="1350" w:type="dxa"/>
            <w:tcBorders>
              <w:top w:val="nil"/>
              <w:left w:val="nil"/>
              <w:bottom w:val="nil"/>
              <w:right w:val="nil"/>
            </w:tcBorders>
            <w:shd w:val="clear" w:color="auto" w:fill="auto"/>
            <w:noWrap/>
            <w:vAlign w:val="bottom"/>
            <w:hideMark/>
          </w:tcPr>
          <w:p w14:paraId="7E04DCC5" w14:textId="77777777" w:rsidR="004A7120" w:rsidRPr="004A7120" w:rsidRDefault="004A7120" w:rsidP="004A7120">
            <w:pPr>
              <w:spacing w:after="0" w:line="240" w:lineRule="auto"/>
              <w:rPr>
                <w:rFonts w:ascii="Times New Roman" w:eastAsia="Calibri" w:hAnsi="Times New Roman" w:cs="Times New Roman"/>
                <w:kern w:val="0"/>
                <w:sz w:val="20"/>
                <w:szCs w:val="20"/>
                <w14:ligatures w14:val="none"/>
              </w:rPr>
            </w:pPr>
          </w:p>
        </w:tc>
        <w:tc>
          <w:tcPr>
            <w:tcW w:w="1530" w:type="dxa"/>
            <w:tcBorders>
              <w:top w:val="nil"/>
              <w:left w:val="nil"/>
              <w:bottom w:val="nil"/>
              <w:right w:val="nil"/>
            </w:tcBorders>
            <w:vAlign w:val="center"/>
          </w:tcPr>
          <w:p w14:paraId="1B966748"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0.090</w:t>
            </w:r>
          </w:p>
        </w:tc>
      </w:tr>
      <w:tr w:rsidR="004A7120" w:rsidRPr="004A7120" w14:paraId="78F37B6C" w14:textId="77777777" w:rsidTr="00F5727C">
        <w:trPr>
          <w:trHeight w:val="310"/>
        </w:trPr>
        <w:tc>
          <w:tcPr>
            <w:tcW w:w="5580" w:type="dxa"/>
            <w:tcBorders>
              <w:top w:val="nil"/>
              <w:left w:val="nil"/>
              <w:bottom w:val="nil"/>
              <w:right w:val="nil"/>
            </w:tcBorders>
            <w:shd w:val="clear" w:color="auto" w:fill="auto"/>
            <w:noWrap/>
            <w:vAlign w:val="bottom"/>
            <w:hideMark/>
          </w:tcPr>
          <w:p w14:paraId="7D6E48B9"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Yes</w:t>
            </w:r>
          </w:p>
        </w:tc>
        <w:tc>
          <w:tcPr>
            <w:tcW w:w="1890" w:type="dxa"/>
            <w:tcBorders>
              <w:top w:val="nil"/>
              <w:left w:val="nil"/>
              <w:bottom w:val="nil"/>
              <w:right w:val="nil"/>
            </w:tcBorders>
            <w:shd w:val="clear" w:color="auto" w:fill="auto"/>
            <w:noWrap/>
            <w:vAlign w:val="bottom"/>
            <w:hideMark/>
          </w:tcPr>
          <w:p w14:paraId="0AE8EA1B"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1.072</w:t>
            </w:r>
          </w:p>
        </w:tc>
        <w:tc>
          <w:tcPr>
            <w:tcW w:w="2880" w:type="dxa"/>
            <w:tcBorders>
              <w:top w:val="nil"/>
              <w:left w:val="nil"/>
              <w:bottom w:val="nil"/>
              <w:right w:val="nil"/>
            </w:tcBorders>
            <w:shd w:val="clear" w:color="auto" w:fill="auto"/>
            <w:noWrap/>
            <w:vAlign w:val="bottom"/>
            <w:hideMark/>
          </w:tcPr>
          <w:p w14:paraId="2469BBE4"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0.989, 1.161</w:t>
            </w:r>
          </w:p>
        </w:tc>
        <w:tc>
          <w:tcPr>
            <w:tcW w:w="1350" w:type="dxa"/>
            <w:tcBorders>
              <w:top w:val="nil"/>
              <w:left w:val="nil"/>
              <w:bottom w:val="nil"/>
              <w:right w:val="nil"/>
            </w:tcBorders>
            <w:shd w:val="clear" w:color="auto" w:fill="auto"/>
            <w:noWrap/>
            <w:vAlign w:val="bottom"/>
            <w:hideMark/>
          </w:tcPr>
          <w:p w14:paraId="0759E882"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0.090</w:t>
            </w:r>
          </w:p>
        </w:tc>
        <w:tc>
          <w:tcPr>
            <w:tcW w:w="1530" w:type="dxa"/>
            <w:tcBorders>
              <w:top w:val="nil"/>
              <w:left w:val="nil"/>
              <w:bottom w:val="nil"/>
              <w:right w:val="nil"/>
            </w:tcBorders>
          </w:tcPr>
          <w:p w14:paraId="1F396C11"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20A056D3" w14:textId="77777777" w:rsidTr="00921D81">
        <w:trPr>
          <w:trHeight w:val="310"/>
        </w:trPr>
        <w:tc>
          <w:tcPr>
            <w:tcW w:w="5580" w:type="dxa"/>
            <w:tcBorders>
              <w:top w:val="nil"/>
              <w:left w:val="nil"/>
              <w:bottom w:val="single" w:sz="12" w:space="0" w:color="auto"/>
              <w:right w:val="nil"/>
            </w:tcBorders>
            <w:shd w:val="clear" w:color="auto" w:fill="auto"/>
            <w:noWrap/>
            <w:vAlign w:val="bottom"/>
          </w:tcPr>
          <w:p w14:paraId="2FD2E7BB"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No</w:t>
            </w:r>
          </w:p>
        </w:tc>
        <w:tc>
          <w:tcPr>
            <w:tcW w:w="6120" w:type="dxa"/>
            <w:gridSpan w:val="3"/>
            <w:tcBorders>
              <w:top w:val="nil"/>
              <w:left w:val="nil"/>
              <w:bottom w:val="single" w:sz="12" w:space="0" w:color="auto"/>
              <w:right w:val="nil"/>
            </w:tcBorders>
            <w:shd w:val="clear" w:color="auto" w:fill="auto"/>
            <w:noWrap/>
            <w:vAlign w:val="bottom"/>
          </w:tcPr>
          <w:p w14:paraId="4910B066"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i/>
                <w:iCs/>
                <w:color w:val="000000"/>
                <w:kern w:val="0"/>
                <w14:ligatures w14:val="none"/>
              </w:rPr>
              <w:t>Reference</w:t>
            </w:r>
          </w:p>
        </w:tc>
        <w:tc>
          <w:tcPr>
            <w:tcW w:w="1530" w:type="dxa"/>
            <w:tcBorders>
              <w:top w:val="nil"/>
              <w:left w:val="nil"/>
              <w:bottom w:val="single" w:sz="12" w:space="0" w:color="auto"/>
              <w:right w:val="nil"/>
            </w:tcBorders>
          </w:tcPr>
          <w:p w14:paraId="204C0D20" w14:textId="77777777" w:rsidR="004A7120" w:rsidRPr="004A7120" w:rsidRDefault="004A7120" w:rsidP="004A7120">
            <w:pPr>
              <w:spacing w:after="0" w:line="240" w:lineRule="auto"/>
              <w:jc w:val="center"/>
              <w:rPr>
                <w:rFonts w:ascii="Calibri" w:eastAsia="Calibri" w:hAnsi="Calibri" w:cs="Times New Roman"/>
                <w:color w:val="000000"/>
                <w:kern w:val="0"/>
                <w14:ligatures w14:val="none"/>
              </w:rPr>
            </w:pPr>
          </w:p>
        </w:tc>
      </w:tr>
    </w:tbl>
    <w:p w14:paraId="3F048296" w14:textId="77777777" w:rsidR="004A7120" w:rsidRDefault="004A7120" w:rsidP="004A7120">
      <w:pPr>
        <w:spacing w:line="480" w:lineRule="auto"/>
        <w:rPr>
          <w:rFonts w:ascii="Times New Roman" w:hAnsi="Times New Roman" w:cs="Times New Roman"/>
          <w:iCs/>
        </w:rPr>
      </w:pPr>
    </w:p>
    <w:p w14:paraId="2FE605A4" w14:textId="2124B8FD" w:rsidR="00087F4F" w:rsidRDefault="00087F4F">
      <w:pPr>
        <w:rPr>
          <w:rFonts w:ascii="Times New Roman" w:hAnsi="Times New Roman" w:cs="Times New Roman"/>
          <w:iCs/>
        </w:rPr>
      </w:pPr>
      <w:r>
        <w:rPr>
          <w:rFonts w:ascii="Times New Roman" w:hAnsi="Times New Roman" w:cs="Times New Roman"/>
          <w:iCs/>
        </w:rPr>
        <w:br w:type="page"/>
      </w:r>
    </w:p>
    <w:p w14:paraId="3DD0357B" w14:textId="0ED5BBEF" w:rsidR="00087F4F" w:rsidRDefault="00087F4F" w:rsidP="00921D81">
      <w:pPr>
        <w:pStyle w:val="Caption"/>
        <w:spacing w:after="0"/>
      </w:pPr>
      <w:bookmarkStart w:id="136" w:name="_Toc199886033"/>
      <w:bookmarkStart w:id="137" w:name="_Toc200097050"/>
      <w:r>
        <w:lastRenderedPageBreak/>
        <w:t xml:space="preserve">Table </w:t>
      </w:r>
      <w:r w:rsidR="00450C23">
        <w:fldChar w:fldCharType="begin"/>
      </w:r>
      <w:r w:rsidR="00450C23">
        <w:instrText xml:space="preserve"> STYLEREF 1 \s </w:instrText>
      </w:r>
      <w:r w:rsidR="00450C23">
        <w:fldChar w:fldCharType="separate"/>
      </w:r>
      <w:r w:rsidR="005D69AE">
        <w:rPr>
          <w:noProof/>
        </w:rPr>
        <w:t>3</w:t>
      </w:r>
      <w:r w:rsidR="00450C23">
        <w:rPr>
          <w:noProof/>
        </w:rPr>
        <w:fldChar w:fldCharType="end"/>
      </w:r>
      <w:r w:rsidR="005D69AE">
        <w:t>.</w:t>
      </w:r>
      <w:r w:rsidR="00450C23">
        <w:fldChar w:fldCharType="begin"/>
      </w:r>
      <w:r w:rsidR="00450C23">
        <w:instrText xml:space="preserve"> SEQ Table \* ARABIC \s 1 </w:instrText>
      </w:r>
      <w:r w:rsidR="00450C23">
        <w:fldChar w:fldCharType="separate"/>
      </w:r>
      <w:r w:rsidR="005D69AE">
        <w:rPr>
          <w:noProof/>
        </w:rPr>
        <w:t>4</w:t>
      </w:r>
      <w:r w:rsidR="00450C23">
        <w:rPr>
          <w:noProof/>
        </w:rPr>
        <w:fldChar w:fldCharType="end"/>
      </w:r>
      <w:r>
        <w:t xml:space="preserve">. </w:t>
      </w:r>
      <w:r w:rsidRPr="000D6A8E">
        <w:t>Predictors of chronic obstructive pulmonary disease occurrence among National Supplemental Screening Program participants, 2006-2019</w:t>
      </w:r>
      <w:bookmarkEnd w:id="136"/>
      <w:bookmarkEnd w:id="137"/>
    </w:p>
    <w:tbl>
      <w:tblPr>
        <w:tblW w:w="12341" w:type="dxa"/>
        <w:jc w:val="center"/>
        <w:tblLook w:val="04A0" w:firstRow="1" w:lastRow="0" w:firstColumn="1" w:lastColumn="0" w:noHBand="0" w:noVBand="1"/>
      </w:tblPr>
      <w:tblGrid>
        <w:gridCol w:w="4875"/>
        <w:gridCol w:w="1531"/>
        <w:gridCol w:w="2025"/>
        <w:gridCol w:w="1531"/>
        <w:gridCol w:w="2379"/>
      </w:tblGrid>
      <w:tr w:rsidR="00087F4F" w:rsidRPr="00087F4F" w14:paraId="29C28356" w14:textId="77777777" w:rsidTr="008535F6">
        <w:trPr>
          <w:trHeight w:val="349"/>
          <w:tblHeader/>
          <w:jc w:val="center"/>
        </w:trPr>
        <w:tc>
          <w:tcPr>
            <w:tcW w:w="4875" w:type="dxa"/>
            <w:tcBorders>
              <w:top w:val="single" w:sz="12" w:space="0" w:color="auto"/>
              <w:left w:val="nil"/>
              <w:bottom w:val="single" w:sz="12" w:space="0" w:color="auto"/>
              <w:right w:val="nil"/>
            </w:tcBorders>
            <w:shd w:val="clear" w:color="auto" w:fill="auto"/>
            <w:noWrap/>
            <w:vAlign w:val="center"/>
            <w:hideMark/>
          </w:tcPr>
          <w:p w14:paraId="1F06FA29" w14:textId="77777777" w:rsidR="00087F4F" w:rsidRPr="00087F4F" w:rsidRDefault="00087F4F" w:rsidP="00087F4F">
            <w:pPr>
              <w:spacing w:after="0" w:line="240" w:lineRule="auto"/>
              <w:jc w:val="center"/>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b/>
                <w:bCs/>
                <w:color w:val="000000"/>
                <w:kern w:val="0"/>
                <w14:ligatures w14:val="none"/>
              </w:rPr>
              <w:t>Characteristics</w:t>
            </w:r>
          </w:p>
        </w:tc>
        <w:tc>
          <w:tcPr>
            <w:tcW w:w="1531" w:type="dxa"/>
            <w:tcBorders>
              <w:top w:val="single" w:sz="12" w:space="0" w:color="auto"/>
              <w:left w:val="nil"/>
              <w:bottom w:val="single" w:sz="12" w:space="0" w:color="auto"/>
              <w:right w:val="nil"/>
            </w:tcBorders>
            <w:shd w:val="clear" w:color="auto" w:fill="auto"/>
            <w:noWrap/>
            <w:vAlign w:val="center"/>
            <w:hideMark/>
          </w:tcPr>
          <w:p w14:paraId="69B7B455" w14:textId="77777777" w:rsidR="00087F4F" w:rsidRPr="00087F4F" w:rsidRDefault="00087F4F" w:rsidP="00087F4F">
            <w:pPr>
              <w:spacing w:after="0" w:line="240" w:lineRule="auto"/>
              <w:jc w:val="center"/>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b/>
                <w:bCs/>
                <w:color w:val="000000"/>
                <w:kern w:val="0"/>
                <w14:ligatures w14:val="none"/>
              </w:rPr>
              <w:t>Odds Ratio</w:t>
            </w:r>
          </w:p>
        </w:tc>
        <w:tc>
          <w:tcPr>
            <w:tcW w:w="2025" w:type="dxa"/>
            <w:tcBorders>
              <w:top w:val="single" w:sz="12" w:space="0" w:color="auto"/>
              <w:left w:val="nil"/>
              <w:bottom w:val="single" w:sz="12" w:space="0" w:color="auto"/>
              <w:right w:val="nil"/>
            </w:tcBorders>
            <w:shd w:val="clear" w:color="auto" w:fill="auto"/>
            <w:noWrap/>
            <w:vAlign w:val="center"/>
            <w:hideMark/>
          </w:tcPr>
          <w:p w14:paraId="478E1EFC" w14:textId="77777777" w:rsidR="00087F4F" w:rsidRPr="00087F4F" w:rsidRDefault="00087F4F" w:rsidP="00087F4F">
            <w:pPr>
              <w:spacing w:after="0" w:line="240" w:lineRule="auto"/>
              <w:jc w:val="center"/>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b/>
                <w:bCs/>
                <w:color w:val="000000"/>
                <w:kern w:val="0"/>
                <w14:ligatures w14:val="none"/>
              </w:rPr>
              <w:t>95% Confidence Interval</w:t>
            </w:r>
          </w:p>
        </w:tc>
        <w:tc>
          <w:tcPr>
            <w:tcW w:w="1531" w:type="dxa"/>
            <w:tcBorders>
              <w:top w:val="single" w:sz="12" w:space="0" w:color="auto"/>
              <w:left w:val="nil"/>
              <w:bottom w:val="single" w:sz="12" w:space="0" w:color="auto"/>
              <w:right w:val="nil"/>
            </w:tcBorders>
            <w:shd w:val="clear" w:color="auto" w:fill="auto"/>
            <w:noWrap/>
            <w:vAlign w:val="center"/>
            <w:hideMark/>
          </w:tcPr>
          <w:p w14:paraId="324777EC" w14:textId="77777777" w:rsidR="00087F4F" w:rsidRPr="00087F4F" w:rsidRDefault="00087F4F" w:rsidP="00087F4F">
            <w:pPr>
              <w:spacing w:after="0" w:line="240" w:lineRule="auto"/>
              <w:jc w:val="center"/>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b/>
                <w:bCs/>
                <w:color w:val="000000"/>
                <w:kern w:val="0"/>
                <w14:ligatures w14:val="none"/>
              </w:rPr>
              <w:t>p-value</w:t>
            </w:r>
          </w:p>
        </w:tc>
        <w:tc>
          <w:tcPr>
            <w:tcW w:w="2379" w:type="dxa"/>
            <w:tcBorders>
              <w:top w:val="single" w:sz="12" w:space="0" w:color="auto"/>
              <w:left w:val="nil"/>
              <w:bottom w:val="single" w:sz="12" w:space="0" w:color="auto"/>
              <w:right w:val="nil"/>
            </w:tcBorders>
            <w:shd w:val="clear" w:color="auto" w:fill="auto"/>
            <w:noWrap/>
            <w:vAlign w:val="center"/>
            <w:hideMark/>
          </w:tcPr>
          <w:p w14:paraId="7AD0726C" w14:textId="77777777" w:rsidR="00087F4F" w:rsidRPr="00087F4F" w:rsidRDefault="00087F4F" w:rsidP="00087F4F">
            <w:pPr>
              <w:spacing w:after="0" w:line="240" w:lineRule="auto"/>
              <w:jc w:val="center"/>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b/>
                <w:bCs/>
                <w:color w:val="000000"/>
                <w:kern w:val="0"/>
                <w14:ligatures w14:val="none"/>
              </w:rPr>
              <w:t>Overall p-value</w:t>
            </w:r>
          </w:p>
        </w:tc>
      </w:tr>
      <w:tr w:rsidR="00087F4F" w:rsidRPr="00087F4F" w14:paraId="7EC5969D" w14:textId="77777777" w:rsidTr="008535F6">
        <w:trPr>
          <w:trHeight w:val="349"/>
          <w:jc w:val="center"/>
        </w:trPr>
        <w:tc>
          <w:tcPr>
            <w:tcW w:w="4875" w:type="dxa"/>
            <w:tcBorders>
              <w:top w:val="single" w:sz="12" w:space="0" w:color="auto"/>
              <w:left w:val="nil"/>
              <w:bottom w:val="nil"/>
              <w:right w:val="nil"/>
            </w:tcBorders>
            <w:shd w:val="clear" w:color="auto" w:fill="auto"/>
            <w:noWrap/>
            <w:vAlign w:val="bottom"/>
          </w:tcPr>
          <w:p w14:paraId="26353583" w14:textId="77777777" w:rsidR="00087F4F" w:rsidRPr="00087F4F" w:rsidRDefault="00087F4F" w:rsidP="00087F4F">
            <w:pPr>
              <w:spacing w:after="0" w:line="240" w:lineRule="auto"/>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b/>
                <w:bCs/>
                <w:color w:val="000000"/>
                <w:kern w:val="0"/>
                <w14:ligatures w14:val="none"/>
              </w:rPr>
              <w:t>Age Categories</w:t>
            </w:r>
          </w:p>
        </w:tc>
        <w:tc>
          <w:tcPr>
            <w:tcW w:w="1531" w:type="dxa"/>
            <w:tcBorders>
              <w:top w:val="single" w:sz="12" w:space="0" w:color="auto"/>
              <w:left w:val="nil"/>
              <w:bottom w:val="nil"/>
              <w:right w:val="nil"/>
            </w:tcBorders>
            <w:shd w:val="clear" w:color="auto" w:fill="auto"/>
            <w:noWrap/>
            <w:vAlign w:val="center"/>
          </w:tcPr>
          <w:p w14:paraId="6252B010" w14:textId="77777777" w:rsidR="00087F4F" w:rsidRPr="00087F4F" w:rsidRDefault="00087F4F" w:rsidP="00087F4F">
            <w:pPr>
              <w:spacing w:after="0" w:line="240" w:lineRule="auto"/>
              <w:rPr>
                <w:rFonts w:ascii="Times New Roman" w:eastAsia="Calibri" w:hAnsi="Times New Roman" w:cs="Times New Roman"/>
                <w:b/>
                <w:bCs/>
                <w:color w:val="000000"/>
                <w:kern w:val="0"/>
                <w14:ligatures w14:val="none"/>
              </w:rPr>
            </w:pPr>
          </w:p>
        </w:tc>
        <w:tc>
          <w:tcPr>
            <w:tcW w:w="2025" w:type="dxa"/>
            <w:tcBorders>
              <w:top w:val="single" w:sz="12" w:space="0" w:color="auto"/>
              <w:left w:val="nil"/>
              <w:bottom w:val="nil"/>
              <w:right w:val="nil"/>
            </w:tcBorders>
            <w:shd w:val="clear" w:color="auto" w:fill="auto"/>
            <w:noWrap/>
            <w:vAlign w:val="center"/>
          </w:tcPr>
          <w:p w14:paraId="19394EF9"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p>
        </w:tc>
        <w:tc>
          <w:tcPr>
            <w:tcW w:w="1531" w:type="dxa"/>
            <w:tcBorders>
              <w:top w:val="single" w:sz="12" w:space="0" w:color="auto"/>
              <w:left w:val="nil"/>
              <w:bottom w:val="nil"/>
              <w:right w:val="nil"/>
            </w:tcBorders>
            <w:shd w:val="clear" w:color="auto" w:fill="auto"/>
            <w:noWrap/>
            <w:vAlign w:val="center"/>
          </w:tcPr>
          <w:p w14:paraId="46977548"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p>
        </w:tc>
        <w:tc>
          <w:tcPr>
            <w:tcW w:w="2379" w:type="dxa"/>
            <w:tcBorders>
              <w:top w:val="single" w:sz="12" w:space="0" w:color="auto"/>
              <w:left w:val="nil"/>
              <w:bottom w:val="nil"/>
              <w:right w:val="nil"/>
            </w:tcBorders>
            <w:shd w:val="clear" w:color="auto" w:fill="auto"/>
            <w:noWrap/>
            <w:vAlign w:val="center"/>
          </w:tcPr>
          <w:p w14:paraId="3B7B284B"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&lt;0.001</w:t>
            </w:r>
          </w:p>
        </w:tc>
      </w:tr>
      <w:tr w:rsidR="00087F4F" w:rsidRPr="00087F4F" w14:paraId="0293C784" w14:textId="77777777" w:rsidTr="008535F6">
        <w:trPr>
          <w:trHeight w:val="349"/>
          <w:jc w:val="center"/>
        </w:trPr>
        <w:tc>
          <w:tcPr>
            <w:tcW w:w="4875" w:type="dxa"/>
            <w:tcBorders>
              <w:left w:val="nil"/>
              <w:bottom w:val="nil"/>
              <w:right w:val="nil"/>
            </w:tcBorders>
            <w:shd w:val="clear" w:color="auto" w:fill="auto"/>
            <w:noWrap/>
            <w:vAlign w:val="bottom"/>
          </w:tcPr>
          <w:p w14:paraId="7D300F46" w14:textId="77777777" w:rsidR="00087F4F" w:rsidRPr="00087F4F" w:rsidRDefault="00087F4F" w:rsidP="00087F4F">
            <w:pPr>
              <w:spacing w:after="0" w:line="240" w:lineRule="auto"/>
              <w:ind w:left="720"/>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color w:val="000000"/>
                <w:kern w:val="0"/>
                <w14:ligatures w14:val="none"/>
              </w:rPr>
              <w:t>55-59 years old</w:t>
            </w:r>
          </w:p>
        </w:tc>
        <w:tc>
          <w:tcPr>
            <w:tcW w:w="1531" w:type="dxa"/>
            <w:tcBorders>
              <w:left w:val="nil"/>
              <w:bottom w:val="nil"/>
              <w:right w:val="nil"/>
            </w:tcBorders>
            <w:shd w:val="clear" w:color="auto" w:fill="auto"/>
            <w:noWrap/>
            <w:vAlign w:val="center"/>
          </w:tcPr>
          <w:p w14:paraId="37C6F594" w14:textId="77777777" w:rsidR="00087F4F" w:rsidRPr="00087F4F" w:rsidRDefault="00087F4F" w:rsidP="00087F4F">
            <w:pPr>
              <w:spacing w:after="0" w:line="240" w:lineRule="auto"/>
              <w:jc w:val="center"/>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color w:val="000000"/>
                <w:kern w:val="0"/>
                <w14:ligatures w14:val="none"/>
              </w:rPr>
              <w:t>1.249</w:t>
            </w:r>
          </w:p>
        </w:tc>
        <w:tc>
          <w:tcPr>
            <w:tcW w:w="2025" w:type="dxa"/>
            <w:tcBorders>
              <w:left w:val="nil"/>
              <w:bottom w:val="nil"/>
              <w:right w:val="nil"/>
            </w:tcBorders>
            <w:shd w:val="clear" w:color="auto" w:fill="auto"/>
            <w:noWrap/>
            <w:vAlign w:val="center"/>
          </w:tcPr>
          <w:p w14:paraId="66C80010"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r w:rsidRPr="00087F4F">
              <w:rPr>
                <w:rFonts w:ascii="Times New Roman" w:eastAsia="Calibri" w:hAnsi="Times New Roman" w:cs="Times New Roman"/>
                <w:color w:val="000000"/>
                <w:kern w:val="0"/>
                <w14:ligatures w14:val="none"/>
              </w:rPr>
              <w:t>1.057, 1.476</w:t>
            </w:r>
          </w:p>
        </w:tc>
        <w:tc>
          <w:tcPr>
            <w:tcW w:w="1531" w:type="dxa"/>
            <w:tcBorders>
              <w:left w:val="nil"/>
              <w:bottom w:val="nil"/>
              <w:right w:val="nil"/>
            </w:tcBorders>
            <w:shd w:val="clear" w:color="auto" w:fill="auto"/>
            <w:noWrap/>
            <w:vAlign w:val="center"/>
          </w:tcPr>
          <w:p w14:paraId="21B742BA"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r w:rsidRPr="00087F4F">
              <w:rPr>
                <w:rFonts w:ascii="Times New Roman" w:eastAsia="Calibri" w:hAnsi="Times New Roman" w:cs="Times New Roman"/>
                <w:color w:val="000000"/>
                <w:kern w:val="0"/>
                <w14:ligatures w14:val="none"/>
              </w:rPr>
              <w:t>0.009</w:t>
            </w:r>
          </w:p>
        </w:tc>
        <w:tc>
          <w:tcPr>
            <w:tcW w:w="2379" w:type="dxa"/>
            <w:tcBorders>
              <w:left w:val="nil"/>
              <w:bottom w:val="nil"/>
              <w:right w:val="nil"/>
            </w:tcBorders>
            <w:shd w:val="clear" w:color="auto" w:fill="auto"/>
            <w:noWrap/>
            <w:vAlign w:val="bottom"/>
          </w:tcPr>
          <w:p w14:paraId="0E87960A"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p>
        </w:tc>
      </w:tr>
      <w:tr w:rsidR="00087F4F" w:rsidRPr="00087F4F" w14:paraId="78BF009D" w14:textId="77777777" w:rsidTr="008535F6">
        <w:trPr>
          <w:trHeight w:val="349"/>
          <w:jc w:val="center"/>
        </w:trPr>
        <w:tc>
          <w:tcPr>
            <w:tcW w:w="4875" w:type="dxa"/>
            <w:tcBorders>
              <w:left w:val="nil"/>
              <w:bottom w:val="nil"/>
              <w:right w:val="nil"/>
            </w:tcBorders>
            <w:shd w:val="clear" w:color="auto" w:fill="auto"/>
            <w:noWrap/>
            <w:vAlign w:val="bottom"/>
          </w:tcPr>
          <w:p w14:paraId="7A59CA2C" w14:textId="77777777" w:rsidR="00087F4F" w:rsidRPr="00087F4F" w:rsidRDefault="00087F4F" w:rsidP="00087F4F">
            <w:pPr>
              <w:spacing w:after="0" w:line="240" w:lineRule="auto"/>
              <w:ind w:left="720"/>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color w:val="000000"/>
                <w:kern w:val="0"/>
                <w14:ligatures w14:val="none"/>
              </w:rPr>
              <w:t>60-64 years old</w:t>
            </w:r>
          </w:p>
        </w:tc>
        <w:tc>
          <w:tcPr>
            <w:tcW w:w="1531" w:type="dxa"/>
            <w:tcBorders>
              <w:left w:val="nil"/>
              <w:bottom w:val="nil"/>
              <w:right w:val="nil"/>
            </w:tcBorders>
            <w:shd w:val="clear" w:color="auto" w:fill="auto"/>
            <w:noWrap/>
            <w:vAlign w:val="center"/>
          </w:tcPr>
          <w:p w14:paraId="61ADF52B" w14:textId="77777777" w:rsidR="00087F4F" w:rsidRPr="00087F4F" w:rsidRDefault="00087F4F" w:rsidP="00087F4F">
            <w:pPr>
              <w:spacing w:after="0" w:line="240" w:lineRule="auto"/>
              <w:jc w:val="center"/>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color w:val="000000"/>
                <w:kern w:val="0"/>
                <w14:ligatures w14:val="none"/>
              </w:rPr>
              <w:t>1.552</w:t>
            </w:r>
          </w:p>
        </w:tc>
        <w:tc>
          <w:tcPr>
            <w:tcW w:w="2025" w:type="dxa"/>
            <w:tcBorders>
              <w:left w:val="nil"/>
              <w:bottom w:val="nil"/>
              <w:right w:val="nil"/>
            </w:tcBorders>
            <w:shd w:val="clear" w:color="auto" w:fill="auto"/>
            <w:noWrap/>
            <w:vAlign w:val="center"/>
          </w:tcPr>
          <w:p w14:paraId="69A354DA"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r w:rsidRPr="00087F4F">
              <w:rPr>
                <w:rFonts w:ascii="Times New Roman" w:eastAsia="Calibri" w:hAnsi="Times New Roman" w:cs="Times New Roman"/>
                <w:color w:val="000000"/>
                <w:kern w:val="0"/>
                <w14:ligatures w14:val="none"/>
              </w:rPr>
              <w:t>1.337, 1.800</w:t>
            </w:r>
          </w:p>
        </w:tc>
        <w:tc>
          <w:tcPr>
            <w:tcW w:w="1531" w:type="dxa"/>
            <w:tcBorders>
              <w:left w:val="nil"/>
              <w:bottom w:val="nil"/>
              <w:right w:val="nil"/>
            </w:tcBorders>
            <w:shd w:val="clear" w:color="auto" w:fill="auto"/>
            <w:noWrap/>
            <w:vAlign w:val="center"/>
          </w:tcPr>
          <w:p w14:paraId="39FB0E0E"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r w:rsidRPr="00087F4F">
              <w:rPr>
                <w:rFonts w:ascii="Times New Roman" w:eastAsia="Calibri" w:hAnsi="Times New Roman" w:cs="Times New Roman"/>
                <w:color w:val="000000"/>
                <w:kern w:val="0"/>
                <w14:ligatures w14:val="none"/>
              </w:rPr>
              <w:t>&lt;0.001</w:t>
            </w:r>
          </w:p>
        </w:tc>
        <w:tc>
          <w:tcPr>
            <w:tcW w:w="2379" w:type="dxa"/>
            <w:tcBorders>
              <w:left w:val="nil"/>
              <w:bottom w:val="nil"/>
              <w:right w:val="nil"/>
            </w:tcBorders>
            <w:shd w:val="clear" w:color="auto" w:fill="auto"/>
            <w:noWrap/>
            <w:vAlign w:val="bottom"/>
          </w:tcPr>
          <w:p w14:paraId="6F570746"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p>
        </w:tc>
      </w:tr>
      <w:tr w:rsidR="00087F4F" w:rsidRPr="00087F4F" w14:paraId="569D06E8" w14:textId="77777777" w:rsidTr="008535F6">
        <w:trPr>
          <w:trHeight w:val="349"/>
          <w:jc w:val="center"/>
        </w:trPr>
        <w:tc>
          <w:tcPr>
            <w:tcW w:w="4875" w:type="dxa"/>
            <w:tcBorders>
              <w:left w:val="nil"/>
              <w:bottom w:val="nil"/>
              <w:right w:val="nil"/>
            </w:tcBorders>
            <w:shd w:val="clear" w:color="auto" w:fill="auto"/>
            <w:noWrap/>
            <w:vAlign w:val="bottom"/>
          </w:tcPr>
          <w:p w14:paraId="52876E5C" w14:textId="77777777" w:rsidR="00087F4F" w:rsidRPr="00087F4F" w:rsidRDefault="00087F4F" w:rsidP="00087F4F">
            <w:pPr>
              <w:spacing w:after="0" w:line="240" w:lineRule="auto"/>
              <w:ind w:left="720"/>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color w:val="000000"/>
                <w:kern w:val="0"/>
                <w14:ligatures w14:val="none"/>
              </w:rPr>
              <w:t>65-69 years old</w:t>
            </w:r>
          </w:p>
        </w:tc>
        <w:tc>
          <w:tcPr>
            <w:tcW w:w="1531" w:type="dxa"/>
            <w:tcBorders>
              <w:left w:val="nil"/>
              <w:bottom w:val="nil"/>
              <w:right w:val="nil"/>
            </w:tcBorders>
            <w:shd w:val="clear" w:color="auto" w:fill="auto"/>
            <w:noWrap/>
            <w:vAlign w:val="center"/>
          </w:tcPr>
          <w:p w14:paraId="30A1ABD8" w14:textId="77777777" w:rsidR="00087F4F" w:rsidRPr="00087F4F" w:rsidRDefault="00087F4F" w:rsidP="00087F4F">
            <w:pPr>
              <w:spacing w:after="0" w:line="240" w:lineRule="auto"/>
              <w:jc w:val="center"/>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color w:val="000000"/>
                <w:kern w:val="0"/>
                <w14:ligatures w14:val="none"/>
              </w:rPr>
              <w:t>1.797</w:t>
            </w:r>
          </w:p>
        </w:tc>
        <w:tc>
          <w:tcPr>
            <w:tcW w:w="2025" w:type="dxa"/>
            <w:tcBorders>
              <w:left w:val="nil"/>
              <w:bottom w:val="nil"/>
              <w:right w:val="nil"/>
            </w:tcBorders>
            <w:shd w:val="clear" w:color="auto" w:fill="auto"/>
            <w:noWrap/>
            <w:vAlign w:val="center"/>
          </w:tcPr>
          <w:p w14:paraId="454A50F0"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r w:rsidRPr="00087F4F">
              <w:rPr>
                <w:rFonts w:ascii="Times New Roman" w:eastAsia="Calibri" w:hAnsi="Times New Roman" w:cs="Times New Roman"/>
                <w:color w:val="000000"/>
                <w:kern w:val="0"/>
                <w14:ligatures w14:val="none"/>
              </w:rPr>
              <w:t>1.555, 2.076</w:t>
            </w:r>
          </w:p>
        </w:tc>
        <w:tc>
          <w:tcPr>
            <w:tcW w:w="1531" w:type="dxa"/>
            <w:tcBorders>
              <w:left w:val="nil"/>
              <w:bottom w:val="nil"/>
              <w:right w:val="nil"/>
            </w:tcBorders>
            <w:shd w:val="clear" w:color="auto" w:fill="auto"/>
            <w:noWrap/>
            <w:vAlign w:val="center"/>
          </w:tcPr>
          <w:p w14:paraId="4F0FEE5D"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r w:rsidRPr="00087F4F">
              <w:rPr>
                <w:rFonts w:ascii="Times New Roman" w:eastAsia="Calibri" w:hAnsi="Times New Roman" w:cs="Times New Roman"/>
                <w:color w:val="000000"/>
                <w:kern w:val="0"/>
                <w14:ligatures w14:val="none"/>
              </w:rPr>
              <w:t>&lt;0.001</w:t>
            </w:r>
          </w:p>
        </w:tc>
        <w:tc>
          <w:tcPr>
            <w:tcW w:w="2379" w:type="dxa"/>
            <w:tcBorders>
              <w:left w:val="nil"/>
              <w:bottom w:val="nil"/>
              <w:right w:val="nil"/>
            </w:tcBorders>
            <w:shd w:val="clear" w:color="auto" w:fill="auto"/>
            <w:noWrap/>
            <w:vAlign w:val="bottom"/>
          </w:tcPr>
          <w:p w14:paraId="31384432"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p>
        </w:tc>
      </w:tr>
      <w:tr w:rsidR="00087F4F" w:rsidRPr="00087F4F" w14:paraId="11EBF9D8" w14:textId="77777777" w:rsidTr="008535F6">
        <w:trPr>
          <w:trHeight w:val="349"/>
          <w:jc w:val="center"/>
        </w:trPr>
        <w:tc>
          <w:tcPr>
            <w:tcW w:w="4875" w:type="dxa"/>
            <w:tcBorders>
              <w:left w:val="nil"/>
              <w:bottom w:val="nil"/>
              <w:right w:val="nil"/>
            </w:tcBorders>
            <w:shd w:val="clear" w:color="auto" w:fill="auto"/>
            <w:noWrap/>
            <w:vAlign w:val="bottom"/>
          </w:tcPr>
          <w:p w14:paraId="611EDCD4" w14:textId="77777777" w:rsidR="00087F4F" w:rsidRPr="00087F4F" w:rsidRDefault="00087F4F" w:rsidP="00087F4F">
            <w:pPr>
              <w:spacing w:after="0" w:line="240" w:lineRule="auto"/>
              <w:ind w:left="720"/>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color w:val="000000"/>
                <w:kern w:val="0"/>
                <w14:ligatures w14:val="none"/>
              </w:rPr>
              <w:t>70-74 years old</w:t>
            </w:r>
          </w:p>
        </w:tc>
        <w:tc>
          <w:tcPr>
            <w:tcW w:w="1531" w:type="dxa"/>
            <w:tcBorders>
              <w:left w:val="nil"/>
              <w:bottom w:val="nil"/>
              <w:right w:val="nil"/>
            </w:tcBorders>
            <w:shd w:val="clear" w:color="auto" w:fill="auto"/>
            <w:noWrap/>
            <w:vAlign w:val="center"/>
          </w:tcPr>
          <w:p w14:paraId="780A9617" w14:textId="77777777" w:rsidR="00087F4F" w:rsidRPr="00087F4F" w:rsidRDefault="00087F4F" w:rsidP="00087F4F">
            <w:pPr>
              <w:spacing w:after="0" w:line="240" w:lineRule="auto"/>
              <w:jc w:val="center"/>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color w:val="000000"/>
                <w:kern w:val="0"/>
                <w14:ligatures w14:val="none"/>
              </w:rPr>
              <w:t>2.085</w:t>
            </w:r>
          </w:p>
        </w:tc>
        <w:tc>
          <w:tcPr>
            <w:tcW w:w="2025" w:type="dxa"/>
            <w:tcBorders>
              <w:left w:val="nil"/>
              <w:bottom w:val="nil"/>
              <w:right w:val="nil"/>
            </w:tcBorders>
            <w:shd w:val="clear" w:color="auto" w:fill="auto"/>
            <w:noWrap/>
            <w:vAlign w:val="center"/>
          </w:tcPr>
          <w:p w14:paraId="492CF1D5"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r w:rsidRPr="00087F4F">
              <w:rPr>
                <w:rFonts w:ascii="Times New Roman" w:eastAsia="Calibri" w:hAnsi="Times New Roman" w:cs="Times New Roman"/>
                <w:color w:val="000000"/>
                <w:kern w:val="0"/>
                <w14:ligatures w14:val="none"/>
              </w:rPr>
              <w:t>1.800, 2.415</w:t>
            </w:r>
          </w:p>
        </w:tc>
        <w:tc>
          <w:tcPr>
            <w:tcW w:w="1531" w:type="dxa"/>
            <w:tcBorders>
              <w:left w:val="nil"/>
              <w:bottom w:val="nil"/>
              <w:right w:val="nil"/>
            </w:tcBorders>
            <w:shd w:val="clear" w:color="auto" w:fill="auto"/>
            <w:noWrap/>
            <w:vAlign w:val="center"/>
          </w:tcPr>
          <w:p w14:paraId="5C464D6C"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r w:rsidRPr="00087F4F">
              <w:rPr>
                <w:rFonts w:ascii="Times New Roman" w:eastAsia="Calibri" w:hAnsi="Times New Roman" w:cs="Times New Roman"/>
                <w:color w:val="000000"/>
                <w:kern w:val="0"/>
                <w14:ligatures w14:val="none"/>
              </w:rPr>
              <w:t>&lt;0.001</w:t>
            </w:r>
          </w:p>
        </w:tc>
        <w:tc>
          <w:tcPr>
            <w:tcW w:w="2379" w:type="dxa"/>
            <w:tcBorders>
              <w:left w:val="nil"/>
              <w:bottom w:val="nil"/>
              <w:right w:val="nil"/>
            </w:tcBorders>
            <w:shd w:val="clear" w:color="auto" w:fill="auto"/>
            <w:noWrap/>
            <w:vAlign w:val="bottom"/>
          </w:tcPr>
          <w:p w14:paraId="1015084C"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p>
        </w:tc>
      </w:tr>
      <w:tr w:rsidR="00087F4F" w:rsidRPr="00087F4F" w14:paraId="11E52675" w14:textId="77777777" w:rsidTr="008535F6">
        <w:trPr>
          <w:trHeight w:val="349"/>
          <w:jc w:val="center"/>
        </w:trPr>
        <w:tc>
          <w:tcPr>
            <w:tcW w:w="4875" w:type="dxa"/>
            <w:tcBorders>
              <w:left w:val="nil"/>
              <w:bottom w:val="nil"/>
              <w:right w:val="nil"/>
            </w:tcBorders>
            <w:shd w:val="clear" w:color="auto" w:fill="auto"/>
            <w:noWrap/>
            <w:vAlign w:val="bottom"/>
          </w:tcPr>
          <w:p w14:paraId="24DC89B8" w14:textId="77777777" w:rsidR="00087F4F" w:rsidRPr="00087F4F" w:rsidRDefault="00087F4F" w:rsidP="00087F4F">
            <w:pPr>
              <w:spacing w:after="0" w:line="240" w:lineRule="auto"/>
              <w:ind w:left="720"/>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color w:val="000000"/>
                <w:kern w:val="0"/>
                <w14:ligatures w14:val="none"/>
              </w:rPr>
              <w:t>≥ 75 years old</w:t>
            </w:r>
          </w:p>
        </w:tc>
        <w:tc>
          <w:tcPr>
            <w:tcW w:w="1531" w:type="dxa"/>
            <w:tcBorders>
              <w:left w:val="nil"/>
              <w:bottom w:val="nil"/>
              <w:right w:val="nil"/>
            </w:tcBorders>
            <w:shd w:val="clear" w:color="auto" w:fill="auto"/>
            <w:noWrap/>
            <w:vAlign w:val="center"/>
          </w:tcPr>
          <w:p w14:paraId="3B9C1ECD" w14:textId="77777777" w:rsidR="00087F4F" w:rsidRPr="00087F4F" w:rsidRDefault="00087F4F" w:rsidP="00087F4F">
            <w:pPr>
              <w:spacing w:after="0" w:line="240" w:lineRule="auto"/>
              <w:jc w:val="center"/>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color w:val="000000"/>
                <w:kern w:val="0"/>
                <w14:ligatures w14:val="none"/>
              </w:rPr>
              <w:t>3.184</w:t>
            </w:r>
          </w:p>
        </w:tc>
        <w:tc>
          <w:tcPr>
            <w:tcW w:w="2025" w:type="dxa"/>
            <w:tcBorders>
              <w:left w:val="nil"/>
              <w:bottom w:val="nil"/>
              <w:right w:val="nil"/>
            </w:tcBorders>
            <w:shd w:val="clear" w:color="auto" w:fill="auto"/>
            <w:noWrap/>
            <w:vAlign w:val="center"/>
          </w:tcPr>
          <w:p w14:paraId="6F5678D5"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r w:rsidRPr="00087F4F">
              <w:rPr>
                <w:rFonts w:ascii="Times New Roman" w:eastAsia="Calibri" w:hAnsi="Times New Roman" w:cs="Times New Roman"/>
                <w:color w:val="000000"/>
                <w:kern w:val="0"/>
                <w14:ligatures w14:val="none"/>
              </w:rPr>
              <w:t>2.786, 3.638</w:t>
            </w:r>
          </w:p>
        </w:tc>
        <w:tc>
          <w:tcPr>
            <w:tcW w:w="1531" w:type="dxa"/>
            <w:tcBorders>
              <w:left w:val="nil"/>
              <w:bottom w:val="nil"/>
              <w:right w:val="nil"/>
            </w:tcBorders>
            <w:shd w:val="clear" w:color="auto" w:fill="auto"/>
            <w:noWrap/>
            <w:vAlign w:val="center"/>
          </w:tcPr>
          <w:p w14:paraId="636685D4"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r w:rsidRPr="00087F4F">
              <w:rPr>
                <w:rFonts w:ascii="Times New Roman" w:eastAsia="Calibri" w:hAnsi="Times New Roman" w:cs="Times New Roman"/>
                <w:color w:val="000000"/>
                <w:kern w:val="0"/>
                <w14:ligatures w14:val="none"/>
              </w:rPr>
              <w:t>&lt;0.001</w:t>
            </w:r>
          </w:p>
        </w:tc>
        <w:tc>
          <w:tcPr>
            <w:tcW w:w="2379" w:type="dxa"/>
            <w:tcBorders>
              <w:left w:val="nil"/>
              <w:bottom w:val="nil"/>
              <w:right w:val="nil"/>
            </w:tcBorders>
            <w:shd w:val="clear" w:color="auto" w:fill="auto"/>
            <w:noWrap/>
            <w:vAlign w:val="bottom"/>
          </w:tcPr>
          <w:p w14:paraId="6F28F8FE"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p>
        </w:tc>
      </w:tr>
      <w:tr w:rsidR="00087F4F" w:rsidRPr="00087F4F" w14:paraId="78FCB955" w14:textId="77777777" w:rsidTr="008535F6">
        <w:trPr>
          <w:trHeight w:val="349"/>
          <w:jc w:val="center"/>
        </w:trPr>
        <w:tc>
          <w:tcPr>
            <w:tcW w:w="4875" w:type="dxa"/>
            <w:tcBorders>
              <w:left w:val="nil"/>
              <w:bottom w:val="nil"/>
              <w:right w:val="nil"/>
            </w:tcBorders>
            <w:shd w:val="clear" w:color="auto" w:fill="auto"/>
            <w:noWrap/>
            <w:vAlign w:val="bottom"/>
          </w:tcPr>
          <w:p w14:paraId="1F01057C" w14:textId="77777777" w:rsidR="00087F4F" w:rsidRPr="00087F4F" w:rsidRDefault="00087F4F" w:rsidP="00087F4F">
            <w:pPr>
              <w:spacing w:after="0" w:line="240" w:lineRule="auto"/>
              <w:ind w:left="720"/>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&lt; 55 years old</w:t>
            </w:r>
          </w:p>
        </w:tc>
        <w:tc>
          <w:tcPr>
            <w:tcW w:w="5087" w:type="dxa"/>
            <w:gridSpan w:val="3"/>
            <w:tcBorders>
              <w:left w:val="nil"/>
              <w:bottom w:val="nil"/>
              <w:right w:val="nil"/>
            </w:tcBorders>
            <w:shd w:val="clear" w:color="auto" w:fill="auto"/>
            <w:noWrap/>
            <w:vAlign w:val="center"/>
          </w:tcPr>
          <w:p w14:paraId="053C3B9E"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i/>
                <w:iCs/>
                <w:color w:val="000000"/>
                <w:kern w:val="0"/>
                <w14:ligatures w14:val="none"/>
              </w:rPr>
              <w:t>Reference</w:t>
            </w:r>
          </w:p>
        </w:tc>
        <w:tc>
          <w:tcPr>
            <w:tcW w:w="2379" w:type="dxa"/>
            <w:tcBorders>
              <w:left w:val="nil"/>
              <w:bottom w:val="nil"/>
              <w:right w:val="nil"/>
            </w:tcBorders>
            <w:shd w:val="clear" w:color="auto" w:fill="auto"/>
            <w:noWrap/>
            <w:vAlign w:val="bottom"/>
          </w:tcPr>
          <w:p w14:paraId="72C7E081"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p>
        </w:tc>
      </w:tr>
      <w:tr w:rsidR="00087F4F" w:rsidRPr="00087F4F" w14:paraId="5BB32714" w14:textId="77777777" w:rsidTr="008535F6">
        <w:trPr>
          <w:trHeight w:val="349"/>
          <w:jc w:val="center"/>
        </w:trPr>
        <w:tc>
          <w:tcPr>
            <w:tcW w:w="4875" w:type="dxa"/>
            <w:tcBorders>
              <w:left w:val="nil"/>
              <w:bottom w:val="nil"/>
              <w:right w:val="nil"/>
            </w:tcBorders>
            <w:shd w:val="clear" w:color="auto" w:fill="auto"/>
            <w:noWrap/>
            <w:vAlign w:val="bottom"/>
          </w:tcPr>
          <w:p w14:paraId="125EF77B" w14:textId="77777777" w:rsidR="00087F4F" w:rsidRPr="00087F4F" w:rsidRDefault="00087F4F" w:rsidP="00087F4F">
            <w:pPr>
              <w:spacing w:after="0" w:line="240" w:lineRule="auto"/>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b/>
                <w:bCs/>
                <w:color w:val="000000"/>
                <w:kern w:val="0"/>
                <w14:ligatures w14:val="none"/>
              </w:rPr>
              <w:t>Body Mass Index (BMI) Categories</w:t>
            </w:r>
          </w:p>
        </w:tc>
        <w:tc>
          <w:tcPr>
            <w:tcW w:w="1531" w:type="dxa"/>
            <w:tcBorders>
              <w:left w:val="nil"/>
              <w:bottom w:val="nil"/>
              <w:right w:val="nil"/>
            </w:tcBorders>
            <w:shd w:val="clear" w:color="auto" w:fill="auto"/>
            <w:noWrap/>
            <w:vAlign w:val="center"/>
          </w:tcPr>
          <w:p w14:paraId="6048D810" w14:textId="77777777" w:rsidR="00087F4F" w:rsidRPr="00087F4F" w:rsidRDefault="00087F4F" w:rsidP="00087F4F">
            <w:pPr>
              <w:spacing w:after="0" w:line="240" w:lineRule="auto"/>
              <w:rPr>
                <w:rFonts w:ascii="Times New Roman" w:eastAsia="Calibri" w:hAnsi="Times New Roman" w:cs="Times New Roman"/>
                <w:b/>
                <w:bCs/>
                <w:color w:val="000000"/>
                <w:kern w:val="0"/>
                <w14:ligatures w14:val="none"/>
              </w:rPr>
            </w:pPr>
          </w:p>
        </w:tc>
        <w:tc>
          <w:tcPr>
            <w:tcW w:w="2025" w:type="dxa"/>
            <w:tcBorders>
              <w:left w:val="nil"/>
              <w:bottom w:val="nil"/>
              <w:right w:val="nil"/>
            </w:tcBorders>
            <w:shd w:val="clear" w:color="auto" w:fill="auto"/>
            <w:noWrap/>
            <w:vAlign w:val="center"/>
          </w:tcPr>
          <w:p w14:paraId="6595C85C"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p>
        </w:tc>
        <w:tc>
          <w:tcPr>
            <w:tcW w:w="1531" w:type="dxa"/>
            <w:tcBorders>
              <w:left w:val="nil"/>
              <w:bottom w:val="nil"/>
              <w:right w:val="nil"/>
            </w:tcBorders>
            <w:shd w:val="clear" w:color="auto" w:fill="auto"/>
            <w:noWrap/>
            <w:vAlign w:val="center"/>
          </w:tcPr>
          <w:p w14:paraId="3E345680"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p>
        </w:tc>
        <w:tc>
          <w:tcPr>
            <w:tcW w:w="2379" w:type="dxa"/>
            <w:tcBorders>
              <w:left w:val="nil"/>
              <w:bottom w:val="nil"/>
              <w:right w:val="nil"/>
            </w:tcBorders>
            <w:shd w:val="clear" w:color="auto" w:fill="auto"/>
            <w:noWrap/>
            <w:vAlign w:val="center"/>
          </w:tcPr>
          <w:p w14:paraId="78E7479C"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&lt;0.001</w:t>
            </w:r>
          </w:p>
        </w:tc>
      </w:tr>
      <w:tr w:rsidR="00087F4F" w:rsidRPr="00087F4F" w14:paraId="40FF8693" w14:textId="77777777" w:rsidTr="008535F6">
        <w:trPr>
          <w:trHeight w:val="349"/>
          <w:jc w:val="center"/>
        </w:trPr>
        <w:tc>
          <w:tcPr>
            <w:tcW w:w="4875" w:type="dxa"/>
            <w:tcBorders>
              <w:left w:val="nil"/>
              <w:bottom w:val="nil"/>
              <w:right w:val="nil"/>
            </w:tcBorders>
            <w:shd w:val="clear" w:color="auto" w:fill="auto"/>
            <w:noWrap/>
            <w:vAlign w:val="bottom"/>
          </w:tcPr>
          <w:p w14:paraId="02EF0A67" w14:textId="77777777" w:rsidR="00087F4F" w:rsidRPr="00087F4F" w:rsidRDefault="00087F4F" w:rsidP="00087F4F">
            <w:pPr>
              <w:spacing w:after="0" w:line="240" w:lineRule="auto"/>
              <w:ind w:left="720"/>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color w:val="000000"/>
                <w:kern w:val="0"/>
                <w14:ligatures w14:val="none"/>
              </w:rPr>
              <w:t>Underweight</w:t>
            </w:r>
          </w:p>
        </w:tc>
        <w:tc>
          <w:tcPr>
            <w:tcW w:w="1531" w:type="dxa"/>
            <w:tcBorders>
              <w:left w:val="nil"/>
              <w:bottom w:val="nil"/>
              <w:right w:val="nil"/>
            </w:tcBorders>
            <w:shd w:val="clear" w:color="auto" w:fill="auto"/>
            <w:noWrap/>
            <w:vAlign w:val="center"/>
          </w:tcPr>
          <w:p w14:paraId="276EC69E" w14:textId="77777777" w:rsidR="00087F4F" w:rsidRPr="00087F4F" w:rsidRDefault="00087F4F" w:rsidP="00087F4F">
            <w:pPr>
              <w:spacing w:after="0" w:line="240" w:lineRule="auto"/>
              <w:jc w:val="center"/>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color w:val="000000"/>
                <w:kern w:val="0"/>
                <w14:ligatures w14:val="none"/>
              </w:rPr>
              <w:t>2.161</w:t>
            </w:r>
          </w:p>
        </w:tc>
        <w:tc>
          <w:tcPr>
            <w:tcW w:w="2025" w:type="dxa"/>
            <w:tcBorders>
              <w:left w:val="nil"/>
              <w:bottom w:val="nil"/>
              <w:right w:val="nil"/>
            </w:tcBorders>
            <w:shd w:val="clear" w:color="auto" w:fill="auto"/>
            <w:noWrap/>
            <w:vAlign w:val="center"/>
          </w:tcPr>
          <w:p w14:paraId="5FC673E4"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r w:rsidRPr="00087F4F">
              <w:rPr>
                <w:rFonts w:ascii="Times New Roman" w:eastAsia="Calibri" w:hAnsi="Times New Roman" w:cs="Times New Roman"/>
                <w:color w:val="000000"/>
                <w:kern w:val="0"/>
                <w14:ligatures w14:val="none"/>
              </w:rPr>
              <w:t>1.355, 3.445</w:t>
            </w:r>
          </w:p>
        </w:tc>
        <w:tc>
          <w:tcPr>
            <w:tcW w:w="1531" w:type="dxa"/>
            <w:tcBorders>
              <w:left w:val="nil"/>
              <w:bottom w:val="nil"/>
              <w:right w:val="nil"/>
            </w:tcBorders>
            <w:shd w:val="clear" w:color="auto" w:fill="auto"/>
            <w:noWrap/>
            <w:vAlign w:val="center"/>
          </w:tcPr>
          <w:p w14:paraId="5B58D029"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r w:rsidRPr="00087F4F">
              <w:rPr>
                <w:rFonts w:ascii="Times New Roman" w:eastAsia="Calibri" w:hAnsi="Times New Roman" w:cs="Times New Roman"/>
                <w:color w:val="000000"/>
                <w:kern w:val="0"/>
                <w14:ligatures w14:val="none"/>
              </w:rPr>
              <w:t>0.001</w:t>
            </w:r>
          </w:p>
        </w:tc>
        <w:tc>
          <w:tcPr>
            <w:tcW w:w="2379" w:type="dxa"/>
            <w:tcBorders>
              <w:left w:val="nil"/>
              <w:bottom w:val="nil"/>
              <w:right w:val="nil"/>
            </w:tcBorders>
            <w:shd w:val="clear" w:color="auto" w:fill="auto"/>
            <w:noWrap/>
            <w:vAlign w:val="center"/>
          </w:tcPr>
          <w:p w14:paraId="7936A908"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p>
        </w:tc>
      </w:tr>
      <w:tr w:rsidR="00087F4F" w:rsidRPr="00087F4F" w14:paraId="4E5A41BE" w14:textId="77777777" w:rsidTr="008535F6">
        <w:trPr>
          <w:trHeight w:val="349"/>
          <w:jc w:val="center"/>
        </w:trPr>
        <w:tc>
          <w:tcPr>
            <w:tcW w:w="4875" w:type="dxa"/>
            <w:tcBorders>
              <w:left w:val="nil"/>
              <w:bottom w:val="nil"/>
              <w:right w:val="nil"/>
            </w:tcBorders>
            <w:shd w:val="clear" w:color="auto" w:fill="auto"/>
            <w:noWrap/>
            <w:vAlign w:val="bottom"/>
          </w:tcPr>
          <w:p w14:paraId="25DA9A2F" w14:textId="77777777" w:rsidR="00087F4F" w:rsidRPr="00087F4F" w:rsidRDefault="00087F4F" w:rsidP="00087F4F">
            <w:pPr>
              <w:spacing w:after="0" w:line="240" w:lineRule="auto"/>
              <w:ind w:left="720"/>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color w:val="000000"/>
                <w:kern w:val="0"/>
                <w14:ligatures w14:val="none"/>
              </w:rPr>
              <w:t>Overweight</w:t>
            </w:r>
          </w:p>
        </w:tc>
        <w:tc>
          <w:tcPr>
            <w:tcW w:w="1531" w:type="dxa"/>
            <w:tcBorders>
              <w:left w:val="nil"/>
              <w:bottom w:val="nil"/>
              <w:right w:val="nil"/>
            </w:tcBorders>
            <w:shd w:val="clear" w:color="auto" w:fill="auto"/>
            <w:noWrap/>
            <w:vAlign w:val="center"/>
          </w:tcPr>
          <w:p w14:paraId="4E59BC50" w14:textId="77777777" w:rsidR="00087F4F" w:rsidRPr="00087F4F" w:rsidRDefault="00087F4F" w:rsidP="00087F4F">
            <w:pPr>
              <w:spacing w:after="0" w:line="240" w:lineRule="auto"/>
              <w:jc w:val="center"/>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color w:val="000000"/>
                <w:kern w:val="0"/>
                <w14:ligatures w14:val="none"/>
              </w:rPr>
              <w:t>0.676</w:t>
            </w:r>
          </w:p>
        </w:tc>
        <w:tc>
          <w:tcPr>
            <w:tcW w:w="2025" w:type="dxa"/>
            <w:tcBorders>
              <w:left w:val="nil"/>
              <w:bottom w:val="nil"/>
              <w:right w:val="nil"/>
            </w:tcBorders>
            <w:shd w:val="clear" w:color="auto" w:fill="auto"/>
            <w:noWrap/>
            <w:vAlign w:val="center"/>
          </w:tcPr>
          <w:p w14:paraId="639A2E97"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r w:rsidRPr="00087F4F">
              <w:rPr>
                <w:rFonts w:ascii="Times New Roman" w:eastAsia="Calibri" w:hAnsi="Times New Roman" w:cs="Times New Roman"/>
                <w:color w:val="000000"/>
                <w:kern w:val="0"/>
                <w14:ligatures w14:val="none"/>
              </w:rPr>
              <w:t>0.612, 0.746</w:t>
            </w:r>
          </w:p>
        </w:tc>
        <w:tc>
          <w:tcPr>
            <w:tcW w:w="1531" w:type="dxa"/>
            <w:tcBorders>
              <w:left w:val="nil"/>
              <w:bottom w:val="nil"/>
              <w:right w:val="nil"/>
            </w:tcBorders>
            <w:shd w:val="clear" w:color="auto" w:fill="auto"/>
            <w:noWrap/>
            <w:vAlign w:val="center"/>
          </w:tcPr>
          <w:p w14:paraId="2CFA356B"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r w:rsidRPr="00087F4F">
              <w:rPr>
                <w:rFonts w:ascii="Times New Roman" w:eastAsia="Calibri" w:hAnsi="Times New Roman" w:cs="Times New Roman"/>
                <w:color w:val="000000"/>
                <w:kern w:val="0"/>
                <w14:ligatures w14:val="none"/>
              </w:rPr>
              <w:t>&lt;0.001</w:t>
            </w:r>
          </w:p>
        </w:tc>
        <w:tc>
          <w:tcPr>
            <w:tcW w:w="2379" w:type="dxa"/>
            <w:tcBorders>
              <w:left w:val="nil"/>
              <w:bottom w:val="nil"/>
              <w:right w:val="nil"/>
            </w:tcBorders>
            <w:shd w:val="clear" w:color="auto" w:fill="auto"/>
            <w:noWrap/>
            <w:vAlign w:val="bottom"/>
          </w:tcPr>
          <w:p w14:paraId="15E00631"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p>
        </w:tc>
      </w:tr>
      <w:tr w:rsidR="00087F4F" w:rsidRPr="00087F4F" w14:paraId="51D0C20A" w14:textId="77777777" w:rsidTr="008535F6">
        <w:trPr>
          <w:trHeight w:val="349"/>
          <w:jc w:val="center"/>
        </w:trPr>
        <w:tc>
          <w:tcPr>
            <w:tcW w:w="4875" w:type="dxa"/>
            <w:tcBorders>
              <w:left w:val="nil"/>
              <w:bottom w:val="nil"/>
              <w:right w:val="nil"/>
            </w:tcBorders>
            <w:shd w:val="clear" w:color="auto" w:fill="auto"/>
            <w:noWrap/>
            <w:vAlign w:val="bottom"/>
          </w:tcPr>
          <w:p w14:paraId="7798FBD9" w14:textId="77777777" w:rsidR="00087F4F" w:rsidRPr="00087F4F" w:rsidRDefault="00087F4F" w:rsidP="00087F4F">
            <w:pPr>
              <w:spacing w:after="0" w:line="240" w:lineRule="auto"/>
              <w:ind w:left="720"/>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color w:val="000000"/>
                <w:kern w:val="0"/>
                <w14:ligatures w14:val="none"/>
              </w:rPr>
              <w:t>Obese &amp; Extremely Obese</w:t>
            </w:r>
          </w:p>
        </w:tc>
        <w:tc>
          <w:tcPr>
            <w:tcW w:w="1531" w:type="dxa"/>
            <w:tcBorders>
              <w:left w:val="nil"/>
              <w:bottom w:val="nil"/>
              <w:right w:val="nil"/>
            </w:tcBorders>
            <w:shd w:val="clear" w:color="auto" w:fill="auto"/>
            <w:noWrap/>
            <w:vAlign w:val="center"/>
          </w:tcPr>
          <w:p w14:paraId="4302AE44" w14:textId="77777777" w:rsidR="00087F4F" w:rsidRPr="00087F4F" w:rsidRDefault="00087F4F" w:rsidP="00087F4F">
            <w:pPr>
              <w:spacing w:after="0" w:line="240" w:lineRule="auto"/>
              <w:jc w:val="center"/>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color w:val="000000"/>
                <w:kern w:val="0"/>
                <w14:ligatures w14:val="none"/>
              </w:rPr>
              <w:t>0.513</w:t>
            </w:r>
          </w:p>
        </w:tc>
        <w:tc>
          <w:tcPr>
            <w:tcW w:w="2025" w:type="dxa"/>
            <w:tcBorders>
              <w:left w:val="nil"/>
              <w:bottom w:val="nil"/>
              <w:right w:val="nil"/>
            </w:tcBorders>
            <w:shd w:val="clear" w:color="auto" w:fill="auto"/>
            <w:noWrap/>
            <w:vAlign w:val="center"/>
          </w:tcPr>
          <w:p w14:paraId="58E4390C"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r w:rsidRPr="00087F4F">
              <w:rPr>
                <w:rFonts w:ascii="Times New Roman" w:eastAsia="Calibri" w:hAnsi="Times New Roman" w:cs="Times New Roman"/>
                <w:color w:val="000000"/>
                <w:kern w:val="0"/>
                <w14:ligatures w14:val="none"/>
              </w:rPr>
              <w:t>0.463, 0.569</w:t>
            </w:r>
          </w:p>
        </w:tc>
        <w:tc>
          <w:tcPr>
            <w:tcW w:w="1531" w:type="dxa"/>
            <w:tcBorders>
              <w:left w:val="nil"/>
              <w:bottom w:val="nil"/>
              <w:right w:val="nil"/>
            </w:tcBorders>
            <w:shd w:val="clear" w:color="auto" w:fill="auto"/>
            <w:noWrap/>
            <w:vAlign w:val="center"/>
          </w:tcPr>
          <w:p w14:paraId="466D731A"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r w:rsidRPr="00087F4F">
              <w:rPr>
                <w:rFonts w:ascii="Times New Roman" w:eastAsia="Calibri" w:hAnsi="Times New Roman" w:cs="Times New Roman"/>
                <w:color w:val="000000"/>
                <w:kern w:val="0"/>
                <w14:ligatures w14:val="none"/>
              </w:rPr>
              <w:t>&lt;0.001</w:t>
            </w:r>
          </w:p>
        </w:tc>
        <w:tc>
          <w:tcPr>
            <w:tcW w:w="2379" w:type="dxa"/>
            <w:tcBorders>
              <w:left w:val="nil"/>
              <w:bottom w:val="nil"/>
              <w:right w:val="nil"/>
            </w:tcBorders>
            <w:shd w:val="clear" w:color="auto" w:fill="auto"/>
            <w:noWrap/>
            <w:vAlign w:val="bottom"/>
          </w:tcPr>
          <w:p w14:paraId="6FE57BF1"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p>
        </w:tc>
      </w:tr>
      <w:tr w:rsidR="00087F4F" w:rsidRPr="00087F4F" w14:paraId="4AF4D17F" w14:textId="77777777" w:rsidTr="008535F6">
        <w:trPr>
          <w:trHeight w:val="349"/>
          <w:jc w:val="center"/>
        </w:trPr>
        <w:tc>
          <w:tcPr>
            <w:tcW w:w="4875" w:type="dxa"/>
            <w:tcBorders>
              <w:left w:val="nil"/>
              <w:bottom w:val="nil"/>
              <w:right w:val="nil"/>
            </w:tcBorders>
            <w:shd w:val="clear" w:color="auto" w:fill="auto"/>
            <w:noWrap/>
            <w:vAlign w:val="bottom"/>
          </w:tcPr>
          <w:p w14:paraId="50B0CC47" w14:textId="77777777" w:rsidR="00087F4F" w:rsidRPr="00087F4F" w:rsidRDefault="00087F4F" w:rsidP="00087F4F">
            <w:pPr>
              <w:spacing w:after="0" w:line="240" w:lineRule="auto"/>
              <w:ind w:left="720"/>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Normal</w:t>
            </w:r>
          </w:p>
        </w:tc>
        <w:tc>
          <w:tcPr>
            <w:tcW w:w="5087" w:type="dxa"/>
            <w:gridSpan w:val="3"/>
            <w:tcBorders>
              <w:left w:val="nil"/>
              <w:bottom w:val="nil"/>
              <w:right w:val="nil"/>
            </w:tcBorders>
            <w:shd w:val="clear" w:color="auto" w:fill="auto"/>
            <w:noWrap/>
            <w:vAlign w:val="center"/>
          </w:tcPr>
          <w:p w14:paraId="2999A70C"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i/>
                <w:iCs/>
                <w:color w:val="000000"/>
                <w:kern w:val="0"/>
                <w14:ligatures w14:val="none"/>
              </w:rPr>
              <w:t>Reference</w:t>
            </w:r>
          </w:p>
        </w:tc>
        <w:tc>
          <w:tcPr>
            <w:tcW w:w="2379" w:type="dxa"/>
            <w:tcBorders>
              <w:left w:val="nil"/>
              <w:bottom w:val="nil"/>
              <w:right w:val="nil"/>
            </w:tcBorders>
            <w:shd w:val="clear" w:color="auto" w:fill="auto"/>
            <w:noWrap/>
            <w:vAlign w:val="bottom"/>
          </w:tcPr>
          <w:p w14:paraId="06AA3661"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p>
        </w:tc>
      </w:tr>
      <w:tr w:rsidR="00087F4F" w:rsidRPr="00087F4F" w14:paraId="418BC11F" w14:textId="77777777" w:rsidTr="008535F6">
        <w:trPr>
          <w:trHeight w:val="349"/>
          <w:jc w:val="center"/>
        </w:trPr>
        <w:tc>
          <w:tcPr>
            <w:tcW w:w="4875" w:type="dxa"/>
            <w:tcBorders>
              <w:left w:val="nil"/>
              <w:bottom w:val="nil"/>
              <w:right w:val="nil"/>
            </w:tcBorders>
            <w:shd w:val="clear" w:color="auto" w:fill="auto"/>
            <w:noWrap/>
            <w:vAlign w:val="bottom"/>
            <w:hideMark/>
          </w:tcPr>
          <w:p w14:paraId="2D15E010" w14:textId="77777777" w:rsidR="00087F4F" w:rsidRPr="00087F4F" w:rsidRDefault="00087F4F" w:rsidP="00087F4F">
            <w:pPr>
              <w:spacing w:after="0" w:line="240" w:lineRule="auto"/>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b/>
                <w:bCs/>
                <w:color w:val="000000"/>
                <w:kern w:val="0"/>
                <w14:ligatures w14:val="none"/>
              </w:rPr>
              <w:t>Smoking Status</w:t>
            </w:r>
          </w:p>
        </w:tc>
        <w:tc>
          <w:tcPr>
            <w:tcW w:w="1531" w:type="dxa"/>
            <w:tcBorders>
              <w:left w:val="nil"/>
              <w:bottom w:val="nil"/>
              <w:right w:val="nil"/>
            </w:tcBorders>
            <w:shd w:val="clear" w:color="auto" w:fill="auto"/>
            <w:noWrap/>
            <w:vAlign w:val="center"/>
            <w:hideMark/>
          </w:tcPr>
          <w:p w14:paraId="3B418102" w14:textId="77777777" w:rsidR="00087F4F" w:rsidRPr="00087F4F" w:rsidRDefault="00087F4F" w:rsidP="00087F4F">
            <w:pPr>
              <w:spacing w:after="0" w:line="240" w:lineRule="auto"/>
              <w:rPr>
                <w:rFonts w:ascii="Times New Roman" w:eastAsia="Calibri" w:hAnsi="Times New Roman" w:cs="Times New Roman"/>
                <w:b/>
                <w:bCs/>
                <w:color w:val="000000"/>
                <w:kern w:val="0"/>
                <w14:ligatures w14:val="none"/>
              </w:rPr>
            </w:pPr>
          </w:p>
        </w:tc>
        <w:tc>
          <w:tcPr>
            <w:tcW w:w="2025" w:type="dxa"/>
            <w:tcBorders>
              <w:left w:val="nil"/>
              <w:bottom w:val="nil"/>
              <w:right w:val="nil"/>
            </w:tcBorders>
            <w:shd w:val="clear" w:color="auto" w:fill="auto"/>
            <w:noWrap/>
            <w:vAlign w:val="center"/>
            <w:hideMark/>
          </w:tcPr>
          <w:p w14:paraId="5AFEF03C"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p>
        </w:tc>
        <w:tc>
          <w:tcPr>
            <w:tcW w:w="1531" w:type="dxa"/>
            <w:tcBorders>
              <w:left w:val="nil"/>
              <w:bottom w:val="nil"/>
              <w:right w:val="nil"/>
            </w:tcBorders>
            <w:shd w:val="clear" w:color="auto" w:fill="auto"/>
            <w:noWrap/>
            <w:vAlign w:val="center"/>
            <w:hideMark/>
          </w:tcPr>
          <w:p w14:paraId="015304B8"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p>
        </w:tc>
        <w:tc>
          <w:tcPr>
            <w:tcW w:w="2379" w:type="dxa"/>
            <w:tcBorders>
              <w:left w:val="nil"/>
              <w:bottom w:val="nil"/>
              <w:right w:val="nil"/>
            </w:tcBorders>
            <w:shd w:val="clear" w:color="auto" w:fill="auto"/>
            <w:noWrap/>
            <w:vAlign w:val="center"/>
            <w:hideMark/>
          </w:tcPr>
          <w:p w14:paraId="68E8AEEE"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&lt;0.001</w:t>
            </w:r>
          </w:p>
        </w:tc>
      </w:tr>
      <w:tr w:rsidR="00087F4F" w:rsidRPr="00087F4F" w14:paraId="45561482" w14:textId="77777777" w:rsidTr="008535F6">
        <w:trPr>
          <w:trHeight w:val="284"/>
          <w:jc w:val="center"/>
        </w:trPr>
        <w:tc>
          <w:tcPr>
            <w:tcW w:w="4875" w:type="dxa"/>
            <w:tcBorders>
              <w:top w:val="nil"/>
              <w:left w:val="nil"/>
              <w:bottom w:val="nil"/>
              <w:right w:val="nil"/>
            </w:tcBorders>
            <w:shd w:val="clear" w:color="auto" w:fill="auto"/>
            <w:noWrap/>
            <w:vAlign w:val="bottom"/>
            <w:hideMark/>
          </w:tcPr>
          <w:p w14:paraId="297C8D57" w14:textId="77777777" w:rsidR="00087F4F" w:rsidRPr="00087F4F" w:rsidRDefault="00087F4F" w:rsidP="00087F4F">
            <w:pPr>
              <w:spacing w:after="0" w:line="240" w:lineRule="auto"/>
              <w:ind w:left="720"/>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Ever Smoker</w:t>
            </w:r>
          </w:p>
        </w:tc>
        <w:tc>
          <w:tcPr>
            <w:tcW w:w="1531" w:type="dxa"/>
            <w:tcBorders>
              <w:top w:val="nil"/>
              <w:left w:val="nil"/>
              <w:bottom w:val="nil"/>
              <w:right w:val="nil"/>
            </w:tcBorders>
            <w:shd w:val="clear" w:color="auto" w:fill="auto"/>
            <w:noWrap/>
            <w:vAlign w:val="center"/>
            <w:hideMark/>
          </w:tcPr>
          <w:p w14:paraId="2A471C99"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2.029</w:t>
            </w:r>
          </w:p>
        </w:tc>
        <w:tc>
          <w:tcPr>
            <w:tcW w:w="2025" w:type="dxa"/>
            <w:tcBorders>
              <w:top w:val="nil"/>
              <w:left w:val="nil"/>
              <w:bottom w:val="nil"/>
              <w:right w:val="nil"/>
            </w:tcBorders>
            <w:shd w:val="clear" w:color="auto" w:fill="auto"/>
            <w:noWrap/>
            <w:vAlign w:val="center"/>
            <w:hideMark/>
          </w:tcPr>
          <w:p w14:paraId="0520D2D5"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1.877, 2.193</w:t>
            </w:r>
          </w:p>
        </w:tc>
        <w:tc>
          <w:tcPr>
            <w:tcW w:w="1531" w:type="dxa"/>
            <w:tcBorders>
              <w:top w:val="nil"/>
              <w:left w:val="nil"/>
              <w:bottom w:val="nil"/>
              <w:right w:val="nil"/>
            </w:tcBorders>
            <w:shd w:val="clear" w:color="auto" w:fill="auto"/>
            <w:noWrap/>
            <w:vAlign w:val="center"/>
            <w:hideMark/>
          </w:tcPr>
          <w:p w14:paraId="5744E029"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&lt;0.001</w:t>
            </w:r>
          </w:p>
        </w:tc>
        <w:tc>
          <w:tcPr>
            <w:tcW w:w="2379" w:type="dxa"/>
            <w:tcBorders>
              <w:top w:val="nil"/>
              <w:left w:val="nil"/>
              <w:bottom w:val="nil"/>
              <w:right w:val="nil"/>
            </w:tcBorders>
            <w:shd w:val="clear" w:color="auto" w:fill="auto"/>
            <w:noWrap/>
            <w:vAlign w:val="bottom"/>
            <w:hideMark/>
          </w:tcPr>
          <w:p w14:paraId="08587A3C"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p>
        </w:tc>
      </w:tr>
      <w:tr w:rsidR="00087F4F" w:rsidRPr="00087F4F" w14:paraId="671FA3B7" w14:textId="77777777" w:rsidTr="008535F6">
        <w:trPr>
          <w:trHeight w:val="284"/>
          <w:jc w:val="center"/>
        </w:trPr>
        <w:tc>
          <w:tcPr>
            <w:tcW w:w="4875" w:type="dxa"/>
            <w:tcBorders>
              <w:top w:val="nil"/>
              <w:left w:val="nil"/>
              <w:bottom w:val="nil"/>
              <w:right w:val="nil"/>
            </w:tcBorders>
            <w:shd w:val="clear" w:color="auto" w:fill="auto"/>
            <w:noWrap/>
            <w:vAlign w:val="bottom"/>
          </w:tcPr>
          <w:p w14:paraId="125D885C" w14:textId="77777777" w:rsidR="00087F4F" w:rsidRPr="00087F4F" w:rsidRDefault="00087F4F" w:rsidP="00087F4F">
            <w:pPr>
              <w:spacing w:after="0" w:line="240" w:lineRule="auto"/>
              <w:ind w:left="720"/>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Non-Smoker</w:t>
            </w:r>
          </w:p>
        </w:tc>
        <w:tc>
          <w:tcPr>
            <w:tcW w:w="5087" w:type="dxa"/>
            <w:gridSpan w:val="3"/>
            <w:tcBorders>
              <w:top w:val="nil"/>
              <w:left w:val="nil"/>
              <w:bottom w:val="nil"/>
              <w:right w:val="nil"/>
            </w:tcBorders>
            <w:shd w:val="clear" w:color="auto" w:fill="auto"/>
            <w:noWrap/>
            <w:vAlign w:val="center"/>
          </w:tcPr>
          <w:p w14:paraId="2944EFB0"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i/>
                <w:iCs/>
                <w:color w:val="000000"/>
                <w:kern w:val="0"/>
                <w14:ligatures w14:val="none"/>
              </w:rPr>
              <w:t>Reference</w:t>
            </w:r>
          </w:p>
        </w:tc>
        <w:tc>
          <w:tcPr>
            <w:tcW w:w="2379" w:type="dxa"/>
            <w:tcBorders>
              <w:top w:val="nil"/>
              <w:left w:val="nil"/>
              <w:bottom w:val="nil"/>
              <w:right w:val="nil"/>
            </w:tcBorders>
            <w:shd w:val="clear" w:color="auto" w:fill="auto"/>
            <w:noWrap/>
            <w:vAlign w:val="bottom"/>
          </w:tcPr>
          <w:p w14:paraId="54AC0A9A"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p>
        </w:tc>
      </w:tr>
      <w:tr w:rsidR="00087F4F" w:rsidRPr="00087F4F" w14:paraId="25B80BF6" w14:textId="77777777" w:rsidTr="008535F6">
        <w:trPr>
          <w:trHeight w:val="294"/>
          <w:jc w:val="center"/>
        </w:trPr>
        <w:tc>
          <w:tcPr>
            <w:tcW w:w="4875" w:type="dxa"/>
            <w:tcBorders>
              <w:top w:val="nil"/>
              <w:left w:val="nil"/>
              <w:bottom w:val="nil"/>
              <w:right w:val="nil"/>
            </w:tcBorders>
            <w:shd w:val="clear" w:color="auto" w:fill="auto"/>
            <w:noWrap/>
            <w:vAlign w:val="bottom"/>
          </w:tcPr>
          <w:p w14:paraId="43D8814A" w14:textId="77777777" w:rsidR="00087F4F" w:rsidRPr="00087F4F" w:rsidRDefault="00087F4F" w:rsidP="00087F4F">
            <w:pPr>
              <w:spacing w:after="0" w:line="240" w:lineRule="auto"/>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b/>
                <w:bCs/>
                <w:color w:val="000000"/>
                <w:kern w:val="0"/>
                <w14:ligatures w14:val="none"/>
              </w:rPr>
              <w:t>History of Asthma</w:t>
            </w:r>
          </w:p>
        </w:tc>
        <w:tc>
          <w:tcPr>
            <w:tcW w:w="1531" w:type="dxa"/>
            <w:tcBorders>
              <w:top w:val="nil"/>
              <w:left w:val="nil"/>
              <w:bottom w:val="nil"/>
              <w:right w:val="nil"/>
            </w:tcBorders>
            <w:shd w:val="clear" w:color="auto" w:fill="auto"/>
            <w:noWrap/>
            <w:vAlign w:val="center"/>
          </w:tcPr>
          <w:p w14:paraId="63E4DD9B" w14:textId="77777777" w:rsidR="00087F4F" w:rsidRPr="00087F4F" w:rsidRDefault="00087F4F" w:rsidP="00087F4F">
            <w:pPr>
              <w:spacing w:after="0" w:line="240" w:lineRule="auto"/>
              <w:rPr>
                <w:rFonts w:ascii="Times New Roman" w:eastAsia="Calibri" w:hAnsi="Times New Roman" w:cs="Times New Roman"/>
                <w:b/>
                <w:bCs/>
                <w:color w:val="000000"/>
                <w:kern w:val="0"/>
                <w14:ligatures w14:val="none"/>
              </w:rPr>
            </w:pPr>
          </w:p>
        </w:tc>
        <w:tc>
          <w:tcPr>
            <w:tcW w:w="2025" w:type="dxa"/>
            <w:tcBorders>
              <w:top w:val="nil"/>
              <w:left w:val="nil"/>
              <w:bottom w:val="nil"/>
              <w:right w:val="nil"/>
            </w:tcBorders>
            <w:shd w:val="clear" w:color="auto" w:fill="auto"/>
            <w:noWrap/>
            <w:vAlign w:val="center"/>
          </w:tcPr>
          <w:p w14:paraId="5E166876"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p>
        </w:tc>
        <w:tc>
          <w:tcPr>
            <w:tcW w:w="1531" w:type="dxa"/>
            <w:tcBorders>
              <w:top w:val="nil"/>
              <w:left w:val="nil"/>
              <w:bottom w:val="nil"/>
              <w:right w:val="nil"/>
            </w:tcBorders>
            <w:shd w:val="clear" w:color="auto" w:fill="auto"/>
            <w:noWrap/>
            <w:vAlign w:val="center"/>
          </w:tcPr>
          <w:p w14:paraId="1CB258F3"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p>
        </w:tc>
        <w:tc>
          <w:tcPr>
            <w:tcW w:w="2379" w:type="dxa"/>
            <w:tcBorders>
              <w:top w:val="nil"/>
              <w:left w:val="nil"/>
              <w:bottom w:val="nil"/>
              <w:right w:val="nil"/>
            </w:tcBorders>
            <w:shd w:val="clear" w:color="auto" w:fill="auto"/>
            <w:noWrap/>
            <w:vAlign w:val="center"/>
          </w:tcPr>
          <w:p w14:paraId="010B3334"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&lt;0.001</w:t>
            </w:r>
          </w:p>
        </w:tc>
      </w:tr>
      <w:tr w:rsidR="00087F4F" w:rsidRPr="00087F4F" w14:paraId="59928F18" w14:textId="77777777" w:rsidTr="008535F6">
        <w:trPr>
          <w:trHeight w:val="294"/>
          <w:jc w:val="center"/>
        </w:trPr>
        <w:tc>
          <w:tcPr>
            <w:tcW w:w="4875" w:type="dxa"/>
            <w:tcBorders>
              <w:top w:val="nil"/>
              <w:left w:val="nil"/>
              <w:bottom w:val="nil"/>
              <w:right w:val="nil"/>
            </w:tcBorders>
            <w:shd w:val="clear" w:color="auto" w:fill="auto"/>
            <w:noWrap/>
            <w:vAlign w:val="bottom"/>
          </w:tcPr>
          <w:p w14:paraId="20AFAD71" w14:textId="77777777" w:rsidR="00087F4F" w:rsidRPr="00087F4F" w:rsidRDefault="00087F4F" w:rsidP="00087F4F">
            <w:pPr>
              <w:spacing w:after="0" w:line="240" w:lineRule="auto"/>
              <w:ind w:left="720"/>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color w:val="000000"/>
                <w:kern w:val="0"/>
                <w14:ligatures w14:val="none"/>
              </w:rPr>
              <w:t>Yes</w:t>
            </w:r>
          </w:p>
        </w:tc>
        <w:tc>
          <w:tcPr>
            <w:tcW w:w="1531" w:type="dxa"/>
            <w:tcBorders>
              <w:top w:val="nil"/>
              <w:left w:val="nil"/>
              <w:bottom w:val="nil"/>
              <w:right w:val="nil"/>
            </w:tcBorders>
            <w:shd w:val="clear" w:color="auto" w:fill="auto"/>
            <w:noWrap/>
            <w:vAlign w:val="center"/>
          </w:tcPr>
          <w:p w14:paraId="0E9D9B90" w14:textId="77777777" w:rsidR="00087F4F" w:rsidRPr="00087F4F" w:rsidRDefault="00087F4F" w:rsidP="00087F4F">
            <w:pPr>
              <w:spacing w:after="0" w:line="240" w:lineRule="auto"/>
              <w:jc w:val="center"/>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color w:val="000000"/>
                <w:kern w:val="0"/>
                <w14:ligatures w14:val="none"/>
              </w:rPr>
              <w:t>2.259</w:t>
            </w:r>
          </w:p>
        </w:tc>
        <w:tc>
          <w:tcPr>
            <w:tcW w:w="2025" w:type="dxa"/>
            <w:tcBorders>
              <w:top w:val="nil"/>
              <w:left w:val="nil"/>
              <w:bottom w:val="nil"/>
              <w:right w:val="nil"/>
            </w:tcBorders>
            <w:shd w:val="clear" w:color="auto" w:fill="auto"/>
            <w:noWrap/>
            <w:vAlign w:val="center"/>
          </w:tcPr>
          <w:p w14:paraId="4F65946D"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r w:rsidRPr="00087F4F">
              <w:rPr>
                <w:rFonts w:ascii="Times New Roman" w:eastAsia="Calibri" w:hAnsi="Times New Roman" w:cs="Times New Roman"/>
                <w:color w:val="000000"/>
                <w:kern w:val="0"/>
                <w14:ligatures w14:val="none"/>
              </w:rPr>
              <w:t>2.035, 2.508</w:t>
            </w:r>
          </w:p>
        </w:tc>
        <w:tc>
          <w:tcPr>
            <w:tcW w:w="1531" w:type="dxa"/>
            <w:tcBorders>
              <w:top w:val="nil"/>
              <w:left w:val="nil"/>
              <w:bottom w:val="nil"/>
              <w:right w:val="nil"/>
            </w:tcBorders>
            <w:shd w:val="clear" w:color="auto" w:fill="auto"/>
            <w:noWrap/>
            <w:vAlign w:val="center"/>
          </w:tcPr>
          <w:p w14:paraId="06FC0922"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r w:rsidRPr="00087F4F">
              <w:rPr>
                <w:rFonts w:ascii="Times New Roman" w:eastAsia="Calibri" w:hAnsi="Times New Roman" w:cs="Times New Roman"/>
                <w:color w:val="000000"/>
                <w:kern w:val="0"/>
                <w14:ligatures w14:val="none"/>
              </w:rPr>
              <w:t>&lt;0.001</w:t>
            </w:r>
          </w:p>
        </w:tc>
        <w:tc>
          <w:tcPr>
            <w:tcW w:w="2379" w:type="dxa"/>
            <w:tcBorders>
              <w:top w:val="nil"/>
              <w:left w:val="nil"/>
              <w:bottom w:val="nil"/>
              <w:right w:val="nil"/>
            </w:tcBorders>
            <w:shd w:val="clear" w:color="auto" w:fill="auto"/>
            <w:noWrap/>
            <w:vAlign w:val="bottom"/>
          </w:tcPr>
          <w:p w14:paraId="0DF70BF6"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p>
        </w:tc>
      </w:tr>
      <w:tr w:rsidR="00087F4F" w:rsidRPr="00087F4F" w14:paraId="1D933C5B" w14:textId="77777777" w:rsidTr="008535F6">
        <w:trPr>
          <w:trHeight w:val="294"/>
          <w:jc w:val="center"/>
        </w:trPr>
        <w:tc>
          <w:tcPr>
            <w:tcW w:w="4875" w:type="dxa"/>
            <w:tcBorders>
              <w:top w:val="nil"/>
              <w:left w:val="nil"/>
              <w:bottom w:val="nil"/>
              <w:right w:val="nil"/>
            </w:tcBorders>
            <w:shd w:val="clear" w:color="auto" w:fill="auto"/>
            <w:noWrap/>
            <w:vAlign w:val="bottom"/>
          </w:tcPr>
          <w:p w14:paraId="6688646F" w14:textId="77777777" w:rsidR="00087F4F" w:rsidRPr="00087F4F" w:rsidRDefault="00087F4F" w:rsidP="00087F4F">
            <w:pPr>
              <w:spacing w:after="0" w:line="240" w:lineRule="auto"/>
              <w:ind w:left="720"/>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No</w:t>
            </w:r>
          </w:p>
        </w:tc>
        <w:tc>
          <w:tcPr>
            <w:tcW w:w="5087" w:type="dxa"/>
            <w:gridSpan w:val="3"/>
            <w:tcBorders>
              <w:top w:val="nil"/>
              <w:left w:val="nil"/>
              <w:bottom w:val="nil"/>
              <w:right w:val="nil"/>
            </w:tcBorders>
            <w:shd w:val="clear" w:color="auto" w:fill="auto"/>
            <w:noWrap/>
            <w:vAlign w:val="center"/>
          </w:tcPr>
          <w:p w14:paraId="1981D290"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i/>
                <w:iCs/>
                <w:color w:val="000000"/>
                <w:kern w:val="0"/>
                <w14:ligatures w14:val="none"/>
              </w:rPr>
              <w:t>Reference</w:t>
            </w:r>
          </w:p>
        </w:tc>
        <w:tc>
          <w:tcPr>
            <w:tcW w:w="2379" w:type="dxa"/>
            <w:tcBorders>
              <w:top w:val="nil"/>
              <w:left w:val="nil"/>
              <w:bottom w:val="nil"/>
              <w:right w:val="nil"/>
            </w:tcBorders>
            <w:shd w:val="clear" w:color="auto" w:fill="auto"/>
            <w:noWrap/>
            <w:vAlign w:val="bottom"/>
          </w:tcPr>
          <w:p w14:paraId="2477A8CB"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p>
        </w:tc>
      </w:tr>
      <w:tr w:rsidR="00087F4F" w:rsidRPr="00087F4F" w14:paraId="0088EF60" w14:textId="77777777" w:rsidTr="008535F6">
        <w:trPr>
          <w:trHeight w:val="294"/>
          <w:jc w:val="center"/>
        </w:trPr>
        <w:tc>
          <w:tcPr>
            <w:tcW w:w="4875" w:type="dxa"/>
            <w:tcBorders>
              <w:top w:val="nil"/>
              <w:left w:val="nil"/>
              <w:bottom w:val="nil"/>
              <w:right w:val="nil"/>
            </w:tcBorders>
            <w:shd w:val="clear" w:color="auto" w:fill="auto"/>
            <w:noWrap/>
            <w:vAlign w:val="bottom"/>
            <w:hideMark/>
          </w:tcPr>
          <w:p w14:paraId="347F22E9" w14:textId="77777777" w:rsidR="00087F4F" w:rsidRPr="00087F4F" w:rsidRDefault="00087F4F" w:rsidP="00087F4F">
            <w:pPr>
              <w:spacing w:after="0" w:line="240" w:lineRule="auto"/>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b/>
                <w:bCs/>
                <w:color w:val="000000"/>
                <w:kern w:val="0"/>
                <w14:ligatures w14:val="none"/>
              </w:rPr>
              <w:t>Department of Energy Site Category</w:t>
            </w:r>
          </w:p>
        </w:tc>
        <w:tc>
          <w:tcPr>
            <w:tcW w:w="1531" w:type="dxa"/>
            <w:tcBorders>
              <w:top w:val="nil"/>
              <w:left w:val="nil"/>
              <w:bottom w:val="nil"/>
              <w:right w:val="nil"/>
            </w:tcBorders>
            <w:shd w:val="clear" w:color="auto" w:fill="auto"/>
            <w:noWrap/>
            <w:vAlign w:val="center"/>
            <w:hideMark/>
          </w:tcPr>
          <w:p w14:paraId="0C6B12CC" w14:textId="77777777" w:rsidR="00087F4F" w:rsidRPr="00087F4F" w:rsidRDefault="00087F4F" w:rsidP="00087F4F">
            <w:pPr>
              <w:spacing w:after="0" w:line="240" w:lineRule="auto"/>
              <w:rPr>
                <w:rFonts w:ascii="Times New Roman" w:eastAsia="Calibri" w:hAnsi="Times New Roman" w:cs="Times New Roman"/>
                <w:b/>
                <w:bCs/>
                <w:color w:val="000000"/>
                <w:kern w:val="0"/>
                <w14:ligatures w14:val="none"/>
              </w:rPr>
            </w:pPr>
          </w:p>
        </w:tc>
        <w:tc>
          <w:tcPr>
            <w:tcW w:w="2025" w:type="dxa"/>
            <w:tcBorders>
              <w:top w:val="nil"/>
              <w:left w:val="nil"/>
              <w:bottom w:val="nil"/>
              <w:right w:val="nil"/>
            </w:tcBorders>
            <w:shd w:val="clear" w:color="auto" w:fill="auto"/>
            <w:noWrap/>
            <w:vAlign w:val="center"/>
            <w:hideMark/>
          </w:tcPr>
          <w:p w14:paraId="02BCE0E6"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p>
        </w:tc>
        <w:tc>
          <w:tcPr>
            <w:tcW w:w="1531" w:type="dxa"/>
            <w:tcBorders>
              <w:top w:val="nil"/>
              <w:left w:val="nil"/>
              <w:bottom w:val="nil"/>
              <w:right w:val="nil"/>
            </w:tcBorders>
            <w:shd w:val="clear" w:color="auto" w:fill="auto"/>
            <w:noWrap/>
            <w:vAlign w:val="bottom"/>
            <w:hideMark/>
          </w:tcPr>
          <w:p w14:paraId="230C814B"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p>
        </w:tc>
        <w:tc>
          <w:tcPr>
            <w:tcW w:w="2379" w:type="dxa"/>
            <w:tcBorders>
              <w:top w:val="nil"/>
              <w:left w:val="nil"/>
              <w:bottom w:val="nil"/>
              <w:right w:val="nil"/>
            </w:tcBorders>
            <w:shd w:val="clear" w:color="auto" w:fill="auto"/>
            <w:noWrap/>
            <w:vAlign w:val="center"/>
            <w:hideMark/>
          </w:tcPr>
          <w:p w14:paraId="31C8D465"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0.003</w:t>
            </w:r>
          </w:p>
        </w:tc>
      </w:tr>
      <w:tr w:rsidR="00087F4F" w:rsidRPr="00087F4F" w14:paraId="081FFE3B" w14:textId="77777777" w:rsidTr="008535F6">
        <w:trPr>
          <w:trHeight w:val="294"/>
          <w:jc w:val="center"/>
        </w:trPr>
        <w:tc>
          <w:tcPr>
            <w:tcW w:w="4875" w:type="dxa"/>
            <w:tcBorders>
              <w:top w:val="nil"/>
              <w:left w:val="nil"/>
              <w:bottom w:val="nil"/>
              <w:right w:val="nil"/>
            </w:tcBorders>
            <w:shd w:val="clear" w:color="auto" w:fill="auto"/>
            <w:noWrap/>
            <w:vAlign w:val="bottom"/>
            <w:hideMark/>
          </w:tcPr>
          <w:p w14:paraId="2053F0B2" w14:textId="77777777" w:rsidR="00087F4F" w:rsidRPr="00087F4F" w:rsidRDefault="00087F4F" w:rsidP="00087F4F">
            <w:pPr>
              <w:spacing w:after="0" w:line="240" w:lineRule="auto"/>
              <w:ind w:left="720"/>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Uranium Processing Facilities</w:t>
            </w:r>
          </w:p>
        </w:tc>
        <w:tc>
          <w:tcPr>
            <w:tcW w:w="1531" w:type="dxa"/>
            <w:tcBorders>
              <w:top w:val="nil"/>
              <w:left w:val="nil"/>
              <w:bottom w:val="nil"/>
              <w:right w:val="nil"/>
            </w:tcBorders>
            <w:shd w:val="clear" w:color="auto" w:fill="auto"/>
            <w:noWrap/>
            <w:vAlign w:val="center"/>
            <w:hideMark/>
          </w:tcPr>
          <w:p w14:paraId="4F45A6B2"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1.255</w:t>
            </w:r>
          </w:p>
        </w:tc>
        <w:tc>
          <w:tcPr>
            <w:tcW w:w="2025" w:type="dxa"/>
            <w:tcBorders>
              <w:top w:val="nil"/>
              <w:left w:val="nil"/>
              <w:bottom w:val="nil"/>
              <w:right w:val="nil"/>
            </w:tcBorders>
            <w:shd w:val="clear" w:color="auto" w:fill="auto"/>
            <w:noWrap/>
            <w:vAlign w:val="center"/>
            <w:hideMark/>
          </w:tcPr>
          <w:p w14:paraId="3E18CB53"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1.057, 1.491</w:t>
            </w:r>
          </w:p>
        </w:tc>
        <w:tc>
          <w:tcPr>
            <w:tcW w:w="1531" w:type="dxa"/>
            <w:tcBorders>
              <w:top w:val="nil"/>
              <w:left w:val="nil"/>
              <w:bottom w:val="nil"/>
              <w:right w:val="nil"/>
            </w:tcBorders>
            <w:shd w:val="clear" w:color="auto" w:fill="auto"/>
            <w:noWrap/>
            <w:vAlign w:val="center"/>
            <w:hideMark/>
          </w:tcPr>
          <w:p w14:paraId="583D0A6A"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0.009</w:t>
            </w:r>
          </w:p>
        </w:tc>
        <w:tc>
          <w:tcPr>
            <w:tcW w:w="2379" w:type="dxa"/>
            <w:tcBorders>
              <w:top w:val="nil"/>
              <w:left w:val="nil"/>
              <w:bottom w:val="nil"/>
              <w:right w:val="nil"/>
            </w:tcBorders>
            <w:shd w:val="clear" w:color="auto" w:fill="auto"/>
            <w:noWrap/>
            <w:vAlign w:val="bottom"/>
            <w:hideMark/>
          </w:tcPr>
          <w:p w14:paraId="38C5677D"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p>
        </w:tc>
      </w:tr>
      <w:tr w:rsidR="00087F4F" w:rsidRPr="00087F4F" w14:paraId="1D36CA54" w14:textId="77777777" w:rsidTr="008535F6">
        <w:trPr>
          <w:trHeight w:val="294"/>
          <w:jc w:val="center"/>
        </w:trPr>
        <w:tc>
          <w:tcPr>
            <w:tcW w:w="4875" w:type="dxa"/>
            <w:tcBorders>
              <w:top w:val="nil"/>
              <w:left w:val="nil"/>
              <w:bottom w:val="nil"/>
              <w:right w:val="nil"/>
            </w:tcBorders>
            <w:shd w:val="clear" w:color="auto" w:fill="auto"/>
            <w:noWrap/>
            <w:vAlign w:val="bottom"/>
            <w:hideMark/>
          </w:tcPr>
          <w:p w14:paraId="4E68CC6A" w14:textId="77777777" w:rsidR="00087F4F" w:rsidRPr="00087F4F" w:rsidRDefault="00087F4F" w:rsidP="00087F4F">
            <w:pPr>
              <w:spacing w:after="0" w:line="240" w:lineRule="auto"/>
              <w:ind w:left="720"/>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Weapons Production</w:t>
            </w:r>
          </w:p>
        </w:tc>
        <w:tc>
          <w:tcPr>
            <w:tcW w:w="1531" w:type="dxa"/>
            <w:tcBorders>
              <w:top w:val="nil"/>
              <w:left w:val="nil"/>
              <w:bottom w:val="nil"/>
              <w:right w:val="nil"/>
            </w:tcBorders>
            <w:shd w:val="clear" w:color="auto" w:fill="auto"/>
            <w:noWrap/>
            <w:vAlign w:val="center"/>
            <w:hideMark/>
          </w:tcPr>
          <w:p w14:paraId="2576D414"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1.173</w:t>
            </w:r>
          </w:p>
        </w:tc>
        <w:tc>
          <w:tcPr>
            <w:tcW w:w="2025" w:type="dxa"/>
            <w:tcBorders>
              <w:top w:val="nil"/>
              <w:left w:val="nil"/>
              <w:bottom w:val="nil"/>
              <w:right w:val="nil"/>
            </w:tcBorders>
            <w:shd w:val="clear" w:color="auto" w:fill="auto"/>
            <w:noWrap/>
            <w:vAlign w:val="center"/>
            <w:hideMark/>
          </w:tcPr>
          <w:p w14:paraId="5AB2C760"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1.061, 1.296</w:t>
            </w:r>
          </w:p>
        </w:tc>
        <w:tc>
          <w:tcPr>
            <w:tcW w:w="1531" w:type="dxa"/>
            <w:tcBorders>
              <w:top w:val="nil"/>
              <w:left w:val="nil"/>
              <w:bottom w:val="nil"/>
              <w:right w:val="nil"/>
            </w:tcBorders>
            <w:shd w:val="clear" w:color="auto" w:fill="auto"/>
            <w:noWrap/>
            <w:vAlign w:val="center"/>
            <w:hideMark/>
          </w:tcPr>
          <w:p w14:paraId="17978BFD"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0.002</w:t>
            </w:r>
          </w:p>
        </w:tc>
        <w:tc>
          <w:tcPr>
            <w:tcW w:w="2379" w:type="dxa"/>
            <w:tcBorders>
              <w:top w:val="nil"/>
              <w:left w:val="nil"/>
              <w:bottom w:val="nil"/>
              <w:right w:val="nil"/>
            </w:tcBorders>
            <w:shd w:val="clear" w:color="auto" w:fill="auto"/>
            <w:noWrap/>
            <w:vAlign w:val="bottom"/>
            <w:hideMark/>
          </w:tcPr>
          <w:p w14:paraId="2BE221C8"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p>
        </w:tc>
      </w:tr>
      <w:tr w:rsidR="00087F4F" w:rsidRPr="00087F4F" w14:paraId="5595C1EB" w14:textId="77777777" w:rsidTr="008535F6">
        <w:trPr>
          <w:trHeight w:val="294"/>
          <w:jc w:val="center"/>
        </w:trPr>
        <w:tc>
          <w:tcPr>
            <w:tcW w:w="4875" w:type="dxa"/>
            <w:tcBorders>
              <w:top w:val="nil"/>
              <w:left w:val="nil"/>
              <w:bottom w:val="nil"/>
              <w:right w:val="nil"/>
            </w:tcBorders>
            <w:shd w:val="clear" w:color="auto" w:fill="auto"/>
            <w:noWrap/>
            <w:vAlign w:val="bottom"/>
          </w:tcPr>
          <w:p w14:paraId="59FCB5BB" w14:textId="77777777" w:rsidR="00087F4F" w:rsidRPr="00087F4F" w:rsidRDefault="00087F4F" w:rsidP="00087F4F">
            <w:pPr>
              <w:spacing w:after="0" w:line="240" w:lineRule="auto"/>
              <w:ind w:left="720"/>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Science and Laboratory Facilities</w:t>
            </w:r>
          </w:p>
        </w:tc>
        <w:tc>
          <w:tcPr>
            <w:tcW w:w="5087" w:type="dxa"/>
            <w:gridSpan w:val="3"/>
            <w:tcBorders>
              <w:top w:val="nil"/>
              <w:left w:val="nil"/>
              <w:bottom w:val="nil"/>
              <w:right w:val="nil"/>
            </w:tcBorders>
            <w:shd w:val="clear" w:color="auto" w:fill="auto"/>
            <w:noWrap/>
            <w:vAlign w:val="center"/>
          </w:tcPr>
          <w:p w14:paraId="4ED4B022"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i/>
                <w:iCs/>
                <w:color w:val="000000"/>
                <w:kern w:val="0"/>
                <w14:ligatures w14:val="none"/>
              </w:rPr>
              <w:t>Reference</w:t>
            </w:r>
          </w:p>
        </w:tc>
        <w:tc>
          <w:tcPr>
            <w:tcW w:w="2379" w:type="dxa"/>
            <w:tcBorders>
              <w:top w:val="nil"/>
              <w:left w:val="nil"/>
              <w:bottom w:val="nil"/>
              <w:right w:val="nil"/>
            </w:tcBorders>
            <w:shd w:val="clear" w:color="auto" w:fill="auto"/>
            <w:noWrap/>
            <w:vAlign w:val="bottom"/>
          </w:tcPr>
          <w:p w14:paraId="5075E317"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p>
        </w:tc>
      </w:tr>
      <w:tr w:rsidR="00087F4F" w:rsidRPr="00087F4F" w14:paraId="4AA4F594" w14:textId="77777777" w:rsidTr="008535F6">
        <w:trPr>
          <w:trHeight w:val="294"/>
          <w:jc w:val="center"/>
        </w:trPr>
        <w:tc>
          <w:tcPr>
            <w:tcW w:w="4875" w:type="dxa"/>
            <w:tcBorders>
              <w:top w:val="nil"/>
              <w:left w:val="nil"/>
              <w:bottom w:val="nil"/>
              <w:right w:val="nil"/>
            </w:tcBorders>
            <w:shd w:val="clear" w:color="auto" w:fill="auto"/>
            <w:noWrap/>
            <w:vAlign w:val="bottom"/>
            <w:hideMark/>
          </w:tcPr>
          <w:p w14:paraId="6D3D4908" w14:textId="77777777" w:rsidR="00087F4F" w:rsidRPr="00087F4F" w:rsidRDefault="00087F4F" w:rsidP="00087F4F">
            <w:pPr>
              <w:spacing w:after="0" w:line="240" w:lineRule="auto"/>
              <w:rPr>
                <w:rFonts w:ascii="Times New Roman" w:eastAsia="Calibri" w:hAnsi="Times New Roman" w:cs="Times New Roman"/>
                <w:b/>
                <w:bCs/>
                <w:color w:val="000000"/>
                <w:kern w:val="0"/>
                <w14:ligatures w14:val="none"/>
              </w:rPr>
            </w:pPr>
            <w:r w:rsidRPr="00087F4F">
              <w:rPr>
                <w:rFonts w:ascii="Times New Roman" w:eastAsia="Calibri" w:hAnsi="Times New Roman" w:cs="Times New Roman"/>
                <w:b/>
                <w:bCs/>
                <w:color w:val="000000"/>
                <w:kern w:val="0"/>
                <w14:ligatures w14:val="none"/>
              </w:rPr>
              <w:t>Occupational Exposure to Silica</w:t>
            </w:r>
          </w:p>
        </w:tc>
        <w:tc>
          <w:tcPr>
            <w:tcW w:w="1531" w:type="dxa"/>
            <w:tcBorders>
              <w:top w:val="nil"/>
              <w:left w:val="nil"/>
              <w:bottom w:val="nil"/>
              <w:right w:val="nil"/>
            </w:tcBorders>
            <w:shd w:val="clear" w:color="auto" w:fill="auto"/>
            <w:noWrap/>
            <w:vAlign w:val="center"/>
            <w:hideMark/>
          </w:tcPr>
          <w:p w14:paraId="6327B0FD" w14:textId="77777777" w:rsidR="00087F4F" w:rsidRPr="00087F4F" w:rsidRDefault="00087F4F" w:rsidP="00087F4F">
            <w:pPr>
              <w:spacing w:after="0" w:line="240" w:lineRule="auto"/>
              <w:rPr>
                <w:rFonts w:ascii="Times New Roman" w:eastAsia="Calibri" w:hAnsi="Times New Roman" w:cs="Times New Roman"/>
                <w:b/>
                <w:bCs/>
                <w:color w:val="000000"/>
                <w:kern w:val="0"/>
                <w14:ligatures w14:val="none"/>
              </w:rPr>
            </w:pPr>
          </w:p>
        </w:tc>
        <w:tc>
          <w:tcPr>
            <w:tcW w:w="2025" w:type="dxa"/>
            <w:tcBorders>
              <w:top w:val="nil"/>
              <w:left w:val="nil"/>
              <w:bottom w:val="nil"/>
              <w:right w:val="nil"/>
            </w:tcBorders>
            <w:shd w:val="clear" w:color="auto" w:fill="auto"/>
            <w:noWrap/>
            <w:vAlign w:val="center"/>
            <w:hideMark/>
          </w:tcPr>
          <w:p w14:paraId="04BDC822"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p>
        </w:tc>
        <w:tc>
          <w:tcPr>
            <w:tcW w:w="1531" w:type="dxa"/>
            <w:tcBorders>
              <w:top w:val="nil"/>
              <w:left w:val="nil"/>
              <w:bottom w:val="nil"/>
              <w:right w:val="nil"/>
            </w:tcBorders>
            <w:shd w:val="clear" w:color="auto" w:fill="auto"/>
            <w:noWrap/>
            <w:vAlign w:val="bottom"/>
            <w:hideMark/>
          </w:tcPr>
          <w:p w14:paraId="7FB37B3E" w14:textId="77777777" w:rsidR="00087F4F" w:rsidRPr="00087F4F" w:rsidRDefault="00087F4F" w:rsidP="00087F4F">
            <w:pPr>
              <w:spacing w:after="0" w:line="240" w:lineRule="auto"/>
              <w:jc w:val="center"/>
              <w:rPr>
                <w:rFonts w:ascii="Times New Roman" w:eastAsia="Calibri" w:hAnsi="Times New Roman" w:cs="Times New Roman"/>
                <w:kern w:val="0"/>
                <w:sz w:val="20"/>
                <w:szCs w:val="20"/>
                <w14:ligatures w14:val="none"/>
              </w:rPr>
            </w:pPr>
          </w:p>
        </w:tc>
        <w:tc>
          <w:tcPr>
            <w:tcW w:w="2379" w:type="dxa"/>
            <w:tcBorders>
              <w:top w:val="nil"/>
              <w:left w:val="nil"/>
              <w:bottom w:val="nil"/>
              <w:right w:val="nil"/>
            </w:tcBorders>
            <w:shd w:val="clear" w:color="auto" w:fill="auto"/>
            <w:noWrap/>
            <w:vAlign w:val="center"/>
            <w:hideMark/>
          </w:tcPr>
          <w:p w14:paraId="238BF0E3"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&lt;0.001</w:t>
            </w:r>
          </w:p>
        </w:tc>
      </w:tr>
      <w:tr w:rsidR="00087F4F" w:rsidRPr="00087F4F" w14:paraId="7F59FAC2" w14:textId="77777777" w:rsidTr="008535F6">
        <w:trPr>
          <w:trHeight w:val="294"/>
          <w:jc w:val="center"/>
        </w:trPr>
        <w:tc>
          <w:tcPr>
            <w:tcW w:w="4875" w:type="dxa"/>
            <w:tcBorders>
              <w:top w:val="nil"/>
              <w:left w:val="nil"/>
              <w:bottom w:val="nil"/>
              <w:right w:val="nil"/>
            </w:tcBorders>
            <w:shd w:val="clear" w:color="auto" w:fill="auto"/>
            <w:noWrap/>
            <w:vAlign w:val="bottom"/>
            <w:hideMark/>
          </w:tcPr>
          <w:p w14:paraId="356E02B0" w14:textId="77777777" w:rsidR="00087F4F" w:rsidRPr="00087F4F" w:rsidRDefault="00087F4F" w:rsidP="00087F4F">
            <w:pPr>
              <w:spacing w:after="0" w:line="240" w:lineRule="auto"/>
              <w:ind w:left="720"/>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Yes</w:t>
            </w:r>
          </w:p>
        </w:tc>
        <w:tc>
          <w:tcPr>
            <w:tcW w:w="1531" w:type="dxa"/>
            <w:tcBorders>
              <w:top w:val="nil"/>
              <w:left w:val="nil"/>
              <w:bottom w:val="nil"/>
              <w:right w:val="nil"/>
            </w:tcBorders>
            <w:shd w:val="clear" w:color="auto" w:fill="auto"/>
            <w:noWrap/>
            <w:vAlign w:val="center"/>
            <w:hideMark/>
          </w:tcPr>
          <w:p w14:paraId="5869DE32"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1.157</w:t>
            </w:r>
          </w:p>
        </w:tc>
        <w:tc>
          <w:tcPr>
            <w:tcW w:w="2025" w:type="dxa"/>
            <w:tcBorders>
              <w:top w:val="nil"/>
              <w:left w:val="nil"/>
              <w:bottom w:val="nil"/>
              <w:right w:val="nil"/>
            </w:tcBorders>
            <w:shd w:val="clear" w:color="auto" w:fill="auto"/>
            <w:noWrap/>
            <w:vAlign w:val="center"/>
            <w:hideMark/>
          </w:tcPr>
          <w:p w14:paraId="707E1035"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1.068, 1.253</w:t>
            </w:r>
          </w:p>
        </w:tc>
        <w:tc>
          <w:tcPr>
            <w:tcW w:w="1531" w:type="dxa"/>
            <w:tcBorders>
              <w:top w:val="nil"/>
              <w:left w:val="nil"/>
              <w:bottom w:val="nil"/>
              <w:right w:val="nil"/>
            </w:tcBorders>
            <w:shd w:val="clear" w:color="auto" w:fill="auto"/>
            <w:noWrap/>
            <w:vAlign w:val="center"/>
            <w:hideMark/>
          </w:tcPr>
          <w:p w14:paraId="2F40BE9C"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&lt;0.001</w:t>
            </w:r>
          </w:p>
        </w:tc>
        <w:tc>
          <w:tcPr>
            <w:tcW w:w="2379" w:type="dxa"/>
            <w:tcBorders>
              <w:top w:val="nil"/>
              <w:left w:val="nil"/>
              <w:bottom w:val="nil"/>
              <w:right w:val="nil"/>
            </w:tcBorders>
            <w:shd w:val="clear" w:color="auto" w:fill="auto"/>
            <w:noWrap/>
            <w:vAlign w:val="bottom"/>
            <w:hideMark/>
          </w:tcPr>
          <w:p w14:paraId="61DD3C2A"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p>
        </w:tc>
      </w:tr>
      <w:tr w:rsidR="00087F4F" w:rsidRPr="00087F4F" w14:paraId="15B6239A" w14:textId="77777777" w:rsidTr="00921D81">
        <w:trPr>
          <w:trHeight w:val="294"/>
          <w:jc w:val="center"/>
        </w:trPr>
        <w:tc>
          <w:tcPr>
            <w:tcW w:w="4875" w:type="dxa"/>
            <w:tcBorders>
              <w:top w:val="nil"/>
              <w:left w:val="nil"/>
              <w:bottom w:val="single" w:sz="12" w:space="0" w:color="auto"/>
              <w:right w:val="nil"/>
            </w:tcBorders>
            <w:shd w:val="clear" w:color="auto" w:fill="auto"/>
            <w:noWrap/>
            <w:vAlign w:val="bottom"/>
          </w:tcPr>
          <w:p w14:paraId="39F5ED12" w14:textId="77777777" w:rsidR="00087F4F" w:rsidRPr="00087F4F" w:rsidRDefault="00087F4F" w:rsidP="00087F4F">
            <w:pPr>
              <w:spacing w:after="0" w:line="240" w:lineRule="auto"/>
              <w:ind w:left="720"/>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No</w:t>
            </w:r>
          </w:p>
        </w:tc>
        <w:tc>
          <w:tcPr>
            <w:tcW w:w="5087" w:type="dxa"/>
            <w:gridSpan w:val="3"/>
            <w:tcBorders>
              <w:top w:val="nil"/>
              <w:left w:val="nil"/>
              <w:bottom w:val="single" w:sz="12" w:space="0" w:color="auto"/>
              <w:right w:val="nil"/>
            </w:tcBorders>
            <w:shd w:val="clear" w:color="auto" w:fill="auto"/>
            <w:noWrap/>
            <w:vAlign w:val="center"/>
          </w:tcPr>
          <w:p w14:paraId="2A94AA7A"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i/>
                <w:iCs/>
                <w:color w:val="000000"/>
                <w:kern w:val="0"/>
                <w14:ligatures w14:val="none"/>
              </w:rPr>
              <w:t>Reference</w:t>
            </w:r>
          </w:p>
        </w:tc>
        <w:tc>
          <w:tcPr>
            <w:tcW w:w="2379" w:type="dxa"/>
            <w:tcBorders>
              <w:top w:val="nil"/>
              <w:left w:val="nil"/>
              <w:bottom w:val="single" w:sz="12" w:space="0" w:color="auto"/>
              <w:right w:val="nil"/>
            </w:tcBorders>
            <w:shd w:val="clear" w:color="auto" w:fill="auto"/>
            <w:noWrap/>
            <w:vAlign w:val="bottom"/>
          </w:tcPr>
          <w:p w14:paraId="245CC31E" w14:textId="77777777" w:rsidR="00087F4F" w:rsidRPr="00087F4F" w:rsidRDefault="00087F4F" w:rsidP="00087F4F">
            <w:pPr>
              <w:spacing w:after="0" w:line="240" w:lineRule="auto"/>
              <w:jc w:val="center"/>
              <w:rPr>
                <w:rFonts w:ascii="Times New Roman" w:eastAsia="Calibri" w:hAnsi="Times New Roman" w:cs="Times New Roman"/>
                <w:color w:val="000000"/>
                <w:kern w:val="0"/>
                <w14:ligatures w14:val="none"/>
              </w:rPr>
            </w:pPr>
          </w:p>
        </w:tc>
      </w:tr>
    </w:tbl>
    <w:p w14:paraId="5D00206B" w14:textId="77777777" w:rsidR="004A7120" w:rsidRDefault="004A7120" w:rsidP="004A7120">
      <w:pPr>
        <w:spacing w:line="480" w:lineRule="auto"/>
        <w:rPr>
          <w:rFonts w:ascii="Times New Roman" w:hAnsi="Times New Roman" w:cs="Times New Roman"/>
          <w:iCs/>
        </w:rPr>
        <w:sectPr w:rsidR="004A7120" w:rsidSect="009C2E43">
          <w:pgSz w:w="15840" w:h="12240" w:orient="landscape"/>
          <w:pgMar w:top="1440" w:right="1440" w:bottom="1440" w:left="1440" w:header="720" w:footer="720" w:gutter="0"/>
          <w:cols w:space="720"/>
          <w:docGrid w:linePitch="360"/>
        </w:sectPr>
      </w:pPr>
    </w:p>
    <w:p w14:paraId="60823B5D" w14:textId="15AA8C9D" w:rsidR="0045673E" w:rsidRPr="00B902E6" w:rsidRDefault="0045673E" w:rsidP="00921D81">
      <w:pPr>
        <w:pStyle w:val="Heading4"/>
        <w:spacing w:before="0" w:after="0" w:line="480" w:lineRule="auto"/>
        <w:rPr>
          <w:szCs w:val="28"/>
        </w:rPr>
      </w:pPr>
      <w:bookmarkStart w:id="138" w:name="_Toc200097007"/>
      <w:r w:rsidRPr="00B902E6">
        <w:rPr>
          <w:szCs w:val="28"/>
        </w:rPr>
        <w:lastRenderedPageBreak/>
        <w:t>Predictors of COPD severity</w:t>
      </w:r>
      <w:bookmarkEnd w:id="138"/>
    </w:p>
    <w:p w14:paraId="6F5823B8" w14:textId="556F8A1C" w:rsidR="0045673E" w:rsidRDefault="0045673E" w:rsidP="00921D81">
      <w:pPr>
        <w:spacing w:after="0" w:line="480" w:lineRule="auto"/>
        <w:ind w:firstLine="634"/>
        <w:rPr>
          <w:rFonts w:ascii="Times New Roman" w:hAnsi="Times New Roman" w:cs="Times New Roman"/>
          <w:iCs/>
        </w:rPr>
      </w:pPr>
      <w:r w:rsidRPr="0045673E">
        <w:rPr>
          <w:rFonts w:ascii="Times New Roman" w:hAnsi="Times New Roman" w:cs="Times New Roman"/>
          <w:iCs/>
        </w:rPr>
        <w:t xml:space="preserve">With the exception of sex, race, and work duration, all assessed potential predictors had univariable associations (p&lt;0.2) with COPD severity (Table </w:t>
      </w:r>
      <w:r w:rsidR="007B23A4">
        <w:rPr>
          <w:rFonts w:ascii="Times New Roman" w:hAnsi="Times New Roman" w:cs="Times New Roman"/>
          <w:iCs/>
        </w:rPr>
        <w:t>3.</w:t>
      </w:r>
      <w:r w:rsidRPr="0045673E">
        <w:rPr>
          <w:rFonts w:ascii="Times New Roman" w:hAnsi="Times New Roman" w:cs="Times New Roman"/>
          <w:iCs/>
        </w:rPr>
        <w:t xml:space="preserve">5). The final multivariable multinomial logistic model included age category, BMI category, smoking, history of asthma, DOE facility category, and occupational exposure to diesel exhaust as significant (p&lt;0.05) predictors of COPD severity (Table </w:t>
      </w:r>
      <w:r w:rsidR="007B23A4">
        <w:rPr>
          <w:rFonts w:ascii="Times New Roman" w:hAnsi="Times New Roman" w:cs="Times New Roman"/>
          <w:iCs/>
        </w:rPr>
        <w:t>3.</w:t>
      </w:r>
      <w:r w:rsidRPr="0045673E">
        <w:rPr>
          <w:rFonts w:ascii="Times New Roman" w:hAnsi="Times New Roman" w:cs="Times New Roman"/>
          <w:iCs/>
        </w:rPr>
        <w:t>6). While most of the predictors had similar relative risk ratios (RRR) for moderate disease and severe or very severe disease, smoking status and history of asthma had higher RRRs for severe or very severe disease compared the RRRs for moderate disease. For instance, the risk of moderate COPD among ever smokers was 1.606 (95% CI: 1.385, 1.863) times higher than the risk in non-smokers, but the risk of severe or very severe COPD was 2.720 (95% CI: 2.163, 3.420) times higher among ever smokers than non-smokers. A similar difference in the association was observed among participants with asthma. The risk for moderate COPD among those with asthma was 1.991 (95% CI: 1.638, 2.420) times higher than among those without asthma. However, the risk of severe or very severe COPD among individuals with asthma was 3.362 (95% CI: 2.607, 4.336) times higher than that among those without asthma. Conversely, the overweight RRR was 1.186 (95% CI: 0.989, 1.423) for moderate COPD and 0.757 (95% CI: 0.584, 0.982) for severe or very severe COPD while obese had similar RRRs across both moderate (RRR: 1.751 95% CI: 1.442, 2.128) and severe or very COPD (RRR: 1.239, 95% CI: 0.947, 1.620). The underweight RRR was higher for both moderate (RRR: 2.933, 95% CI: 1.179, 7.297) and severe or very severe COPD (RRR: 5.749, 95% CI: 2.203, 15.008) compared to normal BMI.</w:t>
      </w:r>
    </w:p>
    <w:p w14:paraId="01CAB9FE" w14:textId="77777777" w:rsidR="004A7120" w:rsidRDefault="004A7120" w:rsidP="00DD6419">
      <w:pPr>
        <w:spacing w:line="480" w:lineRule="auto"/>
        <w:ind w:firstLine="640"/>
        <w:rPr>
          <w:rFonts w:ascii="Times New Roman" w:hAnsi="Times New Roman" w:cs="Times New Roman"/>
          <w:iCs/>
        </w:rPr>
        <w:sectPr w:rsidR="004A7120" w:rsidSect="009C2E43">
          <w:pgSz w:w="12240" w:h="15840"/>
          <w:pgMar w:top="1440" w:right="1440" w:bottom="1440" w:left="1440" w:header="720" w:footer="720" w:gutter="0"/>
          <w:cols w:space="720"/>
          <w:docGrid w:linePitch="360"/>
        </w:sectPr>
      </w:pPr>
    </w:p>
    <w:p w14:paraId="32783A2F" w14:textId="705B8316" w:rsidR="00087F4F" w:rsidRDefault="00087F4F" w:rsidP="00921D81">
      <w:pPr>
        <w:pStyle w:val="Caption"/>
        <w:spacing w:after="0"/>
      </w:pPr>
      <w:bookmarkStart w:id="139" w:name="_Toc199886034"/>
      <w:bookmarkStart w:id="140" w:name="_Toc200097051"/>
      <w:r>
        <w:lastRenderedPageBreak/>
        <w:t xml:space="preserve">Table </w:t>
      </w:r>
      <w:r w:rsidR="00450C23">
        <w:fldChar w:fldCharType="begin"/>
      </w:r>
      <w:r w:rsidR="00450C23">
        <w:instrText xml:space="preserve"> STYLEREF 1 \s </w:instrText>
      </w:r>
      <w:r w:rsidR="00450C23">
        <w:fldChar w:fldCharType="separate"/>
      </w:r>
      <w:r w:rsidR="005D69AE">
        <w:rPr>
          <w:noProof/>
        </w:rPr>
        <w:t>3</w:t>
      </w:r>
      <w:r w:rsidR="00450C23">
        <w:rPr>
          <w:noProof/>
        </w:rPr>
        <w:fldChar w:fldCharType="end"/>
      </w:r>
      <w:r w:rsidR="005D69AE">
        <w:t>.</w:t>
      </w:r>
      <w:r w:rsidR="00450C23">
        <w:fldChar w:fldCharType="begin"/>
      </w:r>
      <w:r w:rsidR="00450C23">
        <w:instrText xml:space="preserve"> SEQ Table \* ARABIC \s 1 </w:instrText>
      </w:r>
      <w:r w:rsidR="00450C23">
        <w:fldChar w:fldCharType="separate"/>
      </w:r>
      <w:r w:rsidR="005D69AE">
        <w:rPr>
          <w:noProof/>
        </w:rPr>
        <w:t>5</w:t>
      </w:r>
      <w:r w:rsidR="00450C23">
        <w:rPr>
          <w:noProof/>
        </w:rPr>
        <w:fldChar w:fldCharType="end"/>
      </w:r>
      <w:r>
        <w:t xml:space="preserve">. </w:t>
      </w:r>
      <w:r w:rsidRPr="00DE6659">
        <w:t>Unadjusted multinomial regression model results investigating predictors of chronic obstructive pulmonary disease severity among the National Supplemental Screening Program participants, 2006-2019</w:t>
      </w:r>
      <w:bookmarkEnd w:id="139"/>
      <w:bookmarkEnd w:id="140"/>
    </w:p>
    <w:tbl>
      <w:tblPr>
        <w:tblW w:w="13536" w:type="dxa"/>
        <w:tblLook w:val="04A0" w:firstRow="1" w:lastRow="0" w:firstColumn="1" w:lastColumn="0" w:noHBand="0" w:noVBand="1"/>
      </w:tblPr>
      <w:tblGrid>
        <w:gridCol w:w="3960"/>
        <w:gridCol w:w="756"/>
        <w:gridCol w:w="1710"/>
        <w:gridCol w:w="1530"/>
        <w:gridCol w:w="1170"/>
        <w:gridCol w:w="1620"/>
        <w:gridCol w:w="1170"/>
        <w:gridCol w:w="1620"/>
      </w:tblGrid>
      <w:tr w:rsidR="00087F4F" w:rsidRPr="004A7120" w14:paraId="1AB6DD26" w14:textId="77777777" w:rsidTr="008535F6">
        <w:trPr>
          <w:trHeight w:val="320"/>
          <w:tblHeader/>
        </w:trPr>
        <w:tc>
          <w:tcPr>
            <w:tcW w:w="3960" w:type="dxa"/>
            <w:tcBorders>
              <w:top w:val="single" w:sz="12" w:space="0" w:color="auto"/>
              <w:left w:val="nil"/>
              <w:bottom w:val="nil"/>
              <w:right w:val="nil"/>
            </w:tcBorders>
            <w:shd w:val="clear" w:color="auto" w:fill="auto"/>
            <w:noWrap/>
            <w:vAlign w:val="center"/>
            <w:hideMark/>
          </w:tcPr>
          <w:p w14:paraId="4670F943"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p>
        </w:tc>
        <w:tc>
          <w:tcPr>
            <w:tcW w:w="3996" w:type="dxa"/>
            <w:gridSpan w:val="3"/>
            <w:tcBorders>
              <w:top w:val="single" w:sz="12" w:space="0" w:color="auto"/>
              <w:left w:val="nil"/>
              <w:bottom w:val="nil"/>
              <w:right w:val="nil"/>
            </w:tcBorders>
            <w:shd w:val="clear" w:color="auto" w:fill="auto"/>
            <w:noWrap/>
            <w:vAlign w:val="bottom"/>
            <w:hideMark/>
          </w:tcPr>
          <w:p w14:paraId="7717513C"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Moderate</w:t>
            </w:r>
          </w:p>
        </w:tc>
        <w:tc>
          <w:tcPr>
            <w:tcW w:w="3960" w:type="dxa"/>
            <w:gridSpan w:val="3"/>
            <w:tcBorders>
              <w:top w:val="single" w:sz="12" w:space="0" w:color="auto"/>
              <w:left w:val="nil"/>
              <w:bottom w:val="nil"/>
              <w:right w:val="nil"/>
            </w:tcBorders>
            <w:shd w:val="clear" w:color="auto" w:fill="auto"/>
            <w:noWrap/>
            <w:vAlign w:val="bottom"/>
            <w:hideMark/>
          </w:tcPr>
          <w:p w14:paraId="5494648E"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Severe or Very Severe</w:t>
            </w:r>
          </w:p>
        </w:tc>
        <w:tc>
          <w:tcPr>
            <w:tcW w:w="1620" w:type="dxa"/>
            <w:tcBorders>
              <w:top w:val="single" w:sz="12" w:space="0" w:color="auto"/>
              <w:left w:val="nil"/>
              <w:bottom w:val="nil"/>
              <w:right w:val="nil"/>
            </w:tcBorders>
            <w:shd w:val="clear" w:color="auto" w:fill="auto"/>
            <w:noWrap/>
            <w:vAlign w:val="bottom"/>
            <w:hideMark/>
          </w:tcPr>
          <w:p w14:paraId="5BE27BDE"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Overall</w:t>
            </w:r>
          </w:p>
        </w:tc>
      </w:tr>
      <w:tr w:rsidR="00087F4F" w:rsidRPr="004A7120" w14:paraId="471D5261" w14:textId="77777777" w:rsidTr="008535F6">
        <w:trPr>
          <w:trHeight w:val="320"/>
          <w:tblHeader/>
        </w:trPr>
        <w:tc>
          <w:tcPr>
            <w:tcW w:w="3960" w:type="dxa"/>
            <w:tcBorders>
              <w:top w:val="nil"/>
              <w:left w:val="nil"/>
              <w:bottom w:val="single" w:sz="12" w:space="0" w:color="auto"/>
              <w:right w:val="nil"/>
            </w:tcBorders>
            <w:shd w:val="clear" w:color="auto" w:fill="auto"/>
            <w:noWrap/>
            <w:vAlign w:val="center"/>
            <w:hideMark/>
          </w:tcPr>
          <w:p w14:paraId="744ECB0D"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b/>
                <w:bCs/>
                <w:color w:val="000000"/>
                <w:kern w:val="0"/>
                <w14:ligatures w14:val="none"/>
              </w:rPr>
              <w:t>Characteristics</w:t>
            </w:r>
          </w:p>
        </w:tc>
        <w:tc>
          <w:tcPr>
            <w:tcW w:w="756" w:type="dxa"/>
            <w:tcBorders>
              <w:top w:val="nil"/>
              <w:left w:val="nil"/>
              <w:bottom w:val="single" w:sz="12" w:space="0" w:color="auto"/>
              <w:right w:val="nil"/>
            </w:tcBorders>
            <w:shd w:val="clear" w:color="auto" w:fill="auto"/>
            <w:noWrap/>
            <w:vAlign w:val="bottom"/>
            <w:hideMark/>
          </w:tcPr>
          <w:p w14:paraId="0DD0A02C"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RRR</w:t>
            </w:r>
          </w:p>
        </w:tc>
        <w:tc>
          <w:tcPr>
            <w:tcW w:w="1710" w:type="dxa"/>
            <w:tcBorders>
              <w:top w:val="nil"/>
              <w:left w:val="nil"/>
              <w:bottom w:val="single" w:sz="12" w:space="0" w:color="auto"/>
              <w:right w:val="nil"/>
            </w:tcBorders>
            <w:shd w:val="clear" w:color="auto" w:fill="auto"/>
            <w:noWrap/>
            <w:vAlign w:val="bottom"/>
            <w:hideMark/>
          </w:tcPr>
          <w:p w14:paraId="179D6193"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95% CI</w:t>
            </w:r>
          </w:p>
        </w:tc>
        <w:tc>
          <w:tcPr>
            <w:tcW w:w="1530" w:type="dxa"/>
            <w:tcBorders>
              <w:top w:val="nil"/>
              <w:left w:val="nil"/>
              <w:bottom w:val="single" w:sz="12" w:space="0" w:color="auto"/>
              <w:right w:val="nil"/>
            </w:tcBorders>
            <w:shd w:val="clear" w:color="auto" w:fill="auto"/>
            <w:noWrap/>
            <w:vAlign w:val="bottom"/>
            <w:hideMark/>
          </w:tcPr>
          <w:p w14:paraId="0BB4F09D"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p-value</w:t>
            </w:r>
          </w:p>
        </w:tc>
        <w:tc>
          <w:tcPr>
            <w:tcW w:w="1170" w:type="dxa"/>
            <w:tcBorders>
              <w:top w:val="nil"/>
              <w:left w:val="nil"/>
              <w:bottom w:val="single" w:sz="12" w:space="0" w:color="auto"/>
              <w:right w:val="nil"/>
            </w:tcBorders>
            <w:shd w:val="clear" w:color="auto" w:fill="auto"/>
            <w:noWrap/>
            <w:vAlign w:val="bottom"/>
            <w:hideMark/>
          </w:tcPr>
          <w:p w14:paraId="377F70F5"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RRR</w:t>
            </w:r>
          </w:p>
        </w:tc>
        <w:tc>
          <w:tcPr>
            <w:tcW w:w="1620" w:type="dxa"/>
            <w:tcBorders>
              <w:top w:val="nil"/>
              <w:left w:val="nil"/>
              <w:bottom w:val="single" w:sz="12" w:space="0" w:color="auto"/>
              <w:right w:val="nil"/>
            </w:tcBorders>
            <w:shd w:val="clear" w:color="auto" w:fill="auto"/>
            <w:noWrap/>
            <w:vAlign w:val="bottom"/>
            <w:hideMark/>
          </w:tcPr>
          <w:p w14:paraId="2F1D2A24"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95% CI</w:t>
            </w:r>
          </w:p>
        </w:tc>
        <w:tc>
          <w:tcPr>
            <w:tcW w:w="1170" w:type="dxa"/>
            <w:tcBorders>
              <w:top w:val="nil"/>
              <w:left w:val="nil"/>
              <w:bottom w:val="single" w:sz="12" w:space="0" w:color="auto"/>
              <w:right w:val="nil"/>
            </w:tcBorders>
            <w:shd w:val="clear" w:color="auto" w:fill="auto"/>
            <w:noWrap/>
            <w:vAlign w:val="bottom"/>
            <w:hideMark/>
          </w:tcPr>
          <w:p w14:paraId="0CE67754"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p-value</w:t>
            </w:r>
          </w:p>
        </w:tc>
        <w:tc>
          <w:tcPr>
            <w:tcW w:w="1620" w:type="dxa"/>
            <w:tcBorders>
              <w:top w:val="nil"/>
              <w:left w:val="nil"/>
              <w:bottom w:val="single" w:sz="12" w:space="0" w:color="auto"/>
              <w:right w:val="nil"/>
            </w:tcBorders>
            <w:shd w:val="clear" w:color="auto" w:fill="auto"/>
            <w:noWrap/>
            <w:vAlign w:val="bottom"/>
            <w:hideMark/>
          </w:tcPr>
          <w:p w14:paraId="007C999A"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P-value</w:t>
            </w:r>
          </w:p>
        </w:tc>
      </w:tr>
      <w:tr w:rsidR="00087F4F" w:rsidRPr="004A7120" w14:paraId="4349E6F1" w14:textId="77777777" w:rsidTr="00F5727C">
        <w:trPr>
          <w:trHeight w:val="320"/>
        </w:trPr>
        <w:tc>
          <w:tcPr>
            <w:tcW w:w="3960" w:type="dxa"/>
            <w:tcBorders>
              <w:top w:val="single" w:sz="4" w:space="0" w:color="auto"/>
              <w:left w:val="nil"/>
              <w:bottom w:val="nil"/>
              <w:right w:val="nil"/>
            </w:tcBorders>
            <w:shd w:val="clear" w:color="auto" w:fill="auto"/>
            <w:noWrap/>
            <w:vAlign w:val="bottom"/>
          </w:tcPr>
          <w:p w14:paraId="4AEE3E3D"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r w:rsidRPr="00F5727C">
              <w:rPr>
                <w:rFonts w:ascii="Times New Roman" w:eastAsia="Calibri" w:hAnsi="Times New Roman" w:cs="Times New Roman"/>
                <w:b/>
                <w:bCs/>
                <w:color w:val="000000"/>
                <w:kern w:val="0"/>
                <w14:ligatures w14:val="none"/>
              </w:rPr>
              <w:t>Race</w:t>
            </w:r>
          </w:p>
        </w:tc>
        <w:tc>
          <w:tcPr>
            <w:tcW w:w="756" w:type="dxa"/>
            <w:tcBorders>
              <w:top w:val="single" w:sz="4" w:space="0" w:color="auto"/>
              <w:left w:val="nil"/>
              <w:bottom w:val="nil"/>
              <w:right w:val="nil"/>
            </w:tcBorders>
            <w:shd w:val="clear" w:color="auto" w:fill="auto"/>
            <w:noWrap/>
            <w:vAlign w:val="center"/>
          </w:tcPr>
          <w:p w14:paraId="30D677CA"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p>
        </w:tc>
        <w:tc>
          <w:tcPr>
            <w:tcW w:w="1710" w:type="dxa"/>
            <w:tcBorders>
              <w:top w:val="single" w:sz="4" w:space="0" w:color="auto"/>
              <w:left w:val="nil"/>
              <w:bottom w:val="nil"/>
              <w:right w:val="nil"/>
            </w:tcBorders>
            <w:shd w:val="clear" w:color="auto" w:fill="auto"/>
            <w:noWrap/>
            <w:vAlign w:val="center"/>
          </w:tcPr>
          <w:p w14:paraId="2EBE3AC1"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530" w:type="dxa"/>
            <w:tcBorders>
              <w:top w:val="single" w:sz="4" w:space="0" w:color="auto"/>
              <w:left w:val="nil"/>
              <w:bottom w:val="nil"/>
              <w:right w:val="nil"/>
            </w:tcBorders>
            <w:shd w:val="clear" w:color="auto" w:fill="auto"/>
            <w:noWrap/>
            <w:vAlign w:val="center"/>
          </w:tcPr>
          <w:p w14:paraId="52E0C4B2"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170" w:type="dxa"/>
            <w:tcBorders>
              <w:top w:val="single" w:sz="4" w:space="0" w:color="auto"/>
              <w:left w:val="nil"/>
              <w:bottom w:val="nil"/>
              <w:right w:val="nil"/>
            </w:tcBorders>
            <w:shd w:val="clear" w:color="auto" w:fill="auto"/>
            <w:noWrap/>
            <w:vAlign w:val="center"/>
          </w:tcPr>
          <w:p w14:paraId="13E6BE8D"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620" w:type="dxa"/>
            <w:tcBorders>
              <w:top w:val="single" w:sz="4" w:space="0" w:color="auto"/>
              <w:left w:val="nil"/>
              <w:bottom w:val="nil"/>
              <w:right w:val="nil"/>
            </w:tcBorders>
            <w:shd w:val="clear" w:color="auto" w:fill="auto"/>
            <w:noWrap/>
            <w:vAlign w:val="center"/>
          </w:tcPr>
          <w:p w14:paraId="1628F18E"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170" w:type="dxa"/>
            <w:tcBorders>
              <w:top w:val="single" w:sz="4" w:space="0" w:color="auto"/>
              <w:left w:val="nil"/>
              <w:bottom w:val="nil"/>
              <w:right w:val="nil"/>
            </w:tcBorders>
            <w:shd w:val="clear" w:color="auto" w:fill="auto"/>
            <w:noWrap/>
            <w:vAlign w:val="center"/>
          </w:tcPr>
          <w:p w14:paraId="3BC78F41"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620" w:type="dxa"/>
            <w:tcBorders>
              <w:top w:val="single" w:sz="4" w:space="0" w:color="auto"/>
              <w:left w:val="nil"/>
              <w:bottom w:val="nil"/>
              <w:right w:val="nil"/>
            </w:tcBorders>
            <w:shd w:val="clear" w:color="auto" w:fill="auto"/>
            <w:noWrap/>
            <w:vAlign w:val="center"/>
          </w:tcPr>
          <w:p w14:paraId="71CF9311"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0.471</w:t>
            </w:r>
          </w:p>
        </w:tc>
      </w:tr>
      <w:tr w:rsidR="00087F4F" w:rsidRPr="004A7120" w14:paraId="607D11EB" w14:textId="77777777" w:rsidTr="00F5727C">
        <w:trPr>
          <w:trHeight w:val="320"/>
        </w:trPr>
        <w:tc>
          <w:tcPr>
            <w:tcW w:w="3960" w:type="dxa"/>
            <w:tcBorders>
              <w:top w:val="nil"/>
              <w:left w:val="nil"/>
              <w:bottom w:val="nil"/>
              <w:right w:val="nil"/>
            </w:tcBorders>
            <w:shd w:val="clear" w:color="auto" w:fill="auto"/>
            <w:noWrap/>
            <w:vAlign w:val="bottom"/>
            <w:hideMark/>
          </w:tcPr>
          <w:p w14:paraId="052D7775"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Black</w:t>
            </w:r>
          </w:p>
        </w:tc>
        <w:tc>
          <w:tcPr>
            <w:tcW w:w="756" w:type="dxa"/>
            <w:tcBorders>
              <w:top w:val="nil"/>
              <w:left w:val="nil"/>
              <w:bottom w:val="nil"/>
              <w:right w:val="nil"/>
            </w:tcBorders>
            <w:shd w:val="clear" w:color="auto" w:fill="auto"/>
            <w:noWrap/>
            <w:vAlign w:val="center"/>
            <w:hideMark/>
          </w:tcPr>
          <w:p w14:paraId="3C4C770E"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0.811</w:t>
            </w:r>
          </w:p>
        </w:tc>
        <w:tc>
          <w:tcPr>
            <w:tcW w:w="1710" w:type="dxa"/>
            <w:tcBorders>
              <w:top w:val="nil"/>
              <w:left w:val="nil"/>
              <w:bottom w:val="nil"/>
              <w:right w:val="nil"/>
            </w:tcBorders>
            <w:shd w:val="clear" w:color="auto" w:fill="auto"/>
            <w:noWrap/>
            <w:vAlign w:val="center"/>
            <w:hideMark/>
          </w:tcPr>
          <w:p w14:paraId="5C802CBA"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0.620, 1.062</w:t>
            </w:r>
          </w:p>
        </w:tc>
        <w:tc>
          <w:tcPr>
            <w:tcW w:w="1530" w:type="dxa"/>
            <w:tcBorders>
              <w:top w:val="nil"/>
              <w:left w:val="nil"/>
              <w:bottom w:val="nil"/>
              <w:right w:val="nil"/>
            </w:tcBorders>
            <w:shd w:val="clear" w:color="auto" w:fill="auto"/>
            <w:noWrap/>
            <w:vAlign w:val="center"/>
            <w:hideMark/>
          </w:tcPr>
          <w:p w14:paraId="3C40B0D7"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0.127</w:t>
            </w:r>
          </w:p>
        </w:tc>
        <w:tc>
          <w:tcPr>
            <w:tcW w:w="1170" w:type="dxa"/>
            <w:tcBorders>
              <w:top w:val="nil"/>
              <w:left w:val="nil"/>
              <w:bottom w:val="nil"/>
              <w:right w:val="nil"/>
            </w:tcBorders>
            <w:shd w:val="clear" w:color="auto" w:fill="auto"/>
            <w:noWrap/>
            <w:vAlign w:val="center"/>
            <w:hideMark/>
          </w:tcPr>
          <w:p w14:paraId="18CCF6B5"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1.038</w:t>
            </w:r>
          </w:p>
        </w:tc>
        <w:tc>
          <w:tcPr>
            <w:tcW w:w="1620" w:type="dxa"/>
            <w:tcBorders>
              <w:top w:val="nil"/>
              <w:left w:val="nil"/>
              <w:bottom w:val="nil"/>
              <w:right w:val="nil"/>
            </w:tcBorders>
            <w:shd w:val="clear" w:color="auto" w:fill="auto"/>
            <w:noWrap/>
            <w:vAlign w:val="center"/>
            <w:hideMark/>
          </w:tcPr>
          <w:p w14:paraId="0A2145FD"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0.708, 1.521</w:t>
            </w:r>
          </w:p>
        </w:tc>
        <w:tc>
          <w:tcPr>
            <w:tcW w:w="1170" w:type="dxa"/>
            <w:tcBorders>
              <w:top w:val="nil"/>
              <w:left w:val="nil"/>
              <w:bottom w:val="nil"/>
              <w:right w:val="nil"/>
            </w:tcBorders>
            <w:shd w:val="clear" w:color="auto" w:fill="auto"/>
            <w:noWrap/>
            <w:vAlign w:val="center"/>
            <w:hideMark/>
          </w:tcPr>
          <w:p w14:paraId="3986B248"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0.848</w:t>
            </w:r>
          </w:p>
        </w:tc>
        <w:tc>
          <w:tcPr>
            <w:tcW w:w="1620" w:type="dxa"/>
            <w:tcBorders>
              <w:top w:val="nil"/>
              <w:left w:val="nil"/>
              <w:bottom w:val="nil"/>
              <w:right w:val="nil"/>
            </w:tcBorders>
            <w:shd w:val="clear" w:color="auto" w:fill="auto"/>
            <w:noWrap/>
            <w:vAlign w:val="center"/>
            <w:hideMark/>
          </w:tcPr>
          <w:p w14:paraId="7F7256E8"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389CD826" w14:textId="77777777" w:rsidTr="00F5727C">
        <w:trPr>
          <w:trHeight w:val="320"/>
        </w:trPr>
        <w:tc>
          <w:tcPr>
            <w:tcW w:w="3960" w:type="dxa"/>
            <w:tcBorders>
              <w:top w:val="nil"/>
              <w:left w:val="nil"/>
              <w:bottom w:val="nil"/>
              <w:right w:val="nil"/>
            </w:tcBorders>
            <w:shd w:val="clear" w:color="auto" w:fill="auto"/>
            <w:noWrap/>
            <w:vAlign w:val="bottom"/>
          </w:tcPr>
          <w:p w14:paraId="39254627"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Non-Black</w:t>
            </w:r>
          </w:p>
        </w:tc>
        <w:tc>
          <w:tcPr>
            <w:tcW w:w="7956" w:type="dxa"/>
            <w:gridSpan w:val="6"/>
            <w:tcBorders>
              <w:top w:val="nil"/>
              <w:left w:val="nil"/>
              <w:bottom w:val="nil"/>
              <w:right w:val="nil"/>
            </w:tcBorders>
            <w:shd w:val="clear" w:color="auto" w:fill="auto"/>
            <w:noWrap/>
            <w:vAlign w:val="center"/>
          </w:tcPr>
          <w:p w14:paraId="66012194"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i/>
                <w:iCs/>
                <w:color w:val="000000"/>
                <w:kern w:val="0"/>
                <w14:ligatures w14:val="none"/>
              </w:rPr>
              <w:t>Reference</w:t>
            </w:r>
          </w:p>
        </w:tc>
        <w:tc>
          <w:tcPr>
            <w:tcW w:w="1620" w:type="dxa"/>
            <w:tcBorders>
              <w:top w:val="nil"/>
              <w:left w:val="nil"/>
              <w:bottom w:val="nil"/>
              <w:right w:val="nil"/>
            </w:tcBorders>
            <w:shd w:val="clear" w:color="auto" w:fill="auto"/>
            <w:noWrap/>
            <w:vAlign w:val="center"/>
          </w:tcPr>
          <w:p w14:paraId="54721BAE"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F5727C" w:rsidRPr="004A7120" w14:paraId="04548719" w14:textId="77777777" w:rsidTr="00F5727C">
        <w:trPr>
          <w:trHeight w:val="320"/>
        </w:trPr>
        <w:tc>
          <w:tcPr>
            <w:tcW w:w="3960" w:type="dxa"/>
            <w:tcBorders>
              <w:top w:val="nil"/>
              <w:left w:val="nil"/>
              <w:bottom w:val="nil"/>
              <w:right w:val="nil"/>
            </w:tcBorders>
            <w:shd w:val="clear" w:color="auto" w:fill="auto"/>
            <w:noWrap/>
            <w:vAlign w:val="bottom"/>
          </w:tcPr>
          <w:p w14:paraId="17DA1BBB" w14:textId="17BB15D9" w:rsidR="00F5727C" w:rsidRPr="00F5727C" w:rsidRDefault="00F5727C" w:rsidP="00F5727C">
            <w:pPr>
              <w:spacing w:after="0" w:line="240" w:lineRule="auto"/>
              <w:rPr>
                <w:rFonts w:ascii="Times New Roman" w:eastAsia="Calibri" w:hAnsi="Times New Roman" w:cs="Times New Roman"/>
                <w:b/>
                <w:bCs/>
                <w:color w:val="000000"/>
                <w:kern w:val="0"/>
                <w14:ligatures w14:val="none"/>
              </w:rPr>
            </w:pPr>
            <w:r w:rsidRPr="00F5727C">
              <w:rPr>
                <w:rFonts w:ascii="Times New Roman" w:eastAsia="Calibri" w:hAnsi="Times New Roman" w:cs="Times New Roman"/>
                <w:b/>
                <w:bCs/>
                <w:color w:val="000000"/>
                <w:kern w:val="0"/>
                <w14:ligatures w14:val="none"/>
              </w:rPr>
              <w:t>Sex</w:t>
            </w:r>
          </w:p>
        </w:tc>
        <w:tc>
          <w:tcPr>
            <w:tcW w:w="7956" w:type="dxa"/>
            <w:gridSpan w:val="6"/>
            <w:tcBorders>
              <w:top w:val="nil"/>
              <w:left w:val="nil"/>
              <w:bottom w:val="nil"/>
              <w:right w:val="nil"/>
            </w:tcBorders>
            <w:shd w:val="clear" w:color="auto" w:fill="auto"/>
            <w:noWrap/>
            <w:vAlign w:val="center"/>
          </w:tcPr>
          <w:p w14:paraId="256683C4" w14:textId="77777777" w:rsidR="00F5727C" w:rsidRPr="004A7120" w:rsidRDefault="00F5727C" w:rsidP="004A7120">
            <w:pPr>
              <w:spacing w:after="0" w:line="240" w:lineRule="auto"/>
              <w:jc w:val="center"/>
              <w:rPr>
                <w:rFonts w:ascii="Times New Roman" w:eastAsia="Calibri" w:hAnsi="Times New Roman" w:cs="Times New Roman"/>
                <w:i/>
                <w:iCs/>
                <w:color w:val="000000"/>
                <w:kern w:val="0"/>
                <w14:ligatures w14:val="none"/>
              </w:rPr>
            </w:pPr>
          </w:p>
        </w:tc>
        <w:tc>
          <w:tcPr>
            <w:tcW w:w="1620" w:type="dxa"/>
            <w:tcBorders>
              <w:top w:val="nil"/>
              <w:left w:val="nil"/>
              <w:bottom w:val="nil"/>
              <w:right w:val="nil"/>
            </w:tcBorders>
            <w:shd w:val="clear" w:color="auto" w:fill="auto"/>
            <w:noWrap/>
            <w:vAlign w:val="center"/>
          </w:tcPr>
          <w:p w14:paraId="68D9BDD5" w14:textId="0F09552D" w:rsidR="00F5727C" w:rsidRPr="004A7120" w:rsidRDefault="00F5727C" w:rsidP="004A7120">
            <w:pPr>
              <w:spacing w:after="0" w:line="240" w:lineRule="auto"/>
              <w:jc w:val="center"/>
              <w:rPr>
                <w:rFonts w:ascii="Times New Roman" w:eastAsia="Calibri" w:hAnsi="Times New Roman" w:cs="Times New Roman"/>
                <w:color w:val="000000"/>
                <w:kern w:val="0"/>
                <w14:ligatures w14:val="none"/>
              </w:rPr>
            </w:pPr>
            <w:r w:rsidRPr="00087F4F">
              <w:rPr>
                <w:rFonts w:ascii="Times New Roman" w:eastAsia="Calibri" w:hAnsi="Times New Roman" w:cs="Times New Roman"/>
                <w:color w:val="000000"/>
                <w:kern w:val="0"/>
                <w14:ligatures w14:val="none"/>
              </w:rPr>
              <w:t>0.6710</w:t>
            </w:r>
          </w:p>
        </w:tc>
      </w:tr>
      <w:tr w:rsidR="00087F4F" w:rsidRPr="004A7120" w14:paraId="0D401F17" w14:textId="77777777" w:rsidTr="00F5727C">
        <w:trPr>
          <w:trHeight w:val="320"/>
        </w:trPr>
        <w:tc>
          <w:tcPr>
            <w:tcW w:w="3960" w:type="dxa"/>
            <w:tcBorders>
              <w:top w:val="nil"/>
              <w:left w:val="nil"/>
              <w:bottom w:val="nil"/>
              <w:right w:val="nil"/>
            </w:tcBorders>
            <w:shd w:val="clear" w:color="auto" w:fill="auto"/>
            <w:noWrap/>
            <w:vAlign w:val="bottom"/>
            <w:hideMark/>
          </w:tcPr>
          <w:p w14:paraId="3A61E44A"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Female</w:t>
            </w:r>
          </w:p>
        </w:tc>
        <w:tc>
          <w:tcPr>
            <w:tcW w:w="756" w:type="dxa"/>
            <w:tcBorders>
              <w:top w:val="nil"/>
              <w:left w:val="nil"/>
              <w:bottom w:val="nil"/>
              <w:right w:val="nil"/>
            </w:tcBorders>
            <w:shd w:val="clear" w:color="auto" w:fill="auto"/>
            <w:noWrap/>
            <w:vAlign w:val="center"/>
            <w:hideMark/>
          </w:tcPr>
          <w:p w14:paraId="587FB9EE"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1.060</w:t>
            </w:r>
          </w:p>
        </w:tc>
        <w:tc>
          <w:tcPr>
            <w:tcW w:w="1710" w:type="dxa"/>
            <w:tcBorders>
              <w:top w:val="nil"/>
              <w:left w:val="nil"/>
              <w:bottom w:val="nil"/>
              <w:right w:val="nil"/>
            </w:tcBorders>
            <w:shd w:val="clear" w:color="auto" w:fill="auto"/>
            <w:noWrap/>
            <w:vAlign w:val="center"/>
            <w:hideMark/>
          </w:tcPr>
          <w:p w14:paraId="370CD181"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0.901, 1.246</w:t>
            </w:r>
          </w:p>
        </w:tc>
        <w:tc>
          <w:tcPr>
            <w:tcW w:w="1530" w:type="dxa"/>
            <w:tcBorders>
              <w:top w:val="nil"/>
              <w:left w:val="nil"/>
              <w:bottom w:val="nil"/>
              <w:right w:val="nil"/>
            </w:tcBorders>
            <w:shd w:val="clear" w:color="auto" w:fill="auto"/>
            <w:noWrap/>
            <w:vAlign w:val="center"/>
            <w:hideMark/>
          </w:tcPr>
          <w:p w14:paraId="01CE06E0"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0.495</w:t>
            </w:r>
          </w:p>
        </w:tc>
        <w:tc>
          <w:tcPr>
            <w:tcW w:w="1170" w:type="dxa"/>
            <w:tcBorders>
              <w:top w:val="nil"/>
              <w:left w:val="nil"/>
              <w:bottom w:val="nil"/>
              <w:right w:val="nil"/>
            </w:tcBorders>
            <w:shd w:val="clear" w:color="auto" w:fill="auto"/>
            <w:noWrap/>
            <w:vAlign w:val="center"/>
            <w:hideMark/>
          </w:tcPr>
          <w:p w14:paraId="57EA7E04"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0.968</w:t>
            </w:r>
          </w:p>
        </w:tc>
        <w:tc>
          <w:tcPr>
            <w:tcW w:w="1620" w:type="dxa"/>
            <w:tcBorders>
              <w:top w:val="nil"/>
              <w:left w:val="nil"/>
              <w:bottom w:val="nil"/>
              <w:right w:val="nil"/>
            </w:tcBorders>
            <w:shd w:val="clear" w:color="auto" w:fill="auto"/>
            <w:noWrap/>
            <w:vAlign w:val="center"/>
            <w:hideMark/>
          </w:tcPr>
          <w:p w14:paraId="59F13399"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0.767, 1.221</w:t>
            </w:r>
          </w:p>
        </w:tc>
        <w:tc>
          <w:tcPr>
            <w:tcW w:w="1170" w:type="dxa"/>
            <w:tcBorders>
              <w:top w:val="nil"/>
              <w:left w:val="nil"/>
              <w:bottom w:val="nil"/>
              <w:right w:val="nil"/>
            </w:tcBorders>
            <w:shd w:val="clear" w:color="auto" w:fill="auto"/>
            <w:noWrap/>
            <w:vAlign w:val="center"/>
            <w:hideMark/>
          </w:tcPr>
          <w:p w14:paraId="155564C1"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0.782</w:t>
            </w:r>
          </w:p>
        </w:tc>
        <w:tc>
          <w:tcPr>
            <w:tcW w:w="1620" w:type="dxa"/>
            <w:tcBorders>
              <w:top w:val="nil"/>
              <w:left w:val="nil"/>
              <w:bottom w:val="nil"/>
              <w:right w:val="nil"/>
            </w:tcBorders>
            <w:shd w:val="clear" w:color="auto" w:fill="auto"/>
            <w:noWrap/>
            <w:vAlign w:val="center"/>
            <w:hideMark/>
          </w:tcPr>
          <w:p w14:paraId="0806F05F" w14:textId="74154B41"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2525FEB1" w14:textId="77777777" w:rsidTr="00F5727C">
        <w:trPr>
          <w:trHeight w:val="320"/>
        </w:trPr>
        <w:tc>
          <w:tcPr>
            <w:tcW w:w="3960" w:type="dxa"/>
            <w:tcBorders>
              <w:top w:val="nil"/>
              <w:left w:val="nil"/>
              <w:bottom w:val="nil"/>
              <w:right w:val="nil"/>
            </w:tcBorders>
            <w:shd w:val="clear" w:color="auto" w:fill="auto"/>
            <w:noWrap/>
            <w:vAlign w:val="bottom"/>
          </w:tcPr>
          <w:p w14:paraId="6FF58022"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Male</w:t>
            </w:r>
          </w:p>
        </w:tc>
        <w:tc>
          <w:tcPr>
            <w:tcW w:w="7956" w:type="dxa"/>
            <w:gridSpan w:val="6"/>
            <w:tcBorders>
              <w:top w:val="nil"/>
              <w:left w:val="nil"/>
              <w:bottom w:val="nil"/>
              <w:right w:val="nil"/>
            </w:tcBorders>
            <w:shd w:val="clear" w:color="auto" w:fill="auto"/>
            <w:noWrap/>
            <w:vAlign w:val="center"/>
          </w:tcPr>
          <w:p w14:paraId="38417CD5"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i/>
                <w:iCs/>
                <w:color w:val="000000"/>
                <w:kern w:val="0"/>
                <w14:ligatures w14:val="none"/>
              </w:rPr>
              <w:t>Reference</w:t>
            </w:r>
          </w:p>
        </w:tc>
        <w:tc>
          <w:tcPr>
            <w:tcW w:w="1620" w:type="dxa"/>
            <w:tcBorders>
              <w:top w:val="nil"/>
              <w:left w:val="nil"/>
              <w:bottom w:val="nil"/>
              <w:right w:val="nil"/>
            </w:tcBorders>
            <w:shd w:val="clear" w:color="auto" w:fill="auto"/>
            <w:noWrap/>
            <w:vAlign w:val="center"/>
          </w:tcPr>
          <w:p w14:paraId="435EC12F"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087F4F" w:rsidRPr="004A7120" w14:paraId="7B75BB6F" w14:textId="77777777" w:rsidTr="00F5727C">
        <w:trPr>
          <w:trHeight w:val="320"/>
        </w:trPr>
        <w:tc>
          <w:tcPr>
            <w:tcW w:w="3960" w:type="dxa"/>
            <w:tcBorders>
              <w:top w:val="nil"/>
              <w:left w:val="nil"/>
              <w:bottom w:val="nil"/>
              <w:right w:val="nil"/>
            </w:tcBorders>
            <w:shd w:val="clear" w:color="auto" w:fill="auto"/>
            <w:noWrap/>
            <w:vAlign w:val="bottom"/>
          </w:tcPr>
          <w:p w14:paraId="3DA8A53E" w14:textId="77777777" w:rsidR="004A7120" w:rsidRPr="004A7120" w:rsidRDefault="004A7120" w:rsidP="004A7120">
            <w:pPr>
              <w:spacing w:after="0" w:line="240" w:lineRule="auto"/>
              <w:rPr>
                <w:rFonts w:ascii="Times New Roman" w:eastAsia="Calibri" w:hAnsi="Times New Roman" w:cs="Times New Roman"/>
                <w:b/>
                <w:bCs/>
                <w:color w:val="000000"/>
                <w:kern w:val="0"/>
                <w:sz w:val="22"/>
                <w:szCs w:val="22"/>
                <w14:ligatures w14:val="none"/>
              </w:rPr>
            </w:pPr>
            <w:r w:rsidRPr="004A7120">
              <w:rPr>
                <w:rFonts w:ascii="Times New Roman" w:eastAsia="Calibri" w:hAnsi="Times New Roman" w:cs="Times New Roman"/>
                <w:b/>
                <w:bCs/>
                <w:color w:val="000000"/>
                <w:kern w:val="0"/>
                <w14:ligatures w14:val="none"/>
              </w:rPr>
              <w:t>Age Categories</w:t>
            </w:r>
          </w:p>
        </w:tc>
        <w:tc>
          <w:tcPr>
            <w:tcW w:w="756" w:type="dxa"/>
            <w:tcBorders>
              <w:top w:val="nil"/>
              <w:left w:val="nil"/>
              <w:bottom w:val="nil"/>
              <w:right w:val="nil"/>
            </w:tcBorders>
            <w:shd w:val="clear" w:color="auto" w:fill="auto"/>
            <w:noWrap/>
            <w:vAlign w:val="center"/>
          </w:tcPr>
          <w:p w14:paraId="09D8064E" w14:textId="77777777" w:rsidR="004A7120" w:rsidRPr="004A7120" w:rsidRDefault="004A7120" w:rsidP="004A7120">
            <w:pPr>
              <w:spacing w:after="0" w:line="240" w:lineRule="auto"/>
              <w:rPr>
                <w:rFonts w:ascii="Times New Roman" w:eastAsia="Calibri" w:hAnsi="Times New Roman" w:cs="Times New Roman"/>
                <w:b/>
                <w:bCs/>
                <w:color w:val="000000"/>
                <w:kern w:val="0"/>
                <w:sz w:val="22"/>
                <w:szCs w:val="22"/>
                <w14:ligatures w14:val="none"/>
              </w:rPr>
            </w:pPr>
          </w:p>
        </w:tc>
        <w:tc>
          <w:tcPr>
            <w:tcW w:w="1710" w:type="dxa"/>
            <w:tcBorders>
              <w:top w:val="nil"/>
              <w:left w:val="nil"/>
              <w:bottom w:val="nil"/>
              <w:right w:val="nil"/>
            </w:tcBorders>
            <w:shd w:val="clear" w:color="auto" w:fill="auto"/>
            <w:noWrap/>
            <w:vAlign w:val="center"/>
          </w:tcPr>
          <w:p w14:paraId="3F769C74"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530" w:type="dxa"/>
            <w:tcBorders>
              <w:top w:val="nil"/>
              <w:left w:val="nil"/>
              <w:bottom w:val="nil"/>
              <w:right w:val="nil"/>
            </w:tcBorders>
            <w:shd w:val="clear" w:color="auto" w:fill="auto"/>
            <w:noWrap/>
            <w:vAlign w:val="center"/>
          </w:tcPr>
          <w:p w14:paraId="445CD7DF"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170" w:type="dxa"/>
            <w:tcBorders>
              <w:top w:val="nil"/>
              <w:left w:val="nil"/>
              <w:bottom w:val="nil"/>
              <w:right w:val="nil"/>
            </w:tcBorders>
            <w:shd w:val="clear" w:color="auto" w:fill="auto"/>
            <w:noWrap/>
            <w:vAlign w:val="center"/>
          </w:tcPr>
          <w:p w14:paraId="38D255A9"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620" w:type="dxa"/>
            <w:tcBorders>
              <w:top w:val="nil"/>
              <w:left w:val="nil"/>
              <w:bottom w:val="nil"/>
              <w:right w:val="nil"/>
            </w:tcBorders>
            <w:shd w:val="clear" w:color="auto" w:fill="auto"/>
            <w:noWrap/>
            <w:vAlign w:val="center"/>
          </w:tcPr>
          <w:p w14:paraId="782D1174"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170" w:type="dxa"/>
            <w:tcBorders>
              <w:top w:val="nil"/>
              <w:left w:val="nil"/>
              <w:bottom w:val="nil"/>
              <w:right w:val="nil"/>
            </w:tcBorders>
            <w:shd w:val="clear" w:color="auto" w:fill="auto"/>
            <w:noWrap/>
            <w:vAlign w:val="center"/>
          </w:tcPr>
          <w:p w14:paraId="74037FE8"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620" w:type="dxa"/>
            <w:tcBorders>
              <w:top w:val="nil"/>
              <w:left w:val="nil"/>
              <w:bottom w:val="nil"/>
              <w:right w:val="nil"/>
            </w:tcBorders>
            <w:shd w:val="clear" w:color="auto" w:fill="auto"/>
            <w:noWrap/>
            <w:vAlign w:val="center"/>
          </w:tcPr>
          <w:p w14:paraId="454ECF5B"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&lt;0.001</w:t>
            </w:r>
          </w:p>
        </w:tc>
      </w:tr>
      <w:tr w:rsidR="00087F4F" w:rsidRPr="004A7120" w14:paraId="22F73817" w14:textId="77777777" w:rsidTr="00F5727C">
        <w:trPr>
          <w:trHeight w:val="320"/>
        </w:trPr>
        <w:tc>
          <w:tcPr>
            <w:tcW w:w="3960" w:type="dxa"/>
            <w:tcBorders>
              <w:top w:val="nil"/>
              <w:left w:val="nil"/>
              <w:bottom w:val="nil"/>
              <w:right w:val="nil"/>
            </w:tcBorders>
            <w:shd w:val="clear" w:color="auto" w:fill="auto"/>
            <w:noWrap/>
            <w:vAlign w:val="bottom"/>
          </w:tcPr>
          <w:p w14:paraId="6EA4884F" w14:textId="77777777" w:rsidR="004A7120" w:rsidRPr="004A7120" w:rsidRDefault="004A7120" w:rsidP="004A7120">
            <w:pPr>
              <w:spacing w:after="0" w:line="240" w:lineRule="auto"/>
              <w:ind w:left="720"/>
              <w:rPr>
                <w:rFonts w:ascii="Times New Roman" w:eastAsia="Calibri" w:hAnsi="Times New Roman" w:cs="Times New Roman"/>
                <w:b/>
                <w:bCs/>
                <w:color w:val="000000"/>
                <w:kern w:val="0"/>
                <w:sz w:val="22"/>
                <w:szCs w:val="22"/>
                <w14:ligatures w14:val="none"/>
              </w:rPr>
            </w:pPr>
            <w:r w:rsidRPr="004A7120">
              <w:rPr>
                <w:rFonts w:ascii="Times New Roman" w:eastAsia="Calibri" w:hAnsi="Times New Roman" w:cs="Times New Roman"/>
                <w:color w:val="000000"/>
                <w:kern w:val="0"/>
                <w14:ligatures w14:val="none"/>
              </w:rPr>
              <w:t>55-59 years old</w:t>
            </w:r>
          </w:p>
        </w:tc>
        <w:tc>
          <w:tcPr>
            <w:tcW w:w="756" w:type="dxa"/>
            <w:tcBorders>
              <w:top w:val="nil"/>
              <w:left w:val="nil"/>
              <w:bottom w:val="nil"/>
              <w:right w:val="nil"/>
            </w:tcBorders>
            <w:shd w:val="clear" w:color="auto" w:fill="auto"/>
            <w:noWrap/>
            <w:vAlign w:val="center"/>
          </w:tcPr>
          <w:p w14:paraId="390E299F"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sz w:val="22"/>
                <w:szCs w:val="22"/>
                <w14:ligatures w14:val="none"/>
              </w:rPr>
            </w:pPr>
            <w:r w:rsidRPr="004A7120">
              <w:rPr>
                <w:rFonts w:ascii="Times New Roman" w:eastAsia="Calibri" w:hAnsi="Times New Roman" w:cs="Times New Roman"/>
                <w:color w:val="000000"/>
                <w:kern w:val="0"/>
                <w14:ligatures w14:val="none"/>
              </w:rPr>
              <w:t>1.427</w:t>
            </w:r>
          </w:p>
        </w:tc>
        <w:tc>
          <w:tcPr>
            <w:tcW w:w="1710" w:type="dxa"/>
            <w:tcBorders>
              <w:top w:val="nil"/>
              <w:left w:val="nil"/>
              <w:bottom w:val="nil"/>
              <w:right w:val="nil"/>
            </w:tcBorders>
            <w:shd w:val="clear" w:color="auto" w:fill="auto"/>
            <w:noWrap/>
            <w:vAlign w:val="center"/>
          </w:tcPr>
          <w:p w14:paraId="6F5F9A64"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1.037, 1.964</w:t>
            </w:r>
          </w:p>
        </w:tc>
        <w:tc>
          <w:tcPr>
            <w:tcW w:w="1530" w:type="dxa"/>
            <w:tcBorders>
              <w:top w:val="nil"/>
              <w:left w:val="nil"/>
              <w:bottom w:val="nil"/>
              <w:right w:val="nil"/>
            </w:tcBorders>
            <w:shd w:val="clear" w:color="auto" w:fill="auto"/>
            <w:noWrap/>
            <w:vAlign w:val="center"/>
          </w:tcPr>
          <w:p w14:paraId="41B2E22B"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0.029</w:t>
            </w:r>
          </w:p>
        </w:tc>
        <w:tc>
          <w:tcPr>
            <w:tcW w:w="1170" w:type="dxa"/>
            <w:tcBorders>
              <w:top w:val="nil"/>
              <w:left w:val="nil"/>
              <w:bottom w:val="nil"/>
              <w:right w:val="nil"/>
            </w:tcBorders>
            <w:shd w:val="clear" w:color="auto" w:fill="auto"/>
            <w:noWrap/>
            <w:vAlign w:val="center"/>
          </w:tcPr>
          <w:p w14:paraId="069B5E92"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1.316</w:t>
            </w:r>
          </w:p>
        </w:tc>
        <w:tc>
          <w:tcPr>
            <w:tcW w:w="1620" w:type="dxa"/>
            <w:tcBorders>
              <w:top w:val="nil"/>
              <w:left w:val="nil"/>
              <w:bottom w:val="nil"/>
              <w:right w:val="nil"/>
            </w:tcBorders>
            <w:shd w:val="clear" w:color="auto" w:fill="auto"/>
            <w:noWrap/>
            <w:vAlign w:val="center"/>
          </w:tcPr>
          <w:p w14:paraId="1187BD71"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0.739, 2.342</w:t>
            </w:r>
          </w:p>
        </w:tc>
        <w:tc>
          <w:tcPr>
            <w:tcW w:w="1170" w:type="dxa"/>
            <w:tcBorders>
              <w:top w:val="nil"/>
              <w:left w:val="nil"/>
              <w:bottom w:val="nil"/>
              <w:right w:val="nil"/>
            </w:tcBorders>
            <w:shd w:val="clear" w:color="auto" w:fill="auto"/>
            <w:noWrap/>
            <w:vAlign w:val="center"/>
          </w:tcPr>
          <w:p w14:paraId="1F7B4695"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0.351</w:t>
            </w:r>
          </w:p>
        </w:tc>
        <w:tc>
          <w:tcPr>
            <w:tcW w:w="1620" w:type="dxa"/>
            <w:tcBorders>
              <w:top w:val="nil"/>
              <w:left w:val="nil"/>
              <w:bottom w:val="nil"/>
              <w:right w:val="nil"/>
            </w:tcBorders>
            <w:shd w:val="clear" w:color="auto" w:fill="auto"/>
            <w:noWrap/>
            <w:vAlign w:val="bottom"/>
          </w:tcPr>
          <w:p w14:paraId="574F9440"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087F4F" w:rsidRPr="004A7120" w14:paraId="3C6967C5" w14:textId="77777777" w:rsidTr="00F5727C">
        <w:trPr>
          <w:trHeight w:val="320"/>
        </w:trPr>
        <w:tc>
          <w:tcPr>
            <w:tcW w:w="3960" w:type="dxa"/>
            <w:tcBorders>
              <w:top w:val="nil"/>
              <w:left w:val="nil"/>
              <w:bottom w:val="nil"/>
              <w:right w:val="nil"/>
            </w:tcBorders>
            <w:shd w:val="clear" w:color="auto" w:fill="auto"/>
            <w:noWrap/>
            <w:vAlign w:val="bottom"/>
          </w:tcPr>
          <w:p w14:paraId="012F7FDC" w14:textId="77777777" w:rsidR="004A7120" w:rsidRPr="004A7120" w:rsidRDefault="004A7120" w:rsidP="004A7120">
            <w:pPr>
              <w:spacing w:after="0" w:line="240" w:lineRule="auto"/>
              <w:ind w:left="720"/>
              <w:rPr>
                <w:rFonts w:ascii="Times New Roman" w:eastAsia="Calibri" w:hAnsi="Times New Roman" w:cs="Times New Roman"/>
                <w:b/>
                <w:bCs/>
                <w:color w:val="000000"/>
                <w:kern w:val="0"/>
                <w:sz w:val="22"/>
                <w:szCs w:val="22"/>
                <w14:ligatures w14:val="none"/>
              </w:rPr>
            </w:pPr>
            <w:r w:rsidRPr="004A7120">
              <w:rPr>
                <w:rFonts w:ascii="Times New Roman" w:eastAsia="Calibri" w:hAnsi="Times New Roman" w:cs="Times New Roman"/>
                <w:color w:val="000000"/>
                <w:kern w:val="0"/>
                <w14:ligatures w14:val="none"/>
              </w:rPr>
              <w:t>60-64 years old</w:t>
            </w:r>
          </w:p>
        </w:tc>
        <w:tc>
          <w:tcPr>
            <w:tcW w:w="756" w:type="dxa"/>
            <w:tcBorders>
              <w:top w:val="nil"/>
              <w:left w:val="nil"/>
              <w:bottom w:val="nil"/>
              <w:right w:val="nil"/>
            </w:tcBorders>
            <w:shd w:val="clear" w:color="auto" w:fill="auto"/>
            <w:noWrap/>
            <w:vAlign w:val="center"/>
          </w:tcPr>
          <w:p w14:paraId="1648C290"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sz w:val="22"/>
                <w:szCs w:val="22"/>
                <w14:ligatures w14:val="none"/>
              </w:rPr>
            </w:pPr>
            <w:r w:rsidRPr="004A7120">
              <w:rPr>
                <w:rFonts w:ascii="Times New Roman" w:eastAsia="Calibri" w:hAnsi="Times New Roman" w:cs="Times New Roman"/>
                <w:color w:val="000000"/>
                <w:kern w:val="0"/>
                <w14:ligatures w14:val="none"/>
              </w:rPr>
              <w:t>1.352</w:t>
            </w:r>
          </w:p>
        </w:tc>
        <w:tc>
          <w:tcPr>
            <w:tcW w:w="1710" w:type="dxa"/>
            <w:tcBorders>
              <w:top w:val="nil"/>
              <w:left w:val="nil"/>
              <w:bottom w:val="nil"/>
              <w:right w:val="nil"/>
            </w:tcBorders>
            <w:shd w:val="clear" w:color="auto" w:fill="auto"/>
            <w:noWrap/>
            <w:vAlign w:val="center"/>
          </w:tcPr>
          <w:p w14:paraId="005CC52A"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1.017, 1.798</w:t>
            </w:r>
          </w:p>
        </w:tc>
        <w:tc>
          <w:tcPr>
            <w:tcW w:w="1530" w:type="dxa"/>
            <w:tcBorders>
              <w:top w:val="nil"/>
              <w:left w:val="nil"/>
              <w:bottom w:val="nil"/>
              <w:right w:val="nil"/>
            </w:tcBorders>
            <w:shd w:val="clear" w:color="auto" w:fill="auto"/>
            <w:noWrap/>
            <w:vAlign w:val="center"/>
          </w:tcPr>
          <w:p w14:paraId="020499BE"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0.038</w:t>
            </w:r>
          </w:p>
        </w:tc>
        <w:tc>
          <w:tcPr>
            <w:tcW w:w="1170" w:type="dxa"/>
            <w:tcBorders>
              <w:top w:val="nil"/>
              <w:left w:val="nil"/>
              <w:bottom w:val="nil"/>
              <w:right w:val="nil"/>
            </w:tcBorders>
            <w:shd w:val="clear" w:color="auto" w:fill="auto"/>
            <w:noWrap/>
            <w:vAlign w:val="center"/>
          </w:tcPr>
          <w:p w14:paraId="058AAFB6"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2.028</w:t>
            </w:r>
          </w:p>
        </w:tc>
        <w:tc>
          <w:tcPr>
            <w:tcW w:w="1620" w:type="dxa"/>
            <w:tcBorders>
              <w:top w:val="nil"/>
              <w:left w:val="nil"/>
              <w:bottom w:val="nil"/>
              <w:right w:val="nil"/>
            </w:tcBorders>
            <w:shd w:val="clear" w:color="auto" w:fill="auto"/>
            <w:noWrap/>
            <w:vAlign w:val="center"/>
          </w:tcPr>
          <w:p w14:paraId="34837A43"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1.253, 3.283</w:t>
            </w:r>
          </w:p>
        </w:tc>
        <w:tc>
          <w:tcPr>
            <w:tcW w:w="1170" w:type="dxa"/>
            <w:tcBorders>
              <w:top w:val="nil"/>
              <w:left w:val="nil"/>
              <w:bottom w:val="nil"/>
              <w:right w:val="nil"/>
            </w:tcBorders>
            <w:shd w:val="clear" w:color="auto" w:fill="auto"/>
            <w:noWrap/>
            <w:vAlign w:val="center"/>
          </w:tcPr>
          <w:p w14:paraId="32F63189"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0.004</w:t>
            </w:r>
          </w:p>
        </w:tc>
        <w:tc>
          <w:tcPr>
            <w:tcW w:w="1620" w:type="dxa"/>
            <w:tcBorders>
              <w:top w:val="nil"/>
              <w:left w:val="nil"/>
              <w:bottom w:val="nil"/>
              <w:right w:val="nil"/>
            </w:tcBorders>
            <w:shd w:val="clear" w:color="auto" w:fill="auto"/>
            <w:noWrap/>
            <w:vAlign w:val="bottom"/>
          </w:tcPr>
          <w:p w14:paraId="29D71C67"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087F4F" w:rsidRPr="004A7120" w14:paraId="42060054" w14:textId="77777777" w:rsidTr="00F5727C">
        <w:trPr>
          <w:trHeight w:val="320"/>
        </w:trPr>
        <w:tc>
          <w:tcPr>
            <w:tcW w:w="3960" w:type="dxa"/>
            <w:tcBorders>
              <w:top w:val="nil"/>
              <w:left w:val="nil"/>
              <w:bottom w:val="nil"/>
              <w:right w:val="nil"/>
            </w:tcBorders>
            <w:shd w:val="clear" w:color="auto" w:fill="auto"/>
            <w:noWrap/>
            <w:vAlign w:val="bottom"/>
          </w:tcPr>
          <w:p w14:paraId="32BECDEE" w14:textId="77777777" w:rsidR="004A7120" w:rsidRPr="004A7120" w:rsidRDefault="004A7120" w:rsidP="004A7120">
            <w:pPr>
              <w:spacing w:after="0" w:line="240" w:lineRule="auto"/>
              <w:ind w:left="720"/>
              <w:rPr>
                <w:rFonts w:ascii="Times New Roman" w:eastAsia="Calibri" w:hAnsi="Times New Roman" w:cs="Times New Roman"/>
                <w:b/>
                <w:bCs/>
                <w:color w:val="000000"/>
                <w:kern w:val="0"/>
                <w:sz w:val="22"/>
                <w:szCs w:val="22"/>
                <w14:ligatures w14:val="none"/>
              </w:rPr>
            </w:pPr>
            <w:r w:rsidRPr="004A7120">
              <w:rPr>
                <w:rFonts w:ascii="Times New Roman" w:eastAsia="Calibri" w:hAnsi="Times New Roman" w:cs="Times New Roman"/>
                <w:color w:val="000000"/>
                <w:kern w:val="0"/>
                <w14:ligatures w14:val="none"/>
              </w:rPr>
              <w:t>65-69 years old</w:t>
            </w:r>
          </w:p>
        </w:tc>
        <w:tc>
          <w:tcPr>
            <w:tcW w:w="756" w:type="dxa"/>
            <w:tcBorders>
              <w:top w:val="nil"/>
              <w:left w:val="nil"/>
              <w:bottom w:val="nil"/>
              <w:right w:val="nil"/>
            </w:tcBorders>
            <w:shd w:val="clear" w:color="auto" w:fill="auto"/>
            <w:noWrap/>
            <w:vAlign w:val="center"/>
          </w:tcPr>
          <w:p w14:paraId="5CEEE360"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sz w:val="22"/>
                <w:szCs w:val="22"/>
                <w14:ligatures w14:val="none"/>
              </w:rPr>
            </w:pPr>
            <w:r w:rsidRPr="004A7120">
              <w:rPr>
                <w:rFonts w:ascii="Times New Roman" w:eastAsia="Calibri" w:hAnsi="Times New Roman" w:cs="Times New Roman"/>
                <w:color w:val="000000"/>
                <w:kern w:val="0"/>
                <w14:ligatures w14:val="none"/>
              </w:rPr>
              <w:t>1.58</w:t>
            </w:r>
          </w:p>
        </w:tc>
        <w:tc>
          <w:tcPr>
            <w:tcW w:w="1710" w:type="dxa"/>
            <w:tcBorders>
              <w:top w:val="nil"/>
              <w:left w:val="nil"/>
              <w:bottom w:val="nil"/>
              <w:right w:val="nil"/>
            </w:tcBorders>
            <w:shd w:val="clear" w:color="auto" w:fill="auto"/>
            <w:noWrap/>
            <w:vAlign w:val="center"/>
          </w:tcPr>
          <w:p w14:paraId="5395B164"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1.198, 2.085</w:t>
            </w:r>
          </w:p>
        </w:tc>
        <w:tc>
          <w:tcPr>
            <w:tcW w:w="1530" w:type="dxa"/>
            <w:tcBorders>
              <w:top w:val="nil"/>
              <w:left w:val="nil"/>
              <w:bottom w:val="nil"/>
              <w:right w:val="nil"/>
            </w:tcBorders>
            <w:shd w:val="clear" w:color="auto" w:fill="auto"/>
            <w:noWrap/>
            <w:vAlign w:val="center"/>
          </w:tcPr>
          <w:p w14:paraId="30C3292A"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0.001</w:t>
            </w:r>
          </w:p>
        </w:tc>
        <w:tc>
          <w:tcPr>
            <w:tcW w:w="1170" w:type="dxa"/>
            <w:tcBorders>
              <w:top w:val="nil"/>
              <w:left w:val="nil"/>
              <w:bottom w:val="nil"/>
              <w:right w:val="nil"/>
            </w:tcBorders>
            <w:shd w:val="clear" w:color="auto" w:fill="auto"/>
            <w:noWrap/>
            <w:vAlign w:val="center"/>
          </w:tcPr>
          <w:p w14:paraId="4A0EEFF2"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2.884</w:t>
            </w:r>
          </w:p>
        </w:tc>
        <w:tc>
          <w:tcPr>
            <w:tcW w:w="1620" w:type="dxa"/>
            <w:tcBorders>
              <w:top w:val="nil"/>
              <w:left w:val="nil"/>
              <w:bottom w:val="nil"/>
              <w:right w:val="nil"/>
            </w:tcBorders>
            <w:shd w:val="clear" w:color="auto" w:fill="auto"/>
            <w:noWrap/>
            <w:vAlign w:val="center"/>
          </w:tcPr>
          <w:p w14:paraId="3A17FFE4"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1.822, 4.566</w:t>
            </w:r>
          </w:p>
        </w:tc>
        <w:tc>
          <w:tcPr>
            <w:tcW w:w="1170" w:type="dxa"/>
            <w:tcBorders>
              <w:top w:val="nil"/>
              <w:left w:val="nil"/>
              <w:bottom w:val="nil"/>
              <w:right w:val="nil"/>
            </w:tcBorders>
            <w:shd w:val="clear" w:color="auto" w:fill="auto"/>
            <w:noWrap/>
            <w:vAlign w:val="center"/>
          </w:tcPr>
          <w:p w14:paraId="45C093A9"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&lt;0.001</w:t>
            </w:r>
          </w:p>
        </w:tc>
        <w:tc>
          <w:tcPr>
            <w:tcW w:w="1620" w:type="dxa"/>
            <w:tcBorders>
              <w:top w:val="nil"/>
              <w:left w:val="nil"/>
              <w:bottom w:val="nil"/>
              <w:right w:val="nil"/>
            </w:tcBorders>
            <w:shd w:val="clear" w:color="auto" w:fill="auto"/>
            <w:noWrap/>
            <w:vAlign w:val="bottom"/>
          </w:tcPr>
          <w:p w14:paraId="07ED9F54"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087F4F" w:rsidRPr="004A7120" w14:paraId="68C62D26" w14:textId="77777777" w:rsidTr="00F5727C">
        <w:trPr>
          <w:trHeight w:val="320"/>
        </w:trPr>
        <w:tc>
          <w:tcPr>
            <w:tcW w:w="3960" w:type="dxa"/>
            <w:tcBorders>
              <w:top w:val="nil"/>
              <w:left w:val="nil"/>
              <w:bottom w:val="nil"/>
              <w:right w:val="nil"/>
            </w:tcBorders>
            <w:shd w:val="clear" w:color="auto" w:fill="auto"/>
            <w:noWrap/>
            <w:vAlign w:val="bottom"/>
          </w:tcPr>
          <w:p w14:paraId="7B4773CC" w14:textId="77777777" w:rsidR="004A7120" w:rsidRPr="004A7120" w:rsidRDefault="004A7120" w:rsidP="004A7120">
            <w:pPr>
              <w:spacing w:after="0" w:line="240" w:lineRule="auto"/>
              <w:ind w:left="720"/>
              <w:rPr>
                <w:rFonts w:ascii="Times New Roman" w:eastAsia="Calibri" w:hAnsi="Times New Roman" w:cs="Times New Roman"/>
                <w:b/>
                <w:bCs/>
                <w:color w:val="000000"/>
                <w:kern w:val="0"/>
                <w:sz w:val="22"/>
                <w:szCs w:val="22"/>
                <w14:ligatures w14:val="none"/>
              </w:rPr>
            </w:pPr>
            <w:r w:rsidRPr="004A7120">
              <w:rPr>
                <w:rFonts w:ascii="Times New Roman" w:eastAsia="Calibri" w:hAnsi="Times New Roman" w:cs="Times New Roman"/>
                <w:color w:val="000000"/>
                <w:kern w:val="0"/>
                <w14:ligatures w14:val="none"/>
              </w:rPr>
              <w:t>70-74 years old</w:t>
            </w:r>
          </w:p>
        </w:tc>
        <w:tc>
          <w:tcPr>
            <w:tcW w:w="756" w:type="dxa"/>
            <w:tcBorders>
              <w:top w:val="nil"/>
              <w:left w:val="nil"/>
              <w:bottom w:val="nil"/>
              <w:right w:val="nil"/>
            </w:tcBorders>
            <w:shd w:val="clear" w:color="auto" w:fill="auto"/>
            <w:noWrap/>
            <w:vAlign w:val="center"/>
          </w:tcPr>
          <w:p w14:paraId="7F325EC7"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sz w:val="22"/>
                <w:szCs w:val="22"/>
                <w14:ligatures w14:val="none"/>
              </w:rPr>
            </w:pPr>
            <w:r w:rsidRPr="004A7120">
              <w:rPr>
                <w:rFonts w:ascii="Times New Roman" w:eastAsia="Calibri" w:hAnsi="Times New Roman" w:cs="Times New Roman"/>
                <w:color w:val="000000"/>
                <w:kern w:val="0"/>
                <w14:ligatures w14:val="none"/>
              </w:rPr>
              <w:t>1.267</w:t>
            </w:r>
          </w:p>
        </w:tc>
        <w:tc>
          <w:tcPr>
            <w:tcW w:w="1710" w:type="dxa"/>
            <w:tcBorders>
              <w:top w:val="nil"/>
              <w:left w:val="nil"/>
              <w:bottom w:val="nil"/>
              <w:right w:val="nil"/>
            </w:tcBorders>
            <w:shd w:val="clear" w:color="auto" w:fill="auto"/>
            <w:noWrap/>
            <w:vAlign w:val="center"/>
          </w:tcPr>
          <w:p w14:paraId="4A6AFA4B"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0.958, 1.675</w:t>
            </w:r>
          </w:p>
        </w:tc>
        <w:tc>
          <w:tcPr>
            <w:tcW w:w="1530" w:type="dxa"/>
            <w:tcBorders>
              <w:top w:val="nil"/>
              <w:left w:val="nil"/>
              <w:bottom w:val="nil"/>
              <w:right w:val="nil"/>
            </w:tcBorders>
            <w:shd w:val="clear" w:color="auto" w:fill="auto"/>
            <w:noWrap/>
            <w:vAlign w:val="center"/>
          </w:tcPr>
          <w:p w14:paraId="0510EEC9"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0.097</w:t>
            </w:r>
          </w:p>
        </w:tc>
        <w:tc>
          <w:tcPr>
            <w:tcW w:w="1170" w:type="dxa"/>
            <w:tcBorders>
              <w:top w:val="nil"/>
              <w:left w:val="nil"/>
              <w:bottom w:val="nil"/>
              <w:right w:val="nil"/>
            </w:tcBorders>
            <w:shd w:val="clear" w:color="auto" w:fill="auto"/>
            <w:noWrap/>
            <w:vAlign w:val="center"/>
          </w:tcPr>
          <w:p w14:paraId="75A538D5"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2.75</w:t>
            </w:r>
          </w:p>
        </w:tc>
        <w:tc>
          <w:tcPr>
            <w:tcW w:w="1620" w:type="dxa"/>
            <w:tcBorders>
              <w:top w:val="nil"/>
              <w:left w:val="nil"/>
              <w:bottom w:val="nil"/>
              <w:right w:val="nil"/>
            </w:tcBorders>
            <w:shd w:val="clear" w:color="auto" w:fill="auto"/>
            <w:noWrap/>
            <w:vAlign w:val="center"/>
          </w:tcPr>
          <w:p w14:paraId="5E823CD6"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1.740, 4.345</w:t>
            </w:r>
          </w:p>
        </w:tc>
        <w:tc>
          <w:tcPr>
            <w:tcW w:w="1170" w:type="dxa"/>
            <w:tcBorders>
              <w:top w:val="nil"/>
              <w:left w:val="nil"/>
              <w:bottom w:val="nil"/>
              <w:right w:val="nil"/>
            </w:tcBorders>
            <w:shd w:val="clear" w:color="auto" w:fill="auto"/>
            <w:noWrap/>
            <w:vAlign w:val="center"/>
          </w:tcPr>
          <w:p w14:paraId="4564C884"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&lt;0.001</w:t>
            </w:r>
          </w:p>
        </w:tc>
        <w:tc>
          <w:tcPr>
            <w:tcW w:w="1620" w:type="dxa"/>
            <w:tcBorders>
              <w:top w:val="nil"/>
              <w:left w:val="nil"/>
              <w:bottom w:val="nil"/>
              <w:right w:val="nil"/>
            </w:tcBorders>
            <w:shd w:val="clear" w:color="auto" w:fill="auto"/>
            <w:noWrap/>
            <w:vAlign w:val="bottom"/>
          </w:tcPr>
          <w:p w14:paraId="466D4393"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087F4F" w:rsidRPr="004A7120" w14:paraId="34646497" w14:textId="77777777" w:rsidTr="00F5727C">
        <w:trPr>
          <w:trHeight w:val="320"/>
        </w:trPr>
        <w:tc>
          <w:tcPr>
            <w:tcW w:w="3960" w:type="dxa"/>
            <w:tcBorders>
              <w:top w:val="nil"/>
              <w:left w:val="nil"/>
              <w:bottom w:val="nil"/>
              <w:right w:val="nil"/>
            </w:tcBorders>
            <w:shd w:val="clear" w:color="auto" w:fill="auto"/>
            <w:noWrap/>
            <w:vAlign w:val="bottom"/>
          </w:tcPr>
          <w:p w14:paraId="15BF0757" w14:textId="77777777" w:rsidR="004A7120" w:rsidRPr="004A7120" w:rsidRDefault="004A7120" w:rsidP="004A7120">
            <w:pPr>
              <w:spacing w:after="0" w:line="240" w:lineRule="auto"/>
              <w:ind w:left="720"/>
              <w:rPr>
                <w:rFonts w:ascii="Times New Roman" w:eastAsia="Calibri" w:hAnsi="Times New Roman" w:cs="Times New Roman"/>
                <w:b/>
                <w:bCs/>
                <w:color w:val="000000"/>
                <w:kern w:val="0"/>
                <w:sz w:val="22"/>
                <w:szCs w:val="22"/>
                <w14:ligatures w14:val="none"/>
              </w:rPr>
            </w:pPr>
            <w:r w:rsidRPr="004A7120">
              <w:rPr>
                <w:rFonts w:ascii="Times New Roman" w:eastAsia="Calibri" w:hAnsi="Times New Roman" w:cs="Times New Roman"/>
                <w:color w:val="000000"/>
                <w:kern w:val="0"/>
                <w14:ligatures w14:val="none"/>
              </w:rPr>
              <w:t>≥ 75 years old</w:t>
            </w:r>
          </w:p>
        </w:tc>
        <w:tc>
          <w:tcPr>
            <w:tcW w:w="756" w:type="dxa"/>
            <w:tcBorders>
              <w:top w:val="nil"/>
              <w:left w:val="nil"/>
              <w:bottom w:val="nil"/>
              <w:right w:val="nil"/>
            </w:tcBorders>
            <w:shd w:val="clear" w:color="auto" w:fill="auto"/>
            <w:noWrap/>
            <w:vAlign w:val="center"/>
          </w:tcPr>
          <w:p w14:paraId="5C8943BC"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sz w:val="22"/>
                <w:szCs w:val="22"/>
                <w14:ligatures w14:val="none"/>
              </w:rPr>
            </w:pPr>
            <w:r w:rsidRPr="004A7120">
              <w:rPr>
                <w:rFonts w:ascii="Times New Roman" w:eastAsia="Calibri" w:hAnsi="Times New Roman" w:cs="Times New Roman"/>
                <w:color w:val="000000"/>
                <w:kern w:val="0"/>
                <w14:ligatures w14:val="none"/>
              </w:rPr>
              <w:t>1.557</w:t>
            </w:r>
          </w:p>
        </w:tc>
        <w:tc>
          <w:tcPr>
            <w:tcW w:w="1710" w:type="dxa"/>
            <w:tcBorders>
              <w:top w:val="nil"/>
              <w:left w:val="nil"/>
              <w:bottom w:val="nil"/>
              <w:right w:val="nil"/>
            </w:tcBorders>
            <w:shd w:val="clear" w:color="auto" w:fill="auto"/>
            <w:noWrap/>
            <w:vAlign w:val="center"/>
          </w:tcPr>
          <w:p w14:paraId="18F866CE"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1.214, 1.998</w:t>
            </w:r>
          </w:p>
        </w:tc>
        <w:tc>
          <w:tcPr>
            <w:tcW w:w="1530" w:type="dxa"/>
            <w:tcBorders>
              <w:top w:val="nil"/>
              <w:left w:val="nil"/>
              <w:bottom w:val="nil"/>
              <w:right w:val="nil"/>
            </w:tcBorders>
            <w:shd w:val="clear" w:color="auto" w:fill="auto"/>
            <w:noWrap/>
            <w:vAlign w:val="center"/>
          </w:tcPr>
          <w:p w14:paraId="0C8CA8B5"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&lt;0.001</w:t>
            </w:r>
          </w:p>
        </w:tc>
        <w:tc>
          <w:tcPr>
            <w:tcW w:w="1170" w:type="dxa"/>
            <w:tcBorders>
              <w:top w:val="nil"/>
              <w:left w:val="nil"/>
              <w:bottom w:val="nil"/>
              <w:right w:val="nil"/>
            </w:tcBorders>
            <w:shd w:val="clear" w:color="auto" w:fill="auto"/>
            <w:noWrap/>
            <w:vAlign w:val="center"/>
          </w:tcPr>
          <w:p w14:paraId="0B30E041"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2.789</w:t>
            </w:r>
          </w:p>
        </w:tc>
        <w:tc>
          <w:tcPr>
            <w:tcW w:w="1620" w:type="dxa"/>
            <w:tcBorders>
              <w:top w:val="nil"/>
              <w:left w:val="nil"/>
              <w:bottom w:val="nil"/>
              <w:right w:val="nil"/>
            </w:tcBorders>
            <w:shd w:val="clear" w:color="auto" w:fill="auto"/>
            <w:noWrap/>
            <w:vAlign w:val="center"/>
          </w:tcPr>
          <w:p w14:paraId="6D17CF70"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1.815, 4.296</w:t>
            </w:r>
          </w:p>
        </w:tc>
        <w:tc>
          <w:tcPr>
            <w:tcW w:w="1170" w:type="dxa"/>
            <w:tcBorders>
              <w:top w:val="nil"/>
              <w:left w:val="nil"/>
              <w:bottom w:val="nil"/>
              <w:right w:val="nil"/>
            </w:tcBorders>
            <w:shd w:val="clear" w:color="auto" w:fill="auto"/>
            <w:noWrap/>
            <w:vAlign w:val="center"/>
          </w:tcPr>
          <w:p w14:paraId="457DF3DF"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&lt;0.001</w:t>
            </w:r>
          </w:p>
        </w:tc>
        <w:tc>
          <w:tcPr>
            <w:tcW w:w="1620" w:type="dxa"/>
            <w:tcBorders>
              <w:top w:val="nil"/>
              <w:left w:val="nil"/>
              <w:bottom w:val="nil"/>
              <w:right w:val="nil"/>
            </w:tcBorders>
            <w:shd w:val="clear" w:color="auto" w:fill="auto"/>
            <w:noWrap/>
            <w:vAlign w:val="bottom"/>
          </w:tcPr>
          <w:p w14:paraId="0C019957"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6D9190FB" w14:textId="77777777" w:rsidTr="00F5727C">
        <w:trPr>
          <w:trHeight w:val="320"/>
        </w:trPr>
        <w:tc>
          <w:tcPr>
            <w:tcW w:w="3960" w:type="dxa"/>
            <w:tcBorders>
              <w:top w:val="nil"/>
              <w:left w:val="nil"/>
              <w:bottom w:val="nil"/>
              <w:right w:val="nil"/>
            </w:tcBorders>
            <w:shd w:val="clear" w:color="auto" w:fill="auto"/>
            <w:noWrap/>
            <w:vAlign w:val="bottom"/>
          </w:tcPr>
          <w:p w14:paraId="0A73C15C"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&lt; 55 years old</w:t>
            </w:r>
          </w:p>
        </w:tc>
        <w:tc>
          <w:tcPr>
            <w:tcW w:w="7956" w:type="dxa"/>
            <w:gridSpan w:val="6"/>
            <w:tcBorders>
              <w:top w:val="nil"/>
              <w:left w:val="nil"/>
              <w:bottom w:val="nil"/>
              <w:right w:val="nil"/>
            </w:tcBorders>
            <w:shd w:val="clear" w:color="auto" w:fill="auto"/>
            <w:noWrap/>
            <w:vAlign w:val="center"/>
          </w:tcPr>
          <w:p w14:paraId="15CDAB5C"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i/>
                <w:iCs/>
                <w:color w:val="000000"/>
                <w:kern w:val="0"/>
                <w14:ligatures w14:val="none"/>
              </w:rPr>
              <w:t>Reference</w:t>
            </w:r>
          </w:p>
        </w:tc>
        <w:tc>
          <w:tcPr>
            <w:tcW w:w="1620" w:type="dxa"/>
            <w:tcBorders>
              <w:top w:val="nil"/>
              <w:left w:val="nil"/>
              <w:bottom w:val="nil"/>
              <w:right w:val="nil"/>
            </w:tcBorders>
            <w:shd w:val="clear" w:color="auto" w:fill="auto"/>
            <w:noWrap/>
            <w:vAlign w:val="bottom"/>
          </w:tcPr>
          <w:p w14:paraId="0E33A019"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087F4F" w:rsidRPr="004A7120" w14:paraId="0C458AD0" w14:textId="77777777" w:rsidTr="00F5727C">
        <w:trPr>
          <w:trHeight w:val="320"/>
        </w:trPr>
        <w:tc>
          <w:tcPr>
            <w:tcW w:w="3960" w:type="dxa"/>
            <w:tcBorders>
              <w:top w:val="nil"/>
              <w:left w:val="nil"/>
              <w:bottom w:val="nil"/>
              <w:right w:val="nil"/>
            </w:tcBorders>
            <w:shd w:val="clear" w:color="auto" w:fill="auto"/>
            <w:noWrap/>
            <w:vAlign w:val="bottom"/>
          </w:tcPr>
          <w:p w14:paraId="0473EC57"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Body Mass Index (BMI) Categories</w:t>
            </w:r>
          </w:p>
        </w:tc>
        <w:tc>
          <w:tcPr>
            <w:tcW w:w="756" w:type="dxa"/>
            <w:tcBorders>
              <w:top w:val="nil"/>
              <w:left w:val="nil"/>
              <w:bottom w:val="nil"/>
              <w:right w:val="nil"/>
            </w:tcBorders>
            <w:shd w:val="clear" w:color="auto" w:fill="auto"/>
            <w:noWrap/>
            <w:vAlign w:val="bottom"/>
          </w:tcPr>
          <w:p w14:paraId="6E3E8285"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p>
        </w:tc>
        <w:tc>
          <w:tcPr>
            <w:tcW w:w="1710" w:type="dxa"/>
            <w:tcBorders>
              <w:top w:val="nil"/>
              <w:left w:val="nil"/>
              <w:bottom w:val="nil"/>
              <w:right w:val="nil"/>
            </w:tcBorders>
            <w:shd w:val="clear" w:color="auto" w:fill="auto"/>
            <w:noWrap/>
            <w:vAlign w:val="bottom"/>
          </w:tcPr>
          <w:p w14:paraId="6F221C01"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530" w:type="dxa"/>
            <w:tcBorders>
              <w:top w:val="nil"/>
              <w:left w:val="nil"/>
              <w:bottom w:val="nil"/>
              <w:right w:val="nil"/>
            </w:tcBorders>
            <w:shd w:val="clear" w:color="auto" w:fill="auto"/>
            <w:noWrap/>
            <w:vAlign w:val="bottom"/>
          </w:tcPr>
          <w:p w14:paraId="0A993D97"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170" w:type="dxa"/>
            <w:tcBorders>
              <w:top w:val="nil"/>
              <w:left w:val="nil"/>
              <w:bottom w:val="nil"/>
              <w:right w:val="nil"/>
            </w:tcBorders>
            <w:shd w:val="clear" w:color="auto" w:fill="auto"/>
            <w:noWrap/>
            <w:vAlign w:val="bottom"/>
          </w:tcPr>
          <w:p w14:paraId="33DC7AA3"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620" w:type="dxa"/>
            <w:tcBorders>
              <w:top w:val="nil"/>
              <w:left w:val="nil"/>
              <w:bottom w:val="nil"/>
              <w:right w:val="nil"/>
            </w:tcBorders>
            <w:shd w:val="clear" w:color="auto" w:fill="auto"/>
            <w:noWrap/>
            <w:vAlign w:val="bottom"/>
          </w:tcPr>
          <w:p w14:paraId="2C597C35"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170" w:type="dxa"/>
            <w:tcBorders>
              <w:top w:val="nil"/>
              <w:left w:val="nil"/>
              <w:bottom w:val="nil"/>
              <w:right w:val="nil"/>
            </w:tcBorders>
            <w:shd w:val="clear" w:color="auto" w:fill="auto"/>
            <w:noWrap/>
            <w:vAlign w:val="bottom"/>
          </w:tcPr>
          <w:p w14:paraId="7FFED18B"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620" w:type="dxa"/>
            <w:tcBorders>
              <w:top w:val="nil"/>
              <w:left w:val="nil"/>
              <w:bottom w:val="nil"/>
              <w:right w:val="nil"/>
            </w:tcBorders>
            <w:shd w:val="clear" w:color="auto" w:fill="auto"/>
            <w:noWrap/>
            <w:vAlign w:val="center"/>
          </w:tcPr>
          <w:p w14:paraId="6DB9CEF5"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&lt;0.001</w:t>
            </w:r>
          </w:p>
        </w:tc>
      </w:tr>
      <w:tr w:rsidR="00087F4F" w:rsidRPr="004A7120" w14:paraId="233C590C" w14:textId="77777777" w:rsidTr="00F5727C">
        <w:trPr>
          <w:trHeight w:val="320"/>
        </w:trPr>
        <w:tc>
          <w:tcPr>
            <w:tcW w:w="3960" w:type="dxa"/>
            <w:tcBorders>
              <w:top w:val="nil"/>
              <w:left w:val="nil"/>
              <w:bottom w:val="nil"/>
              <w:right w:val="nil"/>
            </w:tcBorders>
            <w:shd w:val="clear" w:color="auto" w:fill="auto"/>
            <w:noWrap/>
            <w:vAlign w:val="bottom"/>
          </w:tcPr>
          <w:p w14:paraId="62EB0023" w14:textId="77777777" w:rsidR="004A7120" w:rsidRPr="004A7120" w:rsidRDefault="004A7120" w:rsidP="004A7120">
            <w:pPr>
              <w:spacing w:after="0" w:line="240" w:lineRule="auto"/>
              <w:ind w:left="720"/>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Underweight</w:t>
            </w:r>
          </w:p>
        </w:tc>
        <w:tc>
          <w:tcPr>
            <w:tcW w:w="756" w:type="dxa"/>
            <w:tcBorders>
              <w:top w:val="nil"/>
              <w:left w:val="nil"/>
              <w:bottom w:val="nil"/>
              <w:right w:val="nil"/>
            </w:tcBorders>
            <w:shd w:val="clear" w:color="auto" w:fill="auto"/>
            <w:noWrap/>
            <w:vAlign w:val="center"/>
          </w:tcPr>
          <w:p w14:paraId="6C712FDB"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3.049</w:t>
            </w:r>
          </w:p>
        </w:tc>
        <w:tc>
          <w:tcPr>
            <w:tcW w:w="1710" w:type="dxa"/>
            <w:tcBorders>
              <w:top w:val="nil"/>
              <w:left w:val="nil"/>
              <w:bottom w:val="nil"/>
              <w:right w:val="nil"/>
            </w:tcBorders>
            <w:shd w:val="clear" w:color="auto" w:fill="auto"/>
            <w:noWrap/>
            <w:vAlign w:val="center"/>
          </w:tcPr>
          <w:p w14:paraId="4D45C909"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1.240, 7.496</w:t>
            </w:r>
          </w:p>
        </w:tc>
        <w:tc>
          <w:tcPr>
            <w:tcW w:w="1530" w:type="dxa"/>
            <w:tcBorders>
              <w:top w:val="nil"/>
              <w:left w:val="nil"/>
              <w:bottom w:val="nil"/>
              <w:right w:val="nil"/>
            </w:tcBorders>
            <w:shd w:val="clear" w:color="auto" w:fill="auto"/>
            <w:noWrap/>
            <w:vAlign w:val="center"/>
          </w:tcPr>
          <w:p w14:paraId="093E4E71"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0.015</w:t>
            </w:r>
          </w:p>
        </w:tc>
        <w:tc>
          <w:tcPr>
            <w:tcW w:w="1170" w:type="dxa"/>
            <w:tcBorders>
              <w:top w:val="nil"/>
              <w:left w:val="nil"/>
              <w:bottom w:val="nil"/>
              <w:right w:val="nil"/>
            </w:tcBorders>
            <w:shd w:val="clear" w:color="auto" w:fill="auto"/>
            <w:noWrap/>
            <w:vAlign w:val="center"/>
          </w:tcPr>
          <w:p w14:paraId="3653F54E"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6.243</w:t>
            </w:r>
          </w:p>
        </w:tc>
        <w:tc>
          <w:tcPr>
            <w:tcW w:w="1620" w:type="dxa"/>
            <w:tcBorders>
              <w:top w:val="nil"/>
              <w:left w:val="nil"/>
              <w:bottom w:val="nil"/>
              <w:right w:val="nil"/>
            </w:tcBorders>
            <w:shd w:val="clear" w:color="auto" w:fill="auto"/>
            <w:noWrap/>
            <w:vAlign w:val="center"/>
          </w:tcPr>
          <w:p w14:paraId="4DF68A46"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2.471, 15.772</w:t>
            </w:r>
          </w:p>
        </w:tc>
        <w:tc>
          <w:tcPr>
            <w:tcW w:w="1170" w:type="dxa"/>
            <w:tcBorders>
              <w:top w:val="nil"/>
              <w:left w:val="nil"/>
              <w:bottom w:val="nil"/>
              <w:right w:val="nil"/>
            </w:tcBorders>
            <w:shd w:val="clear" w:color="auto" w:fill="auto"/>
            <w:noWrap/>
            <w:vAlign w:val="center"/>
          </w:tcPr>
          <w:p w14:paraId="06239093"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&lt;0.001</w:t>
            </w:r>
          </w:p>
        </w:tc>
        <w:tc>
          <w:tcPr>
            <w:tcW w:w="1620" w:type="dxa"/>
            <w:tcBorders>
              <w:top w:val="nil"/>
              <w:left w:val="nil"/>
              <w:bottom w:val="nil"/>
              <w:right w:val="nil"/>
            </w:tcBorders>
            <w:shd w:val="clear" w:color="auto" w:fill="auto"/>
            <w:noWrap/>
            <w:vAlign w:val="bottom"/>
          </w:tcPr>
          <w:p w14:paraId="1D6E1585"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087F4F" w:rsidRPr="004A7120" w14:paraId="6E2CB2FE" w14:textId="77777777" w:rsidTr="00F5727C">
        <w:trPr>
          <w:trHeight w:val="320"/>
        </w:trPr>
        <w:tc>
          <w:tcPr>
            <w:tcW w:w="3960" w:type="dxa"/>
            <w:tcBorders>
              <w:top w:val="nil"/>
              <w:left w:val="nil"/>
              <w:bottom w:val="nil"/>
              <w:right w:val="nil"/>
            </w:tcBorders>
            <w:shd w:val="clear" w:color="auto" w:fill="auto"/>
            <w:noWrap/>
            <w:vAlign w:val="bottom"/>
          </w:tcPr>
          <w:p w14:paraId="5D30F102" w14:textId="77777777" w:rsidR="004A7120" w:rsidRPr="004A7120" w:rsidRDefault="004A7120" w:rsidP="004A7120">
            <w:pPr>
              <w:spacing w:after="0" w:line="240" w:lineRule="auto"/>
              <w:ind w:left="720"/>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Overweight</w:t>
            </w:r>
          </w:p>
        </w:tc>
        <w:tc>
          <w:tcPr>
            <w:tcW w:w="756" w:type="dxa"/>
            <w:tcBorders>
              <w:top w:val="nil"/>
              <w:left w:val="nil"/>
              <w:bottom w:val="nil"/>
              <w:right w:val="nil"/>
            </w:tcBorders>
            <w:shd w:val="clear" w:color="auto" w:fill="auto"/>
            <w:noWrap/>
            <w:vAlign w:val="center"/>
          </w:tcPr>
          <w:p w14:paraId="399AB6CA"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1.213</w:t>
            </w:r>
          </w:p>
        </w:tc>
        <w:tc>
          <w:tcPr>
            <w:tcW w:w="1710" w:type="dxa"/>
            <w:tcBorders>
              <w:top w:val="nil"/>
              <w:left w:val="nil"/>
              <w:bottom w:val="nil"/>
              <w:right w:val="nil"/>
            </w:tcBorders>
            <w:shd w:val="clear" w:color="auto" w:fill="auto"/>
            <w:noWrap/>
            <w:vAlign w:val="center"/>
          </w:tcPr>
          <w:p w14:paraId="7F632DC8"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1.015, 1.450</w:t>
            </w:r>
          </w:p>
        </w:tc>
        <w:tc>
          <w:tcPr>
            <w:tcW w:w="1530" w:type="dxa"/>
            <w:tcBorders>
              <w:top w:val="nil"/>
              <w:left w:val="nil"/>
              <w:bottom w:val="nil"/>
              <w:right w:val="nil"/>
            </w:tcBorders>
            <w:shd w:val="clear" w:color="auto" w:fill="auto"/>
            <w:noWrap/>
            <w:vAlign w:val="center"/>
          </w:tcPr>
          <w:p w14:paraId="1AE06006"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0.034</w:t>
            </w:r>
          </w:p>
        </w:tc>
        <w:tc>
          <w:tcPr>
            <w:tcW w:w="1170" w:type="dxa"/>
            <w:tcBorders>
              <w:top w:val="nil"/>
              <w:left w:val="nil"/>
              <w:bottom w:val="nil"/>
              <w:right w:val="nil"/>
            </w:tcBorders>
            <w:shd w:val="clear" w:color="auto" w:fill="auto"/>
            <w:noWrap/>
            <w:vAlign w:val="center"/>
          </w:tcPr>
          <w:p w14:paraId="2CD07E27"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0.799</w:t>
            </w:r>
          </w:p>
        </w:tc>
        <w:tc>
          <w:tcPr>
            <w:tcW w:w="1620" w:type="dxa"/>
            <w:tcBorders>
              <w:top w:val="nil"/>
              <w:left w:val="nil"/>
              <w:bottom w:val="nil"/>
              <w:right w:val="nil"/>
            </w:tcBorders>
            <w:shd w:val="clear" w:color="auto" w:fill="auto"/>
            <w:noWrap/>
            <w:vAlign w:val="center"/>
          </w:tcPr>
          <w:p w14:paraId="55846BF1"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0.621, 1.027</w:t>
            </w:r>
          </w:p>
        </w:tc>
        <w:tc>
          <w:tcPr>
            <w:tcW w:w="1170" w:type="dxa"/>
            <w:tcBorders>
              <w:top w:val="nil"/>
              <w:left w:val="nil"/>
              <w:bottom w:val="nil"/>
              <w:right w:val="nil"/>
            </w:tcBorders>
            <w:shd w:val="clear" w:color="auto" w:fill="auto"/>
            <w:noWrap/>
            <w:vAlign w:val="center"/>
          </w:tcPr>
          <w:p w14:paraId="542DEB38"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0.080</w:t>
            </w:r>
          </w:p>
        </w:tc>
        <w:tc>
          <w:tcPr>
            <w:tcW w:w="1620" w:type="dxa"/>
            <w:tcBorders>
              <w:top w:val="nil"/>
              <w:left w:val="nil"/>
              <w:bottom w:val="nil"/>
              <w:right w:val="nil"/>
            </w:tcBorders>
            <w:shd w:val="clear" w:color="auto" w:fill="auto"/>
            <w:noWrap/>
            <w:vAlign w:val="bottom"/>
          </w:tcPr>
          <w:p w14:paraId="00A5A80D"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087F4F" w:rsidRPr="004A7120" w14:paraId="1D2FD02A" w14:textId="77777777" w:rsidTr="00F5727C">
        <w:trPr>
          <w:trHeight w:val="320"/>
        </w:trPr>
        <w:tc>
          <w:tcPr>
            <w:tcW w:w="3960" w:type="dxa"/>
            <w:tcBorders>
              <w:top w:val="nil"/>
              <w:left w:val="nil"/>
              <w:bottom w:val="nil"/>
              <w:right w:val="nil"/>
            </w:tcBorders>
            <w:shd w:val="clear" w:color="auto" w:fill="auto"/>
            <w:noWrap/>
            <w:vAlign w:val="bottom"/>
          </w:tcPr>
          <w:p w14:paraId="43DBA3EC" w14:textId="77777777" w:rsidR="004A7120" w:rsidRPr="004A7120" w:rsidRDefault="004A7120" w:rsidP="004A7120">
            <w:pPr>
              <w:spacing w:after="0" w:line="240" w:lineRule="auto"/>
              <w:ind w:left="720"/>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Obese &amp; Extremal Obese</w:t>
            </w:r>
          </w:p>
        </w:tc>
        <w:tc>
          <w:tcPr>
            <w:tcW w:w="756" w:type="dxa"/>
            <w:tcBorders>
              <w:top w:val="nil"/>
              <w:left w:val="nil"/>
              <w:bottom w:val="nil"/>
              <w:right w:val="nil"/>
            </w:tcBorders>
            <w:shd w:val="clear" w:color="auto" w:fill="auto"/>
            <w:noWrap/>
            <w:vAlign w:val="center"/>
          </w:tcPr>
          <w:p w14:paraId="5C2C7E75" w14:textId="77777777" w:rsidR="004A7120" w:rsidRPr="004A7120" w:rsidRDefault="004A7120" w:rsidP="004A7120">
            <w:pPr>
              <w:spacing w:after="0" w:line="240" w:lineRule="auto"/>
              <w:jc w:val="center"/>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color w:val="000000"/>
                <w:kern w:val="0"/>
                <w14:ligatures w14:val="none"/>
              </w:rPr>
              <w:t>1.837</w:t>
            </w:r>
          </w:p>
        </w:tc>
        <w:tc>
          <w:tcPr>
            <w:tcW w:w="1710" w:type="dxa"/>
            <w:tcBorders>
              <w:top w:val="nil"/>
              <w:left w:val="nil"/>
              <w:bottom w:val="nil"/>
              <w:right w:val="nil"/>
            </w:tcBorders>
            <w:shd w:val="clear" w:color="auto" w:fill="auto"/>
            <w:noWrap/>
            <w:vAlign w:val="center"/>
          </w:tcPr>
          <w:p w14:paraId="31FC33A9"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1.521, 2.220</w:t>
            </w:r>
          </w:p>
        </w:tc>
        <w:tc>
          <w:tcPr>
            <w:tcW w:w="1530" w:type="dxa"/>
            <w:tcBorders>
              <w:top w:val="nil"/>
              <w:left w:val="nil"/>
              <w:bottom w:val="nil"/>
              <w:right w:val="nil"/>
            </w:tcBorders>
            <w:shd w:val="clear" w:color="auto" w:fill="auto"/>
            <w:noWrap/>
            <w:vAlign w:val="center"/>
          </w:tcPr>
          <w:p w14:paraId="3356961D"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&lt;0.001</w:t>
            </w:r>
          </w:p>
        </w:tc>
        <w:tc>
          <w:tcPr>
            <w:tcW w:w="1170" w:type="dxa"/>
            <w:tcBorders>
              <w:top w:val="nil"/>
              <w:left w:val="nil"/>
              <w:bottom w:val="nil"/>
              <w:right w:val="nil"/>
            </w:tcBorders>
            <w:shd w:val="clear" w:color="auto" w:fill="auto"/>
            <w:noWrap/>
            <w:vAlign w:val="center"/>
          </w:tcPr>
          <w:p w14:paraId="1BC9A776"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1.361</w:t>
            </w:r>
          </w:p>
        </w:tc>
        <w:tc>
          <w:tcPr>
            <w:tcW w:w="1620" w:type="dxa"/>
            <w:tcBorders>
              <w:top w:val="nil"/>
              <w:left w:val="nil"/>
              <w:bottom w:val="nil"/>
              <w:right w:val="nil"/>
            </w:tcBorders>
            <w:shd w:val="clear" w:color="auto" w:fill="auto"/>
            <w:noWrap/>
            <w:vAlign w:val="center"/>
          </w:tcPr>
          <w:p w14:paraId="222A13F0"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1.053, 1.758</w:t>
            </w:r>
          </w:p>
        </w:tc>
        <w:tc>
          <w:tcPr>
            <w:tcW w:w="1170" w:type="dxa"/>
            <w:tcBorders>
              <w:top w:val="nil"/>
              <w:left w:val="nil"/>
              <w:bottom w:val="nil"/>
              <w:right w:val="nil"/>
            </w:tcBorders>
            <w:shd w:val="clear" w:color="auto" w:fill="auto"/>
            <w:noWrap/>
            <w:vAlign w:val="center"/>
          </w:tcPr>
          <w:p w14:paraId="434BAF43"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r w:rsidRPr="004A7120">
              <w:rPr>
                <w:rFonts w:ascii="Times New Roman" w:eastAsia="Calibri" w:hAnsi="Times New Roman" w:cs="Times New Roman"/>
                <w:color w:val="000000"/>
                <w:kern w:val="0"/>
                <w14:ligatures w14:val="none"/>
              </w:rPr>
              <w:t>0.018</w:t>
            </w:r>
          </w:p>
        </w:tc>
        <w:tc>
          <w:tcPr>
            <w:tcW w:w="1620" w:type="dxa"/>
            <w:tcBorders>
              <w:top w:val="nil"/>
              <w:left w:val="nil"/>
              <w:bottom w:val="nil"/>
              <w:right w:val="nil"/>
            </w:tcBorders>
            <w:shd w:val="clear" w:color="auto" w:fill="auto"/>
            <w:noWrap/>
            <w:vAlign w:val="bottom"/>
          </w:tcPr>
          <w:p w14:paraId="498F6558"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32E4DEDC" w14:textId="77777777" w:rsidTr="00F5727C">
        <w:trPr>
          <w:trHeight w:val="320"/>
        </w:trPr>
        <w:tc>
          <w:tcPr>
            <w:tcW w:w="3960" w:type="dxa"/>
            <w:tcBorders>
              <w:top w:val="nil"/>
              <w:left w:val="nil"/>
              <w:bottom w:val="nil"/>
              <w:right w:val="nil"/>
            </w:tcBorders>
            <w:shd w:val="clear" w:color="auto" w:fill="auto"/>
            <w:noWrap/>
            <w:vAlign w:val="bottom"/>
          </w:tcPr>
          <w:p w14:paraId="4E51A403"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Normal</w:t>
            </w:r>
          </w:p>
        </w:tc>
        <w:tc>
          <w:tcPr>
            <w:tcW w:w="7956" w:type="dxa"/>
            <w:gridSpan w:val="6"/>
            <w:tcBorders>
              <w:top w:val="nil"/>
              <w:left w:val="nil"/>
              <w:bottom w:val="nil"/>
              <w:right w:val="nil"/>
            </w:tcBorders>
            <w:shd w:val="clear" w:color="auto" w:fill="auto"/>
            <w:noWrap/>
            <w:vAlign w:val="center"/>
          </w:tcPr>
          <w:p w14:paraId="2D0DEF3E"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i/>
                <w:iCs/>
                <w:color w:val="000000"/>
                <w:kern w:val="0"/>
                <w14:ligatures w14:val="none"/>
              </w:rPr>
              <w:t>Reference</w:t>
            </w:r>
          </w:p>
        </w:tc>
        <w:tc>
          <w:tcPr>
            <w:tcW w:w="1620" w:type="dxa"/>
            <w:tcBorders>
              <w:top w:val="nil"/>
              <w:left w:val="nil"/>
              <w:bottom w:val="nil"/>
              <w:right w:val="nil"/>
            </w:tcBorders>
            <w:shd w:val="clear" w:color="auto" w:fill="auto"/>
            <w:noWrap/>
            <w:vAlign w:val="bottom"/>
          </w:tcPr>
          <w:p w14:paraId="0A9FE36F"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087F4F" w:rsidRPr="004A7120" w14:paraId="2EEA8B59" w14:textId="77777777" w:rsidTr="00F5727C">
        <w:trPr>
          <w:trHeight w:val="320"/>
        </w:trPr>
        <w:tc>
          <w:tcPr>
            <w:tcW w:w="3960" w:type="dxa"/>
            <w:tcBorders>
              <w:top w:val="nil"/>
              <w:left w:val="nil"/>
              <w:bottom w:val="nil"/>
              <w:right w:val="nil"/>
            </w:tcBorders>
            <w:shd w:val="clear" w:color="auto" w:fill="auto"/>
            <w:noWrap/>
            <w:vAlign w:val="bottom"/>
            <w:hideMark/>
          </w:tcPr>
          <w:p w14:paraId="114666FB"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r w:rsidRPr="004A7120">
              <w:rPr>
                <w:rFonts w:ascii="Times New Roman" w:eastAsia="Calibri" w:hAnsi="Times New Roman" w:cs="Times New Roman"/>
                <w:b/>
                <w:bCs/>
                <w:color w:val="000000"/>
                <w:kern w:val="0"/>
                <w14:ligatures w14:val="none"/>
              </w:rPr>
              <w:t>Smoking Status</w:t>
            </w:r>
          </w:p>
        </w:tc>
        <w:tc>
          <w:tcPr>
            <w:tcW w:w="756" w:type="dxa"/>
            <w:tcBorders>
              <w:top w:val="nil"/>
              <w:left w:val="nil"/>
              <w:bottom w:val="nil"/>
              <w:right w:val="nil"/>
            </w:tcBorders>
            <w:shd w:val="clear" w:color="auto" w:fill="auto"/>
            <w:noWrap/>
            <w:vAlign w:val="center"/>
            <w:hideMark/>
          </w:tcPr>
          <w:p w14:paraId="54E9627B" w14:textId="77777777" w:rsidR="004A7120" w:rsidRPr="004A7120" w:rsidRDefault="004A7120" w:rsidP="004A7120">
            <w:pPr>
              <w:spacing w:after="0" w:line="240" w:lineRule="auto"/>
              <w:rPr>
                <w:rFonts w:ascii="Times New Roman" w:eastAsia="Calibri" w:hAnsi="Times New Roman" w:cs="Times New Roman"/>
                <w:b/>
                <w:bCs/>
                <w:color w:val="000000"/>
                <w:kern w:val="0"/>
                <w14:ligatures w14:val="none"/>
              </w:rPr>
            </w:pPr>
          </w:p>
        </w:tc>
        <w:tc>
          <w:tcPr>
            <w:tcW w:w="1710" w:type="dxa"/>
            <w:tcBorders>
              <w:top w:val="nil"/>
              <w:left w:val="nil"/>
              <w:bottom w:val="nil"/>
              <w:right w:val="nil"/>
            </w:tcBorders>
            <w:shd w:val="clear" w:color="auto" w:fill="auto"/>
            <w:noWrap/>
            <w:vAlign w:val="center"/>
            <w:hideMark/>
          </w:tcPr>
          <w:p w14:paraId="1873E479"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530" w:type="dxa"/>
            <w:tcBorders>
              <w:top w:val="nil"/>
              <w:left w:val="nil"/>
              <w:bottom w:val="nil"/>
              <w:right w:val="nil"/>
            </w:tcBorders>
            <w:shd w:val="clear" w:color="auto" w:fill="auto"/>
            <w:noWrap/>
            <w:vAlign w:val="center"/>
            <w:hideMark/>
          </w:tcPr>
          <w:p w14:paraId="3110BCFE"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170" w:type="dxa"/>
            <w:tcBorders>
              <w:top w:val="nil"/>
              <w:left w:val="nil"/>
              <w:bottom w:val="nil"/>
              <w:right w:val="nil"/>
            </w:tcBorders>
            <w:shd w:val="clear" w:color="auto" w:fill="auto"/>
            <w:noWrap/>
            <w:vAlign w:val="center"/>
            <w:hideMark/>
          </w:tcPr>
          <w:p w14:paraId="6A2F173D"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620" w:type="dxa"/>
            <w:tcBorders>
              <w:top w:val="nil"/>
              <w:left w:val="nil"/>
              <w:bottom w:val="nil"/>
              <w:right w:val="nil"/>
            </w:tcBorders>
            <w:shd w:val="clear" w:color="auto" w:fill="auto"/>
            <w:noWrap/>
            <w:vAlign w:val="center"/>
            <w:hideMark/>
          </w:tcPr>
          <w:p w14:paraId="2B9B7D7E"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170" w:type="dxa"/>
            <w:tcBorders>
              <w:top w:val="nil"/>
              <w:left w:val="nil"/>
              <w:bottom w:val="nil"/>
              <w:right w:val="nil"/>
            </w:tcBorders>
            <w:shd w:val="clear" w:color="auto" w:fill="auto"/>
            <w:noWrap/>
            <w:vAlign w:val="center"/>
            <w:hideMark/>
          </w:tcPr>
          <w:p w14:paraId="072A07B2" w14:textId="77777777" w:rsidR="004A7120" w:rsidRPr="004A7120" w:rsidRDefault="004A7120" w:rsidP="004A7120">
            <w:pPr>
              <w:spacing w:after="0" w:line="240" w:lineRule="auto"/>
              <w:jc w:val="center"/>
              <w:rPr>
                <w:rFonts w:ascii="Times New Roman" w:eastAsia="Calibri" w:hAnsi="Times New Roman" w:cs="Times New Roman"/>
                <w:kern w:val="0"/>
                <w:sz w:val="20"/>
                <w:szCs w:val="20"/>
                <w14:ligatures w14:val="none"/>
              </w:rPr>
            </w:pPr>
          </w:p>
        </w:tc>
        <w:tc>
          <w:tcPr>
            <w:tcW w:w="1620" w:type="dxa"/>
            <w:tcBorders>
              <w:top w:val="nil"/>
              <w:left w:val="nil"/>
              <w:bottom w:val="nil"/>
              <w:right w:val="nil"/>
            </w:tcBorders>
            <w:shd w:val="clear" w:color="auto" w:fill="auto"/>
            <w:noWrap/>
            <w:vAlign w:val="center"/>
            <w:hideMark/>
          </w:tcPr>
          <w:p w14:paraId="7275DEA0"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&lt;0.001</w:t>
            </w:r>
          </w:p>
        </w:tc>
      </w:tr>
      <w:tr w:rsidR="00087F4F" w:rsidRPr="004A7120" w14:paraId="1FDCED6C" w14:textId="77777777" w:rsidTr="00F5727C">
        <w:trPr>
          <w:trHeight w:val="320"/>
        </w:trPr>
        <w:tc>
          <w:tcPr>
            <w:tcW w:w="3960" w:type="dxa"/>
            <w:tcBorders>
              <w:top w:val="nil"/>
              <w:left w:val="nil"/>
              <w:bottom w:val="nil"/>
              <w:right w:val="nil"/>
            </w:tcBorders>
            <w:shd w:val="clear" w:color="auto" w:fill="auto"/>
            <w:noWrap/>
            <w:vAlign w:val="bottom"/>
            <w:hideMark/>
          </w:tcPr>
          <w:p w14:paraId="76F0AC78"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Ever Smoker</w:t>
            </w:r>
          </w:p>
        </w:tc>
        <w:tc>
          <w:tcPr>
            <w:tcW w:w="756" w:type="dxa"/>
            <w:tcBorders>
              <w:top w:val="nil"/>
              <w:left w:val="nil"/>
              <w:bottom w:val="nil"/>
              <w:right w:val="nil"/>
            </w:tcBorders>
            <w:shd w:val="clear" w:color="auto" w:fill="auto"/>
            <w:noWrap/>
            <w:vAlign w:val="center"/>
            <w:hideMark/>
          </w:tcPr>
          <w:p w14:paraId="0A158151"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1.651</w:t>
            </w:r>
          </w:p>
        </w:tc>
        <w:tc>
          <w:tcPr>
            <w:tcW w:w="1710" w:type="dxa"/>
            <w:tcBorders>
              <w:top w:val="nil"/>
              <w:left w:val="nil"/>
              <w:bottom w:val="nil"/>
              <w:right w:val="nil"/>
            </w:tcBorders>
            <w:shd w:val="clear" w:color="auto" w:fill="auto"/>
            <w:noWrap/>
            <w:vAlign w:val="center"/>
            <w:hideMark/>
          </w:tcPr>
          <w:p w14:paraId="760EAE81"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1.431, 1.905</w:t>
            </w:r>
          </w:p>
        </w:tc>
        <w:tc>
          <w:tcPr>
            <w:tcW w:w="1530" w:type="dxa"/>
            <w:tcBorders>
              <w:top w:val="nil"/>
              <w:left w:val="nil"/>
              <w:bottom w:val="nil"/>
              <w:right w:val="nil"/>
            </w:tcBorders>
            <w:shd w:val="clear" w:color="auto" w:fill="auto"/>
            <w:noWrap/>
            <w:vAlign w:val="center"/>
            <w:hideMark/>
          </w:tcPr>
          <w:p w14:paraId="2C497FE7"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&lt;0.001</w:t>
            </w:r>
          </w:p>
        </w:tc>
        <w:tc>
          <w:tcPr>
            <w:tcW w:w="1170" w:type="dxa"/>
            <w:tcBorders>
              <w:top w:val="nil"/>
              <w:left w:val="nil"/>
              <w:bottom w:val="nil"/>
              <w:right w:val="nil"/>
            </w:tcBorders>
            <w:shd w:val="clear" w:color="auto" w:fill="auto"/>
            <w:noWrap/>
            <w:vAlign w:val="center"/>
            <w:hideMark/>
          </w:tcPr>
          <w:p w14:paraId="1ABC9045"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2.854</w:t>
            </w:r>
          </w:p>
        </w:tc>
        <w:tc>
          <w:tcPr>
            <w:tcW w:w="1620" w:type="dxa"/>
            <w:tcBorders>
              <w:top w:val="nil"/>
              <w:left w:val="nil"/>
              <w:bottom w:val="nil"/>
              <w:right w:val="nil"/>
            </w:tcBorders>
            <w:shd w:val="clear" w:color="auto" w:fill="auto"/>
            <w:noWrap/>
            <w:vAlign w:val="center"/>
            <w:hideMark/>
          </w:tcPr>
          <w:p w14:paraId="4EF76841"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2.288, 3.560</w:t>
            </w:r>
          </w:p>
        </w:tc>
        <w:tc>
          <w:tcPr>
            <w:tcW w:w="1170" w:type="dxa"/>
            <w:tcBorders>
              <w:top w:val="nil"/>
              <w:left w:val="nil"/>
              <w:bottom w:val="nil"/>
              <w:right w:val="nil"/>
            </w:tcBorders>
            <w:shd w:val="clear" w:color="auto" w:fill="auto"/>
            <w:noWrap/>
            <w:vAlign w:val="center"/>
            <w:hideMark/>
          </w:tcPr>
          <w:p w14:paraId="04676081"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&lt;0.001</w:t>
            </w:r>
          </w:p>
        </w:tc>
        <w:tc>
          <w:tcPr>
            <w:tcW w:w="1620" w:type="dxa"/>
            <w:tcBorders>
              <w:top w:val="nil"/>
              <w:left w:val="nil"/>
              <w:bottom w:val="nil"/>
              <w:right w:val="nil"/>
            </w:tcBorders>
            <w:shd w:val="clear" w:color="auto" w:fill="auto"/>
            <w:noWrap/>
            <w:vAlign w:val="center"/>
            <w:hideMark/>
          </w:tcPr>
          <w:p w14:paraId="0CEDF501"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59E2FC9B" w14:textId="77777777" w:rsidTr="00F5727C">
        <w:trPr>
          <w:trHeight w:val="320"/>
        </w:trPr>
        <w:tc>
          <w:tcPr>
            <w:tcW w:w="3960" w:type="dxa"/>
            <w:tcBorders>
              <w:top w:val="nil"/>
              <w:left w:val="nil"/>
              <w:bottom w:val="nil"/>
              <w:right w:val="nil"/>
            </w:tcBorders>
            <w:shd w:val="clear" w:color="auto" w:fill="auto"/>
            <w:noWrap/>
            <w:vAlign w:val="bottom"/>
          </w:tcPr>
          <w:p w14:paraId="798D1BB4"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Non-Smoker</w:t>
            </w:r>
          </w:p>
        </w:tc>
        <w:tc>
          <w:tcPr>
            <w:tcW w:w="7956" w:type="dxa"/>
            <w:gridSpan w:val="6"/>
            <w:tcBorders>
              <w:top w:val="nil"/>
              <w:left w:val="nil"/>
              <w:bottom w:val="nil"/>
              <w:right w:val="nil"/>
            </w:tcBorders>
            <w:shd w:val="clear" w:color="auto" w:fill="auto"/>
            <w:noWrap/>
            <w:vAlign w:val="center"/>
          </w:tcPr>
          <w:p w14:paraId="356CAF91"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i/>
                <w:iCs/>
                <w:color w:val="000000"/>
                <w:kern w:val="0"/>
                <w14:ligatures w14:val="none"/>
              </w:rPr>
              <w:t>Reference</w:t>
            </w:r>
          </w:p>
        </w:tc>
        <w:tc>
          <w:tcPr>
            <w:tcW w:w="1620" w:type="dxa"/>
            <w:tcBorders>
              <w:top w:val="nil"/>
              <w:left w:val="nil"/>
              <w:bottom w:val="nil"/>
              <w:right w:val="nil"/>
            </w:tcBorders>
            <w:shd w:val="clear" w:color="auto" w:fill="auto"/>
            <w:noWrap/>
            <w:vAlign w:val="center"/>
          </w:tcPr>
          <w:p w14:paraId="25982C2A"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087F4F" w:rsidRPr="004A7120" w14:paraId="44ED1D93" w14:textId="77777777" w:rsidTr="00F5727C">
        <w:trPr>
          <w:trHeight w:val="320"/>
        </w:trPr>
        <w:tc>
          <w:tcPr>
            <w:tcW w:w="3960" w:type="dxa"/>
            <w:tcBorders>
              <w:top w:val="nil"/>
              <w:left w:val="nil"/>
              <w:bottom w:val="nil"/>
              <w:right w:val="nil"/>
            </w:tcBorders>
            <w:shd w:val="clear" w:color="auto" w:fill="auto"/>
            <w:noWrap/>
            <w:vAlign w:val="bottom"/>
          </w:tcPr>
          <w:p w14:paraId="7401ACBC" w14:textId="77777777" w:rsidR="004A7120" w:rsidRPr="004A7120" w:rsidRDefault="004A7120" w:rsidP="004A7120">
            <w:pPr>
              <w:spacing w:after="0" w:line="240" w:lineRule="auto"/>
              <w:rPr>
                <w:rFonts w:ascii="Times New Roman" w:eastAsia="Calibri" w:hAnsi="Times New Roman" w:cs="Times New Roman"/>
                <w:color w:val="000000"/>
                <w:kern w:val="0"/>
                <w14:ligatures w14:val="none"/>
              </w:rPr>
            </w:pPr>
            <w:r w:rsidRPr="004A7120">
              <w:rPr>
                <w:rFonts w:ascii="Times New Roman" w:eastAsia="Calibri" w:hAnsi="Times New Roman" w:cs="Times New Roman"/>
                <w:b/>
                <w:bCs/>
                <w:color w:val="000000"/>
                <w:kern w:val="0"/>
                <w14:ligatures w14:val="none"/>
              </w:rPr>
              <w:t>History of Asthma</w:t>
            </w:r>
          </w:p>
        </w:tc>
        <w:tc>
          <w:tcPr>
            <w:tcW w:w="756" w:type="dxa"/>
            <w:tcBorders>
              <w:top w:val="nil"/>
              <w:left w:val="nil"/>
              <w:bottom w:val="nil"/>
              <w:right w:val="nil"/>
            </w:tcBorders>
            <w:shd w:val="clear" w:color="auto" w:fill="auto"/>
            <w:noWrap/>
            <w:vAlign w:val="center"/>
          </w:tcPr>
          <w:p w14:paraId="7F4C8DBF"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c>
          <w:tcPr>
            <w:tcW w:w="1710" w:type="dxa"/>
            <w:tcBorders>
              <w:top w:val="nil"/>
              <w:left w:val="nil"/>
              <w:bottom w:val="nil"/>
              <w:right w:val="nil"/>
            </w:tcBorders>
            <w:shd w:val="clear" w:color="auto" w:fill="auto"/>
            <w:noWrap/>
            <w:vAlign w:val="center"/>
          </w:tcPr>
          <w:p w14:paraId="36E6D67E"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c>
          <w:tcPr>
            <w:tcW w:w="1530" w:type="dxa"/>
            <w:tcBorders>
              <w:top w:val="nil"/>
              <w:left w:val="nil"/>
              <w:bottom w:val="nil"/>
              <w:right w:val="nil"/>
            </w:tcBorders>
            <w:shd w:val="clear" w:color="auto" w:fill="auto"/>
            <w:noWrap/>
            <w:vAlign w:val="center"/>
          </w:tcPr>
          <w:p w14:paraId="50BF6E39"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c>
          <w:tcPr>
            <w:tcW w:w="1170" w:type="dxa"/>
            <w:tcBorders>
              <w:top w:val="nil"/>
              <w:left w:val="nil"/>
              <w:bottom w:val="nil"/>
              <w:right w:val="nil"/>
            </w:tcBorders>
            <w:shd w:val="clear" w:color="auto" w:fill="auto"/>
            <w:noWrap/>
            <w:vAlign w:val="center"/>
          </w:tcPr>
          <w:p w14:paraId="5AF4615D"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c>
          <w:tcPr>
            <w:tcW w:w="1620" w:type="dxa"/>
            <w:tcBorders>
              <w:top w:val="nil"/>
              <w:left w:val="nil"/>
              <w:bottom w:val="nil"/>
              <w:right w:val="nil"/>
            </w:tcBorders>
            <w:shd w:val="clear" w:color="auto" w:fill="auto"/>
            <w:noWrap/>
            <w:vAlign w:val="center"/>
          </w:tcPr>
          <w:p w14:paraId="6C4812C3"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c>
          <w:tcPr>
            <w:tcW w:w="1170" w:type="dxa"/>
            <w:tcBorders>
              <w:top w:val="nil"/>
              <w:left w:val="nil"/>
              <w:bottom w:val="nil"/>
              <w:right w:val="nil"/>
            </w:tcBorders>
            <w:shd w:val="clear" w:color="auto" w:fill="auto"/>
            <w:noWrap/>
            <w:vAlign w:val="center"/>
          </w:tcPr>
          <w:p w14:paraId="2404A4D9"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c>
          <w:tcPr>
            <w:tcW w:w="1620" w:type="dxa"/>
            <w:tcBorders>
              <w:top w:val="nil"/>
              <w:left w:val="nil"/>
              <w:bottom w:val="nil"/>
              <w:right w:val="nil"/>
            </w:tcBorders>
            <w:shd w:val="clear" w:color="auto" w:fill="auto"/>
            <w:noWrap/>
            <w:vAlign w:val="center"/>
          </w:tcPr>
          <w:p w14:paraId="6134E2C9"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&lt;0.001</w:t>
            </w:r>
          </w:p>
        </w:tc>
      </w:tr>
      <w:tr w:rsidR="00087F4F" w:rsidRPr="004A7120" w14:paraId="59B4A4FD" w14:textId="77777777" w:rsidTr="00921D81">
        <w:trPr>
          <w:trHeight w:val="320"/>
        </w:trPr>
        <w:tc>
          <w:tcPr>
            <w:tcW w:w="3960" w:type="dxa"/>
            <w:tcBorders>
              <w:top w:val="nil"/>
              <w:left w:val="nil"/>
              <w:right w:val="nil"/>
            </w:tcBorders>
            <w:shd w:val="clear" w:color="auto" w:fill="auto"/>
            <w:noWrap/>
            <w:vAlign w:val="bottom"/>
          </w:tcPr>
          <w:p w14:paraId="57946119"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Yes</w:t>
            </w:r>
          </w:p>
        </w:tc>
        <w:tc>
          <w:tcPr>
            <w:tcW w:w="756" w:type="dxa"/>
            <w:tcBorders>
              <w:top w:val="nil"/>
              <w:left w:val="nil"/>
              <w:right w:val="nil"/>
            </w:tcBorders>
            <w:shd w:val="clear" w:color="auto" w:fill="auto"/>
            <w:noWrap/>
            <w:vAlign w:val="center"/>
          </w:tcPr>
          <w:p w14:paraId="725DEDF8"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1.905</w:t>
            </w:r>
          </w:p>
        </w:tc>
        <w:tc>
          <w:tcPr>
            <w:tcW w:w="1710" w:type="dxa"/>
            <w:tcBorders>
              <w:top w:val="nil"/>
              <w:left w:val="nil"/>
              <w:right w:val="nil"/>
            </w:tcBorders>
            <w:shd w:val="clear" w:color="auto" w:fill="auto"/>
            <w:noWrap/>
            <w:vAlign w:val="center"/>
          </w:tcPr>
          <w:p w14:paraId="187F46E5"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1.574, 2.306</w:t>
            </w:r>
          </w:p>
        </w:tc>
        <w:tc>
          <w:tcPr>
            <w:tcW w:w="1530" w:type="dxa"/>
            <w:tcBorders>
              <w:top w:val="nil"/>
              <w:left w:val="nil"/>
              <w:right w:val="nil"/>
            </w:tcBorders>
            <w:shd w:val="clear" w:color="auto" w:fill="auto"/>
            <w:noWrap/>
            <w:vAlign w:val="center"/>
          </w:tcPr>
          <w:p w14:paraId="65CF8626"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&lt;0.001</w:t>
            </w:r>
          </w:p>
        </w:tc>
        <w:tc>
          <w:tcPr>
            <w:tcW w:w="1170" w:type="dxa"/>
            <w:tcBorders>
              <w:top w:val="nil"/>
              <w:left w:val="nil"/>
              <w:right w:val="nil"/>
            </w:tcBorders>
            <w:shd w:val="clear" w:color="auto" w:fill="auto"/>
            <w:noWrap/>
            <w:vAlign w:val="center"/>
          </w:tcPr>
          <w:p w14:paraId="655A3A2B"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2.92</w:t>
            </w:r>
          </w:p>
        </w:tc>
        <w:tc>
          <w:tcPr>
            <w:tcW w:w="1620" w:type="dxa"/>
            <w:tcBorders>
              <w:top w:val="nil"/>
              <w:left w:val="nil"/>
              <w:right w:val="nil"/>
            </w:tcBorders>
            <w:shd w:val="clear" w:color="auto" w:fill="auto"/>
            <w:noWrap/>
            <w:vAlign w:val="center"/>
          </w:tcPr>
          <w:p w14:paraId="51765FB5"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2.282, 3.737</w:t>
            </w:r>
          </w:p>
        </w:tc>
        <w:tc>
          <w:tcPr>
            <w:tcW w:w="1170" w:type="dxa"/>
            <w:tcBorders>
              <w:top w:val="nil"/>
              <w:left w:val="nil"/>
              <w:right w:val="nil"/>
            </w:tcBorders>
            <w:shd w:val="clear" w:color="auto" w:fill="auto"/>
            <w:noWrap/>
            <w:vAlign w:val="center"/>
          </w:tcPr>
          <w:p w14:paraId="454285A9"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&lt;0.001</w:t>
            </w:r>
          </w:p>
        </w:tc>
        <w:tc>
          <w:tcPr>
            <w:tcW w:w="1620" w:type="dxa"/>
            <w:tcBorders>
              <w:top w:val="nil"/>
              <w:left w:val="nil"/>
              <w:right w:val="nil"/>
            </w:tcBorders>
            <w:shd w:val="clear" w:color="auto" w:fill="auto"/>
            <w:noWrap/>
            <w:vAlign w:val="center"/>
          </w:tcPr>
          <w:p w14:paraId="240E753F"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7C539CC7" w14:textId="77777777" w:rsidTr="00921D81">
        <w:trPr>
          <w:trHeight w:val="320"/>
        </w:trPr>
        <w:tc>
          <w:tcPr>
            <w:tcW w:w="3960" w:type="dxa"/>
            <w:tcBorders>
              <w:top w:val="nil"/>
              <w:left w:val="nil"/>
              <w:right w:val="nil"/>
            </w:tcBorders>
            <w:shd w:val="clear" w:color="auto" w:fill="auto"/>
            <w:noWrap/>
            <w:vAlign w:val="bottom"/>
          </w:tcPr>
          <w:p w14:paraId="022A531C"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No</w:t>
            </w:r>
          </w:p>
        </w:tc>
        <w:tc>
          <w:tcPr>
            <w:tcW w:w="7956" w:type="dxa"/>
            <w:gridSpan w:val="6"/>
            <w:tcBorders>
              <w:top w:val="nil"/>
              <w:left w:val="nil"/>
              <w:right w:val="nil"/>
            </w:tcBorders>
            <w:shd w:val="clear" w:color="auto" w:fill="auto"/>
            <w:noWrap/>
            <w:vAlign w:val="center"/>
          </w:tcPr>
          <w:p w14:paraId="2CC2FA71"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i/>
                <w:iCs/>
                <w:color w:val="000000"/>
                <w:kern w:val="0"/>
                <w14:ligatures w14:val="none"/>
              </w:rPr>
              <w:t>Reference</w:t>
            </w:r>
          </w:p>
        </w:tc>
        <w:tc>
          <w:tcPr>
            <w:tcW w:w="1620" w:type="dxa"/>
            <w:tcBorders>
              <w:top w:val="nil"/>
              <w:left w:val="nil"/>
              <w:right w:val="nil"/>
            </w:tcBorders>
            <w:shd w:val="clear" w:color="auto" w:fill="auto"/>
            <w:noWrap/>
            <w:vAlign w:val="center"/>
          </w:tcPr>
          <w:p w14:paraId="4F0E8D68"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921D81" w:rsidRPr="004A7120" w14:paraId="13D1FB3A" w14:textId="77777777" w:rsidTr="00921D81">
        <w:trPr>
          <w:trHeight w:val="320"/>
        </w:trPr>
        <w:tc>
          <w:tcPr>
            <w:tcW w:w="3960" w:type="dxa"/>
            <w:tcBorders>
              <w:top w:val="nil"/>
              <w:left w:val="nil"/>
              <w:right w:val="nil"/>
            </w:tcBorders>
            <w:shd w:val="clear" w:color="auto" w:fill="auto"/>
            <w:noWrap/>
            <w:vAlign w:val="bottom"/>
          </w:tcPr>
          <w:p w14:paraId="530F49B8" w14:textId="77777777" w:rsidR="00921D81" w:rsidRPr="004A7120" w:rsidRDefault="00921D81" w:rsidP="004A7120">
            <w:pPr>
              <w:spacing w:after="0" w:line="240" w:lineRule="auto"/>
              <w:ind w:left="720"/>
              <w:rPr>
                <w:rFonts w:ascii="Times New Roman" w:eastAsia="Calibri" w:hAnsi="Times New Roman" w:cs="Times New Roman"/>
                <w:color w:val="000000"/>
                <w:kern w:val="0"/>
                <w14:ligatures w14:val="none"/>
              </w:rPr>
            </w:pPr>
          </w:p>
        </w:tc>
        <w:tc>
          <w:tcPr>
            <w:tcW w:w="7956" w:type="dxa"/>
            <w:gridSpan w:val="6"/>
            <w:tcBorders>
              <w:top w:val="nil"/>
              <w:left w:val="nil"/>
              <w:right w:val="nil"/>
            </w:tcBorders>
            <w:shd w:val="clear" w:color="auto" w:fill="auto"/>
            <w:noWrap/>
            <w:vAlign w:val="center"/>
          </w:tcPr>
          <w:p w14:paraId="0C8C06F7" w14:textId="77777777" w:rsidR="00921D81" w:rsidRPr="004A7120" w:rsidRDefault="00921D81" w:rsidP="004A7120">
            <w:pPr>
              <w:spacing w:after="0" w:line="240" w:lineRule="auto"/>
              <w:jc w:val="center"/>
              <w:rPr>
                <w:rFonts w:ascii="Times New Roman" w:eastAsia="Calibri" w:hAnsi="Times New Roman" w:cs="Times New Roman"/>
                <w:i/>
                <w:iCs/>
                <w:color w:val="000000"/>
                <w:kern w:val="0"/>
                <w14:ligatures w14:val="none"/>
              </w:rPr>
            </w:pPr>
          </w:p>
        </w:tc>
        <w:tc>
          <w:tcPr>
            <w:tcW w:w="1620" w:type="dxa"/>
            <w:tcBorders>
              <w:top w:val="nil"/>
              <w:left w:val="nil"/>
              <w:right w:val="nil"/>
            </w:tcBorders>
            <w:shd w:val="clear" w:color="auto" w:fill="auto"/>
            <w:noWrap/>
            <w:vAlign w:val="center"/>
          </w:tcPr>
          <w:p w14:paraId="72F3F384" w14:textId="77777777" w:rsidR="00921D81" w:rsidRPr="004A7120" w:rsidRDefault="00921D81" w:rsidP="004A7120">
            <w:pPr>
              <w:spacing w:after="0" w:line="240" w:lineRule="auto"/>
              <w:jc w:val="center"/>
              <w:rPr>
                <w:rFonts w:ascii="Times New Roman" w:eastAsia="Calibri" w:hAnsi="Times New Roman" w:cs="Times New Roman"/>
                <w:color w:val="000000"/>
                <w:kern w:val="0"/>
                <w14:ligatures w14:val="none"/>
              </w:rPr>
            </w:pPr>
          </w:p>
        </w:tc>
      </w:tr>
      <w:tr w:rsidR="00087F4F" w:rsidRPr="004A7120" w14:paraId="0A82DF34" w14:textId="77777777" w:rsidTr="00921D81">
        <w:trPr>
          <w:trHeight w:val="320"/>
        </w:trPr>
        <w:tc>
          <w:tcPr>
            <w:tcW w:w="3960" w:type="dxa"/>
            <w:tcBorders>
              <w:left w:val="nil"/>
              <w:bottom w:val="nil"/>
              <w:right w:val="nil"/>
            </w:tcBorders>
            <w:shd w:val="clear" w:color="auto" w:fill="auto"/>
            <w:noWrap/>
            <w:vAlign w:val="bottom"/>
          </w:tcPr>
          <w:p w14:paraId="2EB281DE" w14:textId="77777777" w:rsidR="004A7120" w:rsidRPr="004A7120" w:rsidRDefault="004A7120" w:rsidP="004A7120">
            <w:pPr>
              <w:spacing w:after="0" w:line="240" w:lineRule="auto"/>
              <w:rPr>
                <w:rFonts w:ascii="Times New Roman" w:eastAsia="Calibri" w:hAnsi="Times New Roman" w:cs="Times New Roman"/>
                <w:color w:val="000000"/>
                <w:kern w:val="0"/>
                <w14:ligatures w14:val="none"/>
              </w:rPr>
            </w:pPr>
            <w:r w:rsidRPr="004A7120">
              <w:rPr>
                <w:rFonts w:ascii="Times New Roman" w:eastAsia="Calibri" w:hAnsi="Times New Roman" w:cs="Times New Roman"/>
                <w:b/>
                <w:bCs/>
                <w:color w:val="000000"/>
                <w:kern w:val="0"/>
                <w14:ligatures w14:val="none"/>
              </w:rPr>
              <w:lastRenderedPageBreak/>
              <w:t>Air Quality Index (AQI) Category</w:t>
            </w:r>
          </w:p>
        </w:tc>
        <w:tc>
          <w:tcPr>
            <w:tcW w:w="756" w:type="dxa"/>
            <w:tcBorders>
              <w:left w:val="nil"/>
              <w:bottom w:val="nil"/>
              <w:right w:val="nil"/>
            </w:tcBorders>
            <w:shd w:val="clear" w:color="auto" w:fill="auto"/>
            <w:noWrap/>
            <w:vAlign w:val="bottom"/>
          </w:tcPr>
          <w:p w14:paraId="112CF9FE"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c>
          <w:tcPr>
            <w:tcW w:w="1710" w:type="dxa"/>
            <w:tcBorders>
              <w:left w:val="nil"/>
              <w:bottom w:val="nil"/>
              <w:right w:val="nil"/>
            </w:tcBorders>
            <w:shd w:val="clear" w:color="auto" w:fill="auto"/>
            <w:noWrap/>
            <w:vAlign w:val="bottom"/>
          </w:tcPr>
          <w:p w14:paraId="057F3EAC"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c>
          <w:tcPr>
            <w:tcW w:w="1530" w:type="dxa"/>
            <w:tcBorders>
              <w:left w:val="nil"/>
              <w:bottom w:val="nil"/>
              <w:right w:val="nil"/>
            </w:tcBorders>
            <w:shd w:val="clear" w:color="auto" w:fill="auto"/>
            <w:noWrap/>
            <w:vAlign w:val="bottom"/>
          </w:tcPr>
          <w:p w14:paraId="7D940534"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c>
          <w:tcPr>
            <w:tcW w:w="1170" w:type="dxa"/>
            <w:tcBorders>
              <w:left w:val="nil"/>
              <w:bottom w:val="nil"/>
              <w:right w:val="nil"/>
            </w:tcBorders>
            <w:shd w:val="clear" w:color="auto" w:fill="auto"/>
            <w:noWrap/>
            <w:vAlign w:val="bottom"/>
          </w:tcPr>
          <w:p w14:paraId="329888FD"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c>
          <w:tcPr>
            <w:tcW w:w="1620" w:type="dxa"/>
            <w:tcBorders>
              <w:left w:val="nil"/>
              <w:bottom w:val="nil"/>
              <w:right w:val="nil"/>
            </w:tcBorders>
            <w:shd w:val="clear" w:color="auto" w:fill="auto"/>
            <w:noWrap/>
            <w:vAlign w:val="bottom"/>
          </w:tcPr>
          <w:p w14:paraId="20CC175F"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c>
          <w:tcPr>
            <w:tcW w:w="1170" w:type="dxa"/>
            <w:tcBorders>
              <w:left w:val="nil"/>
              <w:bottom w:val="nil"/>
              <w:right w:val="nil"/>
            </w:tcBorders>
            <w:shd w:val="clear" w:color="auto" w:fill="auto"/>
            <w:noWrap/>
            <w:vAlign w:val="center"/>
          </w:tcPr>
          <w:p w14:paraId="50A95999"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c>
          <w:tcPr>
            <w:tcW w:w="1620" w:type="dxa"/>
            <w:tcBorders>
              <w:left w:val="nil"/>
              <w:bottom w:val="nil"/>
              <w:right w:val="nil"/>
            </w:tcBorders>
            <w:shd w:val="clear" w:color="auto" w:fill="auto"/>
            <w:noWrap/>
            <w:vAlign w:val="center"/>
          </w:tcPr>
          <w:p w14:paraId="0BDF245E"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0.0907</w:t>
            </w:r>
          </w:p>
        </w:tc>
      </w:tr>
      <w:tr w:rsidR="00087F4F" w:rsidRPr="004A7120" w14:paraId="55CFA1FC" w14:textId="77777777" w:rsidTr="008535F6">
        <w:trPr>
          <w:trHeight w:val="320"/>
        </w:trPr>
        <w:tc>
          <w:tcPr>
            <w:tcW w:w="3960" w:type="dxa"/>
            <w:tcBorders>
              <w:top w:val="nil"/>
              <w:left w:val="nil"/>
              <w:right w:val="nil"/>
            </w:tcBorders>
            <w:shd w:val="clear" w:color="auto" w:fill="auto"/>
            <w:noWrap/>
            <w:vAlign w:val="bottom"/>
          </w:tcPr>
          <w:p w14:paraId="59B97214"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Moderate or Unhealthy for Sensitive Groups</w:t>
            </w:r>
          </w:p>
        </w:tc>
        <w:tc>
          <w:tcPr>
            <w:tcW w:w="756" w:type="dxa"/>
            <w:tcBorders>
              <w:top w:val="nil"/>
              <w:left w:val="nil"/>
              <w:right w:val="nil"/>
            </w:tcBorders>
            <w:shd w:val="clear" w:color="auto" w:fill="auto"/>
            <w:noWrap/>
            <w:vAlign w:val="center"/>
          </w:tcPr>
          <w:p w14:paraId="3A5A5F34"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1.239</w:t>
            </w:r>
          </w:p>
        </w:tc>
        <w:tc>
          <w:tcPr>
            <w:tcW w:w="1710" w:type="dxa"/>
            <w:tcBorders>
              <w:top w:val="nil"/>
              <w:left w:val="nil"/>
              <w:right w:val="nil"/>
            </w:tcBorders>
            <w:shd w:val="clear" w:color="auto" w:fill="auto"/>
            <w:noWrap/>
            <w:vAlign w:val="center"/>
          </w:tcPr>
          <w:p w14:paraId="380323FC"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1.014, 1.514</w:t>
            </w:r>
          </w:p>
        </w:tc>
        <w:tc>
          <w:tcPr>
            <w:tcW w:w="1530" w:type="dxa"/>
            <w:tcBorders>
              <w:top w:val="nil"/>
              <w:left w:val="nil"/>
              <w:right w:val="nil"/>
            </w:tcBorders>
            <w:shd w:val="clear" w:color="auto" w:fill="auto"/>
            <w:noWrap/>
            <w:vAlign w:val="center"/>
          </w:tcPr>
          <w:p w14:paraId="6B884912"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0.036</w:t>
            </w:r>
          </w:p>
        </w:tc>
        <w:tc>
          <w:tcPr>
            <w:tcW w:w="1170" w:type="dxa"/>
            <w:tcBorders>
              <w:top w:val="nil"/>
              <w:left w:val="nil"/>
              <w:right w:val="nil"/>
            </w:tcBorders>
            <w:shd w:val="clear" w:color="auto" w:fill="auto"/>
            <w:noWrap/>
            <w:vAlign w:val="center"/>
          </w:tcPr>
          <w:p w14:paraId="66681F2A"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1.176</w:t>
            </w:r>
          </w:p>
        </w:tc>
        <w:tc>
          <w:tcPr>
            <w:tcW w:w="1620" w:type="dxa"/>
            <w:tcBorders>
              <w:top w:val="nil"/>
              <w:left w:val="nil"/>
              <w:right w:val="nil"/>
            </w:tcBorders>
            <w:shd w:val="clear" w:color="auto" w:fill="auto"/>
            <w:noWrap/>
            <w:vAlign w:val="center"/>
          </w:tcPr>
          <w:p w14:paraId="43807030"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0.887, 1.559</w:t>
            </w:r>
          </w:p>
        </w:tc>
        <w:tc>
          <w:tcPr>
            <w:tcW w:w="1170" w:type="dxa"/>
            <w:tcBorders>
              <w:top w:val="nil"/>
              <w:left w:val="nil"/>
              <w:right w:val="nil"/>
            </w:tcBorders>
            <w:shd w:val="clear" w:color="auto" w:fill="auto"/>
            <w:noWrap/>
            <w:vAlign w:val="center"/>
          </w:tcPr>
          <w:p w14:paraId="315CCACA"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0.259</w:t>
            </w:r>
          </w:p>
        </w:tc>
        <w:tc>
          <w:tcPr>
            <w:tcW w:w="1620" w:type="dxa"/>
            <w:tcBorders>
              <w:top w:val="nil"/>
              <w:left w:val="nil"/>
              <w:right w:val="nil"/>
            </w:tcBorders>
            <w:shd w:val="clear" w:color="auto" w:fill="auto"/>
            <w:noWrap/>
            <w:vAlign w:val="bottom"/>
          </w:tcPr>
          <w:p w14:paraId="4FDC69B2"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r w:rsidR="004A7120" w:rsidRPr="004A7120" w14:paraId="3BB56227" w14:textId="77777777" w:rsidTr="00921D81">
        <w:trPr>
          <w:trHeight w:val="320"/>
        </w:trPr>
        <w:tc>
          <w:tcPr>
            <w:tcW w:w="3960" w:type="dxa"/>
            <w:tcBorders>
              <w:top w:val="nil"/>
              <w:left w:val="nil"/>
              <w:bottom w:val="single" w:sz="12" w:space="0" w:color="auto"/>
              <w:right w:val="nil"/>
            </w:tcBorders>
            <w:shd w:val="clear" w:color="auto" w:fill="auto"/>
            <w:noWrap/>
            <w:vAlign w:val="bottom"/>
          </w:tcPr>
          <w:p w14:paraId="198635F6" w14:textId="77777777" w:rsidR="004A7120" w:rsidRPr="004A7120" w:rsidRDefault="004A7120" w:rsidP="004A7120">
            <w:pPr>
              <w:spacing w:after="0" w:line="240" w:lineRule="auto"/>
              <w:ind w:left="720"/>
              <w:rPr>
                <w:rFonts w:ascii="Times New Roman" w:eastAsia="Calibri" w:hAnsi="Times New Roman" w:cs="Times New Roman"/>
                <w:color w:val="000000"/>
                <w:kern w:val="0"/>
                <w14:ligatures w14:val="none"/>
              </w:rPr>
            </w:pPr>
            <w:r w:rsidRPr="004A7120">
              <w:rPr>
                <w:rFonts w:ascii="Times New Roman" w:eastAsia="Calibri" w:hAnsi="Times New Roman" w:cs="Times New Roman"/>
                <w:color w:val="000000"/>
                <w:kern w:val="0"/>
                <w14:ligatures w14:val="none"/>
              </w:rPr>
              <w:t>Good</w:t>
            </w:r>
          </w:p>
        </w:tc>
        <w:tc>
          <w:tcPr>
            <w:tcW w:w="7956" w:type="dxa"/>
            <w:gridSpan w:val="6"/>
            <w:tcBorders>
              <w:top w:val="nil"/>
              <w:left w:val="nil"/>
              <w:bottom w:val="single" w:sz="12" w:space="0" w:color="auto"/>
              <w:right w:val="nil"/>
            </w:tcBorders>
            <w:shd w:val="clear" w:color="auto" w:fill="auto"/>
            <w:noWrap/>
            <w:vAlign w:val="center"/>
          </w:tcPr>
          <w:p w14:paraId="4CD0EA0B"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r w:rsidRPr="004A7120">
              <w:rPr>
                <w:rFonts w:ascii="Times New Roman" w:eastAsia="Calibri" w:hAnsi="Times New Roman" w:cs="Times New Roman"/>
                <w:i/>
                <w:iCs/>
                <w:color w:val="000000"/>
                <w:kern w:val="0"/>
                <w14:ligatures w14:val="none"/>
              </w:rPr>
              <w:t>Reference</w:t>
            </w:r>
          </w:p>
        </w:tc>
        <w:tc>
          <w:tcPr>
            <w:tcW w:w="1620" w:type="dxa"/>
            <w:tcBorders>
              <w:top w:val="nil"/>
              <w:left w:val="nil"/>
              <w:bottom w:val="single" w:sz="12" w:space="0" w:color="auto"/>
              <w:right w:val="nil"/>
            </w:tcBorders>
            <w:shd w:val="clear" w:color="auto" w:fill="auto"/>
            <w:noWrap/>
            <w:vAlign w:val="center"/>
          </w:tcPr>
          <w:p w14:paraId="05AF935F" w14:textId="77777777" w:rsidR="004A7120" w:rsidRPr="004A7120" w:rsidRDefault="004A7120" w:rsidP="004A7120">
            <w:pPr>
              <w:spacing w:after="0" w:line="240" w:lineRule="auto"/>
              <w:jc w:val="center"/>
              <w:rPr>
                <w:rFonts w:ascii="Times New Roman" w:eastAsia="Calibri" w:hAnsi="Times New Roman" w:cs="Times New Roman"/>
                <w:color w:val="000000"/>
                <w:kern w:val="0"/>
                <w14:ligatures w14:val="none"/>
              </w:rPr>
            </w:pPr>
          </w:p>
        </w:tc>
      </w:tr>
    </w:tbl>
    <w:p w14:paraId="1455A7C7" w14:textId="77777777" w:rsidR="004A7120" w:rsidRDefault="004A7120" w:rsidP="00921D81">
      <w:pPr>
        <w:spacing w:after="200" w:line="480" w:lineRule="auto"/>
        <w:ind w:firstLine="634"/>
        <w:rPr>
          <w:rFonts w:ascii="Times New Roman" w:hAnsi="Times New Roman" w:cs="Times New Roman"/>
          <w:iCs/>
        </w:rPr>
      </w:pPr>
    </w:p>
    <w:p w14:paraId="671BE36D" w14:textId="37CC840D" w:rsidR="009C2E43" w:rsidRDefault="009C2E43">
      <w:pPr>
        <w:rPr>
          <w:rFonts w:ascii="Times New Roman" w:hAnsi="Times New Roman" w:cs="Times New Roman"/>
          <w:iCs/>
        </w:rPr>
      </w:pPr>
      <w:r>
        <w:rPr>
          <w:rFonts w:ascii="Times New Roman" w:hAnsi="Times New Roman" w:cs="Times New Roman"/>
          <w:iCs/>
        </w:rPr>
        <w:br w:type="page"/>
      </w:r>
    </w:p>
    <w:p w14:paraId="329C94D6" w14:textId="22FD88E5" w:rsidR="009C2E43" w:rsidRDefault="009C2E43" w:rsidP="00921D81">
      <w:pPr>
        <w:pStyle w:val="Caption"/>
        <w:spacing w:after="0"/>
      </w:pPr>
      <w:bookmarkStart w:id="141" w:name="_Toc199886035"/>
      <w:bookmarkStart w:id="142" w:name="_Toc200097052"/>
      <w:r>
        <w:lastRenderedPageBreak/>
        <w:t xml:space="preserve">Table </w:t>
      </w:r>
      <w:r w:rsidR="00450C23">
        <w:fldChar w:fldCharType="begin"/>
      </w:r>
      <w:r w:rsidR="00450C23">
        <w:instrText xml:space="preserve"> STYLEREF 1 \s </w:instrText>
      </w:r>
      <w:r w:rsidR="00450C23">
        <w:fldChar w:fldCharType="separate"/>
      </w:r>
      <w:r w:rsidR="005D69AE">
        <w:rPr>
          <w:noProof/>
        </w:rPr>
        <w:t>3</w:t>
      </w:r>
      <w:r w:rsidR="00450C23">
        <w:rPr>
          <w:noProof/>
        </w:rPr>
        <w:fldChar w:fldCharType="end"/>
      </w:r>
      <w:r w:rsidR="005D69AE">
        <w:t>.</w:t>
      </w:r>
      <w:r w:rsidR="00450C23">
        <w:fldChar w:fldCharType="begin"/>
      </w:r>
      <w:r w:rsidR="00450C23">
        <w:instrText xml:space="preserve"> SEQ Table \* ARABIC \s 1 </w:instrText>
      </w:r>
      <w:r w:rsidR="00450C23">
        <w:fldChar w:fldCharType="separate"/>
      </w:r>
      <w:r w:rsidR="005D69AE">
        <w:rPr>
          <w:noProof/>
        </w:rPr>
        <w:t>6</w:t>
      </w:r>
      <w:r w:rsidR="00450C23">
        <w:rPr>
          <w:noProof/>
        </w:rPr>
        <w:fldChar w:fldCharType="end"/>
      </w:r>
      <w:r>
        <w:t xml:space="preserve">. </w:t>
      </w:r>
      <w:r w:rsidRPr="008F36BE">
        <w:t>Predictors of chronic obstructive pulmonary disease severity among National Supplemental Screening Program participants, 2006-2019</w:t>
      </w:r>
      <w:bookmarkEnd w:id="141"/>
      <w:bookmarkEnd w:id="142"/>
    </w:p>
    <w:tbl>
      <w:tblPr>
        <w:tblW w:w="13356" w:type="dxa"/>
        <w:tblLook w:val="04A0" w:firstRow="1" w:lastRow="0" w:firstColumn="1" w:lastColumn="0" w:noHBand="0" w:noVBand="1"/>
      </w:tblPr>
      <w:tblGrid>
        <w:gridCol w:w="4590"/>
        <w:gridCol w:w="756"/>
        <w:gridCol w:w="1800"/>
        <w:gridCol w:w="1080"/>
        <w:gridCol w:w="900"/>
        <w:gridCol w:w="1810"/>
        <w:gridCol w:w="1067"/>
        <w:gridCol w:w="1353"/>
      </w:tblGrid>
      <w:tr w:rsidR="009C2E43" w:rsidRPr="009C2E43" w14:paraId="317817F7" w14:textId="77777777" w:rsidTr="008535F6">
        <w:trPr>
          <w:trHeight w:val="318"/>
          <w:tblHeader/>
        </w:trPr>
        <w:tc>
          <w:tcPr>
            <w:tcW w:w="4590" w:type="dxa"/>
            <w:tcBorders>
              <w:top w:val="single" w:sz="12" w:space="0" w:color="auto"/>
              <w:left w:val="nil"/>
              <w:bottom w:val="nil"/>
              <w:right w:val="nil"/>
            </w:tcBorders>
            <w:shd w:val="clear" w:color="auto" w:fill="auto"/>
            <w:noWrap/>
            <w:vAlign w:val="center"/>
            <w:hideMark/>
          </w:tcPr>
          <w:p w14:paraId="32F3CEE3" w14:textId="77777777" w:rsidR="009C2E43" w:rsidRPr="009C2E43" w:rsidRDefault="009C2E43" w:rsidP="009C2E43">
            <w:pPr>
              <w:spacing w:after="0" w:line="240" w:lineRule="auto"/>
              <w:jc w:val="center"/>
              <w:rPr>
                <w:rFonts w:ascii="Times New Roman" w:eastAsia="Calibri" w:hAnsi="Times New Roman" w:cs="Times New Roman"/>
                <w:b/>
                <w:bCs/>
                <w:color w:val="000000"/>
                <w:kern w:val="0"/>
                <w14:ligatures w14:val="none"/>
              </w:rPr>
            </w:pPr>
          </w:p>
        </w:tc>
        <w:tc>
          <w:tcPr>
            <w:tcW w:w="3636" w:type="dxa"/>
            <w:gridSpan w:val="3"/>
            <w:tcBorders>
              <w:top w:val="single" w:sz="12" w:space="0" w:color="auto"/>
              <w:left w:val="nil"/>
              <w:bottom w:val="nil"/>
              <w:right w:val="nil"/>
            </w:tcBorders>
            <w:shd w:val="clear" w:color="auto" w:fill="auto"/>
            <w:noWrap/>
            <w:vAlign w:val="bottom"/>
            <w:hideMark/>
          </w:tcPr>
          <w:p w14:paraId="4E54A518" w14:textId="77777777" w:rsidR="009C2E43" w:rsidRPr="009C2E43" w:rsidRDefault="009C2E43" w:rsidP="009C2E43">
            <w:pPr>
              <w:spacing w:after="0" w:line="240" w:lineRule="auto"/>
              <w:jc w:val="center"/>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b/>
                <w:bCs/>
                <w:color w:val="000000"/>
                <w:kern w:val="0"/>
                <w14:ligatures w14:val="none"/>
              </w:rPr>
              <w:t>Moderate</w:t>
            </w:r>
          </w:p>
        </w:tc>
        <w:tc>
          <w:tcPr>
            <w:tcW w:w="3777" w:type="dxa"/>
            <w:gridSpan w:val="3"/>
            <w:tcBorders>
              <w:top w:val="single" w:sz="12" w:space="0" w:color="auto"/>
              <w:left w:val="nil"/>
              <w:bottom w:val="nil"/>
              <w:right w:val="nil"/>
            </w:tcBorders>
            <w:shd w:val="clear" w:color="auto" w:fill="auto"/>
            <w:noWrap/>
            <w:vAlign w:val="bottom"/>
            <w:hideMark/>
          </w:tcPr>
          <w:p w14:paraId="204E6043" w14:textId="77777777" w:rsidR="009C2E43" w:rsidRPr="009C2E43" w:rsidRDefault="009C2E43" w:rsidP="009C2E43">
            <w:pPr>
              <w:spacing w:after="0" w:line="240" w:lineRule="auto"/>
              <w:jc w:val="center"/>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b/>
                <w:bCs/>
                <w:color w:val="000000"/>
                <w:kern w:val="0"/>
                <w14:ligatures w14:val="none"/>
              </w:rPr>
              <w:t>Severe or Very Severe</w:t>
            </w:r>
          </w:p>
        </w:tc>
        <w:tc>
          <w:tcPr>
            <w:tcW w:w="1353" w:type="dxa"/>
            <w:tcBorders>
              <w:top w:val="single" w:sz="12" w:space="0" w:color="auto"/>
              <w:left w:val="nil"/>
              <w:bottom w:val="nil"/>
              <w:right w:val="nil"/>
            </w:tcBorders>
            <w:shd w:val="clear" w:color="auto" w:fill="auto"/>
            <w:noWrap/>
            <w:vAlign w:val="bottom"/>
            <w:hideMark/>
          </w:tcPr>
          <w:p w14:paraId="79CFBC4F" w14:textId="77777777" w:rsidR="009C2E43" w:rsidRPr="009C2E43" w:rsidRDefault="009C2E43" w:rsidP="009C2E43">
            <w:pPr>
              <w:spacing w:after="0" w:line="240" w:lineRule="auto"/>
              <w:jc w:val="center"/>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b/>
                <w:bCs/>
                <w:color w:val="000000"/>
                <w:kern w:val="0"/>
                <w14:ligatures w14:val="none"/>
              </w:rPr>
              <w:t>Overall</w:t>
            </w:r>
          </w:p>
        </w:tc>
      </w:tr>
      <w:tr w:rsidR="009C2E43" w:rsidRPr="009C2E43" w14:paraId="6BAFCFDB" w14:textId="77777777" w:rsidTr="008535F6">
        <w:trPr>
          <w:trHeight w:val="318"/>
          <w:tblHeader/>
        </w:trPr>
        <w:tc>
          <w:tcPr>
            <w:tcW w:w="4590" w:type="dxa"/>
            <w:tcBorders>
              <w:top w:val="nil"/>
              <w:left w:val="nil"/>
              <w:bottom w:val="single" w:sz="12" w:space="0" w:color="auto"/>
              <w:right w:val="nil"/>
            </w:tcBorders>
            <w:shd w:val="clear" w:color="auto" w:fill="auto"/>
            <w:noWrap/>
            <w:vAlign w:val="bottom"/>
            <w:hideMark/>
          </w:tcPr>
          <w:p w14:paraId="673C1C8B"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b/>
                <w:bCs/>
                <w:color w:val="000000"/>
                <w:kern w:val="0"/>
                <w14:ligatures w14:val="none"/>
              </w:rPr>
              <w:t>Characteristics</w:t>
            </w:r>
          </w:p>
        </w:tc>
        <w:tc>
          <w:tcPr>
            <w:tcW w:w="756" w:type="dxa"/>
            <w:tcBorders>
              <w:top w:val="nil"/>
              <w:left w:val="nil"/>
              <w:bottom w:val="single" w:sz="12" w:space="0" w:color="auto"/>
              <w:right w:val="nil"/>
            </w:tcBorders>
            <w:shd w:val="clear" w:color="auto" w:fill="auto"/>
            <w:noWrap/>
            <w:vAlign w:val="bottom"/>
            <w:hideMark/>
          </w:tcPr>
          <w:p w14:paraId="081FFB15" w14:textId="77777777" w:rsidR="009C2E43" w:rsidRPr="009C2E43" w:rsidRDefault="009C2E43" w:rsidP="009C2E43">
            <w:pPr>
              <w:spacing w:after="0" w:line="240" w:lineRule="auto"/>
              <w:jc w:val="center"/>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b/>
                <w:bCs/>
                <w:color w:val="000000"/>
                <w:kern w:val="0"/>
                <w14:ligatures w14:val="none"/>
              </w:rPr>
              <w:t>RRR</w:t>
            </w:r>
          </w:p>
        </w:tc>
        <w:tc>
          <w:tcPr>
            <w:tcW w:w="1800" w:type="dxa"/>
            <w:tcBorders>
              <w:top w:val="nil"/>
              <w:left w:val="nil"/>
              <w:bottom w:val="single" w:sz="12" w:space="0" w:color="auto"/>
              <w:right w:val="nil"/>
            </w:tcBorders>
            <w:shd w:val="clear" w:color="auto" w:fill="auto"/>
            <w:noWrap/>
            <w:vAlign w:val="bottom"/>
            <w:hideMark/>
          </w:tcPr>
          <w:p w14:paraId="4DF00E66" w14:textId="77777777" w:rsidR="009C2E43" w:rsidRPr="009C2E43" w:rsidRDefault="009C2E43" w:rsidP="009C2E43">
            <w:pPr>
              <w:spacing w:after="0" w:line="240" w:lineRule="auto"/>
              <w:jc w:val="center"/>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b/>
                <w:bCs/>
                <w:color w:val="000000"/>
                <w:kern w:val="0"/>
                <w14:ligatures w14:val="none"/>
              </w:rPr>
              <w:t>95% CI</w:t>
            </w:r>
          </w:p>
        </w:tc>
        <w:tc>
          <w:tcPr>
            <w:tcW w:w="1080" w:type="dxa"/>
            <w:tcBorders>
              <w:top w:val="nil"/>
              <w:left w:val="nil"/>
              <w:bottom w:val="single" w:sz="12" w:space="0" w:color="auto"/>
              <w:right w:val="nil"/>
            </w:tcBorders>
            <w:shd w:val="clear" w:color="auto" w:fill="auto"/>
            <w:noWrap/>
            <w:vAlign w:val="bottom"/>
            <w:hideMark/>
          </w:tcPr>
          <w:p w14:paraId="0D653A9F" w14:textId="77777777" w:rsidR="009C2E43" w:rsidRPr="009C2E43" w:rsidRDefault="009C2E43" w:rsidP="009C2E43">
            <w:pPr>
              <w:spacing w:after="0" w:line="240" w:lineRule="auto"/>
              <w:jc w:val="center"/>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b/>
                <w:bCs/>
                <w:color w:val="000000"/>
                <w:kern w:val="0"/>
                <w14:ligatures w14:val="none"/>
              </w:rPr>
              <w:t>p-value</w:t>
            </w:r>
          </w:p>
        </w:tc>
        <w:tc>
          <w:tcPr>
            <w:tcW w:w="900" w:type="dxa"/>
            <w:tcBorders>
              <w:top w:val="nil"/>
              <w:left w:val="nil"/>
              <w:bottom w:val="single" w:sz="12" w:space="0" w:color="auto"/>
              <w:right w:val="nil"/>
            </w:tcBorders>
            <w:shd w:val="clear" w:color="auto" w:fill="auto"/>
            <w:noWrap/>
            <w:vAlign w:val="bottom"/>
            <w:hideMark/>
          </w:tcPr>
          <w:p w14:paraId="7F8697E3" w14:textId="77777777" w:rsidR="009C2E43" w:rsidRPr="009C2E43" w:rsidRDefault="009C2E43" w:rsidP="009C2E43">
            <w:pPr>
              <w:spacing w:after="0" w:line="240" w:lineRule="auto"/>
              <w:jc w:val="center"/>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b/>
                <w:bCs/>
                <w:color w:val="000000"/>
                <w:kern w:val="0"/>
                <w14:ligatures w14:val="none"/>
              </w:rPr>
              <w:t>RRR</w:t>
            </w:r>
          </w:p>
        </w:tc>
        <w:tc>
          <w:tcPr>
            <w:tcW w:w="1810" w:type="dxa"/>
            <w:tcBorders>
              <w:top w:val="nil"/>
              <w:left w:val="nil"/>
              <w:bottom w:val="single" w:sz="12" w:space="0" w:color="auto"/>
              <w:right w:val="nil"/>
            </w:tcBorders>
            <w:shd w:val="clear" w:color="auto" w:fill="auto"/>
            <w:noWrap/>
            <w:vAlign w:val="bottom"/>
            <w:hideMark/>
          </w:tcPr>
          <w:p w14:paraId="697DCD28" w14:textId="77777777" w:rsidR="009C2E43" w:rsidRPr="009C2E43" w:rsidRDefault="009C2E43" w:rsidP="009C2E43">
            <w:pPr>
              <w:spacing w:after="0" w:line="240" w:lineRule="auto"/>
              <w:jc w:val="center"/>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b/>
                <w:bCs/>
                <w:color w:val="000000"/>
                <w:kern w:val="0"/>
                <w14:ligatures w14:val="none"/>
              </w:rPr>
              <w:t>95% CI</w:t>
            </w:r>
          </w:p>
        </w:tc>
        <w:tc>
          <w:tcPr>
            <w:tcW w:w="1067" w:type="dxa"/>
            <w:tcBorders>
              <w:top w:val="nil"/>
              <w:left w:val="nil"/>
              <w:bottom w:val="single" w:sz="12" w:space="0" w:color="auto"/>
              <w:right w:val="nil"/>
            </w:tcBorders>
            <w:shd w:val="clear" w:color="auto" w:fill="auto"/>
            <w:noWrap/>
            <w:vAlign w:val="bottom"/>
            <w:hideMark/>
          </w:tcPr>
          <w:p w14:paraId="1A3474BD" w14:textId="77777777" w:rsidR="009C2E43" w:rsidRPr="009C2E43" w:rsidRDefault="009C2E43" w:rsidP="009C2E43">
            <w:pPr>
              <w:spacing w:after="0" w:line="240" w:lineRule="auto"/>
              <w:jc w:val="center"/>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b/>
                <w:bCs/>
                <w:color w:val="000000"/>
                <w:kern w:val="0"/>
                <w14:ligatures w14:val="none"/>
              </w:rPr>
              <w:t>p-value</w:t>
            </w:r>
          </w:p>
        </w:tc>
        <w:tc>
          <w:tcPr>
            <w:tcW w:w="1353" w:type="dxa"/>
            <w:tcBorders>
              <w:top w:val="nil"/>
              <w:left w:val="nil"/>
              <w:bottom w:val="single" w:sz="12" w:space="0" w:color="auto"/>
              <w:right w:val="nil"/>
            </w:tcBorders>
            <w:shd w:val="clear" w:color="auto" w:fill="auto"/>
            <w:noWrap/>
            <w:vAlign w:val="bottom"/>
            <w:hideMark/>
          </w:tcPr>
          <w:p w14:paraId="696F3E24" w14:textId="77777777" w:rsidR="009C2E43" w:rsidRPr="009C2E43" w:rsidRDefault="009C2E43" w:rsidP="009C2E43">
            <w:pPr>
              <w:spacing w:after="0" w:line="240" w:lineRule="auto"/>
              <w:jc w:val="center"/>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b/>
                <w:bCs/>
                <w:color w:val="000000"/>
                <w:kern w:val="0"/>
                <w14:ligatures w14:val="none"/>
              </w:rPr>
              <w:t>p-value</w:t>
            </w:r>
          </w:p>
        </w:tc>
      </w:tr>
      <w:tr w:rsidR="009C2E43" w:rsidRPr="009C2E43" w14:paraId="13317834" w14:textId="77777777" w:rsidTr="008535F6">
        <w:trPr>
          <w:trHeight w:val="318"/>
        </w:trPr>
        <w:tc>
          <w:tcPr>
            <w:tcW w:w="4590" w:type="dxa"/>
            <w:tcBorders>
              <w:top w:val="single" w:sz="12" w:space="0" w:color="auto"/>
              <w:left w:val="nil"/>
              <w:bottom w:val="nil"/>
              <w:right w:val="nil"/>
            </w:tcBorders>
            <w:shd w:val="clear" w:color="auto" w:fill="auto"/>
            <w:noWrap/>
            <w:vAlign w:val="bottom"/>
          </w:tcPr>
          <w:p w14:paraId="52C5EA29" w14:textId="77777777" w:rsidR="009C2E43" w:rsidRPr="009C2E43" w:rsidRDefault="009C2E43" w:rsidP="009C2E43">
            <w:pPr>
              <w:spacing w:after="0" w:line="240" w:lineRule="auto"/>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b/>
                <w:bCs/>
                <w:color w:val="000000"/>
                <w:kern w:val="0"/>
                <w14:ligatures w14:val="none"/>
              </w:rPr>
              <w:t>Age Categories</w:t>
            </w:r>
          </w:p>
        </w:tc>
        <w:tc>
          <w:tcPr>
            <w:tcW w:w="756" w:type="dxa"/>
            <w:tcBorders>
              <w:top w:val="single" w:sz="12" w:space="0" w:color="auto"/>
              <w:left w:val="nil"/>
              <w:bottom w:val="nil"/>
              <w:right w:val="nil"/>
            </w:tcBorders>
            <w:shd w:val="clear" w:color="auto" w:fill="auto"/>
            <w:noWrap/>
            <w:vAlign w:val="bottom"/>
          </w:tcPr>
          <w:p w14:paraId="0DB50C6D" w14:textId="77777777" w:rsidR="009C2E43" w:rsidRPr="009C2E43" w:rsidRDefault="009C2E43" w:rsidP="009C2E43">
            <w:pPr>
              <w:spacing w:after="0" w:line="240" w:lineRule="auto"/>
              <w:rPr>
                <w:rFonts w:ascii="Times New Roman" w:eastAsia="Calibri" w:hAnsi="Times New Roman" w:cs="Times New Roman"/>
                <w:b/>
                <w:bCs/>
                <w:color w:val="000000"/>
                <w:kern w:val="0"/>
                <w14:ligatures w14:val="none"/>
              </w:rPr>
            </w:pPr>
          </w:p>
        </w:tc>
        <w:tc>
          <w:tcPr>
            <w:tcW w:w="1800" w:type="dxa"/>
            <w:tcBorders>
              <w:top w:val="single" w:sz="12" w:space="0" w:color="auto"/>
              <w:left w:val="nil"/>
              <w:bottom w:val="nil"/>
              <w:right w:val="nil"/>
            </w:tcBorders>
            <w:shd w:val="clear" w:color="auto" w:fill="auto"/>
            <w:noWrap/>
            <w:vAlign w:val="bottom"/>
          </w:tcPr>
          <w:p w14:paraId="75AA69CA" w14:textId="77777777" w:rsidR="009C2E43" w:rsidRPr="009C2E43" w:rsidRDefault="009C2E43" w:rsidP="009C2E43">
            <w:pPr>
              <w:spacing w:after="0" w:line="240" w:lineRule="auto"/>
              <w:rPr>
                <w:rFonts w:ascii="Times New Roman" w:eastAsia="Calibri" w:hAnsi="Times New Roman" w:cs="Times New Roman"/>
                <w:kern w:val="0"/>
                <w:sz w:val="20"/>
                <w:szCs w:val="20"/>
                <w14:ligatures w14:val="none"/>
              </w:rPr>
            </w:pPr>
          </w:p>
        </w:tc>
        <w:tc>
          <w:tcPr>
            <w:tcW w:w="1080" w:type="dxa"/>
            <w:tcBorders>
              <w:top w:val="single" w:sz="12" w:space="0" w:color="auto"/>
              <w:left w:val="nil"/>
              <w:bottom w:val="nil"/>
              <w:right w:val="nil"/>
            </w:tcBorders>
            <w:shd w:val="clear" w:color="auto" w:fill="auto"/>
            <w:noWrap/>
            <w:vAlign w:val="bottom"/>
          </w:tcPr>
          <w:p w14:paraId="25A9736E" w14:textId="77777777" w:rsidR="009C2E43" w:rsidRPr="009C2E43" w:rsidRDefault="009C2E43" w:rsidP="009C2E43">
            <w:pPr>
              <w:spacing w:after="0" w:line="240" w:lineRule="auto"/>
              <w:rPr>
                <w:rFonts w:ascii="Times New Roman" w:eastAsia="Calibri" w:hAnsi="Times New Roman" w:cs="Times New Roman"/>
                <w:kern w:val="0"/>
                <w:sz w:val="20"/>
                <w:szCs w:val="20"/>
                <w14:ligatures w14:val="none"/>
              </w:rPr>
            </w:pPr>
          </w:p>
        </w:tc>
        <w:tc>
          <w:tcPr>
            <w:tcW w:w="900" w:type="dxa"/>
            <w:tcBorders>
              <w:top w:val="single" w:sz="12" w:space="0" w:color="auto"/>
              <w:left w:val="nil"/>
              <w:bottom w:val="nil"/>
              <w:right w:val="nil"/>
            </w:tcBorders>
            <w:shd w:val="clear" w:color="auto" w:fill="auto"/>
            <w:noWrap/>
            <w:vAlign w:val="bottom"/>
          </w:tcPr>
          <w:p w14:paraId="70BDFEFA" w14:textId="77777777" w:rsidR="009C2E43" w:rsidRPr="009C2E43" w:rsidRDefault="009C2E43" w:rsidP="009C2E43">
            <w:pPr>
              <w:spacing w:after="0" w:line="240" w:lineRule="auto"/>
              <w:rPr>
                <w:rFonts w:ascii="Times New Roman" w:eastAsia="Calibri" w:hAnsi="Times New Roman" w:cs="Times New Roman"/>
                <w:kern w:val="0"/>
                <w:sz w:val="20"/>
                <w:szCs w:val="20"/>
                <w14:ligatures w14:val="none"/>
              </w:rPr>
            </w:pPr>
          </w:p>
        </w:tc>
        <w:tc>
          <w:tcPr>
            <w:tcW w:w="1810" w:type="dxa"/>
            <w:tcBorders>
              <w:top w:val="single" w:sz="12" w:space="0" w:color="auto"/>
              <w:left w:val="nil"/>
              <w:bottom w:val="nil"/>
              <w:right w:val="nil"/>
            </w:tcBorders>
            <w:shd w:val="clear" w:color="auto" w:fill="auto"/>
            <w:noWrap/>
            <w:vAlign w:val="bottom"/>
          </w:tcPr>
          <w:p w14:paraId="43EBA99E" w14:textId="77777777" w:rsidR="009C2E43" w:rsidRPr="009C2E43" w:rsidRDefault="009C2E43" w:rsidP="009C2E43">
            <w:pPr>
              <w:spacing w:after="0" w:line="240" w:lineRule="auto"/>
              <w:rPr>
                <w:rFonts w:ascii="Times New Roman" w:eastAsia="Calibri" w:hAnsi="Times New Roman" w:cs="Times New Roman"/>
                <w:kern w:val="0"/>
                <w:sz w:val="20"/>
                <w:szCs w:val="20"/>
                <w14:ligatures w14:val="none"/>
              </w:rPr>
            </w:pPr>
          </w:p>
        </w:tc>
        <w:tc>
          <w:tcPr>
            <w:tcW w:w="1067" w:type="dxa"/>
            <w:tcBorders>
              <w:top w:val="single" w:sz="12" w:space="0" w:color="auto"/>
              <w:left w:val="nil"/>
              <w:bottom w:val="nil"/>
              <w:right w:val="nil"/>
            </w:tcBorders>
            <w:shd w:val="clear" w:color="auto" w:fill="auto"/>
            <w:noWrap/>
            <w:vAlign w:val="bottom"/>
          </w:tcPr>
          <w:p w14:paraId="42D6E259" w14:textId="77777777" w:rsidR="009C2E43" w:rsidRPr="009C2E43" w:rsidRDefault="009C2E43" w:rsidP="009C2E43">
            <w:pPr>
              <w:spacing w:after="0" w:line="240" w:lineRule="auto"/>
              <w:rPr>
                <w:rFonts w:ascii="Times New Roman" w:eastAsia="Calibri" w:hAnsi="Times New Roman" w:cs="Times New Roman"/>
                <w:kern w:val="0"/>
                <w:sz w:val="20"/>
                <w:szCs w:val="20"/>
                <w14:ligatures w14:val="none"/>
              </w:rPr>
            </w:pPr>
          </w:p>
        </w:tc>
        <w:tc>
          <w:tcPr>
            <w:tcW w:w="1353" w:type="dxa"/>
            <w:tcBorders>
              <w:top w:val="single" w:sz="12" w:space="0" w:color="auto"/>
              <w:left w:val="nil"/>
              <w:bottom w:val="nil"/>
              <w:right w:val="nil"/>
            </w:tcBorders>
            <w:shd w:val="clear" w:color="auto" w:fill="auto"/>
            <w:noWrap/>
            <w:vAlign w:val="center"/>
          </w:tcPr>
          <w:p w14:paraId="48B642E7"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&lt;0.0001</w:t>
            </w:r>
          </w:p>
        </w:tc>
      </w:tr>
      <w:tr w:rsidR="009C2E43" w:rsidRPr="009C2E43" w14:paraId="568F8171" w14:textId="77777777" w:rsidTr="008414E3">
        <w:trPr>
          <w:trHeight w:val="318"/>
        </w:trPr>
        <w:tc>
          <w:tcPr>
            <w:tcW w:w="4590" w:type="dxa"/>
            <w:tcBorders>
              <w:left w:val="nil"/>
              <w:bottom w:val="nil"/>
              <w:right w:val="nil"/>
            </w:tcBorders>
            <w:shd w:val="clear" w:color="auto" w:fill="auto"/>
            <w:noWrap/>
            <w:vAlign w:val="bottom"/>
          </w:tcPr>
          <w:p w14:paraId="6BDD2606" w14:textId="77777777" w:rsidR="009C2E43" w:rsidRPr="009C2E43" w:rsidRDefault="009C2E43" w:rsidP="009C2E43">
            <w:pPr>
              <w:spacing w:after="0" w:line="240" w:lineRule="auto"/>
              <w:ind w:left="720"/>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color w:val="000000"/>
                <w:kern w:val="0"/>
                <w14:ligatures w14:val="none"/>
              </w:rPr>
              <w:t>55-59 years old</w:t>
            </w:r>
          </w:p>
        </w:tc>
        <w:tc>
          <w:tcPr>
            <w:tcW w:w="756" w:type="dxa"/>
            <w:tcBorders>
              <w:left w:val="nil"/>
              <w:bottom w:val="nil"/>
              <w:right w:val="nil"/>
            </w:tcBorders>
            <w:shd w:val="clear" w:color="auto" w:fill="auto"/>
            <w:noWrap/>
            <w:vAlign w:val="center"/>
          </w:tcPr>
          <w:p w14:paraId="1E08AACB" w14:textId="77777777" w:rsidR="009C2E43" w:rsidRPr="009C2E43" w:rsidRDefault="009C2E43" w:rsidP="009C2E43">
            <w:pPr>
              <w:spacing w:after="0" w:line="240" w:lineRule="auto"/>
              <w:jc w:val="center"/>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color w:val="000000"/>
                <w:kern w:val="0"/>
                <w14:ligatures w14:val="none"/>
              </w:rPr>
              <w:t>1.217</w:t>
            </w:r>
          </w:p>
        </w:tc>
        <w:tc>
          <w:tcPr>
            <w:tcW w:w="1800" w:type="dxa"/>
            <w:tcBorders>
              <w:left w:val="nil"/>
              <w:bottom w:val="nil"/>
              <w:right w:val="nil"/>
            </w:tcBorders>
            <w:shd w:val="clear" w:color="auto" w:fill="auto"/>
            <w:noWrap/>
            <w:vAlign w:val="center"/>
          </w:tcPr>
          <w:p w14:paraId="4D8CF5E7"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0.875, 1.692</w:t>
            </w:r>
          </w:p>
        </w:tc>
        <w:tc>
          <w:tcPr>
            <w:tcW w:w="1080" w:type="dxa"/>
            <w:tcBorders>
              <w:left w:val="nil"/>
              <w:bottom w:val="nil"/>
              <w:right w:val="nil"/>
            </w:tcBorders>
            <w:shd w:val="clear" w:color="auto" w:fill="auto"/>
            <w:noWrap/>
            <w:vAlign w:val="center"/>
          </w:tcPr>
          <w:p w14:paraId="33C275B0"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0.2441</w:t>
            </w:r>
          </w:p>
        </w:tc>
        <w:tc>
          <w:tcPr>
            <w:tcW w:w="900" w:type="dxa"/>
            <w:tcBorders>
              <w:left w:val="nil"/>
              <w:bottom w:val="nil"/>
              <w:right w:val="nil"/>
            </w:tcBorders>
            <w:shd w:val="clear" w:color="auto" w:fill="auto"/>
            <w:noWrap/>
            <w:vAlign w:val="center"/>
          </w:tcPr>
          <w:p w14:paraId="4629A173"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1.004</w:t>
            </w:r>
          </w:p>
        </w:tc>
        <w:tc>
          <w:tcPr>
            <w:tcW w:w="1810" w:type="dxa"/>
            <w:tcBorders>
              <w:left w:val="nil"/>
              <w:bottom w:val="nil"/>
              <w:right w:val="nil"/>
            </w:tcBorders>
            <w:shd w:val="clear" w:color="auto" w:fill="auto"/>
            <w:noWrap/>
            <w:vAlign w:val="center"/>
          </w:tcPr>
          <w:p w14:paraId="4623A1AD"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0.554, 1.818</w:t>
            </w:r>
          </w:p>
        </w:tc>
        <w:tc>
          <w:tcPr>
            <w:tcW w:w="1067" w:type="dxa"/>
            <w:tcBorders>
              <w:left w:val="nil"/>
              <w:bottom w:val="nil"/>
              <w:right w:val="nil"/>
            </w:tcBorders>
            <w:shd w:val="clear" w:color="auto" w:fill="auto"/>
            <w:noWrap/>
            <w:vAlign w:val="center"/>
          </w:tcPr>
          <w:p w14:paraId="5FFE4F13"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0.9899</w:t>
            </w:r>
          </w:p>
        </w:tc>
        <w:tc>
          <w:tcPr>
            <w:tcW w:w="1353" w:type="dxa"/>
            <w:tcBorders>
              <w:left w:val="nil"/>
              <w:bottom w:val="nil"/>
              <w:right w:val="nil"/>
            </w:tcBorders>
            <w:shd w:val="clear" w:color="auto" w:fill="auto"/>
            <w:noWrap/>
            <w:vAlign w:val="center"/>
          </w:tcPr>
          <w:p w14:paraId="3A2C74F4"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r>
      <w:tr w:rsidR="009C2E43" w:rsidRPr="009C2E43" w14:paraId="2DF3F404" w14:textId="77777777" w:rsidTr="008414E3">
        <w:trPr>
          <w:trHeight w:val="318"/>
        </w:trPr>
        <w:tc>
          <w:tcPr>
            <w:tcW w:w="4590" w:type="dxa"/>
            <w:tcBorders>
              <w:left w:val="nil"/>
              <w:bottom w:val="nil"/>
              <w:right w:val="nil"/>
            </w:tcBorders>
            <w:shd w:val="clear" w:color="auto" w:fill="auto"/>
            <w:noWrap/>
            <w:vAlign w:val="bottom"/>
          </w:tcPr>
          <w:p w14:paraId="5A65ACDB" w14:textId="77777777" w:rsidR="009C2E43" w:rsidRPr="009C2E43" w:rsidRDefault="009C2E43" w:rsidP="009C2E43">
            <w:pPr>
              <w:spacing w:after="0" w:line="240" w:lineRule="auto"/>
              <w:ind w:left="720"/>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color w:val="000000"/>
                <w:kern w:val="0"/>
                <w14:ligatures w14:val="none"/>
              </w:rPr>
              <w:t>60-64 years old</w:t>
            </w:r>
          </w:p>
        </w:tc>
        <w:tc>
          <w:tcPr>
            <w:tcW w:w="756" w:type="dxa"/>
            <w:tcBorders>
              <w:left w:val="nil"/>
              <w:bottom w:val="nil"/>
              <w:right w:val="nil"/>
            </w:tcBorders>
            <w:shd w:val="clear" w:color="auto" w:fill="auto"/>
            <w:noWrap/>
            <w:vAlign w:val="center"/>
          </w:tcPr>
          <w:p w14:paraId="09A5417A" w14:textId="77777777" w:rsidR="009C2E43" w:rsidRPr="009C2E43" w:rsidRDefault="009C2E43" w:rsidP="009C2E43">
            <w:pPr>
              <w:spacing w:after="0" w:line="240" w:lineRule="auto"/>
              <w:jc w:val="center"/>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color w:val="000000"/>
                <w:kern w:val="0"/>
                <w14:ligatures w14:val="none"/>
              </w:rPr>
              <w:t>1.132</w:t>
            </w:r>
          </w:p>
        </w:tc>
        <w:tc>
          <w:tcPr>
            <w:tcW w:w="1800" w:type="dxa"/>
            <w:tcBorders>
              <w:left w:val="nil"/>
              <w:bottom w:val="nil"/>
              <w:right w:val="nil"/>
            </w:tcBorders>
            <w:shd w:val="clear" w:color="auto" w:fill="auto"/>
            <w:noWrap/>
            <w:vAlign w:val="center"/>
          </w:tcPr>
          <w:p w14:paraId="23CD98B9"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0.842, 1.520</w:t>
            </w:r>
          </w:p>
        </w:tc>
        <w:tc>
          <w:tcPr>
            <w:tcW w:w="1080" w:type="dxa"/>
            <w:tcBorders>
              <w:left w:val="nil"/>
              <w:bottom w:val="nil"/>
              <w:right w:val="nil"/>
            </w:tcBorders>
            <w:shd w:val="clear" w:color="auto" w:fill="auto"/>
            <w:noWrap/>
            <w:vAlign w:val="center"/>
          </w:tcPr>
          <w:p w14:paraId="2168BBEA"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0.4115</w:t>
            </w:r>
          </w:p>
        </w:tc>
        <w:tc>
          <w:tcPr>
            <w:tcW w:w="900" w:type="dxa"/>
            <w:tcBorders>
              <w:left w:val="nil"/>
              <w:bottom w:val="nil"/>
              <w:right w:val="nil"/>
            </w:tcBorders>
            <w:shd w:val="clear" w:color="auto" w:fill="auto"/>
            <w:noWrap/>
            <w:vAlign w:val="center"/>
          </w:tcPr>
          <w:p w14:paraId="49FDB728"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1.539</w:t>
            </w:r>
          </w:p>
        </w:tc>
        <w:tc>
          <w:tcPr>
            <w:tcW w:w="1810" w:type="dxa"/>
            <w:tcBorders>
              <w:left w:val="nil"/>
              <w:bottom w:val="nil"/>
              <w:right w:val="nil"/>
            </w:tcBorders>
            <w:shd w:val="clear" w:color="auto" w:fill="auto"/>
            <w:noWrap/>
            <w:vAlign w:val="center"/>
          </w:tcPr>
          <w:p w14:paraId="25684762"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0.936, 2.532</w:t>
            </w:r>
          </w:p>
        </w:tc>
        <w:tc>
          <w:tcPr>
            <w:tcW w:w="1067" w:type="dxa"/>
            <w:tcBorders>
              <w:left w:val="nil"/>
              <w:bottom w:val="nil"/>
              <w:right w:val="nil"/>
            </w:tcBorders>
            <w:shd w:val="clear" w:color="auto" w:fill="auto"/>
            <w:noWrap/>
            <w:vAlign w:val="center"/>
          </w:tcPr>
          <w:p w14:paraId="2C8749E1"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0.0896</w:t>
            </w:r>
          </w:p>
        </w:tc>
        <w:tc>
          <w:tcPr>
            <w:tcW w:w="1353" w:type="dxa"/>
            <w:tcBorders>
              <w:left w:val="nil"/>
              <w:bottom w:val="nil"/>
              <w:right w:val="nil"/>
            </w:tcBorders>
            <w:shd w:val="clear" w:color="auto" w:fill="auto"/>
            <w:noWrap/>
            <w:vAlign w:val="bottom"/>
          </w:tcPr>
          <w:p w14:paraId="5D29F6F5"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r>
      <w:tr w:rsidR="009C2E43" w:rsidRPr="009C2E43" w14:paraId="6E328D39" w14:textId="77777777" w:rsidTr="008414E3">
        <w:trPr>
          <w:trHeight w:val="318"/>
        </w:trPr>
        <w:tc>
          <w:tcPr>
            <w:tcW w:w="4590" w:type="dxa"/>
            <w:tcBorders>
              <w:left w:val="nil"/>
              <w:bottom w:val="nil"/>
              <w:right w:val="nil"/>
            </w:tcBorders>
            <w:shd w:val="clear" w:color="auto" w:fill="auto"/>
            <w:noWrap/>
            <w:vAlign w:val="bottom"/>
          </w:tcPr>
          <w:p w14:paraId="02E4FD39" w14:textId="77777777" w:rsidR="009C2E43" w:rsidRPr="009C2E43" w:rsidRDefault="009C2E43" w:rsidP="009C2E43">
            <w:pPr>
              <w:spacing w:after="0" w:line="240" w:lineRule="auto"/>
              <w:ind w:left="720"/>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color w:val="000000"/>
                <w:kern w:val="0"/>
                <w14:ligatures w14:val="none"/>
              </w:rPr>
              <w:t>65-69 years old</w:t>
            </w:r>
          </w:p>
        </w:tc>
        <w:tc>
          <w:tcPr>
            <w:tcW w:w="756" w:type="dxa"/>
            <w:tcBorders>
              <w:left w:val="nil"/>
              <w:bottom w:val="nil"/>
              <w:right w:val="nil"/>
            </w:tcBorders>
            <w:shd w:val="clear" w:color="auto" w:fill="auto"/>
            <w:noWrap/>
            <w:vAlign w:val="center"/>
          </w:tcPr>
          <w:p w14:paraId="25D316ED" w14:textId="77777777" w:rsidR="009C2E43" w:rsidRPr="009C2E43" w:rsidRDefault="009C2E43" w:rsidP="009C2E43">
            <w:pPr>
              <w:spacing w:after="0" w:line="240" w:lineRule="auto"/>
              <w:jc w:val="center"/>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color w:val="000000"/>
                <w:kern w:val="0"/>
                <w14:ligatures w14:val="none"/>
              </w:rPr>
              <w:t>1.341</w:t>
            </w:r>
          </w:p>
        </w:tc>
        <w:tc>
          <w:tcPr>
            <w:tcW w:w="1800" w:type="dxa"/>
            <w:tcBorders>
              <w:left w:val="nil"/>
              <w:bottom w:val="nil"/>
              <w:right w:val="nil"/>
            </w:tcBorders>
            <w:shd w:val="clear" w:color="auto" w:fill="auto"/>
            <w:noWrap/>
            <w:vAlign w:val="center"/>
          </w:tcPr>
          <w:p w14:paraId="2E2343D0"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1.007, 1.787</w:t>
            </w:r>
          </w:p>
        </w:tc>
        <w:tc>
          <w:tcPr>
            <w:tcW w:w="1080" w:type="dxa"/>
            <w:tcBorders>
              <w:left w:val="nil"/>
              <w:bottom w:val="nil"/>
              <w:right w:val="nil"/>
            </w:tcBorders>
            <w:shd w:val="clear" w:color="auto" w:fill="auto"/>
            <w:noWrap/>
            <w:vAlign w:val="center"/>
          </w:tcPr>
          <w:p w14:paraId="19ED5882"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0.0448</w:t>
            </w:r>
          </w:p>
        </w:tc>
        <w:tc>
          <w:tcPr>
            <w:tcW w:w="900" w:type="dxa"/>
            <w:tcBorders>
              <w:left w:val="nil"/>
              <w:bottom w:val="nil"/>
              <w:right w:val="nil"/>
            </w:tcBorders>
            <w:shd w:val="clear" w:color="auto" w:fill="auto"/>
            <w:noWrap/>
            <w:vAlign w:val="center"/>
          </w:tcPr>
          <w:p w14:paraId="416933D1"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2.228</w:t>
            </w:r>
          </w:p>
        </w:tc>
        <w:tc>
          <w:tcPr>
            <w:tcW w:w="1810" w:type="dxa"/>
            <w:tcBorders>
              <w:left w:val="nil"/>
              <w:bottom w:val="nil"/>
              <w:right w:val="nil"/>
            </w:tcBorders>
            <w:shd w:val="clear" w:color="auto" w:fill="auto"/>
            <w:noWrap/>
            <w:vAlign w:val="center"/>
          </w:tcPr>
          <w:p w14:paraId="7BF5A26D"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1.386, 3.582</w:t>
            </w:r>
          </w:p>
        </w:tc>
        <w:tc>
          <w:tcPr>
            <w:tcW w:w="1067" w:type="dxa"/>
            <w:tcBorders>
              <w:left w:val="nil"/>
              <w:bottom w:val="nil"/>
              <w:right w:val="nil"/>
            </w:tcBorders>
            <w:shd w:val="clear" w:color="auto" w:fill="auto"/>
            <w:noWrap/>
            <w:vAlign w:val="center"/>
          </w:tcPr>
          <w:p w14:paraId="19653712"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0.0009</w:t>
            </w:r>
          </w:p>
        </w:tc>
        <w:tc>
          <w:tcPr>
            <w:tcW w:w="1353" w:type="dxa"/>
            <w:tcBorders>
              <w:left w:val="nil"/>
              <w:bottom w:val="nil"/>
              <w:right w:val="nil"/>
            </w:tcBorders>
            <w:shd w:val="clear" w:color="auto" w:fill="auto"/>
            <w:noWrap/>
            <w:vAlign w:val="bottom"/>
          </w:tcPr>
          <w:p w14:paraId="5AFE7099"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r>
      <w:tr w:rsidR="009C2E43" w:rsidRPr="009C2E43" w14:paraId="4037DFAE" w14:textId="77777777" w:rsidTr="008414E3">
        <w:trPr>
          <w:trHeight w:val="318"/>
        </w:trPr>
        <w:tc>
          <w:tcPr>
            <w:tcW w:w="4590" w:type="dxa"/>
            <w:tcBorders>
              <w:left w:val="nil"/>
              <w:bottom w:val="nil"/>
              <w:right w:val="nil"/>
            </w:tcBorders>
            <w:shd w:val="clear" w:color="auto" w:fill="auto"/>
            <w:noWrap/>
            <w:vAlign w:val="bottom"/>
          </w:tcPr>
          <w:p w14:paraId="2460B646" w14:textId="77777777" w:rsidR="009C2E43" w:rsidRPr="009C2E43" w:rsidRDefault="009C2E43" w:rsidP="009C2E43">
            <w:pPr>
              <w:spacing w:after="0" w:line="240" w:lineRule="auto"/>
              <w:ind w:left="720"/>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color w:val="000000"/>
                <w:kern w:val="0"/>
                <w14:ligatures w14:val="none"/>
              </w:rPr>
              <w:t>70-74 years old</w:t>
            </w:r>
          </w:p>
        </w:tc>
        <w:tc>
          <w:tcPr>
            <w:tcW w:w="756" w:type="dxa"/>
            <w:tcBorders>
              <w:left w:val="nil"/>
              <w:bottom w:val="nil"/>
              <w:right w:val="nil"/>
            </w:tcBorders>
            <w:shd w:val="clear" w:color="auto" w:fill="auto"/>
            <w:noWrap/>
            <w:vAlign w:val="center"/>
          </w:tcPr>
          <w:p w14:paraId="2D3D6AEE" w14:textId="77777777" w:rsidR="009C2E43" w:rsidRPr="009C2E43" w:rsidRDefault="009C2E43" w:rsidP="009C2E43">
            <w:pPr>
              <w:spacing w:after="0" w:line="240" w:lineRule="auto"/>
              <w:jc w:val="center"/>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color w:val="000000"/>
                <w:kern w:val="0"/>
                <w14:ligatures w14:val="none"/>
              </w:rPr>
              <w:t>1.124</w:t>
            </w:r>
          </w:p>
        </w:tc>
        <w:tc>
          <w:tcPr>
            <w:tcW w:w="1800" w:type="dxa"/>
            <w:tcBorders>
              <w:left w:val="nil"/>
              <w:bottom w:val="nil"/>
              <w:right w:val="nil"/>
            </w:tcBorders>
            <w:shd w:val="clear" w:color="auto" w:fill="auto"/>
            <w:noWrap/>
            <w:vAlign w:val="center"/>
          </w:tcPr>
          <w:p w14:paraId="283BFB96"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0.841, 1.501</w:t>
            </w:r>
          </w:p>
        </w:tc>
        <w:tc>
          <w:tcPr>
            <w:tcW w:w="1080" w:type="dxa"/>
            <w:tcBorders>
              <w:left w:val="nil"/>
              <w:bottom w:val="nil"/>
              <w:right w:val="nil"/>
            </w:tcBorders>
            <w:shd w:val="clear" w:color="auto" w:fill="auto"/>
            <w:noWrap/>
            <w:vAlign w:val="center"/>
          </w:tcPr>
          <w:p w14:paraId="202F7C24"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0.4307</w:t>
            </w:r>
          </w:p>
        </w:tc>
        <w:tc>
          <w:tcPr>
            <w:tcW w:w="900" w:type="dxa"/>
            <w:tcBorders>
              <w:left w:val="nil"/>
              <w:bottom w:val="nil"/>
              <w:right w:val="nil"/>
            </w:tcBorders>
            <w:shd w:val="clear" w:color="auto" w:fill="auto"/>
            <w:noWrap/>
            <w:vAlign w:val="center"/>
          </w:tcPr>
          <w:p w14:paraId="58BA31F7"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2.256</w:t>
            </w:r>
          </w:p>
        </w:tc>
        <w:tc>
          <w:tcPr>
            <w:tcW w:w="1810" w:type="dxa"/>
            <w:tcBorders>
              <w:left w:val="nil"/>
              <w:bottom w:val="nil"/>
              <w:right w:val="nil"/>
            </w:tcBorders>
            <w:shd w:val="clear" w:color="auto" w:fill="auto"/>
            <w:noWrap/>
            <w:vAlign w:val="center"/>
          </w:tcPr>
          <w:p w14:paraId="7A1BB61B"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1.405, 3.623</w:t>
            </w:r>
          </w:p>
        </w:tc>
        <w:tc>
          <w:tcPr>
            <w:tcW w:w="1067" w:type="dxa"/>
            <w:tcBorders>
              <w:left w:val="nil"/>
              <w:bottom w:val="nil"/>
              <w:right w:val="nil"/>
            </w:tcBorders>
            <w:shd w:val="clear" w:color="auto" w:fill="auto"/>
            <w:noWrap/>
            <w:vAlign w:val="center"/>
          </w:tcPr>
          <w:p w14:paraId="142620CC"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0.0008</w:t>
            </w:r>
          </w:p>
        </w:tc>
        <w:tc>
          <w:tcPr>
            <w:tcW w:w="1353" w:type="dxa"/>
            <w:tcBorders>
              <w:left w:val="nil"/>
              <w:bottom w:val="nil"/>
              <w:right w:val="nil"/>
            </w:tcBorders>
            <w:shd w:val="clear" w:color="auto" w:fill="auto"/>
            <w:noWrap/>
            <w:vAlign w:val="bottom"/>
          </w:tcPr>
          <w:p w14:paraId="15C4F6AC"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r>
      <w:tr w:rsidR="009C2E43" w:rsidRPr="009C2E43" w14:paraId="251E1CE9" w14:textId="77777777" w:rsidTr="008414E3">
        <w:trPr>
          <w:trHeight w:val="318"/>
        </w:trPr>
        <w:tc>
          <w:tcPr>
            <w:tcW w:w="4590" w:type="dxa"/>
            <w:tcBorders>
              <w:left w:val="nil"/>
              <w:bottom w:val="nil"/>
              <w:right w:val="nil"/>
            </w:tcBorders>
            <w:shd w:val="clear" w:color="auto" w:fill="auto"/>
            <w:noWrap/>
            <w:vAlign w:val="bottom"/>
          </w:tcPr>
          <w:p w14:paraId="3A8CDCB8" w14:textId="77777777" w:rsidR="009C2E43" w:rsidRPr="009C2E43" w:rsidRDefault="009C2E43" w:rsidP="009C2E43">
            <w:pPr>
              <w:spacing w:after="0" w:line="240" w:lineRule="auto"/>
              <w:ind w:left="720"/>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color w:val="000000"/>
                <w:kern w:val="0"/>
                <w14:ligatures w14:val="none"/>
              </w:rPr>
              <w:t>≥ 75 years old</w:t>
            </w:r>
          </w:p>
        </w:tc>
        <w:tc>
          <w:tcPr>
            <w:tcW w:w="756" w:type="dxa"/>
            <w:tcBorders>
              <w:left w:val="nil"/>
              <w:bottom w:val="nil"/>
              <w:right w:val="nil"/>
            </w:tcBorders>
            <w:shd w:val="clear" w:color="auto" w:fill="auto"/>
            <w:noWrap/>
            <w:vAlign w:val="center"/>
          </w:tcPr>
          <w:p w14:paraId="48FC55C3" w14:textId="77777777" w:rsidR="009C2E43" w:rsidRPr="009C2E43" w:rsidRDefault="009C2E43" w:rsidP="009C2E43">
            <w:pPr>
              <w:spacing w:after="0" w:line="240" w:lineRule="auto"/>
              <w:jc w:val="center"/>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color w:val="000000"/>
                <w:kern w:val="0"/>
                <w14:ligatures w14:val="none"/>
              </w:rPr>
              <w:t>1.465</w:t>
            </w:r>
          </w:p>
        </w:tc>
        <w:tc>
          <w:tcPr>
            <w:tcW w:w="1800" w:type="dxa"/>
            <w:tcBorders>
              <w:left w:val="nil"/>
              <w:bottom w:val="nil"/>
              <w:right w:val="nil"/>
            </w:tcBorders>
            <w:shd w:val="clear" w:color="auto" w:fill="auto"/>
            <w:noWrap/>
            <w:vAlign w:val="center"/>
          </w:tcPr>
          <w:p w14:paraId="1372E84B"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1.131, 1.898</w:t>
            </w:r>
          </w:p>
        </w:tc>
        <w:tc>
          <w:tcPr>
            <w:tcW w:w="1080" w:type="dxa"/>
            <w:tcBorders>
              <w:left w:val="nil"/>
              <w:bottom w:val="nil"/>
              <w:right w:val="nil"/>
            </w:tcBorders>
            <w:shd w:val="clear" w:color="auto" w:fill="auto"/>
            <w:noWrap/>
            <w:vAlign w:val="center"/>
          </w:tcPr>
          <w:p w14:paraId="3A463F8A"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0.0039</w:t>
            </w:r>
          </w:p>
        </w:tc>
        <w:tc>
          <w:tcPr>
            <w:tcW w:w="900" w:type="dxa"/>
            <w:tcBorders>
              <w:left w:val="nil"/>
              <w:bottom w:val="nil"/>
              <w:right w:val="nil"/>
            </w:tcBorders>
            <w:shd w:val="clear" w:color="auto" w:fill="auto"/>
            <w:noWrap/>
            <w:vAlign w:val="center"/>
          </w:tcPr>
          <w:p w14:paraId="3400771C"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2.402</w:t>
            </w:r>
          </w:p>
        </w:tc>
        <w:tc>
          <w:tcPr>
            <w:tcW w:w="1810" w:type="dxa"/>
            <w:tcBorders>
              <w:left w:val="nil"/>
              <w:bottom w:val="nil"/>
              <w:right w:val="nil"/>
            </w:tcBorders>
            <w:shd w:val="clear" w:color="auto" w:fill="auto"/>
            <w:noWrap/>
            <w:vAlign w:val="center"/>
          </w:tcPr>
          <w:p w14:paraId="10E64F2E"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1.540, 3.746</w:t>
            </w:r>
          </w:p>
        </w:tc>
        <w:tc>
          <w:tcPr>
            <w:tcW w:w="1067" w:type="dxa"/>
            <w:tcBorders>
              <w:left w:val="nil"/>
              <w:bottom w:val="nil"/>
              <w:right w:val="nil"/>
            </w:tcBorders>
            <w:shd w:val="clear" w:color="auto" w:fill="auto"/>
            <w:noWrap/>
            <w:vAlign w:val="center"/>
          </w:tcPr>
          <w:p w14:paraId="6E7861AA"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0.0001</w:t>
            </w:r>
          </w:p>
        </w:tc>
        <w:tc>
          <w:tcPr>
            <w:tcW w:w="1353" w:type="dxa"/>
            <w:tcBorders>
              <w:left w:val="nil"/>
              <w:bottom w:val="nil"/>
              <w:right w:val="nil"/>
            </w:tcBorders>
            <w:shd w:val="clear" w:color="auto" w:fill="auto"/>
            <w:noWrap/>
            <w:vAlign w:val="bottom"/>
          </w:tcPr>
          <w:p w14:paraId="1B479B50"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r>
      <w:tr w:rsidR="009C2E43" w:rsidRPr="009C2E43" w14:paraId="4C2C3D02" w14:textId="77777777" w:rsidTr="008414E3">
        <w:trPr>
          <w:trHeight w:val="318"/>
        </w:trPr>
        <w:tc>
          <w:tcPr>
            <w:tcW w:w="4590" w:type="dxa"/>
            <w:tcBorders>
              <w:left w:val="nil"/>
              <w:bottom w:val="nil"/>
              <w:right w:val="nil"/>
            </w:tcBorders>
            <w:shd w:val="clear" w:color="auto" w:fill="auto"/>
            <w:noWrap/>
            <w:vAlign w:val="bottom"/>
          </w:tcPr>
          <w:p w14:paraId="0F47F01D" w14:textId="77777777" w:rsidR="009C2E43" w:rsidRPr="009C2E43" w:rsidRDefault="009C2E43" w:rsidP="009C2E43">
            <w:pPr>
              <w:spacing w:after="0" w:line="240" w:lineRule="auto"/>
              <w:ind w:left="720"/>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&lt; 55 years old</w:t>
            </w:r>
          </w:p>
        </w:tc>
        <w:tc>
          <w:tcPr>
            <w:tcW w:w="7413" w:type="dxa"/>
            <w:gridSpan w:val="6"/>
            <w:tcBorders>
              <w:left w:val="nil"/>
              <w:bottom w:val="nil"/>
              <w:right w:val="nil"/>
            </w:tcBorders>
            <w:shd w:val="clear" w:color="auto" w:fill="auto"/>
            <w:noWrap/>
            <w:vAlign w:val="center"/>
          </w:tcPr>
          <w:p w14:paraId="55D3375D"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i/>
                <w:iCs/>
                <w:color w:val="000000"/>
                <w:kern w:val="0"/>
                <w14:ligatures w14:val="none"/>
              </w:rPr>
              <w:t>Reference</w:t>
            </w:r>
          </w:p>
        </w:tc>
        <w:tc>
          <w:tcPr>
            <w:tcW w:w="1353" w:type="dxa"/>
            <w:tcBorders>
              <w:left w:val="nil"/>
              <w:bottom w:val="nil"/>
              <w:right w:val="nil"/>
            </w:tcBorders>
            <w:shd w:val="clear" w:color="auto" w:fill="auto"/>
            <w:noWrap/>
            <w:vAlign w:val="bottom"/>
          </w:tcPr>
          <w:p w14:paraId="22FFD8C8"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r>
      <w:tr w:rsidR="009C2E43" w:rsidRPr="009C2E43" w14:paraId="59163E6E" w14:textId="77777777" w:rsidTr="008414E3">
        <w:trPr>
          <w:trHeight w:val="318"/>
        </w:trPr>
        <w:tc>
          <w:tcPr>
            <w:tcW w:w="4590" w:type="dxa"/>
            <w:tcBorders>
              <w:left w:val="nil"/>
              <w:bottom w:val="nil"/>
              <w:right w:val="nil"/>
            </w:tcBorders>
            <w:shd w:val="clear" w:color="auto" w:fill="auto"/>
            <w:noWrap/>
            <w:vAlign w:val="bottom"/>
          </w:tcPr>
          <w:p w14:paraId="582D5316" w14:textId="77777777" w:rsidR="009C2E43" w:rsidRPr="009C2E43" w:rsidRDefault="009C2E43" w:rsidP="009C2E43">
            <w:pPr>
              <w:spacing w:after="0" w:line="240" w:lineRule="auto"/>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b/>
                <w:bCs/>
                <w:color w:val="000000"/>
                <w:kern w:val="0"/>
                <w14:ligatures w14:val="none"/>
              </w:rPr>
              <w:t>Body Mass Index (BMI) Categories</w:t>
            </w:r>
          </w:p>
        </w:tc>
        <w:tc>
          <w:tcPr>
            <w:tcW w:w="756" w:type="dxa"/>
            <w:tcBorders>
              <w:left w:val="nil"/>
              <w:bottom w:val="nil"/>
              <w:right w:val="nil"/>
            </w:tcBorders>
            <w:shd w:val="clear" w:color="auto" w:fill="auto"/>
            <w:noWrap/>
            <w:vAlign w:val="center"/>
          </w:tcPr>
          <w:p w14:paraId="5DD95945" w14:textId="77777777" w:rsidR="009C2E43" w:rsidRPr="009C2E43" w:rsidRDefault="009C2E43" w:rsidP="009C2E43">
            <w:pPr>
              <w:spacing w:after="0" w:line="240" w:lineRule="auto"/>
              <w:rPr>
                <w:rFonts w:ascii="Times New Roman" w:eastAsia="Calibri" w:hAnsi="Times New Roman" w:cs="Times New Roman"/>
                <w:b/>
                <w:bCs/>
                <w:color w:val="000000"/>
                <w:kern w:val="0"/>
                <w14:ligatures w14:val="none"/>
              </w:rPr>
            </w:pPr>
          </w:p>
        </w:tc>
        <w:tc>
          <w:tcPr>
            <w:tcW w:w="1800" w:type="dxa"/>
            <w:tcBorders>
              <w:left w:val="nil"/>
              <w:bottom w:val="nil"/>
              <w:right w:val="nil"/>
            </w:tcBorders>
            <w:shd w:val="clear" w:color="auto" w:fill="auto"/>
            <w:noWrap/>
            <w:vAlign w:val="center"/>
          </w:tcPr>
          <w:p w14:paraId="76428394" w14:textId="77777777" w:rsidR="009C2E43" w:rsidRPr="009C2E43" w:rsidRDefault="009C2E43" w:rsidP="009C2E43">
            <w:pPr>
              <w:spacing w:after="0" w:line="240" w:lineRule="auto"/>
              <w:rPr>
                <w:rFonts w:ascii="Times New Roman" w:eastAsia="Calibri" w:hAnsi="Times New Roman" w:cs="Times New Roman"/>
                <w:kern w:val="0"/>
                <w:sz w:val="20"/>
                <w:szCs w:val="20"/>
                <w14:ligatures w14:val="none"/>
              </w:rPr>
            </w:pPr>
          </w:p>
        </w:tc>
        <w:tc>
          <w:tcPr>
            <w:tcW w:w="1080" w:type="dxa"/>
            <w:tcBorders>
              <w:left w:val="nil"/>
              <w:bottom w:val="nil"/>
              <w:right w:val="nil"/>
            </w:tcBorders>
            <w:shd w:val="clear" w:color="auto" w:fill="auto"/>
            <w:noWrap/>
            <w:vAlign w:val="center"/>
          </w:tcPr>
          <w:p w14:paraId="70BECAF6" w14:textId="77777777" w:rsidR="009C2E43" w:rsidRPr="009C2E43" w:rsidRDefault="009C2E43" w:rsidP="009C2E43">
            <w:pPr>
              <w:spacing w:after="0" w:line="240" w:lineRule="auto"/>
              <w:rPr>
                <w:rFonts w:ascii="Times New Roman" w:eastAsia="Calibri" w:hAnsi="Times New Roman" w:cs="Times New Roman"/>
                <w:kern w:val="0"/>
                <w:sz w:val="20"/>
                <w:szCs w:val="20"/>
                <w14:ligatures w14:val="none"/>
              </w:rPr>
            </w:pPr>
          </w:p>
        </w:tc>
        <w:tc>
          <w:tcPr>
            <w:tcW w:w="900" w:type="dxa"/>
            <w:tcBorders>
              <w:left w:val="nil"/>
              <w:bottom w:val="nil"/>
              <w:right w:val="nil"/>
            </w:tcBorders>
            <w:shd w:val="clear" w:color="auto" w:fill="auto"/>
            <w:noWrap/>
            <w:vAlign w:val="center"/>
          </w:tcPr>
          <w:p w14:paraId="627D257E" w14:textId="77777777" w:rsidR="009C2E43" w:rsidRPr="009C2E43" w:rsidRDefault="009C2E43" w:rsidP="009C2E43">
            <w:pPr>
              <w:spacing w:after="0" w:line="240" w:lineRule="auto"/>
              <w:rPr>
                <w:rFonts w:ascii="Times New Roman" w:eastAsia="Calibri" w:hAnsi="Times New Roman" w:cs="Times New Roman"/>
                <w:kern w:val="0"/>
                <w:sz w:val="20"/>
                <w:szCs w:val="20"/>
                <w14:ligatures w14:val="none"/>
              </w:rPr>
            </w:pPr>
          </w:p>
        </w:tc>
        <w:tc>
          <w:tcPr>
            <w:tcW w:w="1810" w:type="dxa"/>
            <w:tcBorders>
              <w:left w:val="nil"/>
              <w:bottom w:val="nil"/>
              <w:right w:val="nil"/>
            </w:tcBorders>
            <w:shd w:val="clear" w:color="auto" w:fill="auto"/>
            <w:noWrap/>
            <w:vAlign w:val="center"/>
          </w:tcPr>
          <w:p w14:paraId="761442CA" w14:textId="77777777" w:rsidR="009C2E43" w:rsidRPr="009C2E43" w:rsidRDefault="009C2E43" w:rsidP="009C2E43">
            <w:pPr>
              <w:spacing w:after="0" w:line="240" w:lineRule="auto"/>
              <w:rPr>
                <w:rFonts w:ascii="Times New Roman" w:eastAsia="Calibri" w:hAnsi="Times New Roman" w:cs="Times New Roman"/>
                <w:kern w:val="0"/>
                <w:sz w:val="20"/>
                <w:szCs w:val="20"/>
                <w14:ligatures w14:val="none"/>
              </w:rPr>
            </w:pPr>
          </w:p>
        </w:tc>
        <w:tc>
          <w:tcPr>
            <w:tcW w:w="1067" w:type="dxa"/>
            <w:tcBorders>
              <w:left w:val="nil"/>
              <w:bottom w:val="nil"/>
              <w:right w:val="nil"/>
            </w:tcBorders>
            <w:shd w:val="clear" w:color="auto" w:fill="auto"/>
            <w:noWrap/>
            <w:vAlign w:val="center"/>
          </w:tcPr>
          <w:p w14:paraId="02532E6E" w14:textId="77777777" w:rsidR="009C2E43" w:rsidRPr="009C2E43" w:rsidRDefault="009C2E43" w:rsidP="009C2E43">
            <w:pPr>
              <w:spacing w:after="0" w:line="240" w:lineRule="auto"/>
              <w:rPr>
                <w:rFonts w:ascii="Times New Roman" w:eastAsia="Calibri" w:hAnsi="Times New Roman" w:cs="Times New Roman"/>
                <w:kern w:val="0"/>
                <w:sz w:val="20"/>
                <w:szCs w:val="20"/>
                <w14:ligatures w14:val="none"/>
              </w:rPr>
            </w:pPr>
          </w:p>
        </w:tc>
        <w:tc>
          <w:tcPr>
            <w:tcW w:w="1353" w:type="dxa"/>
            <w:tcBorders>
              <w:left w:val="nil"/>
              <w:bottom w:val="nil"/>
              <w:right w:val="nil"/>
            </w:tcBorders>
            <w:shd w:val="clear" w:color="auto" w:fill="auto"/>
            <w:noWrap/>
            <w:vAlign w:val="center"/>
          </w:tcPr>
          <w:p w14:paraId="4C28ECEE"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&lt;0.0001</w:t>
            </w:r>
          </w:p>
        </w:tc>
      </w:tr>
      <w:tr w:rsidR="009C2E43" w:rsidRPr="009C2E43" w14:paraId="54966B81" w14:textId="77777777" w:rsidTr="008414E3">
        <w:trPr>
          <w:trHeight w:val="318"/>
        </w:trPr>
        <w:tc>
          <w:tcPr>
            <w:tcW w:w="4590" w:type="dxa"/>
            <w:tcBorders>
              <w:left w:val="nil"/>
              <w:bottom w:val="nil"/>
              <w:right w:val="nil"/>
            </w:tcBorders>
            <w:shd w:val="clear" w:color="auto" w:fill="auto"/>
            <w:noWrap/>
            <w:vAlign w:val="bottom"/>
          </w:tcPr>
          <w:p w14:paraId="4565D5E1" w14:textId="77777777" w:rsidR="009C2E43" w:rsidRPr="009C2E43" w:rsidRDefault="009C2E43" w:rsidP="009C2E43">
            <w:pPr>
              <w:spacing w:after="0" w:line="240" w:lineRule="auto"/>
              <w:ind w:left="720"/>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color w:val="000000"/>
                <w:kern w:val="0"/>
                <w14:ligatures w14:val="none"/>
              </w:rPr>
              <w:t>Underweight</w:t>
            </w:r>
          </w:p>
        </w:tc>
        <w:tc>
          <w:tcPr>
            <w:tcW w:w="756" w:type="dxa"/>
            <w:tcBorders>
              <w:left w:val="nil"/>
              <w:bottom w:val="nil"/>
              <w:right w:val="nil"/>
            </w:tcBorders>
            <w:shd w:val="clear" w:color="auto" w:fill="auto"/>
            <w:noWrap/>
            <w:vAlign w:val="center"/>
          </w:tcPr>
          <w:p w14:paraId="6ECB035C" w14:textId="77777777" w:rsidR="009C2E43" w:rsidRPr="009C2E43" w:rsidRDefault="009C2E43" w:rsidP="009C2E43">
            <w:pPr>
              <w:spacing w:after="0" w:line="240" w:lineRule="auto"/>
              <w:jc w:val="center"/>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color w:val="000000"/>
                <w:kern w:val="0"/>
                <w14:ligatures w14:val="none"/>
              </w:rPr>
              <w:t>2.933</w:t>
            </w:r>
          </w:p>
        </w:tc>
        <w:tc>
          <w:tcPr>
            <w:tcW w:w="1800" w:type="dxa"/>
            <w:tcBorders>
              <w:left w:val="nil"/>
              <w:bottom w:val="nil"/>
              <w:right w:val="nil"/>
            </w:tcBorders>
            <w:shd w:val="clear" w:color="auto" w:fill="auto"/>
            <w:noWrap/>
            <w:vAlign w:val="center"/>
          </w:tcPr>
          <w:p w14:paraId="7D4CCC77"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1.179, 7.297</w:t>
            </w:r>
          </w:p>
        </w:tc>
        <w:tc>
          <w:tcPr>
            <w:tcW w:w="1080" w:type="dxa"/>
            <w:tcBorders>
              <w:left w:val="nil"/>
              <w:bottom w:val="nil"/>
              <w:right w:val="nil"/>
            </w:tcBorders>
            <w:shd w:val="clear" w:color="auto" w:fill="auto"/>
            <w:noWrap/>
            <w:vAlign w:val="center"/>
          </w:tcPr>
          <w:p w14:paraId="064CEEBD"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0.0207</w:t>
            </w:r>
          </w:p>
        </w:tc>
        <w:tc>
          <w:tcPr>
            <w:tcW w:w="900" w:type="dxa"/>
            <w:tcBorders>
              <w:left w:val="nil"/>
              <w:bottom w:val="nil"/>
              <w:right w:val="nil"/>
            </w:tcBorders>
            <w:shd w:val="clear" w:color="auto" w:fill="auto"/>
            <w:noWrap/>
            <w:vAlign w:val="center"/>
          </w:tcPr>
          <w:p w14:paraId="506F85BA"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5.749</w:t>
            </w:r>
          </w:p>
        </w:tc>
        <w:tc>
          <w:tcPr>
            <w:tcW w:w="1810" w:type="dxa"/>
            <w:tcBorders>
              <w:left w:val="nil"/>
              <w:bottom w:val="nil"/>
              <w:right w:val="nil"/>
            </w:tcBorders>
            <w:shd w:val="clear" w:color="auto" w:fill="auto"/>
            <w:noWrap/>
            <w:vAlign w:val="center"/>
          </w:tcPr>
          <w:p w14:paraId="616A0BD5"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2.203, 15.008</w:t>
            </w:r>
          </w:p>
        </w:tc>
        <w:tc>
          <w:tcPr>
            <w:tcW w:w="1067" w:type="dxa"/>
            <w:tcBorders>
              <w:left w:val="nil"/>
              <w:bottom w:val="nil"/>
              <w:right w:val="nil"/>
            </w:tcBorders>
            <w:shd w:val="clear" w:color="auto" w:fill="auto"/>
            <w:noWrap/>
            <w:vAlign w:val="center"/>
          </w:tcPr>
          <w:p w14:paraId="3C54CD5C"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0.0004</w:t>
            </w:r>
          </w:p>
        </w:tc>
        <w:tc>
          <w:tcPr>
            <w:tcW w:w="1353" w:type="dxa"/>
            <w:tcBorders>
              <w:left w:val="nil"/>
              <w:bottom w:val="nil"/>
              <w:right w:val="nil"/>
            </w:tcBorders>
            <w:shd w:val="clear" w:color="auto" w:fill="auto"/>
            <w:noWrap/>
            <w:vAlign w:val="center"/>
          </w:tcPr>
          <w:p w14:paraId="1C571A3E"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r>
      <w:tr w:rsidR="009C2E43" w:rsidRPr="009C2E43" w14:paraId="368F23A7" w14:textId="77777777" w:rsidTr="008414E3">
        <w:trPr>
          <w:trHeight w:val="318"/>
        </w:trPr>
        <w:tc>
          <w:tcPr>
            <w:tcW w:w="4590" w:type="dxa"/>
            <w:tcBorders>
              <w:left w:val="nil"/>
              <w:bottom w:val="nil"/>
              <w:right w:val="nil"/>
            </w:tcBorders>
            <w:shd w:val="clear" w:color="auto" w:fill="auto"/>
            <w:noWrap/>
            <w:vAlign w:val="bottom"/>
          </w:tcPr>
          <w:p w14:paraId="29A7096F" w14:textId="77777777" w:rsidR="009C2E43" w:rsidRPr="009C2E43" w:rsidRDefault="009C2E43" w:rsidP="009C2E43">
            <w:pPr>
              <w:spacing w:after="0" w:line="240" w:lineRule="auto"/>
              <w:ind w:left="720"/>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color w:val="000000"/>
                <w:kern w:val="0"/>
                <w14:ligatures w14:val="none"/>
              </w:rPr>
              <w:t>Overweight</w:t>
            </w:r>
          </w:p>
        </w:tc>
        <w:tc>
          <w:tcPr>
            <w:tcW w:w="756" w:type="dxa"/>
            <w:tcBorders>
              <w:left w:val="nil"/>
              <w:bottom w:val="nil"/>
              <w:right w:val="nil"/>
            </w:tcBorders>
            <w:shd w:val="clear" w:color="auto" w:fill="auto"/>
            <w:noWrap/>
            <w:vAlign w:val="center"/>
          </w:tcPr>
          <w:p w14:paraId="0821AB70" w14:textId="77777777" w:rsidR="009C2E43" w:rsidRPr="009C2E43" w:rsidRDefault="009C2E43" w:rsidP="009C2E43">
            <w:pPr>
              <w:spacing w:after="0" w:line="240" w:lineRule="auto"/>
              <w:jc w:val="center"/>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color w:val="000000"/>
                <w:kern w:val="0"/>
                <w14:ligatures w14:val="none"/>
              </w:rPr>
              <w:t>1.186</w:t>
            </w:r>
          </w:p>
        </w:tc>
        <w:tc>
          <w:tcPr>
            <w:tcW w:w="1800" w:type="dxa"/>
            <w:tcBorders>
              <w:left w:val="nil"/>
              <w:bottom w:val="nil"/>
              <w:right w:val="nil"/>
            </w:tcBorders>
            <w:shd w:val="clear" w:color="auto" w:fill="auto"/>
            <w:noWrap/>
            <w:vAlign w:val="center"/>
          </w:tcPr>
          <w:p w14:paraId="0EBA9F70"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0.989, 1.423</w:t>
            </w:r>
          </w:p>
        </w:tc>
        <w:tc>
          <w:tcPr>
            <w:tcW w:w="1080" w:type="dxa"/>
            <w:tcBorders>
              <w:left w:val="nil"/>
              <w:bottom w:val="nil"/>
              <w:right w:val="nil"/>
            </w:tcBorders>
            <w:shd w:val="clear" w:color="auto" w:fill="auto"/>
            <w:noWrap/>
            <w:vAlign w:val="center"/>
          </w:tcPr>
          <w:p w14:paraId="2883448F"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0.0655</w:t>
            </w:r>
          </w:p>
        </w:tc>
        <w:tc>
          <w:tcPr>
            <w:tcW w:w="900" w:type="dxa"/>
            <w:tcBorders>
              <w:left w:val="nil"/>
              <w:bottom w:val="nil"/>
              <w:right w:val="nil"/>
            </w:tcBorders>
            <w:shd w:val="clear" w:color="auto" w:fill="auto"/>
            <w:noWrap/>
            <w:vAlign w:val="center"/>
          </w:tcPr>
          <w:p w14:paraId="4EE9F69E"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0.757</w:t>
            </w:r>
          </w:p>
        </w:tc>
        <w:tc>
          <w:tcPr>
            <w:tcW w:w="1810" w:type="dxa"/>
            <w:tcBorders>
              <w:left w:val="nil"/>
              <w:bottom w:val="nil"/>
              <w:right w:val="nil"/>
            </w:tcBorders>
            <w:shd w:val="clear" w:color="auto" w:fill="auto"/>
            <w:noWrap/>
            <w:vAlign w:val="center"/>
          </w:tcPr>
          <w:p w14:paraId="00A6EEFB"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0.584, 0.982</w:t>
            </w:r>
          </w:p>
        </w:tc>
        <w:tc>
          <w:tcPr>
            <w:tcW w:w="1067" w:type="dxa"/>
            <w:tcBorders>
              <w:left w:val="nil"/>
              <w:bottom w:val="nil"/>
              <w:right w:val="nil"/>
            </w:tcBorders>
            <w:shd w:val="clear" w:color="auto" w:fill="auto"/>
            <w:noWrap/>
            <w:vAlign w:val="center"/>
          </w:tcPr>
          <w:p w14:paraId="1F2AD606"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0.0362</w:t>
            </w:r>
          </w:p>
        </w:tc>
        <w:tc>
          <w:tcPr>
            <w:tcW w:w="1353" w:type="dxa"/>
            <w:tcBorders>
              <w:left w:val="nil"/>
              <w:bottom w:val="nil"/>
              <w:right w:val="nil"/>
            </w:tcBorders>
            <w:shd w:val="clear" w:color="auto" w:fill="auto"/>
            <w:noWrap/>
            <w:vAlign w:val="bottom"/>
          </w:tcPr>
          <w:p w14:paraId="4961588E"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r>
      <w:tr w:rsidR="009C2E43" w:rsidRPr="009C2E43" w14:paraId="0D7C0332" w14:textId="77777777" w:rsidTr="008414E3">
        <w:trPr>
          <w:trHeight w:val="318"/>
        </w:trPr>
        <w:tc>
          <w:tcPr>
            <w:tcW w:w="4590" w:type="dxa"/>
            <w:tcBorders>
              <w:left w:val="nil"/>
              <w:bottom w:val="nil"/>
              <w:right w:val="nil"/>
            </w:tcBorders>
            <w:shd w:val="clear" w:color="auto" w:fill="auto"/>
            <w:noWrap/>
            <w:vAlign w:val="bottom"/>
          </w:tcPr>
          <w:p w14:paraId="2C579A95" w14:textId="77777777" w:rsidR="009C2E43" w:rsidRPr="009C2E43" w:rsidRDefault="009C2E43" w:rsidP="009C2E43">
            <w:pPr>
              <w:spacing w:after="0" w:line="240" w:lineRule="auto"/>
              <w:ind w:left="720"/>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color w:val="000000"/>
                <w:kern w:val="0"/>
                <w14:ligatures w14:val="none"/>
              </w:rPr>
              <w:t>Obese &amp; Extremely Obese</w:t>
            </w:r>
          </w:p>
        </w:tc>
        <w:tc>
          <w:tcPr>
            <w:tcW w:w="756" w:type="dxa"/>
            <w:tcBorders>
              <w:left w:val="nil"/>
              <w:bottom w:val="nil"/>
              <w:right w:val="nil"/>
            </w:tcBorders>
            <w:shd w:val="clear" w:color="auto" w:fill="auto"/>
            <w:noWrap/>
            <w:vAlign w:val="center"/>
          </w:tcPr>
          <w:p w14:paraId="37D20299" w14:textId="77777777" w:rsidR="009C2E43" w:rsidRPr="009C2E43" w:rsidRDefault="009C2E43" w:rsidP="009C2E43">
            <w:pPr>
              <w:spacing w:after="0" w:line="240" w:lineRule="auto"/>
              <w:jc w:val="center"/>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color w:val="000000"/>
                <w:kern w:val="0"/>
                <w14:ligatures w14:val="none"/>
              </w:rPr>
              <w:t>1.751</w:t>
            </w:r>
          </w:p>
        </w:tc>
        <w:tc>
          <w:tcPr>
            <w:tcW w:w="1800" w:type="dxa"/>
            <w:tcBorders>
              <w:left w:val="nil"/>
              <w:bottom w:val="nil"/>
              <w:right w:val="nil"/>
            </w:tcBorders>
            <w:shd w:val="clear" w:color="auto" w:fill="auto"/>
            <w:noWrap/>
            <w:vAlign w:val="center"/>
          </w:tcPr>
          <w:p w14:paraId="0EBA7177"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1.442, 2.128</w:t>
            </w:r>
          </w:p>
        </w:tc>
        <w:tc>
          <w:tcPr>
            <w:tcW w:w="1080" w:type="dxa"/>
            <w:tcBorders>
              <w:left w:val="nil"/>
              <w:bottom w:val="nil"/>
              <w:right w:val="nil"/>
            </w:tcBorders>
            <w:shd w:val="clear" w:color="auto" w:fill="auto"/>
            <w:noWrap/>
            <w:vAlign w:val="center"/>
          </w:tcPr>
          <w:p w14:paraId="219F9974"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&lt;0.0001</w:t>
            </w:r>
          </w:p>
        </w:tc>
        <w:tc>
          <w:tcPr>
            <w:tcW w:w="900" w:type="dxa"/>
            <w:tcBorders>
              <w:left w:val="nil"/>
              <w:bottom w:val="nil"/>
              <w:right w:val="nil"/>
            </w:tcBorders>
            <w:shd w:val="clear" w:color="auto" w:fill="auto"/>
            <w:noWrap/>
            <w:vAlign w:val="center"/>
          </w:tcPr>
          <w:p w14:paraId="02CECBF7"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1.239</w:t>
            </w:r>
          </w:p>
        </w:tc>
        <w:tc>
          <w:tcPr>
            <w:tcW w:w="1810" w:type="dxa"/>
            <w:tcBorders>
              <w:left w:val="nil"/>
              <w:bottom w:val="nil"/>
              <w:right w:val="nil"/>
            </w:tcBorders>
            <w:shd w:val="clear" w:color="auto" w:fill="auto"/>
            <w:noWrap/>
            <w:vAlign w:val="center"/>
          </w:tcPr>
          <w:p w14:paraId="52736785"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0.947, 1.620</w:t>
            </w:r>
          </w:p>
        </w:tc>
        <w:tc>
          <w:tcPr>
            <w:tcW w:w="1067" w:type="dxa"/>
            <w:tcBorders>
              <w:left w:val="nil"/>
              <w:bottom w:val="nil"/>
              <w:right w:val="nil"/>
            </w:tcBorders>
            <w:shd w:val="clear" w:color="auto" w:fill="auto"/>
            <w:noWrap/>
            <w:vAlign w:val="center"/>
          </w:tcPr>
          <w:p w14:paraId="30573A47"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r w:rsidRPr="009C2E43">
              <w:rPr>
                <w:rFonts w:ascii="Times New Roman" w:eastAsia="Calibri" w:hAnsi="Times New Roman" w:cs="Times New Roman"/>
                <w:color w:val="000000"/>
                <w:kern w:val="0"/>
                <w14:ligatures w14:val="none"/>
              </w:rPr>
              <w:t>0.1177</w:t>
            </w:r>
          </w:p>
        </w:tc>
        <w:tc>
          <w:tcPr>
            <w:tcW w:w="1353" w:type="dxa"/>
            <w:tcBorders>
              <w:left w:val="nil"/>
              <w:bottom w:val="nil"/>
              <w:right w:val="nil"/>
            </w:tcBorders>
            <w:shd w:val="clear" w:color="auto" w:fill="auto"/>
            <w:noWrap/>
            <w:vAlign w:val="bottom"/>
          </w:tcPr>
          <w:p w14:paraId="1D6381EC"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r>
      <w:tr w:rsidR="009C2E43" w:rsidRPr="009C2E43" w14:paraId="3105121B" w14:textId="77777777" w:rsidTr="008414E3">
        <w:trPr>
          <w:trHeight w:val="318"/>
        </w:trPr>
        <w:tc>
          <w:tcPr>
            <w:tcW w:w="4590" w:type="dxa"/>
            <w:tcBorders>
              <w:left w:val="nil"/>
              <w:bottom w:val="nil"/>
              <w:right w:val="nil"/>
            </w:tcBorders>
            <w:shd w:val="clear" w:color="auto" w:fill="auto"/>
            <w:noWrap/>
            <w:vAlign w:val="bottom"/>
          </w:tcPr>
          <w:p w14:paraId="69933B13" w14:textId="77777777" w:rsidR="009C2E43" w:rsidRPr="009C2E43" w:rsidRDefault="009C2E43" w:rsidP="009C2E43">
            <w:pPr>
              <w:spacing w:after="0" w:line="240" w:lineRule="auto"/>
              <w:ind w:left="720"/>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Normal</w:t>
            </w:r>
          </w:p>
        </w:tc>
        <w:tc>
          <w:tcPr>
            <w:tcW w:w="7413" w:type="dxa"/>
            <w:gridSpan w:val="6"/>
            <w:tcBorders>
              <w:left w:val="nil"/>
              <w:bottom w:val="nil"/>
              <w:right w:val="nil"/>
            </w:tcBorders>
            <w:shd w:val="clear" w:color="auto" w:fill="auto"/>
            <w:noWrap/>
            <w:vAlign w:val="center"/>
          </w:tcPr>
          <w:p w14:paraId="504E44A8"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i/>
                <w:iCs/>
                <w:color w:val="000000"/>
                <w:kern w:val="0"/>
                <w14:ligatures w14:val="none"/>
              </w:rPr>
              <w:t>Reference</w:t>
            </w:r>
          </w:p>
        </w:tc>
        <w:tc>
          <w:tcPr>
            <w:tcW w:w="1353" w:type="dxa"/>
            <w:tcBorders>
              <w:left w:val="nil"/>
              <w:bottom w:val="nil"/>
              <w:right w:val="nil"/>
            </w:tcBorders>
            <w:shd w:val="clear" w:color="auto" w:fill="auto"/>
            <w:noWrap/>
            <w:vAlign w:val="bottom"/>
          </w:tcPr>
          <w:p w14:paraId="65ACCB6D"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r>
      <w:tr w:rsidR="009C2E43" w:rsidRPr="009C2E43" w14:paraId="2F7B5DD4" w14:textId="77777777" w:rsidTr="008414E3">
        <w:trPr>
          <w:trHeight w:val="318"/>
        </w:trPr>
        <w:tc>
          <w:tcPr>
            <w:tcW w:w="4590" w:type="dxa"/>
            <w:tcBorders>
              <w:left w:val="nil"/>
              <w:bottom w:val="nil"/>
              <w:right w:val="nil"/>
            </w:tcBorders>
            <w:shd w:val="clear" w:color="auto" w:fill="auto"/>
            <w:noWrap/>
            <w:vAlign w:val="bottom"/>
            <w:hideMark/>
          </w:tcPr>
          <w:p w14:paraId="2A9452CD" w14:textId="77777777" w:rsidR="009C2E43" w:rsidRPr="009C2E43" w:rsidRDefault="009C2E43" w:rsidP="009C2E43">
            <w:pPr>
              <w:spacing w:after="0" w:line="240" w:lineRule="auto"/>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b/>
                <w:bCs/>
                <w:color w:val="000000"/>
                <w:kern w:val="0"/>
                <w14:ligatures w14:val="none"/>
              </w:rPr>
              <w:t>Smoking Status</w:t>
            </w:r>
          </w:p>
        </w:tc>
        <w:tc>
          <w:tcPr>
            <w:tcW w:w="756" w:type="dxa"/>
            <w:tcBorders>
              <w:left w:val="nil"/>
              <w:bottom w:val="nil"/>
              <w:right w:val="nil"/>
            </w:tcBorders>
            <w:shd w:val="clear" w:color="auto" w:fill="auto"/>
            <w:noWrap/>
            <w:vAlign w:val="bottom"/>
            <w:hideMark/>
          </w:tcPr>
          <w:p w14:paraId="173956C5" w14:textId="77777777" w:rsidR="009C2E43" w:rsidRPr="009C2E43" w:rsidRDefault="009C2E43" w:rsidP="009C2E43">
            <w:pPr>
              <w:spacing w:after="0" w:line="240" w:lineRule="auto"/>
              <w:rPr>
                <w:rFonts w:ascii="Times New Roman" w:eastAsia="Calibri" w:hAnsi="Times New Roman" w:cs="Times New Roman"/>
                <w:b/>
                <w:bCs/>
                <w:color w:val="000000"/>
                <w:kern w:val="0"/>
                <w14:ligatures w14:val="none"/>
              </w:rPr>
            </w:pPr>
          </w:p>
        </w:tc>
        <w:tc>
          <w:tcPr>
            <w:tcW w:w="1800" w:type="dxa"/>
            <w:tcBorders>
              <w:left w:val="nil"/>
              <w:bottom w:val="nil"/>
              <w:right w:val="nil"/>
            </w:tcBorders>
            <w:shd w:val="clear" w:color="auto" w:fill="auto"/>
            <w:noWrap/>
            <w:vAlign w:val="bottom"/>
            <w:hideMark/>
          </w:tcPr>
          <w:p w14:paraId="0DC2844F" w14:textId="77777777" w:rsidR="009C2E43" w:rsidRPr="009C2E43" w:rsidRDefault="009C2E43" w:rsidP="009C2E43">
            <w:pPr>
              <w:spacing w:after="0" w:line="240" w:lineRule="auto"/>
              <w:rPr>
                <w:rFonts w:ascii="Times New Roman" w:eastAsia="Calibri" w:hAnsi="Times New Roman" w:cs="Times New Roman"/>
                <w:kern w:val="0"/>
                <w:sz w:val="20"/>
                <w:szCs w:val="20"/>
                <w14:ligatures w14:val="none"/>
              </w:rPr>
            </w:pPr>
          </w:p>
        </w:tc>
        <w:tc>
          <w:tcPr>
            <w:tcW w:w="1080" w:type="dxa"/>
            <w:tcBorders>
              <w:left w:val="nil"/>
              <w:bottom w:val="nil"/>
              <w:right w:val="nil"/>
            </w:tcBorders>
            <w:shd w:val="clear" w:color="auto" w:fill="auto"/>
            <w:noWrap/>
            <w:vAlign w:val="bottom"/>
            <w:hideMark/>
          </w:tcPr>
          <w:p w14:paraId="7A5A7BC6" w14:textId="77777777" w:rsidR="009C2E43" w:rsidRPr="009C2E43" w:rsidRDefault="009C2E43" w:rsidP="009C2E43">
            <w:pPr>
              <w:spacing w:after="0" w:line="240" w:lineRule="auto"/>
              <w:rPr>
                <w:rFonts w:ascii="Times New Roman" w:eastAsia="Calibri" w:hAnsi="Times New Roman" w:cs="Times New Roman"/>
                <w:kern w:val="0"/>
                <w:sz w:val="20"/>
                <w:szCs w:val="20"/>
                <w14:ligatures w14:val="none"/>
              </w:rPr>
            </w:pPr>
          </w:p>
        </w:tc>
        <w:tc>
          <w:tcPr>
            <w:tcW w:w="900" w:type="dxa"/>
            <w:tcBorders>
              <w:left w:val="nil"/>
              <w:bottom w:val="nil"/>
              <w:right w:val="nil"/>
            </w:tcBorders>
            <w:shd w:val="clear" w:color="auto" w:fill="auto"/>
            <w:noWrap/>
            <w:vAlign w:val="bottom"/>
            <w:hideMark/>
          </w:tcPr>
          <w:p w14:paraId="7C4B5A28" w14:textId="77777777" w:rsidR="009C2E43" w:rsidRPr="009C2E43" w:rsidRDefault="009C2E43" w:rsidP="009C2E43">
            <w:pPr>
              <w:spacing w:after="0" w:line="240" w:lineRule="auto"/>
              <w:rPr>
                <w:rFonts w:ascii="Times New Roman" w:eastAsia="Calibri" w:hAnsi="Times New Roman" w:cs="Times New Roman"/>
                <w:kern w:val="0"/>
                <w:sz w:val="20"/>
                <w:szCs w:val="20"/>
                <w14:ligatures w14:val="none"/>
              </w:rPr>
            </w:pPr>
          </w:p>
        </w:tc>
        <w:tc>
          <w:tcPr>
            <w:tcW w:w="1810" w:type="dxa"/>
            <w:tcBorders>
              <w:left w:val="nil"/>
              <w:bottom w:val="nil"/>
              <w:right w:val="nil"/>
            </w:tcBorders>
            <w:shd w:val="clear" w:color="auto" w:fill="auto"/>
            <w:noWrap/>
            <w:vAlign w:val="bottom"/>
            <w:hideMark/>
          </w:tcPr>
          <w:p w14:paraId="71CE9ADA" w14:textId="77777777" w:rsidR="009C2E43" w:rsidRPr="009C2E43" w:rsidRDefault="009C2E43" w:rsidP="009C2E43">
            <w:pPr>
              <w:spacing w:after="0" w:line="240" w:lineRule="auto"/>
              <w:rPr>
                <w:rFonts w:ascii="Times New Roman" w:eastAsia="Calibri" w:hAnsi="Times New Roman" w:cs="Times New Roman"/>
                <w:kern w:val="0"/>
                <w:sz w:val="20"/>
                <w:szCs w:val="20"/>
                <w14:ligatures w14:val="none"/>
              </w:rPr>
            </w:pPr>
          </w:p>
        </w:tc>
        <w:tc>
          <w:tcPr>
            <w:tcW w:w="1067" w:type="dxa"/>
            <w:tcBorders>
              <w:left w:val="nil"/>
              <w:bottom w:val="nil"/>
              <w:right w:val="nil"/>
            </w:tcBorders>
            <w:shd w:val="clear" w:color="auto" w:fill="auto"/>
            <w:noWrap/>
            <w:vAlign w:val="bottom"/>
            <w:hideMark/>
          </w:tcPr>
          <w:p w14:paraId="1E1793CF" w14:textId="77777777" w:rsidR="009C2E43" w:rsidRPr="009C2E43" w:rsidRDefault="009C2E43" w:rsidP="009C2E43">
            <w:pPr>
              <w:spacing w:after="0" w:line="240" w:lineRule="auto"/>
              <w:rPr>
                <w:rFonts w:ascii="Times New Roman" w:eastAsia="Calibri" w:hAnsi="Times New Roman" w:cs="Times New Roman"/>
                <w:kern w:val="0"/>
                <w:sz w:val="20"/>
                <w:szCs w:val="20"/>
                <w14:ligatures w14:val="none"/>
              </w:rPr>
            </w:pPr>
          </w:p>
        </w:tc>
        <w:tc>
          <w:tcPr>
            <w:tcW w:w="1353" w:type="dxa"/>
            <w:tcBorders>
              <w:left w:val="nil"/>
              <w:bottom w:val="nil"/>
              <w:right w:val="nil"/>
            </w:tcBorders>
            <w:shd w:val="clear" w:color="auto" w:fill="auto"/>
            <w:noWrap/>
            <w:vAlign w:val="center"/>
            <w:hideMark/>
          </w:tcPr>
          <w:p w14:paraId="098E345C"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&lt;0.0001</w:t>
            </w:r>
          </w:p>
        </w:tc>
      </w:tr>
      <w:tr w:rsidR="009C2E43" w:rsidRPr="009C2E43" w14:paraId="6D16555B" w14:textId="77777777" w:rsidTr="008414E3">
        <w:trPr>
          <w:trHeight w:val="318"/>
        </w:trPr>
        <w:tc>
          <w:tcPr>
            <w:tcW w:w="4590" w:type="dxa"/>
            <w:tcBorders>
              <w:top w:val="nil"/>
              <w:left w:val="nil"/>
              <w:bottom w:val="nil"/>
              <w:right w:val="nil"/>
            </w:tcBorders>
            <w:shd w:val="clear" w:color="auto" w:fill="auto"/>
            <w:noWrap/>
            <w:vAlign w:val="bottom"/>
            <w:hideMark/>
          </w:tcPr>
          <w:p w14:paraId="2ACB4E88" w14:textId="77777777" w:rsidR="009C2E43" w:rsidRPr="009C2E43" w:rsidRDefault="009C2E43" w:rsidP="009C2E43">
            <w:pPr>
              <w:spacing w:after="0" w:line="240" w:lineRule="auto"/>
              <w:ind w:left="720"/>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Ever Smoker</w:t>
            </w:r>
          </w:p>
        </w:tc>
        <w:tc>
          <w:tcPr>
            <w:tcW w:w="756" w:type="dxa"/>
            <w:tcBorders>
              <w:top w:val="nil"/>
              <w:left w:val="nil"/>
              <w:bottom w:val="nil"/>
              <w:right w:val="nil"/>
            </w:tcBorders>
            <w:shd w:val="clear" w:color="auto" w:fill="auto"/>
            <w:noWrap/>
            <w:vAlign w:val="bottom"/>
            <w:hideMark/>
          </w:tcPr>
          <w:p w14:paraId="549079F1"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1.606</w:t>
            </w:r>
          </w:p>
        </w:tc>
        <w:tc>
          <w:tcPr>
            <w:tcW w:w="1800" w:type="dxa"/>
            <w:tcBorders>
              <w:top w:val="nil"/>
              <w:left w:val="nil"/>
              <w:bottom w:val="nil"/>
              <w:right w:val="nil"/>
            </w:tcBorders>
            <w:shd w:val="clear" w:color="auto" w:fill="auto"/>
            <w:noWrap/>
            <w:vAlign w:val="center"/>
            <w:hideMark/>
          </w:tcPr>
          <w:p w14:paraId="45A2F7C7"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1.385, 1.863</w:t>
            </w:r>
          </w:p>
        </w:tc>
        <w:tc>
          <w:tcPr>
            <w:tcW w:w="1080" w:type="dxa"/>
            <w:tcBorders>
              <w:top w:val="nil"/>
              <w:left w:val="nil"/>
              <w:bottom w:val="nil"/>
              <w:right w:val="nil"/>
            </w:tcBorders>
            <w:shd w:val="clear" w:color="auto" w:fill="auto"/>
            <w:noWrap/>
            <w:vAlign w:val="center"/>
            <w:hideMark/>
          </w:tcPr>
          <w:p w14:paraId="18087658"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&lt;0.0001</w:t>
            </w:r>
          </w:p>
        </w:tc>
        <w:tc>
          <w:tcPr>
            <w:tcW w:w="900" w:type="dxa"/>
            <w:tcBorders>
              <w:top w:val="nil"/>
              <w:left w:val="nil"/>
              <w:bottom w:val="nil"/>
              <w:right w:val="nil"/>
            </w:tcBorders>
            <w:shd w:val="clear" w:color="auto" w:fill="auto"/>
            <w:noWrap/>
            <w:vAlign w:val="center"/>
            <w:hideMark/>
          </w:tcPr>
          <w:p w14:paraId="17B0DAC6"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2.720</w:t>
            </w:r>
          </w:p>
        </w:tc>
        <w:tc>
          <w:tcPr>
            <w:tcW w:w="1810" w:type="dxa"/>
            <w:tcBorders>
              <w:top w:val="nil"/>
              <w:left w:val="nil"/>
              <w:bottom w:val="nil"/>
              <w:right w:val="nil"/>
            </w:tcBorders>
            <w:shd w:val="clear" w:color="auto" w:fill="auto"/>
            <w:noWrap/>
            <w:vAlign w:val="center"/>
            <w:hideMark/>
          </w:tcPr>
          <w:p w14:paraId="76C5985F"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2.163, 3.420</w:t>
            </w:r>
          </w:p>
        </w:tc>
        <w:tc>
          <w:tcPr>
            <w:tcW w:w="1067" w:type="dxa"/>
            <w:tcBorders>
              <w:top w:val="nil"/>
              <w:left w:val="nil"/>
              <w:bottom w:val="nil"/>
              <w:right w:val="nil"/>
            </w:tcBorders>
            <w:shd w:val="clear" w:color="auto" w:fill="auto"/>
            <w:noWrap/>
            <w:vAlign w:val="center"/>
            <w:hideMark/>
          </w:tcPr>
          <w:p w14:paraId="1573686E"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&lt;0.0001</w:t>
            </w:r>
          </w:p>
        </w:tc>
        <w:tc>
          <w:tcPr>
            <w:tcW w:w="1353" w:type="dxa"/>
            <w:tcBorders>
              <w:top w:val="nil"/>
              <w:left w:val="nil"/>
              <w:bottom w:val="nil"/>
              <w:right w:val="nil"/>
            </w:tcBorders>
            <w:shd w:val="clear" w:color="auto" w:fill="auto"/>
            <w:noWrap/>
            <w:vAlign w:val="bottom"/>
            <w:hideMark/>
          </w:tcPr>
          <w:p w14:paraId="0779F771"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r>
      <w:tr w:rsidR="009C2E43" w:rsidRPr="009C2E43" w14:paraId="6762B195" w14:textId="77777777" w:rsidTr="008414E3">
        <w:trPr>
          <w:trHeight w:val="318"/>
        </w:trPr>
        <w:tc>
          <w:tcPr>
            <w:tcW w:w="4590" w:type="dxa"/>
            <w:tcBorders>
              <w:top w:val="nil"/>
              <w:left w:val="nil"/>
              <w:bottom w:val="nil"/>
              <w:right w:val="nil"/>
            </w:tcBorders>
            <w:shd w:val="clear" w:color="auto" w:fill="auto"/>
            <w:noWrap/>
            <w:vAlign w:val="bottom"/>
          </w:tcPr>
          <w:p w14:paraId="0CD583D1" w14:textId="77777777" w:rsidR="009C2E43" w:rsidRPr="009C2E43" w:rsidRDefault="009C2E43" w:rsidP="009C2E43">
            <w:pPr>
              <w:spacing w:after="0" w:line="240" w:lineRule="auto"/>
              <w:ind w:left="720"/>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Non-Smoker</w:t>
            </w:r>
          </w:p>
        </w:tc>
        <w:tc>
          <w:tcPr>
            <w:tcW w:w="7413" w:type="dxa"/>
            <w:gridSpan w:val="6"/>
            <w:tcBorders>
              <w:top w:val="nil"/>
              <w:left w:val="nil"/>
              <w:bottom w:val="nil"/>
              <w:right w:val="nil"/>
            </w:tcBorders>
            <w:shd w:val="clear" w:color="auto" w:fill="auto"/>
            <w:noWrap/>
            <w:vAlign w:val="bottom"/>
          </w:tcPr>
          <w:p w14:paraId="762E90DC"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i/>
                <w:iCs/>
                <w:color w:val="000000"/>
                <w:kern w:val="0"/>
                <w14:ligatures w14:val="none"/>
              </w:rPr>
              <w:t>Reference</w:t>
            </w:r>
          </w:p>
        </w:tc>
        <w:tc>
          <w:tcPr>
            <w:tcW w:w="1353" w:type="dxa"/>
            <w:tcBorders>
              <w:top w:val="nil"/>
              <w:left w:val="nil"/>
              <w:bottom w:val="nil"/>
              <w:right w:val="nil"/>
            </w:tcBorders>
            <w:shd w:val="clear" w:color="auto" w:fill="auto"/>
            <w:noWrap/>
            <w:vAlign w:val="bottom"/>
          </w:tcPr>
          <w:p w14:paraId="73784101"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r>
      <w:tr w:rsidR="009C2E43" w:rsidRPr="009C2E43" w14:paraId="014AF21C" w14:textId="77777777" w:rsidTr="008414E3">
        <w:trPr>
          <w:trHeight w:val="318"/>
        </w:trPr>
        <w:tc>
          <w:tcPr>
            <w:tcW w:w="4590" w:type="dxa"/>
            <w:tcBorders>
              <w:top w:val="nil"/>
              <w:left w:val="nil"/>
              <w:bottom w:val="nil"/>
              <w:right w:val="nil"/>
            </w:tcBorders>
            <w:shd w:val="clear" w:color="auto" w:fill="auto"/>
            <w:noWrap/>
            <w:vAlign w:val="bottom"/>
          </w:tcPr>
          <w:p w14:paraId="50438276" w14:textId="77777777" w:rsidR="009C2E43" w:rsidRPr="009C2E43" w:rsidRDefault="009C2E43" w:rsidP="009C2E43">
            <w:pPr>
              <w:spacing w:after="0" w:line="240" w:lineRule="auto"/>
              <w:rPr>
                <w:rFonts w:ascii="Times New Roman" w:eastAsia="Calibri" w:hAnsi="Times New Roman" w:cs="Times New Roman"/>
                <w:color w:val="000000"/>
                <w:kern w:val="0"/>
                <w14:ligatures w14:val="none"/>
              </w:rPr>
            </w:pPr>
            <w:r w:rsidRPr="009C2E43">
              <w:rPr>
                <w:rFonts w:ascii="Times New Roman" w:eastAsia="Calibri" w:hAnsi="Times New Roman" w:cs="Times New Roman"/>
                <w:b/>
                <w:bCs/>
                <w:color w:val="000000"/>
                <w:kern w:val="0"/>
                <w14:ligatures w14:val="none"/>
              </w:rPr>
              <w:t>History of Asthma</w:t>
            </w:r>
          </w:p>
        </w:tc>
        <w:tc>
          <w:tcPr>
            <w:tcW w:w="756" w:type="dxa"/>
            <w:tcBorders>
              <w:top w:val="nil"/>
              <w:left w:val="nil"/>
              <w:bottom w:val="nil"/>
              <w:right w:val="nil"/>
            </w:tcBorders>
            <w:shd w:val="clear" w:color="auto" w:fill="auto"/>
            <w:noWrap/>
            <w:vAlign w:val="center"/>
          </w:tcPr>
          <w:p w14:paraId="48F0C0D5"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c>
          <w:tcPr>
            <w:tcW w:w="1800" w:type="dxa"/>
            <w:tcBorders>
              <w:top w:val="nil"/>
              <w:left w:val="nil"/>
              <w:bottom w:val="nil"/>
              <w:right w:val="nil"/>
            </w:tcBorders>
            <w:shd w:val="clear" w:color="auto" w:fill="auto"/>
            <w:noWrap/>
            <w:vAlign w:val="center"/>
          </w:tcPr>
          <w:p w14:paraId="57228EA8"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c>
          <w:tcPr>
            <w:tcW w:w="1080" w:type="dxa"/>
            <w:tcBorders>
              <w:top w:val="nil"/>
              <w:left w:val="nil"/>
              <w:bottom w:val="nil"/>
              <w:right w:val="nil"/>
            </w:tcBorders>
            <w:shd w:val="clear" w:color="auto" w:fill="auto"/>
            <w:noWrap/>
            <w:vAlign w:val="center"/>
          </w:tcPr>
          <w:p w14:paraId="63C7B6B8"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c>
          <w:tcPr>
            <w:tcW w:w="900" w:type="dxa"/>
            <w:tcBorders>
              <w:top w:val="nil"/>
              <w:left w:val="nil"/>
              <w:bottom w:val="nil"/>
              <w:right w:val="nil"/>
            </w:tcBorders>
            <w:shd w:val="clear" w:color="auto" w:fill="auto"/>
            <w:noWrap/>
            <w:vAlign w:val="center"/>
          </w:tcPr>
          <w:p w14:paraId="7FB99C10"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c>
          <w:tcPr>
            <w:tcW w:w="1810" w:type="dxa"/>
            <w:tcBorders>
              <w:top w:val="nil"/>
              <w:left w:val="nil"/>
              <w:bottom w:val="nil"/>
              <w:right w:val="nil"/>
            </w:tcBorders>
            <w:shd w:val="clear" w:color="auto" w:fill="auto"/>
            <w:noWrap/>
            <w:vAlign w:val="center"/>
          </w:tcPr>
          <w:p w14:paraId="0EA50F3F"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c>
          <w:tcPr>
            <w:tcW w:w="1067" w:type="dxa"/>
            <w:tcBorders>
              <w:top w:val="nil"/>
              <w:left w:val="nil"/>
              <w:bottom w:val="nil"/>
              <w:right w:val="nil"/>
            </w:tcBorders>
            <w:shd w:val="clear" w:color="auto" w:fill="auto"/>
            <w:noWrap/>
            <w:vAlign w:val="center"/>
          </w:tcPr>
          <w:p w14:paraId="6D469A0F"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c>
          <w:tcPr>
            <w:tcW w:w="1353" w:type="dxa"/>
            <w:tcBorders>
              <w:top w:val="nil"/>
              <w:left w:val="nil"/>
              <w:bottom w:val="nil"/>
              <w:right w:val="nil"/>
            </w:tcBorders>
            <w:shd w:val="clear" w:color="auto" w:fill="auto"/>
            <w:noWrap/>
            <w:vAlign w:val="center"/>
          </w:tcPr>
          <w:p w14:paraId="489117CD"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&lt;0.0001</w:t>
            </w:r>
          </w:p>
        </w:tc>
      </w:tr>
      <w:tr w:rsidR="009C2E43" w:rsidRPr="009C2E43" w14:paraId="6ABFC94A" w14:textId="77777777" w:rsidTr="008414E3">
        <w:trPr>
          <w:trHeight w:val="318"/>
        </w:trPr>
        <w:tc>
          <w:tcPr>
            <w:tcW w:w="4590" w:type="dxa"/>
            <w:tcBorders>
              <w:top w:val="nil"/>
              <w:left w:val="nil"/>
              <w:bottom w:val="nil"/>
              <w:right w:val="nil"/>
            </w:tcBorders>
            <w:shd w:val="clear" w:color="auto" w:fill="auto"/>
            <w:noWrap/>
            <w:vAlign w:val="bottom"/>
          </w:tcPr>
          <w:p w14:paraId="3336DF75" w14:textId="77777777" w:rsidR="009C2E43" w:rsidRPr="009C2E43" w:rsidRDefault="009C2E43" w:rsidP="009C2E43">
            <w:pPr>
              <w:spacing w:after="0" w:line="240" w:lineRule="auto"/>
              <w:ind w:left="720"/>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Yes</w:t>
            </w:r>
          </w:p>
        </w:tc>
        <w:tc>
          <w:tcPr>
            <w:tcW w:w="756" w:type="dxa"/>
            <w:tcBorders>
              <w:top w:val="nil"/>
              <w:left w:val="nil"/>
              <w:bottom w:val="nil"/>
              <w:right w:val="nil"/>
            </w:tcBorders>
            <w:shd w:val="clear" w:color="auto" w:fill="auto"/>
            <w:noWrap/>
            <w:vAlign w:val="center"/>
          </w:tcPr>
          <w:p w14:paraId="5B2769B0"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1.991</w:t>
            </w:r>
          </w:p>
        </w:tc>
        <w:tc>
          <w:tcPr>
            <w:tcW w:w="1800" w:type="dxa"/>
            <w:tcBorders>
              <w:top w:val="nil"/>
              <w:left w:val="nil"/>
              <w:bottom w:val="nil"/>
              <w:right w:val="nil"/>
            </w:tcBorders>
            <w:shd w:val="clear" w:color="auto" w:fill="auto"/>
            <w:noWrap/>
            <w:vAlign w:val="center"/>
          </w:tcPr>
          <w:p w14:paraId="120E76A5"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1.638, 2.420</w:t>
            </w:r>
          </w:p>
        </w:tc>
        <w:tc>
          <w:tcPr>
            <w:tcW w:w="1080" w:type="dxa"/>
            <w:tcBorders>
              <w:top w:val="nil"/>
              <w:left w:val="nil"/>
              <w:bottom w:val="nil"/>
              <w:right w:val="nil"/>
            </w:tcBorders>
            <w:shd w:val="clear" w:color="auto" w:fill="auto"/>
            <w:noWrap/>
            <w:vAlign w:val="center"/>
          </w:tcPr>
          <w:p w14:paraId="4FEA50BD"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&lt;0.0001</w:t>
            </w:r>
          </w:p>
        </w:tc>
        <w:tc>
          <w:tcPr>
            <w:tcW w:w="900" w:type="dxa"/>
            <w:tcBorders>
              <w:top w:val="nil"/>
              <w:left w:val="nil"/>
              <w:bottom w:val="nil"/>
              <w:right w:val="nil"/>
            </w:tcBorders>
            <w:shd w:val="clear" w:color="auto" w:fill="auto"/>
            <w:noWrap/>
            <w:vAlign w:val="center"/>
          </w:tcPr>
          <w:p w14:paraId="6B28305C"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3.362</w:t>
            </w:r>
          </w:p>
        </w:tc>
        <w:tc>
          <w:tcPr>
            <w:tcW w:w="1810" w:type="dxa"/>
            <w:tcBorders>
              <w:top w:val="nil"/>
              <w:left w:val="nil"/>
              <w:bottom w:val="nil"/>
              <w:right w:val="nil"/>
            </w:tcBorders>
            <w:shd w:val="clear" w:color="auto" w:fill="auto"/>
            <w:noWrap/>
            <w:vAlign w:val="center"/>
          </w:tcPr>
          <w:p w14:paraId="7FD4211E"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2.607, 4.336</w:t>
            </w:r>
          </w:p>
        </w:tc>
        <w:tc>
          <w:tcPr>
            <w:tcW w:w="1067" w:type="dxa"/>
            <w:tcBorders>
              <w:top w:val="nil"/>
              <w:left w:val="nil"/>
              <w:bottom w:val="nil"/>
              <w:right w:val="nil"/>
            </w:tcBorders>
            <w:shd w:val="clear" w:color="auto" w:fill="auto"/>
            <w:noWrap/>
            <w:vAlign w:val="center"/>
          </w:tcPr>
          <w:p w14:paraId="08078B17"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&lt;0.0001</w:t>
            </w:r>
          </w:p>
        </w:tc>
        <w:tc>
          <w:tcPr>
            <w:tcW w:w="1353" w:type="dxa"/>
            <w:tcBorders>
              <w:top w:val="nil"/>
              <w:left w:val="nil"/>
              <w:bottom w:val="nil"/>
              <w:right w:val="nil"/>
            </w:tcBorders>
            <w:shd w:val="clear" w:color="auto" w:fill="auto"/>
            <w:noWrap/>
            <w:vAlign w:val="bottom"/>
          </w:tcPr>
          <w:p w14:paraId="246FA954"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r>
      <w:tr w:rsidR="009C2E43" w:rsidRPr="009C2E43" w14:paraId="2B81A896" w14:textId="77777777" w:rsidTr="008414E3">
        <w:trPr>
          <w:trHeight w:val="318"/>
        </w:trPr>
        <w:tc>
          <w:tcPr>
            <w:tcW w:w="4590" w:type="dxa"/>
            <w:tcBorders>
              <w:top w:val="nil"/>
              <w:left w:val="nil"/>
              <w:bottom w:val="nil"/>
              <w:right w:val="nil"/>
            </w:tcBorders>
            <w:shd w:val="clear" w:color="auto" w:fill="auto"/>
            <w:noWrap/>
            <w:vAlign w:val="bottom"/>
          </w:tcPr>
          <w:p w14:paraId="5A9A0A8D" w14:textId="77777777" w:rsidR="009C2E43" w:rsidRPr="009C2E43" w:rsidRDefault="009C2E43" w:rsidP="009C2E43">
            <w:pPr>
              <w:spacing w:after="0" w:line="240" w:lineRule="auto"/>
              <w:ind w:left="720"/>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No</w:t>
            </w:r>
          </w:p>
        </w:tc>
        <w:tc>
          <w:tcPr>
            <w:tcW w:w="7413" w:type="dxa"/>
            <w:gridSpan w:val="6"/>
            <w:tcBorders>
              <w:top w:val="nil"/>
              <w:left w:val="nil"/>
              <w:bottom w:val="nil"/>
              <w:right w:val="nil"/>
            </w:tcBorders>
            <w:shd w:val="clear" w:color="auto" w:fill="auto"/>
            <w:noWrap/>
            <w:vAlign w:val="center"/>
          </w:tcPr>
          <w:p w14:paraId="6293A7ED"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i/>
                <w:iCs/>
                <w:color w:val="000000"/>
                <w:kern w:val="0"/>
                <w14:ligatures w14:val="none"/>
              </w:rPr>
              <w:t>Reference</w:t>
            </w:r>
          </w:p>
        </w:tc>
        <w:tc>
          <w:tcPr>
            <w:tcW w:w="1353" w:type="dxa"/>
            <w:tcBorders>
              <w:top w:val="nil"/>
              <w:left w:val="nil"/>
              <w:bottom w:val="nil"/>
              <w:right w:val="nil"/>
            </w:tcBorders>
            <w:shd w:val="clear" w:color="auto" w:fill="auto"/>
            <w:noWrap/>
            <w:vAlign w:val="bottom"/>
          </w:tcPr>
          <w:p w14:paraId="559E0DBB"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r>
      <w:tr w:rsidR="009C2E43" w:rsidRPr="009C2E43" w14:paraId="284705AB" w14:textId="77777777" w:rsidTr="008414E3">
        <w:trPr>
          <w:trHeight w:val="318"/>
        </w:trPr>
        <w:tc>
          <w:tcPr>
            <w:tcW w:w="4590" w:type="dxa"/>
            <w:tcBorders>
              <w:top w:val="nil"/>
              <w:left w:val="nil"/>
              <w:bottom w:val="nil"/>
              <w:right w:val="nil"/>
            </w:tcBorders>
            <w:shd w:val="clear" w:color="auto" w:fill="auto"/>
            <w:noWrap/>
            <w:vAlign w:val="bottom"/>
            <w:hideMark/>
          </w:tcPr>
          <w:p w14:paraId="282D3A51" w14:textId="77777777" w:rsidR="009C2E43" w:rsidRPr="009C2E43" w:rsidRDefault="009C2E43" w:rsidP="009C2E43">
            <w:pPr>
              <w:spacing w:after="0" w:line="240" w:lineRule="auto"/>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b/>
                <w:bCs/>
                <w:color w:val="000000"/>
                <w:kern w:val="0"/>
                <w14:ligatures w14:val="none"/>
              </w:rPr>
              <w:t>Department of Energy (DOE) Site Category</w:t>
            </w:r>
          </w:p>
        </w:tc>
        <w:tc>
          <w:tcPr>
            <w:tcW w:w="756" w:type="dxa"/>
            <w:tcBorders>
              <w:top w:val="nil"/>
              <w:left w:val="nil"/>
              <w:bottom w:val="nil"/>
              <w:right w:val="nil"/>
            </w:tcBorders>
            <w:shd w:val="clear" w:color="auto" w:fill="auto"/>
            <w:noWrap/>
            <w:vAlign w:val="center"/>
            <w:hideMark/>
          </w:tcPr>
          <w:p w14:paraId="6A22F543" w14:textId="77777777" w:rsidR="009C2E43" w:rsidRPr="009C2E43" w:rsidRDefault="009C2E43" w:rsidP="009C2E43">
            <w:pPr>
              <w:spacing w:after="0" w:line="240" w:lineRule="auto"/>
              <w:rPr>
                <w:rFonts w:ascii="Times New Roman" w:eastAsia="Calibri" w:hAnsi="Times New Roman" w:cs="Times New Roman"/>
                <w:b/>
                <w:bCs/>
                <w:color w:val="000000"/>
                <w:kern w:val="0"/>
                <w14:ligatures w14:val="none"/>
              </w:rPr>
            </w:pPr>
          </w:p>
        </w:tc>
        <w:tc>
          <w:tcPr>
            <w:tcW w:w="1800" w:type="dxa"/>
            <w:tcBorders>
              <w:top w:val="nil"/>
              <w:left w:val="nil"/>
              <w:bottom w:val="nil"/>
              <w:right w:val="nil"/>
            </w:tcBorders>
            <w:shd w:val="clear" w:color="auto" w:fill="auto"/>
            <w:noWrap/>
            <w:vAlign w:val="center"/>
            <w:hideMark/>
          </w:tcPr>
          <w:p w14:paraId="5A280240"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p>
        </w:tc>
        <w:tc>
          <w:tcPr>
            <w:tcW w:w="1080" w:type="dxa"/>
            <w:tcBorders>
              <w:top w:val="nil"/>
              <w:left w:val="nil"/>
              <w:bottom w:val="nil"/>
              <w:right w:val="nil"/>
            </w:tcBorders>
            <w:shd w:val="clear" w:color="auto" w:fill="auto"/>
            <w:noWrap/>
            <w:vAlign w:val="center"/>
            <w:hideMark/>
          </w:tcPr>
          <w:p w14:paraId="4BEB3534"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p>
        </w:tc>
        <w:tc>
          <w:tcPr>
            <w:tcW w:w="900" w:type="dxa"/>
            <w:tcBorders>
              <w:top w:val="nil"/>
              <w:left w:val="nil"/>
              <w:bottom w:val="nil"/>
              <w:right w:val="nil"/>
            </w:tcBorders>
            <w:shd w:val="clear" w:color="auto" w:fill="auto"/>
            <w:noWrap/>
            <w:vAlign w:val="center"/>
            <w:hideMark/>
          </w:tcPr>
          <w:p w14:paraId="1964F192"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p>
        </w:tc>
        <w:tc>
          <w:tcPr>
            <w:tcW w:w="1810" w:type="dxa"/>
            <w:tcBorders>
              <w:top w:val="nil"/>
              <w:left w:val="nil"/>
              <w:bottom w:val="nil"/>
              <w:right w:val="nil"/>
            </w:tcBorders>
            <w:shd w:val="clear" w:color="auto" w:fill="auto"/>
            <w:noWrap/>
            <w:vAlign w:val="center"/>
            <w:hideMark/>
          </w:tcPr>
          <w:p w14:paraId="5094342C"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p>
        </w:tc>
        <w:tc>
          <w:tcPr>
            <w:tcW w:w="1067" w:type="dxa"/>
            <w:tcBorders>
              <w:top w:val="nil"/>
              <w:left w:val="nil"/>
              <w:bottom w:val="nil"/>
              <w:right w:val="nil"/>
            </w:tcBorders>
            <w:shd w:val="clear" w:color="auto" w:fill="auto"/>
            <w:noWrap/>
            <w:vAlign w:val="center"/>
            <w:hideMark/>
          </w:tcPr>
          <w:p w14:paraId="60A2566C"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p>
        </w:tc>
        <w:tc>
          <w:tcPr>
            <w:tcW w:w="1353" w:type="dxa"/>
            <w:tcBorders>
              <w:top w:val="nil"/>
              <w:left w:val="nil"/>
              <w:bottom w:val="nil"/>
              <w:right w:val="nil"/>
            </w:tcBorders>
            <w:shd w:val="clear" w:color="auto" w:fill="auto"/>
            <w:noWrap/>
            <w:vAlign w:val="bottom"/>
            <w:hideMark/>
          </w:tcPr>
          <w:p w14:paraId="4EDA504A"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0.0002</w:t>
            </w:r>
          </w:p>
        </w:tc>
      </w:tr>
      <w:tr w:rsidR="009C2E43" w:rsidRPr="009C2E43" w14:paraId="02A82E18" w14:textId="77777777" w:rsidTr="008414E3">
        <w:trPr>
          <w:trHeight w:val="318"/>
        </w:trPr>
        <w:tc>
          <w:tcPr>
            <w:tcW w:w="4590" w:type="dxa"/>
            <w:tcBorders>
              <w:top w:val="nil"/>
              <w:left w:val="nil"/>
              <w:bottom w:val="nil"/>
              <w:right w:val="nil"/>
            </w:tcBorders>
            <w:shd w:val="clear" w:color="auto" w:fill="auto"/>
            <w:noWrap/>
            <w:vAlign w:val="bottom"/>
            <w:hideMark/>
          </w:tcPr>
          <w:p w14:paraId="47B14258" w14:textId="77777777" w:rsidR="009C2E43" w:rsidRPr="009C2E43" w:rsidRDefault="009C2E43" w:rsidP="009C2E43">
            <w:pPr>
              <w:spacing w:after="0" w:line="240" w:lineRule="auto"/>
              <w:ind w:left="720"/>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Uranium Processing Facilities</w:t>
            </w:r>
          </w:p>
        </w:tc>
        <w:tc>
          <w:tcPr>
            <w:tcW w:w="756" w:type="dxa"/>
            <w:tcBorders>
              <w:top w:val="nil"/>
              <w:left w:val="nil"/>
              <w:bottom w:val="nil"/>
              <w:right w:val="nil"/>
            </w:tcBorders>
            <w:shd w:val="clear" w:color="auto" w:fill="auto"/>
            <w:noWrap/>
            <w:vAlign w:val="center"/>
            <w:hideMark/>
          </w:tcPr>
          <w:p w14:paraId="764AFFE9"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1.584</w:t>
            </w:r>
          </w:p>
        </w:tc>
        <w:tc>
          <w:tcPr>
            <w:tcW w:w="1800" w:type="dxa"/>
            <w:tcBorders>
              <w:top w:val="nil"/>
              <w:left w:val="nil"/>
              <w:bottom w:val="nil"/>
              <w:right w:val="nil"/>
            </w:tcBorders>
            <w:shd w:val="clear" w:color="auto" w:fill="auto"/>
            <w:noWrap/>
            <w:vAlign w:val="center"/>
            <w:hideMark/>
          </w:tcPr>
          <w:p w14:paraId="36487499"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1.139, 2.204</w:t>
            </w:r>
          </w:p>
        </w:tc>
        <w:tc>
          <w:tcPr>
            <w:tcW w:w="1080" w:type="dxa"/>
            <w:tcBorders>
              <w:top w:val="nil"/>
              <w:left w:val="nil"/>
              <w:bottom w:val="nil"/>
              <w:right w:val="nil"/>
            </w:tcBorders>
            <w:shd w:val="clear" w:color="auto" w:fill="auto"/>
            <w:noWrap/>
            <w:vAlign w:val="center"/>
            <w:hideMark/>
          </w:tcPr>
          <w:p w14:paraId="14ADDB3D"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0.0063</w:t>
            </w:r>
          </w:p>
        </w:tc>
        <w:tc>
          <w:tcPr>
            <w:tcW w:w="900" w:type="dxa"/>
            <w:tcBorders>
              <w:top w:val="nil"/>
              <w:left w:val="nil"/>
              <w:bottom w:val="nil"/>
              <w:right w:val="nil"/>
            </w:tcBorders>
            <w:shd w:val="clear" w:color="auto" w:fill="auto"/>
            <w:noWrap/>
            <w:vAlign w:val="center"/>
            <w:hideMark/>
          </w:tcPr>
          <w:p w14:paraId="6CC07BD7"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2.185</w:t>
            </w:r>
          </w:p>
        </w:tc>
        <w:tc>
          <w:tcPr>
            <w:tcW w:w="1810" w:type="dxa"/>
            <w:tcBorders>
              <w:top w:val="nil"/>
              <w:left w:val="nil"/>
              <w:bottom w:val="nil"/>
              <w:right w:val="nil"/>
            </w:tcBorders>
            <w:shd w:val="clear" w:color="auto" w:fill="auto"/>
            <w:noWrap/>
            <w:vAlign w:val="center"/>
            <w:hideMark/>
          </w:tcPr>
          <w:p w14:paraId="2F5BC84A"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1.379, 3.461</w:t>
            </w:r>
          </w:p>
        </w:tc>
        <w:tc>
          <w:tcPr>
            <w:tcW w:w="1067" w:type="dxa"/>
            <w:tcBorders>
              <w:top w:val="nil"/>
              <w:left w:val="nil"/>
              <w:bottom w:val="nil"/>
              <w:right w:val="nil"/>
            </w:tcBorders>
            <w:shd w:val="clear" w:color="auto" w:fill="auto"/>
            <w:noWrap/>
            <w:vAlign w:val="center"/>
            <w:hideMark/>
          </w:tcPr>
          <w:p w14:paraId="6F1F88FC"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0.0009</w:t>
            </w:r>
          </w:p>
        </w:tc>
        <w:tc>
          <w:tcPr>
            <w:tcW w:w="1353" w:type="dxa"/>
            <w:tcBorders>
              <w:top w:val="nil"/>
              <w:left w:val="nil"/>
              <w:bottom w:val="nil"/>
              <w:right w:val="nil"/>
            </w:tcBorders>
            <w:shd w:val="clear" w:color="auto" w:fill="auto"/>
            <w:noWrap/>
            <w:vAlign w:val="bottom"/>
            <w:hideMark/>
          </w:tcPr>
          <w:p w14:paraId="27D71E0A"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r>
      <w:tr w:rsidR="009C2E43" w:rsidRPr="009C2E43" w14:paraId="7CE79A1C" w14:textId="77777777" w:rsidTr="00921D81">
        <w:trPr>
          <w:trHeight w:val="318"/>
        </w:trPr>
        <w:tc>
          <w:tcPr>
            <w:tcW w:w="4590" w:type="dxa"/>
            <w:tcBorders>
              <w:top w:val="nil"/>
              <w:left w:val="nil"/>
              <w:right w:val="nil"/>
            </w:tcBorders>
            <w:shd w:val="clear" w:color="auto" w:fill="auto"/>
            <w:noWrap/>
            <w:vAlign w:val="bottom"/>
            <w:hideMark/>
          </w:tcPr>
          <w:p w14:paraId="08FCF4A3" w14:textId="77777777" w:rsidR="009C2E43" w:rsidRPr="009C2E43" w:rsidRDefault="009C2E43" w:rsidP="009C2E43">
            <w:pPr>
              <w:spacing w:after="0" w:line="240" w:lineRule="auto"/>
              <w:ind w:left="720"/>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Weapons Production</w:t>
            </w:r>
          </w:p>
        </w:tc>
        <w:tc>
          <w:tcPr>
            <w:tcW w:w="756" w:type="dxa"/>
            <w:tcBorders>
              <w:top w:val="nil"/>
              <w:left w:val="nil"/>
              <w:right w:val="nil"/>
            </w:tcBorders>
            <w:shd w:val="clear" w:color="auto" w:fill="auto"/>
            <w:noWrap/>
            <w:vAlign w:val="center"/>
            <w:hideMark/>
          </w:tcPr>
          <w:p w14:paraId="6B41C13E"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1.432</w:t>
            </w:r>
          </w:p>
        </w:tc>
        <w:tc>
          <w:tcPr>
            <w:tcW w:w="1800" w:type="dxa"/>
            <w:tcBorders>
              <w:top w:val="nil"/>
              <w:left w:val="nil"/>
              <w:right w:val="nil"/>
            </w:tcBorders>
            <w:shd w:val="clear" w:color="auto" w:fill="auto"/>
            <w:noWrap/>
            <w:vAlign w:val="center"/>
            <w:hideMark/>
          </w:tcPr>
          <w:p w14:paraId="549F68EA"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1.183, 1.733</w:t>
            </w:r>
          </w:p>
        </w:tc>
        <w:tc>
          <w:tcPr>
            <w:tcW w:w="1080" w:type="dxa"/>
            <w:tcBorders>
              <w:top w:val="nil"/>
              <w:left w:val="nil"/>
              <w:right w:val="nil"/>
            </w:tcBorders>
            <w:shd w:val="clear" w:color="auto" w:fill="auto"/>
            <w:noWrap/>
            <w:vAlign w:val="center"/>
            <w:hideMark/>
          </w:tcPr>
          <w:p w14:paraId="0288BE3D"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0.0002</w:t>
            </w:r>
          </w:p>
        </w:tc>
        <w:tc>
          <w:tcPr>
            <w:tcW w:w="900" w:type="dxa"/>
            <w:tcBorders>
              <w:top w:val="nil"/>
              <w:left w:val="nil"/>
              <w:right w:val="nil"/>
            </w:tcBorders>
            <w:shd w:val="clear" w:color="auto" w:fill="auto"/>
            <w:noWrap/>
            <w:vAlign w:val="center"/>
            <w:hideMark/>
          </w:tcPr>
          <w:p w14:paraId="52F6ECD8"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1.578</w:t>
            </w:r>
          </w:p>
        </w:tc>
        <w:tc>
          <w:tcPr>
            <w:tcW w:w="1810" w:type="dxa"/>
            <w:tcBorders>
              <w:top w:val="nil"/>
              <w:left w:val="nil"/>
              <w:right w:val="nil"/>
            </w:tcBorders>
            <w:shd w:val="clear" w:color="auto" w:fill="auto"/>
            <w:noWrap/>
            <w:vAlign w:val="center"/>
            <w:hideMark/>
          </w:tcPr>
          <w:p w14:paraId="65E90DA2"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1.177, 2.118</w:t>
            </w:r>
          </w:p>
        </w:tc>
        <w:tc>
          <w:tcPr>
            <w:tcW w:w="1067" w:type="dxa"/>
            <w:tcBorders>
              <w:top w:val="nil"/>
              <w:left w:val="nil"/>
              <w:right w:val="nil"/>
            </w:tcBorders>
            <w:shd w:val="clear" w:color="auto" w:fill="auto"/>
            <w:noWrap/>
            <w:vAlign w:val="center"/>
            <w:hideMark/>
          </w:tcPr>
          <w:p w14:paraId="38BCF7AA"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0.0023</w:t>
            </w:r>
          </w:p>
        </w:tc>
        <w:tc>
          <w:tcPr>
            <w:tcW w:w="1353" w:type="dxa"/>
            <w:tcBorders>
              <w:top w:val="nil"/>
              <w:left w:val="nil"/>
              <w:right w:val="nil"/>
            </w:tcBorders>
            <w:shd w:val="clear" w:color="auto" w:fill="auto"/>
            <w:noWrap/>
            <w:vAlign w:val="bottom"/>
            <w:hideMark/>
          </w:tcPr>
          <w:p w14:paraId="4475F93E"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r>
      <w:tr w:rsidR="009C2E43" w:rsidRPr="009C2E43" w14:paraId="1C855877" w14:textId="77777777" w:rsidTr="00921D81">
        <w:trPr>
          <w:trHeight w:val="318"/>
        </w:trPr>
        <w:tc>
          <w:tcPr>
            <w:tcW w:w="4590" w:type="dxa"/>
            <w:tcBorders>
              <w:top w:val="nil"/>
              <w:left w:val="nil"/>
              <w:right w:val="nil"/>
            </w:tcBorders>
            <w:shd w:val="clear" w:color="auto" w:fill="auto"/>
            <w:noWrap/>
            <w:vAlign w:val="bottom"/>
          </w:tcPr>
          <w:p w14:paraId="5C10152A" w14:textId="77777777" w:rsidR="009C2E43" w:rsidRPr="009C2E43" w:rsidRDefault="009C2E43" w:rsidP="009C2E43">
            <w:pPr>
              <w:spacing w:after="0" w:line="240" w:lineRule="auto"/>
              <w:ind w:left="720"/>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Science and Laboratory Facilities</w:t>
            </w:r>
          </w:p>
        </w:tc>
        <w:tc>
          <w:tcPr>
            <w:tcW w:w="7413" w:type="dxa"/>
            <w:gridSpan w:val="6"/>
            <w:tcBorders>
              <w:top w:val="nil"/>
              <w:left w:val="nil"/>
              <w:right w:val="nil"/>
            </w:tcBorders>
            <w:shd w:val="clear" w:color="auto" w:fill="auto"/>
            <w:noWrap/>
            <w:vAlign w:val="center"/>
          </w:tcPr>
          <w:p w14:paraId="7008C2CC"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i/>
                <w:iCs/>
                <w:color w:val="000000"/>
                <w:kern w:val="0"/>
                <w14:ligatures w14:val="none"/>
              </w:rPr>
              <w:t>Reference</w:t>
            </w:r>
          </w:p>
        </w:tc>
        <w:tc>
          <w:tcPr>
            <w:tcW w:w="1353" w:type="dxa"/>
            <w:tcBorders>
              <w:top w:val="nil"/>
              <w:left w:val="nil"/>
              <w:right w:val="nil"/>
            </w:tcBorders>
            <w:shd w:val="clear" w:color="auto" w:fill="auto"/>
            <w:noWrap/>
            <w:vAlign w:val="bottom"/>
          </w:tcPr>
          <w:p w14:paraId="1B260472"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r>
      <w:tr w:rsidR="008414E3" w:rsidRPr="009C2E43" w14:paraId="50CCA1FA" w14:textId="77777777" w:rsidTr="00921D81">
        <w:trPr>
          <w:trHeight w:val="318"/>
        </w:trPr>
        <w:tc>
          <w:tcPr>
            <w:tcW w:w="4590" w:type="dxa"/>
            <w:tcBorders>
              <w:left w:val="nil"/>
              <w:bottom w:val="nil"/>
              <w:right w:val="nil"/>
            </w:tcBorders>
            <w:shd w:val="clear" w:color="auto" w:fill="auto"/>
            <w:noWrap/>
            <w:vAlign w:val="bottom"/>
          </w:tcPr>
          <w:p w14:paraId="30F5A251" w14:textId="77777777" w:rsidR="008414E3" w:rsidRPr="009C2E43" w:rsidRDefault="008414E3" w:rsidP="009C2E43">
            <w:pPr>
              <w:spacing w:after="0" w:line="240" w:lineRule="auto"/>
              <w:rPr>
                <w:rFonts w:ascii="Times New Roman" w:eastAsia="Calibri" w:hAnsi="Times New Roman" w:cs="Times New Roman"/>
                <w:b/>
                <w:bCs/>
                <w:color w:val="000000"/>
                <w:kern w:val="0"/>
                <w14:ligatures w14:val="none"/>
              </w:rPr>
            </w:pPr>
          </w:p>
        </w:tc>
        <w:tc>
          <w:tcPr>
            <w:tcW w:w="756" w:type="dxa"/>
            <w:tcBorders>
              <w:left w:val="nil"/>
              <w:bottom w:val="nil"/>
              <w:right w:val="nil"/>
            </w:tcBorders>
            <w:shd w:val="clear" w:color="auto" w:fill="auto"/>
            <w:noWrap/>
            <w:vAlign w:val="center"/>
          </w:tcPr>
          <w:p w14:paraId="5A60C1D6" w14:textId="77777777" w:rsidR="008414E3" w:rsidRPr="009C2E43" w:rsidRDefault="008414E3" w:rsidP="009C2E43">
            <w:pPr>
              <w:spacing w:after="0" w:line="240" w:lineRule="auto"/>
              <w:rPr>
                <w:rFonts w:ascii="Times New Roman" w:eastAsia="Calibri" w:hAnsi="Times New Roman" w:cs="Times New Roman"/>
                <w:b/>
                <w:bCs/>
                <w:color w:val="000000"/>
                <w:kern w:val="0"/>
                <w14:ligatures w14:val="none"/>
              </w:rPr>
            </w:pPr>
          </w:p>
        </w:tc>
        <w:tc>
          <w:tcPr>
            <w:tcW w:w="1800" w:type="dxa"/>
            <w:tcBorders>
              <w:left w:val="nil"/>
              <w:bottom w:val="nil"/>
              <w:right w:val="nil"/>
            </w:tcBorders>
            <w:shd w:val="clear" w:color="auto" w:fill="auto"/>
            <w:noWrap/>
            <w:vAlign w:val="center"/>
          </w:tcPr>
          <w:p w14:paraId="4CF9025D" w14:textId="77777777" w:rsidR="008414E3" w:rsidRPr="009C2E43" w:rsidRDefault="008414E3" w:rsidP="009C2E43">
            <w:pPr>
              <w:spacing w:after="0" w:line="240" w:lineRule="auto"/>
              <w:jc w:val="center"/>
              <w:rPr>
                <w:rFonts w:ascii="Times New Roman" w:eastAsia="Calibri" w:hAnsi="Times New Roman" w:cs="Times New Roman"/>
                <w:kern w:val="0"/>
                <w:sz w:val="20"/>
                <w:szCs w:val="20"/>
                <w14:ligatures w14:val="none"/>
              </w:rPr>
            </w:pPr>
          </w:p>
        </w:tc>
        <w:tc>
          <w:tcPr>
            <w:tcW w:w="1080" w:type="dxa"/>
            <w:tcBorders>
              <w:left w:val="nil"/>
              <w:bottom w:val="nil"/>
              <w:right w:val="nil"/>
            </w:tcBorders>
            <w:shd w:val="clear" w:color="auto" w:fill="auto"/>
            <w:noWrap/>
            <w:vAlign w:val="center"/>
          </w:tcPr>
          <w:p w14:paraId="07DC788A" w14:textId="77777777" w:rsidR="008414E3" w:rsidRPr="009C2E43" w:rsidRDefault="008414E3" w:rsidP="009C2E43">
            <w:pPr>
              <w:spacing w:after="0" w:line="240" w:lineRule="auto"/>
              <w:jc w:val="center"/>
              <w:rPr>
                <w:rFonts w:ascii="Times New Roman" w:eastAsia="Calibri" w:hAnsi="Times New Roman" w:cs="Times New Roman"/>
                <w:kern w:val="0"/>
                <w:sz w:val="20"/>
                <w:szCs w:val="20"/>
                <w14:ligatures w14:val="none"/>
              </w:rPr>
            </w:pPr>
          </w:p>
        </w:tc>
        <w:tc>
          <w:tcPr>
            <w:tcW w:w="900" w:type="dxa"/>
            <w:tcBorders>
              <w:left w:val="nil"/>
              <w:bottom w:val="nil"/>
              <w:right w:val="nil"/>
            </w:tcBorders>
            <w:shd w:val="clear" w:color="auto" w:fill="auto"/>
            <w:noWrap/>
            <w:vAlign w:val="center"/>
          </w:tcPr>
          <w:p w14:paraId="3008F5F0" w14:textId="77777777" w:rsidR="008414E3" w:rsidRPr="009C2E43" w:rsidRDefault="008414E3" w:rsidP="009C2E43">
            <w:pPr>
              <w:spacing w:after="0" w:line="240" w:lineRule="auto"/>
              <w:jc w:val="center"/>
              <w:rPr>
                <w:rFonts w:ascii="Times New Roman" w:eastAsia="Calibri" w:hAnsi="Times New Roman" w:cs="Times New Roman"/>
                <w:kern w:val="0"/>
                <w:sz w:val="20"/>
                <w:szCs w:val="20"/>
                <w14:ligatures w14:val="none"/>
              </w:rPr>
            </w:pPr>
          </w:p>
        </w:tc>
        <w:tc>
          <w:tcPr>
            <w:tcW w:w="1810" w:type="dxa"/>
            <w:tcBorders>
              <w:left w:val="nil"/>
              <w:bottom w:val="nil"/>
              <w:right w:val="nil"/>
            </w:tcBorders>
            <w:shd w:val="clear" w:color="auto" w:fill="auto"/>
            <w:noWrap/>
            <w:vAlign w:val="center"/>
          </w:tcPr>
          <w:p w14:paraId="62CFCDAE" w14:textId="77777777" w:rsidR="008414E3" w:rsidRPr="009C2E43" w:rsidRDefault="008414E3" w:rsidP="009C2E43">
            <w:pPr>
              <w:spacing w:after="0" w:line="240" w:lineRule="auto"/>
              <w:jc w:val="center"/>
              <w:rPr>
                <w:rFonts w:ascii="Times New Roman" w:eastAsia="Calibri" w:hAnsi="Times New Roman" w:cs="Times New Roman"/>
                <w:kern w:val="0"/>
                <w:sz w:val="20"/>
                <w:szCs w:val="20"/>
                <w14:ligatures w14:val="none"/>
              </w:rPr>
            </w:pPr>
          </w:p>
        </w:tc>
        <w:tc>
          <w:tcPr>
            <w:tcW w:w="1067" w:type="dxa"/>
            <w:tcBorders>
              <w:left w:val="nil"/>
              <w:bottom w:val="nil"/>
              <w:right w:val="nil"/>
            </w:tcBorders>
            <w:shd w:val="clear" w:color="auto" w:fill="auto"/>
            <w:noWrap/>
            <w:vAlign w:val="center"/>
          </w:tcPr>
          <w:p w14:paraId="59126FB7" w14:textId="77777777" w:rsidR="008414E3" w:rsidRPr="009C2E43" w:rsidRDefault="008414E3" w:rsidP="009C2E43">
            <w:pPr>
              <w:spacing w:after="0" w:line="240" w:lineRule="auto"/>
              <w:jc w:val="center"/>
              <w:rPr>
                <w:rFonts w:ascii="Times New Roman" w:eastAsia="Calibri" w:hAnsi="Times New Roman" w:cs="Times New Roman"/>
                <w:kern w:val="0"/>
                <w:sz w:val="20"/>
                <w:szCs w:val="20"/>
                <w14:ligatures w14:val="none"/>
              </w:rPr>
            </w:pPr>
          </w:p>
        </w:tc>
        <w:tc>
          <w:tcPr>
            <w:tcW w:w="1353" w:type="dxa"/>
            <w:tcBorders>
              <w:left w:val="nil"/>
              <w:bottom w:val="nil"/>
              <w:right w:val="nil"/>
            </w:tcBorders>
            <w:shd w:val="clear" w:color="auto" w:fill="auto"/>
            <w:noWrap/>
            <w:vAlign w:val="bottom"/>
          </w:tcPr>
          <w:p w14:paraId="3354A1B6" w14:textId="77777777" w:rsidR="008414E3" w:rsidRPr="009C2E43" w:rsidRDefault="008414E3" w:rsidP="009C2E43">
            <w:pPr>
              <w:spacing w:after="0" w:line="240" w:lineRule="auto"/>
              <w:jc w:val="center"/>
              <w:rPr>
                <w:rFonts w:ascii="Times New Roman" w:eastAsia="Calibri" w:hAnsi="Times New Roman" w:cs="Times New Roman"/>
                <w:color w:val="000000"/>
                <w:kern w:val="0"/>
                <w14:ligatures w14:val="none"/>
              </w:rPr>
            </w:pPr>
          </w:p>
        </w:tc>
      </w:tr>
      <w:tr w:rsidR="008414E3" w:rsidRPr="009C2E43" w14:paraId="7D3E0E0C" w14:textId="77777777" w:rsidTr="008414E3">
        <w:trPr>
          <w:trHeight w:val="318"/>
        </w:trPr>
        <w:tc>
          <w:tcPr>
            <w:tcW w:w="4590" w:type="dxa"/>
            <w:tcBorders>
              <w:top w:val="nil"/>
              <w:left w:val="nil"/>
              <w:bottom w:val="nil"/>
              <w:right w:val="nil"/>
            </w:tcBorders>
            <w:shd w:val="clear" w:color="auto" w:fill="auto"/>
            <w:noWrap/>
            <w:vAlign w:val="bottom"/>
          </w:tcPr>
          <w:p w14:paraId="408362F5" w14:textId="77777777" w:rsidR="008414E3" w:rsidRPr="009C2E43" w:rsidRDefault="008414E3" w:rsidP="009C2E43">
            <w:pPr>
              <w:spacing w:after="0" w:line="240" w:lineRule="auto"/>
              <w:rPr>
                <w:rFonts w:ascii="Times New Roman" w:eastAsia="Calibri" w:hAnsi="Times New Roman" w:cs="Times New Roman"/>
                <w:b/>
                <w:bCs/>
                <w:color w:val="000000"/>
                <w:kern w:val="0"/>
                <w14:ligatures w14:val="none"/>
              </w:rPr>
            </w:pPr>
          </w:p>
        </w:tc>
        <w:tc>
          <w:tcPr>
            <w:tcW w:w="756" w:type="dxa"/>
            <w:tcBorders>
              <w:top w:val="nil"/>
              <w:left w:val="nil"/>
              <w:bottom w:val="nil"/>
              <w:right w:val="nil"/>
            </w:tcBorders>
            <w:shd w:val="clear" w:color="auto" w:fill="auto"/>
            <w:noWrap/>
            <w:vAlign w:val="center"/>
          </w:tcPr>
          <w:p w14:paraId="0B7833B0" w14:textId="77777777" w:rsidR="008414E3" w:rsidRPr="009C2E43" w:rsidRDefault="008414E3" w:rsidP="009C2E43">
            <w:pPr>
              <w:spacing w:after="0" w:line="240" w:lineRule="auto"/>
              <w:rPr>
                <w:rFonts w:ascii="Times New Roman" w:eastAsia="Calibri" w:hAnsi="Times New Roman" w:cs="Times New Roman"/>
                <w:b/>
                <w:bCs/>
                <w:color w:val="000000"/>
                <w:kern w:val="0"/>
                <w14:ligatures w14:val="none"/>
              </w:rPr>
            </w:pPr>
          </w:p>
        </w:tc>
        <w:tc>
          <w:tcPr>
            <w:tcW w:w="1800" w:type="dxa"/>
            <w:tcBorders>
              <w:top w:val="nil"/>
              <w:left w:val="nil"/>
              <w:bottom w:val="nil"/>
              <w:right w:val="nil"/>
            </w:tcBorders>
            <w:shd w:val="clear" w:color="auto" w:fill="auto"/>
            <w:noWrap/>
            <w:vAlign w:val="center"/>
          </w:tcPr>
          <w:p w14:paraId="1D63A2E2" w14:textId="77777777" w:rsidR="008414E3" w:rsidRPr="009C2E43" w:rsidRDefault="008414E3" w:rsidP="009C2E43">
            <w:pPr>
              <w:spacing w:after="0" w:line="240" w:lineRule="auto"/>
              <w:jc w:val="center"/>
              <w:rPr>
                <w:rFonts w:ascii="Times New Roman" w:eastAsia="Calibri" w:hAnsi="Times New Roman" w:cs="Times New Roman"/>
                <w:kern w:val="0"/>
                <w:sz w:val="20"/>
                <w:szCs w:val="20"/>
                <w14:ligatures w14:val="none"/>
              </w:rPr>
            </w:pPr>
          </w:p>
        </w:tc>
        <w:tc>
          <w:tcPr>
            <w:tcW w:w="1080" w:type="dxa"/>
            <w:tcBorders>
              <w:top w:val="nil"/>
              <w:left w:val="nil"/>
              <w:bottom w:val="nil"/>
              <w:right w:val="nil"/>
            </w:tcBorders>
            <w:shd w:val="clear" w:color="auto" w:fill="auto"/>
            <w:noWrap/>
            <w:vAlign w:val="center"/>
          </w:tcPr>
          <w:p w14:paraId="126C7792" w14:textId="77777777" w:rsidR="008414E3" w:rsidRPr="009C2E43" w:rsidRDefault="008414E3" w:rsidP="009C2E43">
            <w:pPr>
              <w:spacing w:after="0" w:line="240" w:lineRule="auto"/>
              <w:jc w:val="center"/>
              <w:rPr>
                <w:rFonts w:ascii="Times New Roman" w:eastAsia="Calibri" w:hAnsi="Times New Roman" w:cs="Times New Roman"/>
                <w:kern w:val="0"/>
                <w:sz w:val="20"/>
                <w:szCs w:val="20"/>
                <w14:ligatures w14:val="none"/>
              </w:rPr>
            </w:pPr>
          </w:p>
        </w:tc>
        <w:tc>
          <w:tcPr>
            <w:tcW w:w="900" w:type="dxa"/>
            <w:tcBorders>
              <w:top w:val="nil"/>
              <w:left w:val="nil"/>
              <w:bottom w:val="nil"/>
              <w:right w:val="nil"/>
            </w:tcBorders>
            <w:shd w:val="clear" w:color="auto" w:fill="auto"/>
            <w:noWrap/>
            <w:vAlign w:val="center"/>
          </w:tcPr>
          <w:p w14:paraId="6633C9BE" w14:textId="77777777" w:rsidR="008414E3" w:rsidRPr="009C2E43" w:rsidRDefault="008414E3" w:rsidP="009C2E43">
            <w:pPr>
              <w:spacing w:after="0" w:line="240" w:lineRule="auto"/>
              <w:jc w:val="center"/>
              <w:rPr>
                <w:rFonts w:ascii="Times New Roman" w:eastAsia="Calibri" w:hAnsi="Times New Roman" w:cs="Times New Roman"/>
                <w:kern w:val="0"/>
                <w:sz w:val="20"/>
                <w:szCs w:val="20"/>
                <w14:ligatures w14:val="none"/>
              </w:rPr>
            </w:pPr>
          </w:p>
        </w:tc>
        <w:tc>
          <w:tcPr>
            <w:tcW w:w="1810" w:type="dxa"/>
            <w:tcBorders>
              <w:top w:val="nil"/>
              <w:left w:val="nil"/>
              <w:bottom w:val="nil"/>
              <w:right w:val="nil"/>
            </w:tcBorders>
            <w:shd w:val="clear" w:color="auto" w:fill="auto"/>
            <w:noWrap/>
            <w:vAlign w:val="center"/>
          </w:tcPr>
          <w:p w14:paraId="6BCF7695" w14:textId="77777777" w:rsidR="008414E3" w:rsidRPr="009C2E43" w:rsidRDefault="008414E3" w:rsidP="009C2E43">
            <w:pPr>
              <w:spacing w:after="0" w:line="240" w:lineRule="auto"/>
              <w:jc w:val="center"/>
              <w:rPr>
                <w:rFonts w:ascii="Times New Roman" w:eastAsia="Calibri" w:hAnsi="Times New Roman" w:cs="Times New Roman"/>
                <w:kern w:val="0"/>
                <w:sz w:val="20"/>
                <w:szCs w:val="20"/>
                <w14:ligatures w14:val="none"/>
              </w:rPr>
            </w:pPr>
          </w:p>
        </w:tc>
        <w:tc>
          <w:tcPr>
            <w:tcW w:w="1067" w:type="dxa"/>
            <w:tcBorders>
              <w:top w:val="nil"/>
              <w:left w:val="nil"/>
              <w:bottom w:val="nil"/>
              <w:right w:val="nil"/>
            </w:tcBorders>
            <w:shd w:val="clear" w:color="auto" w:fill="auto"/>
            <w:noWrap/>
            <w:vAlign w:val="center"/>
          </w:tcPr>
          <w:p w14:paraId="110515F0" w14:textId="77777777" w:rsidR="008414E3" w:rsidRPr="009C2E43" w:rsidRDefault="008414E3" w:rsidP="009C2E43">
            <w:pPr>
              <w:spacing w:after="0" w:line="240" w:lineRule="auto"/>
              <w:jc w:val="center"/>
              <w:rPr>
                <w:rFonts w:ascii="Times New Roman" w:eastAsia="Calibri" w:hAnsi="Times New Roman" w:cs="Times New Roman"/>
                <w:kern w:val="0"/>
                <w:sz w:val="20"/>
                <w:szCs w:val="20"/>
                <w14:ligatures w14:val="none"/>
              </w:rPr>
            </w:pPr>
          </w:p>
        </w:tc>
        <w:tc>
          <w:tcPr>
            <w:tcW w:w="1353" w:type="dxa"/>
            <w:tcBorders>
              <w:top w:val="nil"/>
              <w:left w:val="nil"/>
              <w:bottom w:val="nil"/>
              <w:right w:val="nil"/>
            </w:tcBorders>
            <w:shd w:val="clear" w:color="auto" w:fill="auto"/>
            <w:noWrap/>
            <w:vAlign w:val="bottom"/>
          </w:tcPr>
          <w:p w14:paraId="0B274992" w14:textId="77777777" w:rsidR="008414E3" w:rsidRPr="009C2E43" w:rsidRDefault="008414E3" w:rsidP="009C2E43">
            <w:pPr>
              <w:spacing w:after="0" w:line="240" w:lineRule="auto"/>
              <w:jc w:val="center"/>
              <w:rPr>
                <w:rFonts w:ascii="Times New Roman" w:eastAsia="Calibri" w:hAnsi="Times New Roman" w:cs="Times New Roman"/>
                <w:color w:val="000000"/>
                <w:kern w:val="0"/>
                <w14:ligatures w14:val="none"/>
              </w:rPr>
            </w:pPr>
          </w:p>
        </w:tc>
      </w:tr>
      <w:tr w:rsidR="009C2E43" w:rsidRPr="009C2E43" w14:paraId="44F8491F" w14:textId="77777777" w:rsidTr="008414E3">
        <w:trPr>
          <w:trHeight w:val="318"/>
        </w:trPr>
        <w:tc>
          <w:tcPr>
            <w:tcW w:w="4590" w:type="dxa"/>
            <w:tcBorders>
              <w:top w:val="nil"/>
              <w:left w:val="nil"/>
              <w:bottom w:val="nil"/>
              <w:right w:val="nil"/>
            </w:tcBorders>
            <w:shd w:val="clear" w:color="auto" w:fill="auto"/>
            <w:noWrap/>
            <w:vAlign w:val="bottom"/>
            <w:hideMark/>
          </w:tcPr>
          <w:p w14:paraId="429F98E9" w14:textId="77777777" w:rsidR="009C2E43" w:rsidRPr="009C2E43" w:rsidRDefault="009C2E43" w:rsidP="009C2E43">
            <w:pPr>
              <w:spacing w:after="0" w:line="240" w:lineRule="auto"/>
              <w:rPr>
                <w:rFonts w:ascii="Times New Roman" w:eastAsia="Calibri" w:hAnsi="Times New Roman" w:cs="Times New Roman"/>
                <w:b/>
                <w:bCs/>
                <w:color w:val="000000"/>
                <w:kern w:val="0"/>
                <w14:ligatures w14:val="none"/>
              </w:rPr>
            </w:pPr>
            <w:r w:rsidRPr="009C2E43">
              <w:rPr>
                <w:rFonts w:ascii="Times New Roman" w:eastAsia="Calibri" w:hAnsi="Times New Roman" w:cs="Times New Roman"/>
                <w:b/>
                <w:bCs/>
                <w:color w:val="000000"/>
                <w:kern w:val="0"/>
                <w14:ligatures w14:val="none"/>
              </w:rPr>
              <w:lastRenderedPageBreak/>
              <w:t>Occupational Exposure to Diesel Exhaust</w:t>
            </w:r>
          </w:p>
        </w:tc>
        <w:tc>
          <w:tcPr>
            <w:tcW w:w="756" w:type="dxa"/>
            <w:tcBorders>
              <w:top w:val="nil"/>
              <w:left w:val="nil"/>
              <w:bottom w:val="nil"/>
              <w:right w:val="nil"/>
            </w:tcBorders>
            <w:shd w:val="clear" w:color="auto" w:fill="auto"/>
            <w:noWrap/>
            <w:vAlign w:val="center"/>
            <w:hideMark/>
          </w:tcPr>
          <w:p w14:paraId="7FB9E7A6" w14:textId="77777777" w:rsidR="009C2E43" w:rsidRPr="009C2E43" w:rsidRDefault="009C2E43" w:rsidP="009C2E43">
            <w:pPr>
              <w:spacing w:after="0" w:line="240" w:lineRule="auto"/>
              <w:rPr>
                <w:rFonts w:ascii="Times New Roman" w:eastAsia="Calibri" w:hAnsi="Times New Roman" w:cs="Times New Roman"/>
                <w:b/>
                <w:bCs/>
                <w:color w:val="000000"/>
                <w:kern w:val="0"/>
                <w14:ligatures w14:val="none"/>
              </w:rPr>
            </w:pPr>
          </w:p>
        </w:tc>
        <w:tc>
          <w:tcPr>
            <w:tcW w:w="1800" w:type="dxa"/>
            <w:tcBorders>
              <w:top w:val="nil"/>
              <w:left w:val="nil"/>
              <w:bottom w:val="nil"/>
              <w:right w:val="nil"/>
            </w:tcBorders>
            <w:shd w:val="clear" w:color="auto" w:fill="auto"/>
            <w:noWrap/>
            <w:vAlign w:val="center"/>
            <w:hideMark/>
          </w:tcPr>
          <w:p w14:paraId="19F8D6AD"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p>
        </w:tc>
        <w:tc>
          <w:tcPr>
            <w:tcW w:w="1080" w:type="dxa"/>
            <w:tcBorders>
              <w:top w:val="nil"/>
              <w:left w:val="nil"/>
              <w:bottom w:val="nil"/>
              <w:right w:val="nil"/>
            </w:tcBorders>
            <w:shd w:val="clear" w:color="auto" w:fill="auto"/>
            <w:noWrap/>
            <w:vAlign w:val="center"/>
            <w:hideMark/>
          </w:tcPr>
          <w:p w14:paraId="7A5058A0"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p>
        </w:tc>
        <w:tc>
          <w:tcPr>
            <w:tcW w:w="900" w:type="dxa"/>
            <w:tcBorders>
              <w:top w:val="nil"/>
              <w:left w:val="nil"/>
              <w:bottom w:val="nil"/>
              <w:right w:val="nil"/>
            </w:tcBorders>
            <w:shd w:val="clear" w:color="auto" w:fill="auto"/>
            <w:noWrap/>
            <w:vAlign w:val="center"/>
            <w:hideMark/>
          </w:tcPr>
          <w:p w14:paraId="7764F1A6"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p>
        </w:tc>
        <w:tc>
          <w:tcPr>
            <w:tcW w:w="1810" w:type="dxa"/>
            <w:tcBorders>
              <w:top w:val="nil"/>
              <w:left w:val="nil"/>
              <w:bottom w:val="nil"/>
              <w:right w:val="nil"/>
            </w:tcBorders>
            <w:shd w:val="clear" w:color="auto" w:fill="auto"/>
            <w:noWrap/>
            <w:vAlign w:val="center"/>
            <w:hideMark/>
          </w:tcPr>
          <w:p w14:paraId="76977380"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p>
        </w:tc>
        <w:tc>
          <w:tcPr>
            <w:tcW w:w="1067" w:type="dxa"/>
            <w:tcBorders>
              <w:top w:val="nil"/>
              <w:left w:val="nil"/>
              <w:bottom w:val="nil"/>
              <w:right w:val="nil"/>
            </w:tcBorders>
            <w:shd w:val="clear" w:color="auto" w:fill="auto"/>
            <w:noWrap/>
            <w:vAlign w:val="center"/>
            <w:hideMark/>
          </w:tcPr>
          <w:p w14:paraId="2B36DBA1" w14:textId="77777777" w:rsidR="009C2E43" w:rsidRPr="009C2E43" w:rsidRDefault="009C2E43" w:rsidP="009C2E43">
            <w:pPr>
              <w:spacing w:after="0" w:line="240" w:lineRule="auto"/>
              <w:jc w:val="center"/>
              <w:rPr>
                <w:rFonts w:ascii="Times New Roman" w:eastAsia="Calibri" w:hAnsi="Times New Roman" w:cs="Times New Roman"/>
                <w:kern w:val="0"/>
                <w:sz w:val="20"/>
                <w:szCs w:val="20"/>
                <w14:ligatures w14:val="none"/>
              </w:rPr>
            </w:pPr>
          </w:p>
        </w:tc>
        <w:tc>
          <w:tcPr>
            <w:tcW w:w="1353" w:type="dxa"/>
            <w:tcBorders>
              <w:top w:val="nil"/>
              <w:left w:val="nil"/>
              <w:bottom w:val="nil"/>
              <w:right w:val="nil"/>
            </w:tcBorders>
            <w:shd w:val="clear" w:color="auto" w:fill="auto"/>
            <w:noWrap/>
            <w:vAlign w:val="bottom"/>
            <w:hideMark/>
          </w:tcPr>
          <w:p w14:paraId="72947924"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0.0126</w:t>
            </w:r>
          </w:p>
        </w:tc>
      </w:tr>
      <w:tr w:rsidR="009C2E43" w:rsidRPr="009C2E43" w14:paraId="55974F77" w14:textId="77777777" w:rsidTr="008414E3">
        <w:trPr>
          <w:trHeight w:val="318"/>
        </w:trPr>
        <w:tc>
          <w:tcPr>
            <w:tcW w:w="4590" w:type="dxa"/>
            <w:tcBorders>
              <w:top w:val="nil"/>
              <w:left w:val="nil"/>
              <w:bottom w:val="nil"/>
              <w:right w:val="nil"/>
            </w:tcBorders>
            <w:shd w:val="clear" w:color="auto" w:fill="auto"/>
            <w:noWrap/>
            <w:vAlign w:val="bottom"/>
            <w:hideMark/>
          </w:tcPr>
          <w:p w14:paraId="041A0B99" w14:textId="77777777" w:rsidR="009C2E43" w:rsidRPr="009C2E43" w:rsidRDefault="009C2E43" w:rsidP="009C2E43">
            <w:pPr>
              <w:spacing w:after="0" w:line="240" w:lineRule="auto"/>
              <w:ind w:left="720"/>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Yes</w:t>
            </w:r>
          </w:p>
        </w:tc>
        <w:tc>
          <w:tcPr>
            <w:tcW w:w="756" w:type="dxa"/>
            <w:tcBorders>
              <w:top w:val="nil"/>
              <w:left w:val="nil"/>
              <w:bottom w:val="nil"/>
              <w:right w:val="nil"/>
            </w:tcBorders>
            <w:shd w:val="clear" w:color="auto" w:fill="auto"/>
            <w:noWrap/>
            <w:vAlign w:val="center"/>
            <w:hideMark/>
          </w:tcPr>
          <w:p w14:paraId="763B9E2E"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1.243</w:t>
            </w:r>
          </w:p>
        </w:tc>
        <w:tc>
          <w:tcPr>
            <w:tcW w:w="1800" w:type="dxa"/>
            <w:tcBorders>
              <w:top w:val="nil"/>
              <w:left w:val="nil"/>
              <w:bottom w:val="nil"/>
              <w:right w:val="nil"/>
            </w:tcBorders>
            <w:shd w:val="clear" w:color="auto" w:fill="auto"/>
            <w:noWrap/>
            <w:vAlign w:val="center"/>
            <w:hideMark/>
          </w:tcPr>
          <w:p w14:paraId="6830545A"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1.060, 1.460</w:t>
            </w:r>
          </w:p>
        </w:tc>
        <w:tc>
          <w:tcPr>
            <w:tcW w:w="1080" w:type="dxa"/>
            <w:tcBorders>
              <w:top w:val="nil"/>
              <w:left w:val="nil"/>
              <w:bottom w:val="nil"/>
              <w:right w:val="nil"/>
            </w:tcBorders>
            <w:shd w:val="clear" w:color="auto" w:fill="auto"/>
            <w:noWrap/>
            <w:vAlign w:val="center"/>
            <w:hideMark/>
          </w:tcPr>
          <w:p w14:paraId="2120F476"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0.0075</w:t>
            </w:r>
          </w:p>
        </w:tc>
        <w:tc>
          <w:tcPr>
            <w:tcW w:w="900" w:type="dxa"/>
            <w:tcBorders>
              <w:top w:val="nil"/>
              <w:left w:val="nil"/>
              <w:bottom w:val="nil"/>
              <w:right w:val="nil"/>
            </w:tcBorders>
            <w:shd w:val="clear" w:color="auto" w:fill="auto"/>
            <w:noWrap/>
            <w:vAlign w:val="center"/>
            <w:hideMark/>
          </w:tcPr>
          <w:p w14:paraId="084F1EB3"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1.273</w:t>
            </w:r>
          </w:p>
        </w:tc>
        <w:tc>
          <w:tcPr>
            <w:tcW w:w="1810" w:type="dxa"/>
            <w:tcBorders>
              <w:top w:val="nil"/>
              <w:left w:val="nil"/>
              <w:bottom w:val="nil"/>
              <w:right w:val="nil"/>
            </w:tcBorders>
            <w:shd w:val="clear" w:color="auto" w:fill="auto"/>
            <w:noWrap/>
            <w:vAlign w:val="center"/>
            <w:hideMark/>
          </w:tcPr>
          <w:p w14:paraId="5E59659C"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1.016, 1.594</w:t>
            </w:r>
          </w:p>
        </w:tc>
        <w:tc>
          <w:tcPr>
            <w:tcW w:w="1067" w:type="dxa"/>
            <w:tcBorders>
              <w:top w:val="nil"/>
              <w:left w:val="nil"/>
              <w:bottom w:val="nil"/>
              <w:right w:val="nil"/>
            </w:tcBorders>
            <w:shd w:val="clear" w:color="auto" w:fill="auto"/>
            <w:noWrap/>
            <w:vAlign w:val="center"/>
            <w:hideMark/>
          </w:tcPr>
          <w:p w14:paraId="269BEE6F"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0.0357</w:t>
            </w:r>
          </w:p>
        </w:tc>
        <w:tc>
          <w:tcPr>
            <w:tcW w:w="1353" w:type="dxa"/>
            <w:tcBorders>
              <w:top w:val="nil"/>
              <w:left w:val="nil"/>
              <w:bottom w:val="nil"/>
              <w:right w:val="nil"/>
            </w:tcBorders>
            <w:shd w:val="clear" w:color="auto" w:fill="auto"/>
            <w:noWrap/>
            <w:vAlign w:val="bottom"/>
            <w:hideMark/>
          </w:tcPr>
          <w:p w14:paraId="4716ED38"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r>
      <w:tr w:rsidR="009C2E43" w:rsidRPr="009C2E43" w14:paraId="1F9FBE11" w14:textId="77777777" w:rsidTr="00921D81">
        <w:trPr>
          <w:trHeight w:val="318"/>
        </w:trPr>
        <w:tc>
          <w:tcPr>
            <w:tcW w:w="4590" w:type="dxa"/>
            <w:tcBorders>
              <w:top w:val="nil"/>
              <w:left w:val="nil"/>
              <w:bottom w:val="single" w:sz="12" w:space="0" w:color="auto"/>
              <w:right w:val="nil"/>
            </w:tcBorders>
            <w:shd w:val="clear" w:color="auto" w:fill="auto"/>
            <w:noWrap/>
            <w:vAlign w:val="bottom"/>
          </w:tcPr>
          <w:p w14:paraId="28D06512" w14:textId="77777777" w:rsidR="009C2E43" w:rsidRPr="009C2E43" w:rsidRDefault="009C2E43" w:rsidP="009C2E43">
            <w:pPr>
              <w:spacing w:after="0" w:line="240" w:lineRule="auto"/>
              <w:ind w:left="720"/>
              <w:rPr>
                <w:rFonts w:ascii="Times New Roman" w:eastAsia="Calibri" w:hAnsi="Times New Roman" w:cs="Times New Roman"/>
                <w:color w:val="000000"/>
                <w:kern w:val="0"/>
                <w14:ligatures w14:val="none"/>
              </w:rPr>
            </w:pPr>
            <w:r w:rsidRPr="009C2E43">
              <w:rPr>
                <w:rFonts w:ascii="Times New Roman" w:eastAsia="Calibri" w:hAnsi="Times New Roman" w:cs="Times New Roman"/>
                <w:color w:val="000000"/>
                <w:kern w:val="0"/>
                <w14:ligatures w14:val="none"/>
              </w:rPr>
              <w:t>No</w:t>
            </w:r>
          </w:p>
        </w:tc>
        <w:tc>
          <w:tcPr>
            <w:tcW w:w="7413" w:type="dxa"/>
            <w:gridSpan w:val="6"/>
            <w:tcBorders>
              <w:top w:val="nil"/>
              <w:left w:val="nil"/>
              <w:bottom w:val="single" w:sz="12" w:space="0" w:color="auto"/>
              <w:right w:val="nil"/>
            </w:tcBorders>
            <w:shd w:val="clear" w:color="auto" w:fill="auto"/>
            <w:noWrap/>
            <w:vAlign w:val="center"/>
          </w:tcPr>
          <w:p w14:paraId="5DC21909"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r w:rsidRPr="009C2E43">
              <w:rPr>
                <w:rFonts w:ascii="Times New Roman" w:eastAsia="Calibri" w:hAnsi="Times New Roman" w:cs="Times New Roman"/>
                <w:i/>
                <w:iCs/>
                <w:color w:val="000000"/>
                <w:kern w:val="0"/>
                <w14:ligatures w14:val="none"/>
              </w:rPr>
              <w:t>Reference</w:t>
            </w:r>
          </w:p>
        </w:tc>
        <w:tc>
          <w:tcPr>
            <w:tcW w:w="1353" w:type="dxa"/>
            <w:tcBorders>
              <w:top w:val="nil"/>
              <w:left w:val="nil"/>
              <w:bottom w:val="single" w:sz="12" w:space="0" w:color="auto"/>
              <w:right w:val="nil"/>
            </w:tcBorders>
            <w:shd w:val="clear" w:color="auto" w:fill="auto"/>
            <w:noWrap/>
            <w:vAlign w:val="bottom"/>
          </w:tcPr>
          <w:p w14:paraId="7A4762A1" w14:textId="77777777" w:rsidR="009C2E43" w:rsidRPr="009C2E43" w:rsidRDefault="009C2E43" w:rsidP="009C2E43">
            <w:pPr>
              <w:spacing w:after="0" w:line="240" w:lineRule="auto"/>
              <w:jc w:val="center"/>
              <w:rPr>
                <w:rFonts w:ascii="Times New Roman" w:eastAsia="Calibri" w:hAnsi="Times New Roman" w:cs="Times New Roman"/>
                <w:color w:val="000000"/>
                <w:kern w:val="0"/>
                <w14:ligatures w14:val="none"/>
              </w:rPr>
            </w:pPr>
          </w:p>
        </w:tc>
      </w:tr>
    </w:tbl>
    <w:p w14:paraId="3BF2A8BC" w14:textId="5F1C3699" w:rsidR="004A7120" w:rsidRDefault="004A7120" w:rsidP="00DD6419">
      <w:pPr>
        <w:spacing w:line="480" w:lineRule="auto"/>
        <w:ind w:firstLine="640"/>
        <w:rPr>
          <w:rFonts w:ascii="Times New Roman" w:hAnsi="Times New Roman" w:cs="Times New Roman"/>
          <w:iCs/>
        </w:rPr>
      </w:pPr>
    </w:p>
    <w:p w14:paraId="1EFC330C" w14:textId="77777777" w:rsidR="004A7120" w:rsidRDefault="004A7120" w:rsidP="00DD6419">
      <w:pPr>
        <w:spacing w:line="480" w:lineRule="auto"/>
        <w:ind w:firstLine="640"/>
        <w:rPr>
          <w:rFonts w:ascii="Times New Roman" w:hAnsi="Times New Roman" w:cs="Times New Roman"/>
          <w:iCs/>
        </w:rPr>
      </w:pPr>
    </w:p>
    <w:p w14:paraId="1558596A" w14:textId="77777777" w:rsidR="004A7120" w:rsidRDefault="004A7120" w:rsidP="00DD6419">
      <w:pPr>
        <w:spacing w:line="480" w:lineRule="auto"/>
        <w:ind w:firstLine="640"/>
        <w:rPr>
          <w:rFonts w:ascii="Times New Roman" w:hAnsi="Times New Roman" w:cs="Times New Roman"/>
          <w:iCs/>
        </w:rPr>
        <w:sectPr w:rsidR="004A7120" w:rsidSect="009C2E43">
          <w:pgSz w:w="15840" w:h="12240" w:orient="landscape"/>
          <w:pgMar w:top="1440" w:right="1440" w:bottom="1440" w:left="1440" w:header="720" w:footer="720" w:gutter="0"/>
          <w:cols w:space="720"/>
          <w:docGrid w:linePitch="360"/>
        </w:sectPr>
      </w:pPr>
    </w:p>
    <w:p w14:paraId="568998FD" w14:textId="464C07F2" w:rsidR="00DD6419" w:rsidRPr="00DD6419" w:rsidRDefault="00DD6419" w:rsidP="00921D81">
      <w:pPr>
        <w:pStyle w:val="Heading3"/>
        <w:spacing w:before="0" w:after="0" w:line="480" w:lineRule="auto"/>
      </w:pPr>
      <w:bookmarkStart w:id="143" w:name="_Toc199884048"/>
      <w:bookmarkStart w:id="144" w:name="_Toc199884765"/>
      <w:bookmarkStart w:id="145" w:name="_Toc200097008"/>
      <w:r w:rsidRPr="00DD6419">
        <w:lastRenderedPageBreak/>
        <w:t>Discussion</w:t>
      </w:r>
      <w:bookmarkEnd w:id="143"/>
      <w:bookmarkEnd w:id="144"/>
      <w:bookmarkEnd w:id="145"/>
    </w:p>
    <w:p w14:paraId="77BEFD8B" w14:textId="170E3327" w:rsidR="00DD6419" w:rsidRPr="00DD6419" w:rsidRDefault="00DD6419" w:rsidP="00921D81">
      <w:pPr>
        <w:spacing w:after="0" w:line="480" w:lineRule="auto"/>
        <w:ind w:firstLine="720"/>
        <w:rPr>
          <w:rFonts w:ascii="Times New Roman" w:hAnsi="Times New Roman" w:cs="Times New Roman"/>
          <w:iCs/>
        </w:rPr>
      </w:pPr>
      <w:r w:rsidRPr="00DD6419">
        <w:rPr>
          <w:rFonts w:ascii="Times New Roman" w:hAnsi="Times New Roman" w:cs="Times New Roman"/>
          <w:iCs/>
        </w:rPr>
        <w:t>This study investigated predictors of COPD occurrence and severity among an occupational cohort of DOE former workers in the United States. The findings from this study will be useful for improving screening guidelines for occupational screening programs such as the National Supplemental Screening Program (NSSP).</w:t>
      </w:r>
    </w:p>
    <w:p w14:paraId="7511C351" w14:textId="16CD2527" w:rsidR="00DD6419" w:rsidRPr="00DD6419" w:rsidRDefault="00DD6419" w:rsidP="00921D81">
      <w:pPr>
        <w:spacing w:after="0" w:line="480" w:lineRule="auto"/>
        <w:ind w:firstLine="720"/>
        <w:rPr>
          <w:rFonts w:ascii="Times New Roman" w:hAnsi="Times New Roman" w:cs="Times New Roman"/>
          <w:iCs/>
        </w:rPr>
      </w:pPr>
      <w:r w:rsidRPr="00DD6419">
        <w:rPr>
          <w:rFonts w:ascii="Times New Roman" w:hAnsi="Times New Roman" w:cs="Times New Roman"/>
          <w:iCs/>
        </w:rPr>
        <w:t xml:space="preserve">The results of this study show that predictors of COPD occurrence and severity are quite similar in the NSSP population. Similar to reports from other studies </w:t>
      </w:r>
      <w:sdt>
        <w:sdtPr>
          <w:rPr>
            <w:rFonts w:ascii="Times New Roman" w:hAnsi="Times New Roman" w:cs="Times New Roman"/>
            <w:iCs/>
            <w:color w:val="000000"/>
          </w:rPr>
          <w:tag w:val="MENDELEY_CITATION_v3_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"/>
          <w:id w:val="-311714750"/>
          <w:placeholder>
            <w:docPart w:val="DF7C70C18BD001438A1BEC940192C86D"/>
          </w:placeholder>
        </w:sdtPr>
        <w:sdtEndPr/>
        <w:sdtContent>
          <w:r w:rsidR="00572E88" w:rsidRPr="00572E88">
            <w:rPr>
              <w:rFonts w:ascii="Times New Roman" w:hAnsi="Times New Roman" w:cs="Times New Roman"/>
              <w:iCs/>
              <w:color w:val="000000"/>
            </w:rPr>
            <w:t>[4,6,17,38,95,163,179]</w:t>
          </w:r>
        </w:sdtContent>
      </w:sdt>
      <w:r w:rsidRPr="00DD6419">
        <w:rPr>
          <w:rFonts w:ascii="Times New Roman" w:hAnsi="Times New Roman" w:cs="Times New Roman"/>
          <w:iCs/>
        </w:rPr>
        <w:t xml:space="preserve"> this study found significant associations between COPD and both smoking and age. Moreover, consistent with findings from several other studies </w:t>
      </w:r>
      <w:sdt>
        <w:sdtPr>
          <w:rPr>
            <w:rFonts w:ascii="Times New Roman" w:hAnsi="Times New Roman" w:cs="Times New Roman"/>
            <w:iCs/>
            <w:color w:val="000000"/>
          </w:rPr>
          <w:tag w:val="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"/>
          <w:id w:val="1429776224"/>
          <w:placeholder>
            <w:docPart w:val="DF7C70C18BD001438A1BEC940192C86D"/>
          </w:placeholder>
        </w:sdtPr>
        <w:sdtEndPr/>
        <w:sdtContent>
          <w:r w:rsidR="00572E88" w:rsidRPr="00572E88">
            <w:rPr>
              <w:rFonts w:ascii="Times New Roman" w:hAnsi="Times New Roman" w:cs="Times New Roman"/>
              <w:iCs/>
              <w:color w:val="000000"/>
            </w:rPr>
            <w:t>[38,97,180,181]</w:t>
          </w:r>
        </w:sdtContent>
      </w:sdt>
      <w:r w:rsidRPr="00DD6419">
        <w:rPr>
          <w:rFonts w:ascii="Times New Roman" w:hAnsi="Times New Roman" w:cs="Times New Roman"/>
          <w:iCs/>
        </w:rPr>
        <w:t xml:space="preserve">, this study found that, compared to normal BMI, low BMI (underweight) was associated with higher odds of COPD whereas high BMI (overweight/obese) was associated with lower odds of COPD. The associations between low BMI (vs normal BMI) and higher risks of both moderate and severe COPD, observed in this study, is consistent with reports from other studies </w:t>
      </w:r>
      <w:sdt>
        <w:sdtPr>
          <w:rPr>
            <w:rFonts w:ascii="Times New Roman" w:hAnsi="Times New Roman" w:cs="Times New Roman"/>
            <w:iCs/>
            <w:color w:val="000000"/>
          </w:rPr>
          <w:tag w:val="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"/>
          <w:id w:val="-99413458"/>
          <w:placeholder>
            <w:docPart w:val="DF7C70C18BD001438A1BEC940192C86D"/>
          </w:placeholder>
        </w:sdtPr>
        <w:sdtEndPr/>
        <w:sdtContent>
          <w:r w:rsidR="00572E88" w:rsidRPr="00572E88">
            <w:rPr>
              <w:rFonts w:ascii="Times New Roman" w:hAnsi="Times New Roman" w:cs="Times New Roman"/>
              <w:iCs/>
              <w:color w:val="000000"/>
            </w:rPr>
            <w:t>[182,183]</w:t>
          </w:r>
        </w:sdtContent>
      </w:sdt>
      <w:r w:rsidRPr="00DD6419">
        <w:rPr>
          <w:rFonts w:ascii="Times New Roman" w:hAnsi="Times New Roman" w:cs="Times New Roman"/>
          <w:iCs/>
        </w:rPr>
        <w:t xml:space="preserve">. However, this should be interpreted with caution due to potential reverse causation bias since severe COPD can lead to weight loss resulting in low BMI and therefore complicating interpretation </w:t>
      </w:r>
      <w:sdt>
        <w:sdtPr>
          <w:rPr>
            <w:rFonts w:ascii="Times New Roman" w:hAnsi="Times New Roman" w:cs="Times New Roman"/>
            <w:iCs/>
            <w:color w:val="000000"/>
          </w:rPr>
          <w:tag w:val="MENDELEY_CITATION_v3_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"/>
          <w:id w:val="-375624986"/>
          <w:placeholder>
            <w:docPart w:val="C1F9C3D52341EC4888AF53751F532724"/>
          </w:placeholder>
        </w:sdtPr>
        <w:sdtEndPr/>
        <w:sdtContent>
          <w:r w:rsidR="00572E88" w:rsidRPr="00572E88">
            <w:rPr>
              <w:rFonts w:ascii="Times New Roman" w:hAnsi="Times New Roman" w:cs="Times New Roman"/>
              <w:iCs/>
              <w:color w:val="000000"/>
            </w:rPr>
            <w:t>[184]</w:t>
          </w:r>
        </w:sdtContent>
      </w:sdt>
      <w:r w:rsidRPr="00DD6419">
        <w:rPr>
          <w:rFonts w:ascii="Times New Roman" w:hAnsi="Times New Roman" w:cs="Times New Roman"/>
          <w:iCs/>
        </w:rPr>
        <w:t xml:space="preserve">. Moreover, the cross-sectional nature of the study does not allow for assessment of temporality of events or causal inference </w:t>
      </w:r>
      <w:sdt>
        <w:sdtPr>
          <w:rPr>
            <w:rFonts w:ascii="Times New Roman" w:hAnsi="Times New Roman" w:cs="Times New Roman"/>
            <w:iCs/>
            <w:color w:val="000000"/>
          </w:rPr>
          <w:tag w:val="MENDELEY_CITATION_v3_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"/>
          <w:id w:val="459382368"/>
          <w:placeholder>
            <w:docPart w:val="C1F9C3D52341EC4888AF53751F532724"/>
          </w:placeholder>
        </w:sdtPr>
        <w:sdtEndPr/>
        <w:sdtContent>
          <w:r w:rsidR="00572E88" w:rsidRPr="00572E88">
            <w:rPr>
              <w:rFonts w:ascii="Times New Roman" w:hAnsi="Times New Roman" w:cs="Times New Roman"/>
              <w:iCs/>
              <w:color w:val="000000"/>
            </w:rPr>
            <w:t>[134]</w:t>
          </w:r>
        </w:sdtContent>
      </w:sdt>
      <w:r w:rsidRPr="00DD6419">
        <w:rPr>
          <w:rFonts w:ascii="Times New Roman" w:hAnsi="Times New Roman" w:cs="Times New Roman"/>
          <w:iCs/>
        </w:rPr>
        <w:t xml:space="preserve">. Therefore, further investigation is required to fully understand the association between BMI and COPD severity. It is worth noting that, in this study, there was no evidence of association between high BMI (overweight/obese) and lower risk of moderate or severe COPD, which has been reported by other studies </w:t>
      </w:r>
      <w:sdt>
        <w:sdtPr>
          <w:rPr>
            <w:rFonts w:ascii="Times New Roman" w:hAnsi="Times New Roman" w:cs="Times New Roman"/>
            <w:iCs/>
            <w:color w:val="000000"/>
          </w:rPr>
          <w:tag w:val="MENDELEY_CITATION_v3_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"/>
          <w:id w:val="481128151"/>
          <w:placeholder>
            <w:docPart w:val="DF7C70C18BD001438A1BEC940192C86D"/>
          </w:placeholder>
        </w:sdtPr>
        <w:sdtEndPr/>
        <w:sdtContent>
          <w:r w:rsidR="00572E88" w:rsidRPr="00572E88">
            <w:rPr>
              <w:rFonts w:ascii="Times New Roman" w:hAnsi="Times New Roman" w:cs="Times New Roman"/>
              <w:iCs/>
              <w:color w:val="000000"/>
            </w:rPr>
            <w:t>[183]</w:t>
          </w:r>
        </w:sdtContent>
      </w:sdt>
      <w:r w:rsidRPr="00DD6419">
        <w:rPr>
          <w:rFonts w:ascii="Times New Roman" w:hAnsi="Times New Roman" w:cs="Times New Roman"/>
          <w:iCs/>
        </w:rPr>
        <w:t xml:space="preserve">. </w:t>
      </w:r>
    </w:p>
    <w:p w14:paraId="457EE426" w14:textId="571715AB" w:rsidR="00DD6419" w:rsidRPr="00DD6419" w:rsidRDefault="00DD6419" w:rsidP="00921D81">
      <w:pPr>
        <w:spacing w:after="0" w:line="480" w:lineRule="auto"/>
        <w:ind w:firstLine="720"/>
        <w:rPr>
          <w:rFonts w:ascii="Times New Roman" w:hAnsi="Times New Roman" w:cs="Times New Roman"/>
          <w:iCs/>
        </w:rPr>
      </w:pPr>
      <w:r w:rsidRPr="00DD6419">
        <w:rPr>
          <w:rFonts w:ascii="Times New Roman" w:hAnsi="Times New Roman" w:cs="Times New Roman"/>
          <w:iCs/>
        </w:rPr>
        <w:t xml:space="preserve">The finding that history of asthma is a predictor of COPD occurrence and severity is consistent with results from a few other studies </w:t>
      </w:r>
      <w:sdt>
        <w:sdtPr>
          <w:rPr>
            <w:rFonts w:ascii="Times New Roman" w:hAnsi="Times New Roman" w:cs="Times New Roman"/>
            <w:iCs/>
            <w:color w:val="000000"/>
          </w:rPr>
          <w:tag w:val="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"/>
          <w:id w:val="321628255"/>
          <w:placeholder>
            <w:docPart w:val="DF7C70C18BD001438A1BEC940192C86D"/>
          </w:placeholder>
        </w:sdtPr>
        <w:sdtEndPr/>
        <w:sdtContent>
          <w:r w:rsidR="00572E88" w:rsidRPr="00572E88">
            <w:rPr>
              <w:rFonts w:ascii="Times New Roman" w:hAnsi="Times New Roman" w:cs="Times New Roman"/>
              <w:iCs/>
              <w:color w:val="000000"/>
            </w:rPr>
            <w:t>[148,149]</w:t>
          </w:r>
        </w:sdtContent>
      </w:sdt>
      <w:r w:rsidRPr="00DD6419">
        <w:rPr>
          <w:rFonts w:ascii="Times New Roman" w:hAnsi="Times New Roman" w:cs="Times New Roman"/>
          <w:iCs/>
        </w:rPr>
        <w:t xml:space="preserve"> although the underlying biological mechanism of the observed association between asthma and COPD is not well understood. Some </w:t>
      </w:r>
      <w:r w:rsidRPr="00DD6419">
        <w:rPr>
          <w:rFonts w:ascii="Times New Roman" w:hAnsi="Times New Roman" w:cs="Times New Roman"/>
          <w:iCs/>
        </w:rPr>
        <w:lastRenderedPageBreak/>
        <w:t xml:space="preserve">studies have suggested that history of asthma, particularly in childhood, may impact lung function over a lifetime possibly leading to COPD and possibly declining lung function, which could be indicative of more severe COPD </w:t>
      </w:r>
      <w:sdt>
        <w:sdtPr>
          <w:rPr>
            <w:rFonts w:ascii="Times New Roman" w:hAnsi="Times New Roman" w:cs="Times New Roman"/>
            <w:iCs/>
            <w:color w:val="000000"/>
          </w:rPr>
          <w:tag w:val="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"/>
          <w:id w:val="-688603128"/>
          <w:placeholder>
            <w:docPart w:val="DF7C70C18BD001438A1BEC940192C86D"/>
          </w:placeholder>
        </w:sdtPr>
        <w:sdtEndPr/>
        <w:sdtContent>
          <w:r w:rsidR="00572E88" w:rsidRPr="00572E88">
            <w:rPr>
              <w:rFonts w:ascii="Times New Roman" w:hAnsi="Times New Roman" w:cs="Times New Roman"/>
              <w:iCs/>
              <w:color w:val="000000"/>
            </w:rPr>
            <w:t>[149]</w:t>
          </w:r>
        </w:sdtContent>
      </w:sdt>
      <w:r w:rsidRPr="00DD6419">
        <w:rPr>
          <w:rFonts w:ascii="Times New Roman" w:hAnsi="Times New Roman" w:cs="Times New Roman"/>
          <w:iCs/>
        </w:rPr>
        <w:t xml:space="preserve">. In recent years, asthma-COPD overlap syndrome, in which both asthma and COPD occur simultaneously in the same individual, has begun to be recognized as a distinct condition that may have different implications for disease progression than COPD or asthma alone </w:t>
      </w:r>
      <w:sdt>
        <w:sdtPr>
          <w:rPr>
            <w:rFonts w:ascii="Times New Roman" w:hAnsi="Times New Roman" w:cs="Times New Roman"/>
            <w:iCs/>
            <w:color w:val="000000"/>
          </w:rPr>
          <w:tag w:val="MENDELEY_CITATION_v3_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"/>
          <w:id w:val="-1801066488"/>
          <w:placeholder>
            <w:docPart w:val="DF7C70C18BD001438A1BEC940192C86D"/>
          </w:placeholder>
        </w:sdtPr>
        <w:sdtEndPr/>
        <w:sdtContent>
          <w:r w:rsidR="00572E88" w:rsidRPr="00572E88">
            <w:rPr>
              <w:rFonts w:ascii="Times New Roman" w:hAnsi="Times New Roman" w:cs="Times New Roman"/>
              <w:iCs/>
              <w:color w:val="000000"/>
            </w:rPr>
            <w:t>[6,150,151]</w:t>
          </w:r>
        </w:sdtContent>
      </w:sdt>
      <w:r w:rsidRPr="00DD6419">
        <w:rPr>
          <w:rFonts w:ascii="Times New Roman" w:hAnsi="Times New Roman" w:cs="Times New Roman"/>
          <w:iCs/>
        </w:rPr>
        <w:t xml:space="preserve">. While consensus definition of asthma and COPD overlap syndrome is limited, a broad definition of chronic respiratory disease with clinical features of both asthma and COPD is generally agreed </w:t>
      </w:r>
      <w:sdt>
        <w:sdtPr>
          <w:rPr>
            <w:rFonts w:ascii="Times New Roman" w:hAnsi="Times New Roman" w:cs="Times New Roman"/>
            <w:iCs/>
            <w:color w:val="000000"/>
          </w:rPr>
          <w:tag w:val="MENDELEY_CITATION_v3_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"/>
          <w:id w:val="-331450051"/>
          <w:placeholder>
            <w:docPart w:val="10385649CA98D740B9518E13433D34DC"/>
          </w:placeholder>
        </w:sdtPr>
        <w:sdtEndPr/>
        <w:sdtContent>
          <w:r w:rsidR="00572E88" w:rsidRPr="00572E88">
            <w:rPr>
              <w:rFonts w:ascii="Times New Roman" w:hAnsi="Times New Roman" w:cs="Times New Roman"/>
              <w:iCs/>
              <w:color w:val="000000"/>
            </w:rPr>
            <w:t>[185]</w:t>
          </w:r>
        </w:sdtContent>
      </w:sdt>
      <w:r w:rsidRPr="00DD6419">
        <w:rPr>
          <w:rFonts w:ascii="Times New Roman" w:hAnsi="Times New Roman" w:cs="Times New Roman"/>
          <w:iCs/>
        </w:rPr>
        <w:t xml:space="preserve">. However, other qualifications can include semi-reversible airflow limitation, increased eosinophil counts, a history of asthma, a history of smoking or atopy </w:t>
      </w:r>
      <w:sdt>
        <w:sdtPr>
          <w:rPr>
            <w:rFonts w:ascii="Times New Roman" w:hAnsi="Times New Roman" w:cs="Times New Roman"/>
            <w:iCs/>
            <w:color w:val="000000"/>
          </w:rPr>
          <w:tag w:val="MENDELEY_CITATION_v3_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"/>
          <w:id w:val="-1884325511"/>
          <w:placeholder>
            <w:docPart w:val="C1F9C3D52341EC4888AF53751F532724"/>
          </w:placeholder>
        </w:sdtPr>
        <w:sdtEndPr/>
        <w:sdtContent>
          <w:r w:rsidR="00572E88" w:rsidRPr="00572E88">
            <w:rPr>
              <w:rFonts w:ascii="Times New Roman" w:hAnsi="Times New Roman" w:cs="Times New Roman"/>
              <w:iCs/>
              <w:color w:val="000000"/>
            </w:rPr>
            <w:t>[185]</w:t>
          </w:r>
        </w:sdtContent>
      </w:sdt>
      <w:r w:rsidRPr="00DD6419">
        <w:rPr>
          <w:rFonts w:ascii="Times New Roman" w:hAnsi="Times New Roman" w:cs="Times New Roman"/>
          <w:iCs/>
        </w:rPr>
        <w:t xml:space="preserve">. Since we could not investigate other clinical features and temporality in the current study, it remains unclear whether the identified association is the result of asthma-COPD overlap syndrome or historical asthma affecting long term lung function leading to the eventual development of COPD. </w:t>
      </w:r>
    </w:p>
    <w:p w14:paraId="0E2DFAF6" w14:textId="2BA72C6C" w:rsidR="00DD6419" w:rsidRDefault="00DD6419" w:rsidP="00921D81">
      <w:pPr>
        <w:spacing w:after="0" w:line="480" w:lineRule="auto"/>
        <w:ind w:firstLine="720"/>
        <w:rPr>
          <w:rFonts w:ascii="Times New Roman" w:hAnsi="Times New Roman" w:cs="Times New Roman"/>
          <w:iCs/>
        </w:rPr>
      </w:pPr>
      <w:r w:rsidRPr="00DD6419">
        <w:rPr>
          <w:rFonts w:ascii="Times New Roman" w:hAnsi="Times New Roman" w:cs="Times New Roman"/>
          <w:iCs/>
        </w:rPr>
        <w:t xml:space="preserve">In this study, several occupational exposures had significant associations with COPD occurrence or severity. A study by Dement et al. reported that certain types of trades such as masons (cement, brick, plaster, etc.), mechanics, and carpenters had higher odds of COPD in older DOE construction workers compared to non-construction workers </w:t>
      </w:r>
      <w:sdt>
        <w:sdtPr>
          <w:rPr>
            <w:rFonts w:ascii="Times New Roman" w:hAnsi="Times New Roman" w:cs="Times New Roman"/>
            <w:iCs/>
            <w:color w:val="000000"/>
          </w:rPr>
          <w:tag w:val="MENDELEY_CITATION_v3_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"/>
          <w:id w:val="502321341"/>
          <w:placeholder>
            <w:docPart w:val="DF7C70C18BD001438A1BEC940192C86D"/>
          </w:placeholder>
        </w:sdtPr>
        <w:sdtEndPr/>
        <w:sdtContent>
          <w:r w:rsidR="00572E88" w:rsidRPr="00572E88">
            <w:rPr>
              <w:rFonts w:ascii="Times New Roman" w:hAnsi="Times New Roman" w:cs="Times New Roman"/>
              <w:iCs/>
              <w:color w:val="000000"/>
            </w:rPr>
            <w:t>[186]</w:t>
          </w:r>
        </w:sdtContent>
      </w:sdt>
      <w:r w:rsidRPr="00DD6419">
        <w:rPr>
          <w:rFonts w:ascii="Times New Roman" w:hAnsi="Times New Roman" w:cs="Times New Roman"/>
          <w:iCs/>
        </w:rPr>
        <w:t xml:space="preserve">. This is consistent with the observed association between COPD occurrence and occupational exposure to silica dust in this study. Moreover, silica dust has also been reported to have an association with restrictive lung diseases such as silicosis </w:t>
      </w:r>
      <w:sdt>
        <w:sdtPr>
          <w:rPr>
            <w:rFonts w:ascii="Times New Roman" w:hAnsi="Times New Roman" w:cs="Times New Roman"/>
            <w:iCs/>
            <w:color w:val="000000"/>
          </w:rPr>
          <w:tag w:val="MENDELEY_CITATION_v3_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"/>
          <w:id w:val="-143966904"/>
          <w:placeholder>
            <w:docPart w:val="DF7C70C18BD001438A1BEC940192C86D"/>
          </w:placeholder>
        </w:sdtPr>
        <w:sdtEndPr/>
        <w:sdtContent>
          <w:r w:rsidR="00572E88" w:rsidRPr="00572E88">
            <w:rPr>
              <w:rFonts w:ascii="Times New Roman" w:hAnsi="Times New Roman" w:cs="Times New Roman"/>
              <w:iCs/>
              <w:color w:val="000000"/>
            </w:rPr>
            <w:t>[187]</w:t>
          </w:r>
        </w:sdtContent>
      </w:sdt>
      <w:r w:rsidRPr="00DD6419">
        <w:rPr>
          <w:rFonts w:ascii="Times New Roman" w:hAnsi="Times New Roman" w:cs="Times New Roman"/>
          <w:iCs/>
        </w:rPr>
        <w:t xml:space="preserve">. Suffice it to say that the findings from the current study are consistent with those from several other studies </w:t>
      </w:r>
      <w:sdt>
        <w:sdtPr>
          <w:rPr>
            <w:rFonts w:ascii="Times New Roman" w:hAnsi="Times New Roman" w:cs="Times New Roman"/>
            <w:iCs/>
            <w:color w:val="000000"/>
          </w:rPr>
          <w:tag w:val="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"/>
          <w:id w:val="1958679198"/>
          <w:placeholder>
            <w:docPart w:val="DF7C70C18BD001438A1BEC940192C86D"/>
          </w:placeholder>
        </w:sdtPr>
        <w:sdtEndPr/>
        <w:sdtContent>
          <w:r w:rsidR="00572E88" w:rsidRPr="00572E88">
            <w:rPr>
              <w:rFonts w:ascii="Times New Roman" w:hAnsi="Times New Roman" w:cs="Times New Roman"/>
              <w:iCs/>
              <w:color w:val="000000"/>
            </w:rPr>
            <w:t>[13,188,189]</w:t>
          </w:r>
        </w:sdtContent>
      </w:sdt>
      <w:r w:rsidRPr="00DD6419">
        <w:rPr>
          <w:rFonts w:ascii="Times New Roman" w:hAnsi="Times New Roman" w:cs="Times New Roman"/>
          <w:iCs/>
        </w:rPr>
        <w:t xml:space="preserve"> that reported associations between silica dust and occurrence of obstructive lung conditions, including COPD. Contrary to reports from other published literature </w:t>
      </w:r>
      <w:sdt>
        <w:sdtPr>
          <w:rPr>
            <w:rFonts w:ascii="Times New Roman" w:hAnsi="Times New Roman" w:cs="Times New Roman"/>
            <w:iCs/>
            <w:color w:val="000000"/>
          </w:rPr>
          <w:tag w:val="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"/>
          <w:id w:val="187577004"/>
          <w:placeholder>
            <w:docPart w:val="DF7C70C18BD001438A1BEC940192C86D"/>
          </w:placeholder>
        </w:sdtPr>
        <w:sdtEndPr/>
        <w:sdtContent>
          <w:r w:rsidR="00572E88" w:rsidRPr="00572E88">
            <w:rPr>
              <w:rFonts w:ascii="Times New Roman" w:hAnsi="Times New Roman" w:cs="Times New Roman"/>
              <w:iCs/>
              <w:color w:val="000000"/>
            </w:rPr>
            <w:t>[158,190–192]</w:t>
          </w:r>
        </w:sdtContent>
      </w:sdt>
      <w:r w:rsidRPr="00DD6419">
        <w:rPr>
          <w:rFonts w:ascii="Times New Roman" w:hAnsi="Times New Roman" w:cs="Times New Roman"/>
          <w:iCs/>
        </w:rPr>
        <w:t xml:space="preserve">, the current study observed an association </w:t>
      </w:r>
      <w:r w:rsidRPr="00DD6419">
        <w:rPr>
          <w:rFonts w:ascii="Times New Roman" w:hAnsi="Times New Roman" w:cs="Times New Roman"/>
          <w:iCs/>
        </w:rPr>
        <w:lastRenderedPageBreak/>
        <w:t xml:space="preserve">between diesel exhaust exposure and higher COPD severity. However, a previous study by Zhang et al. did examine long-term effects of diesel exhaust on lung function and reported a significant association between decreased lung function and diesel exhaust exposure </w:t>
      </w:r>
      <w:sdt>
        <w:sdtPr>
          <w:rPr>
            <w:rFonts w:ascii="Times New Roman" w:hAnsi="Times New Roman" w:cs="Times New Roman"/>
            <w:iCs/>
            <w:color w:val="000000"/>
          </w:rPr>
          <w:tag w:val="MENDELEY_CITATION_v3_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"/>
          <w:id w:val="80721451"/>
          <w:placeholder>
            <w:docPart w:val="DF7C70C18BD001438A1BEC940192C86D"/>
          </w:placeholder>
        </w:sdtPr>
        <w:sdtEndPr/>
        <w:sdtContent>
          <w:r w:rsidR="00572E88" w:rsidRPr="00572E88">
            <w:rPr>
              <w:rFonts w:ascii="Times New Roman" w:hAnsi="Times New Roman" w:cs="Times New Roman"/>
              <w:iCs/>
              <w:color w:val="000000"/>
            </w:rPr>
            <w:t>[191]</w:t>
          </w:r>
        </w:sdtContent>
      </w:sdt>
      <w:r w:rsidRPr="00DD6419">
        <w:rPr>
          <w:rFonts w:ascii="Times New Roman" w:hAnsi="Times New Roman" w:cs="Times New Roman"/>
          <w:iCs/>
        </w:rPr>
        <w:t>. Since the severity level of COPD is based on grading lung function measurements, specifically the forced expiratory volume in one second (FEV</w:t>
      </w:r>
      <w:r w:rsidRPr="00DD6419">
        <w:rPr>
          <w:rFonts w:ascii="Times New Roman" w:hAnsi="Times New Roman" w:cs="Times New Roman"/>
          <w:iCs/>
          <w:vertAlign w:val="subscript"/>
        </w:rPr>
        <w:t>1</w:t>
      </w:r>
      <w:r w:rsidRPr="00DD6419">
        <w:rPr>
          <w:rFonts w:ascii="Times New Roman" w:hAnsi="Times New Roman" w:cs="Times New Roman"/>
          <w:iCs/>
        </w:rPr>
        <w:t xml:space="preserve">), the results of the current study seem to support those of Zhang et al. </w:t>
      </w:r>
      <w:sdt>
        <w:sdtPr>
          <w:rPr>
            <w:rFonts w:ascii="Times New Roman" w:hAnsi="Times New Roman" w:cs="Times New Roman"/>
            <w:iCs/>
            <w:color w:val="000000"/>
          </w:rPr>
          <w:tag w:val="MENDELEY_CITATION_v3_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"/>
          <w:id w:val="-1081441901"/>
          <w:placeholder>
            <w:docPart w:val="DF7C70C18BD001438A1BEC940192C86D"/>
          </w:placeholder>
        </w:sdtPr>
        <w:sdtEndPr/>
        <w:sdtContent>
          <w:r w:rsidR="00572E88" w:rsidRPr="00572E88">
            <w:rPr>
              <w:rFonts w:ascii="Times New Roman" w:hAnsi="Times New Roman" w:cs="Times New Roman"/>
              <w:iCs/>
              <w:color w:val="000000"/>
            </w:rPr>
            <w:t>[191]</w:t>
          </w:r>
        </w:sdtContent>
      </w:sdt>
      <w:r w:rsidRPr="00DD6419">
        <w:rPr>
          <w:rFonts w:ascii="Times New Roman" w:hAnsi="Times New Roman" w:cs="Times New Roman"/>
          <w:iCs/>
        </w:rPr>
        <w:t>.</w:t>
      </w:r>
    </w:p>
    <w:p w14:paraId="49FFD76B" w14:textId="77777777" w:rsidR="00753DC6" w:rsidRPr="00DD6419" w:rsidRDefault="00753DC6" w:rsidP="00921D81">
      <w:pPr>
        <w:spacing w:after="0" w:line="480" w:lineRule="auto"/>
        <w:rPr>
          <w:rFonts w:ascii="Times New Roman" w:hAnsi="Times New Roman" w:cs="Times New Roman"/>
          <w:iCs/>
        </w:rPr>
      </w:pPr>
    </w:p>
    <w:p w14:paraId="150155CF" w14:textId="5EE79A21" w:rsidR="00DD6419" w:rsidRPr="002735C7" w:rsidRDefault="00DD6419" w:rsidP="00921D81">
      <w:pPr>
        <w:pStyle w:val="Heading4"/>
        <w:spacing w:before="0" w:after="0" w:line="480" w:lineRule="auto"/>
        <w:rPr>
          <w:szCs w:val="28"/>
        </w:rPr>
      </w:pPr>
      <w:bookmarkStart w:id="146" w:name="_Toc200097009"/>
      <w:r w:rsidRPr="002735C7">
        <w:rPr>
          <w:szCs w:val="28"/>
        </w:rPr>
        <w:t>Strengths and limitations</w:t>
      </w:r>
      <w:bookmarkEnd w:id="146"/>
    </w:p>
    <w:p w14:paraId="6F45A0A4" w14:textId="1F5BF4BE" w:rsidR="00DD6419" w:rsidRPr="00DD6419" w:rsidRDefault="00DD6419" w:rsidP="00921D81">
      <w:pPr>
        <w:spacing w:after="0" w:line="480" w:lineRule="auto"/>
        <w:ind w:firstLine="720"/>
        <w:rPr>
          <w:rFonts w:ascii="Times New Roman" w:hAnsi="Times New Roman" w:cs="Times New Roman"/>
          <w:iCs/>
        </w:rPr>
      </w:pPr>
      <w:r w:rsidRPr="00DD6419">
        <w:rPr>
          <w:rFonts w:ascii="Times New Roman" w:hAnsi="Times New Roman" w:cs="Times New Roman"/>
          <w:iCs/>
        </w:rPr>
        <w:t xml:space="preserve">The use of records from a large nation-wide cohort of over 17,000 DOE former workers in this study allowed for the assessment of individual occupational exposures of interest including silica, diesel exhaust, and welding fumes. In many previous studies assessing occupational exposures and COPD </w:t>
      </w:r>
      <w:sdt>
        <w:sdtPr>
          <w:rPr>
            <w:rFonts w:ascii="Times New Roman" w:hAnsi="Times New Roman" w:cs="Times New Roman"/>
            <w:iCs/>
            <w:color w:val="000000"/>
          </w:rPr>
          <w:tag w:val="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"/>
          <w:id w:val="-13534163"/>
          <w:placeholder>
            <w:docPart w:val="DF7C70C18BD001438A1BEC940192C86D"/>
          </w:placeholder>
        </w:sdtPr>
        <w:sdtEndPr/>
        <w:sdtContent>
          <w:r w:rsidR="00572E88" w:rsidRPr="00572E88">
            <w:rPr>
              <w:rFonts w:ascii="Times New Roman" w:hAnsi="Times New Roman" w:cs="Times New Roman"/>
              <w:iCs/>
              <w:color w:val="000000"/>
            </w:rPr>
            <w:t>[13,105,193,194]</w:t>
          </w:r>
        </w:sdtContent>
      </w:sdt>
      <w:r w:rsidRPr="00DD6419">
        <w:rPr>
          <w:rFonts w:ascii="Times New Roman" w:hAnsi="Times New Roman" w:cs="Times New Roman"/>
          <w:iCs/>
        </w:rPr>
        <w:t xml:space="preserve">, the exposures of interest were combined into single generic variable of vapors, dusts, or gases. However, the current study assessed each occupational exposure variable separately, which provides for a more refined analysis of the possible associations of these exposures with COPD occurrence and severity. </w:t>
      </w:r>
    </w:p>
    <w:p w14:paraId="5D30A77E" w14:textId="1066D90F" w:rsidR="00DD6419" w:rsidRDefault="00DD6419" w:rsidP="00921D81">
      <w:pPr>
        <w:spacing w:after="0" w:line="480" w:lineRule="auto"/>
        <w:ind w:firstLine="640"/>
        <w:rPr>
          <w:rFonts w:ascii="Times New Roman" w:hAnsi="Times New Roman" w:cs="Times New Roman"/>
          <w:iCs/>
        </w:rPr>
      </w:pPr>
      <w:r w:rsidRPr="00DD6419">
        <w:rPr>
          <w:rFonts w:ascii="Times New Roman" w:hAnsi="Times New Roman" w:cs="Times New Roman"/>
          <w:iCs/>
        </w:rPr>
        <w:t xml:space="preserve">A limitation of the study is the limited ability to decipher temporality in the identified associations between COPD and its predictors, which is a factor of cross-sectional study designs, and as such, causal inferences cannot be drawn </w:t>
      </w:r>
      <w:sdt>
        <w:sdtPr>
          <w:rPr>
            <w:rFonts w:ascii="Times New Roman" w:hAnsi="Times New Roman" w:cs="Times New Roman"/>
            <w:iCs/>
            <w:color w:val="000000"/>
          </w:rPr>
          <w:tag w:val="MENDELEY_CITATION_v3_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"/>
          <w:id w:val="-1112825707"/>
          <w:placeholder>
            <w:docPart w:val="DF7C70C18BD001438A1BEC940192C86D"/>
          </w:placeholder>
        </w:sdtPr>
        <w:sdtEndPr/>
        <w:sdtContent>
          <w:r w:rsidR="00572E88" w:rsidRPr="00572E88">
            <w:rPr>
              <w:rFonts w:ascii="Times New Roman" w:hAnsi="Times New Roman" w:cs="Times New Roman"/>
              <w:iCs/>
              <w:color w:val="000000"/>
            </w:rPr>
            <w:t>[134]</w:t>
          </w:r>
        </w:sdtContent>
      </w:sdt>
      <w:r w:rsidRPr="00DD6419">
        <w:rPr>
          <w:rFonts w:ascii="Times New Roman" w:hAnsi="Times New Roman" w:cs="Times New Roman"/>
          <w:iCs/>
        </w:rPr>
        <w:t xml:space="preserve">. Additionally, the NSSP relies on self-reported measures for medical histories and occupational exposures which may be subject to bias </w:t>
      </w:r>
      <w:sdt>
        <w:sdtPr>
          <w:rPr>
            <w:rFonts w:ascii="Times New Roman" w:hAnsi="Times New Roman" w:cs="Times New Roman"/>
            <w:iCs/>
            <w:color w:val="000000"/>
          </w:rPr>
          <w:tag w:val="MENDELEY_CITATION_v3_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"/>
          <w:id w:val="-1455639023"/>
          <w:placeholder>
            <w:docPart w:val="DF7C70C18BD001438A1BEC940192C86D"/>
          </w:placeholder>
        </w:sdtPr>
        <w:sdtEndPr/>
        <w:sdtContent>
          <w:r w:rsidR="00572E88" w:rsidRPr="00572E88">
            <w:rPr>
              <w:rFonts w:ascii="Times New Roman" w:hAnsi="Times New Roman" w:cs="Times New Roman"/>
              <w:iCs/>
              <w:color w:val="000000"/>
            </w:rPr>
            <w:t>[157]</w:t>
          </w:r>
        </w:sdtContent>
      </w:sdt>
      <w:r w:rsidRPr="00DD6419">
        <w:rPr>
          <w:rFonts w:ascii="Times New Roman" w:hAnsi="Times New Roman" w:cs="Times New Roman"/>
          <w:iCs/>
        </w:rPr>
        <w:t xml:space="preserve">. This limitation may be particularly applicable to association of history of asthma and COPD since the study relies on self-reported history of asthma, without clinical confirmation of disease, for the variable definition. For the outcome, however, the study relies on the application of GOLD criteria to clinical spirometry readings for identification of COPD. Although the </w:t>
      </w:r>
      <w:r w:rsidRPr="00DD6419">
        <w:rPr>
          <w:rFonts w:ascii="Times New Roman" w:hAnsi="Times New Roman" w:cs="Times New Roman"/>
          <w:iCs/>
        </w:rPr>
        <w:lastRenderedPageBreak/>
        <w:t xml:space="preserve">GOLD criterion is an accepted standard for COPD, it may overestimate the prevalence especially in the elderly as well as underestimate the associations between risk factors and COPD </w:t>
      </w:r>
      <w:sdt>
        <w:sdtPr>
          <w:rPr>
            <w:rFonts w:ascii="Times New Roman" w:hAnsi="Times New Roman" w:cs="Times New Roman"/>
            <w:iCs/>
            <w:color w:val="000000"/>
          </w:rPr>
          <w:tag w:val="MENDELEY_CITATION_v3_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"/>
          <w:id w:val="479428551"/>
          <w:placeholder>
            <w:docPart w:val="C1F9C3D52341EC4888AF53751F532724"/>
          </w:placeholder>
        </w:sdtPr>
        <w:sdtEndPr/>
        <w:sdtContent>
          <w:r w:rsidR="00572E88" w:rsidRPr="00572E88">
            <w:rPr>
              <w:rFonts w:ascii="Times New Roman" w:hAnsi="Times New Roman" w:cs="Times New Roman"/>
              <w:iCs/>
              <w:color w:val="000000"/>
            </w:rPr>
            <w:t>[21]</w:t>
          </w:r>
        </w:sdtContent>
      </w:sdt>
      <w:r w:rsidRPr="00DD6419">
        <w:rPr>
          <w:rFonts w:ascii="Times New Roman" w:hAnsi="Times New Roman" w:cs="Times New Roman"/>
          <w:iCs/>
        </w:rPr>
        <w:t xml:space="preserve">. Additionally, the investigation of air quality for a possible association with COPD prevalence and severity relied upon the annual mean air quality index in each participant’s residential zip code, which may not accurately represent individual exposure </w:t>
      </w:r>
      <w:sdt>
        <w:sdtPr>
          <w:rPr>
            <w:rFonts w:ascii="Times New Roman" w:hAnsi="Times New Roman" w:cs="Times New Roman"/>
            <w:iCs/>
            <w:color w:val="000000"/>
          </w:rPr>
          <w:tag w:val="MENDELEY_CITATION_v3_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"/>
          <w:id w:val="468943698"/>
          <w:placeholder>
            <w:docPart w:val="C1F9C3D52341EC4888AF53751F532724"/>
          </w:placeholder>
        </w:sdtPr>
        <w:sdtEndPr/>
        <w:sdtContent>
          <w:r w:rsidR="00572E88" w:rsidRPr="00572E88">
            <w:rPr>
              <w:rFonts w:ascii="Times New Roman" w:hAnsi="Times New Roman" w:cs="Times New Roman"/>
              <w:iCs/>
              <w:color w:val="000000"/>
            </w:rPr>
            <w:t>[195]</w:t>
          </w:r>
        </w:sdtContent>
      </w:sdt>
      <w:r w:rsidRPr="00DD6419">
        <w:rPr>
          <w:rFonts w:ascii="Times New Roman" w:hAnsi="Times New Roman" w:cs="Times New Roman"/>
          <w:iCs/>
        </w:rPr>
        <w:t>. Finally, the study does not incorporate quantitative measures of occupational exposure because this information is not available in the NSSP database. Therefore, residual confounding is possible since only self-reported occupational exposures were used instead of quantitative values (that were unavailable in the dataset). The exposure potential classification scheme for the twelve standardized job titles, initially developed by a Department of Energy (DOE) surveillance program, was based on the perceived potential for exposure to noxious agents based on the job requirements. However, this classification scheme has some level of subjectivity and hence may be prone to mis-classification bias. Finally, the retrospective data used in this study did not contain genetic information nor did the study include information on comorbidities. Hence, genetic factors and comorbidities were not assessed in this study, but they represent a possible extension in future studies. In addition, the generalizability of these results may be affected by the lack of diversity within the study population as the NSSP cohort is primarily non-Black males. Future studies will need to assess a more diverse population. Despite these limitations, this study provides valuable information on predictors of COPD occurrence and severity in an occupational cohort and therefore the findings are useful for improving screening guidelines for occupational cohorts.</w:t>
      </w:r>
    </w:p>
    <w:p w14:paraId="717470BB" w14:textId="77777777" w:rsidR="00753DC6" w:rsidRPr="00DD6419" w:rsidRDefault="00753DC6" w:rsidP="00921D81">
      <w:pPr>
        <w:spacing w:after="0" w:line="480" w:lineRule="auto"/>
        <w:rPr>
          <w:rFonts w:ascii="Times New Roman" w:hAnsi="Times New Roman" w:cs="Times New Roman"/>
          <w:iCs/>
        </w:rPr>
      </w:pPr>
    </w:p>
    <w:p w14:paraId="2D49A23F" w14:textId="2FC535C4" w:rsidR="00DD6419" w:rsidRPr="00DD6419" w:rsidRDefault="00DD6419" w:rsidP="00921D81">
      <w:pPr>
        <w:pStyle w:val="Heading3"/>
        <w:spacing w:before="0" w:after="0" w:line="480" w:lineRule="auto"/>
      </w:pPr>
      <w:bookmarkStart w:id="147" w:name="_Toc199884049"/>
      <w:bookmarkStart w:id="148" w:name="_Toc199884766"/>
      <w:bookmarkStart w:id="149" w:name="_Toc200097010"/>
      <w:r w:rsidRPr="00DD6419">
        <w:lastRenderedPageBreak/>
        <w:t>Conclusion</w:t>
      </w:r>
      <w:bookmarkEnd w:id="147"/>
      <w:bookmarkEnd w:id="148"/>
      <w:bookmarkEnd w:id="149"/>
    </w:p>
    <w:p w14:paraId="061B999F" w14:textId="4A8DD931" w:rsidR="00DD6419" w:rsidRDefault="00DD6419" w:rsidP="00921D81">
      <w:pPr>
        <w:spacing w:after="0" w:line="480" w:lineRule="auto"/>
        <w:ind w:firstLine="720"/>
        <w:rPr>
          <w:rFonts w:ascii="Times New Roman" w:hAnsi="Times New Roman" w:cs="Times New Roman"/>
          <w:iCs/>
        </w:rPr>
      </w:pPr>
      <w:r w:rsidRPr="00DD6419">
        <w:rPr>
          <w:rFonts w:ascii="Times New Roman" w:hAnsi="Times New Roman" w:cs="Times New Roman"/>
          <w:iCs/>
        </w:rPr>
        <w:t>This study identified predictors of COPD occurrence and disease severity in the NSSP cohort. In addition to confirming the importance of historically prominent predictors of COPD such as smoking and age, this study demonstrates the importance of considering the occupational experience for both COPD occurrence and severity. This information may be important for occupational screening programs as well as aiding in identifying modifiable risk factors to guide prevention efforts.</w:t>
      </w:r>
    </w:p>
    <w:p w14:paraId="7794B7A3" w14:textId="77777777" w:rsidR="00B761D2" w:rsidRPr="00DD6419" w:rsidRDefault="00B761D2" w:rsidP="00921D81">
      <w:pPr>
        <w:spacing w:after="0" w:line="480" w:lineRule="auto"/>
        <w:rPr>
          <w:rFonts w:ascii="Times New Roman" w:hAnsi="Times New Roman" w:cs="Times New Roman"/>
          <w:iCs/>
        </w:rPr>
      </w:pPr>
    </w:p>
    <w:p w14:paraId="6BE12F44" w14:textId="3D563284" w:rsidR="00DD6419" w:rsidRPr="00DD6419" w:rsidRDefault="00DD6419" w:rsidP="00921D81">
      <w:pPr>
        <w:pStyle w:val="Heading3"/>
        <w:spacing w:before="0" w:after="0" w:line="480" w:lineRule="auto"/>
      </w:pPr>
      <w:bookmarkStart w:id="150" w:name="_Toc199884050"/>
      <w:bookmarkStart w:id="151" w:name="_Toc199884767"/>
      <w:bookmarkStart w:id="152" w:name="_Toc200097011"/>
      <w:r w:rsidRPr="00DD6419">
        <w:t>Acknowledgements</w:t>
      </w:r>
      <w:bookmarkEnd w:id="150"/>
      <w:bookmarkEnd w:id="151"/>
      <w:bookmarkEnd w:id="152"/>
    </w:p>
    <w:p w14:paraId="38DF40FC" w14:textId="217C272A" w:rsidR="00DD6419" w:rsidRPr="00DD6419" w:rsidRDefault="00DD6419" w:rsidP="00921D81">
      <w:pPr>
        <w:spacing w:after="0" w:line="480" w:lineRule="auto"/>
        <w:ind w:firstLine="720"/>
        <w:rPr>
          <w:rFonts w:ascii="Times New Roman" w:hAnsi="Times New Roman" w:cs="Times New Roman"/>
          <w:iCs/>
        </w:rPr>
      </w:pPr>
      <w:r w:rsidRPr="00DD6419">
        <w:rPr>
          <w:rFonts w:ascii="Times New Roman" w:hAnsi="Times New Roman" w:cs="Times New Roman"/>
          <w:iCs/>
        </w:rPr>
        <w:t xml:space="preserve">The authors would like to thank the National Supplemental Screening Program (NSSP) research team for the use of their data, review, and support in completing this manuscript. The NSSP research team members include Dr. Ashley Golden, Dr. Zachariah Hubbell, Dr. Jamie Stalker, Wendy Benade, and Heather </w:t>
      </w:r>
      <w:proofErr w:type="spellStart"/>
      <w:r w:rsidRPr="00DD6419">
        <w:rPr>
          <w:rFonts w:ascii="Times New Roman" w:hAnsi="Times New Roman" w:cs="Times New Roman"/>
          <w:iCs/>
        </w:rPr>
        <w:t>O’Maonaigh</w:t>
      </w:r>
      <w:proofErr w:type="spellEnd"/>
      <w:r w:rsidRPr="00DD6419">
        <w:rPr>
          <w:rFonts w:ascii="Times New Roman" w:hAnsi="Times New Roman" w:cs="Times New Roman"/>
          <w:iCs/>
        </w:rPr>
        <w:t xml:space="preserve"> from Oak Ridge Associated Universities as well as Dr. Lee Newman, Dr. Miranda Dally, Dr. Mike Van Dyke, and Dr. Paul Ogden from the University of Colorado Denver. </w:t>
      </w:r>
    </w:p>
    <w:p w14:paraId="62E8253B" w14:textId="068F5B32" w:rsidR="00EE5D92" w:rsidRDefault="00EE5D92" w:rsidP="00921D81">
      <w:pPr>
        <w:spacing w:after="0" w:line="480" w:lineRule="auto"/>
        <w:rPr>
          <w:rFonts w:ascii="Times New Roman" w:hAnsi="Times New Roman" w:cs="Times New Roman"/>
          <w:iCs/>
        </w:rPr>
      </w:pPr>
      <w:r>
        <w:rPr>
          <w:rFonts w:ascii="Times New Roman" w:hAnsi="Times New Roman" w:cs="Times New Roman"/>
          <w:iCs/>
        </w:rPr>
        <w:br w:type="page"/>
      </w:r>
    </w:p>
    <w:p w14:paraId="5A5A156A" w14:textId="77777777" w:rsidR="002735C7" w:rsidRDefault="002735C7" w:rsidP="002735C7">
      <w:pPr>
        <w:pStyle w:val="Heading1"/>
        <w:jc w:val="center"/>
      </w:pPr>
      <w:bookmarkStart w:id="153" w:name="_Toc199884051"/>
      <w:bookmarkStart w:id="154" w:name="_Toc199884768"/>
      <w:bookmarkStart w:id="155" w:name="_Toc200097012"/>
      <w:bookmarkEnd w:id="153"/>
      <w:bookmarkEnd w:id="154"/>
      <w:bookmarkEnd w:id="155"/>
    </w:p>
    <w:p w14:paraId="603CD202" w14:textId="231AE89A" w:rsidR="00FC7282" w:rsidRPr="00FC7282" w:rsidRDefault="00FC7282" w:rsidP="002735C7">
      <w:pPr>
        <w:pStyle w:val="Heading2"/>
      </w:pPr>
      <w:bookmarkStart w:id="156" w:name="_Toc199884052"/>
      <w:bookmarkStart w:id="157" w:name="_Toc199884769"/>
      <w:bookmarkStart w:id="158" w:name="_Toc200097013"/>
      <w:r w:rsidRPr="00FC7282">
        <w:t>Chronic obstructive pulmonary disease among former United States Department of Energy workers: comorbidities and lung function changes</w:t>
      </w:r>
      <w:bookmarkEnd w:id="156"/>
      <w:bookmarkEnd w:id="157"/>
      <w:bookmarkEnd w:id="158"/>
    </w:p>
    <w:p w14:paraId="15790FE1" w14:textId="77777777" w:rsidR="00EE5D92" w:rsidRDefault="00EE5D92" w:rsidP="00DD6419">
      <w:pPr>
        <w:spacing w:line="480" w:lineRule="auto"/>
        <w:rPr>
          <w:rFonts w:ascii="Times New Roman" w:hAnsi="Times New Roman" w:cs="Times New Roman"/>
          <w:iCs/>
        </w:rPr>
      </w:pPr>
    </w:p>
    <w:p w14:paraId="02F40540" w14:textId="3093E535" w:rsidR="00FC7282" w:rsidRPr="00FC7282" w:rsidRDefault="00FC7282" w:rsidP="00C460F3">
      <w:pPr>
        <w:rPr>
          <w:rFonts w:ascii="Times New Roman" w:hAnsi="Times New Roman" w:cs="Times New Roman"/>
          <w:b/>
          <w:bCs/>
          <w:sz w:val="28"/>
          <w:szCs w:val="28"/>
        </w:rPr>
      </w:pPr>
    </w:p>
    <w:p w14:paraId="667A1A74" w14:textId="77777777" w:rsidR="00FC7282" w:rsidRPr="003D7E32" w:rsidRDefault="00FC7282" w:rsidP="00FC7282">
      <w:pPr>
        <w:rPr>
          <w:rFonts w:ascii="Times New Roman" w:hAnsi="Times New Roman" w:cs="Times New Roman"/>
        </w:rPr>
      </w:pPr>
    </w:p>
    <w:p w14:paraId="5AE5408B" w14:textId="1EEBEA14" w:rsidR="00FC7282" w:rsidRPr="00FC7282" w:rsidRDefault="00FC7282" w:rsidP="00C06DA1">
      <w:pPr>
        <w:jc w:val="center"/>
        <w:rPr>
          <w:rFonts w:ascii="Times New Roman" w:hAnsi="Times New Roman" w:cs="Times New Roman"/>
        </w:rPr>
      </w:pPr>
      <w:r w:rsidRPr="003D7E32">
        <w:rPr>
          <w:rFonts w:ascii="Times New Roman" w:hAnsi="Times New Roman" w:cs="Times New Roman"/>
        </w:rPr>
        <w:t>Sara Howard</w:t>
      </w:r>
      <w:r w:rsidRPr="003D7E32">
        <w:rPr>
          <w:rFonts w:ascii="Times New Roman" w:hAnsi="Times New Roman" w:cs="Times New Roman"/>
          <w:vertAlign w:val="superscript"/>
        </w:rPr>
        <w:t>1,</w:t>
      </w:r>
      <w:proofErr w:type="gramStart"/>
      <w:r w:rsidRPr="003D7E32">
        <w:rPr>
          <w:rFonts w:ascii="Times New Roman" w:hAnsi="Times New Roman" w:cs="Times New Roman"/>
          <w:vertAlign w:val="superscript"/>
        </w:rPr>
        <w:t>2,*</w:t>
      </w:r>
      <w:proofErr w:type="gramEnd"/>
      <w:r w:rsidRPr="003D7E32">
        <w:rPr>
          <w:rFonts w:ascii="Times New Roman" w:hAnsi="Times New Roman" w:cs="Times New Roman"/>
        </w:rPr>
        <w:t xml:space="preserve"> , Louis Rocconi</w:t>
      </w:r>
      <w:r w:rsidRPr="003D7E32">
        <w:rPr>
          <w:rFonts w:ascii="Times New Roman" w:hAnsi="Times New Roman" w:cs="Times New Roman"/>
          <w:vertAlign w:val="superscript"/>
        </w:rPr>
        <w:t>3</w:t>
      </w:r>
      <w:r w:rsidRPr="003D7E32">
        <w:rPr>
          <w:rFonts w:ascii="Times New Roman" w:hAnsi="Times New Roman" w:cs="Times New Roman"/>
        </w:rPr>
        <w:t>, Agricola Odoi</w:t>
      </w:r>
      <w:r w:rsidRPr="003D7E32">
        <w:rPr>
          <w:rFonts w:ascii="Times New Roman" w:hAnsi="Times New Roman" w:cs="Times New Roman"/>
          <w:vertAlign w:val="superscript"/>
        </w:rPr>
        <w:t xml:space="preserve">1, *, </w:t>
      </w:r>
      <w:r w:rsidRPr="003D7E32">
        <w:rPr>
          <w:rFonts w:ascii="Times New Roman" w:hAnsi="Times New Roman" w:cs="Times New Roman"/>
          <w:bCs/>
          <w:vertAlign w:val="superscript"/>
        </w:rPr>
        <w:t>§</w:t>
      </w:r>
    </w:p>
    <w:p w14:paraId="566E93A2" w14:textId="77777777" w:rsidR="00FC7282" w:rsidRDefault="00FC7282" w:rsidP="00FC7282">
      <w:pPr>
        <w:rPr>
          <w:rFonts w:ascii="Times New Roman" w:hAnsi="Times New Roman" w:cs="Times New Roman"/>
          <w:vertAlign w:val="superscript"/>
        </w:rPr>
      </w:pPr>
    </w:p>
    <w:p w14:paraId="231B5BE2" w14:textId="77777777" w:rsidR="00C460F3" w:rsidRPr="003D7E32" w:rsidRDefault="00C460F3" w:rsidP="00FC7282">
      <w:pPr>
        <w:rPr>
          <w:rFonts w:ascii="Times New Roman" w:hAnsi="Times New Roman" w:cs="Times New Roman"/>
          <w:vertAlign w:val="superscript"/>
        </w:rPr>
      </w:pPr>
    </w:p>
    <w:p w14:paraId="6B22A0B7" w14:textId="77777777" w:rsidR="00FC7282" w:rsidRPr="003D7E32" w:rsidRDefault="00FC7282" w:rsidP="00FC7282">
      <w:pPr>
        <w:rPr>
          <w:rFonts w:ascii="Times New Roman" w:hAnsi="Times New Roman" w:cs="Times New Roman"/>
        </w:rPr>
      </w:pPr>
      <w:r w:rsidRPr="003D7E32">
        <w:rPr>
          <w:rFonts w:ascii="Times New Roman" w:hAnsi="Times New Roman" w:cs="Times New Roman"/>
          <w:vertAlign w:val="superscript"/>
        </w:rPr>
        <w:t>1</w:t>
      </w:r>
      <w:r w:rsidRPr="003D7E32">
        <w:rPr>
          <w:rFonts w:ascii="Times New Roman" w:hAnsi="Times New Roman" w:cs="Times New Roman"/>
        </w:rPr>
        <w:t xml:space="preserve">Department of Biomedical and Diagnostic Sciences, The University of Tennessee, Knoxville, TN, United States </w:t>
      </w:r>
    </w:p>
    <w:p w14:paraId="2A7C77C8" w14:textId="77777777" w:rsidR="00FC7282" w:rsidRPr="003D7E32" w:rsidRDefault="00FC7282" w:rsidP="00FC7282">
      <w:pPr>
        <w:rPr>
          <w:rFonts w:ascii="Times New Roman" w:hAnsi="Times New Roman" w:cs="Times New Roman"/>
        </w:rPr>
      </w:pPr>
    </w:p>
    <w:p w14:paraId="040BEB55" w14:textId="77777777" w:rsidR="00FC7282" w:rsidRPr="003D7E32" w:rsidRDefault="00FC7282" w:rsidP="00FC7282">
      <w:pPr>
        <w:rPr>
          <w:rFonts w:ascii="Times New Roman" w:hAnsi="Times New Roman" w:cs="Times New Roman"/>
        </w:rPr>
      </w:pPr>
      <w:r w:rsidRPr="003D7E32">
        <w:rPr>
          <w:rFonts w:ascii="Times New Roman" w:hAnsi="Times New Roman" w:cs="Times New Roman"/>
          <w:vertAlign w:val="superscript"/>
        </w:rPr>
        <w:t>2</w:t>
      </w:r>
      <w:r w:rsidRPr="003D7E32">
        <w:rPr>
          <w:rFonts w:ascii="Times New Roman" w:hAnsi="Times New Roman" w:cs="Times New Roman"/>
        </w:rPr>
        <w:t>Epidemiology and Exposure Science, Oak Ridge Associated Universities, Oak Ridge, Tennessee, United States</w:t>
      </w:r>
    </w:p>
    <w:p w14:paraId="584FCDC8" w14:textId="77777777" w:rsidR="00FC7282" w:rsidRPr="003D7E32" w:rsidRDefault="00FC7282" w:rsidP="00FC7282">
      <w:pPr>
        <w:rPr>
          <w:rFonts w:ascii="Times New Roman" w:hAnsi="Times New Roman" w:cs="Times New Roman"/>
        </w:rPr>
      </w:pPr>
    </w:p>
    <w:p w14:paraId="08964A73" w14:textId="77777777" w:rsidR="00FC7282" w:rsidRPr="003D7E32" w:rsidRDefault="00FC7282" w:rsidP="00FC7282">
      <w:pPr>
        <w:rPr>
          <w:rFonts w:ascii="Times New Roman" w:hAnsi="Times New Roman" w:cs="Times New Roman"/>
        </w:rPr>
      </w:pPr>
      <w:r w:rsidRPr="003D7E32">
        <w:rPr>
          <w:rFonts w:ascii="Times New Roman" w:hAnsi="Times New Roman" w:cs="Times New Roman"/>
          <w:vertAlign w:val="superscript"/>
        </w:rPr>
        <w:t>3</w:t>
      </w:r>
      <w:r w:rsidRPr="003D7E32">
        <w:rPr>
          <w:rFonts w:ascii="Times New Roman" w:hAnsi="Times New Roman" w:cs="Times New Roman"/>
        </w:rPr>
        <w:t>Evaluation, Statistics, &amp; Methodology Program, Educational Leadership and Policy Studies Department, the University of Tennessee, Knoxville, TN, United States</w:t>
      </w:r>
    </w:p>
    <w:p w14:paraId="08B2DA9F" w14:textId="77777777" w:rsidR="00FC7282" w:rsidRPr="003D7E32" w:rsidRDefault="00FC7282" w:rsidP="00FC7282">
      <w:pPr>
        <w:rPr>
          <w:rFonts w:ascii="Times New Roman" w:hAnsi="Times New Roman" w:cs="Times New Roman"/>
        </w:rPr>
      </w:pPr>
    </w:p>
    <w:p w14:paraId="65AB0B74" w14:textId="5E766FC5" w:rsidR="00FC7282" w:rsidRDefault="00FC7282" w:rsidP="00DD6419">
      <w:pPr>
        <w:spacing w:line="480" w:lineRule="auto"/>
        <w:rPr>
          <w:rFonts w:ascii="Times New Roman" w:hAnsi="Times New Roman" w:cs="Times New Roman"/>
          <w:iCs/>
        </w:rPr>
      </w:pPr>
      <w:r>
        <w:rPr>
          <w:rFonts w:ascii="Times New Roman" w:hAnsi="Times New Roman" w:cs="Times New Roman"/>
          <w:iCs/>
        </w:rPr>
        <w:t xml:space="preserve">A version of this chapter </w:t>
      </w:r>
      <w:r w:rsidR="008307DA">
        <w:rPr>
          <w:rFonts w:ascii="Times New Roman" w:hAnsi="Times New Roman" w:cs="Times New Roman"/>
          <w:iCs/>
        </w:rPr>
        <w:t>is currently under</w:t>
      </w:r>
      <w:r>
        <w:rPr>
          <w:rFonts w:ascii="Times New Roman" w:hAnsi="Times New Roman" w:cs="Times New Roman"/>
          <w:iCs/>
        </w:rPr>
        <w:t xml:space="preserve"> peer review in PeerJ. </w:t>
      </w:r>
    </w:p>
    <w:p w14:paraId="69AADD40" w14:textId="34CFFEC7" w:rsidR="00FC7282" w:rsidRDefault="00FC7282" w:rsidP="00DD6419">
      <w:pPr>
        <w:spacing w:line="480" w:lineRule="auto"/>
        <w:rPr>
          <w:rFonts w:ascii="Times New Roman" w:hAnsi="Times New Roman" w:cs="Times New Roman"/>
          <w:iCs/>
        </w:rPr>
      </w:pPr>
      <w:r>
        <w:rPr>
          <w:rFonts w:ascii="Times New Roman" w:hAnsi="Times New Roman" w:cs="Times New Roman"/>
          <w:iCs/>
        </w:rPr>
        <w:t>My contributions to study are conceptional design, data analyses, and manuscript preparation.</w:t>
      </w:r>
    </w:p>
    <w:p w14:paraId="53935AB1" w14:textId="08A1F176" w:rsidR="00FC7282" w:rsidRDefault="00FC7282" w:rsidP="00DD6419">
      <w:pPr>
        <w:spacing w:line="480" w:lineRule="auto"/>
        <w:rPr>
          <w:rFonts w:ascii="Times New Roman" w:hAnsi="Times New Roman" w:cs="Times New Roman"/>
          <w:iCs/>
        </w:rPr>
      </w:pPr>
    </w:p>
    <w:p w14:paraId="1A5E9031" w14:textId="7FCE06F0" w:rsidR="00FC7282" w:rsidRDefault="00FC7282">
      <w:pPr>
        <w:rPr>
          <w:rFonts w:ascii="Times New Roman" w:hAnsi="Times New Roman" w:cs="Times New Roman"/>
          <w:iCs/>
        </w:rPr>
      </w:pPr>
      <w:r>
        <w:rPr>
          <w:rFonts w:ascii="Times New Roman" w:hAnsi="Times New Roman" w:cs="Times New Roman"/>
          <w:iCs/>
        </w:rPr>
        <w:br w:type="page"/>
      </w:r>
    </w:p>
    <w:p w14:paraId="63217CC6" w14:textId="39477D0E" w:rsidR="00FC7282" w:rsidRPr="00FC7282" w:rsidRDefault="00FC7282" w:rsidP="00921D81">
      <w:pPr>
        <w:pStyle w:val="Heading3"/>
        <w:spacing w:before="0" w:after="0" w:line="480" w:lineRule="auto"/>
      </w:pPr>
      <w:bookmarkStart w:id="159" w:name="_Toc199884053"/>
      <w:bookmarkStart w:id="160" w:name="_Toc199884770"/>
      <w:bookmarkStart w:id="161" w:name="_Toc200097014"/>
      <w:r w:rsidRPr="00FC7282">
        <w:lastRenderedPageBreak/>
        <w:t>Abstract</w:t>
      </w:r>
      <w:bookmarkEnd w:id="159"/>
      <w:bookmarkEnd w:id="160"/>
      <w:bookmarkEnd w:id="161"/>
    </w:p>
    <w:p w14:paraId="16BC9E6F" w14:textId="77777777" w:rsidR="00FC7282" w:rsidRPr="00FC7282" w:rsidRDefault="00FC7282" w:rsidP="00921D81">
      <w:pPr>
        <w:spacing w:after="0" w:line="480" w:lineRule="auto"/>
        <w:rPr>
          <w:rFonts w:ascii="Times New Roman" w:hAnsi="Times New Roman" w:cs="Times New Roman"/>
          <w:iCs/>
        </w:rPr>
      </w:pPr>
      <w:r w:rsidRPr="00FC7282">
        <w:rPr>
          <w:rFonts w:ascii="Times New Roman" w:hAnsi="Times New Roman" w:cs="Times New Roman"/>
          <w:b/>
          <w:bCs/>
          <w:iCs/>
        </w:rPr>
        <w:t>Background.</w:t>
      </w:r>
      <w:r w:rsidRPr="00FC7282">
        <w:rPr>
          <w:rFonts w:ascii="Times New Roman" w:hAnsi="Times New Roman" w:cs="Times New Roman"/>
          <w:iCs/>
        </w:rPr>
        <w:t xml:space="preserve"> Chronic Obstructive Pulmonary Disease (COPD) is a major cause of morbidity and mortality in the United States and is frequently associated with multiple comorbidities which lead to poor COPD outcomes in the general population. However, little is known regarding COPD comorbidities in occupational cohorts whose exposure experiences could result in differences in comorbidities compared to the general population. These differences may also be important for assessing COPD outcomes such as lung function changes or decline. Therefore, the objectives of this study were to: (1) identify and describe clusters of COPD comorbidities among Department of Energy (DOE) former workers; (2) assess if the attributes of the identified clusters differ from those identified among the general population based on the published literature, and (3) identify predictors of lung function changes and decline among DOE former workers.</w:t>
      </w:r>
    </w:p>
    <w:p w14:paraId="5D16CE61" w14:textId="77777777" w:rsidR="00FC7282" w:rsidRPr="00FC7282" w:rsidRDefault="00FC7282" w:rsidP="00921D81">
      <w:pPr>
        <w:spacing w:after="0" w:line="480" w:lineRule="auto"/>
        <w:rPr>
          <w:rFonts w:ascii="Times New Roman" w:hAnsi="Times New Roman" w:cs="Times New Roman"/>
          <w:iCs/>
        </w:rPr>
      </w:pPr>
      <w:r w:rsidRPr="00FC7282">
        <w:rPr>
          <w:rFonts w:ascii="Times New Roman" w:hAnsi="Times New Roman" w:cs="Times New Roman"/>
          <w:b/>
          <w:bCs/>
          <w:iCs/>
        </w:rPr>
        <w:t xml:space="preserve">Methods. </w:t>
      </w:r>
      <w:r w:rsidRPr="00FC7282">
        <w:rPr>
          <w:rFonts w:ascii="Times New Roman" w:hAnsi="Times New Roman" w:cs="Times New Roman"/>
          <w:iCs/>
        </w:rPr>
        <w:t>Clinical/medical, occupational, and sociodemographic data were obtained from the National Supplemental Screening Program. Imputation for missing values was performed using multiple imputation by chained equation. Comorbidity clusters were identified using hierarchical clustering. Regression and classification random forest models were used to identify predictors of changes in forced expiratory volume in one second (FEV</w:t>
      </w:r>
      <w:r w:rsidRPr="00FC7282">
        <w:rPr>
          <w:rFonts w:ascii="Times New Roman" w:hAnsi="Times New Roman" w:cs="Times New Roman"/>
          <w:iCs/>
          <w:vertAlign w:val="subscript"/>
        </w:rPr>
        <w:t>1</w:t>
      </w:r>
      <w:r w:rsidRPr="00FC7282">
        <w:rPr>
          <w:rFonts w:ascii="Times New Roman" w:hAnsi="Times New Roman" w:cs="Times New Roman"/>
          <w:iCs/>
        </w:rPr>
        <w:t>) and FEV</w:t>
      </w:r>
      <w:r w:rsidRPr="00FC7282">
        <w:rPr>
          <w:rFonts w:ascii="Times New Roman" w:hAnsi="Times New Roman" w:cs="Times New Roman"/>
          <w:iCs/>
          <w:vertAlign w:val="subscript"/>
        </w:rPr>
        <w:t>1</w:t>
      </w:r>
      <w:r w:rsidRPr="00FC7282">
        <w:rPr>
          <w:rFonts w:ascii="Times New Roman" w:hAnsi="Times New Roman" w:cs="Times New Roman"/>
          <w:iCs/>
        </w:rPr>
        <w:t xml:space="preserve"> decline. Variable importance scores were used to assess the predictive importance of the predictors.</w:t>
      </w:r>
    </w:p>
    <w:p w14:paraId="4EF85912" w14:textId="77777777" w:rsidR="00FC7282" w:rsidRPr="00FC7282" w:rsidRDefault="00FC7282" w:rsidP="00921D81">
      <w:pPr>
        <w:spacing w:after="0" w:line="480" w:lineRule="auto"/>
        <w:rPr>
          <w:rFonts w:ascii="Times New Roman" w:hAnsi="Times New Roman" w:cs="Times New Roman"/>
          <w:iCs/>
        </w:rPr>
      </w:pPr>
      <w:r w:rsidRPr="00FC7282">
        <w:rPr>
          <w:rFonts w:ascii="Times New Roman" w:hAnsi="Times New Roman" w:cs="Times New Roman"/>
          <w:b/>
          <w:bCs/>
          <w:iCs/>
        </w:rPr>
        <w:t xml:space="preserve">Results. </w:t>
      </w:r>
      <w:r w:rsidRPr="00FC7282">
        <w:rPr>
          <w:rFonts w:ascii="Times New Roman" w:hAnsi="Times New Roman" w:cs="Times New Roman"/>
          <w:iCs/>
        </w:rPr>
        <w:t>A total of 17,448 DOE former workers were included in this study,</w:t>
      </w:r>
      <w:r w:rsidRPr="00FC7282">
        <w:rPr>
          <w:rFonts w:ascii="Times New Roman" w:hAnsi="Times New Roman" w:cs="Times New Roman"/>
          <w:b/>
          <w:bCs/>
          <w:iCs/>
        </w:rPr>
        <w:t xml:space="preserve"> </w:t>
      </w:r>
      <w:r w:rsidRPr="00FC7282">
        <w:rPr>
          <w:rFonts w:ascii="Times New Roman" w:hAnsi="Times New Roman" w:cs="Times New Roman"/>
          <w:iCs/>
        </w:rPr>
        <w:t>20.9% of whom had COPD at their initial exam. Four comorbidity clusters were identified among those with COPD. Cluster 1 was composed of individuals with low prevalence of comorbidities, cluster 2 contained individuals with high prevalence of cardiovascular diseases, cluster 3 had those with high lung cancer prevalence, while cluster 4 had individuals with high prevalence of multiple comorbidities. There was no significant association between the clusters and either FEV</w:t>
      </w:r>
      <w:r w:rsidRPr="00FC7282">
        <w:rPr>
          <w:rFonts w:ascii="Times New Roman" w:hAnsi="Times New Roman" w:cs="Times New Roman"/>
          <w:iCs/>
          <w:vertAlign w:val="subscript"/>
        </w:rPr>
        <w:t>1</w:t>
      </w:r>
      <w:r w:rsidRPr="00FC7282">
        <w:rPr>
          <w:rFonts w:ascii="Times New Roman" w:hAnsi="Times New Roman" w:cs="Times New Roman"/>
          <w:iCs/>
        </w:rPr>
        <w:t xml:space="preserve"> change </w:t>
      </w:r>
      <w:r w:rsidRPr="00FC7282">
        <w:rPr>
          <w:rFonts w:ascii="Times New Roman" w:hAnsi="Times New Roman" w:cs="Times New Roman"/>
          <w:iCs/>
        </w:rPr>
        <w:lastRenderedPageBreak/>
        <w:t>or decline. Age at hire, welding fume exposure, and silica exposure were significant predictors of both FEV</w:t>
      </w:r>
      <w:r w:rsidRPr="00FC7282">
        <w:rPr>
          <w:rFonts w:ascii="Times New Roman" w:hAnsi="Times New Roman" w:cs="Times New Roman"/>
          <w:iCs/>
          <w:vertAlign w:val="subscript"/>
        </w:rPr>
        <w:t>1</w:t>
      </w:r>
      <w:r w:rsidRPr="00FC7282">
        <w:rPr>
          <w:rFonts w:ascii="Times New Roman" w:hAnsi="Times New Roman" w:cs="Times New Roman"/>
          <w:iCs/>
        </w:rPr>
        <w:t xml:space="preserve"> changes and decline.  Age at initial exam and baseline FEV</w:t>
      </w:r>
      <w:r w:rsidRPr="00FC7282">
        <w:rPr>
          <w:rFonts w:ascii="Times New Roman" w:hAnsi="Times New Roman" w:cs="Times New Roman"/>
          <w:iCs/>
          <w:vertAlign w:val="subscript"/>
        </w:rPr>
        <w:t>1,</w:t>
      </w:r>
      <w:r w:rsidRPr="00FC7282">
        <w:rPr>
          <w:rFonts w:ascii="Times New Roman" w:hAnsi="Times New Roman" w:cs="Times New Roman"/>
          <w:iCs/>
        </w:rPr>
        <w:t xml:space="preserve"> which have been identified as significant predictors of these outcomes in the general population, were also significantly associated with the outcomes in the current study. By contrast, smoking, which is a common risk factor in the general population, was a weak predictor of FEV</w:t>
      </w:r>
      <w:r w:rsidRPr="00FC7282">
        <w:rPr>
          <w:rFonts w:ascii="Times New Roman" w:hAnsi="Times New Roman" w:cs="Times New Roman"/>
          <w:iCs/>
          <w:vertAlign w:val="subscript"/>
        </w:rPr>
        <w:t>1</w:t>
      </w:r>
      <w:r w:rsidRPr="00FC7282">
        <w:rPr>
          <w:rFonts w:ascii="Times New Roman" w:hAnsi="Times New Roman" w:cs="Times New Roman"/>
          <w:iCs/>
        </w:rPr>
        <w:t xml:space="preserve"> change and decline in this cohort.</w:t>
      </w:r>
    </w:p>
    <w:p w14:paraId="287DEEB8" w14:textId="77777777" w:rsidR="00FC7282" w:rsidRPr="00FC7282" w:rsidRDefault="00FC7282" w:rsidP="00921D81">
      <w:pPr>
        <w:spacing w:after="0" w:line="480" w:lineRule="auto"/>
        <w:rPr>
          <w:rFonts w:ascii="Times New Roman" w:hAnsi="Times New Roman" w:cs="Times New Roman"/>
          <w:iCs/>
        </w:rPr>
      </w:pPr>
      <w:r w:rsidRPr="00FC7282">
        <w:rPr>
          <w:rFonts w:ascii="Times New Roman" w:hAnsi="Times New Roman" w:cs="Times New Roman"/>
          <w:b/>
          <w:bCs/>
          <w:iCs/>
        </w:rPr>
        <w:t xml:space="preserve">Conclusion. </w:t>
      </w:r>
      <w:r w:rsidRPr="00FC7282">
        <w:rPr>
          <w:rFonts w:ascii="Times New Roman" w:hAnsi="Times New Roman" w:cs="Times New Roman"/>
          <w:iCs/>
        </w:rPr>
        <w:t>This study identified clusters of COPD related comorbidities and important predictors of lung function changes and decline within an occupational cohort. The findings suggest that the important predictors of lung function changes and decline in this occupational cohort are different from those reported in the general population. Study findings may be useful for guiding enhanced monitoring efforts and control programs.</w:t>
      </w:r>
    </w:p>
    <w:p w14:paraId="5ECFED21" w14:textId="7CB75BF5" w:rsidR="00903662" w:rsidRDefault="00903662" w:rsidP="00921D81">
      <w:pPr>
        <w:spacing w:after="0" w:line="480" w:lineRule="auto"/>
        <w:rPr>
          <w:rFonts w:ascii="Times New Roman" w:hAnsi="Times New Roman" w:cs="Times New Roman"/>
          <w:iCs/>
        </w:rPr>
      </w:pPr>
      <w:r>
        <w:rPr>
          <w:rFonts w:ascii="Times New Roman" w:hAnsi="Times New Roman" w:cs="Times New Roman"/>
          <w:iCs/>
        </w:rPr>
        <w:br w:type="page"/>
      </w:r>
    </w:p>
    <w:p w14:paraId="1A050348" w14:textId="468E2ABD" w:rsidR="00903662" w:rsidRPr="00903662" w:rsidRDefault="00903662" w:rsidP="00921D81">
      <w:pPr>
        <w:pStyle w:val="Heading3"/>
        <w:spacing w:before="0" w:after="0" w:line="480" w:lineRule="auto"/>
      </w:pPr>
      <w:bookmarkStart w:id="162" w:name="_Toc199884054"/>
      <w:bookmarkStart w:id="163" w:name="_Toc199884771"/>
      <w:bookmarkStart w:id="164" w:name="_Toc200097015"/>
      <w:r w:rsidRPr="00903662">
        <w:lastRenderedPageBreak/>
        <w:t>Background</w:t>
      </w:r>
      <w:bookmarkEnd w:id="162"/>
      <w:bookmarkEnd w:id="163"/>
      <w:bookmarkEnd w:id="164"/>
    </w:p>
    <w:p w14:paraId="4D5B9C6D" w14:textId="4B68E2D5" w:rsidR="00903662" w:rsidRPr="00903662" w:rsidRDefault="00903662" w:rsidP="00921D81">
      <w:pPr>
        <w:spacing w:after="0" w:line="480" w:lineRule="auto"/>
        <w:ind w:firstLine="720"/>
        <w:rPr>
          <w:rFonts w:ascii="Times New Roman" w:hAnsi="Times New Roman" w:cs="Times New Roman"/>
          <w:iCs/>
        </w:rPr>
      </w:pPr>
      <w:r w:rsidRPr="00903662">
        <w:rPr>
          <w:rFonts w:ascii="Times New Roman" w:hAnsi="Times New Roman" w:cs="Times New Roman"/>
          <w:iCs/>
        </w:rPr>
        <w:t xml:space="preserve">Chronic Obstructive Pulmonary Disease (COPD), a chronic inflammatory disease of the lungs, is a major cause of morbidity and mortality in the United States (US) and is frequently associated with multiple comorbidities </w:t>
      </w:r>
      <w:sdt>
        <w:sdtPr>
          <w:rPr>
            <w:rFonts w:ascii="Times New Roman" w:hAnsi="Times New Roman" w:cs="Times New Roman"/>
            <w:iCs/>
            <w:color w:val="000000"/>
          </w:rPr>
          <w:tag w:val="MENDELEY_CITATION_v3_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"/>
          <w:id w:val="1368250034"/>
          <w:placeholder>
            <w:docPart w:val="F40A1EB61D635243B42AE9583CA8F72E"/>
          </w:placeholder>
        </w:sdtPr>
        <w:sdtEndPr/>
        <w:sdtContent>
          <w:r w:rsidR="00572E88" w:rsidRPr="00572E88">
            <w:rPr>
              <w:rFonts w:ascii="Times New Roman" w:hAnsi="Times New Roman" w:cs="Times New Roman"/>
              <w:iCs/>
              <w:color w:val="000000"/>
            </w:rPr>
            <w:t>[2,4,121]</w:t>
          </w:r>
        </w:sdtContent>
      </w:sdt>
      <w:r w:rsidRPr="00903662">
        <w:rPr>
          <w:rFonts w:ascii="Times New Roman" w:hAnsi="Times New Roman" w:cs="Times New Roman"/>
          <w:iCs/>
        </w:rPr>
        <w:t xml:space="preserve">. Approximately 80% of individuals with COPD have at least one comorbidity </w:t>
      </w:r>
      <w:sdt>
        <w:sdtPr>
          <w:rPr>
            <w:rFonts w:ascii="Times New Roman" w:hAnsi="Times New Roman" w:cs="Times New Roman"/>
            <w:iCs/>
            <w:color w:val="000000"/>
          </w:rPr>
          <w:tag w:val="MENDELEY_CITATION_v3_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"/>
          <w:id w:val="1927065524"/>
          <w:placeholder>
            <w:docPart w:val="F40A1EB61D635243B42AE9583CA8F72E"/>
          </w:placeholder>
        </w:sdtPr>
        <w:sdtEndPr/>
        <w:sdtContent>
          <w:r w:rsidR="00572E88" w:rsidRPr="00572E88">
            <w:rPr>
              <w:rFonts w:ascii="Times New Roman" w:hAnsi="Times New Roman" w:cs="Times New Roman"/>
              <w:iCs/>
              <w:color w:val="000000"/>
            </w:rPr>
            <w:t>[14]</w:t>
          </w:r>
        </w:sdtContent>
      </w:sdt>
      <w:r w:rsidRPr="00903662">
        <w:rPr>
          <w:rFonts w:ascii="Times New Roman" w:hAnsi="Times New Roman" w:cs="Times New Roman"/>
          <w:iCs/>
        </w:rPr>
        <w:t xml:space="preserve">. Moreover, the prevalence and number of comorbidities tend to increase with age </w:t>
      </w:r>
      <w:sdt>
        <w:sdtPr>
          <w:rPr>
            <w:rFonts w:ascii="Times New Roman" w:hAnsi="Times New Roman" w:cs="Times New Roman"/>
            <w:iCs/>
            <w:color w:val="000000"/>
          </w:rPr>
          <w:tag w:val="MENDELEY_CITATION_v3_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"/>
          <w:id w:val="885227118"/>
          <w:placeholder>
            <w:docPart w:val="F40A1EB61D635243B42AE9583CA8F72E"/>
          </w:placeholder>
        </w:sdtPr>
        <w:sdtEndPr/>
        <w:sdtContent>
          <w:r w:rsidR="00572E88" w:rsidRPr="00572E88">
            <w:rPr>
              <w:rFonts w:ascii="Times New Roman" w:hAnsi="Times New Roman" w:cs="Times New Roman"/>
              <w:iCs/>
              <w:color w:val="000000"/>
            </w:rPr>
            <w:t>[5]</w:t>
          </w:r>
        </w:sdtContent>
      </w:sdt>
      <w:r w:rsidRPr="00903662">
        <w:rPr>
          <w:rFonts w:ascii="Times New Roman" w:hAnsi="Times New Roman" w:cs="Times New Roman"/>
          <w:iCs/>
        </w:rPr>
        <w:t xml:space="preserve">. The mean number of comorbidities is estimated to be as high as five conditions, although this varies based on the population </w:t>
      </w:r>
      <w:sdt>
        <w:sdtPr>
          <w:rPr>
            <w:rFonts w:ascii="Times New Roman" w:hAnsi="Times New Roman" w:cs="Times New Roman"/>
            <w:iCs/>
            <w:color w:val="000000"/>
          </w:rPr>
          <w:tag w:val="MENDELEY_CITATION_v3_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"/>
          <w:id w:val="-747489399"/>
          <w:placeholder>
            <w:docPart w:val="F40A1EB61D635243B42AE9583CA8F72E"/>
          </w:placeholder>
        </w:sdtPr>
        <w:sdtEndPr/>
        <w:sdtContent>
          <w:r w:rsidR="00572E88" w:rsidRPr="00572E88">
            <w:rPr>
              <w:rFonts w:ascii="Times New Roman" w:hAnsi="Times New Roman" w:cs="Times New Roman"/>
              <w:iCs/>
              <w:color w:val="000000"/>
            </w:rPr>
            <w:t>[196]</w:t>
          </w:r>
        </w:sdtContent>
      </w:sdt>
      <w:r w:rsidRPr="00903662">
        <w:rPr>
          <w:rFonts w:ascii="Times New Roman" w:hAnsi="Times New Roman" w:cs="Times New Roman"/>
          <w:iCs/>
        </w:rPr>
        <w:t xml:space="preserve">. The most commonly reported comorbidities in the general population include multiple cardiovascular outcomes, stroke, hypertension, hyperlipidemia, diabetes, metabolic syndrome, chronic kidney disease, pulmonary and extra-pulmonary cancers, cachexia, skeletal muscle wasting, osteoporosis, gastro-esophageal reflux, anemia, arthritis, depression, sleep apnea, and other respiratory non-malignant respiratory diseases </w:t>
      </w:r>
      <w:sdt>
        <w:sdtPr>
          <w:rPr>
            <w:rFonts w:ascii="Times New Roman" w:hAnsi="Times New Roman" w:cs="Times New Roman"/>
            <w:iCs/>
            <w:color w:val="000000"/>
          </w:rPr>
          <w:tag w:val="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"/>
          <w:id w:val="1843279536"/>
          <w:placeholder>
            <w:docPart w:val="F40A1EB61D635243B42AE9583CA8F72E"/>
          </w:placeholder>
        </w:sdtPr>
        <w:sdtEndPr/>
        <w:sdtContent>
          <w:r w:rsidR="00572E88" w:rsidRPr="00572E88">
            <w:rPr>
              <w:rFonts w:ascii="Times New Roman" w:hAnsi="Times New Roman" w:cs="Times New Roman"/>
              <w:iCs/>
              <w:color w:val="000000"/>
            </w:rPr>
            <w:t>[14,122,123,196–198]</w:t>
          </w:r>
        </w:sdtContent>
      </w:sdt>
      <w:r w:rsidRPr="00903662">
        <w:rPr>
          <w:rFonts w:ascii="Times New Roman" w:hAnsi="Times New Roman" w:cs="Times New Roman"/>
          <w:iCs/>
        </w:rPr>
        <w:t xml:space="preserve">. The presence of these comorbid conditions is associated with poor health outcomes including lower quality of life as well as higher rates of dyspnea, hospitalizations, and mortality </w:t>
      </w:r>
      <w:sdt>
        <w:sdtPr>
          <w:rPr>
            <w:rFonts w:ascii="Times New Roman" w:hAnsi="Times New Roman" w:cs="Times New Roman"/>
            <w:iCs/>
            <w:color w:val="000000"/>
          </w:rPr>
          <w:tag w:val="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"/>
          <w:id w:val="-222605476"/>
          <w:placeholder>
            <w:docPart w:val="F40A1EB61D635243B42AE9583CA8F72E"/>
          </w:placeholder>
        </w:sdtPr>
        <w:sdtEndPr/>
        <w:sdtContent>
          <w:r w:rsidR="00572E88" w:rsidRPr="00572E88">
            <w:rPr>
              <w:rFonts w:ascii="Times New Roman" w:hAnsi="Times New Roman" w:cs="Times New Roman"/>
              <w:iCs/>
              <w:color w:val="000000"/>
            </w:rPr>
            <w:t>[15,94,121,199,200]</w:t>
          </w:r>
        </w:sdtContent>
      </w:sdt>
      <w:r w:rsidRPr="00903662">
        <w:rPr>
          <w:rFonts w:ascii="Times New Roman" w:hAnsi="Times New Roman" w:cs="Times New Roman"/>
          <w:iCs/>
        </w:rPr>
        <w:t xml:space="preserve">. </w:t>
      </w:r>
    </w:p>
    <w:p w14:paraId="214FC7EF" w14:textId="7763186A" w:rsidR="00B33A4A" w:rsidRDefault="00903662" w:rsidP="00921D81">
      <w:pPr>
        <w:spacing w:after="0" w:line="480" w:lineRule="auto"/>
        <w:ind w:firstLine="640"/>
        <w:rPr>
          <w:rFonts w:ascii="Times New Roman" w:hAnsi="Times New Roman" w:cs="Times New Roman"/>
          <w:iCs/>
        </w:rPr>
      </w:pPr>
      <w:r w:rsidRPr="00903662">
        <w:rPr>
          <w:rFonts w:ascii="Times New Roman" w:hAnsi="Times New Roman" w:cs="Times New Roman"/>
          <w:iCs/>
        </w:rPr>
        <w:t xml:space="preserve">In clinical practice, comorbidities are important considerations when making disease management decisions </w:t>
      </w:r>
      <w:sdt>
        <w:sdtPr>
          <w:rPr>
            <w:rFonts w:ascii="Times New Roman" w:hAnsi="Times New Roman" w:cs="Times New Roman"/>
            <w:iCs/>
            <w:color w:val="000000"/>
          </w:rPr>
          <w:tag w:val="MENDELEY_CITATION_v3_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"/>
          <w:id w:val="1607068152"/>
          <w:placeholder>
            <w:docPart w:val="F40A1EB61D635243B42AE9583CA8F72E"/>
          </w:placeholder>
        </w:sdtPr>
        <w:sdtEndPr/>
        <w:sdtContent>
          <w:r w:rsidR="00572E88" w:rsidRPr="00572E88">
            <w:rPr>
              <w:rFonts w:ascii="Times New Roman" w:hAnsi="Times New Roman" w:cs="Times New Roman"/>
              <w:iCs/>
              <w:color w:val="000000"/>
            </w:rPr>
            <w:t>[15,197]</w:t>
          </w:r>
        </w:sdtContent>
      </w:sdt>
      <w:r w:rsidRPr="00903662">
        <w:rPr>
          <w:rFonts w:ascii="Times New Roman" w:hAnsi="Times New Roman" w:cs="Times New Roman"/>
          <w:iCs/>
        </w:rPr>
        <w:t xml:space="preserve">. Therefore, identifying common combinations or clusters of comorbidities and assessing if these disease combinations impact health outcomes is critically important for guiding clinical decisions and case management for improving health outcomes. Significant efforts have been taken to identify comorbid clusters in the general population as well as their impact on disease progression </w:t>
      </w:r>
      <w:sdt>
        <w:sdtPr>
          <w:rPr>
            <w:rFonts w:ascii="Times New Roman" w:hAnsi="Times New Roman" w:cs="Times New Roman"/>
            <w:iCs/>
            <w:color w:val="000000"/>
          </w:rPr>
          <w:tag w:val="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"/>
          <w:id w:val="788706415"/>
          <w:placeholder>
            <w:docPart w:val="B6633B89CEFCE4489FE66321501EBD5A"/>
          </w:placeholder>
        </w:sdtPr>
        <w:sdtEndPr/>
        <w:sdtContent>
          <w:r w:rsidR="00572E88" w:rsidRPr="00572E88">
            <w:rPr>
              <w:rFonts w:ascii="Times New Roman" w:hAnsi="Times New Roman" w:cs="Times New Roman"/>
              <w:iCs/>
              <w:color w:val="000000"/>
            </w:rPr>
            <w:t>[201–205]</w:t>
          </w:r>
        </w:sdtContent>
      </w:sdt>
      <w:r w:rsidRPr="00903662">
        <w:rPr>
          <w:rFonts w:ascii="Times New Roman" w:hAnsi="Times New Roman" w:cs="Times New Roman"/>
          <w:iCs/>
        </w:rPr>
        <w:t xml:space="preserve">. However, information on COPD comorbidities in occupational cohorts is limited. These comorbidities may differ from those in the general population due to differences in exposure experiences related to occupations. These differences, if identified, may be important for guiding clinical management. This is particularly critical </w:t>
      </w:r>
      <w:r w:rsidRPr="00903662">
        <w:rPr>
          <w:rFonts w:ascii="Times New Roman" w:hAnsi="Times New Roman" w:cs="Times New Roman"/>
          <w:iCs/>
        </w:rPr>
        <w:lastRenderedPageBreak/>
        <w:t>among Department of Energy (DOE) workers who historically were exposed to respiratory hazards unique to the work they performed within the DOE complex. It is also possible that the effect of these comorbidities on the progression of COPD may differ in this occupational cohort compared to the general population. Thus, further investigation of COPD related comorbidities in this occupational cohort is warranted to better guide clinical decisions, disease management, and improvement of health outcomes. Therefore, the objectives of this study were to: (1) identify and describe clusters of COPD comorbidities among Department of Energy (DOE) former workers; (2) assess if the attributes of the identified clusters differ from those identified among the general population based on the published literature, and (3) identify predictors of lung function changes and decline among DOE former workers.</w:t>
      </w:r>
    </w:p>
    <w:p w14:paraId="61EF008E" w14:textId="344743D1" w:rsidR="00B33A4A" w:rsidRDefault="000268F9" w:rsidP="00450C23">
      <w:pPr>
        <w:rPr>
          <w:rFonts w:ascii="Times New Roman" w:hAnsi="Times New Roman" w:cs="Times New Roman"/>
          <w:iCs/>
        </w:rPr>
      </w:pPr>
      <w:r>
        <w:rPr>
          <w:rFonts w:ascii="Times New Roman" w:hAnsi="Times New Roman" w:cs="Times New Roman"/>
          <w:iCs/>
        </w:rPr>
        <w:br w:type="page"/>
      </w:r>
    </w:p>
    <w:p w14:paraId="0BFD13BD" w14:textId="08F8DBB9" w:rsidR="00903662" w:rsidRPr="00903662" w:rsidRDefault="00903662" w:rsidP="00823647">
      <w:pPr>
        <w:pStyle w:val="Heading3"/>
        <w:spacing w:before="0" w:after="0" w:line="480" w:lineRule="auto"/>
      </w:pPr>
      <w:bookmarkStart w:id="165" w:name="_Toc199884055"/>
      <w:bookmarkStart w:id="166" w:name="_Toc199884772"/>
      <w:bookmarkStart w:id="167" w:name="_Toc200097016"/>
      <w:r w:rsidRPr="00903662">
        <w:lastRenderedPageBreak/>
        <w:t>Methods</w:t>
      </w:r>
      <w:bookmarkEnd w:id="165"/>
      <w:bookmarkEnd w:id="166"/>
      <w:bookmarkEnd w:id="167"/>
    </w:p>
    <w:p w14:paraId="06EB027F" w14:textId="10C9A328" w:rsidR="00903662" w:rsidRPr="002735C7" w:rsidRDefault="00903662" w:rsidP="00823647">
      <w:pPr>
        <w:pStyle w:val="Heading4"/>
        <w:spacing w:before="0" w:after="0" w:line="480" w:lineRule="auto"/>
        <w:rPr>
          <w:szCs w:val="28"/>
        </w:rPr>
      </w:pPr>
      <w:bookmarkStart w:id="168" w:name="_Toc200097017"/>
      <w:r w:rsidRPr="002735C7">
        <w:rPr>
          <w:szCs w:val="28"/>
        </w:rPr>
        <w:t>Ethical Statement</w:t>
      </w:r>
      <w:bookmarkEnd w:id="168"/>
    </w:p>
    <w:p w14:paraId="15DC7732" w14:textId="3923C943" w:rsidR="00903662" w:rsidRDefault="00903662" w:rsidP="00823647">
      <w:pPr>
        <w:spacing w:after="0" w:line="480" w:lineRule="auto"/>
        <w:ind w:firstLine="720"/>
        <w:rPr>
          <w:rFonts w:ascii="Times New Roman" w:hAnsi="Times New Roman" w:cs="Times New Roman"/>
          <w:iCs/>
        </w:rPr>
      </w:pPr>
      <w:r w:rsidRPr="00903662">
        <w:rPr>
          <w:rFonts w:ascii="Times New Roman" w:hAnsi="Times New Roman" w:cs="Times New Roman"/>
          <w:iCs/>
        </w:rPr>
        <w:t>The United States Central Department of Energy Institutional Review Board (IRB) provided ethics approval and oversight of the study (DOE ID: DOE000645). A waiver of informed consent was granted by the IRB because this was a retrospective study involving analysis of secondary data.</w:t>
      </w:r>
    </w:p>
    <w:p w14:paraId="2B5B74EB" w14:textId="77777777" w:rsidR="00B33A4A" w:rsidRPr="00903662" w:rsidRDefault="00B33A4A" w:rsidP="00823647">
      <w:pPr>
        <w:spacing w:after="0" w:line="480" w:lineRule="auto"/>
        <w:rPr>
          <w:rFonts w:ascii="Times New Roman" w:hAnsi="Times New Roman" w:cs="Times New Roman"/>
          <w:iCs/>
        </w:rPr>
      </w:pPr>
    </w:p>
    <w:p w14:paraId="45D57F13" w14:textId="6EDC0379" w:rsidR="00903662" w:rsidRPr="002735C7" w:rsidRDefault="00903662" w:rsidP="00823647">
      <w:pPr>
        <w:pStyle w:val="Heading4"/>
        <w:spacing w:before="0" w:after="0" w:line="480" w:lineRule="auto"/>
        <w:rPr>
          <w:szCs w:val="28"/>
        </w:rPr>
      </w:pPr>
      <w:bookmarkStart w:id="169" w:name="_Toc200097018"/>
      <w:r w:rsidRPr="002735C7">
        <w:rPr>
          <w:szCs w:val="28"/>
        </w:rPr>
        <w:t>Study Population</w:t>
      </w:r>
      <w:bookmarkEnd w:id="169"/>
    </w:p>
    <w:p w14:paraId="2A78CCF0" w14:textId="3173860D" w:rsidR="00903662" w:rsidRDefault="00903662" w:rsidP="00823647">
      <w:pPr>
        <w:spacing w:after="0" w:line="480" w:lineRule="auto"/>
        <w:ind w:firstLine="720"/>
        <w:rPr>
          <w:rFonts w:ascii="Times New Roman" w:hAnsi="Times New Roman" w:cs="Times New Roman"/>
          <w:iCs/>
        </w:rPr>
      </w:pPr>
      <w:r w:rsidRPr="00903662">
        <w:rPr>
          <w:rFonts w:ascii="Times New Roman" w:hAnsi="Times New Roman" w:cs="Times New Roman"/>
          <w:iCs/>
        </w:rPr>
        <w:t xml:space="preserve">Data for this study were provided by the National Supplemental Screening Program (NSSP), which is a free medical screening program for DOE former workers, contractors, and subcontractors in the US. This voluntary program screens participants for occupational illnesses as well as general health conditions. Participants are eligible for rescreening every three years </w:t>
      </w:r>
      <w:sdt>
        <w:sdtPr>
          <w:rPr>
            <w:rFonts w:ascii="Times New Roman" w:hAnsi="Times New Roman" w:cs="Times New Roman"/>
            <w:iCs/>
            <w:color w:val="000000"/>
          </w:rPr>
          <w:tag w:val="MENDELEY_CITATION_v3_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"/>
          <w:id w:val="-268468717"/>
          <w:placeholder>
            <w:docPart w:val="640E63EB2CE35C458E08854DFF5D58B1"/>
          </w:placeholder>
        </w:sdtPr>
        <w:sdtEndPr/>
        <w:sdtContent>
          <w:r w:rsidR="00572E88" w:rsidRPr="00572E88">
            <w:rPr>
              <w:rFonts w:ascii="Times New Roman" w:hAnsi="Times New Roman" w:cs="Times New Roman"/>
              <w:iCs/>
              <w:color w:val="000000"/>
            </w:rPr>
            <w:t>[16,206]</w:t>
          </w:r>
        </w:sdtContent>
      </w:sdt>
      <w:r w:rsidRPr="00903662">
        <w:rPr>
          <w:rFonts w:ascii="Times New Roman" w:hAnsi="Times New Roman" w:cs="Times New Roman"/>
          <w:iCs/>
        </w:rPr>
        <w:t xml:space="preserve">. Eligibility for this study required participants to complete their initial exam, including spirometry results, before January 1, 2020 (n=18,075). A subset of participants (n=587) was excluded from the study due to their self-reported medical history of restrictive lung diseases such as chronic beryllium disease, silicosis, or asbestosis as these conditions may present with obstructive lung function patterns, potentially leading to misclassification as chronic obstructive pulmonary disease (COPD) (i.e. false positive) </w:t>
      </w:r>
      <w:sdt>
        <w:sdtPr>
          <w:rPr>
            <w:rFonts w:ascii="Times New Roman" w:hAnsi="Times New Roman" w:cs="Times New Roman"/>
            <w:iCs/>
            <w:color w:val="000000"/>
          </w:rPr>
          <w:tag w:val="MENDELEY_CITATION_v3_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"/>
          <w:id w:val="1343743717"/>
          <w:placeholder>
            <w:docPart w:val="640E63EB2CE35C458E08854DFF5D58B1"/>
          </w:placeholder>
        </w:sdtPr>
        <w:sdtEndPr/>
        <w:sdtContent>
          <w:r w:rsidR="00572E88" w:rsidRPr="00572E88">
            <w:rPr>
              <w:rFonts w:ascii="Times New Roman" w:hAnsi="Times New Roman" w:cs="Times New Roman"/>
              <w:iCs/>
              <w:color w:val="000000"/>
            </w:rPr>
            <w:t>[165]</w:t>
          </w:r>
        </w:sdtContent>
      </w:sdt>
      <w:r w:rsidRPr="00903662">
        <w:rPr>
          <w:rFonts w:ascii="Times New Roman" w:hAnsi="Times New Roman" w:cs="Times New Roman"/>
          <w:iCs/>
        </w:rPr>
        <w:t>. For individuals with repeated clinical tests, only the results from the initial and first rescreen exam were assessed in this study. The final full cohort for this study had 17,488 participants.</w:t>
      </w:r>
    </w:p>
    <w:p w14:paraId="3444988C" w14:textId="77777777" w:rsidR="00823647" w:rsidRPr="00903662" w:rsidRDefault="00823647" w:rsidP="00823647">
      <w:pPr>
        <w:spacing w:after="0" w:line="480" w:lineRule="auto"/>
        <w:rPr>
          <w:rFonts w:ascii="Times New Roman" w:hAnsi="Times New Roman" w:cs="Times New Roman"/>
          <w:iCs/>
        </w:rPr>
      </w:pPr>
    </w:p>
    <w:p w14:paraId="775AEADA" w14:textId="1E8830E5" w:rsidR="00903662" w:rsidRPr="002735C7" w:rsidRDefault="00903662" w:rsidP="00823647">
      <w:pPr>
        <w:pStyle w:val="Heading4"/>
        <w:spacing w:before="0" w:after="0" w:line="480" w:lineRule="auto"/>
        <w:rPr>
          <w:szCs w:val="28"/>
        </w:rPr>
      </w:pPr>
      <w:bookmarkStart w:id="170" w:name="_Toc200097019"/>
      <w:r w:rsidRPr="002735C7">
        <w:rPr>
          <w:szCs w:val="28"/>
        </w:rPr>
        <w:lastRenderedPageBreak/>
        <w:t>Data sources and preparation</w:t>
      </w:r>
      <w:bookmarkEnd w:id="170"/>
    </w:p>
    <w:p w14:paraId="75F09AF6" w14:textId="4C5E7199" w:rsidR="00903662" w:rsidRPr="00903662" w:rsidRDefault="00903662" w:rsidP="00823647">
      <w:pPr>
        <w:pStyle w:val="Heading5"/>
        <w:spacing w:before="0" w:after="0" w:line="480" w:lineRule="auto"/>
      </w:pPr>
      <w:bookmarkStart w:id="171" w:name="_Toc200097020"/>
      <w:r w:rsidRPr="00903662">
        <w:t>Chronic obstructive pulmonary disease definition</w:t>
      </w:r>
      <w:bookmarkEnd w:id="171"/>
    </w:p>
    <w:p w14:paraId="05441ECE" w14:textId="5F10CB2E" w:rsidR="00903662" w:rsidRDefault="00903662" w:rsidP="00823647">
      <w:pPr>
        <w:spacing w:after="0" w:line="480" w:lineRule="auto"/>
        <w:ind w:firstLine="720"/>
        <w:rPr>
          <w:rFonts w:ascii="Times New Roman" w:hAnsi="Times New Roman" w:cs="Times New Roman"/>
          <w:iCs/>
        </w:rPr>
      </w:pPr>
      <w:r w:rsidRPr="00903662">
        <w:rPr>
          <w:rFonts w:ascii="Times New Roman" w:hAnsi="Times New Roman" w:cs="Times New Roman"/>
          <w:iCs/>
        </w:rPr>
        <w:t>Chronic obstructive pulmonary disease (COPD) was classified using the Global Initiative for Chronic Obstructive Lung Disease (GOLD) criterion, which compares the ratio of forced expiratory volume in one second (FEV</w:t>
      </w:r>
      <w:r w:rsidRPr="00903662">
        <w:rPr>
          <w:rFonts w:ascii="Times New Roman" w:hAnsi="Times New Roman" w:cs="Times New Roman"/>
          <w:iCs/>
          <w:vertAlign w:val="subscript"/>
        </w:rPr>
        <w:t>1</w:t>
      </w:r>
      <w:r w:rsidRPr="00903662">
        <w:rPr>
          <w:rFonts w:ascii="Times New Roman" w:hAnsi="Times New Roman" w:cs="Times New Roman"/>
          <w:iCs/>
        </w:rPr>
        <w:t xml:space="preserve">) to forced vital capacity (FVC) with a fixed standard of 0.7 </w:t>
      </w:r>
      <w:sdt>
        <w:sdtPr>
          <w:rPr>
            <w:rFonts w:ascii="Times New Roman" w:hAnsi="Times New Roman" w:cs="Times New Roman"/>
            <w:iCs/>
            <w:color w:val="000000"/>
          </w:rPr>
          <w:tag w:val="MENDELEY_CITATION_v3_eyJjaXRhdGlvbklEIjoiTUVOREVMRVlfQ0lUQVRJT05fZDI1NDk5NTAtZTM0Mi00YTU1LWFhOGMtZTQwMTQ0MzkwNzhk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
          <w:id w:val="-1802450468"/>
          <w:placeholder>
            <w:docPart w:val="640E63EB2CE35C458E08854DFF5D58B1"/>
          </w:placeholder>
        </w:sdtPr>
        <w:sdtEndPr/>
        <w:sdtContent>
          <w:r w:rsidR="00572E88" w:rsidRPr="00572E88">
            <w:rPr>
              <w:rFonts w:ascii="Times New Roman" w:hAnsi="Times New Roman" w:cs="Times New Roman"/>
              <w:iCs/>
              <w:color w:val="000000"/>
            </w:rPr>
            <w:t>[6]</w:t>
          </w:r>
        </w:sdtContent>
      </w:sdt>
      <w:r w:rsidRPr="00903662">
        <w:rPr>
          <w:rFonts w:ascii="Times New Roman" w:hAnsi="Times New Roman" w:cs="Times New Roman"/>
          <w:iCs/>
        </w:rPr>
        <w:t>. If the FEV</w:t>
      </w:r>
      <w:r w:rsidRPr="00903662">
        <w:rPr>
          <w:rFonts w:ascii="Times New Roman" w:hAnsi="Times New Roman" w:cs="Times New Roman"/>
          <w:iCs/>
          <w:vertAlign w:val="subscript"/>
        </w:rPr>
        <w:t>1</w:t>
      </w:r>
      <w:r w:rsidRPr="00903662">
        <w:rPr>
          <w:rFonts w:ascii="Times New Roman" w:hAnsi="Times New Roman" w:cs="Times New Roman"/>
          <w:iCs/>
        </w:rPr>
        <w:t>/FVC ratio was less than the fixed standard (i.e. FEV</w:t>
      </w:r>
      <w:r w:rsidRPr="00903662">
        <w:rPr>
          <w:rFonts w:ascii="Times New Roman" w:hAnsi="Times New Roman" w:cs="Times New Roman"/>
          <w:iCs/>
          <w:vertAlign w:val="subscript"/>
        </w:rPr>
        <w:t>1</w:t>
      </w:r>
      <w:r w:rsidRPr="00903662">
        <w:rPr>
          <w:rFonts w:ascii="Times New Roman" w:hAnsi="Times New Roman" w:cs="Times New Roman"/>
          <w:iCs/>
        </w:rPr>
        <w:t xml:space="preserve">/FVC &lt;0.7), then the individual was considered to have COPD </w:t>
      </w:r>
      <w:sdt>
        <w:sdtPr>
          <w:rPr>
            <w:rFonts w:ascii="Times New Roman" w:hAnsi="Times New Roman" w:cs="Times New Roman"/>
            <w:iCs/>
            <w:color w:val="000000"/>
          </w:rPr>
          <w:tag w:val="MENDELEY_CITATION_v3_eyJjaXRhdGlvbklEIjoiTUVOREVMRVlfQ0lUQVRJT05fNjNiOWE1OTAtNTU1My00M2RhLWExMDUtNTg2MWY4MDc4MTAy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
          <w:id w:val="-2103869545"/>
          <w:placeholder>
            <w:docPart w:val="640E63EB2CE35C458E08854DFF5D58B1"/>
          </w:placeholder>
        </w:sdtPr>
        <w:sdtEndPr/>
        <w:sdtContent>
          <w:r w:rsidR="00572E88" w:rsidRPr="00572E88">
            <w:rPr>
              <w:rFonts w:ascii="Times New Roman" w:hAnsi="Times New Roman" w:cs="Times New Roman"/>
              <w:iCs/>
              <w:color w:val="000000"/>
            </w:rPr>
            <w:t>[6]</w:t>
          </w:r>
        </w:sdtContent>
      </w:sdt>
      <w:r w:rsidRPr="00903662">
        <w:rPr>
          <w:rFonts w:ascii="Times New Roman" w:hAnsi="Times New Roman" w:cs="Times New Roman"/>
          <w:iCs/>
        </w:rPr>
        <w:t>. For descriptive purposes, COPD severity was also categorized as mild (FEV</w:t>
      </w:r>
      <w:r w:rsidRPr="00903662">
        <w:rPr>
          <w:rFonts w:ascii="Times New Roman" w:hAnsi="Times New Roman" w:cs="Times New Roman"/>
          <w:iCs/>
          <w:vertAlign w:val="subscript"/>
        </w:rPr>
        <w:t>1</w:t>
      </w:r>
      <w:r w:rsidRPr="00903662">
        <w:rPr>
          <w:rFonts w:ascii="Times New Roman" w:hAnsi="Times New Roman" w:cs="Times New Roman"/>
          <w:iCs/>
        </w:rPr>
        <w:t xml:space="preserve"> ≥ 80% of predicted), moderate (FEV</w:t>
      </w:r>
      <w:r w:rsidRPr="00903662">
        <w:rPr>
          <w:rFonts w:ascii="Times New Roman" w:hAnsi="Times New Roman" w:cs="Times New Roman"/>
          <w:iCs/>
          <w:vertAlign w:val="subscript"/>
        </w:rPr>
        <w:t>1</w:t>
      </w:r>
      <w:r w:rsidRPr="00903662">
        <w:rPr>
          <w:rFonts w:ascii="Times New Roman" w:hAnsi="Times New Roman" w:cs="Times New Roman"/>
          <w:iCs/>
        </w:rPr>
        <w:t xml:space="preserve"> 50-79% of predicted), severe (FEV</w:t>
      </w:r>
      <w:r w:rsidRPr="00903662">
        <w:rPr>
          <w:rFonts w:ascii="Times New Roman" w:hAnsi="Times New Roman" w:cs="Times New Roman"/>
          <w:iCs/>
          <w:vertAlign w:val="subscript"/>
        </w:rPr>
        <w:t>1</w:t>
      </w:r>
      <w:r w:rsidRPr="00903662">
        <w:rPr>
          <w:rFonts w:ascii="Times New Roman" w:hAnsi="Times New Roman" w:cs="Times New Roman"/>
          <w:iCs/>
        </w:rPr>
        <w:t xml:space="preserve"> 30-49% of predicted), and very severe (FEV</w:t>
      </w:r>
      <w:r w:rsidRPr="00903662">
        <w:rPr>
          <w:rFonts w:ascii="Times New Roman" w:hAnsi="Times New Roman" w:cs="Times New Roman"/>
          <w:iCs/>
          <w:vertAlign w:val="subscript"/>
        </w:rPr>
        <w:t>1</w:t>
      </w:r>
      <w:r w:rsidRPr="00903662">
        <w:rPr>
          <w:rFonts w:ascii="Times New Roman" w:hAnsi="Times New Roman" w:cs="Times New Roman"/>
          <w:iCs/>
        </w:rPr>
        <w:t xml:space="preserve"> &lt; 30% of predicted) </w:t>
      </w:r>
      <w:sdt>
        <w:sdtPr>
          <w:rPr>
            <w:rFonts w:ascii="Times New Roman" w:hAnsi="Times New Roman" w:cs="Times New Roman"/>
            <w:iCs/>
            <w:color w:val="000000"/>
          </w:rPr>
          <w:tag w:val="MENDELEY_CITATION_v3_eyJjaXRhdGlvbklEIjoiTUVOREVMRVlfQ0lUQVRJT05fY2VkOTg5M2UtYzk3Yy00NDcxLThkZmEtNTI5NmE0M2ZhYjlmIiwicHJvcGVydGllcyI6eyJub3RlSW5kZXgiOjB9LCJpc0VkaXRlZCI6ZmFsc2UsIm1hbnVhbE92ZXJyaWRlIjp7ImlzTWFudWFsbHlPdmVycmlkZGVuIjpmYWxzZSwiY2l0ZXByb2NUZXh0IjoiWzYsMjF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"/>
          <w:id w:val="-1387104929"/>
          <w:placeholder>
            <w:docPart w:val="640E63EB2CE35C458E08854DFF5D58B1"/>
          </w:placeholder>
        </w:sdtPr>
        <w:sdtEndPr/>
        <w:sdtContent>
          <w:r w:rsidR="00572E88" w:rsidRPr="00572E88">
            <w:rPr>
              <w:rFonts w:ascii="Times New Roman" w:hAnsi="Times New Roman" w:cs="Times New Roman"/>
              <w:iCs/>
              <w:color w:val="000000"/>
            </w:rPr>
            <w:t>[6,21]</w:t>
          </w:r>
        </w:sdtContent>
      </w:sdt>
      <w:r w:rsidRPr="00903662">
        <w:rPr>
          <w:rFonts w:ascii="Times New Roman" w:hAnsi="Times New Roman" w:cs="Times New Roman"/>
          <w:iCs/>
        </w:rPr>
        <w:t>.</w:t>
      </w:r>
    </w:p>
    <w:p w14:paraId="30C4A6B6" w14:textId="77777777" w:rsidR="00B33A4A" w:rsidRPr="00903662" w:rsidRDefault="00B33A4A" w:rsidP="00823647">
      <w:pPr>
        <w:spacing w:after="0" w:line="480" w:lineRule="auto"/>
        <w:rPr>
          <w:rFonts w:ascii="Times New Roman" w:hAnsi="Times New Roman" w:cs="Times New Roman"/>
          <w:iCs/>
        </w:rPr>
      </w:pPr>
    </w:p>
    <w:p w14:paraId="215E867A" w14:textId="049538C6" w:rsidR="00903662" w:rsidRPr="00903662" w:rsidRDefault="00903662" w:rsidP="00823647">
      <w:pPr>
        <w:pStyle w:val="Heading5"/>
        <w:spacing w:before="0" w:after="0" w:line="480" w:lineRule="auto"/>
      </w:pPr>
      <w:bookmarkStart w:id="172" w:name="_Toc200097021"/>
      <w:r w:rsidRPr="00903662">
        <w:t>Comorbidities Data</w:t>
      </w:r>
      <w:bookmarkEnd w:id="172"/>
    </w:p>
    <w:p w14:paraId="7EAA8078" w14:textId="5ACDC9A1" w:rsidR="00682FAC" w:rsidRPr="00B631C6" w:rsidRDefault="00903662" w:rsidP="00823647">
      <w:pPr>
        <w:spacing w:after="0" w:line="480" w:lineRule="auto"/>
        <w:ind w:firstLine="720"/>
        <w:rPr>
          <w:rFonts w:ascii="Times New Roman" w:hAnsi="Times New Roman" w:cs="Times New Roman"/>
          <w:iCs/>
        </w:rPr>
      </w:pPr>
      <w:r w:rsidRPr="00903662">
        <w:rPr>
          <w:rFonts w:ascii="Times New Roman" w:hAnsi="Times New Roman" w:cs="Times New Roman"/>
          <w:iCs/>
        </w:rPr>
        <w:t>The comorbid conditions considered for investigation were identified from the scientific literature and the data extracted from participants’ self-reported medical histories. The conditions assessed included: myocardial infarction, coronary artery disease, hypertension, stroke, underweight, overweight or obese, kidney problems, rheumatoid arthritis, asthma, diabetes, lung cancer, and non-pulmonary cancer. Participants who reported a diagnosis of diabetes or who reported routine insulin use were classified as having a history of diabetes. Additionally, participants who reported any indication of cancer occurring outside of the lungs were classified as having non-pulmonary cancers. The remaining comorbidities were extracted as binary indicators (Yes/No) from the medical histories (</w:t>
      </w:r>
      <w:r w:rsidRPr="007B23A4">
        <w:rPr>
          <w:rFonts w:ascii="Times New Roman" w:hAnsi="Times New Roman" w:cs="Times New Roman"/>
        </w:rPr>
        <w:t xml:space="preserve">Table </w:t>
      </w:r>
      <w:r w:rsidR="007B23A4" w:rsidRPr="007B23A4">
        <w:rPr>
          <w:rFonts w:ascii="Times New Roman" w:hAnsi="Times New Roman" w:cs="Times New Roman"/>
        </w:rPr>
        <w:t>4.</w:t>
      </w:r>
      <w:r w:rsidRPr="007B23A4">
        <w:rPr>
          <w:rFonts w:ascii="Times New Roman" w:hAnsi="Times New Roman" w:cs="Times New Roman"/>
        </w:rPr>
        <w:t>1</w:t>
      </w:r>
      <w:r w:rsidRPr="00903662">
        <w:rPr>
          <w:rFonts w:ascii="Times New Roman" w:hAnsi="Times New Roman" w:cs="Times New Roman"/>
          <w:iCs/>
        </w:rPr>
        <w:t>).</w:t>
      </w:r>
      <w:bookmarkStart w:id="173" w:name="_Toc199886036"/>
      <w:r w:rsidR="00682FAC">
        <w:br w:type="page"/>
      </w:r>
    </w:p>
    <w:p w14:paraId="29BE7E2E" w14:textId="201271F5" w:rsidR="00160EDF" w:rsidRDefault="00160EDF" w:rsidP="00823647">
      <w:pPr>
        <w:pStyle w:val="Caption"/>
        <w:spacing w:after="0"/>
      </w:pPr>
      <w:bookmarkStart w:id="174" w:name="_Toc200097053"/>
      <w:r>
        <w:lastRenderedPageBreak/>
        <w:t xml:space="preserve">Table </w:t>
      </w:r>
      <w:r w:rsidR="00450C23">
        <w:fldChar w:fldCharType="begin"/>
      </w:r>
      <w:r w:rsidR="00450C23">
        <w:instrText xml:space="preserve"> STYLEREF 1 \s </w:instrText>
      </w:r>
      <w:r w:rsidR="00450C23">
        <w:fldChar w:fldCharType="separate"/>
      </w:r>
      <w:r w:rsidR="005D69AE">
        <w:rPr>
          <w:noProof/>
        </w:rPr>
        <w:t>4</w:t>
      </w:r>
      <w:r w:rsidR="00450C23">
        <w:rPr>
          <w:noProof/>
        </w:rPr>
        <w:fldChar w:fldCharType="end"/>
      </w:r>
      <w:r w:rsidR="005D69AE">
        <w:t>.</w:t>
      </w:r>
      <w:r w:rsidR="00450C23">
        <w:fldChar w:fldCharType="begin"/>
      </w:r>
      <w:r w:rsidR="00450C23">
        <w:instrText xml:space="preserve"> SEQ Table \* ARABIC \s 1 </w:instrText>
      </w:r>
      <w:r w:rsidR="00450C23">
        <w:fldChar w:fldCharType="separate"/>
      </w:r>
      <w:r w:rsidR="005D69AE">
        <w:rPr>
          <w:noProof/>
        </w:rPr>
        <w:t>1</w:t>
      </w:r>
      <w:r w:rsidR="00450C23">
        <w:rPr>
          <w:noProof/>
        </w:rPr>
        <w:fldChar w:fldCharType="end"/>
      </w:r>
      <w:r>
        <w:t xml:space="preserve">. </w:t>
      </w:r>
      <w:r w:rsidRPr="00BB5E0F">
        <w:t>Variables investigated for potential association with lung function changes.</w:t>
      </w:r>
      <w:bookmarkEnd w:id="173"/>
      <w:bookmarkEnd w:id="174"/>
    </w:p>
    <w:tbl>
      <w:tblPr>
        <w:tblStyle w:val="TableGrid"/>
        <w:tblW w:w="981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5310"/>
      </w:tblGrid>
      <w:tr w:rsidR="00160EDF" w14:paraId="3899B69D" w14:textId="77777777" w:rsidTr="00292FA2">
        <w:tc>
          <w:tcPr>
            <w:tcW w:w="4500" w:type="dxa"/>
            <w:tcBorders>
              <w:top w:val="single" w:sz="12" w:space="0" w:color="auto"/>
              <w:bottom w:val="single" w:sz="12" w:space="0" w:color="auto"/>
            </w:tcBorders>
          </w:tcPr>
          <w:p w14:paraId="03A343F6" w14:textId="77777777" w:rsidR="00160EDF" w:rsidRPr="00604407" w:rsidRDefault="00160EDF" w:rsidP="00292FA2">
            <w:pPr>
              <w:jc w:val="center"/>
              <w:rPr>
                <w:rFonts w:ascii="Times New Roman" w:hAnsi="Times New Roman" w:cs="Times New Roman"/>
                <w:b/>
                <w:bCs/>
              </w:rPr>
            </w:pPr>
            <w:r w:rsidRPr="00604407">
              <w:rPr>
                <w:rFonts w:ascii="Times New Roman" w:hAnsi="Times New Roman" w:cs="Times New Roman"/>
                <w:b/>
                <w:bCs/>
              </w:rPr>
              <w:t>Variable</w:t>
            </w:r>
          </w:p>
        </w:tc>
        <w:tc>
          <w:tcPr>
            <w:tcW w:w="5310" w:type="dxa"/>
            <w:tcBorders>
              <w:top w:val="single" w:sz="12" w:space="0" w:color="auto"/>
              <w:bottom w:val="single" w:sz="12" w:space="0" w:color="auto"/>
            </w:tcBorders>
          </w:tcPr>
          <w:p w14:paraId="2972EA78" w14:textId="77777777" w:rsidR="00160EDF" w:rsidRPr="00604407" w:rsidRDefault="00160EDF" w:rsidP="00292FA2">
            <w:pPr>
              <w:jc w:val="center"/>
              <w:rPr>
                <w:rFonts w:ascii="Times New Roman" w:hAnsi="Times New Roman" w:cs="Times New Roman"/>
                <w:b/>
                <w:bCs/>
              </w:rPr>
            </w:pPr>
            <w:r w:rsidRPr="00604407">
              <w:rPr>
                <w:rFonts w:ascii="Times New Roman" w:hAnsi="Times New Roman" w:cs="Times New Roman"/>
                <w:b/>
                <w:bCs/>
              </w:rPr>
              <w:t>Variable Definition</w:t>
            </w:r>
          </w:p>
        </w:tc>
      </w:tr>
      <w:tr w:rsidR="00160EDF" w14:paraId="150379EB" w14:textId="77777777" w:rsidTr="00292FA2">
        <w:tc>
          <w:tcPr>
            <w:tcW w:w="9810" w:type="dxa"/>
            <w:gridSpan w:val="2"/>
            <w:tcBorders>
              <w:top w:val="single" w:sz="12" w:space="0" w:color="auto"/>
            </w:tcBorders>
          </w:tcPr>
          <w:p w14:paraId="7BFF87A3" w14:textId="77777777" w:rsidR="00160EDF" w:rsidRDefault="00160EDF" w:rsidP="00D906FC">
            <w:pPr>
              <w:rPr>
                <w:rFonts w:ascii="Times New Roman" w:hAnsi="Times New Roman" w:cs="Times New Roman"/>
              </w:rPr>
            </w:pPr>
            <w:r w:rsidRPr="00604407">
              <w:rPr>
                <w:rFonts w:ascii="Times New Roman" w:hAnsi="Times New Roman" w:cs="Times New Roman"/>
                <w:b/>
                <w:bCs/>
              </w:rPr>
              <w:t>Demographic</w:t>
            </w:r>
            <w:r>
              <w:rPr>
                <w:rFonts w:ascii="Times New Roman" w:hAnsi="Times New Roman" w:cs="Times New Roman"/>
                <w:b/>
                <w:bCs/>
              </w:rPr>
              <w:t xml:space="preserve">, Clinical, &amp; Behavioral </w:t>
            </w:r>
          </w:p>
        </w:tc>
      </w:tr>
      <w:tr w:rsidR="00160EDF" w14:paraId="69BFDBA2" w14:textId="77777777" w:rsidTr="00476140">
        <w:tc>
          <w:tcPr>
            <w:tcW w:w="4500" w:type="dxa"/>
          </w:tcPr>
          <w:p w14:paraId="4168F008" w14:textId="77777777" w:rsidR="00160EDF" w:rsidRDefault="00160EDF" w:rsidP="00D906FC">
            <w:pPr>
              <w:rPr>
                <w:rFonts w:ascii="Times New Roman" w:hAnsi="Times New Roman" w:cs="Times New Roman"/>
              </w:rPr>
            </w:pPr>
            <w:r>
              <w:rPr>
                <w:rFonts w:ascii="Times New Roman" w:hAnsi="Times New Roman" w:cs="Times New Roman"/>
              </w:rPr>
              <w:t xml:space="preserve">     Age at Initial Exam (in Years)</w:t>
            </w:r>
          </w:p>
        </w:tc>
        <w:tc>
          <w:tcPr>
            <w:tcW w:w="5310" w:type="dxa"/>
          </w:tcPr>
          <w:p w14:paraId="71CD3D91" w14:textId="77777777" w:rsidR="00160EDF" w:rsidRDefault="00160EDF" w:rsidP="00D906FC">
            <w:pPr>
              <w:rPr>
                <w:rFonts w:ascii="Times New Roman" w:hAnsi="Times New Roman" w:cs="Times New Roman"/>
              </w:rPr>
            </w:pPr>
            <w:r>
              <w:rPr>
                <w:rFonts w:ascii="Times New Roman" w:hAnsi="Times New Roman" w:cs="Times New Roman"/>
              </w:rPr>
              <w:t xml:space="preserve">Age of study participant at initial exam </w:t>
            </w:r>
          </w:p>
        </w:tc>
      </w:tr>
      <w:tr w:rsidR="00160EDF" w14:paraId="32E36A95" w14:textId="77777777" w:rsidTr="00476140">
        <w:tc>
          <w:tcPr>
            <w:tcW w:w="4500" w:type="dxa"/>
          </w:tcPr>
          <w:p w14:paraId="0059CEB7" w14:textId="77777777" w:rsidR="00160EDF" w:rsidRDefault="00160EDF" w:rsidP="00D906FC">
            <w:pPr>
              <w:rPr>
                <w:rFonts w:ascii="Times New Roman" w:hAnsi="Times New Roman" w:cs="Times New Roman"/>
              </w:rPr>
            </w:pPr>
            <w:r>
              <w:rPr>
                <w:rFonts w:ascii="Times New Roman" w:hAnsi="Times New Roman" w:cs="Times New Roman"/>
              </w:rPr>
              <w:t xml:space="preserve">     Time between Exams (in Years)</w:t>
            </w:r>
          </w:p>
        </w:tc>
        <w:tc>
          <w:tcPr>
            <w:tcW w:w="5310" w:type="dxa"/>
          </w:tcPr>
          <w:p w14:paraId="105BF56F" w14:textId="77777777" w:rsidR="00160EDF" w:rsidRDefault="00160EDF" w:rsidP="00D906FC">
            <w:pPr>
              <w:rPr>
                <w:rFonts w:ascii="Times New Roman" w:hAnsi="Times New Roman" w:cs="Times New Roman"/>
              </w:rPr>
            </w:pPr>
            <w:r>
              <w:rPr>
                <w:rFonts w:ascii="Times New Roman" w:hAnsi="Times New Roman" w:cs="Times New Roman"/>
              </w:rPr>
              <w:t>Time from initial exam to rescreen exam</w:t>
            </w:r>
          </w:p>
        </w:tc>
      </w:tr>
      <w:tr w:rsidR="00160EDF" w14:paraId="175653A4" w14:textId="77777777" w:rsidTr="00476140">
        <w:tc>
          <w:tcPr>
            <w:tcW w:w="4500" w:type="dxa"/>
          </w:tcPr>
          <w:p w14:paraId="597CB45E" w14:textId="77777777" w:rsidR="00160EDF" w:rsidRDefault="00160EDF" w:rsidP="00D906FC">
            <w:pPr>
              <w:rPr>
                <w:rFonts w:ascii="Times New Roman" w:hAnsi="Times New Roman" w:cs="Times New Roman"/>
              </w:rPr>
            </w:pPr>
            <w:r>
              <w:rPr>
                <w:rFonts w:ascii="Times New Roman" w:hAnsi="Times New Roman" w:cs="Times New Roman"/>
              </w:rPr>
              <w:t xml:space="preserve">     </w:t>
            </w:r>
            <w:r w:rsidRPr="0085476F">
              <w:rPr>
                <w:rFonts w:ascii="Times New Roman" w:hAnsi="Times New Roman" w:cs="Times New Roman"/>
                <w:vertAlign w:val="superscript"/>
              </w:rPr>
              <w:t>1</w:t>
            </w:r>
            <w:r>
              <w:rPr>
                <w:rFonts w:ascii="Times New Roman" w:hAnsi="Times New Roman" w:cs="Times New Roman"/>
              </w:rPr>
              <w:t>FEV</w:t>
            </w:r>
            <w:r>
              <w:rPr>
                <w:rFonts w:ascii="Times New Roman" w:hAnsi="Times New Roman" w:cs="Times New Roman"/>
                <w:vertAlign w:val="subscript"/>
              </w:rPr>
              <w:t>1</w:t>
            </w:r>
            <w:r>
              <w:rPr>
                <w:rFonts w:ascii="Times New Roman" w:hAnsi="Times New Roman" w:cs="Times New Roman"/>
              </w:rPr>
              <w:t xml:space="preserve"> at Initial Exam</w:t>
            </w:r>
          </w:p>
        </w:tc>
        <w:tc>
          <w:tcPr>
            <w:tcW w:w="5310" w:type="dxa"/>
          </w:tcPr>
          <w:p w14:paraId="20206F30" w14:textId="77777777" w:rsidR="00160EDF" w:rsidRDefault="00160EDF" w:rsidP="00D906FC">
            <w:pPr>
              <w:rPr>
                <w:rFonts w:ascii="Times New Roman" w:hAnsi="Times New Roman" w:cs="Times New Roman"/>
              </w:rPr>
            </w:pPr>
            <w:r>
              <w:rPr>
                <w:rFonts w:ascii="Times New Roman" w:hAnsi="Times New Roman" w:cs="Times New Roman"/>
              </w:rPr>
              <w:t>Captured at initial exam</w:t>
            </w:r>
          </w:p>
        </w:tc>
      </w:tr>
      <w:tr w:rsidR="00160EDF" w14:paraId="78B50E31" w14:textId="77777777" w:rsidTr="00476140">
        <w:tc>
          <w:tcPr>
            <w:tcW w:w="4500" w:type="dxa"/>
          </w:tcPr>
          <w:p w14:paraId="65D36DD4" w14:textId="77777777" w:rsidR="00160EDF" w:rsidRDefault="00160EDF" w:rsidP="00D906FC">
            <w:pPr>
              <w:rPr>
                <w:rFonts w:ascii="Times New Roman" w:hAnsi="Times New Roman" w:cs="Times New Roman"/>
              </w:rPr>
            </w:pPr>
            <w:r>
              <w:rPr>
                <w:rFonts w:ascii="Times New Roman" w:hAnsi="Times New Roman" w:cs="Times New Roman"/>
              </w:rPr>
              <w:t xml:space="preserve">     Race</w:t>
            </w:r>
          </w:p>
        </w:tc>
        <w:tc>
          <w:tcPr>
            <w:tcW w:w="5310" w:type="dxa"/>
          </w:tcPr>
          <w:p w14:paraId="7B294124" w14:textId="77777777" w:rsidR="00160EDF" w:rsidRDefault="00160EDF" w:rsidP="00D906FC">
            <w:pPr>
              <w:rPr>
                <w:rFonts w:ascii="Times New Roman" w:hAnsi="Times New Roman" w:cs="Times New Roman"/>
              </w:rPr>
            </w:pPr>
            <w:r>
              <w:rPr>
                <w:rFonts w:ascii="Times New Roman" w:hAnsi="Times New Roman" w:cs="Times New Roman"/>
              </w:rPr>
              <w:t>Classified as black or non-Black</w:t>
            </w:r>
          </w:p>
        </w:tc>
      </w:tr>
      <w:tr w:rsidR="00160EDF" w14:paraId="45CC0AE6" w14:textId="77777777" w:rsidTr="00476140">
        <w:tc>
          <w:tcPr>
            <w:tcW w:w="4500" w:type="dxa"/>
          </w:tcPr>
          <w:p w14:paraId="54EE616A" w14:textId="77777777" w:rsidR="00160EDF" w:rsidRDefault="00160EDF" w:rsidP="00D906FC">
            <w:pPr>
              <w:rPr>
                <w:rFonts w:ascii="Times New Roman" w:hAnsi="Times New Roman" w:cs="Times New Roman"/>
              </w:rPr>
            </w:pPr>
            <w:r>
              <w:rPr>
                <w:rFonts w:ascii="Times New Roman" w:hAnsi="Times New Roman" w:cs="Times New Roman"/>
              </w:rPr>
              <w:t xml:space="preserve">     Sex</w:t>
            </w:r>
          </w:p>
        </w:tc>
        <w:tc>
          <w:tcPr>
            <w:tcW w:w="5310" w:type="dxa"/>
          </w:tcPr>
          <w:p w14:paraId="581C03D6" w14:textId="77777777" w:rsidR="00160EDF" w:rsidRDefault="00160EDF" w:rsidP="00D906FC">
            <w:pPr>
              <w:rPr>
                <w:rFonts w:ascii="Times New Roman" w:hAnsi="Times New Roman" w:cs="Times New Roman"/>
              </w:rPr>
            </w:pPr>
            <w:r>
              <w:rPr>
                <w:rFonts w:ascii="Times New Roman" w:hAnsi="Times New Roman" w:cs="Times New Roman"/>
              </w:rPr>
              <w:t>Categorized as male or female</w:t>
            </w:r>
          </w:p>
        </w:tc>
      </w:tr>
      <w:tr w:rsidR="00160EDF" w14:paraId="20137705" w14:textId="77777777" w:rsidTr="004B40E0">
        <w:tc>
          <w:tcPr>
            <w:tcW w:w="4500" w:type="dxa"/>
            <w:tcBorders>
              <w:bottom w:val="nil"/>
            </w:tcBorders>
          </w:tcPr>
          <w:p w14:paraId="3FCAF172" w14:textId="77777777" w:rsidR="00160EDF" w:rsidRDefault="00160EDF" w:rsidP="00D906FC">
            <w:pPr>
              <w:rPr>
                <w:rFonts w:ascii="Times New Roman" w:hAnsi="Times New Roman" w:cs="Times New Roman"/>
              </w:rPr>
            </w:pPr>
            <w:r>
              <w:rPr>
                <w:rFonts w:ascii="Times New Roman" w:hAnsi="Times New Roman" w:cs="Times New Roman"/>
              </w:rPr>
              <w:t xml:space="preserve">     Smoking Status </w:t>
            </w:r>
          </w:p>
        </w:tc>
        <w:tc>
          <w:tcPr>
            <w:tcW w:w="5310" w:type="dxa"/>
            <w:tcBorders>
              <w:bottom w:val="nil"/>
            </w:tcBorders>
          </w:tcPr>
          <w:p w14:paraId="679D7EB9" w14:textId="77777777" w:rsidR="00160EDF" w:rsidRDefault="00160EDF" w:rsidP="00D906FC">
            <w:pPr>
              <w:rPr>
                <w:rFonts w:ascii="Times New Roman" w:hAnsi="Times New Roman" w:cs="Times New Roman"/>
              </w:rPr>
            </w:pPr>
            <w:r>
              <w:rPr>
                <w:rFonts w:ascii="Times New Roman" w:hAnsi="Times New Roman" w:cs="Times New Roman"/>
              </w:rPr>
              <w:t>Self-reported at initial exam &amp; classified as smoker/never smoker</w:t>
            </w:r>
          </w:p>
        </w:tc>
      </w:tr>
      <w:tr w:rsidR="00160EDF" w14:paraId="3040A9F1" w14:textId="77777777" w:rsidTr="004B40E0">
        <w:tc>
          <w:tcPr>
            <w:tcW w:w="4500" w:type="dxa"/>
            <w:tcBorders>
              <w:top w:val="nil"/>
              <w:bottom w:val="nil"/>
            </w:tcBorders>
          </w:tcPr>
          <w:p w14:paraId="25C9BF4E" w14:textId="77777777" w:rsidR="00160EDF" w:rsidRPr="00604407" w:rsidRDefault="00160EDF" w:rsidP="00D906FC">
            <w:pPr>
              <w:rPr>
                <w:rFonts w:ascii="Times New Roman" w:hAnsi="Times New Roman" w:cs="Times New Roman"/>
                <w:b/>
                <w:bCs/>
              </w:rPr>
            </w:pPr>
            <w:r w:rsidRPr="00604407">
              <w:rPr>
                <w:rFonts w:ascii="Times New Roman" w:hAnsi="Times New Roman" w:cs="Times New Roman"/>
                <w:b/>
                <w:bCs/>
              </w:rPr>
              <w:t>Occupational History</w:t>
            </w:r>
          </w:p>
        </w:tc>
        <w:tc>
          <w:tcPr>
            <w:tcW w:w="5310" w:type="dxa"/>
            <w:tcBorders>
              <w:top w:val="nil"/>
              <w:bottom w:val="nil"/>
            </w:tcBorders>
          </w:tcPr>
          <w:p w14:paraId="47BCC790" w14:textId="77777777" w:rsidR="00160EDF" w:rsidRDefault="00160EDF" w:rsidP="00D906FC">
            <w:pPr>
              <w:rPr>
                <w:rFonts w:ascii="Times New Roman" w:hAnsi="Times New Roman" w:cs="Times New Roman"/>
              </w:rPr>
            </w:pPr>
          </w:p>
        </w:tc>
      </w:tr>
      <w:tr w:rsidR="00160EDF" w14:paraId="29B8B834" w14:textId="77777777" w:rsidTr="00476140">
        <w:tc>
          <w:tcPr>
            <w:tcW w:w="4500" w:type="dxa"/>
            <w:tcBorders>
              <w:top w:val="nil"/>
              <w:bottom w:val="nil"/>
            </w:tcBorders>
            <w:vAlign w:val="center"/>
          </w:tcPr>
          <w:p w14:paraId="3BC45918" w14:textId="77777777" w:rsidR="00160EDF" w:rsidRDefault="00160EDF" w:rsidP="00D906FC">
            <w:pPr>
              <w:rPr>
                <w:rFonts w:ascii="Times New Roman" w:hAnsi="Times New Roman" w:cs="Times New Roman"/>
              </w:rPr>
            </w:pPr>
            <w:r>
              <w:rPr>
                <w:rFonts w:ascii="Times New Roman" w:hAnsi="Times New Roman" w:cs="Times New Roman"/>
              </w:rPr>
              <w:t xml:space="preserve">     </w:t>
            </w:r>
            <w:r w:rsidRPr="0085476F">
              <w:rPr>
                <w:rFonts w:ascii="Times New Roman" w:hAnsi="Times New Roman" w:cs="Times New Roman"/>
                <w:vertAlign w:val="superscript"/>
              </w:rPr>
              <w:t>2</w:t>
            </w:r>
            <w:r>
              <w:rPr>
                <w:rFonts w:ascii="Times New Roman" w:hAnsi="Times New Roman" w:cs="Times New Roman"/>
              </w:rPr>
              <w:t>DOE Site Category</w:t>
            </w:r>
          </w:p>
        </w:tc>
        <w:tc>
          <w:tcPr>
            <w:tcW w:w="5310" w:type="dxa"/>
            <w:tcBorders>
              <w:top w:val="nil"/>
              <w:bottom w:val="nil"/>
            </w:tcBorders>
          </w:tcPr>
          <w:p w14:paraId="769ABFB0" w14:textId="77777777" w:rsidR="00160EDF" w:rsidRDefault="00160EDF" w:rsidP="00D906FC">
            <w:pPr>
              <w:rPr>
                <w:rFonts w:ascii="Times New Roman" w:hAnsi="Times New Roman" w:cs="Times New Roman"/>
              </w:rPr>
            </w:pPr>
            <w:r>
              <w:rPr>
                <w:rFonts w:ascii="Times New Roman" w:hAnsi="Times New Roman" w:cs="Times New Roman"/>
              </w:rPr>
              <w:t>Classified as uranium processing, weapons production, and science and laboratory facilities</w:t>
            </w:r>
          </w:p>
        </w:tc>
      </w:tr>
      <w:tr w:rsidR="00160EDF" w14:paraId="12A9D798" w14:textId="77777777" w:rsidTr="00476140">
        <w:tc>
          <w:tcPr>
            <w:tcW w:w="4500" w:type="dxa"/>
            <w:tcBorders>
              <w:top w:val="nil"/>
              <w:bottom w:val="nil"/>
            </w:tcBorders>
          </w:tcPr>
          <w:p w14:paraId="2E7F60B5" w14:textId="77777777" w:rsidR="00160EDF" w:rsidRDefault="00160EDF" w:rsidP="00D906FC">
            <w:pPr>
              <w:rPr>
                <w:rFonts w:ascii="Times New Roman" w:hAnsi="Times New Roman" w:cs="Times New Roman"/>
              </w:rPr>
            </w:pPr>
            <w:r>
              <w:rPr>
                <w:rFonts w:ascii="Times New Roman" w:hAnsi="Times New Roman" w:cs="Times New Roman"/>
              </w:rPr>
              <w:t xml:space="preserve">     Age at Hire (in Years)</w:t>
            </w:r>
          </w:p>
        </w:tc>
        <w:tc>
          <w:tcPr>
            <w:tcW w:w="5310" w:type="dxa"/>
            <w:tcBorders>
              <w:top w:val="nil"/>
              <w:bottom w:val="nil"/>
            </w:tcBorders>
          </w:tcPr>
          <w:p w14:paraId="67ADD3F9" w14:textId="77777777" w:rsidR="00160EDF" w:rsidRDefault="00160EDF" w:rsidP="00D906FC">
            <w:pPr>
              <w:rPr>
                <w:rFonts w:ascii="Times New Roman" w:hAnsi="Times New Roman" w:cs="Times New Roman"/>
              </w:rPr>
            </w:pPr>
            <w:r>
              <w:rPr>
                <w:rFonts w:ascii="Times New Roman" w:hAnsi="Times New Roman" w:cs="Times New Roman"/>
              </w:rPr>
              <w:t>Age of study participant at self-reported hire date</w:t>
            </w:r>
          </w:p>
        </w:tc>
      </w:tr>
      <w:tr w:rsidR="00160EDF" w14:paraId="05B0031F" w14:textId="77777777" w:rsidTr="00476140">
        <w:tc>
          <w:tcPr>
            <w:tcW w:w="4500" w:type="dxa"/>
            <w:tcBorders>
              <w:top w:val="nil"/>
              <w:bottom w:val="nil"/>
            </w:tcBorders>
          </w:tcPr>
          <w:p w14:paraId="18C0976C" w14:textId="77777777" w:rsidR="00160EDF" w:rsidRDefault="00160EDF" w:rsidP="00D906FC">
            <w:pPr>
              <w:rPr>
                <w:rFonts w:ascii="Times New Roman" w:hAnsi="Times New Roman" w:cs="Times New Roman"/>
              </w:rPr>
            </w:pPr>
            <w:r>
              <w:rPr>
                <w:rFonts w:ascii="Times New Roman" w:hAnsi="Times New Roman" w:cs="Times New Roman"/>
              </w:rPr>
              <w:t xml:space="preserve">     Duration of Employment</w:t>
            </w:r>
          </w:p>
        </w:tc>
        <w:tc>
          <w:tcPr>
            <w:tcW w:w="5310" w:type="dxa"/>
            <w:tcBorders>
              <w:top w:val="nil"/>
              <w:bottom w:val="nil"/>
            </w:tcBorders>
          </w:tcPr>
          <w:p w14:paraId="2F7DBC5D" w14:textId="77777777" w:rsidR="00160EDF" w:rsidRDefault="00160EDF" w:rsidP="00D906FC">
            <w:pPr>
              <w:rPr>
                <w:rFonts w:ascii="Times New Roman" w:hAnsi="Times New Roman" w:cs="Times New Roman"/>
              </w:rPr>
            </w:pPr>
            <w:r>
              <w:rPr>
                <w:rFonts w:ascii="Times New Roman" w:hAnsi="Times New Roman" w:cs="Times New Roman"/>
              </w:rPr>
              <w:t>Self-reported and categorized into 5-year categories</w:t>
            </w:r>
          </w:p>
        </w:tc>
      </w:tr>
      <w:tr w:rsidR="00160EDF" w14:paraId="27C145A5" w14:textId="77777777" w:rsidTr="00476140">
        <w:tc>
          <w:tcPr>
            <w:tcW w:w="4500" w:type="dxa"/>
            <w:tcBorders>
              <w:top w:val="nil"/>
              <w:bottom w:val="nil"/>
            </w:tcBorders>
          </w:tcPr>
          <w:p w14:paraId="4C746CBD" w14:textId="77777777" w:rsidR="00160EDF" w:rsidRDefault="00160EDF" w:rsidP="00D906FC">
            <w:pPr>
              <w:rPr>
                <w:rFonts w:ascii="Times New Roman" w:hAnsi="Times New Roman" w:cs="Times New Roman"/>
              </w:rPr>
            </w:pPr>
            <w:r>
              <w:rPr>
                <w:rFonts w:ascii="Times New Roman" w:hAnsi="Times New Roman" w:cs="Times New Roman"/>
              </w:rPr>
              <w:t xml:space="preserve">     Cadmium Exposure </w:t>
            </w:r>
          </w:p>
        </w:tc>
        <w:tc>
          <w:tcPr>
            <w:tcW w:w="5310" w:type="dxa"/>
            <w:tcBorders>
              <w:top w:val="nil"/>
              <w:bottom w:val="nil"/>
            </w:tcBorders>
          </w:tcPr>
          <w:p w14:paraId="297C7C82" w14:textId="77777777" w:rsidR="00160EDF" w:rsidRDefault="00160EDF" w:rsidP="00D906FC">
            <w:pPr>
              <w:rPr>
                <w:rFonts w:ascii="Times New Roman" w:hAnsi="Times New Roman" w:cs="Times New Roman"/>
              </w:rPr>
            </w:pPr>
            <w:r>
              <w:rPr>
                <w:rFonts w:ascii="Times New Roman" w:hAnsi="Times New Roman" w:cs="Times New Roman"/>
              </w:rPr>
              <w:t>Self-reported at initial exam (Yes/No)</w:t>
            </w:r>
          </w:p>
        </w:tc>
      </w:tr>
      <w:tr w:rsidR="00160EDF" w14:paraId="46B1BEB8" w14:textId="77777777" w:rsidTr="00476140">
        <w:tc>
          <w:tcPr>
            <w:tcW w:w="4500" w:type="dxa"/>
            <w:tcBorders>
              <w:top w:val="nil"/>
              <w:bottom w:val="nil"/>
            </w:tcBorders>
          </w:tcPr>
          <w:p w14:paraId="3C998A2E" w14:textId="77777777" w:rsidR="00160EDF" w:rsidRDefault="00160EDF" w:rsidP="00D906FC">
            <w:pPr>
              <w:rPr>
                <w:rFonts w:ascii="Times New Roman" w:hAnsi="Times New Roman" w:cs="Times New Roman"/>
              </w:rPr>
            </w:pPr>
            <w:r>
              <w:rPr>
                <w:rFonts w:ascii="Times New Roman" w:hAnsi="Times New Roman" w:cs="Times New Roman"/>
              </w:rPr>
              <w:t xml:space="preserve">     Silica Exposure</w:t>
            </w:r>
          </w:p>
        </w:tc>
        <w:tc>
          <w:tcPr>
            <w:tcW w:w="5310" w:type="dxa"/>
            <w:tcBorders>
              <w:top w:val="nil"/>
              <w:bottom w:val="nil"/>
            </w:tcBorders>
          </w:tcPr>
          <w:p w14:paraId="6956EC3D" w14:textId="77777777" w:rsidR="00160EDF" w:rsidRDefault="00160EDF" w:rsidP="00D906FC">
            <w:pPr>
              <w:rPr>
                <w:rFonts w:ascii="Times New Roman" w:hAnsi="Times New Roman" w:cs="Times New Roman"/>
              </w:rPr>
            </w:pPr>
            <w:r>
              <w:rPr>
                <w:rFonts w:ascii="Times New Roman" w:hAnsi="Times New Roman" w:cs="Times New Roman"/>
              </w:rPr>
              <w:t>Self-reported at initial exam (Yes/No)</w:t>
            </w:r>
          </w:p>
        </w:tc>
      </w:tr>
      <w:tr w:rsidR="00160EDF" w14:paraId="2EBD9A60" w14:textId="77777777" w:rsidTr="00476140">
        <w:tc>
          <w:tcPr>
            <w:tcW w:w="4500" w:type="dxa"/>
            <w:tcBorders>
              <w:top w:val="nil"/>
              <w:bottom w:val="nil"/>
            </w:tcBorders>
          </w:tcPr>
          <w:p w14:paraId="2BEE7B87" w14:textId="77777777" w:rsidR="00160EDF" w:rsidRDefault="00160EDF" w:rsidP="00D906FC">
            <w:pPr>
              <w:rPr>
                <w:rFonts w:ascii="Times New Roman" w:hAnsi="Times New Roman" w:cs="Times New Roman"/>
              </w:rPr>
            </w:pPr>
            <w:r>
              <w:rPr>
                <w:rFonts w:ascii="Times New Roman" w:hAnsi="Times New Roman" w:cs="Times New Roman"/>
              </w:rPr>
              <w:t xml:space="preserve">     Diesel Exhaust Exposure</w:t>
            </w:r>
          </w:p>
        </w:tc>
        <w:tc>
          <w:tcPr>
            <w:tcW w:w="5310" w:type="dxa"/>
            <w:tcBorders>
              <w:top w:val="nil"/>
              <w:bottom w:val="nil"/>
            </w:tcBorders>
          </w:tcPr>
          <w:p w14:paraId="7705A5FC" w14:textId="77777777" w:rsidR="00160EDF" w:rsidRDefault="00160EDF" w:rsidP="00D906FC">
            <w:pPr>
              <w:rPr>
                <w:rFonts w:ascii="Times New Roman" w:hAnsi="Times New Roman" w:cs="Times New Roman"/>
              </w:rPr>
            </w:pPr>
            <w:r>
              <w:rPr>
                <w:rFonts w:ascii="Times New Roman" w:hAnsi="Times New Roman" w:cs="Times New Roman"/>
              </w:rPr>
              <w:t>Self-reported at initial exam (Yes/No)</w:t>
            </w:r>
          </w:p>
        </w:tc>
      </w:tr>
      <w:tr w:rsidR="00160EDF" w14:paraId="54AFE5DE" w14:textId="77777777" w:rsidTr="004B40E0">
        <w:tc>
          <w:tcPr>
            <w:tcW w:w="4500" w:type="dxa"/>
            <w:tcBorders>
              <w:top w:val="nil"/>
              <w:bottom w:val="nil"/>
            </w:tcBorders>
          </w:tcPr>
          <w:p w14:paraId="3AD82905" w14:textId="77777777" w:rsidR="00160EDF" w:rsidRDefault="00160EDF" w:rsidP="00D906FC">
            <w:pPr>
              <w:rPr>
                <w:rFonts w:ascii="Times New Roman" w:hAnsi="Times New Roman" w:cs="Times New Roman"/>
              </w:rPr>
            </w:pPr>
            <w:r>
              <w:rPr>
                <w:rFonts w:ascii="Times New Roman" w:hAnsi="Times New Roman" w:cs="Times New Roman"/>
              </w:rPr>
              <w:t xml:space="preserve">     Welding Fumes Exposure</w:t>
            </w:r>
          </w:p>
        </w:tc>
        <w:tc>
          <w:tcPr>
            <w:tcW w:w="5310" w:type="dxa"/>
            <w:tcBorders>
              <w:top w:val="nil"/>
              <w:bottom w:val="nil"/>
            </w:tcBorders>
          </w:tcPr>
          <w:p w14:paraId="11AA7DFC" w14:textId="77777777" w:rsidR="00160EDF" w:rsidRDefault="00160EDF" w:rsidP="00D906FC">
            <w:pPr>
              <w:rPr>
                <w:rFonts w:ascii="Times New Roman" w:hAnsi="Times New Roman" w:cs="Times New Roman"/>
              </w:rPr>
            </w:pPr>
            <w:r>
              <w:rPr>
                <w:rFonts w:ascii="Times New Roman" w:hAnsi="Times New Roman" w:cs="Times New Roman"/>
              </w:rPr>
              <w:t>Self-reported at initial exam (Yes/No)</w:t>
            </w:r>
          </w:p>
        </w:tc>
      </w:tr>
      <w:tr w:rsidR="00160EDF" w14:paraId="52D3BB9B" w14:textId="77777777" w:rsidTr="004B40E0">
        <w:tc>
          <w:tcPr>
            <w:tcW w:w="4500" w:type="dxa"/>
            <w:tcBorders>
              <w:top w:val="nil"/>
            </w:tcBorders>
          </w:tcPr>
          <w:p w14:paraId="7B124DC3" w14:textId="77777777" w:rsidR="00160EDF" w:rsidRPr="00604407" w:rsidRDefault="00160EDF" w:rsidP="00D906FC">
            <w:pPr>
              <w:rPr>
                <w:rFonts w:ascii="Times New Roman" w:hAnsi="Times New Roman" w:cs="Times New Roman"/>
                <w:b/>
                <w:bCs/>
              </w:rPr>
            </w:pPr>
            <w:r w:rsidRPr="00604407">
              <w:rPr>
                <w:rFonts w:ascii="Times New Roman" w:hAnsi="Times New Roman" w:cs="Times New Roman"/>
                <w:b/>
                <w:bCs/>
              </w:rPr>
              <w:t>Respiratory Symptoms</w:t>
            </w:r>
          </w:p>
        </w:tc>
        <w:tc>
          <w:tcPr>
            <w:tcW w:w="5310" w:type="dxa"/>
            <w:tcBorders>
              <w:top w:val="nil"/>
            </w:tcBorders>
          </w:tcPr>
          <w:p w14:paraId="083E230F" w14:textId="77777777" w:rsidR="00160EDF" w:rsidRDefault="00160EDF" w:rsidP="00D906FC">
            <w:pPr>
              <w:rPr>
                <w:rFonts w:ascii="Times New Roman" w:hAnsi="Times New Roman" w:cs="Times New Roman"/>
              </w:rPr>
            </w:pPr>
          </w:p>
        </w:tc>
      </w:tr>
      <w:tr w:rsidR="00160EDF" w14:paraId="05C1A516" w14:textId="77777777" w:rsidTr="00476140">
        <w:tc>
          <w:tcPr>
            <w:tcW w:w="4500" w:type="dxa"/>
          </w:tcPr>
          <w:p w14:paraId="1FD11C40" w14:textId="77777777" w:rsidR="00160EDF" w:rsidRDefault="00160EDF" w:rsidP="00D906FC">
            <w:pPr>
              <w:rPr>
                <w:rFonts w:ascii="Times New Roman" w:hAnsi="Times New Roman" w:cs="Times New Roman"/>
              </w:rPr>
            </w:pPr>
            <w:r>
              <w:rPr>
                <w:rFonts w:ascii="Times New Roman" w:hAnsi="Times New Roman" w:cs="Times New Roman"/>
              </w:rPr>
              <w:t xml:space="preserve">     Frequent cough </w:t>
            </w:r>
          </w:p>
        </w:tc>
        <w:tc>
          <w:tcPr>
            <w:tcW w:w="5310" w:type="dxa"/>
          </w:tcPr>
          <w:p w14:paraId="34358F27" w14:textId="77777777" w:rsidR="00160EDF" w:rsidRDefault="00160EDF" w:rsidP="00D906FC">
            <w:pPr>
              <w:rPr>
                <w:rFonts w:ascii="Times New Roman" w:hAnsi="Times New Roman" w:cs="Times New Roman"/>
              </w:rPr>
            </w:pPr>
            <w:r>
              <w:rPr>
                <w:rFonts w:ascii="Times New Roman" w:hAnsi="Times New Roman" w:cs="Times New Roman"/>
              </w:rPr>
              <w:t>Self-reported at initial exam (Yes/No)</w:t>
            </w:r>
          </w:p>
        </w:tc>
      </w:tr>
      <w:tr w:rsidR="00160EDF" w14:paraId="57D154FE" w14:textId="77777777" w:rsidTr="00476140">
        <w:tc>
          <w:tcPr>
            <w:tcW w:w="4500" w:type="dxa"/>
          </w:tcPr>
          <w:p w14:paraId="70E6EF44" w14:textId="77777777" w:rsidR="00160EDF" w:rsidRDefault="00160EDF" w:rsidP="00D906FC">
            <w:pPr>
              <w:rPr>
                <w:rFonts w:ascii="Times New Roman" w:hAnsi="Times New Roman" w:cs="Times New Roman"/>
              </w:rPr>
            </w:pPr>
            <w:r>
              <w:rPr>
                <w:rFonts w:ascii="Times New Roman" w:hAnsi="Times New Roman" w:cs="Times New Roman"/>
              </w:rPr>
              <w:t xml:space="preserve">     Shortness of breath</w:t>
            </w:r>
          </w:p>
        </w:tc>
        <w:tc>
          <w:tcPr>
            <w:tcW w:w="5310" w:type="dxa"/>
          </w:tcPr>
          <w:p w14:paraId="6675FF55" w14:textId="77777777" w:rsidR="00160EDF" w:rsidRDefault="00160EDF" w:rsidP="00D906FC">
            <w:pPr>
              <w:rPr>
                <w:rFonts w:ascii="Times New Roman" w:hAnsi="Times New Roman" w:cs="Times New Roman"/>
              </w:rPr>
            </w:pPr>
            <w:r>
              <w:rPr>
                <w:rFonts w:ascii="Times New Roman" w:hAnsi="Times New Roman" w:cs="Times New Roman"/>
              </w:rPr>
              <w:t>Self-reported at initial exam (Yes/No)</w:t>
            </w:r>
          </w:p>
        </w:tc>
      </w:tr>
      <w:tr w:rsidR="00160EDF" w14:paraId="65852600" w14:textId="77777777" w:rsidTr="00476140">
        <w:trPr>
          <w:trHeight w:val="63"/>
        </w:trPr>
        <w:tc>
          <w:tcPr>
            <w:tcW w:w="4500" w:type="dxa"/>
          </w:tcPr>
          <w:p w14:paraId="14B66A72" w14:textId="77777777" w:rsidR="00160EDF" w:rsidRDefault="00160EDF" w:rsidP="00D906FC">
            <w:pPr>
              <w:rPr>
                <w:rFonts w:ascii="Times New Roman" w:hAnsi="Times New Roman" w:cs="Times New Roman"/>
              </w:rPr>
            </w:pPr>
            <w:r>
              <w:rPr>
                <w:rFonts w:ascii="Times New Roman" w:hAnsi="Times New Roman" w:cs="Times New Roman"/>
              </w:rPr>
              <w:t xml:space="preserve">     Wheezing</w:t>
            </w:r>
          </w:p>
        </w:tc>
        <w:tc>
          <w:tcPr>
            <w:tcW w:w="5310" w:type="dxa"/>
          </w:tcPr>
          <w:p w14:paraId="351E468C" w14:textId="77777777" w:rsidR="00160EDF" w:rsidRDefault="00160EDF" w:rsidP="00D906FC">
            <w:pPr>
              <w:rPr>
                <w:rFonts w:ascii="Times New Roman" w:hAnsi="Times New Roman" w:cs="Times New Roman"/>
              </w:rPr>
            </w:pPr>
            <w:r>
              <w:rPr>
                <w:rFonts w:ascii="Times New Roman" w:hAnsi="Times New Roman" w:cs="Times New Roman"/>
              </w:rPr>
              <w:t>Self-reported at initial exam (Yes/No)</w:t>
            </w:r>
          </w:p>
        </w:tc>
      </w:tr>
      <w:tr w:rsidR="00160EDF" w14:paraId="5C40636F" w14:textId="77777777" w:rsidTr="004B40E0">
        <w:tc>
          <w:tcPr>
            <w:tcW w:w="4500" w:type="dxa"/>
            <w:tcBorders>
              <w:bottom w:val="nil"/>
            </w:tcBorders>
          </w:tcPr>
          <w:p w14:paraId="400FB03B" w14:textId="77777777" w:rsidR="00160EDF" w:rsidRDefault="00160EDF" w:rsidP="00D906FC">
            <w:pPr>
              <w:rPr>
                <w:rFonts w:ascii="Times New Roman" w:hAnsi="Times New Roman" w:cs="Times New Roman"/>
              </w:rPr>
            </w:pPr>
            <w:r>
              <w:rPr>
                <w:rFonts w:ascii="Times New Roman" w:hAnsi="Times New Roman" w:cs="Times New Roman"/>
              </w:rPr>
              <w:t xml:space="preserve">     Other breathing problems</w:t>
            </w:r>
          </w:p>
        </w:tc>
        <w:tc>
          <w:tcPr>
            <w:tcW w:w="5310" w:type="dxa"/>
            <w:tcBorders>
              <w:bottom w:val="nil"/>
            </w:tcBorders>
          </w:tcPr>
          <w:p w14:paraId="34E8A64B" w14:textId="77777777" w:rsidR="00160EDF" w:rsidRDefault="00160EDF" w:rsidP="00D906FC">
            <w:pPr>
              <w:rPr>
                <w:rFonts w:ascii="Times New Roman" w:hAnsi="Times New Roman" w:cs="Times New Roman"/>
              </w:rPr>
            </w:pPr>
            <w:r>
              <w:rPr>
                <w:rFonts w:ascii="Times New Roman" w:hAnsi="Times New Roman" w:cs="Times New Roman"/>
              </w:rPr>
              <w:t>Self-reported at initial exam (Yes/No)</w:t>
            </w:r>
          </w:p>
        </w:tc>
      </w:tr>
      <w:tr w:rsidR="00160EDF" w14:paraId="02FB8093" w14:textId="77777777" w:rsidTr="004B40E0">
        <w:tc>
          <w:tcPr>
            <w:tcW w:w="4500" w:type="dxa"/>
            <w:tcBorders>
              <w:top w:val="nil"/>
              <w:bottom w:val="nil"/>
            </w:tcBorders>
          </w:tcPr>
          <w:p w14:paraId="2D339183" w14:textId="77777777" w:rsidR="00160EDF" w:rsidRPr="00604407" w:rsidRDefault="00160EDF" w:rsidP="00D906FC">
            <w:pPr>
              <w:rPr>
                <w:rFonts w:ascii="Times New Roman" w:hAnsi="Times New Roman" w:cs="Times New Roman"/>
                <w:b/>
                <w:bCs/>
              </w:rPr>
            </w:pPr>
            <w:r w:rsidRPr="00604407">
              <w:rPr>
                <w:rFonts w:ascii="Times New Roman" w:hAnsi="Times New Roman" w:cs="Times New Roman"/>
                <w:b/>
                <w:bCs/>
              </w:rPr>
              <w:t>Medical History</w:t>
            </w:r>
          </w:p>
        </w:tc>
        <w:tc>
          <w:tcPr>
            <w:tcW w:w="5310" w:type="dxa"/>
            <w:tcBorders>
              <w:top w:val="nil"/>
              <w:bottom w:val="nil"/>
            </w:tcBorders>
          </w:tcPr>
          <w:p w14:paraId="2E620F8E" w14:textId="77777777" w:rsidR="00160EDF" w:rsidRDefault="00160EDF" w:rsidP="00D906FC">
            <w:pPr>
              <w:rPr>
                <w:rFonts w:ascii="Times New Roman" w:hAnsi="Times New Roman" w:cs="Times New Roman"/>
              </w:rPr>
            </w:pPr>
          </w:p>
        </w:tc>
      </w:tr>
      <w:tr w:rsidR="00160EDF" w14:paraId="78E45AFD" w14:textId="77777777" w:rsidTr="00476140">
        <w:tc>
          <w:tcPr>
            <w:tcW w:w="4500" w:type="dxa"/>
            <w:tcBorders>
              <w:top w:val="nil"/>
            </w:tcBorders>
          </w:tcPr>
          <w:p w14:paraId="05802D8B" w14:textId="77777777" w:rsidR="00160EDF" w:rsidRDefault="00160EDF" w:rsidP="00D906FC">
            <w:pPr>
              <w:rPr>
                <w:rFonts w:ascii="Times New Roman" w:hAnsi="Times New Roman" w:cs="Times New Roman"/>
              </w:rPr>
            </w:pPr>
            <w:r>
              <w:rPr>
                <w:rFonts w:ascii="Times New Roman" w:hAnsi="Times New Roman" w:cs="Times New Roman"/>
              </w:rPr>
              <w:t xml:space="preserve">     Comorbidity Cluster</w:t>
            </w:r>
          </w:p>
        </w:tc>
        <w:tc>
          <w:tcPr>
            <w:tcW w:w="5310" w:type="dxa"/>
            <w:tcBorders>
              <w:top w:val="nil"/>
            </w:tcBorders>
          </w:tcPr>
          <w:p w14:paraId="215FF26F" w14:textId="77777777" w:rsidR="00160EDF" w:rsidRDefault="00160EDF" w:rsidP="00D906FC">
            <w:pPr>
              <w:rPr>
                <w:rFonts w:ascii="Times New Roman" w:hAnsi="Times New Roman" w:cs="Times New Roman"/>
              </w:rPr>
            </w:pPr>
            <w:r>
              <w:rPr>
                <w:rFonts w:ascii="Times New Roman" w:hAnsi="Times New Roman" w:cs="Times New Roman"/>
              </w:rPr>
              <w:t>Assigned after hierarchical clustering (Clusters 1-4)</w:t>
            </w:r>
          </w:p>
        </w:tc>
      </w:tr>
      <w:tr w:rsidR="00160EDF" w14:paraId="21080F6F" w14:textId="77777777" w:rsidTr="00476140">
        <w:tc>
          <w:tcPr>
            <w:tcW w:w="4500" w:type="dxa"/>
          </w:tcPr>
          <w:p w14:paraId="6B838239" w14:textId="77777777" w:rsidR="00160EDF" w:rsidRDefault="00160EDF" w:rsidP="00D906FC">
            <w:pPr>
              <w:rPr>
                <w:rFonts w:ascii="Times New Roman" w:hAnsi="Times New Roman" w:cs="Times New Roman"/>
              </w:rPr>
            </w:pPr>
            <w:r>
              <w:rPr>
                <w:rFonts w:ascii="Times New Roman" w:hAnsi="Times New Roman" w:cs="Times New Roman"/>
              </w:rPr>
              <w:t xml:space="preserve">     Myocardial Infarction</w:t>
            </w:r>
          </w:p>
        </w:tc>
        <w:tc>
          <w:tcPr>
            <w:tcW w:w="5310" w:type="dxa"/>
          </w:tcPr>
          <w:p w14:paraId="2F27B2EE" w14:textId="77777777" w:rsidR="00160EDF" w:rsidRDefault="00160EDF" w:rsidP="00D906FC">
            <w:pPr>
              <w:rPr>
                <w:rFonts w:ascii="Times New Roman" w:hAnsi="Times New Roman" w:cs="Times New Roman"/>
              </w:rPr>
            </w:pPr>
            <w:r>
              <w:rPr>
                <w:rFonts w:ascii="Times New Roman" w:hAnsi="Times New Roman" w:cs="Times New Roman"/>
              </w:rPr>
              <w:t>Self-reported at initial exam (Yes/No)</w:t>
            </w:r>
          </w:p>
        </w:tc>
      </w:tr>
      <w:tr w:rsidR="00160EDF" w14:paraId="56283790" w14:textId="77777777" w:rsidTr="00476140">
        <w:tc>
          <w:tcPr>
            <w:tcW w:w="4500" w:type="dxa"/>
          </w:tcPr>
          <w:p w14:paraId="4D44C6ED" w14:textId="77777777" w:rsidR="00160EDF" w:rsidRDefault="00160EDF" w:rsidP="00D906FC">
            <w:pPr>
              <w:rPr>
                <w:rFonts w:ascii="Times New Roman" w:hAnsi="Times New Roman" w:cs="Times New Roman"/>
              </w:rPr>
            </w:pPr>
            <w:r>
              <w:rPr>
                <w:rFonts w:ascii="Times New Roman" w:hAnsi="Times New Roman" w:cs="Times New Roman"/>
              </w:rPr>
              <w:t xml:space="preserve">     Coronary Artery Disease</w:t>
            </w:r>
          </w:p>
        </w:tc>
        <w:tc>
          <w:tcPr>
            <w:tcW w:w="5310" w:type="dxa"/>
          </w:tcPr>
          <w:p w14:paraId="62905560" w14:textId="77777777" w:rsidR="00160EDF" w:rsidRDefault="00160EDF" w:rsidP="00D906FC">
            <w:pPr>
              <w:rPr>
                <w:rFonts w:ascii="Times New Roman" w:hAnsi="Times New Roman" w:cs="Times New Roman"/>
              </w:rPr>
            </w:pPr>
            <w:r>
              <w:rPr>
                <w:rFonts w:ascii="Times New Roman" w:hAnsi="Times New Roman" w:cs="Times New Roman"/>
              </w:rPr>
              <w:t>Self-reported at initial exam (Yes/No)</w:t>
            </w:r>
          </w:p>
        </w:tc>
      </w:tr>
      <w:tr w:rsidR="00160EDF" w14:paraId="5FD9DE21" w14:textId="77777777" w:rsidTr="00476140">
        <w:tc>
          <w:tcPr>
            <w:tcW w:w="4500" w:type="dxa"/>
          </w:tcPr>
          <w:p w14:paraId="5FE87A89" w14:textId="77777777" w:rsidR="00160EDF" w:rsidRDefault="00160EDF" w:rsidP="00D906FC">
            <w:pPr>
              <w:rPr>
                <w:rFonts w:ascii="Times New Roman" w:hAnsi="Times New Roman" w:cs="Times New Roman"/>
              </w:rPr>
            </w:pPr>
            <w:r>
              <w:rPr>
                <w:rFonts w:ascii="Times New Roman" w:hAnsi="Times New Roman" w:cs="Times New Roman"/>
              </w:rPr>
              <w:t xml:space="preserve">     Hypertension</w:t>
            </w:r>
          </w:p>
        </w:tc>
        <w:tc>
          <w:tcPr>
            <w:tcW w:w="5310" w:type="dxa"/>
          </w:tcPr>
          <w:p w14:paraId="74B1B0D5" w14:textId="77777777" w:rsidR="00160EDF" w:rsidRDefault="00160EDF" w:rsidP="00D906FC">
            <w:pPr>
              <w:rPr>
                <w:rFonts w:ascii="Times New Roman" w:hAnsi="Times New Roman" w:cs="Times New Roman"/>
              </w:rPr>
            </w:pPr>
            <w:r>
              <w:rPr>
                <w:rFonts w:ascii="Times New Roman" w:hAnsi="Times New Roman" w:cs="Times New Roman"/>
              </w:rPr>
              <w:t>Self-reported at initial exam (Yes/No)</w:t>
            </w:r>
          </w:p>
        </w:tc>
      </w:tr>
      <w:tr w:rsidR="00160EDF" w14:paraId="3F32FE4C" w14:textId="77777777" w:rsidTr="00476140">
        <w:tc>
          <w:tcPr>
            <w:tcW w:w="4500" w:type="dxa"/>
          </w:tcPr>
          <w:p w14:paraId="442B707B" w14:textId="77777777" w:rsidR="00160EDF" w:rsidRDefault="00160EDF" w:rsidP="00D906FC">
            <w:pPr>
              <w:rPr>
                <w:rFonts w:ascii="Times New Roman" w:hAnsi="Times New Roman" w:cs="Times New Roman"/>
              </w:rPr>
            </w:pPr>
            <w:r>
              <w:rPr>
                <w:rFonts w:ascii="Times New Roman" w:hAnsi="Times New Roman" w:cs="Times New Roman"/>
              </w:rPr>
              <w:t xml:space="preserve">     Stroke</w:t>
            </w:r>
          </w:p>
        </w:tc>
        <w:tc>
          <w:tcPr>
            <w:tcW w:w="5310" w:type="dxa"/>
          </w:tcPr>
          <w:p w14:paraId="5186E604" w14:textId="77777777" w:rsidR="00160EDF" w:rsidRDefault="00160EDF" w:rsidP="00D906FC">
            <w:pPr>
              <w:rPr>
                <w:rFonts w:ascii="Times New Roman" w:hAnsi="Times New Roman" w:cs="Times New Roman"/>
              </w:rPr>
            </w:pPr>
            <w:r>
              <w:rPr>
                <w:rFonts w:ascii="Times New Roman" w:hAnsi="Times New Roman" w:cs="Times New Roman"/>
              </w:rPr>
              <w:t>Self-reported at initial exam (Yes/No)</w:t>
            </w:r>
          </w:p>
        </w:tc>
      </w:tr>
      <w:tr w:rsidR="00160EDF" w14:paraId="7C1351F3" w14:textId="77777777" w:rsidTr="00476140">
        <w:tc>
          <w:tcPr>
            <w:tcW w:w="4500" w:type="dxa"/>
          </w:tcPr>
          <w:p w14:paraId="22527118" w14:textId="77777777" w:rsidR="00160EDF" w:rsidRDefault="00160EDF" w:rsidP="00D906FC">
            <w:pPr>
              <w:rPr>
                <w:rFonts w:ascii="Times New Roman" w:hAnsi="Times New Roman" w:cs="Times New Roman"/>
              </w:rPr>
            </w:pPr>
            <w:r>
              <w:rPr>
                <w:rFonts w:ascii="Times New Roman" w:hAnsi="Times New Roman" w:cs="Times New Roman"/>
              </w:rPr>
              <w:t xml:space="preserve">     Underweight</w:t>
            </w:r>
          </w:p>
        </w:tc>
        <w:tc>
          <w:tcPr>
            <w:tcW w:w="5310" w:type="dxa"/>
          </w:tcPr>
          <w:p w14:paraId="4FC96422" w14:textId="77777777" w:rsidR="00160EDF" w:rsidRDefault="00160EDF" w:rsidP="00D906FC">
            <w:pPr>
              <w:rPr>
                <w:rFonts w:ascii="Times New Roman" w:hAnsi="Times New Roman" w:cs="Times New Roman"/>
              </w:rPr>
            </w:pPr>
            <w:r>
              <w:rPr>
                <w:rFonts w:ascii="Times New Roman" w:hAnsi="Times New Roman" w:cs="Times New Roman"/>
              </w:rPr>
              <w:t>Self-reported at initial exam (Yes/No)</w:t>
            </w:r>
          </w:p>
        </w:tc>
      </w:tr>
      <w:tr w:rsidR="00160EDF" w14:paraId="7D96F242" w14:textId="77777777" w:rsidTr="00476140">
        <w:tc>
          <w:tcPr>
            <w:tcW w:w="4500" w:type="dxa"/>
          </w:tcPr>
          <w:p w14:paraId="0C3BE32C" w14:textId="77777777" w:rsidR="00160EDF" w:rsidRDefault="00160EDF" w:rsidP="00D906FC">
            <w:pPr>
              <w:rPr>
                <w:rFonts w:ascii="Times New Roman" w:hAnsi="Times New Roman" w:cs="Times New Roman"/>
              </w:rPr>
            </w:pPr>
            <w:r>
              <w:rPr>
                <w:rFonts w:ascii="Times New Roman" w:hAnsi="Times New Roman" w:cs="Times New Roman"/>
              </w:rPr>
              <w:t xml:space="preserve">     Overweight or Obese</w:t>
            </w:r>
          </w:p>
        </w:tc>
        <w:tc>
          <w:tcPr>
            <w:tcW w:w="5310" w:type="dxa"/>
          </w:tcPr>
          <w:p w14:paraId="7086C741" w14:textId="77777777" w:rsidR="00160EDF" w:rsidRDefault="00160EDF" w:rsidP="00D906FC">
            <w:pPr>
              <w:rPr>
                <w:rFonts w:ascii="Times New Roman" w:hAnsi="Times New Roman" w:cs="Times New Roman"/>
              </w:rPr>
            </w:pPr>
            <w:r>
              <w:rPr>
                <w:rFonts w:ascii="Times New Roman" w:hAnsi="Times New Roman" w:cs="Times New Roman"/>
              </w:rPr>
              <w:t>Self-reported at initial exam (Yes/No)</w:t>
            </w:r>
          </w:p>
        </w:tc>
      </w:tr>
      <w:tr w:rsidR="00160EDF" w14:paraId="551C164D" w14:textId="77777777" w:rsidTr="00476140">
        <w:tc>
          <w:tcPr>
            <w:tcW w:w="4500" w:type="dxa"/>
          </w:tcPr>
          <w:p w14:paraId="22D8D2AD" w14:textId="77777777" w:rsidR="00160EDF" w:rsidRDefault="00160EDF" w:rsidP="00D906FC">
            <w:pPr>
              <w:rPr>
                <w:rFonts w:ascii="Times New Roman" w:hAnsi="Times New Roman" w:cs="Times New Roman"/>
              </w:rPr>
            </w:pPr>
            <w:r>
              <w:rPr>
                <w:rFonts w:ascii="Times New Roman" w:hAnsi="Times New Roman" w:cs="Times New Roman"/>
              </w:rPr>
              <w:t xml:space="preserve">     Kidney Problems</w:t>
            </w:r>
          </w:p>
        </w:tc>
        <w:tc>
          <w:tcPr>
            <w:tcW w:w="5310" w:type="dxa"/>
          </w:tcPr>
          <w:p w14:paraId="731704B2" w14:textId="77777777" w:rsidR="00160EDF" w:rsidRDefault="00160EDF" w:rsidP="00D906FC">
            <w:pPr>
              <w:rPr>
                <w:rFonts w:ascii="Times New Roman" w:hAnsi="Times New Roman" w:cs="Times New Roman"/>
              </w:rPr>
            </w:pPr>
            <w:r>
              <w:rPr>
                <w:rFonts w:ascii="Times New Roman" w:hAnsi="Times New Roman" w:cs="Times New Roman"/>
              </w:rPr>
              <w:t>Self-reported at initial exam (Yes/No)</w:t>
            </w:r>
          </w:p>
        </w:tc>
      </w:tr>
      <w:tr w:rsidR="00160EDF" w14:paraId="03E5F722" w14:textId="77777777" w:rsidTr="00476140">
        <w:tc>
          <w:tcPr>
            <w:tcW w:w="4500" w:type="dxa"/>
          </w:tcPr>
          <w:p w14:paraId="319068B5" w14:textId="77777777" w:rsidR="00160EDF" w:rsidRDefault="00160EDF" w:rsidP="00D906FC">
            <w:pPr>
              <w:rPr>
                <w:rFonts w:ascii="Times New Roman" w:hAnsi="Times New Roman" w:cs="Times New Roman"/>
              </w:rPr>
            </w:pPr>
            <w:r>
              <w:rPr>
                <w:rFonts w:ascii="Times New Roman" w:hAnsi="Times New Roman" w:cs="Times New Roman"/>
              </w:rPr>
              <w:t xml:space="preserve">     Rheumatoid Arthritis </w:t>
            </w:r>
          </w:p>
        </w:tc>
        <w:tc>
          <w:tcPr>
            <w:tcW w:w="5310" w:type="dxa"/>
          </w:tcPr>
          <w:p w14:paraId="0C0DAE57" w14:textId="77777777" w:rsidR="00160EDF" w:rsidRDefault="00160EDF" w:rsidP="00D906FC">
            <w:pPr>
              <w:rPr>
                <w:rFonts w:ascii="Times New Roman" w:hAnsi="Times New Roman" w:cs="Times New Roman"/>
              </w:rPr>
            </w:pPr>
            <w:r>
              <w:rPr>
                <w:rFonts w:ascii="Times New Roman" w:hAnsi="Times New Roman" w:cs="Times New Roman"/>
              </w:rPr>
              <w:t>Self-reported at initial exam (Yes/No)</w:t>
            </w:r>
          </w:p>
        </w:tc>
      </w:tr>
      <w:tr w:rsidR="00160EDF" w14:paraId="17FB4DF6" w14:textId="77777777" w:rsidTr="00476140">
        <w:tc>
          <w:tcPr>
            <w:tcW w:w="4500" w:type="dxa"/>
          </w:tcPr>
          <w:p w14:paraId="28467752" w14:textId="77777777" w:rsidR="00160EDF" w:rsidRDefault="00160EDF" w:rsidP="00D906FC">
            <w:pPr>
              <w:rPr>
                <w:rFonts w:ascii="Times New Roman" w:hAnsi="Times New Roman" w:cs="Times New Roman"/>
              </w:rPr>
            </w:pPr>
            <w:r>
              <w:rPr>
                <w:rFonts w:ascii="Times New Roman" w:hAnsi="Times New Roman" w:cs="Times New Roman"/>
              </w:rPr>
              <w:t xml:space="preserve">     Lung Cancer</w:t>
            </w:r>
          </w:p>
        </w:tc>
        <w:tc>
          <w:tcPr>
            <w:tcW w:w="5310" w:type="dxa"/>
          </w:tcPr>
          <w:p w14:paraId="325C3F76" w14:textId="77777777" w:rsidR="00160EDF" w:rsidRDefault="00160EDF" w:rsidP="00D906FC">
            <w:pPr>
              <w:rPr>
                <w:rFonts w:ascii="Times New Roman" w:hAnsi="Times New Roman" w:cs="Times New Roman"/>
              </w:rPr>
            </w:pPr>
            <w:r>
              <w:rPr>
                <w:rFonts w:ascii="Times New Roman" w:hAnsi="Times New Roman" w:cs="Times New Roman"/>
              </w:rPr>
              <w:t>Self-reported at initial exam (Yes/No)</w:t>
            </w:r>
          </w:p>
        </w:tc>
      </w:tr>
      <w:tr w:rsidR="00160EDF" w14:paraId="5F125DA3" w14:textId="77777777" w:rsidTr="00476140">
        <w:tc>
          <w:tcPr>
            <w:tcW w:w="4500" w:type="dxa"/>
            <w:tcBorders>
              <w:bottom w:val="nil"/>
            </w:tcBorders>
          </w:tcPr>
          <w:p w14:paraId="1EEAA3C5" w14:textId="77777777" w:rsidR="00160EDF" w:rsidRDefault="00160EDF" w:rsidP="00D906FC">
            <w:pPr>
              <w:rPr>
                <w:rFonts w:ascii="Times New Roman" w:hAnsi="Times New Roman" w:cs="Times New Roman"/>
              </w:rPr>
            </w:pPr>
            <w:r>
              <w:rPr>
                <w:rFonts w:ascii="Times New Roman" w:hAnsi="Times New Roman" w:cs="Times New Roman"/>
              </w:rPr>
              <w:t xml:space="preserve">     Non-Pulmonary Cancer</w:t>
            </w:r>
          </w:p>
        </w:tc>
        <w:tc>
          <w:tcPr>
            <w:tcW w:w="5310" w:type="dxa"/>
            <w:tcBorders>
              <w:bottom w:val="nil"/>
            </w:tcBorders>
          </w:tcPr>
          <w:p w14:paraId="2A998865" w14:textId="77777777" w:rsidR="00160EDF" w:rsidRDefault="00160EDF" w:rsidP="00D906FC">
            <w:pPr>
              <w:rPr>
                <w:rFonts w:ascii="Times New Roman" w:hAnsi="Times New Roman" w:cs="Times New Roman"/>
              </w:rPr>
            </w:pPr>
            <w:r>
              <w:rPr>
                <w:rFonts w:ascii="Times New Roman" w:hAnsi="Times New Roman" w:cs="Times New Roman"/>
              </w:rPr>
              <w:t>Self-reported at initial exam (Yes/No)</w:t>
            </w:r>
          </w:p>
        </w:tc>
      </w:tr>
      <w:tr w:rsidR="00160EDF" w14:paraId="1CBE9F9B" w14:textId="77777777" w:rsidTr="00823647">
        <w:tc>
          <w:tcPr>
            <w:tcW w:w="4500" w:type="dxa"/>
            <w:tcBorders>
              <w:top w:val="nil"/>
              <w:bottom w:val="single" w:sz="12" w:space="0" w:color="auto"/>
            </w:tcBorders>
          </w:tcPr>
          <w:p w14:paraId="5E9F12F9" w14:textId="77777777" w:rsidR="00160EDF" w:rsidRDefault="00160EDF" w:rsidP="00D906FC">
            <w:pPr>
              <w:rPr>
                <w:rFonts w:ascii="Times New Roman" w:hAnsi="Times New Roman" w:cs="Times New Roman"/>
              </w:rPr>
            </w:pPr>
            <w:r>
              <w:rPr>
                <w:rFonts w:ascii="Times New Roman" w:hAnsi="Times New Roman" w:cs="Times New Roman"/>
              </w:rPr>
              <w:t xml:space="preserve">     Asthma</w:t>
            </w:r>
          </w:p>
        </w:tc>
        <w:tc>
          <w:tcPr>
            <w:tcW w:w="5310" w:type="dxa"/>
            <w:tcBorders>
              <w:top w:val="nil"/>
              <w:bottom w:val="single" w:sz="4" w:space="0" w:color="auto"/>
            </w:tcBorders>
          </w:tcPr>
          <w:p w14:paraId="17A7D5B8" w14:textId="77777777" w:rsidR="00160EDF" w:rsidRDefault="00160EDF" w:rsidP="00D906FC">
            <w:pPr>
              <w:rPr>
                <w:rFonts w:ascii="Times New Roman" w:hAnsi="Times New Roman" w:cs="Times New Roman"/>
              </w:rPr>
            </w:pPr>
            <w:r>
              <w:rPr>
                <w:rFonts w:ascii="Times New Roman" w:hAnsi="Times New Roman" w:cs="Times New Roman"/>
              </w:rPr>
              <w:t>Self-reported at initial exam (Yes/No)</w:t>
            </w:r>
          </w:p>
        </w:tc>
      </w:tr>
      <w:tr w:rsidR="004B40E0" w14:paraId="6DDB1D3B" w14:textId="77777777" w:rsidTr="00823647">
        <w:tc>
          <w:tcPr>
            <w:tcW w:w="9810" w:type="dxa"/>
            <w:gridSpan w:val="2"/>
            <w:tcBorders>
              <w:top w:val="single" w:sz="12" w:space="0" w:color="auto"/>
              <w:bottom w:val="nil"/>
            </w:tcBorders>
          </w:tcPr>
          <w:p w14:paraId="7586F981" w14:textId="77777777" w:rsidR="004B40E0" w:rsidRDefault="004B40E0" w:rsidP="004B40E0">
            <w:pPr>
              <w:rPr>
                <w:rFonts w:ascii="Times New Roman" w:hAnsi="Times New Roman" w:cs="Times New Roman"/>
                <w:i/>
                <w:iCs/>
              </w:rPr>
            </w:pPr>
            <w:r w:rsidRPr="0085476F">
              <w:rPr>
                <w:rFonts w:ascii="Times New Roman" w:hAnsi="Times New Roman" w:cs="Times New Roman"/>
                <w:i/>
                <w:iCs/>
                <w:vertAlign w:val="superscript"/>
              </w:rPr>
              <w:t>1</w:t>
            </w:r>
            <w:r>
              <w:rPr>
                <w:rFonts w:ascii="Times New Roman" w:hAnsi="Times New Roman" w:cs="Times New Roman"/>
                <w:i/>
                <w:iCs/>
              </w:rPr>
              <w:t>F</w:t>
            </w:r>
            <w:r w:rsidRPr="00694114">
              <w:rPr>
                <w:rFonts w:ascii="Times New Roman" w:hAnsi="Times New Roman" w:cs="Times New Roman"/>
                <w:i/>
                <w:iCs/>
              </w:rPr>
              <w:t>orced expiratory volume in one second</w:t>
            </w:r>
            <w:r>
              <w:rPr>
                <w:rFonts w:ascii="Times New Roman" w:hAnsi="Times New Roman" w:cs="Times New Roman"/>
                <w:i/>
                <w:iCs/>
              </w:rPr>
              <w:t xml:space="preserve"> is abbreviated as FEV</w:t>
            </w:r>
            <w:r>
              <w:rPr>
                <w:rFonts w:ascii="Times New Roman" w:hAnsi="Times New Roman" w:cs="Times New Roman"/>
                <w:i/>
                <w:iCs/>
                <w:vertAlign w:val="subscript"/>
              </w:rPr>
              <w:t>1</w:t>
            </w:r>
            <w:r>
              <w:rPr>
                <w:rFonts w:ascii="Times New Roman" w:hAnsi="Times New Roman" w:cs="Times New Roman"/>
                <w:i/>
                <w:iCs/>
              </w:rPr>
              <w:t>.</w:t>
            </w:r>
          </w:p>
          <w:p w14:paraId="5E5494BE" w14:textId="0ABA42D3" w:rsidR="004B40E0" w:rsidRPr="004B40E0" w:rsidRDefault="004B40E0" w:rsidP="00D906FC">
            <w:pPr>
              <w:rPr>
                <w:rFonts w:ascii="Times New Roman" w:hAnsi="Times New Roman" w:cs="Times New Roman"/>
                <w:i/>
                <w:iCs/>
              </w:rPr>
            </w:pPr>
            <w:r w:rsidRPr="0085476F">
              <w:rPr>
                <w:rFonts w:ascii="Times New Roman" w:hAnsi="Times New Roman" w:cs="Times New Roman"/>
                <w:i/>
                <w:iCs/>
                <w:vertAlign w:val="superscript"/>
              </w:rPr>
              <w:t>2</w:t>
            </w:r>
            <w:r>
              <w:rPr>
                <w:rFonts w:ascii="Times New Roman" w:hAnsi="Times New Roman" w:cs="Times New Roman"/>
                <w:i/>
                <w:iCs/>
              </w:rPr>
              <w:t>Department of Energy is abbreviated as DOE.</w:t>
            </w:r>
          </w:p>
        </w:tc>
      </w:tr>
    </w:tbl>
    <w:p w14:paraId="3784FB23" w14:textId="14967587" w:rsidR="00160EDF" w:rsidRDefault="00160EDF" w:rsidP="007F1D73">
      <w:pPr>
        <w:spacing w:after="0" w:line="480" w:lineRule="auto"/>
        <w:rPr>
          <w:rFonts w:ascii="Times New Roman" w:hAnsi="Times New Roman" w:cs="Times New Roman"/>
          <w:iCs/>
        </w:rPr>
      </w:pPr>
    </w:p>
    <w:p w14:paraId="6B277702" w14:textId="77777777" w:rsidR="00160EDF" w:rsidRDefault="00160EDF" w:rsidP="007F1D73">
      <w:pPr>
        <w:spacing w:after="0" w:line="480" w:lineRule="auto"/>
        <w:rPr>
          <w:rFonts w:ascii="Times New Roman" w:hAnsi="Times New Roman" w:cs="Times New Roman"/>
          <w:iCs/>
        </w:rPr>
      </w:pPr>
      <w:r>
        <w:rPr>
          <w:rFonts w:ascii="Times New Roman" w:hAnsi="Times New Roman" w:cs="Times New Roman"/>
          <w:iCs/>
        </w:rPr>
        <w:br w:type="page"/>
      </w:r>
    </w:p>
    <w:p w14:paraId="244B4B7D" w14:textId="5EBAB2C6" w:rsidR="00903662" w:rsidRPr="00903662" w:rsidRDefault="00903662" w:rsidP="007F1D73">
      <w:pPr>
        <w:pStyle w:val="Heading5"/>
        <w:spacing w:before="0" w:after="0" w:line="480" w:lineRule="auto"/>
      </w:pPr>
      <w:bookmarkStart w:id="175" w:name="_Toc200097022"/>
      <w:r w:rsidRPr="00903662">
        <w:lastRenderedPageBreak/>
        <w:t xml:space="preserve">Demographic, clinical, behavioral, and work history </w:t>
      </w:r>
      <w:r>
        <w:t>d</w:t>
      </w:r>
      <w:r w:rsidRPr="00903662">
        <w:t>ata</w:t>
      </w:r>
      <w:bookmarkEnd w:id="175"/>
    </w:p>
    <w:p w14:paraId="2C0B7C63" w14:textId="4486F2DD" w:rsidR="00903662" w:rsidRDefault="00903662" w:rsidP="007F1D73">
      <w:pPr>
        <w:spacing w:after="0" w:line="480" w:lineRule="auto"/>
        <w:ind w:firstLine="720"/>
        <w:rPr>
          <w:rFonts w:ascii="Times New Roman" w:hAnsi="Times New Roman" w:cs="Times New Roman"/>
          <w:iCs/>
        </w:rPr>
      </w:pPr>
      <w:r w:rsidRPr="00903662">
        <w:rPr>
          <w:rFonts w:ascii="Times New Roman" w:hAnsi="Times New Roman" w:cs="Times New Roman"/>
          <w:iCs/>
        </w:rPr>
        <w:t>The demographic, clinical, and behavioral factors assessed in this study included</w:t>
      </w:r>
      <w:r w:rsidRPr="00903662" w:rsidDel="008670F7">
        <w:rPr>
          <w:rFonts w:ascii="Times New Roman" w:hAnsi="Times New Roman" w:cs="Times New Roman"/>
          <w:iCs/>
        </w:rPr>
        <w:t xml:space="preserve"> </w:t>
      </w:r>
      <w:r w:rsidRPr="00903662">
        <w:rPr>
          <w:rFonts w:ascii="Times New Roman" w:hAnsi="Times New Roman" w:cs="Times New Roman"/>
          <w:iCs/>
        </w:rPr>
        <w:t>age at initial exam, self-reported respiratory symptoms, FEV</w:t>
      </w:r>
      <w:r w:rsidRPr="00903662">
        <w:rPr>
          <w:rFonts w:ascii="Times New Roman" w:hAnsi="Times New Roman" w:cs="Times New Roman"/>
          <w:iCs/>
          <w:vertAlign w:val="subscript"/>
        </w:rPr>
        <w:t>1</w:t>
      </w:r>
      <w:r w:rsidRPr="00903662">
        <w:rPr>
          <w:rFonts w:ascii="Times New Roman" w:hAnsi="Times New Roman" w:cs="Times New Roman"/>
          <w:iCs/>
        </w:rPr>
        <w:t xml:space="preserve"> value at initial exam, time between exams, sex (male/female), race (Black/non-Black), and self-reported smoking status (smoker/never smoker). For the occupational histories, the type of DOE facility where the participant spent the majority of their career was classified by the NSSP as uranium processing, weapons production, or science and laboratory facility. Duration of employment at a DOE facility was calculated from self-reported hire and termination dates. Age at hire was also computed from the self-reported hire dates and birth dates. The occupational exposures to silica, diesel exhaust, welding fumes, and cadmium were also self-reported and captured as dichotomous (Yes/No) variables.</w:t>
      </w:r>
    </w:p>
    <w:p w14:paraId="60EDAC9E" w14:textId="77777777" w:rsidR="00682FAC" w:rsidRPr="00903662" w:rsidRDefault="00682FAC" w:rsidP="007F1D73">
      <w:pPr>
        <w:spacing w:after="0" w:line="480" w:lineRule="auto"/>
        <w:rPr>
          <w:rFonts w:ascii="Times New Roman" w:hAnsi="Times New Roman" w:cs="Times New Roman"/>
          <w:iCs/>
        </w:rPr>
      </w:pPr>
    </w:p>
    <w:p w14:paraId="4FAFA553" w14:textId="1C5A48E0" w:rsidR="00903662" w:rsidRPr="002735C7" w:rsidRDefault="00903662" w:rsidP="007F1D73">
      <w:pPr>
        <w:pStyle w:val="Heading4"/>
        <w:spacing w:before="0" w:after="0" w:line="480" w:lineRule="auto"/>
        <w:rPr>
          <w:szCs w:val="28"/>
        </w:rPr>
      </w:pPr>
      <w:bookmarkStart w:id="176" w:name="_Toc200097023"/>
      <w:r w:rsidRPr="002735C7">
        <w:rPr>
          <w:szCs w:val="28"/>
        </w:rPr>
        <w:t>Statistical &amp; machine learning analyses</w:t>
      </w:r>
      <w:bookmarkEnd w:id="176"/>
    </w:p>
    <w:p w14:paraId="2066464F" w14:textId="4619C4C7" w:rsidR="00903662" w:rsidRPr="00903662" w:rsidRDefault="00903662" w:rsidP="007F1D73">
      <w:pPr>
        <w:pStyle w:val="Heading5"/>
        <w:spacing w:before="0" w:after="0" w:line="480" w:lineRule="auto"/>
      </w:pPr>
      <w:bookmarkStart w:id="177" w:name="_Toc200097024"/>
      <w:r w:rsidRPr="00903662">
        <w:t>Descriptive statistics</w:t>
      </w:r>
      <w:bookmarkEnd w:id="177"/>
    </w:p>
    <w:p w14:paraId="0EA4006C" w14:textId="684D4DA0" w:rsidR="00903662" w:rsidRDefault="00903662" w:rsidP="007F1D73">
      <w:pPr>
        <w:spacing w:after="0" w:line="480" w:lineRule="auto"/>
        <w:ind w:firstLine="720"/>
        <w:rPr>
          <w:rFonts w:ascii="Times New Roman" w:hAnsi="Times New Roman" w:cs="Times New Roman"/>
          <w:iCs/>
        </w:rPr>
      </w:pPr>
      <w:r w:rsidRPr="00903662">
        <w:rPr>
          <w:rFonts w:ascii="Times New Roman" w:hAnsi="Times New Roman" w:cs="Times New Roman"/>
          <w:iCs/>
        </w:rPr>
        <w:t xml:space="preserve">All data management, statistical analyses, and machine learning were performed in SAS 9.4 </w:t>
      </w:r>
      <w:sdt>
        <w:sdtPr>
          <w:rPr>
            <w:rFonts w:ascii="Times New Roman" w:hAnsi="Times New Roman" w:cs="Times New Roman"/>
            <w:iCs/>
            <w:color w:val="000000"/>
          </w:rPr>
          <w:tag w:val="MENDELEY_CITATION_v3_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"/>
          <w:id w:val="1188875373"/>
          <w:placeholder>
            <w:docPart w:val="640E63EB2CE35C458E08854DFF5D58B1"/>
          </w:placeholder>
        </w:sdtPr>
        <w:sdtEndPr/>
        <w:sdtContent>
          <w:r w:rsidR="00572E88" w:rsidRPr="00572E88">
            <w:rPr>
              <w:rFonts w:ascii="Times New Roman" w:hAnsi="Times New Roman" w:cs="Times New Roman"/>
              <w:iCs/>
              <w:color w:val="000000"/>
            </w:rPr>
            <w:t>[207]</w:t>
          </w:r>
        </w:sdtContent>
      </w:sdt>
      <w:r w:rsidRPr="00903662">
        <w:rPr>
          <w:rFonts w:ascii="Times New Roman" w:hAnsi="Times New Roman" w:cs="Times New Roman"/>
          <w:iCs/>
        </w:rPr>
        <w:t xml:space="preserve"> and RStudio version 2021.09.2 </w:t>
      </w:r>
      <w:sdt>
        <w:sdtPr>
          <w:rPr>
            <w:rFonts w:ascii="Times New Roman" w:hAnsi="Times New Roman" w:cs="Times New Roman"/>
            <w:iCs/>
            <w:color w:val="000000"/>
          </w:rPr>
          <w:tag w:val="MENDELEY_CITATION_v3_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"/>
          <w:id w:val="1045723634"/>
          <w:placeholder>
            <w:docPart w:val="640E63EB2CE35C458E08854DFF5D58B1"/>
          </w:placeholder>
        </w:sdtPr>
        <w:sdtEndPr/>
        <w:sdtContent>
          <w:r w:rsidR="00572E88" w:rsidRPr="00572E88">
            <w:rPr>
              <w:rFonts w:ascii="Times New Roman" w:hAnsi="Times New Roman" w:cs="Times New Roman"/>
              <w:iCs/>
              <w:color w:val="000000"/>
            </w:rPr>
            <w:t>[132]</w:t>
          </w:r>
        </w:sdtContent>
      </w:sdt>
      <w:r w:rsidRPr="00903662">
        <w:rPr>
          <w:rFonts w:ascii="Times New Roman" w:hAnsi="Times New Roman" w:cs="Times New Roman"/>
          <w:iCs/>
        </w:rPr>
        <w:t xml:space="preserve"> interface of R version 4.0.3 </w:t>
      </w:r>
      <w:sdt>
        <w:sdtPr>
          <w:rPr>
            <w:rFonts w:ascii="Times New Roman" w:hAnsi="Times New Roman" w:cs="Times New Roman"/>
            <w:iCs/>
            <w:color w:val="000000"/>
          </w:rPr>
          <w:tag w:val="MENDELEY_CITATION_v3_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"/>
          <w:id w:val="1448353499"/>
          <w:placeholder>
            <w:docPart w:val="640E63EB2CE35C458E08854DFF5D58B1"/>
          </w:placeholder>
        </w:sdtPr>
        <w:sdtEndPr/>
        <w:sdtContent>
          <w:r w:rsidR="00572E88" w:rsidRPr="00572E88">
            <w:rPr>
              <w:rFonts w:ascii="Times New Roman" w:hAnsi="Times New Roman" w:cs="Times New Roman"/>
              <w:iCs/>
              <w:color w:val="000000"/>
            </w:rPr>
            <w:t>[133]</w:t>
          </w:r>
        </w:sdtContent>
      </w:sdt>
      <w:r w:rsidRPr="00903662">
        <w:rPr>
          <w:rFonts w:ascii="Times New Roman" w:hAnsi="Times New Roman" w:cs="Times New Roman"/>
          <w:iCs/>
        </w:rPr>
        <w:t xml:space="preserve">. Basic descriptive analyses for categorical variables included computation of frequencies and percentages as well as 95% confidence intervals of the percentages. Continuous variables were assessed for normality of distribution using the one-sample Kolmogorov-Smirnov test and a critical p-value of 0.05 </w:t>
      </w:r>
      <w:sdt>
        <w:sdtPr>
          <w:rPr>
            <w:rFonts w:ascii="Times New Roman" w:hAnsi="Times New Roman" w:cs="Times New Roman"/>
            <w:iCs/>
            <w:color w:val="000000"/>
          </w:rPr>
          <w:tag w:val="MENDELEY_CITATION_v3_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"/>
          <w:id w:val="661582956"/>
          <w:placeholder>
            <w:docPart w:val="640E63EB2CE35C458E08854DFF5D58B1"/>
          </w:placeholder>
        </w:sdtPr>
        <w:sdtEndPr/>
        <w:sdtContent>
          <w:r w:rsidR="00572E88" w:rsidRPr="00572E88">
            <w:rPr>
              <w:rFonts w:ascii="Times New Roman" w:hAnsi="Times New Roman" w:cs="Times New Roman"/>
              <w:iCs/>
              <w:color w:val="000000"/>
            </w:rPr>
            <w:t>[208]</w:t>
          </w:r>
        </w:sdtContent>
      </w:sdt>
      <w:r w:rsidRPr="00903662">
        <w:rPr>
          <w:rFonts w:ascii="Times New Roman" w:hAnsi="Times New Roman" w:cs="Times New Roman"/>
          <w:iCs/>
        </w:rPr>
        <w:t xml:space="preserve">. Since most of the continuous variables were not normally distributed, summary statistics were presented as quartiles. </w:t>
      </w:r>
    </w:p>
    <w:p w14:paraId="26ACE549" w14:textId="77777777" w:rsidR="00682FAC" w:rsidRPr="00903662" w:rsidRDefault="00682FAC" w:rsidP="007F1D73">
      <w:pPr>
        <w:spacing w:after="0" w:line="480" w:lineRule="auto"/>
        <w:rPr>
          <w:rFonts w:ascii="Times New Roman" w:hAnsi="Times New Roman" w:cs="Times New Roman"/>
          <w:iCs/>
        </w:rPr>
      </w:pPr>
    </w:p>
    <w:p w14:paraId="44B0D9CB" w14:textId="46D6C619" w:rsidR="00903662" w:rsidRPr="002735C7" w:rsidRDefault="00903662" w:rsidP="007F1D73">
      <w:pPr>
        <w:pStyle w:val="Heading5"/>
        <w:spacing w:before="0" w:after="0" w:line="480" w:lineRule="auto"/>
      </w:pPr>
      <w:bookmarkStart w:id="178" w:name="_Toc200097025"/>
      <w:r w:rsidRPr="002735C7">
        <w:lastRenderedPageBreak/>
        <w:t>Multiple imputation</w:t>
      </w:r>
      <w:bookmarkEnd w:id="178"/>
    </w:p>
    <w:p w14:paraId="282B1927" w14:textId="77777777" w:rsidR="00682FAC" w:rsidRDefault="00903662" w:rsidP="007F1D73">
      <w:pPr>
        <w:spacing w:after="0" w:line="480" w:lineRule="auto"/>
        <w:ind w:firstLine="720"/>
        <w:rPr>
          <w:rFonts w:ascii="Times New Roman" w:hAnsi="Times New Roman" w:cs="Times New Roman"/>
          <w:iCs/>
        </w:rPr>
      </w:pPr>
      <w:r w:rsidRPr="00903662">
        <w:rPr>
          <w:rFonts w:ascii="Times New Roman" w:hAnsi="Times New Roman" w:cs="Times New Roman"/>
          <w:iCs/>
        </w:rPr>
        <w:t xml:space="preserve">Imputation of missing values was performed using multivariate imputation by chained equation (MICE) through the mice R package </w:t>
      </w:r>
      <w:sdt>
        <w:sdtPr>
          <w:rPr>
            <w:rFonts w:ascii="Times New Roman" w:hAnsi="Times New Roman" w:cs="Times New Roman"/>
            <w:iCs/>
            <w:color w:val="000000"/>
          </w:rPr>
          <w:tag w:val="MENDELEY_CITATION_v3_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"/>
          <w:id w:val="-1839917206"/>
          <w:placeholder>
            <w:docPart w:val="640E63EB2CE35C458E08854DFF5D58B1"/>
          </w:placeholder>
        </w:sdtPr>
        <w:sdtEndPr/>
        <w:sdtContent>
          <w:r w:rsidR="00572E88" w:rsidRPr="00572E88">
            <w:rPr>
              <w:rFonts w:ascii="Times New Roman" w:hAnsi="Times New Roman" w:cs="Times New Roman"/>
              <w:iCs/>
              <w:color w:val="000000"/>
            </w:rPr>
            <w:t>[173]</w:t>
          </w:r>
        </w:sdtContent>
      </w:sdt>
      <w:r w:rsidRPr="00903662">
        <w:rPr>
          <w:rFonts w:ascii="Times New Roman" w:hAnsi="Times New Roman" w:cs="Times New Roman"/>
          <w:iCs/>
        </w:rPr>
        <w:t xml:space="preserve">. Through this process, imputation was performed using predictive mean matching with a maximum of 30 iterations for 20 total imputations across all variables considered for comorbidity cluster identification as well as investigation of predictors of lung function changes </w:t>
      </w:r>
      <w:sdt>
        <w:sdtPr>
          <w:rPr>
            <w:rFonts w:ascii="Times New Roman" w:hAnsi="Times New Roman" w:cs="Times New Roman"/>
            <w:iCs/>
            <w:color w:val="000000"/>
          </w:rPr>
          <w:tag w:val="MENDELEY_CITATION_v3_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"/>
          <w:id w:val="-1057629586"/>
          <w:placeholder>
            <w:docPart w:val="640E63EB2CE35C458E08854DFF5D58B1"/>
          </w:placeholder>
        </w:sdtPr>
        <w:sdtEndPr/>
        <w:sdtContent>
          <w:r w:rsidR="00572E88" w:rsidRPr="00572E88">
            <w:rPr>
              <w:rFonts w:ascii="Times New Roman" w:hAnsi="Times New Roman" w:cs="Times New Roman"/>
              <w:iCs/>
              <w:color w:val="000000"/>
            </w:rPr>
            <w:t>[209]</w:t>
          </w:r>
        </w:sdtContent>
      </w:sdt>
      <w:r w:rsidRPr="00903662">
        <w:rPr>
          <w:rFonts w:ascii="Times New Roman" w:hAnsi="Times New Roman" w:cs="Times New Roman"/>
          <w:iCs/>
        </w:rPr>
        <w:t>.</w:t>
      </w:r>
    </w:p>
    <w:p w14:paraId="4D25B2C8" w14:textId="7CD551D3" w:rsidR="00903662" w:rsidRPr="00903662" w:rsidRDefault="00903662" w:rsidP="007F1D73">
      <w:pPr>
        <w:spacing w:after="0" w:line="480" w:lineRule="auto"/>
        <w:rPr>
          <w:rFonts w:ascii="Times New Roman" w:hAnsi="Times New Roman" w:cs="Times New Roman"/>
          <w:iCs/>
        </w:rPr>
      </w:pPr>
    </w:p>
    <w:p w14:paraId="3A489107" w14:textId="13DB92F7" w:rsidR="00903662" w:rsidRPr="00903662" w:rsidRDefault="00903662" w:rsidP="007F1D73">
      <w:pPr>
        <w:pStyle w:val="Heading5"/>
        <w:spacing w:before="0" w:after="0" w:line="480" w:lineRule="auto"/>
      </w:pPr>
      <w:bookmarkStart w:id="179" w:name="_Toc200097026"/>
      <w:r w:rsidRPr="00903662">
        <w:t>Investigation of chronic obstructive pulmonary disease comorbidity clusters</w:t>
      </w:r>
      <w:bookmarkEnd w:id="179"/>
    </w:p>
    <w:p w14:paraId="0CF08260" w14:textId="51EE5AFD" w:rsidR="00903662" w:rsidRPr="00903662" w:rsidRDefault="00903662" w:rsidP="007F1D73">
      <w:pPr>
        <w:spacing w:after="0" w:line="480" w:lineRule="auto"/>
        <w:ind w:firstLine="720"/>
        <w:rPr>
          <w:rFonts w:ascii="Times New Roman" w:hAnsi="Times New Roman" w:cs="Times New Roman"/>
          <w:iCs/>
        </w:rPr>
      </w:pPr>
      <w:r w:rsidRPr="00903662">
        <w:rPr>
          <w:rFonts w:ascii="Times New Roman" w:hAnsi="Times New Roman" w:cs="Times New Roman"/>
          <w:iCs/>
        </w:rPr>
        <w:t xml:space="preserve">Before performing the cluster analysis, univariable logistic regression models were used to identify comorbid conditions in the imputed datasets that had significant associations with COPD using a relaxed alpha of 0.2, and the results were combined using Rubin’s rules for pooling </w:t>
      </w:r>
      <w:sdt>
        <w:sdtPr>
          <w:rPr>
            <w:rFonts w:ascii="Times New Roman" w:hAnsi="Times New Roman" w:cs="Times New Roman"/>
            <w:iCs/>
            <w:color w:val="000000"/>
          </w:rPr>
          <w:tag w:val="MENDELEY_CITATION_v3_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"/>
          <w:id w:val="-162627321"/>
          <w:placeholder>
            <w:docPart w:val="640E63EB2CE35C458E08854DFF5D58B1"/>
          </w:placeholder>
        </w:sdtPr>
        <w:sdtEndPr/>
        <w:sdtContent>
          <w:r w:rsidR="00572E88" w:rsidRPr="00572E88">
            <w:rPr>
              <w:rFonts w:ascii="Times New Roman" w:hAnsi="Times New Roman" w:cs="Times New Roman"/>
              <w:iCs/>
              <w:color w:val="000000"/>
            </w:rPr>
            <w:t>[176]</w:t>
          </w:r>
        </w:sdtContent>
      </w:sdt>
      <w:r w:rsidRPr="00903662">
        <w:rPr>
          <w:rFonts w:ascii="Times New Roman" w:hAnsi="Times New Roman" w:cs="Times New Roman"/>
          <w:iCs/>
        </w:rPr>
        <w:t xml:space="preserve">. Only comorbid conditions that had univariable logistic regression </w:t>
      </w:r>
      <w:r w:rsidRPr="00903662">
        <w:rPr>
          <w:rFonts w:ascii="Times New Roman" w:hAnsi="Times New Roman" w:cs="Times New Roman"/>
          <w:i/>
          <w:iCs/>
        </w:rPr>
        <w:t>p</w:t>
      </w:r>
      <w:r w:rsidRPr="00903662">
        <w:rPr>
          <w:rFonts w:ascii="Times New Roman" w:hAnsi="Times New Roman" w:cs="Times New Roman"/>
          <w:iCs/>
        </w:rPr>
        <w:t xml:space="preserve"> ≤ 0.2 were included in the cluster analysis.</w:t>
      </w:r>
    </w:p>
    <w:p w14:paraId="3335B9A4" w14:textId="77C1FEF7" w:rsidR="00903662" w:rsidRDefault="00903662" w:rsidP="007F1D73">
      <w:pPr>
        <w:spacing w:after="0" w:line="480" w:lineRule="auto"/>
        <w:ind w:firstLine="720"/>
        <w:rPr>
          <w:rFonts w:ascii="Times New Roman" w:hAnsi="Times New Roman" w:cs="Times New Roman"/>
          <w:iCs/>
        </w:rPr>
      </w:pPr>
      <w:r w:rsidRPr="00903662">
        <w:rPr>
          <w:rFonts w:ascii="Times New Roman" w:hAnsi="Times New Roman" w:cs="Times New Roman"/>
          <w:iCs/>
        </w:rPr>
        <w:t xml:space="preserve">To identify comorbidity clusters specific to COPD, hierarchical clustering using an agglomerative approach was applied only to participants with COPD. The cluster analysis used the complete linkage strategy for cluster merging and Gower’s distance </w:t>
      </w:r>
      <w:sdt>
        <w:sdtPr>
          <w:rPr>
            <w:rFonts w:ascii="Times New Roman" w:hAnsi="Times New Roman" w:cs="Times New Roman"/>
            <w:iCs/>
            <w:color w:val="000000"/>
          </w:rPr>
          <w:tag w:val="MENDELEY_CITATION_v3_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"/>
          <w:id w:val="198749638"/>
          <w:placeholder>
            <w:docPart w:val="640E63EB2CE35C458E08854DFF5D58B1"/>
          </w:placeholder>
        </w:sdtPr>
        <w:sdtEndPr/>
        <w:sdtContent>
          <w:r w:rsidR="00572E88" w:rsidRPr="00572E88">
            <w:rPr>
              <w:rFonts w:ascii="Times New Roman" w:hAnsi="Times New Roman" w:cs="Times New Roman"/>
              <w:iCs/>
              <w:color w:val="000000"/>
            </w:rPr>
            <w:t>[210]</w:t>
          </w:r>
        </w:sdtContent>
      </w:sdt>
      <w:r w:rsidRPr="00903662">
        <w:rPr>
          <w:rFonts w:ascii="Times New Roman" w:hAnsi="Times New Roman" w:cs="Times New Roman"/>
          <w:iCs/>
        </w:rPr>
        <w:t xml:space="preserve"> as the distance measure. The multiple imputation pooling framework developed by </w:t>
      </w:r>
      <w:proofErr w:type="spellStart"/>
      <w:r w:rsidRPr="00903662">
        <w:rPr>
          <w:rFonts w:ascii="Times New Roman" w:hAnsi="Times New Roman" w:cs="Times New Roman"/>
          <w:iCs/>
        </w:rPr>
        <w:t>Basagana</w:t>
      </w:r>
      <w:proofErr w:type="spellEnd"/>
      <w:r w:rsidRPr="00903662">
        <w:rPr>
          <w:rFonts w:ascii="Times New Roman" w:hAnsi="Times New Roman" w:cs="Times New Roman"/>
          <w:iCs/>
        </w:rPr>
        <w:t xml:space="preserve"> et al was applied to the hierarchical clustering with the MICE datasets </w:t>
      </w:r>
      <w:sdt>
        <w:sdtPr>
          <w:rPr>
            <w:rFonts w:ascii="Times New Roman" w:hAnsi="Times New Roman" w:cs="Times New Roman"/>
            <w:iCs/>
            <w:color w:val="000000"/>
          </w:rPr>
          <w:tag w:val="MENDELEY_CITATION_v3_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"/>
          <w:id w:val="-1661930014"/>
          <w:placeholder>
            <w:docPart w:val="640E63EB2CE35C458E08854DFF5D58B1"/>
          </w:placeholder>
        </w:sdtPr>
        <w:sdtEndPr/>
        <w:sdtContent>
          <w:r w:rsidR="00572E88" w:rsidRPr="00572E88">
            <w:rPr>
              <w:rFonts w:ascii="Times New Roman" w:hAnsi="Times New Roman" w:cs="Times New Roman"/>
              <w:iCs/>
              <w:color w:val="000000"/>
            </w:rPr>
            <w:t>[211]</w:t>
          </w:r>
        </w:sdtContent>
      </w:sdt>
      <w:r w:rsidRPr="00903662">
        <w:rPr>
          <w:rFonts w:ascii="Times New Roman" w:hAnsi="Times New Roman" w:cs="Times New Roman"/>
          <w:iCs/>
        </w:rPr>
        <w:t xml:space="preserve">. In this approach, </w:t>
      </w:r>
      <w:proofErr w:type="spellStart"/>
      <w:r w:rsidRPr="00903662">
        <w:rPr>
          <w:rFonts w:ascii="Times New Roman" w:hAnsi="Times New Roman" w:cs="Times New Roman"/>
          <w:iCs/>
        </w:rPr>
        <w:t>Basagana</w:t>
      </w:r>
      <w:proofErr w:type="spellEnd"/>
      <w:r w:rsidRPr="00903662">
        <w:rPr>
          <w:rFonts w:ascii="Times New Roman" w:hAnsi="Times New Roman" w:cs="Times New Roman"/>
          <w:iCs/>
        </w:rPr>
        <w:t xml:space="preserve"> et al. propose performing hierarchical cluster analysis on each imputed dataset individually to identify the optimal number of clusters for each dataset using an accepted method of optimizing the number of clusters </w:t>
      </w:r>
      <w:sdt>
        <w:sdtPr>
          <w:rPr>
            <w:rFonts w:ascii="Times New Roman" w:hAnsi="Times New Roman" w:cs="Times New Roman"/>
            <w:iCs/>
            <w:color w:val="000000"/>
          </w:rPr>
          <w:tag w:val="MENDELEY_CITATION_v3_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"/>
          <w:id w:val="-1322658822"/>
          <w:placeholder>
            <w:docPart w:val="A57132CCF78E79489C7495D794991E53"/>
          </w:placeholder>
        </w:sdtPr>
        <w:sdtEndPr/>
        <w:sdtContent>
          <w:r w:rsidR="00572E88" w:rsidRPr="00572E88">
            <w:rPr>
              <w:rFonts w:ascii="Times New Roman" w:hAnsi="Times New Roman" w:cs="Times New Roman"/>
              <w:iCs/>
              <w:color w:val="000000"/>
            </w:rPr>
            <w:t>[211]</w:t>
          </w:r>
        </w:sdtContent>
      </w:sdt>
      <w:r w:rsidRPr="00903662">
        <w:rPr>
          <w:rFonts w:ascii="Times New Roman" w:hAnsi="Times New Roman" w:cs="Times New Roman"/>
          <w:iCs/>
        </w:rPr>
        <w:t xml:space="preserve">.  Then, </w:t>
      </w:r>
      <w:proofErr w:type="spellStart"/>
      <w:r w:rsidRPr="00903662">
        <w:rPr>
          <w:rFonts w:ascii="Times New Roman" w:hAnsi="Times New Roman" w:cs="Times New Roman"/>
          <w:iCs/>
        </w:rPr>
        <w:t>Basagana</w:t>
      </w:r>
      <w:proofErr w:type="spellEnd"/>
      <w:r w:rsidRPr="00903662">
        <w:rPr>
          <w:rFonts w:ascii="Times New Roman" w:hAnsi="Times New Roman" w:cs="Times New Roman"/>
          <w:iCs/>
        </w:rPr>
        <w:t xml:space="preserve"> et al suggest using the median or mode of those values to find the overall optimal number of clusters across all the imputed datasets </w:t>
      </w:r>
      <w:sdt>
        <w:sdtPr>
          <w:rPr>
            <w:rFonts w:ascii="Times New Roman" w:hAnsi="Times New Roman" w:cs="Times New Roman"/>
            <w:iCs/>
            <w:color w:val="000000"/>
          </w:rPr>
          <w:tag w:val="MENDELEY_CITATION_v3_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"/>
          <w:id w:val="1831708328"/>
          <w:placeholder>
            <w:docPart w:val="640E63EB2CE35C458E08854DFF5D58B1"/>
          </w:placeholder>
        </w:sdtPr>
        <w:sdtEndPr/>
        <w:sdtContent>
          <w:r w:rsidR="00572E88" w:rsidRPr="00572E88">
            <w:rPr>
              <w:rFonts w:ascii="Times New Roman" w:hAnsi="Times New Roman" w:cs="Times New Roman"/>
              <w:iCs/>
              <w:color w:val="000000"/>
            </w:rPr>
            <w:t>[211]</w:t>
          </w:r>
        </w:sdtContent>
      </w:sdt>
      <w:r w:rsidRPr="00903662">
        <w:rPr>
          <w:rFonts w:ascii="Times New Roman" w:hAnsi="Times New Roman" w:cs="Times New Roman"/>
          <w:iCs/>
        </w:rPr>
        <w:t xml:space="preserve">. In this </w:t>
      </w:r>
      <w:r w:rsidRPr="00903662">
        <w:rPr>
          <w:rFonts w:ascii="Times New Roman" w:hAnsi="Times New Roman" w:cs="Times New Roman"/>
          <w:iCs/>
        </w:rPr>
        <w:lastRenderedPageBreak/>
        <w:t xml:space="preserve">study, the “elbow” method was chosen for determining the optimal number of clusters in each imputed dataset.  The point at which the smallest decrease in the within cluster sum of squares occurs, creating an elbow on the graph, indicates the optimal number of clusters. After performing the elbow method for each data, the median of those optimal number of clusters was chosen for the overall optimal number of clusters. The imputed datasets were re-analyzed using the overall optimal number of clusters. Summary statistics on cluster membership and prevalence of comorbidities within each cluster were reported </w:t>
      </w:r>
      <w:sdt>
        <w:sdtPr>
          <w:rPr>
            <w:rFonts w:ascii="Times New Roman" w:hAnsi="Times New Roman" w:cs="Times New Roman"/>
            <w:iCs/>
            <w:color w:val="000000"/>
          </w:rPr>
          <w:tag w:val="MENDELEY_CITATION_v3_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"/>
          <w:id w:val="27149454"/>
          <w:placeholder>
            <w:docPart w:val="640E63EB2CE35C458E08854DFF5D58B1"/>
          </w:placeholder>
        </w:sdtPr>
        <w:sdtEndPr/>
        <w:sdtContent>
          <w:r w:rsidR="00572E88" w:rsidRPr="00572E88">
            <w:rPr>
              <w:rFonts w:ascii="Times New Roman" w:hAnsi="Times New Roman" w:cs="Times New Roman"/>
              <w:iCs/>
              <w:color w:val="000000"/>
            </w:rPr>
            <w:t>[211]</w:t>
          </w:r>
        </w:sdtContent>
      </w:sdt>
      <w:r w:rsidRPr="00903662">
        <w:rPr>
          <w:rFonts w:ascii="Times New Roman" w:hAnsi="Times New Roman" w:cs="Times New Roman"/>
          <w:iCs/>
        </w:rPr>
        <w:t xml:space="preserve">. Kruskal Wallis, followed by Dunn’s Test with a Bonferroni correction, was used to determine if the percentages of comorbidities varied across clusters. All cluster analyses were performed using the cluster R package </w:t>
      </w:r>
      <w:sdt>
        <w:sdtPr>
          <w:rPr>
            <w:rFonts w:ascii="Times New Roman" w:hAnsi="Times New Roman" w:cs="Times New Roman"/>
            <w:iCs/>
            <w:color w:val="000000"/>
          </w:rPr>
          <w:tag w:val="MENDELEY_CITATION_v3_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"/>
          <w:id w:val="-1976281108"/>
          <w:placeholder>
            <w:docPart w:val="A57132CCF78E79489C7495D794991E53"/>
          </w:placeholder>
        </w:sdtPr>
        <w:sdtEndPr/>
        <w:sdtContent>
          <w:r w:rsidR="00572E88" w:rsidRPr="00572E88">
            <w:rPr>
              <w:rFonts w:ascii="Times New Roman" w:hAnsi="Times New Roman" w:cs="Times New Roman"/>
              <w:iCs/>
              <w:color w:val="000000"/>
            </w:rPr>
            <w:t>[212]</w:t>
          </w:r>
        </w:sdtContent>
      </w:sdt>
      <w:r w:rsidRPr="00903662">
        <w:rPr>
          <w:rFonts w:ascii="Times New Roman" w:hAnsi="Times New Roman" w:cs="Times New Roman"/>
          <w:iCs/>
        </w:rPr>
        <w:t>.</w:t>
      </w:r>
    </w:p>
    <w:p w14:paraId="4E0F1EEF" w14:textId="77777777" w:rsidR="00682FAC" w:rsidRPr="00903662" w:rsidRDefault="00682FAC" w:rsidP="007F1D73">
      <w:pPr>
        <w:spacing w:after="0" w:line="480" w:lineRule="auto"/>
        <w:rPr>
          <w:rFonts w:ascii="Times New Roman" w:hAnsi="Times New Roman" w:cs="Times New Roman"/>
          <w:iCs/>
        </w:rPr>
      </w:pPr>
    </w:p>
    <w:p w14:paraId="2F1F8E7D" w14:textId="146E4BF9" w:rsidR="00903662" w:rsidRPr="00903662" w:rsidRDefault="00903662" w:rsidP="007F1D73">
      <w:pPr>
        <w:pStyle w:val="Heading5"/>
        <w:spacing w:before="0" w:after="0" w:line="480" w:lineRule="auto"/>
      </w:pPr>
      <w:bookmarkStart w:id="180" w:name="_Toc200097027"/>
      <w:r w:rsidRPr="00903662">
        <w:t>Investigation of predictors of lung function changes and decline</w:t>
      </w:r>
      <w:bookmarkEnd w:id="180"/>
    </w:p>
    <w:p w14:paraId="68AA2DF2" w14:textId="4308CB15" w:rsidR="00903662" w:rsidRPr="00903662" w:rsidRDefault="00903662" w:rsidP="007F1D73">
      <w:pPr>
        <w:spacing w:after="0" w:line="480" w:lineRule="auto"/>
        <w:ind w:firstLine="720"/>
        <w:rPr>
          <w:rFonts w:ascii="Times New Roman" w:hAnsi="Times New Roman" w:cs="Times New Roman"/>
          <w:iCs/>
        </w:rPr>
      </w:pPr>
      <w:r w:rsidRPr="00903662">
        <w:rPr>
          <w:rFonts w:ascii="Times New Roman" w:hAnsi="Times New Roman" w:cs="Times New Roman"/>
          <w:iCs/>
        </w:rPr>
        <w:t>Two approaches were used to predict lung function changes: a regression random forest model predicting the percent of FEV</w:t>
      </w:r>
      <w:r w:rsidRPr="00903662">
        <w:rPr>
          <w:rFonts w:ascii="Times New Roman" w:hAnsi="Times New Roman" w:cs="Times New Roman"/>
          <w:iCs/>
          <w:vertAlign w:val="subscript"/>
        </w:rPr>
        <w:t>1</w:t>
      </w:r>
      <w:r w:rsidRPr="00903662">
        <w:rPr>
          <w:rFonts w:ascii="Times New Roman" w:hAnsi="Times New Roman" w:cs="Times New Roman"/>
          <w:iCs/>
        </w:rPr>
        <w:t xml:space="preserve"> change at the rescreen exam and a classification random forest model predicting whether the FEV</w:t>
      </w:r>
      <w:r w:rsidRPr="00903662">
        <w:rPr>
          <w:rFonts w:ascii="Times New Roman" w:hAnsi="Times New Roman" w:cs="Times New Roman"/>
          <w:iCs/>
          <w:vertAlign w:val="subscript"/>
        </w:rPr>
        <w:t>1</w:t>
      </w:r>
      <w:r w:rsidRPr="00903662">
        <w:rPr>
          <w:rFonts w:ascii="Times New Roman" w:hAnsi="Times New Roman" w:cs="Times New Roman"/>
          <w:iCs/>
        </w:rPr>
        <w:t xml:space="preserve"> value declined at the rescreen exam. First, the regression random forest model was used to identify variables that had a significant association with the percentage change in FEV</w:t>
      </w:r>
      <w:r w:rsidRPr="00903662">
        <w:rPr>
          <w:rFonts w:ascii="Times New Roman" w:hAnsi="Times New Roman" w:cs="Times New Roman"/>
          <w:iCs/>
          <w:vertAlign w:val="subscript"/>
        </w:rPr>
        <w:t>1</w:t>
      </w:r>
      <w:r w:rsidRPr="00903662">
        <w:rPr>
          <w:rFonts w:ascii="Times New Roman" w:hAnsi="Times New Roman" w:cs="Times New Roman"/>
          <w:iCs/>
        </w:rPr>
        <w:t xml:space="preserve"> using univariable ordinary least squares models and a relaxed alpha of 0.2. The results were then pooled using Rubin’s rules for pooling </w:t>
      </w:r>
      <w:sdt>
        <w:sdtPr>
          <w:rPr>
            <w:rFonts w:ascii="Times New Roman" w:hAnsi="Times New Roman" w:cs="Times New Roman"/>
            <w:iCs/>
            <w:color w:val="000000"/>
          </w:rPr>
          <w:tag w:val="MENDELEY_CITATION_v3_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"/>
          <w:id w:val="-1067176510"/>
          <w:placeholder>
            <w:docPart w:val="640E63EB2CE35C458E08854DFF5D58B1"/>
          </w:placeholder>
        </w:sdtPr>
        <w:sdtEndPr/>
        <w:sdtContent>
          <w:r w:rsidR="00572E88" w:rsidRPr="00572E88">
            <w:rPr>
              <w:rFonts w:ascii="Times New Roman" w:hAnsi="Times New Roman" w:cs="Times New Roman"/>
              <w:iCs/>
              <w:color w:val="000000"/>
            </w:rPr>
            <w:t>[176]</w:t>
          </w:r>
        </w:sdtContent>
      </w:sdt>
      <w:r w:rsidRPr="00903662">
        <w:rPr>
          <w:rFonts w:ascii="Times New Roman" w:hAnsi="Times New Roman" w:cs="Times New Roman"/>
          <w:iCs/>
        </w:rPr>
        <w:t>, and only variables with a p-value ≤ 0.2 were included in the regression random forest. Each MICE dataset was split into 75% training data and 25% testing data. These data only included individuals with COPD who completed their initial exam and returned for their first rescreen exam. Model performance was assessed using root mean squared error. To identify which variables were most important for prediction, variable importance scores were calculated using the sum of squared errors.</w:t>
      </w:r>
    </w:p>
    <w:p w14:paraId="63B18344" w14:textId="356A18E3" w:rsidR="00903662" w:rsidRPr="00903662" w:rsidRDefault="00903662" w:rsidP="007F1D73">
      <w:pPr>
        <w:spacing w:after="0" w:line="480" w:lineRule="auto"/>
        <w:ind w:firstLine="720"/>
        <w:rPr>
          <w:rFonts w:ascii="Times New Roman" w:hAnsi="Times New Roman" w:cs="Times New Roman"/>
          <w:iCs/>
        </w:rPr>
      </w:pPr>
      <w:r w:rsidRPr="00903662">
        <w:rPr>
          <w:rFonts w:ascii="Times New Roman" w:hAnsi="Times New Roman" w:cs="Times New Roman"/>
          <w:iCs/>
        </w:rPr>
        <w:lastRenderedPageBreak/>
        <w:t>As with the regression random forest models, the classification random forest models used univariable logistic regression with a relaxed alpha of 0.2 to identify variables associated with a decline in FEV</w:t>
      </w:r>
      <w:r w:rsidRPr="00903662">
        <w:rPr>
          <w:rFonts w:ascii="Times New Roman" w:hAnsi="Times New Roman" w:cs="Times New Roman"/>
          <w:iCs/>
          <w:vertAlign w:val="subscript"/>
        </w:rPr>
        <w:t>1</w:t>
      </w:r>
      <w:r w:rsidRPr="00903662">
        <w:rPr>
          <w:rFonts w:ascii="Times New Roman" w:hAnsi="Times New Roman" w:cs="Times New Roman"/>
          <w:iCs/>
        </w:rPr>
        <w:t xml:space="preserve"> at the rescreen exam. The logistic regression model results were pooled using Rubin’s Rules </w:t>
      </w:r>
      <w:sdt>
        <w:sdtPr>
          <w:rPr>
            <w:rFonts w:ascii="Times New Roman" w:hAnsi="Times New Roman" w:cs="Times New Roman"/>
            <w:iCs/>
            <w:color w:val="000000"/>
          </w:rPr>
          <w:tag w:val="MENDELEY_CITATION_v3_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"/>
          <w:id w:val="374432212"/>
          <w:placeholder>
            <w:docPart w:val="640E63EB2CE35C458E08854DFF5D58B1"/>
          </w:placeholder>
        </w:sdtPr>
        <w:sdtEndPr/>
        <w:sdtContent>
          <w:r w:rsidR="00572E88" w:rsidRPr="00572E88">
            <w:rPr>
              <w:rFonts w:ascii="Times New Roman" w:hAnsi="Times New Roman" w:cs="Times New Roman"/>
              <w:iCs/>
              <w:color w:val="000000"/>
            </w:rPr>
            <w:t>[176]</w:t>
          </w:r>
        </w:sdtContent>
      </w:sdt>
      <w:r w:rsidRPr="00903662">
        <w:rPr>
          <w:rFonts w:ascii="Times New Roman" w:hAnsi="Times New Roman" w:cs="Times New Roman"/>
          <w:iCs/>
        </w:rPr>
        <w:t>. Only variables with a p-value ≤ 0.2 were included in the classification random forest models. As before, the MICE datasets were split into training data (75%) and testing data (25%). As with the regression random forest models, the training and testing data included only individuals with COPD who completed both an initial and rescreen exam. Model performance assessment was based on the overall classification accuracy as well as the sensitivity and specificity. Variable importance scores were once again used for identifying the most important factors driving model performance. However, this time the classification variable importance scores were calculated using the Gini impurity index.</w:t>
      </w:r>
    </w:p>
    <w:p w14:paraId="5C107E66" w14:textId="2A733FE0" w:rsidR="00FC7282" w:rsidRDefault="00903662" w:rsidP="007F1D73">
      <w:pPr>
        <w:spacing w:after="0" w:line="480" w:lineRule="auto"/>
        <w:ind w:firstLine="640"/>
        <w:rPr>
          <w:rFonts w:ascii="Times New Roman" w:hAnsi="Times New Roman" w:cs="Times New Roman"/>
          <w:iCs/>
        </w:rPr>
      </w:pPr>
      <w:r w:rsidRPr="00903662">
        <w:rPr>
          <w:rFonts w:ascii="Times New Roman" w:hAnsi="Times New Roman" w:cs="Times New Roman"/>
          <w:iCs/>
        </w:rPr>
        <w:t xml:space="preserve">The full list of variables considered for both the regression and classification random forest models is provided in </w:t>
      </w:r>
      <w:r w:rsidRPr="007B23A4">
        <w:rPr>
          <w:rFonts w:ascii="Times New Roman" w:hAnsi="Times New Roman" w:cs="Times New Roman"/>
        </w:rPr>
        <w:t xml:space="preserve">Table </w:t>
      </w:r>
      <w:r w:rsidR="007B23A4">
        <w:rPr>
          <w:rFonts w:ascii="Times New Roman" w:hAnsi="Times New Roman" w:cs="Times New Roman"/>
        </w:rPr>
        <w:t>4.</w:t>
      </w:r>
      <w:r w:rsidRPr="007B23A4">
        <w:rPr>
          <w:rFonts w:ascii="Times New Roman" w:hAnsi="Times New Roman" w:cs="Times New Roman"/>
        </w:rPr>
        <w:t>1</w:t>
      </w:r>
      <w:r w:rsidRPr="00903662">
        <w:rPr>
          <w:rFonts w:ascii="Times New Roman" w:hAnsi="Times New Roman" w:cs="Times New Roman"/>
          <w:iCs/>
        </w:rPr>
        <w:t xml:space="preserve"> and includes the comorbidity clusters identified through the cluster analysis. If the comorbidity clusters were not selected for the random forest models, then the individual comorbidity components of the clusters were considered for possible inclusion in the random forest models. Descriptive statistics (i.e., median, minimum, maximum, interquartile range) were used to describe the performance metrics and variable importance scores across imputed datasets for both the regression and classification random forest models. All the random forest model building, variable selection, and descriptive statistics were performed using the caret R package </w:t>
      </w:r>
      <w:sdt>
        <w:sdtPr>
          <w:rPr>
            <w:rFonts w:ascii="Times New Roman" w:hAnsi="Times New Roman" w:cs="Times New Roman"/>
            <w:iCs/>
            <w:color w:val="000000"/>
          </w:rPr>
          <w:tag w:val="MENDELEY_CITATION_v3_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"/>
          <w:id w:val="-1268617588"/>
          <w:placeholder>
            <w:docPart w:val="A57132CCF78E79489C7495D794991E53"/>
          </w:placeholder>
        </w:sdtPr>
        <w:sdtEndPr/>
        <w:sdtContent>
          <w:r w:rsidR="00572E88" w:rsidRPr="00572E88">
            <w:rPr>
              <w:rFonts w:ascii="Times New Roman" w:hAnsi="Times New Roman" w:cs="Times New Roman"/>
              <w:iCs/>
              <w:color w:val="000000"/>
            </w:rPr>
            <w:t>[213]</w:t>
          </w:r>
        </w:sdtContent>
      </w:sdt>
      <w:r w:rsidRPr="00903662">
        <w:rPr>
          <w:rFonts w:ascii="Times New Roman" w:hAnsi="Times New Roman" w:cs="Times New Roman"/>
          <w:iCs/>
        </w:rPr>
        <w:t>.</w:t>
      </w:r>
    </w:p>
    <w:p w14:paraId="09D80B56" w14:textId="7E4E5AED" w:rsidR="00EA661D" w:rsidRPr="00EA661D" w:rsidRDefault="00EA661D" w:rsidP="007F1D73">
      <w:pPr>
        <w:pStyle w:val="Heading3"/>
        <w:spacing w:before="0" w:after="0" w:line="480" w:lineRule="auto"/>
      </w:pPr>
      <w:bookmarkStart w:id="181" w:name="_Toc199884056"/>
      <w:bookmarkStart w:id="182" w:name="_Toc199884773"/>
      <w:bookmarkStart w:id="183" w:name="_Toc200097028"/>
      <w:r w:rsidRPr="00EA661D">
        <w:lastRenderedPageBreak/>
        <w:t>Results</w:t>
      </w:r>
      <w:bookmarkEnd w:id="181"/>
      <w:bookmarkEnd w:id="182"/>
      <w:bookmarkEnd w:id="183"/>
    </w:p>
    <w:p w14:paraId="403792A5" w14:textId="68B431A5" w:rsidR="00EA661D" w:rsidRPr="00EA661D" w:rsidRDefault="00EA661D" w:rsidP="007F1D73">
      <w:pPr>
        <w:pStyle w:val="Heading4"/>
        <w:spacing w:before="0" w:after="0" w:line="480" w:lineRule="auto"/>
      </w:pPr>
      <w:bookmarkStart w:id="184" w:name="_Toc200097029"/>
      <w:r w:rsidRPr="002735C7">
        <w:rPr>
          <w:szCs w:val="28"/>
        </w:rPr>
        <w:t>Descriptive statistics</w:t>
      </w:r>
      <w:bookmarkEnd w:id="184"/>
    </w:p>
    <w:p w14:paraId="7F95580D" w14:textId="79765FC7" w:rsidR="00160EDF" w:rsidRDefault="00EA661D" w:rsidP="007F1D73">
      <w:pPr>
        <w:spacing w:after="0" w:line="480" w:lineRule="auto"/>
        <w:ind w:firstLine="720"/>
        <w:rPr>
          <w:rFonts w:ascii="Times New Roman" w:hAnsi="Times New Roman" w:cs="Times New Roman"/>
          <w:iCs/>
        </w:rPr>
      </w:pPr>
      <w:r w:rsidRPr="00EA661D">
        <w:rPr>
          <w:rFonts w:ascii="Times New Roman" w:hAnsi="Times New Roman" w:cs="Times New Roman"/>
          <w:iCs/>
        </w:rPr>
        <w:t>A total of 17,488 NSSP participants completed their initial exams before 2020, and 20.9% of them had COPD (</w:t>
      </w:r>
      <w:r w:rsidRPr="007B23A4">
        <w:rPr>
          <w:rFonts w:ascii="Times New Roman" w:hAnsi="Times New Roman" w:cs="Times New Roman"/>
        </w:rPr>
        <w:t xml:space="preserve">Table </w:t>
      </w:r>
      <w:r w:rsidR="007B23A4" w:rsidRPr="007B23A4">
        <w:rPr>
          <w:rFonts w:ascii="Times New Roman" w:hAnsi="Times New Roman" w:cs="Times New Roman"/>
        </w:rPr>
        <w:t>4.</w:t>
      </w:r>
      <w:r w:rsidRPr="007B23A4">
        <w:rPr>
          <w:rFonts w:ascii="Times New Roman" w:hAnsi="Times New Roman" w:cs="Times New Roman"/>
        </w:rPr>
        <w:t>2</w:t>
      </w:r>
      <w:r w:rsidRPr="00EA661D">
        <w:rPr>
          <w:rFonts w:ascii="Times New Roman" w:hAnsi="Times New Roman" w:cs="Times New Roman"/>
          <w:iCs/>
        </w:rPr>
        <w:t>). The majority of COPD cases were mild (43.0%) or moderate (42.8%) and only 14.2% were severe or very severe. Most of the participants were male (74.7%) and non-black (88.2%). Approximately 43.6% of the participants reported a history of smoking. The median age at initial exam was 66 years old, and nearly 22% of the participants were 75 years old or older (</w:t>
      </w:r>
      <w:r w:rsidRPr="007B23A4">
        <w:rPr>
          <w:rFonts w:ascii="Times New Roman" w:hAnsi="Times New Roman" w:cs="Times New Roman"/>
        </w:rPr>
        <w:t xml:space="preserve">Table </w:t>
      </w:r>
      <w:r w:rsidR="007B23A4" w:rsidRPr="007B23A4">
        <w:rPr>
          <w:rFonts w:ascii="Times New Roman" w:hAnsi="Times New Roman" w:cs="Times New Roman"/>
        </w:rPr>
        <w:t>4.</w:t>
      </w:r>
      <w:r w:rsidRPr="007B23A4">
        <w:rPr>
          <w:rFonts w:ascii="Times New Roman" w:hAnsi="Times New Roman" w:cs="Times New Roman"/>
        </w:rPr>
        <w:t>2</w:t>
      </w:r>
      <w:r w:rsidRPr="00EA661D">
        <w:rPr>
          <w:rFonts w:ascii="Times New Roman" w:hAnsi="Times New Roman" w:cs="Times New Roman"/>
          <w:iCs/>
        </w:rPr>
        <w:t>).</w:t>
      </w:r>
    </w:p>
    <w:p w14:paraId="05C6D944" w14:textId="77777777" w:rsidR="00160EDF" w:rsidRDefault="00160EDF" w:rsidP="007F1D73">
      <w:pPr>
        <w:spacing w:after="0" w:line="480" w:lineRule="auto"/>
        <w:rPr>
          <w:rFonts w:ascii="Times New Roman" w:hAnsi="Times New Roman" w:cs="Times New Roman"/>
          <w:iCs/>
        </w:rPr>
      </w:pPr>
      <w:r>
        <w:rPr>
          <w:rFonts w:ascii="Times New Roman" w:hAnsi="Times New Roman" w:cs="Times New Roman"/>
          <w:iCs/>
        </w:rPr>
        <w:br w:type="page"/>
      </w:r>
    </w:p>
    <w:p w14:paraId="538E2B09" w14:textId="7F4BB750" w:rsidR="00160EDF" w:rsidRDefault="00160EDF" w:rsidP="007F1D73">
      <w:pPr>
        <w:pStyle w:val="Caption"/>
        <w:spacing w:after="0"/>
      </w:pPr>
      <w:bookmarkStart w:id="185" w:name="_Toc199886037"/>
      <w:bookmarkStart w:id="186" w:name="_Toc200097054"/>
      <w:r>
        <w:lastRenderedPageBreak/>
        <w:t xml:space="preserve">Table </w:t>
      </w:r>
      <w:r w:rsidR="00450C23">
        <w:fldChar w:fldCharType="begin"/>
      </w:r>
      <w:r w:rsidR="00450C23">
        <w:instrText xml:space="preserve"> STYLEREF 1 \s </w:instrText>
      </w:r>
      <w:r w:rsidR="00450C23">
        <w:fldChar w:fldCharType="separate"/>
      </w:r>
      <w:r w:rsidR="005D69AE">
        <w:rPr>
          <w:noProof/>
        </w:rPr>
        <w:t>4</w:t>
      </w:r>
      <w:r w:rsidR="00450C23">
        <w:rPr>
          <w:noProof/>
        </w:rPr>
        <w:fldChar w:fldCharType="end"/>
      </w:r>
      <w:r w:rsidR="005D69AE">
        <w:t>.</w:t>
      </w:r>
      <w:r w:rsidR="00450C23">
        <w:fldChar w:fldCharType="begin"/>
      </w:r>
      <w:r w:rsidR="00450C23">
        <w:instrText xml:space="preserve"> SEQ Table \* ARABIC \s 1 </w:instrText>
      </w:r>
      <w:r w:rsidR="00450C23">
        <w:fldChar w:fldCharType="separate"/>
      </w:r>
      <w:r w:rsidR="005D69AE">
        <w:rPr>
          <w:noProof/>
        </w:rPr>
        <w:t>2</w:t>
      </w:r>
      <w:r w:rsidR="00450C23">
        <w:rPr>
          <w:noProof/>
        </w:rPr>
        <w:fldChar w:fldCharType="end"/>
      </w:r>
      <w:r>
        <w:t xml:space="preserve">. </w:t>
      </w:r>
      <w:r w:rsidRPr="00773A46">
        <w:t>Descriptive statistics of work history, demographic, and clinical characteristics of Department of Energy former workers participating in the National Supplemental Screening Program, 2005-2019.</w:t>
      </w:r>
      <w:bookmarkEnd w:id="185"/>
      <w:bookmarkEnd w:id="186"/>
    </w:p>
    <w:tbl>
      <w:tblPr>
        <w:tblStyle w:val="TableGrid"/>
        <w:tblW w:w="9643" w:type="dxa"/>
        <w:tblLook w:val="04A0" w:firstRow="1" w:lastRow="0" w:firstColumn="1" w:lastColumn="0" w:noHBand="0" w:noVBand="1"/>
      </w:tblPr>
      <w:tblGrid>
        <w:gridCol w:w="3967"/>
        <w:gridCol w:w="1631"/>
        <w:gridCol w:w="1866"/>
        <w:gridCol w:w="2179"/>
      </w:tblGrid>
      <w:tr w:rsidR="00160EDF" w14:paraId="504B37A3" w14:textId="77777777" w:rsidTr="004B40E0">
        <w:trPr>
          <w:trHeight w:val="629"/>
          <w:tblHeader/>
        </w:trPr>
        <w:tc>
          <w:tcPr>
            <w:tcW w:w="3967" w:type="dxa"/>
            <w:tcBorders>
              <w:top w:val="single" w:sz="12" w:space="0" w:color="auto"/>
              <w:left w:val="nil"/>
              <w:bottom w:val="single" w:sz="12" w:space="0" w:color="auto"/>
              <w:right w:val="nil"/>
            </w:tcBorders>
            <w:vAlign w:val="center"/>
          </w:tcPr>
          <w:p w14:paraId="5722D76B" w14:textId="77777777" w:rsidR="00160EDF" w:rsidRPr="006924F3" w:rsidRDefault="00160EDF" w:rsidP="00D906FC">
            <w:pPr>
              <w:jc w:val="center"/>
              <w:rPr>
                <w:rFonts w:ascii="Times New Roman" w:hAnsi="Times New Roman" w:cs="Times New Roman"/>
                <w:b/>
                <w:bCs/>
              </w:rPr>
            </w:pPr>
            <w:r>
              <w:rPr>
                <w:rFonts w:ascii="Times New Roman" w:hAnsi="Times New Roman" w:cs="Times New Roman"/>
                <w:b/>
                <w:bCs/>
              </w:rPr>
              <w:t xml:space="preserve">Categorical </w:t>
            </w:r>
            <w:r w:rsidRPr="006924F3">
              <w:rPr>
                <w:rFonts w:ascii="Times New Roman" w:hAnsi="Times New Roman" w:cs="Times New Roman"/>
                <w:b/>
                <w:bCs/>
              </w:rPr>
              <w:t>Characteristics</w:t>
            </w:r>
          </w:p>
        </w:tc>
        <w:tc>
          <w:tcPr>
            <w:tcW w:w="1631" w:type="dxa"/>
            <w:tcBorders>
              <w:top w:val="single" w:sz="12" w:space="0" w:color="auto"/>
              <w:left w:val="nil"/>
              <w:bottom w:val="single" w:sz="12" w:space="0" w:color="auto"/>
              <w:right w:val="nil"/>
            </w:tcBorders>
            <w:vAlign w:val="center"/>
          </w:tcPr>
          <w:p w14:paraId="6EAEFA90"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Frequency</w:t>
            </w:r>
          </w:p>
        </w:tc>
        <w:tc>
          <w:tcPr>
            <w:tcW w:w="1866" w:type="dxa"/>
            <w:tcBorders>
              <w:top w:val="single" w:sz="12" w:space="0" w:color="auto"/>
              <w:left w:val="nil"/>
              <w:bottom w:val="single" w:sz="12" w:space="0" w:color="auto"/>
              <w:right w:val="nil"/>
            </w:tcBorders>
            <w:vAlign w:val="center"/>
          </w:tcPr>
          <w:p w14:paraId="49CF4638"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Percentage</w:t>
            </w:r>
          </w:p>
        </w:tc>
        <w:tc>
          <w:tcPr>
            <w:tcW w:w="2179" w:type="dxa"/>
            <w:tcBorders>
              <w:top w:val="single" w:sz="12" w:space="0" w:color="auto"/>
              <w:left w:val="nil"/>
              <w:bottom w:val="single" w:sz="12" w:space="0" w:color="auto"/>
              <w:right w:val="nil"/>
            </w:tcBorders>
            <w:vAlign w:val="center"/>
          </w:tcPr>
          <w:p w14:paraId="2FC5BF5E"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95% Confidence Interval</w:t>
            </w:r>
          </w:p>
        </w:tc>
      </w:tr>
      <w:tr w:rsidR="00160EDF" w14:paraId="6F323060" w14:textId="77777777" w:rsidTr="004B40E0">
        <w:trPr>
          <w:trHeight w:val="190"/>
        </w:trPr>
        <w:tc>
          <w:tcPr>
            <w:tcW w:w="3967" w:type="dxa"/>
            <w:tcBorders>
              <w:top w:val="single" w:sz="12" w:space="0" w:color="auto"/>
              <w:left w:val="nil"/>
              <w:bottom w:val="nil"/>
              <w:right w:val="nil"/>
            </w:tcBorders>
          </w:tcPr>
          <w:p w14:paraId="70A254C9"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b/>
                <w:bCs/>
              </w:rPr>
              <w:t>COPD</w:t>
            </w:r>
          </w:p>
        </w:tc>
        <w:tc>
          <w:tcPr>
            <w:tcW w:w="1631" w:type="dxa"/>
            <w:tcBorders>
              <w:top w:val="single" w:sz="12" w:space="0" w:color="auto"/>
              <w:left w:val="nil"/>
              <w:bottom w:val="nil"/>
              <w:right w:val="nil"/>
            </w:tcBorders>
            <w:vAlign w:val="center"/>
          </w:tcPr>
          <w:p w14:paraId="1E9B846E"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488</w:t>
            </w:r>
          </w:p>
        </w:tc>
        <w:tc>
          <w:tcPr>
            <w:tcW w:w="1866" w:type="dxa"/>
            <w:tcBorders>
              <w:top w:val="single" w:sz="12" w:space="0" w:color="auto"/>
              <w:left w:val="nil"/>
              <w:bottom w:val="nil"/>
              <w:right w:val="nil"/>
            </w:tcBorders>
            <w:vAlign w:val="center"/>
          </w:tcPr>
          <w:p w14:paraId="4F342888" w14:textId="77777777" w:rsidR="00160EDF" w:rsidRPr="006924F3" w:rsidRDefault="00160EDF" w:rsidP="00D906FC">
            <w:pPr>
              <w:jc w:val="center"/>
              <w:rPr>
                <w:rFonts w:ascii="Times New Roman" w:hAnsi="Times New Roman" w:cs="Times New Roman"/>
              </w:rPr>
            </w:pPr>
          </w:p>
        </w:tc>
        <w:tc>
          <w:tcPr>
            <w:tcW w:w="2179" w:type="dxa"/>
            <w:tcBorders>
              <w:top w:val="single" w:sz="12" w:space="0" w:color="auto"/>
              <w:left w:val="nil"/>
              <w:bottom w:val="nil"/>
              <w:right w:val="nil"/>
            </w:tcBorders>
            <w:vAlign w:val="center"/>
          </w:tcPr>
          <w:p w14:paraId="1F03C891" w14:textId="77777777" w:rsidR="00160EDF" w:rsidRPr="006924F3" w:rsidRDefault="00160EDF" w:rsidP="00D906FC">
            <w:pPr>
              <w:jc w:val="center"/>
              <w:rPr>
                <w:rFonts w:ascii="Times New Roman" w:hAnsi="Times New Roman" w:cs="Times New Roman"/>
              </w:rPr>
            </w:pPr>
          </w:p>
        </w:tc>
      </w:tr>
      <w:tr w:rsidR="00160EDF" w14:paraId="7696FE41" w14:textId="77777777" w:rsidTr="00D906FC">
        <w:trPr>
          <w:trHeight w:val="190"/>
        </w:trPr>
        <w:tc>
          <w:tcPr>
            <w:tcW w:w="3967" w:type="dxa"/>
            <w:tcBorders>
              <w:top w:val="nil"/>
              <w:left w:val="nil"/>
              <w:bottom w:val="nil"/>
              <w:right w:val="nil"/>
            </w:tcBorders>
          </w:tcPr>
          <w:p w14:paraId="7376BA93"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Yes</w:t>
            </w:r>
          </w:p>
        </w:tc>
        <w:tc>
          <w:tcPr>
            <w:tcW w:w="1631" w:type="dxa"/>
            <w:tcBorders>
              <w:top w:val="nil"/>
              <w:left w:val="nil"/>
              <w:bottom w:val="nil"/>
              <w:right w:val="nil"/>
            </w:tcBorders>
            <w:vAlign w:val="center"/>
          </w:tcPr>
          <w:p w14:paraId="2CE0823B"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3</w:t>
            </w:r>
            <w:r>
              <w:rPr>
                <w:rFonts w:ascii="Times New Roman" w:hAnsi="Times New Roman" w:cs="Times New Roman"/>
              </w:rPr>
              <w:t>,</w:t>
            </w:r>
            <w:r w:rsidRPr="006924F3">
              <w:rPr>
                <w:rFonts w:ascii="Times New Roman" w:hAnsi="Times New Roman" w:cs="Times New Roman"/>
              </w:rPr>
              <w:t>647</w:t>
            </w:r>
          </w:p>
        </w:tc>
        <w:tc>
          <w:tcPr>
            <w:tcW w:w="1866" w:type="dxa"/>
            <w:tcBorders>
              <w:top w:val="nil"/>
              <w:left w:val="nil"/>
              <w:bottom w:val="nil"/>
              <w:right w:val="nil"/>
            </w:tcBorders>
            <w:vAlign w:val="center"/>
          </w:tcPr>
          <w:p w14:paraId="3BF0C968"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20.9</w:t>
            </w:r>
          </w:p>
        </w:tc>
        <w:tc>
          <w:tcPr>
            <w:tcW w:w="2179" w:type="dxa"/>
            <w:tcBorders>
              <w:top w:val="nil"/>
              <w:left w:val="nil"/>
              <w:bottom w:val="nil"/>
              <w:right w:val="nil"/>
            </w:tcBorders>
            <w:vAlign w:val="center"/>
          </w:tcPr>
          <w:p w14:paraId="1F6B688F"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20.3-21.5</w:t>
            </w:r>
          </w:p>
        </w:tc>
      </w:tr>
      <w:tr w:rsidR="00160EDF" w14:paraId="6EA0C2E7" w14:textId="77777777" w:rsidTr="004B40E0">
        <w:trPr>
          <w:trHeight w:val="190"/>
        </w:trPr>
        <w:tc>
          <w:tcPr>
            <w:tcW w:w="3967" w:type="dxa"/>
            <w:tcBorders>
              <w:top w:val="nil"/>
              <w:left w:val="nil"/>
              <w:bottom w:val="nil"/>
              <w:right w:val="nil"/>
            </w:tcBorders>
          </w:tcPr>
          <w:p w14:paraId="19A4E852"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rPr>
              <w:t xml:space="preserve">     No</w:t>
            </w:r>
          </w:p>
        </w:tc>
        <w:tc>
          <w:tcPr>
            <w:tcW w:w="1631" w:type="dxa"/>
            <w:tcBorders>
              <w:top w:val="nil"/>
              <w:left w:val="nil"/>
              <w:bottom w:val="nil"/>
              <w:right w:val="nil"/>
            </w:tcBorders>
            <w:vAlign w:val="center"/>
          </w:tcPr>
          <w:p w14:paraId="66714A0F"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13</w:t>
            </w:r>
            <w:r>
              <w:rPr>
                <w:rFonts w:ascii="Times New Roman" w:hAnsi="Times New Roman" w:cs="Times New Roman"/>
              </w:rPr>
              <w:t>,</w:t>
            </w:r>
            <w:r w:rsidRPr="006924F3">
              <w:rPr>
                <w:rFonts w:ascii="Times New Roman" w:hAnsi="Times New Roman" w:cs="Times New Roman"/>
              </w:rPr>
              <w:t>841</w:t>
            </w:r>
          </w:p>
        </w:tc>
        <w:tc>
          <w:tcPr>
            <w:tcW w:w="1866" w:type="dxa"/>
            <w:tcBorders>
              <w:top w:val="nil"/>
              <w:left w:val="nil"/>
              <w:bottom w:val="nil"/>
              <w:right w:val="nil"/>
            </w:tcBorders>
            <w:vAlign w:val="center"/>
          </w:tcPr>
          <w:p w14:paraId="23330B1A"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79.2</w:t>
            </w:r>
          </w:p>
        </w:tc>
        <w:tc>
          <w:tcPr>
            <w:tcW w:w="2179" w:type="dxa"/>
            <w:tcBorders>
              <w:top w:val="nil"/>
              <w:left w:val="nil"/>
              <w:bottom w:val="nil"/>
              <w:right w:val="nil"/>
            </w:tcBorders>
            <w:vAlign w:val="center"/>
          </w:tcPr>
          <w:p w14:paraId="783D9C44"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78.5-79.7</w:t>
            </w:r>
          </w:p>
        </w:tc>
      </w:tr>
      <w:tr w:rsidR="00160EDF" w14:paraId="58E27774" w14:textId="77777777" w:rsidTr="004B40E0">
        <w:trPr>
          <w:trHeight w:val="190"/>
        </w:trPr>
        <w:tc>
          <w:tcPr>
            <w:tcW w:w="3967" w:type="dxa"/>
            <w:tcBorders>
              <w:top w:val="nil"/>
              <w:left w:val="nil"/>
              <w:bottom w:val="nil"/>
              <w:right w:val="nil"/>
            </w:tcBorders>
          </w:tcPr>
          <w:p w14:paraId="28620ED5"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b/>
                <w:bCs/>
              </w:rPr>
              <w:t>GOLD Level</w:t>
            </w:r>
          </w:p>
        </w:tc>
        <w:tc>
          <w:tcPr>
            <w:tcW w:w="1631" w:type="dxa"/>
            <w:tcBorders>
              <w:top w:val="nil"/>
              <w:left w:val="nil"/>
              <w:bottom w:val="nil"/>
              <w:right w:val="nil"/>
            </w:tcBorders>
            <w:vAlign w:val="center"/>
          </w:tcPr>
          <w:p w14:paraId="54DFBF0B"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n=3</w:t>
            </w:r>
            <w:r>
              <w:rPr>
                <w:rFonts w:ascii="Times New Roman" w:hAnsi="Times New Roman" w:cs="Times New Roman"/>
                <w:b/>
                <w:bCs/>
              </w:rPr>
              <w:t>,</w:t>
            </w:r>
            <w:r w:rsidRPr="006924F3">
              <w:rPr>
                <w:rFonts w:ascii="Times New Roman" w:hAnsi="Times New Roman" w:cs="Times New Roman"/>
                <w:b/>
                <w:bCs/>
              </w:rPr>
              <w:t>647</w:t>
            </w:r>
          </w:p>
        </w:tc>
        <w:tc>
          <w:tcPr>
            <w:tcW w:w="1866" w:type="dxa"/>
            <w:tcBorders>
              <w:top w:val="nil"/>
              <w:left w:val="nil"/>
              <w:bottom w:val="nil"/>
              <w:right w:val="nil"/>
            </w:tcBorders>
            <w:vAlign w:val="center"/>
          </w:tcPr>
          <w:p w14:paraId="26B0F5A5"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6DCC7CF3" w14:textId="77777777" w:rsidR="00160EDF" w:rsidRPr="006924F3" w:rsidRDefault="00160EDF" w:rsidP="00D906FC">
            <w:pPr>
              <w:jc w:val="center"/>
              <w:rPr>
                <w:rFonts w:ascii="Times New Roman" w:hAnsi="Times New Roman" w:cs="Times New Roman"/>
              </w:rPr>
            </w:pPr>
          </w:p>
        </w:tc>
      </w:tr>
      <w:tr w:rsidR="00160EDF" w14:paraId="6943D6F4" w14:textId="77777777" w:rsidTr="00D906FC">
        <w:trPr>
          <w:trHeight w:val="190"/>
        </w:trPr>
        <w:tc>
          <w:tcPr>
            <w:tcW w:w="3967" w:type="dxa"/>
            <w:tcBorders>
              <w:top w:val="nil"/>
              <w:left w:val="nil"/>
              <w:bottom w:val="nil"/>
              <w:right w:val="nil"/>
            </w:tcBorders>
          </w:tcPr>
          <w:p w14:paraId="030D7CAE"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Mild</w:t>
            </w:r>
          </w:p>
        </w:tc>
        <w:tc>
          <w:tcPr>
            <w:tcW w:w="1631" w:type="dxa"/>
            <w:tcBorders>
              <w:top w:val="nil"/>
              <w:left w:val="nil"/>
              <w:bottom w:val="nil"/>
              <w:right w:val="nil"/>
            </w:tcBorders>
            <w:vAlign w:val="center"/>
          </w:tcPr>
          <w:p w14:paraId="3774C307"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w:t>
            </w:r>
            <w:r>
              <w:rPr>
                <w:rFonts w:ascii="Times New Roman" w:hAnsi="Times New Roman" w:cs="Times New Roman"/>
              </w:rPr>
              <w:t>,</w:t>
            </w:r>
            <w:r w:rsidRPr="006924F3">
              <w:rPr>
                <w:rFonts w:ascii="Times New Roman" w:hAnsi="Times New Roman" w:cs="Times New Roman"/>
              </w:rPr>
              <w:t>569</w:t>
            </w:r>
          </w:p>
        </w:tc>
        <w:tc>
          <w:tcPr>
            <w:tcW w:w="1866" w:type="dxa"/>
            <w:tcBorders>
              <w:top w:val="nil"/>
              <w:left w:val="nil"/>
              <w:bottom w:val="nil"/>
              <w:right w:val="nil"/>
            </w:tcBorders>
            <w:vAlign w:val="center"/>
          </w:tcPr>
          <w:p w14:paraId="156AB6A5"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43.0</w:t>
            </w:r>
          </w:p>
        </w:tc>
        <w:tc>
          <w:tcPr>
            <w:tcW w:w="2179" w:type="dxa"/>
            <w:tcBorders>
              <w:top w:val="nil"/>
              <w:left w:val="nil"/>
              <w:bottom w:val="nil"/>
              <w:right w:val="nil"/>
            </w:tcBorders>
            <w:vAlign w:val="center"/>
          </w:tcPr>
          <w:p w14:paraId="39ED8CEB"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41.4-44.6</w:t>
            </w:r>
          </w:p>
        </w:tc>
      </w:tr>
      <w:tr w:rsidR="00160EDF" w14:paraId="258298C9" w14:textId="77777777" w:rsidTr="00D906FC">
        <w:trPr>
          <w:trHeight w:val="190"/>
        </w:trPr>
        <w:tc>
          <w:tcPr>
            <w:tcW w:w="3967" w:type="dxa"/>
            <w:tcBorders>
              <w:top w:val="nil"/>
              <w:left w:val="nil"/>
              <w:bottom w:val="nil"/>
              <w:right w:val="nil"/>
            </w:tcBorders>
          </w:tcPr>
          <w:p w14:paraId="6A9A48B2"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Moderate</w:t>
            </w:r>
          </w:p>
        </w:tc>
        <w:tc>
          <w:tcPr>
            <w:tcW w:w="1631" w:type="dxa"/>
            <w:tcBorders>
              <w:top w:val="nil"/>
              <w:left w:val="nil"/>
              <w:bottom w:val="nil"/>
              <w:right w:val="nil"/>
            </w:tcBorders>
            <w:vAlign w:val="center"/>
          </w:tcPr>
          <w:p w14:paraId="3BE3D0BF"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w:t>
            </w:r>
            <w:r>
              <w:rPr>
                <w:rFonts w:ascii="Times New Roman" w:hAnsi="Times New Roman" w:cs="Times New Roman"/>
              </w:rPr>
              <w:t>,</w:t>
            </w:r>
            <w:r w:rsidRPr="006924F3">
              <w:rPr>
                <w:rFonts w:ascii="Times New Roman" w:hAnsi="Times New Roman" w:cs="Times New Roman"/>
              </w:rPr>
              <w:t>561</w:t>
            </w:r>
          </w:p>
        </w:tc>
        <w:tc>
          <w:tcPr>
            <w:tcW w:w="1866" w:type="dxa"/>
            <w:tcBorders>
              <w:top w:val="nil"/>
              <w:left w:val="nil"/>
              <w:bottom w:val="nil"/>
              <w:right w:val="nil"/>
            </w:tcBorders>
            <w:vAlign w:val="center"/>
          </w:tcPr>
          <w:p w14:paraId="2DCC016F"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42.8</w:t>
            </w:r>
          </w:p>
        </w:tc>
        <w:tc>
          <w:tcPr>
            <w:tcW w:w="2179" w:type="dxa"/>
            <w:tcBorders>
              <w:top w:val="nil"/>
              <w:left w:val="nil"/>
              <w:bottom w:val="nil"/>
              <w:right w:val="nil"/>
            </w:tcBorders>
            <w:vAlign w:val="center"/>
          </w:tcPr>
          <w:p w14:paraId="065FD532"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41.2-44.4</w:t>
            </w:r>
          </w:p>
        </w:tc>
      </w:tr>
      <w:tr w:rsidR="00160EDF" w14:paraId="7B279528" w14:textId="77777777" w:rsidTr="004B40E0">
        <w:trPr>
          <w:trHeight w:val="190"/>
        </w:trPr>
        <w:tc>
          <w:tcPr>
            <w:tcW w:w="3967" w:type="dxa"/>
            <w:tcBorders>
              <w:top w:val="nil"/>
              <w:left w:val="nil"/>
              <w:bottom w:val="nil"/>
              <w:right w:val="nil"/>
            </w:tcBorders>
          </w:tcPr>
          <w:p w14:paraId="1E2C24A6"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Severe or Very Severe</w:t>
            </w:r>
          </w:p>
        </w:tc>
        <w:tc>
          <w:tcPr>
            <w:tcW w:w="1631" w:type="dxa"/>
            <w:tcBorders>
              <w:top w:val="nil"/>
              <w:left w:val="nil"/>
              <w:bottom w:val="nil"/>
              <w:right w:val="nil"/>
            </w:tcBorders>
            <w:vAlign w:val="center"/>
          </w:tcPr>
          <w:p w14:paraId="1E86AEAD"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515</w:t>
            </w:r>
          </w:p>
        </w:tc>
        <w:tc>
          <w:tcPr>
            <w:tcW w:w="1866" w:type="dxa"/>
            <w:tcBorders>
              <w:top w:val="nil"/>
              <w:left w:val="nil"/>
              <w:bottom w:val="nil"/>
              <w:right w:val="nil"/>
            </w:tcBorders>
            <w:vAlign w:val="center"/>
          </w:tcPr>
          <w:p w14:paraId="2FE7E96E"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14.2</w:t>
            </w:r>
          </w:p>
        </w:tc>
        <w:tc>
          <w:tcPr>
            <w:tcW w:w="2179" w:type="dxa"/>
            <w:tcBorders>
              <w:top w:val="nil"/>
              <w:left w:val="nil"/>
              <w:bottom w:val="nil"/>
              <w:right w:val="nil"/>
            </w:tcBorders>
            <w:vAlign w:val="center"/>
          </w:tcPr>
          <w:p w14:paraId="6EF2FED8"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13.0-15.3</w:t>
            </w:r>
          </w:p>
        </w:tc>
      </w:tr>
      <w:tr w:rsidR="00160EDF" w14:paraId="0F81EED0" w14:textId="77777777" w:rsidTr="004B40E0">
        <w:trPr>
          <w:trHeight w:val="199"/>
        </w:trPr>
        <w:tc>
          <w:tcPr>
            <w:tcW w:w="3967" w:type="dxa"/>
            <w:tcBorders>
              <w:top w:val="nil"/>
              <w:left w:val="nil"/>
              <w:bottom w:val="nil"/>
              <w:right w:val="nil"/>
            </w:tcBorders>
          </w:tcPr>
          <w:p w14:paraId="389226ED"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b/>
                <w:bCs/>
              </w:rPr>
              <w:t>Sex</w:t>
            </w:r>
          </w:p>
        </w:tc>
        <w:tc>
          <w:tcPr>
            <w:tcW w:w="1631" w:type="dxa"/>
            <w:tcBorders>
              <w:top w:val="nil"/>
              <w:left w:val="nil"/>
              <w:bottom w:val="nil"/>
              <w:right w:val="nil"/>
            </w:tcBorders>
            <w:vAlign w:val="center"/>
          </w:tcPr>
          <w:p w14:paraId="59EC34A1"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488</w:t>
            </w:r>
          </w:p>
        </w:tc>
        <w:tc>
          <w:tcPr>
            <w:tcW w:w="1866" w:type="dxa"/>
            <w:tcBorders>
              <w:top w:val="nil"/>
              <w:left w:val="nil"/>
              <w:bottom w:val="nil"/>
              <w:right w:val="nil"/>
            </w:tcBorders>
            <w:vAlign w:val="center"/>
          </w:tcPr>
          <w:p w14:paraId="55ABD8DB"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3CAB37A1" w14:textId="77777777" w:rsidR="00160EDF" w:rsidRPr="006924F3" w:rsidRDefault="00160EDF" w:rsidP="00D906FC">
            <w:pPr>
              <w:jc w:val="center"/>
              <w:rPr>
                <w:rFonts w:ascii="Times New Roman" w:hAnsi="Times New Roman" w:cs="Times New Roman"/>
              </w:rPr>
            </w:pPr>
          </w:p>
        </w:tc>
      </w:tr>
      <w:tr w:rsidR="00160EDF" w14:paraId="212D06EA" w14:textId="77777777" w:rsidTr="00D906FC">
        <w:trPr>
          <w:trHeight w:val="190"/>
        </w:trPr>
        <w:tc>
          <w:tcPr>
            <w:tcW w:w="3967" w:type="dxa"/>
            <w:tcBorders>
              <w:top w:val="nil"/>
              <w:left w:val="nil"/>
              <w:bottom w:val="nil"/>
              <w:right w:val="nil"/>
            </w:tcBorders>
          </w:tcPr>
          <w:p w14:paraId="06B35471"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Male</w:t>
            </w:r>
          </w:p>
        </w:tc>
        <w:tc>
          <w:tcPr>
            <w:tcW w:w="1631" w:type="dxa"/>
            <w:tcBorders>
              <w:top w:val="nil"/>
              <w:left w:val="nil"/>
              <w:bottom w:val="nil"/>
              <w:right w:val="nil"/>
            </w:tcBorders>
            <w:vAlign w:val="center"/>
          </w:tcPr>
          <w:p w14:paraId="28BB3357"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13</w:t>
            </w:r>
            <w:r>
              <w:rPr>
                <w:rFonts w:ascii="Times New Roman" w:hAnsi="Times New Roman" w:cs="Times New Roman"/>
              </w:rPr>
              <w:t>,</w:t>
            </w:r>
            <w:r w:rsidRPr="006924F3">
              <w:rPr>
                <w:rFonts w:ascii="Times New Roman" w:hAnsi="Times New Roman" w:cs="Times New Roman"/>
              </w:rPr>
              <w:t>064</w:t>
            </w:r>
          </w:p>
        </w:tc>
        <w:tc>
          <w:tcPr>
            <w:tcW w:w="1866" w:type="dxa"/>
            <w:tcBorders>
              <w:top w:val="nil"/>
              <w:left w:val="nil"/>
              <w:bottom w:val="nil"/>
              <w:right w:val="nil"/>
            </w:tcBorders>
            <w:vAlign w:val="center"/>
          </w:tcPr>
          <w:p w14:paraId="30AD649A"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74.7</w:t>
            </w:r>
          </w:p>
        </w:tc>
        <w:tc>
          <w:tcPr>
            <w:tcW w:w="2179" w:type="dxa"/>
            <w:tcBorders>
              <w:top w:val="nil"/>
              <w:left w:val="nil"/>
              <w:bottom w:val="nil"/>
              <w:right w:val="nil"/>
            </w:tcBorders>
            <w:vAlign w:val="center"/>
          </w:tcPr>
          <w:p w14:paraId="06F9332D"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74.1-75.4</w:t>
            </w:r>
          </w:p>
        </w:tc>
      </w:tr>
      <w:tr w:rsidR="00160EDF" w14:paraId="783C66C1" w14:textId="77777777" w:rsidTr="004B40E0">
        <w:trPr>
          <w:trHeight w:val="190"/>
        </w:trPr>
        <w:tc>
          <w:tcPr>
            <w:tcW w:w="3967" w:type="dxa"/>
            <w:tcBorders>
              <w:top w:val="nil"/>
              <w:left w:val="nil"/>
              <w:bottom w:val="nil"/>
              <w:right w:val="nil"/>
            </w:tcBorders>
          </w:tcPr>
          <w:p w14:paraId="576EF003"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Female</w:t>
            </w:r>
          </w:p>
        </w:tc>
        <w:tc>
          <w:tcPr>
            <w:tcW w:w="1631" w:type="dxa"/>
            <w:tcBorders>
              <w:top w:val="nil"/>
              <w:left w:val="nil"/>
              <w:bottom w:val="nil"/>
              <w:right w:val="nil"/>
            </w:tcBorders>
            <w:vAlign w:val="center"/>
          </w:tcPr>
          <w:p w14:paraId="55FA74FC"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4</w:t>
            </w:r>
            <w:r>
              <w:rPr>
                <w:rFonts w:ascii="Times New Roman" w:hAnsi="Times New Roman" w:cs="Times New Roman"/>
              </w:rPr>
              <w:t>,</w:t>
            </w:r>
            <w:r w:rsidRPr="006924F3">
              <w:rPr>
                <w:rFonts w:ascii="Times New Roman" w:hAnsi="Times New Roman" w:cs="Times New Roman"/>
              </w:rPr>
              <w:t>424</w:t>
            </w:r>
          </w:p>
        </w:tc>
        <w:tc>
          <w:tcPr>
            <w:tcW w:w="1866" w:type="dxa"/>
            <w:tcBorders>
              <w:top w:val="nil"/>
              <w:left w:val="nil"/>
              <w:bottom w:val="nil"/>
              <w:right w:val="nil"/>
            </w:tcBorders>
            <w:vAlign w:val="center"/>
          </w:tcPr>
          <w:p w14:paraId="0466D5D8"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25.3</w:t>
            </w:r>
          </w:p>
        </w:tc>
        <w:tc>
          <w:tcPr>
            <w:tcW w:w="2179" w:type="dxa"/>
            <w:tcBorders>
              <w:top w:val="nil"/>
              <w:left w:val="nil"/>
              <w:bottom w:val="nil"/>
              <w:right w:val="nil"/>
            </w:tcBorders>
            <w:vAlign w:val="center"/>
          </w:tcPr>
          <w:p w14:paraId="78268154"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24.7-25.9</w:t>
            </w:r>
          </w:p>
        </w:tc>
      </w:tr>
      <w:tr w:rsidR="00160EDF" w14:paraId="14D0FE7A" w14:textId="77777777" w:rsidTr="004B40E0">
        <w:trPr>
          <w:trHeight w:val="190"/>
        </w:trPr>
        <w:tc>
          <w:tcPr>
            <w:tcW w:w="3967" w:type="dxa"/>
            <w:tcBorders>
              <w:top w:val="nil"/>
              <w:left w:val="nil"/>
              <w:bottom w:val="nil"/>
              <w:right w:val="nil"/>
            </w:tcBorders>
          </w:tcPr>
          <w:p w14:paraId="403EE20A"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b/>
                <w:bCs/>
              </w:rPr>
              <w:t>Race</w:t>
            </w:r>
          </w:p>
        </w:tc>
        <w:tc>
          <w:tcPr>
            <w:tcW w:w="1631" w:type="dxa"/>
            <w:tcBorders>
              <w:top w:val="nil"/>
              <w:left w:val="nil"/>
              <w:bottom w:val="nil"/>
              <w:right w:val="nil"/>
            </w:tcBorders>
            <w:vAlign w:val="center"/>
          </w:tcPr>
          <w:p w14:paraId="47727113"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n=13</w:t>
            </w:r>
            <w:r>
              <w:rPr>
                <w:rFonts w:ascii="Times New Roman" w:hAnsi="Times New Roman" w:cs="Times New Roman"/>
                <w:b/>
                <w:bCs/>
              </w:rPr>
              <w:t>,</w:t>
            </w:r>
            <w:r w:rsidRPr="006924F3">
              <w:rPr>
                <w:rFonts w:ascii="Times New Roman" w:hAnsi="Times New Roman" w:cs="Times New Roman"/>
                <w:b/>
                <w:bCs/>
              </w:rPr>
              <w:t>525</w:t>
            </w:r>
          </w:p>
        </w:tc>
        <w:tc>
          <w:tcPr>
            <w:tcW w:w="1866" w:type="dxa"/>
            <w:tcBorders>
              <w:top w:val="nil"/>
              <w:left w:val="nil"/>
              <w:bottom w:val="nil"/>
              <w:right w:val="nil"/>
            </w:tcBorders>
            <w:vAlign w:val="center"/>
          </w:tcPr>
          <w:p w14:paraId="0C68BEC5"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296B4F61" w14:textId="77777777" w:rsidR="00160EDF" w:rsidRPr="006924F3" w:rsidRDefault="00160EDF" w:rsidP="00D906FC">
            <w:pPr>
              <w:jc w:val="center"/>
              <w:rPr>
                <w:rFonts w:ascii="Times New Roman" w:hAnsi="Times New Roman" w:cs="Times New Roman"/>
              </w:rPr>
            </w:pPr>
          </w:p>
        </w:tc>
      </w:tr>
      <w:tr w:rsidR="00160EDF" w14:paraId="2EE7C1FE" w14:textId="77777777" w:rsidTr="00D906FC">
        <w:trPr>
          <w:trHeight w:val="190"/>
        </w:trPr>
        <w:tc>
          <w:tcPr>
            <w:tcW w:w="3967" w:type="dxa"/>
            <w:tcBorders>
              <w:top w:val="nil"/>
              <w:left w:val="nil"/>
              <w:bottom w:val="nil"/>
              <w:right w:val="nil"/>
            </w:tcBorders>
          </w:tcPr>
          <w:p w14:paraId="30BF57AD"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Black</w:t>
            </w:r>
          </w:p>
        </w:tc>
        <w:tc>
          <w:tcPr>
            <w:tcW w:w="1631" w:type="dxa"/>
            <w:tcBorders>
              <w:top w:val="nil"/>
              <w:left w:val="nil"/>
              <w:bottom w:val="nil"/>
              <w:right w:val="nil"/>
            </w:tcBorders>
            <w:vAlign w:val="center"/>
          </w:tcPr>
          <w:p w14:paraId="37935B05"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w:t>
            </w:r>
            <w:r>
              <w:rPr>
                <w:rFonts w:ascii="Times New Roman" w:hAnsi="Times New Roman" w:cs="Times New Roman"/>
              </w:rPr>
              <w:t>,</w:t>
            </w:r>
            <w:r w:rsidRPr="006924F3">
              <w:rPr>
                <w:rFonts w:ascii="Times New Roman" w:hAnsi="Times New Roman" w:cs="Times New Roman"/>
              </w:rPr>
              <w:t>615</w:t>
            </w:r>
          </w:p>
        </w:tc>
        <w:tc>
          <w:tcPr>
            <w:tcW w:w="1866" w:type="dxa"/>
            <w:tcBorders>
              <w:top w:val="nil"/>
              <w:left w:val="nil"/>
              <w:bottom w:val="nil"/>
              <w:right w:val="nil"/>
            </w:tcBorders>
            <w:vAlign w:val="center"/>
          </w:tcPr>
          <w:p w14:paraId="2B179A1F"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11.9</w:t>
            </w:r>
          </w:p>
        </w:tc>
        <w:tc>
          <w:tcPr>
            <w:tcW w:w="2179" w:type="dxa"/>
            <w:tcBorders>
              <w:top w:val="nil"/>
              <w:left w:val="nil"/>
              <w:bottom w:val="nil"/>
              <w:right w:val="nil"/>
            </w:tcBorders>
            <w:vAlign w:val="center"/>
          </w:tcPr>
          <w:p w14:paraId="43805FCB"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11.3-12.4</w:t>
            </w:r>
          </w:p>
        </w:tc>
      </w:tr>
      <w:tr w:rsidR="00160EDF" w14:paraId="0A0BD01C" w14:textId="77777777" w:rsidTr="00D906FC">
        <w:trPr>
          <w:trHeight w:val="190"/>
        </w:trPr>
        <w:tc>
          <w:tcPr>
            <w:tcW w:w="3967" w:type="dxa"/>
            <w:tcBorders>
              <w:top w:val="nil"/>
              <w:left w:val="nil"/>
              <w:bottom w:val="nil"/>
              <w:right w:val="nil"/>
            </w:tcBorders>
          </w:tcPr>
          <w:p w14:paraId="0C09FF8C"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Non-Black</w:t>
            </w:r>
          </w:p>
        </w:tc>
        <w:tc>
          <w:tcPr>
            <w:tcW w:w="1631" w:type="dxa"/>
            <w:tcBorders>
              <w:top w:val="nil"/>
              <w:left w:val="nil"/>
              <w:bottom w:val="nil"/>
              <w:right w:val="nil"/>
            </w:tcBorders>
            <w:vAlign w:val="center"/>
          </w:tcPr>
          <w:p w14:paraId="769D6244"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12</w:t>
            </w:r>
            <w:r>
              <w:rPr>
                <w:rFonts w:ascii="Times New Roman" w:hAnsi="Times New Roman" w:cs="Times New Roman"/>
              </w:rPr>
              <w:t>,</w:t>
            </w:r>
            <w:r w:rsidRPr="006924F3">
              <w:rPr>
                <w:rFonts w:ascii="Times New Roman" w:hAnsi="Times New Roman" w:cs="Times New Roman"/>
              </w:rPr>
              <w:t>010</w:t>
            </w:r>
          </w:p>
        </w:tc>
        <w:tc>
          <w:tcPr>
            <w:tcW w:w="1866" w:type="dxa"/>
            <w:tcBorders>
              <w:top w:val="nil"/>
              <w:left w:val="nil"/>
              <w:bottom w:val="nil"/>
              <w:right w:val="nil"/>
            </w:tcBorders>
            <w:vAlign w:val="center"/>
          </w:tcPr>
          <w:p w14:paraId="0ECFC4B1"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88.2</w:t>
            </w:r>
          </w:p>
        </w:tc>
        <w:tc>
          <w:tcPr>
            <w:tcW w:w="2179" w:type="dxa"/>
            <w:tcBorders>
              <w:top w:val="nil"/>
              <w:left w:val="nil"/>
              <w:bottom w:val="nil"/>
              <w:right w:val="nil"/>
            </w:tcBorders>
            <w:vAlign w:val="center"/>
          </w:tcPr>
          <w:p w14:paraId="53B962B0"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87.6-88.7</w:t>
            </w:r>
          </w:p>
        </w:tc>
      </w:tr>
      <w:tr w:rsidR="00160EDF" w14:paraId="79F6D21D" w14:textId="77777777" w:rsidTr="004B40E0">
        <w:trPr>
          <w:trHeight w:val="190"/>
        </w:trPr>
        <w:tc>
          <w:tcPr>
            <w:tcW w:w="3967" w:type="dxa"/>
            <w:tcBorders>
              <w:top w:val="nil"/>
              <w:left w:val="nil"/>
              <w:bottom w:val="nil"/>
              <w:right w:val="nil"/>
            </w:tcBorders>
          </w:tcPr>
          <w:p w14:paraId="023B714E"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b/>
                <w:bCs/>
              </w:rPr>
              <w:t>Smoking Status</w:t>
            </w:r>
          </w:p>
        </w:tc>
        <w:tc>
          <w:tcPr>
            <w:tcW w:w="1631" w:type="dxa"/>
            <w:tcBorders>
              <w:top w:val="nil"/>
              <w:left w:val="nil"/>
              <w:bottom w:val="nil"/>
              <w:right w:val="nil"/>
            </w:tcBorders>
            <w:vAlign w:val="center"/>
          </w:tcPr>
          <w:p w14:paraId="3D767A7A"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488</w:t>
            </w:r>
          </w:p>
        </w:tc>
        <w:tc>
          <w:tcPr>
            <w:tcW w:w="1866" w:type="dxa"/>
            <w:tcBorders>
              <w:top w:val="nil"/>
              <w:left w:val="nil"/>
              <w:bottom w:val="nil"/>
              <w:right w:val="nil"/>
            </w:tcBorders>
            <w:vAlign w:val="center"/>
          </w:tcPr>
          <w:p w14:paraId="05457C8F"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55C82315" w14:textId="77777777" w:rsidR="00160EDF" w:rsidRPr="006924F3" w:rsidRDefault="00160EDF" w:rsidP="00D906FC">
            <w:pPr>
              <w:jc w:val="center"/>
              <w:rPr>
                <w:rFonts w:ascii="Times New Roman" w:hAnsi="Times New Roman" w:cs="Times New Roman"/>
              </w:rPr>
            </w:pPr>
          </w:p>
        </w:tc>
      </w:tr>
      <w:tr w:rsidR="00160EDF" w14:paraId="5105C2C7" w14:textId="77777777" w:rsidTr="00D906FC">
        <w:trPr>
          <w:trHeight w:val="190"/>
        </w:trPr>
        <w:tc>
          <w:tcPr>
            <w:tcW w:w="3967" w:type="dxa"/>
            <w:tcBorders>
              <w:top w:val="nil"/>
              <w:left w:val="nil"/>
              <w:bottom w:val="nil"/>
              <w:right w:val="nil"/>
            </w:tcBorders>
          </w:tcPr>
          <w:p w14:paraId="0CE79B8C"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rPr>
              <w:t xml:space="preserve">     Ever Smoker</w:t>
            </w:r>
          </w:p>
        </w:tc>
        <w:tc>
          <w:tcPr>
            <w:tcW w:w="1631" w:type="dxa"/>
            <w:tcBorders>
              <w:top w:val="nil"/>
              <w:left w:val="nil"/>
              <w:bottom w:val="nil"/>
              <w:right w:val="nil"/>
            </w:tcBorders>
            <w:vAlign w:val="center"/>
          </w:tcPr>
          <w:p w14:paraId="2C470AD3"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rPr>
              <w:t>7</w:t>
            </w:r>
            <w:r>
              <w:rPr>
                <w:rFonts w:ascii="Times New Roman" w:hAnsi="Times New Roman" w:cs="Times New Roman"/>
              </w:rPr>
              <w:t>,</w:t>
            </w:r>
            <w:r w:rsidRPr="006924F3">
              <w:rPr>
                <w:rFonts w:ascii="Times New Roman" w:hAnsi="Times New Roman" w:cs="Times New Roman"/>
              </w:rPr>
              <w:t>619</w:t>
            </w:r>
          </w:p>
        </w:tc>
        <w:tc>
          <w:tcPr>
            <w:tcW w:w="1866" w:type="dxa"/>
            <w:tcBorders>
              <w:top w:val="nil"/>
              <w:left w:val="nil"/>
              <w:bottom w:val="nil"/>
              <w:right w:val="nil"/>
            </w:tcBorders>
            <w:vAlign w:val="center"/>
          </w:tcPr>
          <w:p w14:paraId="3C7706A3"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43.6</w:t>
            </w:r>
          </w:p>
        </w:tc>
        <w:tc>
          <w:tcPr>
            <w:tcW w:w="2179" w:type="dxa"/>
            <w:tcBorders>
              <w:top w:val="nil"/>
              <w:left w:val="nil"/>
              <w:bottom w:val="nil"/>
              <w:right w:val="nil"/>
            </w:tcBorders>
            <w:vAlign w:val="center"/>
          </w:tcPr>
          <w:p w14:paraId="3D4667B8"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42.8-44.3</w:t>
            </w:r>
          </w:p>
        </w:tc>
      </w:tr>
      <w:tr w:rsidR="00160EDF" w14:paraId="4AAB1AFD" w14:textId="77777777" w:rsidTr="00D906FC">
        <w:trPr>
          <w:trHeight w:val="190"/>
        </w:trPr>
        <w:tc>
          <w:tcPr>
            <w:tcW w:w="3967" w:type="dxa"/>
            <w:tcBorders>
              <w:top w:val="nil"/>
              <w:left w:val="nil"/>
              <w:bottom w:val="nil"/>
              <w:right w:val="nil"/>
            </w:tcBorders>
          </w:tcPr>
          <w:p w14:paraId="650E2A53"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rPr>
              <w:t xml:space="preserve">     Never Smoker</w:t>
            </w:r>
          </w:p>
        </w:tc>
        <w:tc>
          <w:tcPr>
            <w:tcW w:w="1631" w:type="dxa"/>
            <w:tcBorders>
              <w:top w:val="nil"/>
              <w:left w:val="nil"/>
              <w:bottom w:val="nil"/>
              <w:right w:val="nil"/>
            </w:tcBorders>
            <w:vAlign w:val="center"/>
          </w:tcPr>
          <w:p w14:paraId="6B7AB0C7"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rPr>
              <w:t>9</w:t>
            </w:r>
            <w:r>
              <w:rPr>
                <w:rFonts w:ascii="Times New Roman" w:hAnsi="Times New Roman" w:cs="Times New Roman"/>
              </w:rPr>
              <w:t>,</w:t>
            </w:r>
            <w:r w:rsidRPr="006924F3">
              <w:rPr>
                <w:rFonts w:ascii="Times New Roman" w:hAnsi="Times New Roman" w:cs="Times New Roman"/>
              </w:rPr>
              <w:t>869</w:t>
            </w:r>
          </w:p>
        </w:tc>
        <w:tc>
          <w:tcPr>
            <w:tcW w:w="1866" w:type="dxa"/>
            <w:tcBorders>
              <w:top w:val="nil"/>
              <w:left w:val="nil"/>
              <w:bottom w:val="nil"/>
              <w:right w:val="nil"/>
            </w:tcBorders>
            <w:vAlign w:val="center"/>
          </w:tcPr>
          <w:p w14:paraId="5CDCC172"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56.4</w:t>
            </w:r>
          </w:p>
        </w:tc>
        <w:tc>
          <w:tcPr>
            <w:tcW w:w="2179" w:type="dxa"/>
            <w:tcBorders>
              <w:top w:val="nil"/>
              <w:left w:val="nil"/>
              <w:bottom w:val="nil"/>
              <w:right w:val="nil"/>
            </w:tcBorders>
            <w:vAlign w:val="center"/>
          </w:tcPr>
          <w:p w14:paraId="1BF615B2"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55.7-57.2</w:t>
            </w:r>
          </w:p>
        </w:tc>
      </w:tr>
      <w:tr w:rsidR="00160EDF" w14:paraId="0ECA9E0F" w14:textId="77777777" w:rsidTr="004B40E0">
        <w:trPr>
          <w:trHeight w:val="190"/>
        </w:trPr>
        <w:tc>
          <w:tcPr>
            <w:tcW w:w="3967" w:type="dxa"/>
            <w:tcBorders>
              <w:top w:val="nil"/>
              <w:left w:val="nil"/>
              <w:bottom w:val="nil"/>
              <w:right w:val="nil"/>
            </w:tcBorders>
          </w:tcPr>
          <w:p w14:paraId="21374722"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b/>
                <w:bCs/>
              </w:rPr>
              <w:t>Age</w:t>
            </w:r>
          </w:p>
        </w:tc>
        <w:tc>
          <w:tcPr>
            <w:tcW w:w="1631" w:type="dxa"/>
            <w:tcBorders>
              <w:top w:val="nil"/>
              <w:left w:val="nil"/>
              <w:bottom w:val="nil"/>
              <w:right w:val="nil"/>
            </w:tcBorders>
            <w:vAlign w:val="center"/>
          </w:tcPr>
          <w:p w14:paraId="60B0BA6B"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488</w:t>
            </w:r>
          </w:p>
        </w:tc>
        <w:tc>
          <w:tcPr>
            <w:tcW w:w="1866" w:type="dxa"/>
            <w:tcBorders>
              <w:top w:val="nil"/>
              <w:left w:val="nil"/>
              <w:bottom w:val="nil"/>
              <w:right w:val="nil"/>
            </w:tcBorders>
            <w:vAlign w:val="center"/>
          </w:tcPr>
          <w:p w14:paraId="76EC7741"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68A7F764" w14:textId="77777777" w:rsidR="00160EDF" w:rsidRPr="006924F3" w:rsidRDefault="00160EDF" w:rsidP="00D906FC">
            <w:pPr>
              <w:jc w:val="center"/>
              <w:rPr>
                <w:rFonts w:ascii="Times New Roman" w:hAnsi="Times New Roman" w:cs="Times New Roman"/>
              </w:rPr>
            </w:pPr>
          </w:p>
        </w:tc>
      </w:tr>
      <w:tr w:rsidR="00160EDF" w14:paraId="0C6EE1B9" w14:textId="77777777" w:rsidTr="00D906FC">
        <w:trPr>
          <w:trHeight w:val="190"/>
        </w:trPr>
        <w:tc>
          <w:tcPr>
            <w:tcW w:w="3967" w:type="dxa"/>
            <w:tcBorders>
              <w:top w:val="nil"/>
              <w:left w:val="nil"/>
              <w:bottom w:val="nil"/>
              <w:right w:val="nil"/>
            </w:tcBorders>
          </w:tcPr>
          <w:p w14:paraId="0E1E5A0D"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&lt; 55 years old</w:t>
            </w:r>
          </w:p>
        </w:tc>
        <w:tc>
          <w:tcPr>
            <w:tcW w:w="1631" w:type="dxa"/>
            <w:tcBorders>
              <w:top w:val="nil"/>
              <w:left w:val="nil"/>
              <w:bottom w:val="nil"/>
              <w:right w:val="nil"/>
            </w:tcBorders>
            <w:vAlign w:val="center"/>
          </w:tcPr>
          <w:p w14:paraId="3D716BD5"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3</w:t>
            </w:r>
            <w:r>
              <w:rPr>
                <w:rFonts w:ascii="Times New Roman" w:hAnsi="Times New Roman" w:cs="Times New Roman"/>
              </w:rPr>
              <w:t>,</w:t>
            </w:r>
            <w:r w:rsidRPr="006924F3">
              <w:rPr>
                <w:rFonts w:ascii="Times New Roman" w:hAnsi="Times New Roman" w:cs="Times New Roman"/>
              </w:rPr>
              <w:t>122</w:t>
            </w:r>
          </w:p>
        </w:tc>
        <w:tc>
          <w:tcPr>
            <w:tcW w:w="1866" w:type="dxa"/>
            <w:tcBorders>
              <w:top w:val="nil"/>
              <w:left w:val="nil"/>
              <w:bottom w:val="nil"/>
              <w:right w:val="nil"/>
            </w:tcBorders>
            <w:vAlign w:val="center"/>
          </w:tcPr>
          <w:p w14:paraId="43428C51"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17.9</w:t>
            </w:r>
          </w:p>
        </w:tc>
        <w:tc>
          <w:tcPr>
            <w:tcW w:w="2179" w:type="dxa"/>
            <w:tcBorders>
              <w:top w:val="nil"/>
              <w:left w:val="nil"/>
              <w:bottom w:val="nil"/>
              <w:right w:val="nil"/>
            </w:tcBorders>
            <w:vAlign w:val="center"/>
          </w:tcPr>
          <w:p w14:paraId="6B0DD345"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17.3-18.4</w:t>
            </w:r>
          </w:p>
        </w:tc>
      </w:tr>
      <w:tr w:rsidR="00160EDF" w14:paraId="07D10224" w14:textId="77777777" w:rsidTr="00D906FC">
        <w:trPr>
          <w:trHeight w:val="190"/>
        </w:trPr>
        <w:tc>
          <w:tcPr>
            <w:tcW w:w="3967" w:type="dxa"/>
            <w:tcBorders>
              <w:top w:val="nil"/>
              <w:left w:val="nil"/>
              <w:bottom w:val="nil"/>
              <w:right w:val="nil"/>
            </w:tcBorders>
          </w:tcPr>
          <w:p w14:paraId="14D6402A"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55-59 years old</w:t>
            </w:r>
          </w:p>
        </w:tc>
        <w:tc>
          <w:tcPr>
            <w:tcW w:w="1631" w:type="dxa"/>
            <w:tcBorders>
              <w:top w:val="nil"/>
              <w:left w:val="nil"/>
              <w:bottom w:val="nil"/>
              <w:right w:val="nil"/>
            </w:tcBorders>
            <w:vAlign w:val="center"/>
          </w:tcPr>
          <w:p w14:paraId="7A684972"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2</w:t>
            </w:r>
            <w:r>
              <w:rPr>
                <w:rFonts w:ascii="Times New Roman" w:hAnsi="Times New Roman" w:cs="Times New Roman"/>
              </w:rPr>
              <w:t>,</w:t>
            </w:r>
            <w:r w:rsidRPr="006924F3">
              <w:rPr>
                <w:rFonts w:ascii="Times New Roman" w:hAnsi="Times New Roman" w:cs="Times New Roman"/>
              </w:rPr>
              <w:t>095</w:t>
            </w:r>
          </w:p>
        </w:tc>
        <w:tc>
          <w:tcPr>
            <w:tcW w:w="1866" w:type="dxa"/>
            <w:tcBorders>
              <w:top w:val="nil"/>
              <w:left w:val="nil"/>
              <w:bottom w:val="nil"/>
              <w:right w:val="nil"/>
            </w:tcBorders>
            <w:vAlign w:val="center"/>
          </w:tcPr>
          <w:p w14:paraId="0DD6917A"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12.0</w:t>
            </w:r>
          </w:p>
        </w:tc>
        <w:tc>
          <w:tcPr>
            <w:tcW w:w="2179" w:type="dxa"/>
            <w:tcBorders>
              <w:top w:val="nil"/>
              <w:left w:val="nil"/>
              <w:bottom w:val="nil"/>
              <w:right w:val="nil"/>
            </w:tcBorders>
            <w:vAlign w:val="center"/>
          </w:tcPr>
          <w:p w14:paraId="7B97C0EB"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11.5-12.5</w:t>
            </w:r>
          </w:p>
        </w:tc>
      </w:tr>
      <w:tr w:rsidR="00160EDF" w14:paraId="656AC9AF" w14:textId="77777777" w:rsidTr="00D906FC">
        <w:trPr>
          <w:trHeight w:val="190"/>
        </w:trPr>
        <w:tc>
          <w:tcPr>
            <w:tcW w:w="3967" w:type="dxa"/>
            <w:tcBorders>
              <w:top w:val="nil"/>
              <w:left w:val="nil"/>
              <w:bottom w:val="nil"/>
              <w:right w:val="nil"/>
            </w:tcBorders>
          </w:tcPr>
          <w:p w14:paraId="784BE1D6"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60-64 years old</w:t>
            </w:r>
          </w:p>
        </w:tc>
        <w:tc>
          <w:tcPr>
            <w:tcW w:w="1631" w:type="dxa"/>
            <w:tcBorders>
              <w:top w:val="nil"/>
              <w:left w:val="nil"/>
              <w:bottom w:val="nil"/>
              <w:right w:val="nil"/>
            </w:tcBorders>
            <w:vAlign w:val="center"/>
          </w:tcPr>
          <w:p w14:paraId="1223C8E1"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2</w:t>
            </w:r>
            <w:r>
              <w:rPr>
                <w:rFonts w:ascii="Times New Roman" w:hAnsi="Times New Roman" w:cs="Times New Roman"/>
              </w:rPr>
              <w:t>,</w:t>
            </w:r>
            <w:r w:rsidRPr="006924F3">
              <w:rPr>
                <w:rFonts w:ascii="Times New Roman" w:hAnsi="Times New Roman" w:cs="Times New Roman"/>
              </w:rPr>
              <w:t>882</w:t>
            </w:r>
          </w:p>
        </w:tc>
        <w:tc>
          <w:tcPr>
            <w:tcW w:w="1866" w:type="dxa"/>
            <w:tcBorders>
              <w:top w:val="nil"/>
              <w:left w:val="nil"/>
              <w:bottom w:val="nil"/>
              <w:right w:val="nil"/>
            </w:tcBorders>
            <w:vAlign w:val="center"/>
          </w:tcPr>
          <w:p w14:paraId="01DE1637"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16.5</w:t>
            </w:r>
          </w:p>
        </w:tc>
        <w:tc>
          <w:tcPr>
            <w:tcW w:w="2179" w:type="dxa"/>
            <w:tcBorders>
              <w:top w:val="nil"/>
              <w:left w:val="nil"/>
              <w:bottom w:val="nil"/>
              <w:right w:val="nil"/>
            </w:tcBorders>
            <w:vAlign w:val="center"/>
          </w:tcPr>
          <w:p w14:paraId="4006F17B"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15.9-17.0</w:t>
            </w:r>
          </w:p>
        </w:tc>
      </w:tr>
      <w:tr w:rsidR="00160EDF" w14:paraId="20EB0520" w14:textId="77777777" w:rsidTr="00D906FC">
        <w:trPr>
          <w:trHeight w:val="199"/>
        </w:trPr>
        <w:tc>
          <w:tcPr>
            <w:tcW w:w="3967" w:type="dxa"/>
            <w:tcBorders>
              <w:top w:val="nil"/>
              <w:left w:val="nil"/>
              <w:bottom w:val="nil"/>
              <w:right w:val="nil"/>
            </w:tcBorders>
          </w:tcPr>
          <w:p w14:paraId="4CC832CA"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65-69 years old</w:t>
            </w:r>
          </w:p>
        </w:tc>
        <w:tc>
          <w:tcPr>
            <w:tcW w:w="1631" w:type="dxa"/>
            <w:tcBorders>
              <w:top w:val="nil"/>
              <w:left w:val="nil"/>
              <w:bottom w:val="nil"/>
              <w:right w:val="nil"/>
            </w:tcBorders>
            <w:vAlign w:val="center"/>
          </w:tcPr>
          <w:p w14:paraId="37513EA8"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3</w:t>
            </w:r>
            <w:r>
              <w:rPr>
                <w:rFonts w:ascii="Times New Roman" w:hAnsi="Times New Roman" w:cs="Times New Roman"/>
              </w:rPr>
              <w:t>,</w:t>
            </w:r>
            <w:r w:rsidRPr="006924F3">
              <w:rPr>
                <w:rFonts w:ascii="Times New Roman" w:hAnsi="Times New Roman" w:cs="Times New Roman"/>
              </w:rPr>
              <w:t>015</w:t>
            </w:r>
          </w:p>
        </w:tc>
        <w:tc>
          <w:tcPr>
            <w:tcW w:w="1866" w:type="dxa"/>
            <w:tcBorders>
              <w:top w:val="nil"/>
              <w:left w:val="nil"/>
              <w:bottom w:val="nil"/>
              <w:right w:val="nil"/>
            </w:tcBorders>
            <w:vAlign w:val="center"/>
          </w:tcPr>
          <w:p w14:paraId="42DD939D"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17.3</w:t>
            </w:r>
          </w:p>
        </w:tc>
        <w:tc>
          <w:tcPr>
            <w:tcW w:w="2179" w:type="dxa"/>
            <w:tcBorders>
              <w:top w:val="nil"/>
              <w:left w:val="nil"/>
              <w:bottom w:val="nil"/>
              <w:right w:val="nil"/>
            </w:tcBorders>
            <w:vAlign w:val="center"/>
          </w:tcPr>
          <w:p w14:paraId="4974CD0B"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16.7-17.9</w:t>
            </w:r>
          </w:p>
        </w:tc>
      </w:tr>
      <w:tr w:rsidR="00160EDF" w14:paraId="2CDEC1AC" w14:textId="77777777" w:rsidTr="00D906FC">
        <w:trPr>
          <w:trHeight w:val="190"/>
        </w:trPr>
        <w:tc>
          <w:tcPr>
            <w:tcW w:w="3967" w:type="dxa"/>
            <w:tcBorders>
              <w:top w:val="nil"/>
              <w:left w:val="nil"/>
              <w:bottom w:val="nil"/>
              <w:right w:val="nil"/>
            </w:tcBorders>
          </w:tcPr>
          <w:p w14:paraId="73306634"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70-74 years old</w:t>
            </w:r>
          </w:p>
        </w:tc>
        <w:tc>
          <w:tcPr>
            <w:tcW w:w="1631" w:type="dxa"/>
            <w:tcBorders>
              <w:top w:val="nil"/>
              <w:left w:val="nil"/>
              <w:bottom w:val="nil"/>
              <w:right w:val="nil"/>
            </w:tcBorders>
            <w:vAlign w:val="center"/>
          </w:tcPr>
          <w:p w14:paraId="22CDC0F8"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2</w:t>
            </w:r>
            <w:r>
              <w:rPr>
                <w:rFonts w:ascii="Times New Roman" w:hAnsi="Times New Roman" w:cs="Times New Roman"/>
              </w:rPr>
              <w:t>,</w:t>
            </w:r>
            <w:r w:rsidRPr="006924F3">
              <w:rPr>
                <w:rFonts w:ascii="Times New Roman" w:hAnsi="Times New Roman" w:cs="Times New Roman"/>
              </w:rPr>
              <w:t>586</w:t>
            </w:r>
          </w:p>
        </w:tc>
        <w:tc>
          <w:tcPr>
            <w:tcW w:w="1866" w:type="dxa"/>
            <w:tcBorders>
              <w:top w:val="nil"/>
              <w:left w:val="nil"/>
              <w:bottom w:val="nil"/>
              <w:right w:val="nil"/>
            </w:tcBorders>
            <w:vAlign w:val="center"/>
          </w:tcPr>
          <w:p w14:paraId="4A70A91C"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14.8</w:t>
            </w:r>
          </w:p>
        </w:tc>
        <w:tc>
          <w:tcPr>
            <w:tcW w:w="2179" w:type="dxa"/>
            <w:tcBorders>
              <w:top w:val="nil"/>
              <w:left w:val="nil"/>
              <w:bottom w:val="nil"/>
              <w:right w:val="nil"/>
            </w:tcBorders>
            <w:vAlign w:val="center"/>
          </w:tcPr>
          <w:p w14:paraId="5F1467CB"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14.3-15.3</w:t>
            </w:r>
          </w:p>
        </w:tc>
      </w:tr>
      <w:tr w:rsidR="00160EDF" w14:paraId="7681986E" w14:textId="77777777" w:rsidTr="004B40E0">
        <w:trPr>
          <w:trHeight w:val="190"/>
        </w:trPr>
        <w:tc>
          <w:tcPr>
            <w:tcW w:w="3967" w:type="dxa"/>
            <w:tcBorders>
              <w:top w:val="nil"/>
              <w:left w:val="nil"/>
              <w:bottom w:val="nil"/>
              <w:right w:val="nil"/>
            </w:tcBorders>
          </w:tcPr>
          <w:p w14:paraId="78B89EAD"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 75 years old</w:t>
            </w:r>
          </w:p>
        </w:tc>
        <w:tc>
          <w:tcPr>
            <w:tcW w:w="1631" w:type="dxa"/>
            <w:tcBorders>
              <w:top w:val="nil"/>
              <w:left w:val="nil"/>
              <w:bottom w:val="nil"/>
              <w:right w:val="nil"/>
            </w:tcBorders>
            <w:vAlign w:val="center"/>
          </w:tcPr>
          <w:p w14:paraId="5DAC3FB8"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3</w:t>
            </w:r>
            <w:r>
              <w:rPr>
                <w:rFonts w:ascii="Times New Roman" w:hAnsi="Times New Roman" w:cs="Times New Roman"/>
              </w:rPr>
              <w:t>,</w:t>
            </w:r>
            <w:r w:rsidRPr="006924F3">
              <w:rPr>
                <w:rFonts w:ascii="Times New Roman" w:hAnsi="Times New Roman" w:cs="Times New Roman"/>
              </w:rPr>
              <w:t>778</w:t>
            </w:r>
          </w:p>
        </w:tc>
        <w:tc>
          <w:tcPr>
            <w:tcW w:w="1866" w:type="dxa"/>
            <w:tcBorders>
              <w:top w:val="nil"/>
              <w:left w:val="nil"/>
              <w:bottom w:val="nil"/>
              <w:right w:val="nil"/>
            </w:tcBorders>
            <w:vAlign w:val="center"/>
          </w:tcPr>
          <w:p w14:paraId="34154CD6"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21.6</w:t>
            </w:r>
          </w:p>
        </w:tc>
        <w:tc>
          <w:tcPr>
            <w:tcW w:w="2179" w:type="dxa"/>
            <w:tcBorders>
              <w:top w:val="nil"/>
              <w:left w:val="nil"/>
              <w:bottom w:val="nil"/>
              <w:right w:val="nil"/>
            </w:tcBorders>
            <w:vAlign w:val="center"/>
          </w:tcPr>
          <w:p w14:paraId="30318329"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21.0-22.2</w:t>
            </w:r>
          </w:p>
        </w:tc>
      </w:tr>
      <w:tr w:rsidR="00160EDF" w14:paraId="74116CD4" w14:textId="77777777" w:rsidTr="004B40E0">
        <w:trPr>
          <w:trHeight w:val="190"/>
        </w:trPr>
        <w:tc>
          <w:tcPr>
            <w:tcW w:w="3967" w:type="dxa"/>
            <w:tcBorders>
              <w:top w:val="nil"/>
              <w:left w:val="nil"/>
              <w:bottom w:val="nil"/>
              <w:right w:val="nil"/>
            </w:tcBorders>
          </w:tcPr>
          <w:p w14:paraId="64C19A50" w14:textId="77777777" w:rsidR="00160EDF" w:rsidRPr="006924F3" w:rsidRDefault="00160EDF" w:rsidP="00D906FC">
            <w:pPr>
              <w:rPr>
                <w:rFonts w:ascii="Times New Roman" w:hAnsi="Times New Roman" w:cs="Times New Roman"/>
                <w:b/>
                <w:bCs/>
                <w:highlight w:val="yellow"/>
              </w:rPr>
            </w:pPr>
            <w:r w:rsidRPr="00060CF4">
              <w:rPr>
                <w:rFonts w:ascii="Times New Roman" w:hAnsi="Times New Roman" w:cs="Times New Roman"/>
                <w:b/>
                <w:bCs/>
                <w:vertAlign w:val="superscript"/>
              </w:rPr>
              <w:t>1</w:t>
            </w:r>
            <w:r w:rsidRPr="00060CF4">
              <w:rPr>
                <w:rFonts w:ascii="Times New Roman" w:hAnsi="Times New Roman" w:cs="Times New Roman"/>
                <w:b/>
                <w:bCs/>
              </w:rPr>
              <w:t>DOE</w:t>
            </w:r>
            <w:r w:rsidRPr="006924F3">
              <w:rPr>
                <w:rFonts w:ascii="Times New Roman" w:hAnsi="Times New Roman" w:cs="Times New Roman"/>
                <w:b/>
                <w:bCs/>
              </w:rPr>
              <w:t xml:space="preserve"> Category</w:t>
            </w:r>
          </w:p>
        </w:tc>
        <w:tc>
          <w:tcPr>
            <w:tcW w:w="1631" w:type="dxa"/>
            <w:tcBorders>
              <w:top w:val="nil"/>
              <w:left w:val="nil"/>
              <w:bottom w:val="nil"/>
              <w:right w:val="nil"/>
            </w:tcBorders>
            <w:vAlign w:val="center"/>
          </w:tcPr>
          <w:p w14:paraId="7249CDB2"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488</w:t>
            </w:r>
          </w:p>
        </w:tc>
        <w:tc>
          <w:tcPr>
            <w:tcW w:w="1866" w:type="dxa"/>
            <w:tcBorders>
              <w:top w:val="nil"/>
              <w:left w:val="nil"/>
              <w:bottom w:val="nil"/>
              <w:right w:val="nil"/>
            </w:tcBorders>
            <w:vAlign w:val="center"/>
          </w:tcPr>
          <w:p w14:paraId="14650F51"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04094E67" w14:textId="77777777" w:rsidR="00160EDF" w:rsidRPr="006924F3" w:rsidRDefault="00160EDF" w:rsidP="00D906FC">
            <w:pPr>
              <w:jc w:val="center"/>
              <w:rPr>
                <w:rFonts w:ascii="Times New Roman" w:hAnsi="Times New Roman" w:cs="Times New Roman"/>
              </w:rPr>
            </w:pPr>
          </w:p>
        </w:tc>
      </w:tr>
      <w:tr w:rsidR="00160EDF" w14:paraId="71F34946" w14:textId="77777777" w:rsidTr="00D906FC">
        <w:trPr>
          <w:trHeight w:val="190"/>
        </w:trPr>
        <w:tc>
          <w:tcPr>
            <w:tcW w:w="3967" w:type="dxa"/>
            <w:tcBorders>
              <w:top w:val="nil"/>
              <w:left w:val="nil"/>
              <w:bottom w:val="nil"/>
              <w:right w:val="nil"/>
            </w:tcBorders>
          </w:tcPr>
          <w:p w14:paraId="5B88EFAF"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rPr>
              <w:t xml:space="preserve">     Weapons Production</w:t>
            </w:r>
          </w:p>
        </w:tc>
        <w:tc>
          <w:tcPr>
            <w:tcW w:w="1631" w:type="dxa"/>
            <w:tcBorders>
              <w:top w:val="nil"/>
              <w:left w:val="nil"/>
              <w:bottom w:val="nil"/>
              <w:right w:val="nil"/>
            </w:tcBorders>
            <w:vAlign w:val="center"/>
          </w:tcPr>
          <w:p w14:paraId="2F5FF15B"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12</w:t>
            </w:r>
            <w:r>
              <w:rPr>
                <w:rFonts w:ascii="Times New Roman" w:hAnsi="Times New Roman" w:cs="Times New Roman"/>
              </w:rPr>
              <w:t>,</w:t>
            </w:r>
            <w:r w:rsidRPr="006924F3">
              <w:rPr>
                <w:rFonts w:ascii="Times New Roman" w:hAnsi="Times New Roman" w:cs="Times New Roman"/>
              </w:rPr>
              <w:t>763</w:t>
            </w:r>
          </w:p>
        </w:tc>
        <w:tc>
          <w:tcPr>
            <w:tcW w:w="1866" w:type="dxa"/>
            <w:tcBorders>
              <w:top w:val="nil"/>
              <w:left w:val="nil"/>
              <w:bottom w:val="nil"/>
              <w:right w:val="nil"/>
            </w:tcBorders>
            <w:vAlign w:val="center"/>
          </w:tcPr>
          <w:p w14:paraId="0EBAEF4D"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73.0</w:t>
            </w:r>
          </w:p>
        </w:tc>
        <w:tc>
          <w:tcPr>
            <w:tcW w:w="2179" w:type="dxa"/>
            <w:tcBorders>
              <w:top w:val="nil"/>
              <w:left w:val="nil"/>
              <w:bottom w:val="nil"/>
              <w:right w:val="nil"/>
            </w:tcBorders>
            <w:vAlign w:val="center"/>
          </w:tcPr>
          <w:p w14:paraId="347B1C23"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72.3-73.6</w:t>
            </w:r>
          </w:p>
        </w:tc>
      </w:tr>
      <w:tr w:rsidR="00160EDF" w14:paraId="7CE57BC5" w14:textId="77777777" w:rsidTr="00D906FC">
        <w:trPr>
          <w:trHeight w:val="190"/>
        </w:trPr>
        <w:tc>
          <w:tcPr>
            <w:tcW w:w="3967" w:type="dxa"/>
            <w:tcBorders>
              <w:top w:val="nil"/>
              <w:left w:val="nil"/>
              <w:bottom w:val="nil"/>
              <w:right w:val="nil"/>
            </w:tcBorders>
          </w:tcPr>
          <w:p w14:paraId="1D4EE51D"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Science/Laboratory</w:t>
            </w:r>
          </w:p>
        </w:tc>
        <w:tc>
          <w:tcPr>
            <w:tcW w:w="1631" w:type="dxa"/>
            <w:tcBorders>
              <w:top w:val="nil"/>
              <w:left w:val="nil"/>
              <w:bottom w:val="nil"/>
              <w:right w:val="nil"/>
            </w:tcBorders>
            <w:vAlign w:val="center"/>
          </w:tcPr>
          <w:p w14:paraId="76B8458D"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3</w:t>
            </w:r>
            <w:r>
              <w:rPr>
                <w:rFonts w:ascii="Times New Roman" w:hAnsi="Times New Roman" w:cs="Times New Roman"/>
              </w:rPr>
              <w:t>,</w:t>
            </w:r>
            <w:r w:rsidRPr="006924F3">
              <w:rPr>
                <w:rFonts w:ascii="Times New Roman" w:hAnsi="Times New Roman" w:cs="Times New Roman"/>
              </w:rPr>
              <w:t>600</w:t>
            </w:r>
          </w:p>
        </w:tc>
        <w:tc>
          <w:tcPr>
            <w:tcW w:w="1866" w:type="dxa"/>
            <w:tcBorders>
              <w:top w:val="nil"/>
              <w:left w:val="nil"/>
              <w:bottom w:val="nil"/>
              <w:right w:val="nil"/>
            </w:tcBorders>
            <w:vAlign w:val="center"/>
          </w:tcPr>
          <w:p w14:paraId="16511F05"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20.6</w:t>
            </w:r>
          </w:p>
        </w:tc>
        <w:tc>
          <w:tcPr>
            <w:tcW w:w="2179" w:type="dxa"/>
            <w:tcBorders>
              <w:top w:val="nil"/>
              <w:left w:val="nil"/>
              <w:bottom w:val="nil"/>
              <w:right w:val="nil"/>
            </w:tcBorders>
            <w:vAlign w:val="center"/>
          </w:tcPr>
          <w:p w14:paraId="411FD2C4"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20.0-21.2</w:t>
            </w:r>
          </w:p>
        </w:tc>
      </w:tr>
      <w:tr w:rsidR="00160EDF" w14:paraId="7B195077" w14:textId="77777777" w:rsidTr="00D906FC">
        <w:trPr>
          <w:trHeight w:val="190"/>
        </w:trPr>
        <w:tc>
          <w:tcPr>
            <w:tcW w:w="3967" w:type="dxa"/>
            <w:tcBorders>
              <w:top w:val="nil"/>
              <w:left w:val="nil"/>
              <w:bottom w:val="nil"/>
              <w:right w:val="nil"/>
            </w:tcBorders>
          </w:tcPr>
          <w:p w14:paraId="0ACA3B37"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rPr>
              <w:t xml:space="preserve">     Uranium Processing</w:t>
            </w:r>
          </w:p>
        </w:tc>
        <w:tc>
          <w:tcPr>
            <w:tcW w:w="1631" w:type="dxa"/>
            <w:tcBorders>
              <w:top w:val="nil"/>
              <w:left w:val="nil"/>
              <w:bottom w:val="nil"/>
              <w:right w:val="nil"/>
            </w:tcBorders>
            <w:vAlign w:val="center"/>
          </w:tcPr>
          <w:p w14:paraId="0B4E7032"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rPr>
              <w:t>1</w:t>
            </w:r>
            <w:r>
              <w:rPr>
                <w:rFonts w:ascii="Times New Roman" w:hAnsi="Times New Roman" w:cs="Times New Roman"/>
              </w:rPr>
              <w:t>,</w:t>
            </w:r>
            <w:r w:rsidRPr="006924F3">
              <w:rPr>
                <w:rFonts w:ascii="Times New Roman" w:hAnsi="Times New Roman" w:cs="Times New Roman"/>
              </w:rPr>
              <w:t>125</w:t>
            </w:r>
          </w:p>
        </w:tc>
        <w:tc>
          <w:tcPr>
            <w:tcW w:w="1866" w:type="dxa"/>
            <w:tcBorders>
              <w:top w:val="nil"/>
              <w:left w:val="nil"/>
              <w:bottom w:val="nil"/>
              <w:right w:val="nil"/>
            </w:tcBorders>
            <w:vAlign w:val="center"/>
          </w:tcPr>
          <w:p w14:paraId="5B32DF04"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6.4</w:t>
            </w:r>
          </w:p>
        </w:tc>
        <w:tc>
          <w:tcPr>
            <w:tcW w:w="2179" w:type="dxa"/>
            <w:tcBorders>
              <w:top w:val="nil"/>
              <w:left w:val="nil"/>
              <w:bottom w:val="nil"/>
              <w:right w:val="nil"/>
            </w:tcBorders>
            <w:vAlign w:val="center"/>
          </w:tcPr>
          <w:p w14:paraId="49A286C7"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6.1-6.8</w:t>
            </w:r>
          </w:p>
        </w:tc>
      </w:tr>
      <w:tr w:rsidR="00160EDF" w14:paraId="5EE5F7C0" w14:textId="77777777" w:rsidTr="004B40E0">
        <w:trPr>
          <w:trHeight w:val="190"/>
        </w:trPr>
        <w:tc>
          <w:tcPr>
            <w:tcW w:w="3967" w:type="dxa"/>
            <w:tcBorders>
              <w:top w:val="nil"/>
              <w:left w:val="nil"/>
              <w:bottom w:val="nil"/>
              <w:right w:val="nil"/>
            </w:tcBorders>
          </w:tcPr>
          <w:p w14:paraId="1530CCB6"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b/>
                <w:bCs/>
              </w:rPr>
              <w:t>Welding Fumes Exposure</w:t>
            </w:r>
          </w:p>
        </w:tc>
        <w:tc>
          <w:tcPr>
            <w:tcW w:w="1631" w:type="dxa"/>
            <w:tcBorders>
              <w:top w:val="nil"/>
              <w:left w:val="nil"/>
              <w:bottom w:val="nil"/>
              <w:right w:val="nil"/>
            </w:tcBorders>
            <w:vAlign w:val="center"/>
          </w:tcPr>
          <w:p w14:paraId="0C2A0FC1"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 17</w:t>
            </w:r>
            <w:r>
              <w:rPr>
                <w:rFonts w:ascii="Times New Roman" w:hAnsi="Times New Roman" w:cs="Times New Roman"/>
                <w:b/>
                <w:bCs/>
              </w:rPr>
              <w:t>,</w:t>
            </w:r>
            <w:r w:rsidRPr="006924F3">
              <w:rPr>
                <w:rFonts w:ascii="Times New Roman" w:hAnsi="Times New Roman" w:cs="Times New Roman"/>
                <w:b/>
                <w:bCs/>
              </w:rPr>
              <w:t>448</w:t>
            </w:r>
          </w:p>
        </w:tc>
        <w:tc>
          <w:tcPr>
            <w:tcW w:w="1866" w:type="dxa"/>
            <w:tcBorders>
              <w:top w:val="nil"/>
              <w:left w:val="nil"/>
              <w:bottom w:val="nil"/>
              <w:right w:val="nil"/>
            </w:tcBorders>
            <w:vAlign w:val="center"/>
          </w:tcPr>
          <w:p w14:paraId="44AB03FA"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6FC475BE" w14:textId="77777777" w:rsidR="00160EDF" w:rsidRPr="006924F3" w:rsidRDefault="00160EDF" w:rsidP="00D906FC">
            <w:pPr>
              <w:jc w:val="center"/>
              <w:rPr>
                <w:rFonts w:ascii="Times New Roman" w:hAnsi="Times New Roman" w:cs="Times New Roman"/>
              </w:rPr>
            </w:pPr>
          </w:p>
        </w:tc>
      </w:tr>
      <w:tr w:rsidR="00160EDF" w14:paraId="21864387" w14:textId="77777777" w:rsidTr="00D906FC">
        <w:trPr>
          <w:trHeight w:val="190"/>
        </w:trPr>
        <w:tc>
          <w:tcPr>
            <w:tcW w:w="3967" w:type="dxa"/>
            <w:tcBorders>
              <w:top w:val="nil"/>
              <w:left w:val="nil"/>
              <w:bottom w:val="nil"/>
              <w:right w:val="nil"/>
            </w:tcBorders>
          </w:tcPr>
          <w:p w14:paraId="375E7929"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rPr>
              <w:t xml:space="preserve">     Yes</w:t>
            </w:r>
          </w:p>
        </w:tc>
        <w:tc>
          <w:tcPr>
            <w:tcW w:w="1631" w:type="dxa"/>
            <w:tcBorders>
              <w:top w:val="nil"/>
              <w:left w:val="nil"/>
              <w:bottom w:val="nil"/>
              <w:right w:val="nil"/>
            </w:tcBorders>
            <w:vAlign w:val="center"/>
          </w:tcPr>
          <w:p w14:paraId="3E5AEFC3"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rPr>
              <w:t>8</w:t>
            </w:r>
            <w:r>
              <w:rPr>
                <w:rFonts w:ascii="Times New Roman" w:hAnsi="Times New Roman" w:cs="Times New Roman"/>
              </w:rPr>
              <w:t>,</w:t>
            </w:r>
            <w:r w:rsidRPr="006924F3">
              <w:rPr>
                <w:rFonts w:ascii="Times New Roman" w:hAnsi="Times New Roman" w:cs="Times New Roman"/>
              </w:rPr>
              <w:t>221</w:t>
            </w:r>
          </w:p>
        </w:tc>
        <w:tc>
          <w:tcPr>
            <w:tcW w:w="1866" w:type="dxa"/>
            <w:tcBorders>
              <w:top w:val="nil"/>
              <w:left w:val="nil"/>
              <w:bottom w:val="nil"/>
              <w:right w:val="nil"/>
            </w:tcBorders>
            <w:vAlign w:val="center"/>
          </w:tcPr>
          <w:p w14:paraId="41ACEBD3"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47.1</w:t>
            </w:r>
          </w:p>
        </w:tc>
        <w:tc>
          <w:tcPr>
            <w:tcW w:w="2179" w:type="dxa"/>
            <w:tcBorders>
              <w:top w:val="nil"/>
              <w:left w:val="nil"/>
              <w:bottom w:val="nil"/>
              <w:right w:val="nil"/>
            </w:tcBorders>
            <w:vAlign w:val="center"/>
          </w:tcPr>
          <w:p w14:paraId="21DFCB48"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46.4-47.9</w:t>
            </w:r>
          </w:p>
        </w:tc>
      </w:tr>
      <w:tr w:rsidR="00160EDF" w14:paraId="58051A5F" w14:textId="77777777" w:rsidTr="00D906FC">
        <w:trPr>
          <w:trHeight w:val="190"/>
        </w:trPr>
        <w:tc>
          <w:tcPr>
            <w:tcW w:w="3967" w:type="dxa"/>
            <w:tcBorders>
              <w:top w:val="nil"/>
              <w:left w:val="nil"/>
              <w:bottom w:val="nil"/>
              <w:right w:val="nil"/>
            </w:tcBorders>
          </w:tcPr>
          <w:p w14:paraId="36D958A0"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rPr>
              <w:t xml:space="preserve">     No</w:t>
            </w:r>
          </w:p>
        </w:tc>
        <w:tc>
          <w:tcPr>
            <w:tcW w:w="1631" w:type="dxa"/>
            <w:tcBorders>
              <w:top w:val="nil"/>
              <w:left w:val="nil"/>
              <w:bottom w:val="nil"/>
              <w:right w:val="nil"/>
            </w:tcBorders>
            <w:vAlign w:val="center"/>
          </w:tcPr>
          <w:p w14:paraId="4B29D003"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rPr>
              <w:t>9</w:t>
            </w:r>
            <w:r>
              <w:rPr>
                <w:rFonts w:ascii="Times New Roman" w:hAnsi="Times New Roman" w:cs="Times New Roman"/>
              </w:rPr>
              <w:t>,</w:t>
            </w:r>
            <w:r w:rsidRPr="006924F3">
              <w:rPr>
                <w:rFonts w:ascii="Times New Roman" w:hAnsi="Times New Roman" w:cs="Times New Roman"/>
              </w:rPr>
              <w:t>227</w:t>
            </w:r>
          </w:p>
        </w:tc>
        <w:tc>
          <w:tcPr>
            <w:tcW w:w="1866" w:type="dxa"/>
            <w:tcBorders>
              <w:top w:val="nil"/>
              <w:left w:val="nil"/>
              <w:bottom w:val="nil"/>
              <w:right w:val="nil"/>
            </w:tcBorders>
            <w:vAlign w:val="center"/>
          </w:tcPr>
          <w:p w14:paraId="1E1DCD6C"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52.9</w:t>
            </w:r>
          </w:p>
        </w:tc>
        <w:tc>
          <w:tcPr>
            <w:tcW w:w="2179" w:type="dxa"/>
            <w:tcBorders>
              <w:top w:val="nil"/>
              <w:left w:val="nil"/>
              <w:bottom w:val="nil"/>
              <w:right w:val="nil"/>
            </w:tcBorders>
            <w:vAlign w:val="center"/>
          </w:tcPr>
          <w:p w14:paraId="785E62E6"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52.1-53.6</w:t>
            </w:r>
          </w:p>
        </w:tc>
      </w:tr>
      <w:tr w:rsidR="00160EDF" w14:paraId="7A259A95" w14:textId="77777777" w:rsidTr="004B40E0">
        <w:trPr>
          <w:trHeight w:val="190"/>
        </w:trPr>
        <w:tc>
          <w:tcPr>
            <w:tcW w:w="3967" w:type="dxa"/>
            <w:tcBorders>
              <w:top w:val="nil"/>
              <w:left w:val="nil"/>
              <w:bottom w:val="nil"/>
              <w:right w:val="nil"/>
            </w:tcBorders>
          </w:tcPr>
          <w:p w14:paraId="56D1A26D"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b/>
                <w:bCs/>
              </w:rPr>
              <w:t>Cadmium Exposure</w:t>
            </w:r>
          </w:p>
        </w:tc>
        <w:tc>
          <w:tcPr>
            <w:tcW w:w="1631" w:type="dxa"/>
            <w:tcBorders>
              <w:top w:val="nil"/>
              <w:left w:val="nil"/>
              <w:bottom w:val="nil"/>
              <w:right w:val="nil"/>
            </w:tcBorders>
            <w:vAlign w:val="center"/>
          </w:tcPr>
          <w:p w14:paraId="4351095D"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455</w:t>
            </w:r>
          </w:p>
        </w:tc>
        <w:tc>
          <w:tcPr>
            <w:tcW w:w="1866" w:type="dxa"/>
            <w:tcBorders>
              <w:top w:val="nil"/>
              <w:left w:val="nil"/>
              <w:bottom w:val="nil"/>
              <w:right w:val="nil"/>
            </w:tcBorders>
            <w:vAlign w:val="center"/>
          </w:tcPr>
          <w:p w14:paraId="16E0FF7E"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50B63BEC" w14:textId="77777777" w:rsidR="00160EDF" w:rsidRPr="006924F3" w:rsidRDefault="00160EDF" w:rsidP="00D906FC">
            <w:pPr>
              <w:jc w:val="center"/>
              <w:rPr>
                <w:rFonts w:ascii="Times New Roman" w:hAnsi="Times New Roman" w:cs="Times New Roman"/>
              </w:rPr>
            </w:pPr>
          </w:p>
        </w:tc>
      </w:tr>
      <w:tr w:rsidR="00160EDF" w14:paraId="6A23EE78" w14:textId="77777777" w:rsidTr="00D906FC">
        <w:trPr>
          <w:trHeight w:val="190"/>
        </w:trPr>
        <w:tc>
          <w:tcPr>
            <w:tcW w:w="3967" w:type="dxa"/>
            <w:tcBorders>
              <w:top w:val="nil"/>
              <w:left w:val="nil"/>
              <w:bottom w:val="nil"/>
              <w:right w:val="nil"/>
            </w:tcBorders>
          </w:tcPr>
          <w:p w14:paraId="0FA83BC5"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Yes</w:t>
            </w:r>
          </w:p>
        </w:tc>
        <w:tc>
          <w:tcPr>
            <w:tcW w:w="1631" w:type="dxa"/>
            <w:tcBorders>
              <w:top w:val="nil"/>
              <w:left w:val="nil"/>
              <w:bottom w:val="nil"/>
              <w:right w:val="nil"/>
            </w:tcBorders>
            <w:vAlign w:val="center"/>
          </w:tcPr>
          <w:p w14:paraId="4409AEF0"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6</w:t>
            </w:r>
            <w:r>
              <w:rPr>
                <w:rFonts w:ascii="Times New Roman" w:hAnsi="Times New Roman" w:cs="Times New Roman"/>
              </w:rPr>
              <w:t>,</w:t>
            </w:r>
            <w:r w:rsidRPr="006924F3">
              <w:rPr>
                <w:rFonts w:ascii="Times New Roman" w:hAnsi="Times New Roman" w:cs="Times New Roman"/>
              </w:rPr>
              <w:t>206</w:t>
            </w:r>
          </w:p>
        </w:tc>
        <w:tc>
          <w:tcPr>
            <w:tcW w:w="1866" w:type="dxa"/>
            <w:tcBorders>
              <w:top w:val="nil"/>
              <w:left w:val="nil"/>
              <w:bottom w:val="nil"/>
              <w:right w:val="nil"/>
            </w:tcBorders>
            <w:vAlign w:val="center"/>
          </w:tcPr>
          <w:p w14:paraId="4288F3C5"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35.6</w:t>
            </w:r>
          </w:p>
        </w:tc>
        <w:tc>
          <w:tcPr>
            <w:tcW w:w="2179" w:type="dxa"/>
            <w:tcBorders>
              <w:top w:val="nil"/>
              <w:left w:val="nil"/>
              <w:bottom w:val="nil"/>
              <w:right w:val="nil"/>
            </w:tcBorders>
            <w:vAlign w:val="center"/>
          </w:tcPr>
          <w:p w14:paraId="1AFCAA74"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34.8-36.3</w:t>
            </w:r>
          </w:p>
        </w:tc>
      </w:tr>
      <w:tr w:rsidR="00160EDF" w14:paraId="3CAC0478" w14:textId="77777777" w:rsidTr="004B40E0">
        <w:trPr>
          <w:trHeight w:val="190"/>
        </w:trPr>
        <w:tc>
          <w:tcPr>
            <w:tcW w:w="3967" w:type="dxa"/>
            <w:tcBorders>
              <w:top w:val="nil"/>
              <w:left w:val="nil"/>
              <w:bottom w:val="nil"/>
              <w:right w:val="nil"/>
            </w:tcBorders>
          </w:tcPr>
          <w:p w14:paraId="7F80529F"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rPr>
              <w:t xml:space="preserve">     No</w:t>
            </w:r>
          </w:p>
        </w:tc>
        <w:tc>
          <w:tcPr>
            <w:tcW w:w="1631" w:type="dxa"/>
            <w:tcBorders>
              <w:top w:val="nil"/>
              <w:left w:val="nil"/>
              <w:bottom w:val="nil"/>
              <w:right w:val="nil"/>
            </w:tcBorders>
            <w:vAlign w:val="center"/>
          </w:tcPr>
          <w:p w14:paraId="78EEA694"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11</w:t>
            </w:r>
            <w:r>
              <w:rPr>
                <w:rFonts w:ascii="Times New Roman" w:hAnsi="Times New Roman" w:cs="Times New Roman"/>
              </w:rPr>
              <w:t>,</w:t>
            </w:r>
            <w:r w:rsidRPr="006924F3">
              <w:rPr>
                <w:rFonts w:ascii="Times New Roman" w:hAnsi="Times New Roman" w:cs="Times New Roman"/>
              </w:rPr>
              <w:t>249</w:t>
            </w:r>
          </w:p>
        </w:tc>
        <w:tc>
          <w:tcPr>
            <w:tcW w:w="1866" w:type="dxa"/>
            <w:tcBorders>
              <w:top w:val="nil"/>
              <w:left w:val="nil"/>
              <w:bottom w:val="nil"/>
              <w:right w:val="nil"/>
            </w:tcBorders>
            <w:vAlign w:val="center"/>
          </w:tcPr>
          <w:p w14:paraId="76796FAD"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64.5</w:t>
            </w:r>
          </w:p>
        </w:tc>
        <w:tc>
          <w:tcPr>
            <w:tcW w:w="2179" w:type="dxa"/>
            <w:tcBorders>
              <w:top w:val="nil"/>
              <w:left w:val="nil"/>
              <w:bottom w:val="nil"/>
              <w:right w:val="nil"/>
            </w:tcBorders>
            <w:vAlign w:val="center"/>
          </w:tcPr>
          <w:p w14:paraId="2BBE400D"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63.7-65.2</w:t>
            </w:r>
          </w:p>
        </w:tc>
      </w:tr>
      <w:tr w:rsidR="00160EDF" w14:paraId="70991C6B" w14:textId="77777777" w:rsidTr="004B40E0">
        <w:trPr>
          <w:trHeight w:val="190"/>
        </w:trPr>
        <w:tc>
          <w:tcPr>
            <w:tcW w:w="3967" w:type="dxa"/>
            <w:tcBorders>
              <w:top w:val="nil"/>
              <w:left w:val="nil"/>
              <w:bottom w:val="nil"/>
              <w:right w:val="nil"/>
            </w:tcBorders>
          </w:tcPr>
          <w:p w14:paraId="2E344FF4"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b/>
                <w:bCs/>
              </w:rPr>
              <w:t>Silica Exposure</w:t>
            </w:r>
          </w:p>
        </w:tc>
        <w:tc>
          <w:tcPr>
            <w:tcW w:w="1631" w:type="dxa"/>
            <w:tcBorders>
              <w:top w:val="nil"/>
              <w:left w:val="nil"/>
              <w:bottom w:val="nil"/>
              <w:right w:val="nil"/>
            </w:tcBorders>
            <w:vAlign w:val="center"/>
          </w:tcPr>
          <w:p w14:paraId="27EC0DBF"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452</w:t>
            </w:r>
          </w:p>
        </w:tc>
        <w:tc>
          <w:tcPr>
            <w:tcW w:w="1866" w:type="dxa"/>
            <w:tcBorders>
              <w:top w:val="nil"/>
              <w:left w:val="nil"/>
              <w:bottom w:val="nil"/>
              <w:right w:val="nil"/>
            </w:tcBorders>
            <w:vAlign w:val="center"/>
          </w:tcPr>
          <w:p w14:paraId="25D82484"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6FFDA468" w14:textId="77777777" w:rsidR="00160EDF" w:rsidRPr="006924F3" w:rsidRDefault="00160EDF" w:rsidP="00D906FC">
            <w:pPr>
              <w:jc w:val="center"/>
              <w:rPr>
                <w:rFonts w:ascii="Times New Roman" w:hAnsi="Times New Roman" w:cs="Times New Roman"/>
              </w:rPr>
            </w:pPr>
          </w:p>
        </w:tc>
      </w:tr>
      <w:tr w:rsidR="00160EDF" w14:paraId="7B85942C" w14:textId="77777777" w:rsidTr="00D906FC">
        <w:trPr>
          <w:trHeight w:val="190"/>
        </w:trPr>
        <w:tc>
          <w:tcPr>
            <w:tcW w:w="3967" w:type="dxa"/>
            <w:tcBorders>
              <w:top w:val="nil"/>
              <w:left w:val="nil"/>
              <w:bottom w:val="nil"/>
              <w:right w:val="nil"/>
            </w:tcBorders>
          </w:tcPr>
          <w:p w14:paraId="3CE431C7"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Yes</w:t>
            </w:r>
          </w:p>
        </w:tc>
        <w:tc>
          <w:tcPr>
            <w:tcW w:w="1631" w:type="dxa"/>
            <w:tcBorders>
              <w:top w:val="nil"/>
              <w:left w:val="nil"/>
              <w:bottom w:val="nil"/>
              <w:right w:val="nil"/>
            </w:tcBorders>
            <w:vAlign w:val="center"/>
          </w:tcPr>
          <w:p w14:paraId="19567158"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6</w:t>
            </w:r>
            <w:r>
              <w:rPr>
                <w:rFonts w:ascii="Times New Roman" w:hAnsi="Times New Roman" w:cs="Times New Roman"/>
              </w:rPr>
              <w:t>,</w:t>
            </w:r>
            <w:r w:rsidRPr="006924F3">
              <w:rPr>
                <w:rFonts w:ascii="Times New Roman" w:hAnsi="Times New Roman" w:cs="Times New Roman"/>
              </w:rPr>
              <w:t>077</w:t>
            </w:r>
          </w:p>
        </w:tc>
        <w:tc>
          <w:tcPr>
            <w:tcW w:w="1866" w:type="dxa"/>
            <w:tcBorders>
              <w:top w:val="nil"/>
              <w:left w:val="nil"/>
              <w:bottom w:val="nil"/>
              <w:right w:val="nil"/>
            </w:tcBorders>
            <w:vAlign w:val="center"/>
          </w:tcPr>
          <w:p w14:paraId="2446EC7A"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34.8</w:t>
            </w:r>
          </w:p>
        </w:tc>
        <w:tc>
          <w:tcPr>
            <w:tcW w:w="2179" w:type="dxa"/>
            <w:tcBorders>
              <w:top w:val="nil"/>
              <w:left w:val="nil"/>
              <w:bottom w:val="nil"/>
              <w:right w:val="nil"/>
            </w:tcBorders>
            <w:vAlign w:val="center"/>
          </w:tcPr>
          <w:p w14:paraId="4FEABDF1"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34.1-35.5</w:t>
            </w:r>
          </w:p>
        </w:tc>
      </w:tr>
      <w:tr w:rsidR="00160EDF" w14:paraId="2C02981D" w14:textId="77777777" w:rsidTr="004B40E0">
        <w:trPr>
          <w:trHeight w:val="190"/>
        </w:trPr>
        <w:tc>
          <w:tcPr>
            <w:tcW w:w="3967" w:type="dxa"/>
            <w:tcBorders>
              <w:top w:val="nil"/>
              <w:left w:val="nil"/>
              <w:bottom w:val="nil"/>
              <w:right w:val="nil"/>
            </w:tcBorders>
          </w:tcPr>
          <w:p w14:paraId="4E926314"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rPr>
              <w:t xml:space="preserve">     No</w:t>
            </w:r>
          </w:p>
        </w:tc>
        <w:tc>
          <w:tcPr>
            <w:tcW w:w="1631" w:type="dxa"/>
            <w:tcBorders>
              <w:top w:val="nil"/>
              <w:left w:val="nil"/>
              <w:bottom w:val="nil"/>
              <w:right w:val="nil"/>
            </w:tcBorders>
            <w:vAlign w:val="center"/>
          </w:tcPr>
          <w:p w14:paraId="60EFE349"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11</w:t>
            </w:r>
            <w:r>
              <w:rPr>
                <w:rFonts w:ascii="Times New Roman" w:hAnsi="Times New Roman" w:cs="Times New Roman"/>
              </w:rPr>
              <w:t>,</w:t>
            </w:r>
            <w:r w:rsidRPr="006924F3">
              <w:rPr>
                <w:rFonts w:ascii="Times New Roman" w:hAnsi="Times New Roman" w:cs="Times New Roman"/>
              </w:rPr>
              <w:t>375</w:t>
            </w:r>
          </w:p>
        </w:tc>
        <w:tc>
          <w:tcPr>
            <w:tcW w:w="1866" w:type="dxa"/>
            <w:tcBorders>
              <w:top w:val="nil"/>
              <w:left w:val="nil"/>
              <w:bottom w:val="nil"/>
              <w:right w:val="nil"/>
            </w:tcBorders>
            <w:vAlign w:val="center"/>
          </w:tcPr>
          <w:p w14:paraId="6DEF4C5F"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65.2</w:t>
            </w:r>
          </w:p>
        </w:tc>
        <w:tc>
          <w:tcPr>
            <w:tcW w:w="2179" w:type="dxa"/>
            <w:tcBorders>
              <w:top w:val="nil"/>
              <w:left w:val="nil"/>
              <w:bottom w:val="nil"/>
              <w:right w:val="nil"/>
            </w:tcBorders>
            <w:vAlign w:val="center"/>
          </w:tcPr>
          <w:p w14:paraId="1051C516"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64.4-65.9</w:t>
            </w:r>
          </w:p>
        </w:tc>
      </w:tr>
      <w:tr w:rsidR="00160EDF" w14:paraId="6E68E672" w14:textId="77777777" w:rsidTr="004B40E0">
        <w:trPr>
          <w:trHeight w:val="380"/>
        </w:trPr>
        <w:tc>
          <w:tcPr>
            <w:tcW w:w="3967" w:type="dxa"/>
            <w:tcBorders>
              <w:top w:val="nil"/>
              <w:left w:val="nil"/>
              <w:bottom w:val="nil"/>
              <w:right w:val="nil"/>
            </w:tcBorders>
          </w:tcPr>
          <w:p w14:paraId="7A925012"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b/>
                <w:bCs/>
              </w:rPr>
              <w:t>Diesel Exhaust Exposure</w:t>
            </w:r>
          </w:p>
        </w:tc>
        <w:tc>
          <w:tcPr>
            <w:tcW w:w="1631" w:type="dxa"/>
            <w:tcBorders>
              <w:top w:val="nil"/>
              <w:left w:val="nil"/>
              <w:bottom w:val="nil"/>
              <w:right w:val="nil"/>
            </w:tcBorders>
            <w:vAlign w:val="center"/>
          </w:tcPr>
          <w:p w14:paraId="5A16C3F0"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464</w:t>
            </w:r>
          </w:p>
        </w:tc>
        <w:tc>
          <w:tcPr>
            <w:tcW w:w="1866" w:type="dxa"/>
            <w:tcBorders>
              <w:top w:val="nil"/>
              <w:left w:val="nil"/>
              <w:bottom w:val="nil"/>
              <w:right w:val="nil"/>
            </w:tcBorders>
            <w:vAlign w:val="center"/>
          </w:tcPr>
          <w:p w14:paraId="3667C2B4"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45A5382D" w14:textId="77777777" w:rsidR="00160EDF" w:rsidRPr="006924F3" w:rsidRDefault="00160EDF" w:rsidP="00D906FC">
            <w:pPr>
              <w:jc w:val="center"/>
              <w:rPr>
                <w:rFonts w:ascii="Times New Roman" w:hAnsi="Times New Roman" w:cs="Times New Roman"/>
              </w:rPr>
            </w:pPr>
          </w:p>
        </w:tc>
      </w:tr>
      <w:tr w:rsidR="00160EDF" w14:paraId="5197979B" w14:textId="77777777" w:rsidTr="00D906FC">
        <w:trPr>
          <w:trHeight w:val="190"/>
        </w:trPr>
        <w:tc>
          <w:tcPr>
            <w:tcW w:w="3967" w:type="dxa"/>
            <w:tcBorders>
              <w:top w:val="nil"/>
              <w:left w:val="nil"/>
              <w:bottom w:val="nil"/>
              <w:right w:val="nil"/>
            </w:tcBorders>
          </w:tcPr>
          <w:p w14:paraId="495D83EC"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Yes</w:t>
            </w:r>
          </w:p>
        </w:tc>
        <w:tc>
          <w:tcPr>
            <w:tcW w:w="1631" w:type="dxa"/>
            <w:tcBorders>
              <w:top w:val="nil"/>
              <w:left w:val="nil"/>
              <w:bottom w:val="nil"/>
              <w:right w:val="nil"/>
            </w:tcBorders>
            <w:vAlign w:val="center"/>
          </w:tcPr>
          <w:p w14:paraId="239ACCC7"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5</w:t>
            </w:r>
            <w:r>
              <w:rPr>
                <w:rFonts w:ascii="Times New Roman" w:hAnsi="Times New Roman" w:cs="Times New Roman"/>
              </w:rPr>
              <w:t>,</w:t>
            </w:r>
            <w:r w:rsidRPr="006924F3">
              <w:rPr>
                <w:rFonts w:ascii="Times New Roman" w:hAnsi="Times New Roman" w:cs="Times New Roman"/>
              </w:rPr>
              <w:t>072</w:t>
            </w:r>
          </w:p>
        </w:tc>
        <w:tc>
          <w:tcPr>
            <w:tcW w:w="1866" w:type="dxa"/>
            <w:tcBorders>
              <w:top w:val="nil"/>
              <w:left w:val="nil"/>
              <w:bottom w:val="nil"/>
              <w:right w:val="nil"/>
            </w:tcBorders>
            <w:vAlign w:val="center"/>
          </w:tcPr>
          <w:p w14:paraId="04AEB22F"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29.0</w:t>
            </w:r>
          </w:p>
        </w:tc>
        <w:tc>
          <w:tcPr>
            <w:tcW w:w="2179" w:type="dxa"/>
            <w:tcBorders>
              <w:top w:val="nil"/>
              <w:left w:val="nil"/>
              <w:bottom w:val="nil"/>
              <w:right w:val="nil"/>
            </w:tcBorders>
            <w:vAlign w:val="center"/>
          </w:tcPr>
          <w:p w14:paraId="3CF657EB"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28.4-29.7</w:t>
            </w:r>
          </w:p>
        </w:tc>
      </w:tr>
      <w:tr w:rsidR="00160EDF" w14:paraId="461B0B99" w14:textId="77777777" w:rsidTr="004B40E0">
        <w:trPr>
          <w:trHeight w:val="190"/>
        </w:trPr>
        <w:tc>
          <w:tcPr>
            <w:tcW w:w="3967" w:type="dxa"/>
            <w:tcBorders>
              <w:top w:val="nil"/>
              <w:left w:val="nil"/>
              <w:bottom w:val="nil"/>
              <w:right w:val="nil"/>
            </w:tcBorders>
          </w:tcPr>
          <w:p w14:paraId="3F9FE8DB"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rPr>
              <w:t xml:space="preserve">     No</w:t>
            </w:r>
          </w:p>
        </w:tc>
        <w:tc>
          <w:tcPr>
            <w:tcW w:w="1631" w:type="dxa"/>
            <w:tcBorders>
              <w:top w:val="nil"/>
              <w:left w:val="nil"/>
              <w:bottom w:val="nil"/>
              <w:right w:val="nil"/>
            </w:tcBorders>
            <w:vAlign w:val="center"/>
          </w:tcPr>
          <w:p w14:paraId="74B4E156"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12</w:t>
            </w:r>
            <w:r>
              <w:rPr>
                <w:rFonts w:ascii="Times New Roman" w:hAnsi="Times New Roman" w:cs="Times New Roman"/>
              </w:rPr>
              <w:t>,</w:t>
            </w:r>
            <w:r w:rsidRPr="006924F3">
              <w:rPr>
                <w:rFonts w:ascii="Times New Roman" w:hAnsi="Times New Roman" w:cs="Times New Roman"/>
              </w:rPr>
              <w:t>392</w:t>
            </w:r>
          </w:p>
        </w:tc>
        <w:tc>
          <w:tcPr>
            <w:tcW w:w="1866" w:type="dxa"/>
            <w:tcBorders>
              <w:top w:val="nil"/>
              <w:left w:val="nil"/>
              <w:bottom w:val="nil"/>
              <w:right w:val="nil"/>
            </w:tcBorders>
            <w:vAlign w:val="center"/>
          </w:tcPr>
          <w:p w14:paraId="5A35A0E5"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71.0</w:t>
            </w:r>
          </w:p>
        </w:tc>
        <w:tc>
          <w:tcPr>
            <w:tcW w:w="2179" w:type="dxa"/>
            <w:tcBorders>
              <w:top w:val="nil"/>
              <w:left w:val="nil"/>
              <w:bottom w:val="nil"/>
              <w:right w:val="nil"/>
            </w:tcBorders>
            <w:vAlign w:val="center"/>
          </w:tcPr>
          <w:p w14:paraId="566A4662"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70.3-71.6</w:t>
            </w:r>
          </w:p>
        </w:tc>
      </w:tr>
      <w:tr w:rsidR="004B40E0" w14:paraId="3804FF38" w14:textId="77777777" w:rsidTr="004B40E0">
        <w:trPr>
          <w:trHeight w:val="190"/>
        </w:trPr>
        <w:tc>
          <w:tcPr>
            <w:tcW w:w="3967" w:type="dxa"/>
            <w:tcBorders>
              <w:top w:val="nil"/>
              <w:left w:val="nil"/>
              <w:bottom w:val="nil"/>
              <w:right w:val="nil"/>
            </w:tcBorders>
          </w:tcPr>
          <w:p w14:paraId="43568226" w14:textId="77777777" w:rsidR="004B40E0" w:rsidRPr="006924F3" w:rsidRDefault="004B40E0" w:rsidP="00D906FC">
            <w:pPr>
              <w:rPr>
                <w:rFonts w:ascii="Times New Roman" w:hAnsi="Times New Roman" w:cs="Times New Roman"/>
              </w:rPr>
            </w:pPr>
          </w:p>
        </w:tc>
        <w:tc>
          <w:tcPr>
            <w:tcW w:w="1631" w:type="dxa"/>
            <w:tcBorders>
              <w:top w:val="nil"/>
              <w:left w:val="nil"/>
              <w:bottom w:val="nil"/>
              <w:right w:val="nil"/>
            </w:tcBorders>
            <w:vAlign w:val="center"/>
          </w:tcPr>
          <w:p w14:paraId="68CBD71A" w14:textId="77777777" w:rsidR="004B40E0" w:rsidRPr="006924F3" w:rsidRDefault="004B40E0" w:rsidP="00D906FC">
            <w:pPr>
              <w:jc w:val="center"/>
              <w:rPr>
                <w:rFonts w:ascii="Times New Roman" w:hAnsi="Times New Roman" w:cs="Times New Roman"/>
              </w:rPr>
            </w:pPr>
          </w:p>
        </w:tc>
        <w:tc>
          <w:tcPr>
            <w:tcW w:w="1866" w:type="dxa"/>
            <w:tcBorders>
              <w:top w:val="nil"/>
              <w:left w:val="nil"/>
              <w:bottom w:val="nil"/>
              <w:right w:val="nil"/>
            </w:tcBorders>
            <w:vAlign w:val="center"/>
          </w:tcPr>
          <w:p w14:paraId="6F07DE7A" w14:textId="77777777" w:rsidR="004B40E0" w:rsidRPr="006924F3" w:rsidRDefault="004B40E0" w:rsidP="00D906FC">
            <w:pPr>
              <w:jc w:val="center"/>
              <w:rPr>
                <w:rFonts w:ascii="Times New Roman" w:hAnsi="Times New Roman" w:cs="Times New Roman"/>
              </w:rPr>
            </w:pPr>
          </w:p>
        </w:tc>
        <w:tc>
          <w:tcPr>
            <w:tcW w:w="2179" w:type="dxa"/>
            <w:tcBorders>
              <w:top w:val="nil"/>
              <w:left w:val="nil"/>
              <w:bottom w:val="nil"/>
              <w:right w:val="nil"/>
            </w:tcBorders>
            <w:vAlign w:val="center"/>
          </w:tcPr>
          <w:p w14:paraId="1BEEECF4" w14:textId="77777777" w:rsidR="004B40E0" w:rsidRPr="006924F3" w:rsidRDefault="004B40E0" w:rsidP="00D906FC">
            <w:pPr>
              <w:jc w:val="center"/>
              <w:rPr>
                <w:rFonts w:ascii="Times New Roman" w:hAnsi="Times New Roman" w:cs="Times New Roman"/>
              </w:rPr>
            </w:pPr>
          </w:p>
        </w:tc>
      </w:tr>
      <w:tr w:rsidR="00160EDF" w14:paraId="054F3266" w14:textId="77777777" w:rsidTr="00746524">
        <w:trPr>
          <w:trHeight w:val="190"/>
        </w:trPr>
        <w:tc>
          <w:tcPr>
            <w:tcW w:w="3967" w:type="dxa"/>
            <w:tcBorders>
              <w:top w:val="single" w:sz="12" w:space="0" w:color="auto"/>
              <w:left w:val="nil"/>
              <w:bottom w:val="nil"/>
              <w:right w:val="nil"/>
            </w:tcBorders>
          </w:tcPr>
          <w:p w14:paraId="1698B8F0"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b/>
                <w:bCs/>
              </w:rPr>
              <w:lastRenderedPageBreak/>
              <w:t>Duration of Employment</w:t>
            </w:r>
          </w:p>
        </w:tc>
        <w:tc>
          <w:tcPr>
            <w:tcW w:w="1631" w:type="dxa"/>
            <w:tcBorders>
              <w:top w:val="single" w:sz="12" w:space="0" w:color="auto"/>
              <w:left w:val="nil"/>
              <w:bottom w:val="nil"/>
              <w:right w:val="nil"/>
            </w:tcBorders>
            <w:vAlign w:val="center"/>
          </w:tcPr>
          <w:p w14:paraId="7BFB862E"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488</w:t>
            </w:r>
          </w:p>
        </w:tc>
        <w:tc>
          <w:tcPr>
            <w:tcW w:w="1866" w:type="dxa"/>
            <w:tcBorders>
              <w:top w:val="single" w:sz="12" w:space="0" w:color="auto"/>
              <w:left w:val="nil"/>
              <w:bottom w:val="nil"/>
              <w:right w:val="nil"/>
            </w:tcBorders>
            <w:vAlign w:val="center"/>
          </w:tcPr>
          <w:p w14:paraId="7B579F59" w14:textId="77777777" w:rsidR="00160EDF" w:rsidRPr="006924F3" w:rsidRDefault="00160EDF" w:rsidP="00D906FC">
            <w:pPr>
              <w:jc w:val="center"/>
              <w:rPr>
                <w:rFonts w:ascii="Times New Roman" w:hAnsi="Times New Roman" w:cs="Times New Roman"/>
              </w:rPr>
            </w:pPr>
          </w:p>
        </w:tc>
        <w:tc>
          <w:tcPr>
            <w:tcW w:w="2179" w:type="dxa"/>
            <w:tcBorders>
              <w:top w:val="single" w:sz="12" w:space="0" w:color="auto"/>
              <w:left w:val="nil"/>
              <w:bottom w:val="nil"/>
              <w:right w:val="nil"/>
            </w:tcBorders>
            <w:vAlign w:val="center"/>
          </w:tcPr>
          <w:p w14:paraId="6B891749" w14:textId="77777777" w:rsidR="00160EDF" w:rsidRPr="006924F3" w:rsidRDefault="00160EDF" w:rsidP="00D906FC">
            <w:pPr>
              <w:jc w:val="center"/>
              <w:rPr>
                <w:rFonts w:ascii="Times New Roman" w:hAnsi="Times New Roman" w:cs="Times New Roman"/>
              </w:rPr>
            </w:pPr>
          </w:p>
        </w:tc>
      </w:tr>
      <w:tr w:rsidR="00160EDF" w14:paraId="63BB6C44" w14:textId="77777777" w:rsidTr="00D906FC">
        <w:trPr>
          <w:trHeight w:val="190"/>
        </w:trPr>
        <w:tc>
          <w:tcPr>
            <w:tcW w:w="3967" w:type="dxa"/>
            <w:tcBorders>
              <w:top w:val="nil"/>
              <w:left w:val="nil"/>
              <w:bottom w:val="nil"/>
              <w:right w:val="nil"/>
            </w:tcBorders>
          </w:tcPr>
          <w:p w14:paraId="4A4D35AA"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rPr>
              <w:t xml:space="preserve">     &lt; 5 years</w:t>
            </w:r>
          </w:p>
        </w:tc>
        <w:tc>
          <w:tcPr>
            <w:tcW w:w="1631" w:type="dxa"/>
            <w:tcBorders>
              <w:top w:val="nil"/>
              <w:left w:val="nil"/>
              <w:bottom w:val="nil"/>
              <w:right w:val="nil"/>
            </w:tcBorders>
            <w:vAlign w:val="center"/>
          </w:tcPr>
          <w:p w14:paraId="0F10A6F5"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rPr>
              <w:t>5</w:t>
            </w:r>
            <w:r>
              <w:rPr>
                <w:rFonts w:ascii="Times New Roman" w:hAnsi="Times New Roman" w:cs="Times New Roman"/>
              </w:rPr>
              <w:t>,</w:t>
            </w:r>
            <w:r w:rsidRPr="006924F3">
              <w:rPr>
                <w:rFonts w:ascii="Times New Roman" w:hAnsi="Times New Roman" w:cs="Times New Roman"/>
              </w:rPr>
              <w:t>605</w:t>
            </w:r>
          </w:p>
        </w:tc>
        <w:tc>
          <w:tcPr>
            <w:tcW w:w="1866" w:type="dxa"/>
            <w:tcBorders>
              <w:top w:val="nil"/>
              <w:left w:val="nil"/>
              <w:bottom w:val="nil"/>
              <w:right w:val="nil"/>
            </w:tcBorders>
            <w:vAlign w:val="center"/>
          </w:tcPr>
          <w:p w14:paraId="0CE1C393"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32.1</w:t>
            </w:r>
          </w:p>
        </w:tc>
        <w:tc>
          <w:tcPr>
            <w:tcW w:w="2179" w:type="dxa"/>
            <w:tcBorders>
              <w:top w:val="nil"/>
              <w:left w:val="nil"/>
              <w:bottom w:val="nil"/>
              <w:right w:val="nil"/>
            </w:tcBorders>
            <w:vAlign w:val="center"/>
          </w:tcPr>
          <w:p w14:paraId="4C188537"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31.4-32.8</w:t>
            </w:r>
          </w:p>
        </w:tc>
      </w:tr>
      <w:tr w:rsidR="00160EDF" w14:paraId="65F23D1D" w14:textId="77777777" w:rsidTr="00D906FC">
        <w:trPr>
          <w:trHeight w:val="190"/>
        </w:trPr>
        <w:tc>
          <w:tcPr>
            <w:tcW w:w="3967" w:type="dxa"/>
            <w:tcBorders>
              <w:top w:val="nil"/>
              <w:left w:val="nil"/>
              <w:bottom w:val="nil"/>
              <w:right w:val="nil"/>
            </w:tcBorders>
          </w:tcPr>
          <w:p w14:paraId="28354C04"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rPr>
              <w:t xml:space="preserve">     5-9 years</w:t>
            </w:r>
          </w:p>
        </w:tc>
        <w:tc>
          <w:tcPr>
            <w:tcW w:w="1631" w:type="dxa"/>
            <w:tcBorders>
              <w:top w:val="nil"/>
              <w:left w:val="nil"/>
              <w:bottom w:val="nil"/>
              <w:right w:val="nil"/>
            </w:tcBorders>
            <w:vAlign w:val="center"/>
          </w:tcPr>
          <w:p w14:paraId="1FB1EABB"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rPr>
              <w:t>2</w:t>
            </w:r>
            <w:r>
              <w:rPr>
                <w:rFonts w:ascii="Times New Roman" w:hAnsi="Times New Roman" w:cs="Times New Roman"/>
              </w:rPr>
              <w:t>,</w:t>
            </w:r>
            <w:r w:rsidRPr="006924F3">
              <w:rPr>
                <w:rFonts w:ascii="Times New Roman" w:hAnsi="Times New Roman" w:cs="Times New Roman"/>
              </w:rPr>
              <w:t>886</w:t>
            </w:r>
          </w:p>
        </w:tc>
        <w:tc>
          <w:tcPr>
            <w:tcW w:w="1866" w:type="dxa"/>
            <w:tcBorders>
              <w:top w:val="nil"/>
              <w:left w:val="nil"/>
              <w:bottom w:val="nil"/>
              <w:right w:val="nil"/>
            </w:tcBorders>
            <w:vAlign w:val="center"/>
          </w:tcPr>
          <w:p w14:paraId="0786C108"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16.5</w:t>
            </w:r>
          </w:p>
        </w:tc>
        <w:tc>
          <w:tcPr>
            <w:tcW w:w="2179" w:type="dxa"/>
            <w:tcBorders>
              <w:top w:val="nil"/>
              <w:left w:val="nil"/>
              <w:bottom w:val="nil"/>
              <w:right w:val="nil"/>
            </w:tcBorders>
            <w:vAlign w:val="center"/>
          </w:tcPr>
          <w:p w14:paraId="57A8131E"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16.0-17.1</w:t>
            </w:r>
          </w:p>
        </w:tc>
      </w:tr>
      <w:tr w:rsidR="00160EDF" w14:paraId="0EEA9D41" w14:textId="77777777" w:rsidTr="00D906FC">
        <w:trPr>
          <w:trHeight w:val="190"/>
        </w:trPr>
        <w:tc>
          <w:tcPr>
            <w:tcW w:w="3967" w:type="dxa"/>
            <w:tcBorders>
              <w:top w:val="nil"/>
              <w:left w:val="nil"/>
              <w:bottom w:val="nil"/>
              <w:right w:val="nil"/>
            </w:tcBorders>
          </w:tcPr>
          <w:p w14:paraId="191F6BDC"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rPr>
              <w:t xml:space="preserve">     10-14 years</w:t>
            </w:r>
          </w:p>
        </w:tc>
        <w:tc>
          <w:tcPr>
            <w:tcW w:w="1631" w:type="dxa"/>
            <w:tcBorders>
              <w:top w:val="nil"/>
              <w:left w:val="nil"/>
              <w:bottom w:val="nil"/>
              <w:right w:val="nil"/>
            </w:tcBorders>
            <w:vAlign w:val="center"/>
          </w:tcPr>
          <w:p w14:paraId="6579A718"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rPr>
              <w:t>2</w:t>
            </w:r>
            <w:r>
              <w:rPr>
                <w:rFonts w:ascii="Times New Roman" w:hAnsi="Times New Roman" w:cs="Times New Roman"/>
              </w:rPr>
              <w:t>,</w:t>
            </w:r>
            <w:r w:rsidRPr="006924F3">
              <w:rPr>
                <w:rFonts w:ascii="Times New Roman" w:hAnsi="Times New Roman" w:cs="Times New Roman"/>
              </w:rPr>
              <w:t>008</w:t>
            </w:r>
          </w:p>
        </w:tc>
        <w:tc>
          <w:tcPr>
            <w:tcW w:w="1866" w:type="dxa"/>
            <w:tcBorders>
              <w:top w:val="nil"/>
              <w:left w:val="nil"/>
              <w:bottom w:val="nil"/>
              <w:right w:val="nil"/>
            </w:tcBorders>
            <w:vAlign w:val="center"/>
          </w:tcPr>
          <w:p w14:paraId="070C2B33"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11.5</w:t>
            </w:r>
          </w:p>
        </w:tc>
        <w:tc>
          <w:tcPr>
            <w:tcW w:w="2179" w:type="dxa"/>
            <w:tcBorders>
              <w:top w:val="nil"/>
              <w:left w:val="nil"/>
              <w:bottom w:val="nil"/>
              <w:right w:val="nil"/>
            </w:tcBorders>
            <w:vAlign w:val="center"/>
          </w:tcPr>
          <w:p w14:paraId="78E1F115"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11.0-12.0</w:t>
            </w:r>
          </w:p>
        </w:tc>
      </w:tr>
      <w:tr w:rsidR="00160EDF" w14:paraId="3D538283" w14:textId="77777777" w:rsidTr="00D906FC">
        <w:trPr>
          <w:trHeight w:val="190"/>
        </w:trPr>
        <w:tc>
          <w:tcPr>
            <w:tcW w:w="3967" w:type="dxa"/>
            <w:tcBorders>
              <w:top w:val="nil"/>
              <w:left w:val="nil"/>
              <w:bottom w:val="nil"/>
              <w:right w:val="nil"/>
            </w:tcBorders>
          </w:tcPr>
          <w:p w14:paraId="599F8C5F"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rPr>
              <w:t xml:space="preserve">     15-19 years</w:t>
            </w:r>
          </w:p>
        </w:tc>
        <w:tc>
          <w:tcPr>
            <w:tcW w:w="1631" w:type="dxa"/>
            <w:tcBorders>
              <w:top w:val="nil"/>
              <w:left w:val="nil"/>
              <w:bottom w:val="nil"/>
              <w:right w:val="nil"/>
            </w:tcBorders>
            <w:vAlign w:val="center"/>
          </w:tcPr>
          <w:p w14:paraId="58D8F678"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rPr>
              <w:t>1</w:t>
            </w:r>
            <w:r>
              <w:rPr>
                <w:rFonts w:ascii="Times New Roman" w:hAnsi="Times New Roman" w:cs="Times New Roman"/>
              </w:rPr>
              <w:t>,</w:t>
            </w:r>
            <w:r w:rsidRPr="006924F3">
              <w:rPr>
                <w:rFonts w:ascii="Times New Roman" w:hAnsi="Times New Roman" w:cs="Times New Roman"/>
              </w:rPr>
              <w:t>551</w:t>
            </w:r>
          </w:p>
        </w:tc>
        <w:tc>
          <w:tcPr>
            <w:tcW w:w="1866" w:type="dxa"/>
            <w:tcBorders>
              <w:top w:val="nil"/>
              <w:left w:val="nil"/>
              <w:bottom w:val="nil"/>
              <w:right w:val="nil"/>
            </w:tcBorders>
            <w:vAlign w:val="center"/>
          </w:tcPr>
          <w:p w14:paraId="16745142"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8.9</w:t>
            </w:r>
          </w:p>
        </w:tc>
        <w:tc>
          <w:tcPr>
            <w:tcW w:w="2179" w:type="dxa"/>
            <w:tcBorders>
              <w:top w:val="nil"/>
              <w:left w:val="nil"/>
              <w:bottom w:val="nil"/>
              <w:right w:val="nil"/>
            </w:tcBorders>
            <w:vAlign w:val="center"/>
          </w:tcPr>
          <w:p w14:paraId="075E0787"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8.5-9.3</w:t>
            </w:r>
          </w:p>
        </w:tc>
      </w:tr>
      <w:tr w:rsidR="00160EDF" w14:paraId="3E367DE8" w14:textId="77777777" w:rsidTr="00D906FC">
        <w:trPr>
          <w:trHeight w:val="190"/>
        </w:trPr>
        <w:tc>
          <w:tcPr>
            <w:tcW w:w="3967" w:type="dxa"/>
            <w:tcBorders>
              <w:top w:val="nil"/>
              <w:left w:val="nil"/>
              <w:bottom w:val="nil"/>
              <w:right w:val="nil"/>
            </w:tcBorders>
          </w:tcPr>
          <w:p w14:paraId="47C2A578"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rPr>
              <w:t xml:space="preserve">     20-24 years</w:t>
            </w:r>
          </w:p>
        </w:tc>
        <w:tc>
          <w:tcPr>
            <w:tcW w:w="1631" w:type="dxa"/>
            <w:tcBorders>
              <w:top w:val="nil"/>
              <w:left w:val="nil"/>
              <w:bottom w:val="nil"/>
              <w:right w:val="nil"/>
            </w:tcBorders>
            <w:vAlign w:val="center"/>
          </w:tcPr>
          <w:p w14:paraId="1152CA2F"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rPr>
              <w:t>1</w:t>
            </w:r>
            <w:r>
              <w:rPr>
                <w:rFonts w:ascii="Times New Roman" w:hAnsi="Times New Roman" w:cs="Times New Roman"/>
              </w:rPr>
              <w:t>,</w:t>
            </w:r>
            <w:r w:rsidRPr="006924F3">
              <w:rPr>
                <w:rFonts w:ascii="Times New Roman" w:hAnsi="Times New Roman" w:cs="Times New Roman"/>
              </w:rPr>
              <w:t>375</w:t>
            </w:r>
          </w:p>
        </w:tc>
        <w:tc>
          <w:tcPr>
            <w:tcW w:w="1866" w:type="dxa"/>
            <w:tcBorders>
              <w:top w:val="nil"/>
              <w:left w:val="nil"/>
              <w:bottom w:val="nil"/>
              <w:right w:val="nil"/>
            </w:tcBorders>
            <w:vAlign w:val="center"/>
          </w:tcPr>
          <w:p w14:paraId="30231B88"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7.9</w:t>
            </w:r>
          </w:p>
        </w:tc>
        <w:tc>
          <w:tcPr>
            <w:tcW w:w="2179" w:type="dxa"/>
            <w:tcBorders>
              <w:top w:val="nil"/>
              <w:left w:val="nil"/>
              <w:bottom w:val="nil"/>
              <w:right w:val="nil"/>
            </w:tcBorders>
            <w:vAlign w:val="center"/>
          </w:tcPr>
          <w:p w14:paraId="4DE3FB8F"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7.5-8.3</w:t>
            </w:r>
          </w:p>
        </w:tc>
      </w:tr>
      <w:tr w:rsidR="00160EDF" w14:paraId="5A431A1F" w14:textId="77777777" w:rsidTr="004B40E0">
        <w:trPr>
          <w:trHeight w:val="190"/>
        </w:trPr>
        <w:tc>
          <w:tcPr>
            <w:tcW w:w="3967" w:type="dxa"/>
            <w:tcBorders>
              <w:top w:val="nil"/>
              <w:left w:val="nil"/>
              <w:bottom w:val="nil"/>
              <w:right w:val="nil"/>
            </w:tcBorders>
          </w:tcPr>
          <w:p w14:paraId="4B8908C5"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rPr>
              <w:t xml:space="preserve">     25-29 years</w:t>
            </w:r>
          </w:p>
        </w:tc>
        <w:tc>
          <w:tcPr>
            <w:tcW w:w="1631" w:type="dxa"/>
            <w:tcBorders>
              <w:top w:val="nil"/>
              <w:left w:val="nil"/>
              <w:bottom w:val="nil"/>
              <w:right w:val="nil"/>
            </w:tcBorders>
            <w:vAlign w:val="center"/>
          </w:tcPr>
          <w:p w14:paraId="63223F16"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rPr>
              <w:t>1</w:t>
            </w:r>
            <w:r>
              <w:rPr>
                <w:rFonts w:ascii="Times New Roman" w:hAnsi="Times New Roman" w:cs="Times New Roman"/>
              </w:rPr>
              <w:t>,</w:t>
            </w:r>
            <w:r w:rsidRPr="006924F3">
              <w:rPr>
                <w:rFonts w:ascii="Times New Roman" w:hAnsi="Times New Roman" w:cs="Times New Roman"/>
              </w:rPr>
              <w:t>229</w:t>
            </w:r>
          </w:p>
        </w:tc>
        <w:tc>
          <w:tcPr>
            <w:tcW w:w="1866" w:type="dxa"/>
            <w:tcBorders>
              <w:top w:val="nil"/>
              <w:left w:val="nil"/>
              <w:bottom w:val="nil"/>
              <w:right w:val="nil"/>
            </w:tcBorders>
            <w:vAlign w:val="center"/>
          </w:tcPr>
          <w:p w14:paraId="33DB20CF"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7.0</w:t>
            </w:r>
          </w:p>
        </w:tc>
        <w:tc>
          <w:tcPr>
            <w:tcW w:w="2179" w:type="dxa"/>
            <w:tcBorders>
              <w:top w:val="nil"/>
              <w:left w:val="nil"/>
              <w:bottom w:val="nil"/>
              <w:right w:val="nil"/>
            </w:tcBorders>
            <w:vAlign w:val="center"/>
          </w:tcPr>
          <w:p w14:paraId="78867BAA"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6.7-7.4</w:t>
            </w:r>
          </w:p>
        </w:tc>
      </w:tr>
      <w:tr w:rsidR="00160EDF" w14:paraId="145AA0A5" w14:textId="77777777" w:rsidTr="004B40E0">
        <w:trPr>
          <w:trHeight w:val="190"/>
        </w:trPr>
        <w:tc>
          <w:tcPr>
            <w:tcW w:w="3967" w:type="dxa"/>
            <w:tcBorders>
              <w:top w:val="nil"/>
              <w:left w:val="nil"/>
              <w:bottom w:val="nil"/>
              <w:right w:val="nil"/>
            </w:tcBorders>
          </w:tcPr>
          <w:p w14:paraId="5B4E10B8"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rPr>
              <w:t xml:space="preserve">     ≥ 30 years</w:t>
            </w:r>
          </w:p>
        </w:tc>
        <w:tc>
          <w:tcPr>
            <w:tcW w:w="1631" w:type="dxa"/>
            <w:tcBorders>
              <w:top w:val="nil"/>
              <w:left w:val="nil"/>
              <w:bottom w:val="nil"/>
              <w:right w:val="nil"/>
            </w:tcBorders>
            <w:vAlign w:val="center"/>
          </w:tcPr>
          <w:p w14:paraId="5CE44D8A"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rPr>
              <w:t>2</w:t>
            </w:r>
            <w:r>
              <w:rPr>
                <w:rFonts w:ascii="Times New Roman" w:hAnsi="Times New Roman" w:cs="Times New Roman"/>
              </w:rPr>
              <w:t>,</w:t>
            </w:r>
            <w:r w:rsidRPr="006924F3">
              <w:rPr>
                <w:rFonts w:ascii="Times New Roman" w:hAnsi="Times New Roman" w:cs="Times New Roman"/>
              </w:rPr>
              <w:t>834</w:t>
            </w:r>
          </w:p>
        </w:tc>
        <w:tc>
          <w:tcPr>
            <w:tcW w:w="1866" w:type="dxa"/>
            <w:tcBorders>
              <w:top w:val="nil"/>
              <w:left w:val="nil"/>
              <w:bottom w:val="nil"/>
              <w:right w:val="nil"/>
            </w:tcBorders>
            <w:vAlign w:val="center"/>
          </w:tcPr>
          <w:p w14:paraId="3D7F9A26"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16.2</w:t>
            </w:r>
          </w:p>
        </w:tc>
        <w:tc>
          <w:tcPr>
            <w:tcW w:w="2179" w:type="dxa"/>
            <w:tcBorders>
              <w:top w:val="nil"/>
              <w:left w:val="nil"/>
              <w:bottom w:val="nil"/>
              <w:right w:val="nil"/>
            </w:tcBorders>
            <w:vAlign w:val="center"/>
          </w:tcPr>
          <w:p w14:paraId="634976AC"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15.7-16.8</w:t>
            </w:r>
          </w:p>
        </w:tc>
      </w:tr>
      <w:tr w:rsidR="00160EDF" w14:paraId="0E8BF8E3" w14:textId="77777777" w:rsidTr="004B40E0">
        <w:trPr>
          <w:trHeight w:val="190"/>
        </w:trPr>
        <w:tc>
          <w:tcPr>
            <w:tcW w:w="3967" w:type="dxa"/>
            <w:tcBorders>
              <w:top w:val="nil"/>
              <w:left w:val="nil"/>
              <w:bottom w:val="nil"/>
              <w:right w:val="nil"/>
            </w:tcBorders>
          </w:tcPr>
          <w:p w14:paraId="73D18C97"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b/>
                <w:bCs/>
              </w:rPr>
              <w:t>Shortness of Breath</w:t>
            </w:r>
          </w:p>
        </w:tc>
        <w:tc>
          <w:tcPr>
            <w:tcW w:w="1631" w:type="dxa"/>
            <w:tcBorders>
              <w:top w:val="nil"/>
              <w:left w:val="nil"/>
              <w:bottom w:val="nil"/>
              <w:right w:val="nil"/>
            </w:tcBorders>
            <w:vAlign w:val="center"/>
          </w:tcPr>
          <w:p w14:paraId="490B74F7"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465</w:t>
            </w:r>
          </w:p>
        </w:tc>
        <w:tc>
          <w:tcPr>
            <w:tcW w:w="1866" w:type="dxa"/>
            <w:tcBorders>
              <w:top w:val="nil"/>
              <w:left w:val="nil"/>
              <w:bottom w:val="nil"/>
              <w:right w:val="nil"/>
            </w:tcBorders>
            <w:vAlign w:val="center"/>
          </w:tcPr>
          <w:p w14:paraId="57930829"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3EAD0455" w14:textId="77777777" w:rsidR="00160EDF" w:rsidRPr="006924F3" w:rsidRDefault="00160EDF" w:rsidP="00D906FC">
            <w:pPr>
              <w:jc w:val="center"/>
              <w:rPr>
                <w:rFonts w:ascii="Times New Roman" w:hAnsi="Times New Roman" w:cs="Times New Roman"/>
              </w:rPr>
            </w:pPr>
          </w:p>
        </w:tc>
      </w:tr>
      <w:tr w:rsidR="00160EDF" w14:paraId="5EDECDB0" w14:textId="77777777" w:rsidTr="00D906FC">
        <w:trPr>
          <w:trHeight w:val="190"/>
        </w:trPr>
        <w:tc>
          <w:tcPr>
            <w:tcW w:w="3967" w:type="dxa"/>
            <w:tcBorders>
              <w:top w:val="nil"/>
              <w:left w:val="nil"/>
              <w:bottom w:val="nil"/>
              <w:right w:val="nil"/>
            </w:tcBorders>
          </w:tcPr>
          <w:p w14:paraId="2AD7E54C"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rPr>
              <w:t xml:space="preserve">     Yes</w:t>
            </w:r>
          </w:p>
        </w:tc>
        <w:tc>
          <w:tcPr>
            <w:tcW w:w="1631" w:type="dxa"/>
            <w:tcBorders>
              <w:top w:val="nil"/>
              <w:left w:val="nil"/>
              <w:bottom w:val="nil"/>
              <w:right w:val="nil"/>
            </w:tcBorders>
            <w:vAlign w:val="center"/>
          </w:tcPr>
          <w:p w14:paraId="37845D5E"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rPr>
              <w:t>7</w:t>
            </w:r>
            <w:r>
              <w:rPr>
                <w:rFonts w:ascii="Times New Roman" w:hAnsi="Times New Roman" w:cs="Times New Roman"/>
              </w:rPr>
              <w:t>,</w:t>
            </w:r>
            <w:r w:rsidRPr="006924F3">
              <w:rPr>
                <w:rFonts w:ascii="Times New Roman" w:hAnsi="Times New Roman" w:cs="Times New Roman"/>
              </w:rPr>
              <w:t>618</w:t>
            </w:r>
          </w:p>
        </w:tc>
        <w:tc>
          <w:tcPr>
            <w:tcW w:w="1866" w:type="dxa"/>
            <w:tcBorders>
              <w:top w:val="nil"/>
              <w:left w:val="nil"/>
              <w:bottom w:val="nil"/>
              <w:right w:val="nil"/>
            </w:tcBorders>
            <w:vAlign w:val="center"/>
          </w:tcPr>
          <w:p w14:paraId="6BFEA0EF"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43.6</w:t>
            </w:r>
          </w:p>
        </w:tc>
        <w:tc>
          <w:tcPr>
            <w:tcW w:w="2179" w:type="dxa"/>
            <w:tcBorders>
              <w:top w:val="nil"/>
              <w:left w:val="nil"/>
              <w:bottom w:val="nil"/>
              <w:right w:val="nil"/>
            </w:tcBorders>
            <w:vAlign w:val="center"/>
          </w:tcPr>
          <w:p w14:paraId="2270DD19"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42.9-44.4</w:t>
            </w:r>
          </w:p>
        </w:tc>
      </w:tr>
      <w:tr w:rsidR="00160EDF" w14:paraId="7E29DBBF" w14:textId="77777777" w:rsidTr="004B40E0">
        <w:trPr>
          <w:trHeight w:val="190"/>
        </w:trPr>
        <w:tc>
          <w:tcPr>
            <w:tcW w:w="3967" w:type="dxa"/>
            <w:tcBorders>
              <w:top w:val="nil"/>
              <w:left w:val="nil"/>
              <w:bottom w:val="nil"/>
              <w:right w:val="nil"/>
            </w:tcBorders>
          </w:tcPr>
          <w:p w14:paraId="2485CF54"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rPr>
              <w:t xml:space="preserve">     No</w:t>
            </w:r>
          </w:p>
        </w:tc>
        <w:tc>
          <w:tcPr>
            <w:tcW w:w="1631" w:type="dxa"/>
            <w:tcBorders>
              <w:top w:val="nil"/>
              <w:left w:val="nil"/>
              <w:bottom w:val="nil"/>
              <w:right w:val="nil"/>
            </w:tcBorders>
            <w:vAlign w:val="center"/>
          </w:tcPr>
          <w:p w14:paraId="3C6F7CB1"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rPr>
              <w:t>9</w:t>
            </w:r>
            <w:r>
              <w:rPr>
                <w:rFonts w:ascii="Times New Roman" w:hAnsi="Times New Roman" w:cs="Times New Roman"/>
              </w:rPr>
              <w:t>,</w:t>
            </w:r>
            <w:r w:rsidRPr="006924F3">
              <w:rPr>
                <w:rFonts w:ascii="Times New Roman" w:hAnsi="Times New Roman" w:cs="Times New Roman"/>
              </w:rPr>
              <w:t>847</w:t>
            </w:r>
          </w:p>
        </w:tc>
        <w:tc>
          <w:tcPr>
            <w:tcW w:w="1866" w:type="dxa"/>
            <w:tcBorders>
              <w:top w:val="nil"/>
              <w:left w:val="nil"/>
              <w:bottom w:val="nil"/>
              <w:right w:val="nil"/>
            </w:tcBorders>
            <w:vAlign w:val="center"/>
          </w:tcPr>
          <w:p w14:paraId="1C0F6E77"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56.4</w:t>
            </w:r>
          </w:p>
        </w:tc>
        <w:tc>
          <w:tcPr>
            <w:tcW w:w="2179" w:type="dxa"/>
            <w:tcBorders>
              <w:top w:val="nil"/>
              <w:left w:val="nil"/>
              <w:bottom w:val="nil"/>
              <w:right w:val="nil"/>
            </w:tcBorders>
            <w:vAlign w:val="center"/>
          </w:tcPr>
          <w:p w14:paraId="170D8EBE"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55.7-57.1</w:t>
            </w:r>
          </w:p>
        </w:tc>
      </w:tr>
      <w:tr w:rsidR="00160EDF" w14:paraId="59C574AE" w14:textId="77777777" w:rsidTr="004B40E0">
        <w:trPr>
          <w:trHeight w:val="190"/>
        </w:trPr>
        <w:tc>
          <w:tcPr>
            <w:tcW w:w="3967" w:type="dxa"/>
            <w:tcBorders>
              <w:top w:val="nil"/>
              <w:left w:val="nil"/>
              <w:bottom w:val="nil"/>
              <w:right w:val="nil"/>
            </w:tcBorders>
          </w:tcPr>
          <w:p w14:paraId="26E02E97"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b/>
                <w:bCs/>
              </w:rPr>
              <w:t>Frequent Cough</w:t>
            </w:r>
          </w:p>
        </w:tc>
        <w:tc>
          <w:tcPr>
            <w:tcW w:w="1631" w:type="dxa"/>
            <w:tcBorders>
              <w:top w:val="nil"/>
              <w:left w:val="nil"/>
              <w:bottom w:val="nil"/>
              <w:right w:val="nil"/>
            </w:tcBorders>
            <w:vAlign w:val="center"/>
          </w:tcPr>
          <w:p w14:paraId="0168289B"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461</w:t>
            </w:r>
          </w:p>
        </w:tc>
        <w:tc>
          <w:tcPr>
            <w:tcW w:w="1866" w:type="dxa"/>
            <w:tcBorders>
              <w:top w:val="nil"/>
              <w:left w:val="nil"/>
              <w:bottom w:val="nil"/>
              <w:right w:val="nil"/>
            </w:tcBorders>
            <w:vAlign w:val="center"/>
          </w:tcPr>
          <w:p w14:paraId="13EA7C4E"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25AF8671" w14:textId="77777777" w:rsidR="00160EDF" w:rsidRPr="006924F3" w:rsidRDefault="00160EDF" w:rsidP="00D906FC">
            <w:pPr>
              <w:jc w:val="center"/>
              <w:rPr>
                <w:rFonts w:ascii="Times New Roman" w:hAnsi="Times New Roman" w:cs="Times New Roman"/>
              </w:rPr>
            </w:pPr>
          </w:p>
        </w:tc>
      </w:tr>
      <w:tr w:rsidR="00160EDF" w14:paraId="194FE872" w14:textId="77777777" w:rsidTr="00D906FC">
        <w:trPr>
          <w:trHeight w:val="190"/>
        </w:trPr>
        <w:tc>
          <w:tcPr>
            <w:tcW w:w="3967" w:type="dxa"/>
            <w:tcBorders>
              <w:top w:val="nil"/>
              <w:left w:val="nil"/>
              <w:bottom w:val="nil"/>
              <w:right w:val="nil"/>
            </w:tcBorders>
          </w:tcPr>
          <w:p w14:paraId="071A0E52"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Yes</w:t>
            </w:r>
          </w:p>
        </w:tc>
        <w:tc>
          <w:tcPr>
            <w:tcW w:w="1631" w:type="dxa"/>
            <w:tcBorders>
              <w:top w:val="nil"/>
              <w:left w:val="nil"/>
              <w:bottom w:val="nil"/>
              <w:right w:val="nil"/>
            </w:tcBorders>
            <w:vAlign w:val="center"/>
          </w:tcPr>
          <w:p w14:paraId="0DA40628"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5</w:t>
            </w:r>
            <w:r>
              <w:rPr>
                <w:rFonts w:ascii="Times New Roman" w:hAnsi="Times New Roman" w:cs="Times New Roman"/>
              </w:rPr>
              <w:t>,</w:t>
            </w:r>
            <w:r w:rsidRPr="006924F3">
              <w:rPr>
                <w:rFonts w:ascii="Times New Roman" w:hAnsi="Times New Roman" w:cs="Times New Roman"/>
              </w:rPr>
              <w:t>890</w:t>
            </w:r>
          </w:p>
        </w:tc>
        <w:tc>
          <w:tcPr>
            <w:tcW w:w="1866" w:type="dxa"/>
            <w:tcBorders>
              <w:top w:val="nil"/>
              <w:left w:val="nil"/>
              <w:bottom w:val="nil"/>
              <w:right w:val="nil"/>
            </w:tcBorders>
            <w:vAlign w:val="center"/>
          </w:tcPr>
          <w:p w14:paraId="688CE001"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33.7</w:t>
            </w:r>
          </w:p>
        </w:tc>
        <w:tc>
          <w:tcPr>
            <w:tcW w:w="2179" w:type="dxa"/>
            <w:tcBorders>
              <w:top w:val="nil"/>
              <w:left w:val="nil"/>
              <w:bottom w:val="nil"/>
              <w:right w:val="nil"/>
            </w:tcBorders>
            <w:vAlign w:val="center"/>
          </w:tcPr>
          <w:p w14:paraId="7F7A7E65"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33.0-34.4</w:t>
            </w:r>
          </w:p>
        </w:tc>
      </w:tr>
      <w:tr w:rsidR="00160EDF" w14:paraId="404002F0" w14:textId="77777777" w:rsidTr="004B40E0">
        <w:trPr>
          <w:trHeight w:val="190"/>
        </w:trPr>
        <w:tc>
          <w:tcPr>
            <w:tcW w:w="3967" w:type="dxa"/>
            <w:tcBorders>
              <w:top w:val="nil"/>
              <w:left w:val="nil"/>
              <w:bottom w:val="nil"/>
              <w:right w:val="nil"/>
            </w:tcBorders>
          </w:tcPr>
          <w:p w14:paraId="29952BB7"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No</w:t>
            </w:r>
          </w:p>
        </w:tc>
        <w:tc>
          <w:tcPr>
            <w:tcW w:w="1631" w:type="dxa"/>
            <w:tcBorders>
              <w:top w:val="nil"/>
              <w:left w:val="nil"/>
              <w:bottom w:val="nil"/>
              <w:right w:val="nil"/>
            </w:tcBorders>
            <w:vAlign w:val="center"/>
          </w:tcPr>
          <w:p w14:paraId="5ABADE33"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11</w:t>
            </w:r>
            <w:r>
              <w:rPr>
                <w:rFonts w:ascii="Times New Roman" w:hAnsi="Times New Roman" w:cs="Times New Roman"/>
              </w:rPr>
              <w:t>,</w:t>
            </w:r>
            <w:r w:rsidRPr="006924F3">
              <w:rPr>
                <w:rFonts w:ascii="Times New Roman" w:hAnsi="Times New Roman" w:cs="Times New Roman"/>
              </w:rPr>
              <w:t>571</w:t>
            </w:r>
          </w:p>
        </w:tc>
        <w:tc>
          <w:tcPr>
            <w:tcW w:w="1866" w:type="dxa"/>
            <w:tcBorders>
              <w:top w:val="nil"/>
              <w:left w:val="nil"/>
              <w:bottom w:val="nil"/>
              <w:right w:val="nil"/>
            </w:tcBorders>
            <w:vAlign w:val="center"/>
          </w:tcPr>
          <w:p w14:paraId="4DEB38BF"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66.3</w:t>
            </w:r>
          </w:p>
        </w:tc>
        <w:tc>
          <w:tcPr>
            <w:tcW w:w="2179" w:type="dxa"/>
            <w:tcBorders>
              <w:top w:val="nil"/>
              <w:left w:val="nil"/>
              <w:bottom w:val="nil"/>
              <w:right w:val="nil"/>
            </w:tcBorders>
            <w:vAlign w:val="center"/>
          </w:tcPr>
          <w:p w14:paraId="53ECD8A5"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65.6-67.0</w:t>
            </w:r>
          </w:p>
        </w:tc>
      </w:tr>
      <w:tr w:rsidR="00160EDF" w14:paraId="3A642FF6" w14:textId="77777777" w:rsidTr="004B40E0">
        <w:trPr>
          <w:trHeight w:val="199"/>
        </w:trPr>
        <w:tc>
          <w:tcPr>
            <w:tcW w:w="3967" w:type="dxa"/>
            <w:tcBorders>
              <w:top w:val="nil"/>
              <w:left w:val="nil"/>
              <w:bottom w:val="nil"/>
              <w:right w:val="nil"/>
            </w:tcBorders>
          </w:tcPr>
          <w:p w14:paraId="72BD9896" w14:textId="77777777" w:rsidR="00160EDF" w:rsidRPr="006924F3" w:rsidRDefault="00160EDF" w:rsidP="00D906FC">
            <w:pPr>
              <w:rPr>
                <w:rFonts w:ascii="Times New Roman" w:hAnsi="Times New Roman" w:cs="Times New Roman"/>
              </w:rPr>
            </w:pPr>
            <w:r w:rsidRPr="006924F3">
              <w:rPr>
                <w:rFonts w:ascii="Times New Roman" w:hAnsi="Times New Roman" w:cs="Times New Roman"/>
                <w:b/>
                <w:bCs/>
              </w:rPr>
              <w:t>Wheezing</w:t>
            </w:r>
          </w:p>
        </w:tc>
        <w:tc>
          <w:tcPr>
            <w:tcW w:w="1631" w:type="dxa"/>
            <w:tcBorders>
              <w:top w:val="nil"/>
              <w:left w:val="nil"/>
              <w:bottom w:val="nil"/>
              <w:right w:val="nil"/>
            </w:tcBorders>
            <w:vAlign w:val="center"/>
          </w:tcPr>
          <w:p w14:paraId="6E93A5CE"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437</w:t>
            </w:r>
          </w:p>
        </w:tc>
        <w:tc>
          <w:tcPr>
            <w:tcW w:w="1866" w:type="dxa"/>
            <w:tcBorders>
              <w:top w:val="nil"/>
              <w:left w:val="nil"/>
              <w:bottom w:val="nil"/>
              <w:right w:val="nil"/>
            </w:tcBorders>
            <w:vAlign w:val="center"/>
          </w:tcPr>
          <w:p w14:paraId="314CBEA8"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683AFF62" w14:textId="77777777" w:rsidR="00160EDF" w:rsidRPr="006924F3" w:rsidRDefault="00160EDF" w:rsidP="00D906FC">
            <w:pPr>
              <w:jc w:val="center"/>
              <w:rPr>
                <w:rFonts w:ascii="Times New Roman" w:hAnsi="Times New Roman" w:cs="Times New Roman"/>
              </w:rPr>
            </w:pPr>
          </w:p>
        </w:tc>
      </w:tr>
      <w:tr w:rsidR="00160EDF" w14:paraId="2D505E39" w14:textId="77777777" w:rsidTr="00D906FC">
        <w:trPr>
          <w:trHeight w:val="190"/>
        </w:trPr>
        <w:tc>
          <w:tcPr>
            <w:tcW w:w="3967" w:type="dxa"/>
            <w:tcBorders>
              <w:top w:val="nil"/>
              <w:left w:val="nil"/>
              <w:bottom w:val="nil"/>
              <w:right w:val="nil"/>
            </w:tcBorders>
          </w:tcPr>
          <w:p w14:paraId="3090D6A5"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Yes</w:t>
            </w:r>
          </w:p>
        </w:tc>
        <w:tc>
          <w:tcPr>
            <w:tcW w:w="1631" w:type="dxa"/>
            <w:tcBorders>
              <w:top w:val="nil"/>
              <w:left w:val="nil"/>
              <w:bottom w:val="nil"/>
              <w:right w:val="nil"/>
            </w:tcBorders>
            <w:vAlign w:val="center"/>
          </w:tcPr>
          <w:p w14:paraId="3F874F75"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4</w:t>
            </w:r>
            <w:r>
              <w:rPr>
                <w:rFonts w:ascii="Times New Roman" w:hAnsi="Times New Roman" w:cs="Times New Roman"/>
              </w:rPr>
              <w:t>,</w:t>
            </w:r>
            <w:r w:rsidRPr="006924F3">
              <w:rPr>
                <w:rFonts w:ascii="Times New Roman" w:hAnsi="Times New Roman" w:cs="Times New Roman"/>
              </w:rPr>
              <w:t>643</w:t>
            </w:r>
          </w:p>
        </w:tc>
        <w:tc>
          <w:tcPr>
            <w:tcW w:w="1866" w:type="dxa"/>
            <w:tcBorders>
              <w:top w:val="nil"/>
              <w:left w:val="nil"/>
              <w:bottom w:val="nil"/>
              <w:right w:val="nil"/>
            </w:tcBorders>
            <w:vAlign w:val="center"/>
          </w:tcPr>
          <w:p w14:paraId="45001B56"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26.6</w:t>
            </w:r>
          </w:p>
        </w:tc>
        <w:tc>
          <w:tcPr>
            <w:tcW w:w="2179" w:type="dxa"/>
            <w:tcBorders>
              <w:top w:val="nil"/>
              <w:left w:val="nil"/>
              <w:bottom w:val="nil"/>
              <w:right w:val="nil"/>
            </w:tcBorders>
            <w:vAlign w:val="center"/>
          </w:tcPr>
          <w:p w14:paraId="3025984C"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26.0-27.3</w:t>
            </w:r>
          </w:p>
        </w:tc>
      </w:tr>
      <w:tr w:rsidR="00160EDF" w14:paraId="30B4895D" w14:textId="77777777" w:rsidTr="004B40E0">
        <w:trPr>
          <w:trHeight w:val="190"/>
        </w:trPr>
        <w:tc>
          <w:tcPr>
            <w:tcW w:w="3967" w:type="dxa"/>
            <w:tcBorders>
              <w:top w:val="nil"/>
              <w:left w:val="nil"/>
              <w:bottom w:val="nil"/>
              <w:right w:val="nil"/>
            </w:tcBorders>
          </w:tcPr>
          <w:p w14:paraId="7F3B7689"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No</w:t>
            </w:r>
          </w:p>
        </w:tc>
        <w:tc>
          <w:tcPr>
            <w:tcW w:w="1631" w:type="dxa"/>
            <w:tcBorders>
              <w:top w:val="nil"/>
              <w:left w:val="nil"/>
              <w:bottom w:val="nil"/>
              <w:right w:val="nil"/>
            </w:tcBorders>
            <w:vAlign w:val="center"/>
          </w:tcPr>
          <w:p w14:paraId="273F7110"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12</w:t>
            </w:r>
            <w:r>
              <w:rPr>
                <w:rFonts w:ascii="Times New Roman" w:hAnsi="Times New Roman" w:cs="Times New Roman"/>
              </w:rPr>
              <w:t>,</w:t>
            </w:r>
            <w:r w:rsidRPr="006924F3">
              <w:rPr>
                <w:rFonts w:ascii="Times New Roman" w:hAnsi="Times New Roman" w:cs="Times New Roman"/>
              </w:rPr>
              <w:t>794</w:t>
            </w:r>
          </w:p>
        </w:tc>
        <w:tc>
          <w:tcPr>
            <w:tcW w:w="1866" w:type="dxa"/>
            <w:tcBorders>
              <w:top w:val="nil"/>
              <w:left w:val="nil"/>
              <w:bottom w:val="nil"/>
              <w:right w:val="nil"/>
            </w:tcBorders>
            <w:vAlign w:val="center"/>
          </w:tcPr>
          <w:p w14:paraId="47E14010"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73.4</w:t>
            </w:r>
          </w:p>
        </w:tc>
        <w:tc>
          <w:tcPr>
            <w:tcW w:w="2179" w:type="dxa"/>
            <w:tcBorders>
              <w:top w:val="nil"/>
              <w:left w:val="nil"/>
              <w:bottom w:val="nil"/>
              <w:right w:val="nil"/>
            </w:tcBorders>
            <w:vAlign w:val="center"/>
          </w:tcPr>
          <w:p w14:paraId="27638A12"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72.7-74.0</w:t>
            </w:r>
          </w:p>
        </w:tc>
      </w:tr>
      <w:tr w:rsidR="00160EDF" w14:paraId="16498507" w14:textId="77777777" w:rsidTr="004B40E0">
        <w:trPr>
          <w:trHeight w:val="380"/>
        </w:trPr>
        <w:tc>
          <w:tcPr>
            <w:tcW w:w="3967" w:type="dxa"/>
            <w:tcBorders>
              <w:top w:val="nil"/>
              <w:left w:val="nil"/>
              <w:bottom w:val="nil"/>
              <w:right w:val="nil"/>
            </w:tcBorders>
          </w:tcPr>
          <w:p w14:paraId="190690CD" w14:textId="77777777" w:rsidR="00160EDF" w:rsidRPr="006924F3" w:rsidRDefault="00160EDF" w:rsidP="00D906FC">
            <w:pPr>
              <w:rPr>
                <w:rFonts w:ascii="Times New Roman" w:hAnsi="Times New Roman" w:cs="Times New Roman"/>
              </w:rPr>
            </w:pPr>
            <w:r w:rsidRPr="006924F3">
              <w:rPr>
                <w:rFonts w:ascii="Times New Roman" w:hAnsi="Times New Roman" w:cs="Times New Roman"/>
                <w:b/>
                <w:bCs/>
              </w:rPr>
              <w:t>Other Breathing Problems</w:t>
            </w:r>
          </w:p>
        </w:tc>
        <w:tc>
          <w:tcPr>
            <w:tcW w:w="1631" w:type="dxa"/>
            <w:tcBorders>
              <w:top w:val="nil"/>
              <w:left w:val="nil"/>
              <w:bottom w:val="nil"/>
              <w:right w:val="nil"/>
            </w:tcBorders>
            <w:vAlign w:val="center"/>
          </w:tcPr>
          <w:p w14:paraId="2BEDBE0C"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438</w:t>
            </w:r>
          </w:p>
        </w:tc>
        <w:tc>
          <w:tcPr>
            <w:tcW w:w="1866" w:type="dxa"/>
            <w:tcBorders>
              <w:top w:val="nil"/>
              <w:left w:val="nil"/>
              <w:bottom w:val="nil"/>
              <w:right w:val="nil"/>
            </w:tcBorders>
            <w:vAlign w:val="center"/>
          </w:tcPr>
          <w:p w14:paraId="5AA0A754"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60401A9B" w14:textId="77777777" w:rsidR="00160EDF" w:rsidRPr="006924F3" w:rsidRDefault="00160EDF" w:rsidP="00D906FC">
            <w:pPr>
              <w:jc w:val="center"/>
              <w:rPr>
                <w:rFonts w:ascii="Times New Roman" w:hAnsi="Times New Roman" w:cs="Times New Roman"/>
              </w:rPr>
            </w:pPr>
          </w:p>
        </w:tc>
      </w:tr>
      <w:tr w:rsidR="00160EDF" w14:paraId="13CA0276" w14:textId="77777777" w:rsidTr="00D906FC">
        <w:trPr>
          <w:trHeight w:val="190"/>
        </w:trPr>
        <w:tc>
          <w:tcPr>
            <w:tcW w:w="3967" w:type="dxa"/>
            <w:tcBorders>
              <w:top w:val="nil"/>
              <w:left w:val="nil"/>
              <w:bottom w:val="nil"/>
              <w:right w:val="nil"/>
            </w:tcBorders>
          </w:tcPr>
          <w:p w14:paraId="1D81136B"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Yes</w:t>
            </w:r>
          </w:p>
        </w:tc>
        <w:tc>
          <w:tcPr>
            <w:tcW w:w="1631" w:type="dxa"/>
            <w:tcBorders>
              <w:top w:val="nil"/>
              <w:left w:val="nil"/>
              <w:bottom w:val="nil"/>
              <w:right w:val="nil"/>
            </w:tcBorders>
            <w:vAlign w:val="center"/>
          </w:tcPr>
          <w:p w14:paraId="7BD2BA59"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4</w:t>
            </w:r>
            <w:r>
              <w:rPr>
                <w:rFonts w:ascii="Times New Roman" w:hAnsi="Times New Roman" w:cs="Times New Roman"/>
              </w:rPr>
              <w:t>,</w:t>
            </w:r>
            <w:r w:rsidRPr="006924F3">
              <w:rPr>
                <w:rFonts w:ascii="Times New Roman" w:hAnsi="Times New Roman" w:cs="Times New Roman"/>
              </w:rPr>
              <w:t>024</w:t>
            </w:r>
          </w:p>
        </w:tc>
        <w:tc>
          <w:tcPr>
            <w:tcW w:w="1866" w:type="dxa"/>
            <w:tcBorders>
              <w:top w:val="nil"/>
              <w:left w:val="nil"/>
              <w:bottom w:val="nil"/>
              <w:right w:val="nil"/>
            </w:tcBorders>
            <w:vAlign w:val="center"/>
          </w:tcPr>
          <w:p w14:paraId="5E43D74D"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23.1</w:t>
            </w:r>
          </w:p>
        </w:tc>
        <w:tc>
          <w:tcPr>
            <w:tcW w:w="2179" w:type="dxa"/>
            <w:tcBorders>
              <w:top w:val="nil"/>
              <w:left w:val="nil"/>
              <w:bottom w:val="nil"/>
              <w:right w:val="nil"/>
            </w:tcBorders>
            <w:vAlign w:val="center"/>
          </w:tcPr>
          <w:p w14:paraId="6BA77F42"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22.5-23.7</w:t>
            </w:r>
          </w:p>
        </w:tc>
      </w:tr>
      <w:tr w:rsidR="00160EDF" w14:paraId="4AC3EB7C" w14:textId="77777777" w:rsidTr="004B40E0">
        <w:trPr>
          <w:trHeight w:val="190"/>
        </w:trPr>
        <w:tc>
          <w:tcPr>
            <w:tcW w:w="3967" w:type="dxa"/>
            <w:tcBorders>
              <w:top w:val="nil"/>
              <w:left w:val="nil"/>
              <w:bottom w:val="nil"/>
              <w:right w:val="nil"/>
            </w:tcBorders>
          </w:tcPr>
          <w:p w14:paraId="47CD2988"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No</w:t>
            </w:r>
          </w:p>
        </w:tc>
        <w:tc>
          <w:tcPr>
            <w:tcW w:w="1631" w:type="dxa"/>
            <w:tcBorders>
              <w:top w:val="nil"/>
              <w:left w:val="nil"/>
              <w:bottom w:val="nil"/>
              <w:right w:val="nil"/>
            </w:tcBorders>
            <w:vAlign w:val="center"/>
          </w:tcPr>
          <w:p w14:paraId="24BF16E2"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13</w:t>
            </w:r>
            <w:r>
              <w:rPr>
                <w:rFonts w:ascii="Times New Roman" w:hAnsi="Times New Roman" w:cs="Times New Roman"/>
              </w:rPr>
              <w:t>,</w:t>
            </w:r>
            <w:r w:rsidRPr="006924F3">
              <w:rPr>
                <w:rFonts w:ascii="Times New Roman" w:hAnsi="Times New Roman" w:cs="Times New Roman"/>
              </w:rPr>
              <w:t>414</w:t>
            </w:r>
          </w:p>
        </w:tc>
        <w:tc>
          <w:tcPr>
            <w:tcW w:w="1866" w:type="dxa"/>
            <w:tcBorders>
              <w:top w:val="nil"/>
              <w:left w:val="nil"/>
              <w:bottom w:val="nil"/>
              <w:right w:val="nil"/>
            </w:tcBorders>
            <w:vAlign w:val="center"/>
          </w:tcPr>
          <w:p w14:paraId="51DD92B9"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76.9</w:t>
            </w:r>
          </w:p>
        </w:tc>
        <w:tc>
          <w:tcPr>
            <w:tcW w:w="2179" w:type="dxa"/>
            <w:tcBorders>
              <w:top w:val="nil"/>
              <w:left w:val="nil"/>
              <w:bottom w:val="nil"/>
              <w:right w:val="nil"/>
            </w:tcBorders>
            <w:vAlign w:val="center"/>
          </w:tcPr>
          <w:p w14:paraId="3C52AD02"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76.3-77.6</w:t>
            </w:r>
          </w:p>
        </w:tc>
      </w:tr>
      <w:tr w:rsidR="00160EDF" w14:paraId="3EFDFF51" w14:textId="77777777" w:rsidTr="004B40E0">
        <w:trPr>
          <w:trHeight w:val="199"/>
        </w:trPr>
        <w:tc>
          <w:tcPr>
            <w:tcW w:w="3967" w:type="dxa"/>
            <w:tcBorders>
              <w:top w:val="nil"/>
              <w:left w:val="nil"/>
              <w:bottom w:val="nil"/>
              <w:right w:val="nil"/>
            </w:tcBorders>
          </w:tcPr>
          <w:p w14:paraId="592DD201"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b/>
                <w:bCs/>
              </w:rPr>
              <w:t>Overweight or Obese</w:t>
            </w:r>
          </w:p>
        </w:tc>
        <w:tc>
          <w:tcPr>
            <w:tcW w:w="1631" w:type="dxa"/>
            <w:tcBorders>
              <w:top w:val="nil"/>
              <w:left w:val="nil"/>
              <w:bottom w:val="nil"/>
              <w:right w:val="nil"/>
            </w:tcBorders>
            <w:vAlign w:val="center"/>
          </w:tcPr>
          <w:p w14:paraId="4DDE6806"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445</w:t>
            </w:r>
          </w:p>
        </w:tc>
        <w:tc>
          <w:tcPr>
            <w:tcW w:w="1866" w:type="dxa"/>
            <w:tcBorders>
              <w:top w:val="nil"/>
              <w:left w:val="nil"/>
              <w:bottom w:val="nil"/>
              <w:right w:val="nil"/>
            </w:tcBorders>
            <w:vAlign w:val="center"/>
          </w:tcPr>
          <w:p w14:paraId="68498B17"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6869D42F" w14:textId="77777777" w:rsidR="00160EDF" w:rsidRPr="006924F3" w:rsidRDefault="00160EDF" w:rsidP="00D906FC">
            <w:pPr>
              <w:jc w:val="center"/>
              <w:rPr>
                <w:rFonts w:ascii="Times New Roman" w:hAnsi="Times New Roman" w:cs="Times New Roman"/>
              </w:rPr>
            </w:pPr>
          </w:p>
        </w:tc>
      </w:tr>
      <w:tr w:rsidR="00160EDF" w14:paraId="6DF492A9" w14:textId="77777777" w:rsidTr="00D906FC">
        <w:trPr>
          <w:trHeight w:val="199"/>
        </w:trPr>
        <w:tc>
          <w:tcPr>
            <w:tcW w:w="3967" w:type="dxa"/>
            <w:tcBorders>
              <w:top w:val="nil"/>
              <w:left w:val="nil"/>
              <w:bottom w:val="nil"/>
              <w:right w:val="nil"/>
            </w:tcBorders>
          </w:tcPr>
          <w:p w14:paraId="3138A403"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rPr>
              <w:t xml:space="preserve">     Yes</w:t>
            </w:r>
          </w:p>
        </w:tc>
        <w:tc>
          <w:tcPr>
            <w:tcW w:w="1631" w:type="dxa"/>
            <w:tcBorders>
              <w:top w:val="nil"/>
              <w:left w:val="nil"/>
              <w:bottom w:val="nil"/>
              <w:right w:val="nil"/>
            </w:tcBorders>
            <w:vAlign w:val="center"/>
          </w:tcPr>
          <w:p w14:paraId="64F8DBE8"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rPr>
              <w:t>13</w:t>
            </w:r>
            <w:r>
              <w:rPr>
                <w:rFonts w:ascii="Times New Roman" w:hAnsi="Times New Roman" w:cs="Times New Roman"/>
              </w:rPr>
              <w:t>,</w:t>
            </w:r>
            <w:r w:rsidRPr="006924F3">
              <w:rPr>
                <w:rFonts w:ascii="Times New Roman" w:hAnsi="Times New Roman" w:cs="Times New Roman"/>
              </w:rPr>
              <w:t>900</w:t>
            </w:r>
          </w:p>
        </w:tc>
        <w:tc>
          <w:tcPr>
            <w:tcW w:w="1866" w:type="dxa"/>
            <w:tcBorders>
              <w:top w:val="nil"/>
              <w:left w:val="nil"/>
              <w:bottom w:val="nil"/>
              <w:right w:val="nil"/>
            </w:tcBorders>
            <w:vAlign w:val="center"/>
          </w:tcPr>
          <w:p w14:paraId="3A1944CC"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79.7</w:t>
            </w:r>
          </w:p>
        </w:tc>
        <w:tc>
          <w:tcPr>
            <w:tcW w:w="2179" w:type="dxa"/>
            <w:tcBorders>
              <w:top w:val="nil"/>
              <w:left w:val="nil"/>
              <w:bottom w:val="nil"/>
              <w:right w:val="nil"/>
            </w:tcBorders>
            <w:vAlign w:val="center"/>
          </w:tcPr>
          <w:p w14:paraId="76712710"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79.1-80.3</w:t>
            </w:r>
          </w:p>
        </w:tc>
      </w:tr>
      <w:tr w:rsidR="00160EDF" w14:paraId="1AB40D4C" w14:textId="77777777" w:rsidTr="004B40E0">
        <w:trPr>
          <w:trHeight w:val="199"/>
        </w:trPr>
        <w:tc>
          <w:tcPr>
            <w:tcW w:w="3967" w:type="dxa"/>
            <w:tcBorders>
              <w:top w:val="nil"/>
              <w:left w:val="nil"/>
              <w:bottom w:val="nil"/>
              <w:right w:val="nil"/>
            </w:tcBorders>
          </w:tcPr>
          <w:p w14:paraId="5AAB555A"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rPr>
              <w:t xml:space="preserve">     No</w:t>
            </w:r>
          </w:p>
        </w:tc>
        <w:tc>
          <w:tcPr>
            <w:tcW w:w="1631" w:type="dxa"/>
            <w:tcBorders>
              <w:top w:val="nil"/>
              <w:left w:val="nil"/>
              <w:bottom w:val="nil"/>
              <w:right w:val="nil"/>
            </w:tcBorders>
            <w:vAlign w:val="center"/>
          </w:tcPr>
          <w:p w14:paraId="79F6568D"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rPr>
              <w:t>3</w:t>
            </w:r>
            <w:r>
              <w:rPr>
                <w:rFonts w:ascii="Times New Roman" w:hAnsi="Times New Roman" w:cs="Times New Roman"/>
              </w:rPr>
              <w:t>,</w:t>
            </w:r>
            <w:r w:rsidRPr="006924F3">
              <w:rPr>
                <w:rFonts w:ascii="Times New Roman" w:hAnsi="Times New Roman" w:cs="Times New Roman"/>
              </w:rPr>
              <w:t>545</w:t>
            </w:r>
          </w:p>
        </w:tc>
        <w:tc>
          <w:tcPr>
            <w:tcW w:w="1866" w:type="dxa"/>
            <w:tcBorders>
              <w:top w:val="nil"/>
              <w:left w:val="nil"/>
              <w:bottom w:val="nil"/>
              <w:right w:val="nil"/>
            </w:tcBorders>
            <w:vAlign w:val="center"/>
          </w:tcPr>
          <w:p w14:paraId="7A635EE6"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20.3</w:t>
            </w:r>
          </w:p>
        </w:tc>
        <w:tc>
          <w:tcPr>
            <w:tcW w:w="2179" w:type="dxa"/>
            <w:tcBorders>
              <w:top w:val="nil"/>
              <w:left w:val="nil"/>
              <w:bottom w:val="nil"/>
              <w:right w:val="nil"/>
            </w:tcBorders>
            <w:vAlign w:val="center"/>
          </w:tcPr>
          <w:p w14:paraId="513C8B2D"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19.7-20.9</w:t>
            </w:r>
          </w:p>
        </w:tc>
      </w:tr>
      <w:tr w:rsidR="00160EDF" w14:paraId="75022CCA" w14:textId="77777777" w:rsidTr="004B40E0">
        <w:trPr>
          <w:trHeight w:val="199"/>
        </w:trPr>
        <w:tc>
          <w:tcPr>
            <w:tcW w:w="3967" w:type="dxa"/>
            <w:tcBorders>
              <w:top w:val="nil"/>
              <w:left w:val="nil"/>
              <w:bottom w:val="nil"/>
              <w:right w:val="nil"/>
            </w:tcBorders>
          </w:tcPr>
          <w:p w14:paraId="086EEF2F" w14:textId="77777777" w:rsidR="00160EDF" w:rsidRPr="006924F3" w:rsidRDefault="00160EDF" w:rsidP="00D906FC">
            <w:pPr>
              <w:rPr>
                <w:rFonts w:ascii="Times New Roman" w:hAnsi="Times New Roman" w:cs="Times New Roman"/>
              </w:rPr>
            </w:pPr>
            <w:r w:rsidRPr="006924F3">
              <w:rPr>
                <w:rFonts w:ascii="Times New Roman" w:hAnsi="Times New Roman" w:cs="Times New Roman"/>
                <w:b/>
                <w:bCs/>
              </w:rPr>
              <w:t>Hypertension</w:t>
            </w:r>
          </w:p>
        </w:tc>
        <w:tc>
          <w:tcPr>
            <w:tcW w:w="1631" w:type="dxa"/>
            <w:tcBorders>
              <w:top w:val="nil"/>
              <w:left w:val="nil"/>
              <w:bottom w:val="nil"/>
              <w:right w:val="nil"/>
            </w:tcBorders>
            <w:vAlign w:val="center"/>
          </w:tcPr>
          <w:p w14:paraId="22DA97FF"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032</w:t>
            </w:r>
          </w:p>
        </w:tc>
        <w:tc>
          <w:tcPr>
            <w:tcW w:w="1866" w:type="dxa"/>
            <w:tcBorders>
              <w:top w:val="nil"/>
              <w:left w:val="nil"/>
              <w:bottom w:val="nil"/>
              <w:right w:val="nil"/>
            </w:tcBorders>
            <w:vAlign w:val="center"/>
          </w:tcPr>
          <w:p w14:paraId="3705D4C6"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75C0802D" w14:textId="77777777" w:rsidR="00160EDF" w:rsidRPr="006924F3" w:rsidRDefault="00160EDF" w:rsidP="00D906FC">
            <w:pPr>
              <w:jc w:val="center"/>
              <w:rPr>
                <w:rFonts w:ascii="Times New Roman" w:hAnsi="Times New Roman" w:cs="Times New Roman"/>
              </w:rPr>
            </w:pPr>
          </w:p>
        </w:tc>
      </w:tr>
      <w:tr w:rsidR="00160EDF" w14:paraId="1F5DE18C" w14:textId="77777777" w:rsidTr="00D906FC">
        <w:trPr>
          <w:trHeight w:val="199"/>
        </w:trPr>
        <w:tc>
          <w:tcPr>
            <w:tcW w:w="3967" w:type="dxa"/>
            <w:tcBorders>
              <w:top w:val="nil"/>
              <w:left w:val="nil"/>
              <w:bottom w:val="nil"/>
              <w:right w:val="nil"/>
            </w:tcBorders>
          </w:tcPr>
          <w:p w14:paraId="6F7D37B1"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Yes</w:t>
            </w:r>
          </w:p>
        </w:tc>
        <w:tc>
          <w:tcPr>
            <w:tcW w:w="1631" w:type="dxa"/>
            <w:tcBorders>
              <w:top w:val="nil"/>
              <w:left w:val="nil"/>
              <w:bottom w:val="nil"/>
              <w:right w:val="nil"/>
            </w:tcBorders>
            <w:vAlign w:val="center"/>
          </w:tcPr>
          <w:p w14:paraId="31CE7A50"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6</w:t>
            </w:r>
            <w:r>
              <w:rPr>
                <w:rFonts w:ascii="Times New Roman" w:hAnsi="Times New Roman" w:cs="Times New Roman"/>
              </w:rPr>
              <w:t>,</w:t>
            </w:r>
            <w:r w:rsidRPr="006924F3">
              <w:rPr>
                <w:rFonts w:ascii="Times New Roman" w:hAnsi="Times New Roman" w:cs="Times New Roman"/>
              </w:rPr>
              <w:t>312</w:t>
            </w:r>
          </w:p>
        </w:tc>
        <w:tc>
          <w:tcPr>
            <w:tcW w:w="1866" w:type="dxa"/>
            <w:tcBorders>
              <w:top w:val="nil"/>
              <w:left w:val="nil"/>
              <w:bottom w:val="nil"/>
              <w:right w:val="nil"/>
            </w:tcBorders>
            <w:vAlign w:val="center"/>
          </w:tcPr>
          <w:p w14:paraId="59371006"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37.1</w:t>
            </w:r>
          </w:p>
        </w:tc>
        <w:tc>
          <w:tcPr>
            <w:tcW w:w="2179" w:type="dxa"/>
            <w:tcBorders>
              <w:top w:val="nil"/>
              <w:left w:val="nil"/>
              <w:bottom w:val="nil"/>
              <w:right w:val="nil"/>
            </w:tcBorders>
            <w:vAlign w:val="center"/>
          </w:tcPr>
          <w:p w14:paraId="306EA287"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36.3-37.8</w:t>
            </w:r>
          </w:p>
        </w:tc>
      </w:tr>
      <w:tr w:rsidR="00160EDF" w14:paraId="3987F8C7" w14:textId="77777777" w:rsidTr="004B40E0">
        <w:trPr>
          <w:trHeight w:val="199"/>
        </w:trPr>
        <w:tc>
          <w:tcPr>
            <w:tcW w:w="3967" w:type="dxa"/>
            <w:tcBorders>
              <w:top w:val="nil"/>
              <w:left w:val="nil"/>
              <w:bottom w:val="nil"/>
              <w:right w:val="nil"/>
            </w:tcBorders>
          </w:tcPr>
          <w:p w14:paraId="6FA27CCA"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No</w:t>
            </w:r>
          </w:p>
        </w:tc>
        <w:tc>
          <w:tcPr>
            <w:tcW w:w="1631" w:type="dxa"/>
            <w:tcBorders>
              <w:top w:val="nil"/>
              <w:left w:val="nil"/>
              <w:bottom w:val="nil"/>
              <w:right w:val="nil"/>
            </w:tcBorders>
            <w:vAlign w:val="center"/>
          </w:tcPr>
          <w:p w14:paraId="479A55C8"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10</w:t>
            </w:r>
            <w:r>
              <w:rPr>
                <w:rFonts w:ascii="Times New Roman" w:hAnsi="Times New Roman" w:cs="Times New Roman"/>
              </w:rPr>
              <w:t>,</w:t>
            </w:r>
            <w:r w:rsidRPr="006924F3">
              <w:rPr>
                <w:rFonts w:ascii="Times New Roman" w:hAnsi="Times New Roman" w:cs="Times New Roman"/>
              </w:rPr>
              <w:t>720</w:t>
            </w:r>
          </w:p>
        </w:tc>
        <w:tc>
          <w:tcPr>
            <w:tcW w:w="1866" w:type="dxa"/>
            <w:tcBorders>
              <w:top w:val="nil"/>
              <w:left w:val="nil"/>
              <w:bottom w:val="nil"/>
              <w:right w:val="nil"/>
            </w:tcBorders>
            <w:vAlign w:val="center"/>
          </w:tcPr>
          <w:p w14:paraId="06D9B200"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62.9</w:t>
            </w:r>
          </w:p>
        </w:tc>
        <w:tc>
          <w:tcPr>
            <w:tcW w:w="2179" w:type="dxa"/>
            <w:tcBorders>
              <w:top w:val="nil"/>
              <w:left w:val="nil"/>
              <w:bottom w:val="nil"/>
              <w:right w:val="nil"/>
            </w:tcBorders>
            <w:vAlign w:val="center"/>
          </w:tcPr>
          <w:p w14:paraId="688E6365"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62.2-63.7</w:t>
            </w:r>
          </w:p>
        </w:tc>
      </w:tr>
      <w:tr w:rsidR="00160EDF" w14:paraId="5176955C" w14:textId="77777777" w:rsidTr="004B40E0">
        <w:trPr>
          <w:trHeight w:val="199"/>
        </w:trPr>
        <w:tc>
          <w:tcPr>
            <w:tcW w:w="3967" w:type="dxa"/>
            <w:tcBorders>
              <w:top w:val="nil"/>
              <w:left w:val="nil"/>
              <w:bottom w:val="nil"/>
              <w:right w:val="nil"/>
            </w:tcBorders>
          </w:tcPr>
          <w:p w14:paraId="305FB107" w14:textId="77777777" w:rsidR="00160EDF" w:rsidRPr="006924F3" w:rsidRDefault="00160EDF" w:rsidP="00D906FC">
            <w:pPr>
              <w:rPr>
                <w:rFonts w:ascii="Times New Roman" w:hAnsi="Times New Roman" w:cs="Times New Roman"/>
              </w:rPr>
            </w:pPr>
            <w:r w:rsidRPr="006924F3">
              <w:rPr>
                <w:rFonts w:ascii="Times New Roman" w:hAnsi="Times New Roman" w:cs="Times New Roman"/>
                <w:b/>
                <w:bCs/>
              </w:rPr>
              <w:t>Non-Pulmonary Cancer</w:t>
            </w:r>
          </w:p>
        </w:tc>
        <w:tc>
          <w:tcPr>
            <w:tcW w:w="1631" w:type="dxa"/>
            <w:tcBorders>
              <w:top w:val="nil"/>
              <w:left w:val="nil"/>
              <w:bottom w:val="nil"/>
              <w:right w:val="nil"/>
            </w:tcBorders>
            <w:vAlign w:val="center"/>
          </w:tcPr>
          <w:p w14:paraId="62171F00"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345</w:t>
            </w:r>
          </w:p>
        </w:tc>
        <w:tc>
          <w:tcPr>
            <w:tcW w:w="1866" w:type="dxa"/>
            <w:tcBorders>
              <w:top w:val="nil"/>
              <w:left w:val="nil"/>
              <w:bottom w:val="nil"/>
              <w:right w:val="nil"/>
            </w:tcBorders>
            <w:vAlign w:val="center"/>
          </w:tcPr>
          <w:p w14:paraId="2C0D2B74"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1048BC90" w14:textId="77777777" w:rsidR="00160EDF" w:rsidRPr="006924F3" w:rsidRDefault="00160EDF" w:rsidP="00D906FC">
            <w:pPr>
              <w:jc w:val="center"/>
              <w:rPr>
                <w:rFonts w:ascii="Times New Roman" w:hAnsi="Times New Roman" w:cs="Times New Roman"/>
              </w:rPr>
            </w:pPr>
          </w:p>
        </w:tc>
      </w:tr>
      <w:tr w:rsidR="00160EDF" w14:paraId="0A5A9C0D" w14:textId="77777777" w:rsidTr="00D906FC">
        <w:trPr>
          <w:trHeight w:val="199"/>
        </w:trPr>
        <w:tc>
          <w:tcPr>
            <w:tcW w:w="3967" w:type="dxa"/>
            <w:tcBorders>
              <w:top w:val="nil"/>
              <w:left w:val="nil"/>
              <w:bottom w:val="nil"/>
              <w:right w:val="nil"/>
            </w:tcBorders>
          </w:tcPr>
          <w:p w14:paraId="4D4CDB57"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Yes</w:t>
            </w:r>
            <w:r w:rsidRPr="006924F3">
              <w:rPr>
                <w:rFonts w:ascii="Times New Roman" w:hAnsi="Times New Roman" w:cs="Times New Roman"/>
              </w:rPr>
              <w:tab/>
            </w:r>
          </w:p>
        </w:tc>
        <w:tc>
          <w:tcPr>
            <w:tcW w:w="1631" w:type="dxa"/>
            <w:tcBorders>
              <w:top w:val="nil"/>
              <w:left w:val="nil"/>
              <w:bottom w:val="nil"/>
              <w:right w:val="nil"/>
            </w:tcBorders>
            <w:vAlign w:val="center"/>
          </w:tcPr>
          <w:p w14:paraId="1887682F"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4</w:t>
            </w:r>
            <w:r>
              <w:rPr>
                <w:rFonts w:ascii="Times New Roman" w:hAnsi="Times New Roman" w:cs="Times New Roman"/>
              </w:rPr>
              <w:t>,</w:t>
            </w:r>
            <w:r w:rsidRPr="006924F3">
              <w:rPr>
                <w:rFonts w:ascii="Times New Roman" w:hAnsi="Times New Roman" w:cs="Times New Roman"/>
              </w:rPr>
              <w:t>900</w:t>
            </w:r>
          </w:p>
        </w:tc>
        <w:tc>
          <w:tcPr>
            <w:tcW w:w="1866" w:type="dxa"/>
            <w:tcBorders>
              <w:top w:val="nil"/>
              <w:left w:val="nil"/>
              <w:bottom w:val="nil"/>
              <w:right w:val="nil"/>
            </w:tcBorders>
            <w:vAlign w:val="center"/>
          </w:tcPr>
          <w:p w14:paraId="1DB482CE"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28.3</w:t>
            </w:r>
          </w:p>
        </w:tc>
        <w:tc>
          <w:tcPr>
            <w:tcW w:w="2179" w:type="dxa"/>
            <w:tcBorders>
              <w:top w:val="nil"/>
              <w:left w:val="nil"/>
              <w:bottom w:val="nil"/>
              <w:right w:val="nil"/>
            </w:tcBorders>
            <w:vAlign w:val="center"/>
          </w:tcPr>
          <w:p w14:paraId="310AE75D"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27.6-28.9</w:t>
            </w:r>
          </w:p>
        </w:tc>
      </w:tr>
      <w:tr w:rsidR="00160EDF" w14:paraId="31B4F3D1" w14:textId="77777777" w:rsidTr="004B40E0">
        <w:trPr>
          <w:trHeight w:val="199"/>
        </w:trPr>
        <w:tc>
          <w:tcPr>
            <w:tcW w:w="3967" w:type="dxa"/>
            <w:tcBorders>
              <w:top w:val="nil"/>
              <w:left w:val="nil"/>
              <w:bottom w:val="nil"/>
              <w:right w:val="nil"/>
            </w:tcBorders>
          </w:tcPr>
          <w:p w14:paraId="51215A37"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No</w:t>
            </w:r>
          </w:p>
        </w:tc>
        <w:tc>
          <w:tcPr>
            <w:tcW w:w="1631" w:type="dxa"/>
            <w:tcBorders>
              <w:top w:val="nil"/>
              <w:left w:val="nil"/>
              <w:bottom w:val="nil"/>
              <w:right w:val="nil"/>
            </w:tcBorders>
            <w:vAlign w:val="center"/>
          </w:tcPr>
          <w:p w14:paraId="078ED25D"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12</w:t>
            </w:r>
            <w:r>
              <w:rPr>
                <w:rFonts w:ascii="Times New Roman" w:hAnsi="Times New Roman" w:cs="Times New Roman"/>
              </w:rPr>
              <w:t>,</w:t>
            </w:r>
            <w:r w:rsidRPr="006924F3">
              <w:rPr>
                <w:rFonts w:ascii="Times New Roman" w:hAnsi="Times New Roman" w:cs="Times New Roman"/>
              </w:rPr>
              <w:t>445</w:t>
            </w:r>
          </w:p>
        </w:tc>
        <w:tc>
          <w:tcPr>
            <w:tcW w:w="1866" w:type="dxa"/>
            <w:tcBorders>
              <w:top w:val="nil"/>
              <w:left w:val="nil"/>
              <w:bottom w:val="nil"/>
              <w:right w:val="nil"/>
            </w:tcBorders>
            <w:vAlign w:val="center"/>
          </w:tcPr>
          <w:p w14:paraId="0D290039"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71.7</w:t>
            </w:r>
          </w:p>
        </w:tc>
        <w:tc>
          <w:tcPr>
            <w:tcW w:w="2179" w:type="dxa"/>
            <w:tcBorders>
              <w:top w:val="nil"/>
              <w:left w:val="nil"/>
              <w:bottom w:val="nil"/>
              <w:right w:val="nil"/>
            </w:tcBorders>
            <w:vAlign w:val="center"/>
          </w:tcPr>
          <w:p w14:paraId="78FA344A"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71.1-72.4</w:t>
            </w:r>
          </w:p>
        </w:tc>
      </w:tr>
      <w:tr w:rsidR="00160EDF" w14:paraId="27C5C50F" w14:textId="77777777" w:rsidTr="004B40E0">
        <w:trPr>
          <w:trHeight w:val="199"/>
        </w:trPr>
        <w:tc>
          <w:tcPr>
            <w:tcW w:w="3967" w:type="dxa"/>
            <w:tcBorders>
              <w:top w:val="nil"/>
              <w:left w:val="nil"/>
              <w:bottom w:val="nil"/>
              <w:right w:val="nil"/>
            </w:tcBorders>
          </w:tcPr>
          <w:p w14:paraId="05FA795D" w14:textId="77777777" w:rsidR="00160EDF" w:rsidRPr="006924F3" w:rsidRDefault="00160EDF" w:rsidP="00D906FC">
            <w:pPr>
              <w:rPr>
                <w:rFonts w:ascii="Times New Roman" w:hAnsi="Times New Roman" w:cs="Times New Roman"/>
              </w:rPr>
            </w:pPr>
            <w:r w:rsidRPr="006924F3">
              <w:rPr>
                <w:rFonts w:ascii="Times New Roman" w:hAnsi="Times New Roman" w:cs="Times New Roman"/>
                <w:b/>
                <w:bCs/>
              </w:rPr>
              <w:t>Diabetes</w:t>
            </w:r>
          </w:p>
        </w:tc>
        <w:tc>
          <w:tcPr>
            <w:tcW w:w="1631" w:type="dxa"/>
            <w:tcBorders>
              <w:top w:val="nil"/>
              <w:left w:val="nil"/>
              <w:bottom w:val="nil"/>
              <w:right w:val="nil"/>
            </w:tcBorders>
            <w:vAlign w:val="center"/>
          </w:tcPr>
          <w:p w14:paraId="750E8F7E"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247</w:t>
            </w:r>
          </w:p>
        </w:tc>
        <w:tc>
          <w:tcPr>
            <w:tcW w:w="1866" w:type="dxa"/>
            <w:tcBorders>
              <w:top w:val="nil"/>
              <w:left w:val="nil"/>
              <w:bottom w:val="nil"/>
              <w:right w:val="nil"/>
            </w:tcBorders>
            <w:vAlign w:val="center"/>
          </w:tcPr>
          <w:p w14:paraId="4AA3C324"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07822B5A" w14:textId="77777777" w:rsidR="00160EDF" w:rsidRPr="006924F3" w:rsidRDefault="00160EDF" w:rsidP="00D906FC">
            <w:pPr>
              <w:jc w:val="center"/>
              <w:rPr>
                <w:rFonts w:ascii="Times New Roman" w:hAnsi="Times New Roman" w:cs="Times New Roman"/>
              </w:rPr>
            </w:pPr>
          </w:p>
        </w:tc>
      </w:tr>
      <w:tr w:rsidR="00160EDF" w14:paraId="419BC85F" w14:textId="77777777" w:rsidTr="00D906FC">
        <w:trPr>
          <w:trHeight w:val="199"/>
        </w:trPr>
        <w:tc>
          <w:tcPr>
            <w:tcW w:w="3967" w:type="dxa"/>
            <w:tcBorders>
              <w:top w:val="nil"/>
              <w:left w:val="nil"/>
              <w:bottom w:val="nil"/>
              <w:right w:val="nil"/>
            </w:tcBorders>
          </w:tcPr>
          <w:p w14:paraId="69258E1D"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Yes</w:t>
            </w:r>
          </w:p>
        </w:tc>
        <w:tc>
          <w:tcPr>
            <w:tcW w:w="1631" w:type="dxa"/>
            <w:tcBorders>
              <w:top w:val="nil"/>
              <w:left w:val="nil"/>
              <w:bottom w:val="nil"/>
              <w:right w:val="nil"/>
            </w:tcBorders>
            <w:vAlign w:val="center"/>
          </w:tcPr>
          <w:p w14:paraId="60C9DB2E"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3</w:t>
            </w:r>
            <w:r>
              <w:rPr>
                <w:rFonts w:ascii="Times New Roman" w:hAnsi="Times New Roman" w:cs="Times New Roman"/>
              </w:rPr>
              <w:t>,</w:t>
            </w:r>
            <w:r w:rsidRPr="006924F3">
              <w:rPr>
                <w:rFonts w:ascii="Times New Roman" w:hAnsi="Times New Roman" w:cs="Times New Roman"/>
              </w:rPr>
              <w:t>008</w:t>
            </w:r>
          </w:p>
        </w:tc>
        <w:tc>
          <w:tcPr>
            <w:tcW w:w="1866" w:type="dxa"/>
            <w:tcBorders>
              <w:top w:val="nil"/>
              <w:left w:val="nil"/>
              <w:bottom w:val="nil"/>
              <w:right w:val="nil"/>
            </w:tcBorders>
            <w:vAlign w:val="center"/>
          </w:tcPr>
          <w:p w14:paraId="3AEA5C16"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17.4</w:t>
            </w:r>
          </w:p>
        </w:tc>
        <w:tc>
          <w:tcPr>
            <w:tcW w:w="2179" w:type="dxa"/>
            <w:tcBorders>
              <w:top w:val="nil"/>
              <w:left w:val="nil"/>
              <w:bottom w:val="nil"/>
              <w:right w:val="nil"/>
            </w:tcBorders>
            <w:vAlign w:val="center"/>
          </w:tcPr>
          <w:p w14:paraId="4BDB92CE"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16.9-18.0</w:t>
            </w:r>
          </w:p>
        </w:tc>
      </w:tr>
      <w:tr w:rsidR="00160EDF" w14:paraId="3A78180E" w14:textId="77777777" w:rsidTr="004B40E0">
        <w:trPr>
          <w:trHeight w:val="199"/>
        </w:trPr>
        <w:tc>
          <w:tcPr>
            <w:tcW w:w="3967" w:type="dxa"/>
            <w:tcBorders>
              <w:top w:val="nil"/>
              <w:left w:val="nil"/>
              <w:bottom w:val="nil"/>
              <w:right w:val="nil"/>
            </w:tcBorders>
          </w:tcPr>
          <w:p w14:paraId="1062AEB2"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No</w:t>
            </w:r>
          </w:p>
        </w:tc>
        <w:tc>
          <w:tcPr>
            <w:tcW w:w="1631" w:type="dxa"/>
            <w:tcBorders>
              <w:top w:val="nil"/>
              <w:left w:val="nil"/>
              <w:bottom w:val="nil"/>
              <w:right w:val="nil"/>
            </w:tcBorders>
            <w:vAlign w:val="center"/>
          </w:tcPr>
          <w:p w14:paraId="34D48F66"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14</w:t>
            </w:r>
            <w:r>
              <w:rPr>
                <w:rFonts w:ascii="Times New Roman" w:hAnsi="Times New Roman" w:cs="Times New Roman"/>
              </w:rPr>
              <w:t>,</w:t>
            </w:r>
            <w:r w:rsidRPr="006924F3">
              <w:rPr>
                <w:rFonts w:ascii="Times New Roman" w:hAnsi="Times New Roman" w:cs="Times New Roman"/>
              </w:rPr>
              <w:t>239</w:t>
            </w:r>
          </w:p>
        </w:tc>
        <w:tc>
          <w:tcPr>
            <w:tcW w:w="1866" w:type="dxa"/>
            <w:tcBorders>
              <w:top w:val="nil"/>
              <w:left w:val="nil"/>
              <w:bottom w:val="nil"/>
              <w:right w:val="nil"/>
            </w:tcBorders>
            <w:vAlign w:val="center"/>
          </w:tcPr>
          <w:p w14:paraId="598E0063"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82.6</w:t>
            </w:r>
          </w:p>
        </w:tc>
        <w:tc>
          <w:tcPr>
            <w:tcW w:w="2179" w:type="dxa"/>
            <w:tcBorders>
              <w:top w:val="nil"/>
              <w:left w:val="nil"/>
              <w:bottom w:val="nil"/>
              <w:right w:val="nil"/>
            </w:tcBorders>
            <w:vAlign w:val="center"/>
          </w:tcPr>
          <w:p w14:paraId="37B1C8FB"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82.0-83.1</w:t>
            </w:r>
          </w:p>
        </w:tc>
      </w:tr>
      <w:tr w:rsidR="00160EDF" w14:paraId="0446C76A" w14:textId="77777777" w:rsidTr="004B40E0">
        <w:trPr>
          <w:trHeight w:val="199"/>
        </w:trPr>
        <w:tc>
          <w:tcPr>
            <w:tcW w:w="3967" w:type="dxa"/>
            <w:tcBorders>
              <w:top w:val="nil"/>
              <w:left w:val="nil"/>
              <w:bottom w:val="nil"/>
              <w:right w:val="nil"/>
            </w:tcBorders>
          </w:tcPr>
          <w:p w14:paraId="2C3FA6E1" w14:textId="77777777" w:rsidR="00160EDF" w:rsidRPr="006924F3" w:rsidRDefault="00160EDF" w:rsidP="00D906FC">
            <w:pPr>
              <w:rPr>
                <w:rFonts w:ascii="Times New Roman" w:hAnsi="Times New Roman" w:cs="Times New Roman"/>
              </w:rPr>
            </w:pPr>
            <w:r w:rsidRPr="006924F3">
              <w:rPr>
                <w:rFonts w:ascii="Times New Roman" w:hAnsi="Times New Roman" w:cs="Times New Roman"/>
                <w:b/>
                <w:bCs/>
              </w:rPr>
              <w:t>Asthma</w:t>
            </w:r>
          </w:p>
        </w:tc>
        <w:tc>
          <w:tcPr>
            <w:tcW w:w="1631" w:type="dxa"/>
            <w:tcBorders>
              <w:top w:val="nil"/>
              <w:left w:val="nil"/>
              <w:bottom w:val="nil"/>
              <w:right w:val="nil"/>
            </w:tcBorders>
            <w:vAlign w:val="center"/>
          </w:tcPr>
          <w:p w14:paraId="20F1DEC1"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044</w:t>
            </w:r>
          </w:p>
        </w:tc>
        <w:tc>
          <w:tcPr>
            <w:tcW w:w="1866" w:type="dxa"/>
            <w:tcBorders>
              <w:top w:val="nil"/>
              <w:left w:val="nil"/>
              <w:bottom w:val="nil"/>
              <w:right w:val="nil"/>
            </w:tcBorders>
            <w:vAlign w:val="center"/>
          </w:tcPr>
          <w:p w14:paraId="79FB63DB"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3C32CF48" w14:textId="77777777" w:rsidR="00160EDF" w:rsidRPr="006924F3" w:rsidRDefault="00160EDF" w:rsidP="00D906FC">
            <w:pPr>
              <w:jc w:val="center"/>
              <w:rPr>
                <w:rFonts w:ascii="Times New Roman" w:hAnsi="Times New Roman" w:cs="Times New Roman"/>
              </w:rPr>
            </w:pPr>
          </w:p>
        </w:tc>
      </w:tr>
      <w:tr w:rsidR="00160EDF" w14:paraId="660FE68A" w14:textId="77777777" w:rsidTr="00D906FC">
        <w:trPr>
          <w:trHeight w:val="199"/>
        </w:trPr>
        <w:tc>
          <w:tcPr>
            <w:tcW w:w="3967" w:type="dxa"/>
            <w:tcBorders>
              <w:top w:val="nil"/>
              <w:left w:val="nil"/>
              <w:bottom w:val="nil"/>
              <w:right w:val="nil"/>
            </w:tcBorders>
          </w:tcPr>
          <w:p w14:paraId="2A5CE136"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Yes</w:t>
            </w:r>
            <w:r w:rsidRPr="006924F3">
              <w:rPr>
                <w:rFonts w:ascii="Times New Roman" w:hAnsi="Times New Roman" w:cs="Times New Roman"/>
              </w:rPr>
              <w:tab/>
            </w:r>
          </w:p>
        </w:tc>
        <w:tc>
          <w:tcPr>
            <w:tcW w:w="1631" w:type="dxa"/>
            <w:tcBorders>
              <w:top w:val="nil"/>
              <w:left w:val="nil"/>
              <w:bottom w:val="nil"/>
              <w:right w:val="nil"/>
            </w:tcBorders>
            <w:vAlign w:val="center"/>
          </w:tcPr>
          <w:p w14:paraId="483894D5"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2</w:t>
            </w:r>
            <w:r>
              <w:rPr>
                <w:rFonts w:ascii="Times New Roman" w:hAnsi="Times New Roman" w:cs="Times New Roman"/>
              </w:rPr>
              <w:t>,</w:t>
            </w:r>
            <w:r w:rsidRPr="006924F3">
              <w:rPr>
                <w:rFonts w:ascii="Times New Roman" w:hAnsi="Times New Roman" w:cs="Times New Roman"/>
              </w:rPr>
              <w:t>247</w:t>
            </w:r>
          </w:p>
        </w:tc>
        <w:tc>
          <w:tcPr>
            <w:tcW w:w="1866" w:type="dxa"/>
            <w:tcBorders>
              <w:top w:val="nil"/>
              <w:left w:val="nil"/>
              <w:bottom w:val="nil"/>
              <w:right w:val="nil"/>
            </w:tcBorders>
            <w:vAlign w:val="center"/>
          </w:tcPr>
          <w:p w14:paraId="3DB27C68"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13.2</w:t>
            </w:r>
          </w:p>
        </w:tc>
        <w:tc>
          <w:tcPr>
            <w:tcW w:w="2179" w:type="dxa"/>
            <w:tcBorders>
              <w:top w:val="nil"/>
              <w:left w:val="nil"/>
              <w:bottom w:val="nil"/>
              <w:right w:val="nil"/>
            </w:tcBorders>
            <w:vAlign w:val="center"/>
          </w:tcPr>
          <w:p w14:paraId="035B7122"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12.7-13.7</w:t>
            </w:r>
          </w:p>
        </w:tc>
      </w:tr>
      <w:tr w:rsidR="00160EDF" w14:paraId="72753525" w14:textId="77777777" w:rsidTr="004B40E0">
        <w:trPr>
          <w:trHeight w:val="199"/>
        </w:trPr>
        <w:tc>
          <w:tcPr>
            <w:tcW w:w="3967" w:type="dxa"/>
            <w:tcBorders>
              <w:top w:val="nil"/>
              <w:left w:val="nil"/>
              <w:bottom w:val="nil"/>
              <w:right w:val="nil"/>
            </w:tcBorders>
          </w:tcPr>
          <w:p w14:paraId="0B0C1706"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No</w:t>
            </w:r>
          </w:p>
        </w:tc>
        <w:tc>
          <w:tcPr>
            <w:tcW w:w="1631" w:type="dxa"/>
            <w:tcBorders>
              <w:top w:val="nil"/>
              <w:left w:val="nil"/>
              <w:bottom w:val="nil"/>
              <w:right w:val="nil"/>
            </w:tcBorders>
            <w:vAlign w:val="center"/>
          </w:tcPr>
          <w:p w14:paraId="69DC0151"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14</w:t>
            </w:r>
            <w:r>
              <w:rPr>
                <w:rFonts w:ascii="Times New Roman" w:hAnsi="Times New Roman" w:cs="Times New Roman"/>
              </w:rPr>
              <w:t>,</w:t>
            </w:r>
            <w:r w:rsidRPr="006924F3">
              <w:rPr>
                <w:rFonts w:ascii="Times New Roman" w:hAnsi="Times New Roman" w:cs="Times New Roman"/>
              </w:rPr>
              <w:t>797</w:t>
            </w:r>
          </w:p>
        </w:tc>
        <w:tc>
          <w:tcPr>
            <w:tcW w:w="1866" w:type="dxa"/>
            <w:tcBorders>
              <w:top w:val="nil"/>
              <w:left w:val="nil"/>
              <w:bottom w:val="nil"/>
              <w:right w:val="nil"/>
            </w:tcBorders>
            <w:vAlign w:val="center"/>
          </w:tcPr>
          <w:p w14:paraId="382B6CD9"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86.8</w:t>
            </w:r>
          </w:p>
        </w:tc>
        <w:tc>
          <w:tcPr>
            <w:tcW w:w="2179" w:type="dxa"/>
            <w:tcBorders>
              <w:top w:val="nil"/>
              <w:left w:val="nil"/>
              <w:bottom w:val="nil"/>
              <w:right w:val="nil"/>
            </w:tcBorders>
            <w:vAlign w:val="center"/>
          </w:tcPr>
          <w:p w14:paraId="74FB944D"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86.3-87.3</w:t>
            </w:r>
          </w:p>
        </w:tc>
      </w:tr>
      <w:tr w:rsidR="00160EDF" w14:paraId="1D763D7D" w14:textId="77777777" w:rsidTr="004B40E0">
        <w:trPr>
          <w:trHeight w:val="199"/>
        </w:trPr>
        <w:tc>
          <w:tcPr>
            <w:tcW w:w="3967" w:type="dxa"/>
            <w:tcBorders>
              <w:top w:val="nil"/>
              <w:left w:val="nil"/>
              <w:bottom w:val="nil"/>
              <w:right w:val="nil"/>
            </w:tcBorders>
          </w:tcPr>
          <w:p w14:paraId="1584D14B" w14:textId="77777777" w:rsidR="00160EDF" w:rsidRPr="006924F3" w:rsidRDefault="00160EDF" w:rsidP="00D906FC">
            <w:pPr>
              <w:rPr>
                <w:rFonts w:ascii="Times New Roman" w:hAnsi="Times New Roman" w:cs="Times New Roman"/>
              </w:rPr>
            </w:pPr>
            <w:r w:rsidRPr="006924F3">
              <w:rPr>
                <w:rFonts w:ascii="Times New Roman" w:hAnsi="Times New Roman" w:cs="Times New Roman"/>
                <w:b/>
                <w:bCs/>
              </w:rPr>
              <w:t>Kidney Problems</w:t>
            </w:r>
          </w:p>
        </w:tc>
        <w:tc>
          <w:tcPr>
            <w:tcW w:w="1631" w:type="dxa"/>
            <w:tcBorders>
              <w:top w:val="nil"/>
              <w:left w:val="nil"/>
              <w:bottom w:val="nil"/>
              <w:right w:val="nil"/>
            </w:tcBorders>
            <w:vAlign w:val="center"/>
          </w:tcPr>
          <w:p w14:paraId="235DDFAC"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b/>
                <w:bCs/>
              </w:rPr>
              <w:t>n=14</w:t>
            </w:r>
            <w:r>
              <w:rPr>
                <w:rFonts w:ascii="Times New Roman" w:hAnsi="Times New Roman" w:cs="Times New Roman"/>
                <w:b/>
                <w:bCs/>
              </w:rPr>
              <w:t>,</w:t>
            </w:r>
            <w:r w:rsidRPr="006924F3">
              <w:rPr>
                <w:rFonts w:ascii="Times New Roman" w:hAnsi="Times New Roman" w:cs="Times New Roman"/>
                <w:b/>
                <w:bCs/>
              </w:rPr>
              <w:t>881</w:t>
            </w:r>
          </w:p>
        </w:tc>
        <w:tc>
          <w:tcPr>
            <w:tcW w:w="1866" w:type="dxa"/>
            <w:tcBorders>
              <w:top w:val="nil"/>
              <w:left w:val="nil"/>
              <w:bottom w:val="nil"/>
              <w:right w:val="nil"/>
            </w:tcBorders>
            <w:vAlign w:val="center"/>
          </w:tcPr>
          <w:p w14:paraId="635A9084"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2466F949" w14:textId="77777777" w:rsidR="00160EDF" w:rsidRPr="006924F3" w:rsidRDefault="00160EDF" w:rsidP="00D906FC">
            <w:pPr>
              <w:jc w:val="center"/>
              <w:rPr>
                <w:rFonts w:ascii="Times New Roman" w:hAnsi="Times New Roman" w:cs="Times New Roman"/>
              </w:rPr>
            </w:pPr>
          </w:p>
        </w:tc>
      </w:tr>
      <w:tr w:rsidR="00160EDF" w14:paraId="54E7A484" w14:textId="77777777" w:rsidTr="00D906FC">
        <w:trPr>
          <w:trHeight w:val="199"/>
        </w:trPr>
        <w:tc>
          <w:tcPr>
            <w:tcW w:w="3967" w:type="dxa"/>
            <w:tcBorders>
              <w:top w:val="nil"/>
              <w:left w:val="nil"/>
              <w:bottom w:val="nil"/>
              <w:right w:val="nil"/>
            </w:tcBorders>
          </w:tcPr>
          <w:p w14:paraId="5C21A153"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Yes</w:t>
            </w:r>
          </w:p>
        </w:tc>
        <w:tc>
          <w:tcPr>
            <w:tcW w:w="1631" w:type="dxa"/>
            <w:tcBorders>
              <w:top w:val="nil"/>
              <w:left w:val="nil"/>
              <w:bottom w:val="nil"/>
              <w:right w:val="nil"/>
            </w:tcBorders>
            <w:vAlign w:val="center"/>
          </w:tcPr>
          <w:p w14:paraId="1136E0D8"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w:t>
            </w:r>
            <w:r>
              <w:rPr>
                <w:rFonts w:ascii="Times New Roman" w:hAnsi="Times New Roman" w:cs="Times New Roman"/>
              </w:rPr>
              <w:t>,</w:t>
            </w:r>
            <w:r w:rsidRPr="006924F3">
              <w:rPr>
                <w:rFonts w:ascii="Times New Roman" w:hAnsi="Times New Roman" w:cs="Times New Roman"/>
              </w:rPr>
              <w:t>730</w:t>
            </w:r>
          </w:p>
        </w:tc>
        <w:tc>
          <w:tcPr>
            <w:tcW w:w="1866" w:type="dxa"/>
            <w:tcBorders>
              <w:top w:val="nil"/>
              <w:left w:val="nil"/>
              <w:bottom w:val="nil"/>
              <w:right w:val="nil"/>
            </w:tcBorders>
            <w:vAlign w:val="center"/>
          </w:tcPr>
          <w:p w14:paraId="015C8355"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11.6</w:t>
            </w:r>
          </w:p>
        </w:tc>
        <w:tc>
          <w:tcPr>
            <w:tcW w:w="2179" w:type="dxa"/>
            <w:tcBorders>
              <w:top w:val="nil"/>
              <w:left w:val="nil"/>
              <w:bottom w:val="nil"/>
              <w:right w:val="nil"/>
            </w:tcBorders>
            <w:vAlign w:val="center"/>
          </w:tcPr>
          <w:p w14:paraId="55270495"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11.1-12.1</w:t>
            </w:r>
          </w:p>
        </w:tc>
      </w:tr>
      <w:tr w:rsidR="00160EDF" w14:paraId="3504A206" w14:textId="77777777" w:rsidTr="004B40E0">
        <w:trPr>
          <w:trHeight w:val="199"/>
        </w:trPr>
        <w:tc>
          <w:tcPr>
            <w:tcW w:w="3967" w:type="dxa"/>
            <w:tcBorders>
              <w:top w:val="nil"/>
              <w:left w:val="nil"/>
              <w:bottom w:val="nil"/>
              <w:right w:val="nil"/>
            </w:tcBorders>
          </w:tcPr>
          <w:p w14:paraId="559F3FD5"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No</w:t>
            </w:r>
          </w:p>
        </w:tc>
        <w:tc>
          <w:tcPr>
            <w:tcW w:w="1631" w:type="dxa"/>
            <w:tcBorders>
              <w:top w:val="nil"/>
              <w:left w:val="nil"/>
              <w:bottom w:val="nil"/>
              <w:right w:val="nil"/>
            </w:tcBorders>
            <w:vAlign w:val="center"/>
          </w:tcPr>
          <w:p w14:paraId="5960AD16"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13</w:t>
            </w:r>
            <w:r>
              <w:rPr>
                <w:rFonts w:ascii="Times New Roman" w:hAnsi="Times New Roman" w:cs="Times New Roman"/>
              </w:rPr>
              <w:t>,</w:t>
            </w:r>
            <w:r w:rsidRPr="006924F3">
              <w:rPr>
                <w:rFonts w:ascii="Times New Roman" w:hAnsi="Times New Roman" w:cs="Times New Roman"/>
              </w:rPr>
              <w:t>151</w:t>
            </w:r>
          </w:p>
        </w:tc>
        <w:tc>
          <w:tcPr>
            <w:tcW w:w="1866" w:type="dxa"/>
            <w:tcBorders>
              <w:top w:val="nil"/>
              <w:left w:val="nil"/>
              <w:bottom w:val="nil"/>
              <w:right w:val="nil"/>
            </w:tcBorders>
            <w:vAlign w:val="center"/>
          </w:tcPr>
          <w:p w14:paraId="6CDD159B"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88.4</w:t>
            </w:r>
          </w:p>
        </w:tc>
        <w:tc>
          <w:tcPr>
            <w:tcW w:w="2179" w:type="dxa"/>
            <w:tcBorders>
              <w:top w:val="nil"/>
              <w:left w:val="nil"/>
              <w:bottom w:val="nil"/>
              <w:right w:val="nil"/>
            </w:tcBorders>
            <w:vAlign w:val="center"/>
          </w:tcPr>
          <w:p w14:paraId="7892DBBC"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87.9-88.9</w:t>
            </w:r>
          </w:p>
        </w:tc>
      </w:tr>
      <w:tr w:rsidR="00160EDF" w14:paraId="3C3F85AF" w14:textId="77777777" w:rsidTr="004B40E0">
        <w:trPr>
          <w:trHeight w:val="380"/>
        </w:trPr>
        <w:tc>
          <w:tcPr>
            <w:tcW w:w="3967" w:type="dxa"/>
            <w:tcBorders>
              <w:top w:val="nil"/>
              <w:left w:val="nil"/>
              <w:bottom w:val="nil"/>
              <w:right w:val="nil"/>
            </w:tcBorders>
          </w:tcPr>
          <w:p w14:paraId="0DC89B39" w14:textId="77777777" w:rsidR="00160EDF" w:rsidRPr="006924F3" w:rsidRDefault="00160EDF" w:rsidP="00D906FC">
            <w:pPr>
              <w:rPr>
                <w:rFonts w:ascii="Times New Roman" w:hAnsi="Times New Roman" w:cs="Times New Roman"/>
              </w:rPr>
            </w:pPr>
            <w:r w:rsidRPr="006924F3">
              <w:rPr>
                <w:rFonts w:ascii="Times New Roman" w:hAnsi="Times New Roman" w:cs="Times New Roman"/>
                <w:b/>
                <w:bCs/>
              </w:rPr>
              <w:t>Coronary Artery Disease</w:t>
            </w:r>
          </w:p>
        </w:tc>
        <w:tc>
          <w:tcPr>
            <w:tcW w:w="1631" w:type="dxa"/>
            <w:tcBorders>
              <w:top w:val="nil"/>
              <w:left w:val="nil"/>
              <w:bottom w:val="nil"/>
              <w:right w:val="nil"/>
            </w:tcBorders>
            <w:vAlign w:val="center"/>
          </w:tcPr>
          <w:p w14:paraId="63F7816B"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b/>
                <w:bCs/>
              </w:rPr>
              <w:t>n=16</w:t>
            </w:r>
            <w:r>
              <w:rPr>
                <w:rFonts w:ascii="Times New Roman" w:hAnsi="Times New Roman" w:cs="Times New Roman"/>
                <w:b/>
                <w:bCs/>
              </w:rPr>
              <w:t>,</w:t>
            </w:r>
            <w:r w:rsidRPr="006924F3">
              <w:rPr>
                <w:rFonts w:ascii="Times New Roman" w:hAnsi="Times New Roman" w:cs="Times New Roman"/>
                <w:b/>
                <w:bCs/>
              </w:rPr>
              <w:t>832</w:t>
            </w:r>
          </w:p>
        </w:tc>
        <w:tc>
          <w:tcPr>
            <w:tcW w:w="1866" w:type="dxa"/>
            <w:tcBorders>
              <w:top w:val="nil"/>
              <w:left w:val="nil"/>
              <w:bottom w:val="nil"/>
              <w:right w:val="nil"/>
            </w:tcBorders>
            <w:vAlign w:val="center"/>
          </w:tcPr>
          <w:p w14:paraId="292CCA0D"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365028F1" w14:textId="77777777" w:rsidR="00160EDF" w:rsidRPr="006924F3" w:rsidRDefault="00160EDF" w:rsidP="00D906FC">
            <w:pPr>
              <w:jc w:val="center"/>
              <w:rPr>
                <w:rFonts w:ascii="Times New Roman" w:hAnsi="Times New Roman" w:cs="Times New Roman"/>
              </w:rPr>
            </w:pPr>
          </w:p>
        </w:tc>
      </w:tr>
      <w:tr w:rsidR="00160EDF" w14:paraId="6F7EB29D" w14:textId="77777777" w:rsidTr="007F1D73">
        <w:trPr>
          <w:trHeight w:val="190"/>
        </w:trPr>
        <w:tc>
          <w:tcPr>
            <w:tcW w:w="3967" w:type="dxa"/>
            <w:tcBorders>
              <w:top w:val="nil"/>
              <w:left w:val="nil"/>
              <w:bottom w:val="nil"/>
              <w:right w:val="nil"/>
            </w:tcBorders>
          </w:tcPr>
          <w:p w14:paraId="6BF86622"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Yes</w:t>
            </w:r>
          </w:p>
        </w:tc>
        <w:tc>
          <w:tcPr>
            <w:tcW w:w="1631" w:type="dxa"/>
            <w:tcBorders>
              <w:top w:val="nil"/>
              <w:left w:val="nil"/>
              <w:bottom w:val="nil"/>
              <w:right w:val="nil"/>
            </w:tcBorders>
            <w:vAlign w:val="center"/>
          </w:tcPr>
          <w:p w14:paraId="33732535"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w:t>
            </w:r>
            <w:r>
              <w:rPr>
                <w:rFonts w:ascii="Times New Roman" w:hAnsi="Times New Roman" w:cs="Times New Roman"/>
              </w:rPr>
              <w:t>,</w:t>
            </w:r>
            <w:r w:rsidRPr="006924F3">
              <w:rPr>
                <w:rFonts w:ascii="Times New Roman" w:hAnsi="Times New Roman" w:cs="Times New Roman"/>
              </w:rPr>
              <w:t>919</w:t>
            </w:r>
          </w:p>
        </w:tc>
        <w:tc>
          <w:tcPr>
            <w:tcW w:w="1866" w:type="dxa"/>
            <w:tcBorders>
              <w:top w:val="nil"/>
              <w:left w:val="nil"/>
              <w:bottom w:val="nil"/>
              <w:right w:val="nil"/>
            </w:tcBorders>
            <w:vAlign w:val="center"/>
          </w:tcPr>
          <w:p w14:paraId="636729A9"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11.4</w:t>
            </w:r>
          </w:p>
        </w:tc>
        <w:tc>
          <w:tcPr>
            <w:tcW w:w="2179" w:type="dxa"/>
            <w:tcBorders>
              <w:top w:val="nil"/>
              <w:left w:val="nil"/>
              <w:bottom w:val="nil"/>
              <w:right w:val="nil"/>
            </w:tcBorders>
            <w:vAlign w:val="center"/>
          </w:tcPr>
          <w:p w14:paraId="07B61635"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10.9-11.9</w:t>
            </w:r>
          </w:p>
        </w:tc>
      </w:tr>
      <w:tr w:rsidR="00160EDF" w14:paraId="267BF8B3" w14:textId="77777777" w:rsidTr="007F1D73">
        <w:trPr>
          <w:trHeight w:val="190"/>
        </w:trPr>
        <w:tc>
          <w:tcPr>
            <w:tcW w:w="3967" w:type="dxa"/>
            <w:tcBorders>
              <w:top w:val="nil"/>
              <w:left w:val="nil"/>
              <w:bottom w:val="nil"/>
              <w:right w:val="nil"/>
            </w:tcBorders>
          </w:tcPr>
          <w:p w14:paraId="6A971630"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No</w:t>
            </w:r>
          </w:p>
        </w:tc>
        <w:tc>
          <w:tcPr>
            <w:tcW w:w="1631" w:type="dxa"/>
            <w:tcBorders>
              <w:top w:val="nil"/>
              <w:left w:val="nil"/>
              <w:bottom w:val="nil"/>
              <w:right w:val="nil"/>
            </w:tcBorders>
            <w:vAlign w:val="center"/>
          </w:tcPr>
          <w:p w14:paraId="413B11AB"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14</w:t>
            </w:r>
            <w:r>
              <w:rPr>
                <w:rFonts w:ascii="Times New Roman" w:hAnsi="Times New Roman" w:cs="Times New Roman"/>
              </w:rPr>
              <w:t>,</w:t>
            </w:r>
            <w:r w:rsidRPr="006924F3">
              <w:rPr>
                <w:rFonts w:ascii="Times New Roman" w:hAnsi="Times New Roman" w:cs="Times New Roman"/>
              </w:rPr>
              <w:t>913</w:t>
            </w:r>
          </w:p>
        </w:tc>
        <w:tc>
          <w:tcPr>
            <w:tcW w:w="1866" w:type="dxa"/>
            <w:tcBorders>
              <w:top w:val="nil"/>
              <w:left w:val="nil"/>
              <w:bottom w:val="nil"/>
              <w:right w:val="nil"/>
            </w:tcBorders>
            <w:vAlign w:val="center"/>
          </w:tcPr>
          <w:p w14:paraId="1221ABFC"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88.6</w:t>
            </w:r>
          </w:p>
        </w:tc>
        <w:tc>
          <w:tcPr>
            <w:tcW w:w="2179" w:type="dxa"/>
            <w:tcBorders>
              <w:top w:val="nil"/>
              <w:left w:val="nil"/>
              <w:bottom w:val="nil"/>
              <w:right w:val="nil"/>
            </w:tcBorders>
            <w:vAlign w:val="center"/>
          </w:tcPr>
          <w:p w14:paraId="30CF9460"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88.1-89.1</w:t>
            </w:r>
          </w:p>
        </w:tc>
      </w:tr>
      <w:tr w:rsidR="00160EDF" w14:paraId="1BDFDF38" w14:textId="77777777" w:rsidTr="007F1D73">
        <w:trPr>
          <w:trHeight w:val="199"/>
        </w:trPr>
        <w:tc>
          <w:tcPr>
            <w:tcW w:w="3967" w:type="dxa"/>
            <w:tcBorders>
              <w:top w:val="nil"/>
              <w:left w:val="nil"/>
              <w:bottom w:val="nil"/>
              <w:right w:val="nil"/>
            </w:tcBorders>
          </w:tcPr>
          <w:p w14:paraId="7D00ABFD" w14:textId="77777777" w:rsidR="00160EDF" w:rsidRPr="006924F3" w:rsidRDefault="00160EDF" w:rsidP="00D906FC">
            <w:pPr>
              <w:rPr>
                <w:rFonts w:ascii="Times New Roman" w:hAnsi="Times New Roman" w:cs="Times New Roman"/>
                <w:b/>
                <w:bCs/>
              </w:rPr>
            </w:pPr>
          </w:p>
        </w:tc>
        <w:tc>
          <w:tcPr>
            <w:tcW w:w="1631" w:type="dxa"/>
            <w:tcBorders>
              <w:top w:val="nil"/>
              <w:left w:val="nil"/>
              <w:bottom w:val="nil"/>
              <w:right w:val="nil"/>
            </w:tcBorders>
            <w:vAlign w:val="center"/>
          </w:tcPr>
          <w:p w14:paraId="1DD2F542" w14:textId="77777777" w:rsidR="00160EDF" w:rsidRPr="006924F3" w:rsidRDefault="00160EDF" w:rsidP="00D906FC">
            <w:pPr>
              <w:jc w:val="center"/>
              <w:rPr>
                <w:rFonts w:ascii="Times New Roman" w:hAnsi="Times New Roman" w:cs="Times New Roman"/>
                <w:b/>
                <w:bCs/>
              </w:rPr>
            </w:pPr>
          </w:p>
        </w:tc>
        <w:tc>
          <w:tcPr>
            <w:tcW w:w="1866" w:type="dxa"/>
            <w:tcBorders>
              <w:top w:val="nil"/>
              <w:left w:val="nil"/>
              <w:bottom w:val="nil"/>
              <w:right w:val="nil"/>
            </w:tcBorders>
            <w:vAlign w:val="center"/>
          </w:tcPr>
          <w:p w14:paraId="4117B1A1"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4506405C" w14:textId="77777777" w:rsidR="00160EDF" w:rsidRPr="006924F3" w:rsidRDefault="00160EDF" w:rsidP="00D906FC">
            <w:pPr>
              <w:jc w:val="center"/>
              <w:rPr>
                <w:rFonts w:ascii="Times New Roman" w:hAnsi="Times New Roman" w:cs="Times New Roman"/>
              </w:rPr>
            </w:pPr>
          </w:p>
        </w:tc>
      </w:tr>
      <w:tr w:rsidR="00160EDF" w14:paraId="39C4DAFA" w14:textId="77777777" w:rsidTr="00D906FC">
        <w:trPr>
          <w:trHeight w:val="199"/>
        </w:trPr>
        <w:tc>
          <w:tcPr>
            <w:tcW w:w="3967" w:type="dxa"/>
            <w:tcBorders>
              <w:top w:val="nil"/>
              <w:left w:val="nil"/>
              <w:bottom w:val="nil"/>
              <w:right w:val="nil"/>
            </w:tcBorders>
          </w:tcPr>
          <w:p w14:paraId="768319FE" w14:textId="77777777" w:rsidR="00160EDF" w:rsidRPr="006924F3" w:rsidRDefault="00160EDF" w:rsidP="00D906FC">
            <w:pPr>
              <w:rPr>
                <w:rFonts w:ascii="Times New Roman" w:hAnsi="Times New Roman" w:cs="Times New Roman"/>
                <w:b/>
                <w:bCs/>
              </w:rPr>
            </w:pPr>
          </w:p>
        </w:tc>
        <w:tc>
          <w:tcPr>
            <w:tcW w:w="1631" w:type="dxa"/>
            <w:tcBorders>
              <w:top w:val="nil"/>
              <w:left w:val="nil"/>
              <w:bottom w:val="nil"/>
              <w:right w:val="nil"/>
            </w:tcBorders>
            <w:vAlign w:val="center"/>
          </w:tcPr>
          <w:p w14:paraId="1E891D63" w14:textId="77777777" w:rsidR="00160EDF" w:rsidRPr="006924F3" w:rsidRDefault="00160EDF" w:rsidP="00D906FC">
            <w:pPr>
              <w:jc w:val="center"/>
              <w:rPr>
                <w:rFonts w:ascii="Times New Roman" w:hAnsi="Times New Roman" w:cs="Times New Roman"/>
                <w:b/>
                <w:bCs/>
              </w:rPr>
            </w:pPr>
          </w:p>
        </w:tc>
        <w:tc>
          <w:tcPr>
            <w:tcW w:w="1866" w:type="dxa"/>
            <w:tcBorders>
              <w:top w:val="nil"/>
              <w:left w:val="nil"/>
              <w:bottom w:val="nil"/>
              <w:right w:val="nil"/>
            </w:tcBorders>
            <w:vAlign w:val="center"/>
          </w:tcPr>
          <w:p w14:paraId="0D39190A"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62823F57" w14:textId="77777777" w:rsidR="00160EDF" w:rsidRPr="006924F3" w:rsidRDefault="00160EDF" w:rsidP="00D906FC">
            <w:pPr>
              <w:jc w:val="center"/>
              <w:rPr>
                <w:rFonts w:ascii="Times New Roman" w:hAnsi="Times New Roman" w:cs="Times New Roman"/>
              </w:rPr>
            </w:pPr>
          </w:p>
        </w:tc>
      </w:tr>
      <w:tr w:rsidR="00160EDF" w14:paraId="2B3300E9" w14:textId="77777777" w:rsidTr="00746524">
        <w:trPr>
          <w:trHeight w:val="199"/>
        </w:trPr>
        <w:tc>
          <w:tcPr>
            <w:tcW w:w="3967" w:type="dxa"/>
            <w:tcBorders>
              <w:top w:val="single" w:sz="12" w:space="0" w:color="auto"/>
              <w:left w:val="nil"/>
              <w:bottom w:val="nil"/>
              <w:right w:val="nil"/>
            </w:tcBorders>
          </w:tcPr>
          <w:p w14:paraId="501171A6"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b/>
                <w:bCs/>
              </w:rPr>
              <w:lastRenderedPageBreak/>
              <w:t>Myocardial Infarction</w:t>
            </w:r>
          </w:p>
        </w:tc>
        <w:tc>
          <w:tcPr>
            <w:tcW w:w="1631" w:type="dxa"/>
            <w:tcBorders>
              <w:top w:val="single" w:sz="12" w:space="0" w:color="auto"/>
              <w:left w:val="nil"/>
              <w:bottom w:val="nil"/>
              <w:right w:val="nil"/>
            </w:tcBorders>
            <w:vAlign w:val="center"/>
          </w:tcPr>
          <w:p w14:paraId="4841DC6C"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n=16</w:t>
            </w:r>
            <w:r>
              <w:rPr>
                <w:rFonts w:ascii="Times New Roman" w:hAnsi="Times New Roman" w:cs="Times New Roman"/>
                <w:b/>
                <w:bCs/>
              </w:rPr>
              <w:t>,</w:t>
            </w:r>
            <w:r w:rsidRPr="006924F3">
              <w:rPr>
                <w:rFonts w:ascii="Times New Roman" w:hAnsi="Times New Roman" w:cs="Times New Roman"/>
                <w:b/>
                <w:bCs/>
              </w:rPr>
              <w:t>945</w:t>
            </w:r>
          </w:p>
        </w:tc>
        <w:tc>
          <w:tcPr>
            <w:tcW w:w="1866" w:type="dxa"/>
            <w:tcBorders>
              <w:top w:val="single" w:sz="12" w:space="0" w:color="auto"/>
              <w:left w:val="nil"/>
              <w:bottom w:val="nil"/>
              <w:right w:val="nil"/>
            </w:tcBorders>
            <w:vAlign w:val="center"/>
          </w:tcPr>
          <w:p w14:paraId="21B20363" w14:textId="77777777" w:rsidR="00160EDF" w:rsidRPr="006924F3" w:rsidRDefault="00160EDF" w:rsidP="00D906FC">
            <w:pPr>
              <w:jc w:val="center"/>
              <w:rPr>
                <w:rFonts w:ascii="Times New Roman" w:hAnsi="Times New Roman" w:cs="Times New Roman"/>
              </w:rPr>
            </w:pPr>
          </w:p>
        </w:tc>
        <w:tc>
          <w:tcPr>
            <w:tcW w:w="2179" w:type="dxa"/>
            <w:tcBorders>
              <w:top w:val="single" w:sz="12" w:space="0" w:color="auto"/>
              <w:left w:val="nil"/>
              <w:bottom w:val="nil"/>
              <w:right w:val="nil"/>
            </w:tcBorders>
            <w:vAlign w:val="center"/>
          </w:tcPr>
          <w:p w14:paraId="4538B2DF" w14:textId="77777777" w:rsidR="00160EDF" w:rsidRPr="006924F3" w:rsidRDefault="00160EDF" w:rsidP="00D906FC">
            <w:pPr>
              <w:jc w:val="center"/>
              <w:rPr>
                <w:rFonts w:ascii="Times New Roman" w:hAnsi="Times New Roman" w:cs="Times New Roman"/>
              </w:rPr>
            </w:pPr>
          </w:p>
        </w:tc>
      </w:tr>
      <w:tr w:rsidR="00160EDF" w14:paraId="1D5C2948" w14:textId="77777777" w:rsidTr="004B40E0">
        <w:trPr>
          <w:trHeight w:val="190"/>
        </w:trPr>
        <w:tc>
          <w:tcPr>
            <w:tcW w:w="3967" w:type="dxa"/>
            <w:tcBorders>
              <w:top w:val="nil"/>
              <w:left w:val="nil"/>
              <w:bottom w:val="nil"/>
              <w:right w:val="nil"/>
            </w:tcBorders>
          </w:tcPr>
          <w:p w14:paraId="5EB6B3B3"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Yes</w:t>
            </w:r>
          </w:p>
        </w:tc>
        <w:tc>
          <w:tcPr>
            <w:tcW w:w="1631" w:type="dxa"/>
            <w:tcBorders>
              <w:top w:val="nil"/>
              <w:left w:val="nil"/>
              <w:bottom w:val="nil"/>
              <w:right w:val="nil"/>
            </w:tcBorders>
            <w:vAlign w:val="center"/>
          </w:tcPr>
          <w:p w14:paraId="2218B7B1"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w:t>
            </w:r>
            <w:r>
              <w:rPr>
                <w:rFonts w:ascii="Times New Roman" w:hAnsi="Times New Roman" w:cs="Times New Roman"/>
              </w:rPr>
              <w:t>,</w:t>
            </w:r>
            <w:r w:rsidRPr="006924F3">
              <w:rPr>
                <w:rFonts w:ascii="Times New Roman" w:hAnsi="Times New Roman" w:cs="Times New Roman"/>
              </w:rPr>
              <w:t>445</w:t>
            </w:r>
          </w:p>
        </w:tc>
        <w:tc>
          <w:tcPr>
            <w:tcW w:w="1866" w:type="dxa"/>
            <w:tcBorders>
              <w:top w:val="nil"/>
              <w:left w:val="nil"/>
              <w:bottom w:val="nil"/>
              <w:right w:val="nil"/>
            </w:tcBorders>
            <w:vAlign w:val="center"/>
          </w:tcPr>
          <w:p w14:paraId="294BB6BA"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8.5</w:t>
            </w:r>
          </w:p>
        </w:tc>
        <w:tc>
          <w:tcPr>
            <w:tcW w:w="2179" w:type="dxa"/>
            <w:tcBorders>
              <w:top w:val="nil"/>
              <w:left w:val="nil"/>
              <w:bottom w:val="nil"/>
              <w:right w:val="nil"/>
            </w:tcBorders>
            <w:vAlign w:val="center"/>
          </w:tcPr>
          <w:p w14:paraId="58ADC49A"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8.1-9.0</w:t>
            </w:r>
          </w:p>
        </w:tc>
      </w:tr>
      <w:tr w:rsidR="00160EDF" w14:paraId="6A4D649F" w14:textId="77777777" w:rsidTr="004B40E0">
        <w:trPr>
          <w:trHeight w:val="190"/>
        </w:trPr>
        <w:tc>
          <w:tcPr>
            <w:tcW w:w="3967" w:type="dxa"/>
            <w:tcBorders>
              <w:top w:val="nil"/>
              <w:left w:val="nil"/>
              <w:bottom w:val="nil"/>
              <w:right w:val="nil"/>
            </w:tcBorders>
          </w:tcPr>
          <w:p w14:paraId="73A860C2"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No</w:t>
            </w:r>
          </w:p>
        </w:tc>
        <w:tc>
          <w:tcPr>
            <w:tcW w:w="1631" w:type="dxa"/>
            <w:tcBorders>
              <w:top w:val="nil"/>
              <w:left w:val="nil"/>
              <w:bottom w:val="nil"/>
              <w:right w:val="nil"/>
            </w:tcBorders>
            <w:vAlign w:val="center"/>
          </w:tcPr>
          <w:p w14:paraId="1D94D5C2"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15</w:t>
            </w:r>
            <w:r>
              <w:rPr>
                <w:rFonts w:ascii="Times New Roman" w:hAnsi="Times New Roman" w:cs="Times New Roman"/>
              </w:rPr>
              <w:t>,</w:t>
            </w:r>
            <w:r w:rsidRPr="006924F3">
              <w:rPr>
                <w:rFonts w:ascii="Times New Roman" w:hAnsi="Times New Roman" w:cs="Times New Roman"/>
              </w:rPr>
              <w:t>500</w:t>
            </w:r>
          </w:p>
        </w:tc>
        <w:tc>
          <w:tcPr>
            <w:tcW w:w="1866" w:type="dxa"/>
            <w:tcBorders>
              <w:top w:val="nil"/>
              <w:left w:val="nil"/>
              <w:bottom w:val="nil"/>
              <w:right w:val="nil"/>
            </w:tcBorders>
            <w:vAlign w:val="center"/>
          </w:tcPr>
          <w:p w14:paraId="71D940E0"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91.5</w:t>
            </w:r>
          </w:p>
        </w:tc>
        <w:tc>
          <w:tcPr>
            <w:tcW w:w="2179" w:type="dxa"/>
            <w:tcBorders>
              <w:top w:val="nil"/>
              <w:left w:val="nil"/>
              <w:bottom w:val="nil"/>
              <w:right w:val="nil"/>
            </w:tcBorders>
            <w:vAlign w:val="center"/>
          </w:tcPr>
          <w:p w14:paraId="369AC391"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91.1-91.9</w:t>
            </w:r>
          </w:p>
        </w:tc>
      </w:tr>
      <w:tr w:rsidR="00160EDF" w14:paraId="34F562D1" w14:textId="77777777" w:rsidTr="004B40E0">
        <w:trPr>
          <w:trHeight w:val="190"/>
        </w:trPr>
        <w:tc>
          <w:tcPr>
            <w:tcW w:w="3967" w:type="dxa"/>
            <w:tcBorders>
              <w:top w:val="nil"/>
              <w:left w:val="nil"/>
              <w:bottom w:val="nil"/>
              <w:right w:val="nil"/>
            </w:tcBorders>
          </w:tcPr>
          <w:p w14:paraId="361A0486" w14:textId="77777777" w:rsidR="00160EDF" w:rsidRPr="006924F3" w:rsidRDefault="00160EDF" w:rsidP="00D906FC">
            <w:pPr>
              <w:rPr>
                <w:rFonts w:ascii="Times New Roman" w:hAnsi="Times New Roman" w:cs="Times New Roman"/>
              </w:rPr>
            </w:pPr>
            <w:r w:rsidRPr="006924F3">
              <w:rPr>
                <w:rFonts w:ascii="Times New Roman" w:hAnsi="Times New Roman" w:cs="Times New Roman"/>
                <w:b/>
                <w:bCs/>
              </w:rPr>
              <w:t>Stroke</w:t>
            </w:r>
          </w:p>
        </w:tc>
        <w:tc>
          <w:tcPr>
            <w:tcW w:w="1631" w:type="dxa"/>
            <w:tcBorders>
              <w:top w:val="nil"/>
              <w:left w:val="nil"/>
              <w:bottom w:val="nil"/>
              <w:right w:val="nil"/>
            </w:tcBorders>
            <w:vAlign w:val="center"/>
          </w:tcPr>
          <w:p w14:paraId="1F2C5D93"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087</w:t>
            </w:r>
          </w:p>
        </w:tc>
        <w:tc>
          <w:tcPr>
            <w:tcW w:w="1866" w:type="dxa"/>
            <w:tcBorders>
              <w:top w:val="nil"/>
              <w:left w:val="nil"/>
              <w:bottom w:val="nil"/>
              <w:right w:val="nil"/>
            </w:tcBorders>
            <w:vAlign w:val="center"/>
          </w:tcPr>
          <w:p w14:paraId="040EA287"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407DCB84" w14:textId="77777777" w:rsidR="00160EDF" w:rsidRPr="006924F3" w:rsidRDefault="00160EDF" w:rsidP="00D906FC">
            <w:pPr>
              <w:jc w:val="center"/>
              <w:rPr>
                <w:rFonts w:ascii="Times New Roman" w:hAnsi="Times New Roman" w:cs="Times New Roman"/>
              </w:rPr>
            </w:pPr>
          </w:p>
        </w:tc>
      </w:tr>
      <w:tr w:rsidR="00160EDF" w14:paraId="0F5EB36A" w14:textId="77777777" w:rsidTr="00D906FC">
        <w:trPr>
          <w:trHeight w:val="190"/>
        </w:trPr>
        <w:tc>
          <w:tcPr>
            <w:tcW w:w="3967" w:type="dxa"/>
            <w:tcBorders>
              <w:top w:val="nil"/>
              <w:left w:val="nil"/>
              <w:bottom w:val="nil"/>
              <w:right w:val="nil"/>
            </w:tcBorders>
          </w:tcPr>
          <w:p w14:paraId="44DCB9ED"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Yes</w:t>
            </w:r>
          </w:p>
        </w:tc>
        <w:tc>
          <w:tcPr>
            <w:tcW w:w="1631" w:type="dxa"/>
            <w:tcBorders>
              <w:top w:val="nil"/>
              <w:left w:val="nil"/>
              <w:bottom w:val="nil"/>
              <w:right w:val="nil"/>
            </w:tcBorders>
            <w:vAlign w:val="center"/>
          </w:tcPr>
          <w:p w14:paraId="62D5964F"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857</w:t>
            </w:r>
          </w:p>
        </w:tc>
        <w:tc>
          <w:tcPr>
            <w:tcW w:w="1866" w:type="dxa"/>
            <w:tcBorders>
              <w:top w:val="nil"/>
              <w:left w:val="nil"/>
              <w:bottom w:val="nil"/>
              <w:right w:val="nil"/>
            </w:tcBorders>
            <w:vAlign w:val="center"/>
          </w:tcPr>
          <w:p w14:paraId="36F42D0A"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5.0</w:t>
            </w:r>
          </w:p>
        </w:tc>
        <w:tc>
          <w:tcPr>
            <w:tcW w:w="2179" w:type="dxa"/>
            <w:tcBorders>
              <w:top w:val="nil"/>
              <w:left w:val="nil"/>
              <w:bottom w:val="nil"/>
              <w:right w:val="nil"/>
            </w:tcBorders>
            <w:vAlign w:val="center"/>
          </w:tcPr>
          <w:p w14:paraId="5070B864"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4.7-5.3</w:t>
            </w:r>
          </w:p>
        </w:tc>
      </w:tr>
      <w:tr w:rsidR="00160EDF" w14:paraId="381B1244" w14:textId="77777777" w:rsidTr="004B40E0">
        <w:trPr>
          <w:trHeight w:val="190"/>
        </w:trPr>
        <w:tc>
          <w:tcPr>
            <w:tcW w:w="3967" w:type="dxa"/>
            <w:tcBorders>
              <w:top w:val="nil"/>
              <w:left w:val="nil"/>
              <w:bottom w:val="nil"/>
              <w:right w:val="nil"/>
            </w:tcBorders>
          </w:tcPr>
          <w:p w14:paraId="3F15B03E"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No</w:t>
            </w:r>
          </w:p>
        </w:tc>
        <w:tc>
          <w:tcPr>
            <w:tcW w:w="1631" w:type="dxa"/>
            <w:tcBorders>
              <w:top w:val="nil"/>
              <w:left w:val="nil"/>
              <w:bottom w:val="nil"/>
              <w:right w:val="nil"/>
            </w:tcBorders>
            <w:vAlign w:val="center"/>
          </w:tcPr>
          <w:p w14:paraId="3E16FFFB"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16</w:t>
            </w:r>
            <w:r>
              <w:rPr>
                <w:rFonts w:ascii="Times New Roman" w:hAnsi="Times New Roman" w:cs="Times New Roman"/>
              </w:rPr>
              <w:t>,</w:t>
            </w:r>
            <w:r w:rsidRPr="006924F3">
              <w:rPr>
                <w:rFonts w:ascii="Times New Roman" w:hAnsi="Times New Roman" w:cs="Times New Roman"/>
              </w:rPr>
              <w:t>230</w:t>
            </w:r>
          </w:p>
        </w:tc>
        <w:tc>
          <w:tcPr>
            <w:tcW w:w="1866" w:type="dxa"/>
            <w:tcBorders>
              <w:top w:val="nil"/>
              <w:left w:val="nil"/>
              <w:bottom w:val="nil"/>
              <w:right w:val="nil"/>
            </w:tcBorders>
            <w:vAlign w:val="center"/>
          </w:tcPr>
          <w:p w14:paraId="136728A3"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95.0</w:t>
            </w:r>
          </w:p>
        </w:tc>
        <w:tc>
          <w:tcPr>
            <w:tcW w:w="2179" w:type="dxa"/>
            <w:tcBorders>
              <w:top w:val="nil"/>
              <w:left w:val="nil"/>
              <w:bottom w:val="nil"/>
              <w:right w:val="nil"/>
            </w:tcBorders>
            <w:vAlign w:val="center"/>
          </w:tcPr>
          <w:p w14:paraId="778EB0A1"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94.7-95.3</w:t>
            </w:r>
          </w:p>
        </w:tc>
      </w:tr>
      <w:tr w:rsidR="00160EDF" w14:paraId="6A15AE1D" w14:textId="77777777" w:rsidTr="004B40E0">
        <w:trPr>
          <w:trHeight w:val="190"/>
        </w:trPr>
        <w:tc>
          <w:tcPr>
            <w:tcW w:w="3967" w:type="dxa"/>
            <w:tcBorders>
              <w:top w:val="nil"/>
              <w:left w:val="nil"/>
              <w:bottom w:val="nil"/>
              <w:right w:val="nil"/>
            </w:tcBorders>
          </w:tcPr>
          <w:p w14:paraId="01988543" w14:textId="77777777" w:rsidR="00160EDF" w:rsidRPr="006924F3" w:rsidRDefault="00160EDF" w:rsidP="00D906FC">
            <w:pPr>
              <w:rPr>
                <w:rFonts w:ascii="Times New Roman" w:hAnsi="Times New Roman" w:cs="Times New Roman"/>
              </w:rPr>
            </w:pPr>
            <w:r w:rsidRPr="006924F3">
              <w:rPr>
                <w:rFonts w:ascii="Times New Roman" w:hAnsi="Times New Roman" w:cs="Times New Roman"/>
                <w:b/>
                <w:bCs/>
              </w:rPr>
              <w:t>Underweight</w:t>
            </w:r>
          </w:p>
        </w:tc>
        <w:tc>
          <w:tcPr>
            <w:tcW w:w="1631" w:type="dxa"/>
            <w:tcBorders>
              <w:top w:val="nil"/>
              <w:left w:val="nil"/>
              <w:bottom w:val="nil"/>
              <w:right w:val="nil"/>
            </w:tcBorders>
            <w:vAlign w:val="center"/>
          </w:tcPr>
          <w:p w14:paraId="533D048D"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445</w:t>
            </w:r>
          </w:p>
        </w:tc>
        <w:tc>
          <w:tcPr>
            <w:tcW w:w="1866" w:type="dxa"/>
            <w:tcBorders>
              <w:top w:val="nil"/>
              <w:left w:val="nil"/>
              <w:bottom w:val="nil"/>
              <w:right w:val="nil"/>
            </w:tcBorders>
            <w:vAlign w:val="center"/>
          </w:tcPr>
          <w:p w14:paraId="66E46B50"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63F5DC6A" w14:textId="77777777" w:rsidR="00160EDF" w:rsidRPr="006924F3" w:rsidRDefault="00160EDF" w:rsidP="00D906FC">
            <w:pPr>
              <w:jc w:val="center"/>
              <w:rPr>
                <w:rFonts w:ascii="Times New Roman" w:hAnsi="Times New Roman" w:cs="Times New Roman"/>
              </w:rPr>
            </w:pPr>
          </w:p>
        </w:tc>
      </w:tr>
      <w:tr w:rsidR="00160EDF" w14:paraId="474A4B32" w14:textId="77777777" w:rsidTr="00D906FC">
        <w:trPr>
          <w:trHeight w:val="190"/>
        </w:trPr>
        <w:tc>
          <w:tcPr>
            <w:tcW w:w="3967" w:type="dxa"/>
            <w:tcBorders>
              <w:top w:val="nil"/>
              <w:left w:val="nil"/>
              <w:bottom w:val="nil"/>
              <w:right w:val="nil"/>
            </w:tcBorders>
          </w:tcPr>
          <w:p w14:paraId="5CC5860B"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Yes</w:t>
            </w:r>
          </w:p>
        </w:tc>
        <w:tc>
          <w:tcPr>
            <w:tcW w:w="1631" w:type="dxa"/>
            <w:tcBorders>
              <w:top w:val="nil"/>
              <w:left w:val="nil"/>
              <w:bottom w:val="nil"/>
              <w:right w:val="nil"/>
            </w:tcBorders>
            <w:vAlign w:val="center"/>
          </w:tcPr>
          <w:p w14:paraId="20B44956"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83</w:t>
            </w:r>
          </w:p>
        </w:tc>
        <w:tc>
          <w:tcPr>
            <w:tcW w:w="1866" w:type="dxa"/>
            <w:tcBorders>
              <w:top w:val="nil"/>
              <w:left w:val="nil"/>
              <w:bottom w:val="nil"/>
              <w:right w:val="nil"/>
            </w:tcBorders>
            <w:vAlign w:val="center"/>
          </w:tcPr>
          <w:p w14:paraId="3F6E2CF4"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0.5</w:t>
            </w:r>
          </w:p>
        </w:tc>
        <w:tc>
          <w:tcPr>
            <w:tcW w:w="2179" w:type="dxa"/>
            <w:tcBorders>
              <w:top w:val="nil"/>
              <w:left w:val="nil"/>
              <w:bottom w:val="nil"/>
              <w:right w:val="nil"/>
            </w:tcBorders>
            <w:vAlign w:val="center"/>
          </w:tcPr>
          <w:p w14:paraId="00BF55C6"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0.4-0.6</w:t>
            </w:r>
          </w:p>
        </w:tc>
      </w:tr>
      <w:tr w:rsidR="00160EDF" w14:paraId="453786D6" w14:textId="77777777" w:rsidTr="004B40E0">
        <w:trPr>
          <w:trHeight w:val="190"/>
        </w:trPr>
        <w:tc>
          <w:tcPr>
            <w:tcW w:w="3967" w:type="dxa"/>
            <w:tcBorders>
              <w:top w:val="nil"/>
              <w:left w:val="nil"/>
              <w:bottom w:val="nil"/>
              <w:right w:val="nil"/>
            </w:tcBorders>
          </w:tcPr>
          <w:p w14:paraId="083394D6"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No</w:t>
            </w:r>
          </w:p>
        </w:tc>
        <w:tc>
          <w:tcPr>
            <w:tcW w:w="1631" w:type="dxa"/>
            <w:tcBorders>
              <w:top w:val="nil"/>
              <w:left w:val="nil"/>
              <w:bottom w:val="nil"/>
              <w:right w:val="nil"/>
            </w:tcBorders>
            <w:vAlign w:val="center"/>
          </w:tcPr>
          <w:p w14:paraId="3DE18240"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17</w:t>
            </w:r>
            <w:r>
              <w:rPr>
                <w:rFonts w:ascii="Times New Roman" w:hAnsi="Times New Roman" w:cs="Times New Roman"/>
              </w:rPr>
              <w:t>,</w:t>
            </w:r>
            <w:r w:rsidRPr="006924F3">
              <w:rPr>
                <w:rFonts w:ascii="Times New Roman" w:hAnsi="Times New Roman" w:cs="Times New Roman"/>
              </w:rPr>
              <w:t>362</w:t>
            </w:r>
          </w:p>
        </w:tc>
        <w:tc>
          <w:tcPr>
            <w:tcW w:w="1866" w:type="dxa"/>
            <w:tcBorders>
              <w:top w:val="nil"/>
              <w:left w:val="nil"/>
              <w:bottom w:val="nil"/>
              <w:right w:val="nil"/>
            </w:tcBorders>
            <w:vAlign w:val="center"/>
          </w:tcPr>
          <w:p w14:paraId="0F4EA70C"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99.5</w:t>
            </w:r>
          </w:p>
        </w:tc>
        <w:tc>
          <w:tcPr>
            <w:tcW w:w="2179" w:type="dxa"/>
            <w:tcBorders>
              <w:top w:val="nil"/>
              <w:left w:val="nil"/>
              <w:bottom w:val="nil"/>
              <w:right w:val="nil"/>
            </w:tcBorders>
            <w:vAlign w:val="center"/>
          </w:tcPr>
          <w:p w14:paraId="576B2A03"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99.4-99.6</w:t>
            </w:r>
          </w:p>
        </w:tc>
      </w:tr>
      <w:tr w:rsidR="00160EDF" w14:paraId="35AB1F35" w14:textId="77777777" w:rsidTr="004B40E0">
        <w:trPr>
          <w:trHeight w:val="190"/>
        </w:trPr>
        <w:tc>
          <w:tcPr>
            <w:tcW w:w="3967" w:type="dxa"/>
            <w:tcBorders>
              <w:top w:val="nil"/>
              <w:left w:val="nil"/>
              <w:bottom w:val="nil"/>
              <w:right w:val="nil"/>
            </w:tcBorders>
          </w:tcPr>
          <w:p w14:paraId="7E3CA019"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b/>
                <w:bCs/>
              </w:rPr>
              <w:t>Anemia</w:t>
            </w:r>
          </w:p>
        </w:tc>
        <w:tc>
          <w:tcPr>
            <w:tcW w:w="1631" w:type="dxa"/>
            <w:tcBorders>
              <w:top w:val="nil"/>
              <w:left w:val="nil"/>
              <w:bottom w:val="nil"/>
              <w:right w:val="nil"/>
            </w:tcBorders>
            <w:vAlign w:val="center"/>
          </w:tcPr>
          <w:p w14:paraId="76D6CF8C"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018</w:t>
            </w:r>
          </w:p>
        </w:tc>
        <w:tc>
          <w:tcPr>
            <w:tcW w:w="1866" w:type="dxa"/>
            <w:tcBorders>
              <w:top w:val="nil"/>
              <w:left w:val="nil"/>
              <w:bottom w:val="nil"/>
              <w:right w:val="nil"/>
            </w:tcBorders>
            <w:vAlign w:val="center"/>
          </w:tcPr>
          <w:p w14:paraId="29E5206D"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5619C518" w14:textId="77777777" w:rsidR="00160EDF" w:rsidRPr="006924F3" w:rsidRDefault="00160EDF" w:rsidP="00D906FC">
            <w:pPr>
              <w:jc w:val="center"/>
              <w:rPr>
                <w:rFonts w:ascii="Times New Roman" w:hAnsi="Times New Roman" w:cs="Times New Roman"/>
              </w:rPr>
            </w:pPr>
          </w:p>
        </w:tc>
      </w:tr>
      <w:tr w:rsidR="00160EDF" w14:paraId="3A9CF0FB" w14:textId="77777777" w:rsidTr="00D906FC">
        <w:trPr>
          <w:trHeight w:val="190"/>
        </w:trPr>
        <w:tc>
          <w:tcPr>
            <w:tcW w:w="3967" w:type="dxa"/>
            <w:tcBorders>
              <w:top w:val="nil"/>
              <w:left w:val="nil"/>
              <w:bottom w:val="nil"/>
              <w:right w:val="nil"/>
            </w:tcBorders>
          </w:tcPr>
          <w:p w14:paraId="00D906E7"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Yes</w:t>
            </w:r>
          </w:p>
        </w:tc>
        <w:tc>
          <w:tcPr>
            <w:tcW w:w="1631" w:type="dxa"/>
            <w:tcBorders>
              <w:top w:val="nil"/>
              <w:left w:val="nil"/>
              <w:bottom w:val="nil"/>
              <w:right w:val="nil"/>
            </w:tcBorders>
            <w:vAlign w:val="center"/>
          </w:tcPr>
          <w:p w14:paraId="20EA8CCF"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w:t>
            </w:r>
            <w:r>
              <w:rPr>
                <w:rFonts w:ascii="Times New Roman" w:hAnsi="Times New Roman" w:cs="Times New Roman"/>
              </w:rPr>
              <w:t>,</w:t>
            </w:r>
            <w:r w:rsidRPr="006924F3">
              <w:rPr>
                <w:rFonts w:ascii="Times New Roman" w:hAnsi="Times New Roman" w:cs="Times New Roman"/>
              </w:rPr>
              <w:t>619</w:t>
            </w:r>
          </w:p>
        </w:tc>
        <w:tc>
          <w:tcPr>
            <w:tcW w:w="1866" w:type="dxa"/>
            <w:tcBorders>
              <w:top w:val="nil"/>
              <w:left w:val="nil"/>
              <w:bottom w:val="nil"/>
              <w:right w:val="nil"/>
            </w:tcBorders>
            <w:vAlign w:val="center"/>
          </w:tcPr>
          <w:p w14:paraId="6128A037"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9.5</w:t>
            </w:r>
          </w:p>
        </w:tc>
        <w:tc>
          <w:tcPr>
            <w:tcW w:w="2179" w:type="dxa"/>
            <w:tcBorders>
              <w:top w:val="nil"/>
              <w:left w:val="nil"/>
              <w:bottom w:val="nil"/>
              <w:right w:val="nil"/>
            </w:tcBorders>
            <w:vAlign w:val="center"/>
          </w:tcPr>
          <w:p w14:paraId="6E973A1A"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9.1-10.0</w:t>
            </w:r>
          </w:p>
        </w:tc>
      </w:tr>
      <w:tr w:rsidR="00160EDF" w14:paraId="41138DC0" w14:textId="77777777" w:rsidTr="004B40E0">
        <w:trPr>
          <w:trHeight w:val="190"/>
        </w:trPr>
        <w:tc>
          <w:tcPr>
            <w:tcW w:w="3967" w:type="dxa"/>
            <w:tcBorders>
              <w:top w:val="nil"/>
              <w:left w:val="nil"/>
              <w:bottom w:val="nil"/>
              <w:right w:val="nil"/>
            </w:tcBorders>
          </w:tcPr>
          <w:p w14:paraId="31D598A3"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No</w:t>
            </w:r>
          </w:p>
        </w:tc>
        <w:tc>
          <w:tcPr>
            <w:tcW w:w="1631" w:type="dxa"/>
            <w:tcBorders>
              <w:top w:val="nil"/>
              <w:left w:val="nil"/>
              <w:bottom w:val="nil"/>
              <w:right w:val="nil"/>
            </w:tcBorders>
            <w:vAlign w:val="center"/>
          </w:tcPr>
          <w:p w14:paraId="6A4D7BAE"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15</w:t>
            </w:r>
            <w:r>
              <w:rPr>
                <w:rFonts w:ascii="Times New Roman" w:hAnsi="Times New Roman" w:cs="Times New Roman"/>
              </w:rPr>
              <w:t>,</w:t>
            </w:r>
            <w:r w:rsidRPr="006924F3">
              <w:rPr>
                <w:rFonts w:ascii="Times New Roman" w:hAnsi="Times New Roman" w:cs="Times New Roman"/>
              </w:rPr>
              <w:t>399</w:t>
            </w:r>
          </w:p>
        </w:tc>
        <w:tc>
          <w:tcPr>
            <w:tcW w:w="1866" w:type="dxa"/>
            <w:tcBorders>
              <w:top w:val="nil"/>
              <w:left w:val="nil"/>
              <w:bottom w:val="nil"/>
              <w:right w:val="nil"/>
            </w:tcBorders>
            <w:vAlign w:val="center"/>
          </w:tcPr>
          <w:p w14:paraId="398EB394"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90.5</w:t>
            </w:r>
          </w:p>
        </w:tc>
        <w:tc>
          <w:tcPr>
            <w:tcW w:w="2179" w:type="dxa"/>
            <w:tcBorders>
              <w:top w:val="nil"/>
              <w:left w:val="nil"/>
              <w:bottom w:val="nil"/>
              <w:right w:val="nil"/>
            </w:tcBorders>
            <w:vAlign w:val="center"/>
          </w:tcPr>
          <w:p w14:paraId="328C07CA"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90.1-90.9</w:t>
            </w:r>
          </w:p>
        </w:tc>
      </w:tr>
      <w:tr w:rsidR="00160EDF" w14:paraId="41851754" w14:textId="77777777" w:rsidTr="004B40E0">
        <w:trPr>
          <w:trHeight w:val="190"/>
        </w:trPr>
        <w:tc>
          <w:tcPr>
            <w:tcW w:w="3967" w:type="dxa"/>
            <w:tcBorders>
              <w:top w:val="nil"/>
              <w:left w:val="nil"/>
              <w:bottom w:val="nil"/>
              <w:right w:val="nil"/>
            </w:tcBorders>
          </w:tcPr>
          <w:p w14:paraId="2631CF86" w14:textId="77777777" w:rsidR="00160EDF" w:rsidRPr="006924F3" w:rsidRDefault="00160EDF" w:rsidP="00D906FC">
            <w:pPr>
              <w:rPr>
                <w:rFonts w:ascii="Times New Roman" w:hAnsi="Times New Roman" w:cs="Times New Roman"/>
                <w:b/>
                <w:bCs/>
              </w:rPr>
            </w:pPr>
            <w:r w:rsidRPr="006924F3">
              <w:rPr>
                <w:rFonts w:ascii="Times New Roman" w:hAnsi="Times New Roman" w:cs="Times New Roman"/>
                <w:b/>
                <w:bCs/>
              </w:rPr>
              <w:t>Rheumatoid Arthritis</w:t>
            </w:r>
          </w:p>
        </w:tc>
        <w:tc>
          <w:tcPr>
            <w:tcW w:w="1631" w:type="dxa"/>
            <w:tcBorders>
              <w:top w:val="nil"/>
              <w:left w:val="nil"/>
              <w:bottom w:val="nil"/>
              <w:right w:val="nil"/>
            </w:tcBorders>
            <w:vAlign w:val="center"/>
          </w:tcPr>
          <w:p w14:paraId="5FF31A2D"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n=15</w:t>
            </w:r>
            <w:r>
              <w:rPr>
                <w:rFonts w:ascii="Times New Roman" w:hAnsi="Times New Roman" w:cs="Times New Roman"/>
                <w:b/>
                <w:bCs/>
              </w:rPr>
              <w:t>,</w:t>
            </w:r>
            <w:r w:rsidRPr="006924F3">
              <w:rPr>
                <w:rFonts w:ascii="Times New Roman" w:hAnsi="Times New Roman" w:cs="Times New Roman"/>
                <w:b/>
                <w:bCs/>
              </w:rPr>
              <w:t>836</w:t>
            </w:r>
          </w:p>
        </w:tc>
        <w:tc>
          <w:tcPr>
            <w:tcW w:w="1866" w:type="dxa"/>
            <w:tcBorders>
              <w:top w:val="nil"/>
              <w:left w:val="nil"/>
              <w:bottom w:val="nil"/>
              <w:right w:val="nil"/>
            </w:tcBorders>
            <w:vAlign w:val="center"/>
          </w:tcPr>
          <w:p w14:paraId="0C4009AA"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0FBF8605" w14:textId="77777777" w:rsidR="00160EDF" w:rsidRPr="006924F3" w:rsidRDefault="00160EDF" w:rsidP="00D906FC">
            <w:pPr>
              <w:jc w:val="center"/>
              <w:rPr>
                <w:rFonts w:ascii="Times New Roman" w:hAnsi="Times New Roman" w:cs="Times New Roman"/>
              </w:rPr>
            </w:pPr>
          </w:p>
        </w:tc>
      </w:tr>
      <w:tr w:rsidR="00160EDF" w14:paraId="58E818E1" w14:textId="77777777" w:rsidTr="00D906FC">
        <w:trPr>
          <w:trHeight w:val="190"/>
        </w:trPr>
        <w:tc>
          <w:tcPr>
            <w:tcW w:w="3967" w:type="dxa"/>
            <w:tcBorders>
              <w:top w:val="nil"/>
              <w:left w:val="nil"/>
              <w:bottom w:val="nil"/>
              <w:right w:val="nil"/>
            </w:tcBorders>
          </w:tcPr>
          <w:p w14:paraId="29DCBD1F"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Yes</w:t>
            </w:r>
          </w:p>
        </w:tc>
        <w:tc>
          <w:tcPr>
            <w:tcW w:w="1631" w:type="dxa"/>
            <w:tcBorders>
              <w:top w:val="nil"/>
              <w:left w:val="nil"/>
              <w:bottom w:val="nil"/>
              <w:right w:val="nil"/>
            </w:tcBorders>
            <w:vAlign w:val="center"/>
          </w:tcPr>
          <w:p w14:paraId="14500C4E"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932</w:t>
            </w:r>
          </w:p>
        </w:tc>
        <w:tc>
          <w:tcPr>
            <w:tcW w:w="1866" w:type="dxa"/>
            <w:tcBorders>
              <w:top w:val="nil"/>
              <w:left w:val="nil"/>
              <w:bottom w:val="nil"/>
              <w:right w:val="nil"/>
            </w:tcBorders>
            <w:vAlign w:val="center"/>
          </w:tcPr>
          <w:p w14:paraId="5DF4CF18"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5.9</w:t>
            </w:r>
          </w:p>
        </w:tc>
        <w:tc>
          <w:tcPr>
            <w:tcW w:w="2179" w:type="dxa"/>
            <w:tcBorders>
              <w:top w:val="nil"/>
              <w:left w:val="nil"/>
              <w:bottom w:val="nil"/>
              <w:right w:val="nil"/>
            </w:tcBorders>
            <w:vAlign w:val="center"/>
          </w:tcPr>
          <w:p w14:paraId="13B9C5DB"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5.5-6.3</w:t>
            </w:r>
          </w:p>
        </w:tc>
      </w:tr>
      <w:tr w:rsidR="00160EDF" w14:paraId="1EB8A59A" w14:textId="77777777" w:rsidTr="004B40E0">
        <w:trPr>
          <w:trHeight w:val="190"/>
        </w:trPr>
        <w:tc>
          <w:tcPr>
            <w:tcW w:w="3967" w:type="dxa"/>
            <w:tcBorders>
              <w:top w:val="nil"/>
              <w:left w:val="nil"/>
              <w:bottom w:val="nil"/>
              <w:right w:val="nil"/>
            </w:tcBorders>
          </w:tcPr>
          <w:p w14:paraId="5B0F6407"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No</w:t>
            </w:r>
          </w:p>
        </w:tc>
        <w:tc>
          <w:tcPr>
            <w:tcW w:w="1631" w:type="dxa"/>
            <w:tcBorders>
              <w:top w:val="nil"/>
              <w:left w:val="nil"/>
              <w:bottom w:val="nil"/>
              <w:right w:val="nil"/>
            </w:tcBorders>
            <w:vAlign w:val="center"/>
          </w:tcPr>
          <w:p w14:paraId="787D36C8"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14</w:t>
            </w:r>
            <w:r>
              <w:rPr>
                <w:rFonts w:ascii="Times New Roman" w:hAnsi="Times New Roman" w:cs="Times New Roman"/>
              </w:rPr>
              <w:t>,</w:t>
            </w:r>
            <w:r w:rsidRPr="006924F3">
              <w:rPr>
                <w:rFonts w:ascii="Times New Roman" w:hAnsi="Times New Roman" w:cs="Times New Roman"/>
              </w:rPr>
              <w:t>904</w:t>
            </w:r>
          </w:p>
        </w:tc>
        <w:tc>
          <w:tcPr>
            <w:tcW w:w="1866" w:type="dxa"/>
            <w:tcBorders>
              <w:top w:val="nil"/>
              <w:left w:val="nil"/>
              <w:bottom w:val="nil"/>
              <w:right w:val="nil"/>
            </w:tcBorders>
            <w:vAlign w:val="center"/>
          </w:tcPr>
          <w:p w14:paraId="76AB997A"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94.1</w:t>
            </w:r>
          </w:p>
        </w:tc>
        <w:tc>
          <w:tcPr>
            <w:tcW w:w="2179" w:type="dxa"/>
            <w:tcBorders>
              <w:top w:val="nil"/>
              <w:left w:val="nil"/>
              <w:bottom w:val="nil"/>
              <w:right w:val="nil"/>
            </w:tcBorders>
            <w:vAlign w:val="center"/>
          </w:tcPr>
          <w:p w14:paraId="302BE338"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93.8-94.5</w:t>
            </w:r>
          </w:p>
        </w:tc>
      </w:tr>
      <w:tr w:rsidR="00160EDF" w14:paraId="3545D8FA" w14:textId="77777777" w:rsidTr="004B40E0">
        <w:trPr>
          <w:trHeight w:val="190"/>
        </w:trPr>
        <w:tc>
          <w:tcPr>
            <w:tcW w:w="3967" w:type="dxa"/>
            <w:tcBorders>
              <w:top w:val="nil"/>
              <w:left w:val="nil"/>
              <w:bottom w:val="nil"/>
              <w:right w:val="nil"/>
            </w:tcBorders>
          </w:tcPr>
          <w:p w14:paraId="2CB5B8A6" w14:textId="77777777" w:rsidR="00160EDF" w:rsidRPr="006924F3" w:rsidRDefault="00160EDF" w:rsidP="00D906FC">
            <w:pPr>
              <w:rPr>
                <w:rFonts w:ascii="Times New Roman" w:hAnsi="Times New Roman" w:cs="Times New Roman"/>
              </w:rPr>
            </w:pPr>
            <w:r w:rsidRPr="006924F3">
              <w:rPr>
                <w:rFonts w:ascii="Times New Roman" w:hAnsi="Times New Roman" w:cs="Times New Roman"/>
                <w:b/>
                <w:bCs/>
              </w:rPr>
              <w:t>Lung Cancer</w:t>
            </w:r>
          </w:p>
        </w:tc>
        <w:tc>
          <w:tcPr>
            <w:tcW w:w="1631" w:type="dxa"/>
            <w:tcBorders>
              <w:top w:val="nil"/>
              <w:left w:val="nil"/>
              <w:bottom w:val="nil"/>
              <w:right w:val="nil"/>
            </w:tcBorders>
            <w:vAlign w:val="center"/>
          </w:tcPr>
          <w:p w14:paraId="52797884" w14:textId="77777777" w:rsidR="00160EDF" w:rsidRPr="006924F3" w:rsidRDefault="00160EDF" w:rsidP="00D906FC">
            <w:pPr>
              <w:jc w:val="center"/>
              <w:rPr>
                <w:rFonts w:ascii="Times New Roman" w:hAnsi="Times New Roman" w:cs="Times New Roman"/>
                <w:b/>
                <w:bCs/>
              </w:rPr>
            </w:pPr>
            <w:r w:rsidRPr="006924F3">
              <w:rPr>
                <w:rFonts w:ascii="Times New Roman" w:hAnsi="Times New Roman" w:cs="Times New Roman"/>
                <w:b/>
                <w:bCs/>
              </w:rPr>
              <w:t>n=17</w:t>
            </w:r>
            <w:r>
              <w:rPr>
                <w:rFonts w:ascii="Times New Roman" w:hAnsi="Times New Roman" w:cs="Times New Roman"/>
                <w:b/>
                <w:bCs/>
              </w:rPr>
              <w:t>,</w:t>
            </w:r>
            <w:r w:rsidRPr="006924F3">
              <w:rPr>
                <w:rFonts w:ascii="Times New Roman" w:hAnsi="Times New Roman" w:cs="Times New Roman"/>
                <w:b/>
                <w:bCs/>
              </w:rPr>
              <w:t>087</w:t>
            </w:r>
          </w:p>
        </w:tc>
        <w:tc>
          <w:tcPr>
            <w:tcW w:w="1866" w:type="dxa"/>
            <w:tcBorders>
              <w:top w:val="nil"/>
              <w:left w:val="nil"/>
              <w:bottom w:val="nil"/>
              <w:right w:val="nil"/>
            </w:tcBorders>
            <w:vAlign w:val="center"/>
          </w:tcPr>
          <w:p w14:paraId="19115358" w14:textId="77777777" w:rsidR="00160EDF" w:rsidRPr="006924F3" w:rsidRDefault="00160EDF" w:rsidP="00D906FC">
            <w:pPr>
              <w:jc w:val="center"/>
              <w:rPr>
                <w:rFonts w:ascii="Times New Roman" w:hAnsi="Times New Roman" w:cs="Times New Roman"/>
              </w:rPr>
            </w:pPr>
          </w:p>
        </w:tc>
        <w:tc>
          <w:tcPr>
            <w:tcW w:w="2179" w:type="dxa"/>
            <w:tcBorders>
              <w:top w:val="nil"/>
              <w:left w:val="nil"/>
              <w:bottom w:val="nil"/>
              <w:right w:val="nil"/>
            </w:tcBorders>
            <w:vAlign w:val="center"/>
          </w:tcPr>
          <w:p w14:paraId="48B72651" w14:textId="77777777" w:rsidR="00160EDF" w:rsidRPr="006924F3" w:rsidRDefault="00160EDF" w:rsidP="00D906FC">
            <w:pPr>
              <w:jc w:val="center"/>
              <w:rPr>
                <w:rFonts w:ascii="Times New Roman" w:hAnsi="Times New Roman" w:cs="Times New Roman"/>
              </w:rPr>
            </w:pPr>
          </w:p>
        </w:tc>
      </w:tr>
      <w:tr w:rsidR="00160EDF" w14:paraId="1D90F261" w14:textId="77777777" w:rsidTr="00D906FC">
        <w:trPr>
          <w:trHeight w:val="190"/>
        </w:trPr>
        <w:tc>
          <w:tcPr>
            <w:tcW w:w="3967" w:type="dxa"/>
            <w:tcBorders>
              <w:top w:val="nil"/>
              <w:left w:val="nil"/>
              <w:bottom w:val="nil"/>
              <w:right w:val="nil"/>
            </w:tcBorders>
          </w:tcPr>
          <w:p w14:paraId="53A1C9B5"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Yes</w:t>
            </w:r>
          </w:p>
        </w:tc>
        <w:tc>
          <w:tcPr>
            <w:tcW w:w="1631" w:type="dxa"/>
            <w:tcBorders>
              <w:top w:val="nil"/>
              <w:left w:val="nil"/>
              <w:bottom w:val="nil"/>
              <w:right w:val="nil"/>
            </w:tcBorders>
            <w:vAlign w:val="center"/>
          </w:tcPr>
          <w:p w14:paraId="00C40B43"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135</w:t>
            </w:r>
          </w:p>
        </w:tc>
        <w:tc>
          <w:tcPr>
            <w:tcW w:w="1866" w:type="dxa"/>
            <w:tcBorders>
              <w:top w:val="nil"/>
              <w:left w:val="nil"/>
              <w:bottom w:val="nil"/>
              <w:right w:val="nil"/>
            </w:tcBorders>
            <w:vAlign w:val="center"/>
          </w:tcPr>
          <w:p w14:paraId="7BF0A908"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0.8</w:t>
            </w:r>
          </w:p>
        </w:tc>
        <w:tc>
          <w:tcPr>
            <w:tcW w:w="2179" w:type="dxa"/>
            <w:tcBorders>
              <w:top w:val="nil"/>
              <w:left w:val="nil"/>
              <w:bottom w:val="nil"/>
              <w:right w:val="nil"/>
            </w:tcBorders>
            <w:vAlign w:val="center"/>
          </w:tcPr>
          <w:p w14:paraId="5A9191BD"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0.7-0.9</w:t>
            </w:r>
          </w:p>
        </w:tc>
      </w:tr>
      <w:tr w:rsidR="00160EDF" w14:paraId="55CE1571" w14:textId="77777777" w:rsidTr="00746524">
        <w:trPr>
          <w:trHeight w:val="190"/>
        </w:trPr>
        <w:tc>
          <w:tcPr>
            <w:tcW w:w="3967" w:type="dxa"/>
            <w:tcBorders>
              <w:top w:val="nil"/>
              <w:left w:val="nil"/>
              <w:bottom w:val="single" w:sz="12" w:space="0" w:color="auto"/>
              <w:right w:val="nil"/>
            </w:tcBorders>
          </w:tcPr>
          <w:p w14:paraId="5CAF2A3C" w14:textId="77777777" w:rsidR="00160EDF" w:rsidRPr="006924F3" w:rsidRDefault="00160EDF" w:rsidP="00D906FC">
            <w:pPr>
              <w:rPr>
                <w:rFonts w:ascii="Times New Roman" w:hAnsi="Times New Roman" w:cs="Times New Roman"/>
              </w:rPr>
            </w:pPr>
            <w:r w:rsidRPr="006924F3">
              <w:rPr>
                <w:rFonts w:ascii="Times New Roman" w:hAnsi="Times New Roman" w:cs="Times New Roman"/>
              </w:rPr>
              <w:t xml:space="preserve">     No</w:t>
            </w:r>
          </w:p>
        </w:tc>
        <w:tc>
          <w:tcPr>
            <w:tcW w:w="1631" w:type="dxa"/>
            <w:tcBorders>
              <w:top w:val="nil"/>
              <w:left w:val="nil"/>
              <w:bottom w:val="single" w:sz="12" w:space="0" w:color="auto"/>
              <w:right w:val="nil"/>
            </w:tcBorders>
            <w:vAlign w:val="center"/>
          </w:tcPr>
          <w:p w14:paraId="46F42613"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16</w:t>
            </w:r>
            <w:r>
              <w:rPr>
                <w:rFonts w:ascii="Times New Roman" w:hAnsi="Times New Roman" w:cs="Times New Roman"/>
              </w:rPr>
              <w:t>,</w:t>
            </w:r>
            <w:r w:rsidRPr="006924F3">
              <w:rPr>
                <w:rFonts w:ascii="Times New Roman" w:hAnsi="Times New Roman" w:cs="Times New Roman"/>
              </w:rPr>
              <w:t>952</w:t>
            </w:r>
          </w:p>
        </w:tc>
        <w:tc>
          <w:tcPr>
            <w:tcW w:w="1866" w:type="dxa"/>
            <w:tcBorders>
              <w:top w:val="nil"/>
              <w:left w:val="nil"/>
              <w:bottom w:val="single" w:sz="12" w:space="0" w:color="auto"/>
              <w:right w:val="nil"/>
            </w:tcBorders>
            <w:vAlign w:val="center"/>
          </w:tcPr>
          <w:p w14:paraId="1F657E6C"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99.2</w:t>
            </w:r>
          </w:p>
        </w:tc>
        <w:tc>
          <w:tcPr>
            <w:tcW w:w="2179" w:type="dxa"/>
            <w:tcBorders>
              <w:top w:val="nil"/>
              <w:left w:val="nil"/>
              <w:bottom w:val="single" w:sz="12" w:space="0" w:color="auto"/>
              <w:right w:val="nil"/>
            </w:tcBorders>
            <w:vAlign w:val="center"/>
          </w:tcPr>
          <w:p w14:paraId="13AFAEB5" w14:textId="77777777" w:rsidR="00160EDF" w:rsidRPr="006924F3" w:rsidRDefault="00160EDF" w:rsidP="00D906FC">
            <w:pPr>
              <w:jc w:val="center"/>
              <w:rPr>
                <w:rFonts w:ascii="Times New Roman" w:hAnsi="Times New Roman" w:cs="Times New Roman"/>
              </w:rPr>
            </w:pPr>
            <w:r w:rsidRPr="006924F3">
              <w:rPr>
                <w:rFonts w:ascii="Times New Roman" w:hAnsi="Times New Roman" w:cs="Times New Roman"/>
              </w:rPr>
              <w:t>99.1-99.3</w:t>
            </w:r>
          </w:p>
        </w:tc>
      </w:tr>
      <w:tr w:rsidR="00160EDF" w14:paraId="76186E86" w14:textId="77777777" w:rsidTr="00B72663">
        <w:trPr>
          <w:trHeight w:val="190"/>
        </w:trPr>
        <w:tc>
          <w:tcPr>
            <w:tcW w:w="3967" w:type="dxa"/>
            <w:tcBorders>
              <w:top w:val="single" w:sz="12" w:space="0" w:color="auto"/>
              <w:left w:val="nil"/>
              <w:bottom w:val="single" w:sz="12" w:space="0" w:color="auto"/>
              <w:right w:val="nil"/>
            </w:tcBorders>
            <w:vAlign w:val="center"/>
          </w:tcPr>
          <w:p w14:paraId="5E197906" w14:textId="3AE93FB6" w:rsidR="00160EDF" w:rsidRPr="000866E5" w:rsidRDefault="00160EDF" w:rsidP="00B72663">
            <w:pPr>
              <w:jc w:val="center"/>
              <w:rPr>
                <w:rFonts w:ascii="Times New Roman" w:hAnsi="Times New Roman" w:cs="Times New Roman"/>
                <w:b/>
                <w:bCs/>
              </w:rPr>
            </w:pPr>
            <w:r w:rsidRPr="000866E5">
              <w:rPr>
                <w:rFonts w:ascii="Times New Roman" w:hAnsi="Times New Roman" w:cs="Times New Roman"/>
                <w:b/>
                <w:bCs/>
              </w:rPr>
              <w:t>Continuous Characteristics</w:t>
            </w:r>
          </w:p>
        </w:tc>
        <w:tc>
          <w:tcPr>
            <w:tcW w:w="1631" w:type="dxa"/>
            <w:tcBorders>
              <w:top w:val="single" w:sz="12" w:space="0" w:color="auto"/>
              <w:left w:val="nil"/>
              <w:bottom w:val="single" w:sz="12" w:space="0" w:color="auto"/>
              <w:right w:val="nil"/>
            </w:tcBorders>
            <w:vAlign w:val="center"/>
          </w:tcPr>
          <w:p w14:paraId="1244C761" w14:textId="77777777" w:rsidR="00160EDF" w:rsidRPr="000866E5" w:rsidRDefault="00160EDF" w:rsidP="00D906FC">
            <w:pPr>
              <w:jc w:val="center"/>
              <w:rPr>
                <w:rFonts w:ascii="Times New Roman" w:hAnsi="Times New Roman" w:cs="Times New Roman"/>
                <w:b/>
                <w:bCs/>
              </w:rPr>
            </w:pPr>
            <w:r w:rsidRPr="000866E5">
              <w:rPr>
                <w:rFonts w:ascii="Times New Roman" w:hAnsi="Times New Roman" w:cs="Times New Roman"/>
                <w:b/>
                <w:bCs/>
              </w:rPr>
              <w:t>Frequency</w:t>
            </w:r>
          </w:p>
        </w:tc>
        <w:tc>
          <w:tcPr>
            <w:tcW w:w="1866" w:type="dxa"/>
            <w:tcBorders>
              <w:top w:val="single" w:sz="12" w:space="0" w:color="auto"/>
              <w:left w:val="nil"/>
              <w:bottom w:val="single" w:sz="12" w:space="0" w:color="auto"/>
              <w:right w:val="nil"/>
            </w:tcBorders>
            <w:vAlign w:val="center"/>
          </w:tcPr>
          <w:p w14:paraId="73A192CD" w14:textId="77777777" w:rsidR="00160EDF" w:rsidRPr="000866E5" w:rsidRDefault="00160EDF" w:rsidP="00D906FC">
            <w:pPr>
              <w:jc w:val="center"/>
              <w:rPr>
                <w:rFonts w:ascii="Times New Roman" w:hAnsi="Times New Roman" w:cs="Times New Roman"/>
                <w:b/>
                <w:bCs/>
              </w:rPr>
            </w:pPr>
            <w:r w:rsidRPr="000866E5">
              <w:rPr>
                <w:rFonts w:ascii="Times New Roman" w:hAnsi="Times New Roman" w:cs="Times New Roman"/>
                <w:b/>
                <w:bCs/>
              </w:rPr>
              <w:t>Median</w:t>
            </w:r>
          </w:p>
        </w:tc>
        <w:tc>
          <w:tcPr>
            <w:tcW w:w="2179" w:type="dxa"/>
            <w:tcBorders>
              <w:top w:val="single" w:sz="12" w:space="0" w:color="auto"/>
              <w:left w:val="nil"/>
              <w:bottom w:val="single" w:sz="12" w:space="0" w:color="auto"/>
              <w:right w:val="nil"/>
            </w:tcBorders>
            <w:vAlign w:val="center"/>
          </w:tcPr>
          <w:p w14:paraId="1889B604" w14:textId="77777777" w:rsidR="00160EDF" w:rsidRPr="000866E5" w:rsidRDefault="00160EDF" w:rsidP="00D906FC">
            <w:pPr>
              <w:jc w:val="center"/>
              <w:rPr>
                <w:rFonts w:ascii="Times New Roman" w:hAnsi="Times New Roman" w:cs="Times New Roman"/>
                <w:b/>
                <w:bCs/>
              </w:rPr>
            </w:pPr>
            <w:r w:rsidRPr="000866E5">
              <w:rPr>
                <w:rFonts w:ascii="Times New Roman" w:hAnsi="Times New Roman" w:cs="Times New Roman"/>
                <w:b/>
                <w:bCs/>
              </w:rPr>
              <w:t>Interquartile Range</w:t>
            </w:r>
          </w:p>
        </w:tc>
      </w:tr>
      <w:tr w:rsidR="00160EDF" w14:paraId="5606E741" w14:textId="77777777" w:rsidTr="00746524">
        <w:trPr>
          <w:trHeight w:val="190"/>
        </w:trPr>
        <w:tc>
          <w:tcPr>
            <w:tcW w:w="3967" w:type="dxa"/>
            <w:tcBorders>
              <w:top w:val="single" w:sz="12" w:space="0" w:color="auto"/>
              <w:left w:val="nil"/>
              <w:bottom w:val="nil"/>
              <w:right w:val="nil"/>
            </w:tcBorders>
          </w:tcPr>
          <w:p w14:paraId="2254F7ED" w14:textId="77777777" w:rsidR="00160EDF" w:rsidRPr="006924F3" w:rsidRDefault="00160EDF" w:rsidP="00D906FC">
            <w:pPr>
              <w:rPr>
                <w:rFonts w:ascii="Times New Roman" w:hAnsi="Times New Roman" w:cs="Times New Roman"/>
              </w:rPr>
            </w:pPr>
            <w:r w:rsidRPr="00A64FE5">
              <w:rPr>
                <w:rFonts w:ascii="Times New Roman" w:hAnsi="Times New Roman" w:cs="Times New Roman"/>
              </w:rPr>
              <w:t>Age at Initial Exam</w:t>
            </w:r>
            <w:r>
              <w:rPr>
                <w:rFonts w:ascii="Times New Roman" w:hAnsi="Times New Roman" w:cs="Times New Roman"/>
              </w:rPr>
              <w:t xml:space="preserve"> (Years)</w:t>
            </w:r>
          </w:p>
        </w:tc>
        <w:tc>
          <w:tcPr>
            <w:tcW w:w="1631" w:type="dxa"/>
            <w:tcBorders>
              <w:top w:val="single" w:sz="12" w:space="0" w:color="auto"/>
              <w:left w:val="nil"/>
              <w:bottom w:val="nil"/>
              <w:right w:val="nil"/>
            </w:tcBorders>
            <w:vAlign w:val="center"/>
          </w:tcPr>
          <w:p w14:paraId="30B812A5" w14:textId="77777777" w:rsidR="00160EDF" w:rsidRPr="006924F3" w:rsidRDefault="00160EDF" w:rsidP="00D906FC">
            <w:pPr>
              <w:jc w:val="center"/>
              <w:rPr>
                <w:rFonts w:ascii="Times New Roman" w:hAnsi="Times New Roman" w:cs="Times New Roman"/>
              </w:rPr>
            </w:pPr>
            <w:r w:rsidRPr="00A64FE5">
              <w:rPr>
                <w:rFonts w:ascii="Times New Roman" w:hAnsi="Times New Roman" w:cs="Times New Roman"/>
              </w:rPr>
              <w:t>17</w:t>
            </w:r>
            <w:r>
              <w:rPr>
                <w:rFonts w:ascii="Times New Roman" w:hAnsi="Times New Roman" w:cs="Times New Roman"/>
              </w:rPr>
              <w:t>,</w:t>
            </w:r>
            <w:r w:rsidRPr="00A64FE5">
              <w:rPr>
                <w:rFonts w:ascii="Times New Roman" w:hAnsi="Times New Roman" w:cs="Times New Roman"/>
              </w:rPr>
              <w:t>488</w:t>
            </w:r>
          </w:p>
        </w:tc>
        <w:tc>
          <w:tcPr>
            <w:tcW w:w="1866" w:type="dxa"/>
            <w:tcBorders>
              <w:top w:val="single" w:sz="12" w:space="0" w:color="auto"/>
              <w:left w:val="nil"/>
              <w:bottom w:val="nil"/>
              <w:right w:val="nil"/>
            </w:tcBorders>
            <w:vAlign w:val="center"/>
          </w:tcPr>
          <w:p w14:paraId="20B00BBA" w14:textId="77777777" w:rsidR="00160EDF" w:rsidRPr="006924F3" w:rsidRDefault="00160EDF" w:rsidP="00D906FC">
            <w:pPr>
              <w:jc w:val="center"/>
              <w:rPr>
                <w:rFonts w:ascii="Times New Roman" w:hAnsi="Times New Roman" w:cs="Times New Roman"/>
              </w:rPr>
            </w:pPr>
            <w:r w:rsidRPr="00A64FE5">
              <w:rPr>
                <w:rFonts w:ascii="Times New Roman" w:hAnsi="Times New Roman" w:cs="Times New Roman"/>
              </w:rPr>
              <w:t>66</w:t>
            </w:r>
          </w:p>
        </w:tc>
        <w:tc>
          <w:tcPr>
            <w:tcW w:w="2179" w:type="dxa"/>
            <w:tcBorders>
              <w:top w:val="single" w:sz="12" w:space="0" w:color="auto"/>
              <w:left w:val="nil"/>
              <w:bottom w:val="nil"/>
              <w:right w:val="nil"/>
            </w:tcBorders>
            <w:vAlign w:val="center"/>
          </w:tcPr>
          <w:p w14:paraId="1CBE9280" w14:textId="77777777" w:rsidR="00160EDF" w:rsidRPr="006924F3" w:rsidRDefault="00160EDF" w:rsidP="00D906FC">
            <w:pPr>
              <w:jc w:val="center"/>
              <w:rPr>
                <w:rFonts w:ascii="Times New Roman" w:hAnsi="Times New Roman" w:cs="Times New Roman"/>
              </w:rPr>
            </w:pPr>
            <w:r w:rsidRPr="00A64FE5">
              <w:rPr>
                <w:rFonts w:ascii="Times New Roman" w:hAnsi="Times New Roman" w:cs="Times New Roman"/>
              </w:rPr>
              <w:t>58</w:t>
            </w:r>
            <w:r>
              <w:rPr>
                <w:rFonts w:ascii="Times New Roman" w:hAnsi="Times New Roman" w:cs="Times New Roman"/>
              </w:rPr>
              <w:t>-73</w:t>
            </w:r>
          </w:p>
        </w:tc>
      </w:tr>
      <w:tr w:rsidR="00160EDF" w14:paraId="23D18C59" w14:textId="77777777" w:rsidTr="00D906FC">
        <w:trPr>
          <w:trHeight w:val="190"/>
        </w:trPr>
        <w:tc>
          <w:tcPr>
            <w:tcW w:w="3967" w:type="dxa"/>
            <w:tcBorders>
              <w:top w:val="nil"/>
              <w:left w:val="nil"/>
              <w:bottom w:val="nil"/>
              <w:right w:val="nil"/>
            </w:tcBorders>
          </w:tcPr>
          <w:p w14:paraId="61E28FA3" w14:textId="77777777" w:rsidR="00160EDF" w:rsidRPr="006924F3" w:rsidRDefault="00160EDF" w:rsidP="00D906FC">
            <w:pPr>
              <w:rPr>
                <w:rFonts w:ascii="Times New Roman" w:hAnsi="Times New Roman" w:cs="Times New Roman"/>
              </w:rPr>
            </w:pPr>
            <w:r w:rsidRPr="00A64FE5">
              <w:rPr>
                <w:rFonts w:ascii="Times New Roman" w:hAnsi="Times New Roman" w:cs="Times New Roman"/>
              </w:rPr>
              <w:t>Age at Hire</w:t>
            </w:r>
            <w:r>
              <w:rPr>
                <w:rFonts w:ascii="Times New Roman" w:hAnsi="Times New Roman" w:cs="Times New Roman"/>
              </w:rPr>
              <w:t xml:space="preserve"> (Years)</w:t>
            </w:r>
          </w:p>
        </w:tc>
        <w:tc>
          <w:tcPr>
            <w:tcW w:w="1631" w:type="dxa"/>
            <w:tcBorders>
              <w:top w:val="nil"/>
              <w:left w:val="nil"/>
              <w:bottom w:val="nil"/>
              <w:right w:val="nil"/>
            </w:tcBorders>
            <w:vAlign w:val="center"/>
          </w:tcPr>
          <w:p w14:paraId="4BAD570D" w14:textId="77777777" w:rsidR="00160EDF" w:rsidRPr="006924F3" w:rsidRDefault="00160EDF" w:rsidP="00D906FC">
            <w:pPr>
              <w:jc w:val="center"/>
              <w:rPr>
                <w:rFonts w:ascii="Times New Roman" w:hAnsi="Times New Roman" w:cs="Times New Roman"/>
              </w:rPr>
            </w:pPr>
            <w:r w:rsidRPr="00A64FE5">
              <w:rPr>
                <w:rFonts w:ascii="Times New Roman" w:hAnsi="Times New Roman" w:cs="Times New Roman"/>
              </w:rPr>
              <w:t>17</w:t>
            </w:r>
            <w:r>
              <w:rPr>
                <w:rFonts w:ascii="Times New Roman" w:hAnsi="Times New Roman" w:cs="Times New Roman"/>
              </w:rPr>
              <w:t>,</w:t>
            </w:r>
            <w:r w:rsidRPr="00A64FE5">
              <w:rPr>
                <w:rFonts w:ascii="Times New Roman" w:hAnsi="Times New Roman" w:cs="Times New Roman"/>
              </w:rPr>
              <w:t>453</w:t>
            </w:r>
          </w:p>
        </w:tc>
        <w:tc>
          <w:tcPr>
            <w:tcW w:w="1866" w:type="dxa"/>
            <w:tcBorders>
              <w:top w:val="nil"/>
              <w:left w:val="nil"/>
              <w:bottom w:val="nil"/>
              <w:right w:val="nil"/>
            </w:tcBorders>
            <w:vAlign w:val="center"/>
          </w:tcPr>
          <w:p w14:paraId="53F16AB5" w14:textId="77777777" w:rsidR="00160EDF" w:rsidRPr="006924F3" w:rsidRDefault="00160EDF" w:rsidP="00D906FC">
            <w:pPr>
              <w:jc w:val="center"/>
              <w:rPr>
                <w:rFonts w:ascii="Times New Roman" w:hAnsi="Times New Roman" w:cs="Times New Roman"/>
              </w:rPr>
            </w:pPr>
            <w:r w:rsidRPr="00A64FE5">
              <w:rPr>
                <w:rFonts w:ascii="Times New Roman" w:hAnsi="Times New Roman" w:cs="Times New Roman"/>
              </w:rPr>
              <w:t>26</w:t>
            </w:r>
          </w:p>
        </w:tc>
        <w:tc>
          <w:tcPr>
            <w:tcW w:w="2179" w:type="dxa"/>
            <w:tcBorders>
              <w:top w:val="nil"/>
              <w:left w:val="nil"/>
              <w:bottom w:val="nil"/>
              <w:right w:val="nil"/>
            </w:tcBorders>
            <w:vAlign w:val="center"/>
          </w:tcPr>
          <w:p w14:paraId="6F978B8D" w14:textId="77777777" w:rsidR="00160EDF" w:rsidRPr="006924F3" w:rsidRDefault="00160EDF" w:rsidP="00D906FC">
            <w:pPr>
              <w:jc w:val="center"/>
              <w:rPr>
                <w:rFonts w:ascii="Times New Roman" w:hAnsi="Times New Roman" w:cs="Times New Roman"/>
              </w:rPr>
            </w:pPr>
            <w:r w:rsidRPr="00A64FE5">
              <w:rPr>
                <w:rFonts w:ascii="Times New Roman" w:hAnsi="Times New Roman" w:cs="Times New Roman"/>
              </w:rPr>
              <w:t>22</w:t>
            </w:r>
            <w:r>
              <w:rPr>
                <w:rFonts w:ascii="Times New Roman" w:hAnsi="Times New Roman" w:cs="Times New Roman"/>
              </w:rPr>
              <w:t>-34</w:t>
            </w:r>
          </w:p>
        </w:tc>
      </w:tr>
      <w:tr w:rsidR="00160EDF" w14:paraId="6AE6525B" w14:textId="77777777" w:rsidTr="00D906FC">
        <w:trPr>
          <w:trHeight w:val="190"/>
        </w:trPr>
        <w:tc>
          <w:tcPr>
            <w:tcW w:w="3967" w:type="dxa"/>
            <w:tcBorders>
              <w:top w:val="nil"/>
              <w:left w:val="nil"/>
              <w:bottom w:val="nil"/>
              <w:right w:val="nil"/>
            </w:tcBorders>
          </w:tcPr>
          <w:p w14:paraId="3901EA01" w14:textId="77777777" w:rsidR="00160EDF" w:rsidRPr="006924F3" w:rsidRDefault="00160EDF" w:rsidP="00D906FC">
            <w:pPr>
              <w:rPr>
                <w:rFonts w:ascii="Times New Roman" w:hAnsi="Times New Roman" w:cs="Times New Roman"/>
              </w:rPr>
            </w:pPr>
            <w:r>
              <w:rPr>
                <w:rFonts w:ascii="Times New Roman" w:hAnsi="Times New Roman" w:cs="Times New Roman"/>
                <w:vertAlign w:val="superscript"/>
              </w:rPr>
              <w:t>2</w:t>
            </w:r>
            <w:r w:rsidRPr="00A64FE5">
              <w:rPr>
                <w:rFonts w:ascii="Times New Roman" w:hAnsi="Times New Roman" w:cs="Times New Roman"/>
              </w:rPr>
              <w:t>F</w:t>
            </w:r>
            <w:r>
              <w:rPr>
                <w:rFonts w:ascii="Times New Roman" w:hAnsi="Times New Roman" w:cs="Times New Roman"/>
              </w:rPr>
              <w:t>EV</w:t>
            </w:r>
            <w:r w:rsidRPr="00A64FE5">
              <w:rPr>
                <w:rFonts w:ascii="Times New Roman" w:hAnsi="Times New Roman" w:cs="Times New Roman"/>
                <w:vertAlign w:val="subscript"/>
              </w:rPr>
              <w:t>1</w:t>
            </w:r>
            <w:r w:rsidRPr="00A64FE5">
              <w:rPr>
                <w:rFonts w:ascii="Times New Roman" w:hAnsi="Times New Roman" w:cs="Times New Roman"/>
              </w:rPr>
              <w:t xml:space="preserve"> at initial</w:t>
            </w:r>
          </w:p>
        </w:tc>
        <w:tc>
          <w:tcPr>
            <w:tcW w:w="1631" w:type="dxa"/>
            <w:tcBorders>
              <w:top w:val="nil"/>
              <w:left w:val="nil"/>
              <w:bottom w:val="nil"/>
              <w:right w:val="nil"/>
            </w:tcBorders>
            <w:vAlign w:val="center"/>
          </w:tcPr>
          <w:p w14:paraId="197B00A2" w14:textId="77777777" w:rsidR="00160EDF" w:rsidRPr="006924F3" w:rsidRDefault="00160EDF" w:rsidP="00D906FC">
            <w:pPr>
              <w:jc w:val="center"/>
              <w:rPr>
                <w:rFonts w:ascii="Times New Roman" w:hAnsi="Times New Roman" w:cs="Times New Roman"/>
              </w:rPr>
            </w:pPr>
            <w:r w:rsidRPr="00A64FE5">
              <w:rPr>
                <w:rFonts w:ascii="Times New Roman" w:hAnsi="Times New Roman" w:cs="Times New Roman"/>
              </w:rPr>
              <w:t>17</w:t>
            </w:r>
            <w:r>
              <w:rPr>
                <w:rFonts w:ascii="Times New Roman" w:hAnsi="Times New Roman" w:cs="Times New Roman"/>
              </w:rPr>
              <w:t>,</w:t>
            </w:r>
            <w:r w:rsidRPr="00A64FE5">
              <w:rPr>
                <w:rFonts w:ascii="Times New Roman" w:hAnsi="Times New Roman" w:cs="Times New Roman"/>
              </w:rPr>
              <w:t>471</w:t>
            </w:r>
          </w:p>
        </w:tc>
        <w:tc>
          <w:tcPr>
            <w:tcW w:w="1866" w:type="dxa"/>
            <w:tcBorders>
              <w:top w:val="nil"/>
              <w:left w:val="nil"/>
              <w:bottom w:val="nil"/>
              <w:right w:val="nil"/>
            </w:tcBorders>
            <w:vAlign w:val="center"/>
          </w:tcPr>
          <w:p w14:paraId="1ED3F948" w14:textId="77777777" w:rsidR="00160EDF" w:rsidRPr="006924F3" w:rsidRDefault="00160EDF" w:rsidP="00D906FC">
            <w:pPr>
              <w:jc w:val="center"/>
              <w:rPr>
                <w:rFonts w:ascii="Times New Roman" w:hAnsi="Times New Roman" w:cs="Times New Roman"/>
              </w:rPr>
            </w:pPr>
            <w:r w:rsidRPr="00A64FE5">
              <w:rPr>
                <w:rFonts w:ascii="Times New Roman" w:hAnsi="Times New Roman" w:cs="Times New Roman"/>
              </w:rPr>
              <w:t>2.75</w:t>
            </w:r>
          </w:p>
        </w:tc>
        <w:tc>
          <w:tcPr>
            <w:tcW w:w="2179" w:type="dxa"/>
            <w:tcBorders>
              <w:top w:val="nil"/>
              <w:left w:val="nil"/>
              <w:bottom w:val="nil"/>
              <w:right w:val="nil"/>
            </w:tcBorders>
            <w:vAlign w:val="center"/>
          </w:tcPr>
          <w:p w14:paraId="450EFBFF" w14:textId="77777777" w:rsidR="00160EDF" w:rsidRPr="006924F3" w:rsidRDefault="00160EDF" w:rsidP="00D906FC">
            <w:pPr>
              <w:jc w:val="center"/>
              <w:rPr>
                <w:rFonts w:ascii="Times New Roman" w:hAnsi="Times New Roman" w:cs="Times New Roman"/>
              </w:rPr>
            </w:pPr>
            <w:r w:rsidRPr="00A64FE5">
              <w:rPr>
                <w:rFonts w:ascii="Times New Roman" w:hAnsi="Times New Roman" w:cs="Times New Roman"/>
              </w:rPr>
              <w:t>2.17</w:t>
            </w:r>
            <w:r>
              <w:rPr>
                <w:rFonts w:ascii="Times New Roman" w:hAnsi="Times New Roman" w:cs="Times New Roman"/>
              </w:rPr>
              <w:t>-3.35</w:t>
            </w:r>
          </w:p>
        </w:tc>
      </w:tr>
      <w:tr w:rsidR="00160EDF" w14:paraId="5550CDC7" w14:textId="77777777" w:rsidTr="00D906FC">
        <w:trPr>
          <w:trHeight w:val="190"/>
        </w:trPr>
        <w:tc>
          <w:tcPr>
            <w:tcW w:w="3967" w:type="dxa"/>
            <w:tcBorders>
              <w:top w:val="nil"/>
              <w:left w:val="nil"/>
              <w:bottom w:val="nil"/>
              <w:right w:val="nil"/>
            </w:tcBorders>
          </w:tcPr>
          <w:p w14:paraId="20F25C67" w14:textId="77777777" w:rsidR="00160EDF" w:rsidRPr="006924F3" w:rsidRDefault="00160EDF" w:rsidP="00D906FC">
            <w:pPr>
              <w:rPr>
                <w:rFonts w:ascii="Times New Roman" w:hAnsi="Times New Roman" w:cs="Times New Roman"/>
              </w:rPr>
            </w:pPr>
            <w:r>
              <w:rPr>
                <w:rFonts w:ascii="Times New Roman" w:hAnsi="Times New Roman" w:cs="Times New Roman"/>
                <w:vertAlign w:val="superscript"/>
              </w:rPr>
              <w:t>3</w:t>
            </w:r>
            <w:r w:rsidRPr="00A64FE5">
              <w:rPr>
                <w:rFonts w:ascii="Times New Roman" w:hAnsi="Times New Roman" w:cs="Times New Roman"/>
              </w:rPr>
              <w:t>Time between Exams</w:t>
            </w:r>
            <w:r>
              <w:rPr>
                <w:rFonts w:ascii="Times New Roman" w:hAnsi="Times New Roman" w:cs="Times New Roman"/>
              </w:rPr>
              <w:t xml:space="preserve"> (Years)</w:t>
            </w:r>
          </w:p>
        </w:tc>
        <w:tc>
          <w:tcPr>
            <w:tcW w:w="1631" w:type="dxa"/>
            <w:tcBorders>
              <w:top w:val="nil"/>
              <w:left w:val="nil"/>
              <w:bottom w:val="nil"/>
              <w:right w:val="nil"/>
            </w:tcBorders>
            <w:vAlign w:val="center"/>
          </w:tcPr>
          <w:p w14:paraId="0CCFB243" w14:textId="77777777" w:rsidR="00160EDF" w:rsidRPr="006924F3" w:rsidRDefault="00160EDF" w:rsidP="00D906FC">
            <w:pPr>
              <w:jc w:val="center"/>
              <w:rPr>
                <w:rFonts w:ascii="Times New Roman" w:hAnsi="Times New Roman" w:cs="Times New Roman"/>
              </w:rPr>
            </w:pPr>
            <w:r w:rsidRPr="00A64FE5">
              <w:rPr>
                <w:rFonts w:ascii="Times New Roman" w:hAnsi="Times New Roman" w:cs="Times New Roman"/>
              </w:rPr>
              <w:t>769</w:t>
            </w:r>
          </w:p>
        </w:tc>
        <w:tc>
          <w:tcPr>
            <w:tcW w:w="1866" w:type="dxa"/>
            <w:tcBorders>
              <w:top w:val="nil"/>
              <w:left w:val="nil"/>
              <w:bottom w:val="nil"/>
              <w:right w:val="nil"/>
            </w:tcBorders>
            <w:vAlign w:val="center"/>
          </w:tcPr>
          <w:p w14:paraId="16F67BD3" w14:textId="77777777" w:rsidR="00160EDF" w:rsidRPr="006924F3" w:rsidRDefault="00160EDF" w:rsidP="00D906FC">
            <w:pPr>
              <w:jc w:val="center"/>
              <w:rPr>
                <w:rFonts w:ascii="Times New Roman" w:hAnsi="Times New Roman" w:cs="Times New Roman"/>
              </w:rPr>
            </w:pPr>
            <w:r w:rsidRPr="00A64FE5">
              <w:rPr>
                <w:rFonts w:ascii="Times New Roman" w:hAnsi="Times New Roman" w:cs="Times New Roman"/>
              </w:rPr>
              <w:t>5</w:t>
            </w:r>
          </w:p>
        </w:tc>
        <w:tc>
          <w:tcPr>
            <w:tcW w:w="2179" w:type="dxa"/>
            <w:tcBorders>
              <w:top w:val="nil"/>
              <w:left w:val="nil"/>
              <w:bottom w:val="nil"/>
              <w:right w:val="nil"/>
            </w:tcBorders>
            <w:vAlign w:val="center"/>
          </w:tcPr>
          <w:p w14:paraId="08F90C12" w14:textId="77777777" w:rsidR="00160EDF" w:rsidRPr="006924F3" w:rsidRDefault="00160EDF" w:rsidP="00D906FC">
            <w:pPr>
              <w:jc w:val="center"/>
              <w:rPr>
                <w:rFonts w:ascii="Times New Roman" w:hAnsi="Times New Roman" w:cs="Times New Roman"/>
              </w:rPr>
            </w:pPr>
            <w:r w:rsidRPr="00A64FE5">
              <w:rPr>
                <w:rFonts w:ascii="Times New Roman" w:hAnsi="Times New Roman" w:cs="Times New Roman"/>
              </w:rPr>
              <w:t>3</w:t>
            </w:r>
            <w:r>
              <w:rPr>
                <w:rFonts w:ascii="Times New Roman" w:hAnsi="Times New Roman" w:cs="Times New Roman"/>
              </w:rPr>
              <w:t>-7</w:t>
            </w:r>
          </w:p>
        </w:tc>
      </w:tr>
      <w:tr w:rsidR="00160EDF" w14:paraId="71098B04" w14:textId="77777777" w:rsidTr="007F1D73">
        <w:trPr>
          <w:trHeight w:val="190"/>
        </w:trPr>
        <w:tc>
          <w:tcPr>
            <w:tcW w:w="3967" w:type="dxa"/>
            <w:tcBorders>
              <w:top w:val="nil"/>
              <w:left w:val="nil"/>
              <w:bottom w:val="single" w:sz="12" w:space="0" w:color="auto"/>
              <w:right w:val="nil"/>
            </w:tcBorders>
          </w:tcPr>
          <w:p w14:paraId="17F330D3" w14:textId="77777777" w:rsidR="00160EDF" w:rsidRPr="006924F3" w:rsidRDefault="00160EDF" w:rsidP="00D906FC">
            <w:pPr>
              <w:rPr>
                <w:rFonts w:ascii="Times New Roman" w:hAnsi="Times New Roman" w:cs="Times New Roman"/>
              </w:rPr>
            </w:pPr>
            <w:r>
              <w:rPr>
                <w:rFonts w:ascii="Times New Roman" w:hAnsi="Times New Roman" w:cs="Times New Roman"/>
                <w:vertAlign w:val="superscript"/>
              </w:rPr>
              <w:t>2,3</w:t>
            </w:r>
            <w:r w:rsidRPr="00A64FE5">
              <w:rPr>
                <w:rFonts w:ascii="Times New Roman" w:hAnsi="Times New Roman" w:cs="Times New Roman"/>
              </w:rPr>
              <w:t>FEV</w:t>
            </w:r>
            <w:r w:rsidRPr="00A64FE5">
              <w:rPr>
                <w:rFonts w:ascii="Times New Roman" w:hAnsi="Times New Roman" w:cs="Times New Roman"/>
                <w:vertAlign w:val="subscript"/>
              </w:rPr>
              <w:t>1</w:t>
            </w:r>
            <w:r w:rsidRPr="00A64FE5">
              <w:rPr>
                <w:rFonts w:ascii="Times New Roman" w:hAnsi="Times New Roman" w:cs="Times New Roman"/>
              </w:rPr>
              <w:t xml:space="preserve"> </w:t>
            </w:r>
            <w:r>
              <w:rPr>
                <w:rFonts w:ascii="Times New Roman" w:hAnsi="Times New Roman" w:cs="Times New Roman"/>
              </w:rPr>
              <w:t>c</w:t>
            </w:r>
            <w:r w:rsidRPr="00A64FE5">
              <w:rPr>
                <w:rFonts w:ascii="Times New Roman" w:hAnsi="Times New Roman" w:cs="Times New Roman"/>
              </w:rPr>
              <w:t>hange between Exams</w:t>
            </w:r>
          </w:p>
        </w:tc>
        <w:tc>
          <w:tcPr>
            <w:tcW w:w="1631" w:type="dxa"/>
            <w:tcBorders>
              <w:top w:val="nil"/>
              <w:left w:val="nil"/>
              <w:bottom w:val="single" w:sz="12" w:space="0" w:color="auto"/>
              <w:right w:val="nil"/>
            </w:tcBorders>
            <w:vAlign w:val="center"/>
          </w:tcPr>
          <w:p w14:paraId="67A4C6D9" w14:textId="77777777" w:rsidR="00160EDF" w:rsidRPr="006924F3" w:rsidRDefault="00160EDF" w:rsidP="00D906FC">
            <w:pPr>
              <w:jc w:val="center"/>
              <w:rPr>
                <w:rFonts w:ascii="Times New Roman" w:hAnsi="Times New Roman" w:cs="Times New Roman"/>
              </w:rPr>
            </w:pPr>
            <w:r w:rsidRPr="00A64FE5">
              <w:rPr>
                <w:rFonts w:ascii="Times New Roman" w:hAnsi="Times New Roman" w:cs="Times New Roman"/>
              </w:rPr>
              <w:t>769</w:t>
            </w:r>
          </w:p>
        </w:tc>
        <w:tc>
          <w:tcPr>
            <w:tcW w:w="1866" w:type="dxa"/>
            <w:tcBorders>
              <w:top w:val="nil"/>
              <w:left w:val="nil"/>
              <w:bottom w:val="single" w:sz="12" w:space="0" w:color="auto"/>
              <w:right w:val="nil"/>
            </w:tcBorders>
            <w:vAlign w:val="center"/>
          </w:tcPr>
          <w:p w14:paraId="376D5583" w14:textId="77777777" w:rsidR="00160EDF" w:rsidRPr="006924F3" w:rsidRDefault="00160EDF" w:rsidP="00D906FC">
            <w:pPr>
              <w:jc w:val="center"/>
              <w:rPr>
                <w:rFonts w:ascii="Times New Roman" w:hAnsi="Times New Roman" w:cs="Times New Roman"/>
              </w:rPr>
            </w:pPr>
            <w:r w:rsidRPr="00A64FE5">
              <w:rPr>
                <w:rFonts w:ascii="Times New Roman" w:hAnsi="Times New Roman" w:cs="Times New Roman"/>
              </w:rPr>
              <w:t>-0.27</w:t>
            </w:r>
          </w:p>
        </w:tc>
        <w:tc>
          <w:tcPr>
            <w:tcW w:w="2179" w:type="dxa"/>
            <w:tcBorders>
              <w:top w:val="nil"/>
              <w:left w:val="nil"/>
              <w:bottom w:val="single" w:sz="12" w:space="0" w:color="auto"/>
              <w:right w:val="nil"/>
            </w:tcBorders>
            <w:vAlign w:val="center"/>
          </w:tcPr>
          <w:p w14:paraId="787664E5" w14:textId="77777777" w:rsidR="00160EDF" w:rsidRPr="006924F3" w:rsidRDefault="00160EDF" w:rsidP="00D906FC">
            <w:pPr>
              <w:jc w:val="center"/>
              <w:rPr>
                <w:rFonts w:ascii="Times New Roman" w:hAnsi="Times New Roman" w:cs="Times New Roman"/>
              </w:rPr>
            </w:pPr>
            <w:r w:rsidRPr="00A64FE5">
              <w:rPr>
                <w:rFonts w:ascii="Times New Roman" w:hAnsi="Times New Roman" w:cs="Times New Roman"/>
              </w:rPr>
              <w:t>-1.06</w:t>
            </w:r>
            <w:r>
              <w:rPr>
                <w:rFonts w:ascii="Times New Roman" w:hAnsi="Times New Roman" w:cs="Times New Roman"/>
              </w:rPr>
              <w:t>-0.43</w:t>
            </w:r>
          </w:p>
        </w:tc>
      </w:tr>
      <w:tr w:rsidR="00160EDF" w14:paraId="25BD27C2" w14:textId="77777777" w:rsidTr="007F1D73">
        <w:trPr>
          <w:trHeight w:val="190"/>
        </w:trPr>
        <w:tc>
          <w:tcPr>
            <w:tcW w:w="9643" w:type="dxa"/>
            <w:gridSpan w:val="4"/>
            <w:tcBorders>
              <w:top w:val="single" w:sz="12" w:space="0" w:color="auto"/>
              <w:left w:val="nil"/>
              <w:bottom w:val="nil"/>
              <w:right w:val="nil"/>
            </w:tcBorders>
          </w:tcPr>
          <w:p w14:paraId="162712F7" w14:textId="77777777" w:rsidR="00160EDF" w:rsidRDefault="00160EDF" w:rsidP="00D906FC">
            <w:pPr>
              <w:rPr>
                <w:rFonts w:ascii="Times New Roman" w:hAnsi="Times New Roman" w:cs="Times New Roman"/>
                <w:i/>
                <w:iCs/>
              </w:rPr>
            </w:pPr>
            <w:r w:rsidRPr="00060CF4">
              <w:rPr>
                <w:rFonts w:ascii="Times New Roman" w:hAnsi="Times New Roman" w:cs="Times New Roman"/>
                <w:i/>
                <w:iCs/>
                <w:vertAlign w:val="superscript"/>
              </w:rPr>
              <w:t>1</w:t>
            </w:r>
            <w:r w:rsidRPr="00060CF4">
              <w:rPr>
                <w:rFonts w:ascii="Times New Roman" w:hAnsi="Times New Roman" w:cs="Times New Roman"/>
                <w:i/>
                <w:iCs/>
              </w:rPr>
              <w:t>Department of Energy</w:t>
            </w:r>
          </w:p>
          <w:p w14:paraId="740F409B" w14:textId="77777777" w:rsidR="00160EDF" w:rsidRDefault="00160EDF" w:rsidP="00D906FC">
            <w:pPr>
              <w:rPr>
                <w:rFonts w:ascii="Times New Roman" w:hAnsi="Times New Roman" w:cs="Times New Roman"/>
                <w:i/>
                <w:iCs/>
              </w:rPr>
            </w:pPr>
            <w:r>
              <w:rPr>
                <w:rFonts w:ascii="Times New Roman" w:hAnsi="Times New Roman" w:cs="Times New Roman"/>
                <w:i/>
                <w:iCs/>
                <w:vertAlign w:val="superscript"/>
              </w:rPr>
              <w:t>2</w:t>
            </w:r>
            <w:r>
              <w:rPr>
                <w:rFonts w:ascii="Times New Roman" w:hAnsi="Times New Roman" w:cs="Times New Roman"/>
                <w:i/>
                <w:iCs/>
              </w:rPr>
              <w:t>Forced expiratory volume in one second</w:t>
            </w:r>
          </w:p>
          <w:p w14:paraId="082E60F7" w14:textId="77777777" w:rsidR="00160EDF" w:rsidRDefault="00160EDF" w:rsidP="00D906FC">
            <w:pPr>
              <w:rPr>
                <w:rFonts w:ascii="Times New Roman" w:hAnsi="Times New Roman" w:cs="Times New Roman"/>
                <w:i/>
                <w:iCs/>
              </w:rPr>
            </w:pPr>
            <w:r>
              <w:rPr>
                <w:rFonts w:ascii="Times New Roman" w:hAnsi="Times New Roman" w:cs="Times New Roman"/>
                <w:i/>
                <w:iCs/>
                <w:vertAlign w:val="superscript"/>
              </w:rPr>
              <w:t>3</w:t>
            </w:r>
            <w:r>
              <w:rPr>
                <w:rFonts w:ascii="Times New Roman" w:hAnsi="Times New Roman" w:cs="Times New Roman"/>
                <w:i/>
                <w:iCs/>
              </w:rPr>
              <w:t>Computed for participants with chronic obstructive pulmonary disease who returned for a rescreen exam.</w:t>
            </w:r>
          </w:p>
          <w:p w14:paraId="764A9182" w14:textId="77777777" w:rsidR="00160EDF" w:rsidRPr="000866E5" w:rsidRDefault="00160EDF" w:rsidP="00D906FC">
            <w:pPr>
              <w:rPr>
                <w:rFonts w:ascii="Times New Roman" w:hAnsi="Times New Roman" w:cs="Times New Roman"/>
                <w:i/>
                <w:iCs/>
              </w:rPr>
            </w:pPr>
          </w:p>
        </w:tc>
      </w:tr>
    </w:tbl>
    <w:p w14:paraId="2E297E50" w14:textId="369EECA3" w:rsidR="00160EDF" w:rsidRDefault="00160EDF" w:rsidP="007F1D73">
      <w:pPr>
        <w:spacing w:after="0" w:line="480" w:lineRule="auto"/>
        <w:rPr>
          <w:rFonts w:ascii="Times New Roman" w:hAnsi="Times New Roman" w:cs="Times New Roman"/>
          <w:iCs/>
        </w:rPr>
      </w:pPr>
    </w:p>
    <w:p w14:paraId="09E90169" w14:textId="77777777" w:rsidR="00160EDF" w:rsidRDefault="00160EDF" w:rsidP="007F1D73">
      <w:pPr>
        <w:spacing w:after="0" w:line="480" w:lineRule="auto"/>
        <w:rPr>
          <w:rFonts w:ascii="Times New Roman" w:hAnsi="Times New Roman" w:cs="Times New Roman"/>
          <w:iCs/>
        </w:rPr>
      </w:pPr>
      <w:r>
        <w:rPr>
          <w:rFonts w:ascii="Times New Roman" w:hAnsi="Times New Roman" w:cs="Times New Roman"/>
          <w:iCs/>
        </w:rPr>
        <w:br w:type="page"/>
      </w:r>
    </w:p>
    <w:p w14:paraId="6E02FCD3" w14:textId="7DF1DF0A" w:rsidR="00EA661D" w:rsidRPr="00EA661D" w:rsidRDefault="00EA661D" w:rsidP="007F1D73">
      <w:pPr>
        <w:spacing w:after="0" w:line="480" w:lineRule="auto"/>
        <w:ind w:firstLine="720"/>
        <w:rPr>
          <w:rFonts w:ascii="Times New Roman" w:hAnsi="Times New Roman" w:cs="Times New Roman"/>
          <w:iCs/>
        </w:rPr>
      </w:pPr>
      <w:r w:rsidRPr="00EA661D">
        <w:rPr>
          <w:rFonts w:ascii="Times New Roman" w:hAnsi="Times New Roman" w:cs="Times New Roman"/>
          <w:iCs/>
        </w:rPr>
        <w:lastRenderedPageBreak/>
        <w:t>Seventy three percent of the participants worked at weapons production facilities, 20.6% at science or laboratory facilities, and 6.4% at uranium processing facilities. Exposure to welding fumes was the most prevalent occupational exposure affecting 47.1% of the participants followed by cadmium (35.6%), silica (34.8%), and diesel exhaust (29.0%) exposures. The median age at hire was 26 years (interquartile range (IQR): 22-34 years), with 32.1% of participants employed for less than 5 years at a Department of Energy (DOE) facility.</w:t>
      </w:r>
    </w:p>
    <w:p w14:paraId="03AA0FE2" w14:textId="77777777" w:rsidR="00EA661D" w:rsidRPr="00EA661D" w:rsidRDefault="00EA661D" w:rsidP="007F1D73">
      <w:pPr>
        <w:spacing w:after="0" w:line="480" w:lineRule="auto"/>
        <w:ind w:firstLine="720"/>
        <w:rPr>
          <w:rFonts w:ascii="Times New Roman" w:hAnsi="Times New Roman" w:cs="Times New Roman"/>
          <w:iCs/>
        </w:rPr>
      </w:pPr>
      <w:r w:rsidRPr="00EA661D">
        <w:rPr>
          <w:rFonts w:ascii="Times New Roman" w:hAnsi="Times New Roman" w:cs="Times New Roman"/>
          <w:iCs/>
        </w:rPr>
        <w:t>Regarding clinical presentation, participants most frequently (43.6%) reported shortness of breath (43.6%), followed by frequent cough (33.7%), wheezing (26.6%), and other breathing problems (23.1%). Overweight or obesity was the most prevalent comorbid condition observed in 79.7% of the participants followed by hypertension (37.1%), non-pulmonary cancer (28.3%), diabetes (17.4%), asthma (13.2%), kidney problems (11.6%), coronary artery disease (11.4%), and the remaining conditions had a prevalence of &lt;10%. The median FEV</w:t>
      </w:r>
      <w:r w:rsidRPr="00EA661D">
        <w:rPr>
          <w:rFonts w:ascii="Times New Roman" w:hAnsi="Times New Roman" w:cs="Times New Roman"/>
          <w:iCs/>
          <w:vertAlign w:val="subscript"/>
        </w:rPr>
        <w:t>1</w:t>
      </w:r>
      <w:r w:rsidRPr="00EA661D">
        <w:rPr>
          <w:rFonts w:ascii="Times New Roman" w:hAnsi="Times New Roman" w:cs="Times New Roman"/>
          <w:iCs/>
        </w:rPr>
        <w:t xml:space="preserve"> at the initial exam was 2.8 (IQR: 2.2-3.4).</w:t>
      </w:r>
    </w:p>
    <w:p w14:paraId="2E3013DD" w14:textId="39724418" w:rsidR="00160EDF" w:rsidRDefault="00EA661D" w:rsidP="007F1D73">
      <w:pPr>
        <w:spacing w:after="0" w:line="480" w:lineRule="auto"/>
        <w:ind w:firstLine="720"/>
        <w:rPr>
          <w:rFonts w:ascii="Times New Roman" w:hAnsi="Times New Roman" w:cs="Times New Roman"/>
          <w:iCs/>
        </w:rPr>
      </w:pPr>
      <w:r w:rsidRPr="00EA661D">
        <w:rPr>
          <w:rFonts w:ascii="Times New Roman" w:hAnsi="Times New Roman" w:cs="Times New Roman"/>
          <w:iCs/>
        </w:rPr>
        <w:t>Only 22.3% of the participants returned for the first rescreening exam, and of those, only 19.7% (n=769) were classified as having COPD at their initial exam. The median time between exams for those with COPD was 5 years (IQR: 3-7 years). Approximately 59% of those with COPD showed a decline in the FEV</w:t>
      </w:r>
      <w:r w:rsidRPr="00EA661D">
        <w:rPr>
          <w:rFonts w:ascii="Times New Roman" w:hAnsi="Times New Roman" w:cs="Times New Roman"/>
          <w:iCs/>
          <w:vertAlign w:val="subscript"/>
        </w:rPr>
        <w:t>1</w:t>
      </w:r>
      <w:r w:rsidRPr="00EA661D">
        <w:rPr>
          <w:rFonts w:ascii="Times New Roman" w:hAnsi="Times New Roman" w:cs="Times New Roman"/>
          <w:iCs/>
        </w:rPr>
        <w:t xml:space="preserve"> at their rescreen exam, and their median change in FEV</w:t>
      </w:r>
      <w:r w:rsidRPr="00EA661D">
        <w:rPr>
          <w:rFonts w:ascii="Times New Roman" w:hAnsi="Times New Roman" w:cs="Times New Roman"/>
          <w:iCs/>
          <w:vertAlign w:val="subscript"/>
        </w:rPr>
        <w:t>1</w:t>
      </w:r>
      <w:r w:rsidRPr="00EA661D">
        <w:rPr>
          <w:rFonts w:ascii="Times New Roman" w:hAnsi="Times New Roman" w:cs="Times New Roman"/>
          <w:iCs/>
        </w:rPr>
        <w:t xml:space="preserve"> from the initial to rescreen exam was -0.27 (</w:t>
      </w:r>
      <w:r w:rsidRPr="007B23A4">
        <w:rPr>
          <w:rFonts w:ascii="Times New Roman" w:hAnsi="Times New Roman" w:cs="Times New Roman"/>
        </w:rPr>
        <w:t xml:space="preserve">Table </w:t>
      </w:r>
      <w:r w:rsidR="007B23A4" w:rsidRPr="007B23A4">
        <w:rPr>
          <w:rFonts w:ascii="Times New Roman" w:hAnsi="Times New Roman" w:cs="Times New Roman"/>
        </w:rPr>
        <w:t>4.</w:t>
      </w:r>
      <w:r w:rsidRPr="007B23A4">
        <w:rPr>
          <w:rFonts w:ascii="Times New Roman" w:hAnsi="Times New Roman" w:cs="Times New Roman"/>
        </w:rPr>
        <w:t>2</w:t>
      </w:r>
      <w:r w:rsidRPr="00EA661D">
        <w:rPr>
          <w:rFonts w:ascii="Times New Roman" w:hAnsi="Times New Roman" w:cs="Times New Roman"/>
          <w:iCs/>
        </w:rPr>
        <w:t>). All assessed comorbidities, except diabetes, had significant associations with COPD at a liberal alpha level of 0.2 and were included in the hierarchical cluster analysis (</w:t>
      </w:r>
      <w:r w:rsidRPr="007B23A4">
        <w:rPr>
          <w:rFonts w:ascii="Times New Roman" w:hAnsi="Times New Roman" w:cs="Times New Roman"/>
        </w:rPr>
        <w:t xml:space="preserve">Table </w:t>
      </w:r>
      <w:r w:rsidR="007B23A4" w:rsidRPr="007B23A4">
        <w:rPr>
          <w:rFonts w:ascii="Times New Roman" w:hAnsi="Times New Roman" w:cs="Times New Roman"/>
        </w:rPr>
        <w:t>4.</w:t>
      </w:r>
      <w:r w:rsidRPr="007B23A4">
        <w:rPr>
          <w:rFonts w:ascii="Times New Roman" w:hAnsi="Times New Roman" w:cs="Times New Roman"/>
        </w:rPr>
        <w:t>3</w:t>
      </w:r>
      <w:r w:rsidRPr="00EA661D">
        <w:rPr>
          <w:rFonts w:ascii="Times New Roman" w:hAnsi="Times New Roman" w:cs="Times New Roman"/>
          <w:iCs/>
        </w:rPr>
        <w:t>).</w:t>
      </w:r>
    </w:p>
    <w:p w14:paraId="3105090F" w14:textId="77777777" w:rsidR="00160EDF" w:rsidRDefault="00160EDF" w:rsidP="007F1D73">
      <w:pPr>
        <w:spacing w:after="0" w:line="480" w:lineRule="auto"/>
        <w:rPr>
          <w:rFonts w:ascii="Times New Roman" w:hAnsi="Times New Roman" w:cs="Times New Roman"/>
          <w:iCs/>
        </w:rPr>
      </w:pPr>
      <w:r>
        <w:rPr>
          <w:rFonts w:ascii="Times New Roman" w:hAnsi="Times New Roman" w:cs="Times New Roman"/>
          <w:iCs/>
        </w:rPr>
        <w:br w:type="page"/>
      </w:r>
    </w:p>
    <w:p w14:paraId="04F4F5EF" w14:textId="03C8DBE9" w:rsidR="00160EDF" w:rsidRDefault="00160EDF" w:rsidP="007F1D73">
      <w:pPr>
        <w:pStyle w:val="Caption"/>
        <w:spacing w:after="0"/>
      </w:pPr>
      <w:bookmarkStart w:id="187" w:name="_Toc199886038"/>
      <w:bookmarkStart w:id="188" w:name="_Toc200097055"/>
      <w:r>
        <w:lastRenderedPageBreak/>
        <w:t xml:space="preserve">Table </w:t>
      </w:r>
      <w:r w:rsidR="00450C23">
        <w:fldChar w:fldCharType="begin"/>
      </w:r>
      <w:r w:rsidR="00450C23">
        <w:instrText xml:space="preserve"> STYLEREF 1 \s </w:instrText>
      </w:r>
      <w:r w:rsidR="00450C23">
        <w:fldChar w:fldCharType="separate"/>
      </w:r>
      <w:r w:rsidR="005D69AE">
        <w:rPr>
          <w:noProof/>
        </w:rPr>
        <w:t>4</w:t>
      </w:r>
      <w:r w:rsidR="00450C23">
        <w:rPr>
          <w:noProof/>
        </w:rPr>
        <w:fldChar w:fldCharType="end"/>
      </w:r>
      <w:r w:rsidR="005D69AE">
        <w:t>.</w:t>
      </w:r>
      <w:r w:rsidR="00450C23">
        <w:fldChar w:fldCharType="begin"/>
      </w:r>
      <w:r w:rsidR="00450C23">
        <w:instrText xml:space="preserve"> SEQ Table \* ARABIC \s 1 </w:instrText>
      </w:r>
      <w:r w:rsidR="00450C23">
        <w:fldChar w:fldCharType="separate"/>
      </w:r>
      <w:r w:rsidR="005D69AE">
        <w:rPr>
          <w:noProof/>
        </w:rPr>
        <w:t>3</w:t>
      </w:r>
      <w:r w:rsidR="00450C23">
        <w:rPr>
          <w:noProof/>
        </w:rPr>
        <w:fldChar w:fldCharType="end"/>
      </w:r>
      <w:r>
        <w:t xml:space="preserve">. </w:t>
      </w:r>
      <w:r w:rsidRPr="00147078">
        <w:t>Associations between COPD</w:t>
      </w:r>
      <w:r w:rsidRPr="00041E35">
        <w:rPr>
          <w:vertAlign w:val="superscript"/>
        </w:rPr>
        <w:t>1</w:t>
      </w:r>
      <w:r w:rsidRPr="00147078">
        <w:t xml:space="preserve"> and several comorbidities among Department of Energy former workers who participated in the National Supplemental Screening Program, 2005-2019.</w:t>
      </w:r>
      <w:bookmarkEnd w:id="187"/>
      <w:bookmarkEnd w:id="188"/>
    </w:p>
    <w:tbl>
      <w:tblPr>
        <w:tblStyle w:val="TableGrid"/>
        <w:tblW w:w="0" w:type="auto"/>
        <w:tblLook w:val="04A0" w:firstRow="1" w:lastRow="0" w:firstColumn="1" w:lastColumn="0" w:noHBand="0" w:noVBand="1"/>
      </w:tblPr>
      <w:tblGrid>
        <w:gridCol w:w="4045"/>
        <w:gridCol w:w="1260"/>
        <w:gridCol w:w="2795"/>
        <w:gridCol w:w="1250"/>
      </w:tblGrid>
      <w:tr w:rsidR="00160EDF" w14:paraId="405BAE0B" w14:textId="77777777" w:rsidTr="00B0092F">
        <w:trPr>
          <w:tblHeader/>
        </w:trPr>
        <w:tc>
          <w:tcPr>
            <w:tcW w:w="4045" w:type="dxa"/>
            <w:tcBorders>
              <w:top w:val="single" w:sz="12" w:space="0" w:color="auto"/>
              <w:left w:val="nil"/>
              <w:bottom w:val="single" w:sz="12" w:space="0" w:color="auto"/>
              <w:right w:val="nil"/>
            </w:tcBorders>
            <w:vAlign w:val="center"/>
          </w:tcPr>
          <w:p w14:paraId="29396422" w14:textId="77777777" w:rsidR="00160EDF" w:rsidRPr="00F57CC1" w:rsidRDefault="00160EDF" w:rsidP="00D906FC">
            <w:pPr>
              <w:jc w:val="center"/>
              <w:rPr>
                <w:rFonts w:ascii="Times New Roman" w:hAnsi="Times New Roman" w:cs="Times New Roman"/>
                <w:b/>
                <w:bCs/>
              </w:rPr>
            </w:pPr>
            <w:r w:rsidRPr="00F57CC1">
              <w:rPr>
                <w:rFonts w:ascii="Times New Roman" w:hAnsi="Times New Roman" w:cs="Times New Roman"/>
                <w:b/>
                <w:bCs/>
              </w:rPr>
              <w:t>Characteristics</w:t>
            </w:r>
          </w:p>
        </w:tc>
        <w:tc>
          <w:tcPr>
            <w:tcW w:w="1260" w:type="dxa"/>
            <w:tcBorders>
              <w:top w:val="single" w:sz="12" w:space="0" w:color="auto"/>
              <w:left w:val="nil"/>
              <w:bottom w:val="single" w:sz="12" w:space="0" w:color="auto"/>
              <w:right w:val="nil"/>
            </w:tcBorders>
            <w:vAlign w:val="center"/>
          </w:tcPr>
          <w:p w14:paraId="19C34478" w14:textId="77777777" w:rsidR="00160EDF" w:rsidRPr="00F57CC1" w:rsidRDefault="00160EDF" w:rsidP="00D906FC">
            <w:pPr>
              <w:jc w:val="center"/>
              <w:rPr>
                <w:rFonts w:ascii="Times New Roman" w:hAnsi="Times New Roman" w:cs="Times New Roman"/>
                <w:b/>
                <w:bCs/>
              </w:rPr>
            </w:pPr>
            <w:r w:rsidRPr="00F57CC1">
              <w:rPr>
                <w:rFonts w:ascii="Times New Roman" w:hAnsi="Times New Roman" w:cs="Times New Roman"/>
                <w:b/>
                <w:bCs/>
              </w:rPr>
              <w:t>Odds Ratio</w:t>
            </w:r>
          </w:p>
        </w:tc>
        <w:tc>
          <w:tcPr>
            <w:tcW w:w="2795" w:type="dxa"/>
            <w:tcBorders>
              <w:top w:val="single" w:sz="12" w:space="0" w:color="auto"/>
              <w:left w:val="nil"/>
              <w:bottom w:val="single" w:sz="12" w:space="0" w:color="auto"/>
              <w:right w:val="nil"/>
            </w:tcBorders>
            <w:vAlign w:val="center"/>
          </w:tcPr>
          <w:p w14:paraId="73267A72" w14:textId="77777777" w:rsidR="00160EDF" w:rsidRPr="00F57CC1" w:rsidRDefault="00160EDF" w:rsidP="00D906FC">
            <w:pPr>
              <w:jc w:val="center"/>
              <w:rPr>
                <w:rFonts w:ascii="Times New Roman" w:hAnsi="Times New Roman" w:cs="Times New Roman"/>
                <w:b/>
                <w:bCs/>
              </w:rPr>
            </w:pPr>
            <w:r w:rsidRPr="00F57CC1">
              <w:rPr>
                <w:rFonts w:ascii="Times New Roman" w:hAnsi="Times New Roman" w:cs="Times New Roman"/>
                <w:b/>
                <w:bCs/>
              </w:rPr>
              <w:t>95% Confidence Interval</w:t>
            </w:r>
          </w:p>
        </w:tc>
        <w:tc>
          <w:tcPr>
            <w:tcW w:w="1250" w:type="dxa"/>
            <w:tcBorders>
              <w:top w:val="single" w:sz="12" w:space="0" w:color="auto"/>
              <w:left w:val="nil"/>
              <w:bottom w:val="single" w:sz="12" w:space="0" w:color="auto"/>
              <w:right w:val="nil"/>
            </w:tcBorders>
            <w:vAlign w:val="center"/>
          </w:tcPr>
          <w:p w14:paraId="263452DD" w14:textId="77777777" w:rsidR="00160EDF" w:rsidRPr="00F57CC1" w:rsidRDefault="00160EDF" w:rsidP="00D906FC">
            <w:pPr>
              <w:jc w:val="center"/>
              <w:rPr>
                <w:rFonts w:ascii="Times New Roman" w:hAnsi="Times New Roman" w:cs="Times New Roman"/>
                <w:b/>
                <w:bCs/>
              </w:rPr>
            </w:pPr>
            <w:r w:rsidRPr="00F57CC1">
              <w:rPr>
                <w:rFonts w:ascii="Times New Roman" w:hAnsi="Times New Roman" w:cs="Times New Roman"/>
                <w:b/>
                <w:bCs/>
              </w:rPr>
              <w:t>p-value</w:t>
            </w:r>
          </w:p>
        </w:tc>
      </w:tr>
      <w:tr w:rsidR="00160EDF" w14:paraId="1B9021B5" w14:textId="77777777" w:rsidTr="00B0092F">
        <w:tc>
          <w:tcPr>
            <w:tcW w:w="4045" w:type="dxa"/>
            <w:tcBorders>
              <w:top w:val="single" w:sz="12" w:space="0" w:color="auto"/>
              <w:left w:val="nil"/>
              <w:bottom w:val="nil"/>
              <w:right w:val="nil"/>
            </w:tcBorders>
          </w:tcPr>
          <w:p w14:paraId="1830B9F5" w14:textId="77777777" w:rsidR="00160EDF" w:rsidRPr="00F57CC1" w:rsidRDefault="00160EDF" w:rsidP="00D906FC">
            <w:pPr>
              <w:rPr>
                <w:rFonts w:ascii="Times New Roman" w:hAnsi="Times New Roman" w:cs="Times New Roman"/>
                <w:b/>
                <w:bCs/>
              </w:rPr>
            </w:pPr>
            <w:r w:rsidRPr="00F57CC1">
              <w:rPr>
                <w:rFonts w:ascii="Times New Roman" w:hAnsi="Times New Roman" w:cs="Times New Roman"/>
                <w:b/>
                <w:bCs/>
              </w:rPr>
              <w:t>Lung Cancer</w:t>
            </w:r>
          </w:p>
        </w:tc>
        <w:tc>
          <w:tcPr>
            <w:tcW w:w="1260" w:type="dxa"/>
            <w:tcBorders>
              <w:top w:val="single" w:sz="12" w:space="0" w:color="auto"/>
              <w:left w:val="nil"/>
              <w:bottom w:val="nil"/>
              <w:right w:val="nil"/>
            </w:tcBorders>
            <w:vAlign w:val="center"/>
          </w:tcPr>
          <w:p w14:paraId="205ABD4E" w14:textId="77777777" w:rsidR="00160EDF" w:rsidRPr="00F57CC1" w:rsidRDefault="00160EDF" w:rsidP="00D906FC">
            <w:pPr>
              <w:jc w:val="center"/>
              <w:rPr>
                <w:rFonts w:ascii="Times New Roman" w:hAnsi="Times New Roman" w:cs="Times New Roman"/>
                <w:b/>
                <w:bCs/>
              </w:rPr>
            </w:pPr>
          </w:p>
        </w:tc>
        <w:tc>
          <w:tcPr>
            <w:tcW w:w="2795" w:type="dxa"/>
            <w:tcBorders>
              <w:top w:val="single" w:sz="12" w:space="0" w:color="auto"/>
              <w:left w:val="nil"/>
              <w:bottom w:val="nil"/>
              <w:right w:val="nil"/>
            </w:tcBorders>
            <w:vAlign w:val="center"/>
          </w:tcPr>
          <w:p w14:paraId="541D0FE2" w14:textId="77777777" w:rsidR="00160EDF" w:rsidRPr="00F57CC1" w:rsidRDefault="00160EDF" w:rsidP="00D906FC">
            <w:pPr>
              <w:jc w:val="center"/>
              <w:rPr>
                <w:rFonts w:ascii="Times New Roman" w:hAnsi="Times New Roman" w:cs="Times New Roman"/>
              </w:rPr>
            </w:pPr>
          </w:p>
        </w:tc>
        <w:tc>
          <w:tcPr>
            <w:tcW w:w="1250" w:type="dxa"/>
            <w:tcBorders>
              <w:top w:val="single" w:sz="12" w:space="0" w:color="auto"/>
              <w:left w:val="nil"/>
              <w:bottom w:val="nil"/>
              <w:right w:val="nil"/>
            </w:tcBorders>
            <w:vAlign w:val="center"/>
          </w:tcPr>
          <w:p w14:paraId="79F733EE" w14:textId="77777777" w:rsidR="00160EDF" w:rsidRPr="00F57CC1" w:rsidRDefault="00160EDF" w:rsidP="00D906FC">
            <w:pPr>
              <w:jc w:val="center"/>
              <w:rPr>
                <w:rFonts w:ascii="Times New Roman" w:hAnsi="Times New Roman" w:cs="Times New Roman"/>
              </w:rPr>
            </w:pPr>
          </w:p>
        </w:tc>
      </w:tr>
      <w:tr w:rsidR="00160EDF" w14:paraId="020ACB0F" w14:textId="77777777" w:rsidTr="00B0092F">
        <w:tc>
          <w:tcPr>
            <w:tcW w:w="4045" w:type="dxa"/>
            <w:tcBorders>
              <w:top w:val="nil"/>
              <w:left w:val="nil"/>
              <w:bottom w:val="nil"/>
              <w:right w:val="nil"/>
            </w:tcBorders>
          </w:tcPr>
          <w:p w14:paraId="0369D421" w14:textId="77777777" w:rsidR="00160EDF" w:rsidRPr="00F57CC1" w:rsidRDefault="00160EDF" w:rsidP="00D906FC">
            <w:pPr>
              <w:rPr>
                <w:rFonts w:ascii="Times New Roman" w:hAnsi="Times New Roman" w:cs="Times New Roman"/>
                <w:b/>
                <w:bCs/>
              </w:rPr>
            </w:pPr>
            <w:r w:rsidRPr="00F57CC1">
              <w:rPr>
                <w:rFonts w:ascii="Times New Roman" w:hAnsi="Times New Roman" w:cs="Times New Roman"/>
              </w:rPr>
              <w:t xml:space="preserve">     Yes</w:t>
            </w:r>
          </w:p>
        </w:tc>
        <w:tc>
          <w:tcPr>
            <w:tcW w:w="1260" w:type="dxa"/>
            <w:tcBorders>
              <w:top w:val="nil"/>
              <w:left w:val="nil"/>
              <w:bottom w:val="nil"/>
              <w:right w:val="nil"/>
            </w:tcBorders>
            <w:vAlign w:val="center"/>
          </w:tcPr>
          <w:p w14:paraId="0DFBB262" w14:textId="77777777" w:rsidR="00160EDF" w:rsidRPr="00F57CC1" w:rsidRDefault="00160EDF" w:rsidP="00D906FC">
            <w:pPr>
              <w:jc w:val="center"/>
              <w:rPr>
                <w:rFonts w:ascii="Times New Roman" w:hAnsi="Times New Roman" w:cs="Times New Roman"/>
                <w:b/>
                <w:bCs/>
              </w:rPr>
            </w:pPr>
            <w:r w:rsidRPr="00F57CC1">
              <w:rPr>
                <w:rFonts w:ascii="Times New Roman" w:hAnsi="Times New Roman" w:cs="Times New Roman"/>
              </w:rPr>
              <w:t>3.9</w:t>
            </w:r>
            <w:r>
              <w:rPr>
                <w:rFonts w:ascii="Times New Roman" w:hAnsi="Times New Roman" w:cs="Times New Roman"/>
              </w:rPr>
              <w:t>4</w:t>
            </w:r>
          </w:p>
        </w:tc>
        <w:tc>
          <w:tcPr>
            <w:tcW w:w="2795" w:type="dxa"/>
            <w:tcBorders>
              <w:top w:val="nil"/>
              <w:left w:val="nil"/>
              <w:bottom w:val="nil"/>
              <w:right w:val="nil"/>
            </w:tcBorders>
            <w:vAlign w:val="center"/>
          </w:tcPr>
          <w:p w14:paraId="0BF71C84"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2.8</w:t>
            </w:r>
            <w:r>
              <w:rPr>
                <w:rFonts w:ascii="Times New Roman" w:hAnsi="Times New Roman" w:cs="Times New Roman"/>
              </w:rPr>
              <w:t>2</w:t>
            </w:r>
            <w:r w:rsidRPr="00F57CC1">
              <w:rPr>
                <w:rFonts w:ascii="Times New Roman" w:hAnsi="Times New Roman" w:cs="Times New Roman"/>
              </w:rPr>
              <w:t>, 5.5</w:t>
            </w:r>
            <w:r>
              <w:rPr>
                <w:rFonts w:ascii="Times New Roman" w:hAnsi="Times New Roman" w:cs="Times New Roman"/>
              </w:rPr>
              <w:t>0</w:t>
            </w:r>
          </w:p>
        </w:tc>
        <w:tc>
          <w:tcPr>
            <w:tcW w:w="1250" w:type="dxa"/>
            <w:tcBorders>
              <w:top w:val="nil"/>
              <w:left w:val="nil"/>
              <w:bottom w:val="nil"/>
              <w:right w:val="nil"/>
            </w:tcBorders>
            <w:vAlign w:val="center"/>
          </w:tcPr>
          <w:p w14:paraId="220DAF4C"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&lt;0.0001</w:t>
            </w:r>
          </w:p>
        </w:tc>
      </w:tr>
      <w:tr w:rsidR="00160EDF" w14:paraId="188FAE41" w14:textId="77777777" w:rsidTr="00B0092F">
        <w:tc>
          <w:tcPr>
            <w:tcW w:w="4045" w:type="dxa"/>
            <w:tcBorders>
              <w:top w:val="nil"/>
              <w:left w:val="nil"/>
              <w:bottom w:val="nil"/>
              <w:right w:val="nil"/>
            </w:tcBorders>
          </w:tcPr>
          <w:p w14:paraId="731CA6C2" w14:textId="77777777" w:rsidR="00160EDF" w:rsidRPr="00F57CC1" w:rsidRDefault="00160EDF" w:rsidP="00D906FC">
            <w:pPr>
              <w:rPr>
                <w:rFonts w:ascii="Times New Roman" w:hAnsi="Times New Roman" w:cs="Times New Roman"/>
                <w:b/>
                <w:bCs/>
              </w:rPr>
            </w:pPr>
            <w:r w:rsidRPr="00F57CC1">
              <w:rPr>
                <w:rFonts w:ascii="Times New Roman" w:hAnsi="Times New Roman" w:cs="Times New Roman"/>
              </w:rPr>
              <w:t xml:space="preserve">     No</w:t>
            </w:r>
          </w:p>
        </w:tc>
        <w:tc>
          <w:tcPr>
            <w:tcW w:w="5305" w:type="dxa"/>
            <w:gridSpan w:val="3"/>
            <w:tcBorders>
              <w:top w:val="nil"/>
              <w:left w:val="nil"/>
              <w:bottom w:val="nil"/>
              <w:right w:val="nil"/>
            </w:tcBorders>
            <w:vAlign w:val="center"/>
          </w:tcPr>
          <w:p w14:paraId="2D36560B" w14:textId="77777777" w:rsidR="00160EDF" w:rsidRPr="00F57CC1" w:rsidRDefault="00160EDF" w:rsidP="00D906FC">
            <w:pPr>
              <w:rPr>
                <w:rFonts w:ascii="Times New Roman" w:hAnsi="Times New Roman" w:cs="Times New Roman"/>
              </w:rPr>
            </w:pPr>
            <w:r w:rsidRPr="00F57CC1">
              <w:rPr>
                <w:rFonts w:ascii="Times New Roman" w:hAnsi="Times New Roman" w:cs="Times New Roman"/>
                <w:i/>
                <w:iCs/>
              </w:rPr>
              <w:t>Reference</w:t>
            </w:r>
          </w:p>
        </w:tc>
      </w:tr>
      <w:tr w:rsidR="00160EDF" w14:paraId="34357FA8" w14:textId="77777777" w:rsidTr="00B0092F">
        <w:tc>
          <w:tcPr>
            <w:tcW w:w="4045" w:type="dxa"/>
            <w:tcBorders>
              <w:top w:val="nil"/>
              <w:left w:val="nil"/>
              <w:bottom w:val="nil"/>
              <w:right w:val="nil"/>
            </w:tcBorders>
          </w:tcPr>
          <w:p w14:paraId="5B1CA750" w14:textId="77777777" w:rsidR="00160EDF" w:rsidRPr="00F57CC1" w:rsidRDefault="00160EDF" w:rsidP="00D906FC">
            <w:pPr>
              <w:rPr>
                <w:rFonts w:ascii="Times New Roman" w:hAnsi="Times New Roman" w:cs="Times New Roman"/>
                <w:b/>
                <w:bCs/>
              </w:rPr>
            </w:pPr>
            <w:r w:rsidRPr="00F57CC1">
              <w:rPr>
                <w:rFonts w:ascii="Times New Roman" w:hAnsi="Times New Roman" w:cs="Times New Roman"/>
                <w:b/>
                <w:bCs/>
              </w:rPr>
              <w:t>Myocardial Infarction</w:t>
            </w:r>
          </w:p>
        </w:tc>
        <w:tc>
          <w:tcPr>
            <w:tcW w:w="1260" w:type="dxa"/>
            <w:tcBorders>
              <w:top w:val="nil"/>
              <w:left w:val="nil"/>
              <w:bottom w:val="nil"/>
              <w:right w:val="nil"/>
            </w:tcBorders>
            <w:vAlign w:val="center"/>
          </w:tcPr>
          <w:p w14:paraId="754B8EA3" w14:textId="77777777" w:rsidR="00160EDF" w:rsidRPr="00F57CC1" w:rsidRDefault="00160EDF" w:rsidP="00D906FC">
            <w:pPr>
              <w:jc w:val="center"/>
              <w:rPr>
                <w:rFonts w:ascii="Times New Roman" w:hAnsi="Times New Roman" w:cs="Times New Roman"/>
                <w:b/>
                <w:bCs/>
              </w:rPr>
            </w:pPr>
          </w:p>
        </w:tc>
        <w:tc>
          <w:tcPr>
            <w:tcW w:w="2795" w:type="dxa"/>
            <w:tcBorders>
              <w:top w:val="nil"/>
              <w:left w:val="nil"/>
              <w:bottom w:val="nil"/>
              <w:right w:val="nil"/>
            </w:tcBorders>
            <w:vAlign w:val="center"/>
          </w:tcPr>
          <w:p w14:paraId="6EABF69A" w14:textId="77777777" w:rsidR="00160EDF" w:rsidRPr="00F57CC1" w:rsidRDefault="00160EDF" w:rsidP="00D906FC">
            <w:pPr>
              <w:jc w:val="center"/>
              <w:rPr>
                <w:rFonts w:ascii="Times New Roman" w:hAnsi="Times New Roman" w:cs="Times New Roman"/>
              </w:rPr>
            </w:pPr>
          </w:p>
        </w:tc>
        <w:tc>
          <w:tcPr>
            <w:tcW w:w="1250" w:type="dxa"/>
            <w:tcBorders>
              <w:top w:val="nil"/>
              <w:left w:val="nil"/>
              <w:bottom w:val="nil"/>
              <w:right w:val="nil"/>
            </w:tcBorders>
            <w:vAlign w:val="center"/>
          </w:tcPr>
          <w:p w14:paraId="562067A8" w14:textId="77777777" w:rsidR="00160EDF" w:rsidRPr="00F57CC1" w:rsidRDefault="00160EDF" w:rsidP="00D906FC">
            <w:pPr>
              <w:jc w:val="center"/>
              <w:rPr>
                <w:rFonts w:ascii="Times New Roman" w:hAnsi="Times New Roman" w:cs="Times New Roman"/>
              </w:rPr>
            </w:pPr>
          </w:p>
        </w:tc>
      </w:tr>
      <w:tr w:rsidR="00160EDF" w14:paraId="00883B3E" w14:textId="77777777" w:rsidTr="00D906FC">
        <w:tc>
          <w:tcPr>
            <w:tcW w:w="4045" w:type="dxa"/>
            <w:tcBorders>
              <w:top w:val="nil"/>
              <w:left w:val="nil"/>
              <w:bottom w:val="nil"/>
              <w:right w:val="nil"/>
            </w:tcBorders>
          </w:tcPr>
          <w:p w14:paraId="036F31E4" w14:textId="77777777" w:rsidR="00160EDF" w:rsidRPr="00F57CC1" w:rsidRDefault="00160EDF" w:rsidP="00D906FC">
            <w:pPr>
              <w:rPr>
                <w:rFonts w:ascii="Times New Roman" w:hAnsi="Times New Roman" w:cs="Times New Roman"/>
              </w:rPr>
            </w:pPr>
            <w:r w:rsidRPr="00F57CC1">
              <w:rPr>
                <w:rFonts w:ascii="Times New Roman" w:hAnsi="Times New Roman" w:cs="Times New Roman"/>
              </w:rPr>
              <w:t xml:space="preserve">     Yes</w:t>
            </w:r>
          </w:p>
        </w:tc>
        <w:tc>
          <w:tcPr>
            <w:tcW w:w="1260" w:type="dxa"/>
            <w:tcBorders>
              <w:top w:val="nil"/>
              <w:left w:val="nil"/>
              <w:bottom w:val="nil"/>
              <w:right w:val="nil"/>
            </w:tcBorders>
            <w:vAlign w:val="center"/>
          </w:tcPr>
          <w:p w14:paraId="5BD9B3D8"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1.3</w:t>
            </w:r>
            <w:r>
              <w:rPr>
                <w:rFonts w:ascii="Times New Roman" w:hAnsi="Times New Roman" w:cs="Times New Roman"/>
              </w:rPr>
              <w:t>6</w:t>
            </w:r>
          </w:p>
        </w:tc>
        <w:tc>
          <w:tcPr>
            <w:tcW w:w="2795" w:type="dxa"/>
            <w:tcBorders>
              <w:top w:val="nil"/>
              <w:left w:val="nil"/>
              <w:bottom w:val="nil"/>
              <w:right w:val="nil"/>
            </w:tcBorders>
            <w:vAlign w:val="center"/>
          </w:tcPr>
          <w:p w14:paraId="49D55244"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1.21, 1.5</w:t>
            </w:r>
            <w:r>
              <w:rPr>
                <w:rFonts w:ascii="Times New Roman" w:hAnsi="Times New Roman" w:cs="Times New Roman"/>
              </w:rPr>
              <w:t>4</w:t>
            </w:r>
          </w:p>
        </w:tc>
        <w:tc>
          <w:tcPr>
            <w:tcW w:w="1250" w:type="dxa"/>
            <w:tcBorders>
              <w:top w:val="nil"/>
              <w:left w:val="nil"/>
              <w:bottom w:val="nil"/>
              <w:right w:val="nil"/>
            </w:tcBorders>
            <w:vAlign w:val="center"/>
          </w:tcPr>
          <w:p w14:paraId="17C1CAA8"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&lt;0.0001</w:t>
            </w:r>
          </w:p>
        </w:tc>
      </w:tr>
      <w:tr w:rsidR="00160EDF" w14:paraId="7607BFF7" w14:textId="77777777" w:rsidTr="00B0092F">
        <w:tc>
          <w:tcPr>
            <w:tcW w:w="4045" w:type="dxa"/>
            <w:tcBorders>
              <w:top w:val="nil"/>
              <w:left w:val="nil"/>
              <w:bottom w:val="nil"/>
              <w:right w:val="nil"/>
            </w:tcBorders>
          </w:tcPr>
          <w:p w14:paraId="05557372" w14:textId="77777777" w:rsidR="00160EDF" w:rsidRPr="00F57CC1" w:rsidRDefault="00160EDF" w:rsidP="00D906FC">
            <w:pPr>
              <w:rPr>
                <w:rFonts w:ascii="Times New Roman" w:hAnsi="Times New Roman" w:cs="Times New Roman"/>
              </w:rPr>
            </w:pPr>
            <w:r w:rsidRPr="00F57CC1">
              <w:rPr>
                <w:rFonts w:ascii="Times New Roman" w:hAnsi="Times New Roman" w:cs="Times New Roman"/>
              </w:rPr>
              <w:t xml:space="preserve">     No</w:t>
            </w:r>
          </w:p>
        </w:tc>
        <w:tc>
          <w:tcPr>
            <w:tcW w:w="5305" w:type="dxa"/>
            <w:gridSpan w:val="3"/>
            <w:tcBorders>
              <w:top w:val="nil"/>
              <w:left w:val="nil"/>
              <w:bottom w:val="nil"/>
              <w:right w:val="nil"/>
            </w:tcBorders>
            <w:vAlign w:val="center"/>
          </w:tcPr>
          <w:p w14:paraId="3A3A9F8D" w14:textId="77777777" w:rsidR="00160EDF" w:rsidRPr="00F57CC1" w:rsidRDefault="00160EDF" w:rsidP="00D906FC">
            <w:pPr>
              <w:rPr>
                <w:rFonts w:ascii="Times New Roman" w:hAnsi="Times New Roman" w:cs="Times New Roman"/>
                <w:i/>
                <w:iCs/>
              </w:rPr>
            </w:pPr>
            <w:r w:rsidRPr="00F57CC1">
              <w:rPr>
                <w:rFonts w:ascii="Times New Roman" w:hAnsi="Times New Roman" w:cs="Times New Roman"/>
                <w:i/>
                <w:iCs/>
              </w:rPr>
              <w:t>Reference</w:t>
            </w:r>
          </w:p>
        </w:tc>
      </w:tr>
      <w:tr w:rsidR="00160EDF" w14:paraId="64B6330D" w14:textId="77777777" w:rsidTr="00B0092F">
        <w:tc>
          <w:tcPr>
            <w:tcW w:w="4045" w:type="dxa"/>
            <w:tcBorders>
              <w:top w:val="nil"/>
              <w:left w:val="nil"/>
              <w:bottom w:val="nil"/>
              <w:right w:val="nil"/>
            </w:tcBorders>
          </w:tcPr>
          <w:p w14:paraId="225C5C38" w14:textId="77777777" w:rsidR="00160EDF" w:rsidRPr="00F57CC1" w:rsidRDefault="00160EDF" w:rsidP="00D906FC">
            <w:pPr>
              <w:rPr>
                <w:rFonts w:ascii="Times New Roman" w:hAnsi="Times New Roman" w:cs="Times New Roman"/>
              </w:rPr>
            </w:pPr>
            <w:r w:rsidRPr="00F57CC1">
              <w:rPr>
                <w:rFonts w:ascii="Times New Roman" w:hAnsi="Times New Roman" w:cs="Times New Roman"/>
                <w:b/>
                <w:bCs/>
              </w:rPr>
              <w:t>Coronary Artery Disease</w:t>
            </w:r>
          </w:p>
        </w:tc>
        <w:tc>
          <w:tcPr>
            <w:tcW w:w="1260" w:type="dxa"/>
            <w:tcBorders>
              <w:top w:val="nil"/>
              <w:left w:val="nil"/>
              <w:bottom w:val="nil"/>
              <w:right w:val="nil"/>
            </w:tcBorders>
            <w:vAlign w:val="center"/>
          </w:tcPr>
          <w:p w14:paraId="4C4AA2FD" w14:textId="77777777" w:rsidR="00160EDF" w:rsidRPr="00F57CC1" w:rsidRDefault="00160EDF" w:rsidP="00D906FC">
            <w:pPr>
              <w:jc w:val="center"/>
              <w:rPr>
                <w:rFonts w:ascii="Times New Roman" w:hAnsi="Times New Roman" w:cs="Times New Roman"/>
              </w:rPr>
            </w:pPr>
          </w:p>
        </w:tc>
        <w:tc>
          <w:tcPr>
            <w:tcW w:w="2795" w:type="dxa"/>
            <w:tcBorders>
              <w:top w:val="nil"/>
              <w:left w:val="nil"/>
              <w:bottom w:val="nil"/>
              <w:right w:val="nil"/>
            </w:tcBorders>
            <w:vAlign w:val="center"/>
          </w:tcPr>
          <w:p w14:paraId="665BAB29" w14:textId="77777777" w:rsidR="00160EDF" w:rsidRPr="00F57CC1" w:rsidRDefault="00160EDF" w:rsidP="00D906FC">
            <w:pPr>
              <w:jc w:val="center"/>
              <w:rPr>
                <w:rFonts w:ascii="Times New Roman" w:hAnsi="Times New Roman" w:cs="Times New Roman"/>
              </w:rPr>
            </w:pPr>
          </w:p>
        </w:tc>
        <w:tc>
          <w:tcPr>
            <w:tcW w:w="1250" w:type="dxa"/>
            <w:tcBorders>
              <w:top w:val="nil"/>
              <w:left w:val="nil"/>
              <w:bottom w:val="nil"/>
              <w:right w:val="nil"/>
            </w:tcBorders>
            <w:vAlign w:val="center"/>
          </w:tcPr>
          <w:p w14:paraId="65C22945" w14:textId="77777777" w:rsidR="00160EDF" w:rsidRPr="00F57CC1" w:rsidRDefault="00160EDF" w:rsidP="00D906FC">
            <w:pPr>
              <w:jc w:val="center"/>
              <w:rPr>
                <w:rFonts w:ascii="Times New Roman" w:hAnsi="Times New Roman" w:cs="Times New Roman"/>
              </w:rPr>
            </w:pPr>
          </w:p>
        </w:tc>
      </w:tr>
      <w:tr w:rsidR="00160EDF" w14:paraId="21184765" w14:textId="77777777" w:rsidTr="00D906FC">
        <w:tc>
          <w:tcPr>
            <w:tcW w:w="4045" w:type="dxa"/>
            <w:tcBorders>
              <w:top w:val="nil"/>
              <w:left w:val="nil"/>
              <w:bottom w:val="nil"/>
              <w:right w:val="nil"/>
            </w:tcBorders>
          </w:tcPr>
          <w:p w14:paraId="3CD164A5" w14:textId="77777777" w:rsidR="00160EDF" w:rsidRPr="00F57CC1" w:rsidRDefault="00160EDF" w:rsidP="00D906FC">
            <w:pPr>
              <w:rPr>
                <w:rFonts w:ascii="Times New Roman" w:hAnsi="Times New Roman" w:cs="Times New Roman"/>
              </w:rPr>
            </w:pPr>
            <w:r w:rsidRPr="00F57CC1">
              <w:rPr>
                <w:rFonts w:ascii="Times New Roman" w:hAnsi="Times New Roman" w:cs="Times New Roman"/>
              </w:rPr>
              <w:t xml:space="preserve">     Yes</w:t>
            </w:r>
          </w:p>
        </w:tc>
        <w:tc>
          <w:tcPr>
            <w:tcW w:w="1260" w:type="dxa"/>
            <w:tcBorders>
              <w:top w:val="nil"/>
              <w:left w:val="nil"/>
              <w:bottom w:val="nil"/>
              <w:right w:val="nil"/>
            </w:tcBorders>
            <w:vAlign w:val="center"/>
          </w:tcPr>
          <w:p w14:paraId="480EEF7F"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1.4</w:t>
            </w:r>
            <w:r>
              <w:rPr>
                <w:rFonts w:ascii="Times New Roman" w:hAnsi="Times New Roman" w:cs="Times New Roman"/>
              </w:rPr>
              <w:t>3</w:t>
            </w:r>
          </w:p>
        </w:tc>
        <w:tc>
          <w:tcPr>
            <w:tcW w:w="2795" w:type="dxa"/>
            <w:tcBorders>
              <w:top w:val="nil"/>
              <w:left w:val="nil"/>
              <w:bottom w:val="nil"/>
              <w:right w:val="nil"/>
            </w:tcBorders>
            <w:vAlign w:val="center"/>
          </w:tcPr>
          <w:p w14:paraId="0006C803"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1.2</w:t>
            </w:r>
            <w:r>
              <w:rPr>
                <w:rFonts w:ascii="Times New Roman" w:hAnsi="Times New Roman" w:cs="Times New Roman"/>
              </w:rPr>
              <w:t>8</w:t>
            </w:r>
            <w:r w:rsidRPr="00F57CC1">
              <w:rPr>
                <w:rFonts w:ascii="Times New Roman" w:hAnsi="Times New Roman" w:cs="Times New Roman"/>
              </w:rPr>
              <w:t>, 1.60</w:t>
            </w:r>
          </w:p>
        </w:tc>
        <w:tc>
          <w:tcPr>
            <w:tcW w:w="1250" w:type="dxa"/>
            <w:tcBorders>
              <w:top w:val="nil"/>
              <w:left w:val="nil"/>
              <w:bottom w:val="nil"/>
              <w:right w:val="nil"/>
            </w:tcBorders>
            <w:vAlign w:val="center"/>
          </w:tcPr>
          <w:p w14:paraId="1F33CBA5"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&lt;0.0001</w:t>
            </w:r>
          </w:p>
        </w:tc>
      </w:tr>
      <w:tr w:rsidR="00160EDF" w14:paraId="07EAC2CA" w14:textId="77777777" w:rsidTr="00B0092F">
        <w:tc>
          <w:tcPr>
            <w:tcW w:w="4045" w:type="dxa"/>
            <w:tcBorders>
              <w:top w:val="nil"/>
              <w:left w:val="nil"/>
              <w:bottom w:val="nil"/>
              <w:right w:val="nil"/>
            </w:tcBorders>
          </w:tcPr>
          <w:p w14:paraId="3B77B5A0" w14:textId="77777777" w:rsidR="00160EDF" w:rsidRPr="00F57CC1" w:rsidRDefault="00160EDF" w:rsidP="00D906FC">
            <w:pPr>
              <w:rPr>
                <w:rFonts w:ascii="Times New Roman" w:hAnsi="Times New Roman" w:cs="Times New Roman"/>
              </w:rPr>
            </w:pPr>
            <w:r w:rsidRPr="00F57CC1">
              <w:rPr>
                <w:rFonts w:ascii="Times New Roman" w:hAnsi="Times New Roman" w:cs="Times New Roman"/>
              </w:rPr>
              <w:t xml:space="preserve">     No</w:t>
            </w:r>
          </w:p>
        </w:tc>
        <w:tc>
          <w:tcPr>
            <w:tcW w:w="5305" w:type="dxa"/>
            <w:gridSpan w:val="3"/>
            <w:tcBorders>
              <w:top w:val="nil"/>
              <w:left w:val="nil"/>
              <w:bottom w:val="nil"/>
              <w:right w:val="nil"/>
            </w:tcBorders>
            <w:vAlign w:val="center"/>
          </w:tcPr>
          <w:p w14:paraId="7A7F7CFC" w14:textId="77777777" w:rsidR="00160EDF" w:rsidRPr="00F57CC1" w:rsidRDefault="00160EDF" w:rsidP="00D906FC">
            <w:pPr>
              <w:rPr>
                <w:rFonts w:ascii="Times New Roman" w:hAnsi="Times New Roman" w:cs="Times New Roman"/>
                <w:i/>
                <w:iCs/>
              </w:rPr>
            </w:pPr>
            <w:r w:rsidRPr="00F57CC1">
              <w:rPr>
                <w:rFonts w:ascii="Times New Roman" w:hAnsi="Times New Roman" w:cs="Times New Roman"/>
                <w:i/>
                <w:iCs/>
              </w:rPr>
              <w:t>Reference</w:t>
            </w:r>
          </w:p>
        </w:tc>
      </w:tr>
      <w:tr w:rsidR="00160EDF" w14:paraId="36F5C1AE" w14:textId="77777777" w:rsidTr="00B0092F">
        <w:tc>
          <w:tcPr>
            <w:tcW w:w="4045" w:type="dxa"/>
            <w:tcBorders>
              <w:top w:val="nil"/>
              <w:left w:val="nil"/>
              <w:bottom w:val="nil"/>
              <w:right w:val="nil"/>
            </w:tcBorders>
          </w:tcPr>
          <w:p w14:paraId="543F80F2" w14:textId="77777777" w:rsidR="00160EDF" w:rsidRPr="00F57CC1" w:rsidRDefault="00160EDF" w:rsidP="00D906FC">
            <w:pPr>
              <w:rPr>
                <w:rFonts w:ascii="Times New Roman" w:hAnsi="Times New Roman" w:cs="Times New Roman"/>
                <w:b/>
                <w:bCs/>
              </w:rPr>
            </w:pPr>
            <w:r w:rsidRPr="00F57CC1">
              <w:rPr>
                <w:rFonts w:ascii="Times New Roman" w:hAnsi="Times New Roman" w:cs="Times New Roman"/>
                <w:b/>
                <w:bCs/>
              </w:rPr>
              <w:t>Hypertension</w:t>
            </w:r>
          </w:p>
        </w:tc>
        <w:tc>
          <w:tcPr>
            <w:tcW w:w="1260" w:type="dxa"/>
            <w:tcBorders>
              <w:top w:val="nil"/>
              <w:left w:val="nil"/>
              <w:bottom w:val="nil"/>
              <w:right w:val="nil"/>
            </w:tcBorders>
            <w:vAlign w:val="center"/>
          </w:tcPr>
          <w:p w14:paraId="23429B48" w14:textId="77777777" w:rsidR="00160EDF" w:rsidRPr="00F57CC1" w:rsidRDefault="00160EDF" w:rsidP="00D906FC">
            <w:pPr>
              <w:jc w:val="center"/>
              <w:rPr>
                <w:rFonts w:ascii="Times New Roman" w:hAnsi="Times New Roman" w:cs="Times New Roman"/>
                <w:b/>
                <w:bCs/>
              </w:rPr>
            </w:pPr>
          </w:p>
        </w:tc>
        <w:tc>
          <w:tcPr>
            <w:tcW w:w="2795" w:type="dxa"/>
            <w:tcBorders>
              <w:top w:val="nil"/>
              <w:left w:val="nil"/>
              <w:bottom w:val="nil"/>
              <w:right w:val="nil"/>
            </w:tcBorders>
            <w:vAlign w:val="center"/>
          </w:tcPr>
          <w:p w14:paraId="4D4BEB0D" w14:textId="77777777" w:rsidR="00160EDF" w:rsidRPr="00F57CC1" w:rsidRDefault="00160EDF" w:rsidP="00D906FC">
            <w:pPr>
              <w:jc w:val="center"/>
              <w:rPr>
                <w:rFonts w:ascii="Times New Roman" w:hAnsi="Times New Roman" w:cs="Times New Roman"/>
              </w:rPr>
            </w:pPr>
          </w:p>
        </w:tc>
        <w:tc>
          <w:tcPr>
            <w:tcW w:w="1250" w:type="dxa"/>
            <w:tcBorders>
              <w:top w:val="nil"/>
              <w:left w:val="nil"/>
              <w:bottom w:val="nil"/>
              <w:right w:val="nil"/>
            </w:tcBorders>
            <w:vAlign w:val="center"/>
          </w:tcPr>
          <w:p w14:paraId="74854004" w14:textId="77777777" w:rsidR="00160EDF" w:rsidRPr="00F57CC1" w:rsidRDefault="00160EDF" w:rsidP="00D906FC">
            <w:pPr>
              <w:jc w:val="center"/>
              <w:rPr>
                <w:rFonts w:ascii="Times New Roman" w:hAnsi="Times New Roman" w:cs="Times New Roman"/>
              </w:rPr>
            </w:pPr>
          </w:p>
        </w:tc>
      </w:tr>
      <w:tr w:rsidR="00160EDF" w14:paraId="69CB0AD7" w14:textId="77777777" w:rsidTr="00D906FC">
        <w:tc>
          <w:tcPr>
            <w:tcW w:w="4045" w:type="dxa"/>
            <w:tcBorders>
              <w:top w:val="nil"/>
              <w:left w:val="nil"/>
              <w:bottom w:val="nil"/>
              <w:right w:val="nil"/>
            </w:tcBorders>
          </w:tcPr>
          <w:p w14:paraId="0D13FD2A" w14:textId="77777777" w:rsidR="00160EDF" w:rsidRPr="00F57CC1" w:rsidRDefault="00160EDF" w:rsidP="00D906FC">
            <w:pPr>
              <w:rPr>
                <w:rFonts w:ascii="Times New Roman" w:hAnsi="Times New Roman" w:cs="Times New Roman"/>
              </w:rPr>
            </w:pPr>
            <w:r w:rsidRPr="00F57CC1">
              <w:rPr>
                <w:rFonts w:ascii="Times New Roman" w:hAnsi="Times New Roman" w:cs="Times New Roman"/>
              </w:rPr>
              <w:t xml:space="preserve">     Yes</w:t>
            </w:r>
          </w:p>
        </w:tc>
        <w:tc>
          <w:tcPr>
            <w:tcW w:w="1260" w:type="dxa"/>
            <w:tcBorders>
              <w:top w:val="nil"/>
              <w:left w:val="nil"/>
              <w:bottom w:val="nil"/>
              <w:right w:val="nil"/>
            </w:tcBorders>
            <w:vAlign w:val="center"/>
          </w:tcPr>
          <w:p w14:paraId="52E3FCA3"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1.07</w:t>
            </w:r>
          </w:p>
        </w:tc>
        <w:tc>
          <w:tcPr>
            <w:tcW w:w="2795" w:type="dxa"/>
            <w:tcBorders>
              <w:top w:val="nil"/>
              <w:left w:val="nil"/>
              <w:bottom w:val="nil"/>
              <w:right w:val="nil"/>
            </w:tcBorders>
            <w:vAlign w:val="center"/>
          </w:tcPr>
          <w:p w14:paraId="0F5FE4E4"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0.99, 1.16</w:t>
            </w:r>
          </w:p>
        </w:tc>
        <w:tc>
          <w:tcPr>
            <w:tcW w:w="1250" w:type="dxa"/>
            <w:tcBorders>
              <w:top w:val="nil"/>
              <w:left w:val="nil"/>
              <w:bottom w:val="nil"/>
              <w:right w:val="nil"/>
            </w:tcBorders>
            <w:vAlign w:val="center"/>
          </w:tcPr>
          <w:p w14:paraId="6CDCB2FA"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0.0</w:t>
            </w:r>
            <w:r>
              <w:rPr>
                <w:rFonts w:ascii="Times New Roman" w:hAnsi="Times New Roman" w:cs="Times New Roman"/>
              </w:rPr>
              <w:t>717</w:t>
            </w:r>
          </w:p>
        </w:tc>
      </w:tr>
      <w:tr w:rsidR="00160EDF" w14:paraId="36ED3E97" w14:textId="77777777" w:rsidTr="00B0092F">
        <w:tc>
          <w:tcPr>
            <w:tcW w:w="4045" w:type="dxa"/>
            <w:tcBorders>
              <w:top w:val="nil"/>
              <w:left w:val="nil"/>
              <w:bottom w:val="nil"/>
              <w:right w:val="nil"/>
            </w:tcBorders>
          </w:tcPr>
          <w:p w14:paraId="2D6BDB35" w14:textId="77777777" w:rsidR="00160EDF" w:rsidRPr="00F57CC1" w:rsidRDefault="00160EDF" w:rsidP="00D906FC">
            <w:pPr>
              <w:rPr>
                <w:rFonts w:ascii="Times New Roman" w:hAnsi="Times New Roman" w:cs="Times New Roman"/>
              </w:rPr>
            </w:pPr>
            <w:r w:rsidRPr="00F57CC1">
              <w:rPr>
                <w:rFonts w:ascii="Times New Roman" w:hAnsi="Times New Roman" w:cs="Times New Roman"/>
              </w:rPr>
              <w:t xml:space="preserve">     No</w:t>
            </w:r>
          </w:p>
        </w:tc>
        <w:tc>
          <w:tcPr>
            <w:tcW w:w="5305" w:type="dxa"/>
            <w:gridSpan w:val="3"/>
            <w:tcBorders>
              <w:top w:val="nil"/>
              <w:left w:val="nil"/>
              <w:bottom w:val="nil"/>
              <w:right w:val="nil"/>
            </w:tcBorders>
            <w:vAlign w:val="center"/>
          </w:tcPr>
          <w:p w14:paraId="1DC558D2" w14:textId="77777777" w:rsidR="00160EDF" w:rsidRPr="00F57CC1" w:rsidRDefault="00160EDF" w:rsidP="00D906FC">
            <w:pPr>
              <w:rPr>
                <w:rFonts w:ascii="Times New Roman" w:hAnsi="Times New Roman" w:cs="Times New Roman"/>
                <w:i/>
                <w:iCs/>
              </w:rPr>
            </w:pPr>
            <w:r w:rsidRPr="00F57CC1">
              <w:rPr>
                <w:rFonts w:ascii="Times New Roman" w:hAnsi="Times New Roman" w:cs="Times New Roman"/>
                <w:i/>
                <w:iCs/>
              </w:rPr>
              <w:t>Reference</w:t>
            </w:r>
          </w:p>
        </w:tc>
      </w:tr>
      <w:tr w:rsidR="00160EDF" w14:paraId="2F63920A" w14:textId="77777777" w:rsidTr="00B0092F">
        <w:tc>
          <w:tcPr>
            <w:tcW w:w="4045" w:type="dxa"/>
            <w:tcBorders>
              <w:top w:val="nil"/>
              <w:left w:val="nil"/>
              <w:bottom w:val="nil"/>
              <w:right w:val="nil"/>
            </w:tcBorders>
          </w:tcPr>
          <w:p w14:paraId="4686F994" w14:textId="77777777" w:rsidR="00160EDF" w:rsidRPr="00F57CC1" w:rsidRDefault="00160EDF" w:rsidP="00D906FC">
            <w:pPr>
              <w:rPr>
                <w:rFonts w:ascii="Times New Roman" w:hAnsi="Times New Roman" w:cs="Times New Roman"/>
              </w:rPr>
            </w:pPr>
            <w:r w:rsidRPr="00F57CC1">
              <w:rPr>
                <w:rFonts w:ascii="Times New Roman" w:hAnsi="Times New Roman" w:cs="Times New Roman"/>
                <w:b/>
                <w:bCs/>
              </w:rPr>
              <w:t>Stroke</w:t>
            </w:r>
          </w:p>
        </w:tc>
        <w:tc>
          <w:tcPr>
            <w:tcW w:w="1260" w:type="dxa"/>
            <w:tcBorders>
              <w:top w:val="nil"/>
              <w:left w:val="nil"/>
              <w:bottom w:val="nil"/>
              <w:right w:val="nil"/>
            </w:tcBorders>
            <w:vAlign w:val="center"/>
          </w:tcPr>
          <w:p w14:paraId="43216A9F" w14:textId="77777777" w:rsidR="00160EDF" w:rsidRPr="00F57CC1" w:rsidRDefault="00160EDF" w:rsidP="00D906FC">
            <w:pPr>
              <w:jc w:val="center"/>
              <w:rPr>
                <w:rFonts w:ascii="Times New Roman" w:hAnsi="Times New Roman" w:cs="Times New Roman"/>
                <w:b/>
                <w:bCs/>
              </w:rPr>
            </w:pPr>
          </w:p>
        </w:tc>
        <w:tc>
          <w:tcPr>
            <w:tcW w:w="2795" w:type="dxa"/>
            <w:tcBorders>
              <w:top w:val="nil"/>
              <w:left w:val="nil"/>
              <w:bottom w:val="nil"/>
              <w:right w:val="nil"/>
            </w:tcBorders>
            <w:vAlign w:val="center"/>
          </w:tcPr>
          <w:p w14:paraId="74043704" w14:textId="77777777" w:rsidR="00160EDF" w:rsidRPr="00F57CC1" w:rsidRDefault="00160EDF" w:rsidP="00D906FC">
            <w:pPr>
              <w:jc w:val="center"/>
              <w:rPr>
                <w:rFonts w:ascii="Times New Roman" w:hAnsi="Times New Roman" w:cs="Times New Roman"/>
              </w:rPr>
            </w:pPr>
          </w:p>
        </w:tc>
        <w:tc>
          <w:tcPr>
            <w:tcW w:w="1250" w:type="dxa"/>
            <w:tcBorders>
              <w:top w:val="nil"/>
              <w:left w:val="nil"/>
              <w:bottom w:val="nil"/>
              <w:right w:val="nil"/>
            </w:tcBorders>
            <w:vAlign w:val="center"/>
          </w:tcPr>
          <w:p w14:paraId="60BF8BD0" w14:textId="77777777" w:rsidR="00160EDF" w:rsidRPr="00F57CC1" w:rsidRDefault="00160EDF" w:rsidP="00D906FC">
            <w:pPr>
              <w:jc w:val="center"/>
              <w:rPr>
                <w:rFonts w:ascii="Times New Roman" w:hAnsi="Times New Roman" w:cs="Times New Roman"/>
              </w:rPr>
            </w:pPr>
          </w:p>
        </w:tc>
      </w:tr>
      <w:tr w:rsidR="00160EDF" w14:paraId="6F6EBD54" w14:textId="77777777" w:rsidTr="00D906FC">
        <w:tc>
          <w:tcPr>
            <w:tcW w:w="4045" w:type="dxa"/>
            <w:tcBorders>
              <w:top w:val="nil"/>
              <w:left w:val="nil"/>
              <w:bottom w:val="nil"/>
              <w:right w:val="nil"/>
            </w:tcBorders>
          </w:tcPr>
          <w:p w14:paraId="19E65D8E" w14:textId="77777777" w:rsidR="00160EDF" w:rsidRPr="00F57CC1" w:rsidRDefault="00160EDF" w:rsidP="00D906FC">
            <w:pPr>
              <w:rPr>
                <w:rFonts w:ascii="Times New Roman" w:hAnsi="Times New Roman" w:cs="Times New Roman"/>
              </w:rPr>
            </w:pPr>
            <w:r w:rsidRPr="00F57CC1">
              <w:rPr>
                <w:rFonts w:ascii="Times New Roman" w:hAnsi="Times New Roman" w:cs="Times New Roman"/>
              </w:rPr>
              <w:t xml:space="preserve">     Yes</w:t>
            </w:r>
          </w:p>
        </w:tc>
        <w:tc>
          <w:tcPr>
            <w:tcW w:w="1260" w:type="dxa"/>
            <w:tcBorders>
              <w:top w:val="nil"/>
              <w:left w:val="nil"/>
              <w:bottom w:val="nil"/>
              <w:right w:val="nil"/>
            </w:tcBorders>
            <w:vAlign w:val="center"/>
          </w:tcPr>
          <w:p w14:paraId="359FD4D9"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1.52</w:t>
            </w:r>
          </w:p>
        </w:tc>
        <w:tc>
          <w:tcPr>
            <w:tcW w:w="2795" w:type="dxa"/>
            <w:tcBorders>
              <w:top w:val="nil"/>
              <w:left w:val="nil"/>
              <w:bottom w:val="nil"/>
              <w:right w:val="nil"/>
            </w:tcBorders>
            <w:vAlign w:val="center"/>
          </w:tcPr>
          <w:p w14:paraId="4FB54E84"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1.30, 1.78</w:t>
            </w:r>
          </w:p>
        </w:tc>
        <w:tc>
          <w:tcPr>
            <w:tcW w:w="1250" w:type="dxa"/>
            <w:tcBorders>
              <w:top w:val="nil"/>
              <w:left w:val="nil"/>
              <w:bottom w:val="nil"/>
              <w:right w:val="nil"/>
            </w:tcBorders>
            <w:vAlign w:val="center"/>
          </w:tcPr>
          <w:p w14:paraId="7991F4F1"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&lt;0.0001</w:t>
            </w:r>
          </w:p>
        </w:tc>
      </w:tr>
      <w:tr w:rsidR="00160EDF" w14:paraId="06353048" w14:textId="77777777" w:rsidTr="00B0092F">
        <w:tc>
          <w:tcPr>
            <w:tcW w:w="4045" w:type="dxa"/>
            <w:tcBorders>
              <w:top w:val="nil"/>
              <w:left w:val="nil"/>
              <w:bottom w:val="nil"/>
              <w:right w:val="nil"/>
            </w:tcBorders>
          </w:tcPr>
          <w:p w14:paraId="0662426B" w14:textId="77777777" w:rsidR="00160EDF" w:rsidRPr="00F57CC1" w:rsidRDefault="00160EDF" w:rsidP="00D906FC">
            <w:pPr>
              <w:rPr>
                <w:rFonts w:ascii="Times New Roman" w:hAnsi="Times New Roman" w:cs="Times New Roman"/>
              </w:rPr>
            </w:pPr>
            <w:r w:rsidRPr="00F57CC1">
              <w:rPr>
                <w:rFonts w:ascii="Times New Roman" w:hAnsi="Times New Roman" w:cs="Times New Roman"/>
              </w:rPr>
              <w:t xml:space="preserve">     No</w:t>
            </w:r>
          </w:p>
        </w:tc>
        <w:tc>
          <w:tcPr>
            <w:tcW w:w="5305" w:type="dxa"/>
            <w:gridSpan w:val="3"/>
            <w:tcBorders>
              <w:top w:val="nil"/>
              <w:left w:val="nil"/>
              <w:bottom w:val="nil"/>
              <w:right w:val="nil"/>
            </w:tcBorders>
            <w:vAlign w:val="center"/>
          </w:tcPr>
          <w:p w14:paraId="029AC2F0" w14:textId="77777777" w:rsidR="00160EDF" w:rsidRPr="00F57CC1" w:rsidRDefault="00160EDF" w:rsidP="00D906FC">
            <w:pPr>
              <w:rPr>
                <w:rFonts w:ascii="Times New Roman" w:hAnsi="Times New Roman" w:cs="Times New Roman"/>
                <w:i/>
                <w:iCs/>
              </w:rPr>
            </w:pPr>
            <w:r w:rsidRPr="00F57CC1">
              <w:rPr>
                <w:rFonts w:ascii="Times New Roman" w:hAnsi="Times New Roman" w:cs="Times New Roman"/>
                <w:i/>
                <w:iCs/>
              </w:rPr>
              <w:t>Reference</w:t>
            </w:r>
          </w:p>
        </w:tc>
      </w:tr>
      <w:tr w:rsidR="00160EDF" w14:paraId="09B27D68" w14:textId="77777777" w:rsidTr="00B0092F">
        <w:tc>
          <w:tcPr>
            <w:tcW w:w="4045" w:type="dxa"/>
            <w:tcBorders>
              <w:top w:val="nil"/>
              <w:left w:val="nil"/>
              <w:bottom w:val="nil"/>
              <w:right w:val="nil"/>
            </w:tcBorders>
          </w:tcPr>
          <w:p w14:paraId="4189EB63" w14:textId="77777777" w:rsidR="00160EDF" w:rsidRPr="00F57CC1" w:rsidRDefault="00160EDF" w:rsidP="00D906FC">
            <w:pPr>
              <w:rPr>
                <w:rFonts w:ascii="Times New Roman" w:hAnsi="Times New Roman" w:cs="Times New Roman"/>
              </w:rPr>
            </w:pPr>
            <w:r w:rsidRPr="00F57CC1">
              <w:rPr>
                <w:rFonts w:ascii="Times New Roman" w:hAnsi="Times New Roman" w:cs="Times New Roman"/>
                <w:b/>
                <w:bCs/>
              </w:rPr>
              <w:t>Diabetes</w:t>
            </w:r>
          </w:p>
        </w:tc>
        <w:tc>
          <w:tcPr>
            <w:tcW w:w="1260" w:type="dxa"/>
            <w:tcBorders>
              <w:top w:val="nil"/>
              <w:left w:val="nil"/>
              <w:bottom w:val="nil"/>
              <w:right w:val="nil"/>
            </w:tcBorders>
            <w:vAlign w:val="center"/>
          </w:tcPr>
          <w:p w14:paraId="63180C65" w14:textId="77777777" w:rsidR="00160EDF" w:rsidRPr="00F57CC1" w:rsidRDefault="00160EDF" w:rsidP="00D906FC">
            <w:pPr>
              <w:jc w:val="center"/>
              <w:rPr>
                <w:rFonts w:ascii="Times New Roman" w:hAnsi="Times New Roman" w:cs="Times New Roman"/>
                <w:b/>
                <w:bCs/>
              </w:rPr>
            </w:pPr>
          </w:p>
        </w:tc>
        <w:tc>
          <w:tcPr>
            <w:tcW w:w="2795" w:type="dxa"/>
            <w:tcBorders>
              <w:top w:val="nil"/>
              <w:left w:val="nil"/>
              <w:bottom w:val="nil"/>
              <w:right w:val="nil"/>
            </w:tcBorders>
            <w:vAlign w:val="center"/>
          </w:tcPr>
          <w:p w14:paraId="2CA06EA3" w14:textId="77777777" w:rsidR="00160EDF" w:rsidRPr="00F57CC1" w:rsidRDefault="00160EDF" w:rsidP="00D906FC">
            <w:pPr>
              <w:jc w:val="center"/>
              <w:rPr>
                <w:rFonts w:ascii="Times New Roman" w:hAnsi="Times New Roman" w:cs="Times New Roman"/>
              </w:rPr>
            </w:pPr>
          </w:p>
        </w:tc>
        <w:tc>
          <w:tcPr>
            <w:tcW w:w="1250" w:type="dxa"/>
            <w:tcBorders>
              <w:top w:val="nil"/>
              <w:left w:val="nil"/>
              <w:bottom w:val="nil"/>
              <w:right w:val="nil"/>
            </w:tcBorders>
            <w:vAlign w:val="center"/>
          </w:tcPr>
          <w:p w14:paraId="21C124EE" w14:textId="77777777" w:rsidR="00160EDF" w:rsidRPr="00F57CC1" w:rsidRDefault="00160EDF" w:rsidP="00D906FC">
            <w:pPr>
              <w:jc w:val="center"/>
              <w:rPr>
                <w:rFonts w:ascii="Times New Roman" w:hAnsi="Times New Roman" w:cs="Times New Roman"/>
              </w:rPr>
            </w:pPr>
          </w:p>
        </w:tc>
      </w:tr>
      <w:tr w:rsidR="00160EDF" w14:paraId="0979ACE2" w14:textId="77777777" w:rsidTr="00D906FC">
        <w:tc>
          <w:tcPr>
            <w:tcW w:w="4045" w:type="dxa"/>
            <w:tcBorders>
              <w:top w:val="nil"/>
              <w:left w:val="nil"/>
              <w:bottom w:val="nil"/>
              <w:right w:val="nil"/>
            </w:tcBorders>
          </w:tcPr>
          <w:p w14:paraId="1F81A213" w14:textId="77777777" w:rsidR="00160EDF" w:rsidRPr="00F57CC1" w:rsidRDefault="00160EDF" w:rsidP="00D906FC">
            <w:pPr>
              <w:rPr>
                <w:rFonts w:ascii="Times New Roman" w:hAnsi="Times New Roman" w:cs="Times New Roman"/>
              </w:rPr>
            </w:pPr>
            <w:r w:rsidRPr="00F57CC1">
              <w:rPr>
                <w:rFonts w:ascii="Times New Roman" w:hAnsi="Times New Roman" w:cs="Times New Roman"/>
              </w:rPr>
              <w:t xml:space="preserve">     Yes</w:t>
            </w:r>
          </w:p>
        </w:tc>
        <w:tc>
          <w:tcPr>
            <w:tcW w:w="1260" w:type="dxa"/>
            <w:tcBorders>
              <w:top w:val="nil"/>
              <w:left w:val="nil"/>
              <w:bottom w:val="nil"/>
              <w:right w:val="nil"/>
            </w:tcBorders>
            <w:vAlign w:val="center"/>
          </w:tcPr>
          <w:p w14:paraId="4B337B95"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0.9</w:t>
            </w:r>
            <w:r>
              <w:rPr>
                <w:rFonts w:ascii="Times New Roman" w:hAnsi="Times New Roman" w:cs="Times New Roman"/>
              </w:rPr>
              <w:t>6</w:t>
            </w:r>
          </w:p>
        </w:tc>
        <w:tc>
          <w:tcPr>
            <w:tcW w:w="2795" w:type="dxa"/>
            <w:tcBorders>
              <w:top w:val="nil"/>
              <w:left w:val="nil"/>
              <w:bottom w:val="nil"/>
              <w:right w:val="nil"/>
            </w:tcBorders>
            <w:vAlign w:val="center"/>
          </w:tcPr>
          <w:p w14:paraId="1118E450"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0.87, 1.05</w:t>
            </w:r>
          </w:p>
        </w:tc>
        <w:tc>
          <w:tcPr>
            <w:tcW w:w="1250" w:type="dxa"/>
            <w:tcBorders>
              <w:top w:val="nil"/>
              <w:left w:val="nil"/>
              <w:bottom w:val="nil"/>
              <w:right w:val="nil"/>
            </w:tcBorders>
            <w:vAlign w:val="center"/>
          </w:tcPr>
          <w:p w14:paraId="02FB9B19"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0.3</w:t>
            </w:r>
            <w:r>
              <w:rPr>
                <w:rFonts w:ascii="Times New Roman" w:hAnsi="Times New Roman" w:cs="Times New Roman"/>
              </w:rPr>
              <w:t>673</w:t>
            </w:r>
          </w:p>
        </w:tc>
      </w:tr>
      <w:tr w:rsidR="00160EDF" w14:paraId="56CE5FC0" w14:textId="77777777" w:rsidTr="00B0092F">
        <w:tc>
          <w:tcPr>
            <w:tcW w:w="4045" w:type="dxa"/>
            <w:tcBorders>
              <w:top w:val="nil"/>
              <w:left w:val="nil"/>
              <w:bottom w:val="nil"/>
              <w:right w:val="nil"/>
            </w:tcBorders>
          </w:tcPr>
          <w:p w14:paraId="1BEA0052" w14:textId="77777777" w:rsidR="00160EDF" w:rsidRPr="00F57CC1" w:rsidRDefault="00160EDF" w:rsidP="00D906FC">
            <w:pPr>
              <w:rPr>
                <w:rFonts w:ascii="Times New Roman" w:hAnsi="Times New Roman" w:cs="Times New Roman"/>
              </w:rPr>
            </w:pPr>
            <w:r w:rsidRPr="00F57CC1">
              <w:rPr>
                <w:rFonts w:ascii="Times New Roman" w:hAnsi="Times New Roman" w:cs="Times New Roman"/>
              </w:rPr>
              <w:t xml:space="preserve">     No</w:t>
            </w:r>
          </w:p>
        </w:tc>
        <w:tc>
          <w:tcPr>
            <w:tcW w:w="5305" w:type="dxa"/>
            <w:gridSpan w:val="3"/>
            <w:tcBorders>
              <w:top w:val="nil"/>
              <w:left w:val="nil"/>
              <w:bottom w:val="nil"/>
              <w:right w:val="nil"/>
            </w:tcBorders>
            <w:vAlign w:val="center"/>
          </w:tcPr>
          <w:p w14:paraId="7B1B0652" w14:textId="77777777" w:rsidR="00160EDF" w:rsidRPr="00F57CC1" w:rsidRDefault="00160EDF" w:rsidP="00D906FC">
            <w:pPr>
              <w:rPr>
                <w:rFonts w:ascii="Times New Roman" w:hAnsi="Times New Roman" w:cs="Times New Roman"/>
                <w:i/>
                <w:iCs/>
              </w:rPr>
            </w:pPr>
            <w:r w:rsidRPr="00F57CC1">
              <w:rPr>
                <w:rFonts w:ascii="Times New Roman" w:hAnsi="Times New Roman" w:cs="Times New Roman"/>
                <w:i/>
                <w:iCs/>
              </w:rPr>
              <w:t>Reference</w:t>
            </w:r>
          </w:p>
        </w:tc>
      </w:tr>
      <w:tr w:rsidR="00160EDF" w14:paraId="6D5A72C0" w14:textId="77777777" w:rsidTr="00B0092F">
        <w:tc>
          <w:tcPr>
            <w:tcW w:w="4045" w:type="dxa"/>
            <w:tcBorders>
              <w:top w:val="nil"/>
              <w:left w:val="nil"/>
              <w:bottom w:val="nil"/>
              <w:right w:val="nil"/>
            </w:tcBorders>
          </w:tcPr>
          <w:p w14:paraId="463C36D2" w14:textId="77777777" w:rsidR="00160EDF" w:rsidRPr="00F57CC1" w:rsidRDefault="00160EDF" w:rsidP="00D906FC">
            <w:pPr>
              <w:rPr>
                <w:rFonts w:ascii="Times New Roman" w:hAnsi="Times New Roman" w:cs="Times New Roman"/>
              </w:rPr>
            </w:pPr>
            <w:r w:rsidRPr="00F57CC1">
              <w:rPr>
                <w:rFonts w:ascii="Times New Roman" w:hAnsi="Times New Roman" w:cs="Times New Roman"/>
                <w:b/>
                <w:bCs/>
              </w:rPr>
              <w:t>Underweight</w:t>
            </w:r>
          </w:p>
        </w:tc>
        <w:tc>
          <w:tcPr>
            <w:tcW w:w="1260" w:type="dxa"/>
            <w:tcBorders>
              <w:top w:val="nil"/>
              <w:left w:val="nil"/>
              <w:bottom w:val="nil"/>
              <w:right w:val="nil"/>
            </w:tcBorders>
            <w:vAlign w:val="center"/>
          </w:tcPr>
          <w:p w14:paraId="0F0FE99D" w14:textId="77777777" w:rsidR="00160EDF" w:rsidRPr="00F57CC1" w:rsidRDefault="00160EDF" w:rsidP="00D906FC">
            <w:pPr>
              <w:jc w:val="center"/>
              <w:rPr>
                <w:rFonts w:ascii="Times New Roman" w:hAnsi="Times New Roman" w:cs="Times New Roman"/>
                <w:b/>
                <w:bCs/>
              </w:rPr>
            </w:pPr>
          </w:p>
        </w:tc>
        <w:tc>
          <w:tcPr>
            <w:tcW w:w="2795" w:type="dxa"/>
            <w:tcBorders>
              <w:top w:val="nil"/>
              <w:left w:val="nil"/>
              <w:bottom w:val="nil"/>
              <w:right w:val="nil"/>
            </w:tcBorders>
            <w:vAlign w:val="center"/>
          </w:tcPr>
          <w:p w14:paraId="7081DEE9" w14:textId="77777777" w:rsidR="00160EDF" w:rsidRPr="00F57CC1" w:rsidRDefault="00160EDF" w:rsidP="00D906FC">
            <w:pPr>
              <w:jc w:val="center"/>
              <w:rPr>
                <w:rFonts w:ascii="Times New Roman" w:hAnsi="Times New Roman" w:cs="Times New Roman"/>
              </w:rPr>
            </w:pPr>
          </w:p>
        </w:tc>
        <w:tc>
          <w:tcPr>
            <w:tcW w:w="1250" w:type="dxa"/>
            <w:tcBorders>
              <w:top w:val="nil"/>
              <w:left w:val="nil"/>
              <w:bottom w:val="nil"/>
              <w:right w:val="nil"/>
            </w:tcBorders>
            <w:vAlign w:val="center"/>
          </w:tcPr>
          <w:p w14:paraId="4151774C" w14:textId="77777777" w:rsidR="00160EDF" w:rsidRPr="00F57CC1" w:rsidRDefault="00160EDF" w:rsidP="00D906FC">
            <w:pPr>
              <w:jc w:val="center"/>
              <w:rPr>
                <w:rFonts w:ascii="Times New Roman" w:hAnsi="Times New Roman" w:cs="Times New Roman"/>
              </w:rPr>
            </w:pPr>
          </w:p>
        </w:tc>
      </w:tr>
      <w:tr w:rsidR="00160EDF" w14:paraId="23F8AEFD" w14:textId="77777777" w:rsidTr="00D906FC">
        <w:tc>
          <w:tcPr>
            <w:tcW w:w="4045" w:type="dxa"/>
            <w:tcBorders>
              <w:top w:val="nil"/>
              <w:left w:val="nil"/>
              <w:bottom w:val="nil"/>
              <w:right w:val="nil"/>
            </w:tcBorders>
          </w:tcPr>
          <w:p w14:paraId="41F12F47" w14:textId="77777777" w:rsidR="00160EDF" w:rsidRPr="00F57CC1" w:rsidRDefault="00160EDF" w:rsidP="00D906FC">
            <w:pPr>
              <w:rPr>
                <w:rFonts w:ascii="Times New Roman" w:hAnsi="Times New Roman" w:cs="Times New Roman"/>
              </w:rPr>
            </w:pPr>
            <w:r w:rsidRPr="00F57CC1">
              <w:rPr>
                <w:rFonts w:ascii="Times New Roman" w:hAnsi="Times New Roman" w:cs="Times New Roman"/>
              </w:rPr>
              <w:t xml:space="preserve">     Yes</w:t>
            </w:r>
          </w:p>
        </w:tc>
        <w:tc>
          <w:tcPr>
            <w:tcW w:w="1260" w:type="dxa"/>
            <w:tcBorders>
              <w:top w:val="nil"/>
              <w:left w:val="nil"/>
              <w:bottom w:val="nil"/>
              <w:right w:val="nil"/>
            </w:tcBorders>
            <w:vAlign w:val="center"/>
          </w:tcPr>
          <w:p w14:paraId="5CAF96A0"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3.23</w:t>
            </w:r>
          </w:p>
        </w:tc>
        <w:tc>
          <w:tcPr>
            <w:tcW w:w="2795" w:type="dxa"/>
            <w:tcBorders>
              <w:top w:val="nil"/>
              <w:left w:val="nil"/>
              <w:bottom w:val="nil"/>
              <w:right w:val="nil"/>
            </w:tcBorders>
            <w:vAlign w:val="center"/>
          </w:tcPr>
          <w:p w14:paraId="57325E2D"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2.</w:t>
            </w:r>
            <w:r>
              <w:rPr>
                <w:rFonts w:ascii="Times New Roman" w:hAnsi="Times New Roman" w:cs="Times New Roman"/>
              </w:rPr>
              <w:t>09</w:t>
            </w:r>
            <w:r w:rsidRPr="00F57CC1">
              <w:rPr>
                <w:rFonts w:ascii="Times New Roman" w:hAnsi="Times New Roman" w:cs="Times New Roman"/>
              </w:rPr>
              <w:t>, 4.98</w:t>
            </w:r>
          </w:p>
        </w:tc>
        <w:tc>
          <w:tcPr>
            <w:tcW w:w="1250" w:type="dxa"/>
            <w:tcBorders>
              <w:top w:val="nil"/>
              <w:left w:val="nil"/>
              <w:bottom w:val="nil"/>
              <w:right w:val="nil"/>
            </w:tcBorders>
            <w:vAlign w:val="center"/>
          </w:tcPr>
          <w:p w14:paraId="4253CD53"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&lt;0.0001</w:t>
            </w:r>
          </w:p>
        </w:tc>
      </w:tr>
      <w:tr w:rsidR="00160EDF" w14:paraId="1121D46D" w14:textId="77777777" w:rsidTr="00B0092F">
        <w:tc>
          <w:tcPr>
            <w:tcW w:w="4045" w:type="dxa"/>
            <w:tcBorders>
              <w:top w:val="nil"/>
              <w:left w:val="nil"/>
              <w:bottom w:val="nil"/>
              <w:right w:val="nil"/>
            </w:tcBorders>
          </w:tcPr>
          <w:p w14:paraId="165DDE7A" w14:textId="77777777" w:rsidR="00160EDF" w:rsidRPr="00F57CC1" w:rsidRDefault="00160EDF" w:rsidP="00D906FC">
            <w:pPr>
              <w:rPr>
                <w:rFonts w:ascii="Times New Roman" w:hAnsi="Times New Roman" w:cs="Times New Roman"/>
              </w:rPr>
            </w:pPr>
            <w:r w:rsidRPr="00F57CC1">
              <w:rPr>
                <w:rFonts w:ascii="Times New Roman" w:hAnsi="Times New Roman" w:cs="Times New Roman"/>
              </w:rPr>
              <w:t xml:space="preserve">     No</w:t>
            </w:r>
          </w:p>
        </w:tc>
        <w:tc>
          <w:tcPr>
            <w:tcW w:w="5305" w:type="dxa"/>
            <w:gridSpan w:val="3"/>
            <w:tcBorders>
              <w:top w:val="nil"/>
              <w:left w:val="nil"/>
              <w:bottom w:val="nil"/>
              <w:right w:val="nil"/>
            </w:tcBorders>
            <w:vAlign w:val="center"/>
          </w:tcPr>
          <w:p w14:paraId="2A2CBB80" w14:textId="77777777" w:rsidR="00160EDF" w:rsidRPr="00F57CC1" w:rsidRDefault="00160EDF" w:rsidP="00D906FC">
            <w:pPr>
              <w:rPr>
                <w:rFonts w:ascii="Times New Roman" w:hAnsi="Times New Roman" w:cs="Times New Roman"/>
                <w:i/>
                <w:iCs/>
              </w:rPr>
            </w:pPr>
            <w:r w:rsidRPr="00F57CC1">
              <w:rPr>
                <w:rFonts w:ascii="Times New Roman" w:hAnsi="Times New Roman" w:cs="Times New Roman"/>
                <w:i/>
                <w:iCs/>
              </w:rPr>
              <w:t>Reference</w:t>
            </w:r>
          </w:p>
        </w:tc>
      </w:tr>
      <w:tr w:rsidR="00160EDF" w14:paraId="156E0A26" w14:textId="77777777" w:rsidTr="00B0092F">
        <w:tc>
          <w:tcPr>
            <w:tcW w:w="4045" w:type="dxa"/>
            <w:tcBorders>
              <w:top w:val="nil"/>
              <w:left w:val="nil"/>
              <w:bottom w:val="nil"/>
              <w:right w:val="nil"/>
            </w:tcBorders>
          </w:tcPr>
          <w:p w14:paraId="59DF128B" w14:textId="77777777" w:rsidR="00160EDF" w:rsidRPr="00F57CC1" w:rsidRDefault="00160EDF" w:rsidP="00D906FC">
            <w:pPr>
              <w:rPr>
                <w:rFonts w:ascii="Times New Roman" w:hAnsi="Times New Roman" w:cs="Times New Roman"/>
                <w:b/>
                <w:bCs/>
              </w:rPr>
            </w:pPr>
            <w:r w:rsidRPr="00F57CC1">
              <w:rPr>
                <w:rFonts w:ascii="Times New Roman" w:hAnsi="Times New Roman" w:cs="Times New Roman"/>
                <w:b/>
                <w:bCs/>
              </w:rPr>
              <w:t>Overweight or Obese</w:t>
            </w:r>
          </w:p>
        </w:tc>
        <w:tc>
          <w:tcPr>
            <w:tcW w:w="1260" w:type="dxa"/>
            <w:tcBorders>
              <w:top w:val="nil"/>
              <w:left w:val="nil"/>
              <w:bottom w:val="nil"/>
              <w:right w:val="nil"/>
            </w:tcBorders>
            <w:vAlign w:val="center"/>
          </w:tcPr>
          <w:p w14:paraId="5DD73A22" w14:textId="77777777" w:rsidR="00160EDF" w:rsidRPr="00F57CC1" w:rsidRDefault="00160EDF" w:rsidP="00D906FC">
            <w:pPr>
              <w:jc w:val="center"/>
              <w:rPr>
                <w:rFonts w:ascii="Times New Roman" w:hAnsi="Times New Roman" w:cs="Times New Roman"/>
                <w:b/>
                <w:bCs/>
              </w:rPr>
            </w:pPr>
          </w:p>
        </w:tc>
        <w:tc>
          <w:tcPr>
            <w:tcW w:w="2795" w:type="dxa"/>
            <w:tcBorders>
              <w:top w:val="nil"/>
              <w:left w:val="nil"/>
              <w:bottom w:val="nil"/>
              <w:right w:val="nil"/>
            </w:tcBorders>
            <w:vAlign w:val="center"/>
          </w:tcPr>
          <w:p w14:paraId="24DE09D0" w14:textId="77777777" w:rsidR="00160EDF" w:rsidRPr="00F57CC1" w:rsidRDefault="00160EDF" w:rsidP="00D906FC">
            <w:pPr>
              <w:jc w:val="center"/>
              <w:rPr>
                <w:rFonts w:ascii="Times New Roman" w:hAnsi="Times New Roman" w:cs="Times New Roman"/>
              </w:rPr>
            </w:pPr>
          </w:p>
        </w:tc>
        <w:tc>
          <w:tcPr>
            <w:tcW w:w="1250" w:type="dxa"/>
            <w:tcBorders>
              <w:top w:val="nil"/>
              <w:left w:val="nil"/>
              <w:bottom w:val="nil"/>
              <w:right w:val="nil"/>
            </w:tcBorders>
            <w:vAlign w:val="center"/>
          </w:tcPr>
          <w:p w14:paraId="752B33C5" w14:textId="77777777" w:rsidR="00160EDF" w:rsidRPr="00F57CC1" w:rsidRDefault="00160EDF" w:rsidP="00D906FC">
            <w:pPr>
              <w:jc w:val="center"/>
              <w:rPr>
                <w:rFonts w:ascii="Times New Roman" w:hAnsi="Times New Roman" w:cs="Times New Roman"/>
              </w:rPr>
            </w:pPr>
          </w:p>
        </w:tc>
      </w:tr>
      <w:tr w:rsidR="00160EDF" w14:paraId="52894DA8" w14:textId="77777777" w:rsidTr="00D906FC">
        <w:tc>
          <w:tcPr>
            <w:tcW w:w="4045" w:type="dxa"/>
            <w:tcBorders>
              <w:top w:val="nil"/>
              <w:left w:val="nil"/>
              <w:bottom w:val="nil"/>
              <w:right w:val="nil"/>
            </w:tcBorders>
          </w:tcPr>
          <w:p w14:paraId="398817C4" w14:textId="77777777" w:rsidR="00160EDF" w:rsidRPr="00F57CC1" w:rsidRDefault="00160EDF" w:rsidP="00D906FC">
            <w:pPr>
              <w:rPr>
                <w:rFonts w:ascii="Times New Roman" w:hAnsi="Times New Roman" w:cs="Times New Roman"/>
              </w:rPr>
            </w:pPr>
            <w:r w:rsidRPr="00F57CC1">
              <w:rPr>
                <w:rFonts w:ascii="Times New Roman" w:hAnsi="Times New Roman" w:cs="Times New Roman"/>
              </w:rPr>
              <w:t xml:space="preserve">     Yes</w:t>
            </w:r>
          </w:p>
        </w:tc>
        <w:tc>
          <w:tcPr>
            <w:tcW w:w="1260" w:type="dxa"/>
            <w:tcBorders>
              <w:top w:val="nil"/>
              <w:left w:val="nil"/>
              <w:bottom w:val="nil"/>
              <w:right w:val="nil"/>
            </w:tcBorders>
            <w:vAlign w:val="center"/>
          </w:tcPr>
          <w:p w14:paraId="35048A61"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0.62</w:t>
            </w:r>
          </w:p>
        </w:tc>
        <w:tc>
          <w:tcPr>
            <w:tcW w:w="2795" w:type="dxa"/>
            <w:tcBorders>
              <w:top w:val="nil"/>
              <w:left w:val="nil"/>
              <w:bottom w:val="nil"/>
              <w:right w:val="nil"/>
            </w:tcBorders>
            <w:vAlign w:val="center"/>
          </w:tcPr>
          <w:p w14:paraId="0A3D6C5B"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0.57, 0.67</w:t>
            </w:r>
          </w:p>
        </w:tc>
        <w:tc>
          <w:tcPr>
            <w:tcW w:w="1250" w:type="dxa"/>
            <w:tcBorders>
              <w:top w:val="nil"/>
              <w:left w:val="nil"/>
              <w:bottom w:val="nil"/>
              <w:right w:val="nil"/>
            </w:tcBorders>
            <w:vAlign w:val="center"/>
          </w:tcPr>
          <w:p w14:paraId="71728C9D"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&lt;0.0001</w:t>
            </w:r>
          </w:p>
        </w:tc>
      </w:tr>
      <w:tr w:rsidR="00160EDF" w14:paraId="28170370" w14:textId="77777777" w:rsidTr="00B0092F">
        <w:tc>
          <w:tcPr>
            <w:tcW w:w="4045" w:type="dxa"/>
            <w:tcBorders>
              <w:top w:val="nil"/>
              <w:left w:val="nil"/>
              <w:bottom w:val="nil"/>
              <w:right w:val="nil"/>
            </w:tcBorders>
          </w:tcPr>
          <w:p w14:paraId="78751226" w14:textId="77777777" w:rsidR="00160EDF" w:rsidRPr="00F57CC1" w:rsidRDefault="00160EDF" w:rsidP="00D906FC">
            <w:pPr>
              <w:rPr>
                <w:rFonts w:ascii="Times New Roman" w:hAnsi="Times New Roman" w:cs="Times New Roman"/>
              </w:rPr>
            </w:pPr>
            <w:r w:rsidRPr="00F57CC1">
              <w:rPr>
                <w:rFonts w:ascii="Times New Roman" w:hAnsi="Times New Roman" w:cs="Times New Roman"/>
              </w:rPr>
              <w:t xml:space="preserve">     No</w:t>
            </w:r>
          </w:p>
        </w:tc>
        <w:tc>
          <w:tcPr>
            <w:tcW w:w="5305" w:type="dxa"/>
            <w:gridSpan w:val="3"/>
            <w:tcBorders>
              <w:top w:val="nil"/>
              <w:left w:val="nil"/>
              <w:bottom w:val="nil"/>
              <w:right w:val="nil"/>
            </w:tcBorders>
            <w:vAlign w:val="center"/>
          </w:tcPr>
          <w:p w14:paraId="3E464021" w14:textId="77777777" w:rsidR="00160EDF" w:rsidRPr="00F57CC1" w:rsidRDefault="00160EDF" w:rsidP="00D906FC">
            <w:pPr>
              <w:rPr>
                <w:rFonts w:ascii="Times New Roman" w:hAnsi="Times New Roman" w:cs="Times New Roman"/>
                <w:i/>
                <w:iCs/>
              </w:rPr>
            </w:pPr>
            <w:r w:rsidRPr="00F57CC1">
              <w:rPr>
                <w:rFonts w:ascii="Times New Roman" w:hAnsi="Times New Roman" w:cs="Times New Roman"/>
                <w:i/>
                <w:iCs/>
              </w:rPr>
              <w:t>Reference</w:t>
            </w:r>
          </w:p>
        </w:tc>
      </w:tr>
      <w:tr w:rsidR="00160EDF" w14:paraId="18BC52C0" w14:textId="77777777" w:rsidTr="00B0092F">
        <w:tc>
          <w:tcPr>
            <w:tcW w:w="4045" w:type="dxa"/>
            <w:tcBorders>
              <w:top w:val="nil"/>
              <w:left w:val="nil"/>
              <w:bottom w:val="nil"/>
              <w:right w:val="nil"/>
            </w:tcBorders>
          </w:tcPr>
          <w:p w14:paraId="15EBA42D" w14:textId="77777777" w:rsidR="00160EDF" w:rsidRPr="00F57CC1" w:rsidRDefault="00160EDF" w:rsidP="00D906FC">
            <w:pPr>
              <w:rPr>
                <w:rFonts w:ascii="Times New Roman" w:hAnsi="Times New Roman" w:cs="Times New Roman"/>
                <w:b/>
                <w:bCs/>
              </w:rPr>
            </w:pPr>
            <w:r w:rsidRPr="00F57CC1">
              <w:rPr>
                <w:rFonts w:ascii="Times New Roman" w:hAnsi="Times New Roman" w:cs="Times New Roman"/>
                <w:b/>
                <w:bCs/>
              </w:rPr>
              <w:t>Kidney Problems</w:t>
            </w:r>
          </w:p>
        </w:tc>
        <w:tc>
          <w:tcPr>
            <w:tcW w:w="1260" w:type="dxa"/>
            <w:tcBorders>
              <w:top w:val="nil"/>
              <w:left w:val="nil"/>
              <w:bottom w:val="nil"/>
              <w:right w:val="nil"/>
            </w:tcBorders>
            <w:vAlign w:val="center"/>
          </w:tcPr>
          <w:p w14:paraId="0C060694" w14:textId="77777777" w:rsidR="00160EDF" w:rsidRPr="00F57CC1" w:rsidRDefault="00160EDF" w:rsidP="00D906FC">
            <w:pPr>
              <w:jc w:val="center"/>
              <w:rPr>
                <w:rFonts w:ascii="Times New Roman" w:hAnsi="Times New Roman" w:cs="Times New Roman"/>
                <w:b/>
                <w:bCs/>
              </w:rPr>
            </w:pPr>
          </w:p>
        </w:tc>
        <w:tc>
          <w:tcPr>
            <w:tcW w:w="2795" w:type="dxa"/>
            <w:tcBorders>
              <w:top w:val="nil"/>
              <w:left w:val="nil"/>
              <w:bottom w:val="nil"/>
              <w:right w:val="nil"/>
            </w:tcBorders>
            <w:vAlign w:val="center"/>
          </w:tcPr>
          <w:p w14:paraId="5E370008" w14:textId="77777777" w:rsidR="00160EDF" w:rsidRPr="00F57CC1" w:rsidRDefault="00160EDF" w:rsidP="00D906FC">
            <w:pPr>
              <w:jc w:val="center"/>
              <w:rPr>
                <w:rFonts w:ascii="Times New Roman" w:hAnsi="Times New Roman" w:cs="Times New Roman"/>
              </w:rPr>
            </w:pPr>
          </w:p>
        </w:tc>
        <w:tc>
          <w:tcPr>
            <w:tcW w:w="1250" w:type="dxa"/>
            <w:tcBorders>
              <w:top w:val="nil"/>
              <w:left w:val="nil"/>
              <w:bottom w:val="nil"/>
              <w:right w:val="nil"/>
            </w:tcBorders>
            <w:vAlign w:val="center"/>
          </w:tcPr>
          <w:p w14:paraId="7F090972" w14:textId="77777777" w:rsidR="00160EDF" w:rsidRPr="00F57CC1" w:rsidRDefault="00160EDF" w:rsidP="00D906FC">
            <w:pPr>
              <w:jc w:val="center"/>
              <w:rPr>
                <w:rFonts w:ascii="Times New Roman" w:hAnsi="Times New Roman" w:cs="Times New Roman"/>
              </w:rPr>
            </w:pPr>
          </w:p>
        </w:tc>
      </w:tr>
      <w:tr w:rsidR="00160EDF" w14:paraId="26FC1ED7" w14:textId="77777777" w:rsidTr="00D906FC">
        <w:tc>
          <w:tcPr>
            <w:tcW w:w="4045" w:type="dxa"/>
            <w:tcBorders>
              <w:top w:val="nil"/>
              <w:left w:val="nil"/>
              <w:bottom w:val="nil"/>
              <w:right w:val="nil"/>
            </w:tcBorders>
          </w:tcPr>
          <w:p w14:paraId="0BBF5ECE" w14:textId="77777777" w:rsidR="00160EDF" w:rsidRPr="00F57CC1" w:rsidRDefault="00160EDF" w:rsidP="00D906FC">
            <w:pPr>
              <w:rPr>
                <w:rFonts w:ascii="Times New Roman" w:hAnsi="Times New Roman" w:cs="Times New Roman"/>
                <w:b/>
                <w:bCs/>
              </w:rPr>
            </w:pPr>
            <w:r w:rsidRPr="00F57CC1">
              <w:rPr>
                <w:rFonts w:ascii="Times New Roman" w:hAnsi="Times New Roman" w:cs="Times New Roman"/>
              </w:rPr>
              <w:t xml:space="preserve">     Yes</w:t>
            </w:r>
          </w:p>
        </w:tc>
        <w:tc>
          <w:tcPr>
            <w:tcW w:w="1260" w:type="dxa"/>
            <w:tcBorders>
              <w:top w:val="nil"/>
              <w:left w:val="nil"/>
              <w:bottom w:val="nil"/>
              <w:right w:val="nil"/>
            </w:tcBorders>
            <w:vAlign w:val="center"/>
          </w:tcPr>
          <w:p w14:paraId="47A4AA26"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1.2</w:t>
            </w:r>
            <w:r>
              <w:rPr>
                <w:rFonts w:ascii="Times New Roman" w:hAnsi="Times New Roman" w:cs="Times New Roman"/>
              </w:rPr>
              <w:t>1</w:t>
            </w:r>
          </w:p>
        </w:tc>
        <w:tc>
          <w:tcPr>
            <w:tcW w:w="2795" w:type="dxa"/>
            <w:tcBorders>
              <w:top w:val="nil"/>
              <w:left w:val="nil"/>
              <w:bottom w:val="nil"/>
              <w:right w:val="nil"/>
            </w:tcBorders>
            <w:vAlign w:val="center"/>
          </w:tcPr>
          <w:p w14:paraId="13205F2E"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1.08, 1.3</w:t>
            </w:r>
            <w:r>
              <w:rPr>
                <w:rFonts w:ascii="Times New Roman" w:hAnsi="Times New Roman" w:cs="Times New Roman"/>
              </w:rPr>
              <w:t>6</w:t>
            </w:r>
          </w:p>
        </w:tc>
        <w:tc>
          <w:tcPr>
            <w:tcW w:w="1250" w:type="dxa"/>
            <w:tcBorders>
              <w:top w:val="nil"/>
              <w:left w:val="nil"/>
              <w:bottom w:val="nil"/>
              <w:right w:val="nil"/>
            </w:tcBorders>
            <w:vAlign w:val="center"/>
          </w:tcPr>
          <w:p w14:paraId="5BF0265A"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0.00</w:t>
            </w:r>
            <w:r>
              <w:rPr>
                <w:rFonts w:ascii="Times New Roman" w:hAnsi="Times New Roman" w:cs="Times New Roman"/>
              </w:rPr>
              <w:t>11</w:t>
            </w:r>
          </w:p>
        </w:tc>
      </w:tr>
      <w:tr w:rsidR="00160EDF" w14:paraId="23E82ADE" w14:textId="77777777" w:rsidTr="00B0092F">
        <w:tc>
          <w:tcPr>
            <w:tcW w:w="4045" w:type="dxa"/>
            <w:tcBorders>
              <w:top w:val="nil"/>
              <w:left w:val="nil"/>
              <w:bottom w:val="nil"/>
              <w:right w:val="nil"/>
            </w:tcBorders>
          </w:tcPr>
          <w:p w14:paraId="3137F745" w14:textId="77777777" w:rsidR="00160EDF" w:rsidRPr="00F57CC1" w:rsidRDefault="00160EDF" w:rsidP="00D906FC">
            <w:pPr>
              <w:rPr>
                <w:rFonts w:ascii="Times New Roman" w:hAnsi="Times New Roman" w:cs="Times New Roman"/>
                <w:b/>
                <w:bCs/>
              </w:rPr>
            </w:pPr>
            <w:r w:rsidRPr="00F57CC1">
              <w:rPr>
                <w:rFonts w:ascii="Times New Roman" w:hAnsi="Times New Roman" w:cs="Times New Roman"/>
              </w:rPr>
              <w:t xml:space="preserve">     No</w:t>
            </w:r>
          </w:p>
        </w:tc>
        <w:tc>
          <w:tcPr>
            <w:tcW w:w="5305" w:type="dxa"/>
            <w:gridSpan w:val="3"/>
            <w:tcBorders>
              <w:top w:val="nil"/>
              <w:left w:val="nil"/>
              <w:bottom w:val="nil"/>
              <w:right w:val="nil"/>
            </w:tcBorders>
            <w:vAlign w:val="center"/>
          </w:tcPr>
          <w:p w14:paraId="4B15F1C0" w14:textId="77777777" w:rsidR="00160EDF" w:rsidRPr="00F57CC1" w:rsidRDefault="00160EDF" w:rsidP="00D906FC">
            <w:pPr>
              <w:rPr>
                <w:rFonts w:ascii="Times New Roman" w:hAnsi="Times New Roman" w:cs="Times New Roman"/>
                <w:i/>
                <w:iCs/>
              </w:rPr>
            </w:pPr>
            <w:r w:rsidRPr="00F57CC1">
              <w:rPr>
                <w:rFonts w:ascii="Times New Roman" w:hAnsi="Times New Roman" w:cs="Times New Roman"/>
                <w:i/>
                <w:iCs/>
              </w:rPr>
              <w:t>Reference</w:t>
            </w:r>
          </w:p>
        </w:tc>
      </w:tr>
      <w:tr w:rsidR="00160EDF" w14:paraId="407E1DF3" w14:textId="77777777" w:rsidTr="00B0092F">
        <w:tc>
          <w:tcPr>
            <w:tcW w:w="4045" w:type="dxa"/>
            <w:tcBorders>
              <w:top w:val="nil"/>
              <w:left w:val="nil"/>
              <w:bottom w:val="nil"/>
              <w:right w:val="nil"/>
            </w:tcBorders>
          </w:tcPr>
          <w:p w14:paraId="1CC15181" w14:textId="77777777" w:rsidR="00160EDF" w:rsidRPr="00F57CC1" w:rsidRDefault="00160EDF" w:rsidP="00D906FC">
            <w:pPr>
              <w:rPr>
                <w:rFonts w:ascii="Times New Roman" w:hAnsi="Times New Roman" w:cs="Times New Roman"/>
                <w:b/>
                <w:bCs/>
              </w:rPr>
            </w:pPr>
            <w:r w:rsidRPr="00F57CC1">
              <w:rPr>
                <w:rFonts w:ascii="Times New Roman" w:hAnsi="Times New Roman" w:cs="Times New Roman"/>
                <w:b/>
                <w:bCs/>
              </w:rPr>
              <w:t>Rheumatoid Arthritis</w:t>
            </w:r>
          </w:p>
        </w:tc>
        <w:tc>
          <w:tcPr>
            <w:tcW w:w="1260" w:type="dxa"/>
            <w:tcBorders>
              <w:top w:val="nil"/>
              <w:left w:val="nil"/>
              <w:bottom w:val="nil"/>
              <w:right w:val="nil"/>
            </w:tcBorders>
            <w:vAlign w:val="center"/>
          </w:tcPr>
          <w:p w14:paraId="3F6086F3" w14:textId="77777777" w:rsidR="00160EDF" w:rsidRPr="00F57CC1" w:rsidRDefault="00160EDF" w:rsidP="00D906FC">
            <w:pPr>
              <w:jc w:val="center"/>
              <w:rPr>
                <w:rFonts w:ascii="Times New Roman" w:hAnsi="Times New Roman" w:cs="Times New Roman"/>
                <w:b/>
                <w:bCs/>
              </w:rPr>
            </w:pPr>
          </w:p>
        </w:tc>
        <w:tc>
          <w:tcPr>
            <w:tcW w:w="2795" w:type="dxa"/>
            <w:tcBorders>
              <w:top w:val="nil"/>
              <w:left w:val="nil"/>
              <w:bottom w:val="nil"/>
              <w:right w:val="nil"/>
            </w:tcBorders>
            <w:vAlign w:val="center"/>
          </w:tcPr>
          <w:p w14:paraId="7525DDE2" w14:textId="77777777" w:rsidR="00160EDF" w:rsidRPr="00F57CC1" w:rsidRDefault="00160EDF" w:rsidP="00D906FC">
            <w:pPr>
              <w:jc w:val="center"/>
              <w:rPr>
                <w:rFonts w:ascii="Times New Roman" w:hAnsi="Times New Roman" w:cs="Times New Roman"/>
              </w:rPr>
            </w:pPr>
          </w:p>
        </w:tc>
        <w:tc>
          <w:tcPr>
            <w:tcW w:w="1250" w:type="dxa"/>
            <w:tcBorders>
              <w:top w:val="nil"/>
              <w:left w:val="nil"/>
              <w:bottom w:val="nil"/>
              <w:right w:val="nil"/>
            </w:tcBorders>
            <w:vAlign w:val="center"/>
          </w:tcPr>
          <w:p w14:paraId="48BE1D7D" w14:textId="77777777" w:rsidR="00160EDF" w:rsidRPr="00F57CC1" w:rsidRDefault="00160EDF" w:rsidP="00D906FC">
            <w:pPr>
              <w:jc w:val="center"/>
              <w:rPr>
                <w:rFonts w:ascii="Times New Roman" w:hAnsi="Times New Roman" w:cs="Times New Roman"/>
              </w:rPr>
            </w:pPr>
          </w:p>
        </w:tc>
      </w:tr>
      <w:tr w:rsidR="00160EDF" w14:paraId="5E3BEAA1" w14:textId="77777777" w:rsidTr="00D906FC">
        <w:tc>
          <w:tcPr>
            <w:tcW w:w="4045" w:type="dxa"/>
            <w:tcBorders>
              <w:top w:val="nil"/>
              <w:left w:val="nil"/>
              <w:bottom w:val="nil"/>
              <w:right w:val="nil"/>
            </w:tcBorders>
          </w:tcPr>
          <w:p w14:paraId="414FCF70" w14:textId="77777777" w:rsidR="00160EDF" w:rsidRPr="00F57CC1" w:rsidRDefault="00160EDF" w:rsidP="00D906FC">
            <w:pPr>
              <w:rPr>
                <w:rFonts w:ascii="Times New Roman" w:hAnsi="Times New Roman" w:cs="Times New Roman"/>
              </w:rPr>
            </w:pPr>
            <w:r w:rsidRPr="00F57CC1">
              <w:rPr>
                <w:rFonts w:ascii="Times New Roman" w:hAnsi="Times New Roman" w:cs="Times New Roman"/>
              </w:rPr>
              <w:t xml:space="preserve">     Yes</w:t>
            </w:r>
          </w:p>
        </w:tc>
        <w:tc>
          <w:tcPr>
            <w:tcW w:w="1260" w:type="dxa"/>
            <w:tcBorders>
              <w:top w:val="nil"/>
              <w:left w:val="nil"/>
              <w:bottom w:val="nil"/>
              <w:right w:val="nil"/>
            </w:tcBorders>
            <w:vAlign w:val="center"/>
          </w:tcPr>
          <w:p w14:paraId="2DD5E590"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1.3</w:t>
            </w:r>
            <w:r>
              <w:rPr>
                <w:rFonts w:ascii="Times New Roman" w:hAnsi="Times New Roman" w:cs="Times New Roman"/>
              </w:rPr>
              <w:t>3</w:t>
            </w:r>
          </w:p>
        </w:tc>
        <w:tc>
          <w:tcPr>
            <w:tcW w:w="2795" w:type="dxa"/>
            <w:tcBorders>
              <w:top w:val="nil"/>
              <w:left w:val="nil"/>
              <w:bottom w:val="nil"/>
              <w:right w:val="nil"/>
            </w:tcBorders>
            <w:vAlign w:val="center"/>
          </w:tcPr>
          <w:p w14:paraId="01D4920B"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1.15, 1.5</w:t>
            </w:r>
            <w:r>
              <w:rPr>
                <w:rFonts w:ascii="Times New Roman" w:hAnsi="Times New Roman" w:cs="Times New Roman"/>
              </w:rPr>
              <w:t>4</w:t>
            </w:r>
          </w:p>
        </w:tc>
        <w:tc>
          <w:tcPr>
            <w:tcW w:w="1250" w:type="dxa"/>
            <w:tcBorders>
              <w:top w:val="nil"/>
              <w:left w:val="nil"/>
              <w:bottom w:val="nil"/>
              <w:right w:val="nil"/>
            </w:tcBorders>
            <w:vAlign w:val="center"/>
          </w:tcPr>
          <w:p w14:paraId="52F36379"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0.000</w:t>
            </w:r>
            <w:r>
              <w:rPr>
                <w:rFonts w:ascii="Times New Roman" w:hAnsi="Times New Roman" w:cs="Times New Roman"/>
              </w:rPr>
              <w:t>2</w:t>
            </w:r>
          </w:p>
        </w:tc>
      </w:tr>
      <w:tr w:rsidR="00160EDF" w14:paraId="081F2FEC" w14:textId="77777777" w:rsidTr="00B0092F">
        <w:tc>
          <w:tcPr>
            <w:tcW w:w="4045" w:type="dxa"/>
            <w:tcBorders>
              <w:top w:val="nil"/>
              <w:left w:val="nil"/>
              <w:bottom w:val="nil"/>
              <w:right w:val="nil"/>
            </w:tcBorders>
          </w:tcPr>
          <w:p w14:paraId="3BA512E2" w14:textId="77777777" w:rsidR="00160EDF" w:rsidRPr="00F57CC1" w:rsidRDefault="00160EDF" w:rsidP="00D906FC">
            <w:pPr>
              <w:rPr>
                <w:rFonts w:ascii="Times New Roman" w:hAnsi="Times New Roman" w:cs="Times New Roman"/>
              </w:rPr>
            </w:pPr>
            <w:r w:rsidRPr="00F57CC1">
              <w:rPr>
                <w:rFonts w:ascii="Times New Roman" w:hAnsi="Times New Roman" w:cs="Times New Roman"/>
              </w:rPr>
              <w:t xml:space="preserve">     No</w:t>
            </w:r>
          </w:p>
        </w:tc>
        <w:tc>
          <w:tcPr>
            <w:tcW w:w="5305" w:type="dxa"/>
            <w:gridSpan w:val="3"/>
            <w:tcBorders>
              <w:top w:val="nil"/>
              <w:left w:val="nil"/>
              <w:bottom w:val="nil"/>
              <w:right w:val="nil"/>
            </w:tcBorders>
            <w:vAlign w:val="center"/>
          </w:tcPr>
          <w:p w14:paraId="46D22D43" w14:textId="77777777" w:rsidR="00160EDF" w:rsidRPr="00F57CC1" w:rsidRDefault="00160EDF" w:rsidP="00D906FC">
            <w:pPr>
              <w:rPr>
                <w:rFonts w:ascii="Times New Roman" w:hAnsi="Times New Roman" w:cs="Times New Roman"/>
                <w:i/>
                <w:iCs/>
              </w:rPr>
            </w:pPr>
            <w:r w:rsidRPr="00F57CC1">
              <w:rPr>
                <w:rFonts w:ascii="Times New Roman" w:hAnsi="Times New Roman" w:cs="Times New Roman"/>
                <w:i/>
                <w:iCs/>
              </w:rPr>
              <w:t>Reference</w:t>
            </w:r>
          </w:p>
        </w:tc>
      </w:tr>
      <w:tr w:rsidR="00160EDF" w14:paraId="07C51E28" w14:textId="77777777" w:rsidTr="00B0092F">
        <w:tc>
          <w:tcPr>
            <w:tcW w:w="4045" w:type="dxa"/>
            <w:tcBorders>
              <w:top w:val="nil"/>
              <w:left w:val="nil"/>
              <w:bottom w:val="nil"/>
              <w:right w:val="nil"/>
            </w:tcBorders>
          </w:tcPr>
          <w:p w14:paraId="2F7E1646" w14:textId="77777777" w:rsidR="00160EDF" w:rsidRPr="00F57CC1" w:rsidRDefault="00160EDF" w:rsidP="00D906FC">
            <w:pPr>
              <w:rPr>
                <w:rFonts w:ascii="Times New Roman" w:hAnsi="Times New Roman" w:cs="Times New Roman"/>
                <w:b/>
                <w:bCs/>
              </w:rPr>
            </w:pPr>
            <w:r w:rsidRPr="00F57CC1">
              <w:rPr>
                <w:rFonts w:ascii="Times New Roman" w:hAnsi="Times New Roman" w:cs="Times New Roman"/>
                <w:b/>
                <w:bCs/>
              </w:rPr>
              <w:t>Anemia</w:t>
            </w:r>
          </w:p>
        </w:tc>
        <w:tc>
          <w:tcPr>
            <w:tcW w:w="1260" w:type="dxa"/>
            <w:tcBorders>
              <w:top w:val="nil"/>
              <w:left w:val="nil"/>
              <w:bottom w:val="nil"/>
              <w:right w:val="nil"/>
            </w:tcBorders>
            <w:vAlign w:val="center"/>
          </w:tcPr>
          <w:p w14:paraId="13295559" w14:textId="77777777" w:rsidR="00160EDF" w:rsidRPr="00F57CC1" w:rsidRDefault="00160EDF" w:rsidP="00D906FC">
            <w:pPr>
              <w:jc w:val="center"/>
              <w:rPr>
                <w:rFonts w:ascii="Times New Roman" w:hAnsi="Times New Roman" w:cs="Times New Roman"/>
                <w:b/>
                <w:bCs/>
              </w:rPr>
            </w:pPr>
          </w:p>
        </w:tc>
        <w:tc>
          <w:tcPr>
            <w:tcW w:w="2795" w:type="dxa"/>
            <w:tcBorders>
              <w:top w:val="nil"/>
              <w:left w:val="nil"/>
              <w:bottom w:val="nil"/>
              <w:right w:val="nil"/>
            </w:tcBorders>
            <w:vAlign w:val="center"/>
          </w:tcPr>
          <w:p w14:paraId="33BBE99C" w14:textId="77777777" w:rsidR="00160EDF" w:rsidRPr="00F57CC1" w:rsidRDefault="00160EDF" w:rsidP="00D906FC">
            <w:pPr>
              <w:jc w:val="center"/>
              <w:rPr>
                <w:rFonts w:ascii="Times New Roman" w:hAnsi="Times New Roman" w:cs="Times New Roman"/>
              </w:rPr>
            </w:pPr>
          </w:p>
        </w:tc>
        <w:tc>
          <w:tcPr>
            <w:tcW w:w="1250" w:type="dxa"/>
            <w:tcBorders>
              <w:top w:val="nil"/>
              <w:left w:val="nil"/>
              <w:bottom w:val="nil"/>
              <w:right w:val="nil"/>
            </w:tcBorders>
            <w:vAlign w:val="center"/>
          </w:tcPr>
          <w:p w14:paraId="4AFDDAF1" w14:textId="77777777" w:rsidR="00160EDF" w:rsidRPr="00F57CC1" w:rsidRDefault="00160EDF" w:rsidP="00D906FC">
            <w:pPr>
              <w:jc w:val="center"/>
              <w:rPr>
                <w:rFonts w:ascii="Times New Roman" w:hAnsi="Times New Roman" w:cs="Times New Roman"/>
              </w:rPr>
            </w:pPr>
          </w:p>
        </w:tc>
      </w:tr>
      <w:tr w:rsidR="00160EDF" w14:paraId="7355829D" w14:textId="77777777" w:rsidTr="00D906FC">
        <w:tc>
          <w:tcPr>
            <w:tcW w:w="4045" w:type="dxa"/>
            <w:tcBorders>
              <w:top w:val="nil"/>
              <w:left w:val="nil"/>
              <w:bottom w:val="nil"/>
              <w:right w:val="nil"/>
            </w:tcBorders>
          </w:tcPr>
          <w:p w14:paraId="30228666" w14:textId="77777777" w:rsidR="00160EDF" w:rsidRPr="00F57CC1" w:rsidRDefault="00160EDF" w:rsidP="00D906FC">
            <w:pPr>
              <w:rPr>
                <w:rFonts w:ascii="Times New Roman" w:hAnsi="Times New Roman" w:cs="Times New Roman"/>
              </w:rPr>
            </w:pPr>
            <w:r w:rsidRPr="00F57CC1">
              <w:rPr>
                <w:rFonts w:ascii="Times New Roman" w:hAnsi="Times New Roman" w:cs="Times New Roman"/>
              </w:rPr>
              <w:t xml:space="preserve">     Yes</w:t>
            </w:r>
          </w:p>
        </w:tc>
        <w:tc>
          <w:tcPr>
            <w:tcW w:w="1260" w:type="dxa"/>
            <w:tcBorders>
              <w:top w:val="nil"/>
              <w:left w:val="nil"/>
              <w:bottom w:val="nil"/>
              <w:right w:val="nil"/>
            </w:tcBorders>
            <w:vAlign w:val="center"/>
          </w:tcPr>
          <w:p w14:paraId="378AD4CA"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1.08</w:t>
            </w:r>
          </w:p>
        </w:tc>
        <w:tc>
          <w:tcPr>
            <w:tcW w:w="2795" w:type="dxa"/>
            <w:tcBorders>
              <w:top w:val="nil"/>
              <w:left w:val="nil"/>
              <w:bottom w:val="nil"/>
              <w:right w:val="nil"/>
            </w:tcBorders>
            <w:vAlign w:val="center"/>
          </w:tcPr>
          <w:p w14:paraId="64122C23"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0.96, 1.23</w:t>
            </w:r>
          </w:p>
        </w:tc>
        <w:tc>
          <w:tcPr>
            <w:tcW w:w="1250" w:type="dxa"/>
            <w:tcBorders>
              <w:top w:val="nil"/>
              <w:left w:val="nil"/>
              <w:bottom w:val="nil"/>
              <w:right w:val="nil"/>
            </w:tcBorders>
            <w:vAlign w:val="center"/>
          </w:tcPr>
          <w:p w14:paraId="283423FE" w14:textId="77777777" w:rsidR="00160EDF" w:rsidRPr="00F57CC1" w:rsidRDefault="00160EDF" w:rsidP="00D906FC">
            <w:pPr>
              <w:jc w:val="center"/>
              <w:rPr>
                <w:rFonts w:ascii="Times New Roman" w:hAnsi="Times New Roman" w:cs="Times New Roman"/>
              </w:rPr>
            </w:pPr>
            <w:r>
              <w:rPr>
                <w:rFonts w:ascii="Times New Roman" w:hAnsi="Times New Roman" w:cs="Times New Roman"/>
              </w:rPr>
              <w:t>0.1978</w:t>
            </w:r>
          </w:p>
        </w:tc>
      </w:tr>
      <w:tr w:rsidR="00160EDF" w14:paraId="654E6682" w14:textId="77777777" w:rsidTr="00B0092F">
        <w:tc>
          <w:tcPr>
            <w:tcW w:w="4045" w:type="dxa"/>
            <w:tcBorders>
              <w:top w:val="nil"/>
              <w:left w:val="nil"/>
              <w:bottom w:val="nil"/>
              <w:right w:val="nil"/>
            </w:tcBorders>
          </w:tcPr>
          <w:p w14:paraId="3280BBD8" w14:textId="77777777" w:rsidR="00160EDF" w:rsidRPr="00F57CC1" w:rsidRDefault="00160EDF" w:rsidP="00D906FC">
            <w:pPr>
              <w:rPr>
                <w:rFonts w:ascii="Times New Roman" w:hAnsi="Times New Roman" w:cs="Times New Roman"/>
              </w:rPr>
            </w:pPr>
            <w:r w:rsidRPr="00F57CC1">
              <w:rPr>
                <w:rFonts w:ascii="Times New Roman" w:hAnsi="Times New Roman" w:cs="Times New Roman"/>
              </w:rPr>
              <w:t xml:space="preserve">     No</w:t>
            </w:r>
          </w:p>
        </w:tc>
        <w:tc>
          <w:tcPr>
            <w:tcW w:w="5305" w:type="dxa"/>
            <w:gridSpan w:val="3"/>
            <w:tcBorders>
              <w:top w:val="nil"/>
              <w:left w:val="nil"/>
              <w:bottom w:val="nil"/>
              <w:right w:val="nil"/>
            </w:tcBorders>
            <w:vAlign w:val="center"/>
          </w:tcPr>
          <w:p w14:paraId="0FB31C39" w14:textId="77777777" w:rsidR="00160EDF" w:rsidRPr="00F57CC1" w:rsidRDefault="00160EDF" w:rsidP="00D906FC">
            <w:pPr>
              <w:rPr>
                <w:rFonts w:ascii="Times New Roman" w:hAnsi="Times New Roman" w:cs="Times New Roman"/>
                <w:i/>
                <w:iCs/>
              </w:rPr>
            </w:pPr>
            <w:r w:rsidRPr="00F57CC1">
              <w:rPr>
                <w:rFonts w:ascii="Times New Roman" w:hAnsi="Times New Roman" w:cs="Times New Roman"/>
                <w:i/>
                <w:iCs/>
              </w:rPr>
              <w:t>Reference</w:t>
            </w:r>
          </w:p>
        </w:tc>
      </w:tr>
      <w:tr w:rsidR="00160EDF" w14:paraId="7C4DF819" w14:textId="77777777" w:rsidTr="00B0092F">
        <w:tc>
          <w:tcPr>
            <w:tcW w:w="4045" w:type="dxa"/>
            <w:tcBorders>
              <w:top w:val="nil"/>
              <w:left w:val="nil"/>
              <w:bottom w:val="nil"/>
              <w:right w:val="nil"/>
            </w:tcBorders>
          </w:tcPr>
          <w:p w14:paraId="0BBF8516" w14:textId="77777777" w:rsidR="00160EDF" w:rsidRPr="00F57CC1" w:rsidRDefault="00160EDF" w:rsidP="00D906FC">
            <w:pPr>
              <w:rPr>
                <w:rFonts w:ascii="Times New Roman" w:hAnsi="Times New Roman" w:cs="Times New Roman"/>
              </w:rPr>
            </w:pPr>
            <w:r w:rsidRPr="00F57CC1">
              <w:rPr>
                <w:rFonts w:ascii="Times New Roman" w:hAnsi="Times New Roman" w:cs="Times New Roman"/>
                <w:b/>
                <w:bCs/>
              </w:rPr>
              <w:t>Non-Pulmonary Cancer</w:t>
            </w:r>
          </w:p>
        </w:tc>
        <w:tc>
          <w:tcPr>
            <w:tcW w:w="1260" w:type="dxa"/>
            <w:tcBorders>
              <w:top w:val="nil"/>
              <w:left w:val="nil"/>
              <w:bottom w:val="nil"/>
              <w:right w:val="nil"/>
            </w:tcBorders>
            <w:vAlign w:val="center"/>
          </w:tcPr>
          <w:p w14:paraId="4D615A22" w14:textId="77777777" w:rsidR="00160EDF" w:rsidRPr="00F57CC1" w:rsidRDefault="00160EDF" w:rsidP="00D906FC">
            <w:pPr>
              <w:jc w:val="center"/>
              <w:rPr>
                <w:rFonts w:ascii="Times New Roman" w:hAnsi="Times New Roman" w:cs="Times New Roman"/>
                <w:b/>
                <w:bCs/>
              </w:rPr>
            </w:pPr>
          </w:p>
        </w:tc>
        <w:tc>
          <w:tcPr>
            <w:tcW w:w="2795" w:type="dxa"/>
            <w:tcBorders>
              <w:top w:val="nil"/>
              <w:left w:val="nil"/>
              <w:bottom w:val="nil"/>
              <w:right w:val="nil"/>
            </w:tcBorders>
            <w:vAlign w:val="center"/>
          </w:tcPr>
          <w:p w14:paraId="2ACBAC96" w14:textId="77777777" w:rsidR="00160EDF" w:rsidRPr="00F57CC1" w:rsidRDefault="00160EDF" w:rsidP="00D906FC">
            <w:pPr>
              <w:jc w:val="center"/>
              <w:rPr>
                <w:rFonts w:ascii="Times New Roman" w:hAnsi="Times New Roman" w:cs="Times New Roman"/>
              </w:rPr>
            </w:pPr>
          </w:p>
        </w:tc>
        <w:tc>
          <w:tcPr>
            <w:tcW w:w="1250" w:type="dxa"/>
            <w:tcBorders>
              <w:top w:val="nil"/>
              <w:left w:val="nil"/>
              <w:bottom w:val="nil"/>
              <w:right w:val="nil"/>
            </w:tcBorders>
            <w:vAlign w:val="center"/>
          </w:tcPr>
          <w:p w14:paraId="62A8AEFD" w14:textId="77777777" w:rsidR="00160EDF" w:rsidRPr="00F57CC1" w:rsidRDefault="00160EDF" w:rsidP="00D906FC">
            <w:pPr>
              <w:jc w:val="center"/>
              <w:rPr>
                <w:rFonts w:ascii="Times New Roman" w:hAnsi="Times New Roman" w:cs="Times New Roman"/>
              </w:rPr>
            </w:pPr>
          </w:p>
        </w:tc>
      </w:tr>
      <w:tr w:rsidR="00160EDF" w14:paraId="7CAB6BCF" w14:textId="77777777" w:rsidTr="00D906FC">
        <w:tc>
          <w:tcPr>
            <w:tcW w:w="4045" w:type="dxa"/>
            <w:tcBorders>
              <w:top w:val="nil"/>
              <w:left w:val="nil"/>
              <w:bottom w:val="nil"/>
              <w:right w:val="nil"/>
            </w:tcBorders>
          </w:tcPr>
          <w:p w14:paraId="5633CF44" w14:textId="77777777" w:rsidR="00160EDF" w:rsidRPr="00F57CC1" w:rsidRDefault="00160EDF" w:rsidP="00D906FC">
            <w:pPr>
              <w:rPr>
                <w:rFonts w:ascii="Times New Roman" w:hAnsi="Times New Roman" w:cs="Times New Roman"/>
              </w:rPr>
            </w:pPr>
            <w:r w:rsidRPr="00F57CC1">
              <w:rPr>
                <w:rFonts w:ascii="Times New Roman" w:hAnsi="Times New Roman" w:cs="Times New Roman"/>
              </w:rPr>
              <w:t xml:space="preserve">     Yes</w:t>
            </w:r>
          </w:p>
        </w:tc>
        <w:tc>
          <w:tcPr>
            <w:tcW w:w="1260" w:type="dxa"/>
            <w:tcBorders>
              <w:top w:val="nil"/>
              <w:left w:val="nil"/>
              <w:bottom w:val="nil"/>
              <w:right w:val="nil"/>
            </w:tcBorders>
            <w:vAlign w:val="center"/>
          </w:tcPr>
          <w:p w14:paraId="1CA34B08"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1.35</w:t>
            </w:r>
          </w:p>
        </w:tc>
        <w:tc>
          <w:tcPr>
            <w:tcW w:w="2795" w:type="dxa"/>
            <w:tcBorders>
              <w:top w:val="nil"/>
              <w:left w:val="nil"/>
              <w:bottom w:val="nil"/>
              <w:right w:val="nil"/>
            </w:tcBorders>
            <w:vAlign w:val="center"/>
          </w:tcPr>
          <w:p w14:paraId="3F8237E4"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1.24, 1.46</w:t>
            </w:r>
          </w:p>
        </w:tc>
        <w:tc>
          <w:tcPr>
            <w:tcW w:w="1250" w:type="dxa"/>
            <w:tcBorders>
              <w:top w:val="nil"/>
              <w:left w:val="nil"/>
              <w:bottom w:val="nil"/>
              <w:right w:val="nil"/>
            </w:tcBorders>
            <w:vAlign w:val="center"/>
          </w:tcPr>
          <w:p w14:paraId="01A6F256"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&lt;0.0001</w:t>
            </w:r>
          </w:p>
        </w:tc>
      </w:tr>
      <w:tr w:rsidR="00160EDF" w14:paraId="6350A293" w14:textId="77777777" w:rsidTr="00B0092F">
        <w:tc>
          <w:tcPr>
            <w:tcW w:w="4045" w:type="dxa"/>
            <w:tcBorders>
              <w:top w:val="nil"/>
              <w:left w:val="nil"/>
              <w:bottom w:val="nil"/>
              <w:right w:val="nil"/>
            </w:tcBorders>
          </w:tcPr>
          <w:p w14:paraId="5753E899" w14:textId="77777777" w:rsidR="00160EDF" w:rsidRPr="00F57CC1" w:rsidRDefault="00160EDF" w:rsidP="00D906FC">
            <w:pPr>
              <w:tabs>
                <w:tab w:val="left" w:pos="1440"/>
              </w:tabs>
              <w:rPr>
                <w:rFonts w:ascii="Times New Roman" w:hAnsi="Times New Roman" w:cs="Times New Roman"/>
              </w:rPr>
            </w:pPr>
            <w:r w:rsidRPr="00F57CC1">
              <w:rPr>
                <w:rFonts w:ascii="Times New Roman" w:hAnsi="Times New Roman" w:cs="Times New Roman"/>
              </w:rPr>
              <w:t xml:space="preserve">     No</w:t>
            </w:r>
          </w:p>
        </w:tc>
        <w:tc>
          <w:tcPr>
            <w:tcW w:w="5305" w:type="dxa"/>
            <w:gridSpan w:val="3"/>
            <w:tcBorders>
              <w:top w:val="nil"/>
              <w:left w:val="nil"/>
              <w:bottom w:val="nil"/>
              <w:right w:val="nil"/>
            </w:tcBorders>
            <w:vAlign w:val="center"/>
          </w:tcPr>
          <w:p w14:paraId="490F1976" w14:textId="77777777" w:rsidR="00160EDF" w:rsidRPr="00F57CC1" w:rsidRDefault="00160EDF" w:rsidP="00D906FC">
            <w:pPr>
              <w:rPr>
                <w:rFonts w:ascii="Times New Roman" w:hAnsi="Times New Roman" w:cs="Times New Roman"/>
                <w:i/>
                <w:iCs/>
              </w:rPr>
            </w:pPr>
            <w:r w:rsidRPr="00F57CC1">
              <w:rPr>
                <w:rFonts w:ascii="Times New Roman" w:hAnsi="Times New Roman" w:cs="Times New Roman"/>
                <w:i/>
                <w:iCs/>
              </w:rPr>
              <w:t>Reference</w:t>
            </w:r>
          </w:p>
        </w:tc>
      </w:tr>
      <w:tr w:rsidR="00160EDF" w14:paraId="0ACBDE7E" w14:textId="77777777" w:rsidTr="00B0092F">
        <w:tc>
          <w:tcPr>
            <w:tcW w:w="4045" w:type="dxa"/>
            <w:tcBorders>
              <w:top w:val="nil"/>
              <w:left w:val="nil"/>
              <w:bottom w:val="nil"/>
              <w:right w:val="nil"/>
            </w:tcBorders>
          </w:tcPr>
          <w:p w14:paraId="2779D205" w14:textId="77777777" w:rsidR="00160EDF" w:rsidRPr="00F57CC1" w:rsidRDefault="00160EDF" w:rsidP="00D906FC">
            <w:pPr>
              <w:rPr>
                <w:rFonts w:ascii="Times New Roman" w:hAnsi="Times New Roman" w:cs="Times New Roman"/>
                <w:b/>
                <w:bCs/>
              </w:rPr>
            </w:pPr>
            <w:r w:rsidRPr="00F57CC1">
              <w:rPr>
                <w:rFonts w:ascii="Times New Roman" w:hAnsi="Times New Roman" w:cs="Times New Roman"/>
                <w:b/>
                <w:bCs/>
              </w:rPr>
              <w:t>Asthma</w:t>
            </w:r>
          </w:p>
        </w:tc>
        <w:tc>
          <w:tcPr>
            <w:tcW w:w="1260" w:type="dxa"/>
            <w:tcBorders>
              <w:top w:val="nil"/>
              <w:left w:val="nil"/>
              <w:bottom w:val="nil"/>
              <w:right w:val="nil"/>
            </w:tcBorders>
            <w:vAlign w:val="center"/>
          </w:tcPr>
          <w:p w14:paraId="077AE3E2" w14:textId="77777777" w:rsidR="00160EDF" w:rsidRPr="00F57CC1" w:rsidRDefault="00160EDF" w:rsidP="00D906FC">
            <w:pPr>
              <w:jc w:val="center"/>
              <w:rPr>
                <w:rFonts w:ascii="Times New Roman" w:hAnsi="Times New Roman" w:cs="Times New Roman"/>
                <w:b/>
                <w:bCs/>
              </w:rPr>
            </w:pPr>
          </w:p>
        </w:tc>
        <w:tc>
          <w:tcPr>
            <w:tcW w:w="2795" w:type="dxa"/>
            <w:tcBorders>
              <w:top w:val="nil"/>
              <w:left w:val="nil"/>
              <w:bottom w:val="nil"/>
              <w:right w:val="nil"/>
            </w:tcBorders>
            <w:vAlign w:val="center"/>
          </w:tcPr>
          <w:p w14:paraId="10851551" w14:textId="77777777" w:rsidR="00160EDF" w:rsidRPr="00F57CC1" w:rsidRDefault="00160EDF" w:rsidP="00D906FC">
            <w:pPr>
              <w:jc w:val="center"/>
              <w:rPr>
                <w:rFonts w:ascii="Times New Roman" w:hAnsi="Times New Roman" w:cs="Times New Roman"/>
              </w:rPr>
            </w:pPr>
          </w:p>
        </w:tc>
        <w:tc>
          <w:tcPr>
            <w:tcW w:w="1250" w:type="dxa"/>
            <w:tcBorders>
              <w:top w:val="nil"/>
              <w:left w:val="nil"/>
              <w:bottom w:val="nil"/>
              <w:right w:val="nil"/>
            </w:tcBorders>
            <w:vAlign w:val="center"/>
          </w:tcPr>
          <w:p w14:paraId="5C8F9173" w14:textId="77777777" w:rsidR="00160EDF" w:rsidRPr="00F57CC1" w:rsidRDefault="00160EDF" w:rsidP="00D906FC">
            <w:pPr>
              <w:jc w:val="center"/>
              <w:rPr>
                <w:rFonts w:ascii="Times New Roman" w:hAnsi="Times New Roman" w:cs="Times New Roman"/>
              </w:rPr>
            </w:pPr>
          </w:p>
        </w:tc>
      </w:tr>
      <w:tr w:rsidR="00160EDF" w14:paraId="18E8627A" w14:textId="77777777" w:rsidTr="00D906FC">
        <w:tc>
          <w:tcPr>
            <w:tcW w:w="4045" w:type="dxa"/>
            <w:tcBorders>
              <w:top w:val="nil"/>
              <w:left w:val="nil"/>
              <w:bottom w:val="nil"/>
              <w:right w:val="nil"/>
            </w:tcBorders>
          </w:tcPr>
          <w:p w14:paraId="4A2348F6" w14:textId="77777777" w:rsidR="00160EDF" w:rsidRPr="00F57CC1" w:rsidRDefault="00160EDF" w:rsidP="00D906FC">
            <w:pPr>
              <w:rPr>
                <w:rFonts w:ascii="Times New Roman" w:hAnsi="Times New Roman" w:cs="Times New Roman"/>
              </w:rPr>
            </w:pPr>
            <w:r w:rsidRPr="00F57CC1">
              <w:rPr>
                <w:rFonts w:ascii="Times New Roman" w:hAnsi="Times New Roman" w:cs="Times New Roman"/>
              </w:rPr>
              <w:t xml:space="preserve">     Yes</w:t>
            </w:r>
          </w:p>
        </w:tc>
        <w:tc>
          <w:tcPr>
            <w:tcW w:w="1260" w:type="dxa"/>
            <w:tcBorders>
              <w:top w:val="nil"/>
              <w:left w:val="nil"/>
              <w:bottom w:val="nil"/>
              <w:right w:val="nil"/>
            </w:tcBorders>
            <w:vAlign w:val="center"/>
          </w:tcPr>
          <w:p w14:paraId="46B2E041"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1.9</w:t>
            </w:r>
            <w:r>
              <w:rPr>
                <w:rFonts w:ascii="Times New Roman" w:hAnsi="Times New Roman" w:cs="Times New Roman"/>
              </w:rPr>
              <w:t>2</w:t>
            </w:r>
          </w:p>
        </w:tc>
        <w:tc>
          <w:tcPr>
            <w:tcW w:w="2795" w:type="dxa"/>
            <w:tcBorders>
              <w:top w:val="nil"/>
              <w:left w:val="nil"/>
              <w:bottom w:val="nil"/>
              <w:right w:val="nil"/>
            </w:tcBorders>
            <w:vAlign w:val="center"/>
          </w:tcPr>
          <w:p w14:paraId="5752041D"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1.7</w:t>
            </w:r>
            <w:r>
              <w:rPr>
                <w:rFonts w:ascii="Times New Roman" w:hAnsi="Times New Roman" w:cs="Times New Roman"/>
              </w:rPr>
              <w:t>4</w:t>
            </w:r>
            <w:r w:rsidRPr="00F57CC1">
              <w:rPr>
                <w:rFonts w:ascii="Times New Roman" w:hAnsi="Times New Roman" w:cs="Times New Roman"/>
              </w:rPr>
              <w:t>, 2.11</w:t>
            </w:r>
          </w:p>
        </w:tc>
        <w:tc>
          <w:tcPr>
            <w:tcW w:w="1250" w:type="dxa"/>
            <w:tcBorders>
              <w:top w:val="nil"/>
              <w:left w:val="nil"/>
              <w:bottom w:val="nil"/>
              <w:right w:val="nil"/>
            </w:tcBorders>
            <w:vAlign w:val="center"/>
          </w:tcPr>
          <w:p w14:paraId="0074B8F6" w14:textId="77777777" w:rsidR="00160EDF" w:rsidRPr="00F57CC1" w:rsidRDefault="00160EDF" w:rsidP="00D906FC">
            <w:pPr>
              <w:jc w:val="center"/>
              <w:rPr>
                <w:rFonts w:ascii="Times New Roman" w:hAnsi="Times New Roman" w:cs="Times New Roman"/>
              </w:rPr>
            </w:pPr>
            <w:r w:rsidRPr="00F57CC1">
              <w:rPr>
                <w:rFonts w:ascii="Times New Roman" w:hAnsi="Times New Roman" w:cs="Times New Roman"/>
              </w:rPr>
              <w:t>&lt;0.0001</w:t>
            </w:r>
          </w:p>
        </w:tc>
      </w:tr>
      <w:tr w:rsidR="00160EDF" w14:paraId="580AA2BB" w14:textId="77777777" w:rsidTr="007F1D73">
        <w:tc>
          <w:tcPr>
            <w:tcW w:w="4045" w:type="dxa"/>
            <w:tcBorders>
              <w:top w:val="nil"/>
              <w:left w:val="nil"/>
              <w:bottom w:val="single" w:sz="12" w:space="0" w:color="auto"/>
              <w:right w:val="nil"/>
            </w:tcBorders>
          </w:tcPr>
          <w:p w14:paraId="2616A323" w14:textId="77777777" w:rsidR="00160EDF" w:rsidRPr="00F57CC1" w:rsidRDefault="00160EDF" w:rsidP="00D906FC">
            <w:pPr>
              <w:rPr>
                <w:rFonts w:ascii="Times New Roman" w:hAnsi="Times New Roman" w:cs="Times New Roman"/>
              </w:rPr>
            </w:pPr>
            <w:r w:rsidRPr="00F57CC1">
              <w:rPr>
                <w:rFonts w:ascii="Times New Roman" w:hAnsi="Times New Roman" w:cs="Times New Roman"/>
              </w:rPr>
              <w:t xml:space="preserve">     No</w:t>
            </w:r>
          </w:p>
        </w:tc>
        <w:tc>
          <w:tcPr>
            <w:tcW w:w="5305" w:type="dxa"/>
            <w:gridSpan w:val="3"/>
            <w:tcBorders>
              <w:top w:val="nil"/>
              <w:left w:val="nil"/>
              <w:bottom w:val="single" w:sz="12" w:space="0" w:color="auto"/>
              <w:right w:val="nil"/>
            </w:tcBorders>
            <w:vAlign w:val="center"/>
          </w:tcPr>
          <w:p w14:paraId="4D7D3943" w14:textId="77777777" w:rsidR="00160EDF" w:rsidRPr="00F57CC1" w:rsidRDefault="00160EDF" w:rsidP="00D906FC">
            <w:pPr>
              <w:rPr>
                <w:rFonts w:ascii="Times New Roman" w:hAnsi="Times New Roman" w:cs="Times New Roman"/>
                <w:i/>
                <w:iCs/>
              </w:rPr>
            </w:pPr>
            <w:r w:rsidRPr="00F57CC1">
              <w:rPr>
                <w:rFonts w:ascii="Times New Roman" w:hAnsi="Times New Roman" w:cs="Times New Roman"/>
                <w:i/>
                <w:iCs/>
              </w:rPr>
              <w:t>Reference</w:t>
            </w:r>
          </w:p>
        </w:tc>
      </w:tr>
      <w:tr w:rsidR="00160EDF" w14:paraId="64A2F4FC" w14:textId="77777777" w:rsidTr="007F1D73">
        <w:tc>
          <w:tcPr>
            <w:tcW w:w="9350" w:type="dxa"/>
            <w:gridSpan w:val="4"/>
            <w:tcBorders>
              <w:top w:val="single" w:sz="12" w:space="0" w:color="auto"/>
              <w:left w:val="nil"/>
              <w:bottom w:val="nil"/>
              <w:right w:val="nil"/>
            </w:tcBorders>
          </w:tcPr>
          <w:p w14:paraId="2B11CAEF" w14:textId="77777777" w:rsidR="00160EDF" w:rsidRPr="009B134D" w:rsidRDefault="00160EDF" w:rsidP="00D906FC">
            <w:pPr>
              <w:rPr>
                <w:rFonts w:ascii="Times New Roman" w:hAnsi="Times New Roman" w:cs="Times New Roman"/>
                <w:i/>
                <w:iCs/>
              </w:rPr>
            </w:pPr>
            <w:r w:rsidRPr="00AA5541">
              <w:rPr>
                <w:rFonts w:ascii="Times New Roman" w:hAnsi="Times New Roman" w:cs="Times New Roman"/>
                <w:i/>
                <w:iCs/>
                <w:vertAlign w:val="superscript"/>
              </w:rPr>
              <w:t>1</w:t>
            </w:r>
            <w:r>
              <w:rPr>
                <w:rFonts w:ascii="Times New Roman" w:hAnsi="Times New Roman" w:cs="Times New Roman"/>
                <w:i/>
                <w:iCs/>
              </w:rPr>
              <w:t>Chronic obstructive pulmonary disease</w:t>
            </w:r>
          </w:p>
        </w:tc>
      </w:tr>
    </w:tbl>
    <w:p w14:paraId="3B71CAC6" w14:textId="14C138C6" w:rsidR="00EA661D" w:rsidRPr="002735C7" w:rsidRDefault="00EA661D" w:rsidP="007F1D73">
      <w:pPr>
        <w:pStyle w:val="Heading4"/>
        <w:spacing w:before="0" w:after="0" w:line="480" w:lineRule="auto"/>
        <w:rPr>
          <w:szCs w:val="28"/>
        </w:rPr>
      </w:pPr>
      <w:bookmarkStart w:id="189" w:name="_Toc200097030"/>
      <w:r w:rsidRPr="002735C7">
        <w:rPr>
          <w:szCs w:val="28"/>
        </w:rPr>
        <w:lastRenderedPageBreak/>
        <w:t>Comorbidity clusters</w:t>
      </w:r>
      <w:bookmarkEnd w:id="189"/>
    </w:p>
    <w:p w14:paraId="177CDBDC" w14:textId="4143616E" w:rsidR="00EA661D" w:rsidRPr="00EA661D" w:rsidRDefault="00EA661D" w:rsidP="007F1D73">
      <w:pPr>
        <w:spacing w:after="0" w:line="480" w:lineRule="auto"/>
        <w:ind w:firstLine="720"/>
        <w:rPr>
          <w:rFonts w:ascii="Times New Roman" w:hAnsi="Times New Roman" w:cs="Times New Roman"/>
          <w:iCs/>
        </w:rPr>
      </w:pPr>
      <w:r w:rsidRPr="00EA661D">
        <w:rPr>
          <w:rFonts w:ascii="Times New Roman" w:hAnsi="Times New Roman" w:cs="Times New Roman"/>
          <w:iCs/>
        </w:rPr>
        <w:t xml:space="preserve">The overall optimal number of clusters was 4 with a range of 3 to 7 clusters. Cluster 1 was the largest with a median of 69.1% (IQR: 69.1%-77.6%) participants that had COPD across all datasets. Cluster 4 was the smallest and had a median of 2.1% (IQR:1.3%-4.7%) of the participants. Clusters 2 and 3 had medians of 21.4% (IQR: 12.1%-26.4%) and 4.9% (IQR: 2.3-7.3) of the participants, respectively. </w:t>
      </w:r>
    </w:p>
    <w:p w14:paraId="44A94118" w14:textId="77777777" w:rsidR="00476140" w:rsidRDefault="00EA661D" w:rsidP="007F1D73">
      <w:pPr>
        <w:spacing w:after="0" w:line="480" w:lineRule="auto"/>
        <w:ind w:firstLine="720"/>
        <w:rPr>
          <w:rFonts w:ascii="Times New Roman" w:hAnsi="Times New Roman" w:cs="Times New Roman"/>
          <w:iCs/>
        </w:rPr>
        <w:sectPr w:rsidR="00476140" w:rsidSect="009C2E43">
          <w:pgSz w:w="12240" w:h="15840"/>
          <w:pgMar w:top="1440" w:right="1440" w:bottom="1440" w:left="1440" w:header="720" w:footer="720" w:gutter="0"/>
          <w:cols w:space="720"/>
          <w:docGrid w:linePitch="360"/>
        </w:sectPr>
      </w:pPr>
      <w:r w:rsidRPr="00EA661D">
        <w:rPr>
          <w:rFonts w:ascii="Times New Roman" w:hAnsi="Times New Roman" w:cs="Times New Roman"/>
          <w:iCs/>
        </w:rPr>
        <w:t>The results of the Kruskal Wallis test showed that the prevalence of nearly all comorbid conditions, except asthma and underweight, varied across clusters (</w:t>
      </w:r>
      <w:r w:rsidRPr="007B23A4">
        <w:rPr>
          <w:rFonts w:ascii="Times New Roman" w:hAnsi="Times New Roman" w:cs="Times New Roman"/>
        </w:rPr>
        <w:t>Table 4</w:t>
      </w:r>
      <w:r w:rsidR="007B23A4" w:rsidRPr="007B23A4">
        <w:rPr>
          <w:rFonts w:ascii="Times New Roman" w:hAnsi="Times New Roman" w:cs="Times New Roman"/>
        </w:rPr>
        <w:t>.4</w:t>
      </w:r>
      <w:r w:rsidRPr="00EA661D">
        <w:rPr>
          <w:rFonts w:ascii="Times New Roman" w:hAnsi="Times New Roman" w:cs="Times New Roman"/>
          <w:iCs/>
        </w:rPr>
        <w:t>). Although there was evidence that lung cancer prevalence varied across clusters based on the Kruskal Wallis test (p=0.0396), there was no evidence of variation across clusters after Bonferroni correction was applied to the Dunn’s test since all corrected p-values were &gt; 0.05 (</w:t>
      </w:r>
      <w:r w:rsidRPr="007B23A4">
        <w:rPr>
          <w:rFonts w:ascii="Times New Roman" w:hAnsi="Times New Roman" w:cs="Times New Roman"/>
        </w:rPr>
        <w:t xml:space="preserve">Table </w:t>
      </w:r>
      <w:r w:rsidR="007B23A4" w:rsidRPr="007B23A4">
        <w:rPr>
          <w:rFonts w:ascii="Times New Roman" w:hAnsi="Times New Roman" w:cs="Times New Roman"/>
        </w:rPr>
        <w:t>4.</w:t>
      </w:r>
      <w:r w:rsidRPr="007B23A4">
        <w:rPr>
          <w:rFonts w:ascii="Times New Roman" w:hAnsi="Times New Roman" w:cs="Times New Roman"/>
        </w:rPr>
        <w:t>4</w:t>
      </w:r>
      <w:r w:rsidRPr="00EA661D">
        <w:rPr>
          <w:rFonts w:ascii="Times New Roman" w:hAnsi="Times New Roman" w:cs="Times New Roman"/>
          <w:iCs/>
        </w:rPr>
        <w:t>). As for the conditions which did vary across clusters, the prevalence of myocardial infarction was significantly (p&lt;0.05) lower in cluster 1 (median: 5.3%) than in all other clusters (</w:t>
      </w:r>
      <w:r w:rsidRPr="007B23A4">
        <w:rPr>
          <w:rFonts w:ascii="Times New Roman" w:hAnsi="Times New Roman" w:cs="Times New Roman"/>
        </w:rPr>
        <w:t xml:space="preserve">Table </w:t>
      </w:r>
      <w:r w:rsidR="007B23A4" w:rsidRPr="007B23A4">
        <w:rPr>
          <w:rFonts w:ascii="Times New Roman" w:hAnsi="Times New Roman" w:cs="Times New Roman"/>
        </w:rPr>
        <w:t>4.</w:t>
      </w:r>
      <w:r w:rsidRPr="007B23A4">
        <w:rPr>
          <w:rFonts w:ascii="Times New Roman" w:hAnsi="Times New Roman" w:cs="Times New Roman"/>
        </w:rPr>
        <w:t>4</w:t>
      </w:r>
      <w:r w:rsidRPr="00EA661D">
        <w:rPr>
          <w:rFonts w:ascii="Times New Roman" w:hAnsi="Times New Roman" w:cs="Times New Roman"/>
          <w:iCs/>
        </w:rPr>
        <w:t>), while the prevalence in cluster 2 (median: 18.8%) was significantly (p=0.0148) lower than that in cluster 4 (median: 56.0%). Similarly, coronary artery disease prevalence was significantly (p&lt;0.05) lower in cluster 1 (median: 6.3%) than all other clusters (</w:t>
      </w:r>
      <w:r w:rsidRPr="007B23A4">
        <w:rPr>
          <w:rFonts w:ascii="Times New Roman" w:hAnsi="Times New Roman" w:cs="Times New Roman"/>
        </w:rPr>
        <w:t xml:space="preserve">Table </w:t>
      </w:r>
      <w:r w:rsidR="007B23A4" w:rsidRPr="007B23A4">
        <w:rPr>
          <w:rFonts w:ascii="Times New Roman" w:hAnsi="Times New Roman" w:cs="Times New Roman"/>
        </w:rPr>
        <w:t>4.</w:t>
      </w:r>
      <w:r w:rsidRPr="007B23A4">
        <w:rPr>
          <w:rFonts w:ascii="Times New Roman" w:hAnsi="Times New Roman" w:cs="Times New Roman"/>
        </w:rPr>
        <w:t>4</w:t>
      </w:r>
      <w:r w:rsidRPr="00EA661D">
        <w:rPr>
          <w:rFonts w:ascii="Times New Roman" w:hAnsi="Times New Roman" w:cs="Times New Roman"/>
          <w:iCs/>
        </w:rPr>
        <w:t xml:space="preserve">). Cluster 2 (median: 29.1%) also had a significantly (p=0.0240) lower prevalence of coronary artery disease than cluster 4 (median: 77.8%). The results of the comparisons of the prevalence estimates of the rest of the comorbid conditions across clusters are shown in </w:t>
      </w:r>
      <w:r w:rsidRPr="007B23A4">
        <w:rPr>
          <w:rFonts w:ascii="Times New Roman" w:hAnsi="Times New Roman" w:cs="Times New Roman"/>
        </w:rPr>
        <w:t xml:space="preserve">Table </w:t>
      </w:r>
      <w:r w:rsidR="007B23A4" w:rsidRPr="007B23A4">
        <w:rPr>
          <w:rFonts w:ascii="Times New Roman" w:hAnsi="Times New Roman" w:cs="Times New Roman"/>
        </w:rPr>
        <w:t>4.</w:t>
      </w:r>
      <w:r w:rsidRPr="007B23A4">
        <w:rPr>
          <w:rFonts w:ascii="Times New Roman" w:hAnsi="Times New Roman" w:cs="Times New Roman"/>
        </w:rPr>
        <w:t>4</w:t>
      </w:r>
      <w:r w:rsidRPr="00EA661D">
        <w:rPr>
          <w:rFonts w:ascii="Times New Roman" w:hAnsi="Times New Roman" w:cs="Times New Roman"/>
          <w:i/>
          <w:iCs/>
        </w:rPr>
        <w:t xml:space="preserve">. </w:t>
      </w:r>
      <w:r w:rsidRPr="00EA661D">
        <w:rPr>
          <w:rFonts w:ascii="Times New Roman" w:hAnsi="Times New Roman" w:cs="Times New Roman"/>
          <w:iCs/>
        </w:rPr>
        <w:t>Generally, cluster 1 had low prevalence of most comorbidity conditions. Cluster 2 had higher prevalence proportions of cardiovascular conditions when compared to cluster 1 while also having lower prevalences of most conditions than clusters 3 and 4. Both clusters 3 and 4 had high prevalence proportions of nearly all conditions.</w:t>
      </w:r>
    </w:p>
    <w:p w14:paraId="471B2767" w14:textId="3808E1A5" w:rsidR="00160EDF" w:rsidRDefault="00160EDF" w:rsidP="007F1D73">
      <w:pPr>
        <w:pStyle w:val="Caption"/>
        <w:spacing w:after="0"/>
      </w:pPr>
      <w:bookmarkStart w:id="190" w:name="_Toc199886039"/>
      <w:bookmarkStart w:id="191" w:name="_Toc200097056"/>
      <w:r>
        <w:lastRenderedPageBreak/>
        <w:t xml:space="preserve">Table </w:t>
      </w:r>
      <w:r w:rsidR="00450C23">
        <w:fldChar w:fldCharType="begin"/>
      </w:r>
      <w:r w:rsidR="00450C23">
        <w:instrText xml:space="preserve"> STYLEREF 1 \s </w:instrText>
      </w:r>
      <w:r w:rsidR="00450C23">
        <w:fldChar w:fldCharType="separate"/>
      </w:r>
      <w:r w:rsidR="005D69AE">
        <w:rPr>
          <w:noProof/>
        </w:rPr>
        <w:t>4</w:t>
      </w:r>
      <w:r w:rsidR="00450C23">
        <w:rPr>
          <w:noProof/>
        </w:rPr>
        <w:fldChar w:fldCharType="end"/>
      </w:r>
      <w:r w:rsidR="005D69AE">
        <w:t>.</w:t>
      </w:r>
      <w:r w:rsidR="00450C23">
        <w:fldChar w:fldCharType="begin"/>
      </w:r>
      <w:r w:rsidR="00450C23">
        <w:instrText xml:space="preserve"> SEQ Table \* ARABIC \s 1 </w:instrText>
      </w:r>
      <w:r w:rsidR="00450C23">
        <w:fldChar w:fldCharType="separate"/>
      </w:r>
      <w:r w:rsidR="005D69AE">
        <w:rPr>
          <w:noProof/>
        </w:rPr>
        <w:t>4</w:t>
      </w:r>
      <w:r w:rsidR="00450C23">
        <w:rPr>
          <w:noProof/>
        </w:rPr>
        <w:fldChar w:fldCharType="end"/>
      </w:r>
      <w:r>
        <w:t xml:space="preserve">. </w:t>
      </w:r>
      <w:r w:rsidRPr="00657FAE">
        <w:t>Summary of comorbidities within clusters of National Supplemental Screening Program participants with chronic obstructive pulmonary disease (n=3,647) across all imputed datasets (n=20), 2005-2019.</w:t>
      </w:r>
      <w:bookmarkEnd w:id="190"/>
      <w:bookmarkEnd w:id="191"/>
    </w:p>
    <w:tbl>
      <w:tblPr>
        <w:tblStyle w:val="TableGrid"/>
        <w:tblpPr w:leftFromText="180" w:rightFromText="180" w:vertAnchor="text" w:horzAnchor="page" w:tblpXSpec="center" w:tblpY="22"/>
        <w:tblW w:w="133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7"/>
        <w:gridCol w:w="1014"/>
        <w:gridCol w:w="1013"/>
        <w:gridCol w:w="1014"/>
        <w:gridCol w:w="1014"/>
        <w:gridCol w:w="1014"/>
        <w:gridCol w:w="1004"/>
        <w:gridCol w:w="1080"/>
        <w:gridCol w:w="1080"/>
        <w:gridCol w:w="990"/>
        <w:gridCol w:w="1080"/>
        <w:gridCol w:w="1170"/>
      </w:tblGrid>
      <w:tr w:rsidR="00160EDF" w:rsidRPr="00476140" w14:paraId="74F38CBD" w14:textId="77777777" w:rsidTr="00100B41">
        <w:trPr>
          <w:cantSplit/>
          <w:trHeight w:val="1134"/>
          <w:tblHeader/>
        </w:trPr>
        <w:tc>
          <w:tcPr>
            <w:tcW w:w="1847" w:type="dxa"/>
            <w:tcBorders>
              <w:top w:val="single" w:sz="12" w:space="0" w:color="auto"/>
              <w:bottom w:val="single" w:sz="12" w:space="0" w:color="auto"/>
            </w:tcBorders>
            <w:vAlign w:val="center"/>
          </w:tcPr>
          <w:p w14:paraId="7961CC35" w14:textId="77777777" w:rsidR="00160EDF" w:rsidRPr="00476140" w:rsidRDefault="00160EDF" w:rsidP="00B0092F">
            <w:pPr>
              <w:jc w:val="center"/>
              <w:rPr>
                <w:rFonts w:ascii="Times New Roman" w:hAnsi="Times New Roman" w:cs="Times New Roman"/>
                <w:sz w:val="20"/>
                <w:szCs w:val="20"/>
              </w:rPr>
            </w:pPr>
            <w:r w:rsidRPr="00476140">
              <w:rPr>
                <w:rFonts w:ascii="Times New Roman" w:hAnsi="Times New Roman" w:cs="Times New Roman"/>
                <w:sz w:val="20"/>
                <w:szCs w:val="20"/>
              </w:rPr>
              <w:t>Comorbidity</w:t>
            </w:r>
          </w:p>
        </w:tc>
        <w:tc>
          <w:tcPr>
            <w:tcW w:w="1014" w:type="dxa"/>
            <w:tcBorders>
              <w:top w:val="single" w:sz="12" w:space="0" w:color="auto"/>
              <w:bottom w:val="single" w:sz="12" w:space="0" w:color="auto"/>
            </w:tcBorders>
            <w:vAlign w:val="center"/>
          </w:tcPr>
          <w:p w14:paraId="37E40CC8" w14:textId="77777777" w:rsidR="00160EDF" w:rsidRPr="00476140" w:rsidRDefault="00160EDF" w:rsidP="00746524">
            <w:pPr>
              <w:jc w:val="center"/>
              <w:rPr>
                <w:rFonts w:ascii="Times New Roman" w:hAnsi="Times New Roman" w:cs="Times New Roman"/>
                <w:sz w:val="20"/>
                <w:szCs w:val="20"/>
              </w:rPr>
            </w:pPr>
            <w:r w:rsidRPr="00476140">
              <w:rPr>
                <w:rFonts w:ascii="Times New Roman" w:hAnsi="Times New Roman" w:cs="Times New Roman"/>
                <w:sz w:val="20"/>
                <w:szCs w:val="20"/>
              </w:rPr>
              <w:t>Cluster 1 Median</w:t>
            </w:r>
          </w:p>
          <w:p w14:paraId="42CB347D" w14:textId="61119AD2" w:rsidR="00160EDF" w:rsidRPr="00476140" w:rsidRDefault="00160EDF" w:rsidP="00746524">
            <w:pPr>
              <w:jc w:val="center"/>
              <w:rPr>
                <w:rFonts w:ascii="Times New Roman" w:hAnsi="Times New Roman" w:cs="Times New Roman"/>
                <w:sz w:val="20"/>
                <w:szCs w:val="20"/>
              </w:rPr>
            </w:pPr>
            <w:r w:rsidRPr="00476140">
              <w:rPr>
                <w:rFonts w:ascii="Times New Roman" w:hAnsi="Times New Roman" w:cs="Times New Roman"/>
                <w:sz w:val="20"/>
                <w:szCs w:val="20"/>
              </w:rPr>
              <w:t>(IQR</w:t>
            </w:r>
            <w:r w:rsidRPr="00476140">
              <w:rPr>
                <w:rFonts w:ascii="Times New Roman" w:hAnsi="Times New Roman" w:cs="Times New Roman"/>
                <w:sz w:val="20"/>
                <w:szCs w:val="20"/>
                <w:vertAlign w:val="superscript"/>
              </w:rPr>
              <w:t>1</w:t>
            </w:r>
            <w:r w:rsidRPr="00476140">
              <w:rPr>
                <w:rFonts w:ascii="Times New Roman" w:hAnsi="Times New Roman" w:cs="Times New Roman"/>
                <w:sz w:val="20"/>
                <w:szCs w:val="20"/>
              </w:rPr>
              <w:t>)</w:t>
            </w:r>
          </w:p>
        </w:tc>
        <w:tc>
          <w:tcPr>
            <w:tcW w:w="1013" w:type="dxa"/>
            <w:tcBorders>
              <w:top w:val="single" w:sz="12" w:space="0" w:color="auto"/>
              <w:bottom w:val="single" w:sz="12" w:space="0" w:color="auto"/>
            </w:tcBorders>
            <w:vAlign w:val="center"/>
          </w:tcPr>
          <w:p w14:paraId="08A9857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Cluster 2 Median</w:t>
            </w:r>
          </w:p>
          <w:p w14:paraId="6A71E8D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(IQR</w:t>
            </w:r>
            <w:r w:rsidRPr="00476140">
              <w:rPr>
                <w:rFonts w:ascii="Times New Roman" w:hAnsi="Times New Roman" w:cs="Times New Roman"/>
                <w:sz w:val="20"/>
                <w:szCs w:val="20"/>
                <w:vertAlign w:val="superscript"/>
              </w:rPr>
              <w:t>1</w:t>
            </w:r>
            <w:r w:rsidRPr="00476140">
              <w:rPr>
                <w:rFonts w:ascii="Times New Roman" w:hAnsi="Times New Roman" w:cs="Times New Roman"/>
                <w:sz w:val="20"/>
                <w:szCs w:val="20"/>
              </w:rPr>
              <w:t>)</w:t>
            </w:r>
          </w:p>
        </w:tc>
        <w:tc>
          <w:tcPr>
            <w:tcW w:w="1014" w:type="dxa"/>
            <w:tcBorders>
              <w:top w:val="single" w:sz="12" w:space="0" w:color="auto"/>
              <w:bottom w:val="single" w:sz="12" w:space="0" w:color="auto"/>
            </w:tcBorders>
            <w:vAlign w:val="center"/>
          </w:tcPr>
          <w:p w14:paraId="2EFE6C4E" w14:textId="77777777" w:rsidR="00160EDF" w:rsidRPr="00476140" w:rsidRDefault="00160EDF" w:rsidP="00B0092F">
            <w:pPr>
              <w:jc w:val="center"/>
              <w:rPr>
                <w:rFonts w:ascii="Times New Roman" w:hAnsi="Times New Roman" w:cs="Times New Roman"/>
                <w:sz w:val="20"/>
                <w:szCs w:val="20"/>
              </w:rPr>
            </w:pPr>
            <w:r w:rsidRPr="00476140">
              <w:rPr>
                <w:rFonts w:ascii="Times New Roman" w:hAnsi="Times New Roman" w:cs="Times New Roman"/>
                <w:sz w:val="20"/>
                <w:szCs w:val="20"/>
              </w:rPr>
              <w:t>Cluster 3 Median</w:t>
            </w:r>
          </w:p>
          <w:p w14:paraId="718DAAE6" w14:textId="77777777" w:rsidR="00160EDF" w:rsidRPr="00476140" w:rsidRDefault="00160EDF" w:rsidP="00B0092F">
            <w:pPr>
              <w:jc w:val="center"/>
              <w:rPr>
                <w:rFonts w:ascii="Times New Roman" w:hAnsi="Times New Roman" w:cs="Times New Roman"/>
                <w:sz w:val="20"/>
                <w:szCs w:val="20"/>
              </w:rPr>
            </w:pPr>
            <w:r w:rsidRPr="00476140">
              <w:rPr>
                <w:rFonts w:ascii="Times New Roman" w:hAnsi="Times New Roman" w:cs="Times New Roman"/>
                <w:sz w:val="20"/>
                <w:szCs w:val="20"/>
              </w:rPr>
              <w:t>(IQR</w:t>
            </w:r>
            <w:r w:rsidRPr="00476140">
              <w:rPr>
                <w:rFonts w:ascii="Times New Roman" w:hAnsi="Times New Roman" w:cs="Times New Roman"/>
                <w:sz w:val="20"/>
                <w:szCs w:val="20"/>
                <w:vertAlign w:val="superscript"/>
              </w:rPr>
              <w:t>1</w:t>
            </w:r>
            <w:r w:rsidRPr="00476140">
              <w:rPr>
                <w:rFonts w:ascii="Times New Roman" w:hAnsi="Times New Roman" w:cs="Times New Roman"/>
                <w:sz w:val="20"/>
                <w:szCs w:val="20"/>
              </w:rPr>
              <w:t>)</w:t>
            </w:r>
          </w:p>
        </w:tc>
        <w:tc>
          <w:tcPr>
            <w:tcW w:w="1014" w:type="dxa"/>
            <w:tcBorders>
              <w:top w:val="single" w:sz="12" w:space="0" w:color="auto"/>
              <w:bottom w:val="single" w:sz="12" w:space="0" w:color="auto"/>
            </w:tcBorders>
            <w:vAlign w:val="center"/>
          </w:tcPr>
          <w:p w14:paraId="62E22D18"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Cluster 4 Median</w:t>
            </w:r>
          </w:p>
          <w:p w14:paraId="19E8CF28"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(IQR</w:t>
            </w:r>
            <w:r w:rsidRPr="00476140">
              <w:rPr>
                <w:rFonts w:ascii="Times New Roman" w:hAnsi="Times New Roman" w:cs="Times New Roman"/>
                <w:sz w:val="20"/>
                <w:szCs w:val="20"/>
                <w:vertAlign w:val="superscript"/>
              </w:rPr>
              <w:t>1</w:t>
            </w:r>
            <w:r w:rsidRPr="00476140">
              <w:rPr>
                <w:rFonts w:ascii="Times New Roman" w:hAnsi="Times New Roman" w:cs="Times New Roman"/>
                <w:sz w:val="20"/>
                <w:szCs w:val="20"/>
              </w:rPr>
              <w:t>)</w:t>
            </w:r>
          </w:p>
        </w:tc>
        <w:tc>
          <w:tcPr>
            <w:tcW w:w="1014" w:type="dxa"/>
            <w:tcBorders>
              <w:top w:val="single" w:sz="12" w:space="0" w:color="auto"/>
              <w:bottom w:val="single" w:sz="12" w:space="0" w:color="auto"/>
            </w:tcBorders>
            <w:vAlign w:val="center"/>
          </w:tcPr>
          <w:p w14:paraId="135FF86B"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 xml:space="preserve">Kruskal Wallis Test </w:t>
            </w:r>
          </w:p>
          <w:p w14:paraId="63C9CDE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Statistic</w:t>
            </w:r>
          </w:p>
          <w:p w14:paraId="4FECF720"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(p-value)</w:t>
            </w:r>
          </w:p>
        </w:tc>
        <w:tc>
          <w:tcPr>
            <w:tcW w:w="1004" w:type="dxa"/>
            <w:tcBorders>
              <w:top w:val="single" w:sz="12" w:space="0" w:color="auto"/>
              <w:bottom w:val="single" w:sz="12" w:space="0" w:color="auto"/>
            </w:tcBorders>
            <w:vAlign w:val="center"/>
          </w:tcPr>
          <w:p w14:paraId="50D16928" w14:textId="1599FE99" w:rsidR="00160EDF" w:rsidRPr="00476140" w:rsidRDefault="00160EDF" w:rsidP="00B0092F">
            <w:pPr>
              <w:jc w:val="center"/>
              <w:rPr>
                <w:rFonts w:ascii="Times New Roman" w:hAnsi="Times New Roman" w:cs="Times New Roman"/>
                <w:sz w:val="20"/>
                <w:szCs w:val="20"/>
              </w:rPr>
            </w:pPr>
            <w:r w:rsidRPr="00476140">
              <w:rPr>
                <w:rFonts w:ascii="Times New Roman" w:hAnsi="Times New Roman" w:cs="Times New Roman"/>
                <w:sz w:val="20"/>
                <w:szCs w:val="20"/>
              </w:rPr>
              <w:t>Clusters</w:t>
            </w:r>
          </w:p>
          <w:p w14:paraId="0CBBF7E7" w14:textId="77777777" w:rsidR="00160EDF" w:rsidRPr="00476140" w:rsidRDefault="00160EDF" w:rsidP="00B0092F">
            <w:pPr>
              <w:jc w:val="center"/>
              <w:rPr>
                <w:rFonts w:ascii="Times New Roman" w:hAnsi="Times New Roman" w:cs="Times New Roman"/>
                <w:sz w:val="20"/>
                <w:szCs w:val="20"/>
              </w:rPr>
            </w:pPr>
            <w:r w:rsidRPr="00476140">
              <w:rPr>
                <w:rFonts w:ascii="Times New Roman" w:hAnsi="Times New Roman" w:cs="Times New Roman"/>
                <w:sz w:val="20"/>
                <w:szCs w:val="20"/>
              </w:rPr>
              <w:t>1 &amp; 2</w:t>
            </w:r>
          </w:p>
          <w:p w14:paraId="222220A0" w14:textId="4FC8FC30" w:rsidR="00160EDF" w:rsidRPr="00476140" w:rsidRDefault="00160EDF" w:rsidP="00B0092F">
            <w:pPr>
              <w:jc w:val="center"/>
              <w:rPr>
                <w:rFonts w:ascii="Times New Roman" w:hAnsi="Times New Roman" w:cs="Times New Roman"/>
                <w:sz w:val="20"/>
                <w:szCs w:val="20"/>
              </w:rPr>
            </w:pPr>
            <w:r w:rsidRPr="00476140">
              <w:rPr>
                <w:rFonts w:ascii="Times New Roman" w:hAnsi="Times New Roman" w:cs="Times New Roman"/>
                <w:sz w:val="20"/>
                <w:szCs w:val="20"/>
              </w:rPr>
              <w:t>Dunn’s</w:t>
            </w:r>
          </w:p>
          <w:p w14:paraId="124A6D73" w14:textId="77777777" w:rsidR="00160EDF" w:rsidRPr="00476140" w:rsidRDefault="00160EDF" w:rsidP="00B0092F">
            <w:pPr>
              <w:jc w:val="center"/>
              <w:rPr>
                <w:rFonts w:ascii="Times New Roman" w:hAnsi="Times New Roman" w:cs="Times New Roman"/>
                <w:sz w:val="20"/>
                <w:szCs w:val="20"/>
              </w:rPr>
            </w:pPr>
            <w:r w:rsidRPr="00476140">
              <w:rPr>
                <w:rFonts w:ascii="Times New Roman" w:hAnsi="Times New Roman" w:cs="Times New Roman"/>
                <w:sz w:val="20"/>
                <w:szCs w:val="20"/>
              </w:rPr>
              <w:t>Test Statistic</w:t>
            </w:r>
            <w:r w:rsidRPr="00476140">
              <w:rPr>
                <w:rFonts w:ascii="Times New Roman" w:hAnsi="Times New Roman" w:cs="Times New Roman"/>
                <w:sz w:val="20"/>
                <w:szCs w:val="20"/>
                <w:vertAlign w:val="superscript"/>
              </w:rPr>
              <w:t>2</w:t>
            </w:r>
          </w:p>
          <w:p w14:paraId="4C5587A7" w14:textId="77777777" w:rsidR="00160EDF" w:rsidRPr="00476140" w:rsidRDefault="00160EDF" w:rsidP="00B0092F">
            <w:pPr>
              <w:jc w:val="center"/>
              <w:rPr>
                <w:rFonts w:ascii="Times New Roman" w:hAnsi="Times New Roman" w:cs="Times New Roman"/>
                <w:sz w:val="20"/>
                <w:szCs w:val="20"/>
              </w:rPr>
            </w:pPr>
            <w:r w:rsidRPr="00476140">
              <w:rPr>
                <w:rFonts w:ascii="Times New Roman" w:hAnsi="Times New Roman" w:cs="Times New Roman"/>
                <w:sz w:val="20"/>
                <w:szCs w:val="20"/>
              </w:rPr>
              <w:t>(p-value)</w:t>
            </w:r>
          </w:p>
        </w:tc>
        <w:tc>
          <w:tcPr>
            <w:tcW w:w="1080" w:type="dxa"/>
            <w:tcBorders>
              <w:top w:val="single" w:sz="12" w:space="0" w:color="auto"/>
              <w:bottom w:val="single" w:sz="12" w:space="0" w:color="auto"/>
            </w:tcBorders>
            <w:vAlign w:val="center"/>
          </w:tcPr>
          <w:p w14:paraId="0841F853"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Clusters</w:t>
            </w:r>
          </w:p>
          <w:p w14:paraId="65E035C8" w14:textId="77777777" w:rsidR="00160EDF" w:rsidRPr="00476140" w:rsidRDefault="00160EDF" w:rsidP="00D906FC">
            <w:pPr>
              <w:jc w:val="center"/>
              <w:rPr>
                <w:rFonts w:ascii="Times New Roman" w:hAnsi="Times New Roman" w:cs="Times New Roman"/>
                <w:sz w:val="20"/>
                <w:szCs w:val="20"/>
                <w:vertAlign w:val="superscript"/>
              </w:rPr>
            </w:pPr>
            <w:r w:rsidRPr="00476140">
              <w:rPr>
                <w:rFonts w:ascii="Times New Roman" w:hAnsi="Times New Roman" w:cs="Times New Roman"/>
                <w:sz w:val="20"/>
                <w:szCs w:val="20"/>
              </w:rPr>
              <w:t>1 &amp; 3</w:t>
            </w:r>
            <w:r w:rsidRPr="00476140">
              <w:rPr>
                <w:rFonts w:ascii="Times New Roman" w:hAnsi="Times New Roman" w:cs="Times New Roman"/>
                <w:sz w:val="20"/>
                <w:szCs w:val="20"/>
                <w:vertAlign w:val="superscript"/>
              </w:rPr>
              <w:t xml:space="preserve"> </w:t>
            </w:r>
          </w:p>
          <w:p w14:paraId="657C2B3F"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Dunn’s Test Statistic</w:t>
            </w:r>
            <w:r w:rsidRPr="00476140">
              <w:rPr>
                <w:rFonts w:ascii="Times New Roman" w:hAnsi="Times New Roman" w:cs="Times New Roman"/>
                <w:sz w:val="20"/>
                <w:szCs w:val="20"/>
                <w:vertAlign w:val="superscript"/>
              </w:rPr>
              <w:t>2</w:t>
            </w:r>
          </w:p>
          <w:p w14:paraId="6793F7CF"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(p-value)</w:t>
            </w:r>
          </w:p>
        </w:tc>
        <w:tc>
          <w:tcPr>
            <w:tcW w:w="1080" w:type="dxa"/>
            <w:tcBorders>
              <w:top w:val="single" w:sz="12" w:space="0" w:color="auto"/>
              <w:bottom w:val="single" w:sz="12" w:space="0" w:color="auto"/>
            </w:tcBorders>
            <w:vAlign w:val="center"/>
          </w:tcPr>
          <w:p w14:paraId="3296BDE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Clusters</w:t>
            </w:r>
          </w:p>
          <w:p w14:paraId="5C01255B"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 xml:space="preserve">1 &amp; 4 </w:t>
            </w:r>
          </w:p>
          <w:p w14:paraId="3303025B"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Dunn’s Test Statistic</w:t>
            </w:r>
            <w:r w:rsidRPr="00476140">
              <w:rPr>
                <w:rFonts w:ascii="Times New Roman" w:hAnsi="Times New Roman" w:cs="Times New Roman"/>
                <w:sz w:val="20"/>
                <w:szCs w:val="20"/>
                <w:vertAlign w:val="superscript"/>
              </w:rPr>
              <w:t>2</w:t>
            </w:r>
          </w:p>
          <w:p w14:paraId="157E1EEC"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(p-value)</w:t>
            </w:r>
          </w:p>
        </w:tc>
        <w:tc>
          <w:tcPr>
            <w:tcW w:w="990" w:type="dxa"/>
            <w:tcBorders>
              <w:top w:val="single" w:sz="12" w:space="0" w:color="auto"/>
              <w:bottom w:val="single" w:sz="12" w:space="0" w:color="auto"/>
            </w:tcBorders>
            <w:vAlign w:val="center"/>
          </w:tcPr>
          <w:p w14:paraId="2275109D"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Clusters</w:t>
            </w:r>
          </w:p>
          <w:p w14:paraId="000B1874"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 xml:space="preserve">2 &amp; 3 </w:t>
            </w:r>
          </w:p>
          <w:p w14:paraId="44B5BD35"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Dunn’s Test Statistic</w:t>
            </w:r>
            <w:r w:rsidRPr="00476140">
              <w:rPr>
                <w:rFonts w:ascii="Times New Roman" w:hAnsi="Times New Roman" w:cs="Times New Roman"/>
                <w:sz w:val="20"/>
                <w:szCs w:val="20"/>
                <w:vertAlign w:val="superscript"/>
              </w:rPr>
              <w:t>2</w:t>
            </w:r>
          </w:p>
          <w:p w14:paraId="0B287466"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(p-value)</w:t>
            </w:r>
          </w:p>
        </w:tc>
        <w:tc>
          <w:tcPr>
            <w:tcW w:w="1080" w:type="dxa"/>
            <w:tcBorders>
              <w:top w:val="single" w:sz="12" w:space="0" w:color="auto"/>
              <w:bottom w:val="single" w:sz="12" w:space="0" w:color="auto"/>
            </w:tcBorders>
            <w:vAlign w:val="center"/>
          </w:tcPr>
          <w:p w14:paraId="2A061B83"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Clusters</w:t>
            </w:r>
          </w:p>
          <w:p w14:paraId="475A3BB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 xml:space="preserve">2 &amp; 4 </w:t>
            </w:r>
          </w:p>
          <w:p w14:paraId="6BB2C8FA"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Dunn’s Test Statistic</w:t>
            </w:r>
            <w:r w:rsidRPr="00476140">
              <w:rPr>
                <w:rFonts w:ascii="Times New Roman" w:hAnsi="Times New Roman" w:cs="Times New Roman"/>
                <w:sz w:val="20"/>
                <w:szCs w:val="20"/>
                <w:vertAlign w:val="superscript"/>
              </w:rPr>
              <w:t>2</w:t>
            </w:r>
          </w:p>
          <w:p w14:paraId="44D520AC"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(p-value)</w:t>
            </w:r>
          </w:p>
        </w:tc>
        <w:tc>
          <w:tcPr>
            <w:tcW w:w="1170" w:type="dxa"/>
            <w:tcBorders>
              <w:top w:val="single" w:sz="12" w:space="0" w:color="auto"/>
              <w:bottom w:val="single" w:sz="12" w:space="0" w:color="auto"/>
            </w:tcBorders>
            <w:vAlign w:val="center"/>
          </w:tcPr>
          <w:p w14:paraId="3F533815"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Clusters</w:t>
            </w:r>
          </w:p>
          <w:p w14:paraId="769B500C"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 xml:space="preserve">3 &amp; 4 </w:t>
            </w:r>
          </w:p>
          <w:p w14:paraId="3F5AD512"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Dunn’s Test Statistic</w:t>
            </w:r>
            <w:r w:rsidRPr="00476140">
              <w:rPr>
                <w:rFonts w:ascii="Times New Roman" w:hAnsi="Times New Roman" w:cs="Times New Roman"/>
                <w:sz w:val="20"/>
                <w:szCs w:val="20"/>
                <w:vertAlign w:val="superscript"/>
              </w:rPr>
              <w:t>2</w:t>
            </w:r>
          </w:p>
          <w:p w14:paraId="1AACDEFF"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(p-value)</w:t>
            </w:r>
          </w:p>
        </w:tc>
      </w:tr>
      <w:tr w:rsidR="00160EDF" w:rsidRPr="00476140" w14:paraId="0803168C" w14:textId="77777777" w:rsidTr="00100B41">
        <w:trPr>
          <w:trHeight w:val="877"/>
        </w:trPr>
        <w:tc>
          <w:tcPr>
            <w:tcW w:w="1847" w:type="dxa"/>
            <w:tcBorders>
              <w:top w:val="single" w:sz="12" w:space="0" w:color="auto"/>
            </w:tcBorders>
            <w:vAlign w:val="center"/>
          </w:tcPr>
          <w:p w14:paraId="3E6B2007" w14:textId="77777777" w:rsidR="00160EDF" w:rsidRPr="00476140" w:rsidRDefault="00160EDF" w:rsidP="00D906FC">
            <w:pPr>
              <w:rPr>
                <w:rFonts w:ascii="Times New Roman" w:hAnsi="Times New Roman" w:cs="Times New Roman"/>
                <w:sz w:val="20"/>
                <w:szCs w:val="20"/>
              </w:rPr>
            </w:pPr>
            <w:r w:rsidRPr="00476140">
              <w:rPr>
                <w:rFonts w:ascii="Times New Roman" w:eastAsia="Times New Roman" w:hAnsi="Times New Roman" w:cs="Times New Roman"/>
                <w:color w:val="000000"/>
                <w:sz w:val="20"/>
                <w:szCs w:val="20"/>
              </w:rPr>
              <w:t>Lung Cancer</w:t>
            </w:r>
          </w:p>
        </w:tc>
        <w:tc>
          <w:tcPr>
            <w:tcW w:w="1014" w:type="dxa"/>
            <w:tcBorders>
              <w:top w:val="single" w:sz="12" w:space="0" w:color="auto"/>
            </w:tcBorders>
            <w:vAlign w:val="center"/>
          </w:tcPr>
          <w:p w14:paraId="2EB87FA4"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1.8</w:t>
            </w:r>
          </w:p>
          <w:p w14:paraId="77057AE9"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(1.4, 2.1)</w:t>
            </w:r>
          </w:p>
        </w:tc>
        <w:tc>
          <w:tcPr>
            <w:tcW w:w="1013" w:type="dxa"/>
            <w:tcBorders>
              <w:top w:val="single" w:sz="12" w:space="0" w:color="auto"/>
            </w:tcBorders>
            <w:vAlign w:val="center"/>
          </w:tcPr>
          <w:p w14:paraId="28492FA9"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2.3</w:t>
            </w:r>
          </w:p>
          <w:p w14:paraId="1AB63958"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(1.5, 4.1)</w:t>
            </w:r>
          </w:p>
        </w:tc>
        <w:tc>
          <w:tcPr>
            <w:tcW w:w="1014" w:type="dxa"/>
            <w:tcBorders>
              <w:top w:val="single" w:sz="12" w:space="0" w:color="auto"/>
            </w:tcBorders>
            <w:vAlign w:val="center"/>
          </w:tcPr>
          <w:p w14:paraId="5BC29B5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3.1</w:t>
            </w:r>
          </w:p>
          <w:p w14:paraId="53CF3A0B"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(1.8, 4.7)</w:t>
            </w:r>
          </w:p>
        </w:tc>
        <w:tc>
          <w:tcPr>
            <w:tcW w:w="1014" w:type="dxa"/>
            <w:tcBorders>
              <w:top w:val="single" w:sz="12" w:space="0" w:color="auto"/>
            </w:tcBorders>
            <w:vAlign w:val="center"/>
          </w:tcPr>
          <w:p w14:paraId="4FF28A1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1.3</w:t>
            </w:r>
          </w:p>
          <w:p w14:paraId="26A97DBD"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(0.7, 2.2)</w:t>
            </w:r>
          </w:p>
        </w:tc>
        <w:tc>
          <w:tcPr>
            <w:tcW w:w="1014" w:type="dxa"/>
            <w:tcBorders>
              <w:top w:val="single" w:sz="12" w:space="0" w:color="auto"/>
            </w:tcBorders>
            <w:vAlign w:val="center"/>
          </w:tcPr>
          <w:p w14:paraId="4F497129"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8.3</w:t>
            </w:r>
          </w:p>
          <w:p w14:paraId="4F86FFE5"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(0.0396)</w:t>
            </w:r>
          </w:p>
        </w:tc>
        <w:tc>
          <w:tcPr>
            <w:tcW w:w="1004" w:type="dxa"/>
            <w:tcBorders>
              <w:top w:val="single" w:sz="12" w:space="0" w:color="auto"/>
            </w:tcBorders>
            <w:vAlign w:val="center"/>
          </w:tcPr>
          <w:p w14:paraId="0913D168"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1.45</w:t>
            </w:r>
          </w:p>
          <w:p w14:paraId="585534C2"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(0.8721)</w:t>
            </w:r>
          </w:p>
        </w:tc>
        <w:tc>
          <w:tcPr>
            <w:tcW w:w="1080" w:type="dxa"/>
            <w:tcBorders>
              <w:top w:val="single" w:sz="12" w:space="0" w:color="auto"/>
            </w:tcBorders>
            <w:vAlign w:val="center"/>
          </w:tcPr>
          <w:p w14:paraId="57D5D63C"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1.91</w:t>
            </w:r>
          </w:p>
          <w:p w14:paraId="41889AE2"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(0.3405)</w:t>
            </w:r>
          </w:p>
        </w:tc>
        <w:tc>
          <w:tcPr>
            <w:tcW w:w="1080" w:type="dxa"/>
            <w:tcBorders>
              <w:top w:val="single" w:sz="12" w:space="0" w:color="auto"/>
            </w:tcBorders>
            <w:vAlign w:val="center"/>
          </w:tcPr>
          <w:p w14:paraId="30AA96D6"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-0.59</w:t>
            </w:r>
          </w:p>
          <w:p w14:paraId="1B695534"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(1.000)</w:t>
            </w:r>
          </w:p>
        </w:tc>
        <w:tc>
          <w:tcPr>
            <w:tcW w:w="990" w:type="dxa"/>
            <w:tcBorders>
              <w:top w:val="single" w:sz="12" w:space="0" w:color="auto"/>
            </w:tcBorders>
            <w:vAlign w:val="center"/>
          </w:tcPr>
          <w:p w14:paraId="32F66DFA"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0.45</w:t>
            </w:r>
          </w:p>
          <w:p w14:paraId="32E5F19A"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(1.000)</w:t>
            </w:r>
          </w:p>
        </w:tc>
        <w:tc>
          <w:tcPr>
            <w:tcW w:w="1080" w:type="dxa"/>
            <w:tcBorders>
              <w:top w:val="single" w:sz="12" w:space="0" w:color="auto"/>
            </w:tcBorders>
            <w:vAlign w:val="center"/>
          </w:tcPr>
          <w:p w14:paraId="3A727C5C"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-2.04</w:t>
            </w:r>
          </w:p>
          <w:p w14:paraId="55199FF9"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(0.2473)</w:t>
            </w:r>
          </w:p>
        </w:tc>
        <w:tc>
          <w:tcPr>
            <w:tcW w:w="1170" w:type="dxa"/>
            <w:tcBorders>
              <w:top w:val="single" w:sz="12" w:space="0" w:color="auto"/>
            </w:tcBorders>
            <w:vAlign w:val="center"/>
          </w:tcPr>
          <w:p w14:paraId="531B0965"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-2.49</w:t>
            </w:r>
          </w:p>
          <w:p w14:paraId="4F443DC9"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(0.0765)</w:t>
            </w:r>
          </w:p>
        </w:tc>
      </w:tr>
      <w:tr w:rsidR="00160EDF" w:rsidRPr="00476140" w14:paraId="66FC321A" w14:textId="77777777" w:rsidTr="00100B41">
        <w:trPr>
          <w:trHeight w:val="877"/>
        </w:trPr>
        <w:tc>
          <w:tcPr>
            <w:tcW w:w="1847" w:type="dxa"/>
            <w:vAlign w:val="center"/>
          </w:tcPr>
          <w:p w14:paraId="7984BA1E" w14:textId="77777777" w:rsidR="00160EDF" w:rsidRPr="00476140" w:rsidRDefault="00160EDF" w:rsidP="00D906FC">
            <w:pPr>
              <w:rPr>
                <w:rFonts w:ascii="Times New Roman" w:hAnsi="Times New Roman" w:cs="Times New Roman"/>
                <w:sz w:val="20"/>
                <w:szCs w:val="20"/>
                <w:vertAlign w:val="superscript"/>
              </w:rPr>
            </w:pPr>
            <w:r w:rsidRPr="00476140">
              <w:rPr>
                <w:rFonts w:ascii="Times New Roman" w:hAnsi="Times New Roman" w:cs="Times New Roman"/>
                <w:sz w:val="20"/>
                <w:szCs w:val="20"/>
              </w:rPr>
              <w:t>Myocardial Infarction</w:t>
            </w:r>
          </w:p>
        </w:tc>
        <w:tc>
          <w:tcPr>
            <w:tcW w:w="1014" w:type="dxa"/>
            <w:vAlign w:val="center"/>
          </w:tcPr>
          <w:p w14:paraId="73E5191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5.3</w:t>
            </w:r>
          </w:p>
          <w:p w14:paraId="3701766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(3.4, 7.5)</w:t>
            </w:r>
          </w:p>
        </w:tc>
        <w:tc>
          <w:tcPr>
            <w:tcW w:w="1013" w:type="dxa"/>
            <w:vAlign w:val="center"/>
          </w:tcPr>
          <w:p w14:paraId="4E292E68"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18.8</w:t>
            </w:r>
          </w:p>
          <w:p w14:paraId="1CE61A75"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(9.8, 32.7)</w:t>
            </w:r>
          </w:p>
        </w:tc>
        <w:tc>
          <w:tcPr>
            <w:tcW w:w="1014" w:type="dxa"/>
            <w:vAlign w:val="center"/>
          </w:tcPr>
          <w:p w14:paraId="4291C9B4"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42.1</w:t>
            </w:r>
          </w:p>
          <w:p w14:paraId="6DF3D801"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(12.5, 68.9)</w:t>
            </w:r>
          </w:p>
        </w:tc>
        <w:tc>
          <w:tcPr>
            <w:tcW w:w="1014" w:type="dxa"/>
            <w:vAlign w:val="center"/>
          </w:tcPr>
          <w:p w14:paraId="3EB2817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56.0</w:t>
            </w:r>
          </w:p>
          <w:p w14:paraId="611EA499"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(34.8, 80.3)</w:t>
            </w:r>
          </w:p>
        </w:tc>
        <w:tc>
          <w:tcPr>
            <w:tcW w:w="1014" w:type="dxa"/>
            <w:vAlign w:val="center"/>
          </w:tcPr>
          <w:p w14:paraId="6F9D7C03"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38.1</w:t>
            </w:r>
          </w:p>
          <w:p w14:paraId="07AB77A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(&lt;0.0001)</w:t>
            </w:r>
          </w:p>
        </w:tc>
        <w:tc>
          <w:tcPr>
            <w:tcW w:w="1004" w:type="dxa"/>
            <w:vAlign w:val="center"/>
          </w:tcPr>
          <w:p w14:paraId="5819FF2F"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2.92</w:t>
            </w:r>
          </w:p>
          <w:p w14:paraId="785F8CC8"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(0.0211)</w:t>
            </w:r>
          </w:p>
        </w:tc>
        <w:tc>
          <w:tcPr>
            <w:tcW w:w="1080" w:type="dxa"/>
            <w:vAlign w:val="center"/>
          </w:tcPr>
          <w:p w14:paraId="04A8C54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4.31</w:t>
            </w:r>
          </w:p>
          <w:p w14:paraId="59A4E891"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(&lt;0.0001)</w:t>
            </w:r>
          </w:p>
        </w:tc>
        <w:tc>
          <w:tcPr>
            <w:tcW w:w="1080" w:type="dxa"/>
            <w:vAlign w:val="center"/>
          </w:tcPr>
          <w:p w14:paraId="267AF039"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5.95</w:t>
            </w:r>
          </w:p>
          <w:p w14:paraId="555E839C"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(&lt;0.0001)</w:t>
            </w:r>
          </w:p>
        </w:tc>
        <w:tc>
          <w:tcPr>
            <w:tcW w:w="990" w:type="dxa"/>
            <w:vAlign w:val="center"/>
          </w:tcPr>
          <w:p w14:paraId="25EBEDC3"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1.39</w:t>
            </w:r>
          </w:p>
          <w:p w14:paraId="670D0F81"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(0.9907)</w:t>
            </w:r>
          </w:p>
        </w:tc>
        <w:tc>
          <w:tcPr>
            <w:tcW w:w="1080" w:type="dxa"/>
            <w:vAlign w:val="center"/>
          </w:tcPr>
          <w:p w14:paraId="7B18B482"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3.03</w:t>
            </w:r>
          </w:p>
          <w:p w14:paraId="7DD1C799"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(0.0148)</w:t>
            </w:r>
          </w:p>
        </w:tc>
        <w:tc>
          <w:tcPr>
            <w:tcW w:w="1170" w:type="dxa"/>
            <w:vAlign w:val="center"/>
          </w:tcPr>
          <w:p w14:paraId="73E339D5"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1.64</w:t>
            </w:r>
          </w:p>
          <w:p w14:paraId="6F2E86F4"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(0.6063)</w:t>
            </w:r>
          </w:p>
        </w:tc>
      </w:tr>
      <w:tr w:rsidR="00160EDF" w:rsidRPr="00476140" w14:paraId="5152EF14" w14:textId="77777777" w:rsidTr="00100B41">
        <w:trPr>
          <w:trHeight w:val="897"/>
        </w:trPr>
        <w:tc>
          <w:tcPr>
            <w:tcW w:w="1847" w:type="dxa"/>
            <w:vAlign w:val="center"/>
          </w:tcPr>
          <w:p w14:paraId="741B0C33" w14:textId="77777777" w:rsidR="00160EDF" w:rsidRPr="00476140" w:rsidRDefault="00160EDF" w:rsidP="00D906FC">
            <w:pPr>
              <w:rPr>
                <w:rFonts w:ascii="Times New Roman" w:hAnsi="Times New Roman" w:cs="Times New Roman"/>
                <w:sz w:val="20"/>
                <w:szCs w:val="20"/>
                <w:vertAlign w:val="superscript"/>
              </w:rPr>
            </w:pPr>
            <w:r w:rsidRPr="00476140">
              <w:rPr>
                <w:rFonts w:ascii="Times New Roman" w:hAnsi="Times New Roman" w:cs="Times New Roman"/>
                <w:sz w:val="20"/>
                <w:szCs w:val="20"/>
              </w:rPr>
              <w:t>Coronary Artery Disease</w:t>
            </w:r>
          </w:p>
        </w:tc>
        <w:tc>
          <w:tcPr>
            <w:tcW w:w="1014" w:type="dxa"/>
            <w:vAlign w:val="center"/>
          </w:tcPr>
          <w:p w14:paraId="4CAFEAED"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6.3</w:t>
            </w:r>
          </w:p>
          <w:p w14:paraId="13D45D3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(3.2, 11.0)</w:t>
            </w:r>
          </w:p>
        </w:tc>
        <w:tc>
          <w:tcPr>
            <w:tcW w:w="1013" w:type="dxa"/>
            <w:vAlign w:val="center"/>
          </w:tcPr>
          <w:p w14:paraId="5509D084"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29.1</w:t>
            </w:r>
          </w:p>
          <w:p w14:paraId="74912C3F"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(10.8, 49.2)</w:t>
            </w:r>
          </w:p>
        </w:tc>
        <w:tc>
          <w:tcPr>
            <w:tcW w:w="1014" w:type="dxa"/>
            <w:vAlign w:val="center"/>
          </w:tcPr>
          <w:p w14:paraId="005B53F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53.2</w:t>
            </w:r>
          </w:p>
          <w:p w14:paraId="4AB1E85A"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(16.8, 84.3)</w:t>
            </w:r>
          </w:p>
        </w:tc>
        <w:tc>
          <w:tcPr>
            <w:tcW w:w="1014" w:type="dxa"/>
            <w:vAlign w:val="center"/>
          </w:tcPr>
          <w:p w14:paraId="262B9D90"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77.8</w:t>
            </w:r>
          </w:p>
          <w:p w14:paraId="72486F82"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(36.1, 89.6)</w:t>
            </w:r>
          </w:p>
        </w:tc>
        <w:tc>
          <w:tcPr>
            <w:tcW w:w="1014" w:type="dxa"/>
            <w:vAlign w:val="center"/>
          </w:tcPr>
          <w:p w14:paraId="5FEAB208"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37.4</w:t>
            </w:r>
          </w:p>
          <w:p w14:paraId="49BCB4A6"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(&lt;0.0001)</w:t>
            </w:r>
          </w:p>
        </w:tc>
        <w:tc>
          <w:tcPr>
            <w:tcW w:w="1004" w:type="dxa"/>
            <w:vAlign w:val="center"/>
          </w:tcPr>
          <w:p w14:paraId="676B12AD"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2.91</w:t>
            </w:r>
          </w:p>
          <w:p w14:paraId="11B876E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(0.0215)</w:t>
            </w:r>
          </w:p>
        </w:tc>
        <w:tc>
          <w:tcPr>
            <w:tcW w:w="1080" w:type="dxa"/>
            <w:vAlign w:val="center"/>
          </w:tcPr>
          <w:p w14:paraId="6CB63FA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4.50</w:t>
            </w:r>
          </w:p>
          <w:p w14:paraId="26B4CB4D"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(&lt;0.0001)</w:t>
            </w:r>
          </w:p>
        </w:tc>
        <w:tc>
          <w:tcPr>
            <w:tcW w:w="1080" w:type="dxa"/>
            <w:vAlign w:val="center"/>
          </w:tcPr>
          <w:p w14:paraId="00E8168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5.79</w:t>
            </w:r>
          </w:p>
          <w:p w14:paraId="62B4EC71"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(&lt;0.0001)</w:t>
            </w:r>
          </w:p>
        </w:tc>
        <w:tc>
          <w:tcPr>
            <w:tcW w:w="990" w:type="dxa"/>
            <w:vAlign w:val="center"/>
          </w:tcPr>
          <w:p w14:paraId="51DF9C1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1.59</w:t>
            </w:r>
          </w:p>
          <w:p w14:paraId="0A7513E0"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(0.6773)</w:t>
            </w:r>
          </w:p>
        </w:tc>
        <w:tc>
          <w:tcPr>
            <w:tcW w:w="1080" w:type="dxa"/>
            <w:vAlign w:val="center"/>
          </w:tcPr>
          <w:p w14:paraId="48883E35"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2.88</w:t>
            </w:r>
          </w:p>
          <w:p w14:paraId="2DC75C2F"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(0.0240)</w:t>
            </w:r>
          </w:p>
        </w:tc>
        <w:tc>
          <w:tcPr>
            <w:tcW w:w="1170" w:type="dxa"/>
            <w:vAlign w:val="center"/>
          </w:tcPr>
          <w:p w14:paraId="54284440"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1.29</w:t>
            </w:r>
          </w:p>
          <w:p w14:paraId="27CF288A"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(1.000)</w:t>
            </w:r>
          </w:p>
        </w:tc>
      </w:tr>
      <w:tr w:rsidR="00160EDF" w:rsidRPr="00476140" w14:paraId="139C3B9F" w14:textId="77777777" w:rsidTr="00100B41">
        <w:trPr>
          <w:trHeight w:val="730"/>
        </w:trPr>
        <w:tc>
          <w:tcPr>
            <w:tcW w:w="1847" w:type="dxa"/>
            <w:vAlign w:val="center"/>
          </w:tcPr>
          <w:p w14:paraId="75AAADE6" w14:textId="77777777" w:rsidR="00160EDF" w:rsidRPr="00476140" w:rsidRDefault="00160EDF" w:rsidP="00D906FC">
            <w:pPr>
              <w:rPr>
                <w:rFonts w:ascii="Times New Roman" w:eastAsia="Times New Roman" w:hAnsi="Times New Roman" w:cs="Times New Roman"/>
                <w:color w:val="000000"/>
                <w:sz w:val="20"/>
                <w:szCs w:val="20"/>
                <w:vertAlign w:val="superscript"/>
              </w:rPr>
            </w:pPr>
            <w:r w:rsidRPr="00476140">
              <w:rPr>
                <w:rFonts w:ascii="Times New Roman" w:eastAsia="Times New Roman" w:hAnsi="Times New Roman" w:cs="Times New Roman"/>
                <w:color w:val="000000"/>
                <w:sz w:val="20"/>
                <w:szCs w:val="20"/>
              </w:rPr>
              <w:t>Hypertension</w:t>
            </w:r>
          </w:p>
        </w:tc>
        <w:tc>
          <w:tcPr>
            <w:tcW w:w="1014" w:type="dxa"/>
            <w:vAlign w:val="center"/>
          </w:tcPr>
          <w:p w14:paraId="2FDE5661"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31.0</w:t>
            </w:r>
          </w:p>
          <w:p w14:paraId="7FA48A98"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(20.2, 35.3)</w:t>
            </w:r>
          </w:p>
        </w:tc>
        <w:tc>
          <w:tcPr>
            <w:tcW w:w="1013" w:type="dxa"/>
            <w:vAlign w:val="center"/>
          </w:tcPr>
          <w:p w14:paraId="6665F4BC"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66.8</w:t>
            </w:r>
          </w:p>
          <w:p w14:paraId="706AB286"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(41.9, 76.0)</w:t>
            </w:r>
          </w:p>
        </w:tc>
        <w:tc>
          <w:tcPr>
            <w:tcW w:w="1014" w:type="dxa"/>
            <w:vAlign w:val="center"/>
          </w:tcPr>
          <w:p w14:paraId="484FC3E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55.9</w:t>
            </w:r>
          </w:p>
          <w:p w14:paraId="371B4D42"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(34.6, 81.2)</w:t>
            </w:r>
          </w:p>
        </w:tc>
        <w:tc>
          <w:tcPr>
            <w:tcW w:w="1014" w:type="dxa"/>
            <w:vAlign w:val="center"/>
          </w:tcPr>
          <w:p w14:paraId="2D6FBCBD"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80.1</w:t>
            </w:r>
          </w:p>
          <w:p w14:paraId="32A85762"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(65.4, 93.6)</w:t>
            </w:r>
          </w:p>
        </w:tc>
        <w:tc>
          <w:tcPr>
            <w:tcW w:w="1014" w:type="dxa"/>
            <w:vAlign w:val="center"/>
          </w:tcPr>
          <w:p w14:paraId="7F2D1155"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35.3</w:t>
            </w:r>
          </w:p>
          <w:p w14:paraId="7EFED5B2"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(&lt;0.0001)</w:t>
            </w:r>
          </w:p>
        </w:tc>
        <w:tc>
          <w:tcPr>
            <w:tcW w:w="1004" w:type="dxa"/>
            <w:vAlign w:val="center"/>
          </w:tcPr>
          <w:p w14:paraId="11591C8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3.82</w:t>
            </w:r>
          </w:p>
          <w:p w14:paraId="22A9360D"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(0.0008)</w:t>
            </w:r>
          </w:p>
        </w:tc>
        <w:tc>
          <w:tcPr>
            <w:tcW w:w="1080" w:type="dxa"/>
            <w:vAlign w:val="center"/>
          </w:tcPr>
          <w:p w14:paraId="508B489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3.64</w:t>
            </w:r>
          </w:p>
          <w:p w14:paraId="0A6DC293"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(0.0016)</w:t>
            </w:r>
          </w:p>
        </w:tc>
        <w:tc>
          <w:tcPr>
            <w:tcW w:w="1080" w:type="dxa"/>
            <w:vAlign w:val="center"/>
          </w:tcPr>
          <w:p w14:paraId="2FCE2778"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5.82</w:t>
            </w:r>
          </w:p>
          <w:p w14:paraId="12CCE490"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(&lt;0.0001)</w:t>
            </w:r>
          </w:p>
        </w:tc>
        <w:tc>
          <w:tcPr>
            <w:tcW w:w="990" w:type="dxa"/>
            <w:vAlign w:val="center"/>
          </w:tcPr>
          <w:p w14:paraId="5969241B"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-0.17</w:t>
            </w:r>
          </w:p>
          <w:p w14:paraId="319AF7B3"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(1.000)</w:t>
            </w:r>
          </w:p>
        </w:tc>
        <w:tc>
          <w:tcPr>
            <w:tcW w:w="1080" w:type="dxa"/>
            <w:vAlign w:val="center"/>
          </w:tcPr>
          <w:p w14:paraId="211D6A5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2.00</w:t>
            </w:r>
          </w:p>
          <w:p w14:paraId="00855D0F"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(0.2705)</w:t>
            </w:r>
          </w:p>
        </w:tc>
        <w:tc>
          <w:tcPr>
            <w:tcW w:w="1170" w:type="dxa"/>
            <w:vAlign w:val="center"/>
          </w:tcPr>
          <w:p w14:paraId="174FA693"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2.18</w:t>
            </w:r>
          </w:p>
          <w:p w14:paraId="65B609A0"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(0.1767)</w:t>
            </w:r>
          </w:p>
        </w:tc>
      </w:tr>
      <w:tr w:rsidR="00160EDF" w:rsidRPr="00476140" w14:paraId="61895003" w14:textId="77777777" w:rsidTr="00100B41">
        <w:trPr>
          <w:trHeight w:val="770"/>
        </w:trPr>
        <w:tc>
          <w:tcPr>
            <w:tcW w:w="1847" w:type="dxa"/>
            <w:vAlign w:val="center"/>
          </w:tcPr>
          <w:p w14:paraId="6BA8018D" w14:textId="77777777" w:rsidR="00160EDF" w:rsidRPr="00476140" w:rsidRDefault="00160EDF" w:rsidP="00D906FC">
            <w:pPr>
              <w:rPr>
                <w:rFonts w:ascii="Times New Roman" w:hAnsi="Times New Roman" w:cs="Times New Roman"/>
                <w:sz w:val="20"/>
                <w:szCs w:val="20"/>
                <w:vertAlign w:val="superscript"/>
              </w:rPr>
            </w:pPr>
            <w:r w:rsidRPr="00476140">
              <w:rPr>
                <w:rFonts w:ascii="Times New Roman" w:eastAsia="Times New Roman" w:hAnsi="Times New Roman" w:cs="Times New Roman"/>
                <w:color w:val="000000"/>
                <w:sz w:val="20"/>
                <w:szCs w:val="20"/>
              </w:rPr>
              <w:t>Stroke</w:t>
            </w:r>
          </w:p>
        </w:tc>
        <w:tc>
          <w:tcPr>
            <w:tcW w:w="1014" w:type="dxa"/>
            <w:vAlign w:val="center"/>
          </w:tcPr>
          <w:p w14:paraId="2750604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4.9</w:t>
            </w:r>
          </w:p>
          <w:p w14:paraId="518B6155"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(3.5, 5.9)</w:t>
            </w:r>
          </w:p>
        </w:tc>
        <w:tc>
          <w:tcPr>
            <w:tcW w:w="1013" w:type="dxa"/>
            <w:vAlign w:val="center"/>
          </w:tcPr>
          <w:p w14:paraId="6B21E14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9.7</w:t>
            </w:r>
          </w:p>
          <w:p w14:paraId="0DCC541C"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(5.4, 12.2)</w:t>
            </w:r>
          </w:p>
        </w:tc>
        <w:tc>
          <w:tcPr>
            <w:tcW w:w="1014" w:type="dxa"/>
            <w:vAlign w:val="center"/>
          </w:tcPr>
          <w:p w14:paraId="72C37EA0"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18.3</w:t>
            </w:r>
          </w:p>
          <w:p w14:paraId="50DDB2C4"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(7.2, 40.3)</w:t>
            </w:r>
          </w:p>
        </w:tc>
        <w:tc>
          <w:tcPr>
            <w:tcW w:w="1014" w:type="dxa"/>
            <w:vAlign w:val="center"/>
          </w:tcPr>
          <w:p w14:paraId="641FDFB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31.1</w:t>
            </w:r>
          </w:p>
          <w:p w14:paraId="35D7745C"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(12.8, 70.7)</w:t>
            </w:r>
          </w:p>
        </w:tc>
        <w:tc>
          <w:tcPr>
            <w:tcW w:w="1014" w:type="dxa"/>
            <w:vAlign w:val="center"/>
          </w:tcPr>
          <w:p w14:paraId="2597BC53"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27.6</w:t>
            </w:r>
          </w:p>
          <w:p w14:paraId="492079E5"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(&lt;0.0001)</w:t>
            </w:r>
          </w:p>
        </w:tc>
        <w:tc>
          <w:tcPr>
            <w:tcW w:w="1004" w:type="dxa"/>
            <w:vAlign w:val="center"/>
          </w:tcPr>
          <w:p w14:paraId="7DF11370"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2.25</w:t>
            </w:r>
          </w:p>
          <w:p w14:paraId="2483BA4F"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(0.1458)</w:t>
            </w:r>
          </w:p>
        </w:tc>
        <w:tc>
          <w:tcPr>
            <w:tcW w:w="1080" w:type="dxa"/>
            <w:vAlign w:val="center"/>
          </w:tcPr>
          <w:p w14:paraId="6C8F1DAC"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3.98</w:t>
            </w:r>
          </w:p>
          <w:p w14:paraId="4972396F"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(0.0004)</w:t>
            </w:r>
          </w:p>
        </w:tc>
        <w:tc>
          <w:tcPr>
            <w:tcW w:w="1080" w:type="dxa"/>
            <w:vAlign w:val="center"/>
          </w:tcPr>
          <w:p w14:paraId="3E122B2B"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4.87</w:t>
            </w:r>
          </w:p>
          <w:p w14:paraId="5A0EF446"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(&lt;0.0001)</w:t>
            </w:r>
          </w:p>
        </w:tc>
        <w:tc>
          <w:tcPr>
            <w:tcW w:w="990" w:type="dxa"/>
            <w:vAlign w:val="center"/>
          </w:tcPr>
          <w:p w14:paraId="0ABE119A"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1.73</w:t>
            </w:r>
          </w:p>
          <w:p w14:paraId="38B5F133"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(0.5036)</w:t>
            </w:r>
          </w:p>
        </w:tc>
        <w:tc>
          <w:tcPr>
            <w:tcW w:w="1080" w:type="dxa"/>
            <w:vAlign w:val="center"/>
          </w:tcPr>
          <w:p w14:paraId="36F30A78"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2.62</w:t>
            </w:r>
          </w:p>
          <w:p w14:paraId="24E56860"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(0.0528)</w:t>
            </w:r>
          </w:p>
        </w:tc>
        <w:tc>
          <w:tcPr>
            <w:tcW w:w="1170" w:type="dxa"/>
            <w:vAlign w:val="center"/>
          </w:tcPr>
          <w:p w14:paraId="0FE1E8F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0.89</w:t>
            </w:r>
          </w:p>
          <w:p w14:paraId="68B42200"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(1.000)</w:t>
            </w:r>
          </w:p>
        </w:tc>
      </w:tr>
      <w:tr w:rsidR="00160EDF" w:rsidRPr="00476140" w14:paraId="63CB587E" w14:textId="77777777" w:rsidTr="00100B41">
        <w:trPr>
          <w:trHeight w:val="852"/>
        </w:trPr>
        <w:tc>
          <w:tcPr>
            <w:tcW w:w="1847" w:type="dxa"/>
            <w:vAlign w:val="center"/>
          </w:tcPr>
          <w:p w14:paraId="6BCF6026" w14:textId="77777777" w:rsidR="00160EDF" w:rsidRPr="00476140" w:rsidRDefault="00160EDF" w:rsidP="00D906FC">
            <w:pPr>
              <w:rPr>
                <w:rFonts w:ascii="Times New Roman" w:hAnsi="Times New Roman" w:cs="Times New Roman"/>
                <w:sz w:val="20"/>
                <w:szCs w:val="20"/>
                <w:vertAlign w:val="superscript"/>
              </w:rPr>
            </w:pPr>
            <w:r w:rsidRPr="00476140">
              <w:rPr>
                <w:rFonts w:ascii="Times New Roman" w:eastAsia="Times New Roman" w:hAnsi="Times New Roman" w:cs="Times New Roman"/>
                <w:color w:val="000000"/>
                <w:sz w:val="20"/>
                <w:szCs w:val="20"/>
              </w:rPr>
              <w:t>Kidney Problems</w:t>
            </w:r>
          </w:p>
        </w:tc>
        <w:tc>
          <w:tcPr>
            <w:tcW w:w="1014" w:type="dxa"/>
            <w:vAlign w:val="center"/>
          </w:tcPr>
          <w:p w14:paraId="0DA88293"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10.3</w:t>
            </w:r>
          </w:p>
          <w:p w14:paraId="14A6031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(8.2, 12.6)</w:t>
            </w:r>
          </w:p>
        </w:tc>
        <w:tc>
          <w:tcPr>
            <w:tcW w:w="1013" w:type="dxa"/>
            <w:vAlign w:val="center"/>
          </w:tcPr>
          <w:p w14:paraId="3FD254D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9.7</w:t>
            </w:r>
          </w:p>
          <w:p w14:paraId="030D85C4"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(5.3, 21.5)</w:t>
            </w:r>
          </w:p>
        </w:tc>
        <w:tc>
          <w:tcPr>
            <w:tcW w:w="1014" w:type="dxa"/>
            <w:vAlign w:val="center"/>
          </w:tcPr>
          <w:p w14:paraId="38D15285"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36.3</w:t>
            </w:r>
          </w:p>
          <w:p w14:paraId="51579980"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(19.8, 54.2)</w:t>
            </w:r>
          </w:p>
        </w:tc>
        <w:tc>
          <w:tcPr>
            <w:tcW w:w="1014" w:type="dxa"/>
            <w:vAlign w:val="center"/>
          </w:tcPr>
          <w:p w14:paraId="28A8A489"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49.4</w:t>
            </w:r>
          </w:p>
          <w:p w14:paraId="68BCD7DC"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(39.0, 72.0)</w:t>
            </w:r>
          </w:p>
        </w:tc>
        <w:tc>
          <w:tcPr>
            <w:tcW w:w="1014" w:type="dxa"/>
            <w:vAlign w:val="center"/>
          </w:tcPr>
          <w:p w14:paraId="2FB206B0"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42.1</w:t>
            </w:r>
          </w:p>
          <w:p w14:paraId="5BB759C3"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(&lt;0.0001)</w:t>
            </w:r>
          </w:p>
        </w:tc>
        <w:tc>
          <w:tcPr>
            <w:tcW w:w="1004" w:type="dxa"/>
            <w:vAlign w:val="center"/>
          </w:tcPr>
          <w:p w14:paraId="23FB872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0.67</w:t>
            </w:r>
          </w:p>
          <w:p w14:paraId="037C9992"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(1.000)</w:t>
            </w:r>
          </w:p>
        </w:tc>
        <w:tc>
          <w:tcPr>
            <w:tcW w:w="1080" w:type="dxa"/>
            <w:vAlign w:val="center"/>
          </w:tcPr>
          <w:p w14:paraId="5E1C2491"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4.06</w:t>
            </w:r>
          </w:p>
          <w:p w14:paraId="78B3C728"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(0.0003)</w:t>
            </w:r>
          </w:p>
        </w:tc>
        <w:tc>
          <w:tcPr>
            <w:tcW w:w="1080" w:type="dxa"/>
            <w:vAlign w:val="center"/>
          </w:tcPr>
          <w:p w14:paraId="23EC4CBC"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5.50</w:t>
            </w:r>
          </w:p>
          <w:p w14:paraId="3B487DDF"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(&lt;0.0001)</w:t>
            </w:r>
          </w:p>
        </w:tc>
        <w:tc>
          <w:tcPr>
            <w:tcW w:w="990" w:type="dxa"/>
            <w:vAlign w:val="center"/>
          </w:tcPr>
          <w:p w14:paraId="6711A8FA"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3.40</w:t>
            </w:r>
          </w:p>
          <w:p w14:paraId="2B8C7E46"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(0.0041)</w:t>
            </w:r>
          </w:p>
        </w:tc>
        <w:tc>
          <w:tcPr>
            <w:tcW w:w="1080" w:type="dxa"/>
            <w:vAlign w:val="center"/>
          </w:tcPr>
          <w:p w14:paraId="47D51C25"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4.84</w:t>
            </w:r>
          </w:p>
          <w:p w14:paraId="55A593AD"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(&lt;0.0001)</w:t>
            </w:r>
          </w:p>
        </w:tc>
        <w:tc>
          <w:tcPr>
            <w:tcW w:w="1170" w:type="dxa"/>
            <w:vAlign w:val="center"/>
          </w:tcPr>
          <w:p w14:paraId="4C1F44B0"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1.44</w:t>
            </w:r>
          </w:p>
          <w:p w14:paraId="669B02E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(0.8950)</w:t>
            </w:r>
          </w:p>
        </w:tc>
      </w:tr>
      <w:tr w:rsidR="00160EDF" w:rsidRPr="00476140" w14:paraId="6E8C52F7" w14:textId="77777777" w:rsidTr="00100B41">
        <w:trPr>
          <w:trHeight w:val="1083"/>
        </w:trPr>
        <w:tc>
          <w:tcPr>
            <w:tcW w:w="1847" w:type="dxa"/>
            <w:vAlign w:val="center"/>
          </w:tcPr>
          <w:p w14:paraId="0B0ECE4A" w14:textId="77777777" w:rsidR="00160EDF" w:rsidRPr="00476140" w:rsidRDefault="00160EDF" w:rsidP="00D906FC">
            <w:pPr>
              <w:rPr>
                <w:rFonts w:ascii="Times New Roman" w:hAnsi="Times New Roman" w:cs="Times New Roman"/>
                <w:sz w:val="20"/>
                <w:szCs w:val="20"/>
                <w:vertAlign w:val="superscript"/>
              </w:rPr>
            </w:pPr>
            <w:r w:rsidRPr="00476140">
              <w:rPr>
                <w:rFonts w:ascii="Times New Roman" w:hAnsi="Times New Roman" w:cs="Times New Roman"/>
                <w:sz w:val="20"/>
                <w:szCs w:val="20"/>
              </w:rPr>
              <w:t>Rheumatoid Arthritis</w:t>
            </w:r>
          </w:p>
        </w:tc>
        <w:tc>
          <w:tcPr>
            <w:tcW w:w="1014" w:type="dxa"/>
            <w:vAlign w:val="center"/>
          </w:tcPr>
          <w:p w14:paraId="520CB1AB"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5.4</w:t>
            </w:r>
          </w:p>
          <w:p w14:paraId="4C08BD38"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(4.0, 7.3)</w:t>
            </w:r>
          </w:p>
        </w:tc>
        <w:tc>
          <w:tcPr>
            <w:tcW w:w="1013" w:type="dxa"/>
            <w:vAlign w:val="center"/>
          </w:tcPr>
          <w:p w14:paraId="064FEDDB"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10.0</w:t>
            </w:r>
          </w:p>
          <w:p w14:paraId="43649C3C"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(3.5, 13.0)</w:t>
            </w:r>
          </w:p>
        </w:tc>
        <w:tc>
          <w:tcPr>
            <w:tcW w:w="1014" w:type="dxa"/>
            <w:vAlign w:val="center"/>
          </w:tcPr>
          <w:p w14:paraId="05CA940D"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25.5</w:t>
            </w:r>
          </w:p>
          <w:p w14:paraId="479E5990"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(9.3, 33.4)</w:t>
            </w:r>
          </w:p>
        </w:tc>
        <w:tc>
          <w:tcPr>
            <w:tcW w:w="1014" w:type="dxa"/>
            <w:vAlign w:val="center"/>
          </w:tcPr>
          <w:p w14:paraId="20DED4E9"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37.0</w:t>
            </w:r>
          </w:p>
          <w:p w14:paraId="1F9AC231"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(15.5, 53.7)</w:t>
            </w:r>
          </w:p>
        </w:tc>
        <w:tc>
          <w:tcPr>
            <w:tcW w:w="1014" w:type="dxa"/>
            <w:vAlign w:val="center"/>
          </w:tcPr>
          <w:p w14:paraId="0F189996"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41.3</w:t>
            </w:r>
          </w:p>
          <w:p w14:paraId="3DC8C36B"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(&lt;0.0001)</w:t>
            </w:r>
          </w:p>
        </w:tc>
        <w:tc>
          <w:tcPr>
            <w:tcW w:w="1004" w:type="dxa"/>
            <w:vAlign w:val="center"/>
          </w:tcPr>
          <w:p w14:paraId="59FDB4FD"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1.76</w:t>
            </w:r>
          </w:p>
          <w:p w14:paraId="751534EF"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(0.4681)</w:t>
            </w:r>
          </w:p>
        </w:tc>
        <w:tc>
          <w:tcPr>
            <w:tcW w:w="1080" w:type="dxa"/>
            <w:vAlign w:val="center"/>
          </w:tcPr>
          <w:p w14:paraId="499CABA9"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4.54</w:t>
            </w:r>
          </w:p>
          <w:p w14:paraId="1A724F88"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(&lt;0.0001)</w:t>
            </w:r>
          </w:p>
        </w:tc>
        <w:tc>
          <w:tcPr>
            <w:tcW w:w="1080" w:type="dxa"/>
            <w:vAlign w:val="center"/>
          </w:tcPr>
          <w:p w14:paraId="2E61E5C8"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5.78</w:t>
            </w:r>
          </w:p>
          <w:p w14:paraId="7CB8E72B"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(&lt;0.0001)</w:t>
            </w:r>
          </w:p>
        </w:tc>
        <w:tc>
          <w:tcPr>
            <w:tcW w:w="990" w:type="dxa"/>
            <w:vAlign w:val="center"/>
          </w:tcPr>
          <w:p w14:paraId="5C8961B1"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2.78</w:t>
            </w:r>
          </w:p>
          <w:p w14:paraId="1D75B3EC"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(0.0327)</w:t>
            </w:r>
          </w:p>
        </w:tc>
        <w:tc>
          <w:tcPr>
            <w:tcW w:w="1080" w:type="dxa"/>
            <w:vAlign w:val="center"/>
          </w:tcPr>
          <w:p w14:paraId="4784186F"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4.02</w:t>
            </w:r>
          </w:p>
          <w:p w14:paraId="31AA40E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(0.0004)</w:t>
            </w:r>
          </w:p>
        </w:tc>
        <w:tc>
          <w:tcPr>
            <w:tcW w:w="1170" w:type="dxa"/>
            <w:vAlign w:val="center"/>
          </w:tcPr>
          <w:p w14:paraId="6B88AAF1"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1.24</w:t>
            </w:r>
          </w:p>
          <w:p w14:paraId="7512D543"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(1.000)</w:t>
            </w:r>
          </w:p>
        </w:tc>
      </w:tr>
      <w:tr w:rsidR="00160EDF" w:rsidRPr="00476140" w14:paraId="25386B57" w14:textId="77777777" w:rsidTr="00100B41">
        <w:trPr>
          <w:trHeight w:val="1008"/>
        </w:trPr>
        <w:tc>
          <w:tcPr>
            <w:tcW w:w="1847" w:type="dxa"/>
            <w:vAlign w:val="center"/>
          </w:tcPr>
          <w:p w14:paraId="1857AFAA" w14:textId="77777777" w:rsidR="00160EDF" w:rsidRPr="00476140" w:rsidRDefault="00160EDF" w:rsidP="00D906FC">
            <w:pPr>
              <w:rPr>
                <w:rFonts w:ascii="Times New Roman" w:eastAsia="Times New Roman" w:hAnsi="Times New Roman" w:cs="Times New Roman"/>
                <w:color w:val="000000"/>
                <w:sz w:val="20"/>
                <w:szCs w:val="20"/>
                <w:vertAlign w:val="superscript"/>
              </w:rPr>
            </w:pPr>
            <w:r w:rsidRPr="00476140">
              <w:rPr>
                <w:rFonts w:ascii="Times New Roman" w:eastAsia="Times New Roman" w:hAnsi="Times New Roman" w:cs="Times New Roman"/>
                <w:color w:val="000000"/>
                <w:sz w:val="20"/>
                <w:szCs w:val="20"/>
              </w:rPr>
              <w:t>Anemia</w:t>
            </w:r>
          </w:p>
        </w:tc>
        <w:tc>
          <w:tcPr>
            <w:tcW w:w="1014" w:type="dxa"/>
            <w:vAlign w:val="center"/>
          </w:tcPr>
          <w:p w14:paraId="76FACFD1"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0.09</w:t>
            </w:r>
          </w:p>
          <w:p w14:paraId="0F037492"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(0.08, 0.10)</w:t>
            </w:r>
          </w:p>
        </w:tc>
        <w:tc>
          <w:tcPr>
            <w:tcW w:w="1013" w:type="dxa"/>
            <w:vAlign w:val="center"/>
          </w:tcPr>
          <w:p w14:paraId="129BD165"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0.07</w:t>
            </w:r>
          </w:p>
          <w:p w14:paraId="7EBCC6AF"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(0.03, 0.15)</w:t>
            </w:r>
          </w:p>
        </w:tc>
        <w:tc>
          <w:tcPr>
            <w:tcW w:w="1014" w:type="dxa"/>
            <w:vAlign w:val="center"/>
          </w:tcPr>
          <w:p w14:paraId="2B1F343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0.25</w:t>
            </w:r>
          </w:p>
          <w:p w14:paraId="6722F992"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(0.19, 0.38)</w:t>
            </w:r>
          </w:p>
        </w:tc>
        <w:tc>
          <w:tcPr>
            <w:tcW w:w="1014" w:type="dxa"/>
            <w:vAlign w:val="center"/>
          </w:tcPr>
          <w:p w14:paraId="43CD3CD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0.33</w:t>
            </w:r>
          </w:p>
          <w:p w14:paraId="33A3E60A"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(0.22, 0.53)</w:t>
            </w:r>
          </w:p>
        </w:tc>
        <w:tc>
          <w:tcPr>
            <w:tcW w:w="1014" w:type="dxa"/>
            <w:vAlign w:val="center"/>
          </w:tcPr>
          <w:p w14:paraId="31BCD09F"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35.7</w:t>
            </w:r>
          </w:p>
          <w:p w14:paraId="339C2613"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(&lt;0.0001)</w:t>
            </w:r>
          </w:p>
        </w:tc>
        <w:tc>
          <w:tcPr>
            <w:tcW w:w="1004" w:type="dxa"/>
            <w:vAlign w:val="center"/>
          </w:tcPr>
          <w:p w14:paraId="086D773B"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-0.12</w:t>
            </w:r>
          </w:p>
          <w:p w14:paraId="6A83BB1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(1.000)</w:t>
            </w:r>
          </w:p>
        </w:tc>
        <w:tc>
          <w:tcPr>
            <w:tcW w:w="1080" w:type="dxa"/>
            <w:vAlign w:val="center"/>
          </w:tcPr>
          <w:p w14:paraId="5AAE5FF0"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3.56</w:t>
            </w:r>
          </w:p>
          <w:p w14:paraId="6EA3658F"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(0.0022)</w:t>
            </w:r>
          </w:p>
        </w:tc>
        <w:tc>
          <w:tcPr>
            <w:tcW w:w="1080" w:type="dxa"/>
            <w:vAlign w:val="center"/>
          </w:tcPr>
          <w:p w14:paraId="0D7C03F5"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4.64</w:t>
            </w:r>
          </w:p>
          <w:p w14:paraId="69B07BC8"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(&lt;0.0001)</w:t>
            </w:r>
          </w:p>
        </w:tc>
        <w:tc>
          <w:tcPr>
            <w:tcW w:w="990" w:type="dxa"/>
            <w:vAlign w:val="center"/>
          </w:tcPr>
          <w:p w14:paraId="3289A72F"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3.68</w:t>
            </w:r>
          </w:p>
          <w:p w14:paraId="65DF95C1"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0.0014</w:t>
            </w:r>
          </w:p>
        </w:tc>
        <w:tc>
          <w:tcPr>
            <w:tcW w:w="1080" w:type="dxa"/>
            <w:vAlign w:val="center"/>
          </w:tcPr>
          <w:p w14:paraId="4D810B9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4.75</w:t>
            </w:r>
          </w:p>
          <w:p w14:paraId="6AA69112"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(&lt;0.0001)</w:t>
            </w:r>
          </w:p>
        </w:tc>
        <w:tc>
          <w:tcPr>
            <w:tcW w:w="1170" w:type="dxa"/>
            <w:vAlign w:val="center"/>
          </w:tcPr>
          <w:p w14:paraId="13184AFD"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1.08</w:t>
            </w:r>
          </w:p>
          <w:p w14:paraId="26019185"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(1.000)</w:t>
            </w:r>
          </w:p>
        </w:tc>
      </w:tr>
      <w:tr w:rsidR="00160EDF" w:rsidRPr="00476140" w14:paraId="2A68CCD7" w14:textId="77777777" w:rsidTr="00100B41">
        <w:trPr>
          <w:trHeight w:val="1262"/>
        </w:trPr>
        <w:tc>
          <w:tcPr>
            <w:tcW w:w="1847" w:type="dxa"/>
            <w:vAlign w:val="center"/>
          </w:tcPr>
          <w:p w14:paraId="007AC226" w14:textId="77777777" w:rsidR="00160EDF" w:rsidRPr="00476140" w:rsidRDefault="00160EDF" w:rsidP="00D906FC">
            <w:pPr>
              <w:rPr>
                <w:rFonts w:ascii="Times New Roman" w:eastAsia="Times New Roman" w:hAnsi="Times New Roman" w:cs="Times New Roman"/>
                <w:color w:val="000000"/>
                <w:sz w:val="20"/>
                <w:szCs w:val="20"/>
                <w:vertAlign w:val="superscript"/>
              </w:rPr>
            </w:pPr>
            <w:r w:rsidRPr="00476140">
              <w:rPr>
                <w:rFonts w:ascii="Times New Roman" w:hAnsi="Times New Roman" w:cs="Times New Roman"/>
                <w:sz w:val="20"/>
                <w:szCs w:val="20"/>
              </w:rPr>
              <w:lastRenderedPageBreak/>
              <w:t>Non-Pulmonary Cancer</w:t>
            </w:r>
          </w:p>
        </w:tc>
        <w:tc>
          <w:tcPr>
            <w:tcW w:w="1014" w:type="dxa"/>
            <w:vAlign w:val="center"/>
          </w:tcPr>
          <w:p w14:paraId="0076E19B"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28.6</w:t>
            </w:r>
          </w:p>
          <w:p w14:paraId="6BB9BAD1"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(24.4, 30.9)</w:t>
            </w:r>
          </w:p>
        </w:tc>
        <w:tc>
          <w:tcPr>
            <w:tcW w:w="1013" w:type="dxa"/>
            <w:vAlign w:val="center"/>
          </w:tcPr>
          <w:p w14:paraId="4F40E284"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48.7</w:t>
            </w:r>
          </w:p>
          <w:p w14:paraId="073EB38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(34.3, 56.3)</w:t>
            </w:r>
          </w:p>
        </w:tc>
        <w:tc>
          <w:tcPr>
            <w:tcW w:w="1014" w:type="dxa"/>
            <w:vAlign w:val="center"/>
          </w:tcPr>
          <w:p w14:paraId="0B7AFAA6"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55.8</w:t>
            </w:r>
          </w:p>
          <w:p w14:paraId="07EE5E4B"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(44.2, 64.7)</w:t>
            </w:r>
          </w:p>
        </w:tc>
        <w:tc>
          <w:tcPr>
            <w:tcW w:w="1014" w:type="dxa"/>
            <w:vAlign w:val="center"/>
          </w:tcPr>
          <w:p w14:paraId="5EA40842"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60.5</w:t>
            </w:r>
          </w:p>
          <w:p w14:paraId="55DDC1D6"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(48.7, 76.9)</w:t>
            </w:r>
          </w:p>
        </w:tc>
        <w:tc>
          <w:tcPr>
            <w:tcW w:w="1014" w:type="dxa"/>
            <w:vAlign w:val="center"/>
          </w:tcPr>
          <w:p w14:paraId="3762243B"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24.3</w:t>
            </w:r>
          </w:p>
          <w:p w14:paraId="4B14BE14"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(&lt;0.0001)</w:t>
            </w:r>
          </w:p>
        </w:tc>
        <w:tc>
          <w:tcPr>
            <w:tcW w:w="1004" w:type="dxa"/>
            <w:vAlign w:val="center"/>
          </w:tcPr>
          <w:p w14:paraId="75CCEC84"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2.99</w:t>
            </w:r>
          </w:p>
          <w:p w14:paraId="519A6955"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(0.0169)</w:t>
            </w:r>
          </w:p>
        </w:tc>
        <w:tc>
          <w:tcPr>
            <w:tcW w:w="1080" w:type="dxa"/>
            <w:vAlign w:val="center"/>
          </w:tcPr>
          <w:p w14:paraId="2BC7B294"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4.21</w:t>
            </w:r>
          </w:p>
          <w:p w14:paraId="271AA34C"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(0.0002)</w:t>
            </w:r>
          </w:p>
        </w:tc>
        <w:tc>
          <w:tcPr>
            <w:tcW w:w="1080" w:type="dxa"/>
            <w:vAlign w:val="center"/>
          </w:tcPr>
          <w:p w14:paraId="43F751AF"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4.31</w:t>
            </w:r>
          </w:p>
          <w:p w14:paraId="02056D76"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(&lt;0.0001)</w:t>
            </w:r>
          </w:p>
        </w:tc>
        <w:tc>
          <w:tcPr>
            <w:tcW w:w="990" w:type="dxa"/>
            <w:vAlign w:val="center"/>
          </w:tcPr>
          <w:p w14:paraId="2544F4E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1.22</w:t>
            </w:r>
          </w:p>
          <w:p w14:paraId="6173FBC3"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(1.000)</w:t>
            </w:r>
          </w:p>
        </w:tc>
        <w:tc>
          <w:tcPr>
            <w:tcW w:w="1080" w:type="dxa"/>
            <w:vAlign w:val="center"/>
          </w:tcPr>
          <w:p w14:paraId="398E6160"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1.33</w:t>
            </w:r>
          </w:p>
          <w:p w14:paraId="263A6B2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(1.000)</w:t>
            </w:r>
          </w:p>
        </w:tc>
        <w:tc>
          <w:tcPr>
            <w:tcW w:w="1170" w:type="dxa"/>
            <w:vAlign w:val="center"/>
          </w:tcPr>
          <w:p w14:paraId="2A2E8C3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0.10</w:t>
            </w:r>
          </w:p>
          <w:p w14:paraId="56C6F9C5"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(1.000)</w:t>
            </w:r>
          </w:p>
        </w:tc>
      </w:tr>
      <w:tr w:rsidR="00160EDF" w:rsidRPr="00476140" w14:paraId="0CEF1681" w14:textId="77777777" w:rsidTr="00100B41">
        <w:trPr>
          <w:trHeight w:val="448"/>
        </w:trPr>
        <w:tc>
          <w:tcPr>
            <w:tcW w:w="1847" w:type="dxa"/>
            <w:vAlign w:val="center"/>
          </w:tcPr>
          <w:p w14:paraId="11871885" w14:textId="77777777" w:rsidR="00160EDF" w:rsidRPr="00476140" w:rsidRDefault="00160EDF" w:rsidP="00D906FC">
            <w:pPr>
              <w:rPr>
                <w:rFonts w:ascii="Times New Roman" w:hAnsi="Times New Roman" w:cs="Times New Roman"/>
                <w:sz w:val="20"/>
                <w:szCs w:val="20"/>
              </w:rPr>
            </w:pPr>
            <w:r w:rsidRPr="00476140">
              <w:rPr>
                <w:rFonts w:ascii="Times New Roman" w:hAnsi="Times New Roman" w:cs="Times New Roman"/>
                <w:sz w:val="20"/>
                <w:szCs w:val="20"/>
              </w:rPr>
              <w:t>Overweight or Obese</w:t>
            </w:r>
          </w:p>
        </w:tc>
        <w:tc>
          <w:tcPr>
            <w:tcW w:w="1014" w:type="dxa"/>
            <w:vAlign w:val="center"/>
          </w:tcPr>
          <w:p w14:paraId="06C45394"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68.5</w:t>
            </w:r>
          </w:p>
          <w:p w14:paraId="34C6FD2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(65.0, 73.8)</w:t>
            </w:r>
          </w:p>
        </w:tc>
        <w:tc>
          <w:tcPr>
            <w:tcW w:w="1013" w:type="dxa"/>
            <w:vAlign w:val="center"/>
          </w:tcPr>
          <w:p w14:paraId="50EA9756"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85.0</w:t>
            </w:r>
          </w:p>
          <w:p w14:paraId="52BC93BC"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(67.3, 94.3)</w:t>
            </w:r>
          </w:p>
        </w:tc>
        <w:tc>
          <w:tcPr>
            <w:tcW w:w="1014" w:type="dxa"/>
            <w:vAlign w:val="center"/>
          </w:tcPr>
          <w:p w14:paraId="277C76C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79.7</w:t>
            </w:r>
          </w:p>
          <w:p w14:paraId="6CE678B4"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(62.4, 89.1)</w:t>
            </w:r>
          </w:p>
        </w:tc>
        <w:tc>
          <w:tcPr>
            <w:tcW w:w="1014" w:type="dxa"/>
            <w:vAlign w:val="center"/>
          </w:tcPr>
          <w:p w14:paraId="60B17040"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81.3</w:t>
            </w:r>
          </w:p>
          <w:p w14:paraId="122C1F98"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(75.7, 89.9)</w:t>
            </w:r>
          </w:p>
        </w:tc>
        <w:tc>
          <w:tcPr>
            <w:tcW w:w="1014" w:type="dxa"/>
            <w:vAlign w:val="center"/>
          </w:tcPr>
          <w:p w14:paraId="41C4C39D"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10.2</w:t>
            </w:r>
          </w:p>
          <w:p w14:paraId="34913D1F"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(0.0172)</w:t>
            </w:r>
          </w:p>
        </w:tc>
        <w:tc>
          <w:tcPr>
            <w:tcW w:w="1004" w:type="dxa"/>
            <w:vAlign w:val="center"/>
          </w:tcPr>
          <w:p w14:paraId="42E294FF"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2.76</w:t>
            </w:r>
          </w:p>
          <w:p w14:paraId="097AC019"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(0.0351)</w:t>
            </w:r>
          </w:p>
        </w:tc>
        <w:tc>
          <w:tcPr>
            <w:tcW w:w="1080" w:type="dxa"/>
          </w:tcPr>
          <w:p w14:paraId="4528412B"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1.91</w:t>
            </w:r>
          </w:p>
          <w:p w14:paraId="3458F06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(0.3379)</w:t>
            </w:r>
          </w:p>
        </w:tc>
        <w:tc>
          <w:tcPr>
            <w:tcW w:w="1080" w:type="dxa"/>
          </w:tcPr>
          <w:p w14:paraId="530B7AD4"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2.77</w:t>
            </w:r>
          </w:p>
          <w:p w14:paraId="7A7407E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(0.0341)</w:t>
            </w:r>
          </w:p>
        </w:tc>
        <w:tc>
          <w:tcPr>
            <w:tcW w:w="990" w:type="dxa"/>
          </w:tcPr>
          <w:p w14:paraId="50612B66"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-0.85</w:t>
            </w:r>
          </w:p>
          <w:p w14:paraId="3ACABE4C"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(1.000)</w:t>
            </w:r>
          </w:p>
        </w:tc>
        <w:tc>
          <w:tcPr>
            <w:tcW w:w="1080" w:type="dxa"/>
          </w:tcPr>
          <w:p w14:paraId="0EF34613"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0.01</w:t>
            </w:r>
          </w:p>
          <w:p w14:paraId="25D3FFED"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(0.9919)</w:t>
            </w:r>
          </w:p>
        </w:tc>
        <w:tc>
          <w:tcPr>
            <w:tcW w:w="1170" w:type="dxa"/>
          </w:tcPr>
          <w:p w14:paraId="510DE35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0.86</w:t>
            </w:r>
          </w:p>
          <w:p w14:paraId="1CD75BF2"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(0.3913)</w:t>
            </w:r>
          </w:p>
        </w:tc>
      </w:tr>
      <w:tr w:rsidR="00160EDF" w:rsidRPr="00476140" w14:paraId="62F99B5B" w14:textId="77777777" w:rsidTr="00100B41">
        <w:trPr>
          <w:trHeight w:val="448"/>
        </w:trPr>
        <w:tc>
          <w:tcPr>
            <w:tcW w:w="1847" w:type="dxa"/>
            <w:vAlign w:val="center"/>
          </w:tcPr>
          <w:p w14:paraId="4B3F0032" w14:textId="77777777" w:rsidR="00160EDF" w:rsidRPr="00476140" w:rsidRDefault="00160EDF" w:rsidP="00D906FC">
            <w:pPr>
              <w:rPr>
                <w:rFonts w:ascii="Times New Roman" w:hAnsi="Times New Roman" w:cs="Times New Roman"/>
                <w:sz w:val="20"/>
                <w:szCs w:val="20"/>
              </w:rPr>
            </w:pPr>
            <w:r w:rsidRPr="00476140">
              <w:rPr>
                <w:rFonts w:ascii="Times New Roman" w:hAnsi="Times New Roman" w:cs="Times New Roman"/>
                <w:sz w:val="20"/>
                <w:szCs w:val="20"/>
              </w:rPr>
              <w:t>Underweight</w:t>
            </w:r>
          </w:p>
        </w:tc>
        <w:tc>
          <w:tcPr>
            <w:tcW w:w="1014" w:type="dxa"/>
            <w:vAlign w:val="center"/>
          </w:tcPr>
          <w:p w14:paraId="4AF753E2"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1.1</w:t>
            </w:r>
          </w:p>
          <w:p w14:paraId="0D59D72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(0.8, 1.4)</w:t>
            </w:r>
          </w:p>
        </w:tc>
        <w:tc>
          <w:tcPr>
            <w:tcW w:w="1013" w:type="dxa"/>
            <w:vAlign w:val="center"/>
          </w:tcPr>
          <w:p w14:paraId="4A9FA2AC"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0.4</w:t>
            </w:r>
          </w:p>
          <w:p w14:paraId="6930807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(0.1, 1.9)</w:t>
            </w:r>
          </w:p>
        </w:tc>
        <w:tc>
          <w:tcPr>
            <w:tcW w:w="1014" w:type="dxa"/>
            <w:vAlign w:val="center"/>
          </w:tcPr>
          <w:p w14:paraId="04BD4939"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0.4</w:t>
            </w:r>
          </w:p>
          <w:p w14:paraId="6CAECA13"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(0.0, 1.7)</w:t>
            </w:r>
          </w:p>
        </w:tc>
        <w:tc>
          <w:tcPr>
            <w:tcW w:w="1014" w:type="dxa"/>
            <w:vAlign w:val="center"/>
          </w:tcPr>
          <w:p w14:paraId="088B27DA"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0.7</w:t>
            </w:r>
          </w:p>
          <w:p w14:paraId="5D848DD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(0.0, 2.5)</w:t>
            </w:r>
          </w:p>
        </w:tc>
        <w:tc>
          <w:tcPr>
            <w:tcW w:w="1014" w:type="dxa"/>
            <w:vAlign w:val="center"/>
          </w:tcPr>
          <w:p w14:paraId="414355EA"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2.2</w:t>
            </w:r>
          </w:p>
          <w:p w14:paraId="4F43CACC"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(0.5320)</w:t>
            </w:r>
          </w:p>
        </w:tc>
        <w:tc>
          <w:tcPr>
            <w:tcW w:w="1004" w:type="dxa"/>
            <w:vAlign w:val="center"/>
          </w:tcPr>
          <w:p w14:paraId="76C7D750" w14:textId="77777777" w:rsidR="00160EDF" w:rsidRPr="00476140" w:rsidRDefault="00160EDF" w:rsidP="00D906FC">
            <w:pPr>
              <w:jc w:val="center"/>
              <w:rPr>
                <w:rFonts w:ascii="Times New Roman" w:hAnsi="Times New Roman" w:cs="Times New Roman"/>
                <w:sz w:val="20"/>
                <w:szCs w:val="20"/>
              </w:rPr>
            </w:pPr>
          </w:p>
        </w:tc>
        <w:tc>
          <w:tcPr>
            <w:tcW w:w="1080" w:type="dxa"/>
          </w:tcPr>
          <w:p w14:paraId="6B9C04C8" w14:textId="77777777" w:rsidR="00160EDF" w:rsidRPr="00476140" w:rsidRDefault="00160EDF" w:rsidP="00D906FC">
            <w:pPr>
              <w:jc w:val="center"/>
              <w:rPr>
                <w:rFonts w:ascii="Times New Roman" w:hAnsi="Times New Roman" w:cs="Times New Roman"/>
                <w:sz w:val="20"/>
                <w:szCs w:val="20"/>
              </w:rPr>
            </w:pPr>
          </w:p>
        </w:tc>
        <w:tc>
          <w:tcPr>
            <w:tcW w:w="1080" w:type="dxa"/>
          </w:tcPr>
          <w:p w14:paraId="5B705C13" w14:textId="77777777" w:rsidR="00160EDF" w:rsidRPr="00476140" w:rsidRDefault="00160EDF" w:rsidP="00D906FC">
            <w:pPr>
              <w:jc w:val="center"/>
              <w:rPr>
                <w:rFonts w:ascii="Times New Roman" w:hAnsi="Times New Roman" w:cs="Times New Roman"/>
                <w:sz w:val="20"/>
                <w:szCs w:val="20"/>
              </w:rPr>
            </w:pPr>
          </w:p>
        </w:tc>
        <w:tc>
          <w:tcPr>
            <w:tcW w:w="990" w:type="dxa"/>
          </w:tcPr>
          <w:p w14:paraId="008922A4" w14:textId="77777777" w:rsidR="00160EDF" w:rsidRPr="00476140" w:rsidRDefault="00160EDF" w:rsidP="00D906FC">
            <w:pPr>
              <w:jc w:val="center"/>
              <w:rPr>
                <w:rFonts w:ascii="Times New Roman" w:hAnsi="Times New Roman" w:cs="Times New Roman"/>
                <w:sz w:val="20"/>
                <w:szCs w:val="20"/>
              </w:rPr>
            </w:pPr>
          </w:p>
        </w:tc>
        <w:tc>
          <w:tcPr>
            <w:tcW w:w="1080" w:type="dxa"/>
          </w:tcPr>
          <w:p w14:paraId="2802A9F9" w14:textId="77777777" w:rsidR="00160EDF" w:rsidRPr="00476140" w:rsidRDefault="00160EDF" w:rsidP="00D906FC">
            <w:pPr>
              <w:jc w:val="center"/>
              <w:rPr>
                <w:rFonts w:ascii="Times New Roman" w:hAnsi="Times New Roman" w:cs="Times New Roman"/>
                <w:sz w:val="20"/>
                <w:szCs w:val="20"/>
              </w:rPr>
            </w:pPr>
          </w:p>
        </w:tc>
        <w:tc>
          <w:tcPr>
            <w:tcW w:w="1170" w:type="dxa"/>
          </w:tcPr>
          <w:p w14:paraId="093F785F" w14:textId="77777777" w:rsidR="00160EDF" w:rsidRPr="00476140" w:rsidRDefault="00160EDF" w:rsidP="00D906FC">
            <w:pPr>
              <w:jc w:val="center"/>
              <w:rPr>
                <w:rFonts w:ascii="Times New Roman" w:hAnsi="Times New Roman" w:cs="Times New Roman"/>
                <w:sz w:val="20"/>
                <w:szCs w:val="20"/>
              </w:rPr>
            </w:pPr>
          </w:p>
        </w:tc>
      </w:tr>
      <w:tr w:rsidR="00160EDF" w:rsidRPr="00476140" w14:paraId="32911C38" w14:textId="77777777" w:rsidTr="00110F0A">
        <w:trPr>
          <w:trHeight w:val="437"/>
        </w:trPr>
        <w:tc>
          <w:tcPr>
            <w:tcW w:w="1847" w:type="dxa"/>
            <w:tcBorders>
              <w:bottom w:val="single" w:sz="12" w:space="0" w:color="auto"/>
            </w:tcBorders>
            <w:vAlign w:val="center"/>
          </w:tcPr>
          <w:p w14:paraId="1CC9D527" w14:textId="77777777" w:rsidR="00160EDF" w:rsidRPr="00476140" w:rsidRDefault="00160EDF" w:rsidP="00D906FC">
            <w:pPr>
              <w:rPr>
                <w:rFonts w:ascii="Times New Roman" w:hAnsi="Times New Roman" w:cs="Times New Roman"/>
                <w:sz w:val="20"/>
                <w:szCs w:val="20"/>
              </w:rPr>
            </w:pPr>
            <w:r w:rsidRPr="00476140">
              <w:rPr>
                <w:rFonts w:ascii="Times New Roman" w:hAnsi="Times New Roman" w:cs="Times New Roman"/>
                <w:sz w:val="20"/>
                <w:szCs w:val="20"/>
              </w:rPr>
              <w:t>Asthma</w:t>
            </w:r>
          </w:p>
        </w:tc>
        <w:tc>
          <w:tcPr>
            <w:tcW w:w="1014" w:type="dxa"/>
            <w:tcBorders>
              <w:bottom w:val="single" w:sz="12" w:space="0" w:color="auto"/>
            </w:tcBorders>
            <w:vAlign w:val="center"/>
          </w:tcPr>
          <w:p w14:paraId="0603084C"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19.5</w:t>
            </w:r>
          </w:p>
          <w:p w14:paraId="3D61F7E4"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(17.1, 20.5)</w:t>
            </w:r>
          </w:p>
        </w:tc>
        <w:tc>
          <w:tcPr>
            <w:tcW w:w="1013" w:type="dxa"/>
            <w:tcBorders>
              <w:bottom w:val="single" w:sz="12" w:space="0" w:color="auto"/>
            </w:tcBorders>
            <w:vAlign w:val="center"/>
          </w:tcPr>
          <w:p w14:paraId="726FCD14"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16.3</w:t>
            </w:r>
          </w:p>
          <w:p w14:paraId="461B5DA5"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(7.0, 24.0)</w:t>
            </w:r>
          </w:p>
        </w:tc>
        <w:tc>
          <w:tcPr>
            <w:tcW w:w="1014" w:type="dxa"/>
            <w:tcBorders>
              <w:bottom w:val="single" w:sz="12" w:space="0" w:color="auto"/>
            </w:tcBorders>
            <w:vAlign w:val="center"/>
          </w:tcPr>
          <w:p w14:paraId="22E453A4"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17.7</w:t>
            </w:r>
          </w:p>
          <w:p w14:paraId="2C69861B"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(11.5, 46.3)</w:t>
            </w:r>
          </w:p>
        </w:tc>
        <w:tc>
          <w:tcPr>
            <w:tcW w:w="1014" w:type="dxa"/>
            <w:tcBorders>
              <w:bottom w:val="single" w:sz="12" w:space="0" w:color="auto"/>
            </w:tcBorders>
            <w:vAlign w:val="center"/>
          </w:tcPr>
          <w:p w14:paraId="674A973E"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25.3</w:t>
            </w:r>
          </w:p>
          <w:p w14:paraId="339912C5"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(13.2, 57.9)</w:t>
            </w:r>
          </w:p>
        </w:tc>
        <w:tc>
          <w:tcPr>
            <w:tcW w:w="1014" w:type="dxa"/>
            <w:tcBorders>
              <w:bottom w:val="single" w:sz="12" w:space="0" w:color="auto"/>
            </w:tcBorders>
            <w:vAlign w:val="center"/>
          </w:tcPr>
          <w:p w14:paraId="1271E2F7"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4.6</w:t>
            </w:r>
          </w:p>
          <w:p w14:paraId="361CD793" w14:textId="77777777" w:rsidR="00160EDF" w:rsidRPr="00476140" w:rsidRDefault="00160EDF" w:rsidP="00D906FC">
            <w:pPr>
              <w:jc w:val="center"/>
              <w:rPr>
                <w:rFonts w:ascii="Times New Roman" w:hAnsi="Times New Roman" w:cs="Times New Roman"/>
                <w:sz w:val="20"/>
                <w:szCs w:val="20"/>
              </w:rPr>
            </w:pPr>
            <w:r w:rsidRPr="00476140">
              <w:rPr>
                <w:rFonts w:ascii="Times New Roman" w:hAnsi="Times New Roman" w:cs="Times New Roman"/>
                <w:sz w:val="20"/>
                <w:szCs w:val="20"/>
              </w:rPr>
              <w:t>(0.205)</w:t>
            </w:r>
          </w:p>
        </w:tc>
        <w:tc>
          <w:tcPr>
            <w:tcW w:w="1004" w:type="dxa"/>
            <w:tcBorders>
              <w:bottom w:val="single" w:sz="12" w:space="0" w:color="auto"/>
            </w:tcBorders>
            <w:vAlign w:val="center"/>
          </w:tcPr>
          <w:p w14:paraId="0B8704F0" w14:textId="77777777" w:rsidR="00160EDF" w:rsidRPr="00476140" w:rsidRDefault="00160EDF" w:rsidP="00D906FC">
            <w:pPr>
              <w:jc w:val="center"/>
              <w:rPr>
                <w:rFonts w:ascii="Times New Roman" w:hAnsi="Times New Roman" w:cs="Times New Roman"/>
                <w:sz w:val="20"/>
                <w:szCs w:val="20"/>
              </w:rPr>
            </w:pPr>
          </w:p>
        </w:tc>
        <w:tc>
          <w:tcPr>
            <w:tcW w:w="1080" w:type="dxa"/>
            <w:tcBorders>
              <w:bottom w:val="single" w:sz="12" w:space="0" w:color="auto"/>
            </w:tcBorders>
          </w:tcPr>
          <w:p w14:paraId="55D51931" w14:textId="77777777" w:rsidR="00160EDF" w:rsidRPr="00476140" w:rsidRDefault="00160EDF" w:rsidP="00D906FC">
            <w:pPr>
              <w:jc w:val="center"/>
              <w:rPr>
                <w:rFonts w:ascii="Times New Roman" w:hAnsi="Times New Roman" w:cs="Times New Roman"/>
                <w:sz w:val="20"/>
                <w:szCs w:val="20"/>
              </w:rPr>
            </w:pPr>
          </w:p>
        </w:tc>
        <w:tc>
          <w:tcPr>
            <w:tcW w:w="1080" w:type="dxa"/>
            <w:tcBorders>
              <w:bottom w:val="single" w:sz="12" w:space="0" w:color="auto"/>
            </w:tcBorders>
          </w:tcPr>
          <w:p w14:paraId="6B345ADE" w14:textId="77777777" w:rsidR="00160EDF" w:rsidRPr="00476140" w:rsidRDefault="00160EDF" w:rsidP="00D906FC">
            <w:pPr>
              <w:jc w:val="center"/>
              <w:rPr>
                <w:rFonts w:ascii="Times New Roman" w:hAnsi="Times New Roman" w:cs="Times New Roman"/>
                <w:sz w:val="20"/>
                <w:szCs w:val="20"/>
              </w:rPr>
            </w:pPr>
          </w:p>
        </w:tc>
        <w:tc>
          <w:tcPr>
            <w:tcW w:w="990" w:type="dxa"/>
            <w:tcBorders>
              <w:bottom w:val="single" w:sz="12" w:space="0" w:color="auto"/>
            </w:tcBorders>
          </w:tcPr>
          <w:p w14:paraId="528EF055" w14:textId="77777777" w:rsidR="00160EDF" w:rsidRPr="00476140" w:rsidRDefault="00160EDF" w:rsidP="00D906FC">
            <w:pPr>
              <w:jc w:val="center"/>
              <w:rPr>
                <w:rFonts w:ascii="Times New Roman" w:hAnsi="Times New Roman" w:cs="Times New Roman"/>
                <w:sz w:val="20"/>
                <w:szCs w:val="20"/>
              </w:rPr>
            </w:pPr>
          </w:p>
        </w:tc>
        <w:tc>
          <w:tcPr>
            <w:tcW w:w="1080" w:type="dxa"/>
            <w:tcBorders>
              <w:bottom w:val="single" w:sz="12" w:space="0" w:color="auto"/>
            </w:tcBorders>
          </w:tcPr>
          <w:p w14:paraId="50A6C61E" w14:textId="77777777" w:rsidR="00160EDF" w:rsidRPr="00476140" w:rsidRDefault="00160EDF" w:rsidP="00D906FC">
            <w:pPr>
              <w:jc w:val="center"/>
              <w:rPr>
                <w:rFonts w:ascii="Times New Roman" w:hAnsi="Times New Roman" w:cs="Times New Roman"/>
                <w:sz w:val="20"/>
                <w:szCs w:val="20"/>
              </w:rPr>
            </w:pPr>
          </w:p>
        </w:tc>
        <w:tc>
          <w:tcPr>
            <w:tcW w:w="1170" w:type="dxa"/>
            <w:tcBorders>
              <w:bottom w:val="single" w:sz="12" w:space="0" w:color="auto"/>
            </w:tcBorders>
          </w:tcPr>
          <w:p w14:paraId="290B538D" w14:textId="77777777" w:rsidR="00160EDF" w:rsidRPr="00476140" w:rsidRDefault="00160EDF" w:rsidP="00D906FC">
            <w:pPr>
              <w:jc w:val="center"/>
              <w:rPr>
                <w:rFonts w:ascii="Times New Roman" w:hAnsi="Times New Roman" w:cs="Times New Roman"/>
                <w:sz w:val="20"/>
                <w:szCs w:val="20"/>
              </w:rPr>
            </w:pPr>
          </w:p>
        </w:tc>
      </w:tr>
      <w:tr w:rsidR="00160EDF" w:rsidRPr="00476140" w14:paraId="078EF61A" w14:textId="77777777" w:rsidTr="00110F0A">
        <w:trPr>
          <w:trHeight w:val="437"/>
        </w:trPr>
        <w:tc>
          <w:tcPr>
            <w:tcW w:w="13320" w:type="dxa"/>
            <w:gridSpan w:val="12"/>
            <w:tcBorders>
              <w:top w:val="single" w:sz="12" w:space="0" w:color="auto"/>
            </w:tcBorders>
            <w:vAlign w:val="center"/>
          </w:tcPr>
          <w:p w14:paraId="03F45B93" w14:textId="77777777" w:rsidR="00160EDF" w:rsidRPr="00476140" w:rsidRDefault="00160EDF" w:rsidP="00D906FC">
            <w:pPr>
              <w:rPr>
                <w:rFonts w:ascii="Times New Roman" w:hAnsi="Times New Roman" w:cs="Times New Roman"/>
                <w:i/>
                <w:iCs/>
                <w:sz w:val="20"/>
                <w:szCs w:val="20"/>
              </w:rPr>
            </w:pPr>
            <w:r w:rsidRPr="00476140">
              <w:rPr>
                <w:rFonts w:ascii="Times New Roman" w:hAnsi="Times New Roman" w:cs="Times New Roman"/>
                <w:i/>
                <w:iCs/>
                <w:sz w:val="20"/>
                <w:szCs w:val="20"/>
                <w:vertAlign w:val="superscript"/>
              </w:rPr>
              <w:t>1</w:t>
            </w:r>
            <w:r w:rsidRPr="00476140">
              <w:rPr>
                <w:rFonts w:ascii="Times New Roman" w:hAnsi="Times New Roman" w:cs="Times New Roman"/>
                <w:i/>
                <w:iCs/>
                <w:sz w:val="20"/>
                <w:szCs w:val="20"/>
              </w:rPr>
              <w:t>Interquartile range</w:t>
            </w:r>
          </w:p>
          <w:p w14:paraId="5069D7F7" w14:textId="77777777" w:rsidR="00160EDF" w:rsidRPr="00476140" w:rsidRDefault="00160EDF" w:rsidP="00D906FC">
            <w:pPr>
              <w:rPr>
                <w:rFonts w:ascii="Times New Roman" w:hAnsi="Times New Roman" w:cs="Times New Roman"/>
                <w:i/>
                <w:iCs/>
                <w:sz w:val="20"/>
                <w:szCs w:val="20"/>
                <w:vertAlign w:val="superscript"/>
              </w:rPr>
            </w:pPr>
            <w:r w:rsidRPr="00476140">
              <w:rPr>
                <w:rFonts w:ascii="Times New Roman" w:hAnsi="Times New Roman" w:cs="Times New Roman"/>
                <w:i/>
                <w:iCs/>
                <w:sz w:val="20"/>
                <w:szCs w:val="20"/>
                <w:vertAlign w:val="superscript"/>
              </w:rPr>
              <w:t>2</w:t>
            </w:r>
            <w:r w:rsidRPr="00476140">
              <w:rPr>
                <w:rFonts w:ascii="Times New Roman" w:hAnsi="Times New Roman" w:cs="Times New Roman"/>
                <w:i/>
                <w:iCs/>
                <w:sz w:val="20"/>
                <w:szCs w:val="20"/>
              </w:rPr>
              <w:t>Dunn’s test was only performed on comorbidities which varied across clusters based on the Kruskal Wallis test (p &lt; 0.05). The p-values are Bonferroni corrected p-values.</w:t>
            </w:r>
          </w:p>
        </w:tc>
      </w:tr>
    </w:tbl>
    <w:p w14:paraId="231D2E9A" w14:textId="77777777" w:rsidR="00476140" w:rsidRDefault="00476140" w:rsidP="00160EDF">
      <w:pPr>
        <w:spacing w:line="480" w:lineRule="auto"/>
        <w:ind w:firstLine="720"/>
        <w:rPr>
          <w:rFonts w:ascii="Times New Roman" w:hAnsi="Times New Roman" w:cs="Times New Roman"/>
          <w:iCs/>
        </w:rPr>
        <w:sectPr w:rsidR="00476140" w:rsidSect="00476140">
          <w:pgSz w:w="15840" w:h="12240" w:orient="landscape"/>
          <w:pgMar w:top="1440" w:right="1440" w:bottom="1440" w:left="1440" w:header="720" w:footer="720" w:gutter="0"/>
          <w:cols w:space="720"/>
          <w:docGrid w:linePitch="360"/>
        </w:sectPr>
      </w:pPr>
    </w:p>
    <w:p w14:paraId="17A8DA36" w14:textId="68F38C77" w:rsidR="00EA661D" w:rsidRPr="002735C7" w:rsidRDefault="00EA661D" w:rsidP="00317813">
      <w:pPr>
        <w:pStyle w:val="Heading4"/>
        <w:spacing w:before="0" w:after="0" w:line="480" w:lineRule="auto"/>
        <w:rPr>
          <w:szCs w:val="28"/>
        </w:rPr>
      </w:pPr>
      <w:bookmarkStart w:id="192" w:name="_Toc200097031"/>
      <w:r w:rsidRPr="002735C7">
        <w:rPr>
          <w:szCs w:val="28"/>
        </w:rPr>
        <w:lastRenderedPageBreak/>
        <w:t>Predictors of FEV</w:t>
      </w:r>
      <w:r w:rsidRPr="002735C7">
        <w:rPr>
          <w:szCs w:val="28"/>
          <w:vertAlign w:val="subscript"/>
        </w:rPr>
        <w:t>1</w:t>
      </w:r>
      <w:r w:rsidRPr="002735C7">
        <w:rPr>
          <w:szCs w:val="28"/>
        </w:rPr>
        <w:t xml:space="preserve"> change</w:t>
      </w:r>
      <w:bookmarkEnd w:id="192"/>
    </w:p>
    <w:p w14:paraId="43C805DC" w14:textId="4CF7BF1C" w:rsidR="005D69AE" w:rsidRDefault="00EA661D" w:rsidP="00317813">
      <w:pPr>
        <w:spacing w:after="0" w:line="480" w:lineRule="auto"/>
        <w:ind w:firstLine="720"/>
        <w:rPr>
          <w:rFonts w:ascii="Times New Roman" w:hAnsi="Times New Roman" w:cs="Times New Roman"/>
          <w:iCs/>
        </w:rPr>
      </w:pPr>
      <w:r w:rsidRPr="00EA661D">
        <w:rPr>
          <w:rFonts w:ascii="Times New Roman" w:hAnsi="Times New Roman" w:cs="Times New Roman"/>
          <w:iCs/>
        </w:rPr>
        <w:t>Several variables had significant (p&lt;0.2) associations with FEV</w:t>
      </w:r>
      <w:r w:rsidRPr="00EA661D">
        <w:rPr>
          <w:rFonts w:ascii="Times New Roman" w:hAnsi="Times New Roman" w:cs="Times New Roman"/>
          <w:iCs/>
          <w:vertAlign w:val="subscript"/>
        </w:rPr>
        <w:t>1</w:t>
      </w:r>
      <w:r w:rsidRPr="00EA661D">
        <w:rPr>
          <w:rFonts w:ascii="Times New Roman" w:hAnsi="Times New Roman" w:cs="Times New Roman"/>
          <w:iCs/>
        </w:rPr>
        <w:t xml:space="preserve"> change, including: age at initial exam, age at hire, FEV</w:t>
      </w:r>
      <w:r w:rsidRPr="00EA661D">
        <w:rPr>
          <w:rFonts w:ascii="Times New Roman" w:hAnsi="Times New Roman" w:cs="Times New Roman"/>
          <w:iCs/>
          <w:vertAlign w:val="subscript"/>
        </w:rPr>
        <w:t>1</w:t>
      </w:r>
      <w:r w:rsidRPr="00EA661D">
        <w:rPr>
          <w:rFonts w:ascii="Times New Roman" w:hAnsi="Times New Roman" w:cs="Times New Roman"/>
          <w:iCs/>
        </w:rPr>
        <w:t xml:space="preserve"> at initial exam, sex, smoking status, frequent cough, shortness of breath, wheezing, other breathing problems, Department of Energy (DOE) job category, and welding fumes (</w:t>
      </w:r>
      <w:r w:rsidRPr="007B23A4">
        <w:rPr>
          <w:rFonts w:ascii="Times New Roman" w:hAnsi="Times New Roman" w:cs="Times New Roman"/>
        </w:rPr>
        <w:t xml:space="preserve">Table </w:t>
      </w:r>
      <w:r w:rsidR="007B23A4" w:rsidRPr="007B23A4">
        <w:rPr>
          <w:rFonts w:ascii="Times New Roman" w:hAnsi="Times New Roman" w:cs="Times New Roman"/>
        </w:rPr>
        <w:t>4.</w:t>
      </w:r>
      <w:r w:rsidRPr="007B23A4">
        <w:rPr>
          <w:rFonts w:ascii="Times New Roman" w:hAnsi="Times New Roman" w:cs="Times New Roman"/>
        </w:rPr>
        <w:t>5</w:t>
      </w:r>
      <w:r w:rsidRPr="00EA661D">
        <w:rPr>
          <w:rFonts w:ascii="Times New Roman" w:hAnsi="Times New Roman" w:cs="Times New Roman"/>
          <w:iCs/>
        </w:rPr>
        <w:t>). The comorbidity clusters did not have a significant (p&lt;0.436) association with the FEV</w:t>
      </w:r>
      <w:r w:rsidRPr="00EA661D">
        <w:rPr>
          <w:rFonts w:ascii="Times New Roman" w:hAnsi="Times New Roman" w:cs="Times New Roman"/>
          <w:iCs/>
          <w:vertAlign w:val="subscript"/>
        </w:rPr>
        <w:t>1</w:t>
      </w:r>
      <w:r w:rsidRPr="00EA661D">
        <w:rPr>
          <w:rFonts w:ascii="Times New Roman" w:hAnsi="Times New Roman" w:cs="Times New Roman"/>
          <w:iCs/>
        </w:rPr>
        <w:t xml:space="preserve"> change (</w:t>
      </w:r>
      <w:r w:rsidRPr="007B23A4">
        <w:rPr>
          <w:rFonts w:ascii="Times New Roman" w:hAnsi="Times New Roman" w:cs="Times New Roman"/>
        </w:rPr>
        <w:t xml:space="preserve">Table </w:t>
      </w:r>
      <w:r w:rsidR="007B23A4" w:rsidRPr="007B23A4">
        <w:rPr>
          <w:rFonts w:ascii="Times New Roman" w:hAnsi="Times New Roman" w:cs="Times New Roman"/>
        </w:rPr>
        <w:t>4.</w:t>
      </w:r>
      <w:r w:rsidRPr="007B23A4">
        <w:rPr>
          <w:rFonts w:ascii="Times New Roman" w:hAnsi="Times New Roman" w:cs="Times New Roman"/>
        </w:rPr>
        <w:t>5</w:t>
      </w:r>
      <w:r w:rsidRPr="00EA661D">
        <w:rPr>
          <w:rFonts w:ascii="Times New Roman" w:hAnsi="Times New Roman" w:cs="Times New Roman"/>
          <w:iCs/>
        </w:rPr>
        <w:t>). However, several of the comorbid conditions which comprise the clusters were significantly (p&lt;0.2) associated with FEV</w:t>
      </w:r>
      <w:r w:rsidRPr="00EA661D">
        <w:rPr>
          <w:rFonts w:ascii="Times New Roman" w:hAnsi="Times New Roman" w:cs="Times New Roman"/>
          <w:iCs/>
          <w:vertAlign w:val="subscript"/>
        </w:rPr>
        <w:t>1</w:t>
      </w:r>
      <w:r w:rsidRPr="00EA661D">
        <w:rPr>
          <w:rFonts w:ascii="Times New Roman" w:hAnsi="Times New Roman" w:cs="Times New Roman"/>
          <w:iCs/>
        </w:rPr>
        <w:t xml:space="preserve"> change. These included myocardial infarction, coronary artery disease, hypertension, stroke, kidney problems, lung cancer, non-pulmonary cancer, rheumatoid arthritis, anemia, and asthma (</w:t>
      </w:r>
      <w:r w:rsidRPr="007B23A4">
        <w:rPr>
          <w:rFonts w:ascii="Times New Roman" w:hAnsi="Times New Roman" w:cs="Times New Roman"/>
        </w:rPr>
        <w:t xml:space="preserve">Table </w:t>
      </w:r>
      <w:r w:rsidR="007B23A4" w:rsidRPr="007B23A4">
        <w:rPr>
          <w:rFonts w:ascii="Times New Roman" w:hAnsi="Times New Roman" w:cs="Times New Roman"/>
        </w:rPr>
        <w:t>4.</w:t>
      </w:r>
      <w:r w:rsidRPr="007B23A4">
        <w:rPr>
          <w:rFonts w:ascii="Times New Roman" w:hAnsi="Times New Roman" w:cs="Times New Roman"/>
        </w:rPr>
        <w:t>5</w:t>
      </w:r>
      <w:r w:rsidRPr="00EA661D">
        <w:rPr>
          <w:rFonts w:ascii="Times New Roman" w:hAnsi="Times New Roman" w:cs="Times New Roman"/>
          <w:iCs/>
        </w:rPr>
        <w:t>).</w:t>
      </w:r>
    </w:p>
    <w:p w14:paraId="442FFC58" w14:textId="77777777" w:rsidR="005D69AE" w:rsidRDefault="005D69AE" w:rsidP="00317813">
      <w:pPr>
        <w:spacing w:after="0" w:line="480" w:lineRule="auto"/>
        <w:rPr>
          <w:rFonts w:ascii="Times New Roman" w:hAnsi="Times New Roman" w:cs="Times New Roman"/>
          <w:iCs/>
        </w:rPr>
      </w:pPr>
      <w:r>
        <w:rPr>
          <w:rFonts w:ascii="Times New Roman" w:hAnsi="Times New Roman" w:cs="Times New Roman"/>
          <w:iCs/>
        </w:rPr>
        <w:br w:type="page"/>
      </w:r>
    </w:p>
    <w:p w14:paraId="399012D2" w14:textId="758F56A7" w:rsidR="005D69AE" w:rsidRDefault="005D69AE" w:rsidP="00317813">
      <w:pPr>
        <w:pStyle w:val="Caption"/>
        <w:spacing w:after="0"/>
      </w:pPr>
      <w:bookmarkStart w:id="193" w:name="_Toc199886040"/>
      <w:bookmarkStart w:id="194" w:name="_Toc200097057"/>
      <w:r>
        <w:lastRenderedPageBreak/>
        <w:t xml:space="preserve">Table </w:t>
      </w:r>
      <w:r w:rsidR="00450C23">
        <w:fldChar w:fldCharType="begin"/>
      </w:r>
      <w:r w:rsidR="00450C23">
        <w:instrText xml:space="preserve"> STYLEREF 1 \s </w:instrText>
      </w:r>
      <w:r w:rsidR="00450C23">
        <w:fldChar w:fldCharType="separate"/>
      </w:r>
      <w:r>
        <w:rPr>
          <w:noProof/>
        </w:rPr>
        <w:t>4</w:t>
      </w:r>
      <w:r w:rsidR="00450C23">
        <w:rPr>
          <w:noProof/>
        </w:rPr>
        <w:fldChar w:fldCharType="end"/>
      </w:r>
      <w:r>
        <w:t>.</w:t>
      </w:r>
      <w:r w:rsidR="00450C23">
        <w:fldChar w:fldCharType="begin"/>
      </w:r>
      <w:r w:rsidR="00450C23">
        <w:instrText xml:space="preserve"> SEQ Table \* ARABIC \s 1 </w:instrText>
      </w:r>
      <w:r w:rsidR="00450C23">
        <w:fldChar w:fldCharType="separate"/>
      </w:r>
      <w:r>
        <w:rPr>
          <w:noProof/>
        </w:rPr>
        <w:t>5</w:t>
      </w:r>
      <w:r w:rsidR="00450C23">
        <w:rPr>
          <w:noProof/>
        </w:rPr>
        <w:fldChar w:fldCharType="end"/>
      </w:r>
      <w:r>
        <w:t xml:space="preserve">. </w:t>
      </w:r>
      <w:r w:rsidRPr="00E276D6">
        <w:t xml:space="preserve">Associations of </w:t>
      </w:r>
      <w:r w:rsidRPr="00C00B13">
        <w:rPr>
          <w:vertAlign w:val="superscript"/>
        </w:rPr>
        <w:t>1</w:t>
      </w:r>
      <w:r w:rsidRPr="00E276D6">
        <w:t xml:space="preserve">FEV1 change and </w:t>
      </w:r>
      <w:r w:rsidRPr="00C00B13">
        <w:rPr>
          <w:vertAlign w:val="superscript"/>
        </w:rPr>
        <w:t>1</w:t>
      </w:r>
      <w:r w:rsidRPr="00E276D6">
        <w:t>FEV1 decline with several potential predictor variables among the National Supplemental Screening Program participants with chronic obstructive pulmonary at initial exam.</w:t>
      </w:r>
      <w:bookmarkEnd w:id="193"/>
      <w:bookmarkEnd w:id="194"/>
    </w:p>
    <w:tbl>
      <w:tblPr>
        <w:tblStyle w:val="TableGrid"/>
        <w:tblW w:w="10488"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0"/>
        <w:gridCol w:w="1240"/>
        <w:gridCol w:w="1403"/>
        <w:gridCol w:w="1136"/>
        <w:gridCol w:w="1135"/>
        <w:gridCol w:w="1471"/>
        <w:gridCol w:w="1173"/>
      </w:tblGrid>
      <w:tr w:rsidR="005D69AE" w:rsidRPr="003C39CF" w14:paraId="4FCDFB5E" w14:textId="77777777" w:rsidTr="00B0092F">
        <w:trPr>
          <w:trHeight w:val="493"/>
          <w:tblHeader/>
          <w:jc w:val="center"/>
        </w:trPr>
        <w:tc>
          <w:tcPr>
            <w:tcW w:w="2930" w:type="dxa"/>
            <w:tcBorders>
              <w:top w:val="single" w:sz="12" w:space="0" w:color="auto"/>
              <w:bottom w:val="nil"/>
            </w:tcBorders>
            <w:vAlign w:val="center"/>
          </w:tcPr>
          <w:p w14:paraId="7FF0A05C" w14:textId="77777777" w:rsidR="005D69AE" w:rsidRPr="003C39CF" w:rsidRDefault="005D69AE" w:rsidP="00D906FC">
            <w:pPr>
              <w:jc w:val="center"/>
              <w:rPr>
                <w:rFonts w:ascii="Times New Roman" w:hAnsi="Times New Roman" w:cs="Times New Roman"/>
                <w:b/>
                <w:bCs/>
                <w:sz w:val="20"/>
                <w:szCs w:val="20"/>
              </w:rPr>
            </w:pPr>
          </w:p>
        </w:tc>
        <w:tc>
          <w:tcPr>
            <w:tcW w:w="3779" w:type="dxa"/>
            <w:gridSpan w:val="3"/>
            <w:tcBorders>
              <w:top w:val="single" w:sz="12" w:space="0" w:color="auto"/>
              <w:bottom w:val="nil"/>
            </w:tcBorders>
            <w:vAlign w:val="center"/>
          </w:tcPr>
          <w:p w14:paraId="4D44E9A0" w14:textId="77777777" w:rsidR="005D69AE" w:rsidRPr="003C39CF" w:rsidRDefault="005D69AE" w:rsidP="00D906FC">
            <w:pPr>
              <w:jc w:val="center"/>
              <w:rPr>
                <w:rFonts w:ascii="Times New Roman" w:hAnsi="Times New Roman" w:cs="Times New Roman"/>
                <w:b/>
                <w:bCs/>
                <w:sz w:val="20"/>
                <w:szCs w:val="20"/>
                <w:vertAlign w:val="superscript"/>
              </w:rPr>
            </w:pPr>
            <w:r w:rsidRPr="003C39CF">
              <w:rPr>
                <w:rFonts w:ascii="Times New Roman" w:hAnsi="Times New Roman" w:cs="Times New Roman"/>
                <w:b/>
                <w:bCs/>
                <w:sz w:val="20"/>
                <w:szCs w:val="20"/>
                <w:vertAlign w:val="superscript"/>
              </w:rPr>
              <w:t>1</w:t>
            </w:r>
            <w:r w:rsidRPr="003C39CF">
              <w:rPr>
                <w:rFonts w:ascii="Times New Roman" w:hAnsi="Times New Roman" w:cs="Times New Roman"/>
                <w:b/>
                <w:bCs/>
                <w:sz w:val="20"/>
                <w:szCs w:val="20"/>
              </w:rPr>
              <w:t>FEV</w:t>
            </w:r>
            <w:r w:rsidRPr="003C39CF">
              <w:rPr>
                <w:rFonts w:ascii="Times New Roman" w:hAnsi="Times New Roman" w:cs="Times New Roman"/>
                <w:b/>
                <w:bCs/>
                <w:sz w:val="20"/>
                <w:szCs w:val="20"/>
                <w:vertAlign w:val="subscript"/>
              </w:rPr>
              <w:t>1</w:t>
            </w:r>
            <w:r w:rsidRPr="003C39CF">
              <w:rPr>
                <w:rFonts w:ascii="Times New Roman" w:hAnsi="Times New Roman" w:cs="Times New Roman"/>
                <w:b/>
                <w:bCs/>
                <w:sz w:val="20"/>
                <w:szCs w:val="20"/>
              </w:rPr>
              <w:t xml:space="preserve"> Change</w:t>
            </w:r>
          </w:p>
        </w:tc>
        <w:tc>
          <w:tcPr>
            <w:tcW w:w="3779" w:type="dxa"/>
            <w:gridSpan w:val="3"/>
            <w:tcBorders>
              <w:top w:val="single" w:sz="12" w:space="0" w:color="auto"/>
              <w:bottom w:val="nil"/>
            </w:tcBorders>
            <w:vAlign w:val="center"/>
          </w:tcPr>
          <w:p w14:paraId="67C370DF" w14:textId="77777777" w:rsidR="005D69AE" w:rsidRPr="003C39CF" w:rsidRDefault="005D69AE" w:rsidP="00D906FC">
            <w:pPr>
              <w:jc w:val="center"/>
              <w:rPr>
                <w:rFonts w:ascii="Times New Roman" w:hAnsi="Times New Roman" w:cs="Times New Roman"/>
                <w:b/>
                <w:bCs/>
                <w:sz w:val="20"/>
                <w:szCs w:val="20"/>
                <w:vertAlign w:val="superscript"/>
              </w:rPr>
            </w:pPr>
            <w:r w:rsidRPr="003C39CF">
              <w:rPr>
                <w:rFonts w:ascii="Times New Roman" w:hAnsi="Times New Roman" w:cs="Times New Roman"/>
                <w:b/>
                <w:bCs/>
                <w:sz w:val="20"/>
                <w:szCs w:val="20"/>
                <w:vertAlign w:val="superscript"/>
              </w:rPr>
              <w:t>1</w:t>
            </w:r>
            <w:r w:rsidRPr="003C39CF">
              <w:rPr>
                <w:rFonts w:ascii="Times New Roman" w:hAnsi="Times New Roman" w:cs="Times New Roman"/>
                <w:b/>
                <w:bCs/>
                <w:sz w:val="20"/>
                <w:szCs w:val="20"/>
              </w:rPr>
              <w:t>FEV</w:t>
            </w:r>
            <w:r w:rsidRPr="003C39CF">
              <w:rPr>
                <w:rFonts w:ascii="Times New Roman" w:hAnsi="Times New Roman" w:cs="Times New Roman"/>
                <w:b/>
                <w:bCs/>
                <w:sz w:val="20"/>
                <w:szCs w:val="20"/>
                <w:vertAlign w:val="subscript"/>
              </w:rPr>
              <w:t>1</w:t>
            </w:r>
            <w:r w:rsidRPr="003C39CF">
              <w:rPr>
                <w:rFonts w:ascii="Times New Roman" w:hAnsi="Times New Roman" w:cs="Times New Roman"/>
                <w:b/>
                <w:bCs/>
                <w:sz w:val="20"/>
                <w:szCs w:val="20"/>
              </w:rPr>
              <w:t xml:space="preserve"> Decline</w:t>
            </w:r>
          </w:p>
        </w:tc>
      </w:tr>
      <w:tr w:rsidR="005D69AE" w:rsidRPr="003C39CF" w14:paraId="3C72F196" w14:textId="77777777" w:rsidTr="00B0092F">
        <w:trPr>
          <w:trHeight w:val="493"/>
          <w:tblHeader/>
          <w:jc w:val="center"/>
        </w:trPr>
        <w:tc>
          <w:tcPr>
            <w:tcW w:w="2930" w:type="dxa"/>
            <w:tcBorders>
              <w:top w:val="nil"/>
              <w:bottom w:val="single" w:sz="12" w:space="0" w:color="auto"/>
            </w:tcBorders>
            <w:vAlign w:val="center"/>
          </w:tcPr>
          <w:p w14:paraId="2C31359E" w14:textId="77777777" w:rsidR="005D69AE" w:rsidRPr="003C39CF" w:rsidRDefault="005D69AE" w:rsidP="00D906FC">
            <w:pPr>
              <w:jc w:val="center"/>
              <w:rPr>
                <w:rFonts w:ascii="Times New Roman" w:hAnsi="Times New Roman" w:cs="Times New Roman"/>
                <w:b/>
                <w:bCs/>
                <w:sz w:val="20"/>
                <w:szCs w:val="20"/>
              </w:rPr>
            </w:pPr>
            <w:r w:rsidRPr="003C39CF">
              <w:rPr>
                <w:rFonts w:ascii="Times New Roman" w:hAnsi="Times New Roman" w:cs="Times New Roman"/>
                <w:b/>
                <w:bCs/>
                <w:sz w:val="20"/>
                <w:szCs w:val="20"/>
              </w:rPr>
              <w:t>Characteristics</w:t>
            </w:r>
          </w:p>
        </w:tc>
        <w:tc>
          <w:tcPr>
            <w:tcW w:w="1240" w:type="dxa"/>
            <w:tcBorders>
              <w:top w:val="nil"/>
              <w:bottom w:val="single" w:sz="12" w:space="0" w:color="auto"/>
            </w:tcBorders>
            <w:vAlign w:val="center"/>
          </w:tcPr>
          <w:p w14:paraId="76E2BA86" w14:textId="77777777" w:rsidR="005D69AE" w:rsidRPr="003C39CF" w:rsidRDefault="005D69AE" w:rsidP="00D906FC">
            <w:pPr>
              <w:jc w:val="center"/>
              <w:rPr>
                <w:rFonts w:ascii="Times New Roman" w:hAnsi="Times New Roman" w:cs="Times New Roman"/>
                <w:b/>
                <w:bCs/>
                <w:sz w:val="20"/>
                <w:szCs w:val="20"/>
              </w:rPr>
            </w:pPr>
            <w:r w:rsidRPr="003C39CF">
              <w:rPr>
                <w:rFonts w:ascii="Times New Roman" w:hAnsi="Times New Roman" w:cs="Times New Roman"/>
                <w:b/>
                <w:bCs/>
                <w:sz w:val="20"/>
                <w:szCs w:val="20"/>
              </w:rPr>
              <w:t>Point Estimate</w:t>
            </w:r>
          </w:p>
        </w:tc>
        <w:tc>
          <w:tcPr>
            <w:tcW w:w="1403" w:type="dxa"/>
            <w:tcBorders>
              <w:top w:val="nil"/>
              <w:bottom w:val="single" w:sz="12" w:space="0" w:color="auto"/>
            </w:tcBorders>
            <w:vAlign w:val="center"/>
          </w:tcPr>
          <w:p w14:paraId="731A957F" w14:textId="77777777" w:rsidR="005D69AE" w:rsidRPr="003C39CF" w:rsidRDefault="005D69AE" w:rsidP="00D906FC">
            <w:pPr>
              <w:jc w:val="center"/>
              <w:rPr>
                <w:rFonts w:ascii="Times New Roman" w:hAnsi="Times New Roman" w:cs="Times New Roman"/>
                <w:b/>
                <w:bCs/>
                <w:sz w:val="20"/>
                <w:szCs w:val="20"/>
              </w:rPr>
            </w:pPr>
            <w:r w:rsidRPr="003C39CF">
              <w:rPr>
                <w:rFonts w:ascii="Times New Roman" w:hAnsi="Times New Roman" w:cs="Times New Roman"/>
                <w:b/>
                <w:bCs/>
                <w:sz w:val="20"/>
                <w:szCs w:val="20"/>
              </w:rPr>
              <w:t>95% Confidence Interval</w:t>
            </w:r>
          </w:p>
        </w:tc>
        <w:tc>
          <w:tcPr>
            <w:tcW w:w="1136" w:type="dxa"/>
            <w:tcBorders>
              <w:top w:val="nil"/>
              <w:bottom w:val="single" w:sz="12" w:space="0" w:color="auto"/>
            </w:tcBorders>
            <w:vAlign w:val="center"/>
          </w:tcPr>
          <w:p w14:paraId="5DE61BDA" w14:textId="77777777" w:rsidR="005D69AE" w:rsidRPr="003C39CF" w:rsidRDefault="005D69AE" w:rsidP="00D906FC">
            <w:pPr>
              <w:jc w:val="center"/>
              <w:rPr>
                <w:rFonts w:ascii="Times New Roman" w:hAnsi="Times New Roman" w:cs="Times New Roman"/>
                <w:b/>
                <w:bCs/>
                <w:sz w:val="20"/>
                <w:szCs w:val="20"/>
              </w:rPr>
            </w:pPr>
            <w:r w:rsidRPr="003C39CF">
              <w:rPr>
                <w:rFonts w:ascii="Times New Roman" w:hAnsi="Times New Roman" w:cs="Times New Roman"/>
                <w:b/>
                <w:bCs/>
                <w:sz w:val="20"/>
                <w:szCs w:val="20"/>
              </w:rPr>
              <w:t>P-value</w:t>
            </w:r>
          </w:p>
        </w:tc>
        <w:tc>
          <w:tcPr>
            <w:tcW w:w="1135" w:type="dxa"/>
            <w:tcBorders>
              <w:top w:val="nil"/>
              <w:bottom w:val="single" w:sz="12" w:space="0" w:color="auto"/>
            </w:tcBorders>
            <w:vAlign w:val="center"/>
          </w:tcPr>
          <w:p w14:paraId="5FC757A1" w14:textId="77777777" w:rsidR="005D69AE" w:rsidRPr="003C39CF" w:rsidRDefault="005D69AE" w:rsidP="00D906FC">
            <w:pPr>
              <w:jc w:val="center"/>
              <w:rPr>
                <w:rFonts w:ascii="Times New Roman" w:hAnsi="Times New Roman" w:cs="Times New Roman"/>
                <w:b/>
                <w:bCs/>
                <w:sz w:val="20"/>
                <w:szCs w:val="20"/>
              </w:rPr>
            </w:pPr>
            <w:r w:rsidRPr="003C39CF">
              <w:rPr>
                <w:rFonts w:ascii="Times New Roman" w:hAnsi="Times New Roman" w:cs="Times New Roman"/>
                <w:b/>
                <w:bCs/>
                <w:sz w:val="20"/>
                <w:szCs w:val="20"/>
              </w:rPr>
              <w:t>Odds Ratio</w:t>
            </w:r>
          </w:p>
        </w:tc>
        <w:tc>
          <w:tcPr>
            <w:tcW w:w="1471" w:type="dxa"/>
            <w:tcBorders>
              <w:top w:val="nil"/>
              <w:bottom w:val="single" w:sz="12" w:space="0" w:color="auto"/>
            </w:tcBorders>
            <w:vAlign w:val="center"/>
          </w:tcPr>
          <w:p w14:paraId="7D79A8BB" w14:textId="77777777" w:rsidR="005D69AE" w:rsidRPr="003C39CF" w:rsidRDefault="005D69AE" w:rsidP="00D906FC">
            <w:pPr>
              <w:jc w:val="center"/>
              <w:rPr>
                <w:rFonts w:ascii="Times New Roman" w:hAnsi="Times New Roman" w:cs="Times New Roman"/>
                <w:b/>
                <w:bCs/>
                <w:sz w:val="20"/>
                <w:szCs w:val="20"/>
              </w:rPr>
            </w:pPr>
            <w:r w:rsidRPr="003C39CF">
              <w:rPr>
                <w:rFonts w:ascii="Times New Roman" w:hAnsi="Times New Roman" w:cs="Times New Roman"/>
                <w:b/>
                <w:bCs/>
                <w:sz w:val="20"/>
                <w:szCs w:val="20"/>
              </w:rPr>
              <w:t>95% Confidence Interval</w:t>
            </w:r>
          </w:p>
        </w:tc>
        <w:tc>
          <w:tcPr>
            <w:tcW w:w="1173" w:type="dxa"/>
            <w:tcBorders>
              <w:top w:val="nil"/>
              <w:bottom w:val="single" w:sz="12" w:space="0" w:color="auto"/>
            </w:tcBorders>
            <w:vAlign w:val="center"/>
          </w:tcPr>
          <w:p w14:paraId="3F4B07B1" w14:textId="77777777" w:rsidR="005D69AE" w:rsidRPr="003C39CF" w:rsidRDefault="005D69AE" w:rsidP="00D906FC">
            <w:pPr>
              <w:jc w:val="center"/>
              <w:rPr>
                <w:rFonts w:ascii="Times New Roman" w:hAnsi="Times New Roman" w:cs="Times New Roman"/>
                <w:b/>
                <w:bCs/>
                <w:sz w:val="20"/>
                <w:szCs w:val="20"/>
              </w:rPr>
            </w:pPr>
            <w:r w:rsidRPr="003C39CF">
              <w:rPr>
                <w:rFonts w:ascii="Times New Roman" w:hAnsi="Times New Roman" w:cs="Times New Roman"/>
                <w:b/>
                <w:bCs/>
                <w:sz w:val="20"/>
                <w:szCs w:val="20"/>
              </w:rPr>
              <w:t>P-value</w:t>
            </w:r>
          </w:p>
        </w:tc>
      </w:tr>
      <w:tr w:rsidR="005D69AE" w:rsidRPr="003C39CF" w14:paraId="3370442E" w14:textId="77777777" w:rsidTr="00B0092F">
        <w:trPr>
          <w:trHeight w:val="493"/>
          <w:jc w:val="center"/>
        </w:trPr>
        <w:tc>
          <w:tcPr>
            <w:tcW w:w="2930" w:type="dxa"/>
            <w:tcBorders>
              <w:top w:val="single" w:sz="12" w:space="0" w:color="auto"/>
              <w:bottom w:val="nil"/>
            </w:tcBorders>
          </w:tcPr>
          <w:p w14:paraId="20AACAA1" w14:textId="77777777" w:rsidR="005D69AE" w:rsidRPr="003C39CF" w:rsidRDefault="005D69AE" w:rsidP="00D906FC">
            <w:pPr>
              <w:rPr>
                <w:rFonts w:ascii="Times New Roman" w:hAnsi="Times New Roman" w:cs="Times New Roman"/>
                <w:b/>
                <w:bCs/>
                <w:sz w:val="20"/>
                <w:szCs w:val="20"/>
              </w:rPr>
            </w:pPr>
            <w:r w:rsidRPr="003C39CF">
              <w:rPr>
                <w:rFonts w:ascii="Times New Roman" w:hAnsi="Times New Roman" w:cs="Times New Roman"/>
                <w:b/>
                <w:bCs/>
                <w:sz w:val="20"/>
                <w:szCs w:val="20"/>
              </w:rPr>
              <w:t>Age at Initial Exam</w:t>
            </w:r>
          </w:p>
        </w:tc>
        <w:tc>
          <w:tcPr>
            <w:tcW w:w="1240" w:type="dxa"/>
            <w:tcBorders>
              <w:top w:val="single" w:sz="12" w:space="0" w:color="auto"/>
              <w:bottom w:val="nil"/>
            </w:tcBorders>
          </w:tcPr>
          <w:p w14:paraId="532C52BC"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-0.03</w:t>
            </w:r>
          </w:p>
        </w:tc>
        <w:tc>
          <w:tcPr>
            <w:tcW w:w="1403" w:type="dxa"/>
            <w:tcBorders>
              <w:top w:val="single" w:sz="12" w:space="0" w:color="auto"/>
              <w:bottom w:val="nil"/>
            </w:tcBorders>
          </w:tcPr>
          <w:p w14:paraId="666EE4BD"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-0.04, -0.02</w:t>
            </w:r>
          </w:p>
        </w:tc>
        <w:tc>
          <w:tcPr>
            <w:tcW w:w="1136" w:type="dxa"/>
            <w:tcBorders>
              <w:top w:val="single" w:sz="12" w:space="0" w:color="auto"/>
              <w:bottom w:val="nil"/>
            </w:tcBorders>
          </w:tcPr>
          <w:p w14:paraId="474A1CD2"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c>
          <w:tcPr>
            <w:tcW w:w="1135" w:type="dxa"/>
            <w:tcBorders>
              <w:top w:val="single" w:sz="12" w:space="0" w:color="auto"/>
              <w:bottom w:val="nil"/>
            </w:tcBorders>
            <w:vAlign w:val="center"/>
          </w:tcPr>
          <w:p w14:paraId="01408F4A"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1.05</w:t>
            </w:r>
          </w:p>
        </w:tc>
        <w:tc>
          <w:tcPr>
            <w:tcW w:w="1471" w:type="dxa"/>
            <w:tcBorders>
              <w:top w:val="single" w:sz="12" w:space="0" w:color="auto"/>
              <w:bottom w:val="nil"/>
            </w:tcBorders>
            <w:vAlign w:val="center"/>
          </w:tcPr>
          <w:p w14:paraId="24C5CC0C"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1.09, 1.07</w:t>
            </w:r>
          </w:p>
        </w:tc>
        <w:tc>
          <w:tcPr>
            <w:tcW w:w="1173" w:type="dxa"/>
            <w:tcBorders>
              <w:top w:val="single" w:sz="12" w:space="0" w:color="auto"/>
              <w:bottom w:val="nil"/>
            </w:tcBorders>
            <w:vAlign w:val="center"/>
          </w:tcPr>
          <w:p w14:paraId="5331AABF"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r>
      <w:tr w:rsidR="005D69AE" w:rsidRPr="003C39CF" w14:paraId="240E5230" w14:textId="77777777" w:rsidTr="00B0092F">
        <w:trPr>
          <w:trHeight w:val="246"/>
          <w:jc w:val="center"/>
        </w:trPr>
        <w:tc>
          <w:tcPr>
            <w:tcW w:w="2930" w:type="dxa"/>
            <w:tcBorders>
              <w:top w:val="nil"/>
              <w:bottom w:val="nil"/>
            </w:tcBorders>
          </w:tcPr>
          <w:p w14:paraId="74F47253" w14:textId="77777777" w:rsidR="005D69AE" w:rsidRPr="003C39CF" w:rsidRDefault="005D69AE" w:rsidP="00D906FC">
            <w:pPr>
              <w:rPr>
                <w:rFonts w:ascii="Times New Roman" w:hAnsi="Times New Roman" w:cs="Times New Roman"/>
                <w:b/>
                <w:bCs/>
                <w:sz w:val="20"/>
                <w:szCs w:val="20"/>
              </w:rPr>
            </w:pPr>
            <w:r w:rsidRPr="003C39CF">
              <w:rPr>
                <w:rFonts w:ascii="Times New Roman" w:hAnsi="Times New Roman" w:cs="Times New Roman"/>
                <w:b/>
                <w:bCs/>
                <w:sz w:val="20"/>
                <w:szCs w:val="20"/>
              </w:rPr>
              <w:t>Age at Hire</w:t>
            </w:r>
          </w:p>
        </w:tc>
        <w:tc>
          <w:tcPr>
            <w:tcW w:w="1240" w:type="dxa"/>
            <w:tcBorders>
              <w:top w:val="nil"/>
              <w:bottom w:val="nil"/>
            </w:tcBorders>
          </w:tcPr>
          <w:p w14:paraId="60D2BD48"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-0.01</w:t>
            </w:r>
          </w:p>
        </w:tc>
        <w:tc>
          <w:tcPr>
            <w:tcW w:w="1403" w:type="dxa"/>
            <w:tcBorders>
              <w:top w:val="nil"/>
              <w:bottom w:val="nil"/>
            </w:tcBorders>
          </w:tcPr>
          <w:p w14:paraId="0FB458FD"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-0.02, -0.0004</w:t>
            </w:r>
          </w:p>
        </w:tc>
        <w:tc>
          <w:tcPr>
            <w:tcW w:w="1136" w:type="dxa"/>
            <w:tcBorders>
              <w:top w:val="nil"/>
              <w:bottom w:val="nil"/>
            </w:tcBorders>
          </w:tcPr>
          <w:p w14:paraId="14C68F9F"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0.0411</w:t>
            </w:r>
          </w:p>
        </w:tc>
        <w:tc>
          <w:tcPr>
            <w:tcW w:w="1135" w:type="dxa"/>
            <w:tcBorders>
              <w:top w:val="nil"/>
              <w:bottom w:val="nil"/>
            </w:tcBorders>
            <w:vAlign w:val="center"/>
          </w:tcPr>
          <w:p w14:paraId="20807299"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1.01</w:t>
            </w:r>
          </w:p>
        </w:tc>
        <w:tc>
          <w:tcPr>
            <w:tcW w:w="1471" w:type="dxa"/>
            <w:tcBorders>
              <w:top w:val="nil"/>
              <w:bottom w:val="nil"/>
            </w:tcBorders>
            <w:vAlign w:val="center"/>
          </w:tcPr>
          <w:p w14:paraId="7AB91505"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0.9978, 1.03</w:t>
            </w:r>
          </w:p>
        </w:tc>
        <w:tc>
          <w:tcPr>
            <w:tcW w:w="1173" w:type="dxa"/>
            <w:tcBorders>
              <w:top w:val="nil"/>
              <w:bottom w:val="nil"/>
            </w:tcBorders>
            <w:vAlign w:val="center"/>
          </w:tcPr>
          <w:p w14:paraId="29685EEC"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0.0938</w:t>
            </w:r>
          </w:p>
        </w:tc>
      </w:tr>
      <w:tr w:rsidR="005D69AE" w:rsidRPr="003C39CF" w14:paraId="17FA349B" w14:textId="77777777" w:rsidTr="00B0092F">
        <w:trPr>
          <w:trHeight w:val="246"/>
          <w:jc w:val="center"/>
        </w:trPr>
        <w:tc>
          <w:tcPr>
            <w:tcW w:w="2930" w:type="dxa"/>
            <w:tcBorders>
              <w:top w:val="nil"/>
              <w:bottom w:val="nil"/>
            </w:tcBorders>
          </w:tcPr>
          <w:p w14:paraId="5473B5BB" w14:textId="77777777" w:rsidR="005D69AE" w:rsidRPr="003C39CF" w:rsidRDefault="005D69AE" w:rsidP="00D906FC">
            <w:pPr>
              <w:rPr>
                <w:rFonts w:ascii="Times New Roman" w:hAnsi="Times New Roman" w:cs="Times New Roman"/>
                <w:b/>
                <w:bCs/>
                <w:sz w:val="20"/>
                <w:szCs w:val="20"/>
              </w:rPr>
            </w:pPr>
            <w:r w:rsidRPr="003C39CF">
              <w:rPr>
                <w:rFonts w:ascii="Times New Roman" w:hAnsi="Times New Roman" w:cs="Times New Roman"/>
                <w:b/>
                <w:bCs/>
                <w:sz w:val="20"/>
                <w:szCs w:val="20"/>
                <w:vertAlign w:val="superscript"/>
              </w:rPr>
              <w:t>1</w:t>
            </w:r>
            <w:r w:rsidRPr="003C39CF">
              <w:rPr>
                <w:rFonts w:ascii="Times New Roman" w:hAnsi="Times New Roman" w:cs="Times New Roman"/>
                <w:b/>
                <w:bCs/>
                <w:sz w:val="20"/>
                <w:szCs w:val="20"/>
              </w:rPr>
              <w:t>FEV</w:t>
            </w:r>
            <w:r w:rsidRPr="003C39CF">
              <w:rPr>
                <w:rFonts w:ascii="Times New Roman" w:hAnsi="Times New Roman" w:cs="Times New Roman"/>
                <w:b/>
                <w:bCs/>
                <w:sz w:val="20"/>
                <w:szCs w:val="20"/>
                <w:vertAlign w:val="subscript"/>
              </w:rPr>
              <w:t>1</w:t>
            </w:r>
            <w:r w:rsidRPr="003C39CF">
              <w:rPr>
                <w:rFonts w:ascii="Times New Roman" w:hAnsi="Times New Roman" w:cs="Times New Roman"/>
                <w:b/>
                <w:bCs/>
                <w:sz w:val="20"/>
                <w:szCs w:val="20"/>
              </w:rPr>
              <w:t xml:space="preserve"> at Initial Exam</w:t>
            </w:r>
          </w:p>
        </w:tc>
        <w:tc>
          <w:tcPr>
            <w:tcW w:w="1240" w:type="dxa"/>
            <w:tcBorders>
              <w:top w:val="nil"/>
              <w:bottom w:val="nil"/>
            </w:tcBorders>
          </w:tcPr>
          <w:p w14:paraId="760FACE8"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0.94</w:t>
            </w:r>
          </w:p>
        </w:tc>
        <w:tc>
          <w:tcPr>
            <w:tcW w:w="1403" w:type="dxa"/>
            <w:tcBorders>
              <w:top w:val="nil"/>
              <w:bottom w:val="nil"/>
            </w:tcBorders>
          </w:tcPr>
          <w:p w14:paraId="526948A6"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0.88, 1.01</w:t>
            </w:r>
          </w:p>
        </w:tc>
        <w:tc>
          <w:tcPr>
            <w:tcW w:w="1136" w:type="dxa"/>
            <w:tcBorders>
              <w:top w:val="nil"/>
              <w:bottom w:val="nil"/>
            </w:tcBorders>
          </w:tcPr>
          <w:p w14:paraId="2C14F8A0"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c>
          <w:tcPr>
            <w:tcW w:w="1135" w:type="dxa"/>
            <w:tcBorders>
              <w:top w:val="nil"/>
              <w:bottom w:val="nil"/>
            </w:tcBorders>
            <w:vAlign w:val="center"/>
          </w:tcPr>
          <w:p w14:paraId="3B92D051"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0.14</w:t>
            </w:r>
          </w:p>
        </w:tc>
        <w:tc>
          <w:tcPr>
            <w:tcW w:w="1471" w:type="dxa"/>
            <w:tcBorders>
              <w:top w:val="nil"/>
              <w:bottom w:val="nil"/>
            </w:tcBorders>
            <w:vAlign w:val="center"/>
          </w:tcPr>
          <w:p w14:paraId="0A4E8421"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0.11, 0.19</w:t>
            </w:r>
          </w:p>
        </w:tc>
        <w:tc>
          <w:tcPr>
            <w:tcW w:w="1173" w:type="dxa"/>
            <w:tcBorders>
              <w:top w:val="nil"/>
              <w:bottom w:val="nil"/>
            </w:tcBorders>
            <w:vAlign w:val="center"/>
          </w:tcPr>
          <w:p w14:paraId="012F8B28"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r>
      <w:tr w:rsidR="005D69AE" w:rsidRPr="003C39CF" w14:paraId="2E64F90C" w14:textId="77777777" w:rsidTr="00B0092F">
        <w:trPr>
          <w:trHeight w:val="246"/>
          <w:jc w:val="center"/>
        </w:trPr>
        <w:tc>
          <w:tcPr>
            <w:tcW w:w="2930" w:type="dxa"/>
            <w:tcBorders>
              <w:top w:val="nil"/>
              <w:bottom w:val="nil"/>
            </w:tcBorders>
          </w:tcPr>
          <w:p w14:paraId="74C0E530" w14:textId="77777777" w:rsidR="005D69AE" w:rsidRPr="003C39CF" w:rsidRDefault="005D69AE" w:rsidP="00D906FC">
            <w:pPr>
              <w:rPr>
                <w:rFonts w:ascii="Times New Roman" w:hAnsi="Times New Roman" w:cs="Times New Roman"/>
                <w:b/>
                <w:bCs/>
                <w:sz w:val="20"/>
                <w:szCs w:val="20"/>
                <w:vertAlign w:val="superscript"/>
              </w:rPr>
            </w:pPr>
            <w:r w:rsidRPr="003C39CF">
              <w:rPr>
                <w:rFonts w:ascii="Times New Roman" w:hAnsi="Times New Roman" w:cs="Times New Roman"/>
                <w:b/>
                <w:bCs/>
                <w:sz w:val="20"/>
                <w:szCs w:val="20"/>
              </w:rPr>
              <w:t>Sex</w:t>
            </w:r>
          </w:p>
        </w:tc>
        <w:tc>
          <w:tcPr>
            <w:tcW w:w="1240" w:type="dxa"/>
            <w:tcBorders>
              <w:top w:val="nil"/>
              <w:bottom w:val="nil"/>
            </w:tcBorders>
          </w:tcPr>
          <w:p w14:paraId="272567B3" w14:textId="77777777" w:rsidR="005D69AE" w:rsidRPr="003C39CF" w:rsidRDefault="005D69AE" w:rsidP="00D906FC">
            <w:pPr>
              <w:jc w:val="center"/>
              <w:rPr>
                <w:rFonts w:ascii="Times New Roman" w:hAnsi="Times New Roman" w:cs="Times New Roman"/>
                <w:sz w:val="20"/>
                <w:szCs w:val="20"/>
              </w:rPr>
            </w:pPr>
          </w:p>
        </w:tc>
        <w:tc>
          <w:tcPr>
            <w:tcW w:w="1403" w:type="dxa"/>
            <w:tcBorders>
              <w:top w:val="nil"/>
              <w:bottom w:val="nil"/>
            </w:tcBorders>
          </w:tcPr>
          <w:p w14:paraId="610806A2"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0BF34F12"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c>
          <w:tcPr>
            <w:tcW w:w="1135" w:type="dxa"/>
            <w:tcBorders>
              <w:top w:val="nil"/>
              <w:bottom w:val="nil"/>
            </w:tcBorders>
          </w:tcPr>
          <w:p w14:paraId="102D0D54"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tcPr>
          <w:p w14:paraId="2B65144D"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tcPr>
          <w:p w14:paraId="5FC89E12"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r>
      <w:tr w:rsidR="005D69AE" w:rsidRPr="003C39CF" w14:paraId="55924176" w14:textId="77777777" w:rsidTr="00B0092F">
        <w:trPr>
          <w:trHeight w:val="246"/>
          <w:jc w:val="center"/>
        </w:trPr>
        <w:tc>
          <w:tcPr>
            <w:tcW w:w="2930" w:type="dxa"/>
            <w:tcBorders>
              <w:top w:val="nil"/>
              <w:bottom w:val="nil"/>
            </w:tcBorders>
          </w:tcPr>
          <w:p w14:paraId="72B31966" w14:textId="77777777" w:rsidR="005D69AE" w:rsidRPr="003C39CF" w:rsidRDefault="005D69AE" w:rsidP="00D906FC">
            <w:pPr>
              <w:rPr>
                <w:rFonts w:ascii="Times New Roman" w:hAnsi="Times New Roman" w:cs="Times New Roman"/>
                <w:b/>
                <w:bCs/>
                <w:sz w:val="20"/>
                <w:szCs w:val="20"/>
                <w:vertAlign w:val="superscript"/>
              </w:rPr>
            </w:pPr>
            <w:r w:rsidRPr="003C39CF">
              <w:rPr>
                <w:rFonts w:ascii="Times New Roman" w:hAnsi="Times New Roman" w:cs="Times New Roman"/>
                <w:sz w:val="20"/>
                <w:szCs w:val="20"/>
              </w:rPr>
              <w:t xml:space="preserve">     Male</w:t>
            </w:r>
          </w:p>
        </w:tc>
        <w:tc>
          <w:tcPr>
            <w:tcW w:w="1240" w:type="dxa"/>
            <w:tcBorders>
              <w:top w:val="nil"/>
              <w:bottom w:val="nil"/>
            </w:tcBorders>
          </w:tcPr>
          <w:p w14:paraId="5BE2484D"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0.70</w:t>
            </w:r>
          </w:p>
        </w:tc>
        <w:tc>
          <w:tcPr>
            <w:tcW w:w="1403" w:type="dxa"/>
            <w:tcBorders>
              <w:top w:val="nil"/>
              <w:bottom w:val="nil"/>
            </w:tcBorders>
          </w:tcPr>
          <w:p w14:paraId="12FCA1B2"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0.51, 0.89</w:t>
            </w:r>
          </w:p>
        </w:tc>
        <w:tc>
          <w:tcPr>
            <w:tcW w:w="1136" w:type="dxa"/>
            <w:tcBorders>
              <w:top w:val="nil"/>
              <w:bottom w:val="nil"/>
            </w:tcBorders>
          </w:tcPr>
          <w:p w14:paraId="00D3D67A"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c>
          <w:tcPr>
            <w:tcW w:w="1135" w:type="dxa"/>
            <w:tcBorders>
              <w:top w:val="nil"/>
              <w:bottom w:val="nil"/>
            </w:tcBorders>
            <w:vAlign w:val="center"/>
          </w:tcPr>
          <w:p w14:paraId="59D7AB42"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0.41</w:t>
            </w:r>
          </w:p>
        </w:tc>
        <w:tc>
          <w:tcPr>
            <w:tcW w:w="1471" w:type="dxa"/>
            <w:tcBorders>
              <w:top w:val="nil"/>
              <w:bottom w:val="nil"/>
            </w:tcBorders>
            <w:vAlign w:val="center"/>
          </w:tcPr>
          <w:p w14:paraId="41D1F1DF"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0.30, 0.58</w:t>
            </w:r>
          </w:p>
        </w:tc>
        <w:tc>
          <w:tcPr>
            <w:tcW w:w="1173" w:type="dxa"/>
            <w:tcBorders>
              <w:top w:val="nil"/>
              <w:bottom w:val="nil"/>
            </w:tcBorders>
            <w:vAlign w:val="center"/>
          </w:tcPr>
          <w:p w14:paraId="2E38D6B9"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r>
      <w:tr w:rsidR="005D69AE" w:rsidRPr="003C39CF" w14:paraId="003D06AA" w14:textId="77777777" w:rsidTr="00B0092F">
        <w:trPr>
          <w:trHeight w:val="246"/>
          <w:jc w:val="center"/>
        </w:trPr>
        <w:tc>
          <w:tcPr>
            <w:tcW w:w="2930" w:type="dxa"/>
            <w:tcBorders>
              <w:top w:val="nil"/>
              <w:bottom w:val="nil"/>
            </w:tcBorders>
          </w:tcPr>
          <w:p w14:paraId="66E625EE" w14:textId="77777777" w:rsidR="005D69AE" w:rsidRPr="003C39CF" w:rsidRDefault="005D69AE" w:rsidP="00D906FC">
            <w:pPr>
              <w:rPr>
                <w:rFonts w:ascii="Times New Roman" w:hAnsi="Times New Roman" w:cs="Times New Roman"/>
                <w:b/>
                <w:bCs/>
                <w:sz w:val="20"/>
                <w:szCs w:val="20"/>
                <w:vertAlign w:val="superscript"/>
              </w:rPr>
            </w:pPr>
            <w:r w:rsidRPr="003C39CF">
              <w:rPr>
                <w:rFonts w:ascii="Times New Roman" w:hAnsi="Times New Roman" w:cs="Times New Roman"/>
                <w:sz w:val="20"/>
                <w:szCs w:val="20"/>
              </w:rPr>
              <w:t xml:space="preserve">     Female</w:t>
            </w:r>
          </w:p>
        </w:tc>
        <w:tc>
          <w:tcPr>
            <w:tcW w:w="7558" w:type="dxa"/>
            <w:gridSpan w:val="6"/>
            <w:tcBorders>
              <w:top w:val="nil"/>
              <w:bottom w:val="nil"/>
            </w:tcBorders>
          </w:tcPr>
          <w:p w14:paraId="264A020A"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i/>
                <w:iCs/>
                <w:sz w:val="20"/>
                <w:szCs w:val="20"/>
              </w:rPr>
              <w:t>Reference</w:t>
            </w:r>
          </w:p>
        </w:tc>
      </w:tr>
      <w:tr w:rsidR="005D69AE" w:rsidRPr="003C39CF" w14:paraId="7DDE3404" w14:textId="77777777" w:rsidTr="00B0092F">
        <w:trPr>
          <w:trHeight w:val="246"/>
          <w:jc w:val="center"/>
        </w:trPr>
        <w:tc>
          <w:tcPr>
            <w:tcW w:w="2930" w:type="dxa"/>
            <w:tcBorders>
              <w:top w:val="nil"/>
              <w:bottom w:val="nil"/>
            </w:tcBorders>
          </w:tcPr>
          <w:p w14:paraId="403550BE"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b/>
                <w:bCs/>
                <w:sz w:val="20"/>
                <w:szCs w:val="20"/>
              </w:rPr>
              <w:t>Smoking Status</w:t>
            </w:r>
          </w:p>
        </w:tc>
        <w:tc>
          <w:tcPr>
            <w:tcW w:w="1240" w:type="dxa"/>
            <w:tcBorders>
              <w:top w:val="nil"/>
              <w:bottom w:val="nil"/>
            </w:tcBorders>
          </w:tcPr>
          <w:p w14:paraId="58677093" w14:textId="77777777" w:rsidR="005D69AE" w:rsidRPr="003C39CF" w:rsidRDefault="005D69AE" w:rsidP="00D906FC">
            <w:pPr>
              <w:jc w:val="center"/>
              <w:rPr>
                <w:rFonts w:ascii="Times New Roman" w:hAnsi="Times New Roman" w:cs="Times New Roman"/>
                <w:i/>
                <w:iCs/>
                <w:sz w:val="20"/>
                <w:szCs w:val="20"/>
              </w:rPr>
            </w:pPr>
          </w:p>
        </w:tc>
        <w:tc>
          <w:tcPr>
            <w:tcW w:w="1403" w:type="dxa"/>
            <w:tcBorders>
              <w:top w:val="nil"/>
              <w:bottom w:val="nil"/>
            </w:tcBorders>
          </w:tcPr>
          <w:p w14:paraId="1356A0AE"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7D5EEE8D"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0.1620</w:t>
            </w:r>
          </w:p>
        </w:tc>
        <w:tc>
          <w:tcPr>
            <w:tcW w:w="1135" w:type="dxa"/>
            <w:tcBorders>
              <w:top w:val="nil"/>
              <w:bottom w:val="nil"/>
            </w:tcBorders>
          </w:tcPr>
          <w:p w14:paraId="3DF29208"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tcPr>
          <w:p w14:paraId="1DD90BA9"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tcPr>
          <w:p w14:paraId="2AA10233"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0.1753</w:t>
            </w:r>
          </w:p>
        </w:tc>
      </w:tr>
      <w:tr w:rsidR="005D69AE" w:rsidRPr="003C39CF" w14:paraId="0BFD7745" w14:textId="77777777" w:rsidTr="00B0092F">
        <w:trPr>
          <w:trHeight w:val="246"/>
          <w:jc w:val="center"/>
        </w:trPr>
        <w:tc>
          <w:tcPr>
            <w:tcW w:w="2930" w:type="dxa"/>
            <w:tcBorders>
              <w:top w:val="nil"/>
              <w:bottom w:val="nil"/>
            </w:tcBorders>
          </w:tcPr>
          <w:p w14:paraId="507E8752"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Yes</w:t>
            </w:r>
          </w:p>
        </w:tc>
        <w:tc>
          <w:tcPr>
            <w:tcW w:w="1240" w:type="dxa"/>
            <w:tcBorders>
              <w:top w:val="nil"/>
              <w:bottom w:val="nil"/>
            </w:tcBorders>
          </w:tcPr>
          <w:p w14:paraId="211A3706" w14:textId="77777777" w:rsidR="005D69AE" w:rsidRPr="003C39CF" w:rsidRDefault="005D69AE" w:rsidP="00D906FC">
            <w:pPr>
              <w:jc w:val="center"/>
              <w:rPr>
                <w:rFonts w:ascii="Times New Roman" w:hAnsi="Times New Roman" w:cs="Times New Roman"/>
                <w:i/>
                <w:iCs/>
                <w:sz w:val="20"/>
                <w:szCs w:val="20"/>
              </w:rPr>
            </w:pPr>
            <w:r w:rsidRPr="003C39CF">
              <w:rPr>
                <w:rFonts w:ascii="Times New Roman" w:hAnsi="Times New Roman" w:cs="Times New Roman"/>
                <w:sz w:val="20"/>
                <w:szCs w:val="20"/>
              </w:rPr>
              <w:t>-0.12,</w:t>
            </w:r>
          </w:p>
        </w:tc>
        <w:tc>
          <w:tcPr>
            <w:tcW w:w="1403" w:type="dxa"/>
            <w:tcBorders>
              <w:top w:val="nil"/>
              <w:bottom w:val="nil"/>
            </w:tcBorders>
          </w:tcPr>
          <w:p w14:paraId="05BD99AE"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-0.30, 0.50</w:t>
            </w:r>
          </w:p>
        </w:tc>
        <w:tc>
          <w:tcPr>
            <w:tcW w:w="1136" w:type="dxa"/>
            <w:tcBorders>
              <w:top w:val="nil"/>
              <w:bottom w:val="nil"/>
            </w:tcBorders>
          </w:tcPr>
          <w:p w14:paraId="55BD5A0A"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0.1620</w:t>
            </w:r>
          </w:p>
        </w:tc>
        <w:tc>
          <w:tcPr>
            <w:tcW w:w="1135" w:type="dxa"/>
            <w:tcBorders>
              <w:top w:val="nil"/>
              <w:bottom w:val="nil"/>
            </w:tcBorders>
            <w:vAlign w:val="center"/>
          </w:tcPr>
          <w:p w14:paraId="5C340374"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1.23</w:t>
            </w:r>
          </w:p>
        </w:tc>
        <w:tc>
          <w:tcPr>
            <w:tcW w:w="1471" w:type="dxa"/>
            <w:tcBorders>
              <w:top w:val="nil"/>
              <w:bottom w:val="nil"/>
            </w:tcBorders>
            <w:vAlign w:val="center"/>
          </w:tcPr>
          <w:p w14:paraId="52756077"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0.91, 1.65</w:t>
            </w:r>
          </w:p>
        </w:tc>
        <w:tc>
          <w:tcPr>
            <w:tcW w:w="1173" w:type="dxa"/>
            <w:tcBorders>
              <w:top w:val="nil"/>
              <w:bottom w:val="nil"/>
            </w:tcBorders>
            <w:vAlign w:val="center"/>
          </w:tcPr>
          <w:p w14:paraId="7C02A193"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0.1753</w:t>
            </w:r>
          </w:p>
        </w:tc>
      </w:tr>
      <w:tr w:rsidR="005D69AE" w:rsidRPr="003C39CF" w14:paraId="54B1906D" w14:textId="77777777" w:rsidTr="00B0092F">
        <w:trPr>
          <w:trHeight w:val="246"/>
          <w:jc w:val="center"/>
        </w:trPr>
        <w:tc>
          <w:tcPr>
            <w:tcW w:w="2930" w:type="dxa"/>
            <w:tcBorders>
              <w:top w:val="nil"/>
              <w:bottom w:val="nil"/>
            </w:tcBorders>
          </w:tcPr>
          <w:p w14:paraId="15D55714"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No</w:t>
            </w:r>
          </w:p>
        </w:tc>
        <w:tc>
          <w:tcPr>
            <w:tcW w:w="7558" w:type="dxa"/>
            <w:gridSpan w:val="6"/>
            <w:tcBorders>
              <w:top w:val="nil"/>
              <w:bottom w:val="nil"/>
            </w:tcBorders>
          </w:tcPr>
          <w:p w14:paraId="347A58E8"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i/>
                <w:iCs/>
                <w:sz w:val="20"/>
                <w:szCs w:val="20"/>
              </w:rPr>
              <w:t>Reference</w:t>
            </w:r>
          </w:p>
        </w:tc>
      </w:tr>
      <w:tr w:rsidR="005D69AE" w:rsidRPr="003C39CF" w14:paraId="3029D761" w14:textId="77777777" w:rsidTr="00B0092F">
        <w:trPr>
          <w:trHeight w:val="246"/>
          <w:jc w:val="center"/>
        </w:trPr>
        <w:tc>
          <w:tcPr>
            <w:tcW w:w="2930" w:type="dxa"/>
            <w:tcBorders>
              <w:top w:val="nil"/>
              <w:bottom w:val="nil"/>
            </w:tcBorders>
          </w:tcPr>
          <w:p w14:paraId="3AFE7EC3"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b/>
                <w:bCs/>
                <w:sz w:val="20"/>
                <w:szCs w:val="20"/>
              </w:rPr>
              <w:t>Frequent Cough</w:t>
            </w:r>
          </w:p>
        </w:tc>
        <w:tc>
          <w:tcPr>
            <w:tcW w:w="1240" w:type="dxa"/>
            <w:tcBorders>
              <w:top w:val="nil"/>
              <w:bottom w:val="nil"/>
            </w:tcBorders>
          </w:tcPr>
          <w:p w14:paraId="5051DE86" w14:textId="77777777" w:rsidR="005D69AE" w:rsidRPr="003C39CF" w:rsidRDefault="005D69AE" w:rsidP="00D906FC">
            <w:pPr>
              <w:jc w:val="center"/>
              <w:rPr>
                <w:rFonts w:ascii="Times New Roman" w:hAnsi="Times New Roman" w:cs="Times New Roman"/>
                <w:i/>
                <w:iCs/>
                <w:sz w:val="20"/>
                <w:szCs w:val="20"/>
              </w:rPr>
            </w:pPr>
          </w:p>
        </w:tc>
        <w:tc>
          <w:tcPr>
            <w:tcW w:w="1403" w:type="dxa"/>
            <w:tcBorders>
              <w:top w:val="nil"/>
              <w:bottom w:val="nil"/>
            </w:tcBorders>
          </w:tcPr>
          <w:p w14:paraId="6FD292CB"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7C5666F6"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c>
          <w:tcPr>
            <w:tcW w:w="1135" w:type="dxa"/>
            <w:tcBorders>
              <w:top w:val="nil"/>
              <w:bottom w:val="nil"/>
            </w:tcBorders>
          </w:tcPr>
          <w:p w14:paraId="19B8D6E4"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tcPr>
          <w:p w14:paraId="6318B57A"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tcPr>
          <w:p w14:paraId="45F7028E"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0.0005</w:t>
            </w:r>
          </w:p>
        </w:tc>
      </w:tr>
      <w:tr w:rsidR="005D69AE" w:rsidRPr="003C39CF" w14:paraId="61CE42E4" w14:textId="77777777" w:rsidTr="00B0092F">
        <w:trPr>
          <w:trHeight w:val="246"/>
          <w:jc w:val="center"/>
        </w:trPr>
        <w:tc>
          <w:tcPr>
            <w:tcW w:w="2930" w:type="dxa"/>
            <w:tcBorders>
              <w:top w:val="nil"/>
              <w:bottom w:val="nil"/>
            </w:tcBorders>
          </w:tcPr>
          <w:p w14:paraId="50387D41"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Yes</w:t>
            </w:r>
          </w:p>
        </w:tc>
        <w:tc>
          <w:tcPr>
            <w:tcW w:w="1240" w:type="dxa"/>
            <w:tcBorders>
              <w:top w:val="nil"/>
              <w:bottom w:val="nil"/>
            </w:tcBorders>
          </w:tcPr>
          <w:p w14:paraId="2229F85D" w14:textId="77777777" w:rsidR="005D69AE" w:rsidRPr="003C39CF" w:rsidRDefault="005D69AE" w:rsidP="00D906FC">
            <w:pPr>
              <w:jc w:val="center"/>
              <w:rPr>
                <w:rFonts w:ascii="Times New Roman" w:hAnsi="Times New Roman" w:cs="Times New Roman"/>
                <w:i/>
                <w:iCs/>
                <w:sz w:val="20"/>
                <w:szCs w:val="20"/>
              </w:rPr>
            </w:pPr>
            <w:r w:rsidRPr="003C39CF">
              <w:rPr>
                <w:rFonts w:ascii="Times New Roman" w:hAnsi="Times New Roman" w:cs="Times New Roman"/>
                <w:sz w:val="20"/>
                <w:szCs w:val="20"/>
              </w:rPr>
              <w:t>-0.45</w:t>
            </w:r>
          </w:p>
        </w:tc>
        <w:tc>
          <w:tcPr>
            <w:tcW w:w="1403" w:type="dxa"/>
            <w:tcBorders>
              <w:top w:val="nil"/>
              <w:bottom w:val="nil"/>
            </w:tcBorders>
          </w:tcPr>
          <w:p w14:paraId="3F29C1C8"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-0.62, -0.28</w:t>
            </w:r>
          </w:p>
        </w:tc>
        <w:tc>
          <w:tcPr>
            <w:tcW w:w="1136" w:type="dxa"/>
            <w:tcBorders>
              <w:top w:val="nil"/>
              <w:bottom w:val="nil"/>
            </w:tcBorders>
          </w:tcPr>
          <w:p w14:paraId="3FFBDFC3"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c>
          <w:tcPr>
            <w:tcW w:w="1135" w:type="dxa"/>
            <w:tcBorders>
              <w:top w:val="nil"/>
              <w:bottom w:val="nil"/>
            </w:tcBorders>
            <w:vAlign w:val="center"/>
          </w:tcPr>
          <w:p w14:paraId="3CC407F8"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1.72</w:t>
            </w:r>
          </w:p>
        </w:tc>
        <w:tc>
          <w:tcPr>
            <w:tcW w:w="1471" w:type="dxa"/>
            <w:tcBorders>
              <w:top w:val="nil"/>
              <w:bottom w:val="nil"/>
            </w:tcBorders>
            <w:vAlign w:val="center"/>
          </w:tcPr>
          <w:p w14:paraId="47727D8D"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1.27, 2.34</w:t>
            </w:r>
          </w:p>
        </w:tc>
        <w:tc>
          <w:tcPr>
            <w:tcW w:w="1173" w:type="dxa"/>
            <w:tcBorders>
              <w:top w:val="nil"/>
              <w:bottom w:val="nil"/>
            </w:tcBorders>
            <w:vAlign w:val="center"/>
          </w:tcPr>
          <w:p w14:paraId="0E475681"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0.0005</w:t>
            </w:r>
          </w:p>
        </w:tc>
      </w:tr>
      <w:tr w:rsidR="005D69AE" w:rsidRPr="003C39CF" w14:paraId="5C2729F9" w14:textId="77777777" w:rsidTr="00B0092F">
        <w:trPr>
          <w:trHeight w:val="246"/>
          <w:jc w:val="center"/>
        </w:trPr>
        <w:tc>
          <w:tcPr>
            <w:tcW w:w="2930" w:type="dxa"/>
            <w:tcBorders>
              <w:top w:val="nil"/>
              <w:bottom w:val="nil"/>
            </w:tcBorders>
          </w:tcPr>
          <w:p w14:paraId="40E90F3A"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No</w:t>
            </w:r>
          </w:p>
        </w:tc>
        <w:tc>
          <w:tcPr>
            <w:tcW w:w="7558" w:type="dxa"/>
            <w:gridSpan w:val="6"/>
            <w:tcBorders>
              <w:top w:val="nil"/>
              <w:bottom w:val="nil"/>
            </w:tcBorders>
          </w:tcPr>
          <w:p w14:paraId="47F9FB36"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i/>
                <w:iCs/>
                <w:sz w:val="20"/>
                <w:szCs w:val="20"/>
              </w:rPr>
              <w:t>Reference</w:t>
            </w:r>
          </w:p>
        </w:tc>
      </w:tr>
      <w:tr w:rsidR="005D69AE" w:rsidRPr="003C39CF" w14:paraId="6FCBE654" w14:textId="77777777" w:rsidTr="00B0092F">
        <w:trPr>
          <w:trHeight w:val="246"/>
          <w:jc w:val="center"/>
        </w:trPr>
        <w:tc>
          <w:tcPr>
            <w:tcW w:w="2930" w:type="dxa"/>
            <w:tcBorders>
              <w:top w:val="nil"/>
              <w:bottom w:val="nil"/>
            </w:tcBorders>
          </w:tcPr>
          <w:p w14:paraId="658209C0"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b/>
                <w:bCs/>
                <w:sz w:val="20"/>
                <w:szCs w:val="20"/>
              </w:rPr>
              <w:t>Shortness of Breath</w:t>
            </w:r>
          </w:p>
        </w:tc>
        <w:tc>
          <w:tcPr>
            <w:tcW w:w="1240" w:type="dxa"/>
            <w:tcBorders>
              <w:top w:val="nil"/>
              <w:bottom w:val="nil"/>
            </w:tcBorders>
          </w:tcPr>
          <w:p w14:paraId="48BCF1DA" w14:textId="77777777" w:rsidR="005D69AE" w:rsidRPr="003C39CF" w:rsidRDefault="005D69AE" w:rsidP="00D906FC">
            <w:pPr>
              <w:jc w:val="center"/>
              <w:rPr>
                <w:rFonts w:ascii="Times New Roman" w:hAnsi="Times New Roman" w:cs="Times New Roman"/>
                <w:i/>
                <w:iCs/>
                <w:sz w:val="20"/>
                <w:szCs w:val="20"/>
              </w:rPr>
            </w:pPr>
          </w:p>
        </w:tc>
        <w:tc>
          <w:tcPr>
            <w:tcW w:w="1403" w:type="dxa"/>
            <w:tcBorders>
              <w:top w:val="nil"/>
              <w:bottom w:val="nil"/>
            </w:tcBorders>
          </w:tcPr>
          <w:p w14:paraId="13970FA4"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253FB915"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c>
          <w:tcPr>
            <w:tcW w:w="1135" w:type="dxa"/>
            <w:tcBorders>
              <w:top w:val="nil"/>
              <w:bottom w:val="nil"/>
            </w:tcBorders>
          </w:tcPr>
          <w:p w14:paraId="18AC1E71"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tcPr>
          <w:p w14:paraId="1E18974A"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tcPr>
          <w:p w14:paraId="3070BB3D"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r>
      <w:tr w:rsidR="005D69AE" w:rsidRPr="003C39CF" w14:paraId="7D77B037" w14:textId="77777777" w:rsidTr="00B0092F">
        <w:trPr>
          <w:trHeight w:val="246"/>
          <w:jc w:val="center"/>
        </w:trPr>
        <w:tc>
          <w:tcPr>
            <w:tcW w:w="2930" w:type="dxa"/>
            <w:tcBorders>
              <w:top w:val="nil"/>
              <w:bottom w:val="nil"/>
            </w:tcBorders>
          </w:tcPr>
          <w:p w14:paraId="7C50162E"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Yes</w:t>
            </w:r>
          </w:p>
        </w:tc>
        <w:tc>
          <w:tcPr>
            <w:tcW w:w="1240" w:type="dxa"/>
            <w:tcBorders>
              <w:top w:val="nil"/>
              <w:bottom w:val="nil"/>
            </w:tcBorders>
          </w:tcPr>
          <w:p w14:paraId="276FD1AE" w14:textId="77777777" w:rsidR="005D69AE" w:rsidRPr="003C39CF" w:rsidRDefault="005D69AE" w:rsidP="00D906FC">
            <w:pPr>
              <w:jc w:val="center"/>
              <w:rPr>
                <w:rFonts w:ascii="Times New Roman" w:hAnsi="Times New Roman" w:cs="Times New Roman"/>
                <w:i/>
                <w:iCs/>
                <w:sz w:val="20"/>
                <w:szCs w:val="20"/>
              </w:rPr>
            </w:pPr>
            <w:r w:rsidRPr="003C39CF">
              <w:rPr>
                <w:rFonts w:ascii="Times New Roman" w:hAnsi="Times New Roman" w:cs="Times New Roman"/>
                <w:sz w:val="20"/>
                <w:szCs w:val="20"/>
              </w:rPr>
              <w:t>-0.52</w:t>
            </w:r>
          </w:p>
        </w:tc>
        <w:tc>
          <w:tcPr>
            <w:tcW w:w="1403" w:type="dxa"/>
            <w:tcBorders>
              <w:top w:val="nil"/>
              <w:bottom w:val="nil"/>
            </w:tcBorders>
          </w:tcPr>
          <w:p w14:paraId="07CBDA81"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-0.68, -0.36</w:t>
            </w:r>
          </w:p>
        </w:tc>
        <w:tc>
          <w:tcPr>
            <w:tcW w:w="1136" w:type="dxa"/>
            <w:tcBorders>
              <w:top w:val="nil"/>
              <w:bottom w:val="nil"/>
            </w:tcBorders>
          </w:tcPr>
          <w:p w14:paraId="328A359F"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c>
          <w:tcPr>
            <w:tcW w:w="1135" w:type="dxa"/>
            <w:tcBorders>
              <w:top w:val="nil"/>
              <w:bottom w:val="nil"/>
            </w:tcBorders>
            <w:vAlign w:val="center"/>
          </w:tcPr>
          <w:p w14:paraId="7B37D56C"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1.99</w:t>
            </w:r>
          </w:p>
        </w:tc>
        <w:tc>
          <w:tcPr>
            <w:tcW w:w="1471" w:type="dxa"/>
            <w:tcBorders>
              <w:top w:val="nil"/>
              <w:bottom w:val="nil"/>
            </w:tcBorders>
            <w:vAlign w:val="center"/>
          </w:tcPr>
          <w:p w14:paraId="28038713"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1.48, 2.66</w:t>
            </w:r>
          </w:p>
        </w:tc>
        <w:tc>
          <w:tcPr>
            <w:tcW w:w="1173" w:type="dxa"/>
            <w:tcBorders>
              <w:top w:val="nil"/>
              <w:bottom w:val="nil"/>
            </w:tcBorders>
            <w:vAlign w:val="center"/>
          </w:tcPr>
          <w:p w14:paraId="2A619AAD"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r>
      <w:tr w:rsidR="005D69AE" w:rsidRPr="003C39CF" w14:paraId="5630D012" w14:textId="77777777" w:rsidTr="00B0092F">
        <w:trPr>
          <w:trHeight w:val="246"/>
          <w:jc w:val="center"/>
        </w:trPr>
        <w:tc>
          <w:tcPr>
            <w:tcW w:w="2930" w:type="dxa"/>
            <w:tcBorders>
              <w:top w:val="nil"/>
              <w:bottom w:val="nil"/>
            </w:tcBorders>
          </w:tcPr>
          <w:p w14:paraId="73B03838"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No</w:t>
            </w:r>
          </w:p>
        </w:tc>
        <w:tc>
          <w:tcPr>
            <w:tcW w:w="7558" w:type="dxa"/>
            <w:gridSpan w:val="6"/>
            <w:tcBorders>
              <w:top w:val="nil"/>
              <w:bottom w:val="nil"/>
            </w:tcBorders>
          </w:tcPr>
          <w:p w14:paraId="4A69C17E"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i/>
                <w:iCs/>
                <w:sz w:val="20"/>
                <w:szCs w:val="20"/>
              </w:rPr>
              <w:t>Reference</w:t>
            </w:r>
          </w:p>
        </w:tc>
      </w:tr>
      <w:tr w:rsidR="005D69AE" w:rsidRPr="003C39CF" w14:paraId="51BE2236" w14:textId="77777777" w:rsidTr="00B0092F">
        <w:trPr>
          <w:trHeight w:val="246"/>
          <w:jc w:val="center"/>
        </w:trPr>
        <w:tc>
          <w:tcPr>
            <w:tcW w:w="2930" w:type="dxa"/>
            <w:tcBorders>
              <w:top w:val="nil"/>
            </w:tcBorders>
          </w:tcPr>
          <w:p w14:paraId="29AB1F74"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b/>
                <w:bCs/>
                <w:sz w:val="20"/>
                <w:szCs w:val="20"/>
              </w:rPr>
              <w:t>Wheezing</w:t>
            </w:r>
          </w:p>
        </w:tc>
        <w:tc>
          <w:tcPr>
            <w:tcW w:w="1240" w:type="dxa"/>
            <w:tcBorders>
              <w:top w:val="nil"/>
            </w:tcBorders>
          </w:tcPr>
          <w:p w14:paraId="24E2619C" w14:textId="77777777" w:rsidR="005D69AE" w:rsidRPr="003C39CF" w:rsidRDefault="005D69AE" w:rsidP="00D906FC">
            <w:pPr>
              <w:jc w:val="center"/>
              <w:rPr>
                <w:rFonts w:ascii="Times New Roman" w:hAnsi="Times New Roman" w:cs="Times New Roman"/>
                <w:i/>
                <w:iCs/>
                <w:sz w:val="20"/>
                <w:szCs w:val="20"/>
              </w:rPr>
            </w:pPr>
          </w:p>
        </w:tc>
        <w:tc>
          <w:tcPr>
            <w:tcW w:w="1403" w:type="dxa"/>
            <w:tcBorders>
              <w:top w:val="nil"/>
            </w:tcBorders>
          </w:tcPr>
          <w:p w14:paraId="1BC7678E"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tcBorders>
          </w:tcPr>
          <w:p w14:paraId="4BDC69CF"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c>
          <w:tcPr>
            <w:tcW w:w="1135" w:type="dxa"/>
            <w:tcBorders>
              <w:top w:val="nil"/>
            </w:tcBorders>
          </w:tcPr>
          <w:p w14:paraId="61D3FF04"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tcBorders>
          </w:tcPr>
          <w:p w14:paraId="1CEB2DF9"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tcBorders>
          </w:tcPr>
          <w:p w14:paraId="054F640E"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r>
      <w:tr w:rsidR="005D69AE" w:rsidRPr="003C39CF" w14:paraId="29642D47" w14:textId="77777777" w:rsidTr="00B0092F">
        <w:trPr>
          <w:trHeight w:val="246"/>
          <w:jc w:val="center"/>
        </w:trPr>
        <w:tc>
          <w:tcPr>
            <w:tcW w:w="2930" w:type="dxa"/>
            <w:tcBorders>
              <w:bottom w:val="nil"/>
            </w:tcBorders>
          </w:tcPr>
          <w:p w14:paraId="06334325"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Yes</w:t>
            </w:r>
          </w:p>
        </w:tc>
        <w:tc>
          <w:tcPr>
            <w:tcW w:w="1240" w:type="dxa"/>
            <w:tcBorders>
              <w:bottom w:val="nil"/>
            </w:tcBorders>
          </w:tcPr>
          <w:p w14:paraId="77A38787" w14:textId="77777777" w:rsidR="005D69AE" w:rsidRPr="003C39CF" w:rsidRDefault="005D69AE" w:rsidP="00D906FC">
            <w:pPr>
              <w:jc w:val="center"/>
              <w:rPr>
                <w:rFonts w:ascii="Times New Roman" w:hAnsi="Times New Roman" w:cs="Times New Roman"/>
                <w:i/>
                <w:iCs/>
                <w:sz w:val="20"/>
                <w:szCs w:val="20"/>
              </w:rPr>
            </w:pPr>
            <w:r w:rsidRPr="003C39CF">
              <w:rPr>
                <w:rFonts w:ascii="Times New Roman" w:hAnsi="Times New Roman" w:cs="Times New Roman"/>
                <w:sz w:val="20"/>
                <w:szCs w:val="20"/>
              </w:rPr>
              <w:t>-0.45</w:t>
            </w:r>
          </w:p>
        </w:tc>
        <w:tc>
          <w:tcPr>
            <w:tcW w:w="1403" w:type="dxa"/>
            <w:tcBorders>
              <w:bottom w:val="nil"/>
            </w:tcBorders>
          </w:tcPr>
          <w:p w14:paraId="579342DF"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-0.63, -0.28</w:t>
            </w:r>
          </w:p>
        </w:tc>
        <w:tc>
          <w:tcPr>
            <w:tcW w:w="1136" w:type="dxa"/>
            <w:tcBorders>
              <w:bottom w:val="nil"/>
            </w:tcBorders>
          </w:tcPr>
          <w:p w14:paraId="47795687"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c>
          <w:tcPr>
            <w:tcW w:w="1135" w:type="dxa"/>
            <w:tcBorders>
              <w:bottom w:val="nil"/>
            </w:tcBorders>
            <w:vAlign w:val="center"/>
          </w:tcPr>
          <w:p w14:paraId="14F95A01"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1.91</w:t>
            </w:r>
          </w:p>
        </w:tc>
        <w:tc>
          <w:tcPr>
            <w:tcW w:w="1471" w:type="dxa"/>
            <w:tcBorders>
              <w:bottom w:val="nil"/>
            </w:tcBorders>
            <w:vAlign w:val="center"/>
          </w:tcPr>
          <w:p w14:paraId="3CFE8D7D"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1.40, 2.60</w:t>
            </w:r>
          </w:p>
        </w:tc>
        <w:tc>
          <w:tcPr>
            <w:tcW w:w="1173" w:type="dxa"/>
            <w:tcBorders>
              <w:bottom w:val="nil"/>
            </w:tcBorders>
            <w:vAlign w:val="center"/>
          </w:tcPr>
          <w:p w14:paraId="0C86C5F0"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r>
      <w:tr w:rsidR="005D69AE" w:rsidRPr="003C39CF" w14:paraId="1FA10EFE" w14:textId="77777777" w:rsidTr="00B0092F">
        <w:trPr>
          <w:trHeight w:val="246"/>
          <w:jc w:val="center"/>
        </w:trPr>
        <w:tc>
          <w:tcPr>
            <w:tcW w:w="2930" w:type="dxa"/>
            <w:tcBorders>
              <w:top w:val="nil"/>
              <w:bottom w:val="nil"/>
            </w:tcBorders>
          </w:tcPr>
          <w:p w14:paraId="0329D344"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No</w:t>
            </w:r>
          </w:p>
        </w:tc>
        <w:tc>
          <w:tcPr>
            <w:tcW w:w="7558" w:type="dxa"/>
            <w:gridSpan w:val="6"/>
            <w:tcBorders>
              <w:top w:val="nil"/>
              <w:bottom w:val="nil"/>
            </w:tcBorders>
          </w:tcPr>
          <w:p w14:paraId="769A7C57"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i/>
                <w:iCs/>
                <w:sz w:val="20"/>
                <w:szCs w:val="20"/>
              </w:rPr>
              <w:t>Reference</w:t>
            </w:r>
          </w:p>
        </w:tc>
      </w:tr>
      <w:tr w:rsidR="005D69AE" w:rsidRPr="003C39CF" w14:paraId="01FA87FC" w14:textId="77777777" w:rsidTr="00B0092F">
        <w:trPr>
          <w:trHeight w:val="246"/>
          <w:jc w:val="center"/>
        </w:trPr>
        <w:tc>
          <w:tcPr>
            <w:tcW w:w="2930" w:type="dxa"/>
            <w:tcBorders>
              <w:top w:val="nil"/>
              <w:bottom w:val="nil"/>
            </w:tcBorders>
          </w:tcPr>
          <w:p w14:paraId="00C8FAB9"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b/>
                <w:bCs/>
                <w:sz w:val="20"/>
                <w:szCs w:val="20"/>
              </w:rPr>
              <w:t>Other Breathing Problems</w:t>
            </w:r>
          </w:p>
        </w:tc>
        <w:tc>
          <w:tcPr>
            <w:tcW w:w="1240" w:type="dxa"/>
            <w:tcBorders>
              <w:top w:val="nil"/>
              <w:bottom w:val="nil"/>
            </w:tcBorders>
          </w:tcPr>
          <w:p w14:paraId="39473385" w14:textId="77777777" w:rsidR="005D69AE" w:rsidRPr="003C39CF" w:rsidRDefault="005D69AE" w:rsidP="00D906FC">
            <w:pPr>
              <w:jc w:val="center"/>
              <w:rPr>
                <w:rFonts w:ascii="Times New Roman" w:hAnsi="Times New Roman" w:cs="Times New Roman"/>
                <w:i/>
                <w:iCs/>
                <w:sz w:val="20"/>
                <w:szCs w:val="20"/>
              </w:rPr>
            </w:pPr>
          </w:p>
        </w:tc>
        <w:tc>
          <w:tcPr>
            <w:tcW w:w="1403" w:type="dxa"/>
            <w:tcBorders>
              <w:top w:val="nil"/>
              <w:bottom w:val="nil"/>
            </w:tcBorders>
          </w:tcPr>
          <w:p w14:paraId="7B904483"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68A16107"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c>
          <w:tcPr>
            <w:tcW w:w="1135" w:type="dxa"/>
            <w:tcBorders>
              <w:top w:val="nil"/>
              <w:bottom w:val="nil"/>
            </w:tcBorders>
          </w:tcPr>
          <w:p w14:paraId="12144B19"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tcPr>
          <w:p w14:paraId="2F91B3BB"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tcPr>
          <w:p w14:paraId="03A8E8E0"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r>
      <w:tr w:rsidR="005D69AE" w:rsidRPr="003C39CF" w14:paraId="2E86A062" w14:textId="77777777" w:rsidTr="00B0092F">
        <w:trPr>
          <w:trHeight w:val="246"/>
          <w:jc w:val="center"/>
        </w:trPr>
        <w:tc>
          <w:tcPr>
            <w:tcW w:w="2930" w:type="dxa"/>
            <w:tcBorders>
              <w:top w:val="nil"/>
              <w:bottom w:val="nil"/>
            </w:tcBorders>
          </w:tcPr>
          <w:p w14:paraId="033F8147"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Yes</w:t>
            </w:r>
          </w:p>
        </w:tc>
        <w:tc>
          <w:tcPr>
            <w:tcW w:w="1240" w:type="dxa"/>
            <w:tcBorders>
              <w:top w:val="nil"/>
              <w:bottom w:val="nil"/>
            </w:tcBorders>
          </w:tcPr>
          <w:p w14:paraId="364F3326" w14:textId="77777777" w:rsidR="005D69AE" w:rsidRPr="003C39CF" w:rsidRDefault="005D69AE" w:rsidP="00D906FC">
            <w:pPr>
              <w:jc w:val="center"/>
              <w:rPr>
                <w:rFonts w:ascii="Times New Roman" w:hAnsi="Times New Roman" w:cs="Times New Roman"/>
                <w:i/>
                <w:iCs/>
                <w:sz w:val="20"/>
                <w:szCs w:val="20"/>
              </w:rPr>
            </w:pPr>
            <w:r w:rsidRPr="003C39CF">
              <w:rPr>
                <w:rFonts w:ascii="Times New Roman" w:hAnsi="Times New Roman" w:cs="Times New Roman"/>
                <w:sz w:val="20"/>
                <w:szCs w:val="20"/>
              </w:rPr>
              <w:t>-0.61</w:t>
            </w:r>
          </w:p>
        </w:tc>
        <w:tc>
          <w:tcPr>
            <w:tcW w:w="1403" w:type="dxa"/>
            <w:tcBorders>
              <w:top w:val="nil"/>
              <w:bottom w:val="nil"/>
            </w:tcBorders>
          </w:tcPr>
          <w:p w14:paraId="176A05AE"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-0.78, -0.43</w:t>
            </w:r>
          </w:p>
        </w:tc>
        <w:tc>
          <w:tcPr>
            <w:tcW w:w="1136" w:type="dxa"/>
            <w:tcBorders>
              <w:top w:val="nil"/>
              <w:bottom w:val="nil"/>
            </w:tcBorders>
          </w:tcPr>
          <w:p w14:paraId="59689DFB"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c>
          <w:tcPr>
            <w:tcW w:w="1135" w:type="dxa"/>
            <w:tcBorders>
              <w:top w:val="nil"/>
              <w:bottom w:val="nil"/>
            </w:tcBorders>
            <w:vAlign w:val="center"/>
          </w:tcPr>
          <w:p w14:paraId="1D8181C0"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2.26</w:t>
            </w:r>
          </w:p>
        </w:tc>
        <w:tc>
          <w:tcPr>
            <w:tcW w:w="1471" w:type="dxa"/>
            <w:tcBorders>
              <w:top w:val="nil"/>
              <w:bottom w:val="nil"/>
            </w:tcBorders>
            <w:vAlign w:val="center"/>
          </w:tcPr>
          <w:p w14:paraId="0C5B54E1"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1.63, 3.13</w:t>
            </w:r>
          </w:p>
        </w:tc>
        <w:tc>
          <w:tcPr>
            <w:tcW w:w="1173" w:type="dxa"/>
            <w:tcBorders>
              <w:top w:val="nil"/>
              <w:bottom w:val="nil"/>
            </w:tcBorders>
            <w:vAlign w:val="center"/>
          </w:tcPr>
          <w:p w14:paraId="26D40312"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r>
      <w:tr w:rsidR="005D69AE" w:rsidRPr="003C39CF" w14:paraId="1F78AC76" w14:textId="77777777" w:rsidTr="00B0092F">
        <w:trPr>
          <w:trHeight w:val="246"/>
          <w:jc w:val="center"/>
        </w:trPr>
        <w:tc>
          <w:tcPr>
            <w:tcW w:w="2930" w:type="dxa"/>
            <w:tcBorders>
              <w:top w:val="nil"/>
              <w:bottom w:val="nil"/>
            </w:tcBorders>
          </w:tcPr>
          <w:p w14:paraId="7DC39714"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No</w:t>
            </w:r>
          </w:p>
        </w:tc>
        <w:tc>
          <w:tcPr>
            <w:tcW w:w="7558" w:type="dxa"/>
            <w:gridSpan w:val="6"/>
            <w:tcBorders>
              <w:top w:val="nil"/>
              <w:bottom w:val="nil"/>
            </w:tcBorders>
          </w:tcPr>
          <w:p w14:paraId="5387E568"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i/>
                <w:iCs/>
                <w:sz w:val="20"/>
                <w:szCs w:val="20"/>
              </w:rPr>
              <w:t>Reference</w:t>
            </w:r>
          </w:p>
        </w:tc>
      </w:tr>
      <w:tr w:rsidR="005D69AE" w:rsidRPr="003C39CF" w14:paraId="6A710762" w14:textId="77777777" w:rsidTr="00B0092F">
        <w:trPr>
          <w:trHeight w:val="246"/>
          <w:jc w:val="center"/>
        </w:trPr>
        <w:tc>
          <w:tcPr>
            <w:tcW w:w="2930" w:type="dxa"/>
            <w:tcBorders>
              <w:top w:val="nil"/>
              <w:bottom w:val="nil"/>
            </w:tcBorders>
          </w:tcPr>
          <w:p w14:paraId="737CF0FF"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b/>
                <w:bCs/>
                <w:sz w:val="20"/>
                <w:szCs w:val="20"/>
                <w:vertAlign w:val="superscript"/>
              </w:rPr>
              <w:t>2</w:t>
            </w:r>
            <w:r w:rsidRPr="003C39CF">
              <w:rPr>
                <w:rFonts w:ascii="Times New Roman" w:hAnsi="Times New Roman" w:cs="Times New Roman"/>
                <w:b/>
                <w:bCs/>
                <w:sz w:val="20"/>
                <w:szCs w:val="20"/>
              </w:rPr>
              <w:t>DOE Job Category</w:t>
            </w:r>
          </w:p>
        </w:tc>
        <w:tc>
          <w:tcPr>
            <w:tcW w:w="1240" w:type="dxa"/>
            <w:tcBorders>
              <w:top w:val="nil"/>
              <w:bottom w:val="nil"/>
            </w:tcBorders>
          </w:tcPr>
          <w:p w14:paraId="1B366771" w14:textId="77777777" w:rsidR="005D69AE" w:rsidRPr="003C39CF" w:rsidRDefault="005D69AE" w:rsidP="00D906FC">
            <w:pPr>
              <w:jc w:val="center"/>
              <w:rPr>
                <w:rFonts w:ascii="Times New Roman" w:hAnsi="Times New Roman" w:cs="Times New Roman"/>
                <w:i/>
                <w:iCs/>
                <w:sz w:val="20"/>
                <w:szCs w:val="20"/>
              </w:rPr>
            </w:pPr>
          </w:p>
        </w:tc>
        <w:tc>
          <w:tcPr>
            <w:tcW w:w="1403" w:type="dxa"/>
            <w:tcBorders>
              <w:top w:val="nil"/>
              <w:bottom w:val="nil"/>
            </w:tcBorders>
          </w:tcPr>
          <w:p w14:paraId="112B16D2"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3D1735AE"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0.1942</w:t>
            </w:r>
          </w:p>
        </w:tc>
        <w:tc>
          <w:tcPr>
            <w:tcW w:w="1135" w:type="dxa"/>
            <w:tcBorders>
              <w:top w:val="nil"/>
              <w:bottom w:val="nil"/>
            </w:tcBorders>
            <w:vAlign w:val="center"/>
          </w:tcPr>
          <w:p w14:paraId="3E732150"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vAlign w:val="center"/>
          </w:tcPr>
          <w:p w14:paraId="61D1D061"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vAlign w:val="center"/>
          </w:tcPr>
          <w:p w14:paraId="4933FCAB"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0.2781</w:t>
            </w:r>
          </w:p>
        </w:tc>
      </w:tr>
      <w:tr w:rsidR="005D69AE" w:rsidRPr="003C39CF" w14:paraId="6792224B" w14:textId="77777777" w:rsidTr="00B0092F">
        <w:trPr>
          <w:trHeight w:val="246"/>
          <w:jc w:val="center"/>
        </w:trPr>
        <w:tc>
          <w:tcPr>
            <w:tcW w:w="2930" w:type="dxa"/>
            <w:tcBorders>
              <w:top w:val="nil"/>
              <w:bottom w:val="nil"/>
            </w:tcBorders>
            <w:vAlign w:val="bottom"/>
          </w:tcPr>
          <w:p w14:paraId="0D351D96"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w:t>
            </w:r>
            <w:r w:rsidRPr="003C39CF">
              <w:rPr>
                <w:rFonts w:ascii="Times New Roman" w:hAnsi="Times New Roman" w:cs="Times New Roman"/>
                <w:color w:val="000000"/>
                <w:sz w:val="20"/>
                <w:szCs w:val="20"/>
              </w:rPr>
              <w:t>Uranium Processing Facilities</w:t>
            </w:r>
          </w:p>
        </w:tc>
        <w:tc>
          <w:tcPr>
            <w:tcW w:w="1240" w:type="dxa"/>
            <w:tcBorders>
              <w:top w:val="nil"/>
              <w:bottom w:val="nil"/>
            </w:tcBorders>
          </w:tcPr>
          <w:p w14:paraId="49BCB4F2" w14:textId="77777777" w:rsidR="005D69AE" w:rsidRPr="003C39CF" w:rsidRDefault="005D69AE" w:rsidP="00D906FC">
            <w:pPr>
              <w:jc w:val="center"/>
              <w:rPr>
                <w:rFonts w:ascii="Times New Roman" w:hAnsi="Times New Roman" w:cs="Times New Roman"/>
                <w:i/>
                <w:iCs/>
                <w:sz w:val="20"/>
                <w:szCs w:val="20"/>
              </w:rPr>
            </w:pPr>
            <w:r w:rsidRPr="003C39CF">
              <w:rPr>
                <w:rFonts w:ascii="Times New Roman" w:hAnsi="Times New Roman" w:cs="Times New Roman"/>
                <w:sz w:val="20"/>
                <w:szCs w:val="20"/>
              </w:rPr>
              <w:t>-0.36</w:t>
            </w:r>
          </w:p>
        </w:tc>
        <w:tc>
          <w:tcPr>
            <w:tcW w:w="1403" w:type="dxa"/>
            <w:tcBorders>
              <w:top w:val="nil"/>
              <w:bottom w:val="nil"/>
            </w:tcBorders>
          </w:tcPr>
          <w:p w14:paraId="67767D41"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-0.75, 0.03</w:t>
            </w:r>
          </w:p>
        </w:tc>
        <w:tc>
          <w:tcPr>
            <w:tcW w:w="1136" w:type="dxa"/>
            <w:tcBorders>
              <w:top w:val="nil"/>
              <w:bottom w:val="nil"/>
            </w:tcBorders>
          </w:tcPr>
          <w:p w14:paraId="47B0228B"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0.0733</w:t>
            </w:r>
          </w:p>
        </w:tc>
        <w:tc>
          <w:tcPr>
            <w:tcW w:w="1135" w:type="dxa"/>
            <w:tcBorders>
              <w:top w:val="nil"/>
              <w:bottom w:val="nil"/>
            </w:tcBorders>
            <w:vAlign w:val="center"/>
          </w:tcPr>
          <w:p w14:paraId="4B2A18F8"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1.72</w:t>
            </w:r>
          </w:p>
        </w:tc>
        <w:tc>
          <w:tcPr>
            <w:tcW w:w="1471" w:type="dxa"/>
            <w:tcBorders>
              <w:top w:val="nil"/>
              <w:bottom w:val="nil"/>
            </w:tcBorders>
            <w:vAlign w:val="center"/>
          </w:tcPr>
          <w:p w14:paraId="290CC035"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0.85, 3.51</w:t>
            </w:r>
          </w:p>
        </w:tc>
        <w:tc>
          <w:tcPr>
            <w:tcW w:w="1173" w:type="dxa"/>
            <w:tcBorders>
              <w:top w:val="nil"/>
              <w:bottom w:val="nil"/>
            </w:tcBorders>
            <w:vAlign w:val="center"/>
          </w:tcPr>
          <w:p w14:paraId="69366A1F"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0.1319</w:t>
            </w:r>
          </w:p>
        </w:tc>
      </w:tr>
      <w:tr w:rsidR="005D69AE" w:rsidRPr="003C39CF" w14:paraId="72970E36" w14:textId="77777777" w:rsidTr="00B0092F">
        <w:trPr>
          <w:trHeight w:val="246"/>
          <w:jc w:val="center"/>
        </w:trPr>
        <w:tc>
          <w:tcPr>
            <w:tcW w:w="2930" w:type="dxa"/>
            <w:tcBorders>
              <w:top w:val="nil"/>
              <w:bottom w:val="nil"/>
            </w:tcBorders>
            <w:vAlign w:val="bottom"/>
          </w:tcPr>
          <w:p w14:paraId="6C3A7AD3"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w:t>
            </w:r>
            <w:r w:rsidRPr="003C39CF">
              <w:rPr>
                <w:rFonts w:ascii="Times New Roman" w:hAnsi="Times New Roman" w:cs="Times New Roman"/>
                <w:color w:val="000000"/>
                <w:sz w:val="20"/>
                <w:szCs w:val="20"/>
              </w:rPr>
              <w:t>Weapons Production</w:t>
            </w:r>
          </w:p>
        </w:tc>
        <w:tc>
          <w:tcPr>
            <w:tcW w:w="1240" w:type="dxa"/>
            <w:tcBorders>
              <w:top w:val="nil"/>
              <w:bottom w:val="nil"/>
            </w:tcBorders>
          </w:tcPr>
          <w:p w14:paraId="1A86D9DB" w14:textId="77777777" w:rsidR="005D69AE" w:rsidRPr="003C39CF" w:rsidRDefault="005D69AE" w:rsidP="00D906FC">
            <w:pPr>
              <w:jc w:val="center"/>
              <w:rPr>
                <w:rFonts w:ascii="Times New Roman" w:hAnsi="Times New Roman" w:cs="Times New Roman"/>
                <w:i/>
                <w:iCs/>
                <w:sz w:val="20"/>
                <w:szCs w:val="20"/>
              </w:rPr>
            </w:pPr>
            <w:r w:rsidRPr="003C39CF">
              <w:rPr>
                <w:rFonts w:ascii="Times New Roman" w:hAnsi="Times New Roman" w:cs="Times New Roman"/>
                <w:sz w:val="20"/>
                <w:szCs w:val="20"/>
              </w:rPr>
              <w:t>-0.11</w:t>
            </w:r>
          </w:p>
        </w:tc>
        <w:tc>
          <w:tcPr>
            <w:tcW w:w="1403" w:type="dxa"/>
            <w:tcBorders>
              <w:top w:val="nil"/>
              <w:bottom w:val="nil"/>
            </w:tcBorders>
          </w:tcPr>
          <w:p w14:paraId="42605AEF"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-0.33, 0.10</w:t>
            </w:r>
          </w:p>
        </w:tc>
        <w:tc>
          <w:tcPr>
            <w:tcW w:w="1136" w:type="dxa"/>
            <w:tcBorders>
              <w:top w:val="nil"/>
              <w:bottom w:val="nil"/>
            </w:tcBorders>
          </w:tcPr>
          <w:p w14:paraId="058D5B65"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0.3074</w:t>
            </w:r>
          </w:p>
        </w:tc>
        <w:tc>
          <w:tcPr>
            <w:tcW w:w="1135" w:type="dxa"/>
            <w:tcBorders>
              <w:top w:val="nil"/>
              <w:bottom w:val="nil"/>
            </w:tcBorders>
            <w:vAlign w:val="center"/>
          </w:tcPr>
          <w:p w14:paraId="1AF7D9A1"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1.03</w:t>
            </w:r>
          </w:p>
        </w:tc>
        <w:tc>
          <w:tcPr>
            <w:tcW w:w="1471" w:type="dxa"/>
            <w:tcBorders>
              <w:top w:val="nil"/>
              <w:bottom w:val="nil"/>
            </w:tcBorders>
            <w:vAlign w:val="center"/>
          </w:tcPr>
          <w:p w14:paraId="3164C836"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0.71, 1.49</w:t>
            </w:r>
          </w:p>
        </w:tc>
        <w:tc>
          <w:tcPr>
            <w:tcW w:w="1173" w:type="dxa"/>
            <w:tcBorders>
              <w:top w:val="nil"/>
              <w:bottom w:val="nil"/>
            </w:tcBorders>
            <w:vAlign w:val="center"/>
          </w:tcPr>
          <w:p w14:paraId="0261877A"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0.8792</w:t>
            </w:r>
          </w:p>
        </w:tc>
      </w:tr>
      <w:tr w:rsidR="005D69AE" w:rsidRPr="003C39CF" w14:paraId="048939F6" w14:textId="77777777" w:rsidTr="00B0092F">
        <w:trPr>
          <w:trHeight w:val="246"/>
          <w:jc w:val="center"/>
        </w:trPr>
        <w:tc>
          <w:tcPr>
            <w:tcW w:w="2930" w:type="dxa"/>
            <w:tcBorders>
              <w:top w:val="nil"/>
              <w:bottom w:val="nil"/>
            </w:tcBorders>
            <w:vAlign w:val="bottom"/>
          </w:tcPr>
          <w:p w14:paraId="280924FB"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w:t>
            </w:r>
            <w:r w:rsidRPr="003C39CF">
              <w:rPr>
                <w:rFonts w:ascii="Times New Roman" w:hAnsi="Times New Roman" w:cs="Times New Roman"/>
                <w:color w:val="000000"/>
                <w:sz w:val="20"/>
                <w:szCs w:val="20"/>
              </w:rPr>
              <w:t>Science and Laboratory Facilities</w:t>
            </w:r>
          </w:p>
        </w:tc>
        <w:tc>
          <w:tcPr>
            <w:tcW w:w="7558" w:type="dxa"/>
            <w:gridSpan w:val="6"/>
            <w:tcBorders>
              <w:top w:val="nil"/>
              <w:bottom w:val="nil"/>
            </w:tcBorders>
          </w:tcPr>
          <w:p w14:paraId="01DC893A"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i/>
                <w:iCs/>
                <w:sz w:val="20"/>
                <w:szCs w:val="20"/>
              </w:rPr>
              <w:t>Reference</w:t>
            </w:r>
          </w:p>
        </w:tc>
      </w:tr>
      <w:tr w:rsidR="005D69AE" w:rsidRPr="003C39CF" w14:paraId="25A41089" w14:textId="77777777" w:rsidTr="00B0092F">
        <w:trPr>
          <w:trHeight w:val="246"/>
          <w:jc w:val="center"/>
        </w:trPr>
        <w:tc>
          <w:tcPr>
            <w:tcW w:w="2930" w:type="dxa"/>
            <w:tcBorders>
              <w:top w:val="nil"/>
              <w:bottom w:val="nil"/>
            </w:tcBorders>
          </w:tcPr>
          <w:p w14:paraId="1F813537"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b/>
                <w:bCs/>
                <w:sz w:val="20"/>
                <w:szCs w:val="20"/>
              </w:rPr>
              <w:t>Welding Fumes Exposure</w:t>
            </w:r>
          </w:p>
        </w:tc>
        <w:tc>
          <w:tcPr>
            <w:tcW w:w="1240" w:type="dxa"/>
            <w:tcBorders>
              <w:top w:val="nil"/>
              <w:bottom w:val="nil"/>
            </w:tcBorders>
          </w:tcPr>
          <w:p w14:paraId="3AE334D8" w14:textId="77777777" w:rsidR="005D69AE" w:rsidRPr="003C39CF" w:rsidRDefault="005D69AE" w:rsidP="00D906FC">
            <w:pPr>
              <w:jc w:val="center"/>
              <w:rPr>
                <w:rFonts w:ascii="Times New Roman" w:hAnsi="Times New Roman" w:cs="Times New Roman"/>
                <w:i/>
                <w:iCs/>
                <w:sz w:val="20"/>
                <w:szCs w:val="20"/>
              </w:rPr>
            </w:pPr>
          </w:p>
        </w:tc>
        <w:tc>
          <w:tcPr>
            <w:tcW w:w="1403" w:type="dxa"/>
            <w:tcBorders>
              <w:top w:val="nil"/>
              <w:bottom w:val="nil"/>
            </w:tcBorders>
          </w:tcPr>
          <w:p w14:paraId="396F2410"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77C75705"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0.0907</w:t>
            </w:r>
          </w:p>
        </w:tc>
        <w:tc>
          <w:tcPr>
            <w:tcW w:w="1135" w:type="dxa"/>
            <w:tcBorders>
              <w:top w:val="nil"/>
              <w:bottom w:val="nil"/>
            </w:tcBorders>
          </w:tcPr>
          <w:p w14:paraId="35625985"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tcPr>
          <w:p w14:paraId="19112327"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tcPr>
          <w:p w14:paraId="417E4EDB"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0.0312</w:t>
            </w:r>
          </w:p>
        </w:tc>
      </w:tr>
      <w:tr w:rsidR="005D69AE" w:rsidRPr="003C39CF" w14:paraId="0E938109" w14:textId="77777777" w:rsidTr="00B0092F">
        <w:trPr>
          <w:trHeight w:val="246"/>
          <w:jc w:val="center"/>
        </w:trPr>
        <w:tc>
          <w:tcPr>
            <w:tcW w:w="2930" w:type="dxa"/>
            <w:tcBorders>
              <w:top w:val="nil"/>
              <w:bottom w:val="nil"/>
            </w:tcBorders>
          </w:tcPr>
          <w:p w14:paraId="221B1D9B"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Yes</w:t>
            </w:r>
          </w:p>
        </w:tc>
        <w:tc>
          <w:tcPr>
            <w:tcW w:w="1240" w:type="dxa"/>
            <w:tcBorders>
              <w:top w:val="nil"/>
              <w:bottom w:val="nil"/>
            </w:tcBorders>
          </w:tcPr>
          <w:p w14:paraId="054B81E1" w14:textId="77777777" w:rsidR="005D69AE" w:rsidRPr="003C39CF" w:rsidRDefault="005D69AE" w:rsidP="00D906FC">
            <w:pPr>
              <w:jc w:val="center"/>
              <w:rPr>
                <w:rFonts w:ascii="Times New Roman" w:hAnsi="Times New Roman" w:cs="Times New Roman"/>
                <w:i/>
                <w:iCs/>
                <w:sz w:val="20"/>
                <w:szCs w:val="20"/>
              </w:rPr>
            </w:pPr>
            <w:r w:rsidRPr="003C39CF">
              <w:rPr>
                <w:rFonts w:ascii="Times New Roman" w:hAnsi="Times New Roman" w:cs="Times New Roman"/>
                <w:sz w:val="20"/>
                <w:szCs w:val="20"/>
              </w:rPr>
              <w:t>0.14</w:t>
            </w:r>
          </w:p>
        </w:tc>
        <w:tc>
          <w:tcPr>
            <w:tcW w:w="1403" w:type="dxa"/>
            <w:tcBorders>
              <w:top w:val="nil"/>
              <w:bottom w:val="nil"/>
            </w:tcBorders>
          </w:tcPr>
          <w:p w14:paraId="3CC23B8D"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-0.02, 0.31</w:t>
            </w:r>
          </w:p>
        </w:tc>
        <w:tc>
          <w:tcPr>
            <w:tcW w:w="1136" w:type="dxa"/>
            <w:tcBorders>
              <w:top w:val="nil"/>
              <w:bottom w:val="nil"/>
            </w:tcBorders>
          </w:tcPr>
          <w:p w14:paraId="02736D83"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0.0907</w:t>
            </w:r>
          </w:p>
        </w:tc>
        <w:tc>
          <w:tcPr>
            <w:tcW w:w="1135" w:type="dxa"/>
            <w:tcBorders>
              <w:top w:val="nil"/>
              <w:bottom w:val="nil"/>
            </w:tcBorders>
            <w:vAlign w:val="center"/>
          </w:tcPr>
          <w:p w14:paraId="213CF38A"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0.73</w:t>
            </w:r>
          </w:p>
        </w:tc>
        <w:tc>
          <w:tcPr>
            <w:tcW w:w="1471" w:type="dxa"/>
            <w:tcBorders>
              <w:top w:val="nil"/>
              <w:bottom w:val="nil"/>
            </w:tcBorders>
            <w:vAlign w:val="center"/>
          </w:tcPr>
          <w:p w14:paraId="3A57AA69"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0.55, 0.97</w:t>
            </w:r>
          </w:p>
        </w:tc>
        <w:tc>
          <w:tcPr>
            <w:tcW w:w="1173" w:type="dxa"/>
            <w:tcBorders>
              <w:top w:val="nil"/>
              <w:bottom w:val="nil"/>
            </w:tcBorders>
            <w:vAlign w:val="center"/>
          </w:tcPr>
          <w:p w14:paraId="50314E3E"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0.0312</w:t>
            </w:r>
          </w:p>
        </w:tc>
      </w:tr>
      <w:tr w:rsidR="005D69AE" w:rsidRPr="003C39CF" w14:paraId="32D62977" w14:textId="77777777" w:rsidTr="00B0092F">
        <w:trPr>
          <w:trHeight w:val="246"/>
          <w:jc w:val="center"/>
        </w:trPr>
        <w:tc>
          <w:tcPr>
            <w:tcW w:w="2930" w:type="dxa"/>
            <w:tcBorders>
              <w:top w:val="nil"/>
              <w:bottom w:val="nil"/>
            </w:tcBorders>
          </w:tcPr>
          <w:p w14:paraId="4BC9E7F2"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No</w:t>
            </w:r>
          </w:p>
        </w:tc>
        <w:tc>
          <w:tcPr>
            <w:tcW w:w="7558" w:type="dxa"/>
            <w:gridSpan w:val="6"/>
            <w:tcBorders>
              <w:top w:val="nil"/>
              <w:bottom w:val="nil"/>
            </w:tcBorders>
          </w:tcPr>
          <w:p w14:paraId="1BD4192A"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i/>
                <w:iCs/>
                <w:sz w:val="20"/>
                <w:szCs w:val="20"/>
              </w:rPr>
              <w:t>Reference</w:t>
            </w:r>
          </w:p>
        </w:tc>
      </w:tr>
      <w:tr w:rsidR="005D69AE" w:rsidRPr="003C39CF" w14:paraId="40EC1F07" w14:textId="77777777" w:rsidTr="00B0092F">
        <w:trPr>
          <w:trHeight w:val="246"/>
          <w:jc w:val="center"/>
        </w:trPr>
        <w:tc>
          <w:tcPr>
            <w:tcW w:w="2930" w:type="dxa"/>
            <w:tcBorders>
              <w:top w:val="nil"/>
              <w:bottom w:val="nil"/>
            </w:tcBorders>
          </w:tcPr>
          <w:p w14:paraId="5D017F76"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b/>
                <w:bCs/>
                <w:sz w:val="20"/>
                <w:szCs w:val="20"/>
              </w:rPr>
              <w:t>Cluster Assignment</w:t>
            </w:r>
          </w:p>
        </w:tc>
        <w:tc>
          <w:tcPr>
            <w:tcW w:w="1240" w:type="dxa"/>
            <w:tcBorders>
              <w:top w:val="nil"/>
              <w:bottom w:val="nil"/>
            </w:tcBorders>
          </w:tcPr>
          <w:p w14:paraId="1D83CBC7" w14:textId="77777777" w:rsidR="005D69AE" w:rsidRPr="003C39CF" w:rsidRDefault="005D69AE" w:rsidP="00D906FC">
            <w:pPr>
              <w:jc w:val="center"/>
              <w:rPr>
                <w:rFonts w:ascii="Times New Roman" w:hAnsi="Times New Roman" w:cs="Times New Roman"/>
                <w:i/>
                <w:iCs/>
                <w:sz w:val="20"/>
                <w:szCs w:val="20"/>
              </w:rPr>
            </w:pPr>
          </w:p>
        </w:tc>
        <w:tc>
          <w:tcPr>
            <w:tcW w:w="1403" w:type="dxa"/>
            <w:tcBorders>
              <w:top w:val="nil"/>
              <w:bottom w:val="nil"/>
            </w:tcBorders>
          </w:tcPr>
          <w:p w14:paraId="642D5913"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3ABF0831"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0.4357</w:t>
            </w:r>
          </w:p>
        </w:tc>
        <w:tc>
          <w:tcPr>
            <w:tcW w:w="1135" w:type="dxa"/>
            <w:tcBorders>
              <w:top w:val="nil"/>
              <w:bottom w:val="nil"/>
            </w:tcBorders>
            <w:vAlign w:val="center"/>
          </w:tcPr>
          <w:p w14:paraId="4DAA14EB"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vAlign w:val="center"/>
          </w:tcPr>
          <w:p w14:paraId="10F16267"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vAlign w:val="center"/>
          </w:tcPr>
          <w:p w14:paraId="1758B388"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0.7412</w:t>
            </w:r>
          </w:p>
        </w:tc>
      </w:tr>
      <w:tr w:rsidR="005D69AE" w:rsidRPr="003C39CF" w14:paraId="16205FCF" w14:textId="77777777" w:rsidTr="00B0092F">
        <w:trPr>
          <w:trHeight w:val="246"/>
          <w:jc w:val="center"/>
        </w:trPr>
        <w:tc>
          <w:tcPr>
            <w:tcW w:w="2930" w:type="dxa"/>
            <w:tcBorders>
              <w:top w:val="nil"/>
              <w:bottom w:val="nil"/>
            </w:tcBorders>
          </w:tcPr>
          <w:p w14:paraId="3D6F3958"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Cluster 2</w:t>
            </w:r>
          </w:p>
        </w:tc>
        <w:tc>
          <w:tcPr>
            <w:tcW w:w="1240" w:type="dxa"/>
            <w:tcBorders>
              <w:top w:val="nil"/>
              <w:bottom w:val="nil"/>
            </w:tcBorders>
          </w:tcPr>
          <w:p w14:paraId="6EF7AAB9" w14:textId="77777777" w:rsidR="005D69AE" w:rsidRPr="003C39CF" w:rsidRDefault="005D69AE" w:rsidP="00D906FC">
            <w:pPr>
              <w:jc w:val="center"/>
              <w:rPr>
                <w:rFonts w:ascii="Times New Roman" w:hAnsi="Times New Roman" w:cs="Times New Roman"/>
                <w:i/>
                <w:iCs/>
                <w:sz w:val="20"/>
                <w:szCs w:val="20"/>
              </w:rPr>
            </w:pPr>
            <w:r w:rsidRPr="003C39CF">
              <w:rPr>
                <w:rFonts w:ascii="Times New Roman" w:hAnsi="Times New Roman" w:cs="Times New Roman"/>
                <w:sz w:val="20"/>
                <w:szCs w:val="20"/>
              </w:rPr>
              <w:t>-0.14</w:t>
            </w:r>
          </w:p>
        </w:tc>
        <w:tc>
          <w:tcPr>
            <w:tcW w:w="1403" w:type="dxa"/>
            <w:tcBorders>
              <w:top w:val="nil"/>
              <w:bottom w:val="nil"/>
            </w:tcBorders>
          </w:tcPr>
          <w:p w14:paraId="2E5D7F88"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-0.63, 0.35</w:t>
            </w:r>
          </w:p>
        </w:tc>
        <w:tc>
          <w:tcPr>
            <w:tcW w:w="1136" w:type="dxa"/>
            <w:tcBorders>
              <w:top w:val="nil"/>
              <w:bottom w:val="nil"/>
            </w:tcBorders>
          </w:tcPr>
          <w:p w14:paraId="53F255DA"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0.5677</w:t>
            </w:r>
          </w:p>
        </w:tc>
        <w:tc>
          <w:tcPr>
            <w:tcW w:w="1135" w:type="dxa"/>
            <w:tcBorders>
              <w:top w:val="nil"/>
              <w:bottom w:val="nil"/>
            </w:tcBorders>
            <w:vAlign w:val="center"/>
          </w:tcPr>
          <w:p w14:paraId="12D4770C"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1.23</w:t>
            </w:r>
          </w:p>
        </w:tc>
        <w:tc>
          <w:tcPr>
            <w:tcW w:w="1471" w:type="dxa"/>
            <w:tcBorders>
              <w:top w:val="nil"/>
              <w:bottom w:val="nil"/>
            </w:tcBorders>
            <w:vAlign w:val="center"/>
          </w:tcPr>
          <w:p w14:paraId="7BE7BB95"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 xml:space="preserve">0.60, </w:t>
            </w:r>
          </w:p>
        </w:tc>
        <w:tc>
          <w:tcPr>
            <w:tcW w:w="1173" w:type="dxa"/>
            <w:tcBorders>
              <w:top w:val="nil"/>
              <w:bottom w:val="nil"/>
            </w:tcBorders>
            <w:vAlign w:val="center"/>
          </w:tcPr>
          <w:p w14:paraId="04143420"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0.5633</w:t>
            </w:r>
          </w:p>
        </w:tc>
      </w:tr>
      <w:tr w:rsidR="005D69AE" w:rsidRPr="003C39CF" w14:paraId="4CC63578" w14:textId="77777777" w:rsidTr="00B0092F">
        <w:trPr>
          <w:trHeight w:val="246"/>
          <w:jc w:val="center"/>
        </w:trPr>
        <w:tc>
          <w:tcPr>
            <w:tcW w:w="2930" w:type="dxa"/>
            <w:tcBorders>
              <w:top w:val="nil"/>
              <w:bottom w:val="nil"/>
            </w:tcBorders>
          </w:tcPr>
          <w:p w14:paraId="730833CE"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Cluster 3</w:t>
            </w:r>
          </w:p>
        </w:tc>
        <w:tc>
          <w:tcPr>
            <w:tcW w:w="1240" w:type="dxa"/>
            <w:tcBorders>
              <w:top w:val="nil"/>
              <w:bottom w:val="nil"/>
            </w:tcBorders>
          </w:tcPr>
          <w:p w14:paraId="1CB85B1A" w14:textId="77777777" w:rsidR="005D69AE" w:rsidRPr="003C39CF" w:rsidRDefault="005D69AE" w:rsidP="00D906FC">
            <w:pPr>
              <w:jc w:val="center"/>
              <w:rPr>
                <w:rFonts w:ascii="Times New Roman" w:hAnsi="Times New Roman" w:cs="Times New Roman"/>
                <w:i/>
                <w:iCs/>
                <w:sz w:val="20"/>
                <w:szCs w:val="20"/>
              </w:rPr>
            </w:pPr>
            <w:r w:rsidRPr="003C39CF">
              <w:rPr>
                <w:rFonts w:ascii="Times New Roman" w:hAnsi="Times New Roman" w:cs="Times New Roman"/>
                <w:sz w:val="20"/>
                <w:szCs w:val="20"/>
              </w:rPr>
              <w:t>-0.38</w:t>
            </w:r>
          </w:p>
        </w:tc>
        <w:tc>
          <w:tcPr>
            <w:tcW w:w="1403" w:type="dxa"/>
            <w:tcBorders>
              <w:top w:val="nil"/>
              <w:bottom w:val="nil"/>
            </w:tcBorders>
          </w:tcPr>
          <w:p w14:paraId="678BB242"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-1.05, 0.30</w:t>
            </w:r>
          </w:p>
        </w:tc>
        <w:tc>
          <w:tcPr>
            <w:tcW w:w="1136" w:type="dxa"/>
            <w:tcBorders>
              <w:top w:val="nil"/>
              <w:bottom w:val="nil"/>
            </w:tcBorders>
          </w:tcPr>
          <w:p w14:paraId="7542888E"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0.2786</w:t>
            </w:r>
          </w:p>
        </w:tc>
        <w:tc>
          <w:tcPr>
            <w:tcW w:w="1135" w:type="dxa"/>
            <w:tcBorders>
              <w:top w:val="nil"/>
              <w:bottom w:val="nil"/>
            </w:tcBorders>
            <w:vAlign w:val="center"/>
          </w:tcPr>
          <w:p w14:paraId="147DB616"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1.79</w:t>
            </w:r>
          </w:p>
        </w:tc>
        <w:tc>
          <w:tcPr>
            <w:tcW w:w="1471" w:type="dxa"/>
            <w:tcBorders>
              <w:top w:val="nil"/>
              <w:bottom w:val="nil"/>
            </w:tcBorders>
            <w:vAlign w:val="center"/>
          </w:tcPr>
          <w:p w14:paraId="35BF1F44"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 xml:space="preserve">0.48, </w:t>
            </w:r>
          </w:p>
        </w:tc>
        <w:tc>
          <w:tcPr>
            <w:tcW w:w="1173" w:type="dxa"/>
            <w:tcBorders>
              <w:top w:val="nil"/>
              <w:bottom w:val="nil"/>
            </w:tcBorders>
            <w:vAlign w:val="center"/>
          </w:tcPr>
          <w:p w14:paraId="001F532A"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0.3791</w:t>
            </w:r>
          </w:p>
        </w:tc>
      </w:tr>
      <w:tr w:rsidR="005D69AE" w:rsidRPr="003C39CF" w14:paraId="5D0601C3" w14:textId="77777777" w:rsidTr="00B0092F">
        <w:trPr>
          <w:trHeight w:val="246"/>
          <w:jc w:val="center"/>
        </w:trPr>
        <w:tc>
          <w:tcPr>
            <w:tcW w:w="2930" w:type="dxa"/>
            <w:tcBorders>
              <w:top w:val="nil"/>
              <w:bottom w:val="nil"/>
            </w:tcBorders>
          </w:tcPr>
          <w:p w14:paraId="6AFE13CF"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Cluster 4</w:t>
            </w:r>
          </w:p>
        </w:tc>
        <w:tc>
          <w:tcPr>
            <w:tcW w:w="1240" w:type="dxa"/>
            <w:tcBorders>
              <w:top w:val="nil"/>
              <w:bottom w:val="nil"/>
            </w:tcBorders>
          </w:tcPr>
          <w:p w14:paraId="304AE4E9" w14:textId="77777777" w:rsidR="005D69AE" w:rsidRPr="003C39CF" w:rsidRDefault="005D69AE" w:rsidP="00D906FC">
            <w:pPr>
              <w:jc w:val="center"/>
              <w:rPr>
                <w:rFonts w:ascii="Times New Roman" w:hAnsi="Times New Roman" w:cs="Times New Roman"/>
                <w:i/>
                <w:iCs/>
                <w:sz w:val="20"/>
                <w:szCs w:val="20"/>
              </w:rPr>
            </w:pPr>
            <w:r w:rsidRPr="003C39CF">
              <w:rPr>
                <w:rFonts w:ascii="Times New Roman" w:hAnsi="Times New Roman" w:cs="Times New Roman"/>
                <w:sz w:val="20"/>
                <w:szCs w:val="20"/>
              </w:rPr>
              <w:t>-0.70</w:t>
            </w:r>
          </w:p>
        </w:tc>
        <w:tc>
          <w:tcPr>
            <w:tcW w:w="1403" w:type="dxa"/>
            <w:tcBorders>
              <w:top w:val="nil"/>
              <w:bottom w:val="nil"/>
            </w:tcBorders>
          </w:tcPr>
          <w:p w14:paraId="443C8A19"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-1.66, 0.26</w:t>
            </w:r>
          </w:p>
        </w:tc>
        <w:tc>
          <w:tcPr>
            <w:tcW w:w="1136" w:type="dxa"/>
            <w:tcBorders>
              <w:top w:val="nil"/>
              <w:bottom w:val="nil"/>
            </w:tcBorders>
          </w:tcPr>
          <w:p w14:paraId="618AB78C"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0.1577</w:t>
            </w:r>
          </w:p>
        </w:tc>
        <w:tc>
          <w:tcPr>
            <w:tcW w:w="1135" w:type="dxa"/>
            <w:tcBorders>
              <w:top w:val="nil"/>
              <w:bottom w:val="nil"/>
            </w:tcBorders>
            <w:vAlign w:val="center"/>
          </w:tcPr>
          <w:p w14:paraId="21B0673A"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4.87</w:t>
            </w:r>
          </w:p>
        </w:tc>
        <w:tc>
          <w:tcPr>
            <w:tcW w:w="1471" w:type="dxa"/>
            <w:tcBorders>
              <w:top w:val="nil"/>
              <w:bottom w:val="nil"/>
            </w:tcBorders>
            <w:vAlign w:val="center"/>
          </w:tcPr>
          <w:p w14:paraId="0774EF18"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0.00, 80331</w:t>
            </w:r>
          </w:p>
        </w:tc>
        <w:tc>
          <w:tcPr>
            <w:tcW w:w="1173" w:type="dxa"/>
            <w:tcBorders>
              <w:top w:val="nil"/>
              <w:bottom w:val="nil"/>
            </w:tcBorders>
            <w:vAlign w:val="center"/>
          </w:tcPr>
          <w:p w14:paraId="2C052916"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0.9851</w:t>
            </w:r>
          </w:p>
        </w:tc>
      </w:tr>
      <w:tr w:rsidR="005D69AE" w:rsidRPr="003C39CF" w14:paraId="3A3EF13A" w14:textId="77777777" w:rsidTr="00B0092F">
        <w:trPr>
          <w:trHeight w:val="246"/>
          <w:jc w:val="center"/>
        </w:trPr>
        <w:tc>
          <w:tcPr>
            <w:tcW w:w="2930" w:type="dxa"/>
            <w:tcBorders>
              <w:top w:val="nil"/>
              <w:bottom w:val="nil"/>
            </w:tcBorders>
          </w:tcPr>
          <w:p w14:paraId="4A7E8EB3"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Cluster 1</w:t>
            </w:r>
          </w:p>
        </w:tc>
        <w:tc>
          <w:tcPr>
            <w:tcW w:w="7558" w:type="dxa"/>
            <w:gridSpan w:val="6"/>
            <w:tcBorders>
              <w:top w:val="nil"/>
              <w:bottom w:val="nil"/>
            </w:tcBorders>
          </w:tcPr>
          <w:p w14:paraId="74354257"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i/>
                <w:iCs/>
                <w:sz w:val="20"/>
                <w:szCs w:val="20"/>
              </w:rPr>
              <w:t>Reference</w:t>
            </w:r>
          </w:p>
        </w:tc>
      </w:tr>
      <w:tr w:rsidR="005D69AE" w:rsidRPr="003C39CF" w14:paraId="4FEAE0AB" w14:textId="77777777" w:rsidTr="00B0092F">
        <w:trPr>
          <w:trHeight w:val="246"/>
          <w:jc w:val="center"/>
        </w:trPr>
        <w:tc>
          <w:tcPr>
            <w:tcW w:w="2930" w:type="dxa"/>
            <w:tcBorders>
              <w:top w:val="nil"/>
              <w:bottom w:val="nil"/>
            </w:tcBorders>
          </w:tcPr>
          <w:p w14:paraId="1BB90E05"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b/>
                <w:bCs/>
                <w:sz w:val="20"/>
                <w:szCs w:val="20"/>
              </w:rPr>
              <w:t>Myocardial Infarction</w:t>
            </w:r>
          </w:p>
        </w:tc>
        <w:tc>
          <w:tcPr>
            <w:tcW w:w="1240" w:type="dxa"/>
            <w:tcBorders>
              <w:top w:val="nil"/>
              <w:bottom w:val="nil"/>
            </w:tcBorders>
          </w:tcPr>
          <w:p w14:paraId="255BA864" w14:textId="77777777" w:rsidR="005D69AE" w:rsidRPr="003C39CF" w:rsidRDefault="005D69AE" w:rsidP="00D906FC">
            <w:pPr>
              <w:jc w:val="center"/>
              <w:rPr>
                <w:rFonts w:ascii="Times New Roman" w:hAnsi="Times New Roman" w:cs="Times New Roman"/>
                <w:i/>
                <w:iCs/>
                <w:sz w:val="20"/>
                <w:szCs w:val="20"/>
              </w:rPr>
            </w:pPr>
          </w:p>
        </w:tc>
        <w:tc>
          <w:tcPr>
            <w:tcW w:w="1403" w:type="dxa"/>
            <w:tcBorders>
              <w:top w:val="nil"/>
              <w:bottom w:val="nil"/>
            </w:tcBorders>
          </w:tcPr>
          <w:p w14:paraId="4857BE3F"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692A6062"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0.0025</w:t>
            </w:r>
          </w:p>
        </w:tc>
        <w:tc>
          <w:tcPr>
            <w:tcW w:w="1135" w:type="dxa"/>
            <w:tcBorders>
              <w:top w:val="nil"/>
              <w:bottom w:val="nil"/>
            </w:tcBorders>
          </w:tcPr>
          <w:p w14:paraId="19C08637"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tcPr>
          <w:p w14:paraId="09E9B411"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tcPr>
          <w:p w14:paraId="65AD999C"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0.0112</w:t>
            </w:r>
          </w:p>
        </w:tc>
      </w:tr>
      <w:tr w:rsidR="005D69AE" w:rsidRPr="003C39CF" w14:paraId="232113EA" w14:textId="77777777" w:rsidTr="00B0092F">
        <w:trPr>
          <w:trHeight w:val="246"/>
          <w:jc w:val="center"/>
        </w:trPr>
        <w:tc>
          <w:tcPr>
            <w:tcW w:w="2930" w:type="dxa"/>
            <w:tcBorders>
              <w:top w:val="nil"/>
              <w:bottom w:val="nil"/>
            </w:tcBorders>
          </w:tcPr>
          <w:p w14:paraId="00B9E8A6"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Yes</w:t>
            </w:r>
          </w:p>
        </w:tc>
        <w:tc>
          <w:tcPr>
            <w:tcW w:w="1240" w:type="dxa"/>
            <w:tcBorders>
              <w:top w:val="nil"/>
              <w:bottom w:val="nil"/>
            </w:tcBorders>
          </w:tcPr>
          <w:p w14:paraId="771EEAB0" w14:textId="77777777" w:rsidR="005D69AE" w:rsidRPr="003C39CF" w:rsidRDefault="005D69AE" w:rsidP="00D906FC">
            <w:pPr>
              <w:jc w:val="center"/>
              <w:rPr>
                <w:rFonts w:ascii="Times New Roman" w:hAnsi="Times New Roman" w:cs="Times New Roman"/>
                <w:i/>
                <w:iCs/>
                <w:sz w:val="20"/>
                <w:szCs w:val="20"/>
              </w:rPr>
            </w:pPr>
            <w:r w:rsidRPr="003C39CF">
              <w:rPr>
                <w:rFonts w:ascii="Times New Roman" w:hAnsi="Times New Roman" w:cs="Times New Roman"/>
                <w:sz w:val="20"/>
                <w:szCs w:val="20"/>
              </w:rPr>
              <w:t>-0.42</w:t>
            </w:r>
          </w:p>
        </w:tc>
        <w:tc>
          <w:tcPr>
            <w:tcW w:w="1403" w:type="dxa"/>
            <w:tcBorders>
              <w:top w:val="nil"/>
              <w:bottom w:val="nil"/>
            </w:tcBorders>
          </w:tcPr>
          <w:p w14:paraId="781E5F97"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-0.69, -0.15</w:t>
            </w:r>
          </w:p>
        </w:tc>
        <w:tc>
          <w:tcPr>
            <w:tcW w:w="1136" w:type="dxa"/>
            <w:tcBorders>
              <w:top w:val="nil"/>
              <w:bottom w:val="nil"/>
            </w:tcBorders>
          </w:tcPr>
          <w:p w14:paraId="404620C3"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0.0025</w:t>
            </w:r>
          </w:p>
        </w:tc>
        <w:tc>
          <w:tcPr>
            <w:tcW w:w="1135" w:type="dxa"/>
            <w:tcBorders>
              <w:top w:val="nil"/>
              <w:bottom w:val="nil"/>
            </w:tcBorders>
            <w:vAlign w:val="center"/>
          </w:tcPr>
          <w:p w14:paraId="5D63AAE3"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1.92</w:t>
            </w:r>
          </w:p>
        </w:tc>
        <w:tc>
          <w:tcPr>
            <w:tcW w:w="1471" w:type="dxa"/>
            <w:tcBorders>
              <w:top w:val="nil"/>
              <w:bottom w:val="nil"/>
            </w:tcBorders>
            <w:vAlign w:val="center"/>
          </w:tcPr>
          <w:p w14:paraId="539F9C55"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1.16, 3.17</w:t>
            </w:r>
          </w:p>
        </w:tc>
        <w:tc>
          <w:tcPr>
            <w:tcW w:w="1173" w:type="dxa"/>
            <w:tcBorders>
              <w:top w:val="nil"/>
              <w:bottom w:val="nil"/>
            </w:tcBorders>
            <w:vAlign w:val="center"/>
          </w:tcPr>
          <w:p w14:paraId="2D3D48DD"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0.0112</w:t>
            </w:r>
          </w:p>
        </w:tc>
      </w:tr>
      <w:tr w:rsidR="005D69AE" w:rsidRPr="003C39CF" w14:paraId="47B4CB2D" w14:textId="77777777" w:rsidTr="00B0092F">
        <w:trPr>
          <w:trHeight w:val="246"/>
          <w:jc w:val="center"/>
        </w:trPr>
        <w:tc>
          <w:tcPr>
            <w:tcW w:w="2930" w:type="dxa"/>
            <w:tcBorders>
              <w:top w:val="nil"/>
              <w:bottom w:val="nil"/>
            </w:tcBorders>
          </w:tcPr>
          <w:p w14:paraId="4705B260"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No</w:t>
            </w:r>
          </w:p>
        </w:tc>
        <w:tc>
          <w:tcPr>
            <w:tcW w:w="7558" w:type="dxa"/>
            <w:gridSpan w:val="6"/>
            <w:tcBorders>
              <w:top w:val="nil"/>
              <w:bottom w:val="nil"/>
            </w:tcBorders>
          </w:tcPr>
          <w:p w14:paraId="4098F9D2"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i/>
                <w:iCs/>
                <w:sz w:val="20"/>
                <w:szCs w:val="20"/>
              </w:rPr>
              <w:t>Reference</w:t>
            </w:r>
          </w:p>
        </w:tc>
      </w:tr>
      <w:tr w:rsidR="005D69AE" w:rsidRPr="003C39CF" w14:paraId="3437942B" w14:textId="77777777" w:rsidTr="00B0092F">
        <w:trPr>
          <w:trHeight w:val="246"/>
          <w:jc w:val="center"/>
        </w:trPr>
        <w:tc>
          <w:tcPr>
            <w:tcW w:w="2930" w:type="dxa"/>
            <w:tcBorders>
              <w:top w:val="nil"/>
              <w:bottom w:val="nil"/>
            </w:tcBorders>
          </w:tcPr>
          <w:p w14:paraId="7DE347AC"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b/>
                <w:bCs/>
                <w:sz w:val="20"/>
                <w:szCs w:val="20"/>
              </w:rPr>
              <w:t>Coronary Artery Disease</w:t>
            </w:r>
          </w:p>
        </w:tc>
        <w:tc>
          <w:tcPr>
            <w:tcW w:w="1240" w:type="dxa"/>
            <w:tcBorders>
              <w:top w:val="nil"/>
              <w:bottom w:val="nil"/>
            </w:tcBorders>
          </w:tcPr>
          <w:p w14:paraId="134198E2" w14:textId="77777777" w:rsidR="005D69AE" w:rsidRPr="003C39CF" w:rsidRDefault="005D69AE" w:rsidP="00D906FC">
            <w:pPr>
              <w:jc w:val="center"/>
              <w:rPr>
                <w:rFonts w:ascii="Times New Roman" w:hAnsi="Times New Roman" w:cs="Times New Roman"/>
                <w:i/>
                <w:iCs/>
                <w:sz w:val="20"/>
                <w:szCs w:val="20"/>
              </w:rPr>
            </w:pPr>
          </w:p>
        </w:tc>
        <w:tc>
          <w:tcPr>
            <w:tcW w:w="1403" w:type="dxa"/>
            <w:tcBorders>
              <w:top w:val="nil"/>
              <w:bottom w:val="nil"/>
            </w:tcBorders>
          </w:tcPr>
          <w:p w14:paraId="5692D245"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5999756F"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0.0051</w:t>
            </w:r>
          </w:p>
        </w:tc>
        <w:tc>
          <w:tcPr>
            <w:tcW w:w="1135" w:type="dxa"/>
            <w:tcBorders>
              <w:top w:val="nil"/>
              <w:bottom w:val="nil"/>
            </w:tcBorders>
          </w:tcPr>
          <w:p w14:paraId="6F3B1164"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tcPr>
          <w:p w14:paraId="48172303"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tcPr>
          <w:p w14:paraId="3AA70355"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0.0278</w:t>
            </w:r>
          </w:p>
        </w:tc>
      </w:tr>
      <w:tr w:rsidR="005D69AE" w:rsidRPr="003C39CF" w14:paraId="78DC2C28" w14:textId="77777777" w:rsidTr="00B0092F">
        <w:trPr>
          <w:trHeight w:val="246"/>
          <w:jc w:val="center"/>
        </w:trPr>
        <w:tc>
          <w:tcPr>
            <w:tcW w:w="2930" w:type="dxa"/>
            <w:tcBorders>
              <w:top w:val="nil"/>
              <w:bottom w:val="nil"/>
            </w:tcBorders>
          </w:tcPr>
          <w:p w14:paraId="533C099D"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Yes</w:t>
            </w:r>
          </w:p>
        </w:tc>
        <w:tc>
          <w:tcPr>
            <w:tcW w:w="1240" w:type="dxa"/>
            <w:tcBorders>
              <w:top w:val="nil"/>
              <w:bottom w:val="nil"/>
            </w:tcBorders>
          </w:tcPr>
          <w:p w14:paraId="4149BDA0" w14:textId="77777777" w:rsidR="005D69AE" w:rsidRPr="003C39CF" w:rsidRDefault="005D69AE" w:rsidP="00D906FC">
            <w:pPr>
              <w:jc w:val="center"/>
              <w:rPr>
                <w:rFonts w:ascii="Times New Roman" w:hAnsi="Times New Roman" w:cs="Times New Roman"/>
                <w:i/>
                <w:iCs/>
                <w:sz w:val="20"/>
                <w:szCs w:val="20"/>
              </w:rPr>
            </w:pPr>
            <w:r w:rsidRPr="003C39CF">
              <w:rPr>
                <w:rFonts w:ascii="Times New Roman" w:hAnsi="Times New Roman" w:cs="Times New Roman"/>
                <w:sz w:val="20"/>
                <w:szCs w:val="20"/>
              </w:rPr>
              <w:t>-0.34</w:t>
            </w:r>
          </w:p>
        </w:tc>
        <w:tc>
          <w:tcPr>
            <w:tcW w:w="1403" w:type="dxa"/>
            <w:tcBorders>
              <w:top w:val="nil"/>
              <w:bottom w:val="nil"/>
            </w:tcBorders>
          </w:tcPr>
          <w:p w14:paraId="44FC8B0D"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-0.58, -0.10</w:t>
            </w:r>
          </w:p>
        </w:tc>
        <w:tc>
          <w:tcPr>
            <w:tcW w:w="1136" w:type="dxa"/>
            <w:tcBorders>
              <w:top w:val="nil"/>
              <w:bottom w:val="nil"/>
            </w:tcBorders>
          </w:tcPr>
          <w:p w14:paraId="276F4917"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0.0051</w:t>
            </w:r>
          </w:p>
        </w:tc>
        <w:tc>
          <w:tcPr>
            <w:tcW w:w="1135" w:type="dxa"/>
            <w:tcBorders>
              <w:top w:val="nil"/>
              <w:bottom w:val="nil"/>
            </w:tcBorders>
            <w:vAlign w:val="center"/>
          </w:tcPr>
          <w:p w14:paraId="7353C940"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1.63</w:t>
            </w:r>
          </w:p>
        </w:tc>
        <w:tc>
          <w:tcPr>
            <w:tcW w:w="1471" w:type="dxa"/>
            <w:tcBorders>
              <w:top w:val="nil"/>
              <w:bottom w:val="nil"/>
            </w:tcBorders>
            <w:vAlign w:val="center"/>
          </w:tcPr>
          <w:p w14:paraId="705C8A8B"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1.05, 2.51</w:t>
            </w:r>
          </w:p>
        </w:tc>
        <w:tc>
          <w:tcPr>
            <w:tcW w:w="1173" w:type="dxa"/>
            <w:tcBorders>
              <w:top w:val="nil"/>
              <w:bottom w:val="nil"/>
            </w:tcBorders>
            <w:vAlign w:val="center"/>
          </w:tcPr>
          <w:p w14:paraId="293BDEB9"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0.0278</w:t>
            </w:r>
          </w:p>
        </w:tc>
      </w:tr>
      <w:tr w:rsidR="005D69AE" w:rsidRPr="003C39CF" w14:paraId="1CAF95B4" w14:textId="77777777" w:rsidTr="00B0092F">
        <w:trPr>
          <w:trHeight w:val="246"/>
          <w:jc w:val="center"/>
        </w:trPr>
        <w:tc>
          <w:tcPr>
            <w:tcW w:w="2930" w:type="dxa"/>
            <w:tcBorders>
              <w:top w:val="nil"/>
              <w:bottom w:val="nil"/>
            </w:tcBorders>
          </w:tcPr>
          <w:p w14:paraId="3196E947"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No</w:t>
            </w:r>
          </w:p>
        </w:tc>
        <w:tc>
          <w:tcPr>
            <w:tcW w:w="7558" w:type="dxa"/>
            <w:gridSpan w:val="6"/>
            <w:tcBorders>
              <w:top w:val="nil"/>
              <w:bottom w:val="nil"/>
            </w:tcBorders>
          </w:tcPr>
          <w:p w14:paraId="05800E41"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i/>
                <w:iCs/>
                <w:sz w:val="20"/>
                <w:szCs w:val="20"/>
              </w:rPr>
              <w:t>Reference</w:t>
            </w:r>
          </w:p>
        </w:tc>
      </w:tr>
      <w:tr w:rsidR="005D69AE" w:rsidRPr="003C39CF" w14:paraId="67C4CCDF" w14:textId="77777777" w:rsidTr="00317813">
        <w:trPr>
          <w:trHeight w:val="246"/>
          <w:jc w:val="center"/>
        </w:trPr>
        <w:tc>
          <w:tcPr>
            <w:tcW w:w="2930" w:type="dxa"/>
            <w:tcBorders>
              <w:top w:val="nil"/>
              <w:bottom w:val="nil"/>
            </w:tcBorders>
          </w:tcPr>
          <w:p w14:paraId="170ED5D0"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b/>
                <w:bCs/>
                <w:sz w:val="20"/>
                <w:szCs w:val="20"/>
              </w:rPr>
              <w:t>Hypertension</w:t>
            </w:r>
          </w:p>
        </w:tc>
        <w:tc>
          <w:tcPr>
            <w:tcW w:w="1240" w:type="dxa"/>
            <w:tcBorders>
              <w:top w:val="nil"/>
              <w:bottom w:val="nil"/>
            </w:tcBorders>
          </w:tcPr>
          <w:p w14:paraId="2F2D419D" w14:textId="77777777" w:rsidR="005D69AE" w:rsidRPr="003C39CF" w:rsidRDefault="005D69AE" w:rsidP="00D906FC">
            <w:pPr>
              <w:jc w:val="center"/>
              <w:rPr>
                <w:rFonts w:ascii="Times New Roman" w:hAnsi="Times New Roman" w:cs="Times New Roman"/>
                <w:i/>
                <w:iCs/>
                <w:sz w:val="20"/>
                <w:szCs w:val="20"/>
              </w:rPr>
            </w:pPr>
          </w:p>
        </w:tc>
        <w:tc>
          <w:tcPr>
            <w:tcW w:w="1403" w:type="dxa"/>
            <w:tcBorders>
              <w:top w:val="nil"/>
              <w:bottom w:val="nil"/>
            </w:tcBorders>
          </w:tcPr>
          <w:p w14:paraId="763AEE96"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4DDFE66E"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0.1138</w:t>
            </w:r>
          </w:p>
        </w:tc>
        <w:tc>
          <w:tcPr>
            <w:tcW w:w="1135" w:type="dxa"/>
            <w:tcBorders>
              <w:top w:val="nil"/>
              <w:bottom w:val="nil"/>
            </w:tcBorders>
          </w:tcPr>
          <w:p w14:paraId="2197E035"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tcPr>
          <w:p w14:paraId="5A81075A"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tcPr>
          <w:p w14:paraId="2303E715"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0.0116</w:t>
            </w:r>
          </w:p>
        </w:tc>
      </w:tr>
      <w:tr w:rsidR="005D69AE" w:rsidRPr="003C39CF" w14:paraId="4B18E7C0" w14:textId="77777777" w:rsidTr="00317813">
        <w:trPr>
          <w:trHeight w:val="246"/>
          <w:jc w:val="center"/>
        </w:trPr>
        <w:tc>
          <w:tcPr>
            <w:tcW w:w="2930" w:type="dxa"/>
            <w:tcBorders>
              <w:top w:val="nil"/>
            </w:tcBorders>
          </w:tcPr>
          <w:p w14:paraId="03F4625A"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Yes</w:t>
            </w:r>
          </w:p>
        </w:tc>
        <w:tc>
          <w:tcPr>
            <w:tcW w:w="1240" w:type="dxa"/>
            <w:tcBorders>
              <w:top w:val="nil"/>
              <w:bottom w:val="nil"/>
            </w:tcBorders>
          </w:tcPr>
          <w:p w14:paraId="516DDA48" w14:textId="77777777" w:rsidR="005D69AE" w:rsidRPr="003C39CF" w:rsidRDefault="005D69AE" w:rsidP="00D906FC">
            <w:pPr>
              <w:jc w:val="center"/>
              <w:rPr>
                <w:rFonts w:ascii="Times New Roman" w:hAnsi="Times New Roman" w:cs="Times New Roman"/>
                <w:i/>
                <w:iCs/>
                <w:sz w:val="20"/>
                <w:szCs w:val="20"/>
              </w:rPr>
            </w:pPr>
            <w:r w:rsidRPr="003C39CF">
              <w:rPr>
                <w:rFonts w:ascii="Times New Roman" w:hAnsi="Times New Roman" w:cs="Times New Roman"/>
                <w:sz w:val="20"/>
                <w:szCs w:val="20"/>
              </w:rPr>
              <w:t>-0.143</w:t>
            </w:r>
          </w:p>
        </w:tc>
        <w:tc>
          <w:tcPr>
            <w:tcW w:w="1403" w:type="dxa"/>
            <w:tcBorders>
              <w:top w:val="nil"/>
              <w:bottom w:val="nil"/>
            </w:tcBorders>
          </w:tcPr>
          <w:p w14:paraId="7E5BCFD9"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-0.32, 0.35</w:t>
            </w:r>
          </w:p>
        </w:tc>
        <w:tc>
          <w:tcPr>
            <w:tcW w:w="1136" w:type="dxa"/>
            <w:tcBorders>
              <w:top w:val="nil"/>
              <w:bottom w:val="nil"/>
            </w:tcBorders>
          </w:tcPr>
          <w:p w14:paraId="2341B3EA"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0.1138</w:t>
            </w:r>
          </w:p>
        </w:tc>
        <w:tc>
          <w:tcPr>
            <w:tcW w:w="1135" w:type="dxa"/>
            <w:tcBorders>
              <w:top w:val="nil"/>
              <w:bottom w:val="nil"/>
            </w:tcBorders>
            <w:vAlign w:val="center"/>
          </w:tcPr>
          <w:p w14:paraId="2A9FEA0E"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1.49</w:t>
            </w:r>
          </w:p>
        </w:tc>
        <w:tc>
          <w:tcPr>
            <w:tcW w:w="1471" w:type="dxa"/>
            <w:tcBorders>
              <w:top w:val="nil"/>
              <w:bottom w:val="nil"/>
            </w:tcBorders>
            <w:vAlign w:val="center"/>
          </w:tcPr>
          <w:p w14:paraId="53E2F0F4"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1.09, 2.02</w:t>
            </w:r>
          </w:p>
        </w:tc>
        <w:tc>
          <w:tcPr>
            <w:tcW w:w="1173" w:type="dxa"/>
            <w:tcBorders>
              <w:top w:val="nil"/>
              <w:bottom w:val="nil"/>
            </w:tcBorders>
            <w:vAlign w:val="center"/>
          </w:tcPr>
          <w:p w14:paraId="4442A0A0"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0.0116</w:t>
            </w:r>
          </w:p>
        </w:tc>
      </w:tr>
      <w:tr w:rsidR="005D69AE" w:rsidRPr="003C39CF" w14:paraId="5B40E65F" w14:textId="77777777" w:rsidTr="003C39CF">
        <w:trPr>
          <w:trHeight w:val="246"/>
          <w:jc w:val="center"/>
        </w:trPr>
        <w:tc>
          <w:tcPr>
            <w:tcW w:w="2930" w:type="dxa"/>
            <w:tcBorders>
              <w:bottom w:val="nil"/>
            </w:tcBorders>
          </w:tcPr>
          <w:p w14:paraId="157F917C"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No</w:t>
            </w:r>
          </w:p>
        </w:tc>
        <w:tc>
          <w:tcPr>
            <w:tcW w:w="7558" w:type="dxa"/>
            <w:gridSpan w:val="6"/>
            <w:tcBorders>
              <w:top w:val="nil"/>
              <w:bottom w:val="nil"/>
            </w:tcBorders>
          </w:tcPr>
          <w:p w14:paraId="59FD08A1"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i/>
                <w:iCs/>
                <w:sz w:val="20"/>
                <w:szCs w:val="20"/>
              </w:rPr>
              <w:t>Reference</w:t>
            </w:r>
          </w:p>
        </w:tc>
      </w:tr>
      <w:tr w:rsidR="005D69AE" w:rsidRPr="003C39CF" w14:paraId="01320E4E" w14:textId="77777777" w:rsidTr="00CF59A1">
        <w:trPr>
          <w:trHeight w:val="246"/>
          <w:jc w:val="center"/>
        </w:trPr>
        <w:tc>
          <w:tcPr>
            <w:tcW w:w="2930" w:type="dxa"/>
            <w:tcBorders>
              <w:top w:val="nil"/>
              <w:bottom w:val="nil"/>
            </w:tcBorders>
            <w:vAlign w:val="center"/>
          </w:tcPr>
          <w:p w14:paraId="63D2BB34" w14:textId="77777777" w:rsidR="005D69AE" w:rsidRPr="003C39CF" w:rsidRDefault="005D69AE" w:rsidP="00CF59A1">
            <w:pPr>
              <w:rPr>
                <w:rFonts w:ascii="Times New Roman" w:hAnsi="Times New Roman" w:cs="Times New Roman"/>
                <w:sz w:val="20"/>
                <w:szCs w:val="20"/>
              </w:rPr>
            </w:pPr>
            <w:r w:rsidRPr="003C39CF">
              <w:rPr>
                <w:rFonts w:ascii="Times New Roman" w:hAnsi="Times New Roman" w:cs="Times New Roman"/>
                <w:b/>
                <w:bCs/>
                <w:sz w:val="20"/>
                <w:szCs w:val="20"/>
              </w:rPr>
              <w:lastRenderedPageBreak/>
              <w:t>Stroke</w:t>
            </w:r>
          </w:p>
        </w:tc>
        <w:tc>
          <w:tcPr>
            <w:tcW w:w="1240" w:type="dxa"/>
            <w:tcBorders>
              <w:top w:val="nil"/>
            </w:tcBorders>
          </w:tcPr>
          <w:p w14:paraId="26649AED" w14:textId="77777777" w:rsidR="005D69AE" w:rsidRPr="003C39CF" w:rsidRDefault="005D69AE" w:rsidP="00D906FC">
            <w:pPr>
              <w:jc w:val="center"/>
              <w:rPr>
                <w:rFonts w:ascii="Times New Roman" w:hAnsi="Times New Roman" w:cs="Times New Roman"/>
                <w:i/>
                <w:iCs/>
                <w:sz w:val="20"/>
                <w:szCs w:val="20"/>
              </w:rPr>
            </w:pPr>
          </w:p>
        </w:tc>
        <w:tc>
          <w:tcPr>
            <w:tcW w:w="1403" w:type="dxa"/>
            <w:tcBorders>
              <w:top w:val="nil"/>
            </w:tcBorders>
          </w:tcPr>
          <w:p w14:paraId="7C983230"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tcBorders>
            <w:vAlign w:val="center"/>
          </w:tcPr>
          <w:p w14:paraId="75CA4F33" w14:textId="77777777" w:rsidR="005D69AE" w:rsidRPr="003C39CF" w:rsidRDefault="005D69AE" w:rsidP="00CF59A1">
            <w:pPr>
              <w:jc w:val="center"/>
              <w:rPr>
                <w:rFonts w:ascii="Times New Roman" w:hAnsi="Times New Roman" w:cs="Times New Roman"/>
                <w:sz w:val="20"/>
                <w:szCs w:val="20"/>
              </w:rPr>
            </w:pPr>
            <w:r w:rsidRPr="003C39CF">
              <w:rPr>
                <w:rFonts w:ascii="Times New Roman" w:hAnsi="Times New Roman" w:cs="Times New Roman"/>
                <w:sz w:val="20"/>
                <w:szCs w:val="20"/>
              </w:rPr>
              <w:t>0.0258</w:t>
            </w:r>
          </w:p>
        </w:tc>
        <w:tc>
          <w:tcPr>
            <w:tcW w:w="1135" w:type="dxa"/>
            <w:tcBorders>
              <w:top w:val="nil"/>
            </w:tcBorders>
            <w:vAlign w:val="center"/>
          </w:tcPr>
          <w:p w14:paraId="6D4D49CA" w14:textId="77777777" w:rsidR="005D69AE" w:rsidRPr="003C39CF" w:rsidRDefault="005D69AE" w:rsidP="00CF59A1">
            <w:pPr>
              <w:jc w:val="center"/>
              <w:rPr>
                <w:rFonts w:ascii="Times New Roman" w:hAnsi="Times New Roman" w:cs="Times New Roman"/>
                <w:sz w:val="20"/>
                <w:szCs w:val="20"/>
              </w:rPr>
            </w:pPr>
          </w:p>
        </w:tc>
        <w:tc>
          <w:tcPr>
            <w:tcW w:w="1471" w:type="dxa"/>
            <w:tcBorders>
              <w:top w:val="nil"/>
            </w:tcBorders>
            <w:vAlign w:val="center"/>
          </w:tcPr>
          <w:p w14:paraId="4914CABC" w14:textId="77777777" w:rsidR="005D69AE" w:rsidRPr="003C39CF" w:rsidRDefault="005D69AE" w:rsidP="00CF59A1">
            <w:pPr>
              <w:jc w:val="center"/>
              <w:rPr>
                <w:rFonts w:ascii="Times New Roman" w:hAnsi="Times New Roman" w:cs="Times New Roman"/>
                <w:sz w:val="20"/>
                <w:szCs w:val="20"/>
              </w:rPr>
            </w:pPr>
          </w:p>
        </w:tc>
        <w:tc>
          <w:tcPr>
            <w:tcW w:w="1173" w:type="dxa"/>
            <w:tcBorders>
              <w:top w:val="nil"/>
            </w:tcBorders>
            <w:vAlign w:val="center"/>
          </w:tcPr>
          <w:p w14:paraId="3DB26DFB" w14:textId="77777777" w:rsidR="005D69AE" w:rsidRPr="003C39CF" w:rsidRDefault="005D69AE" w:rsidP="00CF59A1">
            <w:pPr>
              <w:jc w:val="center"/>
              <w:rPr>
                <w:rFonts w:ascii="Times New Roman" w:hAnsi="Times New Roman" w:cs="Times New Roman"/>
                <w:sz w:val="20"/>
                <w:szCs w:val="20"/>
              </w:rPr>
            </w:pPr>
            <w:r w:rsidRPr="003C39CF">
              <w:rPr>
                <w:rFonts w:ascii="Times New Roman" w:hAnsi="Times New Roman" w:cs="Times New Roman"/>
                <w:sz w:val="20"/>
                <w:szCs w:val="20"/>
              </w:rPr>
              <w:t>0.5535</w:t>
            </w:r>
          </w:p>
        </w:tc>
      </w:tr>
      <w:tr w:rsidR="005D69AE" w:rsidRPr="003C39CF" w14:paraId="154D8284" w14:textId="77777777" w:rsidTr="00B0092F">
        <w:trPr>
          <w:trHeight w:val="246"/>
          <w:jc w:val="center"/>
        </w:trPr>
        <w:tc>
          <w:tcPr>
            <w:tcW w:w="2930" w:type="dxa"/>
            <w:tcBorders>
              <w:top w:val="nil"/>
            </w:tcBorders>
          </w:tcPr>
          <w:p w14:paraId="785B6AD3"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Yes</w:t>
            </w:r>
          </w:p>
        </w:tc>
        <w:tc>
          <w:tcPr>
            <w:tcW w:w="1240" w:type="dxa"/>
          </w:tcPr>
          <w:p w14:paraId="661E0C19" w14:textId="77777777" w:rsidR="005D69AE" w:rsidRPr="003C39CF" w:rsidRDefault="005D69AE" w:rsidP="00D906FC">
            <w:pPr>
              <w:jc w:val="center"/>
              <w:rPr>
                <w:rFonts w:ascii="Times New Roman" w:hAnsi="Times New Roman" w:cs="Times New Roman"/>
                <w:i/>
                <w:iCs/>
                <w:sz w:val="20"/>
                <w:szCs w:val="20"/>
              </w:rPr>
            </w:pPr>
            <w:r w:rsidRPr="003C39CF">
              <w:rPr>
                <w:rFonts w:ascii="Times New Roman" w:hAnsi="Times New Roman" w:cs="Times New Roman"/>
                <w:sz w:val="20"/>
                <w:szCs w:val="20"/>
              </w:rPr>
              <w:t>-0.37</w:t>
            </w:r>
          </w:p>
        </w:tc>
        <w:tc>
          <w:tcPr>
            <w:tcW w:w="1403" w:type="dxa"/>
          </w:tcPr>
          <w:p w14:paraId="29C31298"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-0.70, -0.05</w:t>
            </w:r>
          </w:p>
        </w:tc>
        <w:tc>
          <w:tcPr>
            <w:tcW w:w="1136" w:type="dxa"/>
          </w:tcPr>
          <w:p w14:paraId="3BAD2032"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0.0258</w:t>
            </w:r>
          </w:p>
        </w:tc>
        <w:tc>
          <w:tcPr>
            <w:tcW w:w="1135" w:type="dxa"/>
            <w:vAlign w:val="center"/>
          </w:tcPr>
          <w:p w14:paraId="7BB8E2DF"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1.18</w:t>
            </w:r>
          </w:p>
        </w:tc>
        <w:tc>
          <w:tcPr>
            <w:tcW w:w="1471" w:type="dxa"/>
            <w:vAlign w:val="center"/>
          </w:tcPr>
          <w:p w14:paraId="7EE47480"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0.68, 2.06</w:t>
            </w:r>
          </w:p>
        </w:tc>
        <w:tc>
          <w:tcPr>
            <w:tcW w:w="1173" w:type="dxa"/>
            <w:vAlign w:val="center"/>
          </w:tcPr>
          <w:p w14:paraId="1D565D7F"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0.5535</w:t>
            </w:r>
          </w:p>
        </w:tc>
      </w:tr>
      <w:tr w:rsidR="005D69AE" w:rsidRPr="003C39CF" w14:paraId="1D59B4FE" w14:textId="77777777" w:rsidTr="00B0092F">
        <w:trPr>
          <w:trHeight w:val="246"/>
          <w:jc w:val="center"/>
        </w:trPr>
        <w:tc>
          <w:tcPr>
            <w:tcW w:w="2930" w:type="dxa"/>
            <w:tcBorders>
              <w:bottom w:val="nil"/>
            </w:tcBorders>
          </w:tcPr>
          <w:p w14:paraId="5994D054"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No</w:t>
            </w:r>
          </w:p>
        </w:tc>
        <w:tc>
          <w:tcPr>
            <w:tcW w:w="7558" w:type="dxa"/>
            <w:gridSpan w:val="6"/>
            <w:tcBorders>
              <w:bottom w:val="nil"/>
            </w:tcBorders>
          </w:tcPr>
          <w:p w14:paraId="3D090035"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i/>
                <w:iCs/>
                <w:sz w:val="20"/>
                <w:szCs w:val="20"/>
              </w:rPr>
              <w:t>Reference</w:t>
            </w:r>
          </w:p>
        </w:tc>
      </w:tr>
      <w:tr w:rsidR="005D69AE" w:rsidRPr="003C39CF" w14:paraId="172AF029" w14:textId="77777777" w:rsidTr="00B0092F">
        <w:trPr>
          <w:trHeight w:val="246"/>
          <w:jc w:val="center"/>
        </w:trPr>
        <w:tc>
          <w:tcPr>
            <w:tcW w:w="2930" w:type="dxa"/>
            <w:tcBorders>
              <w:top w:val="nil"/>
              <w:bottom w:val="nil"/>
            </w:tcBorders>
          </w:tcPr>
          <w:p w14:paraId="15812F8B"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b/>
                <w:bCs/>
                <w:sz w:val="20"/>
                <w:szCs w:val="20"/>
              </w:rPr>
              <w:t>Kidney Problems</w:t>
            </w:r>
          </w:p>
        </w:tc>
        <w:tc>
          <w:tcPr>
            <w:tcW w:w="1240" w:type="dxa"/>
            <w:tcBorders>
              <w:top w:val="nil"/>
              <w:bottom w:val="nil"/>
            </w:tcBorders>
          </w:tcPr>
          <w:p w14:paraId="1809B4FA" w14:textId="77777777" w:rsidR="005D69AE" w:rsidRPr="003C39CF" w:rsidRDefault="005D69AE" w:rsidP="00D906FC">
            <w:pPr>
              <w:jc w:val="center"/>
              <w:rPr>
                <w:rFonts w:ascii="Times New Roman" w:hAnsi="Times New Roman" w:cs="Times New Roman"/>
                <w:i/>
                <w:iCs/>
                <w:sz w:val="20"/>
                <w:szCs w:val="20"/>
              </w:rPr>
            </w:pPr>
          </w:p>
        </w:tc>
        <w:tc>
          <w:tcPr>
            <w:tcW w:w="1403" w:type="dxa"/>
            <w:tcBorders>
              <w:top w:val="nil"/>
              <w:bottom w:val="nil"/>
            </w:tcBorders>
          </w:tcPr>
          <w:p w14:paraId="47708741"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43019770"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0.0158</w:t>
            </w:r>
          </w:p>
        </w:tc>
        <w:tc>
          <w:tcPr>
            <w:tcW w:w="1135" w:type="dxa"/>
            <w:tcBorders>
              <w:top w:val="nil"/>
              <w:bottom w:val="nil"/>
            </w:tcBorders>
          </w:tcPr>
          <w:p w14:paraId="2F1B80D3"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tcPr>
          <w:p w14:paraId="4D29F006"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tcPr>
          <w:p w14:paraId="5CE9FA0F"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0.0548</w:t>
            </w:r>
          </w:p>
        </w:tc>
      </w:tr>
      <w:tr w:rsidR="005D69AE" w:rsidRPr="003C39CF" w14:paraId="1728D096" w14:textId="77777777" w:rsidTr="00B0092F">
        <w:trPr>
          <w:trHeight w:val="246"/>
          <w:jc w:val="center"/>
        </w:trPr>
        <w:tc>
          <w:tcPr>
            <w:tcW w:w="2930" w:type="dxa"/>
            <w:tcBorders>
              <w:top w:val="nil"/>
              <w:bottom w:val="nil"/>
            </w:tcBorders>
          </w:tcPr>
          <w:p w14:paraId="654C1F26"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Yes</w:t>
            </w:r>
          </w:p>
        </w:tc>
        <w:tc>
          <w:tcPr>
            <w:tcW w:w="1240" w:type="dxa"/>
            <w:tcBorders>
              <w:top w:val="nil"/>
              <w:bottom w:val="nil"/>
            </w:tcBorders>
          </w:tcPr>
          <w:p w14:paraId="3453CEDF" w14:textId="77777777" w:rsidR="005D69AE" w:rsidRPr="003C39CF" w:rsidRDefault="005D69AE" w:rsidP="00D906FC">
            <w:pPr>
              <w:jc w:val="center"/>
              <w:rPr>
                <w:rFonts w:ascii="Times New Roman" w:hAnsi="Times New Roman" w:cs="Times New Roman"/>
                <w:i/>
                <w:iCs/>
                <w:sz w:val="20"/>
                <w:szCs w:val="20"/>
              </w:rPr>
            </w:pPr>
            <w:r w:rsidRPr="003C39CF">
              <w:rPr>
                <w:rFonts w:ascii="Times New Roman" w:hAnsi="Times New Roman" w:cs="Times New Roman"/>
                <w:sz w:val="20"/>
                <w:szCs w:val="20"/>
              </w:rPr>
              <w:t>-0.31</w:t>
            </w:r>
          </w:p>
        </w:tc>
        <w:tc>
          <w:tcPr>
            <w:tcW w:w="1403" w:type="dxa"/>
            <w:tcBorders>
              <w:top w:val="nil"/>
              <w:bottom w:val="nil"/>
            </w:tcBorders>
          </w:tcPr>
          <w:p w14:paraId="0E34013B"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-0.56, -0.06</w:t>
            </w:r>
          </w:p>
        </w:tc>
        <w:tc>
          <w:tcPr>
            <w:tcW w:w="1136" w:type="dxa"/>
            <w:tcBorders>
              <w:top w:val="nil"/>
              <w:bottom w:val="nil"/>
            </w:tcBorders>
          </w:tcPr>
          <w:p w14:paraId="7C1FDB18"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0.0158</w:t>
            </w:r>
          </w:p>
        </w:tc>
        <w:tc>
          <w:tcPr>
            <w:tcW w:w="1135" w:type="dxa"/>
            <w:tcBorders>
              <w:top w:val="nil"/>
              <w:bottom w:val="nil"/>
            </w:tcBorders>
            <w:vAlign w:val="center"/>
          </w:tcPr>
          <w:p w14:paraId="6D251D6E"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1.57</w:t>
            </w:r>
          </w:p>
        </w:tc>
        <w:tc>
          <w:tcPr>
            <w:tcW w:w="1471" w:type="dxa"/>
            <w:tcBorders>
              <w:top w:val="nil"/>
              <w:bottom w:val="nil"/>
            </w:tcBorders>
            <w:vAlign w:val="center"/>
          </w:tcPr>
          <w:p w14:paraId="43E6EC96"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0.99, 2.50</w:t>
            </w:r>
          </w:p>
        </w:tc>
        <w:tc>
          <w:tcPr>
            <w:tcW w:w="1173" w:type="dxa"/>
            <w:tcBorders>
              <w:top w:val="nil"/>
              <w:bottom w:val="nil"/>
            </w:tcBorders>
            <w:vAlign w:val="center"/>
          </w:tcPr>
          <w:p w14:paraId="0D0F186D"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0.0548</w:t>
            </w:r>
          </w:p>
        </w:tc>
      </w:tr>
      <w:tr w:rsidR="005D69AE" w:rsidRPr="003C39CF" w14:paraId="522DB2F1" w14:textId="77777777" w:rsidTr="00B0092F">
        <w:trPr>
          <w:trHeight w:val="246"/>
          <w:jc w:val="center"/>
        </w:trPr>
        <w:tc>
          <w:tcPr>
            <w:tcW w:w="2930" w:type="dxa"/>
            <w:tcBorders>
              <w:top w:val="nil"/>
              <w:bottom w:val="nil"/>
            </w:tcBorders>
          </w:tcPr>
          <w:p w14:paraId="13D6CCCF"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No</w:t>
            </w:r>
          </w:p>
        </w:tc>
        <w:tc>
          <w:tcPr>
            <w:tcW w:w="7558" w:type="dxa"/>
            <w:gridSpan w:val="6"/>
            <w:tcBorders>
              <w:top w:val="nil"/>
              <w:bottom w:val="nil"/>
            </w:tcBorders>
          </w:tcPr>
          <w:p w14:paraId="327BCB29"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i/>
                <w:iCs/>
                <w:sz w:val="20"/>
                <w:szCs w:val="20"/>
              </w:rPr>
              <w:t>Reference</w:t>
            </w:r>
          </w:p>
        </w:tc>
      </w:tr>
      <w:tr w:rsidR="005D69AE" w:rsidRPr="003C39CF" w14:paraId="3B008045" w14:textId="77777777" w:rsidTr="00B0092F">
        <w:trPr>
          <w:trHeight w:val="246"/>
          <w:jc w:val="center"/>
        </w:trPr>
        <w:tc>
          <w:tcPr>
            <w:tcW w:w="2930" w:type="dxa"/>
            <w:tcBorders>
              <w:top w:val="nil"/>
              <w:bottom w:val="nil"/>
            </w:tcBorders>
          </w:tcPr>
          <w:p w14:paraId="3E36B998"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b/>
                <w:bCs/>
                <w:sz w:val="20"/>
                <w:szCs w:val="20"/>
              </w:rPr>
              <w:t>Lung Cancer</w:t>
            </w:r>
          </w:p>
        </w:tc>
        <w:tc>
          <w:tcPr>
            <w:tcW w:w="1240" w:type="dxa"/>
            <w:tcBorders>
              <w:top w:val="nil"/>
              <w:bottom w:val="nil"/>
            </w:tcBorders>
          </w:tcPr>
          <w:p w14:paraId="547AC13A" w14:textId="77777777" w:rsidR="005D69AE" w:rsidRPr="003C39CF" w:rsidRDefault="005D69AE" w:rsidP="00D906FC">
            <w:pPr>
              <w:jc w:val="center"/>
              <w:rPr>
                <w:rFonts w:ascii="Times New Roman" w:hAnsi="Times New Roman" w:cs="Times New Roman"/>
                <w:i/>
                <w:iCs/>
                <w:sz w:val="20"/>
                <w:szCs w:val="20"/>
              </w:rPr>
            </w:pPr>
          </w:p>
        </w:tc>
        <w:tc>
          <w:tcPr>
            <w:tcW w:w="1403" w:type="dxa"/>
            <w:tcBorders>
              <w:top w:val="nil"/>
              <w:bottom w:val="nil"/>
            </w:tcBorders>
          </w:tcPr>
          <w:p w14:paraId="0453B314"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1A09B40D"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0.0663</w:t>
            </w:r>
          </w:p>
        </w:tc>
        <w:tc>
          <w:tcPr>
            <w:tcW w:w="1135" w:type="dxa"/>
            <w:tcBorders>
              <w:top w:val="nil"/>
              <w:bottom w:val="nil"/>
            </w:tcBorders>
          </w:tcPr>
          <w:p w14:paraId="014D0987"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tcPr>
          <w:p w14:paraId="0373395E"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tcPr>
          <w:p w14:paraId="766C7CE6"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0.0584</w:t>
            </w:r>
          </w:p>
        </w:tc>
      </w:tr>
      <w:tr w:rsidR="005D69AE" w:rsidRPr="003C39CF" w14:paraId="011A5870" w14:textId="77777777" w:rsidTr="00B0092F">
        <w:trPr>
          <w:trHeight w:val="246"/>
          <w:jc w:val="center"/>
        </w:trPr>
        <w:tc>
          <w:tcPr>
            <w:tcW w:w="2930" w:type="dxa"/>
            <w:tcBorders>
              <w:top w:val="nil"/>
              <w:bottom w:val="nil"/>
            </w:tcBorders>
          </w:tcPr>
          <w:p w14:paraId="1D45A345"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Yes</w:t>
            </w:r>
          </w:p>
        </w:tc>
        <w:tc>
          <w:tcPr>
            <w:tcW w:w="1240" w:type="dxa"/>
            <w:tcBorders>
              <w:top w:val="nil"/>
              <w:bottom w:val="nil"/>
            </w:tcBorders>
          </w:tcPr>
          <w:p w14:paraId="13955D7E" w14:textId="77777777" w:rsidR="005D69AE" w:rsidRPr="003C39CF" w:rsidRDefault="005D69AE" w:rsidP="00D906FC">
            <w:pPr>
              <w:jc w:val="center"/>
              <w:rPr>
                <w:rFonts w:ascii="Times New Roman" w:hAnsi="Times New Roman" w:cs="Times New Roman"/>
                <w:i/>
                <w:iCs/>
                <w:sz w:val="20"/>
                <w:szCs w:val="20"/>
              </w:rPr>
            </w:pPr>
            <w:r w:rsidRPr="003C39CF">
              <w:rPr>
                <w:rFonts w:ascii="Times New Roman" w:hAnsi="Times New Roman" w:cs="Times New Roman"/>
                <w:sz w:val="20"/>
                <w:szCs w:val="20"/>
              </w:rPr>
              <w:t>-0.52</w:t>
            </w:r>
          </w:p>
        </w:tc>
        <w:tc>
          <w:tcPr>
            <w:tcW w:w="1403" w:type="dxa"/>
            <w:tcBorders>
              <w:top w:val="nil"/>
              <w:bottom w:val="nil"/>
            </w:tcBorders>
          </w:tcPr>
          <w:p w14:paraId="643072ED"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-1.04, -0.004</w:t>
            </w:r>
          </w:p>
        </w:tc>
        <w:tc>
          <w:tcPr>
            <w:tcW w:w="1136" w:type="dxa"/>
            <w:tcBorders>
              <w:top w:val="nil"/>
              <w:bottom w:val="nil"/>
            </w:tcBorders>
          </w:tcPr>
          <w:p w14:paraId="31B5EB3B"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0.0663</w:t>
            </w:r>
          </w:p>
        </w:tc>
        <w:tc>
          <w:tcPr>
            <w:tcW w:w="1135" w:type="dxa"/>
            <w:tcBorders>
              <w:top w:val="nil"/>
              <w:bottom w:val="nil"/>
            </w:tcBorders>
            <w:vAlign w:val="center"/>
          </w:tcPr>
          <w:p w14:paraId="2B0DF6F3"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2.80</w:t>
            </w:r>
          </w:p>
        </w:tc>
        <w:tc>
          <w:tcPr>
            <w:tcW w:w="1471" w:type="dxa"/>
            <w:tcBorders>
              <w:top w:val="nil"/>
              <w:bottom w:val="nil"/>
            </w:tcBorders>
            <w:vAlign w:val="center"/>
          </w:tcPr>
          <w:p w14:paraId="51C78AD0"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0.96, 8.14</w:t>
            </w:r>
          </w:p>
        </w:tc>
        <w:tc>
          <w:tcPr>
            <w:tcW w:w="1173" w:type="dxa"/>
            <w:tcBorders>
              <w:top w:val="nil"/>
              <w:bottom w:val="nil"/>
            </w:tcBorders>
            <w:vAlign w:val="center"/>
          </w:tcPr>
          <w:p w14:paraId="6F2532CA"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0.0584</w:t>
            </w:r>
          </w:p>
        </w:tc>
      </w:tr>
      <w:tr w:rsidR="005D69AE" w:rsidRPr="003C39CF" w14:paraId="64F0AA1E" w14:textId="77777777" w:rsidTr="00B0092F">
        <w:trPr>
          <w:trHeight w:val="246"/>
          <w:jc w:val="center"/>
        </w:trPr>
        <w:tc>
          <w:tcPr>
            <w:tcW w:w="2930" w:type="dxa"/>
            <w:tcBorders>
              <w:top w:val="nil"/>
              <w:bottom w:val="nil"/>
            </w:tcBorders>
          </w:tcPr>
          <w:p w14:paraId="6ABF6746"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No</w:t>
            </w:r>
          </w:p>
        </w:tc>
        <w:tc>
          <w:tcPr>
            <w:tcW w:w="7558" w:type="dxa"/>
            <w:gridSpan w:val="6"/>
            <w:tcBorders>
              <w:top w:val="nil"/>
              <w:bottom w:val="nil"/>
            </w:tcBorders>
          </w:tcPr>
          <w:p w14:paraId="4BE9D72D"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i/>
                <w:iCs/>
                <w:sz w:val="20"/>
                <w:szCs w:val="20"/>
              </w:rPr>
              <w:t>Reference</w:t>
            </w:r>
          </w:p>
        </w:tc>
      </w:tr>
      <w:tr w:rsidR="005D69AE" w:rsidRPr="003C39CF" w14:paraId="18635814" w14:textId="77777777" w:rsidTr="00B0092F">
        <w:trPr>
          <w:trHeight w:val="246"/>
          <w:jc w:val="center"/>
        </w:trPr>
        <w:tc>
          <w:tcPr>
            <w:tcW w:w="2930" w:type="dxa"/>
            <w:tcBorders>
              <w:top w:val="nil"/>
              <w:bottom w:val="nil"/>
            </w:tcBorders>
          </w:tcPr>
          <w:p w14:paraId="7FBB39C1"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b/>
                <w:bCs/>
                <w:sz w:val="20"/>
                <w:szCs w:val="20"/>
              </w:rPr>
              <w:t>Non-Pulmonary Cancer</w:t>
            </w:r>
          </w:p>
        </w:tc>
        <w:tc>
          <w:tcPr>
            <w:tcW w:w="1240" w:type="dxa"/>
            <w:tcBorders>
              <w:top w:val="nil"/>
              <w:bottom w:val="nil"/>
            </w:tcBorders>
          </w:tcPr>
          <w:p w14:paraId="4CA3A0CA" w14:textId="77777777" w:rsidR="005D69AE" w:rsidRPr="003C39CF" w:rsidRDefault="005D69AE" w:rsidP="00D906FC">
            <w:pPr>
              <w:jc w:val="center"/>
              <w:rPr>
                <w:rFonts w:ascii="Times New Roman" w:hAnsi="Times New Roman" w:cs="Times New Roman"/>
                <w:i/>
                <w:iCs/>
                <w:sz w:val="20"/>
                <w:szCs w:val="20"/>
              </w:rPr>
            </w:pPr>
          </w:p>
        </w:tc>
        <w:tc>
          <w:tcPr>
            <w:tcW w:w="1403" w:type="dxa"/>
            <w:tcBorders>
              <w:top w:val="nil"/>
              <w:bottom w:val="nil"/>
            </w:tcBorders>
          </w:tcPr>
          <w:p w14:paraId="3C5C5301"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3CE91D3D"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0.0666</w:t>
            </w:r>
          </w:p>
        </w:tc>
        <w:tc>
          <w:tcPr>
            <w:tcW w:w="1135" w:type="dxa"/>
            <w:tcBorders>
              <w:top w:val="nil"/>
              <w:bottom w:val="nil"/>
            </w:tcBorders>
          </w:tcPr>
          <w:p w14:paraId="561378C3"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tcPr>
          <w:p w14:paraId="440CB53E"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tcPr>
          <w:p w14:paraId="3691F4A6"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0.0364</w:t>
            </w:r>
          </w:p>
        </w:tc>
      </w:tr>
      <w:tr w:rsidR="005D69AE" w:rsidRPr="003C39CF" w14:paraId="1C707C12" w14:textId="77777777" w:rsidTr="00B0092F">
        <w:trPr>
          <w:trHeight w:val="246"/>
          <w:jc w:val="center"/>
        </w:trPr>
        <w:tc>
          <w:tcPr>
            <w:tcW w:w="2930" w:type="dxa"/>
            <w:tcBorders>
              <w:top w:val="nil"/>
              <w:bottom w:val="nil"/>
            </w:tcBorders>
          </w:tcPr>
          <w:p w14:paraId="3636AD97"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Yes</w:t>
            </w:r>
          </w:p>
        </w:tc>
        <w:tc>
          <w:tcPr>
            <w:tcW w:w="1240" w:type="dxa"/>
            <w:tcBorders>
              <w:top w:val="nil"/>
              <w:bottom w:val="nil"/>
            </w:tcBorders>
          </w:tcPr>
          <w:p w14:paraId="6AAE47C7" w14:textId="77777777" w:rsidR="005D69AE" w:rsidRPr="003C39CF" w:rsidRDefault="005D69AE" w:rsidP="00D906FC">
            <w:pPr>
              <w:jc w:val="center"/>
              <w:rPr>
                <w:rFonts w:ascii="Times New Roman" w:hAnsi="Times New Roman" w:cs="Times New Roman"/>
                <w:i/>
                <w:iCs/>
                <w:sz w:val="20"/>
                <w:szCs w:val="20"/>
              </w:rPr>
            </w:pPr>
            <w:r w:rsidRPr="003C39CF">
              <w:rPr>
                <w:rFonts w:ascii="Times New Roman" w:hAnsi="Times New Roman" w:cs="Times New Roman"/>
                <w:sz w:val="20"/>
                <w:szCs w:val="20"/>
              </w:rPr>
              <w:t>-0.17</w:t>
            </w:r>
          </w:p>
        </w:tc>
        <w:tc>
          <w:tcPr>
            <w:tcW w:w="1403" w:type="dxa"/>
            <w:tcBorders>
              <w:top w:val="nil"/>
              <w:bottom w:val="nil"/>
            </w:tcBorders>
          </w:tcPr>
          <w:p w14:paraId="3B0499E6"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-0.35, 0.01</w:t>
            </w:r>
          </w:p>
        </w:tc>
        <w:tc>
          <w:tcPr>
            <w:tcW w:w="1136" w:type="dxa"/>
            <w:tcBorders>
              <w:top w:val="nil"/>
              <w:bottom w:val="nil"/>
            </w:tcBorders>
          </w:tcPr>
          <w:p w14:paraId="3A90E904"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0.0666</w:t>
            </w:r>
          </w:p>
        </w:tc>
        <w:tc>
          <w:tcPr>
            <w:tcW w:w="1135" w:type="dxa"/>
            <w:tcBorders>
              <w:top w:val="nil"/>
              <w:bottom w:val="nil"/>
            </w:tcBorders>
            <w:vAlign w:val="center"/>
          </w:tcPr>
          <w:p w14:paraId="64481DD6"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1.40</w:t>
            </w:r>
          </w:p>
        </w:tc>
        <w:tc>
          <w:tcPr>
            <w:tcW w:w="1471" w:type="dxa"/>
            <w:tcBorders>
              <w:top w:val="nil"/>
              <w:bottom w:val="nil"/>
            </w:tcBorders>
            <w:vAlign w:val="center"/>
          </w:tcPr>
          <w:p w14:paraId="3DAD7D59"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1.02, 1.92</w:t>
            </w:r>
          </w:p>
        </w:tc>
        <w:tc>
          <w:tcPr>
            <w:tcW w:w="1173" w:type="dxa"/>
            <w:tcBorders>
              <w:top w:val="nil"/>
              <w:bottom w:val="nil"/>
            </w:tcBorders>
            <w:vAlign w:val="center"/>
          </w:tcPr>
          <w:p w14:paraId="43AE9AAB"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0.0364</w:t>
            </w:r>
          </w:p>
        </w:tc>
      </w:tr>
      <w:tr w:rsidR="005D69AE" w:rsidRPr="003C39CF" w14:paraId="0190E301" w14:textId="77777777" w:rsidTr="00B0092F">
        <w:trPr>
          <w:trHeight w:val="246"/>
          <w:jc w:val="center"/>
        </w:trPr>
        <w:tc>
          <w:tcPr>
            <w:tcW w:w="2930" w:type="dxa"/>
            <w:tcBorders>
              <w:top w:val="nil"/>
              <w:bottom w:val="nil"/>
            </w:tcBorders>
          </w:tcPr>
          <w:p w14:paraId="2254923C"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No</w:t>
            </w:r>
          </w:p>
        </w:tc>
        <w:tc>
          <w:tcPr>
            <w:tcW w:w="7558" w:type="dxa"/>
            <w:gridSpan w:val="6"/>
            <w:tcBorders>
              <w:top w:val="nil"/>
              <w:bottom w:val="nil"/>
            </w:tcBorders>
          </w:tcPr>
          <w:p w14:paraId="217ADD84"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i/>
                <w:iCs/>
                <w:sz w:val="20"/>
                <w:szCs w:val="20"/>
              </w:rPr>
              <w:t>Reference</w:t>
            </w:r>
          </w:p>
        </w:tc>
      </w:tr>
      <w:tr w:rsidR="005D69AE" w:rsidRPr="003C39CF" w14:paraId="66200D92" w14:textId="77777777" w:rsidTr="00B0092F">
        <w:trPr>
          <w:trHeight w:val="246"/>
          <w:jc w:val="center"/>
        </w:trPr>
        <w:tc>
          <w:tcPr>
            <w:tcW w:w="2930" w:type="dxa"/>
            <w:tcBorders>
              <w:top w:val="nil"/>
              <w:bottom w:val="nil"/>
            </w:tcBorders>
          </w:tcPr>
          <w:p w14:paraId="2E614CDF"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b/>
                <w:bCs/>
                <w:sz w:val="20"/>
                <w:szCs w:val="20"/>
              </w:rPr>
              <w:t xml:space="preserve">Rheumatoid Arthritis </w:t>
            </w:r>
          </w:p>
        </w:tc>
        <w:tc>
          <w:tcPr>
            <w:tcW w:w="1240" w:type="dxa"/>
            <w:tcBorders>
              <w:top w:val="nil"/>
              <w:bottom w:val="nil"/>
            </w:tcBorders>
          </w:tcPr>
          <w:p w14:paraId="65CEC0A1" w14:textId="77777777" w:rsidR="005D69AE" w:rsidRPr="003C39CF" w:rsidRDefault="005D69AE" w:rsidP="00D906FC">
            <w:pPr>
              <w:jc w:val="center"/>
              <w:rPr>
                <w:rFonts w:ascii="Times New Roman" w:hAnsi="Times New Roman" w:cs="Times New Roman"/>
                <w:i/>
                <w:iCs/>
                <w:sz w:val="20"/>
                <w:szCs w:val="20"/>
              </w:rPr>
            </w:pPr>
          </w:p>
        </w:tc>
        <w:tc>
          <w:tcPr>
            <w:tcW w:w="1403" w:type="dxa"/>
            <w:tcBorders>
              <w:top w:val="nil"/>
              <w:bottom w:val="nil"/>
            </w:tcBorders>
          </w:tcPr>
          <w:p w14:paraId="47C0DFFB"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4D5D692A"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0.1468</w:t>
            </w:r>
          </w:p>
        </w:tc>
        <w:tc>
          <w:tcPr>
            <w:tcW w:w="1135" w:type="dxa"/>
            <w:tcBorders>
              <w:top w:val="nil"/>
              <w:bottom w:val="nil"/>
            </w:tcBorders>
          </w:tcPr>
          <w:p w14:paraId="139846F4"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tcPr>
          <w:p w14:paraId="53E6B82F"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tcPr>
          <w:p w14:paraId="5534D018"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0.1345</w:t>
            </w:r>
          </w:p>
        </w:tc>
      </w:tr>
      <w:tr w:rsidR="005D69AE" w:rsidRPr="003C39CF" w14:paraId="5C63FCA3" w14:textId="77777777" w:rsidTr="00B0092F">
        <w:trPr>
          <w:trHeight w:val="246"/>
          <w:jc w:val="center"/>
        </w:trPr>
        <w:tc>
          <w:tcPr>
            <w:tcW w:w="2930" w:type="dxa"/>
            <w:tcBorders>
              <w:top w:val="nil"/>
              <w:bottom w:val="nil"/>
            </w:tcBorders>
          </w:tcPr>
          <w:p w14:paraId="76B5869B"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Yes</w:t>
            </w:r>
          </w:p>
        </w:tc>
        <w:tc>
          <w:tcPr>
            <w:tcW w:w="1240" w:type="dxa"/>
            <w:tcBorders>
              <w:top w:val="nil"/>
              <w:bottom w:val="nil"/>
            </w:tcBorders>
          </w:tcPr>
          <w:p w14:paraId="2CF9F015" w14:textId="77777777" w:rsidR="005D69AE" w:rsidRPr="003C39CF" w:rsidRDefault="005D69AE" w:rsidP="00D906FC">
            <w:pPr>
              <w:jc w:val="center"/>
              <w:rPr>
                <w:rFonts w:ascii="Times New Roman" w:hAnsi="Times New Roman" w:cs="Times New Roman"/>
                <w:i/>
                <w:iCs/>
                <w:sz w:val="20"/>
                <w:szCs w:val="20"/>
              </w:rPr>
            </w:pPr>
            <w:r w:rsidRPr="003C39CF">
              <w:rPr>
                <w:rFonts w:ascii="Times New Roman" w:hAnsi="Times New Roman" w:cs="Times New Roman"/>
                <w:sz w:val="20"/>
                <w:szCs w:val="20"/>
              </w:rPr>
              <w:t>-0.24</w:t>
            </w:r>
          </w:p>
        </w:tc>
        <w:tc>
          <w:tcPr>
            <w:tcW w:w="1403" w:type="dxa"/>
            <w:tcBorders>
              <w:top w:val="nil"/>
              <w:bottom w:val="nil"/>
            </w:tcBorders>
          </w:tcPr>
          <w:p w14:paraId="0B7C0E34"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-0.57, 0.09</w:t>
            </w:r>
          </w:p>
        </w:tc>
        <w:tc>
          <w:tcPr>
            <w:tcW w:w="1136" w:type="dxa"/>
            <w:tcBorders>
              <w:top w:val="nil"/>
              <w:bottom w:val="nil"/>
            </w:tcBorders>
          </w:tcPr>
          <w:p w14:paraId="313999B0"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0.1468</w:t>
            </w:r>
          </w:p>
        </w:tc>
        <w:tc>
          <w:tcPr>
            <w:tcW w:w="1135" w:type="dxa"/>
            <w:tcBorders>
              <w:top w:val="nil"/>
              <w:bottom w:val="nil"/>
            </w:tcBorders>
            <w:vAlign w:val="center"/>
          </w:tcPr>
          <w:p w14:paraId="09C9C2A4"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1.57</w:t>
            </w:r>
          </w:p>
        </w:tc>
        <w:tc>
          <w:tcPr>
            <w:tcW w:w="1471" w:type="dxa"/>
            <w:tcBorders>
              <w:top w:val="nil"/>
              <w:bottom w:val="nil"/>
            </w:tcBorders>
            <w:vAlign w:val="center"/>
          </w:tcPr>
          <w:p w14:paraId="1C3CCEEB"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0.87, 2.86</w:t>
            </w:r>
          </w:p>
        </w:tc>
        <w:tc>
          <w:tcPr>
            <w:tcW w:w="1173" w:type="dxa"/>
            <w:tcBorders>
              <w:top w:val="nil"/>
              <w:bottom w:val="nil"/>
            </w:tcBorders>
            <w:vAlign w:val="center"/>
          </w:tcPr>
          <w:p w14:paraId="63DACFD5"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0.1345</w:t>
            </w:r>
          </w:p>
        </w:tc>
      </w:tr>
      <w:tr w:rsidR="005D69AE" w:rsidRPr="003C39CF" w14:paraId="36CB50A9" w14:textId="77777777" w:rsidTr="00B0092F">
        <w:trPr>
          <w:trHeight w:val="246"/>
          <w:jc w:val="center"/>
        </w:trPr>
        <w:tc>
          <w:tcPr>
            <w:tcW w:w="2930" w:type="dxa"/>
            <w:tcBorders>
              <w:top w:val="nil"/>
              <w:bottom w:val="nil"/>
            </w:tcBorders>
          </w:tcPr>
          <w:p w14:paraId="02DFE664"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No</w:t>
            </w:r>
          </w:p>
        </w:tc>
        <w:tc>
          <w:tcPr>
            <w:tcW w:w="7558" w:type="dxa"/>
            <w:gridSpan w:val="6"/>
            <w:tcBorders>
              <w:top w:val="nil"/>
              <w:bottom w:val="nil"/>
            </w:tcBorders>
          </w:tcPr>
          <w:p w14:paraId="62963064"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i/>
                <w:iCs/>
                <w:sz w:val="20"/>
                <w:szCs w:val="20"/>
              </w:rPr>
              <w:t>Reference</w:t>
            </w:r>
          </w:p>
        </w:tc>
      </w:tr>
      <w:tr w:rsidR="005D69AE" w:rsidRPr="003C39CF" w14:paraId="5E440FEC" w14:textId="77777777" w:rsidTr="00B0092F">
        <w:trPr>
          <w:trHeight w:val="246"/>
          <w:jc w:val="center"/>
        </w:trPr>
        <w:tc>
          <w:tcPr>
            <w:tcW w:w="2930" w:type="dxa"/>
            <w:tcBorders>
              <w:top w:val="nil"/>
              <w:bottom w:val="nil"/>
            </w:tcBorders>
          </w:tcPr>
          <w:p w14:paraId="30E23631"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b/>
                <w:bCs/>
                <w:sz w:val="20"/>
                <w:szCs w:val="20"/>
              </w:rPr>
              <w:t>Anemia</w:t>
            </w:r>
          </w:p>
        </w:tc>
        <w:tc>
          <w:tcPr>
            <w:tcW w:w="1240" w:type="dxa"/>
            <w:tcBorders>
              <w:top w:val="nil"/>
              <w:bottom w:val="nil"/>
            </w:tcBorders>
          </w:tcPr>
          <w:p w14:paraId="7145C49F" w14:textId="77777777" w:rsidR="005D69AE" w:rsidRPr="003C39CF" w:rsidRDefault="005D69AE" w:rsidP="00D906FC">
            <w:pPr>
              <w:jc w:val="center"/>
              <w:rPr>
                <w:rFonts w:ascii="Times New Roman" w:hAnsi="Times New Roman" w:cs="Times New Roman"/>
                <w:i/>
                <w:iCs/>
                <w:sz w:val="20"/>
                <w:szCs w:val="20"/>
              </w:rPr>
            </w:pPr>
          </w:p>
        </w:tc>
        <w:tc>
          <w:tcPr>
            <w:tcW w:w="1403" w:type="dxa"/>
            <w:tcBorders>
              <w:top w:val="nil"/>
              <w:bottom w:val="nil"/>
            </w:tcBorders>
          </w:tcPr>
          <w:p w14:paraId="1C950B43"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1CDDDACA" w14:textId="77777777" w:rsidR="005D69AE" w:rsidRPr="003C39CF" w:rsidRDefault="005D69AE" w:rsidP="00D906FC">
            <w:pPr>
              <w:jc w:val="center"/>
              <w:rPr>
                <w:rFonts w:ascii="Times New Roman" w:hAnsi="Times New Roman" w:cs="Times New Roman"/>
                <w:sz w:val="20"/>
                <w:szCs w:val="20"/>
              </w:rPr>
            </w:pPr>
          </w:p>
        </w:tc>
        <w:tc>
          <w:tcPr>
            <w:tcW w:w="1135" w:type="dxa"/>
            <w:tcBorders>
              <w:top w:val="nil"/>
              <w:bottom w:val="nil"/>
            </w:tcBorders>
          </w:tcPr>
          <w:p w14:paraId="061F3BDF"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tcPr>
          <w:p w14:paraId="77488E3C"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tcPr>
          <w:p w14:paraId="358584CA"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0.0142</w:t>
            </w:r>
          </w:p>
        </w:tc>
      </w:tr>
      <w:tr w:rsidR="005D69AE" w:rsidRPr="003C39CF" w14:paraId="5552B726" w14:textId="77777777" w:rsidTr="00B0092F">
        <w:trPr>
          <w:trHeight w:val="246"/>
          <w:jc w:val="center"/>
        </w:trPr>
        <w:tc>
          <w:tcPr>
            <w:tcW w:w="2930" w:type="dxa"/>
            <w:tcBorders>
              <w:top w:val="nil"/>
              <w:bottom w:val="nil"/>
            </w:tcBorders>
          </w:tcPr>
          <w:p w14:paraId="7423C911"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Yes</w:t>
            </w:r>
          </w:p>
        </w:tc>
        <w:tc>
          <w:tcPr>
            <w:tcW w:w="1240" w:type="dxa"/>
            <w:tcBorders>
              <w:top w:val="nil"/>
              <w:bottom w:val="nil"/>
            </w:tcBorders>
          </w:tcPr>
          <w:p w14:paraId="1BE58671" w14:textId="77777777" w:rsidR="005D69AE" w:rsidRPr="003C39CF" w:rsidRDefault="005D69AE" w:rsidP="00D906FC">
            <w:pPr>
              <w:jc w:val="center"/>
              <w:rPr>
                <w:rFonts w:ascii="Times New Roman" w:hAnsi="Times New Roman" w:cs="Times New Roman"/>
                <w:i/>
                <w:iCs/>
                <w:sz w:val="20"/>
                <w:szCs w:val="20"/>
              </w:rPr>
            </w:pPr>
            <w:r w:rsidRPr="003C39CF">
              <w:rPr>
                <w:rFonts w:ascii="Times New Roman" w:hAnsi="Times New Roman" w:cs="Times New Roman"/>
                <w:sz w:val="20"/>
                <w:szCs w:val="20"/>
              </w:rPr>
              <w:t>-0.46</w:t>
            </w:r>
          </w:p>
        </w:tc>
        <w:tc>
          <w:tcPr>
            <w:tcW w:w="1403" w:type="dxa"/>
            <w:tcBorders>
              <w:top w:val="nil"/>
              <w:bottom w:val="nil"/>
            </w:tcBorders>
          </w:tcPr>
          <w:p w14:paraId="4F635ADE"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-0.74, -0.19</w:t>
            </w:r>
          </w:p>
        </w:tc>
        <w:tc>
          <w:tcPr>
            <w:tcW w:w="1136" w:type="dxa"/>
            <w:tcBorders>
              <w:top w:val="nil"/>
              <w:bottom w:val="nil"/>
            </w:tcBorders>
          </w:tcPr>
          <w:p w14:paraId="31A1CADE"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0.0009</w:t>
            </w:r>
          </w:p>
        </w:tc>
        <w:tc>
          <w:tcPr>
            <w:tcW w:w="1135" w:type="dxa"/>
            <w:tcBorders>
              <w:top w:val="nil"/>
              <w:bottom w:val="nil"/>
            </w:tcBorders>
            <w:vAlign w:val="center"/>
          </w:tcPr>
          <w:p w14:paraId="26F086C9"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1.87</w:t>
            </w:r>
          </w:p>
        </w:tc>
        <w:tc>
          <w:tcPr>
            <w:tcW w:w="1471" w:type="dxa"/>
            <w:tcBorders>
              <w:top w:val="nil"/>
              <w:bottom w:val="nil"/>
            </w:tcBorders>
            <w:vAlign w:val="center"/>
          </w:tcPr>
          <w:p w14:paraId="746F8237"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1.13, 3.08</w:t>
            </w:r>
          </w:p>
        </w:tc>
        <w:tc>
          <w:tcPr>
            <w:tcW w:w="1173" w:type="dxa"/>
            <w:tcBorders>
              <w:top w:val="nil"/>
              <w:bottom w:val="nil"/>
            </w:tcBorders>
            <w:vAlign w:val="center"/>
          </w:tcPr>
          <w:p w14:paraId="74E376D5"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0.0142</w:t>
            </w:r>
          </w:p>
        </w:tc>
      </w:tr>
      <w:tr w:rsidR="005D69AE" w:rsidRPr="003C39CF" w14:paraId="1307EB86" w14:textId="77777777" w:rsidTr="00B0092F">
        <w:trPr>
          <w:trHeight w:val="246"/>
          <w:jc w:val="center"/>
        </w:trPr>
        <w:tc>
          <w:tcPr>
            <w:tcW w:w="2930" w:type="dxa"/>
            <w:tcBorders>
              <w:top w:val="nil"/>
              <w:bottom w:val="nil"/>
            </w:tcBorders>
          </w:tcPr>
          <w:p w14:paraId="61490AB0"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No</w:t>
            </w:r>
          </w:p>
        </w:tc>
        <w:tc>
          <w:tcPr>
            <w:tcW w:w="7558" w:type="dxa"/>
            <w:gridSpan w:val="6"/>
            <w:tcBorders>
              <w:top w:val="nil"/>
              <w:bottom w:val="nil"/>
            </w:tcBorders>
          </w:tcPr>
          <w:p w14:paraId="4A2BF2A1"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i/>
                <w:iCs/>
                <w:sz w:val="20"/>
                <w:szCs w:val="20"/>
              </w:rPr>
              <w:t>Reference</w:t>
            </w:r>
          </w:p>
        </w:tc>
      </w:tr>
      <w:tr w:rsidR="005D69AE" w:rsidRPr="003C39CF" w14:paraId="3EB549B7" w14:textId="77777777" w:rsidTr="00B0092F">
        <w:trPr>
          <w:trHeight w:val="246"/>
          <w:jc w:val="center"/>
        </w:trPr>
        <w:tc>
          <w:tcPr>
            <w:tcW w:w="2930" w:type="dxa"/>
            <w:tcBorders>
              <w:top w:val="nil"/>
              <w:bottom w:val="nil"/>
            </w:tcBorders>
          </w:tcPr>
          <w:p w14:paraId="31E32FC6"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b/>
                <w:bCs/>
                <w:sz w:val="20"/>
                <w:szCs w:val="20"/>
              </w:rPr>
              <w:t>Asthma</w:t>
            </w:r>
          </w:p>
        </w:tc>
        <w:tc>
          <w:tcPr>
            <w:tcW w:w="1240" w:type="dxa"/>
            <w:tcBorders>
              <w:top w:val="nil"/>
              <w:bottom w:val="nil"/>
            </w:tcBorders>
          </w:tcPr>
          <w:p w14:paraId="73AC8C54" w14:textId="77777777" w:rsidR="005D69AE" w:rsidRPr="003C39CF" w:rsidRDefault="005D69AE" w:rsidP="00D906FC">
            <w:pPr>
              <w:jc w:val="center"/>
              <w:rPr>
                <w:rFonts w:ascii="Times New Roman" w:hAnsi="Times New Roman" w:cs="Times New Roman"/>
                <w:i/>
                <w:iCs/>
                <w:sz w:val="20"/>
                <w:szCs w:val="20"/>
              </w:rPr>
            </w:pPr>
          </w:p>
        </w:tc>
        <w:tc>
          <w:tcPr>
            <w:tcW w:w="1403" w:type="dxa"/>
            <w:tcBorders>
              <w:top w:val="nil"/>
              <w:bottom w:val="nil"/>
            </w:tcBorders>
          </w:tcPr>
          <w:p w14:paraId="3D9064B5"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677446B3"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c>
          <w:tcPr>
            <w:tcW w:w="1135" w:type="dxa"/>
            <w:tcBorders>
              <w:top w:val="nil"/>
              <w:bottom w:val="nil"/>
            </w:tcBorders>
          </w:tcPr>
          <w:p w14:paraId="72C91DC9"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tcPr>
          <w:p w14:paraId="2888A347"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tcPr>
          <w:p w14:paraId="1CECACFE"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0.0049</w:t>
            </w:r>
          </w:p>
        </w:tc>
      </w:tr>
      <w:tr w:rsidR="005D69AE" w:rsidRPr="003C39CF" w14:paraId="67C266DB" w14:textId="77777777" w:rsidTr="00B0092F">
        <w:trPr>
          <w:trHeight w:val="246"/>
          <w:jc w:val="center"/>
        </w:trPr>
        <w:tc>
          <w:tcPr>
            <w:tcW w:w="2930" w:type="dxa"/>
            <w:tcBorders>
              <w:top w:val="nil"/>
              <w:bottom w:val="nil"/>
            </w:tcBorders>
          </w:tcPr>
          <w:p w14:paraId="4BD9C939"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Yes</w:t>
            </w:r>
          </w:p>
        </w:tc>
        <w:tc>
          <w:tcPr>
            <w:tcW w:w="1240" w:type="dxa"/>
            <w:tcBorders>
              <w:top w:val="nil"/>
              <w:bottom w:val="nil"/>
            </w:tcBorders>
          </w:tcPr>
          <w:p w14:paraId="7D095E14" w14:textId="77777777" w:rsidR="005D69AE" w:rsidRPr="003C39CF" w:rsidRDefault="005D69AE" w:rsidP="00D906FC">
            <w:pPr>
              <w:jc w:val="center"/>
              <w:rPr>
                <w:rFonts w:ascii="Times New Roman" w:hAnsi="Times New Roman" w:cs="Times New Roman"/>
                <w:i/>
                <w:iCs/>
                <w:sz w:val="20"/>
                <w:szCs w:val="20"/>
              </w:rPr>
            </w:pPr>
            <w:r w:rsidRPr="003C39CF">
              <w:rPr>
                <w:rFonts w:ascii="Times New Roman" w:hAnsi="Times New Roman" w:cs="Times New Roman"/>
                <w:sz w:val="20"/>
                <w:szCs w:val="20"/>
              </w:rPr>
              <w:t>-0.43</w:t>
            </w:r>
          </w:p>
        </w:tc>
        <w:tc>
          <w:tcPr>
            <w:tcW w:w="1403" w:type="dxa"/>
            <w:tcBorders>
              <w:top w:val="nil"/>
              <w:bottom w:val="nil"/>
            </w:tcBorders>
          </w:tcPr>
          <w:p w14:paraId="6B6B2551"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-0.63, -0.23</w:t>
            </w:r>
          </w:p>
        </w:tc>
        <w:tc>
          <w:tcPr>
            <w:tcW w:w="1136" w:type="dxa"/>
            <w:tcBorders>
              <w:top w:val="nil"/>
              <w:bottom w:val="nil"/>
            </w:tcBorders>
          </w:tcPr>
          <w:p w14:paraId="08837E9A"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&lt;0.0001</w:t>
            </w:r>
          </w:p>
        </w:tc>
        <w:tc>
          <w:tcPr>
            <w:tcW w:w="1135" w:type="dxa"/>
            <w:tcBorders>
              <w:top w:val="nil"/>
              <w:bottom w:val="nil"/>
            </w:tcBorders>
            <w:vAlign w:val="center"/>
          </w:tcPr>
          <w:p w14:paraId="379C9C42"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1.68</w:t>
            </w:r>
          </w:p>
        </w:tc>
        <w:tc>
          <w:tcPr>
            <w:tcW w:w="1471" w:type="dxa"/>
            <w:tcBorders>
              <w:top w:val="nil"/>
              <w:bottom w:val="nil"/>
            </w:tcBorders>
            <w:vAlign w:val="center"/>
          </w:tcPr>
          <w:p w14:paraId="0E23604E"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1.17, 2.42</w:t>
            </w:r>
          </w:p>
        </w:tc>
        <w:tc>
          <w:tcPr>
            <w:tcW w:w="1173" w:type="dxa"/>
            <w:tcBorders>
              <w:top w:val="nil"/>
              <w:bottom w:val="nil"/>
            </w:tcBorders>
            <w:vAlign w:val="center"/>
          </w:tcPr>
          <w:p w14:paraId="7E323905"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0.0049</w:t>
            </w:r>
          </w:p>
        </w:tc>
      </w:tr>
      <w:tr w:rsidR="005D69AE" w:rsidRPr="003C39CF" w14:paraId="64BA0A28" w14:textId="77777777" w:rsidTr="00B0092F">
        <w:trPr>
          <w:trHeight w:val="246"/>
          <w:jc w:val="center"/>
        </w:trPr>
        <w:tc>
          <w:tcPr>
            <w:tcW w:w="2930" w:type="dxa"/>
            <w:tcBorders>
              <w:top w:val="nil"/>
              <w:bottom w:val="nil"/>
            </w:tcBorders>
          </w:tcPr>
          <w:p w14:paraId="27F0CB15"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No</w:t>
            </w:r>
          </w:p>
        </w:tc>
        <w:tc>
          <w:tcPr>
            <w:tcW w:w="7558" w:type="dxa"/>
            <w:gridSpan w:val="6"/>
            <w:tcBorders>
              <w:top w:val="nil"/>
              <w:bottom w:val="nil"/>
            </w:tcBorders>
          </w:tcPr>
          <w:p w14:paraId="5BABB134"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i/>
                <w:iCs/>
                <w:sz w:val="20"/>
                <w:szCs w:val="20"/>
              </w:rPr>
              <w:t>Reference</w:t>
            </w:r>
          </w:p>
        </w:tc>
      </w:tr>
      <w:tr w:rsidR="005D69AE" w:rsidRPr="003C39CF" w14:paraId="60413545" w14:textId="77777777" w:rsidTr="00B0092F">
        <w:trPr>
          <w:trHeight w:val="246"/>
          <w:jc w:val="center"/>
        </w:trPr>
        <w:tc>
          <w:tcPr>
            <w:tcW w:w="2930" w:type="dxa"/>
            <w:tcBorders>
              <w:top w:val="nil"/>
              <w:bottom w:val="nil"/>
            </w:tcBorders>
          </w:tcPr>
          <w:p w14:paraId="50247A72" w14:textId="77777777" w:rsidR="005D69AE" w:rsidRPr="003C39CF" w:rsidRDefault="005D69AE" w:rsidP="00D906FC">
            <w:pPr>
              <w:rPr>
                <w:rFonts w:ascii="Times New Roman" w:hAnsi="Times New Roman" w:cs="Times New Roman"/>
                <w:b/>
                <w:bCs/>
                <w:sz w:val="20"/>
                <w:szCs w:val="20"/>
              </w:rPr>
            </w:pPr>
            <w:r w:rsidRPr="003C39CF">
              <w:rPr>
                <w:rFonts w:ascii="Times New Roman" w:hAnsi="Times New Roman" w:cs="Times New Roman"/>
                <w:b/>
                <w:bCs/>
                <w:sz w:val="20"/>
                <w:szCs w:val="20"/>
              </w:rPr>
              <w:t>Time Between Exam</w:t>
            </w:r>
          </w:p>
        </w:tc>
        <w:tc>
          <w:tcPr>
            <w:tcW w:w="1240" w:type="dxa"/>
            <w:tcBorders>
              <w:top w:val="nil"/>
              <w:bottom w:val="nil"/>
            </w:tcBorders>
          </w:tcPr>
          <w:p w14:paraId="227A400E"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0.01</w:t>
            </w:r>
          </w:p>
        </w:tc>
        <w:tc>
          <w:tcPr>
            <w:tcW w:w="1403" w:type="dxa"/>
            <w:tcBorders>
              <w:top w:val="nil"/>
              <w:bottom w:val="nil"/>
            </w:tcBorders>
          </w:tcPr>
          <w:p w14:paraId="46F82E5B"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-0.02, 0.44</w:t>
            </w:r>
          </w:p>
        </w:tc>
        <w:tc>
          <w:tcPr>
            <w:tcW w:w="1136" w:type="dxa"/>
            <w:tcBorders>
              <w:top w:val="nil"/>
              <w:bottom w:val="nil"/>
            </w:tcBorders>
          </w:tcPr>
          <w:p w14:paraId="3A1727A9"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0.5281</w:t>
            </w:r>
          </w:p>
        </w:tc>
        <w:tc>
          <w:tcPr>
            <w:tcW w:w="1135" w:type="dxa"/>
            <w:tcBorders>
              <w:top w:val="nil"/>
              <w:bottom w:val="nil"/>
            </w:tcBorders>
            <w:vAlign w:val="center"/>
          </w:tcPr>
          <w:p w14:paraId="255946A1"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0.98</w:t>
            </w:r>
          </w:p>
        </w:tc>
        <w:tc>
          <w:tcPr>
            <w:tcW w:w="1471" w:type="dxa"/>
            <w:tcBorders>
              <w:top w:val="nil"/>
              <w:bottom w:val="nil"/>
            </w:tcBorders>
            <w:vAlign w:val="center"/>
          </w:tcPr>
          <w:p w14:paraId="6CF745DC"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0.93, 1.04</w:t>
            </w:r>
          </w:p>
        </w:tc>
        <w:tc>
          <w:tcPr>
            <w:tcW w:w="1173" w:type="dxa"/>
            <w:tcBorders>
              <w:top w:val="nil"/>
              <w:bottom w:val="nil"/>
            </w:tcBorders>
            <w:vAlign w:val="center"/>
          </w:tcPr>
          <w:p w14:paraId="653FEBAD"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0.5686</w:t>
            </w:r>
          </w:p>
        </w:tc>
      </w:tr>
      <w:tr w:rsidR="005D69AE" w:rsidRPr="003C39CF" w14:paraId="247D8DEF" w14:textId="77777777" w:rsidTr="00B0092F">
        <w:trPr>
          <w:trHeight w:val="246"/>
          <w:jc w:val="center"/>
        </w:trPr>
        <w:tc>
          <w:tcPr>
            <w:tcW w:w="2930" w:type="dxa"/>
            <w:tcBorders>
              <w:top w:val="nil"/>
              <w:bottom w:val="nil"/>
            </w:tcBorders>
          </w:tcPr>
          <w:p w14:paraId="40A587B6"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b/>
                <w:bCs/>
                <w:sz w:val="20"/>
                <w:szCs w:val="20"/>
              </w:rPr>
              <w:t>Race</w:t>
            </w:r>
          </w:p>
        </w:tc>
        <w:tc>
          <w:tcPr>
            <w:tcW w:w="1240" w:type="dxa"/>
            <w:tcBorders>
              <w:top w:val="nil"/>
              <w:bottom w:val="nil"/>
            </w:tcBorders>
          </w:tcPr>
          <w:p w14:paraId="29541D52" w14:textId="77777777" w:rsidR="005D69AE" w:rsidRPr="003C39CF" w:rsidRDefault="005D69AE" w:rsidP="00D906FC">
            <w:pPr>
              <w:jc w:val="center"/>
              <w:rPr>
                <w:rFonts w:ascii="Times New Roman" w:hAnsi="Times New Roman" w:cs="Times New Roman"/>
                <w:sz w:val="20"/>
                <w:szCs w:val="20"/>
              </w:rPr>
            </w:pPr>
          </w:p>
        </w:tc>
        <w:tc>
          <w:tcPr>
            <w:tcW w:w="1403" w:type="dxa"/>
            <w:tcBorders>
              <w:top w:val="nil"/>
              <w:bottom w:val="nil"/>
            </w:tcBorders>
          </w:tcPr>
          <w:p w14:paraId="1AF5A237"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5C5CE023"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0.6056</w:t>
            </w:r>
          </w:p>
        </w:tc>
        <w:tc>
          <w:tcPr>
            <w:tcW w:w="1135" w:type="dxa"/>
            <w:tcBorders>
              <w:top w:val="nil"/>
              <w:bottom w:val="nil"/>
            </w:tcBorders>
          </w:tcPr>
          <w:p w14:paraId="720F757B"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tcPr>
          <w:p w14:paraId="561AD68F"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tcPr>
          <w:p w14:paraId="5EA614EC"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0.4745</w:t>
            </w:r>
          </w:p>
        </w:tc>
      </w:tr>
      <w:tr w:rsidR="005D69AE" w:rsidRPr="003C39CF" w14:paraId="6CA1968F" w14:textId="77777777" w:rsidTr="00B0092F">
        <w:trPr>
          <w:trHeight w:val="246"/>
          <w:jc w:val="center"/>
        </w:trPr>
        <w:tc>
          <w:tcPr>
            <w:tcW w:w="2930" w:type="dxa"/>
            <w:tcBorders>
              <w:top w:val="nil"/>
              <w:bottom w:val="nil"/>
            </w:tcBorders>
          </w:tcPr>
          <w:p w14:paraId="7FBAC863"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Non-Black</w:t>
            </w:r>
          </w:p>
        </w:tc>
        <w:tc>
          <w:tcPr>
            <w:tcW w:w="1240" w:type="dxa"/>
            <w:tcBorders>
              <w:top w:val="nil"/>
              <w:bottom w:val="nil"/>
            </w:tcBorders>
          </w:tcPr>
          <w:p w14:paraId="3BA67181"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-0.09</w:t>
            </w:r>
          </w:p>
        </w:tc>
        <w:tc>
          <w:tcPr>
            <w:tcW w:w="1403" w:type="dxa"/>
            <w:tcBorders>
              <w:top w:val="nil"/>
              <w:bottom w:val="nil"/>
            </w:tcBorders>
          </w:tcPr>
          <w:p w14:paraId="7B5D3F4C"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-0.43, 0.25</w:t>
            </w:r>
          </w:p>
        </w:tc>
        <w:tc>
          <w:tcPr>
            <w:tcW w:w="1136" w:type="dxa"/>
            <w:tcBorders>
              <w:top w:val="nil"/>
              <w:bottom w:val="nil"/>
            </w:tcBorders>
          </w:tcPr>
          <w:p w14:paraId="435233DB"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0.6056</w:t>
            </w:r>
          </w:p>
        </w:tc>
        <w:tc>
          <w:tcPr>
            <w:tcW w:w="1135" w:type="dxa"/>
            <w:tcBorders>
              <w:top w:val="nil"/>
              <w:bottom w:val="nil"/>
            </w:tcBorders>
            <w:vAlign w:val="center"/>
          </w:tcPr>
          <w:p w14:paraId="439C2C1B"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1.24</w:t>
            </w:r>
          </w:p>
        </w:tc>
        <w:tc>
          <w:tcPr>
            <w:tcW w:w="1471" w:type="dxa"/>
            <w:tcBorders>
              <w:top w:val="nil"/>
              <w:bottom w:val="nil"/>
            </w:tcBorders>
            <w:vAlign w:val="center"/>
          </w:tcPr>
          <w:p w14:paraId="5954CF97"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0.69, 2.22</w:t>
            </w:r>
          </w:p>
        </w:tc>
        <w:tc>
          <w:tcPr>
            <w:tcW w:w="1173" w:type="dxa"/>
            <w:tcBorders>
              <w:top w:val="nil"/>
              <w:bottom w:val="nil"/>
            </w:tcBorders>
            <w:vAlign w:val="center"/>
          </w:tcPr>
          <w:p w14:paraId="25ACAE25"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0.4745</w:t>
            </w:r>
          </w:p>
        </w:tc>
      </w:tr>
      <w:tr w:rsidR="005D69AE" w:rsidRPr="003C39CF" w14:paraId="4338A71A" w14:textId="77777777" w:rsidTr="00B0092F">
        <w:trPr>
          <w:trHeight w:val="246"/>
          <w:jc w:val="center"/>
        </w:trPr>
        <w:tc>
          <w:tcPr>
            <w:tcW w:w="2930" w:type="dxa"/>
            <w:tcBorders>
              <w:top w:val="nil"/>
              <w:bottom w:val="nil"/>
            </w:tcBorders>
          </w:tcPr>
          <w:p w14:paraId="0E19D2FB"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Black</w:t>
            </w:r>
          </w:p>
        </w:tc>
        <w:tc>
          <w:tcPr>
            <w:tcW w:w="7558" w:type="dxa"/>
            <w:gridSpan w:val="6"/>
            <w:tcBorders>
              <w:top w:val="nil"/>
              <w:bottom w:val="nil"/>
            </w:tcBorders>
          </w:tcPr>
          <w:p w14:paraId="0FBF915F" w14:textId="77777777" w:rsidR="005D69AE" w:rsidRPr="003C39CF" w:rsidRDefault="005D69AE" w:rsidP="00D906FC">
            <w:pPr>
              <w:rPr>
                <w:rFonts w:ascii="Times New Roman" w:hAnsi="Times New Roman" w:cs="Times New Roman"/>
                <w:i/>
                <w:iCs/>
                <w:sz w:val="20"/>
                <w:szCs w:val="20"/>
              </w:rPr>
            </w:pPr>
            <w:r w:rsidRPr="003C39CF">
              <w:rPr>
                <w:rFonts w:ascii="Times New Roman" w:hAnsi="Times New Roman" w:cs="Times New Roman"/>
                <w:i/>
                <w:iCs/>
                <w:sz w:val="20"/>
                <w:szCs w:val="20"/>
              </w:rPr>
              <w:t>Reference</w:t>
            </w:r>
          </w:p>
        </w:tc>
      </w:tr>
      <w:tr w:rsidR="005D69AE" w:rsidRPr="003C39CF" w14:paraId="090D2640" w14:textId="77777777" w:rsidTr="00B0092F">
        <w:trPr>
          <w:trHeight w:val="246"/>
          <w:jc w:val="center"/>
        </w:trPr>
        <w:tc>
          <w:tcPr>
            <w:tcW w:w="2930" w:type="dxa"/>
            <w:tcBorders>
              <w:top w:val="nil"/>
              <w:bottom w:val="nil"/>
            </w:tcBorders>
          </w:tcPr>
          <w:p w14:paraId="6F6F761F" w14:textId="77777777" w:rsidR="005D69AE" w:rsidRPr="003C39CF" w:rsidRDefault="005D69AE" w:rsidP="00D906FC">
            <w:pPr>
              <w:rPr>
                <w:rFonts w:ascii="Times New Roman" w:hAnsi="Times New Roman" w:cs="Times New Roman"/>
                <w:b/>
                <w:bCs/>
                <w:sz w:val="20"/>
                <w:szCs w:val="20"/>
              </w:rPr>
            </w:pPr>
            <w:r w:rsidRPr="003C39CF">
              <w:rPr>
                <w:rFonts w:ascii="Times New Roman" w:hAnsi="Times New Roman" w:cs="Times New Roman"/>
                <w:b/>
                <w:bCs/>
                <w:sz w:val="20"/>
                <w:szCs w:val="20"/>
              </w:rPr>
              <w:t>Duration of Employment</w:t>
            </w:r>
          </w:p>
        </w:tc>
        <w:tc>
          <w:tcPr>
            <w:tcW w:w="1240" w:type="dxa"/>
            <w:tcBorders>
              <w:top w:val="nil"/>
              <w:bottom w:val="nil"/>
            </w:tcBorders>
          </w:tcPr>
          <w:p w14:paraId="22136FC3" w14:textId="77777777" w:rsidR="005D69AE" w:rsidRPr="003C39CF" w:rsidRDefault="005D69AE" w:rsidP="00D906FC">
            <w:pPr>
              <w:jc w:val="center"/>
              <w:rPr>
                <w:rFonts w:ascii="Times New Roman" w:hAnsi="Times New Roman" w:cs="Times New Roman"/>
                <w:sz w:val="20"/>
                <w:szCs w:val="20"/>
              </w:rPr>
            </w:pPr>
          </w:p>
        </w:tc>
        <w:tc>
          <w:tcPr>
            <w:tcW w:w="1403" w:type="dxa"/>
            <w:tcBorders>
              <w:top w:val="nil"/>
              <w:bottom w:val="nil"/>
            </w:tcBorders>
          </w:tcPr>
          <w:p w14:paraId="5EB33FEA"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1DA7D711"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0.3840</w:t>
            </w:r>
          </w:p>
        </w:tc>
        <w:tc>
          <w:tcPr>
            <w:tcW w:w="1135" w:type="dxa"/>
            <w:tcBorders>
              <w:top w:val="nil"/>
              <w:bottom w:val="nil"/>
            </w:tcBorders>
            <w:vAlign w:val="center"/>
          </w:tcPr>
          <w:p w14:paraId="4AF25F99"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vAlign w:val="center"/>
          </w:tcPr>
          <w:p w14:paraId="4F4A41CE"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vAlign w:val="center"/>
          </w:tcPr>
          <w:p w14:paraId="6ECB51C7"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0.1760</w:t>
            </w:r>
          </w:p>
        </w:tc>
      </w:tr>
      <w:tr w:rsidR="005D69AE" w:rsidRPr="003C39CF" w14:paraId="44EEB346" w14:textId="77777777" w:rsidTr="00B0092F">
        <w:trPr>
          <w:trHeight w:val="246"/>
          <w:jc w:val="center"/>
        </w:trPr>
        <w:tc>
          <w:tcPr>
            <w:tcW w:w="2930" w:type="dxa"/>
            <w:tcBorders>
              <w:top w:val="nil"/>
              <w:bottom w:val="nil"/>
            </w:tcBorders>
            <w:vAlign w:val="bottom"/>
          </w:tcPr>
          <w:p w14:paraId="5881088A"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w:t>
            </w:r>
            <w:r w:rsidRPr="003C39CF">
              <w:rPr>
                <w:rFonts w:ascii="Times New Roman" w:hAnsi="Times New Roman" w:cs="Times New Roman"/>
                <w:color w:val="000000"/>
                <w:sz w:val="20"/>
                <w:szCs w:val="20"/>
              </w:rPr>
              <w:t>5-9 years</w:t>
            </w:r>
          </w:p>
        </w:tc>
        <w:tc>
          <w:tcPr>
            <w:tcW w:w="1240" w:type="dxa"/>
            <w:tcBorders>
              <w:top w:val="nil"/>
              <w:bottom w:val="nil"/>
            </w:tcBorders>
          </w:tcPr>
          <w:p w14:paraId="6931852D"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-0.09</w:t>
            </w:r>
          </w:p>
        </w:tc>
        <w:tc>
          <w:tcPr>
            <w:tcW w:w="1403" w:type="dxa"/>
            <w:tcBorders>
              <w:top w:val="nil"/>
              <w:bottom w:val="nil"/>
            </w:tcBorders>
          </w:tcPr>
          <w:p w14:paraId="2BCEF088"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-0.35, 0.16</w:t>
            </w:r>
          </w:p>
        </w:tc>
        <w:tc>
          <w:tcPr>
            <w:tcW w:w="1136" w:type="dxa"/>
            <w:tcBorders>
              <w:top w:val="nil"/>
              <w:bottom w:val="nil"/>
            </w:tcBorders>
          </w:tcPr>
          <w:p w14:paraId="3CEE5B70"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0.4698</w:t>
            </w:r>
          </w:p>
        </w:tc>
        <w:tc>
          <w:tcPr>
            <w:tcW w:w="1135" w:type="dxa"/>
            <w:tcBorders>
              <w:top w:val="nil"/>
              <w:bottom w:val="nil"/>
            </w:tcBorders>
            <w:vAlign w:val="center"/>
          </w:tcPr>
          <w:p w14:paraId="1F369CD9"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1.32</w:t>
            </w:r>
          </w:p>
        </w:tc>
        <w:tc>
          <w:tcPr>
            <w:tcW w:w="1471" w:type="dxa"/>
            <w:tcBorders>
              <w:top w:val="nil"/>
              <w:bottom w:val="nil"/>
            </w:tcBorders>
            <w:vAlign w:val="center"/>
          </w:tcPr>
          <w:p w14:paraId="0D2BFD6A"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0.85, 1.68</w:t>
            </w:r>
          </w:p>
        </w:tc>
        <w:tc>
          <w:tcPr>
            <w:tcW w:w="1173" w:type="dxa"/>
            <w:tcBorders>
              <w:top w:val="nil"/>
              <w:bottom w:val="nil"/>
            </w:tcBorders>
            <w:vAlign w:val="center"/>
          </w:tcPr>
          <w:p w14:paraId="6BA5710B"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0.2130</w:t>
            </w:r>
          </w:p>
        </w:tc>
      </w:tr>
      <w:tr w:rsidR="005D69AE" w:rsidRPr="003C39CF" w14:paraId="41747C4D" w14:textId="77777777" w:rsidTr="00B0092F">
        <w:trPr>
          <w:trHeight w:val="246"/>
          <w:jc w:val="center"/>
        </w:trPr>
        <w:tc>
          <w:tcPr>
            <w:tcW w:w="2930" w:type="dxa"/>
            <w:tcBorders>
              <w:top w:val="nil"/>
              <w:bottom w:val="nil"/>
            </w:tcBorders>
            <w:vAlign w:val="bottom"/>
          </w:tcPr>
          <w:p w14:paraId="14605D13"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w:t>
            </w:r>
            <w:r w:rsidRPr="003C39CF">
              <w:rPr>
                <w:rFonts w:ascii="Times New Roman" w:hAnsi="Times New Roman" w:cs="Times New Roman"/>
                <w:color w:val="000000"/>
                <w:sz w:val="20"/>
                <w:szCs w:val="20"/>
              </w:rPr>
              <w:t>10-14 years</w:t>
            </w:r>
          </w:p>
        </w:tc>
        <w:tc>
          <w:tcPr>
            <w:tcW w:w="1240" w:type="dxa"/>
            <w:tcBorders>
              <w:top w:val="nil"/>
              <w:bottom w:val="nil"/>
            </w:tcBorders>
          </w:tcPr>
          <w:p w14:paraId="4FDF50CF"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0.16</w:t>
            </w:r>
          </w:p>
        </w:tc>
        <w:tc>
          <w:tcPr>
            <w:tcW w:w="1403" w:type="dxa"/>
            <w:tcBorders>
              <w:top w:val="nil"/>
              <w:bottom w:val="nil"/>
            </w:tcBorders>
          </w:tcPr>
          <w:p w14:paraId="452BE3CD"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-0.14, 0.46</w:t>
            </w:r>
          </w:p>
        </w:tc>
        <w:tc>
          <w:tcPr>
            <w:tcW w:w="1136" w:type="dxa"/>
            <w:tcBorders>
              <w:top w:val="nil"/>
              <w:bottom w:val="nil"/>
            </w:tcBorders>
          </w:tcPr>
          <w:p w14:paraId="3FCEF7B4"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0.2989</w:t>
            </w:r>
          </w:p>
        </w:tc>
        <w:tc>
          <w:tcPr>
            <w:tcW w:w="1135" w:type="dxa"/>
            <w:tcBorders>
              <w:top w:val="nil"/>
              <w:bottom w:val="nil"/>
            </w:tcBorders>
            <w:vAlign w:val="center"/>
          </w:tcPr>
          <w:p w14:paraId="02019221"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0.76</w:t>
            </w:r>
          </w:p>
        </w:tc>
        <w:tc>
          <w:tcPr>
            <w:tcW w:w="1471" w:type="dxa"/>
            <w:tcBorders>
              <w:top w:val="nil"/>
              <w:bottom w:val="nil"/>
            </w:tcBorders>
            <w:vAlign w:val="center"/>
          </w:tcPr>
          <w:p w14:paraId="114FB862"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0.46, 2.06</w:t>
            </w:r>
          </w:p>
        </w:tc>
        <w:tc>
          <w:tcPr>
            <w:tcW w:w="1173" w:type="dxa"/>
            <w:tcBorders>
              <w:top w:val="nil"/>
              <w:bottom w:val="nil"/>
            </w:tcBorders>
            <w:vAlign w:val="center"/>
          </w:tcPr>
          <w:p w14:paraId="3A614A84"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0.2781</w:t>
            </w:r>
          </w:p>
        </w:tc>
      </w:tr>
      <w:tr w:rsidR="005D69AE" w:rsidRPr="003C39CF" w14:paraId="4D1A7B83" w14:textId="77777777" w:rsidTr="00B0092F">
        <w:trPr>
          <w:trHeight w:val="233"/>
          <w:jc w:val="center"/>
        </w:trPr>
        <w:tc>
          <w:tcPr>
            <w:tcW w:w="2930" w:type="dxa"/>
            <w:tcBorders>
              <w:top w:val="nil"/>
              <w:bottom w:val="nil"/>
            </w:tcBorders>
            <w:vAlign w:val="bottom"/>
          </w:tcPr>
          <w:p w14:paraId="2CD1615A"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w:t>
            </w:r>
            <w:r w:rsidRPr="003C39CF">
              <w:rPr>
                <w:rFonts w:ascii="Times New Roman" w:hAnsi="Times New Roman" w:cs="Times New Roman"/>
                <w:color w:val="000000"/>
                <w:sz w:val="20"/>
                <w:szCs w:val="20"/>
              </w:rPr>
              <w:t>15-19 years</w:t>
            </w:r>
          </w:p>
        </w:tc>
        <w:tc>
          <w:tcPr>
            <w:tcW w:w="1240" w:type="dxa"/>
            <w:tcBorders>
              <w:top w:val="nil"/>
              <w:bottom w:val="nil"/>
            </w:tcBorders>
          </w:tcPr>
          <w:p w14:paraId="77908931"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0.03</w:t>
            </w:r>
          </w:p>
        </w:tc>
        <w:tc>
          <w:tcPr>
            <w:tcW w:w="1403" w:type="dxa"/>
            <w:tcBorders>
              <w:top w:val="nil"/>
              <w:bottom w:val="nil"/>
            </w:tcBorders>
          </w:tcPr>
          <w:p w14:paraId="7EEC1249"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-0.28, 0.31</w:t>
            </w:r>
          </w:p>
        </w:tc>
        <w:tc>
          <w:tcPr>
            <w:tcW w:w="1136" w:type="dxa"/>
            <w:tcBorders>
              <w:top w:val="nil"/>
              <w:bottom w:val="nil"/>
            </w:tcBorders>
          </w:tcPr>
          <w:p w14:paraId="41867387"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0.9197</w:t>
            </w:r>
          </w:p>
        </w:tc>
        <w:tc>
          <w:tcPr>
            <w:tcW w:w="1135" w:type="dxa"/>
            <w:tcBorders>
              <w:top w:val="nil"/>
              <w:bottom w:val="nil"/>
            </w:tcBorders>
            <w:vAlign w:val="center"/>
          </w:tcPr>
          <w:p w14:paraId="5E0AE95E"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1.33</w:t>
            </w:r>
          </w:p>
        </w:tc>
        <w:tc>
          <w:tcPr>
            <w:tcW w:w="1471" w:type="dxa"/>
            <w:tcBorders>
              <w:top w:val="nil"/>
              <w:bottom w:val="nil"/>
            </w:tcBorders>
            <w:vAlign w:val="center"/>
          </w:tcPr>
          <w:p w14:paraId="63A7A77E"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0.79, 1.25</w:t>
            </w:r>
          </w:p>
        </w:tc>
        <w:tc>
          <w:tcPr>
            <w:tcW w:w="1173" w:type="dxa"/>
            <w:tcBorders>
              <w:top w:val="nil"/>
              <w:bottom w:val="nil"/>
            </w:tcBorders>
            <w:vAlign w:val="center"/>
          </w:tcPr>
          <w:p w14:paraId="31D17FA4"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0.2835</w:t>
            </w:r>
          </w:p>
        </w:tc>
      </w:tr>
      <w:tr w:rsidR="005D69AE" w:rsidRPr="003C39CF" w14:paraId="728E6E32" w14:textId="77777777" w:rsidTr="00B0092F">
        <w:trPr>
          <w:trHeight w:val="246"/>
          <w:jc w:val="center"/>
        </w:trPr>
        <w:tc>
          <w:tcPr>
            <w:tcW w:w="2930" w:type="dxa"/>
            <w:tcBorders>
              <w:top w:val="nil"/>
              <w:bottom w:val="nil"/>
            </w:tcBorders>
            <w:vAlign w:val="bottom"/>
          </w:tcPr>
          <w:p w14:paraId="0C012EA1"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w:t>
            </w:r>
            <w:r w:rsidRPr="003C39CF">
              <w:rPr>
                <w:rFonts w:ascii="Times New Roman" w:hAnsi="Times New Roman" w:cs="Times New Roman"/>
                <w:color w:val="000000"/>
                <w:sz w:val="20"/>
                <w:szCs w:val="20"/>
              </w:rPr>
              <w:t>20-24 years</w:t>
            </w:r>
          </w:p>
        </w:tc>
        <w:tc>
          <w:tcPr>
            <w:tcW w:w="1240" w:type="dxa"/>
            <w:tcBorders>
              <w:top w:val="nil"/>
              <w:bottom w:val="nil"/>
            </w:tcBorders>
          </w:tcPr>
          <w:p w14:paraId="24668864"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0.24</w:t>
            </w:r>
          </w:p>
        </w:tc>
        <w:tc>
          <w:tcPr>
            <w:tcW w:w="1403" w:type="dxa"/>
            <w:tcBorders>
              <w:top w:val="nil"/>
              <w:bottom w:val="nil"/>
            </w:tcBorders>
          </w:tcPr>
          <w:p w14:paraId="0C8B3D1F"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-0.12, 0.60</w:t>
            </w:r>
          </w:p>
        </w:tc>
        <w:tc>
          <w:tcPr>
            <w:tcW w:w="1136" w:type="dxa"/>
            <w:tcBorders>
              <w:top w:val="nil"/>
              <w:bottom w:val="nil"/>
            </w:tcBorders>
          </w:tcPr>
          <w:p w14:paraId="54B48B1A"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0.1942</w:t>
            </w:r>
          </w:p>
        </w:tc>
        <w:tc>
          <w:tcPr>
            <w:tcW w:w="1135" w:type="dxa"/>
            <w:tcBorders>
              <w:top w:val="nil"/>
              <w:bottom w:val="nil"/>
            </w:tcBorders>
            <w:vAlign w:val="center"/>
          </w:tcPr>
          <w:p w14:paraId="2D49512B"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0.81</w:t>
            </w:r>
          </w:p>
        </w:tc>
        <w:tc>
          <w:tcPr>
            <w:tcW w:w="1471" w:type="dxa"/>
            <w:tcBorders>
              <w:top w:val="nil"/>
              <w:bottom w:val="nil"/>
            </w:tcBorders>
            <w:vAlign w:val="center"/>
          </w:tcPr>
          <w:p w14:paraId="70BBA799"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0.44, 1.48</w:t>
            </w:r>
          </w:p>
        </w:tc>
        <w:tc>
          <w:tcPr>
            <w:tcW w:w="1173" w:type="dxa"/>
            <w:tcBorders>
              <w:top w:val="nil"/>
              <w:bottom w:val="nil"/>
            </w:tcBorders>
            <w:vAlign w:val="center"/>
          </w:tcPr>
          <w:p w14:paraId="6A1995A3"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0.4876</w:t>
            </w:r>
          </w:p>
        </w:tc>
      </w:tr>
      <w:tr w:rsidR="005D69AE" w:rsidRPr="003C39CF" w14:paraId="4E088085" w14:textId="77777777" w:rsidTr="00B0092F">
        <w:trPr>
          <w:trHeight w:val="246"/>
          <w:jc w:val="center"/>
        </w:trPr>
        <w:tc>
          <w:tcPr>
            <w:tcW w:w="2930" w:type="dxa"/>
            <w:tcBorders>
              <w:top w:val="nil"/>
              <w:bottom w:val="nil"/>
            </w:tcBorders>
            <w:vAlign w:val="bottom"/>
          </w:tcPr>
          <w:p w14:paraId="5D266827"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w:t>
            </w:r>
            <w:r w:rsidRPr="003C39CF">
              <w:rPr>
                <w:rFonts w:ascii="Times New Roman" w:hAnsi="Times New Roman" w:cs="Times New Roman"/>
                <w:color w:val="000000"/>
                <w:sz w:val="20"/>
                <w:szCs w:val="20"/>
              </w:rPr>
              <w:t>25-29 years</w:t>
            </w:r>
          </w:p>
        </w:tc>
        <w:tc>
          <w:tcPr>
            <w:tcW w:w="1240" w:type="dxa"/>
            <w:tcBorders>
              <w:top w:val="nil"/>
              <w:bottom w:val="nil"/>
            </w:tcBorders>
          </w:tcPr>
          <w:p w14:paraId="257680E7"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-0.23</w:t>
            </w:r>
          </w:p>
        </w:tc>
        <w:tc>
          <w:tcPr>
            <w:tcW w:w="1403" w:type="dxa"/>
            <w:tcBorders>
              <w:top w:val="nil"/>
              <w:bottom w:val="nil"/>
            </w:tcBorders>
          </w:tcPr>
          <w:p w14:paraId="4E3BE480"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-0.57, 0.12</w:t>
            </w:r>
          </w:p>
        </w:tc>
        <w:tc>
          <w:tcPr>
            <w:tcW w:w="1136" w:type="dxa"/>
            <w:tcBorders>
              <w:top w:val="nil"/>
              <w:bottom w:val="nil"/>
            </w:tcBorders>
          </w:tcPr>
          <w:p w14:paraId="6AB9E062"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0.2054</w:t>
            </w:r>
          </w:p>
        </w:tc>
        <w:tc>
          <w:tcPr>
            <w:tcW w:w="1135" w:type="dxa"/>
            <w:tcBorders>
              <w:top w:val="nil"/>
              <w:bottom w:val="nil"/>
            </w:tcBorders>
            <w:vAlign w:val="center"/>
          </w:tcPr>
          <w:p w14:paraId="77E2004A"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1.59</w:t>
            </w:r>
          </w:p>
        </w:tc>
        <w:tc>
          <w:tcPr>
            <w:tcW w:w="1471" w:type="dxa"/>
            <w:tcBorders>
              <w:top w:val="nil"/>
              <w:bottom w:val="nil"/>
            </w:tcBorders>
            <w:vAlign w:val="center"/>
          </w:tcPr>
          <w:p w14:paraId="34321E47"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0.86, 2.97</w:t>
            </w:r>
          </w:p>
        </w:tc>
        <w:tc>
          <w:tcPr>
            <w:tcW w:w="1173" w:type="dxa"/>
            <w:tcBorders>
              <w:top w:val="nil"/>
              <w:bottom w:val="nil"/>
            </w:tcBorders>
            <w:vAlign w:val="center"/>
          </w:tcPr>
          <w:p w14:paraId="01C06C54"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0.1417</w:t>
            </w:r>
          </w:p>
        </w:tc>
      </w:tr>
      <w:tr w:rsidR="005D69AE" w:rsidRPr="003C39CF" w14:paraId="3474918C" w14:textId="77777777" w:rsidTr="00B0092F">
        <w:trPr>
          <w:trHeight w:val="246"/>
          <w:jc w:val="center"/>
        </w:trPr>
        <w:tc>
          <w:tcPr>
            <w:tcW w:w="2930" w:type="dxa"/>
            <w:tcBorders>
              <w:top w:val="nil"/>
              <w:bottom w:val="nil"/>
            </w:tcBorders>
            <w:vAlign w:val="bottom"/>
          </w:tcPr>
          <w:p w14:paraId="37375C64"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w:t>
            </w:r>
            <w:r w:rsidRPr="003C39CF">
              <w:rPr>
                <w:rFonts w:ascii="Times New Roman" w:hAnsi="Times New Roman" w:cs="Times New Roman"/>
                <w:color w:val="000000"/>
                <w:sz w:val="20"/>
                <w:szCs w:val="20"/>
              </w:rPr>
              <w:t>≥ 30 years</w:t>
            </w:r>
          </w:p>
        </w:tc>
        <w:tc>
          <w:tcPr>
            <w:tcW w:w="1240" w:type="dxa"/>
            <w:tcBorders>
              <w:top w:val="nil"/>
              <w:bottom w:val="nil"/>
            </w:tcBorders>
          </w:tcPr>
          <w:p w14:paraId="61E02C49"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0.01</w:t>
            </w:r>
          </w:p>
        </w:tc>
        <w:tc>
          <w:tcPr>
            <w:tcW w:w="1403" w:type="dxa"/>
            <w:tcBorders>
              <w:top w:val="nil"/>
              <w:bottom w:val="nil"/>
            </w:tcBorders>
          </w:tcPr>
          <w:p w14:paraId="700FE30E"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-0.24, 0.26</w:t>
            </w:r>
          </w:p>
        </w:tc>
        <w:tc>
          <w:tcPr>
            <w:tcW w:w="1136" w:type="dxa"/>
            <w:tcBorders>
              <w:top w:val="nil"/>
              <w:bottom w:val="nil"/>
            </w:tcBorders>
          </w:tcPr>
          <w:p w14:paraId="2C867790"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0.9433</w:t>
            </w:r>
          </w:p>
        </w:tc>
        <w:tc>
          <w:tcPr>
            <w:tcW w:w="1135" w:type="dxa"/>
            <w:tcBorders>
              <w:top w:val="nil"/>
              <w:bottom w:val="nil"/>
            </w:tcBorders>
            <w:vAlign w:val="center"/>
          </w:tcPr>
          <w:p w14:paraId="3DA5A34F"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1.31</w:t>
            </w:r>
          </w:p>
        </w:tc>
        <w:tc>
          <w:tcPr>
            <w:tcW w:w="1471" w:type="dxa"/>
            <w:tcBorders>
              <w:top w:val="nil"/>
              <w:bottom w:val="nil"/>
            </w:tcBorders>
            <w:vAlign w:val="center"/>
          </w:tcPr>
          <w:p w14:paraId="1676D8EE"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0.85, 2.02</w:t>
            </w:r>
          </w:p>
        </w:tc>
        <w:tc>
          <w:tcPr>
            <w:tcW w:w="1173" w:type="dxa"/>
            <w:tcBorders>
              <w:top w:val="nil"/>
              <w:bottom w:val="nil"/>
            </w:tcBorders>
            <w:vAlign w:val="center"/>
          </w:tcPr>
          <w:p w14:paraId="686CE405"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0.2265</w:t>
            </w:r>
          </w:p>
        </w:tc>
      </w:tr>
      <w:tr w:rsidR="005D69AE" w:rsidRPr="003C39CF" w14:paraId="3F60B102" w14:textId="77777777" w:rsidTr="00B0092F">
        <w:trPr>
          <w:trHeight w:val="246"/>
          <w:jc w:val="center"/>
        </w:trPr>
        <w:tc>
          <w:tcPr>
            <w:tcW w:w="2930" w:type="dxa"/>
            <w:tcBorders>
              <w:top w:val="nil"/>
              <w:bottom w:val="nil"/>
            </w:tcBorders>
            <w:vAlign w:val="bottom"/>
          </w:tcPr>
          <w:p w14:paraId="770079C1" w14:textId="77777777" w:rsidR="005D69AE" w:rsidRPr="003C39CF" w:rsidRDefault="005D69AE" w:rsidP="00D906FC">
            <w:pPr>
              <w:rPr>
                <w:rFonts w:ascii="Times New Roman" w:hAnsi="Times New Roman" w:cs="Times New Roman"/>
                <w:color w:val="000000"/>
                <w:sz w:val="20"/>
                <w:szCs w:val="20"/>
              </w:rPr>
            </w:pPr>
            <w:r w:rsidRPr="003C39CF">
              <w:rPr>
                <w:rFonts w:ascii="Times New Roman" w:hAnsi="Times New Roman" w:cs="Times New Roman"/>
                <w:sz w:val="20"/>
                <w:szCs w:val="20"/>
              </w:rPr>
              <w:t xml:space="preserve">     </w:t>
            </w:r>
            <w:r w:rsidRPr="003C39CF">
              <w:rPr>
                <w:rFonts w:ascii="Times New Roman" w:hAnsi="Times New Roman" w:cs="Times New Roman"/>
                <w:color w:val="000000"/>
                <w:sz w:val="20"/>
                <w:szCs w:val="20"/>
              </w:rPr>
              <w:t>&lt;5 years</w:t>
            </w:r>
          </w:p>
        </w:tc>
        <w:tc>
          <w:tcPr>
            <w:tcW w:w="7558" w:type="dxa"/>
            <w:gridSpan w:val="6"/>
            <w:tcBorders>
              <w:top w:val="nil"/>
              <w:bottom w:val="nil"/>
            </w:tcBorders>
          </w:tcPr>
          <w:p w14:paraId="684BCF68" w14:textId="77777777" w:rsidR="005D69AE" w:rsidRPr="003C39CF" w:rsidRDefault="005D69AE" w:rsidP="00D906FC">
            <w:pPr>
              <w:rPr>
                <w:rFonts w:ascii="Times New Roman" w:hAnsi="Times New Roman" w:cs="Times New Roman"/>
                <w:i/>
                <w:iCs/>
                <w:sz w:val="20"/>
                <w:szCs w:val="20"/>
              </w:rPr>
            </w:pPr>
            <w:r w:rsidRPr="003C39CF">
              <w:rPr>
                <w:rFonts w:ascii="Times New Roman" w:hAnsi="Times New Roman" w:cs="Times New Roman"/>
                <w:i/>
                <w:iCs/>
                <w:sz w:val="20"/>
                <w:szCs w:val="20"/>
              </w:rPr>
              <w:t>Reference</w:t>
            </w:r>
          </w:p>
        </w:tc>
      </w:tr>
      <w:tr w:rsidR="005D69AE" w:rsidRPr="003C39CF" w14:paraId="2B60CE83" w14:textId="77777777" w:rsidTr="00B0092F">
        <w:trPr>
          <w:trHeight w:val="233"/>
          <w:jc w:val="center"/>
        </w:trPr>
        <w:tc>
          <w:tcPr>
            <w:tcW w:w="2930" w:type="dxa"/>
            <w:tcBorders>
              <w:top w:val="nil"/>
              <w:bottom w:val="nil"/>
            </w:tcBorders>
          </w:tcPr>
          <w:p w14:paraId="7B73669A" w14:textId="77777777" w:rsidR="005D69AE" w:rsidRPr="003C39CF" w:rsidRDefault="005D69AE" w:rsidP="00D906FC">
            <w:pPr>
              <w:rPr>
                <w:rFonts w:ascii="Times New Roman" w:hAnsi="Times New Roman" w:cs="Times New Roman"/>
                <w:b/>
                <w:bCs/>
                <w:sz w:val="20"/>
                <w:szCs w:val="20"/>
              </w:rPr>
            </w:pPr>
            <w:r w:rsidRPr="003C39CF">
              <w:rPr>
                <w:rFonts w:ascii="Times New Roman" w:hAnsi="Times New Roman" w:cs="Times New Roman"/>
                <w:b/>
                <w:bCs/>
                <w:sz w:val="20"/>
                <w:szCs w:val="20"/>
              </w:rPr>
              <w:t>Cadmium Exposure</w:t>
            </w:r>
          </w:p>
        </w:tc>
        <w:tc>
          <w:tcPr>
            <w:tcW w:w="1240" w:type="dxa"/>
            <w:tcBorders>
              <w:top w:val="nil"/>
              <w:bottom w:val="nil"/>
            </w:tcBorders>
          </w:tcPr>
          <w:p w14:paraId="153409B9" w14:textId="77777777" w:rsidR="005D69AE" w:rsidRPr="003C39CF" w:rsidRDefault="005D69AE" w:rsidP="00D906FC">
            <w:pPr>
              <w:jc w:val="center"/>
              <w:rPr>
                <w:rFonts w:ascii="Times New Roman" w:hAnsi="Times New Roman" w:cs="Times New Roman"/>
                <w:sz w:val="20"/>
                <w:szCs w:val="20"/>
              </w:rPr>
            </w:pPr>
          </w:p>
        </w:tc>
        <w:tc>
          <w:tcPr>
            <w:tcW w:w="1403" w:type="dxa"/>
            <w:tcBorders>
              <w:top w:val="nil"/>
              <w:bottom w:val="nil"/>
            </w:tcBorders>
          </w:tcPr>
          <w:p w14:paraId="0865C7B7"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43AB7239"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0.3749</w:t>
            </w:r>
          </w:p>
        </w:tc>
        <w:tc>
          <w:tcPr>
            <w:tcW w:w="1135" w:type="dxa"/>
            <w:tcBorders>
              <w:top w:val="nil"/>
              <w:bottom w:val="nil"/>
            </w:tcBorders>
          </w:tcPr>
          <w:p w14:paraId="2349DE22"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tcPr>
          <w:p w14:paraId="63DB87A1"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tcPr>
          <w:p w14:paraId="77EF1E0D"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0.3665</w:t>
            </w:r>
          </w:p>
        </w:tc>
      </w:tr>
      <w:tr w:rsidR="005D69AE" w:rsidRPr="003C39CF" w14:paraId="59DC8B26" w14:textId="77777777" w:rsidTr="00B0092F">
        <w:trPr>
          <w:trHeight w:val="246"/>
          <w:jc w:val="center"/>
        </w:trPr>
        <w:tc>
          <w:tcPr>
            <w:tcW w:w="2930" w:type="dxa"/>
            <w:tcBorders>
              <w:top w:val="nil"/>
              <w:bottom w:val="nil"/>
            </w:tcBorders>
          </w:tcPr>
          <w:p w14:paraId="3BDF3FBF"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Yes</w:t>
            </w:r>
          </w:p>
        </w:tc>
        <w:tc>
          <w:tcPr>
            <w:tcW w:w="1240" w:type="dxa"/>
            <w:tcBorders>
              <w:top w:val="nil"/>
              <w:bottom w:val="nil"/>
            </w:tcBorders>
          </w:tcPr>
          <w:p w14:paraId="7E9D5926"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0.08</w:t>
            </w:r>
          </w:p>
        </w:tc>
        <w:tc>
          <w:tcPr>
            <w:tcW w:w="1403" w:type="dxa"/>
            <w:tcBorders>
              <w:top w:val="nil"/>
              <w:bottom w:val="nil"/>
            </w:tcBorders>
          </w:tcPr>
          <w:p w14:paraId="7572140B"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-0.09, 0.25</w:t>
            </w:r>
          </w:p>
        </w:tc>
        <w:tc>
          <w:tcPr>
            <w:tcW w:w="1136" w:type="dxa"/>
            <w:tcBorders>
              <w:top w:val="nil"/>
              <w:bottom w:val="nil"/>
            </w:tcBorders>
          </w:tcPr>
          <w:p w14:paraId="3477D2F9"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0.3749</w:t>
            </w:r>
          </w:p>
        </w:tc>
        <w:tc>
          <w:tcPr>
            <w:tcW w:w="1135" w:type="dxa"/>
            <w:tcBorders>
              <w:top w:val="nil"/>
              <w:bottom w:val="nil"/>
            </w:tcBorders>
            <w:vAlign w:val="center"/>
          </w:tcPr>
          <w:p w14:paraId="73E5605D"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0.87</w:t>
            </w:r>
          </w:p>
        </w:tc>
        <w:tc>
          <w:tcPr>
            <w:tcW w:w="1471" w:type="dxa"/>
            <w:tcBorders>
              <w:top w:val="nil"/>
              <w:bottom w:val="nil"/>
            </w:tcBorders>
            <w:vAlign w:val="center"/>
          </w:tcPr>
          <w:p w14:paraId="41AEBBAF"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0.65, 1.17</w:t>
            </w:r>
          </w:p>
        </w:tc>
        <w:tc>
          <w:tcPr>
            <w:tcW w:w="1173" w:type="dxa"/>
            <w:tcBorders>
              <w:top w:val="nil"/>
              <w:bottom w:val="nil"/>
            </w:tcBorders>
            <w:vAlign w:val="center"/>
          </w:tcPr>
          <w:p w14:paraId="6762F1A1"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0.3665</w:t>
            </w:r>
          </w:p>
        </w:tc>
      </w:tr>
      <w:tr w:rsidR="005D69AE" w:rsidRPr="003C39CF" w14:paraId="03A57A96" w14:textId="77777777" w:rsidTr="00B0092F">
        <w:trPr>
          <w:trHeight w:val="246"/>
          <w:jc w:val="center"/>
        </w:trPr>
        <w:tc>
          <w:tcPr>
            <w:tcW w:w="2930" w:type="dxa"/>
            <w:tcBorders>
              <w:top w:val="nil"/>
              <w:bottom w:val="nil"/>
            </w:tcBorders>
          </w:tcPr>
          <w:p w14:paraId="7CD30C97"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No</w:t>
            </w:r>
          </w:p>
        </w:tc>
        <w:tc>
          <w:tcPr>
            <w:tcW w:w="7558" w:type="dxa"/>
            <w:gridSpan w:val="6"/>
            <w:tcBorders>
              <w:top w:val="nil"/>
              <w:bottom w:val="nil"/>
            </w:tcBorders>
          </w:tcPr>
          <w:p w14:paraId="4796EA40" w14:textId="77777777" w:rsidR="005D69AE" w:rsidRPr="003C39CF" w:rsidRDefault="005D69AE" w:rsidP="00D906FC">
            <w:pPr>
              <w:rPr>
                <w:rFonts w:ascii="Times New Roman" w:hAnsi="Times New Roman" w:cs="Times New Roman"/>
                <w:i/>
                <w:iCs/>
                <w:sz w:val="20"/>
                <w:szCs w:val="20"/>
              </w:rPr>
            </w:pPr>
            <w:r w:rsidRPr="003C39CF">
              <w:rPr>
                <w:rFonts w:ascii="Times New Roman" w:hAnsi="Times New Roman" w:cs="Times New Roman"/>
                <w:i/>
                <w:iCs/>
                <w:sz w:val="20"/>
                <w:szCs w:val="20"/>
              </w:rPr>
              <w:t>Reference</w:t>
            </w:r>
          </w:p>
        </w:tc>
      </w:tr>
      <w:tr w:rsidR="005D69AE" w:rsidRPr="003C39CF" w14:paraId="6AE29493" w14:textId="77777777" w:rsidTr="00B0092F">
        <w:trPr>
          <w:trHeight w:val="246"/>
          <w:jc w:val="center"/>
        </w:trPr>
        <w:tc>
          <w:tcPr>
            <w:tcW w:w="2930" w:type="dxa"/>
            <w:tcBorders>
              <w:top w:val="nil"/>
              <w:bottom w:val="nil"/>
            </w:tcBorders>
          </w:tcPr>
          <w:p w14:paraId="7E5C7E17" w14:textId="77777777" w:rsidR="005D69AE" w:rsidRPr="003C39CF" w:rsidRDefault="005D69AE" w:rsidP="00D906FC">
            <w:pPr>
              <w:rPr>
                <w:rFonts w:ascii="Times New Roman" w:hAnsi="Times New Roman" w:cs="Times New Roman"/>
                <w:b/>
                <w:bCs/>
                <w:sz w:val="20"/>
                <w:szCs w:val="20"/>
              </w:rPr>
            </w:pPr>
            <w:r w:rsidRPr="003C39CF">
              <w:rPr>
                <w:rFonts w:ascii="Times New Roman" w:hAnsi="Times New Roman" w:cs="Times New Roman"/>
                <w:b/>
                <w:bCs/>
                <w:sz w:val="20"/>
                <w:szCs w:val="20"/>
              </w:rPr>
              <w:t>Silica Exposure</w:t>
            </w:r>
          </w:p>
        </w:tc>
        <w:tc>
          <w:tcPr>
            <w:tcW w:w="1240" w:type="dxa"/>
            <w:tcBorders>
              <w:top w:val="nil"/>
              <w:bottom w:val="nil"/>
            </w:tcBorders>
          </w:tcPr>
          <w:p w14:paraId="3D5E4200" w14:textId="77777777" w:rsidR="005D69AE" w:rsidRPr="003C39CF" w:rsidRDefault="005D69AE" w:rsidP="00D906FC">
            <w:pPr>
              <w:jc w:val="center"/>
              <w:rPr>
                <w:rFonts w:ascii="Times New Roman" w:hAnsi="Times New Roman" w:cs="Times New Roman"/>
                <w:sz w:val="20"/>
                <w:szCs w:val="20"/>
              </w:rPr>
            </w:pPr>
          </w:p>
        </w:tc>
        <w:tc>
          <w:tcPr>
            <w:tcW w:w="1403" w:type="dxa"/>
            <w:tcBorders>
              <w:top w:val="nil"/>
              <w:bottom w:val="nil"/>
            </w:tcBorders>
          </w:tcPr>
          <w:p w14:paraId="6416C766"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58EC863F"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0.2828</w:t>
            </w:r>
          </w:p>
        </w:tc>
        <w:tc>
          <w:tcPr>
            <w:tcW w:w="1135" w:type="dxa"/>
            <w:tcBorders>
              <w:top w:val="nil"/>
              <w:bottom w:val="nil"/>
            </w:tcBorders>
          </w:tcPr>
          <w:p w14:paraId="04E6F1D6"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tcPr>
          <w:p w14:paraId="2AD85524"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tcPr>
          <w:p w14:paraId="48471AF9"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0.0422</w:t>
            </w:r>
          </w:p>
        </w:tc>
      </w:tr>
      <w:tr w:rsidR="005D69AE" w:rsidRPr="003C39CF" w14:paraId="128F7B5A" w14:textId="77777777" w:rsidTr="00B0092F">
        <w:trPr>
          <w:trHeight w:val="246"/>
          <w:jc w:val="center"/>
        </w:trPr>
        <w:tc>
          <w:tcPr>
            <w:tcW w:w="2930" w:type="dxa"/>
            <w:tcBorders>
              <w:top w:val="nil"/>
              <w:bottom w:val="nil"/>
            </w:tcBorders>
          </w:tcPr>
          <w:p w14:paraId="116ACE9B" w14:textId="77777777" w:rsidR="005D69AE" w:rsidRPr="003C39CF" w:rsidRDefault="005D69AE" w:rsidP="00D906FC">
            <w:pPr>
              <w:rPr>
                <w:rFonts w:ascii="Times New Roman" w:hAnsi="Times New Roman" w:cs="Times New Roman"/>
                <w:b/>
                <w:bCs/>
                <w:sz w:val="20"/>
                <w:szCs w:val="20"/>
              </w:rPr>
            </w:pPr>
            <w:r w:rsidRPr="003C39CF">
              <w:rPr>
                <w:rFonts w:ascii="Times New Roman" w:hAnsi="Times New Roman" w:cs="Times New Roman"/>
                <w:sz w:val="20"/>
                <w:szCs w:val="20"/>
              </w:rPr>
              <w:t xml:space="preserve">     Yes</w:t>
            </w:r>
          </w:p>
        </w:tc>
        <w:tc>
          <w:tcPr>
            <w:tcW w:w="1240" w:type="dxa"/>
            <w:tcBorders>
              <w:top w:val="nil"/>
              <w:bottom w:val="nil"/>
            </w:tcBorders>
          </w:tcPr>
          <w:p w14:paraId="4984C5E2"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0.10</w:t>
            </w:r>
          </w:p>
        </w:tc>
        <w:tc>
          <w:tcPr>
            <w:tcW w:w="1403" w:type="dxa"/>
            <w:tcBorders>
              <w:top w:val="nil"/>
              <w:bottom w:val="nil"/>
            </w:tcBorders>
          </w:tcPr>
          <w:p w14:paraId="05A84413"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-0.07 0.27</w:t>
            </w:r>
          </w:p>
        </w:tc>
        <w:tc>
          <w:tcPr>
            <w:tcW w:w="1136" w:type="dxa"/>
            <w:tcBorders>
              <w:top w:val="nil"/>
              <w:bottom w:val="nil"/>
            </w:tcBorders>
          </w:tcPr>
          <w:p w14:paraId="23483FA2"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0.2828</w:t>
            </w:r>
          </w:p>
        </w:tc>
        <w:tc>
          <w:tcPr>
            <w:tcW w:w="1135" w:type="dxa"/>
            <w:tcBorders>
              <w:top w:val="nil"/>
              <w:bottom w:val="nil"/>
            </w:tcBorders>
            <w:vAlign w:val="center"/>
          </w:tcPr>
          <w:p w14:paraId="25BDDC35"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0.73</w:t>
            </w:r>
          </w:p>
        </w:tc>
        <w:tc>
          <w:tcPr>
            <w:tcW w:w="1471" w:type="dxa"/>
            <w:tcBorders>
              <w:top w:val="nil"/>
              <w:bottom w:val="nil"/>
            </w:tcBorders>
            <w:vAlign w:val="center"/>
          </w:tcPr>
          <w:p w14:paraId="7FB59320"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0.54, 0.99</w:t>
            </w:r>
          </w:p>
        </w:tc>
        <w:tc>
          <w:tcPr>
            <w:tcW w:w="1173" w:type="dxa"/>
            <w:tcBorders>
              <w:top w:val="nil"/>
              <w:bottom w:val="nil"/>
            </w:tcBorders>
            <w:vAlign w:val="center"/>
          </w:tcPr>
          <w:p w14:paraId="73DA2377"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0.0422</w:t>
            </w:r>
          </w:p>
        </w:tc>
      </w:tr>
      <w:tr w:rsidR="005D69AE" w:rsidRPr="003C39CF" w14:paraId="4A7DAD6D" w14:textId="77777777" w:rsidTr="00B0092F">
        <w:trPr>
          <w:trHeight w:val="246"/>
          <w:jc w:val="center"/>
        </w:trPr>
        <w:tc>
          <w:tcPr>
            <w:tcW w:w="2930" w:type="dxa"/>
            <w:tcBorders>
              <w:top w:val="nil"/>
              <w:bottom w:val="nil"/>
            </w:tcBorders>
          </w:tcPr>
          <w:p w14:paraId="257BED8F" w14:textId="77777777" w:rsidR="005D69AE" w:rsidRPr="003C39CF" w:rsidRDefault="005D69AE" w:rsidP="00D906FC">
            <w:pPr>
              <w:rPr>
                <w:rFonts w:ascii="Times New Roman" w:hAnsi="Times New Roman" w:cs="Times New Roman"/>
                <w:b/>
                <w:bCs/>
                <w:sz w:val="20"/>
                <w:szCs w:val="20"/>
              </w:rPr>
            </w:pPr>
            <w:r w:rsidRPr="003C39CF">
              <w:rPr>
                <w:rFonts w:ascii="Times New Roman" w:hAnsi="Times New Roman" w:cs="Times New Roman"/>
                <w:sz w:val="20"/>
                <w:szCs w:val="20"/>
              </w:rPr>
              <w:t xml:space="preserve">     No</w:t>
            </w:r>
          </w:p>
        </w:tc>
        <w:tc>
          <w:tcPr>
            <w:tcW w:w="7558" w:type="dxa"/>
            <w:gridSpan w:val="6"/>
            <w:tcBorders>
              <w:top w:val="nil"/>
              <w:bottom w:val="nil"/>
            </w:tcBorders>
          </w:tcPr>
          <w:p w14:paraId="1E5553D4" w14:textId="77777777" w:rsidR="005D69AE" w:rsidRPr="003C39CF" w:rsidRDefault="005D69AE" w:rsidP="00D906FC">
            <w:pPr>
              <w:rPr>
                <w:rFonts w:ascii="Times New Roman" w:hAnsi="Times New Roman" w:cs="Times New Roman"/>
                <w:i/>
                <w:iCs/>
                <w:sz w:val="20"/>
                <w:szCs w:val="20"/>
              </w:rPr>
            </w:pPr>
            <w:r w:rsidRPr="003C39CF">
              <w:rPr>
                <w:rFonts w:ascii="Times New Roman" w:hAnsi="Times New Roman" w:cs="Times New Roman"/>
                <w:i/>
                <w:iCs/>
                <w:sz w:val="20"/>
                <w:szCs w:val="20"/>
              </w:rPr>
              <w:t>Reference</w:t>
            </w:r>
          </w:p>
        </w:tc>
      </w:tr>
      <w:tr w:rsidR="005D69AE" w:rsidRPr="003C39CF" w14:paraId="2DEB5910" w14:textId="77777777" w:rsidTr="00B0092F">
        <w:trPr>
          <w:trHeight w:val="246"/>
          <w:jc w:val="center"/>
        </w:trPr>
        <w:tc>
          <w:tcPr>
            <w:tcW w:w="2930" w:type="dxa"/>
            <w:tcBorders>
              <w:top w:val="nil"/>
              <w:bottom w:val="nil"/>
            </w:tcBorders>
          </w:tcPr>
          <w:p w14:paraId="52731E64" w14:textId="77777777" w:rsidR="005D69AE" w:rsidRPr="003C39CF" w:rsidRDefault="005D69AE" w:rsidP="00D906FC">
            <w:pPr>
              <w:rPr>
                <w:rFonts w:ascii="Times New Roman" w:hAnsi="Times New Roman" w:cs="Times New Roman"/>
                <w:b/>
                <w:bCs/>
                <w:sz w:val="20"/>
                <w:szCs w:val="20"/>
              </w:rPr>
            </w:pPr>
            <w:r w:rsidRPr="003C39CF">
              <w:rPr>
                <w:rFonts w:ascii="Times New Roman" w:hAnsi="Times New Roman" w:cs="Times New Roman"/>
                <w:b/>
                <w:bCs/>
                <w:sz w:val="20"/>
                <w:szCs w:val="20"/>
              </w:rPr>
              <w:t>Diesel Exhaust Exposure</w:t>
            </w:r>
          </w:p>
        </w:tc>
        <w:tc>
          <w:tcPr>
            <w:tcW w:w="1240" w:type="dxa"/>
            <w:tcBorders>
              <w:top w:val="nil"/>
              <w:bottom w:val="nil"/>
            </w:tcBorders>
          </w:tcPr>
          <w:p w14:paraId="2561BC78" w14:textId="77777777" w:rsidR="005D69AE" w:rsidRPr="003C39CF" w:rsidRDefault="005D69AE" w:rsidP="00D906FC">
            <w:pPr>
              <w:jc w:val="center"/>
              <w:rPr>
                <w:rFonts w:ascii="Times New Roman" w:hAnsi="Times New Roman" w:cs="Times New Roman"/>
                <w:sz w:val="20"/>
                <w:szCs w:val="20"/>
              </w:rPr>
            </w:pPr>
          </w:p>
        </w:tc>
        <w:tc>
          <w:tcPr>
            <w:tcW w:w="1403" w:type="dxa"/>
            <w:tcBorders>
              <w:top w:val="nil"/>
              <w:bottom w:val="nil"/>
            </w:tcBorders>
          </w:tcPr>
          <w:p w14:paraId="31880EC7"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4BABB133"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0.5130</w:t>
            </w:r>
          </w:p>
        </w:tc>
        <w:tc>
          <w:tcPr>
            <w:tcW w:w="1135" w:type="dxa"/>
            <w:tcBorders>
              <w:top w:val="nil"/>
              <w:bottom w:val="nil"/>
            </w:tcBorders>
          </w:tcPr>
          <w:p w14:paraId="14B9C141"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tcPr>
          <w:p w14:paraId="35379848"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tcPr>
          <w:p w14:paraId="30D9C871"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0.2289</w:t>
            </w:r>
          </w:p>
        </w:tc>
      </w:tr>
      <w:tr w:rsidR="005D69AE" w:rsidRPr="003C39CF" w14:paraId="0E3E8FFB" w14:textId="77777777" w:rsidTr="00B0092F">
        <w:trPr>
          <w:trHeight w:val="246"/>
          <w:jc w:val="center"/>
        </w:trPr>
        <w:tc>
          <w:tcPr>
            <w:tcW w:w="2930" w:type="dxa"/>
            <w:tcBorders>
              <w:top w:val="nil"/>
              <w:bottom w:val="nil"/>
            </w:tcBorders>
          </w:tcPr>
          <w:p w14:paraId="38C495A0"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Yes</w:t>
            </w:r>
          </w:p>
        </w:tc>
        <w:tc>
          <w:tcPr>
            <w:tcW w:w="1240" w:type="dxa"/>
            <w:tcBorders>
              <w:top w:val="nil"/>
              <w:bottom w:val="nil"/>
            </w:tcBorders>
          </w:tcPr>
          <w:p w14:paraId="68ACFAA8"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0.06</w:t>
            </w:r>
          </w:p>
        </w:tc>
        <w:tc>
          <w:tcPr>
            <w:tcW w:w="1403" w:type="dxa"/>
            <w:tcBorders>
              <w:top w:val="nil"/>
              <w:bottom w:val="nil"/>
            </w:tcBorders>
          </w:tcPr>
          <w:p w14:paraId="4F18EF93"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-0.12, 0.25,</w:t>
            </w:r>
          </w:p>
        </w:tc>
        <w:tc>
          <w:tcPr>
            <w:tcW w:w="1136" w:type="dxa"/>
            <w:tcBorders>
              <w:top w:val="nil"/>
              <w:bottom w:val="nil"/>
            </w:tcBorders>
          </w:tcPr>
          <w:p w14:paraId="0AABAD80"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0.5130</w:t>
            </w:r>
          </w:p>
        </w:tc>
        <w:tc>
          <w:tcPr>
            <w:tcW w:w="1135" w:type="dxa"/>
            <w:tcBorders>
              <w:top w:val="nil"/>
              <w:bottom w:val="nil"/>
            </w:tcBorders>
            <w:vAlign w:val="center"/>
          </w:tcPr>
          <w:p w14:paraId="772BCBD5"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0.82</w:t>
            </w:r>
          </w:p>
        </w:tc>
        <w:tc>
          <w:tcPr>
            <w:tcW w:w="1471" w:type="dxa"/>
            <w:tcBorders>
              <w:top w:val="nil"/>
              <w:bottom w:val="nil"/>
            </w:tcBorders>
            <w:vAlign w:val="center"/>
          </w:tcPr>
          <w:p w14:paraId="66379D64"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0.60, 1.13</w:t>
            </w:r>
          </w:p>
        </w:tc>
        <w:tc>
          <w:tcPr>
            <w:tcW w:w="1173" w:type="dxa"/>
            <w:tcBorders>
              <w:top w:val="nil"/>
              <w:bottom w:val="nil"/>
            </w:tcBorders>
            <w:vAlign w:val="center"/>
          </w:tcPr>
          <w:p w14:paraId="7E9DFEA2"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0.2289</w:t>
            </w:r>
          </w:p>
        </w:tc>
      </w:tr>
      <w:tr w:rsidR="005D69AE" w:rsidRPr="003C39CF" w14:paraId="434FF890" w14:textId="77777777" w:rsidTr="00B0092F">
        <w:trPr>
          <w:trHeight w:val="246"/>
          <w:jc w:val="center"/>
        </w:trPr>
        <w:tc>
          <w:tcPr>
            <w:tcW w:w="2930" w:type="dxa"/>
            <w:tcBorders>
              <w:top w:val="nil"/>
              <w:bottom w:val="nil"/>
            </w:tcBorders>
          </w:tcPr>
          <w:p w14:paraId="11263EDE"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No</w:t>
            </w:r>
          </w:p>
        </w:tc>
        <w:tc>
          <w:tcPr>
            <w:tcW w:w="7558" w:type="dxa"/>
            <w:gridSpan w:val="6"/>
            <w:tcBorders>
              <w:top w:val="nil"/>
              <w:bottom w:val="nil"/>
            </w:tcBorders>
          </w:tcPr>
          <w:p w14:paraId="03468459" w14:textId="77777777" w:rsidR="005D69AE" w:rsidRPr="003C39CF" w:rsidRDefault="005D69AE" w:rsidP="00D906FC">
            <w:pPr>
              <w:rPr>
                <w:rFonts w:ascii="Times New Roman" w:hAnsi="Times New Roman" w:cs="Times New Roman"/>
                <w:i/>
                <w:iCs/>
                <w:sz w:val="20"/>
                <w:szCs w:val="20"/>
              </w:rPr>
            </w:pPr>
            <w:r w:rsidRPr="003C39CF">
              <w:rPr>
                <w:rFonts w:ascii="Times New Roman" w:hAnsi="Times New Roman" w:cs="Times New Roman"/>
                <w:i/>
                <w:iCs/>
                <w:sz w:val="20"/>
                <w:szCs w:val="20"/>
              </w:rPr>
              <w:t>Reference</w:t>
            </w:r>
          </w:p>
        </w:tc>
      </w:tr>
      <w:tr w:rsidR="005D69AE" w:rsidRPr="003C39CF" w14:paraId="1760025D" w14:textId="77777777" w:rsidTr="00B0092F">
        <w:trPr>
          <w:trHeight w:val="246"/>
          <w:jc w:val="center"/>
        </w:trPr>
        <w:tc>
          <w:tcPr>
            <w:tcW w:w="2930" w:type="dxa"/>
            <w:tcBorders>
              <w:top w:val="nil"/>
              <w:bottom w:val="nil"/>
            </w:tcBorders>
          </w:tcPr>
          <w:p w14:paraId="6DFF88EC"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b/>
                <w:bCs/>
                <w:sz w:val="20"/>
                <w:szCs w:val="20"/>
              </w:rPr>
              <w:t>Underweight</w:t>
            </w:r>
          </w:p>
        </w:tc>
        <w:tc>
          <w:tcPr>
            <w:tcW w:w="1240" w:type="dxa"/>
            <w:tcBorders>
              <w:top w:val="nil"/>
              <w:bottom w:val="nil"/>
            </w:tcBorders>
          </w:tcPr>
          <w:p w14:paraId="7F34CA0E" w14:textId="77777777" w:rsidR="005D69AE" w:rsidRPr="003C39CF" w:rsidRDefault="005D69AE" w:rsidP="00D906FC">
            <w:pPr>
              <w:jc w:val="center"/>
              <w:rPr>
                <w:rFonts w:ascii="Times New Roman" w:hAnsi="Times New Roman" w:cs="Times New Roman"/>
                <w:sz w:val="20"/>
                <w:szCs w:val="20"/>
              </w:rPr>
            </w:pPr>
          </w:p>
        </w:tc>
        <w:tc>
          <w:tcPr>
            <w:tcW w:w="1403" w:type="dxa"/>
            <w:tcBorders>
              <w:top w:val="nil"/>
              <w:bottom w:val="nil"/>
            </w:tcBorders>
          </w:tcPr>
          <w:p w14:paraId="273872E6"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bottom w:val="nil"/>
            </w:tcBorders>
          </w:tcPr>
          <w:p w14:paraId="3B9CA61D"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0.3901</w:t>
            </w:r>
          </w:p>
        </w:tc>
        <w:tc>
          <w:tcPr>
            <w:tcW w:w="1135" w:type="dxa"/>
            <w:tcBorders>
              <w:top w:val="nil"/>
              <w:bottom w:val="nil"/>
            </w:tcBorders>
          </w:tcPr>
          <w:p w14:paraId="039D8819" w14:textId="77777777" w:rsidR="005D69AE" w:rsidRPr="003C39CF" w:rsidRDefault="005D69AE" w:rsidP="00D906FC">
            <w:pPr>
              <w:jc w:val="center"/>
              <w:rPr>
                <w:rFonts w:ascii="Times New Roman" w:hAnsi="Times New Roman" w:cs="Times New Roman"/>
                <w:sz w:val="20"/>
                <w:szCs w:val="20"/>
              </w:rPr>
            </w:pPr>
          </w:p>
        </w:tc>
        <w:tc>
          <w:tcPr>
            <w:tcW w:w="1471" w:type="dxa"/>
            <w:tcBorders>
              <w:top w:val="nil"/>
              <w:bottom w:val="nil"/>
            </w:tcBorders>
          </w:tcPr>
          <w:p w14:paraId="4D7AC73A" w14:textId="77777777" w:rsidR="005D69AE" w:rsidRPr="003C39CF" w:rsidRDefault="005D69AE" w:rsidP="00D906FC">
            <w:pPr>
              <w:jc w:val="center"/>
              <w:rPr>
                <w:rFonts w:ascii="Times New Roman" w:hAnsi="Times New Roman" w:cs="Times New Roman"/>
                <w:sz w:val="20"/>
                <w:szCs w:val="20"/>
              </w:rPr>
            </w:pPr>
          </w:p>
        </w:tc>
        <w:tc>
          <w:tcPr>
            <w:tcW w:w="1173" w:type="dxa"/>
            <w:tcBorders>
              <w:top w:val="nil"/>
              <w:bottom w:val="nil"/>
            </w:tcBorders>
          </w:tcPr>
          <w:p w14:paraId="7A39D2FC"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0.8415</w:t>
            </w:r>
          </w:p>
        </w:tc>
      </w:tr>
      <w:tr w:rsidR="005D69AE" w:rsidRPr="003C39CF" w14:paraId="08B4A5D5" w14:textId="77777777" w:rsidTr="003C39CF">
        <w:trPr>
          <w:trHeight w:val="246"/>
          <w:jc w:val="center"/>
        </w:trPr>
        <w:tc>
          <w:tcPr>
            <w:tcW w:w="2930" w:type="dxa"/>
            <w:tcBorders>
              <w:top w:val="nil"/>
              <w:bottom w:val="nil"/>
            </w:tcBorders>
          </w:tcPr>
          <w:p w14:paraId="59476427" w14:textId="77777777" w:rsidR="005D69AE" w:rsidRPr="003C39CF" w:rsidRDefault="005D69AE" w:rsidP="00D906FC">
            <w:pPr>
              <w:rPr>
                <w:rFonts w:ascii="Times New Roman" w:hAnsi="Times New Roman" w:cs="Times New Roman"/>
                <w:b/>
                <w:bCs/>
                <w:sz w:val="20"/>
                <w:szCs w:val="20"/>
              </w:rPr>
            </w:pPr>
            <w:r w:rsidRPr="003C39CF">
              <w:rPr>
                <w:rFonts w:ascii="Times New Roman" w:hAnsi="Times New Roman" w:cs="Times New Roman"/>
                <w:sz w:val="20"/>
                <w:szCs w:val="20"/>
              </w:rPr>
              <w:t xml:space="preserve">     Yes</w:t>
            </w:r>
          </w:p>
        </w:tc>
        <w:tc>
          <w:tcPr>
            <w:tcW w:w="1240" w:type="dxa"/>
            <w:tcBorders>
              <w:top w:val="nil"/>
              <w:bottom w:val="nil"/>
            </w:tcBorders>
          </w:tcPr>
          <w:p w14:paraId="22DA191E"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-0.36</w:t>
            </w:r>
          </w:p>
        </w:tc>
        <w:tc>
          <w:tcPr>
            <w:tcW w:w="1403" w:type="dxa"/>
            <w:tcBorders>
              <w:top w:val="nil"/>
              <w:bottom w:val="nil"/>
            </w:tcBorders>
          </w:tcPr>
          <w:p w14:paraId="24024B6C"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-1.19, 0.46</w:t>
            </w:r>
          </w:p>
        </w:tc>
        <w:tc>
          <w:tcPr>
            <w:tcW w:w="1136" w:type="dxa"/>
            <w:tcBorders>
              <w:top w:val="nil"/>
              <w:bottom w:val="nil"/>
            </w:tcBorders>
          </w:tcPr>
          <w:p w14:paraId="07143891"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0.3901</w:t>
            </w:r>
          </w:p>
        </w:tc>
        <w:tc>
          <w:tcPr>
            <w:tcW w:w="1135" w:type="dxa"/>
            <w:tcBorders>
              <w:top w:val="nil"/>
              <w:bottom w:val="nil"/>
            </w:tcBorders>
            <w:vAlign w:val="center"/>
          </w:tcPr>
          <w:p w14:paraId="2DCACD59"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1.16</w:t>
            </w:r>
          </w:p>
        </w:tc>
        <w:tc>
          <w:tcPr>
            <w:tcW w:w="1471" w:type="dxa"/>
            <w:tcBorders>
              <w:top w:val="nil"/>
              <w:bottom w:val="nil"/>
            </w:tcBorders>
            <w:vAlign w:val="center"/>
          </w:tcPr>
          <w:p w14:paraId="58348B6C"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0.27, 4.89</w:t>
            </w:r>
          </w:p>
        </w:tc>
        <w:tc>
          <w:tcPr>
            <w:tcW w:w="1173" w:type="dxa"/>
            <w:tcBorders>
              <w:top w:val="nil"/>
              <w:bottom w:val="nil"/>
            </w:tcBorders>
            <w:vAlign w:val="center"/>
          </w:tcPr>
          <w:p w14:paraId="72D5A1FF"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0.8415</w:t>
            </w:r>
          </w:p>
        </w:tc>
      </w:tr>
      <w:tr w:rsidR="005D69AE" w:rsidRPr="003C39CF" w14:paraId="13AB20E3" w14:textId="77777777" w:rsidTr="003C39CF">
        <w:trPr>
          <w:trHeight w:val="246"/>
          <w:jc w:val="center"/>
        </w:trPr>
        <w:tc>
          <w:tcPr>
            <w:tcW w:w="2930" w:type="dxa"/>
            <w:tcBorders>
              <w:top w:val="nil"/>
              <w:bottom w:val="nil"/>
            </w:tcBorders>
          </w:tcPr>
          <w:p w14:paraId="154A88F7"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No</w:t>
            </w:r>
          </w:p>
        </w:tc>
        <w:tc>
          <w:tcPr>
            <w:tcW w:w="7558" w:type="dxa"/>
            <w:gridSpan w:val="6"/>
            <w:tcBorders>
              <w:top w:val="nil"/>
              <w:bottom w:val="nil"/>
            </w:tcBorders>
          </w:tcPr>
          <w:p w14:paraId="67752220" w14:textId="77777777" w:rsidR="005D69AE" w:rsidRPr="003C39CF" w:rsidRDefault="005D69AE" w:rsidP="00D906FC">
            <w:pPr>
              <w:rPr>
                <w:rFonts w:ascii="Times New Roman" w:hAnsi="Times New Roman" w:cs="Times New Roman"/>
                <w:i/>
                <w:iCs/>
                <w:sz w:val="20"/>
                <w:szCs w:val="20"/>
              </w:rPr>
            </w:pPr>
            <w:r w:rsidRPr="003C39CF">
              <w:rPr>
                <w:rFonts w:ascii="Times New Roman" w:hAnsi="Times New Roman" w:cs="Times New Roman"/>
                <w:i/>
                <w:iCs/>
                <w:sz w:val="20"/>
                <w:szCs w:val="20"/>
              </w:rPr>
              <w:t>Reference</w:t>
            </w:r>
          </w:p>
        </w:tc>
      </w:tr>
      <w:tr w:rsidR="00317813" w:rsidRPr="003C39CF" w14:paraId="383B894E" w14:textId="77777777" w:rsidTr="003C39CF">
        <w:trPr>
          <w:trHeight w:val="246"/>
          <w:jc w:val="center"/>
        </w:trPr>
        <w:tc>
          <w:tcPr>
            <w:tcW w:w="2930" w:type="dxa"/>
            <w:tcBorders>
              <w:top w:val="nil"/>
              <w:bottom w:val="nil"/>
            </w:tcBorders>
          </w:tcPr>
          <w:p w14:paraId="4AFFDDE8" w14:textId="77777777" w:rsidR="00317813" w:rsidRPr="003C39CF" w:rsidRDefault="00317813" w:rsidP="00D906FC">
            <w:pPr>
              <w:rPr>
                <w:rFonts w:ascii="Times New Roman" w:hAnsi="Times New Roman" w:cs="Times New Roman"/>
                <w:sz w:val="20"/>
                <w:szCs w:val="20"/>
              </w:rPr>
            </w:pPr>
          </w:p>
        </w:tc>
        <w:tc>
          <w:tcPr>
            <w:tcW w:w="7558" w:type="dxa"/>
            <w:gridSpan w:val="6"/>
            <w:tcBorders>
              <w:top w:val="nil"/>
              <w:bottom w:val="nil"/>
            </w:tcBorders>
          </w:tcPr>
          <w:p w14:paraId="54F0E2D9" w14:textId="77777777" w:rsidR="00317813" w:rsidRPr="003C39CF" w:rsidRDefault="00317813" w:rsidP="00D906FC">
            <w:pPr>
              <w:rPr>
                <w:rFonts w:ascii="Times New Roman" w:hAnsi="Times New Roman" w:cs="Times New Roman"/>
                <w:i/>
                <w:iCs/>
                <w:sz w:val="20"/>
                <w:szCs w:val="20"/>
              </w:rPr>
            </w:pPr>
          </w:p>
        </w:tc>
      </w:tr>
      <w:tr w:rsidR="00317813" w:rsidRPr="003C39CF" w14:paraId="129F0179" w14:textId="77777777" w:rsidTr="003C39CF">
        <w:trPr>
          <w:trHeight w:val="246"/>
          <w:jc w:val="center"/>
        </w:trPr>
        <w:tc>
          <w:tcPr>
            <w:tcW w:w="2930" w:type="dxa"/>
            <w:tcBorders>
              <w:top w:val="nil"/>
              <w:bottom w:val="nil"/>
            </w:tcBorders>
          </w:tcPr>
          <w:p w14:paraId="478E83F9" w14:textId="77777777" w:rsidR="00317813" w:rsidRPr="003C39CF" w:rsidRDefault="00317813" w:rsidP="00D906FC">
            <w:pPr>
              <w:rPr>
                <w:rFonts w:ascii="Times New Roman" w:hAnsi="Times New Roman" w:cs="Times New Roman"/>
                <w:sz w:val="20"/>
                <w:szCs w:val="20"/>
              </w:rPr>
            </w:pPr>
          </w:p>
        </w:tc>
        <w:tc>
          <w:tcPr>
            <w:tcW w:w="7558" w:type="dxa"/>
            <w:gridSpan w:val="6"/>
            <w:tcBorders>
              <w:top w:val="nil"/>
              <w:bottom w:val="nil"/>
            </w:tcBorders>
          </w:tcPr>
          <w:p w14:paraId="4169CB09" w14:textId="77777777" w:rsidR="00317813" w:rsidRPr="003C39CF" w:rsidRDefault="00317813" w:rsidP="00D906FC">
            <w:pPr>
              <w:rPr>
                <w:rFonts w:ascii="Times New Roman" w:hAnsi="Times New Roman" w:cs="Times New Roman"/>
                <w:i/>
                <w:iCs/>
                <w:sz w:val="20"/>
                <w:szCs w:val="20"/>
              </w:rPr>
            </w:pPr>
          </w:p>
        </w:tc>
      </w:tr>
      <w:tr w:rsidR="005D69AE" w:rsidRPr="003C39CF" w14:paraId="3F593019" w14:textId="77777777" w:rsidTr="00CF59A1">
        <w:trPr>
          <w:trHeight w:val="324"/>
          <w:jc w:val="center"/>
        </w:trPr>
        <w:tc>
          <w:tcPr>
            <w:tcW w:w="2930" w:type="dxa"/>
            <w:tcBorders>
              <w:top w:val="nil"/>
            </w:tcBorders>
            <w:vAlign w:val="center"/>
          </w:tcPr>
          <w:p w14:paraId="2719503A" w14:textId="77777777" w:rsidR="005D69AE" w:rsidRPr="003C39CF" w:rsidRDefault="005D69AE" w:rsidP="00317813">
            <w:pPr>
              <w:rPr>
                <w:rFonts w:ascii="Times New Roman" w:hAnsi="Times New Roman" w:cs="Times New Roman"/>
                <w:sz w:val="20"/>
                <w:szCs w:val="20"/>
              </w:rPr>
            </w:pPr>
            <w:r w:rsidRPr="003C39CF">
              <w:rPr>
                <w:rFonts w:ascii="Times New Roman" w:hAnsi="Times New Roman" w:cs="Times New Roman"/>
                <w:b/>
                <w:bCs/>
                <w:sz w:val="20"/>
                <w:szCs w:val="20"/>
              </w:rPr>
              <w:lastRenderedPageBreak/>
              <w:t>Overweight or Obese</w:t>
            </w:r>
          </w:p>
        </w:tc>
        <w:tc>
          <w:tcPr>
            <w:tcW w:w="1240" w:type="dxa"/>
            <w:tcBorders>
              <w:top w:val="nil"/>
            </w:tcBorders>
          </w:tcPr>
          <w:p w14:paraId="1127778C" w14:textId="77777777" w:rsidR="005D69AE" w:rsidRPr="003C39CF" w:rsidRDefault="005D69AE" w:rsidP="00D906FC">
            <w:pPr>
              <w:jc w:val="center"/>
              <w:rPr>
                <w:rFonts w:ascii="Times New Roman" w:hAnsi="Times New Roman" w:cs="Times New Roman"/>
                <w:sz w:val="20"/>
                <w:szCs w:val="20"/>
              </w:rPr>
            </w:pPr>
          </w:p>
        </w:tc>
        <w:tc>
          <w:tcPr>
            <w:tcW w:w="1403" w:type="dxa"/>
            <w:tcBorders>
              <w:top w:val="nil"/>
            </w:tcBorders>
          </w:tcPr>
          <w:p w14:paraId="3221EB5C" w14:textId="77777777" w:rsidR="005D69AE" w:rsidRPr="003C39CF" w:rsidRDefault="005D69AE" w:rsidP="00D906FC">
            <w:pPr>
              <w:jc w:val="center"/>
              <w:rPr>
                <w:rFonts w:ascii="Times New Roman" w:hAnsi="Times New Roman" w:cs="Times New Roman"/>
                <w:sz w:val="20"/>
                <w:szCs w:val="20"/>
              </w:rPr>
            </w:pPr>
          </w:p>
        </w:tc>
        <w:tc>
          <w:tcPr>
            <w:tcW w:w="1136" w:type="dxa"/>
            <w:tcBorders>
              <w:top w:val="nil"/>
            </w:tcBorders>
            <w:vAlign w:val="center"/>
          </w:tcPr>
          <w:p w14:paraId="5A4EF66C" w14:textId="77777777" w:rsidR="005D69AE" w:rsidRPr="003C39CF" w:rsidRDefault="005D69AE" w:rsidP="00CF59A1">
            <w:pPr>
              <w:jc w:val="center"/>
              <w:rPr>
                <w:rFonts w:ascii="Times New Roman" w:hAnsi="Times New Roman" w:cs="Times New Roman"/>
                <w:sz w:val="20"/>
                <w:szCs w:val="20"/>
              </w:rPr>
            </w:pPr>
            <w:r w:rsidRPr="003C39CF">
              <w:rPr>
                <w:rFonts w:ascii="Times New Roman" w:hAnsi="Times New Roman" w:cs="Times New Roman"/>
                <w:sz w:val="20"/>
                <w:szCs w:val="20"/>
              </w:rPr>
              <w:t>0.9099</w:t>
            </w:r>
          </w:p>
        </w:tc>
        <w:tc>
          <w:tcPr>
            <w:tcW w:w="1135" w:type="dxa"/>
            <w:tcBorders>
              <w:top w:val="nil"/>
            </w:tcBorders>
            <w:vAlign w:val="center"/>
          </w:tcPr>
          <w:p w14:paraId="22506A73" w14:textId="77777777" w:rsidR="005D69AE" w:rsidRPr="003C39CF" w:rsidRDefault="005D69AE" w:rsidP="00CF59A1">
            <w:pPr>
              <w:jc w:val="center"/>
              <w:rPr>
                <w:rFonts w:ascii="Times New Roman" w:hAnsi="Times New Roman" w:cs="Times New Roman"/>
                <w:sz w:val="20"/>
                <w:szCs w:val="20"/>
              </w:rPr>
            </w:pPr>
          </w:p>
        </w:tc>
        <w:tc>
          <w:tcPr>
            <w:tcW w:w="1471" w:type="dxa"/>
            <w:tcBorders>
              <w:top w:val="nil"/>
            </w:tcBorders>
            <w:vAlign w:val="center"/>
          </w:tcPr>
          <w:p w14:paraId="02106FC2" w14:textId="77777777" w:rsidR="005D69AE" w:rsidRPr="003C39CF" w:rsidRDefault="005D69AE" w:rsidP="00CF59A1">
            <w:pPr>
              <w:jc w:val="center"/>
              <w:rPr>
                <w:rFonts w:ascii="Times New Roman" w:hAnsi="Times New Roman" w:cs="Times New Roman"/>
                <w:sz w:val="20"/>
                <w:szCs w:val="20"/>
              </w:rPr>
            </w:pPr>
          </w:p>
        </w:tc>
        <w:tc>
          <w:tcPr>
            <w:tcW w:w="1173" w:type="dxa"/>
            <w:tcBorders>
              <w:top w:val="nil"/>
            </w:tcBorders>
            <w:vAlign w:val="center"/>
          </w:tcPr>
          <w:p w14:paraId="4B9C1EDF" w14:textId="77777777" w:rsidR="005D69AE" w:rsidRPr="003C39CF" w:rsidRDefault="005D69AE" w:rsidP="00CF59A1">
            <w:pPr>
              <w:jc w:val="center"/>
              <w:rPr>
                <w:rFonts w:ascii="Times New Roman" w:hAnsi="Times New Roman" w:cs="Times New Roman"/>
                <w:sz w:val="20"/>
                <w:szCs w:val="20"/>
              </w:rPr>
            </w:pPr>
            <w:r w:rsidRPr="003C39CF">
              <w:rPr>
                <w:rFonts w:ascii="Times New Roman" w:hAnsi="Times New Roman" w:cs="Times New Roman"/>
                <w:sz w:val="20"/>
                <w:szCs w:val="20"/>
              </w:rPr>
              <w:t>0.1520</w:t>
            </w:r>
          </w:p>
        </w:tc>
      </w:tr>
      <w:tr w:rsidR="005D69AE" w:rsidRPr="003C39CF" w14:paraId="7A43DCC3" w14:textId="77777777" w:rsidTr="005D69AE">
        <w:trPr>
          <w:trHeight w:val="233"/>
          <w:jc w:val="center"/>
        </w:trPr>
        <w:tc>
          <w:tcPr>
            <w:tcW w:w="2930" w:type="dxa"/>
          </w:tcPr>
          <w:p w14:paraId="5B970CD1" w14:textId="77777777" w:rsidR="005D69AE" w:rsidRPr="003C39CF" w:rsidRDefault="005D69AE" w:rsidP="00D906FC">
            <w:pPr>
              <w:rPr>
                <w:rFonts w:ascii="Times New Roman" w:hAnsi="Times New Roman" w:cs="Times New Roman"/>
                <w:b/>
                <w:bCs/>
                <w:sz w:val="20"/>
                <w:szCs w:val="20"/>
              </w:rPr>
            </w:pPr>
            <w:r w:rsidRPr="003C39CF">
              <w:rPr>
                <w:rFonts w:ascii="Times New Roman" w:hAnsi="Times New Roman" w:cs="Times New Roman"/>
                <w:sz w:val="20"/>
                <w:szCs w:val="20"/>
              </w:rPr>
              <w:t xml:space="preserve">     Yes</w:t>
            </w:r>
          </w:p>
        </w:tc>
        <w:tc>
          <w:tcPr>
            <w:tcW w:w="1240" w:type="dxa"/>
          </w:tcPr>
          <w:p w14:paraId="4CD390AE"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-0.01</w:t>
            </w:r>
          </w:p>
        </w:tc>
        <w:tc>
          <w:tcPr>
            <w:tcW w:w="1403" w:type="dxa"/>
          </w:tcPr>
          <w:p w14:paraId="6B624C7C"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-0.20, 0.18</w:t>
            </w:r>
          </w:p>
        </w:tc>
        <w:tc>
          <w:tcPr>
            <w:tcW w:w="1136" w:type="dxa"/>
          </w:tcPr>
          <w:p w14:paraId="351D12C1"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0.9099</w:t>
            </w:r>
          </w:p>
        </w:tc>
        <w:tc>
          <w:tcPr>
            <w:tcW w:w="1135" w:type="dxa"/>
            <w:vAlign w:val="center"/>
          </w:tcPr>
          <w:p w14:paraId="37654A8F"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1.26</w:t>
            </w:r>
          </w:p>
        </w:tc>
        <w:tc>
          <w:tcPr>
            <w:tcW w:w="1471" w:type="dxa"/>
            <w:vAlign w:val="center"/>
          </w:tcPr>
          <w:p w14:paraId="43EA1EA0"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0.92, 1.74</w:t>
            </w:r>
          </w:p>
        </w:tc>
        <w:tc>
          <w:tcPr>
            <w:tcW w:w="1173" w:type="dxa"/>
            <w:vAlign w:val="center"/>
          </w:tcPr>
          <w:p w14:paraId="07A5AF54" w14:textId="77777777" w:rsidR="005D69AE" w:rsidRPr="003C39CF" w:rsidRDefault="005D69AE" w:rsidP="00D906FC">
            <w:pPr>
              <w:jc w:val="center"/>
              <w:rPr>
                <w:rFonts w:ascii="Times New Roman" w:hAnsi="Times New Roman" w:cs="Times New Roman"/>
                <w:sz w:val="20"/>
                <w:szCs w:val="20"/>
              </w:rPr>
            </w:pPr>
            <w:r w:rsidRPr="003C39CF">
              <w:rPr>
                <w:rFonts w:ascii="Times New Roman" w:hAnsi="Times New Roman" w:cs="Times New Roman"/>
                <w:sz w:val="20"/>
                <w:szCs w:val="20"/>
              </w:rPr>
              <w:t>0.1520</w:t>
            </w:r>
          </w:p>
        </w:tc>
      </w:tr>
      <w:tr w:rsidR="005D69AE" w:rsidRPr="003C39CF" w14:paraId="419EEBD3" w14:textId="77777777" w:rsidTr="00317813">
        <w:trPr>
          <w:trHeight w:val="246"/>
          <w:jc w:val="center"/>
        </w:trPr>
        <w:tc>
          <w:tcPr>
            <w:tcW w:w="2930" w:type="dxa"/>
            <w:tcBorders>
              <w:bottom w:val="single" w:sz="12" w:space="0" w:color="auto"/>
            </w:tcBorders>
          </w:tcPr>
          <w:p w14:paraId="18792E56" w14:textId="77777777" w:rsidR="005D69AE" w:rsidRPr="003C39CF" w:rsidRDefault="005D69AE" w:rsidP="00D906FC">
            <w:pPr>
              <w:rPr>
                <w:rFonts w:ascii="Times New Roman" w:hAnsi="Times New Roman" w:cs="Times New Roman"/>
                <w:sz w:val="20"/>
                <w:szCs w:val="20"/>
              </w:rPr>
            </w:pPr>
            <w:r w:rsidRPr="003C39CF">
              <w:rPr>
                <w:rFonts w:ascii="Times New Roman" w:hAnsi="Times New Roman" w:cs="Times New Roman"/>
                <w:sz w:val="20"/>
                <w:szCs w:val="20"/>
              </w:rPr>
              <w:t xml:space="preserve">     No</w:t>
            </w:r>
          </w:p>
        </w:tc>
        <w:tc>
          <w:tcPr>
            <w:tcW w:w="7558" w:type="dxa"/>
            <w:gridSpan w:val="6"/>
            <w:tcBorders>
              <w:bottom w:val="single" w:sz="12" w:space="0" w:color="auto"/>
            </w:tcBorders>
          </w:tcPr>
          <w:p w14:paraId="7BF358B4" w14:textId="77777777" w:rsidR="005D69AE" w:rsidRPr="003C39CF" w:rsidRDefault="005D69AE" w:rsidP="00D906FC">
            <w:pPr>
              <w:rPr>
                <w:rFonts w:ascii="Times New Roman" w:hAnsi="Times New Roman" w:cs="Times New Roman"/>
                <w:i/>
                <w:iCs/>
                <w:sz w:val="20"/>
                <w:szCs w:val="20"/>
              </w:rPr>
            </w:pPr>
            <w:r w:rsidRPr="003C39CF">
              <w:rPr>
                <w:rFonts w:ascii="Times New Roman" w:hAnsi="Times New Roman" w:cs="Times New Roman"/>
                <w:i/>
                <w:iCs/>
                <w:sz w:val="20"/>
                <w:szCs w:val="20"/>
              </w:rPr>
              <w:t>Reference</w:t>
            </w:r>
          </w:p>
        </w:tc>
      </w:tr>
      <w:tr w:rsidR="005D69AE" w:rsidRPr="003C39CF" w14:paraId="69E767BC" w14:textId="77777777" w:rsidTr="00317813">
        <w:trPr>
          <w:trHeight w:val="694"/>
          <w:jc w:val="center"/>
        </w:trPr>
        <w:tc>
          <w:tcPr>
            <w:tcW w:w="10488" w:type="dxa"/>
            <w:gridSpan w:val="7"/>
            <w:tcBorders>
              <w:top w:val="single" w:sz="12" w:space="0" w:color="auto"/>
              <w:bottom w:val="nil"/>
            </w:tcBorders>
          </w:tcPr>
          <w:p w14:paraId="08C9D001" w14:textId="77777777" w:rsidR="005D69AE" w:rsidRPr="003C39CF" w:rsidRDefault="005D69AE" w:rsidP="00D906FC">
            <w:pPr>
              <w:rPr>
                <w:rFonts w:ascii="Times New Roman" w:hAnsi="Times New Roman" w:cs="Times New Roman"/>
                <w:i/>
                <w:iCs/>
                <w:sz w:val="20"/>
                <w:szCs w:val="20"/>
              </w:rPr>
            </w:pPr>
            <w:r w:rsidRPr="003C39CF">
              <w:rPr>
                <w:rFonts w:ascii="Times New Roman" w:hAnsi="Times New Roman" w:cs="Times New Roman"/>
                <w:i/>
                <w:iCs/>
                <w:sz w:val="20"/>
                <w:szCs w:val="20"/>
                <w:vertAlign w:val="superscript"/>
              </w:rPr>
              <w:t>1</w:t>
            </w:r>
            <w:r w:rsidRPr="003C39CF">
              <w:rPr>
                <w:rFonts w:ascii="Times New Roman" w:hAnsi="Times New Roman" w:cs="Times New Roman"/>
                <w:i/>
                <w:iCs/>
                <w:sz w:val="20"/>
                <w:szCs w:val="20"/>
              </w:rPr>
              <w:t>Forced expiratory volume in one second</w:t>
            </w:r>
          </w:p>
          <w:p w14:paraId="413D5B61" w14:textId="77777777" w:rsidR="005D69AE" w:rsidRPr="003C39CF" w:rsidRDefault="005D69AE" w:rsidP="00D906FC">
            <w:pPr>
              <w:rPr>
                <w:rFonts w:ascii="Times New Roman" w:hAnsi="Times New Roman" w:cs="Times New Roman"/>
                <w:i/>
                <w:iCs/>
                <w:sz w:val="20"/>
                <w:szCs w:val="20"/>
                <w:vertAlign w:val="superscript"/>
              </w:rPr>
            </w:pPr>
            <w:r w:rsidRPr="003C39CF">
              <w:rPr>
                <w:rFonts w:ascii="Times New Roman" w:hAnsi="Times New Roman" w:cs="Times New Roman"/>
                <w:i/>
                <w:iCs/>
                <w:sz w:val="20"/>
                <w:szCs w:val="20"/>
                <w:vertAlign w:val="superscript"/>
              </w:rPr>
              <w:t>2</w:t>
            </w:r>
            <w:r w:rsidRPr="003C39CF">
              <w:rPr>
                <w:rFonts w:ascii="Times New Roman" w:hAnsi="Times New Roman" w:cs="Times New Roman"/>
                <w:i/>
                <w:iCs/>
                <w:sz w:val="20"/>
                <w:szCs w:val="20"/>
              </w:rPr>
              <w:t>Department of Energy</w:t>
            </w:r>
          </w:p>
        </w:tc>
      </w:tr>
    </w:tbl>
    <w:p w14:paraId="01E33BA4" w14:textId="1043FE47" w:rsidR="005D69AE" w:rsidRDefault="005D69AE" w:rsidP="00317813">
      <w:pPr>
        <w:spacing w:after="0" w:line="480" w:lineRule="auto"/>
        <w:rPr>
          <w:rFonts w:ascii="Times New Roman" w:hAnsi="Times New Roman" w:cs="Times New Roman"/>
          <w:iCs/>
        </w:rPr>
      </w:pPr>
    </w:p>
    <w:p w14:paraId="1B7E9D59" w14:textId="77777777" w:rsidR="005D69AE" w:rsidRDefault="005D69AE" w:rsidP="00317813">
      <w:pPr>
        <w:spacing w:after="0" w:line="480" w:lineRule="auto"/>
        <w:rPr>
          <w:rFonts w:ascii="Times New Roman" w:hAnsi="Times New Roman" w:cs="Times New Roman"/>
          <w:iCs/>
        </w:rPr>
      </w:pPr>
      <w:r>
        <w:rPr>
          <w:rFonts w:ascii="Times New Roman" w:hAnsi="Times New Roman" w:cs="Times New Roman"/>
          <w:iCs/>
        </w:rPr>
        <w:br w:type="page"/>
      </w:r>
    </w:p>
    <w:p w14:paraId="6B95A442" w14:textId="526A1508" w:rsidR="00EA661D" w:rsidRPr="00EA661D" w:rsidRDefault="00EA661D" w:rsidP="00317813">
      <w:pPr>
        <w:spacing w:after="0" w:line="480" w:lineRule="auto"/>
        <w:ind w:firstLine="720"/>
        <w:rPr>
          <w:rFonts w:ascii="Times New Roman" w:hAnsi="Times New Roman" w:cs="Times New Roman"/>
          <w:iCs/>
        </w:rPr>
      </w:pPr>
      <w:r w:rsidRPr="00EA661D">
        <w:rPr>
          <w:rFonts w:ascii="Times New Roman" w:hAnsi="Times New Roman" w:cs="Times New Roman"/>
          <w:iCs/>
        </w:rPr>
        <w:lastRenderedPageBreak/>
        <w:t>Overall, the root mean square errors (RMSE) of the regression random forest models were fairly low across the training (median: 0.85, IQR: 0.83-0.86) and testing (median: 0.84, IQR: 0.81-0.87) datasets. Yet, the amount of variance explained by the model was also low. Only 49.3% (IQR: 48.4%-52.1%) of the variance in the training data and 47.0% in the testing data (IQR: 44.1%-52.4%) were explained by the regression random forest model. At its maximum, the variance explained by the model was 53.8% for the training data and 56.6% for the testing data. However, even with the relatively poor model performance, the variable importance scores still provide interesting insight into which variables are most influential for predicting the FEV</w:t>
      </w:r>
      <w:r w:rsidRPr="00EA661D">
        <w:rPr>
          <w:rFonts w:ascii="Times New Roman" w:hAnsi="Times New Roman" w:cs="Times New Roman"/>
          <w:iCs/>
          <w:vertAlign w:val="subscript"/>
        </w:rPr>
        <w:t>1</w:t>
      </w:r>
      <w:r w:rsidRPr="00EA661D">
        <w:rPr>
          <w:rFonts w:ascii="Times New Roman" w:hAnsi="Times New Roman" w:cs="Times New Roman"/>
          <w:iCs/>
        </w:rPr>
        <w:t xml:space="preserve"> change from initial to rescreen. The FEV</w:t>
      </w:r>
      <w:r w:rsidRPr="00EA661D">
        <w:rPr>
          <w:rFonts w:ascii="Times New Roman" w:hAnsi="Times New Roman" w:cs="Times New Roman"/>
          <w:iCs/>
          <w:vertAlign w:val="subscript"/>
        </w:rPr>
        <w:t>1</w:t>
      </w:r>
      <w:r w:rsidRPr="00EA661D">
        <w:rPr>
          <w:rFonts w:ascii="Times New Roman" w:hAnsi="Times New Roman" w:cs="Times New Roman"/>
          <w:iCs/>
        </w:rPr>
        <w:t xml:space="preserve"> at initial exam (variable importance median: 449.1), age at initial exam (variable importance median: 75.0), age at hire (variable importance median: 68.1), and sex (variable importance median: 47.7) had the highest median variable importance scores (</w:t>
      </w:r>
      <w:r w:rsidRPr="007B23A4">
        <w:rPr>
          <w:rFonts w:ascii="Times New Roman" w:hAnsi="Times New Roman" w:cs="Times New Roman"/>
        </w:rPr>
        <w:t xml:space="preserve">Table </w:t>
      </w:r>
      <w:r w:rsidR="007B23A4" w:rsidRPr="007B23A4">
        <w:rPr>
          <w:rFonts w:ascii="Times New Roman" w:hAnsi="Times New Roman" w:cs="Times New Roman"/>
        </w:rPr>
        <w:t>4.</w:t>
      </w:r>
      <w:r w:rsidRPr="007B23A4">
        <w:rPr>
          <w:rFonts w:ascii="Times New Roman" w:hAnsi="Times New Roman" w:cs="Times New Roman"/>
        </w:rPr>
        <w:t>6</w:t>
      </w:r>
      <w:r w:rsidRPr="00EA661D">
        <w:rPr>
          <w:rFonts w:ascii="Times New Roman" w:hAnsi="Times New Roman" w:cs="Times New Roman"/>
          <w:iCs/>
        </w:rPr>
        <w:t xml:space="preserve">). The rest of the assessed variables had importance scores less than 20 </w:t>
      </w:r>
      <w:r w:rsidRPr="00EA661D">
        <w:rPr>
          <w:rFonts w:ascii="Times New Roman" w:hAnsi="Times New Roman" w:cs="Times New Roman"/>
          <w:i/>
          <w:iCs/>
        </w:rPr>
        <w:t>(</w:t>
      </w:r>
      <w:r w:rsidRPr="007B23A4">
        <w:rPr>
          <w:rFonts w:ascii="Times New Roman" w:hAnsi="Times New Roman" w:cs="Times New Roman"/>
        </w:rPr>
        <w:t xml:space="preserve">Table </w:t>
      </w:r>
      <w:r w:rsidR="007B23A4" w:rsidRPr="007B23A4">
        <w:rPr>
          <w:rFonts w:ascii="Times New Roman" w:hAnsi="Times New Roman" w:cs="Times New Roman"/>
        </w:rPr>
        <w:t>4.</w:t>
      </w:r>
      <w:r w:rsidRPr="007B23A4">
        <w:rPr>
          <w:rFonts w:ascii="Times New Roman" w:hAnsi="Times New Roman" w:cs="Times New Roman"/>
        </w:rPr>
        <w:t>6</w:t>
      </w:r>
      <w:r w:rsidRPr="00EA661D">
        <w:rPr>
          <w:rFonts w:ascii="Times New Roman" w:hAnsi="Times New Roman" w:cs="Times New Roman"/>
          <w:iCs/>
        </w:rPr>
        <w:t>).</w:t>
      </w:r>
    </w:p>
    <w:p w14:paraId="66CB61EC" w14:textId="0E15223E" w:rsidR="005D69AE" w:rsidRDefault="005D69AE" w:rsidP="00317813">
      <w:pPr>
        <w:spacing w:after="0" w:line="480" w:lineRule="auto"/>
        <w:rPr>
          <w:rFonts w:ascii="Times New Roman" w:hAnsi="Times New Roman" w:cs="Times New Roman"/>
          <w:iCs/>
        </w:rPr>
      </w:pPr>
      <w:r>
        <w:rPr>
          <w:rFonts w:ascii="Times New Roman" w:hAnsi="Times New Roman" w:cs="Times New Roman"/>
          <w:iCs/>
        </w:rPr>
        <w:br w:type="page"/>
      </w:r>
    </w:p>
    <w:p w14:paraId="53B3A60B" w14:textId="10ADE2BE" w:rsidR="005D69AE" w:rsidRDefault="005D69AE" w:rsidP="00317813">
      <w:pPr>
        <w:pStyle w:val="Caption"/>
        <w:spacing w:after="0"/>
      </w:pPr>
      <w:bookmarkStart w:id="195" w:name="_Toc199886041"/>
      <w:bookmarkStart w:id="196" w:name="_Toc200097058"/>
      <w:r>
        <w:lastRenderedPageBreak/>
        <w:t xml:space="preserve">Table </w:t>
      </w:r>
      <w:r w:rsidR="00450C23">
        <w:fldChar w:fldCharType="begin"/>
      </w:r>
      <w:r w:rsidR="00450C23">
        <w:instrText xml:space="preserve"> STYLEREF 1 \s </w:instrText>
      </w:r>
      <w:r w:rsidR="00450C23">
        <w:fldChar w:fldCharType="separate"/>
      </w:r>
      <w:r>
        <w:rPr>
          <w:noProof/>
        </w:rPr>
        <w:t>4</w:t>
      </w:r>
      <w:r w:rsidR="00450C23">
        <w:rPr>
          <w:noProof/>
        </w:rPr>
        <w:fldChar w:fldCharType="end"/>
      </w:r>
      <w:r>
        <w:t>.</w:t>
      </w:r>
      <w:r w:rsidR="00450C23">
        <w:fldChar w:fldCharType="begin"/>
      </w:r>
      <w:r w:rsidR="00450C23">
        <w:instrText xml:space="preserve"> SEQ Table \* ARABIC \s 1 </w:instrText>
      </w:r>
      <w:r w:rsidR="00450C23">
        <w:fldChar w:fldCharType="separate"/>
      </w:r>
      <w:r>
        <w:rPr>
          <w:noProof/>
        </w:rPr>
        <w:t>6</w:t>
      </w:r>
      <w:r w:rsidR="00450C23">
        <w:rPr>
          <w:noProof/>
        </w:rPr>
        <w:fldChar w:fldCharType="end"/>
      </w:r>
      <w:r>
        <w:t xml:space="preserve">. </w:t>
      </w:r>
      <w:r w:rsidRPr="00E460C2">
        <w:t xml:space="preserve">Importance scores for predictors of change in </w:t>
      </w:r>
      <w:r w:rsidRPr="00C00B13">
        <w:rPr>
          <w:vertAlign w:val="superscript"/>
        </w:rPr>
        <w:t>1</w:t>
      </w:r>
      <w:r w:rsidRPr="00E460C2">
        <w:t xml:space="preserve">FEV1 and </w:t>
      </w:r>
      <w:r w:rsidRPr="00C00B13">
        <w:rPr>
          <w:vertAlign w:val="superscript"/>
        </w:rPr>
        <w:t>1</w:t>
      </w:r>
      <w:r w:rsidRPr="00E460C2">
        <w:t>FEV1 decline for National Supplemental Screening Program participants with chronic obstructive pulmonary at initial exam (n=769) across all imputed datasets (n=20)</w:t>
      </w:r>
      <w:bookmarkEnd w:id="195"/>
      <w:bookmarkEnd w:id="196"/>
    </w:p>
    <w:tbl>
      <w:tblPr>
        <w:tblStyle w:val="TableGrid"/>
        <w:tblW w:w="10031" w:type="dxa"/>
        <w:tblInd w:w="-3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1701"/>
        <w:gridCol w:w="1843"/>
        <w:gridCol w:w="1701"/>
        <w:gridCol w:w="2268"/>
      </w:tblGrid>
      <w:tr w:rsidR="005D69AE" w:rsidRPr="00E73B3C" w14:paraId="7FB0C47D" w14:textId="77777777" w:rsidTr="004E4630">
        <w:trPr>
          <w:tblHeader/>
        </w:trPr>
        <w:tc>
          <w:tcPr>
            <w:tcW w:w="2518" w:type="dxa"/>
            <w:tcBorders>
              <w:top w:val="single" w:sz="12" w:space="0" w:color="auto"/>
              <w:bottom w:val="nil"/>
            </w:tcBorders>
            <w:vAlign w:val="center"/>
          </w:tcPr>
          <w:p w14:paraId="3A7BA02D" w14:textId="77777777" w:rsidR="005D69AE" w:rsidRPr="00E73B3C" w:rsidRDefault="005D69AE" w:rsidP="00D906FC">
            <w:pPr>
              <w:jc w:val="center"/>
              <w:rPr>
                <w:rFonts w:ascii="Times New Roman" w:hAnsi="Times New Roman" w:cs="Times New Roman"/>
                <w:b/>
                <w:bCs/>
              </w:rPr>
            </w:pPr>
          </w:p>
        </w:tc>
        <w:tc>
          <w:tcPr>
            <w:tcW w:w="3544" w:type="dxa"/>
            <w:gridSpan w:val="2"/>
            <w:tcBorders>
              <w:top w:val="single" w:sz="12" w:space="0" w:color="auto"/>
              <w:bottom w:val="nil"/>
            </w:tcBorders>
            <w:vAlign w:val="center"/>
          </w:tcPr>
          <w:p w14:paraId="33BCABE6" w14:textId="77777777" w:rsidR="005D69AE" w:rsidRPr="00E73B3C" w:rsidRDefault="005D69AE" w:rsidP="00D906FC">
            <w:pPr>
              <w:jc w:val="center"/>
              <w:rPr>
                <w:rFonts w:ascii="Times New Roman" w:hAnsi="Times New Roman" w:cs="Times New Roman"/>
                <w:b/>
                <w:bCs/>
                <w:vertAlign w:val="superscript"/>
              </w:rPr>
            </w:pPr>
            <w:r w:rsidRPr="00E73B3C">
              <w:rPr>
                <w:rFonts w:ascii="Times New Roman" w:hAnsi="Times New Roman" w:cs="Times New Roman"/>
                <w:b/>
                <w:bCs/>
              </w:rPr>
              <w:t xml:space="preserve">Predicting </w:t>
            </w:r>
            <w:r w:rsidRPr="00E73B3C">
              <w:rPr>
                <w:rFonts w:ascii="Times New Roman" w:hAnsi="Times New Roman" w:cs="Times New Roman"/>
                <w:b/>
                <w:bCs/>
                <w:vertAlign w:val="superscript"/>
              </w:rPr>
              <w:t>1</w:t>
            </w:r>
            <w:r w:rsidRPr="00E73B3C">
              <w:rPr>
                <w:rFonts w:ascii="Times New Roman" w:hAnsi="Times New Roman" w:cs="Times New Roman"/>
                <w:b/>
                <w:bCs/>
              </w:rPr>
              <w:t>FEV</w:t>
            </w:r>
            <w:r w:rsidRPr="00E73B3C">
              <w:rPr>
                <w:rFonts w:ascii="Times New Roman" w:hAnsi="Times New Roman" w:cs="Times New Roman"/>
                <w:b/>
                <w:bCs/>
                <w:vertAlign w:val="subscript"/>
              </w:rPr>
              <w:t>1</w:t>
            </w:r>
            <w:r w:rsidRPr="00E73B3C">
              <w:rPr>
                <w:rFonts w:ascii="Times New Roman" w:hAnsi="Times New Roman" w:cs="Times New Roman"/>
                <w:b/>
                <w:bCs/>
              </w:rPr>
              <w:t xml:space="preserve"> Change</w:t>
            </w:r>
            <w:r w:rsidRPr="00E73B3C">
              <w:rPr>
                <w:rFonts w:ascii="Times New Roman" w:hAnsi="Times New Roman" w:cs="Times New Roman"/>
                <w:b/>
                <w:bCs/>
                <w:vertAlign w:val="superscript"/>
              </w:rPr>
              <w:t>3</w:t>
            </w:r>
          </w:p>
        </w:tc>
        <w:tc>
          <w:tcPr>
            <w:tcW w:w="3969" w:type="dxa"/>
            <w:gridSpan w:val="2"/>
            <w:tcBorders>
              <w:top w:val="single" w:sz="12" w:space="0" w:color="auto"/>
              <w:bottom w:val="nil"/>
            </w:tcBorders>
            <w:vAlign w:val="center"/>
          </w:tcPr>
          <w:p w14:paraId="681B7051" w14:textId="77777777" w:rsidR="005D69AE" w:rsidRPr="00E73B3C" w:rsidRDefault="005D69AE" w:rsidP="00D906FC">
            <w:pPr>
              <w:jc w:val="center"/>
              <w:rPr>
                <w:rFonts w:ascii="Times New Roman" w:hAnsi="Times New Roman" w:cs="Times New Roman"/>
                <w:b/>
                <w:bCs/>
                <w:vertAlign w:val="superscript"/>
              </w:rPr>
            </w:pPr>
            <w:r w:rsidRPr="00E73B3C">
              <w:rPr>
                <w:rFonts w:ascii="Times New Roman" w:hAnsi="Times New Roman" w:cs="Times New Roman"/>
                <w:b/>
                <w:bCs/>
              </w:rPr>
              <w:t xml:space="preserve">Predicting </w:t>
            </w:r>
            <w:r w:rsidRPr="00E73B3C">
              <w:rPr>
                <w:rFonts w:ascii="Times New Roman" w:hAnsi="Times New Roman" w:cs="Times New Roman"/>
                <w:b/>
                <w:bCs/>
                <w:vertAlign w:val="superscript"/>
              </w:rPr>
              <w:t>1</w:t>
            </w:r>
            <w:r w:rsidRPr="00E73B3C">
              <w:rPr>
                <w:rFonts w:ascii="Times New Roman" w:hAnsi="Times New Roman" w:cs="Times New Roman"/>
                <w:b/>
                <w:bCs/>
              </w:rPr>
              <w:t>FEV</w:t>
            </w:r>
            <w:r w:rsidRPr="00E73B3C">
              <w:rPr>
                <w:rFonts w:ascii="Times New Roman" w:hAnsi="Times New Roman" w:cs="Times New Roman"/>
                <w:b/>
                <w:bCs/>
                <w:vertAlign w:val="subscript"/>
              </w:rPr>
              <w:t>1</w:t>
            </w:r>
            <w:r w:rsidRPr="00E73B3C">
              <w:rPr>
                <w:rFonts w:ascii="Times New Roman" w:hAnsi="Times New Roman" w:cs="Times New Roman"/>
                <w:b/>
                <w:bCs/>
              </w:rPr>
              <w:t xml:space="preserve"> Decline</w:t>
            </w:r>
            <w:r w:rsidRPr="00E73B3C">
              <w:rPr>
                <w:rFonts w:ascii="Times New Roman" w:hAnsi="Times New Roman" w:cs="Times New Roman"/>
                <w:b/>
                <w:bCs/>
                <w:vertAlign w:val="superscript"/>
              </w:rPr>
              <w:t>4</w:t>
            </w:r>
          </w:p>
        </w:tc>
      </w:tr>
      <w:tr w:rsidR="005D69AE" w:rsidRPr="00E73B3C" w14:paraId="704FE3C4" w14:textId="77777777" w:rsidTr="004E4630">
        <w:trPr>
          <w:tblHeader/>
        </w:trPr>
        <w:tc>
          <w:tcPr>
            <w:tcW w:w="2518" w:type="dxa"/>
            <w:tcBorders>
              <w:top w:val="nil"/>
              <w:bottom w:val="single" w:sz="12" w:space="0" w:color="auto"/>
            </w:tcBorders>
            <w:vAlign w:val="center"/>
          </w:tcPr>
          <w:p w14:paraId="3B6EF349" w14:textId="77777777" w:rsidR="005D69AE" w:rsidRPr="00E73B3C" w:rsidRDefault="005D69AE" w:rsidP="00D906FC">
            <w:pPr>
              <w:jc w:val="center"/>
              <w:rPr>
                <w:rFonts w:ascii="Times New Roman" w:hAnsi="Times New Roman" w:cs="Times New Roman"/>
                <w:b/>
                <w:bCs/>
              </w:rPr>
            </w:pPr>
            <w:r w:rsidRPr="00E73B3C">
              <w:rPr>
                <w:rFonts w:ascii="Times New Roman" w:hAnsi="Times New Roman" w:cs="Times New Roman"/>
                <w:b/>
                <w:bCs/>
              </w:rPr>
              <w:t>Characteristic</w:t>
            </w:r>
          </w:p>
        </w:tc>
        <w:tc>
          <w:tcPr>
            <w:tcW w:w="1701" w:type="dxa"/>
            <w:tcBorders>
              <w:top w:val="nil"/>
              <w:bottom w:val="single" w:sz="12" w:space="0" w:color="auto"/>
            </w:tcBorders>
            <w:vAlign w:val="center"/>
          </w:tcPr>
          <w:p w14:paraId="2A78055F" w14:textId="77777777" w:rsidR="005D69AE" w:rsidRPr="00E73B3C" w:rsidRDefault="005D69AE" w:rsidP="00D906FC">
            <w:pPr>
              <w:jc w:val="center"/>
              <w:rPr>
                <w:rFonts w:ascii="Times New Roman" w:hAnsi="Times New Roman" w:cs="Times New Roman"/>
                <w:b/>
                <w:bCs/>
              </w:rPr>
            </w:pPr>
            <w:r w:rsidRPr="00E73B3C">
              <w:rPr>
                <w:rFonts w:ascii="Times New Roman" w:hAnsi="Times New Roman" w:cs="Times New Roman"/>
                <w:b/>
                <w:bCs/>
              </w:rPr>
              <w:t>Median</w:t>
            </w:r>
          </w:p>
        </w:tc>
        <w:tc>
          <w:tcPr>
            <w:tcW w:w="1843" w:type="dxa"/>
            <w:tcBorders>
              <w:top w:val="nil"/>
              <w:bottom w:val="single" w:sz="12" w:space="0" w:color="auto"/>
            </w:tcBorders>
            <w:vAlign w:val="center"/>
          </w:tcPr>
          <w:p w14:paraId="5972DCC9" w14:textId="77777777" w:rsidR="005D69AE" w:rsidRPr="00E73B3C" w:rsidRDefault="005D69AE" w:rsidP="00D906FC">
            <w:pPr>
              <w:jc w:val="center"/>
              <w:rPr>
                <w:rFonts w:ascii="Times New Roman" w:hAnsi="Times New Roman" w:cs="Times New Roman"/>
                <w:b/>
                <w:bCs/>
              </w:rPr>
            </w:pPr>
            <w:r w:rsidRPr="00E73B3C">
              <w:rPr>
                <w:rFonts w:ascii="Times New Roman" w:hAnsi="Times New Roman" w:cs="Times New Roman"/>
                <w:b/>
                <w:bCs/>
              </w:rPr>
              <w:t>IQR</w:t>
            </w:r>
          </w:p>
        </w:tc>
        <w:tc>
          <w:tcPr>
            <w:tcW w:w="1701" w:type="dxa"/>
            <w:tcBorders>
              <w:top w:val="nil"/>
              <w:bottom w:val="single" w:sz="12" w:space="0" w:color="auto"/>
            </w:tcBorders>
            <w:vAlign w:val="center"/>
          </w:tcPr>
          <w:p w14:paraId="268CEB9B" w14:textId="77777777" w:rsidR="005D69AE" w:rsidRPr="00E73B3C" w:rsidRDefault="005D69AE" w:rsidP="00D906FC">
            <w:pPr>
              <w:jc w:val="center"/>
              <w:rPr>
                <w:rFonts w:ascii="Times New Roman" w:hAnsi="Times New Roman" w:cs="Times New Roman"/>
                <w:b/>
                <w:bCs/>
              </w:rPr>
            </w:pPr>
            <w:r w:rsidRPr="00E73B3C">
              <w:rPr>
                <w:rFonts w:ascii="Times New Roman" w:hAnsi="Times New Roman" w:cs="Times New Roman"/>
                <w:b/>
                <w:bCs/>
              </w:rPr>
              <w:t>Median</w:t>
            </w:r>
          </w:p>
        </w:tc>
        <w:tc>
          <w:tcPr>
            <w:tcW w:w="2268" w:type="dxa"/>
            <w:tcBorders>
              <w:top w:val="nil"/>
              <w:bottom w:val="single" w:sz="12" w:space="0" w:color="auto"/>
            </w:tcBorders>
            <w:vAlign w:val="center"/>
          </w:tcPr>
          <w:p w14:paraId="073751F5" w14:textId="77777777" w:rsidR="005D69AE" w:rsidRPr="00E73B3C" w:rsidRDefault="005D69AE" w:rsidP="00D906FC">
            <w:pPr>
              <w:jc w:val="center"/>
              <w:rPr>
                <w:rFonts w:ascii="Times New Roman" w:hAnsi="Times New Roman" w:cs="Times New Roman"/>
                <w:b/>
                <w:bCs/>
              </w:rPr>
            </w:pPr>
            <w:r w:rsidRPr="00E73B3C">
              <w:rPr>
                <w:rFonts w:ascii="Times New Roman" w:hAnsi="Times New Roman" w:cs="Times New Roman"/>
                <w:b/>
                <w:bCs/>
              </w:rPr>
              <w:t>IQR</w:t>
            </w:r>
          </w:p>
        </w:tc>
      </w:tr>
      <w:tr w:rsidR="005D69AE" w:rsidRPr="00E73B3C" w14:paraId="6026CB53" w14:textId="77777777" w:rsidTr="004E4630">
        <w:tc>
          <w:tcPr>
            <w:tcW w:w="2518" w:type="dxa"/>
            <w:tcBorders>
              <w:top w:val="single" w:sz="12" w:space="0" w:color="auto"/>
              <w:bottom w:val="nil"/>
            </w:tcBorders>
          </w:tcPr>
          <w:p w14:paraId="43E1C625"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b/>
                <w:bCs/>
                <w:vertAlign w:val="superscript"/>
              </w:rPr>
              <w:t>1</w:t>
            </w:r>
            <w:r w:rsidRPr="00E73B3C">
              <w:rPr>
                <w:rFonts w:ascii="Times New Roman" w:hAnsi="Times New Roman" w:cs="Times New Roman"/>
                <w:b/>
                <w:bCs/>
              </w:rPr>
              <w:t>FEV</w:t>
            </w:r>
            <w:r w:rsidRPr="00E73B3C">
              <w:rPr>
                <w:rFonts w:ascii="Times New Roman" w:hAnsi="Times New Roman" w:cs="Times New Roman"/>
                <w:b/>
                <w:bCs/>
                <w:vertAlign w:val="subscript"/>
              </w:rPr>
              <w:t>1</w:t>
            </w:r>
            <w:r w:rsidRPr="00E73B3C">
              <w:rPr>
                <w:rFonts w:ascii="Times New Roman" w:hAnsi="Times New Roman" w:cs="Times New Roman"/>
                <w:b/>
                <w:bCs/>
              </w:rPr>
              <w:t xml:space="preserve"> at Initial Exam</w:t>
            </w:r>
          </w:p>
        </w:tc>
        <w:tc>
          <w:tcPr>
            <w:tcW w:w="1701" w:type="dxa"/>
            <w:tcBorders>
              <w:top w:val="single" w:sz="12" w:space="0" w:color="auto"/>
              <w:left w:val="nil"/>
              <w:bottom w:val="nil"/>
              <w:right w:val="nil"/>
            </w:tcBorders>
            <w:shd w:val="clear" w:color="auto" w:fill="auto"/>
            <w:vAlign w:val="bottom"/>
          </w:tcPr>
          <w:p w14:paraId="477B61AB" w14:textId="77777777" w:rsidR="005D69AE" w:rsidRPr="00E73B3C" w:rsidRDefault="005D69AE" w:rsidP="00D906FC">
            <w:pPr>
              <w:jc w:val="center"/>
              <w:rPr>
                <w:rFonts w:ascii="Times New Roman" w:hAnsi="Times New Roman" w:cs="Times New Roman"/>
                <w:color w:val="000000"/>
              </w:rPr>
            </w:pPr>
            <w:r w:rsidRPr="00E73B3C">
              <w:rPr>
                <w:rFonts w:ascii="Times New Roman" w:hAnsi="Times New Roman" w:cs="Times New Roman"/>
                <w:color w:val="000000"/>
              </w:rPr>
              <w:t>449.1</w:t>
            </w:r>
          </w:p>
        </w:tc>
        <w:tc>
          <w:tcPr>
            <w:tcW w:w="1843" w:type="dxa"/>
            <w:tcBorders>
              <w:top w:val="single" w:sz="12" w:space="0" w:color="auto"/>
              <w:left w:val="nil"/>
              <w:bottom w:val="nil"/>
              <w:right w:val="nil"/>
            </w:tcBorders>
            <w:shd w:val="clear" w:color="auto" w:fill="auto"/>
            <w:vAlign w:val="bottom"/>
          </w:tcPr>
          <w:p w14:paraId="635EA9FF"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444.3, 457.5</w:t>
            </w:r>
          </w:p>
        </w:tc>
        <w:tc>
          <w:tcPr>
            <w:tcW w:w="1701" w:type="dxa"/>
            <w:tcBorders>
              <w:top w:val="single" w:sz="12" w:space="0" w:color="auto"/>
              <w:left w:val="nil"/>
              <w:bottom w:val="nil"/>
              <w:right w:val="nil"/>
            </w:tcBorders>
            <w:shd w:val="clear" w:color="auto" w:fill="auto"/>
            <w:vAlign w:val="bottom"/>
          </w:tcPr>
          <w:p w14:paraId="41AC836A" w14:textId="77777777" w:rsidR="005D69AE" w:rsidRPr="00E73B3C" w:rsidRDefault="005D69AE" w:rsidP="00D906FC">
            <w:pPr>
              <w:jc w:val="center"/>
              <w:rPr>
                <w:rFonts w:ascii="Times New Roman" w:hAnsi="Times New Roman" w:cs="Times New Roman"/>
                <w:color w:val="000000"/>
              </w:rPr>
            </w:pPr>
            <w:r w:rsidRPr="00E73B3C">
              <w:rPr>
                <w:rFonts w:ascii="Times New Roman" w:hAnsi="Times New Roman" w:cs="Times New Roman"/>
                <w:color w:val="000000"/>
              </w:rPr>
              <w:t>124.1</w:t>
            </w:r>
          </w:p>
        </w:tc>
        <w:tc>
          <w:tcPr>
            <w:tcW w:w="2268" w:type="dxa"/>
            <w:tcBorders>
              <w:top w:val="single" w:sz="12" w:space="0" w:color="auto"/>
              <w:left w:val="nil"/>
              <w:bottom w:val="nil"/>
              <w:right w:val="nil"/>
            </w:tcBorders>
            <w:shd w:val="clear" w:color="auto" w:fill="auto"/>
            <w:vAlign w:val="bottom"/>
          </w:tcPr>
          <w:p w14:paraId="123A42F1" w14:textId="77777777" w:rsidR="005D69AE" w:rsidRPr="00E73B3C" w:rsidRDefault="005D69AE" w:rsidP="00D906FC">
            <w:pPr>
              <w:jc w:val="center"/>
              <w:rPr>
                <w:rFonts w:ascii="Times New Roman" w:hAnsi="Times New Roman" w:cs="Times New Roman"/>
                <w:color w:val="000000"/>
              </w:rPr>
            </w:pPr>
            <w:r w:rsidRPr="00E73B3C">
              <w:rPr>
                <w:rFonts w:ascii="Times New Roman" w:hAnsi="Times New Roman" w:cs="Times New Roman"/>
                <w:color w:val="000000"/>
              </w:rPr>
              <w:t>121.1, 125.7</w:t>
            </w:r>
          </w:p>
        </w:tc>
      </w:tr>
      <w:tr w:rsidR="005D69AE" w:rsidRPr="00E73B3C" w14:paraId="0F888C8D" w14:textId="77777777" w:rsidTr="004E4630">
        <w:tc>
          <w:tcPr>
            <w:tcW w:w="2518" w:type="dxa"/>
            <w:tcBorders>
              <w:top w:val="nil"/>
              <w:bottom w:val="nil"/>
            </w:tcBorders>
          </w:tcPr>
          <w:p w14:paraId="4B531CB2" w14:textId="77777777" w:rsidR="005D69AE" w:rsidRPr="00E73B3C" w:rsidRDefault="005D69AE" w:rsidP="00D906FC">
            <w:pPr>
              <w:rPr>
                <w:rFonts w:ascii="Times New Roman" w:hAnsi="Times New Roman" w:cs="Times New Roman"/>
              </w:rPr>
            </w:pPr>
            <w:r w:rsidRPr="00E73B3C">
              <w:rPr>
                <w:rFonts w:ascii="Times New Roman" w:hAnsi="Times New Roman" w:cs="Times New Roman"/>
                <w:b/>
                <w:bCs/>
              </w:rPr>
              <w:t>Age at Initial Exam</w:t>
            </w:r>
          </w:p>
        </w:tc>
        <w:tc>
          <w:tcPr>
            <w:tcW w:w="1701" w:type="dxa"/>
            <w:tcBorders>
              <w:top w:val="nil"/>
              <w:left w:val="nil"/>
              <w:bottom w:val="nil"/>
              <w:right w:val="nil"/>
            </w:tcBorders>
            <w:shd w:val="clear" w:color="auto" w:fill="auto"/>
            <w:vAlign w:val="bottom"/>
          </w:tcPr>
          <w:p w14:paraId="4E80C7EF"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75.0</w:t>
            </w:r>
          </w:p>
        </w:tc>
        <w:tc>
          <w:tcPr>
            <w:tcW w:w="1843" w:type="dxa"/>
            <w:tcBorders>
              <w:top w:val="nil"/>
              <w:left w:val="nil"/>
              <w:bottom w:val="nil"/>
              <w:right w:val="nil"/>
            </w:tcBorders>
            <w:shd w:val="clear" w:color="auto" w:fill="auto"/>
            <w:vAlign w:val="bottom"/>
          </w:tcPr>
          <w:p w14:paraId="3D82EB8C"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72.1, 76.9</w:t>
            </w:r>
          </w:p>
        </w:tc>
        <w:tc>
          <w:tcPr>
            <w:tcW w:w="1701" w:type="dxa"/>
            <w:tcBorders>
              <w:top w:val="nil"/>
              <w:left w:val="nil"/>
              <w:bottom w:val="nil"/>
              <w:right w:val="nil"/>
            </w:tcBorders>
            <w:shd w:val="clear" w:color="auto" w:fill="auto"/>
            <w:vAlign w:val="bottom"/>
          </w:tcPr>
          <w:p w14:paraId="62933DE3"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33.3</w:t>
            </w:r>
          </w:p>
        </w:tc>
        <w:tc>
          <w:tcPr>
            <w:tcW w:w="2268" w:type="dxa"/>
            <w:tcBorders>
              <w:top w:val="nil"/>
              <w:left w:val="nil"/>
              <w:bottom w:val="nil"/>
              <w:right w:val="nil"/>
            </w:tcBorders>
            <w:shd w:val="clear" w:color="auto" w:fill="auto"/>
            <w:vAlign w:val="bottom"/>
          </w:tcPr>
          <w:p w14:paraId="45BA1A1C"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31.9, 34.5</w:t>
            </w:r>
          </w:p>
        </w:tc>
      </w:tr>
      <w:tr w:rsidR="005D69AE" w:rsidRPr="00E73B3C" w14:paraId="145F384A" w14:textId="77777777" w:rsidTr="004E4630">
        <w:tc>
          <w:tcPr>
            <w:tcW w:w="2518" w:type="dxa"/>
            <w:tcBorders>
              <w:top w:val="nil"/>
              <w:bottom w:val="nil"/>
            </w:tcBorders>
          </w:tcPr>
          <w:p w14:paraId="0484B1AD" w14:textId="77777777" w:rsidR="005D69AE" w:rsidRPr="00E73B3C" w:rsidRDefault="005D69AE" w:rsidP="00D906FC">
            <w:pPr>
              <w:rPr>
                <w:rFonts w:ascii="Times New Roman" w:hAnsi="Times New Roman" w:cs="Times New Roman"/>
              </w:rPr>
            </w:pPr>
            <w:r w:rsidRPr="00E73B3C">
              <w:rPr>
                <w:rFonts w:ascii="Times New Roman" w:hAnsi="Times New Roman" w:cs="Times New Roman"/>
                <w:b/>
                <w:bCs/>
              </w:rPr>
              <w:t>Age at Hire</w:t>
            </w:r>
          </w:p>
        </w:tc>
        <w:tc>
          <w:tcPr>
            <w:tcW w:w="1701" w:type="dxa"/>
            <w:tcBorders>
              <w:top w:val="nil"/>
              <w:left w:val="nil"/>
              <w:bottom w:val="nil"/>
              <w:right w:val="nil"/>
            </w:tcBorders>
            <w:shd w:val="clear" w:color="auto" w:fill="auto"/>
            <w:vAlign w:val="bottom"/>
          </w:tcPr>
          <w:p w14:paraId="71A0F304"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58.1</w:t>
            </w:r>
          </w:p>
        </w:tc>
        <w:tc>
          <w:tcPr>
            <w:tcW w:w="1843" w:type="dxa"/>
            <w:tcBorders>
              <w:top w:val="nil"/>
              <w:left w:val="nil"/>
              <w:bottom w:val="nil"/>
              <w:right w:val="nil"/>
            </w:tcBorders>
            <w:shd w:val="clear" w:color="auto" w:fill="auto"/>
            <w:vAlign w:val="bottom"/>
          </w:tcPr>
          <w:p w14:paraId="4697D0FF"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57.0, 59.9</w:t>
            </w:r>
          </w:p>
        </w:tc>
        <w:tc>
          <w:tcPr>
            <w:tcW w:w="1701" w:type="dxa"/>
            <w:tcBorders>
              <w:top w:val="nil"/>
              <w:left w:val="nil"/>
              <w:bottom w:val="nil"/>
              <w:right w:val="nil"/>
            </w:tcBorders>
            <w:shd w:val="clear" w:color="auto" w:fill="auto"/>
            <w:vAlign w:val="bottom"/>
          </w:tcPr>
          <w:p w14:paraId="493999E2"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28.5</w:t>
            </w:r>
          </w:p>
        </w:tc>
        <w:tc>
          <w:tcPr>
            <w:tcW w:w="2268" w:type="dxa"/>
            <w:tcBorders>
              <w:top w:val="nil"/>
              <w:left w:val="nil"/>
              <w:bottom w:val="nil"/>
              <w:right w:val="nil"/>
            </w:tcBorders>
            <w:shd w:val="clear" w:color="auto" w:fill="auto"/>
            <w:vAlign w:val="bottom"/>
          </w:tcPr>
          <w:p w14:paraId="41D1455F"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27.6, 29.6</w:t>
            </w:r>
          </w:p>
        </w:tc>
      </w:tr>
      <w:tr w:rsidR="005D69AE" w:rsidRPr="00E73B3C" w14:paraId="4B2AA2F1" w14:textId="77777777" w:rsidTr="004E4630">
        <w:tc>
          <w:tcPr>
            <w:tcW w:w="2518" w:type="dxa"/>
            <w:tcBorders>
              <w:top w:val="nil"/>
              <w:bottom w:val="nil"/>
            </w:tcBorders>
          </w:tcPr>
          <w:p w14:paraId="23FF1C24" w14:textId="77777777" w:rsidR="005D69AE" w:rsidRPr="00E73B3C" w:rsidRDefault="005D69AE" w:rsidP="00D906FC">
            <w:pPr>
              <w:rPr>
                <w:rFonts w:ascii="Times New Roman" w:hAnsi="Times New Roman" w:cs="Times New Roman"/>
              </w:rPr>
            </w:pPr>
            <w:r w:rsidRPr="00E73B3C">
              <w:rPr>
                <w:rFonts w:ascii="Times New Roman" w:hAnsi="Times New Roman" w:cs="Times New Roman"/>
                <w:b/>
                <w:bCs/>
              </w:rPr>
              <w:t>Sex</w:t>
            </w:r>
          </w:p>
        </w:tc>
        <w:tc>
          <w:tcPr>
            <w:tcW w:w="1701" w:type="dxa"/>
            <w:tcBorders>
              <w:top w:val="nil"/>
              <w:bottom w:val="nil"/>
            </w:tcBorders>
            <w:vAlign w:val="center"/>
          </w:tcPr>
          <w:p w14:paraId="0CE75FD5" w14:textId="77777777" w:rsidR="005D69AE" w:rsidRPr="00E73B3C" w:rsidRDefault="005D69AE" w:rsidP="00D906FC">
            <w:pPr>
              <w:jc w:val="center"/>
              <w:rPr>
                <w:rFonts w:ascii="Times New Roman" w:hAnsi="Times New Roman" w:cs="Times New Roman"/>
              </w:rPr>
            </w:pPr>
          </w:p>
        </w:tc>
        <w:tc>
          <w:tcPr>
            <w:tcW w:w="1843" w:type="dxa"/>
            <w:tcBorders>
              <w:top w:val="nil"/>
              <w:bottom w:val="nil"/>
            </w:tcBorders>
            <w:vAlign w:val="center"/>
          </w:tcPr>
          <w:p w14:paraId="23541E2F" w14:textId="77777777" w:rsidR="005D69AE" w:rsidRPr="00E73B3C" w:rsidRDefault="005D69AE" w:rsidP="00D906FC">
            <w:pPr>
              <w:jc w:val="center"/>
              <w:rPr>
                <w:rFonts w:ascii="Times New Roman" w:hAnsi="Times New Roman" w:cs="Times New Roman"/>
              </w:rPr>
            </w:pPr>
          </w:p>
        </w:tc>
        <w:tc>
          <w:tcPr>
            <w:tcW w:w="1701" w:type="dxa"/>
            <w:tcBorders>
              <w:top w:val="nil"/>
              <w:bottom w:val="nil"/>
            </w:tcBorders>
            <w:vAlign w:val="center"/>
          </w:tcPr>
          <w:p w14:paraId="6D16C691" w14:textId="77777777" w:rsidR="005D69AE" w:rsidRPr="00E73B3C" w:rsidRDefault="005D69AE" w:rsidP="00D906FC">
            <w:pPr>
              <w:jc w:val="center"/>
              <w:rPr>
                <w:rFonts w:ascii="Times New Roman" w:hAnsi="Times New Roman" w:cs="Times New Roman"/>
              </w:rPr>
            </w:pPr>
          </w:p>
        </w:tc>
        <w:tc>
          <w:tcPr>
            <w:tcW w:w="2268" w:type="dxa"/>
            <w:tcBorders>
              <w:top w:val="nil"/>
              <w:bottom w:val="nil"/>
            </w:tcBorders>
            <w:vAlign w:val="center"/>
          </w:tcPr>
          <w:p w14:paraId="1DCC8C2F" w14:textId="77777777" w:rsidR="005D69AE" w:rsidRPr="00E73B3C" w:rsidRDefault="005D69AE" w:rsidP="00D906FC">
            <w:pPr>
              <w:jc w:val="center"/>
              <w:rPr>
                <w:rFonts w:ascii="Times New Roman" w:hAnsi="Times New Roman" w:cs="Times New Roman"/>
              </w:rPr>
            </w:pPr>
          </w:p>
        </w:tc>
      </w:tr>
      <w:tr w:rsidR="005D69AE" w:rsidRPr="00E73B3C" w14:paraId="20E3C151" w14:textId="77777777" w:rsidTr="004E4630">
        <w:tc>
          <w:tcPr>
            <w:tcW w:w="2518" w:type="dxa"/>
            <w:tcBorders>
              <w:top w:val="nil"/>
              <w:bottom w:val="nil"/>
            </w:tcBorders>
          </w:tcPr>
          <w:p w14:paraId="3DB9D669"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Male</w:t>
            </w:r>
          </w:p>
        </w:tc>
        <w:tc>
          <w:tcPr>
            <w:tcW w:w="1701" w:type="dxa"/>
            <w:tcBorders>
              <w:top w:val="nil"/>
              <w:left w:val="nil"/>
              <w:bottom w:val="nil"/>
              <w:right w:val="nil"/>
            </w:tcBorders>
            <w:shd w:val="clear" w:color="auto" w:fill="auto"/>
            <w:vAlign w:val="bottom"/>
          </w:tcPr>
          <w:p w14:paraId="1D635256"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47.71</w:t>
            </w:r>
          </w:p>
        </w:tc>
        <w:tc>
          <w:tcPr>
            <w:tcW w:w="1843" w:type="dxa"/>
            <w:tcBorders>
              <w:top w:val="nil"/>
              <w:left w:val="nil"/>
              <w:bottom w:val="nil"/>
              <w:right w:val="nil"/>
            </w:tcBorders>
            <w:shd w:val="clear" w:color="auto" w:fill="auto"/>
            <w:vAlign w:val="bottom"/>
          </w:tcPr>
          <w:p w14:paraId="065A7F11"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45.7, 53.1</w:t>
            </w:r>
          </w:p>
        </w:tc>
        <w:tc>
          <w:tcPr>
            <w:tcW w:w="1701" w:type="dxa"/>
            <w:tcBorders>
              <w:top w:val="nil"/>
              <w:left w:val="nil"/>
              <w:bottom w:val="nil"/>
              <w:right w:val="nil"/>
            </w:tcBorders>
            <w:shd w:val="clear" w:color="auto" w:fill="auto"/>
            <w:vAlign w:val="bottom"/>
          </w:tcPr>
          <w:p w14:paraId="58C97023"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12.7</w:t>
            </w:r>
          </w:p>
        </w:tc>
        <w:tc>
          <w:tcPr>
            <w:tcW w:w="2268" w:type="dxa"/>
            <w:tcBorders>
              <w:top w:val="nil"/>
              <w:left w:val="nil"/>
              <w:bottom w:val="nil"/>
              <w:right w:val="nil"/>
            </w:tcBorders>
            <w:shd w:val="clear" w:color="auto" w:fill="auto"/>
            <w:vAlign w:val="bottom"/>
          </w:tcPr>
          <w:p w14:paraId="42DFDB10"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11.2, 14.6</w:t>
            </w:r>
          </w:p>
        </w:tc>
      </w:tr>
      <w:tr w:rsidR="005D69AE" w:rsidRPr="00E73B3C" w14:paraId="50A7F8C5" w14:textId="77777777" w:rsidTr="004E4630">
        <w:tc>
          <w:tcPr>
            <w:tcW w:w="2518" w:type="dxa"/>
            <w:tcBorders>
              <w:top w:val="nil"/>
              <w:bottom w:val="nil"/>
            </w:tcBorders>
          </w:tcPr>
          <w:p w14:paraId="5C7C055C"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Female</w:t>
            </w:r>
          </w:p>
        </w:tc>
        <w:tc>
          <w:tcPr>
            <w:tcW w:w="7513" w:type="dxa"/>
            <w:gridSpan w:val="4"/>
            <w:tcBorders>
              <w:top w:val="nil"/>
              <w:bottom w:val="nil"/>
            </w:tcBorders>
            <w:vAlign w:val="center"/>
          </w:tcPr>
          <w:p w14:paraId="1CE67876" w14:textId="77777777" w:rsidR="005D69AE" w:rsidRPr="00E73B3C" w:rsidRDefault="005D69AE" w:rsidP="00D906FC">
            <w:pPr>
              <w:rPr>
                <w:rFonts w:ascii="Times New Roman" w:hAnsi="Times New Roman" w:cs="Times New Roman"/>
                <w:i/>
                <w:iCs/>
              </w:rPr>
            </w:pPr>
            <w:r w:rsidRPr="00E73B3C">
              <w:rPr>
                <w:rFonts w:ascii="Times New Roman" w:hAnsi="Times New Roman" w:cs="Times New Roman"/>
                <w:i/>
                <w:iCs/>
              </w:rPr>
              <w:t>Reference</w:t>
            </w:r>
          </w:p>
        </w:tc>
      </w:tr>
      <w:tr w:rsidR="005D69AE" w:rsidRPr="00E73B3C" w14:paraId="216C6444" w14:textId="77777777" w:rsidTr="004E4630">
        <w:tc>
          <w:tcPr>
            <w:tcW w:w="10031" w:type="dxa"/>
            <w:gridSpan w:val="5"/>
            <w:tcBorders>
              <w:top w:val="nil"/>
              <w:bottom w:val="nil"/>
            </w:tcBorders>
            <w:vAlign w:val="center"/>
          </w:tcPr>
          <w:p w14:paraId="56FF765B" w14:textId="77777777" w:rsidR="005D69AE" w:rsidRPr="00E73B3C" w:rsidRDefault="005D69AE" w:rsidP="00D906FC">
            <w:pPr>
              <w:rPr>
                <w:rFonts w:ascii="Times New Roman" w:hAnsi="Times New Roman" w:cs="Times New Roman"/>
              </w:rPr>
            </w:pPr>
            <w:r w:rsidRPr="00E73B3C">
              <w:rPr>
                <w:rFonts w:ascii="Times New Roman" w:hAnsi="Times New Roman" w:cs="Times New Roman"/>
                <w:b/>
                <w:bCs/>
              </w:rPr>
              <w:t>Other Breathing Problems</w:t>
            </w:r>
          </w:p>
        </w:tc>
      </w:tr>
      <w:tr w:rsidR="005D69AE" w:rsidRPr="00E73B3C" w14:paraId="13E29C04" w14:textId="77777777" w:rsidTr="004E4630">
        <w:tc>
          <w:tcPr>
            <w:tcW w:w="2518" w:type="dxa"/>
            <w:tcBorders>
              <w:top w:val="nil"/>
              <w:bottom w:val="nil"/>
            </w:tcBorders>
          </w:tcPr>
          <w:p w14:paraId="564F4B0F"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Yes</w:t>
            </w:r>
          </w:p>
        </w:tc>
        <w:tc>
          <w:tcPr>
            <w:tcW w:w="1701" w:type="dxa"/>
            <w:tcBorders>
              <w:top w:val="nil"/>
              <w:left w:val="nil"/>
              <w:bottom w:val="nil"/>
              <w:right w:val="nil"/>
            </w:tcBorders>
            <w:shd w:val="clear" w:color="auto" w:fill="auto"/>
            <w:vAlign w:val="bottom"/>
          </w:tcPr>
          <w:p w14:paraId="3AFF6DCB"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16.5</w:t>
            </w:r>
          </w:p>
        </w:tc>
        <w:tc>
          <w:tcPr>
            <w:tcW w:w="1843" w:type="dxa"/>
            <w:tcBorders>
              <w:top w:val="nil"/>
              <w:left w:val="nil"/>
              <w:bottom w:val="nil"/>
              <w:right w:val="nil"/>
            </w:tcBorders>
            <w:shd w:val="clear" w:color="auto" w:fill="auto"/>
            <w:vAlign w:val="bottom"/>
          </w:tcPr>
          <w:p w14:paraId="7423DB6F"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14.9, 18.8</w:t>
            </w:r>
          </w:p>
        </w:tc>
        <w:tc>
          <w:tcPr>
            <w:tcW w:w="1701" w:type="dxa"/>
            <w:tcBorders>
              <w:top w:val="nil"/>
              <w:left w:val="nil"/>
              <w:bottom w:val="nil"/>
              <w:right w:val="nil"/>
            </w:tcBorders>
            <w:shd w:val="clear" w:color="auto" w:fill="auto"/>
            <w:vAlign w:val="bottom"/>
          </w:tcPr>
          <w:p w14:paraId="1EA63799"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4.6</w:t>
            </w:r>
          </w:p>
        </w:tc>
        <w:tc>
          <w:tcPr>
            <w:tcW w:w="2268" w:type="dxa"/>
            <w:tcBorders>
              <w:top w:val="nil"/>
              <w:left w:val="nil"/>
              <w:bottom w:val="nil"/>
              <w:right w:val="nil"/>
            </w:tcBorders>
            <w:shd w:val="clear" w:color="auto" w:fill="auto"/>
            <w:vAlign w:val="bottom"/>
          </w:tcPr>
          <w:p w14:paraId="69AFAF3D"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4.0, 5.0</w:t>
            </w:r>
          </w:p>
        </w:tc>
      </w:tr>
      <w:tr w:rsidR="005D69AE" w:rsidRPr="00E73B3C" w14:paraId="22B41E69" w14:textId="77777777" w:rsidTr="004E4630">
        <w:tc>
          <w:tcPr>
            <w:tcW w:w="2518" w:type="dxa"/>
            <w:tcBorders>
              <w:top w:val="nil"/>
              <w:bottom w:val="nil"/>
            </w:tcBorders>
          </w:tcPr>
          <w:p w14:paraId="77880BA8"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No</w:t>
            </w:r>
          </w:p>
        </w:tc>
        <w:tc>
          <w:tcPr>
            <w:tcW w:w="7513" w:type="dxa"/>
            <w:gridSpan w:val="4"/>
            <w:tcBorders>
              <w:top w:val="nil"/>
              <w:bottom w:val="nil"/>
            </w:tcBorders>
            <w:vAlign w:val="center"/>
          </w:tcPr>
          <w:p w14:paraId="393433CD" w14:textId="77777777" w:rsidR="005D69AE" w:rsidRPr="00E73B3C" w:rsidRDefault="005D69AE" w:rsidP="00D906FC">
            <w:pPr>
              <w:rPr>
                <w:rFonts w:ascii="Times New Roman" w:hAnsi="Times New Roman" w:cs="Times New Roman"/>
                <w:i/>
                <w:iCs/>
              </w:rPr>
            </w:pPr>
            <w:r w:rsidRPr="00E73B3C">
              <w:rPr>
                <w:rFonts w:ascii="Times New Roman" w:hAnsi="Times New Roman" w:cs="Times New Roman"/>
                <w:i/>
                <w:iCs/>
              </w:rPr>
              <w:t>Reference</w:t>
            </w:r>
          </w:p>
        </w:tc>
      </w:tr>
      <w:tr w:rsidR="005D69AE" w:rsidRPr="00E73B3C" w14:paraId="7F59DBC3" w14:textId="77777777" w:rsidTr="004E4630">
        <w:tc>
          <w:tcPr>
            <w:tcW w:w="2518" w:type="dxa"/>
            <w:tcBorders>
              <w:top w:val="nil"/>
              <w:bottom w:val="nil"/>
            </w:tcBorders>
          </w:tcPr>
          <w:p w14:paraId="72FF5AF0"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b/>
                <w:bCs/>
              </w:rPr>
              <w:t>Frequent Cough</w:t>
            </w:r>
          </w:p>
        </w:tc>
        <w:tc>
          <w:tcPr>
            <w:tcW w:w="1701" w:type="dxa"/>
            <w:tcBorders>
              <w:top w:val="nil"/>
              <w:bottom w:val="nil"/>
            </w:tcBorders>
            <w:vAlign w:val="center"/>
          </w:tcPr>
          <w:p w14:paraId="49509D40" w14:textId="77777777" w:rsidR="005D69AE" w:rsidRPr="00E73B3C" w:rsidRDefault="005D69AE" w:rsidP="00D906FC">
            <w:pPr>
              <w:jc w:val="center"/>
              <w:rPr>
                <w:rFonts w:ascii="Times New Roman" w:hAnsi="Times New Roman" w:cs="Times New Roman"/>
              </w:rPr>
            </w:pPr>
          </w:p>
        </w:tc>
        <w:tc>
          <w:tcPr>
            <w:tcW w:w="1843" w:type="dxa"/>
            <w:tcBorders>
              <w:top w:val="nil"/>
              <w:bottom w:val="nil"/>
            </w:tcBorders>
            <w:vAlign w:val="center"/>
          </w:tcPr>
          <w:p w14:paraId="34AD8807" w14:textId="77777777" w:rsidR="005D69AE" w:rsidRPr="00E73B3C" w:rsidRDefault="005D69AE" w:rsidP="00D906FC">
            <w:pPr>
              <w:jc w:val="center"/>
              <w:rPr>
                <w:rFonts w:ascii="Times New Roman" w:hAnsi="Times New Roman" w:cs="Times New Roman"/>
              </w:rPr>
            </w:pPr>
          </w:p>
        </w:tc>
        <w:tc>
          <w:tcPr>
            <w:tcW w:w="1701" w:type="dxa"/>
            <w:tcBorders>
              <w:top w:val="nil"/>
              <w:bottom w:val="nil"/>
            </w:tcBorders>
            <w:vAlign w:val="center"/>
          </w:tcPr>
          <w:p w14:paraId="00483DFA" w14:textId="77777777" w:rsidR="005D69AE" w:rsidRPr="00E73B3C" w:rsidRDefault="005D69AE" w:rsidP="00D906FC">
            <w:pPr>
              <w:jc w:val="center"/>
              <w:rPr>
                <w:rFonts w:ascii="Times New Roman" w:hAnsi="Times New Roman" w:cs="Times New Roman"/>
              </w:rPr>
            </w:pPr>
          </w:p>
        </w:tc>
        <w:tc>
          <w:tcPr>
            <w:tcW w:w="2268" w:type="dxa"/>
            <w:tcBorders>
              <w:top w:val="nil"/>
              <w:bottom w:val="nil"/>
            </w:tcBorders>
            <w:vAlign w:val="center"/>
          </w:tcPr>
          <w:p w14:paraId="6E7E5398" w14:textId="77777777" w:rsidR="005D69AE" w:rsidRPr="00E73B3C" w:rsidRDefault="005D69AE" w:rsidP="00D906FC">
            <w:pPr>
              <w:jc w:val="center"/>
              <w:rPr>
                <w:rFonts w:ascii="Times New Roman" w:hAnsi="Times New Roman" w:cs="Times New Roman"/>
              </w:rPr>
            </w:pPr>
          </w:p>
        </w:tc>
      </w:tr>
      <w:tr w:rsidR="005D69AE" w:rsidRPr="00E73B3C" w14:paraId="37932FBD" w14:textId="77777777" w:rsidTr="004E4630">
        <w:tc>
          <w:tcPr>
            <w:tcW w:w="2518" w:type="dxa"/>
            <w:tcBorders>
              <w:top w:val="nil"/>
              <w:bottom w:val="nil"/>
            </w:tcBorders>
          </w:tcPr>
          <w:p w14:paraId="3550C57F"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Yes</w:t>
            </w:r>
          </w:p>
        </w:tc>
        <w:tc>
          <w:tcPr>
            <w:tcW w:w="1701" w:type="dxa"/>
            <w:tcBorders>
              <w:top w:val="nil"/>
              <w:bottom w:val="nil"/>
            </w:tcBorders>
            <w:vAlign w:val="bottom"/>
          </w:tcPr>
          <w:p w14:paraId="76B56423"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12.3</w:t>
            </w:r>
          </w:p>
        </w:tc>
        <w:tc>
          <w:tcPr>
            <w:tcW w:w="1843" w:type="dxa"/>
            <w:tcBorders>
              <w:top w:val="nil"/>
              <w:bottom w:val="nil"/>
            </w:tcBorders>
            <w:vAlign w:val="bottom"/>
          </w:tcPr>
          <w:p w14:paraId="27CF8C1A"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11.2, 13.9</w:t>
            </w:r>
          </w:p>
        </w:tc>
        <w:tc>
          <w:tcPr>
            <w:tcW w:w="1701" w:type="dxa"/>
            <w:tcBorders>
              <w:top w:val="nil"/>
              <w:bottom w:val="nil"/>
            </w:tcBorders>
            <w:vAlign w:val="bottom"/>
          </w:tcPr>
          <w:p w14:paraId="603E7ECF"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4.2</w:t>
            </w:r>
          </w:p>
        </w:tc>
        <w:tc>
          <w:tcPr>
            <w:tcW w:w="2268" w:type="dxa"/>
            <w:tcBorders>
              <w:top w:val="nil"/>
              <w:bottom w:val="nil"/>
            </w:tcBorders>
            <w:vAlign w:val="bottom"/>
          </w:tcPr>
          <w:p w14:paraId="5893C256"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4.0, 4.4</w:t>
            </w:r>
          </w:p>
        </w:tc>
      </w:tr>
      <w:tr w:rsidR="005D69AE" w:rsidRPr="00E73B3C" w14:paraId="0E2E0324" w14:textId="77777777" w:rsidTr="004E4630">
        <w:tc>
          <w:tcPr>
            <w:tcW w:w="2518" w:type="dxa"/>
            <w:tcBorders>
              <w:top w:val="nil"/>
              <w:bottom w:val="nil"/>
            </w:tcBorders>
          </w:tcPr>
          <w:p w14:paraId="249B3EFA"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No</w:t>
            </w:r>
          </w:p>
        </w:tc>
        <w:tc>
          <w:tcPr>
            <w:tcW w:w="7513" w:type="dxa"/>
            <w:gridSpan w:val="4"/>
            <w:tcBorders>
              <w:top w:val="nil"/>
              <w:bottom w:val="nil"/>
            </w:tcBorders>
            <w:vAlign w:val="center"/>
          </w:tcPr>
          <w:p w14:paraId="72CBC413" w14:textId="77777777" w:rsidR="005D69AE" w:rsidRPr="00E73B3C" w:rsidRDefault="005D69AE" w:rsidP="00D906FC">
            <w:pPr>
              <w:rPr>
                <w:rFonts w:ascii="Times New Roman" w:hAnsi="Times New Roman" w:cs="Times New Roman"/>
              </w:rPr>
            </w:pPr>
            <w:r w:rsidRPr="00E73B3C">
              <w:rPr>
                <w:rFonts w:ascii="Times New Roman" w:hAnsi="Times New Roman" w:cs="Times New Roman"/>
                <w:i/>
                <w:iCs/>
              </w:rPr>
              <w:t>Reference</w:t>
            </w:r>
          </w:p>
        </w:tc>
      </w:tr>
      <w:tr w:rsidR="005D69AE" w:rsidRPr="00E73B3C" w14:paraId="594A5B0B" w14:textId="77777777" w:rsidTr="004E4630">
        <w:tc>
          <w:tcPr>
            <w:tcW w:w="2518" w:type="dxa"/>
            <w:tcBorders>
              <w:top w:val="nil"/>
              <w:bottom w:val="nil"/>
            </w:tcBorders>
          </w:tcPr>
          <w:p w14:paraId="163B47D5" w14:textId="77777777" w:rsidR="005D69AE" w:rsidRPr="00E73B3C" w:rsidRDefault="005D69AE" w:rsidP="00D906FC">
            <w:pPr>
              <w:rPr>
                <w:rFonts w:ascii="Times New Roman" w:hAnsi="Times New Roman" w:cs="Times New Roman"/>
              </w:rPr>
            </w:pPr>
            <w:r w:rsidRPr="00E73B3C">
              <w:rPr>
                <w:rFonts w:ascii="Times New Roman" w:hAnsi="Times New Roman" w:cs="Times New Roman"/>
                <w:b/>
                <w:bCs/>
              </w:rPr>
              <w:t>Asthma</w:t>
            </w:r>
          </w:p>
        </w:tc>
        <w:tc>
          <w:tcPr>
            <w:tcW w:w="1701" w:type="dxa"/>
            <w:tcBorders>
              <w:top w:val="nil"/>
              <w:bottom w:val="nil"/>
            </w:tcBorders>
            <w:vAlign w:val="center"/>
          </w:tcPr>
          <w:p w14:paraId="7B3F825A" w14:textId="77777777" w:rsidR="005D69AE" w:rsidRPr="00E73B3C" w:rsidRDefault="005D69AE" w:rsidP="00D906FC">
            <w:pPr>
              <w:jc w:val="center"/>
              <w:rPr>
                <w:rFonts w:ascii="Times New Roman" w:hAnsi="Times New Roman" w:cs="Times New Roman"/>
                <w:i/>
                <w:iCs/>
              </w:rPr>
            </w:pPr>
          </w:p>
        </w:tc>
        <w:tc>
          <w:tcPr>
            <w:tcW w:w="1843" w:type="dxa"/>
            <w:tcBorders>
              <w:top w:val="nil"/>
              <w:bottom w:val="nil"/>
            </w:tcBorders>
            <w:vAlign w:val="center"/>
          </w:tcPr>
          <w:p w14:paraId="4E78BDF1" w14:textId="77777777" w:rsidR="005D69AE" w:rsidRPr="00E73B3C" w:rsidRDefault="005D69AE" w:rsidP="00D906FC">
            <w:pPr>
              <w:jc w:val="center"/>
              <w:rPr>
                <w:rFonts w:ascii="Times New Roman" w:hAnsi="Times New Roman" w:cs="Times New Roman"/>
              </w:rPr>
            </w:pPr>
          </w:p>
        </w:tc>
        <w:tc>
          <w:tcPr>
            <w:tcW w:w="1701" w:type="dxa"/>
            <w:tcBorders>
              <w:top w:val="nil"/>
              <w:bottom w:val="nil"/>
            </w:tcBorders>
            <w:vAlign w:val="center"/>
          </w:tcPr>
          <w:p w14:paraId="091B9B26" w14:textId="77777777" w:rsidR="005D69AE" w:rsidRPr="00E73B3C" w:rsidRDefault="005D69AE" w:rsidP="00D906FC">
            <w:pPr>
              <w:jc w:val="center"/>
              <w:rPr>
                <w:rFonts w:ascii="Times New Roman" w:hAnsi="Times New Roman" w:cs="Times New Roman"/>
              </w:rPr>
            </w:pPr>
          </w:p>
        </w:tc>
        <w:tc>
          <w:tcPr>
            <w:tcW w:w="2268" w:type="dxa"/>
            <w:tcBorders>
              <w:top w:val="nil"/>
              <w:bottom w:val="nil"/>
            </w:tcBorders>
            <w:vAlign w:val="center"/>
          </w:tcPr>
          <w:p w14:paraId="031BB70F" w14:textId="77777777" w:rsidR="005D69AE" w:rsidRPr="00E73B3C" w:rsidRDefault="005D69AE" w:rsidP="00D906FC">
            <w:pPr>
              <w:jc w:val="center"/>
              <w:rPr>
                <w:rFonts w:ascii="Times New Roman" w:hAnsi="Times New Roman" w:cs="Times New Roman"/>
              </w:rPr>
            </w:pPr>
          </w:p>
        </w:tc>
      </w:tr>
      <w:tr w:rsidR="005D69AE" w:rsidRPr="00E73B3C" w14:paraId="0E44DDA5" w14:textId="77777777" w:rsidTr="004E4630">
        <w:tc>
          <w:tcPr>
            <w:tcW w:w="2518" w:type="dxa"/>
            <w:tcBorders>
              <w:top w:val="nil"/>
              <w:bottom w:val="nil"/>
            </w:tcBorders>
          </w:tcPr>
          <w:p w14:paraId="14938F5D"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Yes</w:t>
            </w:r>
          </w:p>
        </w:tc>
        <w:tc>
          <w:tcPr>
            <w:tcW w:w="1701" w:type="dxa"/>
            <w:tcBorders>
              <w:top w:val="nil"/>
              <w:bottom w:val="nil"/>
            </w:tcBorders>
            <w:vAlign w:val="bottom"/>
          </w:tcPr>
          <w:p w14:paraId="7BEFAF82" w14:textId="77777777" w:rsidR="005D69AE" w:rsidRPr="00E73B3C" w:rsidRDefault="005D69AE" w:rsidP="00D906FC">
            <w:pPr>
              <w:jc w:val="center"/>
              <w:rPr>
                <w:rFonts w:ascii="Times New Roman" w:hAnsi="Times New Roman" w:cs="Times New Roman"/>
                <w:i/>
                <w:iCs/>
              </w:rPr>
            </w:pPr>
            <w:r w:rsidRPr="00E73B3C">
              <w:rPr>
                <w:rFonts w:ascii="Times New Roman" w:hAnsi="Times New Roman" w:cs="Times New Roman"/>
                <w:color w:val="000000"/>
              </w:rPr>
              <w:t>11.6</w:t>
            </w:r>
          </w:p>
        </w:tc>
        <w:tc>
          <w:tcPr>
            <w:tcW w:w="1843" w:type="dxa"/>
            <w:tcBorders>
              <w:top w:val="nil"/>
              <w:bottom w:val="nil"/>
            </w:tcBorders>
            <w:vAlign w:val="bottom"/>
          </w:tcPr>
          <w:p w14:paraId="352D0E6E"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9.6, 12.7</w:t>
            </w:r>
          </w:p>
        </w:tc>
        <w:tc>
          <w:tcPr>
            <w:tcW w:w="1701" w:type="dxa"/>
            <w:tcBorders>
              <w:top w:val="nil"/>
              <w:bottom w:val="nil"/>
            </w:tcBorders>
            <w:vAlign w:val="bottom"/>
          </w:tcPr>
          <w:p w14:paraId="1C8F63B6"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3.4</w:t>
            </w:r>
          </w:p>
        </w:tc>
        <w:tc>
          <w:tcPr>
            <w:tcW w:w="2268" w:type="dxa"/>
            <w:tcBorders>
              <w:top w:val="nil"/>
              <w:bottom w:val="nil"/>
            </w:tcBorders>
            <w:vAlign w:val="bottom"/>
          </w:tcPr>
          <w:p w14:paraId="43F0F71D"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3.1, 3.7</w:t>
            </w:r>
          </w:p>
        </w:tc>
      </w:tr>
      <w:tr w:rsidR="005D69AE" w:rsidRPr="00E73B3C" w14:paraId="687F13E5" w14:textId="77777777" w:rsidTr="004E4630">
        <w:tc>
          <w:tcPr>
            <w:tcW w:w="2518" w:type="dxa"/>
            <w:tcBorders>
              <w:top w:val="nil"/>
              <w:bottom w:val="nil"/>
            </w:tcBorders>
          </w:tcPr>
          <w:p w14:paraId="02F7A8B6"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No</w:t>
            </w:r>
          </w:p>
        </w:tc>
        <w:tc>
          <w:tcPr>
            <w:tcW w:w="7513" w:type="dxa"/>
            <w:gridSpan w:val="4"/>
            <w:tcBorders>
              <w:top w:val="nil"/>
              <w:bottom w:val="nil"/>
            </w:tcBorders>
            <w:vAlign w:val="center"/>
          </w:tcPr>
          <w:p w14:paraId="720FF035" w14:textId="77777777" w:rsidR="005D69AE" w:rsidRPr="00E73B3C" w:rsidRDefault="005D69AE" w:rsidP="00D906FC">
            <w:pPr>
              <w:rPr>
                <w:rFonts w:ascii="Times New Roman" w:hAnsi="Times New Roman" w:cs="Times New Roman"/>
              </w:rPr>
            </w:pPr>
            <w:r w:rsidRPr="00E73B3C">
              <w:rPr>
                <w:rFonts w:ascii="Times New Roman" w:hAnsi="Times New Roman" w:cs="Times New Roman"/>
                <w:i/>
                <w:iCs/>
              </w:rPr>
              <w:t>Reference</w:t>
            </w:r>
          </w:p>
        </w:tc>
      </w:tr>
      <w:tr w:rsidR="005D69AE" w:rsidRPr="00E73B3C" w14:paraId="0850ACB3" w14:textId="77777777" w:rsidTr="004E4630">
        <w:tc>
          <w:tcPr>
            <w:tcW w:w="10031" w:type="dxa"/>
            <w:gridSpan w:val="5"/>
            <w:tcBorders>
              <w:top w:val="nil"/>
              <w:bottom w:val="nil"/>
            </w:tcBorders>
            <w:vAlign w:val="center"/>
          </w:tcPr>
          <w:p w14:paraId="6E2B25A9" w14:textId="77777777" w:rsidR="005D69AE" w:rsidRPr="00E73B3C" w:rsidRDefault="005D69AE" w:rsidP="00D906FC">
            <w:pPr>
              <w:rPr>
                <w:rFonts w:ascii="Times New Roman" w:hAnsi="Times New Roman" w:cs="Times New Roman"/>
              </w:rPr>
            </w:pPr>
            <w:r w:rsidRPr="00E73B3C">
              <w:rPr>
                <w:rFonts w:ascii="Times New Roman" w:hAnsi="Times New Roman" w:cs="Times New Roman"/>
                <w:b/>
                <w:bCs/>
              </w:rPr>
              <w:t>Shortness of Breath</w:t>
            </w:r>
          </w:p>
        </w:tc>
      </w:tr>
      <w:tr w:rsidR="005D69AE" w:rsidRPr="00E73B3C" w14:paraId="4C1419EA" w14:textId="77777777" w:rsidTr="004E4630">
        <w:tc>
          <w:tcPr>
            <w:tcW w:w="2518" w:type="dxa"/>
            <w:tcBorders>
              <w:top w:val="nil"/>
              <w:bottom w:val="nil"/>
            </w:tcBorders>
          </w:tcPr>
          <w:p w14:paraId="19FDFC83"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Yes</w:t>
            </w:r>
          </w:p>
        </w:tc>
        <w:tc>
          <w:tcPr>
            <w:tcW w:w="1701" w:type="dxa"/>
            <w:tcBorders>
              <w:top w:val="nil"/>
              <w:left w:val="nil"/>
              <w:bottom w:val="nil"/>
              <w:right w:val="nil"/>
            </w:tcBorders>
            <w:shd w:val="clear" w:color="auto" w:fill="auto"/>
            <w:vAlign w:val="bottom"/>
          </w:tcPr>
          <w:p w14:paraId="3FCCEAE2"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11.5</w:t>
            </w:r>
          </w:p>
        </w:tc>
        <w:tc>
          <w:tcPr>
            <w:tcW w:w="1843" w:type="dxa"/>
            <w:tcBorders>
              <w:top w:val="nil"/>
              <w:left w:val="nil"/>
              <w:bottom w:val="nil"/>
              <w:right w:val="nil"/>
            </w:tcBorders>
            <w:shd w:val="clear" w:color="auto" w:fill="auto"/>
            <w:vAlign w:val="bottom"/>
          </w:tcPr>
          <w:p w14:paraId="335BA9E8"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10.8, 12.9</w:t>
            </w:r>
          </w:p>
        </w:tc>
        <w:tc>
          <w:tcPr>
            <w:tcW w:w="1701" w:type="dxa"/>
            <w:tcBorders>
              <w:top w:val="nil"/>
              <w:left w:val="nil"/>
              <w:bottom w:val="nil"/>
              <w:right w:val="nil"/>
            </w:tcBorders>
            <w:shd w:val="clear" w:color="auto" w:fill="auto"/>
            <w:vAlign w:val="bottom"/>
          </w:tcPr>
          <w:p w14:paraId="5E91FFE6"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4.7</w:t>
            </w:r>
          </w:p>
        </w:tc>
        <w:tc>
          <w:tcPr>
            <w:tcW w:w="2268" w:type="dxa"/>
            <w:tcBorders>
              <w:top w:val="nil"/>
              <w:left w:val="nil"/>
              <w:bottom w:val="nil"/>
              <w:right w:val="nil"/>
            </w:tcBorders>
            <w:shd w:val="clear" w:color="auto" w:fill="auto"/>
            <w:vAlign w:val="bottom"/>
          </w:tcPr>
          <w:p w14:paraId="2212F37F"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4.4, 5.1</w:t>
            </w:r>
          </w:p>
        </w:tc>
      </w:tr>
      <w:tr w:rsidR="005D69AE" w:rsidRPr="00E73B3C" w14:paraId="79B85FB9" w14:textId="77777777" w:rsidTr="004E4630">
        <w:tc>
          <w:tcPr>
            <w:tcW w:w="2518" w:type="dxa"/>
            <w:tcBorders>
              <w:top w:val="nil"/>
              <w:bottom w:val="nil"/>
            </w:tcBorders>
          </w:tcPr>
          <w:p w14:paraId="3A330A7D"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No</w:t>
            </w:r>
          </w:p>
        </w:tc>
        <w:tc>
          <w:tcPr>
            <w:tcW w:w="7513" w:type="dxa"/>
            <w:gridSpan w:val="4"/>
            <w:tcBorders>
              <w:top w:val="nil"/>
              <w:bottom w:val="nil"/>
            </w:tcBorders>
            <w:vAlign w:val="center"/>
          </w:tcPr>
          <w:p w14:paraId="53262724" w14:textId="77777777" w:rsidR="005D69AE" w:rsidRPr="00E73B3C" w:rsidRDefault="005D69AE" w:rsidP="00D906FC">
            <w:pPr>
              <w:rPr>
                <w:rFonts w:ascii="Times New Roman" w:hAnsi="Times New Roman" w:cs="Times New Roman"/>
                <w:i/>
                <w:iCs/>
              </w:rPr>
            </w:pPr>
            <w:r w:rsidRPr="00E73B3C">
              <w:rPr>
                <w:rFonts w:ascii="Times New Roman" w:hAnsi="Times New Roman" w:cs="Times New Roman"/>
                <w:i/>
                <w:iCs/>
              </w:rPr>
              <w:t>Reference</w:t>
            </w:r>
          </w:p>
        </w:tc>
      </w:tr>
      <w:tr w:rsidR="005D69AE" w:rsidRPr="00E73B3C" w14:paraId="5A36E9ED" w14:textId="77777777" w:rsidTr="004E4630">
        <w:tc>
          <w:tcPr>
            <w:tcW w:w="2518" w:type="dxa"/>
            <w:tcBorders>
              <w:top w:val="nil"/>
              <w:bottom w:val="nil"/>
            </w:tcBorders>
          </w:tcPr>
          <w:p w14:paraId="313D3FA2" w14:textId="77777777" w:rsidR="005D69AE" w:rsidRPr="00E73B3C" w:rsidRDefault="005D69AE" w:rsidP="00D906FC">
            <w:pPr>
              <w:rPr>
                <w:rFonts w:ascii="Times New Roman" w:hAnsi="Times New Roman" w:cs="Times New Roman"/>
              </w:rPr>
            </w:pPr>
            <w:r w:rsidRPr="00E73B3C">
              <w:rPr>
                <w:rFonts w:ascii="Times New Roman" w:hAnsi="Times New Roman" w:cs="Times New Roman"/>
                <w:b/>
                <w:bCs/>
              </w:rPr>
              <w:t>Wheezing</w:t>
            </w:r>
          </w:p>
        </w:tc>
        <w:tc>
          <w:tcPr>
            <w:tcW w:w="1701" w:type="dxa"/>
            <w:tcBorders>
              <w:top w:val="nil"/>
              <w:bottom w:val="nil"/>
            </w:tcBorders>
            <w:vAlign w:val="center"/>
          </w:tcPr>
          <w:p w14:paraId="15BEF468" w14:textId="77777777" w:rsidR="005D69AE" w:rsidRPr="00E73B3C" w:rsidRDefault="005D69AE" w:rsidP="00D906FC">
            <w:pPr>
              <w:jc w:val="center"/>
              <w:rPr>
                <w:rFonts w:ascii="Times New Roman" w:hAnsi="Times New Roman" w:cs="Times New Roman"/>
                <w:i/>
                <w:iCs/>
              </w:rPr>
            </w:pPr>
          </w:p>
        </w:tc>
        <w:tc>
          <w:tcPr>
            <w:tcW w:w="1843" w:type="dxa"/>
            <w:tcBorders>
              <w:top w:val="nil"/>
              <w:bottom w:val="nil"/>
            </w:tcBorders>
            <w:vAlign w:val="center"/>
          </w:tcPr>
          <w:p w14:paraId="59B3095B" w14:textId="77777777" w:rsidR="005D69AE" w:rsidRPr="00E73B3C" w:rsidRDefault="005D69AE" w:rsidP="00D906FC">
            <w:pPr>
              <w:jc w:val="center"/>
              <w:rPr>
                <w:rFonts w:ascii="Times New Roman" w:hAnsi="Times New Roman" w:cs="Times New Roman"/>
              </w:rPr>
            </w:pPr>
          </w:p>
        </w:tc>
        <w:tc>
          <w:tcPr>
            <w:tcW w:w="1701" w:type="dxa"/>
            <w:tcBorders>
              <w:top w:val="nil"/>
              <w:bottom w:val="nil"/>
            </w:tcBorders>
            <w:vAlign w:val="center"/>
          </w:tcPr>
          <w:p w14:paraId="447ABE27" w14:textId="77777777" w:rsidR="005D69AE" w:rsidRPr="00E73B3C" w:rsidRDefault="005D69AE" w:rsidP="00D906FC">
            <w:pPr>
              <w:jc w:val="center"/>
              <w:rPr>
                <w:rFonts w:ascii="Times New Roman" w:hAnsi="Times New Roman" w:cs="Times New Roman"/>
              </w:rPr>
            </w:pPr>
          </w:p>
        </w:tc>
        <w:tc>
          <w:tcPr>
            <w:tcW w:w="2268" w:type="dxa"/>
            <w:tcBorders>
              <w:top w:val="nil"/>
              <w:bottom w:val="nil"/>
            </w:tcBorders>
            <w:vAlign w:val="center"/>
          </w:tcPr>
          <w:p w14:paraId="33DDACB2" w14:textId="77777777" w:rsidR="005D69AE" w:rsidRPr="00E73B3C" w:rsidRDefault="005D69AE" w:rsidP="00D906FC">
            <w:pPr>
              <w:jc w:val="center"/>
              <w:rPr>
                <w:rFonts w:ascii="Times New Roman" w:hAnsi="Times New Roman" w:cs="Times New Roman"/>
              </w:rPr>
            </w:pPr>
          </w:p>
        </w:tc>
      </w:tr>
      <w:tr w:rsidR="005D69AE" w:rsidRPr="00E73B3C" w14:paraId="13ACC40E" w14:textId="77777777" w:rsidTr="004E4630">
        <w:tc>
          <w:tcPr>
            <w:tcW w:w="2518" w:type="dxa"/>
            <w:tcBorders>
              <w:top w:val="nil"/>
              <w:bottom w:val="nil"/>
            </w:tcBorders>
          </w:tcPr>
          <w:p w14:paraId="07B90AF5"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Yes</w:t>
            </w:r>
          </w:p>
        </w:tc>
        <w:tc>
          <w:tcPr>
            <w:tcW w:w="1701" w:type="dxa"/>
            <w:tcBorders>
              <w:top w:val="nil"/>
              <w:bottom w:val="nil"/>
            </w:tcBorders>
            <w:vAlign w:val="bottom"/>
          </w:tcPr>
          <w:p w14:paraId="60E61505" w14:textId="77777777" w:rsidR="005D69AE" w:rsidRPr="00E73B3C" w:rsidRDefault="005D69AE" w:rsidP="00D906FC">
            <w:pPr>
              <w:jc w:val="center"/>
              <w:rPr>
                <w:rFonts w:ascii="Times New Roman" w:hAnsi="Times New Roman" w:cs="Times New Roman"/>
                <w:i/>
                <w:iCs/>
              </w:rPr>
            </w:pPr>
            <w:r w:rsidRPr="00E73B3C">
              <w:rPr>
                <w:rFonts w:ascii="Times New Roman" w:hAnsi="Times New Roman" w:cs="Times New Roman"/>
                <w:color w:val="000000"/>
              </w:rPr>
              <w:t>10.0</w:t>
            </w:r>
          </w:p>
        </w:tc>
        <w:tc>
          <w:tcPr>
            <w:tcW w:w="1843" w:type="dxa"/>
            <w:tcBorders>
              <w:top w:val="nil"/>
              <w:bottom w:val="nil"/>
            </w:tcBorders>
            <w:vAlign w:val="bottom"/>
          </w:tcPr>
          <w:p w14:paraId="75C14D9C"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9.0, 11.2</w:t>
            </w:r>
          </w:p>
        </w:tc>
        <w:tc>
          <w:tcPr>
            <w:tcW w:w="1701" w:type="dxa"/>
            <w:tcBorders>
              <w:top w:val="nil"/>
              <w:bottom w:val="nil"/>
            </w:tcBorders>
            <w:vAlign w:val="bottom"/>
          </w:tcPr>
          <w:p w14:paraId="13CB4FFD"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4.0</w:t>
            </w:r>
          </w:p>
        </w:tc>
        <w:tc>
          <w:tcPr>
            <w:tcW w:w="2268" w:type="dxa"/>
            <w:tcBorders>
              <w:top w:val="nil"/>
              <w:bottom w:val="nil"/>
            </w:tcBorders>
            <w:vAlign w:val="bottom"/>
          </w:tcPr>
          <w:p w14:paraId="79C84931"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3.8, 4.4</w:t>
            </w:r>
          </w:p>
        </w:tc>
      </w:tr>
      <w:tr w:rsidR="005D69AE" w:rsidRPr="00E73B3C" w14:paraId="0B51D4E2" w14:textId="77777777" w:rsidTr="004E4630">
        <w:tc>
          <w:tcPr>
            <w:tcW w:w="2518" w:type="dxa"/>
            <w:tcBorders>
              <w:top w:val="nil"/>
              <w:bottom w:val="nil"/>
            </w:tcBorders>
          </w:tcPr>
          <w:p w14:paraId="65EA0C40"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No</w:t>
            </w:r>
          </w:p>
        </w:tc>
        <w:tc>
          <w:tcPr>
            <w:tcW w:w="7513" w:type="dxa"/>
            <w:gridSpan w:val="4"/>
            <w:tcBorders>
              <w:top w:val="nil"/>
              <w:bottom w:val="nil"/>
            </w:tcBorders>
            <w:vAlign w:val="center"/>
          </w:tcPr>
          <w:p w14:paraId="5EE4D1CF" w14:textId="77777777" w:rsidR="005D69AE" w:rsidRPr="00E73B3C" w:rsidRDefault="005D69AE" w:rsidP="00D906FC">
            <w:pPr>
              <w:rPr>
                <w:rFonts w:ascii="Times New Roman" w:hAnsi="Times New Roman" w:cs="Times New Roman"/>
              </w:rPr>
            </w:pPr>
            <w:r w:rsidRPr="00E73B3C">
              <w:rPr>
                <w:rFonts w:ascii="Times New Roman" w:hAnsi="Times New Roman" w:cs="Times New Roman"/>
                <w:i/>
                <w:iCs/>
              </w:rPr>
              <w:t>Reference</w:t>
            </w:r>
          </w:p>
        </w:tc>
      </w:tr>
      <w:tr w:rsidR="005D69AE" w:rsidRPr="00E73B3C" w14:paraId="715AA772" w14:textId="77777777" w:rsidTr="004E4630">
        <w:tc>
          <w:tcPr>
            <w:tcW w:w="2518" w:type="dxa"/>
            <w:tcBorders>
              <w:top w:val="nil"/>
              <w:bottom w:val="nil"/>
            </w:tcBorders>
          </w:tcPr>
          <w:p w14:paraId="5D609E0B"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b/>
                <w:bCs/>
              </w:rPr>
              <w:t>Welding Fumes</w:t>
            </w:r>
          </w:p>
        </w:tc>
        <w:tc>
          <w:tcPr>
            <w:tcW w:w="1701" w:type="dxa"/>
            <w:tcBorders>
              <w:top w:val="nil"/>
              <w:bottom w:val="nil"/>
            </w:tcBorders>
            <w:vAlign w:val="center"/>
          </w:tcPr>
          <w:p w14:paraId="5E9BF1D2" w14:textId="77777777" w:rsidR="005D69AE" w:rsidRPr="00E73B3C" w:rsidRDefault="005D69AE" w:rsidP="00D906FC">
            <w:pPr>
              <w:jc w:val="center"/>
              <w:rPr>
                <w:rFonts w:ascii="Times New Roman" w:hAnsi="Times New Roman" w:cs="Times New Roman"/>
              </w:rPr>
            </w:pPr>
          </w:p>
        </w:tc>
        <w:tc>
          <w:tcPr>
            <w:tcW w:w="1843" w:type="dxa"/>
            <w:tcBorders>
              <w:top w:val="nil"/>
              <w:bottom w:val="nil"/>
            </w:tcBorders>
            <w:vAlign w:val="center"/>
          </w:tcPr>
          <w:p w14:paraId="1F98FFB9" w14:textId="77777777" w:rsidR="005D69AE" w:rsidRPr="00E73B3C" w:rsidRDefault="005D69AE" w:rsidP="00D906FC">
            <w:pPr>
              <w:jc w:val="center"/>
              <w:rPr>
                <w:rFonts w:ascii="Times New Roman" w:hAnsi="Times New Roman" w:cs="Times New Roman"/>
              </w:rPr>
            </w:pPr>
          </w:p>
        </w:tc>
        <w:tc>
          <w:tcPr>
            <w:tcW w:w="1701" w:type="dxa"/>
            <w:tcBorders>
              <w:top w:val="nil"/>
              <w:bottom w:val="nil"/>
            </w:tcBorders>
            <w:vAlign w:val="center"/>
          </w:tcPr>
          <w:p w14:paraId="4B972E67" w14:textId="77777777" w:rsidR="005D69AE" w:rsidRPr="00E73B3C" w:rsidRDefault="005D69AE" w:rsidP="00D906FC">
            <w:pPr>
              <w:jc w:val="center"/>
              <w:rPr>
                <w:rFonts w:ascii="Times New Roman" w:hAnsi="Times New Roman" w:cs="Times New Roman"/>
              </w:rPr>
            </w:pPr>
          </w:p>
        </w:tc>
        <w:tc>
          <w:tcPr>
            <w:tcW w:w="2268" w:type="dxa"/>
            <w:tcBorders>
              <w:top w:val="nil"/>
              <w:bottom w:val="nil"/>
            </w:tcBorders>
            <w:vAlign w:val="center"/>
          </w:tcPr>
          <w:p w14:paraId="01DC093A" w14:textId="77777777" w:rsidR="005D69AE" w:rsidRPr="00E73B3C" w:rsidRDefault="005D69AE" w:rsidP="00D906FC">
            <w:pPr>
              <w:jc w:val="center"/>
              <w:rPr>
                <w:rFonts w:ascii="Times New Roman" w:hAnsi="Times New Roman" w:cs="Times New Roman"/>
              </w:rPr>
            </w:pPr>
          </w:p>
        </w:tc>
      </w:tr>
      <w:tr w:rsidR="005D69AE" w:rsidRPr="00E73B3C" w14:paraId="1069703F" w14:textId="77777777" w:rsidTr="004E4630">
        <w:tc>
          <w:tcPr>
            <w:tcW w:w="2518" w:type="dxa"/>
            <w:tcBorders>
              <w:top w:val="nil"/>
              <w:bottom w:val="nil"/>
            </w:tcBorders>
          </w:tcPr>
          <w:p w14:paraId="3DD6B528"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Yes</w:t>
            </w:r>
          </w:p>
        </w:tc>
        <w:tc>
          <w:tcPr>
            <w:tcW w:w="1701" w:type="dxa"/>
            <w:tcBorders>
              <w:top w:val="nil"/>
              <w:bottom w:val="nil"/>
            </w:tcBorders>
            <w:vAlign w:val="bottom"/>
          </w:tcPr>
          <w:p w14:paraId="70F089EF"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10.0</w:t>
            </w:r>
          </w:p>
        </w:tc>
        <w:tc>
          <w:tcPr>
            <w:tcW w:w="1843" w:type="dxa"/>
            <w:tcBorders>
              <w:top w:val="nil"/>
              <w:bottom w:val="nil"/>
            </w:tcBorders>
            <w:vAlign w:val="bottom"/>
          </w:tcPr>
          <w:p w14:paraId="56E87DD3"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9.5, 10.5</w:t>
            </w:r>
          </w:p>
        </w:tc>
        <w:tc>
          <w:tcPr>
            <w:tcW w:w="1701" w:type="dxa"/>
            <w:tcBorders>
              <w:top w:val="nil"/>
              <w:bottom w:val="nil"/>
            </w:tcBorders>
            <w:vAlign w:val="bottom"/>
          </w:tcPr>
          <w:p w14:paraId="302FE5FD"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5.4</w:t>
            </w:r>
          </w:p>
        </w:tc>
        <w:tc>
          <w:tcPr>
            <w:tcW w:w="2268" w:type="dxa"/>
            <w:tcBorders>
              <w:top w:val="nil"/>
              <w:bottom w:val="nil"/>
            </w:tcBorders>
            <w:vAlign w:val="bottom"/>
          </w:tcPr>
          <w:p w14:paraId="3896E8B0"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4.6, 5.5</w:t>
            </w:r>
          </w:p>
        </w:tc>
      </w:tr>
      <w:tr w:rsidR="005D69AE" w:rsidRPr="00E73B3C" w14:paraId="5CE3ED0A" w14:textId="77777777" w:rsidTr="004E4630">
        <w:tc>
          <w:tcPr>
            <w:tcW w:w="2518" w:type="dxa"/>
            <w:tcBorders>
              <w:top w:val="nil"/>
              <w:bottom w:val="nil"/>
            </w:tcBorders>
          </w:tcPr>
          <w:p w14:paraId="3803DF3A"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No</w:t>
            </w:r>
          </w:p>
        </w:tc>
        <w:tc>
          <w:tcPr>
            <w:tcW w:w="7513" w:type="dxa"/>
            <w:gridSpan w:val="4"/>
            <w:tcBorders>
              <w:top w:val="nil"/>
              <w:bottom w:val="nil"/>
            </w:tcBorders>
            <w:vAlign w:val="center"/>
          </w:tcPr>
          <w:p w14:paraId="079792B5" w14:textId="77777777" w:rsidR="005D69AE" w:rsidRPr="00E73B3C" w:rsidRDefault="005D69AE" w:rsidP="00D906FC">
            <w:pPr>
              <w:rPr>
                <w:rFonts w:ascii="Times New Roman" w:hAnsi="Times New Roman" w:cs="Times New Roman"/>
              </w:rPr>
            </w:pPr>
            <w:r w:rsidRPr="00E73B3C">
              <w:rPr>
                <w:rFonts w:ascii="Times New Roman" w:hAnsi="Times New Roman" w:cs="Times New Roman"/>
                <w:i/>
                <w:iCs/>
              </w:rPr>
              <w:t>Reference</w:t>
            </w:r>
          </w:p>
        </w:tc>
      </w:tr>
      <w:tr w:rsidR="005D69AE" w:rsidRPr="00E73B3C" w14:paraId="479AB357" w14:textId="77777777" w:rsidTr="004E4630">
        <w:tc>
          <w:tcPr>
            <w:tcW w:w="2518" w:type="dxa"/>
            <w:tcBorders>
              <w:top w:val="nil"/>
              <w:bottom w:val="nil"/>
            </w:tcBorders>
          </w:tcPr>
          <w:p w14:paraId="2F0976D2" w14:textId="77777777" w:rsidR="005D69AE" w:rsidRPr="00E73B3C" w:rsidRDefault="005D69AE" w:rsidP="00D906FC">
            <w:pPr>
              <w:rPr>
                <w:rFonts w:ascii="Times New Roman" w:hAnsi="Times New Roman" w:cs="Times New Roman"/>
              </w:rPr>
            </w:pPr>
            <w:r w:rsidRPr="00E73B3C">
              <w:rPr>
                <w:rFonts w:ascii="Times New Roman" w:hAnsi="Times New Roman" w:cs="Times New Roman"/>
                <w:b/>
                <w:bCs/>
              </w:rPr>
              <w:t>Smoking Status</w:t>
            </w:r>
          </w:p>
        </w:tc>
        <w:tc>
          <w:tcPr>
            <w:tcW w:w="1701" w:type="dxa"/>
            <w:tcBorders>
              <w:top w:val="nil"/>
              <w:bottom w:val="nil"/>
            </w:tcBorders>
            <w:vAlign w:val="center"/>
          </w:tcPr>
          <w:p w14:paraId="19201621" w14:textId="77777777" w:rsidR="005D69AE" w:rsidRPr="00E73B3C" w:rsidRDefault="005D69AE" w:rsidP="00D906FC">
            <w:pPr>
              <w:jc w:val="center"/>
              <w:rPr>
                <w:rFonts w:ascii="Times New Roman" w:hAnsi="Times New Roman" w:cs="Times New Roman"/>
              </w:rPr>
            </w:pPr>
          </w:p>
        </w:tc>
        <w:tc>
          <w:tcPr>
            <w:tcW w:w="1843" w:type="dxa"/>
            <w:tcBorders>
              <w:top w:val="nil"/>
              <w:bottom w:val="nil"/>
            </w:tcBorders>
            <w:vAlign w:val="center"/>
          </w:tcPr>
          <w:p w14:paraId="7EFDC088" w14:textId="77777777" w:rsidR="005D69AE" w:rsidRPr="00E73B3C" w:rsidRDefault="005D69AE" w:rsidP="00D906FC">
            <w:pPr>
              <w:jc w:val="center"/>
              <w:rPr>
                <w:rFonts w:ascii="Times New Roman" w:hAnsi="Times New Roman" w:cs="Times New Roman"/>
              </w:rPr>
            </w:pPr>
          </w:p>
        </w:tc>
        <w:tc>
          <w:tcPr>
            <w:tcW w:w="1701" w:type="dxa"/>
            <w:tcBorders>
              <w:top w:val="nil"/>
              <w:bottom w:val="nil"/>
            </w:tcBorders>
            <w:vAlign w:val="center"/>
          </w:tcPr>
          <w:p w14:paraId="67D02BB9" w14:textId="77777777" w:rsidR="005D69AE" w:rsidRPr="00E73B3C" w:rsidRDefault="005D69AE" w:rsidP="00D906FC">
            <w:pPr>
              <w:jc w:val="center"/>
              <w:rPr>
                <w:rFonts w:ascii="Times New Roman" w:hAnsi="Times New Roman" w:cs="Times New Roman"/>
              </w:rPr>
            </w:pPr>
          </w:p>
        </w:tc>
        <w:tc>
          <w:tcPr>
            <w:tcW w:w="2268" w:type="dxa"/>
            <w:tcBorders>
              <w:top w:val="nil"/>
              <w:bottom w:val="nil"/>
            </w:tcBorders>
            <w:vAlign w:val="center"/>
          </w:tcPr>
          <w:p w14:paraId="382A3E09" w14:textId="77777777" w:rsidR="005D69AE" w:rsidRPr="00E73B3C" w:rsidRDefault="005D69AE" w:rsidP="00D906FC">
            <w:pPr>
              <w:jc w:val="center"/>
              <w:rPr>
                <w:rFonts w:ascii="Times New Roman" w:hAnsi="Times New Roman" w:cs="Times New Roman"/>
              </w:rPr>
            </w:pPr>
          </w:p>
        </w:tc>
      </w:tr>
      <w:tr w:rsidR="005D69AE" w:rsidRPr="00E73B3C" w14:paraId="56A41B96" w14:textId="77777777" w:rsidTr="004E4630">
        <w:tc>
          <w:tcPr>
            <w:tcW w:w="2518" w:type="dxa"/>
            <w:tcBorders>
              <w:top w:val="nil"/>
              <w:bottom w:val="nil"/>
            </w:tcBorders>
          </w:tcPr>
          <w:p w14:paraId="14DEE2CE"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Yes</w:t>
            </w:r>
          </w:p>
        </w:tc>
        <w:tc>
          <w:tcPr>
            <w:tcW w:w="1701" w:type="dxa"/>
            <w:tcBorders>
              <w:top w:val="nil"/>
              <w:left w:val="nil"/>
              <w:bottom w:val="nil"/>
              <w:right w:val="nil"/>
            </w:tcBorders>
            <w:shd w:val="clear" w:color="auto" w:fill="auto"/>
            <w:vAlign w:val="bottom"/>
          </w:tcPr>
          <w:p w14:paraId="45AFB647"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9.0</w:t>
            </w:r>
          </w:p>
        </w:tc>
        <w:tc>
          <w:tcPr>
            <w:tcW w:w="1843" w:type="dxa"/>
            <w:tcBorders>
              <w:top w:val="nil"/>
              <w:left w:val="nil"/>
              <w:bottom w:val="nil"/>
              <w:right w:val="nil"/>
            </w:tcBorders>
            <w:shd w:val="clear" w:color="auto" w:fill="auto"/>
            <w:vAlign w:val="bottom"/>
          </w:tcPr>
          <w:p w14:paraId="00F0998A"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8.6, 9.7</w:t>
            </w:r>
          </w:p>
        </w:tc>
        <w:tc>
          <w:tcPr>
            <w:tcW w:w="1701" w:type="dxa"/>
            <w:tcBorders>
              <w:top w:val="nil"/>
              <w:left w:val="nil"/>
              <w:bottom w:val="nil"/>
              <w:right w:val="nil"/>
            </w:tcBorders>
            <w:shd w:val="clear" w:color="auto" w:fill="auto"/>
            <w:vAlign w:val="bottom"/>
          </w:tcPr>
          <w:p w14:paraId="293EEB25"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5.0</w:t>
            </w:r>
          </w:p>
        </w:tc>
        <w:tc>
          <w:tcPr>
            <w:tcW w:w="2268" w:type="dxa"/>
            <w:tcBorders>
              <w:top w:val="nil"/>
              <w:left w:val="nil"/>
              <w:bottom w:val="nil"/>
              <w:right w:val="nil"/>
            </w:tcBorders>
            <w:shd w:val="clear" w:color="auto" w:fill="auto"/>
            <w:vAlign w:val="bottom"/>
          </w:tcPr>
          <w:p w14:paraId="6DCFC421"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4.8, 5.3</w:t>
            </w:r>
          </w:p>
        </w:tc>
      </w:tr>
      <w:tr w:rsidR="005D69AE" w:rsidRPr="00E73B3C" w14:paraId="301022F6" w14:textId="77777777" w:rsidTr="004E4630">
        <w:tc>
          <w:tcPr>
            <w:tcW w:w="2518" w:type="dxa"/>
            <w:tcBorders>
              <w:top w:val="nil"/>
              <w:bottom w:val="nil"/>
            </w:tcBorders>
          </w:tcPr>
          <w:p w14:paraId="70C339CF"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No</w:t>
            </w:r>
          </w:p>
        </w:tc>
        <w:tc>
          <w:tcPr>
            <w:tcW w:w="7513" w:type="dxa"/>
            <w:gridSpan w:val="4"/>
            <w:tcBorders>
              <w:top w:val="nil"/>
              <w:bottom w:val="nil"/>
            </w:tcBorders>
            <w:vAlign w:val="center"/>
          </w:tcPr>
          <w:p w14:paraId="0C8D9EC2" w14:textId="77777777" w:rsidR="005D69AE" w:rsidRPr="00E73B3C" w:rsidRDefault="005D69AE" w:rsidP="00D906FC">
            <w:pPr>
              <w:rPr>
                <w:rFonts w:ascii="Times New Roman" w:hAnsi="Times New Roman" w:cs="Times New Roman"/>
                <w:i/>
                <w:iCs/>
              </w:rPr>
            </w:pPr>
            <w:r w:rsidRPr="00E73B3C">
              <w:rPr>
                <w:rFonts w:ascii="Times New Roman" w:hAnsi="Times New Roman" w:cs="Times New Roman"/>
                <w:i/>
                <w:iCs/>
              </w:rPr>
              <w:t>Reference</w:t>
            </w:r>
          </w:p>
        </w:tc>
      </w:tr>
      <w:tr w:rsidR="005D69AE" w:rsidRPr="00E73B3C" w14:paraId="61049092" w14:textId="77777777" w:rsidTr="004E4630">
        <w:tc>
          <w:tcPr>
            <w:tcW w:w="10031" w:type="dxa"/>
            <w:gridSpan w:val="5"/>
            <w:tcBorders>
              <w:top w:val="nil"/>
              <w:bottom w:val="nil"/>
            </w:tcBorders>
            <w:vAlign w:val="center"/>
          </w:tcPr>
          <w:p w14:paraId="761A10D4" w14:textId="77777777" w:rsidR="005D69AE" w:rsidRPr="00E73B3C" w:rsidRDefault="005D69AE" w:rsidP="00D906FC">
            <w:pPr>
              <w:rPr>
                <w:rFonts w:ascii="Times New Roman" w:hAnsi="Times New Roman" w:cs="Times New Roman"/>
              </w:rPr>
            </w:pPr>
            <w:r w:rsidRPr="00E73B3C">
              <w:rPr>
                <w:rFonts w:ascii="Times New Roman" w:hAnsi="Times New Roman" w:cs="Times New Roman"/>
                <w:b/>
                <w:bCs/>
              </w:rPr>
              <w:t>Non-Pulmonary Cancer</w:t>
            </w:r>
          </w:p>
        </w:tc>
      </w:tr>
      <w:tr w:rsidR="005D69AE" w:rsidRPr="00E73B3C" w14:paraId="7DFAD40A" w14:textId="77777777" w:rsidTr="004E4630">
        <w:tc>
          <w:tcPr>
            <w:tcW w:w="2518" w:type="dxa"/>
            <w:tcBorders>
              <w:top w:val="nil"/>
              <w:bottom w:val="nil"/>
            </w:tcBorders>
          </w:tcPr>
          <w:p w14:paraId="072B1F1D"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Yes</w:t>
            </w:r>
          </w:p>
        </w:tc>
        <w:tc>
          <w:tcPr>
            <w:tcW w:w="1701" w:type="dxa"/>
            <w:tcBorders>
              <w:top w:val="nil"/>
              <w:left w:val="nil"/>
              <w:bottom w:val="nil"/>
              <w:right w:val="nil"/>
            </w:tcBorders>
            <w:shd w:val="clear" w:color="auto" w:fill="auto"/>
            <w:vAlign w:val="bottom"/>
          </w:tcPr>
          <w:p w14:paraId="1C55487F"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8.8</w:t>
            </w:r>
          </w:p>
        </w:tc>
        <w:tc>
          <w:tcPr>
            <w:tcW w:w="1843" w:type="dxa"/>
            <w:tcBorders>
              <w:top w:val="nil"/>
              <w:left w:val="nil"/>
              <w:bottom w:val="nil"/>
              <w:right w:val="nil"/>
            </w:tcBorders>
            <w:shd w:val="clear" w:color="auto" w:fill="auto"/>
            <w:vAlign w:val="bottom"/>
          </w:tcPr>
          <w:p w14:paraId="0ECAE304"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8.2, 9.5</w:t>
            </w:r>
          </w:p>
        </w:tc>
        <w:tc>
          <w:tcPr>
            <w:tcW w:w="1701" w:type="dxa"/>
            <w:tcBorders>
              <w:top w:val="nil"/>
              <w:left w:val="nil"/>
              <w:bottom w:val="nil"/>
              <w:right w:val="nil"/>
            </w:tcBorders>
            <w:shd w:val="clear" w:color="auto" w:fill="auto"/>
            <w:vAlign w:val="bottom"/>
          </w:tcPr>
          <w:p w14:paraId="1873D0BF"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3.7</w:t>
            </w:r>
          </w:p>
        </w:tc>
        <w:tc>
          <w:tcPr>
            <w:tcW w:w="2268" w:type="dxa"/>
            <w:tcBorders>
              <w:top w:val="nil"/>
              <w:left w:val="nil"/>
              <w:bottom w:val="nil"/>
              <w:right w:val="nil"/>
            </w:tcBorders>
            <w:shd w:val="clear" w:color="auto" w:fill="auto"/>
            <w:vAlign w:val="bottom"/>
          </w:tcPr>
          <w:p w14:paraId="2E1BDD05"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3.5, 3.8</w:t>
            </w:r>
          </w:p>
        </w:tc>
      </w:tr>
      <w:tr w:rsidR="005D69AE" w:rsidRPr="00E73B3C" w14:paraId="7A80B136" w14:textId="77777777" w:rsidTr="004E4630">
        <w:tc>
          <w:tcPr>
            <w:tcW w:w="2518" w:type="dxa"/>
            <w:tcBorders>
              <w:top w:val="nil"/>
              <w:bottom w:val="nil"/>
            </w:tcBorders>
          </w:tcPr>
          <w:p w14:paraId="1AA591ED"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No</w:t>
            </w:r>
          </w:p>
        </w:tc>
        <w:tc>
          <w:tcPr>
            <w:tcW w:w="7513" w:type="dxa"/>
            <w:gridSpan w:val="4"/>
            <w:tcBorders>
              <w:top w:val="nil"/>
              <w:bottom w:val="nil"/>
            </w:tcBorders>
            <w:vAlign w:val="center"/>
          </w:tcPr>
          <w:p w14:paraId="5CDBE22D" w14:textId="77777777" w:rsidR="005D69AE" w:rsidRPr="00E73B3C" w:rsidRDefault="005D69AE" w:rsidP="00D906FC">
            <w:pPr>
              <w:rPr>
                <w:rFonts w:ascii="Times New Roman" w:hAnsi="Times New Roman" w:cs="Times New Roman"/>
                <w:i/>
                <w:iCs/>
              </w:rPr>
            </w:pPr>
            <w:r w:rsidRPr="00E73B3C">
              <w:rPr>
                <w:rFonts w:ascii="Times New Roman" w:hAnsi="Times New Roman" w:cs="Times New Roman"/>
                <w:i/>
                <w:iCs/>
              </w:rPr>
              <w:t>Reference</w:t>
            </w:r>
          </w:p>
        </w:tc>
      </w:tr>
      <w:tr w:rsidR="005D69AE" w:rsidRPr="00E73B3C" w14:paraId="4CAE844B" w14:textId="77777777" w:rsidTr="004E4630">
        <w:tc>
          <w:tcPr>
            <w:tcW w:w="2518" w:type="dxa"/>
            <w:tcBorders>
              <w:top w:val="nil"/>
              <w:bottom w:val="nil"/>
            </w:tcBorders>
          </w:tcPr>
          <w:p w14:paraId="361B4ECB" w14:textId="77777777" w:rsidR="005D69AE" w:rsidRPr="00E73B3C" w:rsidRDefault="005D69AE" w:rsidP="00D906FC">
            <w:pPr>
              <w:rPr>
                <w:rFonts w:ascii="Times New Roman" w:hAnsi="Times New Roman" w:cs="Times New Roman"/>
              </w:rPr>
            </w:pPr>
            <w:r w:rsidRPr="00E73B3C">
              <w:rPr>
                <w:rFonts w:ascii="Times New Roman" w:hAnsi="Times New Roman" w:cs="Times New Roman"/>
                <w:b/>
                <w:bCs/>
              </w:rPr>
              <w:t>Hypertension</w:t>
            </w:r>
          </w:p>
        </w:tc>
        <w:tc>
          <w:tcPr>
            <w:tcW w:w="1701" w:type="dxa"/>
            <w:tcBorders>
              <w:top w:val="nil"/>
              <w:bottom w:val="nil"/>
            </w:tcBorders>
            <w:vAlign w:val="center"/>
          </w:tcPr>
          <w:p w14:paraId="50AA840F" w14:textId="77777777" w:rsidR="005D69AE" w:rsidRPr="00E73B3C" w:rsidRDefault="005D69AE" w:rsidP="00D906FC">
            <w:pPr>
              <w:jc w:val="center"/>
              <w:rPr>
                <w:rFonts w:ascii="Times New Roman" w:hAnsi="Times New Roman" w:cs="Times New Roman"/>
              </w:rPr>
            </w:pPr>
          </w:p>
        </w:tc>
        <w:tc>
          <w:tcPr>
            <w:tcW w:w="1843" w:type="dxa"/>
            <w:tcBorders>
              <w:top w:val="nil"/>
              <w:bottom w:val="nil"/>
            </w:tcBorders>
            <w:vAlign w:val="center"/>
          </w:tcPr>
          <w:p w14:paraId="389903C6" w14:textId="77777777" w:rsidR="005D69AE" w:rsidRPr="00E73B3C" w:rsidRDefault="005D69AE" w:rsidP="00D906FC">
            <w:pPr>
              <w:jc w:val="center"/>
              <w:rPr>
                <w:rFonts w:ascii="Times New Roman" w:hAnsi="Times New Roman" w:cs="Times New Roman"/>
              </w:rPr>
            </w:pPr>
          </w:p>
        </w:tc>
        <w:tc>
          <w:tcPr>
            <w:tcW w:w="1701" w:type="dxa"/>
            <w:tcBorders>
              <w:top w:val="nil"/>
              <w:bottom w:val="nil"/>
            </w:tcBorders>
            <w:vAlign w:val="center"/>
          </w:tcPr>
          <w:p w14:paraId="613291FA" w14:textId="77777777" w:rsidR="005D69AE" w:rsidRPr="00E73B3C" w:rsidRDefault="005D69AE" w:rsidP="00D906FC">
            <w:pPr>
              <w:jc w:val="center"/>
              <w:rPr>
                <w:rFonts w:ascii="Times New Roman" w:hAnsi="Times New Roman" w:cs="Times New Roman"/>
              </w:rPr>
            </w:pPr>
          </w:p>
        </w:tc>
        <w:tc>
          <w:tcPr>
            <w:tcW w:w="2268" w:type="dxa"/>
            <w:tcBorders>
              <w:top w:val="nil"/>
              <w:bottom w:val="nil"/>
            </w:tcBorders>
            <w:vAlign w:val="center"/>
          </w:tcPr>
          <w:p w14:paraId="6C1715DC" w14:textId="77777777" w:rsidR="005D69AE" w:rsidRPr="00E73B3C" w:rsidRDefault="005D69AE" w:rsidP="00D906FC">
            <w:pPr>
              <w:jc w:val="center"/>
              <w:rPr>
                <w:rFonts w:ascii="Times New Roman" w:hAnsi="Times New Roman" w:cs="Times New Roman"/>
              </w:rPr>
            </w:pPr>
          </w:p>
        </w:tc>
      </w:tr>
      <w:tr w:rsidR="005D69AE" w:rsidRPr="00E73B3C" w14:paraId="32C7946A" w14:textId="77777777" w:rsidTr="004E4630">
        <w:tc>
          <w:tcPr>
            <w:tcW w:w="2518" w:type="dxa"/>
            <w:tcBorders>
              <w:top w:val="nil"/>
              <w:bottom w:val="nil"/>
            </w:tcBorders>
          </w:tcPr>
          <w:p w14:paraId="5E161653"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Yes</w:t>
            </w:r>
          </w:p>
        </w:tc>
        <w:tc>
          <w:tcPr>
            <w:tcW w:w="1701" w:type="dxa"/>
            <w:tcBorders>
              <w:top w:val="nil"/>
              <w:bottom w:val="nil"/>
            </w:tcBorders>
            <w:vAlign w:val="bottom"/>
          </w:tcPr>
          <w:p w14:paraId="10634945"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8.0</w:t>
            </w:r>
          </w:p>
        </w:tc>
        <w:tc>
          <w:tcPr>
            <w:tcW w:w="1843" w:type="dxa"/>
            <w:tcBorders>
              <w:top w:val="nil"/>
              <w:bottom w:val="nil"/>
            </w:tcBorders>
            <w:vAlign w:val="bottom"/>
          </w:tcPr>
          <w:p w14:paraId="4BFE8ABF"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7.6, 8.3</w:t>
            </w:r>
          </w:p>
        </w:tc>
        <w:tc>
          <w:tcPr>
            <w:tcW w:w="1701" w:type="dxa"/>
            <w:tcBorders>
              <w:top w:val="nil"/>
              <w:bottom w:val="nil"/>
            </w:tcBorders>
            <w:vAlign w:val="bottom"/>
          </w:tcPr>
          <w:p w14:paraId="7F1DA171"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3.9</w:t>
            </w:r>
          </w:p>
        </w:tc>
        <w:tc>
          <w:tcPr>
            <w:tcW w:w="2268" w:type="dxa"/>
            <w:tcBorders>
              <w:top w:val="nil"/>
              <w:bottom w:val="nil"/>
            </w:tcBorders>
            <w:vAlign w:val="bottom"/>
          </w:tcPr>
          <w:p w14:paraId="2EC76702"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3.8, 4.3</w:t>
            </w:r>
          </w:p>
        </w:tc>
      </w:tr>
      <w:tr w:rsidR="005D69AE" w:rsidRPr="00E73B3C" w14:paraId="01A34324" w14:textId="77777777" w:rsidTr="004E4630">
        <w:tc>
          <w:tcPr>
            <w:tcW w:w="2518" w:type="dxa"/>
            <w:tcBorders>
              <w:top w:val="nil"/>
              <w:bottom w:val="nil"/>
            </w:tcBorders>
          </w:tcPr>
          <w:p w14:paraId="2D95746F"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No</w:t>
            </w:r>
          </w:p>
        </w:tc>
        <w:tc>
          <w:tcPr>
            <w:tcW w:w="7513" w:type="dxa"/>
            <w:gridSpan w:val="4"/>
            <w:tcBorders>
              <w:top w:val="nil"/>
              <w:left w:val="nil"/>
              <w:bottom w:val="nil"/>
              <w:right w:val="nil"/>
            </w:tcBorders>
            <w:shd w:val="clear" w:color="auto" w:fill="auto"/>
            <w:vAlign w:val="center"/>
          </w:tcPr>
          <w:p w14:paraId="59A09C91" w14:textId="77777777" w:rsidR="005D69AE" w:rsidRPr="00E73B3C" w:rsidRDefault="005D69AE" w:rsidP="00D906FC">
            <w:pPr>
              <w:rPr>
                <w:rFonts w:ascii="Times New Roman" w:hAnsi="Times New Roman" w:cs="Times New Roman"/>
              </w:rPr>
            </w:pPr>
            <w:r w:rsidRPr="00E73B3C">
              <w:rPr>
                <w:rFonts w:ascii="Times New Roman" w:hAnsi="Times New Roman" w:cs="Times New Roman"/>
                <w:i/>
                <w:iCs/>
              </w:rPr>
              <w:t>Reference</w:t>
            </w:r>
          </w:p>
        </w:tc>
      </w:tr>
      <w:tr w:rsidR="005D69AE" w:rsidRPr="00E73B3C" w14:paraId="6BC883A8" w14:textId="77777777" w:rsidTr="004E4630">
        <w:tc>
          <w:tcPr>
            <w:tcW w:w="2518" w:type="dxa"/>
            <w:tcBorders>
              <w:top w:val="nil"/>
              <w:bottom w:val="nil"/>
            </w:tcBorders>
          </w:tcPr>
          <w:p w14:paraId="6F537519"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b/>
                <w:bCs/>
              </w:rPr>
              <w:t>Anemia</w:t>
            </w:r>
          </w:p>
        </w:tc>
        <w:tc>
          <w:tcPr>
            <w:tcW w:w="1701" w:type="dxa"/>
            <w:tcBorders>
              <w:top w:val="nil"/>
              <w:left w:val="nil"/>
              <w:bottom w:val="nil"/>
              <w:right w:val="nil"/>
            </w:tcBorders>
            <w:shd w:val="clear" w:color="auto" w:fill="auto"/>
            <w:vAlign w:val="center"/>
          </w:tcPr>
          <w:p w14:paraId="6FC022B0" w14:textId="77777777" w:rsidR="005D69AE" w:rsidRPr="00E73B3C" w:rsidRDefault="005D69AE" w:rsidP="00D906FC">
            <w:pPr>
              <w:jc w:val="center"/>
              <w:rPr>
                <w:rFonts w:ascii="Times New Roman" w:hAnsi="Times New Roman" w:cs="Times New Roman"/>
              </w:rPr>
            </w:pPr>
          </w:p>
        </w:tc>
        <w:tc>
          <w:tcPr>
            <w:tcW w:w="1843" w:type="dxa"/>
            <w:tcBorders>
              <w:top w:val="nil"/>
              <w:left w:val="nil"/>
              <w:bottom w:val="nil"/>
              <w:right w:val="nil"/>
            </w:tcBorders>
            <w:shd w:val="clear" w:color="auto" w:fill="auto"/>
            <w:vAlign w:val="center"/>
          </w:tcPr>
          <w:p w14:paraId="38FFA0D1" w14:textId="77777777" w:rsidR="005D69AE" w:rsidRPr="00E73B3C" w:rsidRDefault="005D69AE" w:rsidP="00D906FC">
            <w:pPr>
              <w:jc w:val="center"/>
              <w:rPr>
                <w:rFonts w:ascii="Times New Roman" w:hAnsi="Times New Roman" w:cs="Times New Roman"/>
              </w:rPr>
            </w:pPr>
          </w:p>
        </w:tc>
        <w:tc>
          <w:tcPr>
            <w:tcW w:w="1701" w:type="dxa"/>
            <w:tcBorders>
              <w:top w:val="nil"/>
              <w:left w:val="nil"/>
              <w:bottom w:val="nil"/>
              <w:right w:val="nil"/>
            </w:tcBorders>
            <w:shd w:val="clear" w:color="auto" w:fill="auto"/>
            <w:vAlign w:val="center"/>
          </w:tcPr>
          <w:p w14:paraId="41C9348A" w14:textId="77777777" w:rsidR="005D69AE" w:rsidRPr="00E73B3C" w:rsidRDefault="005D69AE" w:rsidP="00D906FC">
            <w:pPr>
              <w:jc w:val="center"/>
              <w:rPr>
                <w:rFonts w:ascii="Times New Roman" w:hAnsi="Times New Roman" w:cs="Times New Roman"/>
              </w:rPr>
            </w:pPr>
          </w:p>
        </w:tc>
        <w:tc>
          <w:tcPr>
            <w:tcW w:w="2268" w:type="dxa"/>
            <w:tcBorders>
              <w:top w:val="nil"/>
              <w:left w:val="nil"/>
              <w:bottom w:val="nil"/>
              <w:right w:val="nil"/>
            </w:tcBorders>
            <w:shd w:val="clear" w:color="auto" w:fill="auto"/>
            <w:vAlign w:val="center"/>
          </w:tcPr>
          <w:p w14:paraId="5EF157F7" w14:textId="77777777" w:rsidR="005D69AE" w:rsidRPr="00E73B3C" w:rsidRDefault="005D69AE" w:rsidP="00D906FC">
            <w:pPr>
              <w:jc w:val="center"/>
              <w:rPr>
                <w:rFonts w:ascii="Times New Roman" w:hAnsi="Times New Roman" w:cs="Times New Roman"/>
              </w:rPr>
            </w:pPr>
          </w:p>
        </w:tc>
      </w:tr>
      <w:tr w:rsidR="005D69AE" w:rsidRPr="00E73B3C" w14:paraId="4578341A" w14:textId="77777777" w:rsidTr="004E4630">
        <w:tc>
          <w:tcPr>
            <w:tcW w:w="2518" w:type="dxa"/>
            <w:tcBorders>
              <w:top w:val="nil"/>
              <w:bottom w:val="nil"/>
            </w:tcBorders>
          </w:tcPr>
          <w:p w14:paraId="066FB793"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Yes</w:t>
            </w:r>
          </w:p>
        </w:tc>
        <w:tc>
          <w:tcPr>
            <w:tcW w:w="1701" w:type="dxa"/>
            <w:tcBorders>
              <w:top w:val="nil"/>
              <w:left w:val="nil"/>
              <w:bottom w:val="nil"/>
              <w:right w:val="nil"/>
            </w:tcBorders>
            <w:shd w:val="clear" w:color="auto" w:fill="auto"/>
            <w:vAlign w:val="bottom"/>
          </w:tcPr>
          <w:p w14:paraId="06E2397A"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7.6</w:t>
            </w:r>
          </w:p>
        </w:tc>
        <w:tc>
          <w:tcPr>
            <w:tcW w:w="1843" w:type="dxa"/>
            <w:tcBorders>
              <w:top w:val="nil"/>
              <w:left w:val="nil"/>
              <w:bottom w:val="nil"/>
              <w:right w:val="nil"/>
            </w:tcBorders>
            <w:shd w:val="clear" w:color="auto" w:fill="auto"/>
            <w:vAlign w:val="bottom"/>
          </w:tcPr>
          <w:p w14:paraId="2FC3C434"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6.7, 7.9</w:t>
            </w:r>
          </w:p>
        </w:tc>
        <w:tc>
          <w:tcPr>
            <w:tcW w:w="1701" w:type="dxa"/>
            <w:tcBorders>
              <w:top w:val="nil"/>
              <w:left w:val="nil"/>
              <w:bottom w:val="nil"/>
              <w:right w:val="nil"/>
            </w:tcBorders>
            <w:shd w:val="clear" w:color="auto" w:fill="auto"/>
            <w:vAlign w:val="bottom"/>
          </w:tcPr>
          <w:p w14:paraId="044AD24A"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2.8</w:t>
            </w:r>
          </w:p>
        </w:tc>
        <w:tc>
          <w:tcPr>
            <w:tcW w:w="2268" w:type="dxa"/>
            <w:tcBorders>
              <w:top w:val="nil"/>
              <w:left w:val="nil"/>
              <w:bottom w:val="nil"/>
              <w:right w:val="nil"/>
            </w:tcBorders>
            <w:shd w:val="clear" w:color="auto" w:fill="auto"/>
            <w:vAlign w:val="bottom"/>
          </w:tcPr>
          <w:p w14:paraId="45721ABA"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2.6, 3.0</w:t>
            </w:r>
          </w:p>
        </w:tc>
      </w:tr>
      <w:tr w:rsidR="005D69AE" w:rsidRPr="00E73B3C" w14:paraId="458F742C" w14:textId="77777777" w:rsidTr="004E4630">
        <w:tc>
          <w:tcPr>
            <w:tcW w:w="2518" w:type="dxa"/>
            <w:tcBorders>
              <w:top w:val="nil"/>
              <w:bottom w:val="nil"/>
            </w:tcBorders>
          </w:tcPr>
          <w:p w14:paraId="2F739DD1"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No</w:t>
            </w:r>
          </w:p>
        </w:tc>
        <w:tc>
          <w:tcPr>
            <w:tcW w:w="7513" w:type="dxa"/>
            <w:gridSpan w:val="4"/>
            <w:tcBorders>
              <w:top w:val="nil"/>
              <w:left w:val="nil"/>
              <w:bottom w:val="nil"/>
              <w:right w:val="nil"/>
            </w:tcBorders>
            <w:shd w:val="clear" w:color="auto" w:fill="auto"/>
            <w:vAlign w:val="center"/>
          </w:tcPr>
          <w:p w14:paraId="017A22A3" w14:textId="77777777" w:rsidR="005D69AE" w:rsidRPr="00E73B3C" w:rsidRDefault="005D69AE" w:rsidP="00D906FC">
            <w:pPr>
              <w:rPr>
                <w:rFonts w:ascii="Times New Roman" w:hAnsi="Times New Roman" w:cs="Times New Roman"/>
              </w:rPr>
            </w:pPr>
            <w:r w:rsidRPr="00E73B3C">
              <w:rPr>
                <w:rFonts w:ascii="Times New Roman" w:hAnsi="Times New Roman" w:cs="Times New Roman"/>
                <w:i/>
                <w:iCs/>
              </w:rPr>
              <w:t>Reference</w:t>
            </w:r>
          </w:p>
        </w:tc>
      </w:tr>
      <w:tr w:rsidR="005D69AE" w:rsidRPr="00E73B3C" w14:paraId="1B2A051D" w14:textId="77777777" w:rsidTr="004E4630">
        <w:tc>
          <w:tcPr>
            <w:tcW w:w="10031" w:type="dxa"/>
            <w:gridSpan w:val="5"/>
            <w:tcBorders>
              <w:top w:val="nil"/>
              <w:bottom w:val="nil"/>
            </w:tcBorders>
            <w:vAlign w:val="center"/>
          </w:tcPr>
          <w:p w14:paraId="49DC154D" w14:textId="77777777" w:rsidR="005D69AE" w:rsidRPr="00E73B3C" w:rsidRDefault="005D69AE" w:rsidP="00D906FC">
            <w:pPr>
              <w:rPr>
                <w:rFonts w:ascii="Times New Roman" w:hAnsi="Times New Roman" w:cs="Times New Roman"/>
              </w:rPr>
            </w:pPr>
            <w:r w:rsidRPr="00E73B3C">
              <w:rPr>
                <w:rFonts w:ascii="Times New Roman" w:hAnsi="Times New Roman" w:cs="Times New Roman"/>
                <w:b/>
                <w:bCs/>
              </w:rPr>
              <w:t>Kidney Problems</w:t>
            </w:r>
          </w:p>
        </w:tc>
      </w:tr>
      <w:tr w:rsidR="005D69AE" w:rsidRPr="00E73B3C" w14:paraId="233C610C" w14:textId="77777777" w:rsidTr="004E4630">
        <w:tc>
          <w:tcPr>
            <w:tcW w:w="2518" w:type="dxa"/>
            <w:tcBorders>
              <w:top w:val="nil"/>
            </w:tcBorders>
          </w:tcPr>
          <w:p w14:paraId="3612F0B8"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Yes</w:t>
            </w:r>
          </w:p>
        </w:tc>
        <w:tc>
          <w:tcPr>
            <w:tcW w:w="1701" w:type="dxa"/>
            <w:tcBorders>
              <w:top w:val="nil"/>
              <w:left w:val="nil"/>
              <w:bottom w:val="nil"/>
              <w:right w:val="nil"/>
            </w:tcBorders>
            <w:shd w:val="clear" w:color="auto" w:fill="auto"/>
            <w:vAlign w:val="bottom"/>
          </w:tcPr>
          <w:p w14:paraId="0FA98BC1"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7.5</w:t>
            </w:r>
          </w:p>
        </w:tc>
        <w:tc>
          <w:tcPr>
            <w:tcW w:w="1843" w:type="dxa"/>
            <w:tcBorders>
              <w:top w:val="nil"/>
              <w:left w:val="nil"/>
              <w:bottom w:val="nil"/>
              <w:right w:val="nil"/>
            </w:tcBorders>
            <w:shd w:val="clear" w:color="auto" w:fill="auto"/>
            <w:vAlign w:val="bottom"/>
          </w:tcPr>
          <w:p w14:paraId="76631479"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6.6, 9.2</w:t>
            </w:r>
          </w:p>
        </w:tc>
        <w:tc>
          <w:tcPr>
            <w:tcW w:w="1701" w:type="dxa"/>
            <w:tcBorders>
              <w:top w:val="nil"/>
              <w:left w:val="nil"/>
              <w:bottom w:val="nil"/>
              <w:right w:val="nil"/>
            </w:tcBorders>
            <w:shd w:val="clear" w:color="auto" w:fill="auto"/>
            <w:vAlign w:val="bottom"/>
          </w:tcPr>
          <w:p w14:paraId="521549FC"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N/A</w:t>
            </w:r>
          </w:p>
        </w:tc>
        <w:tc>
          <w:tcPr>
            <w:tcW w:w="2268" w:type="dxa"/>
            <w:tcBorders>
              <w:top w:val="nil"/>
              <w:left w:val="nil"/>
              <w:bottom w:val="nil"/>
              <w:right w:val="nil"/>
            </w:tcBorders>
            <w:shd w:val="clear" w:color="auto" w:fill="auto"/>
            <w:vAlign w:val="bottom"/>
          </w:tcPr>
          <w:p w14:paraId="15C43545"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N/A</w:t>
            </w:r>
          </w:p>
        </w:tc>
      </w:tr>
      <w:tr w:rsidR="005D69AE" w:rsidRPr="00E73B3C" w14:paraId="1B7E3783" w14:textId="77777777" w:rsidTr="00317813">
        <w:tc>
          <w:tcPr>
            <w:tcW w:w="2518" w:type="dxa"/>
            <w:tcBorders>
              <w:bottom w:val="nil"/>
            </w:tcBorders>
          </w:tcPr>
          <w:p w14:paraId="5E63E00D"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No</w:t>
            </w:r>
          </w:p>
        </w:tc>
        <w:tc>
          <w:tcPr>
            <w:tcW w:w="7513" w:type="dxa"/>
            <w:gridSpan w:val="4"/>
            <w:tcBorders>
              <w:bottom w:val="nil"/>
            </w:tcBorders>
            <w:vAlign w:val="center"/>
          </w:tcPr>
          <w:p w14:paraId="389732A2" w14:textId="77777777" w:rsidR="005D69AE" w:rsidRPr="00E73B3C" w:rsidRDefault="005D69AE" w:rsidP="00D906FC">
            <w:pPr>
              <w:rPr>
                <w:rFonts w:ascii="Times New Roman" w:hAnsi="Times New Roman" w:cs="Times New Roman"/>
                <w:i/>
                <w:iCs/>
              </w:rPr>
            </w:pPr>
            <w:r w:rsidRPr="00E73B3C">
              <w:rPr>
                <w:rFonts w:ascii="Times New Roman" w:hAnsi="Times New Roman" w:cs="Times New Roman"/>
                <w:i/>
                <w:iCs/>
              </w:rPr>
              <w:t>Reference</w:t>
            </w:r>
          </w:p>
        </w:tc>
      </w:tr>
      <w:tr w:rsidR="005D69AE" w:rsidRPr="00E73B3C" w14:paraId="7EDB338C" w14:textId="77777777" w:rsidTr="00317813">
        <w:tc>
          <w:tcPr>
            <w:tcW w:w="2518" w:type="dxa"/>
            <w:tcBorders>
              <w:top w:val="nil"/>
              <w:bottom w:val="nil"/>
            </w:tcBorders>
          </w:tcPr>
          <w:p w14:paraId="18EC874E" w14:textId="77777777" w:rsidR="005D69AE" w:rsidRPr="00E73B3C" w:rsidRDefault="005D69AE" w:rsidP="00D906FC">
            <w:pPr>
              <w:rPr>
                <w:rFonts w:ascii="Times New Roman" w:hAnsi="Times New Roman" w:cs="Times New Roman"/>
              </w:rPr>
            </w:pPr>
          </w:p>
        </w:tc>
        <w:tc>
          <w:tcPr>
            <w:tcW w:w="7513" w:type="dxa"/>
            <w:gridSpan w:val="4"/>
            <w:tcBorders>
              <w:top w:val="nil"/>
              <w:bottom w:val="nil"/>
            </w:tcBorders>
            <w:vAlign w:val="center"/>
          </w:tcPr>
          <w:p w14:paraId="450F812B" w14:textId="77777777" w:rsidR="005D69AE" w:rsidRPr="00E73B3C" w:rsidRDefault="005D69AE" w:rsidP="00D906FC">
            <w:pPr>
              <w:rPr>
                <w:rFonts w:ascii="Times New Roman" w:hAnsi="Times New Roman" w:cs="Times New Roman"/>
                <w:i/>
                <w:iCs/>
              </w:rPr>
            </w:pPr>
          </w:p>
        </w:tc>
      </w:tr>
      <w:tr w:rsidR="00317813" w:rsidRPr="00E73B3C" w14:paraId="580A5B3D" w14:textId="77777777" w:rsidTr="00317813">
        <w:tc>
          <w:tcPr>
            <w:tcW w:w="2518" w:type="dxa"/>
            <w:tcBorders>
              <w:top w:val="nil"/>
              <w:bottom w:val="nil"/>
            </w:tcBorders>
          </w:tcPr>
          <w:p w14:paraId="392B111D" w14:textId="77777777" w:rsidR="00317813" w:rsidRPr="00E73B3C" w:rsidRDefault="00317813" w:rsidP="00D906FC">
            <w:pPr>
              <w:rPr>
                <w:rFonts w:ascii="Times New Roman" w:hAnsi="Times New Roman" w:cs="Times New Roman"/>
              </w:rPr>
            </w:pPr>
          </w:p>
        </w:tc>
        <w:tc>
          <w:tcPr>
            <w:tcW w:w="7513" w:type="dxa"/>
            <w:gridSpan w:val="4"/>
            <w:tcBorders>
              <w:top w:val="nil"/>
              <w:bottom w:val="nil"/>
            </w:tcBorders>
            <w:vAlign w:val="center"/>
          </w:tcPr>
          <w:p w14:paraId="443C4AB2" w14:textId="77777777" w:rsidR="00317813" w:rsidRPr="00E73B3C" w:rsidRDefault="00317813" w:rsidP="00D906FC">
            <w:pPr>
              <w:rPr>
                <w:rFonts w:ascii="Times New Roman" w:hAnsi="Times New Roman" w:cs="Times New Roman"/>
                <w:i/>
                <w:iCs/>
              </w:rPr>
            </w:pPr>
          </w:p>
        </w:tc>
      </w:tr>
      <w:tr w:rsidR="005D69AE" w:rsidRPr="00E73B3C" w14:paraId="11C6FAD7" w14:textId="77777777" w:rsidTr="004E4630">
        <w:tc>
          <w:tcPr>
            <w:tcW w:w="10031" w:type="dxa"/>
            <w:gridSpan w:val="5"/>
            <w:tcBorders>
              <w:top w:val="single" w:sz="12" w:space="0" w:color="auto"/>
            </w:tcBorders>
            <w:vAlign w:val="center"/>
          </w:tcPr>
          <w:p w14:paraId="54245B14" w14:textId="77777777" w:rsidR="005D69AE" w:rsidRPr="00E73B3C" w:rsidRDefault="005D69AE" w:rsidP="00D906FC">
            <w:pPr>
              <w:rPr>
                <w:rFonts w:ascii="Times New Roman" w:hAnsi="Times New Roman" w:cs="Times New Roman"/>
              </w:rPr>
            </w:pPr>
            <w:r w:rsidRPr="00E73B3C">
              <w:rPr>
                <w:rFonts w:ascii="Times New Roman" w:hAnsi="Times New Roman" w:cs="Times New Roman"/>
                <w:b/>
                <w:bCs/>
              </w:rPr>
              <w:lastRenderedPageBreak/>
              <w:t>Rheumatoid Arthritis</w:t>
            </w:r>
          </w:p>
        </w:tc>
      </w:tr>
      <w:tr w:rsidR="005D69AE" w:rsidRPr="00E73B3C" w14:paraId="5120497F" w14:textId="77777777" w:rsidTr="004E4630">
        <w:tc>
          <w:tcPr>
            <w:tcW w:w="2518" w:type="dxa"/>
            <w:tcBorders>
              <w:bottom w:val="nil"/>
            </w:tcBorders>
          </w:tcPr>
          <w:p w14:paraId="1991C527"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Yes</w:t>
            </w:r>
          </w:p>
        </w:tc>
        <w:tc>
          <w:tcPr>
            <w:tcW w:w="1701" w:type="dxa"/>
            <w:tcBorders>
              <w:top w:val="nil"/>
              <w:left w:val="nil"/>
              <w:bottom w:val="nil"/>
              <w:right w:val="nil"/>
            </w:tcBorders>
            <w:shd w:val="clear" w:color="auto" w:fill="auto"/>
            <w:vAlign w:val="bottom"/>
          </w:tcPr>
          <w:p w14:paraId="084521BE"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6.4</w:t>
            </w:r>
          </w:p>
        </w:tc>
        <w:tc>
          <w:tcPr>
            <w:tcW w:w="1843" w:type="dxa"/>
            <w:tcBorders>
              <w:top w:val="nil"/>
              <w:left w:val="nil"/>
              <w:bottom w:val="nil"/>
              <w:right w:val="nil"/>
            </w:tcBorders>
            <w:shd w:val="clear" w:color="auto" w:fill="auto"/>
            <w:vAlign w:val="bottom"/>
          </w:tcPr>
          <w:p w14:paraId="5F2C2ED1"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5.9, 7.5</w:t>
            </w:r>
          </w:p>
        </w:tc>
        <w:tc>
          <w:tcPr>
            <w:tcW w:w="1701" w:type="dxa"/>
            <w:tcBorders>
              <w:top w:val="nil"/>
              <w:left w:val="nil"/>
              <w:bottom w:val="nil"/>
              <w:right w:val="nil"/>
            </w:tcBorders>
            <w:shd w:val="clear" w:color="auto" w:fill="auto"/>
            <w:vAlign w:val="bottom"/>
          </w:tcPr>
          <w:p w14:paraId="3D0CFBFD"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1.9</w:t>
            </w:r>
          </w:p>
        </w:tc>
        <w:tc>
          <w:tcPr>
            <w:tcW w:w="2268" w:type="dxa"/>
            <w:tcBorders>
              <w:top w:val="nil"/>
              <w:left w:val="nil"/>
              <w:bottom w:val="nil"/>
              <w:right w:val="nil"/>
            </w:tcBorders>
            <w:shd w:val="clear" w:color="auto" w:fill="auto"/>
            <w:vAlign w:val="bottom"/>
          </w:tcPr>
          <w:p w14:paraId="362C009D"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1.7, 2.2</w:t>
            </w:r>
          </w:p>
        </w:tc>
      </w:tr>
      <w:tr w:rsidR="005D69AE" w:rsidRPr="00E73B3C" w14:paraId="0B1C60B7" w14:textId="77777777" w:rsidTr="004E4630">
        <w:tc>
          <w:tcPr>
            <w:tcW w:w="2518" w:type="dxa"/>
            <w:tcBorders>
              <w:top w:val="nil"/>
              <w:bottom w:val="nil"/>
            </w:tcBorders>
          </w:tcPr>
          <w:p w14:paraId="5EB06B65"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No</w:t>
            </w:r>
          </w:p>
        </w:tc>
        <w:tc>
          <w:tcPr>
            <w:tcW w:w="7513" w:type="dxa"/>
            <w:gridSpan w:val="4"/>
            <w:tcBorders>
              <w:top w:val="nil"/>
              <w:bottom w:val="nil"/>
            </w:tcBorders>
            <w:vAlign w:val="center"/>
          </w:tcPr>
          <w:p w14:paraId="3114EEDD" w14:textId="77777777" w:rsidR="005D69AE" w:rsidRPr="00E73B3C" w:rsidRDefault="005D69AE" w:rsidP="00D906FC">
            <w:pPr>
              <w:rPr>
                <w:rFonts w:ascii="Times New Roman" w:hAnsi="Times New Roman" w:cs="Times New Roman"/>
                <w:i/>
                <w:iCs/>
              </w:rPr>
            </w:pPr>
            <w:r w:rsidRPr="00E73B3C">
              <w:rPr>
                <w:rFonts w:ascii="Times New Roman" w:hAnsi="Times New Roman" w:cs="Times New Roman"/>
                <w:i/>
                <w:iCs/>
              </w:rPr>
              <w:t>Reference</w:t>
            </w:r>
          </w:p>
        </w:tc>
      </w:tr>
      <w:tr w:rsidR="005D69AE" w:rsidRPr="00E73B3C" w14:paraId="3B189992" w14:textId="77777777" w:rsidTr="004E4630">
        <w:tc>
          <w:tcPr>
            <w:tcW w:w="10031" w:type="dxa"/>
            <w:gridSpan w:val="5"/>
            <w:tcBorders>
              <w:top w:val="nil"/>
              <w:bottom w:val="nil"/>
            </w:tcBorders>
            <w:vAlign w:val="center"/>
          </w:tcPr>
          <w:p w14:paraId="5AB70A72" w14:textId="77777777" w:rsidR="005D69AE" w:rsidRPr="00E73B3C" w:rsidRDefault="005D69AE" w:rsidP="00D906FC">
            <w:pPr>
              <w:rPr>
                <w:rFonts w:ascii="Times New Roman" w:hAnsi="Times New Roman" w:cs="Times New Roman"/>
              </w:rPr>
            </w:pPr>
            <w:r w:rsidRPr="00E73B3C">
              <w:rPr>
                <w:rFonts w:ascii="Times New Roman" w:hAnsi="Times New Roman" w:cs="Times New Roman"/>
                <w:b/>
                <w:bCs/>
              </w:rPr>
              <w:t>Coronary Artery Disease</w:t>
            </w:r>
          </w:p>
        </w:tc>
      </w:tr>
      <w:tr w:rsidR="005D69AE" w:rsidRPr="00E73B3C" w14:paraId="080258BE" w14:textId="77777777" w:rsidTr="004E4630">
        <w:tc>
          <w:tcPr>
            <w:tcW w:w="2518" w:type="dxa"/>
            <w:tcBorders>
              <w:top w:val="nil"/>
              <w:bottom w:val="nil"/>
            </w:tcBorders>
          </w:tcPr>
          <w:p w14:paraId="39C84DEE"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Yes</w:t>
            </w:r>
          </w:p>
        </w:tc>
        <w:tc>
          <w:tcPr>
            <w:tcW w:w="1701" w:type="dxa"/>
            <w:tcBorders>
              <w:top w:val="nil"/>
              <w:left w:val="nil"/>
              <w:bottom w:val="nil"/>
              <w:right w:val="nil"/>
            </w:tcBorders>
            <w:shd w:val="clear" w:color="auto" w:fill="auto"/>
            <w:vAlign w:val="bottom"/>
          </w:tcPr>
          <w:p w14:paraId="54627FC6"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5.1</w:t>
            </w:r>
          </w:p>
        </w:tc>
        <w:tc>
          <w:tcPr>
            <w:tcW w:w="1843" w:type="dxa"/>
            <w:tcBorders>
              <w:top w:val="nil"/>
              <w:left w:val="nil"/>
              <w:bottom w:val="nil"/>
              <w:right w:val="nil"/>
            </w:tcBorders>
            <w:shd w:val="clear" w:color="auto" w:fill="auto"/>
            <w:vAlign w:val="bottom"/>
          </w:tcPr>
          <w:p w14:paraId="61CCA060"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4.7, 5.5</w:t>
            </w:r>
          </w:p>
        </w:tc>
        <w:tc>
          <w:tcPr>
            <w:tcW w:w="1701" w:type="dxa"/>
            <w:tcBorders>
              <w:top w:val="nil"/>
              <w:left w:val="nil"/>
              <w:bottom w:val="nil"/>
              <w:right w:val="nil"/>
            </w:tcBorders>
            <w:shd w:val="clear" w:color="auto" w:fill="auto"/>
            <w:vAlign w:val="bottom"/>
          </w:tcPr>
          <w:p w14:paraId="02316DBA"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2.6</w:t>
            </w:r>
          </w:p>
        </w:tc>
        <w:tc>
          <w:tcPr>
            <w:tcW w:w="2268" w:type="dxa"/>
            <w:tcBorders>
              <w:top w:val="nil"/>
              <w:left w:val="nil"/>
              <w:bottom w:val="nil"/>
              <w:right w:val="nil"/>
            </w:tcBorders>
            <w:shd w:val="clear" w:color="auto" w:fill="auto"/>
            <w:vAlign w:val="bottom"/>
          </w:tcPr>
          <w:p w14:paraId="3D4B2CCC"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2.4, 2.8</w:t>
            </w:r>
          </w:p>
        </w:tc>
      </w:tr>
      <w:tr w:rsidR="005D69AE" w:rsidRPr="00E73B3C" w14:paraId="11A57E9F" w14:textId="77777777" w:rsidTr="004E4630">
        <w:tc>
          <w:tcPr>
            <w:tcW w:w="2518" w:type="dxa"/>
            <w:tcBorders>
              <w:top w:val="nil"/>
              <w:bottom w:val="nil"/>
            </w:tcBorders>
          </w:tcPr>
          <w:p w14:paraId="5D133834"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No</w:t>
            </w:r>
          </w:p>
        </w:tc>
        <w:tc>
          <w:tcPr>
            <w:tcW w:w="7513" w:type="dxa"/>
            <w:gridSpan w:val="4"/>
            <w:tcBorders>
              <w:top w:val="nil"/>
              <w:bottom w:val="nil"/>
            </w:tcBorders>
            <w:vAlign w:val="center"/>
          </w:tcPr>
          <w:p w14:paraId="45601229" w14:textId="77777777" w:rsidR="005D69AE" w:rsidRPr="00E73B3C" w:rsidRDefault="005D69AE" w:rsidP="00D906FC">
            <w:pPr>
              <w:rPr>
                <w:rFonts w:ascii="Times New Roman" w:hAnsi="Times New Roman" w:cs="Times New Roman"/>
                <w:i/>
                <w:iCs/>
              </w:rPr>
            </w:pPr>
            <w:r w:rsidRPr="00E73B3C">
              <w:rPr>
                <w:rFonts w:ascii="Times New Roman" w:hAnsi="Times New Roman" w:cs="Times New Roman"/>
                <w:i/>
                <w:iCs/>
              </w:rPr>
              <w:t>Reference</w:t>
            </w:r>
          </w:p>
        </w:tc>
      </w:tr>
      <w:tr w:rsidR="005D69AE" w:rsidRPr="00E73B3C" w14:paraId="441737A5" w14:textId="77777777" w:rsidTr="004E4630">
        <w:tc>
          <w:tcPr>
            <w:tcW w:w="2518" w:type="dxa"/>
            <w:tcBorders>
              <w:top w:val="nil"/>
              <w:bottom w:val="nil"/>
            </w:tcBorders>
          </w:tcPr>
          <w:p w14:paraId="14F7576E" w14:textId="77777777" w:rsidR="005D69AE" w:rsidRPr="00E73B3C" w:rsidRDefault="005D69AE" w:rsidP="00D906FC">
            <w:pPr>
              <w:rPr>
                <w:rFonts w:ascii="Times New Roman" w:hAnsi="Times New Roman" w:cs="Times New Roman"/>
              </w:rPr>
            </w:pPr>
            <w:r w:rsidRPr="00E73B3C">
              <w:rPr>
                <w:rFonts w:ascii="Times New Roman" w:hAnsi="Times New Roman" w:cs="Times New Roman"/>
                <w:b/>
                <w:bCs/>
              </w:rPr>
              <w:t>Stroke</w:t>
            </w:r>
          </w:p>
        </w:tc>
        <w:tc>
          <w:tcPr>
            <w:tcW w:w="1701" w:type="dxa"/>
            <w:tcBorders>
              <w:top w:val="nil"/>
              <w:bottom w:val="nil"/>
            </w:tcBorders>
            <w:vAlign w:val="center"/>
          </w:tcPr>
          <w:p w14:paraId="6FE1DD3E" w14:textId="77777777" w:rsidR="005D69AE" w:rsidRPr="00E73B3C" w:rsidRDefault="005D69AE" w:rsidP="00D906FC">
            <w:pPr>
              <w:jc w:val="center"/>
              <w:rPr>
                <w:rFonts w:ascii="Times New Roman" w:hAnsi="Times New Roman" w:cs="Times New Roman"/>
              </w:rPr>
            </w:pPr>
          </w:p>
        </w:tc>
        <w:tc>
          <w:tcPr>
            <w:tcW w:w="1843" w:type="dxa"/>
            <w:tcBorders>
              <w:top w:val="nil"/>
              <w:bottom w:val="nil"/>
            </w:tcBorders>
            <w:vAlign w:val="center"/>
          </w:tcPr>
          <w:p w14:paraId="46F17BE6" w14:textId="77777777" w:rsidR="005D69AE" w:rsidRPr="00E73B3C" w:rsidRDefault="005D69AE" w:rsidP="00D906FC">
            <w:pPr>
              <w:jc w:val="center"/>
              <w:rPr>
                <w:rFonts w:ascii="Times New Roman" w:hAnsi="Times New Roman" w:cs="Times New Roman"/>
              </w:rPr>
            </w:pPr>
          </w:p>
        </w:tc>
        <w:tc>
          <w:tcPr>
            <w:tcW w:w="1701" w:type="dxa"/>
            <w:tcBorders>
              <w:top w:val="nil"/>
              <w:bottom w:val="nil"/>
            </w:tcBorders>
            <w:vAlign w:val="center"/>
          </w:tcPr>
          <w:p w14:paraId="392B0172" w14:textId="77777777" w:rsidR="005D69AE" w:rsidRPr="00E73B3C" w:rsidRDefault="005D69AE" w:rsidP="00D906FC">
            <w:pPr>
              <w:jc w:val="center"/>
              <w:rPr>
                <w:rFonts w:ascii="Times New Roman" w:hAnsi="Times New Roman" w:cs="Times New Roman"/>
              </w:rPr>
            </w:pPr>
          </w:p>
        </w:tc>
        <w:tc>
          <w:tcPr>
            <w:tcW w:w="2268" w:type="dxa"/>
            <w:tcBorders>
              <w:top w:val="nil"/>
              <w:bottom w:val="nil"/>
            </w:tcBorders>
            <w:vAlign w:val="center"/>
          </w:tcPr>
          <w:p w14:paraId="41E3328E" w14:textId="77777777" w:rsidR="005D69AE" w:rsidRPr="00E73B3C" w:rsidRDefault="005D69AE" w:rsidP="00D906FC">
            <w:pPr>
              <w:jc w:val="center"/>
              <w:rPr>
                <w:rFonts w:ascii="Times New Roman" w:hAnsi="Times New Roman" w:cs="Times New Roman"/>
              </w:rPr>
            </w:pPr>
          </w:p>
        </w:tc>
      </w:tr>
      <w:tr w:rsidR="005D69AE" w:rsidRPr="00E73B3C" w14:paraId="5D9CCD1D" w14:textId="77777777" w:rsidTr="004E4630">
        <w:tc>
          <w:tcPr>
            <w:tcW w:w="2518" w:type="dxa"/>
            <w:tcBorders>
              <w:top w:val="nil"/>
              <w:bottom w:val="nil"/>
            </w:tcBorders>
          </w:tcPr>
          <w:p w14:paraId="49BE8869"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Yes</w:t>
            </w:r>
          </w:p>
        </w:tc>
        <w:tc>
          <w:tcPr>
            <w:tcW w:w="1701" w:type="dxa"/>
            <w:tcBorders>
              <w:top w:val="nil"/>
              <w:left w:val="nil"/>
              <w:bottom w:val="nil"/>
              <w:right w:val="nil"/>
            </w:tcBorders>
            <w:shd w:val="clear" w:color="auto" w:fill="auto"/>
            <w:vAlign w:val="bottom"/>
          </w:tcPr>
          <w:p w14:paraId="2D840B52"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5.0</w:t>
            </w:r>
          </w:p>
        </w:tc>
        <w:tc>
          <w:tcPr>
            <w:tcW w:w="1843" w:type="dxa"/>
            <w:tcBorders>
              <w:top w:val="nil"/>
              <w:left w:val="nil"/>
              <w:bottom w:val="nil"/>
              <w:right w:val="nil"/>
            </w:tcBorders>
            <w:shd w:val="clear" w:color="auto" w:fill="auto"/>
            <w:vAlign w:val="bottom"/>
          </w:tcPr>
          <w:p w14:paraId="3DB32733"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4.4, 5.8</w:t>
            </w:r>
          </w:p>
        </w:tc>
        <w:tc>
          <w:tcPr>
            <w:tcW w:w="1701" w:type="dxa"/>
            <w:tcBorders>
              <w:top w:val="nil"/>
              <w:left w:val="nil"/>
              <w:bottom w:val="nil"/>
              <w:right w:val="nil"/>
            </w:tcBorders>
            <w:shd w:val="clear" w:color="auto" w:fill="auto"/>
            <w:vAlign w:val="bottom"/>
          </w:tcPr>
          <w:p w14:paraId="1CF3A446"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N/A</w:t>
            </w:r>
          </w:p>
        </w:tc>
        <w:tc>
          <w:tcPr>
            <w:tcW w:w="2268" w:type="dxa"/>
            <w:tcBorders>
              <w:top w:val="nil"/>
              <w:left w:val="nil"/>
              <w:bottom w:val="nil"/>
              <w:right w:val="nil"/>
            </w:tcBorders>
            <w:shd w:val="clear" w:color="auto" w:fill="auto"/>
            <w:vAlign w:val="bottom"/>
          </w:tcPr>
          <w:p w14:paraId="49F1D59D"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N/A</w:t>
            </w:r>
          </w:p>
        </w:tc>
      </w:tr>
      <w:tr w:rsidR="005D69AE" w:rsidRPr="00E73B3C" w14:paraId="5C0B0364" w14:textId="77777777" w:rsidTr="004E4630">
        <w:tc>
          <w:tcPr>
            <w:tcW w:w="2518" w:type="dxa"/>
            <w:tcBorders>
              <w:top w:val="nil"/>
              <w:bottom w:val="nil"/>
            </w:tcBorders>
          </w:tcPr>
          <w:p w14:paraId="6375ACA5"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No</w:t>
            </w:r>
          </w:p>
        </w:tc>
        <w:tc>
          <w:tcPr>
            <w:tcW w:w="7513" w:type="dxa"/>
            <w:gridSpan w:val="4"/>
            <w:tcBorders>
              <w:top w:val="nil"/>
              <w:bottom w:val="nil"/>
            </w:tcBorders>
            <w:vAlign w:val="center"/>
          </w:tcPr>
          <w:p w14:paraId="346D3159" w14:textId="77777777" w:rsidR="005D69AE" w:rsidRPr="00E73B3C" w:rsidRDefault="005D69AE" w:rsidP="00D906FC">
            <w:pPr>
              <w:rPr>
                <w:rFonts w:ascii="Times New Roman" w:hAnsi="Times New Roman" w:cs="Times New Roman"/>
                <w:i/>
                <w:iCs/>
              </w:rPr>
            </w:pPr>
            <w:r w:rsidRPr="00E73B3C">
              <w:rPr>
                <w:rFonts w:ascii="Times New Roman" w:hAnsi="Times New Roman" w:cs="Times New Roman"/>
                <w:i/>
                <w:iCs/>
              </w:rPr>
              <w:t>Reference</w:t>
            </w:r>
          </w:p>
        </w:tc>
      </w:tr>
      <w:tr w:rsidR="005D69AE" w:rsidRPr="00E73B3C" w14:paraId="38072559" w14:textId="77777777" w:rsidTr="004E4630">
        <w:tc>
          <w:tcPr>
            <w:tcW w:w="10031" w:type="dxa"/>
            <w:gridSpan w:val="5"/>
            <w:tcBorders>
              <w:top w:val="nil"/>
              <w:bottom w:val="nil"/>
            </w:tcBorders>
            <w:vAlign w:val="center"/>
          </w:tcPr>
          <w:p w14:paraId="2D8DE7EC" w14:textId="77777777" w:rsidR="005D69AE" w:rsidRPr="00E73B3C" w:rsidRDefault="005D69AE" w:rsidP="00D906FC">
            <w:pPr>
              <w:rPr>
                <w:rFonts w:ascii="Times New Roman" w:hAnsi="Times New Roman" w:cs="Times New Roman"/>
              </w:rPr>
            </w:pPr>
            <w:r w:rsidRPr="00E73B3C">
              <w:rPr>
                <w:rFonts w:ascii="Times New Roman" w:hAnsi="Times New Roman" w:cs="Times New Roman"/>
                <w:b/>
                <w:bCs/>
              </w:rPr>
              <w:t>Myocardial Infarction</w:t>
            </w:r>
          </w:p>
        </w:tc>
      </w:tr>
      <w:tr w:rsidR="005D69AE" w:rsidRPr="00E73B3C" w14:paraId="54FB9E51" w14:textId="77777777" w:rsidTr="004E4630">
        <w:tc>
          <w:tcPr>
            <w:tcW w:w="2518" w:type="dxa"/>
            <w:tcBorders>
              <w:top w:val="nil"/>
              <w:bottom w:val="nil"/>
            </w:tcBorders>
          </w:tcPr>
          <w:p w14:paraId="05308E4B"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Yes</w:t>
            </w:r>
          </w:p>
        </w:tc>
        <w:tc>
          <w:tcPr>
            <w:tcW w:w="1701" w:type="dxa"/>
            <w:tcBorders>
              <w:top w:val="nil"/>
              <w:left w:val="nil"/>
              <w:bottom w:val="nil"/>
              <w:right w:val="nil"/>
            </w:tcBorders>
            <w:shd w:val="clear" w:color="auto" w:fill="auto"/>
            <w:vAlign w:val="bottom"/>
          </w:tcPr>
          <w:p w14:paraId="32CF873F"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4.6</w:t>
            </w:r>
          </w:p>
        </w:tc>
        <w:tc>
          <w:tcPr>
            <w:tcW w:w="1843" w:type="dxa"/>
            <w:tcBorders>
              <w:top w:val="nil"/>
              <w:left w:val="nil"/>
              <w:bottom w:val="nil"/>
              <w:right w:val="nil"/>
            </w:tcBorders>
            <w:shd w:val="clear" w:color="auto" w:fill="auto"/>
            <w:vAlign w:val="bottom"/>
          </w:tcPr>
          <w:p w14:paraId="5E8457F9"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4.3, 4.7</w:t>
            </w:r>
          </w:p>
        </w:tc>
        <w:tc>
          <w:tcPr>
            <w:tcW w:w="1701" w:type="dxa"/>
            <w:tcBorders>
              <w:top w:val="nil"/>
              <w:left w:val="nil"/>
              <w:bottom w:val="nil"/>
              <w:right w:val="nil"/>
            </w:tcBorders>
            <w:shd w:val="clear" w:color="auto" w:fill="auto"/>
            <w:vAlign w:val="bottom"/>
          </w:tcPr>
          <w:p w14:paraId="162FCE5E"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2.7</w:t>
            </w:r>
          </w:p>
        </w:tc>
        <w:tc>
          <w:tcPr>
            <w:tcW w:w="2268" w:type="dxa"/>
            <w:tcBorders>
              <w:top w:val="nil"/>
              <w:left w:val="nil"/>
              <w:bottom w:val="nil"/>
              <w:right w:val="nil"/>
            </w:tcBorders>
            <w:shd w:val="clear" w:color="auto" w:fill="auto"/>
            <w:vAlign w:val="bottom"/>
          </w:tcPr>
          <w:p w14:paraId="430C96A2"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2.6, 3.1</w:t>
            </w:r>
          </w:p>
        </w:tc>
      </w:tr>
      <w:tr w:rsidR="005D69AE" w:rsidRPr="00E73B3C" w14:paraId="1A770C0C" w14:textId="77777777" w:rsidTr="004E4630">
        <w:tc>
          <w:tcPr>
            <w:tcW w:w="2518" w:type="dxa"/>
            <w:tcBorders>
              <w:top w:val="nil"/>
              <w:bottom w:val="nil"/>
            </w:tcBorders>
          </w:tcPr>
          <w:p w14:paraId="53F55E9E"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No</w:t>
            </w:r>
          </w:p>
        </w:tc>
        <w:tc>
          <w:tcPr>
            <w:tcW w:w="7513" w:type="dxa"/>
            <w:gridSpan w:val="4"/>
            <w:tcBorders>
              <w:top w:val="nil"/>
              <w:bottom w:val="nil"/>
            </w:tcBorders>
            <w:vAlign w:val="center"/>
          </w:tcPr>
          <w:p w14:paraId="073BC166" w14:textId="77777777" w:rsidR="005D69AE" w:rsidRPr="00E73B3C" w:rsidRDefault="005D69AE" w:rsidP="00D906FC">
            <w:pPr>
              <w:rPr>
                <w:rFonts w:ascii="Times New Roman" w:hAnsi="Times New Roman" w:cs="Times New Roman"/>
                <w:i/>
                <w:iCs/>
              </w:rPr>
            </w:pPr>
            <w:r w:rsidRPr="00E73B3C">
              <w:rPr>
                <w:rFonts w:ascii="Times New Roman" w:hAnsi="Times New Roman" w:cs="Times New Roman"/>
                <w:i/>
                <w:iCs/>
              </w:rPr>
              <w:t>Reference</w:t>
            </w:r>
          </w:p>
        </w:tc>
      </w:tr>
      <w:tr w:rsidR="005D69AE" w:rsidRPr="00E73B3C" w14:paraId="36268C56" w14:textId="77777777" w:rsidTr="004E4630">
        <w:tc>
          <w:tcPr>
            <w:tcW w:w="10031" w:type="dxa"/>
            <w:gridSpan w:val="5"/>
            <w:tcBorders>
              <w:top w:val="nil"/>
              <w:bottom w:val="nil"/>
            </w:tcBorders>
            <w:vAlign w:val="center"/>
          </w:tcPr>
          <w:p w14:paraId="6415DF5B" w14:textId="77777777" w:rsidR="005D69AE" w:rsidRPr="00E73B3C" w:rsidRDefault="005D69AE" w:rsidP="00D906FC">
            <w:pPr>
              <w:rPr>
                <w:rFonts w:ascii="Times New Roman" w:hAnsi="Times New Roman" w:cs="Times New Roman"/>
              </w:rPr>
            </w:pPr>
            <w:r w:rsidRPr="00E73B3C">
              <w:rPr>
                <w:rFonts w:ascii="Times New Roman" w:hAnsi="Times New Roman" w:cs="Times New Roman"/>
                <w:b/>
                <w:bCs/>
                <w:vertAlign w:val="superscript"/>
              </w:rPr>
              <w:t>2</w:t>
            </w:r>
            <w:r w:rsidRPr="00E73B3C">
              <w:rPr>
                <w:rFonts w:ascii="Times New Roman" w:hAnsi="Times New Roman" w:cs="Times New Roman"/>
                <w:b/>
                <w:bCs/>
              </w:rPr>
              <w:t>DOE Job Category</w:t>
            </w:r>
          </w:p>
        </w:tc>
      </w:tr>
      <w:tr w:rsidR="005D69AE" w:rsidRPr="00E73B3C" w14:paraId="4ABF4F8C" w14:textId="77777777" w:rsidTr="004E4630">
        <w:tc>
          <w:tcPr>
            <w:tcW w:w="2518" w:type="dxa"/>
            <w:tcBorders>
              <w:top w:val="nil"/>
              <w:bottom w:val="nil"/>
            </w:tcBorders>
            <w:vAlign w:val="bottom"/>
          </w:tcPr>
          <w:p w14:paraId="7FE296C1"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w:t>
            </w:r>
            <w:r w:rsidRPr="00E73B3C">
              <w:rPr>
                <w:rFonts w:ascii="Times New Roman" w:hAnsi="Times New Roman" w:cs="Times New Roman"/>
                <w:color w:val="000000"/>
              </w:rPr>
              <w:t>Uranium Processing Facilities</w:t>
            </w:r>
          </w:p>
        </w:tc>
        <w:tc>
          <w:tcPr>
            <w:tcW w:w="1701" w:type="dxa"/>
            <w:tcBorders>
              <w:top w:val="nil"/>
              <w:left w:val="nil"/>
              <w:bottom w:val="nil"/>
              <w:right w:val="nil"/>
            </w:tcBorders>
            <w:shd w:val="clear" w:color="auto" w:fill="auto"/>
            <w:vAlign w:val="bottom"/>
          </w:tcPr>
          <w:p w14:paraId="32BE7050"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3.3</w:t>
            </w:r>
          </w:p>
        </w:tc>
        <w:tc>
          <w:tcPr>
            <w:tcW w:w="1843" w:type="dxa"/>
            <w:tcBorders>
              <w:top w:val="nil"/>
              <w:left w:val="nil"/>
              <w:bottom w:val="nil"/>
              <w:right w:val="nil"/>
            </w:tcBorders>
            <w:shd w:val="clear" w:color="auto" w:fill="auto"/>
            <w:vAlign w:val="bottom"/>
          </w:tcPr>
          <w:p w14:paraId="4EE76CD3"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3.0, 3.7</w:t>
            </w:r>
          </w:p>
        </w:tc>
        <w:tc>
          <w:tcPr>
            <w:tcW w:w="1701" w:type="dxa"/>
            <w:tcBorders>
              <w:top w:val="nil"/>
              <w:left w:val="nil"/>
              <w:bottom w:val="nil"/>
              <w:right w:val="nil"/>
            </w:tcBorders>
            <w:shd w:val="clear" w:color="auto" w:fill="auto"/>
            <w:vAlign w:val="bottom"/>
          </w:tcPr>
          <w:p w14:paraId="1F46CA99"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N/A</w:t>
            </w:r>
          </w:p>
        </w:tc>
        <w:tc>
          <w:tcPr>
            <w:tcW w:w="2268" w:type="dxa"/>
            <w:tcBorders>
              <w:top w:val="nil"/>
              <w:left w:val="nil"/>
              <w:bottom w:val="nil"/>
              <w:right w:val="nil"/>
            </w:tcBorders>
            <w:shd w:val="clear" w:color="auto" w:fill="auto"/>
            <w:vAlign w:val="bottom"/>
          </w:tcPr>
          <w:p w14:paraId="79D7114A"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N/A</w:t>
            </w:r>
          </w:p>
        </w:tc>
      </w:tr>
      <w:tr w:rsidR="005D69AE" w:rsidRPr="00E73B3C" w14:paraId="56A76606" w14:textId="77777777" w:rsidTr="004E4630">
        <w:tc>
          <w:tcPr>
            <w:tcW w:w="2518" w:type="dxa"/>
            <w:tcBorders>
              <w:top w:val="nil"/>
              <w:bottom w:val="nil"/>
            </w:tcBorders>
            <w:vAlign w:val="bottom"/>
          </w:tcPr>
          <w:p w14:paraId="285B9DE1"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w:t>
            </w:r>
            <w:r w:rsidRPr="00E73B3C">
              <w:rPr>
                <w:rFonts w:ascii="Times New Roman" w:hAnsi="Times New Roman" w:cs="Times New Roman"/>
                <w:color w:val="000000"/>
              </w:rPr>
              <w:t>Weapons Production</w:t>
            </w:r>
          </w:p>
        </w:tc>
        <w:tc>
          <w:tcPr>
            <w:tcW w:w="1701" w:type="dxa"/>
            <w:tcBorders>
              <w:top w:val="nil"/>
              <w:left w:val="nil"/>
              <w:bottom w:val="nil"/>
              <w:right w:val="nil"/>
            </w:tcBorders>
            <w:shd w:val="clear" w:color="auto" w:fill="auto"/>
            <w:vAlign w:val="bottom"/>
          </w:tcPr>
          <w:p w14:paraId="5DC4896B"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7.9</w:t>
            </w:r>
          </w:p>
        </w:tc>
        <w:tc>
          <w:tcPr>
            <w:tcW w:w="1843" w:type="dxa"/>
            <w:tcBorders>
              <w:top w:val="nil"/>
              <w:left w:val="nil"/>
              <w:bottom w:val="nil"/>
              <w:right w:val="nil"/>
            </w:tcBorders>
            <w:shd w:val="clear" w:color="auto" w:fill="auto"/>
            <w:vAlign w:val="bottom"/>
          </w:tcPr>
          <w:p w14:paraId="57D8AF0D"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7.4, 8.4</w:t>
            </w:r>
          </w:p>
        </w:tc>
        <w:tc>
          <w:tcPr>
            <w:tcW w:w="1701" w:type="dxa"/>
            <w:tcBorders>
              <w:top w:val="nil"/>
              <w:left w:val="nil"/>
              <w:bottom w:val="nil"/>
              <w:right w:val="nil"/>
            </w:tcBorders>
            <w:shd w:val="clear" w:color="auto" w:fill="auto"/>
            <w:vAlign w:val="bottom"/>
          </w:tcPr>
          <w:p w14:paraId="2EC0761E"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N/A</w:t>
            </w:r>
          </w:p>
        </w:tc>
        <w:tc>
          <w:tcPr>
            <w:tcW w:w="2268" w:type="dxa"/>
            <w:tcBorders>
              <w:top w:val="nil"/>
              <w:left w:val="nil"/>
              <w:bottom w:val="nil"/>
              <w:right w:val="nil"/>
            </w:tcBorders>
            <w:shd w:val="clear" w:color="auto" w:fill="auto"/>
            <w:vAlign w:val="bottom"/>
          </w:tcPr>
          <w:p w14:paraId="2880220F"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N/A</w:t>
            </w:r>
          </w:p>
        </w:tc>
      </w:tr>
      <w:tr w:rsidR="005D69AE" w:rsidRPr="00E73B3C" w14:paraId="0FBED829" w14:textId="77777777" w:rsidTr="004E4630">
        <w:tc>
          <w:tcPr>
            <w:tcW w:w="2518" w:type="dxa"/>
            <w:tcBorders>
              <w:top w:val="nil"/>
              <w:bottom w:val="nil"/>
            </w:tcBorders>
            <w:vAlign w:val="bottom"/>
          </w:tcPr>
          <w:p w14:paraId="6F01E671"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w:t>
            </w:r>
            <w:r w:rsidRPr="00E73B3C">
              <w:rPr>
                <w:rFonts w:ascii="Times New Roman" w:hAnsi="Times New Roman" w:cs="Times New Roman"/>
                <w:color w:val="000000"/>
              </w:rPr>
              <w:t>Science and Laboratory Facilities</w:t>
            </w:r>
          </w:p>
        </w:tc>
        <w:tc>
          <w:tcPr>
            <w:tcW w:w="7513" w:type="dxa"/>
            <w:gridSpan w:val="4"/>
            <w:tcBorders>
              <w:top w:val="nil"/>
              <w:bottom w:val="nil"/>
            </w:tcBorders>
            <w:vAlign w:val="center"/>
          </w:tcPr>
          <w:p w14:paraId="36F27D54" w14:textId="77777777" w:rsidR="005D69AE" w:rsidRPr="00E73B3C" w:rsidRDefault="005D69AE" w:rsidP="00D906FC">
            <w:pPr>
              <w:rPr>
                <w:rFonts w:ascii="Times New Roman" w:hAnsi="Times New Roman" w:cs="Times New Roman"/>
                <w:i/>
                <w:iCs/>
              </w:rPr>
            </w:pPr>
            <w:r w:rsidRPr="00E73B3C">
              <w:rPr>
                <w:rFonts w:ascii="Times New Roman" w:hAnsi="Times New Roman" w:cs="Times New Roman"/>
                <w:i/>
                <w:iCs/>
              </w:rPr>
              <w:t>Reference</w:t>
            </w:r>
          </w:p>
        </w:tc>
      </w:tr>
      <w:tr w:rsidR="005D69AE" w:rsidRPr="00E73B3C" w14:paraId="050E0F89" w14:textId="77777777" w:rsidTr="004E4630">
        <w:tc>
          <w:tcPr>
            <w:tcW w:w="2518" w:type="dxa"/>
            <w:tcBorders>
              <w:top w:val="nil"/>
              <w:bottom w:val="nil"/>
            </w:tcBorders>
          </w:tcPr>
          <w:p w14:paraId="27774BCD"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b/>
                <w:bCs/>
              </w:rPr>
              <w:t>Lung Cancer</w:t>
            </w:r>
          </w:p>
        </w:tc>
        <w:tc>
          <w:tcPr>
            <w:tcW w:w="1701" w:type="dxa"/>
            <w:tcBorders>
              <w:top w:val="nil"/>
              <w:bottom w:val="nil"/>
            </w:tcBorders>
            <w:vAlign w:val="center"/>
          </w:tcPr>
          <w:p w14:paraId="26A3C613" w14:textId="77777777" w:rsidR="005D69AE" w:rsidRPr="00E73B3C" w:rsidRDefault="005D69AE" w:rsidP="00D906FC">
            <w:pPr>
              <w:rPr>
                <w:rFonts w:ascii="Times New Roman" w:hAnsi="Times New Roman" w:cs="Times New Roman"/>
                <w:b/>
                <w:bCs/>
              </w:rPr>
            </w:pPr>
          </w:p>
        </w:tc>
        <w:tc>
          <w:tcPr>
            <w:tcW w:w="1843" w:type="dxa"/>
            <w:tcBorders>
              <w:top w:val="nil"/>
              <w:bottom w:val="nil"/>
            </w:tcBorders>
            <w:vAlign w:val="center"/>
          </w:tcPr>
          <w:p w14:paraId="73F28F21" w14:textId="77777777" w:rsidR="005D69AE" w:rsidRPr="00E73B3C" w:rsidRDefault="005D69AE" w:rsidP="00D906FC">
            <w:pPr>
              <w:rPr>
                <w:rFonts w:ascii="Times New Roman" w:hAnsi="Times New Roman" w:cs="Times New Roman"/>
                <w:b/>
                <w:bCs/>
              </w:rPr>
            </w:pPr>
          </w:p>
        </w:tc>
        <w:tc>
          <w:tcPr>
            <w:tcW w:w="1701" w:type="dxa"/>
            <w:tcBorders>
              <w:top w:val="nil"/>
              <w:bottom w:val="nil"/>
            </w:tcBorders>
            <w:vAlign w:val="center"/>
          </w:tcPr>
          <w:p w14:paraId="3B69E916" w14:textId="77777777" w:rsidR="005D69AE" w:rsidRPr="00E73B3C" w:rsidRDefault="005D69AE" w:rsidP="00D906FC">
            <w:pPr>
              <w:rPr>
                <w:rFonts w:ascii="Times New Roman" w:hAnsi="Times New Roman" w:cs="Times New Roman"/>
                <w:b/>
                <w:bCs/>
              </w:rPr>
            </w:pPr>
          </w:p>
        </w:tc>
        <w:tc>
          <w:tcPr>
            <w:tcW w:w="2268" w:type="dxa"/>
            <w:tcBorders>
              <w:top w:val="nil"/>
              <w:bottom w:val="nil"/>
            </w:tcBorders>
            <w:vAlign w:val="center"/>
          </w:tcPr>
          <w:p w14:paraId="691FD3D2" w14:textId="77777777" w:rsidR="005D69AE" w:rsidRPr="00E73B3C" w:rsidRDefault="005D69AE" w:rsidP="00D906FC">
            <w:pPr>
              <w:rPr>
                <w:rFonts w:ascii="Times New Roman" w:hAnsi="Times New Roman" w:cs="Times New Roman"/>
                <w:b/>
                <w:bCs/>
              </w:rPr>
            </w:pPr>
          </w:p>
        </w:tc>
      </w:tr>
      <w:tr w:rsidR="005D69AE" w:rsidRPr="00E73B3C" w14:paraId="6E43048A" w14:textId="77777777" w:rsidTr="004E4630">
        <w:tc>
          <w:tcPr>
            <w:tcW w:w="2518" w:type="dxa"/>
            <w:tcBorders>
              <w:top w:val="nil"/>
              <w:bottom w:val="nil"/>
            </w:tcBorders>
          </w:tcPr>
          <w:p w14:paraId="0776B1FF"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Yes</w:t>
            </w:r>
          </w:p>
        </w:tc>
        <w:tc>
          <w:tcPr>
            <w:tcW w:w="1701" w:type="dxa"/>
            <w:tcBorders>
              <w:top w:val="nil"/>
              <w:bottom w:val="nil"/>
            </w:tcBorders>
            <w:vAlign w:val="bottom"/>
          </w:tcPr>
          <w:p w14:paraId="6F973217"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color w:val="000000"/>
              </w:rPr>
              <w:t>1.9</w:t>
            </w:r>
          </w:p>
        </w:tc>
        <w:tc>
          <w:tcPr>
            <w:tcW w:w="1843" w:type="dxa"/>
            <w:tcBorders>
              <w:top w:val="nil"/>
              <w:bottom w:val="nil"/>
            </w:tcBorders>
            <w:vAlign w:val="bottom"/>
          </w:tcPr>
          <w:p w14:paraId="16698DE0"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color w:val="000000"/>
              </w:rPr>
              <w:t>1.6, 2.2</w:t>
            </w:r>
          </w:p>
        </w:tc>
        <w:tc>
          <w:tcPr>
            <w:tcW w:w="1701" w:type="dxa"/>
            <w:tcBorders>
              <w:top w:val="nil"/>
              <w:bottom w:val="nil"/>
            </w:tcBorders>
            <w:vAlign w:val="bottom"/>
          </w:tcPr>
          <w:p w14:paraId="6A74850B"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0.9</w:t>
            </w:r>
          </w:p>
        </w:tc>
        <w:tc>
          <w:tcPr>
            <w:tcW w:w="2268" w:type="dxa"/>
            <w:tcBorders>
              <w:top w:val="nil"/>
              <w:bottom w:val="nil"/>
            </w:tcBorders>
            <w:vAlign w:val="bottom"/>
          </w:tcPr>
          <w:p w14:paraId="1320D974"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0.8, 1.0</w:t>
            </w:r>
          </w:p>
        </w:tc>
      </w:tr>
      <w:tr w:rsidR="005D69AE" w:rsidRPr="00E73B3C" w14:paraId="0225A6D9" w14:textId="77777777" w:rsidTr="004E4630">
        <w:tc>
          <w:tcPr>
            <w:tcW w:w="2518" w:type="dxa"/>
            <w:tcBorders>
              <w:top w:val="nil"/>
              <w:bottom w:val="nil"/>
            </w:tcBorders>
          </w:tcPr>
          <w:p w14:paraId="1C121453"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No</w:t>
            </w:r>
          </w:p>
        </w:tc>
        <w:tc>
          <w:tcPr>
            <w:tcW w:w="7513" w:type="dxa"/>
            <w:gridSpan w:val="4"/>
            <w:tcBorders>
              <w:top w:val="nil"/>
              <w:bottom w:val="nil"/>
            </w:tcBorders>
            <w:vAlign w:val="center"/>
          </w:tcPr>
          <w:p w14:paraId="7CA28718"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i/>
                <w:iCs/>
              </w:rPr>
              <w:t>Reference</w:t>
            </w:r>
          </w:p>
        </w:tc>
      </w:tr>
      <w:tr w:rsidR="005D69AE" w:rsidRPr="00E73B3C" w14:paraId="79121494" w14:textId="77777777" w:rsidTr="004E4630">
        <w:tc>
          <w:tcPr>
            <w:tcW w:w="2518" w:type="dxa"/>
            <w:tcBorders>
              <w:top w:val="nil"/>
              <w:bottom w:val="nil"/>
            </w:tcBorders>
          </w:tcPr>
          <w:p w14:paraId="797E8182" w14:textId="77777777" w:rsidR="005D69AE" w:rsidRPr="00E73B3C" w:rsidRDefault="005D69AE" w:rsidP="00D906FC">
            <w:pPr>
              <w:rPr>
                <w:rFonts w:ascii="Times New Roman" w:hAnsi="Times New Roman" w:cs="Times New Roman"/>
              </w:rPr>
            </w:pPr>
            <w:r w:rsidRPr="00E73B3C">
              <w:rPr>
                <w:rFonts w:ascii="Times New Roman" w:hAnsi="Times New Roman" w:cs="Times New Roman"/>
                <w:b/>
                <w:bCs/>
              </w:rPr>
              <w:t>Silica Exposure</w:t>
            </w:r>
          </w:p>
        </w:tc>
        <w:tc>
          <w:tcPr>
            <w:tcW w:w="1701" w:type="dxa"/>
            <w:tcBorders>
              <w:top w:val="nil"/>
              <w:bottom w:val="nil"/>
            </w:tcBorders>
            <w:vAlign w:val="center"/>
          </w:tcPr>
          <w:p w14:paraId="053B5EA7" w14:textId="77777777" w:rsidR="005D69AE" w:rsidRPr="00E73B3C" w:rsidRDefault="005D69AE" w:rsidP="00D906FC">
            <w:pPr>
              <w:rPr>
                <w:rFonts w:ascii="Times New Roman" w:hAnsi="Times New Roman" w:cs="Times New Roman"/>
                <w:i/>
                <w:iCs/>
              </w:rPr>
            </w:pPr>
          </w:p>
        </w:tc>
        <w:tc>
          <w:tcPr>
            <w:tcW w:w="1843" w:type="dxa"/>
            <w:tcBorders>
              <w:top w:val="nil"/>
              <w:bottom w:val="nil"/>
            </w:tcBorders>
            <w:vAlign w:val="center"/>
          </w:tcPr>
          <w:p w14:paraId="51AAF1FA" w14:textId="77777777" w:rsidR="005D69AE" w:rsidRPr="00E73B3C" w:rsidRDefault="005D69AE" w:rsidP="00D906FC">
            <w:pPr>
              <w:rPr>
                <w:rFonts w:ascii="Times New Roman" w:hAnsi="Times New Roman" w:cs="Times New Roman"/>
                <w:b/>
                <w:bCs/>
              </w:rPr>
            </w:pPr>
          </w:p>
        </w:tc>
        <w:tc>
          <w:tcPr>
            <w:tcW w:w="1701" w:type="dxa"/>
            <w:tcBorders>
              <w:top w:val="nil"/>
              <w:bottom w:val="nil"/>
            </w:tcBorders>
            <w:vAlign w:val="center"/>
          </w:tcPr>
          <w:p w14:paraId="2611DE56" w14:textId="77777777" w:rsidR="005D69AE" w:rsidRPr="00E73B3C" w:rsidRDefault="005D69AE" w:rsidP="00D906FC">
            <w:pPr>
              <w:rPr>
                <w:rFonts w:ascii="Times New Roman" w:hAnsi="Times New Roman" w:cs="Times New Roman"/>
                <w:b/>
                <w:bCs/>
              </w:rPr>
            </w:pPr>
          </w:p>
        </w:tc>
        <w:tc>
          <w:tcPr>
            <w:tcW w:w="2268" w:type="dxa"/>
            <w:tcBorders>
              <w:top w:val="nil"/>
              <w:bottom w:val="nil"/>
            </w:tcBorders>
            <w:vAlign w:val="center"/>
          </w:tcPr>
          <w:p w14:paraId="168B4CE8" w14:textId="77777777" w:rsidR="005D69AE" w:rsidRPr="00E73B3C" w:rsidRDefault="005D69AE" w:rsidP="00D906FC">
            <w:pPr>
              <w:rPr>
                <w:rFonts w:ascii="Times New Roman" w:hAnsi="Times New Roman" w:cs="Times New Roman"/>
                <w:b/>
                <w:bCs/>
              </w:rPr>
            </w:pPr>
          </w:p>
        </w:tc>
      </w:tr>
      <w:tr w:rsidR="005D69AE" w:rsidRPr="00E73B3C" w14:paraId="5E6627A1" w14:textId="77777777" w:rsidTr="004E4630">
        <w:tc>
          <w:tcPr>
            <w:tcW w:w="2518" w:type="dxa"/>
            <w:tcBorders>
              <w:top w:val="nil"/>
              <w:bottom w:val="nil"/>
            </w:tcBorders>
          </w:tcPr>
          <w:p w14:paraId="45AC69BA"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Yes</w:t>
            </w:r>
          </w:p>
        </w:tc>
        <w:tc>
          <w:tcPr>
            <w:tcW w:w="1701" w:type="dxa"/>
            <w:tcBorders>
              <w:top w:val="nil"/>
              <w:bottom w:val="nil"/>
            </w:tcBorders>
            <w:vAlign w:val="center"/>
          </w:tcPr>
          <w:p w14:paraId="0260D712" w14:textId="77777777" w:rsidR="005D69AE" w:rsidRPr="00E73B3C" w:rsidRDefault="005D69AE" w:rsidP="00D906FC">
            <w:pPr>
              <w:rPr>
                <w:rFonts w:ascii="Times New Roman" w:hAnsi="Times New Roman" w:cs="Times New Roman"/>
                <w:i/>
                <w:iCs/>
              </w:rPr>
            </w:pPr>
            <w:r w:rsidRPr="00E73B3C">
              <w:rPr>
                <w:rFonts w:ascii="Times New Roman" w:hAnsi="Times New Roman" w:cs="Times New Roman"/>
              </w:rPr>
              <w:t>N/A</w:t>
            </w:r>
          </w:p>
        </w:tc>
        <w:tc>
          <w:tcPr>
            <w:tcW w:w="1843" w:type="dxa"/>
            <w:tcBorders>
              <w:top w:val="nil"/>
              <w:bottom w:val="nil"/>
            </w:tcBorders>
            <w:vAlign w:val="center"/>
          </w:tcPr>
          <w:p w14:paraId="5827807D"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N/A</w:t>
            </w:r>
          </w:p>
        </w:tc>
        <w:tc>
          <w:tcPr>
            <w:tcW w:w="1701" w:type="dxa"/>
            <w:tcBorders>
              <w:top w:val="nil"/>
              <w:bottom w:val="nil"/>
            </w:tcBorders>
            <w:vAlign w:val="center"/>
          </w:tcPr>
          <w:p w14:paraId="7E792907"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5.1</w:t>
            </w:r>
          </w:p>
        </w:tc>
        <w:tc>
          <w:tcPr>
            <w:tcW w:w="2268" w:type="dxa"/>
            <w:tcBorders>
              <w:top w:val="nil"/>
              <w:bottom w:val="nil"/>
            </w:tcBorders>
            <w:vAlign w:val="center"/>
          </w:tcPr>
          <w:p w14:paraId="0927FEC9"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5.0, 5.4</w:t>
            </w:r>
          </w:p>
        </w:tc>
      </w:tr>
      <w:tr w:rsidR="005D69AE" w:rsidRPr="00E73B3C" w14:paraId="3033370A" w14:textId="77777777" w:rsidTr="004E4630">
        <w:tc>
          <w:tcPr>
            <w:tcW w:w="2518" w:type="dxa"/>
            <w:tcBorders>
              <w:top w:val="nil"/>
              <w:bottom w:val="nil"/>
            </w:tcBorders>
          </w:tcPr>
          <w:p w14:paraId="100B37B0"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No</w:t>
            </w:r>
          </w:p>
        </w:tc>
        <w:tc>
          <w:tcPr>
            <w:tcW w:w="7513" w:type="dxa"/>
            <w:gridSpan w:val="4"/>
            <w:tcBorders>
              <w:top w:val="nil"/>
              <w:bottom w:val="nil"/>
            </w:tcBorders>
            <w:vAlign w:val="center"/>
          </w:tcPr>
          <w:p w14:paraId="19641981"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i/>
                <w:iCs/>
              </w:rPr>
              <w:t>Reference</w:t>
            </w:r>
          </w:p>
        </w:tc>
      </w:tr>
      <w:tr w:rsidR="005D69AE" w:rsidRPr="00E73B3C" w14:paraId="63A80AB8" w14:textId="77777777" w:rsidTr="004E4630">
        <w:tc>
          <w:tcPr>
            <w:tcW w:w="2518" w:type="dxa"/>
            <w:tcBorders>
              <w:top w:val="nil"/>
              <w:bottom w:val="nil"/>
            </w:tcBorders>
          </w:tcPr>
          <w:p w14:paraId="37D357EB" w14:textId="77777777" w:rsidR="005D69AE" w:rsidRPr="00E73B3C" w:rsidRDefault="005D69AE" w:rsidP="00D906FC">
            <w:pPr>
              <w:rPr>
                <w:rFonts w:ascii="Times New Roman" w:hAnsi="Times New Roman" w:cs="Times New Roman"/>
              </w:rPr>
            </w:pPr>
            <w:r w:rsidRPr="00E73B3C">
              <w:rPr>
                <w:rFonts w:ascii="Times New Roman" w:hAnsi="Times New Roman" w:cs="Times New Roman"/>
                <w:b/>
                <w:bCs/>
              </w:rPr>
              <w:t>Overweight and Obese</w:t>
            </w:r>
          </w:p>
        </w:tc>
        <w:tc>
          <w:tcPr>
            <w:tcW w:w="1701" w:type="dxa"/>
            <w:tcBorders>
              <w:top w:val="nil"/>
              <w:bottom w:val="nil"/>
            </w:tcBorders>
            <w:vAlign w:val="center"/>
          </w:tcPr>
          <w:p w14:paraId="41E0B1AE" w14:textId="77777777" w:rsidR="005D69AE" w:rsidRPr="00E73B3C" w:rsidRDefault="005D69AE" w:rsidP="00D906FC">
            <w:pPr>
              <w:rPr>
                <w:rFonts w:ascii="Times New Roman" w:hAnsi="Times New Roman" w:cs="Times New Roman"/>
                <w:i/>
                <w:iCs/>
              </w:rPr>
            </w:pPr>
          </w:p>
        </w:tc>
        <w:tc>
          <w:tcPr>
            <w:tcW w:w="1843" w:type="dxa"/>
            <w:tcBorders>
              <w:top w:val="nil"/>
              <w:bottom w:val="nil"/>
            </w:tcBorders>
            <w:vAlign w:val="center"/>
          </w:tcPr>
          <w:p w14:paraId="640D3BD9" w14:textId="77777777" w:rsidR="005D69AE" w:rsidRPr="00E73B3C" w:rsidRDefault="005D69AE" w:rsidP="00D906FC">
            <w:pPr>
              <w:rPr>
                <w:rFonts w:ascii="Times New Roman" w:hAnsi="Times New Roman" w:cs="Times New Roman"/>
                <w:b/>
                <w:bCs/>
              </w:rPr>
            </w:pPr>
          </w:p>
        </w:tc>
        <w:tc>
          <w:tcPr>
            <w:tcW w:w="1701" w:type="dxa"/>
            <w:tcBorders>
              <w:top w:val="nil"/>
              <w:bottom w:val="nil"/>
            </w:tcBorders>
            <w:vAlign w:val="center"/>
          </w:tcPr>
          <w:p w14:paraId="6ABDD34A" w14:textId="77777777" w:rsidR="005D69AE" w:rsidRPr="00E73B3C" w:rsidRDefault="005D69AE" w:rsidP="00D906FC">
            <w:pPr>
              <w:rPr>
                <w:rFonts w:ascii="Times New Roman" w:hAnsi="Times New Roman" w:cs="Times New Roman"/>
                <w:b/>
                <w:bCs/>
              </w:rPr>
            </w:pPr>
          </w:p>
        </w:tc>
        <w:tc>
          <w:tcPr>
            <w:tcW w:w="2268" w:type="dxa"/>
            <w:tcBorders>
              <w:top w:val="nil"/>
              <w:bottom w:val="nil"/>
            </w:tcBorders>
            <w:vAlign w:val="center"/>
          </w:tcPr>
          <w:p w14:paraId="0F5FA776" w14:textId="77777777" w:rsidR="005D69AE" w:rsidRPr="00E73B3C" w:rsidRDefault="005D69AE" w:rsidP="00D906FC">
            <w:pPr>
              <w:rPr>
                <w:rFonts w:ascii="Times New Roman" w:hAnsi="Times New Roman" w:cs="Times New Roman"/>
                <w:b/>
                <w:bCs/>
              </w:rPr>
            </w:pPr>
          </w:p>
        </w:tc>
      </w:tr>
      <w:tr w:rsidR="005D69AE" w:rsidRPr="00E73B3C" w14:paraId="2CF5906F" w14:textId="77777777" w:rsidTr="004E4630">
        <w:tc>
          <w:tcPr>
            <w:tcW w:w="2518" w:type="dxa"/>
            <w:tcBorders>
              <w:top w:val="nil"/>
              <w:bottom w:val="nil"/>
            </w:tcBorders>
          </w:tcPr>
          <w:p w14:paraId="40B01F2B"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Yes</w:t>
            </w:r>
          </w:p>
        </w:tc>
        <w:tc>
          <w:tcPr>
            <w:tcW w:w="1701" w:type="dxa"/>
            <w:tcBorders>
              <w:top w:val="nil"/>
              <w:bottom w:val="nil"/>
            </w:tcBorders>
            <w:vAlign w:val="center"/>
          </w:tcPr>
          <w:p w14:paraId="3FA884CB" w14:textId="77777777" w:rsidR="005D69AE" w:rsidRPr="00E73B3C" w:rsidRDefault="005D69AE" w:rsidP="00D906FC">
            <w:pPr>
              <w:rPr>
                <w:rFonts w:ascii="Times New Roman" w:hAnsi="Times New Roman" w:cs="Times New Roman"/>
                <w:i/>
                <w:iCs/>
              </w:rPr>
            </w:pPr>
            <w:r w:rsidRPr="00E73B3C">
              <w:rPr>
                <w:rFonts w:ascii="Times New Roman" w:hAnsi="Times New Roman" w:cs="Times New Roman"/>
              </w:rPr>
              <w:t>N/A</w:t>
            </w:r>
          </w:p>
        </w:tc>
        <w:tc>
          <w:tcPr>
            <w:tcW w:w="1843" w:type="dxa"/>
            <w:tcBorders>
              <w:top w:val="nil"/>
              <w:bottom w:val="nil"/>
            </w:tcBorders>
            <w:vAlign w:val="center"/>
          </w:tcPr>
          <w:p w14:paraId="3EFB4739"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N/A</w:t>
            </w:r>
          </w:p>
        </w:tc>
        <w:tc>
          <w:tcPr>
            <w:tcW w:w="1701" w:type="dxa"/>
            <w:tcBorders>
              <w:top w:val="nil"/>
              <w:bottom w:val="nil"/>
            </w:tcBorders>
            <w:vAlign w:val="center"/>
          </w:tcPr>
          <w:p w14:paraId="48E829A0"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4.3</w:t>
            </w:r>
          </w:p>
        </w:tc>
        <w:tc>
          <w:tcPr>
            <w:tcW w:w="2268" w:type="dxa"/>
            <w:tcBorders>
              <w:top w:val="nil"/>
              <w:bottom w:val="nil"/>
            </w:tcBorders>
            <w:vAlign w:val="center"/>
          </w:tcPr>
          <w:p w14:paraId="0D91C9C0"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4.1, 4.4</w:t>
            </w:r>
          </w:p>
        </w:tc>
      </w:tr>
      <w:tr w:rsidR="005D69AE" w:rsidRPr="00E73B3C" w14:paraId="64D42401" w14:textId="77777777" w:rsidTr="004E4630">
        <w:tc>
          <w:tcPr>
            <w:tcW w:w="2518" w:type="dxa"/>
            <w:tcBorders>
              <w:top w:val="nil"/>
              <w:bottom w:val="nil"/>
            </w:tcBorders>
          </w:tcPr>
          <w:p w14:paraId="63B2C950" w14:textId="77777777" w:rsidR="005D69AE" w:rsidRPr="00E73B3C" w:rsidRDefault="005D69AE" w:rsidP="00D906FC">
            <w:pPr>
              <w:rPr>
                <w:rFonts w:ascii="Times New Roman" w:hAnsi="Times New Roman" w:cs="Times New Roman"/>
              </w:rPr>
            </w:pPr>
            <w:r w:rsidRPr="00E73B3C">
              <w:rPr>
                <w:rFonts w:ascii="Times New Roman" w:hAnsi="Times New Roman" w:cs="Times New Roman"/>
              </w:rPr>
              <w:t xml:space="preserve">     No</w:t>
            </w:r>
          </w:p>
        </w:tc>
        <w:tc>
          <w:tcPr>
            <w:tcW w:w="7513" w:type="dxa"/>
            <w:gridSpan w:val="4"/>
            <w:tcBorders>
              <w:top w:val="nil"/>
              <w:bottom w:val="nil"/>
            </w:tcBorders>
            <w:vAlign w:val="center"/>
          </w:tcPr>
          <w:p w14:paraId="5CE1FDD8"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i/>
                <w:iCs/>
              </w:rPr>
              <w:t>Reference</w:t>
            </w:r>
          </w:p>
        </w:tc>
      </w:tr>
      <w:tr w:rsidR="005D69AE" w:rsidRPr="00E73B3C" w14:paraId="70907EAB" w14:textId="77777777" w:rsidTr="004E4630">
        <w:tc>
          <w:tcPr>
            <w:tcW w:w="2518" w:type="dxa"/>
            <w:tcBorders>
              <w:top w:val="nil"/>
              <w:bottom w:val="nil"/>
            </w:tcBorders>
            <w:vAlign w:val="center"/>
          </w:tcPr>
          <w:p w14:paraId="397620B7"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b/>
                <w:bCs/>
              </w:rPr>
              <w:t>Duration of Employment</w:t>
            </w:r>
          </w:p>
        </w:tc>
        <w:tc>
          <w:tcPr>
            <w:tcW w:w="1701" w:type="dxa"/>
            <w:tcBorders>
              <w:top w:val="nil"/>
              <w:bottom w:val="nil"/>
            </w:tcBorders>
            <w:vAlign w:val="center"/>
          </w:tcPr>
          <w:p w14:paraId="03D1EAF8" w14:textId="77777777" w:rsidR="005D69AE" w:rsidRPr="00E73B3C" w:rsidRDefault="005D69AE" w:rsidP="00D906FC">
            <w:pPr>
              <w:rPr>
                <w:rFonts w:ascii="Times New Roman" w:hAnsi="Times New Roman" w:cs="Times New Roman"/>
                <w:b/>
                <w:bCs/>
              </w:rPr>
            </w:pPr>
          </w:p>
        </w:tc>
        <w:tc>
          <w:tcPr>
            <w:tcW w:w="1843" w:type="dxa"/>
            <w:tcBorders>
              <w:top w:val="nil"/>
              <w:bottom w:val="nil"/>
            </w:tcBorders>
            <w:vAlign w:val="center"/>
          </w:tcPr>
          <w:p w14:paraId="272FE172" w14:textId="77777777" w:rsidR="005D69AE" w:rsidRPr="00E73B3C" w:rsidRDefault="005D69AE" w:rsidP="00D906FC">
            <w:pPr>
              <w:rPr>
                <w:rFonts w:ascii="Times New Roman" w:hAnsi="Times New Roman" w:cs="Times New Roman"/>
                <w:b/>
                <w:bCs/>
              </w:rPr>
            </w:pPr>
          </w:p>
        </w:tc>
        <w:tc>
          <w:tcPr>
            <w:tcW w:w="1701" w:type="dxa"/>
            <w:tcBorders>
              <w:top w:val="nil"/>
              <w:bottom w:val="nil"/>
            </w:tcBorders>
            <w:vAlign w:val="center"/>
          </w:tcPr>
          <w:p w14:paraId="72E8927A" w14:textId="77777777" w:rsidR="005D69AE" w:rsidRPr="00E73B3C" w:rsidRDefault="005D69AE" w:rsidP="00D906FC">
            <w:pPr>
              <w:rPr>
                <w:rFonts w:ascii="Times New Roman" w:hAnsi="Times New Roman" w:cs="Times New Roman"/>
                <w:b/>
                <w:bCs/>
              </w:rPr>
            </w:pPr>
          </w:p>
        </w:tc>
        <w:tc>
          <w:tcPr>
            <w:tcW w:w="2268" w:type="dxa"/>
            <w:tcBorders>
              <w:top w:val="nil"/>
              <w:bottom w:val="nil"/>
            </w:tcBorders>
            <w:vAlign w:val="center"/>
          </w:tcPr>
          <w:p w14:paraId="5F4837C6" w14:textId="77777777" w:rsidR="005D69AE" w:rsidRPr="00E73B3C" w:rsidRDefault="005D69AE" w:rsidP="00D906FC">
            <w:pPr>
              <w:rPr>
                <w:rFonts w:ascii="Times New Roman" w:hAnsi="Times New Roman" w:cs="Times New Roman"/>
                <w:b/>
                <w:bCs/>
              </w:rPr>
            </w:pPr>
          </w:p>
        </w:tc>
      </w:tr>
      <w:tr w:rsidR="005D69AE" w:rsidRPr="00E73B3C" w14:paraId="0F3765D8" w14:textId="77777777" w:rsidTr="004E4630">
        <w:tc>
          <w:tcPr>
            <w:tcW w:w="2518" w:type="dxa"/>
            <w:tcBorders>
              <w:top w:val="nil"/>
              <w:bottom w:val="nil"/>
            </w:tcBorders>
            <w:vAlign w:val="bottom"/>
          </w:tcPr>
          <w:p w14:paraId="72585ADB"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w:t>
            </w:r>
            <w:r w:rsidRPr="00E73B3C">
              <w:rPr>
                <w:rFonts w:ascii="Times New Roman" w:hAnsi="Times New Roman" w:cs="Times New Roman"/>
                <w:color w:val="000000"/>
              </w:rPr>
              <w:t>5-9 years</w:t>
            </w:r>
          </w:p>
        </w:tc>
        <w:tc>
          <w:tcPr>
            <w:tcW w:w="1701" w:type="dxa"/>
            <w:tcBorders>
              <w:top w:val="nil"/>
              <w:bottom w:val="nil"/>
            </w:tcBorders>
            <w:vAlign w:val="center"/>
          </w:tcPr>
          <w:p w14:paraId="42A283C3"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N/A</w:t>
            </w:r>
          </w:p>
        </w:tc>
        <w:tc>
          <w:tcPr>
            <w:tcW w:w="1843" w:type="dxa"/>
            <w:tcBorders>
              <w:top w:val="nil"/>
              <w:bottom w:val="nil"/>
            </w:tcBorders>
            <w:vAlign w:val="center"/>
          </w:tcPr>
          <w:p w14:paraId="6FA5A196"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N/A</w:t>
            </w:r>
          </w:p>
        </w:tc>
        <w:tc>
          <w:tcPr>
            <w:tcW w:w="1701" w:type="dxa"/>
            <w:tcBorders>
              <w:top w:val="nil"/>
              <w:bottom w:val="nil"/>
            </w:tcBorders>
            <w:vAlign w:val="bottom"/>
          </w:tcPr>
          <w:p w14:paraId="4034D7DA"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3.4</w:t>
            </w:r>
          </w:p>
        </w:tc>
        <w:tc>
          <w:tcPr>
            <w:tcW w:w="2268" w:type="dxa"/>
            <w:tcBorders>
              <w:top w:val="nil"/>
              <w:bottom w:val="nil"/>
            </w:tcBorders>
            <w:vAlign w:val="center"/>
          </w:tcPr>
          <w:p w14:paraId="46499073"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3.2, 3.5</w:t>
            </w:r>
          </w:p>
        </w:tc>
      </w:tr>
      <w:tr w:rsidR="005D69AE" w:rsidRPr="00E73B3C" w14:paraId="4F209523" w14:textId="77777777" w:rsidTr="004E4630">
        <w:tc>
          <w:tcPr>
            <w:tcW w:w="2518" w:type="dxa"/>
            <w:tcBorders>
              <w:top w:val="nil"/>
              <w:bottom w:val="nil"/>
            </w:tcBorders>
            <w:vAlign w:val="bottom"/>
          </w:tcPr>
          <w:p w14:paraId="5B4ACFAE"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w:t>
            </w:r>
            <w:r w:rsidRPr="00E73B3C">
              <w:rPr>
                <w:rFonts w:ascii="Times New Roman" w:hAnsi="Times New Roman" w:cs="Times New Roman"/>
                <w:color w:val="000000"/>
              </w:rPr>
              <w:t>10-14 years</w:t>
            </w:r>
          </w:p>
        </w:tc>
        <w:tc>
          <w:tcPr>
            <w:tcW w:w="1701" w:type="dxa"/>
            <w:tcBorders>
              <w:top w:val="nil"/>
              <w:bottom w:val="nil"/>
            </w:tcBorders>
            <w:vAlign w:val="center"/>
          </w:tcPr>
          <w:p w14:paraId="600E3999"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N/A</w:t>
            </w:r>
          </w:p>
        </w:tc>
        <w:tc>
          <w:tcPr>
            <w:tcW w:w="1843" w:type="dxa"/>
            <w:tcBorders>
              <w:top w:val="nil"/>
              <w:bottom w:val="nil"/>
            </w:tcBorders>
            <w:vAlign w:val="center"/>
          </w:tcPr>
          <w:p w14:paraId="1CC4984C"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N/A</w:t>
            </w:r>
          </w:p>
        </w:tc>
        <w:tc>
          <w:tcPr>
            <w:tcW w:w="1701" w:type="dxa"/>
            <w:tcBorders>
              <w:top w:val="nil"/>
              <w:bottom w:val="nil"/>
            </w:tcBorders>
            <w:vAlign w:val="bottom"/>
          </w:tcPr>
          <w:p w14:paraId="3D135CCC"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3.5</w:t>
            </w:r>
          </w:p>
        </w:tc>
        <w:tc>
          <w:tcPr>
            <w:tcW w:w="2268" w:type="dxa"/>
            <w:tcBorders>
              <w:top w:val="nil"/>
              <w:bottom w:val="nil"/>
            </w:tcBorders>
            <w:vAlign w:val="center"/>
          </w:tcPr>
          <w:p w14:paraId="2ADBD900"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3.2, 3.6</w:t>
            </w:r>
          </w:p>
        </w:tc>
      </w:tr>
      <w:tr w:rsidR="005D69AE" w:rsidRPr="00E73B3C" w14:paraId="233EC028" w14:textId="77777777" w:rsidTr="004E4630">
        <w:tc>
          <w:tcPr>
            <w:tcW w:w="2518" w:type="dxa"/>
            <w:tcBorders>
              <w:top w:val="nil"/>
              <w:bottom w:val="nil"/>
            </w:tcBorders>
            <w:vAlign w:val="bottom"/>
          </w:tcPr>
          <w:p w14:paraId="30064C23"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w:t>
            </w:r>
            <w:r w:rsidRPr="00E73B3C">
              <w:rPr>
                <w:rFonts w:ascii="Times New Roman" w:hAnsi="Times New Roman" w:cs="Times New Roman"/>
                <w:color w:val="000000"/>
              </w:rPr>
              <w:t>15-19 years</w:t>
            </w:r>
          </w:p>
        </w:tc>
        <w:tc>
          <w:tcPr>
            <w:tcW w:w="1701" w:type="dxa"/>
            <w:tcBorders>
              <w:top w:val="nil"/>
              <w:bottom w:val="nil"/>
            </w:tcBorders>
            <w:vAlign w:val="center"/>
          </w:tcPr>
          <w:p w14:paraId="7CA3AE2E"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N/A</w:t>
            </w:r>
          </w:p>
        </w:tc>
        <w:tc>
          <w:tcPr>
            <w:tcW w:w="1843" w:type="dxa"/>
            <w:tcBorders>
              <w:top w:val="nil"/>
              <w:bottom w:val="nil"/>
            </w:tcBorders>
            <w:vAlign w:val="center"/>
          </w:tcPr>
          <w:p w14:paraId="2E5E2840"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N/A</w:t>
            </w:r>
          </w:p>
        </w:tc>
        <w:tc>
          <w:tcPr>
            <w:tcW w:w="1701" w:type="dxa"/>
            <w:tcBorders>
              <w:top w:val="nil"/>
              <w:bottom w:val="nil"/>
            </w:tcBorders>
            <w:vAlign w:val="bottom"/>
          </w:tcPr>
          <w:p w14:paraId="6D3AFDBB"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4.3</w:t>
            </w:r>
          </w:p>
        </w:tc>
        <w:tc>
          <w:tcPr>
            <w:tcW w:w="2268" w:type="dxa"/>
            <w:tcBorders>
              <w:top w:val="nil"/>
              <w:bottom w:val="nil"/>
            </w:tcBorders>
            <w:vAlign w:val="center"/>
          </w:tcPr>
          <w:p w14:paraId="0B24F103"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4.0, 4.6</w:t>
            </w:r>
          </w:p>
        </w:tc>
      </w:tr>
      <w:tr w:rsidR="005D69AE" w:rsidRPr="00E73B3C" w14:paraId="2ACE5B3A" w14:textId="77777777" w:rsidTr="004E4630">
        <w:tc>
          <w:tcPr>
            <w:tcW w:w="2518" w:type="dxa"/>
            <w:tcBorders>
              <w:top w:val="nil"/>
              <w:bottom w:val="nil"/>
            </w:tcBorders>
            <w:vAlign w:val="bottom"/>
          </w:tcPr>
          <w:p w14:paraId="395E7D9F"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w:t>
            </w:r>
            <w:r w:rsidRPr="00E73B3C">
              <w:rPr>
                <w:rFonts w:ascii="Times New Roman" w:hAnsi="Times New Roman" w:cs="Times New Roman"/>
                <w:color w:val="000000"/>
              </w:rPr>
              <w:t>20-24 years</w:t>
            </w:r>
          </w:p>
        </w:tc>
        <w:tc>
          <w:tcPr>
            <w:tcW w:w="1701" w:type="dxa"/>
            <w:tcBorders>
              <w:top w:val="nil"/>
              <w:bottom w:val="nil"/>
            </w:tcBorders>
            <w:vAlign w:val="center"/>
          </w:tcPr>
          <w:p w14:paraId="7906145A"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N/A</w:t>
            </w:r>
          </w:p>
        </w:tc>
        <w:tc>
          <w:tcPr>
            <w:tcW w:w="1843" w:type="dxa"/>
            <w:tcBorders>
              <w:top w:val="nil"/>
              <w:bottom w:val="nil"/>
            </w:tcBorders>
            <w:vAlign w:val="center"/>
          </w:tcPr>
          <w:p w14:paraId="7947A77E"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N/A</w:t>
            </w:r>
          </w:p>
        </w:tc>
        <w:tc>
          <w:tcPr>
            <w:tcW w:w="1701" w:type="dxa"/>
            <w:tcBorders>
              <w:top w:val="nil"/>
              <w:bottom w:val="nil"/>
            </w:tcBorders>
            <w:vAlign w:val="bottom"/>
          </w:tcPr>
          <w:p w14:paraId="4CF19511"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1.7</w:t>
            </w:r>
          </w:p>
        </w:tc>
        <w:tc>
          <w:tcPr>
            <w:tcW w:w="2268" w:type="dxa"/>
            <w:tcBorders>
              <w:top w:val="nil"/>
              <w:bottom w:val="nil"/>
            </w:tcBorders>
            <w:vAlign w:val="center"/>
          </w:tcPr>
          <w:p w14:paraId="6AF09699"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1.6, 1.8</w:t>
            </w:r>
          </w:p>
        </w:tc>
      </w:tr>
      <w:tr w:rsidR="005D69AE" w:rsidRPr="00E73B3C" w14:paraId="7B24EC71" w14:textId="77777777" w:rsidTr="004E4630">
        <w:tc>
          <w:tcPr>
            <w:tcW w:w="2518" w:type="dxa"/>
            <w:tcBorders>
              <w:top w:val="nil"/>
              <w:bottom w:val="nil"/>
            </w:tcBorders>
            <w:vAlign w:val="bottom"/>
          </w:tcPr>
          <w:p w14:paraId="498E8C6C"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w:t>
            </w:r>
            <w:r w:rsidRPr="00E73B3C">
              <w:rPr>
                <w:rFonts w:ascii="Times New Roman" w:hAnsi="Times New Roman" w:cs="Times New Roman"/>
                <w:color w:val="000000"/>
              </w:rPr>
              <w:t>25-29 years</w:t>
            </w:r>
          </w:p>
        </w:tc>
        <w:tc>
          <w:tcPr>
            <w:tcW w:w="1701" w:type="dxa"/>
            <w:tcBorders>
              <w:top w:val="nil"/>
              <w:bottom w:val="nil"/>
            </w:tcBorders>
            <w:vAlign w:val="center"/>
          </w:tcPr>
          <w:p w14:paraId="7CADE897"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N/A</w:t>
            </w:r>
          </w:p>
        </w:tc>
        <w:tc>
          <w:tcPr>
            <w:tcW w:w="1843" w:type="dxa"/>
            <w:tcBorders>
              <w:top w:val="nil"/>
              <w:bottom w:val="nil"/>
            </w:tcBorders>
            <w:vAlign w:val="center"/>
          </w:tcPr>
          <w:p w14:paraId="36C0F57F"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N/A</w:t>
            </w:r>
          </w:p>
        </w:tc>
        <w:tc>
          <w:tcPr>
            <w:tcW w:w="1701" w:type="dxa"/>
            <w:tcBorders>
              <w:top w:val="nil"/>
              <w:bottom w:val="nil"/>
            </w:tcBorders>
            <w:vAlign w:val="bottom"/>
          </w:tcPr>
          <w:p w14:paraId="2396E0BB"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2.4</w:t>
            </w:r>
          </w:p>
        </w:tc>
        <w:tc>
          <w:tcPr>
            <w:tcW w:w="2268" w:type="dxa"/>
            <w:tcBorders>
              <w:top w:val="nil"/>
              <w:bottom w:val="nil"/>
            </w:tcBorders>
            <w:vAlign w:val="center"/>
          </w:tcPr>
          <w:p w14:paraId="6E38265F"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2.1, 2.6</w:t>
            </w:r>
          </w:p>
        </w:tc>
      </w:tr>
      <w:tr w:rsidR="005D69AE" w:rsidRPr="00E73B3C" w14:paraId="42809FFE" w14:textId="77777777" w:rsidTr="004E4630">
        <w:tc>
          <w:tcPr>
            <w:tcW w:w="2518" w:type="dxa"/>
            <w:tcBorders>
              <w:top w:val="nil"/>
              <w:bottom w:val="nil"/>
            </w:tcBorders>
            <w:vAlign w:val="bottom"/>
          </w:tcPr>
          <w:p w14:paraId="528F9479"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w:t>
            </w:r>
            <w:r w:rsidRPr="00E73B3C">
              <w:rPr>
                <w:rFonts w:ascii="Times New Roman" w:hAnsi="Times New Roman" w:cs="Times New Roman"/>
                <w:color w:val="000000"/>
              </w:rPr>
              <w:t>≥ 30 years</w:t>
            </w:r>
          </w:p>
        </w:tc>
        <w:tc>
          <w:tcPr>
            <w:tcW w:w="1701" w:type="dxa"/>
            <w:tcBorders>
              <w:top w:val="nil"/>
              <w:bottom w:val="nil"/>
            </w:tcBorders>
            <w:vAlign w:val="center"/>
          </w:tcPr>
          <w:p w14:paraId="693FD5AC"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N/A</w:t>
            </w:r>
          </w:p>
        </w:tc>
        <w:tc>
          <w:tcPr>
            <w:tcW w:w="1843" w:type="dxa"/>
            <w:tcBorders>
              <w:top w:val="nil"/>
              <w:bottom w:val="nil"/>
            </w:tcBorders>
            <w:vAlign w:val="center"/>
          </w:tcPr>
          <w:p w14:paraId="50F52104"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N/A</w:t>
            </w:r>
          </w:p>
        </w:tc>
        <w:tc>
          <w:tcPr>
            <w:tcW w:w="1701" w:type="dxa"/>
            <w:tcBorders>
              <w:top w:val="nil"/>
              <w:bottom w:val="nil"/>
            </w:tcBorders>
            <w:vAlign w:val="bottom"/>
          </w:tcPr>
          <w:p w14:paraId="6700881E"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color w:val="000000"/>
              </w:rPr>
              <w:t>2.8</w:t>
            </w:r>
          </w:p>
        </w:tc>
        <w:tc>
          <w:tcPr>
            <w:tcW w:w="2268" w:type="dxa"/>
            <w:tcBorders>
              <w:top w:val="nil"/>
              <w:bottom w:val="nil"/>
            </w:tcBorders>
            <w:vAlign w:val="center"/>
          </w:tcPr>
          <w:p w14:paraId="1A72D5CC" w14:textId="77777777" w:rsidR="005D69AE" w:rsidRPr="00E73B3C" w:rsidRDefault="005D69AE" w:rsidP="00D906FC">
            <w:pPr>
              <w:jc w:val="center"/>
              <w:rPr>
                <w:rFonts w:ascii="Times New Roman" w:hAnsi="Times New Roman" w:cs="Times New Roman"/>
              </w:rPr>
            </w:pPr>
            <w:r w:rsidRPr="00E73B3C">
              <w:rPr>
                <w:rFonts w:ascii="Times New Roman" w:hAnsi="Times New Roman" w:cs="Times New Roman"/>
              </w:rPr>
              <w:t>2.7, 3.0</w:t>
            </w:r>
          </w:p>
        </w:tc>
      </w:tr>
      <w:tr w:rsidR="005D69AE" w:rsidRPr="00E73B3C" w14:paraId="583C1AAF" w14:textId="77777777" w:rsidTr="00317813">
        <w:tc>
          <w:tcPr>
            <w:tcW w:w="2518" w:type="dxa"/>
            <w:tcBorders>
              <w:top w:val="nil"/>
              <w:bottom w:val="single" w:sz="12" w:space="0" w:color="auto"/>
            </w:tcBorders>
            <w:vAlign w:val="bottom"/>
          </w:tcPr>
          <w:p w14:paraId="5B86A58B" w14:textId="77777777" w:rsidR="005D69AE" w:rsidRPr="00E73B3C" w:rsidRDefault="005D69AE" w:rsidP="00D906FC">
            <w:pPr>
              <w:rPr>
                <w:rFonts w:ascii="Times New Roman" w:hAnsi="Times New Roman" w:cs="Times New Roman"/>
                <w:b/>
                <w:bCs/>
              </w:rPr>
            </w:pPr>
            <w:r w:rsidRPr="00E73B3C">
              <w:rPr>
                <w:rFonts w:ascii="Times New Roman" w:hAnsi="Times New Roman" w:cs="Times New Roman"/>
              </w:rPr>
              <w:t xml:space="preserve">     </w:t>
            </w:r>
            <w:r w:rsidRPr="00E73B3C">
              <w:rPr>
                <w:rFonts w:ascii="Times New Roman" w:hAnsi="Times New Roman" w:cs="Times New Roman"/>
                <w:color w:val="000000"/>
              </w:rPr>
              <w:t>&lt;5 years</w:t>
            </w:r>
          </w:p>
        </w:tc>
        <w:tc>
          <w:tcPr>
            <w:tcW w:w="7513" w:type="dxa"/>
            <w:gridSpan w:val="4"/>
            <w:tcBorders>
              <w:top w:val="nil"/>
              <w:bottom w:val="nil"/>
            </w:tcBorders>
            <w:vAlign w:val="center"/>
          </w:tcPr>
          <w:p w14:paraId="5789B045" w14:textId="77777777" w:rsidR="005D69AE" w:rsidRPr="00E73B3C" w:rsidRDefault="005D69AE" w:rsidP="00D906FC">
            <w:pPr>
              <w:rPr>
                <w:rFonts w:ascii="Times New Roman" w:hAnsi="Times New Roman" w:cs="Times New Roman"/>
                <w:i/>
                <w:iCs/>
              </w:rPr>
            </w:pPr>
            <w:r w:rsidRPr="00E73B3C">
              <w:rPr>
                <w:rFonts w:ascii="Times New Roman" w:hAnsi="Times New Roman" w:cs="Times New Roman"/>
                <w:i/>
                <w:iCs/>
              </w:rPr>
              <w:t>Reference</w:t>
            </w:r>
          </w:p>
        </w:tc>
      </w:tr>
      <w:tr w:rsidR="005D69AE" w:rsidRPr="00E73B3C" w14:paraId="01B91A8E" w14:textId="77777777" w:rsidTr="00CF59A1">
        <w:tc>
          <w:tcPr>
            <w:tcW w:w="10031" w:type="dxa"/>
            <w:gridSpan w:val="5"/>
            <w:tcBorders>
              <w:top w:val="single" w:sz="12" w:space="0" w:color="auto"/>
              <w:bottom w:val="nil"/>
            </w:tcBorders>
          </w:tcPr>
          <w:p w14:paraId="14D8A0B1" w14:textId="77777777" w:rsidR="005D69AE" w:rsidRPr="00E73B3C" w:rsidRDefault="005D69AE" w:rsidP="00D906FC">
            <w:pPr>
              <w:rPr>
                <w:rFonts w:ascii="Times New Roman" w:hAnsi="Times New Roman" w:cs="Times New Roman"/>
                <w:i/>
                <w:iCs/>
              </w:rPr>
            </w:pPr>
            <w:r w:rsidRPr="00E73B3C">
              <w:rPr>
                <w:rFonts w:ascii="Times New Roman" w:hAnsi="Times New Roman" w:cs="Times New Roman"/>
                <w:i/>
                <w:iCs/>
                <w:vertAlign w:val="superscript"/>
              </w:rPr>
              <w:t>1</w:t>
            </w:r>
            <w:r w:rsidRPr="00E73B3C">
              <w:rPr>
                <w:rFonts w:ascii="Times New Roman" w:hAnsi="Times New Roman" w:cs="Times New Roman"/>
                <w:i/>
                <w:iCs/>
              </w:rPr>
              <w:t>Forced expiratory volume in one second</w:t>
            </w:r>
          </w:p>
          <w:p w14:paraId="5599561B" w14:textId="77777777" w:rsidR="005D69AE" w:rsidRPr="00E73B3C" w:rsidRDefault="005D69AE" w:rsidP="00D906FC">
            <w:pPr>
              <w:rPr>
                <w:rFonts w:ascii="Times New Roman" w:hAnsi="Times New Roman" w:cs="Times New Roman"/>
                <w:i/>
                <w:iCs/>
              </w:rPr>
            </w:pPr>
            <w:r w:rsidRPr="00E73B3C">
              <w:rPr>
                <w:rFonts w:ascii="Times New Roman" w:hAnsi="Times New Roman" w:cs="Times New Roman"/>
                <w:i/>
                <w:iCs/>
                <w:vertAlign w:val="superscript"/>
              </w:rPr>
              <w:t>2</w:t>
            </w:r>
            <w:r w:rsidRPr="00E73B3C">
              <w:rPr>
                <w:rFonts w:ascii="Times New Roman" w:hAnsi="Times New Roman" w:cs="Times New Roman"/>
                <w:i/>
                <w:iCs/>
              </w:rPr>
              <w:t>Department of Energy</w:t>
            </w:r>
          </w:p>
          <w:p w14:paraId="76891F4C" w14:textId="77777777" w:rsidR="005D69AE" w:rsidRPr="00E73B3C" w:rsidRDefault="005D69AE" w:rsidP="00D906FC">
            <w:pPr>
              <w:rPr>
                <w:rFonts w:ascii="Times New Roman" w:hAnsi="Times New Roman" w:cs="Times New Roman"/>
                <w:i/>
                <w:iCs/>
              </w:rPr>
            </w:pPr>
            <w:r w:rsidRPr="00E73B3C">
              <w:rPr>
                <w:rFonts w:ascii="Times New Roman" w:hAnsi="Times New Roman" w:cs="Times New Roman"/>
                <w:i/>
                <w:iCs/>
                <w:vertAlign w:val="superscript"/>
              </w:rPr>
              <w:t>3</w:t>
            </w:r>
            <w:r w:rsidRPr="00E73B3C">
              <w:rPr>
                <w:rFonts w:ascii="Times New Roman" w:hAnsi="Times New Roman" w:cs="Times New Roman"/>
                <w:i/>
                <w:iCs/>
              </w:rPr>
              <w:t>Variable importance scores are based on regression random forest models.</w:t>
            </w:r>
          </w:p>
          <w:p w14:paraId="0582B07B" w14:textId="77777777" w:rsidR="005D69AE" w:rsidRPr="00E73B3C" w:rsidRDefault="005D69AE" w:rsidP="00D906FC">
            <w:pPr>
              <w:rPr>
                <w:rFonts w:ascii="Times New Roman" w:hAnsi="Times New Roman" w:cs="Times New Roman"/>
                <w:i/>
                <w:iCs/>
              </w:rPr>
            </w:pPr>
            <w:r w:rsidRPr="00E73B3C">
              <w:rPr>
                <w:rFonts w:ascii="Times New Roman" w:hAnsi="Times New Roman" w:cs="Times New Roman"/>
                <w:i/>
                <w:iCs/>
                <w:vertAlign w:val="superscript"/>
              </w:rPr>
              <w:t>4</w:t>
            </w:r>
            <w:r w:rsidRPr="00E73B3C">
              <w:rPr>
                <w:rFonts w:ascii="Times New Roman" w:hAnsi="Times New Roman" w:cs="Times New Roman"/>
                <w:i/>
                <w:iCs/>
              </w:rPr>
              <w:t>Variable importance scores are based on classification random forest models.</w:t>
            </w:r>
          </w:p>
        </w:tc>
      </w:tr>
    </w:tbl>
    <w:p w14:paraId="5BCF4AF6" w14:textId="77777777" w:rsidR="00EA661D" w:rsidRPr="00EA661D" w:rsidRDefault="00EA661D" w:rsidP="00EA661D">
      <w:pPr>
        <w:spacing w:line="480" w:lineRule="auto"/>
        <w:rPr>
          <w:rFonts w:ascii="Times New Roman" w:hAnsi="Times New Roman" w:cs="Times New Roman"/>
          <w:iCs/>
        </w:rPr>
      </w:pPr>
    </w:p>
    <w:p w14:paraId="237894F2" w14:textId="45E1D754" w:rsidR="00EA661D" w:rsidRPr="002735C7" w:rsidRDefault="00EA661D" w:rsidP="00317813">
      <w:pPr>
        <w:pStyle w:val="Heading4"/>
        <w:spacing w:before="0" w:after="0" w:line="480" w:lineRule="auto"/>
        <w:rPr>
          <w:szCs w:val="28"/>
        </w:rPr>
      </w:pPr>
      <w:bookmarkStart w:id="197" w:name="_Toc200097032"/>
      <w:r w:rsidRPr="002735C7">
        <w:rPr>
          <w:szCs w:val="28"/>
        </w:rPr>
        <w:lastRenderedPageBreak/>
        <w:t>Predictors of FEV</w:t>
      </w:r>
      <w:r w:rsidRPr="002735C7">
        <w:rPr>
          <w:szCs w:val="28"/>
          <w:vertAlign w:val="subscript"/>
        </w:rPr>
        <w:t>1</w:t>
      </w:r>
      <w:r w:rsidRPr="002735C7">
        <w:rPr>
          <w:szCs w:val="28"/>
        </w:rPr>
        <w:t xml:space="preserve"> decline</w:t>
      </w:r>
      <w:bookmarkEnd w:id="197"/>
    </w:p>
    <w:p w14:paraId="63F6C534" w14:textId="6DC77521" w:rsidR="00EA661D" w:rsidRPr="00EA661D" w:rsidRDefault="00EA661D" w:rsidP="00317813">
      <w:pPr>
        <w:spacing w:after="0" w:line="480" w:lineRule="auto"/>
        <w:ind w:firstLine="634"/>
        <w:rPr>
          <w:rFonts w:ascii="Times New Roman" w:hAnsi="Times New Roman" w:cs="Times New Roman"/>
          <w:iCs/>
        </w:rPr>
      </w:pPr>
      <w:r w:rsidRPr="00EA661D">
        <w:rPr>
          <w:rFonts w:ascii="Times New Roman" w:hAnsi="Times New Roman" w:cs="Times New Roman"/>
          <w:iCs/>
        </w:rPr>
        <w:t>The following variables had significant (p&lt;0.2) associations with FEV</w:t>
      </w:r>
      <w:r w:rsidRPr="00EA661D">
        <w:rPr>
          <w:rFonts w:ascii="Times New Roman" w:hAnsi="Times New Roman" w:cs="Times New Roman"/>
          <w:iCs/>
          <w:vertAlign w:val="subscript"/>
        </w:rPr>
        <w:t>1</w:t>
      </w:r>
      <w:r w:rsidRPr="00EA661D">
        <w:rPr>
          <w:rFonts w:ascii="Times New Roman" w:hAnsi="Times New Roman" w:cs="Times New Roman"/>
          <w:iCs/>
        </w:rPr>
        <w:t xml:space="preserve"> decline: age at initial exam, age at hire, FEV</w:t>
      </w:r>
      <w:r w:rsidRPr="00EA661D">
        <w:rPr>
          <w:rFonts w:ascii="Times New Roman" w:hAnsi="Times New Roman" w:cs="Times New Roman"/>
          <w:iCs/>
          <w:vertAlign w:val="subscript"/>
        </w:rPr>
        <w:t>1</w:t>
      </w:r>
      <w:r w:rsidRPr="00EA661D">
        <w:rPr>
          <w:rFonts w:ascii="Times New Roman" w:hAnsi="Times New Roman" w:cs="Times New Roman"/>
          <w:iCs/>
        </w:rPr>
        <w:t xml:space="preserve"> at initial exam, sex, smoking status, frequent cough, shortness of breath, wheezing, other breathing problems, welding fume exposure, silica exposure, and duration of employment (</w:t>
      </w:r>
      <w:r w:rsidRPr="007B23A4">
        <w:rPr>
          <w:rFonts w:ascii="Times New Roman" w:hAnsi="Times New Roman" w:cs="Times New Roman"/>
        </w:rPr>
        <w:t xml:space="preserve">Table </w:t>
      </w:r>
      <w:r w:rsidR="007B23A4" w:rsidRPr="007B23A4">
        <w:rPr>
          <w:rFonts w:ascii="Times New Roman" w:hAnsi="Times New Roman" w:cs="Times New Roman"/>
        </w:rPr>
        <w:t>4.</w:t>
      </w:r>
      <w:r w:rsidRPr="007B23A4">
        <w:rPr>
          <w:rFonts w:ascii="Times New Roman" w:hAnsi="Times New Roman" w:cs="Times New Roman"/>
        </w:rPr>
        <w:t>5</w:t>
      </w:r>
      <w:r w:rsidRPr="00EA661D">
        <w:rPr>
          <w:rFonts w:ascii="Times New Roman" w:hAnsi="Times New Roman" w:cs="Times New Roman"/>
          <w:iCs/>
        </w:rPr>
        <w:t>). Similar to the results of the FEV</w:t>
      </w:r>
      <w:r w:rsidRPr="00EA661D">
        <w:rPr>
          <w:rFonts w:ascii="Times New Roman" w:hAnsi="Times New Roman" w:cs="Times New Roman"/>
          <w:iCs/>
          <w:vertAlign w:val="subscript"/>
        </w:rPr>
        <w:t>1</w:t>
      </w:r>
      <w:r w:rsidRPr="00EA661D">
        <w:rPr>
          <w:rFonts w:ascii="Times New Roman" w:hAnsi="Times New Roman" w:cs="Times New Roman"/>
          <w:iCs/>
        </w:rPr>
        <w:t xml:space="preserve"> change models, there was no significant (p&lt;0.741) association between FEV</w:t>
      </w:r>
      <w:r w:rsidRPr="00EA661D">
        <w:rPr>
          <w:rFonts w:ascii="Times New Roman" w:hAnsi="Times New Roman" w:cs="Times New Roman"/>
          <w:iCs/>
          <w:vertAlign w:val="subscript"/>
        </w:rPr>
        <w:t>1</w:t>
      </w:r>
      <w:r w:rsidRPr="00EA661D">
        <w:rPr>
          <w:rFonts w:ascii="Times New Roman" w:hAnsi="Times New Roman" w:cs="Times New Roman"/>
          <w:iCs/>
        </w:rPr>
        <w:t xml:space="preserve"> decline and comorbidity clusters. However, when assessed individually, several comorbid conditions had significant associations with FEV</w:t>
      </w:r>
      <w:r w:rsidRPr="00EA661D">
        <w:rPr>
          <w:rFonts w:ascii="Times New Roman" w:hAnsi="Times New Roman" w:cs="Times New Roman"/>
          <w:iCs/>
          <w:vertAlign w:val="subscript"/>
        </w:rPr>
        <w:t>1</w:t>
      </w:r>
      <w:r w:rsidRPr="00EA661D">
        <w:rPr>
          <w:rFonts w:ascii="Times New Roman" w:hAnsi="Times New Roman" w:cs="Times New Roman"/>
          <w:iCs/>
        </w:rPr>
        <w:t xml:space="preserve"> decline, including: myocardial infarction, coronary artery disease, hypertension, kidney problems, lung cancer, non-pulmonary cancer, anemia, asthma, and overweight or obese, </w:t>
      </w:r>
      <w:r w:rsidRPr="007B23A4">
        <w:rPr>
          <w:rFonts w:ascii="Times New Roman" w:hAnsi="Times New Roman" w:cs="Times New Roman"/>
          <w:iCs/>
        </w:rPr>
        <w:t xml:space="preserve">(Table </w:t>
      </w:r>
      <w:r w:rsidR="007B23A4" w:rsidRPr="007B23A4">
        <w:rPr>
          <w:rFonts w:ascii="Times New Roman" w:hAnsi="Times New Roman" w:cs="Times New Roman"/>
          <w:iCs/>
        </w:rPr>
        <w:t>4.</w:t>
      </w:r>
      <w:r w:rsidRPr="007B23A4">
        <w:rPr>
          <w:rFonts w:ascii="Times New Roman" w:hAnsi="Times New Roman" w:cs="Times New Roman"/>
          <w:iCs/>
        </w:rPr>
        <w:t>5).</w:t>
      </w:r>
      <w:r w:rsidRPr="00EA661D">
        <w:rPr>
          <w:rFonts w:ascii="Times New Roman" w:hAnsi="Times New Roman" w:cs="Times New Roman"/>
          <w:iCs/>
        </w:rPr>
        <w:t xml:space="preserve"> </w:t>
      </w:r>
    </w:p>
    <w:p w14:paraId="4E329BC9" w14:textId="12006472" w:rsidR="00EE5D92" w:rsidRDefault="00EA661D" w:rsidP="00317813">
      <w:pPr>
        <w:spacing w:after="0" w:line="480" w:lineRule="auto"/>
        <w:ind w:firstLine="634"/>
        <w:rPr>
          <w:rFonts w:ascii="Times New Roman" w:hAnsi="Times New Roman" w:cs="Times New Roman"/>
          <w:iCs/>
        </w:rPr>
      </w:pPr>
      <w:r w:rsidRPr="00EA661D">
        <w:rPr>
          <w:rFonts w:ascii="Times New Roman" w:hAnsi="Times New Roman" w:cs="Times New Roman"/>
          <w:iCs/>
        </w:rPr>
        <w:t>Unlike the regression random forest models, however, the classification random forest model performed fairly well in predicting FEV</w:t>
      </w:r>
      <w:r w:rsidRPr="00EA661D">
        <w:rPr>
          <w:rFonts w:ascii="Times New Roman" w:hAnsi="Times New Roman" w:cs="Times New Roman"/>
          <w:iCs/>
          <w:vertAlign w:val="subscript"/>
        </w:rPr>
        <w:t>1</w:t>
      </w:r>
      <w:r w:rsidRPr="00EA661D">
        <w:rPr>
          <w:rFonts w:ascii="Times New Roman" w:hAnsi="Times New Roman" w:cs="Times New Roman"/>
          <w:iCs/>
        </w:rPr>
        <w:t xml:space="preserve"> decline. The median classification accuracy across all imputed datasets was 76.8% (IQR: 75.4%-77.8%) in the training data and 76.5% (IQR: 75.0%-78.8%) in the testing data. The model also produced similar levels of performance based on sensitivity and specificity assessment with medians of 78.8% (IQR: 77.8 %-79.6%) and 73.5% (IQR: 72.7%-74.8%), respectively, for the training data. In the testing data, the median sensitivity was 82.8% (IQR: 79.4%-85.6%) while the median specificity was 68.7% (IQR: 64.6%-71.7%). Variables which had the highest importance score for predicting FEV</w:t>
      </w:r>
      <w:r w:rsidRPr="00EA661D">
        <w:rPr>
          <w:rFonts w:ascii="Times New Roman" w:hAnsi="Times New Roman" w:cs="Times New Roman"/>
          <w:iCs/>
          <w:vertAlign w:val="subscript"/>
        </w:rPr>
        <w:t>1</w:t>
      </w:r>
      <w:r w:rsidRPr="00EA661D">
        <w:rPr>
          <w:rFonts w:ascii="Times New Roman" w:hAnsi="Times New Roman" w:cs="Times New Roman"/>
          <w:iCs/>
        </w:rPr>
        <w:t xml:space="preserve"> decline were: FEV</w:t>
      </w:r>
      <w:r w:rsidRPr="00EA661D">
        <w:rPr>
          <w:rFonts w:ascii="Times New Roman" w:hAnsi="Times New Roman" w:cs="Times New Roman"/>
          <w:iCs/>
          <w:vertAlign w:val="subscript"/>
        </w:rPr>
        <w:t>1</w:t>
      </w:r>
      <w:r w:rsidRPr="00EA661D">
        <w:rPr>
          <w:rFonts w:ascii="Times New Roman" w:hAnsi="Times New Roman" w:cs="Times New Roman"/>
          <w:iCs/>
        </w:rPr>
        <w:t xml:space="preserve"> at initial exam (median variable importance score: 124.1), age at initial exam (median variable importance score: 33.3), age at hire (median variable importance score: 28.5), and sex (median variable importance score: 12.7) (</w:t>
      </w:r>
      <w:r w:rsidRPr="007B23A4">
        <w:rPr>
          <w:rFonts w:ascii="Times New Roman" w:hAnsi="Times New Roman" w:cs="Times New Roman"/>
        </w:rPr>
        <w:t xml:space="preserve">Table </w:t>
      </w:r>
      <w:r w:rsidR="007B23A4" w:rsidRPr="007B23A4">
        <w:rPr>
          <w:rFonts w:ascii="Times New Roman" w:hAnsi="Times New Roman" w:cs="Times New Roman"/>
        </w:rPr>
        <w:t>4.</w:t>
      </w:r>
      <w:r w:rsidRPr="007B23A4">
        <w:rPr>
          <w:rFonts w:ascii="Times New Roman" w:hAnsi="Times New Roman" w:cs="Times New Roman"/>
        </w:rPr>
        <w:t>6</w:t>
      </w:r>
      <w:r w:rsidRPr="00EA661D">
        <w:rPr>
          <w:rFonts w:ascii="Times New Roman" w:hAnsi="Times New Roman" w:cs="Times New Roman"/>
          <w:iCs/>
        </w:rPr>
        <w:t>). The scores for the remaining variables were all less than 6.0.</w:t>
      </w:r>
    </w:p>
    <w:p w14:paraId="78B6290B" w14:textId="77777777" w:rsidR="00EA661D" w:rsidRDefault="00EA661D" w:rsidP="00EA661D">
      <w:pPr>
        <w:spacing w:line="480" w:lineRule="auto"/>
        <w:ind w:firstLine="640"/>
        <w:rPr>
          <w:rFonts w:ascii="Times New Roman" w:hAnsi="Times New Roman" w:cs="Times New Roman"/>
          <w:iCs/>
        </w:rPr>
      </w:pPr>
    </w:p>
    <w:p w14:paraId="14E8D11E" w14:textId="2BE3E8BC" w:rsidR="00EA661D" w:rsidRPr="00EA661D" w:rsidRDefault="00EA661D" w:rsidP="00317813">
      <w:pPr>
        <w:pStyle w:val="Heading3"/>
        <w:spacing w:before="0" w:after="0" w:line="480" w:lineRule="auto"/>
      </w:pPr>
      <w:bookmarkStart w:id="198" w:name="_Toc199884057"/>
      <w:bookmarkStart w:id="199" w:name="_Toc199884774"/>
      <w:bookmarkStart w:id="200" w:name="_Toc200097033"/>
      <w:r w:rsidRPr="00EA661D">
        <w:lastRenderedPageBreak/>
        <w:t>Discussion</w:t>
      </w:r>
      <w:bookmarkEnd w:id="198"/>
      <w:bookmarkEnd w:id="199"/>
      <w:bookmarkEnd w:id="200"/>
    </w:p>
    <w:p w14:paraId="6AFB21D3" w14:textId="42AB3003" w:rsidR="00EA661D" w:rsidRDefault="00EA661D" w:rsidP="00317813">
      <w:pPr>
        <w:spacing w:after="0" w:line="480" w:lineRule="auto"/>
        <w:ind w:firstLine="634"/>
        <w:rPr>
          <w:rFonts w:ascii="Times New Roman" w:hAnsi="Times New Roman" w:cs="Times New Roman"/>
          <w:iCs/>
        </w:rPr>
      </w:pPr>
      <w:r w:rsidRPr="00EA661D">
        <w:rPr>
          <w:rFonts w:ascii="Times New Roman" w:hAnsi="Times New Roman" w:cs="Times New Roman"/>
          <w:iCs/>
        </w:rPr>
        <w:t>This study was designed to identify and describe clusters of COPD comorbidities within an occupational cohort of former US DOE workers. The study also investigated predictors of lung function changes or decline. Study findings may be useful in enhancing health programs screening for comorbidities and for medical management of COPD.</w:t>
      </w:r>
    </w:p>
    <w:p w14:paraId="407CDAC9" w14:textId="77777777" w:rsidR="00F52486" w:rsidRPr="00EA661D" w:rsidRDefault="00F52486" w:rsidP="00317813">
      <w:pPr>
        <w:spacing w:after="0" w:line="480" w:lineRule="auto"/>
        <w:rPr>
          <w:rFonts w:ascii="Times New Roman" w:hAnsi="Times New Roman" w:cs="Times New Roman"/>
          <w:b/>
          <w:bCs/>
          <w:iCs/>
        </w:rPr>
      </w:pPr>
    </w:p>
    <w:p w14:paraId="1C6CF43F" w14:textId="05AAA526" w:rsidR="00EA661D" w:rsidRPr="002735C7" w:rsidRDefault="00EA661D" w:rsidP="00317813">
      <w:pPr>
        <w:pStyle w:val="Heading4"/>
        <w:spacing w:before="0" w:after="0" w:line="480" w:lineRule="auto"/>
        <w:rPr>
          <w:szCs w:val="28"/>
        </w:rPr>
      </w:pPr>
      <w:bookmarkStart w:id="201" w:name="_Toc200097034"/>
      <w:r w:rsidRPr="002735C7">
        <w:rPr>
          <w:szCs w:val="28"/>
        </w:rPr>
        <w:t>Comorbidity Cluster Identification</w:t>
      </w:r>
      <w:bookmarkEnd w:id="201"/>
    </w:p>
    <w:p w14:paraId="1AE2D195" w14:textId="6374284F" w:rsidR="00EA661D" w:rsidRPr="00EA661D" w:rsidRDefault="00EA661D" w:rsidP="00317813">
      <w:pPr>
        <w:spacing w:after="0" w:line="480" w:lineRule="auto"/>
        <w:ind w:firstLine="634"/>
        <w:rPr>
          <w:rFonts w:ascii="Times New Roman" w:hAnsi="Times New Roman" w:cs="Times New Roman"/>
          <w:iCs/>
        </w:rPr>
      </w:pPr>
      <w:r w:rsidRPr="00EA661D">
        <w:rPr>
          <w:rFonts w:ascii="Times New Roman" w:hAnsi="Times New Roman" w:cs="Times New Roman"/>
          <w:iCs/>
        </w:rPr>
        <w:t xml:space="preserve">This study identified four unique clusters of COPD-related comorbidity conditions, which is consistent with the 4-6 comorbidity clusters identified in previous studies </w:t>
      </w:r>
      <w:sdt>
        <w:sdtPr>
          <w:rPr>
            <w:rFonts w:ascii="Times New Roman" w:hAnsi="Times New Roman" w:cs="Times New Roman"/>
            <w:iCs/>
            <w:color w:val="000000"/>
          </w:rPr>
          <w:tag w:val="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"/>
          <w:id w:val="-2014987088"/>
          <w:placeholder>
            <w:docPart w:val="3FA6CF6A11B61D4FA36A259BA163745D"/>
          </w:placeholder>
        </w:sdtPr>
        <w:sdtEndPr/>
        <w:sdtContent>
          <w:r w:rsidR="00572E88" w:rsidRPr="00572E88">
            <w:rPr>
              <w:rFonts w:ascii="Times New Roman" w:hAnsi="Times New Roman" w:cs="Times New Roman"/>
              <w:iCs/>
              <w:color w:val="000000"/>
            </w:rPr>
            <w:t>[201,202,214–216]</w:t>
          </w:r>
        </w:sdtContent>
      </w:sdt>
      <w:r w:rsidRPr="00EA661D">
        <w:rPr>
          <w:rFonts w:ascii="Times New Roman" w:hAnsi="Times New Roman" w:cs="Times New Roman"/>
          <w:iCs/>
        </w:rPr>
        <w:t xml:space="preserve">. In the current study, cluster 1 had lower prevalence proportions of myocardial infarction, coronary artery disease, hypertension, non-pulmonary cancer, and overweight or obesity than all other clusters. This suggests that cluster 1 may represent a cluster of otherwise healthy individuals with COPD, which is consistent with findings from other studies </w:t>
      </w:r>
      <w:sdt>
        <w:sdtPr>
          <w:rPr>
            <w:rFonts w:ascii="Times New Roman" w:hAnsi="Times New Roman" w:cs="Times New Roman"/>
            <w:iCs/>
            <w:color w:val="000000"/>
          </w:rPr>
          <w:tag w:val="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"/>
          <w:id w:val="1330557012"/>
          <w:placeholder>
            <w:docPart w:val="3FA6CF6A11B61D4FA36A259BA163745D"/>
          </w:placeholder>
        </w:sdtPr>
        <w:sdtEndPr/>
        <w:sdtContent>
          <w:r w:rsidR="00572E88" w:rsidRPr="00572E88">
            <w:rPr>
              <w:rFonts w:ascii="Times New Roman" w:hAnsi="Times New Roman" w:cs="Times New Roman"/>
              <w:iCs/>
              <w:color w:val="000000"/>
            </w:rPr>
            <w:t>[201,202,214,216]</w:t>
          </w:r>
        </w:sdtContent>
      </w:sdt>
      <w:r w:rsidRPr="00EA661D">
        <w:rPr>
          <w:rFonts w:ascii="Times New Roman" w:hAnsi="Times New Roman" w:cs="Times New Roman"/>
          <w:iCs/>
        </w:rPr>
        <w:t xml:space="preserve">. In previous studies, a lower general prevalence of all comorbid conditions was significantly associated with less severe COPD outcomes </w:t>
      </w:r>
      <w:sdt>
        <w:sdtPr>
          <w:rPr>
            <w:rFonts w:ascii="Times New Roman" w:hAnsi="Times New Roman" w:cs="Times New Roman"/>
            <w:iCs/>
            <w:color w:val="000000"/>
          </w:rPr>
          <w:tag w:val="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"/>
          <w:id w:val="-859273610"/>
          <w:placeholder>
            <w:docPart w:val="3FA6CF6A11B61D4FA36A259BA163745D"/>
          </w:placeholder>
        </w:sdtPr>
        <w:sdtEndPr/>
        <w:sdtContent>
          <w:r w:rsidR="00572E88" w:rsidRPr="00572E88">
            <w:rPr>
              <w:rFonts w:ascii="Times New Roman" w:hAnsi="Times New Roman" w:cs="Times New Roman"/>
              <w:iCs/>
              <w:color w:val="000000"/>
            </w:rPr>
            <w:t>[214,216]</w:t>
          </w:r>
        </w:sdtContent>
      </w:sdt>
      <w:r w:rsidRPr="00EA661D">
        <w:rPr>
          <w:rFonts w:ascii="Times New Roman" w:hAnsi="Times New Roman" w:cs="Times New Roman"/>
          <w:iCs/>
        </w:rPr>
        <w:t xml:space="preserve">. Unfortunately, the severity of long-term COPD outcomes similar to those used in previous studies could not be assessed in this study. Thus, cluster 1 represents a less severe COPD cluster potentially requiring less complicated medical management. </w:t>
      </w:r>
    </w:p>
    <w:p w14:paraId="0A8EF98E" w14:textId="4A40C1AE" w:rsidR="00EA661D" w:rsidRPr="00EA661D" w:rsidRDefault="00EA661D" w:rsidP="00317813">
      <w:pPr>
        <w:spacing w:after="0" w:line="480" w:lineRule="auto"/>
        <w:ind w:firstLine="634"/>
        <w:rPr>
          <w:rFonts w:ascii="Times New Roman" w:hAnsi="Times New Roman" w:cs="Times New Roman"/>
          <w:iCs/>
        </w:rPr>
      </w:pPr>
      <w:r w:rsidRPr="00EA661D">
        <w:rPr>
          <w:rFonts w:ascii="Times New Roman" w:hAnsi="Times New Roman" w:cs="Times New Roman"/>
          <w:iCs/>
        </w:rPr>
        <w:t xml:space="preserve">Cluster 2 had a higher prevalence of cardiovascular conditions than cluster 1 while also having a lower prevalence of many non-cardiovascular conditions than clusters 3 and 4. Thus, cluster 2 is a high cardiovascular disease prevalence cluster, which is consistent with findings from many other studies </w:t>
      </w:r>
      <w:sdt>
        <w:sdtPr>
          <w:rPr>
            <w:rFonts w:ascii="Times New Roman" w:hAnsi="Times New Roman" w:cs="Times New Roman"/>
            <w:iCs/>
            <w:color w:val="000000"/>
          </w:rPr>
          <w:tag w:val="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"/>
          <w:id w:val="830417826"/>
          <w:placeholder>
            <w:docPart w:val="3FA6CF6A11B61D4FA36A259BA163745D"/>
          </w:placeholder>
        </w:sdtPr>
        <w:sdtEndPr/>
        <w:sdtContent>
          <w:r w:rsidR="00572E88" w:rsidRPr="00572E88">
            <w:rPr>
              <w:rFonts w:ascii="Times New Roman" w:hAnsi="Times New Roman" w:cs="Times New Roman"/>
              <w:iCs/>
              <w:color w:val="000000"/>
            </w:rPr>
            <w:t>[201,202,214–216]</w:t>
          </w:r>
        </w:sdtContent>
      </w:sdt>
      <w:r w:rsidRPr="00EA661D">
        <w:rPr>
          <w:rFonts w:ascii="Times New Roman" w:hAnsi="Times New Roman" w:cs="Times New Roman"/>
          <w:iCs/>
        </w:rPr>
        <w:t xml:space="preserve">. In general, the pathophysiological processes for cardiac function and respiration are interrelated </w:t>
      </w:r>
      <w:sdt>
        <w:sdtPr>
          <w:rPr>
            <w:rFonts w:ascii="Times New Roman" w:hAnsi="Times New Roman" w:cs="Times New Roman"/>
            <w:iCs/>
            <w:color w:val="000000"/>
          </w:rPr>
          <w:tag w:val="MENDELEY_CITATION_v3_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"/>
          <w:id w:val="-1931423886"/>
          <w:placeholder>
            <w:docPart w:val="3FA6CF6A11B61D4FA36A259BA163745D"/>
          </w:placeholder>
        </w:sdtPr>
        <w:sdtEndPr/>
        <w:sdtContent>
          <w:r w:rsidR="00572E88" w:rsidRPr="00572E88">
            <w:rPr>
              <w:rFonts w:ascii="Times New Roman" w:hAnsi="Times New Roman" w:cs="Times New Roman"/>
              <w:iCs/>
              <w:color w:val="000000"/>
            </w:rPr>
            <w:t>[217]</w:t>
          </w:r>
        </w:sdtContent>
      </w:sdt>
      <w:r w:rsidRPr="00EA661D">
        <w:rPr>
          <w:rFonts w:ascii="Times New Roman" w:hAnsi="Times New Roman" w:cs="Times New Roman"/>
          <w:iCs/>
        </w:rPr>
        <w:t xml:space="preserve">. Thus, respiratory dysfunction such as that </w:t>
      </w:r>
      <w:r w:rsidRPr="00EA661D">
        <w:rPr>
          <w:rFonts w:ascii="Times New Roman" w:hAnsi="Times New Roman" w:cs="Times New Roman"/>
          <w:iCs/>
        </w:rPr>
        <w:lastRenderedPageBreak/>
        <w:t xml:space="preserve">produced by COPD could lead to cardiac abnormalities, which can ultimately result in worse prognosis when both COPD and cardiovascular disease occur </w:t>
      </w:r>
      <w:sdt>
        <w:sdtPr>
          <w:rPr>
            <w:rFonts w:ascii="Times New Roman" w:hAnsi="Times New Roman" w:cs="Times New Roman"/>
            <w:iCs/>
            <w:color w:val="000000"/>
          </w:rPr>
          <w:tag w:val="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"/>
          <w:id w:val="2010479298"/>
          <w:placeholder>
            <w:docPart w:val="3FA6CF6A11B61D4FA36A259BA163745D"/>
          </w:placeholder>
        </w:sdtPr>
        <w:sdtEndPr/>
        <w:sdtContent>
          <w:r w:rsidR="00572E88" w:rsidRPr="00572E88">
            <w:rPr>
              <w:rFonts w:ascii="Times New Roman" w:hAnsi="Times New Roman" w:cs="Times New Roman"/>
              <w:iCs/>
              <w:color w:val="000000"/>
            </w:rPr>
            <w:t>[214,217]</w:t>
          </w:r>
        </w:sdtContent>
      </w:sdt>
      <w:r w:rsidRPr="00EA661D">
        <w:rPr>
          <w:rFonts w:ascii="Times New Roman" w:hAnsi="Times New Roman" w:cs="Times New Roman"/>
          <w:iCs/>
        </w:rPr>
        <w:t xml:space="preserve">. </w:t>
      </w:r>
    </w:p>
    <w:p w14:paraId="533A75FD" w14:textId="77777777" w:rsidR="005413B8" w:rsidRDefault="00EA661D" w:rsidP="00317813">
      <w:pPr>
        <w:spacing w:after="0" w:line="480" w:lineRule="auto"/>
        <w:ind w:firstLine="634"/>
        <w:rPr>
          <w:rFonts w:ascii="Times New Roman" w:hAnsi="Times New Roman" w:cs="Times New Roman"/>
          <w:iCs/>
        </w:rPr>
      </w:pPr>
      <w:r w:rsidRPr="00EA661D">
        <w:rPr>
          <w:rFonts w:ascii="Times New Roman" w:hAnsi="Times New Roman" w:cs="Times New Roman"/>
          <w:iCs/>
        </w:rPr>
        <w:t xml:space="preserve">Both clusters 3 and 4 had higher prevalence proportions of most conditions than clusters 1 and 2, which is suggestive of more complicated or severe COPD within these clusters </w:t>
      </w:r>
      <w:sdt>
        <w:sdtPr>
          <w:rPr>
            <w:rFonts w:ascii="Times New Roman" w:hAnsi="Times New Roman" w:cs="Times New Roman"/>
            <w:iCs/>
            <w:color w:val="000000"/>
          </w:rPr>
          <w:tag w:val="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"/>
          <w:id w:val="-163472424"/>
          <w:placeholder>
            <w:docPart w:val="3FA6CF6A11B61D4FA36A259BA163745D"/>
          </w:placeholder>
        </w:sdtPr>
        <w:sdtEndPr/>
        <w:sdtContent>
          <w:r w:rsidR="00572E88" w:rsidRPr="00572E88">
            <w:rPr>
              <w:rFonts w:ascii="Times New Roman" w:hAnsi="Times New Roman" w:cs="Times New Roman"/>
              <w:iCs/>
              <w:color w:val="000000"/>
            </w:rPr>
            <w:t>[214,216]</w:t>
          </w:r>
        </w:sdtContent>
      </w:sdt>
      <w:r w:rsidRPr="00EA661D">
        <w:rPr>
          <w:rFonts w:ascii="Times New Roman" w:hAnsi="Times New Roman" w:cs="Times New Roman"/>
          <w:iCs/>
        </w:rPr>
        <w:t xml:space="preserve">. Although not statistically different, the lung cancer prevalence in cluster 3 was double the prevalence in cluster 4, which suggests that cluster 3 may be comprised of individuals with high lung cancer prevalence. The co-occurrence of COPD and lung cancer has been reported by other studies which estimated that 40%-70% of those with lung cancer develop COPD while those with COPD are 2-7 times more likely to develop lung cancer </w:t>
      </w:r>
      <w:sdt>
        <w:sdtPr>
          <w:rPr>
            <w:rFonts w:ascii="Times New Roman" w:hAnsi="Times New Roman" w:cs="Times New Roman"/>
            <w:iCs/>
            <w:color w:val="000000"/>
          </w:rPr>
          <w:tag w:val="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"/>
          <w:id w:val="-1786033484"/>
          <w:placeholder>
            <w:docPart w:val="3FA6CF6A11B61D4FA36A259BA163745D"/>
          </w:placeholder>
        </w:sdtPr>
        <w:sdtEndPr/>
        <w:sdtContent>
          <w:r w:rsidR="00572E88" w:rsidRPr="00572E88">
            <w:rPr>
              <w:rFonts w:ascii="Times New Roman" w:hAnsi="Times New Roman" w:cs="Times New Roman"/>
              <w:iCs/>
              <w:color w:val="000000"/>
            </w:rPr>
            <w:t>[218,219]</w:t>
          </w:r>
        </w:sdtContent>
      </w:sdt>
      <w:r w:rsidRPr="00EA661D">
        <w:rPr>
          <w:rFonts w:ascii="Times New Roman" w:hAnsi="Times New Roman" w:cs="Times New Roman"/>
          <w:iCs/>
        </w:rPr>
        <w:t xml:space="preserve">. Although the biological mechanism resulting in the co-occurrences of COPD and lung cancer is unknown, it is thought to be related to a combination of genomic factors, chronic inflammation, and shared risk factors </w:t>
      </w:r>
      <w:sdt>
        <w:sdtPr>
          <w:rPr>
            <w:rFonts w:ascii="Times New Roman" w:hAnsi="Times New Roman" w:cs="Times New Roman"/>
            <w:iCs/>
            <w:color w:val="000000"/>
          </w:rPr>
          <w:tag w:val="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"/>
          <w:id w:val="840895760"/>
          <w:placeholder>
            <w:docPart w:val="3FA6CF6A11B61D4FA36A259BA163745D"/>
          </w:placeholder>
        </w:sdtPr>
        <w:sdtEndPr/>
        <w:sdtContent>
          <w:r w:rsidR="00572E88" w:rsidRPr="00572E88">
            <w:rPr>
              <w:rFonts w:ascii="Times New Roman" w:hAnsi="Times New Roman" w:cs="Times New Roman"/>
              <w:iCs/>
              <w:color w:val="000000"/>
            </w:rPr>
            <w:t>[218,219]</w:t>
          </w:r>
        </w:sdtContent>
      </w:sdt>
      <w:r w:rsidRPr="00EA661D">
        <w:rPr>
          <w:rFonts w:ascii="Times New Roman" w:hAnsi="Times New Roman" w:cs="Times New Roman"/>
          <w:iCs/>
        </w:rPr>
        <w:t>.</w:t>
      </w:r>
    </w:p>
    <w:p w14:paraId="2A086772" w14:textId="5204D48A" w:rsidR="00EA661D" w:rsidRPr="00EA661D" w:rsidRDefault="00EA661D" w:rsidP="00317813">
      <w:pPr>
        <w:spacing w:after="0" w:line="480" w:lineRule="auto"/>
        <w:rPr>
          <w:rFonts w:ascii="Times New Roman" w:hAnsi="Times New Roman" w:cs="Times New Roman"/>
          <w:iCs/>
        </w:rPr>
      </w:pPr>
    </w:p>
    <w:p w14:paraId="737EC802" w14:textId="3C0D1CFE" w:rsidR="00EA661D" w:rsidRPr="002735C7" w:rsidRDefault="00EA661D" w:rsidP="00317813">
      <w:pPr>
        <w:pStyle w:val="Heading4"/>
        <w:spacing w:before="0" w:after="0" w:line="480" w:lineRule="auto"/>
        <w:rPr>
          <w:szCs w:val="28"/>
        </w:rPr>
      </w:pPr>
      <w:bookmarkStart w:id="202" w:name="_Toc200097035"/>
      <w:r w:rsidRPr="002735C7">
        <w:rPr>
          <w:szCs w:val="28"/>
        </w:rPr>
        <w:t>Prediction of FEV</w:t>
      </w:r>
      <w:r w:rsidRPr="002735C7">
        <w:rPr>
          <w:szCs w:val="28"/>
          <w:vertAlign w:val="subscript"/>
        </w:rPr>
        <w:t>1</w:t>
      </w:r>
      <w:r w:rsidRPr="002735C7">
        <w:rPr>
          <w:szCs w:val="28"/>
        </w:rPr>
        <w:t xml:space="preserve"> Change</w:t>
      </w:r>
      <w:bookmarkEnd w:id="202"/>
    </w:p>
    <w:p w14:paraId="61CBE498" w14:textId="6E149673" w:rsidR="00EA661D" w:rsidRPr="00EA661D" w:rsidRDefault="00EA661D" w:rsidP="00317813">
      <w:pPr>
        <w:spacing w:after="0" w:line="480" w:lineRule="auto"/>
        <w:ind w:firstLine="634"/>
        <w:rPr>
          <w:rFonts w:ascii="Times New Roman" w:hAnsi="Times New Roman" w:cs="Times New Roman"/>
          <w:iCs/>
        </w:rPr>
      </w:pPr>
      <w:r w:rsidRPr="00EA661D">
        <w:rPr>
          <w:rFonts w:ascii="Times New Roman" w:hAnsi="Times New Roman" w:cs="Times New Roman"/>
          <w:iCs/>
        </w:rPr>
        <w:t>The current study identified significant associations between FEV</w:t>
      </w:r>
      <w:r w:rsidRPr="00EA661D">
        <w:rPr>
          <w:rFonts w:ascii="Times New Roman" w:hAnsi="Times New Roman" w:cs="Times New Roman"/>
          <w:iCs/>
          <w:vertAlign w:val="subscript"/>
        </w:rPr>
        <w:t>1</w:t>
      </w:r>
      <w:r w:rsidRPr="00EA661D">
        <w:rPr>
          <w:rFonts w:ascii="Times New Roman" w:hAnsi="Times New Roman" w:cs="Times New Roman"/>
          <w:iCs/>
        </w:rPr>
        <w:t xml:space="preserve"> change and multiple comorbid conditions including history of asthma, myocardial infarction, and kidney problems. However, the importance of these comorbid conditions in predicting FEV</w:t>
      </w:r>
      <w:r w:rsidRPr="00EA661D">
        <w:rPr>
          <w:rFonts w:ascii="Times New Roman" w:hAnsi="Times New Roman" w:cs="Times New Roman"/>
          <w:iCs/>
          <w:vertAlign w:val="subscript"/>
        </w:rPr>
        <w:t>1</w:t>
      </w:r>
      <w:r w:rsidRPr="00EA661D">
        <w:rPr>
          <w:rFonts w:ascii="Times New Roman" w:hAnsi="Times New Roman" w:cs="Times New Roman"/>
          <w:iCs/>
        </w:rPr>
        <w:t xml:space="preserve"> change was limited. The biological mechanism driving the co-occurrence of multiple comorbidities and COPD is thought to be multifactorial arising from the interplay of genetic, environmental, and lifestyle factors such as smoking </w:t>
      </w:r>
      <w:sdt>
        <w:sdtPr>
          <w:rPr>
            <w:rFonts w:ascii="Times New Roman" w:hAnsi="Times New Roman" w:cs="Times New Roman"/>
            <w:iCs/>
            <w:color w:val="000000"/>
          </w:rPr>
          <w:tag w:val="MENDELEY_CITATION_v3_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"/>
          <w:id w:val="-1086761682"/>
          <w:placeholder>
            <w:docPart w:val="3FA6CF6A11B61D4FA36A259BA163745D"/>
          </w:placeholder>
        </w:sdtPr>
        <w:sdtEndPr/>
        <w:sdtContent>
          <w:r w:rsidR="00572E88" w:rsidRPr="00572E88">
            <w:rPr>
              <w:rFonts w:ascii="Times New Roman" w:hAnsi="Times New Roman" w:cs="Times New Roman"/>
              <w:iCs/>
              <w:color w:val="000000"/>
            </w:rPr>
            <w:t>[220]</w:t>
          </w:r>
        </w:sdtContent>
      </w:sdt>
      <w:r w:rsidRPr="00EA661D">
        <w:rPr>
          <w:rFonts w:ascii="Times New Roman" w:hAnsi="Times New Roman" w:cs="Times New Roman"/>
          <w:iCs/>
        </w:rPr>
        <w:t xml:space="preserve">. The reason for the limited predictive importance of the comorbid conditions is unclear but might be related to the population studied. This study included individuals with potentially higher exposure to noxious substances, which could also contribute to lung function changes, than the general population </w:t>
      </w:r>
      <w:sdt>
        <w:sdtPr>
          <w:rPr>
            <w:rFonts w:ascii="Times New Roman" w:hAnsi="Times New Roman" w:cs="Times New Roman"/>
            <w:iCs/>
            <w:color w:val="000000"/>
          </w:rPr>
          <w:tag w:val="MENDELEY_CITATION_v3_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
          <w:id w:val="-893967090"/>
          <w:placeholder>
            <w:docPart w:val="3FA6CF6A11B61D4FA36A259BA163745D"/>
          </w:placeholder>
        </w:sdtPr>
        <w:sdtEndPr/>
        <w:sdtContent>
          <w:r w:rsidR="00572E88" w:rsidRPr="00572E88">
            <w:rPr>
              <w:rFonts w:ascii="Times New Roman" w:hAnsi="Times New Roman" w:cs="Times New Roman"/>
              <w:iCs/>
              <w:color w:val="000000"/>
            </w:rPr>
            <w:t>[24,95]</w:t>
          </w:r>
        </w:sdtContent>
      </w:sdt>
      <w:r w:rsidRPr="00EA661D">
        <w:rPr>
          <w:rFonts w:ascii="Times New Roman" w:hAnsi="Times New Roman" w:cs="Times New Roman"/>
          <w:iCs/>
        </w:rPr>
        <w:t xml:space="preserve">. Another potential reason is the </w:t>
      </w:r>
      <w:r w:rsidRPr="00EA661D">
        <w:rPr>
          <w:rFonts w:ascii="Times New Roman" w:hAnsi="Times New Roman" w:cs="Times New Roman"/>
          <w:iCs/>
        </w:rPr>
        <w:lastRenderedPageBreak/>
        <w:t xml:space="preserve">differences between machine learning and traditional statistical approaches </w:t>
      </w:r>
      <w:sdt>
        <w:sdtPr>
          <w:rPr>
            <w:rFonts w:ascii="Times New Roman" w:hAnsi="Times New Roman" w:cs="Times New Roman"/>
            <w:iCs/>
            <w:color w:val="000000"/>
          </w:rPr>
          <w:tag w:val="MENDELEY_CITATION_v3_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"/>
          <w:id w:val="-535729876"/>
          <w:placeholder>
            <w:docPart w:val="3FA6CF6A11B61D4FA36A259BA163745D"/>
          </w:placeholder>
        </w:sdtPr>
        <w:sdtEndPr/>
        <w:sdtContent>
          <w:r w:rsidR="00572E88" w:rsidRPr="00572E88">
            <w:rPr>
              <w:rFonts w:ascii="Times New Roman" w:hAnsi="Times New Roman" w:cs="Times New Roman"/>
              <w:iCs/>
              <w:color w:val="000000"/>
            </w:rPr>
            <w:t>[221]</w:t>
          </w:r>
        </w:sdtContent>
      </w:sdt>
      <w:r w:rsidRPr="00EA661D">
        <w:rPr>
          <w:rFonts w:ascii="Times New Roman" w:hAnsi="Times New Roman" w:cs="Times New Roman"/>
          <w:iCs/>
        </w:rPr>
        <w:t xml:space="preserve">. A study by </w:t>
      </w:r>
      <w:proofErr w:type="spellStart"/>
      <w:r w:rsidRPr="00EA661D">
        <w:rPr>
          <w:rFonts w:ascii="Times New Roman" w:hAnsi="Times New Roman" w:cs="Times New Roman"/>
          <w:iCs/>
        </w:rPr>
        <w:t>Boueiz</w:t>
      </w:r>
      <w:proofErr w:type="spellEnd"/>
      <w:r w:rsidRPr="00EA661D">
        <w:rPr>
          <w:rFonts w:ascii="Times New Roman" w:hAnsi="Times New Roman" w:cs="Times New Roman"/>
          <w:iCs/>
        </w:rPr>
        <w:t xml:space="preserve"> et al reported similar findings and attributed it to methodological differences between traditional statistical analyses and novel machine learning approaches </w:t>
      </w:r>
      <w:sdt>
        <w:sdtPr>
          <w:rPr>
            <w:rFonts w:ascii="Times New Roman" w:hAnsi="Times New Roman" w:cs="Times New Roman"/>
            <w:iCs/>
            <w:color w:val="000000"/>
          </w:rPr>
          <w:tag w:val="MENDELEY_CITATION_v3_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"/>
          <w:id w:val="-539667425"/>
          <w:placeholder>
            <w:docPart w:val="3FA6CF6A11B61D4FA36A259BA163745D"/>
          </w:placeholder>
        </w:sdtPr>
        <w:sdtEndPr/>
        <w:sdtContent>
          <w:r w:rsidR="00572E88" w:rsidRPr="00572E88">
            <w:rPr>
              <w:rFonts w:ascii="Times New Roman" w:hAnsi="Times New Roman" w:cs="Times New Roman"/>
              <w:iCs/>
              <w:color w:val="000000"/>
            </w:rPr>
            <w:t>[221]</w:t>
          </w:r>
        </w:sdtContent>
      </w:sdt>
      <w:r w:rsidRPr="00EA661D">
        <w:rPr>
          <w:rFonts w:ascii="Times New Roman" w:hAnsi="Times New Roman" w:cs="Times New Roman"/>
          <w:iCs/>
        </w:rPr>
        <w:t>.</w:t>
      </w:r>
    </w:p>
    <w:p w14:paraId="660D7C66" w14:textId="73980F43" w:rsidR="00EA661D" w:rsidRDefault="00EA661D" w:rsidP="00317813">
      <w:pPr>
        <w:spacing w:after="0" w:line="480" w:lineRule="auto"/>
        <w:ind w:firstLine="634"/>
        <w:rPr>
          <w:rFonts w:ascii="Times New Roman" w:hAnsi="Times New Roman" w:cs="Times New Roman"/>
          <w:iCs/>
        </w:rPr>
      </w:pPr>
      <w:r w:rsidRPr="00EA661D">
        <w:rPr>
          <w:rFonts w:ascii="Times New Roman" w:hAnsi="Times New Roman" w:cs="Times New Roman"/>
          <w:iCs/>
        </w:rPr>
        <w:t>Although comorbidities had limited abilities for predicting FEV</w:t>
      </w:r>
      <w:r w:rsidRPr="00EA661D">
        <w:rPr>
          <w:rFonts w:ascii="Times New Roman" w:hAnsi="Times New Roman" w:cs="Times New Roman"/>
          <w:iCs/>
          <w:vertAlign w:val="subscript"/>
        </w:rPr>
        <w:t>1</w:t>
      </w:r>
      <w:r w:rsidRPr="00EA661D">
        <w:rPr>
          <w:rFonts w:ascii="Times New Roman" w:hAnsi="Times New Roman" w:cs="Times New Roman"/>
          <w:iCs/>
        </w:rPr>
        <w:t xml:space="preserve"> change, several other factors were identified as important predictors. For instance, age at initial exam was one of the strongest predictors of FEV</w:t>
      </w:r>
      <w:r w:rsidRPr="00EA661D">
        <w:rPr>
          <w:rFonts w:ascii="Times New Roman" w:hAnsi="Times New Roman" w:cs="Times New Roman"/>
          <w:iCs/>
          <w:vertAlign w:val="subscript"/>
        </w:rPr>
        <w:t>1</w:t>
      </w:r>
      <w:r w:rsidRPr="00EA661D">
        <w:rPr>
          <w:rFonts w:ascii="Times New Roman" w:hAnsi="Times New Roman" w:cs="Times New Roman"/>
          <w:iCs/>
        </w:rPr>
        <w:t xml:space="preserve"> change in this study, a finding that is consistent with reports from other studies </w:t>
      </w:r>
      <w:sdt>
        <w:sdtPr>
          <w:rPr>
            <w:rFonts w:ascii="Times New Roman" w:hAnsi="Times New Roman" w:cs="Times New Roman"/>
            <w:iCs/>
            <w:color w:val="000000"/>
          </w:rPr>
          <w:tag w:val="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"/>
          <w:id w:val="-292137099"/>
          <w:placeholder>
            <w:docPart w:val="32CDB3F31106A647A1B72041DAF0B4E7"/>
          </w:placeholder>
        </w:sdtPr>
        <w:sdtEndPr/>
        <w:sdtContent>
          <w:r w:rsidR="00572E88" w:rsidRPr="00572E88">
            <w:rPr>
              <w:rFonts w:ascii="Times New Roman" w:hAnsi="Times New Roman" w:cs="Times New Roman"/>
              <w:iCs/>
              <w:color w:val="000000"/>
            </w:rPr>
            <w:t>[83,222,223]</w:t>
          </w:r>
        </w:sdtContent>
      </w:sdt>
      <w:r w:rsidRPr="00EA661D">
        <w:rPr>
          <w:rFonts w:ascii="Times New Roman" w:hAnsi="Times New Roman" w:cs="Times New Roman"/>
          <w:iCs/>
        </w:rPr>
        <w:t xml:space="preserve">.  Across a healthy lifespan, lung function is expected to change, and even decline, with age, most likely resulting from the natural consequences of respiratory aging such as loss of respiratory muscle strength or pulmonary elasticity </w:t>
      </w:r>
      <w:sdt>
        <w:sdtPr>
          <w:rPr>
            <w:rFonts w:ascii="Times New Roman" w:hAnsi="Times New Roman" w:cs="Times New Roman"/>
            <w:iCs/>
            <w:color w:val="000000"/>
          </w:rPr>
          <w:tag w:val="MENDELEY_CITATION_v3_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"/>
          <w:id w:val="-740569224"/>
          <w:placeholder>
            <w:docPart w:val="3FA6CF6A11B61D4FA36A259BA163745D"/>
          </w:placeholder>
        </w:sdtPr>
        <w:sdtEndPr/>
        <w:sdtContent>
          <w:r w:rsidR="00572E88" w:rsidRPr="00572E88">
            <w:rPr>
              <w:rFonts w:ascii="Times New Roman" w:hAnsi="Times New Roman" w:cs="Times New Roman"/>
              <w:iCs/>
              <w:color w:val="000000"/>
            </w:rPr>
            <w:t>[83]</w:t>
          </w:r>
        </w:sdtContent>
      </w:sdt>
      <w:r w:rsidRPr="00EA661D">
        <w:rPr>
          <w:rFonts w:ascii="Times New Roman" w:hAnsi="Times New Roman" w:cs="Times New Roman"/>
          <w:iCs/>
        </w:rPr>
        <w:t xml:space="preserve">. This notion is often true for COPD as the condition is characterized by accelerated lung function decline </w:t>
      </w:r>
      <w:sdt>
        <w:sdtPr>
          <w:rPr>
            <w:rFonts w:ascii="Times New Roman" w:hAnsi="Times New Roman" w:cs="Times New Roman"/>
            <w:iCs/>
            <w:color w:val="000000"/>
          </w:rPr>
          <w:tag w:val="MENDELEY_CITATION_v3_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"/>
          <w:id w:val="1115018828"/>
          <w:placeholder>
            <w:docPart w:val="3FA6CF6A11B61D4FA36A259BA163745D"/>
          </w:placeholder>
        </w:sdtPr>
        <w:sdtEndPr/>
        <w:sdtContent>
          <w:r w:rsidR="00572E88" w:rsidRPr="00572E88">
            <w:rPr>
              <w:rFonts w:ascii="Times New Roman" w:hAnsi="Times New Roman" w:cs="Times New Roman"/>
              <w:iCs/>
              <w:color w:val="000000"/>
            </w:rPr>
            <w:t>[22]</w:t>
          </w:r>
        </w:sdtContent>
      </w:sdt>
      <w:r w:rsidRPr="00EA661D">
        <w:rPr>
          <w:rFonts w:ascii="Times New Roman" w:hAnsi="Times New Roman" w:cs="Times New Roman"/>
          <w:iCs/>
        </w:rPr>
        <w:t>. Age at hire was also of high importance for predicting FEV</w:t>
      </w:r>
      <w:r w:rsidRPr="00EA661D">
        <w:rPr>
          <w:rFonts w:ascii="Times New Roman" w:hAnsi="Times New Roman" w:cs="Times New Roman"/>
          <w:iCs/>
          <w:vertAlign w:val="subscript"/>
        </w:rPr>
        <w:t>1</w:t>
      </w:r>
      <w:r w:rsidRPr="00EA661D">
        <w:rPr>
          <w:rFonts w:ascii="Times New Roman" w:hAnsi="Times New Roman" w:cs="Times New Roman"/>
          <w:iCs/>
        </w:rPr>
        <w:t xml:space="preserve"> change in the current study. However, it is difficult to compare the importance of age at hire to results from other studies as occupational factors are often not included in studies of the general population </w:t>
      </w:r>
      <w:sdt>
        <w:sdtPr>
          <w:rPr>
            <w:rFonts w:ascii="Times New Roman" w:hAnsi="Times New Roman" w:cs="Times New Roman"/>
            <w:iCs/>
            <w:color w:val="000000"/>
          </w:rPr>
          <w:tag w:val="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"/>
          <w:id w:val="1259715747"/>
          <w:placeholder>
            <w:docPart w:val="3FA6CF6A11B61D4FA36A259BA163745D"/>
          </w:placeholder>
        </w:sdtPr>
        <w:sdtEndPr/>
        <w:sdtContent>
          <w:r w:rsidR="00572E88" w:rsidRPr="00572E88">
            <w:rPr>
              <w:rFonts w:ascii="Times New Roman" w:hAnsi="Times New Roman" w:cs="Times New Roman"/>
              <w:iCs/>
              <w:color w:val="000000"/>
            </w:rPr>
            <w:t>[83,221–223]</w:t>
          </w:r>
        </w:sdtContent>
      </w:sdt>
      <w:r w:rsidRPr="00EA661D">
        <w:rPr>
          <w:rFonts w:ascii="Times New Roman" w:hAnsi="Times New Roman" w:cs="Times New Roman"/>
          <w:iCs/>
        </w:rPr>
        <w:t>. Suffice it to say that these findings may be suggestive of the importance occupational factors play in lung function changes especially given that exposure to welding fumes was a significant, albeit weak, predictor in this study.</w:t>
      </w:r>
    </w:p>
    <w:p w14:paraId="04B5FC78" w14:textId="77777777" w:rsidR="005413B8" w:rsidRPr="00EA661D" w:rsidRDefault="005413B8" w:rsidP="00317813">
      <w:pPr>
        <w:spacing w:after="0" w:line="480" w:lineRule="auto"/>
        <w:rPr>
          <w:rFonts w:ascii="Times New Roman" w:hAnsi="Times New Roman" w:cs="Times New Roman"/>
          <w:iCs/>
        </w:rPr>
      </w:pPr>
    </w:p>
    <w:p w14:paraId="2E6A4573" w14:textId="20F958C8" w:rsidR="00EA661D" w:rsidRPr="002735C7" w:rsidRDefault="00EA661D" w:rsidP="00317813">
      <w:pPr>
        <w:pStyle w:val="Heading4"/>
        <w:spacing w:before="0" w:after="0" w:line="480" w:lineRule="auto"/>
        <w:rPr>
          <w:szCs w:val="28"/>
        </w:rPr>
      </w:pPr>
      <w:bookmarkStart w:id="203" w:name="_Toc200097036"/>
      <w:r w:rsidRPr="002735C7">
        <w:rPr>
          <w:szCs w:val="28"/>
        </w:rPr>
        <w:t>Prediction of FEV</w:t>
      </w:r>
      <w:r w:rsidRPr="002735C7">
        <w:rPr>
          <w:szCs w:val="28"/>
          <w:vertAlign w:val="subscript"/>
        </w:rPr>
        <w:t>1</w:t>
      </w:r>
      <w:r w:rsidRPr="002735C7">
        <w:rPr>
          <w:szCs w:val="28"/>
        </w:rPr>
        <w:t xml:space="preserve"> Decline</w:t>
      </w:r>
      <w:bookmarkEnd w:id="203"/>
    </w:p>
    <w:p w14:paraId="3DF711F0" w14:textId="328B4132" w:rsidR="00EA661D" w:rsidRPr="00EA661D" w:rsidRDefault="00EA661D" w:rsidP="00317813">
      <w:pPr>
        <w:spacing w:after="0" w:line="480" w:lineRule="auto"/>
        <w:ind w:firstLine="634"/>
        <w:rPr>
          <w:rFonts w:ascii="Times New Roman" w:hAnsi="Times New Roman" w:cs="Times New Roman"/>
          <w:iCs/>
        </w:rPr>
      </w:pPr>
      <w:r w:rsidRPr="00EA661D">
        <w:rPr>
          <w:rFonts w:ascii="Times New Roman" w:hAnsi="Times New Roman" w:cs="Times New Roman"/>
          <w:iCs/>
        </w:rPr>
        <w:t>The significant association between FEV</w:t>
      </w:r>
      <w:r w:rsidRPr="00EA661D">
        <w:rPr>
          <w:rFonts w:ascii="Times New Roman" w:hAnsi="Times New Roman" w:cs="Times New Roman"/>
          <w:iCs/>
          <w:vertAlign w:val="subscript"/>
        </w:rPr>
        <w:t>1</w:t>
      </w:r>
      <w:r w:rsidRPr="00EA661D">
        <w:rPr>
          <w:rFonts w:ascii="Times New Roman" w:hAnsi="Times New Roman" w:cs="Times New Roman"/>
          <w:iCs/>
        </w:rPr>
        <w:t xml:space="preserve"> decline and cardiovascular disease identified in this study is consistent with reports from other studies </w:t>
      </w:r>
      <w:sdt>
        <w:sdtPr>
          <w:rPr>
            <w:rFonts w:ascii="Times New Roman" w:hAnsi="Times New Roman" w:cs="Times New Roman"/>
            <w:iCs/>
            <w:color w:val="000000"/>
          </w:rPr>
          <w:tag w:val="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"/>
          <w:id w:val="-2008657144"/>
          <w:placeholder>
            <w:docPart w:val="3FA6CF6A11B61D4FA36A259BA163745D"/>
          </w:placeholder>
        </w:sdtPr>
        <w:sdtEndPr/>
        <w:sdtContent>
          <w:r w:rsidR="00572E88" w:rsidRPr="00572E88">
            <w:rPr>
              <w:rFonts w:ascii="Times New Roman" w:hAnsi="Times New Roman" w:cs="Times New Roman"/>
              <w:iCs/>
              <w:color w:val="000000"/>
            </w:rPr>
            <w:t>[224–229]</w:t>
          </w:r>
        </w:sdtContent>
      </w:sdt>
      <w:r w:rsidRPr="00EA661D">
        <w:rPr>
          <w:rFonts w:ascii="Times New Roman" w:hAnsi="Times New Roman" w:cs="Times New Roman"/>
          <w:iCs/>
        </w:rPr>
        <w:t xml:space="preserve">. Lung function impairment can result in cardiovascular disease/events </w:t>
      </w:r>
      <w:sdt>
        <w:sdtPr>
          <w:rPr>
            <w:rFonts w:ascii="Times New Roman" w:hAnsi="Times New Roman" w:cs="Times New Roman"/>
            <w:iCs/>
            <w:color w:val="000000"/>
          </w:rPr>
          <w:tag w:val="MENDELEY_CITATION_v3_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"/>
          <w:id w:val="-630795382"/>
          <w:placeholder>
            <w:docPart w:val="3FA6CF6A11B61D4FA36A259BA163745D"/>
          </w:placeholder>
        </w:sdtPr>
        <w:sdtEndPr/>
        <w:sdtContent>
          <w:r w:rsidR="00572E88" w:rsidRPr="00572E88">
            <w:rPr>
              <w:rFonts w:ascii="Times New Roman" w:hAnsi="Times New Roman" w:cs="Times New Roman"/>
              <w:iCs/>
              <w:color w:val="000000"/>
            </w:rPr>
            <w:t>[229]</w:t>
          </w:r>
        </w:sdtContent>
      </w:sdt>
      <w:r w:rsidRPr="00EA661D">
        <w:rPr>
          <w:rFonts w:ascii="Times New Roman" w:hAnsi="Times New Roman" w:cs="Times New Roman"/>
          <w:iCs/>
        </w:rPr>
        <w:t xml:space="preserve">, among both individuals with and those without COPD </w:t>
      </w:r>
      <w:sdt>
        <w:sdtPr>
          <w:rPr>
            <w:rFonts w:ascii="Times New Roman" w:hAnsi="Times New Roman" w:cs="Times New Roman"/>
            <w:iCs/>
            <w:color w:val="000000"/>
          </w:rPr>
          <w:tag w:val="MENDELEY_CITATION_v3_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"/>
          <w:id w:val="-385407420"/>
          <w:placeholder>
            <w:docPart w:val="3FA6CF6A11B61D4FA36A259BA163745D"/>
          </w:placeholder>
        </w:sdtPr>
        <w:sdtEndPr/>
        <w:sdtContent>
          <w:r w:rsidR="00572E88" w:rsidRPr="00572E88">
            <w:rPr>
              <w:rFonts w:ascii="Times New Roman" w:hAnsi="Times New Roman" w:cs="Times New Roman"/>
              <w:iCs/>
              <w:color w:val="000000"/>
            </w:rPr>
            <w:t>[227,228]</w:t>
          </w:r>
        </w:sdtContent>
      </w:sdt>
      <w:r w:rsidRPr="00EA661D">
        <w:rPr>
          <w:rFonts w:ascii="Times New Roman" w:hAnsi="Times New Roman" w:cs="Times New Roman"/>
          <w:iCs/>
        </w:rPr>
        <w:t>. As was the case for FEV</w:t>
      </w:r>
      <w:r w:rsidRPr="00EA661D">
        <w:rPr>
          <w:rFonts w:ascii="Times New Roman" w:hAnsi="Times New Roman" w:cs="Times New Roman"/>
          <w:iCs/>
          <w:vertAlign w:val="subscript"/>
        </w:rPr>
        <w:t>1</w:t>
      </w:r>
      <w:r w:rsidRPr="00EA661D">
        <w:rPr>
          <w:rFonts w:ascii="Times New Roman" w:hAnsi="Times New Roman" w:cs="Times New Roman"/>
          <w:iCs/>
        </w:rPr>
        <w:t xml:space="preserve"> change, cardiovascular disease had limited predictive importance in predicting FEV</w:t>
      </w:r>
      <w:r w:rsidRPr="00EA661D">
        <w:rPr>
          <w:rFonts w:ascii="Times New Roman" w:hAnsi="Times New Roman" w:cs="Times New Roman"/>
          <w:iCs/>
          <w:vertAlign w:val="subscript"/>
        </w:rPr>
        <w:t>1</w:t>
      </w:r>
      <w:r w:rsidRPr="00EA661D">
        <w:rPr>
          <w:rFonts w:ascii="Times New Roman" w:hAnsi="Times New Roman" w:cs="Times New Roman"/>
          <w:iCs/>
        </w:rPr>
        <w:t xml:space="preserve"> decline among those with COPD. By contrast, a study </w:t>
      </w:r>
      <w:r w:rsidRPr="00EA661D">
        <w:rPr>
          <w:rFonts w:ascii="Times New Roman" w:hAnsi="Times New Roman" w:cs="Times New Roman"/>
          <w:iCs/>
        </w:rPr>
        <w:lastRenderedPageBreak/>
        <w:t>by Whittaker et al reported no significant association between cardiovascular disease and accelerated FEV</w:t>
      </w:r>
      <w:r w:rsidRPr="00EA661D">
        <w:rPr>
          <w:rFonts w:ascii="Times New Roman" w:hAnsi="Times New Roman" w:cs="Times New Roman"/>
          <w:iCs/>
          <w:vertAlign w:val="subscript"/>
        </w:rPr>
        <w:t>1</w:t>
      </w:r>
      <w:r w:rsidRPr="00EA661D">
        <w:rPr>
          <w:rFonts w:ascii="Times New Roman" w:hAnsi="Times New Roman" w:cs="Times New Roman"/>
          <w:iCs/>
        </w:rPr>
        <w:t xml:space="preserve"> decline among individuals with COPD </w:t>
      </w:r>
      <w:sdt>
        <w:sdtPr>
          <w:rPr>
            <w:rFonts w:ascii="Times New Roman" w:hAnsi="Times New Roman" w:cs="Times New Roman"/>
            <w:iCs/>
            <w:color w:val="000000"/>
          </w:rPr>
          <w:tag w:val="MENDELEY_CITATION_v3_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"/>
          <w:id w:val="2070920153"/>
          <w:placeholder>
            <w:docPart w:val="3FA6CF6A11B61D4FA36A259BA163745D"/>
          </w:placeholder>
        </w:sdtPr>
        <w:sdtEndPr/>
        <w:sdtContent>
          <w:r w:rsidR="00572E88" w:rsidRPr="00572E88">
            <w:rPr>
              <w:rFonts w:ascii="Times New Roman" w:hAnsi="Times New Roman" w:cs="Times New Roman"/>
              <w:iCs/>
              <w:color w:val="000000"/>
            </w:rPr>
            <w:t>[225]</w:t>
          </w:r>
        </w:sdtContent>
      </w:sdt>
      <w:r w:rsidRPr="00EA661D">
        <w:rPr>
          <w:rFonts w:ascii="Times New Roman" w:hAnsi="Times New Roman" w:cs="Times New Roman"/>
          <w:iCs/>
        </w:rPr>
        <w:t>. The low predictive importance of cardiovascular diseases for predicting FEV</w:t>
      </w:r>
      <w:r w:rsidRPr="00EA661D">
        <w:rPr>
          <w:rFonts w:ascii="Times New Roman" w:hAnsi="Times New Roman" w:cs="Times New Roman"/>
          <w:iCs/>
          <w:vertAlign w:val="subscript"/>
        </w:rPr>
        <w:t>1</w:t>
      </w:r>
      <w:r w:rsidRPr="00EA661D">
        <w:rPr>
          <w:rFonts w:ascii="Times New Roman" w:hAnsi="Times New Roman" w:cs="Times New Roman"/>
          <w:iCs/>
        </w:rPr>
        <w:t xml:space="preserve"> decline may be due to variations in lung trajectories </w:t>
      </w:r>
      <w:sdt>
        <w:sdtPr>
          <w:rPr>
            <w:rFonts w:ascii="Times New Roman" w:hAnsi="Times New Roman" w:cs="Times New Roman"/>
            <w:iCs/>
            <w:color w:val="000000"/>
          </w:rPr>
          <w:tag w:val="MENDELEY_CITATION_v3_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"/>
          <w:id w:val="-1261214803"/>
          <w:placeholder>
            <w:docPart w:val="3FA6CF6A11B61D4FA36A259BA163745D"/>
          </w:placeholder>
        </w:sdtPr>
        <w:sdtEndPr/>
        <w:sdtContent>
          <w:r w:rsidR="00572E88" w:rsidRPr="00572E88">
            <w:rPr>
              <w:rFonts w:ascii="Times New Roman" w:hAnsi="Times New Roman" w:cs="Times New Roman"/>
              <w:iCs/>
              <w:color w:val="000000"/>
            </w:rPr>
            <w:t>[22]</w:t>
          </w:r>
        </w:sdtContent>
      </w:sdt>
      <w:r w:rsidRPr="00EA661D">
        <w:rPr>
          <w:rFonts w:ascii="Times New Roman" w:hAnsi="Times New Roman" w:cs="Times New Roman"/>
          <w:iCs/>
        </w:rPr>
        <w:t>. Traditionally, accelerated FEV</w:t>
      </w:r>
      <w:r w:rsidRPr="00EA661D">
        <w:rPr>
          <w:rFonts w:ascii="Times New Roman" w:hAnsi="Times New Roman" w:cs="Times New Roman"/>
          <w:iCs/>
          <w:vertAlign w:val="subscript"/>
        </w:rPr>
        <w:t>1</w:t>
      </w:r>
      <w:r w:rsidRPr="00EA661D">
        <w:rPr>
          <w:rFonts w:ascii="Times New Roman" w:hAnsi="Times New Roman" w:cs="Times New Roman"/>
          <w:iCs/>
        </w:rPr>
        <w:t xml:space="preserve"> decline after complete respiratory maturity is a characteristic of COPD </w:t>
      </w:r>
      <w:sdt>
        <w:sdtPr>
          <w:rPr>
            <w:rFonts w:ascii="Times New Roman" w:hAnsi="Times New Roman" w:cs="Times New Roman"/>
            <w:iCs/>
            <w:color w:val="000000"/>
          </w:rPr>
          <w:tag w:val="MENDELEY_CITATION_v3_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"/>
          <w:id w:val="1912576634"/>
          <w:placeholder>
            <w:docPart w:val="3FA6CF6A11B61D4FA36A259BA163745D"/>
          </w:placeholder>
        </w:sdtPr>
        <w:sdtEndPr/>
        <w:sdtContent>
          <w:r w:rsidR="00572E88" w:rsidRPr="00572E88">
            <w:rPr>
              <w:rFonts w:ascii="Times New Roman" w:hAnsi="Times New Roman" w:cs="Times New Roman"/>
              <w:iCs/>
              <w:color w:val="000000"/>
            </w:rPr>
            <w:t>[22]</w:t>
          </w:r>
        </w:sdtContent>
      </w:sdt>
      <w:r w:rsidRPr="00EA661D">
        <w:rPr>
          <w:rFonts w:ascii="Times New Roman" w:hAnsi="Times New Roman" w:cs="Times New Roman"/>
          <w:iCs/>
        </w:rPr>
        <w:t xml:space="preserve">, but a second lung trajectory is also recognized </w:t>
      </w:r>
      <w:sdt>
        <w:sdtPr>
          <w:rPr>
            <w:rFonts w:ascii="Times New Roman" w:hAnsi="Times New Roman" w:cs="Times New Roman"/>
            <w:iCs/>
            <w:color w:val="000000"/>
          </w:rPr>
          <w:tag w:val="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"/>
          <w:id w:val="-1388409676"/>
          <w:placeholder>
            <w:docPart w:val="3FA6CF6A11B61D4FA36A259BA163745D"/>
          </w:placeholder>
        </w:sdtPr>
        <w:sdtEndPr/>
        <w:sdtContent>
          <w:r w:rsidR="00572E88" w:rsidRPr="00572E88">
            <w:rPr>
              <w:rFonts w:ascii="Times New Roman" w:hAnsi="Times New Roman" w:cs="Times New Roman"/>
              <w:iCs/>
              <w:color w:val="000000"/>
            </w:rPr>
            <w:t>[22,84]</w:t>
          </w:r>
        </w:sdtContent>
      </w:sdt>
      <w:r w:rsidRPr="00EA661D">
        <w:rPr>
          <w:rFonts w:ascii="Times New Roman" w:hAnsi="Times New Roman" w:cs="Times New Roman"/>
          <w:iCs/>
        </w:rPr>
        <w:t>. Instead of experiencing accelerated FEV</w:t>
      </w:r>
      <w:r w:rsidRPr="00EA661D">
        <w:rPr>
          <w:rFonts w:ascii="Times New Roman" w:hAnsi="Times New Roman" w:cs="Times New Roman"/>
          <w:iCs/>
          <w:vertAlign w:val="subscript"/>
        </w:rPr>
        <w:t>1</w:t>
      </w:r>
      <w:r w:rsidRPr="00EA661D">
        <w:rPr>
          <w:rFonts w:ascii="Times New Roman" w:hAnsi="Times New Roman" w:cs="Times New Roman"/>
          <w:iCs/>
        </w:rPr>
        <w:t xml:space="preserve"> decline after reaching normal lung capacity, these individuals never fully reach peak respiratory maturity and experience a normal rate of respiratory decline that can also result in COPD </w:t>
      </w:r>
      <w:sdt>
        <w:sdtPr>
          <w:rPr>
            <w:rFonts w:ascii="Times New Roman" w:hAnsi="Times New Roman" w:cs="Times New Roman"/>
            <w:iCs/>
            <w:color w:val="000000"/>
          </w:rPr>
          <w:tag w:val="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"/>
          <w:id w:val="1857767935"/>
          <w:placeholder>
            <w:docPart w:val="3FA6CF6A11B61D4FA36A259BA163745D"/>
          </w:placeholder>
        </w:sdtPr>
        <w:sdtEndPr/>
        <w:sdtContent>
          <w:r w:rsidR="00572E88" w:rsidRPr="00572E88">
            <w:rPr>
              <w:rFonts w:ascii="Times New Roman" w:hAnsi="Times New Roman" w:cs="Times New Roman"/>
              <w:iCs/>
              <w:color w:val="000000"/>
            </w:rPr>
            <w:t>[22,84]</w:t>
          </w:r>
        </w:sdtContent>
      </w:sdt>
      <w:r w:rsidRPr="00EA661D">
        <w:rPr>
          <w:rFonts w:ascii="Times New Roman" w:hAnsi="Times New Roman" w:cs="Times New Roman"/>
          <w:iCs/>
        </w:rPr>
        <w:t>.</w:t>
      </w:r>
    </w:p>
    <w:p w14:paraId="4A77F0C4" w14:textId="7959A5E4" w:rsidR="00EA661D" w:rsidRDefault="00EA661D" w:rsidP="00317813">
      <w:pPr>
        <w:spacing w:after="0" w:line="480" w:lineRule="auto"/>
        <w:ind w:firstLine="634"/>
        <w:rPr>
          <w:rFonts w:ascii="Times New Roman" w:hAnsi="Times New Roman" w:cs="Times New Roman"/>
          <w:iCs/>
        </w:rPr>
      </w:pPr>
      <w:r w:rsidRPr="00EA661D">
        <w:rPr>
          <w:rFonts w:ascii="Times New Roman" w:hAnsi="Times New Roman" w:cs="Times New Roman"/>
          <w:iCs/>
        </w:rPr>
        <w:t xml:space="preserve">Contrary to reports from other studies </w:t>
      </w:r>
      <w:sdt>
        <w:sdtPr>
          <w:rPr>
            <w:rFonts w:ascii="Times New Roman" w:hAnsi="Times New Roman" w:cs="Times New Roman"/>
            <w:iCs/>
            <w:color w:val="000000"/>
          </w:rPr>
          <w:tag w:val="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"/>
          <w:id w:val="-594323701"/>
          <w:placeholder>
            <w:docPart w:val="4BD4D700469B02418E39EECE4B2A18E4"/>
          </w:placeholder>
        </w:sdtPr>
        <w:sdtEndPr/>
        <w:sdtContent>
          <w:r w:rsidR="00572E88" w:rsidRPr="00572E88">
            <w:rPr>
              <w:rFonts w:ascii="Times New Roman" w:hAnsi="Times New Roman" w:cs="Times New Roman"/>
              <w:iCs/>
              <w:color w:val="000000"/>
            </w:rPr>
            <w:t>[83,230–232]</w:t>
          </w:r>
        </w:sdtContent>
      </w:sdt>
      <w:r w:rsidRPr="00EA661D">
        <w:rPr>
          <w:rFonts w:ascii="Times New Roman" w:hAnsi="Times New Roman" w:cs="Times New Roman"/>
          <w:iCs/>
        </w:rPr>
        <w:t>, smoking was not an important predictor of FEV</w:t>
      </w:r>
      <w:r w:rsidRPr="00EA661D">
        <w:rPr>
          <w:rFonts w:ascii="Times New Roman" w:hAnsi="Times New Roman" w:cs="Times New Roman"/>
          <w:iCs/>
          <w:vertAlign w:val="subscript"/>
        </w:rPr>
        <w:t>1</w:t>
      </w:r>
      <w:r w:rsidRPr="00EA661D">
        <w:rPr>
          <w:rFonts w:ascii="Times New Roman" w:hAnsi="Times New Roman" w:cs="Times New Roman"/>
          <w:iCs/>
        </w:rPr>
        <w:t xml:space="preserve"> decline in this study. One possible explanation is the potential role of occupational factors in lung function decline. As previously mentioned, the current study used data from an occupational cohort, whose members may have been exposed to other substances that could affect lung function decline such as welding fumes and silica exposure </w:t>
      </w:r>
      <w:sdt>
        <w:sdtPr>
          <w:rPr>
            <w:rFonts w:ascii="Times New Roman" w:hAnsi="Times New Roman" w:cs="Times New Roman"/>
            <w:iCs/>
            <w:color w:val="000000"/>
          </w:rPr>
          <w:tag w:val="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"/>
          <w:id w:val="-524640729"/>
          <w:placeholder>
            <w:docPart w:val="3FA6CF6A11B61D4FA36A259BA163745D"/>
          </w:placeholder>
        </w:sdtPr>
        <w:sdtEndPr/>
        <w:sdtContent>
          <w:r w:rsidR="00572E88" w:rsidRPr="00572E88">
            <w:rPr>
              <w:rFonts w:ascii="Times New Roman" w:hAnsi="Times New Roman" w:cs="Times New Roman"/>
              <w:iCs/>
              <w:color w:val="000000"/>
            </w:rPr>
            <w:t>[233–235]</w:t>
          </w:r>
        </w:sdtContent>
      </w:sdt>
      <w:r w:rsidRPr="00EA661D">
        <w:rPr>
          <w:rFonts w:ascii="Times New Roman" w:hAnsi="Times New Roman" w:cs="Times New Roman"/>
          <w:iCs/>
        </w:rPr>
        <w:t>. The limited predictive ability of smoking in the current study and the fact that several occupational factors such as welding fumes, silica, and duration of employment were predictors of FEV</w:t>
      </w:r>
      <w:r w:rsidRPr="00EA661D">
        <w:rPr>
          <w:rFonts w:ascii="Times New Roman" w:hAnsi="Times New Roman" w:cs="Times New Roman"/>
          <w:iCs/>
          <w:vertAlign w:val="subscript"/>
        </w:rPr>
        <w:t>1</w:t>
      </w:r>
      <w:r w:rsidRPr="00EA661D">
        <w:rPr>
          <w:rFonts w:ascii="Times New Roman" w:hAnsi="Times New Roman" w:cs="Times New Roman"/>
          <w:iCs/>
        </w:rPr>
        <w:t xml:space="preserve"> decline is suggestive of a possible occupational exposure contribution to lung function decline. Additionally, the pervasiveness of ever smokers within the cohort could also be impacting the predictive ability of the smoking variable. However, the identification of other occupational factors such as age at hire, which was significant predictors of both FEV</w:t>
      </w:r>
      <w:r w:rsidRPr="00EA661D">
        <w:rPr>
          <w:rFonts w:ascii="Times New Roman" w:hAnsi="Times New Roman" w:cs="Times New Roman"/>
          <w:iCs/>
          <w:vertAlign w:val="subscript"/>
        </w:rPr>
        <w:t>1</w:t>
      </w:r>
      <w:r w:rsidRPr="00EA661D">
        <w:rPr>
          <w:rFonts w:ascii="Times New Roman" w:hAnsi="Times New Roman" w:cs="Times New Roman"/>
          <w:iCs/>
        </w:rPr>
        <w:t xml:space="preserve"> decline and FEV</w:t>
      </w:r>
      <w:r w:rsidRPr="00EA661D">
        <w:rPr>
          <w:rFonts w:ascii="Times New Roman" w:hAnsi="Times New Roman" w:cs="Times New Roman"/>
          <w:iCs/>
          <w:vertAlign w:val="subscript"/>
        </w:rPr>
        <w:t>1</w:t>
      </w:r>
      <w:r w:rsidRPr="00EA661D">
        <w:rPr>
          <w:rFonts w:ascii="Times New Roman" w:hAnsi="Times New Roman" w:cs="Times New Roman"/>
          <w:iCs/>
        </w:rPr>
        <w:t xml:space="preserve"> change, further highlights the possible importance of occupational factors in lung function. </w:t>
      </w:r>
    </w:p>
    <w:p w14:paraId="7F795302" w14:textId="77777777" w:rsidR="005413B8" w:rsidRPr="00EA661D" w:rsidRDefault="005413B8" w:rsidP="00317813">
      <w:pPr>
        <w:spacing w:after="0" w:line="480" w:lineRule="auto"/>
        <w:rPr>
          <w:rFonts w:ascii="Times New Roman" w:hAnsi="Times New Roman" w:cs="Times New Roman"/>
          <w:iCs/>
        </w:rPr>
      </w:pPr>
    </w:p>
    <w:p w14:paraId="501FF4B9" w14:textId="3D98F9EE" w:rsidR="00EA661D" w:rsidRPr="002735C7" w:rsidRDefault="00EA661D" w:rsidP="00317813">
      <w:pPr>
        <w:pStyle w:val="Heading4"/>
        <w:spacing w:before="0" w:after="0" w:line="480" w:lineRule="auto"/>
        <w:rPr>
          <w:szCs w:val="28"/>
        </w:rPr>
      </w:pPr>
      <w:bookmarkStart w:id="204" w:name="_Toc200097037"/>
      <w:r w:rsidRPr="002735C7">
        <w:rPr>
          <w:szCs w:val="28"/>
        </w:rPr>
        <w:lastRenderedPageBreak/>
        <w:t>Strengths and Limitations</w:t>
      </w:r>
      <w:bookmarkEnd w:id="204"/>
    </w:p>
    <w:p w14:paraId="74FC35D8" w14:textId="7EAC24FB" w:rsidR="00EA661D" w:rsidRPr="00EA661D" w:rsidRDefault="00EA661D" w:rsidP="00317813">
      <w:pPr>
        <w:spacing w:after="0" w:line="480" w:lineRule="auto"/>
        <w:ind w:firstLine="634"/>
        <w:rPr>
          <w:rFonts w:ascii="Times New Roman" w:hAnsi="Times New Roman" w:cs="Times New Roman"/>
          <w:iCs/>
        </w:rPr>
      </w:pPr>
      <w:r w:rsidRPr="00EA661D">
        <w:rPr>
          <w:rFonts w:ascii="Times New Roman" w:hAnsi="Times New Roman" w:cs="Times New Roman"/>
          <w:iCs/>
        </w:rPr>
        <w:t xml:space="preserve">A strength of this study is the application of novel methods in a unique occupational cohort that allowed for the concurrent assessment of occupational factors, demographic characteristics, and medical history. Additionally, by focusing on the relatively short time period for lung function prediction, this study aimed to identify individual characteristics that could be modified before long-term changes occurred. </w:t>
      </w:r>
    </w:p>
    <w:p w14:paraId="17D16E54" w14:textId="77777777" w:rsidR="005413B8" w:rsidRDefault="00EA661D" w:rsidP="00317813">
      <w:pPr>
        <w:spacing w:after="0" w:line="480" w:lineRule="auto"/>
        <w:ind w:firstLine="634"/>
        <w:rPr>
          <w:rFonts w:ascii="Times New Roman" w:hAnsi="Times New Roman" w:cs="Times New Roman"/>
          <w:iCs/>
        </w:rPr>
      </w:pPr>
      <w:r w:rsidRPr="00EA661D">
        <w:rPr>
          <w:rFonts w:ascii="Times New Roman" w:hAnsi="Times New Roman" w:cs="Times New Roman"/>
          <w:iCs/>
        </w:rPr>
        <w:t xml:space="preserve">A limitation of this study is that it relied on a number of self-reported measures which could be impacted by recall bias </w:t>
      </w:r>
      <w:sdt>
        <w:sdtPr>
          <w:rPr>
            <w:rFonts w:ascii="Times New Roman" w:hAnsi="Times New Roman" w:cs="Times New Roman"/>
            <w:iCs/>
            <w:color w:val="000000"/>
          </w:rPr>
          <w:tag w:val="MENDELEY_CITATION_v3_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"/>
          <w:id w:val="170149974"/>
          <w:placeholder>
            <w:docPart w:val="3FA6CF6A11B61D4FA36A259BA163745D"/>
          </w:placeholder>
        </w:sdtPr>
        <w:sdtEndPr/>
        <w:sdtContent>
          <w:r w:rsidR="00572E88" w:rsidRPr="00572E88">
            <w:rPr>
              <w:rFonts w:ascii="Times New Roman" w:hAnsi="Times New Roman" w:cs="Times New Roman"/>
              <w:iCs/>
              <w:color w:val="000000"/>
            </w:rPr>
            <w:t>[134]</w:t>
          </w:r>
        </w:sdtContent>
      </w:sdt>
      <w:r w:rsidRPr="00EA661D">
        <w:rPr>
          <w:rFonts w:ascii="Times New Roman" w:hAnsi="Times New Roman" w:cs="Times New Roman"/>
          <w:iCs/>
        </w:rPr>
        <w:t xml:space="preserve">. Additionally, self-reported asthma was investigated as risk factor for predicting lung function change and decline as a way to account for the irregular obstruction experienced by those with asthma since the data did not capture any other indications of asthmatic symptoms. The study may also be subject to volunteer bias, which is inherent to the screening program as participants must self-select to participate in the National Supplemental Screening Program (NSSP) </w:t>
      </w:r>
      <w:sdt>
        <w:sdtPr>
          <w:rPr>
            <w:rFonts w:ascii="Times New Roman" w:hAnsi="Times New Roman" w:cs="Times New Roman"/>
            <w:iCs/>
            <w:color w:val="000000"/>
          </w:rPr>
          <w:tag w:val="MENDELEY_CITATION_v3_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"/>
          <w:id w:val="-14611122"/>
          <w:placeholder>
            <w:docPart w:val="3FA6CF6A11B61D4FA36A259BA163745D"/>
          </w:placeholder>
        </w:sdtPr>
        <w:sdtEndPr/>
        <w:sdtContent>
          <w:r w:rsidR="00572E88" w:rsidRPr="00572E88">
            <w:rPr>
              <w:rFonts w:ascii="Times New Roman" w:hAnsi="Times New Roman" w:cs="Times New Roman"/>
              <w:iCs/>
              <w:color w:val="000000"/>
            </w:rPr>
            <w:t>[134]</w:t>
          </w:r>
        </w:sdtContent>
      </w:sdt>
      <w:r w:rsidRPr="00EA661D">
        <w:rPr>
          <w:rFonts w:ascii="Times New Roman" w:hAnsi="Times New Roman" w:cs="Times New Roman"/>
          <w:iCs/>
        </w:rPr>
        <w:t xml:space="preserve">. The potential voluntary bias may also impact the generalizability of results </w:t>
      </w:r>
      <w:sdt>
        <w:sdtPr>
          <w:rPr>
            <w:rFonts w:ascii="Times New Roman" w:hAnsi="Times New Roman" w:cs="Times New Roman"/>
            <w:iCs/>
            <w:color w:val="000000"/>
          </w:rPr>
          <w:tag w:val="MENDELEY_CITATION_v3_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"/>
          <w:id w:val="195352789"/>
          <w:placeholder>
            <w:docPart w:val="067D9013FD54FD40935DA52C91507618"/>
          </w:placeholder>
        </w:sdtPr>
        <w:sdtEndPr/>
        <w:sdtContent>
          <w:r w:rsidR="00572E88" w:rsidRPr="00572E88">
            <w:rPr>
              <w:rFonts w:ascii="Times New Roman" w:hAnsi="Times New Roman" w:cs="Times New Roman"/>
              <w:iCs/>
              <w:color w:val="000000"/>
            </w:rPr>
            <w:t>[134,211]</w:t>
          </w:r>
        </w:sdtContent>
      </w:sdt>
      <w:r w:rsidRPr="00EA661D">
        <w:rPr>
          <w:rFonts w:ascii="Times New Roman" w:hAnsi="Times New Roman" w:cs="Times New Roman"/>
          <w:iCs/>
        </w:rPr>
        <w:t>. Finally, the current study uses the GOLD criterion as the standard for defining COPD instead of the lower limit of normal standard which was not available in the NSSP data.</w:t>
      </w:r>
    </w:p>
    <w:p w14:paraId="4E0D0332" w14:textId="7463FE01" w:rsidR="00EA661D" w:rsidRPr="00EA661D" w:rsidRDefault="00EA661D" w:rsidP="00317813">
      <w:pPr>
        <w:spacing w:after="0" w:line="480" w:lineRule="auto"/>
        <w:rPr>
          <w:rFonts w:ascii="Times New Roman" w:hAnsi="Times New Roman" w:cs="Times New Roman"/>
          <w:iCs/>
        </w:rPr>
      </w:pPr>
    </w:p>
    <w:p w14:paraId="64406B54" w14:textId="1BB77B54" w:rsidR="00EA661D" w:rsidRPr="0065363C" w:rsidRDefault="00EA661D" w:rsidP="00317813">
      <w:pPr>
        <w:pStyle w:val="Heading3"/>
        <w:spacing w:before="0" w:after="0" w:line="480" w:lineRule="auto"/>
      </w:pPr>
      <w:bookmarkStart w:id="205" w:name="_Toc199884058"/>
      <w:bookmarkStart w:id="206" w:name="_Toc199884775"/>
      <w:bookmarkStart w:id="207" w:name="_Toc200097038"/>
      <w:r w:rsidRPr="0065363C">
        <w:t>Conclusions</w:t>
      </w:r>
      <w:bookmarkEnd w:id="205"/>
      <w:bookmarkEnd w:id="206"/>
      <w:bookmarkEnd w:id="207"/>
    </w:p>
    <w:p w14:paraId="762AEE37" w14:textId="16627160" w:rsidR="00EA661D" w:rsidRDefault="00EA661D" w:rsidP="00317813">
      <w:pPr>
        <w:spacing w:after="0" w:line="480" w:lineRule="auto"/>
        <w:ind w:firstLine="634"/>
        <w:rPr>
          <w:rFonts w:ascii="Times New Roman" w:hAnsi="Times New Roman" w:cs="Times New Roman"/>
          <w:iCs/>
        </w:rPr>
      </w:pPr>
      <w:r w:rsidRPr="00EA661D">
        <w:rPr>
          <w:rFonts w:ascii="Times New Roman" w:hAnsi="Times New Roman" w:cs="Times New Roman"/>
          <w:iCs/>
        </w:rPr>
        <w:t xml:space="preserve">This study identified clusters of COPD related comorbidities and important predictors of lung function changes and decline within an occupational cohort. Study findings suggest that occupational cohorts not only have different COPD-related comorbidities than the general population but may also have different predictors of lung function changes than the general </w:t>
      </w:r>
      <w:r w:rsidRPr="00EA661D">
        <w:rPr>
          <w:rFonts w:ascii="Times New Roman" w:hAnsi="Times New Roman" w:cs="Times New Roman"/>
          <w:iCs/>
        </w:rPr>
        <w:lastRenderedPageBreak/>
        <w:t>population. Thus, the findings from this study can be used to target modifiable predictors as well as guide enhanced monitoring efforts.</w:t>
      </w:r>
    </w:p>
    <w:p w14:paraId="38287D98" w14:textId="116A57BB" w:rsidR="0065363C" w:rsidRDefault="0065363C" w:rsidP="00317813">
      <w:pPr>
        <w:spacing w:after="0" w:line="480" w:lineRule="auto"/>
        <w:rPr>
          <w:rFonts w:ascii="Times New Roman" w:hAnsi="Times New Roman" w:cs="Times New Roman"/>
          <w:iCs/>
        </w:rPr>
      </w:pPr>
      <w:r>
        <w:rPr>
          <w:rFonts w:ascii="Times New Roman" w:hAnsi="Times New Roman" w:cs="Times New Roman"/>
          <w:iCs/>
        </w:rPr>
        <w:br w:type="page"/>
      </w:r>
    </w:p>
    <w:p w14:paraId="37B4510A" w14:textId="4F5BE86A" w:rsidR="00EA661D" w:rsidRDefault="00EA661D" w:rsidP="006B722E">
      <w:pPr>
        <w:pStyle w:val="Heading1"/>
        <w:spacing w:before="0" w:after="160" w:line="480" w:lineRule="auto"/>
        <w:jc w:val="center"/>
      </w:pPr>
      <w:bookmarkStart w:id="208" w:name="_Toc199884059"/>
      <w:bookmarkStart w:id="209" w:name="_Toc199884776"/>
      <w:bookmarkStart w:id="210" w:name="_Toc200097039"/>
      <w:bookmarkEnd w:id="208"/>
      <w:bookmarkEnd w:id="209"/>
      <w:bookmarkEnd w:id="210"/>
    </w:p>
    <w:p w14:paraId="01D63FF7" w14:textId="4B2F3540" w:rsidR="0065363C" w:rsidRPr="0065363C" w:rsidRDefault="0065363C" w:rsidP="00317813">
      <w:pPr>
        <w:pStyle w:val="Heading3"/>
        <w:spacing w:before="0" w:after="0" w:line="480" w:lineRule="auto"/>
      </w:pPr>
      <w:bookmarkStart w:id="211" w:name="_Toc199884061"/>
      <w:bookmarkStart w:id="212" w:name="_Toc199884778"/>
      <w:bookmarkStart w:id="213" w:name="_Toc200097040"/>
      <w:r w:rsidRPr="0065363C">
        <w:t>Summary, Discussions, and Conclusions</w:t>
      </w:r>
      <w:bookmarkEnd w:id="211"/>
      <w:bookmarkEnd w:id="212"/>
      <w:bookmarkEnd w:id="213"/>
    </w:p>
    <w:p w14:paraId="13609365" w14:textId="5C5ED6CA" w:rsidR="0065363C" w:rsidRPr="0065363C" w:rsidRDefault="0065363C" w:rsidP="00317813">
      <w:pPr>
        <w:spacing w:after="0" w:line="480" w:lineRule="auto"/>
        <w:ind w:firstLine="720"/>
        <w:rPr>
          <w:rFonts w:ascii="Times New Roman" w:hAnsi="Times New Roman" w:cs="Times New Roman"/>
        </w:rPr>
      </w:pPr>
      <w:r w:rsidRPr="0065363C">
        <w:rPr>
          <w:rFonts w:ascii="Times New Roman" w:hAnsi="Times New Roman" w:cs="Times New Roman"/>
        </w:rPr>
        <w:t>This chapter reviews the objectives of the study, summarizes the salient findings, and provides conclusions and recommendations for future research. The study investigated and identified county-level geographic disparities and determinants of chronic obstructive pulmonary disease (COPD) within the state of Florida. Additionally, it investigated and identified individual-level predictors of COPD occurrence and severity as well as comorbidity clusters and predictors of lung function changes and decline among DOE former workers. The main purpose of this study was to provide useful information for tailoring public health and disease management initiatives to reduce disparities and burden of COPD.</w:t>
      </w:r>
    </w:p>
    <w:p w14:paraId="7B0337B0" w14:textId="13DCE119" w:rsidR="0065363C" w:rsidRPr="0065363C" w:rsidRDefault="0065363C" w:rsidP="00317813">
      <w:pPr>
        <w:spacing w:after="0" w:line="480" w:lineRule="auto"/>
        <w:ind w:firstLine="720"/>
        <w:rPr>
          <w:rFonts w:ascii="Times New Roman" w:hAnsi="Times New Roman" w:cs="Times New Roman"/>
        </w:rPr>
      </w:pPr>
      <w:r w:rsidRPr="0065363C">
        <w:rPr>
          <w:rFonts w:ascii="Times New Roman" w:hAnsi="Times New Roman" w:cs="Times New Roman"/>
        </w:rPr>
        <w:t xml:space="preserve">Spatial clusters of high COPD prevalence were identified in Florida, indicating that burden of the disease was not uniform across the state. Counties with high percentages of smokers and asthma patients tended to have high COPD prevalence, implying that targeting these predictors for public health interventions would potentially reduce disease burden. For instance, implementing targeted smoking cessation programs within counties with high smoking prevalence may be helpful in reducing COPD prevalence </w:t>
      </w:r>
      <w:sdt>
        <w:sdtPr>
          <w:rPr>
            <w:rFonts w:ascii="Times New Roman" w:hAnsi="Times New Roman" w:cs="Times New Roman"/>
            <w:color w:val="000000"/>
          </w:rPr>
          <w:tag w:val="MENDELEY_CITATION_v3_eyJjaXRhdGlvbklEIjoiTUVOREVMRVlfQ0lUQVRJT05fNWFmMDE4ZTctYjE4My00Zjc4LWJiNWYtZjc0MTZjNjQ0Njdi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
          <w:id w:val="-791677525"/>
          <w:placeholder>
            <w:docPart w:val="4DA42369001AA3449C90543756E52DE8"/>
          </w:placeholder>
        </w:sdtPr>
        <w:sdtEndPr/>
        <w:sdtContent>
          <w:r w:rsidR="00572E88" w:rsidRPr="00572E88">
            <w:rPr>
              <w:rFonts w:ascii="Times New Roman" w:hAnsi="Times New Roman" w:cs="Times New Roman"/>
              <w:color w:val="000000"/>
            </w:rPr>
            <w:t>[6]</w:t>
          </w:r>
        </w:sdtContent>
      </w:sdt>
      <w:r w:rsidRPr="0065363C">
        <w:rPr>
          <w:rFonts w:ascii="Times New Roman" w:hAnsi="Times New Roman" w:cs="Times New Roman"/>
        </w:rPr>
        <w:t>. Additional research is warranted to better understand the mechanism driving the observed positive association between percentage of asthma and county-level COPD prevalence. Specifically, future research should assess the role of asthma-COPD overlap syndrome in COPD as well as the role of shared risk factors in pathogenesis so that appropriate interventions can be implemented.</w:t>
      </w:r>
    </w:p>
    <w:p w14:paraId="457C67BF" w14:textId="26B0F981" w:rsidR="0065363C" w:rsidRPr="0065363C" w:rsidRDefault="0065363C" w:rsidP="00317813">
      <w:pPr>
        <w:spacing w:after="0" w:line="480" w:lineRule="auto"/>
        <w:ind w:firstLine="720"/>
        <w:rPr>
          <w:rFonts w:ascii="Times New Roman" w:hAnsi="Times New Roman" w:cs="Times New Roman"/>
        </w:rPr>
      </w:pPr>
      <w:r w:rsidRPr="0065363C">
        <w:rPr>
          <w:rFonts w:ascii="Times New Roman" w:hAnsi="Times New Roman" w:cs="Times New Roman"/>
        </w:rPr>
        <w:t xml:space="preserve">At the individual level, smoking, history of asthma, and age were all positively associated with COPD occurrence and severity among former DOE workers. These findings emphasize the continued role of traditional risk factors in occupational cohorts whose exposure experience may </w:t>
      </w:r>
      <w:r w:rsidRPr="0065363C">
        <w:rPr>
          <w:rFonts w:ascii="Times New Roman" w:hAnsi="Times New Roman" w:cs="Times New Roman"/>
        </w:rPr>
        <w:lastRenderedPageBreak/>
        <w:t xml:space="preserve">be different from that of the general population. They also highlight the need for better understanding of novel risk factors such a history of asthma. The significant association between lower body mass index (BMI) and both COPD occurrence and severity highlights the importance of investigating the role of physiological conditions in COPD pathogenesis. Future studies should assess whether low BMI is part of the causal pathway for COPD or an artifact of reverse causation </w:t>
      </w:r>
      <w:sdt>
        <w:sdtPr>
          <w:rPr>
            <w:rFonts w:ascii="Times New Roman" w:hAnsi="Times New Roman" w:cs="Times New Roman"/>
            <w:color w:val="000000"/>
          </w:rPr>
          <w:tag w:val="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"/>
          <w:id w:val="346290087"/>
          <w:placeholder>
            <w:docPart w:val="4DA42369001AA3449C90543756E52DE8"/>
          </w:placeholder>
        </w:sdtPr>
        <w:sdtEndPr/>
        <w:sdtContent>
          <w:r w:rsidR="00572E88" w:rsidRPr="00572E88">
            <w:rPr>
              <w:rFonts w:ascii="Times New Roman" w:hAnsi="Times New Roman" w:cs="Times New Roman"/>
              <w:color w:val="000000"/>
            </w:rPr>
            <w:t>[182–184]</w:t>
          </w:r>
        </w:sdtContent>
      </w:sdt>
      <w:r w:rsidRPr="0065363C">
        <w:rPr>
          <w:rFonts w:ascii="Times New Roman" w:hAnsi="Times New Roman" w:cs="Times New Roman"/>
        </w:rPr>
        <w:t xml:space="preserve">. Occupational exposure to silica and diesel exhaust were positively associated with COPD occurrence and severity, respectively. These findings provide additional support for the role occupational exposures in COPD development and progression </w:t>
      </w:r>
      <w:sdt>
        <w:sdtPr>
          <w:rPr>
            <w:rFonts w:ascii="Times New Roman" w:hAnsi="Times New Roman" w:cs="Times New Roman"/>
            <w:color w:val="000000"/>
          </w:rPr>
          <w:tag w:val="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"/>
          <w:id w:val="-204718083"/>
          <w:placeholder>
            <w:docPart w:val="4DA42369001AA3449C90543756E52DE8"/>
          </w:placeholder>
        </w:sdtPr>
        <w:sdtEndPr/>
        <w:sdtContent>
          <w:r w:rsidR="00572E88" w:rsidRPr="00572E88">
            <w:rPr>
              <w:rFonts w:ascii="Times New Roman" w:hAnsi="Times New Roman" w:cs="Times New Roman"/>
              <w:color w:val="000000"/>
            </w:rPr>
            <w:t>[13,188,189]</w:t>
          </w:r>
        </w:sdtContent>
      </w:sdt>
      <w:r w:rsidRPr="0065363C">
        <w:rPr>
          <w:rFonts w:ascii="Times New Roman" w:hAnsi="Times New Roman" w:cs="Times New Roman"/>
        </w:rPr>
        <w:t>. Future research should focus on incorporating quantitative measurements of these exposures into analyses so as to assess a possible dose-response relationship.</w:t>
      </w:r>
    </w:p>
    <w:p w14:paraId="50A4E81F" w14:textId="39FF1593" w:rsidR="0065363C" w:rsidRPr="0065363C" w:rsidRDefault="0065363C" w:rsidP="00317813">
      <w:pPr>
        <w:spacing w:after="0" w:line="480" w:lineRule="auto"/>
        <w:ind w:firstLine="720"/>
        <w:rPr>
          <w:rFonts w:ascii="Times New Roman" w:hAnsi="Times New Roman" w:cs="Times New Roman"/>
        </w:rPr>
      </w:pPr>
      <w:r w:rsidRPr="0065363C">
        <w:rPr>
          <w:rFonts w:ascii="Times New Roman" w:hAnsi="Times New Roman" w:cs="Times New Roman"/>
        </w:rPr>
        <w:t>Welding fumes and silica exposure were important predictors of lung function change and lung function decline, respectively. The significance of these factors in predicting lung function emphasizes the importance of considering occupational exposures when assessing COPD progression. It is worth noting that baseline forced expiratory volume in one second (FEV</w:t>
      </w:r>
      <w:r w:rsidRPr="0065363C">
        <w:rPr>
          <w:rFonts w:ascii="Times New Roman" w:hAnsi="Times New Roman" w:cs="Times New Roman"/>
          <w:vertAlign w:val="subscript"/>
        </w:rPr>
        <w:t>1</w:t>
      </w:r>
      <w:r w:rsidRPr="0065363C">
        <w:rPr>
          <w:rFonts w:ascii="Times New Roman" w:hAnsi="Times New Roman" w:cs="Times New Roman"/>
        </w:rPr>
        <w:t>) and age were two of the strongest predictors of both lung function change and decline, which highlights the role of lung trajectories in COPD progression. This may provide a possible avenue for intervention through initiatives that maintain or increase FEV</w:t>
      </w:r>
      <w:r w:rsidRPr="0065363C">
        <w:rPr>
          <w:rFonts w:ascii="Times New Roman" w:hAnsi="Times New Roman" w:cs="Times New Roman"/>
          <w:vertAlign w:val="subscript"/>
        </w:rPr>
        <w:t>1</w:t>
      </w:r>
      <w:r w:rsidRPr="0065363C">
        <w:rPr>
          <w:rFonts w:ascii="Times New Roman" w:hAnsi="Times New Roman" w:cs="Times New Roman"/>
        </w:rPr>
        <w:t xml:space="preserve"> over a lifespan. Similar to the predictors of COPD prevalence, occurrence, and severity, history of asthma was an important, albeit weak, predictor of lung function changes along with several other conditions including cardiovascular conditions and kidney problems. Cardiovascular conditions were also important for predicting lung function decline. Based on these findings, it would be prudent to take comorbidities into consideration when assessing lung function in COPD patients. The observed associations between different comorbid conditions and lung function change and </w:t>
      </w:r>
      <w:r w:rsidRPr="0065363C">
        <w:rPr>
          <w:rFonts w:ascii="Times New Roman" w:hAnsi="Times New Roman" w:cs="Times New Roman"/>
        </w:rPr>
        <w:lastRenderedPageBreak/>
        <w:t xml:space="preserve">decline may suggest shared genetic, environmental, and lifestyle risk factors of COPD and its comorbidities </w:t>
      </w:r>
      <w:sdt>
        <w:sdtPr>
          <w:rPr>
            <w:rFonts w:ascii="Times New Roman" w:hAnsi="Times New Roman" w:cs="Times New Roman"/>
            <w:color w:val="000000"/>
          </w:rPr>
          <w:tag w:val="MENDELEY_CITATION_v3_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"/>
          <w:id w:val="1312373998"/>
          <w:placeholder>
            <w:docPart w:val="4DA42369001AA3449C90543756E52DE8"/>
          </w:placeholder>
        </w:sdtPr>
        <w:sdtEndPr/>
        <w:sdtContent>
          <w:r w:rsidR="00572E88" w:rsidRPr="00572E88">
            <w:rPr>
              <w:rFonts w:ascii="Times New Roman" w:hAnsi="Times New Roman" w:cs="Times New Roman"/>
              <w:color w:val="000000"/>
            </w:rPr>
            <w:t>[220]</w:t>
          </w:r>
        </w:sdtContent>
      </w:sdt>
      <w:r w:rsidRPr="0065363C">
        <w:rPr>
          <w:rFonts w:ascii="Times New Roman" w:hAnsi="Times New Roman" w:cs="Times New Roman"/>
        </w:rPr>
        <w:t>. Future studies will need to investigate these to improve our understanding of the mechanisms involved and potentially provide information to better guide control and disease management efforts.</w:t>
      </w:r>
    </w:p>
    <w:p w14:paraId="6169D004" w14:textId="5EB0945E" w:rsidR="0065363C" w:rsidRPr="0065363C" w:rsidRDefault="0065363C" w:rsidP="00317813">
      <w:pPr>
        <w:spacing w:after="0" w:line="480" w:lineRule="auto"/>
        <w:ind w:firstLine="720"/>
        <w:rPr>
          <w:rFonts w:ascii="Times New Roman" w:hAnsi="Times New Roman" w:cs="Times New Roman"/>
        </w:rPr>
      </w:pPr>
      <w:r w:rsidRPr="0065363C">
        <w:rPr>
          <w:rFonts w:ascii="Times New Roman" w:hAnsi="Times New Roman" w:cs="Times New Roman"/>
        </w:rPr>
        <w:t xml:space="preserve">Finally, this study identified four comorbidity clusters among DOE former workers who had COPD. The overall lower prevalence of all comorbid conditions in cluster 1 is suggestive of an otherwise generally healthy cluster. The higher prevalence of cardiovascular conditions in cluster 2 compared to cluster 1 is suggestive of possible cardiovascular abnormalities arising from the respiratory dysfunction produced by COPD since there is evidence that respiratory and cardiovascular health are interrelated </w:t>
      </w:r>
      <w:sdt>
        <w:sdtPr>
          <w:rPr>
            <w:rFonts w:ascii="Times New Roman" w:hAnsi="Times New Roman" w:cs="Times New Roman"/>
            <w:color w:val="000000"/>
          </w:rPr>
          <w:tag w:val="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"/>
          <w:id w:val="-657378021"/>
          <w:placeholder>
            <w:docPart w:val="4DA42369001AA3449C90543756E52DE8"/>
          </w:placeholder>
        </w:sdtPr>
        <w:sdtEndPr/>
        <w:sdtContent>
          <w:r w:rsidR="00572E88" w:rsidRPr="00572E88">
            <w:rPr>
              <w:rFonts w:ascii="Times New Roman" w:hAnsi="Times New Roman" w:cs="Times New Roman"/>
              <w:color w:val="000000"/>
            </w:rPr>
            <w:t>[214,217]</w:t>
          </w:r>
        </w:sdtContent>
      </w:sdt>
      <w:r w:rsidRPr="0065363C">
        <w:rPr>
          <w:rFonts w:ascii="Times New Roman" w:hAnsi="Times New Roman" w:cs="Times New Roman"/>
        </w:rPr>
        <w:t>. The high prevalence of lung cancer in cluster 3 is suggestive of a lung cancer specific cluster while the overall high prevalence of all comorbidities in cluster 4 might suggest a cluster made of potentially more seriously ill former DOE workers. Overall, the comorbidities clusters identified in this study emphasize the importance of considering the patterns of co-occurring conditions in COPD disease management. Future studies will need to investigate if cluster membership results in differences in the long-term prognosis of COPD.</w:t>
      </w:r>
    </w:p>
    <w:p w14:paraId="335E12BA" w14:textId="75D7464B" w:rsidR="0065363C" w:rsidRPr="0065363C" w:rsidRDefault="0065363C" w:rsidP="00317813">
      <w:pPr>
        <w:spacing w:after="0" w:line="480" w:lineRule="auto"/>
        <w:ind w:firstLine="720"/>
        <w:rPr>
          <w:rFonts w:ascii="Times New Roman" w:hAnsi="Times New Roman" w:cs="Times New Roman"/>
        </w:rPr>
      </w:pPr>
      <w:r w:rsidRPr="0065363C">
        <w:rPr>
          <w:rFonts w:ascii="Times New Roman" w:hAnsi="Times New Roman" w:cs="Times New Roman"/>
        </w:rPr>
        <w:t xml:space="preserve">This study used several self-reported measures of exposure which may be subject to recall bias </w:t>
      </w:r>
      <w:sdt>
        <w:sdtPr>
          <w:rPr>
            <w:rFonts w:ascii="Times New Roman" w:hAnsi="Times New Roman" w:cs="Times New Roman"/>
            <w:color w:val="000000"/>
          </w:rPr>
          <w:tag w:val="MENDELEY_CITATION_v3_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"/>
          <w:id w:val="136690714"/>
          <w:placeholder>
            <w:docPart w:val="4DA42369001AA3449C90543756E52DE8"/>
          </w:placeholder>
        </w:sdtPr>
        <w:sdtEndPr/>
        <w:sdtContent>
          <w:r w:rsidR="00572E88" w:rsidRPr="00572E88">
            <w:rPr>
              <w:rFonts w:ascii="Times New Roman" w:hAnsi="Times New Roman" w:cs="Times New Roman"/>
              <w:color w:val="000000"/>
            </w:rPr>
            <w:t>[134]</w:t>
          </w:r>
        </w:sdtContent>
      </w:sdt>
      <w:r w:rsidRPr="0065363C">
        <w:rPr>
          <w:rFonts w:ascii="Times New Roman" w:hAnsi="Times New Roman" w:cs="Times New Roman"/>
        </w:rPr>
        <w:t xml:space="preserve">. Future studies will need to use quantifiable measures of occupational exposures and physician diagnosed comorbidities to mitigate the impact of recall bias. Additionally, the study of DOE former workers was based on a voluntary screening program which may be prone to self-selection bias which might impact the generalizability of the results </w:t>
      </w:r>
      <w:sdt>
        <w:sdtPr>
          <w:rPr>
            <w:rFonts w:ascii="Times New Roman" w:hAnsi="Times New Roman" w:cs="Times New Roman"/>
            <w:color w:val="000000"/>
          </w:rPr>
          <w:tag w:val="MENDELEY_CITATION_v3_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"/>
          <w:id w:val="369414877"/>
          <w:placeholder>
            <w:docPart w:val="4DA42369001AA3449C90543756E52DE8"/>
          </w:placeholder>
        </w:sdtPr>
        <w:sdtEndPr/>
        <w:sdtContent>
          <w:r w:rsidR="00572E88" w:rsidRPr="00572E88">
            <w:rPr>
              <w:rFonts w:ascii="Times New Roman" w:hAnsi="Times New Roman" w:cs="Times New Roman"/>
              <w:color w:val="000000"/>
            </w:rPr>
            <w:t>[134]</w:t>
          </w:r>
        </w:sdtContent>
      </w:sdt>
      <w:r w:rsidRPr="0065363C">
        <w:rPr>
          <w:rFonts w:ascii="Times New Roman" w:hAnsi="Times New Roman" w:cs="Times New Roman"/>
        </w:rPr>
        <w:t xml:space="preserve">. The above weakness notwithstanding, this study had several strengths including application of rigorous statistical methods utilizing a combination of spatial statistics, machine learning, and tradition </w:t>
      </w:r>
      <w:r w:rsidRPr="0065363C">
        <w:rPr>
          <w:rFonts w:ascii="Times New Roman" w:hAnsi="Times New Roman" w:cs="Times New Roman"/>
        </w:rPr>
        <w:lastRenderedPageBreak/>
        <w:t xml:space="preserve">statistical methodologies for assessing multiple aspects of COPD. Moreover, this study used a comprehensive approach to assess occupational, environmental, and socio-behavioral predictors of COPD prevalence, occurrence, severity, and lung function. </w:t>
      </w:r>
    </w:p>
    <w:p w14:paraId="3B014B47" w14:textId="77777777" w:rsidR="0065363C" w:rsidRPr="0065363C" w:rsidRDefault="0065363C" w:rsidP="00317813">
      <w:pPr>
        <w:spacing w:after="0" w:line="480" w:lineRule="auto"/>
        <w:ind w:firstLine="720"/>
        <w:rPr>
          <w:rFonts w:ascii="Times New Roman" w:hAnsi="Times New Roman" w:cs="Times New Roman"/>
        </w:rPr>
      </w:pPr>
      <w:r w:rsidRPr="0065363C">
        <w:rPr>
          <w:rFonts w:ascii="Times New Roman" w:hAnsi="Times New Roman" w:cs="Times New Roman"/>
        </w:rPr>
        <w:t>In conclusion, this study identified geographic disparities and predictors of COPD prevalence in Florida. These findings are useful for guiding policy and resource allocation to reduce disparities and burden of the condition. Additionally, the study identified individual-level predictors of COPD occurrence, severity, and lung function while also assessing comorbidity clusters among former DOE workers. This information is useful for guiding health screening and disease management programs.</w:t>
      </w:r>
    </w:p>
    <w:p w14:paraId="079B07FA" w14:textId="618DBCA3" w:rsidR="008626D9" w:rsidRDefault="008626D9" w:rsidP="00317813">
      <w:pPr>
        <w:spacing w:after="0" w:line="480" w:lineRule="auto"/>
        <w:rPr>
          <w:rFonts w:ascii="Times New Roman" w:hAnsi="Times New Roman" w:cs="Times New Roman"/>
        </w:rPr>
      </w:pPr>
      <w:r>
        <w:rPr>
          <w:rFonts w:ascii="Times New Roman" w:hAnsi="Times New Roman" w:cs="Times New Roman"/>
        </w:rPr>
        <w:br w:type="page"/>
      </w:r>
    </w:p>
    <w:p w14:paraId="5783B9EF" w14:textId="7C408DBE" w:rsidR="00BB20E9" w:rsidRDefault="00BB20E9" w:rsidP="00BB20E9">
      <w:pPr>
        <w:pStyle w:val="Heading2"/>
      </w:pPr>
      <w:bookmarkStart w:id="214" w:name="_Toc199884062"/>
      <w:bookmarkStart w:id="215" w:name="_Toc199884779"/>
      <w:bookmarkStart w:id="216" w:name="_Toc200097041"/>
      <w:r>
        <w:lastRenderedPageBreak/>
        <w:t>References</w:t>
      </w:r>
      <w:bookmarkEnd w:id="214"/>
      <w:bookmarkEnd w:id="215"/>
      <w:bookmarkEnd w:id="216"/>
    </w:p>
    <w:sdt>
      <w:sdtPr>
        <w:rPr>
          <w:rFonts w:ascii="Times New Roman" w:hAnsi="Times New Roman" w:cs="Times New Roman"/>
          <w:color w:val="000000"/>
        </w:rPr>
        <w:tag w:val="MENDELEY_BIBLIOGRAPHY"/>
        <w:id w:val="-142510769"/>
        <w:placeholder>
          <w:docPart w:val="DefaultPlaceholder_-1854013440"/>
        </w:placeholder>
      </w:sdtPr>
      <w:sdtEndPr/>
      <w:sdtContent>
        <w:p w14:paraId="14A3979F" w14:textId="77777777" w:rsidR="00572E88" w:rsidRDefault="00572E88">
          <w:pPr>
            <w:autoSpaceDE w:val="0"/>
            <w:autoSpaceDN w:val="0"/>
            <w:ind w:hanging="640"/>
            <w:divId w:val="1039890756"/>
            <w:rPr>
              <w:rFonts w:eastAsia="Times New Roman"/>
              <w:kern w:val="0"/>
              <w14:ligatures w14:val="none"/>
            </w:rPr>
          </w:pPr>
          <w:r>
            <w:rPr>
              <w:rFonts w:eastAsia="Times New Roman"/>
            </w:rPr>
            <w:t xml:space="preserve">1. </w:t>
          </w:r>
          <w:r>
            <w:rPr>
              <w:rFonts w:eastAsia="Times New Roman"/>
            </w:rPr>
            <w:tab/>
            <w:t>World Health Organization. Chronic obstructive pulmonary disease (COPD). [cited 10 May 2025]. Available: https://www.who.int/news-room/fact-sheets/detail/chronic-obstructive-pulmonary-disease-(copd)</w:t>
          </w:r>
        </w:p>
        <w:p w14:paraId="62FC6888" w14:textId="77777777" w:rsidR="00572E88" w:rsidRDefault="00572E88">
          <w:pPr>
            <w:autoSpaceDE w:val="0"/>
            <w:autoSpaceDN w:val="0"/>
            <w:ind w:hanging="640"/>
            <w:divId w:val="583220973"/>
            <w:rPr>
              <w:rFonts w:eastAsia="Times New Roman"/>
            </w:rPr>
          </w:pPr>
          <w:r>
            <w:rPr>
              <w:rFonts w:eastAsia="Times New Roman"/>
            </w:rPr>
            <w:t xml:space="preserve">2. </w:t>
          </w:r>
          <w:r>
            <w:rPr>
              <w:rFonts w:eastAsia="Times New Roman"/>
            </w:rPr>
            <w:tab/>
          </w:r>
          <w:proofErr w:type="spellStart"/>
          <w:r>
            <w:rPr>
              <w:rFonts w:eastAsia="Times New Roman"/>
            </w:rPr>
            <w:t>Syamlal</w:t>
          </w:r>
          <w:proofErr w:type="spellEnd"/>
          <w:r>
            <w:rPr>
              <w:rFonts w:eastAsia="Times New Roman"/>
            </w:rPr>
            <w:t xml:space="preserve"> G, Kurth LM, Dodd KE, </w:t>
          </w:r>
          <w:proofErr w:type="gramStart"/>
          <w:r>
            <w:rPr>
              <w:rFonts w:eastAsia="Times New Roman"/>
            </w:rPr>
            <w:t>David ;</w:t>
          </w:r>
          <w:proofErr w:type="gramEnd"/>
          <w:r>
            <w:rPr>
              <w:rFonts w:eastAsia="Times New Roman"/>
            </w:rPr>
            <w:t>, Blackley J, Hall NB, et al. Morbidity and Mortality Weekly Report Chronic Obstructive Pulmonary Disease Mortality by Industry and Occupation-United States, 2020. [cited 4 May 2024]. Available: https://www.cdc.gov/nchs/data/dvs/Industry-and-Occupation-</w:t>
          </w:r>
        </w:p>
        <w:p w14:paraId="084304F9" w14:textId="77777777" w:rsidR="00572E88" w:rsidRDefault="00572E88">
          <w:pPr>
            <w:autoSpaceDE w:val="0"/>
            <w:autoSpaceDN w:val="0"/>
            <w:ind w:hanging="640"/>
            <w:divId w:val="413284288"/>
            <w:rPr>
              <w:rFonts w:eastAsia="Times New Roman"/>
            </w:rPr>
          </w:pPr>
          <w:r>
            <w:rPr>
              <w:rFonts w:eastAsia="Times New Roman"/>
            </w:rPr>
            <w:t xml:space="preserve">3. </w:t>
          </w:r>
          <w:r>
            <w:rPr>
              <w:rFonts w:eastAsia="Times New Roman"/>
            </w:rPr>
            <w:tab/>
            <w:t>Safiri S, Carson-</w:t>
          </w:r>
          <w:proofErr w:type="spellStart"/>
          <w:r>
            <w:rPr>
              <w:rFonts w:eastAsia="Times New Roman"/>
            </w:rPr>
            <w:t>Chahhoud</w:t>
          </w:r>
          <w:proofErr w:type="spellEnd"/>
          <w:r>
            <w:rPr>
              <w:rFonts w:eastAsia="Times New Roman"/>
            </w:rPr>
            <w:t xml:space="preserve"> K, Noori M, </w:t>
          </w:r>
          <w:proofErr w:type="spellStart"/>
          <w:r>
            <w:rPr>
              <w:rFonts w:eastAsia="Times New Roman"/>
            </w:rPr>
            <w:t>Nejadghaderi</w:t>
          </w:r>
          <w:proofErr w:type="spellEnd"/>
          <w:r>
            <w:rPr>
              <w:rFonts w:eastAsia="Times New Roman"/>
            </w:rPr>
            <w:t xml:space="preserve"> SA, </w:t>
          </w:r>
          <w:proofErr w:type="spellStart"/>
          <w:r>
            <w:rPr>
              <w:rFonts w:eastAsia="Times New Roman"/>
            </w:rPr>
            <w:t>Sullman</w:t>
          </w:r>
          <w:proofErr w:type="spellEnd"/>
          <w:r>
            <w:rPr>
              <w:rFonts w:eastAsia="Times New Roman"/>
            </w:rPr>
            <w:t xml:space="preserve"> MJM, Ahmadian </w:t>
          </w:r>
          <w:proofErr w:type="spellStart"/>
          <w:r>
            <w:rPr>
              <w:rFonts w:eastAsia="Times New Roman"/>
            </w:rPr>
            <w:t>Heris</w:t>
          </w:r>
          <w:proofErr w:type="spellEnd"/>
          <w:r>
            <w:rPr>
              <w:rFonts w:eastAsia="Times New Roman"/>
            </w:rPr>
            <w:t xml:space="preserve"> J, et al. Burden of chronic obstructive pulmonary disease and its attributable risk factors in 204 countries and territories, 1990-2019: results from the Global Burden of Disease Study 2019. BMJ. 2022;378. doi:10.1136/BMJ-2021-069679</w:t>
          </w:r>
        </w:p>
        <w:p w14:paraId="0E227696" w14:textId="77777777" w:rsidR="00572E88" w:rsidRDefault="00572E88">
          <w:pPr>
            <w:autoSpaceDE w:val="0"/>
            <w:autoSpaceDN w:val="0"/>
            <w:ind w:hanging="640"/>
            <w:divId w:val="1778869819"/>
            <w:rPr>
              <w:rFonts w:eastAsia="Times New Roman"/>
            </w:rPr>
          </w:pPr>
          <w:r>
            <w:rPr>
              <w:rFonts w:eastAsia="Times New Roman"/>
            </w:rPr>
            <w:t xml:space="preserve">4. </w:t>
          </w:r>
          <w:r>
            <w:rPr>
              <w:rFonts w:eastAsia="Times New Roman"/>
            </w:rPr>
            <w:tab/>
            <w:t xml:space="preserve">Wheaton AG, Liu Y, Croft JB, </w:t>
          </w:r>
          <w:proofErr w:type="spellStart"/>
          <w:r>
            <w:rPr>
              <w:rFonts w:eastAsia="Times New Roman"/>
            </w:rPr>
            <w:t>VanFrank</w:t>
          </w:r>
          <w:proofErr w:type="spellEnd"/>
          <w:r>
            <w:rPr>
              <w:rFonts w:eastAsia="Times New Roman"/>
            </w:rPr>
            <w:t xml:space="preserve"> B, </w:t>
          </w:r>
          <w:proofErr w:type="spellStart"/>
          <w:r>
            <w:rPr>
              <w:rFonts w:eastAsia="Times New Roman"/>
            </w:rPr>
            <w:t>Croxton</w:t>
          </w:r>
          <w:proofErr w:type="spellEnd"/>
          <w:r>
            <w:rPr>
              <w:rFonts w:eastAsia="Times New Roman"/>
            </w:rPr>
            <w:t xml:space="preserve"> TL, </w:t>
          </w:r>
          <w:proofErr w:type="spellStart"/>
          <w:r>
            <w:rPr>
              <w:rFonts w:eastAsia="Times New Roman"/>
            </w:rPr>
            <w:t>Punturieri</w:t>
          </w:r>
          <w:proofErr w:type="spellEnd"/>
          <w:r>
            <w:rPr>
              <w:rFonts w:eastAsia="Times New Roman"/>
            </w:rPr>
            <w:t xml:space="preserve"> A, et al. Chronic Obstructive Pulmonary Disease and Smoking Status — United States, 2017. MMWR </w:t>
          </w:r>
          <w:proofErr w:type="spellStart"/>
          <w:r>
            <w:rPr>
              <w:rFonts w:eastAsia="Times New Roman"/>
            </w:rPr>
            <w:t>Morb</w:t>
          </w:r>
          <w:proofErr w:type="spellEnd"/>
          <w:r>
            <w:rPr>
              <w:rFonts w:eastAsia="Times New Roman"/>
            </w:rPr>
            <w:t xml:space="preserve"> Mortal </w:t>
          </w:r>
          <w:proofErr w:type="spellStart"/>
          <w:r>
            <w:rPr>
              <w:rFonts w:eastAsia="Times New Roman"/>
            </w:rPr>
            <w:t>Wkly</w:t>
          </w:r>
          <w:proofErr w:type="spellEnd"/>
          <w:r>
            <w:rPr>
              <w:rFonts w:eastAsia="Times New Roman"/>
            </w:rPr>
            <w:t xml:space="preserve"> Rep. 2019;68: 533–538. doi:10.15585/mmwr.mm6824a1</w:t>
          </w:r>
        </w:p>
        <w:p w14:paraId="5B2C1FD3" w14:textId="77777777" w:rsidR="00572E88" w:rsidRDefault="00572E88">
          <w:pPr>
            <w:autoSpaceDE w:val="0"/>
            <w:autoSpaceDN w:val="0"/>
            <w:ind w:hanging="640"/>
            <w:divId w:val="63339230"/>
            <w:rPr>
              <w:rFonts w:eastAsia="Times New Roman"/>
            </w:rPr>
          </w:pPr>
          <w:r>
            <w:rPr>
              <w:rFonts w:eastAsia="Times New Roman"/>
            </w:rPr>
            <w:t xml:space="preserve">5. </w:t>
          </w:r>
          <w:r>
            <w:rPr>
              <w:rFonts w:eastAsia="Times New Roman"/>
            </w:rPr>
            <w:tab/>
            <w:t xml:space="preserve">Alter P, </w:t>
          </w:r>
          <w:proofErr w:type="spellStart"/>
          <w:r>
            <w:rPr>
              <w:rFonts w:eastAsia="Times New Roman"/>
            </w:rPr>
            <w:t>Kahnert</w:t>
          </w:r>
          <w:proofErr w:type="spellEnd"/>
          <w:r>
            <w:rPr>
              <w:rFonts w:eastAsia="Times New Roman"/>
            </w:rPr>
            <w:t xml:space="preserve"> K, </w:t>
          </w:r>
          <w:proofErr w:type="spellStart"/>
          <w:r>
            <w:rPr>
              <w:rFonts w:eastAsia="Times New Roman"/>
            </w:rPr>
            <w:t>Trudzinski</w:t>
          </w:r>
          <w:proofErr w:type="spellEnd"/>
          <w:r>
            <w:rPr>
              <w:rFonts w:eastAsia="Times New Roman"/>
            </w:rPr>
            <w:t xml:space="preserve"> FC, Bals R, Watz H, Speicher T, et al. Disease Progression and Age as Factors Underlying Multimorbidity in Patients with COPD: Results from COSYCONET. Int J Chron Obstruct </w:t>
          </w:r>
          <w:proofErr w:type="spellStart"/>
          <w:r>
            <w:rPr>
              <w:rFonts w:eastAsia="Times New Roman"/>
            </w:rPr>
            <w:t>Pulmon</w:t>
          </w:r>
          <w:proofErr w:type="spellEnd"/>
          <w:r>
            <w:rPr>
              <w:rFonts w:eastAsia="Times New Roman"/>
            </w:rPr>
            <w:t xml:space="preserve"> Dis. 2022;17: 1703–1713. doi:10.2147/COPD.S364812</w:t>
          </w:r>
        </w:p>
        <w:p w14:paraId="46CDB87F" w14:textId="77777777" w:rsidR="00572E88" w:rsidRDefault="00572E88">
          <w:pPr>
            <w:autoSpaceDE w:val="0"/>
            <w:autoSpaceDN w:val="0"/>
            <w:ind w:hanging="640"/>
            <w:divId w:val="204608633"/>
            <w:rPr>
              <w:rFonts w:eastAsia="Times New Roman"/>
            </w:rPr>
          </w:pPr>
          <w:r>
            <w:rPr>
              <w:rFonts w:eastAsia="Times New Roman"/>
            </w:rPr>
            <w:t xml:space="preserve">6. </w:t>
          </w:r>
          <w:r>
            <w:rPr>
              <w:rFonts w:eastAsia="Times New Roman"/>
            </w:rPr>
            <w:tab/>
            <w:t>Global Initiative for Chronic Obstructive Lung Disease. GOLD Report 2020. Global Strategy for the Diagnosis, Management, and Prevention of Chronic Obstructive Pulmonary Disease: 2020 Report. 2020. Available: https://goldcopd.org/wp-content/uploads/2019/12/GOLD-2020-FINAL-ver1.2-03Dec19_WMV.pdf</w:t>
          </w:r>
        </w:p>
        <w:p w14:paraId="5D2BA79E" w14:textId="77777777" w:rsidR="00572E88" w:rsidRDefault="00572E88">
          <w:pPr>
            <w:autoSpaceDE w:val="0"/>
            <w:autoSpaceDN w:val="0"/>
            <w:ind w:hanging="640"/>
            <w:divId w:val="1196232365"/>
            <w:rPr>
              <w:rFonts w:eastAsia="Times New Roman"/>
            </w:rPr>
          </w:pPr>
          <w:r>
            <w:rPr>
              <w:rFonts w:eastAsia="Times New Roman"/>
            </w:rPr>
            <w:t xml:space="preserve">7. </w:t>
          </w:r>
          <w:r>
            <w:rPr>
              <w:rFonts w:eastAsia="Times New Roman"/>
            </w:rPr>
            <w:tab/>
            <w:t>Huang X, Mu X, Deng L, Fu A, Pu E, Tang T, et al. The etiologic origins for chronic obstructive pulmonary disease. 2019 [cited 4 Jul 2024]. doi:10.2147/COPD.S203215</w:t>
          </w:r>
        </w:p>
        <w:p w14:paraId="6ECA3D2D" w14:textId="77777777" w:rsidR="00572E88" w:rsidRDefault="00572E88">
          <w:pPr>
            <w:autoSpaceDE w:val="0"/>
            <w:autoSpaceDN w:val="0"/>
            <w:ind w:hanging="640"/>
            <w:divId w:val="964508768"/>
            <w:rPr>
              <w:rFonts w:eastAsia="Times New Roman"/>
            </w:rPr>
          </w:pPr>
          <w:r>
            <w:rPr>
              <w:rFonts w:eastAsia="Times New Roman"/>
            </w:rPr>
            <w:t xml:space="preserve">8. </w:t>
          </w:r>
          <w:r>
            <w:rPr>
              <w:rFonts w:eastAsia="Times New Roman"/>
            </w:rPr>
            <w:tab/>
            <w:t xml:space="preserve">United States Department of Health and Human Services A for CL. 2020 Profile of Older Americans. 2021. </w:t>
          </w:r>
        </w:p>
        <w:p w14:paraId="5F99CCF3" w14:textId="77777777" w:rsidR="00572E88" w:rsidRDefault="00572E88">
          <w:pPr>
            <w:autoSpaceDE w:val="0"/>
            <w:autoSpaceDN w:val="0"/>
            <w:ind w:hanging="640"/>
            <w:divId w:val="1885556859"/>
            <w:rPr>
              <w:rFonts w:eastAsia="Times New Roman"/>
            </w:rPr>
          </w:pPr>
          <w:r>
            <w:rPr>
              <w:rFonts w:eastAsia="Times New Roman"/>
            </w:rPr>
            <w:t xml:space="preserve">9. </w:t>
          </w:r>
          <w:r>
            <w:rPr>
              <w:rFonts w:eastAsia="Times New Roman"/>
            </w:rPr>
            <w:tab/>
            <w:t xml:space="preserve">Mannino DM, Roberts MH, Mapel DW, Zhang Q, </w:t>
          </w:r>
          <w:proofErr w:type="spellStart"/>
          <w:r>
            <w:rPr>
              <w:rFonts w:eastAsia="Times New Roman"/>
            </w:rPr>
            <w:t>Lunacsek</w:t>
          </w:r>
          <w:proofErr w:type="spellEnd"/>
          <w:r>
            <w:rPr>
              <w:rFonts w:eastAsia="Times New Roman"/>
            </w:rPr>
            <w:t xml:space="preserve"> O, </w:t>
          </w:r>
          <w:proofErr w:type="spellStart"/>
          <w:r>
            <w:rPr>
              <w:rFonts w:eastAsia="Times New Roman"/>
            </w:rPr>
            <w:t>Grabich</w:t>
          </w:r>
          <w:proofErr w:type="spellEnd"/>
          <w:r>
            <w:rPr>
              <w:rFonts w:eastAsia="Times New Roman"/>
            </w:rPr>
            <w:t xml:space="preserve"> S, et al. National and Local Direct Medical Cost Burden of COPD in the United States From 2016 to 2019 and Projections Through 2029. Chest. 2024;165: 1093–1106. </w:t>
          </w:r>
          <w:proofErr w:type="gramStart"/>
          <w:r>
            <w:rPr>
              <w:rFonts w:eastAsia="Times New Roman"/>
            </w:rPr>
            <w:t>doi:10.1016/J.CHEST</w:t>
          </w:r>
          <w:proofErr w:type="gramEnd"/>
          <w:r>
            <w:rPr>
              <w:rFonts w:eastAsia="Times New Roman"/>
            </w:rPr>
            <w:t>.2023.11.040</w:t>
          </w:r>
        </w:p>
        <w:p w14:paraId="2A586BCF" w14:textId="77777777" w:rsidR="00572E88" w:rsidRDefault="00572E88">
          <w:pPr>
            <w:autoSpaceDE w:val="0"/>
            <w:autoSpaceDN w:val="0"/>
            <w:ind w:hanging="640"/>
            <w:divId w:val="711270654"/>
            <w:rPr>
              <w:rFonts w:eastAsia="Times New Roman"/>
            </w:rPr>
          </w:pPr>
          <w:r>
            <w:rPr>
              <w:rFonts w:eastAsia="Times New Roman"/>
            </w:rPr>
            <w:t xml:space="preserve">10. </w:t>
          </w:r>
          <w:r>
            <w:rPr>
              <w:rFonts w:eastAsia="Times New Roman"/>
            </w:rPr>
            <w:tab/>
            <w:t>Florida Department of Health - Public Health Tracking System. [cited 15 May 2025]. Available: https://www.floridatracking.com/healthtracking/topic.htm?i=30</w:t>
          </w:r>
        </w:p>
        <w:p w14:paraId="1D2C9C66" w14:textId="77777777" w:rsidR="00572E88" w:rsidRDefault="00572E88">
          <w:pPr>
            <w:autoSpaceDE w:val="0"/>
            <w:autoSpaceDN w:val="0"/>
            <w:ind w:hanging="640"/>
            <w:divId w:val="776215899"/>
            <w:rPr>
              <w:rFonts w:eastAsia="Times New Roman"/>
            </w:rPr>
          </w:pPr>
          <w:r>
            <w:rPr>
              <w:rFonts w:eastAsia="Times New Roman"/>
            </w:rPr>
            <w:lastRenderedPageBreak/>
            <w:t xml:space="preserve">11. </w:t>
          </w:r>
          <w:r>
            <w:rPr>
              <w:rFonts w:eastAsia="Times New Roman"/>
            </w:rPr>
            <w:tab/>
            <w:t xml:space="preserve">Murgia N, </w:t>
          </w:r>
          <w:proofErr w:type="spellStart"/>
          <w:r>
            <w:rPr>
              <w:rFonts w:eastAsia="Times New Roman"/>
            </w:rPr>
            <w:t>Gambelunghe</w:t>
          </w:r>
          <w:proofErr w:type="spellEnd"/>
          <w:r>
            <w:rPr>
              <w:rFonts w:eastAsia="Times New Roman"/>
            </w:rPr>
            <w:t xml:space="preserve"> A. Occupational COPD-The most under-recognized occupational lung disease? Respirology. 2022;27: 399–410. doi:10.1111/RESP.14272</w:t>
          </w:r>
        </w:p>
        <w:p w14:paraId="5378B15F" w14:textId="77777777" w:rsidR="00572E88" w:rsidRDefault="00572E88">
          <w:pPr>
            <w:autoSpaceDE w:val="0"/>
            <w:autoSpaceDN w:val="0"/>
            <w:ind w:hanging="640"/>
            <w:divId w:val="183398358"/>
            <w:rPr>
              <w:rFonts w:eastAsia="Times New Roman"/>
            </w:rPr>
          </w:pPr>
          <w:r>
            <w:rPr>
              <w:rFonts w:eastAsia="Times New Roman"/>
            </w:rPr>
            <w:t xml:space="preserve">12. </w:t>
          </w:r>
          <w:r>
            <w:rPr>
              <w:rFonts w:eastAsia="Times New Roman"/>
            </w:rPr>
            <w:tab/>
            <w:t>De Matteis S. Occupational causes of chronic obstructive pulmonary disease: an update. Curr Opin Allergy Clin Immunol. 2022;22: 73–79. doi:10.1097/ACI.0000000000000817</w:t>
          </w:r>
        </w:p>
        <w:p w14:paraId="58396BD1" w14:textId="77777777" w:rsidR="00572E88" w:rsidRDefault="00572E88">
          <w:pPr>
            <w:autoSpaceDE w:val="0"/>
            <w:autoSpaceDN w:val="0"/>
            <w:ind w:hanging="640"/>
            <w:divId w:val="2084791735"/>
            <w:rPr>
              <w:rFonts w:eastAsia="Times New Roman"/>
            </w:rPr>
          </w:pPr>
          <w:r>
            <w:rPr>
              <w:rFonts w:eastAsia="Times New Roman"/>
            </w:rPr>
            <w:t xml:space="preserve">13. </w:t>
          </w:r>
          <w:r>
            <w:rPr>
              <w:rFonts w:eastAsia="Times New Roman"/>
            </w:rPr>
            <w:tab/>
            <w:t>Blanc PD, Annesi-</w:t>
          </w:r>
          <w:proofErr w:type="spellStart"/>
          <w:r>
            <w:rPr>
              <w:rFonts w:eastAsia="Times New Roman"/>
            </w:rPr>
            <w:t>Maesano</w:t>
          </w:r>
          <w:proofErr w:type="spellEnd"/>
          <w:r>
            <w:rPr>
              <w:rFonts w:eastAsia="Times New Roman"/>
            </w:rPr>
            <w:t xml:space="preserve"> I, Balmes JR, Cummings KJ, Fishwick D, </w:t>
          </w:r>
          <w:proofErr w:type="spellStart"/>
          <w:r>
            <w:rPr>
              <w:rFonts w:eastAsia="Times New Roman"/>
            </w:rPr>
            <w:t>Miedinger</w:t>
          </w:r>
          <w:proofErr w:type="spellEnd"/>
          <w:r>
            <w:rPr>
              <w:rFonts w:eastAsia="Times New Roman"/>
            </w:rPr>
            <w:t xml:space="preserve"> D, et al. The Occupational Burden of Nonmalignant Respiratory Diseases </w:t>
          </w:r>
          <w:proofErr w:type="gramStart"/>
          <w:r>
            <w:rPr>
              <w:rFonts w:eastAsia="Times New Roman"/>
            </w:rPr>
            <w:t>An</w:t>
          </w:r>
          <w:proofErr w:type="gramEnd"/>
          <w:r>
            <w:rPr>
              <w:rFonts w:eastAsia="Times New Roman"/>
            </w:rPr>
            <w:t xml:space="preserve"> Official American Thoracic Society and European Respiratory Society Statement. Am J Respir Crit Care Med. 2019;199: 1312–1334. doi:10.1164/rccm.201904-0717ST</w:t>
          </w:r>
        </w:p>
        <w:p w14:paraId="2DEA16C1" w14:textId="77777777" w:rsidR="00572E88" w:rsidRDefault="00572E88">
          <w:pPr>
            <w:autoSpaceDE w:val="0"/>
            <w:autoSpaceDN w:val="0"/>
            <w:ind w:hanging="640"/>
            <w:divId w:val="176627516"/>
            <w:rPr>
              <w:rFonts w:eastAsia="Times New Roman"/>
            </w:rPr>
          </w:pPr>
          <w:r>
            <w:rPr>
              <w:rFonts w:eastAsia="Times New Roman"/>
            </w:rPr>
            <w:t xml:space="preserve">14. </w:t>
          </w:r>
          <w:r>
            <w:rPr>
              <w:rFonts w:eastAsia="Times New Roman"/>
            </w:rPr>
            <w:tab/>
          </w:r>
          <w:proofErr w:type="spellStart"/>
          <w:r>
            <w:rPr>
              <w:rFonts w:eastAsia="Times New Roman"/>
            </w:rPr>
            <w:t>Corlateanu</w:t>
          </w:r>
          <w:proofErr w:type="spellEnd"/>
          <w:r>
            <w:rPr>
              <w:rFonts w:eastAsia="Times New Roman"/>
            </w:rPr>
            <w:t xml:space="preserve"> A, </w:t>
          </w:r>
          <w:proofErr w:type="spellStart"/>
          <w:r>
            <w:rPr>
              <w:rFonts w:eastAsia="Times New Roman"/>
            </w:rPr>
            <w:t>Covantev</w:t>
          </w:r>
          <w:proofErr w:type="spellEnd"/>
          <w:r>
            <w:rPr>
              <w:rFonts w:eastAsia="Times New Roman"/>
            </w:rPr>
            <w:t xml:space="preserve"> S, </w:t>
          </w:r>
          <w:proofErr w:type="spellStart"/>
          <w:r>
            <w:rPr>
              <w:rFonts w:eastAsia="Times New Roman"/>
            </w:rPr>
            <w:t>Mathioudakis</w:t>
          </w:r>
          <w:proofErr w:type="spellEnd"/>
          <w:r>
            <w:rPr>
              <w:rFonts w:eastAsia="Times New Roman"/>
            </w:rPr>
            <w:t xml:space="preserve"> AG, Botnaru V, Siafakas N. Prevalence and burden of comorbidities in Chronic Obstructive Pulmonary Disease. Respir </w:t>
          </w:r>
          <w:proofErr w:type="spellStart"/>
          <w:r>
            <w:rPr>
              <w:rFonts w:eastAsia="Times New Roman"/>
            </w:rPr>
            <w:t>Investig</w:t>
          </w:r>
          <w:proofErr w:type="spellEnd"/>
          <w:r>
            <w:rPr>
              <w:rFonts w:eastAsia="Times New Roman"/>
            </w:rPr>
            <w:t xml:space="preserve">. 2016;54: 387–396. </w:t>
          </w:r>
          <w:proofErr w:type="gramStart"/>
          <w:r>
            <w:rPr>
              <w:rFonts w:eastAsia="Times New Roman"/>
            </w:rPr>
            <w:t>doi:10.1016/J.RESINV</w:t>
          </w:r>
          <w:proofErr w:type="gramEnd"/>
          <w:r>
            <w:rPr>
              <w:rFonts w:eastAsia="Times New Roman"/>
            </w:rPr>
            <w:t>.2016.07.001</w:t>
          </w:r>
        </w:p>
        <w:p w14:paraId="0877BE30" w14:textId="77777777" w:rsidR="00572E88" w:rsidRDefault="00572E88">
          <w:pPr>
            <w:autoSpaceDE w:val="0"/>
            <w:autoSpaceDN w:val="0"/>
            <w:ind w:hanging="640"/>
            <w:divId w:val="1782722460"/>
            <w:rPr>
              <w:rFonts w:eastAsia="Times New Roman"/>
            </w:rPr>
          </w:pPr>
          <w:r>
            <w:rPr>
              <w:rFonts w:eastAsia="Times New Roman"/>
            </w:rPr>
            <w:t xml:space="preserve">15. </w:t>
          </w:r>
          <w:r>
            <w:rPr>
              <w:rFonts w:eastAsia="Times New Roman"/>
            </w:rPr>
            <w:tab/>
            <w:t xml:space="preserve">Hillas G, </w:t>
          </w:r>
          <w:proofErr w:type="spellStart"/>
          <w:r>
            <w:rPr>
              <w:rFonts w:eastAsia="Times New Roman"/>
            </w:rPr>
            <w:t>Perlikos</w:t>
          </w:r>
          <w:proofErr w:type="spellEnd"/>
          <w:r>
            <w:rPr>
              <w:rFonts w:eastAsia="Times New Roman"/>
            </w:rPr>
            <w:t xml:space="preserve"> F, </w:t>
          </w:r>
          <w:proofErr w:type="spellStart"/>
          <w:r>
            <w:rPr>
              <w:rFonts w:eastAsia="Times New Roman"/>
            </w:rPr>
            <w:t>Tsiligianni</w:t>
          </w:r>
          <w:proofErr w:type="spellEnd"/>
          <w:r>
            <w:rPr>
              <w:rFonts w:eastAsia="Times New Roman"/>
            </w:rPr>
            <w:t xml:space="preserve"> I, </w:t>
          </w:r>
          <w:proofErr w:type="spellStart"/>
          <w:r>
            <w:rPr>
              <w:rFonts w:eastAsia="Times New Roman"/>
            </w:rPr>
            <w:t>Tzanakis</w:t>
          </w:r>
          <w:proofErr w:type="spellEnd"/>
          <w:r>
            <w:rPr>
              <w:rFonts w:eastAsia="Times New Roman"/>
            </w:rPr>
            <w:t xml:space="preserve"> N. Managing comorbidities in COPD. International Journal of COPD. 2015;10: 95–109. doi:10.2147/COPD.S54473</w:t>
          </w:r>
        </w:p>
        <w:p w14:paraId="74C7E345" w14:textId="77777777" w:rsidR="00572E88" w:rsidRDefault="00572E88">
          <w:pPr>
            <w:autoSpaceDE w:val="0"/>
            <w:autoSpaceDN w:val="0"/>
            <w:ind w:hanging="640"/>
            <w:divId w:val="181169000"/>
            <w:rPr>
              <w:rFonts w:eastAsia="Times New Roman"/>
            </w:rPr>
          </w:pPr>
          <w:r>
            <w:rPr>
              <w:rFonts w:eastAsia="Times New Roman"/>
            </w:rPr>
            <w:t xml:space="preserve">16. </w:t>
          </w:r>
          <w:r>
            <w:rPr>
              <w:rFonts w:eastAsia="Times New Roman"/>
            </w:rPr>
            <w:tab/>
            <w:t>United States Department of Energy. Former Worker Medical Screening Program Report 2019. 2019. Available: energy.gov/sites/prod/files/2020/06/f75/2019-FW-Medical-Screening-Program-Annual-Report.pdf</w:t>
          </w:r>
        </w:p>
        <w:p w14:paraId="3366B1DF" w14:textId="77777777" w:rsidR="00572E88" w:rsidRDefault="00572E88">
          <w:pPr>
            <w:autoSpaceDE w:val="0"/>
            <w:autoSpaceDN w:val="0"/>
            <w:ind w:hanging="640"/>
            <w:divId w:val="1668947275"/>
            <w:rPr>
              <w:rFonts w:eastAsia="Times New Roman"/>
            </w:rPr>
          </w:pPr>
          <w:r>
            <w:rPr>
              <w:rFonts w:eastAsia="Times New Roman"/>
            </w:rPr>
            <w:t xml:space="preserve">17. </w:t>
          </w:r>
          <w:r>
            <w:rPr>
              <w:rFonts w:eastAsia="Times New Roman"/>
            </w:rPr>
            <w:tab/>
            <w:t xml:space="preserve">Easter M, </w:t>
          </w:r>
          <w:proofErr w:type="spellStart"/>
          <w:r>
            <w:rPr>
              <w:rFonts w:eastAsia="Times New Roman"/>
            </w:rPr>
            <w:t>Bollenbecker</w:t>
          </w:r>
          <w:proofErr w:type="spellEnd"/>
          <w:r>
            <w:rPr>
              <w:rFonts w:eastAsia="Times New Roman"/>
            </w:rPr>
            <w:t xml:space="preserve"> S, Barnes JW, Krick S. Targeting aging pathways in chronic obstructive pulmonary disease. International Journal of Molecular Sciences. MDPI AG; 2020. pp. 1–17. doi:10.3390/ijms21186924</w:t>
          </w:r>
        </w:p>
        <w:p w14:paraId="05C28FC2" w14:textId="77777777" w:rsidR="00572E88" w:rsidRDefault="00572E88">
          <w:pPr>
            <w:autoSpaceDE w:val="0"/>
            <w:autoSpaceDN w:val="0"/>
            <w:ind w:hanging="640"/>
            <w:divId w:val="773480380"/>
            <w:rPr>
              <w:rFonts w:eastAsia="Times New Roman"/>
            </w:rPr>
          </w:pPr>
          <w:r>
            <w:rPr>
              <w:rFonts w:eastAsia="Times New Roman"/>
            </w:rPr>
            <w:t xml:space="preserve">18. </w:t>
          </w:r>
          <w:r>
            <w:rPr>
              <w:rFonts w:eastAsia="Times New Roman"/>
            </w:rPr>
            <w:tab/>
            <w:t xml:space="preserve">Petty TL. The history of COPD. Int J Chron Obstruct </w:t>
          </w:r>
          <w:proofErr w:type="spellStart"/>
          <w:r>
            <w:rPr>
              <w:rFonts w:eastAsia="Times New Roman"/>
            </w:rPr>
            <w:t>Pulmon</w:t>
          </w:r>
          <w:proofErr w:type="spellEnd"/>
          <w:r>
            <w:rPr>
              <w:rFonts w:eastAsia="Times New Roman"/>
            </w:rPr>
            <w:t xml:space="preserve"> Dis. 2006;1: 3. doi:10.2147/COPD.2006.1.1.3</w:t>
          </w:r>
        </w:p>
        <w:p w14:paraId="1411AD7E" w14:textId="77777777" w:rsidR="00572E88" w:rsidRDefault="00572E88">
          <w:pPr>
            <w:autoSpaceDE w:val="0"/>
            <w:autoSpaceDN w:val="0"/>
            <w:ind w:hanging="640"/>
            <w:divId w:val="365181239"/>
            <w:rPr>
              <w:rFonts w:eastAsia="Times New Roman"/>
            </w:rPr>
          </w:pPr>
          <w:r>
            <w:rPr>
              <w:rFonts w:eastAsia="Times New Roman"/>
            </w:rPr>
            <w:t xml:space="preserve">19. </w:t>
          </w:r>
          <w:r>
            <w:rPr>
              <w:rFonts w:eastAsia="Times New Roman"/>
            </w:rPr>
            <w:tab/>
            <w:t>Watson RA, Pride NB. Early History of Chronic Obstructive Pulmonary Disease 1808–1980. COPD: Journal of Chronic Obstructive Pulmonary Disease. 2016;13: 262–273. doi:10.3109/15412555.2015.1043521</w:t>
          </w:r>
        </w:p>
        <w:p w14:paraId="05396E1A" w14:textId="77777777" w:rsidR="00572E88" w:rsidRDefault="00572E88">
          <w:pPr>
            <w:autoSpaceDE w:val="0"/>
            <w:autoSpaceDN w:val="0"/>
            <w:ind w:hanging="640"/>
            <w:divId w:val="333647623"/>
            <w:rPr>
              <w:rFonts w:eastAsia="Times New Roman"/>
            </w:rPr>
          </w:pPr>
          <w:r>
            <w:rPr>
              <w:rFonts w:eastAsia="Times New Roman"/>
            </w:rPr>
            <w:t xml:space="preserve">20. </w:t>
          </w:r>
          <w:r>
            <w:rPr>
              <w:rFonts w:eastAsia="Times New Roman"/>
            </w:rPr>
            <w:tab/>
            <w:t>Smith LJ. The lower limit of normal versus a fixed ratio to assess airflow limitation: will the debate ever end? European Respiratory Journal. 2018;51. doi:10.1183/13993003.00403-2018</w:t>
          </w:r>
        </w:p>
        <w:p w14:paraId="07419F2F" w14:textId="77777777" w:rsidR="00572E88" w:rsidRDefault="00572E88">
          <w:pPr>
            <w:autoSpaceDE w:val="0"/>
            <w:autoSpaceDN w:val="0"/>
            <w:ind w:hanging="640"/>
            <w:divId w:val="779571664"/>
            <w:rPr>
              <w:rFonts w:eastAsia="Times New Roman"/>
            </w:rPr>
          </w:pPr>
          <w:r>
            <w:rPr>
              <w:rFonts w:eastAsia="Times New Roman"/>
            </w:rPr>
            <w:t xml:space="preserve">21. </w:t>
          </w:r>
          <w:r>
            <w:rPr>
              <w:rFonts w:eastAsia="Times New Roman"/>
            </w:rPr>
            <w:tab/>
            <w:t xml:space="preserve">Bakke PS, </w:t>
          </w:r>
          <w:proofErr w:type="spellStart"/>
          <w:r>
            <w:rPr>
              <w:rFonts w:eastAsia="Times New Roman"/>
            </w:rPr>
            <w:t>Rönmark</w:t>
          </w:r>
          <w:proofErr w:type="spellEnd"/>
          <w:r>
            <w:rPr>
              <w:rFonts w:eastAsia="Times New Roman"/>
            </w:rPr>
            <w:t xml:space="preserve"> E, Eagan T, Pistelli F, Annesi-</w:t>
          </w:r>
          <w:proofErr w:type="spellStart"/>
          <w:r>
            <w:rPr>
              <w:rFonts w:eastAsia="Times New Roman"/>
            </w:rPr>
            <w:t>Maesano</w:t>
          </w:r>
          <w:proofErr w:type="spellEnd"/>
          <w:r>
            <w:rPr>
              <w:rFonts w:eastAsia="Times New Roman"/>
            </w:rPr>
            <w:t xml:space="preserve"> I, Maly M, et al. Recommendations for epidemiological studies on COPD. European Respiratory Journal. 2011;38: 1261–1277. doi:10.1183/09031936.00193809</w:t>
          </w:r>
        </w:p>
        <w:p w14:paraId="7B848957" w14:textId="77777777" w:rsidR="00572E88" w:rsidRDefault="00572E88">
          <w:pPr>
            <w:autoSpaceDE w:val="0"/>
            <w:autoSpaceDN w:val="0"/>
            <w:ind w:hanging="640"/>
            <w:divId w:val="1918591449"/>
            <w:rPr>
              <w:rFonts w:eastAsia="Times New Roman"/>
            </w:rPr>
          </w:pPr>
          <w:r>
            <w:rPr>
              <w:rFonts w:eastAsia="Times New Roman"/>
            </w:rPr>
            <w:t xml:space="preserve">22. </w:t>
          </w:r>
          <w:r>
            <w:rPr>
              <w:rFonts w:eastAsia="Times New Roman"/>
            </w:rPr>
            <w:tab/>
            <w:t>Calverley PMA, Walker PP. Contemporary Concise Review 2022: Chronic obstructive pulmonary disease. Respirology. 2023;28: 428–436. doi:10.1111/RESP.14489</w:t>
          </w:r>
        </w:p>
        <w:p w14:paraId="2695C272" w14:textId="77777777" w:rsidR="00572E88" w:rsidRDefault="00572E88">
          <w:pPr>
            <w:autoSpaceDE w:val="0"/>
            <w:autoSpaceDN w:val="0"/>
            <w:ind w:hanging="640"/>
            <w:divId w:val="442772240"/>
            <w:rPr>
              <w:rFonts w:eastAsia="Times New Roman"/>
            </w:rPr>
          </w:pPr>
          <w:r>
            <w:rPr>
              <w:rFonts w:eastAsia="Times New Roman"/>
            </w:rPr>
            <w:lastRenderedPageBreak/>
            <w:t xml:space="preserve">23. </w:t>
          </w:r>
          <w:r>
            <w:rPr>
              <w:rFonts w:eastAsia="Times New Roman"/>
            </w:rPr>
            <w:tab/>
            <w:t xml:space="preserve">Agustí A, </w:t>
          </w:r>
          <w:proofErr w:type="spellStart"/>
          <w:r>
            <w:rPr>
              <w:rFonts w:eastAsia="Times New Roman"/>
            </w:rPr>
            <w:t>Melén</w:t>
          </w:r>
          <w:proofErr w:type="spellEnd"/>
          <w:r>
            <w:rPr>
              <w:rFonts w:eastAsia="Times New Roman"/>
            </w:rPr>
            <w:t xml:space="preserve"> E, DeMeo DL, Breyer-</w:t>
          </w:r>
          <w:proofErr w:type="spellStart"/>
          <w:r>
            <w:rPr>
              <w:rFonts w:eastAsia="Times New Roman"/>
            </w:rPr>
            <w:t>Kohansal</w:t>
          </w:r>
          <w:proofErr w:type="spellEnd"/>
          <w:r>
            <w:rPr>
              <w:rFonts w:eastAsia="Times New Roman"/>
            </w:rPr>
            <w:t xml:space="preserve"> R, Faner R. Pathogenesis of chronic obstructive pulmonary disease: understanding the contributions of gene–environment interactions across the lifespan. Lancet Respir Med. 2022;10: 512. doi:10.1016/S2213-2600(21)00555-5</w:t>
          </w:r>
        </w:p>
        <w:p w14:paraId="5A51625C" w14:textId="77777777" w:rsidR="00572E88" w:rsidRDefault="00572E88">
          <w:pPr>
            <w:autoSpaceDE w:val="0"/>
            <w:autoSpaceDN w:val="0"/>
            <w:ind w:hanging="640"/>
            <w:divId w:val="1279292662"/>
            <w:rPr>
              <w:rFonts w:eastAsia="Times New Roman"/>
            </w:rPr>
          </w:pPr>
          <w:r>
            <w:rPr>
              <w:rFonts w:eastAsia="Times New Roman"/>
            </w:rPr>
            <w:t xml:space="preserve">24. </w:t>
          </w:r>
          <w:r>
            <w:rPr>
              <w:rFonts w:eastAsia="Times New Roman"/>
            </w:rPr>
            <w:tab/>
            <w:t xml:space="preserve">Global Initiative for Chronic Obstructive Lung Disease. Global Strategy for the Diagnosis, Management, and Prevention of Chronic Obstructive Pulmonary Disease - 2024 Report. 2024. </w:t>
          </w:r>
        </w:p>
        <w:p w14:paraId="7F37402E" w14:textId="77777777" w:rsidR="00572E88" w:rsidRDefault="00572E88">
          <w:pPr>
            <w:autoSpaceDE w:val="0"/>
            <w:autoSpaceDN w:val="0"/>
            <w:ind w:hanging="640"/>
            <w:divId w:val="583346811"/>
            <w:rPr>
              <w:rFonts w:eastAsia="Times New Roman"/>
            </w:rPr>
          </w:pPr>
          <w:r>
            <w:rPr>
              <w:rFonts w:eastAsia="Times New Roman"/>
            </w:rPr>
            <w:t xml:space="preserve">25. </w:t>
          </w:r>
          <w:r>
            <w:rPr>
              <w:rFonts w:eastAsia="Times New Roman"/>
            </w:rPr>
            <w:tab/>
          </w:r>
          <w:proofErr w:type="spellStart"/>
          <w:r>
            <w:rPr>
              <w:rFonts w:eastAsia="Times New Roman"/>
            </w:rPr>
            <w:t>Kahnert</w:t>
          </w:r>
          <w:proofErr w:type="spellEnd"/>
          <w:r>
            <w:rPr>
              <w:rFonts w:eastAsia="Times New Roman"/>
            </w:rPr>
            <w:t xml:space="preserve"> K, </w:t>
          </w:r>
          <w:proofErr w:type="spellStart"/>
          <w:r>
            <w:rPr>
              <w:rFonts w:eastAsia="Times New Roman"/>
            </w:rPr>
            <w:t>Jörres</w:t>
          </w:r>
          <w:proofErr w:type="spellEnd"/>
          <w:r>
            <w:rPr>
              <w:rFonts w:eastAsia="Times New Roman"/>
            </w:rPr>
            <w:t xml:space="preserve"> RA, Behr J, Welte T. The Diagnosis and Treatment of COPD and Its Comorbidities. </w:t>
          </w:r>
          <w:proofErr w:type="spellStart"/>
          <w:r>
            <w:rPr>
              <w:rFonts w:eastAsia="Times New Roman"/>
            </w:rPr>
            <w:t>Dtsch</w:t>
          </w:r>
          <w:proofErr w:type="spellEnd"/>
          <w:r>
            <w:rPr>
              <w:rFonts w:eastAsia="Times New Roman"/>
            </w:rPr>
            <w:t xml:space="preserve"> Arztebl Int. 2023;120: 434. doi:10.3238/ARZTEBL.M2023.027</w:t>
          </w:r>
        </w:p>
        <w:p w14:paraId="05A61FF9" w14:textId="77777777" w:rsidR="00572E88" w:rsidRDefault="00572E88">
          <w:pPr>
            <w:autoSpaceDE w:val="0"/>
            <w:autoSpaceDN w:val="0"/>
            <w:ind w:hanging="640"/>
            <w:divId w:val="1150051490"/>
            <w:rPr>
              <w:rFonts w:eastAsia="Times New Roman"/>
            </w:rPr>
          </w:pPr>
          <w:r>
            <w:rPr>
              <w:rFonts w:eastAsia="Times New Roman"/>
            </w:rPr>
            <w:t xml:space="preserve">26. </w:t>
          </w:r>
          <w:r>
            <w:rPr>
              <w:rFonts w:eastAsia="Times New Roman"/>
            </w:rPr>
            <w:tab/>
            <w:t xml:space="preserve">Celli BR, Singh D, </w:t>
          </w:r>
          <w:proofErr w:type="spellStart"/>
          <w:r>
            <w:rPr>
              <w:rFonts w:eastAsia="Times New Roman"/>
            </w:rPr>
            <w:t>Vogelmeier</w:t>
          </w:r>
          <w:proofErr w:type="spellEnd"/>
          <w:r>
            <w:rPr>
              <w:rFonts w:eastAsia="Times New Roman"/>
            </w:rPr>
            <w:t xml:space="preserve"> C, Agusti A. New Perspectives on Chronic Obstructive Pulmonary Disease. Int J Chron Obstruct </w:t>
          </w:r>
          <w:proofErr w:type="spellStart"/>
          <w:r>
            <w:rPr>
              <w:rFonts w:eastAsia="Times New Roman"/>
            </w:rPr>
            <w:t>Pulmon</w:t>
          </w:r>
          <w:proofErr w:type="spellEnd"/>
          <w:r>
            <w:rPr>
              <w:rFonts w:eastAsia="Times New Roman"/>
            </w:rPr>
            <w:t xml:space="preserve"> Dis. 2022;17: 2127. doi:10.2147/COPD.S365771</w:t>
          </w:r>
        </w:p>
        <w:p w14:paraId="51253F4A" w14:textId="77777777" w:rsidR="00572E88" w:rsidRDefault="00572E88">
          <w:pPr>
            <w:autoSpaceDE w:val="0"/>
            <w:autoSpaceDN w:val="0"/>
            <w:ind w:hanging="640"/>
            <w:divId w:val="774863790"/>
            <w:rPr>
              <w:rFonts w:eastAsia="Times New Roman"/>
            </w:rPr>
          </w:pPr>
          <w:r>
            <w:rPr>
              <w:rFonts w:eastAsia="Times New Roman"/>
            </w:rPr>
            <w:t xml:space="preserve">27. </w:t>
          </w:r>
          <w:r>
            <w:rPr>
              <w:rFonts w:eastAsia="Times New Roman"/>
            </w:rPr>
            <w:tab/>
            <w:t>Choi JY, Rhee CK. Diagnosis and Treatment of Early Chronic Obstructive Lung Disease (COPD). J Clin Med. 2020;9: 1–20. doi:10.3390/JCM9113426</w:t>
          </w:r>
        </w:p>
        <w:p w14:paraId="1CF9DDB1" w14:textId="77777777" w:rsidR="00572E88" w:rsidRDefault="00572E88">
          <w:pPr>
            <w:autoSpaceDE w:val="0"/>
            <w:autoSpaceDN w:val="0"/>
            <w:ind w:hanging="640"/>
            <w:divId w:val="1382514302"/>
            <w:rPr>
              <w:rFonts w:eastAsia="Times New Roman"/>
            </w:rPr>
          </w:pPr>
          <w:r>
            <w:rPr>
              <w:rFonts w:eastAsia="Times New Roman"/>
            </w:rPr>
            <w:t xml:space="preserve">28. </w:t>
          </w:r>
          <w:r>
            <w:rPr>
              <w:rFonts w:eastAsia="Times New Roman"/>
            </w:rPr>
            <w:tab/>
            <w:t>COPD - Symptoms and causes - Mayo Clinic. [cited 21 May 2025]. Available: https://www.mayoclinic.org/diseases-conditions/copd/symptoms-causes/syc-20353679</w:t>
          </w:r>
        </w:p>
        <w:p w14:paraId="38BA80AE" w14:textId="77777777" w:rsidR="00572E88" w:rsidRDefault="00572E88">
          <w:pPr>
            <w:autoSpaceDE w:val="0"/>
            <w:autoSpaceDN w:val="0"/>
            <w:ind w:hanging="640"/>
            <w:divId w:val="46271818"/>
            <w:rPr>
              <w:rFonts w:eastAsia="Times New Roman"/>
            </w:rPr>
          </w:pPr>
          <w:r>
            <w:rPr>
              <w:rFonts w:eastAsia="Times New Roman"/>
            </w:rPr>
            <w:t xml:space="preserve">29. </w:t>
          </w:r>
          <w:r>
            <w:rPr>
              <w:rFonts w:eastAsia="Times New Roman"/>
            </w:rPr>
            <w:tab/>
          </w:r>
          <w:proofErr w:type="spellStart"/>
          <w:r>
            <w:rPr>
              <w:rFonts w:eastAsia="Times New Roman"/>
            </w:rPr>
            <w:t>Vogelmeier</w:t>
          </w:r>
          <w:proofErr w:type="spellEnd"/>
          <w:r>
            <w:rPr>
              <w:rFonts w:eastAsia="Times New Roman"/>
            </w:rPr>
            <w:t xml:space="preserve"> CF, Román-Rodríguez M, Singh D, Han MLK, Rodríguez-Roisin R, Ferguson GT. Goals of COPD treatment: Focus on symptoms and exacerbations. Respir Med. 2020;166: 105938. </w:t>
          </w:r>
          <w:proofErr w:type="gramStart"/>
          <w:r>
            <w:rPr>
              <w:rFonts w:eastAsia="Times New Roman"/>
            </w:rPr>
            <w:t>doi:10.1016/J.RMED.2020.105938/ASSET/C3E76B9A-1D57-4459-A631-721FF02173C4/MAIN.ASSETS/FX1.JPG</w:t>
          </w:r>
          <w:proofErr w:type="gramEnd"/>
        </w:p>
        <w:p w14:paraId="65E76195" w14:textId="77777777" w:rsidR="00572E88" w:rsidRDefault="00572E88">
          <w:pPr>
            <w:autoSpaceDE w:val="0"/>
            <w:autoSpaceDN w:val="0"/>
            <w:ind w:hanging="640"/>
            <w:divId w:val="1680622319"/>
            <w:rPr>
              <w:rFonts w:eastAsia="Times New Roman"/>
            </w:rPr>
          </w:pPr>
          <w:r>
            <w:rPr>
              <w:rFonts w:eastAsia="Times New Roman"/>
            </w:rPr>
            <w:t xml:space="preserve">30. </w:t>
          </w:r>
          <w:r>
            <w:rPr>
              <w:rFonts w:eastAsia="Times New Roman"/>
            </w:rPr>
            <w:tab/>
          </w:r>
          <w:proofErr w:type="spellStart"/>
          <w:r>
            <w:rPr>
              <w:rFonts w:eastAsia="Times New Roman"/>
            </w:rPr>
            <w:t>Miravitlles</w:t>
          </w:r>
          <w:proofErr w:type="spellEnd"/>
          <w:r>
            <w:rPr>
              <w:rFonts w:eastAsia="Times New Roman"/>
            </w:rPr>
            <w:t xml:space="preserve"> M, Ribera A. Understanding the impact of symptoms on the burden of COPD. Respir Res. 2017;18: 67. doi:10.1186/S12931-017-0548-3</w:t>
          </w:r>
        </w:p>
        <w:p w14:paraId="7897912E" w14:textId="77777777" w:rsidR="00572E88" w:rsidRDefault="00572E88">
          <w:pPr>
            <w:autoSpaceDE w:val="0"/>
            <w:autoSpaceDN w:val="0"/>
            <w:ind w:hanging="640"/>
            <w:divId w:val="696128276"/>
            <w:rPr>
              <w:rFonts w:eastAsia="Times New Roman"/>
            </w:rPr>
          </w:pPr>
          <w:r>
            <w:rPr>
              <w:rFonts w:eastAsia="Times New Roman"/>
            </w:rPr>
            <w:t xml:space="preserve">31. </w:t>
          </w:r>
          <w:r>
            <w:rPr>
              <w:rFonts w:eastAsia="Times New Roman"/>
            </w:rPr>
            <w:tab/>
            <w:t xml:space="preserve">MacLeod M, Papi A, </w:t>
          </w:r>
          <w:proofErr w:type="spellStart"/>
          <w:r>
            <w:rPr>
              <w:rFonts w:eastAsia="Times New Roman"/>
            </w:rPr>
            <w:t>Contoli</w:t>
          </w:r>
          <w:proofErr w:type="spellEnd"/>
          <w:r>
            <w:rPr>
              <w:rFonts w:eastAsia="Times New Roman"/>
            </w:rPr>
            <w:t xml:space="preserve"> M, </w:t>
          </w:r>
          <w:proofErr w:type="spellStart"/>
          <w:r>
            <w:rPr>
              <w:rFonts w:eastAsia="Times New Roman"/>
            </w:rPr>
            <w:t>Beghé</w:t>
          </w:r>
          <w:proofErr w:type="spellEnd"/>
          <w:r>
            <w:rPr>
              <w:rFonts w:eastAsia="Times New Roman"/>
            </w:rPr>
            <w:t xml:space="preserve"> B, Celli BR, </w:t>
          </w:r>
          <w:proofErr w:type="spellStart"/>
          <w:r>
            <w:rPr>
              <w:rFonts w:eastAsia="Times New Roman"/>
            </w:rPr>
            <w:t>Wedzicha</w:t>
          </w:r>
          <w:proofErr w:type="spellEnd"/>
          <w:r>
            <w:rPr>
              <w:rFonts w:eastAsia="Times New Roman"/>
            </w:rPr>
            <w:t xml:space="preserve"> JA, et al. Chronic obstructive pulmonary disease exacerbation fundamentals: Diagnosis, treatment, prevention and disease impact. Respirology. 2021;26: 532–551. doi:10.1111/RESP.14041</w:t>
          </w:r>
        </w:p>
        <w:p w14:paraId="69A97BCF" w14:textId="77777777" w:rsidR="00572E88" w:rsidRDefault="00572E88">
          <w:pPr>
            <w:autoSpaceDE w:val="0"/>
            <w:autoSpaceDN w:val="0"/>
            <w:ind w:hanging="640"/>
            <w:divId w:val="2024161981"/>
            <w:rPr>
              <w:rFonts w:eastAsia="Times New Roman"/>
            </w:rPr>
          </w:pPr>
          <w:r>
            <w:rPr>
              <w:rFonts w:eastAsia="Times New Roman"/>
            </w:rPr>
            <w:t xml:space="preserve">32. </w:t>
          </w:r>
          <w:r>
            <w:rPr>
              <w:rFonts w:eastAsia="Times New Roman"/>
            </w:rPr>
            <w:tab/>
            <w:t>How Is COPD Diagnosed? | American Lung Association. [cited 31 May 2025]. Available: https://www.lung.org/lung-health-diseases/lung-disease-lookup/copd/symptoms-diagnosis/diagnosing</w:t>
          </w:r>
        </w:p>
        <w:p w14:paraId="25FF95D5" w14:textId="77777777" w:rsidR="00572E88" w:rsidRDefault="00572E88">
          <w:pPr>
            <w:autoSpaceDE w:val="0"/>
            <w:autoSpaceDN w:val="0"/>
            <w:ind w:hanging="640"/>
            <w:divId w:val="1296250585"/>
            <w:rPr>
              <w:rFonts w:eastAsia="Times New Roman"/>
            </w:rPr>
          </w:pPr>
          <w:r>
            <w:rPr>
              <w:rFonts w:eastAsia="Times New Roman"/>
            </w:rPr>
            <w:t xml:space="preserve">33. </w:t>
          </w:r>
          <w:r>
            <w:rPr>
              <w:rFonts w:eastAsia="Times New Roman"/>
            </w:rPr>
            <w:tab/>
            <w:t xml:space="preserve">Agarwal AK, Raja A, Brown BD. Chronic Obstructive Pulmonary Disease. </w:t>
          </w:r>
          <w:proofErr w:type="spellStart"/>
          <w:r>
            <w:rPr>
              <w:rFonts w:eastAsia="Times New Roman"/>
            </w:rPr>
            <w:t>StatPearls</w:t>
          </w:r>
          <w:proofErr w:type="spellEnd"/>
          <w:r>
            <w:rPr>
              <w:rFonts w:eastAsia="Times New Roman"/>
            </w:rPr>
            <w:t>. 2023 [cited 31 May 2025]. Available: https://www.ncbi.nlm.nih.gov/books/NBK559281/</w:t>
          </w:r>
        </w:p>
        <w:p w14:paraId="5923D9DB" w14:textId="77777777" w:rsidR="00572E88" w:rsidRDefault="00572E88">
          <w:pPr>
            <w:autoSpaceDE w:val="0"/>
            <w:autoSpaceDN w:val="0"/>
            <w:ind w:hanging="640"/>
            <w:divId w:val="277764041"/>
            <w:rPr>
              <w:rFonts w:eastAsia="Times New Roman"/>
            </w:rPr>
          </w:pPr>
          <w:r>
            <w:rPr>
              <w:rFonts w:eastAsia="Times New Roman"/>
            </w:rPr>
            <w:lastRenderedPageBreak/>
            <w:t xml:space="preserve">34. </w:t>
          </w:r>
          <w:r>
            <w:rPr>
              <w:rFonts w:eastAsia="Times New Roman"/>
            </w:rPr>
            <w:tab/>
            <w:t>COPD Assessment Test Governance Board. COPD Assessment Test User Guide. 2022 May. Available: www.CATestonline.org.</w:t>
          </w:r>
        </w:p>
        <w:p w14:paraId="4F69795B" w14:textId="77777777" w:rsidR="00572E88" w:rsidRDefault="00572E88">
          <w:pPr>
            <w:autoSpaceDE w:val="0"/>
            <w:autoSpaceDN w:val="0"/>
            <w:ind w:hanging="640"/>
            <w:divId w:val="426194546"/>
            <w:rPr>
              <w:rFonts w:eastAsia="Times New Roman"/>
            </w:rPr>
          </w:pPr>
          <w:r>
            <w:rPr>
              <w:rFonts w:eastAsia="Times New Roman"/>
            </w:rPr>
            <w:t xml:space="preserve">35. </w:t>
          </w:r>
          <w:r>
            <w:rPr>
              <w:rFonts w:eastAsia="Times New Roman"/>
            </w:rPr>
            <w:tab/>
            <w:t xml:space="preserve">Yorke J, Khan N, Garrow A, Tyson S, Singh D, Vestbo J, et al. Evaluation of the Individual Activity Descriptors of the </w:t>
          </w:r>
          <w:proofErr w:type="spellStart"/>
          <w:r>
            <w:rPr>
              <w:rFonts w:eastAsia="Times New Roman"/>
            </w:rPr>
            <w:t>mMRC</w:t>
          </w:r>
          <w:proofErr w:type="spellEnd"/>
          <w:r>
            <w:rPr>
              <w:rFonts w:eastAsia="Times New Roman"/>
            </w:rPr>
            <w:t xml:space="preserve"> Breathlessness Scale: A Mixed Method Study. Int J Chron Obstruct </w:t>
          </w:r>
          <w:proofErr w:type="spellStart"/>
          <w:r>
            <w:rPr>
              <w:rFonts w:eastAsia="Times New Roman"/>
            </w:rPr>
            <w:t>Pulmon</w:t>
          </w:r>
          <w:proofErr w:type="spellEnd"/>
          <w:r>
            <w:rPr>
              <w:rFonts w:eastAsia="Times New Roman"/>
            </w:rPr>
            <w:t xml:space="preserve"> Dis. 2022;17: 2289. doi:10.2147/COPD.S372318</w:t>
          </w:r>
        </w:p>
        <w:p w14:paraId="1C6166E3" w14:textId="77777777" w:rsidR="00572E88" w:rsidRDefault="00572E88">
          <w:pPr>
            <w:autoSpaceDE w:val="0"/>
            <w:autoSpaceDN w:val="0"/>
            <w:ind w:hanging="640"/>
            <w:divId w:val="620495584"/>
            <w:rPr>
              <w:rFonts w:eastAsia="Times New Roman"/>
            </w:rPr>
          </w:pPr>
          <w:r>
            <w:rPr>
              <w:rFonts w:eastAsia="Times New Roman"/>
            </w:rPr>
            <w:t xml:space="preserve">36. </w:t>
          </w:r>
          <w:r>
            <w:rPr>
              <w:rFonts w:eastAsia="Times New Roman"/>
            </w:rPr>
            <w:tab/>
            <w:t xml:space="preserve">Boers E, Barrett M, Su JG, </w:t>
          </w:r>
          <w:proofErr w:type="spellStart"/>
          <w:r>
            <w:rPr>
              <w:rFonts w:eastAsia="Times New Roman"/>
            </w:rPr>
            <w:t>Benjafield</w:t>
          </w:r>
          <w:proofErr w:type="spellEnd"/>
          <w:r>
            <w:rPr>
              <w:rFonts w:eastAsia="Times New Roman"/>
            </w:rPr>
            <w:t xml:space="preserve"> A V., Sinha S, Kaye L, et al. Global Burden of Chronic Obstructive Pulmonary Disease Through 2050. JAMA </w:t>
          </w:r>
          <w:proofErr w:type="spellStart"/>
          <w:r>
            <w:rPr>
              <w:rFonts w:eastAsia="Times New Roman"/>
            </w:rPr>
            <w:t>Netw</w:t>
          </w:r>
          <w:proofErr w:type="spellEnd"/>
          <w:r>
            <w:rPr>
              <w:rFonts w:eastAsia="Times New Roman"/>
            </w:rPr>
            <w:t xml:space="preserve"> Open. 2023;6: E2346598. doi:10.1001/JAMANETWORKOPEN.2023.46598</w:t>
          </w:r>
        </w:p>
        <w:p w14:paraId="5FB4C93C" w14:textId="77777777" w:rsidR="00572E88" w:rsidRDefault="00572E88">
          <w:pPr>
            <w:autoSpaceDE w:val="0"/>
            <w:autoSpaceDN w:val="0"/>
            <w:ind w:hanging="640"/>
            <w:divId w:val="1985625458"/>
            <w:rPr>
              <w:rFonts w:eastAsia="Times New Roman"/>
            </w:rPr>
          </w:pPr>
          <w:r>
            <w:rPr>
              <w:rFonts w:eastAsia="Times New Roman"/>
            </w:rPr>
            <w:t xml:space="preserve">37. </w:t>
          </w:r>
          <w:r>
            <w:rPr>
              <w:rFonts w:eastAsia="Times New Roman"/>
            </w:rPr>
            <w:tab/>
            <w:t>Wang Z, Lin J, Liang L, Huang F, Yao X, Peng K, et al. Global, regional, and national burden of chronic obstructive pulmonary disease and its attributable risk factors from 1990 to 2021: an analysis for the Global Burden of Disease Study 2021. Respiratory Research 2024 26:1. 2025;26: 1–11. doi:10.1186/S12931-024-03051-2</w:t>
          </w:r>
        </w:p>
        <w:p w14:paraId="3598FA89" w14:textId="77777777" w:rsidR="00572E88" w:rsidRDefault="00572E88">
          <w:pPr>
            <w:autoSpaceDE w:val="0"/>
            <w:autoSpaceDN w:val="0"/>
            <w:ind w:hanging="640"/>
            <w:divId w:val="1516648080"/>
            <w:rPr>
              <w:rFonts w:eastAsia="Times New Roman"/>
            </w:rPr>
          </w:pPr>
          <w:r>
            <w:rPr>
              <w:rFonts w:eastAsia="Times New Roman"/>
            </w:rPr>
            <w:t xml:space="preserve">38. </w:t>
          </w:r>
          <w:r>
            <w:rPr>
              <w:rFonts w:eastAsia="Times New Roman"/>
            </w:rPr>
            <w:tab/>
          </w:r>
          <w:proofErr w:type="spellStart"/>
          <w:r>
            <w:rPr>
              <w:rFonts w:eastAsia="Times New Roman"/>
            </w:rPr>
            <w:t>Adeloye</w:t>
          </w:r>
          <w:proofErr w:type="spellEnd"/>
          <w:r>
            <w:rPr>
              <w:rFonts w:eastAsia="Times New Roman"/>
            </w:rPr>
            <w:t xml:space="preserve"> D, Song P, Zhu Y, Campbell H, Sheikh A, Rudan I. Global, regional, and national prevalence of, and risk factors for, chronic obstructive pulmonary disease (COPD) in 2019: a systematic review and modelling analysis. Lancet Respir Med. 2022;10: 447. doi:10.1016/S2213-2600(21)00511-7</w:t>
          </w:r>
        </w:p>
        <w:p w14:paraId="48D01749" w14:textId="77777777" w:rsidR="00572E88" w:rsidRDefault="00572E88">
          <w:pPr>
            <w:autoSpaceDE w:val="0"/>
            <w:autoSpaceDN w:val="0"/>
            <w:ind w:hanging="640"/>
            <w:divId w:val="1230387220"/>
            <w:rPr>
              <w:rFonts w:eastAsia="Times New Roman"/>
            </w:rPr>
          </w:pPr>
          <w:r>
            <w:rPr>
              <w:rFonts w:eastAsia="Times New Roman"/>
            </w:rPr>
            <w:t xml:space="preserve">39. </w:t>
          </w:r>
          <w:r>
            <w:rPr>
              <w:rFonts w:eastAsia="Times New Roman"/>
            </w:rPr>
            <w:tab/>
            <w:t xml:space="preserve">Boers E, Barrett M, Su JG, </w:t>
          </w:r>
          <w:proofErr w:type="spellStart"/>
          <w:r>
            <w:rPr>
              <w:rFonts w:eastAsia="Times New Roman"/>
            </w:rPr>
            <w:t>Benjafield</w:t>
          </w:r>
          <w:proofErr w:type="spellEnd"/>
          <w:r>
            <w:rPr>
              <w:rFonts w:eastAsia="Times New Roman"/>
            </w:rPr>
            <w:t xml:space="preserve"> A V., Sinha S, Kaye L, et al. Global Burden of Chronic Obstructive Pulmonary Disease Through 2050. JAMA </w:t>
          </w:r>
          <w:proofErr w:type="spellStart"/>
          <w:r>
            <w:rPr>
              <w:rFonts w:eastAsia="Times New Roman"/>
            </w:rPr>
            <w:t>Netw</w:t>
          </w:r>
          <w:proofErr w:type="spellEnd"/>
          <w:r>
            <w:rPr>
              <w:rFonts w:eastAsia="Times New Roman"/>
            </w:rPr>
            <w:t xml:space="preserve"> Open. 2023;6: e2346598–e2346598. doi:10.1001/JAMANETWORKOPEN.2023.46598</w:t>
          </w:r>
        </w:p>
        <w:p w14:paraId="721A2A3A" w14:textId="77777777" w:rsidR="00572E88" w:rsidRDefault="00572E88">
          <w:pPr>
            <w:autoSpaceDE w:val="0"/>
            <w:autoSpaceDN w:val="0"/>
            <w:ind w:hanging="640"/>
            <w:divId w:val="623925799"/>
            <w:rPr>
              <w:rFonts w:eastAsia="Times New Roman"/>
            </w:rPr>
          </w:pPr>
          <w:r>
            <w:rPr>
              <w:rFonts w:eastAsia="Times New Roman"/>
            </w:rPr>
            <w:t xml:space="preserve">40. </w:t>
          </w:r>
          <w:r>
            <w:rPr>
              <w:rFonts w:eastAsia="Times New Roman"/>
            </w:rPr>
            <w:tab/>
            <w:t>National Center for Health Statistics. Percentage of COPD, emphysema, or chronic bronchitis for adults aged 18 and over, United States, 2019—2023. In: National Health Interview Survey [Internet]. 2023. Available: https://wwwn.cdc.gov/NHISDataQueryTool/SHS_adult/index.html</w:t>
          </w:r>
        </w:p>
        <w:p w14:paraId="70D2E3AF" w14:textId="77777777" w:rsidR="00572E88" w:rsidRDefault="00572E88">
          <w:pPr>
            <w:autoSpaceDE w:val="0"/>
            <w:autoSpaceDN w:val="0"/>
            <w:ind w:hanging="640"/>
            <w:divId w:val="1507819439"/>
            <w:rPr>
              <w:rFonts w:eastAsia="Times New Roman"/>
            </w:rPr>
          </w:pPr>
          <w:r>
            <w:rPr>
              <w:rFonts w:eastAsia="Times New Roman"/>
            </w:rPr>
            <w:t xml:space="preserve">41. </w:t>
          </w:r>
          <w:r>
            <w:rPr>
              <w:rFonts w:eastAsia="Times New Roman"/>
            </w:rPr>
            <w:tab/>
            <w:t xml:space="preserve">Liu Y, Carlson SA, Watson KB, Xu F, Greenlund KJ. Trends in the Prevalence of Chronic Obstructive Pulmonary Disease Among Adults Aged ≥18 Years — United States, 2011–2021. MMWR </w:t>
          </w:r>
          <w:proofErr w:type="spellStart"/>
          <w:r>
            <w:rPr>
              <w:rFonts w:eastAsia="Times New Roman"/>
            </w:rPr>
            <w:t>Morb</w:t>
          </w:r>
          <w:proofErr w:type="spellEnd"/>
          <w:r>
            <w:rPr>
              <w:rFonts w:eastAsia="Times New Roman"/>
            </w:rPr>
            <w:t xml:space="preserve"> Mortal </w:t>
          </w:r>
          <w:proofErr w:type="spellStart"/>
          <w:r>
            <w:rPr>
              <w:rFonts w:eastAsia="Times New Roman"/>
            </w:rPr>
            <w:t>Wkly</w:t>
          </w:r>
          <w:proofErr w:type="spellEnd"/>
          <w:r>
            <w:rPr>
              <w:rFonts w:eastAsia="Times New Roman"/>
            </w:rPr>
            <w:t xml:space="preserve"> Rep. 2023;72: 1250–1256. doi:10.15585/MMWR.MM7246A1</w:t>
          </w:r>
        </w:p>
        <w:p w14:paraId="6575B113" w14:textId="77777777" w:rsidR="00572E88" w:rsidRDefault="00572E88">
          <w:pPr>
            <w:autoSpaceDE w:val="0"/>
            <w:autoSpaceDN w:val="0"/>
            <w:ind w:hanging="640"/>
            <w:divId w:val="2070154942"/>
            <w:rPr>
              <w:rFonts w:eastAsia="Times New Roman"/>
            </w:rPr>
          </w:pPr>
          <w:r>
            <w:rPr>
              <w:rFonts w:eastAsia="Times New Roman"/>
            </w:rPr>
            <w:t xml:space="preserve">42. </w:t>
          </w:r>
          <w:r>
            <w:rPr>
              <w:rFonts w:eastAsia="Times New Roman"/>
            </w:rPr>
            <w:tab/>
            <w:t xml:space="preserve">Chen S, Kuhn M, Prettner K, Yu F, Yang T, </w:t>
          </w:r>
          <w:proofErr w:type="spellStart"/>
          <w:r>
            <w:rPr>
              <w:rFonts w:eastAsia="Times New Roman"/>
            </w:rPr>
            <w:t>Bärnighausen</w:t>
          </w:r>
          <w:proofErr w:type="spellEnd"/>
          <w:r>
            <w:rPr>
              <w:rFonts w:eastAsia="Times New Roman"/>
            </w:rPr>
            <w:t xml:space="preserve"> T, et al. The global economic burden of chronic obstructive pulmonary disease for 204 countries and territories in 2020–50: a health-augmented macroeconomic modelling study. Lancet Glob Health. 2023;11: e1183. doi:10.1016/S2214-109</w:t>
          </w:r>
          <w:proofErr w:type="gramStart"/>
          <w:r>
            <w:rPr>
              <w:rFonts w:eastAsia="Times New Roman"/>
            </w:rPr>
            <w:t>X(</w:t>
          </w:r>
          <w:proofErr w:type="gramEnd"/>
          <w:r>
            <w:rPr>
              <w:rFonts w:eastAsia="Times New Roman"/>
            </w:rPr>
            <w:t>23)00217-6</w:t>
          </w:r>
        </w:p>
        <w:p w14:paraId="6F171385" w14:textId="77777777" w:rsidR="00572E88" w:rsidRDefault="00572E88">
          <w:pPr>
            <w:autoSpaceDE w:val="0"/>
            <w:autoSpaceDN w:val="0"/>
            <w:ind w:hanging="640"/>
            <w:divId w:val="312637986"/>
            <w:rPr>
              <w:rFonts w:eastAsia="Times New Roman"/>
            </w:rPr>
          </w:pPr>
          <w:r>
            <w:rPr>
              <w:rFonts w:eastAsia="Times New Roman"/>
            </w:rPr>
            <w:t xml:space="preserve">43. </w:t>
          </w:r>
          <w:r>
            <w:rPr>
              <w:rFonts w:eastAsia="Times New Roman"/>
            </w:rPr>
            <w:tab/>
            <w:t xml:space="preserve">Iheanacho I, Zhang S, King D, Rizzo M, Ismaila AS. Economic Burden of Chronic Obstructive Pulmonary Disease (COPD): A Systematic Literature Review. Int J Chron Obstruct </w:t>
          </w:r>
          <w:proofErr w:type="spellStart"/>
          <w:r>
            <w:rPr>
              <w:rFonts w:eastAsia="Times New Roman"/>
            </w:rPr>
            <w:t>Pulmon</w:t>
          </w:r>
          <w:proofErr w:type="spellEnd"/>
          <w:r>
            <w:rPr>
              <w:rFonts w:eastAsia="Times New Roman"/>
            </w:rPr>
            <w:t xml:space="preserve"> Dis. 2020;15: 439. doi:10.2147/COPD.S234942</w:t>
          </w:r>
        </w:p>
        <w:p w14:paraId="6354CB8D" w14:textId="77777777" w:rsidR="00572E88" w:rsidRDefault="00572E88">
          <w:pPr>
            <w:autoSpaceDE w:val="0"/>
            <w:autoSpaceDN w:val="0"/>
            <w:ind w:hanging="640"/>
            <w:divId w:val="1731532491"/>
            <w:rPr>
              <w:rFonts w:eastAsia="Times New Roman"/>
            </w:rPr>
          </w:pPr>
          <w:r>
            <w:rPr>
              <w:rFonts w:eastAsia="Times New Roman"/>
            </w:rPr>
            <w:lastRenderedPageBreak/>
            <w:t xml:space="preserve">44. </w:t>
          </w:r>
          <w:r>
            <w:rPr>
              <w:rFonts w:eastAsia="Times New Roman"/>
            </w:rPr>
            <w:tab/>
            <w:t xml:space="preserve">Rehman A </w:t>
          </w:r>
          <w:proofErr w:type="spellStart"/>
          <w:r>
            <w:rPr>
              <w:rFonts w:eastAsia="Times New Roman"/>
            </w:rPr>
            <w:t>ur</w:t>
          </w:r>
          <w:proofErr w:type="spellEnd"/>
          <w:r>
            <w:rPr>
              <w:rFonts w:eastAsia="Times New Roman"/>
            </w:rPr>
            <w:t xml:space="preserve">, </w:t>
          </w:r>
          <w:proofErr w:type="spellStart"/>
          <w:r>
            <w:rPr>
              <w:rFonts w:eastAsia="Times New Roman"/>
            </w:rPr>
            <w:t>Hassali</w:t>
          </w:r>
          <w:proofErr w:type="spellEnd"/>
          <w:r>
            <w:rPr>
              <w:rFonts w:eastAsia="Times New Roman"/>
            </w:rPr>
            <w:t xml:space="preserve"> MAA, Muhammad SA, Harun SN, Shah S, Abbas S. The economic burden of chronic obstructive pulmonary disease (COPD) in Europe: results from a systematic review of the literature. European Journal of Health Economics. 2020;21: 181–194. doi:10.1007/S10198-019-01119-1/FIGURES/2</w:t>
          </w:r>
        </w:p>
        <w:p w14:paraId="4711D257" w14:textId="77777777" w:rsidR="00572E88" w:rsidRDefault="00572E88">
          <w:pPr>
            <w:autoSpaceDE w:val="0"/>
            <w:autoSpaceDN w:val="0"/>
            <w:ind w:hanging="640"/>
            <w:divId w:val="1897006885"/>
            <w:rPr>
              <w:rFonts w:eastAsia="Times New Roman"/>
            </w:rPr>
          </w:pPr>
          <w:r>
            <w:rPr>
              <w:rFonts w:eastAsia="Times New Roman"/>
            </w:rPr>
            <w:t xml:space="preserve">45. </w:t>
          </w:r>
          <w:r>
            <w:rPr>
              <w:rFonts w:eastAsia="Times New Roman"/>
            </w:rPr>
            <w:tab/>
            <w:t xml:space="preserve">Zafari Z, Li S, Eakin MN, Bellanger M, Reed RM. Projecting Long-term Health and Economic Burden of COPD in the United States. Chest. 2021;159: 1400–1410. </w:t>
          </w:r>
          <w:proofErr w:type="gramStart"/>
          <w:r>
            <w:rPr>
              <w:rFonts w:eastAsia="Times New Roman"/>
            </w:rPr>
            <w:t>doi:10.1016/J.CHEST</w:t>
          </w:r>
          <w:proofErr w:type="gramEnd"/>
          <w:r>
            <w:rPr>
              <w:rFonts w:eastAsia="Times New Roman"/>
            </w:rPr>
            <w:t>.2020.09.255</w:t>
          </w:r>
        </w:p>
        <w:p w14:paraId="11BF1F96" w14:textId="77777777" w:rsidR="00572E88" w:rsidRDefault="00572E88">
          <w:pPr>
            <w:autoSpaceDE w:val="0"/>
            <w:autoSpaceDN w:val="0"/>
            <w:ind w:hanging="640"/>
            <w:divId w:val="177697370"/>
            <w:rPr>
              <w:rFonts w:eastAsia="Times New Roman"/>
            </w:rPr>
          </w:pPr>
          <w:r>
            <w:rPr>
              <w:rFonts w:eastAsia="Times New Roman"/>
            </w:rPr>
            <w:t xml:space="preserve">46. </w:t>
          </w:r>
          <w:r>
            <w:rPr>
              <w:rFonts w:eastAsia="Times New Roman"/>
            </w:rPr>
            <w:tab/>
            <w:t xml:space="preserve">Naeem S, Wang F, Mubarak R, Shen H, Li X, </w:t>
          </w:r>
          <w:proofErr w:type="spellStart"/>
          <w:r>
            <w:rPr>
              <w:rFonts w:eastAsia="Times New Roman"/>
            </w:rPr>
            <w:t>Mommers</w:t>
          </w:r>
          <w:proofErr w:type="spellEnd"/>
          <w:r>
            <w:rPr>
              <w:rFonts w:eastAsia="Times New Roman"/>
            </w:rPr>
            <w:t xml:space="preserve"> I, et al. Mapping the Global distribution, risk factors, and temporal trends of COPD incidence and mortality (1990–2021): ecological analysis. BMC Med. 2025;23: 1–14. doi:10.1186/S12916-025-04014-0/FIGURES/5</w:t>
          </w:r>
        </w:p>
        <w:p w14:paraId="6C2B7802" w14:textId="77777777" w:rsidR="00572E88" w:rsidRDefault="00572E88">
          <w:pPr>
            <w:autoSpaceDE w:val="0"/>
            <w:autoSpaceDN w:val="0"/>
            <w:ind w:hanging="640"/>
            <w:divId w:val="2116244663"/>
            <w:rPr>
              <w:rFonts w:eastAsia="Times New Roman"/>
            </w:rPr>
          </w:pPr>
          <w:r>
            <w:rPr>
              <w:rFonts w:eastAsia="Times New Roman"/>
            </w:rPr>
            <w:t xml:space="preserve">47. </w:t>
          </w:r>
          <w:r>
            <w:rPr>
              <w:rFonts w:eastAsia="Times New Roman"/>
            </w:rPr>
            <w:tab/>
            <w:t xml:space="preserve">Guarascio AJ, Ray SM, Finch CK, Self TH. The clinical and economic burden of chronic obstructive pulmonary disease in the USA. </w:t>
          </w:r>
          <w:proofErr w:type="spellStart"/>
          <w:r>
            <w:rPr>
              <w:rFonts w:eastAsia="Times New Roman"/>
            </w:rPr>
            <w:t>Clinicoecon</w:t>
          </w:r>
          <w:proofErr w:type="spellEnd"/>
          <w:r>
            <w:rPr>
              <w:rFonts w:eastAsia="Times New Roman"/>
            </w:rPr>
            <w:t xml:space="preserve"> Outcomes Res. 2013;5: 235. doi:10.2147/CEOR.S34321</w:t>
          </w:r>
        </w:p>
        <w:p w14:paraId="5AA7DF9C" w14:textId="77777777" w:rsidR="00572E88" w:rsidRDefault="00572E88">
          <w:pPr>
            <w:autoSpaceDE w:val="0"/>
            <w:autoSpaceDN w:val="0"/>
            <w:ind w:hanging="640"/>
            <w:divId w:val="874853252"/>
            <w:rPr>
              <w:rFonts w:eastAsia="Times New Roman"/>
            </w:rPr>
          </w:pPr>
          <w:r>
            <w:rPr>
              <w:rFonts w:eastAsia="Times New Roman"/>
            </w:rPr>
            <w:t xml:space="preserve">48. </w:t>
          </w:r>
          <w:r>
            <w:rPr>
              <w:rFonts w:eastAsia="Times New Roman"/>
            </w:rPr>
            <w:tab/>
          </w:r>
          <w:proofErr w:type="spellStart"/>
          <w:r>
            <w:rPr>
              <w:rFonts w:eastAsia="Times New Roman"/>
            </w:rPr>
            <w:t>Syamlal</w:t>
          </w:r>
          <w:proofErr w:type="spellEnd"/>
          <w:r>
            <w:rPr>
              <w:rFonts w:eastAsia="Times New Roman"/>
            </w:rPr>
            <w:t xml:space="preserve"> G, Bhattacharya A, Dodd KE. Medical Expenditures Attributed to Asthma and Chronic Obstructive Pulmonary Disease Among Workers - United States, 2011-2015. MMWR </w:t>
          </w:r>
          <w:proofErr w:type="spellStart"/>
          <w:r>
            <w:rPr>
              <w:rFonts w:eastAsia="Times New Roman"/>
            </w:rPr>
            <w:t>Morb</w:t>
          </w:r>
          <w:proofErr w:type="spellEnd"/>
          <w:r>
            <w:rPr>
              <w:rFonts w:eastAsia="Times New Roman"/>
            </w:rPr>
            <w:t xml:space="preserve"> Mortal </w:t>
          </w:r>
          <w:proofErr w:type="spellStart"/>
          <w:r>
            <w:rPr>
              <w:rFonts w:eastAsia="Times New Roman"/>
            </w:rPr>
            <w:t>Wkly</w:t>
          </w:r>
          <w:proofErr w:type="spellEnd"/>
          <w:r>
            <w:rPr>
              <w:rFonts w:eastAsia="Times New Roman"/>
            </w:rPr>
            <w:t xml:space="preserve"> Rep. 2020;69: 809–814. doi:10.15585/MMWR.MM6926A1</w:t>
          </w:r>
        </w:p>
        <w:p w14:paraId="753A3950" w14:textId="77777777" w:rsidR="00572E88" w:rsidRDefault="00572E88">
          <w:pPr>
            <w:autoSpaceDE w:val="0"/>
            <w:autoSpaceDN w:val="0"/>
            <w:ind w:hanging="640"/>
            <w:divId w:val="746612287"/>
            <w:rPr>
              <w:rFonts w:eastAsia="Times New Roman"/>
            </w:rPr>
          </w:pPr>
          <w:r>
            <w:rPr>
              <w:rFonts w:eastAsia="Times New Roman"/>
            </w:rPr>
            <w:t xml:space="preserve">49. </w:t>
          </w:r>
          <w:r>
            <w:rPr>
              <w:rFonts w:eastAsia="Times New Roman"/>
            </w:rPr>
            <w:tab/>
            <w:t xml:space="preserve">Zafari Z, Li S, Eakin MN, Bellanger M, Reed RM. Projecting Long-term Health and Economic Burden of COPD in the United States. Chest. 2021;159: 1400–1410. </w:t>
          </w:r>
          <w:proofErr w:type="gramStart"/>
          <w:r>
            <w:rPr>
              <w:rFonts w:eastAsia="Times New Roman"/>
            </w:rPr>
            <w:t>doi:10.1016/J.CHEST</w:t>
          </w:r>
          <w:proofErr w:type="gramEnd"/>
          <w:r>
            <w:rPr>
              <w:rFonts w:eastAsia="Times New Roman"/>
            </w:rPr>
            <w:t>.2020.09.255</w:t>
          </w:r>
        </w:p>
        <w:p w14:paraId="55B5A381" w14:textId="77777777" w:rsidR="00572E88" w:rsidRDefault="00572E88">
          <w:pPr>
            <w:autoSpaceDE w:val="0"/>
            <w:autoSpaceDN w:val="0"/>
            <w:ind w:hanging="640"/>
            <w:divId w:val="1216547223"/>
            <w:rPr>
              <w:rFonts w:eastAsia="Times New Roman"/>
            </w:rPr>
          </w:pPr>
          <w:r>
            <w:rPr>
              <w:rFonts w:eastAsia="Times New Roman"/>
            </w:rPr>
            <w:t xml:space="preserve">50. </w:t>
          </w:r>
          <w:r>
            <w:rPr>
              <w:rFonts w:eastAsia="Times New Roman"/>
            </w:rPr>
            <w:tab/>
            <w:t>Fletcher MJ, Upton J, Taylor-Fishwick J, Buist SA, Jenkins C, Hutton J, et al. COPD uncovered: an international survey on the impact of chronic obstructive pulmonary disease [COPD] on a working age population. BMC Public Health. 2011;11: 612. doi:10.1186/1471-2458-11-612</w:t>
          </w:r>
        </w:p>
        <w:p w14:paraId="344E6601" w14:textId="77777777" w:rsidR="00572E88" w:rsidRDefault="00572E88">
          <w:pPr>
            <w:autoSpaceDE w:val="0"/>
            <w:autoSpaceDN w:val="0"/>
            <w:ind w:hanging="640"/>
            <w:divId w:val="1857690894"/>
            <w:rPr>
              <w:rFonts w:eastAsia="Times New Roman"/>
            </w:rPr>
          </w:pPr>
          <w:r>
            <w:rPr>
              <w:rFonts w:eastAsia="Times New Roman"/>
            </w:rPr>
            <w:t xml:space="preserve">51. </w:t>
          </w:r>
          <w:r>
            <w:rPr>
              <w:rFonts w:eastAsia="Times New Roman"/>
            </w:rPr>
            <w:tab/>
            <w:t>Grønseth R, Erdal M, Tan WC, Obaseki DO, Amaral AFS, Gislason T, et al. Unemployment in chronic airflow obstruction around the world: results from the BOLD study. Eur Respir J. 2017;50. doi:10.1183/13993003.00499-2017</w:t>
          </w:r>
        </w:p>
        <w:p w14:paraId="3EABFB8C" w14:textId="77777777" w:rsidR="00572E88" w:rsidRDefault="00572E88">
          <w:pPr>
            <w:autoSpaceDE w:val="0"/>
            <w:autoSpaceDN w:val="0"/>
            <w:ind w:hanging="640"/>
            <w:divId w:val="7609260"/>
            <w:rPr>
              <w:rFonts w:eastAsia="Times New Roman"/>
            </w:rPr>
          </w:pPr>
          <w:r>
            <w:rPr>
              <w:rFonts w:eastAsia="Times New Roman"/>
            </w:rPr>
            <w:t xml:space="preserve">52. </w:t>
          </w:r>
          <w:r>
            <w:rPr>
              <w:rFonts w:eastAsia="Times New Roman"/>
            </w:rPr>
            <w:tab/>
            <w:t xml:space="preserve">Rai KK, Adab P, Ayres JG, Jordan RE. Systematic review: chronic obstructive pulmonary disease and work-related outcomes. </w:t>
          </w:r>
          <w:proofErr w:type="spellStart"/>
          <w:r>
            <w:rPr>
              <w:rFonts w:eastAsia="Times New Roman"/>
            </w:rPr>
            <w:t>Occup</w:t>
          </w:r>
          <w:proofErr w:type="spellEnd"/>
          <w:r>
            <w:rPr>
              <w:rFonts w:eastAsia="Times New Roman"/>
            </w:rPr>
            <w:t xml:space="preserve"> Med (Chic Ill). 2018;68: 99–108. doi:10.1093/OCCMED/KQY012</w:t>
          </w:r>
        </w:p>
        <w:p w14:paraId="66DDF2C3" w14:textId="77777777" w:rsidR="00572E88" w:rsidRDefault="00572E88">
          <w:pPr>
            <w:autoSpaceDE w:val="0"/>
            <w:autoSpaceDN w:val="0"/>
            <w:ind w:hanging="640"/>
            <w:divId w:val="156969323"/>
            <w:rPr>
              <w:rFonts w:eastAsia="Times New Roman"/>
            </w:rPr>
          </w:pPr>
          <w:r>
            <w:rPr>
              <w:rFonts w:eastAsia="Times New Roman"/>
            </w:rPr>
            <w:t xml:space="preserve">53. </w:t>
          </w:r>
          <w:r>
            <w:rPr>
              <w:rFonts w:eastAsia="Times New Roman"/>
            </w:rPr>
            <w:tab/>
            <w:t xml:space="preserve">Abdelwahab HW, </w:t>
          </w:r>
          <w:proofErr w:type="spellStart"/>
          <w:r>
            <w:rPr>
              <w:rFonts w:eastAsia="Times New Roman"/>
            </w:rPr>
            <w:t>Sehsah</w:t>
          </w:r>
          <w:proofErr w:type="spellEnd"/>
          <w:r>
            <w:rPr>
              <w:rFonts w:eastAsia="Times New Roman"/>
            </w:rPr>
            <w:t xml:space="preserve"> R, El-</w:t>
          </w:r>
          <w:proofErr w:type="spellStart"/>
          <w:r>
            <w:rPr>
              <w:rFonts w:eastAsia="Times New Roman"/>
            </w:rPr>
            <w:t>Gilany</w:t>
          </w:r>
          <w:proofErr w:type="spellEnd"/>
          <w:r>
            <w:rPr>
              <w:rFonts w:eastAsia="Times New Roman"/>
            </w:rPr>
            <w:t xml:space="preserve"> AH, </w:t>
          </w:r>
          <w:proofErr w:type="spellStart"/>
          <w:r>
            <w:rPr>
              <w:rFonts w:eastAsia="Times New Roman"/>
            </w:rPr>
            <w:t>Shehta</w:t>
          </w:r>
          <w:proofErr w:type="spellEnd"/>
          <w:r>
            <w:rPr>
              <w:rFonts w:eastAsia="Times New Roman"/>
            </w:rPr>
            <w:t xml:space="preserve"> M. Factors affecting work productivity and activity impairment among chronic obstructive pulmonary disease patients. Ind Health. 2024;62: 20. doi:10.2486/INDHEALTH.2022-0174</w:t>
          </w:r>
        </w:p>
        <w:p w14:paraId="6BB718ED" w14:textId="77777777" w:rsidR="00572E88" w:rsidRDefault="00572E88">
          <w:pPr>
            <w:autoSpaceDE w:val="0"/>
            <w:autoSpaceDN w:val="0"/>
            <w:ind w:hanging="640"/>
            <w:divId w:val="1092510374"/>
            <w:rPr>
              <w:rFonts w:eastAsia="Times New Roman"/>
            </w:rPr>
          </w:pPr>
          <w:r>
            <w:rPr>
              <w:rFonts w:eastAsia="Times New Roman"/>
            </w:rPr>
            <w:lastRenderedPageBreak/>
            <w:t xml:space="preserve">54. </w:t>
          </w:r>
          <w:r>
            <w:rPr>
              <w:rFonts w:eastAsia="Times New Roman"/>
            </w:rPr>
            <w:tab/>
            <w:t xml:space="preserve">Schofield SJ, Woods A, </w:t>
          </w:r>
          <w:proofErr w:type="spellStart"/>
          <w:r>
            <w:rPr>
              <w:rFonts w:eastAsia="Times New Roman"/>
            </w:rPr>
            <w:t>Szram</w:t>
          </w:r>
          <w:proofErr w:type="spellEnd"/>
          <w:r>
            <w:rPr>
              <w:rFonts w:eastAsia="Times New Roman"/>
            </w:rPr>
            <w:t xml:space="preserve"> J, Newman Taylor AJ, Cullinan P. Chronic obstructive pulmonary disease and breathlessness in older workers predict economic inactivity a prospective cohort study. Am J Respir Crit Care Med. 2019;200: 1228–1233. </w:t>
          </w:r>
          <w:proofErr w:type="gramStart"/>
          <w:r>
            <w:rPr>
              <w:rFonts w:eastAsia="Times New Roman"/>
            </w:rPr>
            <w:t>doi:10.1164/RCCM.201902-0297OC/SUPPL_FILE/DISCLOSURES.PDF</w:t>
          </w:r>
          <w:proofErr w:type="gramEnd"/>
        </w:p>
        <w:p w14:paraId="6A442020" w14:textId="77777777" w:rsidR="00572E88" w:rsidRDefault="00572E88">
          <w:pPr>
            <w:autoSpaceDE w:val="0"/>
            <w:autoSpaceDN w:val="0"/>
            <w:ind w:hanging="640"/>
            <w:divId w:val="997657435"/>
            <w:rPr>
              <w:rFonts w:eastAsia="Times New Roman"/>
            </w:rPr>
          </w:pPr>
          <w:r>
            <w:rPr>
              <w:rFonts w:eastAsia="Times New Roman"/>
            </w:rPr>
            <w:t xml:space="preserve">55. </w:t>
          </w:r>
          <w:r>
            <w:rPr>
              <w:rFonts w:eastAsia="Times New Roman"/>
            </w:rPr>
            <w:tab/>
            <w:t xml:space="preserve">Jacobsen PA, Kragholm KH, Torp-Pedersen C, Janssen DJA, Spruit MA, Weinreich UM. Employment Status, Readmission and Mortality After Acute Exacerbation of COPD. Int J Chron Obstruct </w:t>
          </w:r>
          <w:proofErr w:type="spellStart"/>
          <w:r>
            <w:rPr>
              <w:rFonts w:eastAsia="Times New Roman"/>
            </w:rPr>
            <w:t>Pulmon</w:t>
          </w:r>
          <w:proofErr w:type="spellEnd"/>
          <w:r>
            <w:rPr>
              <w:rFonts w:eastAsia="Times New Roman"/>
            </w:rPr>
            <w:t xml:space="preserve"> Dis. 2021;16: 2257. doi:10.2147/COPD.S319840</w:t>
          </w:r>
        </w:p>
        <w:p w14:paraId="52915858" w14:textId="77777777" w:rsidR="00572E88" w:rsidRDefault="00572E88">
          <w:pPr>
            <w:autoSpaceDE w:val="0"/>
            <w:autoSpaceDN w:val="0"/>
            <w:ind w:hanging="640"/>
            <w:divId w:val="876282397"/>
            <w:rPr>
              <w:rFonts w:eastAsia="Times New Roman"/>
            </w:rPr>
          </w:pPr>
          <w:r>
            <w:rPr>
              <w:rFonts w:eastAsia="Times New Roman"/>
            </w:rPr>
            <w:t xml:space="preserve">56. </w:t>
          </w:r>
          <w:r>
            <w:rPr>
              <w:rFonts w:eastAsia="Times New Roman"/>
            </w:rPr>
            <w:tab/>
            <w:t xml:space="preserve">Jacobsen PA, Kragholm K, Torp-Pedersen C, Weinreich UM. Disability Retirement After First Admission with Acute Exacerbation of Chronic Obstructive Pulmonary Disease: A Danish Nationwide Registry Cohort Study Using a Retrospective Follow-Up Design. Int J Chron Obstruct </w:t>
          </w:r>
          <w:proofErr w:type="spellStart"/>
          <w:r>
            <w:rPr>
              <w:rFonts w:eastAsia="Times New Roman"/>
            </w:rPr>
            <w:t>Pulmon</w:t>
          </w:r>
          <w:proofErr w:type="spellEnd"/>
          <w:r>
            <w:rPr>
              <w:rFonts w:eastAsia="Times New Roman"/>
            </w:rPr>
            <w:t xml:space="preserve"> Dis. 2022;17: 2541. doi:10.2147/COPD.S377311</w:t>
          </w:r>
        </w:p>
        <w:p w14:paraId="2CF71750" w14:textId="77777777" w:rsidR="00572E88" w:rsidRDefault="00572E88">
          <w:pPr>
            <w:autoSpaceDE w:val="0"/>
            <w:autoSpaceDN w:val="0"/>
            <w:ind w:hanging="640"/>
            <w:divId w:val="375619045"/>
            <w:rPr>
              <w:rFonts w:eastAsia="Times New Roman"/>
            </w:rPr>
          </w:pPr>
          <w:r>
            <w:rPr>
              <w:rFonts w:eastAsia="Times New Roman"/>
            </w:rPr>
            <w:t xml:space="preserve">57. </w:t>
          </w:r>
          <w:r>
            <w:rPr>
              <w:rFonts w:eastAsia="Times New Roman"/>
            </w:rPr>
            <w:tab/>
          </w:r>
          <w:proofErr w:type="spellStart"/>
          <w:r>
            <w:rPr>
              <w:rFonts w:eastAsia="Times New Roman"/>
            </w:rPr>
            <w:t>Syamlal</w:t>
          </w:r>
          <w:proofErr w:type="spellEnd"/>
          <w:r>
            <w:rPr>
              <w:rFonts w:eastAsia="Times New Roman"/>
            </w:rPr>
            <w:t xml:space="preserve"> G, Doney B, Hendricks S, Mazurek JM. Chronic Obstructive Pulmonary Disease and U.S. Workers: Prevalence, Trends, and Attributable Cases Associated </w:t>
          </w:r>
          <w:proofErr w:type="gramStart"/>
          <w:r>
            <w:rPr>
              <w:rFonts w:eastAsia="Times New Roman"/>
            </w:rPr>
            <w:t>With</w:t>
          </w:r>
          <w:proofErr w:type="gramEnd"/>
          <w:r>
            <w:rPr>
              <w:rFonts w:eastAsia="Times New Roman"/>
            </w:rPr>
            <w:t xml:space="preserve"> Work. Am J Prev Med. 2021;61: e127. </w:t>
          </w:r>
          <w:proofErr w:type="gramStart"/>
          <w:r>
            <w:rPr>
              <w:rFonts w:eastAsia="Times New Roman"/>
            </w:rPr>
            <w:t>doi:10.1016/J.AMEPRE</w:t>
          </w:r>
          <w:proofErr w:type="gramEnd"/>
          <w:r>
            <w:rPr>
              <w:rFonts w:eastAsia="Times New Roman"/>
            </w:rPr>
            <w:t>.2021.04.011</w:t>
          </w:r>
        </w:p>
        <w:p w14:paraId="1E462EC2" w14:textId="77777777" w:rsidR="00572E88" w:rsidRDefault="00572E88">
          <w:pPr>
            <w:autoSpaceDE w:val="0"/>
            <w:autoSpaceDN w:val="0"/>
            <w:ind w:hanging="640"/>
            <w:divId w:val="1252003873"/>
            <w:rPr>
              <w:rFonts w:eastAsia="Times New Roman"/>
            </w:rPr>
          </w:pPr>
          <w:r>
            <w:rPr>
              <w:rFonts w:eastAsia="Times New Roman"/>
            </w:rPr>
            <w:t xml:space="preserve">58. </w:t>
          </w:r>
          <w:r>
            <w:rPr>
              <w:rFonts w:eastAsia="Times New Roman"/>
            </w:rPr>
            <w:tab/>
            <w:t>Wheaton A, Cunningham T, Ford E, Croft J. Employment and activity limitations among adults with chronic obstructive pulmonary disease--United States, 2013 - PubMed. MMWR. 2015;64: 289–295. Available: https://pubmed.ncbi.nlm.nih.gov/25811677/</w:t>
          </w:r>
        </w:p>
        <w:p w14:paraId="057C8207" w14:textId="77777777" w:rsidR="00572E88" w:rsidRDefault="00572E88">
          <w:pPr>
            <w:autoSpaceDE w:val="0"/>
            <w:autoSpaceDN w:val="0"/>
            <w:ind w:hanging="640"/>
            <w:divId w:val="1733848112"/>
            <w:rPr>
              <w:rFonts w:eastAsia="Times New Roman"/>
            </w:rPr>
          </w:pPr>
          <w:r>
            <w:rPr>
              <w:rFonts w:eastAsia="Times New Roman"/>
            </w:rPr>
            <w:t xml:space="preserve">59. </w:t>
          </w:r>
          <w:r>
            <w:rPr>
              <w:rFonts w:eastAsia="Times New Roman"/>
            </w:rPr>
            <w:tab/>
            <w:t xml:space="preserve">Patel JG, Coutinho AD, </w:t>
          </w:r>
          <w:proofErr w:type="spellStart"/>
          <w:r>
            <w:rPr>
              <w:rFonts w:eastAsia="Times New Roman"/>
            </w:rPr>
            <w:t>Lunacsek</w:t>
          </w:r>
          <w:proofErr w:type="spellEnd"/>
          <w:r>
            <w:rPr>
              <w:rFonts w:eastAsia="Times New Roman"/>
            </w:rPr>
            <w:t xml:space="preserve"> OE, Dalal AA. COPD affects worker productivity and health care costs. Int J Chron Obstruct </w:t>
          </w:r>
          <w:proofErr w:type="spellStart"/>
          <w:r>
            <w:rPr>
              <w:rFonts w:eastAsia="Times New Roman"/>
            </w:rPr>
            <w:t>Pulmon</w:t>
          </w:r>
          <w:proofErr w:type="spellEnd"/>
          <w:r>
            <w:rPr>
              <w:rFonts w:eastAsia="Times New Roman"/>
            </w:rPr>
            <w:t xml:space="preserve"> Dis. 2018;13: 2301. doi:10.2147/COPD.S163795</w:t>
          </w:r>
        </w:p>
        <w:p w14:paraId="1494E6D7" w14:textId="77777777" w:rsidR="00572E88" w:rsidRDefault="00572E88">
          <w:pPr>
            <w:autoSpaceDE w:val="0"/>
            <w:autoSpaceDN w:val="0"/>
            <w:ind w:hanging="640"/>
            <w:divId w:val="1682851725"/>
            <w:rPr>
              <w:rFonts w:eastAsia="Times New Roman"/>
            </w:rPr>
          </w:pPr>
          <w:r>
            <w:rPr>
              <w:rFonts w:eastAsia="Times New Roman"/>
            </w:rPr>
            <w:t xml:space="preserve">60. </w:t>
          </w:r>
          <w:r>
            <w:rPr>
              <w:rFonts w:eastAsia="Times New Roman"/>
            </w:rPr>
            <w:tab/>
            <w:t xml:space="preserve">Aaron SD, Gershon AS, Gao Y, Yang J, Whitmore GA. Influence of country-level differences on COPD prevalence. Int J Chron Obstruct </w:t>
          </w:r>
          <w:proofErr w:type="spellStart"/>
          <w:r>
            <w:rPr>
              <w:rFonts w:eastAsia="Times New Roman"/>
            </w:rPr>
            <w:t>Pulmon</w:t>
          </w:r>
          <w:proofErr w:type="spellEnd"/>
          <w:r>
            <w:rPr>
              <w:rFonts w:eastAsia="Times New Roman"/>
            </w:rPr>
            <w:t xml:space="preserve"> Dis. 2016;11: 2305–2313. doi:10.2147/COPD.S113868</w:t>
          </w:r>
        </w:p>
        <w:p w14:paraId="2F688499" w14:textId="77777777" w:rsidR="00572E88" w:rsidRDefault="00572E88">
          <w:pPr>
            <w:autoSpaceDE w:val="0"/>
            <w:autoSpaceDN w:val="0"/>
            <w:ind w:hanging="640"/>
            <w:divId w:val="1500802561"/>
            <w:rPr>
              <w:rFonts w:eastAsia="Times New Roman"/>
            </w:rPr>
          </w:pPr>
          <w:r>
            <w:rPr>
              <w:rFonts w:eastAsia="Times New Roman"/>
            </w:rPr>
            <w:t xml:space="preserve">61. </w:t>
          </w:r>
          <w:r>
            <w:rPr>
              <w:rFonts w:eastAsia="Times New Roman"/>
            </w:rPr>
            <w:tab/>
            <w:t>Soriano JB, Kendrick PJ, Paulson KR, Gupta V, Abrams EM, Adedoyin RA, et al. Prevalence and attributable health burden of chronic respiratory diseases, 1990–2017: a systematic analysis for the Global Burden of Disease Study 2017. Lancet Respir Med. 2020;8: 585. doi:10.1016/S2213-2600(20)30105-3</w:t>
          </w:r>
        </w:p>
        <w:p w14:paraId="57B3A7CA" w14:textId="77777777" w:rsidR="00572E88" w:rsidRDefault="00572E88">
          <w:pPr>
            <w:autoSpaceDE w:val="0"/>
            <w:autoSpaceDN w:val="0"/>
            <w:ind w:hanging="640"/>
            <w:divId w:val="326860372"/>
            <w:rPr>
              <w:rFonts w:eastAsia="Times New Roman"/>
            </w:rPr>
          </w:pPr>
          <w:r>
            <w:rPr>
              <w:rFonts w:eastAsia="Times New Roman"/>
            </w:rPr>
            <w:t xml:space="preserve">62. </w:t>
          </w:r>
          <w:r>
            <w:rPr>
              <w:rFonts w:eastAsia="Times New Roman"/>
            </w:rPr>
            <w:tab/>
          </w:r>
          <w:proofErr w:type="spellStart"/>
          <w:r>
            <w:rPr>
              <w:rFonts w:eastAsia="Times New Roman"/>
            </w:rPr>
            <w:t>Momtazmanesh</w:t>
          </w:r>
          <w:proofErr w:type="spellEnd"/>
          <w:r>
            <w:rPr>
              <w:rFonts w:eastAsia="Times New Roman"/>
            </w:rPr>
            <w:t xml:space="preserve"> S, Moghaddam SS, </w:t>
          </w:r>
          <w:proofErr w:type="spellStart"/>
          <w:r>
            <w:rPr>
              <w:rFonts w:eastAsia="Times New Roman"/>
            </w:rPr>
            <w:t>Ghamari</w:t>
          </w:r>
          <w:proofErr w:type="spellEnd"/>
          <w:r>
            <w:rPr>
              <w:rFonts w:eastAsia="Times New Roman"/>
            </w:rPr>
            <w:t xml:space="preserve"> SH, Rad EM, Rezaei N, </w:t>
          </w:r>
          <w:proofErr w:type="spellStart"/>
          <w:r>
            <w:rPr>
              <w:rFonts w:eastAsia="Times New Roman"/>
            </w:rPr>
            <w:t>Shobeiri</w:t>
          </w:r>
          <w:proofErr w:type="spellEnd"/>
          <w:r>
            <w:rPr>
              <w:rFonts w:eastAsia="Times New Roman"/>
            </w:rPr>
            <w:t xml:space="preserve"> P, et al. Global burden of chronic respiratory diseases and risk factors, 1990–2019: an update from the Global Burden of Disease Study 2019. </w:t>
          </w:r>
          <w:proofErr w:type="spellStart"/>
          <w:r>
            <w:rPr>
              <w:rFonts w:eastAsia="Times New Roman"/>
            </w:rPr>
            <w:t>EClinicalMedicine</w:t>
          </w:r>
          <w:proofErr w:type="spellEnd"/>
          <w:r>
            <w:rPr>
              <w:rFonts w:eastAsia="Times New Roman"/>
            </w:rPr>
            <w:t xml:space="preserve">. 2023;59: 101936. </w:t>
          </w:r>
          <w:proofErr w:type="gramStart"/>
          <w:r>
            <w:rPr>
              <w:rFonts w:eastAsia="Times New Roman"/>
            </w:rPr>
            <w:t>doi:10.1016/J.ECLINM</w:t>
          </w:r>
          <w:proofErr w:type="gramEnd"/>
          <w:r>
            <w:rPr>
              <w:rFonts w:eastAsia="Times New Roman"/>
            </w:rPr>
            <w:t>.2023.101936</w:t>
          </w:r>
        </w:p>
        <w:p w14:paraId="2238D1CB" w14:textId="77777777" w:rsidR="00572E88" w:rsidRDefault="00572E88">
          <w:pPr>
            <w:autoSpaceDE w:val="0"/>
            <w:autoSpaceDN w:val="0"/>
            <w:ind w:hanging="640"/>
            <w:divId w:val="2113209659"/>
            <w:rPr>
              <w:rFonts w:eastAsia="Times New Roman"/>
            </w:rPr>
          </w:pPr>
          <w:r>
            <w:rPr>
              <w:rFonts w:eastAsia="Times New Roman"/>
            </w:rPr>
            <w:lastRenderedPageBreak/>
            <w:t xml:space="preserve">63. </w:t>
          </w:r>
          <w:r>
            <w:rPr>
              <w:rFonts w:eastAsia="Times New Roman"/>
            </w:rPr>
            <w:tab/>
            <w:t xml:space="preserve">Blanco I, Diego I, Bueno P, Fernández E, Casas-Maldonado F, </w:t>
          </w:r>
          <w:proofErr w:type="spellStart"/>
          <w:r>
            <w:rPr>
              <w:rFonts w:eastAsia="Times New Roman"/>
            </w:rPr>
            <w:t>Esquinas</w:t>
          </w:r>
          <w:proofErr w:type="spellEnd"/>
          <w:r>
            <w:rPr>
              <w:rFonts w:eastAsia="Times New Roman"/>
            </w:rPr>
            <w:t xml:space="preserve"> C, et al. Geographical distribution of COPD prevalence in Europe, estimated by an inverse distance weighting interpolation technique. Int J Chron Obstruct </w:t>
          </w:r>
          <w:proofErr w:type="spellStart"/>
          <w:r>
            <w:rPr>
              <w:rFonts w:eastAsia="Times New Roman"/>
            </w:rPr>
            <w:t>Pulmon</w:t>
          </w:r>
          <w:proofErr w:type="spellEnd"/>
          <w:r>
            <w:rPr>
              <w:rFonts w:eastAsia="Times New Roman"/>
            </w:rPr>
            <w:t xml:space="preserve"> Dis. 2017;13: 57–67. doi:10.2147/COPD.S150853</w:t>
          </w:r>
        </w:p>
        <w:p w14:paraId="78D51150" w14:textId="77777777" w:rsidR="00572E88" w:rsidRDefault="00572E88">
          <w:pPr>
            <w:autoSpaceDE w:val="0"/>
            <w:autoSpaceDN w:val="0"/>
            <w:ind w:hanging="640"/>
            <w:divId w:val="1195651287"/>
            <w:rPr>
              <w:rFonts w:eastAsia="Times New Roman"/>
            </w:rPr>
          </w:pPr>
          <w:r>
            <w:rPr>
              <w:rFonts w:eastAsia="Times New Roman"/>
            </w:rPr>
            <w:t xml:space="preserve">64. </w:t>
          </w:r>
          <w:r>
            <w:rPr>
              <w:rFonts w:eastAsia="Times New Roman"/>
            </w:rPr>
            <w:tab/>
            <w:t xml:space="preserve">Blanco I, Diego I, Bueno P, Fernández E, Casas-Maldonado F, </w:t>
          </w:r>
          <w:proofErr w:type="spellStart"/>
          <w:r>
            <w:rPr>
              <w:rFonts w:eastAsia="Times New Roman"/>
            </w:rPr>
            <w:t>Esquinas</w:t>
          </w:r>
          <w:proofErr w:type="spellEnd"/>
          <w:r>
            <w:rPr>
              <w:rFonts w:eastAsia="Times New Roman"/>
            </w:rPr>
            <w:t xml:space="preserve"> C, et al. Geographical Distribution of COPD Prevalence in the Americas. https://doi.org/101080/1541255520181481936. 2018;15: 317–325. doi:10.1080/15412555.2018.1481936</w:t>
          </w:r>
        </w:p>
        <w:p w14:paraId="21062F96" w14:textId="77777777" w:rsidR="00572E88" w:rsidRDefault="00572E88">
          <w:pPr>
            <w:autoSpaceDE w:val="0"/>
            <w:autoSpaceDN w:val="0"/>
            <w:ind w:hanging="640"/>
            <w:divId w:val="168065574"/>
            <w:rPr>
              <w:rFonts w:eastAsia="Times New Roman"/>
            </w:rPr>
          </w:pPr>
          <w:r>
            <w:rPr>
              <w:rFonts w:eastAsia="Times New Roman"/>
            </w:rPr>
            <w:t xml:space="preserve">65. </w:t>
          </w:r>
          <w:r>
            <w:rPr>
              <w:rFonts w:eastAsia="Times New Roman"/>
            </w:rPr>
            <w:tab/>
            <w:t xml:space="preserve">Wang N, Cong S, Fan J, Bao H, Wang B, Yang T, et al. Geographical Disparity and Associated Factors of COPD Prevalence in China: A Spatial Analysis of National Cross-Sectional Study. Int J Chron Obstruct </w:t>
          </w:r>
          <w:proofErr w:type="spellStart"/>
          <w:r>
            <w:rPr>
              <w:rFonts w:eastAsia="Times New Roman"/>
            </w:rPr>
            <w:t>Pulmon</w:t>
          </w:r>
          <w:proofErr w:type="spellEnd"/>
          <w:r>
            <w:rPr>
              <w:rFonts w:eastAsia="Times New Roman"/>
            </w:rPr>
            <w:t xml:space="preserve"> Dis. 2020;15: 367–377. doi:10.2147/COPD.S234042</w:t>
          </w:r>
        </w:p>
        <w:p w14:paraId="055C5B59" w14:textId="77777777" w:rsidR="00572E88" w:rsidRDefault="00572E88">
          <w:pPr>
            <w:autoSpaceDE w:val="0"/>
            <w:autoSpaceDN w:val="0"/>
            <w:ind w:hanging="640"/>
            <w:divId w:val="565341354"/>
            <w:rPr>
              <w:rFonts w:eastAsia="Times New Roman"/>
            </w:rPr>
          </w:pPr>
          <w:r>
            <w:rPr>
              <w:rFonts w:eastAsia="Times New Roman"/>
            </w:rPr>
            <w:t xml:space="preserve">66. </w:t>
          </w:r>
          <w:r>
            <w:rPr>
              <w:rFonts w:eastAsia="Times New Roman"/>
            </w:rPr>
            <w:tab/>
            <w:t xml:space="preserve">Davies S, </w:t>
          </w:r>
          <w:proofErr w:type="spellStart"/>
          <w:r>
            <w:rPr>
              <w:rFonts w:eastAsia="Times New Roman"/>
            </w:rPr>
            <w:t>Konings</w:t>
          </w:r>
          <w:proofErr w:type="spellEnd"/>
          <w:r>
            <w:rPr>
              <w:rFonts w:eastAsia="Times New Roman"/>
            </w:rPr>
            <w:t xml:space="preserve"> P, Lal A. Spatial Analysis of the Neighborhood Risk Factors for Respiratory Health in the Australian Capital Territory (ACT): Implications for Emergency Planning. Int J Environ Res Public Health. 2020;17: 1–17. doi:10.3390/IJERPH17176396</w:t>
          </w:r>
        </w:p>
        <w:p w14:paraId="43290E3E" w14:textId="77777777" w:rsidR="00572E88" w:rsidRDefault="00572E88">
          <w:pPr>
            <w:autoSpaceDE w:val="0"/>
            <w:autoSpaceDN w:val="0"/>
            <w:ind w:hanging="640"/>
            <w:divId w:val="140738059"/>
            <w:rPr>
              <w:rFonts w:eastAsia="Times New Roman"/>
            </w:rPr>
          </w:pPr>
          <w:r>
            <w:rPr>
              <w:rFonts w:eastAsia="Times New Roman"/>
            </w:rPr>
            <w:t xml:space="preserve">67. </w:t>
          </w:r>
          <w:r>
            <w:rPr>
              <w:rFonts w:eastAsia="Times New Roman"/>
            </w:rPr>
            <w:tab/>
            <w:t xml:space="preserve">Halvorsen T, Martinussen PE. The geography of chronic obstructive pulmonary disease: a population-based study of Norway. Soc Sci Med. 2014;111: 25–34. </w:t>
          </w:r>
          <w:proofErr w:type="gramStart"/>
          <w:r>
            <w:rPr>
              <w:rFonts w:eastAsia="Times New Roman"/>
            </w:rPr>
            <w:t>doi:10.1016/J.SOCSCIMED</w:t>
          </w:r>
          <w:proofErr w:type="gramEnd"/>
          <w:r>
            <w:rPr>
              <w:rFonts w:eastAsia="Times New Roman"/>
            </w:rPr>
            <w:t>.2014.03.018</w:t>
          </w:r>
        </w:p>
        <w:p w14:paraId="1914411C" w14:textId="77777777" w:rsidR="00572E88" w:rsidRDefault="00572E88">
          <w:pPr>
            <w:autoSpaceDE w:val="0"/>
            <w:autoSpaceDN w:val="0"/>
            <w:ind w:hanging="640"/>
            <w:divId w:val="1949924279"/>
            <w:rPr>
              <w:rFonts w:eastAsia="Times New Roman"/>
            </w:rPr>
          </w:pPr>
          <w:r>
            <w:rPr>
              <w:rFonts w:eastAsia="Times New Roman"/>
            </w:rPr>
            <w:t xml:space="preserve">68. </w:t>
          </w:r>
          <w:r>
            <w:rPr>
              <w:rFonts w:eastAsia="Times New Roman"/>
            </w:rPr>
            <w:tab/>
          </w:r>
          <w:proofErr w:type="spellStart"/>
          <w:r>
            <w:rPr>
              <w:rFonts w:eastAsia="Times New Roman"/>
            </w:rPr>
            <w:t>Kauhl</w:t>
          </w:r>
          <w:proofErr w:type="spellEnd"/>
          <w:r>
            <w:rPr>
              <w:rFonts w:eastAsia="Times New Roman"/>
            </w:rPr>
            <w:t xml:space="preserve"> B, Maier W, Schweikart J, </w:t>
          </w:r>
          <w:proofErr w:type="spellStart"/>
          <w:r>
            <w:rPr>
              <w:rFonts w:eastAsia="Times New Roman"/>
            </w:rPr>
            <w:t>Keste</w:t>
          </w:r>
          <w:proofErr w:type="spellEnd"/>
          <w:r>
            <w:rPr>
              <w:rFonts w:eastAsia="Times New Roman"/>
            </w:rPr>
            <w:t xml:space="preserve"> A, </w:t>
          </w:r>
          <w:proofErr w:type="spellStart"/>
          <w:r>
            <w:rPr>
              <w:rFonts w:eastAsia="Times New Roman"/>
            </w:rPr>
            <w:t>Moskwyn</w:t>
          </w:r>
          <w:proofErr w:type="spellEnd"/>
          <w:r>
            <w:rPr>
              <w:rFonts w:eastAsia="Times New Roman"/>
            </w:rPr>
            <w:t xml:space="preserve"> M. Who is where at risk for Chronic Obstructive Pulmonary Disease? A spatial epidemiological analysis of health insurance claims for COPD in Northeastern Germany. </w:t>
          </w:r>
          <w:proofErr w:type="spellStart"/>
          <w:r>
            <w:rPr>
              <w:rFonts w:eastAsia="Times New Roman"/>
            </w:rPr>
            <w:t>PLoS</w:t>
          </w:r>
          <w:proofErr w:type="spellEnd"/>
          <w:r>
            <w:rPr>
              <w:rFonts w:eastAsia="Times New Roman"/>
            </w:rPr>
            <w:t xml:space="preserve"> One. 2018;13. </w:t>
          </w:r>
          <w:proofErr w:type="gramStart"/>
          <w:r>
            <w:rPr>
              <w:rFonts w:eastAsia="Times New Roman"/>
            </w:rPr>
            <w:t>doi:10.1371/JOURNAL.PONE</w:t>
          </w:r>
          <w:proofErr w:type="gramEnd"/>
          <w:r>
            <w:rPr>
              <w:rFonts w:eastAsia="Times New Roman"/>
            </w:rPr>
            <w:t>.0190865</w:t>
          </w:r>
        </w:p>
        <w:p w14:paraId="391287D2" w14:textId="77777777" w:rsidR="00572E88" w:rsidRDefault="00572E88">
          <w:pPr>
            <w:autoSpaceDE w:val="0"/>
            <w:autoSpaceDN w:val="0"/>
            <w:ind w:hanging="640"/>
            <w:divId w:val="287050154"/>
            <w:rPr>
              <w:rFonts w:eastAsia="Times New Roman"/>
            </w:rPr>
          </w:pPr>
          <w:r>
            <w:rPr>
              <w:rFonts w:eastAsia="Times New Roman"/>
            </w:rPr>
            <w:t xml:space="preserve">69. </w:t>
          </w:r>
          <w:r>
            <w:rPr>
              <w:rFonts w:eastAsia="Times New Roman"/>
            </w:rPr>
            <w:tab/>
            <w:t xml:space="preserve">Andrees V, der Kellen RB, Augustin M, Gallinat J, Harth V, Hoven H, et al. Spatial characteristics of non-communicable diseases and their associations to social conditions in a large urban cohort in Germany-Results from the Hamburg City Health Study. </w:t>
          </w:r>
          <w:proofErr w:type="spellStart"/>
          <w:r>
            <w:rPr>
              <w:rFonts w:eastAsia="Times New Roman"/>
            </w:rPr>
            <w:t>PLoS</w:t>
          </w:r>
          <w:proofErr w:type="spellEnd"/>
          <w:r>
            <w:rPr>
              <w:rFonts w:eastAsia="Times New Roman"/>
            </w:rPr>
            <w:t xml:space="preserve"> One. 2024;19. </w:t>
          </w:r>
          <w:proofErr w:type="gramStart"/>
          <w:r>
            <w:rPr>
              <w:rFonts w:eastAsia="Times New Roman"/>
            </w:rPr>
            <w:t>doi:10.1371/JOURNAL.PONE</w:t>
          </w:r>
          <w:proofErr w:type="gramEnd"/>
          <w:r>
            <w:rPr>
              <w:rFonts w:eastAsia="Times New Roman"/>
            </w:rPr>
            <w:t>.0301475</w:t>
          </w:r>
        </w:p>
        <w:p w14:paraId="16F1430E" w14:textId="77777777" w:rsidR="00572E88" w:rsidRDefault="00572E88">
          <w:pPr>
            <w:autoSpaceDE w:val="0"/>
            <w:autoSpaceDN w:val="0"/>
            <w:ind w:hanging="640"/>
            <w:divId w:val="644704091"/>
            <w:rPr>
              <w:rFonts w:eastAsia="Times New Roman"/>
            </w:rPr>
          </w:pPr>
          <w:r>
            <w:rPr>
              <w:rFonts w:eastAsia="Times New Roman"/>
            </w:rPr>
            <w:t xml:space="preserve">70. </w:t>
          </w:r>
          <w:r>
            <w:rPr>
              <w:rFonts w:eastAsia="Times New Roman"/>
            </w:rPr>
            <w:tab/>
            <w:t>Croft JB, Wheaton AG, Liu Y, Xu F, Lu H, Matthews KA, et al. Urban-Rural County and State Differences in Chronic Obstructive Pulmonary Disease — United States, 2015. Morbidity and Mortality Weekly Report. 2018;67: 205. doi:10.15585/MMWR.MM6707A1</w:t>
          </w:r>
        </w:p>
        <w:p w14:paraId="40A639AA" w14:textId="77777777" w:rsidR="00572E88" w:rsidRDefault="00572E88">
          <w:pPr>
            <w:autoSpaceDE w:val="0"/>
            <w:autoSpaceDN w:val="0"/>
            <w:ind w:hanging="640"/>
            <w:divId w:val="163709588"/>
            <w:rPr>
              <w:rFonts w:eastAsia="Times New Roman"/>
            </w:rPr>
          </w:pPr>
          <w:r>
            <w:rPr>
              <w:rFonts w:eastAsia="Times New Roman"/>
            </w:rPr>
            <w:t xml:space="preserve">71. </w:t>
          </w:r>
          <w:r>
            <w:rPr>
              <w:rFonts w:eastAsia="Times New Roman"/>
            </w:rPr>
            <w:tab/>
            <w:t xml:space="preserve">McDaniel JT. Prevalence of chronic obstructive pulmonary disease: county-level risk factors based on the Social Ecological Model. </w:t>
          </w:r>
          <w:proofErr w:type="spellStart"/>
          <w:r>
            <w:rPr>
              <w:rFonts w:eastAsia="Times New Roman"/>
            </w:rPr>
            <w:t>Perspect</w:t>
          </w:r>
          <w:proofErr w:type="spellEnd"/>
          <w:r>
            <w:rPr>
              <w:rFonts w:eastAsia="Times New Roman"/>
            </w:rPr>
            <w:t xml:space="preserve"> Public Health. 2018;138: 200–208. doi:10.1177/1757913918772598</w:t>
          </w:r>
        </w:p>
        <w:p w14:paraId="43FF16D5" w14:textId="77777777" w:rsidR="00572E88" w:rsidRDefault="00572E88">
          <w:pPr>
            <w:autoSpaceDE w:val="0"/>
            <w:autoSpaceDN w:val="0"/>
            <w:ind w:hanging="640"/>
            <w:divId w:val="1254976965"/>
            <w:rPr>
              <w:rFonts w:eastAsia="Times New Roman"/>
            </w:rPr>
          </w:pPr>
          <w:r>
            <w:rPr>
              <w:rFonts w:eastAsia="Times New Roman"/>
            </w:rPr>
            <w:lastRenderedPageBreak/>
            <w:t xml:space="preserve">72. </w:t>
          </w:r>
          <w:r>
            <w:rPr>
              <w:rFonts w:eastAsia="Times New Roman"/>
            </w:rPr>
            <w:tab/>
            <w:t xml:space="preserve">Lipton R, Banerjee A, Dowling KC, </w:t>
          </w:r>
          <w:proofErr w:type="spellStart"/>
          <w:r>
            <w:rPr>
              <w:rFonts w:eastAsia="Times New Roman"/>
            </w:rPr>
            <w:t>Treno</w:t>
          </w:r>
          <w:proofErr w:type="spellEnd"/>
          <w:r>
            <w:rPr>
              <w:rFonts w:eastAsia="Times New Roman"/>
            </w:rPr>
            <w:t xml:space="preserve"> AJ. The Geography of COPD Hospitalization in California. COPD: Journal of Chronic Obstructive Pulmonary Disease. 2005;2: 435–444. doi:10.1080/15412550500346543</w:t>
          </w:r>
        </w:p>
        <w:p w14:paraId="2C1BCEAF" w14:textId="77777777" w:rsidR="00572E88" w:rsidRDefault="00572E88">
          <w:pPr>
            <w:autoSpaceDE w:val="0"/>
            <w:autoSpaceDN w:val="0"/>
            <w:ind w:hanging="640"/>
            <w:divId w:val="1601647831"/>
            <w:rPr>
              <w:rFonts w:eastAsia="Times New Roman"/>
            </w:rPr>
          </w:pPr>
          <w:r>
            <w:rPr>
              <w:rFonts w:eastAsia="Times New Roman"/>
            </w:rPr>
            <w:t xml:space="preserve">73. </w:t>
          </w:r>
          <w:r>
            <w:rPr>
              <w:rFonts w:eastAsia="Times New Roman"/>
            </w:rPr>
            <w:tab/>
            <w:t>Lipton R, Banerjee A. The Geography of Chronic Obstructive Pulmonary Disease Across Time: California in 1993 and 1999. Int J Med Sci. 2007;4: 179. doi:10.7150/IJMS.4.179</w:t>
          </w:r>
        </w:p>
        <w:p w14:paraId="41D4D93B" w14:textId="77777777" w:rsidR="00572E88" w:rsidRDefault="00572E88">
          <w:pPr>
            <w:autoSpaceDE w:val="0"/>
            <w:autoSpaceDN w:val="0"/>
            <w:ind w:hanging="640"/>
            <w:divId w:val="648940187"/>
            <w:rPr>
              <w:rFonts w:eastAsia="Times New Roman"/>
            </w:rPr>
          </w:pPr>
          <w:r>
            <w:rPr>
              <w:rFonts w:eastAsia="Times New Roman"/>
            </w:rPr>
            <w:t xml:space="preserve">74. </w:t>
          </w:r>
          <w:r>
            <w:rPr>
              <w:rFonts w:eastAsia="Times New Roman"/>
            </w:rPr>
            <w:tab/>
            <w:t xml:space="preserve">Jackson BE, Suzuki S, Lo K, Su F, Singh KP, Coultas D, et al. Geographic disparity in COPD hospitalization rates among the Texas population. Respir Med. 2011;105: 734–739. </w:t>
          </w:r>
          <w:proofErr w:type="gramStart"/>
          <w:r>
            <w:rPr>
              <w:rFonts w:eastAsia="Times New Roman"/>
            </w:rPr>
            <w:t>doi:10.1016/J.RMED</w:t>
          </w:r>
          <w:proofErr w:type="gramEnd"/>
          <w:r>
            <w:rPr>
              <w:rFonts w:eastAsia="Times New Roman"/>
            </w:rPr>
            <w:t>.2010.12.019</w:t>
          </w:r>
        </w:p>
        <w:p w14:paraId="1D9E751E" w14:textId="77777777" w:rsidR="00572E88" w:rsidRDefault="00572E88">
          <w:pPr>
            <w:autoSpaceDE w:val="0"/>
            <w:autoSpaceDN w:val="0"/>
            <w:ind w:hanging="640"/>
            <w:divId w:val="1268733307"/>
            <w:rPr>
              <w:rFonts w:eastAsia="Times New Roman"/>
            </w:rPr>
          </w:pPr>
          <w:r>
            <w:rPr>
              <w:rFonts w:eastAsia="Times New Roman"/>
            </w:rPr>
            <w:t xml:space="preserve">75. </w:t>
          </w:r>
          <w:r>
            <w:rPr>
              <w:rFonts w:eastAsia="Times New Roman"/>
            </w:rPr>
            <w:tab/>
            <w:t xml:space="preserve">Farah C, Dean H, Iii H, Hock JM. Spatial prevalence and associations among respiratory diseases in Maine. 2014 [cited 8 May 2022]. </w:t>
          </w:r>
          <w:proofErr w:type="gramStart"/>
          <w:r>
            <w:rPr>
              <w:rFonts w:eastAsia="Times New Roman"/>
            </w:rPr>
            <w:t>doi:10.1016/j.sste</w:t>
          </w:r>
          <w:proofErr w:type="gramEnd"/>
          <w:r>
            <w:rPr>
              <w:rFonts w:eastAsia="Times New Roman"/>
            </w:rPr>
            <w:t>.2014.07.004</w:t>
          </w:r>
        </w:p>
        <w:p w14:paraId="62FFBAB7" w14:textId="77777777" w:rsidR="00572E88" w:rsidRDefault="00572E88">
          <w:pPr>
            <w:autoSpaceDE w:val="0"/>
            <w:autoSpaceDN w:val="0"/>
            <w:ind w:hanging="640"/>
            <w:divId w:val="994256503"/>
            <w:rPr>
              <w:rFonts w:eastAsia="Times New Roman"/>
            </w:rPr>
          </w:pPr>
          <w:r>
            <w:rPr>
              <w:rFonts w:eastAsia="Times New Roman"/>
            </w:rPr>
            <w:t xml:space="preserve">76. </w:t>
          </w:r>
          <w:r>
            <w:rPr>
              <w:rFonts w:eastAsia="Times New Roman"/>
            </w:rPr>
            <w:tab/>
            <w:t xml:space="preserve">Brown-Amilian S, </w:t>
          </w:r>
          <w:proofErr w:type="spellStart"/>
          <w:r>
            <w:rPr>
              <w:rFonts w:eastAsia="Times New Roman"/>
            </w:rPr>
            <w:t>Akolade</w:t>
          </w:r>
          <w:proofErr w:type="spellEnd"/>
          <w:r>
            <w:rPr>
              <w:rFonts w:eastAsia="Times New Roman"/>
            </w:rPr>
            <w:t xml:space="preserve"> Y. Disparities in COPD Hospitalizations: A Spatial Analysis of Proximity to Toxics Release Inventory Facilities in Illinois. Int J Environ Res Public Health. 2021;18. doi:10.3390/IJERPH182413128</w:t>
          </w:r>
        </w:p>
        <w:p w14:paraId="07AAEEE0" w14:textId="77777777" w:rsidR="00572E88" w:rsidRDefault="00572E88">
          <w:pPr>
            <w:autoSpaceDE w:val="0"/>
            <w:autoSpaceDN w:val="0"/>
            <w:ind w:hanging="640"/>
            <w:divId w:val="708838918"/>
            <w:rPr>
              <w:rFonts w:eastAsia="Times New Roman"/>
            </w:rPr>
          </w:pPr>
          <w:r>
            <w:rPr>
              <w:rFonts w:eastAsia="Times New Roman"/>
            </w:rPr>
            <w:t xml:space="preserve">77. </w:t>
          </w:r>
          <w:r>
            <w:rPr>
              <w:rFonts w:eastAsia="Times New Roman"/>
            </w:rPr>
            <w:tab/>
            <w:t xml:space="preserve">Kaushal A, Karimi M, Nazari R, Opare K, </w:t>
          </w:r>
          <w:proofErr w:type="spellStart"/>
          <w:r>
            <w:rPr>
              <w:rFonts w:eastAsia="Times New Roman"/>
            </w:rPr>
            <w:t>Museru</w:t>
          </w:r>
          <w:proofErr w:type="spellEnd"/>
          <w:r>
            <w:rPr>
              <w:rFonts w:eastAsia="Times New Roman"/>
            </w:rPr>
            <w:t xml:space="preserve"> M, Reza Nikoo M. Environmental exposure and respiratory health: Unraveling the impact of toxic release inventory facilities on COPD prevalence. Environ </w:t>
          </w:r>
          <w:proofErr w:type="spellStart"/>
          <w:r>
            <w:rPr>
              <w:rFonts w:eastAsia="Times New Roman"/>
            </w:rPr>
            <w:t>Pollut</w:t>
          </w:r>
          <w:proofErr w:type="spellEnd"/>
          <w:r>
            <w:rPr>
              <w:rFonts w:eastAsia="Times New Roman"/>
            </w:rPr>
            <w:t xml:space="preserve">. 2024;356. </w:t>
          </w:r>
          <w:proofErr w:type="gramStart"/>
          <w:r>
            <w:rPr>
              <w:rFonts w:eastAsia="Times New Roman"/>
            </w:rPr>
            <w:t>doi:10.1016/J.ENVPOL</w:t>
          </w:r>
          <w:proofErr w:type="gramEnd"/>
          <w:r>
            <w:rPr>
              <w:rFonts w:eastAsia="Times New Roman"/>
            </w:rPr>
            <w:t>.2024.124286</w:t>
          </w:r>
        </w:p>
        <w:p w14:paraId="439ACC89" w14:textId="77777777" w:rsidR="00572E88" w:rsidRDefault="00572E88">
          <w:pPr>
            <w:autoSpaceDE w:val="0"/>
            <w:autoSpaceDN w:val="0"/>
            <w:ind w:hanging="640"/>
            <w:divId w:val="426076935"/>
            <w:rPr>
              <w:rFonts w:eastAsia="Times New Roman"/>
            </w:rPr>
          </w:pPr>
          <w:r>
            <w:rPr>
              <w:rFonts w:eastAsia="Times New Roman"/>
            </w:rPr>
            <w:t xml:space="preserve">78. </w:t>
          </w:r>
          <w:r>
            <w:rPr>
              <w:rFonts w:eastAsia="Times New Roman"/>
            </w:rPr>
            <w:tab/>
            <w:t xml:space="preserve">Hicks A, Healy E, Sandeman N, </w:t>
          </w:r>
          <w:proofErr w:type="spellStart"/>
          <w:r>
            <w:rPr>
              <w:rFonts w:eastAsia="Times New Roman"/>
            </w:rPr>
            <w:t>Feelisch</w:t>
          </w:r>
          <w:proofErr w:type="spellEnd"/>
          <w:r>
            <w:rPr>
              <w:rFonts w:eastAsia="Times New Roman"/>
            </w:rPr>
            <w:t xml:space="preserve"> M, Wilkinson T. A time for everything and everything in its time – exploring the mechanisms underlying seasonality of COPD exacerbations. Int J Chron Obstruct </w:t>
          </w:r>
          <w:proofErr w:type="spellStart"/>
          <w:r>
            <w:rPr>
              <w:rFonts w:eastAsia="Times New Roman"/>
            </w:rPr>
            <w:t>Pulmon</w:t>
          </w:r>
          <w:proofErr w:type="spellEnd"/>
          <w:r>
            <w:rPr>
              <w:rFonts w:eastAsia="Times New Roman"/>
            </w:rPr>
            <w:t xml:space="preserve"> Dis. 2018;13: 2739. doi:10.2147/COPD.S146015</w:t>
          </w:r>
        </w:p>
        <w:p w14:paraId="24A57059" w14:textId="77777777" w:rsidR="00572E88" w:rsidRDefault="00572E88">
          <w:pPr>
            <w:autoSpaceDE w:val="0"/>
            <w:autoSpaceDN w:val="0"/>
            <w:ind w:hanging="640"/>
            <w:divId w:val="1628505022"/>
            <w:rPr>
              <w:rFonts w:eastAsia="Times New Roman"/>
            </w:rPr>
          </w:pPr>
          <w:r>
            <w:rPr>
              <w:rFonts w:eastAsia="Times New Roman"/>
            </w:rPr>
            <w:t xml:space="preserve">79. </w:t>
          </w:r>
          <w:r>
            <w:rPr>
              <w:rFonts w:eastAsia="Times New Roman"/>
            </w:rPr>
            <w:tab/>
            <w:t>Jenkins CR, Celli B, Anderson JA, Ferguson GT, Jones PW, Vestbo J, et al. Seasonality and determinants of moderate and severe COPD exacerbations in the TORCH study. European Respiratory Journal. 2011;39: 38–45. doi:10.1183/09031936.00194610</w:t>
          </w:r>
        </w:p>
        <w:p w14:paraId="79D3D23B" w14:textId="77777777" w:rsidR="00572E88" w:rsidRDefault="00572E88">
          <w:pPr>
            <w:autoSpaceDE w:val="0"/>
            <w:autoSpaceDN w:val="0"/>
            <w:ind w:hanging="640"/>
            <w:divId w:val="321007419"/>
            <w:rPr>
              <w:rFonts w:eastAsia="Times New Roman"/>
            </w:rPr>
          </w:pPr>
          <w:r>
            <w:rPr>
              <w:rFonts w:eastAsia="Times New Roman"/>
            </w:rPr>
            <w:t xml:space="preserve">80. </w:t>
          </w:r>
          <w:r>
            <w:rPr>
              <w:rFonts w:eastAsia="Times New Roman"/>
            </w:rPr>
            <w:tab/>
            <w:t xml:space="preserve">Rabe KF, Fabbri LM, </w:t>
          </w:r>
          <w:proofErr w:type="spellStart"/>
          <w:r>
            <w:rPr>
              <w:rFonts w:eastAsia="Times New Roman"/>
            </w:rPr>
            <w:t>Vogelmeier</w:t>
          </w:r>
          <w:proofErr w:type="spellEnd"/>
          <w:r>
            <w:rPr>
              <w:rFonts w:eastAsia="Times New Roman"/>
            </w:rPr>
            <w:t xml:space="preserve"> C, </w:t>
          </w:r>
          <w:proofErr w:type="spellStart"/>
          <w:r>
            <w:rPr>
              <w:rFonts w:eastAsia="Times New Roman"/>
            </w:rPr>
            <w:t>Kögler</w:t>
          </w:r>
          <w:proofErr w:type="spellEnd"/>
          <w:r>
            <w:rPr>
              <w:rFonts w:eastAsia="Times New Roman"/>
            </w:rPr>
            <w:t xml:space="preserve"> H, Schmidt H, Beeh KM, et al. Seasonal distribution of COPD exacerbations in the prevention of exacerbations with tiotropium in COPD trial. Chest. 2013;143: 711–719. doi:10.1378/chest.12-1277</w:t>
          </w:r>
        </w:p>
        <w:p w14:paraId="4E3521B6" w14:textId="77777777" w:rsidR="00572E88" w:rsidRDefault="00572E88">
          <w:pPr>
            <w:autoSpaceDE w:val="0"/>
            <w:autoSpaceDN w:val="0"/>
            <w:ind w:hanging="640"/>
            <w:divId w:val="1015886981"/>
            <w:rPr>
              <w:rFonts w:eastAsia="Times New Roman"/>
            </w:rPr>
          </w:pPr>
          <w:r>
            <w:rPr>
              <w:rFonts w:eastAsia="Times New Roman"/>
            </w:rPr>
            <w:t xml:space="preserve">81. </w:t>
          </w:r>
          <w:r>
            <w:rPr>
              <w:rFonts w:eastAsia="Times New Roman"/>
            </w:rPr>
            <w:tab/>
          </w:r>
          <w:proofErr w:type="spellStart"/>
          <w:r>
            <w:rPr>
              <w:rFonts w:eastAsia="Times New Roman"/>
            </w:rPr>
            <w:t>Sarc</w:t>
          </w:r>
          <w:proofErr w:type="spellEnd"/>
          <w:r>
            <w:rPr>
              <w:rFonts w:eastAsia="Times New Roman"/>
            </w:rPr>
            <w:t xml:space="preserve"> I, </w:t>
          </w:r>
          <w:proofErr w:type="spellStart"/>
          <w:r>
            <w:rPr>
              <w:rFonts w:eastAsia="Times New Roman"/>
            </w:rPr>
            <w:t>Lotric</w:t>
          </w:r>
          <w:proofErr w:type="spellEnd"/>
          <w:r>
            <w:rPr>
              <w:rFonts w:eastAsia="Times New Roman"/>
            </w:rPr>
            <w:t xml:space="preserve"> Dolinar A, Morgan T, </w:t>
          </w:r>
          <w:proofErr w:type="spellStart"/>
          <w:r>
            <w:rPr>
              <w:rFonts w:eastAsia="Times New Roman"/>
            </w:rPr>
            <w:t>Sambt</w:t>
          </w:r>
          <w:proofErr w:type="spellEnd"/>
          <w:r>
            <w:rPr>
              <w:rFonts w:eastAsia="Times New Roman"/>
            </w:rPr>
            <w:t xml:space="preserve"> J, </w:t>
          </w:r>
          <w:proofErr w:type="spellStart"/>
          <w:r>
            <w:rPr>
              <w:rFonts w:eastAsia="Times New Roman"/>
            </w:rPr>
            <w:t>Ziherl</w:t>
          </w:r>
          <w:proofErr w:type="spellEnd"/>
          <w:r>
            <w:rPr>
              <w:rFonts w:eastAsia="Times New Roman"/>
            </w:rPr>
            <w:t xml:space="preserve"> K, </w:t>
          </w:r>
          <w:proofErr w:type="spellStart"/>
          <w:r>
            <w:rPr>
              <w:rFonts w:eastAsia="Times New Roman"/>
            </w:rPr>
            <w:t>Gavric</w:t>
          </w:r>
          <w:proofErr w:type="spellEnd"/>
          <w:r>
            <w:rPr>
              <w:rFonts w:eastAsia="Times New Roman"/>
            </w:rPr>
            <w:t xml:space="preserve"> D, et al. Mortality, seasonal variation, and susceptibility to acute exacerbation of COPD in the pandemic year: a nationwide population study. Ther Adv Respir Dis. 2022;16: 17534666221081048. doi:10.1177/17534666221081047</w:t>
          </w:r>
        </w:p>
        <w:p w14:paraId="675B1BC1" w14:textId="77777777" w:rsidR="00572E88" w:rsidRDefault="00572E88">
          <w:pPr>
            <w:autoSpaceDE w:val="0"/>
            <w:autoSpaceDN w:val="0"/>
            <w:ind w:hanging="640"/>
            <w:divId w:val="19818612"/>
            <w:rPr>
              <w:rFonts w:eastAsia="Times New Roman"/>
            </w:rPr>
          </w:pPr>
          <w:r>
            <w:rPr>
              <w:rFonts w:eastAsia="Times New Roman"/>
            </w:rPr>
            <w:lastRenderedPageBreak/>
            <w:t xml:space="preserve">82. </w:t>
          </w:r>
          <w:r>
            <w:rPr>
              <w:rFonts w:eastAsia="Times New Roman"/>
            </w:rPr>
            <w:tab/>
          </w:r>
          <w:proofErr w:type="spellStart"/>
          <w:r>
            <w:rPr>
              <w:rFonts w:eastAsia="Times New Roman"/>
            </w:rPr>
            <w:t>Melén</w:t>
          </w:r>
          <w:proofErr w:type="spellEnd"/>
          <w:r>
            <w:rPr>
              <w:rFonts w:eastAsia="Times New Roman"/>
            </w:rPr>
            <w:t xml:space="preserve"> E, Faner R, Allinson JP, Bui D, Bush A, Custovic A, et al. Lung-function trajectories: relevance and implementation in clinical practice. Lancet. 2024;403: 1494–1503. doi:10.1016/S0140-6736(24)00016-3</w:t>
          </w:r>
        </w:p>
        <w:p w14:paraId="2D44B6BF" w14:textId="77777777" w:rsidR="00572E88" w:rsidRDefault="00572E88">
          <w:pPr>
            <w:autoSpaceDE w:val="0"/>
            <w:autoSpaceDN w:val="0"/>
            <w:ind w:hanging="640"/>
            <w:divId w:val="183439871"/>
            <w:rPr>
              <w:rFonts w:eastAsia="Times New Roman"/>
            </w:rPr>
          </w:pPr>
          <w:r>
            <w:rPr>
              <w:rFonts w:eastAsia="Times New Roman"/>
            </w:rPr>
            <w:t xml:space="preserve">83. </w:t>
          </w:r>
          <w:r>
            <w:rPr>
              <w:rFonts w:eastAsia="Times New Roman"/>
            </w:rPr>
            <w:tab/>
            <w:t xml:space="preserve">Thomas ET, Guppy M, Straus SE, Bell KJL, </w:t>
          </w:r>
          <w:proofErr w:type="spellStart"/>
          <w:r>
            <w:rPr>
              <w:rFonts w:eastAsia="Times New Roman"/>
            </w:rPr>
            <w:t>Glasziou</w:t>
          </w:r>
          <w:proofErr w:type="spellEnd"/>
          <w:r>
            <w:rPr>
              <w:rFonts w:eastAsia="Times New Roman"/>
            </w:rPr>
            <w:t xml:space="preserve"> P. Rate of normal lung function decline in ageing adults: a systematic review of prospective cohort studies. BMJ Open. 2019;9: e028150. doi:10.1136/BMJOPEN-2018-028150</w:t>
          </w:r>
        </w:p>
        <w:p w14:paraId="40238BFD" w14:textId="77777777" w:rsidR="00572E88" w:rsidRDefault="00572E88">
          <w:pPr>
            <w:autoSpaceDE w:val="0"/>
            <w:autoSpaceDN w:val="0"/>
            <w:ind w:hanging="640"/>
            <w:divId w:val="541525629"/>
            <w:rPr>
              <w:rFonts w:eastAsia="Times New Roman"/>
            </w:rPr>
          </w:pPr>
          <w:r>
            <w:rPr>
              <w:rFonts w:eastAsia="Times New Roman"/>
            </w:rPr>
            <w:t xml:space="preserve">84. </w:t>
          </w:r>
          <w:r>
            <w:rPr>
              <w:rFonts w:eastAsia="Times New Roman"/>
            </w:rPr>
            <w:tab/>
            <w:t>Lange P, Celli B, Agustí A, Boje Jensen G, Divo M, Faner R, et al. Lung-Function Trajectories Leading to Chronic Obstructive Pulmonary Disease. N Engl J Med. 2015;373: 111–122. doi:10.1056/NEJMOA1411532</w:t>
          </w:r>
        </w:p>
        <w:p w14:paraId="2EBE3124" w14:textId="77777777" w:rsidR="00572E88" w:rsidRDefault="00572E88">
          <w:pPr>
            <w:autoSpaceDE w:val="0"/>
            <w:autoSpaceDN w:val="0"/>
            <w:ind w:hanging="640"/>
            <w:divId w:val="439686496"/>
            <w:rPr>
              <w:rFonts w:eastAsia="Times New Roman"/>
            </w:rPr>
          </w:pPr>
          <w:r>
            <w:rPr>
              <w:rFonts w:eastAsia="Times New Roman"/>
            </w:rPr>
            <w:t xml:space="preserve">85. </w:t>
          </w:r>
          <w:r>
            <w:rPr>
              <w:rFonts w:eastAsia="Times New Roman"/>
            </w:rPr>
            <w:tab/>
            <w:t>Silverman EK. Genetics of COPD. Annu Rev Physiol. 2019;82: 413. doi:10.1146/ANNUREV-PHYSIOL-021317-121224</w:t>
          </w:r>
        </w:p>
        <w:p w14:paraId="51700FD0" w14:textId="77777777" w:rsidR="00572E88" w:rsidRDefault="00572E88">
          <w:pPr>
            <w:autoSpaceDE w:val="0"/>
            <w:autoSpaceDN w:val="0"/>
            <w:ind w:hanging="640"/>
            <w:divId w:val="1572084823"/>
            <w:rPr>
              <w:rFonts w:eastAsia="Times New Roman"/>
            </w:rPr>
          </w:pPr>
          <w:r>
            <w:rPr>
              <w:rFonts w:eastAsia="Times New Roman"/>
            </w:rPr>
            <w:t xml:space="preserve">86. </w:t>
          </w:r>
          <w:r>
            <w:rPr>
              <w:rFonts w:eastAsia="Times New Roman"/>
            </w:rPr>
            <w:tab/>
            <w:t>Duan P, Wang Y, Lin R, Zeng Y, Chen C, Yang L, et al. Impact of early life exposures on COPD in adulthood: A systematic review and meta-analysis. Respirology. 2021;26: 1131–1151. doi:10.1111/RESP.14144,</w:t>
          </w:r>
        </w:p>
        <w:p w14:paraId="531B8151" w14:textId="77777777" w:rsidR="00572E88" w:rsidRDefault="00572E88">
          <w:pPr>
            <w:autoSpaceDE w:val="0"/>
            <w:autoSpaceDN w:val="0"/>
            <w:ind w:hanging="640"/>
            <w:divId w:val="1848403027"/>
            <w:rPr>
              <w:rFonts w:eastAsia="Times New Roman"/>
            </w:rPr>
          </w:pPr>
          <w:r>
            <w:rPr>
              <w:rFonts w:eastAsia="Times New Roman"/>
            </w:rPr>
            <w:t xml:space="preserve">87. </w:t>
          </w:r>
          <w:r>
            <w:rPr>
              <w:rFonts w:eastAsia="Times New Roman"/>
            </w:rPr>
            <w:tab/>
            <w:t>Luo P, He J, Wan X, Li M, Zhu Z, Chen L, et al. Association between birth weight and chronic obstructive pulmonary disease in the UK Biobank: a prospective cohort study. BMJ Open Respir Res. 2024;11. doi:10.1136/BMJRESP-2024-002366,</w:t>
          </w:r>
        </w:p>
        <w:p w14:paraId="613CE9B3" w14:textId="77777777" w:rsidR="00572E88" w:rsidRDefault="00572E88">
          <w:pPr>
            <w:autoSpaceDE w:val="0"/>
            <w:autoSpaceDN w:val="0"/>
            <w:ind w:hanging="640"/>
            <w:divId w:val="93281591"/>
            <w:rPr>
              <w:rFonts w:eastAsia="Times New Roman"/>
            </w:rPr>
          </w:pPr>
          <w:r>
            <w:rPr>
              <w:rFonts w:eastAsia="Times New Roman"/>
            </w:rPr>
            <w:t xml:space="preserve">88. </w:t>
          </w:r>
          <w:r>
            <w:rPr>
              <w:rFonts w:eastAsia="Times New Roman"/>
            </w:rPr>
            <w:tab/>
            <w:t xml:space="preserve">Savran O, Ulrik CS. Early life insults as determinants of chronic obstructive pulmonary disease in adult life. Int J Chron Obstruct </w:t>
          </w:r>
          <w:proofErr w:type="spellStart"/>
          <w:r>
            <w:rPr>
              <w:rFonts w:eastAsia="Times New Roman"/>
            </w:rPr>
            <w:t>Pulmon</w:t>
          </w:r>
          <w:proofErr w:type="spellEnd"/>
          <w:r>
            <w:rPr>
              <w:rFonts w:eastAsia="Times New Roman"/>
            </w:rPr>
            <w:t xml:space="preserve"> Dis. 2018;13: 683. doi:10.2147/COPD.S153555</w:t>
          </w:r>
        </w:p>
        <w:p w14:paraId="78DE59BB" w14:textId="77777777" w:rsidR="00572E88" w:rsidRDefault="00572E88">
          <w:pPr>
            <w:autoSpaceDE w:val="0"/>
            <w:autoSpaceDN w:val="0"/>
            <w:ind w:hanging="640"/>
            <w:divId w:val="711199834"/>
            <w:rPr>
              <w:rFonts w:eastAsia="Times New Roman"/>
            </w:rPr>
          </w:pPr>
          <w:r>
            <w:rPr>
              <w:rFonts w:eastAsia="Times New Roman"/>
            </w:rPr>
            <w:t xml:space="preserve">89. </w:t>
          </w:r>
          <w:r>
            <w:rPr>
              <w:rFonts w:eastAsia="Times New Roman"/>
            </w:rPr>
            <w:tab/>
          </w:r>
          <w:proofErr w:type="spellStart"/>
          <w:r>
            <w:rPr>
              <w:rFonts w:eastAsia="Times New Roman"/>
            </w:rPr>
            <w:t>Pulakka</w:t>
          </w:r>
          <w:proofErr w:type="spellEnd"/>
          <w:r>
            <w:rPr>
              <w:rFonts w:eastAsia="Times New Roman"/>
            </w:rPr>
            <w:t xml:space="preserve"> A, Risnes K, Metsälä J, Alenius S, Heikkilä K, Nilsen SM, et al. Preterm birth and asthma and COPD in adulthood: a nationwide register study from two Nordic countries. European Respiratory Journal. 2023;61. doi:10.1183/13993003.01763-2022,</w:t>
          </w:r>
        </w:p>
        <w:p w14:paraId="052555BF" w14:textId="77777777" w:rsidR="00572E88" w:rsidRDefault="00572E88">
          <w:pPr>
            <w:autoSpaceDE w:val="0"/>
            <w:autoSpaceDN w:val="0"/>
            <w:ind w:hanging="640"/>
            <w:divId w:val="699209802"/>
            <w:rPr>
              <w:rFonts w:eastAsia="Times New Roman"/>
            </w:rPr>
          </w:pPr>
          <w:r>
            <w:rPr>
              <w:rFonts w:eastAsia="Times New Roman"/>
            </w:rPr>
            <w:t xml:space="preserve">90. </w:t>
          </w:r>
          <w:r>
            <w:rPr>
              <w:rFonts w:eastAsia="Times New Roman"/>
            </w:rPr>
            <w:tab/>
            <w:t xml:space="preserve">McEvoy CT, Spindel ER. “Pulmonary Effects of Maternal Smoking on the Fetus and Child: Effects on Lung Development, Respiratory Morbidities, and Life Long Lung Health.” </w:t>
          </w:r>
          <w:proofErr w:type="spellStart"/>
          <w:r>
            <w:rPr>
              <w:rFonts w:eastAsia="Times New Roman"/>
            </w:rPr>
            <w:t>Paediatr</w:t>
          </w:r>
          <w:proofErr w:type="spellEnd"/>
          <w:r>
            <w:rPr>
              <w:rFonts w:eastAsia="Times New Roman"/>
            </w:rPr>
            <w:t xml:space="preserve"> Respir Rev. 2016;21: 27. </w:t>
          </w:r>
          <w:proofErr w:type="gramStart"/>
          <w:r>
            <w:rPr>
              <w:rFonts w:eastAsia="Times New Roman"/>
            </w:rPr>
            <w:t>doi:10.1016/J.PRRV</w:t>
          </w:r>
          <w:proofErr w:type="gramEnd"/>
          <w:r>
            <w:rPr>
              <w:rFonts w:eastAsia="Times New Roman"/>
            </w:rPr>
            <w:t>.2016.08.005</w:t>
          </w:r>
        </w:p>
        <w:p w14:paraId="045728C7" w14:textId="77777777" w:rsidR="00572E88" w:rsidRDefault="00572E88">
          <w:pPr>
            <w:autoSpaceDE w:val="0"/>
            <w:autoSpaceDN w:val="0"/>
            <w:ind w:hanging="640"/>
            <w:divId w:val="653266755"/>
            <w:rPr>
              <w:rFonts w:eastAsia="Times New Roman"/>
            </w:rPr>
          </w:pPr>
          <w:r>
            <w:rPr>
              <w:rFonts w:eastAsia="Times New Roman"/>
            </w:rPr>
            <w:t xml:space="preserve">91. </w:t>
          </w:r>
          <w:r>
            <w:rPr>
              <w:rFonts w:eastAsia="Times New Roman"/>
            </w:rPr>
            <w:tab/>
            <w:t xml:space="preserve">Kipling L, Bombard J, Wang X, Cox S. Cigarette Smoking Among Pregnant Women During the Perinatal Period: Prevalence and Health Care Provider Inquiries — Pregnancy Risk Assessment Monitoring System, United States, 2021. MMWR </w:t>
          </w:r>
          <w:proofErr w:type="spellStart"/>
          <w:r>
            <w:rPr>
              <w:rFonts w:eastAsia="Times New Roman"/>
            </w:rPr>
            <w:t>Morb</w:t>
          </w:r>
          <w:proofErr w:type="spellEnd"/>
          <w:r>
            <w:rPr>
              <w:rFonts w:eastAsia="Times New Roman"/>
            </w:rPr>
            <w:t xml:space="preserve"> Mortal </w:t>
          </w:r>
          <w:proofErr w:type="spellStart"/>
          <w:r>
            <w:rPr>
              <w:rFonts w:eastAsia="Times New Roman"/>
            </w:rPr>
            <w:t>Wkly</w:t>
          </w:r>
          <w:proofErr w:type="spellEnd"/>
          <w:r>
            <w:rPr>
              <w:rFonts w:eastAsia="Times New Roman"/>
            </w:rPr>
            <w:t xml:space="preserve"> Rep. 2024;73: 393–398. doi:10.15585/MMWR.MM7317A2</w:t>
          </w:r>
        </w:p>
        <w:p w14:paraId="1EC40A19" w14:textId="77777777" w:rsidR="00572E88" w:rsidRDefault="00572E88">
          <w:pPr>
            <w:autoSpaceDE w:val="0"/>
            <w:autoSpaceDN w:val="0"/>
            <w:ind w:hanging="640"/>
            <w:divId w:val="236861456"/>
            <w:rPr>
              <w:rFonts w:eastAsia="Times New Roman"/>
            </w:rPr>
          </w:pPr>
          <w:r>
            <w:rPr>
              <w:rFonts w:eastAsia="Times New Roman"/>
            </w:rPr>
            <w:lastRenderedPageBreak/>
            <w:t xml:space="preserve">92. </w:t>
          </w:r>
          <w:r>
            <w:rPr>
              <w:rFonts w:eastAsia="Times New Roman"/>
            </w:rPr>
            <w:tab/>
            <w:t>Ali KM. Childhood asthma as a risk factor for adult chronic obstructive pulmonary disease: a systematic review and meta-analysis. Expert Rev Respir Med. 2022;16: 461–467. doi:10.1080/17476348.2021.1864328,</w:t>
          </w:r>
        </w:p>
        <w:p w14:paraId="61C43693" w14:textId="77777777" w:rsidR="00572E88" w:rsidRDefault="00572E88">
          <w:pPr>
            <w:autoSpaceDE w:val="0"/>
            <w:autoSpaceDN w:val="0"/>
            <w:ind w:hanging="640"/>
            <w:divId w:val="1690328897"/>
            <w:rPr>
              <w:rFonts w:eastAsia="Times New Roman"/>
            </w:rPr>
          </w:pPr>
          <w:r>
            <w:rPr>
              <w:rFonts w:eastAsia="Times New Roman"/>
            </w:rPr>
            <w:t xml:space="preserve">93. </w:t>
          </w:r>
          <w:r>
            <w:rPr>
              <w:rFonts w:eastAsia="Times New Roman"/>
            </w:rPr>
            <w:tab/>
            <w:t>Asamoah-</w:t>
          </w:r>
          <w:proofErr w:type="spellStart"/>
          <w:r>
            <w:rPr>
              <w:rFonts w:eastAsia="Times New Roman"/>
            </w:rPr>
            <w:t>Boaheng</w:t>
          </w:r>
          <w:proofErr w:type="spellEnd"/>
          <w:r>
            <w:rPr>
              <w:rFonts w:eastAsia="Times New Roman"/>
            </w:rPr>
            <w:t xml:space="preserve"> M, Acheampong L, </w:t>
          </w:r>
          <w:proofErr w:type="spellStart"/>
          <w:r>
            <w:rPr>
              <w:rFonts w:eastAsia="Times New Roman"/>
            </w:rPr>
            <w:t>Tenkorang</w:t>
          </w:r>
          <w:proofErr w:type="spellEnd"/>
          <w:r>
            <w:rPr>
              <w:rFonts w:eastAsia="Times New Roman"/>
            </w:rPr>
            <w:t xml:space="preserve"> EY, Farrell J, Oyet A, </w:t>
          </w:r>
          <w:proofErr w:type="spellStart"/>
          <w:r>
            <w:rPr>
              <w:rFonts w:eastAsia="Times New Roman"/>
            </w:rPr>
            <w:t>Midodzi</w:t>
          </w:r>
          <w:proofErr w:type="spellEnd"/>
          <w:r>
            <w:rPr>
              <w:rFonts w:eastAsia="Times New Roman"/>
            </w:rPr>
            <w:t xml:space="preserve"> WK. Association between early history of asthma and COPD diagnosis in later life: a systematic review and meta-analysis. Int J Epidemiol. 2018;47: 1865–1876. doi:10.1093/IJE/DYY207</w:t>
          </w:r>
        </w:p>
        <w:p w14:paraId="3F6E88E8" w14:textId="77777777" w:rsidR="00572E88" w:rsidRDefault="00572E88">
          <w:pPr>
            <w:autoSpaceDE w:val="0"/>
            <w:autoSpaceDN w:val="0"/>
            <w:ind w:hanging="640"/>
            <w:divId w:val="587540582"/>
            <w:rPr>
              <w:rFonts w:eastAsia="Times New Roman"/>
            </w:rPr>
          </w:pPr>
          <w:r>
            <w:rPr>
              <w:rFonts w:eastAsia="Times New Roman"/>
            </w:rPr>
            <w:t xml:space="preserve">94. </w:t>
          </w:r>
          <w:r>
            <w:rPr>
              <w:rFonts w:eastAsia="Times New Roman"/>
            </w:rPr>
            <w:tab/>
          </w:r>
          <w:proofErr w:type="spellStart"/>
          <w:r>
            <w:rPr>
              <w:rFonts w:eastAsia="Times New Roman"/>
            </w:rPr>
            <w:t>Tantucci</w:t>
          </w:r>
          <w:proofErr w:type="spellEnd"/>
          <w:r>
            <w:rPr>
              <w:rFonts w:eastAsia="Times New Roman"/>
            </w:rPr>
            <w:t xml:space="preserve"> C, Modina D. Lung function decline in COPD. Int J Chron Obstruct </w:t>
          </w:r>
          <w:proofErr w:type="spellStart"/>
          <w:r>
            <w:rPr>
              <w:rFonts w:eastAsia="Times New Roman"/>
            </w:rPr>
            <w:t>Pulmon</w:t>
          </w:r>
          <w:proofErr w:type="spellEnd"/>
          <w:r>
            <w:rPr>
              <w:rFonts w:eastAsia="Times New Roman"/>
            </w:rPr>
            <w:t xml:space="preserve"> Dis. 2012;7: 95. doi:10.2147/COPD.S27480</w:t>
          </w:r>
        </w:p>
        <w:p w14:paraId="0E870E84" w14:textId="77777777" w:rsidR="00572E88" w:rsidRDefault="00572E88">
          <w:pPr>
            <w:autoSpaceDE w:val="0"/>
            <w:autoSpaceDN w:val="0"/>
            <w:ind w:hanging="640"/>
            <w:divId w:val="1593850944"/>
            <w:rPr>
              <w:rFonts w:eastAsia="Times New Roman"/>
            </w:rPr>
          </w:pPr>
          <w:r>
            <w:rPr>
              <w:rFonts w:eastAsia="Times New Roman"/>
            </w:rPr>
            <w:t xml:space="preserve">95. </w:t>
          </w:r>
          <w:r>
            <w:rPr>
              <w:rFonts w:eastAsia="Times New Roman"/>
            </w:rPr>
            <w:tab/>
            <w:t xml:space="preserve">Christenson SA, Smith BM, </w:t>
          </w:r>
          <w:proofErr w:type="spellStart"/>
          <w:r>
            <w:rPr>
              <w:rFonts w:eastAsia="Times New Roman"/>
            </w:rPr>
            <w:t>Bafadhel</w:t>
          </w:r>
          <w:proofErr w:type="spellEnd"/>
          <w:r>
            <w:rPr>
              <w:rFonts w:eastAsia="Times New Roman"/>
            </w:rPr>
            <w:t xml:space="preserve"> M, Putcha N. Chronic obstructive pulmonary disease. www.thelancet.com. 2022;399. doi:10.1016/S0140-6736(22)00470-6</w:t>
          </w:r>
        </w:p>
        <w:p w14:paraId="6E449672" w14:textId="77777777" w:rsidR="00572E88" w:rsidRDefault="00572E88">
          <w:pPr>
            <w:autoSpaceDE w:val="0"/>
            <w:autoSpaceDN w:val="0"/>
            <w:ind w:hanging="640"/>
            <w:divId w:val="1211527605"/>
            <w:rPr>
              <w:rFonts w:eastAsia="Times New Roman"/>
            </w:rPr>
          </w:pPr>
          <w:r>
            <w:rPr>
              <w:rFonts w:eastAsia="Times New Roman"/>
            </w:rPr>
            <w:t xml:space="preserve">96. </w:t>
          </w:r>
          <w:r>
            <w:rPr>
              <w:rFonts w:eastAsia="Times New Roman"/>
            </w:rPr>
            <w:tab/>
          </w:r>
          <w:proofErr w:type="spellStart"/>
          <w:r>
            <w:rPr>
              <w:rFonts w:eastAsia="Times New Roman"/>
            </w:rPr>
            <w:t>Holtjer</w:t>
          </w:r>
          <w:proofErr w:type="spellEnd"/>
          <w:r>
            <w:rPr>
              <w:rFonts w:eastAsia="Times New Roman"/>
            </w:rPr>
            <w:t xml:space="preserve"> JCS, </w:t>
          </w:r>
          <w:proofErr w:type="spellStart"/>
          <w:r>
            <w:rPr>
              <w:rFonts w:eastAsia="Times New Roman"/>
            </w:rPr>
            <w:t>Bloemsma</w:t>
          </w:r>
          <w:proofErr w:type="spellEnd"/>
          <w:r>
            <w:rPr>
              <w:rFonts w:eastAsia="Times New Roman"/>
            </w:rPr>
            <w:t xml:space="preserve"> LD, </w:t>
          </w:r>
          <w:proofErr w:type="spellStart"/>
          <w:r>
            <w:rPr>
              <w:rFonts w:eastAsia="Times New Roman"/>
            </w:rPr>
            <w:t>Beijers</w:t>
          </w:r>
          <w:proofErr w:type="spellEnd"/>
          <w:r>
            <w:rPr>
              <w:rFonts w:eastAsia="Times New Roman"/>
            </w:rPr>
            <w:t xml:space="preserve"> RJHCG, Cornelissen MEB, </w:t>
          </w:r>
          <w:proofErr w:type="spellStart"/>
          <w:r>
            <w:rPr>
              <w:rFonts w:eastAsia="Times New Roman"/>
            </w:rPr>
            <w:t>Hilvering</w:t>
          </w:r>
          <w:proofErr w:type="spellEnd"/>
          <w:r>
            <w:rPr>
              <w:rFonts w:eastAsia="Times New Roman"/>
            </w:rPr>
            <w:t xml:space="preserve"> B, </w:t>
          </w:r>
          <w:proofErr w:type="spellStart"/>
          <w:r>
            <w:rPr>
              <w:rFonts w:eastAsia="Times New Roman"/>
            </w:rPr>
            <w:t>Houweling</w:t>
          </w:r>
          <w:proofErr w:type="spellEnd"/>
          <w:r>
            <w:rPr>
              <w:rFonts w:eastAsia="Times New Roman"/>
            </w:rPr>
            <w:t xml:space="preserve"> L, et al. Identifying risk factors for COPD and adult-onset asthma: an umbrella review. European Respiratory Review. 2023;32. doi:10.1183/16000617.0009-2023,</w:t>
          </w:r>
        </w:p>
        <w:p w14:paraId="584C91F7" w14:textId="77777777" w:rsidR="00572E88" w:rsidRDefault="00572E88">
          <w:pPr>
            <w:autoSpaceDE w:val="0"/>
            <w:autoSpaceDN w:val="0"/>
            <w:ind w:hanging="640"/>
            <w:divId w:val="1954559097"/>
            <w:rPr>
              <w:rFonts w:eastAsia="Times New Roman"/>
            </w:rPr>
          </w:pPr>
          <w:r>
            <w:rPr>
              <w:rFonts w:eastAsia="Times New Roman"/>
            </w:rPr>
            <w:t xml:space="preserve">97. </w:t>
          </w:r>
          <w:r>
            <w:rPr>
              <w:rFonts w:eastAsia="Times New Roman"/>
            </w:rPr>
            <w:tab/>
          </w:r>
          <w:proofErr w:type="spellStart"/>
          <w:r>
            <w:rPr>
              <w:rFonts w:eastAsia="Times New Roman"/>
            </w:rPr>
            <w:t>Holtjer</w:t>
          </w:r>
          <w:proofErr w:type="spellEnd"/>
          <w:r>
            <w:rPr>
              <w:rFonts w:eastAsia="Times New Roman"/>
            </w:rPr>
            <w:t xml:space="preserve"> JCS, </w:t>
          </w:r>
          <w:proofErr w:type="spellStart"/>
          <w:r>
            <w:rPr>
              <w:rFonts w:eastAsia="Times New Roman"/>
            </w:rPr>
            <w:t>Bloemsma</w:t>
          </w:r>
          <w:proofErr w:type="spellEnd"/>
          <w:r>
            <w:rPr>
              <w:rFonts w:eastAsia="Times New Roman"/>
            </w:rPr>
            <w:t xml:space="preserve"> LD, </w:t>
          </w:r>
          <w:proofErr w:type="spellStart"/>
          <w:r>
            <w:rPr>
              <w:rFonts w:eastAsia="Times New Roman"/>
            </w:rPr>
            <w:t>Beijers</w:t>
          </w:r>
          <w:proofErr w:type="spellEnd"/>
          <w:r>
            <w:rPr>
              <w:rFonts w:eastAsia="Times New Roman"/>
            </w:rPr>
            <w:t xml:space="preserve"> RJHCG, Cornelissen MEB, </w:t>
          </w:r>
          <w:proofErr w:type="spellStart"/>
          <w:r>
            <w:rPr>
              <w:rFonts w:eastAsia="Times New Roman"/>
            </w:rPr>
            <w:t>Hilvering</w:t>
          </w:r>
          <w:proofErr w:type="spellEnd"/>
          <w:r>
            <w:rPr>
              <w:rFonts w:eastAsia="Times New Roman"/>
            </w:rPr>
            <w:t xml:space="preserve"> B, </w:t>
          </w:r>
          <w:proofErr w:type="spellStart"/>
          <w:r>
            <w:rPr>
              <w:rFonts w:eastAsia="Times New Roman"/>
            </w:rPr>
            <w:t>Houweling</w:t>
          </w:r>
          <w:proofErr w:type="spellEnd"/>
          <w:r>
            <w:rPr>
              <w:rFonts w:eastAsia="Times New Roman"/>
            </w:rPr>
            <w:t xml:space="preserve"> L, et al. Identifying risk factors for COPD and adult-onset asthma: an umbrella review. European Respiratory Review. 2023;32. doi:10.1183/16000617.0009-2023</w:t>
          </w:r>
        </w:p>
        <w:p w14:paraId="0C88A8FE" w14:textId="77777777" w:rsidR="00572E88" w:rsidRDefault="00572E88">
          <w:pPr>
            <w:autoSpaceDE w:val="0"/>
            <w:autoSpaceDN w:val="0"/>
            <w:ind w:hanging="640"/>
            <w:divId w:val="1415783299"/>
            <w:rPr>
              <w:rFonts w:eastAsia="Times New Roman"/>
            </w:rPr>
          </w:pPr>
          <w:r>
            <w:rPr>
              <w:rFonts w:eastAsia="Times New Roman"/>
            </w:rPr>
            <w:t xml:space="preserve">98. </w:t>
          </w:r>
          <w:r>
            <w:rPr>
              <w:rFonts w:eastAsia="Times New Roman"/>
            </w:rPr>
            <w:tab/>
            <w:t xml:space="preserve">Pando-Sandoval A, Ruano-Ravina A, Candal-Pedreira C, Rodríguez-García C, </w:t>
          </w:r>
          <w:proofErr w:type="spellStart"/>
          <w:r>
            <w:rPr>
              <w:rFonts w:eastAsia="Times New Roman"/>
            </w:rPr>
            <w:t>Represas-Represas</w:t>
          </w:r>
          <w:proofErr w:type="spellEnd"/>
          <w:r>
            <w:rPr>
              <w:rFonts w:eastAsia="Times New Roman"/>
            </w:rPr>
            <w:t xml:space="preserve"> C, Golpe R, et al. Risk factors for chronic obstructive pulmonary disease in never-smokers: A systematic review. Clinical Respiratory Journal. 2022;16: 261–275. doi:10.1111/CRJ.13479,</w:t>
          </w:r>
        </w:p>
        <w:p w14:paraId="71C7E034" w14:textId="77777777" w:rsidR="00572E88" w:rsidRDefault="00572E88">
          <w:pPr>
            <w:autoSpaceDE w:val="0"/>
            <w:autoSpaceDN w:val="0"/>
            <w:ind w:hanging="640"/>
            <w:divId w:val="722027317"/>
            <w:rPr>
              <w:rFonts w:eastAsia="Times New Roman"/>
            </w:rPr>
          </w:pPr>
          <w:r>
            <w:rPr>
              <w:rFonts w:eastAsia="Times New Roman"/>
            </w:rPr>
            <w:t xml:space="preserve">99. </w:t>
          </w:r>
          <w:r>
            <w:rPr>
              <w:rFonts w:eastAsia="Times New Roman"/>
            </w:rPr>
            <w:tab/>
            <w:t>DeMeo DL. Sex, Gender, and COPD. Annu Rev Physiol. 2025;87: 471–490. doi:10.1146/ANNUREV-PHYSIOL-042022-014322,</w:t>
          </w:r>
        </w:p>
        <w:p w14:paraId="1BF1131E" w14:textId="77777777" w:rsidR="00572E88" w:rsidRDefault="00572E88">
          <w:pPr>
            <w:autoSpaceDE w:val="0"/>
            <w:autoSpaceDN w:val="0"/>
            <w:ind w:hanging="640"/>
            <w:divId w:val="1049693258"/>
            <w:rPr>
              <w:rFonts w:eastAsia="Times New Roman"/>
            </w:rPr>
          </w:pPr>
          <w:r>
            <w:rPr>
              <w:rFonts w:eastAsia="Times New Roman"/>
            </w:rPr>
            <w:t xml:space="preserve">100. </w:t>
          </w:r>
          <w:r>
            <w:rPr>
              <w:rFonts w:eastAsia="Times New Roman"/>
            </w:rPr>
            <w:tab/>
            <w:t>Pathak U, Gupta NC, Suri JC. Risk of COPD due to indoor air pollution from biomass cooking fuel: a systematic review and meta-analysis. Int J Environ Health Res. 2020;30: 75–88. doi:10.1080/09603123.2019.1575951</w:t>
          </w:r>
        </w:p>
        <w:p w14:paraId="0A7732DA" w14:textId="77777777" w:rsidR="00572E88" w:rsidRDefault="00572E88">
          <w:pPr>
            <w:autoSpaceDE w:val="0"/>
            <w:autoSpaceDN w:val="0"/>
            <w:ind w:hanging="640"/>
            <w:divId w:val="42827306"/>
            <w:rPr>
              <w:rFonts w:eastAsia="Times New Roman"/>
            </w:rPr>
          </w:pPr>
          <w:r>
            <w:rPr>
              <w:rFonts w:eastAsia="Times New Roman"/>
            </w:rPr>
            <w:t xml:space="preserve">101. </w:t>
          </w:r>
          <w:r>
            <w:rPr>
              <w:rFonts w:eastAsia="Times New Roman"/>
            </w:rPr>
            <w:tab/>
            <w:t>Heefner A, Simovic T, Mize K, Rodriguez-Miguelez P. The Role of Nutrition in the Development and Management of Chronic Obstructive Pulmonary Disease. Nutrients. 2024;16. doi:10.3390/NU16081136,</w:t>
          </w:r>
        </w:p>
        <w:p w14:paraId="19E69D94" w14:textId="77777777" w:rsidR="00572E88" w:rsidRDefault="00572E88">
          <w:pPr>
            <w:autoSpaceDE w:val="0"/>
            <w:autoSpaceDN w:val="0"/>
            <w:ind w:hanging="640"/>
            <w:divId w:val="1379552987"/>
            <w:rPr>
              <w:rFonts w:eastAsia="Times New Roman"/>
            </w:rPr>
          </w:pPr>
          <w:r>
            <w:rPr>
              <w:rFonts w:eastAsia="Times New Roman"/>
            </w:rPr>
            <w:t xml:space="preserve">102. </w:t>
          </w:r>
          <w:r>
            <w:rPr>
              <w:rFonts w:eastAsia="Times New Roman"/>
            </w:rPr>
            <w:tab/>
            <w:t xml:space="preserve">Born CDC, Bhadra R, D’Souza G, Kremers SPJ, </w:t>
          </w:r>
          <w:proofErr w:type="spellStart"/>
          <w:r>
            <w:rPr>
              <w:rFonts w:eastAsia="Times New Roman"/>
            </w:rPr>
            <w:t>Sambashivaiah</w:t>
          </w:r>
          <w:proofErr w:type="spellEnd"/>
          <w:r>
            <w:rPr>
              <w:rFonts w:eastAsia="Times New Roman"/>
            </w:rPr>
            <w:t xml:space="preserve"> S, Schols AMWJ, et al. Combined Lifestyle Interventions in the Prevention and Management of Asthma and COPD: A Systematic Review. Nutrients. 2024;16: 1515. doi:10.3390/NU16101515/S1</w:t>
          </w:r>
        </w:p>
        <w:p w14:paraId="3F37FC13" w14:textId="77777777" w:rsidR="00572E88" w:rsidRDefault="00572E88">
          <w:pPr>
            <w:autoSpaceDE w:val="0"/>
            <w:autoSpaceDN w:val="0"/>
            <w:ind w:hanging="640"/>
            <w:divId w:val="514854968"/>
            <w:rPr>
              <w:rFonts w:eastAsia="Times New Roman"/>
            </w:rPr>
          </w:pPr>
          <w:r>
            <w:rPr>
              <w:rFonts w:eastAsia="Times New Roman"/>
            </w:rPr>
            <w:lastRenderedPageBreak/>
            <w:t xml:space="preserve">103. </w:t>
          </w:r>
          <w:r>
            <w:rPr>
              <w:rFonts w:eastAsia="Times New Roman"/>
            </w:rPr>
            <w:tab/>
          </w:r>
          <w:proofErr w:type="spellStart"/>
          <w:r>
            <w:rPr>
              <w:rFonts w:eastAsia="Times New Roman"/>
            </w:rPr>
            <w:t>Beijers</w:t>
          </w:r>
          <w:proofErr w:type="spellEnd"/>
          <w:r>
            <w:rPr>
              <w:rFonts w:eastAsia="Times New Roman"/>
            </w:rPr>
            <w:t xml:space="preserve"> RJHCG, Steiner MC, Schols AMWJ. The role of diet and nutrition in the management of COPD. European Respiratory Review. 2023;32: 230003. doi:10.1183/16000617.0003-2023</w:t>
          </w:r>
        </w:p>
        <w:p w14:paraId="61CE3F6A" w14:textId="77777777" w:rsidR="00572E88" w:rsidRDefault="00572E88">
          <w:pPr>
            <w:autoSpaceDE w:val="0"/>
            <w:autoSpaceDN w:val="0"/>
            <w:ind w:hanging="640"/>
            <w:divId w:val="2071418168"/>
            <w:rPr>
              <w:rFonts w:eastAsia="Times New Roman"/>
            </w:rPr>
          </w:pPr>
          <w:r>
            <w:rPr>
              <w:rFonts w:eastAsia="Times New Roman"/>
            </w:rPr>
            <w:t xml:space="preserve">104. </w:t>
          </w:r>
          <w:r>
            <w:rPr>
              <w:rFonts w:eastAsia="Times New Roman"/>
            </w:rPr>
            <w:tab/>
          </w:r>
          <w:proofErr w:type="spellStart"/>
          <w:r>
            <w:rPr>
              <w:rFonts w:eastAsia="Times New Roman"/>
            </w:rPr>
            <w:t>Archangelidi</w:t>
          </w:r>
          <w:proofErr w:type="spellEnd"/>
          <w:r>
            <w:rPr>
              <w:rFonts w:eastAsia="Times New Roman"/>
            </w:rPr>
            <w:t xml:space="preserve"> O, </w:t>
          </w:r>
          <w:proofErr w:type="spellStart"/>
          <w:r>
            <w:rPr>
              <w:rFonts w:eastAsia="Times New Roman"/>
            </w:rPr>
            <w:t>Sathiyajit</w:t>
          </w:r>
          <w:proofErr w:type="spellEnd"/>
          <w:r>
            <w:rPr>
              <w:rFonts w:eastAsia="Times New Roman"/>
            </w:rPr>
            <w:t xml:space="preserve"> S, Consonni D, Jarvis D, De Matteis S. Cleaning products and respiratory health outcomes in occupational cleaners: a systematic review and meta-analysis. </w:t>
          </w:r>
          <w:proofErr w:type="spellStart"/>
          <w:r>
            <w:rPr>
              <w:rFonts w:eastAsia="Times New Roman"/>
            </w:rPr>
            <w:t>Occup</w:t>
          </w:r>
          <w:proofErr w:type="spellEnd"/>
          <w:r>
            <w:rPr>
              <w:rFonts w:eastAsia="Times New Roman"/>
            </w:rPr>
            <w:t xml:space="preserve"> Environ Med. 2021;78: 604–617. doi:10.1136/OEMED-2020-106776</w:t>
          </w:r>
        </w:p>
        <w:p w14:paraId="4063AF88" w14:textId="77777777" w:rsidR="00572E88" w:rsidRDefault="00572E88">
          <w:pPr>
            <w:autoSpaceDE w:val="0"/>
            <w:autoSpaceDN w:val="0"/>
            <w:ind w:hanging="640"/>
            <w:divId w:val="1212225537"/>
            <w:rPr>
              <w:rFonts w:eastAsia="Times New Roman"/>
            </w:rPr>
          </w:pPr>
          <w:r>
            <w:rPr>
              <w:rFonts w:eastAsia="Times New Roman"/>
            </w:rPr>
            <w:t xml:space="preserve">105. </w:t>
          </w:r>
          <w:r>
            <w:rPr>
              <w:rFonts w:eastAsia="Times New Roman"/>
            </w:rPr>
            <w:tab/>
            <w:t xml:space="preserve">Blanc PD, Iribarren C, </w:t>
          </w:r>
          <w:proofErr w:type="spellStart"/>
          <w:r>
            <w:rPr>
              <w:rFonts w:eastAsia="Times New Roman"/>
            </w:rPr>
            <w:t>Trupin</w:t>
          </w:r>
          <w:proofErr w:type="spellEnd"/>
          <w:r>
            <w:rPr>
              <w:rFonts w:eastAsia="Times New Roman"/>
            </w:rPr>
            <w:t xml:space="preserve"> L, Earnest G, Katz PP, Balmes J, et al. Occupational exposures and the risk of COPD: Dusty trades revisited. Thorax. 2009;64: 6–12. doi:10.1136/thx.2008.099390</w:t>
          </w:r>
        </w:p>
        <w:p w14:paraId="4B51CF12" w14:textId="77777777" w:rsidR="00572E88" w:rsidRDefault="00572E88">
          <w:pPr>
            <w:autoSpaceDE w:val="0"/>
            <w:autoSpaceDN w:val="0"/>
            <w:ind w:hanging="640"/>
            <w:divId w:val="1467816819"/>
            <w:rPr>
              <w:rFonts w:eastAsia="Times New Roman"/>
            </w:rPr>
          </w:pPr>
          <w:r>
            <w:rPr>
              <w:rFonts w:eastAsia="Times New Roman"/>
            </w:rPr>
            <w:t xml:space="preserve">106. </w:t>
          </w:r>
          <w:r>
            <w:rPr>
              <w:rFonts w:eastAsia="Times New Roman"/>
            </w:rPr>
            <w:tab/>
          </w:r>
          <w:proofErr w:type="spellStart"/>
          <w:r>
            <w:rPr>
              <w:rFonts w:eastAsia="Times New Roman"/>
            </w:rPr>
            <w:t>Pourhassan</w:t>
          </w:r>
          <w:proofErr w:type="spellEnd"/>
          <w:r>
            <w:rPr>
              <w:rFonts w:eastAsia="Times New Roman"/>
            </w:rPr>
            <w:t xml:space="preserve"> B, </w:t>
          </w:r>
          <w:proofErr w:type="spellStart"/>
          <w:r>
            <w:rPr>
              <w:rFonts w:eastAsia="Times New Roman"/>
            </w:rPr>
            <w:t>Meysamie</w:t>
          </w:r>
          <w:proofErr w:type="spellEnd"/>
          <w:r>
            <w:rPr>
              <w:rFonts w:eastAsia="Times New Roman"/>
            </w:rPr>
            <w:t xml:space="preserve"> A, Alizadeh S, </w:t>
          </w:r>
          <w:proofErr w:type="spellStart"/>
          <w:r>
            <w:rPr>
              <w:rFonts w:eastAsia="Times New Roman"/>
            </w:rPr>
            <w:t>Habibian</w:t>
          </w:r>
          <w:proofErr w:type="spellEnd"/>
          <w:r>
            <w:rPr>
              <w:rFonts w:eastAsia="Times New Roman"/>
            </w:rPr>
            <w:t xml:space="preserve"> A, </w:t>
          </w:r>
          <w:proofErr w:type="spellStart"/>
          <w:r>
            <w:rPr>
              <w:rFonts w:eastAsia="Times New Roman"/>
            </w:rPr>
            <w:t>Beigzadeh</w:t>
          </w:r>
          <w:proofErr w:type="spellEnd"/>
          <w:r>
            <w:rPr>
              <w:rFonts w:eastAsia="Times New Roman"/>
            </w:rPr>
            <w:t xml:space="preserve"> Z. Risk of obstructive pulmonary diseases and occupational exposure to pesticides: a systematic review and meta-analysis. Public Health. 2019;174: 31–41. </w:t>
          </w:r>
          <w:proofErr w:type="gramStart"/>
          <w:r>
            <w:rPr>
              <w:rFonts w:eastAsia="Times New Roman"/>
            </w:rPr>
            <w:t>doi:10.1016/J.PUHE</w:t>
          </w:r>
          <w:proofErr w:type="gramEnd"/>
          <w:r>
            <w:rPr>
              <w:rFonts w:eastAsia="Times New Roman"/>
            </w:rPr>
            <w:t>.2019.05.024</w:t>
          </w:r>
        </w:p>
        <w:p w14:paraId="1C81B723" w14:textId="77777777" w:rsidR="00572E88" w:rsidRDefault="00572E88">
          <w:pPr>
            <w:autoSpaceDE w:val="0"/>
            <w:autoSpaceDN w:val="0"/>
            <w:ind w:hanging="640"/>
            <w:divId w:val="1637830602"/>
            <w:rPr>
              <w:rFonts w:eastAsia="Times New Roman"/>
            </w:rPr>
          </w:pPr>
          <w:r>
            <w:rPr>
              <w:rFonts w:eastAsia="Times New Roman"/>
            </w:rPr>
            <w:t xml:space="preserve">107. </w:t>
          </w:r>
          <w:r>
            <w:rPr>
              <w:rFonts w:eastAsia="Times New Roman"/>
            </w:rPr>
            <w:tab/>
          </w:r>
          <w:proofErr w:type="spellStart"/>
          <w:r>
            <w:rPr>
              <w:rFonts w:eastAsia="Times New Roman"/>
            </w:rPr>
            <w:t>Rajnoveanu</w:t>
          </w:r>
          <w:proofErr w:type="spellEnd"/>
          <w:r>
            <w:rPr>
              <w:rFonts w:eastAsia="Times New Roman"/>
            </w:rPr>
            <w:t xml:space="preserve"> AG, </w:t>
          </w:r>
          <w:proofErr w:type="spellStart"/>
          <w:r>
            <w:rPr>
              <w:rFonts w:eastAsia="Times New Roman"/>
            </w:rPr>
            <w:t>Rajnoveanu</w:t>
          </w:r>
          <w:proofErr w:type="spellEnd"/>
          <w:r>
            <w:rPr>
              <w:rFonts w:eastAsia="Times New Roman"/>
            </w:rPr>
            <w:t xml:space="preserve"> RM, Motoc NS, Postolache P, </w:t>
          </w:r>
          <w:proofErr w:type="spellStart"/>
          <w:r>
            <w:rPr>
              <w:rFonts w:eastAsia="Times New Roman"/>
            </w:rPr>
            <w:t>Gusetu</w:t>
          </w:r>
          <w:proofErr w:type="spellEnd"/>
          <w:r>
            <w:rPr>
              <w:rFonts w:eastAsia="Times New Roman"/>
            </w:rPr>
            <w:t xml:space="preserve"> G, Man MA. COPD in Firefighters: A Specific Event-Related Condition Rather than a Common Occupational Respiratory Disorder. Medicina (Kaunas). 2022;58. doi:10.3390/MEDICINA58020239</w:t>
          </w:r>
        </w:p>
        <w:p w14:paraId="375B8C23" w14:textId="77777777" w:rsidR="00572E88" w:rsidRDefault="00572E88">
          <w:pPr>
            <w:autoSpaceDE w:val="0"/>
            <w:autoSpaceDN w:val="0"/>
            <w:ind w:hanging="640"/>
            <w:divId w:val="1333527249"/>
            <w:rPr>
              <w:rFonts w:eastAsia="Times New Roman"/>
            </w:rPr>
          </w:pPr>
          <w:r>
            <w:rPr>
              <w:rFonts w:eastAsia="Times New Roman"/>
            </w:rPr>
            <w:t xml:space="preserve">108. </w:t>
          </w:r>
          <w:r>
            <w:rPr>
              <w:rFonts w:eastAsia="Times New Roman"/>
            </w:rPr>
            <w:tab/>
            <w:t xml:space="preserve">Su X, Gu H, Li F, Shi D, Wang Z. Global, Regional, and National Burden of COPD Attributable to Occupational Particulate Matter, Gases, and Fumes, 1990-2019: Findings from the Global Burden of Disease Study 2019. Int J Chron Obstruct </w:t>
          </w:r>
          <w:proofErr w:type="spellStart"/>
          <w:r>
            <w:rPr>
              <w:rFonts w:eastAsia="Times New Roman"/>
            </w:rPr>
            <w:t>Pulmon</w:t>
          </w:r>
          <w:proofErr w:type="spellEnd"/>
          <w:r>
            <w:rPr>
              <w:rFonts w:eastAsia="Times New Roman"/>
            </w:rPr>
            <w:t xml:space="preserve"> Dis. 2023;18: 2971–2983. doi:10.2147/COPD.S436879</w:t>
          </w:r>
        </w:p>
        <w:p w14:paraId="4E1BED0F" w14:textId="77777777" w:rsidR="00572E88" w:rsidRDefault="00572E88">
          <w:pPr>
            <w:autoSpaceDE w:val="0"/>
            <w:autoSpaceDN w:val="0"/>
            <w:ind w:hanging="640"/>
            <w:divId w:val="1800029013"/>
            <w:rPr>
              <w:rFonts w:eastAsia="Times New Roman"/>
            </w:rPr>
          </w:pPr>
          <w:r>
            <w:rPr>
              <w:rFonts w:eastAsia="Times New Roman"/>
            </w:rPr>
            <w:t xml:space="preserve">109. </w:t>
          </w:r>
          <w:r>
            <w:rPr>
              <w:rFonts w:eastAsia="Times New Roman"/>
            </w:rPr>
            <w:tab/>
            <w:t>Doney B, Kurth L, Halldin C, Hale J, Frenk SM. Occupational exposure and airflow obstruction and self-reported COPD among ever-employed US adults using a COPD-job exposure matrix. Am J Ind Med. 2019;62: 393. doi:10.1002/AJIM.22958</w:t>
          </w:r>
        </w:p>
        <w:p w14:paraId="20624A31" w14:textId="77777777" w:rsidR="00572E88" w:rsidRDefault="00572E88">
          <w:pPr>
            <w:autoSpaceDE w:val="0"/>
            <w:autoSpaceDN w:val="0"/>
            <w:ind w:hanging="640"/>
            <w:divId w:val="1079863904"/>
            <w:rPr>
              <w:rFonts w:eastAsia="Times New Roman"/>
            </w:rPr>
          </w:pPr>
          <w:r>
            <w:rPr>
              <w:rFonts w:eastAsia="Times New Roman"/>
            </w:rPr>
            <w:t xml:space="preserve">110. </w:t>
          </w:r>
          <w:r>
            <w:rPr>
              <w:rFonts w:eastAsia="Times New Roman"/>
            </w:rPr>
            <w:tab/>
            <w:t>Silver SR, Alarcon WA, Li J. Incident chronic obstructive pulmonary disease associated with occupation, industry, and workplace exposures in the Health and Retirement Study. Am J Ind Med. 2020;64: 26. doi:10.1002/AJIM.23196</w:t>
          </w:r>
        </w:p>
        <w:p w14:paraId="75C5094C" w14:textId="77777777" w:rsidR="00572E88" w:rsidRDefault="00572E88">
          <w:pPr>
            <w:autoSpaceDE w:val="0"/>
            <w:autoSpaceDN w:val="0"/>
            <w:ind w:hanging="640"/>
            <w:divId w:val="133720849"/>
            <w:rPr>
              <w:rFonts w:eastAsia="Times New Roman"/>
            </w:rPr>
          </w:pPr>
          <w:r>
            <w:rPr>
              <w:rFonts w:eastAsia="Times New Roman"/>
            </w:rPr>
            <w:t xml:space="preserve">111. </w:t>
          </w:r>
          <w:r>
            <w:rPr>
              <w:rFonts w:eastAsia="Times New Roman"/>
            </w:rPr>
            <w:tab/>
          </w:r>
          <w:proofErr w:type="spellStart"/>
          <w:r>
            <w:rPr>
              <w:rFonts w:eastAsia="Times New Roman"/>
            </w:rPr>
            <w:t>Yatera</w:t>
          </w:r>
          <w:proofErr w:type="spellEnd"/>
          <w:r>
            <w:rPr>
              <w:rFonts w:eastAsia="Times New Roman"/>
            </w:rPr>
            <w:t xml:space="preserve"> K, Nishida C. Contemporary Concise Review 2023: Environmental and occupational lung diseases. Respirology. 2024;29: 574–587. doi:10.1111/RESP.14761</w:t>
          </w:r>
        </w:p>
        <w:p w14:paraId="23029E19" w14:textId="77777777" w:rsidR="00572E88" w:rsidRDefault="00572E88">
          <w:pPr>
            <w:autoSpaceDE w:val="0"/>
            <w:autoSpaceDN w:val="0"/>
            <w:ind w:hanging="640"/>
            <w:divId w:val="1516508"/>
            <w:rPr>
              <w:rFonts w:eastAsia="Times New Roman"/>
            </w:rPr>
          </w:pPr>
          <w:r>
            <w:rPr>
              <w:rFonts w:eastAsia="Times New Roman"/>
            </w:rPr>
            <w:t xml:space="preserve">112. </w:t>
          </w:r>
          <w:r>
            <w:rPr>
              <w:rFonts w:eastAsia="Times New Roman"/>
            </w:rPr>
            <w:tab/>
            <w:t>Sin DD, Doiron D, Agusti A, Anzueto A, Barnes PJ, Celli BR, et al. Air pollution and COPD: GOLD 2023 committee report. Eur Respir J. 2023;61. doi:10.1183/13993003.02469-2022</w:t>
          </w:r>
        </w:p>
        <w:p w14:paraId="3677F7BB" w14:textId="77777777" w:rsidR="00572E88" w:rsidRDefault="00572E88">
          <w:pPr>
            <w:autoSpaceDE w:val="0"/>
            <w:autoSpaceDN w:val="0"/>
            <w:ind w:hanging="640"/>
            <w:divId w:val="968242724"/>
            <w:rPr>
              <w:rFonts w:eastAsia="Times New Roman"/>
            </w:rPr>
          </w:pPr>
          <w:r>
            <w:rPr>
              <w:rFonts w:eastAsia="Times New Roman"/>
            </w:rPr>
            <w:lastRenderedPageBreak/>
            <w:t xml:space="preserve">113. </w:t>
          </w:r>
          <w:r>
            <w:rPr>
              <w:rFonts w:eastAsia="Times New Roman"/>
            </w:rPr>
            <w:tab/>
            <w:t xml:space="preserve">Raju S, Siddharthan T, McCormack MC. Indoor Air Pollution and Respiratory Health. Clin Chest Med. 2020;41: 825. </w:t>
          </w:r>
          <w:proofErr w:type="gramStart"/>
          <w:r>
            <w:rPr>
              <w:rFonts w:eastAsia="Times New Roman"/>
            </w:rPr>
            <w:t>doi:10.1016/J.CCM</w:t>
          </w:r>
          <w:proofErr w:type="gramEnd"/>
          <w:r>
            <w:rPr>
              <w:rFonts w:eastAsia="Times New Roman"/>
            </w:rPr>
            <w:t>.2020.08.014</w:t>
          </w:r>
        </w:p>
        <w:p w14:paraId="336781D3" w14:textId="77777777" w:rsidR="00572E88" w:rsidRDefault="00572E88">
          <w:pPr>
            <w:autoSpaceDE w:val="0"/>
            <w:autoSpaceDN w:val="0"/>
            <w:ind w:hanging="640"/>
            <w:divId w:val="1345473039"/>
            <w:rPr>
              <w:rFonts w:eastAsia="Times New Roman"/>
            </w:rPr>
          </w:pPr>
          <w:r>
            <w:rPr>
              <w:rFonts w:eastAsia="Times New Roman"/>
            </w:rPr>
            <w:t xml:space="preserve">114. </w:t>
          </w:r>
          <w:r>
            <w:rPr>
              <w:rFonts w:eastAsia="Times New Roman"/>
            </w:rPr>
            <w:tab/>
            <w:t>Maung TZ, Bishop JE, Holt E, Turner AM, Pfrang C. Indoor Air Pollution and the Health of Vulnerable Groups: A Systematic Review Focused on Particulate Matter (PM), Volatile Organic Compounds (VOCs) and Their Effects on Children and People with Pre-Existing Lung Disease. Int J Environ Res Public Health. 2022;19: 8752. doi:10.3390/IJERPH19148752/S1</w:t>
          </w:r>
        </w:p>
        <w:p w14:paraId="24EC3AAB" w14:textId="77777777" w:rsidR="00572E88" w:rsidRDefault="00572E88">
          <w:pPr>
            <w:autoSpaceDE w:val="0"/>
            <w:autoSpaceDN w:val="0"/>
            <w:ind w:hanging="640"/>
            <w:divId w:val="1860657978"/>
            <w:rPr>
              <w:rFonts w:eastAsia="Times New Roman"/>
            </w:rPr>
          </w:pPr>
          <w:r>
            <w:rPr>
              <w:rFonts w:eastAsia="Times New Roman"/>
            </w:rPr>
            <w:t xml:space="preserve">115. </w:t>
          </w:r>
          <w:r>
            <w:rPr>
              <w:rFonts w:eastAsia="Times New Roman"/>
            </w:rPr>
            <w:tab/>
            <w:t xml:space="preserve">Lu Z, Coll P, </w:t>
          </w:r>
          <w:proofErr w:type="spellStart"/>
          <w:r>
            <w:rPr>
              <w:rFonts w:eastAsia="Times New Roman"/>
            </w:rPr>
            <w:t>Maitre</w:t>
          </w:r>
          <w:proofErr w:type="spellEnd"/>
          <w:r>
            <w:rPr>
              <w:rFonts w:eastAsia="Times New Roman"/>
            </w:rPr>
            <w:t xml:space="preserve"> B, </w:t>
          </w:r>
          <w:proofErr w:type="spellStart"/>
          <w:r>
            <w:rPr>
              <w:rFonts w:eastAsia="Times New Roman"/>
            </w:rPr>
            <w:t>Epaud</w:t>
          </w:r>
          <w:proofErr w:type="spellEnd"/>
          <w:r>
            <w:rPr>
              <w:rFonts w:eastAsia="Times New Roman"/>
            </w:rPr>
            <w:t xml:space="preserve"> R, </w:t>
          </w:r>
          <w:proofErr w:type="spellStart"/>
          <w:r>
            <w:rPr>
              <w:rFonts w:eastAsia="Times New Roman"/>
            </w:rPr>
            <w:t>Lanone</w:t>
          </w:r>
          <w:proofErr w:type="spellEnd"/>
          <w:r>
            <w:rPr>
              <w:rFonts w:eastAsia="Times New Roman"/>
            </w:rPr>
            <w:t xml:space="preserve"> S. Air pollution as an early determinant of COPD. European Respiratory Review. 2022;31: 220059. doi:10.1183/16000617.0059-2022</w:t>
          </w:r>
        </w:p>
        <w:p w14:paraId="159382BF" w14:textId="77777777" w:rsidR="00572E88" w:rsidRDefault="00572E88">
          <w:pPr>
            <w:autoSpaceDE w:val="0"/>
            <w:autoSpaceDN w:val="0"/>
            <w:ind w:hanging="640"/>
            <w:divId w:val="660502313"/>
            <w:rPr>
              <w:rFonts w:eastAsia="Times New Roman"/>
            </w:rPr>
          </w:pPr>
          <w:r>
            <w:rPr>
              <w:rFonts w:eastAsia="Times New Roman"/>
            </w:rPr>
            <w:t xml:space="preserve">116. </w:t>
          </w:r>
          <w:r>
            <w:rPr>
              <w:rFonts w:eastAsia="Times New Roman"/>
            </w:rPr>
            <w:tab/>
            <w:t>Lee YG, Lee PH, Choi SM, An MH, Jang AS. Effects of Air Pollutants on Airway Diseases. Int J Environ Res Public Health. 2021;18: 9905. doi:10.3390/IJERPH18189905</w:t>
          </w:r>
        </w:p>
        <w:p w14:paraId="570B9DF2" w14:textId="77777777" w:rsidR="00572E88" w:rsidRDefault="00572E88">
          <w:pPr>
            <w:autoSpaceDE w:val="0"/>
            <w:autoSpaceDN w:val="0"/>
            <w:ind w:hanging="640"/>
            <w:divId w:val="1513178623"/>
            <w:rPr>
              <w:rFonts w:eastAsia="Times New Roman"/>
            </w:rPr>
          </w:pPr>
          <w:r>
            <w:rPr>
              <w:rFonts w:eastAsia="Times New Roman"/>
            </w:rPr>
            <w:t xml:space="preserve">117. </w:t>
          </w:r>
          <w:r>
            <w:rPr>
              <w:rFonts w:eastAsia="Times New Roman"/>
            </w:rPr>
            <w:tab/>
            <w:t xml:space="preserve">Ryu MH, Murphy S, Hinkley M, Carlsten C. COPD Exposed to Air Pollution: A Path to Understand and Protect a Susceptible Population. Chest. 2024;165: 836–846. </w:t>
          </w:r>
          <w:proofErr w:type="gramStart"/>
          <w:r>
            <w:rPr>
              <w:rFonts w:eastAsia="Times New Roman"/>
            </w:rPr>
            <w:t>doi:10.1016/J.CHEST</w:t>
          </w:r>
          <w:proofErr w:type="gramEnd"/>
          <w:r>
            <w:rPr>
              <w:rFonts w:eastAsia="Times New Roman"/>
            </w:rPr>
            <w:t>.2023.11.012</w:t>
          </w:r>
        </w:p>
        <w:p w14:paraId="73B72E78" w14:textId="77777777" w:rsidR="00572E88" w:rsidRDefault="00572E88">
          <w:pPr>
            <w:autoSpaceDE w:val="0"/>
            <w:autoSpaceDN w:val="0"/>
            <w:ind w:hanging="640"/>
            <w:divId w:val="1641885639"/>
            <w:rPr>
              <w:rFonts w:eastAsia="Times New Roman"/>
            </w:rPr>
          </w:pPr>
          <w:r>
            <w:rPr>
              <w:rFonts w:eastAsia="Times New Roman"/>
            </w:rPr>
            <w:t xml:space="preserve">118. </w:t>
          </w:r>
          <w:r>
            <w:rPr>
              <w:rFonts w:eastAsia="Times New Roman"/>
            </w:rPr>
            <w:tab/>
            <w:t xml:space="preserve">Thurston GD, Balmes JR, Garcia E, Gilliland FD, Rice MB, </w:t>
          </w:r>
          <w:proofErr w:type="spellStart"/>
          <w:r>
            <w:rPr>
              <w:rFonts w:eastAsia="Times New Roman"/>
            </w:rPr>
            <w:t>Schikowski</w:t>
          </w:r>
          <w:proofErr w:type="spellEnd"/>
          <w:r>
            <w:rPr>
              <w:rFonts w:eastAsia="Times New Roman"/>
            </w:rPr>
            <w:t xml:space="preserve"> T, et al. Outdoor Air Pollution and New-Onset Airway Disease. An Official American Thoracic Society Workshop Report. Ann Am </w:t>
          </w:r>
          <w:proofErr w:type="spellStart"/>
          <w:r>
            <w:rPr>
              <w:rFonts w:eastAsia="Times New Roman"/>
            </w:rPr>
            <w:t>Thorac</w:t>
          </w:r>
          <w:proofErr w:type="spellEnd"/>
          <w:r>
            <w:rPr>
              <w:rFonts w:eastAsia="Times New Roman"/>
            </w:rPr>
            <w:t xml:space="preserve"> Soc. 2020;17: 387–398. doi:10.1513/ANNALSATS.202001-046ST</w:t>
          </w:r>
        </w:p>
        <w:p w14:paraId="557E9E77" w14:textId="77777777" w:rsidR="00572E88" w:rsidRDefault="00572E88">
          <w:pPr>
            <w:autoSpaceDE w:val="0"/>
            <w:autoSpaceDN w:val="0"/>
            <w:ind w:hanging="640"/>
            <w:divId w:val="2026051369"/>
            <w:rPr>
              <w:rFonts w:eastAsia="Times New Roman"/>
            </w:rPr>
          </w:pPr>
          <w:r>
            <w:rPr>
              <w:rFonts w:eastAsia="Times New Roman"/>
            </w:rPr>
            <w:t xml:space="preserve">119. </w:t>
          </w:r>
          <w:r>
            <w:rPr>
              <w:rFonts w:eastAsia="Times New Roman"/>
            </w:rPr>
            <w:tab/>
            <w:t xml:space="preserve">Leung JM, Tiew PY, Mac </w:t>
          </w:r>
          <w:proofErr w:type="spellStart"/>
          <w:r>
            <w:rPr>
              <w:rFonts w:eastAsia="Times New Roman"/>
            </w:rPr>
            <w:t>Aogáin</w:t>
          </w:r>
          <w:proofErr w:type="spellEnd"/>
          <w:r>
            <w:rPr>
              <w:rFonts w:eastAsia="Times New Roman"/>
            </w:rPr>
            <w:t xml:space="preserve"> M, Budden KF, Yong VFL, Thomas SS, et al. The role of acute and chronic respiratory colonization and infections in the pathogenesis of COPD. Respirology. 2017;22: 634. doi:10.1111/RESP.13032</w:t>
          </w:r>
        </w:p>
        <w:p w14:paraId="75921238" w14:textId="77777777" w:rsidR="00572E88" w:rsidRDefault="00572E88">
          <w:pPr>
            <w:autoSpaceDE w:val="0"/>
            <w:autoSpaceDN w:val="0"/>
            <w:ind w:hanging="640"/>
            <w:divId w:val="704670728"/>
            <w:rPr>
              <w:rFonts w:eastAsia="Times New Roman"/>
            </w:rPr>
          </w:pPr>
          <w:r>
            <w:rPr>
              <w:rFonts w:eastAsia="Times New Roman"/>
            </w:rPr>
            <w:t xml:space="preserve">120. </w:t>
          </w:r>
          <w:r>
            <w:rPr>
              <w:rFonts w:eastAsia="Times New Roman"/>
            </w:rPr>
            <w:tab/>
          </w:r>
          <w:proofErr w:type="spellStart"/>
          <w:r>
            <w:rPr>
              <w:rFonts w:eastAsia="Times New Roman"/>
            </w:rPr>
            <w:t>Hogea</w:t>
          </w:r>
          <w:proofErr w:type="spellEnd"/>
          <w:r>
            <w:rPr>
              <w:rFonts w:eastAsia="Times New Roman"/>
            </w:rPr>
            <w:t xml:space="preserve"> SP, Tudorache E, </w:t>
          </w:r>
          <w:proofErr w:type="spellStart"/>
          <w:r>
            <w:rPr>
              <w:rFonts w:eastAsia="Times New Roman"/>
            </w:rPr>
            <w:t>Fildan</w:t>
          </w:r>
          <w:proofErr w:type="spellEnd"/>
          <w:r>
            <w:rPr>
              <w:rFonts w:eastAsia="Times New Roman"/>
            </w:rPr>
            <w:t xml:space="preserve"> AP, Fira-</w:t>
          </w:r>
          <w:proofErr w:type="spellStart"/>
          <w:r>
            <w:rPr>
              <w:rFonts w:eastAsia="Times New Roman"/>
            </w:rPr>
            <w:t>Mladinescu</w:t>
          </w:r>
          <w:proofErr w:type="spellEnd"/>
          <w:r>
            <w:rPr>
              <w:rFonts w:eastAsia="Times New Roman"/>
            </w:rPr>
            <w:t xml:space="preserve"> O, Marc M, Oancea C. Risk factors of chronic obstructive pulmonary disease exacerbations. Clin Respir J. 2020;14: 183–197. doi:10.1111/CRJ.13129</w:t>
          </w:r>
        </w:p>
        <w:p w14:paraId="7FD1EA1F" w14:textId="77777777" w:rsidR="00572E88" w:rsidRDefault="00572E88">
          <w:pPr>
            <w:autoSpaceDE w:val="0"/>
            <w:autoSpaceDN w:val="0"/>
            <w:ind w:hanging="640"/>
            <w:divId w:val="587428407"/>
            <w:rPr>
              <w:rFonts w:eastAsia="Times New Roman"/>
            </w:rPr>
          </w:pPr>
          <w:r>
            <w:rPr>
              <w:rFonts w:eastAsia="Times New Roman"/>
            </w:rPr>
            <w:t xml:space="preserve">121. </w:t>
          </w:r>
          <w:r>
            <w:rPr>
              <w:rFonts w:eastAsia="Times New Roman"/>
            </w:rPr>
            <w:tab/>
            <w:t>Smith MC, Wrobel JP. Epidemiology and clinical impact of major comorbidities in patients with COPD. International Journal of COPD. Dove Medical Press Ltd.; 2014. pp. 871–888. doi:10.2147/COPD.S49621</w:t>
          </w:r>
        </w:p>
        <w:p w14:paraId="330FAA2A" w14:textId="77777777" w:rsidR="00572E88" w:rsidRDefault="00572E88">
          <w:pPr>
            <w:autoSpaceDE w:val="0"/>
            <w:autoSpaceDN w:val="0"/>
            <w:ind w:hanging="640"/>
            <w:divId w:val="1096562387"/>
            <w:rPr>
              <w:rFonts w:eastAsia="Times New Roman"/>
            </w:rPr>
          </w:pPr>
          <w:r>
            <w:rPr>
              <w:rFonts w:eastAsia="Times New Roman"/>
            </w:rPr>
            <w:t xml:space="preserve">122. </w:t>
          </w:r>
          <w:r>
            <w:rPr>
              <w:rFonts w:eastAsia="Times New Roman"/>
            </w:rPr>
            <w:tab/>
            <w:t xml:space="preserve">Barr RG, Celli BR, Mannino DM, Petty T, Rennard SI, Sciurba FC, et al. Comorbidities, Patient Knowledge, and Disease Management in a National Sample of Patients with Chronic Obstructive Pulmonary Disease. American Journal of Medicine. 2009;122: 348–355. </w:t>
          </w:r>
          <w:proofErr w:type="gramStart"/>
          <w:r>
            <w:rPr>
              <w:rFonts w:eastAsia="Times New Roman"/>
            </w:rPr>
            <w:t>doi:10.1016/j.amjmed.2008.09.042.Comorbidities</w:t>
          </w:r>
          <w:proofErr w:type="gramEnd"/>
        </w:p>
        <w:p w14:paraId="7AFFCD51" w14:textId="77777777" w:rsidR="00572E88" w:rsidRDefault="00572E88">
          <w:pPr>
            <w:autoSpaceDE w:val="0"/>
            <w:autoSpaceDN w:val="0"/>
            <w:ind w:hanging="640"/>
            <w:divId w:val="1961061395"/>
            <w:rPr>
              <w:rFonts w:eastAsia="Times New Roman"/>
            </w:rPr>
          </w:pPr>
          <w:r>
            <w:rPr>
              <w:rFonts w:eastAsia="Times New Roman"/>
            </w:rPr>
            <w:lastRenderedPageBreak/>
            <w:t xml:space="preserve">123. </w:t>
          </w:r>
          <w:r>
            <w:rPr>
              <w:rFonts w:eastAsia="Times New Roman"/>
            </w:rPr>
            <w:tab/>
          </w:r>
          <w:proofErr w:type="spellStart"/>
          <w:r>
            <w:rPr>
              <w:rFonts w:eastAsia="Times New Roman"/>
            </w:rPr>
            <w:t>Negewo</w:t>
          </w:r>
          <w:proofErr w:type="spellEnd"/>
          <w:r>
            <w:rPr>
              <w:rFonts w:eastAsia="Times New Roman"/>
            </w:rPr>
            <w:t xml:space="preserve"> NA, Gibson PG, McDonald VM. COPD and its comorbidities: Impact, measurement and mechanisms. Respirology. 2015;20: 1160–1171. doi:10.1111/RESP.12642</w:t>
          </w:r>
        </w:p>
        <w:p w14:paraId="4274A83E" w14:textId="77777777" w:rsidR="00572E88" w:rsidRDefault="00572E88">
          <w:pPr>
            <w:autoSpaceDE w:val="0"/>
            <w:autoSpaceDN w:val="0"/>
            <w:ind w:hanging="640"/>
            <w:divId w:val="1796096693"/>
            <w:rPr>
              <w:rFonts w:eastAsia="Times New Roman"/>
            </w:rPr>
          </w:pPr>
          <w:r>
            <w:rPr>
              <w:rFonts w:eastAsia="Times New Roman"/>
            </w:rPr>
            <w:t xml:space="preserve">124. </w:t>
          </w:r>
          <w:r>
            <w:rPr>
              <w:rFonts w:eastAsia="Times New Roman"/>
            </w:rPr>
            <w:tab/>
            <w:t xml:space="preserve">Raju S, Keet CA, Paulin LM, Matsui EC, Peng RD, Hansel NN, et al. Rural residence and poverty are independent risk factors for chronic obstructive pulmonary disease in the United States. Am J Respir Crit Care Med. 2019;199: 961–969. </w:t>
          </w:r>
          <w:proofErr w:type="gramStart"/>
          <w:r>
            <w:rPr>
              <w:rFonts w:eastAsia="Times New Roman"/>
            </w:rPr>
            <w:t>doi:10.1164/RCCM.201807-1374OC/SUPPL_FILE/DISCLOSURES.PDF</w:t>
          </w:r>
          <w:proofErr w:type="gramEnd"/>
        </w:p>
        <w:p w14:paraId="10672A45" w14:textId="77777777" w:rsidR="00572E88" w:rsidRDefault="00572E88">
          <w:pPr>
            <w:autoSpaceDE w:val="0"/>
            <w:autoSpaceDN w:val="0"/>
            <w:ind w:hanging="640"/>
            <w:divId w:val="1440953050"/>
            <w:rPr>
              <w:rFonts w:eastAsia="Times New Roman"/>
            </w:rPr>
          </w:pPr>
          <w:r>
            <w:rPr>
              <w:rFonts w:eastAsia="Times New Roman"/>
            </w:rPr>
            <w:t xml:space="preserve">125. </w:t>
          </w:r>
          <w:r>
            <w:rPr>
              <w:rFonts w:eastAsia="Times New Roman"/>
            </w:rPr>
            <w:tab/>
            <w:t>Strosnider H, Kennedy C, Monti M, Yip F. Rural and Urban Differences in Air Quality, 2008–2012, and Community Drinking Water Quality, 2010–2015 — United States. MMWR Surveillance Summaries. 2019;66. doi:10.15585/MMWR.SS6613A1</w:t>
          </w:r>
        </w:p>
        <w:p w14:paraId="60CD4114" w14:textId="77777777" w:rsidR="00572E88" w:rsidRDefault="00572E88">
          <w:pPr>
            <w:autoSpaceDE w:val="0"/>
            <w:autoSpaceDN w:val="0"/>
            <w:ind w:hanging="640"/>
            <w:divId w:val="2123188787"/>
            <w:rPr>
              <w:rFonts w:eastAsia="Times New Roman"/>
            </w:rPr>
          </w:pPr>
          <w:r>
            <w:rPr>
              <w:rFonts w:eastAsia="Times New Roman"/>
            </w:rPr>
            <w:t xml:space="preserve">126. </w:t>
          </w:r>
          <w:r>
            <w:rPr>
              <w:rFonts w:eastAsia="Times New Roman"/>
            </w:rPr>
            <w:tab/>
            <w:t>Raju S, Brigham EP, Paulin LM, Putcha N, Balasubramanian A, Hansel NN, et al. The burden of rural chronic obstructive pulmonary disease: Analyses from the National Health and Nutrition Examination survey. Am J Respir Crit Care Med. 2020;201: 488–491. doi:10.1164/RCCM.201906-1128LE,</w:t>
          </w:r>
        </w:p>
        <w:p w14:paraId="3D4675F5" w14:textId="77777777" w:rsidR="00572E88" w:rsidRDefault="00572E88">
          <w:pPr>
            <w:autoSpaceDE w:val="0"/>
            <w:autoSpaceDN w:val="0"/>
            <w:ind w:hanging="640"/>
            <w:divId w:val="706174897"/>
            <w:rPr>
              <w:rFonts w:eastAsia="Times New Roman"/>
            </w:rPr>
          </w:pPr>
          <w:r>
            <w:rPr>
              <w:rFonts w:eastAsia="Times New Roman"/>
            </w:rPr>
            <w:t xml:space="preserve">127. </w:t>
          </w:r>
          <w:r>
            <w:rPr>
              <w:rFonts w:eastAsia="Times New Roman"/>
            </w:rPr>
            <w:tab/>
            <w:t>US. Census Bureau. U.S. Census Bureau QuickFacts: Florida; United States. 2020 [cited 24 Aug 2022]. Available: https://www.census.gov/quickfacts/fact/table/FL,US/PST045221</w:t>
          </w:r>
        </w:p>
        <w:p w14:paraId="5327FBBD" w14:textId="77777777" w:rsidR="00572E88" w:rsidRDefault="00572E88">
          <w:pPr>
            <w:autoSpaceDE w:val="0"/>
            <w:autoSpaceDN w:val="0"/>
            <w:ind w:hanging="640"/>
            <w:divId w:val="1458842109"/>
            <w:rPr>
              <w:rFonts w:eastAsia="Times New Roman"/>
            </w:rPr>
          </w:pPr>
          <w:r>
            <w:rPr>
              <w:rFonts w:eastAsia="Times New Roman"/>
            </w:rPr>
            <w:t>128</w:t>
          </w:r>
          <w:proofErr w:type="gramStart"/>
          <w:r>
            <w:rPr>
              <w:rFonts w:eastAsia="Times New Roman"/>
            </w:rPr>
            <w:t xml:space="preserve">. </w:t>
          </w:r>
          <w:r>
            <w:rPr>
              <w:rFonts w:eastAsia="Times New Roman"/>
            </w:rPr>
            <w:tab/>
            <w:t>Florida</w:t>
          </w:r>
          <w:proofErr w:type="gramEnd"/>
          <w:r>
            <w:rPr>
              <w:rFonts w:eastAsia="Times New Roman"/>
            </w:rPr>
            <w:t xml:space="preserve"> Department of Health P and PR. </w:t>
          </w:r>
          <w:proofErr w:type="gramStart"/>
          <w:r>
            <w:rPr>
              <w:rFonts w:eastAsia="Times New Roman"/>
            </w:rPr>
            <w:t>Florida ’</w:t>
          </w:r>
          <w:proofErr w:type="gramEnd"/>
          <w:r>
            <w:rPr>
              <w:rFonts w:eastAsia="Times New Roman"/>
            </w:rPr>
            <w:t xml:space="preserve"> s Rural Counties. 2016. Available: https://www.floridahealth.gov/provider-and-partner-resources/community-health-workers/health-professional-shortage-designations/Rural Counties Map 2016.pdf</w:t>
          </w:r>
        </w:p>
        <w:p w14:paraId="3FF1634B" w14:textId="77777777" w:rsidR="00572E88" w:rsidRDefault="00572E88">
          <w:pPr>
            <w:autoSpaceDE w:val="0"/>
            <w:autoSpaceDN w:val="0"/>
            <w:ind w:hanging="640"/>
            <w:divId w:val="196547266"/>
            <w:rPr>
              <w:rFonts w:eastAsia="Times New Roman"/>
            </w:rPr>
          </w:pPr>
          <w:r>
            <w:rPr>
              <w:rFonts w:eastAsia="Times New Roman"/>
            </w:rPr>
            <w:t xml:space="preserve">129. </w:t>
          </w:r>
          <w:r>
            <w:rPr>
              <w:rFonts w:eastAsia="Times New Roman"/>
            </w:rPr>
            <w:tab/>
            <w:t>Florida Department of Health D of PHS and PM. FLHealthCHARTS.gov: Home. [cited 7 May 2022]. Available: https://www.flhealthcharts.gov/charts/default.aspx</w:t>
          </w:r>
        </w:p>
        <w:p w14:paraId="2A7B01B9" w14:textId="77777777" w:rsidR="00572E88" w:rsidRDefault="00572E88">
          <w:pPr>
            <w:autoSpaceDE w:val="0"/>
            <w:autoSpaceDN w:val="0"/>
            <w:ind w:hanging="640"/>
            <w:divId w:val="1502163515"/>
            <w:rPr>
              <w:rFonts w:eastAsia="Times New Roman"/>
            </w:rPr>
          </w:pPr>
          <w:r>
            <w:rPr>
              <w:rFonts w:eastAsia="Times New Roman"/>
            </w:rPr>
            <w:t xml:space="preserve">130. </w:t>
          </w:r>
          <w:r>
            <w:rPr>
              <w:rFonts w:eastAsia="Times New Roman"/>
            </w:rPr>
            <w:tab/>
            <w:t>County Health Rankings &amp; Roadmaps. Florida Downloads | County Health Rankings &amp; Roadmaps. [cited 7 May 2022]. Available: https://www.countyhealthrankings.org/app/florida/2019/downloads</w:t>
          </w:r>
        </w:p>
        <w:p w14:paraId="4BFDE901" w14:textId="77777777" w:rsidR="00572E88" w:rsidRDefault="00572E88">
          <w:pPr>
            <w:autoSpaceDE w:val="0"/>
            <w:autoSpaceDN w:val="0"/>
            <w:ind w:hanging="640"/>
            <w:divId w:val="1027675624"/>
            <w:rPr>
              <w:rFonts w:eastAsia="Times New Roman"/>
            </w:rPr>
          </w:pPr>
          <w:r>
            <w:rPr>
              <w:rFonts w:eastAsia="Times New Roman"/>
            </w:rPr>
            <w:t xml:space="preserve">131. </w:t>
          </w:r>
          <w:r>
            <w:rPr>
              <w:rFonts w:eastAsia="Times New Roman"/>
            </w:rPr>
            <w:tab/>
            <w:t>United States Census Bureau. 2020 TIGER/Line® Shapefiles. [cited 16 Sep 2021]. Available: https://www.census.gov/cgi-bin/geo/shapefiles/index.php?year=2020&amp;layergroup=ZIP+Code+Tabulation+Areas</w:t>
          </w:r>
        </w:p>
        <w:p w14:paraId="66E09A30" w14:textId="77777777" w:rsidR="00572E88" w:rsidRDefault="00572E88">
          <w:pPr>
            <w:autoSpaceDE w:val="0"/>
            <w:autoSpaceDN w:val="0"/>
            <w:ind w:hanging="640"/>
            <w:divId w:val="134029738"/>
            <w:rPr>
              <w:rFonts w:eastAsia="Times New Roman"/>
            </w:rPr>
          </w:pPr>
          <w:r>
            <w:rPr>
              <w:rFonts w:eastAsia="Times New Roman"/>
            </w:rPr>
            <w:t xml:space="preserve">132. </w:t>
          </w:r>
          <w:r>
            <w:rPr>
              <w:rFonts w:eastAsia="Times New Roman"/>
            </w:rPr>
            <w:tab/>
            <w:t xml:space="preserve">RStudio Team. RStudio: Integrated Development Environment for R. Boston, MA, USA: RStudio, Inc.; 2020. </w:t>
          </w:r>
        </w:p>
        <w:p w14:paraId="51880093" w14:textId="77777777" w:rsidR="00572E88" w:rsidRDefault="00572E88">
          <w:pPr>
            <w:autoSpaceDE w:val="0"/>
            <w:autoSpaceDN w:val="0"/>
            <w:ind w:hanging="640"/>
            <w:divId w:val="1845436261"/>
            <w:rPr>
              <w:rFonts w:eastAsia="Times New Roman"/>
            </w:rPr>
          </w:pPr>
          <w:r>
            <w:rPr>
              <w:rFonts w:eastAsia="Times New Roman"/>
            </w:rPr>
            <w:t xml:space="preserve">133. </w:t>
          </w:r>
          <w:r>
            <w:rPr>
              <w:rFonts w:eastAsia="Times New Roman"/>
            </w:rPr>
            <w:tab/>
            <w:t>R Core Team. R: A Language and Environment for Statistical Computing. Vienna, Austria; 2020. Available: https://www.r-project.org/</w:t>
          </w:r>
        </w:p>
        <w:p w14:paraId="698AD8C6" w14:textId="77777777" w:rsidR="00572E88" w:rsidRDefault="00572E88">
          <w:pPr>
            <w:autoSpaceDE w:val="0"/>
            <w:autoSpaceDN w:val="0"/>
            <w:ind w:hanging="640"/>
            <w:divId w:val="905989016"/>
            <w:rPr>
              <w:rFonts w:eastAsia="Times New Roman"/>
            </w:rPr>
          </w:pPr>
          <w:r>
            <w:rPr>
              <w:rFonts w:eastAsia="Times New Roman"/>
            </w:rPr>
            <w:lastRenderedPageBreak/>
            <w:t xml:space="preserve">134. </w:t>
          </w:r>
          <w:r>
            <w:rPr>
              <w:rFonts w:eastAsia="Times New Roman"/>
            </w:rPr>
            <w:tab/>
          </w:r>
          <w:proofErr w:type="spellStart"/>
          <w:r>
            <w:rPr>
              <w:rFonts w:eastAsia="Times New Roman"/>
            </w:rPr>
            <w:t>Dohoo</w:t>
          </w:r>
          <w:proofErr w:type="spellEnd"/>
          <w:r>
            <w:rPr>
              <w:rFonts w:eastAsia="Times New Roman"/>
            </w:rPr>
            <w:t xml:space="preserve"> I, Martin W, Stryhn H. Methods in Epidemiologic Research. 1st ed. McPike SM, editor. Charlottetown, Prince Edward Island, Canda: VER Inc.; 2012. </w:t>
          </w:r>
        </w:p>
        <w:p w14:paraId="0EAB07D0" w14:textId="77777777" w:rsidR="00572E88" w:rsidRDefault="00572E88">
          <w:pPr>
            <w:autoSpaceDE w:val="0"/>
            <w:autoSpaceDN w:val="0"/>
            <w:ind w:hanging="640"/>
            <w:divId w:val="1453400461"/>
            <w:rPr>
              <w:rFonts w:eastAsia="Times New Roman"/>
            </w:rPr>
          </w:pPr>
          <w:r>
            <w:rPr>
              <w:rFonts w:eastAsia="Times New Roman"/>
            </w:rPr>
            <w:t xml:space="preserve">135. </w:t>
          </w:r>
          <w:r>
            <w:rPr>
              <w:rFonts w:eastAsia="Times New Roman"/>
            </w:rPr>
            <w:tab/>
            <w:t>US Census Bureau. 2016-2020 American Community Survey 5-Year Estimates. 2020 [cited 13 Aug 2022]. Available: https://data.census.gov/cedsci/table?q=age&amp;g=0400000US12&amp;tid=ACSST5Y2020.S0101</w:t>
          </w:r>
        </w:p>
        <w:p w14:paraId="52576EE8" w14:textId="77777777" w:rsidR="00572E88" w:rsidRDefault="00572E88">
          <w:pPr>
            <w:autoSpaceDE w:val="0"/>
            <w:autoSpaceDN w:val="0"/>
            <w:ind w:hanging="640"/>
            <w:divId w:val="271522631"/>
            <w:rPr>
              <w:rFonts w:eastAsia="Times New Roman"/>
            </w:rPr>
          </w:pPr>
          <w:r>
            <w:rPr>
              <w:rFonts w:eastAsia="Times New Roman"/>
            </w:rPr>
            <w:t xml:space="preserve">136. </w:t>
          </w:r>
          <w:r>
            <w:rPr>
              <w:rFonts w:eastAsia="Times New Roman"/>
            </w:rPr>
            <w:tab/>
            <w:t>Royston JP. Algorithm AS 181: The W Test for Normality. Appl Stat. 1982;31: 176. doi:10.2307/2347986</w:t>
          </w:r>
        </w:p>
        <w:p w14:paraId="7F46AAE5" w14:textId="77777777" w:rsidR="00572E88" w:rsidRDefault="00572E88">
          <w:pPr>
            <w:autoSpaceDE w:val="0"/>
            <w:autoSpaceDN w:val="0"/>
            <w:ind w:hanging="640"/>
            <w:divId w:val="1573612815"/>
            <w:rPr>
              <w:rFonts w:eastAsia="Times New Roman"/>
            </w:rPr>
          </w:pPr>
          <w:r>
            <w:rPr>
              <w:rFonts w:eastAsia="Times New Roman"/>
            </w:rPr>
            <w:t xml:space="preserve">137. </w:t>
          </w:r>
          <w:r>
            <w:rPr>
              <w:rFonts w:eastAsia="Times New Roman"/>
            </w:rPr>
            <w:tab/>
            <w:t xml:space="preserve">Tango T, Takahashi K. A flexibly shaped spatial scan statistic for detecting clusters. Int J Health </w:t>
          </w:r>
          <w:proofErr w:type="spellStart"/>
          <w:r>
            <w:rPr>
              <w:rFonts w:eastAsia="Times New Roman"/>
            </w:rPr>
            <w:t>Geogr</w:t>
          </w:r>
          <w:proofErr w:type="spellEnd"/>
          <w:r>
            <w:rPr>
              <w:rFonts w:eastAsia="Times New Roman"/>
            </w:rPr>
            <w:t>. 2005;4: 1–15. doi:10.1186/1476-072X-4-11/TABLES/6</w:t>
          </w:r>
        </w:p>
        <w:p w14:paraId="5517139E" w14:textId="77777777" w:rsidR="00572E88" w:rsidRDefault="00572E88">
          <w:pPr>
            <w:autoSpaceDE w:val="0"/>
            <w:autoSpaceDN w:val="0"/>
            <w:ind w:hanging="640"/>
            <w:divId w:val="196818100"/>
            <w:rPr>
              <w:rFonts w:eastAsia="Times New Roman"/>
            </w:rPr>
          </w:pPr>
          <w:r>
            <w:rPr>
              <w:rFonts w:eastAsia="Times New Roman"/>
            </w:rPr>
            <w:t xml:space="preserve">138. </w:t>
          </w:r>
          <w:r>
            <w:rPr>
              <w:rFonts w:eastAsia="Times New Roman"/>
            </w:rPr>
            <w:tab/>
            <w:t>Khan MM, Odoi A, Odoi EW. Geographic disparities in COVID-19 testing and outcomes in Florida. BMC Public Health. 2023;23: 1–13. doi:10.1186/S12889-022-14450-9/TABLES/4</w:t>
          </w:r>
        </w:p>
        <w:p w14:paraId="71587B1F" w14:textId="77777777" w:rsidR="00572E88" w:rsidRDefault="00572E88">
          <w:pPr>
            <w:autoSpaceDE w:val="0"/>
            <w:autoSpaceDN w:val="0"/>
            <w:ind w:hanging="640"/>
            <w:divId w:val="106705201"/>
            <w:rPr>
              <w:rFonts w:eastAsia="Times New Roman"/>
            </w:rPr>
          </w:pPr>
          <w:r>
            <w:rPr>
              <w:rFonts w:eastAsia="Times New Roman"/>
            </w:rPr>
            <w:t xml:space="preserve">139. </w:t>
          </w:r>
          <w:r>
            <w:rPr>
              <w:rFonts w:eastAsia="Times New Roman"/>
            </w:rPr>
            <w:tab/>
            <w:t>Lord J, Roberson S, Odoi A. Geographic disparities, determinants, and temporal changes in the prevalence of pre-diabetes in Florida. PeerJ. 2021;9. doi:10.7717/PEERJ.10443,</w:t>
          </w:r>
        </w:p>
        <w:p w14:paraId="6A785596" w14:textId="77777777" w:rsidR="00572E88" w:rsidRDefault="00572E88">
          <w:pPr>
            <w:autoSpaceDE w:val="0"/>
            <w:autoSpaceDN w:val="0"/>
            <w:ind w:hanging="640"/>
            <w:divId w:val="931474433"/>
            <w:rPr>
              <w:rFonts w:eastAsia="Times New Roman"/>
            </w:rPr>
          </w:pPr>
          <w:r>
            <w:rPr>
              <w:rFonts w:eastAsia="Times New Roman"/>
            </w:rPr>
            <w:t xml:space="preserve">140. </w:t>
          </w:r>
          <w:r>
            <w:rPr>
              <w:rFonts w:eastAsia="Times New Roman"/>
            </w:rPr>
            <w:tab/>
            <w:t xml:space="preserve">Prates MO, </w:t>
          </w:r>
          <w:proofErr w:type="spellStart"/>
          <w:r>
            <w:rPr>
              <w:rFonts w:eastAsia="Times New Roman"/>
            </w:rPr>
            <w:t>Kulldorff</w:t>
          </w:r>
          <w:proofErr w:type="spellEnd"/>
          <w:r>
            <w:rPr>
              <w:rFonts w:eastAsia="Times New Roman"/>
            </w:rPr>
            <w:t xml:space="preserve"> M, Assunção RM. Relative risk estimates from spatial and space-time scan statistics: Are they biased? Stat Med. 2014;33: 2634. doi:10.1002/SIM.6143</w:t>
          </w:r>
        </w:p>
        <w:p w14:paraId="2578491D" w14:textId="77777777" w:rsidR="00572E88" w:rsidRDefault="00572E88">
          <w:pPr>
            <w:autoSpaceDE w:val="0"/>
            <w:autoSpaceDN w:val="0"/>
            <w:ind w:hanging="640"/>
            <w:divId w:val="664868130"/>
            <w:rPr>
              <w:rFonts w:eastAsia="Times New Roman"/>
            </w:rPr>
          </w:pPr>
          <w:r>
            <w:rPr>
              <w:rFonts w:eastAsia="Times New Roman"/>
            </w:rPr>
            <w:t xml:space="preserve">141. </w:t>
          </w:r>
          <w:r>
            <w:rPr>
              <w:rFonts w:eastAsia="Times New Roman"/>
            </w:rPr>
            <w:tab/>
            <w:t xml:space="preserve">Breusch TS, Pagan AR. A Simple Test for Heteroscedasticity and Random Coefficient Variation. </w:t>
          </w:r>
          <w:proofErr w:type="spellStart"/>
          <w:r>
            <w:rPr>
              <w:rFonts w:eastAsia="Times New Roman"/>
            </w:rPr>
            <w:t>Econometrica</w:t>
          </w:r>
          <w:proofErr w:type="spellEnd"/>
          <w:r>
            <w:rPr>
              <w:rFonts w:eastAsia="Times New Roman"/>
            </w:rPr>
            <w:t>. 1979;47: 1287. doi:10.2307/1911963</w:t>
          </w:r>
        </w:p>
        <w:p w14:paraId="1299AD69" w14:textId="77777777" w:rsidR="00572E88" w:rsidRDefault="00572E88">
          <w:pPr>
            <w:autoSpaceDE w:val="0"/>
            <w:autoSpaceDN w:val="0"/>
            <w:ind w:hanging="640"/>
            <w:divId w:val="962270850"/>
            <w:rPr>
              <w:rFonts w:eastAsia="Times New Roman"/>
            </w:rPr>
          </w:pPr>
          <w:r>
            <w:rPr>
              <w:rFonts w:eastAsia="Times New Roman"/>
            </w:rPr>
            <w:t xml:space="preserve">142. </w:t>
          </w:r>
          <w:r>
            <w:rPr>
              <w:rFonts w:eastAsia="Times New Roman"/>
            </w:rPr>
            <w:tab/>
          </w:r>
          <w:proofErr w:type="spellStart"/>
          <w:r>
            <w:rPr>
              <w:rFonts w:eastAsia="Times New Roman"/>
            </w:rPr>
            <w:t>Anselin</w:t>
          </w:r>
          <w:proofErr w:type="spellEnd"/>
          <w:r>
            <w:rPr>
              <w:rFonts w:eastAsia="Times New Roman"/>
            </w:rPr>
            <w:t xml:space="preserve"> L, </w:t>
          </w:r>
          <w:proofErr w:type="spellStart"/>
          <w:r>
            <w:rPr>
              <w:rFonts w:eastAsia="Times New Roman"/>
            </w:rPr>
            <w:t>Syabri</w:t>
          </w:r>
          <w:proofErr w:type="spellEnd"/>
          <w:r>
            <w:rPr>
              <w:rFonts w:eastAsia="Times New Roman"/>
            </w:rPr>
            <w:t xml:space="preserve"> I, Kho Y. GeoDa: An Introduction to Spatial Data Analysis. </w:t>
          </w:r>
          <w:proofErr w:type="spellStart"/>
          <w:r>
            <w:rPr>
              <w:rFonts w:eastAsia="Times New Roman"/>
            </w:rPr>
            <w:t>Geogr</w:t>
          </w:r>
          <w:proofErr w:type="spellEnd"/>
          <w:r>
            <w:rPr>
              <w:rFonts w:eastAsia="Times New Roman"/>
            </w:rPr>
            <w:t xml:space="preserve"> Anal. 2006;38: 5–22. doi:10.1111/J.0016-7363.</w:t>
          </w:r>
          <w:proofErr w:type="gramStart"/>
          <w:r>
            <w:rPr>
              <w:rFonts w:eastAsia="Times New Roman"/>
            </w:rPr>
            <w:t>2005.00671.X</w:t>
          </w:r>
          <w:proofErr w:type="gramEnd"/>
        </w:p>
        <w:p w14:paraId="2C9E60C0" w14:textId="77777777" w:rsidR="00572E88" w:rsidRDefault="00572E88">
          <w:pPr>
            <w:autoSpaceDE w:val="0"/>
            <w:autoSpaceDN w:val="0"/>
            <w:ind w:hanging="640"/>
            <w:divId w:val="432210134"/>
            <w:rPr>
              <w:rFonts w:eastAsia="Times New Roman"/>
            </w:rPr>
          </w:pPr>
          <w:r>
            <w:rPr>
              <w:rFonts w:eastAsia="Times New Roman"/>
            </w:rPr>
            <w:t xml:space="preserve">143. </w:t>
          </w:r>
          <w:r>
            <w:rPr>
              <w:rFonts w:eastAsia="Times New Roman"/>
            </w:rPr>
            <w:tab/>
            <w:t xml:space="preserve">Environmental Systems Research Institute (ESRI). ArcGIS Desktop. 2017. </w:t>
          </w:r>
        </w:p>
        <w:p w14:paraId="52F263CA" w14:textId="77777777" w:rsidR="00572E88" w:rsidRDefault="00572E88">
          <w:pPr>
            <w:autoSpaceDE w:val="0"/>
            <w:autoSpaceDN w:val="0"/>
            <w:ind w:hanging="640"/>
            <w:divId w:val="1447429712"/>
            <w:rPr>
              <w:rFonts w:eastAsia="Times New Roman"/>
            </w:rPr>
          </w:pPr>
          <w:r>
            <w:rPr>
              <w:rFonts w:eastAsia="Times New Roman"/>
            </w:rPr>
            <w:t xml:space="preserve">144. </w:t>
          </w:r>
          <w:r>
            <w:rPr>
              <w:rFonts w:eastAsia="Times New Roman"/>
            </w:rPr>
            <w:tab/>
            <w:t>Brewer CA, Pickle L. Evaluation of Methods for Classifying Epidemiological Data on Choropleth Maps in Series. Annals of the Association of American Geographers. 2002;92: 662–681. doi:10.1111/1467-8306.00310</w:t>
          </w:r>
        </w:p>
        <w:p w14:paraId="37EB2582" w14:textId="77777777" w:rsidR="00572E88" w:rsidRDefault="00572E88">
          <w:pPr>
            <w:autoSpaceDE w:val="0"/>
            <w:autoSpaceDN w:val="0"/>
            <w:ind w:hanging="640"/>
            <w:divId w:val="1927492179"/>
            <w:rPr>
              <w:rFonts w:eastAsia="Times New Roman"/>
            </w:rPr>
          </w:pPr>
          <w:r>
            <w:rPr>
              <w:rFonts w:eastAsia="Times New Roman"/>
            </w:rPr>
            <w:t xml:space="preserve">145. </w:t>
          </w:r>
          <w:r>
            <w:rPr>
              <w:rFonts w:eastAsia="Times New Roman"/>
            </w:rPr>
            <w:tab/>
            <w:t xml:space="preserve">Sullivan J, </w:t>
          </w:r>
          <w:proofErr w:type="spellStart"/>
          <w:r>
            <w:rPr>
              <w:rFonts w:eastAsia="Times New Roman"/>
            </w:rPr>
            <w:t>Pravosud</w:t>
          </w:r>
          <w:proofErr w:type="spellEnd"/>
          <w:r>
            <w:rPr>
              <w:rFonts w:eastAsia="Times New Roman"/>
            </w:rPr>
            <w:t xml:space="preserve"> MPHV, Mannino MPHDM, Siegel K. Journal of the COPD Foundation Chronic Obstructive Pulmonary </w:t>
          </w:r>
          <w:proofErr w:type="gramStart"/>
          <w:r>
            <w:rPr>
              <w:rFonts w:eastAsia="Times New Roman"/>
            </w:rPr>
            <w:t>Diseases</w:t>
          </w:r>
          <w:r>
            <w:rPr>
              <w:rFonts w:ascii="Arial" w:eastAsia="Times New Roman" w:hAnsi="Arial" w:cs="Arial"/>
            </w:rPr>
            <w:t> </w:t>
          </w:r>
          <w:r>
            <w:rPr>
              <w:rFonts w:eastAsia="Times New Roman"/>
            </w:rPr>
            <w:t>:</w:t>
          </w:r>
          <w:proofErr w:type="gramEnd"/>
          <w:r>
            <w:rPr>
              <w:rFonts w:eastAsia="Times New Roman"/>
            </w:rPr>
            <w:t xml:space="preserve"> National and State Estimates of COPD Morbidity and Mortality </w:t>
          </w:r>
          <w:r>
            <w:rPr>
              <w:rFonts w:ascii="Aptos" w:eastAsia="Times New Roman" w:hAnsi="Aptos" w:cs="Aptos"/>
            </w:rPr>
            <w:t>—</w:t>
          </w:r>
          <w:r>
            <w:rPr>
              <w:rFonts w:eastAsia="Times New Roman"/>
            </w:rPr>
            <w:t xml:space="preserve"> United </w:t>
          </w:r>
          <w:proofErr w:type="gramStart"/>
          <w:r>
            <w:rPr>
              <w:rFonts w:eastAsia="Times New Roman"/>
            </w:rPr>
            <w:t>States ,</w:t>
          </w:r>
          <w:proofErr w:type="gramEnd"/>
          <w:r>
            <w:rPr>
              <w:rFonts w:eastAsia="Times New Roman"/>
            </w:rPr>
            <w:t xml:space="preserve"> 2014-2015. Journal of the COPD Foundation. 2018;5: 324</w:t>
          </w:r>
          <w:r>
            <w:rPr>
              <w:rFonts w:ascii="Aptos" w:eastAsia="Times New Roman" w:hAnsi="Aptos" w:cs="Aptos"/>
            </w:rPr>
            <w:t>–</w:t>
          </w:r>
          <w:r>
            <w:rPr>
              <w:rFonts w:eastAsia="Times New Roman"/>
            </w:rPr>
            <w:t xml:space="preserve">333. </w:t>
          </w:r>
        </w:p>
        <w:p w14:paraId="530ABFFF" w14:textId="77777777" w:rsidR="00572E88" w:rsidRDefault="00572E88">
          <w:pPr>
            <w:autoSpaceDE w:val="0"/>
            <w:autoSpaceDN w:val="0"/>
            <w:ind w:hanging="640"/>
            <w:divId w:val="1103694833"/>
            <w:rPr>
              <w:rFonts w:eastAsia="Times New Roman"/>
            </w:rPr>
          </w:pPr>
          <w:r>
            <w:rPr>
              <w:rFonts w:eastAsia="Times New Roman"/>
            </w:rPr>
            <w:lastRenderedPageBreak/>
            <w:t xml:space="preserve">146. </w:t>
          </w:r>
          <w:r>
            <w:rPr>
              <w:rFonts w:eastAsia="Times New Roman"/>
            </w:rPr>
            <w:tab/>
          </w:r>
          <w:proofErr w:type="spellStart"/>
          <w:r>
            <w:rPr>
              <w:rFonts w:eastAsia="Times New Roman"/>
            </w:rPr>
            <w:t>Kumarihamy</w:t>
          </w:r>
          <w:proofErr w:type="spellEnd"/>
          <w:r>
            <w:rPr>
              <w:rFonts w:eastAsia="Times New Roman"/>
            </w:rPr>
            <w:t xml:space="preserve"> RMK, Tripathi NK. Geostatistical predictive modeling for asthma and chronic obstructive pulmonary disease using socioeconomic and environmental determinants. Environ Monit Assess. 2019;191. doi:10.1007/S10661-019-7417-0</w:t>
          </w:r>
        </w:p>
        <w:p w14:paraId="5E747652" w14:textId="77777777" w:rsidR="00572E88" w:rsidRDefault="00572E88">
          <w:pPr>
            <w:autoSpaceDE w:val="0"/>
            <w:autoSpaceDN w:val="0"/>
            <w:ind w:hanging="640"/>
            <w:divId w:val="1079207777"/>
            <w:rPr>
              <w:rFonts w:eastAsia="Times New Roman"/>
            </w:rPr>
          </w:pPr>
          <w:r>
            <w:rPr>
              <w:rFonts w:eastAsia="Times New Roman"/>
            </w:rPr>
            <w:t xml:space="preserve">147. </w:t>
          </w:r>
          <w:r>
            <w:rPr>
              <w:rFonts w:eastAsia="Times New Roman"/>
            </w:rPr>
            <w:tab/>
            <w:t>SHEHU E, FARRUKU H, SMAILI H. Air Pollution and Socio-Economic Determinants of Chronic Obstructive Pulmonary Disease in Albania. Curr Health Sci J. 2022;48: 51. doi:10.12865/CHSJ.48.01.07</w:t>
          </w:r>
        </w:p>
        <w:p w14:paraId="34EC1C14" w14:textId="77777777" w:rsidR="00572E88" w:rsidRDefault="00572E88">
          <w:pPr>
            <w:autoSpaceDE w:val="0"/>
            <w:autoSpaceDN w:val="0"/>
            <w:ind w:hanging="640"/>
            <w:divId w:val="505511316"/>
            <w:rPr>
              <w:rFonts w:eastAsia="Times New Roman"/>
            </w:rPr>
          </w:pPr>
          <w:r>
            <w:rPr>
              <w:rFonts w:eastAsia="Times New Roman"/>
            </w:rPr>
            <w:t xml:space="preserve">148. </w:t>
          </w:r>
          <w:r>
            <w:rPr>
              <w:rFonts w:eastAsia="Times New Roman"/>
            </w:rPr>
            <w:tab/>
            <w:t>Silva G, Sherrille D, Guerra S, Barbee R. Asthma as a Risk Factor for COPD in a Longitudinal Study. Chest. 2004;126: 59–65. doi:10.1016/s8756-3452(08)70006-9</w:t>
          </w:r>
        </w:p>
        <w:p w14:paraId="60FE0182" w14:textId="77777777" w:rsidR="00572E88" w:rsidRDefault="00572E88">
          <w:pPr>
            <w:autoSpaceDE w:val="0"/>
            <w:autoSpaceDN w:val="0"/>
            <w:ind w:hanging="640"/>
            <w:divId w:val="1562057900"/>
            <w:rPr>
              <w:rFonts w:eastAsia="Times New Roman"/>
            </w:rPr>
          </w:pPr>
          <w:r>
            <w:rPr>
              <w:rFonts w:eastAsia="Times New Roman"/>
            </w:rPr>
            <w:t xml:space="preserve">149. </w:t>
          </w:r>
          <w:r>
            <w:rPr>
              <w:rFonts w:eastAsia="Times New Roman"/>
            </w:rPr>
            <w:tab/>
            <w:t>McGeachie MJ, Yates KP, Zhou X, Guo F, Sternberg AL, Van Natta ML, et al. Patterns of Growth and Decline in Lung Function in Persistent Childhood Asthma. N Engl J Med. 2016;374: 1842. doi:10.1056/NEJMOA1513737</w:t>
          </w:r>
        </w:p>
        <w:p w14:paraId="0B8CB4B1" w14:textId="77777777" w:rsidR="00572E88" w:rsidRDefault="00572E88">
          <w:pPr>
            <w:autoSpaceDE w:val="0"/>
            <w:autoSpaceDN w:val="0"/>
            <w:ind w:hanging="640"/>
            <w:divId w:val="263535844"/>
            <w:rPr>
              <w:rFonts w:eastAsia="Times New Roman"/>
            </w:rPr>
          </w:pPr>
          <w:r>
            <w:rPr>
              <w:rFonts w:eastAsia="Times New Roman"/>
            </w:rPr>
            <w:t xml:space="preserve">150. </w:t>
          </w:r>
          <w:r>
            <w:rPr>
              <w:rFonts w:eastAsia="Times New Roman"/>
            </w:rPr>
            <w:tab/>
            <w:t>Leung JM, Sin DD. Asthma-COPD overlap syndrome: pathogenesis, clinical features, and therapeutic targets. BMJ. 2017;358. doi:10.1136/BMJ.J3772</w:t>
          </w:r>
        </w:p>
        <w:p w14:paraId="2FFCA353" w14:textId="77777777" w:rsidR="00572E88" w:rsidRDefault="00572E88">
          <w:pPr>
            <w:autoSpaceDE w:val="0"/>
            <w:autoSpaceDN w:val="0"/>
            <w:ind w:hanging="640"/>
            <w:divId w:val="536046440"/>
            <w:rPr>
              <w:rFonts w:eastAsia="Times New Roman"/>
            </w:rPr>
          </w:pPr>
          <w:r>
            <w:rPr>
              <w:rFonts w:eastAsia="Times New Roman"/>
            </w:rPr>
            <w:t xml:space="preserve">151. </w:t>
          </w:r>
          <w:r>
            <w:rPr>
              <w:rFonts w:eastAsia="Times New Roman"/>
            </w:rPr>
            <w:tab/>
            <w:t xml:space="preserve">Roman-Rodriguez M, Kaplan A. GOLD 2021 Strategy Report: Implications for Asthma–COPD Overlap. Int J Chron Obstruct </w:t>
          </w:r>
          <w:proofErr w:type="spellStart"/>
          <w:r>
            <w:rPr>
              <w:rFonts w:eastAsia="Times New Roman"/>
            </w:rPr>
            <w:t>Pulmon</w:t>
          </w:r>
          <w:proofErr w:type="spellEnd"/>
          <w:r>
            <w:rPr>
              <w:rFonts w:eastAsia="Times New Roman"/>
            </w:rPr>
            <w:t xml:space="preserve"> Dis. 2021;16: 1709. doi:10.2147/COPD.S300902</w:t>
          </w:r>
        </w:p>
        <w:p w14:paraId="0A126366" w14:textId="77777777" w:rsidR="00572E88" w:rsidRDefault="00572E88">
          <w:pPr>
            <w:autoSpaceDE w:val="0"/>
            <w:autoSpaceDN w:val="0"/>
            <w:ind w:hanging="640"/>
            <w:divId w:val="1104115063"/>
            <w:rPr>
              <w:rFonts w:eastAsia="Times New Roman"/>
            </w:rPr>
          </w:pPr>
          <w:r>
            <w:rPr>
              <w:rFonts w:eastAsia="Times New Roman"/>
            </w:rPr>
            <w:t xml:space="preserve">152. </w:t>
          </w:r>
          <w:r>
            <w:rPr>
              <w:rFonts w:eastAsia="Times New Roman"/>
            </w:rPr>
            <w:tab/>
            <w:t xml:space="preserve">Pate CA, Zahran HS, Qin X, Johnson C, </w:t>
          </w:r>
          <w:proofErr w:type="spellStart"/>
          <w:r>
            <w:rPr>
              <w:rFonts w:eastAsia="Times New Roman"/>
            </w:rPr>
            <w:t>Hummelman</w:t>
          </w:r>
          <w:proofErr w:type="spellEnd"/>
          <w:r>
            <w:rPr>
              <w:rFonts w:eastAsia="Times New Roman"/>
            </w:rPr>
            <w:t xml:space="preserve"> E, Malilay J. Asthma Surveillance — United States, 2006–2018. MMWR Surveillance Summaries. 2021;70: 1. doi:10.15585/MMWR.SS7005A1</w:t>
          </w:r>
        </w:p>
        <w:p w14:paraId="7E7BF507" w14:textId="77777777" w:rsidR="00572E88" w:rsidRDefault="00572E88">
          <w:pPr>
            <w:autoSpaceDE w:val="0"/>
            <w:autoSpaceDN w:val="0"/>
            <w:ind w:hanging="640"/>
            <w:divId w:val="175850999"/>
            <w:rPr>
              <w:rFonts w:eastAsia="Times New Roman"/>
            </w:rPr>
          </w:pPr>
          <w:r>
            <w:rPr>
              <w:rFonts w:eastAsia="Times New Roman"/>
            </w:rPr>
            <w:t xml:space="preserve">153. </w:t>
          </w:r>
          <w:r>
            <w:rPr>
              <w:rFonts w:eastAsia="Times New Roman"/>
            </w:rPr>
            <w:tab/>
            <w:t xml:space="preserve">Grant T, Croce E, Matsui EC. Asthma and the Social Determinants of Health. Ann Allergy Asthma Immunol. 2021;128: 5. </w:t>
          </w:r>
          <w:proofErr w:type="gramStart"/>
          <w:r>
            <w:rPr>
              <w:rFonts w:eastAsia="Times New Roman"/>
            </w:rPr>
            <w:t>doi:10.1016/J.ANAI</w:t>
          </w:r>
          <w:proofErr w:type="gramEnd"/>
          <w:r>
            <w:rPr>
              <w:rFonts w:eastAsia="Times New Roman"/>
            </w:rPr>
            <w:t>.2021.10.002</w:t>
          </w:r>
        </w:p>
        <w:p w14:paraId="7473F77D" w14:textId="77777777" w:rsidR="00572E88" w:rsidRDefault="00572E88">
          <w:pPr>
            <w:autoSpaceDE w:val="0"/>
            <w:autoSpaceDN w:val="0"/>
            <w:ind w:hanging="640"/>
            <w:divId w:val="1303074327"/>
            <w:rPr>
              <w:rFonts w:eastAsia="Times New Roman"/>
            </w:rPr>
          </w:pPr>
          <w:r>
            <w:rPr>
              <w:rFonts w:eastAsia="Times New Roman"/>
            </w:rPr>
            <w:t xml:space="preserve">154. </w:t>
          </w:r>
          <w:r>
            <w:rPr>
              <w:rFonts w:eastAsia="Times New Roman"/>
            </w:rPr>
            <w:tab/>
            <w:t xml:space="preserve">Sahni S, Talwar A, </w:t>
          </w:r>
          <w:proofErr w:type="spellStart"/>
          <w:r>
            <w:rPr>
              <w:rFonts w:eastAsia="Times New Roman"/>
            </w:rPr>
            <w:t>Khanijo</w:t>
          </w:r>
          <w:proofErr w:type="spellEnd"/>
          <w:r>
            <w:rPr>
              <w:rFonts w:eastAsia="Times New Roman"/>
            </w:rPr>
            <w:t xml:space="preserve"> S, Talwar A. Socioeconomic status and its relationship to chronic respiratory disease. Adv Respir Med. 2017;85: 97–108. doi:10.5603/ARM.2017.0016,</w:t>
          </w:r>
        </w:p>
        <w:p w14:paraId="1FEA709F" w14:textId="77777777" w:rsidR="00572E88" w:rsidRDefault="00572E88">
          <w:pPr>
            <w:autoSpaceDE w:val="0"/>
            <w:autoSpaceDN w:val="0"/>
            <w:ind w:hanging="640"/>
            <w:divId w:val="1108741075"/>
            <w:rPr>
              <w:rFonts w:eastAsia="Times New Roman"/>
            </w:rPr>
          </w:pPr>
          <w:r>
            <w:rPr>
              <w:rFonts w:eastAsia="Times New Roman"/>
            </w:rPr>
            <w:t xml:space="preserve">155. </w:t>
          </w:r>
          <w:r>
            <w:rPr>
              <w:rFonts w:eastAsia="Times New Roman"/>
            </w:rPr>
            <w:tab/>
            <w:t xml:space="preserve">Hendryx M, Luo J, </w:t>
          </w:r>
          <w:proofErr w:type="spellStart"/>
          <w:r>
            <w:rPr>
              <w:rFonts w:eastAsia="Times New Roman"/>
            </w:rPr>
            <w:t>Chojenta</w:t>
          </w:r>
          <w:proofErr w:type="spellEnd"/>
          <w:r>
            <w:rPr>
              <w:rFonts w:eastAsia="Times New Roman"/>
            </w:rPr>
            <w:t xml:space="preserve"> C, Byles JE. Air pollution exposures from multiple point sources and risk of incident chronic obstructive pulmonary disease (COPD) and asthma. Environ Res. 2019;179. </w:t>
          </w:r>
          <w:proofErr w:type="gramStart"/>
          <w:r>
            <w:rPr>
              <w:rFonts w:eastAsia="Times New Roman"/>
            </w:rPr>
            <w:t>doi:10.1016/j.envres</w:t>
          </w:r>
          <w:proofErr w:type="gramEnd"/>
          <w:r>
            <w:rPr>
              <w:rFonts w:eastAsia="Times New Roman"/>
            </w:rPr>
            <w:t>.2019.108783</w:t>
          </w:r>
        </w:p>
        <w:p w14:paraId="7FEF4120" w14:textId="77777777" w:rsidR="00572E88" w:rsidRDefault="00572E88">
          <w:pPr>
            <w:autoSpaceDE w:val="0"/>
            <w:autoSpaceDN w:val="0"/>
            <w:ind w:hanging="640"/>
            <w:divId w:val="530728982"/>
            <w:rPr>
              <w:rFonts w:eastAsia="Times New Roman"/>
            </w:rPr>
          </w:pPr>
          <w:r>
            <w:rPr>
              <w:rFonts w:eastAsia="Times New Roman"/>
            </w:rPr>
            <w:t xml:space="preserve">156. </w:t>
          </w:r>
          <w:r>
            <w:rPr>
              <w:rFonts w:eastAsia="Times New Roman"/>
            </w:rPr>
            <w:tab/>
            <w:t xml:space="preserve">Shin S, Bai L, Burnett RT, Kwong JC, Hystad P, van </w:t>
          </w:r>
          <w:proofErr w:type="spellStart"/>
          <w:r>
            <w:rPr>
              <w:rFonts w:eastAsia="Times New Roman"/>
            </w:rPr>
            <w:t>Donkelaar</w:t>
          </w:r>
          <w:proofErr w:type="spellEnd"/>
          <w:r>
            <w:rPr>
              <w:rFonts w:eastAsia="Times New Roman"/>
            </w:rPr>
            <w:t xml:space="preserve"> A, et al. Air pollution as a risk factor for incident chronic obstructive pulmonary disease and Asthma: A 15-year population-based cohort study. Am J Respir Crit Care Med. 2021;203: 1138–1148. doi:10.1164/RCCM.201909-1744OC,</w:t>
          </w:r>
        </w:p>
        <w:p w14:paraId="18A25FC4" w14:textId="77777777" w:rsidR="00572E88" w:rsidRDefault="00572E88">
          <w:pPr>
            <w:autoSpaceDE w:val="0"/>
            <w:autoSpaceDN w:val="0"/>
            <w:ind w:hanging="640"/>
            <w:divId w:val="1763793127"/>
            <w:rPr>
              <w:rFonts w:eastAsia="Times New Roman"/>
            </w:rPr>
          </w:pPr>
          <w:r>
            <w:rPr>
              <w:rFonts w:eastAsia="Times New Roman"/>
            </w:rPr>
            <w:t xml:space="preserve">157. </w:t>
          </w:r>
          <w:r>
            <w:rPr>
              <w:rFonts w:eastAsia="Times New Roman"/>
            </w:rPr>
            <w:tab/>
          </w:r>
          <w:proofErr w:type="spellStart"/>
          <w:r>
            <w:rPr>
              <w:rFonts w:eastAsia="Times New Roman"/>
            </w:rPr>
            <w:t>Althubaiti</w:t>
          </w:r>
          <w:proofErr w:type="spellEnd"/>
          <w:r>
            <w:rPr>
              <w:rFonts w:eastAsia="Times New Roman"/>
            </w:rPr>
            <w:t xml:space="preserve"> A. Information bias in health research: definition, pitfalls, and adjustment methods. J Multidiscip </w:t>
          </w:r>
          <w:proofErr w:type="spellStart"/>
          <w:r>
            <w:rPr>
              <w:rFonts w:eastAsia="Times New Roman"/>
            </w:rPr>
            <w:t>Healthc</w:t>
          </w:r>
          <w:proofErr w:type="spellEnd"/>
          <w:r>
            <w:rPr>
              <w:rFonts w:eastAsia="Times New Roman"/>
            </w:rPr>
            <w:t>. 2016;9: 211. doi:10.2147/JMDH.S104807</w:t>
          </w:r>
        </w:p>
        <w:p w14:paraId="28408E7D" w14:textId="77777777" w:rsidR="00572E88" w:rsidRDefault="00572E88">
          <w:pPr>
            <w:autoSpaceDE w:val="0"/>
            <w:autoSpaceDN w:val="0"/>
            <w:ind w:hanging="640"/>
            <w:divId w:val="1080441077"/>
            <w:rPr>
              <w:rFonts w:eastAsia="Times New Roman"/>
            </w:rPr>
          </w:pPr>
          <w:r>
            <w:rPr>
              <w:rFonts w:eastAsia="Times New Roman"/>
            </w:rPr>
            <w:lastRenderedPageBreak/>
            <w:t xml:space="preserve">158. </w:t>
          </w:r>
          <w:r>
            <w:rPr>
              <w:rFonts w:eastAsia="Times New Roman"/>
            </w:rPr>
            <w:tab/>
            <w:t xml:space="preserve">Hart JE, Eisen EA, Laden F. Occupational diesel exhaust exposure as a risk factor for chronic obstructive pulmonary disease. Current Opinion in Pulmonary Medicine. NIH Public Access; 2012. pp. 151–154. </w:t>
          </w:r>
          <w:proofErr w:type="gramStart"/>
          <w:r>
            <w:rPr>
              <w:rFonts w:eastAsia="Times New Roman"/>
            </w:rPr>
            <w:t>doi:10.1097/MCP.0b013e32834f0eaa</w:t>
          </w:r>
          <w:proofErr w:type="gramEnd"/>
        </w:p>
        <w:p w14:paraId="4FA7124C" w14:textId="77777777" w:rsidR="00572E88" w:rsidRDefault="00572E88">
          <w:pPr>
            <w:autoSpaceDE w:val="0"/>
            <w:autoSpaceDN w:val="0"/>
            <w:ind w:hanging="640"/>
            <w:divId w:val="1989819849"/>
            <w:rPr>
              <w:rFonts w:eastAsia="Times New Roman"/>
            </w:rPr>
          </w:pPr>
          <w:r>
            <w:rPr>
              <w:rFonts w:eastAsia="Times New Roman"/>
            </w:rPr>
            <w:t xml:space="preserve">159. </w:t>
          </w:r>
          <w:r>
            <w:rPr>
              <w:rFonts w:eastAsia="Times New Roman"/>
            </w:rPr>
            <w:tab/>
            <w:t xml:space="preserve">Koh D-H, Kim J-I, Kim K-H, Yoo S-W. Welding fume exposure and chronic obstructive pulmonary disease in welders. </w:t>
          </w:r>
          <w:proofErr w:type="spellStart"/>
          <w:r>
            <w:rPr>
              <w:rFonts w:eastAsia="Times New Roman"/>
            </w:rPr>
            <w:t>Occup</w:t>
          </w:r>
          <w:proofErr w:type="spellEnd"/>
          <w:r>
            <w:rPr>
              <w:rFonts w:eastAsia="Times New Roman"/>
            </w:rPr>
            <w:t xml:space="preserve"> Med (Chic Ill). 2015;65: 72–77. doi:10.1093/</w:t>
          </w:r>
          <w:proofErr w:type="spellStart"/>
          <w:r>
            <w:rPr>
              <w:rFonts w:eastAsia="Times New Roman"/>
            </w:rPr>
            <w:t>occmed</w:t>
          </w:r>
          <w:proofErr w:type="spellEnd"/>
          <w:r>
            <w:rPr>
              <w:rFonts w:eastAsia="Times New Roman"/>
            </w:rPr>
            <w:t>/kqu136</w:t>
          </w:r>
        </w:p>
        <w:p w14:paraId="5775D2FC" w14:textId="77777777" w:rsidR="00572E88" w:rsidRDefault="00572E88">
          <w:pPr>
            <w:autoSpaceDE w:val="0"/>
            <w:autoSpaceDN w:val="0"/>
            <w:ind w:hanging="640"/>
            <w:divId w:val="592474775"/>
            <w:rPr>
              <w:rFonts w:eastAsia="Times New Roman"/>
            </w:rPr>
          </w:pPr>
          <w:r>
            <w:rPr>
              <w:rFonts w:eastAsia="Times New Roman"/>
            </w:rPr>
            <w:t xml:space="preserve">160. </w:t>
          </w:r>
          <w:r>
            <w:rPr>
              <w:rFonts w:eastAsia="Times New Roman"/>
            </w:rPr>
            <w:tab/>
            <w:t xml:space="preserve">Oh CM, Oh IH, Lee JK, Park YH, Choe BK, Yoon TY, et al. Blood cadmium levels are associated with a decline in lung function in males. Environ Res. 2014;132: 119–125. </w:t>
          </w:r>
          <w:proofErr w:type="gramStart"/>
          <w:r>
            <w:rPr>
              <w:rFonts w:eastAsia="Times New Roman"/>
            </w:rPr>
            <w:t>doi:10.1016/j.envres</w:t>
          </w:r>
          <w:proofErr w:type="gramEnd"/>
          <w:r>
            <w:rPr>
              <w:rFonts w:eastAsia="Times New Roman"/>
            </w:rPr>
            <w:t>.2014.04.008</w:t>
          </w:r>
        </w:p>
        <w:p w14:paraId="5E2C0488" w14:textId="77777777" w:rsidR="00572E88" w:rsidRDefault="00572E88">
          <w:pPr>
            <w:autoSpaceDE w:val="0"/>
            <w:autoSpaceDN w:val="0"/>
            <w:ind w:hanging="640"/>
            <w:divId w:val="1770466071"/>
            <w:rPr>
              <w:rFonts w:eastAsia="Times New Roman"/>
            </w:rPr>
          </w:pPr>
          <w:r>
            <w:rPr>
              <w:rFonts w:eastAsia="Times New Roman"/>
            </w:rPr>
            <w:t xml:space="preserve">161. </w:t>
          </w:r>
          <w:r>
            <w:rPr>
              <w:rFonts w:eastAsia="Times New Roman"/>
            </w:rPr>
            <w:tab/>
            <w:t xml:space="preserve">Koh D-H, Kim J-I, Kim K-H, Yoo S-W. Welding fume exposure and chronic obstructive pulmonary disease in welders. </w:t>
          </w:r>
          <w:proofErr w:type="spellStart"/>
          <w:r>
            <w:rPr>
              <w:rFonts w:eastAsia="Times New Roman"/>
            </w:rPr>
            <w:t>Occup</w:t>
          </w:r>
          <w:proofErr w:type="spellEnd"/>
          <w:r>
            <w:rPr>
              <w:rFonts w:eastAsia="Times New Roman"/>
            </w:rPr>
            <w:t xml:space="preserve"> Med (Chic Ill). 2015;65: 72–77. doi:10.1093/</w:t>
          </w:r>
          <w:proofErr w:type="spellStart"/>
          <w:r>
            <w:rPr>
              <w:rFonts w:eastAsia="Times New Roman"/>
            </w:rPr>
            <w:t>occmed</w:t>
          </w:r>
          <w:proofErr w:type="spellEnd"/>
          <w:r>
            <w:rPr>
              <w:rFonts w:eastAsia="Times New Roman"/>
            </w:rPr>
            <w:t>/kqu136</w:t>
          </w:r>
        </w:p>
        <w:p w14:paraId="59B6C054" w14:textId="77777777" w:rsidR="00572E88" w:rsidRDefault="00572E88">
          <w:pPr>
            <w:autoSpaceDE w:val="0"/>
            <w:autoSpaceDN w:val="0"/>
            <w:ind w:hanging="640"/>
            <w:divId w:val="798182441"/>
            <w:rPr>
              <w:rFonts w:eastAsia="Times New Roman"/>
            </w:rPr>
          </w:pPr>
          <w:r>
            <w:rPr>
              <w:rFonts w:eastAsia="Times New Roman"/>
            </w:rPr>
            <w:t xml:space="preserve">162. </w:t>
          </w:r>
          <w:r>
            <w:rPr>
              <w:rFonts w:eastAsia="Times New Roman"/>
            </w:rPr>
            <w:tab/>
          </w:r>
          <w:proofErr w:type="spellStart"/>
          <w:r>
            <w:rPr>
              <w:rFonts w:eastAsia="Times New Roman"/>
            </w:rPr>
            <w:t>Möhner</w:t>
          </w:r>
          <w:proofErr w:type="spellEnd"/>
          <w:r>
            <w:rPr>
              <w:rFonts w:eastAsia="Times New Roman"/>
            </w:rPr>
            <w:t xml:space="preserve"> M, Kersten N, </w:t>
          </w:r>
          <w:proofErr w:type="spellStart"/>
          <w:r>
            <w:rPr>
              <w:rFonts w:eastAsia="Times New Roman"/>
            </w:rPr>
            <w:t>Gellissen</w:t>
          </w:r>
          <w:proofErr w:type="spellEnd"/>
          <w:r>
            <w:rPr>
              <w:rFonts w:eastAsia="Times New Roman"/>
            </w:rPr>
            <w:t xml:space="preserve"> J. Chronic obstructive pulmonary disease and longitudinal changes in pulmonary function due to occupational exposure to respirable quartz. </w:t>
          </w:r>
          <w:proofErr w:type="spellStart"/>
          <w:r>
            <w:rPr>
              <w:rFonts w:eastAsia="Times New Roman"/>
            </w:rPr>
            <w:t>Occup</w:t>
          </w:r>
          <w:proofErr w:type="spellEnd"/>
          <w:r>
            <w:rPr>
              <w:rFonts w:eastAsia="Times New Roman"/>
            </w:rPr>
            <w:t xml:space="preserve"> Environ Med. 2013;70: 9–14. doi:10.1136/oemed-2012-100775</w:t>
          </w:r>
        </w:p>
        <w:p w14:paraId="52FD3812" w14:textId="77777777" w:rsidR="00572E88" w:rsidRDefault="00572E88">
          <w:pPr>
            <w:autoSpaceDE w:val="0"/>
            <w:autoSpaceDN w:val="0"/>
            <w:ind w:hanging="640"/>
            <w:divId w:val="1863667351"/>
            <w:rPr>
              <w:rFonts w:eastAsia="Times New Roman"/>
            </w:rPr>
          </w:pPr>
          <w:r>
            <w:rPr>
              <w:rFonts w:eastAsia="Times New Roman"/>
            </w:rPr>
            <w:t xml:space="preserve">163. </w:t>
          </w:r>
          <w:r>
            <w:rPr>
              <w:rFonts w:eastAsia="Times New Roman"/>
            </w:rPr>
            <w:tab/>
            <w:t>Eisner MD, Anthonisen N, Coultas D, Kuenzli N, Perez-Padilla R, Postma D, et al. An official American Thoracic Society public policy statement: Novel risk factors and the global burden of chronic obstructive pulmonary disease. Am J Respir Crit Care Med. 2010;182: 693–718. doi:10.1164/rccm.200811-1757ST</w:t>
          </w:r>
        </w:p>
        <w:p w14:paraId="575CF769" w14:textId="77777777" w:rsidR="00572E88" w:rsidRDefault="00572E88">
          <w:pPr>
            <w:autoSpaceDE w:val="0"/>
            <w:autoSpaceDN w:val="0"/>
            <w:ind w:hanging="640"/>
            <w:divId w:val="609288757"/>
            <w:rPr>
              <w:rFonts w:eastAsia="Times New Roman"/>
            </w:rPr>
          </w:pPr>
          <w:r>
            <w:rPr>
              <w:rFonts w:eastAsia="Times New Roman"/>
            </w:rPr>
            <w:t xml:space="preserve">164. </w:t>
          </w:r>
          <w:r>
            <w:rPr>
              <w:rFonts w:eastAsia="Times New Roman"/>
            </w:rPr>
            <w:tab/>
            <w:t>Stange B, Mcinerney J, Golden A, Benade W, Neill B, Mayer A, et al. Integrated approach to health screening of former department of energy workers detects both occupational and non-occupational illness. Am J Ind Med. 2016;59: 200–211. doi:10.1002/ajim.22554</w:t>
          </w:r>
        </w:p>
        <w:p w14:paraId="248C4E10" w14:textId="77777777" w:rsidR="00572E88" w:rsidRDefault="00572E88">
          <w:pPr>
            <w:autoSpaceDE w:val="0"/>
            <w:autoSpaceDN w:val="0"/>
            <w:ind w:hanging="640"/>
            <w:divId w:val="374160817"/>
            <w:rPr>
              <w:rFonts w:eastAsia="Times New Roman"/>
            </w:rPr>
          </w:pPr>
          <w:r>
            <w:rPr>
              <w:rFonts w:eastAsia="Times New Roman"/>
            </w:rPr>
            <w:t xml:space="preserve">165. </w:t>
          </w:r>
          <w:r>
            <w:rPr>
              <w:rFonts w:eastAsia="Times New Roman"/>
            </w:rPr>
            <w:tab/>
            <w:t xml:space="preserve">Martinez-Pitre PJ, </w:t>
          </w:r>
          <w:proofErr w:type="spellStart"/>
          <w:r>
            <w:rPr>
              <w:rFonts w:eastAsia="Times New Roman"/>
            </w:rPr>
            <w:t>Sabbula</w:t>
          </w:r>
          <w:proofErr w:type="spellEnd"/>
          <w:r>
            <w:rPr>
              <w:rFonts w:eastAsia="Times New Roman"/>
            </w:rPr>
            <w:t xml:space="preserve"> BR, Cascella M. Restrictive Lung Disease. </w:t>
          </w:r>
          <w:proofErr w:type="spellStart"/>
          <w:proofErr w:type="gramStart"/>
          <w:r>
            <w:rPr>
              <w:rFonts w:eastAsia="Times New Roman"/>
            </w:rPr>
            <w:t>StatPearls</w:t>
          </w:r>
          <w:proofErr w:type="spellEnd"/>
          <w:r>
            <w:rPr>
              <w:rFonts w:eastAsia="Times New Roman"/>
            </w:rPr>
            <w:t>[</w:t>
          </w:r>
          <w:proofErr w:type="gramEnd"/>
          <w:r>
            <w:rPr>
              <w:rFonts w:eastAsia="Times New Roman"/>
            </w:rPr>
            <w:t xml:space="preserve">Internet]. </w:t>
          </w:r>
          <w:proofErr w:type="spellStart"/>
          <w:r>
            <w:rPr>
              <w:rFonts w:eastAsia="Times New Roman"/>
            </w:rPr>
            <w:t>StatPearls</w:t>
          </w:r>
          <w:proofErr w:type="spellEnd"/>
          <w:r>
            <w:rPr>
              <w:rFonts w:eastAsia="Times New Roman"/>
            </w:rPr>
            <w:t xml:space="preserve"> Publishing; 2023. doi:10.1007/978-3-030-58842-7_16</w:t>
          </w:r>
        </w:p>
        <w:p w14:paraId="359B8A43" w14:textId="77777777" w:rsidR="00572E88" w:rsidRDefault="00572E88">
          <w:pPr>
            <w:autoSpaceDE w:val="0"/>
            <w:autoSpaceDN w:val="0"/>
            <w:ind w:hanging="640"/>
            <w:divId w:val="1035931731"/>
            <w:rPr>
              <w:rFonts w:eastAsia="Times New Roman"/>
            </w:rPr>
          </w:pPr>
          <w:r>
            <w:rPr>
              <w:rFonts w:eastAsia="Times New Roman"/>
            </w:rPr>
            <w:t xml:space="preserve">166. </w:t>
          </w:r>
          <w:r>
            <w:rPr>
              <w:rFonts w:eastAsia="Times New Roman"/>
            </w:rPr>
            <w:tab/>
            <w:t>ORISE OEWH. Illness and Injury Surveillance Program: Worker Health Summary, 1995-2004. 2007. Available: oriseapps.orau.gov/</w:t>
          </w:r>
          <w:proofErr w:type="spellStart"/>
          <w:r>
            <w:rPr>
              <w:rFonts w:eastAsia="Times New Roman"/>
            </w:rPr>
            <w:t>cedr</w:t>
          </w:r>
          <w:proofErr w:type="spellEnd"/>
          <w:r>
            <w:rPr>
              <w:rFonts w:eastAsia="Times New Roman"/>
            </w:rPr>
            <w:t>/pdf/hist-docs/13066.pdf</w:t>
          </w:r>
        </w:p>
        <w:p w14:paraId="2B140D00" w14:textId="77777777" w:rsidR="00572E88" w:rsidRDefault="00572E88">
          <w:pPr>
            <w:autoSpaceDE w:val="0"/>
            <w:autoSpaceDN w:val="0"/>
            <w:ind w:hanging="640"/>
            <w:divId w:val="1582720380"/>
            <w:rPr>
              <w:rFonts w:eastAsia="Times New Roman"/>
            </w:rPr>
          </w:pPr>
          <w:r>
            <w:rPr>
              <w:rFonts w:eastAsia="Times New Roman"/>
            </w:rPr>
            <w:t xml:space="preserve">167. </w:t>
          </w:r>
          <w:r>
            <w:rPr>
              <w:rFonts w:eastAsia="Times New Roman"/>
            </w:rPr>
            <w:tab/>
            <w:t xml:space="preserve">United States </w:t>
          </w:r>
          <w:proofErr w:type="spellStart"/>
          <w:r>
            <w:rPr>
              <w:rFonts w:eastAsia="Times New Roman"/>
            </w:rPr>
            <w:t>Enviromental</w:t>
          </w:r>
          <w:proofErr w:type="spellEnd"/>
          <w:r>
            <w:rPr>
              <w:rFonts w:eastAsia="Times New Roman"/>
            </w:rPr>
            <w:t xml:space="preserve"> Protection Agency. </w:t>
          </w:r>
          <w:proofErr w:type="spellStart"/>
          <w:r>
            <w:rPr>
              <w:rFonts w:eastAsia="Times New Roman"/>
            </w:rPr>
            <w:t>AirData</w:t>
          </w:r>
          <w:proofErr w:type="spellEnd"/>
          <w:r>
            <w:rPr>
              <w:rFonts w:eastAsia="Times New Roman"/>
            </w:rPr>
            <w:t xml:space="preserve"> | US EPA. [cited 16 Sep 2021]. Available: https://aqs.epa.gov/aqsweb/airdata/download_files.html</w:t>
          </w:r>
        </w:p>
        <w:p w14:paraId="3B43789D" w14:textId="77777777" w:rsidR="00572E88" w:rsidRDefault="00572E88">
          <w:pPr>
            <w:autoSpaceDE w:val="0"/>
            <w:autoSpaceDN w:val="0"/>
            <w:ind w:hanging="640"/>
            <w:divId w:val="319623192"/>
            <w:rPr>
              <w:rFonts w:eastAsia="Times New Roman"/>
            </w:rPr>
          </w:pPr>
          <w:r>
            <w:rPr>
              <w:rFonts w:eastAsia="Times New Roman"/>
            </w:rPr>
            <w:lastRenderedPageBreak/>
            <w:t xml:space="preserve">168. </w:t>
          </w:r>
          <w:r>
            <w:rPr>
              <w:rFonts w:eastAsia="Times New Roman"/>
            </w:rPr>
            <w:tab/>
            <w:t xml:space="preserve">United States Environmental Protection Agency. Technical Assistance Document for the Reporting of Daily Air Quality – the Air Quality Index (AQI). Environmental Protection. 2018; 22. </w:t>
          </w:r>
        </w:p>
        <w:p w14:paraId="2677010B" w14:textId="77777777" w:rsidR="00572E88" w:rsidRDefault="00572E88">
          <w:pPr>
            <w:autoSpaceDE w:val="0"/>
            <w:autoSpaceDN w:val="0"/>
            <w:ind w:hanging="640"/>
            <w:divId w:val="1648238963"/>
            <w:rPr>
              <w:rFonts w:eastAsia="Times New Roman"/>
            </w:rPr>
          </w:pPr>
          <w:r>
            <w:rPr>
              <w:rFonts w:eastAsia="Times New Roman"/>
            </w:rPr>
            <w:t xml:space="preserve">169. </w:t>
          </w:r>
          <w:r>
            <w:rPr>
              <w:rFonts w:eastAsia="Times New Roman"/>
            </w:rPr>
            <w:tab/>
            <w:t>UDS Mapper. ZIP Code to ZCTA Crosswalk – UDS Mapper. [cited 17 Sep 2021]. Available: https://udsmapper.org/zip-code-to-zcta-crosswalk/</w:t>
          </w:r>
        </w:p>
        <w:p w14:paraId="3E6FCCF3" w14:textId="77777777" w:rsidR="00572E88" w:rsidRDefault="00572E88">
          <w:pPr>
            <w:autoSpaceDE w:val="0"/>
            <w:autoSpaceDN w:val="0"/>
            <w:ind w:hanging="640"/>
            <w:divId w:val="103817771"/>
            <w:rPr>
              <w:rFonts w:eastAsia="Times New Roman"/>
            </w:rPr>
          </w:pPr>
          <w:r>
            <w:rPr>
              <w:rFonts w:eastAsia="Times New Roman"/>
            </w:rPr>
            <w:t xml:space="preserve">170. </w:t>
          </w:r>
          <w:r>
            <w:rPr>
              <w:rFonts w:eastAsia="Times New Roman"/>
            </w:rPr>
            <w:tab/>
            <w:t>United States Census Bureau. 2020 TIGER/Line® Shapefiles. [cited 17 Sep 2021]. Available: https://www.census.gov/cgi-bin/geo/shapefiles/index.php?year=2020&amp;layergroup=ZIP+Code+Tabulation+Areas</w:t>
          </w:r>
        </w:p>
        <w:p w14:paraId="62166AD4" w14:textId="77777777" w:rsidR="00572E88" w:rsidRDefault="00572E88">
          <w:pPr>
            <w:autoSpaceDE w:val="0"/>
            <w:autoSpaceDN w:val="0"/>
            <w:ind w:hanging="640"/>
            <w:divId w:val="1374189075"/>
            <w:rPr>
              <w:rFonts w:eastAsia="Times New Roman"/>
            </w:rPr>
          </w:pPr>
          <w:r>
            <w:rPr>
              <w:rFonts w:eastAsia="Times New Roman"/>
            </w:rPr>
            <w:t xml:space="preserve">171. </w:t>
          </w:r>
          <w:r>
            <w:rPr>
              <w:rFonts w:eastAsia="Times New Roman"/>
            </w:rPr>
            <w:tab/>
            <w:t xml:space="preserve">SAS Institute. SAS Version 9.4. Cary, NC, USA: SAS Institute; 2016. </w:t>
          </w:r>
        </w:p>
        <w:p w14:paraId="110D3E14" w14:textId="77777777" w:rsidR="00572E88" w:rsidRDefault="00572E88">
          <w:pPr>
            <w:autoSpaceDE w:val="0"/>
            <w:autoSpaceDN w:val="0"/>
            <w:ind w:hanging="640"/>
            <w:divId w:val="800878831"/>
            <w:rPr>
              <w:rFonts w:eastAsia="Times New Roman"/>
            </w:rPr>
          </w:pPr>
          <w:r>
            <w:rPr>
              <w:rFonts w:eastAsia="Times New Roman"/>
            </w:rPr>
            <w:t xml:space="preserve">172. </w:t>
          </w:r>
          <w:r>
            <w:rPr>
              <w:rFonts w:eastAsia="Times New Roman"/>
            </w:rPr>
            <w:tab/>
            <w:t xml:space="preserve">R Core Team. R: A Language and Environment for Statistical Computing. Vienna, Austria; 2020. </w:t>
          </w:r>
        </w:p>
        <w:p w14:paraId="441350CB" w14:textId="77777777" w:rsidR="00572E88" w:rsidRDefault="00572E88">
          <w:pPr>
            <w:autoSpaceDE w:val="0"/>
            <w:autoSpaceDN w:val="0"/>
            <w:ind w:hanging="640"/>
            <w:divId w:val="1371687012"/>
            <w:rPr>
              <w:rFonts w:eastAsia="Times New Roman"/>
            </w:rPr>
          </w:pPr>
          <w:r>
            <w:rPr>
              <w:rFonts w:eastAsia="Times New Roman"/>
            </w:rPr>
            <w:t xml:space="preserve">173. </w:t>
          </w:r>
          <w:r>
            <w:rPr>
              <w:rFonts w:eastAsia="Times New Roman"/>
            </w:rPr>
            <w:tab/>
            <w:t>Buuren S van, Groothuis-</w:t>
          </w:r>
          <w:proofErr w:type="spellStart"/>
          <w:r>
            <w:rPr>
              <w:rFonts w:eastAsia="Times New Roman"/>
            </w:rPr>
            <w:t>Oudshoorn</w:t>
          </w:r>
          <w:proofErr w:type="spellEnd"/>
          <w:r>
            <w:rPr>
              <w:rFonts w:eastAsia="Times New Roman"/>
            </w:rPr>
            <w:t xml:space="preserve"> K. </w:t>
          </w:r>
          <w:proofErr w:type="gramStart"/>
          <w:r>
            <w:rPr>
              <w:rFonts w:eastAsia="Times New Roman"/>
            </w:rPr>
            <w:t>mice</w:t>
          </w:r>
          <w:r>
            <w:rPr>
              <w:rFonts w:ascii="Arial" w:eastAsia="Times New Roman" w:hAnsi="Arial" w:cs="Arial"/>
            </w:rPr>
            <w:t> </w:t>
          </w:r>
          <w:r>
            <w:rPr>
              <w:rFonts w:eastAsia="Times New Roman"/>
            </w:rPr>
            <w:t>:</w:t>
          </w:r>
          <w:proofErr w:type="gramEnd"/>
          <w:r>
            <w:rPr>
              <w:rFonts w:eastAsia="Times New Roman"/>
            </w:rPr>
            <w:t xml:space="preserve"> Multivariate Imputation by Chained Equations in R. J Stat </w:t>
          </w:r>
          <w:proofErr w:type="spellStart"/>
          <w:r>
            <w:rPr>
              <w:rFonts w:eastAsia="Times New Roman"/>
            </w:rPr>
            <w:t>Softw</w:t>
          </w:r>
          <w:proofErr w:type="spellEnd"/>
          <w:r>
            <w:rPr>
              <w:rFonts w:eastAsia="Times New Roman"/>
            </w:rPr>
            <w:t>. 2011;45: 1</w:t>
          </w:r>
          <w:r>
            <w:rPr>
              <w:rFonts w:ascii="Aptos" w:eastAsia="Times New Roman" w:hAnsi="Aptos" w:cs="Aptos"/>
            </w:rPr>
            <w:t>–</w:t>
          </w:r>
          <w:r>
            <w:rPr>
              <w:rFonts w:eastAsia="Times New Roman"/>
            </w:rPr>
            <w:t>67. doi:10.18637/</w:t>
          </w:r>
          <w:proofErr w:type="gramStart"/>
          <w:r>
            <w:rPr>
              <w:rFonts w:eastAsia="Times New Roman"/>
            </w:rPr>
            <w:t>jss.v045.i</w:t>
          </w:r>
          <w:proofErr w:type="gramEnd"/>
          <w:r>
            <w:rPr>
              <w:rFonts w:eastAsia="Times New Roman"/>
            </w:rPr>
            <w:t>03</w:t>
          </w:r>
        </w:p>
        <w:p w14:paraId="340F592F" w14:textId="77777777" w:rsidR="00572E88" w:rsidRDefault="00572E88">
          <w:pPr>
            <w:autoSpaceDE w:val="0"/>
            <w:autoSpaceDN w:val="0"/>
            <w:ind w:hanging="640"/>
            <w:divId w:val="1232889731"/>
            <w:rPr>
              <w:rFonts w:eastAsia="Times New Roman"/>
            </w:rPr>
          </w:pPr>
          <w:r>
            <w:rPr>
              <w:rFonts w:eastAsia="Times New Roman"/>
            </w:rPr>
            <w:t xml:space="preserve">174. </w:t>
          </w:r>
          <w:r>
            <w:rPr>
              <w:rFonts w:eastAsia="Times New Roman"/>
            </w:rPr>
            <w:tab/>
            <w:t>Sterne JAC, White IR, Carlin JB, Spratt M, Royston P, Kenward MG, et al. Multiple imputation for missing data in epidemiological and clinical research: Potential and pitfalls. BMJ (Online). 2009;339: 157–160. doi:10.1136/</w:t>
          </w:r>
          <w:proofErr w:type="gramStart"/>
          <w:r>
            <w:rPr>
              <w:rFonts w:eastAsia="Times New Roman"/>
            </w:rPr>
            <w:t>bmj.b</w:t>
          </w:r>
          <w:proofErr w:type="gramEnd"/>
          <w:r>
            <w:rPr>
              <w:rFonts w:eastAsia="Times New Roman"/>
            </w:rPr>
            <w:t>2393</w:t>
          </w:r>
        </w:p>
        <w:p w14:paraId="4BDD26F5" w14:textId="77777777" w:rsidR="00572E88" w:rsidRDefault="00572E88">
          <w:pPr>
            <w:autoSpaceDE w:val="0"/>
            <w:autoSpaceDN w:val="0"/>
            <w:ind w:hanging="640"/>
            <w:divId w:val="609095392"/>
            <w:rPr>
              <w:rFonts w:eastAsia="Times New Roman"/>
            </w:rPr>
          </w:pPr>
          <w:r>
            <w:rPr>
              <w:rFonts w:eastAsia="Times New Roman"/>
            </w:rPr>
            <w:t xml:space="preserve">175. </w:t>
          </w:r>
          <w:r>
            <w:rPr>
              <w:rFonts w:eastAsia="Times New Roman"/>
            </w:rPr>
            <w:tab/>
            <w:t xml:space="preserve">Graham JW, </w:t>
          </w:r>
          <w:proofErr w:type="spellStart"/>
          <w:r>
            <w:rPr>
              <w:rFonts w:eastAsia="Times New Roman"/>
            </w:rPr>
            <w:t>Olchowski</w:t>
          </w:r>
          <w:proofErr w:type="spellEnd"/>
          <w:r>
            <w:rPr>
              <w:rFonts w:eastAsia="Times New Roman"/>
            </w:rPr>
            <w:t xml:space="preserve"> AE, Gilreath TD. How many imputations are really needed? Some practical clarifications of multiple imputation theory. Prevention Science. 2007;8: 206–213. doi:10.1007/s11121-007-0070-9</w:t>
          </w:r>
        </w:p>
        <w:p w14:paraId="7E2C5865" w14:textId="77777777" w:rsidR="00572E88" w:rsidRDefault="00572E88">
          <w:pPr>
            <w:autoSpaceDE w:val="0"/>
            <w:autoSpaceDN w:val="0"/>
            <w:ind w:hanging="640"/>
            <w:divId w:val="1061171673"/>
            <w:rPr>
              <w:rFonts w:eastAsia="Times New Roman"/>
            </w:rPr>
          </w:pPr>
          <w:r>
            <w:rPr>
              <w:rFonts w:eastAsia="Times New Roman"/>
            </w:rPr>
            <w:t xml:space="preserve">176. </w:t>
          </w:r>
          <w:r>
            <w:rPr>
              <w:rFonts w:eastAsia="Times New Roman"/>
            </w:rPr>
            <w:tab/>
            <w:t>Rubin DB. Multiple Imputation for Nonresponse in Surveys. 1987 [cited 3 Jul 2024]. doi:10.1002/9780470316696</w:t>
          </w:r>
        </w:p>
        <w:p w14:paraId="06482144" w14:textId="77777777" w:rsidR="00572E88" w:rsidRDefault="00572E88">
          <w:pPr>
            <w:autoSpaceDE w:val="0"/>
            <w:autoSpaceDN w:val="0"/>
            <w:ind w:hanging="640"/>
            <w:divId w:val="1941796693"/>
            <w:rPr>
              <w:rFonts w:eastAsia="Times New Roman"/>
            </w:rPr>
          </w:pPr>
          <w:r>
            <w:rPr>
              <w:rFonts w:eastAsia="Times New Roman"/>
            </w:rPr>
            <w:t xml:space="preserve">177. </w:t>
          </w:r>
          <w:r>
            <w:rPr>
              <w:rFonts w:eastAsia="Times New Roman"/>
            </w:rPr>
            <w:tab/>
            <w:t xml:space="preserve">Hosmer DW, </w:t>
          </w:r>
          <w:proofErr w:type="spellStart"/>
          <w:r>
            <w:rPr>
              <w:rFonts w:eastAsia="Times New Roman"/>
            </w:rPr>
            <w:t>Lemeshow</w:t>
          </w:r>
          <w:proofErr w:type="spellEnd"/>
          <w:r>
            <w:rPr>
              <w:rFonts w:eastAsia="Times New Roman"/>
            </w:rPr>
            <w:t xml:space="preserve"> S, Klar J. Goodness</w:t>
          </w:r>
          <w:r>
            <w:rPr>
              <w:rFonts w:ascii="Cambria Math" w:eastAsia="Times New Roman" w:hAnsi="Cambria Math" w:cs="Cambria Math"/>
            </w:rPr>
            <w:t>‐</w:t>
          </w:r>
          <w:r>
            <w:rPr>
              <w:rFonts w:eastAsia="Times New Roman"/>
            </w:rPr>
            <w:t>of</w:t>
          </w:r>
          <w:r>
            <w:rPr>
              <w:rFonts w:ascii="Cambria Math" w:eastAsia="Times New Roman" w:hAnsi="Cambria Math" w:cs="Cambria Math"/>
            </w:rPr>
            <w:t>‐</w:t>
          </w:r>
          <w:r>
            <w:rPr>
              <w:rFonts w:eastAsia="Times New Roman"/>
            </w:rPr>
            <w:t>Fit Testing for the Logistic Regression Model when the Estimated Probabilities are Small. Biometrical Journal. 1988;30: 911</w:t>
          </w:r>
          <w:r>
            <w:rPr>
              <w:rFonts w:ascii="Aptos" w:eastAsia="Times New Roman" w:hAnsi="Aptos" w:cs="Aptos"/>
            </w:rPr>
            <w:t>–</w:t>
          </w:r>
          <w:r>
            <w:rPr>
              <w:rFonts w:eastAsia="Times New Roman"/>
            </w:rPr>
            <w:t>924. doi:10.1002/BIMJ.4710300805</w:t>
          </w:r>
        </w:p>
        <w:p w14:paraId="1830E9E0" w14:textId="77777777" w:rsidR="00572E88" w:rsidRDefault="00572E88">
          <w:pPr>
            <w:autoSpaceDE w:val="0"/>
            <w:autoSpaceDN w:val="0"/>
            <w:ind w:hanging="640"/>
            <w:divId w:val="1463423452"/>
            <w:rPr>
              <w:rFonts w:eastAsia="Times New Roman"/>
            </w:rPr>
          </w:pPr>
          <w:r>
            <w:rPr>
              <w:rFonts w:eastAsia="Times New Roman"/>
            </w:rPr>
            <w:t xml:space="preserve">178. </w:t>
          </w:r>
          <w:r>
            <w:rPr>
              <w:rFonts w:eastAsia="Times New Roman"/>
            </w:rPr>
            <w:tab/>
          </w:r>
          <w:proofErr w:type="spellStart"/>
          <w:r>
            <w:rPr>
              <w:rFonts w:eastAsia="Times New Roman"/>
            </w:rPr>
            <w:t>StataCorp</w:t>
          </w:r>
          <w:proofErr w:type="spellEnd"/>
          <w:r>
            <w:rPr>
              <w:rFonts w:eastAsia="Times New Roman"/>
            </w:rPr>
            <w:t xml:space="preserve">. </w:t>
          </w:r>
          <w:proofErr w:type="spellStart"/>
          <w:r>
            <w:rPr>
              <w:rFonts w:eastAsia="Times New Roman"/>
            </w:rPr>
            <w:t>mlogit</w:t>
          </w:r>
          <w:proofErr w:type="spellEnd"/>
          <w:r>
            <w:rPr>
              <w:rFonts w:eastAsia="Times New Roman"/>
            </w:rPr>
            <w:t>-Multinomial (polytomous) logistic regression. College Station, TX; Available: stata.com/manuals/rmlogit.pdf</w:t>
          </w:r>
        </w:p>
        <w:p w14:paraId="2788E462" w14:textId="77777777" w:rsidR="00572E88" w:rsidRDefault="00572E88">
          <w:pPr>
            <w:autoSpaceDE w:val="0"/>
            <w:autoSpaceDN w:val="0"/>
            <w:ind w:hanging="640"/>
            <w:divId w:val="531186785"/>
            <w:rPr>
              <w:rFonts w:eastAsia="Times New Roman"/>
            </w:rPr>
          </w:pPr>
          <w:r>
            <w:rPr>
              <w:rFonts w:eastAsia="Times New Roman"/>
            </w:rPr>
            <w:t>179</w:t>
          </w:r>
          <w:proofErr w:type="gramStart"/>
          <w:r>
            <w:rPr>
              <w:rFonts w:eastAsia="Times New Roman"/>
            </w:rPr>
            <w:t xml:space="preserve">. </w:t>
          </w:r>
          <w:r>
            <w:rPr>
              <w:rFonts w:eastAsia="Times New Roman"/>
            </w:rPr>
            <w:tab/>
            <w:t>Parulekar</w:t>
          </w:r>
          <w:proofErr w:type="gramEnd"/>
          <w:r>
            <w:rPr>
              <w:rFonts w:eastAsia="Times New Roman"/>
            </w:rPr>
            <w:t xml:space="preserve"> AD, Martinez C, Tsai CL, Locantore N, Atik M, Yohannes AM, et al. Examining the Effects of Age on Health Outcomes of Chronic Obstructive Pulmonary Disease: Results </w:t>
          </w:r>
          <w:proofErr w:type="gramStart"/>
          <w:r>
            <w:rPr>
              <w:rFonts w:eastAsia="Times New Roman"/>
            </w:rPr>
            <w:t>From</w:t>
          </w:r>
          <w:proofErr w:type="gramEnd"/>
          <w:r>
            <w:rPr>
              <w:rFonts w:eastAsia="Times New Roman"/>
            </w:rPr>
            <w:t xml:space="preserve"> the Genetic Epidemiology of Chronic Obstructive Pulmonary Disease Study and Evaluation of Chronic Obstructive Pulmonary Disease Longitudinally to Identify Predictive Surrogate Endpoints Cohorts. J Am Med Dir Assoc. 2017;18: 1063. </w:t>
          </w:r>
          <w:proofErr w:type="gramStart"/>
          <w:r>
            <w:rPr>
              <w:rFonts w:eastAsia="Times New Roman"/>
            </w:rPr>
            <w:t>doi:10.1016/J.JAMDA</w:t>
          </w:r>
          <w:proofErr w:type="gramEnd"/>
          <w:r>
            <w:rPr>
              <w:rFonts w:eastAsia="Times New Roman"/>
            </w:rPr>
            <w:t>.2017.09.028</w:t>
          </w:r>
        </w:p>
        <w:p w14:paraId="49AE4B4F" w14:textId="77777777" w:rsidR="00572E88" w:rsidRDefault="00572E88">
          <w:pPr>
            <w:autoSpaceDE w:val="0"/>
            <w:autoSpaceDN w:val="0"/>
            <w:ind w:hanging="640"/>
            <w:divId w:val="1338729581"/>
            <w:rPr>
              <w:rFonts w:eastAsia="Times New Roman"/>
            </w:rPr>
          </w:pPr>
          <w:r>
            <w:rPr>
              <w:rFonts w:eastAsia="Times New Roman"/>
            </w:rPr>
            <w:lastRenderedPageBreak/>
            <w:t xml:space="preserve">180. </w:t>
          </w:r>
          <w:r>
            <w:rPr>
              <w:rFonts w:eastAsia="Times New Roman"/>
            </w:rPr>
            <w:tab/>
            <w:t>Zhang X, Chen H, Gu K, Chen J, Jiang X. Association of Body Mass Index with Risk of Chronic Obstructive Pulmonary Disease: A Systematic Review and Meta-Analysis. COPD: Journal of Chronic Obstructive Pulmonary Disease. 2021;18: 101–113. doi:10.1080/15412555.2021.1884213</w:t>
          </w:r>
        </w:p>
        <w:p w14:paraId="3E8BE905" w14:textId="77777777" w:rsidR="00572E88" w:rsidRDefault="00572E88">
          <w:pPr>
            <w:autoSpaceDE w:val="0"/>
            <w:autoSpaceDN w:val="0"/>
            <w:ind w:hanging="640"/>
            <w:divId w:val="1087464521"/>
            <w:rPr>
              <w:rFonts w:eastAsia="Times New Roman"/>
            </w:rPr>
          </w:pPr>
          <w:r>
            <w:rPr>
              <w:rFonts w:eastAsia="Times New Roman"/>
            </w:rPr>
            <w:t xml:space="preserve">181. </w:t>
          </w:r>
          <w:r>
            <w:rPr>
              <w:rFonts w:eastAsia="Times New Roman"/>
            </w:rPr>
            <w:tab/>
            <w:t xml:space="preserve">Yang Y, Mao J, Ye Z, Li J, Zhao H, Liu Y. Risk factors of chronic obstructive pulmonary disease among adults in Chinese mainland: A systematic review and meta-analysis. Respir Med. 2017;131: 158–165. </w:t>
          </w:r>
          <w:proofErr w:type="gramStart"/>
          <w:r>
            <w:rPr>
              <w:rFonts w:eastAsia="Times New Roman"/>
            </w:rPr>
            <w:t>doi:10.1016/j.rmed</w:t>
          </w:r>
          <w:proofErr w:type="gramEnd"/>
          <w:r>
            <w:rPr>
              <w:rFonts w:eastAsia="Times New Roman"/>
            </w:rPr>
            <w:t>.2017.08.018</w:t>
          </w:r>
        </w:p>
        <w:p w14:paraId="18773E0F" w14:textId="77777777" w:rsidR="00572E88" w:rsidRDefault="00572E88">
          <w:pPr>
            <w:autoSpaceDE w:val="0"/>
            <w:autoSpaceDN w:val="0"/>
            <w:ind w:hanging="640"/>
            <w:divId w:val="106781235"/>
            <w:rPr>
              <w:rFonts w:eastAsia="Times New Roman"/>
            </w:rPr>
          </w:pPr>
          <w:r>
            <w:rPr>
              <w:rFonts w:eastAsia="Times New Roman"/>
            </w:rPr>
            <w:t xml:space="preserve">182. </w:t>
          </w:r>
          <w:r>
            <w:rPr>
              <w:rFonts w:eastAsia="Times New Roman"/>
            </w:rPr>
            <w:tab/>
            <w:t xml:space="preserve">Tang X, Lei J, Li W, Peng Y, Wang C, Huang K, et al. The Relationship Between BMI and Lung Function in Populations with Different Characteristics: A Cross-Sectional Study Based on the Enjoying Breathing Program in China. Int J Chron Obstruct </w:t>
          </w:r>
          <w:proofErr w:type="spellStart"/>
          <w:r>
            <w:rPr>
              <w:rFonts w:eastAsia="Times New Roman"/>
            </w:rPr>
            <w:t>Pulmon</w:t>
          </w:r>
          <w:proofErr w:type="spellEnd"/>
          <w:r>
            <w:rPr>
              <w:rFonts w:eastAsia="Times New Roman"/>
            </w:rPr>
            <w:t xml:space="preserve"> Dis. 2022;17: 2677. doi:10.2147/COPD.S378247</w:t>
          </w:r>
        </w:p>
        <w:p w14:paraId="319485BD" w14:textId="77777777" w:rsidR="00572E88" w:rsidRDefault="00572E88">
          <w:pPr>
            <w:autoSpaceDE w:val="0"/>
            <w:autoSpaceDN w:val="0"/>
            <w:ind w:hanging="640"/>
            <w:divId w:val="1158812339"/>
            <w:rPr>
              <w:rFonts w:eastAsia="Times New Roman"/>
            </w:rPr>
          </w:pPr>
          <w:r>
            <w:rPr>
              <w:rFonts w:eastAsia="Times New Roman"/>
            </w:rPr>
            <w:t xml:space="preserve">183. </w:t>
          </w:r>
          <w:r>
            <w:rPr>
              <w:rFonts w:eastAsia="Times New Roman"/>
            </w:rPr>
            <w:tab/>
            <w:t xml:space="preserve">Tang Y, Zhang L, Zhu S, Shen M, Cheng M, Peng F. Associations between different body mass index and lung function impairment in Chinese people aged over 40 years: a multicenter cross-sectional study. BMC </w:t>
          </w:r>
          <w:proofErr w:type="spellStart"/>
          <w:r>
            <w:rPr>
              <w:rFonts w:eastAsia="Times New Roman"/>
            </w:rPr>
            <w:t>Pulm</w:t>
          </w:r>
          <w:proofErr w:type="spellEnd"/>
          <w:r>
            <w:rPr>
              <w:rFonts w:eastAsia="Times New Roman"/>
            </w:rPr>
            <w:t xml:space="preserve"> Med. 2024;24. doi:10.1186/S12890-024-02844-X</w:t>
          </w:r>
        </w:p>
        <w:p w14:paraId="29DB77A8" w14:textId="77777777" w:rsidR="00572E88" w:rsidRDefault="00572E88">
          <w:pPr>
            <w:autoSpaceDE w:val="0"/>
            <w:autoSpaceDN w:val="0"/>
            <w:ind w:hanging="640"/>
            <w:divId w:val="996298424"/>
            <w:rPr>
              <w:rFonts w:eastAsia="Times New Roman"/>
            </w:rPr>
          </w:pPr>
          <w:r>
            <w:rPr>
              <w:rFonts w:eastAsia="Times New Roman"/>
            </w:rPr>
            <w:t xml:space="preserve">184. </w:t>
          </w:r>
          <w:r>
            <w:rPr>
              <w:rFonts w:eastAsia="Times New Roman"/>
            </w:rPr>
            <w:tab/>
            <w:t xml:space="preserve">De Brandt J, </w:t>
          </w:r>
          <w:proofErr w:type="spellStart"/>
          <w:r>
            <w:rPr>
              <w:rFonts w:eastAsia="Times New Roman"/>
            </w:rPr>
            <w:t>Beijers</w:t>
          </w:r>
          <w:proofErr w:type="spellEnd"/>
          <w:r>
            <w:rPr>
              <w:rFonts w:eastAsia="Times New Roman"/>
            </w:rPr>
            <w:t xml:space="preserve"> RJHCG, Schols AMWJ, Nyberg A, Chiles J, Maddocks M, et al. Update on the Etiology, Assessment, and Management of COPD Cachexia: Considerations for the Clinician. Int J Chron Obstruct </w:t>
          </w:r>
          <w:proofErr w:type="spellStart"/>
          <w:r>
            <w:rPr>
              <w:rFonts w:eastAsia="Times New Roman"/>
            </w:rPr>
            <w:t>Pulmon</w:t>
          </w:r>
          <w:proofErr w:type="spellEnd"/>
          <w:r>
            <w:rPr>
              <w:rFonts w:eastAsia="Times New Roman"/>
            </w:rPr>
            <w:t xml:space="preserve"> Dis. 2022;17: 2957. doi:10.2147/COPD.S334228</w:t>
          </w:r>
        </w:p>
        <w:p w14:paraId="638A3342" w14:textId="77777777" w:rsidR="00572E88" w:rsidRDefault="00572E88">
          <w:pPr>
            <w:autoSpaceDE w:val="0"/>
            <w:autoSpaceDN w:val="0"/>
            <w:ind w:hanging="640"/>
            <w:divId w:val="1150557552"/>
            <w:rPr>
              <w:rFonts w:eastAsia="Times New Roman"/>
            </w:rPr>
          </w:pPr>
          <w:r>
            <w:rPr>
              <w:rFonts w:eastAsia="Times New Roman"/>
            </w:rPr>
            <w:t xml:space="preserve">185. </w:t>
          </w:r>
          <w:r>
            <w:rPr>
              <w:rFonts w:eastAsia="Times New Roman"/>
            </w:rPr>
            <w:tab/>
          </w:r>
          <w:proofErr w:type="spellStart"/>
          <w:r>
            <w:rPr>
              <w:rFonts w:eastAsia="Times New Roman"/>
            </w:rPr>
            <w:t>Fouka</w:t>
          </w:r>
          <w:proofErr w:type="spellEnd"/>
          <w:r>
            <w:rPr>
              <w:rFonts w:eastAsia="Times New Roman"/>
            </w:rPr>
            <w:t xml:space="preserve"> E, Papaioannou AI, Hillas G, </w:t>
          </w:r>
          <w:proofErr w:type="spellStart"/>
          <w:r>
            <w:rPr>
              <w:rFonts w:eastAsia="Times New Roman"/>
            </w:rPr>
            <w:t>Steiropoulos</w:t>
          </w:r>
          <w:proofErr w:type="spellEnd"/>
          <w:r>
            <w:rPr>
              <w:rFonts w:eastAsia="Times New Roman"/>
            </w:rPr>
            <w:t xml:space="preserve"> P. Asthma-COPD Overlap Syndrome: Recent Insights and Unanswered Questions. J Pers Med. 2022;12: 708. doi:10.3390/JPM12050708</w:t>
          </w:r>
        </w:p>
        <w:p w14:paraId="47DD52E7" w14:textId="77777777" w:rsidR="00572E88" w:rsidRDefault="00572E88">
          <w:pPr>
            <w:autoSpaceDE w:val="0"/>
            <w:autoSpaceDN w:val="0"/>
            <w:ind w:hanging="640"/>
            <w:divId w:val="51732227"/>
            <w:rPr>
              <w:rFonts w:eastAsia="Times New Roman"/>
            </w:rPr>
          </w:pPr>
          <w:r>
            <w:rPr>
              <w:rFonts w:eastAsia="Times New Roman"/>
            </w:rPr>
            <w:t xml:space="preserve">186. </w:t>
          </w:r>
          <w:r>
            <w:rPr>
              <w:rFonts w:eastAsia="Times New Roman"/>
            </w:rPr>
            <w:tab/>
            <w:t xml:space="preserve">Dement JM, </w:t>
          </w:r>
          <w:proofErr w:type="spellStart"/>
          <w:r>
            <w:rPr>
              <w:rFonts w:eastAsia="Times New Roman"/>
            </w:rPr>
            <w:t>Cloeren</w:t>
          </w:r>
          <w:proofErr w:type="spellEnd"/>
          <w:r>
            <w:rPr>
              <w:rFonts w:eastAsia="Times New Roman"/>
            </w:rPr>
            <w:t xml:space="preserve"> M, Ringen K, Quinn P, Chen A, Cranford K, et al. COPD risk among older construction workers—Updated analyses 2020. Am J Ind Med. 2021;64: 462–475. doi:10.1002/AJIM.23244</w:t>
          </w:r>
        </w:p>
        <w:p w14:paraId="10C23F4A" w14:textId="77777777" w:rsidR="00572E88" w:rsidRDefault="00572E88">
          <w:pPr>
            <w:autoSpaceDE w:val="0"/>
            <w:autoSpaceDN w:val="0"/>
            <w:ind w:hanging="640"/>
            <w:divId w:val="562496013"/>
            <w:rPr>
              <w:rFonts w:eastAsia="Times New Roman"/>
            </w:rPr>
          </w:pPr>
          <w:r>
            <w:rPr>
              <w:rFonts w:eastAsia="Times New Roman"/>
            </w:rPr>
            <w:t xml:space="preserve">187. </w:t>
          </w:r>
          <w:r>
            <w:rPr>
              <w:rFonts w:eastAsia="Times New Roman"/>
            </w:rPr>
            <w:tab/>
            <w:t>Barnes H, Goh NSL, Leong TL, Hoy R. Silica-associated lung disease: An old-world exposure in modern industries. Respirology. 2019;24: 1165–1175. doi:10.1111/RESP.13695</w:t>
          </w:r>
        </w:p>
        <w:p w14:paraId="0702A56C" w14:textId="77777777" w:rsidR="00572E88" w:rsidRDefault="00572E88">
          <w:pPr>
            <w:autoSpaceDE w:val="0"/>
            <w:autoSpaceDN w:val="0"/>
            <w:ind w:hanging="640"/>
            <w:divId w:val="1424456633"/>
            <w:rPr>
              <w:rFonts w:eastAsia="Times New Roman"/>
            </w:rPr>
          </w:pPr>
          <w:r>
            <w:rPr>
              <w:rFonts w:eastAsia="Times New Roman"/>
            </w:rPr>
            <w:t xml:space="preserve">188. </w:t>
          </w:r>
          <w:r>
            <w:rPr>
              <w:rFonts w:eastAsia="Times New Roman"/>
            </w:rPr>
            <w:tab/>
            <w:t xml:space="preserve">Reynolds CJ, </w:t>
          </w:r>
          <w:proofErr w:type="spellStart"/>
          <w:r>
            <w:rPr>
              <w:rFonts w:eastAsia="Times New Roman"/>
            </w:rPr>
            <w:t>Macneill</w:t>
          </w:r>
          <w:proofErr w:type="spellEnd"/>
          <w:r>
            <w:rPr>
              <w:rFonts w:eastAsia="Times New Roman"/>
            </w:rPr>
            <w:t xml:space="preserve"> SJ, Williams J, Hodges NG, Campbell MJ, Newman Taylor AJ, et al. Chronic obstructive pulmonary disease in Welsh slate miners. </w:t>
          </w:r>
          <w:proofErr w:type="spellStart"/>
          <w:r>
            <w:rPr>
              <w:rFonts w:eastAsia="Times New Roman"/>
            </w:rPr>
            <w:t>Occup</w:t>
          </w:r>
          <w:proofErr w:type="spellEnd"/>
          <w:r>
            <w:rPr>
              <w:rFonts w:eastAsia="Times New Roman"/>
            </w:rPr>
            <w:t xml:space="preserve"> Med (Chic Ill). 2017;67: 20–25. doi:10.1093/</w:t>
          </w:r>
          <w:proofErr w:type="spellStart"/>
          <w:r>
            <w:rPr>
              <w:rFonts w:eastAsia="Times New Roman"/>
            </w:rPr>
            <w:t>occmed</w:t>
          </w:r>
          <w:proofErr w:type="spellEnd"/>
          <w:r>
            <w:rPr>
              <w:rFonts w:eastAsia="Times New Roman"/>
            </w:rPr>
            <w:t>/kqw147</w:t>
          </w:r>
        </w:p>
        <w:p w14:paraId="0B90C1CE" w14:textId="77777777" w:rsidR="00572E88" w:rsidRDefault="00572E88">
          <w:pPr>
            <w:autoSpaceDE w:val="0"/>
            <w:autoSpaceDN w:val="0"/>
            <w:ind w:hanging="640"/>
            <w:divId w:val="15736216"/>
            <w:rPr>
              <w:rFonts w:eastAsia="Times New Roman"/>
            </w:rPr>
          </w:pPr>
          <w:r>
            <w:rPr>
              <w:rFonts w:eastAsia="Times New Roman"/>
            </w:rPr>
            <w:t xml:space="preserve">189. </w:t>
          </w:r>
          <w:r>
            <w:rPr>
              <w:rFonts w:eastAsia="Times New Roman"/>
            </w:rPr>
            <w:tab/>
          </w:r>
          <w:proofErr w:type="spellStart"/>
          <w:r>
            <w:rPr>
              <w:rFonts w:eastAsia="Times New Roman"/>
            </w:rPr>
            <w:t>Brüske</w:t>
          </w:r>
          <w:proofErr w:type="spellEnd"/>
          <w:r>
            <w:rPr>
              <w:rFonts w:eastAsia="Times New Roman"/>
            </w:rPr>
            <w:t xml:space="preserve"> I, Thiering E, Heinrich J, Huster KM, Nowak D. Respirable quartz dust exposure and airway obstruction: A systematic review and meta-analysis. </w:t>
          </w:r>
          <w:proofErr w:type="spellStart"/>
          <w:r>
            <w:rPr>
              <w:rFonts w:eastAsia="Times New Roman"/>
            </w:rPr>
            <w:t>Occup</w:t>
          </w:r>
          <w:proofErr w:type="spellEnd"/>
          <w:r>
            <w:rPr>
              <w:rFonts w:eastAsia="Times New Roman"/>
            </w:rPr>
            <w:t xml:space="preserve"> Environ Med. 2014;71: 583–589. doi:10.1136/OEMED-2013-101796</w:t>
          </w:r>
        </w:p>
        <w:p w14:paraId="4B67BDB3" w14:textId="77777777" w:rsidR="00572E88" w:rsidRDefault="00572E88">
          <w:pPr>
            <w:autoSpaceDE w:val="0"/>
            <w:autoSpaceDN w:val="0"/>
            <w:ind w:hanging="640"/>
            <w:divId w:val="762073716"/>
            <w:rPr>
              <w:rFonts w:eastAsia="Times New Roman"/>
            </w:rPr>
          </w:pPr>
          <w:r>
            <w:rPr>
              <w:rFonts w:eastAsia="Times New Roman"/>
            </w:rPr>
            <w:lastRenderedPageBreak/>
            <w:t xml:space="preserve">190. </w:t>
          </w:r>
          <w:r>
            <w:rPr>
              <w:rFonts w:eastAsia="Times New Roman"/>
            </w:rPr>
            <w:tab/>
            <w:t>Doney B, Kurth L, Halldin C, Hale J, Frenk SM. Occupational exposure and airflow obstruction and self-reported COPD among ever-employed US adults using a COPD-job exposure matrix. doi:10.1002/ajim.22958</w:t>
          </w:r>
        </w:p>
        <w:p w14:paraId="65E548E7" w14:textId="77777777" w:rsidR="00572E88" w:rsidRDefault="00572E88">
          <w:pPr>
            <w:autoSpaceDE w:val="0"/>
            <w:autoSpaceDN w:val="0"/>
            <w:ind w:hanging="640"/>
            <w:divId w:val="792095793"/>
            <w:rPr>
              <w:rFonts w:eastAsia="Times New Roman"/>
            </w:rPr>
          </w:pPr>
          <w:r>
            <w:rPr>
              <w:rFonts w:eastAsia="Times New Roman"/>
            </w:rPr>
            <w:t>191</w:t>
          </w:r>
          <w:proofErr w:type="gramStart"/>
          <w:r>
            <w:rPr>
              <w:rFonts w:eastAsia="Times New Roman"/>
            </w:rPr>
            <w:t xml:space="preserve">. </w:t>
          </w:r>
          <w:r>
            <w:rPr>
              <w:rFonts w:eastAsia="Times New Roman"/>
            </w:rPr>
            <w:tab/>
            <w:t>Zhang</w:t>
          </w:r>
          <w:proofErr w:type="gramEnd"/>
          <w:r>
            <w:rPr>
              <w:rFonts w:eastAsia="Times New Roman"/>
            </w:rPr>
            <w:t xml:space="preserve"> LP, Zhang X, Duan HW, Meng T, Niu Y, Huang CF, et al. Long-term exposure to diesel engine exhaust induced lung function decline in a </w:t>
          </w:r>
          <w:proofErr w:type="gramStart"/>
          <w:r>
            <w:rPr>
              <w:rFonts w:eastAsia="Times New Roman"/>
            </w:rPr>
            <w:t>cross sectional</w:t>
          </w:r>
          <w:proofErr w:type="gramEnd"/>
          <w:r>
            <w:rPr>
              <w:rFonts w:eastAsia="Times New Roman"/>
            </w:rPr>
            <w:t xml:space="preserve"> study. Ind Health. 2017;55: 13. doi:10.2486/INDHEALTH.2016-0031</w:t>
          </w:r>
        </w:p>
        <w:p w14:paraId="282AADB2" w14:textId="77777777" w:rsidR="00572E88" w:rsidRDefault="00572E88">
          <w:pPr>
            <w:autoSpaceDE w:val="0"/>
            <w:autoSpaceDN w:val="0"/>
            <w:ind w:hanging="640"/>
            <w:divId w:val="1427191714"/>
            <w:rPr>
              <w:rFonts w:eastAsia="Times New Roman"/>
            </w:rPr>
          </w:pPr>
          <w:r>
            <w:rPr>
              <w:rFonts w:eastAsia="Times New Roman"/>
            </w:rPr>
            <w:t xml:space="preserve">192. </w:t>
          </w:r>
          <w:r>
            <w:rPr>
              <w:rFonts w:eastAsia="Times New Roman"/>
            </w:rPr>
            <w:tab/>
            <w:t xml:space="preserve">Weinmann S, Vollmer WM, Breen V, Heumann M, </w:t>
          </w:r>
          <w:proofErr w:type="spellStart"/>
          <w:r>
            <w:rPr>
              <w:rFonts w:eastAsia="Times New Roman"/>
            </w:rPr>
            <w:t>Hnizdo</w:t>
          </w:r>
          <w:proofErr w:type="spellEnd"/>
          <w:r>
            <w:rPr>
              <w:rFonts w:eastAsia="Times New Roman"/>
            </w:rPr>
            <w:t xml:space="preserve"> E, Villnave J, et al. COPD and occupational exposures: a case-control study. J </w:t>
          </w:r>
          <w:proofErr w:type="spellStart"/>
          <w:r>
            <w:rPr>
              <w:rFonts w:eastAsia="Times New Roman"/>
            </w:rPr>
            <w:t>Occup</w:t>
          </w:r>
          <w:proofErr w:type="spellEnd"/>
          <w:r>
            <w:rPr>
              <w:rFonts w:eastAsia="Times New Roman"/>
            </w:rPr>
            <w:t xml:space="preserve"> Environ Med. 2008;50: 561–569. doi:10.1097/JOM.0B013E3181651556</w:t>
          </w:r>
        </w:p>
        <w:p w14:paraId="08564F19" w14:textId="77777777" w:rsidR="00572E88" w:rsidRDefault="00572E88">
          <w:pPr>
            <w:autoSpaceDE w:val="0"/>
            <w:autoSpaceDN w:val="0"/>
            <w:ind w:hanging="640"/>
            <w:divId w:val="1954171730"/>
            <w:rPr>
              <w:rFonts w:eastAsia="Times New Roman"/>
            </w:rPr>
          </w:pPr>
          <w:r>
            <w:rPr>
              <w:rFonts w:eastAsia="Times New Roman"/>
            </w:rPr>
            <w:t xml:space="preserve">193. </w:t>
          </w:r>
          <w:r>
            <w:rPr>
              <w:rFonts w:eastAsia="Times New Roman"/>
            </w:rPr>
            <w:tab/>
          </w:r>
          <w:proofErr w:type="spellStart"/>
          <w:r>
            <w:rPr>
              <w:rFonts w:eastAsia="Times New Roman"/>
            </w:rPr>
            <w:t>Pallasaho</w:t>
          </w:r>
          <w:proofErr w:type="spellEnd"/>
          <w:r>
            <w:rPr>
              <w:rFonts w:eastAsia="Times New Roman"/>
            </w:rPr>
            <w:t xml:space="preserve"> P, Kainu A, </w:t>
          </w:r>
          <w:proofErr w:type="spellStart"/>
          <w:r>
            <w:rPr>
              <w:rFonts w:eastAsia="Times New Roman"/>
            </w:rPr>
            <w:t>Sovijärvi</w:t>
          </w:r>
          <w:proofErr w:type="spellEnd"/>
          <w:r>
            <w:rPr>
              <w:rFonts w:eastAsia="Times New Roman"/>
            </w:rPr>
            <w:t xml:space="preserve"> A, Lindqvist A, </w:t>
          </w:r>
          <w:proofErr w:type="spellStart"/>
          <w:r>
            <w:rPr>
              <w:rFonts w:eastAsia="Times New Roman"/>
            </w:rPr>
            <w:t>Piirilä</w:t>
          </w:r>
          <w:proofErr w:type="spellEnd"/>
          <w:r>
            <w:rPr>
              <w:rFonts w:eastAsia="Times New Roman"/>
            </w:rPr>
            <w:t xml:space="preserve"> PL. Combined effect of smoking and occupational exposure to dusts, gases or fumes on the incidence of COPD. COPD: Journal of Chronic Obstructive Pulmonary Disease. 2014;11: 88–95. doi:10.3109/15412555.2013.830095</w:t>
          </w:r>
        </w:p>
        <w:p w14:paraId="722525DB" w14:textId="77777777" w:rsidR="00572E88" w:rsidRDefault="00572E88">
          <w:pPr>
            <w:autoSpaceDE w:val="0"/>
            <w:autoSpaceDN w:val="0"/>
            <w:ind w:hanging="640"/>
            <w:divId w:val="1702392754"/>
            <w:rPr>
              <w:rFonts w:eastAsia="Times New Roman"/>
            </w:rPr>
          </w:pPr>
          <w:r>
            <w:rPr>
              <w:rFonts w:eastAsia="Times New Roman"/>
            </w:rPr>
            <w:t xml:space="preserve">194. </w:t>
          </w:r>
          <w:r>
            <w:rPr>
              <w:rFonts w:eastAsia="Times New Roman"/>
            </w:rPr>
            <w:tab/>
            <w:t xml:space="preserve">Mazitova NN, Saveliev AA, </w:t>
          </w:r>
          <w:proofErr w:type="spellStart"/>
          <w:r>
            <w:rPr>
              <w:rFonts w:eastAsia="Times New Roman"/>
            </w:rPr>
            <w:t>Berheeva</w:t>
          </w:r>
          <w:proofErr w:type="spellEnd"/>
          <w:r>
            <w:rPr>
              <w:rFonts w:eastAsia="Times New Roman"/>
            </w:rPr>
            <w:t xml:space="preserve"> ZM, Amirov NK. COPD and occupation: A retrospective cohort study of industrial workers. Arh Hig Rada </w:t>
          </w:r>
          <w:proofErr w:type="spellStart"/>
          <w:r>
            <w:rPr>
              <w:rFonts w:eastAsia="Times New Roman"/>
            </w:rPr>
            <w:t>Toksikol</w:t>
          </w:r>
          <w:proofErr w:type="spellEnd"/>
          <w:r>
            <w:rPr>
              <w:rFonts w:eastAsia="Times New Roman"/>
            </w:rPr>
            <w:t>. 2012;63: 345–356. doi:10.2478/10004-1254-63-2012-2178</w:t>
          </w:r>
        </w:p>
        <w:p w14:paraId="162A301B" w14:textId="77777777" w:rsidR="00572E88" w:rsidRDefault="00572E88">
          <w:pPr>
            <w:autoSpaceDE w:val="0"/>
            <w:autoSpaceDN w:val="0"/>
            <w:ind w:hanging="640"/>
            <w:divId w:val="1971208886"/>
            <w:rPr>
              <w:rFonts w:eastAsia="Times New Roman"/>
            </w:rPr>
          </w:pPr>
          <w:r>
            <w:rPr>
              <w:rFonts w:eastAsia="Times New Roman"/>
            </w:rPr>
            <w:t xml:space="preserve">195. </w:t>
          </w:r>
          <w:r>
            <w:rPr>
              <w:rFonts w:eastAsia="Times New Roman"/>
            </w:rPr>
            <w:tab/>
            <w:t xml:space="preserve">de Souza P, Anenberg S, Makarewicz C, </w:t>
          </w:r>
          <w:proofErr w:type="spellStart"/>
          <w:r>
            <w:rPr>
              <w:rFonts w:eastAsia="Times New Roman"/>
            </w:rPr>
            <w:t>Shirgaokar</w:t>
          </w:r>
          <w:proofErr w:type="spellEnd"/>
          <w:r>
            <w:rPr>
              <w:rFonts w:eastAsia="Times New Roman"/>
            </w:rPr>
            <w:t xml:space="preserve"> M, Duarte F, Ratti C, et al. Quantifying Disparities in Air Pollution Exposures across the United States Using Home and Work Addresses. Environ Sci Technol. 2024;58: 280–290. </w:t>
          </w:r>
          <w:proofErr w:type="gramStart"/>
          <w:r>
            <w:rPr>
              <w:rFonts w:eastAsia="Times New Roman"/>
            </w:rPr>
            <w:t>doi:10.1021/ACS.EST</w:t>
          </w:r>
          <w:proofErr w:type="gramEnd"/>
          <w:r>
            <w:rPr>
              <w:rFonts w:eastAsia="Times New Roman"/>
            </w:rPr>
            <w:t>.3C07926</w:t>
          </w:r>
        </w:p>
        <w:p w14:paraId="6B8444DD" w14:textId="77777777" w:rsidR="00572E88" w:rsidRDefault="00572E88">
          <w:pPr>
            <w:autoSpaceDE w:val="0"/>
            <w:autoSpaceDN w:val="0"/>
            <w:ind w:hanging="640"/>
            <w:divId w:val="55203986"/>
            <w:rPr>
              <w:rFonts w:eastAsia="Times New Roman"/>
            </w:rPr>
          </w:pPr>
          <w:r>
            <w:rPr>
              <w:rFonts w:eastAsia="Times New Roman"/>
            </w:rPr>
            <w:t xml:space="preserve">196. </w:t>
          </w:r>
          <w:r>
            <w:rPr>
              <w:rFonts w:eastAsia="Times New Roman"/>
            </w:rPr>
            <w:tab/>
            <w:t xml:space="preserve">Fabbri LM, Celli BR, Agustí A, Criner GJ, Dransfield MT, Divo M, et al. COPD and multimorbidity: </w:t>
          </w:r>
          <w:proofErr w:type="spellStart"/>
          <w:r>
            <w:rPr>
              <w:rFonts w:eastAsia="Times New Roman"/>
            </w:rPr>
            <w:t>recognising</w:t>
          </w:r>
          <w:proofErr w:type="spellEnd"/>
          <w:r>
            <w:rPr>
              <w:rFonts w:eastAsia="Times New Roman"/>
            </w:rPr>
            <w:t xml:space="preserve"> and addressing a </w:t>
          </w:r>
          <w:proofErr w:type="spellStart"/>
          <w:r>
            <w:rPr>
              <w:rFonts w:eastAsia="Times New Roman"/>
            </w:rPr>
            <w:t>syndemic</w:t>
          </w:r>
          <w:proofErr w:type="spellEnd"/>
          <w:r>
            <w:rPr>
              <w:rFonts w:eastAsia="Times New Roman"/>
            </w:rPr>
            <w:t xml:space="preserve"> occurrence. Lancet Respir Med. 2023;11: 1020–1034. doi:10.1016/S2213-2600(23)00261-8</w:t>
          </w:r>
        </w:p>
        <w:p w14:paraId="4C52AFF2" w14:textId="77777777" w:rsidR="00572E88" w:rsidRDefault="00572E88">
          <w:pPr>
            <w:autoSpaceDE w:val="0"/>
            <w:autoSpaceDN w:val="0"/>
            <w:ind w:hanging="640"/>
            <w:divId w:val="1542742999"/>
            <w:rPr>
              <w:rFonts w:eastAsia="Times New Roman"/>
            </w:rPr>
          </w:pPr>
          <w:r>
            <w:rPr>
              <w:rFonts w:eastAsia="Times New Roman"/>
            </w:rPr>
            <w:t xml:space="preserve">197. </w:t>
          </w:r>
          <w:r>
            <w:rPr>
              <w:rFonts w:eastAsia="Times New Roman"/>
            </w:rPr>
            <w:tab/>
            <w:t>Barnes PJ, Celli BR. Systemic manifestations and comorbidities of COPD. Eur Respir J. 2009;33: 1165–1185. doi:10.1183/09031936.00128008</w:t>
          </w:r>
        </w:p>
        <w:p w14:paraId="1B34B2DB" w14:textId="77777777" w:rsidR="00572E88" w:rsidRDefault="00572E88">
          <w:pPr>
            <w:autoSpaceDE w:val="0"/>
            <w:autoSpaceDN w:val="0"/>
            <w:ind w:hanging="640"/>
            <w:divId w:val="37583693"/>
            <w:rPr>
              <w:rFonts w:eastAsia="Times New Roman"/>
            </w:rPr>
          </w:pPr>
          <w:r>
            <w:rPr>
              <w:rFonts w:eastAsia="Times New Roman"/>
            </w:rPr>
            <w:t xml:space="preserve">198. </w:t>
          </w:r>
          <w:r>
            <w:rPr>
              <w:rFonts w:eastAsia="Times New Roman"/>
            </w:rPr>
            <w:tab/>
            <w:t xml:space="preserve">Cazzola M, </w:t>
          </w:r>
          <w:proofErr w:type="spellStart"/>
          <w:r>
            <w:rPr>
              <w:rFonts w:eastAsia="Times New Roman"/>
            </w:rPr>
            <w:t>Bettoncelli</w:t>
          </w:r>
          <w:proofErr w:type="spellEnd"/>
          <w:r>
            <w:rPr>
              <w:rFonts w:eastAsia="Times New Roman"/>
            </w:rPr>
            <w:t xml:space="preserve"> G, Sessa E, </w:t>
          </w:r>
          <w:proofErr w:type="spellStart"/>
          <w:r>
            <w:rPr>
              <w:rFonts w:eastAsia="Times New Roman"/>
            </w:rPr>
            <w:t>Cricelli</w:t>
          </w:r>
          <w:proofErr w:type="spellEnd"/>
          <w:r>
            <w:rPr>
              <w:rFonts w:eastAsia="Times New Roman"/>
            </w:rPr>
            <w:t xml:space="preserve"> C, Biscione G. Prevalence of comorbidities in patients with chronic obstructive pulmonary disease. Respiration. 2010;80: 112–119. doi:10.1159/000281880</w:t>
          </w:r>
        </w:p>
        <w:p w14:paraId="4FBE2A2A" w14:textId="77777777" w:rsidR="00572E88" w:rsidRDefault="00572E88">
          <w:pPr>
            <w:autoSpaceDE w:val="0"/>
            <w:autoSpaceDN w:val="0"/>
            <w:ind w:hanging="640"/>
            <w:divId w:val="1732385644"/>
            <w:rPr>
              <w:rFonts w:eastAsia="Times New Roman"/>
            </w:rPr>
          </w:pPr>
          <w:r>
            <w:rPr>
              <w:rFonts w:eastAsia="Times New Roman"/>
            </w:rPr>
            <w:t xml:space="preserve">199. </w:t>
          </w:r>
          <w:r>
            <w:rPr>
              <w:rFonts w:eastAsia="Times New Roman"/>
            </w:rPr>
            <w:tab/>
            <w:t xml:space="preserve">Vestbo J, Edwards LD, Scanlon PD, Yates JC, Agusti A, Bakke P, et al. Changes in forced expiratory volume in 1 second </w:t>
          </w:r>
          <w:proofErr w:type="spellStart"/>
          <w:r>
            <w:rPr>
              <w:rFonts w:eastAsia="Times New Roman"/>
            </w:rPr>
            <w:t>over time</w:t>
          </w:r>
          <w:proofErr w:type="spellEnd"/>
          <w:r>
            <w:rPr>
              <w:rFonts w:eastAsia="Times New Roman"/>
            </w:rPr>
            <w:t xml:space="preserve"> in COPD. N Engl J Med. 2011;365: 1184–1192. doi:10.1056/NEJMOA1105482</w:t>
          </w:r>
        </w:p>
        <w:p w14:paraId="4D646659" w14:textId="77777777" w:rsidR="00572E88" w:rsidRDefault="00572E88">
          <w:pPr>
            <w:autoSpaceDE w:val="0"/>
            <w:autoSpaceDN w:val="0"/>
            <w:ind w:hanging="640"/>
            <w:divId w:val="1778518680"/>
            <w:rPr>
              <w:rFonts w:eastAsia="Times New Roman"/>
            </w:rPr>
          </w:pPr>
          <w:r>
            <w:rPr>
              <w:rFonts w:eastAsia="Times New Roman"/>
            </w:rPr>
            <w:t xml:space="preserve">200. </w:t>
          </w:r>
          <w:r>
            <w:rPr>
              <w:rFonts w:eastAsia="Times New Roman"/>
            </w:rPr>
            <w:tab/>
            <w:t>Sin DD, Anthonisen NR, Soriano JB, Agusti AG. Mortality in COPD: Role of comorbidities. Eur Respir J. 2006;28: 1245–1257. doi:10.1183/09031936.00133805</w:t>
          </w:r>
        </w:p>
        <w:p w14:paraId="1FB73D0D" w14:textId="77777777" w:rsidR="00572E88" w:rsidRDefault="00572E88">
          <w:pPr>
            <w:autoSpaceDE w:val="0"/>
            <w:autoSpaceDN w:val="0"/>
            <w:ind w:hanging="640"/>
            <w:divId w:val="573319470"/>
            <w:rPr>
              <w:rFonts w:eastAsia="Times New Roman"/>
            </w:rPr>
          </w:pPr>
          <w:r>
            <w:rPr>
              <w:rFonts w:eastAsia="Times New Roman"/>
            </w:rPr>
            <w:lastRenderedPageBreak/>
            <w:t xml:space="preserve">201. </w:t>
          </w:r>
          <w:r>
            <w:rPr>
              <w:rFonts w:eastAsia="Times New Roman"/>
            </w:rPr>
            <w:tab/>
            <w:t xml:space="preserve">Vanfleteren LEGW, Spruit MA, </w:t>
          </w:r>
          <w:proofErr w:type="spellStart"/>
          <w:r>
            <w:rPr>
              <w:rFonts w:eastAsia="Times New Roman"/>
            </w:rPr>
            <w:t>Groenen</w:t>
          </w:r>
          <w:proofErr w:type="spellEnd"/>
          <w:r>
            <w:rPr>
              <w:rFonts w:eastAsia="Times New Roman"/>
            </w:rPr>
            <w:t xml:space="preserve"> M, Gaffron S, Van </w:t>
          </w:r>
          <w:proofErr w:type="spellStart"/>
          <w:r>
            <w:rPr>
              <w:rFonts w:eastAsia="Times New Roman"/>
            </w:rPr>
            <w:t>Empel</w:t>
          </w:r>
          <w:proofErr w:type="spellEnd"/>
          <w:r>
            <w:rPr>
              <w:rFonts w:eastAsia="Times New Roman"/>
            </w:rPr>
            <w:t xml:space="preserve"> VPM, </w:t>
          </w:r>
          <w:proofErr w:type="spellStart"/>
          <w:r>
            <w:rPr>
              <w:rFonts w:eastAsia="Times New Roman"/>
            </w:rPr>
            <w:t>Bruijnzeel</w:t>
          </w:r>
          <w:proofErr w:type="spellEnd"/>
          <w:r>
            <w:rPr>
              <w:rFonts w:eastAsia="Times New Roman"/>
            </w:rPr>
            <w:t xml:space="preserve"> PLB, et al. Clusters of Comorbidities Based on Validated Objective Measurements and Systemic Inflammation in Patients with Chronic Obstructive Pulmonary Disease. [cited 23 Apr 2024]. doi:10.1164/rccm.201209-1665OC</w:t>
          </w:r>
        </w:p>
        <w:p w14:paraId="53ADD198" w14:textId="77777777" w:rsidR="00572E88" w:rsidRDefault="00572E88">
          <w:pPr>
            <w:autoSpaceDE w:val="0"/>
            <w:autoSpaceDN w:val="0"/>
            <w:ind w:hanging="640"/>
            <w:divId w:val="199364743"/>
            <w:rPr>
              <w:rFonts w:eastAsia="Times New Roman"/>
            </w:rPr>
          </w:pPr>
          <w:r>
            <w:rPr>
              <w:rFonts w:eastAsia="Times New Roman"/>
            </w:rPr>
            <w:t xml:space="preserve">202. </w:t>
          </w:r>
          <w:r>
            <w:rPr>
              <w:rFonts w:eastAsia="Times New Roman"/>
            </w:rPr>
            <w:tab/>
          </w:r>
          <w:proofErr w:type="spellStart"/>
          <w:r>
            <w:rPr>
              <w:rFonts w:eastAsia="Times New Roman"/>
            </w:rPr>
            <w:t>Chubachi</w:t>
          </w:r>
          <w:proofErr w:type="spellEnd"/>
          <w:r>
            <w:rPr>
              <w:rFonts w:eastAsia="Times New Roman"/>
            </w:rPr>
            <w:t xml:space="preserve"> S, Sato M, Kameyama N, Tsutsumi A, Sasaki M, Tateno H, et al. Identification of five clusters of comorbidities in a longitudinal Japanese chronic obstructive pulmonary disease cohort. Respir Med. 2016;117: 272–279. </w:t>
          </w:r>
          <w:proofErr w:type="gramStart"/>
          <w:r>
            <w:rPr>
              <w:rFonts w:eastAsia="Times New Roman"/>
            </w:rPr>
            <w:t>doi:10.1016/j.rmed</w:t>
          </w:r>
          <w:proofErr w:type="gramEnd"/>
          <w:r>
            <w:rPr>
              <w:rFonts w:eastAsia="Times New Roman"/>
            </w:rPr>
            <w:t>.2016.07.002</w:t>
          </w:r>
        </w:p>
        <w:p w14:paraId="4E4EA50F" w14:textId="77777777" w:rsidR="00572E88" w:rsidRDefault="00572E88">
          <w:pPr>
            <w:autoSpaceDE w:val="0"/>
            <w:autoSpaceDN w:val="0"/>
            <w:ind w:hanging="640"/>
            <w:divId w:val="704184763"/>
            <w:rPr>
              <w:rFonts w:eastAsia="Times New Roman"/>
            </w:rPr>
          </w:pPr>
          <w:r>
            <w:rPr>
              <w:rFonts w:eastAsia="Times New Roman"/>
            </w:rPr>
            <w:t xml:space="preserve">203. </w:t>
          </w:r>
          <w:r>
            <w:rPr>
              <w:rFonts w:eastAsia="Times New Roman"/>
            </w:rPr>
            <w:tab/>
            <w:t xml:space="preserve">Miller J, Edwards LD, Agustí A, Bakke P, Calverley PMA, Celli B, et al. Comorbidity, systemic inflammation and outcomes in the ECLIPSE cohort. Respir Med. 2013;107: 1376–1384. </w:t>
          </w:r>
          <w:proofErr w:type="gramStart"/>
          <w:r>
            <w:rPr>
              <w:rFonts w:eastAsia="Times New Roman"/>
            </w:rPr>
            <w:t>doi:10.1016/J.RMED</w:t>
          </w:r>
          <w:proofErr w:type="gramEnd"/>
          <w:r>
            <w:rPr>
              <w:rFonts w:eastAsia="Times New Roman"/>
            </w:rPr>
            <w:t>.2013.05.001</w:t>
          </w:r>
        </w:p>
        <w:p w14:paraId="3A1F1F6B" w14:textId="77777777" w:rsidR="00572E88" w:rsidRDefault="00572E88">
          <w:pPr>
            <w:autoSpaceDE w:val="0"/>
            <w:autoSpaceDN w:val="0"/>
            <w:ind w:hanging="640"/>
            <w:divId w:val="1769424974"/>
            <w:rPr>
              <w:rFonts w:eastAsia="Times New Roman"/>
            </w:rPr>
          </w:pPr>
          <w:r>
            <w:rPr>
              <w:rFonts w:eastAsia="Times New Roman"/>
            </w:rPr>
            <w:t xml:space="preserve">204. </w:t>
          </w:r>
          <w:r>
            <w:rPr>
              <w:rFonts w:eastAsia="Times New Roman"/>
            </w:rPr>
            <w:tab/>
            <w:t xml:space="preserve">Burgel PR, </w:t>
          </w:r>
          <w:proofErr w:type="spellStart"/>
          <w:r>
            <w:rPr>
              <w:rFonts w:eastAsia="Times New Roman"/>
            </w:rPr>
            <w:t>Paillasseur</w:t>
          </w:r>
          <w:proofErr w:type="spellEnd"/>
          <w:r>
            <w:rPr>
              <w:rFonts w:eastAsia="Times New Roman"/>
            </w:rPr>
            <w:t xml:space="preserve"> JL, Roche N. Identification of clinical phenotypes using cluster analyses in COPD patients with multiple comorbidities. Biomed Res Int. 2014;2014. doi:10.1155/2014/420134</w:t>
          </w:r>
        </w:p>
        <w:p w14:paraId="57052615" w14:textId="77777777" w:rsidR="00572E88" w:rsidRDefault="00572E88">
          <w:pPr>
            <w:autoSpaceDE w:val="0"/>
            <w:autoSpaceDN w:val="0"/>
            <w:ind w:hanging="640"/>
            <w:divId w:val="1703439909"/>
            <w:rPr>
              <w:rFonts w:eastAsia="Times New Roman"/>
            </w:rPr>
          </w:pPr>
          <w:r>
            <w:rPr>
              <w:rFonts w:eastAsia="Times New Roman"/>
            </w:rPr>
            <w:t xml:space="preserve">205. </w:t>
          </w:r>
          <w:r>
            <w:rPr>
              <w:rFonts w:eastAsia="Times New Roman"/>
            </w:rPr>
            <w:tab/>
            <w:t xml:space="preserve">Rennard SI, Locantore N, </w:t>
          </w:r>
          <w:proofErr w:type="spellStart"/>
          <w:r>
            <w:rPr>
              <w:rFonts w:eastAsia="Times New Roman"/>
            </w:rPr>
            <w:t>Delafont</w:t>
          </w:r>
          <w:proofErr w:type="spellEnd"/>
          <w:r>
            <w:rPr>
              <w:rFonts w:eastAsia="Times New Roman"/>
            </w:rPr>
            <w:t xml:space="preserve"> B, Tal-Singer R, Silverman EK, Vestbo J, et al. Identification of five chronic obstructive pulmonary disease subgroups with different prognoses in the ECLIPSE cohort using cluster analysis. Ann Am </w:t>
          </w:r>
          <w:proofErr w:type="spellStart"/>
          <w:r>
            <w:rPr>
              <w:rFonts w:eastAsia="Times New Roman"/>
            </w:rPr>
            <w:t>Thorac</w:t>
          </w:r>
          <w:proofErr w:type="spellEnd"/>
          <w:r>
            <w:rPr>
              <w:rFonts w:eastAsia="Times New Roman"/>
            </w:rPr>
            <w:t xml:space="preserve"> Soc. 2015;12: 303–312. </w:t>
          </w:r>
          <w:proofErr w:type="gramStart"/>
          <w:r>
            <w:rPr>
              <w:rFonts w:eastAsia="Times New Roman"/>
            </w:rPr>
            <w:t>doi:10.1513/ANNALSATS.201403-125OC/SUPPL_FILE/DISCLOSURES.PDF</w:t>
          </w:r>
          <w:proofErr w:type="gramEnd"/>
        </w:p>
        <w:p w14:paraId="7B92E824" w14:textId="77777777" w:rsidR="00572E88" w:rsidRDefault="00572E88">
          <w:pPr>
            <w:autoSpaceDE w:val="0"/>
            <w:autoSpaceDN w:val="0"/>
            <w:ind w:hanging="640"/>
            <w:divId w:val="681054089"/>
            <w:rPr>
              <w:rFonts w:eastAsia="Times New Roman"/>
            </w:rPr>
          </w:pPr>
          <w:r>
            <w:rPr>
              <w:rFonts w:eastAsia="Times New Roman"/>
            </w:rPr>
            <w:t xml:space="preserve">206. </w:t>
          </w:r>
          <w:r>
            <w:rPr>
              <w:rFonts w:eastAsia="Times New Roman"/>
            </w:rPr>
            <w:tab/>
            <w:t>Stange B, Mcinerney J, Golden A, Benade W, Neill B, Mayer A, et al. Integrated approach to health screening of former department of energy workers detects both occupational and non-occupational illness. Am J Ind Med. 2016;59: 200–211. doi:10.1002/ajim.22554</w:t>
          </w:r>
        </w:p>
        <w:p w14:paraId="4DE0983A" w14:textId="77777777" w:rsidR="00572E88" w:rsidRDefault="00572E88">
          <w:pPr>
            <w:autoSpaceDE w:val="0"/>
            <w:autoSpaceDN w:val="0"/>
            <w:ind w:hanging="640"/>
            <w:divId w:val="1351175341"/>
            <w:rPr>
              <w:rFonts w:eastAsia="Times New Roman"/>
            </w:rPr>
          </w:pPr>
          <w:r>
            <w:rPr>
              <w:rFonts w:eastAsia="Times New Roman"/>
            </w:rPr>
            <w:t xml:space="preserve">207. </w:t>
          </w:r>
          <w:r>
            <w:rPr>
              <w:rFonts w:eastAsia="Times New Roman"/>
            </w:rPr>
            <w:tab/>
            <w:t xml:space="preserve">SAS Institute. SAS Version 9.4. Cary, NC, USA: SAS Institute; 2016. </w:t>
          </w:r>
        </w:p>
        <w:p w14:paraId="3C3CB952" w14:textId="77777777" w:rsidR="00572E88" w:rsidRDefault="00572E88">
          <w:pPr>
            <w:autoSpaceDE w:val="0"/>
            <w:autoSpaceDN w:val="0"/>
            <w:ind w:hanging="640"/>
            <w:divId w:val="1210605309"/>
            <w:rPr>
              <w:rFonts w:eastAsia="Times New Roman"/>
            </w:rPr>
          </w:pPr>
          <w:r>
            <w:rPr>
              <w:rFonts w:eastAsia="Times New Roman"/>
            </w:rPr>
            <w:t xml:space="preserve">208. </w:t>
          </w:r>
          <w:r>
            <w:rPr>
              <w:rFonts w:eastAsia="Times New Roman"/>
            </w:rPr>
            <w:tab/>
            <w:t>Massey FJ. The Kolmogorov-Smirnov Test for Goodness of Fit. J Am Stat Assoc. 1951;46: 68. doi:10.2307/2280095</w:t>
          </w:r>
        </w:p>
        <w:p w14:paraId="009E46E0" w14:textId="77777777" w:rsidR="00572E88" w:rsidRDefault="00572E88">
          <w:pPr>
            <w:autoSpaceDE w:val="0"/>
            <w:autoSpaceDN w:val="0"/>
            <w:ind w:hanging="640"/>
            <w:divId w:val="1587690846"/>
            <w:rPr>
              <w:rFonts w:eastAsia="Times New Roman"/>
            </w:rPr>
          </w:pPr>
          <w:r>
            <w:rPr>
              <w:rFonts w:eastAsia="Times New Roman"/>
            </w:rPr>
            <w:t xml:space="preserve">209. </w:t>
          </w:r>
          <w:r>
            <w:rPr>
              <w:rFonts w:eastAsia="Times New Roman"/>
            </w:rPr>
            <w:tab/>
            <w:t>Sterne JAC, White IR, Carlin JB, Spratt M, Royston P, Kenward MG, et al. Multiple imputation for missing data in epidemiological and clinical research: potential and pitfalls. BMJ. 2009;338: b2393. doi:10.1136/</w:t>
          </w:r>
          <w:proofErr w:type="gramStart"/>
          <w:r>
            <w:rPr>
              <w:rFonts w:eastAsia="Times New Roman"/>
            </w:rPr>
            <w:t>bmj.b</w:t>
          </w:r>
          <w:proofErr w:type="gramEnd"/>
          <w:r>
            <w:rPr>
              <w:rFonts w:eastAsia="Times New Roman"/>
            </w:rPr>
            <w:t>2393</w:t>
          </w:r>
        </w:p>
        <w:p w14:paraId="5311A8CF" w14:textId="77777777" w:rsidR="00572E88" w:rsidRDefault="00572E88">
          <w:pPr>
            <w:autoSpaceDE w:val="0"/>
            <w:autoSpaceDN w:val="0"/>
            <w:ind w:hanging="640"/>
            <w:divId w:val="630987756"/>
            <w:rPr>
              <w:rFonts w:eastAsia="Times New Roman"/>
            </w:rPr>
          </w:pPr>
          <w:r>
            <w:rPr>
              <w:rFonts w:eastAsia="Times New Roman"/>
            </w:rPr>
            <w:t xml:space="preserve">210. </w:t>
          </w:r>
          <w:r>
            <w:rPr>
              <w:rFonts w:eastAsia="Times New Roman"/>
            </w:rPr>
            <w:tab/>
            <w:t>Gower JC. A General Coefficient of Similarity and Some of Its Properties. Biometrics. 1971;27: 857. doi:10.2307/2528823</w:t>
          </w:r>
        </w:p>
        <w:p w14:paraId="6785F832" w14:textId="77777777" w:rsidR="00572E88" w:rsidRDefault="00572E88">
          <w:pPr>
            <w:autoSpaceDE w:val="0"/>
            <w:autoSpaceDN w:val="0"/>
            <w:ind w:hanging="640"/>
            <w:divId w:val="1676878739"/>
            <w:rPr>
              <w:rFonts w:eastAsia="Times New Roman"/>
            </w:rPr>
          </w:pPr>
          <w:r>
            <w:rPr>
              <w:rFonts w:eastAsia="Times New Roman"/>
            </w:rPr>
            <w:lastRenderedPageBreak/>
            <w:t xml:space="preserve">211. </w:t>
          </w:r>
          <w:r>
            <w:rPr>
              <w:rFonts w:eastAsia="Times New Roman"/>
            </w:rPr>
            <w:tab/>
          </w:r>
          <w:proofErr w:type="spellStart"/>
          <w:r>
            <w:rPr>
              <w:rFonts w:eastAsia="Times New Roman"/>
            </w:rPr>
            <w:t>Basagaña</w:t>
          </w:r>
          <w:proofErr w:type="spellEnd"/>
          <w:r>
            <w:rPr>
              <w:rFonts w:eastAsia="Times New Roman"/>
            </w:rPr>
            <w:t xml:space="preserve"> X, Barrera-Gómez J, Benet M, </w:t>
          </w:r>
          <w:proofErr w:type="spellStart"/>
          <w:r>
            <w:rPr>
              <w:rFonts w:eastAsia="Times New Roman"/>
            </w:rPr>
            <w:t>Antó</w:t>
          </w:r>
          <w:proofErr w:type="spellEnd"/>
          <w:r>
            <w:rPr>
              <w:rFonts w:eastAsia="Times New Roman"/>
            </w:rPr>
            <w:t xml:space="preserve"> JM, Garcia-Aymerich J. A Framework for Multiple Imputation in Cluster Analysis. Am J Epidemiol. 2013;177: 718–725. doi:10.1093/AJE/KWS289</w:t>
          </w:r>
        </w:p>
        <w:p w14:paraId="198F8A28" w14:textId="77777777" w:rsidR="00572E88" w:rsidRDefault="00572E88">
          <w:pPr>
            <w:autoSpaceDE w:val="0"/>
            <w:autoSpaceDN w:val="0"/>
            <w:ind w:hanging="640"/>
            <w:divId w:val="104469050"/>
            <w:rPr>
              <w:rFonts w:eastAsia="Times New Roman"/>
            </w:rPr>
          </w:pPr>
          <w:r>
            <w:rPr>
              <w:rFonts w:eastAsia="Times New Roman"/>
            </w:rPr>
            <w:t xml:space="preserve">212. </w:t>
          </w:r>
          <w:r>
            <w:rPr>
              <w:rFonts w:eastAsia="Times New Roman"/>
            </w:rPr>
            <w:tab/>
          </w:r>
          <w:proofErr w:type="spellStart"/>
          <w:r>
            <w:rPr>
              <w:rFonts w:eastAsia="Times New Roman"/>
            </w:rPr>
            <w:t>Maechler</w:t>
          </w:r>
          <w:proofErr w:type="spellEnd"/>
          <w:r>
            <w:rPr>
              <w:rFonts w:eastAsia="Times New Roman"/>
            </w:rPr>
            <w:t xml:space="preserve"> M, </w:t>
          </w:r>
          <w:proofErr w:type="spellStart"/>
          <w:r>
            <w:rPr>
              <w:rFonts w:eastAsia="Times New Roman"/>
            </w:rPr>
            <w:t>Rousseeuw</w:t>
          </w:r>
          <w:proofErr w:type="spellEnd"/>
          <w:r>
            <w:rPr>
              <w:rFonts w:eastAsia="Times New Roman"/>
            </w:rPr>
            <w:t xml:space="preserve"> P, </w:t>
          </w:r>
          <w:proofErr w:type="spellStart"/>
          <w:r>
            <w:rPr>
              <w:rFonts w:eastAsia="Times New Roman"/>
            </w:rPr>
            <w:t>Strufy</w:t>
          </w:r>
          <w:proofErr w:type="spellEnd"/>
          <w:r>
            <w:rPr>
              <w:rFonts w:eastAsia="Times New Roman"/>
            </w:rPr>
            <w:t xml:space="preserve"> A, Hubert M, Hornik K. cluster: Cluster Analysis Basics and Extensions. R package version 4.0.3; 2023. </w:t>
          </w:r>
        </w:p>
        <w:p w14:paraId="32B3DAE7" w14:textId="77777777" w:rsidR="00572E88" w:rsidRDefault="00572E88">
          <w:pPr>
            <w:autoSpaceDE w:val="0"/>
            <w:autoSpaceDN w:val="0"/>
            <w:ind w:hanging="640"/>
            <w:divId w:val="213736345"/>
            <w:rPr>
              <w:rFonts w:eastAsia="Times New Roman"/>
            </w:rPr>
          </w:pPr>
          <w:r>
            <w:rPr>
              <w:rFonts w:eastAsia="Times New Roman"/>
            </w:rPr>
            <w:t xml:space="preserve">213. </w:t>
          </w:r>
          <w:r>
            <w:rPr>
              <w:rFonts w:eastAsia="Times New Roman"/>
            </w:rPr>
            <w:tab/>
            <w:t xml:space="preserve">Kuhn M. Building Predictive Models in R Using the caret Package. J Stat </w:t>
          </w:r>
          <w:proofErr w:type="spellStart"/>
          <w:r>
            <w:rPr>
              <w:rFonts w:eastAsia="Times New Roman"/>
            </w:rPr>
            <w:t>Softw</w:t>
          </w:r>
          <w:proofErr w:type="spellEnd"/>
          <w:r>
            <w:rPr>
              <w:rFonts w:eastAsia="Times New Roman"/>
            </w:rPr>
            <w:t>. 2008;28: 1–26. doi:10.18637/JSS.V028.I05</w:t>
          </w:r>
        </w:p>
        <w:p w14:paraId="38E19680" w14:textId="77777777" w:rsidR="00572E88" w:rsidRDefault="00572E88">
          <w:pPr>
            <w:autoSpaceDE w:val="0"/>
            <w:autoSpaceDN w:val="0"/>
            <w:ind w:hanging="640"/>
            <w:divId w:val="1504009999"/>
            <w:rPr>
              <w:rFonts w:eastAsia="Times New Roman"/>
            </w:rPr>
          </w:pPr>
          <w:r>
            <w:rPr>
              <w:rFonts w:eastAsia="Times New Roman"/>
            </w:rPr>
            <w:t xml:space="preserve">214. </w:t>
          </w:r>
          <w:r>
            <w:rPr>
              <w:rFonts w:eastAsia="Times New Roman"/>
            </w:rPr>
            <w:tab/>
            <w:t xml:space="preserve">James BD, Greening NJ, Tracey N, Haldar P, Woltmann G, Free RC, et al. Prognostication of co-morbidity clusters on </w:t>
          </w:r>
          <w:proofErr w:type="spellStart"/>
          <w:r>
            <w:rPr>
              <w:rFonts w:eastAsia="Times New Roman"/>
            </w:rPr>
            <w:t>hospitalisation</w:t>
          </w:r>
          <w:proofErr w:type="spellEnd"/>
          <w:r>
            <w:rPr>
              <w:rFonts w:eastAsia="Times New Roman"/>
            </w:rPr>
            <w:t xml:space="preserve"> and mortality in advanced COPD. Respir Med. 2024;222. </w:t>
          </w:r>
          <w:proofErr w:type="gramStart"/>
          <w:r>
            <w:rPr>
              <w:rFonts w:eastAsia="Times New Roman"/>
            </w:rPr>
            <w:t>doi:10.1016/J.RMED</w:t>
          </w:r>
          <w:proofErr w:type="gramEnd"/>
          <w:r>
            <w:rPr>
              <w:rFonts w:eastAsia="Times New Roman"/>
            </w:rPr>
            <w:t>.2023.107525</w:t>
          </w:r>
        </w:p>
        <w:p w14:paraId="41578A63" w14:textId="77777777" w:rsidR="00572E88" w:rsidRDefault="00572E88">
          <w:pPr>
            <w:autoSpaceDE w:val="0"/>
            <w:autoSpaceDN w:val="0"/>
            <w:ind w:hanging="640"/>
            <w:divId w:val="1094589619"/>
            <w:rPr>
              <w:rFonts w:eastAsia="Times New Roman"/>
            </w:rPr>
          </w:pPr>
          <w:r>
            <w:rPr>
              <w:rFonts w:eastAsia="Times New Roman"/>
            </w:rPr>
            <w:t xml:space="preserve">215. </w:t>
          </w:r>
          <w:r>
            <w:rPr>
              <w:rFonts w:eastAsia="Times New Roman"/>
            </w:rPr>
            <w:tab/>
          </w:r>
          <w:proofErr w:type="spellStart"/>
          <w:r>
            <w:rPr>
              <w:rFonts w:eastAsia="Times New Roman"/>
            </w:rPr>
            <w:t>Jurevičienė</w:t>
          </w:r>
          <w:proofErr w:type="spellEnd"/>
          <w:r>
            <w:rPr>
              <w:rFonts w:eastAsia="Times New Roman"/>
            </w:rPr>
            <w:t xml:space="preserve"> E, </w:t>
          </w:r>
          <w:proofErr w:type="spellStart"/>
          <w:r>
            <w:rPr>
              <w:rFonts w:eastAsia="Times New Roman"/>
            </w:rPr>
            <w:t>Burneikaitė</w:t>
          </w:r>
          <w:proofErr w:type="spellEnd"/>
          <w:r>
            <w:rPr>
              <w:rFonts w:eastAsia="Times New Roman"/>
            </w:rPr>
            <w:t xml:space="preserve"> G, Dambrauskas L, </w:t>
          </w:r>
          <w:proofErr w:type="spellStart"/>
          <w:r>
            <w:rPr>
              <w:rFonts w:eastAsia="Times New Roman"/>
            </w:rPr>
            <w:t>Kasiulevičius</w:t>
          </w:r>
          <w:proofErr w:type="spellEnd"/>
          <w:r>
            <w:rPr>
              <w:rFonts w:eastAsia="Times New Roman"/>
            </w:rPr>
            <w:t xml:space="preserve"> V, </w:t>
          </w:r>
          <w:proofErr w:type="spellStart"/>
          <w:r>
            <w:rPr>
              <w:rFonts w:eastAsia="Times New Roman"/>
            </w:rPr>
            <w:t>Kazėnaitė</w:t>
          </w:r>
          <w:proofErr w:type="spellEnd"/>
          <w:r>
            <w:rPr>
              <w:rFonts w:eastAsia="Times New Roman"/>
            </w:rPr>
            <w:t xml:space="preserve"> E, Navickas R, et al. Epidemiology of Chronic Obstructive Pulmonary Disease (COPD) Comorbidities in Lithuanian National Database: A Cluster Analysis. Int J Environ Res Public Health. 2022;19. doi:10.3390/ijerph19020970</w:t>
          </w:r>
        </w:p>
        <w:p w14:paraId="5664C24B" w14:textId="77777777" w:rsidR="00572E88" w:rsidRDefault="00572E88">
          <w:pPr>
            <w:autoSpaceDE w:val="0"/>
            <w:autoSpaceDN w:val="0"/>
            <w:ind w:hanging="640"/>
            <w:divId w:val="1147238557"/>
            <w:rPr>
              <w:rFonts w:eastAsia="Times New Roman"/>
            </w:rPr>
          </w:pPr>
          <w:r>
            <w:rPr>
              <w:rFonts w:eastAsia="Times New Roman"/>
            </w:rPr>
            <w:t xml:space="preserve">216. </w:t>
          </w:r>
          <w:r>
            <w:rPr>
              <w:rFonts w:eastAsia="Times New Roman"/>
            </w:rPr>
            <w:tab/>
          </w:r>
          <w:proofErr w:type="spellStart"/>
          <w:r>
            <w:rPr>
              <w:rFonts w:eastAsia="Times New Roman"/>
            </w:rPr>
            <w:t>Vikjord</w:t>
          </w:r>
          <w:proofErr w:type="spellEnd"/>
          <w:r>
            <w:rPr>
              <w:rFonts w:eastAsia="Times New Roman"/>
            </w:rPr>
            <w:t xml:space="preserve"> SAA, Brumpton BM, Mai XM, Romundstad S, Langhammer A, Vanfleteren L. The HUNT study: Association of comorbidity clusters with long-term survival and incidence of exacerbation in a population-based Norwegian COPD cohort. Respirology. 2022;27: 277–285. doi:10.1111/RESP.14222</w:t>
          </w:r>
        </w:p>
        <w:p w14:paraId="727E9847" w14:textId="77777777" w:rsidR="00572E88" w:rsidRDefault="00572E88">
          <w:pPr>
            <w:autoSpaceDE w:val="0"/>
            <w:autoSpaceDN w:val="0"/>
            <w:ind w:hanging="640"/>
            <w:divId w:val="287393523"/>
            <w:rPr>
              <w:rFonts w:eastAsia="Times New Roman"/>
            </w:rPr>
          </w:pPr>
          <w:r>
            <w:rPr>
              <w:rFonts w:eastAsia="Times New Roman"/>
            </w:rPr>
            <w:t xml:space="preserve">217. </w:t>
          </w:r>
          <w:r>
            <w:rPr>
              <w:rFonts w:eastAsia="Times New Roman"/>
            </w:rPr>
            <w:tab/>
            <w:t xml:space="preserve">André S, Conde B, Fragoso E, </w:t>
          </w:r>
          <w:proofErr w:type="spellStart"/>
          <w:r>
            <w:rPr>
              <w:rFonts w:eastAsia="Times New Roman"/>
            </w:rPr>
            <w:t>Boléo</w:t>
          </w:r>
          <w:proofErr w:type="spellEnd"/>
          <w:r>
            <w:rPr>
              <w:rFonts w:eastAsia="Times New Roman"/>
            </w:rPr>
            <w:t xml:space="preserve">-Tomé JP, Areias V, Cardoso J. COPD and Cardiovascular Disease. Pulmonology. 2019;25: 168–176. </w:t>
          </w:r>
          <w:proofErr w:type="gramStart"/>
          <w:r>
            <w:rPr>
              <w:rFonts w:eastAsia="Times New Roman"/>
            </w:rPr>
            <w:t>doi:10.1016/J.PULMOE</w:t>
          </w:r>
          <w:proofErr w:type="gramEnd"/>
          <w:r>
            <w:rPr>
              <w:rFonts w:eastAsia="Times New Roman"/>
            </w:rPr>
            <w:t>.2018.09.006</w:t>
          </w:r>
        </w:p>
        <w:p w14:paraId="7DA4BE3F" w14:textId="77777777" w:rsidR="00572E88" w:rsidRDefault="00572E88">
          <w:pPr>
            <w:autoSpaceDE w:val="0"/>
            <w:autoSpaceDN w:val="0"/>
            <w:ind w:hanging="640"/>
            <w:divId w:val="569922667"/>
            <w:rPr>
              <w:rFonts w:eastAsia="Times New Roman"/>
            </w:rPr>
          </w:pPr>
          <w:r>
            <w:rPr>
              <w:rFonts w:eastAsia="Times New Roman"/>
            </w:rPr>
            <w:t xml:space="preserve">218. </w:t>
          </w:r>
          <w:r>
            <w:rPr>
              <w:rFonts w:eastAsia="Times New Roman"/>
            </w:rPr>
            <w:tab/>
            <w:t xml:space="preserve">Qi C, Sun SW, Xiong XZ. From COPD to Lung Cancer: Mechanisms Linking, Diagnosis, Treatment, and Prognosis. Int J Chron Obstruct </w:t>
          </w:r>
          <w:proofErr w:type="spellStart"/>
          <w:r>
            <w:rPr>
              <w:rFonts w:eastAsia="Times New Roman"/>
            </w:rPr>
            <w:t>Pulmon</w:t>
          </w:r>
          <w:proofErr w:type="spellEnd"/>
          <w:r>
            <w:rPr>
              <w:rFonts w:eastAsia="Times New Roman"/>
            </w:rPr>
            <w:t xml:space="preserve"> Dis. 2022;17: 2603. doi:10.2147/COPD.S380732</w:t>
          </w:r>
        </w:p>
        <w:p w14:paraId="34236ACD" w14:textId="77777777" w:rsidR="00572E88" w:rsidRDefault="00572E88">
          <w:pPr>
            <w:autoSpaceDE w:val="0"/>
            <w:autoSpaceDN w:val="0"/>
            <w:ind w:hanging="640"/>
            <w:divId w:val="1499535514"/>
            <w:rPr>
              <w:rFonts w:eastAsia="Times New Roman"/>
            </w:rPr>
          </w:pPr>
          <w:r>
            <w:rPr>
              <w:rFonts w:eastAsia="Times New Roman"/>
            </w:rPr>
            <w:t xml:space="preserve">219. </w:t>
          </w:r>
          <w:r>
            <w:rPr>
              <w:rFonts w:eastAsia="Times New Roman"/>
            </w:rPr>
            <w:tab/>
            <w:t xml:space="preserve">Forder A, Zhuang R, Souza VGP, Brockley LJ, </w:t>
          </w:r>
          <w:proofErr w:type="spellStart"/>
          <w:r>
            <w:rPr>
              <w:rFonts w:eastAsia="Times New Roman"/>
            </w:rPr>
            <w:t>Pewarchuk</w:t>
          </w:r>
          <w:proofErr w:type="spellEnd"/>
          <w:r>
            <w:rPr>
              <w:rFonts w:eastAsia="Times New Roman"/>
            </w:rPr>
            <w:t xml:space="preserve"> ME, </w:t>
          </w:r>
          <w:proofErr w:type="spellStart"/>
          <w:r>
            <w:rPr>
              <w:rFonts w:eastAsia="Times New Roman"/>
            </w:rPr>
            <w:t>Telkar</w:t>
          </w:r>
          <w:proofErr w:type="spellEnd"/>
          <w:r>
            <w:rPr>
              <w:rFonts w:eastAsia="Times New Roman"/>
            </w:rPr>
            <w:t xml:space="preserve"> N, et al. Mechanisms Contributing to the Comorbidity of COPD and Lung Cancer. Int J Mol Sci. 2023;24. doi:10.3390/IJMS24032859</w:t>
          </w:r>
        </w:p>
        <w:p w14:paraId="4DC51450" w14:textId="77777777" w:rsidR="00572E88" w:rsidRDefault="00572E88">
          <w:pPr>
            <w:autoSpaceDE w:val="0"/>
            <w:autoSpaceDN w:val="0"/>
            <w:ind w:hanging="640"/>
            <w:divId w:val="1326935722"/>
            <w:rPr>
              <w:rFonts w:eastAsia="Times New Roman"/>
            </w:rPr>
          </w:pPr>
          <w:r>
            <w:rPr>
              <w:rFonts w:eastAsia="Times New Roman"/>
            </w:rPr>
            <w:t xml:space="preserve">220. </w:t>
          </w:r>
          <w:r>
            <w:rPr>
              <w:rFonts w:eastAsia="Times New Roman"/>
            </w:rPr>
            <w:tab/>
            <w:t xml:space="preserve">Fabbri LM, Celli BR, Agustí A, Criner GJ, Dransfield MT, Divo M, et al. COPD and multimorbidity: </w:t>
          </w:r>
          <w:proofErr w:type="spellStart"/>
          <w:r>
            <w:rPr>
              <w:rFonts w:eastAsia="Times New Roman"/>
            </w:rPr>
            <w:t>recognising</w:t>
          </w:r>
          <w:proofErr w:type="spellEnd"/>
          <w:r>
            <w:rPr>
              <w:rFonts w:eastAsia="Times New Roman"/>
            </w:rPr>
            <w:t xml:space="preserve"> and addressing a </w:t>
          </w:r>
          <w:proofErr w:type="spellStart"/>
          <w:r>
            <w:rPr>
              <w:rFonts w:eastAsia="Times New Roman"/>
            </w:rPr>
            <w:t>syndemic</w:t>
          </w:r>
          <w:proofErr w:type="spellEnd"/>
          <w:r>
            <w:rPr>
              <w:rFonts w:eastAsia="Times New Roman"/>
            </w:rPr>
            <w:t xml:space="preserve"> occurrence. Lancet Respir Med. 2023;11: 1020–1034. doi:10.1016/S2213-2600(23)00261-8</w:t>
          </w:r>
        </w:p>
        <w:p w14:paraId="1CA912BD" w14:textId="77777777" w:rsidR="00572E88" w:rsidRDefault="00572E88">
          <w:pPr>
            <w:autoSpaceDE w:val="0"/>
            <w:autoSpaceDN w:val="0"/>
            <w:ind w:hanging="640"/>
            <w:divId w:val="233592774"/>
            <w:rPr>
              <w:rFonts w:eastAsia="Times New Roman"/>
            </w:rPr>
          </w:pPr>
          <w:r>
            <w:rPr>
              <w:rFonts w:eastAsia="Times New Roman"/>
            </w:rPr>
            <w:t xml:space="preserve">221. </w:t>
          </w:r>
          <w:r>
            <w:rPr>
              <w:rFonts w:eastAsia="Times New Roman"/>
            </w:rPr>
            <w:tab/>
          </w:r>
          <w:proofErr w:type="spellStart"/>
          <w:r>
            <w:rPr>
              <w:rFonts w:eastAsia="Times New Roman"/>
            </w:rPr>
            <w:t>Boueiz</w:t>
          </w:r>
          <w:proofErr w:type="spellEnd"/>
          <w:r>
            <w:rPr>
              <w:rFonts w:eastAsia="Times New Roman"/>
            </w:rPr>
            <w:t xml:space="preserve"> A, Xu Z, Chang Y, </w:t>
          </w:r>
          <w:proofErr w:type="spellStart"/>
          <w:r>
            <w:rPr>
              <w:rFonts w:eastAsia="Times New Roman"/>
            </w:rPr>
            <w:t>Masoomi</w:t>
          </w:r>
          <w:proofErr w:type="spellEnd"/>
          <w:r>
            <w:rPr>
              <w:rFonts w:eastAsia="Times New Roman"/>
            </w:rPr>
            <w:t xml:space="preserve"> A, Gregory A, Lutz SM, et al. Machine Learning Prediction of Progression in Forced Expiratory Volume in 1 Second in the </w:t>
          </w:r>
          <w:proofErr w:type="spellStart"/>
          <w:r>
            <w:rPr>
              <w:rFonts w:eastAsia="Times New Roman"/>
            </w:rPr>
            <w:lastRenderedPageBreak/>
            <w:t>COPDGene</w:t>
          </w:r>
          <w:proofErr w:type="spellEnd"/>
          <w:r>
            <w:rPr>
              <w:rFonts w:eastAsia="Times New Roman"/>
            </w:rPr>
            <w:t xml:space="preserve">® Study. Chronic </w:t>
          </w:r>
          <w:proofErr w:type="spellStart"/>
          <w:r>
            <w:rPr>
              <w:rFonts w:eastAsia="Times New Roman"/>
            </w:rPr>
            <w:t>Obstr</w:t>
          </w:r>
          <w:proofErr w:type="spellEnd"/>
          <w:r>
            <w:rPr>
              <w:rFonts w:eastAsia="Times New Roman"/>
            </w:rPr>
            <w:t xml:space="preserve"> </w:t>
          </w:r>
          <w:proofErr w:type="spellStart"/>
          <w:r>
            <w:rPr>
              <w:rFonts w:eastAsia="Times New Roman"/>
            </w:rPr>
            <w:t>Pulm</w:t>
          </w:r>
          <w:proofErr w:type="spellEnd"/>
          <w:r>
            <w:rPr>
              <w:rFonts w:eastAsia="Times New Roman"/>
            </w:rPr>
            <w:t xml:space="preserve"> Dis. 2022;9: 349–365. doi:10.15326/JCOPDF.2021.0275</w:t>
          </w:r>
        </w:p>
        <w:p w14:paraId="1D408FB0" w14:textId="77777777" w:rsidR="00572E88" w:rsidRDefault="00572E88">
          <w:pPr>
            <w:autoSpaceDE w:val="0"/>
            <w:autoSpaceDN w:val="0"/>
            <w:ind w:hanging="640"/>
            <w:divId w:val="1544055196"/>
            <w:rPr>
              <w:rFonts w:eastAsia="Times New Roman"/>
            </w:rPr>
          </w:pPr>
          <w:r>
            <w:rPr>
              <w:rFonts w:eastAsia="Times New Roman"/>
            </w:rPr>
            <w:t xml:space="preserve">222. </w:t>
          </w:r>
          <w:r>
            <w:rPr>
              <w:rFonts w:eastAsia="Times New Roman"/>
            </w:rPr>
            <w:tab/>
            <w:t xml:space="preserve">Tudorache E, </w:t>
          </w:r>
          <w:proofErr w:type="spellStart"/>
          <w:r>
            <w:rPr>
              <w:rFonts w:eastAsia="Times New Roman"/>
            </w:rPr>
            <w:t>Fildan</w:t>
          </w:r>
          <w:proofErr w:type="spellEnd"/>
          <w:r>
            <w:rPr>
              <w:rFonts w:eastAsia="Times New Roman"/>
            </w:rPr>
            <w:t xml:space="preserve"> AP, </w:t>
          </w:r>
          <w:proofErr w:type="spellStart"/>
          <w:r>
            <w:rPr>
              <w:rFonts w:eastAsia="Times New Roman"/>
            </w:rPr>
            <w:t>Frandes</w:t>
          </w:r>
          <w:proofErr w:type="spellEnd"/>
          <w:r>
            <w:rPr>
              <w:rFonts w:eastAsia="Times New Roman"/>
            </w:rPr>
            <w:t xml:space="preserve"> M, Dantes E, </w:t>
          </w:r>
          <w:proofErr w:type="spellStart"/>
          <w:r>
            <w:rPr>
              <w:rFonts w:eastAsia="Times New Roman"/>
            </w:rPr>
            <w:t>Tofolean</w:t>
          </w:r>
          <w:proofErr w:type="spellEnd"/>
          <w:r>
            <w:rPr>
              <w:rFonts w:eastAsia="Times New Roman"/>
            </w:rPr>
            <w:t xml:space="preserve"> DE. Aging and extrapulmonary effects of chronic obstructive pulmonary disease. Clin Interv Aging. 2017;12: 1281–1287. doi:10.2147/CIA.S145002</w:t>
          </w:r>
        </w:p>
        <w:p w14:paraId="50D52129" w14:textId="77777777" w:rsidR="00572E88" w:rsidRDefault="00572E88">
          <w:pPr>
            <w:autoSpaceDE w:val="0"/>
            <w:autoSpaceDN w:val="0"/>
            <w:ind w:hanging="640"/>
            <w:divId w:val="454251140"/>
            <w:rPr>
              <w:rFonts w:eastAsia="Times New Roman"/>
            </w:rPr>
          </w:pPr>
          <w:r>
            <w:rPr>
              <w:rFonts w:eastAsia="Times New Roman"/>
            </w:rPr>
            <w:t xml:space="preserve">223. </w:t>
          </w:r>
          <w:r>
            <w:rPr>
              <w:rFonts w:eastAsia="Times New Roman"/>
            </w:rPr>
            <w:tab/>
            <w:t>Bae J, Lee HJ, Choi KY, Lee JK, Park TY, Heo EY, et al. Risk factors of acute exacerbation and disease progression in young patients with COPD. BMJ Open Respir Res. 2024;11. doi:10.1136/BMJRESP-2023-001740</w:t>
          </w:r>
        </w:p>
        <w:p w14:paraId="1B661403" w14:textId="77777777" w:rsidR="00572E88" w:rsidRDefault="00572E88">
          <w:pPr>
            <w:autoSpaceDE w:val="0"/>
            <w:autoSpaceDN w:val="0"/>
            <w:ind w:hanging="640"/>
            <w:divId w:val="1110010295"/>
            <w:rPr>
              <w:rFonts w:eastAsia="Times New Roman"/>
            </w:rPr>
          </w:pPr>
          <w:r>
            <w:rPr>
              <w:rFonts w:eastAsia="Times New Roman"/>
            </w:rPr>
            <w:t xml:space="preserve">224. </w:t>
          </w:r>
          <w:r>
            <w:rPr>
              <w:rFonts w:eastAsia="Times New Roman"/>
            </w:rPr>
            <w:tab/>
            <w:t xml:space="preserve">Silvestre OM, </w:t>
          </w:r>
          <w:proofErr w:type="spellStart"/>
          <w:r>
            <w:rPr>
              <w:rFonts w:eastAsia="Times New Roman"/>
            </w:rPr>
            <w:t>Nadruz</w:t>
          </w:r>
          <w:proofErr w:type="spellEnd"/>
          <w:r>
            <w:rPr>
              <w:rFonts w:eastAsia="Times New Roman"/>
            </w:rPr>
            <w:t xml:space="preserve"> W, </w:t>
          </w:r>
          <w:proofErr w:type="spellStart"/>
          <w:r>
            <w:rPr>
              <w:rFonts w:eastAsia="Times New Roman"/>
            </w:rPr>
            <w:t>Querejeta</w:t>
          </w:r>
          <w:proofErr w:type="spellEnd"/>
          <w:r>
            <w:rPr>
              <w:rFonts w:eastAsia="Times New Roman"/>
            </w:rPr>
            <w:t xml:space="preserve"> Roca G, Claggett B, Solomon SD, Mirabelli MC, et al. Declining Lung Function and Cardiovascular Risk: The Atherosclerosis Risk in Communities (ARIC) Study. J Am Coll </w:t>
          </w:r>
          <w:proofErr w:type="spellStart"/>
          <w:r>
            <w:rPr>
              <w:rFonts w:eastAsia="Times New Roman"/>
            </w:rPr>
            <w:t>Cardiol</w:t>
          </w:r>
          <w:proofErr w:type="spellEnd"/>
          <w:r>
            <w:rPr>
              <w:rFonts w:eastAsia="Times New Roman"/>
            </w:rPr>
            <w:t xml:space="preserve">. 2018;72: 1109. </w:t>
          </w:r>
          <w:proofErr w:type="gramStart"/>
          <w:r>
            <w:rPr>
              <w:rFonts w:eastAsia="Times New Roman"/>
            </w:rPr>
            <w:t>doi:10.1016/J.JACC</w:t>
          </w:r>
          <w:proofErr w:type="gramEnd"/>
          <w:r>
            <w:rPr>
              <w:rFonts w:eastAsia="Times New Roman"/>
            </w:rPr>
            <w:t>.2018.06.049</w:t>
          </w:r>
        </w:p>
        <w:p w14:paraId="361A8311" w14:textId="77777777" w:rsidR="00572E88" w:rsidRDefault="00572E88">
          <w:pPr>
            <w:autoSpaceDE w:val="0"/>
            <w:autoSpaceDN w:val="0"/>
            <w:ind w:hanging="640"/>
            <w:divId w:val="1877280044"/>
            <w:rPr>
              <w:rFonts w:eastAsia="Times New Roman"/>
            </w:rPr>
          </w:pPr>
          <w:r>
            <w:rPr>
              <w:rFonts w:eastAsia="Times New Roman"/>
            </w:rPr>
            <w:t xml:space="preserve">225. </w:t>
          </w:r>
          <w:r>
            <w:rPr>
              <w:rFonts w:eastAsia="Times New Roman"/>
            </w:rPr>
            <w:tab/>
            <w:t>Whittaker HR, Bloom C, Morgan A, Jarvis D, Kiddle SJ, Quint JK. Accelerated FEV1 decline and risk of cardiovascular disease and mortality in a primary care population of COPD patients. European Respiratory Journal. 2021;57: 1–12. doi:10.1183/13993003.00918-2020</w:t>
          </w:r>
        </w:p>
        <w:p w14:paraId="3223040F" w14:textId="77777777" w:rsidR="00572E88" w:rsidRDefault="00572E88">
          <w:pPr>
            <w:autoSpaceDE w:val="0"/>
            <w:autoSpaceDN w:val="0"/>
            <w:ind w:hanging="640"/>
            <w:divId w:val="1561136853"/>
            <w:rPr>
              <w:rFonts w:eastAsia="Times New Roman"/>
            </w:rPr>
          </w:pPr>
          <w:r>
            <w:rPr>
              <w:rFonts w:eastAsia="Times New Roman"/>
            </w:rPr>
            <w:t xml:space="preserve">226. </w:t>
          </w:r>
          <w:r>
            <w:rPr>
              <w:rFonts w:eastAsia="Times New Roman"/>
            </w:rPr>
            <w:tab/>
            <w:t xml:space="preserve">Rosso A, </w:t>
          </w:r>
          <w:proofErr w:type="spellStart"/>
          <w:r>
            <w:rPr>
              <w:rFonts w:eastAsia="Times New Roman"/>
            </w:rPr>
            <w:t>Egervall</w:t>
          </w:r>
          <w:proofErr w:type="spellEnd"/>
          <w:r>
            <w:rPr>
              <w:rFonts w:eastAsia="Times New Roman"/>
            </w:rPr>
            <w:t xml:space="preserve"> K, </w:t>
          </w:r>
          <w:proofErr w:type="spellStart"/>
          <w:r>
            <w:rPr>
              <w:rFonts w:eastAsia="Times New Roman"/>
            </w:rPr>
            <w:t>Elmståhl</w:t>
          </w:r>
          <w:proofErr w:type="spellEnd"/>
          <w:r>
            <w:rPr>
              <w:rFonts w:eastAsia="Times New Roman"/>
            </w:rPr>
            <w:t xml:space="preserve"> S. Annual decline rate in FEV1s in community-dwelling older adults diagnosed with mild to moderate COPD. NPJ Prim Care Respir Med. 2022;32: 1–4. doi:10.1038/s41533-022-00292-w</w:t>
          </w:r>
        </w:p>
        <w:p w14:paraId="045F87F9" w14:textId="77777777" w:rsidR="00572E88" w:rsidRDefault="00572E88">
          <w:pPr>
            <w:autoSpaceDE w:val="0"/>
            <w:autoSpaceDN w:val="0"/>
            <w:ind w:hanging="640"/>
            <w:divId w:val="1578663930"/>
            <w:rPr>
              <w:rFonts w:eastAsia="Times New Roman"/>
            </w:rPr>
          </w:pPr>
          <w:r>
            <w:rPr>
              <w:rFonts w:eastAsia="Times New Roman"/>
            </w:rPr>
            <w:t xml:space="preserve">227. </w:t>
          </w:r>
          <w:r>
            <w:rPr>
              <w:rFonts w:eastAsia="Times New Roman"/>
            </w:rPr>
            <w:tab/>
          </w:r>
          <w:proofErr w:type="spellStart"/>
          <w:r>
            <w:rPr>
              <w:rFonts w:eastAsia="Times New Roman"/>
            </w:rPr>
            <w:t>Shnoda</w:t>
          </w:r>
          <w:proofErr w:type="spellEnd"/>
          <w:r>
            <w:rPr>
              <w:rFonts w:eastAsia="Times New Roman"/>
            </w:rPr>
            <w:t xml:space="preserve"> M, Gajjar K, Ivanova V. COPD and Cardiovascular Disease: A Review of Association, Interrelationship, and Basic Principles for Integrated Management. Crit Care </w:t>
          </w:r>
          <w:proofErr w:type="spellStart"/>
          <w:r>
            <w:rPr>
              <w:rFonts w:eastAsia="Times New Roman"/>
            </w:rPr>
            <w:t>Nurs</w:t>
          </w:r>
          <w:proofErr w:type="spellEnd"/>
          <w:r>
            <w:rPr>
              <w:rFonts w:eastAsia="Times New Roman"/>
            </w:rPr>
            <w:t xml:space="preserve"> Q. 2021;44: 91–102. doi:10.1097/CNQ.0000000000000342</w:t>
          </w:r>
        </w:p>
        <w:p w14:paraId="5FF00ABC" w14:textId="77777777" w:rsidR="00572E88" w:rsidRDefault="00572E88">
          <w:pPr>
            <w:autoSpaceDE w:val="0"/>
            <w:autoSpaceDN w:val="0"/>
            <w:ind w:hanging="640"/>
            <w:divId w:val="1680353788"/>
            <w:rPr>
              <w:rFonts w:eastAsia="Times New Roman"/>
            </w:rPr>
          </w:pPr>
          <w:r>
            <w:rPr>
              <w:rFonts w:eastAsia="Times New Roman"/>
            </w:rPr>
            <w:t>228</w:t>
          </w:r>
          <w:proofErr w:type="gramStart"/>
          <w:r>
            <w:rPr>
              <w:rFonts w:eastAsia="Times New Roman"/>
            </w:rPr>
            <w:t xml:space="preserve">. </w:t>
          </w:r>
          <w:r>
            <w:rPr>
              <w:rFonts w:eastAsia="Times New Roman"/>
            </w:rPr>
            <w:tab/>
            <w:t>Polman</w:t>
          </w:r>
          <w:proofErr w:type="gramEnd"/>
          <w:r>
            <w:rPr>
              <w:rFonts w:eastAsia="Times New Roman"/>
            </w:rPr>
            <w:t xml:space="preserve"> R, Hurst JR, Uysal OF, Mandal S, Linz D, Simons S. Cardiovascular disease and risk in COPD: a </w:t>
          </w:r>
          <w:proofErr w:type="gramStart"/>
          <w:r>
            <w:rPr>
              <w:rFonts w:eastAsia="Times New Roman"/>
            </w:rPr>
            <w:t>state of the art</w:t>
          </w:r>
          <w:proofErr w:type="gramEnd"/>
          <w:r>
            <w:rPr>
              <w:rFonts w:eastAsia="Times New Roman"/>
            </w:rPr>
            <w:t xml:space="preserve"> review. Expert Rev Cardiovasc Ther. 2024;22: 177–191. doi:10.1080/14779072.2024.2333786</w:t>
          </w:r>
        </w:p>
        <w:p w14:paraId="16D8BFBE" w14:textId="77777777" w:rsidR="00572E88" w:rsidRDefault="00572E88">
          <w:pPr>
            <w:autoSpaceDE w:val="0"/>
            <w:autoSpaceDN w:val="0"/>
            <w:ind w:hanging="640"/>
            <w:divId w:val="95367848"/>
            <w:rPr>
              <w:rFonts w:eastAsia="Times New Roman"/>
            </w:rPr>
          </w:pPr>
          <w:r>
            <w:rPr>
              <w:rFonts w:eastAsia="Times New Roman"/>
            </w:rPr>
            <w:t xml:space="preserve">229. </w:t>
          </w:r>
          <w:r>
            <w:rPr>
              <w:rFonts w:eastAsia="Times New Roman"/>
            </w:rPr>
            <w:tab/>
            <w:t xml:space="preserve">Ramalho SHR, Shah AM. Lung function and cardiovascular disease: a link. Trends Cardiovasc Med. 2020;31: 93. </w:t>
          </w:r>
          <w:proofErr w:type="gramStart"/>
          <w:r>
            <w:rPr>
              <w:rFonts w:eastAsia="Times New Roman"/>
            </w:rPr>
            <w:t>doi:10.1016/J.TCM</w:t>
          </w:r>
          <w:proofErr w:type="gramEnd"/>
          <w:r>
            <w:rPr>
              <w:rFonts w:eastAsia="Times New Roman"/>
            </w:rPr>
            <w:t>.2019.12.009</w:t>
          </w:r>
        </w:p>
        <w:p w14:paraId="14408FA7" w14:textId="77777777" w:rsidR="00572E88" w:rsidRDefault="00572E88">
          <w:pPr>
            <w:autoSpaceDE w:val="0"/>
            <w:autoSpaceDN w:val="0"/>
            <w:ind w:hanging="640"/>
            <w:divId w:val="2004972178"/>
            <w:rPr>
              <w:rFonts w:eastAsia="Times New Roman"/>
            </w:rPr>
          </w:pPr>
          <w:r>
            <w:rPr>
              <w:rFonts w:eastAsia="Times New Roman"/>
            </w:rPr>
            <w:t>230</w:t>
          </w:r>
          <w:proofErr w:type="gramStart"/>
          <w:r>
            <w:rPr>
              <w:rFonts w:eastAsia="Times New Roman"/>
            </w:rPr>
            <w:t xml:space="preserve">. </w:t>
          </w:r>
          <w:r>
            <w:rPr>
              <w:rFonts w:eastAsia="Times New Roman"/>
            </w:rPr>
            <w:tab/>
            <w:t>Chen</w:t>
          </w:r>
          <w:proofErr w:type="gramEnd"/>
          <w:r>
            <w:rPr>
              <w:rFonts w:eastAsia="Times New Roman"/>
            </w:rPr>
            <w:t xml:space="preserve"> W, Sin DD, </w:t>
          </w:r>
          <w:proofErr w:type="gramStart"/>
          <w:r>
            <w:rPr>
              <w:rFonts w:eastAsia="Times New Roman"/>
            </w:rPr>
            <w:t>Fitzgerald ;</w:t>
          </w:r>
          <w:proofErr w:type="gramEnd"/>
          <w:r>
            <w:rPr>
              <w:rFonts w:eastAsia="Times New Roman"/>
            </w:rPr>
            <w:t xml:space="preserve"> J Mark, Safari A, Adibi A, </w:t>
          </w:r>
          <w:proofErr w:type="spellStart"/>
          <w:r>
            <w:rPr>
              <w:rFonts w:eastAsia="Times New Roman"/>
            </w:rPr>
            <w:t>Sadatsafavi</w:t>
          </w:r>
          <w:proofErr w:type="spellEnd"/>
          <w:r>
            <w:rPr>
              <w:rFonts w:eastAsia="Times New Roman"/>
            </w:rPr>
            <w:t xml:space="preserve"> M. An Individualized Prediction Model for Long-term Lung Function Trajectory and Risk of COPD in the General Population. [cited 14 Jun 2022]. </w:t>
          </w:r>
          <w:proofErr w:type="gramStart"/>
          <w:r>
            <w:rPr>
              <w:rFonts w:eastAsia="Times New Roman"/>
            </w:rPr>
            <w:t>doi:10.1016/j.chest</w:t>
          </w:r>
          <w:proofErr w:type="gramEnd"/>
          <w:r>
            <w:rPr>
              <w:rFonts w:eastAsia="Times New Roman"/>
            </w:rPr>
            <w:t>.2019.09.003</w:t>
          </w:r>
        </w:p>
        <w:p w14:paraId="0BD3B2EB" w14:textId="77777777" w:rsidR="00572E88" w:rsidRDefault="00572E88">
          <w:pPr>
            <w:autoSpaceDE w:val="0"/>
            <w:autoSpaceDN w:val="0"/>
            <w:ind w:hanging="640"/>
            <w:divId w:val="984550833"/>
            <w:rPr>
              <w:rFonts w:eastAsia="Times New Roman"/>
            </w:rPr>
          </w:pPr>
          <w:r>
            <w:rPr>
              <w:rFonts w:eastAsia="Times New Roman"/>
            </w:rPr>
            <w:lastRenderedPageBreak/>
            <w:t xml:space="preserve">231. </w:t>
          </w:r>
          <w:r>
            <w:rPr>
              <w:rFonts w:eastAsia="Times New Roman"/>
            </w:rPr>
            <w:tab/>
            <w:t>Lee HW, Lee JK, Lee MG, Shin KC, Ra SW, Kim TH, et al. Risk Factors of Rapid FEV1 Decline in a Real-World Chronic Obstructive Pulmonary Disease Cohort. Respiration. 2022;101: 1078–1087. doi:10.1159/000525871</w:t>
          </w:r>
        </w:p>
        <w:p w14:paraId="53838C27" w14:textId="77777777" w:rsidR="00572E88" w:rsidRDefault="00572E88">
          <w:pPr>
            <w:autoSpaceDE w:val="0"/>
            <w:autoSpaceDN w:val="0"/>
            <w:ind w:hanging="640"/>
            <w:divId w:val="2103794862"/>
            <w:rPr>
              <w:rFonts w:eastAsia="Times New Roman"/>
            </w:rPr>
          </w:pPr>
          <w:r>
            <w:rPr>
              <w:rFonts w:eastAsia="Times New Roman"/>
            </w:rPr>
            <w:t xml:space="preserve">232. </w:t>
          </w:r>
          <w:r>
            <w:rPr>
              <w:rFonts w:eastAsia="Times New Roman"/>
            </w:rPr>
            <w:tab/>
            <w:t xml:space="preserve">Perez-Padilla R, Fernandez-Plata R, De Oca MM, Lopez-Varela MV, Jardim JR, </w:t>
          </w:r>
          <w:proofErr w:type="spellStart"/>
          <w:r>
            <w:rPr>
              <w:rFonts w:eastAsia="Times New Roman"/>
            </w:rPr>
            <w:t>Muiño</w:t>
          </w:r>
          <w:proofErr w:type="spellEnd"/>
          <w:r>
            <w:rPr>
              <w:rFonts w:eastAsia="Times New Roman"/>
            </w:rPr>
            <w:t xml:space="preserve"> A, et al. Lung function decline in subjects with and without COPD in a population-based cohort in Latin-America. </w:t>
          </w:r>
          <w:proofErr w:type="spellStart"/>
          <w:r>
            <w:rPr>
              <w:rFonts w:eastAsia="Times New Roman"/>
            </w:rPr>
            <w:t>PLoS</w:t>
          </w:r>
          <w:proofErr w:type="spellEnd"/>
          <w:r>
            <w:rPr>
              <w:rFonts w:eastAsia="Times New Roman"/>
            </w:rPr>
            <w:t xml:space="preserve"> One. 2017;12. </w:t>
          </w:r>
          <w:proofErr w:type="gramStart"/>
          <w:r>
            <w:rPr>
              <w:rFonts w:eastAsia="Times New Roman"/>
            </w:rPr>
            <w:t>doi:10.1371/JOURNAL.PONE</w:t>
          </w:r>
          <w:proofErr w:type="gramEnd"/>
          <w:r>
            <w:rPr>
              <w:rFonts w:eastAsia="Times New Roman"/>
            </w:rPr>
            <w:t>.0177032</w:t>
          </w:r>
        </w:p>
        <w:p w14:paraId="78A4A981" w14:textId="77777777" w:rsidR="00572E88" w:rsidRDefault="00572E88">
          <w:pPr>
            <w:autoSpaceDE w:val="0"/>
            <w:autoSpaceDN w:val="0"/>
            <w:ind w:hanging="640"/>
            <w:divId w:val="664864799"/>
            <w:rPr>
              <w:rFonts w:eastAsia="Times New Roman"/>
            </w:rPr>
          </w:pPr>
          <w:r>
            <w:rPr>
              <w:rFonts w:eastAsia="Times New Roman"/>
            </w:rPr>
            <w:t xml:space="preserve">233. </w:t>
          </w:r>
          <w:r>
            <w:rPr>
              <w:rFonts w:eastAsia="Times New Roman"/>
            </w:rPr>
            <w:tab/>
            <w:t xml:space="preserve">Riccelli MG, Goldoni M, Poli D, </w:t>
          </w:r>
          <w:proofErr w:type="spellStart"/>
          <w:r>
            <w:rPr>
              <w:rFonts w:eastAsia="Times New Roman"/>
            </w:rPr>
            <w:t>Mozzoni</w:t>
          </w:r>
          <w:proofErr w:type="spellEnd"/>
          <w:r>
            <w:rPr>
              <w:rFonts w:eastAsia="Times New Roman"/>
            </w:rPr>
            <w:t xml:space="preserve"> P, Cavallo D, Corradi M. Welding Fumes, a Risk Factor for Lung Diseases. Int J Environ Res Public Health. 2020;17: 2552. doi:10.3390/IJERPH17072552</w:t>
          </w:r>
        </w:p>
        <w:p w14:paraId="6007A4EF" w14:textId="77777777" w:rsidR="00572E88" w:rsidRDefault="00572E88">
          <w:pPr>
            <w:autoSpaceDE w:val="0"/>
            <w:autoSpaceDN w:val="0"/>
            <w:ind w:hanging="640"/>
            <w:divId w:val="852105705"/>
            <w:rPr>
              <w:rFonts w:eastAsia="Times New Roman"/>
            </w:rPr>
          </w:pPr>
          <w:r>
            <w:rPr>
              <w:rFonts w:eastAsia="Times New Roman"/>
            </w:rPr>
            <w:t xml:space="preserve">234. </w:t>
          </w:r>
          <w:r>
            <w:rPr>
              <w:rFonts w:eastAsia="Times New Roman"/>
            </w:rPr>
            <w:tab/>
          </w:r>
          <w:proofErr w:type="spellStart"/>
          <w:r>
            <w:rPr>
              <w:rFonts w:eastAsia="Times New Roman"/>
            </w:rPr>
            <w:t>Haluza</w:t>
          </w:r>
          <w:proofErr w:type="spellEnd"/>
          <w:r>
            <w:rPr>
              <w:rFonts w:eastAsia="Times New Roman"/>
            </w:rPr>
            <w:t xml:space="preserve"> D, </w:t>
          </w:r>
          <w:proofErr w:type="spellStart"/>
          <w:r>
            <w:rPr>
              <w:rFonts w:eastAsia="Times New Roman"/>
            </w:rPr>
            <w:t>Moshammer</w:t>
          </w:r>
          <w:proofErr w:type="spellEnd"/>
          <w:r>
            <w:rPr>
              <w:rFonts w:eastAsia="Times New Roman"/>
            </w:rPr>
            <w:t xml:space="preserve"> H, </w:t>
          </w:r>
          <w:proofErr w:type="spellStart"/>
          <w:r>
            <w:rPr>
              <w:rFonts w:eastAsia="Times New Roman"/>
            </w:rPr>
            <w:t>Hochgatterer</w:t>
          </w:r>
          <w:proofErr w:type="spellEnd"/>
          <w:r>
            <w:rPr>
              <w:rFonts w:eastAsia="Times New Roman"/>
            </w:rPr>
            <w:t xml:space="preserve"> K. Dust is in the air. Part II: Effects of occupational exposure to welding fumes on lung function in a 9-year study. Lung. 2014;192: 111–117. doi:10.1007/s00408-013-9529-6</w:t>
          </w:r>
        </w:p>
        <w:p w14:paraId="204F5465" w14:textId="77777777" w:rsidR="00572E88" w:rsidRDefault="00572E88">
          <w:pPr>
            <w:autoSpaceDE w:val="0"/>
            <w:autoSpaceDN w:val="0"/>
            <w:ind w:hanging="640"/>
            <w:divId w:val="509640038"/>
            <w:rPr>
              <w:rFonts w:eastAsia="Times New Roman"/>
            </w:rPr>
          </w:pPr>
          <w:r>
            <w:rPr>
              <w:rFonts w:eastAsia="Times New Roman"/>
            </w:rPr>
            <w:t xml:space="preserve">235. </w:t>
          </w:r>
          <w:r>
            <w:rPr>
              <w:rFonts w:eastAsia="Times New Roman"/>
            </w:rPr>
            <w:tab/>
            <w:t>Barnes H, Goh NSL, Leong TL, Hoy R. Silica-associated lung disease: An old-world exposure in modern industries. Respirology. 2019;24: 1165–1175. doi:10.1111/RESP.13695</w:t>
          </w:r>
        </w:p>
        <w:p w14:paraId="158AA99C" w14:textId="1E656BED" w:rsidR="008626D9" w:rsidRDefault="00572E88" w:rsidP="008626D9">
          <w:pPr>
            <w:spacing w:line="480" w:lineRule="auto"/>
            <w:rPr>
              <w:rFonts w:ascii="Times New Roman" w:hAnsi="Times New Roman" w:cs="Times New Roman"/>
              <w:color w:val="000000"/>
            </w:rPr>
          </w:pPr>
          <w:r>
            <w:rPr>
              <w:rFonts w:eastAsia="Times New Roman"/>
            </w:rPr>
            <w:t> </w:t>
          </w:r>
        </w:p>
      </w:sdtContent>
    </w:sdt>
    <w:p w14:paraId="1D3E2C92" w14:textId="0016CFCE" w:rsidR="00BB20E9" w:rsidRDefault="00BB20E9" w:rsidP="008626D9">
      <w:pPr>
        <w:spacing w:line="480" w:lineRule="auto"/>
        <w:rPr>
          <w:rFonts w:ascii="Times New Roman" w:hAnsi="Times New Roman" w:cs="Times New Roman"/>
        </w:rPr>
      </w:pPr>
    </w:p>
    <w:p w14:paraId="062ECFBB" w14:textId="77777777" w:rsidR="00BB20E9" w:rsidRDefault="00BB20E9">
      <w:pPr>
        <w:rPr>
          <w:rFonts w:ascii="Times New Roman" w:hAnsi="Times New Roman" w:cs="Times New Roman"/>
        </w:rPr>
      </w:pPr>
      <w:r>
        <w:rPr>
          <w:rFonts w:ascii="Times New Roman" w:hAnsi="Times New Roman" w:cs="Times New Roman"/>
        </w:rPr>
        <w:br w:type="page"/>
      </w:r>
    </w:p>
    <w:p w14:paraId="4BB529F1" w14:textId="0FD1BD49" w:rsidR="00BB20E9" w:rsidRDefault="00BB20E9" w:rsidP="00BB20E9">
      <w:pPr>
        <w:pStyle w:val="Heading2"/>
      </w:pPr>
      <w:bookmarkStart w:id="217" w:name="_Toc199884063"/>
      <w:bookmarkStart w:id="218" w:name="_Toc199884780"/>
      <w:bookmarkStart w:id="219" w:name="_Toc200097042"/>
      <w:r>
        <w:lastRenderedPageBreak/>
        <w:t>VITA</w:t>
      </w:r>
      <w:bookmarkEnd w:id="217"/>
      <w:bookmarkEnd w:id="218"/>
      <w:bookmarkEnd w:id="219"/>
    </w:p>
    <w:p w14:paraId="3B73ECD8" w14:textId="0C9F29C8" w:rsidR="00BB20E9" w:rsidRPr="00BB20E9" w:rsidRDefault="00BB20E9" w:rsidP="00012C78">
      <w:pPr>
        <w:spacing w:line="480" w:lineRule="auto"/>
        <w:rPr>
          <w:rFonts w:ascii="Times New Roman" w:hAnsi="Times New Roman" w:cs="Times New Roman"/>
        </w:rPr>
      </w:pPr>
      <w:r w:rsidRPr="00BB20E9">
        <w:rPr>
          <w:rFonts w:ascii="Times New Roman" w:hAnsi="Times New Roman" w:cs="Times New Roman"/>
        </w:rPr>
        <w:t xml:space="preserve">Sara </w:t>
      </w:r>
      <w:r>
        <w:rPr>
          <w:rFonts w:ascii="Times New Roman" w:hAnsi="Times New Roman" w:cs="Times New Roman"/>
        </w:rPr>
        <w:t xml:space="preserve">Chesnee Howard was born </w:t>
      </w:r>
      <w:r w:rsidR="00AE7D56">
        <w:rPr>
          <w:rFonts w:ascii="Times New Roman" w:hAnsi="Times New Roman" w:cs="Times New Roman"/>
        </w:rPr>
        <w:t xml:space="preserve">on </w:t>
      </w:r>
      <w:r>
        <w:rPr>
          <w:rFonts w:ascii="Times New Roman" w:hAnsi="Times New Roman" w:cs="Times New Roman"/>
        </w:rPr>
        <w:t xml:space="preserve">March 5, 1992, in Knoxville, Tennessee. She earned </w:t>
      </w:r>
      <w:r w:rsidR="006F0B23">
        <w:rPr>
          <w:rFonts w:ascii="Times New Roman" w:hAnsi="Times New Roman" w:cs="Times New Roman"/>
        </w:rPr>
        <w:t>a Bachelor</w:t>
      </w:r>
      <w:r>
        <w:rPr>
          <w:rFonts w:ascii="Times New Roman" w:hAnsi="Times New Roman" w:cs="Times New Roman"/>
        </w:rPr>
        <w:t xml:space="preserve"> of Art degree (201</w:t>
      </w:r>
      <w:r w:rsidR="006F0B23">
        <w:rPr>
          <w:rFonts w:ascii="Times New Roman" w:hAnsi="Times New Roman" w:cs="Times New Roman"/>
        </w:rPr>
        <w:t>4</w:t>
      </w:r>
      <w:r>
        <w:rPr>
          <w:rFonts w:ascii="Times New Roman" w:hAnsi="Times New Roman" w:cs="Times New Roman"/>
        </w:rPr>
        <w:t>)</w:t>
      </w:r>
      <w:r w:rsidR="006F0B23">
        <w:rPr>
          <w:rFonts w:ascii="Times New Roman" w:hAnsi="Times New Roman" w:cs="Times New Roman"/>
        </w:rPr>
        <w:t xml:space="preserve"> in Biology with a minor in Chemistry from Tusculum College, and a Master of Public Health (2017) with a concentration in Epidemiology from East Tennessee State University. Since 2017, she has worked as an epidemiologist at Oak Ridge Associated Universities where she conducts</w:t>
      </w:r>
      <w:r w:rsidR="00CA686A">
        <w:rPr>
          <w:rFonts w:ascii="Times New Roman" w:hAnsi="Times New Roman" w:cs="Times New Roman"/>
        </w:rPr>
        <w:t xml:space="preserve"> epidemiological research, provides biostatistical support, and </w:t>
      </w:r>
      <w:r w:rsidR="00695A60">
        <w:rPr>
          <w:rFonts w:ascii="Times New Roman" w:hAnsi="Times New Roman" w:cs="Times New Roman"/>
        </w:rPr>
        <w:t>supports</w:t>
      </w:r>
      <w:r w:rsidR="00CA686A">
        <w:rPr>
          <w:rFonts w:ascii="Times New Roman" w:hAnsi="Times New Roman" w:cs="Times New Roman"/>
        </w:rPr>
        <w:t xml:space="preserve"> </w:t>
      </w:r>
      <w:r w:rsidR="000E1769">
        <w:rPr>
          <w:rFonts w:ascii="Times New Roman" w:hAnsi="Times New Roman" w:cs="Times New Roman"/>
        </w:rPr>
        <w:t>archival efforts of</w:t>
      </w:r>
      <w:r w:rsidR="00695A60">
        <w:rPr>
          <w:rFonts w:ascii="Times New Roman" w:hAnsi="Times New Roman" w:cs="Times New Roman"/>
        </w:rPr>
        <w:t xml:space="preserve"> historical research </w:t>
      </w:r>
      <w:r w:rsidR="000E1769">
        <w:rPr>
          <w:rFonts w:ascii="Times New Roman" w:hAnsi="Times New Roman" w:cs="Times New Roman"/>
        </w:rPr>
        <w:t>databases</w:t>
      </w:r>
      <w:r w:rsidR="00695A60">
        <w:rPr>
          <w:rFonts w:ascii="Times New Roman" w:hAnsi="Times New Roman" w:cs="Times New Roman"/>
        </w:rPr>
        <w:t>,</w:t>
      </w:r>
      <w:r w:rsidR="00CA686A">
        <w:rPr>
          <w:rFonts w:ascii="Times New Roman" w:hAnsi="Times New Roman" w:cs="Times New Roman"/>
        </w:rPr>
        <w:t xml:space="preserve"> primarily </w:t>
      </w:r>
      <w:r w:rsidR="00695A60">
        <w:rPr>
          <w:rFonts w:ascii="Times New Roman" w:hAnsi="Times New Roman" w:cs="Times New Roman"/>
        </w:rPr>
        <w:t>for</w:t>
      </w:r>
      <w:r w:rsidR="00CA686A">
        <w:rPr>
          <w:rFonts w:ascii="Times New Roman" w:hAnsi="Times New Roman" w:cs="Times New Roman"/>
        </w:rPr>
        <w:t xml:space="preserve"> occupational health and radiation exposure studies. </w:t>
      </w:r>
    </w:p>
    <w:sectPr w:rsidR="00BB20E9" w:rsidRPr="00BB20E9" w:rsidSect="009C2E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3C8E7" w14:textId="77777777" w:rsidR="00837A97" w:rsidRDefault="00837A97" w:rsidP="00837A97">
      <w:pPr>
        <w:spacing w:after="0" w:line="240" w:lineRule="auto"/>
      </w:pPr>
      <w:r>
        <w:separator/>
      </w:r>
    </w:p>
  </w:endnote>
  <w:endnote w:type="continuationSeparator" w:id="0">
    <w:p w14:paraId="530127FE" w14:textId="77777777" w:rsidR="00837A97" w:rsidRDefault="00837A97" w:rsidP="00837A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72964486"/>
      <w:docPartObj>
        <w:docPartGallery w:val="Page Numbers (Bottom of Page)"/>
        <w:docPartUnique/>
      </w:docPartObj>
    </w:sdtPr>
    <w:sdtEndPr>
      <w:rPr>
        <w:rStyle w:val="PageNumber"/>
      </w:rPr>
    </w:sdtEndPr>
    <w:sdtContent>
      <w:p w14:paraId="4BE97836" w14:textId="2297DB61" w:rsidR="00837A97" w:rsidRDefault="00837A97" w:rsidP="00837A9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40EB0">
          <w:rPr>
            <w:rStyle w:val="PageNumber"/>
            <w:noProof/>
          </w:rPr>
          <w:t>vi</w:t>
        </w:r>
        <w:r>
          <w:rPr>
            <w:rStyle w:val="PageNumber"/>
          </w:rPr>
          <w:fldChar w:fldCharType="end"/>
        </w:r>
      </w:p>
    </w:sdtContent>
  </w:sdt>
  <w:p w14:paraId="2C68CF67" w14:textId="77777777" w:rsidR="00837A97" w:rsidRDefault="00837A97" w:rsidP="00837A9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8963049"/>
      <w:docPartObj>
        <w:docPartGallery w:val="Page Numbers (Bottom of Page)"/>
        <w:docPartUnique/>
      </w:docPartObj>
    </w:sdtPr>
    <w:sdtEndPr>
      <w:rPr>
        <w:rStyle w:val="PageNumber"/>
      </w:rPr>
    </w:sdtEndPr>
    <w:sdtContent>
      <w:p w14:paraId="7F2142F8" w14:textId="3C71B6DA" w:rsidR="00837A97" w:rsidRDefault="00837A97" w:rsidP="00837A9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7A7F4259" w14:textId="77777777" w:rsidR="00837A97" w:rsidRDefault="00837A97" w:rsidP="00837A9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2FA39" w14:textId="77777777" w:rsidR="00837A97" w:rsidRDefault="00837A97" w:rsidP="00837A97">
      <w:pPr>
        <w:spacing w:after="0" w:line="240" w:lineRule="auto"/>
      </w:pPr>
      <w:r>
        <w:separator/>
      </w:r>
    </w:p>
  </w:footnote>
  <w:footnote w:type="continuationSeparator" w:id="0">
    <w:p w14:paraId="4A85CE4A" w14:textId="77777777" w:rsidR="00837A97" w:rsidRDefault="00837A97" w:rsidP="00837A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32656"/>
    <w:multiLevelType w:val="multilevel"/>
    <w:tmpl w:val="BF28D406"/>
    <w:lvl w:ilvl="0">
      <w:start w:val="1"/>
      <w:numFmt w:val="decimal"/>
      <w:lvlText w:val="%1."/>
      <w:lvlJc w:val="left"/>
      <w:pPr>
        <w:ind w:left="640" w:hanging="6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2AC13E5"/>
    <w:multiLevelType w:val="hybridMultilevel"/>
    <w:tmpl w:val="D0029B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E61C61"/>
    <w:multiLevelType w:val="hybridMultilevel"/>
    <w:tmpl w:val="E77C3D3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DDF50A2"/>
    <w:multiLevelType w:val="multilevel"/>
    <w:tmpl w:val="03F8948A"/>
    <w:lvl w:ilvl="0">
      <w:start w:val="1"/>
      <w:numFmt w:val="decimal"/>
      <w:lvlText w:val="%1"/>
      <w:lvlJc w:val="left"/>
      <w:pPr>
        <w:ind w:left="420" w:hanging="420"/>
      </w:pPr>
      <w:rPr>
        <w:rFonts w:hint="default"/>
      </w:rPr>
    </w:lvl>
    <w:lvl w:ilv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3F1A1858"/>
    <w:multiLevelType w:val="multilevel"/>
    <w:tmpl w:val="79CACD2A"/>
    <w:lvl w:ilvl="0">
      <w:start w:val="1"/>
      <w:numFmt w:val="decimal"/>
      <w:pStyle w:val="Heading1"/>
      <w:suff w:val="space"/>
      <w:lvlText w:val="CHAPTER %1"/>
      <w:lvlJc w:val="left"/>
      <w:pPr>
        <w:ind w:left="0" w:firstLine="0"/>
      </w:pPr>
      <w:rPr>
        <w:rFonts w:ascii="Times New Roman" w:hAnsi="Times New Roman" w:hint="default"/>
        <w:b/>
        <w:i w:val="0"/>
        <w:color w:val="000000" w:themeColor="text1"/>
        <w:sz w:val="28"/>
      </w:rPr>
    </w:lvl>
    <w:lvl w:ilvl="1">
      <w:start w:val="1"/>
      <w:numFmt w:val="none"/>
      <w:pStyle w:val="Heading2"/>
      <w:suff w:val="space"/>
      <w:lvlText w:val="%2"/>
      <w:lvlJc w:val="left"/>
      <w:pPr>
        <w:ind w:left="0" w:firstLine="0"/>
      </w:pPr>
      <w:rPr>
        <w:rFonts w:hint="default"/>
      </w:rPr>
    </w:lvl>
    <w:lvl w:ilvl="2">
      <w:start w:val="1"/>
      <w:numFmt w:val="decimal"/>
      <w:pStyle w:val="Heading3"/>
      <w:suff w:val="space"/>
      <w:lvlText w:val="%1.%3"/>
      <w:lvlJc w:val="left"/>
      <w:pPr>
        <w:ind w:left="0" w:firstLine="0"/>
      </w:pPr>
      <w:rPr>
        <w:rFonts w:ascii="Times New Roman" w:hAnsi="Times New Roman" w:hint="default"/>
        <w:b/>
        <w:i w:val="0"/>
        <w:color w:val="000000" w:themeColor="text1"/>
        <w:sz w:val="28"/>
      </w:rPr>
    </w:lvl>
    <w:lvl w:ilvl="3">
      <w:start w:val="1"/>
      <w:numFmt w:val="decimal"/>
      <w:pStyle w:val="Heading4"/>
      <w:suff w:val="space"/>
      <w:lvlText w:val="%1.%3.%4"/>
      <w:lvlJc w:val="left"/>
      <w:pPr>
        <w:ind w:left="0" w:firstLine="0"/>
      </w:pPr>
      <w:rPr>
        <w:rFonts w:ascii="Times New Roman" w:hAnsi="Times New Roman" w:hint="default"/>
        <w:b/>
        <w:i w:val="0"/>
        <w:sz w:val="28"/>
      </w:rPr>
    </w:lvl>
    <w:lvl w:ilvl="4">
      <w:start w:val="1"/>
      <w:numFmt w:val="decimal"/>
      <w:pStyle w:val="Heading5"/>
      <w:suff w:val="space"/>
      <w:lvlText w:val="%1.%3.%4.%5"/>
      <w:lvlJc w:val="left"/>
      <w:pPr>
        <w:ind w:left="0" w:firstLine="0"/>
      </w:pPr>
      <w:rPr>
        <w:rFonts w:ascii="Times New Roman" w:hAnsi="Times New Roman" w:hint="default"/>
        <w:b/>
        <w:i w:val="0"/>
        <w:sz w:val="28"/>
      </w:rPr>
    </w:lvl>
    <w:lvl w:ilvl="5">
      <w:start w:val="1"/>
      <w:numFmt w:val="decimal"/>
      <w:pStyle w:val="Heading6"/>
      <w:suff w:val="space"/>
      <w:lvlText w:val="%1.%3.%4.%5.%6"/>
      <w:lvlJc w:val="left"/>
      <w:pPr>
        <w:ind w:left="0" w:firstLine="0"/>
      </w:pPr>
      <w:rPr>
        <w:rFonts w:ascii="Times New Roman" w:hAnsi="Times New Roman" w:hint="default"/>
        <w:b/>
        <w:i w:val="0"/>
        <w:sz w:val="28"/>
      </w:rPr>
    </w:lvl>
    <w:lvl w:ilvl="6">
      <w:start w:val="1"/>
      <w:numFmt w:val="decimal"/>
      <w:pStyle w:val="Heading7"/>
      <w:suff w:val="space"/>
      <w:lvlText w:val="%1.%3.%4.%5.%6.%7"/>
      <w:lvlJc w:val="left"/>
      <w:pPr>
        <w:ind w:left="0" w:firstLine="0"/>
      </w:pPr>
      <w:rPr>
        <w:rFonts w:ascii="Times New Roman" w:hAnsi="Times New Roman" w:hint="default"/>
        <w:b/>
        <w:i w:val="0"/>
        <w:sz w:val="28"/>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 w15:restartNumberingAfterBreak="0">
    <w:nsid w:val="5474372B"/>
    <w:multiLevelType w:val="multilevel"/>
    <w:tmpl w:val="4FC49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F652B31"/>
    <w:multiLevelType w:val="multilevel"/>
    <w:tmpl w:val="03F8948A"/>
    <w:lvl w:ilvl="0">
      <w:start w:val="1"/>
      <w:numFmt w:val="decimal"/>
      <w:lvlText w:val="%1"/>
      <w:lvlJc w:val="left"/>
      <w:pPr>
        <w:ind w:left="420" w:hanging="420"/>
      </w:pPr>
      <w:rPr>
        <w:rFonts w:hint="default"/>
      </w:rPr>
    </w:lvl>
    <w:lvl w:ilv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236131605">
    <w:abstractNumId w:val="4"/>
  </w:num>
  <w:num w:numId="2" w16cid:durableId="970090974">
    <w:abstractNumId w:val="3"/>
  </w:num>
  <w:num w:numId="3" w16cid:durableId="404959142">
    <w:abstractNumId w:val="0"/>
  </w:num>
  <w:num w:numId="4" w16cid:durableId="881677311">
    <w:abstractNumId w:val="5"/>
  </w:num>
  <w:num w:numId="5" w16cid:durableId="1912422986">
    <w:abstractNumId w:val="2"/>
  </w:num>
  <w:num w:numId="6" w16cid:durableId="2076779274">
    <w:abstractNumId w:val="1"/>
  </w:num>
  <w:num w:numId="7" w16cid:durableId="6265908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A97"/>
    <w:rsid w:val="00002579"/>
    <w:rsid w:val="00007512"/>
    <w:rsid w:val="000118C0"/>
    <w:rsid w:val="00012C78"/>
    <w:rsid w:val="00026462"/>
    <w:rsid w:val="000268F9"/>
    <w:rsid w:val="000330B4"/>
    <w:rsid w:val="00041E35"/>
    <w:rsid w:val="000821BF"/>
    <w:rsid w:val="00087F4F"/>
    <w:rsid w:val="00094461"/>
    <w:rsid w:val="0009664C"/>
    <w:rsid w:val="000966F8"/>
    <w:rsid w:val="000A4C23"/>
    <w:rsid w:val="000B439A"/>
    <w:rsid w:val="000C339C"/>
    <w:rsid w:val="000D08F5"/>
    <w:rsid w:val="000D714C"/>
    <w:rsid w:val="000E1769"/>
    <w:rsid w:val="000F61F5"/>
    <w:rsid w:val="00100B41"/>
    <w:rsid w:val="00105A5B"/>
    <w:rsid w:val="00105BB9"/>
    <w:rsid w:val="00110F0A"/>
    <w:rsid w:val="00113815"/>
    <w:rsid w:val="00120D5B"/>
    <w:rsid w:val="001361E2"/>
    <w:rsid w:val="0013787C"/>
    <w:rsid w:val="00155738"/>
    <w:rsid w:val="00160EDF"/>
    <w:rsid w:val="001B0933"/>
    <w:rsid w:val="001B3CE2"/>
    <w:rsid w:val="001D589F"/>
    <w:rsid w:val="001E0808"/>
    <w:rsid w:val="001F6F51"/>
    <w:rsid w:val="00203A81"/>
    <w:rsid w:val="0024530B"/>
    <w:rsid w:val="00245C51"/>
    <w:rsid w:val="002642C6"/>
    <w:rsid w:val="00270AE8"/>
    <w:rsid w:val="002731B2"/>
    <w:rsid w:val="002735C7"/>
    <w:rsid w:val="00292FA2"/>
    <w:rsid w:val="0029444D"/>
    <w:rsid w:val="002C159F"/>
    <w:rsid w:val="002C563E"/>
    <w:rsid w:val="002C5718"/>
    <w:rsid w:val="002D05EE"/>
    <w:rsid w:val="002D7191"/>
    <w:rsid w:val="002E2CBB"/>
    <w:rsid w:val="002E3FD8"/>
    <w:rsid w:val="002F65BE"/>
    <w:rsid w:val="0030530D"/>
    <w:rsid w:val="00317813"/>
    <w:rsid w:val="003252B1"/>
    <w:rsid w:val="003406FA"/>
    <w:rsid w:val="003515C9"/>
    <w:rsid w:val="003531C7"/>
    <w:rsid w:val="00355C2E"/>
    <w:rsid w:val="00357E7C"/>
    <w:rsid w:val="00360192"/>
    <w:rsid w:val="0036223D"/>
    <w:rsid w:val="00385781"/>
    <w:rsid w:val="003956AD"/>
    <w:rsid w:val="003B5059"/>
    <w:rsid w:val="003C39CF"/>
    <w:rsid w:val="003D0B0B"/>
    <w:rsid w:val="003D252D"/>
    <w:rsid w:val="003D3F1C"/>
    <w:rsid w:val="003D452F"/>
    <w:rsid w:val="003E4BF5"/>
    <w:rsid w:val="00414ED1"/>
    <w:rsid w:val="004249A3"/>
    <w:rsid w:val="00426A28"/>
    <w:rsid w:val="0043755C"/>
    <w:rsid w:val="00450C23"/>
    <w:rsid w:val="004517B5"/>
    <w:rsid w:val="004531D0"/>
    <w:rsid w:val="004560D6"/>
    <w:rsid w:val="0045673E"/>
    <w:rsid w:val="004606E3"/>
    <w:rsid w:val="00470F8C"/>
    <w:rsid w:val="00471DA5"/>
    <w:rsid w:val="0047391E"/>
    <w:rsid w:val="00476140"/>
    <w:rsid w:val="00492ABB"/>
    <w:rsid w:val="004A7120"/>
    <w:rsid w:val="004B1323"/>
    <w:rsid w:val="004B40E0"/>
    <w:rsid w:val="004B4A40"/>
    <w:rsid w:val="004D0C84"/>
    <w:rsid w:val="004E1844"/>
    <w:rsid w:val="004E4630"/>
    <w:rsid w:val="004E6532"/>
    <w:rsid w:val="005142D4"/>
    <w:rsid w:val="00527FE2"/>
    <w:rsid w:val="00537249"/>
    <w:rsid w:val="005413B8"/>
    <w:rsid w:val="005541EE"/>
    <w:rsid w:val="00556E3B"/>
    <w:rsid w:val="00561C2A"/>
    <w:rsid w:val="00572E88"/>
    <w:rsid w:val="00573378"/>
    <w:rsid w:val="0057486F"/>
    <w:rsid w:val="00575C6A"/>
    <w:rsid w:val="005824CC"/>
    <w:rsid w:val="00591E69"/>
    <w:rsid w:val="005B4219"/>
    <w:rsid w:val="005B474F"/>
    <w:rsid w:val="005C1254"/>
    <w:rsid w:val="005C2E8B"/>
    <w:rsid w:val="005C52AB"/>
    <w:rsid w:val="005D69AE"/>
    <w:rsid w:val="005F0255"/>
    <w:rsid w:val="005F1F6D"/>
    <w:rsid w:val="006130F3"/>
    <w:rsid w:val="006340A1"/>
    <w:rsid w:val="00637C1C"/>
    <w:rsid w:val="006442AE"/>
    <w:rsid w:val="0065363C"/>
    <w:rsid w:val="00657A07"/>
    <w:rsid w:val="006741E9"/>
    <w:rsid w:val="00682FAC"/>
    <w:rsid w:val="00695A60"/>
    <w:rsid w:val="006A1C6C"/>
    <w:rsid w:val="006A394F"/>
    <w:rsid w:val="006B722E"/>
    <w:rsid w:val="006B7C5E"/>
    <w:rsid w:val="006C1994"/>
    <w:rsid w:val="006C2F5D"/>
    <w:rsid w:val="006D08AD"/>
    <w:rsid w:val="006E6138"/>
    <w:rsid w:val="006F0B23"/>
    <w:rsid w:val="006F0EF2"/>
    <w:rsid w:val="006F7130"/>
    <w:rsid w:val="007044B0"/>
    <w:rsid w:val="007077CC"/>
    <w:rsid w:val="00746524"/>
    <w:rsid w:val="007529CA"/>
    <w:rsid w:val="00753DC6"/>
    <w:rsid w:val="00754253"/>
    <w:rsid w:val="00765D5B"/>
    <w:rsid w:val="007952F4"/>
    <w:rsid w:val="007A0F8A"/>
    <w:rsid w:val="007A4EBA"/>
    <w:rsid w:val="007B23A4"/>
    <w:rsid w:val="007C79D7"/>
    <w:rsid w:val="007D7838"/>
    <w:rsid w:val="007E0071"/>
    <w:rsid w:val="007E5340"/>
    <w:rsid w:val="007E57A3"/>
    <w:rsid w:val="007F1D73"/>
    <w:rsid w:val="007F59C1"/>
    <w:rsid w:val="00823647"/>
    <w:rsid w:val="00824CFF"/>
    <w:rsid w:val="00825C78"/>
    <w:rsid w:val="008307DA"/>
    <w:rsid w:val="0083501F"/>
    <w:rsid w:val="00837A97"/>
    <w:rsid w:val="008414E3"/>
    <w:rsid w:val="0084248B"/>
    <w:rsid w:val="008469AD"/>
    <w:rsid w:val="00852506"/>
    <w:rsid w:val="008535F6"/>
    <w:rsid w:val="008626D9"/>
    <w:rsid w:val="008627E6"/>
    <w:rsid w:val="0086576B"/>
    <w:rsid w:val="008A0501"/>
    <w:rsid w:val="008A051B"/>
    <w:rsid w:val="008A155A"/>
    <w:rsid w:val="008A7567"/>
    <w:rsid w:val="008B6E34"/>
    <w:rsid w:val="008C6DAA"/>
    <w:rsid w:val="00903662"/>
    <w:rsid w:val="00915B84"/>
    <w:rsid w:val="00921D81"/>
    <w:rsid w:val="0092422F"/>
    <w:rsid w:val="00945496"/>
    <w:rsid w:val="00956091"/>
    <w:rsid w:val="00965E17"/>
    <w:rsid w:val="00970977"/>
    <w:rsid w:val="00974519"/>
    <w:rsid w:val="009A2BD9"/>
    <w:rsid w:val="009C2E43"/>
    <w:rsid w:val="009C7E50"/>
    <w:rsid w:val="009D2ACE"/>
    <w:rsid w:val="009F54AE"/>
    <w:rsid w:val="009F5C62"/>
    <w:rsid w:val="00A1684A"/>
    <w:rsid w:val="00A26F0A"/>
    <w:rsid w:val="00A31225"/>
    <w:rsid w:val="00A40673"/>
    <w:rsid w:val="00A40EB0"/>
    <w:rsid w:val="00A42873"/>
    <w:rsid w:val="00A53238"/>
    <w:rsid w:val="00A606C8"/>
    <w:rsid w:val="00A62FDC"/>
    <w:rsid w:val="00A67CD9"/>
    <w:rsid w:val="00A9583F"/>
    <w:rsid w:val="00AB0536"/>
    <w:rsid w:val="00AD1A31"/>
    <w:rsid w:val="00AD2895"/>
    <w:rsid w:val="00AD519C"/>
    <w:rsid w:val="00AE7D56"/>
    <w:rsid w:val="00B0092F"/>
    <w:rsid w:val="00B0450B"/>
    <w:rsid w:val="00B13FAB"/>
    <w:rsid w:val="00B33A4A"/>
    <w:rsid w:val="00B367C2"/>
    <w:rsid w:val="00B631C6"/>
    <w:rsid w:val="00B654E0"/>
    <w:rsid w:val="00B70C08"/>
    <w:rsid w:val="00B72663"/>
    <w:rsid w:val="00B73A2F"/>
    <w:rsid w:val="00B745B5"/>
    <w:rsid w:val="00B74771"/>
    <w:rsid w:val="00B761D2"/>
    <w:rsid w:val="00B902E6"/>
    <w:rsid w:val="00B91FB7"/>
    <w:rsid w:val="00BA4F03"/>
    <w:rsid w:val="00BA5830"/>
    <w:rsid w:val="00BB1854"/>
    <w:rsid w:val="00BB20E9"/>
    <w:rsid w:val="00BC7647"/>
    <w:rsid w:val="00BD6B6B"/>
    <w:rsid w:val="00C00B13"/>
    <w:rsid w:val="00C017E0"/>
    <w:rsid w:val="00C06DA1"/>
    <w:rsid w:val="00C15BA6"/>
    <w:rsid w:val="00C20699"/>
    <w:rsid w:val="00C23EEE"/>
    <w:rsid w:val="00C24659"/>
    <w:rsid w:val="00C460F3"/>
    <w:rsid w:val="00C51CE6"/>
    <w:rsid w:val="00C525A0"/>
    <w:rsid w:val="00C557DE"/>
    <w:rsid w:val="00C56E7E"/>
    <w:rsid w:val="00C827E5"/>
    <w:rsid w:val="00C86E03"/>
    <w:rsid w:val="00C919F0"/>
    <w:rsid w:val="00C97CD8"/>
    <w:rsid w:val="00CA686A"/>
    <w:rsid w:val="00CB515E"/>
    <w:rsid w:val="00CC4E50"/>
    <w:rsid w:val="00CD53E6"/>
    <w:rsid w:val="00CD7E0E"/>
    <w:rsid w:val="00CE5951"/>
    <w:rsid w:val="00CF1F13"/>
    <w:rsid w:val="00CF47F9"/>
    <w:rsid w:val="00CF59A1"/>
    <w:rsid w:val="00CF757B"/>
    <w:rsid w:val="00D124A6"/>
    <w:rsid w:val="00D1689C"/>
    <w:rsid w:val="00D33B37"/>
    <w:rsid w:val="00D34899"/>
    <w:rsid w:val="00D36702"/>
    <w:rsid w:val="00D37B24"/>
    <w:rsid w:val="00D47413"/>
    <w:rsid w:val="00D522BD"/>
    <w:rsid w:val="00D67AF7"/>
    <w:rsid w:val="00D715E7"/>
    <w:rsid w:val="00D7436C"/>
    <w:rsid w:val="00D92356"/>
    <w:rsid w:val="00D92913"/>
    <w:rsid w:val="00D92B2A"/>
    <w:rsid w:val="00DA3688"/>
    <w:rsid w:val="00DA766D"/>
    <w:rsid w:val="00DB1798"/>
    <w:rsid w:val="00DB6509"/>
    <w:rsid w:val="00DC6B26"/>
    <w:rsid w:val="00DD1F85"/>
    <w:rsid w:val="00DD201C"/>
    <w:rsid w:val="00DD6419"/>
    <w:rsid w:val="00DE692B"/>
    <w:rsid w:val="00DF58EB"/>
    <w:rsid w:val="00DF7279"/>
    <w:rsid w:val="00E1591B"/>
    <w:rsid w:val="00E1658D"/>
    <w:rsid w:val="00E17F86"/>
    <w:rsid w:val="00E24B3C"/>
    <w:rsid w:val="00E36A86"/>
    <w:rsid w:val="00E43AA2"/>
    <w:rsid w:val="00E44524"/>
    <w:rsid w:val="00E465F6"/>
    <w:rsid w:val="00E5127B"/>
    <w:rsid w:val="00E75450"/>
    <w:rsid w:val="00E779E4"/>
    <w:rsid w:val="00E92640"/>
    <w:rsid w:val="00E93205"/>
    <w:rsid w:val="00EA661D"/>
    <w:rsid w:val="00EC5A93"/>
    <w:rsid w:val="00ED6CD9"/>
    <w:rsid w:val="00ED6F70"/>
    <w:rsid w:val="00EE160E"/>
    <w:rsid w:val="00EE5D92"/>
    <w:rsid w:val="00EF7545"/>
    <w:rsid w:val="00F007B4"/>
    <w:rsid w:val="00F03C71"/>
    <w:rsid w:val="00F15644"/>
    <w:rsid w:val="00F24F2B"/>
    <w:rsid w:val="00F4096B"/>
    <w:rsid w:val="00F40B3D"/>
    <w:rsid w:val="00F43C48"/>
    <w:rsid w:val="00F46686"/>
    <w:rsid w:val="00F52486"/>
    <w:rsid w:val="00F548CA"/>
    <w:rsid w:val="00F5727C"/>
    <w:rsid w:val="00F67163"/>
    <w:rsid w:val="00F90ABA"/>
    <w:rsid w:val="00FA71EB"/>
    <w:rsid w:val="00FC6456"/>
    <w:rsid w:val="00FC7282"/>
    <w:rsid w:val="00FD12A5"/>
    <w:rsid w:val="00FF7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7083E72"/>
  <w15:chartTrackingRefBased/>
  <w15:docId w15:val="{33BB6152-D0A5-504C-83C1-4E5549522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0B4"/>
  </w:style>
  <w:style w:type="paragraph" w:styleId="Heading1">
    <w:name w:val="heading 1"/>
    <w:basedOn w:val="Normal"/>
    <w:next w:val="Normal"/>
    <w:link w:val="Heading1Char"/>
    <w:uiPriority w:val="9"/>
    <w:qFormat/>
    <w:rsid w:val="00360192"/>
    <w:pPr>
      <w:keepNext/>
      <w:keepLines/>
      <w:numPr>
        <w:numId w:val="1"/>
      </w:numPr>
      <w:spacing w:before="360" w:after="80"/>
      <w:outlineLvl w:val="0"/>
    </w:pPr>
    <w:rPr>
      <w:rFonts w:ascii="Times New Roman" w:eastAsiaTheme="majorEastAsia" w:hAnsi="Times New Roman" w:cs="Times New Roman"/>
      <w:b/>
      <w:bCs/>
      <w:sz w:val="28"/>
      <w:szCs w:val="28"/>
    </w:rPr>
  </w:style>
  <w:style w:type="paragraph" w:styleId="Heading2">
    <w:name w:val="heading 2"/>
    <w:basedOn w:val="Normal"/>
    <w:next w:val="Normal"/>
    <w:link w:val="Heading2Char"/>
    <w:uiPriority w:val="9"/>
    <w:unhideWhenUsed/>
    <w:qFormat/>
    <w:rsid w:val="00360192"/>
    <w:pPr>
      <w:keepNext/>
      <w:keepLines/>
      <w:numPr>
        <w:ilvl w:val="1"/>
        <w:numId w:val="1"/>
      </w:numPr>
      <w:spacing w:before="160" w:after="80"/>
      <w:jc w:val="center"/>
      <w:outlineLvl w:val="1"/>
    </w:pPr>
    <w:rPr>
      <w:rFonts w:ascii="Times New Roman" w:eastAsiaTheme="majorEastAsia" w:hAnsi="Times New Roman" w:cs="Times New Roman"/>
      <w:b/>
      <w:bCs/>
      <w:sz w:val="28"/>
      <w:szCs w:val="28"/>
    </w:rPr>
  </w:style>
  <w:style w:type="paragraph" w:styleId="Heading3">
    <w:name w:val="heading 3"/>
    <w:basedOn w:val="Normal"/>
    <w:next w:val="Normal"/>
    <w:link w:val="Heading3Char"/>
    <w:uiPriority w:val="9"/>
    <w:unhideWhenUsed/>
    <w:qFormat/>
    <w:rsid w:val="00360192"/>
    <w:pPr>
      <w:keepNext/>
      <w:keepLines/>
      <w:numPr>
        <w:ilvl w:val="2"/>
        <w:numId w:val="1"/>
      </w:numPr>
      <w:spacing w:before="160" w:after="80"/>
      <w:outlineLvl w:val="2"/>
    </w:pPr>
    <w:rPr>
      <w:rFonts w:ascii="Times New Roman" w:eastAsiaTheme="majorEastAsia" w:hAnsi="Times New Roman" w:cs="Times New Roman"/>
      <w:b/>
      <w:bCs/>
      <w:sz w:val="28"/>
      <w:szCs w:val="28"/>
    </w:rPr>
  </w:style>
  <w:style w:type="paragraph" w:styleId="Heading4">
    <w:name w:val="heading 4"/>
    <w:basedOn w:val="Normal"/>
    <w:next w:val="Normal"/>
    <w:link w:val="Heading4Char"/>
    <w:uiPriority w:val="9"/>
    <w:unhideWhenUsed/>
    <w:qFormat/>
    <w:rsid w:val="000330B4"/>
    <w:pPr>
      <w:keepNext/>
      <w:keepLines/>
      <w:numPr>
        <w:ilvl w:val="3"/>
        <w:numId w:val="1"/>
      </w:numPr>
      <w:spacing w:before="80" w:after="40"/>
      <w:outlineLvl w:val="3"/>
    </w:pPr>
    <w:rPr>
      <w:rFonts w:ascii="Times New Roman" w:eastAsiaTheme="majorEastAsia" w:hAnsi="Times New Roman" w:cs="Times New Roman"/>
      <w:b/>
      <w:bCs/>
      <w:sz w:val="28"/>
    </w:rPr>
  </w:style>
  <w:style w:type="paragraph" w:styleId="Heading5">
    <w:name w:val="heading 5"/>
    <w:basedOn w:val="Normal"/>
    <w:next w:val="Normal"/>
    <w:link w:val="Heading5Char"/>
    <w:uiPriority w:val="9"/>
    <w:unhideWhenUsed/>
    <w:qFormat/>
    <w:rsid w:val="00B902E6"/>
    <w:pPr>
      <w:keepNext/>
      <w:keepLines/>
      <w:numPr>
        <w:ilvl w:val="4"/>
        <w:numId w:val="1"/>
      </w:numPr>
      <w:spacing w:before="80" w:after="40"/>
      <w:outlineLvl w:val="4"/>
    </w:pPr>
    <w:rPr>
      <w:rFonts w:ascii="Times New Roman" w:eastAsiaTheme="majorEastAsia" w:hAnsi="Times New Roman" w:cs="Times New Roman"/>
      <w:b/>
      <w:bCs/>
      <w:sz w:val="28"/>
      <w:szCs w:val="28"/>
    </w:rPr>
  </w:style>
  <w:style w:type="paragraph" w:styleId="Heading6">
    <w:name w:val="heading 6"/>
    <w:basedOn w:val="Normal"/>
    <w:next w:val="Normal"/>
    <w:link w:val="Heading6Char"/>
    <w:uiPriority w:val="9"/>
    <w:unhideWhenUsed/>
    <w:qFormat/>
    <w:rsid w:val="00D47413"/>
    <w:pPr>
      <w:keepNext/>
      <w:keepLines/>
      <w:numPr>
        <w:ilvl w:val="5"/>
        <w:numId w:val="1"/>
      </w:numPr>
      <w:spacing w:before="40" w:after="0"/>
      <w:outlineLvl w:val="5"/>
    </w:pPr>
    <w:rPr>
      <w:rFonts w:ascii="Times New Roman" w:eastAsiaTheme="majorEastAsia" w:hAnsi="Times New Roman" w:cstheme="majorBidi"/>
      <w:b/>
      <w:iCs/>
      <w:color w:val="000000" w:themeColor="text1"/>
      <w:sz w:val="28"/>
    </w:rPr>
  </w:style>
  <w:style w:type="paragraph" w:styleId="Heading7">
    <w:name w:val="heading 7"/>
    <w:basedOn w:val="Normal"/>
    <w:next w:val="Normal"/>
    <w:link w:val="Heading7Char"/>
    <w:uiPriority w:val="9"/>
    <w:unhideWhenUsed/>
    <w:qFormat/>
    <w:rsid w:val="00CF47F9"/>
    <w:pPr>
      <w:keepNext/>
      <w:keepLines/>
      <w:numPr>
        <w:ilvl w:val="6"/>
        <w:numId w:val="1"/>
      </w:numPr>
      <w:spacing w:before="40" w:after="0"/>
      <w:outlineLvl w:val="6"/>
    </w:pPr>
    <w:rPr>
      <w:rFonts w:ascii="Times New Roman" w:eastAsiaTheme="majorEastAsia" w:hAnsi="Times New Roman" w:cstheme="majorBidi"/>
      <w:b/>
      <w:color w:val="000000" w:themeColor="text1"/>
      <w:sz w:val="28"/>
    </w:rPr>
  </w:style>
  <w:style w:type="paragraph" w:styleId="Heading8">
    <w:name w:val="heading 8"/>
    <w:basedOn w:val="Normal"/>
    <w:next w:val="Normal"/>
    <w:link w:val="Heading8Char"/>
    <w:uiPriority w:val="9"/>
    <w:semiHidden/>
    <w:unhideWhenUsed/>
    <w:qFormat/>
    <w:rsid w:val="00837A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7A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0192"/>
    <w:rPr>
      <w:rFonts w:ascii="Times New Roman" w:eastAsiaTheme="majorEastAsia" w:hAnsi="Times New Roman" w:cs="Times New Roman"/>
      <w:b/>
      <w:bCs/>
      <w:sz w:val="28"/>
      <w:szCs w:val="28"/>
    </w:rPr>
  </w:style>
  <w:style w:type="character" w:customStyle="1" w:styleId="Heading2Char">
    <w:name w:val="Heading 2 Char"/>
    <w:basedOn w:val="DefaultParagraphFont"/>
    <w:link w:val="Heading2"/>
    <w:uiPriority w:val="9"/>
    <w:rsid w:val="00360192"/>
    <w:rPr>
      <w:rFonts w:ascii="Times New Roman" w:eastAsiaTheme="majorEastAsia" w:hAnsi="Times New Roman" w:cs="Times New Roman"/>
      <w:b/>
      <w:bCs/>
      <w:sz w:val="28"/>
      <w:szCs w:val="28"/>
    </w:rPr>
  </w:style>
  <w:style w:type="character" w:customStyle="1" w:styleId="Heading3Char">
    <w:name w:val="Heading 3 Char"/>
    <w:basedOn w:val="DefaultParagraphFont"/>
    <w:link w:val="Heading3"/>
    <w:uiPriority w:val="9"/>
    <w:rsid w:val="00360192"/>
    <w:rPr>
      <w:rFonts w:ascii="Times New Roman" w:eastAsiaTheme="majorEastAsia" w:hAnsi="Times New Roman" w:cs="Times New Roman"/>
      <w:b/>
      <w:bCs/>
      <w:sz w:val="28"/>
      <w:szCs w:val="28"/>
    </w:rPr>
  </w:style>
  <w:style w:type="character" w:customStyle="1" w:styleId="Heading4Char">
    <w:name w:val="Heading 4 Char"/>
    <w:basedOn w:val="DefaultParagraphFont"/>
    <w:link w:val="Heading4"/>
    <w:uiPriority w:val="9"/>
    <w:rsid w:val="000330B4"/>
    <w:rPr>
      <w:rFonts w:ascii="Times New Roman" w:eastAsiaTheme="majorEastAsia" w:hAnsi="Times New Roman" w:cs="Times New Roman"/>
      <w:b/>
      <w:bCs/>
      <w:sz w:val="28"/>
    </w:rPr>
  </w:style>
  <w:style w:type="character" w:customStyle="1" w:styleId="Heading5Char">
    <w:name w:val="Heading 5 Char"/>
    <w:basedOn w:val="DefaultParagraphFont"/>
    <w:link w:val="Heading5"/>
    <w:uiPriority w:val="9"/>
    <w:rsid w:val="00B902E6"/>
    <w:rPr>
      <w:rFonts w:ascii="Times New Roman" w:eastAsiaTheme="majorEastAsia" w:hAnsi="Times New Roman" w:cs="Times New Roman"/>
      <w:b/>
      <w:bCs/>
      <w:sz w:val="28"/>
      <w:szCs w:val="28"/>
    </w:rPr>
  </w:style>
  <w:style w:type="character" w:customStyle="1" w:styleId="Heading6Char">
    <w:name w:val="Heading 6 Char"/>
    <w:basedOn w:val="DefaultParagraphFont"/>
    <w:link w:val="Heading6"/>
    <w:uiPriority w:val="9"/>
    <w:rsid w:val="00D47413"/>
    <w:rPr>
      <w:rFonts w:ascii="Times New Roman" w:eastAsiaTheme="majorEastAsia" w:hAnsi="Times New Roman" w:cstheme="majorBidi"/>
      <w:b/>
      <w:iCs/>
      <w:color w:val="000000" w:themeColor="text1"/>
      <w:sz w:val="28"/>
    </w:rPr>
  </w:style>
  <w:style w:type="character" w:customStyle="1" w:styleId="Heading7Char">
    <w:name w:val="Heading 7 Char"/>
    <w:basedOn w:val="DefaultParagraphFont"/>
    <w:link w:val="Heading7"/>
    <w:uiPriority w:val="9"/>
    <w:rsid w:val="00CF47F9"/>
    <w:rPr>
      <w:rFonts w:ascii="Times New Roman" w:eastAsiaTheme="majorEastAsia" w:hAnsi="Times New Roman" w:cstheme="majorBidi"/>
      <w:b/>
      <w:color w:val="000000" w:themeColor="text1"/>
      <w:sz w:val="28"/>
    </w:rPr>
  </w:style>
  <w:style w:type="character" w:customStyle="1" w:styleId="Heading8Char">
    <w:name w:val="Heading 8 Char"/>
    <w:basedOn w:val="DefaultParagraphFont"/>
    <w:link w:val="Heading8"/>
    <w:uiPriority w:val="9"/>
    <w:semiHidden/>
    <w:rsid w:val="00837A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7A97"/>
    <w:rPr>
      <w:rFonts w:eastAsiaTheme="majorEastAsia" w:cstheme="majorBidi"/>
      <w:color w:val="272727" w:themeColor="text1" w:themeTint="D8"/>
    </w:rPr>
  </w:style>
  <w:style w:type="paragraph" w:styleId="Title">
    <w:name w:val="Title"/>
    <w:basedOn w:val="Normal"/>
    <w:next w:val="Normal"/>
    <w:link w:val="TitleChar"/>
    <w:uiPriority w:val="10"/>
    <w:qFormat/>
    <w:rsid w:val="00837A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7A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0536"/>
    <w:pPr>
      <w:jc w:val="center"/>
    </w:pPr>
    <w:rPr>
      <w:rFonts w:ascii="Times New Roman" w:eastAsiaTheme="majorEastAsia" w:hAnsi="Times New Roman" w:cs="Times New Roman"/>
      <w:b/>
      <w:bCs/>
      <w:sz w:val="28"/>
      <w:szCs w:val="28"/>
    </w:rPr>
  </w:style>
  <w:style w:type="character" w:customStyle="1" w:styleId="SubtitleChar">
    <w:name w:val="Subtitle Char"/>
    <w:basedOn w:val="DefaultParagraphFont"/>
    <w:link w:val="Subtitle"/>
    <w:uiPriority w:val="11"/>
    <w:rsid w:val="00AB0536"/>
    <w:rPr>
      <w:rFonts w:ascii="Times New Roman" w:eastAsiaTheme="majorEastAsia" w:hAnsi="Times New Roman" w:cs="Times New Roman"/>
      <w:b/>
      <w:bCs/>
      <w:sz w:val="28"/>
      <w:szCs w:val="28"/>
    </w:rPr>
  </w:style>
  <w:style w:type="paragraph" w:styleId="Quote">
    <w:name w:val="Quote"/>
    <w:basedOn w:val="Normal"/>
    <w:next w:val="Normal"/>
    <w:link w:val="QuoteChar"/>
    <w:uiPriority w:val="29"/>
    <w:qFormat/>
    <w:rsid w:val="00837A97"/>
    <w:pPr>
      <w:spacing w:before="160"/>
      <w:jc w:val="center"/>
    </w:pPr>
    <w:rPr>
      <w:i/>
      <w:iCs/>
      <w:color w:val="404040" w:themeColor="text1" w:themeTint="BF"/>
    </w:rPr>
  </w:style>
  <w:style w:type="character" w:customStyle="1" w:styleId="QuoteChar">
    <w:name w:val="Quote Char"/>
    <w:basedOn w:val="DefaultParagraphFont"/>
    <w:link w:val="Quote"/>
    <w:uiPriority w:val="29"/>
    <w:rsid w:val="00837A97"/>
    <w:rPr>
      <w:i/>
      <w:iCs/>
      <w:color w:val="404040" w:themeColor="text1" w:themeTint="BF"/>
    </w:rPr>
  </w:style>
  <w:style w:type="paragraph" w:styleId="ListParagraph">
    <w:name w:val="List Paragraph"/>
    <w:basedOn w:val="Normal"/>
    <w:uiPriority w:val="34"/>
    <w:qFormat/>
    <w:rsid w:val="00837A97"/>
    <w:pPr>
      <w:ind w:left="720"/>
      <w:contextualSpacing/>
    </w:pPr>
  </w:style>
  <w:style w:type="character" w:styleId="IntenseEmphasis">
    <w:name w:val="Intense Emphasis"/>
    <w:basedOn w:val="DefaultParagraphFont"/>
    <w:uiPriority w:val="21"/>
    <w:qFormat/>
    <w:rsid w:val="00837A97"/>
    <w:rPr>
      <w:i/>
      <w:iCs/>
      <w:color w:val="0F4761" w:themeColor="accent1" w:themeShade="BF"/>
    </w:rPr>
  </w:style>
  <w:style w:type="paragraph" w:styleId="IntenseQuote">
    <w:name w:val="Intense Quote"/>
    <w:basedOn w:val="Normal"/>
    <w:next w:val="Normal"/>
    <w:link w:val="IntenseQuoteChar"/>
    <w:uiPriority w:val="30"/>
    <w:qFormat/>
    <w:rsid w:val="00837A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7A97"/>
    <w:rPr>
      <w:i/>
      <w:iCs/>
      <w:color w:val="0F4761" w:themeColor="accent1" w:themeShade="BF"/>
    </w:rPr>
  </w:style>
  <w:style w:type="character" w:styleId="IntenseReference">
    <w:name w:val="Intense Reference"/>
    <w:basedOn w:val="DefaultParagraphFont"/>
    <w:uiPriority w:val="32"/>
    <w:qFormat/>
    <w:rsid w:val="00837A97"/>
    <w:rPr>
      <w:b/>
      <w:bCs/>
      <w:smallCaps/>
      <w:color w:val="0F4761" w:themeColor="accent1" w:themeShade="BF"/>
      <w:spacing w:val="5"/>
    </w:rPr>
  </w:style>
  <w:style w:type="paragraph" w:styleId="Footer">
    <w:name w:val="footer"/>
    <w:basedOn w:val="Normal"/>
    <w:link w:val="FooterChar"/>
    <w:uiPriority w:val="99"/>
    <w:unhideWhenUsed/>
    <w:rsid w:val="00837A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A97"/>
  </w:style>
  <w:style w:type="character" w:styleId="PageNumber">
    <w:name w:val="page number"/>
    <w:basedOn w:val="DefaultParagraphFont"/>
    <w:uiPriority w:val="99"/>
    <w:semiHidden/>
    <w:unhideWhenUsed/>
    <w:rsid w:val="00837A97"/>
  </w:style>
  <w:style w:type="character" w:styleId="Hyperlink">
    <w:name w:val="Hyperlink"/>
    <w:basedOn w:val="DefaultParagraphFont"/>
    <w:uiPriority w:val="99"/>
    <w:unhideWhenUsed/>
    <w:rsid w:val="00471DA5"/>
    <w:rPr>
      <w:color w:val="0000FF"/>
      <w:u w:val="single"/>
    </w:rPr>
  </w:style>
  <w:style w:type="character" w:styleId="PlaceholderText">
    <w:name w:val="Placeholder Text"/>
    <w:basedOn w:val="DefaultParagraphFont"/>
    <w:uiPriority w:val="99"/>
    <w:semiHidden/>
    <w:rsid w:val="0047391E"/>
    <w:rPr>
      <w:color w:val="666666"/>
    </w:rPr>
  </w:style>
  <w:style w:type="paragraph" w:styleId="TOCHeading">
    <w:name w:val="TOC Heading"/>
    <w:basedOn w:val="Heading1"/>
    <w:next w:val="Normal"/>
    <w:uiPriority w:val="39"/>
    <w:unhideWhenUsed/>
    <w:qFormat/>
    <w:rsid w:val="00A40EB0"/>
    <w:pPr>
      <w:spacing w:before="480" w:after="0" w:line="276" w:lineRule="auto"/>
      <w:outlineLvl w:val="9"/>
    </w:pPr>
    <w:rPr>
      <w:b w:val="0"/>
      <w:bCs w:val="0"/>
      <w:kern w:val="0"/>
      <w14:ligatures w14:val="none"/>
    </w:rPr>
  </w:style>
  <w:style w:type="paragraph" w:styleId="TOC1">
    <w:name w:val="toc 1"/>
    <w:basedOn w:val="Normal"/>
    <w:next w:val="Normal"/>
    <w:autoRedefine/>
    <w:uiPriority w:val="39"/>
    <w:unhideWhenUsed/>
    <w:rsid w:val="002C159F"/>
    <w:pPr>
      <w:spacing w:before="120" w:after="120"/>
      <w:ind w:right="2160"/>
    </w:pPr>
    <w:rPr>
      <w:rFonts w:ascii="Times New Roman" w:hAnsi="Times New Roman"/>
      <w:b/>
      <w:bCs/>
      <w:caps/>
      <w:color w:val="000000" w:themeColor="text1"/>
      <w:szCs w:val="20"/>
    </w:rPr>
  </w:style>
  <w:style w:type="paragraph" w:styleId="TOC2">
    <w:name w:val="toc 2"/>
    <w:basedOn w:val="Normal"/>
    <w:next w:val="Normal"/>
    <w:autoRedefine/>
    <w:uiPriority w:val="39"/>
    <w:unhideWhenUsed/>
    <w:rsid w:val="002C159F"/>
    <w:pPr>
      <w:tabs>
        <w:tab w:val="right" w:leader="dot" w:pos="9350"/>
      </w:tabs>
      <w:spacing w:after="0"/>
      <w:ind w:right="1440"/>
    </w:pPr>
    <w:rPr>
      <w:rFonts w:ascii="Times New Roman" w:hAnsi="Times New Roman"/>
      <w:color w:val="000000" w:themeColor="text1"/>
      <w:szCs w:val="20"/>
    </w:rPr>
  </w:style>
  <w:style w:type="paragraph" w:styleId="TOC3">
    <w:name w:val="toc 3"/>
    <w:basedOn w:val="Normal"/>
    <w:next w:val="Normal"/>
    <w:autoRedefine/>
    <w:uiPriority w:val="39"/>
    <w:unhideWhenUsed/>
    <w:rsid w:val="001361E2"/>
    <w:pPr>
      <w:spacing w:after="0"/>
    </w:pPr>
    <w:rPr>
      <w:rFonts w:ascii="Times New Roman" w:hAnsi="Times New Roman"/>
      <w:iCs/>
      <w:color w:val="000000" w:themeColor="text1"/>
      <w:szCs w:val="20"/>
    </w:rPr>
  </w:style>
  <w:style w:type="paragraph" w:styleId="TOC4">
    <w:name w:val="toc 4"/>
    <w:basedOn w:val="Normal"/>
    <w:next w:val="Normal"/>
    <w:autoRedefine/>
    <w:uiPriority w:val="39"/>
    <w:unhideWhenUsed/>
    <w:rsid w:val="001361E2"/>
    <w:pPr>
      <w:spacing w:after="0"/>
      <w:ind w:left="288"/>
    </w:pPr>
    <w:rPr>
      <w:rFonts w:ascii="Times New Roman" w:hAnsi="Times New Roman"/>
      <w:color w:val="000000" w:themeColor="text1"/>
      <w:szCs w:val="18"/>
    </w:rPr>
  </w:style>
  <w:style w:type="paragraph" w:styleId="TOC5">
    <w:name w:val="toc 5"/>
    <w:basedOn w:val="Normal"/>
    <w:next w:val="Normal"/>
    <w:autoRedefine/>
    <w:uiPriority w:val="39"/>
    <w:unhideWhenUsed/>
    <w:rsid w:val="001361E2"/>
    <w:pPr>
      <w:spacing w:after="0"/>
      <w:ind w:left="576"/>
    </w:pPr>
    <w:rPr>
      <w:rFonts w:ascii="Times New Roman" w:hAnsi="Times New Roman"/>
      <w:color w:val="000000" w:themeColor="text1"/>
      <w:szCs w:val="18"/>
    </w:rPr>
  </w:style>
  <w:style w:type="paragraph" w:styleId="TOC6">
    <w:name w:val="toc 6"/>
    <w:basedOn w:val="Normal"/>
    <w:next w:val="Normal"/>
    <w:autoRedefine/>
    <w:uiPriority w:val="39"/>
    <w:unhideWhenUsed/>
    <w:rsid w:val="001361E2"/>
    <w:pPr>
      <w:spacing w:after="0"/>
      <w:ind w:left="864"/>
    </w:pPr>
    <w:rPr>
      <w:rFonts w:ascii="Times New Roman" w:hAnsi="Times New Roman"/>
      <w:color w:val="000000" w:themeColor="text1"/>
      <w:szCs w:val="18"/>
    </w:rPr>
  </w:style>
  <w:style w:type="paragraph" w:styleId="TOC7">
    <w:name w:val="toc 7"/>
    <w:basedOn w:val="Normal"/>
    <w:next w:val="Normal"/>
    <w:autoRedefine/>
    <w:uiPriority w:val="39"/>
    <w:unhideWhenUsed/>
    <w:rsid w:val="001361E2"/>
    <w:pPr>
      <w:spacing w:after="0"/>
      <w:ind w:left="1152"/>
    </w:pPr>
    <w:rPr>
      <w:rFonts w:ascii="Times New Roman" w:hAnsi="Times New Roman"/>
      <w:color w:val="000000" w:themeColor="text1"/>
      <w:szCs w:val="18"/>
    </w:rPr>
  </w:style>
  <w:style w:type="paragraph" w:styleId="TOC8">
    <w:name w:val="toc 8"/>
    <w:basedOn w:val="Normal"/>
    <w:next w:val="Normal"/>
    <w:autoRedefine/>
    <w:uiPriority w:val="39"/>
    <w:unhideWhenUsed/>
    <w:rsid w:val="00A40EB0"/>
    <w:pPr>
      <w:spacing w:after="0"/>
      <w:ind w:left="1680"/>
    </w:pPr>
    <w:rPr>
      <w:sz w:val="18"/>
      <w:szCs w:val="18"/>
    </w:rPr>
  </w:style>
  <w:style w:type="paragraph" w:styleId="TOC9">
    <w:name w:val="toc 9"/>
    <w:basedOn w:val="Normal"/>
    <w:next w:val="Normal"/>
    <w:autoRedefine/>
    <w:uiPriority w:val="39"/>
    <w:unhideWhenUsed/>
    <w:rsid w:val="00A40EB0"/>
    <w:pPr>
      <w:spacing w:after="0"/>
      <w:ind w:left="1920"/>
    </w:pPr>
    <w:rPr>
      <w:sz w:val="18"/>
      <w:szCs w:val="18"/>
    </w:rPr>
  </w:style>
  <w:style w:type="table" w:styleId="TableGrid">
    <w:name w:val="Table Grid"/>
    <w:basedOn w:val="TableNormal"/>
    <w:uiPriority w:val="39"/>
    <w:rsid w:val="00657A0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67163"/>
    <w:pPr>
      <w:keepNext/>
      <w:spacing w:after="200" w:line="240" w:lineRule="auto"/>
    </w:pPr>
    <w:rPr>
      <w:rFonts w:ascii="Times New Roman" w:hAnsi="Times New Roman" w:cs="Times New Roman"/>
      <w:b/>
      <w:bCs/>
    </w:rPr>
  </w:style>
  <w:style w:type="paragraph" w:styleId="Header">
    <w:name w:val="header"/>
    <w:basedOn w:val="Normal"/>
    <w:link w:val="HeaderChar"/>
    <w:uiPriority w:val="99"/>
    <w:unhideWhenUsed/>
    <w:rsid w:val="009C2E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E43"/>
  </w:style>
  <w:style w:type="character" w:styleId="CommentReference">
    <w:name w:val="annotation reference"/>
    <w:basedOn w:val="DefaultParagraphFont"/>
    <w:uiPriority w:val="99"/>
    <w:semiHidden/>
    <w:unhideWhenUsed/>
    <w:rsid w:val="00D47413"/>
    <w:rPr>
      <w:sz w:val="16"/>
      <w:szCs w:val="16"/>
    </w:rPr>
  </w:style>
  <w:style w:type="paragraph" w:styleId="CommentText">
    <w:name w:val="annotation text"/>
    <w:basedOn w:val="Normal"/>
    <w:link w:val="CommentTextChar"/>
    <w:uiPriority w:val="99"/>
    <w:semiHidden/>
    <w:unhideWhenUsed/>
    <w:rsid w:val="00D47413"/>
    <w:pPr>
      <w:spacing w:after="0" w:line="240" w:lineRule="auto"/>
    </w:pPr>
    <w:rPr>
      <w:sz w:val="20"/>
      <w:szCs w:val="20"/>
    </w:rPr>
  </w:style>
  <w:style w:type="character" w:customStyle="1" w:styleId="CommentTextChar">
    <w:name w:val="Comment Text Char"/>
    <w:basedOn w:val="DefaultParagraphFont"/>
    <w:link w:val="CommentText"/>
    <w:uiPriority w:val="99"/>
    <w:semiHidden/>
    <w:rsid w:val="00D47413"/>
    <w:rPr>
      <w:sz w:val="20"/>
      <w:szCs w:val="20"/>
    </w:rPr>
  </w:style>
  <w:style w:type="paragraph" w:styleId="CommentSubject">
    <w:name w:val="annotation subject"/>
    <w:basedOn w:val="CommentText"/>
    <w:next w:val="CommentText"/>
    <w:link w:val="CommentSubjectChar"/>
    <w:uiPriority w:val="99"/>
    <w:semiHidden/>
    <w:unhideWhenUsed/>
    <w:rsid w:val="00D47413"/>
    <w:rPr>
      <w:b/>
      <w:bCs/>
    </w:rPr>
  </w:style>
  <w:style w:type="character" w:customStyle="1" w:styleId="CommentSubjectChar">
    <w:name w:val="Comment Subject Char"/>
    <w:basedOn w:val="CommentTextChar"/>
    <w:link w:val="CommentSubject"/>
    <w:uiPriority w:val="99"/>
    <w:semiHidden/>
    <w:rsid w:val="00D47413"/>
    <w:rPr>
      <w:b/>
      <w:bCs/>
      <w:sz w:val="20"/>
      <w:szCs w:val="20"/>
    </w:rPr>
  </w:style>
  <w:style w:type="paragraph" w:styleId="NormalWeb">
    <w:name w:val="Normal (Web)"/>
    <w:basedOn w:val="Normal"/>
    <w:uiPriority w:val="99"/>
    <w:semiHidden/>
    <w:unhideWhenUsed/>
    <w:rsid w:val="00D47413"/>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D47413"/>
    <w:pPr>
      <w:spacing w:after="0" w:line="240" w:lineRule="auto"/>
    </w:pPr>
  </w:style>
  <w:style w:type="paragraph" w:styleId="FootnoteText">
    <w:name w:val="footnote text"/>
    <w:basedOn w:val="Normal"/>
    <w:link w:val="FootnoteTextChar"/>
    <w:uiPriority w:val="99"/>
    <w:semiHidden/>
    <w:unhideWhenUsed/>
    <w:rsid w:val="00D474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7413"/>
    <w:rPr>
      <w:sz w:val="20"/>
      <w:szCs w:val="20"/>
    </w:rPr>
  </w:style>
  <w:style w:type="character" w:styleId="FootnoteReference">
    <w:name w:val="footnote reference"/>
    <w:basedOn w:val="DefaultParagraphFont"/>
    <w:uiPriority w:val="99"/>
    <w:semiHidden/>
    <w:unhideWhenUsed/>
    <w:rsid w:val="00D47413"/>
    <w:rPr>
      <w:vertAlign w:val="superscript"/>
    </w:rPr>
  </w:style>
  <w:style w:type="character" w:styleId="UnresolvedMention">
    <w:name w:val="Unresolved Mention"/>
    <w:basedOn w:val="DefaultParagraphFont"/>
    <w:uiPriority w:val="99"/>
    <w:semiHidden/>
    <w:unhideWhenUsed/>
    <w:rsid w:val="000A4C23"/>
    <w:rPr>
      <w:color w:val="605E5C"/>
      <w:shd w:val="clear" w:color="auto" w:fill="E1DFDD"/>
    </w:rPr>
  </w:style>
  <w:style w:type="paragraph" w:styleId="TableofFigures">
    <w:name w:val="table of figures"/>
    <w:basedOn w:val="Normal"/>
    <w:next w:val="Normal"/>
    <w:uiPriority w:val="99"/>
    <w:unhideWhenUsed/>
    <w:rsid w:val="002C159F"/>
    <w:pPr>
      <w:spacing w:after="240"/>
      <w:ind w:left="720" w:right="2160" w:hanging="720"/>
    </w:pPr>
    <w:rPr>
      <w:rFonts w:ascii="Times New Roman" w:hAnsi="Times New Roman"/>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1384">
      <w:bodyDiv w:val="1"/>
      <w:marLeft w:val="0"/>
      <w:marRight w:val="0"/>
      <w:marTop w:val="0"/>
      <w:marBottom w:val="0"/>
      <w:divBdr>
        <w:top w:val="none" w:sz="0" w:space="0" w:color="auto"/>
        <w:left w:val="none" w:sz="0" w:space="0" w:color="auto"/>
        <w:bottom w:val="none" w:sz="0" w:space="0" w:color="auto"/>
        <w:right w:val="none" w:sz="0" w:space="0" w:color="auto"/>
      </w:divBdr>
      <w:divsChild>
        <w:div w:id="1871992951">
          <w:marLeft w:val="640"/>
          <w:marRight w:val="0"/>
          <w:marTop w:val="0"/>
          <w:marBottom w:val="0"/>
          <w:divBdr>
            <w:top w:val="none" w:sz="0" w:space="0" w:color="auto"/>
            <w:left w:val="none" w:sz="0" w:space="0" w:color="auto"/>
            <w:bottom w:val="none" w:sz="0" w:space="0" w:color="auto"/>
            <w:right w:val="none" w:sz="0" w:space="0" w:color="auto"/>
          </w:divBdr>
        </w:div>
        <w:div w:id="1704214017">
          <w:marLeft w:val="640"/>
          <w:marRight w:val="0"/>
          <w:marTop w:val="0"/>
          <w:marBottom w:val="0"/>
          <w:divBdr>
            <w:top w:val="none" w:sz="0" w:space="0" w:color="auto"/>
            <w:left w:val="none" w:sz="0" w:space="0" w:color="auto"/>
            <w:bottom w:val="none" w:sz="0" w:space="0" w:color="auto"/>
            <w:right w:val="none" w:sz="0" w:space="0" w:color="auto"/>
          </w:divBdr>
        </w:div>
        <w:div w:id="1876113775">
          <w:marLeft w:val="640"/>
          <w:marRight w:val="0"/>
          <w:marTop w:val="0"/>
          <w:marBottom w:val="0"/>
          <w:divBdr>
            <w:top w:val="none" w:sz="0" w:space="0" w:color="auto"/>
            <w:left w:val="none" w:sz="0" w:space="0" w:color="auto"/>
            <w:bottom w:val="none" w:sz="0" w:space="0" w:color="auto"/>
            <w:right w:val="none" w:sz="0" w:space="0" w:color="auto"/>
          </w:divBdr>
        </w:div>
        <w:div w:id="1166244897">
          <w:marLeft w:val="640"/>
          <w:marRight w:val="0"/>
          <w:marTop w:val="0"/>
          <w:marBottom w:val="0"/>
          <w:divBdr>
            <w:top w:val="none" w:sz="0" w:space="0" w:color="auto"/>
            <w:left w:val="none" w:sz="0" w:space="0" w:color="auto"/>
            <w:bottom w:val="none" w:sz="0" w:space="0" w:color="auto"/>
            <w:right w:val="none" w:sz="0" w:space="0" w:color="auto"/>
          </w:divBdr>
        </w:div>
        <w:div w:id="799802801">
          <w:marLeft w:val="640"/>
          <w:marRight w:val="0"/>
          <w:marTop w:val="0"/>
          <w:marBottom w:val="0"/>
          <w:divBdr>
            <w:top w:val="none" w:sz="0" w:space="0" w:color="auto"/>
            <w:left w:val="none" w:sz="0" w:space="0" w:color="auto"/>
            <w:bottom w:val="none" w:sz="0" w:space="0" w:color="auto"/>
            <w:right w:val="none" w:sz="0" w:space="0" w:color="auto"/>
          </w:divBdr>
        </w:div>
        <w:div w:id="1786657761">
          <w:marLeft w:val="640"/>
          <w:marRight w:val="0"/>
          <w:marTop w:val="0"/>
          <w:marBottom w:val="0"/>
          <w:divBdr>
            <w:top w:val="none" w:sz="0" w:space="0" w:color="auto"/>
            <w:left w:val="none" w:sz="0" w:space="0" w:color="auto"/>
            <w:bottom w:val="none" w:sz="0" w:space="0" w:color="auto"/>
            <w:right w:val="none" w:sz="0" w:space="0" w:color="auto"/>
          </w:divBdr>
        </w:div>
        <w:div w:id="15038093">
          <w:marLeft w:val="640"/>
          <w:marRight w:val="0"/>
          <w:marTop w:val="0"/>
          <w:marBottom w:val="0"/>
          <w:divBdr>
            <w:top w:val="none" w:sz="0" w:space="0" w:color="auto"/>
            <w:left w:val="none" w:sz="0" w:space="0" w:color="auto"/>
            <w:bottom w:val="none" w:sz="0" w:space="0" w:color="auto"/>
            <w:right w:val="none" w:sz="0" w:space="0" w:color="auto"/>
          </w:divBdr>
        </w:div>
        <w:div w:id="1156263314">
          <w:marLeft w:val="640"/>
          <w:marRight w:val="0"/>
          <w:marTop w:val="0"/>
          <w:marBottom w:val="0"/>
          <w:divBdr>
            <w:top w:val="none" w:sz="0" w:space="0" w:color="auto"/>
            <w:left w:val="none" w:sz="0" w:space="0" w:color="auto"/>
            <w:bottom w:val="none" w:sz="0" w:space="0" w:color="auto"/>
            <w:right w:val="none" w:sz="0" w:space="0" w:color="auto"/>
          </w:divBdr>
        </w:div>
        <w:div w:id="1920212758">
          <w:marLeft w:val="640"/>
          <w:marRight w:val="0"/>
          <w:marTop w:val="0"/>
          <w:marBottom w:val="0"/>
          <w:divBdr>
            <w:top w:val="none" w:sz="0" w:space="0" w:color="auto"/>
            <w:left w:val="none" w:sz="0" w:space="0" w:color="auto"/>
            <w:bottom w:val="none" w:sz="0" w:space="0" w:color="auto"/>
            <w:right w:val="none" w:sz="0" w:space="0" w:color="auto"/>
          </w:divBdr>
        </w:div>
        <w:div w:id="1738162993">
          <w:marLeft w:val="640"/>
          <w:marRight w:val="0"/>
          <w:marTop w:val="0"/>
          <w:marBottom w:val="0"/>
          <w:divBdr>
            <w:top w:val="none" w:sz="0" w:space="0" w:color="auto"/>
            <w:left w:val="none" w:sz="0" w:space="0" w:color="auto"/>
            <w:bottom w:val="none" w:sz="0" w:space="0" w:color="auto"/>
            <w:right w:val="none" w:sz="0" w:space="0" w:color="auto"/>
          </w:divBdr>
        </w:div>
        <w:div w:id="1427379569">
          <w:marLeft w:val="640"/>
          <w:marRight w:val="0"/>
          <w:marTop w:val="0"/>
          <w:marBottom w:val="0"/>
          <w:divBdr>
            <w:top w:val="none" w:sz="0" w:space="0" w:color="auto"/>
            <w:left w:val="none" w:sz="0" w:space="0" w:color="auto"/>
            <w:bottom w:val="none" w:sz="0" w:space="0" w:color="auto"/>
            <w:right w:val="none" w:sz="0" w:space="0" w:color="auto"/>
          </w:divBdr>
        </w:div>
        <w:div w:id="180824102">
          <w:marLeft w:val="640"/>
          <w:marRight w:val="0"/>
          <w:marTop w:val="0"/>
          <w:marBottom w:val="0"/>
          <w:divBdr>
            <w:top w:val="none" w:sz="0" w:space="0" w:color="auto"/>
            <w:left w:val="none" w:sz="0" w:space="0" w:color="auto"/>
            <w:bottom w:val="none" w:sz="0" w:space="0" w:color="auto"/>
            <w:right w:val="none" w:sz="0" w:space="0" w:color="auto"/>
          </w:divBdr>
        </w:div>
        <w:div w:id="1785810281">
          <w:marLeft w:val="640"/>
          <w:marRight w:val="0"/>
          <w:marTop w:val="0"/>
          <w:marBottom w:val="0"/>
          <w:divBdr>
            <w:top w:val="none" w:sz="0" w:space="0" w:color="auto"/>
            <w:left w:val="none" w:sz="0" w:space="0" w:color="auto"/>
            <w:bottom w:val="none" w:sz="0" w:space="0" w:color="auto"/>
            <w:right w:val="none" w:sz="0" w:space="0" w:color="auto"/>
          </w:divBdr>
        </w:div>
        <w:div w:id="856431205">
          <w:marLeft w:val="640"/>
          <w:marRight w:val="0"/>
          <w:marTop w:val="0"/>
          <w:marBottom w:val="0"/>
          <w:divBdr>
            <w:top w:val="none" w:sz="0" w:space="0" w:color="auto"/>
            <w:left w:val="none" w:sz="0" w:space="0" w:color="auto"/>
            <w:bottom w:val="none" w:sz="0" w:space="0" w:color="auto"/>
            <w:right w:val="none" w:sz="0" w:space="0" w:color="auto"/>
          </w:divBdr>
        </w:div>
        <w:div w:id="90514652">
          <w:marLeft w:val="640"/>
          <w:marRight w:val="0"/>
          <w:marTop w:val="0"/>
          <w:marBottom w:val="0"/>
          <w:divBdr>
            <w:top w:val="none" w:sz="0" w:space="0" w:color="auto"/>
            <w:left w:val="none" w:sz="0" w:space="0" w:color="auto"/>
            <w:bottom w:val="none" w:sz="0" w:space="0" w:color="auto"/>
            <w:right w:val="none" w:sz="0" w:space="0" w:color="auto"/>
          </w:divBdr>
        </w:div>
        <w:div w:id="597248603">
          <w:marLeft w:val="640"/>
          <w:marRight w:val="0"/>
          <w:marTop w:val="0"/>
          <w:marBottom w:val="0"/>
          <w:divBdr>
            <w:top w:val="none" w:sz="0" w:space="0" w:color="auto"/>
            <w:left w:val="none" w:sz="0" w:space="0" w:color="auto"/>
            <w:bottom w:val="none" w:sz="0" w:space="0" w:color="auto"/>
            <w:right w:val="none" w:sz="0" w:space="0" w:color="auto"/>
          </w:divBdr>
        </w:div>
        <w:div w:id="761922506">
          <w:marLeft w:val="640"/>
          <w:marRight w:val="0"/>
          <w:marTop w:val="0"/>
          <w:marBottom w:val="0"/>
          <w:divBdr>
            <w:top w:val="none" w:sz="0" w:space="0" w:color="auto"/>
            <w:left w:val="none" w:sz="0" w:space="0" w:color="auto"/>
            <w:bottom w:val="none" w:sz="0" w:space="0" w:color="auto"/>
            <w:right w:val="none" w:sz="0" w:space="0" w:color="auto"/>
          </w:divBdr>
        </w:div>
        <w:div w:id="400837015">
          <w:marLeft w:val="640"/>
          <w:marRight w:val="0"/>
          <w:marTop w:val="0"/>
          <w:marBottom w:val="0"/>
          <w:divBdr>
            <w:top w:val="none" w:sz="0" w:space="0" w:color="auto"/>
            <w:left w:val="none" w:sz="0" w:space="0" w:color="auto"/>
            <w:bottom w:val="none" w:sz="0" w:space="0" w:color="auto"/>
            <w:right w:val="none" w:sz="0" w:space="0" w:color="auto"/>
          </w:divBdr>
        </w:div>
        <w:div w:id="1459565157">
          <w:marLeft w:val="640"/>
          <w:marRight w:val="0"/>
          <w:marTop w:val="0"/>
          <w:marBottom w:val="0"/>
          <w:divBdr>
            <w:top w:val="none" w:sz="0" w:space="0" w:color="auto"/>
            <w:left w:val="none" w:sz="0" w:space="0" w:color="auto"/>
            <w:bottom w:val="none" w:sz="0" w:space="0" w:color="auto"/>
            <w:right w:val="none" w:sz="0" w:space="0" w:color="auto"/>
          </w:divBdr>
        </w:div>
        <w:div w:id="555509392">
          <w:marLeft w:val="640"/>
          <w:marRight w:val="0"/>
          <w:marTop w:val="0"/>
          <w:marBottom w:val="0"/>
          <w:divBdr>
            <w:top w:val="none" w:sz="0" w:space="0" w:color="auto"/>
            <w:left w:val="none" w:sz="0" w:space="0" w:color="auto"/>
            <w:bottom w:val="none" w:sz="0" w:space="0" w:color="auto"/>
            <w:right w:val="none" w:sz="0" w:space="0" w:color="auto"/>
          </w:divBdr>
        </w:div>
        <w:div w:id="364646308">
          <w:marLeft w:val="640"/>
          <w:marRight w:val="0"/>
          <w:marTop w:val="0"/>
          <w:marBottom w:val="0"/>
          <w:divBdr>
            <w:top w:val="none" w:sz="0" w:space="0" w:color="auto"/>
            <w:left w:val="none" w:sz="0" w:space="0" w:color="auto"/>
            <w:bottom w:val="none" w:sz="0" w:space="0" w:color="auto"/>
            <w:right w:val="none" w:sz="0" w:space="0" w:color="auto"/>
          </w:divBdr>
        </w:div>
        <w:div w:id="109476609">
          <w:marLeft w:val="640"/>
          <w:marRight w:val="0"/>
          <w:marTop w:val="0"/>
          <w:marBottom w:val="0"/>
          <w:divBdr>
            <w:top w:val="none" w:sz="0" w:space="0" w:color="auto"/>
            <w:left w:val="none" w:sz="0" w:space="0" w:color="auto"/>
            <w:bottom w:val="none" w:sz="0" w:space="0" w:color="auto"/>
            <w:right w:val="none" w:sz="0" w:space="0" w:color="auto"/>
          </w:divBdr>
        </w:div>
        <w:div w:id="1017846487">
          <w:marLeft w:val="640"/>
          <w:marRight w:val="0"/>
          <w:marTop w:val="0"/>
          <w:marBottom w:val="0"/>
          <w:divBdr>
            <w:top w:val="none" w:sz="0" w:space="0" w:color="auto"/>
            <w:left w:val="none" w:sz="0" w:space="0" w:color="auto"/>
            <w:bottom w:val="none" w:sz="0" w:space="0" w:color="auto"/>
            <w:right w:val="none" w:sz="0" w:space="0" w:color="auto"/>
          </w:divBdr>
        </w:div>
        <w:div w:id="1802847817">
          <w:marLeft w:val="640"/>
          <w:marRight w:val="0"/>
          <w:marTop w:val="0"/>
          <w:marBottom w:val="0"/>
          <w:divBdr>
            <w:top w:val="none" w:sz="0" w:space="0" w:color="auto"/>
            <w:left w:val="none" w:sz="0" w:space="0" w:color="auto"/>
            <w:bottom w:val="none" w:sz="0" w:space="0" w:color="auto"/>
            <w:right w:val="none" w:sz="0" w:space="0" w:color="auto"/>
          </w:divBdr>
        </w:div>
        <w:div w:id="1564874887">
          <w:marLeft w:val="640"/>
          <w:marRight w:val="0"/>
          <w:marTop w:val="0"/>
          <w:marBottom w:val="0"/>
          <w:divBdr>
            <w:top w:val="none" w:sz="0" w:space="0" w:color="auto"/>
            <w:left w:val="none" w:sz="0" w:space="0" w:color="auto"/>
            <w:bottom w:val="none" w:sz="0" w:space="0" w:color="auto"/>
            <w:right w:val="none" w:sz="0" w:space="0" w:color="auto"/>
          </w:divBdr>
        </w:div>
        <w:div w:id="1030491521">
          <w:marLeft w:val="640"/>
          <w:marRight w:val="0"/>
          <w:marTop w:val="0"/>
          <w:marBottom w:val="0"/>
          <w:divBdr>
            <w:top w:val="none" w:sz="0" w:space="0" w:color="auto"/>
            <w:left w:val="none" w:sz="0" w:space="0" w:color="auto"/>
            <w:bottom w:val="none" w:sz="0" w:space="0" w:color="auto"/>
            <w:right w:val="none" w:sz="0" w:space="0" w:color="auto"/>
          </w:divBdr>
        </w:div>
        <w:div w:id="1608193738">
          <w:marLeft w:val="640"/>
          <w:marRight w:val="0"/>
          <w:marTop w:val="0"/>
          <w:marBottom w:val="0"/>
          <w:divBdr>
            <w:top w:val="none" w:sz="0" w:space="0" w:color="auto"/>
            <w:left w:val="none" w:sz="0" w:space="0" w:color="auto"/>
            <w:bottom w:val="none" w:sz="0" w:space="0" w:color="auto"/>
            <w:right w:val="none" w:sz="0" w:space="0" w:color="auto"/>
          </w:divBdr>
        </w:div>
        <w:div w:id="1242718751">
          <w:marLeft w:val="640"/>
          <w:marRight w:val="0"/>
          <w:marTop w:val="0"/>
          <w:marBottom w:val="0"/>
          <w:divBdr>
            <w:top w:val="none" w:sz="0" w:space="0" w:color="auto"/>
            <w:left w:val="none" w:sz="0" w:space="0" w:color="auto"/>
            <w:bottom w:val="none" w:sz="0" w:space="0" w:color="auto"/>
            <w:right w:val="none" w:sz="0" w:space="0" w:color="auto"/>
          </w:divBdr>
        </w:div>
        <w:div w:id="192571864">
          <w:marLeft w:val="640"/>
          <w:marRight w:val="0"/>
          <w:marTop w:val="0"/>
          <w:marBottom w:val="0"/>
          <w:divBdr>
            <w:top w:val="none" w:sz="0" w:space="0" w:color="auto"/>
            <w:left w:val="none" w:sz="0" w:space="0" w:color="auto"/>
            <w:bottom w:val="none" w:sz="0" w:space="0" w:color="auto"/>
            <w:right w:val="none" w:sz="0" w:space="0" w:color="auto"/>
          </w:divBdr>
        </w:div>
        <w:div w:id="701440408">
          <w:marLeft w:val="640"/>
          <w:marRight w:val="0"/>
          <w:marTop w:val="0"/>
          <w:marBottom w:val="0"/>
          <w:divBdr>
            <w:top w:val="none" w:sz="0" w:space="0" w:color="auto"/>
            <w:left w:val="none" w:sz="0" w:space="0" w:color="auto"/>
            <w:bottom w:val="none" w:sz="0" w:space="0" w:color="auto"/>
            <w:right w:val="none" w:sz="0" w:space="0" w:color="auto"/>
          </w:divBdr>
        </w:div>
        <w:div w:id="1956280227">
          <w:marLeft w:val="640"/>
          <w:marRight w:val="0"/>
          <w:marTop w:val="0"/>
          <w:marBottom w:val="0"/>
          <w:divBdr>
            <w:top w:val="none" w:sz="0" w:space="0" w:color="auto"/>
            <w:left w:val="none" w:sz="0" w:space="0" w:color="auto"/>
            <w:bottom w:val="none" w:sz="0" w:space="0" w:color="auto"/>
            <w:right w:val="none" w:sz="0" w:space="0" w:color="auto"/>
          </w:divBdr>
        </w:div>
        <w:div w:id="495878046">
          <w:marLeft w:val="640"/>
          <w:marRight w:val="0"/>
          <w:marTop w:val="0"/>
          <w:marBottom w:val="0"/>
          <w:divBdr>
            <w:top w:val="none" w:sz="0" w:space="0" w:color="auto"/>
            <w:left w:val="none" w:sz="0" w:space="0" w:color="auto"/>
            <w:bottom w:val="none" w:sz="0" w:space="0" w:color="auto"/>
            <w:right w:val="none" w:sz="0" w:space="0" w:color="auto"/>
          </w:divBdr>
        </w:div>
        <w:div w:id="1580408366">
          <w:marLeft w:val="640"/>
          <w:marRight w:val="0"/>
          <w:marTop w:val="0"/>
          <w:marBottom w:val="0"/>
          <w:divBdr>
            <w:top w:val="none" w:sz="0" w:space="0" w:color="auto"/>
            <w:left w:val="none" w:sz="0" w:space="0" w:color="auto"/>
            <w:bottom w:val="none" w:sz="0" w:space="0" w:color="auto"/>
            <w:right w:val="none" w:sz="0" w:space="0" w:color="auto"/>
          </w:divBdr>
        </w:div>
        <w:div w:id="1709600058">
          <w:marLeft w:val="640"/>
          <w:marRight w:val="0"/>
          <w:marTop w:val="0"/>
          <w:marBottom w:val="0"/>
          <w:divBdr>
            <w:top w:val="none" w:sz="0" w:space="0" w:color="auto"/>
            <w:left w:val="none" w:sz="0" w:space="0" w:color="auto"/>
            <w:bottom w:val="none" w:sz="0" w:space="0" w:color="auto"/>
            <w:right w:val="none" w:sz="0" w:space="0" w:color="auto"/>
          </w:divBdr>
        </w:div>
        <w:div w:id="617874513">
          <w:marLeft w:val="640"/>
          <w:marRight w:val="0"/>
          <w:marTop w:val="0"/>
          <w:marBottom w:val="0"/>
          <w:divBdr>
            <w:top w:val="none" w:sz="0" w:space="0" w:color="auto"/>
            <w:left w:val="none" w:sz="0" w:space="0" w:color="auto"/>
            <w:bottom w:val="none" w:sz="0" w:space="0" w:color="auto"/>
            <w:right w:val="none" w:sz="0" w:space="0" w:color="auto"/>
          </w:divBdr>
        </w:div>
        <w:div w:id="1087384175">
          <w:marLeft w:val="640"/>
          <w:marRight w:val="0"/>
          <w:marTop w:val="0"/>
          <w:marBottom w:val="0"/>
          <w:divBdr>
            <w:top w:val="none" w:sz="0" w:space="0" w:color="auto"/>
            <w:left w:val="none" w:sz="0" w:space="0" w:color="auto"/>
            <w:bottom w:val="none" w:sz="0" w:space="0" w:color="auto"/>
            <w:right w:val="none" w:sz="0" w:space="0" w:color="auto"/>
          </w:divBdr>
        </w:div>
        <w:div w:id="50538962">
          <w:marLeft w:val="640"/>
          <w:marRight w:val="0"/>
          <w:marTop w:val="0"/>
          <w:marBottom w:val="0"/>
          <w:divBdr>
            <w:top w:val="none" w:sz="0" w:space="0" w:color="auto"/>
            <w:left w:val="none" w:sz="0" w:space="0" w:color="auto"/>
            <w:bottom w:val="none" w:sz="0" w:space="0" w:color="auto"/>
            <w:right w:val="none" w:sz="0" w:space="0" w:color="auto"/>
          </w:divBdr>
        </w:div>
        <w:div w:id="664480941">
          <w:marLeft w:val="640"/>
          <w:marRight w:val="0"/>
          <w:marTop w:val="0"/>
          <w:marBottom w:val="0"/>
          <w:divBdr>
            <w:top w:val="none" w:sz="0" w:space="0" w:color="auto"/>
            <w:left w:val="none" w:sz="0" w:space="0" w:color="auto"/>
            <w:bottom w:val="none" w:sz="0" w:space="0" w:color="auto"/>
            <w:right w:val="none" w:sz="0" w:space="0" w:color="auto"/>
          </w:divBdr>
        </w:div>
        <w:div w:id="209734690">
          <w:marLeft w:val="640"/>
          <w:marRight w:val="0"/>
          <w:marTop w:val="0"/>
          <w:marBottom w:val="0"/>
          <w:divBdr>
            <w:top w:val="none" w:sz="0" w:space="0" w:color="auto"/>
            <w:left w:val="none" w:sz="0" w:space="0" w:color="auto"/>
            <w:bottom w:val="none" w:sz="0" w:space="0" w:color="auto"/>
            <w:right w:val="none" w:sz="0" w:space="0" w:color="auto"/>
          </w:divBdr>
        </w:div>
        <w:div w:id="964191317">
          <w:marLeft w:val="640"/>
          <w:marRight w:val="0"/>
          <w:marTop w:val="0"/>
          <w:marBottom w:val="0"/>
          <w:divBdr>
            <w:top w:val="none" w:sz="0" w:space="0" w:color="auto"/>
            <w:left w:val="none" w:sz="0" w:space="0" w:color="auto"/>
            <w:bottom w:val="none" w:sz="0" w:space="0" w:color="auto"/>
            <w:right w:val="none" w:sz="0" w:space="0" w:color="auto"/>
          </w:divBdr>
        </w:div>
        <w:div w:id="186213035">
          <w:marLeft w:val="640"/>
          <w:marRight w:val="0"/>
          <w:marTop w:val="0"/>
          <w:marBottom w:val="0"/>
          <w:divBdr>
            <w:top w:val="none" w:sz="0" w:space="0" w:color="auto"/>
            <w:left w:val="none" w:sz="0" w:space="0" w:color="auto"/>
            <w:bottom w:val="none" w:sz="0" w:space="0" w:color="auto"/>
            <w:right w:val="none" w:sz="0" w:space="0" w:color="auto"/>
          </w:divBdr>
        </w:div>
        <w:div w:id="672952552">
          <w:marLeft w:val="640"/>
          <w:marRight w:val="0"/>
          <w:marTop w:val="0"/>
          <w:marBottom w:val="0"/>
          <w:divBdr>
            <w:top w:val="none" w:sz="0" w:space="0" w:color="auto"/>
            <w:left w:val="none" w:sz="0" w:space="0" w:color="auto"/>
            <w:bottom w:val="none" w:sz="0" w:space="0" w:color="auto"/>
            <w:right w:val="none" w:sz="0" w:space="0" w:color="auto"/>
          </w:divBdr>
        </w:div>
        <w:div w:id="1692877074">
          <w:marLeft w:val="640"/>
          <w:marRight w:val="0"/>
          <w:marTop w:val="0"/>
          <w:marBottom w:val="0"/>
          <w:divBdr>
            <w:top w:val="none" w:sz="0" w:space="0" w:color="auto"/>
            <w:left w:val="none" w:sz="0" w:space="0" w:color="auto"/>
            <w:bottom w:val="none" w:sz="0" w:space="0" w:color="auto"/>
            <w:right w:val="none" w:sz="0" w:space="0" w:color="auto"/>
          </w:divBdr>
        </w:div>
        <w:div w:id="586039439">
          <w:marLeft w:val="640"/>
          <w:marRight w:val="0"/>
          <w:marTop w:val="0"/>
          <w:marBottom w:val="0"/>
          <w:divBdr>
            <w:top w:val="none" w:sz="0" w:space="0" w:color="auto"/>
            <w:left w:val="none" w:sz="0" w:space="0" w:color="auto"/>
            <w:bottom w:val="none" w:sz="0" w:space="0" w:color="auto"/>
            <w:right w:val="none" w:sz="0" w:space="0" w:color="auto"/>
          </w:divBdr>
        </w:div>
        <w:div w:id="1324318547">
          <w:marLeft w:val="640"/>
          <w:marRight w:val="0"/>
          <w:marTop w:val="0"/>
          <w:marBottom w:val="0"/>
          <w:divBdr>
            <w:top w:val="none" w:sz="0" w:space="0" w:color="auto"/>
            <w:left w:val="none" w:sz="0" w:space="0" w:color="auto"/>
            <w:bottom w:val="none" w:sz="0" w:space="0" w:color="auto"/>
            <w:right w:val="none" w:sz="0" w:space="0" w:color="auto"/>
          </w:divBdr>
        </w:div>
        <w:div w:id="1917082363">
          <w:marLeft w:val="640"/>
          <w:marRight w:val="0"/>
          <w:marTop w:val="0"/>
          <w:marBottom w:val="0"/>
          <w:divBdr>
            <w:top w:val="none" w:sz="0" w:space="0" w:color="auto"/>
            <w:left w:val="none" w:sz="0" w:space="0" w:color="auto"/>
            <w:bottom w:val="none" w:sz="0" w:space="0" w:color="auto"/>
            <w:right w:val="none" w:sz="0" w:space="0" w:color="auto"/>
          </w:divBdr>
        </w:div>
        <w:div w:id="463892989">
          <w:marLeft w:val="640"/>
          <w:marRight w:val="0"/>
          <w:marTop w:val="0"/>
          <w:marBottom w:val="0"/>
          <w:divBdr>
            <w:top w:val="none" w:sz="0" w:space="0" w:color="auto"/>
            <w:left w:val="none" w:sz="0" w:space="0" w:color="auto"/>
            <w:bottom w:val="none" w:sz="0" w:space="0" w:color="auto"/>
            <w:right w:val="none" w:sz="0" w:space="0" w:color="auto"/>
          </w:divBdr>
        </w:div>
        <w:div w:id="625040126">
          <w:marLeft w:val="640"/>
          <w:marRight w:val="0"/>
          <w:marTop w:val="0"/>
          <w:marBottom w:val="0"/>
          <w:divBdr>
            <w:top w:val="none" w:sz="0" w:space="0" w:color="auto"/>
            <w:left w:val="none" w:sz="0" w:space="0" w:color="auto"/>
            <w:bottom w:val="none" w:sz="0" w:space="0" w:color="auto"/>
            <w:right w:val="none" w:sz="0" w:space="0" w:color="auto"/>
          </w:divBdr>
        </w:div>
        <w:div w:id="2029286974">
          <w:marLeft w:val="640"/>
          <w:marRight w:val="0"/>
          <w:marTop w:val="0"/>
          <w:marBottom w:val="0"/>
          <w:divBdr>
            <w:top w:val="none" w:sz="0" w:space="0" w:color="auto"/>
            <w:left w:val="none" w:sz="0" w:space="0" w:color="auto"/>
            <w:bottom w:val="none" w:sz="0" w:space="0" w:color="auto"/>
            <w:right w:val="none" w:sz="0" w:space="0" w:color="auto"/>
          </w:divBdr>
        </w:div>
        <w:div w:id="1342972799">
          <w:marLeft w:val="640"/>
          <w:marRight w:val="0"/>
          <w:marTop w:val="0"/>
          <w:marBottom w:val="0"/>
          <w:divBdr>
            <w:top w:val="none" w:sz="0" w:space="0" w:color="auto"/>
            <w:left w:val="none" w:sz="0" w:space="0" w:color="auto"/>
            <w:bottom w:val="none" w:sz="0" w:space="0" w:color="auto"/>
            <w:right w:val="none" w:sz="0" w:space="0" w:color="auto"/>
          </w:divBdr>
        </w:div>
        <w:div w:id="1231695420">
          <w:marLeft w:val="640"/>
          <w:marRight w:val="0"/>
          <w:marTop w:val="0"/>
          <w:marBottom w:val="0"/>
          <w:divBdr>
            <w:top w:val="none" w:sz="0" w:space="0" w:color="auto"/>
            <w:left w:val="none" w:sz="0" w:space="0" w:color="auto"/>
            <w:bottom w:val="none" w:sz="0" w:space="0" w:color="auto"/>
            <w:right w:val="none" w:sz="0" w:space="0" w:color="auto"/>
          </w:divBdr>
        </w:div>
        <w:div w:id="1156729761">
          <w:marLeft w:val="640"/>
          <w:marRight w:val="0"/>
          <w:marTop w:val="0"/>
          <w:marBottom w:val="0"/>
          <w:divBdr>
            <w:top w:val="none" w:sz="0" w:space="0" w:color="auto"/>
            <w:left w:val="none" w:sz="0" w:space="0" w:color="auto"/>
            <w:bottom w:val="none" w:sz="0" w:space="0" w:color="auto"/>
            <w:right w:val="none" w:sz="0" w:space="0" w:color="auto"/>
          </w:divBdr>
        </w:div>
        <w:div w:id="2146391323">
          <w:marLeft w:val="640"/>
          <w:marRight w:val="0"/>
          <w:marTop w:val="0"/>
          <w:marBottom w:val="0"/>
          <w:divBdr>
            <w:top w:val="none" w:sz="0" w:space="0" w:color="auto"/>
            <w:left w:val="none" w:sz="0" w:space="0" w:color="auto"/>
            <w:bottom w:val="none" w:sz="0" w:space="0" w:color="auto"/>
            <w:right w:val="none" w:sz="0" w:space="0" w:color="auto"/>
          </w:divBdr>
        </w:div>
        <w:div w:id="504130426">
          <w:marLeft w:val="640"/>
          <w:marRight w:val="0"/>
          <w:marTop w:val="0"/>
          <w:marBottom w:val="0"/>
          <w:divBdr>
            <w:top w:val="none" w:sz="0" w:space="0" w:color="auto"/>
            <w:left w:val="none" w:sz="0" w:space="0" w:color="auto"/>
            <w:bottom w:val="none" w:sz="0" w:space="0" w:color="auto"/>
            <w:right w:val="none" w:sz="0" w:space="0" w:color="auto"/>
          </w:divBdr>
        </w:div>
        <w:div w:id="547650616">
          <w:marLeft w:val="640"/>
          <w:marRight w:val="0"/>
          <w:marTop w:val="0"/>
          <w:marBottom w:val="0"/>
          <w:divBdr>
            <w:top w:val="none" w:sz="0" w:space="0" w:color="auto"/>
            <w:left w:val="none" w:sz="0" w:space="0" w:color="auto"/>
            <w:bottom w:val="none" w:sz="0" w:space="0" w:color="auto"/>
            <w:right w:val="none" w:sz="0" w:space="0" w:color="auto"/>
          </w:divBdr>
        </w:div>
        <w:div w:id="1197305210">
          <w:marLeft w:val="640"/>
          <w:marRight w:val="0"/>
          <w:marTop w:val="0"/>
          <w:marBottom w:val="0"/>
          <w:divBdr>
            <w:top w:val="none" w:sz="0" w:space="0" w:color="auto"/>
            <w:left w:val="none" w:sz="0" w:space="0" w:color="auto"/>
            <w:bottom w:val="none" w:sz="0" w:space="0" w:color="auto"/>
            <w:right w:val="none" w:sz="0" w:space="0" w:color="auto"/>
          </w:divBdr>
        </w:div>
        <w:div w:id="1872184438">
          <w:marLeft w:val="640"/>
          <w:marRight w:val="0"/>
          <w:marTop w:val="0"/>
          <w:marBottom w:val="0"/>
          <w:divBdr>
            <w:top w:val="none" w:sz="0" w:space="0" w:color="auto"/>
            <w:left w:val="none" w:sz="0" w:space="0" w:color="auto"/>
            <w:bottom w:val="none" w:sz="0" w:space="0" w:color="auto"/>
            <w:right w:val="none" w:sz="0" w:space="0" w:color="auto"/>
          </w:divBdr>
        </w:div>
        <w:div w:id="184176075">
          <w:marLeft w:val="640"/>
          <w:marRight w:val="0"/>
          <w:marTop w:val="0"/>
          <w:marBottom w:val="0"/>
          <w:divBdr>
            <w:top w:val="none" w:sz="0" w:space="0" w:color="auto"/>
            <w:left w:val="none" w:sz="0" w:space="0" w:color="auto"/>
            <w:bottom w:val="none" w:sz="0" w:space="0" w:color="auto"/>
            <w:right w:val="none" w:sz="0" w:space="0" w:color="auto"/>
          </w:divBdr>
        </w:div>
        <w:div w:id="1085033564">
          <w:marLeft w:val="640"/>
          <w:marRight w:val="0"/>
          <w:marTop w:val="0"/>
          <w:marBottom w:val="0"/>
          <w:divBdr>
            <w:top w:val="none" w:sz="0" w:space="0" w:color="auto"/>
            <w:left w:val="none" w:sz="0" w:space="0" w:color="auto"/>
            <w:bottom w:val="none" w:sz="0" w:space="0" w:color="auto"/>
            <w:right w:val="none" w:sz="0" w:space="0" w:color="auto"/>
          </w:divBdr>
        </w:div>
        <w:div w:id="2111465461">
          <w:marLeft w:val="640"/>
          <w:marRight w:val="0"/>
          <w:marTop w:val="0"/>
          <w:marBottom w:val="0"/>
          <w:divBdr>
            <w:top w:val="none" w:sz="0" w:space="0" w:color="auto"/>
            <w:left w:val="none" w:sz="0" w:space="0" w:color="auto"/>
            <w:bottom w:val="none" w:sz="0" w:space="0" w:color="auto"/>
            <w:right w:val="none" w:sz="0" w:space="0" w:color="auto"/>
          </w:divBdr>
        </w:div>
        <w:div w:id="663082">
          <w:marLeft w:val="640"/>
          <w:marRight w:val="0"/>
          <w:marTop w:val="0"/>
          <w:marBottom w:val="0"/>
          <w:divBdr>
            <w:top w:val="none" w:sz="0" w:space="0" w:color="auto"/>
            <w:left w:val="none" w:sz="0" w:space="0" w:color="auto"/>
            <w:bottom w:val="none" w:sz="0" w:space="0" w:color="auto"/>
            <w:right w:val="none" w:sz="0" w:space="0" w:color="auto"/>
          </w:divBdr>
        </w:div>
        <w:div w:id="201945861">
          <w:marLeft w:val="640"/>
          <w:marRight w:val="0"/>
          <w:marTop w:val="0"/>
          <w:marBottom w:val="0"/>
          <w:divBdr>
            <w:top w:val="none" w:sz="0" w:space="0" w:color="auto"/>
            <w:left w:val="none" w:sz="0" w:space="0" w:color="auto"/>
            <w:bottom w:val="none" w:sz="0" w:space="0" w:color="auto"/>
            <w:right w:val="none" w:sz="0" w:space="0" w:color="auto"/>
          </w:divBdr>
        </w:div>
        <w:div w:id="1857769257">
          <w:marLeft w:val="640"/>
          <w:marRight w:val="0"/>
          <w:marTop w:val="0"/>
          <w:marBottom w:val="0"/>
          <w:divBdr>
            <w:top w:val="none" w:sz="0" w:space="0" w:color="auto"/>
            <w:left w:val="none" w:sz="0" w:space="0" w:color="auto"/>
            <w:bottom w:val="none" w:sz="0" w:space="0" w:color="auto"/>
            <w:right w:val="none" w:sz="0" w:space="0" w:color="auto"/>
          </w:divBdr>
        </w:div>
        <w:div w:id="865407727">
          <w:marLeft w:val="640"/>
          <w:marRight w:val="0"/>
          <w:marTop w:val="0"/>
          <w:marBottom w:val="0"/>
          <w:divBdr>
            <w:top w:val="none" w:sz="0" w:space="0" w:color="auto"/>
            <w:left w:val="none" w:sz="0" w:space="0" w:color="auto"/>
            <w:bottom w:val="none" w:sz="0" w:space="0" w:color="auto"/>
            <w:right w:val="none" w:sz="0" w:space="0" w:color="auto"/>
          </w:divBdr>
        </w:div>
        <w:div w:id="431314908">
          <w:marLeft w:val="640"/>
          <w:marRight w:val="0"/>
          <w:marTop w:val="0"/>
          <w:marBottom w:val="0"/>
          <w:divBdr>
            <w:top w:val="none" w:sz="0" w:space="0" w:color="auto"/>
            <w:left w:val="none" w:sz="0" w:space="0" w:color="auto"/>
            <w:bottom w:val="none" w:sz="0" w:space="0" w:color="auto"/>
            <w:right w:val="none" w:sz="0" w:space="0" w:color="auto"/>
          </w:divBdr>
        </w:div>
        <w:div w:id="106391254">
          <w:marLeft w:val="640"/>
          <w:marRight w:val="0"/>
          <w:marTop w:val="0"/>
          <w:marBottom w:val="0"/>
          <w:divBdr>
            <w:top w:val="none" w:sz="0" w:space="0" w:color="auto"/>
            <w:left w:val="none" w:sz="0" w:space="0" w:color="auto"/>
            <w:bottom w:val="none" w:sz="0" w:space="0" w:color="auto"/>
            <w:right w:val="none" w:sz="0" w:space="0" w:color="auto"/>
          </w:divBdr>
        </w:div>
        <w:div w:id="1668366228">
          <w:marLeft w:val="640"/>
          <w:marRight w:val="0"/>
          <w:marTop w:val="0"/>
          <w:marBottom w:val="0"/>
          <w:divBdr>
            <w:top w:val="none" w:sz="0" w:space="0" w:color="auto"/>
            <w:left w:val="none" w:sz="0" w:space="0" w:color="auto"/>
            <w:bottom w:val="none" w:sz="0" w:space="0" w:color="auto"/>
            <w:right w:val="none" w:sz="0" w:space="0" w:color="auto"/>
          </w:divBdr>
        </w:div>
        <w:div w:id="695470556">
          <w:marLeft w:val="640"/>
          <w:marRight w:val="0"/>
          <w:marTop w:val="0"/>
          <w:marBottom w:val="0"/>
          <w:divBdr>
            <w:top w:val="none" w:sz="0" w:space="0" w:color="auto"/>
            <w:left w:val="none" w:sz="0" w:space="0" w:color="auto"/>
            <w:bottom w:val="none" w:sz="0" w:space="0" w:color="auto"/>
            <w:right w:val="none" w:sz="0" w:space="0" w:color="auto"/>
          </w:divBdr>
        </w:div>
        <w:div w:id="425156405">
          <w:marLeft w:val="640"/>
          <w:marRight w:val="0"/>
          <w:marTop w:val="0"/>
          <w:marBottom w:val="0"/>
          <w:divBdr>
            <w:top w:val="none" w:sz="0" w:space="0" w:color="auto"/>
            <w:left w:val="none" w:sz="0" w:space="0" w:color="auto"/>
            <w:bottom w:val="none" w:sz="0" w:space="0" w:color="auto"/>
            <w:right w:val="none" w:sz="0" w:space="0" w:color="auto"/>
          </w:divBdr>
        </w:div>
        <w:div w:id="2111581047">
          <w:marLeft w:val="640"/>
          <w:marRight w:val="0"/>
          <w:marTop w:val="0"/>
          <w:marBottom w:val="0"/>
          <w:divBdr>
            <w:top w:val="none" w:sz="0" w:space="0" w:color="auto"/>
            <w:left w:val="none" w:sz="0" w:space="0" w:color="auto"/>
            <w:bottom w:val="none" w:sz="0" w:space="0" w:color="auto"/>
            <w:right w:val="none" w:sz="0" w:space="0" w:color="auto"/>
          </w:divBdr>
        </w:div>
        <w:div w:id="156002809">
          <w:marLeft w:val="640"/>
          <w:marRight w:val="0"/>
          <w:marTop w:val="0"/>
          <w:marBottom w:val="0"/>
          <w:divBdr>
            <w:top w:val="none" w:sz="0" w:space="0" w:color="auto"/>
            <w:left w:val="none" w:sz="0" w:space="0" w:color="auto"/>
            <w:bottom w:val="none" w:sz="0" w:space="0" w:color="auto"/>
            <w:right w:val="none" w:sz="0" w:space="0" w:color="auto"/>
          </w:divBdr>
        </w:div>
        <w:div w:id="1767769501">
          <w:marLeft w:val="640"/>
          <w:marRight w:val="0"/>
          <w:marTop w:val="0"/>
          <w:marBottom w:val="0"/>
          <w:divBdr>
            <w:top w:val="none" w:sz="0" w:space="0" w:color="auto"/>
            <w:left w:val="none" w:sz="0" w:space="0" w:color="auto"/>
            <w:bottom w:val="none" w:sz="0" w:space="0" w:color="auto"/>
            <w:right w:val="none" w:sz="0" w:space="0" w:color="auto"/>
          </w:divBdr>
        </w:div>
        <w:div w:id="2123648040">
          <w:marLeft w:val="640"/>
          <w:marRight w:val="0"/>
          <w:marTop w:val="0"/>
          <w:marBottom w:val="0"/>
          <w:divBdr>
            <w:top w:val="none" w:sz="0" w:space="0" w:color="auto"/>
            <w:left w:val="none" w:sz="0" w:space="0" w:color="auto"/>
            <w:bottom w:val="none" w:sz="0" w:space="0" w:color="auto"/>
            <w:right w:val="none" w:sz="0" w:space="0" w:color="auto"/>
          </w:divBdr>
        </w:div>
        <w:div w:id="988898868">
          <w:marLeft w:val="640"/>
          <w:marRight w:val="0"/>
          <w:marTop w:val="0"/>
          <w:marBottom w:val="0"/>
          <w:divBdr>
            <w:top w:val="none" w:sz="0" w:space="0" w:color="auto"/>
            <w:left w:val="none" w:sz="0" w:space="0" w:color="auto"/>
            <w:bottom w:val="none" w:sz="0" w:space="0" w:color="auto"/>
            <w:right w:val="none" w:sz="0" w:space="0" w:color="auto"/>
          </w:divBdr>
        </w:div>
        <w:div w:id="1583834711">
          <w:marLeft w:val="640"/>
          <w:marRight w:val="0"/>
          <w:marTop w:val="0"/>
          <w:marBottom w:val="0"/>
          <w:divBdr>
            <w:top w:val="none" w:sz="0" w:space="0" w:color="auto"/>
            <w:left w:val="none" w:sz="0" w:space="0" w:color="auto"/>
            <w:bottom w:val="none" w:sz="0" w:space="0" w:color="auto"/>
            <w:right w:val="none" w:sz="0" w:space="0" w:color="auto"/>
          </w:divBdr>
        </w:div>
        <w:div w:id="1371224791">
          <w:marLeft w:val="640"/>
          <w:marRight w:val="0"/>
          <w:marTop w:val="0"/>
          <w:marBottom w:val="0"/>
          <w:divBdr>
            <w:top w:val="none" w:sz="0" w:space="0" w:color="auto"/>
            <w:left w:val="none" w:sz="0" w:space="0" w:color="auto"/>
            <w:bottom w:val="none" w:sz="0" w:space="0" w:color="auto"/>
            <w:right w:val="none" w:sz="0" w:space="0" w:color="auto"/>
          </w:divBdr>
        </w:div>
        <w:div w:id="437019702">
          <w:marLeft w:val="640"/>
          <w:marRight w:val="0"/>
          <w:marTop w:val="0"/>
          <w:marBottom w:val="0"/>
          <w:divBdr>
            <w:top w:val="none" w:sz="0" w:space="0" w:color="auto"/>
            <w:left w:val="none" w:sz="0" w:space="0" w:color="auto"/>
            <w:bottom w:val="none" w:sz="0" w:space="0" w:color="auto"/>
            <w:right w:val="none" w:sz="0" w:space="0" w:color="auto"/>
          </w:divBdr>
        </w:div>
        <w:div w:id="619578088">
          <w:marLeft w:val="640"/>
          <w:marRight w:val="0"/>
          <w:marTop w:val="0"/>
          <w:marBottom w:val="0"/>
          <w:divBdr>
            <w:top w:val="none" w:sz="0" w:space="0" w:color="auto"/>
            <w:left w:val="none" w:sz="0" w:space="0" w:color="auto"/>
            <w:bottom w:val="none" w:sz="0" w:space="0" w:color="auto"/>
            <w:right w:val="none" w:sz="0" w:space="0" w:color="auto"/>
          </w:divBdr>
        </w:div>
        <w:div w:id="691420661">
          <w:marLeft w:val="640"/>
          <w:marRight w:val="0"/>
          <w:marTop w:val="0"/>
          <w:marBottom w:val="0"/>
          <w:divBdr>
            <w:top w:val="none" w:sz="0" w:space="0" w:color="auto"/>
            <w:left w:val="none" w:sz="0" w:space="0" w:color="auto"/>
            <w:bottom w:val="none" w:sz="0" w:space="0" w:color="auto"/>
            <w:right w:val="none" w:sz="0" w:space="0" w:color="auto"/>
          </w:divBdr>
        </w:div>
        <w:div w:id="724262525">
          <w:marLeft w:val="640"/>
          <w:marRight w:val="0"/>
          <w:marTop w:val="0"/>
          <w:marBottom w:val="0"/>
          <w:divBdr>
            <w:top w:val="none" w:sz="0" w:space="0" w:color="auto"/>
            <w:left w:val="none" w:sz="0" w:space="0" w:color="auto"/>
            <w:bottom w:val="none" w:sz="0" w:space="0" w:color="auto"/>
            <w:right w:val="none" w:sz="0" w:space="0" w:color="auto"/>
          </w:divBdr>
        </w:div>
        <w:div w:id="1718117910">
          <w:marLeft w:val="640"/>
          <w:marRight w:val="0"/>
          <w:marTop w:val="0"/>
          <w:marBottom w:val="0"/>
          <w:divBdr>
            <w:top w:val="none" w:sz="0" w:space="0" w:color="auto"/>
            <w:left w:val="none" w:sz="0" w:space="0" w:color="auto"/>
            <w:bottom w:val="none" w:sz="0" w:space="0" w:color="auto"/>
            <w:right w:val="none" w:sz="0" w:space="0" w:color="auto"/>
          </w:divBdr>
        </w:div>
        <w:div w:id="1380976483">
          <w:marLeft w:val="640"/>
          <w:marRight w:val="0"/>
          <w:marTop w:val="0"/>
          <w:marBottom w:val="0"/>
          <w:divBdr>
            <w:top w:val="none" w:sz="0" w:space="0" w:color="auto"/>
            <w:left w:val="none" w:sz="0" w:space="0" w:color="auto"/>
            <w:bottom w:val="none" w:sz="0" w:space="0" w:color="auto"/>
            <w:right w:val="none" w:sz="0" w:space="0" w:color="auto"/>
          </w:divBdr>
        </w:div>
        <w:div w:id="1614315060">
          <w:marLeft w:val="640"/>
          <w:marRight w:val="0"/>
          <w:marTop w:val="0"/>
          <w:marBottom w:val="0"/>
          <w:divBdr>
            <w:top w:val="none" w:sz="0" w:space="0" w:color="auto"/>
            <w:left w:val="none" w:sz="0" w:space="0" w:color="auto"/>
            <w:bottom w:val="none" w:sz="0" w:space="0" w:color="auto"/>
            <w:right w:val="none" w:sz="0" w:space="0" w:color="auto"/>
          </w:divBdr>
        </w:div>
        <w:div w:id="181093570">
          <w:marLeft w:val="640"/>
          <w:marRight w:val="0"/>
          <w:marTop w:val="0"/>
          <w:marBottom w:val="0"/>
          <w:divBdr>
            <w:top w:val="none" w:sz="0" w:space="0" w:color="auto"/>
            <w:left w:val="none" w:sz="0" w:space="0" w:color="auto"/>
            <w:bottom w:val="none" w:sz="0" w:space="0" w:color="auto"/>
            <w:right w:val="none" w:sz="0" w:space="0" w:color="auto"/>
          </w:divBdr>
        </w:div>
        <w:div w:id="1262908718">
          <w:marLeft w:val="640"/>
          <w:marRight w:val="0"/>
          <w:marTop w:val="0"/>
          <w:marBottom w:val="0"/>
          <w:divBdr>
            <w:top w:val="none" w:sz="0" w:space="0" w:color="auto"/>
            <w:left w:val="none" w:sz="0" w:space="0" w:color="auto"/>
            <w:bottom w:val="none" w:sz="0" w:space="0" w:color="auto"/>
            <w:right w:val="none" w:sz="0" w:space="0" w:color="auto"/>
          </w:divBdr>
        </w:div>
        <w:div w:id="1399284806">
          <w:marLeft w:val="640"/>
          <w:marRight w:val="0"/>
          <w:marTop w:val="0"/>
          <w:marBottom w:val="0"/>
          <w:divBdr>
            <w:top w:val="none" w:sz="0" w:space="0" w:color="auto"/>
            <w:left w:val="none" w:sz="0" w:space="0" w:color="auto"/>
            <w:bottom w:val="none" w:sz="0" w:space="0" w:color="auto"/>
            <w:right w:val="none" w:sz="0" w:space="0" w:color="auto"/>
          </w:divBdr>
        </w:div>
        <w:div w:id="503933200">
          <w:marLeft w:val="640"/>
          <w:marRight w:val="0"/>
          <w:marTop w:val="0"/>
          <w:marBottom w:val="0"/>
          <w:divBdr>
            <w:top w:val="none" w:sz="0" w:space="0" w:color="auto"/>
            <w:left w:val="none" w:sz="0" w:space="0" w:color="auto"/>
            <w:bottom w:val="none" w:sz="0" w:space="0" w:color="auto"/>
            <w:right w:val="none" w:sz="0" w:space="0" w:color="auto"/>
          </w:divBdr>
        </w:div>
        <w:div w:id="1474368591">
          <w:marLeft w:val="640"/>
          <w:marRight w:val="0"/>
          <w:marTop w:val="0"/>
          <w:marBottom w:val="0"/>
          <w:divBdr>
            <w:top w:val="none" w:sz="0" w:space="0" w:color="auto"/>
            <w:left w:val="none" w:sz="0" w:space="0" w:color="auto"/>
            <w:bottom w:val="none" w:sz="0" w:space="0" w:color="auto"/>
            <w:right w:val="none" w:sz="0" w:space="0" w:color="auto"/>
          </w:divBdr>
        </w:div>
        <w:div w:id="1525367697">
          <w:marLeft w:val="640"/>
          <w:marRight w:val="0"/>
          <w:marTop w:val="0"/>
          <w:marBottom w:val="0"/>
          <w:divBdr>
            <w:top w:val="none" w:sz="0" w:space="0" w:color="auto"/>
            <w:left w:val="none" w:sz="0" w:space="0" w:color="auto"/>
            <w:bottom w:val="none" w:sz="0" w:space="0" w:color="auto"/>
            <w:right w:val="none" w:sz="0" w:space="0" w:color="auto"/>
          </w:divBdr>
        </w:div>
        <w:div w:id="1841656406">
          <w:marLeft w:val="640"/>
          <w:marRight w:val="0"/>
          <w:marTop w:val="0"/>
          <w:marBottom w:val="0"/>
          <w:divBdr>
            <w:top w:val="none" w:sz="0" w:space="0" w:color="auto"/>
            <w:left w:val="none" w:sz="0" w:space="0" w:color="auto"/>
            <w:bottom w:val="none" w:sz="0" w:space="0" w:color="auto"/>
            <w:right w:val="none" w:sz="0" w:space="0" w:color="auto"/>
          </w:divBdr>
        </w:div>
        <w:div w:id="744492094">
          <w:marLeft w:val="640"/>
          <w:marRight w:val="0"/>
          <w:marTop w:val="0"/>
          <w:marBottom w:val="0"/>
          <w:divBdr>
            <w:top w:val="none" w:sz="0" w:space="0" w:color="auto"/>
            <w:left w:val="none" w:sz="0" w:space="0" w:color="auto"/>
            <w:bottom w:val="none" w:sz="0" w:space="0" w:color="auto"/>
            <w:right w:val="none" w:sz="0" w:space="0" w:color="auto"/>
          </w:divBdr>
        </w:div>
        <w:div w:id="954100265">
          <w:marLeft w:val="640"/>
          <w:marRight w:val="0"/>
          <w:marTop w:val="0"/>
          <w:marBottom w:val="0"/>
          <w:divBdr>
            <w:top w:val="none" w:sz="0" w:space="0" w:color="auto"/>
            <w:left w:val="none" w:sz="0" w:space="0" w:color="auto"/>
            <w:bottom w:val="none" w:sz="0" w:space="0" w:color="auto"/>
            <w:right w:val="none" w:sz="0" w:space="0" w:color="auto"/>
          </w:divBdr>
        </w:div>
        <w:div w:id="1994412558">
          <w:marLeft w:val="640"/>
          <w:marRight w:val="0"/>
          <w:marTop w:val="0"/>
          <w:marBottom w:val="0"/>
          <w:divBdr>
            <w:top w:val="none" w:sz="0" w:space="0" w:color="auto"/>
            <w:left w:val="none" w:sz="0" w:space="0" w:color="auto"/>
            <w:bottom w:val="none" w:sz="0" w:space="0" w:color="auto"/>
            <w:right w:val="none" w:sz="0" w:space="0" w:color="auto"/>
          </w:divBdr>
        </w:div>
        <w:div w:id="1912228240">
          <w:marLeft w:val="640"/>
          <w:marRight w:val="0"/>
          <w:marTop w:val="0"/>
          <w:marBottom w:val="0"/>
          <w:divBdr>
            <w:top w:val="none" w:sz="0" w:space="0" w:color="auto"/>
            <w:left w:val="none" w:sz="0" w:space="0" w:color="auto"/>
            <w:bottom w:val="none" w:sz="0" w:space="0" w:color="auto"/>
            <w:right w:val="none" w:sz="0" w:space="0" w:color="auto"/>
          </w:divBdr>
        </w:div>
        <w:div w:id="2068408025">
          <w:marLeft w:val="640"/>
          <w:marRight w:val="0"/>
          <w:marTop w:val="0"/>
          <w:marBottom w:val="0"/>
          <w:divBdr>
            <w:top w:val="none" w:sz="0" w:space="0" w:color="auto"/>
            <w:left w:val="none" w:sz="0" w:space="0" w:color="auto"/>
            <w:bottom w:val="none" w:sz="0" w:space="0" w:color="auto"/>
            <w:right w:val="none" w:sz="0" w:space="0" w:color="auto"/>
          </w:divBdr>
        </w:div>
        <w:div w:id="1829513587">
          <w:marLeft w:val="640"/>
          <w:marRight w:val="0"/>
          <w:marTop w:val="0"/>
          <w:marBottom w:val="0"/>
          <w:divBdr>
            <w:top w:val="none" w:sz="0" w:space="0" w:color="auto"/>
            <w:left w:val="none" w:sz="0" w:space="0" w:color="auto"/>
            <w:bottom w:val="none" w:sz="0" w:space="0" w:color="auto"/>
            <w:right w:val="none" w:sz="0" w:space="0" w:color="auto"/>
          </w:divBdr>
        </w:div>
        <w:div w:id="663360568">
          <w:marLeft w:val="640"/>
          <w:marRight w:val="0"/>
          <w:marTop w:val="0"/>
          <w:marBottom w:val="0"/>
          <w:divBdr>
            <w:top w:val="none" w:sz="0" w:space="0" w:color="auto"/>
            <w:left w:val="none" w:sz="0" w:space="0" w:color="auto"/>
            <w:bottom w:val="none" w:sz="0" w:space="0" w:color="auto"/>
            <w:right w:val="none" w:sz="0" w:space="0" w:color="auto"/>
          </w:divBdr>
        </w:div>
        <w:div w:id="1672023690">
          <w:marLeft w:val="640"/>
          <w:marRight w:val="0"/>
          <w:marTop w:val="0"/>
          <w:marBottom w:val="0"/>
          <w:divBdr>
            <w:top w:val="none" w:sz="0" w:space="0" w:color="auto"/>
            <w:left w:val="none" w:sz="0" w:space="0" w:color="auto"/>
            <w:bottom w:val="none" w:sz="0" w:space="0" w:color="auto"/>
            <w:right w:val="none" w:sz="0" w:space="0" w:color="auto"/>
          </w:divBdr>
        </w:div>
        <w:div w:id="495807827">
          <w:marLeft w:val="640"/>
          <w:marRight w:val="0"/>
          <w:marTop w:val="0"/>
          <w:marBottom w:val="0"/>
          <w:divBdr>
            <w:top w:val="none" w:sz="0" w:space="0" w:color="auto"/>
            <w:left w:val="none" w:sz="0" w:space="0" w:color="auto"/>
            <w:bottom w:val="none" w:sz="0" w:space="0" w:color="auto"/>
            <w:right w:val="none" w:sz="0" w:space="0" w:color="auto"/>
          </w:divBdr>
        </w:div>
        <w:div w:id="993677246">
          <w:marLeft w:val="640"/>
          <w:marRight w:val="0"/>
          <w:marTop w:val="0"/>
          <w:marBottom w:val="0"/>
          <w:divBdr>
            <w:top w:val="none" w:sz="0" w:space="0" w:color="auto"/>
            <w:left w:val="none" w:sz="0" w:space="0" w:color="auto"/>
            <w:bottom w:val="none" w:sz="0" w:space="0" w:color="auto"/>
            <w:right w:val="none" w:sz="0" w:space="0" w:color="auto"/>
          </w:divBdr>
        </w:div>
        <w:div w:id="689454176">
          <w:marLeft w:val="640"/>
          <w:marRight w:val="0"/>
          <w:marTop w:val="0"/>
          <w:marBottom w:val="0"/>
          <w:divBdr>
            <w:top w:val="none" w:sz="0" w:space="0" w:color="auto"/>
            <w:left w:val="none" w:sz="0" w:space="0" w:color="auto"/>
            <w:bottom w:val="none" w:sz="0" w:space="0" w:color="auto"/>
            <w:right w:val="none" w:sz="0" w:space="0" w:color="auto"/>
          </w:divBdr>
        </w:div>
        <w:div w:id="157616735">
          <w:marLeft w:val="640"/>
          <w:marRight w:val="0"/>
          <w:marTop w:val="0"/>
          <w:marBottom w:val="0"/>
          <w:divBdr>
            <w:top w:val="none" w:sz="0" w:space="0" w:color="auto"/>
            <w:left w:val="none" w:sz="0" w:space="0" w:color="auto"/>
            <w:bottom w:val="none" w:sz="0" w:space="0" w:color="auto"/>
            <w:right w:val="none" w:sz="0" w:space="0" w:color="auto"/>
          </w:divBdr>
        </w:div>
        <w:div w:id="1514034616">
          <w:marLeft w:val="640"/>
          <w:marRight w:val="0"/>
          <w:marTop w:val="0"/>
          <w:marBottom w:val="0"/>
          <w:divBdr>
            <w:top w:val="none" w:sz="0" w:space="0" w:color="auto"/>
            <w:left w:val="none" w:sz="0" w:space="0" w:color="auto"/>
            <w:bottom w:val="none" w:sz="0" w:space="0" w:color="auto"/>
            <w:right w:val="none" w:sz="0" w:space="0" w:color="auto"/>
          </w:divBdr>
        </w:div>
        <w:div w:id="413210128">
          <w:marLeft w:val="640"/>
          <w:marRight w:val="0"/>
          <w:marTop w:val="0"/>
          <w:marBottom w:val="0"/>
          <w:divBdr>
            <w:top w:val="none" w:sz="0" w:space="0" w:color="auto"/>
            <w:left w:val="none" w:sz="0" w:space="0" w:color="auto"/>
            <w:bottom w:val="none" w:sz="0" w:space="0" w:color="auto"/>
            <w:right w:val="none" w:sz="0" w:space="0" w:color="auto"/>
          </w:divBdr>
        </w:div>
        <w:div w:id="682631350">
          <w:marLeft w:val="640"/>
          <w:marRight w:val="0"/>
          <w:marTop w:val="0"/>
          <w:marBottom w:val="0"/>
          <w:divBdr>
            <w:top w:val="none" w:sz="0" w:space="0" w:color="auto"/>
            <w:left w:val="none" w:sz="0" w:space="0" w:color="auto"/>
            <w:bottom w:val="none" w:sz="0" w:space="0" w:color="auto"/>
            <w:right w:val="none" w:sz="0" w:space="0" w:color="auto"/>
          </w:divBdr>
        </w:div>
        <w:div w:id="703676673">
          <w:marLeft w:val="640"/>
          <w:marRight w:val="0"/>
          <w:marTop w:val="0"/>
          <w:marBottom w:val="0"/>
          <w:divBdr>
            <w:top w:val="none" w:sz="0" w:space="0" w:color="auto"/>
            <w:left w:val="none" w:sz="0" w:space="0" w:color="auto"/>
            <w:bottom w:val="none" w:sz="0" w:space="0" w:color="auto"/>
            <w:right w:val="none" w:sz="0" w:space="0" w:color="auto"/>
          </w:divBdr>
        </w:div>
        <w:div w:id="495658695">
          <w:marLeft w:val="640"/>
          <w:marRight w:val="0"/>
          <w:marTop w:val="0"/>
          <w:marBottom w:val="0"/>
          <w:divBdr>
            <w:top w:val="none" w:sz="0" w:space="0" w:color="auto"/>
            <w:left w:val="none" w:sz="0" w:space="0" w:color="auto"/>
            <w:bottom w:val="none" w:sz="0" w:space="0" w:color="auto"/>
            <w:right w:val="none" w:sz="0" w:space="0" w:color="auto"/>
          </w:divBdr>
        </w:div>
        <w:div w:id="909467421">
          <w:marLeft w:val="640"/>
          <w:marRight w:val="0"/>
          <w:marTop w:val="0"/>
          <w:marBottom w:val="0"/>
          <w:divBdr>
            <w:top w:val="none" w:sz="0" w:space="0" w:color="auto"/>
            <w:left w:val="none" w:sz="0" w:space="0" w:color="auto"/>
            <w:bottom w:val="none" w:sz="0" w:space="0" w:color="auto"/>
            <w:right w:val="none" w:sz="0" w:space="0" w:color="auto"/>
          </w:divBdr>
        </w:div>
        <w:div w:id="871769410">
          <w:marLeft w:val="640"/>
          <w:marRight w:val="0"/>
          <w:marTop w:val="0"/>
          <w:marBottom w:val="0"/>
          <w:divBdr>
            <w:top w:val="none" w:sz="0" w:space="0" w:color="auto"/>
            <w:left w:val="none" w:sz="0" w:space="0" w:color="auto"/>
            <w:bottom w:val="none" w:sz="0" w:space="0" w:color="auto"/>
            <w:right w:val="none" w:sz="0" w:space="0" w:color="auto"/>
          </w:divBdr>
        </w:div>
        <w:div w:id="205487199">
          <w:marLeft w:val="640"/>
          <w:marRight w:val="0"/>
          <w:marTop w:val="0"/>
          <w:marBottom w:val="0"/>
          <w:divBdr>
            <w:top w:val="none" w:sz="0" w:space="0" w:color="auto"/>
            <w:left w:val="none" w:sz="0" w:space="0" w:color="auto"/>
            <w:bottom w:val="none" w:sz="0" w:space="0" w:color="auto"/>
            <w:right w:val="none" w:sz="0" w:space="0" w:color="auto"/>
          </w:divBdr>
        </w:div>
        <w:div w:id="259804682">
          <w:marLeft w:val="640"/>
          <w:marRight w:val="0"/>
          <w:marTop w:val="0"/>
          <w:marBottom w:val="0"/>
          <w:divBdr>
            <w:top w:val="none" w:sz="0" w:space="0" w:color="auto"/>
            <w:left w:val="none" w:sz="0" w:space="0" w:color="auto"/>
            <w:bottom w:val="none" w:sz="0" w:space="0" w:color="auto"/>
            <w:right w:val="none" w:sz="0" w:space="0" w:color="auto"/>
          </w:divBdr>
        </w:div>
        <w:div w:id="384716477">
          <w:marLeft w:val="640"/>
          <w:marRight w:val="0"/>
          <w:marTop w:val="0"/>
          <w:marBottom w:val="0"/>
          <w:divBdr>
            <w:top w:val="none" w:sz="0" w:space="0" w:color="auto"/>
            <w:left w:val="none" w:sz="0" w:space="0" w:color="auto"/>
            <w:bottom w:val="none" w:sz="0" w:space="0" w:color="auto"/>
            <w:right w:val="none" w:sz="0" w:space="0" w:color="auto"/>
          </w:divBdr>
        </w:div>
        <w:div w:id="333538816">
          <w:marLeft w:val="640"/>
          <w:marRight w:val="0"/>
          <w:marTop w:val="0"/>
          <w:marBottom w:val="0"/>
          <w:divBdr>
            <w:top w:val="none" w:sz="0" w:space="0" w:color="auto"/>
            <w:left w:val="none" w:sz="0" w:space="0" w:color="auto"/>
            <w:bottom w:val="none" w:sz="0" w:space="0" w:color="auto"/>
            <w:right w:val="none" w:sz="0" w:space="0" w:color="auto"/>
          </w:divBdr>
        </w:div>
        <w:div w:id="409816645">
          <w:marLeft w:val="640"/>
          <w:marRight w:val="0"/>
          <w:marTop w:val="0"/>
          <w:marBottom w:val="0"/>
          <w:divBdr>
            <w:top w:val="none" w:sz="0" w:space="0" w:color="auto"/>
            <w:left w:val="none" w:sz="0" w:space="0" w:color="auto"/>
            <w:bottom w:val="none" w:sz="0" w:space="0" w:color="auto"/>
            <w:right w:val="none" w:sz="0" w:space="0" w:color="auto"/>
          </w:divBdr>
        </w:div>
        <w:div w:id="51971349">
          <w:marLeft w:val="640"/>
          <w:marRight w:val="0"/>
          <w:marTop w:val="0"/>
          <w:marBottom w:val="0"/>
          <w:divBdr>
            <w:top w:val="none" w:sz="0" w:space="0" w:color="auto"/>
            <w:left w:val="none" w:sz="0" w:space="0" w:color="auto"/>
            <w:bottom w:val="none" w:sz="0" w:space="0" w:color="auto"/>
            <w:right w:val="none" w:sz="0" w:space="0" w:color="auto"/>
          </w:divBdr>
        </w:div>
        <w:div w:id="1331829543">
          <w:marLeft w:val="640"/>
          <w:marRight w:val="0"/>
          <w:marTop w:val="0"/>
          <w:marBottom w:val="0"/>
          <w:divBdr>
            <w:top w:val="none" w:sz="0" w:space="0" w:color="auto"/>
            <w:left w:val="none" w:sz="0" w:space="0" w:color="auto"/>
            <w:bottom w:val="none" w:sz="0" w:space="0" w:color="auto"/>
            <w:right w:val="none" w:sz="0" w:space="0" w:color="auto"/>
          </w:divBdr>
        </w:div>
        <w:div w:id="1918204104">
          <w:marLeft w:val="640"/>
          <w:marRight w:val="0"/>
          <w:marTop w:val="0"/>
          <w:marBottom w:val="0"/>
          <w:divBdr>
            <w:top w:val="none" w:sz="0" w:space="0" w:color="auto"/>
            <w:left w:val="none" w:sz="0" w:space="0" w:color="auto"/>
            <w:bottom w:val="none" w:sz="0" w:space="0" w:color="auto"/>
            <w:right w:val="none" w:sz="0" w:space="0" w:color="auto"/>
          </w:divBdr>
        </w:div>
        <w:div w:id="1950625178">
          <w:marLeft w:val="640"/>
          <w:marRight w:val="0"/>
          <w:marTop w:val="0"/>
          <w:marBottom w:val="0"/>
          <w:divBdr>
            <w:top w:val="none" w:sz="0" w:space="0" w:color="auto"/>
            <w:left w:val="none" w:sz="0" w:space="0" w:color="auto"/>
            <w:bottom w:val="none" w:sz="0" w:space="0" w:color="auto"/>
            <w:right w:val="none" w:sz="0" w:space="0" w:color="auto"/>
          </w:divBdr>
        </w:div>
        <w:div w:id="1151601034">
          <w:marLeft w:val="640"/>
          <w:marRight w:val="0"/>
          <w:marTop w:val="0"/>
          <w:marBottom w:val="0"/>
          <w:divBdr>
            <w:top w:val="none" w:sz="0" w:space="0" w:color="auto"/>
            <w:left w:val="none" w:sz="0" w:space="0" w:color="auto"/>
            <w:bottom w:val="none" w:sz="0" w:space="0" w:color="auto"/>
            <w:right w:val="none" w:sz="0" w:space="0" w:color="auto"/>
          </w:divBdr>
        </w:div>
        <w:div w:id="1946769715">
          <w:marLeft w:val="640"/>
          <w:marRight w:val="0"/>
          <w:marTop w:val="0"/>
          <w:marBottom w:val="0"/>
          <w:divBdr>
            <w:top w:val="none" w:sz="0" w:space="0" w:color="auto"/>
            <w:left w:val="none" w:sz="0" w:space="0" w:color="auto"/>
            <w:bottom w:val="none" w:sz="0" w:space="0" w:color="auto"/>
            <w:right w:val="none" w:sz="0" w:space="0" w:color="auto"/>
          </w:divBdr>
        </w:div>
        <w:div w:id="1334913349">
          <w:marLeft w:val="640"/>
          <w:marRight w:val="0"/>
          <w:marTop w:val="0"/>
          <w:marBottom w:val="0"/>
          <w:divBdr>
            <w:top w:val="none" w:sz="0" w:space="0" w:color="auto"/>
            <w:left w:val="none" w:sz="0" w:space="0" w:color="auto"/>
            <w:bottom w:val="none" w:sz="0" w:space="0" w:color="auto"/>
            <w:right w:val="none" w:sz="0" w:space="0" w:color="auto"/>
          </w:divBdr>
        </w:div>
        <w:div w:id="1137332374">
          <w:marLeft w:val="640"/>
          <w:marRight w:val="0"/>
          <w:marTop w:val="0"/>
          <w:marBottom w:val="0"/>
          <w:divBdr>
            <w:top w:val="none" w:sz="0" w:space="0" w:color="auto"/>
            <w:left w:val="none" w:sz="0" w:space="0" w:color="auto"/>
            <w:bottom w:val="none" w:sz="0" w:space="0" w:color="auto"/>
            <w:right w:val="none" w:sz="0" w:space="0" w:color="auto"/>
          </w:divBdr>
        </w:div>
        <w:div w:id="566036696">
          <w:marLeft w:val="640"/>
          <w:marRight w:val="0"/>
          <w:marTop w:val="0"/>
          <w:marBottom w:val="0"/>
          <w:divBdr>
            <w:top w:val="none" w:sz="0" w:space="0" w:color="auto"/>
            <w:left w:val="none" w:sz="0" w:space="0" w:color="auto"/>
            <w:bottom w:val="none" w:sz="0" w:space="0" w:color="auto"/>
            <w:right w:val="none" w:sz="0" w:space="0" w:color="auto"/>
          </w:divBdr>
        </w:div>
        <w:div w:id="2131168621">
          <w:marLeft w:val="640"/>
          <w:marRight w:val="0"/>
          <w:marTop w:val="0"/>
          <w:marBottom w:val="0"/>
          <w:divBdr>
            <w:top w:val="none" w:sz="0" w:space="0" w:color="auto"/>
            <w:left w:val="none" w:sz="0" w:space="0" w:color="auto"/>
            <w:bottom w:val="none" w:sz="0" w:space="0" w:color="auto"/>
            <w:right w:val="none" w:sz="0" w:space="0" w:color="auto"/>
          </w:divBdr>
        </w:div>
        <w:div w:id="816528733">
          <w:marLeft w:val="640"/>
          <w:marRight w:val="0"/>
          <w:marTop w:val="0"/>
          <w:marBottom w:val="0"/>
          <w:divBdr>
            <w:top w:val="none" w:sz="0" w:space="0" w:color="auto"/>
            <w:left w:val="none" w:sz="0" w:space="0" w:color="auto"/>
            <w:bottom w:val="none" w:sz="0" w:space="0" w:color="auto"/>
            <w:right w:val="none" w:sz="0" w:space="0" w:color="auto"/>
          </w:divBdr>
        </w:div>
        <w:div w:id="163018189">
          <w:marLeft w:val="640"/>
          <w:marRight w:val="0"/>
          <w:marTop w:val="0"/>
          <w:marBottom w:val="0"/>
          <w:divBdr>
            <w:top w:val="none" w:sz="0" w:space="0" w:color="auto"/>
            <w:left w:val="none" w:sz="0" w:space="0" w:color="auto"/>
            <w:bottom w:val="none" w:sz="0" w:space="0" w:color="auto"/>
            <w:right w:val="none" w:sz="0" w:space="0" w:color="auto"/>
          </w:divBdr>
        </w:div>
        <w:div w:id="1892843265">
          <w:marLeft w:val="640"/>
          <w:marRight w:val="0"/>
          <w:marTop w:val="0"/>
          <w:marBottom w:val="0"/>
          <w:divBdr>
            <w:top w:val="none" w:sz="0" w:space="0" w:color="auto"/>
            <w:left w:val="none" w:sz="0" w:space="0" w:color="auto"/>
            <w:bottom w:val="none" w:sz="0" w:space="0" w:color="auto"/>
            <w:right w:val="none" w:sz="0" w:space="0" w:color="auto"/>
          </w:divBdr>
        </w:div>
        <w:div w:id="1084450601">
          <w:marLeft w:val="640"/>
          <w:marRight w:val="0"/>
          <w:marTop w:val="0"/>
          <w:marBottom w:val="0"/>
          <w:divBdr>
            <w:top w:val="none" w:sz="0" w:space="0" w:color="auto"/>
            <w:left w:val="none" w:sz="0" w:space="0" w:color="auto"/>
            <w:bottom w:val="none" w:sz="0" w:space="0" w:color="auto"/>
            <w:right w:val="none" w:sz="0" w:space="0" w:color="auto"/>
          </w:divBdr>
        </w:div>
        <w:div w:id="964657073">
          <w:marLeft w:val="640"/>
          <w:marRight w:val="0"/>
          <w:marTop w:val="0"/>
          <w:marBottom w:val="0"/>
          <w:divBdr>
            <w:top w:val="none" w:sz="0" w:space="0" w:color="auto"/>
            <w:left w:val="none" w:sz="0" w:space="0" w:color="auto"/>
            <w:bottom w:val="none" w:sz="0" w:space="0" w:color="auto"/>
            <w:right w:val="none" w:sz="0" w:space="0" w:color="auto"/>
          </w:divBdr>
        </w:div>
        <w:div w:id="1082608646">
          <w:marLeft w:val="640"/>
          <w:marRight w:val="0"/>
          <w:marTop w:val="0"/>
          <w:marBottom w:val="0"/>
          <w:divBdr>
            <w:top w:val="none" w:sz="0" w:space="0" w:color="auto"/>
            <w:left w:val="none" w:sz="0" w:space="0" w:color="auto"/>
            <w:bottom w:val="none" w:sz="0" w:space="0" w:color="auto"/>
            <w:right w:val="none" w:sz="0" w:space="0" w:color="auto"/>
          </w:divBdr>
        </w:div>
        <w:div w:id="1452823277">
          <w:marLeft w:val="640"/>
          <w:marRight w:val="0"/>
          <w:marTop w:val="0"/>
          <w:marBottom w:val="0"/>
          <w:divBdr>
            <w:top w:val="none" w:sz="0" w:space="0" w:color="auto"/>
            <w:left w:val="none" w:sz="0" w:space="0" w:color="auto"/>
            <w:bottom w:val="none" w:sz="0" w:space="0" w:color="auto"/>
            <w:right w:val="none" w:sz="0" w:space="0" w:color="auto"/>
          </w:divBdr>
        </w:div>
        <w:div w:id="471096804">
          <w:marLeft w:val="640"/>
          <w:marRight w:val="0"/>
          <w:marTop w:val="0"/>
          <w:marBottom w:val="0"/>
          <w:divBdr>
            <w:top w:val="none" w:sz="0" w:space="0" w:color="auto"/>
            <w:left w:val="none" w:sz="0" w:space="0" w:color="auto"/>
            <w:bottom w:val="none" w:sz="0" w:space="0" w:color="auto"/>
            <w:right w:val="none" w:sz="0" w:space="0" w:color="auto"/>
          </w:divBdr>
        </w:div>
        <w:div w:id="907619603">
          <w:marLeft w:val="640"/>
          <w:marRight w:val="0"/>
          <w:marTop w:val="0"/>
          <w:marBottom w:val="0"/>
          <w:divBdr>
            <w:top w:val="none" w:sz="0" w:space="0" w:color="auto"/>
            <w:left w:val="none" w:sz="0" w:space="0" w:color="auto"/>
            <w:bottom w:val="none" w:sz="0" w:space="0" w:color="auto"/>
            <w:right w:val="none" w:sz="0" w:space="0" w:color="auto"/>
          </w:divBdr>
        </w:div>
        <w:div w:id="1678924497">
          <w:marLeft w:val="640"/>
          <w:marRight w:val="0"/>
          <w:marTop w:val="0"/>
          <w:marBottom w:val="0"/>
          <w:divBdr>
            <w:top w:val="none" w:sz="0" w:space="0" w:color="auto"/>
            <w:left w:val="none" w:sz="0" w:space="0" w:color="auto"/>
            <w:bottom w:val="none" w:sz="0" w:space="0" w:color="auto"/>
            <w:right w:val="none" w:sz="0" w:space="0" w:color="auto"/>
          </w:divBdr>
        </w:div>
        <w:div w:id="411393377">
          <w:marLeft w:val="640"/>
          <w:marRight w:val="0"/>
          <w:marTop w:val="0"/>
          <w:marBottom w:val="0"/>
          <w:divBdr>
            <w:top w:val="none" w:sz="0" w:space="0" w:color="auto"/>
            <w:left w:val="none" w:sz="0" w:space="0" w:color="auto"/>
            <w:bottom w:val="none" w:sz="0" w:space="0" w:color="auto"/>
            <w:right w:val="none" w:sz="0" w:space="0" w:color="auto"/>
          </w:divBdr>
        </w:div>
        <w:div w:id="48723014">
          <w:marLeft w:val="640"/>
          <w:marRight w:val="0"/>
          <w:marTop w:val="0"/>
          <w:marBottom w:val="0"/>
          <w:divBdr>
            <w:top w:val="none" w:sz="0" w:space="0" w:color="auto"/>
            <w:left w:val="none" w:sz="0" w:space="0" w:color="auto"/>
            <w:bottom w:val="none" w:sz="0" w:space="0" w:color="auto"/>
            <w:right w:val="none" w:sz="0" w:space="0" w:color="auto"/>
          </w:divBdr>
        </w:div>
        <w:div w:id="1107040729">
          <w:marLeft w:val="640"/>
          <w:marRight w:val="0"/>
          <w:marTop w:val="0"/>
          <w:marBottom w:val="0"/>
          <w:divBdr>
            <w:top w:val="none" w:sz="0" w:space="0" w:color="auto"/>
            <w:left w:val="none" w:sz="0" w:space="0" w:color="auto"/>
            <w:bottom w:val="none" w:sz="0" w:space="0" w:color="auto"/>
            <w:right w:val="none" w:sz="0" w:space="0" w:color="auto"/>
          </w:divBdr>
        </w:div>
        <w:div w:id="1533685585">
          <w:marLeft w:val="640"/>
          <w:marRight w:val="0"/>
          <w:marTop w:val="0"/>
          <w:marBottom w:val="0"/>
          <w:divBdr>
            <w:top w:val="none" w:sz="0" w:space="0" w:color="auto"/>
            <w:left w:val="none" w:sz="0" w:space="0" w:color="auto"/>
            <w:bottom w:val="none" w:sz="0" w:space="0" w:color="auto"/>
            <w:right w:val="none" w:sz="0" w:space="0" w:color="auto"/>
          </w:divBdr>
        </w:div>
        <w:div w:id="413667264">
          <w:marLeft w:val="640"/>
          <w:marRight w:val="0"/>
          <w:marTop w:val="0"/>
          <w:marBottom w:val="0"/>
          <w:divBdr>
            <w:top w:val="none" w:sz="0" w:space="0" w:color="auto"/>
            <w:left w:val="none" w:sz="0" w:space="0" w:color="auto"/>
            <w:bottom w:val="none" w:sz="0" w:space="0" w:color="auto"/>
            <w:right w:val="none" w:sz="0" w:space="0" w:color="auto"/>
          </w:divBdr>
        </w:div>
        <w:div w:id="1059130535">
          <w:marLeft w:val="640"/>
          <w:marRight w:val="0"/>
          <w:marTop w:val="0"/>
          <w:marBottom w:val="0"/>
          <w:divBdr>
            <w:top w:val="none" w:sz="0" w:space="0" w:color="auto"/>
            <w:left w:val="none" w:sz="0" w:space="0" w:color="auto"/>
            <w:bottom w:val="none" w:sz="0" w:space="0" w:color="auto"/>
            <w:right w:val="none" w:sz="0" w:space="0" w:color="auto"/>
          </w:divBdr>
        </w:div>
        <w:div w:id="1233614274">
          <w:marLeft w:val="640"/>
          <w:marRight w:val="0"/>
          <w:marTop w:val="0"/>
          <w:marBottom w:val="0"/>
          <w:divBdr>
            <w:top w:val="none" w:sz="0" w:space="0" w:color="auto"/>
            <w:left w:val="none" w:sz="0" w:space="0" w:color="auto"/>
            <w:bottom w:val="none" w:sz="0" w:space="0" w:color="auto"/>
            <w:right w:val="none" w:sz="0" w:space="0" w:color="auto"/>
          </w:divBdr>
        </w:div>
        <w:div w:id="720592781">
          <w:marLeft w:val="640"/>
          <w:marRight w:val="0"/>
          <w:marTop w:val="0"/>
          <w:marBottom w:val="0"/>
          <w:divBdr>
            <w:top w:val="none" w:sz="0" w:space="0" w:color="auto"/>
            <w:left w:val="none" w:sz="0" w:space="0" w:color="auto"/>
            <w:bottom w:val="none" w:sz="0" w:space="0" w:color="auto"/>
            <w:right w:val="none" w:sz="0" w:space="0" w:color="auto"/>
          </w:divBdr>
        </w:div>
        <w:div w:id="638345846">
          <w:marLeft w:val="640"/>
          <w:marRight w:val="0"/>
          <w:marTop w:val="0"/>
          <w:marBottom w:val="0"/>
          <w:divBdr>
            <w:top w:val="none" w:sz="0" w:space="0" w:color="auto"/>
            <w:left w:val="none" w:sz="0" w:space="0" w:color="auto"/>
            <w:bottom w:val="none" w:sz="0" w:space="0" w:color="auto"/>
            <w:right w:val="none" w:sz="0" w:space="0" w:color="auto"/>
          </w:divBdr>
        </w:div>
        <w:div w:id="1480417296">
          <w:marLeft w:val="640"/>
          <w:marRight w:val="0"/>
          <w:marTop w:val="0"/>
          <w:marBottom w:val="0"/>
          <w:divBdr>
            <w:top w:val="none" w:sz="0" w:space="0" w:color="auto"/>
            <w:left w:val="none" w:sz="0" w:space="0" w:color="auto"/>
            <w:bottom w:val="none" w:sz="0" w:space="0" w:color="auto"/>
            <w:right w:val="none" w:sz="0" w:space="0" w:color="auto"/>
          </w:divBdr>
        </w:div>
        <w:div w:id="86973672">
          <w:marLeft w:val="640"/>
          <w:marRight w:val="0"/>
          <w:marTop w:val="0"/>
          <w:marBottom w:val="0"/>
          <w:divBdr>
            <w:top w:val="none" w:sz="0" w:space="0" w:color="auto"/>
            <w:left w:val="none" w:sz="0" w:space="0" w:color="auto"/>
            <w:bottom w:val="none" w:sz="0" w:space="0" w:color="auto"/>
            <w:right w:val="none" w:sz="0" w:space="0" w:color="auto"/>
          </w:divBdr>
        </w:div>
        <w:div w:id="1313556278">
          <w:marLeft w:val="640"/>
          <w:marRight w:val="0"/>
          <w:marTop w:val="0"/>
          <w:marBottom w:val="0"/>
          <w:divBdr>
            <w:top w:val="none" w:sz="0" w:space="0" w:color="auto"/>
            <w:left w:val="none" w:sz="0" w:space="0" w:color="auto"/>
            <w:bottom w:val="none" w:sz="0" w:space="0" w:color="auto"/>
            <w:right w:val="none" w:sz="0" w:space="0" w:color="auto"/>
          </w:divBdr>
        </w:div>
        <w:div w:id="1485076383">
          <w:marLeft w:val="640"/>
          <w:marRight w:val="0"/>
          <w:marTop w:val="0"/>
          <w:marBottom w:val="0"/>
          <w:divBdr>
            <w:top w:val="none" w:sz="0" w:space="0" w:color="auto"/>
            <w:left w:val="none" w:sz="0" w:space="0" w:color="auto"/>
            <w:bottom w:val="none" w:sz="0" w:space="0" w:color="auto"/>
            <w:right w:val="none" w:sz="0" w:space="0" w:color="auto"/>
          </w:divBdr>
        </w:div>
        <w:div w:id="131752256">
          <w:marLeft w:val="640"/>
          <w:marRight w:val="0"/>
          <w:marTop w:val="0"/>
          <w:marBottom w:val="0"/>
          <w:divBdr>
            <w:top w:val="none" w:sz="0" w:space="0" w:color="auto"/>
            <w:left w:val="none" w:sz="0" w:space="0" w:color="auto"/>
            <w:bottom w:val="none" w:sz="0" w:space="0" w:color="auto"/>
            <w:right w:val="none" w:sz="0" w:space="0" w:color="auto"/>
          </w:divBdr>
        </w:div>
        <w:div w:id="1469514024">
          <w:marLeft w:val="640"/>
          <w:marRight w:val="0"/>
          <w:marTop w:val="0"/>
          <w:marBottom w:val="0"/>
          <w:divBdr>
            <w:top w:val="none" w:sz="0" w:space="0" w:color="auto"/>
            <w:left w:val="none" w:sz="0" w:space="0" w:color="auto"/>
            <w:bottom w:val="none" w:sz="0" w:space="0" w:color="auto"/>
            <w:right w:val="none" w:sz="0" w:space="0" w:color="auto"/>
          </w:divBdr>
        </w:div>
        <w:div w:id="599332834">
          <w:marLeft w:val="640"/>
          <w:marRight w:val="0"/>
          <w:marTop w:val="0"/>
          <w:marBottom w:val="0"/>
          <w:divBdr>
            <w:top w:val="none" w:sz="0" w:space="0" w:color="auto"/>
            <w:left w:val="none" w:sz="0" w:space="0" w:color="auto"/>
            <w:bottom w:val="none" w:sz="0" w:space="0" w:color="auto"/>
            <w:right w:val="none" w:sz="0" w:space="0" w:color="auto"/>
          </w:divBdr>
        </w:div>
        <w:div w:id="805975464">
          <w:marLeft w:val="640"/>
          <w:marRight w:val="0"/>
          <w:marTop w:val="0"/>
          <w:marBottom w:val="0"/>
          <w:divBdr>
            <w:top w:val="none" w:sz="0" w:space="0" w:color="auto"/>
            <w:left w:val="none" w:sz="0" w:space="0" w:color="auto"/>
            <w:bottom w:val="none" w:sz="0" w:space="0" w:color="auto"/>
            <w:right w:val="none" w:sz="0" w:space="0" w:color="auto"/>
          </w:divBdr>
        </w:div>
        <w:div w:id="1030689787">
          <w:marLeft w:val="640"/>
          <w:marRight w:val="0"/>
          <w:marTop w:val="0"/>
          <w:marBottom w:val="0"/>
          <w:divBdr>
            <w:top w:val="none" w:sz="0" w:space="0" w:color="auto"/>
            <w:left w:val="none" w:sz="0" w:space="0" w:color="auto"/>
            <w:bottom w:val="none" w:sz="0" w:space="0" w:color="auto"/>
            <w:right w:val="none" w:sz="0" w:space="0" w:color="auto"/>
          </w:divBdr>
        </w:div>
        <w:div w:id="1734695607">
          <w:marLeft w:val="640"/>
          <w:marRight w:val="0"/>
          <w:marTop w:val="0"/>
          <w:marBottom w:val="0"/>
          <w:divBdr>
            <w:top w:val="none" w:sz="0" w:space="0" w:color="auto"/>
            <w:left w:val="none" w:sz="0" w:space="0" w:color="auto"/>
            <w:bottom w:val="none" w:sz="0" w:space="0" w:color="auto"/>
            <w:right w:val="none" w:sz="0" w:space="0" w:color="auto"/>
          </w:divBdr>
        </w:div>
        <w:div w:id="1561286279">
          <w:marLeft w:val="640"/>
          <w:marRight w:val="0"/>
          <w:marTop w:val="0"/>
          <w:marBottom w:val="0"/>
          <w:divBdr>
            <w:top w:val="none" w:sz="0" w:space="0" w:color="auto"/>
            <w:left w:val="none" w:sz="0" w:space="0" w:color="auto"/>
            <w:bottom w:val="none" w:sz="0" w:space="0" w:color="auto"/>
            <w:right w:val="none" w:sz="0" w:space="0" w:color="auto"/>
          </w:divBdr>
        </w:div>
        <w:div w:id="1283465295">
          <w:marLeft w:val="640"/>
          <w:marRight w:val="0"/>
          <w:marTop w:val="0"/>
          <w:marBottom w:val="0"/>
          <w:divBdr>
            <w:top w:val="none" w:sz="0" w:space="0" w:color="auto"/>
            <w:left w:val="none" w:sz="0" w:space="0" w:color="auto"/>
            <w:bottom w:val="none" w:sz="0" w:space="0" w:color="auto"/>
            <w:right w:val="none" w:sz="0" w:space="0" w:color="auto"/>
          </w:divBdr>
        </w:div>
        <w:div w:id="1715349297">
          <w:marLeft w:val="640"/>
          <w:marRight w:val="0"/>
          <w:marTop w:val="0"/>
          <w:marBottom w:val="0"/>
          <w:divBdr>
            <w:top w:val="none" w:sz="0" w:space="0" w:color="auto"/>
            <w:left w:val="none" w:sz="0" w:space="0" w:color="auto"/>
            <w:bottom w:val="none" w:sz="0" w:space="0" w:color="auto"/>
            <w:right w:val="none" w:sz="0" w:space="0" w:color="auto"/>
          </w:divBdr>
        </w:div>
        <w:div w:id="1926305827">
          <w:marLeft w:val="640"/>
          <w:marRight w:val="0"/>
          <w:marTop w:val="0"/>
          <w:marBottom w:val="0"/>
          <w:divBdr>
            <w:top w:val="none" w:sz="0" w:space="0" w:color="auto"/>
            <w:left w:val="none" w:sz="0" w:space="0" w:color="auto"/>
            <w:bottom w:val="none" w:sz="0" w:space="0" w:color="auto"/>
            <w:right w:val="none" w:sz="0" w:space="0" w:color="auto"/>
          </w:divBdr>
        </w:div>
        <w:div w:id="569075385">
          <w:marLeft w:val="640"/>
          <w:marRight w:val="0"/>
          <w:marTop w:val="0"/>
          <w:marBottom w:val="0"/>
          <w:divBdr>
            <w:top w:val="none" w:sz="0" w:space="0" w:color="auto"/>
            <w:left w:val="none" w:sz="0" w:space="0" w:color="auto"/>
            <w:bottom w:val="none" w:sz="0" w:space="0" w:color="auto"/>
            <w:right w:val="none" w:sz="0" w:space="0" w:color="auto"/>
          </w:divBdr>
        </w:div>
        <w:div w:id="892274046">
          <w:marLeft w:val="640"/>
          <w:marRight w:val="0"/>
          <w:marTop w:val="0"/>
          <w:marBottom w:val="0"/>
          <w:divBdr>
            <w:top w:val="none" w:sz="0" w:space="0" w:color="auto"/>
            <w:left w:val="none" w:sz="0" w:space="0" w:color="auto"/>
            <w:bottom w:val="none" w:sz="0" w:space="0" w:color="auto"/>
            <w:right w:val="none" w:sz="0" w:space="0" w:color="auto"/>
          </w:divBdr>
        </w:div>
        <w:div w:id="1101413109">
          <w:marLeft w:val="640"/>
          <w:marRight w:val="0"/>
          <w:marTop w:val="0"/>
          <w:marBottom w:val="0"/>
          <w:divBdr>
            <w:top w:val="none" w:sz="0" w:space="0" w:color="auto"/>
            <w:left w:val="none" w:sz="0" w:space="0" w:color="auto"/>
            <w:bottom w:val="none" w:sz="0" w:space="0" w:color="auto"/>
            <w:right w:val="none" w:sz="0" w:space="0" w:color="auto"/>
          </w:divBdr>
        </w:div>
        <w:div w:id="2134863319">
          <w:marLeft w:val="640"/>
          <w:marRight w:val="0"/>
          <w:marTop w:val="0"/>
          <w:marBottom w:val="0"/>
          <w:divBdr>
            <w:top w:val="none" w:sz="0" w:space="0" w:color="auto"/>
            <w:left w:val="none" w:sz="0" w:space="0" w:color="auto"/>
            <w:bottom w:val="none" w:sz="0" w:space="0" w:color="auto"/>
            <w:right w:val="none" w:sz="0" w:space="0" w:color="auto"/>
          </w:divBdr>
        </w:div>
        <w:div w:id="817385010">
          <w:marLeft w:val="640"/>
          <w:marRight w:val="0"/>
          <w:marTop w:val="0"/>
          <w:marBottom w:val="0"/>
          <w:divBdr>
            <w:top w:val="none" w:sz="0" w:space="0" w:color="auto"/>
            <w:left w:val="none" w:sz="0" w:space="0" w:color="auto"/>
            <w:bottom w:val="none" w:sz="0" w:space="0" w:color="auto"/>
            <w:right w:val="none" w:sz="0" w:space="0" w:color="auto"/>
          </w:divBdr>
        </w:div>
        <w:div w:id="1274942604">
          <w:marLeft w:val="640"/>
          <w:marRight w:val="0"/>
          <w:marTop w:val="0"/>
          <w:marBottom w:val="0"/>
          <w:divBdr>
            <w:top w:val="none" w:sz="0" w:space="0" w:color="auto"/>
            <w:left w:val="none" w:sz="0" w:space="0" w:color="auto"/>
            <w:bottom w:val="none" w:sz="0" w:space="0" w:color="auto"/>
            <w:right w:val="none" w:sz="0" w:space="0" w:color="auto"/>
          </w:divBdr>
        </w:div>
        <w:div w:id="1571424094">
          <w:marLeft w:val="640"/>
          <w:marRight w:val="0"/>
          <w:marTop w:val="0"/>
          <w:marBottom w:val="0"/>
          <w:divBdr>
            <w:top w:val="none" w:sz="0" w:space="0" w:color="auto"/>
            <w:left w:val="none" w:sz="0" w:space="0" w:color="auto"/>
            <w:bottom w:val="none" w:sz="0" w:space="0" w:color="auto"/>
            <w:right w:val="none" w:sz="0" w:space="0" w:color="auto"/>
          </w:divBdr>
        </w:div>
        <w:div w:id="1982269539">
          <w:marLeft w:val="640"/>
          <w:marRight w:val="0"/>
          <w:marTop w:val="0"/>
          <w:marBottom w:val="0"/>
          <w:divBdr>
            <w:top w:val="none" w:sz="0" w:space="0" w:color="auto"/>
            <w:left w:val="none" w:sz="0" w:space="0" w:color="auto"/>
            <w:bottom w:val="none" w:sz="0" w:space="0" w:color="auto"/>
            <w:right w:val="none" w:sz="0" w:space="0" w:color="auto"/>
          </w:divBdr>
        </w:div>
        <w:div w:id="1938247444">
          <w:marLeft w:val="640"/>
          <w:marRight w:val="0"/>
          <w:marTop w:val="0"/>
          <w:marBottom w:val="0"/>
          <w:divBdr>
            <w:top w:val="none" w:sz="0" w:space="0" w:color="auto"/>
            <w:left w:val="none" w:sz="0" w:space="0" w:color="auto"/>
            <w:bottom w:val="none" w:sz="0" w:space="0" w:color="auto"/>
            <w:right w:val="none" w:sz="0" w:space="0" w:color="auto"/>
          </w:divBdr>
        </w:div>
        <w:div w:id="324474191">
          <w:marLeft w:val="640"/>
          <w:marRight w:val="0"/>
          <w:marTop w:val="0"/>
          <w:marBottom w:val="0"/>
          <w:divBdr>
            <w:top w:val="none" w:sz="0" w:space="0" w:color="auto"/>
            <w:left w:val="none" w:sz="0" w:space="0" w:color="auto"/>
            <w:bottom w:val="none" w:sz="0" w:space="0" w:color="auto"/>
            <w:right w:val="none" w:sz="0" w:space="0" w:color="auto"/>
          </w:divBdr>
        </w:div>
        <w:div w:id="1909799764">
          <w:marLeft w:val="640"/>
          <w:marRight w:val="0"/>
          <w:marTop w:val="0"/>
          <w:marBottom w:val="0"/>
          <w:divBdr>
            <w:top w:val="none" w:sz="0" w:space="0" w:color="auto"/>
            <w:left w:val="none" w:sz="0" w:space="0" w:color="auto"/>
            <w:bottom w:val="none" w:sz="0" w:space="0" w:color="auto"/>
            <w:right w:val="none" w:sz="0" w:space="0" w:color="auto"/>
          </w:divBdr>
        </w:div>
        <w:div w:id="93403609">
          <w:marLeft w:val="640"/>
          <w:marRight w:val="0"/>
          <w:marTop w:val="0"/>
          <w:marBottom w:val="0"/>
          <w:divBdr>
            <w:top w:val="none" w:sz="0" w:space="0" w:color="auto"/>
            <w:left w:val="none" w:sz="0" w:space="0" w:color="auto"/>
            <w:bottom w:val="none" w:sz="0" w:space="0" w:color="auto"/>
            <w:right w:val="none" w:sz="0" w:space="0" w:color="auto"/>
          </w:divBdr>
        </w:div>
        <w:div w:id="1295600883">
          <w:marLeft w:val="640"/>
          <w:marRight w:val="0"/>
          <w:marTop w:val="0"/>
          <w:marBottom w:val="0"/>
          <w:divBdr>
            <w:top w:val="none" w:sz="0" w:space="0" w:color="auto"/>
            <w:left w:val="none" w:sz="0" w:space="0" w:color="auto"/>
            <w:bottom w:val="none" w:sz="0" w:space="0" w:color="auto"/>
            <w:right w:val="none" w:sz="0" w:space="0" w:color="auto"/>
          </w:divBdr>
        </w:div>
        <w:div w:id="461390182">
          <w:marLeft w:val="640"/>
          <w:marRight w:val="0"/>
          <w:marTop w:val="0"/>
          <w:marBottom w:val="0"/>
          <w:divBdr>
            <w:top w:val="none" w:sz="0" w:space="0" w:color="auto"/>
            <w:left w:val="none" w:sz="0" w:space="0" w:color="auto"/>
            <w:bottom w:val="none" w:sz="0" w:space="0" w:color="auto"/>
            <w:right w:val="none" w:sz="0" w:space="0" w:color="auto"/>
          </w:divBdr>
        </w:div>
        <w:div w:id="89591523">
          <w:marLeft w:val="640"/>
          <w:marRight w:val="0"/>
          <w:marTop w:val="0"/>
          <w:marBottom w:val="0"/>
          <w:divBdr>
            <w:top w:val="none" w:sz="0" w:space="0" w:color="auto"/>
            <w:left w:val="none" w:sz="0" w:space="0" w:color="auto"/>
            <w:bottom w:val="none" w:sz="0" w:space="0" w:color="auto"/>
            <w:right w:val="none" w:sz="0" w:space="0" w:color="auto"/>
          </w:divBdr>
        </w:div>
        <w:div w:id="173303892">
          <w:marLeft w:val="640"/>
          <w:marRight w:val="0"/>
          <w:marTop w:val="0"/>
          <w:marBottom w:val="0"/>
          <w:divBdr>
            <w:top w:val="none" w:sz="0" w:space="0" w:color="auto"/>
            <w:left w:val="none" w:sz="0" w:space="0" w:color="auto"/>
            <w:bottom w:val="none" w:sz="0" w:space="0" w:color="auto"/>
            <w:right w:val="none" w:sz="0" w:space="0" w:color="auto"/>
          </w:divBdr>
        </w:div>
        <w:div w:id="1507599378">
          <w:marLeft w:val="640"/>
          <w:marRight w:val="0"/>
          <w:marTop w:val="0"/>
          <w:marBottom w:val="0"/>
          <w:divBdr>
            <w:top w:val="none" w:sz="0" w:space="0" w:color="auto"/>
            <w:left w:val="none" w:sz="0" w:space="0" w:color="auto"/>
            <w:bottom w:val="none" w:sz="0" w:space="0" w:color="auto"/>
            <w:right w:val="none" w:sz="0" w:space="0" w:color="auto"/>
          </w:divBdr>
        </w:div>
        <w:div w:id="337584453">
          <w:marLeft w:val="640"/>
          <w:marRight w:val="0"/>
          <w:marTop w:val="0"/>
          <w:marBottom w:val="0"/>
          <w:divBdr>
            <w:top w:val="none" w:sz="0" w:space="0" w:color="auto"/>
            <w:left w:val="none" w:sz="0" w:space="0" w:color="auto"/>
            <w:bottom w:val="none" w:sz="0" w:space="0" w:color="auto"/>
            <w:right w:val="none" w:sz="0" w:space="0" w:color="auto"/>
          </w:divBdr>
        </w:div>
        <w:div w:id="860627842">
          <w:marLeft w:val="640"/>
          <w:marRight w:val="0"/>
          <w:marTop w:val="0"/>
          <w:marBottom w:val="0"/>
          <w:divBdr>
            <w:top w:val="none" w:sz="0" w:space="0" w:color="auto"/>
            <w:left w:val="none" w:sz="0" w:space="0" w:color="auto"/>
            <w:bottom w:val="none" w:sz="0" w:space="0" w:color="auto"/>
            <w:right w:val="none" w:sz="0" w:space="0" w:color="auto"/>
          </w:divBdr>
        </w:div>
        <w:div w:id="1852913130">
          <w:marLeft w:val="640"/>
          <w:marRight w:val="0"/>
          <w:marTop w:val="0"/>
          <w:marBottom w:val="0"/>
          <w:divBdr>
            <w:top w:val="none" w:sz="0" w:space="0" w:color="auto"/>
            <w:left w:val="none" w:sz="0" w:space="0" w:color="auto"/>
            <w:bottom w:val="none" w:sz="0" w:space="0" w:color="auto"/>
            <w:right w:val="none" w:sz="0" w:space="0" w:color="auto"/>
          </w:divBdr>
        </w:div>
        <w:div w:id="33772314">
          <w:marLeft w:val="640"/>
          <w:marRight w:val="0"/>
          <w:marTop w:val="0"/>
          <w:marBottom w:val="0"/>
          <w:divBdr>
            <w:top w:val="none" w:sz="0" w:space="0" w:color="auto"/>
            <w:left w:val="none" w:sz="0" w:space="0" w:color="auto"/>
            <w:bottom w:val="none" w:sz="0" w:space="0" w:color="auto"/>
            <w:right w:val="none" w:sz="0" w:space="0" w:color="auto"/>
          </w:divBdr>
        </w:div>
        <w:div w:id="1469980969">
          <w:marLeft w:val="640"/>
          <w:marRight w:val="0"/>
          <w:marTop w:val="0"/>
          <w:marBottom w:val="0"/>
          <w:divBdr>
            <w:top w:val="none" w:sz="0" w:space="0" w:color="auto"/>
            <w:left w:val="none" w:sz="0" w:space="0" w:color="auto"/>
            <w:bottom w:val="none" w:sz="0" w:space="0" w:color="auto"/>
            <w:right w:val="none" w:sz="0" w:space="0" w:color="auto"/>
          </w:divBdr>
        </w:div>
        <w:div w:id="661196900">
          <w:marLeft w:val="640"/>
          <w:marRight w:val="0"/>
          <w:marTop w:val="0"/>
          <w:marBottom w:val="0"/>
          <w:divBdr>
            <w:top w:val="none" w:sz="0" w:space="0" w:color="auto"/>
            <w:left w:val="none" w:sz="0" w:space="0" w:color="auto"/>
            <w:bottom w:val="none" w:sz="0" w:space="0" w:color="auto"/>
            <w:right w:val="none" w:sz="0" w:space="0" w:color="auto"/>
          </w:divBdr>
        </w:div>
        <w:div w:id="764155303">
          <w:marLeft w:val="640"/>
          <w:marRight w:val="0"/>
          <w:marTop w:val="0"/>
          <w:marBottom w:val="0"/>
          <w:divBdr>
            <w:top w:val="none" w:sz="0" w:space="0" w:color="auto"/>
            <w:left w:val="none" w:sz="0" w:space="0" w:color="auto"/>
            <w:bottom w:val="none" w:sz="0" w:space="0" w:color="auto"/>
            <w:right w:val="none" w:sz="0" w:space="0" w:color="auto"/>
          </w:divBdr>
        </w:div>
        <w:div w:id="610281160">
          <w:marLeft w:val="640"/>
          <w:marRight w:val="0"/>
          <w:marTop w:val="0"/>
          <w:marBottom w:val="0"/>
          <w:divBdr>
            <w:top w:val="none" w:sz="0" w:space="0" w:color="auto"/>
            <w:left w:val="none" w:sz="0" w:space="0" w:color="auto"/>
            <w:bottom w:val="none" w:sz="0" w:space="0" w:color="auto"/>
            <w:right w:val="none" w:sz="0" w:space="0" w:color="auto"/>
          </w:divBdr>
        </w:div>
        <w:div w:id="1362510394">
          <w:marLeft w:val="640"/>
          <w:marRight w:val="0"/>
          <w:marTop w:val="0"/>
          <w:marBottom w:val="0"/>
          <w:divBdr>
            <w:top w:val="none" w:sz="0" w:space="0" w:color="auto"/>
            <w:left w:val="none" w:sz="0" w:space="0" w:color="auto"/>
            <w:bottom w:val="none" w:sz="0" w:space="0" w:color="auto"/>
            <w:right w:val="none" w:sz="0" w:space="0" w:color="auto"/>
          </w:divBdr>
        </w:div>
        <w:div w:id="798884467">
          <w:marLeft w:val="640"/>
          <w:marRight w:val="0"/>
          <w:marTop w:val="0"/>
          <w:marBottom w:val="0"/>
          <w:divBdr>
            <w:top w:val="none" w:sz="0" w:space="0" w:color="auto"/>
            <w:left w:val="none" w:sz="0" w:space="0" w:color="auto"/>
            <w:bottom w:val="none" w:sz="0" w:space="0" w:color="auto"/>
            <w:right w:val="none" w:sz="0" w:space="0" w:color="auto"/>
          </w:divBdr>
        </w:div>
        <w:div w:id="1613171356">
          <w:marLeft w:val="640"/>
          <w:marRight w:val="0"/>
          <w:marTop w:val="0"/>
          <w:marBottom w:val="0"/>
          <w:divBdr>
            <w:top w:val="none" w:sz="0" w:space="0" w:color="auto"/>
            <w:left w:val="none" w:sz="0" w:space="0" w:color="auto"/>
            <w:bottom w:val="none" w:sz="0" w:space="0" w:color="auto"/>
            <w:right w:val="none" w:sz="0" w:space="0" w:color="auto"/>
          </w:divBdr>
        </w:div>
        <w:div w:id="2100979465">
          <w:marLeft w:val="640"/>
          <w:marRight w:val="0"/>
          <w:marTop w:val="0"/>
          <w:marBottom w:val="0"/>
          <w:divBdr>
            <w:top w:val="none" w:sz="0" w:space="0" w:color="auto"/>
            <w:left w:val="none" w:sz="0" w:space="0" w:color="auto"/>
            <w:bottom w:val="none" w:sz="0" w:space="0" w:color="auto"/>
            <w:right w:val="none" w:sz="0" w:space="0" w:color="auto"/>
          </w:divBdr>
        </w:div>
        <w:div w:id="2099904561">
          <w:marLeft w:val="640"/>
          <w:marRight w:val="0"/>
          <w:marTop w:val="0"/>
          <w:marBottom w:val="0"/>
          <w:divBdr>
            <w:top w:val="none" w:sz="0" w:space="0" w:color="auto"/>
            <w:left w:val="none" w:sz="0" w:space="0" w:color="auto"/>
            <w:bottom w:val="none" w:sz="0" w:space="0" w:color="auto"/>
            <w:right w:val="none" w:sz="0" w:space="0" w:color="auto"/>
          </w:divBdr>
        </w:div>
        <w:div w:id="558442018">
          <w:marLeft w:val="640"/>
          <w:marRight w:val="0"/>
          <w:marTop w:val="0"/>
          <w:marBottom w:val="0"/>
          <w:divBdr>
            <w:top w:val="none" w:sz="0" w:space="0" w:color="auto"/>
            <w:left w:val="none" w:sz="0" w:space="0" w:color="auto"/>
            <w:bottom w:val="none" w:sz="0" w:space="0" w:color="auto"/>
            <w:right w:val="none" w:sz="0" w:space="0" w:color="auto"/>
          </w:divBdr>
        </w:div>
        <w:div w:id="741491635">
          <w:marLeft w:val="640"/>
          <w:marRight w:val="0"/>
          <w:marTop w:val="0"/>
          <w:marBottom w:val="0"/>
          <w:divBdr>
            <w:top w:val="none" w:sz="0" w:space="0" w:color="auto"/>
            <w:left w:val="none" w:sz="0" w:space="0" w:color="auto"/>
            <w:bottom w:val="none" w:sz="0" w:space="0" w:color="auto"/>
            <w:right w:val="none" w:sz="0" w:space="0" w:color="auto"/>
          </w:divBdr>
        </w:div>
        <w:div w:id="363479201">
          <w:marLeft w:val="640"/>
          <w:marRight w:val="0"/>
          <w:marTop w:val="0"/>
          <w:marBottom w:val="0"/>
          <w:divBdr>
            <w:top w:val="none" w:sz="0" w:space="0" w:color="auto"/>
            <w:left w:val="none" w:sz="0" w:space="0" w:color="auto"/>
            <w:bottom w:val="none" w:sz="0" w:space="0" w:color="auto"/>
            <w:right w:val="none" w:sz="0" w:space="0" w:color="auto"/>
          </w:divBdr>
        </w:div>
        <w:div w:id="748161287">
          <w:marLeft w:val="640"/>
          <w:marRight w:val="0"/>
          <w:marTop w:val="0"/>
          <w:marBottom w:val="0"/>
          <w:divBdr>
            <w:top w:val="none" w:sz="0" w:space="0" w:color="auto"/>
            <w:left w:val="none" w:sz="0" w:space="0" w:color="auto"/>
            <w:bottom w:val="none" w:sz="0" w:space="0" w:color="auto"/>
            <w:right w:val="none" w:sz="0" w:space="0" w:color="auto"/>
          </w:divBdr>
        </w:div>
        <w:div w:id="2091196983">
          <w:marLeft w:val="640"/>
          <w:marRight w:val="0"/>
          <w:marTop w:val="0"/>
          <w:marBottom w:val="0"/>
          <w:divBdr>
            <w:top w:val="none" w:sz="0" w:space="0" w:color="auto"/>
            <w:left w:val="none" w:sz="0" w:space="0" w:color="auto"/>
            <w:bottom w:val="none" w:sz="0" w:space="0" w:color="auto"/>
            <w:right w:val="none" w:sz="0" w:space="0" w:color="auto"/>
          </w:divBdr>
        </w:div>
        <w:div w:id="470295740">
          <w:marLeft w:val="640"/>
          <w:marRight w:val="0"/>
          <w:marTop w:val="0"/>
          <w:marBottom w:val="0"/>
          <w:divBdr>
            <w:top w:val="none" w:sz="0" w:space="0" w:color="auto"/>
            <w:left w:val="none" w:sz="0" w:space="0" w:color="auto"/>
            <w:bottom w:val="none" w:sz="0" w:space="0" w:color="auto"/>
            <w:right w:val="none" w:sz="0" w:space="0" w:color="auto"/>
          </w:divBdr>
        </w:div>
        <w:div w:id="1308438163">
          <w:marLeft w:val="640"/>
          <w:marRight w:val="0"/>
          <w:marTop w:val="0"/>
          <w:marBottom w:val="0"/>
          <w:divBdr>
            <w:top w:val="none" w:sz="0" w:space="0" w:color="auto"/>
            <w:left w:val="none" w:sz="0" w:space="0" w:color="auto"/>
            <w:bottom w:val="none" w:sz="0" w:space="0" w:color="auto"/>
            <w:right w:val="none" w:sz="0" w:space="0" w:color="auto"/>
          </w:divBdr>
        </w:div>
        <w:div w:id="818154984">
          <w:marLeft w:val="640"/>
          <w:marRight w:val="0"/>
          <w:marTop w:val="0"/>
          <w:marBottom w:val="0"/>
          <w:divBdr>
            <w:top w:val="none" w:sz="0" w:space="0" w:color="auto"/>
            <w:left w:val="none" w:sz="0" w:space="0" w:color="auto"/>
            <w:bottom w:val="none" w:sz="0" w:space="0" w:color="auto"/>
            <w:right w:val="none" w:sz="0" w:space="0" w:color="auto"/>
          </w:divBdr>
        </w:div>
        <w:div w:id="82991457">
          <w:marLeft w:val="640"/>
          <w:marRight w:val="0"/>
          <w:marTop w:val="0"/>
          <w:marBottom w:val="0"/>
          <w:divBdr>
            <w:top w:val="none" w:sz="0" w:space="0" w:color="auto"/>
            <w:left w:val="none" w:sz="0" w:space="0" w:color="auto"/>
            <w:bottom w:val="none" w:sz="0" w:space="0" w:color="auto"/>
            <w:right w:val="none" w:sz="0" w:space="0" w:color="auto"/>
          </w:divBdr>
        </w:div>
        <w:div w:id="571161924">
          <w:marLeft w:val="640"/>
          <w:marRight w:val="0"/>
          <w:marTop w:val="0"/>
          <w:marBottom w:val="0"/>
          <w:divBdr>
            <w:top w:val="none" w:sz="0" w:space="0" w:color="auto"/>
            <w:left w:val="none" w:sz="0" w:space="0" w:color="auto"/>
            <w:bottom w:val="none" w:sz="0" w:space="0" w:color="auto"/>
            <w:right w:val="none" w:sz="0" w:space="0" w:color="auto"/>
          </w:divBdr>
        </w:div>
        <w:div w:id="243993997">
          <w:marLeft w:val="640"/>
          <w:marRight w:val="0"/>
          <w:marTop w:val="0"/>
          <w:marBottom w:val="0"/>
          <w:divBdr>
            <w:top w:val="none" w:sz="0" w:space="0" w:color="auto"/>
            <w:left w:val="none" w:sz="0" w:space="0" w:color="auto"/>
            <w:bottom w:val="none" w:sz="0" w:space="0" w:color="auto"/>
            <w:right w:val="none" w:sz="0" w:space="0" w:color="auto"/>
          </w:divBdr>
        </w:div>
        <w:div w:id="79110874">
          <w:marLeft w:val="640"/>
          <w:marRight w:val="0"/>
          <w:marTop w:val="0"/>
          <w:marBottom w:val="0"/>
          <w:divBdr>
            <w:top w:val="none" w:sz="0" w:space="0" w:color="auto"/>
            <w:left w:val="none" w:sz="0" w:space="0" w:color="auto"/>
            <w:bottom w:val="none" w:sz="0" w:space="0" w:color="auto"/>
            <w:right w:val="none" w:sz="0" w:space="0" w:color="auto"/>
          </w:divBdr>
        </w:div>
        <w:div w:id="653294811">
          <w:marLeft w:val="640"/>
          <w:marRight w:val="0"/>
          <w:marTop w:val="0"/>
          <w:marBottom w:val="0"/>
          <w:divBdr>
            <w:top w:val="none" w:sz="0" w:space="0" w:color="auto"/>
            <w:left w:val="none" w:sz="0" w:space="0" w:color="auto"/>
            <w:bottom w:val="none" w:sz="0" w:space="0" w:color="auto"/>
            <w:right w:val="none" w:sz="0" w:space="0" w:color="auto"/>
          </w:divBdr>
        </w:div>
        <w:div w:id="1430471161">
          <w:marLeft w:val="640"/>
          <w:marRight w:val="0"/>
          <w:marTop w:val="0"/>
          <w:marBottom w:val="0"/>
          <w:divBdr>
            <w:top w:val="none" w:sz="0" w:space="0" w:color="auto"/>
            <w:left w:val="none" w:sz="0" w:space="0" w:color="auto"/>
            <w:bottom w:val="none" w:sz="0" w:space="0" w:color="auto"/>
            <w:right w:val="none" w:sz="0" w:space="0" w:color="auto"/>
          </w:divBdr>
        </w:div>
        <w:div w:id="479270258">
          <w:marLeft w:val="640"/>
          <w:marRight w:val="0"/>
          <w:marTop w:val="0"/>
          <w:marBottom w:val="0"/>
          <w:divBdr>
            <w:top w:val="none" w:sz="0" w:space="0" w:color="auto"/>
            <w:left w:val="none" w:sz="0" w:space="0" w:color="auto"/>
            <w:bottom w:val="none" w:sz="0" w:space="0" w:color="auto"/>
            <w:right w:val="none" w:sz="0" w:space="0" w:color="auto"/>
          </w:divBdr>
        </w:div>
        <w:div w:id="1769354077">
          <w:marLeft w:val="640"/>
          <w:marRight w:val="0"/>
          <w:marTop w:val="0"/>
          <w:marBottom w:val="0"/>
          <w:divBdr>
            <w:top w:val="none" w:sz="0" w:space="0" w:color="auto"/>
            <w:left w:val="none" w:sz="0" w:space="0" w:color="auto"/>
            <w:bottom w:val="none" w:sz="0" w:space="0" w:color="auto"/>
            <w:right w:val="none" w:sz="0" w:space="0" w:color="auto"/>
          </w:divBdr>
        </w:div>
        <w:div w:id="903219072">
          <w:marLeft w:val="640"/>
          <w:marRight w:val="0"/>
          <w:marTop w:val="0"/>
          <w:marBottom w:val="0"/>
          <w:divBdr>
            <w:top w:val="none" w:sz="0" w:space="0" w:color="auto"/>
            <w:left w:val="none" w:sz="0" w:space="0" w:color="auto"/>
            <w:bottom w:val="none" w:sz="0" w:space="0" w:color="auto"/>
            <w:right w:val="none" w:sz="0" w:space="0" w:color="auto"/>
          </w:divBdr>
        </w:div>
        <w:div w:id="1597709158">
          <w:marLeft w:val="640"/>
          <w:marRight w:val="0"/>
          <w:marTop w:val="0"/>
          <w:marBottom w:val="0"/>
          <w:divBdr>
            <w:top w:val="none" w:sz="0" w:space="0" w:color="auto"/>
            <w:left w:val="none" w:sz="0" w:space="0" w:color="auto"/>
            <w:bottom w:val="none" w:sz="0" w:space="0" w:color="auto"/>
            <w:right w:val="none" w:sz="0" w:space="0" w:color="auto"/>
          </w:divBdr>
        </w:div>
        <w:div w:id="278296857">
          <w:marLeft w:val="640"/>
          <w:marRight w:val="0"/>
          <w:marTop w:val="0"/>
          <w:marBottom w:val="0"/>
          <w:divBdr>
            <w:top w:val="none" w:sz="0" w:space="0" w:color="auto"/>
            <w:left w:val="none" w:sz="0" w:space="0" w:color="auto"/>
            <w:bottom w:val="none" w:sz="0" w:space="0" w:color="auto"/>
            <w:right w:val="none" w:sz="0" w:space="0" w:color="auto"/>
          </w:divBdr>
        </w:div>
        <w:div w:id="1836261945">
          <w:marLeft w:val="640"/>
          <w:marRight w:val="0"/>
          <w:marTop w:val="0"/>
          <w:marBottom w:val="0"/>
          <w:divBdr>
            <w:top w:val="none" w:sz="0" w:space="0" w:color="auto"/>
            <w:left w:val="none" w:sz="0" w:space="0" w:color="auto"/>
            <w:bottom w:val="none" w:sz="0" w:space="0" w:color="auto"/>
            <w:right w:val="none" w:sz="0" w:space="0" w:color="auto"/>
          </w:divBdr>
        </w:div>
        <w:div w:id="113332749">
          <w:marLeft w:val="640"/>
          <w:marRight w:val="0"/>
          <w:marTop w:val="0"/>
          <w:marBottom w:val="0"/>
          <w:divBdr>
            <w:top w:val="none" w:sz="0" w:space="0" w:color="auto"/>
            <w:left w:val="none" w:sz="0" w:space="0" w:color="auto"/>
            <w:bottom w:val="none" w:sz="0" w:space="0" w:color="auto"/>
            <w:right w:val="none" w:sz="0" w:space="0" w:color="auto"/>
          </w:divBdr>
        </w:div>
        <w:div w:id="1392381799">
          <w:marLeft w:val="640"/>
          <w:marRight w:val="0"/>
          <w:marTop w:val="0"/>
          <w:marBottom w:val="0"/>
          <w:divBdr>
            <w:top w:val="none" w:sz="0" w:space="0" w:color="auto"/>
            <w:left w:val="none" w:sz="0" w:space="0" w:color="auto"/>
            <w:bottom w:val="none" w:sz="0" w:space="0" w:color="auto"/>
            <w:right w:val="none" w:sz="0" w:space="0" w:color="auto"/>
          </w:divBdr>
        </w:div>
        <w:div w:id="1214930832">
          <w:marLeft w:val="640"/>
          <w:marRight w:val="0"/>
          <w:marTop w:val="0"/>
          <w:marBottom w:val="0"/>
          <w:divBdr>
            <w:top w:val="none" w:sz="0" w:space="0" w:color="auto"/>
            <w:left w:val="none" w:sz="0" w:space="0" w:color="auto"/>
            <w:bottom w:val="none" w:sz="0" w:space="0" w:color="auto"/>
            <w:right w:val="none" w:sz="0" w:space="0" w:color="auto"/>
          </w:divBdr>
        </w:div>
        <w:div w:id="299843526">
          <w:marLeft w:val="640"/>
          <w:marRight w:val="0"/>
          <w:marTop w:val="0"/>
          <w:marBottom w:val="0"/>
          <w:divBdr>
            <w:top w:val="none" w:sz="0" w:space="0" w:color="auto"/>
            <w:left w:val="none" w:sz="0" w:space="0" w:color="auto"/>
            <w:bottom w:val="none" w:sz="0" w:space="0" w:color="auto"/>
            <w:right w:val="none" w:sz="0" w:space="0" w:color="auto"/>
          </w:divBdr>
        </w:div>
        <w:div w:id="696152017">
          <w:marLeft w:val="640"/>
          <w:marRight w:val="0"/>
          <w:marTop w:val="0"/>
          <w:marBottom w:val="0"/>
          <w:divBdr>
            <w:top w:val="none" w:sz="0" w:space="0" w:color="auto"/>
            <w:left w:val="none" w:sz="0" w:space="0" w:color="auto"/>
            <w:bottom w:val="none" w:sz="0" w:space="0" w:color="auto"/>
            <w:right w:val="none" w:sz="0" w:space="0" w:color="auto"/>
          </w:divBdr>
        </w:div>
        <w:div w:id="801195499">
          <w:marLeft w:val="640"/>
          <w:marRight w:val="0"/>
          <w:marTop w:val="0"/>
          <w:marBottom w:val="0"/>
          <w:divBdr>
            <w:top w:val="none" w:sz="0" w:space="0" w:color="auto"/>
            <w:left w:val="none" w:sz="0" w:space="0" w:color="auto"/>
            <w:bottom w:val="none" w:sz="0" w:space="0" w:color="auto"/>
            <w:right w:val="none" w:sz="0" w:space="0" w:color="auto"/>
          </w:divBdr>
        </w:div>
        <w:div w:id="1274166329">
          <w:marLeft w:val="640"/>
          <w:marRight w:val="0"/>
          <w:marTop w:val="0"/>
          <w:marBottom w:val="0"/>
          <w:divBdr>
            <w:top w:val="none" w:sz="0" w:space="0" w:color="auto"/>
            <w:left w:val="none" w:sz="0" w:space="0" w:color="auto"/>
            <w:bottom w:val="none" w:sz="0" w:space="0" w:color="auto"/>
            <w:right w:val="none" w:sz="0" w:space="0" w:color="auto"/>
          </w:divBdr>
        </w:div>
        <w:div w:id="1822498895">
          <w:marLeft w:val="640"/>
          <w:marRight w:val="0"/>
          <w:marTop w:val="0"/>
          <w:marBottom w:val="0"/>
          <w:divBdr>
            <w:top w:val="none" w:sz="0" w:space="0" w:color="auto"/>
            <w:left w:val="none" w:sz="0" w:space="0" w:color="auto"/>
            <w:bottom w:val="none" w:sz="0" w:space="0" w:color="auto"/>
            <w:right w:val="none" w:sz="0" w:space="0" w:color="auto"/>
          </w:divBdr>
        </w:div>
        <w:div w:id="1716808416">
          <w:marLeft w:val="640"/>
          <w:marRight w:val="0"/>
          <w:marTop w:val="0"/>
          <w:marBottom w:val="0"/>
          <w:divBdr>
            <w:top w:val="none" w:sz="0" w:space="0" w:color="auto"/>
            <w:left w:val="none" w:sz="0" w:space="0" w:color="auto"/>
            <w:bottom w:val="none" w:sz="0" w:space="0" w:color="auto"/>
            <w:right w:val="none" w:sz="0" w:space="0" w:color="auto"/>
          </w:divBdr>
        </w:div>
        <w:div w:id="128786754">
          <w:marLeft w:val="640"/>
          <w:marRight w:val="0"/>
          <w:marTop w:val="0"/>
          <w:marBottom w:val="0"/>
          <w:divBdr>
            <w:top w:val="none" w:sz="0" w:space="0" w:color="auto"/>
            <w:left w:val="none" w:sz="0" w:space="0" w:color="auto"/>
            <w:bottom w:val="none" w:sz="0" w:space="0" w:color="auto"/>
            <w:right w:val="none" w:sz="0" w:space="0" w:color="auto"/>
          </w:divBdr>
        </w:div>
        <w:div w:id="1890532904">
          <w:marLeft w:val="640"/>
          <w:marRight w:val="0"/>
          <w:marTop w:val="0"/>
          <w:marBottom w:val="0"/>
          <w:divBdr>
            <w:top w:val="none" w:sz="0" w:space="0" w:color="auto"/>
            <w:left w:val="none" w:sz="0" w:space="0" w:color="auto"/>
            <w:bottom w:val="none" w:sz="0" w:space="0" w:color="auto"/>
            <w:right w:val="none" w:sz="0" w:space="0" w:color="auto"/>
          </w:divBdr>
        </w:div>
        <w:div w:id="834805066">
          <w:marLeft w:val="640"/>
          <w:marRight w:val="0"/>
          <w:marTop w:val="0"/>
          <w:marBottom w:val="0"/>
          <w:divBdr>
            <w:top w:val="none" w:sz="0" w:space="0" w:color="auto"/>
            <w:left w:val="none" w:sz="0" w:space="0" w:color="auto"/>
            <w:bottom w:val="none" w:sz="0" w:space="0" w:color="auto"/>
            <w:right w:val="none" w:sz="0" w:space="0" w:color="auto"/>
          </w:divBdr>
        </w:div>
        <w:div w:id="1386100918">
          <w:marLeft w:val="640"/>
          <w:marRight w:val="0"/>
          <w:marTop w:val="0"/>
          <w:marBottom w:val="0"/>
          <w:divBdr>
            <w:top w:val="none" w:sz="0" w:space="0" w:color="auto"/>
            <w:left w:val="none" w:sz="0" w:space="0" w:color="auto"/>
            <w:bottom w:val="none" w:sz="0" w:space="0" w:color="auto"/>
            <w:right w:val="none" w:sz="0" w:space="0" w:color="auto"/>
          </w:divBdr>
        </w:div>
        <w:div w:id="2036349601">
          <w:marLeft w:val="640"/>
          <w:marRight w:val="0"/>
          <w:marTop w:val="0"/>
          <w:marBottom w:val="0"/>
          <w:divBdr>
            <w:top w:val="none" w:sz="0" w:space="0" w:color="auto"/>
            <w:left w:val="none" w:sz="0" w:space="0" w:color="auto"/>
            <w:bottom w:val="none" w:sz="0" w:space="0" w:color="auto"/>
            <w:right w:val="none" w:sz="0" w:space="0" w:color="auto"/>
          </w:divBdr>
        </w:div>
        <w:div w:id="302085430">
          <w:marLeft w:val="640"/>
          <w:marRight w:val="0"/>
          <w:marTop w:val="0"/>
          <w:marBottom w:val="0"/>
          <w:divBdr>
            <w:top w:val="none" w:sz="0" w:space="0" w:color="auto"/>
            <w:left w:val="none" w:sz="0" w:space="0" w:color="auto"/>
            <w:bottom w:val="none" w:sz="0" w:space="0" w:color="auto"/>
            <w:right w:val="none" w:sz="0" w:space="0" w:color="auto"/>
          </w:divBdr>
        </w:div>
        <w:div w:id="1603683981">
          <w:marLeft w:val="640"/>
          <w:marRight w:val="0"/>
          <w:marTop w:val="0"/>
          <w:marBottom w:val="0"/>
          <w:divBdr>
            <w:top w:val="none" w:sz="0" w:space="0" w:color="auto"/>
            <w:left w:val="none" w:sz="0" w:space="0" w:color="auto"/>
            <w:bottom w:val="none" w:sz="0" w:space="0" w:color="auto"/>
            <w:right w:val="none" w:sz="0" w:space="0" w:color="auto"/>
          </w:divBdr>
        </w:div>
        <w:div w:id="1439980306">
          <w:marLeft w:val="640"/>
          <w:marRight w:val="0"/>
          <w:marTop w:val="0"/>
          <w:marBottom w:val="0"/>
          <w:divBdr>
            <w:top w:val="none" w:sz="0" w:space="0" w:color="auto"/>
            <w:left w:val="none" w:sz="0" w:space="0" w:color="auto"/>
            <w:bottom w:val="none" w:sz="0" w:space="0" w:color="auto"/>
            <w:right w:val="none" w:sz="0" w:space="0" w:color="auto"/>
          </w:divBdr>
        </w:div>
        <w:div w:id="532499932">
          <w:marLeft w:val="640"/>
          <w:marRight w:val="0"/>
          <w:marTop w:val="0"/>
          <w:marBottom w:val="0"/>
          <w:divBdr>
            <w:top w:val="none" w:sz="0" w:space="0" w:color="auto"/>
            <w:left w:val="none" w:sz="0" w:space="0" w:color="auto"/>
            <w:bottom w:val="none" w:sz="0" w:space="0" w:color="auto"/>
            <w:right w:val="none" w:sz="0" w:space="0" w:color="auto"/>
          </w:divBdr>
        </w:div>
        <w:div w:id="615597040">
          <w:marLeft w:val="640"/>
          <w:marRight w:val="0"/>
          <w:marTop w:val="0"/>
          <w:marBottom w:val="0"/>
          <w:divBdr>
            <w:top w:val="none" w:sz="0" w:space="0" w:color="auto"/>
            <w:left w:val="none" w:sz="0" w:space="0" w:color="auto"/>
            <w:bottom w:val="none" w:sz="0" w:space="0" w:color="auto"/>
            <w:right w:val="none" w:sz="0" w:space="0" w:color="auto"/>
          </w:divBdr>
        </w:div>
        <w:div w:id="1110971529">
          <w:marLeft w:val="640"/>
          <w:marRight w:val="0"/>
          <w:marTop w:val="0"/>
          <w:marBottom w:val="0"/>
          <w:divBdr>
            <w:top w:val="none" w:sz="0" w:space="0" w:color="auto"/>
            <w:left w:val="none" w:sz="0" w:space="0" w:color="auto"/>
            <w:bottom w:val="none" w:sz="0" w:space="0" w:color="auto"/>
            <w:right w:val="none" w:sz="0" w:space="0" w:color="auto"/>
          </w:divBdr>
        </w:div>
        <w:div w:id="1752655751">
          <w:marLeft w:val="640"/>
          <w:marRight w:val="0"/>
          <w:marTop w:val="0"/>
          <w:marBottom w:val="0"/>
          <w:divBdr>
            <w:top w:val="none" w:sz="0" w:space="0" w:color="auto"/>
            <w:left w:val="none" w:sz="0" w:space="0" w:color="auto"/>
            <w:bottom w:val="none" w:sz="0" w:space="0" w:color="auto"/>
            <w:right w:val="none" w:sz="0" w:space="0" w:color="auto"/>
          </w:divBdr>
        </w:div>
        <w:div w:id="1060908196">
          <w:marLeft w:val="640"/>
          <w:marRight w:val="0"/>
          <w:marTop w:val="0"/>
          <w:marBottom w:val="0"/>
          <w:divBdr>
            <w:top w:val="none" w:sz="0" w:space="0" w:color="auto"/>
            <w:left w:val="none" w:sz="0" w:space="0" w:color="auto"/>
            <w:bottom w:val="none" w:sz="0" w:space="0" w:color="auto"/>
            <w:right w:val="none" w:sz="0" w:space="0" w:color="auto"/>
          </w:divBdr>
        </w:div>
        <w:div w:id="1724987399">
          <w:marLeft w:val="640"/>
          <w:marRight w:val="0"/>
          <w:marTop w:val="0"/>
          <w:marBottom w:val="0"/>
          <w:divBdr>
            <w:top w:val="none" w:sz="0" w:space="0" w:color="auto"/>
            <w:left w:val="none" w:sz="0" w:space="0" w:color="auto"/>
            <w:bottom w:val="none" w:sz="0" w:space="0" w:color="auto"/>
            <w:right w:val="none" w:sz="0" w:space="0" w:color="auto"/>
          </w:divBdr>
        </w:div>
        <w:div w:id="123543779">
          <w:marLeft w:val="640"/>
          <w:marRight w:val="0"/>
          <w:marTop w:val="0"/>
          <w:marBottom w:val="0"/>
          <w:divBdr>
            <w:top w:val="none" w:sz="0" w:space="0" w:color="auto"/>
            <w:left w:val="none" w:sz="0" w:space="0" w:color="auto"/>
            <w:bottom w:val="none" w:sz="0" w:space="0" w:color="auto"/>
            <w:right w:val="none" w:sz="0" w:space="0" w:color="auto"/>
          </w:divBdr>
        </w:div>
        <w:div w:id="1980187918">
          <w:marLeft w:val="640"/>
          <w:marRight w:val="0"/>
          <w:marTop w:val="0"/>
          <w:marBottom w:val="0"/>
          <w:divBdr>
            <w:top w:val="none" w:sz="0" w:space="0" w:color="auto"/>
            <w:left w:val="none" w:sz="0" w:space="0" w:color="auto"/>
            <w:bottom w:val="none" w:sz="0" w:space="0" w:color="auto"/>
            <w:right w:val="none" w:sz="0" w:space="0" w:color="auto"/>
          </w:divBdr>
        </w:div>
        <w:div w:id="677390361">
          <w:marLeft w:val="640"/>
          <w:marRight w:val="0"/>
          <w:marTop w:val="0"/>
          <w:marBottom w:val="0"/>
          <w:divBdr>
            <w:top w:val="none" w:sz="0" w:space="0" w:color="auto"/>
            <w:left w:val="none" w:sz="0" w:space="0" w:color="auto"/>
            <w:bottom w:val="none" w:sz="0" w:space="0" w:color="auto"/>
            <w:right w:val="none" w:sz="0" w:space="0" w:color="auto"/>
          </w:divBdr>
        </w:div>
      </w:divsChild>
    </w:div>
    <w:div w:id="14966878">
      <w:bodyDiv w:val="1"/>
      <w:marLeft w:val="0"/>
      <w:marRight w:val="0"/>
      <w:marTop w:val="0"/>
      <w:marBottom w:val="0"/>
      <w:divBdr>
        <w:top w:val="none" w:sz="0" w:space="0" w:color="auto"/>
        <w:left w:val="none" w:sz="0" w:space="0" w:color="auto"/>
        <w:bottom w:val="none" w:sz="0" w:space="0" w:color="auto"/>
        <w:right w:val="none" w:sz="0" w:space="0" w:color="auto"/>
      </w:divBdr>
      <w:divsChild>
        <w:div w:id="1145438586">
          <w:marLeft w:val="640"/>
          <w:marRight w:val="0"/>
          <w:marTop w:val="0"/>
          <w:marBottom w:val="0"/>
          <w:divBdr>
            <w:top w:val="none" w:sz="0" w:space="0" w:color="auto"/>
            <w:left w:val="none" w:sz="0" w:space="0" w:color="auto"/>
            <w:bottom w:val="none" w:sz="0" w:space="0" w:color="auto"/>
            <w:right w:val="none" w:sz="0" w:space="0" w:color="auto"/>
          </w:divBdr>
        </w:div>
        <w:div w:id="517619805">
          <w:marLeft w:val="640"/>
          <w:marRight w:val="0"/>
          <w:marTop w:val="0"/>
          <w:marBottom w:val="0"/>
          <w:divBdr>
            <w:top w:val="none" w:sz="0" w:space="0" w:color="auto"/>
            <w:left w:val="none" w:sz="0" w:space="0" w:color="auto"/>
            <w:bottom w:val="none" w:sz="0" w:space="0" w:color="auto"/>
            <w:right w:val="none" w:sz="0" w:space="0" w:color="auto"/>
          </w:divBdr>
        </w:div>
        <w:div w:id="1978290345">
          <w:marLeft w:val="640"/>
          <w:marRight w:val="0"/>
          <w:marTop w:val="0"/>
          <w:marBottom w:val="0"/>
          <w:divBdr>
            <w:top w:val="none" w:sz="0" w:space="0" w:color="auto"/>
            <w:left w:val="none" w:sz="0" w:space="0" w:color="auto"/>
            <w:bottom w:val="none" w:sz="0" w:space="0" w:color="auto"/>
            <w:right w:val="none" w:sz="0" w:space="0" w:color="auto"/>
          </w:divBdr>
        </w:div>
        <w:div w:id="1038506226">
          <w:marLeft w:val="640"/>
          <w:marRight w:val="0"/>
          <w:marTop w:val="0"/>
          <w:marBottom w:val="0"/>
          <w:divBdr>
            <w:top w:val="none" w:sz="0" w:space="0" w:color="auto"/>
            <w:left w:val="none" w:sz="0" w:space="0" w:color="auto"/>
            <w:bottom w:val="none" w:sz="0" w:space="0" w:color="auto"/>
            <w:right w:val="none" w:sz="0" w:space="0" w:color="auto"/>
          </w:divBdr>
        </w:div>
        <w:div w:id="1683707012">
          <w:marLeft w:val="640"/>
          <w:marRight w:val="0"/>
          <w:marTop w:val="0"/>
          <w:marBottom w:val="0"/>
          <w:divBdr>
            <w:top w:val="none" w:sz="0" w:space="0" w:color="auto"/>
            <w:left w:val="none" w:sz="0" w:space="0" w:color="auto"/>
            <w:bottom w:val="none" w:sz="0" w:space="0" w:color="auto"/>
            <w:right w:val="none" w:sz="0" w:space="0" w:color="auto"/>
          </w:divBdr>
        </w:div>
        <w:div w:id="690303524">
          <w:marLeft w:val="640"/>
          <w:marRight w:val="0"/>
          <w:marTop w:val="0"/>
          <w:marBottom w:val="0"/>
          <w:divBdr>
            <w:top w:val="none" w:sz="0" w:space="0" w:color="auto"/>
            <w:left w:val="none" w:sz="0" w:space="0" w:color="auto"/>
            <w:bottom w:val="none" w:sz="0" w:space="0" w:color="auto"/>
            <w:right w:val="none" w:sz="0" w:space="0" w:color="auto"/>
          </w:divBdr>
        </w:div>
        <w:div w:id="2073456007">
          <w:marLeft w:val="640"/>
          <w:marRight w:val="0"/>
          <w:marTop w:val="0"/>
          <w:marBottom w:val="0"/>
          <w:divBdr>
            <w:top w:val="none" w:sz="0" w:space="0" w:color="auto"/>
            <w:left w:val="none" w:sz="0" w:space="0" w:color="auto"/>
            <w:bottom w:val="none" w:sz="0" w:space="0" w:color="auto"/>
            <w:right w:val="none" w:sz="0" w:space="0" w:color="auto"/>
          </w:divBdr>
        </w:div>
        <w:div w:id="1132475744">
          <w:marLeft w:val="640"/>
          <w:marRight w:val="0"/>
          <w:marTop w:val="0"/>
          <w:marBottom w:val="0"/>
          <w:divBdr>
            <w:top w:val="none" w:sz="0" w:space="0" w:color="auto"/>
            <w:left w:val="none" w:sz="0" w:space="0" w:color="auto"/>
            <w:bottom w:val="none" w:sz="0" w:space="0" w:color="auto"/>
            <w:right w:val="none" w:sz="0" w:space="0" w:color="auto"/>
          </w:divBdr>
        </w:div>
        <w:div w:id="553320554">
          <w:marLeft w:val="640"/>
          <w:marRight w:val="0"/>
          <w:marTop w:val="0"/>
          <w:marBottom w:val="0"/>
          <w:divBdr>
            <w:top w:val="none" w:sz="0" w:space="0" w:color="auto"/>
            <w:left w:val="none" w:sz="0" w:space="0" w:color="auto"/>
            <w:bottom w:val="none" w:sz="0" w:space="0" w:color="auto"/>
            <w:right w:val="none" w:sz="0" w:space="0" w:color="auto"/>
          </w:divBdr>
        </w:div>
        <w:div w:id="392241537">
          <w:marLeft w:val="640"/>
          <w:marRight w:val="0"/>
          <w:marTop w:val="0"/>
          <w:marBottom w:val="0"/>
          <w:divBdr>
            <w:top w:val="none" w:sz="0" w:space="0" w:color="auto"/>
            <w:left w:val="none" w:sz="0" w:space="0" w:color="auto"/>
            <w:bottom w:val="none" w:sz="0" w:space="0" w:color="auto"/>
            <w:right w:val="none" w:sz="0" w:space="0" w:color="auto"/>
          </w:divBdr>
        </w:div>
        <w:div w:id="269628660">
          <w:marLeft w:val="640"/>
          <w:marRight w:val="0"/>
          <w:marTop w:val="0"/>
          <w:marBottom w:val="0"/>
          <w:divBdr>
            <w:top w:val="none" w:sz="0" w:space="0" w:color="auto"/>
            <w:left w:val="none" w:sz="0" w:space="0" w:color="auto"/>
            <w:bottom w:val="none" w:sz="0" w:space="0" w:color="auto"/>
            <w:right w:val="none" w:sz="0" w:space="0" w:color="auto"/>
          </w:divBdr>
        </w:div>
        <w:div w:id="1089690440">
          <w:marLeft w:val="640"/>
          <w:marRight w:val="0"/>
          <w:marTop w:val="0"/>
          <w:marBottom w:val="0"/>
          <w:divBdr>
            <w:top w:val="none" w:sz="0" w:space="0" w:color="auto"/>
            <w:left w:val="none" w:sz="0" w:space="0" w:color="auto"/>
            <w:bottom w:val="none" w:sz="0" w:space="0" w:color="auto"/>
            <w:right w:val="none" w:sz="0" w:space="0" w:color="auto"/>
          </w:divBdr>
        </w:div>
        <w:div w:id="974290569">
          <w:marLeft w:val="640"/>
          <w:marRight w:val="0"/>
          <w:marTop w:val="0"/>
          <w:marBottom w:val="0"/>
          <w:divBdr>
            <w:top w:val="none" w:sz="0" w:space="0" w:color="auto"/>
            <w:left w:val="none" w:sz="0" w:space="0" w:color="auto"/>
            <w:bottom w:val="none" w:sz="0" w:space="0" w:color="auto"/>
            <w:right w:val="none" w:sz="0" w:space="0" w:color="auto"/>
          </w:divBdr>
        </w:div>
        <w:div w:id="544099468">
          <w:marLeft w:val="640"/>
          <w:marRight w:val="0"/>
          <w:marTop w:val="0"/>
          <w:marBottom w:val="0"/>
          <w:divBdr>
            <w:top w:val="none" w:sz="0" w:space="0" w:color="auto"/>
            <w:left w:val="none" w:sz="0" w:space="0" w:color="auto"/>
            <w:bottom w:val="none" w:sz="0" w:space="0" w:color="auto"/>
            <w:right w:val="none" w:sz="0" w:space="0" w:color="auto"/>
          </w:divBdr>
        </w:div>
        <w:div w:id="1455446076">
          <w:marLeft w:val="640"/>
          <w:marRight w:val="0"/>
          <w:marTop w:val="0"/>
          <w:marBottom w:val="0"/>
          <w:divBdr>
            <w:top w:val="none" w:sz="0" w:space="0" w:color="auto"/>
            <w:left w:val="none" w:sz="0" w:space="0" w:color="auto"/>
            <w:bottom w:val="none" w:sz="0" w:space="0" w:color="auto"/>
            <w:right w:val="none" w:sz="0" w:space="0" w:color="auto"/>
          </w:divBdr>
        </w:div>
        <w:div w:id="975598703">
          <w:marLeft w:val="640"/>
          <w:marRight w:val="0"/>
          <w:marTop w:val="0"/>
          <w:marBottom w:val="0"/>
          <w:divBdr>
            <w:top w:val="none" w:sz="0" w:space="0" w:color="auto"/>
            <w:left w:val="none" w:sz="0" w:space="0" w:color="auto"/>
            <w:bottom w:val="none" w:sz="0" w:space="0" w:color="auto"/>
            <w:right w:val="none" w:sz="0" w:space="0" w:color="auto"/>
          </w:divBdr>
        </w:div>
        <w:div w:id="1626616532">
          <w:marLeft w:val="640"/>
          <w:marRight w:val="0"/>
          <w:marTop w:val="0"/>
          <w:marBottom w:val="0"/>
          <w:divBdr>
            <w:top w:val="none" w:sz="0" w:space="0" w:color="auto"/>
            <w:left w:val="none" w:sz="0" w:space="0" w:color="auto"/>
            <w:bottom w:val="none" w:sz="0" w:space="0" w:color="auto"/>
            <w:right w:val="none" w:sz="0" w:space="0" w:color="auto"/>
          </w:divBdr>
        </w:div>
        <w:div w:id="1263607694">
          <w:marLeft w:val="640"/>
          <w:marRight w:val="0"/>
          <w:marTop w:val="0"/>
          <w:marBottom w:val="0"/>
          <w:divBdr>
            <w:top w:val="none" w:sz="0" w:space="0" w:color="auto"/>
            <w:left w:val="none" w:sz="0" w:space="0" w:color="auto"/>
            <w:bottom w:val="none" w:sz="0" w:space="0" w:color="auto"/>
            <w:right w:val="none" w:sz="0" w:space="0" w:color="auto"/>
          </w:divBdr>
        </w:div>
        <w:div w:id="176163284">
          <w:marLeft w:val="640"/>
          <w:marRight w:val="0"/>
          <w:marTop w:val="0"/>
          <w:marBottom w:val="0"/>
          <w:divBdr>
            <w:top w:val="none" w:sz="0" w:space="0" w:color="auto"/>
            <w:left w:val="none" w:sz="0" w:space="0" w:color="auto"/>
            <w:bottom w:val="none" w:sz="0" w:space="0" w:color="auto"/>
            <w:right w:val="none" w:sz="0" w:space="0" w:color="auto"/>
          </w:divBdr>
        </w:div>
        <w:div w:id="115030675">
          <w:marLeft w:val="640"/>
          <w:marRight w:val="0"/>
          <w:marTop w:val="0"/>
          <w:marBottom w:val="0"/>
          <w:divBdr>
            <w:top w:val="none" w:sz="0" w:space="0" w:color="auto"/>
            <w:left w:val="none" w:sz="0" w:space="0" w:color="auto"/>
            <w:bottom w:val="none" w:sz="0" w:space="0" w:color="auto"/>
            <w:right w:val="none" w:sz="0" w:space="0" w:color="auto"/>
          </w:divBdr>
        </w:div>
        <w:div w:id="1457599877">
          <w:marLeft w:val="640"/>
          <w:marRight w:val="0"/>
          <w:marTop w:val="0"/>
          <w:marBottom w:val="0"/>
          <w:divBdr>
            <w:top w:val="none" w:sz="0" w:space="0" w:color="auto"/>
            <w:left w:val="none" w:sz="0" w:space="0" w:color="auto"/>
            <w:bottom w:val="none" w:sz="0" w:space="0" w:color="auto"/>
            <w:right w:val="none" w:sz="0" w:space="0" w:color="auto"/>
          </w:divBdr>
        </w:div>
        <w:div w:id="1868130086">
          <w:marLeft w:val="640"/>
          <w:marRight w:val="0"/>
          <w:marTop w:val="0"/>
          <w:marBottom w:val="0"/>
          <w:divBdr>
            <w:top w:val="none" w:sz="0" w:space="0" w:color="auto"/>
            <w:left w:val="none" w:sz="0" w:space="0" w:color="auto"/>
            <w:bottom w:val="none" w:sz="0" w:space="0" w:color="auto"/>
            <w:right w:val="none" w:sz="0" w:space="0" w:color="auto"/>
          </w:divBdr>
        </w:div>
        <w:div w:id="1675524793">
          <w:marLeft w:val="640"/>
          <w:marRight w:val="0"/>
          <w:marTop w:val="0"/>
          <w:marBottom w:val="0"/>
          <w:divBdr>
            <w:top w:val="none" w:sz="0" w:space="0" w:color="auto"/>
            <w:left w:val="none" w:sz="0" w:space="0" w:color="auto"/>
            <w:bottom w:val="none" w:sz="0" w:space="0" w:color="auto"/>
            <w:right w:val="none" w:sz="0" w:space="0" w:color="auto"/>
          </w:divBdr>
        </w:div>
        <w:div w:id="477184950">
          <w:marLeft w:val="640"/>
          <w:marRight w:val="0"/>
          <w:marTop w:val="0"/>
          <w:marBottom w:val="0"/>
          <w:divBdr>
            <w:top w:val="none" w:sz="0" w:space="0" w:color="auto"/>
            <w:left w:val="none" w:sz="0" w:space="0" w:color="auto"/>
            <w:bottom w:val="none" w:sz="0" w:space="0" w:color="auto"/>
            <w:right w:val="none" w:sz="0" w:space="0" w:color="auto"/>
          </w:divBdr>
        </w:div>
        <w:div w:id="800195713">
          <w:marLeft w:val="640"/>
          <w:marRight w:val="0"/>
          <w:marTop w:val="0"/>
          <w:marBottom w:val="0"/>
          <w:divBdr>
            <w:top w:val="none" w:sz="0" w:space="0" w:color="auto"/>
            <w:left w:val="none" w:sz="0" w:space="0" w:color="auto"/>
            <w:bottom w:val="none" w:sz="0" w:space="0" w:color="auto"/>
            <w:right w:val="none" w:sz="0" w:space="0" w:color="auto"/>
          </w:divBdr>
        </w:div>
        <w:div w:id="18284919">
          <w:marLeft w:val="640"/>
          <w:marRight w:val="0"/>
          <w:marTop w:val="0"/>
          <w:marBottom w:val="0"/>
          <w:divBdr>
            <w:top w:val="none" w:sz="0" w:space="0" w:color="auto"/>
            <w:left w:val="none" w:sz="0" w:space="0" w:color="auto"/>
            <w:bottom w:val="none" w:sz="0" w:space="0" w:color="auto"/>
            <w:right w:val="none" w:sz="0" w:space="0" w:color="auto"/>
          </w:divBdr>
        </w:div>
        <w:div w:id="1359116475">
          <w:marLeft w:val="640"/>
          <w:marRight w:val="0"/>
          <w:marTop w:val="0"/>
          <w:marBottom w:val="0"/>
          <w:divBdr>
            <w:top w:val="none" w:sz="0" w:space="0" w:color="auto"/>
            <w:left w:val="none" w:sz="0" w:space="0" w:color="auto"/>
            <w:bottom w:val="none" w:sz="0" w:space="0" w:color="auto"/>
            <w:right w:val="none" w:sz="0" w:space="0" w:color="auto"/>
          </w:divBdr>
        </w:div>
      </w:divsChild>
    </w:div>
    <w:div w:id="21103211">
      <w:bodyDiv w:val="1"/>
      <w:marLeft w:val="0"/>
      <w:marRight w:val="0"/>
      <w:marTop w:val="0"/>
      <w:marBottom w:val="0"/>
      <w:divBdr>
        <w:top w:val="none" w:sz="0" w:space="0" w:color="auto"/>
        <w:left w:val="none" w:sz="0" w:space="0" w:color="auto"/>
        <w:bottom w:val="none" w:sz="0" w:space="0" w:color="auto"/>
        <w:right w:val="none" w:sz="0" w:space="0" w:color="auto"/>
      </w:divBdr>
      <w:divsChild>
        <w:div w:id="28264505">
          <w:marLeft w:val="640"/>
          <w:marRight w:val="0"/>
          <w:marTop w:val="0"/>
          <w:marBottom w:val="0"/>
          <w:divBdr>
            <w:top w:val="none" w:sz="0" w:space="0" w:color="auto"/>
            <w:left w:val="none" w:sz="0" w:space="0" w:color="auto"/>
            <w:bottom w:val="none" w:sz="0" w:space="0" w:color="auto"/>
            <w:right w:val="none" w:sz="0" w:space="0" w:color="auto"/>
          </w:divBdr>
        </w:div>
        <w:div w:id="1669089180">
          <w:marLeft w:val="640"/>
          <w:marRight w:val="0"/>
          <w:marTop w:val="0"/>
          <w:marBottom w:val="0"/>
          <w:divBdr>
            <w:top w:val="none" w:sz="0" w:space="0" w:color="auto"/>
            <w:left w:val="none" w:sz="0" w:space="0" w:color="auto"/>
            <w:bottom w:val="none" w:sz="0" w:space="0" w:color="auto"/>
            <w:right w:val="none" w:sz="0" w:space="0" w:color="auto"/>
          </w:divBdr>
        </w:div>
        <w:div w:id="1931697909">
          <w:marLeft w:val="640"/>
          <w:marRight w:val="0"/>
          <w:marTop w:val="0"/>
          <w:marBottom w:val="0"/>
          <w:divBdr>
            <w:top w:val="none" w:sz="0" w:space="0" w:color="auto"/>
            <w:left w:val="none" w:sz="0" w:space="0" w:color="auto"/>
            <w:bottom w:val="none" w:sz="0" w:space="0" w:color="auto"/>
            <w:right w:val="none" w:sz="0" w:space="0" w:color="auto"/>
          </w:divBdr>
        </w:div>
        <w:div w:id="1295260163">
          <w:marLeft w:val="640"/>
          <w:marRight w:val="0"/>
          <w:marTop w:val="0"/>
          <w:marBottom w:val="0"/>
          <w:divBdr>
            <w:top w:val="none" w:sz="0" w:space="0" w:color="auto"/>
            <w:left w:val="none" w:sz="0" w:space="0" w:color="auto"/>
            <w:bottom w:val="none" w:sz="0" w:space="0" w:color="auto"/>
            <w:right w:val="none" w:sz="0" w:space="0" w:color="auto"/>
          </w:divBdr>
        </w:div>
        <w:div w:id="773596364">
          <w:marLeft w:val="640"/>
          <w:marRight w:val="0"/>
          <w:marTop w:val="0"/>
          <w:marBottom w:val="0"/>
          <w:divBdr>
            <w:top w:val="none" w:sz="0" w:space="0" w:color="auto"/>
            <w:left w:val="none" w:sz="0" w:space="0" w:color="auto"/>
            <w:bottom w:val="none" w:sz="0" w:space="0" w:color="auto"/>
            <w:right w:val="none" w:sz="0" w:space="0" w:color="auto"/>
          </w:divBdr>
        </w:div>
        <w:div w:id="1036345707">
          <w:marLeft w:val="640"/>
          <w:marRight w:val="0"/>
          <w:marTop w:val="0"/>
          <w:marBottom w:val="0"/>
          <w:divBdr>
            <w:top w:val="none" w:sz="0" w:space="0" w:color="auto"/>
            <w:left w:val="none" w:sz="0" w:space="0" w:color="auto"/>
            <w:bottom w:val="none" w:sz="0" w:space="0" w:color="auto"/>
            <w:right w:val="none" w:sz="0" w:space="0" w:color="auto"/>
          </w:divBdr>
        </w:div>
        <w:div w:id="482501164">
          <w:marLeft w:val="640"/>
          <w:marRight w:val="0"/>
          <w:marTop w:val="0"/>
          <w:marBottom w:val="0"/>
          <w:divBdr>
            <w:top w:val="none" w:sz="0" w:space="0" w:color="auto"/>
            <w:left w:val="none" w:sz="0" w:space="0" w:color="auto"/>
            <w:bottom w:val="none" w:sz="0" w:space="0" w:color="auto"/>
            <w:right w:val="none" w:sz="0" w:space="0" w:color="auto"/>
          </w:divBdr>
        </w:div>
        <w:div w:id="1294097043">
          <w:marLeft w:val="640"/>
          <w:marRight w:val="0"/>
          <w:marTop w:val="0"/>
          <w:marBottom w:val="0"/>
          <w:divBdr>
            <w:top w:val="none" w:sz="0" w:space="0" w:color="auto"/>
            <w:left w:val="none" w:sz="0" w:space="0" w:color="auto"/>
            <w:bottom w:val="none" w:sz="0" w:space="0" w:color="auto"/>
            <w:right w:val="none" w:sz="0" w:space="0" w:color="auto"/>
          </w:divBdr>
        </w:div>
        <w:div w:id="1544362951">
          <w:marLeft w:val="640"/>
          <w:marRight w:val="0"/>
          <w:marTop w:val="0"/>
          <w:marBottom w:val="0"/>
          <w:divBdr>
            <w:top w:val="none" w:sz="0" w:space="0" w:color="auto"/>
            <w:left w:val="none" w:sz="0" w:space="0" w:color="auto"/>
            <w:bottom w:val="none" w:sz="0" w:space="0" w:color="auto"/>
            <w:right w:val="none" w:sz="0" w:space="0" w:color="auto"/>
          </w:divBdr>
        </w:div>
        <w:div w:id="482086032">
          <w:marLeft w:val="640"/>
          <w:marRight w:val="0"/>
          <w:marTop w:val="0"/>
          <w:marBottom w:val="0"/>
          <w:divBdr>
            <w:top w:val="none" w:sz="0" w:space="0" w:color="auto"/>
            <w:left w:val="none" w:sz="0" w:space="0" w:color="auto"/>
            <w:bottom w:val="none" w:sz="0" w:space="0" w:color="auto"/>
            <w:right w:val="none" w:sz="0" w:space="0" w:color="auto"/>
          </w:divBdr>
        </w:div>
        <w:div w:id="2118937260">
          <w:marLeft w:val="640"/>
          <w:marRight w:val="0"/>
          <w:marTop w:val="0"/>
          <w:marBottom w:val="0"/>
          <w:divBdr>
            <w:top w:val="none" w:sz="0" w:space="0" w:color="auto"/>
            <w:left w:val="none" w:sz="0" w:space="0" w:color="auto"/>
            <w:bottom w:val="none" w:sz="0" w:space="0" w:color="auto"/>
            <w:right w:val="none" w:sz="0" w:space="0" w:color="auto"/>
          </w:divBdr>
        </w:div>
        <w:div w:id="737559676">
          <w:marLeft w:val="640"/>
          <w:marRight w:val="0"/>
          <w:marTop w:val="0"/>
          <w:marBottom w:val="0"/>
          <w:divBdr>
            <w:top w:val="none" w:sz="0" w:space="0" w:color="auto"/>
            <w:left w:val="none" w:sz="0" w:space="0" w:color="auto"/>
            <w:bottom w:val="none" w:sz="0" w:space="0" w:color="auto"/>
            <w:right w:val="none" w:sz="0" w:space="0" w:color="auto"/>
          </w:divBdr>
        </w:div>
        <w:div w:id="941912868">
          <w:marLeft w:val="640"/>
          <w:marRight w:val="0"/>
          <w:marTop w:val="0"/>
          <w:marBottom w:val="0"/>
          <w:divBdr>
            <w:top w:val="none" w:sz="0" w:space="0" w:color="auto"/>
            <w:left w:val="none" w:sz="0" w:space="0" w:color="auto"/>
            <w:bottom w:val="none" w:sz="0" w:space="0" w:color="auto"/>
            <w:right w:val="none" w:sz="0" w:space="0" w:color="auto"/>
          </w:divBdr>
        </w:div>
        <w:div w:id="1222911173">
          <w:marLeft w:val="640"/>
          <w:marRight w:val="0"/>
          <w:marTop w:val="0"/>
          <w:marBottom w:val="0"/>
          <w:divBdr>
            <w:top w:val="none" w:sz="0" w:space="0" w:color="auto"/>
            <w:left w:val="none" w:sz="0" w:space="0" w:color="auto"/>
            <w:bottom w:val="none" w:sz="0" w:space="0" w:color="auto"/>
            <w:right w:val="none" w:sz="0" w:space="0" w:color="auto"/>
          </w:divBdr>
        </w:div>
        <w:div w:id="1120998813">
          <w:marLeft w:val="640"/>
          <w:marRight w:val="0"/>
          <w:marTop w:val="0"/>
          <w:marBottom w:val="0"/>
          <w:divBdr>
            <w:top w:val="none" w:sz="0" w:space="0" w:color="auto"/>
            <w:left w:val="none" w:sz="0" w:space="0" w:color="auto"/>
            <w:bottom w:val="none" w:sz="0" w:space="0" w:color="auto"/>
            <w:right w:val="none" w:sz="0" w:space="0" w:color="auto"/>
          </w:divBdr>
        </w:div>
        <w:div w:id="1116486458">
          <w:marLeft w:val="640"/>
          <w:marRight w:val="0"/>
          <w:marTop w:val="0"/>
          <w:marBottom w:val="0"/>
          <w:divBdr>
            <w:top w:val="none" w:sz="0" w:space="0" w:color="auto"/>
            <w:left w:val="none" w:sz="0" w:space="0" w:color="auto"/>
            <w:bottom w:val="none" w:sz="0" w:space="0" w:color="auto"/>
            <w:right w:val="none" w:sz="0" w:space="0" w:color="auto"/>
          </w:divBdr>
        </w:div>
        <w:div w:id="1621764131">
          <w:marLeft w:val="640"/>
          <w:marRight w:val="0"/>
          <w:marTop w:val="0"/>
          <w:marBottom w:val="0"/>
          <w:divBdr>
            <w:top w:val="none" w:sz="0" w:space="0" w:color="auto"/>
            <w:left w:val="none" w:sz="0" w:space="0" w:color="auto"/>
            <w:bottom w:val="none" w:sz="0" w:space="0" w:color="auto"/>
            <w:right w:val="none" w:sz="0" w:space="0" w:color="auto"/>
          </w:divBdr>
        </w:div>
        <w:div w:id="1830093102">
          <w:marLeft w:val="640"/>
          <w:marRight w:val="0"/>
          <w:marTop w:val="0"/>
          <w:marBottom w:val="0"/>
          <w:divBdr>
            <w:top w:val="none" w:sz="0" w:space="0" w:color="auto"/>
            <w:left w:val="none" w:sz="0" w:space="0" w:color="auto"/>
            <w:bottom w:val="none" w:sz="0" w:space="0" w:color="auto"/>
            <w:right w:val="none" w:sz="0" w:space="0" w:color="auto"/>
          </w:divBdr>
        </w:div>
        <w:div w:id="1962804635">
          <w:marLeft w:val="640"/>
          <w:marRight w:val="0"/>
          <w:marTop w:val="0"/>
          <w:marBottom w:val="0"/>
          <w:divBdr>
            <w:top w:val="none" w:sz="0" w:space="0" w:color="auto"/>
            <w:left w:val="none" w:sz="0" w:space="0" w:color="auto"/>
            <w:bottom w:val="none" w:sz="0" w:space="0" w:color="auto"/>
            <w:right w:val="none" w:sz="0" w:space="0" w:color="auto"/>
          </w:divBdr>
        </w:div>
        <w:div w:id="928125744">
          <w:marLeft w:val="640"/>
          <w:marRight w:val="0"/>
          <w:marTop w:val="0"/>
          <w:marBottom w:val="0"/>
          <w:divBdr>
            <w:top w:val="none" w:sz="0" w:space="0" w:color="auto"/>
            <w:left w:val="none" w:sz="0" w:space="0" w:color="auto"/>
            <w:bottom w:val="none" w:sz="0" w:space="0" w:color="auto"/>
            <w:right w:val="none" w:sz="0" w:space="0" w:color="auto"/>
          </w:divBdr>
        </w:div>
        <w:div w:id="2088336170">
          <w:marLeft w:val="640"/>
          <w:marRight w:val="0"/>
          <w:marTop w:val="0"/>
          <w:marBottom w:val="0"/>
          <w:divBdr>
            <w:top w:val="none" w:sz="0" w:space="0" w:color="auto"/>
            <w:left w:val="none" w:sz="0" w:space="0" w:color="auto"/>
            <w:bottom w:val="none" w:sz="0" w:space="0" w:color="auto"/>
            <w:right w:val="none" w:sz="0" w:space="0" w:color="auto"/>
          </w:divBdr>
        </w:div>
        <w:div w:id="2114131224">
          <w:marLeft w:val="640"/>
          <w:marRight w:val="0"/>
          <w:marTop w:val="0"/>
          <w:marBottom w:val="0"/>
          <w:divBdr>
            <w:top w:val="none" w:sz="0" w:space="0" w:color="auto"/>
            <w:left w:val="none" w:sz="0" w:space="0" w:color="auto"/>
            <w:bottom w:val="none" w:sz="0" w:space="0" w:color="auto"/>
            <w:right w:val="none" w:sz="0" w:space="0" w:color="auto"/>
          </w:divBdr>
        </w:div>
        <w:div w:id="1733500561">
          <w:marLeft w:val="640"/>
          <w:marRight w:val="0"/>
          <w:marTop w:val="0"/>
          <w:marBottom w:val="0"/>
          <w:divBdr>
            <w:top w:val="none" w:sz="0" w:space="0" w:color="auto"/>
            <w:left w:val="none" w:sz="0" w:space="0" w:color="auto"/>
            <w:bottom w:val="none" w:sz="0" w:space="0" w:color="auto"/>
            <w:right w:val="none" w:sz="0" w:space="0" w:color="auto"/>
          </w:divBdr>
        </w:div>
        <w:div w:id="1272474396">
          <w:marLeft w:val="640"/>
          <w:marRight w:val="0"/>
          <w:marTop w:val="0"/>
          <w:marBottom w:val="0"/>
          <w:divBdr>
            <w:top w:val="none" w:sz="0" w:space="0" w:color="auto"/>
            <w:left w:val="none" w:sz="0" w:space="0" w:color="auto"/>
            <w:bottom w:val="none" w:sz="0" w:space="0" w:color="auto"/>
            <w:right w:val="none" w:sz="0" w:space="0" w:color="auto"/>
          </w:divBdr>
        </w:div>
        <w:div w:id="1682733040">
          <w:marLeft w:val="640"/>
          <w:marRight w:val="0"/>
          <w:marTop w:val="0"/>
          <w:marBottom w:val="0"/>
          <w:divBdr>
            <w:top w:val="none" w:sz="0" w:space="0" w:color="auto"/>
            <w:left w:val="none" w:sz="0" w:space="0" w:color="auto"/>
            <w:bottom w:val="none" w:sz="0" w:space="0" w:color="auto"/>
            <w:right w:val="none" w:sz="0" w:space="0" w:color="auto"/>
          </w:divBdr>
        </w:div>
        <w:div w:id="1483501839">
          <w:marLeft w:val="640"/>
          <w:marRight w:val="0"/>
          <w:marTop w:val="0"/>
          <w:marBottom w:val="0"/>
          <w:divBdr>
            <w:top w:val="none" w:sz="0" w:space="0" w:color="auto"/>
            <w:left w:val="none" w:sz="0" w:space="0" w:color="auto"/>
            <w:bottom w:val="none" w:sz="0" w:space="0" w:color="auto"/>
            <w:right w:val="none" w:sz="0" w:space="0" w:color="auto"/>
          </w:divBdr>
        </w:div>
        <w:div w:id="1596207490">
          <w:marLeft w:val="640"/>
          <w:marRight w:val="0"/>
          <w:marTop w:val="0"/>
          <w:marBottom w:val="0"/>
          <w:divBdr>
            <w:top w:val="none" w:sz="0" w:space="0" w:color="auto"/>
            <w:left w:val="none" w:sz="0" w:space="0" w:color="auto"/>
            <w:bottom w:val="none" w:sz="0" w:space="0" w:color="auto"/>
            <w:right w:val="none" w:sz="0" w:space="0" w:color="auto"/>
          </w:divBdr>
        </w:div>
        <w:div w:id="1584102902">
          <w:marLeft w:val="640"/>
          <w:marRight w:val="0"/>
          <w:marTop w:val="0"/>
          <w:marBottom w:val="0"/>
          <w:divBdr>
            <w:top w:val="none" w:sz="0" w:space="0" w:color="auto"/>
            <w:left w:val="none" w:sz="0" w:space="0" w:color="auto"/>
            <w:bottom w:val="none" w:sz="0" w:space="0" w:color="auto"/>
            <w:right w:val="none" w:sz="0" w:space="0" w:color="auto"/>
          </w:divBdr>
        </w:div>
        <w:div w:id="650330165">
          <w:marLeft w:val="640"/>
          <w:marRight w:val="0"/>
          <w:marTop w:val="0"/>
          <w:marBottom w:val="0"/>
          <w:divBdr>
            <w:top w:val="none" w:sz="0" w:space="0" w:color="auto"/>
            <w:left w:val="none" w:sz="0" w:space="0" w:color="auto"/>
            <w:bottom w:val="none" w:sz="0" w:space="0" w:color="auto"/>
            <w:right w:val="none" w:sz="0" w:space="0" w:color="auto"/>
          </w:divBdr>
        </w:div>
        <w:div w:id="1177771961">
          <w:marLeft w:val="640"/>
          <w:marRight w:val="0"/>
          <w:marTop w:val="0"/>
          <w:marBottom w:val="0"/>
          <w:divBdr>
            <w:top w:val="none" w:sz="0" w:space="0" w:color="auto"/>
            <w:left w:val="none" w:sz="0" w:space="0" w:color="auto"/>
            <w:bottom w:val="none" w:sz="0" w:space="0" w:color="auto"/>
            <w:right w:val="none" w:sz="0" w:space="0" w:color="auto"/>
          </w:divBdr>
        </w:div>
        <w:div w:id="265504934">
          <w:marLeft w:val="640"/>
          <w:marRight w:val="0"/>
          <w:marTop w:val="0"/>
          <w:marBottom w:val="0"/>
          <w:divBdr>
            <w:top w:val="none" w:sz="0" w:space="0" w:color="auto"/>
            <w:left w:val="none" w:sz="0" w:space="0" w:color="auto"/>
            <w:bottom w:val="none" w:sz="0" w:space="0" w:color="auto"/>
            <w:right w:val="none" w:sz="0" w:space="0" w:color="auto"/>
          </w:divBdr>
        </w:div>
        <w:div w:id="548881108">
          <w:marLeft w:val="640"/>
          <w:marRight w:val="0"/>
          <w:marTop w:val="0"/>
          <w:marBottom w:val="0"/>
          <w:divBdr>
            <w:top w:val="none" w:sz="0" w:space="0" w:color="auto"/>
            <w:left w:val="none" w:sz="0" w:space="0" w:color="auto"/>
            <w:bottom w:val="none" w:sz="0" w:space="0" w:color="auto"/>
            <w:right w:val="none" w:sz="0" w:space="0" w:color="auto"/>
          </w:divBdr>
        </w:div>
        <w:div w:id="2052339505">
          <w:marLeft w:val="640"/>
          <w:marRight w:val="0"/>
          <w:marTop w:val="0"/>
          <w:marBottom w:val="0"/>
          <w:divBdr>
            <w:top w:val="none" w:sz="0" w:space="0" w:color="auto"/>
            <w:left w:val="none" w:sz="0" w:space="0" w:color="auto"/>
            <w:bottom w:val="none" w:sz="0" w:space="0" w:color="auto"/>
            <w:right w:val="none" w:sz="0" w:space="0" w:color="auto"/>
          </w:divBdr>
        </w:div>
        <w:div w:id="2134714915">
          <w:marLeft w:val="640"/>
          <w:marRight w:val="0"/>
          <w:marTop w:val="0"/>
          <w:marBottom w:val="0"/>
          <w:divBdr>
            <w:top w:val="none" w:sz="0" w:space="0" w:color="auto"/>
            <w:left w:val="none" w:sz="0" w:space="0" w:color="auto"/>
            <w:bottom w:val="none" w:sz="0" w:space="0" w:color="auto"/>
            <w:right w:val="none" w:sz="0" w:space="0" w:color="auto"/>
          </w:divBdr>
        </w:div>
        <w:div w:id="1769235937">
          <w:marLeft w:val="640"/>
          <w:marRight w:val="0"/>
          <w:marTop w:val="0"/>
          <w:marBottom w:val="0"/>
          <w:divBdr>
            <w:top w:val="none" w:sz="0" w:space="0" w:color="auto"/>
            <w:left w:val="none" w:sz="0" w:space="0" w:color="auto"/>
            <w:bottom w:val="none" w:sz="0" w:space="0" w:color="auto"/>
            <w:right w:val="none" w:sz="0" w:space="0" w:color="auto"/>
          </w:divBdr>
        </w:div>
        <w:div w:id="2132479467">
          <w:marLeft w:val="640"/>
          <w:marRight w:val="0"/>
          <w:marTop w:val="0"/>
          <w:marBottom w:val="0"/>
          <w:divBdr>
            <w:top w:val="none" w:sz="0" w:space="0" w:color="auto"/>
            <w:left w:val="none" w:sz="0" w:space="0" w:color="auto"/>
            <w:bottom w:val="none" w:sz="0" w:space="0" w:color="auto"/>
            <w:right w:val="none" w:sz="0" w:space="0" w:color="auto"/>
          </w:divBdr>
        </w:div>
        <w:div w:id="2096896509">
          <w:marLeft w:val="640"/>
          <w:marRight w:val="0"/>
          <w:marTop w:val="0"/>
          <w:marBottom w:val="0"/>
          <w:divBdr>
            <w:top w:val="none" w:sz="0" w:space="0" w:color="auto"/>
            <w:left w:val="none" w:sz="0" w:space="0" w:color="auto"/>
            <w:bottom w:val="none" w:sz="0" w:space="0" w:color="auto"/>
            <w:right w:val="none" w:sz="0" w:space="0" w:color="auto"/>
          </w:divBdr>
        </w:div>
        <w:div w:id="488405511">
          <w:marLeft w:val="640"/>
          <w:marRight w:val="0"/>
          <w:marTop w:val="0"/>
          <w:marBottom w:val="0"/>
          <w:divBdr>
            <w:top w:val="none" w:sz="0" w:space="0" w:color="auto"/>
            <w:left w:val="none" w:sz="0" w:space="0" w:color="auto"/>
            <w:bottom w:val="none" w:sz="0" w:space="0" w:color="auto"/>
            <w:right w:val="none" w:sz="0" w:space="0" w:color="auto"/>
          </w:divBdr>
        </w:div>
        <w:div w:id="361563512">
          <w:marLeft w:val="640"/>
          <w:marRight w:val="0"/>
          <w:marTop w:val="0"/>
          <w:marBottom w:val="0"/>
          <w:divBdr>
            <w:top w:val="none" w:sz="0" w:space="0" w:color="auto"/>
            <w:left w:val="none" w:sz="0" w:space="0" w:color="auto"/>
            <w:bottom w:val="none" w:sz="0" w:space="0" w:color="auto"/>
            <w:right w:val="none" w:sz="0" w:space="0" w:color="auto"/>
          </w:divBdr>
        </w:div>
        <w:div w:id="973877364">
          <w:marLeft w:val="640"/>
          <w:marRight w:val="0"/>
          <w:marTop w:val="0"/>
          <w:marBottom w:val="0"/>
          <w:divBdr>
            <w:top w:val="none" w:sz="0" w:space="0" w:color="auto"/>
            <w:left w:val="none" w:sz="0" w:space="0" w:color="auto"/>
            <w:bottom w:val="none" w:sz="0" w:space="0" w:color="auto"/>
            <w:right w:val="none" w:sz="0" w:space="0" w:color="auto"/>
          </w:divBdr>
        </w:div>
        <w:div w:id="637806420">
          <w:marLeft w:val="640"/>
          <w:marRight w:val="0"/>
          <w:marTop w:val="0"/>
          <w:marBottom w:val="0"/>
          <w:divBdr>
            <w:top w:val="none" w:sz="0" w:space="0" w:color="auto"/>
            <w:left w:val="none" w:sz="0" w:space="0" w:color="auto"/>
            <w:bottom w:val="none" w:sz="0" w:space="0" w:color="auto"/>
            <w:right w:val="none" w:sz="0" w:space="0" w:color="auto"/>
          </w:divBdr>
        </w:div>
        <w:div w:id="693069821">
          <w:marLeft w:val="640"/>
          <w:marRight w:val="0"/>
          <w:marTop w:val="0"/>
          <w:marBottom w:val="0"/>
          <w:divBdr>
            <w:top w:val="none" w:sz="0" w:space="0" w:color="auto"/>
            <w:left w:val="none" w:sz="0" w:space="0" w:color="auto"/>
            <w:bottom w:val="none" w:sz="0" w:space="0" w:color="auto"/>
            <w:right w:val="none" w:sz="0" w:space="0" w:color="auto"/>
          </w:divBdr>
        </w:div>
        <w:div w:id="1934775895">
          <w:marLeft w:val="640"/>
          <w:marRight w:val="0"/>
          <w:marTop w:val="0"/>
          <w:marBottom w:val="0"/>
          <w:divBdr>
            <w:top w:val="none" w:sz="0" w:space="0" w:color="auto"/>
            <w:left w:val="none" w:sz="0" w:space="0" w:color="auto"/>
            <w:bottom w:val="none" w:sz="0" w:space="0" w:color="auto"/>
            <w:right w:val="none" w:sz="0" w:space="0" w:color="auto"/>
          </w:divBdr>
        </w:div>
        <w:div w:id="873269497">
          <w:marLeft w:val="640"/>
          <w:marRight w:val="0"/>
          <w:marTop w:val="0"/>
          <w:marBottom w:val="0"/>
          <w:divBdr>
            <w:top w:val="none" w:sz="0" w:space="0" w:color="auto"/>
            <w:left w:val="none" w:sz="0" w:space="0" w:color="auto"/>
            <w:bottom w:val="none" w:sz="0" w:space="0" w:color="auto"/>
            <w:right w:val="none" w:sz="0" w:space="0" w:color="auto"/>
          </w:divBdr>
        </w:div>
        <w:div w:id="561255399">
          <w:marLeft w:val="640"/>
          <w:marRight w:val="0"/>
          <w:marTop w:val="0"/>
          <w:marBottom w:val="0"/>
          <w:divBdr>
            <w:top w:val="none" w:sz="0" w:space="0" w:color="auto"/>
            <w:left w:val="none" w:sz="0" w:space="0" w:color="auto"/>
            <w:bottom w:val="none" w:sz="0" w:space="0" w:color="auto"/>
            <w:right w:val="none" w:sz="0" w:space="0" w:color="auto"/>
          </w:divBdr>
        </w:div>
        <w:div w:id="2084720613">
          <w:marLeft w:val="640"/>
          <w:marRight w:val="0"/>
          <w:marTop w:val="0"/>
          <w:marBottom w:val="0"/>
          <w:divBdr>
            <w:top w:val="none" w:sz="0" w:space="0" w:color="auto"/>
            <w:left w:val="none" w:sz="0" w:space="0" w:color="auto"/>
            <w:bottom w:val="none" w:sz="0" w:space="0" w:color="auto"/>
            <w:right w:val="none" w:sz="0" w:space="0" w:color="auto"/>
          </w:divBdr>
        </w:div>
        <w:div w:id="541940567">
          <w:marLeft w:val="640"/>
          <w:marRight w:val="0"/>
          <w:marTop w:val="0"/>
          <w:marBottom w:val="0"/>
          <w:divBdr>
            <w:top w:val="none" w:sz="0" w:space="0" w:color="auto"/>
            <w:left w:val="none" w:sz="0" w:space="0" w:color="auto"/>
            <w:bottom w:val="none" w:sz="0" w:space="0" w:color="auto"/>
            <w:right w:val="none" w:sz="0" w:space="0" w:color="auto"/>
          </w:divBdr>
        </w:div>
        <w:div w:id="1836534217">
          <w:marLeft w:val="640"/>
          <w:marRight w:val="0"/>
          <w:marTop w:val="0"/>
          <w:marBottom w:val="0"/>
          <w:divBdr>
            <w:top w:val="none" w:sz="0" w:space="0" w:color="auto"/>
            <w:left w:val="none" w:sz="0" w:space="0" w:color="auto"/>
            <w:bottom w:val="none" w:sz="0" w:space="0" w:color="auto"/>
            <w:right w:val="none" w:sz="0" w:space="0" w:color="auto"/>
          </w:divBdr>
        </w:div>
        <w:div w:id="1515651131">
          <w:marLeft w:val="640"/>
          <w:marRight w:val="0"/>
          <w:marTop w:val="0"/>
          <w:marBottom w:val="0"/>
          <w:divBdr>
            <w:top w:val="none" w:sz="0" w:space="0" w:color="auto"/>
            <w:left w:val="none" w:sz="0" w:space="0" w:color="auto"/>
            <w:bottom w:val="none" w:sz="0" w:space="0" w:color="auto"/>
            <w:right w:val="none" w:sz="0" w:space="0" w:color="auto"/>
          </w:divBdr>
        </w:div>
        <w:div w:id="30885808">
          <w:marLeft w:val="640"/>
          <w:marRight w:val="0"/>
          <w:marTop w:val="0"/>
          <w:marBottom w:val="0"/>
          <w:divBdr>
            <w:top w:val="none" w:sz="0" w:space="0" w:color="auto"/>
            <w:left w:val="none" w:sz="0" w:space="0" w:color="auto"/>
            <w:bottom w:val="none" w:sz="0" w:space="0" w:color="auto"/>
            <w:right w:val="none" w:sz="0" w:space="0" w:color="auto"/>
          </w:divBdr>
        </w:div>
        <w:div w:id="615408031">
          <w:marLeft w:val="640"/>
          <w:marRight w:val="0"/>
          <w:marTop w:val="0"/>
          <w:marBottom w:val="0"/>
          <w:divBdr>
            <w:top w:val="none" w:sz="0" w:space="0" w:color="auto"/>
            <w:left w:val="none" w:sz="0" w:space="0" w:color="auto"/>
            <w:bottom w:val="none" w:sz="0" w:space="0" w:color="auto"/>
            <w:right w:val="none" w:sz="0" w:space="0" w:color="auto"/>
          </w:divBdr>
        </w:div>
        <w:div w:id="1303971243">
          <w:marLeft w:val="640"/>
          <w:marRight w:val="0"/>
          <w:marTop w:val="0"/>
          <w:marBottom w:val="0"/>
          <w:divBdr>
            <w:top w:val="none" w:sz="0" w:space="0" w:color="auto"/>
            <w:left w:val="none" w:sz="0" w:space="0" w:color="auto"/>
            <w:bottom w:val="none" w:sz="0" w:space="0" w:color="auto"/>
            <w:right w:val="none" w:sz="0" w:space="0" w:color="auto"/>
          </w:divBdr>
        </w:div>
        <w:div w:id="337387538">
          <w:marLeft w:val="640"/>
          <w:marRight w:val="0"/>
          <w:marTop w:val="0"/>
          <w:marBottom w:val="0"/>
          <w:divBdr>
            <w:top w:val="none" w:sz="0" w:space="0" w:color="auto"/>
            <w:left w:val="none" w:sz="0" w:space="0" w:color="auto"/>
            <w:bottom w:val="none" w:sz="0" w:space="0" w:color="auto"/>
            <w:right w:val="none" w:sz="0" w:space="0" w:color="auto"/>
          </w:divBdr>
        </w:div>
        <w:div w:id="197473591">
          <w:marLeft w:val="640"/>
          <w:marRight w:val="0"/>
          <w:marTop w:val="0"/>
          <w:marBottom w:val="0"/>
          <w:divBdr>
            <w:top w:val="none" w:sz="0" w:space="0" w:color="auto"/>
            <w:left w:val="none" w:sz="0" w:space="0" w:color="auto"/>
            <w:bottom w:val="none" w:sz="0" w:space="0" w:color="auto"/>
            <w:right w:val="none" w:sz="0" w:space="0" w:color="auto"/>
          </w:divBdr>
        </w:div>
        <w:div w:id="748043976">
          <w:marLeft w:val="640"/>
          <w:marRight w:val="0"/>
          <w:marTop w:val="0"/>
          <w:marBottom w:val="0"/>
          <w:divBdr>
            <w:top w:val="none" w:sz="0" w:space="0" w:color="auto"/>
            <w:left w:val="none" w:sz="0" w:space="0" w:color="auto"/>
            <w:bottom w:val="none" w:sz="0" w:space="0" w:color="auto"/>
            <w:right w:val="none" w:sz="0" w:space="0" w:color="auto"/>
          </w:divBdr>
        </w:div>
        <w:div w:id="1061249830">
          <w:marLeft w:val="640"/>
          <w:marRight w:val="0"/>
          <w:marTop w:val="0"/>
          <w:marBottom w:val="0"/>
          <w:divBdr>
            <w:top w:val="none" w:sz="0" w:space="0" w:color="auto"/>
            <w:left w:val="none" w:sz="0" w:space="0" w:color="auto"/>
            <w:bottom w:val="none" w:sz="0" w:space="0" w:color="auto"/>
            <w:right w:val="none" w:sz="0" w:space="0" w:color="auto"/>
          </w:divBdr>
        </w:div>
        <w:div w:id="1148284058">
          <w:marLeft w:val="640"/>
          <w:marRight w:val="0"/>
          <w:marTop w:val="0"/>
          <w:marBottom w:val="0"/>
          <w:divBdr>
            <w:top w:val="none" w:sz="0" w:space="0" w:color="auto"/>
            <w:left w:val="none" w:sz="0" w:space="0" w:color="auto"/>
            <w:bottom w:val="none" w:sz="0" w:space="0" w:color="auto"/>
            <w:right w:val="none" w:sz="0" w:space="0" w:color="auto"/>
          </w:divBdr>
        </w:div>
        <w:div w:id="1238856506">
          <w:marLeft w:val="640"/>
          <w:marRight w:val="0"/>
          <w:marTop w:val="0"/>
          <w:marBottom w:val="0"/>
          <w:divBdr>
            <w:top w:val="none" w:sz="0" w:space="0" w:color="auto"/>
            <w:left w:val="none" w:sz="0" w:space="0" w:color="auto"/>
            <w:bottom w:val="none" w:sz="0" w:space="0" w:color="auto"/>
            <w:right w:val="none" w:sz="0" w:space="0" w:color="auto"/>
          </w:divBdr>
        </w:div>
        <w:div w:id="1336879604">
          <w:marLeft w:val="640"/>
          <w:marRight w:val="0"/>
          <w:marTop w:val="0"/>
          <w:marBottom w:val="0"/>
          <w:divBdr>
            <w:top w:val="none" w:sz="0" w:space="0" w:color="auto"/>
            <w:left w:val="none" w:sz="0" w:space="0" w:color="auto"/>
            <w:bottom w:val="none" w:sz="0" w:space="0" w:color="auto"/>
            <w:right w:val="none" w:sz="0" w:space="0" w:color="auto"/>
          </w:divBdr>
        </w:div>
        <w:div w:id="366837583">
          <w:marLeft w:val="640"/>
          <w:marRight w:val="0"/>
          <w:marTop w:val="0"/>
          <w:marBottom w:val="0"/>
          <w:divBdr>
            <w:top w:val="none" w:sz="0" w:space="0" w:color="auto"/>
            <w:left w:val="none" w:sz="0" w:space="0" w:color="auto"/>
            <w:bottom w:val="none" w:sz="0" w:space="0" w:color="auto"/>
            <w:right w:val="none" w:sz="0" w:space="0" w:color="auto"/>
          </w:divBdr>
        </w:div>
        <w:div w:id="309023318">
          <w:marLeft w:val="640"/>
          <w:marRight w:val="0"/>
          <w:marTop w:val="0"/>
          <w:marBottom w:val="0"/>
          <w:divBdr>
            <w:top w:val="none" w:sz="0" w:space="0" w:color="auto"/>
            <w:left w:val="none" w:sz="0" w:space="0" w:color="auto"/>
            <w:bottom w:val="none" w:sz="0" w:space="0" w:color="auto"/>
            <w:right w:val="none" w:sz="0" w:space="0" w:color="auto"/>
          </w:divBdr>
        </w:div>
        <w:div w:id="661153884">
          <w:marLeft w:val="640"/>
          <w:marRight w:val="0"/>
          <w:marTop w:val="0"/>
          <w:marBottom w:val="0"/>
          <w:divBdr>
            <w:top w:val="none" w:sz="0" w:space="0" w:color="auto"/>
            <w:left w:val="none" w:sz="0" w:space="0" w:color="auto"/>
            <w:bottom w:val="none" w:sz="0" w:space="0" w:color="auto"/>
            <w:right w:val="none" w:sz="0" w:space="0" w:color="auto"/>
          </w:divBdr>
        </w:div>
        <w:div w:id="1556891133">
          <w:marLeft w:val="640"/>
          <w:marRight w:val="0"/>
          <w:marTop w:val="0"/>
          <w:marBottom w:val="0"/>
          <w:divBdr>
            <w:top w:val="none" w:sz="0" w:space="0" w:color="auto"/>
            <w:left w:val="none" w:sz="0" w:space="0" w:color="auto"/>
            <w:bottom w:val="none" w:sz="0" w:space="0" w:color="auto"/>
            <w:right w:val="none" w:sz="0" w:space="0" w:color="auto"/>
          </w:divBdr>
        </w:div>
        <w:div w:id="407121317">
          <w:marLeft w:val="640"/>
          <w:marRight w:val="0"/>
          <w:marTop w:val="0"/>
          <w:marBottom w:val="0"/>
          <w:divBdr>
            <w:top w:val="none" w:sz="0" w:space="0" w:color="auto"/>
            <w:left w:val="none" w:sz="0" w:space="0" w:color="auto"/>
            <w:bottom w:val="none" w:sz="0" w:space="0" w:color="auto"/>
            <w:right w:val="none" w:sz="0" w:space="0" w:color="auto"/>
          </w:divBdr>
        </w:div>
        <w:div w:id="232668817">
          <w:marLeft w:val="640"/>
          <w:marRight w:val="0"/>
          <w:marTop w:val="0"/>
          <w:marBottom w:val="0"/>
          <w:divBdr>
            <w:top w:val="none" w:sz="0" w:space="0" w:color="auto"/>
            <w:left w:val="none" w:sz="0" w:space="0" w:color="auto"/>
            <w:bottom w:val="none" w:sz="0" w:space="0" w:color="auto"/>
            <w:right w:val="none" w:sz="0" w:space="0" w:color="auto"/>
          </w:divBdr>
        </w:div>
        <w:div w:id="664170270">
          <w:marLeft w:val="640"/>
          <w:marRight w:val="0"/>
          <w:marTop w:val="0"/>
          <w:marBottom w:val="0"/>
          <w:divBdr>
            <w:top w:val="none" w:sz="0" w:space="0" w:color="auto"/>
            <w:left w:val="none" w:sz="0" w:space="0" w:color="auto"/>
            <w:bottom w:val="none" w:sz="0" w:space="0" w:color="auto"/>
            <w:right w:val="none" w:sz="0" w:space="0" w:color="auto"/>
          </w:divBdr>
        </w:div>
        <w:div w:id="1772626370">
          <w:marLeft w:val="640"/>
          <w:marRight w:val="0"/>
          <w:marTop w:val="0"/>
          <w:marBottom w:val="0"/>
          <w:divBdr>
            <w:top w:val="none" w:sz="0" w:space="0" w:color="auto"/>
            <w:left w:val="none" w:sz="0" w:space="0" w:color="auto"/>
            <w:bottom w:val="none" w:sz="0" w:space="0" w:color="auto"/>
            <w:right w:val="none" w:sz="0" w:space="0" w:color="auto"/>
          </w:divBdr>
        </w:div>
        <w:div w:id="396434967">
          <w:marLeft w:val="640"/>
          <w:marRight w:val="0"/>
          <w:marTop w:val="0"/>
          <w:marBottom w:val="0"/>
          <w:divBdr>
            <w:top w:val="none" w:sz="0" w:space="0" w:color="auto"/>
            <w:left w:val="none" w:sz="0" w:space="0" w:color="auto"/>
            <w:bottom w:val="none" w:sz="0" w:space="0" w:color="auto"/>
            <w:right w:val="none" w:sz="0" w:space="0" w:color="auto"/>
          </w:divBdr>
        </w:div>
        <w:div w:id="540285811">
          <w:marLeft w:val="640"/>
          <w:marRight w:val="0"/>
          <w:marTop w:val="0"/>
          <w:marBottom w:val="0"/>
          <w:divBdr>
            <w:top w:val="none" w:sz="0" w:space="0" w:color="auto"/>
            <w:left w:val="none" w:sz="0" w:space="0" w:color="auto"/>
            <w:bottom w:val="none" w:sz="0" w:space="0" w:color="auto"/>
            <w:right w:val="none" w:sz="0" w:space="0" w:color="auto"/>
          </w:divBdr>
        </w:div>
        <w:div w:id="1074428883">
          <w:marLeft w:val="640"/>
          <w:marRight w:val="0"/>
          <w:marTop w:val="0"/>
          <w:marBottom w:val="0"/>
          <w:divBdr>
            <w:top w:val="none" w:sz="0" w:space="0" w:color="auto"/>
            <w:left w:val="none" w:sz="0" w:space="0" w:color="auto"/>
            <w:bottom w:val="none" w:sz="0" w:space="0" w:color="auto"/>
            <w:right w:val="none" w:sz="0" w:space="0" w:color="auto"/>
          </w:divBdr>
        </w:div>
        <w:div w:id="1156383076">
          <w:marLeft w:val="640"/>
          <w:marRight w:val="0"/>
          <w:marTop w:val="0"/>
          <w:marBottom w:val="0"/>
          <w:divBdr>
            <w:top w:val="none" w:sz="0" w:space="0" w:color="auto"/>
            <w:left w:val="none" w:sz="0" w:space="0" w:color="auto"/>
            <w:bottom w:val="none" w:sz="0" w:space="0" w:color="auto"/>
            <w:right w:val="none" w:sz="0" w:space="0" w:color="auto"/>
          </w:divBdr>
        </w:div>
        <w:div w:id="230383926">
          <w:marLeft w:val="640"/>
          <w:marRight w:val="0"/>
          <w:marTop w:val="0"/>
          <w:marBottom w:val="0"/>
          <w:divBdr>
            <w:top w:val="none" w:sz="0" w:space="0" w:color="auto"/>
            <w:left w:val="none" w:sz="0" w:space="0" w:color="auto"/>
            <w:bottom w:val="none" w:sz="0" w:space="0" w:color="auto"/>
            <w:right w:val="none" w:sz="0" w:space="0" w:color="auto"/>
          </w:divBdr>
        </w:div>
        <w:div w:id="433214214">
          <w:marLeft w:val="640"/>
          <w:marRight w:val="0"/>
          <w:marTop w:val="0"/>
          <w:marBottom w:val="0"/>
          <w:divBdr>
            <w:top w:val="none" w:sz="0" w:space="0" w:color="auto"/>
            <w:left w:val="none" w:sz="0" w:space="0" w:color="auto"/>
            <w:bottom w:val="none" w:sz="0" w:space="0" w:color="auto"/>
            <w:right w:val="none" w:sz="0" w:space="0" w:color="auto"/>
          </w:divBdr>
        </w:div>
        <w:div w:id="249780252">
          <w:marLeft w:val="640"/>
          <w:marRight w:val="0"/>
          <w:marTop w:val="0"/>
          <w:marBottom w:val="0"/>
          <w:divBdr>
            <w:top w:val="none" w:sz="0" w:space="0" w:color="auto"/>
            <w:left w:val="none" w:sz="0" w:space="0" w:color="auto"/>
            <w:bottom w:val="none" w:sz="0" w:space="0" w:color="auto"/>
            <w:right w:val="none" w:sz="0" w:space="0" w:color="auto"/>
          </w:divBdr>
        </w:div>
        <w:div w:id="905383100">
          <w:marLeft w:val="640"/>
          <w:marRight w:val="0"/>
          <w:marTop w:val="0"/>
          <w:marBottom w:val="0"/>
          <w:divBdr>
            <w:top w:val="none" w:sz="0" w:space="0" w:color="auto"/>
            <w:left w:val="none" w:sz="0" w:space="0" w:color="auto"/>
            <w:bottom w:val="none" w:sz="0" w:space="0" w:color="auto"/>
            <w:right w:val="none" w:sz="0" w:space="0" w:color="auto"/>
          </w:divBdr>
        </w:div>
        <w:div w:id="196356357">
          <w:marLeft w:val="640"/>
          <w:marRight w:val="0"/>
          <w:marTop w:val="0"/>
          <w:marBottom w:val="0"/>
          <w:divBdr>
            <w:top w:val="none" w:sz="0" w:space="0" w:color="auto"/>
            <w:left w:val="none" w:sz="0" w:space="0" w:color="auto"/>
            <w:bottom w:val="none" w:sz="0" w:space="0" w:color="auto"/>
            <w:right w:val="none" w:sz="0" w:space="0" w:color="auto"/>
          </w:divBdr>
        </w:div>
        <w:div w:id="1597253808">
          <w:marLeft w:val="640"/>
          <w:marRight w:val="0"/>
          <w:marTop w:val="0"/>
          <w:marBottom w:val="0"/>
          <w:divBdr>
            <w:top w:val="none" w:sz="0" w:space="0" w:color="auto"/>
            <w:left w:val="none" w:sz="0" w:space="0" w:color="auto"/>
            <w:bottom w:val="none" w:sz="0" w:space="0" w:color="auto"/>
            <w:right w:val="none" w:sz="0" w:space="0" w:color="auto"/>
          </w:divBdr>
        </w:div>
        <w:div w:id="277108829">
          <w:marLeft w:val="640"/>
          <w:marRight w:val="0"/>
          <w:marTop w:val="0"/>
          <w:marBottom w:val="0"/>
          <w:divBdr>
            <w:top w:val="none" w:sz="0" w:space="0" w:color="auto"/>
            <w:left w:val="none" w:sz="0" w:space="0" w:color="auto"/>
            <w:bottom w:val="none" w:sz="0" w:space="0" w:color="auto"/>
            <w:right w:val="none" w:sz="0" w:space="0" w:color="auto"/>
          </w:divBdr>
        </w:div>
        <w:div w:id="649332427">
          <w:marLeft w:val="640"/>
          <w:marRight w:val="0"/>
          <w:marTop w:val="0"/>
          <w:marBottom w:val="0"/>
          <w:divBdr>
            <w:top w:val="none" w:sz="0" w:space="0" w:color="auto"/>
            <w:left w:val="none" w:sz="0" w:space="0" w:color="auto"/>
            <w:bottom w:val="none" w:sz="0" w:space="0" w:color="auto"/>
            <w:right w:val="none" w:sz="0" w:space="0" w:color="auto"/>
          </w:divBdr>
        </w:div>
        <w:div w:id="1978873379">
          <w:marLeft w:val="640"/>
          <w:marRight w:val="0"/>
          <w:marTop w:val="0"/>
          <w:marBottom w:val="0"/>
          <w:divBdr>
            <w:top w:val="none" w:sz="0" w:space="0" w:color="auto"/>
            <w:left w:val="none" w:sz="0" w:space="0" w:color="auto"/>
            <w:bottom w:val="none" w:sz="0" w:space="0" w:color="auto"/>
            <w:right w:val="none" w:sz="0" w:space="0" w:color="auto"/>
          </w:divBdr>
        </w:div>
        <w:div w:id="393357858">
          <w:marLeft w:val="640"/>
          <w:marRight w:val="0"/>
          <w:marTop w:val="0"/>
          <w:marBottom w:val="0"/>
          <w:divBdr>
            <w:top w:val="none" w:sz="0" w:space="0" w:color="auto"/>
            <w:left w:val="none" w:sz="0" w:space="0" w:color="auto"/>
            <w:bottom w:val="none" w:sz="0" w:space="0" w:color="auto"/>
            <w:right w:val="none" w:sz="0" w:space="0" w:color="auto"/>
          </w:divBdr>
        </w:div>
        <w:div w:id="1136491804">
          <w:marLeft w:val="640"/>
          <w:marRight w:val="0"/>
          <w:marTop w:val="0"/>
          <w:marBottom w:val="0"/>
          <w:divBdr>
            <w:top w:val="none" w:sz="0" w:space="0" w:color="auto"/>
            <w:left w:val="none" w:sz="0" w:space="0" w:color="auto"/>
            <w:bottom w:val="none" w:sz="0" w:space="0" w:color="auto"/>
            <w:right w:val="none" w:sz="0" w:space="0" w:color="auto"/>
          </w:divBdr>
        </w:div>
        <w:div w:id="1746608872">
          <w:marLeft w:val="640"/>
          <w:marRight w:val="0"/>
          <w:marTop w:val="0"/>
          <w:marBottom w:val="0"/>
          <w:divBdr>
            <w:top w:val="none" w:sz="0" w:space="0" w:color="auto"/>
            <w:left w:val="none" w:sz="0" w:space="0" w:color="auto"/>
            <w:bottom w:val="none" w:sz="0" w:space="0" w:color="auto"/>
            <w:right w:val="none" w:sz="0" w:space="0" w:color="auto"/>
          </w:divBdr>
        </w:div>
        <w:div w:id="2029260170">
          <w:marLeft w:val="640"/>
          <w:marRight w:val="0"/>
          <w:marTop w:val="0"/>
          <w:marBottom w:val="0"/>
          <w:divBdr>
            <w:top w:val="none" w:sz="0" w:space="0" w:color="auto"/>
            <w:left w:val="none" w:sz="0" w:space="0" w:color="auto"/>
            <w:bottom w:val="none" w:sz="0" w:space="0" w:color="auto"/>
            <w:right w:val="none" w:sz="0" w:space="0" w:color="auto"/>
          </w:divBdr>
        </w:div>
        <w:div w:id="1957902126">
          <w:marLeft w:val="640"/>
          <w:marRight w:val="0"/>
          <w:marTop w:val="0"/>
          <w:marBottom w:val="0"/>
          <w:divBdr>
            <w:top w:val="none" w:sz="0" w:space="0" w:color="auto"/>
            <w:left w:val="none" w:sz="0" w:space="0" w:color="auto"/>
            <w:bottom w:val="none" w:sz="0" w:space="0" w:color="auto"/>
            <w:right w:val="none" w:sz="0" w:space="0" w:color="auto"/>
          </w:divBdr>
        </w:div>
        <w:div w:id="800267275">
          <w:marLeft w:val="640"/>
          <w:marRight w:val="0"/>
          <w:marTop w:val="0"/>
          <w:marBottom w:val="0"/>
          <w:divBdr>
            <w:top w:val="none" w:sz="0" w:space="0" w:color="auto"/>
            <w:left w:val="none" w:sz="0" w:space="0" w:color="auto"/>
            <w:bottom w:val="none" w:sz="0" w:space="0" w:color="auto"/>
            <w:right w:val="none" w:sz="0" w:space="0" w:color="auto"/>
          </w:divBdr>
        </w:div>
        <w:div w:id="1269124683">
          <w:marLeft w:val="640"/>
          <w:marRight w:val="0"/>
          <w:marTop w:val="0"/>
          <w:marBottom w:val="0"/>
          <w:divBdr>
            <w:top w:val="none" w:sz="0" w:space="0" w:color="auto"/>
            <w:left w:val="none" w:sz="0" w:space="0" w:color="auto"/>
            <w:bottom w:val="none" w:sz="0" w:space="0" w:color="auto"/>
            <w:right w:val="none" w:sz="0" w:space="0" w:color="auto"/>
          </w:divBdr>
        </w:div>
        <w:div w:id="1919440387">
          <w:marLeft w:val="640"/>
          <w:marRight w:val="0"/>
          <w:marTop w:val="0"/>
          <w:marBottom w:val="0"/>
          <w:divBdr>
            <w:top w:val="none" w:sz="0" w:space="0" w:color="auto"/>
            <w:left w:val="none" w:sz="0" w:space="0" w:color="auto"/>
            <w:bottom w:val="none" w:sz="0" w:space="0" w:color="auto"/>
            <w:right w:val="none" w:sz="0" w:space="0" w:color="auto"/>
          </w:divBdr>
        </w:div>
        <w:div w:id="2145849369">
          <w:marLeft w:val="640"/>
          <w:marRight w:val="0"/>
          <w:marTop w:val="0"/>
          <w:marBottom w:val="0"/>
          <w:divBdr>
            <w:top w:val="none" w:sz="0" w:space="0" w:color="auto"/>
            <w:left w:val="none" w:sz="0" w:space="0" w:color="auto"/>
            <w:bottom w:val="none" w:sz="0" w:space="0" w:color="auto"/>
            <w:right w:val="none" w:sz="0" w:space="0" w:color="auto"/>
          </w:divBdr>
        </w:div>
        <w:div w:id="1908606184">
          <w:marLeft w:val="640"/>
          <w:marRight w:val="0"/>
          <w:marTop w:val="0"/>
          <w:marBottom w:val="0"/>
          <w:divBdr>
            <w:top w:val="none" w:sz="0" w:space="0" w:color="auto"/>
            <w:left w:val="none" w:sz="0" w:space="0" w:color="auto"/>
            <w:bottom w:val="none" w:sz="0" w:space="0" w:color="auto"/>
            <w:right w:val="none" w:sz="0" w:space="0" w:color="auto"/>
          </w:divBdr>
        </w:div>
        <w:div w:id="908609530">
          <w:marLeft w:val="640"/>
          <w:marRight w:val="0"/>
          <w:marTop w:val="0"/>
          <w:marBottom w:val="0"/>
          <w:divBdr>
            <w:top w:val="none" w:sz="0" w:space="0" w:color="auto"/>
            <w:left w:val="none" w:sz="0" w:space="0" w:color="auto"/>
            <w:bottom w:val="none" w:sz="0" w:space="0" w:color="auto"/>
            <w:right w:val="none" w:sz="0" w:space="0" w:color="auto"/>
          </w:divBdr>
        </w:div>
        <w:div w:id="1280646892">
          <w:marLeft w:val="640"/>
          <w:marRight w:val="0"/>
          <w:marTop w:val="0"/>
          <w:marBottom w:val="0"/>
          <w:divBdr>
            <w:top w:val="none" w:sz="0" w:space="0" w:color="auto"/>
            <w:left w:val="none" w:sz="0" w:space="0" w:color="auto"/>
            <w:bottom w:val="none" w:sz="0" w:space="0" w:color="auto"/>
            <w:right w:val="none" w:sz="0" w:space="0" w:color="auto"/>
          </w:divBdr>
        </w:div>
        <w:div w:id="682128148">
          <w:marLeft w:val="640"/>
          <w:marRight w:val="0"/>
          <w:marTop w:val="0"/>
          <w:marBottom w:val="0"/>
          <w:divBdr>
            <w:top w:val="none" w:sz="0" w:space="0" w:color="auto"/>
            <w:left w:val="none" w:sz="0" w:space="0" w:color="auto"/>
            <w:bottom w:val="none" w:sz="0" w:space="0" w:color="auto"/>
            <w:right w:val="none" w:sz="0" w:space="0" w:color="auto"/>
          </w:divBdr>
        </w:div>
        <w:div w:id="2138716552">
          <w:marLeft w:val="640"/>
          <w:marRight w:val="0"/>
          <w:marTop w:val="0"/>
          <w:marBottom w:val="0"/>
          <w:divBdr>
            <w:top w:val="none" w:sz="0" w:space="0" w:color="auto"/>
            <w:left w:val="none" w:sz="0" w:space="0" w:color="auto"/>
            <w:bottom w:val="none" w:sz="0" w:space="0" w:color="auto"/>
            <w:right w:val="none" w:sz="0" w:space="0" w:color="auto"/>
          </w:divBdr>
        </w:div>
        <w:div w:id="956716243">
          <w:marLeft w:val="640"/>
          <w:marRight w:val="0"/>
          <w:marTop w:val="0"/>
          <w:marBottom w:val="0"/>
          <w:divBdr>
            <w:top w:val="none" w:sz="0" w:space="0" w:color="auto"/>
            <w:left w:val="none" w:sz="0" w:space="0" w:color="auto"/>
            <w:bottom w:val="none" w:sz="0" w:space="0" w:color="auto"/>
            <w:right w:val="none" w:sz="0" w:space="0" w:color="auto"/>
          </w:divBdr>
        </w:div>
        <w:div w:id="605692985">
          <w:marLeft w:val="640"/>
          <w:marRight w:val="0"/>
          <w:marTop w:val="0"/>
          <w:marBottom w:val="0"/>
          <w:divBdr>
            <w:top w:val="none" w:sz="0" w:space="0" w:color="auto"/>
            <w:left w:val="none" w:sz="0" w:space="0" w:color="auto"/>
            <w:bottom w:val="none" w:sz="0" w:space="0" w:color="auto"/>
            <w:right w:val="none" w:sz="0" w:space="0" w:color="auto"/>
          </w:divBdr>
        </w:div>
        <w:div w:id="1224681525">
          <w:marLeft w:val="640"/>
          <w:marRight w:val="0"/>
          <w:marTop w:val="0"/>
          <w:marBottom w:val="0"/>
          <w:divBdr>
            <w:top w:val="none" w:sz="0" w:space="0" w:color="auto"/>
            <w:left w:val="none" w:sz="0" w:space="0" w:color="auto"/>
            <w:bottom w:val="none" w:sz="0" w:space="0" w:color="auto"/>
            <w:right w:val="none" w:sz="0" w:space="0" w:color="auto"/>
          </w:divBdr>
        </w:div>
        <w:div w:id="1044716551">
          <w:marLeft w:val="640"/>
          <w:marRight w:val="0"/>
          <w:marTop w:val="0"/>
          <w:marBottom w:val="0"/>
          <w:divBdr>
            <w:top w:val="none" w:sz="0" w:space="0" w:color="auto"/>
            <w:left w:val="none" w:sz="0" w:space="0" w:color="auto"/>
            <w:bottom w:val="none" w:sz="0" w:space="0" w:color="auto"/>
            <w:right w:val="none" w:sz="0" w:space="0" w:color="auto"/>
          </w:divBdr>
        </w:div>
        <w:div w:id="1031685713">
          <w:marLeft w:val="640"/>
          <w:marRight w:val="0"/>
          <w:marTop w:val="0"/>
          <w:marBottom w:val="0"/>
          <w:divBdr>
            <w:top w:val="none" w:sz="0" w:space="0" w:color="auto"/>
            <w:left w:val="none" w:sz="0" w:space="0" w:color="auto"/>
            <w:bottom w:val="none" w:sz="0" w:space="0" w:color="auto"/>
            <w:right w:val="none" w:sz="0" w:space="0" w:color="auto"/>
          </w:divBdr>
        </w:div>
        <w:div w:id="762801510">
          <w:marLeft w:val="640"/>
          <w:marRight w:val="0"/>
          <w:marTop w:val="0"/>
          <w:marBottom w:val="0"/>
          <w:divBdr>
            <w:top w:val="none" w:sz="0" w:space="0" w:color="auto"/>
            <w:left w:val="none" w:sz="0" w:space="0" w:color="auto"/>
            <w:bottom w:val="none" w:sz="0" w:space="0" w:color="auto"/>
            <w:right w:val="none" w:sz="0" w:space="0" w:color="auto"/>
          </w:divBdr>
        </w:div>
        <w:div w:id="1163620648">
          <w:marLeft w:val="640"/>
          <w:marRight w:val="0"/>
          <w:marTop w:val="0"/>
          <w:marBottom w:val="0"/>
          <w:divBdr>
            <w:top w:val="none" w:sz="0" w:space="0" w:color="auto"/>
            <w:left w:val="none" w:sz="0" w:space="0" w:color="auto"/>
            <w:bottom w:val="none" w:sz="0" w:space="0" w:color="auto"/>
            <w:right w:val="none" w:sz="0" w:space="0" w:color="auto"/>
          </w:divBdr>
        </w:div>
        <w:div w:id="1555695413">
          <w:marLeft w:val="640"/>
          <w:marRight w:val="0"/>
          <w:marTop w:val="0"/>
          <w:marBottom w:val="0"/>
          <w:divBdr>
            <w:top w:val="none" w:sz="0" w:space="0" w:color="auto"/>
            <w:left w:val="none" w:sz="0" w:space="0" w:color="auto"/>
            <w:bottom w:val="none" w:sz="0" w:space="0" w:color="auto"/>
            <w:right w:val="none" w:sz="0" w:space="0" w:color="auto"/>
          </w:divBdr>
        </w:div>
        <w:div w:id="1589924034">
          <w:marLeft w:val="640"/>
          <w:marRight w:val="0"/>
          <w:marTop w:val="0"/>
          <w:marBottom w:val="0"/>
          <w:divBdr>
            <w:top w:val="none" w:sz="0" w:space="0" w:color="auto"/>
            <w:left w:val="none" w:sz="0" w:space="0" w:color="auto"/>
            <w:bottom w:val="none" w:sz="0" w:space="0" w:color="auto"/>
            <w:right w:val="none" w:sz="0" w:space="0" w:color="auto"/>
          </w:divBdr>
        </w:div>
        <w:div w:id="1757483079">
          <w:marLeft w:val="640"/>
          <w:marRight w:val="0"/>
          <w:marTop w:val="0"/>
          <w:marBottom w:val="0"/>
          <w:divBdr>
            <w:top w:val="none" w:sz="0" w:space="0" w:color="auto"/>
            <w:left w:val="none" w:sz="0" w:space="0" w:color="auto"/>
            <w:bottom w:val="none" w:sz="0" w:space="0" w:color="auto"/>
            <w:right w:val="none" w:sz="0" w:space="0" w:color="auto"/>
          </w:divBdr>
        </w:div>
        <w:div w:id="138039528">
          <w:marLeft w:val="640"/>
          <w:marRight w:val="0"/>
          <w:marTop w:val="0"/>
          <w:marBottom w:val="0"/>
          <w:divBdr>
            <w:top w:val="none" w:sz="0" w:space="0" w:color="auto"/>
            <w:left w:val="none" w:sz="0" w:space="0" w:color="auto"/>
            <w:bottom w:val="none" w:sz="0" w:space="0" w:color="auto"/>
            <w:right w:val="none" w:sz="0" w:space="0" w:color="auto"/>
          </w:divBdr>
        </w:div>
        <w:div w:id="905577992">
          <w:marLeft w:val="640"/>
          <w:marRight w:val="0"/>
          <w:marTop w:val="0"/>
          <w:marBottom w:val="0"/>
          <w:divBdr>
            <w:top w:val="none" w:sz="0" w:space="0" w:color="auto"/>
            <w:left w:val="none" w:sz="0" w:space="0" w:color="auto"/>
            <w:bottom w:val="none" w:sz="0" w:space="0" w:color="auto"/>
            <w:right w:val="none" w:sz="0" w:space="0" w:color="auto"/>
          </w:divBdr>
        </w:div>
        <w:div w:id="385298419">
          <w:marLeft w:val="640"/>
          <w:marRight w:val="0"/>
          <w:marTop w:val="0"/>
          <w:marBottom w:val="0"/>
          <w:divBdr>
            <w:top w:val="none" w:sz="0" w:space="0" w:color="auto"/>
            <w:left w:val="none" w:sz="0" w:space="0" w:color="auto"/>
            <w:bottom w:val="none" w:sz="0" w:space="0" w:color="auto"/>
            <w:right w:val="none" w:sz="0" w:space="0" w:color="auto"/>
          </w:divBdr>
        </w:div>
        <w:div w:id="370959965">
          <w:marLeft w:val="640"/>
          <w:marRight w:val="0"/>
          <w:marTop w:val="0"/>
          <w:marBottom w:val="0"/>
          <w:divBdr>
            <w:top w:val="none" w:sz="0" w:space="0" w:color="auto"/>
            <w:left w:val="none" w:sz="0" w:space="0" w:color="auto"/>
            <w:bottom w:val="none" w:sz="0" w:space="0" w:color="auto"/>
            <w:right w:val="none" w:sz="0" w:space="0" w:color="auto"/>
          </w:divBdr>
        </w:div>
        <w:div w:id="1550801495">
          <w:marLeft w:val="640"/>
          <w:marRight w:val="0"/>
          <w:marTop w:val="0"/>
          <w:marBottom w:val="0"/>
          <w:divBdr>
            <w:top w:val="none" w:sz="0" w:space="0" w:color="auto"/>
            <w:left w:val="none" w:sz="0" w:space="0" w:color="auto"/>
            <w:bottom w:val="none" w:sz="0" w:space="0" w:color="auto"/>
            <w:right w:val="none" w:sz="0" w:space="0" w:color="auto"/>
          </w:divBdr>
        </w:div>
        <w:div w:id="494229587">
          <w:marLeft w:val="640"/>
          <w:marRight w:val="0"/>
          <w:marTop w:val="0"/>
          <w:marBottom w:val="0"/>
          <w:divBdr>
            <w:top w:val="none" w:sz="0" w:space="0" w:color="auto"/>
            <w:left w:val="none" w:sz="0" w:space="0" w:color="auto"/>
            <w:bottom w:val="none" w:sz="0" w:space="0" w:color="auto"/>
            <w:right w:val="none" w:sz="0" w:space="0" w:color="auto"/>
          </w:divBdr>
        </w:div>
        <w:div w:id="610356801">
          <w:marLeft w:val="640"/>
          <w:marRight w:val="0"/>
          <w:marTop w:val="0"/>
          <w:marBottom w:val="0"/>
          <w:divBdr>
            <w:top w:val="none" w:sz="0" w:space="0" w:color="auto"/>
            <w:left w:val="none" w:sz="0" w:space="0" w:color="auto"/>
            <w:bottom w:val="none" w:sz="0" w:space="0" w:color="auto"/>
            <w:right w:val="none" w:sz="0" w:space="0" w:color="auto"/>
          </w:divBdr>
        </w:div>
        <w:div w:id="585386113">
          <w:marLeft w:val="640"/>
          <w:marRight w:val="0"/>
          <w:marTop w:val="0"/>
          <w:marBottom w:val="0"/>
          <w:divBdr>
            <w:top w:val="none" w:sz="0" w:space="0" w:color="auto"/>
            <w:left w:val="none" w:sz="0" w:space="0" w:color="auto"/>
            <w:bottom w:val="none" w:sz="0" w:space="0" w:color="auto"/>
            <w:right w:val="none" w:sz="0" w:space="0" w:color="auto"/>
          </w:divBdr>
        </w:div>
        <w:div w:id="935207869">
          <w:marLeft w:val="640"/>
          <w:marRight w:val="0"/>
          <w:marTop w:val="0"/>
          <w:marBottom w:val="0"/>
          <w:divBdr>
            <w:top w:val="none" w:sz="0" w:space="0" w:color="auto"/>
            <w:left w:val="none" w:sz="0" w:space="0" w:color="auto"/>
            <w:bottom w:val="none" w:sz="0" w:space="0" w:color="auto"/>
            <w:right w:val="none" w:sz="0" w:space="0" w:color="auto"/>
          </w:divBdr>
        </w:div>
        <w:div w:id="980840870">
          <w:marLeft w:val="640"/>
          <w:marRight w:val="0"/>
          <w:marTop w:val="0"/>
          <w:marBottom w:val="0"/>
          <w:divBdr>
            <w:top w:val="none" w:sz="0" w:space="0" w:color="auto"/>
            <w:left w:val="none" w:sz="0" w:space="0" w:color="auto"/>
            <w:bottom w:val="none" w:sz="0" w:space="0" w:color="auto"/>
            <w:right w:val="none" w:sz="0" w:space="0" w:color="auto"/>
          </w:divBdr>
        </w:div>
        <w:div w:id="812022733">
          <w:marLeft w:val="640"/>
          <w:marRight w:val="0"/>
          <w:marTop w:val="0"/>
          <w:marBottom w:val="0"/>
          <w:divBdr>
            <w:top w:val="none" w:sz="0" w:space="0" w:color="auto"/>
            <w:left w:val="none" w:sz="0" w:space="0" w:color="auto"/>
            <w:bottom w:val="none" w:sz="0" w:space="0" w:color="auto"/>
            <w:right w:val="none" w:sz="0" w:space="0" w:color="auto"/>
          </w:divBdr>
        </w:div>
        <w:div w:id="959603521">
          <w:marLeft w:val="640"/>
          <w:marRight w:val="0"/>
          <w:marTop w:val="0"/>
          <w:marBottom w:val="0"/>
          <w:divBdr>
            <w:top w:val="none" w:sz="0" w:space="0" w:color="auto"/>
            <w:left w:val="none" w:sz="0" w:space="0" w:color="auto"/>
            <w:bottom w:val="none" w:sz="0" w:space="0" w:color="auto"/>
            <w:right w:val="none" w:sz="0" w:space="0" w:color="auto"/>
          </w:divBdr>
        </w:div>
        <w:div w:id="1556426516">
          <w:marLeft w:val="640"/>
          <w:marRight w:val="0"/>
          <w:marTop w:val="0"/>
          <w:marBottom w:val="0"/>
          <w:divBdr>
            <w:top w:val="none" w:sz="0" w:space="0" w:color="auto"/>
            <w:left w:val="none" w:sz="0" w:space="0" w:color="auto"/>
            <w:bottom w:val="none" w:sz="0" w:space="0" w:color="auto"/>
            <w:right w:val="none" w:sz="0" w:space="0" w:color="auto"/>
          </w:divBdr>
        </w:div>
        <w:div w:id="839850599">
          <w:marLeft w:val="640"/>
          <w:marRight w:val="0"/>
          <w:marTop w:val="0"/>
          <w:marBottom w:val="0"/>
          <w:divBdr>
            <w:top w:val="none" w:sz="0" w:space="0" w:color="auto"/>
            <w:left w:val="none" w:sz="0" w:space="0" w:color="auto"/>
            <w:bottom w:val="none" w:sz="0" w:space="0" w:color="auto"/>
            <w:right w:val="none" w:sz="0" w:space="0" w:color="auto"/>
          </w:divBdr>
        </w:div>
        <w:div w:id="358359348">
          <w:marLeft w:val="640"/>
          <w:marRight w:val="0"/>
          <w:marTop w:val="0"/>
          <w:marBottom w:val="0"/>
          <w:divBdr>
            <w:top w:val="none" w:sz="0" w:space="0" w:color="auto"/>
            <w:left w:val="none" w:sz="0" w:space="0" w:color="auto"/>
            <w:bottom w:val="none" w:sz="0" w:space="0" w:color="auto"/>
            <w:right w:val="none" w:sz="0" w:space="0" w:color="auto"/>
          </w:divBdr>
        </w:div>
        <w:div w:id="1493326588">
          <w:marLeft w:val="640"/>
          <w:marRight w:val="0"/>
          <w:marTop w:val="0"/>
          <w:marBottom w:val="0"/>
          <w:divBdr>
            <w:top w:val="none" w:sz="0" w:space="0" w:color="auto"/>
            <w:left w:val="none" w:sz="0" w:space="0" w:color="auto"/>
            <w:bottom w:val="none" w:sz="0" w:space="0" w:color="auto"/>
            <w:right w:val="none" w:sz="0" w:space="0" w:color="auto"/>
          </w:divBdr>
        </w:div>
        <w:div w:id="1246453933">
          <w:marLeft w:val="640"/>
          <w:marRight w:val="0"/>
          <w:marTop w:val="0"/>
          <w:marBottom w:val="0"/>
          <w:divBdr>
            <w:top w:val="none" w:sz="0" w:space="0" w:color="auto"/>
            <w:left w:val="none" w:sz="0" w:space="0" w:color="auto"/>
            <w:bottom w:val="none" w:sz="0" w:space="0" w:color="auto"/>
            <w:right w:val="none" w:sz="0" w:space="0" w:color="auto"/>
          </w:divBdr>
        </w:div>
        <w:div w:id="506139467">
          <w:marLeft w:val="640"/>
          <w:marRight w:val="0"/>
          <w:marTop w:val="0"/>
          <w:marBottom w:val="0"/>
          <w:divBdr>
            <w:top w:val="none" w:sz="0" w:space="0" w:color="auto"/>
            <w:left w:val="none" w:sz="0" w:space="0" w:color="auto"/>
            <w:bottom w:val="none" w:sz="0" w:space="0" w:color="auto"/>
            <w:right w:val="none" w:sz="0" w:space="0" w:color="auto"/>
          </w:divBdr>
        </w:div>
        <w:div w:id="718170563">
          <w:marLeft w:val="640"/>
          <w:marRight w:val="0"/>
          <w:marTop w:val="0"/>
          <w:marBottom w:val="0"/>
          <w:divBdr>
            <w:top w:val="none" w:sz="0" w:space="0" w:color="auto"/>
            <w:left w:val="none" w:sz="0" w:space="0" w:color="auto"/>
            <w:bottom w:val="none" w:sz="0" w:space="0" w:color="auto"/>
            <w:right w:val="none" w:sz="0" w:space="0" w:color="auto"/>
          </w:divBdr>
        </w:div>
        <w:div w:id="1820613482">
          <w:marLeft w:val="640"/>
          <w:marRight w:val="0"/>
          <w:marTop w:val="0"/>
          <w:marBottom w:val="0"/>
          <w:divBdr>
            <w:top w:val="none" w:sz="0" w:space="0" w:color="auto"/>
            <w:left w:val="none" w:sz="0" w:space="0" w:color="auto"/>
            <w:bottom w:val="none" w:sz="0" w:space="0" w:color="auto"/>
            <w:right w:val="none" w:sz="0" w:space="0" w:color="auto"/>
          </w:divBdr>
        </w:div>
        <w:div w:id="1499344172">
          <w:marLeft w:val="640"/>
          <w:marRight w:val="0"/>
          <w:marTop w:val="0"/>
          <w:marBottom w:val="0"/>
          <w:divBdr>
            <w:top w:val="none" w:sz="0" w:space="0" w:color="auto"/>
            <w:left w:val="none" w:sz="0" w:space="0" w:color="auto"/>
            <w:bottom w:val="none" w:sz="0" w:space="0" w:color="auto"/>
            <w:right w:val="none" w:sz="0" w:space="0" w:color="auto"/>
          </w:divBdr>
        </w:div>
        <w:div w:id="1176967083">
          <w:marLeft w:val="640"/>
          <w:marRight w:val="0"/>
          <w:marTop w:val="0"/>
          <w:marBottom w:val="0"/>
          <w:divBdr>
            <w:top w:val="none" w:sz="0" w:space="0" w:color="auto"/>
            <w:left w:val="none" w:sz="0" w:space="0" w:color="auto"/>
            <w:bottom w:val="none" w:sz="0" w:space="0" w:color="auto"/>
            <w:right w:val="none" w:sz="0" w:space="0" w:color="auto"/>
          </w:divBdr>
        </w:div>
        <w:div w:id="460616667">
          <w:marLeft w:val="640"/>
          <w:marRight w:val="0"/>
          <w:marTop w:val="0"/>
          <w:marBottom w:val="0"/>
          <w:divBdr>
            <w:top w:val="none" w:sz="0" w:space="0" w:color="auto"/>
            <w:left w:val="none" w:sz="0" w:space="0" w:color="auto"/>
            <w:bottom w:val="none" w:sz="0" w:space="0" w:color="auto"/>
            <w:right w:val="none" w:sz="0" w:space="0" w:color="auto"/>
          </w:divBdr>
        </w:div>
        <w:div w:id="21446110">
          <w:marLeft w:val="640"/>
          <w:marRight w:val="0"/>
          <w:marTop w:val="0"/>
          <w:marBottom w:val="0"/>
          <w:divBdr>
            <w:top w:val="none" w:sz="0" w:space="0" w:color="auto"/>
            <w:left w:val="none" w:sz="0" w:space="0" w:color="auto"/>
            <w:bottom w:val="none" w:sz="0" w:space="0" w:color="auto"/>
            <w:right w:val="none" w:sz="0" w:space="0" w:color="auto"/>
          </w:divBdr>
        </w:div>
        <w:div w:id="1564488108">
          <w:marLeft w:val="640"/>
          <w:marRight w:val="0"/>
          <w:marTop w:val="0"/>
          <w:marBottom w:val="0"/>
          <w:divBdr>
            <w:top w:val="none" w:sz="0" w:space="0" w:color="auto"/>
            <w:left w:val="none" w:sz="0" w:space="0" w:color="auto"/>
            <w:bottom w:val="none" w:sz="0" w:space="0" w:color="auto"/>
            <w:right w:val="none" w:sz="0" w:space="0" w:color="auto"/>
          </w:divBdr>
        </w:div>
        <w:div w:id="1562324309">
          <w:marLeft w:val="640"/>
          <w:marRight w:val="0"/>
          <w:marTop w:val="0"/>
          <w:marBottom w:val="0"/>
          <w:divBdr>
            <w:top w:val="none" w:sz="0" w:space="0" w:color="auto"/>
            <w:left w:val="none" w:sz="0" w:space="0" w:color="auto"/>
            <w:bottom w:val="none" w:sz="0" w:space="0" w:color="auto"/>
            <w:right w:val="none" w:sz="0" w:space="0" w:color="auto"/>
          </w:divBdr>
        </w:div>
        <w:div w:id="977612807">
          <w:marLeft w:val="640"/>
          <w:marRight w:val="0"/>
          <w:marTop w:val="0"/>
          <w:marBottom w:val="0"/>
          <w:divBdr>
            <w:top w:val="none" w:sz="0" w:space="0" w:color="auto"/>
            <w:left w:val="none" w:sz="0" w:space="0" w:color="auto"/>
            <w:bottom w:val="none" w:sz="0" w:space="0" w:color="auto"/>
            <w:right w:val="none" w:sz="0" w:space="0" w:color="auto"/>
          </w:divBdr>
        </w:div>
        <w:div w:id="314917917">
          <w:marLeft w:val="640"/>
          <w:marRight w:val="0"/>
          <w:marTop w:val="0"/>
          <w:marBottom w:val="0"/>
          <w:divBdr>
            <w:top w:val="none" w:sz="0" w:space="0" w:color="auto"/>
            <w:left w:val="none" w:sz="0" w:space="0" w:color="auto"/>
            <w:bottom w:val="none" w:sz="0" w:space="0" w:color="auto"/>
            <w:right w:val="none" w:sz="0" w:space="0" w:color="auto"/>
          </w:divBdr>
        </w:div>
        <w:div w:id="1839074698">
          <w:marLeft w:val="640"/>
          <w:marRight w:val="0"/>
          <w:marTop w:val="0"/>
          <w:marBottom w:val="0"/>
          <w:divBdr>
            <w:top w:val="none" w:sz="0" w:space="0" w:color="auto"/>
            <w:left w:val="none" w:sz="0" w:space="0" w:color="auto"/>
            <w:bottom w:val="none" w:sz="0" w:space="0" w:color="auto"/>
            <w:right w:val="none" w:sz="0" w:space="0" w:color="auto"/>
          </w:divBdr>
        </w:div>
        <w:div w:id="131100499">
          <w:marLeft w:val="640"/>
          <w:marRight w:val="0"/>
          <w:marTop w:val="0"/>
          <w:marBottom w:val="0"/>
          <w:divBdr>
            <w:top w:val="none" w:sz="0" w:space="0" w:color="auto"/>
            <w:left w:val="none" w:sz="0" w:space="0" w:color="auto"/>
            <w:bottom w:val="none" w:sz="0" w:space="0" w:color="auto"/>
            <w:right w:val="none" w:sz="0" w:space="0" w:color="auto"/>
          </w:divBdr>
        </w:div>
        <w:div w:id="605579541">
          <w:marLeft w:val="640"/>
          <w:marRight w:val="0"/>
          <w:marTop w:val="0"/>
          <w:marBottom w:val="0"/>
          <w:divBdr>
            <w:top w:val="none" w:sz="0" w:space="0" w:color="auto"/>
            <w:left w:val="none" w:sz="0" w:space="0" w:color="auto"/>
            <w:bottom w:val="none" w:sz="0" w:space="0" w:color="auto"/>
            <w:right w:val="none" w:sz="0" w:space="0" w:color="auto"/>
          </w:divBdr>
        </w:div>
        <w:div w:id="1103115138">
          <w:marLeft w:val="640"/>
          <w:marRight w:val="0"/>
          <w:marTop w:val="0"/>
          <w:marBottom w:val="0"/>
          <w:divBdr>
            <w:top w:val="none" w:sz="0" w:space="0" w:color="auto"/>
            <w:left w:val="none" w:sz="0" w:space="0" w:color="auto"/>
            <w:bottom w:val="none" w:sz="0" w:space="0" w:color="auto"/>
            <w:right w:val="none" w:sz="0" w:space="0" w:color="auto"/>
          </w:divBdr>
        </w:div>
        <w:div w:id="1747799534">
          <w:marLeft w:val="640"/>
          <w:marRight w:val="0"/>
          <w:marTop w:val="0"/>
          <w:marBottom w:val="0"/>
          <w:divBdr>
            <w:top w:val="none" w:sz="0" w:space="0" w:color="auto"/>
            <w:left w:val="none" w:sz="0" w:space="0" w:color="auto"/>
            <w:bottom w:val="none" w:sz="0" w:space="0" w:color="auto"/>
            <w:right w:val="none" w:sz="0" w:space="0" w:color="auto"/>
          </w:divBdr>
        </w:div>
        <w:div w:id="1438140131">
          <w:marLeft w:val="640"/>
          <w:marRight w:val="0"/>
          <w:marTop w:val="0"/>
          <w:marBottom w:val="0"/>
          <w:divBdr>
            <w:top w:val="none" w:sz="0" w:space="0" w:color="auto"/>
            <w:left w:val="none" w:sz="0" w:space="0" w:color="auto"/>
            <w:bottom w:val="none" w:sz="0" w:space="0" w:color="auto"/>
            <w:right w:val="none" w:sz="0" w:space="0" w:color="auto"/>
          </w:divBdr>
        </w:div>
        <w:div w:id="950743136">
          <w:marLeft w:val="640"/>
          <w:marRight w:val="0"/>
          <w:marTop w:val="0"/>
          <w:marBottom w:val="0"/>
          <w:divBdr>
            <w:top w:val="none" w:sz="0" w:space="0" w:color="auto"/>
            <w:left w:val="none" w:sz="0" w:space="0" w:color="auto"/>
            <w:bottom w:val="none" w:sz="0" w:space="0" w:color="auto"/>
            <w:right w:val="none" w:sz="0" w:space="0" w:color="auto"/>
          </w:divBdr>
        </w:div>
        <w:div w:id="1544293348">
          <w:marLeft w:val="640"/>
          <w:marRight w:val="0"/>
          <w:marTop w:val="0"/>
          <w:marBottom w:val="0"/>
          <w:divBdr>
            <w:top w:val="none" w:sz="0" w:space="0" w:color="auto"/>
            <w:left w:val="none" w:sz="0" w:space="0" w:color="auto"/>
            <w:bottom w:val="none" w:sz="0" w:space="0" w:color="auto"/>
            <w:right w:val="none" w:sz="0" w:space="0" w:color="auto"/>
          </w:divBdr>
        </w:div>
        <w:div w:id="884753510">
          <w:marLeft w:val="640"/>
          <w:marRight w:val="0"/>
          <w:marTop w:val="0"/>
          <w:marBottom w:val="0"/>
          <w:divBdr>
            <w:top w:val="none" w:sz="0" w:space="0" w:color="auto"/>
            <w:left w:val="none" w:sz="0" w:space="0" w:color="auto"/>
            <w:bottom w:val="none" w:sz="0" w:space="0" w:color="auto"/>
            <w:right w:val="none" w:sz="0" w:space="0" w:color="auto"/>
          </w:divBdr>
        </w:div>
        <w:div w:id="29494971">
          <w:marLeft w:val="640"/>
          <w:marRight w:val="0"/>
          <w:marTop w:val="0"/>
          <w:marBottom w:val="0"/>
          <w:divBdr>
            <w:top w:val="none" w:sz="0" w:space="0" w:color="auto"/>
            <w:left w:val="none" w:sz="0" w:space="0" w:color="auto"/>
            <w:bottom w:val="none" w:sz="0" w:space="0" w:color="auto"/>
            <w:right w:val="none" w:sz="0" w:space="0" w:color="auto"/>
          </w:divBdr>
        </w:div>
        <w:div w:id="1104767185">
          <w:marLeft w:val="640"/>
          <w:marRight w:val="0"/>
          <w:marTop w:val="0"/>
          <w:marBottom w:val="0"/>
          <w:divBdr>
            <w:top w:val="none" w:sz="0" w:space="0" w:color="auto"/>
            <w:left w:val="none" w:sz="0" w:space="0" w:color="auto"/>
            <w:bottom w:val="none" w:sz="0" w:space="0" w:color="auto"/>
            <w:right w:val="none" w:sz="0" w:space="0" w:color="auto"/>
          </w:divBdr>
        </w:div>
        <w:div w:id="1985816553">
          <w:marLeft w:val="640"/>
          <w:marRight w:val="0"/>
          <w:marTop w:val="0"/>
          <w:marBottom w:val="0"/>
          <w:divBdr>
            <w:top w:val="none" w:sz="0" w:space="0" w:color="auto"/>
            <w:left w:val="none" w:sz="0" w:space="0" w:color="auto"/>
            <w:bottom w:val="none" w:sz="0" w:space="0" w:color="auto"/>
            <w:right w:val="none" w:sz="0" w:space="0" w:color="auto"/>
          </w:divBdr>
        </w:div>
        <w:div w:id="274408667">
          <w:marLeft w:val="640"/>
          <w:marRight w:val="0"/>
          <w:marTop w:val="0"/>
          <w:marBottom w:val="0"/>
          <w:divBdr>
            <w:top w:val="none" w:sz="0" w:space="0" w:color="auto"/>
            <w:left w:val="none" w:sz="0" w:space="0" w:color="auto"/>
            <w:bottom w:val="none" w:sz="0" w:space="0" w:color="auto"/>
            <w:right w:val="none" w:sz="0" w:space="0" w:color="auto"/>
          </w:divBdr>
        </w:div>
        <w:div w:id="897937674">
          <w:marLeft w:val="640"/>
          <w:marRight w:val="0"/>
          <w:marTop w:val="0"/>
          <w:marBottom w:val="0"/>
          <w:divBdr>
            <w:top w:val="none" w:sz="0" w:space="0" w:color="auto"/>
            <w:left w:val="none" w:sz="0" w:space="0" w:color="auto"/>
            <w:bottom w:val="none" w:sz="0" w:space="0" w:color="auto"/>
            <w:right w:val="none" w:sz="0" w:space="0" w:color="auto"/>
          </w:divBdr>
        </w:div>
        <w:div w:id="312682222">
          <w:marLeft w:val="640"/>
          <w:marRight w:val="0"/>
          <w:marTop w:val="0"/>
          <w:marBottom w:val="0"/>
          <w:divBdr>
            <w:top w:val="none" w:sz="0" w:space="0" w:color="auto"/>
            <w:left w:val="none" w:sz="0" w:space="0" w:color="auto"/>
            <w:bottom w:val="none" w:sz="0" w:space="0" w:color="auto"/>
            <w:right w:val="none" w:sz="0" w:space="0" w:color="auto"/>
          </w:divBdr>
        </w:div>
        <w:div w:id="1288049719">
          <w:marLeft w:val="640"/>
          <w:marRight w:val="0"/>
          <w:marTop w:val="0"/>
          <w:marBottom w:val="0"/>
          <w:divBdr>
            <w:top w:val="none" w:sz="0" w:space="0" w:color="auto"/>
            <w:left w:val="none" w:sz="0" w:space="0" w:color="auto"/>
            <w:bottom w:val="none" w:sz="0" w:space="0" w:color="auto"/>
            <w:right w:val="none" w:sz="0" w:space="0" w:color="auto"/>
          </w:divBdr>
        </w:div>
        <w:div w:id="770585197">
          <w:marLeft w:val="640"/>
          <w:marRight w:val="0"/>
          <w:marTop w:val="0"/>
          <w:marBottom w:val="0"/>
          <w:divBdr>
            <w:top w:val="none" w:sz="0" w:space="0" w:color="auto"/>
            <w:left w:val="none" w:sz="0" w:space="0" w:color="auto"/>
            <w:bottom w:val="none" w:sz="0" w:space="0" w:color="auto"/>
            <w:right w:val="none" w:sz="0" w:space="0" w:color="auto"/>
          </w:divBdr>
        </w:div>
        <w:div w:id="20668674">
          <w:marLeft w:val="640"/>
          <w:marRight w:val="0"/>
          <w:marTop w:val="0"/>
          <w:marBottom w:val="0"/>
          <w:divBdr>
            <w:top w:val="none" w:sz="0" w:space="0" w:color="auto"/>
            <w:left w:val="none" w:sz="0" w:space="0" w:color="auto"/>
            <w:bottom w:val="none" w:sz="0" w:space="0" w:color="auto"/>
            <w:right w:val="none" w:sz="0" w:space="0" w:color="auto"/>
          </w:divBdr>
        </w:div>
        <w:div w:id="120802918">
          <w:marLeft w:val="640"/>
          <w:marRight w:val="0"/>
          <w:marTop w:val="0"/>
          <w:marBottom w:val="0"/>
          <w:divBdr>
            <w:top w:val="none" w:sz="0" w:space="0" w:color="auto"/>
            <w:left w:val="none" w:sz="0" w:space="0" w:color="auto"/>
            <w:bottom w:val="none" w:sz="0" w:space="0" w:color="auto"/>
            <w:right w:val="none" w:sz="0" w:space="0" w:color="auto"/>
          </w:divBdr>
        </w:div>
        <w:div w:id="576744508">
          <w:marLeft w:val="640"/>
          <w:marRight w:val="0"/>
          <w:marTop w:val="0"/>
          <w:marBottom w:val="0"/>
          <w:divBdr>
            <w:top w:val="none" w:sz="0" w:space="0" w:color="auto"/>
            <w:left w:val="none" w:sz="0" w:space="0" w:color="auto"/>
            <w:bottom w:val="none" w:sz="0" w:space="0" w:color="auto"/>
            <w:right w:val="none" w:sz="0" w:space="0" w:color="auto"/>
          </w:divBdr>
        </w:div>
        <w:div w:id="121730598">
          <w:marLeft w:val="640"/>
          <w:marRight w:val="0"/>
          <w:marTop w:val="0"/>
          <w:marBottom w:val="0"/>
          <w:divBdr>
            <w:top w:val="none" w:sz="0" w:space="0" w:color="auto"/>
            <w:left w:val="none" w:sz="0" w:space="0" w:color="auto"/>
            <w:bottom w:val="none" w:sz="0" w:space="0" w:color="auto"/>
            <w:right w:val="none" w:sz="0" w:space="0" w:color="auto"/>
          </w:divBdr>
        </w:div>
        <w:div w:id="898520551">
          <w:marLeft w:val="640"/>
          <w:marRight w:val="0"/>
          <w:marTop w:val="0"/>
          <w:marBottom w:val="0"/>
          <w:divBdr>
            <w:top w:val="none" w:sz="0" w:space="0" w:color="auto"/>
            <w:left w:val="none" w:sz="0" w:space="0" w:color="auto"/>
            <w:bottom w:val="none" w:sz="0" w:space="0" w:color="auto"/>
            <w:right w:val="none" w:sz="0" w:space="0" w:color="auto"/>
          </w:divBdr>
        </w:div>
        <w:div w:id="2090231820">
          <w:marLeft w:val="640"/>
          <w:marRight w:val="0"/>
          <w:marTop w:val="0"/>
          <w:marBottom w:val="0"/>
          <w:divBdr>
            <w:top w:val="none" w:sz="0" w:space="0" w:color="auto"/>
            <w:left w:val="none" w:sz="0" w:space="0" w:color="auto"/>
            <w:bottom w:val="none" w:sz="0" w:space="0" w:color="auto"/>
            <w:right w:val="none" w:sz="0" w:space="0" w:color="auto"/>
          </w:divBdr>
        </w:div>
        <w:div w:id="1275018177">
          <w:marLeft w:val="640"/>
          <w:marRight w:val="0"/>
          <w:marTop w:val="0"/>
          <w:marBottom w:val="0"/>
          <w:divBdr>
            <w:top w:val="none" w:sz="0" w:space="0" w:color="auto"/>
            <w:left w:val="none" w:sz="0" w:space="0" w:color="auto"/>
            <w:bottom w:val="none" w:sz="0" w:space="0" w:color="auto"/>
            <w:right w:val="none" w:sz="0" w:space="0" w:color="auto"/>
          </w:divBdr>
        </w:div>
        <w:div w:id="1476483932">
          <w:marLeft w:val="640"/>
          <w:marRight w:val="0"/>
          <w:marTop w:val="0"/>
          <w:marBottom w:val="0"/>
          <w:divBdr>
            <w:top w:val="none" w:sz="0" w:space="0" w:color="auto"/>
            <w:left w:val="none" w:sz="0" w:space="0" w:color="auto"/>
            <w:bottom w:val="none" w:sz="0" w:space="0" w:color="auto"/>
            <w:right w:val="none" w:sz="0" w:space="0" w:color="auto"/>
          </w:divBdr>
        </w:div>
        <w:div w:id="41565211">
          <w:marLeft w:val="640"/>
          <w:marRight w:val="0"/>
          <w:marTop w:val="0"/>
          <w:marBottom w:val="0"/>
          <w:divBdr>
            <w:top w:val="none" w:sz="0" w:space="0" w:color="auto"/>
            <w:left w:val="none" w:sz="0" w:space="0" w:color="auto"/>
            <w:bottom w:val="none" w:sz="0" w:space="0" w:color="auto"/>
            <w:right w:val="none" w:sz="0" w:space="0" w:color="auto"/>
          </w:divBdr>
        </w:div>
        <w:div w:id="2017533828">
          <w:marLeft w:val="640"/>
          <w:marRight w:val="0"/>
          <w:marTop w:val="0"/>
          <w:marBottom w:val="0"/>
          <w:divBdr>
            <w:top w:val="none" w:sz="0" w:space="0" w:color="auto"/>
            <w:left w:val="none" w:sz="0" w:space="0" w:color="auto"/>
            <w:bottom w:val="none" w:sz="0" w:space="0" w:color="auto"/>
            <w:right w:val="none" w:sz="0" w:space="0" w:color="auto"/>
          </w:divBdr>
        </w:div>
        <w:div w:id="83233995">
          <w:marLeft w:val="640"/>
          <w:marRight w:val="0"/>
          <w:marTop w:val="0"/>
          <w:marBottom w:val="0"/>
          <w:divBdr>
            <w:top w:val="none" w:sz="0" w:space="0" w:color="auto"/>
            <w:left w:val="none" w:sz="0" w:space="0" w:color="auto"/>
            <w:bottom w:val="none" w:sz="0" w:space="0" w:color="auto"/>
            <w:right w:val="none" w:sz="0" w:space="0" w:color="auto"/>
          </w:divBdr>
        </w:div>
        <w:div w:id="264463719">
          <w:marLeft w:val="640"/>
          <w:marRight w:val="0"/>
          <w:marTop w:val="0"/>
          <w:marBottom w:val="0"/>
          <w:divBdr>
            <w:top w:val="none" w:sz="0" w:space="0" w:color="auto"/>
            <w:left w:val="none" w:sz="0" w:space="0" w:color="auto"/>
            <w:bottom w:val="none" w:sz="0" w:space="0" w:color="auto"/>
            <w:right w:val="none" w:sz="0" w:space="0" w:color="auto"/>
          </w:divBdr>
        </w:div>
        <w:div w:id="369378472">
          <w:marLeft w:val="640"/>
          <w:marRight w:val="0"/>
          <w:marTop w:val="0"/>
          <w:marBottom w:val="0"/>
          <w:divBdr>
            <w:top w:val="none" w:sz="0" w:space="0" w:color="auto"/>
            <w:left w:val="none" w:sz="0" w:space="0" w:color="auto"/>
            <w:bottom w:val="none" w:sz="0" w:space="0" w:color="auto"/>
            <w:right w:val="none" w:sz="0" w:space="0" w:color="auto"/>
          </w:divBdr>
        </w:div>
        <w:div w:id="1220630545">
          <w:marLeft w:val="640"/>
          <w:marRight w:val="0"/>
          <w:marTop w:val="0"/>
          <w:marBottom w:val="0"/>
          <w:divBdr>
            <w:top w:val="none" w:sz="0" w:space="0" w:color="auto"/>
            <w:left w:val="none" w:sz="0" w:space="0" w:color="auto"/>
            <w:bottom w:val="none" w:sz="0" w:space="0" w:color="auto"/>
            <w:right w:val="none" w:sz="0" w:space="0" w:color="auto"/>
          </w:divBdr>
        </w:div>
        <w:div w:id="242615665">
          <w:marLeft w:val="640"/>
          <w:marRight w:val="0"/>
          <w:marTop w:val="0"/>
          <w:marBottom w:val="0"/>
          <w:divBdr>
            <w:top w:val="none" w:sz="0" w:space="0" w:color="auto"/>
            <w:left w:val="none" w:sz="0" w:space="0" w:color="auto"/>
            <w:bottom w:val="none" w:sz="0" w:space="0" w:color="auto"/>
            <w:right w:val="none" w:sz="0" w:space="0" w:color="auto"/>
          </w:divBdr>
        </w:div>
        <w:div w:id="996571564">
          <w:marLeft w:val="640"/>
          <w:marRight w:val="0"/>
          <w:marTop w:val="0"/>
          <w:marBottom w:val="0"/>
          <w:divBdr>
            <w:top w:val="none" w:sz="0" w:space="0" w:color="auto"/>
            <w:left w:val="none" w:sz="0" w:space="0" w:color="auto"/>
            <w:bottom w:val="none" w:sz="0" w:space="0" w:color="auto"/>
            <w:right w:val="none" w:sz="0" w:space="0" w:color="auto"/>
          </w:divBdr>
        </w:div>
        <w:div w:id="1359816693">
          <w:marLeft w:val="640"/>
          <w:marRight w:val="0"/>
          <w:marTop w:val="0"/>
          <w:marBottom w:val="0"/>
          <w:divBdr>
            <w:top w:val="none" w:sz="0" w:space="0" w:color="auto"/>
            <w:left w:val="none" w:sz="0" w:space="0" w:color="auto"/>
            <w:bottom w:val="none" w:sz="0" w:space="0" w:color="auto"/>
            <w:right w:val="none" w:sz="0" w:space="0" w:color="auto"/>
          </w:divBdr>
        </w:div>
        <w:div w:id="73474721">
          <w:marLeft w:val="640"/>
          <w:marRight w:val="0"/>
          <w:marTop w:val="0"/>
          <w:marBottom w:val="0"/>
          <w:divBdr>
            <w:top w:val="none" w:sz="0" w:space="0" w:color="auto"/>
            <w:left w:val="none" w:sz="0" w:space="0" w:color="auto"/>
            <w:bottom w:val="none" w:sz="0" w:space="0" w:color="auto"/>
            <w:right w:val="none" w:sz="0" w:space="0" w:color="auto"/>
          </w:divBdr>
        </w:div>
        <w:div w:id="1909604991">
          <w:marLeft w:val="640"/>
          <w:marRight w:val="0"/>
          <w:marTop w:val="0"/>
          <w:marBottom w:val="0"/>
          <w:divBdr>
            <w:top w:val="none" w:sz="0" w:space="0" w:color="auto"/>
            <w:left w:val="none" w:sz="0" w:space="0" w:color="auto"/>
            <w:bottom w:val="none" w:sz="0" w:space="0" w:color="auto"/>
            <w:right w:val="none" w:sz="0" w:space="0" w:color="auto"/>
          </w:divBdr>
        </w:div>
        <w:div w:id="894857455">
          <w:marLeft w:val="640"/>
          <w:marRight w:val="0"/>
          <w:marTop w:val="0"/>
          <w:marBottom w:val="0"/>
          <w:divBdr>
            <w:top w:val="none" w:sz="0" w:space="0" w:color="auto"/>
            <w:left w:val="none" w:sz="0" w:space="0" w:color="auto"/>
            <w:bottom w:val="none" w:sz="0" w:space="0" w:color="auto"/>
            <w:right w:val="none" w:sz="0" w:space="0" w:color="auto"/>
          </w:divBdr>
        </w:div>
        <w:div w:id="1294629368">
          <w:marLeft w:val="640"/>
          <w:marRight w:val="0"/>
          <w:marTop w:val="0"/>
          <w:marBottom w:val="0"/>
          <w:divBdr>
            <w:top w:val="none" w:sz="0" w:space="0" w:color="auto"/>
            <w:left w:val="none" w:sz="0" w:space="0" w:color="auto"/>
            <w:bottom w:val="none" w:sz="0" w:space="0" w:color="auto"/>
            <w:right w:val="none" w:sz="0" w:space="0" w:color="auto"/>
          </w:divBdr>
        </w:div>
        <w:div w:id="9453106">
          <w:marLeft w:val="640"/>
          <w:marRight w:val="0"/>
          <w:marTop w:val="0"/>
          <w:marBottom w:val="0"/>
          <w:divBdr>
            <w:top w:val="none" w:sz="0" w:space="0" w:color="auto"/>
            <w:left w:val="none" w:sz="0" w:space="0" w:color="auto"/>
            <w:bottom w:val="none" w:sz="0" w:space="0" w:color="auto"/>
            <w:right w:val="none" w:sz="0" w:space="0" w:color="auto"/>
          </w:divBdr>
        </w:div>
        <w:div w:id="1918174575">
          <w:marLeft w:val="640"/>
          <w:marRight w:val="0"/>
          <w:marTop w:val="0"/>
          <w:marBottom w:val="0"/>
          <w:divBdr>
            <w:top w:val="none" w:sz="0" w:space="0" w:color="auto"/>
            <w:left w:val="none" w:sz="0" w:space="0" w:color="auto"/>
            <w:bottom w:val="none" w:sz="0" w:space="0" w:color="auto"/>
            <w:right w:val="none" w:sz="0" w:space="0" w:color="auto"/>
          </w:divBdr>
        </w:div>
        <w:div w:id="868841118">
          <w:marLeft w:val="640"/>
          <w:marRight w:val="0"/>
          <w:marTop w:val="0"/>
          <w:marBottom w:val="0"/>
          <w:divBdr>
            <w:top w:val="none" w:sz="0" w:space="0" w:color="auto"/>
            <w:left w:val="none" w:sz="0" w:space="0" w:color="auto"/>
            <w:bottom w:val="none" w:sz="0" w:space="0" w:color="auto"/>
            <w:right w:val="none" w:sz="0" w:space="0" w:color="auto"/>
          </w:divBdr>
        </w:div>
        <w:div w:id="2012681417">
          <w:marLeft w:val="640"/>
          <w:marRight w:val="0"/>
          <w:marTop w:val="0"/>
          <w:marBottom w:val="0"/>
          <w:divBdr>
            <w:top w:val="none" w:sz="0" w:space="0" w:color="auto"/>
            <w:left w:val="none" w:sz="0" w:space="0" w:color="auto"/>
            <w:bottom w:val="none" w:sz="0" w:space="0" w:color="auto"/>
            <w:right w:val="none" w:sz="0" w:space="0" w:color="auto"/>
          </w:divBdr>
        </w:div>
        <w:div w:id="978530888">
          <w:marLeft w:val="640"/>
          <w:marRight w:val="0"/>
          <w:marTop w:val="0"/>
          <w:marBottom w:val="0"/>
          <w:divBdr>
            <w:top w:val="none" w:sz="0" w:space="0" w:color="auto"/>
            <w:left w:val="none" w:sz="0" w:space="0" w:color="auto"/>
            <w:bottom w:val="none" w:sz="0" w:space="0" w:color="auto"/>
            <w:right w:val="none" w:sz="0" w:space="0" w:color="auto"/>
          </w:divBdr>
        </w:div>
        <w:div w:id="1904481247">
          <w:marLeft w:val="640"/>
          <w:marRight w:val="0"/>
          <w:marTop w:val="0"/>
          <w:marBottom w:val="0"/>
          <w:divBdr>
            <w:top w:val="none" w:sz="0" w:space="0" w:color="auto"/>
            <w:left w:val="none" w:sz="0" w:space="0" w:color="auto"/>
            <w:bottom w:val="none" w:sz="0" w:space="0" w:color="auto"/>
            <w:right w:val="none" w:sz="0" w:space="0" w:color="auto"/>
          </w:divBdr>
        </w:div>
        <w:div w:id="1167745989">
          <w:marLeft w:val="640"/>
          <w:marRight w:val="0"/>
          <w:marTop w:val="0"/>
          <w:marBottom w:val="0"/>
          <w:divBdr>
            <w:top w:val="none" w:sz="0" w:space="0" w:color="auto"/>
            <w:left w:val="none" w:sz="0" w:space="0" w:color="auto"/>
            <w:bottom w:val="none" w:sz="0" w:space="0" w:color="auto"/>
            <w:right w:val="none" w:sz="0" w:space="0" w:color="auto"/>
          </w:divBdr>
        </w:div>
        <w:div w:id="789199995">
          <w:marLeft w:val="640"/>
          <w:marRight w:val="0"/>
          <w:marTop w:val="0"/>
          <w:marBottom w:val="0"/>
          <w:divBdr>
            <w:top w:val="none" w:sz="0" w:space="0" w:color="auto"/>
            <w:left w:val="none" w:sz="0" w:space="0" w:color="auto"/>
            <w:bottom w:val="none" w:sz="0" w:space="0" w:color="auto"/>
            <w:right w:val="none" w:sz="0" w:space="0" w:color="auto"/>
          </w:divBdr>
        </w:div>
        <w:div w:id="504057600">
          <w:marLeft w:val="640"/>
          <w:marRight w:val="0"/>
          <w:marTop w:val="0"/>
          <w:marBottom w:val="0"/>
          <w:divBdr>
            <w:top w:val="none" w:sz="0" w:space="0" w:color="auto"/>
            <w:left w:val="none" w:sz="0" w:space="0" w:color="auto"/>
            <w:bottom w:val="none" w:sz="0" w:space="0" w:color="auto"/>
            <w:right w:val="none" w:sz="0" w:space="0" w:color="auto"/>
          </w:divBdr>
        </w:div>
        <w:div w:id="935675138">
          <w:marLeft w:val="640"/>
          <w:marRight w:val="0"/>
          <w:marTop w:val="0"/>
          <w:marBottom w:val="0"/>
          <w:divBdr>
            <w:top w:val="none" w:sz="0" w:space="0" w:color="auto"/>
            <w:left w:val="none" w:sz="0" w:space="0" w:color="auto"/>
            <w:bottom w:val="none" w:sz="0" w:space="0" w:color="auto"/>
            <w:right w:val="none" w:sz="0" w:space="0" w:color="auto"/>
          </w:divBdr>
        </w:div>
        <w:div w:id="224679716">
          <w:marLeft w:val="640"/>
          <w:marRight w:val="0"/>
          <w:marTop w:val="0"/>
          <w:marBottom w:val="0"/>
          <w:divBdr>
            <w:top w:val="none" w:sz="0" w:space="0" w:color="auto"/>
            <w:left w:val="none" w:sz="0" w:space="0" w:color="auto"/>
            <w:bottom w:val="none" w:sz="0" w:space="0" w:color="auto"/>
            <w:right w:val="none" w:sz="0" w:space="0" w:color="auto"/>
          </w:divBdr>
        </w:div>
        <w:div w:id="2064281257">
          <w:marLeft w:val="640"/>
          <w:marRight w:val="0"/>
          <w:marTop w:val="0"/>
          <w:marBottom w:val="0"/>
          <w:divBdr>
            <w:top w:val="none" w:sz="0" w:space="0" w:color="auto"/>
            <w:left w:val="none" w:sz="0" w:space="0" w:color="auto"/>
            <w:bottom w:val="none" w:sz="0" w:space="0" w:color="auto"/>
            <w:right w:val="none" w:sz="0" w:space="0" w:color="auto"/>
          </w:divBdr>
        </w:div>
        <w:div w:id="1126268354">
          <w:marLeft w:val="640"/>
          <w:marRight w:val="0"/>
          <w:marTop w:val="0"/>
          <w:marBottom w:val="0"/>
          <w:divBdr>
            <w:top w:val="none" w:sz="0" w:space="0" w:color="auto"/>
            <w:left w:val="none" w:sz="0" w:space="0" w:color="auto"/>
            <w:bottom w:val="none" w:sz="0" w:space="0" w:color="auto"/>
            <w:right w:val="none" w:sz="0" w:space="0" w:color="auto"/>
          </w:divBdr>
        </w:div>
        <w:div w:id="1882092132">
          <w:marLeft w:val="640"/>
          <w:marRight w:val="0"/>
          <w:marTop w:val="0"/>
          <w:marBottom w:val="0"/>
          <w:divBdr>
            <w:top w:val="none" w:sz="0" w:space="0" w:color="auto"/>
            <w:left w:val="none" w:sz="0" w:space="0" w:color="auto"/>
            <w:bottom w:val="none" w:sz="0" w:space="0" w:color="auto"/>
            <w:right w:val="none" w:sz="0" w:space="0" w:color="auto"/>
          </w:divBdr>
        </w:div>
        <w:div w:id="568808300">
          <w:marLeft w:val="640"/>
          <w:marRight w:val="0"/>
          <w:marTop w:val="0"/>
          <w:marBottom w:val="0"/>
          <w:divBdr>
            <w:top w:val="none" w:sz="0" w:space="0" w:color="auto"/>
            <w:left w:val="none" w:sz="0" w:space="0" w:color="auto"/>
            <w:bottom w:val="none" w:sz="0" w:space="0" w:color="auto"/>
            <w:right w:val="none" w:sz="0" w:space="0" w:color="auto"/>
          </w:divBdr>
        </w:div>
        <w:div w:id="1862165642">
          <w:marLeft w:val="640"/>
          <w:marRight w:val="0"/>
          <w:marTop w:val="0"/>
          <w:marBottom w:val="0"/>
          <w:divBdr>
            <w:top w:val="none" w:sz="0" w:space="0" w:color="auto"/>
            <w:left w:val="none" w:sz="0" w:space="0" w:color="auto"/>
            <w:bottom w:val="none" w:sz="0" w:space="0" w:color="auto"/>
            <w:right w:val="none" w:sz="0" w:space="0" w:color="auto"/>
          </w:divBdr>
        </w:div>
        <w:div w:id="122623337">
          <w:marLeft w:val="640"/>
          <w:marRight w:val="0"/>
          <w:marTop w:val="0"/>
          <w:marBottom w:val="0"/>
          <w:divBdr>
            <w:top w:val="none" w:sz="0" w:space="0" w:color="auto"/>
            <w:left w:val="none" w:sz="0" w:space="0" w:color="auto"/>
            <w:bottom w:val="none" w:sz="0" w:space="0" w:color="auto"/>
            <w:right w:val="none" w:sz="0" w:space="0" w:color="auto"/>
          </w:divBdr>
        </w:div>
        <w:div w:id="336079091">
          <w:marLeft w:val="640"/>
          <w:marRight w:val="0"/>
          <w:marTop w:val="0"/>
          <w:marBottom w:val="0"/>
          <w:divBdr>
            <w:top w:val="none" w:sz="0" w:space="0" w:color="auto"/>
            <w:left w:val="none" w:sz="0" w:space="0" w:color="auto"/>
            <w:bottom w:val="none" w:sz="0" w:space="0" w:color="auto"/>
            <w:right w:val="none" w:sz="0" w:space="0" w:color="auto"/>
          </w:divBdr>
        </w:div>
        <w:div w:id="1817604844">
          <w:marLeft w:val="640"/>
          <w:marRight w:val="0"/>
          <w:marTop w:val="0"/>
          <w:marBottom w:val="0"/>
          <w:divBdr>
            <w:top w:val="none" w:sz="0" w:space="0" w:color="auto"/>
            <w:left w:val="none" w:sz="0" w:space="0" w:color="auto"/>
            <w:bottom w:val="none" w:sz="0" w:space="0" w:color="auto"/>
            <w:right w:val="none" w:sz="0" w:space="0" w:color="auto"/>
          </w:divBdr>
        </w:div>
        <w:div w:id="345444355">
          <w:marLeft w:val="640"/>
          <w:marRight w:val="0"/>
          <w:marTop w:val="0"/>
          <w:marBottom w:val="0"/>
          <w:divBdr>
            <w:top w:val="none" w:sz="0" w:space="0" w:color="auto"/>
            <w:left w:val="none" w:sz="0" w:space="0" w:color="auto"/>
            <w:bottom w:val="none" w:sz="0" w:space="0" w:color="auto"/>
            <w:right w:val="none" w:sz="0" w:space="0" w:color="auto"/>
          </w:divBdr>
        </w:div>
        <w:div w:id="1121917424">
          <w:marLeft w:val="640"/>
          <w:marRight w:val="0"/>
          <w:marTop w:val="0"/>
          <w:marBottom w:val="0"/>
          <w:divBdr>
            <w:top w:val="none" w:sz="0" w:space="0" w:color="auto"/>
            <w:left w:val="none" w:sz="0" w:space="0" w:color="auto"/>
            <w:bottom w:val="none" w:sz="0" w:space="0" w:color="auto"/>
            <w:right w:val="none" w:sz="0" w:space="0" w:color="auto"/>
          </w:divBdr>
        </w:div>
        <w:div w:id="249772826">
          <w:marLeft w:val="640"/>
          <w:marRight w:val="0"/>
          <w:marTop w:val="0"/>
          <w:marBottom w:val="0"/>
          <w:divBdr>
            <w:top w:val="none" w:sz="0" w:space="0" w:color="auto"/>
            <w:left w:val="none" w:sz="0" w:space="0" w:color="auto"/>
            <w:bottom w:val="none" w:sz="0" w:space="0" w:color="auto"/>
            <w:right w:val="none" w:sz="0" w:space="0" w:color="auto"/>
          </w:divBdr>
        </w:div>
        <w:div w:id="1944996872">
          <w:marLeft w:val="640"/>
          <w:marRight w:val="0"/>
          <w:marTop w:val="0"/>
          <w:marBottom w:val="0"/>
          <w:divBdr>
            <w:top w:val="none" w:sz="0" w:space="0" w:color="auto"/>
            <w:left w:val="none" w:sz="0" w:space="0" w:color="auto"/>
            <w:bottom w:val="none" w:sz="0" w:space="0" w:color="auto"/>
            <w:right w:val="none" w:sz="0" w:space="0" w:color="auto"/>
          </w:divBdr>
        </w:div>
        <w:div w:id="1273367211">
          <w:marLeft w:val="640"/>
          <w:marRight w:val="0"/>
          <w:marTop w:val="0"/>
          <w:marBottom w:val="0"/>
          <w:divBdr>
            <w:top w:val="none" w:sz="0" w:space="0" w:color="auto"/>
            <w:left w:val="none" w:sz="0" w:space="0" w:color="auto"/>
            <w:bottom w:val="none" w:sz="0" w:space="0" w:color="auto"/>
            <w:right w:val="none" w:sz="0" w:space="0" w:color="auto"/>
          </w:divBdr>
        </w:div>
        <w:div w:id="1668254">
          <w:marLeft w:val="640"/>
          <w:marRight w:val="0"/>
          <w:marTop w:val="0"/>
          <w:marBottom w:val="0"/>
          <w:divBdr>
            <w:top w:val="none" w:sz="0" w:space="0" w:color="auto"/>
            <w:left w:val="none" w:sz="0" w:space="0" w:color="auto"/>
            <w:bottom w:val="none" w:sz="0" w:space="0" w:color="auto"/>
            <w:right w:val="none" w:sz="0" w:space="0" w:color="auto"/>
          </w:divBdr>
        </w:div>
        <w:div w:id="1268344243">
          <w:marLeft w:val="640"/>
          <w:marRight w:val="0"/>
          <w:marTop w:val="0"/>
          <w:marBottom w:val="0"/>
          <w:divBdr>
            <w:top w:val="none" w:sz="0" w:space="0" w:color="auto"/>
            <w:left w:val="none" w:sz="0" w:space="0" w:color="auto"/>
            <w:bottom w:val="none" w:sz="0" w:space="0" w:color="auto"/>
            <w:right w:val="none" w:sz="0" w:space="0" w:color="auto"/>
          </w:divBdr>
        </w:div>
        <w:div w:id="369035145">
          <w:marLeft w:val="640"/>
          <w:marRight w:val="0"/>
          <w:marTop w:val="0"/>
          <w:marBottom w:val="0"/>
          <w:divBdr>
            <w:top w:val="none" w:sz="0" w:space="0" w:color="auto"/>
            <w:left w:val="none" w:sz="0" w:space="0" w:color="auto"/>
            <w:bottom w:val="none" w:sz="0" w:space="0" w:color="auto"/>
            <w:right w:val="none" w:sz="0" w:space="0" w:color="auto"/>
          </w:divBdr>
        </w:div>
        <w:div w:id="52509504">
          <w:marLeft w:val="640"/>
          <w:marRight w:val="0"/>
          <w:marTop w:val="0"/>
          <w:marBottom w:val="0"/>
          <w:divBdr>
            <w:top w:val="none" w:sz="0" w:space="0" w:color="auto"/>
            <w:left w:val="none" w:sz="0" w:space="0" w:color="auto"/>
            <w:bottom w:val="none" w:sz="0" w:space="0" w:color="auto"/>
            <w:right w:val="none" w:sz="0" w:space="0" w:color="auto"/>
          </w:divBdr>
        </w:div>
        <w:div w:id="545719188">
          <w:marLeft w:val="640"/>
          <w:marRight w:val="0"/>
          <w:marTop w:val="0"/>
          <w:marBottom w:val="0"/>
          <w:divBdr>
            <w:top w:val="none" w:sz="0" w:space="0" w:color="auto"/>
            <w:left w:val="none" w:sz="0" w:space="0" w:color="auto"/>
            <w:bottom w:val="none" w:sz="0" w:space="0" w:color="auto"/>
            <w:right w:val="none" w:sz="0" w:space="0" w:color="auto"/>
          </w:divBdr>
        </w:div>
        <w:div w:id="261301012">
          <w:marLeft w:val="640"/>
          <w:marRight w:val="0"/>
          <w:marTop w:val="0"/>
          <w:marBottom w:val="0"/>
          <w:divBdr>
            <w:top w:val="none" w:sz="0" w:space="0" w:color="auto"/>
            <w:left w:val="none" w:sz="0" w:space="0" w:color="auto"/>
            <w:bottom w:val="none" w:sz="0" w:space="0" w:color="auto"/>
            <w:right w:val="none" w:sz="0" w:space="0" w:color="auto"/>
          </w:divBdr>
        </w:div>
        <w:div w:id="1166022077">
          <w:marLeft w:val="640"/>
          <w:marRight w:val="0"/>
          <w:marTop w:val="0"/>
          <w:marBottom w:val="0"/>
          <w:divBdr>
            <w:top w:val="none" w:sz="0" w:space="0" w:color="auto"/>
            <w:left w:val="none" w:sz="0" w:space="0" w:color="auto"/>
            <w:bottom w:val="none" w:sz="0" w:space="0" w:color="auto"/>
            <w:right w:val="none" w:sz="0" w:space="0" w:color="auto"/>
          </w:divBdr>
        </w:div>
        <w:div w:id="1835995927">
          <w:marLeft w:val="640"/>
          <w:marRight w:val="0"/>
          <w:marTop w:val="0"/>
          <w:marBottom w:val="0"/>
          <w:divBdr>
            <w:top w:val="none" w:sz="0" w:space="0" w:color="auto"/>
            <w:left w:val="none" w:sz="0" w:space="0" w:color="auto"/>
            <w:bottom w:val="none" w:sz="0" w:space="0" w:color="auto"/>
            <w:right w:val="none" w:sz="0" w:space="0" w:color="auto"/>
          </w:divBdr>
        </w:div>
        <w:div w:id="672026865">
          <w:marLeft w:val="640"/>
          <w:marRight w:val="0"/>
          <w:marTop w:val="0"/>
          <w:marBottom w:val="0"/>
          <w:divBdr>
            <w:top w:val="none" w:sz="0" w:space="0" w:color="auto"/>
            <w:left w:val="none" w:sz="0" w:space="0" w:color="auto"/>
            <w:bottom w:val="none" w:sz="0" w:space="0" w:color="auto"/>
            <w:right w:val="none" w:sz="0" w:space="0" w:color="auto"/>
          </w:divBdr>
        </w:div>
        <w:div w:id="1660183892">
          <w:marLeft w:val="640"/>
          <w:marRight w:val="0"/>
          <w:marTop w:val="0"/>
          <w:marBottom w:val="0"/>
          <w:divBdr>
            <w:top w:val="none" w:sz="0" w:space="0" w:color="auto"/>
            <w:left w:val="none" w:sz="0" w:space="0" w:color="auto"/>
            <w:bottom w:val="none" w:sz="0" w:space="0" w:color="auto"/>
            <w:right w:val="none" w:sz="0" w:space="0" w:color="auto"/>
          </w:divBdr>
        </w:div>
        <w:div w:id="1381785890">
          <w:marLeft w:val="640"/>
          <w:marRight w:val="0"/>
          <w:marTop w:val="0"/>
          <w:marBottom w:val="0"/>
          <w:divBdr>
            <w:top w:val="none" w:sz="0" w:space="0" w:color="auto"/>
            <w:left w:val="none" w:sz="0" w:space="0" w:color="auto"/>
            <w:bottom w:val="none" w:sz="0" w:space="0" w:color="auto"/>
            <w:right w:val="none" w:sz="0" w:space="0" w:color="auto"/>
          </w:divBdr>
        </w:div>
        <w:div w:id="7802829">
          <w:marLeft w:val="640"/>
          <w:marRight w:val="0"/>
          <w:marTop w:val="0"/>
          <w:marBottom w:val="0"/>
          <w:divBdr>
            <w:top w:val="none" w:sz="0" w:space="0" w:color="auto"/>
            <w:left w:val="none" w:sz="0" w:space="0" w:color="auto"/>
            <w:bottom w:val="none" w:sz="0" w:space="0" w:color="auto"/>
            <w:right w:val="none" w:sz="0" w:space="0" w:color="auto"/>
          </w:divBdr>
        </w:div>
        <w:div w:id="1008677984">
          <w:marLeft w:val="640"/>
          <w:marRight w:val="0"/>
          <w:marTop w:val="0"/>
          <w:marBottom w:val="0"/>
          <w:divBdr>
            <w:top w:val="none" w:sz="0" w:space="0" w:color="auto"/>
            <w:left w:val="none" w:sz="0" w:space="0" w:color="auto"/>
            <w:bottom w:val="none" w:sz="0" w:space="0" w:color="auto"/>
            <w:right w:val="none" w:sz="0" w:space="0" w:color="auto"/>
          </w:divBdr>
        </w:div>
        <w:div w:id="1576628016">
          <w:marLeft w:val="640"/>
          <w:marRight w:val="0"/>
          <w:marTop w:val="0"/>
          <w:marBottom w:val="0"/>
          <w:divBdr>
            <w:top w:val="none" w:sz="0" w:space="0" w:color="auto"/>
            <w:left w:val="none" w:sz="0" w:space="0" w:color="auto"/>
            <w:bottom w:val="none" w:sz="0" w:space="0" w:color="auto"/>
            <w:right w:val="none" w:sz="0" w:space="0" w:color="auto"/>
          </w:divBdr>
        </w:div>
        <w:div w:id="1147164098">
          <w:marLeft w:val="640"/>
          <w:marRight w:val="0"/>
          <w:marTop w:val="0"/>
          <w:marBottom w:val="0"/>
          <w:divBdr>
            <w:top w:val="none" w:sz="0" w:space="0" w:color="auto"/>
            <w:left w:val="none" w:sz="0" w:space="0" w:color="auto"/>
            <w:bottom w:val="none" w:sz="0" w:space="0" w:color="auto"/>
            <w:right w:val="none" w:sz="0" w:space="0" w:color="auto"/>
          </w:divBdr>
        </w:div>
        <w:div w:id="1297179052">
          <w:marLeft w:val="640"/>
          <w:marRight w:val="0"/>
          <w:marTop w:val="0"/>
          <w:marBottom w:val="0"/>
          <w:divBdr>
            <w:top w:val="none" w:sz="0" w:space="0" w:color="auto"/>
            <w:left w:val="none" w:sz="0" w:space="0" w:color="auto"/>
            <w:bottom w:val="none" w:sz="0" w:space="0" w:color="auto"/>
            <w:right w:val="none" w:sz="0" w:space="0" w:color="auto"/>
          </w:divBdr>
        </w:div>
        <w:div w:id="503666505">
          <w:marLeft w:val="640"/>
          <w:marRight w:val="0"/>
          <w:marTop w:val="0"/>
          <w:marBottom w:val="0"/>
          <w:divBdr>
            <w:top w:val="none" w:sz="0" w:space="0" w:color="auto"/>
            <w:left w:val="none" w:sz="0" w:space="0" w:color="auto"/>
            <w:bottom w:val="none" w:sz="0" w:space="0" w:color="auto"/>
            <w:right w:val="none" w:sz="0" w:space="0" w:color="auto"/>
          </w:divBdr>
        </w:div>
        <w:div w:id="818422625">
          <w:marLeft w:val="640"/>
          <w:marRight w:val="0"/>
          <w:marTop w:val="0"/>
          <w:marBottom w:val="0"/>
          <w:divBdr>
            <w:top w:val="none" w:sz="0" w:space="0" w:color="auto"/>
            <w:left w:val="none" w:sz="0" w:space="0" w:color="auto"/>
            <w:bottom w:val="none" w:sz="0" w:space="0" w:color="auto"/>
            <w:right w:val="none" w:sz="0" w:space="0" w:color="auto"/>
          </w:divBdr>
        </w:div>
        <w:div w:id="2040281916">
          <w:marLeft w:val="640"/>
          <w:marRight w:val="0"/>
          <w:marTop w:val="0"/>
          <w:marBottom w:val="0"/>
          <w:divBdr>
            <w:top w:val="none" w:sz="0" w:space="0" w:color="auto"/>
            <w:left w:val="none" w:sz="0" w:space="0" w:color="auto"/>
            <w:bottom w:val="none" w:sz="0" w:space="0" w:color="auto"/>
            <w:right w:val="none" w:sz="0" w:space="0" w:color="auto"/>
          </w:divBdr>
        </w:div>
        <w:div w:id="1021514531">
          <w:marLeft w:val="640"/>
          <w:marRight w:val="0"/>
          <w:marTop w:val="0"/>
          <w:marBottom w:val="0"/>
          <w:divBdr>
            <w:top w:val="none" w:sz="0" w:space="0" w:color="auto"/>
            <w:left w:val="none" w:sz="0" w:space="0" w:color="auto"/>
            <w:bottom w:val="none" w:sz="0" w:space="0" w:color="auto"/>
            <w:right w:val="none" w:sz="0" w:space="0" w:color="auto"/>
          </w:divBdr>
        </w:div>
        <w:div w:id="427970366">
          <w:marLeft w:val="640"/>
          <w:marRight w:val="0"/>
          <w:marTop w:val="0"/>
          <w:marBottom w:val="0"/>
          <w:divBdr>
            <w:top w:val="none" w:sz="0" w:space="0" w:color="auto"/>
            <w:left w:val="none" w:sz="0" w:space="0" w:color="auto"/>
            <w:bottom w:val="none" w:sz="0" w:space="0" w:color="auto"/>
            <w:right w:val="none" w:sz="0" w:space="0" w:color="auto"/>
          </w:divBdr>
        </w:div>
        <w:div w:id="1663780786">
          <w:marLeft w:val="640"/>
          <w:marRight w:val="0"/>
          <w:marTop w:val="0"/>
          <w:marBottom w:val="0"/>
          <w:divBdr>
            <w:top w:val="none" w:sz="0" w:space="0" w:color="auto"/>
            <w:left w:val="none" w:sz="0" w:space="0" w:color="auto"/>
            <w:bottom w:val="none" w:sz="0" w:space="0" w:color="auto"/>
            <w:right w:val="none" w:sz="0" w:space="0" w:color="auto"/>
          </w:divBdr>
        </w:div>
        <w:div w:id="178856631">
          <w:marLeft w:val="640"/>
          <w:marRight w:val="0"/>
          <w:marTop w:val="0"/>
          <w:marBottom w:val="0"/>
          <w:divBdr>
            <w:top w:val="none" w:sz="0" w:space="0" w:color="auto"/>
            <w:left w:val="none" w:sz="0" w:space="0" w:color="auto"/>
            <w:bottom w:val="none" w:sz="0" w:space="0" w:color="auto"/>
            <w:right w:val="none" w:sz="0" w:space="0" w:color="auto"/>
          </w:divBdr>
        </w:div>
        <w:div w:id="1223902698">
          <w:marLeft w:val="640"/>
          <w:marRight w:val="0"/>
          <w:marTop w:val="0"/>
          <w:marBottom w:val="0"/>
          <w:divBdr>
            <w:top w:val="none" w:sz="0" w:space="0" w:color="auto"/>
            <w:left w:val="none" w:sz="0" w:space="0" w:color="auto"/>
            <w:bottom w:val="none" w:sz="0" w:space="0" w:color="auto"/>
            <w:right w:val="none" w:sz="0" w:space="0" w:color="auto"/>
          </w:divBdr>
        </w:div>
        <w:div w:id="858742775">
          <w:marLeft w:val="640"/>
          <w:marRight w:val="0"/>
          <w:marTop w:val="0"/>
          <w:marBottom w:val="0"/>
          <w:divBdr>
            <w:top w:val="none" w:sz="0" w:space="0" w:color="auto"/>
            <w:left w:val="none" w:sz="0" w:space="0" w:color="auto"/>
            <w:bottom w:val="none" w:sz="0" w:space="0" w:color="auto"/>
            <w:right w:val="none" w:sz="0" w:space="0" w:color="auto"/>
          </w:divBdr>
        </w:div>
        <w:div w:id="1309290045">
          <w:marLeft w:val="640"/>
          <w:marRight w:val="0"/>
          <w:marTop w:val="0"/>
          <w:marBottom w:val="0"/>
          <w:divBdr>
            <w:top w:val="none" w:sz="0" w:space="0" w:color="auto"/>
            <w:left w:val="none" w:sz="0" w:space="0" w:color="auto"/>
            <w:bottom w:val="none" w:sz="0" w:space="0" w:color="auto"/>
            <w:right w:val="none" w:sz="0" w:space="0" w:color="auto"/>
          </w:divBdr>
        </w:div>
        <w:div w:id="1418592645">
          <w:marLeft w:val="640"/>
          <w:marRight w:val="0"/>
          <w:marTop w:val="0"/>
          <w:marBottom w:val="0"/>
          <w:divBdr>
            <w:top w:val="none" w:sz="0" w:space="0" w:color="auto"/>
            <w:left w:val="none" w:sz="0" w:space="0" w:color="auto"/>
            <w:bottom w:val="none" w:sz="0" w:space="0" w:color="auto"/>
            <w:right w:val="none" w:sz="0" w:space="0" w:color="auto"/>
          </w:divBdr>
        </w:div>
        <w:div w:id="738672162">
          <w:marLeft w:val="640"/>
          <w:marRight w:val="0"/>
          <w:marTop w:val="0"/>
          <w:marBottom w:val="0"/>
          <w:divBdr>
            <w:top w:val="none" w:sz="0" w:space="0" w:color="auto"/>
            <w:left w:val="none" w:sz="0" w:space="0" w:color="auto"/>
            <w:bottom w:val="none" w:sz="0" w:space="0" w:color="auto"/>
            <w:right w:val="none" w:sz="0" w:space="0" w:color="auto"/>
          </w:divBdr>
        </w:div>
        <w:div w:id="1417748357">
          <w:marLeft w:val="640"/>
          <w:marRight w:val="0"/>
          <w:marTop w:val="0"/>
          <w:marBottom w:val="0"/>
          <w:divBdr>
            <w:top w:val="none" w:sz="0" w:space="0" w:color="auto"/>
            <w:left w:val="none" w:sz="0" w:space="0" w:color="auto"/>
            <w:bottom w:val="none" w:sz="0" w:space="0" w:color="auto"/>
            <w:right w:val="none" w:sz="0" w:space="0" w:color="auto"/>
          </w:divBdr>
        </w:div>
        <w:div w:id="2128313428">
          <w:marLeft w:val="640"/>
          <w:marRight w:val="0"/>
          <w:marTop w:val="0"/>
          <w:marBottom w:val="0"/>
          <w:divBdr>
            <w:top w:val="none" w:sz="0" w:space="0" w:color="auto"/>
            <w:left w:val="none" w:sz="0" w:space="0" w:color="auto"/>
            <w:bottom w:val="none" w:sz="0" w:space="0" w:color="auto"/>
            <w:right w:val="none" w:sz="0" w:space="0" w:color="auto"/>
          </w:divBdr>
        </w:div>
        <w:div w:id="912786728">
          <w:marLeft w:val="640"/>
          <w:marRight w:val="0"/>
          <w:marTop w:val="0"/>
          <w:marBottom w:val="0"/>
          <w:divBdr>
            <w:top w:val="none" w:sz="0" w:space="0" w:color="auto"/>
            <w:left w:val="none" w:sz="0" w:space="0" w:color="auto"/>
            <w:bottom w:val="none" w:sz="0" w:space="0" w:color="auto"/>
            <w:right w:val="none" w:sz="0" w:space="0" w:color="auto"/>
          </w:divBdr>
        </w:div>
        <w:div w:id="1905021470">
          <w:marLeft w:val="640"/>
          <w:marRight w:val="0"/>
          <w:marTop w:val="0"/>
          <w:marBottom w:val="0"/>
          <w:divBdr>
            <w:top w:val="none" w:sz="0" w:space="0" w:color="auto"/>
            <w:left w:val="none" w:sz="0" w:space="0" w:color="auto"/>
            <w:bottom w:val="none" w:sz="0" w:space="0" w:color="auto"/>
            <w:right w:val="none" w:sz="0" w:space="0" w:color="auto"/>
          </w:divBdr>
        </w:div>
        <w:div w:id="395855972">
          <w:marLeft w:val="640"/>
          <w:marRight w:val="0"/>
          <w:marTop w:val="0"/>
          <w:marBottom w:val="0"/>
          <w:divBdr>
            <w:top w:val="none" w:sz="0" w:space="0" w:color="auto"/>
            <w:left w:val="none" w:sz="0" w:space="0" w:color="auto"/>
            <w:bottom w:val="none" w:sz="0" w:space="0" w:color="auto"/>
            <w:right w:val="none" w:sz="0" w:space="0" w:color="auto"/>
          </w:divBdr>
        </w:div>
        <w:div w:id="272370885">
          <w:marLeft w:val="640"/>
          <w:marRight w:val="0"/>
          <w:marTop w:val="0"/>
          <w:marBottom w:val="0"/>
          <w:divBdr>
            <w:top w:val="none" w:sz="0" w:space="0" w:color="auto"/>
            <w:left w:val="none" w:sz="0" w:space="0" w:color="auto"/>
            <w:bottom w:val="none" w:sz="0" w:space="0" w:color="auto"/>
            <w:right w:val="none" w:sz="0" w:space="0" w:color="auto"/>
          </w:divBdr>
        </w:div>
        <w:div w:id="99183431">
          <w:marLeft w:val="640"/>
          <w:marRight w:val="0"/>
          <w:marTop w:val="0"/>
          <w:marBottom w:val="0"/>
          <w:divBdr>
            <w:top w:val="none" w:sz="0" w:space="0" w:color="auto"/>
            <w:left w:val="none" w:sz="0" w:space="0" w:color="auto"/>
            <w:bottom w:val="none" w:sz="0" w:space="0" w:color="auto"/>
            <w:right w:val="none" w:sz="0" w:space="0" w:color="auto"/>
          </w:divBdr>
        </w:div>
        <w:div w:id="952438979">
          <w:marLeft w:val="640"/>
          <w:marRight w:val="0"/>
          <w:marTop w:val="0"/>
          <w:marBottom w:val="0"/>
          <w:divBdr>
            <w:top w:val="none" w:sz="0" w:space="0" w:color="auto"/>
            <w:left w:val="none" w:sz="0" w:space="0" w:color="auto"/>
            <w:bottom w:val="none" w:sz="0" w:space="0" w:color="auto"/>
            <w:right w:val="none" w:sz="0" w:space="0" w:color="auto"/>
          </w:divBdr>
        </w:div>
        <w:div w:id="1146698478">
          <w:marLeft w:val="640"/>
          <w:marRight w:val="0"/>
          <w:marTop w:val="0"/>
          <w:marBottom w:val="0"/>
          <w:divBdr>
            <w:top w:val="none" w:sz="0" w:space="0" w:color="auto"/>
            <w:left w:val="none" w:sz="0" w:space="0" w:color="auto"/>
            <w:bottom w:val="none" w:sz="0" w:space="0" w:color="auto"/>
            <w:right w:val="none" w:sz="0" w:space="0" w:color="auto"/>
          </w:divBdr>
        </w:div>
        <w:div w:id="1921787324">
          <w:marLeft w:val="640"/>
          <w:marRight w:val="0"/>
          <w:marTop w:val="0"/>
          <w:marBottom w:val="0"/>
          <w:divBdr>
            <w:top w:val="none" w:sz="0" w:space="0" w:color="auto"/>
            <w:left w:val="none" w:sz="0" w:space="0" w:color="auto"/>
            <w:bottom w:val="none" w:sz="0" w:space="0" w:color="auto"/>
            <w:right w:val="none" w:sz="0" w:space="0" w:color="auto"/>
          </w:divBdr>
        </w:div>
        <w:div w:id="1968126098">
          <w:marLeft w:val="640"/>
          <w:marRight w:val="0"/>
          <w:marTop w:val="0"/>
          <w:marBottom w:val="0"/>
          <w:divBdr>
            <w:top w:val="none" w:sz="0" w:space="0" w:color="auto"/>
            <w:left w:val="none" w:sz="0" w:space="0" w:color="auto"/>
            <w:bottom w:val="none" w:sz="0" w:space="0" w:color="auto"/>
            <w:right w:val="none" w:sz="0" w:space="0" w:color="auto"/>
          </w:divBdr>
        </w:div>
        <w:div w:id="588465207">
          <w:marLeft w:val="640"/>
          <w:marRight w:val="0"/>
          <w:marTop w:val="0"/>
          <w:marBottom w:val="0"/>
          <w:divBdr>
            <w:top w:val="none" w:sz="0" w:space="0" w:color="auto"/>
            <w:left w:val="none" w:sz="0" w:space="0" w:color="auto"/>
            <w:bottom w:val="none" w:sz="0" w:space="0" w:color="auto"/>
            <w:right w:val="none" w:sz="0" w:space="0" w:color="auto"/>
          </w:divBdr>
        </w:div>
      </w:divsChild>
    </w:div>
    <w:div w:id="41293929">
      <w:bodyDiv w:val="1"/>
      <w:marLeft w:val="0"/>
      <w:marRight w:val="0"/>
      <w:marTop w:val="0"/>
      <w:marBottom w:val="0"/>
      <w:divBdr>
        <w:top w:val="none" w:sz="0" w:space="0" w:color="auto"/>
        <w:left w:val="none" w:sz="0" w:space="0" w:color="auto"/>
        <w:bottom w:val="none" w:sz="0" w:space="0" w:color="auto"/>
        <w:right w:val="none" w:sz="0" w:space="0" w:color="auto"/>
      </w:divBdr>
      <w:divsChild>
        <w:div w:id="1300769167">
          <w:marLeft w:val="640"/>
          <w:marRight w:val="0"/>
          <w:marTop w:val="0"/>
          <w:marBottom w:val="0"/>
          <w:divBdr>
            <w:top w:val="none" w:sz="0" w:space="0" w:color="auto"/>
            <w:left w:val="none" w:sz="0" w:space="0" w:color="auto"/>
            <w:bottom w:val="none" w:sz="0" w:space="0" w:color="auto"/>
            <w:right w:val="none" w:sz="0" w:space="0" w:color="auto"/>
          </w:divBdr>
        </w:div>
        <w:div w:id="224687325">
          <w:marLeft w:val="640"/>
          <w:marRight w:val="0"/>
          <w:marTop w:val="0"/>
          <w:marBottom w:val="0"/>
          <w:divBdr>
            <w:top w:val="none" w:sz="0" w:space="0" w:color="auto"/>
            <w:left w:val="none" w:sz="0" w:space="0" w:color="auto"/>
            <w:bottom w:val="none" w:sz="0" w:space="0" w:color="auto"/>
            <w:right w:val="none" w:sz="0" w:space="0" w:color="auto"/>
          </w:divBdr>
        </w:div>
        <w:div w:id="1686974168">
          <w:marLeft w:val="640"/>
          <w:marRight w:val="0"/>
          <w:marTop w:val="0"/>
          <w:marBottom w:val="0"/>
          <w:divBdr>
            <w:top w:val="none" w:sz="0" w:space="0" w:color="auto"/>
            <w:left w:val="none" w:sz="0" w:space="0" w:color="auto"/>
            <w:bottom w:val="none" w:sz="0" w:space="0" w:color="auto"/>
            <w:right w:val="none" w:sz="0" w:space="0" w:color="auto"/>
          </w:divBdr>
        </w:div>
        <w:div w:id="432433759">
          <w:marLeft w:val="640"/>
          <w:marRight w:val="0"/>
          <w:marTop w:val="0"/>
          <w:marBottom w:val="0"/>
          <w:divBdr>
            <w:top w:val="none" w:sz="0" w:space="0" w:color="auto"/>
            <w:left w:val="none" w:sz="0" w:space="0" w:color="auto"/>
            <w:bottom w:val="none" w:sz="0" w:space="0" w:color="auto"/>
            <w:right w:val="none" w:sz="0" w:space="0" w:color="auto"/>
          </w:divBdr>
        </w:div>
        <w:div w:id="1633901107">
          <w:marLeft w:val="640"/>
          <w:marRight w:val="0"/>
          <w:marTop w:val="0"/>
          <w:marBottom w:val="0"/>
          <w:divBdr>
            <w:top w:val="none" w:sz="0" w:space="0" w:color="auto"/>
            <w:left w:val="none" w:sz="0" w:space="0" w:color="auto"/>
            <w:bottom w:val="none" w:sz="0" w:space="0" w:color="auto"/>
            <w:right w:val="none" w:sz="0" w:space="0" w:color="auto"/>
          </w:divBdr>
        </w:div>
        <w:div w:id="1916812949">
          <w:marLeft w:val="640"/>
          <w:marRight w:val="0"/>
          <w:marTop w:val="0"/>
          <w:marBottom w:val="0"/>
          <w:divBdr>
            <w:top w:val="none" w:sz="0" w:space="0" w:color="auto"/>
            <w:left w:val="none" w:sz="0" w:space="0" w:color="auto"/>
            <w:bottom w:val="none" w:sz="0" w:space="0" w:color="auto"/>
            <w:right w:val="none" w:sz="0" w:space="0" w:color="auto"/>
          </w:divBdr>
        </w:div>
        <w:div w:id="850877136">
          <w:marLeft w:val="640"/>
          <w:marRight w:val="0"/>
          <w:marTop w:val="0"/>
          <w:marBottom w:val="0"/>
          <w:divBdr>
            <w:top w:val="none" w:sz="0" w:space="0" w:color="auto"/>
            <w:left w:val="none" w:sz="0" w:space="0" w:color="auto"/>
            <w:bottom w:val="none" w:sz="0" w:space="0" w:color="auto"/>
            <w:right w:val="none" w:sz="0" w:space="0" w:color="auto"/>
          </w:divBdr>
        </w:div>
        <w:div w:id="836967513">
          <w:marLeft w:val="640"/>
          <w:marRight w:val="0"/>
          <w:marTop w:val="0"/>
          <w:marBottom w:val="0"/>
          <w:divBdr>
            <w:top w:val="none" w:sz="0" w:space="0" w:color="auto"/>
            <w:left w:val="none" w:sz="0" w:space="0" w:color="auto"/>
            <w:bottom w:val="none" w:sz="0" w:space="0" w:color="auto"/>
            <w:right w:val="none" w:sz="0" w:space="0" w:color="auto"/>
          </w:divBdr>
        </w:div>
        <w:div w:id="1256012112">
          <w:marLeft w:val="640"/>
          <w:marRight w:val="0"/>
          <w:marTop w:val="0"/>
          <w:marBottom w:val="0"/>
          <w:divBdr>
            <w:top w:val="none" w:sz="0" w:space="0" w:color="auto"/>
            <w:left w:val="none" w:sz="0" w:space="0" w:color="auto"/>
            <w:bottom w:val="none" w:sz="0" w:space="0" w:color="auto"/>
            <w:right w:val="none" w:sz="0" w:space="0" w:color="auto"/>
          </w:divBdr>
        </w:div>
        <w:div w:id="2141410185">
          <w:marLeft w:val="640"/>
          <w:marRight w:val="0"/>
          <w:marTop w:val="0"/>
          <w:marBottom w:val="0"/>
          <w:divBdr>
            <w:top w:val="none" w:sz="0" w:space="0" w:color="auto"/>
            <w:left w:val="none" w:sz="0" w:space="0" w:color="auto"/>
            <w:bottom w:val="none" w:sz="0" w:space="0" w:color="auto"/>
            <w:right w:val="none" w:sz="0" w:space="0" w:color="auto"/>
          </w:divBdr>
        </w:div>
        <w:div w:id="1576743749">
          <w:marLeft w:val="640"/>
          <w:marRight w:val="0"/>
          <w:marTop w:val="0"/>
          <w:marBottom w:val="0"/>
          <w:divBdr>
            <w:top w:val="none" w:sz="0" w:space="0" w:color="auto"/>
            <w:left w:val="none" w:sz="0" w:space="0" w:color="auto"/>
            <w:bottom w:val="none" w:sz="0" w:space="0" w:color="auto"/>
            <w:right w:val="none" w:sz="0" w:space="0" w:color="auto"/>
          </w:divBdr>
        </w:div>
        <w:div w:id="155417265">
          <w:marLeft w:val="640"/>
          <w:marRight w:val="0"/>
          <w:marTop w:val="0"/>
          <w:marBottom w:val="0"/>
          <w:divBdr>
            <w:top w:val="none" w:sz="0" w:space="0" w:color="auto"/>
            <w:left w:val="none" w:sz="0" w:space="0" w:color="auto"/>
            <w:bottom w:val="none" w:sz="0" w:space="0" w:color="auto"/>
            <w:right w:val="none" w:sz="0" w:space="0" w:color="auto"/>
          </w:divBdr>
        </w:div>
        <w:div w:id="1853379287">
          <w:marLeft w:val="640"/>
          <w:marRight w:val="0"/>
          <w:marTop w:val="0"/>
          <w:marBottom w:val="0"/>
          <w:divBdr>
            <w:top w:val="none" w:sz="0" w:space="0" w:color="auto"/>
            <w:left w:val="none" w:sz="0" w:space="0" w:color="auto"/>
            <w:bottom w:val="none" w:sz="0" w:space="0" w:color="auto"/>
            <w:right w:val="none" w:sz="0" w:space="0" w:color="auto"/>
          </w:divBdr>
        </w:div>
        <w:div w:id="1144615529">
          <w:marLeft w:val="640"/>
          <w:marRight w:val="0"/>
          <w:marTop w:val="0"/>
          <w:marBottom w:val="0"/>
          <w:divBdr>
            <w:top w:val="none" w:sz="0" w:space="0" w:color="auto"/>
            <w:left w:val="none" w:sz="0" w:space="0" w:color="auto"/>
            <w:bottom w:val="none" w:sz="0" w:space="0" w:color="auto"/>
            <w:right w:val="none" w:sz="0" w:space="0" w:color="auto"/>
          </w:divBdr>
        </w:div>
        <w:div w:id="1357002778">
          <w:marLeft w:val="640"/>
          <w:marRight w:val="0"/>
          <w:marTop w:val="0"/>
          <w:marBottom w:val="0"/>
          <w:divBdr>
            <w:top w:val="none" w:sz="0" w:space="0" w:color="auto"/>
            <w:left w:val="none" w:sz="0" w:space="0" w:color="auto"/>
            <w:bottom w:val="none" w:sz="0" w:space="0" w:color="auto"/>
            <w:right w:val="none" w:sz="0" w:space="0" w:color="auto"/>
          </w:divBdr>
        </w:div>
        <w:div w:id="908609987">
          <w:marLeft w:val="640"/>
          <w:marRight w:val="0"/>
          <w:marTop w:val="0"/>
          <w:marBottom w:val="0"/>
          <w:divBdr>
            <w:top w:val="none" w:sz="0" w:space="0" w:color="auto"/>
            <w:left w:val="none" w:sz="0" w:space="0" w:color="auto"/>
            <w:bottom w:val="none" w:sz="0" w:space="0" w:color="auto"/>
            <w:right w:val="none" w:sz="0" w:space="0" w:color="auto"/>
          </w:divBdr>
        </w:div>
        <w:div w:id="502280018">
          <w:marLeft w:val="640"/>
          <w:marRight w:val="0"/>
          <w:marTop w:val="0"/>
          <w:marBottom w:val="0"/>
          <w:divBdr>
            <w:top w:val="none" w:sz="0" w:space="0" w:color="auto"/>
            <w:left w:val="none" w:sz="0" w:space="0" w:color="auto"/>
            <w:bottom w:val="none" w:sz="0" w:space="0" w:color="auto"/>
            <w:right w:val="none" w:sz="0" w:space="0" w:color="auto"/>
          </w:divBdr>
        </w:div>
        <w:div w:id="985011471">
          <w:marLeft w:val="640"/>
          <w:marRight w:val="0"/>
          <w:marTop w:val="0"/>
          <w:marBottom w:val="0"/>
          <w:divBdr>
            <w:top w:val="none" w:sz="0" w:space="0" w:color="auto"/>
            <w:left w:val="none" w:sz="0" w:space="0" w:color="auto"/>
            <w:bottom w:val="none" w:sz="0" w:space="0" w:color="auto"/>
            <w:right w:val="none" w:sz="0" w:space="0" w:color="auto"/>
          </w:divBdr>
        </w:div>
        <w:div w:id="740257539">
          <w:marLeft w:val="640"/>
          <w:marRight w:val="0"/>
          <w:marTop w:val="0"/>
          <w:marBottom w:val="0"/>
          <w:divBdr>
            <w:top w:val="none" w:sz="0" w:space="0" w:color="auto"/>
            <w:left w:val="none" w:sz="0" w:space="0" w:color="auto"/>
            <w:bottom w:val="none" w:sz="0" w:space="0" w:color="auto"/>
            <w:right w:val="none" w:sz="0" w:space="0" w:color="auto"/>
          </w:divBdr>
        </w:div>
        <w:div w:id="1859419019">
          <w:marLeft w:val="640"/>
          <w:marRight w:val="0"/>
          <w:marTop w:val="0"/>
          <w:marBottom w:val="0"/>
          <w:divBdr>
            <w:top w:val="none" w:sz="0" w:space="0" w:color="auto"/>
            <w:left w:val="none" w:sz="0" w:space="0" w:color="auto"/>
            <w:bottom w:val="none" w:sz="0" w:space="0" w:color="auto"/>
            <w:right w:val="none" w:sz="0" w:space="0" w:color="auto"/>
          </w:divBdr>
        </w:div>
        <w:div w:id="1011906626">
          <w:marLeft w:val="640"/>
          <w:marRight w:val="0"/>
          <w:marTop w:val="0"/>
          <w:marBottom w:val="0"/>
          <w:divBdr>
            <w:top w:val="none" w:sz="0" w:space="0" w:color="auto"/>
            <w:left w:val="none" w:sz="0" w:space="0" w:color="auto"/>
            <w:bottom w:val="none" w:sz="0" w:space="0" w:color="auto"/>
            <w:right w:val="none" w:sz="0" w:space="0" w:color="auto"/>
          </w:divBdr>
        </w:div>
        <w:div w:id="1173299954">
          <w:marLeft w:val="640"/>
          <w:marRight w:val="0"/>
          <w:marTop w:val="0"/>
          <w:marBottom w:val="0"/>
          <w:divBdr>
            <w:top w:val="none" w:sz="0" w:space="0" w:color="auto"/>
            <w:left w:val="none" w:sz="0" w:space="0" w:color="auto"/>
            <w:bottom w:val="none" w:sz="0" w:space="0" w:color="auto"/>
            <w:right w:val="none" w:sz="0" w:space="0" w:color="auto"/>
          </w:divBdr>
        </w:div>
        <w:div w:id="2013796928">
          <w:marLeft w:val="640"/>
          <w:marRight w:val="0"/>
          <w:marTop w:val="0"/>
          <w:marBottom w:val="0"/>
          <w:divBdr>
            <w:top w:val="none" w:sz="0" w:space="0" w:color="auto"/>
            <w:left w:val="none" w:sz="0" w:space="0" w:color="auto"/>
            <w:bottom w:val="none" w:sz="0" w:space="0" w:color="auto"/>
            <w:right w:val="none" w:sz="0" w:space="0" w:color="auto"/>
          </w:divBdr>
        </w:div>
        <w:div w:id="2075198824">
          <w:marLeft w:val="640"/>
          <w:marRight w:val="0"/>
          <w:marTop w:val="0"/>
          <w:marBottom w:val="0"/>
          <w:divBdr>
            <w:top w:val="none" w:sz="0" w:space="0" w:color="auto"/>
            <w:left w:val="none" w:sz="0" w:space="0" w:color="auto"/>
            <w:bottom w:val="none" w:sz="0" w:space="0" w:color="auto"/>
            <w:right w:val="none" w:sz="0" w:space="0" w:color="auto"/>
          </w:divBdr>
        </w:div>
        <w:div w:id="1302733493">
          <w:marLeft w:val="640"/>
          <w:marRight w:val="0"/>
          <w:marTop w:val="0"/>
          <w:marBottom w:val="0"/>
          <w:divBdr>
            <w:top w:val="none" w:sz="0" w:space="0" w:color="auto"/>
            <w:left w:val="none" w:sz="0" w:space="0" w:color="auto"/>
            <w:bottom w:val="none" w:sz="0" w:space="0" w:color="auto"/>
            <w:right w:val="none" w:sz="0" w:space="0" w:color="auto"/>
          </w:divBdr>
        </w:div>
        <w:div w:id="834153662">
          <w:marLeft w:val="640"/>
          <w:marRight w:val="0"/>
          <w:marTop w:val="0"/>
          <w:marBottom w:val="0"/>
          <w:divBdr>
            <w:top w:val="none" w:sz="0" w:space="0" w:color="auto"/>
            <w:left w:val="none" w:sz="0" w:space="0" w:color="auto"/>
            <w:bottom w:val="none" w:sz="0" w:space="0" w:color="auto"/>
            <w:right w:val="none" w:sz="0" w:space="0" w:color="auto"/>
          </w:divBdr>
        </w:div>
        <w:div w:id="1879202544">
          <w:marLeft w:val="640"/>
          <w:marRight w:val="0"/>
          <w:marTop w:val="0"/>
          <w:marBottom w:val="0"/>
          <w:divBdr>
            <w:top w:val="none" w:sz="0" w:space="0" w:color="auto"/>
            <w:left w:val="none" w:sz="0" w:space="0" w:color="auto"/>
            <w:bottom w:val="none" w:sz="0" w:space="0" w:color="auto"/>
            <w:right w:val="none" w:sz="0" w:space="0" w:color="auto"/>
          </w:divBdr>
        </w:div>
        <w:div w:id="1002006877">
          <w:marLeft w:val="640"/>
          <w:marRight w:val="0"/>
          <w:marTop w:val="0"/>
          <w:marBottom w:val="0"/>
          <w:divBdr>
            <w:top w:val="none" w:sz="0" w:space="0" w:color="auto"/>
            <w:left w:val="none" w:sz="0" w:space="0" w:color="auto"/>
            <w:bottom w:val="none" w:sz="0" w:space="0" w:color="auto"/>
            <w:right w:val="none" w:sz="0" w:space="0" w:color="auto"/>
          </w:divBdr>
        </w:div>
        <w:div w:id="312494264">
          <w:marLeft w:val="640"/>
          <w:marRight w:val="0"/>
          <w:marTop w:val="0"/>
          <w:marBottom w:val="0"/>
          <w:divBdr>
            <w:top w:val="none" w:sz="0" w:space="0" w:color="auto"/>
            <w:left w:val="none" w:sz="0" w:space="0" w:color="auto"/>
            <w:bottom w:val="none" w:sz="0" w:space="0" w:color="auto"/>
            <w:right w:val="none" w:sz="0" w:space="0" w:color="auto"/>
          </w:divBdr>
        </w:div>
        <w:div w:id="215817040">
          <w:marLeft w:val="640"/>
          <w:marRight w:val="0"/>
          <w:marTop w:val="0"/>
          <w:marBottom w:val="0"/>
          <w:divBdr>
            <w:top w:val="none" w:sz="0" w:space="0" w:color="auto"/>
            <w:left w:val="none" w:sz="0" w:space="0" w:color="auto"/>
            <w:bottom w:val="none" w:sz="0" w:space="0" w:color="auto"/>
            <w:right w:val="none" w:sz="0" w:space="0" w:color="auto"/>
          </w:divBdr>
        </w:div>
        <w:div w:id="639651511">
          <w:marLeft w:val="640"/>
          <w:marRight w:val="0"/>
          <w:marTop w:val="0"/>
          <w:marBottom w:val="0"/>
          <w:divBdr>
            <w:top w:val="none" w:sz="0" w:space="0" w:color="auto"/>
            <w:left w:val="none" w:sz="0" w:space="0" w:color="auto"/>
            <w:bottom w:val="none" w:sz="0" w:space="0" w:color="auto"/>
            <w:right w:val="none" w:sz="0" w:space="0" w:color="auto"/>
          </w:divBdr>
        </w:div>
        <w:div w:id="1532566574">
          <w:marLeft w:val="640"/>
          <w:marRight w:val="0"/>
          <w:marTop w:val="0"/>
          <w:marBottom w:val="0"/>
          <w:divBdr>
            <w:top w:val="none" w:sz="0" w:space="0" w:color="auto"/>
            <w:left w:val="none" w:sz="0" w:space="0" w:color="auto"/>
            <w:bottom w:val="none" w:sz="0" w:space="0" w:color="auto"/>
            <w:right w:val="none" w:sz="0" w:space="0" w:color="auto"/>
          </w:divBdr>
        </w:div>
        <w:div w:id="1420446593">
          <w:marLeft w:val="640"/>
          <w:marRight w:val="0"/>
          <w:marTop w:val="0"/>
          <w:marBottom w:val="0"/>
          <w:divBdr>
            <w:top w:val="none" w:sz="0" w:space="0" w:color="auto"/>
            <w:left w:val="none" w:sz="0" w:space="0" w:color="auto"/>
            <w:bottom w:val="none" w:sz="0" w:space="0" w:color="auto"/>
            <w:right w:val="none" w:sz="0" w:space="0" w:color="auto"/>
          </w:divBdr>
        </w:div>
        <w:div w:id="1297250766">
          <w:marLeft w:val="640"/>
          <w:marRight w:val="0"/>
          <w:marTop w:val="0"/>
          <w:marBottom w:val="0"/>
          <w:divBdr>
            <w:top w:val="none" w:sz="0" w:space="0" w:color="auto"/>
            <w:left w:val="none" w:sz="0" w:space="0" w:color="auto"/>
            <w:bottom w:val="none" w:sz="0" w:space="0" w:color="auto"/>
            <w:right w:val="none" w:sz="0" w:space="0" w:color="auto"/>
          </w:divBdr>
        </w:div>
        <w:div w:id="1656300416">
          <w:marLeft w:val="640"/>
          <w:marRight w:val="0"/>
          <w:marTop w:val="0"/>
          <w:marBottom w:val="0"/>
          <w:divBdr>
            <w:top w:val="none" w:sz="0" w:space="0" w:color="auto"/>
            <w:left w:val="none" w:sz="0" w:space="0" w:color="auto"/>
            <w:bottom w:val="none" w:sz="0" w:space="0" w:color="auto"/>
            <w:right w:val="none" w:sz="0" w:space="0" w:color="auto"/>
          </w:divBdr>
        </w:div>
        <w:div w:id="310984569">
          <w:marLeft w:val="640"/>
          <w:marRight w:val="0"/>
          <w:marTop w:val="0"/>
          <w:marBottom w:val="0"/>
          <w:divBdr>
            <w:top w:val="none" w:sz="0" w:space="0" w:color="auto"/>
            <w:left w:val="none" w:sz="0" w:space="0" w:color="auto"/>
            <w:bottom w:val="none" w:sz="0" w:space="0" w:color="auto"/>
            <w:right w:val="none" w:sz="0" w:space="0" w:color="auto"/>
          </w:divBdr>
        </w:div>
        <w:div w:id="693262248">
          <w:marLeft w:val="640"/>
          <w:marRight w:val="0"/>
          <w:marTop w:val="0"/>
          <w:marBottom w:val="0"/>
          <w:divBdr>
            <w:top w:val="none" w:sz="0" w:space="0" w:color="auto"/>
            <w:left w:val="none" w:sz="0" w:space="0" w:color="auto"/>
            <w:bottom w:val="none" w:sz="0" w:space="0" w:color="auto"/>
            <w:right w:val="none" w:sz="0" w:space="0" w:color="auto"/>
          </w:divBdr>
        </w:div>
        <w:div w:id="2061398951">
          <w:marLeft w:val="640"/>
          <w:marRight w:val="0"/>
          <w:marTop w:val="0"/>
          <w:marBottom w:val="0"/>
          <w:divBdr>
            <w:top w:val="none" w:sz="0" w:space="0" w:color="auto"/>
            <w:left w:val="none" w:sz="0" w:space="0" w:color="auto"/>
            <w:bottom w:val="none" w:sz="0" w:space="0" w:color="auto"/>
            <w:right w:val="none" w:sz="0" w:space="0" w:color="auto"/>
          </w:divBdr>
        </w:div>
        <w:div w:id="306663649">
          <w:marLeft w:val="640"/>
          <w:marRight w:val="0"/>
          <w:marTop w:val="0"/>
          <w:marBottom w:val="0"/>
          <w:divBdr>
            <w:top w:val="none" w:sz="0" w:space="0" w:color="auto"/>
            <w:left w:val="none" w:sz="0" w:space="0" w:color="auto"/>
            <w:bottom w:val="none" w:sz="0" w:space="0" w:color="auto"/>
            <w:right w:val="none" w:sz="0" w:space="0" w:color="auto"/>
          </w:divBdr>
        </w:div>
        <w:div w:id="1112016167">
          <w:marLeft w:val="640"/>
          <w:marRight w:val="0"/>
          <w:marTop w:val="0"/>
          <w:marBottom w:val="0"/>
          <w:divBdr>
            <w:top w:val="none" w:sz="0" w:space="0" w:color="auto"/>
            <w:left w:val="none" w:sz="0" w:space="0" w:color="auto"/>
            <w:bottom w:val="none" w:sz="0" w:space="0" w:color="auto"/>
            <w:right w:val="none" w:sz="0" w:space="0" w:color="auto"/>
          </w:divBdr>
        </w:div>
        <w:div w:id="1454516607">
          <w:marLeft w:val="640"/>
          <w:marRight w:val="0"/>
          <w:marTop w:val="0"/>
          <w:marBottom w:val="0"/>
          <w:divBdr>
            <w:top w:val="none" w:sz="0" w:space="0" w:color="auto"/>
            <w:left w:val="none" w:sz="0" w:space="0" w:color="auto"/>
            <w:bottom w:val="none" w:sz="0" w:space="0" w:color="auto"/>
            <w:right w:val="none" w:sz="0" w:space="0" w:color="auto"/>
          </w:divBdr>
        </w:div>
        <w:div w:id="1128084140">
          <w:marLeft w:val="640"/>
          <w:marRight w:val="0"/>
          <w:marTop w:val="0"/>
          <w:marBottom w:val="0"/>
          <w:divBdr>
            <w:top w:val="none" w:sz="0" w:space="0" w:color="auto"/>
            <w:left w:val="none" w:sz="0" w:space="0" w:color="auto"/>
            <w:bottom w:val="none" w:sz="0" w:space="0" w:color="auto"/>
            <w:right w:val="none" w:sz="0" w:space="0" w:color="auto"/>
          </w:divBdr>
        </w:div>
        <w:div w:id="1607303027">
          <w:marLeft w:val="640"/>
          <w:marRight w:val="0"/>
          <w:marTop w:val="0"/>
          <w:marBottom w:val="0"/>
          <w:divBdr>
            <w:top w:val="none" w:sz="0" w:space="0" w:color="auto"/>
            <w:left w:val="none" w:sz="0" w:space="0" w:color="auto"/>
            <w:bottom w:val="none" w:sz="0" w:space="0" w:color="auto"/>
            <w:right w:val="none" w:sz="0" w:space="0" w:color="auto"/>
          </w:divBdr>
        </w:div>
        <w:div w:id="1488519739">
          <w:marLeft w:val="640"/>
          <w:marRight w:val="0"/>
          <w:marTop w:val="0"/>
          <w:marBottom w:val="0"/>
          <w:divBdr>
            <w:top w:val="none" w:sz="0" w:space="0" w:color="auto"/>
            <w:left w:val="none" w:sz="0" w:space="0" w:color="auto"/>
            <w:bottom w:val="none" w:sz="0" w:space="0" w:color="auto"/>
            <w:right w:val="none" w:sz="0" w:space="0" w:color="auto"/>
          </w:divBdr>
        </w:div>
        <w:div w:id="1369377205">
          <w:marLeft w:val="640"/>
          <w:marRight w:val="0"/>
          <w:marTop w:val="0"/>
          <w:marBottom w:val="0"/>
          <w:divBdr>
            <w:top w:val="none" w:sz="0" w:space="0" w:color="auto"/>
            <w:left w:val="none" w:sz="0" w:space="0" w:color="auto"/>
            <w:bottom w:val="none" w:sz="0" w:space="0" w:color="auto"/>
            <w:right w:val="none" w:sz="0" w:space="0" w:color="auto"/>
          </w:divBdr>
        </w:div>
        <w:div w:id="1918401106">
          <w:marLeft w:val="640"/>
          <w:marRight w:val="0"/>
          <w:marTop w:val="0"/>
          <w:marBottom w:val="0"/>
          <w:divBdr>
            <w:top w:val="none" w:sz="0" w:space="0" w:color="auto"/>
            <w:left w:val="none" w:sz="0" w:space="0" w:color="auto"/>
            <w:bottom w:val="none" w:sz="0" w:space="0" w:color="auto"/>
            <w:right w:val="none" w:sz="0" w:space="0" w:color="auto"/>
          </w:divBdr>
        </w:div>
        <w:div w:id="658583409">
          <w:marLeft w:val="640"/>
          <w:marRight w:val="0"/>
          <w:marTop w:val="0"/>
          <w:marBottom w:val="0"/>
          <w:divBdr>
            <w:top w:val="none" w:sz="0" w:space="0" w:color="auto"/>
            <w:left w:val="none" w:sz="0" w:space="0" w:color="auto"/>
            <w:bottom w:val="none" w:sz="0" w:space="0" w:color="auto"/>
            <w:right w:val="none" w:sz="0" w:space="0" w:color="auto"/>
          </w:divBdr>
        </w:div>
        <w:div w:id="167603040">
          <w:marLeft w:val="640"/>
          <w:marRight w:val="0"/>
          <w:marTop w:val="0"/>
          <w:marBottom w:val="0"/>
          <w:divBdr>
            <w:top w:val="none" w:sz="0" w:space="0" w:color="auto"/>
            <w:left w:val="none" w:sz="0" w:space="0" w:color="auto"/>
            <w:bottom w:val="none" w:sz="0" w:space="0" w:color="auto"/>
            <w:right w:val="none" w:sz="0" w:space="0" w:color="auto"/>
          </w:divBdr>
        </w:div>
        <w:div w:id="810908589">
          <w:marLeft w:val="640"/>
          <w:marRight w:val="0"/>
          <w:marTop w:val="0"/>
          <w:marBottom w:val="0"/>
          <w:divBdr>
            <w:top w:val="none" w:sz="0" w:space="0" w:color="auto"/>
            <w:left w:val="none" w:sz="0" w:space="0" w:color="auto"/>
            <w:bottom w:val="none" w:sz="0" w:space="0" w:color="auto"/>
            <w:right w:val="none" w:sz="0" w:space="0" w:color="auto"/>
          </w:divBdr>
        </w:div>
        <w:div w:id="1124032630">
          <w:marLeft w:val="640"/>
          <w:marRight w:val="0"/>
          <w:marTop w:val="0"/>
          <w:marBottom w:val="0"/>
          <w:divBdr>
            <w:top w:val="none" w:sz="0" w:space="0" w:color="auto"/>
            <w:left w:val="none" w:sz="0" w:space="0" w:color="auto"/>
            <w:bottom w:val="none" w:sz="0" w:space="0" w:color="auto"/>
            <w:right w:val="none" w:sz="0" w:space="0" w:color="auto"/>
          </w:divBdr>
        </w:div>
        <w:div w:id="615790500">
          <w:marLeft w:val="640"/>
          <w:marRight w:val="0"/>
          <w:marTop w:val="0"/>
          <w:marBottom w:val="0"/>
          <w:divBdr>
            <w:top w:val="none" w:sz="0" w:space="0" w:color="auto"/>
            <w:left w:val="none" w:sz="0" w:space="0" w:color="auto"/>
            <w:bottom w:val="none" w:sz="0" w:space="0" w:color="auto"/>
            <w:right w:val="none" w:sz="0" w:space="0" w:color="auto"/>
          </w:divBdr>
        </w:div>
        <w:div w:id="1443645657">
          <w:marLeft w:val="640"/>
          <w:marRight w:val="0"/>
          <w:marTop w:val="0"/>
          <w:marBottom w:val="0"/>
          <w:divBdr>
            <w:top w:val="none" w:sz="0" w:space="0" w:color="auto"/>
            <w:left w:val="none" w:sz="0" w:space="0" w:color="auto"/>
            <w:bottom w:val="none" w:sz="0" w:space="0" w:color="auto"/>
            <w:right w:val="none" w:sz="0" w:space="0" w:color="auto"/>
          </w:divBdr>
        </w:div>
        <w:div w:id="208341511">
          <w:marLeft w:val="640"/>
          <w:marRight w:val="0"/>
          <w:marTop w:val="0"/>
          <w:marBottom w:val="0"/>
          <w:divBdr>
            <w:top w:val="none" w:sz="0" w:space="0" w:color="auto"/>
            <w:left w:val="none" w:sz="0" w:space="0" w:color="auto"/>
            <w:bottom w:val="none" w:sz="0" w:space="0" w:color="auto"/>
            <w:right w:val="none" w:sz="0" w:space="0" w:color="auto"/>
          </w:divBdr>
        </w:div>
        <w:div w:id="877353730">
          <w:marLeft w:val="640"/>
          <w:marRight w:val="0"/>
          <w:marTop w:val="0"/>
          <w:marBottom w:val="0"/>
          <w:divBdr>
            <w:top w:val="none" w:sz="0" w:space="0" w:color="auto"/>
            <w:left w:val="none" w:sz="0" w:space="0" w:color="auto"/>
            <w:bottom w:val="none" w:sz="0" w:space="0" w:color="auto"/>
            <w:right w:val="none" w:sz="0" w:space="0" w:color="auto"/>
          </w:divBdr>
        </w:div>
        <w:div w:id="1312446135">
          <w:marLeft w:val="640"/>
          <w:marRight w:val="0"/>
          <w:marTop w:val="0"/>
          <w:marBottom w:val="0"/>
          <w:divBdr>
            <w:top w:val="none" w:sz="0" w:space="0" w:color="auto"/>
            <w:left w:val="none" w:sz="0" w:space="0" w:color="auto"/>
            <w:bottom w:val="none" w:sz="0" w:space="0" w:color="auto"/>
            <w:right w:val="none" w:sz="0" w:space="0" w:color="auto"/>
          </w:divBdr>
        </w:div>
        <w:div w:id="2109303324">
          <w:marLeft w:val="640"/>
          <w:marRight w:val="0"/>
          <w:marTop w:val="0"/>
          <w:marBottom w:val="0"/>
          <w:divBdr>
            <w:top w:val="none" w:sz="0" w:space="0" w:color="auto"/>
            <w:left w:val="none" w:sz="0" w:space="0" w:color="auto"/>
            <w:bottom w:val="none" w:sz="0" w:space="0" w:color="auto"/>
            <w:right w:val="none" w:sz="0" w:space="0" w:color="auto"/>
          </w:divBdr>
        </w:div>
        <w:div w:id="1877161179">
          <w:marLeft w:val="640"/>
          <w:marRight w:val="0"/>
          <w:marTop w:val="0"/>
          <w:marBottom w:val="0"/>
          <w:divBdr>
            <w:top w:val="none" w:sz="0" w:space="0" w:color="auto"/>
            <w:left w:val="none" w:sz="0" w:space="0" w:color="auto"/>
            <w:bottom w:val="none" w:sz="0" w:space="0" w:color="auto"/>
            <w:right w:val="none" w:sz="0" w:space="0" w:color="auto"/>
          </w:divBdr>
        </w:div>
        <w:div w:id="1933930283">
          <w:marLeft w:val="640"/>
          <w:marRight w:val="0"/>
          <w:marTop w:val="0"/>
          <w:marBottom w:val="0"/>
          <w:divBdr>
            <w:top w:val="none" w:sz="0" w:space="0" w:color="auto"/>
            <w:left w:val="none" w:sz="0" w:space="0" w:color="auto"/>
            <w:bottom w:val="none" w:sz="0" w:space="0" w:color="auto"/>
            <w:right w:val="none" w:sz="0" w:space="0" w:color="auto"/>
          </w:divBdr>
        </w:div>
        <w:div w:id="1894999290">
          <w:marLeft w:val="640"/>
          <w:marRight w:val="0"/>
          <w:marTop w:val="0"/>
          <w:marBottom w:val="0"/>
          <w:divBdr>
            <w:top w:val="none" w:sz="0" w:space="0" w:color="auto"/>
            <w:left w:val="none" w:sz="0" w:space="0" w:color="auto"/>
            <w:bottom w:val="none" w:sz="0" w:space="0" w:color="auto"/>
            <w:right w:val="none" w:sz="0" w:space="0" w:color="auto"/>
          </w:divBdr>
        </w:div>
        <w:div w:id="1263032313">
          <w:marLeft w:val="640"/>
          <w:marRight w:val="0"/>
          <w:marTop w:val="0"/>
          <w:marBottom w:val="0"/>
          <w:divBdr>
            <w:top w:val="none" w:sz="0" w:space="0" w:color="auto"/>
            <w:left w:val="none" w:sz="0" w:space="0" w:color="auto"/>
            <w:bottom w:val="none" w:sz="0" w:space="0" w:color="auto"/>
            <w:right w:val="none" w:sz="0" w:space="0" w:color="auto"/>
          </w:divBdr>
        </w:div>
        <w:div w:id="1245920406">
          <w:marLeft w:val="640"/>
          <w:marRight w:val="0"/>
          <w:marTop w:val="0"/>
          <w:marBottom w:val="0"/>
          <w:divBdr>
            <w:top w:val="none" w:sz="0" w:space="0" w:color="auto"/>
            <w:left w:val="none" w:sz="0" w:space="0" w:color="auto"/>
            <w:bottom w:val="none" w:sz="0" w:space="0" w:color="auto"/>
            <w:right w:val="none" w:sz="0" w:space="0" w:color="auto"/>
          </w:divBdr>
        </w:div>
        <w:div w:id="271593598">
          <w:marLeft w:val="640"/>
          <w:marRight w:val="0"/>
          <w:marTop w:val="0"/>
          <w:marBottom w:val="0"/>
          <w:divBdr>
            <w:top w:val="none" w:sz="0" w:space="0" w:color="auto"/>
            <w:left w:val="none" w:sz="0" w:space="0" w:color="auto"/>
            <w:bottom w:val="none" w:sz="0" w:space="0" w:color="auto"/>
            <w:right w:val="none" w:sz="0" w:space="0" w:color="auto"/>
          </w:divBdr>
        </w:div>
        <w:div w:id="855770703">
          <w:marLeft w:val="640"/>
          <w:marRight w:val="0"/>
          <w:marTop w:val="0"/>
          <w:marBottom w:val="0"/>
          <w:divBdr>
            <w:top w:val="none" w:sz="0" w:space="0" w:color="auto"/>
            <w:left w:val="none" w:sz="0" w:space="0" w:color="auto"/>
            <w:bottom w:val="none" w:sz="0" w:space="0" w:color="auto"/>
            <w:right w:val="none" w:sz="0" w:space="0" w:color="auto"/>
          </w:divBdr>
        </w:div>
        <w:div w:id="27342092">
          <w:marLeft w:val="640"/>
          <w:marRight w:val="0"/>
          <w:marTop w:val="0"/>
          <w:marBottom w:val="0"/>
          <w:divBdr>
            <w:top w:val="none" w:sz="0" w:space="0" w:color="auto"/>
            <w:left w:val="none" w:sz="0" w:space="0" w:color="auto"/>
            <w:bottom w:val="none" w:sz="0" w:space="0" w:color="auto"/>
            <w:right w:val="none" w:sz="0" w:space="0" w:color="auto"/>
          </w:divBdr>
        </w:div>
        <w:div w:id="628244164">
          <w:marLeft w:val="640"/>
          <w:marRight w:val="0"/>
          <w:marTop w:val="0"/>
          <w:marBottom w:val="0"/>
          <w:divBdr>
            <w:top w:val="none" w:sz="0" w:space="0" w:color="auto"/>
            <w:left w:val="none" w:sz="0" w:space="0" w:color="auto"/>
            <w:bottom w:val="none" w:sz="0" w:space="0" w:color="auto"/>
            <w:right w:val="none" w:sz="0" w:space="0" w:color="auto"/>
          </w:divBdr>
        </w:div>
        <w:div w:id="1830053712">
          <w:marLeft w:val="640"/>
          <w:marRight w:val="0"/>
          <w:marTop w:val="0"/>
          <w:marBottom w:val="0"/>
          <w:divBdr>
            <w:top w:val="none" w:sz="0" w:space="0" w:color="auto"/>
            <w:left w:val="none" w:sz="0" w:space="0" w:color="auto"/>
            <w:bottom w:val="none" w:sz="0" w:space="0" w:color="auto"/>
            <w:right w:val="none" w:sz="0" w:space="0" w:color="auto"/>
          </w:divBdr>
        </w:div>
        <w:div w:id="374238143">
          <w:marLeft w:val="640"/>
          <w:marRight w:val="0"/>
          <w:marTop w:val="0"/>
          <w:marBottom w:val="0"/>
          <w:divBdr>
            <w:top w:val="none" w:sz="0" w:space="0" w:color="auto"/>
            <w:left w:val="none" w:sz="0" w:space="0" w:color="auto"/>
            <w:bottom w:val="none" w:sz="0" w:space="0" w:color="auto"/>
            <w:right w:val="none" w:sz="0" w:space="0" w:color="auto"/>
          </w:divBdr>
        </w:div>
        <w:div w:id="1096168778">
          <w:marLeft w:val="640"/>
          <w:marRight w:val="0"/>
          <w:marTop w:val="0"/>
          <w:marBottom w:val="0"/>
          <w:divBdr>
            <w:top w:val="none" w:sz="0" w:space="0" w:color="auto"/>
            <w:left w:val="none" w:sz="0" w:space="0" w:color="auto"/>
            <w:bottom w:val="none" w:sz="0" w:space="0" w:color="auto"/>
            <w:right w:val="none" w:sz="0" w:space="0" w:color="auto"/>
          </w:divBdr>
        </w:div>
        <w:div w:id="2114006924">
          <w:marLeft w:val="640"/>
          <w:marRight w:val="0"/>
          <w:marTop w:val="0"/>
          <w:marBottom w:val="0"/>
          <w:divBdr>
            <w:top w:val="none" w:sz="0" w:space="0" w:color="auto"/>
            <w:left w:val="none" w:sz="0" w:space="0" w:color="auto"/>
            <w:bottom w:val="none" w:sz="0" w:space="0" w:color="auto"/>
            <w:right w:val="none" w:sz="0" w:space="0" w:color="auto"/>
          </w:divBdr>
        </w:div>
        <w:div w:id="6176382">
          <w:marLeft w:val="640"/>
          <w:marRight w:val="0"/>
          <w:marTop w:val="0"/>
          <w:marBottom w:val="0"/>
          <w:divBdr>
            <w:top w:val="none" w:sz="0" w:space="0" w:color="auto"/>
            <w:left w:val="none" w:sz="0" w:space="0" w:color="auto"/>
            <w:bottom w:val="none" w:sz="0" w:space="0" w:color="auto"/>
            <w:right w:val="none" w:sz="0" w:space="0" w:color="auto"/>
          </w:divBdr>
        </w:div>
        <w:div w:id="92170286">
          <w:marLeft w:val="640"/>
          <w:marRight w:val="0"/>
          <w:marTop w:val="0"/>
          <w:marBottom w:val="0"/>
          <w:divBdr>
            <w:top w:val="none" w:sz="0" w:space="0" w:color="auto"/>
            <w:left w:val="none" w:sz="0" w:space="0" w:color="auto"/>
            <w:bottom w:val="none" w:sz="0" w:space="0" w:color="auto"/>
            <w:right w:val="none" w:sz="0" w:space="0" w:color="auto"/>
          </w:divBdr>
        </w:div>
        <w:div w:id="916131558">
          <w:marLeft w:val="640"/>
          <w:marRight w:val="0"/>
          <w:marTop w:val="0"/>
          <w:marBottom w:val="0"/>
          <w:divBdr>
            <w:top w:val="none" w:sz="0" w:space="0" w:color="auto"/>
            <w:left w:val="none" w:sz="0" w:space="0" w:color="auto"/>
            <w:bottom w:val="none" w:sz="0" w:space="0" w:color="auto"/>
            <w:right w:val="none" w:sz="0" w:space="0" w:color="auto"/>
          </w:divBdr>
        </w:div>
        <w:div w:id="89202624">
          <w:marLeft w:val="640"/>
          <w:marRight w:val="0"/>
          <w:marTop w:val="0"/>
          <w:marBottom w:val="0"/>
          <w:divBdr>
            <w:top w:val="none" w:sz="0" w:space="0" w:color="auto"/>
            <w:left w:val="none" w:sz="0" w:space="0" w:color="auto"/>
            <w:bottom w:val="none" w:sz="0" w:space="0" w:color="auto"/>
            <w:right w:val="none" w:sz="0" w:space="0" w:color="auto"/>
          </w:divBdr>
        </w:div>
        <w:div w:id="1071007756">
          <w:marLeft w:val="640"/>
          <w:marRight w:val="0"/>
          <w:marTop w:val="0"/>
          <w:marBottom w:val="0"/>
          <w:divBdr>
            <w:top w:val="none" w:sz="0" w:space="0" w:color="auto"/>
            <w:left w:val="none" w:sz="0" w:space="0" w:color="auto"/>
            <w:bottom w:val="none" w:sz="0" w:space="0" w:color="auto"/>
            <w:right w:val="none" w:sz="0" w:space="0" w:color="auto"/>
          </w:divBdr>
        </w:div>
        <w:div w:id="1213497217">
          <w:marLeft w:val="640"/>
          <w:marRight w:val="0"/>
          <w:marTop w:val="0"/>
          <w:marBottom w:val="0"/>
          <w:divBdr>
            <w:top w:val="none" w:sz="0" w:space="0" w:color="auto"/>
            <w:left w:val="none" w:sz="0" w:space="0" w:color="auto"/>
            <w:bottom w:val="none" w:sz="0" w:space="0" w:color="auto"/>
            <w:right w:val="none" w:sz="0" w:space="0" w:color="auto"/>
          </w:divBdr>
        </w:div>
        <w:div w:id="781194954">
          <w:marLeft w:val="640"/>
          <w:marRight w:val="0"/>
          <w:marTop w:val="0"/>
          <w:marBottom w:val="0"/>
          <w:divBdr>
            <w:top w:val="none" w:sz="0" w:space="0" w:color="auto"/>
            <w:left w:val="none" w:sz="0" w:space="0" w:color="auto"/>
            <w:bottom w:val="none" w:sz="0" w:space="0" w:color="auto"/>
            <w:right w:val="none" w:sz="0" w:space="0" w:color="auto"/>
          </w:divBdr>
        </w:div>
        <w:div w:id="731931995">
          <w:marLeft w:val="640"/>
          <w:marRight w:val="0"/>
          <w:marTop w:val="0"/>
          <w:marBottom w:val="0"/>
          <w:divBdr>
            <w:top w:val="none" w:sz="0" w:space="0" w:color="auto"/>
            <w:left w:val="none" w:sz="0" w:space="0" w:color="auto"/>
            <w:bottom w:val="none" w:sz="0" w:space="0" w:color="auto"/>
            <w:right w:val="none" w:sz="0" w:space="0" w:color="auto"/>
          </w:divBdr>
        </w:div>
        <w:div w:id="804734018">
          <w:marLeft w:val="640"/>
          <w:marRight w:val="0"/>
          <w:marTop w:val="0"/>
          <w:marBottom w:val="0"/>
          <w:divBdr>
            <w:top w:val="none" w:sz="0" w:space="0" w:color="auto"/>
            <w:left w:val="none" w:sz="0" w:space="0" w:color="auto"/>
            <w:bottom w:val="none" w:sz="0" w:space="0" w:color="auto"/>
            <w:right w:val="none" w:sz="0" w:space="0" w:color="auto"/>
          </w:divBdr>
        </w:div>
        <w:div w:id="1178544401">
          <w:marLeft w:val="640"/>
          <w:marRight w:val="0"/>
          <w:marTop w:val="0"/>
          <w:marBottom w:val="0"/>
          <w:divBdr>
            <w:top w:val="none" w:sz="0" w:space="0" w:color="auto"/>
            <w:left w:val="none" w:sz="0" w:space="0" w:color="auto"/>
            <w:bottom w:val="none" w:sz="0" w:space="0" w:color="auto"/>
            <w:right w:val="none" w:sz="0" w:space="0" w:color="auto"/>
          </w:divBdr>
        </w:div>
        <w:div w:id="1987397675">
          <w:marLeft w:val="640"/>
          <w:marRight w:val="0"/>
          <w:marTop w:val="0"/>
          <w:marBottom w:val="0"/>
          <w:divBdr>
            <w:top w:val="none" w:sz="0" w:space="0" w:color="auto"/>
            <w:left w:val="none" w:sz="0" w:space="0" w:color="auto"/>
            <w:bottom w:val="none" w:sz="0" w:space="0" w:color="auto"/>
            <w:right w:val="none" w:sz="0" w:space="0" w:color="auto"/>
          </w:divBdr>
        </w:div>
        <w:div w:id="1945578280">
          <w:marLeft w:val="640"/>
          <w:marRight w:val="0"/>
          <w:marTop w:val="0"/>
          <w:marBottom w:val="0"/>
          <w:divBdr>
            <w:top w:val="none" w:sz="0" w:space="0" w:color="auto"/>
            <w:left w:val="none" w:sz="0" w:space="0" w:color="auto"/>
            <w:bottom w:val="none" w:sz="0" w:space="0" w:color="auto"/>
            <w:right w:val="none" w:sz="0" w:space="0" w:color="auto"/>
          </w:divBdr>
        </w:div>
        <w:div w:id="518468954">
          <w:marLeft w:val="640"/>
          <w:marRight w:val="0"/>
          <w:marTop w:val="0"/>
          <w:marBottom w:val="0"/>
          <w:divBdr>
            <w:top w:val="none" w:sz="0" w:space="0" w:color="auto"/>
            <w:left w:val="none" w:sz="0" w:space="0" w:color="auto"/>
            <w:bottom w:val="none" w:sz="0" w:space="0" w:color="auto"/>
            <w:right w:val="none" w:sz="0" w:space="0" w:color="auto"/>
          </w:divBdr>
        </w:div>
        <w:div w:id="1692687865">
          <w:marLeft w:val="640"/>
          <w:marRight w:val="0"/>
          <w:marTop w:val="0"/>
          <w:marBottom w:val="0"/>
          <w:divBdr>
            <w:top w:val="none" w:sz="0" w:space="0" w:color="auto"/>
            <w:left w:val="none" w:sz="0" w:space="0" w:color="auto"/>
            <w:bottom w:val="none" w:sz="0" w:space="0" w:color="auto"/>
            <w:right w:val="none" w:sz="0" w:space="0" w:color="auto"/>
          </w:divBdr>
        </w:div>
        <w:div w:id="851379918">
          <w:marLeft w:val="640"/>
          <w:marRight w:val="0"/>
          <w:marTop w:val="0"/>
          <w:marBottom w:val="0"/>
          <w:divBdr>
            <w:top w:val="none" w:sz="0" w:space="0" w:color="auto"/>
            <w:left w:val="none" w:sz="0" w:space="0" w:color="auto"/>
            <w:bottom w:val="none" w:sz="0" w:space="0" w:color="auto"/>
            <w:right w:val="none" w:sz="0" w:space="0" w:color="auto"/>
          </w:divBdr>
        </w:div>
        <w:div w:id="551422844">
          <w:marLeft w:val="640"/>
          <w:marRight w:val="0"/>
          <w:marTop w:val="0"/>
          <w:marBottom w:val="0"/>
          <w:divBdr>
            <w:top w:val="none" w:sz="0" w:space="0" w:color="auto"/>
            <w:left w:val="none" w:sz="0" w:space="0" w:color="auto"/>
            <w:bottom w:val="none" w:sz="0" w:space="0" w:color="auto"/>
            <w:right w:val="none" w:sz="0" w:space="0" w:color="auto"/>
          </w:divBdr>
        </w:div>
        <w:div w:id="265431988">
          <w:marLeft w:val="640"/>
          <w:marRight w:val="0"/>
          <w:marTop w:val="0"/>
          <w:marBottom w:val="0"/>
          <w:divBdr>
            <w:top w:val="none" w:sz="0" w:space="0" w:color="auto"/>
            <w:left w:val="none" w:sz="0" w:space="0" w:color="auto"/>
            <w:bottom w:val="none" w:sz="0" w:space="0" w:color="auto"/>
            <w:right w:val="none" w:sz="0" w:space="0" w:color="auto"/>
          </w:divBdr>
        </w:div>
        <w:div w:id="1677077504">
          <w:marLeft w:val="640"/>
          <w:marRight w:val="0"/>
          <w:marTop w:val="0"/>
          <w:marBottom w:val="0"/>
          <w:divBdr>
            <w:top w:val="none" w:sz="0" w:space="0" w:color="auto"/>
            <w:left w:val="none" w:sz="0" w:space="0" w:color="auto"/>
            <w:bottom w:val="none" w:sz="0" w:space="0" w:color="auto"/>
            <w:right w:val="none" w:sz="0" w:space="0" w:color="auto"/>
          </w:divBdr>
        </w:div>
        <w:div w:id="2129733304">
          <w:marLeft w:val="640"/>
          <w:marRight w:val="0"/>
          <w:marTop w:val="0"/>
          <w:marBottom w:val="0"/>
          <w:divBdr>
            <w:top w:val="none" w:sz="0" w:space="0" w:color="auto"/>
            <w:left w:val="none" w:sz="0" w:space="0" w:color="auto"/>
            <w:bottom w:val="none" w:sz="0" w:space="0" w:color="auto"/>
            <w:right w:val="none" w:sz="0" w:space="0" w:color="auto"/>
          </w:divBdr>
        </w:div>
        <w:div w:id="1507751120">
          <w:marLeft w:val="640"/>
          <w:marRight w:val="0"/>
          <w:marTop w:val="0"/>
          <w:marBottom w:val="0"/>
          <w:divBdr>
            <w:top w:val="none" w:sz="0" w:space="0" w:color="auto"/>
            <w:left w:val="none" w:sz="0" w:space="0" w:color="auto"/>
            <w:bottom w:val="none" w:sz="0" w:space="0" w:color="auto"/>
            <w:right w:val="none" w:sz="0" w:space="0" w:color="auto"/>
          </w:divBdr>
        </w:div>
        <w:div w:id="864946926">
          <w:marLeft w:val="640"/>
          <w:marRight w:val="0"/>
          <w:marTop w:val="0"/>
          <w:marBottom w:val="0"/>
          <w:divBdr>
            <w:top w:val="none" w:sz="0" w:space="0" w:color="auto"/>
            <w:left w:val="none" w:sz="0" w:space="0" w:color="auto"/>
            <w:bottom w:val="none" w:sz="0" w:space="0" w:color="auto"/>
            <w:right w:val="none" w:sz="0" w:space="0" w:color="auto"/>
          </w:divBdr>
        </w:div>
        <w:div w:id="1565606034">
          <w:marLeft w:val="640"/>
          <w:marRight w:val="0"/>
          <w:marTop w:val="0"/>
          <w:marBottom w:val="0"/>
          <w:divBdr>
            <w:top w:val="none" w:sz="0" w:space="0" w:color="auto"/>
            <w:left w:val="none" w:sz="0" w:space="0" w:color="auto"/>
            <w:bottom w:val="none" w:sz="0" w:space="0" w:color="auto"/>
            <w:right w:val="none" w:sz="0" w:space="0" w:color="auto"/>
          </w:divBdr>
        </w:div>
        <w:div w:id="2023700381">
          <w:marLeft w:val="640"/>
          <w:marRight w:val="0"/>
          <w:marTop w:val="0"/>
          <w:marBottom w:val="0"/>
          <w:divBdr>
            <w:top w:val="none" w:sz="0" w:space="0" w:color="auto"/>
            <w:left w:val="none" w:sz="0" w:space="0" w:color="auto"/>
            <w:bottom w:val="none" w:sz="0" w:space="0" w:color="auto"/>
            <w:right w:val="none" w:sz="0" w:space="0" w:color="auto"/>
          </w:divBdr>
        </w:div>
        <w:div w:id="904098873">
          <w:marLeft w:val="640"/>
          <w:marRight w:val="0"/>
          <w:marTop w:val="0"/>
          <w:marBottom w:val="0"/>
          <w:divBdr>
            <w:top w:val="none" w:sz="0" w:space="0" w:color="auto"/>
            <w:left w:val="none" w:sz="0" w:space="0" w:color="auto"/>
            <w:bottom w:val="none" w:sz="0" w:space="0" w:color="auto"/>
            <w:right w:val="none" w:sz="0" w:space="0" w:color="auto"/>
          </w:divBdr>
        </w:div>
        <w:div w:id="1469087631">
          <w:marLeft w:val="640"/>
          <w:marRight w:val="0"/>
          <w:marTop w:val="0"/>
          <w:marBottom w:val="0"/>
          <w:divBdr>
            <w:top w:val="none" w:sz="0" w:space="0" w:color="auto"/>
            <w:left w:val="none" w:sz="0" w:space="0" w:color="auto"/>
            <w:bottom w:val="none" w:sz="0" w:space="0" w:color="auto"/>
            <w:right w:val="none" w:sz="0" w:space="0" w:color="auto"/>
          </w:divBdr>
        </w:div>
        <w:div w:id="1009528012">
          <w:marLeft w:val="640"/>
          <w:marRight w:val="0"/>
          <w:marTop w:val="0"/>
          <w:marBottom w:val="0"/>
          <w:divBdr>
            <w:top w:val="none" w:sz="0" w:space="0" w:color="auto"/>
            <w:left w:val="none" w:sz="0" w:space="0" w:color="auto"/>
            <w:bottom w:val="none" w:sz="0" w:space="0" w:color="auto"/>
            <w:right w:val="none" w:sz="0" w:space="0" w:color="auto"/>
          </w:divBdr>
        </w:div>
        <w:div w:id="1043093327">
          <w:marLeft w:val="640"/>
          <w:marRight w:val="0"/>
          <w:marTop w:val="0"/>
          <w:marBottom w:val="0"/>
          <w:divBdr>
            <w:top w:val="none" w:sz="0" w:space="0" w:color="auto"/>
            <w:left w:val="none" w:sz="0" w:space="0" w:color="auto"/>
            <w:bottom w:val="none" w:sz="0" w:space="0" w:color="auto"/>
            <w:right w:val="none" w:sz="0" w:space="0" w:color="auto"/>
          </w:divBdr>
        </w:div>
        <w:div w:id="435249145">
          <w:marLeft w:val="640"/>
          <w:marRight w:val="0"/>
          <w:marTop w:val="0"/>
          <w:marBottom w:val="0"/>
          <w:divBdr>
            <w:top w:val="none" w:sz="0" w:space="0" w:color="auto"/>
            <w:left w:val="none" w:sz="0" w:space="0" w:color="auto"/>
            <w:bottom w:val="none" w:sz="0" w:space="0" w:color="auto"/>
            <w:right w:val="none" w:sz="0" w:space="0" w:color="auto"/>
          </w:divBdr>
        </w:div>
        <w:div w:id="1634022874">
          <w:marLeft w:val="640"/>
          <w:marRight w:val="0"/>
          <w:marTop w:val="0"/>
          <w:marBottom w:val="0"/>
          <w:divBdr>
            <w:top w:val="none" w:sz="0" w:space="0" w:color="auto"/>
            <w:left w:val="none" w:sz="0" w:space="0" w:color="auto"/>
            <w:bottom w:val="none" w:sz="0" w:space="0" w:color="auto"/>
            <w:right w:val="none" w:sz="0" w:space="0" w:color="auto"/>
          </w:divBdr>
        </w:div>
        <w:div w:id="2050496871">
          <w:marLeft w:val="640"/>
          <w:marRight w:val="0"/>
          <w:marTop w:val="0"/>
          <w:marBottom w:val="0"/>
          <w:divBdr>
            <w:top w:val="none" w:sz="0" w:space="0" w:color="auto"/>
            <w:left w:val="none" w:sz="0" w:space="0" w:color="auto"/>
            <w:bottom w:val="none" w:sz="0" w:space="0" w:color="auto"/>
            <w:right w:val="none" w:sz="0" w:space="0" w:color="auto"/>
          </w:divBdr>
        </w:div>
        <w:div w:id="1341810883">
          <w:marLeft w:val="640"/>
          <w:marRight w:val="0"/>
          <w:marTop w:val="0"/>
          <w:marBottom w:val="0"/>
          <w:divBdr>
            <w:top w:val="none" w:sz="0" w:space="0" w:color="auto"/>
            <w:left w:val="none" w:sz="0" w:space="0" w:color="auto"/>
            <w:bottom w:val="none" w:sz="0" w:space="0" w:color="auto"/>
            <w:right w:val="none" w:sz="0" w:space="0" w:color="auto"/>
          </w:divBdr>
        </w:div>
        <w:div w:id="1339968464">
          <w:marLeft w:val="640"/>
          <w:marRight w:val="0"/>
          <w:marTop w:val="0"/>
          <w:marBottom w:val="0"/>
          <w:divBdr>
            <w:top w:val="none" w:sz="0" w:space="0" w:color="auto"/>
            <w:left w:val="none" w:sz="0" w:space="0" w:color="auto"/>
            <w:bottom w:val="none" w:sz="0" w:space="0" w:color="auto"/>
            <w:right w:val="none" w:sz="0" w:space="0" w:color="auto"/>
          </w:divBdr>
        </w:div>
        <w:div w:id="671302131">
          <w:marLeft w:val="640"/>
          <w:marRight w:val="0"/>
          <w:marTop w:val="0"/>
          <w:marBottom w:val="0"/>
          <w:divBdr>
            <w:top w:val="none" w:sz="0" w:space="0" w:color="auto"/>
            <w:left w:val="none" w:sz="0" w:space="0" w:color="auto"/>
            <w:bottom w:val="none" w:sz="0" w:space="0" w:color="auto"/>
            <w:right w:val="none" w:sz="0" w:space="0" w:color="auto"/>
          </w:divBdr>
        </w:div>
        <w:div w:id="420761447">
          <w:marLeft w:val="640"/>
          <w:marRight w:val="0"/>
          <w:marTop w:val="0"/>
          <w:marBottom w:val="0"/>
          <w:divBdr>
            <w:top w:val="none" w:sz="0" w:space="0" w:color="auto"/>
            <w:left w:val="none" w:sz="0" w:space="0" w:color="auto"/>
            <w:bottom w:val="none" w:sz="0" w:space="0" w:color="auto"/>
            <w:right w:val="none" w:sz="0" w:space="0" w:color="auto"/>
          </w:divBdr>
        </w:div>
        <w:div w:id="751658173">
          <w:marLeft w:val="640"/>
          <w:marRight w:val="0"/>
          <w:marTop w:val="0"/>
          <w:marBottom w:val="0"/>
          <w:divBdr>
            <w:top w:val="none" w:sz="0" w:space="0" w:color="auto"/>
            <w:left w:val="none" w:sz="0" w:space="0" w:color="auto"/>
            <w:bottom w:val="none" w:sz="0" w:space="0" w:color="auto"/>
            <w:right w:val="none" w:sz="0" w:space="0" w:color="auto"/>
          </w:divBdr>
        </w:div>
        <w:div w:id="1075279614">
          <w:marLeft w:val="640"/>
          <w:marRight w:val="0"/>
          <w:marTop w:val="0"/>
          <w:marBottom w:val="0"/>
          <w:divBdr>
            <w:top w:val="none" w:sz="0" w:space="0" w:color="auto"/>
            <w:left w:val="none" w:sz="0" w:space="0" w:color="auto"/>
            <w:bottom w:val="none" w:sz="0" w:space="0" w:color="auto"/>
            <w:right w:val="none" w:sz="0" w:space="0" w:color="auto"/>
          </w:divBdr>
        </w:div>
        <w:div w:id="1810240908">
          <w:marLeft w:val="640"/>
          <w:marRight w:val="0"/>
          <w:marTop w:val="0"/>
          <w:marBottom w:val="0"/>
          <w:divBdr>
            <w:top w:val="none" w:sz="0" w:space="0" w:color="auto"/>
            <w:left w:val="none" w:sz="0" w:space="0" w:color="auto"/>
            <w:bottom w:val="none" w:sz="0" w:space="0" w:color="auto"/>
            <w:right w:val="none" w:sz="0" w:space="0" w:color="auto"/>
          </w:divBdr>
        </w:div>
        <w:div w:id="1774862329">
          <w:marLeft w:val="640"/>
          <w:marRight w:val="0"/>
          <w:marTop w:val="0"/>
          <w:marBottom w:val="0"/>
          <w:divBdr>
            <w:top w:val="none" w:sz="0" w:space="0" w:color="auto"/>
            <w:left w:val="none" w:sz="0" w:space="0" w:color="auto"/>
            <w:bottom w:val="none" w:sz="0" w:space="0" w:color="auto"/>
            <w:right w:val="none" w:sz="0" w:space="0" w:color="auto"/>
          </w:divBdr>
        </w:div>
        <w:div w:id="1901088712">
          <w:marLeft w:val="640"/>
          <w:marRight w:val="0"/>
          <w:marTop w:val="0"/>
          <w:marBottom w:val="0"/>
          <w:divBdr>
            <w:top w:val="none" w:sz="0" w:space="0" w:color="auto"/>
            <w:left w:val="none" w:sz="0" w:space="0" w:color="auto"/>
            <w:bottom w:val="none" w:sz="0" w:space="0" w:color="auto"/>
            <w:right w:val="none" w:sz="0" w:space="0" w:color="auto"/>
          </w:divBdr>
        </w:div>
        <w:div w:id="332073882">
          <w:marLeft w:val="640"/>
          <w:marRight w:val="0"/>
          <w:marTop w:val="0"/>
          <w:marBottom w:val="0"/>
          <w:divBdr>
            <w:top w:val="none" w:sz="0" w:space="0" w:color="auto"/>
            <w:left w:val="none" w:sz="0" w:space="0" w:color="auto"/>
            <w:bottom w:val="none" w:sz="0" w:space="0" w:color="auto"/>
            <w:right w:val="none" w:sz="0" w:space="0" w:color="auto"/>
          </w:divBdr>
        </w:div>
        <w:div w:id="1162042143">
          <w:marLeft w:val="640"/>
          <w:marRight w:val="0"/>
          <w:marTop w:val="0"/>
          <w:marBottom w:val="0"/>
          <w:divBdr>
            <w:top w:val="none" w:sz="0" w:space="0" w:color="auto"/>
            <w:left w:val="none" w:sz="0" w:space="0" w:color="auto"/>
            <w:bottom w:val="none" w:sz="0" w:space="0" w:color="auto"/>
            <w:right w:val="none" w:sz="0" w:space="0" w:color="auto"/>
          </w:divBdr>
        </w:div>
        <w:div w:id="1631015323">
          <w:marLeft w:val="640"/>
          <w:marRight w:val="0"/>
          <w:marTop w:val="0"/>
          <w:marBottom w:val="0"/>
          <w:divBdr>
            <w:top w:val="none" w:sz="0" w:space="0" w:color="auto"/>
            <w:left w:val="none" w:sz="0" w:space="0" w:color="auto"/>
            <w:bottom w:val="none" w:sz="0" w:space="0" w:color="auto"/>
            <w:right w:val="none" w:sz="0" w:space="0" w:color="auto"/>
          </w:divBdr>
        </w:div>
        <w:div w:id="235436974">
          <w:marLeft w:val="640"/>
          <w:marRight w:val="0"/>
          <w:marTop w:val="0"/>
          <w:marBottom w:val="0"/>
          <w:divBdr>
            <w:top w:val="none" w:sz="0" w:space="0" w:color="auto"/>
            <w:left w:val="none" w:sz="0" w:space="0" w:color="auto"/>
            <w:bottom w:val="none" w:sz="0" w:space="0" w:color="auto"/>
            <w:right w:val="none" w:sz="0" w:space="0" w:color="auto"/>
          </w:divBdr>
        </w:div>
        <w:div w:id="1597052797">
          <w:marLeft w:val="640"/>
          <w:marRight w:val="0"/>
          <w:marTop w:val="0"/>
          <w:marBottom w:val="0"/>
          <w:divBdr>
            <w:top w:val="none" w:sz="0" w:space="0" w:color="auto"/>
            <w:left w:val="none" w:sz="0" w:space="0" w:color="auto"/>
            <w:bottom w:val="none" w:sz="0" w:space="0" w:color="auto"/>
            <w:right w:val="none" w:sz="0" w:space="0" w:color="auto"/>
          </w:divBdr>
        </w:div>
        <w:div w:id="1856269081">
          <w:marLeft w:val="640"/>
          <w:marRight w:val="0"/>
          <w:marTop w:val="0"/>
          <w:marBottom w:val="0"/>
          <w:divBdr>
            <w:top w:val="none" w:sz="0" w:space="0" w:color="auto"/>
            <w:left w:val="none" w:sz="0" w:space="0" w:color="auto"/>
            <w:bottom w:val="none" w:sz="0" w:space="0" w:color="auto"/>
            <w:right w:val="none" w:sz="0" w:space="0" w:color="auto"/>
          </w:divBdr>
        </w:div>
        <w:div w:id="2086877470">
          <w:marLeft w:val="640"/>
          <w:marRight w:val="0"/>
          <w:marTop w:val="0"/>
          <w:marBottom w:val="0"/>
          <w:divBdr>
            <w:top w:val="none" w:sz="0" w:space="0" w:color="auto"/>
            <w:left w:val="none" w:sz="0" w:space="0" w:color="auto"/>
            <w:bottom w:val="none" w:sz="0" w:space="0" w:color="auto"/>
            <w:right w:val="none" w:sz="0" w:space="0" w:color="auto"/>
          </w:divBdr>
        </w:div>
        <w:div w:id="1424909940">
          <w:marLeft w:val="640"/>
          <w:marRight w:val="0"/>
          <w:marTop w:val="0"/>
          <w:marBottom w:val="0"/>
          <w:divBdr>
            <w:top w:val="none" w:sz="0" w:space="0" w:color="auto"/>
            <w:left w:val="none" w:sz="0" w:space="0" w:color="auto"/>
            <w:bottom w:val="none" w:sz="0" w:space="0" w:color="auto"/>
            <w:right w:val="none" w:sz="0" w:space="0" w:color="auto"/>
          </w:divBdr>
        </w:div>
        <w:div w:id="1373653803">
          <w:marLeft w:val="640"/>
          <w:marRight w:val="0"/>
          <w:marTop w:val="0"/>
          <w:marBottom w:val="0"/>
          <w:divBdr>
            <w:top w:val="none" w:sz="0" w:space="0" w:color="auto"/>
            <w:left w:val="none" w:sz="0" w:space="0" w:color="auto"/>
            <w:bottom w:val="none" w:sz="0" w:space="0" w:color="auto"/>
            <w:right w:val="none" w:sz="0" w:space="0" w:color="auto"/>
          </w:divBdr>
        </w:div>
        <w:div w:id="1089736362">
          <w:marLeft w:val="640"/>
          <w:marRight w:val="0"/>
          <w:marTop w:val="0"/>
          <w:marBottom w:val="0"/>
          <w:divBdr>
            <w:top w:val="none" w:sz="0" w:space="0" w:color="auto"/>
            <w:left w:val="none" w:sz="0" w:space="0" w:color="auto"/>
            <w:bottom w:val="none" w:sz="0" w:space="0" w:color="auto"/>
            <w:right w:val="none" w:sz="0" w:space="0" w:color="auto"/>
          </w:divBdr>
        </w:div>
        <w:div w:id="1301182664">
          <w:marLeft w:val="640"/>
          <w:marRight w:val="0"/>
          <w:marTop w:val="0"/>
          <w:marBottom w:val="0"/>
          <w:divBdr>
            <w:top w:val="none" w:sz="0" w:space="0" w:color="auto"/>
            <w:left w:val="none" w:sz="0" w:space="0" w:color="auto"/>
            <w:bottom w:val="none" w:sz="0" w:space="0" w:color="auto"/>
            <w:right w:val="none" w:sz="0" w:space="0" w:color="auto"/>
          </w:divBdr>
        </w:div>
        <w:div w:id="1644500398">
          <w:marLeft w:val="640"/>
          <w:marRight w:val="0"/>
          <w:marTop w:val="0"/>
          <w:marBottom w:val="0"/>
          <w:divBdr>
            <w:top w:val="none" w:sz="0" w:space="0" w:color="auto"/>
            <w:left w:val="none" w:sz="0" w:space="0" w:color="auto"/>
            <w:bottom w:val="none" w:sz="0" w:space="0" w:color="auto"/>
            <w:right w:val="none" w:sz="0" w:space="0" w:color="auto"/>
          </w:divBdr>
        </w:div>
        <w:div w:id="1282372365">
          <w:marLeft w:val="640"/>
          <w:marRight w:val="0"/>
          <w:marTop w:val="0"/>
          <w:marBottom w:val="0"/>
          <w:divBdr>
            <w:top w:val="none" w:sz="0" w:space="0" w:color="auto"/>
            <w:left w:val="none" w:sz="0" w:space="0" w:color="auto"/>
            <w:bottom w:val="none" w:sz="0" w:space="0" w:color="auto"/>
            <w:right w:val="none" w:sz="0" w:space="0" w:color="auto"/>
          </w:divBdr>
        </w:div>
        <w:div w:id="217474429">
          <w:marLeft w:val="640"/>
          <w:marRight w:val="0"/>
          <w:marTop w:val="0"/>
          <w:marBottom w:val="0"/>
          <w:divBdr>
            <w:top w:val="none" w:sz="0" w:space="0" w:color="auto"/>
            <w:left w:val="none" w:sz="0" w:space="0" w:color="auto"/>
            <w:bottom w:val="none" w:sz="0" w:space="0" w:color="auto"/>
            <w:right w:val="none" w:sz="0" w:space="0" w:color="auto"/>
          </w:divBdr>
        </w:div>
        <w:div w:id="261960248">
          <w:marLeft w:val="640"/>
          <w:marRight w:val="0"/>
          <w:marTop w:val="0"/>
          <w:marBottom w:val="0"/>
          <w:divBdr>
            <w:top w:val="none" w:sz="0" w:space="0" w:color="auto"/>
            <w:left w:val="none" w:sz="0" w:space="0" w:color="auto"/>
            <w:bottom w:val="none" w:sz="0" w:space="0" w:color="auto"/>
            <w:right w:val="none" w:sz="0" w:space="0" w:color="auto"/>
          </w:divBdr>
        </w:div>
        <w:div w:id="418718964">
          <w:marLeft w:val="640"/>
          <w:marRight w:val="0"/>
          <w:marTop w:val="0"/>
          <w:marBottom w:val="0"/>
          <w:divBdr>
            <w:top w:val="none" w:sz="0" w:space="0" w:color="auto"/>
            <w:left w:val="none" w:sz="0" w:space="0" w:color="auto"/>
            <w:bottom w:val="none" w:sz="0" w:space="0" w:color="auto"/>
            <w:right w:val="none" w:sz="0" w:space="0" w:color="auto"/>
          </w:divBdr>
        </w:div>
        <w:div w:id="2124840493">
          <w:marLeft w:val="640"/>
          <w:marRight w:val="0"/>
          <w:marTop w:val="0"/>
          <w:marBottom w:val="0"/>
          <w:divBdr>
            <w:top w:val="none" w:sz="0" w:space="0" w:color="auto"/>
            <w:left w:val="none" w:sz="0" w:space="0" w:color="auto"/>
            <w:bottom w:val="none" w:sz="0" w:space="0" w:color="auto"/>
            <w:right w:val="none" w:sz="0" w:space="0" w:color="auto"/>
          </w:divBdr>
        </w:div>
        <w:div w:id="139620250">
          <w:marLeft w:val="640"/>
          <w:marRight w:val="0"/>
          <w:marTop w:val="0"/>
          <w:marBottom w:val="0"/>
          <w:divBdr>
            <w:top w:val="none" w:sz="0" w:space="0" w:color="auto"/>
            <w:left w:val="none" w:sz="0" w:space="0" w:color="auto"/>
            <w:bottom w:val="none" w:sz="0" w:space="0" w:color="auto"/>
            <w:right w:val="none" w:sz="0" w:space="0" w:color="auto"/>
          </w:divBdr>
        </w:div>
        <w:div w:id="943919807">
          <w:marLeft w:val="640"/>
          <w:marRight w:val="0"/>
          <w:marTop w:val="0"/>
          <w:marBottom w:val="0"/>
          <w:divBdr>
            <w:top w:val="none" w:sz="0" w:space="0" w:color="auto"/>
            <w:left w:val="none" w:sz="0" w:space="0" w:color="auto"/>
            <w:bottom w:val="none" w:sz="0" w:space="0" w:color="auto"/>
            <w:right w:val="none" w:sz="0" w:space="0" w:color="auto"/>
          </w:divBdr>
        </w:div>
        <w:div w:id="1669866885">
          <w:marLeft w:val="640"/>
          <w:marRight w:val="0"/>
          <w:marTop w:val="0"/>
          <w:marBottom w:val="0"/>
          <w:divBdr>
            <w:top w:val="none" w:sz="0" w:space="0" w:color="auto"/>
            <w:left w:val="none" w:sz="0" w:space="0" w:color="auto"/>
            <w:bottom w:val="none" w:sz="0" w:space="0" w:color="auto"/>
            <w:right w:val="none" w:sz="0" w:space="0" w:color="auto"/>
          </w:divBdr>
        </w:div>
        <w:div w:id="455373103">
          <w:marLeft w:val="640"/>
          <w:marRight w:val="0"/>
          <w:marTop w:val="0"/>
          <w:marBottom w:val="0"/>
          <w:divBdr>
            <w:top w:val="none" w:sz="0" w:space="0" w:color="auto"/>
            <w:left w:val="none" w:sz="0" w:space="0" w:color="auto"/>
            <w:bottom w:val="none" w:sz="0" w:space="0" w:color="auto"/>
            <w:right w:val="none" w:sz="0" w:space="0" w:color="auto"/>
          </w:divBdr>
        </w:div>
        <w:div w:id="572131614">
          <w:marLeft w:val="640"/>
          <w:marRight w:val="0"/>
          <w:marTop w:val="0"/>
          <w:marBottom w:val="0"/>
          <w:divBdr>
            <w:top w:val="none" w:sz="0" w:space="0" w:color="auto"/>
            <w:left w:val="none" w:sz="0" w:space="0" w:color="auto"/>
            <w:bottom w:val="none" w:sz="0" w:space="0" w:color="auto"/>
            <w:right w:val="none" w:sz="0" w:space="0" w:color="auto"/>
          </w:divBdr>
        </w:div>
        <w:div w:id="746808240">
          <w:marLeft w:val="640"/>
          <w:marRight w:val="0"/>
          <w:marTop w:val="0"/>
          <w:marBottom w:val="0"/>
          <w:divBdr>
            <w:top w:val="none" w:sz="0" w:space="0" w:color="auto"/>
            <w:left w:val="none" w:sz="0" w:space="0" w:color="auto"/>
            <w:bottom w:val="none" w:sz="0" w:space="0" w:color="auto"/>
            <w:right w:val="none" w:sz="0" w:space="0" w:color="auto"/>
          </w:divBdr>
        </w:div>
        <w:div w:id="798306477">
          <w:marLeft w:val="640"/>
          <w:marRight w:val="0"/>
          <w:marTop w:val="0"/>
          <w:marBottom w:val="0"/>
          <w:divBdr>
            <w:top w:val="none" w:sz="0" w:space="0" w:color="auto"/>
            <w:left w:val="none" w:sz="0" w:space="0" w:color="auto"/>
            <w:bottom w:val="none" w:sz="0" w:space="0" w:color="auto"/>
            <w:right w:val="none" w:sz="0" w:space="0" w:color="auto"/>
          </w:divBdr>
        </w:div>
        <w:div w:id="451361551">
          <w:marLeft w:val="640"/>
          <w:marRight w:val="0"/>
          <w:marTop w:val="0"/>
          <w:marBottom w:val="0"/>
          <w:divBdr>
            <w:top w:val="none" w:sz="0" w:space="0" w:color="auto"/>
            <w:left w:val="none" w:sz="0" w:space="0" w:color="auto"/>
            <w:bottom w:val="none" w:sz="0" w:space="0" w:color="auto"/>
            <w:right w:val="none" w:sz="0" w:space="0" w:color="auto"/>
          </w:divBdr>
        </w:div>
        <w:div w:id="1907229563">
          <w:marLeft w:val="640"/>
          <w:marRight w:val="0"/>
          <w:marTop w:val="0"/>
          <w:marBottom w:val="0"/>
          <w:divBdr>
            <w:top w:val="none" w:sz="0" w:space="0" w:color="auto"/>
            <w:left w:val="none" w:sz="0" w:space="0" w:color="auto"/>
            <w:bottom w:val="none" w:sz="0" w:space="0" w:color="auto"/>
            <w:right w:val="none" w:sz="0" w:space="0" w:color="auto"/>
          </w:divBdr>
        </w:div>
        <w:div w:id="745225919">
          <w:marLeft w:val="640"/>
          <w:marRight w:val="0"/>
          <w:marTop w:val="0"/>
          <w:marBottom w:val="0"/>
          <w:divBdr>
            <w:top w:val="none" w:sz="0" w:space="0" w:color="auto"/>
            <w:left w:val="none" w:sz="0" w:space="0" w:color="auto"/>
            <w:bottom w:val="none" w:sz="0" w:space="0" w:color="auto"/>
            <w:right w:val="none" w:sz="0" w:space="0" w:color="auto"/>
          </w:divBdr>
        </w:div>
        <w:div w:id="1346861595">
          <w:marLeft w:val="640"/>
          <w:marRight w:val="0"/>
          <w:marTop w:val="0"/>
          <w:marBottom w:val="0"/>
          <w:divBdr>
            <w:top w:val="none" w:sz="0" w:space="0" w:color="auto"/>
            <w:left w:val="none" w:sz="0" w:space="0" w:color="auto"/>
            <w:bottom w:val="none" w:sz="0" w:space="0" w:color="auto"/>
            <w:right w:val="none" w:sz="0" w:space="0" w:color="auto"/>
          </w:divBdr>
        </w:div>
        <w:div w:id="917250993">
          <w:marLeft w:val="640"/>
          <w:marRight w:val="0"/>
          <w:marTop w:val="0"/>
          <w:marBottom w:val="0"/>
          <w:divBdr>
            <w:top w:val="none" w:sz="0" w:space="0" w:color="auto"/>
            <w:left w:val="none" w:sz="0" w:space="0" w:color="auto"/>
            <w:bottom w:val="none" w:sz="0" w:space="0" w:color="auto"/>
            <w:right w:val="none" w:sz="0" w:space="0" w:color="auto"/>
          </w:divBdr>
        </w:div>
        <w:div w:id="1907110903">
          <w:marLeft w:val="640"/>
          <w:marRight w:val="0"/>
          <w:marTop w:val="0"/>
          <w:marBottom w:val="0"/>
          <w:divBdr>
            <w:top w:val="none" w:sz="0" w:space="0" w:color="auto"/>
            <w:left w:val="none" w:sz="0" w:space="0" w:color="auto"/>
            <w:bottom w:val="none" w:sz="0" w:space="0" w:color="auto"/>
            <w:right w:val="none" w:sz="0" w:space="0" w:color="auto"/>
          </w:divBdr>
        </w:div>
        <w:div w:id="453981810">
          <w:marLeft w:val="640"/>
          <w:marRight w:val="0"/>
          <w:marTop w:val="0"/>
          <w:marBottom w:val="0"/>
          <w:divBdr>
            <w:top w:val="none" w:sz="0" w:space="0" w:color="auto"/>
            <w:left w:val="none" w:sz="0" w:space="0" w:color="auto"/>
            <w:bottom w:val="none" w:sz="0" w:space="0" w:color="auto"/>
            <w:right w:val="none" w:sz="0" w:space="0" w:color="auto"/>
          </w:divBdr>
        </w:div>
        <w:div w:id="352849201">
          <w:marLeft w:val="640"/>
          <w:marRight w:val="0"/>
          <w:marTop w:val="0"/>
          <w:marBottom w:val="0"/>
          <w:divBdr>
            <w:top w:val="none" w:sz="0" w:space="0" w:color="auto"/>
            <w:left w:val="none" w:sz="0" w:space="0" w:color="auto"/>
            <w:bottom w:val="none" w:sz="0" w:space="0" w:color="auto"/>
            <w:right w:val="none" w:sz="0" w:space="0" w:color="auto"/>
          </w:divBdr>
        </w:div>
        <w:div w:id="1699424279">
          <w:marLeft w:val="640"/>
          <w:marRight w:val="0"/>
          <w:marTop w:val="0"/>
          <w:marBottom w:val="0"/>
          <w:divBdr>
            <w:top w:val="none" w:sz="0" w:space="0" w:color="auto"/>
            <w:left w:val="none" w:sz="0" w:space="0" w:color="auto"/>
            <w:bottom w:val="none" w:sz="0" w:space="0" w:color="auto"/>
            <w:right w:val="none" w:sz="0" w:space="0" w:color="auto"/>
          </w:divBdr>
        </w:div>
        <w:div w:id="1337881201">
          <w:marLeft w:val="640"/>
          <w:marRight w:val="0"/>
          <w:marTop w:val="0"/>
          <w:marBottom w:val="0"/>
          <w:divBdr>
            <w:top w:val="none" w:sz="0" w:space="0" w:color="auto"/>
            <w:left w:val="none" w:sz="0" w:space="0" w:color="auto"/>
            <w:bottom w:val="none" w:sz="0" w:space="0" w:color="auto"/>
            <w:right w:val="none" w:sz="0" w:space="0" w:color="auto"/>
          </w:divBdr>
        </w:div>
        <w:div w:id="1800414942">
          <w:marLeft w:val="640"/>
          <w:marRight w:val="0"/>
          <w:marTop w:val="0"/>
          <w:marBottom w:val="0"/>
          <w:divBdr>
            <w:top w:val="none" w:sz="0" w:space="0" w:color="auto"/>
            <w:left w:val="none" w:sz="0" w:space="0" w:color="auto"/>
            <w:bottom w:val="none" w:sz="0" w:space="0" w:color="auto"/>
            <w:right w:val="none" w:sz="0" w:space="0" w:color="auto"/>
          </w:divBdr>
        </w:div>
        <w:div w:id="1934585832">
          <w:marLeft w:val="640"/>
          <w:marRight w:val="0"/>
          <w:marTop w:val="0"/>
          <w:marBottom w:val="0"/>
          <w:divBdr>
            <w:top w:val="none" w:sz="0" w:space="0" w:color="auto"/>
            <w:left w:val="none" w:sz="0" w:space="0" w:color="auto"/>
            <w:bottom w:val="none" w:sz="0" w:space="0" w:color="auto"/>
            <w:right w:val="none" w:sz="0" w:space="0" w:color="auto"/>
          </w:divBdr>
        </w:div>
        <w:div w:id="549607833">
          <w:marLeft w:val="640"/>
          <w:marRight w:val="0"/>
          <w:marTop w:val="0"/>
          <w:marBottom w:val="0"/>
          <w:divBdr>
            <w:top w:val="none" w:sz="0" w:space="0" w:color="auto"/>
            <w:left w:val="none" w:sz="0" w:space="0" w:color="auto"/>
            <w:bottom w:val="none" w:sz="0" w:space="0" w:color="auto"/>
            <w:right w:val="none" w:sz="0" w:space="0" w:color="auto"/>
          </w:divBdr>
        </w:div>
        <w:div w:id="1155299774">
          <w:marLeft w:val="640"/>
          <w:marRight w:val="0"/>
          <w:marTop w:val="0"/>
          <w:marBottom w:val="0"/>
          <w:divBdr>
            <w:top w:val="none" w:sz="0" w:space="0" w:color="auto"/>
            <w:left w:val="none" w:sz="0" w:space="0" w:color="auto"/>
            <w:bottom w:val="none" w:sz="0" w:space="0" w:color="auto"/>
            <w:right w:val="none" w:sz="0" w:space="0" w:color="auto"/>
          </w:divBdr>
        </w:div>
        <w:div w:id="895969004">
          <w:marLeft w:val="640"/>
          <w:marRight w:val="0"/>
          <w:marTop w:val="0"/>
          <w:marBottom w:val="0"/>
          <w:divBdr>
            <w:top w:val="none" w:sz="0" w:space="0" w:color="auto"/>
            <w:left w:val="none" w:sz="0" w:space="0" w:color="auto"/>
            <w:bottom w:val="none" w:sz="0" w:space="0" w:color="auto"/>
            <w:right w:val="none" w:sz="0" w:space="0" w:color="auto"/>
          </w:divBdr>
        </w:div>
        <w:div w:id="370156968">
          <w:marLeft w:val="640"/>
          <w:marRight w:val="0"/>
          <w:marTop w:val="0"/>
          <w:marBottom w:val="0"/>
          <w:divBdr>
            <w:top w:val="none" w:sz="0" w:space="0" w:color="auto"/>
            <w:left w:val="none" w:sz="0" w:space="0" w:color="auto"/>
            <w:bottom w:val="none" w:sz="0" w:space="0" w:color="auto"/>
            <w:right w:val="none" w:sz="0" w:space="0" w:color="auto"/>
          </w:divBdr>
        </w:div>
        <w:div w:id="1655987807">
          <w:marLeft w:val="640"/>
          <w:marRight w:val="0"/>
          <w:marTop w:val="0"/>
          <w:marBottom w:val="0"/>
          <w:divBdr>
            <w:top w:val="none" w:sz="0" w:space="0" w:color="auto"/>
            <w:left w:val="none" w:sz="0" w:space="0" w:color="auto"/>
            <w:bottom w:val="none" w:sz="0" w:space="0" w:color="auto"/>
            <w:right w:val="none" w:sz="0" w:space="0" w:color="auto"/>
          </w:divBdr>
        </w:div>
        <w:div w:id="513803494">
          <w:marLeft w:val="640"/>
          <w:marRight w:val="0"/>
          <w:marTop w:val="0"/>
          <w:marBottom w:val="0"/>
          <w:divBdr>
            <w:top w:val="none" w:sz="0" w:space="0" w:color="auto"/>
            <w:left w:val="none" w:sz="0" w:space="0" w:color="auto"/>
            <w:bottom w:val="none" w:sz="0" w:space="0" w:color="auto"/>
            <w:right w:val="none" w:sz="0" w:space="0" w:color="auto"/>
          </w:divBdr>
        </w:div>
        <w:div w:id="1622033846">
          <w:marLeft w:val="640"/>
          <w:marRight w:val="0"/>
          <w:marTop w:val="0"/>
          <w:marBottom w:val="0"/>
          <w:divBdr>
            <w:top w:val="none" w:sz="0" w:space="0" w:color="auto"/>
            <w:left w:val="none" w:sz="0" w:space="0" w:color="auto"/>
            <w:bottom w:val="none" w:sz="0" w:space="0" w:color="auto"/>
            <w:right w:val="none" w:sz="0" w:space="0" w:color="auto"/>
          </w:divBdr>
        </w:div>
        <w:div w:id="375934362">
          <w:marLeft w:val="640"/>
          <w:marRight w:val="0"/>
          <w:marTop w:val="0"/>
          <w:marBottom w:val="0"/>
          <w:divBdr>
            <w:top w:val="none" w:sz="0" w:space="0" w:color="auto"/>
            <w:left w:val="none" w:sz="0" w:space="0" w:color="auto"/>
            <w:bottom w:val="none" w:sz="0" w:space="0" w:color="auto"/>
            <w:right w:val="none" w:sz="0" w:space="0" w:color="auto"/>
          </w:divBdr>
        </w:div>
        <w:div w:id="758408617">
          <w:marLeft w:val="640"/>
          <w:marRight w:val="0"/>
          <w:marTop w:val="0"/>
          <w:marBottom w:val="0"/>
          <w:divBdr>
            <w:top w:val="none" w:sz="0" w:space="0" w:color="auto"/>
            <w:left w:val="none" w:sz="0" w:space="0" w:color="auto"/>
            <w:bottom w:val="none" w:sz="0" w:space="0" w:color="auto"/>
            <w:right w:val="none" w:sz="0" w:space="0" w:color="auto"/>
          </w:divBdr>
        </w:div>
        <w:div w:id="1673095793">
          <w:marLeft w:val="640"/>
          <w:marRight w:val="0"/>
          <w:marTop w:val="0"/>
          <w:marBottom w:val="0"/>
          <w:divBdr>
            <w:top w:val="none" w:sz="0" w:space="0" w:color="auto"/>
            <w:left w:val="none" w:sz="0" w:space="0" w:color="auto"/>
            <w:bottom w:val="none" w:sz="0" w:space="0" w:color="auto"/>
            <w:right w:val="none" w:sz="0" w:space="0" w:color="auto"/>
          </w:divBdr>
        </w:div>
        <w:div w:id="747769650">
          <w:marLeft w:val="640"/>
          <w:marRight w:val="0"/>
          <w:marTop w:val="0"/>
          <w:marBottom w:val="0"/>
          <w:divBdr>
            <w:top w:val="none" w:sz="0" w:space="0" w:color="auto"/>
            <w:left w:val="none" w:sz="0" w:space="0" w:color="auto"/>
            <w:bottom w:val="none" w:sz="0" w:space="0" w:color="auto"/>
            <w:right w:val="none" w:sz="0" w:space="0" w:color="auto"/>
          </w:divBdr>
        </w:div>
        <w:div w:id="1143043988">
          <w:marLeft w:val="640"/>
          <w:marRight w:val="0"/>
          <w:marTop w:val="0"/>
          <w:marBottom w:val="0"/>
          <w:divBdr>
            <w:top w:val="none" w:sz="0" w:space="0" w:color="auto"/>
            <w:left w:val="none" w:sz="0" w:space="0" w:color="auto"/>
            <w:bottom w:val="none" w:sz="0" w:space="0" w:color="auto"/>
            <w:right w:val="none" w:sz="0" w:space="0" w:color="auto"/>
          </w:divBdr>
        </w:div>
        <w:div w:id="1024985804">
          <w:marLeft w:val="640"/>
          <w:marRight w:val="0"/>
          <w:marTop w:val="0"/>
          <w:marBottom w:val="0"/>
          <w:divBdr>
            <w:top w:val="none" w:sz="0" w:space="0" w:color="auto"/>
            <w:left w:val="none" w:sz="0" w:space="0" w:color="auto"/>
            <w:bottom w:val="none" w:sz="0" w:space="0" w:color="auto"/>
            <w:right w:val="none" w:sz="0" w:space="0" w:color="auto"/>
          </w:divBdr>
        </w:div>
        <w:div w:id="1557012962">
          <w:marLeft w:val="640"/>
          <w:marRight w:val="0"/>
          <w:marTop w:val="0"/>
          <w:marBottom w:val="0"/>
          <w:divBdr>
            <w:top w:val="none" w:sz="0" w:space="0" w:color="auto"/>
            <w:left w:val="none" w:sz="0" w:space="0" w:color="auto"/>
            <w:bottom w:val="none" w:sz="0" w:space="0" w:color="auto"/>
            <w:right w:val="none" w:sz="0" w:space="0" w:color="auto"/>
          </w:divBdr>
        </w:div>
        <w:div w:id="1423917060">
          <w:marLeft w:val="640"/>
          <w:marRight w:val="0"/>
          <w:marTop w:val="0"/>
          <w:marBottom w:val="0"/>
          <w:divBdr>
            <w:top w:val="none" w:sz="0" w:space="0" w:color="auto"/>
            <w:left w:val="none" w:sz="0" w:space="0" w:color="auto"/>
            <w:bottom w:val="none" w:sz="0" w:space="0" w:color="auto"/>
            <w:right w:val="none" w:sz="0" w:space="0" w:color="auto"/>
          </w:divBdr>
        </w:div>
        <w:div w:id="589898877">
          <w:marLeft w:val="640"/>
          <w:marRight w:val="0"/>
          <w:marTop w:val="0"/>
          <w:marBottom w:val="0"/>
          <w:divBdr>
            <w:top w:val="none" w:sz="0" w:space="0" w:color="auto"/>
            <w:left w:val="none" w:sz="0" w:space="0" w:color="auto"/>
            <w:bottom w:val="none" w:sz="0" w:space="0" w:color="auto"/>
            <w:right w:val="none" w:sz="0" w:space="0" w:color="auto"/>
          </w:divBdr>
        </w:div>
        <w:div w:id="706023911">
          <w:marLeft w:val="640"/>
          <w:marRight w:val="0"/>
          <w:marTop w:val="0"/>
          <w:marBottom w:val="0"/>
          <w:divBdr>
            <w:top w:val="none" w:sz="0" w:space="0" w:color="auto"/>
            <w:left w:val="none" w:sz="0" w:space="0" w:color="auto"/>
            <w:bottom w:val="none" w:sz="0" w:space="0" w:color="auto"/>
            <w:right w:val="none" w:sz="0" w:space="0" w:color="auto"/>
          </w:divBdr>
        </w:div>
        <w:div w:id="1933780711">
          <w:marLeft w:val="640"/>
          <w:marRight w:val="0"/>
          <w:marTop w:val="0"/>
          <w:marBottom w:val="0"/>
          <w:divBdr>
            <w:top w:val="none" w:sz="0" w:space="0" w:color="auto"/>
            <w:left w:val="none" w:sz="0" w:space="0" w:color="auto"/>
            <w:bottom w:val="none" w:sz="0" w:space="0" w:color="auto"/>
            <w:right w:val="none" w:sz="0" w:space="0" w:color="auto"/>
          </w:divBdr>
        </w:div>
        <w:div w:id="299043561">
          <w:marLeft w:val="640"/>
          <w:marRight w:val="0"/>
          <w:marTop w:val="0"/>
          <w:marBottom w:val="0"/>
          <w:divBdr>
            <w:top w:val="none" w:sz="0" w:space="0" w:color="auto"/>
            <w:left w:val="none" w:sz="0" w:space="0" w:color="auto"/>
            <w:bottom w:val="none" w:sz="0" w:space="0" w:color="auto"/>
            <w:right w:val="none" w:sz="0" w:space="0" w:color="auto"/>
          </w:divBdr>
        </w:div>
        <w:div w:id="727874247">
          <w:marLeft w:val="640"/>
          <w:marRight w:val="0"/>
          <w:marTop w:val="0"/>
          <w:marBottom w:val="0"/>
          <w:divBdr>
            <w:top w:val="none" w:sz="0" w:space="0" w:color="auto"/>
            <w:left w:val="none" w:sz="0" w:space="0" w:color="auto"/>
            <w:bottom w:val="none" w:sz="0" w:space="0" w:color="auto"/>
            <w:right w:val="none" w:sz="0" w:space="0" w:color="auto"/>
          </w:divBdr>
        </w:div>
        <w:div w:id="676689102">
          <w:marLeft w:val="640"/>
          <w:marRight w:val="0"/>
          <w:marTop w:val="0"/>
          <w:marBottom w:val="0"/>
          <w:divBdr>
            <w:top w:val="none" w:sz="0" w:space="0" w:color="auto"/>
            <w:left w:val="none" w:sz="0" w:space="0" w:color="auto"/>
            <w:bottom w:val="none" w:sz="0" w:space="0" w:color="auto"/>
            <w:right w:val="none" w:sz="0" w:space="0" w:color="auto"/>
          </w:divBdr>
        </w:div>
        <w:div w:id="1307976052">
          <w:marLeft w:val="640"/>
          <w:marRight w:val="0"/>
          <w:marTop w:val="0"/>
          <w:marBottom w:val="0"/>
          <w:divBdr>
            <w:top w:val="none" w:sz="0" w:space="0" w:color="auto"/>
            <w:left w:val="none" w:sz="0" w:space="0" w:color="auto"/>
            <w:bottom w:val="none" w:sz="0" w:space="0" w:color="auto"/>
            <w:right w:val="none" w:sz="0" w:space="0" w:color="auto"/>
          </w:divBdr>
        </w:div>
        <w:div w:id="1880704196">
          <w:marLeft w:val="640"/>
          <w:marRight w:val="0"/>
          <w:marTop w:val="0"/>
          <w:marBottom w:val="0"/>
          <w:divBdr>
            <w:top w:val="none" w:sz="0" w:space="0" w:color="auto"/>
            <w:left w:val="none" w:sz="0" w:space="0" w:color="auto"/>
            <w:bottom w:val="none" w:sz="0" w:space="0" w:color="auto"/>
            <w:right w:val="none" w:sz="0" w:space="0" w:color="auto"/>
          </w:divBdr>
        </w:div>
        <w:div w:id="1547763852">
          <w:marLeft w:val="640"/>
          <w:marRight w:val="0"/>
          <w:marTop w:val="0"/>
          <w:marBottom w:val="0"/>
          <w:divBdr>
            <w:top w:val="none" w:sz="0" w:space="0" w:color="auto"/>
            <w:left w:val="none" w:sz="0" w:space="0" w:color="auto"/>
            <w:bottom w:val="none" w:sz="0" w:space="0" w:color="auto"/>
            <w:right w:val="none" w:sz="0" w:space="0" w:color="auto"/>
          </w:divBdr>
        </w:div>
        <w:div w:id="847598914">
          <w:marLeft w:val="640"/>
          <w:marRight w:val="0"/>
          <w:marTop w:val="0"/>
          <w:marBottom w:val="0"/>
          <w:divBdr>
            <w:top w:val="none" w:sz="0" w:space="0" w:color="auto"/>
            <w:left w:val="none" w:sz="0" w:space="0" w:color="auto"/>
            <w:bottom w:val="none" w:sz="0" w:space="0" w:color="auto"/>
            <w:right w:val="none" w:sz="0" w:space="0" w:color="auto"/>
          </w:divBdr>
        </w:div>
        <w:div w:id="382407847">
          <w:marLeft w:val="640"/>
          <w:marRight w:val="0"/>
          <w:marTop w:val="0"/>
          <w:marBottom w:val="0"/>
          <w:divBdr>
            <w:top w:val="none" w:sz="0" w:space="0" w:color="auto"/>
            <w:left w:val="none" w:sz="0" w:space="0" w:color="auto"/>
            <w:bottom w:val="none" w:sz="0" w:space="0" w:color="auto"/>
            <w:right w:val="none" w:sz="0" w:space="0" w:color="auto"/>
          </w:divBdr>
        </w:div>
        <w:div w:id="210272189">
          <w:marLeft w:val="640"/>
          <w:marRight w:val="0"/>
          <w:marTop w:val="0"/>
          <w:marBottom w:val="0"/>
          <w:divBdr>
            <w:top w:val="none" w:sz="0" w:space="0" w:color="auto"/>
            <w:left w:val="none" w:sz="0" w:space="0" w:color="auto"/>
            <w:bottom w:val="none" w:sz="0" w:space="0" w:color="auto"/>
            <w:right w:val="none" w:sz="0" w:space="0" w:color="auto"/>
          </w:divBdr>
        </w:div>
        <w:div w:id="1726946467">
          <w:marLeft w:val="640"/>
          <w:marRight w:val="0"/>
          <w:marTop w:val="0"/>
          <w:marBottom w:val="0"/>
          <w:divBdr>
            <w:top w:val="none" w:sz="0" w:space="0" w:color="auto"/>
            <w:left w:val="none" w:sz="0" w:space="0" w:color="auto"/>
            <w:bottom w:val="none" w:sz="0" w:space="0" w:color="auto"/>
            <w:right w:val="none" w:sz="0" w:space="0" w:color="auto"/>
          </w:divBdr>
        </w:div>
        <w:div w:id="1746604041">
          <w:marLeft w:val="640"/>
          <w:marRight w:val="0"/>
          <w:marTop w:val="0"/>
          <w:marBottom w:val="0"/>
          <w:divBdr>
            <w:top w:val="none" w:sz="0" w:space="0" w:color="auto"/>
            <w:left w:val="none" w:sz="0" w:space="0" w:color="auto"/>
            <w:bottom w:val="none" w:sz="0" w:space="0" w:color="auto"/>
            <w:right w:val="none" w:sz="0" w:space="0" w:color="auto"/>
          </w:divBdr>
        </w:div>
        <w:div w:id="1410729879">
          <w:marLeft w:val="640"/>
          <w:marRight w:val="0"/>
          <w:marTop w:val="0"/>
          <w:marBottom w:val="0"/>
          <w:divBdr>
            <w:top w:val="none" w:sz="0" w:space="0" w:color="auto"/>
            <w:left w:val="none" w:sz="0" w:space="0" w:color="auto"/>
            <w:bottom w:val="none" w:sz="0" w:space="0" w:color="auto"/>
            <w:right w:val="none" w:sz="0" w:space="0" w:color="auto"/>
          </w:divBdr>
        </w:div>
        <w:div w:id="555052107">
          <w:marLeft w:val="640"/>
          <w:marRight w:val="0"/>
          <w:marTop w:val="0"/>
          <w:marBottom w:val="0"/>
          <w:divBdr>
            <w:top w:val="none" w:sz="0" w:space="0" w:color="auto"/>
            <w:left w:val="none" w:sz="0" w:space="0" w:color="auto"/>
            <w:bottom w:val="none" w:sz="0" w:space="0" w:color="auto"/>
            <w:right w:val="none" w:sz="0" w:space="0" w:color="auto"/>
          </w:divBdr>
        </w:div>
        <w:div w:id="18313863">
          <w:marLeft w:val="640"/>
          <w:marRight w:val="0"/>
          <w:marTop w:val="0"/>
          <w:marBottom w:val="0"/>
          <w:divBdr>
            <w:top w:val="none" w:sz="0" w:space="0" w:color="auto"/>
            <w:left w:val="none" w:sz="0" w:space="0" w:color="auto"/>
            <w:bottom w:val="none" w:sz="0" w:space="0" w:color="auto"/>
            <w:right w:val="none" w:sz="0" w:space="0" w:color="auto"/>
          </w:divBdr>
        </w:div>
        <w:div w:id="1232040591">
          <w:marLeft w:val="640"/>
          <w:marRight w:val="0"/>
          <w:marTop w:val="0"/>
          <w:marBottom w:val="0"/>
          <w:divBdr>
            <w:top w:val="none" w:sz="0" w:space="0" w:color="auto"/>
            <w:left w:val="none" w:sz="0" w:space="0" w:color="auto"/>
            <w:bottom w:val="none" w:sz="0" w:space="0" w:color="auto"/>
            <w:right w:val="none" w:sz="0" w:space="0" w:color="auto"/>
          </w:divBdr>
        </w:div>
        <w:div w:id="832725162">
          <w:marLeft w:val="640"/>
          <w:marRight w:val="0"/>
          <w:marTop w:val="0"/>
          <w:marBottom w:val="0"/>
          <w:divBdr>
            <w:top w:val="none" w:sz="0" w:space="0" w:color="auto"/>
            <w:left w:val="none" w:sz="0" w:space="0" w:color="auto"/>
            <w:bottom w:val="none" w:sz="0" w:space="0" w:color="auto"/>
            <w:right w:val="none" w:sz="0" w:space="0" w:color="auto"/>
          </w:divBdr>
        </w:div>
        <w:div w:id="620843476">
          <w:marLeft w:val="640"/>
          <w:marRight w:val="0"/>
          <w:marTop w:val="0"/>
          <w:marBottom w:val="0"/>
          <w:divBdr>
            <w:top w:val="none" w:sz="0" w:space="0" w:color="auto"/>
            <w:left w:val="none" w:sz="0" w:space="0" w:color="auto"/>
            <w:bottom w:val="none" w:sz="0" w:space="0" w:color="auto"/>
            <w:right w:val="none" w:sz="0" w:space="0" w:color="auto"/>
          </w:divBdr>
        </w:div>
        <w:div w:id="1839032949">
          <w:marLeft w:val="640"/>
          <w:marRight w:val="0"/>
          <w:marTop w:val="0"/>
          <w:marBottom w:val="0"/>
          <w:divBdr>
            <w:top w:val="none" w:sz="0" w:space="0" w:color="auto"/>
            <w:left w:val="none" w:sz="0" w:space="0" w:color="auto"/>
            <w:bottom w:val="none" w:sz="0" w:space="0" w:color="auto"/>
            <w:right w:val="none" w:sz="0" w:space="0" w:color="auto"/>
          </w:divBdr>
        </w:div>
        <w:div w:id="1825776771">
          <w:marLeft w:val="640"/>
          <w:marRight w:val="0"/>
          <w:marTop w:val="0"/>
          <w:marBottom w:val="0"/>
          <w:divBdr>
            <w:top w:val="none" w:sz="0" w:space="0" w:color="auto"/>
            <w:left w:val="none" w:sz="0" w:space="0" w:color="auto"/>
            <w:bottom w:val="none" w:sz="0" w:space="0" w:color="auto"/>
            <w:right w:val="none" w:sz="0" w:space="0" w:color="auto"/>
          </w:divBdr>
        </w:div>
        <w:div w:id="189996940">
          <w:marLeft w:val="640"/>
          <w:marRight w:val="0"/>
          <w:marTop w:val="0"/>
          <w:marBottom w:val="0"/>
          <w:divBdr>
            <w:top w:val="none" w:sz="0" w:space="0" w:color="auto"/>
            <w:left w:val="none" w:sz="0" w:space="0" w:color="auto"/>
            <w:bottom w:val="none" w:sz="0" w:space="0" w:color="auto"/>
            <w:right w:val="none" w:sz="0" w:space="0" w:color="auto"/>
          </w:divBdr>
        </w:div>
        <w:div w:id="1685741875">
          <w:marLeft w:val="640"/>
          <w:marRight w:val="0"/>
          <w:marTop w:val="0"/>
          <w:marBottom w:val="0"/>
          <w:divBdr>
            <w:top w:val="none" w:sz="0" w:space="0" w:color="auto"/>
            <w:left w:val="none" w:sz="0" w:space="0" w:color="auto"/>
            <w:bottom w:val="none" w:sz="0" w:space="0" w:color="auto"/>
            <w:right w:val="none" w:sz="0" w:space="0" w:color="auto"/>
          </w:divBdr>
        </w:div>
        <w:div w:id="788478684">
          <w:marLeft w:val="640"/>
          <w:marRight w:val="0"/>
          <w:marTop w:val="0"/>
          <w:marBottom w:val="0"/>
          <w:divBdr>
            <w:top w:val="none" w:sz="0" w:space="0" w:color="auto"/>
            <w:left w:val="none" w:sz="0" w:space="0" w:color="auto"/>
            <w:bottom w:val="none" w:sz="0" w:space="0" w:color="auto"/>
            <w:right w:val="none" w:sz="0" w:space="0" w:color="auto"/>
          </w:divBdr>
        </w:div>
        <w:div w:id="1440637670">
          <w:marLeft w:val="640"/>
          <w:marRight w:val="0"/>
          <w:marTop w:val="0"/>
          <w:marBottom w:val="0"/>
          <w:divBdr>
            <w:top w:val="none" w:sz="0" w:space="0" w:color="auto"/>
            <w:left w:val="none" w:sz="0" w:space="0" w:color="auto"/>
            <w:bottom w:val="none" w:sz="0" w:space="0" w:color="auto"/>
            <w:right w:val="none" w:sz="0" w:space="0" w:color="auto"/>
          </w:divBdr>
        </w:div>
        <w:div w:id="311758184">
          <w:marLeft w:val="640"/>
          <w:marRight w:val="0"/>
          <w:marTop w:val="0"/>
          <w:marBottom w:val="0"/>
          <w:divBdr>
            <w:top w:val="none" w:sz="0" w:space="0" w:color="auto"/>
            <w:left w:val="none" w:sz="0" w:space="0" w:color="auto"/>
            <w:bottom w:val="none" w:sz="0" w:space="0" w:color="auto"/>
            <w:right w:val="none" w:sz="0" w:space="0" w:color="auto"/>
          </w:divBdr>
        </w:div>
        <w:div w:id="538012824">
          <w:marLeft w:val="640"/>
          <w:marRight w:val="0"/>
          <w:marTop w:val="0"/>
          <w:marBottom w:val="0"/>
          <w:divBdr>
            <w:top w:val="none" w:sz="0" w:space="0" w:color="auto"/>
            <w:left w:val="none" w:sz="0" w:space="0" w:color="auto"/>
            <w:bottom w:val="none" w:sz="0" w:space="0" w:color="auto"/>
            <w:right w:val="none" w:sz="0" w:space="0" w:color="auto"/>
          </w:divBdr>
        </w:div>
        <w:div w:id="1863089808">
          <w:marLeft w:val="640"/>
          <w:marRight w:val="0"/>
          <w:marTop w:val="0"/>
          <w:marBottom w:val="0"/>
          <w:divBdr>
            <w:top w:val="none" w:sz="0" w:space="0" w:color="auto"/>
            <w:left w:val="none" w:sz="0" w:space="0" w:color="auto"/>
            <w:bottom w:val="none" w:sz="0" w:space="0" w:color="auto"/>
            <w:right w:val="none" w:sz="0" w:space="0" w:color="auto"/>
          </w:divBdr>
        </w:div>
        <w:div w:id="1288658617">
          <w:marLeft w:val="640"/>
          <w:marRight w:val="0"/>
          <w:marTop w:val="0"/>
          <w:marBottom w:val="0"/>
          <w:divBdr>
            <w:top w:val="none" w:sz="0" w:space="0" w:color="auto"/>
            <w:left w:val="none" w:sz="0" w:space="0" w:color="auto"/>
            <w:bottom w:val="none" w:sz="0" w:space="0" w:color="auto"/>
            <w:right w:val="none" w:sz="0" w:space="0" w:color="auto"/>
          </w:divBdr>
        </w:div>
        <w:div w:id="165755421">
          <w:marLeft w:val="640"/>
          <w:marRight w:val="0"/>
          <w:marTop w:val="0"/>
          <w:marBottom w:val="0"/>
          <w:divBdr>
            <w:top w:val="none" w:sz="0" w:space="0" w:color="auto"/>
            <w:left w:val="none" w:sz="0" w:space="0" w:color="auto"/>
            <w:bottom w:val="none" w:sz="0" w:space="0" w:color="auto"/>
            <w:right w:val="none" w:sz="0" w:space="0" w:color="auto"/>
          </w:divBdr>
        </w:div>
        <w:div w:id="2140607321">
          <w:marLeft w:val="640"/>
          <w:marRight w:val="0"/>
          <w:marTop w:val="0"/>
          <w:marBottom w:val="0"/>
          <w:divBdr>
            <w:top w:val="none" w:sz="0" w:space="0" w:color="auto"/>
            <w:left w:val="none" w:sz="0" w:space="0" w:color="auto"/>
            <w:bottom w:val="none" w:sz="0" w:space="0" w:color="auto"/>
            <w:right w:val="none" w:sz="0" w:space="0" w:color="auto"/>
          </w:divBdr>
        </w:div>
        <w:div w:id="1772554518">
          <w:marLeft w:val="640"/>
          <w:marRight w:val="0"/>
          <w:marTop w:val="0"/>
          <w:marBottom w:val="0"/>
          <w:divBdr>
            <w:top w:val="none" w:sz="0" w:space="0" w:color="auto"/>
            <w:left w:val="none" w:sz="0" w:space="0" w:color="auto"/>
            <w:bottom w:val="none" w:sz="0" w:space="0" w:color="auto"/>
            <w:right w:val="none" w:sz="0" w:space="0" w:color="auto"/>
          </w:divBdr>
        </w:div>
        <w:div w:id="1501122212">
          <w:marLeft w:val="640"/>
          <w:marRight w:val="0"/>
          <w:marTop w:val="0"/>
          <w:marBottom w:val="0"/>
          <w:divBdr>
            <w:top w:val="none" w:sz="0" w:space="0" w:color="auto"/>
            <w:left w:val="none" w:sz="0" w:space="0" w:color="auto"/>
            <w:bottom w:val="none" w:sz="0" w:space="0" w:color="auto"/>
            <w:right w:val="none" w:sz="0" w:space="0" w:color="auto"/>
          </w:divBdr>
        </w:div>
        <w:div w:id="2121490325">
          <w:marLeft w:val="640"/>
          <w:marRight w:val="0"/>
          <w:marTop w:val="0"/>
          <w:marBottom w:val="0"/>
          <w:divBdr>
            <w:top w:val="none" w:sz="0" w:space="0" w:color="auto"/>
            <w:left w:val="none" w:sz="0" w:space="0" w:color="auto"/>
            <w:bottom w:val="none" w:sz="0" w:space="0" w:color="auto"/>
            <w:right w:val="none" w:sz="0" w:space="0" w:color="auto"/>
          </w:divBdr>
        </w:div>
        <w:div w:id="1665742493">
          <w:marLeft w:val="640"/>
          <w:marRight w:val="0"/>
          <w:marTop w:val="0"/>
          <w:marBottom w:val="0"/>
          <w:divBdr>
            <w:top w:val="none" w:sz="0" w:space="0" w:color="auto"/>
            <w:left w:val="none" w:sz="0" w:space="0" w:color="auto"/>
            <w:bottom w:val="none" w:sz="0" w:space="0" w:color="auto"/>
            <w:right w:val="none" w:sz="0" w:space="0" w:color="auto"/>
          </w:divBdr>
        </w:div>
        <w:div w:id="1774931611">
          <w:marLeft w:val="640"/>
          <w:marRight w:val="0"/>
          <w:marTop w:val="0"/>
          <w:marBottom w:val="0"/>
          <w:divBdr>
            <w:top w:val="none" w:sz="0" w:space="0" w:color="auto"/>
            <w:left w:val="none" w:sz="0" w:space="0" w:color="auto"/>
            <w:bottom w:val="none" w:sz="0" w:space="0" w:color="auto"/>
            <w:right w:val="none" w:sz="0" w:space="0" w:color="auto"/>
          </w:divBdr>
        </w:div>
        <w:div w:id="1503204247">
          <w:marLeft w:val="640"/>
          <w:marRight w:val="0"/>
          <w:marTop w:val="0"/>
          <w:marBottom w:val="0"/>
          <w:divBdr>
            <w:top w:val="none" w:sz="0" w:space="0" w:color="auto"/>
            <w:left w:val="none" w:sz="0" w:space="0" w:color="auto"/>
            <w:bottom w:val="none" w:sz="0" w:space="0" w:color="auto"/>
            <w:right w:val="none" w:sz="0" w:space="0" w:color="auto"/>
          </w:divBdr>
        </w:div>
        <w:div w:id="726800703">
          <w:marLeft w:val="640"/>
          <w:marRight w:val="0"/>
          <w:marTop w:val="0"/>
          <w:marBottom w:val="0"/>
          <w:divBdr>
            <w:top w:val="none" w:sz="0" w:space="0" w:color="auto"/>
            <w:left w:val="none" w:sz="0" w:space="0" w:color="auto"/>
            <w:bottom w:val="none" w:sz="0" w:space="0" w:color="auto"/>
            <w:right w:val="none" w:sz="0" w:space="0" w:color="auto"/>
          </w:divBdr>
        </w:div>
        <w:div w:id="1121455705">
          <w:marLeft w:val="640"/>
          <w:marRight w:val="0"/>
          <w:marTop w:val="0"/>
          <w:marBottom w:val="0"/>
          <w:divBdr>
            <w:top w:val="none" w:sz="0" w:space="0" w:color="auto"/>
            <w:left w:val="none" w:sz="0" w:space="0" w:color="auto"/>
            <w:bottom w:val="none" w:sz="0" w:space="0" w:color="auto"/>
            <w:right w:val="none" w:sz="0" w:space="0" w:color="auto"/>
          </w:divBdr>
        </w:div>
        <w:div w:id="807934176">
          <w:marLeft w:val="640"/>
          <w:marRight w:val="0"/>
          <w:marTop w:val="0"/>
          <w:marBottom w:val="0"/>
          <w:divBdr>
            <w:top w:val="none" w:sz="0" w:space="0" w:color="auto"/>
            <w:left w:val="none" w:sz="0" w:space="0" w:color="auto"/>
            <w:bottom w:val="none" w:sz="0" w:space="0" w:color="auto"/>
            <w:right w:val="none" w:sz="0" w:space="0" w:color="auto"/>
          </w:divBdr>
        </w:div>
        <w:div w:id="603151616">
          <w:marLeft w:val="640"/>
          <w:marRight w:val="0"/>
          <w:marTop w:val="0"/>
          <w:marBottom w:val="0"/>
          <w:divBdr>
            <w:top w:val="none" w:sz="0" w:space="0" w:color="auto"/>
            <w:left w:val="none" w:sz="0" w:space="0" w:color="auto"/>
            <w:bottom w:val="none" w:sz="0" w:space="0" w:color="auto"/>
            <w:right w:val="none" w:sz="0" w:space="0" w:color="auto"/>
          </w:divBdr>
        </w:div>
        <w:div w:id="176048085">
          <w:marLeft w:val="640"/>
          <w:marRight w:val="0"/>
          <w:marTop w:val="0"/>
          <w:marBottom w:val="0"/>
          <w:divBdr>
            <w:top w:val="none" w:sz="0" w:space="0" w:color="auto"/>
            <w:left w:val="none" w:sz="0" w:space="0" w:color="auto"/>
            <w:bottom w:val="none" w:sz="0" w:space="0" w:color="auto"/>
            <w:right w:val="none" w:sz="0" w:space="0" w:color="auto"/>
          </w:divBdr>
        </w:div>
        <w:div w:id="867330869">
          <w:marLeft w:val="640"/>
          <w:marRight w:val="0"/>
          <w:marTop w:val="0"/>
          <w:marBottom w:val="0"/>
          <w:divBdr>
            <w:top w:val="none" w:sz="0" w:space="0" w:color="auto"/>
            <w:left w:val="none" w:sz="0" w:space="0" w:color="auto"/>
            <w:bottom w:val="none" w:sz="0" w:space="0" w:color="auto"/>
            <w:right w:val="none" w:sz="0" w:space="0" w:color="auto"/>
          </w:divBdr>
        </w:div>
        <w:div w:id="980764931">
          <w:marLeft w:val="640"/>
          <w:marRight w:val="0"/>
          <w:marTop w:val="0"/>
          <w:marBottom w:val="0"/>
          <w:divBdr>
            <w:top w:val="none" w:sz="0" w:space="0" w:color="auto"/>
            <w:left w:val="none" w:sz="0" w:space="0" w:color="auto"/>
            <w:bottom w:val="none" w:sz="0" w:space="0" w:color="auto"/>
            <w:right w:val="none" w:sz="0" w:space="0" w:color="auto"/>
          </w:divBdr>
        </w:div>
        <w:div w:id="1225409481">
          <w:marLeft w:val="640"/>
          <w:marRight w:val="0"/>
          <w:marTop w:val="0"/>
          <w:marBottom w:val="0"/>
          <w:divBdr>
            <w:top w:val="none" w:sz="0" w:space="0" w:color="auto"/>
            <w:left w:val="none" w:sz="0" w:space="0" w:color="auto"/>
            <w:bottom w:val="none" w:sz="0" w:space="0" w:color="auto"/>
            <w:right w:val="none" w:sz="0" w:space="0" w:color="auto"/>
          </w:divBdr>
        </w:div>
        <w:div w:id="1682780586">
          <w:marLeft w:val="640"/>
          <w:marRight w:val="0"/>
          <w:marTop w:val="0"/>
          <w:marBottom w:val="0"/>
          <w:divBdr>
            <w:top w:val="none" w:sz="0" w:space="0" w:color="auto"/>
            <w:left w:val="none" w:sz="0" w:space="0" w:color="auto"/>
            <w:bottom w:val="none" w:sz="0" w:space="0" w:color="auto"/>
            <w:right w:val="none" w:sz="0" w:space="0" w:color="auto"/>
          </w:divBdr>
        </w:div>
        <w:div w:id="798105454">
          <w:marLeft w:val="640"/>
          <w:marRight w:val="0"/>
          <w:marTop w:val="0"/>
          <w:marBottom w:val="0"/>
          <w:divBdr>
            <w:top w:val="none" w:sz="0" w:space="0" w:color="auto"/>
            <w:left w:val="none" w:sz="0" w:space="0" w:color="auto"/>
            <w:bottom w:val="none" w:sz="0" w:space="0" w:color="auto"/>
            <w:right w:val="none" w:sz="0" w:space="0" w:color="auto"/>
          </w:divBdr>
        </w:div>
        <w:div w:id="1919362241">
          <w:marLeft w:val="640"/>
          <w:marRight w:val="0"/>
          <w:marTop w:val="0"/>
          <w:marBottom w:val="0"/>
          <w:divBdr>
            <w:top w:val="none" w:sz="0" w:space="0" w:color="auto"/>
            <w:left w:val="none" w:sz="0" w:space="0" w:color="auto"/>
            <w:bottom w:val="none" w:sz="0" w:space="0" w:color="auto"/>
            <w:right w:val="none" w:sz="0" w:space="0" w:color="auto"/>
          </w:divBdr>
        </w:div>
        <w:div w:id="261646716">
          <w:marLeft w:val="640"/>
          <w:marRight w:val="0"/>
          <w:marTop w:val="0"/>
          <w:marBottom w:val="0"/>
          <w:divBdr>
            <w:top w:val="none" w:sz="0" w:space="0" w:color="auto"/>
            <w:left w:val="none" w:sz="0" w:space="0" w:color="auto"/>
            <w:bottom w:val="none" w:sz="0" w:space="0" w:color="auto"/>
            <w:right w:val="none" w:sz="0" w:space="0" w:color="auto"/>
          </w:divBdr>
        </w:div>
        <w:div w:id="419521514">
          <w:marLeft w:val="640"/>
          <w:marRight w:val="0"/>
          <w:marTop w:val="0"/>
          <w:marBottom w:val="0"/>
          <w:divBdr>
            <w:top w:val="none" w:sz="0" w:space="0" w:color="auto"/>
            <w:left w:val="none" w:sz="0" w:space="0" w:color="auto"/>
            <w:bottom w:val="none" w:sz="0" w:space="0" w:color="auto"/>
            <w:right w:val="none" w:sz="0" w:space="0" w:color="auto"/>
          </w:divBdr>
        </w:div>
        <w:div w:id="1553686733">
          <w:marLeft w:val="640"/>
          <w:marRight w:val="0"/>
          <w:marTop w:val="0"/>
          <w:marBottom w:val="0"/>
          <w:divBdr>
            <w:top w:val="none" w:sz="0" w:space="0" w:color="auto"/>
            <w:left w:val="none" w:sz="0" w:space="0" w:color="auto"/>
            <w:bottom w:val="none" w:sz="0" w:space="0" w:color="auto"/>
            <w:right w:val="none" w:sz="0" w:space="0" w:color="auto"/>
          </w:divBdr>
        </w:div>
        <w:div w:id="422726736">
          <w:marLeft w:val="640"/>
          <w:marRight w:val="0"/>
          <w:marTop w:val="0"/>
          <w:marBottom w:val="0"/>
          <w:divBdr>
            <w:top w:val="none" w:sz="0" w:space="0" w:color="auto"/>
            <w:left w:val="none" w:sz="0" w:space="0" w:color="auto"/>
            <w:bottom w:val="none" w:sz="0" w:space="0" w:color="auto"/>
            <w:right w:val="none" w:sz="0" w:space="0" w:color="auto"/>
          </w:divBdr>
        </w:div>
        <w:div w:id="2012490416">
          <w:marLeft w:val="640"/>
          <w:marRight w:val="0"/>
          <w:marTop w:val="0"/>
          <w:marBottom w:val="0"/>
          <w:divBdr>
            <w:top w:val="none" w:sz="0" w:space="0" w:color="auto"/>
            <w:left w:val="none" w:sz="0" w:space="0" w:color="auto"/>
            <w:bottom w:val="none" w:sz="0" w:space="0" w:color="auto"/>
            <w:right w:val="none" w:sz="0" w:space="0" w:color="auto"/>
          </w:divBdr>
        </w:div>
        <w:div w:id="1202471647">
          <w:marLeft w:val="640"/>
          <w:marRight w:val="0"/>
          <w:marTop w:val="0"/>
          <w:marBottom w:val="0"/>
          <w:divBdr>
            <w:top w:val="none" w:sz="0" w:space="0" w:color="auto"/>
            <w:left w:val="none" w:sz="0" w:space="0" w:color="auto"/>
            <w:bottom w:val="none" w:sz="0" w:space="0" w:color="auto"/>
            <w:right w:val="none" w:sz="0" w:space="0" w:color="auto"/>
          </w:divBdr>
        </w:div>
        <w:div w:id="1684089208">
          <w:marLeft w:val="640"/>
          <w:marRight w:val="0"/>
          <w:marTop w:val="0"/>
          <w:marBottom w:val="0"/>
          <w:divBdr>
            <w:top w:val="none" w:sz="0" w:space="0" w:color="auto"/>
            <w:left w:val="none" w:sz="0" w:space="0" w:color="auto"/>
            <w:bottom w:val="none" w:sz="0" w:space="0" w:color="auto"/>
            <w:right w:val="none" w:sz="0" w:space="0" w:color="auto"/>
          </w:divBdr>
        </w:div>
        <w:div w:id="1743142097">
          <w:marLeft w:val="640"/>
          <w:marRight w:val="0"/>
          <w:marTop w:val="0"/>
          <w:marBottom w:val="0"/>
          <w:divBdr>
            <w:top w:val="none" w:sz="0" w:space="0" w:color="auto"/>
            <w:left w:val="none" w:sz="0" w:space="0" w:color="auto"/>
            <w:bottom w:val="none" w:sz="0" w:space="0" w:color="auto"/>
            <w:right w:val="none" w:sz="0" w:space="0" w:color="auto"/>
          </w:divBdr>
        </w:div>
        <w:div w:id="1712876614">
          <w:marLeft w:val="640"/>
          <w:marRight w:val="0"/>
          <w:marTop w:val="0"/>
          <w:marBottom w:val="0"/>
          <w:divBdr>
            <w:top w:val="none" w:sz="0" w:space="0" w:color="auto"/>
            <w:left w:val="none" w:sz="0" w:space="0" w:color="auto"/>
            <w:bottom w:val="none" w:sz="0" w:space="0" w:color="auto"/>
            <w:right w:val="none" w:sz="0" w:space="0" w:color="auto"/>
          </w:divBdr>
        </w:div>
        <w:div w:id="357514789">
          <w:marLeft w:val="640"/>
          <w:marRight w:val="0"/>
          <w:marTop w:val="0"/>
          <w:marBottom w:val="0"/>
          <w:divBdr>
            <w:top w:val="none" w:sz="0" w:space="0" w:color="auto"/>
            <w:left w:val="none" w:sz="0" w:space="0" w:color="auto"/>
            <w:bottom w:val="none" w:sz="0" w:space="0" w:color="auto"/>
            <w:right w:val="none" w:sz="0" w:space="0" w:color="auto"/>
          </w:divBdr>
        </w:div>
        <w:div w:id="1038509152">
          <w:marLeft w:val="640"/>
          <w:marRight w:val="0"/>
          <w:marTop w:val="0"/>
          <w:marBottom w:val="0"/>
          <w:divBdr>
            <w:top w:val="none" w:sz="0" w:space="0" w:color="auto"/>
            <w:left w:val="none" w:sz="0" w:space="0" w:color="auto"/>
            <w:bottom w:val="none" w:sz="0" w:space="0" w:color="auto"/>
            <w:right w:val="none" w:sz="0" w:space="0" w:color="auto"/>
          </w:divBdr>
        </w:div>
        <w:div w:id="287468076">
          <w:marLeft w:val="640"/>
          <w:marRight w:val="0"/>
          <w:marTop w:val="0"/>
          <w:marBottom w:val="0"/>
          <w:divBdr>
            <w:top w:val="none" w:sz="0" w:space="0" w:color="auto"/>
            <w:left w:val="none" w:sz="0" w:space="0" w:color="auto"/>
            <w:bottom w:val="none" w:sz="0" w:space="0" w:color="auto"/>
            <w:right w:val="none" w:sz="0" w:space="0" w:color="auto"/>
          </w:divBdr>
        </w:div>
        <w:div w:id="161432265">
          <w:marLeft w:val="640"/>
          <w:marRight w:val="0"/>
          <w:marTop w:val="0"/>
          <w:marBottom w:val="0"/>
          <w:divBdr>
            <w:top w:val="none" w:sz="0" w:space="0" w:color="auto"/>
            <w:left w:val="none" w:sz="0" w:space="0" w:color="auto"/>
            <w:bottom w:val="none" w:sz="0" w:space="0" w:color="auto"/>
            <w:right w:val="none" w:sz="0" w:space="0" w:color="auto"/>
          </w:divBdr>
        </w:div>
        <w:div w:id="2122988301">
          <w:marLeft w:val="640"/>
          <w:marRight w:val="0"/>
          <w:marTop w:val="0"/>
          <w:marBottom w:val="0"/>
          <w:divBdr>
            <w:top w:val="none" w:sz="0" w:space="0" w:color="auto"/>
            <w:left w:val="none" w:sz="0" w:space="0" w:color="auto"/>
            <w:bottom w:val="none" w:sz="0" w:space="0" w:color="auto"/>
            <w:right w:val="none" w:sz="0" w:space="0" w:color="auto"/>
          </w:divBdr>
        </w:div>
        <w:div w:id="1684547441">
          <w:marLeft w:val="640"/>
          <w:marRight w:val="0"/>
          <w:marTop w:val="0"/>
          <w:marBottom w:val="0"/>
          <w:divBdr>
            <w:top w:val="none" w:sz="0" w:space="0" w:color="auto"/>
            <w:left w:val="none" w:sz="0" w:space="0" w:color="auto"/>
            <w:bottom w:val="none" w:sz="0" w:space="0" w:color="auto"/>
            <w:right w:val="none" w:sz="0" w:space="0" w:color="auto"/>
          </w:divBdr>
        </w:div>
        <w:div w:id="463935817">
          <w:marLeft w:val="640"/>
          <w:marRight w:val="0"/>
          <w:marTop w:val="0"/>
          <w:marBottom w:val="0"/>
          <w:divBdr>
            <w:top w:val="none" w:sz="0" w:space="0" w:color="auto"/>
            <w:left w:val="none" w:sz="0" w:space="0" w:color="auto"/>
            <w:bottom w:val="none" w:sz="0" w:space="0" w:color="auto"/>
            <w:right w:val="none" w:sz="0" w:space="0" w:color="auto"/>
          </w:divBdr>
        </w:div>
        <w:div w:id="424571389">
          <w:marLeft w:val="640"/>
          <w:marRight w:val="0"/>
          <w:marTop w:val="0"/>
          <w:marBottom w:val="0"/>
          <w:divBdr>
            <w:top w:val="none" w:sz="0" w:space="0" w:color="auto"/>
            <w:left w:val="none" w:sz="0" w:space="0" w:color="auto"/>
            <w:bottom w:val="none" w:sz="0" w:space="0" w:color="auto"/>
            <w:right w:val="none" w:sz="0" w:space="0" w:color="auto"/>
          </w:divBdr>
        </w:div>
        <w:div w:id="1439108080">
          <w:marLeft w:val="640"/>
          <w:marRight w:val="0"/>
          <w:marTop w:val="0"/>
          <w:marBottom w:val="0"/>
          <w:divBdr>
            <w:top w:val="none" w:sz="0" w:space="0" w:color="auto"/>
            <w:left w:val="none" w:sz="0" w:space="0" w:color="auto"/>
            <w:bottom w:val="none" w:sz="0" w:space="0" w:color="auto"/>
            <w:right w:val="none" w:sz="0" w:space="0" w:color="auto"/>
          </w:divBdr>
        </w:div>
        <w:div w:id="680858359">
          <w:marLeft w:val="640"/>
          <w:marRight w:val="0"/>
          <w:marTop w:val="0"/>
          <w:marBottom w:val="0"/>
          <w:divBdr>
            <w:top w:val="none" w:sz="0" w:space="0" w:color="auto"/>
            <w:left w:val="none" w:sz="0" w:space="0" w:color="auto"/>
            <w:bottom w:val="none" w:sz="0" w:space="0" w:color="auto"/>
            <w:right w:val="none" w:sz="0" w:space="0" w:color="auto"/>
          </w:divBdr>
        </w:div>
        <w:div w:id="561720940">
          <w:marLeft w:val="640"/>
          <w:marRight w:val="0"/>
          <w:marTop w:val="0"/>
          <w:marBottom w:val="0"/>
          <w:divBdr>
            <w:top w:val="none" w:sz="0" w:space="0" w:color="auto"/>
            <w:left w:val="none" w:sz="0" w:space="0" w:color="auto"/>
            <w:bottom w:val="none" w:sz="0" w:space="0" w:color="auto"/>
            <w:right w:val="none" w:sz="0" w:space="0" w:color="auto"/>
          </w:divBdr>
        </w:div>
        <w:div w:id="28923544">
          <w:marLeft w:val="640"/>
          <w:marRight w:val="0"/>
          <w:marTop w:val="0"/>
          <w:marBottom w:val="0"/>
          <w:divBdr>
            <w:top w:val="none" w:sz="0" w:space="0" w:color="auto"/>
            <w:left w:val="none" w:sz="0" w:space="0" w:color="auto"/>
            <w:bottom w:val="none" w:sz="0" w:space="0" w:color="auto"/>
            <w:right w:val="none" w:sz="0" w:space="0" w:color="auto"/>
          </w:divBdr>
        </w:div>
        <w:div w:id="2074423975">
          <w:marLeft w:val="640"/>
          <w:marRight w:val="0"/>
          <w:marTop w:val="0"/>
          <w:marBottom w:val="0"/>
          <w:divBdr>
            <w:top w:val="none" w:sz="0" w:space="0" w:color="auto"/>
            <w:left w:val="none" w:sz="0" w:space="0" w:color="auto"/>
            <w:bottom w:val="none" w:sz="0" w:space="0" w:color="auto"/>
            <w:right w:val="none" w:sz="0" w:space="0" w:color="auto"/>
          </w:divBdr>
        </w:div>
        <w:div w:id="1499690489">
          <w:marLeft w:val="640"/>
          <w:marRight w:val="0"/>
          <w:marTop w:val="0"/>
          <w:marBottom w:val="0"/>
          <w:divBdr>
            <w:top w:val="none" w:sz="0" w:space="0" w:color="auto"/>
            <w:left w:val="none" w:sz="0" w:space="0" w:color="auto"/>
            <w:bottom w:val="none" w:sz="0" w:space="0" w:color="auto"/>
            <w:right w:val="none" w:sz="0" w:space="0" w:color="auto"/>
          </w:divBdr>
        </w:div>
        <w:div w:id="1748379304">
          <w:marLeft w:val="640"/>
          <w:marRight w:val="0"/>
          <w:marTop w:val="0"/>
          <w:marBottom w:val="0"/>
          <w:divBdr>
            <w:top w:val="none" w:sz="0" w:space="0" w:color="auto"/>
            <w:left w:val="none" w:sz="0" w:space="0" w:color="auto"/>
            <w:bottom w:val="none" w:sz="0" w:space="0" w:color="auto"/>
            <w:right w:val="none" w:sz="0" w:space="0" w:color="auto"/>
          </w:divBdr>
        </w:div>
        <w:div w:id="587231390">
          <w:marLeft w:val="640"/>
          <w:marRight w:val="0"/>
          <w:marTop w:val="0"/>
          <w:marBottom w:val="0"/>
          <w:divBdr>
            <w:top w:val="none" w:sz="0" w:space="0" w:color="auto"/>
            <w:left w:val="none" w:sz="0" w:space="0" w:color="auto"/>
            <w:bottom w:val="none" w:sz="0" w:space="0" w:color="auto"/>
            <w:right w:val="none" w:sz="0" w:space="0" w:color="auto"/>
          </w:divBdr>
        </w:div>
        <w:div w:id="132261440">
          <w:marLeft w:val="640"/>
          <w:marRight w:val="0"/>
          <w:marTop w:val="0"/>
          <w:marBottom w:val="0"/>
          <w:divBdr>
            <w:top w:val="none" w:sz="0" w:space="0" w:color="auto"/>
            <w:left w:val="none" w:sz="0" w:space="0" w:color="auto"/>
            <w:bottom w:val="none" w:sz="0" w:space="0" w:color="auto"/>
            <w:right w:val="none" w:sz="0" w:space="0" w:color="auto"/>
          </w:divBdr>
        </w:div>
        <w:div w:id="201211864">
          <w:marLeft w:val="640"/>
          <w:marRight w:val="0"/>
          <w:marTop w:val="0"/>
          <w:marBottom w:val="0"/>
          <w:divBdr>
            <w:top w:val="none" w:sz="0" w:space="0" w:color="auto"/>
            <w:left w:val="none" w:sz="0" w:space="0" w:color="auto"/>
            <w:bottom w:val="none" w:sz="0" w:space="0" w:color="auto"/>
            <w:right w:val="none" w:sz="0" w:space="0" w:color="auto"/>
          </w:divBdr>
        </w:div>
      </w:divsChild>
    </w:div>
    <w:div w:id="43334307">
      <w:bodyDiv w:val="1"/>
      <w:marLeft w:val="0"/>
      <w:marRight w:val="0"/>
      <w:marTop w:val="0"/>
      <w:marBottom w:val="0"/>
      <w:divBdr>
        <w:top w:val="none" w:sz="0" w:space="0" w:color="auto"/>
        <w:left w:val="none" w:sz="0" w:space="0" w:color="auto"/>
        <w:bottom w:val="none" w:sz="0" w:space="0" w:color="auto"/>
        <w:right w:val="none" w:sz="0" w:space="0" w:color="auto"/>
      </w:divBdr>
      <w:divsChild>
        <w:div w:id="395476775">
          <w:marLeft w:val="640"/>
          <w:marRight w:val="0"/>
          <w:marTop w:val="0"/>
          <w:marBottom w:val="0"/>
          <w:divBdr>
            <w:top w:val="none" w:sz="0" w:space="0" w:color="auto"/>
            <w:left w:val="none" w:sz="0" w:space="0" w:color="auto"/>
            <w:bottom w:val="none" w:sz="0" w:space="0" w:color="auto"/>
            <w:right w:val="none" w:sz="0" w:space="0" w:color="auto"/>
          </w:divBdr>
        </w:div>
        <w:div w:id="779181512">
          <w:marLeft w:val="640"/>
          <w:marRight w:val="0"/>
          <w:marTop w:val="0"/>
          <w:marBottom w:val="0"/>
          <w:divBdr>
            <w:top w:val="none" w:sz="0" w:space="0" w:color="auto"/>
            <w:left w:val="none" w:sz="0" w:space="0" w:color="auto"/>
            <w:bottom w:val="none" w:sz="0" w:space="0" w:color="auto"/>
            <w:right w:val="none" w:sz="0" w:space="0" w:color="auto"/>
          </w:divBdr>
        </w:div>
        <w:div w:id="967932132">
          <w:marLeft w:val="640"/>
          <w:marRight w:val="0"/>
          <w:marTop w:val="0"/>
          <w:marBottom w:val="0"/>
          <w:divBdr>
            <w:top w:val="none" w:sz="0" w:space="0" w:color="auto"/>
            <w:left w:val="none" w:sz="0" w:space="0" w:color="auto"/>
            <w:bottom w:val="none" w:sz="0" w:space="0" w:color="auto"/>
            <w:right w:val="none" w:sz="0" w:space="0" w:color="auto"/>
          </w:divBdr>
        </w:div>
        <w:div w:id="819154240">
          <w:marLeft w:val="640"/>
          <w:marRight w:val="0"/>
          <w:marTop w:val="0"/>
          <w:marBottom w:val="0"/>
          <w:divBdr>
            <w:top w:val="none" w:sz="0" w:space="0" w:color="auto"/>
            <w:left w:val="none" w:sz="0" w:space="0" w:color="auto"/>
            <w:bottom w:val="none" w:sz="0" w:space="0" w:color="auto"/>
            <w:right w:val="none" w:sz="0" w:space="0" w:color="auto"/>
          </w:divBdr>
        </w:div>
        <w:div w:id="747382921">
          <w:marLeft w:val="640"/>
          <w:marRight w:val="0"/>
          <w:marTop w:val="0"/>
          <w:marBottom w:val="0"/>
          <w:divBdr>
            <w:top w:val="none" w:sz="0" w:space="0" w:color="auto"/>
            <w:left w:val="none" w:sz="0" w:space="0" w:color="auto"/>
            <w:bottom w:val="none" w:sz="0" w:space="0" w:color="auto"/>
            <w:right w:val="none" w:sz="0" w:space="0" w:color="auto"/>
          </w:divBdr>
        </w:div>
        <w:div w:id="1444838967">
          <w:marLeft w:val="640"/>
          <w:marRight w:val="0"/>
          <w:marTop w:val="0"/>
          <w:marBottom w:val="0"/>
          <w:divBdr>
            <w:top w:val="none" w:sz="0" w:space="0" w:color="auto"/>
            <w:left w:val="none" w:sz="0" w:space="0" w:color="auto"/>
            <w:bottom w:val="none" w:sz="0" w:space="0" w:color="auto"/>
            <w:right w:val="none" w:sz="0" w:space="0" w:color="auto"/>
          </w:divBdr>
        </w:div>
        <w:div w:id="1472164167">
          <w:marLeft w:val="640"/>
          <w:marRight w:val="0"/>
          <w:marTop w:val="0"/>
          <w:marBottom w:val="0"/>
          <w:divBdr>
            <w:top w:val="none" w:sz="0" w:space="0" w:color="auto"/>
            <w:left w:val="none" w:sz="0" w:space="0" w:color="auto"/>
            <w:bottom w:val="none" w:sz="0" w:space="0" w:color="auto"/>
            <w:right w:val="none" w:sz="0" w:space="0" w:color="auto"/>
          </w:divBdr>
        </w:div>
        <w:div w:id="531652124">
          <w:marLeft w:val="640"/>
          <w:marRight w:val="0"/>
          <w:marTop w:val="0"/>
          <w:marBottom w:val="0"/>
          <w:divBdr>
            <w:top w:val="none" w:sz="0" w:space="0" w:color="auto"/>
            <w:left w:val="none" w:sz="0" w:space="0" w:color="auto"/>
            <w:bottom w:val="none" w:sz="0" w:space="0" w:color="auto"/>
            <w:right w:val="none" w:sz="0" w:space="0" w:color="auto"/>
          </w:divBdr>
        </w:div>
        <w:div w:id="563830978">
          <w:marLeft w:val="640"/>
          <w:marRight w:val="0"/>
          <w:marTop w:val="0"/>
          <w:marBottom w:val="0"/>
          <w:divBdr>
            <w:top w:val="none" w:sz="0" w:space="0" w:color="auto"/>
            <w:left w:val="none" w:sz="0" w:space="0" w:color="auto"/>
            <w:bottom w:val="none" w:sz="0" w:space="0" w:color="auto"/>
            <w:right w:val="none" w:sz="0" w:space="0" w:color="auto"/>
          </w:divBdr>
        </w:div>
        <w:div w:id="164975813">
          <w:marLeft w:val="640"/>
          <w:marRight w:val="0"/>
          <w:marTop w:val="0"/>
          <w:marBottom w:val="0"/>
          <w:divBdr>
            <w:top w:val="none" w:sz="0" w:space="0" w:color="auto"/>
            <w:left w:val="none" w:sz="0" w:space="0" w:color="auto"/>
            <w:bottom w:val="none" w:sz="0" w:space="0" w:color="auto"/>
            <w:right w:val="none" w:sz="0" w:space="0" w:color="auto"/>
          </w:divBdr>
        </w:div>
        <w:div w:id="459421351">
          <w:marLeft w:val="640"/>
          <w:marRight w:val="0"/>
          <w:marTop w:val="0"/>
          <w:marBottom w:val="0"/>
          <w:divBdr>
            <w:top w:val="none" w:sz="0" w:space="0" w:color="auto"/>
            <w:left w:val="none" w:sz="0" w:space="0" w:color="auto"/>
            <w:bottom w:val="none" w:sz="0" w:space="0" w:color="auto"/>
            <w:right w:val="none" w:sz="0" w:space="0" w:color="auto"/>
          </w:divBdr>
        </w:div>
        <w:div w:id="71198630">
          <w:marLeft w:val="640"/>
          <w:marRight w:val="0"/>
          <w:marTop w:val="0"/>
          <w:marBottom w:val="0"/>
          <w:divBdr>
            <w:top w:val="none" w:sz="0" w:space="0" w:color="auto"/>
            <w:left w:val="none" w:sz="0" w:space="0" w:color="auto"/>
            <w:bottom w:val="none" w:sz="0" w:space="0" w:color="auto"/>
            <w:right w:val="none" w:sz="0" w:space="0" w:color="auto"/>
          </w:divBdr>
        </w:div>
        <w:div w:id="1158691499">
          <w:marLeft w:val="640"/>
          <w:marRight w:val="0"/>
          <w:marTop w:val="0"/>
          <w:marBottom w:val="0"/>
          <w:divBdr>
            <w:top w:val="none" w:sz="0" w:space="0" w:color="auto"/>
            <w:left w:val="none" w:sz="0" w:space="0" w:color="auto"/>
            <w:bottom w:val="none" w:sz="0" w:space="0" w:color="auto"/>
            <w:right w:val="none" w:sz="0" w:space="0" w:color="auto"/>
          </w:divBdr>
        </w:div>
        <w:div w:id="1957562728">
          <w:marLeft w:val="640"/>
          <w:marRight w:val="0"/>
          <w:marTop w:val="0"/>
          <w:marBottom w:val="0"/>
          <w:divBdr>
            <w:top w:val="none" w:sz="0" w:space="0" w:color="auto"/>
            <w:left w:val="none" w:sz="0" w:space="0" w:color="auto"/>
            <w:bottom w:val="none" w:sz="0" w:space="0" w:color="auto"/>
            <w:right w:val="none" w:sz="0" w:space="0" w:color="auto"/>
          </w:divBdr>
        </w:div>
        <w:div w:id="5332410">
          <w:marLeft w:val="640"/>
          <w:marRight w:val="0"/>
          <w:marTop w:val="0"/>
          <w:marBottom w:val="0"/>
          <w:divBdr>
            <w:top w:val="none" w:sz="0" w:space="0" w:color="auto"/>
            <w:left w:val="none" w:sz="0" w:space="0" w:color="auto"/>
            <w:bottom w:val="none" w:sz="0" w:space="0" w:color="auto"/>
            <w:right w:val="none" w:sz="0" w:space="0" w:color="auto"/>
          </w:divBdr>
        </w:div>
        <w:div w:id="880166952">
          <w:marLeft w:val="640"/>
          <w:marRight w:val="0"/>
          <w:marTop w:val="0"/>
          <w:marBottom w:val="0"/>
          <w:divBdr>
            <w:top w:val="none" w:sz="0" w:space="0" w:color="auto"/>
            <w:left w:val="none" w:sz="0" w:space="0" w:color="auto"/>
            <w:bottom w:val="none" w:sz="0" w:space="0" w:color="auto"/>
            <w:right w:val="none" w:sz="0" w:space="0" w:color="auto"/>
          </w:divBdr>
        </w:div>
        <w:div w:id="1699424186">
          <w:marLeft w:val="640"/>
          <w:marRight w:val="0"/>
          <w:marTop w:val="0"/>
          <w:marBottom w:val="0"/>
          <w:divBdr>
            <w:top w:val="none" w:sz="0" w:space="0" w:color="auto"/>
            <w:left w:val="none" w:sz="0" w:space="0" w:color="auto"/>
            <w:bottom w:val="none" w:sz="0" w:space="0" w:color="auto"/>
            <w:right w:val="none" w:sz="0" w:space="0" w:color="auto"/>
          </w:divBdr>
        </w:div>
        <w:div w:id="1054739893">
          <w:marLeft w:val="640"/>
          <w:marRight w:val="0"/>
          <w:marTop w:val="0"/>
          <w:marBottom w:val="0"/>
          <w:divBdr>
            <w:top w:val="none" w:sz="0" w:space="0" w:color="auto"/>
            <w:left w:val="none" w:sz="0" w:space="0" w:color="auto"/>
            <w:bottom w:val="none" w:sz="0" w:space="0" w:color="auto"/>
            <w:right w:val="none" w:sz="0" w:space="0" w:color="auto"/>
          </w:divBdr>
        </w:div>
        <w:div w:id="65885467">
          <w:marLeft w:val="640"/>
          <w:marRight w:val="0"/>
          <w:marTop w:val="0"/>
          <w:marBottom w:val="0"/>
          <w:divBdr>
            <w:top w:val="none" w:sz="0" w:space="0" w:color="auto"/>
            <w:left w:val="none" w:sz="0" w:space="0" w:color="auto"/>
            <w:bottom w:val="none" w:sz="0" w:space="0" w:color="auto"/>
            <w:right w:val="none" w:sz="0" w:space="0" w:color="auto"/>
          </w:divBdr>
        </w:div>
        <w:div w:id="1750075158">
          <w:marLeft w:val="640"/>
          <w:marRight w:val="0"/>
          <w:marTop w:val="0"/>
          <w:marBottom w:val="0"/>
          <w:divBdr>
            <w:top w:val="none" w:sz="0" w:space="0" w:color="auto"/>
            <w:left w:val="none" w:sz="0" w:space="0" w:color="auto"/>
            <w:bottom w:val="none" w:sz="0" w:space="0" w:color="auto"/>
            <w:right w:val="none" w:sz="0" w:space="0" w:color="auto"/>
          </w:divBdr>
        </w:div>
        <w:div w:id="55057486">
          <w:marLeft w:val="640"/>
          <w:marRight w:val="0"/>
          <w:marTop w:val="0"/>
          <w:marBottom w:val="0"/>
          <w:divBdr>
            <w:top w:val="none" w:sz="0" w:space="0" w:color="auto"/>
            <w:left w:val="none" w:sz="0" w:space="0" w:color="auto"/>
            <w:bottom w:val="none" w:sz="0" w:space="0" w:color="auto"/>
            <w:right w:val="none" w:sz="0" w:space="0" w:color="auto"/>
          </w:divBdr>
        </w:div>
        <w:div w:id="1006132416">
          <w:marLeft w:val="640"/>
          <w:marRight w:val="0"/>
          <w:marTop w:val="0"/>
          <w:marBottom w:val="0"/>
          <w:divBdr>
            <w:top w:val="none" w:sz="0" w:space="0" w:color="auto"/>
            <w:left w:val="none" w:sz="0" w:space="0" w:color="auto"/>
            <w:bottom w:val="none" w:sz="0" w:space="0" w:color="auto"/>
            <w:right w:val="none" w:sz="0" w:space="0" w:color="auto"/>
          </w:divBdr>
        </w:div>
        <w:div w:id="485635484">
          <w:marLeft w:val="640"/>
          <w:marRight w:val="0"/>
          <w:marTop w:val="0"/>
          <w:marBottom w:val="0"/>
          <w:divBdr>
            <w:top w:val="none" w:sz="0" w:space="0" w:color="auto"/>
            <w:left w:val="none" w:sz="0" w:space="0" w:color="auto"/>
            <w:bottom w:val="none" w:sz="0" w:space="0" w:color="auto"/>
            <w:right w:val="none" w:sz="0" w:space="0" w:color="auto"/>
          </w:divBdr>
        </w:div>
        <w:div w:id="41247757">
          <w:marLeft w:val="640"/>
          <w:marRight w:val="0"/>
          <w:marTop w:val="0"/>
          <w:marBottom w:val="0"/>
          <w:divBdr>
            <w:top w:val="none" w:sz="0" w:space="0" w:color="auto"/>
            <w:left w:val="none" w:sz="0" w:space="0" w:color="auto"/>
            <w:bottom w:val="none" w:sz="0" w:space="0" w:color="auto"/>
            <w:right w:val="none" w:sz="0" w:space="0" w:color="auto"/>
          </w:divBdr>
        </w:div>
        <w:div w:id="1476795430">
          <w:marLeft w:val="640"/>
          <w:marRight w:val="0"/>
          <w:marTop w:val="0"/>
          <w:marBottom w:val="0"/>
          <w:divBdr>
            <w:top w:val="none" w:sz="0" w:space="0" w:color="auto"/>
            <w:left w:val="none" w:sz="0" w:space="0" w:color="auto"/>
            <w:bottom w:val="none" w:sz="0" w:space="0" w:color="auto"/>
            <w:right w:val="none" w:sz="0" w:space="0" w:color="auto"/>
          </w:divBdr>
        </w:div>
        <w:div w:id="572396159">
          <w:marLeft w:val="640"/>
          <w:marRight w:val="0"/>
          <w:marTop w:val="0"/>
          <w:marBottom w:val="0"/>
          <w:divBdr>
            <w:top w:val="none" w:sz="0" w:space="0" w:color="auto"/>
            <w:left w:val="none" w:sz="0" w:space="0" w:color="auto"/>
            <w:bottom w:val="none" w:sz="0" w:space="0" w:color="auto"/>
            <w:right w:val="none" w:sz="0" w:space="0" w:color="auto"/>
          </w:divBdr>
        </w:div>
        <w:div w:id="818300878">
          <w:marLeft w:val="640"/>
          <w:marRight w:val="0"/>
          <w:marTop w:val="0"/>
          <w:marBottom w:val="0"/>
          <w:divBdr>
            <w:top w:val="none" w:sz="0" w:space="0" w:color="auto"/>
            <w:left w:val="none" w:sz="0" w:space="0" w:color="auto"/>
            <w:bottom w:val="none" w:sz="0" w:space="0" w:color="auto"/>
            <w:right w:val="none" w:sz="0" w:space="0" w:color="auto"/>
          </w:divBdr>
        </w:div>
        <w:div w:id="698287203">
          <w:marLeft w:val="640"/>
          <w:marRight w:val="0"/>
          <w:marTop w:val="0"/>
          <w:marBottom w:val="0"/>
          <w:divBdr>
            <w:top w:val="none" w:sz="0" w:space="0" w:color="auto"/>
            <w:left w:val="none" w:sz="0" w:space="0" w:color="auto"/>
            <w:bottom w:val="none" w:sz="0" w:space="0" w:color="auto"/>
            <w:right w:val="none" w:sz="0" w:space="0" w:color="auto"/>
          </w:divBdr>
        </w:div>
        <w:div w:id="1236623037">
          <w:marLeft w:val="640"/>
          <w:marRight w:val="0"/>
          <w:marTop w:val="0"/>
          <w:marBottom w:val="0"/>
          <w:divBdr>
            <w:top w:val="none" w:sz="0" w:space="0" w:color="auto"/>
            <w:left w:val="none" w:sz="0" w:space="0" w:color="auto"/>
            <w:bottom w:val="none" w:sz="0" w:space="0" w:color="auto"/>
            <w:right w:val="none" w:sz="0" w:space="0" w:color="auto"/>
          </w:divBdr>
        </w:div>
        <w:div w:id="1859733537">
          <w:marLeft w:val="640"/>
          <w:marRight w:val="0"/>
          <w:marTop w:val="0"/>
          <w:marBottom w:val="0"/>
          <w:divBdr>
            <w:top w:val="none" w:sz="0" w:space="0" w:color="auto"/>
            <w:left w:val="none" w:sz="0" w:space="0" w:color="auto"/>
            <w:bottom w:val="none" w:sz="0" w:space="0" w:color="auto"/>
            <w:right w:val="none" w:sz="0" w:space="0" w:color="auto"/>
          </w:divBdr>
        </w:div>
        <w:div w:id="1233735653">
          <w:marLeft w:val="640"/>
          <w:marRight w:val="0"/>
          <w:marTop w:val="0"/>
          <w:marBottom w:val="0"/>
          <w:divBdr>
            <w:top w:val="none" w:sz="0" w:space="0" w:color="auto"/>
            <w:left w:val="none" w:sz="0" w:space="0" w:color="auto"/>
            <w:bottom w:val="none" w:sz="0" w:space="0" w:color="auto"/>
            <w:right w:val="none" w:sz="0" w:space="0" w:color="auto"/>
          </w:divBdr>
        </w:div>
        <w:div w:id="522937085">
          <w:marLeft w:val="640"/>
          <w:marRight w:val="0"/>
          <w:marTop w:val="0"/>
          <w:marBottom w:val="0"/>
          <w:divBdr>
            <w:top w:val="none" w:sz="0" w:space="0" w:color="auto"/>
            <w:left w:val="none" w:sz="0" w:space="0" w:color="auto"/>
            <w:bottom w:val="none" w:sz="0" w:space="0" w:color="auto"/>
            <w:right w:val="none" w:sz="0" w:space="0" w:color="auto"/>
          </w:divBdr>
        </w:div>
        <w:div w:id="705954292">
          <w:marLeft w:val="640"/>
          <w:marRight w:val="0"/>
          <w:marTop w:val="0"/>
          <w:marBottom w:val="0"/>
          <w:divBdr>
            <w:top w:val="none" w:sz="0" w:space="0" w:color="auto"/>
            <w:left w:val="none" w:sz="0" w:space="0" w:color="auto"/>
            <w:bottom w:val="none" w:sz="0" w:space="0" w:color="auto"/>
            <w:right w:val="none" w:sz="0" w:space="0" w:color="auto"/>
          </w:divBdr>
        </w:div>
        <w:div w:id="1080516757">
          <w:marLeft w:val="640"/>
          <w:marRight w:val="0"/>
          <w:marTop w:val="0"/>
          <w:marBottom w:val="0"/>
          <w:divBdr>
            <w:top w:val="none" w:sz="0" w:space="0" w:color="auto"/>
            <w:left w:val="none" w:sz="0" w:space="0" w:color="auto"/>
            <w:bottom w:val="none" w:sz="0" w:space="0" w:color="auto"/>
            <w:right w:val="none" w:sz="0" w:space="0" w:color="auto"/>
          </w:divBdr>
        </w:div>
        <w:div w:id="2044675295">
          <w:marLeft w:val="640"/>
          <w:marRight w:val="0"/>
          <w:marTop w:val="0"/>
          <w:marBottom w:val="0"/>
          <w:divBdr>
            <w:top w:val="none" w:sz="0" w:space="0" w:color="auto"/>
            <w:left w:val="none" w:sz="0" w:space="0" w:color="auto"/>
            <w:bottom w:val="none" w:sz="0" w:space="0" w:color="auto"/>
            <w:right w:val="none" w:sz="0" w:space="0" w:color="auto"/>
          </w:divBdr>
        </w:div>
        <w:div w:id="555817466">
          <w:marLeft w:val="640"/>
          <w:marRight w:val="0"/>
          <w:marTop w:val="0"/>
          <w:marBottom w:val="0"/>
          <w:divBdr>
            <w:top w:val="none" w:sz="0" w:space="0" w:color="auto"/>
            <w:left w:val="none" w:sz="0" w:space="0" w:color="auto"/>
            <w:bottom w:val="none" w:sz="0" w:space="0" w:color="auto"/>
            <w:right w:val="none" w:sz="0" w:space="0" w:color="auto"/>
          </w:divBdr>
        </w:div>
        <w:div w:id="584806699">
          <w:marLeft w:val="640"/>
          <w:marRight w:val="0"/>
          <w:marTop w:val="0"/>
          <w:marBottom w:val="0"/>
          <w:divBdr>
            <w:top w:val="none" w:sz="0" w:space="0" w:color="auto"/>
            <w:left w:val="none" w:sz="0" w:space="0" w:color="auto"/>
            <w:bottom w:val="none" w:sz="0" w:space="0" w:color="auto"/>
            <w:right w:val="none" w:sz="0" w:space="0" w:color="auto"/>
          </w:divBdr>
        </w:div>
        <w:div w:id="1232302726">
          <w:marLeft w:val="640"/>
          <w:marRight w:val="0"/>
          <w:marTop w:val="0"/>
          <w:marBottom w:val="0"/>
          <w:divBdr>
            <w:top w:val="none" w:sz="0" w:space="0" w:color="auto"/>
            <w:left w:val="none" w:sz="0" w:space="0" w:color="auto"/>
            <w:bottom w:val="none" w:sz="0" w:space="0" w:color="auto"/>
            <w:right w:val="none" w:sz="0" w:space="0" w:color="auto"/>
          </w:divBdr>
        </w:div>
        <w:div w:id="193079474">
          <w:marLeft w:val="640"/>
          <w:marRight w:val="0"/>
          <w:marTop w:val="0"/>
          <w:marBottom w:val="0"/>
          <w:divBdr>
            <w:top w:val="none" w:sz="0" w:space="0" w:color="auto"/>
            <w:left w:val="none" w:sz="0" w:space="0" w:color="auto"/>
            <w:bottom w:val="none" w:sz="0" w:space="0" w:color="auto"/>
            <w:right w:val="none" w:sz="0" w:space="0" w:color="auto"/>
          </w:divBdr>
        </w:div>
        <w:div w:id="679239072">
          <w:marLeft w:val="640"/>
          <w:marRight w:val="0"/>
          <w:marTop w:val="0"/>
          <w:marBottom w:val="0"/>
          <w:divBdr>
            <w:top w:val="none" w:sz="0" w:space="0" w:color="auto"/>
            <w:left w:val="none" w:sz="0" w:space="0" w:color="auto"/>
            <w:bottom w:val="none" w:sz="0" w:space="0" w:color="auto"/>
            <w:right w:val="none" w:sz="0" w:space="0" w:color="auto"/>
          </w:divBdr>
        </w:div>
        <w:div w:id="1977560672">
          <w:marLeft w:val="640"/>
          <w:marRight w:val="0"/>
          <w:marTop w:val="0"/>
          <w:marBottom w:val="0"/>
          <w:divBdr>
            <w:top w:val="none" w:sz="0" w:space="0" w:color="auto"/>
            <w:left w:val="none" w:sz="0" w:space="0" w:color="auto"/>
            <w:bottom w:val="none" w:sz="0" w:space="0" w:color="auto"/>
            <w:right w:val="none" w:sz="0" w:space="0" w:color="auto"/>
          </w:divBdr>
        </w:div>
        <w:div w:id="697044834">
          <w:marLeft w:val="640"/>
          <w:marRight w:val="0"/>
          <w:marTop w:val="0"/>
          <w:marBottom w:val="0"/>
          <w:divBdr>
            <w:top w:val="none" w:sz="0" w:space="0" w:color="auto"/>
            <w:left w:val="none" w:sz="0" w:space="0" w:color="auto"/>
            <w:bottom w:val="none" w:sz="0" w:space="0" w:color="auto"/>
            <w:right w:val="none" w:sz="0" w:space="0" w:color="auto"/>
          </w:divBdr>
        </w:div>
        <w:div w:id="1869486661">
          <w:marLeft w:val="640"/>
          <w:marRight w:val="0"/>
          <w:marTop w:val="0"/>
          <w:marBottom w:val="0"/>
          <w:divBdr>
            <w:top w:val="none" w:sz="0" w:space="0" w:color="auto"/>
            <w:left w:val="none" w:sz="0" w:space="0" w:color="auto"/>
            <w:bottom w:val="none" w:sz="0" w:space="0" w:color="auto"/>
            <w:right w:val="none" w:sz="0" w:space="0" w:color="auto"/>
          </w:divBdr>
        </w:div>
        <w:div w:id="1040664848">
          <w:marLeft w:val="640"/>
          <w:marRight w:val="0"/>
          <w:marTop w:val="0"/>
          <w:marBottom w:val="0"/>
          <w:divBdr>
            <w:top w:val="none" w:sz="0" w:space="0" w:color="auto"/>
            <w:left w:val="none" w:sz="0" w:space="0" w:color="auto"/>
            <w:bottom w:val="none" w:sz="0" w:space="0" w:color="auto"/>
            <w:right w:val="none" w:sz="0" w:space="0" w:color="auto"/>
          </w:divBdr>
        </w:div>
        <w:div w:id="1387997113">
          <w:marLeft w:val="640"/>
          <w:marRight w:val="0"/>
          <w:marTop w:val="0"/>
          <w:marBottom w:val="0"/>
          <w:divBdr>
            <w:top w:val="none" w:sz="0" w:space="0" w:color="auto"/>
            <w:left w:val="none" w:sz="0" w:space="0" w:color="auto"/>
            <w:bottom w:val="none" w:sz="0" w:space="0" w:color="auto"/>
            <w:right w:val="none" w:sz="0" w:space="0" w:color="auto"/>
          </w:divBdr>
        </w:div>
        <w:div w:id="1091467500">
          <w:marLeft w:val="640"/>
          <w:marRight w:val="0"/>
          <w:marTop w:val="0"/>
          <w:marBottom w:val="0"/>
          <w:divBdr>
            <w:top w:val="none" w:sz="0" w:space="0" w:color="auto"/>
            <w:left w:val="none" w:sz="0" w:space="0" w:color="auto"/>
            <w:bottom w:val="none" w:sz="0" w:space="0" w:color="auto"/>
            <w:right w:val="none" w:sz="0" w:space="0" w:color="auto"/>
          </w:divBdr>
        </w:div>
        <w:div w:id="1671637370">
          <w:marLeft w:val="640"/>
          <w:marRight w:val="0"/>
          <w:marTop w:val="0"/>
          <w:marBottom w:val="0"/>
          <w:divBdr>
            <w:top w:val="none" w:sz="0" w:space="0" w:color="auto"/>
            <w:left w:val="none" w:sz="0" w:space="0" w:color="auto"/>
            <w:bottom w:val="none" w:sz="0" w:space="0" w:color="auto"/>
            <w:right w:val="none" w:sz="0" w:space="0" w:color="auto"/>
          </w:divBdr>
        </w:div>
        <w:div w:id="1825124638">
          <w:marLeft w:val="640"/>
          <w:marRight w:val="0"/>
          <w:marTop w:val="0"/>
          <w:marBottom w:val="0"/>
          <w:divBdr>
            <w:top w:val="none" w:sz="0" w:space="0" w:color="auto"/>
            <w:left w:val="none" w:sz="0" w:space="0" w:color="auto"/>
            <w:bottom w:val="none" w:sz="0" w:space="0" w:color="auto"/>
            <w:right w:val="none" w:sz="0" w:space="0" w:color="auto"/>
          </w:divBdr>
        </w:div>
        <w:div w:id="138115962">
          <w:marLeft w:val="640"/>
          <w:marRight w:val="0"/>
          <w:marTop w:val="0"/>
          <w:marBottom w:val="0"/>
          <w:divBdr>
            <w:top w:val="none" w:sz="0" w:space="0" w:color="auto"/>
            <w:left w:val="none" w:sz="0" w:space="0" w:color="auto"/>
            <w:bottom w:val="none" w:sz="0" w:space="0" w:color="auto"/>
            <w:right w:val="none" w:sz="0" w:space="0" w:color="auto"/>
          </w:divBdr>
        </w:div>
        <w:div w:id="1239630809">
          <w:marLeft w:val="640"/>
          <w:marRight w:val="0"/>
          <w:marTop w:val="0"/>
          <w:marBottom w:val="0"/>
          <w:divBdr>
            <w:top w:val="none" w:sz="0" w:space="0" w:color="auto"/>
            <w:left w:val="none" w:sz="0" w:space="0" w:color="auto"/>
            <w:bottom w:val="none" w:sz="0" w:space="0" w:color="auto"/>
            <w:right w:val="none" w:sz="0" w:space="0" w:color="auto"/>
          </w:divBdr>
        </w:div>
        <w:div w:id="171267775">
          <w:marLeft w:val="640"/>
          <w:marRight w:val="0"/>
          <w:marTop w:val="0"/>
          <w:marBottom w:val="0"/>
          <w:divBdr>
            <w:top w:val="none" w:sz="0" w:space="0" w:color="auto"/>
            <w:left w:val="none" w:sz="0" w:space="0" w:color="auto"/>
            <w:bottom w:val="none" w:sz="0" w:space="0" w:color="auto"/>
            <w:right w:val="none" w:sz="0" w:space="0" w:color="auto"/>
          </w:divBdr>
        </w:div>
        <w:div w:id="1794252446">
          <w:marLeft w:val="640"/>
          <w:marRight w:val="0"/>
          <w:marTop w:val="0"/>
          <w:marBottom w:val="0"/>
          <w:divBdr>
            <w:top w:val="none" w:sz="0" w:space="0" w:color="auto"/>
            <w:left w:val="none" w:sz="0" w:space="0" w:color="auto"/>
            <w:bottom w:val="none" w:sz="0" w:space="0" w:color="auto"/>
            <w:right w:val="none" w:sz="0" w:space="0" w:color="auto"/>
          </w:divBdr>
        </w:div>
        <w:div w:id="1192261507">
          <w:marLeft w:val="640"/>
          <w:marRight w:val="0"/>
          <w:marTop w:val="0"/>
          <w:marBottom w:val="0"/>
          <w:divBdr>
            <w:top w:val="none" w:sz="0" w:space="0" w:color="auto"/>
            <w:left w:val="none" w:sz="0" w:space="0" w:color="auto"/>
            <w:bottom w:val="none" w:sz="0" w:space="0" w:color="auto"/>
            <w:right w:val="none" w:sz="0" w:space="0" w:color="auto"/>
          </w:divBdr>
        </w:div>
        <w:div w:id="68964550">
          <w:marLeft w:val="640"/>
          <w:marRight w:val="0"/>
          <w:marTop w:val="0"/>
          <w:marBottom w:val="0"/>
          <w:divBdr>
            <w:top w:val="none" w:sz="0" w:space="0" w:color="auto"/>
            <w:left w:val="none" w:sz="0" w:space="0" w:color="auto"/>
            <w:bottom w:val="none" w:sz="0" w:space="0" w:color="auto"/>
            <w:right w:val="none" w:sz="0" w:space="0" w:color="auto"/>
          </w:divBdr>
        </w:div>
        <w:div w:id="1324236997">
          <w:marLeft w:val="640"/>
          <w:marRight w:val="0"/>
          <w:marTop w:val="0"/>
          <w:marBottom w:val="0"/>
          <w:divBdr>
            <w:top w:val="none" w:sz="0" w:space="0" w:color="auto"/>
            <w:left w:val="none" w:sz="0" w:space="0" w:color="auto"/>
            <w:bottom w:val="none" w:sz="0" w:space="0" w:color="auto"/>
            <w:right w:val="none" w:sz="0" w:space="0" w:color="auto"/>
          </w:divBdr>
        </w:div>
        <w:div w:id="1508982757">
          <w:marLeft w:val="640"/>
          <w:marRight w:val="0"/>
          <w:marTop w:val="0"/>
          <w:marBottom w:val="0"/>
          <w:divBdr>
            <w:top w:val="none" w:sz="0" w:space="0" w:color="auto"/>
            <w:left w:val="none" w:sz="0" w:space="0" w:color="auto"/>
            <w:bottom w:val="none" w:sz="0" w:space="0" w:color="auto"/>
            <w:right w:val="none" w:sz="0" w:space="0" w:color="auto"/>
          </w:divBdr>
        </w:div>
        <w:div w:id="327095562">
          <w:marLeft w:val="640"/>
          <w:marRight w:val="0"/>
          <w:marTop w:val="0"/>
          <w:marBottom w:val="0"/>
          <w:divBdr>
            <w:top w:val="none" w:sz="0" w:space="0" w:color="auto"/>
            <w:left w:val="none" w:sz="0" w:space="0" w:color="auto"/>
            <w:bottom w:val="none" w:sz="0" w:space="0" w:color="auto"/>
            <w:right w:val="none" w:sz="0" w:space="0" w:color="auto"/>
          </w:divBdr>
        </w:div>
        <w:div w:id="1204824326">
          <w:marLeft w:val="640"/>
          <w:marRight w:val="0"/>
          <w:marTop w:val="0"/>
          <w:marBottom w:val="0"/>
          <w:divBdr>
            <w:top w:val="none" w:sz="0" w:space="0" w:color="auto"/>
            <w:left w:val="none" w:sz="0" w:space="0" w:color="auto"/>
            <w:bottom w:val="none" w:sz="0" w:space="0" w:color="auto"/>
            <w:right w:val="none" w:sz="0" w:space="0" w:color="auto"/>
          </w:divBdr>
        </w:div>
        <w:div w:id="2104181842">
          <w:marLeft w:val="640"/>
          <w:marRight w:val="0"/>
          <w:marTop w:val="0"/>
          <w:marBottom w:val="0"/>
          <w:divBdr>
            <w:top w:val="none" w:sz="0" w:space="0" w:color="auto"/>
            <w:left w:val="none" w:sz="0" w:space="0" w:color="auto"/>
            <w:bottom w:val="none" w:sz="0" w:space="0" w:color="auto"/>
            <w:right w:val="none" w:sz="0" w:space="0" w:color="auto"/>
          </w:divBdr>
        </w:div>
        <w:div w:id="1747654066">
          <w:marLeft w:val="640"/>
          <w:marRight w:val="0"/>
          <w:marTop w:val="0"/>
          <w:marBottom w:val="0"/>
          <w:divBdr>
            <w:top w:val="none" w:sz="0" w:space="0" w:color="auto"/>
            <w:left w:val="none" w:sz="0" w:space="0" w:color="auto"/>
            <w:bottom w:val="none" w:sz="0" w:space="0" w:color="auto"/>
            <w:right w:val="none" w:sz="0" w:space="0" w:color="auto"/>
          </w:divBdr>
        </w:div>
        <w:div w:id="280723290">
          <w:marLeft w:val="640"/>
          <w:marRight w:val="0"/>
          <w:marTop w:val="0"/>
          <w:marBottom w:val="0"/>
          <w:divBdr>
            <w:top w:val="none" w:sz="0" w:space="0" w:color="auto"/>
            <w:left w:val="none" w:sz="0" w:space="0" w:color="auto"/>
            <w:bottom w:val="none" w:sz="0" w:space="0" w:color="auto"/>
            <w:right w:val="none" w:sz="0" w:space="0" w:color="auto"/>
          </w:divBdr>
        </w:div>
        <w:div w:id="1174804823">
          <w:marLeft w:val="640"/>
          <w:marRight w:val="0"/>
          <w:marTop w:val="0"/>
          <w:marBottom w:val="0"/>
          <w:divBdr>
            <w:top w:val="none" w:sz="0" w:space="0" w:color="auto"/>
            <w:left w:val="none" w:sz="0" w:space="0" w:color="auto"/>
            <w:bottom w:val="none" w:sz="0" w:space="0" w:color="auto"/>
            <w:right w:val="none" w:sz="0" w:space="0" w:color="auto"/>
          </w:divBdr>
        </w:div>
        <w:div w:id="1639412724">
          <w:marLeft w:val="640"/>
          <w:marRight w:val="0"/>
          <w:marTop w:val="0"/>
          <w:marBottom w:val="0"/>
          <w:divBdr>
            <w:top w:val="none" w:sz="0" w:space="0" w:color="auto"/>
            <w:left w:val="none" w:sz="0" w:space="0" w:color="auto"/>
            <w:bottom w:val="none" w:sz="0" w:space="0" w:color="auto"/>
            <w:right w:val="none" w:sz="0" w:space="0" w:color="auto"/>
          </w:divBdr>
        </w:div>
        <w:div w:id="944075589">
          <w:marLeft w:val="640"/>
          <w:marRight w:val="0"/>
          <w:marTop w:val="0"/>
          <w:marBottom w:val="0"/>
          <w:divBdr>
            <w:top w:val="none" w:sz="0" w:space="0" w:color="auto"/>
            <w:left w:val="none" w:sz="0" w:space="0" w:color="auto"/>
            <w:bottom w:val="none" w:sz="0" w:space="0" w:color="auto"/>
            <w:right w:val="none" w:sz="0" w:space="0" w:color="auto"/>
          </w:divBdr>
        </w:div>
        <w:div w:id="845755663">
          <w:marLeft w:val="640"/>
          <w:marRight w:val="0"/>
          <w:marTop w:val="0"/>
          <w:marBottom w:val="0"/>
          <w:divBdr>
            <w:top w:val="none" w:sz="0" w:space="0" w:color="auto"/>
            <w:left w:val="none" w:sz="0" w:space="0" w:color="auto"/>
            <w:bottom w:val="none" w:sz="0" w:space="0" w:color="auto"/>
            <w:right w:val="none" w:sz="0" w:space="0" w:color="auto"/>
          </w:divBdr>
        </w:div>
        <w:div w:id="1564097395">
          <w:marLeft w:val="640"/>
          <w:marRight w:val="0"/>
          <w:marTop w:val="0"/>
          <w:marBottom w:val="0"/>
          <w:divBdr>
            <w:top w:val="none" w:sz="0" w:space="0" w:color="auto"/>
            <w:left w:val="none" w:sz="0" w:space="0" w:color="auto"/>
            <w:bottom w:val="none" w:sz="0" w:space="0" w:color="auto"/>
            <w:right w:val="none" w:sz="0" w:space="0" w:color="auto"/>
          </w:divBdr>
        </w:div>
        <w:div w:id="1290627168">
          <w:marLeft w:val="640"/>
          <w:marRight w:val="0"/>
          <w:marTop w:val="0"/>
          <w:marBottom w:val="0"/>
          <w:divBdr>
            <w:top w:val="none" w:sz="0" w:space="0" w:color="auto"/>
            <w:left w:val="none" w:sz="0" w:space="0" w:color="auto"/>
            <w:bottom w:val="none" w:sz="0" w:space="0" w:color="auto"/>
            <w:right w:val="none" w:sz="0" w:space="0" w:color="auto"/>
          </w:divBdr>
        </w:div>
        <w:div w:id="1710686845">
          <w:marLeft w:val="640"/>
          <w:marRight w:val="0"/>
          <w:marTop w:val="0"/>
          <w:marBottom w:val="0"/>
          <w:divBdr>
            <w:top w:val="none" w:sz="0" w:space="0" w:color="auto"/>
            <w:left w:val="none" w:sz="0" w:space="0" w:color="auto"/>
            <w:bottom w:val="none" w:sz="0" w:space="0" w:color="auto"/>
            <w:right w:val="none" w:sz="0" w:space="0" w:color="auto"/>
          </w:divBdr>
        </w:div>
        <w:div w:id="2081634923">
          <w:marLeft w:val="640"/>
          <w:marRight w:val="0"/>
          <w:marTop w:val="0"/>
          <w:marBottom w:val="0"/>
          <w:divBdr>
            <w:top w:val="none" w:sz="0" w:space="0" w:color="auto"/>
            <w:left w:val="none" w:sz="0" w:space="0" w:color="auto"/>
            <w:bottom w:val="none" w:sz="0" w:space="0" w:color="auto"/>
            <w:right w:val="none" w:sz="0" w:space="0" w:color="auto"/>
          </w:divBdr>
        </w:div>
        <w:div w:id="304087643">
          <w:marLeft w:val="640"/>
          <w:marRight w:val="0"/>
          <w:marTop w:val="0"/>
          <w:marBottom w:val="0"/>
          <w:divBdr>
            <w:top w:val="none" w:sz="0" w:space="0" w:color="auto"/>
            <w:left w:val="none" w:sz="0" w:space="0" w:color="auto"/>
            <w:bottom w:val="none" w:sz="0" w:space="0" w:color="auto"/>
            <w:right w:val="none" w:sz="0" w:space="0" w:color="auto"/>
          </w:divBdr>
        </w:div>
        <w:div w:id="2045445043">
          <w:marLeft w:val="640"/>
          <w:marRight w:val="0"/>
          <w:marTop w:val="0"/>
          <w:marBottom w:val="0"/>
          <w:divBdr>
            <w:top w:val="none" w:sz="0" w:space="0" w:color="auto"/>
            <w:left w:val="none" w:sz="0" w:space="0" w:color="auto"/>
            <w:bottom w:val="none" w:sz="0" w:space="0" w:color="auto"/>
            <w:right w:val="none" w:sz="0" w:space="0" w:color="auto"/>
          </w:divBdr>
        </w:div>
        <w:div w:id="751002383">
          <w:marLeft w:val="640"/>
          <w:marRight w:val="0"/>
          <w:marTop w:val="0"/>
          <w:marBottom w:val="0"/>
          <w:divBdr>
            <w:top w:val="none" w:sz="0" w:space="0" w:color="auto"/>
            <w:left w:val="none" w:sz="0" w:space="0" w:color="auto"/>
            <w:bottom w:val="none" w:sz="0" w:space="0" w:color="auto"/>
            <w:right w:val="none" w:sz="0" w:space="0" w:color="auto"/>
          </w:divBdr>
        </w:div>
        <w:div w:id="1280455670">
          <w:marLeft w:val="640"/>
          <w:marRight w:val="0"/>
          <w:marTop w:val="0"/>
          <w:marBottom w:val="0"/>
          <w:divBdr>
            <w:top w:val="none" w:sz="0" w:space="0" w:color="auto"/>
            <w:left w:val="none" w:sz="0" w:space="0" w:color="auto"/>
            <w:bottom w:val="none" w:sz="0" w:space="0" w:color="auto"/>
            <w:right w:val="none" w:sz="0" w:space="0" w:color="auto"/>
          </w:divBdr>
        </w:div>
        <w:div w:id="1577548440">
          <w:marLeft w:val="640"/>
          <w:marRight w:val="0"/>
          <w:marTop w:val="0"/>
          <w:marBottom w:val="0"/>
          <w:divBdr>
            <w:top w:val="none" w:sz="0" w:space="0" w:color="auto"/>
            <w:left w:val="none" w:sz="0" w:space="0" w:color="auto"/>
            <w:bottom w:val="none" w:sz="0" w:space="0" w:color="auto"/>
            <w:right w:val="none" w:sz="0" w:space="0" w:color="auto"/>
          </w:divBdr>
        </w:div>
        <w:div w:id="761218973">
          <w:marLeft w:val="640"/>
          <w:marRight w:val="0"/>
          <w:marTop w:val="0"/>
          <w:marBottom w:val="0"/>
          <w:divBdr>
            <w:top w:val="none" w:sz="0" w:space="0" w:color="auto"/>
            <w:left w:val="none" w:sz="0" w:space="0" w:color="auto"/>
            <w:bottom w:val="none" w:sz="0" w:space="0" w:color="auto"/>
            <w:right w:val="none" w:sz="0" w:space="0" w:color="auto"/>
          </w:divBdr>
        </w:div>
        <w:div w:id="1034843453">
          <w:marLeft w:val="640"/>
          <w:marRight w:val="0"/>
          <w:marTop w:val="0"/>
          <w:marBottom w:val="0"/>
          <w:divBdr>
            <w:top w:val="none" w:sz="0" w:space="0" w:color="auto"/>
            <w:left w:val="none" w:sz="0" w:space="0" w:color="auto"/>
            <w:bottom w:val="none" w:sz="0" w:space="0" w:color="auto"/>
            <w:right w:val="none" w:sz="0" w:space="0" w:color="auto"/>
          </w:divBdr>
        </w:div>
        <w:div w:id="1093622356">
          <w:marLeft w:val="640"/>
          <w:marRight w:val="0"/>
          <w:marTop w:val="0"/>
          <w:marBottom w:val="0"/>
          <w:divBdr>
            <w:top w:val="none" w:sz="0" w:space="0" w:color="auto"/>
            <w:left w:val="none" w:sz="0" w:space="0" w:color="auto"/>
            <w:bottom w:val="none" w:sz="0" w:space="0" w:color="auto"/>
            <w:right w:val="none" w:sz="0" w:space="0" w:color="auto"/>
          </w:divBdr>
        </w:div>
        <w:div w:id="189338457">
          <w:marLeft w:val="640"/>
          <w:marRight w:val="0"/>
          <w:marTop w:val="0"/>
          <w:marBottom w:val="0"/>
          <w:divBdr>
            <w:top w:val="none" w:sz="0" w:space="0" w:color="auto"/>
            <w:left w:val="none" w:sz="0" w:space="0" w:color="auto"/>
            <w:bottom w:val="none" w:sz="0" w:space="0" w:color="auto"/>
            <w:right w:val="none" w:sz="0" w:space="0" w:color="auto"/>
          </w:divBdr>
        </w:div>
        <w:div w:id="808522406">
          <w:marLeft w:val="640"/>
          <w:marRight w:val="0"/>
          <w:marTop w:val="0"/>
          <w:marBottom w:val="0"/>
          <w:divBdr>
            <w:top w:val="none" w:sz="0" w:space="0" w:color="auto"/>
            <w:left w:val="none" w:sz="0" w:space="0" w:color="auto"/>
            <w:bottom w:val="none" w:sz="0" w:space="0" w:color="auto"/>
            <w:right w:val="none" w:sz="0" w:space="0" w:color="auto"/>
          </w:divBdr>
        </w:div>
        <w:div w:id="5376572">
          <w:marLeft w:val="640"/>
          <w:marRight w:val="0"/>
          <w:marTop w:val="0"/>
          <w:marBottom w:val="0"/>
          <w:divBdr>
            <w:top w:val="none" w:sz="0" w:space="0" w:color="auto"/>
            <w:left w:val="none" w:sz="0" w:space="0" w:color="auto"/>
            <w:bottom w:val="none" w:sz="0" w:space="0" w:color="auto"/>
            <w:right w:val="none" w:sz="0" w:space="0" w:color="auto"/>
          </w:divBdr>
        </w:div>
        <w:div w:id="367293967">
          <w:marLeft w:val="640"/>
          <w:marRight w:val="0"/>
          <w:marTop w:val="0"/>
          <w:marBottom w:val="0"/>
          <w:divBdr>
            <w:top w:val="none" w:sz="0" w:space="0" w:color="auto"/>
            <w:left w:val="none" w:sz="0" w:space="0" w:color="auto"/>
            <w:bottom w:val="none" w:sz="0" w:space="0" w:color="auto"/>
            <w:right w:val="none" w:sz="0" w:space="0" w:color="auto"/>
          </w:divBdr>
        </w:div>
        <w:div w:id="381903063">
          <w:marLeft w:val="640"/>
          <w:marRight w:val="0"/>
          <w:marTop w:val="0"/>
          <w:marBottom w:val="0"/>
          <w:divBdr>
            <w:top w:val="none" w:sz="0" w:space="0" w:color="auto"/>
            <w:left w:val="none" w:sz="0" w:space="0" w:color="auto"/>
            <w:bottom w:val="none" w:sz="0" w:space="0" w:color="auto"/>
            <w:right w:val="none" w:sz="0" w:space="0" w:color="auto"/>
          </w:divBdr>
        </w:div>
        <w:div w:id="1937441581">
          <w:marLeft w:val="640"/>
          <w:marRight w:val="0"/>
          <w:marTop w:val="0"/>
          <w:marBottom w:val="0"/>
          <w:divBdr>
            <w:top w:val="none" w:sz="0" w:space="0" w:color="auto"/>
            <w:left w:val="none" w:sz="0" w:space="0" w:color="auto"/>
            <w:bottom w:val="none" w:sz="0" w:space="0" w:color="auto"/>
            <w:right w:val="none" w:sz="0" w:space="0" w:color="auto"/>
          </w:divBdr>
        </w:div>
        <w:div w:id="315691705">
          <w:marLeft w:val="640"/>
          <w:marRight w:val="0"/>
          <w:marTop w:val="0"/>
          <w:marBottom w:val="0"/>
          <w:divBdr>
            <w:top w:val="none" w:sz="0" w:space="0" w:color="auto"/>
            <w:left w:val="none" w:sz="0" w:space="0" w:color="auto"/>
            <w:bottom w:val="none" w:sz="0" w:space="0" w:color="auto"/>
            <w:right w:val="none" w:sz="0" w:space="0" w:color="auto"/>
          </w:divBdr>
        </w:div>
        <w:div w:id="1541553352">
          <w:marLeft w:val="640"/>
          <w:marRight w:val="0"/>
          <w:marTop w:val="0"/>
          <w:marBottom w:val="0"/>
          <w:divBdr>
            <w:top w:val="none" w:sz="0" w:space="0" w:color="auto"/>
            <w:left w:val="none" w:sz="0" w:space="0" w:color="auto"/>
            <w:bottom w:val="none" w:sz="0" w:space="0" w:color="auto"/>
            <w:right w:val="none" w:sz="0" w:space="0" w:color="auto"/>
          </w:divBdr>
        </w:div>
        <w:div w:id="42800791">
          <w:marLeft w:val="640"/>
          <w:marRight w:val="0"/>
          <w:marTop w:val="0"/>
          <w:marBottom w:val="0"/>
          <w:divBdr>
            <w:top w:val="none" w:sz="0" w:space="0" w:color="auto"/>
            <w:left w:val="none" w:sz="0" w:space="0" w:color="auto"/>
            <w:bottom w:val="none" w:sz="0" w:space="0" w:color="auto"/>
            <w:right w:val="none" w:sz="0" w:space="0" w:color="auto"/>
          </w:divBdr>
        </w:div>
        <w:div w:id="1025056219">
          <w:marLeft w:val="640"/>
          <w:marRight w:val="0"/>
          <w:marTop w:val="0"/>
          <w:marBottom w:val="0"/>
          <w:divBdr>
            <w:top w:val="none" w:sz="0" w:space="0" w:color="auto"/>
            <w:left w:val="none" w:sz="0" w:space="0" w:color="auto"/>
            <w:bottom w:val="none" w:sz="0" w:space="0" w:color="auto"/>
            <w:right w:val="none" w:sz="0" w:space="0" w:color="auto"/>
          </w:divBdr>
        </w:div>
        <w:div w:id="823282836">
          <w:marLeft w:val="640"/>
          <w:marRight w:val="0"/>
          <w:marTop w:val="0"/>
          <w:marBottom w:val="0"/>
          <w:divBdr>
            <w:top w:val="none" w:sz="0" w:space="0" w:color="auto"/>
            <w:left w:val="none" w:sz="0" w:space="0" w:color="auto"/>
            <w:bottom w:val="none" w:sz="0" w:space="0" w:color="auto"/>
            <w:right w:val="none" w:sz="0" w:space="0" w:color="auto"/>
          </w:divBdr>
        </w:div>
        <w:div w:id="1935044034">
          <w:marLeft w:val="640"/>
          <w:marRight w:val="0"/>
          <w:marTop w:val="0"/>
          <w:marBottom w:val="0"/>
          <w:divBdr>
            <w:top w:val="none" w:sz="0" w:space="0" w:color="auto"/>
            <w:left w:val="none" w:sz="0" w:space="0" w:color="auto"/>
            <w:bottom w:val="none" w:sz="0" w:space="0" w:color="auto"/>
            <w:right w:val="none" w:sz="0" w:space="0" w:color="auto"/>
          </w:divBdr>
        </w:div>
        <w:div w:id="1422213295">
          <w:marLeft w:val="640"/>
          <w:marRight w:val="0"/>
          <w:marTop w:val="0"/>
          <w:marBottom w:val="0"/>
          <w:divBdr>
            <w:top w:val="none" w:sz="0" w:space="0" w:color="auto"/>
            <w:left w:val="none" w:sz="0" w:space="0" w:color="auto"/>
            <w:bottom w:val="none" w:sz="0" w:space="0" w:color="auto"/>
            <w:right w:val="none" w:sz="0" w:space="0" w:color="auto"/>
          </w:divBdr>
        </w:div>
        <w:div w:id="2056343928">
          <w:marLeft w:val="640"/>
          <w:marRight w:val="0"/>
          <w:marTop w:val="0"/>
          <w:marBottom w:val="0"/>
          <w:divBdr>
            <w:top w:val="none" w:sz="0" w:space="0" w:color="auto"/>
            <w:left w:val="none" w:sz="0" w:space="0" w:color="auto"/>
            <w:bottom w:val="none" w:sz="0" w:space="0" w:color="auto"/>
            <w:right w:val="none" w:sz="0" w:space="0" w:color="auto"/>
          </w:divBdr>
        </w:div>
        <w:div w:id="21827661">
          <w:marLeft w:val="640"/>
          <w:marRight w:val="0"/>
          <w:marTop w:val="0"/>
          <w:marBottom w:val="0"/>
          <w:divBdr>
            <w:top w:val="none" w:sz="0" w:space="0" w:color="auto"/>
            <w:left w:val="none" w:sz="0" w:space="0" w:color="auto"/>
            <w:bottom w:val="none" w:sz="0" w:space="0" w:color="auto"/>
            <w:right w:val="none" w:sz="0" w:space="0" w:color="auto"/>
          </w:divBdr>
        </w:div>
        <w:div w:id="1863663372">
          <w:marLeft w:val="640"/>
          <w:marRight w:val="0"/>
          <w:marTop w:val="0"/>
          <w:marBottom w:val="0"/>
          <w:divBdr>
            <w:top w:val="none" w:sz="0" w:space="0" w:color="auto"/>
            <w:left w:val="none" w:sz="0" w:space="0" w:color="auto"/>
            <w:bottom w:val="none" w:sz="0" w:space="0" w:color="auto"/>
            <w:right w:val="none" w:sz="0" w:space="0" w:color="auto"/>
          </w:divBdr>
        </w:div>
        <w:div w:id="942613489">
          <w:marLeft w:val="640"/>
          <w:marRight w:val="0"/>
          <w:marTop w:val="0"/>
          <w:marBottom w:val="0"/>
          <w:divBdr>
            <w:top w:val="none" w:sz="0" w:space="0" w:color="auto"/>
            <w:left w:val="none" w:sz="0" w:space="0" w:color="auto"/>
            <w:bottom w:val="none" w:sz="0" w:space="0" w:color="auto"/>
            <w:right w:val="none" w:sz="0" w:space="0" w:color="auto"/>
          </w:divBdr>
        </w:div>
        <w:div w:id="1218009141">
          <w:marLeft w:val="640"/>
          <w:marRight w:val="0"/>
          <w:marTop w:val="0"/>
          <w:marBottom w:val="0"/>
          <w:divBdr>
            <w:top w:val="none" w:sz="0" w:space="0" w:color="auto"/>
            <w:left w:val="none" w:sz="0" w:space="0" w:color="auto"/>
            <w:bottom w:val="none" w:sz="0" w:space="0" w:color="auto"/>
            <w:right w:val="none" w:sz="0" w:space="0" w:color="auto"/>
          </w:divBdr>
        </w:div>
        <w:div w:id="1354378514">
          <w:marLeft w:val="640"/>
          <w:marRight w:val="0"/>
          <w:marTop w:val="0"/>
          <w:marBottom w:val="0"/>
          <w:divBdr>
            <w:top w:val="none" w:sz="0" w:space="0" w:color="auto"/>
            <w:left w:val="none" w:sz="0" w:space="0" w:color="auto"/>
            <w:bottom w:val="none" w:sz="0" w:space="0" w:color="auto"/>
            <w:right w:val="none" w:sz="0" w:space="0" w:color="auto"/>
          </w:divBdr>
        </w:div>
        <w:div w:id="1326973027">
          <w:marLeft w:val="640"/>
          <w:marRight w:val="0"/>
          <w:marTop w:val="0"/>
          <w:marBottom w:val="0"/>
          <w:divBdr>
            <w:top w:val="none" w:sz="0" w:space="0" w:color="auto"/>
            <w:left w:val="none" w:sz="0" w:space="0" w:color="auto"/>
            <w:bottom w:val="none" w:sz="0" w:space="0" w:color="auto"/>
            <w:right w:val="none" w:sz="0" w:space="0" w:color="auto"/>
          </w:divBdr>
        </w:div>
        <w:div w:id="404184710">
          <w:marLeft w:val="640"/>
          <w:marRight w:val="0"/>
          <w:marTop w:val="0"/>
          <w:marBottom w:val="0"/>
          <w:divBdr>
            <w:top w:val="none" w:sz="0" w:space="0" w:color="auto"/>
            <w:left w:val="none" w:sz="0" w:space="0" w:color="auto"/>
            <w:bottom w:val="none" w:sz="0" w:space="0" w:color="auto"/>
            <w:right w:val="none" w:sz="0" w:space="0" w:color="auto"/>
          </w:divBdr>
        </w:div>
        <w:div w:id="2030597021">
          <w:marLeft w:val="640"/>
          <w:marRight w:val="0"/>
          <w:marTop w:val="0"/>
          <w:marBottom w:val="0"/>
          <w:divBdr>
            <w:top w:val="none" w:sz="0" w:space="0" w:color="auto"/>
            <w:left w:val="none" w:sz="0" w:space="0" w:color="auto"/>
            <w:bottom w:val="none" w:sz="0" w:space="0" w:color="auto"/>
            <w:right w:val="none" w:sz="0" w:space="0" w:color="auto"/>
          </w:divBdr>
        </w:div>
        <w:div w:id="734670175">
          <w:marLeft w:val="640"/>
          <w:marRight w:val="0"/>
          <w:marTop w:val="0"/>
          <w:marBottom w:val="0"/>
          <w:divBdr>
            <w:top w:val="none" w:sz="0" w:space="0" w:color="auto"/>
            <w:left w:val="none" w:sz="0" w:space="0" w:color="auto"/>
            <w:bottom w:val="none" w:sz="0" w:space="0" w:color="auto"/>
            <w:right w:val="none" w:sz="0" w:space="0" w:color="auto"/>
          </w:divBdr>
        </w:div>
        <w:div w:id="1284532098">
          <w:marLeft w:val="640"/>
          <w:marRight w:val="0"/>
          <w:marTop w:val="0"/>
          <w:marBottom w:val="0"/>
          <w:divBdr>
            <w:top w:val="none" w:sz="0" w:space="0" w:color="auto"/>
            <w:left w:val="none" w:sz="0" w:space="0" w:color="auto"/>
            <w:bottom w:val="none" w:sz="0" w:space="0" w:color="auto"/>
            <w:right w:val="none" w:sz="0" w:space="0" w:color="auto"/>
          </w:divBdr>
        </w:div>
        <w:div w:id="1381784800">
          <w:marLeft w:val="640"/>
          <w:marRight w:val="0"/>
          <w:marTop w:val="0"/>
          <w:marBottom w:val="0"/>
          <w:divBdr>
            <w:top w:val="none" w:sz="0" w:space="0" w:color="auto"/>
            <w:left w:val="none" w:sz="0" w:space="0" w:color="auto"/>
            <w:bottom w:val="none" w:sz="0" w:space="0" w:color="auto"/>
            <w:right w:val="none" w:sz="0" w:space="0" w:color="auto"/>
          </w:divBdr>
        </w:div>
        <w:div w:id="1104302337">
          <w:marLeft w:val="640"/>
          <w:marRight w:val="0"/>
          <w:marTop w:val="0"/>
          <w:marBottom w:val="0"/>
          <w:divBdr>
            <w:top w:val="none" w:sz="0" w:space="0" w:color="auto"/>
            <w:left w:val="none" w:sz="0" w:space="0" w:color="auto"/>
            <w:bottom w:val="none" w:sz="0" w:space="0" w:color="auto"/>
            <w:right w:val="none" w:sz="0" w:space="0" w:color="auto"/>
          </w:divBdr>
        </w:div>
        <w:div w:id="1452288750">
          <w:marLeft w:val="640"/>
          <w:marRight w:val="0"/>
          <w:marTop w:val="0"/>
          <w:marBottom w:val="0"/>
          <w:divBdr>
            <w:top w:val="none" w:sz="0" w:space="0" w:color="auto"/>
            <w:left w:val="none" w:sz="0" w:space="0" w:color="auto"/>
            <w:bottom w:val="none" w:sz="0" w:space="0" w:color="auto"/>
            <w:right w:val="none" w:sz="0" w:space="0" w:color="auto"/>
          </w:divBdr>
        </w:div>
        <w:div w:id="2082679778">
          <w:marLeft w:val="640"/>
          <w:marRight w:val="0"/>
          <w:marTop w:val="0"/>
          <w:marBottom w:val="0"/>
          <w:divBdr>
            <w:top w:val="none" w:sz="0" w:space="0" w:color="auto"/>
            <w:left w:val="none" w:sz="0" w:space="0" w:color="auto"/>
            <w:bottom w:val="none" w:sz="0" w:space="0" w:color="auto"/>
            <w:right w:val="none" w:sz="0" w:space="0" w:color="auto"/>
          </w:divBdr>
        </w:div>
        <w:div w:id="905334546">
          <w:marLeft w:val="640"/>
          <w:marRight w:val="0"/>
          <w:marTop w:val="0"/>
          <w:marBottom w:val="0"/>
          <w:divBdr>
            <w:top w:val="none" w:sz="0" w:space="0" w:color="auto"/>
            <w:left w:val="none" w:sz="0" w:space="0" w:color="auto"/>
            <w:bottom w:val="none" w:sz="0" w:space="0" w:color="auto"/>
            <w:right w:val="none" w:sz="0" w:space="0" w:color="auto"/>
          </w:divBdr>
        </w:div>
        <w:div w:id="1357728037">
          <w:marLeft w:val="640"/>
          <w:marRight w:val="0"/>
          <w:marTop w:val="0"/>
          <w:marBottom w:val="0"/>
          <w:divBdr>
            <w:top w:val="none" w:sz="0" w:space="0" w:color="auto"/>
            <w:left w:val="none" w:sz="0" w:space="0" w:color="auto"/>
            <w:bottom w:val="none" w:sz="0" w:space="0" w:color="auto"/>
            <w:right w:val="none" w:sz="0" w:space="0" w:color="auto"/>
          </w:divBdr>
        </w:div>
        <w:div w:id="186986729">
          <w:marLeft w:val="640"/>
          <w:marRight w:val="0"/>
          <w:marTop w:val="0"/>
          <w:marBottom w:val="0"/>
          <w:divBdr>
            <w:top w:val="none" w:sz="0" w:space="0" w:color="auto"/>
            <w:left w:val="none" w:sz="0" w:space="0" w:color="auto"/>
            <w:bottom w:val="none" w:sz="0" w:space="0" w:color="auto"/>
            <w:right w:val="none" w:sz="0" w:space="0" w:color="auto"/>
          </w:divBdr>
        </w:div>
        <w:div w:id="154954612">
          <w:marLeft w:val="640"/>
          <w:marRight w:val="0"/>
          <w:marTop w:val="0"/>
          <w:marBottom w:val="0"/>
          <w:divBdr>
            <w:top w:val="none" w:sz="0" w:space="0" w:color="auto"/>
            <w:left w:val="none" w:sz="0" w:space="0" w:color="auto"/>
            <w:bottom w:val="none" w:sz="0" w:space="0" w:color="auto"/>
            <w:right w:val="none" w:sz="0" w:space="0" w:color="auto"/>
          </w:divBdr>
        </w:div>
        <w:div w:id="2052996644">
          <w:marLeft w:val="640"/>
          <w:marRight w:val="0"/>
          <w:marTop w:val="0"/>
          <w:marBottom w:val="0"/>
          <w:divBdr>
            <w:top w:val="none" w:sz="0" w:space="0" w:color="auto"/>
            <w:left w:val="none" w:sz="0" w:space="0" w:color="auto"/>
            <w:bottom w:val="none" w:sz="0" w:space="0" w:color="auto"/>
            <w:right w:val="none" w:sz="0" w:space="0" w:color="auto"/>
          </w:divBdr>
        </w:div>
        <w:div w:id="1979454086">
          <w:marLeft w:val="640"/>
          <w:marRight w:val="0"/>
          <w:marTop w:val="0"/>
          <w:marBottom w:val="0"/>
          <w:divBdr>
            <w:top w:val="none" w:sz="0" w:space="0" w:color="auto"/>
            <w:left w:val="none" w:sz="0" w:space="0" w:color="auto"/>
            <w:bottom w:val="none" w:sz="0" w:space="0" w:color="auto"/>
            <w:right w:val="none" w:sz="0" w:space="0" w:color="auto"/>
          </w:divBdr>
        </w:div>
        <w:div w:id="1783104">
          <w:marLeft w:val="640"/>
          <w:marRight w:val="0"/>
          <w:marTop w:val="0"/>
          <w:marBottom w:val="0"/>
          <w:divBdr>
            <w:top w:val="none" w:sz="0" w:space="0" w:color="auto"/>
            <w:left w:val="none" w:sz="0" w:space="0" w:color="auto"/>
            <w:bottom w:val="none" w:sz="0" w:space="0" w:color="auto"/>
            <w:right w:val="none" w:sz="0" w:space="0" w:color="auto"/>
          </w:divBdr>
        </w:div>
        <w:div w:id="1459564929">
          <w:marLeft w:val="640"/>
          <w:marRight w:val="0"/>
          <w:marTop w:val="0"/>
          <w:marBottom w:val="0"/>
          <w:divBdr>
            <w:top w:val="none" w:sz="0" w:space="0" w:color="auto"/>
            <w:left w:val="none" w:sz="0" w:space="0" w:color="auto"/>
            <w:bottom w:val="none" w:sz="0" w:space="0" w:color="auto"/>
            <w:right w:val="none" w:sz="0" w:space="0" w:color="auto"/>
          </w:divBdr>
        </w:div>
        <w:div w:id="857891226">
          <w:marLeft w:val="640"/>
          <w:marRight w:val="0"/>
          <w:marTop w:val="0"/>
          <w:marBottom w:val="0"/>
          <w:divBdr>
            <w:top w:val="none" w:sz="0" w:space="0" w:color="auto"/>
            <w:left w:val="none" w:sz="0" w:space="0" w:color="auto"/>
            <w:bottom w:val="none" w:sz="0" w:space="0" w:color="auto"/>
            <w:right w:val="none" w:sz="0" w:space="0" w:color="auto"/>
          </w:divBdr>
        </w:div>
        <w:div w:id="596912682">
          <w:marLeft w:val="640"/>
          <w:marRight w:val="0"/>
          <w:marTop w:val="0"/>
          <w:marBottom w:val="0"/>
          <w:divBdr>
            <w:top w:val="none" w:sz="0" w:space="0" w:color="auto"/>
            <w:left w:val="none" w:sz="0" w:space="0" w:color="auto"/>
            <w:bottom w:val="none" w:sz="0" w:space="0" w:color="auto"/>
            <w:right w:val="none" w:sz="0" w:space="0" w:color="auto"/>
          </w:divBdr>
        </w:div>
        <w:div w:id="1356426786">
          <w:marLeft w:val="640"/>
          <w:marRight w:val="0"/>
          <w:marTop w:val="0"/>
          <w:marBottom w:val="0"/>
          <w:divBdr>
            <w:top w:val="none" w:sz="0" w:space="0" w:color="auto"/>
            <w:left w:val="none" w:sz="0" w:space="0" w:color="auto"/>
            <w:bottom w:val="none" w:sz="0" w:space="0" w:color="auto"/>
            <w:right w:val="none" w:sz="0" w:space="0" w:color="auto"/>
          </w:divBdr>
        </w:div>
        <w:div w:id="1789544124">
          <w:marLeft w:val="640"/>
          <w:marRight w:val="0"/>
          <w:marTop w:val="0"/>
          <w:marBottom w:val="0"/>
          <w:divBdr>
            <w:top w:val="none" w:sz="0" w:space="0" w:color="auto"/>
            <w:left w:val="none" w:sz="0" w:space="0" w:color="auto"/>
            <w:bottom w:val="none" w:sz="0" w:space="0" w:color="auto"/>
            <w:right w:val="none" w:sz="0" w:space="0" w:color="auto"/>
          </w:divBdr>
        </w:div>
        <w:div w:id="1701273485">
          <w:marLeft w:val="640"/>
          <w:marRight w:val="0"/>
          <w:marTop w:val="0"/>
          <w:marBottom w:val="0"/>
          <w:divBdr>
            <w:top w:val="none" w:sz="0" w:space="0" w:color="auto"/>
            <w:left w:val="none" w:sz="0" w:space="0" w:color="auto"/>
            <w:bottom w:val="none" w:sz="0" w:space="0" w:color="auto"/>
            <w:right w:val="none" w:sz="0" w:space="0" w:color="auto"/>
          </w:divBdr>
        </w:div>
        <w:div w:id="267007667">
          <w:marLeft w:val="640"/>
          <w:marRight w:val="0"/>
          <w:marTop w:val="0"/>
          <w:marBottom w:val="0"/>
          <w:divBdr>
            <w:top w:val="none" w:sz="0" w:space="0" w:color="auto"/>
            <w:left w:val="none" w:sz="0" w:space="0" w:color="auto"/>
            <w:bottom w:val="none" w:sz="0" w:space="0" w:color="auto"/>
            <w:right w:val="none" w:sz="0" w:space="0" w:color="auto"/>
          </w:divBdr>
        </w:div>
        <w:div w:id="798958735">
          <w:marLeft w:val="640"/>
          <w:marRight w:val="0"/>
          <w:marTop w:val="0"/>
          <w:marBottom w:val="0"/>
          <w:divBdr>
            <w:top w:val="none" w:sz="0" w:space="0" w:color="auto"/>
            <w:left w:val="none" w:sz="0" w:space="0" w:color="auto"/>
            <w:bottom w:val="none" w:sz="0" w:space="0" w:color="auto"/>
            <w:right w:val="none" w:sz="0" w:space="0" w:color="auto"/>
          </w:divBdr>
        </w:div>
        <w:div w:id="770855184">
          <w:marLeft w:val="640"/>
          <w:marRight w:val="0"/>
          <w:marTop w:val="0"/>
          <w:marBottom w:val="0"/>
          <w:divBdr>
            <w:top w:val="none" w:sz="0" w:space="0" w:color="auto"/>
            <w:left w:val="none" w:sz="0" w:space="0" w:color="auto"/>
            <w:bottom w:val="none" w:sz="0" w:space="0" w:color="auto"/>
            <w:right w:val="none" w:sz="0" w:space="0" w:color="auto"/>
          </w:divBdr>
        </w:div>
        <w:div w:id="416022828">
          <w:marLeft w:val="640"/>
          <w:marRight w:val="0"/>
          <w:marTop w:val="0"/>
          <w:marBottom w:val="0"/>
          <w:divBdr>
            <w:top w:val="none" w:sz="0" w:space="0" w:color="auto"/>
            <w:left w:val="none" w:sz="0" w:space="0" w:color="auto"/>
            <w:bottom w:val="none" w:sz="0" w:space="0" w:color="auto"/>
            <w:right w:val="none" w:sz="0" w:space="0" w:color="auto"/>
          </w:divBdr>
        </w:div>
        <w:div w:id="866214488">
          <w:marLeft w:val="640"/>
          <w:marRight w:val="0"/>
          <w:marTop w:val="0"/>
          <w:marBottom w:val="0"/>
          <w:divBdr>
            <w:top w:val="none" w:sz="0" w:space="0" w:color="auto"/>
            <w:left w:val="none" w:sz="0" w:space="0" w:color="auto"/>
            <w:bottom w:val="none" w:sz="0" w:space="0" w:color="auto"/>
            <w:right w:val="none" w:sz="0" w:space="0" w:color="auto"/>
          </w:divBdr>
        </w:div>
        <w:div w:id="1545483554">
          <w:marLeft w:val="640"/>
          <w:marRight w:val="0"/>
          <w:marTop w:val="0"/>
          <w:marBottom w:val="0"/>
          <w:divBdr>
            <w:top w:val="none" w:sz="0" w:space="0" w:color="auto"/>
            <w:left w:val="none" w:sz="0" w:space="0" w:color="auto"/>
            <w:bottom w:val="none" w:sz="0" w:space="0" w:color="auto"/>
            <w:right w:val="none" w:sz="0" w:space="0" w:color="auto"/>
          </w:divBdr>
        </w:div>
        <w:div w:id="1267811519">
          <w:marLeft w:val="640"/>
          <w:marRight w:val="0"/>
          <w:marTop w:val="0"/>
          <w:marBottom w:val="0"/>
          <w:divBdr>
            <w:top w:val="none" w:sz="0" w:space="0" w:color="auto"/>
            <w:left w:val="none" w:sz="0" w:space="0" w:color="auto"/>
            <w:bottom w:val="none" w:sz="0" w:space="0" w:color="auto"/>
            <w:right w:val="none" w:sz="0" w:space="0" w:color="auto"/>
          </w:divBdr>
        </w:div>
        <w:div w:id="763916841">
          <w:marLeft w:val="640"/>
          <w:marRight w:val="0"/>
          <w:marTop w:val="0"/>
          <w:marBottom w:val="0"/>
          <w:divBdr>
            <w:top w:val="none" w:sz="0" w:space="0" w:color="auto"/>
            <w:left w:val="none" w:sz="0" w:space="0" w:color="auto"/>
            <w:bottom w:val="none" w:sz="0" w:space="0" w:color="auto"/>
            <w:right w:val="none" w:sz="0" w:space="0" w:color="auto"/>
          </w:divBdr>
        </w:div>
        <w:div w:id="198470192">
          <w:marLeft w:val="640"/>
          <w:marRight w:val="0"/>
          <w:marTop w:val="0"/>
          <w:marBottom w:val="0"/>
          <w:divBdr>
            <w:top w:val="none" w:sz="0" w:space="0" w:color="auto"/>
            <w:left w:val="none" w:sz="0" w:space="0" w:color="auto"/>
            <w:bottom w:val="none" w:sz="0" w:space="0" w:color="auto"/>
            <w:right w:val="none" w:sz="0" w:space="0" w:color="auto"/>
          </w:divBdr>
        </w:div>
        <w:div w:id="637035792">
          <w:marLeft w:val="640"/>
          <w:marRight w:val="0"/>
          <w:marTop w:val="0"/>
          <w:marBottom w:val="0"/>
          <w:divBdr>
            <w:top w:val="none" w:sz="0" w:space="0" w:color="auto"/>
            <w:left w:val="none" w:sz="0" w:space="0" w:color="auto"/>
            <w:bottom w:val="none" w:sz="0" w:space="0" w:color="auto"/>
            <w:right w:val="none" w:sz="0" w:space="0" w:color="auto"/>
          </w:divBdr>
        </w:div>
        <w:div w:id="1171094032">
          <w:marLeft w:val="640"/>
          <w:marRight w:val="0"/>
          <w:marTop w:val="0"/>
          <w:marBottom w:val="0"/>
          <w:divBdr>
            <w:top w:val="none" w:sz="0" w:space="0" w:color="auto"/>
            <w:left w:val="none" w:sz="0" w:space="0" w:color="auto"/>
            <w:bottom w:val="none" w:sz="0" w:space="0" w:color="auto"/>
            <w:right w:val="none" w:sz="0" w:space="0" w:color="auto"/>
          </w:divBdr>
        </w:div>
        <w:div w:id="1015227149">
          <w:marLeft w:val="640"/>
          <w:marRight w:val="0"/>
          <w:marTop w:val="0"/>
          <w:marBottom w:val="0"/>
          <w:divBdr>
            <w:top w:val="none" w:sz="0" w:space="0" w:color="auto"/>
            <w:left w:val="none" w:sz="0" w:space="0" w:color="auto"/>
            <w:bottom w:val="none" w:sz="0" w:space="0" w:color="auto"/>
            <w:right w:val="none" w:sz="0" w:space="0" w:color="auto"/>
          </w:divBdr>
        </w:div>
        <w:div w:id="792286882">
          <w:marLeft w:val="640"/>
          <w:marRight w:val="0"/>
          <w:marTop w:val="0"/>
          <w:marBottom w:val="0"/>
          <w:divBdr>
            <w:top w:val="none" w:sz="0" w:space="0" w:color="auto"/>
            <w:left w:val="none" w:sz="0" w:space="0" w:color="auto"/>
            <w:bottom w:val="none" w:sz="0" w:space="0" w:color="auto"/>
            <w:right w:val="none" w:sz="0" w:space="0" w:color="auto"/>
          </w:divBdr>
        </w:div>
        <w:div w:id="1315450152">
          <w:marLeft w:val="640"/>
          <w:marRight w:val="0"/>
          <w:marTop w:val="0"/>
          <w:marBottom w:val="0"/>
          <w:divBdr>
            <w:top w:val="none" w:sz="0" w:space="0" w:color="auto"/>
            <w:left w:val="none" w:sz="0" w:space="0" w:color="auto"/>
            <w:bottom w:val="none" w:sz="0" w:space="0" w:color="auto"/>
            <w:right w:val="none" w:sz="0" w:space="0" w:color="auto"/>
          </w:divBdr>
        </w:div>
        <w:div w:id="1025011950">
          <w:marLeft w:val="640"/>
          <w:marRight w:val="0"/>
          <w:marTop w:val="0"/>
          <w:marBottom w:val="0"/>
          <w:divBdr>
            <w:top w:val="none" w:sz="0" w:space="0" w:color="auto"/>
            <w:left w:val="none" w:sz="0" w:space="0" w:color="auto"/>
            <w:bottom w:val="none" w:sz="0" w:space="0" w:color="auto"/>
            <w:right w:val="none" w:sz="0" w:space="0" w:color="auto"/>
          </w:divBdr>
        </w:div>
        <w:div w:id="1883906228">
          <w:marLeft w:val="640"/>
          <w:marRight w:val="0"/>
          <w:marTop w:val="0"/>
          <w:marBottom w:val="0"/>
          <w:divBdr>
            <w:top w:val="none" w:sz="0" w:space="0" w:color="auto"/>
            <w:left w:val="none" w:sz="0" w:space="0" w:color="auto"/>
            <w:bottom w:val="none" w:sz="0" w:space="0" w:color="auto"/>
            <w:right w:val="none" w:sz="0" w:space="0" w:color="auto"/>
          </w:divBdr>
        </w:div>
        <w:div w:id="1705599517">
          <w:marLeft w:val="640"/>
          <w:marRight w:val="0"/>
          <w:marTop w:val="0"/>
          <w:marBottom w:val="0"/>
          <w:divBdr>
            <w:top w:val="none" w:sz="0" w:space="0" w:color="auto"/>
            <w:left w:val="none" w:sz="0" w:space="0" w:color="auto"/>
            <w:bottom w:val="none" w:sz="0" w:space="0" w:color="auto"/>
            <w:right w:val="none" w:sz="0" w:space="0" w:color="auto"/>
          </w:divBdr>
        </w:div>
        <w:div w:id="2104260954">
          <w:marLeft w:val="640"/>
          <w:marRight w:val="0"/>
          <w:marTop w:val="0"/>
          <w:marBottom w:val="0"/>
          <w:divBdr>
            <w:top w:val="none" w:sz="0" w:space="0" w:color="auto"/>
            <w:left w:val="none" w:sz="0" w:space="0" w:color="auto"/>
            <w:bottom w:val="none" w:sz="0" w:space="0" w:color="auto"/>
            <w:right w:val="none" w:sz="0" w:space="0" w:color="auto"/>
          </w:divBdr>
        </w:div>
      </w:divsChild>
    </w:div>
    <w:div w:id="49351598">
      <w:bodyDiv w:val="1"/>
      <w:marLeft w:val="0"/>
      <w:marRight w:val="0"/>
      <w:marTop w:val="0"/>
      <w:marBottom w:val="0"/>
      <w:divBdr>
        <w:top w:val="none" w:sz="0" w:space="0" w:color="auto"/>
        <w:left w:val="none" w:sz="0" w:space="0" w:color="auto"/>
        <w:bottom w:val="none" w:sz="0" w:space="0" w:color="auto"/>
        <w:right w:val="none" w:sz="0" w:space="0" w:color="auto"/>
      </w:divBdr>
      <w:divsChild>
        <w:div w:id="449976381">
          <w:marLeft w:val="640"/>
          <w:marRight w:val="0"/>
          <w:marTop w:val="0"/>
          <w:marBottom w:val="0"/>
          <w:divBdr>
            <w:top w:val="none" w:sz="0" w:space="0" w:color="auto"/>
            <w:left w:val="none" w:sz="0" w:space="0" w:color="auto"/>
            <w:bottom w:val="none" w:sz="0" w:space="0" w:color="auto"/>
            <w:right w:val="none" w:sz="0" w:space="0" w:color="auto"/>
          </w:divBdr>
        </w:div>
        <w:div w:id="343285158">
          <w:marLeft w:val="640"/>
          <w:marRight w:val="0"/>
          <w:marTop w:val="0"/>
          <w:marBottom w:val="0"/>
          <w:divBdr>
            <w:top w:val="none" w:sz="0" w:space="0" w:color="auto"/>
            <w:left w:val="none" w:sz="0" w:space="0" w:color="auto"/>
            <w:bottom w:val="none" w:sz="0" w:space="0" w:color="auto"/>
            <w:right w:val="none" w:sz="0" w:space="0" w:color="auto"/>
          </w:divBdr>
        </w:div>
        <w:div w:id="388384636">
          <w:marLeft w:val="640"/>
          <w:marRight w:val="0"/>
          <w:marTop w:val="0"/>
          <w:marBottom w:val="0"/>
          <w:divBdr>
            <w:top w:val="none" w:sz="0" w:space="0" w:color="auto"/>
            <w:left w:val="none" w:sz="0" w:space="0" w:color="auto"/>
            <w:bottom w:val="none" w:sz="0" w:space="0" w:color="auto"/>
            <w:right w:val="none" w:sz="0" w:space="0" w:color="auto"/>
          </w:divBdr>
        </w:div>
        <w:div w:id="600458651">
          <w:marLeft w:val="640"/>
          <w:marRight w:val="0"/>
          <w:marTop w:val="0"/>
          <w:marBottom w:val="0"/>
          <w:divBdr>
            <w:top w:val="none" w:sz="0" w:space="0" w:color="auto"/>
            <w:left w:val="none" w:sz="0" w:space="0" w:color="auto"/>
            <w:bottom w:val="none" w:sz="0" w:space="0" w:color="auto"/>
            <w:right w:val="none" w:sz="0" w:space="0" w:color="auto"/>
          </w:divBdr>
        </w:div>
        <w:div w:id="1882474735">
          <w:marLeft w:val="640"/>
          <w:marRight w:val="0"/>
          <w:marTop w:val="0"/>
          <w:marBottom w:val="0"/>
          <w:divBdr>
            <w:top w:val="none" w:sz="0" w:space="0" w:color="auto"/>
            <w:left w:val="none" w:sz="0" w:space="0" w:color="auto"/>
            <w:bottom w:val="none" w:sz="0" w:space="0" w:color="auto"/>
            <w:right w:val="none" w:sz="0" w:space="0" w:color="auto"/>
          </w:divBdr>
        </w:div>
        <w:div w:id="926691495">
          <w:marLeft w:val="640"/>
          <w:marRight w:val="0"/>
          <w:marTop w:val="0"/>
          <w:marBottom w:val="0"/>
          <w:divBdr>
            <w:top w:val="none" w:sz="0" w:space="0" w:color="auto"/>
            <w:left w:val="none" w:sz="0" w:space="0" w:color="auto"/>
            <w:bottom w:val="none" w:sz="0" w:space="0" w:color="auto"/>
            <w:right w:val="none" w:sz="0" w:space="0" w:color="auto"/>
          </w:divBdr>
        </w:div>
        <w:div w:id="103968603">
          <w:marLeft w:val="640"/>
          <w:marRight w:val="0"/>
          <w:marTop w:val="0"/>
          <w:marBottom w:val="0"/>
          <w:divBdr>
            <w:top w:val="none" w:sz="0" w:space="0" w:color="auto"/>
            <w:left w:val="none" w:sz="0" w:space="0" w:color="auto"/>
            <w:bottom w:val="none" w:sz="0" w:space="0" w:color="auto"/>
            <w:right w:val="none" w:sz="0" w:space="0" w:color="auto"/>
          </w:divBdr>
        </w:div>
        <w:div w:id="2125924615">
          <w:marLeft w:val="640"/>
          <w:marRight w:val="0"/>
          <w:marTop w:val="0"/>
          <w:marBottom w:val="0"/>
          <w:divBdr>
            <w:top w:val="none" w:sz="0" w:space="0" w:color="auto"/>
            <w:left w:val="none" w:sz="0" w:space="0" w:color="auto"/>
            <w:bottom w:val="none" w:sz="0" w:space="0" w:color="auto"/>
            <w:right w:val="none" w:sz="0" w:space="0" w:color="auto"/>
          </w:divBdr>
        </w:div>
        <w:div w:id="2124960875">
          <w:marLeft w:val="640"/>
          <w:marRight w:val="0"/>
          <w:marTop w:val="0"/>
          <w:marBottom w:val="0"/>
          <w:divBdr>
            <w:top w:val="none" w:sz="0" w:space="0" w:color="auto"/>
            <w:left w:val="none" w:sz="0" w:space="0" w:color="auto"/>
            <w:bottom w:val="none" w:sz="0" w:space="0" w:color="auto"/>
            <w:right w:val="none" w:sz="0" w:space="0" w:color="auto"/>
          </w:divBdr>
        </w:div>
        <w:div w:id="418529165">
          <w:marLeft w:val="640"/>
          <w:marRight w:val="0"/>
          <w:marTop w:val="0"/>
          <w:marBottom w:val="0"/>
          <w:divBdr>
            <w:top w:val="none" w:sz="0" w:space="0" w:color="auto"/>
            <w:left w:val="none" w:sz="0" w:space="0" w:color="auto"/>
            <w:bottom w:val="none" w:sz="0" w:space="0" w:color="auto"/>
            <w:right w:val="none" w:sz="0" w:space="0" w:color="auto"/>
          </w:divBdr>
        </w:div>
        <w:div w:id="329719488">
          <w:marLeft w:val="640"/>
          <w:marRight w:val="0"/>
          <w:marTop w:val="0"/>
          <w:marBottom w:val="0"/>
          <w:divBdr>
            <w:top w:val="none" w:sz="0" w:space="0" w:color="auto"/>
            <w:left w:val="none" w:sz="0" w:space="0" w:color="auto"/>
            <w:bottom w:val="none" w:sz="0" w:space="0" w:color="auto"/>
            <w:right w:val="none" w:sz="0" w:space="0" w:color="auto"/>
          </w:divBdr>
        </w:div>
        <w:div w:id="1025135016">
          <w:marLeft w:val="640"/>
          <w:marRight w:val="0"/>
          <w:marTop w:val="0"/>
          <w:marBottom w:val="0"/>
          <w:divBdr>
            <w:top w:val="none" w:sz="0" w:space="0" w:color="auto"/>
            <w:left w:val="none" w:sz="0" w:space="0" w:color="auto"/>
            <w:bottom w:val="none" w:sz="0" w:space="0" w:color="auto"/>
            <w:right w:val="none" w:sz="0" w:space="0" w:color="auto"/>
          </w:divBdr>
        </w:div>
        <w:div w:id="2022050629">
          <w:marLeft w:val="640"/>
          <w:marRight w:val="0"/>
          <w:marTop w:val="0"/>
          <w:marBottom w:val="0"/>
          <w:divBdr>
            <w:top w:val="none" w:sz="0" w:space="0" w:color="auto"/>
            <w:left w:val="none" w:sz="0" w:space="0" w:color="auto"/>
            <w:bottom w:val="none" w:sz="0" w:space="0" w:color="auto"/>
            <w:right w:val="none" w:sz="0" w:space="0" w:color="auto"/>
          </w:divBdr>
        </w:div>
        <w:div w:id="1692099422">
          <w:marLeft w:val="640"/>
          <w:marRight w:val="0"/>
          <w:marTop w:val="0"/>
          <w:marBottom w:val="0"/>
          <w:divBdr>
            <w:top w:val="none" w:sz="0" w:space="0" w:color="auto"/>
            <w:left w:val="none" w:sz="0" w:space="0" w:color="auto"/>
            <w:bottom w:val="none" w:sz="0" w:space="0" w:color="auto"/>
            <w:right w:val="none" w:sz="0" w:space="0" w:color="auto"/>
          </w:divBdr>
        </w:div>
        <w:div w:id="1555308120">
          <w:marLeft w:val="640"/>
          <w:marRight w:val="0"/>
          <w:marTop w:val="0"/>
          <w:marBottom w:val="0"/>
          <w:divBdr>
            <w:top w:val="none" w:sz="0" w:space="0" w:color="auto"/>
            <w:left w:val="none" w:sz="0" w:space="0" w:color="auto"/>
            <w:bottom w:val="none" w:sz="0" w:space="0" w:color="auto"/>
            <w:right w:val="none" w:sz="0" w:space="0" w:color="auto"/>
          </w:divBdr>
        </w:div>
        <w:div w:id="903494264">
          <w:marLeft w:val="640"/>
          <w:marRight w:val="0"/>
          <w:marTop w:val="0"/>
          <w:marBottom w:val="0"/>
          <w:divBdr>
            <w:top w:val="none" w:sz="0" w:space="0" w:color="auto"/>
            <w:left w:val="none" w:sz="0" w:space="0" w:color="auto"/>
            <w:bottom w:val="none" w:sz="0" w:space="0" w:color="auto"/>
            <w:right w:val="none" w:sz="0" w:space="0" w:color="auto"/>
          </w:divBdr>
        </w:div>
        <w:div w:id="1469933629">
          <w:marLeft w:val="640"/>
          <w:marRight w:val="0"/>
          <w:marTop w:val="0"/>
          <w:marBottom w:val="0"/>
          <w:divBdr>
            <w:top w:val="none" w:sz="0" w:space="0" w:color="auto"/>
            <w:left w:val="none" w:sz="0" w:space="0" w:color="auto"/>
            <w:bottom w:val="none" w:sz="0" w:space="0" w:color="auto"/>
            <w:right w:val="none" w:sz="0" w:space="0" w:color="auto"/>
          </w:divBdr>
        </w:div>
        <w:div w:id="2015567149">
          <w:marLeft w:val="640"/>
          <w:marRight w:val="0"/>
          <w:marTop w:val="0"/>
          <w:marBottom w:val="0"/>
          <w:divBdr>
            <w:top w:val="none" w:sz="0" w:space="0" w:color="auto"/>
            <w:left w:val="none" w:sz="0" w:space="0" w:color="auto"/>
            <w:bottom w:val="none" w:sz="0" w:space="0" w:color="auto"/>
            <w:right w:val="none" w:sz="0" w:space="0" w:color="auto"/>
          </w:divBdr>
        </w:div>
        <w:div w:id="656954191">
          <w:marLeft w:val="640"/>
          <w:marRight w:val="0"/>
          <w:marTop w:val="0"/>
          <w:marBottom w:val="0"/>
          <w:divBdr>
            <w:top w:val="none" w:sz="0" w:space="0" w:color="auto"/>
            <w:left w:val="none" w:sz="0" w:space="0" w:color="auto"/>
            <w:bottom w:val="none" w:sz="0" w:space="0" w:color="auto"/>
            <w:right w:val="none" w:sz="0" w:space="0" w:color="auto"/>
          </w:divBdr>
        </w:div>
        <w:div w:id="1601644058">
          <w:marLeft w:val="640"/>
          <w:marRight w:val="0"/>
          <w:marTop w:val="0"/>
          <w:marBottom w:val="0"/>
          <w:divBdr>
            <w:top w:val="none" w:sz="0" w:space="0" w:color="auto"/>
            <w:left w:val="none" w:sz="0" w:space="0" w:color="auto"/>
            <w:bottom w:val="none" w:sz="0" w:space="0" w:color="auto"/>
            <w:right w:val="none" w:sz="0" w:space="0" w:color="auto"/>
          </w:divBdr>
        </w:div>
        <w:div w:id="2008514028">
          <w:marLeft w:val="640"/>
          <w:marRight w:val="0"/>
          <w:marTop w:val="0"/>
          <w:marBottom w:val="0"/>
          <w:divBdr>
            <w:top w:val="none" w:sz="0" w:space="0" w:color="auto"/>
            <w:left w:val="none" w:sz="0" w:space="0" w:color="auto"/>
            <w:bottom w:val="none" w:sz="0" w:space="0" w:color="auto"/>
            <w:right w:val="none" w:sz="0" w:space="0" w:color="auto"/>
          </w:divBdr>
        </w:div>
        <w:div w:id="1825779497">
          <w:marLeft w:val="640"/>
          <w:marRight w:val="0"/>
          <w:marTop w:val="0"/>
          <w:marBottom w:val="0"/>
          <w:divBdr>
            <w:top w:val="none" w:sz="0" w:space="0" w:color="auto"/>
            <w:left w:val="none" w:sz="0" w:space="0" w:color="auto"/>
            <w:bottom w:val="none" w:sz="0" w:space="0" w:color="auto"/>
            <w:right w:val="none" w:sz="0" w:space="0" w:color="auto"/>
          </w:divBdr>
        </w:div>
        <w:div w:id="1398822810">
          <w:marLeft w:val="640"/>
          <w:marRight w:val="0"/>
          <w:marTop w:val="0"/>
          <w:marBottom w:val="0"/>
          <w:divBdr>
            <w:top w:val="none" w:sz="0" w:space="0" w:color="auto"/>
            <w:left w:val="none" w:sz="0" w:space="0" w:color="auto"/>
            <w:bottom w:val="none" w:sz="0" w:space="0" w:color="auto"/>
            <w:right w:val="none" w:sz="0" w:space="0" w:color="auto"/>
          </w:divBdr>
        </w:div>
        <w:div w:id="609702649">
          <w:marLeft w:val="640"/>
          <w:marRight w:val="0"/>
          <w:marTop w:val="0"/>
          <w:marBottom w:val="0"/>
          <w:divBdr>
            <w:top w:val="none" w:sz="0" w:space="0" w:color="auto"/>
            <w:left w:val="none" w:sz="0" w:space="0" w:color="auto"/>
            <w:bottom w:val="none" w:sz="0" w:space="0" w:color="auto"/>
            <w:right w:val="none" w:sz="0" w:space="0" w:color="auto"/>
          </w:divBdr>
        </w:div>
        <w:div w:id="1469784082">
          <w:marLeft w:val="640"/>
          <w:marRight w:val="0"/>
          <w:marTop w:val="0"/>
          <w:marBottom w:val="0"/>
          <w:divBdr>
            <w:top w:val="none" w:sz="0" w:space="0" w:color="auto"/>
            <w:left w:val="none" w:sz="0" w:space="0" w:color="auto"/>
            <w:bottom w:val="none" w:sz="0" w:space="0" w:color="auto"/>
            <w:right w:val="none" w:sz="0" w:space="0" w:color="auto"/>
          </w:divBdr>
        </w:div>
        <w:div w:id="1700857505">
          <w:marLeft w:val="640"/>
          <w:marRight w:val="0"/>
          <w:marTop w:val="0"/>
          <w:marBottom w:val="0"/>
          <w:divBdr>
            <w:top w:val="none" w:sz="0" w:space="0" w:color="auto"/>
            <w:left w:val="none" w:sz="0" w:space="0" w:color="auto"/>
            <w:bottom w:val="none" w:sz="0" w:space="0" w:color="auto"/>
            <w:right w:val="none" w:sz="0" w:space="0" w:color="auto"/>
          </w:divBdr>
        </w:div>
        <w:div w:id="218789565">
          <w:marLeft w:val="640"/>
          <w:marRight w:val="0"/>
          <w:marTop w:val="0"/>
          <w:marBottom w:val="0"/>
          <w:divBdr>
            <w:top w:val="none" w:sz="0" w:space="0" w:color="auto"/>
            <w:left w:val="none" w:sz="0" w:space="0" w:color="auto"/>
            <w:bottom w:val="none" w:sz="0" w:space="0" w:color="auto"/>
            <w:right w:val="none" w:sz="0" w:space="0" w:color="auto"/>
          </w:divBdr>
        </w:div>
        <w:div w:id="380637586">
          <w:marLeft w:val="640"/>
          <w:marRight w:val="0"/>
          <w:marTop w:val="0"/>
          <w:marBottom w:val="0"/>
          <w:divBdr>
            <w:top w:val="none" w:sz="0" w:space="0" w:color="auto"/>
            <w:left w:val="none" w:sz="0" w:space="0" w:color="auto"/>
            <w:bottom w:val="none" w:sz="0" w:space="0" w:color="auto"/>
            <w:right w:val="none" w:sz="0" w:space="0" w:color="auto"/>
          </w:divBdr>
        </w:div>
        <w:div w:id="1329598343">
          <w:marLeft w:val="640"/>
          <w:marRight w:val="0"/>
          <w:marTop w:val="0"/>
          <w:marBottom w:val="0"/>
          <w:divBdr>
            <w:top w:val="none" w:sz="0" w:space="0" w:color="auto"/>
            <w:left w:val="none" w:sz="0" w:space="0" w:color="auto"/>
            <w:bottom w:val="none" w:sz="0" w:space="0" w:color="auto"/>
            <w:right w:val="none" w:sz="0" w:space="0" w:color="auto"/>
          </w:divBdr>
        </w:div>
        <w:div w:id="1782914045">
          <w:marLeft w:val="640"/>
          <w:marRight w:val="0"/>
          <w:marTop w:val="0"/>
          <w:marBottom w:val="0"/>
          <w:divBdr>
            <w:top w:val="none" w:sz="0" w:space="0" w:color="auto"/>
            <w:left w:val="none" w:sz="0" w:space="0" w:color="auto"/>
            <w:bottom w:val="none" w:sz="0" w:space="0" w:color="auto"/>
            <w:right w:val="none" w:sz="0" w:space="0" w:color="auto"/>
          </w:divBdr>
        </w:div>
        <w:div w:id="1483816946">
          <w:marLeft w:val="640"/>
          <w:marRight w:val="0"/>
          <w:marTop w:val="0"/>
          <w:marBottom w:val="0"/>
          <w:divBdr>
            <w:top w:val="none" w:sz="0" w:space="0" w:color="auto"/>
            <w:left w:val="none" w:sz="0" w:space="0" w:color="auto"/>
            <w:bottom w:val="none" w:sz="0" w:space="0" w:color="auto"/>
            <w:right w:val="none" w:sz="0" w:space="0" w:color="auto"/>
          </w:divBdr>
        </w:div>
        <w:div w:id="2025742838">
          <w:marLeft w:val="640"/>
          <w:marRight w:val="0"/>
          <w:marTop w:val="0"/>
          <w:marBottom w:val="0"/>
          <w:divBdr>
            <w:top w:val="none" w:sz="0" w:space="0" w:color="auto"/>
            <w:left w:val="none" w:sz="0" w:space="0" w:color="auto"/>
            <w:bottom w:val="none" w:sz="0" w:space="0" w:color="auto"/>
            <w:right w:val="none" w:sz="0" w:space="0" w:color="auto"/>
          </w:divBdr>
        </w:div>
        <w:div w:id="434322529">
          <w:marLeft w:val="640"/>
          <w:marRight w:val="0"/>
          <w:marTop w:val="0"/>
          <w:marBottom w:val="0"/>
          <w:divBdr>
            <w:top w:val="none" w:sz="0" w:space="0" w:color="auto"/>
            <w:left w:val="none" w:sz="0" w:space="0" w:color="auto"/>
            <w:bottom w:val="none" w:sz="0" w:space="0" w:color="auto"/>
            <w:right w:val="none" w:sz="0" w:space="0" w:color="auto"/>
          </w:divBdr>
        </w:div>
        <w:div w:id="568224922">
          <w:marLeft w:val="640"/>
          <w:marRight w:val="0"/>
          <w:marTop w:val="0"/>
          <w:marBottom w:val="0"/>
          <w:divBdr>
            <w:top w:val="none" w:sz="0" w:space="0" w:color="auto"/>
            <w:left w:val="none" w:sz="0" w:space="0" w:color="auto"/>
            <w:bottom w:val="none" w:sz="0" w:space="0" w:color="auto"/>
            <w:right w:val="none" w:sz="0" w:space="0" w:color="auto"/>
          </w:divBdr>
        </w:div>
        <w:div w:id="1690595565">
          <w:marLeft w:val="640"/>
          <w:marRight w:val="0"/>
          <w:marTop w:val="0"/>
          <w:marBottom w:val="0"/>
          <w:divBdr>
            <w:top w:val="none" w:sz="0" w:space="0" w:color="auto"/>
            <w:left w:val="none" w:sz="0" w:space="0" w:color="auto"/>
            <w:bottom w:val="none" w:sz="0" w:space="0" w:color="auto"/>
            <w:right w:val="none" w:sz="0" w:space="0" w:color="auto"/>
          </w:divBdr>
        </w:div>
        <w:div w:id="933786625">
          <w:marLeft w:val="640"/>
          <w:marRight w:val="0"/>
          <w:marTop w:val="0"/>
          <w:marBottom w:val="0"/>
          <w:divBdr>
            <w:top w:val="none" w:sz="0" w:space="0" w:color="auto"/>
            <w:left w:val="none" w:sz="0" w:space="0" w:color="auto"/>
            <w:bottom w:val="none" w:sz="0" w:space="0" w:color="auto"/>
            <w:right w:val="none" w:sz="0" w:space="0" w:color="auto"/>
          </w:divBdr>
        </w:div>
        <w:div w:id="1359502266">
          <w:marLeft w:val="640"/>
          <w:marRight w:val="0"/>
          <w:marTop w:val="0"/>
          <w:marBottom w:val="0"/>
          <w:divBdr>
            <w:top w:val="none" w:sz="0" w:space="0" w:color="auto"/>
            <w:left w:val="none" w:sz="0" w:space="0" w:color="auto"/>
            <w:bottom w:val="none" w:sz="0" w:space="0" w:color="auto"/>
            <w:right w:val="none" w:sz="0" w:space="0" w:color="auto"/>
          </w:divBdr>
        </w:div>
        <w:div w:id="375592684">
          <w:marLeft w:val="640"/>
          <w:marRight w:val="0"/>
          <w:marTop w:val="0"/>
          <w:marBottom w:val="0"/>
          <w:divBdr>
            <w:top w:val="none" w:sz="0" w:space="0" w:color="auto"/>
            <w:left w:val="none" w:sz="0" w:space="0" w:color="auto"/>
            <w:bottom w:val="none" w:sz="0" w:space="0" w:color="auto"/>
            <w:right w:val="none" w:sz="0" w:space="0" w:color="auto"/>
          </w:divBdr>
        </w:div>
        <w:div w:id="123735052">
          <w:marLeft w:val="640"/>
          <w:marRight w:val="0"/>
          <w:marTop w:val="0"/>
          <w:marBottom w:val="0"/>
          <w:divBdr>
            <w:top w:val="none" w:sz="0" w:space="0" w:color="auto"/>
            <w:left w:val="none" w:sz="0" w:space="0" w:color="auto"/>
            <w:bottom w:val="none" w:sz="0" w:space="0" w:color="auto"/>
            <w:right w:val="none" w:sz="0" w:space="0" w:color="auto"/>
          </w:divBdr>
        </w:div>
        <w:div w:id="2119373754">
          <w:marLeft w:val="640"/>
          <w:marRight w:val="0"/>
          <w:marTop w:val="0"/>
          <w:marBottom w:val="0"/>
          <w:divBdr>
            <w:top w:val="none" w:sz="0" w:space="0" w:color="auto"/>
            <w:left w:val="none" w:sz="0" w:space="0" w:color="auto"/>
            <w:bottom w:val="none" w:sz="0" w:space="0" w:color="auto"/>
            <w:right w:val="none" w:sz="0" w:space="0" w:color="auto"/>
          </w:divBdr>
        </w:div>
        <w:div w:id="526479873">
          <w:marLeft w:val="640"/>
          <w:marRight w:val="0"/>
          <w:marTop w:val="0"/>
          <w:marBottom w:val="0"/>
          <w:divBdr>
            <w:top w:val="none" w:sz="0" w:space="0" w:color="auto"/>
            <w:left w:val="none" w:sz="0" w:space="0" w:color="auto"/>
            <w:bottom w:val="none" w:sz="0" w:space="0" w:color="auto"/>
            <w:right w:val="none" w:sz="0" w:space="0" w:color="auto"/>
          </w:divBdr>
        </w:div>
        <w:div w:id="801270064">
          <w:marLeft w:val="640"/>
          <w:marRight w:val="0"/>
          <w:marTop w:val="0"/>
          <w:marBottom w:val="0"/>
          <w:divBdr>
            <w:top w:val="none" w:sz="0" w:space="0" w:color="auto"/>
            <w:left w:val="none" w:sz="0" w:space="0" w:color="auto"/>
            <w:bottom w:val="none" w:sz="0" w:space="0" w:color="auto"/>
            <w:right w:val="none" w:sz="0" w:space="0" w:color="auto"/>
          </w:divBdr>
        </w:div>
        <w:div w:id="656879786">
          <w:marLeft w:val="640"/>
          <w:marRight w:val="0"/>
          <w:marTop w:val="0"/>
          <w:marBottom w:val="0"/>
          <w:divBdr>
            <w:top w:val="none" w:sz="0" w:space="0" w:color="auto"/>
            <w:left w:val="none" w:sz="0" w:space="0" w:color="auto"/>
            <w:bottom w:val="none" w:sz="0" w:space="0" w:color="auto"/>
            <w:right w:val="none" w:sz="0" w:space="0" w:color="auto"/>
          </w:divBdr>
        </w:div>
        <w:div w:id="1557162480">
          <w:marLeft w:val="640"/>
          <w:marRight w:val="0"/>
          <w:marTop w:val="0"/>
          <w:marBottom w:val="0"/>
          <w:divBdr>
            <w:top w:val="none" w:sz="0" w:space="0" w:color="auto"/>
            <w:left w:val="none" w:sz="0" w:space="0" w:color="auto"/>
            <w:bottom w:val="none" w:sz="0" w:space="0" w:color="auto"/>
            <w:right w:val="none" w:sz="0" w:space="0" w:color="auto"/>
          </w:divBdr>
        </w:div>
        <w:div w:id="2077623381">
          <w:marLeft w:val="640"/>
          <w:marRight w:val="0"/>
          <w:marTop w:val="0"/>
          <w:marBottom w:val="0"/>
          <w:divBdr>
            <w:top w:val="none" w:sz="0" w:space="0" w:color="auto"/>
            <w:left w:val="none" w:sz="0" w:space="0" w:color="auto"/>
            <w:bottom w:val="none" w:sz="0" w:space="0" w:color="auto"/>
            <w:right w:val="none" w:sz="0" w:space="0" w:color="auto"/>
          </w:divBdr>
        </w:div>
        <w:div w:id="2146002913">
          <w:marLeft w:val="640"/>
          <w:marRight w:val="0"/>
          <w:marTop w:val="0"/>
          <w:marBottom w:val="0"/>
          <w:divBdr>
            <w:top w:val="none" w:sz="0" w:space="0" w:color="auto"/>
            <w:left w:val="none" w:sz="0" w:space="0" w:color="auto"/>
            <w:bottom w:val="none" w:sz="0" w:space="0" w:color="auto"/>
            <w:right w:val="none" w:sz="0" w:space="0" w:color="auto"/>
          </w:divBdr>
        </w:div>
        <w:div w:id="1566794301">
          <w:marLeft w:val="640"/>
          <w:marRight w:val="0"/>
          <w:marTop w:val="0"/>
          <w:marBottom w:val="0"/>
          <w:divBdr>
            <w:top w:val="none" w:sz="0" w:space="0" w:color="auto"/>
            <w:left w:val="none" w:sz="0" w:space="0" w:color="auto"/>
            <w:bottom w:val="none" w:sz="0" w:space="0" w:color="auto"/>
            <w:right w:val="none" w:sz="0" w:space="0" w:color="auto"/>
          </w:divBdr>
        </w:div>
        <w:div w:id="1031954037">
          <w:marLeft w:val="640"/>
          <w:marRight w:val="0"/>
          <w:marTop w:val="0"/>
          <w:marBottom w:val="0"/>
          <w:divBdr>
            <w:top w:val="none" w:sz="0" w:space="0" w:color="auto"/>
            <w:left w:val="none" w:sz="0" w:space="0" w:color="auto"/>
            <w:bottom w:val="none" w:sz="0" w:space="0" w:color="auto"/>
            <w:right w:val="none" w:sz="0" w:space="0" w:color="auto"/>
          </w:divBdr>
        </w:div>
        <w:div w:id="1695577302">
          <w:marLeft w:val="640"/>
          <w:marRight w:val="0"/>
          <w:marTop w:val="0"/>
          <w:marBottom w:val="0"/>
          <w:divBdr>
            <w:top w:val="none" w:sz="0" w:space="0" w:color="auto"/>
            <w:left w:val="none" w:sz="0" w:space="0" w:color="auto"/>
            <w:bottom w:val="none" w:sz="0" w:space="0" w:color="auto"/>
            <w:right w:val="none" w:sz="0" w:space="0" w:color="auto"/>
          </w:divBdr>
        </w:div>
        <w:div w:id="959452492">
          <w:marLeft w:val="640"/>
          <w:marRight w:val="0"/>
          <w:marTop w:val="0"/>
          <w:marBottom w:val="0"/>
          <w:divBdr>
            <w:top w:val="none" w:sz="0" w:space="0" w:color="auto"/>
            <w:left w:val="none" w:sz="0" w:space="0" w:color="auto"/>
            <w:bottom w:val="none" w:sz="0" w:space="0" w:color="auto"/>
            <w:right w:val="none" w:sz="0" w:space="0" w:color="auto"/>
          </w:divBdr>
        </w:div>
        <w:div w:id="976378946">
          <w:marLeft w:val="640"/>
          <w:marRight w:val="0"/>
          <w:marTop w:val="0"/>
          <w:marBottom w:val="0"/>
          <w:divBdr>
            <w:top w:val="none" w:sz="0" w:space="0" w:color="auto"/>
            <w:left w:val="none" w:sz="0" w:space="0" w:color="auto"/>
            <w:bottom w:val="none" w:sz="0" w:space="0" w:color="auto"/>
            <w:right w:val="none" w:sz="0" w:space="0" w:color="auto"/>
          </w:divBdr>
        </w:div>
        <w:div w:id="223953095">
          <w:marLeft w:val="640"/>
          <w:marRight w:val="0"/>
          <w:marTop w:val="0"/>
          <w:marBottom w:val="0"/>
          <w:divBdr>
            <w:top w:val="none" w:sz="0" w:space="0" w:color="auto"/>
            <w:left w:val="none" w:sz="0" w:space="0" w:color="auto"/>
            <w:bottom w:val="none" w:sz="0" w:space="0" w:color="auto"/>
            <w:right w:val="none" w:sz="0" w:space="0" w:color="auto"/>
          </w:divBdr>
        </w:div>
        <w:div w:id="1127965310">
          <w:marLeft w:val="640"/>
          <w:marRight w:val="0"/>
          <w:marTop w:val="0"/>
          <w:marBottom w:val="0"/>
          <w:divBdr>
            <w:top w:val="none" w:sz="0" w:space="0" w:color="auto"/>
            <w:left w:val="none" w:sz="0" w:space="0" w:color="auto"/>
            <w:bottom w:val="none" w:sz="0" w:space="0" w:color="auto"/>
            <w:right w:val="none" w:sz="0" w:space="0" w:color="auto"/>
          </w:divBdr>
        </w:div>
        <w:div w:id="500390497">
          <w:marLeft w:val="640"/>
          <w:marRight w:val="0"/>
          <w:marTop w:val="0"/>
          <w:marBottom w:val="0"/>
          <w:divBdr>
            <w:top w:val="none" w:sz="0" w:space="0" w:color="auto"/>
            <w:left w:val="none" w:sz="0" w:space="0" w:color="auto"/>
            <w:bottom w:val="none" w:sz="0" w:space="0" w:color="auto"/>
            <w:right w:val="none" w:sz="0" w:space="0" w:color="auto"/>
          </w:divBdr>
        </w:div>
        <w:div w:id="1670012683">
          <w:marLeft w:val="640"/>
          <w:marRight w:val="0"/>
          <w:marTop w:val="0"/>
          <w:marBottom w:val="0"/>
          <w:divBdr>
            <w:top w:val="none" w:sz="0" w:space="0" w:color="auto"/>
            <w:left w:val="none" w:sz="0" w:space="0" w:color="auto"/>
            <w:bottom w:val="none" w:sz="0" w:space="0" w:color="auto"/>
            <w:right w:val="none" w:sz="0" w:space="0" w:color="auto"/>
          </w:divBdr>
        </w:div>
        <w:div w:id="43334118">
          <w:marLeft w:val="640"/>
          <w:marRight w:val="0"/>
          <w:marTop w:val="0"/>
          <w:marBottom w:val="0"/>
          <w:divBdr>
            <w:top w:val="none" w:sz="0" w:space="0" w:color="auto"/>
            <w:left w:val="none" w:sz="0" w:space="0" w:color="auto"/>
            <w:bottom w:val="none" w:sz="0" w:space="0" w:color="auto"/>
            <w:right w:val="none" w:sz="0" w:space="0" w:color="auto"/>
          </w:divBdr>
        </w:div>
        <w:div w:id="947542105">
          <w:marLeft w:val="640"/>
          <w:marRight w:val="0"/>
          <w:marTop w:val="0"/>
          <w:marBottom w:val="0"/>
          <w:divBdr>
            <w:top w:val="none" w:sz="0" w:space="0" w:color="auto"/>
            <w:left w:val="none" w:sz="0" w:space="0" w:color="auto"/>
            <w:bottom w:val="none" w:sz="0" w:space="0" w:color="auto"/>
            <w:right w:val="none" w:sz="0" w:space="0" w:color="auto"/>
          </w:divBdr>
        </w:div>
        <w:div w:id="1372028166">
          <w:marLeft w:val="640"/>
          <w:marRight w:val="0"/>
          <w:marTop w:val="0"/>
          <w:marBottom w:val="0"/>
          <w:divBdr>
            <w:top w:val="none" w:sz="0" w:space="0" w:color="auto"/>
            <w:left w:val="none" w:sz="0" w:space="0" w:color="auto"/>
            <w:bottom w:val="none" w:sz="0" w:space="0" w:color="auto"/>
            <w:right w:val="none" w:sz="0" w:space="0" w:color="auto"/>
          </w:divBdr>
        </w:div>
        <w:div w:id="1038891056">
          <w:marLeft w:val="640"/>
          <w:marRight w:val="0"/>
          <w:marTop w:val="0"/>
          <w:marBottom w:val="0"/>
          <w:divBdr>
            <w:top w:val="none" w:sz="0" w:space="0" w:color="auto"/>
            <w:left w:val="none" w:sz="0" w:space="0" w:color="auto"/>
            <w:bottom w:val="none" w:sz="0" w:space="0" w:color="auto"/>
            <w:right w:val="none" w:sz="0" w:space="0" w:color="auto"/>
          </w:divBdr>
        </w:div>
        <w:div w:id="613563661">
          <w:marLeft w:val="640"/>
          <w:marRight w:val="0"/>
          <w:marTop w:val="0"/>
          <w:marBottom w:val="0"/>
          <w:divBdr>
            <w:top w:val="none" w:sz="0" w:space="0" w:color="auto"/>
            <w:left w:val="none" w:sz="0" w:space="0" w:color="auto"/>
            <w:bottom w:val="none" w:sz="0" w:space="0" w:color="auto"/>
            <w:right w:val="none" w:sz="0" w:space="0" w:color="auto"/>
          </w:divBdr>
        </w:div>
        <w:div w:id="667635847">
          <w:marLeft w:val="640"/>
          <w:marRight w:val="0"/>
          <w:marTop w:val="0"/>
          <w:marBottom w:val="0"/>
          <w:divBdr>
            <w:top w:val="none" w:sz="0" w:space="0" w:color="auto"/>
            <w:left w:val="none" w:sz="0" w:space="0" w:color="auto"/>
            <w:bottom w:val="none" w:sz="0" w:space="0" w:color="auto"/>
            <w:right w:val="none" w:sz="0" w:space="0" w:color="auto"/>
          </w:divBdr>
        </w:div>
        <w:div w:id="742335894">
          <w:marLeft w:val="640"/>
          <w:marRight w:val="0"/>
          <w:marTop w:val="0"/>
          <w:marBottom w:val="0"/>
          <w:divBdr>
            <w:top w:val="none" w:sz="0" w:space="0" w:color="auto"/>
            <w:left w:val="none" w:sz="0" w:space="0" w:color="auto"/>
            <w:bottom w:val="none" w:sz="0" w:space="0" w:color="auto"/>
            <w:right w:val="none" w:sz="0" w:space="0" w:color="auto"/>
          </w:divBdr>
        </w:div>
        <w:div w:id="457842480">
          <w:marLeft w:val="640"/>
          <w:marRight w:val="0"/>
          <w:marTop w:val="0"/>
          <w:marBottom w:val="0"/>
          <w:divBdr>
            <w:top w:val="none" w:sz="0" w:space="0" w:color="auto"/>
            <w:left w:val="none" w:sz="0" w:space="0" w:color="auto"/>
            <w:bottom w:val="none" w:sz="0" w:space="0" w:color="auto"/>
            <w:right w:val="none" w:sz="0" w:space="0" w:color="auto"/>
          </w:divBdr>
        </w:div>
        <w:div w:id="2005933813">
          <w:marLeft w:val="640"/>
          <w:marRight w:val="0"/>
          <w:marTop w:val="0"/>
          <w:marBottom w:val="0"/>
          <w:divBdr>
            <w:top w:val="none" w:sz="0" w:space="0" w:color="auto"/>
            <w:left w:val="none" w:sz="0" w:space="0" w:color="auto"/>
            <w:bottom w:val="none" w:sz="0" w:space="0" w:color="auto"/>
            <w:right w:val="none" w:sz="0" w:space="0" w:color="auto"/>
          </w:divBdr>
        </w:div>
        <w:div w:id="432239696">
          <w:marLeft w:val="640"/>
          <w:marRight w:val="0"/>
          <w:marTop w:val="0"/>
          <w:marBottom w:val="0"/>
          <w:divBdr>
            <w:top w:val="none" w:sz="0" w:space="0" w:color="auto"/>
            <w:left w:val="none" w:sz="0" w:space="0" w:color="auto"/>
            <w:bottom w:val="none" w:sz="0" w:space="0" w:color="auto"/>
            <w:right w:val="none" w:sz="0" w:space="0" w:color="auto"/>
          </w:divBdr>
        </w:div>
        <w:div w:id="159124954">
          <w:marLeft w:val="640"/>
          <w:marRight w:val="0"/>
          <w:marTop w:val="0"/>
          <w:marBottom w:val="0"/>
          <w:divBdr>
            <w:top w:val="none" w:sz="0" w:space="0" w:color="auto"/>
            <w:left w:val="none" w:sz="0" w:space="0" w:color="auto"/>
            <w:bottom w:val="none" w:sz="0" w:space="0" w:color="auto"/>
            <w:right w:val="none" w:sz="0" w:space="0" w:color="auto"/>
          </w:divBdr>
        </w:div>
        <w:div w:id="2059351845">
          <w:marLeft w:val="640"/>
          <w:marRight w:val="0"/>
          <w:marTop w:val="0"/>
          <w:marBottom w:val="0"/>
          <w:divBdr>
            <w:top w:val="none" w:sz="0" w:space="0" w:color="auto"/>
            <w:left w:val="none" w:sz="0" w:space="0" w:color="auto"/>
            <w:bottom w:val="none" w:sz="0" w:space="0" w:color="auto"/>
            <w:right w:val="none" w:sz="0" w:space="0" w:color="auto"/>
          </w:divBdr>
        </w:div>
        <w:div w:id="1580603490">
          <w:marLeft w:val="640"/>
          <w:marRight w:val="0"/>
          <w:marTop w:val="0"/>
          <w:marBottom w:val="0"/>
          <w:divBdr>
            <w:top w:val="none" w:sz="0" w:space="0" w:color="auto"/>
            <w:left w:val="none" w:sz="0" w:space="0" w:color="auto"/>
            <w:bottom w:val="none" w:sz="0" w:space="0" w:color="auto"/>
            <w:right w:val="none" w:sz="0" w:space="0" w:color="auto"/>
          </w:divBdr>
        </w:div>
        <w:div w:id="88044337">
          <w:marLeft w:val="640"/>
          <w:marRight w:val="0"/>
          <w:marTop w:val="0"/>
          <w:marBottom w:val="0"/>
          <w:divBdr>
            <w:top w:val="none" w:sz="0" w:space="0" w:color="auto"/>
            <w:left w:val="none" w:sz="0" w:space="0" w:color="auto"/>
            <w:bottom w:val="none" w:sz="0" w:space="0" w:color="auto"/>
            <w:right w:val="none" w:sz="0" w:space="0" w:color="auto"/>
          </w:divBdr>
        </w:div>
        <w:div w:id="462772717">
          <w:marLeft w:val="640"/>
          <w:marRight w:val="0"/>
          <w:marTop w:val="0"/>
          <w:marBottom w:val="0"/>
          <w:divBdr>
            <w:top w:val="none" w:sz="0" w:space="0" w:color="auto"/>
            <w:left w:val="none" w:sz="0" w:space="0" w:color="auto"/>
            <w:bottom w:val="none" w:sz="0" w:space="0" w:color="auto"/>
            <w:right w:val="none" w:sz="0" w:space="0" w:color="auto"/>
          </w:divBdr>
        </w:div>
        <w:div w:id="1434858325">
          <w:marLeft w:val="640"/>
          <w:marRight w:val="0"/>
          <w:marTop w:val="0"/>
          <w:marBottom w:val="0"/>
          <w:divBdr>
            <w:top w:val="none" w:sz="0" w:space="0" w:color="auto"/>
            <w:left w:val="none" w:sz="0" w:space="0" w:color="auto"/>
            <w:bottom w:val="none" w:sz="0" w:space="0" w:color="auto"/>
            <w:right w:val="none" w:sz="0" w:space="0" w:color="auto"/>
          </w:divBdr>
        </w:div>
        <w:div w:id="604114254">
          <w:marLeft w:val="640"/>
          <w:marRight w:val="0"/>
          <w:marTop w:val="0"/>
          <w:marBottom w:val="0"/>
          <w:divBdr>
            <w:top w:val="none" w:sz="0" w:space="0" w:color="auto"/>
            <w:left w:val="none" w:sz="0" w:space="0" w:color="auto"/>
            <w:bottom w:val="none" w:sz="0" w:space="0" w:color="auto"/>
            <w:right w:val="none" w:sz="0" w:space="0" w:color="auto"/>
          </w:divBdr>
        </w:div>
        <w:div w:id="833493821">
          <w:marLeft w:val="640"/>
          <w:marRight w:val="0"/>
          <w:marTop w:val="0"/>
          <w:marBottom w:val="0"/>
          <w:divBdr>
            <w:top w:val="none" w:sz="0" w:space="0" w:color="auto"/>
            <w:left w:val="none" w:sz="0" w:space="0" w:color="auto"/>
            <w:bottom w:val="none" w:sz="0" w:space="0" w:color="auto"/>
            <w:right w:val="none" w:sz="0" w:space="0" w:color="auto"/>
          </w:divBdr>
        </w:div>
        <w:div w:id="652220990">
          <w:marLeft w:val="640"/>
          <w:marRight w:val="0"/>
          <w:marTop w:val="0"/>
          <w:marBottom w:val="0"/>
          <w:divBdr>
            <w:top w:val="none" w:sz="0" w:space="0" w:color="auto"/>
            <w:left w:val="none" w:sz="0" w:space="0" w:color="auto"/>
            <w:bottom w:val="none" w:sz="0" w:space="0" w:color="auto"/>
            <w:right w:val="none" w:sz="0" w:space="0" w:color="auto"/>
          </w:divBdr>
        </w:div>
        <w:div w:id="1581283994">
          <w:marLeft w:val="640"/>
          <w:marRight w:val="0"/>
          <w:marTop w:val="0"/>
          <w:marBottom w:val="0"/>
          <w:divBdr>
            <w:top w:val="none" w:sz="0" w:space="0" w:color="auto"/>
            <w:left w:val="none" w:sz="0" w:space="0" w:color="auto"/>
            <w:bottom w:val="none" w:sz="0" w:space="0" w:color="auto"/>
            <w:right w:val="none" w:sz="0" w:space="0" w:color="auto"/>
          </w:divBdr>
        </w:div>
        <w:div w:id="668220597">
          <w:marLeft w:val="640"/>
          <w:marRight w:val="0"/>
          <w:marTop w:val="0"/>
          <w:marBottom w:val="0"/>
          <w:divBdr>
            <w:top w:val="none" w:sz="0" w:space="0" w:color="auto"/>
            <w:left w:val="none" w:sz="0" w:space="0" w:color="auto"/>
            <w:bottom w:val="none" w:sz="0" w:space="0" w:color="auto"/>
            <w:right w:val="none" w:sz="0" w:space="0" w:color="auto"/>
          </w:divBdr>
        </w:div>
        <w:div w:id="388381017">
          <w:marLeft w:val="640"/>
          <w:marRight w:val="0"/>
          <w:marTop w:val="0"/>
          <w:marBottom w:val="0"/>
          <w:divBdr>
            <w:top w:val="none" w:sz="0" w:space="0" w:color="auto"/>
            <w:left w:val="none" w:sz="0" w:space="0" w:color="auto"/>
            <w:bottom w:val="none" w:sz="0" w:space="0" w:color="auto"/>
            <w:right w:val="none" w:sz="0" w:space="0" w:color="auto"/>
          </w:divBdr>
        </w:div>
        <w:div w:id="847015524">
          <w:marLeft w:val="640"/>
          <w:marRight w:val="0"/>
          <w:marTop w:val="0"/>
          <w:marBottom w:val="0"/>
          <w:divBdr>
            <w:top w:val="none" w:sz="0" w:space="0" w:color="auto"/>
            <w:left w:val="none" w:sz="0" w:space="0" w:color="auto"/>
            <w:bottom w:val="none" w:sz="0" w:space="0" w:color="auto"/>
            <w:right w:val="none" w:sz="0" w:space="0" w:color="auto"/>
          </w:divBdr>
        </w:div>
        <w:div w:id="972757679">
          <w:marLeft w:val="640"/>
          <w:marRight w:val="0"/>
          <w:marTop w:val="0"/>
          <w:marBottom w:val="0"/>
          <w:divBdr>
            <w:top w:val="none" w:sz="0" w:space="0" w:color="auto"/>
            <w:left w:val="none" w:sz="0" w:space="0" w:color="auto"/>
            <w:bottom w:val="none" w:sz="0" w:space="0" w:color="auto"/>
            <w:right w:val="none" w:sz="0" w:space="0" w:color="auto"/>
          </w:divBdr>
        </w:div>
        <w:div w:id="1444498834">
          <w:marLeft w:val="640"/>
          <w:marRight w:val="0"/>
          <w:marTop w:val="0"/>
          <w:marBottom w:val="0"/>
          <w:divBdr>
            <w:top w:val="none" w:sz="0" w:space="0" w:color="auto"/>
            <w:left w:val="none" w:sz="0" w:space="0" w:color="auto"/>
            <w:bottom w:val="none" w:sz="0" w:space="0" w:color="auto"/>
            <w:right w:val="none" w:sz="0" w:space="0" w:color="auto"/>
          </w:divBdr>
        </w:div>
        <w:div w:id="2030986017">
          <w:marLeft w:val="640"/>
          <w:marRight w:val="0"/>
          <w:marTop w:val="0"/>
          <w:marBottom w:val="0"/>
          <w:divBdr>
            <w:top w:val="none" w:sz="0" w:space="0" w:color="auto"/>
            <w:left w:val="none" w:sz="0" w:space="0" w:color="auto"/>
            <w:bottom w:val="none" w:sz="0" w:space="0" w:color="auto"/>
            <w:right w:val="none" w:sz="0" w:space="0" w:color="auto"/>
          </w:divBdr>
        </w:div>
        <w:div w:id="45690122">
          <w:marLeft w:val="640"/>
          <w:marRight w:val="0"/>
          <w:marTop w:val="0"/>
          <w:marBottom w:val="0"/>
          <w:divBdr>
            <w:top w:val="none" w:sz="0" w:space="0" w:color="auto"/>
            <w:left w:val="none" w:sz="0" w:space="0" w:color="auto"/>
            <w:bottom w:val="none" w:sz="0" w:space="0" w:color="auto"/>
            <w:right w:val="none" w:sz="0" w:space="0" w:color="auto"/>
          </w:divBdr>
        </w:div>
        <w:div w:id="904216600">
          <w:marLeft w:val="640"/>
          <w:marRight w:val="0"/>
          <w:marTop w:val="0"/>
          <w:marBottom w:val="0"/>
          <w:divBdr>
            <w:top w:val="none" w:sz="0" w:space="0" w:color="auto"/>
            <w:left w:val="none" w:sz="0" w:space="0" w:color="auto"/>
            <w:bottom w:val="none" w:sz="0" w:space="0" w:color="auto"/>
            <w:right w:val="none" w:sz="0" w:space="0" w:color="auto"/>
          </w:divBdr>
        </w:div>
        <w:div w:id="145898924">
          <w:marLeft w:val="640"/>
          <w:marRight w:val="0"/>
          <w:marTop w:val="0"/>
          <w:marBottom w:val="0"/>
          <w:divBdr>
            <w:top w:val="none" w:sz="0" w:space="0" w:color="auto"/>
            <w:left w:val="none" w:sz="0" w:space="0" w:color="auto"/>
            <w:bottom w:val="none" w:sz="0" w:space="0" w:color="auto"/>
            <w:right w:val="none" w:sz="0" w:space="0" w:color="auto"/>
          </w:divBdr>
        </w:div>
        <w:div w:id="432242187">
          <w:marLeft w:val="640"/>
          <w:marRight w:val="0"/>
          <w:marTop w:val="0"/>
          <w:marBottom w:val="0"/>
          <w:divBdr>
            <w:top w:val="none" w:sz="0" w:space="0" w:color="auto"/>
            <w:left w:val="none" w:sz="0" w:space="0" w:color="auto"/>
            <w:bottom w:val="none" w:sz="0" w:space="0" w:color="auto"/>
            <w:right w:val="none" w:sz="0" w:space="0" w:color="auto"/>
          </w:divBdr>
        </w:div>
        <w:div w:id="1981839766">
          <w:marLeft w:val="640"/>
          <w:marRight w:val="0"/>
          <w:marTop w:val="0"/>
          <w:marBottom w:val="0"/>
          <w:divBdr>
            <w:top w:val="none" w:sz="0" w:space="0" w:color="auto"/>
            <w:left w:val="none" w:sz="0" w:space="0" w:color="auto"/>
            <w:bottom w:val="none" w:sz="0" w:space="0" w:color="auto"/>
            <w:right w:val="none" w:sz="0" w:space="0" w:color="auto"/>
          </w:divBdr>
        </w:div>
        <w:div w:id="868298997">
          <w:marLeft w:val="640"/>
          <w:marRight w:val="0"/>
          <w:marTop w:val="0"/>
          <w:marBottom w:val="0"/>
          <w:divBdr>
            <w:top w:val="none" w:sz="0" w:space="0" w:color="auto"/>
            <w:left w:val="none" w:sz="0" w:space="0" w:color="auto"/>
            <w:bottom w:val="none" w:sz="0" w:space="0" w:color="auto"/>
            <w:right w:val="none" w:sz="0" w:space="0" w:color="auto"/>
          </w:divBdr>
        </w:div>
        <w:div w:id="1759866920">
          <w:marLeft w:val="640"/>
          <w:marRight w:val="0"/>
          <w:marTop w:val="0"/>
          <w:marBottom w:val="0"/>
          <w:divBdr>
            <w:top w:val="none" w:sz="0" w:space="0" w:color="auto"/>
            <w:left w:val="none" w:sz="0" w:space="0" w:color="auto"/>
            <w:bottom w:val="none" w:sz="0" w:space="0" w:color="auto"/>
            <w:right w:val="none" w:sz="0" w:space="0" w:color="auto"/>
          </w:divBdr>
        </w:div>
        <w:div w:id="1485120513">
          <w:marLeft w:val="640"/>
          <w:marRight w:val="0"/>
          <w:marTop w:val="0"/>
          <w:marBottom w:val="0"/>
          <w:divBdr>
            <w:top w:val="none" w:sz="0" w:space="0" w:color="auto"/>
            <w:left w:val="none" w:sz="0" w:space="0" w:color="auto"/>
            <w:bottom w:val="none" w:sz="0" w:space="0" w:color="auto"/>
            <w:right w:val="none" w:sz="0" w:space="0" w:color="auto"/>
          </w:divBdr>
        </w:div>
        <w:div w:id="1452476396">
          <w:marLeft w:val="640"/>
          <w:marRight w:val="0"/>
          <w:marTop w:val="0"/>
          <w:marBottom w:val="0"/>
          <w:divBdr>
            <w:top w:val="none" w:sz="0" w:space="0" w:color="auto"/>
            <w:left w:val="none" w:sz="0" w:space="0" w:color="auto"/>
            <w:bottom w:val="none" w:sz="0" w:space="0" w:color="auto"/>
            <w:right w:val="none" w:sz="0" w:space="0" w:color="auto"/>
          </w:divBdr>
        </w:div>
        <w:div w:id="830872541">
          <w:marLeft w:val="640"/>
          <w:marRight w:val="0"/>
          <w:marTop w:val="0"/>
          <w:marBottom w:val="0"/>
          <w:divBdr>
            <w:top w:val="none" w:sz="0" w:space="0" w:color="auto"/>
            <w:left w:val="none" w:sz="0" w:space="0" w:color="auto"/>
            <w:bottom w:val="none" w:sz="0" w:space="0" w:color="auto"/>
            <w:right w:val="none" w:sz="0" w:space="0" w:color="auto"/>
          </w:divBdr>
        </w:div>
        <w:div w:id="553010137">
          <w:marLeft w:val="640"/>
          <w:marRight w:val="0"/>
          <w:marTop w:val="0"/>
          <w:marBottom w:val="0"/>
          <w:divBdr>
            <w:top w:val="none" w:sz="0" w:space="0" w:color="auto"/>
            <w:left w:val="none" w:sz="0" w:space="0" w:color="auto"/>
            <w:bottom w:val="none" w:sz="0" w:space="0" w:color="auto"/>
            <w:right w:val="none" w:sz="0" w:space="0" w:color="auto"/>
          </w:divBdr>
        </w:div>
        <w:div w:id="197477236">
          <w:marLeft w:val="640"/>
          <w:marRight w:val="0"/>
          <w:marTop w:val="0"/>
          <w:marBottom w:val="0"/>
          <w:divBdr>
            <w:top w:val="none" w:sz="0" w:space="0" w:color="auto"/>
            <w:left w:val="none" w:sz="0" w:space="0" w:color="auto"/>
            <w:bottom w:val="none" w:sz="0" w:space="0" w:color="auto"/>
            <w:right w:val="none" w:sz="0" w:space="0" w:color="auto"/>
          </w:divBdr>
        </w:div>
        <w:div w:id="1085760323">
          <w:marLeft w:val="640"/>
          <w:marRight w:val="0"/>
          <w:marTop w:val="0"/>
          <w:marBottom w:val="0"/>
          <w:divBdr>
            <w:top w:val="none" w:sz="0" w:space="0" w:color="auto"/>
            <w:left w:val="none" w:sz="0" w:space="0" w:color="auto"/>
            <w:bottom w:val="none" w:sz="0" w:space="0" w:color="auto"/>
            <w:right w:val="none" w:sz="0" w:space="0" w:color="auto"/>
          </w:divBdr>
        </w:div>
        <w:div w:id="2108113594">
          <w:marLeft w:val="640"/>
          <w:marRight w:val="0"/>
          <w:marTop w:val="0"/>
          <w:marBottom w:val="0"/>
          <w:divBdr>
            <w:top w:val="none" w:sz="0" w:space="0" w:color="auto"/>
            <w:left w:val="none" w:sz="0" w:space="0" w:color="auto"/>
            <w:bottom w:val="none" w:sz="0" w:space="0" w:color="auto"/>
            <w:right w:val="none" w:sz="0" w:space="0" w:color="auto"/>
          </w:divBdr>
        </w:div>
        <w:div w:id="352615165">
          <w:marLeft w:val="640"/>
          <w:marRight w:val="0"/>
          <w:marTop w:val="0"/>
          <w:marBottom w:val="0"/>
          <w:divBdr>
            <w:top w:val="none" w:sz="0" w:space="0" w:color="auto"/>
            <w:left w:val="none" w:sz="0" w:space="0" w:color="auto"/>
            <w:bottom w:val="none" w:sz="0" w:space="0" w:color="auto"/>
            <w:right w:val="none" w:sz="0" w:space="0" w:color="auto"/>
          </w:divBdr>
        </w:div>
        <w:div w:id="1075124108">
          <w:marLeft w:val="640"/>
          <w:marRight w:val="0"/>
          <w:marTop w:val="0"/>
          <w:marBottom w:val="0"/>
          <w:divBdr>
            <w:top w:val="none" w:sz="0" w:space="0" w:color="auto"/>
            <w:left w:val="none" w:sz="0" w:space="0" w:color="auto"/>
            <w:bottom w:val="none" w:sz="0" w:space="0" w:color="auto"/>
            <w:right w:val="none" w:sz="0" w:space="0" w:color="auto"/>
          </w:divBdr>
        </w:div>
        <w:div w:id="4551262">
          <w:marLeft w:val="640"/>
          <w:marRight w:val="0"/>
          <w:marTop w:val="0"/>
          <w:marBottom w:val="0"/>
          <w:divBdr>
            <w:top w:val="none" w:sz="0" w:space="0" w:color="auto"/>
            <w:left w:val="none" w:sz="0" w:space="0" w:color="auto"/>
            <w:bottom w:val="none" w:sz="0" w:space="0" w:color="auto"/>
            <w:right w:val="none" w:sz="0" w:space="0" w:color="auto"/>
          </w:divBdr>
        </w:div>
        <w:div w:id="1323394271">
          <w:marLeft w:val="640"/>
          <w:marRight w:val="0"/>
          <w:marTop w:val="0"/>
          <w:marBottom w:val="0"/>
          <w:divBdr>
            <w:top w:val="none" w:sz="0" w:space="0" w:color="auto"/>
            <w:left w:val="none" w:sz="0" w:space="0" w:color="auto"/>
            <w:bottom w:val="none" w:sz="0" w:space="0" w:color="auto"/>
            <w:right w:val="none" w:sz="0" w:space="0" w:color="auto"/>
          </w:divBdr>
        </w:div>
        <w:div w:id="363093028">
          <w:marLeft w:val="640"/>
          <w:marRight w:val="0"/>
          <w:marTop w:val="0"/>
          <w:marBottom w:val="0"/>
          <w:divBdr>
            <w:top w:val="none" w:sz="0" w:space="0" w:color="auto"/>
            <w:left w:val="none" w:sz="0" w:space="0" w:color="auto"/>
            <w:bottom w:val="none" w:sz="0" w:space="0" w:color="auto"/>
            <w:right w:val="none" w:sz="0" w:space="0" w:color="auto"/>
          </w:divBdr>
        </w:div>
        <w:div w:id="239415985">
          <w:marLeft w:val="640"/>
          <w:marRight w:val="0"/>
          <w:marTop w:val="0"/>
          <w:marBottom w:val="0"/>
          <w:divBdr>
            <w:top w:val="none" w:sz="0" w:space="0" w:color="auto"/>
            <w:left w:val="none" w:sz="0" w:space="0" w:color="auto"/>
            <w:bottom w:val="none" w:sz="0" w:space="0" w:color="auto"/>
            <w:right w:val="none" w:sz="0" w:space="0" w:color="auto"/>
          </w:divBdr>
        </w:div>
        <w:div w:id="1805927189">
          <w:marLeft w:val="640"/>
          <w:marRight w:val="0"/>
          <w:marTop w:val="0"/>
          <w:marBottom w:val="0"/>
          <w:divBdr>
            <w:top w:val="none" w:sz="0" w:space="0" w:color="auto"/>
            <w:left w:val="none" w:sz="0" w:space="0" w:color="auto"/>
            <w:bottom w:val="none" w:sz="0" w:space="0" w:color="auto"/>
            <w:right w:val="none" w:sz="0" w:space="0" w:color="auto"/>
          </w:divBdr>
        </w:div>
        <w:div w:id="1081026560">
          <w:marLeft w:val="640"/>
          <w:marRight w:val="0"/>
          <w:marTop w:val="0"/>
          <w:marBottom w:val="0"/>
          <w:divBdr>
            <w:top w:val="none" w:sz="0" w:space="0" w:color="auto"/>
            <w:left w:val="none" w:sz="0" w:space="0" w:color="auto"/>
            <w:bottom w:val="none" w:sz="0" w:space="0" w:color="auto"/>
            <w:right w:val="none" w:sz="0" w:space="0" w:color="auto"/>
          </w:divBdr>
        </w:div>
        <w:div w:id="1801923233">
          <w:marLeft w:val="640"/>
          <w:marRight w:val="0"/>
          <w:marTop w:val="0"/>
          <w:marBottom w:val="0"/>
          <w:divBdr>
            <w:top w:val="none" w:sz="0" w:space="0" w:color="auto"/>
            <w:left w:val="none" w:sz="0" w:space="0" w:color="auto"/>
            <w:bottom w:val="none" w:sz="0" w:space="0" w:color="auto"/>
            <w:right w:val="none" w:sz="0" w:space="0" w:color="auto"/>
          </w:divBdr>
        </w:div>
        <w:div w:id="2145150564">
          <w:marLeft w:val="640"/>
          <w:marRight w:val="0"/>
          <w:marTop w:val="0"/>
          <w:marBottom w:val="0"/>
          <w:divBdr>
            <w:top w:val="none" w:sz="0" w:space="0" w:color="auto"/>
            <w:left w:val="none" w:sz="0" w:space="0" w:color="auto"/>
            <w:bottom w:val="none" w:sz="0" w:space="0" w:color="auto"/>
            <w:right w:val="none" w:sz="0" w:space="0" w:color="auto"/>
          </w:divBdr>
        </w:div>
        <w:div w:id="1042435108">
          <w:marLeft w:val="640"/>
          <w:marRight w:val="0"/>
          <w:marTop w:val="0"/>
          <w:marBottom w:val="0"/>
          <w:divBdr>
            <w:top w:val="none" w:sz="0" w:space="0" w:color="auto"/>
            <w:left w:val="none" w:sz="0" w:space="0" w:color="auto"/>
            <w:bottom w:val="none" w:sz="0" w:space="0" w:color="auto"/>
            <w:right w:val="none" w:sz="0" w:space="0" w:color="auto"/>
          </w:divBdr>
        </w:div>
        <w:div w:id="457340976">
          <w:marLeft w:val="640"/>
          <w:marRight w:val="0"/>
          <w:marTop w:val="0"/>
          <w:marBottom w:val="0"/>
          <w:divBdr>
            <w:top w:val="none" w:sz="0" w:space="0" w:color="auto"/>
            <w:left w:val="none" w:sz="0" w:space="0" w:color="auto"/>
            <w:bottom w:val="none" w:sz="0" w:space="0" w:color="auto"/>
            <w:right w:val="none" w:sz="0" w:space="0" w:color="auto"/>
          </w:divBdr>
        </w:div>
        <w:div w:id="1945307649">
          <w:marLeft w:val="640"/>
          <w:marRight w:val="0"/>
          <w:marTop w:val="0"/>
          <w:marBottom w:val="0"/>
          <w:divBdr>
            <w:top w:val="none" w:sz="0" w:space="0" w:color="auto"/>
            <w:left w:val="none" w:sz="0" w:space="0" w:color="auto"/>
            <w:bottom w:val="none" w:sz="0" w:space="0" w:color="auto"/>
            <w:right w:val="none" w:sz="0" w:space="0" w:color="auto"/>
          </w:divBdr>
        </w:div>
        <w:div w:id="1909419835">
          <w:marLeft w:val="640"/>
          <w:marRight w:val="0"/>
          <w:marTop w:val="0"/>
          <w:marBottom w:val="0"/>
          <w:divBdr>
            <w:top w:val="none" w:sz="0" w:space="0" w:color="auto"/>
            <w:left w:val="none" w:sz="0" w:space="0" w:color="auto"/>
            <w:bottom w:val="none" w:sz="0" w:space="0" w:color="auto"/>
            <w:right w:val="none" w:sz="0" w:space="0" w:color="auto"/>
          </w:divBdr>
        </w:div>
        <w:div w:id="950086074">
          <w:marLeft w:val="640"/>
          <w:marRight w:val="0"/>
          <w:marTop w:val="0"/>
          <w:marBottom w:val="0"/>
          <w:divBdr>
            <w:top w:val="none" w:sz="0" w:space="0" w:color="auto"/>
            <w:left w:val="none" w:sz="0" w:space="0" w:color="auto"/>
            <w:bottom w:val="none" w:sz="0" w:space="0" w:color="auto"/>
            <w:right w:val="none" w:sz="0" w:space="0" w:color="auto"/>
          </w:divBdr>
        </w:div>
        <w:div w:id="405034441">
          <w:marLeft w:val="640"/>
          <w:marRight w:val="0"/>
          <w:marTop w:val="0"/>
          <w:marBottom w:val="0"/>
          <w:divBdr>
            <w:top w:val="none" w:sz="0" w:space="0" w:color="auto"/>
            <w:left w:val="none" w:sz="0" w:space="0" w:color="auto"/>
            <w:bottom w:val="none" w:sz="0" w:space="0" w:color="auto"/>
            <w:right w:val="none" w:sz="0" w:space="0" w:color="auto"/>
          </w:divBdr>
        </w:div>
      </w:divsChild>
    </w:div>
    <w:div w:id="50429822">
      <w:bodyDiv w:val="1"/>
      <w:marLeft w:val="0"/>
      <w:marRight w:val="0"/>
      <w:marTop w:val="0"/>
      <w:marBottom w:val="0"/>
      <w:divBdr>
        <w:top w:val="none" w:sz="0" w:space="0" w:color="auto"/>
        <w:left w:val="none" w:sz="0" w:space="0" w:color="auto"/>
        <w:bottom w:val="none" w:sz="0" w:space="0" w:color="auto"/>
        <w:right w:val="none" w:sz="0" w:space="0" w:color="auto"/>
      </w:divBdr>
      <w:divsChild>
        <w:div w:id="300963671">
          <w:marLeft w:val="640"/>
          <w:marRight w:val="0"/>
          <w:marTop w:val="0"/>
          <w:marBottom w:val="0"/>
          <w:divBdr>
            <w:top w:val="none" w:sz="0" w:space="0" w:color="auto"/>
            <w:left w:val="none" w:sz="0" w:space="0" w:color="auto"/>
            <w:bottom w:val="none" w:sz="0" w:space="0" w:color="auto"/>
            <w:right w:val="none" w:sz="0" w:space="0" w:color="auto"/>
          </w:divBdr>
        </w:div>
        <w:div w:id="694693562">
          <w:marLeft w:val="640"/>
          <w:marRight w:val="0"/>
          <w:marTop w:val="0"/>
          <w:marBottom w:val="0"/>
          <w:divBdr>
            <w:top w:val="none" w:sz="0" w:space="0" w:color="auto"/>
            <w:left w:val="none" w:sz="0" w:space="0" w:color="auto"/>
            <w:bottom w:val="none" w:sz="0" w:space="0" w:color="auto"/>
            <w:right w:val="none" w:sz="0" w:space="0" w:color="auto"/>
          </w:divBdr>
        </w:div>
        <w:div w:id="1411468285">
          <w:marLeft w:val="640"/>
          <w:marRight w:val="0"/>
          <w:marTop w:val="0"/>
          <w:marBottom w:val="0"/>
          <w:divBdr>
            <w:top w:val="none" w:sz="0" w:space="0" w:color="auto"/>
            <w:left w:val="none" w:sz="0" w:space="0" w:color="auto"/>
            <w:bottom w:val="none" w:sz="0" w:space="0" w:color="auto"/>
            <w:right w:val="none" w:sz="0" w:space="0" w:color="auto"/>
          </w:divBdr>
        </w:div>
        <w:div w:id="373504949">
          <w:marLeft w:val="640"/>
          <w:marRight w:val="0"/>
          <w:marTop w:val="0"/>
          <w:marBottom w:val="0"/>
          <w:divBdr>
            <w:top w:val="none" w:sz="0" w:space="0" w:color="auto"/>
            <w:left w:val="none" w:sz="0" w:space="0" w:color="auto"/>
            <w:bottom w:val="none" w:sz="0" w:space="0" w:color="auto"/>
            <w:right w:val="none" w:sz="0" w:space="0" w:color="auto"/>
          </w:divBdr>
        </w:div>
        <w:div w:id="756899526">
          <w:marLeft w:val="640"/>
          <w:marRight w:val="0"/>
          <w:marTop w:val="0"/>
          <w:marBottom w:val="0"/>
          <w:divBdr>
            <w:top w:val="none" w:sz="0" w:space="0" w:color="auto"/>
            <w:left w:val="none" w:sz="0" w:space="0" w:color="auto"/>
            <w:bottom w:val="none" w:sz="0" w:space="0" w:color="auto"/>
            <w:right w:val="none" w:sz="0" w:space="0" w:color="auto"/>
          </w:divBdr>
        </w:div>
        <w:div w:id="788083874">
          <w:marLeft w:val="640"/>
          <w:marRight w:val="0"/>
          <w:marTop w:val="0"/>
          <w:marBottom w:val="0"/>
          <w:divBdr>
            <w:top w:val="none" w:sz="0" w:space="0" w:color="auto"/>
            <w:left w:val="none" w:sz="0" w:space="0" w:color="auto"/>
            <w:bottom w:val="none" w:sz="0" w:space="0" w:color="auto"/>
            <w:right w:val="none" w:sz="0" w:space="0" w:color="auto"/>
          </w:divBdr>
        </w:div>
        <w:div w:id="2040815938">
          <w:marLeft w:val="640"/>
          <w:marRight w:val="0"/>
          <w:marTop w:val="0"/>
          <w:marBottom w:val="0"/>
          <w:divBdr>
            <w:top w:val="none" w:sz="0" w:space="0" w:color="auto"/>
            <w:left w:val="none" w:sz="0" w:space="0" w:color="auto"/>
            <w:bottom w:val="none" w:sz="0" w:space="0" w:color="auto"/>
            <w:right w:val="none" w:sz="0" w:space="0" w:color="auto"/>
          </w:divBdr>
        </w:div>
        <w:div w:id="1394236609">
          <w:marLeft w:val="640"/>
          <w:marRight w:val="0"/>
          <w:marTop w:val="0"/>
          <w:marBottom w:val="0"/>
          <w:divBdr>
            <w:top w:val="none" w:sz="0" w:space="0" w:color="auto"/>
            <w:left w:val="none" w:sz="0" w:space="0" w:color="auto"/>
            <w:bottom w:val="none" w:sz="0" w:space="0" w:color="auto"/>
            <w:right w:val="none" w:sz="0" w:space="0" w:color="auto"/>
          </w:divBdr>
        </w:div>
        <w:div w:id="2142307057">
          <w:marLeft w:val="640"/>
          <w:marRight w:val="0"/>
          <w:marTop w:val="0"/>
          <w:marBottom w:val="0"/>
          <w:divBdr>
            <w:top w:val="none" w:sz="0" w:space="0" w:color="auto"/>
            <w:left w:val="none" w:sz="0" w:space="0" w:color="auto"/>
            <w:bottom w:val="none" w:sz="0" w:space="0" w:color="auto"/>
            <w:right w:val="none" w:sz="0" w:space="0" w:color="auto"/>
          </w:divBdr>
        </w:div>
        <w:div w:id="1373384581">
          <w:marLeft w:val="640"/>
          <w:marRight w:val="0"/>
          <w:marTop w:val="0"/>
          <w:marBottom w:val="0"/>
          <w:divBdr>
            <w:top w:val="none" w:sz="0" w:space="0" w:color="auto"/>
            <w:left w:val="none" w:sz="0" w:space="0" w:color="auto"/>
            <w:bottom w:val="none" w:sz="0" w:space="0" w:color="auto"/>
            <w:right w:val="none" w:sz="0" w:space="0" w:color="auto"/>
          </w:divBdr>
        </w:div>
        <w:div w:id="1240289696">
          <w:marLeft w:val="640"/>
          <w:marRight w:val="0"/>
          <w:marTop w:val="0"/>
          <w:marBottom w:val="0"/>
          <w:divBdr>
            <w:top w:val="none" w:sz="0" w:space="0" w:color="auto"/>
            <w:left w:val="none" w:sz="0" w:space="0" w:color="auto"/>
            <w:bottom w:val="none" w:sz="0" w:space="0" w:color="auto"/>
            <w:right w:val="none" w:sz="0" w:space="0" w:color="auto"/>
          </w:divBdr>
        </w:div>
        <w:div w:id="608240266">
          <w:marLeft w:val="640"/>
          <w:marRight w:val="0"/>
          <w:marTop w:val="0"/>
          <w:marBottom w:val="0"/>
          <w:divBdr>
            <w:top w:val="none" w:sz="0" w:space="0" w:color="auto"/>
            <w:left w:val="none" w:sz="0" w:space="0" w:color="auto"/>
            <w:bottom w:val="none" w:sz="0" w:space="0" w:color="auto"/>
            <w:right w:val="none" w:sz="0" w:space="0" w:color="auto"/>
          </w:divBdr>
        </w:div>
        <w:div w:id="995766322">
          <w:marLeft w:val="640"/>
          <w:marRight w:val="0"/>
          <w:marTop w:val="0"/>
          <w:marBottom w:val="0"/>
          <w:divBdr>
            <w:top w:val="none" w:sz="0" w:space="0" w:color="auto"/>
            <w:left w:val="none" w:sz="0" w:space="0" w:color="auto"/>
            <w:bottom w:val="none" w:sz="0" w:space="0" w:color="auto"/>
            <w:right w:val="none" w:sz="0" w:space="0" w:color="auto"/>
          </w:divBdr>
        </w:div>
        <w:div w:id="228687431">
          <w:marLeft w:val="640"/>
          <w:marRight w:val="0"/>
          <w:marTop w:val="0"/>
          <w:marBottom w:val="0"/>
          <w:divBdr>
            <w:top w:val="none" w:sz="0" w:space="0" w:color="auto"/>
            <w:left w:val="none" w:sz="0" w:space="0" w:color="auto"/>
            <w:bottom w:val="none" w:sz="0" w:space="0" w:color="auto"/>
            <w:right w:val="none" w:sz="0" w:space="0" w:color="auto"/>
          </w:divBdr>
        </w:div>
        <w:div w:id="1901794098">
          <w:marLeft w:val="640"/>
          <w:marRight w:val="0"/>
          <w:marTop w:val="0"/>
          <w:marBottom w:val="0"/>
          <w:divBdr>
            <w:top w:val="none" w:sz="0" w:space="0" w:color="auto"/>
            <w:left w:val="none" w:sz="0" w:space="0" w:color="auto"/>
            <w:bottom w:val="none" w:sz="0" w:space="0" w:color="auto"/>
            <w:right w:val="none" w:sz="0" w:space="0" w:color="auto"/>
          </w:divBdr>
        </w:div>
        <w:div w:id="1278297848">
          <w:marLeft w:val="640"/>
          <w:marRight w:val="0"/>
          <w:marTop w:val="0"/>
          <w:marBottom w:val="0"/>
          <w:divBdr>
            <w:top w:val="none" w:sz="0" w:space="0" w:color="auto"/>
            <w:left w:val="none" w:sz="0" w:space="0" w:color="auto"/>
            <w:bottom w:val="none" w:sz="0" w:space="0" w:color="auto"/>
            <w:right w:val="none" w:sz="0" w:space="0" w:color="auto"/>
          </w:divBdr>
        </w:div>
        <w:div w:id="2018533790">
          <w:marLeft w:val="640"/>
          <w:marRight w:val="0"/>
          <w:marTop w:val="0"/>
          <w:marBottom w:val="0"/>
          <w:divBdr>
            <w:top w:val="none" w:sz="0" w:space="0" w:color="auto"/>
            <w:left w:val="none" w:sz="0" w:space="0" w:color="auto"/>
            <w:bottom w:val="none" w:sz="0" w:space="0" w:color="auto"/>
            <w:right w:val="none" w:sz="0" w:space="0" w:color="auto"/>
          </w:divBdr>
        </w:div>
        <w:div w:id="277613522">
          <w:marLeft w:val="640"/>
          <w:marRight w:val="0"/>
          <w:marTop w:val="0"/>
          <w:marBottom w:val="0"/>
          <w:divBdr>
            <w:top w:val="none" w:sz="0" w:space="0" w:color="auto"/>
            <w:left w:val="none" w:sz="0" w:space="0" w:color="auto"/>
            <w:bottom w:val="none" w:sz="0" w:space="0" w:color="auto"/>
            <w:right w:val="none" w:sz="0" w:space="0" w:color="auto"/>
          </w:divBdr>
        </w:div>
        <w:div w:id="1323699463">
          <w:marLeft w:val="640"/>
          <w:marRight w:val="0"/>
          <w:marTop w:val="0"/>
          <w:marBottom w:val="0"/>
          <w:divBdr>
            <w:top w:val="none" w:sz="0" w:space="0" w:color="auto"/>
            <w:left w:val="none" w:sz="0" w:space="0" w:color="auto"/>
            <w:bottom w:val="none" w:sz="0" w:space="0" w:color="auto"/>
            <w:right w:val="none" w:sz="0" w:space="0" w:color="auto"/>
          </w:divBdr>
        </w:div>
        <w:div w:id="787747505">
          <w:marLeft w:val="640"/>
          <w:marRight w:val="0"/>
          <w:marTop w:val="0"/>
          <w:marBottom w:val="0"/>
          <w:divBdr>
            <w:top w:val="none" w:sz="0" w:space="0" w:color="auto"/>
            <w:left w:val="none" w:sz="0" w:space="0" w:color="auto"/>
            <w:bottom w:val="none" w:sz="0" w:space="0" w:color="auto"/>
            <w:right w:val="none" w:sz="0" w:space="0" w:color="auto"/>
          </w:divBdr>
        </w:div>
        <w:div w:id="13308952">
          <w:marLeft w:val="640"/>
          <w:marRight w:val="0"/>
          <w:marTop w:val="0"/>
          <w:marBottom w:val="0"/>
          <w:divBdr>
            <w:top w:val="none" w:sz="0" w:space="0" w:color="auto"/>
            <w:left w:val="none" w:sz="0" w:space="0" w:color="auto"/>
            <w:bottom w:val="none" w:sz="0" w:space="0" w:color="auto"/>
            <w:right w:val="none" w:sz="0" w:space="0" w:color="auto"/>
          </w:divBdr>
        </w:div>
        <w:div w:id="947931546">
          <w:marLeft w:val="640"/>
          <w:marRight w:val="0"/>
          <w:marTop w:val="0"/>
          <w:marBottom w:val="0"/>
          <w:divBdr>
            <w:top w:val="none" w:sz="0" w:space="0" w:color="auto"/>
            <w:left w:val="none" w:sz="0" w:space="0" w:color="auto"/>
            <w:bottom w:val="none" w:sz="0" w:space="0" w:color="auto"/>
            <w:right w:val="none" w:sz="0" w:space="0" w:color="auto"/>
          </w:divBdr>
        </w:div>
        <w:div w:id="811139439">
          <w:marLeft w:val="640"/>
          <w:marRight w:val="0"/>
          <w:marTop w:val="0"/>
          <w:marBottom w:val="0"/>
          <w:divBdr>
            <w:top w:val="none" w:sz="0" w:space="0" w:color="auto"/>
            <w:left w:val="none" w:sz="0" w:space="0" w:color="auto"/>
            <w:bottom w:val="none" w:sz="0" w:space="0" w:color="auto"/>
            <w:right w:val="none" w:sz="0" w:space="0" w:color="auto"/>
          </w:divBdr>
        </w:div>
        <w:div w:id="1983921853">
          <w:marLeft w:val="640"/>
          <w:marRight w:val="0"/>
          <w:marTop w:val="0"/>
          <w:marBottom w:val="0"/>
          <w:divBdr>
            <w:top w:val="none" w:sz="0" w:space="0" w:color="auto"/>
            <w:left w:val="none" w:sz="0" w:space="0" w:color="auto"/>
            <w:bottom w:val="none" w:sz="0" w:space="0" w:color="auto"/>
            <w:right w:val="none" w:sz="0" w:space="0" w:color="auto"/>
          </w:divBdr>
        </w:div>
        <w:div w:id="547189068">
          <w:marLeft w:val="640"/>
          <w:marRight w:val="0"/>
          <w:marTop w:val="0"/>
          <w:marBottom w:val="0"/>
          <w:divBdr>
            <w:top w:val="none" w:sz="0" w:space="0" w:color="auto"/>
            <w:left w:val="none" w:sz="0" w:space="0" w:color="auto"/>
            <w:bottom w:val="none" w:sz="0" w:space="0" w:color="auto"/>
            <w:right w:val="none" w:sz="0" w:space="0" w:color="auto"/>
          </w:divBdr>
        </w:div>
        <w:div w:id="588151299">
          <w:marLeft w:val="640"/>
          <w:marRight w:val="0"/>
          <w:marTop w:val="0"/>
          <w:marBottom w:val="0"/>
          <w:divBdr>
            <w:top w:val="none" w:sz="0" w:space="0" w:color="auto"/>
            <w:left w:val="none" w:sz="0" w:space="0" w:color="auto"/>
            <w:bottom w:val="none" w:sz="0" w:space="0" w:color="auto"/>
            <w:right w:val="none" w:sz="0" w:space="0" w:color="auto"/>
          </w:divBdr>
        </w:div>
        <w:div w:id="1806584433">
          <w:marLeft w:val="640"/>
          <w:marRight w:val="0"/>
          <w:marTop w:val="0"/>
          <w:marBottom w:val="0"/>
          <w:divBdr>
            <w:top w:val="none" w:sz="0" w:space="0" w:color="auto"/>
            <w:left w:val="none" w:sz="0" w:space="0" w:color="auto"/>
            <w:bottom w:val="none" w:sz="0" w:space="0" w:color="auto"/>
            <w:right w:val="none" w:sz="0" w:space="0" w:color="auto"/>
          </w:divBdr>
        </w:div>
        <w:div w:id="62337448">
          <w:marLeft w:val="640"/>
          <w:marRight w:val="0"/>
          <w:marTop w:val="0"/>
          <w:marBottom w:val="0"/>
          <w:divBdr>
            <w:top w:val="none" w:sz="0" w:space="0" w:color="auto"/>
            <w:left w:val="none" w:sz="0" w:space="0" w:color="auto"/>
            <w:bottom w:val="none" w:sz="0" w:space="0" w:color="auto"/>
            <w:right w:val="none" w:sz="0" w:space="0" w:color="auto"/>
          </w:divBdr>
        </w:div>
        <w:div w:id="606235838">
          <w:marLeft w:val="640"/>
          <w:marRight w:val="0"/>
          <w:marTop w:val="0"/>
          <w:marBottom w:val="0"/>
          <w:divBdr>
            <w:top w:val="none" w:sz="0" w:space="0" w:color="auto"/>
            <w:left w:val="none" w:sz="0" w:space="0" w:color="auto"/>
            <w:bottom w:val="none" w:sz="0" w:space="0" w:color="auto"/>
            <w:right w:val="none" w:sz="0" w:space="0" w:color="auto"/>
          </w:divBdr>
        </w:div>
        <w:div w:id="1760446894">
          <w:marLeft w:val="640"/>
          <w:marRight w:val="0"/>
          <w:marTop w:val="0"/>
          <w:marBottom w:val="0"/>
          <w:divBdr>
            <w:top w:val="none" w:sz="0" w:space="0" w:color="auto"/>
            <w:left w:val="none" w:sz="0" w:space="0" w:color="auto"/>
            <w:bottom w:val="none" w:sz="0" w:space="0" w:color="auto"/>
            <w:right w:val="none" w:sz="0" w:space="0" w:color="auto"/>
          </w:divBdr>
        </w:div>
        <w:div w:id="1382053041">
          <w:marLeft w:val="640"/>
          <w:marRight w:val="0"/>
          <w:marTop w:val="0"/>
          <w:marBottom w:val="0"/>
          <w:divBdr>
            <w:top w:val="none" w:sz="0" w:space="0" w:color="auto"/>
            <w:left w:val="none" w:sz="0" w:space="0" w:color="auto"/>
            <w:bottom w:val="none" w:sz="0" w:space="0" w:color="auto"/>
            <w:right w:val="none" w:sz="0" w:space="0" w:color="auto"/>
          </w:divBdr>
        </w:div>
        <w:div w:id="842087103">
          <w:marLeft w:val="640"/>
          <w:marRight w:val="0"/>
          <w:marTop w:val="0"/>
          <w:marBottom w:val="0"/>
          <w:divBdr>
            <w:top w:val="none" w:sz="0" w:space="0" w:color="auto"/>
            <w:left w:val="none" w:sz="0" w:space="0" w:color="auto"/>
            <w:bottom w:val="none" w:sz="0" w:space="0" w:color="auto"/>
            <w:right w:val="none" w:sz="0" w:space="0" w:color="auto"/>
          </w:divBdr>
        </w:div>
        <w:div w:id="1278296076">
          <w:marLeft w:val="640"/>
          <w:marRight w:val="0"/>
          <w:marTop w:val="0"/>
          <w:marBottom w:val="0"/>
          <w:divBdr>
            <w:top w:val="none" w:sz="0" w:space="0" w:color="auto"/>
            <w:left w:val="none" w:sz="0" w:space="0" w:color="auto"/>
            <w:bottom w:val="none" w:sz="0" w:space="0" w:color="auto"/>
            <w:right w:val="none" w:sz="0" w:space="0" w:color="auto"/>
          </w:divBdr>
        </w:div>
        <w:div w:id="1045108395">
          <w:marLeft w:val="640"/>
          <w:marRight w:val="0"/>
          <w:marTop w:val="0"/>
          <w:marBottom w:val="0"/>
          <w:divBdr>
            <w:top w:val="none" w:sz="0" w:space="0" w:color="auto"/>
            <w:left w:val="none" w:sz="0" w:space="0" w:color="auto"/>
            <w:bottom w:val="none" w:sz="0" w:space="0" w:color="auto"/>
            <w:right w:val="none" w:sz="0" w:space="0" w:color="auto"/>
          </w:divBdr>
        </w:div>
        <w:div w:id="1666665203">
          <w:marLeft w:val="640"/>
          <w:marRight w:val="0"/>
          <w:marTop w:val="0"/>
          <w:marBottom w:val="0"/>
          <w:divBdr>
            <w:top w:val="none" w:sz="0" w:space="0" w:color="auto"/>
            <w:left w:val="none" w:sz="0" w:space="0" w:color="auto"/>
            <w:bottom w:val="none" w:sz="0" w:space="0" w:color="auto"/>
            <w:right w:val="none" w:sz="0" w:space="0" w:color="auto"/>
          </w:divBdr>
        </w:div>
        <w:div w:id="1437554865">
          <w:marLeft w:val="640"/>
          <w:marRight w:val="0"/>
          <w:marTop w:val="0"/>
          <w:marBottom w:val="0"/>
          <w:divBdr>
            <w:top w:val="none" w:sz="0" w:space="0" w:color="auto"/>
            <w:left w:val="none" w:sz="0" w:space="0" w:color="auto"/>
            <w:bottom w:val="none" w:sz="0" w:space="0" w:color="auto"/>
            <w:right w:val="none" w:sz="0" w:space="0" w:color="auto"/>
          </w:divBdr>
        </w:div>
        <w:div w:id="211699804">
          <w:marLeft w:val="640"/>
          <w:marRight w:val="0"/>
          <w:marTop w:val="0"/>
          <w:marBottom w:val="0"/>
          <w:divBdr>
            <w:top w:val="none" w:sz="0" w:space="0" w:color="auto"/>
            <w:left w:val="none" w:sz="0" w:space="0" w:color="auto"/>
            <w:bottom w:val="none" w:sz="0" w:space="0" w:color="auto"/>
            <w:right w:val="none" w:sz="0" w:space="0" w:color="auto"/>
          </w:divBdr>
        </w:div>
        <w:div w:id="727001008">
          <w:marLeft w:val="640"/>
          <w:marRight w:val="0"/>
          <w:marTop w:val="0"/>
          <w:marBottom w:val="0"/>
          <w:divBdr>
            <w:top w:val="none" w:sz="0" w:space="0" w:color="auto"/>
            <w:left w:val="none" w:sz="0" w:space="0" w:color="auto"/>
            <w:bottom w:val="none" w:sz="0" w:space="0" w:color="auto"/>
            <w:right w:val="none" w:sz="0" w:space="0" w:color="auto"/>
          </w:divBdr>
        </w:div>
        <w:div w:id="2130933351">
          <w:marLeft w:val="640"/>
          <w:marRight w:val="0"/>
          <w:marTop w:val="0"/>
          <w:marBottom w:val="0"/>
          <w:divBdr>
            <w:top w:val="none" w:sz="0" w:space="0" w:color="auto"/>
            <w:left w:val="none" w:sz="0" w:space="0" w:color="auto"/>
            <w:bottom w:val="none" w:sz="0" w:space="0" w:color="auto"/>
            <w:right w:val="none" w:sz="0" w:space="0" w:color="auto"/>
          </w:divBdr>
        </w:div>
        <w:div w:id="1898080953">
          <w:marLeft w:val="640"/>
          <w:marRight w:val="0"/>
          <w:marTop w:val="0"/>
          <w:marBottom w:val="0"/>
          <w:divBdr>
            <w:top w:val="none" w:sz="0" w:space="0" w:color="auto"/>
            <w:left w:val="none" w:sz="0" w:space="0" w:color="auto"/>
            <w:bottom w:val="none" w:sz="0" w:space="0" w:color="auto"/>
            <w:right w:val="none" w:sz="0" w:space="0" w:color="auto"/>
          </w:divBdr>
        </w:div>
        <w:div w:id="1377663107">
          <w:marLeft w:val="640"/>
          <w:marRight w:val="0"/>
          <w:marTop w:val="0"/>
          <w:marBottom w:val="0"/>
          <w:divBdr>
            <w:top w:val="none" w:sz="0" w:space="0" w:color="auto"/>
            <w:left w:val="none" w:sz="0" w:space="0" w:color="auto"/>
            <w:bottom w:val="none" w:sz="0" w:space="0" w:color="auto"/>
            <w:right w:val="none" w:sz="0" w:space="0" w:color="auto"/>
          </w:divBdr>
        </w:div>
        <w:div w:id="130556606">
          <w:marLeft w:val="640"/>
          <w:marRight w:val="0"/>
          <w:marTop w:val="0"/>
          <w:marBottom w:val="0"/>
          <w:divBdr>
            <w:top w:val="none" w:sz="0" w:space="0" w:color="auto"/>
            <w:left w:val="none" w:sz="0" w:space="0" w:color="auto"/>
            <w:bottom w:val="none" w:sz="0" w:space="0" w:color="auto"/>
            <w:right w:val="none" w:sz="0" w:space="0" w:color="auto"/>
          </w:divBdr>
        </w:div>
        <w:div w:id="89467842">
          <w:marLeft w:val="640"/>
          <w:marRight w:val="0"/>
          <w:marTop w:val="0"/>
          <w:marBottom w:val="0"/>
          <w:divBdr>
            <w:top w:val="none" w:sz="0" w:space="0" w:color="auto"/>
            <w:left w:val="none" w:sz="0" w:space="0" w:color="auto"/>
            <w:bottom w:val="none" w:sz="0" w:space="0" w:color="auto"/>
            <w:right w:val="none" w:sz="0" w:space="0" w:color="auto"/>
          </w:divBdr>
        </w:div>
        <w:div w:id="1501045195">
          <w:marLeft w:val="640"/>
          <w:marRight w:val="0"/>
          <w:marTop w:val="0"/>
          <w:marBottom w:val="0"/>
          <w:divBdr>
            <w:top w:val="none" w:sz="0" w:space="0" w:color="auto"/>
            <w:left w:val="none" w:sz="0" w:space="0" w:color="auto"/>
            <w:bottom w:val="none" w:sz="0" w:space="0" w:color="auto"/>
            <w:right w:val="none" w:sz="0" w:space="0" w:color="auto"/>
          </w:divBdr>
        </w:div>
        <w:div w:id="2051689959">
          <w:marLeft w:val="640"/>
          <w:marRight w:val="0"/>
          <w:marTop w:val="0"/>
          <w:marBottom w:val="0"/>
          <w:divBdr>
            <w:top w:val="none" w:sz="0" w:space="0" w:color="auto"/>
            <w:left w:val="none" w:sz="0" w:space="0" w:color="auto"/>
            <w:bottom w:val="none" w:sz="0" w:space="0" w:color="auto"/>
            <w:right w:val="none" w:sz="0" w:space="0" w:color="auto"/>
          </w:divBdr>
        </w:div>
        <w:div w:id="559445741">
          <w:marLeft w:val="640"/>
          <w:marRight w:val="0"/>
          <w:marTop w:val="0"/>
          <w:marBottom w:val="0"/>
          <w:divBdr>
            <w:top w:val="none" w:sz="0" w:space="0" w:color="auto"/>
            <w:left w:val="none" w:sz="0" w:space="0" w:color="auto"/>
            <w:bottom w:val="none" w:sz="0" w:space="0" w:color="auto"/>
            <w:right w:val="none" w:sz="0" w:space="0" w:color="auto"/>
          </w:divBdr>
        </w:div>
        <w:div w:id="202329190">
          <w:marLeft w:val="640"/>
          <w:marRight w:val="0"/>
          <w:marTop w:val="0"/>
          <w:marBottom w:val="0"/>
          <w:divBdr>
            <w:top w:val="none" w:sz="0" w:space="0" w:color="auto"/>
            <w:left w:val="none" w:sz="0" w:space="0" w:color="auto"/>
            <w:bottom w:val="none" w:sz="0" w:space="0" w:color="auto"/>
            <w:right w:val="none" w:sz="0" w:space="0" w:color="auto"/>
          </w:divBdr>
        </w:div>
        <w:div w:id="1596552799">
          <w:marLeft w:val="640"/>
          <w:marRight w:val="0"/>
          <w:marTop w:val="0"/>
          <w:marBottom w:val="0"/>
          <w:divBdr>
            <w:top w:val="none" w:sz="0" w:space="0" w:color="auto"/>
            <w:left w:val="none" w:sz="0" w:space="0" w:color="auto"/>
            <w:bottom w:val="none" w:sz="0" w:space="0" w:color="auto"/>
            <w:right w:val="none" w:sz="0" w:space="0" w:color="auto"/>
          </w:divBdr>
        </w:div>
        <w:div w:id="2037926649">
          <w:marLeft w:val="640"/>
          <w:marRight w:val="0"/>
          <w:marTop w:val="0"/>
          <w:marBottom w:val="0"/>
          <w:divBdr>
            <w:top w:val="none" w:sz="0" w:space="0" w:color="auto"/>
            <w:left w:val="none" w:sz="0" w:space="0" w:color="auto"/>
            <w:bottom w:val="none" w:sz="0" w:space="0" w:color="auto"/>
            <w:right w:val="none" w:sz="0" w:space="0" w:color="auto"/>
          </w:divBdr>
        </w:div>
        <w:div w:id="97070637">
          <w:marLeft w:val="640"/>
          <w:marRight w:val="0"/>
          <w:marTop w:val="0"/>
          <w:marBottom w:val="0"/>
          <w:divBdr>
            <w:top w:val="none" w:sz="0" w:space="0" w:color="auto"/>
            <w:left w:val="none" w:sz="0" w:space="0" w:color="auto"/>
            <w:bottom w:val="none" w:sz="0" w:space="0" w:color="auto"/>
            <w:right w:val="none" w:sz="0" w:space="0" w:color="auto"/>
          </w:divBdr>
        </w:div>
        <w:div w:id="865409412">
          <w:marLeft w:val="640"/>
          <w:marRight w:val="0"/>
          <w:marTop w:val="0"/>
          <w:marBottom w:val="0"/>
          <w:divBdr>
            <w:top w:val="none" w:sz="0" w:space="0" w:color="auto"/>
            <w:left w:val="none" w:sz="0" w:space="0" w:color="auto"/>
            <w:bottom w:val="none" w:sz="0" w:space="0" w:color="auto"/>
            <w:right w:val="none" w:sz="0" w:space="0" w:color="auto"/>
          </w:divBdr>
        </w:div>
        <w:div w:id="728118034">
          <w:marLeft w:val="640"/>
          <w:marRight w:val="0"/>
          <w:marTop w:val="0"/>
          <w:marBottom w:val="0"/>
          <w:divBdr>
            <w:top w:val="none" w:sz="0" w:space="0" w:color="auto"/>
            <w:left w:val="none" w:sz="0" w:space="0" w:color="auto"/>
            <w:bottom w:val="none" w:sz="0" w:space="0" w:color="auto"/>
            <w:right w:val="none" w:sz="0" w:space="0" w:color="auto"/>
          </w:divBdr>
        </w:div>
        <w:div w:id="1507288884">
          <w:marLeft w:val="640"/>
          <w:marRight w:val="0"/>
          <w:marTop w:val="0"/>
          <w:marBottom w:val="0"/>
          <w:divBdr>
            <w:top w:val="none" w:sz="0" w:space="0" w:color="auto"/>
            <w:left w:val="none" w:sz="0" w:space="0" w:color="auto"/>
            <w:bottom w:val="none" w:sz="0" w:space="0" w:color="auto"/>
            <w:right w:val="none" w:sz="0" w:space="0" w:color="auto"/>
          </w:divBdr>
        </w:div>
        <w:div w:id="1696032747">
          <w:marLeft w:val="640"/>
          <w:marRight w:val="0"/>
          <w:marTop w:val="0"/>
          <w:marBottom w:val="0"/>
          <w:divBdr>
            <w:top w:val="none" w:sz="0" w:space="0" w:color="auto"/>
            <w:left w:val="none" w:sz="0" w:space="0" w:color="auto"/>
            <w:bottom w:val="none" w:sz="0" w:space="0" w:color="auto"/>
            <w:right w:val="none" w:sz="0" w:space="0" w:color="auto"/>
          </w:divBdr>
        </w:div>
        <w:div w:id="839387920">
          <w:marLeft w:val="640"/>
          <w:marRight w:val="0"/>
          <w:marTop w:val="0"/>
          <w:marBottom w:val="0"/>
          <w:divBdr>
            <w:top w:val="none" w:sz="0" w:space="0" w:color="auto"/>
            <w:left w:val="none" w:sz="0" w:space="0" w:color="auto"/>
            <w:bottom w:val="none" w:sz="0" w:space="0" w:color="auto"/>
            <w:right w:val="none" w:sz="0" w:space="0" w:color="auto"/>
          </w:divBdr>
        </w:div>
        <w:div w:id="1043823503">
          <w:marLeft w:val="640"/>
          <w:marRight w:val="0"/>
          <w:marTop w:val="0"/>
          <w:marBottom w:val="0"/>
          <w:divBdr>
            <w:top w:val="none" w:sz="0" w:space="0" w:color="auto"/>
            <w:left w:val="none" w:sz="0" w:space="0" w:color="auto"/>
            <w:bottom w:val="none" w:sz="0" w:space="0" w:color="auto"/>
            <w:right w:val="none" w:sz="0" w:space="0" w:color="auto"/>
          </w:divBdr>
        </w:div>
        <w:div w:id="1043092780">
          <w:marLeft w:val="640"/>
          <w:marRight w:val="0"/>
          <w:marTop w:val="0"/>
          <w:marBottom w:val="0"/>
          <w:divBdr>
            <w:top w:val="none" w:sz="0" w:space="0" w:color="auto"/>
            <w:left w:val="none" w:sz="0" w:space="0" w:color="auto"/>
            <w:bottom w:val="none" w:sz="0" w:space="0" w:color="auto"/>
            <w:right w:val="none" w:sz="0" w:space="0" w:color="auto"/>
          </w:divBdr>
        </w:div>
        <w:div w:id="496113971">
          <w:marLeft w:val="640"/>
          <w:marRight w:val="0"/>
          <w:marTop w:val="0"/>
          <w:marBottom w:val="0"/>
          <w:divBdr>
            <w:top w:val="none" w:sz="0" w:space="0" w:color="auto"/>
            <w:left w:val="none" w:sz="0" w:space="0" w:color="auto"/>
            <w:bottom w:val="none" w:sz="0" w:space="0" w:color="auto"/>
            <w:right w:val="none" w:sz="0" w:space="0" w:color="auto"/>
          </w:divBdr>
        </w:div>
        <w:div w:id="16464485">
          <w:marLeft w:val="640"/>
          <w:marRight w:val="0"/>
          <w:marTop w:val="0"/>
          <w:marBottom w:val="0"/>
          <w:divBdr>
            <w:top w:val="none" w:sz="0" w:space="0" w:color="auto"/>
            <w:left w:val="none" w:sz="0" w:space="0" w:color="auto"/>
            <w:bottom w:val="none" w:sz="0" w:space="0" w:color="auto"/>
            <w:right w:val="none" w:sz="0" w:space="0" w:color="auto"/>
          </w:divBdr>
        </w:div>
        <w:div w:id="1937665673">
          <w:marLeft w:val="640"/>
          <w:marRight w:val="0"/>
          <w:marTop w:val="0"/>
          <w:marBottom w:val="0"/>
          <w:divBdr>
            <w:top w:val="none" w:sz="0" w:space="0" w:color="auto"/>
            <w:left w:val="none" w:sz="0" w:space="0" w:color="auto"/>
            <w:bottom w:val="none" w:sz="0" w:space="0" w:color="auto"/>
            <w:right w:val="none" w:sz="0" w:space="0" w:color="auto"/>
          </w:divBdr>
        </w:div>
        <w:div w:id="593439602">
          <w:marLeft w:val="640"/>
          <w:marRight w:val="0"/>
          <w:marTop w:val="0"/>
          <w:marBottom w:val="0"/>
          <w:divBdr>
            <w:top w:val="none" w:sz="0" w:space="0" w:color="auto"/>
            <w:left w:val="none" w:sz="0" w:space="0" w:color="auto"/>
            <w:bottom w:val="none" w:sz="0" w:space="0" w:color="auto"/>
            <w:right w:val="none" w:sz="0" w:space="0" w:color="auto"/>
          </w:divBdr>
        </w:div>
        <w:div w:id="1941595818">
          <w:marLeft w:val="640"/>
          <w:marRight w:val="0"/>
          <w:marTop w:val="0"/>
          <w:marBottom w:val="0"/>
          <w:divBdr>
            <w:top w:val="none" w:sz="0" w:space="0" w:color="auto"/>
            <w:left w:val="none" w:sz="0" w:space="0" w:color="auto"/>
            <w:bottom w:val="none" w:sz="0" w:space="0" w:color="auto"/>
            <w:right w:val="none" w:sz="0" w:space="0" w:color="auto"/>
          </w:divBdr>
        </w:div>
        <w:div w:id="2100104139">
          <w:marLeft w:val="640"/>
          <w:marRight w:val="0"/>
          <w:marTop w:val="0"/>
          <w:marBottom w:val="0"/>
          <w:divBdr>
            <w:top w:val="none" w:sz="0" w:space="0" w:color="auto"/>
            <w:left w:val="none" w:sz="0" w:space="0" w:color="auto"/>
            <w:bottom w:val="none" w:sz="0" w:space="0" w:color="auto"/>
            <w:right w:val="none" w:sz="0" w:space="0" w:color="auto"/>
          </w:divBdr>
        </w:div>
        <w:div w:id="1072964529">
          <w:marLeft w:val="640"/>
          <w:marRight w:val="0"/>
          <w:marTop w:val="0"/>
          <w:marBottom w:val="0"/>
          <w:divBdr>
            <w:top w:val="none" w:sz="0" w:space="0" w:color="auto"/>
            <w:left w:val="none" w:sz="0" w:space="0" w:color="auto"/>
            <w:bottom w:val="none" w:sz="0" w:space="0" w:color="auto"/>
            <w:right w:val="none" w:sz="0" w:space="0" w:color="auto"/>
          </w:divBdr>
        </w:div>
        <w:div w:id="1791438975">
          <w:marLeft w:val="640"/>
          <w:marRight w:val="0"/>
          <w:marTop w:val="0"/>
          <w:marBottom w:val="0"/>
          <w:divBdr>
            <w:top w:val="none" w:sz="0" w:space="0" w:color="auto"/>
            <w:left w:val="none" w:sz="0" w:space="0" w:color="auto"/>
            <w:bottom w:val="none" w:sz="0" w:space="0" w:color="auto"/>
            <w:right w:val="none" w:sz="0" w:space="0" w:color="auto"/>
          </w:divBdr>
        </w:div>
        <w:div w:id="1983732903">
          <w:marLeft w:val="640"/>
          <w:marRight w:val="0"/>
          <w:marTop w:val="0"/>
          <w:marBottom w:val="0"/>
          <w:divBdr>
            <w:top w:val="none" w:sz="0" w:space="0" w:color="auto"/>
            <w:left w:val="none" w:sz="0" w:space="0" w:color="auto"/>
            <w:bottom w:val="none" w:sz="0" w:space="0" w:color="auto"/>
            <w:right w:val="none" w:sz="0" w:space="0" w:color="auto"/>
          </w:divBdr>
        </w:div>
        <w:div w:id="908611224">
          <w:marLeft w:val="640"/>
          <w:marRight w:val="0"/>
          <w:marTop w:val="0"/>
          <w:marBottom w:val="0"/>
          <w:divBdr>
            <w:top w:val="none" w:sz="0" w:space="0" w:color="auto"/>
            <w:left w:val="none" w:sz="0" w:space="0" w:color="auto"/>
            <w:bottom w:val="none" w:sz="0" w:space="0" w:color="auto"/>
            <w:right w:val="none" w:sz="0" w:space="0" w:color="auto"/>
          </w:divBdr>
        </w:div>
        <w:div w:id="226306987">
          <w:marLeft w:val="640"/>
          <w:marRight w:val="0"/>
          <w:marTop w:val="0"/>
          <w:marBottom w:val="0"/>
          <w:divBdr>
            <w:top w:val="none" w:sz="0" w:space="0" w:color="auto"/>
            <w:left w:val="none" w:sz="0" w:space="0" w:color="auto"/>
            <w:bottom w:val="none" w:sz="0" w:space="0" w:color="auto"/>
            <w:right w:val="none" w:sz="0" w:space="0" w:color="auto"/>
          </w:divBdr>
        </w:div>
        <w:div w:id="711537413">
          <w:marLeft w:val="640"/>
          <w:marRight w:val="0"/>
          <w:marTop w:val="0"/>
          <w:marBottom w:val="0"/>
          <w:divBdr>
            <w:top w:val="none" w:sz="0" w:space="0" w:color="auto"/>
            <w:left w:val="none" w:sz="0" w:space="0" w:color="auto"/>
            <w:bottom w:val="none" w:sz="0" w:space="0" w:color="auto"/>
            <w:right w:val="none" w:sz="0" w:space="0" w:color="auto"/>
          </w:divBdr>
        </w:div>
        <w:div w:id="782456184">
          <w:marLeft w:val="640"/>
          <w:marRight w:val="0"/>
          <w:marTop w:val="0"/>
          <w:marBottom w:val="0"/>
          <w:divBdr>
            <w:top w:val="none" w:sz="0" w:space="0" w:color="auto"/>
            <w:left w:val="none" w:sz="0" w:space="0" w:color="auto"/>
            <w:bottom w:val="none" w:sz="0" w:space="0" w:color="auto"/>
            <w:right w:val="none" w:sz="0" w:space="0" w:color="auto"/>
          </w:divBdr>
        </w:div>
        <w:div w:id="473527945">
          <w:marLeft w:val="640"/>
          <w:marRight w:val="0"/>
          <w:marTop w:val="0"/>
          <w:marBottom w:val="0"/>
          <w:divBdr>
            <w:top w:val="none" w:sz="0" w:space="0" w:color="auto"/>
            <w:left w:val="none" w:sz="0" w:space="0" w:color="auto"/>
            <w:bottom w:val="none" w:sz="0" w:space="0" w:color="auto"/>
            <w:right w:val="none" w:sz="0" w:space="0" w:color="auto"/>
          </w:divBdr>
        </w:div>
        <w:div w:id="673920830">
          <w:marLeft w:val="640"/>
          <w:marRight w:val="0"/>
          <w:marTop w:val="0"/>
          <w:marBottom w:val="0"/>
          <w:divBdr>
            <w:top w:val="none" w:sz="0" w:space="0" w:color="auto"/>
            <w:left w:val="none" w:sz="0" w:space="0" w:color="auto"/>
            <w:bottom w:val="none" w:sz="0" w:space="0" w:color="auto"/>
            <w:right w:val="none" w:sz="0" w:space="0" w:color="auto"/>
          </w:divBdr>
        </w:div>
        <w:div w:id="2086415166">
          <w:marLeft w:val="640"/>
          <w:marRight w:val="0"/>
          <w:marTop w:val="0"/>
          <w:marBottom w:val="0"/>
          <w:divBdr>
            <w:top w:val="none" w:sz="0" w:space="0" w:color="auto"/>
            <w:left w:val="none" w:sz="0" w:space="0" w:color="auto"/>
            <w:bottom w:val="none" w:sz="0" w:space="0" w:color="auto"/>
            <w:right w:val="none" w:sz="0" w:space="0" w:color="auto"/>
          </w:divBdr>
        </w:div>
        <w:div w:id="128910178">
          <w:marLeft w:val="640"/>
          <w:marRight w:val="0"/>
          <w:marTop w:val="0"/>
          <w:marBottom w:val="0"/>
          <w:divBdr>
            <w:top w:val="none" w:sz="0" w:space="0" w:color="auto"/>
            <w:left w:val="none" w:sz="0" w:space="0" w:color="auto"/>
            <w:bottom w:val="none" w:sz="0" w:space="0" w:color="auto"/>
            <w:right w:val="none" w:sz="0" w:space="0" w:color="auto"/>
          </w:divBdr>
        </w:div>
        <w:div w:id="797844257">
          <w:marLeft w:val="640"/>
          <w:marRight w:val="0"/>
          <w:marTop w:val="0"/>
          <w:marBottom w:val="0"/>
          <w:divBdr>
            <w:top w:val="none" w:sz="0" w:space="0" w:color="auto"/>
            <w:left w:val="none" w:sz="0" w:space="0" w:color="auto"/>
            <w:bottom w:val="none" w:sz="0" w:space="0" w:color="auto"/>
            <w:right w:val="none" w:sz="0" w:space="0" w:color="auto"/>
          </w:divBdr>
        </w:div>
        <w:div w:id="1112633011">
          <w:marLeft w:val="640"/>
          <w:marRight w:val="0"/>
          <w:marTop w:val="0"/>
          <w:marBottom w:val="0"/>
          <w:divBdr>
            <w:top w:val="none" w:sz="0" w:space="0" w:color="auto"/>
            <w:left w:val="none" w:sz="0" w:space="0" w:color="auto"/>
            <w:bottom w:val="none" w:sz="0" w:space="0" w:color="auto"/>
            <w:right w:val="none" w:sz="0" w:space="0" w:color="auto"/>
          </w:divBdr>
        </w:div>
        <w:div w:id="471022973">
          <w:marLeft w:val="640"/>
          <w:marRight w:val="0"/>
          <w:marTop w:val="0"/>
          <w:marBottom w:val="0"/>
          <w:divBdr>
            <w:top w:val="none" w:sz="0" w:space="0" w:color="auto"/>
            <w:left w:val="none" w:sz="0" w:space="0" w:color="auto"/>
            <w:bottom w:val="none" w:sz="0" w:space="0" w:color="auto"/>
            <w:right w:val="none" w:sz="0" w:space="0" w:color="auto"/>
          </w:divBdr>
        </w:div>
        <w:div w:id="1572160295">
          <w:marLeft w:val="640"/>
          <w:marRight w:val="0"/>
          <w:marTop w:val="0"/>
          <w:marBottom w:val="0"/>
          <w:divBdr>
            <w:top w:val="none" w:sz="0" w:space="0" w:color="auto"/>
            <w:left w:val="none" w:sz="0" w:space="0" w:color="auto"/>
            <w:bottom w:val="none" w:sz="0" w:space="0" w:color="auto"/>
            <w:right w:val="none" w:sz="0" w:space="0" w:color="auto"/>
          </w:divBdr>
        </w:div>
        <w:div w:id="1423064571">
          <w:marLeft w:val="640"/>
          <w:marRight w:val="0"/>
          <w:marTop w:val="0"/>
          <w:marBottom w:val="0"/>
          <w:divBdr>
            <w:top w:val="none" w:sz="0" w:space="0" w:color="auto"/>
            <w:left w:val="none" w:sz="0" w:space="0" w:color="auto"/>
            <w:bottom w:val="none" w:sz="0" w:space="0" w:color="auto"/>
            <w:right w:val="none" w:sz="0" w:space="0" w:color="auto"/>
          </w:divBdr>
        </w:div>
        <w:div w:id="510029302">
          <w:marLeft w:val="640"/>
          <w:marRight w:val="0"/>
          <w:marTop w:val="0"/>
          <w:marBottom w:val="0"/>
          <w:divBdr>
            <w:top w:val="none" w:sz="0" w:space="0" w:color="auto"/>
            <w:left w:val="none" w:sz="0" w:space="0" w:color="auto"/>
            <w:bottom w:val="none" w:sz="0" w:space="0" w:color="auto"/>
            <w:right w:val="none" w:sz="0" w:space="0" w:color="auto"/>
          </w:divBdr>
        </w:div>
        <w:div w:id="1597052801">
          <w:marLeft w:val="640"/>
          <w:marRight w:val="0"/>
          <w:marTop w:val="0"/>
          <w:marBottom w:val="0"/>
          <w:divBdr>
            <w:top w:val="none" w:sz="0" w:space="0" w:color="auto"/>
            <w:left w:val="none" w:sz="0" w:space="0" w:color="auto"/>
            <w:bottom w:val="none" w:sz="0" w:space="0" w:color="auto"/>
            <w:right w:val="none" w:sz="0" w:space="0" w:color="auto"/>
          </w:divBdr>
        </w:div>
        <w:div w:id="1452817773">
          <w:marLeft w:val="640"/>
          <w:marRight w:val="0"/>
          <w:marTop w:val="0"/>
          <w:marBottom w:val="0"/>
          <w:divBdr>
            <w:top w:val="none" w:sz="0" w:space="0" w:color="auto"/>
            <w:left w:val="none" w:sz="0" w:space="0" w:color="auto"/>
            <w:bottom w:val="none" w:sz="0" w:space="0" w:color="auto"/>
            <w:right w:val="none" w:sz="0" w:space="0" w:color="auto"/>
          </w:divBdr>
        </w:div>
        <w:div w:id="1851874507">
          <w:marLeft w:val="640"/>
          <w:marRight w:val="0"/>
          <w:marTop w:val="0"/>
          <w:marBottom w:val="0"/>
          <w:divBdr>
            <w:top w:val="none" w:sz="0" w:space="0" w:color="auto"/>
            <w:left w:val="none" w:sz="0" w:space="0" w:color="auto"/>
            <w:bottom w:val="none" w:sz="0" w:space="0" w:color="auto"/>
            <w:right w:val="none" w:sz="0" w:space="0" w:color="auto"/>
          </w:divBdr>
        </w:div>
        <w:div w:id="1434127194">
          <w:marLeft w:val="640"/>
          <w:marRight w:val="0"/>
          <w:marTop w:val="0"/>
          <w:marBottom w:val="0"/>
          <w:divBdr>
            <w:top w:val="none" w:sz="0" w:space="0" w:color="auto"/>
            <w:left w:val="none" w:sz="0" w:space="0" w:color="auto"/>
            <w:bottom w:val="none" w:sz="0" w:space="0" w:color="auto"/>
            <w:right w:val="none" w:sz="0" w:space="0" w:color="auto"/>
          </w:divBdr>
        </w:div>
        <w:div w:id="2107311571">
          <w:marLeft w:val="640"/>
          <w:marRight w:val="0"/>
          <w:marTop w:val="0"/>
          <w:marBottom w:val="0"/>
          <w:divBdr>
            <w:top w:val="none" w:sz="0" w:space="0" w:color="auto"/>
            <w:left w:val="none" w:sz="0" w:space="0" w:color="auto"/>
            <w:bottom w:val="none" w:sz="0" w:space="0" w:color="auto"/>
            <w:right w:val="none" w:sz="0" w:space="0" w:color="auto"/>
          </w:divBdr>
        </w:div>
        <w:div w:id="1952931463">
          <w:marLeft w:val="640"/>
          <w:marRight w:val="0"/>
          <w:marTop w:val="0"/>
          <w:marBottom w:val="0"/>
          <w:divBdr>
            <w:top w:val="none" w:sz="0" w:space="0" w:color="auto"/>
            <w:left w:val="none" w:sz="0" w:space="0" w:color="auto"/>
            <w:bottom w:val="none" w:sz="0" w:space="0" w:color="auto"/>
            <w:right w:val="none" w:sz="0" w:space="0" w:color="auto"/>
          </w:divBdr>
        </w:div>
        <w:div w:id="1776707102">
          <w:marLeft w:val="640"/>
          <w:marRight w:val="0"/>
          <w:marTop w:val="0"/>
          <w:marBottom w:val="0"/>
          <w:divBdr>
            <w:top w:val="none" w:sz="0" w:space="0" w:color="auto"/>
            <w:left w:val="none" w:sz="0" w:space="0" w:color="auto"/>
            <w:bottom w:val="none" w:sz="0" w:space="0" w:color="auto"/>
            <w:right w:val="none" w:sz="0" w:space="0" w:color="auto"/>
          </w:divBdr>
        </w:div>
        <w:div w:id="1442065052">
          <w:marLeft w:val="640"/>
          <w:marRight w:val="0"/>
          <w:marTop w:val="0"/>
          <w:marBottom w:val="0"/>
          <w:divBdr>
            <w:top w:val="none" w:sz="0" w:space="0" w:color="auto"/>
            <w:left w:val="none" w:sz="0" w:space="0" w:color="auto"/>
            <w:bottom w:val="none" w:sz="0" w:space="0" w:color="auto"/>
            <w:right w:val="none" w:sz="0" w:space="0" w:color="auto"/>
          </w:divBdr>
        </w:div>
        <w:div w:id="1928876606">
          <w:marLeft w:val="640"/>
          <w:marRight w:val="0"/>
          <w:marTop w:val="0"/>
          <w:marBottom w:val="0"/>
          <w:divBdr>
            <w:top w:val="none" w:sz="0" w:space="0" w:color="auto"/>
            <w:left w:val="none" w:sz="0" w:space="0" w:color="auto"/>
            <w:bottom w:val="none" w:sz="0" w:space="0" w:color="auto"/>
            <w:right w:val="none" w:sz="0" w:space="0" w:color="auto"/>
          </w:divBdr>
        </w:div>
        <w:div w:id="1717662600">
          <w:marLeft w:val="640"/>
          <w:marRight w:val="0"/>
          <w:marTop w:val="0"/>
          <w:marBottom w:val="0"/>
          <w:divBdr>
            <w:top w:val="none" w:sz="0" w:space="0" w:color="auto"/>
            <w:left w:val="none" w:sz="0" w:space="0" w:color="auto"/>
            <w:bottom w:val="none" w:sz="0" w:space="0" w:color="auto"/>
            <w:right w:val="none" w:sz="0" w:space="0" w:color="auto"/>
          </w:divBdr>
        </w:div>
        <w:div w:id="1347630062">
          <w:marLeft w:val="640"/>
          <w:marRight w:val="0"/>
          <w:marTop w:val="0"/>
          <w:marBottom w:val="0"/>
          <w:divBdr>
            <w:top w:val="none" w:sz="0" w:space="0" w:color="auto"/>
            <w:left w:val="none" w:sz="0" w:space="0" w:color="auto"/>
            <w:bottom w:val="none" w:sz="0" w:space="0" w:color="auto"/>
            <w:right w:val="none" w:sz="0" w:space="0" w:color="auto"/>
          </w:divBdr>
        </w:div>
        <w:div w:id="279649379">
          <w:marLeft w:val="640"/>
          <w:marRight w:val="0"/>
          <w:marTop w:val="0"/>
          <w:marBottom w:val="0"/>
          <w:divBdr>
            <w:top w:val="none" w:sz="0" w:space="0" w:color="auto"/>
            <w:left w:val="none" w:sz="0" w:space="0" w:color="auto"/>
            <w:bottom w:val="none" w:sz="0" w:space="0" w:color="auto"/>
            <w:right w:val="none" w:sz="0" w:space="0" w:color="auto"/>
          </w:divBdr>
        </w:div>
        <w:div w:id="1519076391">
          <w:marLeft w:val="640"/>
          <w:marRight w:val="0"/>
          <w:marTop w:val="0"/>
          <w:marBottom w:val="0"/>
          <w:divBdr>
            <w:top w:val="none" w:sz="0" w:space="0" w:color="auto"/>
            <w:left w:val="none" w:sz="0" w:space="0" w:color="auto"/>
            <w:bottom w:val="none" w:sz="0" w:space="0" w:color="auto"/>
            <w:right w:val="none" w:sz="0" w:space="0" w:color="auto"/>
          </w:divBdr>
        </w:div>
        <w:div w:id="1888638167">
          <w:marLeft w:val="640"/>
          <w:marRight w:val="0"/>
          <w:marTop w:val="0"/>
          <w:marBottom w:val="0"/>
          <w:divBdr>
            <w:top w:val="none" w:sz="0" w:space="0" w:color="auto"/>
            <w:left w:val="none" w:sz="0" w:space="0" w:color="auto"/>
            <w:bottom w:val="none" w:sz="0" w:space="0" w:color="auto"/>
            <w:right w:val="none" w:sz="0" w:space="0" w:color="auto"/>
          </w:divBdr>
        </w:div>
        <w:div w:id="310645301">
          <w:marLeft w:val="640"/>
          <w:marRight w:val="0"/>
          <w:marTop w:val="0"/>
          <w:marBottom w:val="0"/>
          <w:divBdr>
            <w:top w:val="none" w:sz="0" w:space="0" w:color="auto"/>
            <w:left w:val="none" w:sz="0" w:space="0" w:color="auto"/>
            <w:bottom w:val="none" w:sz="0" w:space="0" w:color="auto"/>
            <w:right w:val="none" w:sz="0" w:space="0" w:color="auto"/>
          </w:divBdr>
        </w:div>
        <w:div w:id="305857046">
          <w:marLeft w:val="640"/>
          <w:marRight w:val="0"/>
          <w:marTop w:val="0"/>
          <w:marBottom w:val="0"/>
          <w:divBdr>
            <w:top w:val="none" w:sz="0" w:space="0" w:color="auto"/>
            <w:left w:val="none" w:sz="0" w:space="0" w:color="auto"/>
            <w:bottom w:val="none" w:sz="0" w:space="0" w:color="auto"/>
            <w:right w:val="none" w:sz="0" w:space="0" w:color="auto"/>
          </w:divBdr>
        </w:div>
        <w:div w:id="1052726171">
          <w:marLeft w:val="640"/>
          <w:marRight w:val="0"/>
          <w:marTop w:val="0"/>
          <w:marBottom w:val="0"/>
          <w:divBdr>
            <w:top w:val="none" w:sz="0" w:space="0" w:color="auto"/>
            <w:left w:val="none" w:sz="0" w:space="0" w:color="auto"/>
            <w:bottom w:val="none" w:sz="0" w:space="0" w:color="auto"/>
            <w:right w:val="none" w:sz="0" w:space="0" w:color="auto"/>
          </w:divBdr>
        </w:div>
        <w:div w:id="339427064">
          <w:marLeft w:val="640"/>
          <w:marRight w:val="0"/>
          <w:marTop w:val="0"/>
          <w:marBottom w:val="0"/>
          <w:divBdr>
            <w:top w:val="none" w:sz="0" w:space="0" w:color="auto"/>
            <w:left w:val="none" w:sz="0" w:space="0" w:color="auto"/>
            <w:bottom w:val="none" w:sz="0" w:space="0" w:color="auto"/>
            <w:right w:val="none" w:sz="0" w:space="0" w:color="auto"/>
          </w:divBdr>
        </w:div>
        <w:div w:id="1243567297">
          <w:marLeft w:val="640"/>
          <w:marRight w:val="0"/>
          <w:marTop w:val="0"/>
          <w:marBottom w:val="0"/>
          <w:divBdr>
            <w:top w:val="none" w:sz="0" w:space="0" w:color="auto"/>
            <w:left w:val="none" w:sz="0" w:space="0" w:color="auto"/>
            <w:bottom w:val="none" w:sz="0" w:space="0" w:color="auto"/>
            <w:right w:val="none" w:sz="0" w:space="0" w:color="auto"/>
          </w:divBdr>
        </w:div>
        <w:div w:id="920257693">
          <w:marLeft w:val="640"/>
          <w:marRight w:val="0"/>
          <w:marTop w:val="0"/>
          <w:marBottom w:val="0"/>
          <w:divBdr>
            <w:top w:val="none" w:sz="0" w:space="0" w:color="auto"/>
            <w:left w:val="none" w:sz="0" w:space="0" w:color="auto"/>
            <w:bottom w:val="none" w:sz="0" w:space="0" w:color="auto"/>
            <w:right w:val="none" w:sz="0" w:space="0" w:color="auto"/>
          </w:divBdr>
        </w:div>
        <w:div w:id="27218649">
          <w:marLeft w:val="640"/>
          <w:marRight w:val="0"/>
          <w:marTop w:val="0"/>
          <w:marBottom w:val="0"/>
          <w:divBdr>
            <w:top w:val="none" w:sz="0" w:space="0" w:color="auto"/>
            <w:left w:val="none" w:sz="0" w:space="0" w:color="auto"/>
            <w:bottom w:val="none" w:sz="0" w:space="0" w:color="auto"/>
            <w:right w:val="none" w:sz="0" w:space="0" w:color="auto"/>
          </w:divBdr>
        </w:div>
        <w:div w:id="1226182086">
          <w:marLeft w:val="640"/>
          <w:marRight w:val="0"/>
          <w:marTop w:val="0"/>
          <w:marBottom w:val="0"/>
          <w:divBdr>
            <w:top w:val="none" w:sz="0" w:space="0" w:color="auto"/>
            <w:left w:val="none" w:sz="0" w:space="0" w:color="auto"/>
            <w:bottom w:val="none" w:sz="0" w:space="0" w:color="auto"/>
            <w:right w:val="none" w:sz="0" w:space="0" w:color="auto"/>
          </w:divBdr>
        </w:div>
        <w:div w:id="1086608363">
          <w:marLeft w:val="640"/>
          <w:marRight w:val="0"/>
          <w:marTop w:val="0"/>
          <w:marBottom w:val="0"/>
          <w:divBdr>
            <w:top w:val="none" w:sz="0" w:space="0" w:color="auto"/>
            <w:left w:val="none" w:sz="0" w:space="0" w:color="auto"/>
            <w:bottom w:val="none" w:sz="0" w:space="0" w:color="auto"/>
            <w:right w:val="none" w:sz="0" w:space="0" w:color="auto"/>
          </w:divBdr>
        </w:div>
        <w:div w:id="1202983661">
          <w:marLeft w:val="640"/>
          <w:marRight w:val="0"/>
          <w:marTop w:val="0"/>
          <w:marBottom w:val="0"/>
          <w:divBdr>
            <w:top w:val="none" w:sz="0" w:space="0" w:color="auto"/>
            <w:left w:val="none" w:sz="0" w:space="0" w:color="auto"/>
            <w:bottom w:val="none" w:sz="0" w:space="0" w:color="auto"/>
            <w:right w:val="none" w:sz="0" w:space="0" w:color="auto"/>
          </w:divBdr>
        </w:div>
        <w:div w:id="1861505436">
          <w:marLeft w:val="640"/>
          <w:marRight w:val="0"/>
          <w:marTop w:val="0"/>
          <w:marBottom w:val="0"/>
          <w:divBdr>
            <w:top w:val="none" w:sz="0" w:space="0" w:color="auto"/>
            <w:left w:val="none" w:sz="0" w:space="0" w:color="auto"/>
            <w:bottom w:val="none" w:sz="0" w:space="0" w:color="auto"/>
            <w:right w:val="none" w:sz="0" w:space="0" w:color="auto"/>
          </w:divBdr>
        </w:div>
        <w:div w:id="738476433">
          <w:marLeft w:val="640"/>
          <w:marRight w:val="0"/>
          <w:marTop w:val="0"/>
          <w:marBottom w:val="0"/>
          <w:divBdr>
            <w:top w:val="none" w:sz="0" w:space="0" w:color="auto"/>
            <w:left w:val="none" w:sz="0" w:space="0" w:color="auto"/>
            <w:bottom w:val="none" w:sz="0" w:space="0" w:color="auto"/>
            <w:right w:val="none" w:sz="0" w:space="0" w:color="auto"/>
          </w:divBdr>
        </w:div>
        <w:div w:id="224536848">
          <w:marLeft w:val="640"/>
          <w:marRight w:val="0"/>
          <w:marTop w:val="0"/>
          <w:marBottom w:val="0"/>
          <w:divBdr>
            <w:top w:val="none" w:sz="0" w:space="0" w:color="auto"/>
            <w:left w:val="none" w:sz="0" w:space="0" w:color="auto"/>
            <w:bottom w:val="none" w:sz="0" w:space="0" w:color="auto"/>
            <w:right w:val="none" w:sz="0" w:space="0" w:color="auto"/>
          </w:divBdr>
        </w:div>
        <w:div w:id="1510025909">
          <w:marLeft w:val="640"/>
          <w:marRight w:val="0"/>
          <w:marTop w:val="0"/>
          <w:marBottom w:val="0"/>
          <w:divBdr>
            <w:top w:val="none" w:sz="0" w:space="0" w:color="auto"/>
            <w:left w:val="none" w:sz="0" w:space="0" w:color="auto"/>
            <w:bottom w:val="none" w:sz="0" w:space="0" w:color="auto"/>
            <w:right w:val="none" w:sz="0" w:space="0" w:color="auto"/>
          </w:divBdr>
        </w:div>
        <w:div w:id="1449471260">
          <w:marLeft w:val="640"/>
          <w:marRight w:val="0"/>
          <w:marTop w:val="0"/>
          <w:marBottom w:val="0"/>
          <w:divBdr>
            <w:top w:val="none" w:sz="0" w:space="0" w:color="auto"/>
            <w:left w:val="none" w:sz="0" w:space="0" w:color="auto"/>
            <w:bottom w:val="none" w:sz="0" w:space="0" w:color="auto"/>
            <w:right w:val="none" w:sz="0" w:space="0" w:color="auto"/>
          </w:divBdr>
        </w:div>
        <w:div w:id="927273973">
          <w:marLeft w:val="640"/>
          <w:marRight w:val="0"/>
          <w:marTop w:val="0"/>
          <w:marBottom w:val="0"/>
          <w:divBdr>
            <w:top w:val="none" w:sz="0" w:space="0" w:color="auto"/>
            <w:left w:val="none" w:sz="0" w:space="0" w:color="auto"/>
            <w:bottom w:val="none" w:sz="0" w:space="0" w:color="auto"/>
            <w:right w:val="none" w:sz="0" w:space="0" w:color="auto"/>
          </w:divBdr>
        </w:div>
        <w:div w:id="411588164">
          <w:marLeft w:val="640"/>
          <w:marRight w:val="0"/>
          <w:marTop w:val="0"/>
          <w:marBottom w:val="0"/>
          <w:divBdr>
            <w:top w:val="none" w:sz="0" w:space="0" w:color="auto"/>
            <w:left w:val="none" w:sz="0" w:space="0" w:color="auto"/>
            <w:bottom w:val="none" w:sz="0" w:space="0" w:color="auto"/>
            <w:right w:val="none" w:sz="0" w:space="0" w:color="auto"/>
          </w:divBdr>
        </w:div>
        <w:div w:id="1671057973">
          <w:marLeft w:val="640"/>
          <w:marRight w:val="0"/>
          <w:marTop w:val="0"/>
          <w:marBottom w:val="0"/>
          <w:divBdr>
            <w:top w:val="none" w:sz="0" w:space="0" w:color="auto"/>
            <w:left w:val="none" w:sz="0" w:space="0" w:color="auto"/>
            <w:bottom w:val="none" w:sz="0" w:space="0" w:color="auto"/>
            <w:right w:val="none" w:sz="0" w:space="0" w:color="auto"/>
          </w:divBdr>
        </w:div>
        <w:div w:id="1336029999">
          <w:marLeft w:val="640"/>
          <w:marRight w:val="0"/>
          <w:marTop w:val="0"/>
          <w:marBottom w:val="0"/>
          <w:divBdr>
            <w:top w:val="none" w:sz="0" w:space="0" w:color="auto"/>
            <w:left w:val="none" w:sz="0" w:space="0" w:color="auto"/>
            <w:bottom w:val="none" w:sz="0" w:space="0" w:color="auto"/>
            <w:right w:val="none" w:sz="0" w:space="0" w:color="auto"/>
          </w:divBdr>
        </w:div>
        <w:div w:id="1613632358">
          <w:marLeft w:val="640"/>
          <w:marRight w:val="0"/>
          <w:marTop w:val="0"/>
          <w:marBottom w:val="0"/>
          <w:divBdr>
            <w:top w:val="none" w:sz="0" w:space="0" w:color="auto"/>
            <w:left w:val="none" w:sz="0" w:space="0" w:color="auto"/>
            <w:bottom w:val="none" w:sz="0" w:space="0" w:color="auto"/>
            <w:right w:val="none" w:sz="0" w:space="0" w:color="auto"/>
          </w:divBdr>
        </w:div>
        <w:div w:id="829714015">
          <w:marLeft w:val="640"/>
          <w:marRight w:val="0"/>
          <w:marTop w:val="0"/>
          <w:marBottom w:val="0"/>
          <w:divBdr>
            <w:top w:val="none" w:sz="0" w:space="0" w:color="auto"/>
            <w:left w:val="none" w:sz="0" w:space="0" w:color="auto"/>
            <w:bottom w:val="none" w:sz="0" w:space="0" w:color="auto"/>
            <w:right w:val="none" w:sz="0" w:space="0" w:color="auto"/>
          </w:divBdr>
        </w:div>
        <w:div w:id="1195072140">
          <w:marLeft w:val="640"/>
          <w:marRight w:val="0"/>
          <w:marTop w:val="0"/>
          <w:marBottom w:val="0"/>
          <w:divBdr>
            <w:top w:val="none" w:sz="0" w:space="0" w:color="auto"/>
            <w:left w:val="none" w:sz="0" w:space="0" w:color="auto"/>
            <w:bottom w:val="none" w:sz="0" w:space="0" w:color="auto"/>
            <w:right w:val="none" w:sz="0" w:space="0" w:color="auto"/>
          </w:divBdr>
        </w:div>
        <w:div w:id="1491869926">
          <w:marLeft w:val="640"/>
          <w:marRight w:val="0"/>
          <w:marTop w:val="0"/>
          <w:marBottom w:val="0"/>
          <w:divBdr>
            <w:top w:val="none" w:sz="0" w:space="0" w:color="auto"/>
            <w:left w:val="none" w:sz="0" w:space="0" w:color="auto"/>
            <w:bottom w:val="none" w:sz="0" w:space="0" w:color="auto"/>
            <w:right w:val="none" w:sz="0" w:space="0" w:color="auto"/>
          </w:divBdr>
        </w:div>
        <w:div w:id="812791816">
          <w:marLeft w:val="640"/>
          <w:marRight w:val="0"/>
          <w:marTop w:val="0"/>
          <w:marBottom w:val="0"/>
          <w:divBdr>
            <w:top w:val="none" w:sz="0" w:space="0" w:color="auto"/>
            <w:left w:val="none" w:sz="0" w:space="0" w:color="auto"/>
            <w:bottom w:val="none" w:sz="0" w:space="0" w:color="auto"/>
            <w:right w:val="none" w:sz="0" w:space="0" w:color="auto"/>
          </w:divBdr>
        </w:div>
        <w:div w:id="1090194415">
          <w:marLeft w:val="640"/>
          <w:marRight w:val="0"/>
          <w:marTop w:val="0"/>
          <w:marBottom w:val="0"/>
          <w:divBdr>
            <w:top w:val="none" w:sz="0" w:space="0" w:color="auto"/>
            <w:left w:val="none" w:sz="0" w:space="0" w:color="auto"/>
            <w:bottom w:val="none" w:sz="0" w:space="0" w:color="auto"/>
            <w:right w:val="none" w:sz="0" w:space="0" w:color="auto"/>
          </w:divBdr>
        </w:div>
        <w:div w:id="1839539924">
          <w:marLeft w:val="640"/>
          <w:marRight w:val="0"/>
          <w:marTop w:val="0"/>
          <w:marBottom w:val="0"/>
          <w:divBdr>
            <w:top w:val="none" w:sz="0" w:space="0" w:color="auto"/>
            <w:left w:val="none" w:sz="0" w:space="0" w:color="auto"/>
            <w:bottom w:val="none" w:sz="0" w:space="0" w:color="auto"/>
            <w:right w:val="none" w:sz="0" w:space="0" w:color="auto"/>
          </w:divBdr>
        </w:div>
        <w:div w:id="997731050">
          <w:marLeft w:val="640"/>
          <w:marRight w:val="0"/>
          <w:marTop w:val="0"/>
          <w:marBottom w:val="0"/>
          <w:divBdr>
            <w:top w:val="none" w:sz="0" w:space="0" w:color="auto"/>
            <w:left w:val="none" w:sz="0" w:space="0" w:color="auto"/>
            <w:bottom w:val="none" w:sz="0" w:space="0" w:color="auto"/>
            <w:right w:val="none" w:sz="0" w:space="0" w:color="auto"/>
          </w:divBdr>
        </w:div>
        <w:div w:id="723213535">
          <w:marLeft w:val="640"/>
          <w:marRight w:val="0"/>
          <w:marTop w:val="0"/>
          <w:marBottom w:val="0"/>
          <w:divBdr>
            <w:top w:val="none" w:sz="0" w:space="0" w:color="auto"/>
            <w:left w:val="none" w:sz="0" w:space="0" w:color="auto"/>
            <w:bottom w:val="none" w:sz="0" w:space="0" w:color="auto"/>
            <w:right w:val="none" w:sz="0" w:space="0" w:color="auto"/>
          </w:divBdr>
        </w:div>
        <w:div w:id="854733653">
          <w:marLeft w:val="640"/>
          <w:marRight w:val="0"/>
          <w:marTop w:val="0"/>
          <w:marBottom w:val="0"/>
          <w:divBdr>
            <w:top w:val="none" w:sz="0" w:space="0" w:color="auto"/>
            <w:left w:val="none" w:sz="0" w:space="0" w:color="auto"/>
            <w:bottom w:val="none" w:sz="0" w:space="0" w:color="auto"/>
            <w:right w:val="none" w:sz="0" w:space="0" w:color="auto"/>
          </w:divBdr>
        </w:div>
        <w:div w:id="213741880">
          <w:marLeft w:val="640"/>
          <w:marRight w:val="0"/>
          <w:marTop w:val="0"/>
          <w:marBottom w:val="0"/>
          <w:divBdr>
            <w:top w:val="none" w:sz="0" w:space="0" w:color="auto"/>
            <w:left w:val="none" w:sz="0" w:space="0" w:color="auto"/>
            <w:bottom w:val="none" w:sz="0" w:space="0" w:color="auto"/>
            <w:right w:val="none" w:sz="0" w:space="0" w:color="auto"/>
          </w:divBdr>
        </w:div>
        <w:div w:id="2117753639">
          <w:marLeft w:val="640"/>
          <w:marRight w:val="0"/>
          <w:marTop w:val="0"/>
          <w:marBottom w:val="0"/>
          <w:divBdr>
            <w:top w:val="none" w:sz="0" w:space="0" w:color="auto"/>
            <w:left w:val="none" w:sz="0" w:space="0" w:color="auto"/>
            <w:bottom w:val="none" w:sz="0" w:space="0" w:color="auto"/>
            <w:right w:val="none" w:sz="0" w:space="0" w:color="auto"/>
          </w:divBdr>
        </w:div>
        <w:div w:id="1910531979">
          <w:marLeft w:val="640"/>
          <w:marRight w:val="0"/>
          <w:marTop w:val="0"/>
          <w:marBottom w:val="0"/>
          <w:divBdr>
            <w:top w:val="none" w:sz="0" w:space="0" w:color="auto"/>
            <w:left w:val="none" w:sz="0" w:space="0" w:color="auto"/>
            <w:bottom w:val="none" w:sz="0" w:space="0" w:color="auto"/>
            <w:right w:val="none" w:sz="0" w:space="0" w:color="auto"/>
          </w:divBdr>
        </w:div>
        <w:div w:id="830103568">
          <w:marLeft w:val="640"/>
          <w:marRight w:val="0"/>
          <w:marTop w:val="0"/>
          <w:marBottom w:val="0"/>
          <w:divBdr>
            <w:top w:val="none" w:sz="0" w:space="0" w:color="auto"/>
            <w:left w:val="none" w:sz="0" w:space="0" w:color="auto"/>
            <w:bottom w:val="none" w:sz="0" w:space="0" w:color="auto"/>
            <w:right w:val="none" w:sz="0" w:space="0" w:color="auto"/>
          </w:divBdr>
        </w:div>
        <w:div w:id="1016076341">
          <w:marLeft w:val="640"/>
          <w:marRight w:val="0"/>
          <w:marTop w:val="0"/>
          <w:marBottom w:val="0"/>
          <w:divBdr>
            <w:top w:val="none" w:sz="0" w:space="0" w:color="auto"/>
            <w:left w:val="none" w:sz="0" w:space="0" w:color="auto"/>
            <w:bottom w:val="none" w:sz="0" w:space="0" w:color="auto"/>
            <w:right w:val="none" w:sz="0" w:space="0" w:color="auto"/>
          </w:divBdr>
        </w:div>
        <w:div w:id="90901225">
          <w:marLeft w:val="640"/>
          <w:marRight w:val="0"/>
          <w:marTop w:val="0"/>
          <w:marBottom w:val="0"/>
          <w:divBdr>
            <w:top w:val="none" w:sz="0" w:space="0" w:color="auto"/>
            <w:left w:val="none" w:sz="0" w:space="0" w:color="auto"/>
            <w:bottom w:val="none" w:sz="0" w:space="0" w:color="auto"/>
            <w:right w:val="none" w:sz="0" w:space="0" w:color="auto"/>
          </w:divBdr>
        </w:div>
        <w:div w:id="1232502121">
          <w:marLeft w:val="640"/>
          <w:marRight w:val="0"/>
          <w:marTop w:val="0"/>
          <w:marBottom w:val="0"/>
          <w:divBdr>
            <w:top w:val="none" w:sz="0" w:space="0" w:color="auto"/>
            <w:left w:val="none" w:sz="0" w:space="0" w:color="auto"/>
            <w:bottom w:val="none" w:sz="0" w:space="0" w:color="auto"/>
            <w:right w:val="none" w:sz="0" w:space="0" w:color="auto"/>
          </w:divBdr>
        </w:div>
        <w:div w:id="750195201">
          <w:marLeft w:val="640"/>
          <w:marRight w:val="0"/>
          <w:marTop w:val="0"/>
          <w:marBottom w:val="0"/>
          <w:divBdr>
            <w:top w:val="none" w:sz="0" w:space="0" w:color="auto"/>
            <w:left w:val="none" w:sz="0" w:space="0" w:color="auto"/>
            <w:bottom w:val="none" w:sz="0" w:space="0" w:color="auto"/>
            <w:right w:val="none" w:sz="0" w:space="0" w:color="auto"/>
          </w:divBdr>
        </w:div>
        <w:div w:id="644507028">
          <w:marLeft w:val="640"/>
          <w:marRight w:val="0"/>
          <w:marTop w:val="0"/>
          <w:marBottom w:val="0"/>
          <w:divBdr>
            <w:top w:val="none" w:sz="0" w:space="0" w:color="auto"/>
            <w:left w:val="none" w:sz="0" w:space="0" w:color="auto"/>
            <w:bottom w:val="none" w:sz="0" w:space="0" w:color="auto"/>
            <w:right w:val="none" w:sz="0" w:space="0" w:color="auto"/>
          </w:divBdr>
        </w:div>
        <w:div w:id="2035567894">
          <w:marLeft w:val="640"/>
          <w:marRight w:val="0"/>
          <w:marTop w:val="0"/>
          <w:marBottom w:val="0"/>
          <w:divBdr>
            <w:top w:val="none" w:sz="0" w:space="0" w:color="auto"/>
            <w:left w:val="none" w:sz="0" w:space="0" w:color="auto"/>
            <w:bottom w:val="none" w:sz="0" w:space="0" w:color="auto"/>
            <w:right w:val="none" w:sz="0" w:space="0" w:color="auto"/>
          </w:divBdr>
        </w:div>
        <w:div w:id="1755589227">
          <w:marLeft w:val="640"/>
          <w:marRight w:val="0"/>
          <w:marTop w:val="0"/>
          <w:marBottom w:val="0"/>
          <w:divBdr>
            <w:top w:val="none" w:sz="0" w:space="0" w:color="auto"/>
            <w:left w:val="none" w:sz="0" w:space="0" w:color="auto"/>
            <w:bottom w:val="none" w:sz="0" w:space="0" w:color="auto"/>
            <w:right w:val="none" w:sz="0" w:space="0" w:color="auto"/>
          </w:divBdr>
        </w:div>
        <w:div w:id="720520841">
          <w:marLeft w:val="640"/>
          <w:marRight w:val="0"/>
          <w:marTop w:val="0"/>
          <w:marBottom w:val="0"/>
          <w:divBdr>
            <w:top w:val="none" w:sz="0" w:space="0" w:color="auto"/>
            <w:left w:val="none" w:sz="0" w:space="0" w:color="auto"/>
            <w:bottom w:val="none" w:sz="0" w:space="0" w:color="auto"/>
            <w:right w:val="none" w:sz="0" w:space="0" w:color="auto"/>
          </w:divBdr>
        </w:div>
        <w:div w:id="252318447">
          <w:marLeft w:val="640"/>
          <w:marRight w:val="0"/>
          <w:marTop w:val="0"/>
          <w:marBottom w:val="0"/>
          <w:divBdr>
            <w:top w:val="none" w:sz="0" w:space="0" w:color="auto"/>
            <w:left w:val="none" w:sz="0" w:space="0" w:color="auto"/>
            <w:bottom w:val="none" w:sz="0" w:space="0" w:color="auto"/>
            <w:right w:val="none" w:sz="0" w:space="0" w:color="auto"/>
          </w:divBdr>
        </w:div>
        <w:div w:id="280066058">
          <w:marLeft w:val="640"/>
          <w:marRight w:val="0"/>
          <w:marTop w:val="0"/>
          <w:marBottom w:val="0"/>
          <w:divBdr>
            <w:top w:val="none" w:sz="0" w:space="0" w:color="auto"/>
            <w:left w:val="none" w:sz="0" w:space="0" w:color="auto"/>
            <w:bottom w:val="none" w:sz="0" w:space="0" w:color="auto"/>
            <w:right w:val="none" w:sz="0" w:space="0" w:color="auto"/>
          </w:divBdr>
        </w:div>
        <w:div w:id="512843782">
          <w:marLeft w:val="640"/>
          <w:marRight w:val="0"/>
          <w:marTop w:val="0"/>
          <w:marBottom w:val="0"/>
          <w:divBdr>
            <w:top w:val="none" w:sz="0" w:space="0" w:color="auto"/>
            <w:left w:val="none" w:sz="0" w:space="0" w:color="auto"/>
            <w:bottom w:val="none" w:sz="0" w:space="0" w:color="auto"/>
            <w:right w:val="none" w:sz="0" w:space="0" w:color="auto"/>
          </w:divBdr>
        </w:div>
        <w:div w:id="53506858">
          <w:marLeft w:val="640"/>
          <w:marRight w:val="0"/>
          <w:marTop w:val="0"/>
          <w:marBottom w:val="0"/>
          <w:divBdr>
            <w:top w:val="none" w:sz="0" w:space="0" w:color="auto"/>
            <w:left w:val="none" w:sz="0" w:space="0" w:color="auto"/>
            <w:bottom w:val="none" w:sz="0" w:space="0" w:color="auto"/>
            <w:right w:val="none" w:sz="0" w:space="0" w:color="auto"/>
          </w:divBdr>
        </w:div>
        <w:div w:id="1932619313">
          <w:marLeft w:val="640"/>
          <w:marRight w:val="0"/>
          <w:marTop w:val="0"/>
          <w:marBottom w:val="0"/>
          <w:divBdr>
            <w:top w:val="none" w:sz="0" w:space="0" w:color="auto"/>
            <w:left w:val="none" w:sz="0" w:space="0" w:color="auto"/>
            <w:bottom w:val="none" w:sz="0" w:space="0" w:color="auto"/>
            <w:right w:val="none" w:sz="0" w:space="0" w:color="auto"/>
          </w:divBdr>
        </w:div>
        <w:div w:id="1651710993">
          <w:marLeft w:val="640"/>
          <w:marRight w:val="0"/>
          <w:marTop w:val="0"/>
          <w:marBottom w:val="0"/>
          <w:divBdr>
            <w:top w:val="none" w:sz="0" w:space="0" w:color="auto"/>
            <w:left w:val="none" w:sz="0" w:space="0" w:color="auto"/>
            <w:bottom w:val="none" w:sz="0" w:space="0" w:color="auto"/>
            <w:right w:val="none" w:sz="0" w:space="0" w:color="auto"/>
          </w:divBdr>
        </w:div>
        <w:div w:id="1758986661">
          <w:marLeft w:val="640"/>
          <w:marRight w:val="0"/>
          <w:marTop w:val="0"/>
          <w:marBottom w:val="0"/>
          <w:divBdr>
            <w:top w:val="none" w:sz="0" w:space="0" w:color="auto"/>
            <w:left w:val="none" w:sz="0" w:space="0" w:color="auto"/>
            <w:bottom w:val="none" w:sz="0" w:space="0" w:color="auto"/>
            <w:right w:val="none" w:sz="0" w:space="0" w:color="auto"/>
          </w:divBdr>
        </w:div>
      </w:divsChild>
    </w:div>
    <w:div w:id="54016041">
      <w:bodyDiv w:val="1"/>
      <w:marLeft w:val="0"/>
      <w:marRight w:val="0"/>
      <w:marTop w:val="0"/>
      <w:marBottom w:val="0"/>
      <w:divBdr>
        <w:top w:val="none" w:sz="0" w:space="0" w:color="auto"/>
        <w:left w:val="none" w:sz="0" w:space="0" w:color="auto"/>
        <w:bottom w:val="none" w:sz="0" w:space="0" w:color="auto"/>
        <w:right w:val="none" w:sz="0" w:space="0" w:color="auto"/>
      </w:divBdr>
      <w:divsChild>
        <w:div w:id="1617524557">
          <w:marLeft w:val="640"/>
          <w:marRight w:val="0"/>
          <w:marTop w:val="0"/>
          <w:marBottom w:val="0"/>
          <w:divBdr>
            <w:top w:val="none" w:sz="0" w:space="0" w:color="auto"/>
            <w:left w:val="none" w:sz="0" w:space="0" w:color="auto"/>
            <w:bottom w:val="none" w:sz="0" w:space="0" w:color="auto"/>
            <w:right w:val="none" w:sz="0" w:space="0" w:color="auto"/>
          </w:divBdr>
        </w:div>
        <w:div w:id="1354383258">
          <w:marLeft w:val="640"/>
          <w:marRight w:val="0"/>
          <w:marTop w:val="0"/>
          <w:marBottom w:val="0"/>
          <w:divBdr>
            <w:top w:val="none" w:sz="0" w:space="0" w:color="auto"/>
            <w:left w:val="none" w:sz="0" w:space="0" w:color="auto"/>
            <w:bottom w:val="none" w:sz="0" w:space="0" w:color="auto"/>
            <w:right w:val="none" w:sz="0" w:space="0" w:color="auto"/>
          </w:divBdr>
        </w:div>
        <w:div w:id="330455424">
          <w:marLeft w:val="640"/>
          <w:marRight w:val="0"/>
          <w:marTop w:val="0"/>
          <w:marBottom w:val="0"/>
          <w:divBdr>
            <w:top w:val="none" w:sz="0" w:space="0" w:color="auto"/>
            <w:left w:val="none" w:sz="0" w:space="0" w:color="auto"/>
            <w:bottom w:val="none" w:sz="0" w:space="0" w:color="auto"/>
            <w:right w:val="none" w:sz="0" w:space="0" w:color="auto"/>
          </w:divBdr>
        </w:div>
        <w:div w:id="479225116">
          <w:marLeft w:val="640"/>
          <w:marRight w:val="0"/>
          <w:marTop w:val="0"/>
          <w:marBottom w:val="0"/>
          <w:divBdr>
            <w:top w:val="none" w:sz="0" w:space="0" w:color="auto"/>
            <w:left w:val="none" w:sz="0" w:space="0" w:color="auto"/>
            <w:bottom w:val="none" w:sz="0" w:space="0" w:color="auto"/>
            <w:right w:val="none" w:sz="0" w:space="0" w:color="auto"/>
          </w:divBdr>
        </w:div>
        <w:div w:id="116527766">
          <w:marLeft w:val="640"/>
          <w:marRight w:val="0"/>
          <w:marTop w:val="0"/>
          <w:marBottom w:val="0"/>
          <w:divBdr>
            <w:top w:val="none" w:sz="0" w:space="0" w:color="auto"/>
            <w:left w:val="none" w:sz="0" w:space="0" w:color="auto"/>
            <w:bottom w:val="none" w:sz="0" w:space="0" w:color="auto"/>
            <w:right w:val="none" w:sz="0" w:space="0" w:color="auto"/>
          </w:divBdr>
        </w:div>
        <w:div w:id="1392657693">
          <w:marLeft w:val="640"/>
          <w:marRight w:val="0"/>
          <w:marTop w:val="0"/>
          <w:marBottom w:val="0"/>
          <w:divBdr>
            <w:top w:val="none" w:sz="0" w:space="0" w:color="auto"/>
            <w:left w:val="none" w:sz="0" w:space="0" w:color="auto"/>
            <w:bottom w:val="none" w:sz="0" w:space="0" w:color="auto"/>
            <w:right w:val="none" w:sz="0" w:space="0" w:color="auto"/>
          </w:divBdr>
        </w:div>
        <w:div w:id="18284821">
          <w:marLeft w:val="640"/>
          <w:marRight w:val="0"/>
          <w:marTop w:val="0"/>
          <w:marBottom w:val="0"/>
          <w:divBdr>
            <w:top w:val="none" w:sz="0" w:space="0" w:color="auto"/>
            <w:left w:val="none" w:sz="0" w:space="0" w:color="auto"/>
            <w:bottom w:val="none" w:sz="0" w:space="0" w:color="auto"/>
            <w:right w:val="none" w:sz="0" w:space="0" w:color="auto"/>
          </w:divBdr>
        </w:div>
        <w:div w:id="686710893">
          <w:marLeft w:val="640"/>
          <w:marRight w:val="0"/>
          <w:marTop w:val="0"/>
          <w:marBottom w:val="0"/>
          <w:divBdr>
            <w:top w:val="none" w:sz="0" w:space="0" w:color="auto"/>
            <w:left w:val="none" w:sz="0" w:space="0" w:color="auto"/>
            <w:bottom w:val="none" w:sz="0" w:space="0" w:color="auto"/>
            <w:right w:val="none" w:sz="0" w:space="0" w:color="auto"/>
          </w:divBdr>
        </w:div>
        <w:div w:id="443115439">
          <w:marLeft w:val="640"/>
          <w:marRight w:val="0"/>
          <w:marTop w:val="0"/>
          <w:marBottom w:val="0"/>
          <w:divBdr>
            <w:top w:val="none" w:sz="0" w:space="0" w:color="auto"/>
            <w:left w:val="none" w:sz="0" w:space="0" w:color="auto"/>
            <w:bottom w:val="none" w:sz="0" w:space="0" w:color="auto"/>
            <w:right w:val="none" w:sz="0" w:space="0" w:color="auto"/>
          </w:divBdr>
        </w:div>
        <w:div w:id="1472871440">
          <w:marLeft w:val="640"/>
          <w:marRight w:val="0"/>
          <w:marTop w:val="0"/>
          <w:marBottom w:val="0"/>
          <w:divBdr>
            <w:top w:val="none" w:sz="0" w:space="0" w:color="auto"/>
            <w:left w:val="none" w:sz="0" w:space="0" w:color="auto"/>
            <w:bottom w:val="none" w:sz="0" w:space="0" w:color="auto"/>
            <w:right w:val="none" w:sz="0" w:space="0" w:color="auto"/>
          </w:divBdr>
        </w:div>
        <w:div w:id="277567738">
          <w:marLeft w:val="640"/>
          <w:marRight w:val="0"/>
          <w:marTop w:val="0"/>
          <w:marBottom w:val="0"/>
          <w:divBdr>
            <w:top w:val="none" w:sz="0" w:space="0" w:color="auto"/>
            <w:left w:val="none" w:sz="0" w:space="0" w:color="auto"/>
            <w:bottom w:val="none" w:sz="0" w:space="0" w:color="auto"/>
            <w:right w:val="none" w:sz="0" w:space="0" w:color="auto"/>
          </w:divBdr>
        </w:div>
        <w:div w:id="822357046">
          <w:marLeft w:val="640"/>
          <w:marRight w:val="0"/>
          <w:marTop w:val="0"/>
          <w:marBottom w:val="0"/>
          <w:divBdr>
            <w:top w:val="none" w:sz="0" w:space="0" w:color="auto"/>
            <w:left w:val="none" w:sz="0" w:space="0" w:color="auto"/>
            <w:bottom w:val="none" w:sz="0" w:space="0" w:color="auto"/>
            <w:right w:val="none" w:sz="0" w:space="0" w:color="auto"/>
          </w:divBdr>
        </w:div>
        <w:div w:id="1680307477">
          <w:marLeft w:val="640"/>
          <w:marRight w:val="0"/>
          <w:marTop w:val="0"/>
          <w:marBottom w:val="0"/>
          <w:divBdr>
            <w:top w:val="none" w:sz="0" w:space="0" w:color="auto"/>
            <w:left w:val="none" w:sz="0" w:space="0" w:color="auto"/>
            <w:bottom w:val="none" w:sz="0" w:space="0" w:color="auto"/>
            <w:right w:val="none" w:sz="0" w:space="0" w:color="auto"/>
          </w:divBdr>
        </w:div>
        <w:div w:id="1461877789">
          <w:marLeft w:val="640"/>
          <w:marRight w:val="0"/>
          <w:marTop w:val="0"/>
          <w:marBottom w:val="0"/>
          <w:divBdr>
            <w:top w:val="none" w:sz="0" w:space="0" w:color="auto"/>
            <w:left w:val="none" w:sz="0" w:space="0" w:color="auto"/>
            <w:bottom w:val="none" w:sz="0" w:space="0" w:color="auto"/>
            <w:right w:val="none" w:sz="0" w:space="0" w:color="auto"/>
          </w:divBdr>
        </w:div>
        <w:div w:id="657660229">
          <w:marLeft w:val="640"/>
          <w:marRight w:val="0"/>
          <w:marTop w:val="0"/>
          <w:marBottom w:val="0"/>
          <w:divBdr>
            <w:top w:val="none" w:sz="0" w:space="0" w:color="auto"/>
            <w:left w:val="none" w:sz="0" w:space="0" w:color="auto"/>
            <w:bottom w:val="none" w:sz="0" w:space="0" w:color="auto"/>
            <w:right w:val="none" w:sz="0" w:space="0" w:color="auto"/>
          </w:divBdr>
        </w:div>
        <w:div w:id="240913864">
          <w:marLeft w:val="640"/>
          <w:marRight w:val="0"/>
          <w:marTop w:val="0"/>
          <w:marBottom w:val="0"/>
          <w:divBdr>
            <w:top w:val="none" w:sz="0" w:space="0" w:color="auto"/>
            <w:left w:val="none" w:sz="0" w:space="0" w:color="auto"/>
            <w:bottom w:val="none" w:sz="0" w:space="0" w:color="auto"/>
            <w:right w:val="none" w:sz="0" w:space="0" w:color="auto"/>
          </w:divBdr>
        </w:div>
        <w:div w:id="1019743277">
          <w:marLeft w:val="640"/>
          <w:marRight w:val="0"/>
          <w:marTop w:val="0"/>
          <w:marBottom w:val="0"/>
          <w:divBdr>
            <w:top w:val="none" w:sz="0" w:space="0" w:color="auto"/>
            <w:left w:val="none" w:sz="0" w:space="0" w:color="auto"/>
            <w:bottom w:val="none" w:sz="0" w:space="0" w:color="auto"/>
            <w:right w:val="none" w:sz="0" w:space="0" w:color="auto"/>
          </w:divBdr>
        </w:div>
        <w:div w:id="1606108377">
          <w:marLeft w:val="640"/>
          <w:marRight w:val="0"/>
          <w:marTop w:val="0"/>
          <w:marBottom w:val="0"/>
          <w:divBdr>
            <w:top w:val="none" w:sz="0" w:space="0" w:color="auto"/>
            <w:left w:val="none" w:sz="0" w:space="0" w:color="auto"/>
            <w:bottom w:val="none" w:sz="0" w:space="0" w:color="auto"/>
            <w:right w:val="none" w:sz="0" w:space="0" w:color="auto"/>
          </w:divBdr>
        </w:div>
        <w:div w:id="411854887">
          <w:marLeft w:val="640"/>
          <w:marRight w:val="0"/>
          <w:marTop w:val="0"/>
          <w:marBottom w:val="0"/>
          <w:divBdr>
            <w:top w:val="none" w:sz="0" w:space="0" w:color="auto"/>
            <w:left w:val="none" w:sz="0" w:space="0" w:color="auto"/>
            <w:bottom w:val="none" w:sz="0" w:space="0" w:color="auto"/>
            <w:right w:val="none" w:sz="0" w:space="0" w:color="auto"/>
          </w:divBdr>
        </w:div>
        <w:div w:id="1955868951">
          <w:marLeft w:val="640"/>
          <w:marRight w:val="0"/>
          <w:marTop w:val="0"/>
          <w:marBottom w:val="0"/>
          <w:divBdr>
            <w:top w:val="none" w:sz="0" w:space="0" w:color="auto"/>
            <w:left w:val="none" w:sz="0" w:space="0" w:color="auto"/>
            <w:bottom w:val="none" w:sz="0" w:space="0" w:color="auto"/>
            <w:right w:val="none" w:sz="0" w:space="0" w:color="auto"/>
          </w:divBdr>
        </w:div>
        <w:div w:id="262954556">
          <w:marLeft w:val="640"/>
          <w:marRight w:val="0"/>
          <w:marTop w:val="0"/>
          <w:marBottom w:val="0"/>
          <w:divBdr>
            <w:top w:val="none" w:sz="0" w:space="0" w:color="auto"/>
            <w:left w:val="none" w:sz="0" w:space="0" w:color="auto"/>
            <w:bottom w:val="none" w:sz="0" w:space="0" w:color="auto"/>
            <w:right w:val="none" w:sz="0" w:space="0" w:color="auto"/>
          </w:divBdr>
        </w:div>
        <w:div w:id="1399668092">
          <w:marLeft w:val="640"/>
          <w:marRight w:val="0"/>
          <w:marTop w:val="0"/>
          <w:marBottom w:val="0"/>
          <w:divBdr>
            <w:top w:val="none" w:sz="0" w:space="0" w:color="auto"/>
            <w:left w:val="none" w:sz="0" w:space="0" w:color="auto"/>
            <w:bottom w:val="none" w:sz="0" w:space="0" w:color="auto"/>
            <w:right w:val="none" w:sz="0" w:space="0" w:color="auto"/>
          </w:divBdr>
        </w:div>
        <w:div w:id="1134256542">
          <w:marLeft w:val="640"/>
          <w:marRight w:val="0"/>
          <w:marTop w:val="0"/>
          <w:marBottom w:val="0"/>
          <w:divBdr>
            <w:top w:val="none" w:sz="0" w:space="0" w:color="auto"/>
            <w:left w:val="none" w:sz="0" w:space="0" w:color="auto"/>
            <w:bottom w:val="none" w:sz="0" w:space="0" w:color="auto"/>
            <w:right w:val="none" w:sz="0" w:space="0" w:color="auto"/>
          </w:divBdr>
        </w:div>
        <w:div w:id="226958121">
          <w:marLeft w:val="640"/>
          <w:marRight w:val="0"/>
          <w:marTop w:val="0"/>
          <w:marBottom w:val="0"/>
          <w:divBdr>
            <w:top w:val="none" w:sz="0" w:space="0" w:color="auto"/>
            <w:left w:val="none" w:sz="0" w:space="0" w:color="auto"/>
            <w:bottom w:val="none" w:sz="0" w:space="0" w:color="auto"/>
            <w:right w:val="none" w:sz="0" w:space="0" w:color="auto"/>
          </w:divBdr>
        </w:div>
        <w:div w:id="1038354117">
          <w:marLeft w:val="640"/>
          <w:marRight w:val="0"/>
          <w:marTop w:val="0"/>
          <w:marBottom w:val="0"/>
          <w:divBdr>
            <w:top w:val="none" w:sz="0" w:space="0" w:color="auto"/>
            <w:left w:val="none" w:sz="0" w:space="0" w:color="auto"/>
            <w:bottom w:val="none" w:sz="0" w:space="0" w:color="auto"/>
            <w:right w:val="none" w:sz="0" w:space="0" w:color="auto"/>
          </w:divBdr>
        </w:div>
        <w:div w:id="1518079003">
          <w:marLeft w:val="640"/>
          <w:marRight w:val="0"/>
          <w:marTop w:val="0"/>
          <w:marBottom w:val="0"/>
          <w:divBdr>
            <w:top w:val="none" w:sz="0" w:space="0" w:color="auto"/>
            <w:left w:val="none" w:sz="0" w:space="0" w:color="auto"/>
            <w:bottom w:val="none" w:sz="0" w:space="0" w:color="auto"/>
            <w:right w:val="none" w:sz="0" w:space="0" w:color="auto"/>
          </w:divBdr>
        </w:div>
        <w:div w:id="1049034899">
          <w:marLeft w:val="640"/>
          <w:marRight w:val="0"/>
          <w:marTop w:val="0"/>
          <w:marBottom w:val="0"/>
          <w:divBdr>
            <w:top w:val="none" w:sz="0" w:space="0" w:color="auto"/>
            <w:left w:val="none" w:sz="0" w:space="0" w:color="auto"/>
            <w:bottom w:val="none" w:sz="0" w:space="0" w:color="auto"/>
            <w:right w:val="none" w:sz="0" w:space="0" w:color="auto"/>
          </w:divBdr>
        </w:div>
        <w:div w:id="683942071">
          <w:marLeft w:val="640"/>
          <w:marRight w:val="0"/>
          <w:marTop w:val="0"/>
          <w:marBottom w:val="0"/>
          <w:divBdr>
            <w:top w:val="none" w:sz="0" w:space="0" w:color="auto"/>
            <w:left w:val="none" w:sz="0" w:space="0" w:color="auto"/>
            <w:bottom w:val="none" w:sz="0" w:space="0" w:color="auto"/>
            <w:right w:val="none" w:sz="0" w:space="0" w:color="auto"/>
          </w:divBdr>
        </w:div>
        <w:div w:id="1385055748">
          <w:marLeft w:val="640"/>
          <w:marRight w:val="0"/>
          <w:marTop w:val="0"/>
          <w:marBottom w:val="0"/>
          <w:divBdr>
            <w:top w:val="none" w:sz="0" w:space="0" w:color="auto"/>
            <w:left w:val="none" w:sz="0" w:space="0" w:color="auto"/>
            <w:bottom w:val="none" w:sz="0" w:space="0" w:color="auto"/>
            <w:right w:val="none" w:sz="0" w:space="0" w:color="auto"/>
          </w:divBdr>
        </w:div>
        <w:div w:id="1240865941">
          <w:marLeft w:val="640"/>
          <w:marRight w:val="0"/>
          <w:marTop w:val="0"/>
          <w:marBottom w:val="0"/>
          <w:divBdr>
            <w:top w:val="none" w:sz="0" w:space="0" w:color="auto"/>
            <w:left w:val="none" w:sz="0" w:space="0" w:color="auto"/>
            <w:bottom w:val="none" w:sz="0" w:space="0" w:color="auto"/>
            <w:right w:val="none" w:sz="0" w:space="0" w:color="auto"/>
          </w:divBdr>
        </w:div>
        <w:div w:id="740564587">
          <w:marLeft w:val="640"/>
          <w:marRight w:val="0"/>
          <w:marTop w:val="0"/>
          <w:marBottom w:val="0"/>
          <w:divBdr>
            <w:top w:val="none" w:sz="0" w:space="0" w:color="auto"/>
            <w:left w:val="none" w:sz="0" w:space="0" w:color="auto"/>
            <w:bottom w:val="none" w:sz="0" w:space="0" w:color="auto"/>
            <w:right w:val="none" w:sz="0" w:space="0" w:color="auto"/>
          </w:divBdr>
        </w:div>
        <w:div w:id="1992321308">
          <w:marLeft w:val="640"/>
          <w:marRight w:val="0"/>
          <w:marTop w:val="0"/>
          <w:marBottom w:val="0"/>
          <w:divBdr>
            <w:top w:val="none" w:sz="0" w:space="0" w:color="auto"/>
            <w:left w:val="none" w:sz="0" w:space="0" w:color="auto"/>
            <w:bottom w:val="none" w:sz="0" w:space="0" w:color="auto"/>
            <w:right w:val="none" w:sz="0" w:space="0" w:color="auto"/>
          </w:divBdr>
        </w:div>
        <w:div w:id="312687738">
          <w:marLeft w:val="640"/>
          <w:marRight w:val="0"/>
          <w:marTop w:val="0"/>
          <w:marBottom w:val="0"/>
          <w:divBdr>
            <w:top w:val="none" w:sz="0" w:space="0" w:color="auto"/>
            <w:left w:val="none" w:sz="0" w:space="0" w:color="auto"/>
            <w:bottom w:val="none" w:sz="0" w:space="0" w:color="auto"/>
            <w:right w:val="none" w:sz="0" w:space="0" w:color="auto"/>
          </w:divBdr>
        </w:div>
        <w:div w:id="1064916213">
          <w:marLeft w:val="640"/>
          <w:marRight w:val="0"/>
          <w:marTop w:val="0"/>
          <w:marBottom w:val="0"/>
          <w:divBdr>
            <w:top w:val="none" w:sz="0" w:space="0" w:color="auto"/>
            <w:left w:val="none" w:sz="0" w:space="0" w:color="auto"/>
            <w:bottom w:val="none" w:sz="0" w:space="0" w:color="auto"/>
            <w:right w:val="none" w:sz="0" w:space="0" w:color="auto"/>
          </w:divBdr>
        </w:div>
        <w:div w:id="1838687156">
          <w:marLeft w:val="640"/>
          <w:marRight w:val="0"/>
          <w:marTop w:val="0"/>
          <w:marBottom w:val="0"/>
          <w:divBdr>
            <w:top w:val="none" w:sz="0" w:space="0" w:color="auto"/>
            <w:left w:val="none" w:sz="0" w:space="0" w:color="auto"/>
            <w:bottom w:val="none" w:sz="0" w:space="0" w:color="auto"/>
            <w:right w:val="none" w:sz="0" w:space="0" w:color="auto"/>
          </w:divBdr>
        </w:div>
        <w:div w:id="1970695813">
          <w:marLeft w:val="640"/>
          <w:marRight w:val="0"/>
          <w:marTop w:val="0"/>
          <w:marBottom w:val="0"/>
          <w:divBdr>
            <w:top w:val="none" w:sz="0" w:space="0" w:color="auto"/>
            <w:left w:val="none" w:sz="0" w:space="0" w:color="auto"/>
            <w:bottom w:val="none" w:sz="0" w:space="0" w:color="auto"/>
            <w:right w:val="none" w:sz="0" w:space="0" w:color="auto"/>
          </w:divBdr>
        </w:div>
        <w:div w:id="1751807606">
          <w:marLeft w:val="640"/>
          <w:marRight w:val="0"/>
          <w:marTop w:val="0"/>
          <w:marBottom w:val="0"/>
          <w:divBdr>
            <w:top w:val="none" w:sz="0" w:space="0" w:color="auto"/>
            <w:left w:val="none" w:sz="0" w:space="0" w:color="auto"/>
            <w:bottom w:val="none" w:sz="0" w:space="0" w:color="auto"/>
            <w:right w:val="none" w:sz="0" w:space="0" w:color="auto"/>
          </w:divBdr>
        </w:div>
        <w:div w:id="1902592059">
          <w:marLeft w:val="640"/>
          <w:marRight w:val="0"/>
          <w:marTop w:val="0"/>
          <w:marBottom w:val="0"/>
          <w:divBdr>
            <w:top w:val="none" w:sz="0" w:space="0" w:color="auto"/>
            <w:left w:val="none" w:sz="0" w:space="0" w:color="auto"/>
            <w:bottom w:val="none" w:sz="0" w:space="0" w:color="auto"/>
            <w:right w:val="none" w:sz="0" w:space="0" w:color="auto"/>
          </w:divBdr>
        </w:div>
        <w:div w:id="975182984">
          <w:marLeft w:val="640"/>
          <w:marRight w:val="0"/>
          <w:marTop w:val="0"/>
          <w:marBottom w:val="0"/>
          <w:divBdr>
            <w:top w:val="none" w:sz="0" w:space="0" w:color="auto"/>
            <w:left w:val="none" w:sz="0" w:space="0" w:color="auto"/>
            <w:bottom w:val="none" w:sz="0" w:space="0" w:color="auto"/>
            <w:right w:val="none" w:sz="0" w:space="0" w:color="auto"/>
          </w:divBdr>
        </w:div>
        <w:div w:id="1201163107">
          <w:marLeft w:val="640"/>
          <w:marRight w:val="0"/>
          <w:marTop w:val="0"/>
          <w:marBottom w:val="0"/>
          <w:divBdr>
            <w:top w:val="none" w:sz="0" w:space="0" w:color="auto"/>
            <w:left w:val="none" w:sz="0" w:space="0" w:color="auto"/>
            <w:bottom w:val="none" w:sz="0" w:space="0" w:color="auto"/>
            <w:right w:val="none" w:sz="0" w:space="0" w:color="auto"/>
          </w:divBdr>
        </w:div>
        <w:div w:id="1233540796">
          <w:marLeft w:val="640"/>
          <w:marRight w:val="0"/>
          <w:marTop w:val="0"/>
          <w:marBottom w:val="0"/>
          <w:divBdr>
            <w:top w:val="none" w:sz="0" w:space="0" w:color="auto"/>
            <w:left w:val="none" w:sz="0" w:space="0" w:color="auto"/>
            <w:bottom w:val="none" w:sz="0" w:space="0" w:color="auto"/>
            <w:right w:val="none" w:sz="0" w:space="0" w:color="auto"/>
          </w:divBdr>
        </w:div>
        <w:div w:id="390270891">
          <w:marLeft w:val="640"/>
          <w:marRight w:val="0"/>
          <w:marTop w:val="0"/>
          <w:marBottom w:val="0"/>
          <w:divBdr>
            <w:top w:val="none" w:sz="0" w:space="0" w:color="auto"/>
            <w:left w:val="none" w:sz="0" w:space="0" w:color="auto"/>
            <w:bottom w:val="none" w:sz="0" w:space="0" w:color="auto"/>
            <w:right w:val="none" w:sz="0" w:space="0" w:color="auto"/>
          </w:divBdr>
        </w:div>
        <w:div w:id="280578657">
          <w:marLeft w:val="640"/>
          <w:marRight w:val="0"/>
          <w:marTop w:val="0"/>
          <w:marBottom w:val="0"/>
          <w:divBdr>
            <w:top w:val="none" w:sz="0" w:space="0" w:color="auto"/>
            <w:left w:val="none" w:sz="0" w:space="0" w:color="auto"/>
            <w:bottom w:val="none" w:sz="0" w:space="0" w:color="auto"/>
            <w:right w:val="none" w:sz="0" w:space="0" w:color="auto"/>
          </w:divBdr>
        </w:div>
        <w:div w:id="1346975961">
          <w:marLeft w:val="640"/>
          <w:marRight w:val="0"/>
          <w:marTop w:val="0"/>
          <w:marBottom w:val="0"/>
          <w:divBdr>
            <w:top w:val="none" w:sz="0" w:space="0" w:color="auto"/>
            <w:left w:val="none" w:sz="0" w:space="0" w:color="auto"/>
            <w:bottom w:val="none" w:sz="0" w:space="0" w:color="auto"/>
            <w:right w:val="none" w:sz="0" w:space="0" w:color="auto"/>
          </w:divBdr>
        </w:div>
        <w:div w:id="2041708764">
          <w:marLeft w:val="640"/>
          <w:marRight w:val="0"/>
          <w:marTop w:val="0"/>
          <w:marBottom w:val="0"/>
          <w:divBdr>
            <w:top w:val="none" w:sz="0" w:space="0" w:color="auto"/>
            <w:left w:val="none" w:sz="0" w:space="0" w:color="auto"/>
            <w:bottom w:val="none" w:sz="0" w:space="0" w:color="auto"/>
            <w:right w:val="none" w:sz="0" w:space="0" w:color="auto"/>
          </w:divBdr>
        </w:div>
        <w:div w:id="1617517951">
          <w:marLeft w:val="640"/>
          <w:marRight w:val="0"/>
          <w:marTop w:val="0"/>
          <w:marBottom w:val="0"/>
          <w:divBdr>
            <w:top w:val="none" w:sz="0" w:space="0" w:color="auto"/>
            <w:left w:val="none" w:sz="0" w:space="0" w:color="auto"/>
            <w:bottom w:val="none" w:sz="0" w:space="0" w:color="auto"/>
            <w:right w:val="none" w:sz="0" w:space="0" w:color="auto"/>
          </w:divBdr>
        </w:div>
        <w:div w:id="217322951">
          <w:marLeft w:val="640"/>
          <w:marRight w:val="0"/>
          <w:marTop w:val="0"/>
          <w:marBottom w:val="0"/>
          <w:divBdr>
            <w:top w:val="none" w:sz="0" w:space="0" w:color="auto"/>
            <w:left w:val="none" w:sz="0" w:space="0" w:color="auto"/>
            <w:bottom w:val="none" w:sz="0" w:space="0" w:color="auto"/>
            <w:right w:val="none" w:sz="0" w:space="0" w:color="auto"/>
          </w:divBdr>
        </w:div>
        <w:div w:id="619648699">
          <w:marLeft w:val="640"/>
          <w:marRight w:val="0"/>
          <w:marTop w:val="0"/>
          <w:marBottom w:val="0"/>
          <w:divBdr>
            <w:top w:val="none" w:sz="0" w:space="0" w:color="auto"/>
            <w:left w:val="none" w:sz="0" w:space="0" w:color="auto"/>
            <w:bottom w:val="none" w:sz="0" w:space="0" w:color="auto"/>
            <w:right w:val="none" w:sz="0" w:space="0" w:color="auto"/>
          </w:divBdr>
        </w:div>
        <w:div w:id="2022320013">
          <w:marLeft w:val="640"/>
          <w:marRight w:val="0"/>
          <w:marTop w:val="0"/>
          <w:marBottom w:val="0"/>
          <w:divBdr>
            <w:top w:val="none" w:sz="0" w:space="0" w:color="auto"/>
            <w:left w:val="none" w:sz="0" w:space="0" w:color="auto"/>
            <w:bottom w:val="none" w:sz="0" w:space="0" w:color="auto"/>
            <w:right w:val="none" w:sz="0" w:space="0" w:color="auto"/>
          </w:divBdr>
        </w:div>
        <w:div w:id="324626396">
          <w:marLeft w:val="640"/>
          <w:marRight w:val="0"/>
          <w:marTop w:val="0"/>
          <w:marBottom w:val="0"/>
          <w:divBdr>
            <w:top w:val="none" w:sz="0" w:space="0" w:color="auto"/>
            <w:left w:val="none" w:sz="0" w:space="0" w:color="auto"/>
            <w:bottom w:val="none" w:sz="0" w:space="0" w:color="auto"/>
            <w:right w:val="none" w:sz="0" w:space="0" w:color="auto"/>
          </w:divBdr>
        </w:div>
        <w:div w:id="1942448907">
          <w:marLeft w:val="640"/>
          <w:marRight w:val="0"/>
          <w:marTop w:val="0"/>
          <w:marBottom w:val="0"/>
          <w:divBdr>
            <w:top w:val="none" w:sz="0" w:space="0" w:color="auto"/>
            <w:left w:val="none" w:sz="0" w:space="0" w:color="auto"/>
            <w:bottom w:val="none" w:sz="0" w:space="0" w:color="auto"/>
            <w:right w:val="none" w:sz="0" w:space="0" w:color="auto"/>
          </w:divBdr>
        </w:div>
        <w:div w:id="525290312">
          <w:marLeft w:val="640"/>
          <w:marRight w:val="0"/>
          <w:marTop w:val="0"/>
          <w:marBottom w:val="0"/>
          <w:divBdr>
            <w:top w:val="none" w:sz="0" w:space="0" w:color="auto"/>
            <w:left w:val="none" w:sz="0" w:space="0" w:color="auto"/>
            <w:bottom w:val="none" w:sz="0" w:space="0" w:color="auto"/>
            <w:right w:val="none" w:sz="0" w:space="0" w:color="auto"/>
          </w:divBdr>
        </w:div>
        <w:div w:id="1759207231">
          <w:marLeft w:val="640"/>
          <w:marRight w:val="0"/>
          <w:marTop w:val="0"/>
          <w:marBottom w:val="0"/>
          <w:divBdr>
            <w:top w:val="none" w:sz="0" w:space="0" w:color="auto"/>
            <w:left w:val="none" w:sz="0" w:space="0" w:color="auto"/>
            <w:bottom w:val="none" w:sz="0" w:space="0" w:color="auto"/>
            <w:right w:val="none" w:sz="0" w:space="0" w:color="auto"/>
          </w:divBdr>
        </w:div>
        <w:div w:id="806094615">
          <w:marLeft w:val="640"/>
          <w:marRight w:val="0"/>
          <w:marTop w:val="0"/>
          <w:marBottom w:val="0"/>
          <w:divBdr>
            <w:top w:val="none" w:sz="0" w:space="0" w:color="auto"/>
            <w:left w:val="none" w:sz="0" w:space="0" w:color="auto"/>
            <w:bottom w:val="none" w:sz="0" w:space="0" w:color="auto"/>
            <w:right w:val="none" w:sz="0" w:space="0" w:color="auto"/>
          </w:divBdr>
        </w:div>
        <w:div w:id="1205170633">
          <w:marLeft w:val="640"/>
          <w:marRight w:val="0"/>
          <w:marTop w:val="0"/>
          <w:marBottom w:val="0"/>
          <w:divBdr>
            <w:top w:val="none" w:sz="0" w:space="0" w:color="auto"/>
            <w:left w:val="none" w:sz="0" w:space="0" w:color="auto"/>
            <w:bottom w:val="none" w:sz="0" w:space="0" w:color="auto"/>
            <w:right w:val="none" w:sz="0" w:space="0" w:color="auto"/>
          </w:divBdr>
        </w:div>
        <w:div w:id="545028759">
          <w:marLeft w:val="640"/>
          <w:marRight w:val="0"/>
          <w:marTop w:val="0"/>
          <w:marBottom w:val="0"/>
          <w:divBdr>
            <w:top w:val="none" w:sz="0" w:space="0" w:color="auto"/>
            <w:left w:val="none" w:sz="0" w:space="0" w:color="auto"/>
            <w:bottom w:val="none" w:sz="0" w:space="0" w:color="auto"/>
            <w:right w:val="none" w:sz="0" w:space="0" w:color="auto"/>
          </w:divBdr>
        </w:div>
        <w:div w:id="1969510113">
          <w:marLeft w:val="640"/>
          <w:marRight w:val="0"/>
          <w:marTop w:val="0"/>
          <w:marBottom w:val="0"/>
          <w:divBdr>
            <w:top w:val="none" w:sz="0" w:space="0" w:color="auto"/>
            <w:left w:val="none" w:sz="0" w:space="0" w:color="auto"/>
            <w:bottom w:val="none" w:sz="0" w:space="0" w:color="auto"/>
            <w:right w:val="none" w:sz="0" w:space="0" w:color="auto"/>
          </w:divBdr>
        </w:div>
        <w:div w:id="1123187243">
          <w:marLeft w:val="640"/>
          <w:marRight w:val="0"/>
          <w:marTop w:val="0"/>
          <w:marBottom w:val="0"/>
          <w:divBdr>
            <w:top w:val="none" w:sz="0" w:space="0" w:color="auto"/>
            <w:left w:val="none" w:sz="0" w:space="0" w:color="auto"/>
            <w:bottom w:val="none" w:sz="0" w:space="0" w:color="auto"/>
            <w:right w:val="none" w:sz="0" w:space="0" w:color="auto"/>
          </w:divBdr>
        </w:div>
        <w:div w:id="1124078165">
          <w:marLeft w:val="640"/>
          <w:marRight w:val="0"/>
          <w:marTop w:val="0"/>
          <w:marBottom w:val="0"/>
          <w:divBdr>
            <w:top w:val="none" w:sz="0" w:space="0" w:color="auto"/>
            <w:left w:val="none" w:sz="0" w:space="0" w:color="auto"/>
            <w:bottom w:val="none" w:sz="0" w:space="0" w:color="auto"/>
            <w:right w:val="none" w:sz="0" w:space="0" w:color="auto"/>
          </w:divBdr>
        </w:div>
        <w:div w:id="249851816">
          <w:marLeft w:val="640"/>
          <w:marRight w:val="0"/>
          <w:marTop w:val="0"/>
          <w:marBottom w:val="0"/>
          <w:divBdr>
            <w:top w:val="none" w:sz="0" w:space="0" w:color="auto"/>
            <w:left w:val="none" w:sz="0" w:space="0" w:color="auto"/>
            <w:bottom w:val="none" w:sz="0" w:space="0" w:color="auto"/>
            <w:right w:val="none" w:sz="0" w:space="0" w:color="auto"/>
          </w:divBdr>
        </w:div>
        <w:div w:id="256061548">
          <w:marLeft w:val="640"/>
          <w:marRight w:val="0"/>
          <w:marTop w:val="0"/>
          <w:marBottom w:val="0"/>
          <w:divBdr>
            <w:top w:val="none" w:sz="0" w:space="0" w:color="auto"/>
            <w:left w:val="none" w:sz="0" w:space="0" w:color="auto"/>
            <w:bottom w:val="none" w:sz="0" w:space="0" w:color="auto"/>
            <w:right w:val="none" w:sz="0" w:space="0" w:color="auto"/>
          </w:divBdr>
        </w:div>
        <w:div w:id="949706438">
          <w:marLeft w:val="640"/>
          <w:marRight w:val="0"/>
          <w:marTop w:val="0"/>
          <w:marBottom w:val="0"/>
          <w:divBdr>
            <w:top w:val="none" w:sz="0" w:space="0" w:color="auto"/>
            <w:left w:val="none" w:sz="0" w:space="0" w:color="auto"/>
            <w:bottom w:val="none" w:sz="0" w:space="0" w:color="auto"/>
            <w:right w:val="none" w:sz="0" w:space="0" w:color="auto"/>
          </w:divBdr>
        </w:div>
        <w:div w:id="1698854034">
          <w:marLeft w:val="640"/>
          <w:marRight w:val="0"/>
          <w:marTop w:val="0"/>
          <w:marBottom w:val="0"/>
          <w:divBdr>
            <w:top w:val="none" w:sz="0" w:space="0" w:color="auto"/>
            <w:left w:val="none" w:sz="0" w:space="0" w:color="auto"/>
            <w:bottom w:val="none" w:sz="0" w:space="0" w:color="auto"/>
            <w:right w:val="none" w:sz="0" w:space="0" w:color="auto"/>
          </w:divBdr>
        </w:div>
        <w:div w:id="1252007418">
          <w:marLeft w:val="640"/>
          <w:marRight w:val="0"/>
          <w:marTop w:val="0"/>
          <w:marBottom w:val="0"/>
          <w:divBdr>
            <w:top w:val="none" w:sz="0" w:space="0" w:color="auto"/>
            <w:left w:val="none" w:sz="0" w:space="0" w:color="auto"/>
            <w:bottom w:val="none" w:sz="0" w:space="0" w:color="auto"/>
            <w:right w:val="none" w:sz="0" w:space="0" w:color="auto"/>
          </w:divBdr>
        </w:div>
        <w:div w:id="727874220">
          <w:marLeft w:val="640"/>
          <w:marRight w:val="0"/>
          <w:marTop w:val="0"/>
          <w:marBottom w:val="0"/>
          <w:divBdr>
            <w:top w:val="none" w:sz="0" w:space="0" w:color="auto"/>
            <w:left w:val="none" w:sz="0" w:space="0" w:color="auto"/>
            <w:bottom w:val="none" w:sz="0" w:space="0" w:color="auto"/>
            <w:right w:val="none" w:sz="0" w:space="0" w:color="auto"/>
          </w:divBdr>
        </w:div>
        <w:div w:id="536552161">
          <w:marLeft w:val="640"/>
          <w:marRight w:val="0"/>
          <w:marTop w:val="0"/>
          <w:marBottom w:val="0"/>
          <w:divBdr>
            <w:top w:val="none" w:sz="0" w:space="0" w:color="auto"/>
            <w:left w:val="none" w:sz="0" w:space="0" w:color="auto"/>
            <w:bottom w:val="none" w:sz="0" w:space="0" w:color="auto"/>
            <w:right w:val="none" w:sz="0" w:space="0" w:color="auto"/>
          </w:divBdr>
        </w:div>
        <w:div w:id="1016615735">
          <w:marLeft w:val="640"/>
          <w:marRight w:val="0"/>
          <w:marTop w:val="0"/>
          <w:marBottom w:val="0"/>
          <w:divBdr>
            <w:top w:val="none" w:sz="0" w:space="0" w:color="auto"/>
            <w:left w:val="none" w:sz="0" w:space="0" w:color="auto"/>
            <w:bottom w:val="none" w:sz="0" w:space="0" w:color="auto"/>
            <w:right w:val="none" w:sz="0" w:space="0" w:color="auto"/>
          </w:divBdr>
        </w:div>
        <w:div w:id="902107020">
          <w:marLeft w:val="640"/>
          <w:marRight w:val="0"/>
          <w:marTop w:val="0"/>
          <w:marBottom w:val="0"/>
          <w:divBdr>
            <w:top w:val="none" w:sz="0" w:space="0" w:color="auto"/>
            <w:left w:val="none" w:sz="0" w:space="0" w:color="auto"/>
            <w:bottom w:val="none" w:sz="0" w:space="0" w:color="auto"/>
            <w:right w:val="none" w:sz="0" w:space="0" w:color="auto"/>
          </w:divBdr>
        </w:div>
        <w:div w:id="28797478">
          <w:marLeft w:val="640"/>
          <w:marRight w:val="0"/>
          <w:marTop w:val="0"/>
          <w:marBottom w:val="0"/>
          <w:divBdr>
            <w:top w:val="none" w:sz="0" w:space="0" w:color="auto"/>
            <w:left w:val="none" w:sz="0" w:space="0" w:color="auto"/>
            <w:bottom w:val="none" w:sz="0" w:space="0" w:color="auto"/>
            <w:right w:val="none" w:sz="0" w:space="0" w:color="auto"/>
          </w:divBdr>
        </w:div>
        <w:div w:id="917791002">
          <w:marLeft w:val="640"/>
          <w:marRight w:val="0"/>
          <w:marTop w:val="0"/>
          <w:marBottom w:val="0"/>
          <w:divBdr>
            <w:top w:val="none" w:sz="0" w:space="0" w:color="auto"/>
            <w:left w:val="none" w:sz="0" w:space="0" w:color="auto"/>
            <w:bottom w:val="none" w:sz="0" w:space="0" w:color="auto"/>
            <w:right w:val="none" w:sz="0" w:space="0" w:color="auto"/>
          </w:divBdr>
        </w:div>
        <w:div w:id="1757168964">
          <w:marLeft w:val="640"/>
          <w:marRight w:val="0"/>
          <w:marTop w:val="0"/>
          <w:marBottom w:val="0"/>
          <w:divBdr>
            <w:top w:val="none" w:sz="0" w:space="0" w:color="auto"/>
            <w:left w:val="none" w:sz="0" w:space="0" w:color="auto"/>
            <w:bottom w:val="none" w:sz="0" w:space="0" w:color="auto"/>
            <w:right w:val="none" w:sz="0" w:space="0" w:color="auto"/>
          </w:divBdr>
        </w:div>
        <w:div w:id="592470290">
          <w:marLeft w:val="640"/>
          <w:marRight w:val="0"/>
          <w:marTop w:val="0"/>
          <w:marBottom w:val="0"/>
          <w:divBdr>
            <w:top w:val="none" w:sz="0" w:space="0" w:color="auto"/>
            <w:left w:val="none" w:sz="0" w:space="0" w:color="auto"/>
            <w:bottom w:val="none" w:sz="0" w:space="0" w:color="auto"/>
            <w:right w:val="none" w:sz="0" w:space="0" w:color="auto"/>
          </w:divBdr>
        </w:div>
        <w:div w:id="933705445">
          <w:marLeft w:val="640"/>
          <w:marRight w:val="0"/>
          <w:marTop w:val="0"/>
          <w:marBottom w:val="0"/>
          <w:divBdr>
            <w:top w:val="none" w:sz="0" w:space="0" w:color="auto"/>
            <w:left w:val="none" w:sz="0" w:space="0" w:color="auto"/>
            <w:bottom w:val="none" w:sz="0" w:space="0" w:color="auto"/>
            <w:right w:val="none" w:sz="0" w:space="0" w:color="auto"/>
          </w:divBdr>
        </w:div>
        <w:div w:id="1961956842">
          <w:marLeft w:val="640"/>
          <w:marRight w:val="0"/>
          <w:marTop w:val="0"/>
          <w:marBottom w:val="0"/>
          <w:divBdr>
            <w:top w:val="none" w:sz="0" w:space="0" w:color="auto"/>
            <w:left w:val="none" w:sz="0" w:space="0" w:color="auto"/>
            <w:bottom w:val="none" w:sz="0" w:space="0" w:color="auto"/>
            <w:right w:val="none" w:sz="0" w:space="0" w:color="auto"/>
          </w:divBdr>
        </w:div>
        <w:div w:id="85811156">
          <w:marLeft w:val="640"/>
          <w:marRight w:val="0"/>
          <w:marTop w:val="0"/>
          <w:marBottom w:val="0"/>
          <w:divBdr>
            <w:top w:val="none" w:sz="0" w:space="0" w:color="auto"/>
            <w:left w:val="none" w:sz="0" w:space="0" w:color="auto"/>
            <w:bottom w:val="none" w:sz="0" w:space="0" w:color="auto"/>
            <w:right w:val="none" w:sz="0" w:space="0" w:color="auto"/>
          </w:divBdr>
        </w:div>
        <w:div w:id="37513103">
          <w:marLeft w:val="640"/>
          <w:marRight w:val="0"/>
          <w:marTop w:val="0"/>
          <w:marBottom w:val="0"/>
          <w:divBdr>
            <w:top w:val="none" w:sz="0" w:space="0" w:color="auto"/>
            <w:left w:val="none" w:sz="0" w:space="0" w:color="auto"/>
            <w:bottom w:val="none" w:sz="0" w:space="0" w:color="auto"/>
            <w:right w:val="none" w:sz="0" w:space="0" w:color="auto"/>
          </w:divBdr>
        </w:div>
        <w:div w:id="336462988">
          <w:marLeft w:val="640"/>
          <w:marRight w:val="0"/>
          <w:marTop w:val="0"/>
          <w:marBottom w:val="0"/>
          <w:divBdr>
            <w:top w:val="none" w:sz="0" w:space="0" w:color="auto"/>
            <w:left w:val="none" w:sz="0" w:space="0" w:color="auto"/>
            <w:bottom w:val="none" w:sz="0" w:space="0" w:color="auto"/>
            <w:right w:val="none" w:sz="0" w:space="0" w:color="auto"/>
          </w:divBdr>
        </w:div>
        <w:div w:id="589855819">
          <w:marLeft w:val="640"/>
          <w:marRight w:val="0"/>
          <w:marTop w:val="0"/>
          <w:marBottom w:val="0"/>
          <w:divBdr>
            <w:top w:val="none" w:sz="0" w:space="0" w:color="auto"/>
            <w:left w:val="none" w:sz="0" w:space="0" w:color="auto"/>
            <w:bottom w:val="none" w:sz="0" w:space="0" w:color="auto"/>
            <w:right w:val="none" w:sz="0" w:space="0" w:color="auto"/>
          </w:divBdr>
        </w:div>
        <w:div w:id="1706633120">
          <w:marLeft w:val="640"/>
          <w:marRight w:val="0"/>
          <w:marTop w:val="0"/>
          <w:marBottom w:val="0"/>
          <w:divBdr>
            <w:top w:val="none" w:sz="0" w:space="0" w:color="auto"/>
            <w:left w:val="none" w:sz="0" w:space="0" w:color="auto"/>
            <w:bottom w:val="none" w:sz="0" w:space="0" w:color="auto"/>
            <w:right w:val="none" w:sz="0" w:space="0" w:color="auto"/>
          </w:divBdr>
        </w:div>
        <w:div w:id="1630621250">
          <w:marLeft w:val="640"/>
          <w:marRight w:val="0"/>
          <w:marTop w:val="0"/>
          <w:marBottom w:val="0"/>
          <w:divBdr>
            <w:top w:val="none" w:sz="0" w:space="0" w:color="auto"/>
            <w:left w:val="none" w:sz="0" w:space="0" w:color="auto"/>
            <w:bottom w:val="none" w:sz="0" w:space="0" w:color="auto"/>
            <w:right w:val="none" w:sz="0" w:space="0" w:color="auto"/>
          </w:divBdr>
        </w:div>
        <w:div w:id="1203208006">
          <w:marLeft w:val="640"/>
          <w:marRight w:val="0"/>
          <w:marTop w:val="0"/>
          <w:marBottom w:val="0"/>
          <w:divBdr>
            <w:top w:val="none" w:sz="0" w:space="0" w:color="auto"/>
            <w:left w:val="none" w:sz="0" w:space="0" w:color="auto"/>
            <w:bottom w:val="none" w:sz="0" w:space="0" w:color="auto"/>
            <w:right w:val="none" w:sz="0" w:space="0" w:color="auto"/>
          </w:divBdr>
        </w:div>
        <w:div w:id="396170624">
          <w:marLeft w:val="640"/>
          <w:marRight w:val="0"/>
          <w:marTop w:val="0"/>
          <w:marBottom w:val="0"/>
          <w:divBdr>
            <w:top w:val="none" w:sz="0" w:space="0" w:color="auto"/>
            <w:left w:val="none" w:sz="0" w:space="0" w:color="auto"/>
            <w:bottom w:val="none" w:sz="0" w:space="0" w:color="auto"/>
            <w:right w:val="none" w:sz="0" w:space="0" w:color="auto"/>
          </w:divBdr>
        </w:div>
        <w:div w:id="757756105">
          <w:marLeft w:val="640"/>
          <w:marRight w:val="0"/>
          <w:marTop w:val="0"/>
          <w:marBottom w:val="0"/>
          <w:divBdr>
            <w:top w:val="none" w:sz="0" w:space="0" w:color="auto"/>
            <w:left w:val="none" w:sz="0" w:space="0" w:color="auto"/>
            <w:bottom w:val="none" w:sz="0" w:space="0" w:color="auto"/>
            <w:right w:val="none" w:sz="0" w:space="0" w:color="auto"/>
          </w:divBdr>
        </w:div>
        <w:div w:id="1560358245">
          <w:marLeft w:val="640"/>
          <w:marRight w:val="0"/>
          <w:marTop w:val="0"/>
          <w:marBottom w:val="0"/>
          <w:divBdr>
            <w:top w:val="none" w:sz="0" w:space="0" w:color="auto"/>
            <w:left w:val="none" w:sz="0" w:space="0" w:color="auto"/>
            <w:bottom w:val="none" w:sz="0" w:space="0" w:color="auto"/>
            <w:right w:val="none" w:sz="0" w:space="0" w:color="auto"/>
          </w:divBdr>
        </w:div>
        <w:div w:id="1615140057">
          <w:marLeft w:val="640"/>
          <w:marRight w:val="0"/>
          <w:marTop w:val="0"/>
          <w:marBottom w:val="0"/>
          <w:divBdr>
            <w:top w:val="none" w:sz="0" w:space="0" w:color="auto"/>
            <w:left w:val="none" w:sz="0" w:space="0" w:color="auto"/>
            <w:bottom w:val="none" w:sz="0" w:space="0" w:color="auto"/>
            <w:right w:val="none" w:sz="0" w:space="0" w:color="auto"/>
          </w:divBdr>
        </w:div>
        <w:div w:id="2060131778">
          <w:marLeft w:val="640"/>
          <w:marRight w:val="0"/>
          <w:marTop w:val="0"/>
          <w:marBottom w:val="0"/>
          <w:divBdr>
            <w:top w:val="none" w:sz="0" w:space="0" w:color="auto"/>
            <w:left w:val="none" w:sz="0" w:space="0" w:color="auto"/>
            <w:bottom w:val="none" w:sz="0" w:space="0" w:color="auto"/>
            <w:right w:val="none" w:sz="0" w:space="0" w:color="auto"/>
          </w:divBdr>
        </w:div>
        <w:div w:id="1782067304">
          <w:marLeft w:val="640"/>
          <w:marRight w:val="0"/>
          <w:marTop w:val="0"/>
          <w:marBottom w:val="0"/>
          <w:divBdr>
            <w:top w:val="none" w:sz="0" w:space="0" w:color="auto"/>
            <w:left w:val="none" w:sz="0" w:space="0" w:color="auto"/>
            <w:bottom w:val="none" w:sz="0" w:space="0" w:color="auto"/>
            <w:right w:val="none" w:sz="0" w:space="0" w:color="auto"/>
          </w:divBdr>
        </w:div>
        <w:div w:id="1230533657">
          <w:marLeft w:val="640"/>
          <w:marRight w:val="0"/>
          <w:marTop w:val="0"/>
          <w:marBottom w:val="0"/>
          <w:divBdr>
            <w:top w:val="none" w:sz="0" w:space="0" w:color="auto"/>
            <w:left w:val="none" w:sz="0" w:space="0" w:color="auto"/>
            <w:bottom w:val="none" w:sz="0" w:space="0" w:color="auto"/>
            <w:right w:val="none" w:sz="0" w:space="0" w:color="auto"/>
          </w:divBdr>
        </w:div>
        <w:div w:id="2098208467">
          <w:marLeft w:val="640"/>
          <w:marRight w:val="0"/>
          <w:marTop w:val="0"/>
          <w:marBottom w:val="0"/>
          <w:divBdr>
            <w:top w:val="none" w:sz="0" w:space="0" w:color="auto"/>
            <w:left w:val="none" w:sz="0" w:space="0" w:color="auto"/>
            <w:bottom w:val="none" w:sz="0" w:space="0" w:color="auto"/>
            <w:right w:val="none" w:sz="0" w:space="0" w:color="auto"/>
          </w:divBdr>
        </w:div>
        <w:div w:id="1816871845">
          <w:marLeft w:val="640"/>
          <w:marRight w:val="0"/>
          <w:marTop w:val="0"/>
          <w:marBottom w:val="0"/>
          <w:divBdr>
            <w:top w:val="none" w:sz="0" w:space="0" w:color="auto"/>
            <w:left w:val="none" w:sz="0" w:space="0" w:color="auto"/>
            <w:bottom w:val="none" w:sz="0" w:space="0" w:color="auto"/>
            <w:right w:val="none" w:sz="0" w:space="0" w:color="auto"/>
          </w:divBdr>
        </w:div>
        <w:div w:id="1870950535">
          <w:marLeft w:val="640"/>
          <w:marRight w:val="0"/>
          <w:marTop w:val="0"/>
          <w:marBottom w:val="0"/>
          <w:divBdr>
            <w:top w:val="none" w:sz="0" w:space="0" w:color="auto"/>
            <w:left w:val="none" w:sz="0" w:space="0" w:color="auto"/>
            <w:bottom w:val="none" w:sz="0" w:space="0" w:color="auto"/>
            <w:right w:val="none" w:sz="0" w:space="0" w:color="auto"/>
          </w:divBdr>
        </w:div>
        <w:div w:id="308021394">
          <w:marLeft w:val="640"/>
          <w:marRight w:val="0"/>
          <w:marTop w:val="0"/>
          <w:marBottom w:val="0"/>
          <w:divBdr>
            <w:top w:val="none" w:sz="0" w:space="0" w:color="auto"/>
            <w:left w:val="none" w:sz="0" w:space="0" w:color="auto"/>
            <w:bottom w:val="none" w:sz="0" w:space="0" w:color="auto"/>
            <w:right w:val="none" w:sz="0" w:space="0" w:color="auto"/>
          </w:divBdr>
        </w:div>
        <w:div w:id="1039206388">
          <w:marLeft w:val="640"/>
          <w:marRight w:val="0"/>
          <w:marTop w:val="0"/>
          <w:marBottom w:val="0"/>
          <w:divBdr>
            <w:top w:val="none" w:sz="0" w:space="0" w:color="auto"/>
            <w:left w:val="none" w:sz="0" w:space="0" w:color="auto"/>
            <w:bottom w:val="none" w:sz="0" w:space="0" w:color="auto"/>
            <w:right w:val="none" w:sz="0" w:space="0" w:color="auto"/>
          </w:divBdr>
        </w:div>
        <w:div w:id="352535278">
          <w:marLeft w:val="640"/>
          <w:marRight w:val="0"/>
          <w:marTop w:val="0"/>
          <w:marBottom w:val="0"/>
          <w:divBdr>
            <w:top w:val="none" w:sz="0" w:space="0" w:color="auto"/>
            <w:left w:val="none" w:sz="0" w:space="0" w:color="auto"/>
            <w:bottom w:val="none" w:sz="0" w:space="0" w:color="auto"/>
            <w:right w:val="none" w:sz="0" w:space="0" w:color="auto"/>
          </w:divBdr>
        </w:div>
        <w:div w:id="1367946708">
          <w:marLeft w:val="640"/>
          <w:marRight w:val="0"/>
          <w:marTop w:val="0"/>
          <w:marBottom w:val="0"/>
          <w:divBdr>
            <w:top w:val="none" w:sz="0" w:space="0" w:color="auto"/>
            <w:left w:val="none" w:sz="0" w:space="0" w:color="auto"/>
            <w:bottom w:val="none" w:sz="0" w:space="0" w:color="auto"/>
            <w:right w:val="none" w:sz="0" w:space="0" w:color="auto"/>
          </w:divBdr>
        </w:div>
        <w:div w:id="1873035744">
          <w:marLeft w:val="640"/>
          <w:marRight w:val="0"/>
          <w:marTop w:val="0"/>
          <w:marBottom w:val="0"/>
          <w:divBdr>
            <w:top w:val="none" w:sz="0" w:space="0" w:color="auto"/>
            <w:left w:val="none" w:sz="0" w:space="0" w:color="auto"/>
            <w:bottom w:val="none" w:sz="0" w:space="0" w:color="auto"/>
            <w:right w:val="none" w:sz="0" w:space="0" w:color="auto"/>
          </w:divBdr>
        </w:div>
        <w:div w:id="43607416">
          <w:marLeft w:val="640"/>
          <w:marRight w:val="0"/>
          <w:marTop w:val="0"/>
          <w:marBottom w:val="0"/>
          <w:divBdr>
            <w:top w:val="none" w:sz="0" w:space="0" w:color="auto"/>
            <w:left w:val="none" w:sz="0" w:space="0" w:color="auto"/>
            <w:bottom w:val="none" w:sz="0" w:space="0" w:color="auto"/>
            <w:right w:val="none" w:sz="0" w:space="0" w:color="auto"/>
          </w:divBdr>
        </w:div>
        <w:div w:id="1674838582">
          <w:marLeft w:val="640"/>
          <w:marRight w:val="0"/>
          <w:marTop w:val="0"/>
          <w:marBottom w:val="0"/>
          <w:divBdr>
            <w:top w:val="none" w:sz="0" w:space="0" w:color="auto"/>
            <w:left w:val="none" w:sz="0" w:space="0" w:color="auto"/>
            <w:bottom w:val="none" w:sz="0" w:space="0" w:color="auto"/>
            <w:right w:val="none" w:sz="0" w:space="0" w:color="auto"/>
          </w:divBdr>
        </w:div>
        <w:div w:id="499587604">
          <w:marLeft w:val="640"/>
          <w:marRight w:val="0"/>
          <w:marTop w:val="0"/>
          <w:marBottom w:val="0"/>
          <w:divBdr>
            <w:top w:val="none" w:sz="0" w:space="0" w:color="auto"/>
            <w:left w:val="none" w:sz="0" w:space="0" w:color="auto"/>
            <w:bottom w:val="none" w:sz="0" w:space="0" w:color="auto"/>
            <w:right w:val="none" w:sz="0" w:space="0" w:color="auto"/>
          </w:divBdr>
        </w:div>
        <w:div w:id="1042678912">
          <w:marLeft w:val="640"/>
          <w:marRight w:val="0"/>
          <w:marTop w:val="0"/>
          <w:marBottom w:val="0"/>
          <w:divBdr>
            <w:top w:val="none" w:sz="0" w:space="0" w:color="auto"/>
            <w:left w:val="none" w:sz="0" w:space="0" w:color="auto"/>
            <w:bottom w:val="none" w:sz="0" w:space="0" w:color="auto"/>
            <w:right w:val="none" w:sz="0" w:space="0" w:color="auto"/>
          </w:divBdr>
        </w:div>
        <w:div w:id="1824270509">
          <w:marLeft w:val="640"/>
          <w:marRight w:val="0"/>
          <w:marTop w:val="0"/>
          <w:marBottom w:val="0"/>
          <w:divBdr>
            <w:top w:val="none" w:sz="0" w:space="0" w:color="auto"/>
            <w:left w:val="none" w:sz="0" w:space="0" w:color="auto"/>
            <w:bottom w:val="none" w:sz="0" w:space="0" w:color="auto"/>
            <w:right w:val="none" w:sz="0" w:space="0" w:color="auto"/>
          </w:divBdr>
        </w:div>
        <w:div w:id="54668771">
          <w:marLeft w:val="640"/>
          <w:marRight w:val="0"/>
          <w:marTop w:val="0"/>
          <w:marBottom w:val="0"/>
          <w:divBdr>
            <w:top w:val="none" w:sz="0" w:space="0" w:color="auto"/>
            <w:left w:val="none" w:sz="0" w:space="0" w:color="auto"/>
            <w:bottom w:val="none" w:sz="0" w:space="0" w:color="auto"/>
            <w:right w:val="none" w:sz="0" w:space="0" w:color="auto"/>
          </w:divBdr>
        </w:div>
        <w:div w:id="1929729662">
          <w:marLeft w:val="640"/>
          <w:marRight w:val="0"/>
          <w:marTop w:val="0"/>
          <w:marBottom w:val="0"/>
          <w:divBdr>
            <w:top w:val="none" w:sz="0" w:space="0" w:color="auto"/>
            <w:left w:val="none" w:sz="0" w:space="0" w:color="auto"/>
            <w:bottom w:val="none" w:sz="0" w:space="0" w:color="auto"/>
            <w:right w:val="none" w:sz="0" w:space="0" w:color="auto"/>
          </w:divBdr>
        </w:div>
        <w:div w:id="1770009101">
          <w:marLeft w:val="640"/>
          <w:marRight w:val="0"/>
          <w:marTop w:val="0"/>
          <w:marBottom w:val="0"/>
          <w:divBdr>
            <w:top w:val="none" w:sz="0" w:space="0" w:color="auto"/>
            <w:left w:val="none" w:sz="0" w:space="0" w:color="auto"/>
            <w:bottom w:val="none" w:sz="0" w:space="0" w:color="auto"/>
            <w:right w:val="none" w:sz="0" w:space="0" w:color="auto"/>
          </w:divBdr>
        </w:div>
        <w:div w:id="1893882366">
          <w:marLeft w:val="640"/>
          <w:marRight w:val="0"/>
          <w:marTop w:val="0"/>
          <w:marBottom w:val="0"/>
          <w:divBdr>
            <w:top w:val="none" w:sz="0" w:space="0" w:color="auto"/>
            <w:left w:val="none" w:sz="0" w:space="0" w:color="auto"/>
            <w:bottom w:val="none" w:sz="0" w:space="0" w:color="auto"/>
            <w:right w:val="none" w:sz="0" w:space="0" w:color="auto"/>
          </w:divBdr>
        </w:div>
        <w:div w:id="1162087244">
          <w:marLeft w:val="640"/>
          <w:marRight w:val="0"/>
          <w:marTop w:val="0"/>
          <w:marBottom w:val="0"/>
          <w:divBdr>
            <w:top w:val="none" w:sz="0" w:space="0" w:color="auto"/>
            <w:left w:val="none" w:sz="0" w:space="0" w:color="auto"/>
            <w:bottom w:val="none" w:sz="0" w:space="0" w:color="auto"/>
            <w:right w:val="none" w:sz="0" w:space="0" w:color="auto"/>
          </w:divBdr>
        </w:div>
        <w:div w:id="519440214">
          <w:marLeft w:val="640"/>
          <w:marRight w:val="0"/>
          <w:marTop w:val="0"/>
          <w:marBottom w:val="0"/>
          <w:divBdr>
            <w:top w:val="none" w:sz="0" w:space="0" w:color="auto"/>
            <w:left w:val="none" w:sz="0" w:space="0" w:color="auto"/>
            <w:bottom w:val="none" w:sz="0" w:space="0" w:color="auto"/>
            <w:right w:val="none" w:sz="0" w:space="0" w:color="auto"/>
          </w:divBdr>
        </w:div>
        <w:div w:id="1933858540">
          <w:marLeft w:val="640"/>
          <w:marRight w:val="0"/>
          <w:marTop w:val="0"/>
          <w:marBottom w:val="0"/>
          <w:divBdr>
            <w:top w:val="none" w:sz="0" w:space="0" w:color="auto"/>
            <w:left w:val="none" w:sz="0" w:space="0" w:color="auto"/>
            <w:bottom w:val="none" w:sz="0" w:space="0" w:color="auto"/>
            <w:right w:val="none" w:sz="0" w:space="0" w:color="auto"/>
          </w:divBdr>
        </w:div>
        <w:div w:id="1805584274">
          <w:marLeft w:val="640"/>
          <w:marRight w:val="0"/>
          <w:marTop w:val="0"/>
          <w:marBottom w:val="0"/>
          <w:divBdr>
            <w:top w:val="none" w:sz="0" w:space="0" w:color="auto"/>
            <w:left w:val="none" w:sz="0" w:space="0" w:color="auto"/>
            <w:bottom w:val="none" w:sz="0" w:space="0" w:color="auto"/>
            <w:right w:val="none" w:sz="0" w:space="0" w:color="auto"/>
          </w:divBdr>
        </w:div>
        <w:div w:id="848638476">
          <w:marLeft w:val="640"/>
          <w:marRight w:val="0"/>
          <w:marTop w:val="0"/>
          <w:marBottom w:val="0"/>
          <w:divBdr>
            <w:top w:val="none" w:sz="0" w:space="0" w:color="auto"/>
            <w:left w:val="none" w:sz="0" w:space="0" w:color="auto"/>
            <w:bottom w:val="none" w:sz="0" w:space="0" w:color="auto"/>
            <w:right w:val="none" w:sz="0" w:space="0" w:color="auto"/>
          </w:divBdr>
        </w:div>
        <w:div w:id="1807435351">
          <w:marLeft w:val="640"/>
          <w:marRight w:val="0"/>
          <w:marTop w:val="0"/>
          <w:marBottom w:val="0"/>
          <w:divBdr>
            <w:top w:val="none" w:sz="0" w:space="0" w:color="auto"/>
            <w:left w:val="none" w:sz="0" w:space="0" w:color="auto"/>
            <w:bottom w:val="none" w:sz="0" w:space="0" w:color="auto"/>
            <w:right w:val="none" w:sz="0" w:space="0" w:color="auto"/>
          </w:divBdr>
        </w:div>
        <w:div w:id="1543325108">
          <w:marLeft w:val="640"/>
          <w:marRight w:val="0"/>
          <w:marTop w:val="0"/>
          <w:marBottom w:val="0"/>
          <w:divBdr>
            <w:top w:val="none" w:sz="0" w:space="0" w:color="auto"/>
            <w:left w:val="none" w:sz="0" w:space="0" w:color="auto"/>
            <w:bottom w:val="none" w:sz="0" w:space="0" w:color="auto"/>
            <w:right w:val="none" w:sz="0" w:space="0" w:color="auto"/>
          </w:divBdr>
        </w:div>
        <w:div w:id="758064186">
          <w:marLeft w:val="640"/>
          <w:marRight w:val="0"/>
          <w:marTop w:val="0"/>
          <w:marBottom w:val="0"/>
          <w:divBdr>
            <w:top w:val="none" w:sz="0" w:space="0" w:color="auto"/>
            <w:left w:val="none" w:sz="0" w:space="0" w:color="auto"/>
            <w:bottom w:val="none" w:sz="0" w:space="0" w:color="auto"/>
            <w:right w:val="none" w:sz="0" w:space="0" w:color="auto"/>
          </w:divBdr>
        </w:div>
        <w:div w:id="796873855">
          <w:marLeft w:val="640"/>
          <w:marRight w:val="0"/>
          <w:marTop w:val="0"/>
          <w:marBottom w:val="0"/>
          <w:divBdr>
            <w:top w:val="none" w:sz="0" w:space="0" w:color="auto"/>
            <w:left w:val="none" w:sz="0" w:space="0" w:color="auto"/>
            <w:bottom w:val="none" w:sz="0" w:space="0" w:color="auto"/>
            <w:right w:val="none" w:sz="0" w:space="0" w:color="auto"/>
          </w:divBdr>
        </w:div>
        <w:div w:id="1708334672">
          <w:marLeft w:val="640"/>
          <w:marRight w:val="0"/>
          <w:marTop w:val="0"/>
          <w:marBottom w:val="0"/>
          <w:divBdr>
            <w:top w:val="none" w:sz="0" w:space="0" w:color="auto"/>
            <w:left w:val="none" w:sz="0" w:space="0" w:color="auto"/>
            <w:bottom w:val="none" w:sz="0" w:space="0" w:color="auto"/>
            <w:right w:val="none" w:sz="0" w:space="0" w:color="auto"/>
          </w:divBdr>
        </w:div>
        <w:div w:id="132334565">
          <w:marLeft w:val="640"/>
          <w:marRight w:val="0"/>
          <w:marTop w:val="0"/>
          <w:marBottom w:val="0"/>
          <w:divBdr>
            <w:top w:val="none" w:sz="0" w:space="0" w:color="auto"/>
            <w:left w:val="none" w:sz="0" w:space="0" w:color="auto"/>
            <w:bottom w:val="none" w:sz="0" w:space="0" w:color="auto"/>
            <w:right w:val="none" w:sz="0" w:space="0" w:color="auto"/>
          </w:divBdr>
        </w:div>
        <w:div w:id="1789660405">
          <w:marLeft w:val="640"/>
          <w:marRight w:val="0"/>
          <w:marTop w:val="0"/>
          <w:marBottom w:val="0"/>
          <w:divBdr>
            <w:top w:val="none" w:sz="0" w:space="0" w:color="auto"/>
            <w:left w:val="none" w:sz="0" w:space="0" w:color="auto"/>
            <w:bottom w:val="none" w:sz="0" w:space="0" w:color="auto"/>
            <w:right w:val="none" w:sz="0" w:space="0" w:color="auto"/>
          </w:divBdr>
        </w:div>
        <w:div w:id="860094825">
          <w:marLeft w:val="640"/>
          <w:marRight w:val="0"/>
          <w:marTop w:val="0"/>
          <w:marBottom w:val="0"/>
          <w:divBdr>
            <w:top w:val="none" w:sz="0" w:space="0" w:color="auto"/>
            <w:left w:val="none" w:sz="0" w:space="0" w:color="auto"/>
            <w:bottom w:val="none" w:sz="0" w:space="0" w:color="auto"/>
            <w:right w:val="none" w:sz="0" w:space="0" w:color="auto"/>
          </w:divBdr>
        </w:div>
        <w:div w:id="1035693498">
          <w:marLeft w:val="640"/>
          <w:marRight w:val="0"/>
          <w:marTop w:val="0"/>
          <w:marBottom w:val="0"/>
          <w:divBdr>
            <w:top w:val="none" w:sz="0" w:space="0" w:color="auto"/>
            <w:left w:val="none" w:sz="0" w:space="0" w:color="auto"/>
            <w:bottom w:val="none" w:sz="0" w:space="0" w:color="auto"/>
            <w:right w:val="none" w:sz="0" w:space="0" w:color="auto"/>
          </w:divBdr>
        </w:div>
        <w:div w:id="13697436">
          <w:marLeft w:val="640"/>
          <w:marRight w:val="0"/>
          <w:marTop w:val="0"/>
          <w:marBottom w:val="0"/>
          <w:divBdr>
            <w:top w:val="none" w:sz="0" w:space="0" w:color="auto"/>
            <w:left w:val="none" w:sz="0" w:space="0" w:color="auto"/>
            <w:bottom w:val="none" w:sz="0" w:space="0" w:color="auto"/>
            <w:right w:val="none" w:sz="0" w:space="0" w:color="auto"/>
          </w:divBdr>
        </w:div>
        <w:div w:id="1345748666">
          <w:marLeft w:val="640"/>
          <w:marRight w:val="0"/>
          <w:marTop w:val="0"/>
          <w:marBottom w:val="0"/>
          <w:divBdr>
            <w:top w:val="none" w:sz="0" w:space="0" w:color="auto"/>
            <w:left w:val="none" w:sz="0" w:space="0" w:color="auto"/>
            <w:bottom w:val="none" w:sz="0" w:space="0" w:color="auto"/>
            <w:right w:val="none" w:sz="0" w:space="0" w:color="auto"/>
          </w:divBdr>
        </w:div>
        <w:div w:id="1402871816">
          <w:marLeft w:val="640"/>
          <w:marRight w:val="0"/>
          <w:marTop w:val="0"/>
          <w:marBottom w:val="0"/>
          <w:divBdr>
            <w:top w:val="none" w:sz="0" w:space="0" w:color="auto"/>
            <w:left w:val="none" w:sz="0" w:space="0" w:color="auto"/>
            <w:bottom w:val="none" w:sz="0" w:space="0" w:color="auto"/>
            <w:right w:val="none" w:sz="0" w:space="0" w:color="auto"/>
          </w:divBdr>
        </w:div>
        <w:div w:id="1812140111">
          <w:marLeft w:val="640"/>
          <w:marRight w:val="0"/>
          <w:marTop w:val="0"/>
          <w:marBottom w:val="0"/>
          <w:divBdr>
            <w:top w:val="none" w:sz="0" w:space="0" w:color="auto"/>
            <w:left w:val="none" w:sz="0" w:space="0" w:color="auto"/>
            <w:bottom w:val="none" w:sz="0" w:space="0" w:color="auto"/>
            <w:right w:val="none" w:sz="0" w:space="0" w:color="auto"/>
          </w:divBdr>
        </w:div>
        <w:div w:id="1519854418">
          <w:marLeft w:val="640"/>
          <w:marRight w:val="0"/>
          <w:marTop w:val="0"/>
          <w:marBottom w:val="0"/>
          <w:divBdr>
            <w:top w:val="none" w:sz="0" w:space="0" w:color="auto"/>
            <w:left w:val="none" w:sz="0" w:space="0" w:color="auto"/>
            <w:bottom w:val="none" w:sz="0" w:space="0" w:color="auto"/>
            <w:right w:val="none" w:sz="0" w:space="0" w:color="auto"/>
          </w:divBdr>
        </w:div>
        <w:div w:id="1940987428">
          <w:marLeft w:val="640"/>
          <w:marRight w:val="0"/>
          <w:marTop w:val="0"/>
          <w:marBottom w:val="0"/>
          <w:divBdr>
            <w:top w:val="none" w:sz="0" w:space="0" w:color="auto"/>
            <w:left w:val="none" w:sz="0" w:space="0" w:color="auto"/>
            <w:bottom w:val="none" w:sz="0" w:space="0" w:color="auto"/>
            <w:right w:val="none" w:sz="0" w:space="0" w:color="auto"/>
          </w:divBdr>
        </w:div>
        <w:div w:id="1008143900">
          <w:marLeft w:val="640"/>
          <w:marRight w:val="0"/>
          <w:marTop w:val="0"/>
          <w:marBottom w:val="0"/>
          <w:divBdr>
            <w:top w:val="none" w:sz="0" w:space="0" w:color="auto"/>
            <w:left w:val="none" w:sz="0" w:space="0" w:color="auto"/>
            <w:bottom w:val="none" w:sz="0" w:space="0" w:color="auto"/>
            <w:right w:val="none" w:sz="0" w:space="0" w:color="auto"/>
          </w:divBdr>
        </w:div>
        <w:div w:id="1509559593">
          <w:marLeft w:val="640"/>
          <w:marRight w:val="0"/>
          <w:marTop w:val="0"/>
          <w:marBottom w:val="0"/>
          <w:divBdr>
            <w:top w:val="none" w:sz="0" w:space="0" w:color="auto"/>
            <w:left w:val="none" w:sz="0" w:space="0" w:color="auto"/>
            <w:bottom w:val="none" w:sz="0" w:space="0" w:color="auto"/>
            <w:right w:val="none" w:sz="0" w:space="0" w:color="auto"/>
          </w:divBdr>
        </w:div>
        <w:div w:id="2125882444">
          <w:marLeft w:val="640"/>
          <w:marRight w:val="0"/>
          <w:marTop w:val="0"/>
          <w:marBottom w:val="0"/>
          <w:divBdr>
            <w:top w:val="none" w:sz="0" w:space="0" w:color="auto"/>
            <w:left w:val="none" w:sz="0" w:space="0" w:color="auto"/>
            <w:bottom w:val="none" w:sz="0" w:space="0" w:color="auto"/>
            <w:right w:val="none" w:sz="0" w:space="0" w:color="auto"/>
          </w:divBdr>
        </w:div>
        <w:div w:id="1750494890">
          <w:marLeft w:val="640"/>
          <w:marRight w:val="0"/>
          <w:marTop w:val="0"/>
          <w:marBottom w:val="0"/>
          <w:divBdr>
            <w:top w:val="none" w:sz="0" w:space="0" w:color="auto"/>
            <w:left w:val="none" w:sz="0" w:space="0" w:color="auto"/>
            <w:bottom w:val="none" w:sz="0" w:space="0" w:color="auto"/>
            <w:right w:val="none" w:sz="0" w:space="0" w:color="auto"/>
          </w:divBdr>
        </w:div>
        <w:div w:id="1092120491">
          <w:marLeft w:val="640"/>
          <w:marRight w:val="0"/>
          <w:marTop w:val="0"/>
          <w:marBottom w:val="0"/>
          <w:divBdr>
            <w:top w:val="none" w:sz="0" w:space="0" w:color="auto"/>
            <w:left w:val="none" w:sz="0" w:space="0" w:color="auto"/>
            <w:bottom w:val="none" w:sz="0" w:space="0" w:color="auto"/>
            <w:right w:val="none" w:sz="0" w:space="0" w:color="auto"/>
          </w:divBdr>
        </w:div>
      </w:divsChild>
    </w:div>
    <w:div w:id="63645841">
      <w:bodyDiv w:val="1"/>
      <w:marLeft w:val="0"/>
      <w:marRight w:val="0"/>
      <w:marTop w:val="0"/>
      <w:marBottom w:val="0"/>
      <w:divBdr>
        <w:top w:val="none" w:sz="0" w:space="0" w:color="auto"/>
        <w:left w:val="none" w:sz="0" w:space="0" w:color="auto"/>
        <w:bottom w:val="none" w:sz="0" w:space="0" w:color="auto"/>
        <w:right w:val="none" w:sz="0" w:space="0" w:color="auto"/>
      </w:divBdr>
      <w:divsChild>
        <w:div w:id="267078394">
          <w:marLeft w:val="640"/>
          <w:marRight w:val="0"/>
          <w:marTop w:val="0"/>
          <w:marBottom w:val="0"/>
          <w:divBdr>
            <w:top w:val="none" w:sz="0" w:space="0" w:color="auto"/>
            <w:left w:val="none" w:sz="0" w:space="0" w:color="auto"/>
            <w:bottom w:val="none" w:sz="0" w:space="0" w:color="auto"/>
            <w:right w:val="none" w:sz="0" w:space="0" w:color="auto"/>
          </w:divBdr>
        </w:div>
        <w:div w:id="1834950847">
          <w:marLeft w:val="640"/>
          <w:marRight w:val="0"/>
          <w:marTop w:val="0"/>
          <w:marBottom w:val="0"/>
          <w:divBdr>
            <w:top w:val="none" w:sz="0" w:space="0" w:color="auto"/>
            <w:left w:val="none" w:sz="0" w:space="0" w:color="auto"/>
            <w:bottom w:val="none" w:sz="0" w:space="0" w:color="auto"/>
            <w:right w:val="none" w:sz="0" w:space="0" w:color="auto"/>
          </w:divBdr>
        </w:div>
        <w:div w:id="256597358">
          <w:marLeft w:val="640"/>
          <w:marRight w:val="0"/>
          <w:marTop w:val="0"/>
          <w:marBottom w:val="0"/>
          <w:divBdr>
            <w:top w:val="none" w:sz="0" w:space="0" w:color="auto"/>
            <w:left w:val="none" w:sz="0" w:space="0" w:color="auto"/>
            <w:bottom w:val="none" w:sz="0" w:space="0" w:color="auto"/>
            <w:right w:val="none" w:sz="0" w:space="0" w:color="auto"/>
          </w:divBdr>
        </w:div>
        <w:div w:id="1682925666">
          <w:marLeft w:val="640"/>
          <w:marRight w:val="0"/>
          <w:marTop w:val="0"/>
          <w:marBottom w:val="0"/>
          <w:divBdr>
            <w:top w:val="none" w:sz="0" w:space="0" w:color="auto"/>
            <w:left w:val="none" w:sz="0" w:space="0" w:color="auto"/>
            <w:bottom w:val="none" w:sz="0" w:space="0" w:color="auto"/>
            <w:right w:val="none" w:sz="0" w:space="0" w:color="auto"/>
          </w:divBdr>
        </w:div>
        <w:div w:id="1670907088">
          <w:marLeft w:val="640"/>
          <w:marRight w:val="0"/>
          <w:marTop w:val="0"/>
          <w:marBottom w:val="0"/>
          <w:divBdr>
            <w:top w:val="none" w:sz="0" w:space="0" w:color="auto"/>
            <w:left w:val="none" w:sz="0" w:space="0" w:color="auto"/>
            <w:bottom w:val="none" w:sz="0" w:space="0" w:color="auto"/>
            <w:right w:val="none" w:sz="0" w:space="0" w:color="auto"/>
          </w:divBdr>
        </w:div>
        <w:div w:id="779296116">
          <w:marLeft w:val="640"/>
          <w:marRight w:val="0"/>
          <w:marTop w:val="0"/>
          <w:marBottom w:val="0"/>
          <w:divBdr>
            <w:top w:val="none" w:sz="0" w:space="0" w:color="auto"/>
            <w:left w:val="none" w:sz="0" w:space="0" w:color="auto"/>
            <w:bottom w:val="none" w:sz="0" w:space="0" w:color="auto"/>
            <w:right w:val="none" w:sz="0" w:space="0" w:color="auto"/>
          </w:divBdr>
        </w:div>
        <w:div w:id="2105609525">
          <w:marLeft w:val="640"/>
          <w:marRight w:val="0"/>
          <w:marTop w:val="0"/>
          <w:marBottom w:val="0"/>
          <w:divBdr>
            <w:top w:val="none" w:sz="0" w:space="0" w:color="auto"/>
            <w:left w:val="none" w:sz="0" w:space="0" w:color="auto"/>
            <w:bottom w:val="none" w:sz="0" w:space="0" w:color="auto"/>
            <w:right w:val="none" w:sz="0" w:space="0" w:color="auto"/>
          </w:divBdr>
        </w:div>
        <w:div w:id="1617369500">
          <w:marLeft w:val="640"/>
          <w:marRight w:val="0"/>
          <w:marTop w:val="0"/>
          <w:marBottom w:val="0"/>
          <w:divBdr>
            <w:top w:val="none" w:sz="0" w:space="0" w:color="auto"/>
            <w:left w:val="none" w:sz="0" w:space="0" w:color="auto"/>
            <w:bottom w:val="none" w:sz="0" w:space="0" w:color="auto"/>
            <w:right w:val="none" w:sz="0" w:space="0" w:color="auto"/>
          </w:divBdr>
        </w:div>
        <w:div w:id="746001820">
          <w:marLeft w:val="640"/>
          <w:marRight w:val="0"/>
          <w:marTop w:val="0"/>
          <w:marBottom w:val="0"/>
          <w:divBdr>
            <w:top w:val="none" w:sz="0" w:space="0" w:color="auto"/>
            <w:left w:val="none" w:sz="0" w:space="0" w:color="auto"/>
            <w:bottom w:val="none" w:sz="0" w:space="0" w:color="auto"/>
            <w:right w:val="none" w:sz="0" w:space="0" w:color="auto"/>
          </w:divBdr>
        </w:div>
        <w:div w:id="310138745">
          <w:marLeft w:val="640"/>
          <w:marRight w:val="0"/>
          <w:marTop w:val="0"/>
          <w:marBottom w:val="0"/>
          <w:divBdr>
            <w:top w:val="none" w:sz="0" w:space="0" w:color="auto"/>
            <w:left w:val="none" w:sz="0" w:space="0" w:color="auto"/>
            <w:bottom w:val="none" w:sz="0" w:space="0" w:color="auto"/>
            <w:right w:val="none" w:sz="0" w:space="0" w:color="auto"/>
          </w:divBdr>
        </w:div>
        <w:div w:id="305399125">
          <w:marLeft w:val="640"/>
          <w:marRight w:val="0"/>
          <w:marTop w:val="0"/>
          <w:marBottom w:val="0"/>
          <w:divBdr>
            <w:top w:val="none" w:sz="0" w:space="0" w:color="auto"/>
            <w:left w:val="none" w:sz="0" w:space="0" w:color="auto"/>
            <w:bottom w:val="none" w:sz="0" w:space="0" w:color="auto"/>
            <w:right w:val="none" w:sz="0" w:space="0" w:color="auto"/>
          </w:divBdr>
        </w:div>
        <w:div w:id="1405906664">
          <w:marLeft w:val="640"/>
          <w:marRight w:val="0"/>
          <w:marTop w:val="0"/>
          <w:marBottom w:val="0"/>
          <w:divBdr>
            <w:top w:val="none" w:sz="0" w:space="0" w:color="auto"/>
            <w:left w:val="none" w:sz="0" w:space="0" w:color="auto"/>
            <w:bottom w:val="none" w:sz="0" w:space="0" w:color="auto"/>
            <w:right w:val="none" w:sz="0" w:space="0" w:color="auto"/>
          </w:divBdr>
        </w:div>
        <w:div w:id="435683936">
          <w:marLeft w:val="640"/>
          <w:marRight w:val="0"/>
          <w:marTop w:val="0"/>
          <w:marBottom w:val="0"/>
          <w:divBdr>
            <w:top w:val="none" w:sz="0" w:space="0" w:color="auto"/>
            <w:left w:val="none" w:sz="0" w:space="0" w:color="auto"/>
            <w:bottom w:val="none" w:sz="0" w:space="0" w:color="auto"/>
            <w:right w:val="none" w:sz="0" w:space="0" w:color="auto"/>
          </w:divBdr>
        </w:div>
        <w:div w:id="1389571845">
          <w:marLeft w:val="640"/>
          <w:marRight w:val="0"/>
          <w:marTop w:val="0"/>
          <w:marBottom w:val="0"/>
          <w:divBdr>
            <w:top w:val="none" w:sz="0" w:space="0" w:color="auto"/>
            <w:left w:val="none" w:sz="0" w:space="0" w:color="auto"/>
            <w:bottom w:val="none" w:sz="0" w:space="0" w:color="auto"/>
            <w:right w:val="none" w:sz="0" w:space="0" w:color="auto"/>
          </w:divBdr>
        </w:div>
        <w:div w:id="1221012725">
          <w:marLeft w:val="640"/>
          <w:marRight w:val="0"/>
          <w:marTop w:val="0"/>
          <w:marBottom w:val="0"/>
          <w:divBdr>
            <w:top w:val="none" w:sz="0" w:space="0" w:color="auto"/>
            <w:left w:val="none" w:sz="0" w:space="0" w:color="auto"/>
            <w:bottom w:val="none" w:sz="0" w:space="0" w:color="auto"/>
            <w:right w:val="none" w:sz="0" w:space="0" w:color="auto"/>
          </w:divBdr>
        </w:div>
        <w:div w:id="759446113">
          <w:marLeft w:val="640"/>
          <w:marRight w:val="0"/>
          <w:marTop w:val="0"/>
          <w:marBottom w:val="0"/>
          <w:divBdr>
            <w:top w:val="none" w:sz="0" w:space="0" w:color="auto"/>
            <w:left w:val="none" w:sz="0" w:space="0" w:color="auto"/>
            <w:bottom w:val="none" w:sz="0" w:space="0" w:color="auto"/>
            <w:right w:val="none" w:sz="0" w:space="0" w:color="auto"/>
          </w:divBdr>
        </w:div>
        <w:div w:id="468715006">
          <w:marLeft w:val="640"/>
          <w:marRight w:val="0"/>
          <w:marTop w:val="0"/>
          <w:marBottom w:val="0"/>
          <w:divBdr>
            <w:top w:val="none" w:sz="0" w:space="0" w:color="auto"/>
            <w:left w:val="none" w:sz="0" w:space="0" w:color="auto"/>
            <w:bottom w:val="none" w:sz="0" w:space="0" w:color="auto"/>
            <w:right w:val="none" w:sz="0" w:space="0" w:color="auto"/>
          </w:divBdr>
        </w:div>
        <w:div w:id="1641153184">
          <w:marLeft w:val="640"/>
          <w:marRight w:val="0"/>
          <w:marTop w:val="0"/>
          <w:marBottom w:val="0"/>
          <w:divBdr>
            <w:top w:val="none" w:sz="0" w:space="0" w:color="auto"/>
            <w:left w:val="none" w:sz="0" w:space="0" w:color="auto"/>
            <w:bottom w:val="none" w:sz="0" w:space="0" w:color="auto"/>
            <w:right w:val="none" w:sz="0" w:space="0" w:color="auto"/>
          </w:divBdr>
        </w:div>
        <w:div w:id="972565372">
          <w:marLeft w:val="640"/>
          <w:marRight w:val="0"/>
          <w:marTop w:val="0"/>
          <w:marBottom w:val="0"/>
          <w:divBdr>
            <w:top w:val="none" w:sz="0" w:space="0" w:color="auto"/>
            <w:left w:val="none" w:sz="0" w:space="0" w:color="auto"/>
            <w:bottom w:val="none" w:sz="0" w:space="0" w:color="auto"/>
            <w:right w:val="none" w:sz="0" w:space="0" w:color="auto"/>
          </w:divBdr>
        </w:div>
        <w:div w:id="1605456485">
          <w:marLeft w:val="640"/>
          <w:marRight w:val="0"/>
          <w:marTop w:val="0"/>
          <w:marBottom w:val="0"/>
          <w:divBdr>
            <w:top w:val="none" w:sz="0" w:space="0" w:color="auto"/>
            <w:left w:val="none" w:sz="0" w:space="0" w:color="auto"/>
            <w:bottom w:val="none" w:sz="0" w:space="0" w:color="auto"/>
            <w:right w:val="none" w:sz="0" w:space="0" w:color="auto"/>
          </w:divBdr>
        </w:div>
        <w:div w:id="1507476659">
          <w:marLeft w:val="640"/>
          <w:marRight w:val="0"/>
          <w:marTop w:val="0"/>
          <w:marBottom w:val="0"/>
          <w:divBdr>
            <w:top w:val="none" w:sz="0" w:space="0" w:color="auto"/>
            <w:left w:val="none" w:sz="0" w:space="0" w:color="auto"/>
            <w:bottom w:val="none" w:sz="0" w:space="0" w:color="auto"/>
            <w:right w:val="none" w:sz="0" w:space="0" w:color="auto"/>
          </w:divBdr>
        </w:div>
        <w:div w:id="1728065258">
          <w:marLeft w:val="640"/>
          <w:marRight w:val="0"/>
          <w:marTop w:val="0"/>
          <w:marBottom w:val="0"/>
          <w:divBdr>
            <w:top w:val="none" w:sz="0" w:space="0" w:color="auto"/>
            <w:left w:val="none" w:sz="0" w:space="0" w:color="auto"/>
            <w:bottom w:val="none" w:sz="0" w:space="0" w:color="auto"/>
            <w:right w:val="none" w:sz="0" w:space="0" w:color="auto"/>
          </w:divBdr>
        </w:div>
        <w:div w:id="694384681">
          <w:marLeft w:val="640"/>
          <w:marRight w:val="0"/>
          <w:marTop w:val="0"/>
          <w:marBottom w:val="0"/>
          <w:divBdr>
            <w:top w:val="none" w:sz="0" w:space="0" w:color="auto"/>
            <w:left w:val="none" w:sz="0" w:space="0" w:color="auto"/>
            <w:bottom w:val="none" w:sz="0" w:space="0" w:color="auto"/>
            <w:right w:val="none" w:sz="0" w:space="0" w:color="auto"/>
          </w:divBdr>
        </w:div>
        <w:div w:id="533735640">
          <w:marLeft w:val="640"/>
          <w:marRight w:val="0"/>
          <w:marTop w:val="0"/>
          <w:marBottom w:val="0"/>
          <w:divBdr>
            <w:top w:val="none" w:sz="0" w:space="0" w:color="auto"/>
            <w:left w:val="none" w:sz="0" w:space="0" w:color="auto"/>
            <w:bottom w:val="none" w:sz="0" w:space="0" w:color="auto"/>
            <w:right w:val="none" w:sz="0" w:space="0" w:color="auto"/>
          </w:divBdr>
        </w:div>
        <w:div w:id="2071881541">
          <w:marLeft w:val="640"/>
          <w:marRight w:val="0"/>
          <w:marTop w:val="0"/>
          <w:marBottom w:val="0"/>
          <w:divBdr>
            <w:top w:val="none" w:sz="0" w:space="0" w:color="auto"/>
            <w:left w:val="none" w:sz="0" w:space="0" w:color="auto"/>
            <w:bottom w:val="none" w:sz="0" w:space="0" w:color="auto"/>
            <w:right w:val="none" w:sz="0" w:space="0" w:color="auto"/>
          </w:divBdr>
        </w:div>
        <w:div w:id="338317024">
          <w:marLeft w:val="640"/>
          <w:marRight w:val="0"/>
          <w:marTop w:val="0"/>
          <w:marBottom w:val="0"/>
          <w:divBdr>
            <w:top w:val="none" w:sz="0" w:space="0" w:color="auto"/>
            <w:left w:val="none" w:sz="0" w:space="0" w:color="auto"/>
            <w:bottom w:val="none" w:sz="0" w:space="0" w:color="auto"/>
            <w:right w:val="none" w:sz="0" w:space="0" w:color="auto"/>
          </w:divBdr>
        </w:div>
        <w:div w:id="166599705">
          <w:marLeft w:val="640"/>
          <w:marRight w:val="0"/>
          <w:marTop w:val="0"/>
          <w:marBottom w:val="0"/>
          <w:divBdr>
            <w:top w:val="none" w:sz="0" w:space="0" w:color="auto"/>
            <w:left w:val="none" w:sz="0" w:space="0" w:color="auto"/>
            <w:bottom w:val="none" w:sz="0" w:space="0" w:color="auto"/>
            <w:right w:val="none" w:sz="0" w:space="0" w:color="auto"/>
          </w:divBdr>
        </w:div>
        <w:div w:id="256525876">
          <w:marLeft w:val="640"/>
          <w:marRight w:val="0"/>
          <w:marTop w:val="0"/>
          <w:marBottom w:val="0"/>
          <w:divBdr>
            <w:top w:val="none" w:sz="0" w:space="0" w:color="auto"/>
            <w:left w:val="none" w:sz="0" w:space="0" w:color="auto"/>
            <w:bottom w:val="none" w:sz="0" w:space="0" w:color="auto"/>
            <w:right w:val="none" w:sz="0" w:space="0" w:color="auto"/>
          </w:divBdr>
        </w:div>
        <w:div w:id="1522622055">
          <w:marLeft w:val="640"/>
          <w:marRight w:val="0"/>
          <w:marTop w:val="0"/>
          <w:marBottom w:val="0"/>
          <w:divBdr>
            <w:top w:val="none" w:sz="0" w:space="0" w:color="auto"/>
            <w:left w:val="none" w:sz="0" w:space="0" w:color="auto"/>
            <w:bottom w:val="none" w:sz="0" w:space="0" w:color="auto"/>
            <w:right w:val="none" w:sz="0" w:space="0" w:color="auto"/>
          </w:divBdr>
        </w:div>
        <w:div w:id="147284424">
          <w:marLeft w:val="640"/>
          <w:marRight w:val="0"/>
          <w:marTop w:val="0"/>
          <w:marBottom w:val="0"/>
          <w:divBdr>
            <w:top w:val="none" w:sz="0" w:space="0" w:color="auto"/>
            <w:left w:val="none" w:sz="0" w:space="0" w:color="auto"/>
            <w:bottom w:val="none" w:sz="0" w:space="0" w:color="auto"/>
            <w:right w:val="none" w:sz="0" w:space="0" w:color="auto"/>
          </w:divBdr>
        </w:div>
        <w:div w:id="489177711">
          <w:marLeft w:val="640"/>
          <w:marRight w:val="0"/>
          <w:marTop w:val="0"/>
          <w:marBottom w:val="0"/>
          <w:divBdr>
            <w:top w:val="none" w:sz="0" w:space="0" w:color="auto"/>
            <w:left w:val="none" w:sz="0" w:space="0" w:color="auto"/>
            <w:bottom w:val="none" w:sz="0" w:space="0" w:color="auto"/>
            <w:right w:val="none" w:sz="0" w:space="0" w:color="auto"/>
          </w:divBdr>
        </w:div>
        <w:div w:id="2008899029">
          <w:marLeft w:val="640"/>
          <w:marRight w:val="0"/>
          <w:marTop w:val="0"/>
          <w:marBottom w:val="0"/>
          <w:divBdr>
            <w:top w:val="none" w:sz="0" w:space="0" w:color="auto"/>
            <w:left w:val="none" w:sz="0" w:space="0" w:color="auto"/>
            <w:bottom w:val="none" w:sz="0" w:space="0" w:color="auto"/>
            <w:right w:val="none" w:sz="0" w:space="0" w:color="auto"/>
          </w:divBdr>
        </w:div>
        <w:div w:id="281806479">
          <w:marLeft w:val="640"/>
          <w:marRight w:val="0"/>
          <w:marTop w:val="0"/>
          <w:marBottom w:val="0"/>
          <w:divBdr>
            <w:top w:val="none" w:sz="0" w:space="0" w:color="auto"/>
            <w:left w:val="none" w:sz="0" w:space="0" w:color="auto"/>
            <w:bottom w:val="none" w:sz="0" w:space="0" w:color="auto"/>
            <w:right w:val="none" w:sz="0" w:space="0" w:color="auto"/>
          </w:divBdr>
        </w:div>
        <w:div w:id="1267736872">
          <w:marLeft w:val="640"/>
          <w:marRight w:val="0"/>
          <w:marTop w:val="0"/>
          <w:marBottom w:val="0"/>
          <w:divBdr>
            <w:top w:val="none" w:sz="0" w:space="0" w:color="auto"/>
            <w:left w:val="none" w:sz="0" w:space="0" w:color="auto"/>
            <w:bottom w:val="none" w:sz="0" w:space="0" w:color="auto"/>
            <w:right w:val="none" w:sz="0" w:space="0" w:color="auto"/>
          </w:divBdr>
        </w:div>
        <w:div w:id="437141410">
          <w:marLeft w:val="640"/>
          <w:marRight w:val="0"/>
          <w:marTop w:val="0"/>
          <w:marBottom w:val="0"/>
          <w:divBdr>
            <w:top w:val="none" w:sz="0" w:space="0" w:color="auto"/>
            <w:left w:val="none" w:sz="0" w:space="0" w:color="auto"/>
            <w:bottom w:val="none" w:sz="0" w:space="0" w:color="auto"/>
            <w:right w:val="none" w:sz="0" w:space="0" w:color="auto"/>
          </w:divBdr>
        </w:div>
        <w:div w:id="1344933583">
          <w:marLeft w:val="640"/>
          <w:marRight w:val="0"/>
          <w:marTop w:val="0"/>
          <w:marBottom w:val="0"/>
          <w:divBdr>
            <w:top w:val="none" w:sz="0" w:space="0" w:color="auto"/>
            <w:left w:val="none" w:sz="0" w:space="0" w:color="auto"/>
            <w:bottom w:val="none" w:sz="0" w:space="0" w:color="auto"/>
            <w:right w:val="none" w:sz="0" w:space="0" w:color="auto"/>
          </w:divBdr>
        </w:div>
        <w:div w:id="1931231200">
          <w:marLeft w:val="640"/>
          <w:marRight w:val="0"/>
          <w:marTop w:val="0"/>
          <w:marBottom w:val="0"/>
          <w:divBdr>
            <w:top w:val="none" w:sz="0" w:space="0" w:color="auto"/>
            <w:left w:val="none" w:sz="0" w:space="0" w:color="auto"/>
            <w:bottom w:val="none" w:sz="0" w:space="0" w:color="auto"/>
            <w:right w:val="none" w:sz="0" w:space="0" w:color="auto"/>
          </w:divBdr>
        </w:div>
        <w:div w:id="535582572">
          <w:marLeft w:val="640"/>
          <w:marRight w:val="0"/>
          <w:marTop w:val="0"/>
          <w:marBottom w:val="0"/>
          <w:divBdr>
            <w:top w:val="none" w:sz="0" w:space="0" w:color="auto"/>
            <w:left w:val="none" w:sz="0" w:space="0" w:color="auto"/>
            <w:bottom w:val="none" w:sz="0" w:space="0" w:color="auto"/>
            <w:right w:val="none" w:sz="0" w:space="0" w:color="auto"/>
          </w:divBdr>
        </w:div>
        <w:div w:id="1981298105">
          <w:marLeft w:val="640"/>
          <w:marRight w:val="0"/>
          <w:marTop w:val="0"/>
          <w:marBottom w:val="0"/>
          <w:divBdr>
            <w:top w:val="none" w:sz="0" w:space="0" w:color="auto"/>
            <w:left w:val="none" w:sz="0" w:space="0" w:color="auto"/>
            <w:bottom w:val="none" w:sz="0" w:space="0" w:color="auto"/>
            <w:right w:val="none" w:sz="0" w:space="0" w:color="auto"/>
          </w:divBdr>
        </w:div>
        <w:div w:id="1769957521">
          <w:marLeft w:val="640"/>
          <w:marRight w:val="0"/>
          <w:marTop w:val="0"/>
          <w:marBottom w:val="0"/>
          <w:divBdr>
            <w:top w:val="none" w:sz="0" w:space="0" w:color="auto"/>
            <w:left w:val="none" w:sz="0" w:space="0" w:color="auto"/>
            <w:bottom w:val="none" w:sz="0" w:space="0" w:color="auto"/>
            <w:right w:val="none" w:sz="0" w:space="0" w:color="auto"/>
          </w:divBdr>
        </w:div>
        <w:div w:id="396055305">
          <w:marLeft w:val="640"/>
          <w:marRight w:val="0"/>
          <w:marTop w:val="0"/>
          <w:marBottom w:val="0"/>
          <w:divBdr>
            <w:top w:val="none" w:sz="0" w:space="0" w:color="auto"/>
            <w:left w:val="none" w:sz="0" w:space="0" w:color="auto"/>
            <w:bottom w:val="none" w:sz="0" w:space="0" w:color="auto"/>
            <w:right w:val="none" w:sz="0" w:space="0" w:color="auto"/>
          </w:divBdr>
        </w:div>
        <w:div w:id="1876624293">
          <w:marLeft w:val="640"/>
          <w:marRight w:val="0"/>
          <w:marTop w:val="0"/>
          <w:marBottom w:val="0"/>
          <w:divBdr>
            <w:top w:val="none" w:sz="0" w:space="0" w:color="auto"/>
            <w:left w:val="none" w:sz="0" w:space="0" w:color="auto"/>
            <w:bottom w:val="none" w:sz="0" w:space="0" w:color="auto"/>
            <w:right w:val="none" w:sz="0" w:space="0" w:color="auto"/>
          </w:divBdr>
        </w:div>
        <w:div w:id="1828932120">
          <w:marLeft w:val="640"/>
          <w:marRight w:val="0"/>
          <w:marTop w:val="0"/>
          <w:marBottom w:val="0"/>
          <w:divBdr>
            <w:top w:val="none" w:sz="0" w:space="0" w:color="auto"/>
            <w:left w:val="none" w:sz="0" w:space="0" w:color="auto"/>
            <w:bottom w:val="none" w:sz="0" w:space="0" w:color="auto"/>
            <w:right w:val="none" w:sz="0" w:space="0" w:color="auto"/>
          </w:divBdr>
        </w:div>
        <w:div w:id="546919306">
          <w:marLeft w:val="640"/>
          <w:marRight w:val="0"/>
          <w:marTop w:val="0"/>
          <w:marBottom w:val="0"/>
          <w:divBdr>
            <w:top w:val="none" w:sz="0" w:space="0" w:color="auto"/>
            <w:left w:val="none" w:sz="0" w:space="0" w:color="auto"/>
            <w:bottom w:val="none" w:sz="0" w:space="0" w:color="auto"/>
            <w:right w:val="none" w:sz="0" w:space="0" w:color="auto"/>
          </w:divBdr>
        </w:div>
        <w:div w:id="2089497252">
          <w:marLeft w:val="640"/>
          <w:marRight w:val="0"/>
          <w:marTop w:val="0"/>
          <w:marBottom w:val="0"/>
          <w:divBdr>
            <w:top w:val="none" w:sz="0" w:space="0" w:color="auto"/>
            <w:left w:val="none" w:sz="0" w:space="0" w:color="auto"/>
            <w:bottom w:val="none" w:sz="0" w:space="0" w:color="auto"/>
            <w:right w:val="none" w:sz="0" w:space="0" w:color="auto"/>
          </w:divBdr>
        </w:div>
        <w:div w:id="1159923903">
          <w:marLeft w:val="640"/>
          <w:marRight w:val="0"/>
          <w:marTop w:val="0"/>
          <w:marBottom w:val="0"/>
          <w:divBdr>
            <w:top w:val="none" w:sz="0" w:space="0" w:color="auto"/>
            <w:left w:val="none" w:sz="0" w:space="0" w:color="auto"/>
            <w:bottom w:val="none" w:sz="0" w:space="0" w:color="auto"/>
            <w:right w:val="none" w:sz="0" w:space="0" w:color="auto"/>
          </w:divBdr>
        </w:div>
        <w:div w:id="291256659">
          <w:marLeft w:val="640"/>
          <w:marRight w:val="0"/>
          <w:marTop w:val="0"/>
          <w:marBottom w:val="0"/>
          <w:divBdr>
            <w:top w:val="none" w:sz="0" w:space="0" w:color="auto"/>
            <w:left w:val="none" w:sz="0" w:space="0" w:color="auto"/>
            <w:bottom w:val="none" w:sz="0" w:space="0" w:color="auto"/>
            <w:right w:val="none" w:sz="0" w:space="0" w:color="auto"/>
          </w:divBdr>
        </w:div>
        <w:div w:id="772940131">
          <w:marLeft w:val="640"/>
          <w:marRight w:val="0"/>
          <w:marTop w:val="0"/>
          <w:marBottom w:val="0"/>
          <w:divBdr>
            <w:top w:val="none" w:sz="0" w:space="0" w:color="auto"/>
            <w:left w:val="none" w:sz="0" w:space="0" w:color="auto"/>
            <w:bottom w:val="none" w:sz="0" w:space="0" w:color="auto"/>
            <w:right w:val="none" w:sz="0" w:space="0" w:color="auto"/>
          </w:divBdr>
        </w:div>
        <w:div w:id="220796521">
          <w:marLeft w:val="640"/>
          <w:marRight w:val="0"/>
          <w:marTop w:val="0"/>
          <w:marBottom w:val="0"/>
          <w:divBdr>
            <w:top w:val="none" w:sz="0" w:space="0" w:color="auto"/>
            <w:left w:val="none" w:sz="0" w:space="0" w:color="auto"/>
            <w:bottom w:val="none" w:sz="0" w:space="0" w:color="auto"/>
            <w:right w:val="none" w:sz="0" w:space="0" w:color="auto"/>
          </w:divBdr>
        </w:div>
        <w:div w:id="1305041171">
          <w:marLeft w:val="640"/>
          <w:marRight w:val="0"/>
          <w:marTop w:val="0"/>
          <w:marBottom w:val="0"/>
          <w:divBdr>
            <w:top w:val="none" w:sz="0" w:space="0" w:color="auto"/>
            <w:left w:val="none" w:sz="0" w:space="0" w:color="auto"/>
            <w:bottom w:val="none" w:sz="0" w:space="0" w:color="auto"/>
            <w:right w:val="none" w:sz="0" w:space="0" w:color="auto"/>
          </w:divBdr>
        </w:div>
        <w:div w:id="990671569">
          <w:marLeft w:val="640"/>
          <w:marRight w:val="0"/>
          <w:marTop w:val="0"/>
          <w:marBottom w:val="0"/>
          <w:divBdr>
            <w:top w:val="none" w:sz="0" w:space="0" w:color="auto"/>
            <w:left w:val="none" w:sz="0" w:space="0" w:color="auto"/>
            <w:bottom w:val="none" w:sz="0" w:space="0" w:color="auto"/>
            <w:right w:val="none" w:sz="0" w:space="0" w:color="auto"/>
          </w:divBdr>
        </w:div>
        <w:div w:id="823276362">
          <w:marLeft w:val="640"/>
          <w:marRight w:val="0"/>
          <w:marTop w:val="0"/>
          <w:marBottom w:val="0"/>
          <w:divBdr>
            <w:top w:val="none" w:sz="0" w:space="0" w:color="auto"/>
            <w:left w:val="none" w:sz="0" w:space="0" w:color="auto"/>
            <w:bottom w:val="none" w:sz="0" w:space="0" w:color="auto"/>
            <w:right w:val="none" w:sz="0" w:space="0" w:color="auto"/>
          </w:divBdr>
        </w:div>
        <w:div w:id="48574586">
          <w:marLeft w:val="640"/>
          <w:marRight w:val="0"/>
          <w:marTop w:val="0"/>
          <w:marBottom w:val="0"/>
          <w:divBdr>
            <w:top w:val="none" w:sz="0" w:space="0" w:color="auto"/>
            <w:left w:val="none" w:sz="0" w:space="0" w:color="auto"/>
            <w:bottom w:val="none" w:sz="0" w:space="0" w:color="auto"/>
            <w:right w:val="none" w:sz="0" w:space="0" w:color="auto"/>
          </w:divBdr>
        </w:div>
        <w:div w:id="2122257442">
          <w:marLeft w:val="640"/>
          <w:marRight w:val="0"/>
          <w:marTop w:val="0"/>
          <w:marBottom w:val="0"/>
          <w:divBdr>
            <w:top w:val="none" w:sz="0" w:space="0" w:color="auto"/>
            <w:left w:val="none" w:sz="0" w:space="0" w:color="auto"/>
            <w:bottom w:val="none" w:sz="0" w:space="0" w:color="auto"/>
            <w:right w:val="none" w:sz="0" w:space="0" w:color="auto"/>
          </w:divBdr>
        </w:div>
        <w:div w:id="1982419003">
          <w:marLeft w:val="640"/>
          <w:marRight w:val="0"/>
          <w:marTop w:val="0"/>
          <w:marBottom w:val="0"/>
          <w:divBdr>
            <w:top w:val="none" w:sz="0" w:space="0" w:color="auto"/>
            <w:left w:val="none" w:sz="0" w:space="0" w:color="auto"/>
            <w:bottom w:val="none" w:sz="0" w:space="0" w:color="auto"/>
            <w:right w:val="none" w:sz="0" w:space="0" w:color="auto"/>
          </w:divBdr>
        </w:div>
        <w:div w:id="782385258">
          <w:marLeft w:val="640"/>
          <w:marRight w:val="0"/>
          <w:marTop w:val="0"/>
          <w:marBottom w:val="0"/>
          <w:divBdr>
            <w:top w:val="none" w:sz="0" w:space="0" w:color="auto"/>
            <w:left w:val="none" w:sz="0" w:space="0" w:color="auto"/>
            <w:bottom w:val="none" w:sz="0" w:space="0" w:color="auto"/>
            <w:right w:val="none" w:sz="0" w:space="0" w:color="auto"/>
          </w:divBdr>
        </w:div>
        <w:div w:id="1980501048">
          <w:marLeft w:val="640"/>
          <w:marRight w:val="0"/>
          <w:marTop w:val="0"/>
          <w:marBottom w:val="0"/>
          <w:divBdr>
            <w:top w:val="none" w:sz="0" w:space="0" w:color="auto"/>
            <w:left w:val="none" w:sz="0" w:space="0" w:color="auto"/>
            <w:bottom w:val="none" w:sz="0" w:space="0" w:color="auto"/>
            <w:right w:val="none" w:sz="0" w:space="0" w:color="auto"/>
          </w:divBdr>
        </w:div>
        <w:div w:id="512691207">
          <w:marLeft w:val="640"/>
          <w:marRight w:val="0"/>
          <w:marTop w:val="0"/>
          <w:marBottom w:val="0"/>
          <w:divBdr>
            <w:top w:val="none" w:sz="0" w:space="0" w:color="auto"/>
            <w:left w:val="none" w:sz="0" w:space="0" w:color="auto"/>
            <w:bottom w:val="none" w:sz="0" w:space="0" w:color="auto"/>
            <w:right w:val="none" w:sz="0" w:space="0" w:color="auto"/>
          </w:divBdr>
        </w:div>
        <w:div w:id="1077823558">
          <w:marLeft w:val="640"/>
          <w:marRight w:val="0"/>
          <w:marTop w:val="0"/>
          <w:marBottom w:val="0"/>
          <w:divBdr>
            <w:top w:val="none" w:sz="0" w:space="0" w:color="auto"/>
            <w:left w:val="none" w:sz="0" w:space="0" w:color="auto"/>
            <w:bottom w:val="none" w:sz="0" w:space="0" w:color="auto"/>
            <w:right w:val="none" w:sz="0" w:space="0" w:color="auto"/>
          </w:divBdr>
        </w:div>
        <w:div w:id="218398050">
          <w:marLeft w:val="640"/>
          <w:marRight w:val="0"/>
          <w:marTop w:val="0"/>
          <w:marBottom w:val="0"/>
          <w:divBdr>
            <w:top w:val="none" w:sz="0" w:space="0" w:color="auto"/>
            <w:left w:val="none" w:sz="0" w:space="0" w:color="auto"/>
            <w:bottom w:val="none" w:sz="0" w:space="0" w:color="auto"/>
            <w:right w:val="none" w:sz="0" w:space="0" w:color="auto"/>
          </w:divBdr>
        </w:div>
        <w:div w:id="243607293">
          <w:marLeft w:val="640"/>
          <w:marRight w:val="0"/>
          <w:marTop w:val="0"/>
          <w:marBottom w:val="0"/>
          <w:divBdr>
            <w:top w:val="none" w:sz="0" w:space="0" w:color="auto"/>
            <w:left w:val="none" w:sz="0" w:space="0" w:color="auto"/>
            <w:bottom w:val="none" w:sz="0" w:space="0" w:color="auto"/>
            <w:right w:val="none" w:sz="0" w:space="0" w:color="auto"/>
          </w:divBdr>
        </w:div>
        <w:div w:id="359822769">
          <w:marLeft w:val="640"/>
          <w:marRight w:val="0"/>
          <w:marTop w:val="0"/>
          <w:marBottom w:val="0"/>
          <w:divBdr>
            <w:top w:val="none" w:sz="0" w:space="0" w:color="auto"/>
            <w:left w:val="none" w:sz="0" w:space="0" w:color="auto"/>
            <w:bottom w:val="none" w:sz="0" w:space="0" w:color="auto"/>
            <w:right w:val="none" w:sz="0" w:space="0" w:color="auto"/>
          </w:divBdr>
        </w:div>
        <w:div w:id="381102737">
          <w:marLeft w:val="640"/>
          <w:marRight w:val="0"/>
          <w:marTop w:val="0"/>
          <w:marBottom w:val="0"/>
          <w:divBdr>
            <w:top w:val="none" w:sz="0" w:space="0" w:color="auto"/>
            <w:left w:val="none" w:sz="0" w:space="0" w:color="auto"/>
            <w:bottom w:val="none" w:sz="0" w:space="0" w:color="auto"/>
            <w:right w:val="none" w:sz="0" w:space="0" w:color="auto"/>
          </w:divBdr>
        </w:div>
        <w:div w:id="1843623548">
          <w:marLeft w:val="640"/>
          <w:marRight w:val="0"/>
          <w:marTop w:val="0"/>
          <w:marBottom w:val="0"/>
          <w:divBdr>
            <w:top w:val="none" w:sz="0" w:space="0" w:color="auto"/>
            <w:left w:val="none" w:sz="0" w:space="0" w:color="auto"/>
            <w:bottom w:val="none" w:sz="0" w:space="0" w:color="auto"/>
            <w:right w:val="none" w:sz="0" w:space="0" w:color="auto"/>
          </w:divBdr>
        </w:div>
        <w:div w:id="2119568086">
          <w:marLeft w:val="640"/>
          <w:marRight w:val="0"/>
          <w:marTop w:val="0"/>
          <w:marBottom w:val="0"/>
          <w:divBdr>
            <w:top w:val="none" w:sz="0" w:space="0" w:color="auto"/>
            <w:left w:val="none" w:sz="0" w:space="0" w:color="auto"/>
            <w:bottom w:val="none" w:sz="0" w:space="0" w:color="auto"/>
            <w:right w:val="none" w:sz="0" w:space="0" w:color="auto"/>
          </w:divBdr>
        </w:div>
        <w:div w:id="2076076787">
          <w:marLeft w:val="640"/>
          <w:marRight w:val="0"/>
          <w:marTop w:val="0"/>
          <w:marBottom w:val="0"/>
          <w:divBdr>
            <w:top w:val="none" w:sz="0" w:space="0" w:color="auto"/>
            <w:left w:val="none" w:sz="0" w:space="0" w:color="auto"/>
            <w:bottom w:val="none" w:sz="0" w:space="0" w:color="auto"/>
            <w:right w:val="none" w:sz="0" w:space="0" w:color="auto"/>
          </w:divBdr>
        </w:div>
        <w:div w:id="1166021796">
          <w:marLeft w:val="640"/>
          <w:marRight w:val="0"/>
          <w:marTop w:val="0"/>
          <w:marBottom w:val="0"/>
          <w:divBdr>
            <w:top w:val="none" w:sz="0" w:space="0" w:color="auto"/>
            <w:left w:val="none" w:sz="0" w:space="0" w:color="auto"/>
            <w:bottom w:val="none" w:sz="0" w:space="0" w:color="auto"/>
            <w:right w:val="none" w:sz="0" w:space="0" w:color="auto"/>
          </w:divBdr>
        </w:div>
        <w:div w:id="735396326">
          <w:marLeft w:val="640"/>
          <w:marRight w:val="0"/>
          <w:marTop w:val="0"/>
          <w:marBottom w:val="0"/>
          <w:divBdr>
            <w:top w:val="none" w:sz="0" w:space="0" w:color="auto"/>
            <w:left w:val="none" w:sz="0" w:space="0" w:color="auto"/>
            <w:bottom w:val="none" w:sz="0" w:space="0" w:color="auto"/>
            <w:right w:val="none" w:sz="0" w:space="0" w:color="auto"/>
          </w:divBdr>
        </w:div>
        <w:div w:id="895623631">
          <w:marLeft w:val="640"/>
          <w:marRight w:val="0"/>
          <w:marTop w:val="0"/>
          <w:marBottom w:val="0"/>
          <w:divBdr>
            <w:top w:val="none" w:sz="0" w:space="0" w:color="auto"/>
            <w:left w:val="none" w:sz="0" w:space="0" w:color="auto"/>
            <w:bottom w:val="none" w:sz="0" w:space="0" w:color="auto"/>
            <w:right w:val="none" w:sz="0" w:space="0" w:color="auto"/>
          </w:divBdr>
        </w:div>
        <w:div w:id="1210612097">
          <w:marLeft w:val="640"/>
          <w:marRight w:val="0"/>
          <w:marTop w:val="0"/>
          <w:marBottom w:val="0"/>
          <w:divBdr>
            <w:top w:val="none" w:sz="0" w:space="0" w:color="auto"/>
            <w:left w:val="none" w:sz="0" w:space="0" w:color="auto"/>
            <w:bottom w:val="none" w:sz="0" w:space="0" w:color="auto"/>
            <w:right w:val="none" w:sz="0" w:space="0" w:color="auto"/>
          </w:divBdr>
        </w:div>
        <w:div w:id="1008095043">
          <w:marLeft w:val="640"/>
          <w:marRight w:val="0"/>
          <w:marTop w:val="0"/>
          <w:marBottom w:val="0"/>
          <w:divBdr>
            <w:top w:val="none" w:sz="0" w:space="0" w:color="auto"/>
            <w:left w:val="none" w:sz="0" w:space="0" w:color="auto"/>
            <w:bottom w:val="none" w:sz="0" w:space="0" w:color="auto"/>
            <w:right w:val="none" w:sz="0" w:space="0" w:color="auto"/>
          </w:divBdr>
        </w:div>
        <w:div w:id="1160972838">
          <w:marLeft w:val="640"/>
          <w:marRight w:val="0"/>
          <w:marTop w:val="0"/>
          <w:marBottom w:val="0"/>
          <w:divBdr>
            <w:top w:val="none" w:sz="0" w:space="0" w:color="auto"/>
            <w:left w:val="none" w:sz="0" w:space="0" w:color="auto"/>
            <w:bottom w:val="none" w:sz="0" w:space="0" w:color="auto"/>
            <w:right w:val="none" w:sz="0" w:space="0" w:color="auto"/>
          </w:divBdr>
        </w:div>
        <w:div w:id="1529368915">
          <w:marLeft w:val="640"/>
          <w:marRight w:val="0"/>
          <w:marTop w:val="0"/>
          <w:marBottom w:val="0"/>
          <w:divBdr>
            <w:top w:val="none" w:sz="0" w:space="0" w:color="auto"/>
            <w:left w:val="none" w:sz="0" w:space="0" w:color="auto"/>
            <w:bottom w:val="none" w:sz="0" w:space="0" w:color="auto"/>
            <w:right w:val="none" w:sz="0" w:space="0" w:color="auto"/>
          </w:divBdr>
        </w:div>
        <w:div w:id="665090006">
          <w:marLeft w:val="640"/>
          <w:marRight w:val="0"/>
          <w:marTop w:val="0"/>
          <w:marBottom w:val="0"/>
          <w:divBdr>
            <w:top w:val="none" w:sz="0" w:space="0" w:color="auto"/>
            <w:left w:val="none" w:sz="0" w:space="0" w:color="auto"/>
            <w:bottom w:val="none" w:sz="0" w:space="0" w:color="auto"/>
            <w:right w:val="none" w:sz="0" w:space="0" w:color="auto"/>
          </w:divBdr>
        </w:div>
        <w:div w:id="1030954509">
          <w:marLeft w:val="640"/>
          <w:marRight w:val="0"/>
          <w:marTop w:val="0"/>
          <w:marBottom w:val="0"/>
          <w:divBdr>
            <w:top w:val="none" w:sz="0" w:space="0" w:color="auto"/>
            <w:left w:val="none" w:sz="0" w:space="0" w:color="auto"/>
            <w:bottom w:val="none" w:sz="0" w:space="0" w:color="auto"/>
            <w:right w:val="none" w:sz="0" w:space="0" w:color="auto"/>
          </w:divBdr>
        </w:div>
        <w:div w:id="13580821">
          <w:marLeft w:val="640"/>
          <w:marRight w:val="0"/>
          <w:marTop w:val="0"/>
          <w:marBottom w:val="0"/>
          <w:divBdr>
            <w:top w:val="none" w:sz="0" w:space="0" w:color="auto"/>
            <w:left w:val="none" w:sz="0" w:space="0" w:color="auto"/>
            <w:bottom w:val="none" w:sz="0" w:space="0" w:color="auto"/>
            <w:right w:val="none" w:sz="0" w:space="0" w:color="auto"/>
          </w:divBdr>
        </w:div>
        <w:div w:id="1653293974">
          <w:marLeft w:val="640"/>
          <w:marRight w:val="0"/>
          <w:marTop w:val="0"/>
          <w:marBottom w:val="0"/>
          <w:divBdr>
            <w:top w:val="none" w:sz="0" w:space="0" w:color="auto"/>
            <w:left w:val="none" w:sz="0" w:space="0" w:color="auto"/>
            <w:bottom w:val="none" w:sz="0" w:space="0" w:color="auto"/>
            <w:right w:val="none" w:sz="0" w:space="0" w:color="auto"/>
          </w:divBdr>
        </w:div>
        <w:div w:id="502014365">
          <w:marLeft w:val="640"/>
          <w:marRight w:val="0"/>
          <w:marTop w:val="0"/>
          <w:marBottom w:val="0"/>
          <w:divBdr>
            <w:top w:val="none" w:sz="0" w:space="0" w:color="auto"/>
            <w:left w:val="none" w:sz="0" w:space="0" w:color="auto"/>
            <w:bottom w:val="none" w:sz="0" w:space="0" w:color="auto"/>
            <w:right w:val="none" w:sz="0" w:space="0" w:color="auto"/>
          </w:divBdr>
        </w:div>
        <w:div w:id="65303416">
          <w:marLeft w:val="640"/>
          <w:marRight w:val="0"/>
          <w:marTop w:val="0"/>
          <w:marBottom w:val="0"/>
          <w:divBdr>
            <w:top w:val="none" w:sz="0" w:space="0" w:color="auto"/>
            <w:left w:val="none" w:sz="0" w:space="0" w:color="auto"/>
            <w:bottom w:val="none" w:sz="0" w:space="0" w:color="auto"/>
            <w:right w:val="none" w:sz="0" w:space="0" w:color="auto"/>
          </w:divBdr>
        </w:div>
        <w:div w:id="1537624067">
          <w:marLeft w:val="640"/>
          <w:marRight w:val="0"/>
          <w:marTop w:val="0"/>
          <w:marBottom w:val="0"/>
          <w:divBdr>
            <w:top w:val="none" w:sz="0" w:space="0" w:color="auto"/>
            <w:left w:val="none" w:sz="0" w:space="0" w:color="auto"/>
            <w:bottom w:val="none" w:sz="0" w:space="0" w:color="auto"/>
            <w:right w:val="none" w:sz="0" w:space="0" w:color="auto"/>
          </w:divBdr>
        </w:div>
        <w:div w:id="1626154725">
          <w:marLeft w:val="640"/>
          <w:marRight w:val="0"/>
          <w:marTop w:val="0"/>
          <w:marBottom w:val="0"/>
          <w:divBdr>
            <w:top w:val="none" w:sz="0" w:space="0" w:color="auto"/>
            <w:left w:val="none" w:sz="0" w:space="0" w:color="auto"/>
            <w:bottom w:val="none" w:sz="0" w:space="0" w:color="auto"/>
            <w:right w:val="none" w:sz="0" w:space="0" w:color="auto"/>
          </w:divBdr>
        </w:div>
        <w:div w:id="911744010">
          <w:marLeft w:val="640"/>
          <w:marRight w:val="0"/>
          <w:marTop w:val="0"/>
          <w:marBottom w:val="0"/>
          <w:divBdr>
            <w:top w:val="none" w:sz="0" w:space="0" w:color="auto"/>
            <w:left w:val="none" w:sz="0" w:space="0" w:color="auto"/>
            <w:bottom w:val="none" w:sz="0" w:space="0" w:color="auto"/>
            <w:right w:val="none" w:sz="0" w:space="0" w:color="auto"/>
          </w:divBdr>
        </w:div>
        <w:div w:id="1051419701">
          <w:marLeft w:val="640"/>
          <w:marRight w:val="0"/>
          <w:marTop w:val="0"/>
          <w:marBottom w:val="0"/>
          <w:divBdr>
            <w:top w:val="none" w:sz="0" w:space="0" w:color="auto"/>
            <w:left w:val="none" w:sz="0" w:space="0" w:color="auto"/>
            <w:bottom w:val="none" w:sz="0" w:space="0" w:color="auto"/>
            <w:right w:val="none" w:sz="0" w:space="0" w:color="auto"/>
          </w:divBdr>
        </w:div>
        <w:div w:id="219558735">
          <w:marLeft w:val="640"/>
          <w:marRight w:val="0"/>
          <w:marTop w:val="0"/>
          <w:marBottom w:val="0"/>
          <w:divBdr>
            <w:top w:val="none" w:sz="0" w:space="0" w:color="auto"/>
            <w:left w:val="none" w:sz="0" w:space="0" w:color="auto"/>
            <w:bottom w:val="none" w:sz="0" w:space="0" w:color="auto"/>
            <w:right w:val="none" w:sz="0" w:space="0" w:color="auto"/>
          </w:divBdr>
        </w:div>
        <w:div w:id="230432590">
          <w:marLeft w:val="640"/>
          <w:marRight w:val="0"/>
          <w:marTop w:val="0"/>
          <w:marBottom w:val="0"/>
          <w:divBdr>
            <w:top w:val="none" w:sz="0" w:space="0" w:color="auto"/>
            <w:left w:val="none" w:sz="0" w:space="0" w:color="auto"/>
            <w:bottom w:val="none" w:sz="0" w:space="0" w:color="auto"/>
            <w:right w:val="none" w:sz="0" w:space="0" w:color="auto"/>
          </w:divBdr>
        </w:div>
        <w:div w:id="574903586">
          <w:marLeft w:val="640"/>
          <w:marRight w:val="0"/>
          <w:marTop w:val="0"/>
          <w:marBottom w:val="0"/>
          <w:divBdr>
            <w:top w:val="none" w:sz="0" w:space="0" w:color="auto"/>
            <w:left w:val="none" w:sz="0" w:space="0" w:color="auto"/>
            <w:bottom w:val="none" w:sz="0" w:space="0" w:color="auto"/>
            <w:right w:val="none" w:sz="0" w:space="0" w:color="auto"/>
          </w:divBdr>
        </w:div>
        <w:div w:id="1803422946">
          <w:marLeft w:val="640"/>
          <w:marRight w:val="0"/>
          <w:marTop w:val="0"/>
          <w:marBottom w:val="0"/>
          <w:divBdr>
            <w:top w:val="none" w:sz="0" w:space="0" w:color="auto"/>
            <w:left w:val="none" w:sz="0" w:space="0" w:color="auto"/>
            <w:bottom w:val="none" w:sz="0" w:space="0" w:color="auto"/>
            <w:right w:val="none" w:sz="0" w:space="0" w:color="auto"/>
          </w:divBdr>
        </w:div>
        <w:div w:id="163477439">
          <w:marLeft w:val="640"/>
          <w:marRight w:val="0"/>
          <w:marTop w:val="0"/>
          <w:marBottom w:val="0"/>
          <w:divBdr>
            <w:top w:val="none" w:sz="0" w:space="0" w:color="auto"/>
            <w:left w:val="none" w:sz="0" w:space="0" w:color="auto"/>
            <w:bottom w:val="none" w:sz="0" w:space="0" w:color="auto"/>
            <w:right w:val="none" w:sz="0" w:space="0" w:color="auto"/>
          </w:divBdr>
        </w:div>
        <w:div w:id="1919820962">
          <w:marLeft w:val="640"/>
          <w:marRight w:val="0"/>
          <w:marTop w:val="0"/>
          <w:marBottom w:val="0"/>
          <w:divBdr>
            <w:top w:val="none" w:sz="0" w:space="0" w:color="auto"/>
            <w:left w:val="none" w:sz="0" w:space="0" w:color="auto"/>
            <w:bottom w:val="none" w:sz="0" w:space="0" w:color="auto"/>
            <w:right w:val="none" w:sz="0" w:space="0" w:color="auto"/>
          </w:divBdr>
        </w:div>
        <w:div w:id="406808377">
          <w:marLeft w:val="640"/>
          <w:marRight w:val="0"/>
          <w:marTop w:val="0"/>
          <w:marBottom w:val="0"/>
          <w:divBdr>
            <w:top w:val="none" w:sz="0" w:space="0" w:color="auto"/>
            <w:left w:val="none" w:sz="0" w:space="0" w:color="auto"/>
            <w:bottom w:val="none" w:sz="0" w:space="0" w:color="auto"/>
            <w:right w:val="none" w:sz="0" w:space="0" w:color="auto"/>
          </w:divBdr>
        </w:div>
        <w:div w:id="1961297749">
          <w:marLeft w:val="640"/>
          <w:marRight w:val="0"/>
          <w:marTop w:val="0"/>
          <w:marBottom w:val="0"/>
          <w:divBdr>
            <w:top w:val="none" w:sz="0" w:space="0" w:color="auto"/>
            <w:left w:val="none" w:sz="0" w:space="0" w:color="auto"/>
            <w:bottom w:val="none" w:sz="0" w:space="0" w:color="auto"/>
            <w:right w:val="none" w:sz="0" w:space="0" w:color="auto"/>
          </w:divBdr>
        </w:div>
        <w:div w:id="255020658">
          <w:marLeft w:val="640"/>
          <w:marRight w:val="0"/>
          <w:marTop w:val="0"/>
          <w:marBottom w:val="0"/>
          <w:divBdr>
            <w:top w:val="none" w:sz="0" w:space="0" w:color="auto"/>
            <w:left w:val="none" w:sz="0" w:space="0" w:color="auto"/>
            <w:bottom w:val="none" w:sz="0" w:space="0" w:color="auto"/>
            <w:right w:val="none" w:sz="0" w:space="0" w:color="auto"/>
          </w:divBdr>
        </w:div>
        <w:div w:id="629437980">
          <w:marLeft w:val="640"/>
          <w:marRight w:val="0"/>
          <w:marTop w:val="0"/>
          <w:marBottom w:val="0"/>
          <w:divBdr>
            <w:top w:val="none" w:sz="0" w:space="0" w:color="auto"/>
            <w:left w:val="none" w:sz="0" w:space="0" w:color="auto"/>
            <w:bottom w:val="none" w:sz="0" w:space="0" w:color="auto"/>
            <w:right w:val="none" w:sz="0" w:space="0" w:color="auto"/>
          </w:divBdr>
        </w:div>
        <w:div w:id="512913528">
          <w:marLeft w:val="640"/>
          <w:marRight w:val="0"/>
          <w:marTop w:val="0"/>
          <w:marBottom w:val="0"/>
          <w:divBdr>
            <w:top w:val="none" w:sz="0" w:space="0" w:color="auto"/>
            <w:left w:val="none" w:sz="0" w:space="0" w:color="auto"/>
            <w:bottom w:val="none" w:sz="0" w:space="0" w:color="auto"/>
            <w:right w:val="none" w:sz="0" w:space="0" w:color="auto"/>
          </w:divBdr>
        </w:div>
        <w:div w:id="1520656764">
          <w:marLeft w:val="640"/>
          <w:marRight w:val="0"/>
          <w:marTop w:val="0"/>
          <w:marBottom w:val="0"/>
          <w:divBdr>
            <w:top w:val="none" w:sz="0" w:space="0" w:color="auto"/>
            <w:left w:val="none" w:sz="0" w:space="0" w:color="auto"/>
            <w:bottom w:val="none" w:sz="0" w:space="0" w:color="auto"/>
            <w:right w:val="none" w:sz="0" w:space="0" w:color="auto"/>
          </w:divBdr>
        </w:div>
        <w:div w:id="472214281">
          <w:marLeft w:val="640"/>
          <w:marRight w:val="0"/>
          <w:marTop w:val="0"/>
          <w:marBottom w:val="0"/>
          <w:divBdr>
            <w:top w:val="none" w:sz="0" w:space="0" w:color="auto"/>
            <w:left w:val="none" w:sz="0" w:space="0" w:color="auto"/>
            <w:bottom w:val="none" w:sz="0" w:space="0" w:color="auto"/>
            <w:right w:val="none" w:sz="0" w:space="0" w:color="auto"/>
          </w:divBdr>
        </w:div>
        <w:div w:id="1343773786">
          <w:marLeft w:val="640"/>
          <w:marRight w:val="0"/>
          <w:marTop w:val="0"/>
          <w:marBottom w:val="0"/>
          <w:divBdr>
            <w:top w:val="none" w:sz="0" w:space="0" w:color="auto"/>
            <w:left w:val="none" w:sz="0" w:space="0" w:color="auto"/>
            <w:bottom w:val="none" w:sz="0" w:space="0" w:color="auto"/>
            <w:right w:val="none" w:sz="0" w:space="0" w:color="auto"/>
          </w:divBdr>
        </w:div>
        <w:div w:id="2105103057">
          <w:marLeft w:val="640"/>
          <w:marRight w:val="0"/>
          <w:marTop w:val="0"/>
          <w:marBottom w:val="0"/>
          <w:divBdr>
            <w:top w:val="none" w:sz="0" w:space="0" w:color="auto"/>
            <w:left w:val="none" w:sz="0" w:space="0" w:color="auto"/>
            <w:bottom w:val="none" w:sz="0" w:space="0" w:color="auto"/>
            <w:right w:val="none" w:sz="0" w:space="0" w:color="auto"/>
          </w:divBdr>
        </w:div>
        <w:div w:id="820848701">
          <w:marLeft w:val="640"/>
          <w:marRight w:val="0"/>
          <w:marTop w:val="0"/>
          <w:marBottom w:val="0"/>
          <w:divBdr>
            <w:top w:val="none" w:sz="0" w:space="0" w:color="auto"/>
            <w:left w:val="none" w:sz="0" w:space="0" w:color="auto"/>
            <w:bottom w:val="none" w:sz="0" w:space="0" w:color="auto"/>
            <w:right w:val="none" w:sz="0" w:space="0" w:color="auto"/>
          </w:divBdr>
        </w:div>
        <w:div w:id="410201035">
          <w:marLeft w:val="640"/>
          <w:marRight w:val="0"/>
          <w:marTop w:val="0"/>
          <w:marBottom w:val="0"/>
          <w:divBdr>
            <w:top w:val="none" w:sz="0" w:space="0" w:color="auto"/>
            <w:left w:val="none" w:sz="0" w:space="0" w:color="auto"/>
            <w:bottom w:val="none" w:sz="0" w:space="0" w:color="auto"/>
            <w:right w:val="none" w:sz="0" w:space="0" w:color="auto"/>
          </w:divBdr>
        </w:div>
        <w:div w:id="1336030402">
          <w:marLeft w:val="640"/>
          <w:marRight w:val="0"/>
          <w:marTop w:val="0"/>
          <w:marBottom w:val="0"/>
          <w:divBdr>
            <w:top w:val="none" w:sz="0" w:space="0" w:color="auto"/>
            <w:left w:val="none" w:sz="0" w:space="0" w:color="auto"/>
            <w:bottom w:val="none" w:sz="0" w:space="0" w:color="auto"/>
            <w:right w:val="none" w:sz="0" w:space="0" w:color="auto"/>
          </w:divBdr>
        </w:div>
        <w:div w:id="1030647856">
          <w:marLeft w:val="640"/>
          <w:marRight w:val="0"/>
          <w:marTop w:val="0"/>
          <w:marBottom w:val="0"/>
          <w:divBdr>
            <w:top w:val="none" w:sz="0" w:space="0" w:color="auto"/>
            <w:left w:val="none" w:sz="0" w:space="0" w:color="auto"/>
            <w:bottom w:val="none" w:sz="0" w:space="0" w:color="auto"/>
            <w:right w:val="none" w:sz="0" w:space="0" w:color="auto"/>
          </w:divBdr>
        </w:div>
        <w:div w:id="904607538">
          <w:marLeft w:val="640"/>
          <w:marRight w:val="0"/>
          <w:marTop w:val="0"/>
          <w:marBottom w:val="0"/>
          <w:divBdr>
            <w:top w:val="none" w:sz="0" w:space="0" w:color="auto"/>
            <w:left w:val="none" w:sz="0" w:space="0" w:color="auto"/>
            <w:bottom w:val="none" w:sz="0" w:space="0" w:color="auto"/>
            <w:right w:val="none" w:sz="0" w:space="0" w:color="auto"/>
          </w:divBdr>
        </w:div>
        <w:div w:id="1431201721">
          <w:marLeft w:val="640"/>
          <w:marRight w:val="0"/>
          <w:marTop w:val="0"/>
          <w:marBottom w:val="0"/>
          <w:divBdr>
            <w:top w:val="none" w:sz="0" w:space="0" w:color="auto"/>
            <w:left w:val="none" w:sz="0" w:space="0" w:color="auto"/>
            <w:bottom w:val="none" w:sz="0" w:space="0" w:color="auto"/>
            <w:right w:val="none" w:sz="0" w:space="0" w:color="auto"/>
          </w:divBdr>
        </w:div>
        <w:div w:id="1073165967">
          <w:marLeft w:val="640"/>
          <w:marRight w:val="0"/>
          <w:marTop w:val="0"/>
          <w:marBottom w:val="0"/>
          <w:divBdr>
            <w:top w:val="none" w:sz="0" w:space="0" w:color="auto"/>
            <w:left w:val="none" w:sz="0" w:space="0" w:color="auto"/>
            <w:bottom w:val="none" w:sz="0" w:space="0" w:color="auto"/>
            <w:right w:val="none" w:sz="0" w:space="0" w:color="auto"/>
          </w:divBdr>
        </w:div>
        <w:div w:id="770703561">
          <w:marLeft w:val="640"/>
          <w:marRight w:val="0"/>
          <w:marTop w:val="0"/>
          <w:marBottom w:val="0"/>
          <w:divBdr>
            <w:top w:val="none" w:sz="0" w:space="0" w:color="auto"/>
            <w:left w:val="none" w:sz="0" w:space="0" w:color="auto"/>
            <w:bottom w:val="none" w:sz="0" w:space="0" w:color="auto"/>
            <w:right w:val="none" w:sz="0" w:space="0" w:color="auto"/>
          </w:divBdr>
        </w:div>
        <w:div w:id="40131559">
          <w:marLeft w:val="640"/>
          <w:marRight w:val="0"/>
          <w:marTop w:val="0"/>
          <w:marBottom w:val="0"/>
          <w:divBdr>
            <w:top w:val="none" w:sz="0" w:space="0" w:color="auto"/>
            <w:left w:val="none" w:sz="0" w:space="0" w:color="auto"/>
            <w:bottom w:val="none" w:sz="0" w:space="0" w:color="auto"/>
            <w:right w:val="none" w:sz="0" w:space="0" w:color="auto"/>
          </w:divBdr>
        </w:div>
      </w:divsChild>
    </w:div>
    <w:div w:id="78447787">
      <w:bodyDiv w:val="1"/>
      <w:marLeft w:val="0"/>
      <w:marRight w:val="0"/>
      <w:marTop w:val="0"/>
      <w:marBottom w:val="0"/>
      <w:divBdr>
        <w:top w:val="none" w:sz="0" w:space="0" w:color="auto"/>
        <w:left w:val="none" w:sz="0" w:space="0" w:color="auto"/>
        <w:bottom w:val="none" w:sz="0" w:space="0" w:color="auto"/>
        <w:right w:val="none" w:sz="0" w:space="0" w:color="auto"/>
      </w:divBdr>
      <w:divsChild>
        <w:div w:id="2085298875">
          <w:marLeft w:val="640"/>
          <w:marRight w:val="0"/>
          <w:marTop w:val="0"/>
          <w:marBottom w:val="0"/>
          <w:divBdr>
            <w:top w:val="none" w:sz="0" w:space="0" w:color="auto"/>
            <w:left w:val="none" w:sz="0" w:space="0" w:color="auto"/>
            <w:bottom w:val="none" w:sz="0" w:space="0" w:color="auto"/>
            <w:right w:val="none" w:sz="0" w:space="0" w:color="auto"/>
          </w:divBdr>
        </w:div>
        <w:div w:id="134757014">
          <w:marLeft w:val="640"/>
          <w:marRight w:val="0"/>
          <w:marTop w:val="0"/>
          <w:marBottom w:val="0"/>
          <w:divBdr>
            <w:top w:val="none" w:sz="0" w:space="0" w:color="auto"/>
            <w:left w:val="none" w:sz="0" w:space="0" w:color="auto"/>
            <w:bottom w:val="none" w:sz="0" w:space="0" w:color="auto"/>
            <w:right w:val="none" w:sz="0" w:space="0" w:color="auto"/>
          </w:divBdr>
        </w:div>
        <w:div w:id="931354304">
          <w:marLeft w:val="640"/>
          <w:marRight w:val="0"/>
          <w:marTop w:val="0"/>
          <w:marBottom w:val="0"/>
          <w:divBdr>
            <w:top w:val="none" w:sz="0" w:space="0" w:color="auto"/>
            <w:left w:val="none" w:sz="0" w:space="0" w:color="auto"/>
            <w:bottom w:val="none" w:sz="0" w:space="0" w:color="auto"/>
            <w:right w:val="none" w:sz="0" w:space="0" w:color="auto"/>
          </w:divBdr>
        </w:div>
        <w:div w:id="1839230505">
          <w:marLeft w:val="640"/>
          <w:marRight w:val="0"/>
          <w:marTop w:val="0"/>
          <w:marBottom w:val="0"/>
          <w:divBdr>
            <w:top w:val="none" w:sz="0" w:space="0" w:color="auto"/>
            <w:left w:val="none" w:sz="0" w:space="0" w:color="auto"/>
            <w:bottom w:val="none" w:sz="0" w:space="0" w:color="auto"/>
            <w:right w:val="none" w:sz="0" w:space="0" w:color="auto"/>
          </w:divBdr>
        </w:div>
        <w:div w:id="2045013553">
          <w:marLeft w:val="640"/>
          <w:marRight w:val="0"/>
          <w:marTop w:val="0"/>
          <w:marBottom w:val="0"/>
          <w:divBdr>
            <w:top w:val="none" w:sz="0" w:space="0" w:color="auto"/>
            <w:left w:val="none" w:sz="0" w:space="0" w:color="auto"/>
            <w:bottom w:val="none" w:sz="0" w:space="0" w:color="auto"/>
            <w:right w:val="none" w:sz="0" w:space="0" w:color="auto"/>
          </w:divBdr>
        </w:div>
        <w:div w:id="196357595">
          <w:marLeft w:val="640"/>
          <w:marRight w:val="0"/>
          <w:marTop w:val="0"/>
          <w:marBottom w:val="0"/>
          <w:divBdr>
            <w:top w:val="none" w:sz="0" w:space="0" w:color="auto"/>
            <w:left w:val="none" w:sz="0" w:space="0" w:color="auto"/>
            <w:bottom w:val="none" w:sz="0" w:space="0" w:color="auto"/>
            <w:right w:val="none" w:sz="0" w:space="0" w:color="auto"/>
          </w:divBdr>
        </w:div>
        <w:div w:id="1621451275">
          <w:marLeft w:val="640"/>
          <w:marRight w:val="0"/>
          <w:marTop w:val="0"/>
          <w:marBottom w:val="0"/>
          <w:divBdr>
            <w:top w:val="none" w:sz="0" w:space="0" w:color="auto"/>
            <w:left w:val="none" w:sz="0" w:space="0" w:color="auto"/>
            <w:bottom w:val="none" w:sz="0" w:space="0" w:color="auto"/>
            <w:right w:val="none" w:sz="0" w:space="0" w:color="auto"/>
          </w:divBdr>
        </w:div>
        <w:div w:id="174223812">
          <w:marLeft w:val="640"/>
          <w:marRight w:val="0"/>
          <w:marTop w:val="0"/>
          <w:marBottom w:val="0"/>
          <w:divBdr>
            <w:top w:val="none" w:sz="0" w:space="0" w:color="auto"/>
            <w:left w:val="none" w:sz="0" w:space="0" w:color="auto"/>
            <w:bottom w:val="none" w:sz="0" w:space="0" w:color="auto"/>
            <w:right w:val="none" w:sz="0" w:space="0" w:color="auto"/>
          </w:divBdr>
        </w:div>
        <w:div w:id="1021052459">
          <w:marLeft w:val="640"/>
          <w:marRight w:val="0"/>
          <w:marTop w:val="0"/>
          <w:marBottom w:val="0"/>
          <w:divBdr>
            <w:top w:val="none" w:sz="0" w:space="0" w:color="auto"/>
            <w:left w:val="none" w:sz="0" w:space="0" w:color="auto"/>
            <w:bottom w:val="none" w:sz="0" w:space="0" w:color="auto"/>
            <w:right w:val="none" w:sz="0" w:space="0" w:color="auto"/>
          </w:divBdr>
        </w:div>
        <w:div w:id="943197256">
          <w:marLeft w:val="640"/>
          <w:marRight w:val="0"/>
          <w:marTop w:val="0"/>
          <w:marBottom w:val="0"/>
          <w:divBdr>
            <w:top w:val="none" w:sz="0" w:space="0" w:color="auto"/>
            <w:left w:val="none" w:sz="0" w:space="0" w:color="auto"/>
            <w:bottom w:val="none" w:sz="0" w:space="0" w:color="auto"/>
            <w:right w:val="none" w:sz="0" w:space="0" w:color="auto"/>
          </w:divBdr>
        </w:div>
        <w:div w:id="1757242523">
          <w:marLeft w:val="640"/>
          <w:marRight w:val="0"/>
          <w:marTop w:val="0"/>
          <w:marBottom w:val="0"/>
          <w:divBdr>
            <w:top w:val="none" w:sz="0" w:space="0" w:color="auto"/>
            <w:left w:val="none" w:sz="0" w:space="0" w:color="auto"/>
            <w:bottom w:val="none" w:sz="0" w:space="0" w:color="auto"/>
            <w:right w:val="none" w:sz="0" w:space="0" w:color="auto"/>
          </w:divBdr>
        </w:div>
        <w:div w:id="1399015267">
          <w:marLeft w:val="640"/>
          <w:marRight w:val="0"/>
          <w:marTop w:val="0"/>
          <w:marBottom w:val="0"/>
          <w:divBdr>
            <w:top w:val="none" w:sz="0" w:space="0" w:color="auto"/>
            <w:left w:val="none" w:sz="0" w:space="0" w:color="auto"/>
            <w:bottom w:val="none" w:sz="0" w:space="0" w:color="auto"/>
            <w:right w:val="none" w:sz="0" w:space="0" w:color="auto"/>
          </w:divBdr>
        </w:div>
        <w:div w:id="2018994046">
          <w:marLeft w:val="640"/>
          <w:marRight w:val="0"/>
          <w:marTop w:val="0"/>
          <w:marBottom w:val="0"/>
          <w:divBdr>
            <w:top w:val="none" w:sz="0" w:space="0" w:color="auto"/>
            <w:left w:val="none" w:sz="0" w:space="0" w:color="auto"/>
            <w:bottom w:val="none" w:sz="0" w:space="0" w:color="auto"/>
            <w:right w:val="none" w:sz="0" w:space="0" w:color="auto"/>
          </w:divBdr>
        </w:div>
        <w:div w:id="542644313">
          <w:marLeft w:val="640"/>
          <w:marRight w:val="0"/>
          <w:marTop w:val="0"/>
          <w:marBottom w:val="0"/>
          <w:divBdr>
            <w:top w:val="none" w:sz="0" w:space="0" w:color="auto"/>
            <w:left w:val="none" w:sz="0" w:space="0" w:color="auto"/>
            <w:bottom w:val="none" w:sz="0" w:space="0" w:color="auto"/>
            <w:right w:val="none" w:sz="0" w:space="0" w:color="auto"/>
          </w:divBdr>
        </w:div>
        <w:div w:id="955939832">
          <w:marLeft w:val="640"/>
          <w:marRight w:val="0"/>
          <w:marTop w:val="0"/>
          <w:marBottom w:val="0"/>
          <w:divBdr>
            <w:top w:val="none" w:sz="0" w:space="0" w:color="auto"/>
            <w:left w:val="none" w:sz="0" w:space="0" w:color="auto"/>
            <w:bottom w:val="none" w:sz="0" w:space="0" w:color="auto"/>
            <w:right w:val="none" w:sz="0" w:space="0" w:color="auto"/>
          </w:divBdr>
        </w:div>
        <w:div w:id="1471365033">
          <w:marLeft w:val="640"/>
          <w:marRight w:val="0"/>
          <w:marTop w:val="0"/>
          <w:marBottom w:val="0"/>
          <w:divBdr>
            <w:top w:val="none" w:sz="0" w:space="0" w:color="auto"/>
            <w:left w:val="none" w:sz="0" w:space="0" w:color="auto"/>
            <w:bottom w:val="none" w:sz="0" w:space="0" w:color="auto"/>
            <w:right w:val="none" w:sz="0" w:space="0" w:color="auto"/>
          </w:divBdr>
        </w:div>
        <w:div w:id="458449573">
          <w:marLeft w:val="640"/>
          <w:marRight w:val="0"/>
          <w:marTop w:val="0"/>
          <w:marBottom w:val="0"/>
          <w:divBdr>
            <w:top w:val="none" w:sz="0" w:space="0" w:color="auto"/>
            <w:left w:val="none" w:sz="0" w:space="0" w:color="auto"/>
            <w:bottom w:val="none" w:sz="0" w:space="0" w:color="auto"/>
            <w:right w:val="none" w:sz="0" w:space="0" w:color="auto"/>
          </w:divBdr>
        </w:div>
        <w:div w:id="1656958847">
          <w:marLeft w:val="640"/>
          <w:marRight w:val="0"/>
          <w:marTop w:val="0"/>
          <w:marBottom w:val="0"/>
          <w:divBdr>
            <w:top w:val="none" w:sz="0" w:space="0" w:color="auto"/>
            <w:left w:val="none" w:sz="0" w:space="0" w:color="auto"/>
            <w:bottom w:val="none" w:sz="0" w:space="0" w:color="auto"/>
            <w:right w:val="none" w:sz="0" w:space="0" w:color="auto"/>
          </w:divBdr>
        </w:div>
        <w:div w:id="472020726">
          <w:marLeft w:val="640"/>
          <w:marRight w:val="0"/>
          <w:marTop w:val="0"/>
          <w:marBottom w:val="0"/>
          <w:divBdr>
            <w:top w:val="none" w:sz="0" w:space="0" w:color="auto"/>
            <w:left w:val="none" w:sz="0" w:space="0" w:color="auto"/>
            <w:bottom w:val="none" w:sz="0" w:space="0" w:color="auto"/>
            <w:right w:val="none" w:sz="0" w:space="0" w:color="auto"/>
          </w:divBdr>
        </w:div>
        <w:div w:id="1355380978">
          <w:marLeft w:val="640"/>
          <w:marRight w:val="0"/>
          <w:marTop w:val="0"/>
          <w:marBottom w:val="0"/>
          <w:divBdr>
            <w:top w:val="none" w:sz="0" w:space="0" w:color="auto"/>
            <w:left w:val="none" w:sz="0" w:space="0" w:color="auto"/>
            <w:bottom w:val="none" w:sz="0" w:space="0" w:color="auto"/>
            <w:right w:val="none" w:sz="0" w:space="0" w:color="auto"/>
          </w:divBdr>
        </w:div>
        <w:div w:id="1253276928">
          <w:marLeft w:val="640"/>
          <w:marRight w:val="0"/>
          <w:marTop w:val="0"/>
          <w:marBottom w:val="0"/>
          <w:divBdr>
            <w:top w:val="none" w:sz="0" w:space="0" w:color="auto"/>
            <w:left w:val="none" w:sz="0" w:space="0" w:color="auto"/>
            <w:bottom w:val="none" w:sz="0" w:space="0" w:color="auto"/>
            <w:right w:val="none" w:sz="0" w:space="0" w:color="auto"/>
          </w:divBdr>
        </w:div>
        <w:div w:id="165217300">
          <w:marLeft w:val="640"/>
          <w:marRight w:val="0"/>
          <w:marTop w:val="0"/>
          <w:marBottom w:val="0"/>
          <w:divBdr>
            <w:top w:val="none" w:sz="0" w:space="0" w:color="auto"/>
            <w:left w:val="none" w:sz="0" w:space="0" w:color="auto"/>
            <w:bottom w:val="none" w:sz="0" w:space="0" w:color="auto"/>
            <w:right w:val="none" w:sz="0" w:space="0" w:color="auto"/>
          </w:divBdr>
        </w:div>
        <w:div w:id="616107521">
          <w:marLeft w:val="640"/>
          <w:marRight w:val="0"/>
          <w:marTop w:val="0"/>
          <w:marBottom w:val="0"/>
          <w:divBdr>
            <w:top w:val="none" w:sz="0" w:space="0" w:color="auto"/>
            <w:left w:val="none" w:sz="0" w:space="0" w:color="auto"/>
            <w:bottom w:val="none" w:sz="0" w:space="0" w:color="auto"/>
            <w:right w:val="none" w:sz="0" w:space="0" w:color="auto"/>
          </w:divBdr>
        </w:div>
        <w:div w:id="1558321664">
          <w:marLeft w:val="640"/>
          <w:marRight w:val="0"/>
          <w:marTop w:val="0"/>
          <w:marBottom w:val="0"/>
          <w:divBdr>
            <w:top w:val="none" w:sz="0" w:space="0" w:color="auto"/>
            <w:left w:val="none" w:sz="0" w:space="0" w:color="auto"/>
            <w:bottom w:val="none" w:sz="0" w:space="0" w:color="auto"/>
            <w:right w:val="none" w:sz="0" w:space="0" w:color="auto"/>
          </w:divBdr>
        </w:div>
        <w:div w:id="2109501130">
          <w:marLeft w:val="640"/>
          <w:marRight w:val="0"/>
          <w:marTop w:val="0"/>
          <w:marBottom w:val="0"/>
          <w:divBdr>
            <w:top w:val="none" w:sz="0" w:space="0" w:color="auto"/>
            <w:left w:val="none" w:sz="0" w:space="0" w:color="auto"/>
            <w:bottom w:val="none" w:sz="0" w:space="0" w:color="auto"/>
            <w:right w:val="none" w:sz="0" w:space="0" w:color="auto"/>
          </w:divBdr>
        </w:div>
        <w:div w:id="753891506">
          <w:marLeft w:val="640"/>
          <w:marRight w:val="0"/>
          <w:marTop w:val="0"/>
          <w:marBottom w:val="0"/>
          <w:divBdr>
            <w:top w:val="none" w:sz="0" w:space="0" w:color="auto"/>
            <w:left w:val="none" w:sz="0" w:space="0" w:color="auto"/>
            <w:bottom w:val="none" w:sz="0" w:space="0" w:color="auto"/>
            <w:right w:val="none" w:sz="0" w:space="0" w:color="auto"/>
          </w:divBdr>
        </w:div>
        <w:div w:id="93982653">
          <w:marLeft w:val="640"/>
          <w:marRight w:val="0"/>
          <w:marTop w:val="0"/>
          <w:marBottom w:val="0"/>
          <w:divBdr>
            <w:top w:val="none" w:sz="0" w:space="0" w:color="auto"/>
            <w:left w:val="none" w:sz="0" w:space="0" w:color="auto"/>
            <w:bottom w:val="none" w:sz="0" w:space="0" w:color="auto"/>
            <w:right w:val="none" w:sz="0" w:space="0" w:color="auto"/>
          </w:divBdr>
        </w:div>
        <w:div w:id="220479060">
          <w:marLeft w:val="640"/>
          <w:marRight w:val="0"/>
          <w:marTop w:val="0"/>
          <w:marBottom w:val="0"/>
          <w:divBdr>
            <w:top w:val="none" w:sz="0" w:space="0" w:color="auto"/>
            <w:left w:val="none" w:sz="0" w:space="0" w:color="auto"/>
            <w:bottom w:val="none" w:sz="0" w:space="0" w:color="auto"/>
            <w:right w:val="none" w:sz="0" w:space="0" w:color="auto"/>
          </w:divBdr>
        </w:div>
        <w:div w:id="641547147">
          <w:marLeft w:val="640"/>
          <w:marRight w:val="0"/>
          <w:marTop w:val="0"/>
          <w:marBottom w:val="0"/>
          <w:divBdr>
            <w:top w:val="none" w:sz="0" w:space="0" w:color="auto"/>
            <w:left w:val="none" w:sz="0" w:space="0" w:color="auto"/>
            <w:bottom w:val="none" w:sz="0" w:space="0" w:color="auto"/>
            <w:right w:val="none" w:sz="0" w:space="0" w:color="auto"/>
          </w:divBdr>
        </w:div>
        <w:div w:id="448281790">
          <w:marLeft w:val="640"/>
          <w:marRight w:val="0"/>
          <w:marTop w:val="0"/>
          <w:marBottom w:val="0"/>
          <w:divBdr>
            <w:top w:val="none" w:sz="0" w:space="0" w:color="auto"/>
            <w:left w:val="none" w:sz="0" w:space="0" w:color="auto"/>
            <w:bottom w:val="none" w:sz="0" w:space="0" w:color="auto"/>
            <w:right w:val="none" w:sz="0" w:space="0" w:color="auto"/>
          </w:divBdr>
        </w:div>
        <w:div w:id="1192499998">
          <w:marLeft w:val="640"/>
          <w:marRight w:val="0"/>
          <w:marTop w:val="0"/>
          <w:marBottom w:val="0"/>
          <w:divBdr>
            <w:top w:val="none" w:sz="0" w:space="0" w:color="auto"/>
            <w:left w:val="none" w:sz="0" w:space="0" w:color="auto"/>
            <w:bottom w:val="none" w:sz="0" w:space="0" w:color="auto"/>
            <w:right w:val="none" w:sz="0" w:space="0" w:color="auto"/>
          </w:divBdr>
        </w:div>
        <w:div w:id="1848641064">
          <w:marLeft w:val="640"/>
          <w:marRight w:val="0"/>
          <w:marTop w:val="0"/>
          <w:marBottom w:val="0"/>
          <w:divBdr>
            <w:top w:val="none" w:sz="0" w:space="0" w:color="auto"/>
            <w:left w:val="none" w:sz="0" w:space="0" w:color="auto"/>
            <w:bottom w:val="none" w:sz="0" w:space="0" w:color="auto"/>
            <w:right w:val="none" w:sz="0" w:space="0" w:color="auto"/>
          </w:divBdr>
        </w:div>
        <w:div w:id="63143001">
          <w:marLeft w:val="640"/>
          <w:marRight w:val="0"/>
          <w:marTop w:val="0"/>
          <w:marBottom w:val="0"/>
          <w:divBdr>
            <w:top w:val="none" w:sz="0" w:space="0" w:color="auto"/>
            <w:left w:val="none" w:sz="0" w:space="0" w:color="auto"/>
            <w:bottom w:val="none" w:sz="0" w:space="0" w:color="auto"/>
            <w:right w:val="none" w:sz="0" w:space="0" w:color="auto"/>
          </w:divBdr>
        </w:div>
        <w:div w:id="406073060">
          <w:marLeft w:val="640"/>
          <w:marRight w:val="0"/>
          <w:marTop w:val="0"/>
          <w:marBottom w:val="0"/>
          <w:divBdr>
            <w:top w:val="none" w:sz="0" w:space="0" w:color="auto"/>
            <w:left w:val="none" w:sz="0" w:space="0" w:color="auto"/>
            <w:bottom w:val="none" w:sz="0" w:space="0" w:color="auto"/>
            <w:right w:val="none" w:sz="0" w:space="0" w:color="auto"/>
          </w:divBdr>
        </w:div>
        <w:div w:id="890001536">
          <w:marLeft w:val="640"/>
          <w:marRight w:val="0"/>
          <w:marTop w:val="0"/>
          <w:marBottom w:val="0"/>
          <w:divBdr>
            <w:top w:val="none" w:sz="0" w:space="0" w:color="auto"/>
            <w:left w:val="none" w:sz="0" w:space="0" w:color="auto"/>
            <w:bottom w:val="none" w:sz="0" w:space="0" w:color="auto"/>
            <w:right w:val="none" w:sz="0" w:space="0" w:color="auto"/>
          </w:divBdr>
        </w:div>
        <w:div w:id="1804228958">
          <w:marLeft w:val="640"/>
          <w:marRight w:val="0"/>
          <w:marTop w:val="0"/>
          <w:marBottom w:val="0"/>
          <w:divBdr>
            <w:top w:val="none" w:sz="0" w:space="0" w:color="auto"/>
            <w:left w:val="none" w:sz="0" w:space="0" w:color="auto"/>
            <w:bottom w:val="none" w:sz="0" w:space="0" w:color="auto"/>
            <w:right w:val="none" w:sz="0" w:space="0" w:color="auto"/>
          </w:divBdr>
        </w:div>
        <w:div w:id="1623457926">
          <w:marLeft w:val="640"/>
          <w:marRight w:val="0"/>
          <w:marTop w:val="0"/>
          <w:marBottom w:val="0"/>
          <w:divBdr>
            <w:top w:val="none" w:sz="0" w:space="0" w:color="auto"/>
            <w:left w:val="none" w:sz="0" w:space="0" w:color="auto"/>
            <w:bottom w:val="none" w:sz="0" w:space="0" w:color="auto"/>
            <w:right w:val="none" w:sz="0" w:space="0" w:color="auto"/>
          </w:divBdr>
        </w:div>
        <w:div w:id="1346663784">
          <w:marLeft w:val="640"/>
          <w:marRight w:val="0"/>
          <w:marTop w:val="0"/>
          <w:marBottom w:val="0"/>
          <w:divBdr>
            <w:top w:val="none" w:sz="0" w:space="0" w:color="auto"/>
            <w:left w:val="none" w:sz="0" w:space="0" w:color="auto"/>
            <w:bottom w:val="none" w:sz="0" w:space="0" w:color="auto"/>
            <w:right w:val="none" w:sz="0" w:space="0" w:color="auto"/>
          </w:divBdr>
        </w:div>
        <w:div w:id="1521773750">
          <w:marLeft w:val="640"/>
          <w:marRight w:val="0"/>
          <w:marTop w:val="0"/>
          <w:marBottom w:val="0"/>
          <w:divBdr>
            <w:top w:val="none" w:sz="0" w:space="0" w:color="auto"/>
            <w:left w:val="none" w:sz="0" w:space="0" w:color="auto"/>
            <w:bottom w:val="none" w:sz="0" w:space="0" w:color="auto"/>
            <w:right w:val="none" w:sz="0" w:space="0" w:color="auto"/>
          </w:divBdr>
        </w:div>
        <w:div w:id="549197498">
          <w:marLeft w:val="640"/>
          <w:marRight w:val="0"/>
          <w:marTop w:val="0"/>
          <w:marBottom w:val="0"/>
          <w:divBdr>
            <w:top w:val="none" w:sz="0" w:space="0" w:color="auto"/>
            <w:left w:val="none" w:sz="0" w:space="0" w:color="auto"/>
            <w:bottom w:val="none" w:sz="0" w:space="0" w:color="auto"/>
            <w:right w:val="none" w:sz="0" w:space="0" w:color="auto"/>
          </w:divBdr>
        </w:div>
        <w:div w:id="1890192257">
          <w:marLeft w:val="640"/>
          <w:marRight w:val="0"/>
          <w:marTop w:val="0"/>
          <w:marBottom w:val="0"/>
          <w:divBdr>
            <w:top w:val="none" w:sz="0" w:space="0" w:color="auto"/>
            <w:left w:val="none" w:sz="0" w:space="0" w:color="auto"/>
            <w:bottom w:val="none" w:sz="0" w:space="0" w:color="auto"/>
            <w:right w:val="none" w:sz="0" w:space="0" w:color="auto"/>
          </w:divBdr>
        </w:div>
        <w:div w:id="494496377">
          <w:marLeft w:val="640"/>
          <w:marRight w:val="0"/>
          <w:marTop w:val="0"/>
          <w:marBottom w:val="0"/>
          <w:divBdr>
            <w:top w:val="none" w:sz="0" w:space="0" w:color="auto"/>
            <w:left w:val="none" w:sz="0" w:space="0" w:color="auto"/>
            <w:bottom w:val="none" w:sz="0" w:space="0" w:color="auto"/>
            <w:right w:val="none" w:sz="0" w:space="0" w:color="auto"/>
          </w:divBdr>
        </w:div>
        <w:div w:id="1048258868">
          <w:marLeft w:val="640"/>
          <w:marRight w:val="0"/>
          <w:marTop w:val="0"/>
          <w:marBottom w:val="0"/>
          <w:divBdr>
            <w:top w:val="none" w:sz="0" w:space="0" w:color="auto"/>
            <w:left w:val="none" w:sz="0" w:space="0" w:color="auto"/>
            <w:bottom w:val="none" w:sz="0" w:space="0" w:color="auto"/>
            <w:right w:val="none" w:sz="0" w:space="0" w:color="auto"/>
          </w:divBdr>
        </w:div>
        <w:div w:id="1813909720">
          <w:marLeft w:val="640"/>
          <w:marRight w:val="0"/>
          <w:marTop w:val="0"/>
          <w:marBottom w:val="0"/>
          <w:divBdr>
            <w:top w:val="none" w:sz="0" w:space="0" w:color="auto"/>
            <w:left w:val="none" w:sz="0" w:space="0" w:color="auto"/>
            <w:bottom w:val="none" w:sz="0" w:space="0" w:color="auto"/>
            <w:right w:val="none" w:sz="0" w:space="0" w:color="auto"/>
          </w:divBdr>
        </w:div>
        <w:div w:id="974793028">
          <w:marLeft w:val="640"/>
          <w:marRight w:val="0"/>
          <w:marTop w:val="0"/>
          <w:marBottom w:val="0"/>
          <w:divBdr>
            <w:top w:val="none" w:sz="0" w:space="0" w:color="auto"/>
            <w:left w:val="none" w:sz="0" w:space="0" w:color="auto"/>
            <w:bottom w:val="none" w:sz="0" w:space="0" w:color="auto"/>
            <w:right w:val="none" w:sz="0" w:space="0" w:color="auto"/>
          </w:divBdr>
        </w:div>
        <w:div w:id="597636169">
          <w:marLeft w:val="640"/>
          <w:marRight w:val="0"/>
          <w:marTop w:val="0"/>
          <w:marBottom w:val="0"/>
          <w:divBdr>
            <w:top w:val="none" w:sz="0" w:space="0" w:color="auto"/>
            <w:left w:val="none" w:sz="0" w:space="0" w:color="auto"/>
            <w:bottom w:val="none" w:sz="0" w:space="0" w:color="auto"/>
            <w:right w:val="none" w:sz="0" w:space="0" w:color="auto"/>
          </w:divBdr>
        </w:div>
        <w:div w:id="971592759">
          <w:marLeft w:val="640"/>
          <w:marRight w:val="0"/>
          <w:marTop w:val="0"/>
          <w:marBottom w:val="0"/>
          <w:divBdr>
            <w:top w:val="none" w:sz="0" w:space="0" w:color="auto"/>
            <w:left w:val="none" w:sz="0" w:space="0" w:color="auto"/>
            <w:bottom w:val="none" w:sz="0" w:space="0" w:color="auto"/>
            <w:right w:val="none" w:sz="0" w:space="0" w:color="auto"/>
          </w:divBdr>
        </w:div>
        <w:div w:id="1536773335">
          <w:marLeft w:val="640"/>
          <w:marRight w:val="0"/>
          <w:marTop w:val="0"/>
          <w:marBottom w:val="0"/>
          <w:divBdr>
            <w:top w:val="none" w:sz="0" w:space="0" w:color="auto"/>
            <w:left w:val="none" w:sz="0" w:space="0" w:color="auto"/>
            <w:bottom w:val="none" w:sz="0" w:space="0" w:color="auto"/>
            <w:right w:val="none" w:sz="0" w:space="0" w:color="auto"/>
          </w:divBdr>
        </w:div>
        <w:div w:id="250434887">
          <w:marLeft w:val="640"/>
          <w:marRight w:val="0"/>
          <w:marTop w:val="0"/>
          <w:marBottom w:val="0"/>
          <w:divBdr>
            <w:top w:val="none" w:sz="0" w:space="0" w:color="auto"/>
            <w:left w:val="none" w:sz="0" w:space="0" w:color="auto"/>
            <w:bottom w:val="none" w:sz="0" w:space="0" w:color="auto"/>
            <w:right w:val="none" w:sz="0" w:space="0" w:color="auto"/>
          </w:divBdr>
        </w:div>
        <w:div w:id="444078707">
          <w:marLeft w:val="640"/>
          <w:marRight w:val="0"/>
          <w:marTop w:val="0"/>
          <w:marBottom w:val="0"/>
          <w:divBdr>
            <w:top w:val="none" w:sz="0" w:space="0" w:color="auto"/>
            <w:left w:val="none" w:sz="0" w:space="0" w:color="auto"/>
            <w:bottom w:val="none" w:sz="0" w:space="0" w:color="auto"/>
            <w:right w:val="none" w:sz="0" w:space="0" w:color="auto"/>
          </w:divBdr>
        </w:div>
        <w:div w:id="1375229175">
          <w:marLeft w:val="640"/>
          <w:marRight w:val="0"/>
          <w:marTop w:val="0"/>
          <w:marBottom w:val="0"/>
          <w:divBdr>
            <w:top w:val="none" w:sz="0" w:space="0" w:color="auto"/>
            <w:left w:val="none" w:sz="0" w:space="0" w:color="auto"/>
            <w:bottom w:val="none" w:sz="0" w:space="0" w:color="auto"/>
            <w:right w:val="none" w:sz="0" w:space="0" w:color="auto"/>
          </w:divBdr>
        </w:div>
        <w:div w:id="1723022854">
          <w:marLeft w:val="640"/>
          <w:marRight w:val="0"/>
          <w:marTop w:val="0"/>
          <w:marBottom w:val="0"/>
          <w:divBdr>
            <w:top w:val="none" w:sz="0" w:space="0" w:color="auto"/>
            <w:left w:val="none" w:sz="0" w:space="0" w:color="auto"/>
            <w:bottom w:val="none" w:sz="0" w:space="0" w:color="auto"/>
            <w:right w:val="none" w:sz="0" w:space="0" w:color="auto"/>
          </w:divBdr>
        </w:div>
        <w:div w:id="2136169273">
          <w:marLeft w:val="640"/>
          <w:marRight w:val="0"/>
          <w:marTop w:val="0"/>
          <w:marBottom w:val="0"/>
          <w:divBdr>
            <w:top w:val="none" w:sz="0" w:space="0" w:color="auto"/>
            <w:left w:val="none" w:sz="0" w:space="0" w:color="auto"/>
            <w:bottom w:val="none" w:sz="0" w:space="0" w:color="auto"/>
            <w:right w:val="none" w:sz="0" w:space="0" w:color="auto"/>
          </w:divBdr>
        </w:div>
        <w:div w:id="655450922">
          <w:marLeft w:val="640"/>
          <w:marRight w:val="0"/>
          <w:marTop w:val="0"/>
          <w:marBottom w:val="0"/>
          <w:divBdr>
            <w:top w:val="none" w:sz="0" w:space="0" w:color="auto"/>
            <w:left w:val="none" w:sz="0" w:space="0" w:color="auto"/>
            <w:bottom w:val="none" w:sz="0" w:space="0" w:color="auto"/>
            <w:right w:val="none" w:sz="0" w:space="0" w:color="auto"/>
          </w:divBdr>
        </w:div>
        <w:div w:id="1296375728">
          <w:marLeft w:val="640"/>
          <w:marRight w:val="0"/>
          <w:marTop w:val="0"/>
          <w:marBottom w:val="0"/>
          <w:divBdr>
            <w:top w:val="none" w:sz="0" w:space="0" w:color="auto"/>
            <w:left w:val="none" w:sz="0" w:space="0" w:color="auto"/>
            <w:bottom w:val="none" w:sz="0" w:space="0" w:color="auto"/>
            <w:right w:val="none" w:sz="0" w:space="0" w:color="auto"/>
          </w:divBdr>
        </w:div>
        <w:div w:id="374499998">
          <w:marLeft w:val="640"/>
          <w:marRight w:val="0"/>
          <w:marTop w:val="0"/>
          <w:marBottom w:val="0"/>
          <w:divBdr>
            <w:top w:val="none" w:sz="0" w:space="0" w:color="auto"/>
            <w:left w:val="none" w:sz="0" w:space="0" w:color="auto"/>
            <w:bottom w:val="none" w:sz="0" w:space="0" w:color="auto"/>
            <w:right w:val="none" w:sz="0" w:space="0" w:color="auto"/>
          </w:divBdr>
        </w:div>
        <w:div w:id="1899975038">
          <w:marLeft w:val="640"/>
          <w:marRight w:val="0"/>
          <w:marTop w:val="0"/>
          <w:marBottom w:val="0"/>
          <w:divBdr>
            <w:top w:val="none" w:sz="0" w:space="0" w:color="auto"/>
            <w:left w:val="none" w:sz="0" w:space="0" w:color="auto"/>
            <w:bottom w:val="none" w:sz="0" w:space="0" w:color="auto"/>
            <w:right w:val="none" w:sz="0" w:space="0" w:color="auto"/>
          </w:divBdr>
        </w:div>
        <w:div w:id="482501616">
          <w:marLeft w:val="640"/>
          <w:marRight w:val="0"/>
          <w:marTop w:val="0"/>
          <w:marBottom w:val="0"/>
          <w:divBdr>
            <w:top w:val="none" w:sz="0" w:space="0" w:color="auto"/>
            <w:left w:val="none" w:sz="0" w:space="0" w:color="auto"/>
            <w:bottom w:val="none" w:sz="0" w:space="0" w:color="auto"/>
            <w:right w:val="none" w:sz="0" w:space="0" w:color="auto"/>
          </w:divBdr>
        </w:div>
        <w:div w:id="792021205">
          <w:marLeft w:val="640"/>
          <w:marRight w:val="0"/>
          <w:marTop w:val="0"/>
          <w:marBottom w:val="0"/>
          <w:divBdr>
            <w:top w:val="none" w:sz="0" w:space="0" w:color="auto"/>
            <w:left w:val="none" w:sz="0" w:space="0" w:color="auto"/>
            <w:bottom w:val="none" w:sz="0" w:space="0" w:color="auto"/>
            <w:right w:val="none" w:sz="0" w:space="0" w:color="auto"/>
          </w:divBdr>
        </w:div>
        <w:div w:id="1744372421">
          <w:marLeft w:val="640"/>
          <w:marRight w:val="0"/>
          <w:marTop w:val="0"/>
          <w:marBottom w:val="0"/>
          <w:divBdr>
            <w:top w:val="none" w:sz="0" w:space="0" w:color="auto"/>
            <w:left w:val="none" w:sz="0" w:space="0" w:color="auto"/>
            <w:bottom w:val="none" w:sz="0" w:space="0" w:color="auto"/>
            <w:right w:val="none" w:sz="0" w:space="0" w:color="auto"/>
          </w:divBdr>
        </w:div>
        <w:div w:id="509414809">
          <w:marLeft w:val="640"/>
          <w:marRight w:val="0"/>
          <w:marTop w:val="0"/>
          <w:marBottom w:val="0"/>
          <w:divBdr>
            <w:top w:val="none" w:sz="0" w:space="0" w:color="auto"/>
            <w:left w:val="none" w:sz="0" w:space="0" w:color="auto"/>
            <w:bottom w:val="none" w:sz="0" w:space="0" w:color="auto"/>
            <w:right w:val="none" w:sz="0" w:space="0" w:color="auto"/>
          </w:divBdr>
        </w:div>
        <w:div w:id="83116946">
          <w:marLeft w:val="640"/>
          <w:marRight w:val="0"/>
          <w:marTop w:val="0"/>
          <w:marBottom w:val="0"/>
          <w:divBdr>
            <w:top w:val="none" w:sz="0" w:space="0" w:color="auto"/>
            <w:left w:val="none" w:sz="0" w:space="0" w:color="auto"/>
            <w:bottom w:val="none" w:sz="0" w:space="0" w:color="auto"/>
            <w:right w:val="none" w:sz="0" w:space="0" w:color="auto"/>
          </w:divBdr>
        </w:div>
        <w:div w:id="764111073">
          <w:marLeft w:val="640"/>
          <w:marRight w:val="0"/>
          <w:marTop w:val="0"/>
          <w:marBottom w:val="0"/>
          <w:divBdr>
            <w:top w:val="none" w:sz="0" w:space="0" w:color="auto"/>
            <w:left w:val="none" w:sz="0" w:space="0" w:color="auto"/>
            <w:bottom w:val="none" w:sz="0" w:space="0" w:color="auto"/>
            <w:right w:val="none" w:sz="0" w:space="0" w:color="auto"/>
          </w:divBdr>
        </w:div>
        <w:div w:id="1564179384">
          <w:marLeft w:val="640"/>
          <w:marRight w:val="0"/>
          <w:marTop w:val="0"/>
          <w:marBottom w:val="0"/>
          <w:divBdr>
            <w:top w:val="none" w:sz="0" w:space="0" w:color="auto"/>
            <w:left w:val="none" w:sz="0" w:space="0" w:color="auto"/>
            <w:bottom w:val="none" w:sz="0" w:space="0" w:color="auto"/>
            <w:right w:val="none" w:sz="0" w:space="0" w:color="auto"/>
          </w:divBdr>
        </w:div>
        <w:div w:id="8719110">
          <w:marLeft w:val="640"/>
          <w:marRight w:val="0"/>
          <w:marTop w:val="0"/>
          <w:marBottom w:val="0"/>
          <w:divBdr>
            <w:top w:val="none" w:sz="0" w:space="0" w:color="auto"/>
            <w:left w:val="none" w:sz="0" w:space="0" w:color="auto"/>
            <w:bottom w:val="none" w:sz="0" w:space="0" w:color="auto"/>
            <w:right w:val="none" w:sz="0" w:space="0" w:color="auto"/>
          </w:divBdr>
        </w:div>
        <w:div w:id="765227979">
          <w:marLeft w:val="640"/>
          <w:marRight w:val="0"/>
          <w:marTop w:val="0"/>
          <w:marBottom w:val="0"/>
          <w:divBdr>
            <w:top w:val="none" w:sz="0" w:space="0" w:color="auto"/>
            <w:left w:val="none" w:sz="0" w:space="0" w:color="auto"/>
            <w:bottom w:val="none" w:sz="0" w:space="0" w:color="auto"/>
            <w:right w:val="none" w:sz="0" w:space="0" w:color="auto"/>
          </w:divBdr>
        </w:div>
        <w:div w:id="2082288347">
          <w:marLeft w:val="640"/>
          <w:marRight w:val="0"/>
          <w:marTop w:val="0"/>
          <w:marBottom w:val="0"/>
          <w:divBdr>
            <w:top w:val="none" w:sz="0" w:space="0" w:color="auto"/>
            <w:left w:val="none" w:sz="0" w:space="0" w:color="auto"/>
            <w:bottom w:val="none" w:sz="0" w:space="0" w:color="auto"/>
            <w:right w:val="none" w:sz="0" w:space="0" w:color="auto"/>
          </w:divBdr>
        </w:div>
        <w:div w:id="1552378025">
          <w:marLeft w:val="640"/>
          <w:marRight w:val="0"/>
          <w:marTop w:val="0"/>
          <w:marBottom w:val="0"/>
          <w:divBdr>
            <w:top w:val="none" w:sz="0" w:space="0" w:color="auto"/>
            <w:left w:val="none" w:sz="0" w:space="0" w:color="auto"/>
            <w:bottom w:val="none" w:sz="0" w:space="0" w:color="auto"/>
            <w:right w:val="none" w:sz="0" w:space="0" w:color="auto"/>
          </w:divBdr>
        </w:div>
        <w:div w:id="636884078">
          <w:marLeft w:val="640"/>
          <w:marRight w:val="0"/>
          <w:marTop w:val="0"/>
          <w:marBottom w:val="0"/>
          <w:divBdr>
            <w:top w:val="none" w:sz="0" w:space="0" w:color="auto"/>
            <w:left w:val="none" w:sz="0" w:space="0" w:color="auto"/>
            <w:bottom w:val="none" w:sz="0" w:space="0" w:color="auto"/>
            <w:right w:val="none" w:sz="0" w:space="0" w:color="auto"/>
          </w:divBdr>
        </w:div>
        <w:div w:id="111215908">
          <w:marLeft w:val="640"/>
          <w:marRight w:val="0"/>
          <w:marTop w:val="0"/>
          <w:marBottom w:val="0"/>
          <w:divBdr>
            <w:top w:val="none" w:sz="0" w:space="0" w:color="auto"/>
            <w:left w:val="none" w:sz="0" w:space="0" w:color="auto"/>
            <w:bottom w:val="none" w:sz="0" w:space="0" w:color="auto"/>
            <w:right w:val="none" w:sz="0" w:space="0" w:color="auto"/>
          </w:divBdr>
        </w:div>
        <w:div w:id="1504510412">
          <w:marLeft w:val="640"/>
          <w:marRight w:val="0"/>
          <w:marTop w:val="0"/>
          <w:marBottom w:val="0"/>
          <w:divBdr>
            <w:top w:val="none" w:sz="0" w:space="0" w:color="auto"/>
            <w:left w:val="none" w:sz="0" w:space="0" w:color="auto"/>
            <w:bottom w:val="none" w:sz="0" w:space="0" w:color="auto"/>
            <w:right w:val="none" w:sz="0" w:space="0" w:color="auto"/>
          </w:divBdr>
        </w:div>
        <w:div w:id="1335760266">
          <w:marLeft w:val="640"/>
          <w:marRight w:val="0"/>
          <w:marTop w:val="0"/>
          <w:marBottom w:val="0"/>
          <w:divBdr>
            <w:top w:val="none" w:sz="0" w:space="0" w:color="auto"/>
            <w:left w:val="none" w:sz="0" w:space="0" w:color="auto"/>
            <w:bottom w:val="none" w:sz="0" w:space="0" w:color="auto"/>
            <w:right w:val="none" w:sz="0" w:space="0" w:color="auto"/>
          </w:divBdr>
        </w:div>
        <w:div w:id="478763675">
          <w:marLeft w:val="640"/>
          <w:marRight w:val="0"/>
          <w:marTop w:val="0"/>
          <w:marBottom w:val="0"/>
          <w:divBdr>
            <w:top w:val="none" w:sz="0" w:space="0" w:color="auto"/>
            <w:left w:val="none" w:sz="0" w:space="0" w:color="auto"/>
            <w:bottom w:val="none" w:sz="0" w:space="0" w:color="auto"/>
            <w:right w:val="none" w:sz="0" w:space="0" w:color="auto"/>
          </w:divBdr>
        </w:div>
        <w:div w:id="209732267">
          <w:marLeft w:val="640"/>
          <w:marRight w:val="0"/>
          <w:marTop w:val="0"/>
          <w:marBottom w:val="0"/>
          <w:divBdr>
            <w:top w:val="none" w:sz="0" w:space="0" w:color="auto"/>
            <w:left w:val="none" w:sz="0" w:space="0" w:color="auto"/>
            <w:bottom w:val="none" w:sz="0" w:space="0" w:color="auto"/>
            <w:right w:val="none" w:sz="0" w:space="0" w:color="auto"/>
          </w:divBdr>
        </w:div>
        <w:div w:id="409617765">
          <w:marLeft w:val="640"/>
          <w:marRight w:val="0"/>
          <w:marTop w:val="0"/>
          <w:marBottom w:val="0"/>
          <w:divBdr>
            <w:top w:val="none" w:sz="0" w:space="0" w:color="auto"/>
            <w:left w:val="none" w:sz="0" w:space="0" w:color="auto"/>
            <w:bottom w:val="none" w:sz="0" w:space="0" w:color="auto"/>
            <w:right w:val="none" w:sz="0" w:space="0" w:color="auto"/>
          </w:divBdr>
        </w:div>
        <w:div w:id="1808817106">
          <w:marLeft w:val="640"/>
          <w:marRight w:val="0"/>
          <w:marTop w:val="0"/>
          <w:marBottom w:val="0"/>
          <w:divBdr>
            <w:top w:val="none" w:sz="0" w:space="0" w:color="auto"/>
            <w:left w:val="none" w:sz="0" w:space="0" w:color="auto"/>
            <w:bottom w:val="none" w:sz="0" w:space="0" w:color="auto"/>
            <w:right w:val="none" w:sz="0" w:space="0" w:color="auto"/>
          </w:divBdr>
        </w:div>
        <w:div w:id="2085757033">
          <w:marLeft w:val="640"/>
          <w:marRight w:val="0"/>
          <w:marTop w:val="0"/>
          <w:marBottom w:val="0"/>
          <w:divBdr>
            <w:top w:val="none" w:sz="0" w:space="0" w:color="auto"/>
            <w:left w:val="none" w:sz="0" w:space="0" w:color="auto"/>
            <w:bottom w:val="none" w:sz="0" w:space="0" w:color="auto"/>
            <w:right w:val="none" w:sz="0" w:space="0" w:color="auto"/>
          </w:divBdr>
        </w:div>
        <w:div w:id="1891309149">
          <w:marLeft w:val="640"/>
          <w:marRight w:val="0"/>
          <w:marTop w:val="0"/>
          <w:marBottom w:val="0"/>
          <w:divBdr>
            <w:top w:val="none" w:sz="0" w:space="0" w:color="auto"/>
            <w:left w:val="none" w:sz="0" w:space="0" w:color="auto"/>
            <w:bottom w:val="none" w:sz="0" w:space="0" w:color="auto"/>
            <w:right w:val="none" w:sz="0" w:space="0" w:color="auto"/>
          </w:divBdr>
        </w:div>
        <w:div w:id="880243392">
          <w:marLeft w:val="640"/>
          <w:marRight w:val="0"/>
          <w:marTop w:val="0"/>
          <w:marBottom w:val="0"/>
          <w:divBdr>
            <w:top w:val="none" w:sz="0" w:space="0" w:color="auto"/>
            <w:left w:val="none" w:sz="0" w:space="0" w:color="auto"/>
            <w:bottom w:val="none" w:sz="0" w:space="0" w:color="auto"/>
            <w:right w:val="none" w:sz="0" w:space="0" w:color="auto"/>
          </w:divBdr>
        </w:div>
        <w:div w:id="152842890">
          <w:marLeft w:val="640"/>
          <w:marRight w:val="0"/>
          <w:marTop w:val="0"/>
          <w:marBottom w:val="0"/>
          <w:divBdr>
            <w:top w:val="none" w:sz="0" w:space="0" w:color="auto"/>
            <w:left w:val="none" w:sz="0" w:space="0" w:color="auto"/>
            <w:bottom w:val="none" w:sz="0" w:space="0" w:color="auto"/>
            <w:right w:val="none" w:sz="0" w:space="0" w:color="auto"/>
          </w:divBdr>
        </w:div>
        <w:div w:id="1999722025">
          <w:marLeft w:val="640"/>
          <w:marRight w:val="0"/>
          <w:marTop w:val="0"/>
          <w:marBottom w:val="0"/>
          <w:divBdr>
            <w:top w:val="none" w:sz="0" w:space="0" w:color="auto"/>
            <w:left w:val="none" w:sz="0" w:space="0" w:color="auto"/>
            <w:bottom w:val="none" w:sz="0" w:space="0" w:color="auto"/>
            <w:right w:val="none" w:sz="0" w:space="0" w:color="auto"/>
          </w:divBdr>
        </w:div>
        <w:div w:id="1578126460">
          <w:marLeft w:val="640"/>
          <w:marRight w:val="0"/>
          <w:marTop w:val="0"/>
          <w:marBottom w:val="0"/>
          <w:divBdr>
            <w:top w:val="none" w:sz="0" w:space="0" w:color="auto"/>
            <w:left w:val="none" w:sz="0" w:space="0" w:color="auto"/>
            <w:bottom w:val="none" w:sz="0" w:space="0" w:color="auto"/>
            <w:right w:val="none" w:sz="0" w:space="0" w:color="auto"/>
          </w:divBdr>
        </w:div>
        <w:div w:id="645746201">
          <w:marLeft w:val="640"/>
          <w:marRight w:val="0"/>
          <w:marTop w:val="0"/>
          <w:marBottom w:val="0"/>
          <w:divBdr>
            <w:top w:val="none" w:sz="0" w:space="0" w:color="auto"/>
            <w:left w:val="none" w:sz="0" w:space="0" w:color="auto"/>
            <w:bottom w:val="none" w:sz="0" w:space="0" w:color="auto"/>
            <w:right w:val="none" w:sz="0" w:space="0" w:color="auto"/>
          </w:divBdr>
        </w:div>
        <w:div w:id="599996940">
          <w:marLeft w:val="640"/>
          <w:marRight w:val="0"/>
          <w:marTop w:val="0"/>
          <w:marBottom w:val="0"/>
          <w:divBdr>
            <w:top w:val="none" w:sz="0" w:space="0" w:color="auto"/>
            <w:left w:val="none" w:sz="0" w:space="0" w:color="auto"/>
            <w:bottom w:val="none" w:sz="0" w:space="0" w:color="auto"/>
            <w:right w:val="none" w:sz="0" w:space="0" w:color="auto"/>
          </w:divBdr>
        </w:div>
        <w:div w:id="1052802838">
          <w:marLeft w:val="640"/>
          <w:marRight w:val="0"/>
          <w:marTop w:val="0"/>
          <w:marBottom w:val="0"/>
          <w:divBdr>
            <w:top w:val="none" w:sz="0" w:space="0" w:color="auto"/>
            <w:left w:val="none" w:sz="0" w:space="0" w:color="auto"/>
            <w:bottom w:val="none" w:sz="0" w:space="0" w:color="auto"/>
            <w:right w:val="none" w:sz="0" w:space="0" w:color="auto"/>
          </w:divBdr>
        </w:div>
        <w:div w:id="1211070915">
          <w:marLeft w:val="640"/>
          <w:marRight w:val="0"/>
          <w:marTop w:val="0"/>
          <w:marBottom w:val="0"/>
          <w:divBdr>
            <w:top w:val="none" w:sz="0" w:space="0" w:color="auto"/>
            <w:left w:val="none" w:sz="0" w:space="0" w:color="auto"/>
            <w:bottom w:val="none" w:sz="0" w:space="0" w:color="auto"/>
            <w:right w:val="none" w:sz="0" w:space="0" w:color="auto"/>
          </w:divBdr>
        </w:div>
        <w:div w:id="1611354780">
          <w:marLeft w:val="640"/>
          <w:marRight w:val="0"/>
          <w:marTop w:val="0"/>
          <w:marBottom w:val="0"/>
          <w:divBdr>
            <w:top w:val="none" w:sz="0" w:space="0" w:color="auto"/>
            <w:left w:val="none" w:sz="0" w:space="0" w:color="auto"/>
            <w:bottom w:val="none" w:sz="0" w:space="0" w:color="auto"/>
            <w:right w:val="none" w:sz="0" w:space="0" w:color="auto"/>
          </w:divBdr>
        </w:div>
        <w:div w:id="1342127696">
          <w:marLeft w:val="640"/>
          <w:marRight w:val="0"/>
          <w:marTop w:val="0"/>
          <w:marBottom w:val="0"/>
          <w:divBdr>
            <w:top w:val="none" w:sz="0" w:space="0" w:color="auto"/>
            <w:left w:val="none" w:sz="0" w:space="0" w:color="auto"/>
            <w:bottom w:val="none" w:sz="0" w:space="0" w:color="auto"/>
            <w:right w:val="none" w:sz="0" w:space="0" w:color="auto"/>
          </w:divBdr>
        </w:div>
        <w:div w:id="1814909571">
          <w:marLeft w:val="640"/>
          <w:marRight w:val="0"/>
          <w:marTop w:val="0"/>
          <w:marBottom w:val="0"/>
          <w:divBdr>
            <w:top w:val="none" w:sz="0" w:space="0" w:color="auto"/>
            <w:left w:val="none" w:sz="0" w:space="0" w:color="auto"/>
            <w:bottom w:val="none" w:sz="0" w:space="0" w:color="auto"/>
            <w:right w:val="none" w:sz="0" w:space="0" w:color="auto"/>
          </w:divBdr>
        </w:div>
        <w:div w:id="893856618">
          <w:marLeft w:val="640"/>
          <w:marRight w:val="0"/>
          <w:marTop w:val="0"/>
          <w:marBottom w:val="0"/>
          <w:divBdr>
            <w:top w:val="none" w:sz="0" w:space="0" w:color="auto"/>
            <w:left w:val="none" w:sz="0" w:space="0" w:color="auto"/>
            <w:bottom w:val="none" w:sz="0" w:space="0" w:color="auto"/>
            <w:right w:val="none" w:sz="0" w:space="0" w:color="auto"/>
          </w:divBdr>
        </w:div>
        <w:div w:id="285039477">
          <w:marLeft w:val="640"/>
          <w:marRight w:val="0"/>
          <w:marTop w:val="0"/>
          <w:marBottom w:val="0"/>
          <w:divBdr>
            <w:top w:val="none" w:sz="0" w:space="0" w:color="auto"/>
            <w:left w:val="none" w:sz="0" w:space="0" w:color="auto"/>
            <w:bottom w:val="none" w:sz="0" w:space="0" w:color="auto"/>
            <w:right w:val="none" w:sz="0" w:space="0" w:color="auto"/>
          </w:divBdr>
        </w:div>
        <w:div w:id="1593664441">
          <w:marLeft w:val="640"/>
          <w:marRight w:val="0"/>
          <w:marTop w:val="0"/>
          <w:marBottom w:val="0"/>
          <w:divBdr>
            <w:top w:val="none" w:sz="0" w:space="0" w:color="auto"/>
            <w:left w:val="none" w:sz="0" w:space="0" w:color="auto"/>
            <w:bottom w:val="none" w:sz="0" w:space="0" w:color="auto"/>
            <w:right w:val="none" w:sz="0" w:space="0" w:color="auto"/>
          </w:divBdr>
        </w:div>
        <w:div w:id="1431773276">
          <w:marLeft w:val="640"/>
          <w:marRight w:val="0"/>
          <w:marTop w:val="0"/>
          <w:marBottom w:val="0"/>
          <w:divBdr>
            <w:top w:val="none" w:sz="0" w:space="0" w:color="auto"/>
            <w:left w:val="none" w:sz="0" w:space="0" w:color="auto"/>
            <w:bottom w:val="none" w:sz="0" w:space="0" w:color="auto"/>
            <w:right w:val="none" w:sz="0" w:space="0" w:color="auto"/>
          </w:divBdr>
        </w:div>
        <w:div w:id="190073337">
          <w:marLeft w:val="640"/>
          <w:marRight w:val="0"/>
          <w:marTop w:val="0"/>
          <w:marBottom w:val="0"/>
          <w:divBdr>
            <w:top w:val="none" w:sz="0" w:space="0" w:color="auto"/>
            <w:left w:val="none" w:sz="0" w:space="0" w:color="auto"/>
            <w:bottom w:val="none" w:sz="0" w:space="0" w:color="auto"/>
            <w:right w:val="none" w:sz="0" w:space="0" w:color="auto"/>
          </w:divBdr>
        </w:div>
        <w:div w:id="1738356462">
          <w:marLeft w:val="640"/>
          <w:marRight w:val="0"/>
          <w:marTop w:val="0"/>
          <w:marBottom w:val="0"/>
          <w:divBdr>
            <w:top w:val="none" w:sz="0" w:space="0" w:color="auto"/>
            <w:left w:val="none" w:sz="0" w:space="0" w:color="auto"/>
            <w:bottom w:val="none" w:sz="0" w:space="0" w:color="auto"/>
            <w:right w:val="none" w:sz="0" w:space="0" w:color="auto"/>
          </w:divBdr>
        </w:div>
        <w:div w:id="949823983">
          <w:marLeft w:val="640"/>
          <w:marRight w:val="0"/>
          <w:marTop w:val="0"/>
          <w:marBottom w:val="0"/>
          <w:divBdr>
            <w:top w:val="none" w:sz="0" w:space="0" w:color="auto"/>
            <w:left w:val="none" w:sz="0" w:space="0" w:color="auto"/>
            <w:bottom w:val="none" w:sz="0" w:space="0" w:color="auto"/>
            <w:right w:val="none" w:sz="0" w:space="0" w:color="auto"/>
          </w:divBdr>
        </w:div>
        <w:div w:id="711417089">
          <w:marLeft w:val="640"/>
          <w:marRight w:val="0"/>
          <w:marTop w:val="0"/>
          <w:marBottom w:val="0"/>
          <w:divBdr>
            <w:top w:val="none" w:sz="0" w:space="0" w:color="auto"/>
            <w:left w:val="none" w:sz="0" w:space="0" w:color="auto"/>
            <w:bottom w:val="none" w:sz="0" w:space="0" w:color="auto"/>
            <w:right w:val="none" w:sz="0" w:space="0" w:color="auto"/>
          </w:divBdr>
        </w:div>
        <w:div w:id="1543707570">
          <w:marLeft w:val="640"/>
          <w:marRight w:val="0"/>
          <w:marTop w:val="0"/>
          <w:marBottom w:val="0"/>
          <w:divBdr>
            <w:top w:val="none" w:sz="0" w:space="0" w:color="auto"/>
            <w:left w:val="none" w:sz="0" w:space="0" w:color="auto"/>
            <w:bottom w:val="none" w:sz="0" w:space="0" w:color="auto"/>
            <w:right w:val="none" w:sz="0" w:space="0" w:color="auto"/>
          </w:divBdr>
        </w:div>
        <w:div w:id="1334605889">
          <w:marLeft w:val="640"/>
          <w:marRight w:val="0"/>
          <w:marTop w:val="0"/>
          <w:marBottom w:val="0"/>
          <w:divBdr>
            <w:top w:val="none" w:sz="0" w:space="0" w:color="auto"/>
            <w:left w:val="none" w:sz="0" w:space="0" w:color="auto"/>
            <w:bottom w:val="none" w:sz="0" w:space="0" w:color="auto"/>
            <w:right w:val="none" w:sz="0" w:space="0" w:color="auto"/>
          </w:divBdr>
        </w:div>
        <w:div w:id="1715035246">
          <w:marLeft w:val="640"/>
          <w:marRight w:val="0"/>
          <w:marTop w:val="0"/>
          <w:marBottom w:val="0"/>
          <w:divBdr>
            <w:top w:val="none" w:sz="0" w:space="0" w:color="auto"/>
            <w:left w:val="none" w:sz="0" w:space="0" w:color="auto"/>
            <w:bottom w:val="none" w:sz="0" w:space="0" w:color="auto"/>
            <w:right w:val="none" w:sz="0" w:space="0" w:color="auto"/>
          </w:divBdr>
        </w:div>
        <w:div w:id="637222771">
          <w:marLeft w:val="640"/>
          <w:marRight w:val="0"/>
          <w:marTop w:val="0"/>
          <w:marBottom w:val="0"/>
          <w:divBdr>
            <w:top w:val="none" w:sz="0" w:space="0" w:color="auto"/>
            <w:left w:val="none" w:sz="0" w:space="0" w:color="auto"/>
            <w:bottom w:val="none" w:sz="0" w:space="0" w:color="auto"/>
            <w:right w:val="none" w:sz="0" w:space="0" w:color="auto"/>
          </w:divBdr>
        </w:div>
        <w:div w:id="347148740">
          <w:marLeft w:val="640"/>
          <w:marRight w:val="0"/>
          <w:marTop w:val="0"/>
          <w:marBottom w:val="0"/>
          <w:divBdr>
            <w:top w:val="none" w:sz="0" w:space="0" w:color="auto"/>
            <w:left w:val="none" w:sz="0" w:space="0" w:color="auto"/>
            <w:bottom w:val="none" w:sz="0" w:space="0" w:color="auto"/>
            <w:right w:val="none" w:sz="0" w:space="0" w:color="auto"/>
          </w:divBdr>
        </w:div>
        <w:div w:id="468982467">
          <w:marLeft w:val="640"/>
          <w:marRight w:val="0"/>
          <w:marTop w:val="0"/>
          <w:marBottom w:val="0"/>
          <w:divBdr>
            <w:top w:val="none" w:sz="0" w:space="0" w:color="auto"/>
            <w:left w:val="none" w:sz="0" w:space="0" w:color="auto"/>
            <w:bottom w:val="none" w:sz="0" w:space="0" w:color="auto"/>
            <w:right w:val="none" w:sz="0" w:space="0" w:color="auto"/>
          </w:divBdr>
        </w:div>
        <w:div w:id="555817881">
          <w:marLeft w:val="640"/>
          <w:marRight w:val="0"/>
          <w:marTop w:val="0"/>
          <w:marBottom w:val="0"/>
          <w:divBdr>
            <w:top w:val="none" w:sz="0" w:space="0" w:color="auto"/>
            <w:left w:val="none" w:sz="0" w:space="0" w:color="auto"/>
            <w:bottom w:val="none" w:sz="0" w:space="0" w:color="auto"/>
            <w:right w:val="none" w:sz="0" w:space="0" w:color="auto"/>
          </w:divBdr>
        </w:div>
        <w:div w:id="1858153530">
          <w:marLeft w:val="640"/>
          <w:marRight w:val="0"/>
          <w:marTop w:val="0"/>
          <w:marBottom w:val="0"/>
          <w:divBdr>
            <w:top w:val="none" w:sz="0" w:space="0" w:color="auto"/>
            <w:left w:val="none" w:sz="0" w:space="0" w:color="auto"/>
            <w:bottom w:val="none" w:sz="0" w:space="0" w:color="auto"/>
            <w:right w:val="none" w:sz="0" w:space="0" w:color="auto"/>
          </w:divBdr>
        </w:div>
        <w:div w:id="2114278030">
          <w:marLeft w:val="640"/>
          <w:marRight w:val="0"/>
          <w:marTop w:val="0"/>
          <w:marBottom w:val="0"/>
          <w:divBdr>
            <w:top w:val="none" w:sz="0" w:space="0" w:color="auto"/>
            <w:left w:val="none" w:sz="0" w:space="0" w:color="auto"/>
            <w:bottom w:val="none" w:sz="0" w:space="0" w:color="auto"/>
            <w:right w:val="none" w:sz="0" w:space="0" w:color="auto"/>
          </w:divBdr>
        </w:div>
        <w:div w:id="757869145">
          <w:marLeft w:val="640"/>
          <w:marRight w:val="0"/>
          <w:marTop w:val="0"/>
          <w:marBottom w:val="0"/>
          <w:divBdr>
            <w:top w:val="none" w:sz="0" w:space="0" w:color="auto"/>
            <w:left w:val="none" w:sz="0" w:space="0" w:color="auto"/>
            <w:bottom w:val="none" w:sz="0" w:space="0" w:color="auto"/>
            <w:right w:val="none" w:sz="0" w:space="0" w:color="auto"/>
          </w:divBdr>
        </w:div>
        <w:div w:id="1082721470">
          <w:marLeft w:val="640"/>
          <w:marRight w:val="0"/>
          <w:marTop w:val="0"/>
          <w:marBottom w:val="0"/>
          <w:divBdr>
            <w:top w:val="none" w:sz="0" w:space="0" w:color="auto"/>
            <w:left w:val="none" w:sz="0" w:space="0" w:color="auto"/>
            <w:bottom w:val="none" w:sz="0" w:space="0" w:color="auto"/>
            <w:right w:val="none" w:sz="0" w:space="0" w:color="auto"/>
          </w:divBdr>
        </w:div>
        <w:div w:id="5982245">
          <w:marLeft w:val="640"/>
          <w:marRight w:val="0"/>
          <w:marTop w:val="0"/>
          <w:marBottom w:val="0"/>
          <w:divBdr>
            <w:top w:val="none" w:sz="0" w:space="0" w:color="auto"/>
            <w:left w:val="none" w:sz="0" w:space="0" w:color="auto"/>
            <w:bottom w:val="none" w:sz="0" w:space="0" w:color="auto"/>
            <w:right w:val="none" w:sz="0" w:space="0" w:color="auto"/>
          </w:divBdr>
        </w:div>
        <w:div w:id="1479153290">
          <w:marLeft w:val="640"/>
          <w:marRight w:val="0"/>
          <w:marTop w:val="0"/>
          <w:marBottom w:val="0"/>
          <w:divBdr>
            <w:top w:val="none" w:sz="0" w:space="0" w:color="auto"/>
            <w:left w:val="none" w:sz="0" w:space="0" w:color="auto"/>
            <w:bottom w:val="none" w:sz="0" w:space="0" w:color="auto"/>
            <w:right w:val="none" w:sz="0" w:space="0" w:color="auto"/>
          </w:divBdr>
        </w:div>
        <w:div w:id="115761317">
          <w:marLeft w:val="640"/>
          <w:marRight w:val="0"/>
          <w:marTop w:val="0"/>
          <w:marBottom w:val="0"/>
          <w:divBdr>
            <w:top w:val="none" w:sz="0" w:space="0" w:color="auto"/>
            <w:left w:val="none" w:sz="0" w:space="0" w:color="auto"/>
            <w:bottom w:val="none" w:sz="0" w:space="0" w:color="auto"/>
            <w:right w:val="none" w:sz="0" w:space="0" w:color="auto"/>
          </w:divBdr>
        </w:div>
        <w:div w:id="111294087">
          <w:marLeft w:val="640"/>
          <w:marRight w:val="0"/>
          <w:marTop w:val="0"/>
          <w:marBottom w:val="0"/>
          <w:divBdr>
            <w:top w:val="none" w:sz="0" w:space="0" w:color="auto"/>
            <w:left w:val="none" w:sz="0" w:space="0" w:color="auto"/>
            <w:bottom w:val="none" w:sz="0" w:space="0" w:color="auto"/>
            <w:right w:val="none" w:sz="0" w:space="0" w:color="auto"/>
          </w:divBdr>
        </w:div>
        <w:div w:id="886184727">
          <w:marLeft w:val="640"/>
          <w:marRight w:val="0"/>
          <w:marTop w:val="0"/>
          <w:marBottom w:val="0"/>
          <w:divBdr>
            <w:top w:val="none" w:sz="0" w:space="0" w:color="auto"/>
            <w:left w:val="none" w:sz="0" w:space="0" w:color="auto"/>
            <w:bottom w:val="none" w:sz="0" w:space="0" w:color="auto"/>
            <w:right w:val="none" w:sz="0" w:space="0" w:color="auto"/>
          </w:divBdr>
        </w:div>
        <w:div w:id="2083411455">
          <w:marLeft w:val="640"/>
          <w:marRight w:val="0"/>
          <w:marTop w:val="0"/>
          <w:marBottom w:val="0"/>
          <w:divBdr>
            <w:top w:val="none" w:sz="0" w:space="0" w:color="auto"/>
            <w:left w:val="none" w:sz="0" w:space="0" w:color="auto"/>
            <w:bottom w:val="none" w:sz="0" w:space="0" w:color="auto"/>
            <w:right w:val="none" w:sz="0" w:space="0" w:color="auto"/>
          </w:divBdr>
        </w:div>
        <w:div w:id="1742561895">
          <w:marLeft w:val="640"/>
          <w:marRight w:val="0"/>
          <w:marTop w:val="0"/>
          <w:marBottom w:val="0"/>
          <w:divBdr>
            <w:top w:val="none" w:sz="0" w:space="0" w:color="auto"/>
            <w:left w:val="none" w:sz="0" w:space="0" w:color="auto"/>
            <w:bottom w:val="none" w:sz="0" w:space="0" w:color="auto"/>
            <w:right w:val="none" w:sz="0" w:space="0" w:color="auto"/>
          </w:divBdr>
        </w:div>
        <w:div w:id="626813081">
          <w:marLeft w:val="640"/>
          <w:marRight w:val="0"/>
          <w:marTop w:val="0"/>
          <w:marBottom w:val="0"/>
          <w:divBdr>
            <w:top w:val="none" w:sz="0" w:space="0" w:color="auto"/>
            <w:left w:val="none" w:sz="0" w:space="0" w:color="auto"/>
            <w:bottom w:val="none" w:sz="0" w:space="0" w:color="auto"/>
            <w:right w:val="none" w:sz="0" w:space="0" w:color="auto"/>
          </w:divBdr>
        </w:div>
        <w:div w:id="736512301">
          <w:marLeft w:val="640"/>
          <w:marRight w:val="0"/>
          <w:marTop w:val="0"/>
          <w:marBottom w:val="0"/>
          <w:divBdr>
            <w:top w:val="none" w:sz="0" w:space="0" w:color="auto"/>
            <w:left w:val="none" w:sz="0" w:space="0" w:color="auto"/>
            <w:bottom w:val="none" w:sz="0" w:space="0" w:color="auto"/>
            <w:right w:val="none" w:sz="0" w:space="0" w:color="auto"/>
          </w:divBdr>
        </w:div>
        <w:div w:id="660424008">
          <w:marLeft w:val="640"/>
          <w:marRight w:val="0"/>
          <w:marTop w:val="0"/>
          <w:marBottom w:val="0"/>
          <w:divBdr>
            <w:top w:val="none" w:sz="0" w:space="0" w:color="auto"/>
            <w:left w:val="none" w:sz="0" w:space="0" w:color="auto"/>
            <w:bottom w:val="none" w:sz="0" w:space="0" w:color="auto"/>
            <w:right w:val="none" w:sz="0" w:space="0" w:color="auto"/>
          </w:divBdr>
        </w:div>
        <w:div w:id="1977487192">
          <w:marLeft w:val="640"/>
          <w:marRight w:val="0"/>
          <w:marTop w:val="0"/>
          <w:marBottom w:val="0"/>
          <w:divBdr>
            <w:top w:val="none" w:sz="0" w:space="0" w:color="auto"/>
            <w:left w:val="none" w:sz="0" w:space="0" w:color="auto"/>
            <w:bottom w:val="none" w:sz="0" w:space="0" w:color="auto"/>
            <w:right w:val="none" w:sz="0" w:space="0" w:color="auto"/>
          </w:divBdr>
        </w:div>
        <w:div w:id="31003519">
          <w:marLeft w:val="640"/>
          <w:marRight w:val="0"/>
          <w:marTop w:val="0"/>
          <w:marBottom w:val="0"/>
          <w:divBdr>
            <w:top w:val="none" w:sz="0" w:space="0" w:color="auto"/>
            <w:left w:val="none" w:sz="0" w:space="0" w:color="auto"/>
            <w:bottom w:val="none" w:sz="0" w:space="0" w:color="auto"/>
            <w:right w:val="none" w:sz="0" w:space="0" w:color="auto"/>
          </w:divBdr>
        </w:div>
        <w:div w:id="1010521189">
          <w:marLeft w:val="640"/>
          <w:marRight w:val="0"/>
          <w:marTop w:val="0"/>
          <w:marBottom w:val="0"/>
          <w:divBdr>
            <w:top w:val="none" w:sz="0" w:space="0" w:color="auto"/>
            <w:left w:val="none" w:sz="0" w:space="0" w:color="auto"/>
            <w:bottom w:val="none" w:sz="0" w:space="0" w:color="auto"/>
            <w:right w:val="none" w:sz="0" w:space="0" w:color="auto"/>
          </w:divBdr>
        </w:div>
        <w:div w:id="12154422">
          <w:marLeft w:val="640"/>
          <w:marRight w:val="0"/>
          <w:marTop w:val="0"/>
          <w:marBottom w:val="0"/>
          <w:divBdr>
            <w:top w:val="none" w:sz="0" w:space="0" w:color="auto"/>
            <w:left w:val="none" w:sz="0" w:space="0" w:color="auto"/>
            <w:bottom w:val="none" w:sz="0" w:space="0" w:color="auto"/>
            <w:right w:val="none" w:sz="0" w:space="0" w:color="auto"/>
          </w:divBdr>
        </w:div>
        <w:div w:id="1913848519">
          <w:marLeft w:val="640"/>
          <w:marRight w:val="0"/>
          <w:marTop w:val="0"/>
          <w:marBottom w:val="0"/>
          <w:divBdr>
            <w:top w:val="none" w:sz="0" w:space="0" w:color="auto"/>
            <w:left w:val="none" w:sz="0" w:space="0" w:color="auto"/>
            <w:bottom w:val="none" w:sz="0" w:space="0" w:color="auto"/>
            <w:right w:val="none" w:sz="0" w:space="0" w:color="auto"/>
          </w:divBdr>
        </w:div>
        <w:div w:id="872107784">
          <w:marLeft w:val="640"/>
          <w:marRight w:val="0"/>
          <w:marTop w:val="0"/>
          <w:marBottom w:val="0"/>
          <w:divBdr>
            <w:top w:val="none" w:sz="0" w:space="0" w:color="auto"/>
            <w:left w:val="none" w:sz="0" w:space="0" w:color="auto"/>
            <w:bottom w:val="none" w:sz="0" w:space="0" w:color="auto"/>
            <w:right w:val="none" w:sz="0" w:space="0" w:color="auto"/>
          </w:divBdr>
        </w:div>
        <w:div w:id="1127048095">
          <w:marLeft w:val="640"/>
          <w:marRight w:val="0"/>
          <w:marTop w:val="0"/>
          <w:marBottom w:val="0"/>
          <w:divBdr>
            <w:top w:val="none" w:sz="0" w:space="0" w:color="auto"/>
            <w:left w:val="none" w:sz="0" w:space="0" w:color="auto"/>
            <w:bottom w:val="none" w:sz="0" w:space="0" w:color="auto"/>
            <w:right w:val="none" w:sz="0" w:space="0" w:color="auto"/>
          </w:divBdr>
        </w:div>
        <w:div w:id="1857229690">
          <w:marLeft w:val="640"/>
          <w:marRight w:val="0"/>
          <w:marTop w:val="0"/>
          <w:marBottom w:val="0"/>
          <w:divBdr>
            <w:top w:val="none" w:sz="0" w:space="0" w:color="auto"/>
            <w:left w:val="none" w:sz="0" w:space="0" w:color="auto"/>
            <w:bottom w:val="none" w:sz="0" w:space="0" w:color="auto"/>
            <w:right w:val="none" w:sz="0" w:space="0" w:color="auto"/>
          </w:divBdr>
        </w:div>
        <w:div w:id="1565674160">
          <w:marLeft w:val="640"/>
          <w:marRight w:val="0"/>
          <w:marTop w:val="0"/>
          <w:marBottom w:val="0"/>
          <w:divBdr>
            <w:top w:val="none" w:sz="0" w:space="0" w:color="auto"/>
            <w:left w:val="none" w:sz="0" w:space="0" w:color="auto"/>
            <w:bottom w:val="none" w:sz="0" w:space="0" w:color="auto"/>
            <w:right w:val="none" w:sz="0" w:space="0" w:color="auto"/>
          </w:divBdr>
        </w:div>
        <w:div w:id="611670686">
          <w:marLeft w:val="640"/>
          <w:marRight w:val="0"/>
          <w:marTop w:val="0"/>
          <w:marBottom w:val="0"/>
          <w:divBdr>
            <w:top w:val="none" w:sz="0" w:space="0" w:color="auto"/>
            <w:left w:val="none" w:sz="0" w:space="0" w:color="auto"/>
            <w:bottom w:val="none" w:sz="0" w:space="0" w:color="auto"/>
            <w:right w:val="none" w:sz="0" w:space="0" w:color="auto"/>
          </w:divBdr>
        </w:div>
      </w:divsChild>
    </w:div>
    <w:div w:id="78522809">
      <w:bodyDiv w:val="1"/>
      <w:marLeft w:val="0"/>
      <w:marRight w:val="0"/>
      <w:marTop w:val="0"/>
      <w:marBottom w:val="0"/>
      <w:divBdr>
        <w:top w:val="none" w:sz="0" w:space="0" w:color="auto"/>
        <w:left w:val="none" w:sz="0" w:space="0" w:color="auto"/>
        <w:bottom w:val="none" w:sz="0" w:space="0" w:color="auto"/>
        <w:right w:val="none" w:sz="0" w:space="0" w:color="auto"/>
      </w:divBdr>
      <w:divsChild>
        <w:div w:id="1877235839">
          <w:marLeft w:val="640"/>
          <w:marRight w:val="0"/>
          <w:marTop w:val="0"/>
          <w:marBottom w:val="0"/>
          <w:divBdr>
            <w:top w:val="none" w:sz="0" w:space="0" w:color="auto"/>
            <w:left w:val="none" w:sz="0" w:space="0" w:color="auto"/>
            <w:bottom w:val="none" w:sz="0" w:space="0" w:color="auto"/>
            <w:right w:val="none" w:sz="0" w:space="0" w:color="auto"/>
          </w:divBdr>
        </w:div>
        <w:div w:id="1769538813">
          <w:marLeft w:val="640"/>
          <w:marRight w:val="0"/>
          <w:marTop w:val="0"/>
          <w:marBottom w:val="0"/>
          <w:divBdr>
            <w:top w:val="none" w:sz="0" w:space="0" w:color="auto"/>
            <w:left w:val="none" w:sz="0" w:space="0" w:color="auto"/>
            <w:bottom w:val="none" w:sz="0" w:space="0" w:color="auto"/>
            <w:right w:val="none" w:sz="0" w:space="0" w:color="auto"/>
          </w:divBdr>
        </w:div>
        <w:div w:id="2109542870">
          <w:marLeft w:val="640"/>
          <w:marRight w:val="0"/>
          <w:marTop w:val="0"/>
          <w:marBottom w:val="0"/>
          <w:divBdr>
            <w:top w:val="none" w:sz="0" w:space="0" w:color="auto"/>
            <w:left w:val="none" w:sz="0" w:space="0" w:color="auto"/>
            <w:bottom w:val="none" w:sz="0" w:space="0" w:color="auto"/>
            <w:right w:val="none" w:sz="0" w:space="0" w:color="auto"/>
          </w:divBdr>
        </w:div>
        <w:div w:id="460079990">
          <w:marLeft w:val="640"/>
          <w:marRight w:val="0"/>
          <w:marTop w:val="0"/>
          <w:marBottom w:val="0"/>
          <w:divBdr>
            <w:top w:val="none" w:sz="0" w:space="0" w:color="auto"/>
            <w:left w:val="none" w:sz="0" w:space="0" w:color="auto"/>
            <w:bottom w:val="none" w:sz="0" w:space="0" w:color="auto"/>
            <w:right w:val="none" w:sz="0" w:space="0" w:color="auto"/>
          </w:divBdr>
        </w:div>
        <w:div w:id="92285493">
          <w:marLeft w:val="640"/>
          <w:marRight w:val="0"/>
          <w:marTop w:val="0"/>
          <w:marBottom w:val="0"/>
          <w:divBdr>
            <w:top w:val="none" w:sz="0" w:space="0" w:color="auto"/>
            <w:left w:val="none" w:sz="0" w:space="0" w:color="auto"/>
            <w:bottom w:val="none" w:sz="0" w:space="0" w:color="auto"/>
            <w:right w:val="none" w:sz="0" w:space="0" w:color="auto"/>
          </w:divBdr>
        </w:div>
        <w:div w:id="1316763794">
          <w:marLeft w:val="640"/>
          <w:marRight w:val="0"/>
          <w:marTop w:val="0"/>
          <w:marBottom w:val="0"/>
          <w:divBdr>
            <w:top w:val="none" w:sz="0" w:space="0" w:color="auto"/>
            <w:left w:val="none" w:sz="0" w:space="0" w:color="auto"/>
            <w:bottom w:val="none" w:sz="0" w:space="0" w:color="auto"/>
            <w:right w:val="none" w:sz="0" w:space="0" w:color="auto"/>
          </w:divBdr>
        </w:div>
        <w:div w:id="1705206433">
          <w:marLeft w:val="640"/>
          <w:marRight w:val="0"/>
          <w:marTop w:val="0"/>
          <w:marBottom w:val="0"/>
          <w:divBdr>
            <w:top w:val="none" w:sz="0" w:space="0" w:color="auto"/>
            <w:left w:val="none" w:sz="0" w:space="0" w:color="auto"/>
            <w:bottom w:val="none" w:sz="0" w:space="0" w:color="auto"/>
            <w:right w:val="none" w:sz="0" w:space="0" w:color="auto"/>
          </w:divBdr>
        </w:div>
        <w:div w:id="1095635707">
          <w:marLeft w:val="640"/>
          <w:marRight w:val="0"/>
          <w:marTop w:val="0"/>
          <w:marBottom w:val="0"/>
          <w:divBdr>
            <w:top w:val="none" w:sz="0" w:space="0" w:color="auto"/>
            <w:left w:val="none" w:sz="0" w:space="0" w:color="auto"/>
            <w:bottom w:val="none" w:sz="0" w:space="0" w:color="auto"/>
            <w:right w:val="none" w:sz="0" w:space="0" w:color="auto"/>
          </w:divBdr>
        </w:div>
        <w:div w:id="861476674">
          <w:marLeft w:val="640"/>
          <w:marRight w:val="0"/>
          <w:marTop w:val="0"/>
          <w:marBottom w:val="0"/>
          <w:divBdr>
            <w:top w:val="none" w:sz="0" w:space="0" w:color="auto"/>
            <w:left w:val="none" w:sz="0" w:space="0" w:color="auto"/>
            <w:bottom w:val="none" w:sz="0" w:space="0" w:color="auto"/>
            <w:right w:val="none" w:sz="0" w:space="0" w:color="auto"/>
          </w:divBdr>
        </w:div>
        <w:div w:id="1068503693">
          <w:marLeft w:val="640"/>
          <w:marRight w:val="0"/>
          <w:marTop w:val="0"/>
          <w:marBottom w:val="0"/>
          <w:divBdr>
            <w:top w:val="none" w:sz="0" w:space="0" w:color="auto"/>
            <w:left w:val="none" w:sz="0" w:space="0" w:color="auto"/>
            <w:bottom w:val="none" w:sz="0" w:space="0" w:color="auto"/>
            <w:right w:val="none" w:sz="0" w:space="0" w:color="auto"/>
          </w:divBdr>
        </w:div>
        <w:div w:id="1564171531">
          <w:marLeft w:val="640"/>
          <w:marRight w:val="0"/>
          <w:marTop w:val="0"/>
          <w:marBottom w:val="0"/>
          <w:divBdr>
            <w:top w:val="none" w:sz="0" w:space="0" w:color="auto"/>
            <w:left w:val="none" w:sz="0" w:space="0" w:color="auto"/>
            <w:bottom w:val="none" w:sz="0" w:space="0" w:color="auto"/>
            <w:right w:val="none" w:sz="0" w:space="0" w:color="auto"/>
          </w:divBdr>
        </w:div>
        <w:div w:id="1072503212">
          <w:marLeft w:val="640"/>
          <w:marRight w:val="0"/>
          <w:marTop w:val="0"/>
          <w:marBottom w:val="0"/>
          <w:divBdr>
            <w:top w:val="none" w:sz="0" w:space="0" w:color="auto"/>
            <w:left w:val="none" w:sz="0" w:space="0" w:color="auto"/>
            <w:bottom w:val="none" w:sz="0" w:space="0" w:color="auto"/>
            <w:right w:val="none" w:sz="0" w:space="0" w:color="auto"/>
          </w:divBdr>
        </w:div>
      </w:divsChild>
    </w:div>
    <w:div w:id="100221073">
      <w:bodyDiv w:val="1"/>
      <w:marLeft w:val="0"/>
      <w:marRight w:val="0"/>
      <w:marTop w:val="0"/>
      <w:marBottom w:val="0"/>
      <w:divBdr>
        <w:top w:val="none" w:sz="0" w:space="0" w:color="auto"/>
        <w:left w:val="none" w:sz="0" w:space="0" w:color="auto"/>
        <w:bottom w:val="none" w:sz="0" w:space="0" w:color="auto"/>
        <w:right w:val="none" w:sz="0" w:space="0" w:color="auto"/>
      </w:divBdr>
      <w:divsChild>
        <w:div w:id="406270346">
          <w:marLeft w:val="640"/>
          <w:marRight w:val="0"/>
          <w:marTop w:val="0"/>
          <w:marBottom w:val="0"/>
          <w:divBdr>
            <w:top w:val="none" w:sz="0" w:space="0" w:color="auto"/>
            <w:left w:val="none" w:sz="0" w:space="0" w:color="auto"/>
            <w:bottom w:val="none" w:sz="0" w:space="0" w:color="auto"/>
            <w:right w:val="none" w:sz="0" w:space="0" w:color="auto"/>
          </w:divBdr>
        </w:div>
        <w:div w:id="1326663221">
          <w:marLeft w:val="640"/>
          <w:marRight w:val="0"/>
          <w:marTop w:val="0"/>
          <w:marBottom w:val="0"/>
          <w:divBdr>
            <w:top w:val="none" w:sz="0" w:space="0" w:color="auto"/>
            <w:left w:val="none" w:sz="0" w:space="0" w:color="auto"/>
            <w:bottom w:val="none" w:sz="0" w:space="0" w:color="auto"/>
            <w:right w:val="none" w:sz="0" w:space="0" w:color="auto"/>
          </w:divBdr>
        </w:div>
        <w:div w:id="662391547">
          <w:marLeft w:val="640"/>
          <w:marRight w:val="0"/>
          <w:marTop w:val="0"/>
          <w:marBottom w:val="0"/>
          <w:divBdr>
            <w:top w:val="none" w:sz="0" w:space="0" w:color="auto"/>
            <w:left w:val="none" w:sz="0" w:space="0" w:color="auto"/>
            <w:bottom w:val="none" w:sz="0" w:space="0" w:color="auto"/>
            <w:right w:val="none" w:sz="0" w:space="0" w:color="auto"/>
          </w:divBdr>
        </w:div>
        <w:div w:id="1571693682">
          <w:marLeft w:val="640"/>
          <w:marRight w:val="0"/>
          <w:marTop w:val="0"/>
          <w:marBottom w:val="0"/>
          <w:divBdr>
            <w:top w:val="none" w:sz="0" w:space="0" w:color="auto"/>
            <w:left w:val="none" w:sz="0" w:space="0" w:color="auto"/>
            <w:bottom w:val="none" w:sz="0" w:space="0" w:color="auto"/>
            <w:right w:val="none" w:sz="0" w:space="0" w:color="auto"/>
          </w:divBdr>
        </w:div>
        <w:div w:id="72120006">
          <w:marLeft w:val="640"/>
          <w:marRight w:val="0"/>
          <w:marTop w:val="0"/>
          <w:marBottom w:val="0"/>
          <w:divBdr>
            <w:top w:val="none" w:sz="0" w:space="0" w:color="auto"/>
            <w:left w:val="none" w:sz="0" w:space="0" w:color="auto"/>
            <w:bottom w:val="none" w:sz="0" w:space="0" w:color="auto"/>
            <w:right w:val="none" w:sz="0" w:space="0" w:color="auto"/>
          </w:divBdr>
        </w:div>
        <w:div w:id="1388215629">
          <w:marLeft w:val="640"/>
          <w:marRight w:val="0"/>
          <w:marTop w:val="0"/>
          <w:marBottom w:val="0"/>
          <w:divBdr>
            <w:top w:val="none" w:sz="0" w:space="0" w:color="auto"/>
            <w:left w:val="none" w:sz="0" w:space="0" w:color="auto"/>
            <w:bottom w:val="none" w:sz="0" w:space="0" w:color="auto"/>
            <w:right w:val="none" w:sz="0" w:space="0" w:color="auto"/>
          </w:divBdr>
        </w:div>
        <w:div w:id="400711361">
          <w:marLeft w:val="640"/>
          <w:marRight w:val="0"/>
          <w:marTop w:val="0"/>
          <w:marBottom w:val="0"/>
          <w:divBdr>
            <w:top w:val="none" w:sz="0" w:space="0" w:color="auto"/>
            <w:left w:val="none" w:sz="0" w:space="0" w:color="auto"/>
            <w:bottom w:val="none" w:sz="0" w:space="0" w:color="auto"/>
            <w:right w:val="none" w:sz="0" w:space="0" w:color="auto"/>
          </w:divBdr>
        </w:div>
        <w:div w:id="244269419">
          <w:marLeft w:val="640"/>
          <w:marRight w:val="0"/>
          <w:marTop w:val="0"/>
          <w:marBottom w:val="0"/>
          <w:divBdr>
            <w:top w:val="none" w:sz="0" w:space="0" w:color="auto"/>
            <w:left w:val="none" w:sz="0" w:space="0" w:color="auto"/>
            <w:bottom w:val="none" w:sz="0" w:space="0" w:color="auto"/>
            <w:right w:val="none" w:sz="0" w:space="0" w:color="auto"/>
          </w:divBdr>
        </w:div>
        <w:div w:id="40642446">
          <w:marLeft w:val="640"/>
          <w:marRight w:val="0"/>
          <w:marTop w:val="0"/>
          <w:marBottom w:val="0"/>
          <w:divBdr>
            <w:top w:val="none" w:sz="0" w:space="0" w:color="auto"/>
            <w:left w:val="none" w:sz="0" w:space="0" w:color="auto"/>
            <w:bottom w:val="none" w:sz="0" w:space="0" w:color="auto"/>
            <w:right w:val="none" w:sz="0" w:space="0" w:color="auto"/>
          </w:divBdr>
        </w:div>
        <w:div w:id="234321712">
          <w:marLeft w:val="640"/>
          <w:marRight w:val="0"/>
          <w:marTop w:val="0"/>
          <w:marBottom w:val="0"/>
          <w:divBdr>
            <w:top w:val="none" w:sz="0" w:space="0" w:color="auto"/>
            <w:left w:val="none" w:sz="0" w:space="0" w:color="auto"/>
            <w:bottom w:val="none" w:sz="0" w:space="0" w:color="auto"/>
            <w:right w:val="none" w:sz="0" w:space="0" w:color="auto"/>
          </w:divBdr>
        </w:div>
        <w:div w:id="516888503">
          <w:marLeft w:val="640"/>
          <w:marRight w:val="0"/>
          <w:marTop w:val="0"/>
          <w:marBottom w:val="0"/>
          <w:divBdr>
            <w:top w:val="none" w:sz="0" w:space="0" w:color="auto"/>
            <w:left w:val="none" w:sz="0" w:space="0" w:color="auto"/>
            <w:bottom w:val="none" w:sz="0" w:space="0" w:color="auto"/>
            <w:right w:val="none" w:sz="0" w:space="0" w:color="auto"/>
          </w:divBdr>
        </w:div>
        <w:div w:id="1357345929">
          <w:marLeft w:val="640"/>
          <w:marRight w:val="0"/>
          <w:marTop w:val="0"/>
          <w:marBottom w:val="0"/>
          <w:divBdr>
            <w:top w:val="none" w:sz="0" w:space="0" w:color="auto"/>
            <w:left w:val="none" w:sz="0" w:space="0" w:color="auto"/>
            <w:bottom w:val="none" w:sz="0" w:space="0" w:color="auto"/>
            <w:right w:val="none" w:sz="0" w:space="0" w:color="auto"/>
          </w:divBdr>
        </w:div>
        <w:div w:id="11105311">
          <w:marLeft w:val="640"/>
          <w:marRight w:val="0"/>
          <w:marTop w:val="0"/>
          <w:marBottom w:val="0"/>
          <w:divBdr>
            <w:top w:val="none" w:sz="0" w:space="0" w:color="auto"/>
            <w:left w:val="none" w:sz="0" w:space="0" w:color="auto"/>
            <w:bottom w:val="none" w:sz="0" w:space="0" w:color="auto"/>
            <w:right w:val="none" w:sz="0" w:space="0" w:color="auto"/>
          </w:divBdr>
        </w:div>
        <w:div w:id="399988934">
          <w:marLeft w:val="640"/>
          <w:marRight w:val="0"/>
          <w:marTop w:val="0"/>
          <w:marBottom w:val="0"/>
          <w:divBdr>
            <w:top w:val="none" w:sz="0" w:space="0" w:color="auto"/>
            <w:left w:val="none" w:sz="0" w:space="0" w:color="auto"/>
            <w:bottom w:val="none" w:sz="0" w:space="0" w:color="auto"/>
            <w:right w:val="none" w:sz="0" w:space="0" w:color="auto"/>
          </w:divBdr>
        </w:div>
        <w:div w:id="1795905698">
          <w:marLeft w:val="640"/>
          <w:marRight w:val="0"/>
          <w:marTop w:val="0"/>
          <w:marBottom w:val="0"/>
          <w:divBdr>
            <w:top w:val="none" w:sz="0" w:space="0" w:color="auto"/>
            <w:left w:val="none" w:sz="0" w:space="0" w:color="auto"/>
            <w:bottom w:val="none" w:sz="0" w:space="0" w:color="auto"/>
            <w:right w:val="none" w:sz="0" w:space="0" w:color="auto"/>
          </w:divBdr>
        </w:div>
        <w:div w:id="1425569381">
          <w:marLeft w:val="640"/>
          <w:marRight w:val="0"/>
          <w:marTop w:val="0"/>
          <w:marBottom w:val="0"/>
          <w:divBdr>
            <w:top w:val="none" w:sz="0" w:space="0" w:color="auto"/>
            <w:left w:val="none" w:sz="0" w:space="0" w:color="auto"/>
            <w:bottom w:val="none" w:sz="0" w:space="0" w:color="auto"/>
            <w:right w:val="none" w:sz="0" w:space="0" w:color="auto"/>
          </w:divBdr>
        </w:div>
        <w:div w:id="1368681380">
          <w:marLeft w:val="640"/>
          <w:marRight w:val="0"/>
          <w:marTop w:val="0"/>
          <w:marBottom w:val="0"/>
          <w:divBdr>
            <w:top w:val="none" w:sz="0" w:space="0" w:color="auto"/>
            <w:left w:val="none" w:sz="0" w:space="0" w:color="auto"/>
            <w:bottom w:val="none" w:sz="0" w:space="0" w:color="auto"/>
            <w:right w:val="none" w:sz="0" w:space="0" w:color="auto"/>
          </w:divBdr>
        </w:div>
        <w:div w:id="439303366">
          <w:marLeft w:val="640"/>
          <w:marRight w:val="0"/>
          <w:marTop w:val="0"/>
          <w:marBottom w:val="0"/>
          <w:divBdr>
            <w:top w:val="none" w:sz="0" w:space="0" w:color="auto"/>
            <w:left w:val="none" w:sz="0" w:space="0" w:color="auto"/>
            <w:bottom w:val="none" w:sz="0" w:space="0" w:color="auto"/>
            <w:right w:val="none" w:sz="0" w:space="0" w:color="auto"/>
          </w:divBdr>
        </w:div>
        <w:div w:id="2024043923">
          <w:marLeft w:val="640"/>
          <w:marRight w:val="0"/>
          <w:marTop w:val="0"/>
          <w:marBottom w:val="0"/>
          <w:divBdr>
            <w:top w:val="none" w:sz="0" w:space="0" w:color="auto"/>
            <w:left w:val="none" w:sz="0" w:space="0" w:color="auto"/>
            <w:bottom w:val="none" w:sz="0" w:space="0" w:color="auto"/>
            <w:right w:val="none" w:sz="0" w:space="0" w:color="auto"/>
          </w:divBdr>
        </w:div>
        <w:div w:id="253587821">
          <w:marLeft w:val="640"/>
          <w:marRight w:val="0"/>
          <w:marTop w:val="0"/>
          <w:marBottom w:val="0"/>
          <w:divBdr>
            <w:top w:val="none" w:sz="0" w:space="0" w:color="auto"/>
            <w:left w:val="none" w:sz="0" w:space="0" w:color="auto"/>
            <w:bottom w:val="none" w:sz="0" w:space="0" w:color="auto"/>
            <w:right w:val="none" w:sz="0" w:space="0" w:color="auto"/>
          </w:divBdr>
        </w:div>
        <w:div w:id="408500448">
          <w:marLeft w:val="640"/>
          <w:marRight w:val="0"/>
          <w:marTop w:val="0"/>
          <w:marBottom w:val="0"/>
          <w:divBdr>
            <w:top w:val="none" w:sz="0" w:space="0" w:color="auto"/>
            <w:left w:val="none" w:sz="0" w:space="0" w:color="auto"/>
            <w:bottom w:val="none" w:sz="0" w:space="0" w:color="auto"/>
            <w:right w:val="none" w:sz="0" w:space="0" w:color="auto"/>
          </w:divBdr>
        </w:div>
        <w:div w:id="1433210683">
          <w:marLeft w:val="640"/>
          <w:marRight w:val="0"/>
          <w:marTop w:val="0"/>
          <w:marBottom w:val="0"/>
          <w:divBdr>
            <w:top w:val="none" w:sz="0" w:space="0" w:color="auto"/>
            <w:left w:val="none" w:sz="0" w:space="0" w:color="auto"/>
            <w:bottom w:val="none" w:sz="0" w:space="0" w:color="auto"/>
            <w:right w:val="none" w:sz="0" w:space="0" w:color="auto"/>
          </w:divBdr>
        </w:div>
        <w:div w:id="495262638">
          <w:marLeft w:val="640"/>
          <w:marRight w:val="0"/>
          <w:marTop w:val="0"/>
          <w:marBottom w:val="0"/>
          <w:divBdr>
            <w:top w:val="none" w:sz="0" w:space="0" w:color="auto"/>
            <w:left w:val="none" w:sz="0" w:space="0" w:color="auto"/>
            <w:bottom w:val="none" w:sz="0" w:space="0" w:color="auto"/>
            <w:right w:val="none" w:sz="0" w:space="0" w:color="auto"/>
          </w:divBdr>
        </w:div>
        <w:div w:id="1929654370">
          <w:marLeft w:val="640"/>
          <w:marRight w:val="0"/>
          <w:marTop w:val="0"/>
          <w:marBottom w:val="0"/>
          <w:divBdr>
            <w:top w:val="none" w:sz="0" w:space="0" w:color="auto"/>
            <w:left w:val="none" w:sz="0" w:space="0" w:color="auto"/>
            <w:bottom w:val="none" w:sz="0" w:space="0" w:color="auto"/>
            <w:right w:val="none" w:sz="0" w:space="0" w:color="auto"/>
          </w:divBdr>
        </w:div>
        <w:div w:id="2086829833">
          <w:marLeft w:val="640"/>
          <w:marRight w:val="0"/>
          <w:marTop w:val="0"/>
          <w:marBottom w:val="0"/>
          <w:divBdr>
            <w:top w:val="none" w:sz="0" w:space="0" w:color="auto"/>
            <w:left w:val="none" w:sz="0" w:space="0" w:color="auto"/>
            <w:bottom w:val="none" w:sz="0" w:space="0" w:color="auto"/>
            <w:right w:val="none" w:sz="0" w:space="0" w:color="auto"/>
          </w:divBdr>
        </w:div>
        <w:div w:id="715351337">
          <w:marLeft w:val="640"/>
          <w:marRight w:val="0"/>
          <w:marTop w:val="0"/>
          <w:marBottom w:val="0"/>
          <w:divBdr>
            <w:top w:val="none" w:sz="0" w:space="0" w:color="auto"/>
            <w:left w:val="none" w:sz="0" w:space="0" w:color="auto"/>
            <w:bottom w:val="none" w:sz="0" w:space="0" w:color="auto"/>
            <w:right w:val="none" w:sz="0" w:space="0" w:color="auto"/>
          </w:divBdr>
        </w:div>
        <w:div w:id="1023438631">
          <w:marLeft w:val="640"/>
          <w:marRight w:val="0"/>
          <w:marTop w:val="0"/>
          <w:marBottom w:val="0"/>
          <w:divBdr>
            <w:top w:val="none" w:sz="0" w:space="0" w:color="auto"/>
            <w:left w:val="none" w:sz="0" w:space="0" w:color="auto"/>
            <w:bottom w:val="none" w:sz="0" w:space="0" w:color="auto"/>
            <w:right w:val="none" w:sz="0" w:space="0" w:color="auto"/>
          </w:divBdr>
        </w:div>
        <w:div w:id="174196792">
          <w:marLeft w:val="640"/>
          <w:marRight w:val="0"/>
          <w:marTop w:val="0"/>
          <w:marBottom w:val="0"/>
          <w:divBdr>
            <w:top w:val="none" w:sz="0" w:space="0" w:color="auto"/>
            <w:left w:val="none" w:sz="0" w:space="0" w:color="auto"/>
            <w:bottom w:val="none" w:sz="0" w:space="0" w:color="auto"/>
            <w:right w:val="none" w:sz="0" w:space="0" w:color="auto"/>
          </w:divBdr>
        </w:div>
        <w:div w:id="1265072743">
          <w:marLeft w:val="640"/>
          <w:marRight w:val="0"/>
          <w:marTop w:val="0"/>
          <w:marBottom w:val="0"/>
          <w:divBdr>
            <w:top w:val="none" w:sz="0" w:space="0" w:color="auto"/>
            <w:left w:val="none" w:sz="0" w:space="0" w:color="auto"/>
            <w:bottom w:val="none" w:sz="0" w:space="0" w:color="auto"/>
            <w:right w:val="none" w:sz="0" w:space="0" w:color="auto"/>
          </w:divBdr>
        </w:div>
        <w:div w:id="1792166005">
          <w:marLeft w:val="640"/>
          <w:marRight w:val="0"/>
          <w:marTop w:val="0"/>
          <w:marBottom w:val="0"/>
          <w:divBdr>
            <w:top w:val="none" w:sz="0" w:space="0" w:color="auto"/>
            <w:left w:val="none" w:sz="0" w:space="0" w:color="auto"/>
            <w:bottom w:val="none" w:sz="0" w:space="0" w:color="auto"/>
            <w:right w:val="none" w:sz="0" w:space="0" w:color="auto"/>
          </w:divBdr>
        </w:div>
        <w:div w:id="126094335">
          <w:marLeft w:val="640"/>
          <w:marRight w:val="0"/>
          <w:marTop w:val="0"/>
          <w:marBottom w:val="0"/>
          <w:divBdr>
            <w:top w:val="none" w:sz="0" w:space="0" w:color="auto"/>
            <w:left w:val="none" w:sz="0" w:space="0" w:color="auto"/>
            <w:bottom w:val="none" w:sz="0" w:space="0" w:color="auto"/>
            <w:right w:val="none" w:sz="0" w:space="0" w:color="auto"/>
          </w:divBdr>
        </w:div>
        <w:div w:id="1365252924">
          <w:marLeft w:val="640"/>
          <w:marRight w:val="0"/>
          <w:marTop w:val="0"/>
          <w:marBottom w:val="0"/>
          <w:divBdr>
            <w:top w:val="none" w:sz="0" w:space="0" w:color="auto"/>
            <w:left w:val="none" w:sz="0" w:space="0" w:color="auto"/>
            <w:bottom w:val="none" w:sz="0" w:space="0" w:color="auto"/>
            <w:right w:val="none" w:sz="0" w:space="0" w:color="auto"/>
          </w:divBdr>
        </w:div>
        <w:div w:id="463931520">
          <w:marLeft w:val="640"/>
          <w:marRight w:val="0"/>
          <w:marTop w:val="0"/>
          <w:marBottom w:val="0"/>
          <w:divBdr>
            <w:top w:val="none" w:sz="0" w:space="0" w:color="auto"/>
            <w:left w:val="none" w:sz="0" w:space="0" w:color="auto"/>
            <w:bottom w:val="none" w:sz="0" w:space="0" w:color="auto"/>
            <w:right w:val="none" w:sz="0" w:space="0" w:color="auto"/>
          </w:divBdr>
        </w:div>
        <w:div w:id="1469132494">
          <w:marLeft w:val="640"/>
          <w:marRight w:val="0"/>
          <w:marTop w:val="0"/>
          <w:marBottom w:val="0"/>
          <w:divBdr>
            <w:top w:val="none" w:sz="0" w:space="0" w:color="auto"/>
            <w:left w:val="none" w:sz="0" w:space="0" w:color="auto"/>
            <w:bottom w:val="none" w:sz="0" w:space="0" w:color="auto"/>
            <w:right w:val="none" w:sz="0" w:space="0" w:color="auto"/>
          </w:divBdr>
        </w:div>
        <w:div w:id="1045134455">
          <w:marLeft w:val="640"/>
          <w:marRight w:val="0"/>
          <w:marTop w:val="0"/>
          <w:marBottom w:val="0"/>
          <w:divBdr>
            <w:top w:val="none" w:sz="0" w:space="0" w:color="auto"/>
            <w:left w:val="none" w:sz="0" w:space="0" w:color="auto"/>
            <w:bottom w:val="none" w:sz="0" w:space="0" w:color="auto"/>
            <w:right w:val="none" w:sz="0" w:space="0" w:color="auto"/>
          </w:divBdr>
        </w:div>
        <w:div w:id="441651119">
          <w:marLeft w:val="640"/>
          <w:marRight w:val="0"/>
          <w:marTop w:val="0"/>
          <w:marBottom w:val="0"/>
          <w:divBdr>
            <w:top w:val="none" w:sz="0" w:space="0" w:color="auto"/>
            <w:left w:val="none" w:sz="0" w:space="0" w:color="auto"/>
            <w:bottom w:val="none" w:sz="0" w:space="0" w:color="auto"/>
            <w:right w:val="none" w:sz="0" w:space="0" w:color="auto"/>
          </w:divBdr>
        </w:div>
        <w:div w:id="872689644">
          <w:marLeft w:val="640"/>
          <w:marRight w:val="0"/>
          <w:marTop w:val="0"/>
          <w:marBottom w:val="0"/>
          <w:divBdr>
            <w:top w:val="none" w:sz="0" w:space="0" w:color="auto"/>
            <w:left w:val="none" w:sz="0" w:space="0" w:color="auto"/>
            <w:bottom w:val="none" w:sz="0" w:space="0" w:color="auto"/>
            <w:right w:val="none" w:sz="0" w:space="0" w:color="auto"/>
          </w:divBdr>
        </w:div>
        <w:div w:id="1618216631">
          <w:marLeft w:val="640"/>
          <w:marRight w:val="0"/>
          <w:marTop w:val="0"/>
          <w:marBottom w:val="0"/>
          <w:divBdr>
            <w:top w:val="none" w:sz="0" w:space="0" w:color="auto"/>
            <w:left w:val="none" w:sz="0" w:space="0" w:color="auto"/>
            <w:bottom w:val="none" w:sz="0" w:space="0" w:color="auto"/>
            <w:right w:val="none" w:sz="0" w:space="0" w:color="auto"/>
          </w:divBdr>
        </w:div>
        <w:div w:id="165441920">
          <w:marLeft w:val="640"/>
          <w:marRight w:val="0"/>
          <w:marTop w:val="0"/>
          <w:marBottom w:val="0"/>
          <w:divBdr>
            <w:top w:val="none" w:sz="0" w:space="0" w:color="auto"/>
            <w:left w:val="none" w:sz="0" w:space="0" w:color="auto"/>
            <w:bottom w:val="none" w:sz="0" w:space="0" w:color="auto"/>
            <w:right w:val="none" w:sz="0" w:space="0" w:color="auto"/>
          </w:divBdr>
        </w:div>
        <w:div w:id="1101031367">
          <w:marLeft w:val="640"/>
          <w:marRight w:val="0"/>
          <w:marTop w:val="0"/>
          <w:marBottom w:val="0"/>
          <w:divBdr>
            <w:top w:val="none" w:sz="0" w:space="0" w:color="auto"/>
            <w:left w:val="none" w:sz="0" w:space="0" w:color="auto"/>
            <w:bottom w:val="none" w:sz="0" w:space="0" w:color="auto"/>
            <w:right w:val="none" w:sz="0" w:space="0" w:color="auto"/>
          </w:divBdr>
        </w:div>
        <w:div w:id="1872377459">
          <w:marLeft w:val="640"/>
          <w:marRight w:val="0"/>
          <w:marTop w:val="0"/>
          <w:marBottom w:val="0"/>
          <w:divBdr>
            <w:top w:val="none" w:sz="0" w:space="0" w:color="auto"/>
            <w:left w:val="none" w:sz="0" w:space="0" w:color="auto"/>
            <w:bottom w:val="none" w:sz="0" w:space="0" w:color="auto"/>
            <w:right w:val="none" w:sz="0" w:space="0" w:color="auto"/>
          </w:divBdr>
        </w:div>
        <w:div w:id="1213494282">
          <w:marLeft w:val="640"/>
          <w:marRight w:val="0"/>
          <w:marTop w:val="0"/>
          <w:marBottom w:val="0"/>
          <w:divBdr>
            <w:top w:val="none" w:sz="0" w:space="0" w:color="auto"/>
            <w:left w:val="none" w:sz="0" w:space="0" w:color="auto"/>
            <w:bottom w:val="none" w:sz="0" w:space="0" w:color="auto"/>
            <w:right w:val="none" w:sz="0" w:space="0" w:color="auto"/>
          </w:divBdr>
        </w:div>
        <w:div w:id="525216424">
          <w:marLeft w:val="640"/>
          <w:marRight w:val="0"/>
          <w:marTop w:val="0"/>
          <w:marBottom w:val="0"/>
          <w:divBdr>
            <w:top w:val="none" w:sz="0" w:space="0" w:color="auto"/>
            <w:left w:val="none" w:sz="0" w:space="0" w:color="auto"/>
            <w:bottom w:val="none" w:sz="0" w:space="0" w:color="auto"/>
            <w:right w:val="none" w:sz="0" w:space="0" w:color="auto"/>
          </w:divBdr>
        </w:div>
        <w:div w:id="738212910">
          <w:marLeft w:val="640"/>
          <w:marRight w:val="0"/>
          <w:marTop w:val="0"/>
          <w:marBottom w:val="0"/>
          <w:divBdr>
            <w:top w:val="none" w:sz="0" w:space="0" w:color="auto"/>
            <w:left w:val="none" w:sz="0" w:space="0" w:color="auto"/>
            <w:bottom w:val="none" w:sz="0" w:space="0" w:color="auto"/>
            <w:right w:val="none" w:sz="0" w:space="0" w:color="auto"/>
          </w:divBdr>
        </w:div>
        <w:div w:id="1497262696">
          <w:marLeft w:val="640"/>
          <w:marRight w:val="0"/>
          <w:marTop w:val="0"/>
          <w:marBottom w:val="0"/>
          <w:divBdr>
            <w:top w:val="none" w:sz="0" w:space="0" w:color="auto"/>
            <w:left w:val="none" w:sz="0" w:space="0" w:color="auto"/>
            <w:bottom w:val="none" w:sz="0" w:space="0" w:color="auto"/>
            <w:right w:val="none" w:sz="0" w:space="0" w:color="auto"/>
          </w:divBdr>
        </w:div>
        <w:div w:id="1332486292">
          <w:marLeft w:val="640"/>
          <w:marRight w:val="0"/>
          <w:marTop w:val="0"/>
          <w:marBottom w:val="0"/>
          <w:divBdr>
            <w:top w:val="none" w:sz="0" w:space="0" w:color="auto"/>
            <w:left w:val="none" w:sz="0" w:space="0" w:color="auto"/>
            <w:bottom w:val="none" w:sz="0" w:space="0" w:color="auto"/>
            <w:right w:val="none" w:sz="0" w:space="0" w:color="auto"/>
          </w:divBdr>
        </w:div>
        <w:div w:id="105085563">
          <w:marLeft w:val="640"/>
          <w:marRight w:val="0"/>
          <w:marTop w:val="0"/>
          <w:marBottom w:val="0"/>
          <w:divBdr>
            <w:top w:val="none" w:sz="0" w:space="0" w:color="auto"/>
            <w:left w:val="none" w:sz="0" w:space="0" w:color="auto"/>
            <w:bottom w:val="none" w:sz="0" w:space="0" w:color="auto"/>
            <w:right w:val="none" w:sz="0" w:space="0" w:color="auto"/>
          </w:divBdr>
        </w:div>
        <w:div w:id="326137091">
          <w:marLeft w:val="640"/>
          <w:marRight w:val="0"/>
          <w:marTop w:val="0"/>
          <w:marBottom w:val="0"/>
          <w:divBdr>
            <w:top w:val="none" w:sz="0" w:space="0" w:color="auto"/>
            <w:left w:val="none" w:sz="0" w:space="0" w:color="auto"/>
            <w:bottom w:val="none" w:sz="0" w:space="0" w:color="auto"/>
            <w:right w:val="none" w:sz="0" w:space="0" w:color="auto"/>
          </w:divBdr>
        </w:div>
        <w:div w:id="349335394">
          <w:marLeft w:val="640"/>
          <w:marRight w:val="0"/>
          <w:marTop w:val="0"/>
          <w:marBottom w:val="0"/>
          <w:divBdr>
            <w:top w:val="none" w:sz="0" w:space="0" w:color="auto"/>
            <w:left w:val="none" w:sz="0" w:space="0" w:color="auto"/>
            <w:bottom w:val="none" w:sz="0" w:space="0" w:color="auto"/>
            <w:right w:val="none" w:sz="0" w:space="0" w:color="auto"/>
          </w:divBdr>
        </w:div>
        <w:div w:id="2122261575">
          <w:marLeft w:val="640"/>
          <w:marRight w:val="0"/>
          <w:marTop w:val="0"/>
          <w:marBottom w:val="0"/>
          <w:divBdr>
            <w:top w:val="none" w:sz="0" w:space="0" w:color="auto"/>
            <w:left w:val="none" w:sz="0" w:space="0" w:color="auto"/>
            <w:bottom w:val="none" w:sz="0" w:space="0" w:color="auto"/>
            <w:right w:val="none" w:sz="0" w:space="0" w:color="auto"/>
          </w:divBdr>
        </w:div>
        <w:div w:id="1616712873">
          <w:marLeft w:val="640"/>
          <w:marRight w:val="0"/>
          <w:marTop w:val="0"/>
          <w:marBottom w:val="0"/>
          <w:divBdr>
            <w:top w:val="none" w:sz="0" w:space="0" w:color="auto"/>
            <w:left w:val="none" w:sz="0" w:space="0" w:color="auto"/>
            <w:bottom w:val="none" w:sz="0" w:space="0" w:color="auto"/>
            <w:right w:val="none" w:sz="0" w:space="0" w:color="auto"/>
          </w:divBdr>
        </w:div>
        <w:div w:id="1183082496">
          <w:marLeft w:val="640"/>
          <w:marRight w:val="0"/>
          <w:marTop w:val="0"/>
          <w:marBottom w:val="0"/>
          <w:divBdr>
            <w:top w:val="none" w:sz="0" w:space="0" w:color="auto"/>
            <w:left w:val="none" w:sz="0" w:space="0" w:color="auto"/>
            <w:bottom w:val="none" w:sz="0" w:space="0" w:color="auto"/>
            <w:right w:val="none" w:sz="0" w:space="0" w:color="auto"/>
          </w:divBdr>
        </w:div>
        <w:div w:id="598366766">
          <w:marLeft w:val="640"/>
          <w:marRight w:val="0"/>
          <w:marTop w:val="0"/>
          <w:marBottom w:val="0"/>
          <w:divBdr>
            <w:top w:val="none" w:sz="0" w:space="0" w:color="auto"/>
            <w:left w:val="none" w:sz="0" w:space="0" w:color="auto"/>
            <w:bottom w:val="none" w:sz="0" w:space="0" w:color="auto"/>
            <w:right w:val="none" w:sz="0" w:space="0" w:color="auto"/>
          </w:divBdr>
        </w:div>
        <w:div w:id="135225594">
          <w:marLeft w:val="640"/>
          <w:marRight w:val="0"/>
          <w:marTop w:val="0"/>
          <w:marBottom w:val="0"/>
          <w:divBdr>
            <w:top w:val="none" w:sz="0" w:space="0" w:color="auto"/>
            <w:left w:val="none" w:sz="0" w:space="0" w:color="auto"/>
            <w:bottom w:val="none" w:sz="0" w:space="0" w:color="auto"/>
            <w:right w:val="none" w:sz="0" w:space="0" w:color="auto"/>
          </w:divBdr>
        </w:div>
        <w:div w:id="612830978">
          <w:marLeft w:val="640"/>
          <w:marRight w:val="0"/>
          <w:marTop w:val="0"/>
          <w:marBottom w:val="0"/>
          <w:divBdr>
            <w:top w:val="none" w:sz="0" w:space="0" w:color="auto"/>
            <w:left w:val="none" w:sz="0" w:space="0" w:color="auto"/>
            <w:bottom w:val="none" w:sz="0" w:space="0" w:color="auto"/>
            <w:right w:val="none" w:sz="0" w:space="0" w:color="auto"/>
          </w:divBdr>
        </w:div>
        <w:div w:id="708804105">
          <w:marLeft w:val="640"/>
          <w:marRight w:val="0"/>
          <w:marTop w:val="0"/>
          <w:marBottom w:val="0"/>
          <w:divBdr>
            <w:top w:val="none" w:sz="0" w:space="0" w:color="auto"/>
            <w:left w:val="none" w:sz="0" w:space="0" w:color="auto"/>
            <w:bottom w:val="none" w:sz="0" w:space="0" w:color="auto"/>
            <w:right w:val="none" w:sz="0" w:space="0" w:color="auto"/>
          </w:divBdr>
        </w:div>
        <w:div w:id="577590933">
          <w:marLeft w:val="640"/>
          <w:marRight w:val="0"/>
          <w:marTop w:val="0"/>
          <w:marBottom w:val="0"/>
          <w:divBdr>
            <w:top w:val="none" w:sz="0" w:space="0" w:color="auto"/>
            <w:left w:val="none" w:sz="0" w:space="0" w:color="auto"/>
            <w:bottom w:val="none" w:sz="0" w:space="0" w:color="auto"/>
            <w:right w:val="none" w:sz="0" w:space="0" w:color="auto"/>
          </w:divBdr>
        </w:div>
        <w:div w:id="529148972">
          <w:marLeft w:val="640"/>
          <w:marRight w:val="0"/>
          <w:marTop w:val="0"/>
          <w:marBottom w:val="0"/>
          <w:divBdr>
            <w:top w:val="none" w:sz="0" w:space="0" w:color="auto"/>
            <w:left w:val="none" w:sz="0" w:space="0" w:color="auto"/>
            <w:bottom w:val="none" w:sz="0" w:space="0" w:color="auto"/>
            <w:right w:val="none" w:sz="0" w:space="0" w:color="auto"/>
          </w:divBdr>
        </w:div>
        <w:div w:id="200484626">
          <w:marLeft w:val="640"/>
          <w:marRight w:val="0"/>
          <w:marTop w:val="0"/>
          <w:marBottom w:val="0"/>
          <w:divBdr>
            <w:top w:val="none" w:sz="0" w:space="0" w:color="auto"/>
            <w:left w:val="none" w:sz="0" w:space="0" w:color="auto"/>
            <w:bottom w:val="none" w:sz="0" w:space="0" w:color="auto"/>
            <w:right w:val="none" w:sz="0" w:space="0" w:color="auto"/>
          </w:divBdr>
        </w:div>
        <w:div w:id="823930869">
          <w:marLeft w:val="640"/>
          <w:marRight w:val="0"/>
          <w:marTop w:val="0"/>
          <w:marBottom w:val="0"/>
          <w:divBdr>
            <w:top w:val="none" w:sz="0" w:space="0" w:color="auto"/>
            <w:left w:val="none" w:sz="0" w:space="0" w:color="auto"/>
            <w:bottom w:val="none" w:sz="0" w:space="0" w:color="auto"/>
            <w:right w:val="none" w:sz="0" w:space="0" w:color="auto"/>
          </w:divBdr>
        </w:div>
        <w:div w:id="915895246">
          <w:marLeft w:val="640"/>
          <w:marRight w:val="0"/>
          <w:marTop w:val="0"/>
          <w:marBottom w:val="0"/>
          <w:divBdr>
            <w:top w:val="none" w:sz="0" w:space="0" w:color="auto"/>
            <w:left w:val="none" w:sz="0" w:space="0" w:color="auto"/>
            <w:bottom w:val="none" w:sz="0" w:space="0" w:color="auto"/>
            <w:right w:val="none" w:sz="0" w:space="0" w:color="auto"/>
          </w:divBdr>
        </w:div>
        <w:div w:id="1453741680">
          <w:marLeft w:val="640"/>
          <w:marRight w:val="0"/>
          <w:marTop w:val="0"/>
          <w:marBottom w:val="0"/>
          <w:divBdr>
            <w:top w:val="none" w:sz="0" w:space="0" w:color="auto"/>
            <w:left w:val="none" w:sz="0" w:space="0" w:color="auto"/>
            <w:bottom w:val="none" w:sz="0" w:space="0" w:color="auto"/>
            <w:right w:val="none" w:sz="0" w:space="0" w:color="auto"/>
          </w:divBdr>
        </w:div>
        <w:div w:id="815948135">
          <w:marLeft w:val="640"/>
          <w:marRight w:val="0"/>
          <w:marTop w:val="0"/>
          <w:marBottom w:val="0"/>
          <w:divBdr>
            <w:top w:val="none" w:sz="0" w:space="0" w:color="auto"/>
            <w:left w:val="none" w:sz="0" w:space="0" w:color="auto"/>
            <w:bottom w:val="none" w:sz="0" w:space="0" w:color="auto"/>
            <w:right w:val="none" w:sz="0" w:space="0" w:color="auto"/>
          </w:divBdr>
        </w:div>
        <w:div w:id="906643932">
          <w:marLeft w:val="640"/>
          <w:marRight w:val="0"/>
          <w:marTop w:val="0"/>
          <w:marBottom w:val="0"/>
          <w:divBdr>
            <w:top w:val="none" w:sz="0" w:space="0" w:color="auto"/>
            <w:left w:val="none" w:sz="0" w:space="0" w:color="auto"/>
            <w:bottom w:val="none" w:sz="0" w:space="0" w:color="auto"/>
            <w:right w:val="none" w:sz="0" w:space="0" w:color="auto"/>
          </w:divBdr>
        </w:div>
        <w:div w:id="749228613">
          <w:marLeft w:val="640"/>
          <w:marRight w:val="0"/>
          <w:marTop w:val="0"/>
          <w:marBottom w:val="0"/>
          <w:divBdr>
            <w:top w:val="none" w:sz="0" w:space="0" w:color="auto"/>
            <w:left w:val="none" w:sz="0" w:space="0" w:color="auto"/>
            <w:bottom w:val="none" w:sz="0" w:space="0" w:color="auto"/>
            <w:right w:val="none" w:sz="0" w:space="0" w:color="auto"/>
          </w:divBdr>
        </w:div>
        <w:div w:id="1413429473">
          <w:marLeft w:val="640"/>
          <w:marRight w:val="0"/>
          <w:marTop w:val="0"/>
          <w:marBottom w:val="0"/>
          <w:divBdr>
            <w:top w:val="none" w:sz="0" w:space="0" w:color="auto"/>
            <w:left w:val="none" w:sz="0" w:space="0" w:color="auto"/>
            <w:bottom w:val="none" w:sz="0" w:space="0" w:color="auto"/>
            <w:right w:val="none" w:sz="0" w:space="0" w:color="auto"/>
          </w:divBdr>
        </w:div>
        <w:div w:id="1905918793">
          <w:marLeft w:val="640"/>
          <w:marRight w:val="0"/>
          <w:marTop w:val="0"/>
          <w:marBottom w:val="0"/>
          <w:divBdr>
            <w:top w:val="none" w:sz="0" w:space="0" w:color="auto"/>
            <w:left w:val="none" w:sz="0" w:space="0" w:color="auto"/>
            <w:bottom w:val="none" w:sz="0" w:space="0" w:color="auto"/>
            <w:right w:val="none" w:sz="0" w:space="0" w:color="auto"/>
          </w:divBdr>
        </w:div>
        <w:div w:id="33047062">
          <w:marLeft w:val="640"/>
          <w:marRight w:val="0"/>
          <w:marTop w:val="0"/>
          <w:marBottom w:val="0"/>
          <w:divBdr>
            <w:top w:val="none" w:sz="0" w:space="0" w:color="auto"/>
            <w:left w:val="none" w:sz="0" w:space="0" w:color="auto"/>
            <w:bottom w:val="none" w:sz="0" w:space="0" w:color="auto"/>
            <w:right w:val="none" w:sz="0" w:space="0" w:color="auto"/>
          </w:divBdr>
        </w:div>
        <w:div w:id="1325932859">
          <w:marLeft w:val="640"/>
          <w:marRight w:val="0"/>
          <w:marTop w:val="0"/>
          <w:marBottom w:val="0"/>
          <w:divBdr>
            <w:top w:val="none" w:sz="0" w:space="0" w:color="auto"/>
            <w:left w:val="none" w:sz="0" w:space="0" w:color="auto"/>
            <w:bottom w:val="none" w:sz="0" w:space="0" w:color="auto"/>
            <w:right w:val="none" w:sz="0" w:space="0" w:color="auto"/>
          </w:divBdr>
        </w:div>
        <w:div w:id="1708287626">
          <w:marLeft w:val="640"/>
          <w:marRight w:val="0"/>
          <w:marTop w:val="0"/>
          <w:marBottom w:val="0"/>
          <w:divBdr>
            <w:top w:val="none" w:sz="0" w:space="0" w:color="auto"/>
            <w:left w:val="none" w:sz="0" w:space="0" w:color="auto"/>
            <w:bottom w:val="none" w:sz="0" w:space="0" w:color="auto"/>
            <w:right w:val="none" w:sz="0" w:space="0" w:color="auto"/>
          </w:divBdr>
        </w:div>
        <w:div w:id="1129325021">
          <w:marLeft w:val="640"/>
          <w:marRight w:val="0"/>
          <w:marTop w:val="0"/>
          <w:marBottom w:val="0"/>
          <w:divBdr>
            <w:top w:val="none" w:sz="0" w:space="0" w:color="auto"/>
            <w:left w:val="none" w:sz="0" w:space="0" w:color="auto"/>
            <w:bottom w:val="none" w:sz="0" w:space="0" w:color="auto"/>
            <w:right w:val="none" w:sz="0" w:space="0" w:color="auto"/>
          </w:divBdr>
        </w:div>
        <w:div w:id="2078355574">
          <w:marLeft w:val="640"/>
          <w:marRight w:val="0"/>
          <w:marTop w:val="0"/>
          <w:marBottom w:val="0"/>
          <w:divBdr>
            <w:top w:val="none" w:sz="0" w:space="0" w:color="auto"/>
            <w:left w:val="none" w:sz="0" w:space="0" w:color="auto"/>
            <w:bottom w:val="none" w:sz="0" w:space="0" w:color="auto"/>
            <w:right w:val="none" w:sz="0" w:space="0" w:color="auto"/>
          </w:divBdr>
        </w:div>
        <w:div w:id="1029793180">
          <w:marLeft w:val="640"/>
          <w:marRight w:val="0"/>
          <w:marTop w:val="0"/>
          <w:marBottom w:val="0"/>
          <w:divBdr>
            <w:top w:val="none" w:sz="0" w:space="0" w:color="auto"/>
            <w:left w:val="none" w:sz="0" w:space="0" w:color="auto"/>
            <w:bottom w:val="none" w:sz="0" w:space="0" w:color="auto"/>
            <w:right w:val="none" w:sz="0" w:space="0" w:color="auto"/>
          </w:divBdr>
        </w:div>
        <w:div w:id="459349205">
          <w:marLeft w:val="640"/>
          <w:marRight w:val="0"/>
          <w:marTop w:val="0"/>
          <w:marBottom w:val="0"/>
          <w:divBdr>
            <w:top w:val="none" w:sz="0" w:space="0" w:color="auto"/>
            <w:left w:val="none" w:sz="0" w:space="0" w:color="auto"/>
            <w:bottom w:val="none" w:sz="0" w:space="0" w:color="auto"/>
            <w:right w:val="none" w:sz="0" w:space="0" w:color="auto"/>
          </w:divBdr>
        </w:div>
        <w:div w:id="806819042">
          <w:marLeft w:val="640"/>
          <w:marRight w:val="0"/>
          <w:marTop w:val="0"/>
          <w:marBottom w:val="0"/>
          <w:divBdr>
            <w:top w:val="none" w:sz="0" w:space="0" w:color="auto"/>
            <w:left w:val="none" w:sz="0" w:space="0" w:color="auto"/>
            <w:bottom w:val="none" w:sz="0" w:space="0" w:color="auto"/>
            <w:right w:val="none" w:sz="0" w:space="0" w:color="auto"/>
          </w:divBdr>
        </w:div>
        <w:div w:id="1283682744">
          <w:marLeft w:val="640"/>
          <w:marRight w:val="0"/>
          <w:marTop w:val="0"/>
          <w:marBottom w:val="0"/>
          <w:divBdr>
            <w:top w:val="none" w:sz="0" w:space="0" w:color="auto"/>
            <w:left w:val="none" w:sz="0" w:space="0" w:color="auto"/>
            <w:bottom w:val="none" w:sz="0" w:space="0" w:color="auto"/>
            <w:right w:val="none" w:sz="0" w:space="0" w:color="auto"/>
          </w:divBdr>
        </w:div>
        <w:div w:id="147213787">
          <w:marLeft w:val="640"/>
          <w:marRight w:val="0"/>
          <w:marTop w:val="0"/>
          <w:marBottom w:val="0"/>
          <w:divBdr>
            <w:top w:val="none" w:sz="0" w:space="0" w:color="auto"/>
            <w:left w:val="none" w:sz="0" w:space="0" w:color="auto"/>
            <w:bottom w:val="none" w:sz="0" w:space="0" w:color="auto"/>
            <w:right w:val="none" w:sz="0" w:space="0" w:color="auto"/>
          </w:divBdr>
        </w:div>
        <w:div w:id="1030302212">
          <w:marLeft w:val="640"/>
          <w:marRight w:val="0"/>
          <w:marTop w:val="0"/>
          <w:marBottom w:val="0"/>
          <w:divBdr>
            <w:top w:val="none" w:sz="0" w:space="0" w:color="auto"/>
            <w:left w:val="none" w:sz="0" w:space="0" w:color="auto"/>
            <w:bottom w:val="none" w:sz="0" w:space="0" w:color="auto"/>
            <w:right w:val="none" w:sz="0" w:space="0" w:color="auto"/>
          </w:divBdr>
        </w:div>
        <w:div w:id="1927764855">
          <w:marLeft w:val="640"/>
          <w:marRight w:val="0"/>
          <w:marTop w:val="0"/>
          <w:marBottom w:val="0"/>
          <w:divBdr>
            <w:top w:val="none" w:sz="0" w:space="0" w:color="auto"/>
            <w:left w:val="none" w:sz="0" w:space="0" w:color="auto"/>
            <w:bottom w:val="none" w:sz="0" w:space="0" w:color="auto"/>
            <w:right w:val="none" w:sz="0" w:space="0" w:color="auto"/>
          </w:divBdr>
        </w:div>
        <w:div w:id="885290172">
          <w:marLeft w:val="640"/>
          <w:marRight w:val="0"/>
          <w:marTop w:val="0"/>
          <w:marBottom w:val="0"/>
          <w:divBdr>
            <w:top w:val="none" w:sz="0" w:space="0" w:color="auto"/>
            <w:left w:val="none" w:sz="0" w:space="0" w:color="auto"/>
            <w:bottom w:val="none" w:sz="0" w:space="0" w:color="auto"/>
            <w:right w:val="none" w:sz="0" w:space="0" w:color="auto"/>
          </w:divBdr>
        </w:div>
        <w:div w:id="259685826">
          <w:marLeft w:val="640"/>
          <w:marRight w:val="0"/>
          <w:marTop w:val="0"/>
          <w:marBottom w:val="0"/>
          <w:divBdr>
            <w:top w:val="none" w:sz="0" w:space="0" w:color="auto"/>
            <w:left w:val="none" w:sz="0" w:space="0" w:color="auto"/>
            <w:bottom w:val="none" w:sz="0" w:space="0" w:color="auto"/>
            <w:right w:val="none" w:sz="0" w:space="0" w:color="auto"/>
          </w:divBdr>
        </w:div>
        <w:div w:id="378019387">
          <w:marLeft w:val="640"/>
          <w:marRight w:val="0"/>
          <w:marTop w:val="0"/>
          <w:marBottom w:val="0"/>
          <w:divBdr>
            <w:top w:val="none" w:sz="0" w:space="0" w:color="auto"/>
            <w:left w:val="none" w:sz="0" w:space="0" w:color="auto"/>
            <w:bottom w:val="none" w:sz="0" w:space="0" w:color="auto"/>
            <w:right w:val="none" w:sz="0" w:space="0" w:color="auto"/>
          </w:divBdr>
        </w:div>
        <w:div w:id="1010059847">
          <w:marLeft w:val="640"/>
          <w:marRight w:val="0"/>
          <w:marTop w:val="0"/>
          <w:marBottom w:val="0"/>
          <w:divBdr>
            <w:top w:val="none" w:sz="0" w:space="0" w:color="auto"/>
            <w:left w:val="none" w:sz="0" w:space="0" w:color="auto"/>
            <w:bottom w:val="none" w:sz="0" w:space="0" w:color="auto"/>
            <w:right w:val="none" w:sz="0" w:space="0" w:color="auto"/>
          </w:divBdr>
        </w:div>
        <w:div w:id="1081753738">
          <w:marLeft w:val="640"/>
          <w:marRight w:val="0"/>
          <w:marTop w:val="0"/>
          <w:marBottom w:val="0"/>
          <w:divBdr>
            <w:top w:val="none" w:sz="0" w:space="0" w:color="auto"/>
            <w:left w:val="none" w:sz="0" w:space="0" w:color="auto"/>
            <w:bottom w:val="none" w:sz="0" w:space="0" w:color="auto"/>
            <w:right w:val="none" w:sz="0" w:space="0" w:color="auto"/>
          </w:divBdr>
        </w:div>
        <w:div w:id="1079209559">
          <w:marLeft w:val="640"/>
          <w:marRight w:val="0"/>
          <w:marTop w:val="0"/>
          <w:marBottom w:val="0"/>
          <w:divBdr>
            <w:top w:val="none" w:sz="0" w:space="0" w:color="auto"/>
            <w:left w:val="none" w:sz="0" w:space="0" w:color="auto"/>
            <w:bottom w:val="none" w:sz="0" w:space="0" w:color="auto"/>
            <w:right w:val="none" w:sz="0" w:space="0" w:color="auto"/>
          </w:divBdr>
        </w:div>
        <w:div w:id="847014688">
          <w:marLeft w:val="640"/>
          <w:marRight w:val="0"/>
          <w:marTop w:val="0"/>
          <w:marBottom w:val="0"/>
          <w:divBdr>
            <w:top w:val="none" w:sz="0" w:space="0" w:color="auto"/>
            <w:left w:val="none" w:sz="0" w:space="0" w:color="auto"/>
            <w:bottom w:val="none" w:sz="0" w:space="0" w:color="auto"/>
            <w:right w:val="none" w:sz="0" w:space="0" w:color="auto"/>
          </w:divBdr>
        </w:div>
        <w:div w:id="1010373207">
          <w:marLeft w:val="640"/>
          <w:marRight w:val="0"/>
          <w:marTop w:val="0"/>
          <w:marBottom w:val="0"/>
          <w:divBdr>
            <w:top w:val="none" w:sz="0" w:space="0" w:color="auto"/>
            <w:left w:val="none" w:sz="0" w:space="0" w:color="auto"/>
            <w:bottom w:val="none" w:sz="0" w:space="0" w:color="auto"/>
            <w:right w:val="none" w:sz="0" w:space="0" w:color="auto"/>
          </w:divBdr>
        </w:div>
        <w:div w:id="310062953">
          <w:marLeft w:val="640"/>
          <w:marRight w:val="0"/>
          <w:marTop w:val="0"/>
          <w:marBottom w:val="0"/>
          <w:divBdr>
            <w:top w:val="none" w:sz="0" w:space="0" w:color="auto"/>
            <w:left w:val="none" w:sz="0" w:space="0" w:color="auto"/>
            <w:bottom w:val="none" w:sz="0" w:space="0" w:color="auto"/>
            <w:right w:val="none" w:sz="0" w:space="0" w:color="auto"/>
          </w:divBdr>
        </w:div>
        <w:div w:id="1532838410">
          <w:marLeft w:val="640"/>
          <w:marRight w:val="0"/>
          <w:marTop w:val="0"/>
          <w:marBottom w:val="0"/>
          <w:divBdr>
            <w:top w:val="none" w:sz="0" w:space="0" w:color="auto"/>
            <w:left w:val="none" w:sz="0" w:space="0" w:color="auto"/>
            <w:bottom w:val="none" w:sz="0" w:space="0" w:color="auto"/>
            <w:right w:val="none" w:sz="0" w:space="0" w:color="auto"/>
          </w:divBdr>
        </w:div>
        <w:div w:id="878399304">
          <w:marLeft w:val="640"/>
          <w:marRight w:val="0"/>
          <w:marTop w:val="0"/>
          <w:marBottom w:val="0"/>
          <w:divBdr>
            <w:top w:val="none" w:sz="0" w:space="0" w:color="auto"/>
            <w:left w:val="none" w:sz="0" w:space="0" w:color="auto"/>
            <w:bottom w:val="none" w:sz="0" w:space="0" w:color="auto"/>
            <w:right w:val="none" w:sz="0" w:space="0" w:color="auto"/>
          </w:divBdr>
        </w:div>
        <w:div w:id="1537808779">
          <w:marLeft w:val="640"/>
          <w:marRight w:val="0"/>
          <w:marTop w:val="0"/>
          <w:marBottom w:val="0"/>
          <w:divBdr>
            <w:top w:val="none" w:sz="0" w:space="0" w:color="auto"/>
            <w:left w:val="none" w:sz="0" w:space="0" w:color="auto"/>
            <w:bottom w:val="none" w:sz="0" w:space="0" w:color="auto"/>
            <w:right w:val="none" w:sz="0" w:space="0" w:color="auto"/>
          </w:divBdr>
        </w:div>
        <w:div w:id="1279676590">
          <w:marLeft w:val="640"/>
          <w:marRight w:val="0"/>
          <w:marTop w:val="0"/>
          <w:marBottom w:val="0"/>
          <w:divBdr>
            <w:top w:val="none" w:sz="0" w:space="0" w:color="auto"/>
            <w:left w:val="none" w:sz="0" w:space="0" w:color="auto"/>
            <w:bottom w:val="none" w:sz="0" w:space="0" w:color="auto"/>
            <w:right w:val="none" w:sz="0" w:space="0" w:color="auto"/>
          </w:divBdr>
        </w:div>
        <w:div w:id="1808472264">
          <w:marLeft w:val="640"/>
          <w:marRight w:val="0"/>
          <w:marTop w:val="0"/>
          <w:marBottom w:val="0"/>
          <w:divBdr>
            <w:top w:val="none" w:sz="0" w:space="0" w:color="auto"/>
            <w:left w:val="none" w:sz="0" w:space="0" w:color="auto"/>
            <w:bottom w:val="none" w:sz="0" w:space="0" w:color="auto"/>
            <w:right w:val="none" w:sz="0" w:space="0" w:color="auto"/>
          </w:divBdr>
        </w:div>
        <w:div w:id="200478730">
          <w:marLeft w:val="640"/>
          <w:marRight w:val="0"/>
          <w:marTop w:val="0"/>
          <w:marBottom w:val="0"/>
          <w:divBdr>
            <w:top w:val="none" w:sz="0" w:space="0" w:color="auto"/>
            <w:left w:val="none" w:sz="0" w:space="0" w:color="auto"/>
            <w:bottom w:val="none" w:sz="0" w:space="0" w:color="auto"/>
            <w:right w:val="none" w:sz="0" w:space="0" w:color="auto"/>
          </w:divBdr>
        </w:div>
        <w:div w:id="173765335">
          <w:marLeft w:val="640"/>
          <w:marRight w:val="0"/>
          <w:marTop w:val="0"/>
          <w:marBottom w:val="0"/>
          <w:divBdr>
            <w:top w:val="none" w:sz="0" w:space="0" w:color="auto"/>
            <w:left w:val="none" w:sz="0" w:space="0" w:color="auto"/>
            <w:bottom w:val="none" w:sz="0" w:space="0" w:color="auto"/>
            <w:right w:val="none" w:sz="0" w:space="0" w:color="auto"/>
          </w:divBdr>
        </w:div>
        <w:div w:id="583683050">
          <w:marLeft w:val="640"/>
          <w:marRight w:val="0"/>
          <w:marTop w:val="0"/>
          <w:marBottom w:val="0"/>
          <w:divBdr>
            <w:top w:val="none" w:sz="0" w:space="0" w:color="auto"/>
            <w:left w:val="none" w:sz="0" w:space="0" w:color="auto"/>
            <w:bottom w:val="none" w:sz="0" w:space="0" w:color="auto"/>
            <w:right w:val="none" w:sz="0" w:space="0" w:color="auto"/>
          </w:divBdr>
        </w:div>
        <w:div w:id="1235580402">
          <w:marLeft w:val="640"/>
          <w:marRight w:val="0"/>
          <w:marTop w:val="0"/>
          <w:marBottom w:val="0"/>
          <w:divBdr>
            <w:top w:val="none" w:sz="0" w:space="0" w:color="auto"/>
            <w:left w:val="none" w:sz="0" w:space="0" w:color="auto"/>
            <w:bottom w:val="none" w:sz="0" w:space="0" w:color="auto"/>
            <w:right w:val="none" w:sz="0" w:space="0" w:color="auto"/>
          </w:divBdr>
        </w:div>
        <w:div w:id="1872842804">
          <w:marLeft w:val="640"/>
          <w:marRight w:val="0"/>
          <w:marTop w:val="0"/>
          <w:marBottom w:val="0"/>
          <w:divBdr>
            <w:top w:val="none" w:sz="0" w:space="0" w:color="auto"/>
            <w:left w:val="none" w:sz="0" w:space="0" w:color="auto"/>
            <w:bottom w:val="none" w:sz="0" w:space="0" w:color="auto"/>
            <w:right w:val="none" w:sz="0" w:space="0" w:color="auto"/>
          </w:divBdr>
        </w:div>
        <w:div w:id="2024475970">
          <w:marLeft w:val="640"/>
          <w:marRight w:val="0"/>
          <w:marTop w:val="0"/>
          <w:marBottom w:val="0"/>
          <w:divBdr>
            <w:top w:val="none" w:sz="0" w:space="0" w:color="auto"/>
            <w:left w:val="none" w:sz="0" w:space="0" w:color="auto"/>
            <w:bottom w:val="none" w:sz="0" w:space="0" w:color="auto"/>
            <w:right w:val="none" w:sz="0" w:space="0" w:color="auto"/>
          </w:divBdr>
        </w:div>
        <w:div w:id="622883500">
          <w:marLeft w:val="640"/>
          <w:marRight w:val="0"/>
          <w:marTop w:val="0"/>
          <w:marBottom w:val="0"/>
          <w:divBdr>
            <w:top w:val="none" w:sz="0" w:space="0" w:color="auto"/>
            <w:left w:val="none" w:sz="0" w:space="0" w:color="auto"/>
            <w:bottom w:val="none" w:sz="0" w:space="0" w:color="auto"/>
            <w:right w:val="none" w:sz="0" w:space="0" w:color="auto"/>
          </w:divBdr>
        </w:div>
        <w:div w:id="1230388987">
          <w:marLeft w:val="640"/>
          <w:marRight w:val="0"/>
          <w:marTop w:val="0"/>
          <w:marBottom w:val="0"/>
          <w:divBdr>
            <w:top w:val="none" w:sz="0" w:space="0" w:color="auto"/>
            <w:left w:val="none" w:sz="0" w:space="0" w:color="auto"/>
            <w:bottom w:val="none" w:sz="0" w:space="0" w:color="auto"/>
            <w:right w:val="none" w:sz="0" w:space="0" w:color="auto"/>
          </w:divBdr>
        </w:div>
        <w:div w:id="276832453">
          <w:marLeft w:val="640"/>
          <w:marRight w:val="0"/>
          <w:marTop w:val="0"/>
          <w:marBottom w:val="0"/>
          <w:divBdr>
            <w:top w:val="none" w:sz="0" w:space="0" w:color="auto"/>
            <w:left w:val="none" w:sz="0" w:space="0" w:color="auto"/>
            <w:bottom w:val="none" w:sz="0" w:space="0" w:color="auto"/>
            <w:right w:val="none" w:sz="0" w:space="0" w:color="auto"/>
          </w:divBdr>
        </w:div>
        <w:div w:id="1974403917">
          <w:marLeft w:val="640"/>
          <w:marRight w:val="0"/>
          <w:marTop w:val="0"/>
          <w:marBottom w:val="0"/>
          <w:divBdr>
            <w:top w:val="none" w:sz="0" w:space="0" w:color="auto"/>
            <w:left w:val="none" w:sz="0" w:space="0" w:color="auto"/>
            <w:bottom w:val="none" w:sz="0" w:space="0" w:color="auto"/>
            <w:right w:val="none" w:sz="0" w:space="0" w:color="auto"/>
          </w:divBdr>
        </w:div>
        <w:div w:id="686910062">
          <w:marLeft w:val="640"/>
          <w:marRight w:val="0"/>
          <w:marTop w:val="0"/>
          <w:marBottom w:val="0"/>
          <w:divBdr>
            <w:top w:val="none" w:sz="0" w:space="0" w:color="auto"/>
            <w:left w:val="none" w:sz="0" w:space="0" w:color="auto"/>
            <w:bottom w:val="none" w:sz="0" w:space="0" w:color="auto"/>
            <w:right w:val="none" w:sz="0" w:space="0" w:color="auto"/>
          </w:divBdr>
        </w:div>
        <w:div w:id="1005009587">
          <w:marLeft w:val="640"/>
          <w:marRight w:val="0"/>
          <w:marTop w:val="0"/>
          <w:marBottom w:val="0"/>
          <w:divBdr>
            <w:top w:val="none" w:sz="0" w:space="0" w:color="auto"/>
            <w:left w:val="none" w:sz="0" w:space="0" w:color="auto"/>
            <w:bottom w:val="none" w:sz="0" w:space="0" w:color="auto"/>
            <w:right w:val="none" w:sz="0" w:space="0" w:color="auto"/>
          </w:divBdr>
        </w:div>
        <w:div w:id="1249578985">
          <w:marLeft w:val="640"/>
          <w:marRight w:val="0"/>
          <w:marTop w:val="0"/>
          <w:marBottom w:val="0"/>
          <w:divBdr>
            <w:top w:val="none" w:sz="0" w:space="0" w:color="auto"/>
            <w:left w:val="none" w:sz="0" w:space="0" w:color="auto"/>
            <w:bottom w:val="none" w:sz="0" w:space="0" w:color="auto"/>
            <w:right w:val="none" w:sz="0" w:space="0" w:color="auto"/>
          </w:divBdr>
        </w:div>
        <w:div w:id="533423973">
          <w:marLeft w:val="640"/>
          <w:marRight w:val="0"/>
          <w:marTop w:val="0"/>
          <w:marBottom w:val="0"/>
          <w:divBdr>
            <w:top w:val="none" w:sz="0" w:space="0" w:color="auto"/>
            <w:left w:val="none" w:sz="0" w:space="0" w:color="auto"/>
            <w:bottom w:val="none" w:sz="0" w:space="0" w:color="auto"/>
            <w:right w:val="none" w:sz="0" w:space="0" w:color="auto"/>
          </w:divBdr>
        </w:div>
        <w:div w:id="1461142774">
          <w:marLeft w:val="640"/>
          <w:marRight w:val="0"/>
          <w:marTop w:val="0"/>
          <w:marBottom w:val="0"/>
          <w:divBdr>
            <w:top w:val="none" w:sz="0" w:space="0" w:color="auto"/>
            <w:left w:val="none" w:sz="0" w:space="0" w:color="auto"/>
            <w:bottom w:val="none" w:sz="0" w:space="0" w:color="auto"/>
            <w:right w:val="none" w:sz="0" w:space="0" w:color="auto"/>
          </w:divBdr>
        </w:div>
        <w:div w:id="1715537421">
          <w:marLeft w:val="640"/>
          <w:marRight w:val="0"/>
          <w:marTop w:val="0"/>
          <w:marBottom w:val="0"/>
          <w:divBdr>
            <w:top w:val="none" w:sz="0" w:space="0" w:color="auto"/>
            <w:left w:val="none" w:sz="0" w:space="0" w:color="auto"/>
            <w:bottom w:val="none" w:sz="0" w:space="0" w:color="auto"/>
            <w:right w:val="none" w:sz="0" w:space="0" w:color="auto"/>
          </w:divBdr>
        </w:div>
        <w:div w:id="379479043">
          <w:marLeft w:val="640"/>
          <w:marRight w:val="0"/>
          <w:marTop w:val="0"/>
          <w:marBottom w:val="0"/>
          <w:divBdr>
            <w:top w:val="none" w:sz="0" w:space="0" w:color="auto"/>
            <w:left w:val="none" w:sz="0" w:space="0" w:color="auto"/>
            <w:bottom w:val="none" w:sz="0" w:space="0" w:color="auto"/>
            <w:right w:val="none" w:sz="0" w:space="0" w:color="auto"/>
          </w:divBdr>
        </w:div>
        <w:div w:id="596014595">
          <w:marLeft w:val="640"/>
          <w:marRight w:val="0"/>
          <w:marTop w:val="0"/>
          <w:marBottom w:val="0"/>
          <w:divBdr>
            <w:top w:val="none" w:sz="0" w:space="0" w:color="auto"/>
            <w:left w:val="none" w:sz="0" w:space="0" w:color="auto"/>
            <w:bottom w:val="none" w:sz="0" w:space="0" w:color="auto"/>
            <w:right w:val="none" w:sz="0" w:space="0" w:color="auto"/>
          </w:divBdr>
        </w:div>
        <w:div w:id="1659111113">
          <w:marLeft w:val="640"/>
          <w:marRight w:val="0"/>
          <w:marTop w:val="0"/>
          <w:marBottom w:val="0"/>
          <w:divBdr>
            <w:top w:val="none" w:sz="0" w:space="0" w:color="auto"/>
            <w:left w:val="none" w:sz="0" w:space="0" w:color="auto"/>
            <w:bottom w:val="none" w:sz="0" w:space="0" w:color="auto"/>
            <w:right w:val="none" w:sz="0" w:space="0" w:color="auto"/>
          </w:divBdr>
        </w:div>
        <w:div w:id="1991010874">
          <w:marLeft w:val="640"/>
          <w:marRight w:val="0"/>
          <w:marTop w:val="0"/>
          <w:marBottom w:val="0"/>
          <w:divBdr>
            <w:top w:val="none" w:sz="0" w:space="0" w:color="auto"/>
            <w:left w:val="none" w:sz="0" w:space="0" w:color="auto"/>
            <w:bottom w:val="none" w:sz="0" w:space="0" w:color="auto"/>
            <w:right w:val="none" w:sz="0" w:space="0" w:color="auto"/>
          </w:divBdr>
        </w:div>
        <w:div w:id="480974265">
          <w:marLeft w:val="640"/>
          <w:marRight w:val="0"/>
          <w:marTop w:val="0"/>
          <w:marBottom w:val="0"/>
          <w:divBdr>
            <w:top w:val="none" w:sz="0" w:space="0" w:color="auto"/>
            <w:left w:val="none" w:sz="0" w:space="0" w:color="auto"/>
            <w:bottom w:val="none" w:sz="0" w:space="0" w:color="auto"/>
            <w:right w:val="none" w:sz="0" w:space="0" w:color="auto"/>
          </w:divBdr>
        </w:div>
        <w:div w:id="139736148">
          <w:marLeft w:val="640"/>
          <w:marRight w:val="0"/>
          <w:marTop w:val="0"/>
          <w:marBottom w:val="0"/>
          <w:divBdr>
            <w:top w:val="none" w:sz="0" w:space="0" w:color="auto"/>
            <w:left w:val="none" w:sz="0" w:space="0" w:color="auto"/>
            <w:bottom w:val="none" w:sz="0" w:space="0" w:color="auto"/>
            <w:right w:val="none" w:sz="0" w:space="0" w:color="auto"/>
          </w:divBdr>
        </w:div>
        <w:div w:id="1345740806">
          <w:marLeft w:val="640"/>
          <w:marRight w:val="0"/>
          <w:marTop w:val="0"/>
          <w:marBottom w:val="0"/>
          <w:divBdr>
            <w:top w:val="none" w:sz="0" w:space="0" w:color="auto"/>
            <w:left w:val="none" w:sz="0" w:space="0" w:color="auto"/>
            <w:bottom w:val="none" w:sz="0" w:space="0" w:color="auto"/>
            <w:right w:val="none" w:sz="0" w:space="0" w:color="auto"/>
          </w:divBdr>
        </w:div>
        <w:div w:id="553470585">
          <w:marLeft w:val="640"/>
          <w:marRight w:val="0"/>
          <w:marTop w:val="0"/>
          <w:marBottom w:val="0"/>
          <w:divBdr>
            <w:top w:val="none" w:sz="0" w:space="0" w:color="auto"/>
            <w:left w:val="none" w:sz="0" w:space="0" w:color="auto"/>
            <w:bottom w:val="none" w:sz="0" w:space="0" w:color="auto"/>
            <w:right w:val="none" w:sz="0" w:space="0" w:color="auto"/>
          </w:divBdr>
        </w:div>
        <w:div w:id="1639410705">
          <w:marLeft w:val="640"/>
          <w:marRight w:val="0"/>
          <w:marTop w:val="0"/>
          <w:marBottom w:val="0"/>
          <w:divBdr>
            <w:top w:val="none" w:sz="0" w:space="0" w:color="auto"/>
            <w:left w:val="none" w:sz="0" w:space="0" w:color="auto"/>
            <w:bottom w:val="none" w:sz="0" w:space="0" w:color="auto"/>
            <w:right w:val="none" w:sz="0" w:space="0" w:color="auto"/>
          </w:divBdr>
        </w:div>
        <w:div w:id="1975872257">
          <w:marLeft w:val="640"/>
          <w:marRight w:val="0"/>
          <w:marTop w:val="0"/>
          <w:marBottom w:val="0"/>
          <w:divBdr>
            <w:top w:val="none" w:sz="0" w:space="0" w:color="auto"/>
            <w:left w:val="none" w:sz="0" w:space="0" w:color="auto"/>
            <w:bottom w:val="none" w:sz="0" w:space="0" w:color="auto"/>
            <w:right w:val="none" w:sz="0" w:space="0" w:color="auto"/>
          </w:divBdr>
        </w:div>
        <w:div w:id="1365323706">
          <w:marLeft w:val="640"/>
          <w:marRight w:val="0"/>
          <w:marTop w:val="0"/>
          <w:marBottom w:val="0"/>
          <w:divBdr>
            <w:top w:val="none" w:sz="0" w:space="0" w:color="auto"/>
            <w:left w:val="none" w:sz="0" w:space="0" w:color="auto"/>
            <w:bottom w:val="none" w:sz="0" w:space="0" w:color="auto"/>
            <w:right w:val="none" w:sz="0" w:space="0" w:color="auto"/>
          </w:divBdr>
        </w:div>
        <w:div w:id="1591769658">
          <w:marLeft w:val="640"/>
          <w:marRight w:val="0"/>
          <w:marTop w:val="0"/>
          <w:marBottom w:val="0"/>
          <w:divBdr>
            <w:top w:val="none" w:sz="0" w:space="0" w:color="auto"/>
            <w:left w:val="none" w:sz="0" w:space="0" w:color="auto"/>
            <w:bottom w:val="none" w:sz="0" w:space="0" w:color="auto"/>
            <w:right w:val="none" w:sz="0" w:space="0" w:color="auto"/>
          </w:divBdr>
        </w:div>
        <w:div w:id="576670103">
          <w:marLeft w:val="640"/>
          <w:marRight w:val="0"/>
          <w:marTop w:val="0"/>
          <w:marBottom w:val="0"/>
          <w:divBdr>
            <w:top w:val="none" w:sz="0" w:space="0" w:color="auto"/>
            <w:left w:val="none" w:sz="0" w:space="0" w:color="auto"/>
            <w:bottom w:val="none" w:sz="0" w:space="0" w:color="auto"/>
            <w:right w:val="none" w:sz="0" w:space="0" w:color="auto"/>
          </w:divBdr>
        </w:div>
        <w:div w:id="1891765639">
          <w:marLeft w:val="640"/>
          <w:marRight w:val="0"/>
          <w:marTop w:val="0"/>
          <w:marBottom w:val="0"/>
          <w:divBdr>
            <w:top w:val="none" w:sz="0" w:space="0" w:color="auto"/>
            <w:left w:val="none" w:sz="0" w:space="0" w:color="auto"/>
            <w:bottom w:val="none" w:sz="0" w:space="0" w:color="auto"/>
            <w:right w:val="none" w:sz="0" w:space="0" w:color="auto"/>
          </w:divBdr>
        </w:div>
        <w:div w:id="747536054">
          <w:marLeft w:val="640"/>
          <w:marRight w:val="0"/>
          <w:marTop w:val="0"/>
          <w:marBottom w:val="0"/>
          <w:divBdr>
            <w:top w:val="none" w:sz="0" w:space="0" w:color="auto"/>
            <w:left w:val="none" w:sz="0" w:space="0" w:color="auto"/>
            <w:bottom w:val="none" w:sz="0" w:space="0" w:color="auto"/>
            <w:right w:val="none" w:sz="0" w:space="0" w:color="auto"/>
          </w:divBdr>
        </w:div>
        <w:div w:id="221335069">
          <w:marLeft w:val="640"/>
          <w:marRight w:val="0"/>
          <w:marTop w:val="0"/>
          <w:marBottom w:val="0"/>
          <w:divBdr>
            <w:top w:val="none" w:sz="0" w:space="0" w:color="auto"/>
            <w:left w:val="none" w:sz="0" w:space="0" w:color="auto"/>
            <w:bottom w:val="none" w:sz="0" w:space="0" w:color="auto"/>
            <w:right w:val="none" w:sz="0" w:space="0" w:color="auto"/>
          </w:divBdr>
        </w:div>
        <w:div w:id="323583479">
          <w:marLeft w:val="640"/>
          <w:marRight w:val="0"/>
          <w:marTop w:val="0"/>
          <w:marBottom w:val="0"/>
          <w:divBdr>
            <w:top w:val="none" w:sz="0" w:space="0" w:color="auto"/>
            <w:left w:val="none" w:sz="0" w:space="0" w:color="auto"/>
            <w:bottom w:val="none" w:sz="0" w:space="0" w:color="auto"/>
            <w:right w:val="none" w:sz="0" w:space="0" w:color="auto"/>
          </w:divBdr>
        </w:div>
        <w:div w:id="582836057">
          <w:marLeft w:val="640"/>
          <w:marRight w:val="0"/>
          <w:marTop w:val="0"/>
          <w:marBottom w:val="0"/>
          <w:divBdr>
            <w:top w:val="none" w:sz="0" w:space="0" w:color="auto"/>
            <w:left w:val="none" w:sz="0" w:space="0" w:color="auto"/>
            <w:bottom w:val="none" w:sz="0" w:space="0" w:color="auto"/>
            <w:right w:val="none" w:sz="0" w:space="0" w:color="auto"/>
          </w:divBdr>
        </w:div>
        <w:div w:id="1919746651">
          <w:marLeft w:val="640"/>
          <w:marRight w:val="0"/>
          <w:marTop w:val="0"/>
          <w:marBottom w:val="0"/>
          <w:divBdr>
            <w:top w:val="none" w:sz="0" w:space="0" w:color="auto"/>
            <w:left w:val="none" w:sz="0" w:space="0" w:color="auto"/>
            <w:bottom w:val="none" w:sz="0" w:space="0" w:color="auto"/>
            <w:right w:val="none" w:sz="0" w:space="0" w:color="auto"/>
          </w:divBdr>
        </w:div>
        <w:div w:id="1237738724">
          <w:marLeft w:val="640"/>
          <w:marRight w:val="0"/>
          <w:marTop w:val="0"/>
          <w:marBottom w:val="0"/>
          <w:divBdr>
            <w:top w:val="none" w:sz="0" w:space="0" w:color="auto"/>
            <w:left w:val="none" w:sz="0" w:space="0" w:color="auto"/>
            <w:bottom w:val="none" w:sz="0" w:space="0" w:color="auto"/>
            <w:right w:val="none" w:sz="0" w:space="0" w:color="auto"/>
          </w:divBdr>
        </w:div>
        <w:div w:id="1604994082">
          <w:marLeft w:val="640"/>
          <w:marRight w:val="0"/>
          <w:marTop w:val="0"/>
          <w:marBottom w:val="0"/>
          <w:divBdr>
            <w:top w:val="none" w:sz="0" w:space="0" w:color="auto"/>
            <w:left w:val="none" w:sz="0" w:space="0" w:color="auto"/>
            <w:bottom w:val="none" w:sz="0" w:space="0" w:color="auto"/>
            <w:right w:val="none" w:sz="0" w:space="0" w:color="auto"/>
          </w:divBdr>
        </w:div>
        <w:div w:id="516509224">
          <w:marLeft w:val="640"/>
          <w:marRight w:val="0"/>
          <w:marTop w:val="0"/>
          <w:marBottom w:val="0"/>
          <w:divBdr>
            <w:top w:val="none" w:sz="0" w:space="0" w:color="auto"/>
            <w:left w:val="none" w:sz="0" w:space="0" w:color="auto"/>
            <w:bottom w:val="none" w:sz="0" w:space="0" w:color="auto"/>
            <w:right w:val="none" w:sz="0" w:space="0" w:color="auto"/>
          </w:divBdr>
        </w:div>
        <w:div w:id="654839071">
          <w:marLeft w:val="640"/>
          <w:marRight w:val="0"/>
          <w:marTop w:val="0"/>
          <w:marBottom w:val="0"/>
          <w:divBdr>
            <w:top w:val="none" w:sz="0" w:space="0" w:color="auto"/>
            <w:left w:val="none" w:sz="0" w:space="0" w:color="auto"/>
            <w:bottom w:val="none" w:sz="0" w:space="0" w:color="auto"/>
            <w:right w:val="none" w:sz="0" w:space="0" w:color="auto"/>
          </w:divBdr>
        </w:div>
      </w:divsChild>
    </w:div>
    <w:div w:id="114569417">
      <w:bodyDiv w:val="1"/>
      <w:marLeft w:val="0"/>
      <w:marRight w:val="0"/>
      <w:marTop w:val="0"/>
      <w:marBottom w:val="0"/>
      <w:divBdr>
        <w:top w:val="none" w:sz="0" w:space="0" w:color="auto"/>
        <w:left w:val="none" w:sz="0" w:space="0" w:color="auto"/>
        <w:bottom w:val="none" w:sz="0" w:space="0" w:color="auto"/>
        <w:right w:val="none" w:sz="0" w:space="0" w:color="auto"/>
      </w:divBdr>
      <w:divsChild>
        <w:div w:id="1190990010">
          <w:marLeft w:val="640"/>
          <w:marRight w:val="0"/>
          <w:marTop w:val="0"/>
          <w:marBottom w:val="0"/>
          <w:divBdr>
            <w:top w:val="none" w:sz="0" w:space="0" w:color="auto"/>
            <w:left w:val="none" w:sz="0" w:space="0" w:color="auto"/>
            <w:bottom w:val="none" w:sz="0" w:space="0" w:color="auto"/>
            <w:right w:val="none" w:sz="0" w:space="0" w:color="auto"/>
          </w:divBdr>
        </w:div>
        <w:div w:id="801769077">
          <w:marLeft w:val="640"/>
          <w:marRight w:val="0"/>
          <w:marTop w:val="0"/>
          <w:marBottom w:val="0"/>
          <w:divBdr>
            <w:top w:val="none" w:sz="0" w:space="0" w:color="auto"/>
            <w:left w:val="none" w:sz="0" w:space="0" w:color="auto"/>
            <w:bottom w:val="none" w:sz="0" w:space="0" w:color="auto"/>
            <w:right w:val="none" w:sz="0" w:space="0" w:color="auto"/>
          </w:divBdr>
        </w:div>
        <w:div w:id="627004832">
          <w:marLeft w:val="640"/>
          <w:marRight w:val="0"/>
          <w:marTop w:val="0"/>
          <w:marBottom w:val="0"/>
          <w:divBdr>
            <w:top w:val="none" w:sz="0" w:space="0" w:color="auto"/>
            <w:left w:val="none" w:sz="0" w:space="0" w:color="auto"/>
            <w:bottom w:val="none" w:sz="0" w:space="0" w:color="auto"/>
            <w:right w:val="none" w:sz="0" w:space="0" w:color="auto"/>
          </w:divBdr>
        </w:div>
        <w:div w:id="905383384">
          <w:marLeft w:val="640"/>
          <w:marRight w:val="0"/>
          <w:marTop w:val="0"/>
          <w:marBottom w:val="0"/>
          <w:divBdr>
            <w:top w:val="none" w:sz="0" w:space="0" w:color="auto"/>
            <w:left w:val="none" w:sz="0" w:space="0" w:color="auto"/>
            <w:bottom w:val="none" w:sz="0" w:space="0" w:color="auto"/>
            <w:right w:val="none" w:sz="0" w:space="0" w:color="auto"/>
          </w:divBdr>
        </w:div>
        <w:div w:id="765342994">
          <w:marLeft w:val="640"/>
          <w:marRight w:val="0"/>
          <w:marTop w:val="0"/>
          <w:marBottom w:val="0"/>
          <w:divBdr>
            <w:top w:val="none" w:sz="0" w:space="0" w:color="auto"/>
            <w:left w:val="none" w:sz="0" w:space="0" w:color="auto"/>
            <w:bottom w:val="none" w:sz="0" w:space="0" w:color="auto"/>
            <w:right w:val="none" w:sz="0" w:space="0" w:color="auto"/>
          </w:divBdr>
        </w:div>
        <w:div w:id="40328551">
          <w:marLeft w:val="640"/>
          <w:marRight w:val="0"/>
          <w:marTop w:val="0"/>
          <w:marBottom w:val="0"/>
          <w:divBdr>
            <w:top w:val="none" w:sz="0" w:space="0" w:color="auto"/>
            <w:left w:val="none" w:sz="0" w:space="0" w:color="auto"/>
            <w:bottom w:val="none" w:sz="0" w:space="0" w:color="auto"/>
            <w:right w:val="none" w:sz="0" w:space="0" w:color="auto"/>
          </w:divBdr>
        </w:div>
        <w:div w:id="1410152585">
          <w:marLeft w:val="640"/>
          <w:marRight w:val="0"/>
          <w:marTop w:val="0"/>
          <w:marBottom w:val="0"/>
          <w:divBdr>
            <w:top w:val="none" w:sz="0" w:space="0" w:color="auto"/>
            <w:left w:val="none" w:sz="0" w:space="0" w:color="auto"/>
            <w:bottom w:val="none" w:sz="0" w:space="0" w:color="auto"/>
            <w:right w:val="none" w:sz="0" w:space="0" w:color="auto"/>
          </w:divBdr>
        </w:div>
        <w:div w:id="619645871">
          <w:marLeft w:val="640"/>
          <w:marRight w:val="0"/>
          <w:marTop w:val="0"/>
          <w:marBottom w:val="0"/>
          <w:divBdr>
            <w:top w:val="none" w:sz="0" w:space="0" w:color="auto"/>
            <w:left w:val="none" w:sz="0" w:space="0" w:color="auto"/>
            <w:bottom w:val="none" w:sz="0" w:space="0" w:color="auto"/>
            <w:right w:val="none" w:sz="0" w:space="0" w:color="auto"/>
          </w:divBdr>
        </w:div>
        <w:div w:id="1226334703">
          <w:marLeft w:val="640"/>
          <w:marRight w:val="0"/>
          <w:marTop w:val="0"/>
          <w:marBottom w:val="0"/>
          <w:divBdr>
            <w:top w:val="none" w:sz="0" w:space="0" w:color="auto"/>
            <w:left w:val="none" w:sz="0" w:space="0" w:color="auto"/>
            <w:bottom w:val="none" w:sz="0" w:space="0" w:color="auto"/>
            <w:right w:val="none" w:sz="0" w:space="0" w:color="auto"/>
          </w:divBdr>
        </w:div>
        <w:div w:id="1273056147">
          <w:marLeft w:val="640"/>
          <w:marRight w:val="0"/>
          <w:marTop w:val="0"/>
          <w:marBottom w:val="0"/>
          <w:divBdr>
            <w:top w:val="none" w:sz="0" w:space="0" w:color="auto"/>
            <w:left w:val="none" w:sz="0" w:space="0" w:color="auto"/>
            <w:bottom w:val="none" w:sz="0" w:space="0" w:color="auto"/>
            <w:right w:val="none" w:sz="0" w:space="0" w:color="auto"/>
          </w:divBdr>
        </w:div>
        <w:div w:id="718213069">
          <w:marLeft w:val="640"/>
          <w:marRight w:val="0"/>
          <w:marTop w:val="0"/>
          <w:marBottom w:val="0"/>
          <w:divBdr>
            <w:top w:val="none" w:sz="0" w:space="0" w:color="auto"/>
            <w:left w:val="none" w:sz="0" w:space="0" w:color="auto"/>
            <w:bottom w:val="none" w:sz="0" w:space="0" w:color="auto"/>
            <w:right w:val="none" w:sz="0" w:space="0" w:color="auto"/>
          </w:divBdr>
        </w:div>
        <w:div w:id="102581729">
          <w:marLeft w:val="640"/>
          <w:marRight w:val="0"/>
          <w:marTop w:val="0"/>
          <w:marBottom w:val="0"/>
          <w:divBdr>
            <w:top w:val="none" w:sz="0" w:space="0" w:color="auto"/>
            <w:left w:val="none" w:sz="0" w:space="0" w:color="auto"/>
            <w:bottom w:val="none" w:sz="0" w:space="0" w:color="auto"/>
            <w:right w:val="none" w:sz="0" w:space="0" w:color="auto"/>
          </w:divBdr>
        </w:div>
        <w:div w:id="1406955766">
          <w:marLeft w:val="640"/>
          <w:marRight w:val="0"/>
          <w:marTop w:val="0"/>
          <w:marBottom w:val="0"/>
          <w:divBdr>
            <w:top w:val="none" w:sz="0" w:space="0" w:color="auto"/>
            <w:left w:val="none" w:sz="0" w:space="0" w:color="auto"/>
            <w:bottom w:val="none" w:sz="0" w:space="0" w:color="auto"/>
            <w:right w:val="none" w:sz="0" w:space="0" w:color="auto"/>
          </w:divBdr>
        </w:div>
        <w:div w:id="1257860816">
          <w:marLeft w:val="640"/>
          <w:marRight w:val="0"/>
          <w:marTop w:val="0"/>
          <w:marBottom w:val="0"/>
          <w:divBdr>
            <w:top w:val="none" w:sz="0" w:space="0" w:color="auto"/>
            <w:left w:val="none" w:sz="0" w:space="0" w:color="auto"/>
            <w:bottom w:val="none" w:sz="0" w:space="0" w:color="auto"/>
            <w:right w:val="none" w:sz="0" w:space="0" w:color="auto"/>
          </w:divBdr>
        </w:div>
        <w:div w:id="1810126851">
          <w:marLeft w:val="640"/>
          <w:marRight w:val="0"/>
          <w:marTop w:val="0"/>
          <w:marBottom w:val="0"/>
          <w:divBdr>
            <w:top w:val="none" w:sz="0" w:space="0" w:color="auto"/>
            <w:left w:val="none" w:sz="0" w:space="0" w:color="auto"/>
            <w:bottom w:val="none" w:sz="0" w:space="0" w:color="auto"/>
            <w:right w:val="none" w:sz="0" w:space="0" w:color="auto"/>
          </w:divBdr>
        </w:div>
        <w:div w:id="1690330418">
          <w:marLeft w:val="640"/>
          <w:marRight w:val="0"/>
          <w:marTop w:val="0"/>
          <w:marBottom w:val="0"/>
          <w:divBdr>
            <w:top w:val="none" w:sz="0" w:space="0" w:color="auto"/>
            <w:left w:val="none" w:sz="0" w:space="0" w:color="auto"/>
            <w:bottom w:val="none" w:sz="0" w:space="0" w:color="auto"/>
            <w:right w:val="none" w:sz="0" w:space="0" w:color="auto"/>
          </w:divBdr>
        </w:div>
        <w:div w:id="1741977706">
          <w:marLeft w:val="640"/>
          <w:marRight w:val="0"/>
          <w:marTop w:val="0"/>
          <w:marBottom w:val="0"/>
          <w:divBdr>
            <w:top w:val="none" w:sz="0" w:space="0" w:color="auto"/>
            <w:left w:val="none" w:sz="0" w:space="0" w:color="auto"/>
            <w:bottom w:val="none" w:sz="0" w:space="0" w:color="auto"/>
            <w:right w:val="none" w:sz="0" w:space="0" w:color="auto"/>
          </w:divBdr>
        </w:div>
        <w:div w:id="1052192157">
          <w:marLeft w:val="640"/>
          <w:marRight w:val="0"/>
          <w:marTop w:val="0"/>
          <w:marBottom w:val="0"/>
          <w:divBdr>
            <w:top w:val="none" w:sz="0" w:space="0" w:color="auto"/>
            <w:left w:val="none" w:sz="0" w:space="0" w:color="auto"/>
            <w:bottom w:val="none" w:sz="0" w:space="0" w:color="auto"/>
            <w:right w:val="none" w:sz="0" w:space="0" w:color="auto"/>
          </w:divBdr>
        </w:div>
        <w:div w:id="1375887569">
          <w:marLeft w:val="640"/>
          <w:marRight w:val="0"/>
          <w:marTop w:val="0"/>
          <w:marBottom w:val="0"/>
          <w:divBdr>
            <w:top w:val="none" w:sz="0" w:space="0" w:color="auto"/>
            <w:left w:val="none" w:sz="0" w:space="0" w:color="auto"/>
            <w:bottom w:val="none" w:sz="0" w:space="0" w:color="auto"/>
            <w:right w:val="none" w:sz="0" w:space="0" w:color="auto"/>
          </w:divBdr>
        </w:div>
        <w:div w:id="1376812685">
          <w:marLeft w:val="640"/>
          <w:marRight w:val="0"/>
          <w:marTop w:val="0"/>
          <w:marBottom w:val="0"/>
          <w:divBdr>
            <w:top w:val="none" w:sz="0" w:space="0" w:color="auto"/>
            <w:left w:val="none" w:sz="0" w:space="0" w:color="auto"/>
            <w:bottom w:val="none" w:sz="0" w:space="0" w:color="auto"/>
            <w:right w:val="none" w:sz="0" w:space="0" w:color="auto"/>
          </w:divBdr>
        </w:div>
        <w:div w:id="692152710">
          <w:marLeft w:val="640"/>
          <w:marRight w:val="0"/>
          <w:marTop w:val="0"/>
          <w:marBottom w:val="0"/>
          <w:divBdr>
            <w:top w:val="none" w:sz="0" w:space="0" w:color="auto"/>
            <w:left w:val="none" w:sz="0" w:space="0" w:color="auto"/>
            <w:bottom w:val="none" w:sz="0" w:space="0" w:color="auto"/>
            <w:right w:val="none" w:sz="0" w:space="0" w:color="auto"/>
          </w:divBdr>
        </w:div>
        <w:div w:id="1988582666">
          <w:marLeft w:val="640"/>
          <w:marRight w:val="0"/>
          <w:marTop w:val="0"/>
          <w:marBottom w:val="0"/>
          <w:divBdr>
            <w:top w:val="none" w:sz="0" w:space="0" w:color="auto"/>
            <w:left w:val="none" w:sz="0" w:space="0" w:color="auto"/>
            <w:bottom w:val="none" w:sz="0" w:space="0" w:color="auto"/>
            <w:right w:val="none" w:sz="0" w:space="0" w:color="auto"/>
          </w:divBdr>
        </w:div>
        <w:div w:id="1011177392">
          <w:marLeft w:val="640"/>
          <w:marRight w:val="0"/>
          <w:marTop w:val="0"/>
          <w:marBottom w:val="0"/>
          <w:divBdr>
            <w:top w:val="none" w:sz="0" w:space="0" w:color="auto"/>
            <w:left w:val="none" w:sz="0" w:space="0" w:color="auto"/>
            <w:bottom w:val="none" w:sz="0" w:space="0" w:color="auto"/>
            <w:right w:val="none" w:sz="0" w:space="0" w:color="auto"/>
          </w:divBdr>
        </w:div>
        <w:div w:id="1451704054">
          <w:marLeft w:val="640"/>
          <w:marRight w:val="0"/>
          <w:marTop w:val="0"/>
          <w:marBottom w:val="0"/>
          <w:divBdr>
            <w:top w:val="none" w:sz="0" w:space="0" w:color="auto"/>
            <w:left w:val="none" w:sz="0" w:space="0" w:color="auto"/>
            <w:bottom w:val="none" w:sz="0" w:space="0" w:color="auto"/>
            <w:right w:val="none" w:sz="0" w:space="0" w:color="auto"/>
          </w:divBdr>
        </w:div>
        <w:div w:id="614993133">
          <w:marLeft w:val="640"/>
          <w:marRight w:val="0"/>
          <w:marTop w:val="0"/>
          <w:marBottom w:val="0"/>
          <w:divBdr>
            <w:top w:val="none" w:sz="0" w:space="0" w:color="auto"/>
            <w:left w:val="none" w:sz="0" w:space="0" w:color="auto"/>
            <w:bottom w:val="none" w:sz="0" w:space="0" w:color="auto"/>
            <w:right w:val="none" w:sz="0" w:space="0" w:color="auto"/>
          </w:divBdr>
        </w:div>
        <w:div w:id="1920483620">
          <w:marLeft w:val="640"/>
          <w:marRight w:val="0"/>
          <w:marTop w:val="0"/>
          <w:marBottom w:val="0"/>
          <w:divBdr>
            <w:top w:val="none" w:sz="0" w:space="0" w:color="auto"/>
            <w:left w:val="none" w:sz="0" w:space="0" w:color="auto"/>
            <w:bottom w:val="none" w:sz="0" w:space="0" w:color="auto"/>
            <w:right w:val="none" w:sz="0" w:space="0" w:color="auto"/>
          </w:divBdr>
        </w:div>
        <w:div w:id="1679232839">
          <w:marLeft w:val="640"/>
          <w:marRight w:val="0"/>
          <w:marTop w:val="0"/>
          <w:marBottom w:val="0"/>
          <w:divBdr>
            <w:top w:val="none" w:sz="0" w:space="0" w:color="auto"/>
            <w:left w:val="none" w:sz="0" w:space="0" w:color="auto"/>
            <w:bottom w:val="none" w:sz="0" w:space="0" w:color="auto"/>
            <w:right w:val="none" w:sz="0" w:space="0" w:color="auto"/>
          </w:divBdr>
        </w:div>
        <w:div w:id="1385256446">
          <w:marLeft w:val="640"/>
          <w:marRight w:val="0"/>
          <w:marTop w:val="0"/>
          <w:marBottom w:val="0"/>
          <w:divBdr>
            <w:top w:val="none" w:sz="0" w:space="0" w:color="auto"/>
            <w:left w:val="none" w:sz="0" w:space="0" w:color="auto"/>
            <w:bottom w:val="none" w:sz="0" w:space="0" w:color="auto"/>
            <w:right w:val="none" w:sz="0" w:space="0" w:color="auto"/>
          </w:divBdr>
        </w:div>
        <w:div w:id="1465153858">
          <w:marLeft w:val="640"/>
          <w:marRight w:val="0"/>
          <w:marTop w:val="0"/>
          <w:marBottom w:val="0"/>
          <w:divBdr>
            <w:top w:val="none" w:sz="0" w:space="0" w:color="auto"/>
            <w:left w:val="none" w:sz="0" w:space="0" w:color="auto"/>
            <w:bottom w:val="none" w:sz="0" w:space="0" w:color="auto"/>
            <w:right w:val="none" w:sz="0" w:space="0" w:color="auto"/>
          </w:divBdr>
        </w:div>
        <w:div w:id="242423076">
          <w:marLeft w:val="640"/>
          <w:marRight w:val="0"/>
          <w:marTop w:val="0"/>
          <w:marBottom w:val="0"/>
          <w:divBdr>
            <w:top w:val="none" w:sz="0" w:space="0" w:color="auto"/>
            <w:left w:val="none" w:sz="0" w:space="0" w:color="auto"/>
            <w:bottom w:val="none" w:sz="0" w:space="0" w:color="auto"/>
            <w:right w:val="none" w:sz="0" w:space="0" w:color="auto"/>
          </w:divBdr>
        </w:div>
        <w:div w:id="1716389673">
          <w:marLeft w:val="640"/>
          <w:marRight w:val="0"/>
          <w:marTop w:val="0"/>
          <w:marBottom w:val="0"/>
          <w:divBdr>
            <w:top w:val="none" w:sz="0" w:space="0" w:color="auto"/>
            <w:left w:val="none" w:sz="0" w:space="0" w:color="auto"/>
            <w:bottom w:val="none" w:sz="0" w:space="0" w:color="auto"/>
            <w:right w:val="none" w:sz="0" w:space="0" w:color="auto"/>
          </w:divBdr>
        </w:div>
        <w:div w:id="1236085363">
          <w:marLeft w:val="640"/>
          <w:marRight w:val="0"/>
          <w:marTop w:val="0"/>
          <w:marBottom w:val="0"/>
          <w:divBdr>
            <w:top w:val="none" w:sz="0" w:space="0" w:color="auto"/>
            <w:left w:val="none" w:sz="0" w:space="0" w:color="auto"/>
            <w:bottom w:val="none" w:sz="0" w:space="0" w:color="auto"/>
            <w:right w:val="none" w:sz="0" w:space="0" w:color="auto"/>
          </w:divBdr>
        </w:div>
        <w:div w:id="1459765800">
          <w:marLeft w:val="640"/>
          <w:marRight w:val="0"/>
          <w:marTop w:val="0"/>
          <w:marBottom w:val="0"/>
          <w:divBdr>
            <w:top w:val="none" w:sz="0" w:space="0" w:color="auto"/>
            <w:left w:val="none" w:sz="0" w:space="0" w:color="auto"/>
            <w:bottom w:val="none" w:sz="0" w:space="0" w:color="auto"/>
            <w:right w:val="none" w:sz="0" w:space="0" w:color="auto"/>
          </w:divBdr>
        </w:div>
        <w:div w:id="283465986">
          <w:marLeft w:val="640"/>
          <w:marRight w:val="0"/>
          <w:marTop w:val="0"/>
          <w:marBottom w:val="0"/>
          <w:divBdr>
            <w:top w:val="none" w:sz="0" w:space="0" w:color="auto"/>
            <w:left w:val="none" w:sz="0" w:space="0" w:color="auto"/>
            <w:bottom w:val="none" w:sz="0" w:space="0" w:color="auto"/>
            <w:right w:val="none" w:sz="0" w:space="0" w:color="auto"/>
          </w:divBdr>
        </w:div>
        <w:div w:id="1736321605">
          <w:marLeft w:val="640"/>
          <w:marRight w:val="0"/>
          <w:marTop w:val="0"/>
          <w:marBottom w:val="0"/>
          <w:divBdr>
            <w:top w:val="none" w:sz="0" w:space="0" w:color="auto"/>
            <w:left w:val="none" w:sz="0" w:space="0" w:color="auto"/>
            <w:bottom w:val="none" w:sz="0" w:space="0" w:color="auto"/>
            <w:right w:val="none" w:sz="0" w:space="0" w:color="auto"/>
          </w:divBdr>
        </w:div>
        <w:div w:id="1831210711">
          <w:marLeft w:val="640"/>
          <w:marRight w:val="0"/>
          <w:marTop w:val="0"/>
          <w:marBottom w:val="0"/>
          <w:divBdr>
            <w:top w:val="none" w:sz="0" w:space="0" w:color="auto"/>
            <w:left w:val="none" w:sz="0" w:space="0" w:color="auto"/>
            <w:bottom w:val="none" w:sz="0" w:space="0" w:color="auto"/>
            <w:right w:val="none" w:sz="0" w:space="0" w:color="auto"/>
          </w:divBdr>
        </w:div>
        <w:div w:id="615674394">
          <w:marLeft w:val="640"/>
          <w:marRight w:val="0"/>
          <w:marTop w:val="0"/>
          <w:marBottom w:val="0"/>
          <w:divBdr>
            <w:top w:val="none" w:sz="0" w:space="0" w:color="auto"/>
            <w:left w:val="none" w:sz="0" w:space="0" w:color="auto"/>
            <w:bottom w:val="none" w:sz="0" w:space="0" w:color="auto"/>
            <w:right w:val="none" w:sz="0" w:space="0" w:color="auto"/>
          </w:divBdr>
        </w:div>
        <w:div w:id="258299049">
          <w:marLeft w:val="640"/>
          <w:marRight w:val="0"/>
          <w:marTop w:val="0"/>
          <w:marBottom w:val="0"/>
          <w:divBdr>
            <w:top w:val="none" w:sz="0" w:space="0" w:color="auto"/>
            <w:left w:val="none" w:sz="0" w:space="0" w:color="auto"/>
            <w:bottom w:val="none" w:sz="0" w:space="0" w:color="auto"/>
            <w:right w:val="none" w:sz="0" w:space="0" w:color="auto"/>
          </w:divBdr>
        </w:div>
        <w:div w:id="1828129384">
          <w:marLeft w:val="640"/>
          <w:marRight w:val="0"/>
          <w:marTop w:val="0"/>
          <w:marBottom w:val="0"/>
          <w:divBdr>
            <w:top w:val="none" w:sz="0" w:space="0" w:color="auto"/>
            <w:left w:val="none" w:sz="0" w:space="0" w:color="auto"/>
            <w:bottom w:val="none" w:sz="0" w:space="0" w:color="auto"/>
            <w:right w:val="none" w:sz="0" w:space="0" w:color="auto"/>
          </w:divBdr>
        </w:div>
        <w:div w:id="2082480734">
          <w:marLeft w:val="640"/>
          <w:marRight w:val="0"/>
          <w:marTop w:val="0"/>
          <w:marBottom w:val="0"/>
          <w:divBdr>
            <w:top w:val="none" w:sz="0" w:space="0" w:color="auto"/>
            <w:left w:val="none" w:sz="0" w:space="0" w:color="auto"/>
            <w:bottom w:val="none" w:sz="0" w:space="0" w:color="auto"/>
            <w:right w:val="none" w:sz="0" w:space="0" w:color="auto"/>
          </w:divBdr>
        </w:div>
        <w:div w:id="2052723528">
          <w:marLeft w:val="640"/>
          <w:marRight w:val="0"/>
          <w:marTop w:val="0"/>
          <w:marBottom w:val="0"/>
          <w:divBdr>
            <w:top w:val="none" w:sz="0" w:space="0" w:color="auto"/>
            <w:left w:val="none" w:sz="0" w:space="0" w:color="auto"/>
            <w:bottom w:val="none" w:sz="0" w:space="0" w:color="auto"/>
            <w:right w:val="none" w:sz="0" w:space="0" w:color="auto"/>
          </w:divBdr>
        </w:div>
        <w:div w:id="385183007">
          <w:marLeft w:val="640"/>
          <w:marRight w:val="0"/>
          <w:marTop w:val="0"/>
          <w:marBottom w:val="0"/>
          <w:divBdr>
            <w:top w:val="none" w:sz="0" w:space="0" w:color="auto"/>
            <w:left w:val="none" w:sz="0" w:space="0" w:color="auto"/>
            <w:bottom w:val="none" w:sz="0" w:space="0" w:color="auto"/>
            <w:right w:val="none" w:sz="0" w:space="0" w:color="auto"/>
          </w:divBdr>
        </w:div>
        <w:div w:id="1163620901">
          <w:marLeft w:val="640"/>
          <w:marRight w:val="0"/>
          <w:marTop w:val="0"/>
          <w:marBottom w:val="0"/>
          <w:divBdr>
            <w:top w:val="none" w:sz="0" w:space="0" w:color="auto"/>
            <w:left w:val="none" w:sz="0" w:space="0" w:color="auto"/>
            <w:bottom w:val="none" w:sz="0" w:space="0" w:color="auto"/>
            <w:right w:val="none" w:sz="0" w:space="0" w:color="auto"/>
          </w:divBdr>
        </w:div>
        <w:div w:id="1891568902">
          <w:marLeft w:val="640"/>
          <w:marRight w:val="0"/>
          <w:marTop w:val="0"/>
          <w:marBottom w:val="0"/>
          <w:divBdr>
            <w:top w:val="none" w:sz="0" w:space="0" w:color="auto"/>
            <w:left w:val="none" w:sz="0" w:space="0" w:color="auto"/>
            <w:bottom w:val="none" w:sz="0" w:space="0" w:color="auto"/>
            <w:right w:val="none" w:sz="0" w:space="0" w:color="auto"/>
          </w:divBdr>
        </w:div>
        <w:div w:id="1950428796">
          <w:marLeft w:val="640"/>
          <w:marRight w:val="0"/>
          <w:marTop w:val="0"/>
          <w:marBottom w:val="0"/>
          <w:divBdr>
            <w:top w:val="none" w:sz="0" w:space="0" w:color="auto"/>
            <w:left w:val="none" w:sz="0" w:space="0" w:color="auto"/>
            <w:bottom w:val="none" w:sz="0" w:space="0" w:color="auto"/>
            <w:right w:val="none" w:sz="0" w:space="0" w:color="auto"/>
          </w:divBdr>
        </w:div>
        <w:div w:id="697241211">
          <w:marLeft w:val="640"/>
          <w:marRight w:val="0"/>
          <w:marTop w:val="0"/>
          <w:marBottom w:val="0"/>
          <w:divBdr>
            <w:top w:val="none" w:sz="0" w:space="0" w:color="auto"/>
            <w:left w:val="none" w:sz="0" w:space="0" w:color="auto"/>
            <w:bottom w:val="none" w:sz="0" w:space="0" w:color="auto"/>
            <w:right w:val="none" w:sz="0" w:space="0" w:color="auto"/>
          </w:divBdr>
        </w:div>
        <w:div w:id="1446000155">
          <w:marLeft w:val="640"/>
          <w:marRight w:val="0"/>
          <w:marTop w:val="0"/>
          <w:marBottom w:val="0"/>
          <w:divBdr>
            <w:top w:val="none" w:sz="0" w:space="0" w:color="auto"/>
            <w:left w:val="none" w:sz="0" w:space="0" w:color="auto"/>
            <w:bottom w:val="none" w:sz="0" w:space="0" w:color="auto"/>
            <w:right w:val="none" w:sz="0" w:space="0" w:color="auto"/>
          </w:divBdr>
        </w:div>
        <w:div w:id="1976787306">
          <w:marLeft w:val="640"/>
          <w:marRight w:val="0"/>
          <w:marTop w:val="0"/>
          <w:marBottom w:val="0"/>
          <w:divBdr>
            <w:top w:val="none" w:sz="0" w:space="0" w:color="auto"/>
            <w:left w:val="none" w:sz="0" w:space="0" w:color="auto"/>
            <w:bottom w:val="none" w:sz="0" w:space="0" w:color="auto"/>
            <w:right w:val="none" w:sz="0" w:space="0" w:color="auto"/>
          </w:divBdr>
        </w:div>
        <w:div w:id="1497921097">
          <w:marLeft w:val="640"/>
          <w:marRight w:val="0"/>
          <w:marTop w:val="0"/>
          <w:marBottom w:val="0"/>
          <w:divBdr>
            <w:top w:val="none" w:sz="0" w:space="0" w:color="auto"/>
            <w:left w:val="none" w:sz="0" w:space="0" w:color="auto"/>
            <w:bottom w:val="none" w:sz="0" w:space="0" w:color="auto"/>
            <w:right w:val="none" w:sz="0" w:space="0" w:color="auto"/>
          </w:divBdr>
        </w:div>
        <w:div w:id="1291865917">
          <w:marLeft w:val="640"/>
          <w:marRight w:val="0"/>
          <w:marTop w:val="0"/>
          <w:marBottom w:val="0"/>
          <w:divBdr>
            <w:top w:val="none" w:sz="0" w:space="0" w:color="auto"/>
            <w:left w:val="none" w:sz="0" w:space="0" w:color="auto"/>
            <w:bottom w:val="none" w:sz="0" w:space="0" w:color="auto"/>
            <w:right w:val="none" w:sz="0" w:space="0" w:color="auto"/>
          </w:divBdr>
        </w:div>
        <w:div w:id="164639772">
          <w:marLeft w:val="640"/>
          <w:marRight w:val="0"/>
          <w:marTop w:val="0"/>
          <w:marBottom w:val="0"/>
          <w:divBdr>
            <w:top w:val="none" w:sz="0" w:space="0" w:color="auto"/>
            <w:left w:val="none" w:sz="0" w:space="0" w:color="auto"/>
            <w:bottom w:val="none" w:sz="0" w:space="0" w:color="auto"/>
            <w:right w:val="none" w:sz="0" w:space="0" w:color="auto"/>
          </w:divBdr>
        </w:div>
        <w:div w:id="369494330">
          <w:marLeft w:val="640"/>
          <w:marRight w:val="0"/>
          <w:marTop w:val="0"/>
          <w:marBottom w:val="0"/>
          <w:divBdr>
            <w:top w:val="none" w:sz="0" w:space="0" w:color="auto"/>
            <w:left w:val="none" w:sz="0" w:space="0" w:color="auto"/>
            <w:bottom w:val="none" w:sz="0" w:space="0" w:color="auto"/>
            <w:right w:val="none" w:sz="0" w:space="0" w:color="auto"/>
          </w:divBdr>
        </w:div>
        <w:div w:id="701980571">
          <w:marLeft w:val="640"/>
          <w:marRight w:val="0"/>
          <w:marTop w:val="0"/>
          <w:marBottom w:val="0"/>
          <w:divBdr>
            <w:top w:val="none" w:sz="0" w:space="0" w:color="auto"/>
            <w:left w:val="none" w:sz="0" w:space="0" w:color="auto"/>
            <w:bottom w:val="none" w:sz="0" w:space="0" w:color="auto"/>
            <w:right w:val="none" w:sz="0" w:space="0" w:color="auto"/>
          </w:divBdr>
        </w:div>
        <w:div w:id="413475954">
          <w:marLeft w:val="640"/>
          <w:marRight w:val="0"/>
          <w:marTop w:val="0"/>
          <w:marBottom w:val="0"/>
          <w:divBdr>
            <w:top w:val="none" w:sz="0" w:space="0" w:color="auto"/>
            <w:left w:val="none" w:sz="0" w:space="0" w:color="auto"/>
            <w:bottom w:val="none" w:sz="0" w:space="0" w:color="auto"/>
            <w:right w:val="none" w:sz="0" w:space="0" w:color="auto"/>
          </w:divBdr>
        </w:div>
        <w:div w:id="1788936635">
          <w:marLeft w:val="640"/>
          <w:marRight w:val="0"/>
          <w:marTop w:val="0"/>
          <w:marBottom w:val="0"/>
          <w:divBdr>
            <w:top w:val="none" w:sz="0" w:space="0" w:color="auto"/>
            <w:left w:val="none" w:sz="0" w:space="0" w:color="auto"/>
            <w:bottom w:val="none" w:sz="0" w:space="0" w:color="auto"/>
            <w:right w:val="none" w:sz="0" w:space="0" w:color="auto"/>
          </w:divBdr>
        </w:div>
        <w:div w:id="993141681">
          <w:marLeft w:val="640"/>
          <w:marRight w:val="0"/>
          <w:marTop w:val="0"/>
          <w:marBottom w:val="0"/>
          <w:divBdr>
            <w:top w:val="none" w:sz="0" w:space="0" w:color="auto"/>
            <w:left w:val="none" w:sz="0" w:space="0" w:color="auto"/>
            <w:bottom w:val="none" w:sz="0" w:space="0" w:color="auto"/>
            <w:right w:val="none" w:sz="0" w:space="0" w:color="auto"/>
          </w:divBdr>
        </w:div>
        <w:div w:id="2124879991">
          <w:marLeft w:val="640"/>
          <w:marRight w:val="0"/>
          <w:marTop w:val="0"/>
          <w:marBottom w:val="0"/>
          <w:divBdr>
            <w:top w:val="none" w:sz="0" w:space="0" w:color="auto"/>
            <w:left w:val="none" w:sz="0" w:space="0" w:color="auto"/>
            <w:bottom w:val="none" w:sz="0" w:space="0" w:color="auto"/>
            <w:right w:val="none" w:sz="0" w:space="0" w:color="auto"/>
          </w:divBdr>
        </w:div>
        <w:div w:id="422579739">
          <w:marLeft w:val="640"/>
          <w:marRight w:val="0"/>
          <w:marTop w:val="0"/>
          <w:marBottom w:val="0"/>
          <w:divBdr>
            <w:top w:val="none" w:sz="0" w:space="0" w:color="auto"/>
            <w:left w:val="none" w:sz="0" w:space="0" w:color="auto"/>
            <w:bottom w:val="none" w:sz="0" w:space="0" w:color="auto"/>
            <w:right w:val="none" w:sz="0" w:space="0" w:color="auto"/>
          </w:divBdr>
        </w:div>
        <w:div w:id="559096204">
          <w:marLeft w:val="640"/>
          <w:marRight w:val="0"/>
          <w:marTop w:val="0"/>
          <w:marBottom w:val="0"/>
          <w:divBdr>
            <w:top w:val="none" w:sz="0" w:space="0" w:color="auto"/>
            <w:left w:val="none" w:sz="0" w:space="0" w:color="auto"/>
            <w:bottom w:val="none" w:sz="0" w:space="0" w:color="auto"/>
            <w:right w:val="none" w:sz="0" w:space="0" w:color="auto"/>
          </w:divBdr>
        </w:div>
        <w:div w:id="1657762675">
          <w:marLeft w:val="640"/>
          <w:marRight w:val="0"/>
          <w:marTop w:val="0"/>
          <w:marBottom w:val="0"/>
          <w:divBdr>
            <w:top w:val="none" w:sz="0" w:space="0" w:color="auto"/>
            <w:left w:val="none" w:sz="0" w:space="0" w:color="auto"/>
            <w:bottom w:val="none" w:sz="0" w:space="0" w:color="auto"/>
            <w:right w:val="none" w:sz="0" w:space="0" w:color="auto"/>
          </w:divBdr>
        </w:div>
        <w:div w:id="308679498">
          <w:marLeft w:val="640"/>
          <w:marRight w:val="0"/>
          <w:marTop w:val="0"/>
          <w:marBottom w:val="0"/>
          <w:divBdr>
            <w:top w:val="none" w:sz="0" w:space="0" w:color="auto"/>
            <w:left w:val="none" w:sz="0" w:space="0" w:color="auto"/>
            <w:bottom w:val="none" w:sz="0" w:space="0" w:color="auto"/>
            <w:right w:val="none" w:sz="0" w:space="0" w:color="auto"/>
          </w:divBdr>
        </w:div>
        <w:div w:id="1591426591">
          <w:marLeft w:val="640"/>
          <w:marRight w:val="0"/>
          <w:marTop w:val="0"/>
          <w:marBottom w:val="0"/>
          <w:divBdr>
            <w:top w:val="none" w:sz="0" w:space="0" w:color="auto"/>
            <w:left w:val="none" w:sz="0" w:space="0" w:color="auto"/>
            <w:bottom w:val="none" w:sz="0" w:space="0" w:color="auto"/>
            <w:right w:val="none" w:sz="0" w:space="0" w:color="auto"/>
          </w:divBdr>
        </w:div>
        <w:div w:id="1324309762">
          <w:marLeft w:val="640"/>
          <w:marRight w:val="0"/>
          <w:marTop w:val="0"/>
          <w:marBottom w:val="0"/>
          <w:divBdr>
            <w:top w:val="none" w:sz="0" w:space="0" w:color="auto"/>
            <w:left w:val="none" w:sz="0" w:space="0" w:color="auto"/>
            <w:bottom w:val="none" w:sz="0" w:space="0" w:color="auto"/>
            <w:right w:val="none" w:sz="0" w:space="0" w:color="auto"/>
          </w:divBdr>
        </w:div>
        <w:div w:id="397636227">
          <w:marLeft w:val="640"/>
          <w:marRight w:val="0"/>
          <w:marTop w:val="0"/>
          <w:marBottom w:val="0"/>
          <w:divBdr>
            <w:top w:val="none" w:sz="0" w:space="0" w:color="auto"/>
            <w:left w:val="none" w:sz="0" w:space="0" w:color="auto"/>
            <w:bottom w:val="none" w:sz="0" w:space="0" w:color="auto"/>
            <w:right w:val="none" w:sz="0" w:space="0" w:color="auto"/>
          </w:divBdr>
        </w:div>
        <w:div w:id="1822765585">
          <w:marLeft w:val="640"/>
          <w:marRight w:val="0"/>
          <w:marTop w:val="0"/>
          <w:marBottom w:val="0"/>
          <w:divBdr>
            <w:top w:val="none" w:sz="0" w:space="0" w:color="auto"/>
            <w:left w:val="none" w:sz="0" w:space="0" w:color="auto"/>
            <w:bottom w:val="none" w:sz="0" w:space="0" w:color="auto"/>
            <w:right w:val="none" w:sz="0" w:space="0" w:color="auto"/>
          </w:divBdr>
        </w:div>
        <w:div w:id="1447188357">
          <w:marLeft w:val="640"/>
          <w:marRight w:val="0"/>
          <w:marTop w:val="0"/>
          <w:marBottom w:val="0"/>
          <w:divBdr>
            <w:top w:val="none" w:sz="0" w:space="0" w:color="auto"/>
            <w:left w:val="none" w:sz="0" w:space="0" w:color="auto"/>
            <w:bottom w:val="none" w:sz="0" w:space="0" w:color="auto"/>
            <w:right w:val="none" w:sz="0" w:space="0" w:color="auto"/>
          </w:divBdr>
        </w:div>
        <w:div w:id="1206285383">
          <w:marLeft w:val="640"/>
          <w:marRight w:val="0"/>
          <w:marTop w:val="0"/>
          <w:marBottom w:val="0"/>
          <w:divBdr>
            <w:top w:val="none" w:sz="0" w:space="0" w:color="auto"/>
            <w:left w:val="none" w:sz="0" w:space="0" w:color="auto"/>
            <w:bottom w:val="none" w:sz="0" w:space="0" w:color="auto"/>
            <w:right w:val="none" w:sz="0" w:space="0" w:color="auto"/>
          </w:divBdr>
        </w:div>
        <w:div w:id="1441948952">
          <w:marLeft w:val="640"/>
          <w:marRight w:val="0"/>
          <w:marTop w:val="0"/>
          <w:marBottom w:val="0"/>
          <w:divBdr>
            <w:top w:val="none" w:sz="0" w:space="0" w:color="auto"/>
            <w:left w:val="none" w:sz="0" w:space="0" w:color="auto"/>
            <w:bottom w:val="none" w:sz="0" w:space="0" w:color="auto"/>
            <w:right w:val="none" w:sz="0" w:space="0" w:color="auto"/>
          </w:divBdr>
        </w:div>
        <w:div w:id="1538664682">
          <w:marLeft w:val="640"/>
          <w:marRight w:val="0"/>
          <w:marTop w:val="0"/>
          <w:marBottom w:val="0"/>
          <w:divBdr>
            <w:top w:val="none" w:sz="0" w:space="0" w:color="auto"/>
            <w:left w:val="none" w:sz="0" w:space="0" w:color="auto"/>
            <w:bottom w:val="none" w:sz="0" w:space="0" w:color="auto"/>
            <w:right w:val="none" w:sz="0" w:space="0" w:color="auto"/>
          </w:divBdr>
        </w:div>
        <w:div w:id="1051077285">
          <w:marLeft w:val="640"/>
          <w:marRight w:val="0"/>
          <w:marTop w:val="0"/>
          <w:marBottom w:val="0"/>
          <w:divBdr>
            <w:top w:val="none" w:sz="0" w:space="0" w:color="auto"/>
            <w:left w:val="none" w:sz="0" w:space="0" w:color="auto"/>
            <w:bottom w:val="none" w:sz="0" w:space="0" w:color="auto"/>
            <w:right w:val="none" w:sz="0" w:space="0" w:color="auto"/>
          </w:divBdr>
        </w:div>
        <w:div w:id="1884051981">
          <w:marLeft w:val="640"/>
          <w:marRight w:val="0"/>
          <w:marTop w:val="0"/>
          <w:marBottom w:val="0"/>
          <w:divBdr>
            <w:top w:val="none" w:sz="0" w:space="0" w:color="auto"/>
            <w:left w:val="none" w:sz="0" w:space="0" w:color="auto"/>
            <w:bottom w:val="none" w:sz="0" w:space="0" w:color="auto"/>
            <w:right w:val="none" w:sz="0" w:space="0" w:color="auto"/>
          </w:divBdr>
        </w:div>
        <w:div w:id="1745835399">
          <w:marLeft w:val="640"/>
          <w:marRight w:val="0"/>
          <w:marTop w:val="0"/>
          <w:marBottom w:val="0"/>
          <w:divBdr>
            <w:top w:val="none" w:sz="0" w:space="0" w:color="auto"/>
            <w:left w:val="none" w:sz="0" w:space="0" w:color="auto"/>
            <w:bottom w:val="none" w:sz="0" w:space="0" w:color="auto"/>
            <w:right w:val="none" w:sz="0" w:space="0" w:color="auto"/>
          </w:divBdr>
        </w:div>
        <w:div w:id="1951889892">
          <w:marLeft w:val="640"/>
          <w:marRight w:val="0"/>
          <w:marTop w:val="0"/>
          <w:marBottom w:val="0"/>
          <w:divBdr>
            <w:top w:val="none" w:sz="0" w:space="0" w:color="auto"/>
            <w:left w:val="none" w:sz="0" w:space="0" w:color="auto"/>
            <w:bottom w:val="none" w:sz="0" w:space="0" w:color="auto"/>
            <w:right w:val="none" w:sz="0" w:space="0" w:color="auto"/>
          </w:divBdr>
        </w:div>
        <w:div w:id="507184125">
          <w:marLeft w:val="640"/>
          <w:marRight w:val="0"/>
          <w:marTop w:val="0"/>
          <w:marBottom w:val="0"/>
          <w:divBdr>
            <w:top w:val="none" w:sz="0" w:space="0" w:color="auto"/>
            <w:left w:val="none" w:sz="0" w:space="0" w:color="auto"/>
            <w:bottom w:val="none" w:sz="0" w:space="0" w:color="auto"/>
            <w:right w:val="none" w:sz="0" w:space="0" w:color="auto"/>
          </w:divBdr>
        </w:div>
        <w:div w:id="1110781492">
          <w:marLeft w:val="640"/>
          <w:marRight w:val="0"/>
          <w:marTop w:val="0"/>
          <w:marBottom w:val="0"/>
          <w:divBdr>
            <w:top w:val="none" w:sz="0" w:space="0" w:color="auto"/>
            <w:left w:val="none" w:sz="0" w:space="0" w:color="auto"/>
            <w:bottom w:val="none" w:sz="0" w:space="0" w:color="auto"/>
            <w:right w:val="none" w:sz="0" w:space="0" w:color="auto"/>
          </w:divBdr>
        </w:div>
        <w:div w:id="1429543975">
          <w:marLeft w:val="640"/>
          <w:marRight w:val="0"/>
          <w:marTop w:val="0"/>
          <w:marBottom w:val="0"/>
          <w:divBdr>
            <w:top w:val="none" w:sz="0" w:space="0" w:color="auto"/>
            <w:left w:val="none" w:sz="0" w:space="0" w:color="auto"/>
            <w:bottom w:val="none" w:sz="0" w:space="0" w:color="auto"/>
            <w:right w:val="none" w:sz="0" w:space="0" w:color="auto"/>
          </w:divBdr>
        </w:div>
        <w:div w:id="1306622243">
          <w:marLeft w:val="640"/>
          <w:marRight w:val="0"/>
          <w:marTop w:val="0"/>
          <w:marBottom w:val="0"/>
          <w:divBdr>
            <w:top w:val="none" w:sz="0" w:space="0" w:color="auto"/>
            <w:left w:val="none" w:sz="0" w:space="0" w:color="auto"/>
            <w:bottom w:val="none" w:sz="0" w:space="0" w:color="auto"/>
            <w:right w:val="none" w:sz="0" w:space="0" w:color="auto"/>
          </w:divBdr>
        </w:div>
        <w:div w:id="2138179226">
          <w:marLeft w:val="640"/>
          <w:marRight w:val="0"/>
          <w:marTop w:val="0"/>
          <w:marBottom w:val="0"/>
          <w:divBdr>
            <w:top w:val="none" w:sz="0" w:space="0" w:color="auto"/>
            <w:left w:val="none" w:sz="0" w:space="0" w:color="auto"/>
            <w:bottom w:val="none" w:sz="0" w:space="0" w:color="auto"/>
            <w:right w:val="none" w:sz="0" w:space="0" w:color="auto"/>
          </w:divBdr>
        </w:div>
        <w:div w:id="2050910106">
          <w:marLeft w:val="640"/>
          <w:marRight w:val="0"/>
          <w:marTop w:val="0"/>
          <w:marBottom w:val="0"/>
          <w:divBdr>
            <w:top w:val="none" w:sz="0" w:space="0" w:color="auto"/>
            <w:left w:val="none" w:sz="0" w:space="0" w:color="auto"/>
            <w:bottom w:val="none" w:sz="0" w:space="0" w:color="auto"/>
            <w:right w:val="none" w:sz="0" w:space="0" w:color="auto"/>
          </w:divBdr>
        </w:div>
        <w:div w:id="569005398">
          <w:marLeft w:val="640"/>
          <w:marRight w:val="0"/>
          <w:marTop w:val="0"/>
          <w:marBottom w:val="0"/>
          <w:divBdr>
            <w:top w:val="none" w:sz="0" w:space="0" w:color="auto"/>
            <w:left w:val="none" w:sz="0" w:space="0" w:color="auto"/>
            <w:bottom w:val="none" w:sz="0" w:space="0" w:color="auto"/>
            <w:right w:val="none" w:sz="0" w:space="0" w:color="auto"/>
          </w:divBdr>
        </w:div>
        <w:div w:id="215048411">
          <w:marLeft w:val="640"/>
          <w:marRight w:val="0"/>
          <w:marTop w:val="0"/>
          <w:marBottom w:val="0"/>
          <w:divBdr>
            <w:top w:val="none" w:sz="0" w:space="0" w:color="auto"/>
            <w:left w:val="none" w:sz="0" w:space="0" w:color="auto"/>
            <w:bottom w:val="none" w:sz="0" w:space="0" w:color="auto"/>
            <w:right w:val="none" w:sz="0" w:space="0" w:color="auto"/>
          </w:divBdr>
        </w:div>
        <w:div w:id="391853721">
          <w:marLeft w:val="640"/>
          <w:marRight w:val="0"/>
          <w:marTop w:val="0"/>
          <w:marBottom w:val="0"/>
          <w:divBdr>
            <w:top w:val="none" w:sz="0" w:space="0" w:color="auto"/>
            <w:left w:val="none" w:sz="0" w:space="0" w:color="auto"/>
            <w:bottom w:val="none" w:sz="0" w:space="0" w:color="auto"/>
            <w:right w:val="none" w:sz="0" w:space="0" w:color="auto"/>
          </w:divBdr>
        </w:div>
        <w:div w:id="547688445">
          <w:marLeft w:val="640"/>
          <w:marRight w:val="0"/>
          <w:marTop w:val="0"/>
          <w:marBottom w:val="0"/>
          <w:divBdr>
            <w:top w:val="none" w:sz="0" w:space="0" w:color="auto"/>
            <w:left w:val="none" w:sz="0" w:space="0" w:color="auto"/>
            <w:bottom w:val="none" w:sz="0" w:space="0" w:color="auto"/>
            <w:right w:val="none" w:sz="0" w:space="0" w:color="auto"/>
          </w:divBdr>
        </w:div>
        <w:div w:id="197739957">
          <w:marLeft w:val="640"/>
          <w:marRight w:val="0"/>
          <w:marTop w:val="0"/>
          <w:marBottom w:val="0"/>
          <w:divBdr>
            <w:top w:val="none" w:sz="0" w:space="0" w:color="auto"/>
            <w:left w:val="none" w:sz="0" w:space="0" w:color="auto"/>
            <w:bottom w:val="none" w:sz="0" w:space="0" w:color="auto"/>
            <w:right w:val="none" w:sz="0" w:space="0" w:color="auto"/>
          </w:divBdr>
        </w:div>
        <w:div w:id="1819493645">
          <w:marLeft w:val="640"/>
          <w:marRight w:val="0"/>
          <w:marTop w:val="0"/>
          <w:marBottom w:val="0"/>
          <w:divBdr>
            <w:top w:val="none" w:sz="0" w:space="0" w:color="auto"/>
            <w:left w:val="none" w:sz="0" w:space="0" w:color="auto"/>
            <w:bottom w:val="none" w:sz="0" w:space="0" w:color="auto"/>
            <w:right w:val="none" w:sz="0" w:space="0" w:color="auto"/>
          </w:divBdr>
        </w:div>
        <w:div w:id="911815382">
          <w:marLeft w:val="640"/>
          <w:marRight w:val="0"/>
          <w:marTop w:val="0"/>
          <w:marBottom w:val="0"/>
          <w:divBdr>
            <w:top w:val="none" w:sz="0" w:space="0" w:color="auto"/>
            <w:left w:val="none" w:sz="0" w:space="0" w:color="auto"/>
            <w:bottom w:val="none" w:sz="0" w:space="0" w:color="auto"/>
            <w:right w:val="none" w:sz="0" w:space="0" w:color="auto"/>
          </w:divBdr>
        </w:div>
        <w:div w:id="2071033005">
          <w:marLeft w:val="640"/>
          <w:marRight w:val="0"/>
          <w:marTop w:val="0"/>
          <w:marBottom w:val="0"/>
          <w:divBdr>
            <w:top w:val="none" w:sz="0" w:space="0" w:color="auto"/>
            <w:left w:val="none" w:sz="0" w:space="0" w:color="auto"/>
            <w:bottom w:val="none" w:sz="0" w:space="0" w:color="auto"/>
            <w:right w:val="none" w:sz="0" w:space="0" w:color="auto"/>
          </w:divBdr>
        </w:div>
        <w:div w:id="1868179414">
          <w:marLeft w:val="640"/>
          <w:marRight w:val="0"/>
          <w:marTop w:val="0"/>
          <w:marBottom w:val="0"/>
          <w:divBdr>
            <w:top w:val="none" w:sz="0" w:space="0" w:color="auto"/>
            <w:left w:val="none" w:sz="0" w:space="0" w:color="auto"/>
            <w:bottom w:val="none" w:sz="0" w:space="0" w:color="auto"/>
            <w:right w:val="none" w:sz="0" w:space="0" w:color="auto"/>
          </w:divBdr>
        </w:div>
        <w:div w:id="1847359091">
          <w:marLeft w:val="640"/>
          <w:marRight w:val="0"/>
          <w:marTop w:val="0"/>
          <w:marBottom w:val="0"/>
          <w:divBdr>
            <w:top w:val="none" w:sz="0" w:space="0" w:color="auto"/>
            <w:left w:val="none" w:sz="0" w:space="0" w:color="auto"/>
            <w:bottom w:val="none" w:sz="0" w:space="0" w:color="auto"/>
            <w:right w:val="none" w:sz="0" w:space="0" w:color="auto"/>
          </w:divBdr>
        </w:div>
        <w:div w:id="869606783">
          <w:marLeft w:val="640"/>
          <w:marRight w:val="0"/>
          <w:marTop w:val="0"/>
          <w:marBottom w:val="0"/>
          <w:divBdr>
            <w:top w:val="none" w:sz="0" w:space="0" w:color="auto"/>
            <w:left w:val="none" w:sz="0" w:space="0" w:color="auto"/>
            <w:bottom w:val="none" w:sz="0" w:space="0" w:color="auto"/>
            <w:right w:val="none" w:sz="0" w:space="0" w:color="auto"/>
          </w:divBdr>
        </w:div>
        <w:div w:id="141848273">
          <w:marLeft w:val="640"/>
          <w:marRight w:val="0"/>
          <w:marTop w:val="0"/>
          <w:marBottom w:val="0"/>
          <w:divBdr>
            <w:top w:val="none" w:sz="0" w:space="0" w:color="auto"/>
            <w:left w:val="none" w:sz="0" w:space="0" w:color="auto"/>
            <w:bottom w:val="none" w:sz="0" w:space="0" w:color="auto"/>
            <w:right w:val="none" w:sz="0" w:space="0" w:color="auto"/>
          </w:divBdr>
        </w:div>
        <w:div w:id="1691295756">
          <w:marLeft w:val="640"/>
          <w:marRight w:val="0"/>
          <w:marTop w:val="0"/>
          <w:marBottom w:val="0"/>
          <w:divBdr>
            <w:top w:val="none" w:sz="0" w:space="0" w:color="auto"/>
            <w:left w:val="none" w:sz="0" w:space="0" w:color="auto"/>
            <w:bottom w:val="none" w:sz="0" w:space="0" w:color="auto"/>
            <w:right w:val="none" w:sz="0" w:space="0" w:color="auto"/>
          </w:divBdr>
        </w:div>
        <w:div w:id="2031565404">
          <w:marLeft w:val="640"/>
          <w:marRight w:val="0"/>
          <w:marTop w:val="0"/>
          <w:marBottom w:val="0"/>
          <w:divBdr>
            <w:top w:val="none" w:sz="0" w:space="0" w:color="auto"/>
            <w:left w:val="none" w:sz="0" w:space="0" w:color="auto"/>
            <w:bottom w:val="none" w:sz="0" w:space="0" w:color="auto"/>
            <w:right w:val="none" w:sz="0" w:space="0" w:color="auto"/>
          </w:divBdr>
        </w:div>
        <w:div w:id="495222408">
          <w:marLeft w:val="640"/>
          <w:marRight w:val="0"/>
          <w:marTop w:val="0"/>
          <w:marBottom w:val="0"/>
          <w:divBdr>
            <w:top w:val="none" w:sz="0" w:space="0" w:color="auto"/>
            <w:left w:val="none" w:sz="0" w:space="0" w:color="auto"/>
            <w:bottom w:val="none" w:sz="0" w:space="0" w:color="auto"/>
            <w:right w:val="none" w:sz="0" w:space="0" w:color="auto"/>
          </w:divBdr>
        </w:div>
        <w:div w:id="2124761467">
          <w:marLeft w:val="640"/>
          <w:marRight w:val="0"/>
          <w:marTop w:val="0"/>
          <w:marBottom w:val="0"/>
          <w:divBdr>
            <w:top w:val="none" w:sz="0" w:space="0" w:color="auto"/>
            <w:left w:val="none" w:sz="0" w:space="0" w:color="auto"/>
            <w:bottom w:val="none" w:sz="0" w:space="0" w:color="auto"/>
            <w:right w:val="none" w:sz="0" w:space="0" w:color="auto"/>
          </w:divBdr>
        </w:div>
        <w:div w:id="766728542">
          <w:marLeft w:val="640"/>
          <w:marRight w:val="0"/>
          <w:marTop w:val="0"/>
          <w:marBottom w:val="0"/>
          <w:divBdr>
            <w:top w:val="none" w:sz="0" w:space="0" w:color="auto"/>
            <w:left w:val="none" w:sz="0" w:space="0" w:color="auto"/>
            <w:bottom w:val="none" w:sz="0" w:space="0" w:color="auto"/>
            <w:right w:val="none" w:sz="0" w:space="0" w:color="auto"/>
          </w:divBdr>
        </w:div>
        <w:div w:id="1709640304">
          <w:marLeft w:val="640"/>
          <w:marRight w:val="0"/>
          <w:marTop w:val="0"/>
          <w:marBottom w:val="0"/>
          <w:divBdr>
            <w:top w:val="none" w:sz="0" w:space="0" w:color="auto"/>
            <w:left w:val="none" w:sz="0" w:space="0" w:color="auto"/>
            <w:bottom w:val="none" w:sz="0" w:space="0" w:color="auto"/>
            <w:right w:val="none" w:sz="0" w:space="0" w:color="auto"/>
          </w:divBdr>
        </w:div>
        <w:div w:id="1290670446">
          <w:marLeft w:val="640"/>
          <w:marRight w:val="0"/>
          <w:marTop w:val="0"/>
          <w:marBottom w:val="0"/>
          <w:divBdr>
            <w:top w:val="none" w:sz="0" w:space="0" w:color="auto"/>
            <w:left w:val="none" w:sz="0" w:space="0" w:color="auto"/>
            <w:bottom w:val="none" w:sz="0" w:space="0" w:color="auto"/>
            <w:right w:val="none" w:sz="0" w:space="0" w:color="auto"/>
          </w:divBdr>
        </w:div>
        <w:div w:id="732461832">
          <w:marLeft w:val="640"/>
          <w:marRight w:val="0"/>
          <w:marTop w:val="0"/>
          <w:marBottom w:val="0"/>
          <w:divBdr>
            <w:top w:val="none" w:sz="0" w:space="0" w:color="auto"/>
            <w:left w:val="none" w:sz="0" w:space="0" w:color="auto"/>
            <w:bottom w:val="none" w:sz="0" w:space="0" w:color="auto"/>
            <w:right w:val="none" w:sz="0" w:space="0" w:color="auto"/>
          </w:divBdr>
        </w:div>
        <w:div w:id="1027409177">
          <w:marLeft w:val="640"/>
          <w:marRight w:val="0"/>
          <w:marTop w:val="0"/>
          <w:marBottom w:val="0"/>
          <w:divBdr>
            <w:top w:val="none" w:sz="0" w:space="0" w:color="auto"/>
            <w:left w:val="none" w:sz="0" w:space="0" w:color="auto"/>
            <w:bottom w:val="none" w:sz="0" w:space="0" w:color="auto"/>
            <w:right w:val="none" w:sz="0" w:space="0" w:color="auto"/>
          </w:divBdr>
        </w:div>
        <w:div w:id="1072240673">
          <w:marLeft w:val="640"/>
          <w:marRight w:val="0"/>
          <w:marTop w:val="0"/>
          <w:marBottom w:val="0"/>
          <w:divBdr>
            <w:top w:val="none" w:sz="0" w:space="0" w:color="auto"/>
            <w:left w:val="none" w:sz="0" w:space="0" w:color="auto"/>
            <w:bottom w:val="none" w:sz="0" w:space="0" w:color="auto"/>
            <w:right w:val="none" w:sz="0" w:space="0" w:color="auto"/>
          </w:divBdr>
        </w:div>
        <w:div w:id="483818645">
          <w:marLeft w:val="640"/>
          <w:marRight w:val="0"/>
          <w:marTop w:val="0"/>
          <w:marBottom w:val="0"/>
          <w:divBdr>
            <w:top w:val="none" w:sz="0" w:space="0" w:color="auto"/>
            <w:left w:val="none" w:sz="0" w:space="0" w:color="auto"/>
            <w:bottom w:val="none" w:sz="0" w:space="0" w:color="auto"/>
            <w:right w:val="none" w:sz="0" w:space="0" w:color="auto"/>
          </w:divBdr>
        </w:div>
        <w:div w:id="2046757058">
          <w:marLeft w:val="640"/>
          <w:marRight w:val="0"/>
          <w:marTop w:val="0"/>
          <w:marBottom w:val="0"/>
          <w:divBdr>
            <w:top w:val="none" w:sz="0" w:space="0" w:color="auto"/>
            <w:left w:val="none" w:sz="0" w:space="0" w:color="auto"/>
            <w:bottom w:val="none" w:sz="0" w:space="0" w:color="auto"/>
            <w:right w:val="none" w:sz="0" w:space="0" w:color="auto"/>
          </w:divBdr>
        </w:div>
        <w:div w:id="1664814334">
          <w:marLeft w:val="640"/>
          <w:marRight w:val="0"/>
          <w:marTop w:val="0"/>
          <w:marBottom w:val="0"/>
          <w:divBdr>
            <w:top w:val="none" w:sz="0" w:space="0" w:color="auto"/>
            <w:left w:val="none" w:sz="0" w:space="0" w:color="auto"/>
            <w:bottom w:val="none" w:sz="0" w:space="0" w:color="auto"/>
            <w:right w:val="none" w:sz="0" w:space="0" w:color="auto"/>
          </w:divBdr>
        </w:div>
        <w:div w:id="198788896">
          <w:marLeft w:val="640"/>
          <w:marRight w:val="0"/>
          <w:marTop w:val="0"/>
          <w:marBottom w:val="0"/>
          <w:divBdr>
            <w:top w:val="none" w:sz="0" w:space="0" w:color="auto"/>
            <w:left w:val="none" w:sz="0" w:space="0" w:color="auto"/>
            <w:bottom w:val="none" w:sz="0" w:space="0" w:color="auto"/>
            <w:right w:val="none" w:sz="0" w:space="0" w:color="auto"/>
          </w:divBdr>
        </w:div>
        <w:div w:id="911084039">
          <w:marLeft w:val="640"/>
          <w:marRight w:val="0"/>
          <w:marTop w:val="0"/>
          <w:marBottom w:val="0"/>
          <w:divBdr>
            <w:top w:val="none" w:sz="0" w:space="0" w:color="auto"/>
            <w:left w:val="none" w:sz="0" w:space="0" w:color="auto"/>
            <w:bottom w:val="none" w:sz="0" w:space="0" w:color="auto"/>
            <w:right w:val="none" w:sz="0" w:space="0" w:color="auto"/>
          </w:divBdr>
        </w:div>
        <w:div w:id="1064530738">
          <w:marLeft w:val="640"/>
          <w:marRight w:val="0"/>
          <w:marTop w:val="0"/>
          <w:marBottom w:val="0"/>
          <w:divBdr>
            <w:top w:val="none" w:sz="0" w:space="0" w:color="auto"/>
            <w:left w:val="none" w:sz="0" w:space="0" w:color="auto"/>
            <w:bottom w:val="none" w:sz="0" w:space="0" w:color="auto"/>
            <w:right w:val="none" w:sz="0" w:space="0" w:color="auto"/>
          </w:divBdr>
        </w:div>
        <w:div w:id="1448232108">
          <w:marLeft w:val="640"/>
          <w:marRight w:val="0"/>
          <w:marTop w:val="0"/>
          <w:marBottom w:val="0"/>
          <w:divBdr>
            <w:top w:val="none" w:sz="0" w:space="0" w:color="auto"/>
            <w:left w:val="none" w:sz="0" w:space="0" w:color="auto"/>
            <w:bottom w:val="none" w:sz="0" w:space="0" w:color="auto"/>
            <w:right w:val="none" w:sz="0" w:space="0" w:color="auto"/>
          </w:divBdr>
        </w:div>
        <w:div w:id="1258900824">
          <w:marLeft w:val="640"/>
          <w:marRight w:val="0"/>
          <w:marTop w:val="0"/>
          <w:marBottom w:val="0"/>
          <w:divBdr>
            <w:top w:val="none" w:sz="0" w:space="0" w:color="auto"/>
            <w:left w:val="none" w:sz="0" w:space="0" w:color="auto"/>
            <w:bottom w:val="none" w:sz="0" w:space="0" w:color="auto"/>
            <w:right w:val="none" w:sz="0" w:space="0" w:color="auto"/>
          </w:divBdr>
        </w:div>
        <w:div w:id="666788234">
          <w:marLeft w:val="640"/>
          <w:marRight w:val="0"/>
          <w:marTop w:val="0"/>
          <w:marBottom w:val="0"/>
          <w:divBdr>
            <w:top w:val="none" w:sz="0" w:space="0" w:color="auto"/>
            <w:left w:val="none" w:sz="0" w:space="0" w:color="auto"/>
            <w:bottom w:val="none" w:sz="0" w:space="0" w:color="auto"/>
            <w:right w:val="none" w:sz="0" w:space="0" w:color="auto"/>
          </w:divBdr>
        </w:div>
        <w:div w:id="419957180">
          <w:marLeft w:val="640"/>
          <w:marRight w:val="0"/>
          <w:marTop w:val="0"/>
          <w:marBottom w:val="0"/>
          <w:divBdr>
            <w:top w:val="none" w:sz="0" w:space="0" w:color="auto"/>
            <w:left w:val="none" w:sz="0" w:space="0" w:color="auto"/>
            <w:bottom w:val="none" w:sz="0" w:space="0" w:color="auto"/>
            <w:right w:val="none" w:sz="0" w:space="0" w:color="auto"/>
          </w:divBdr>
        </w:div>
        <w:div w:id="214776332">
          <w:marLeft w:val="640"/>
          <w:marRight w:val="0"/>
          <w:marTop w:val="0"/>
          <w:marBottom w:val="0"/>
          <w:divBdr>
            <w:top w:val="none" w:sz="0" w:space="0" w:color="auto"/>
            <w:left w:val="none" w:sz="0" w:space="0" w:color="auto"/>
            <w:bottom w:val="none" w:sz="0" w:space="0" w:color="auto"/>
            <w:right w:val="none" w:sz="0" w:space="0" w:color="auto"/>
          </w:divBdr>
        </w:div>
        <w:div w:id="1745759474">
          <w:marLeft w:val="640"/>
          <w:marRight w:val="0"/>
          <w:marTop w:val="0"/>
          <w:marBottom w:val="0"/>
          <w:divBdr>
            <w:top w:val="none" w:sz="0" w:space="0" w:color="auto"/>
            <w:left w:val="none" w:sz="0" w:space="0" w:color="auto"/>
            <w:bottom w:val="none" w:sz="0" w:space="0" w:color="auto"/>
            <w:right w:val="none" w:sz="0" w:space="0" w:color="auto"/>
          </w:divBdr>
        </w:div>
        <w:div w:id="1216509250">
          <w:marLeft w:val="640"/>
          <w:marRight w:val="0"/>
          <w:marTop w:val="0"/>
          <w:marBottom w:val="0"/>
          <w:divBdr>
            <w:top w:val="none" w:sz="0" w:space="0" w:color="auto"/>
            <w:left w:val="none" w:sz="0" w:space="0" w:color="auto"/>
            <w:bottom w:val="none" w:sz="0" w:space="0" w:color="auto"/>
            <w:right w:val="none" w:sz="0" w:space="0" w:color="auto"/>
          </w:divBdr>
        </w:div>
        <w:div w:id="1464495660">
          <w:marLeft w:val="640"/>
          <w:marRight w:val="0"/>
          <w:marTop w:val="0"/>
          <w:marBottom w:val="0"/>
          <w:divBdr>
            <w:top w:val="none" w:sz="0" w:space="0" w:color="auto"/>
            <w:left w:val="none" w:sz="0" w:space="0" w:color="auto"/>
            <w:bottom w:val="none" w:sz="0" w:space="0" w:color="auto"/>
            <w:right w:val="none" w:sz="0" w:space="0" w:color="auto"/>
          </w:divBdr>
        </w:div>
        <w:div w:id="2034720470">
          <w:marLeft w:val="640"/>
          <w:marRight w:val="0"/>
          <w:marTop w:val="0"/>
          <w:marBottom w:val="0"/>
          <w:divBdr>
            <w:top w:val="none" w:sz="0" w:space="0" w:color="auto"/>
            <w:left w:val="none" w:sz="0" w:space="0" w:color="auto"/>
            <w:bottom w:val="none" w:sz="0" w:space="0" w:color="auto"/>
            <w:right w:val="none" w:sz="0" w:space="0" w:color="auto"/>
          </w:divBdr>
        </w:div>
        <w:div w:id="362748219">
          <w:marLeft w:val="640"/>
          <w:marRight w:val="0"/>
          <w:marTop w:val="0"/>
          <w:marBottom w:val="0"/>
          <w:divBdr>
            <w:top w:val="none" w:sz="0" w:space="0" w:color="auto"/>
            <w:left w:val="none" w:sz="0" w:space="0" w:color="auto"/>
            <w:bottom w:val="none" w:sz="0" w:space="0" w:color="auto"/>
            <w:right w:val="none" w:sz="0" w:space="0" w:color="auto"/>
          </w:divBdr>
        </w:div>
        <w:div w:id="1795246679">
          <w:marLeft w:val="640"/>
          <w:marRight w:val="0"/>
          <w:marTop w:val="0"/>
          <w:marBottom w:val="0"/>
          <w:divBdr>
            <w:top w:val="none" w:sz="0" w:space="0" w:color="auto"/>
            <w:left w:val="none" w:sz="0" w:space="0" w:color="auto"/>
            <w:bottom w:val="none" w:sz="0" w:space="0" w:color="auto"/>
            <w:right w:val="none" w:sz="0" w:space="0" w:color="auto"/>
          </w:divBdr>
        </w:div>
        <w:div w:id="571040596">
          <w:marLeft w:val="640"/>
          <w:marRight w:val="0"/>
          <w:marTop w:val="0"/>
          <w:marBottom w:val="0"/>
          <w:divBdr>
            <w:top w:val="none" w:sz="0" w:space="0" w:color="auto"/>
            <w:left w:val="none" w:sz="0" w:space="0" w:color="auto"/>
            <w:bottom w:val="none" w:sz="0" w:space="0" w:color="auto"/>
            <w:right w:val="none" w:sz="0" w:space="0" w:color="auto"/>
          </w:divBdr>
        </w:div>
        <w:div w:id="1576016811">
          <w:marLeft w:val="640"/>
          <w:marRight w:val="0"/>
          <w:marTop w:val="0"/>
          <w:marBottom w:val="0"/>
          <w:divBdr>
            <w:top w:val="none" w:sz="0" w:space="0" w:color="auto"/>
            <w:left w:val="none" w:sz="0" w:space="0" w:color="auto"/>
            <w:bottom w:val="none" w:sz="0" w:space="0" w:color="auto"/>
            <w:right w:val="none" w:sz="0" w:space="0" w:color="auto"/>
          </w:divBdr>
        </w:div>
        <w:div w:id="170536375">
          <w:marLeft w:val="640"/>
          <w:marRight w:val="0"/>
          <w:marTop w:val="0"/>
          <w:marBottom w:val="0"/>
          <w:divBdr>
            <w:top w:val="none" w:sz="0" w:space="0" w:color="auto"/>
            <w:left w:val="none" w:sz="0" w:space="0" w:color="auto"/>
            <w:bottom w:val="none" w:sz="0" w:space="0" w:color="auto"/>
            <w:right w:val="none" w:sz="0" w:space="0" w:color="auto"/>
          </w:divBdr>
        </w:div>
        <w:div w:id="390664510">
          <w:marLeft w:val="640"/>
          <w:marRight w:val="0"/>
          <w:marTop w:val="0"/>
          <w:marBottom w:val="0"/>
          <w:divBdr>
            <w:top w:val="none" w:sz="0" w:space="0" w:color="auto"/>
            <w:left w:val="none" w:sz="0" w:space="0" w:color="auto"/>
            <w:bottom w:val="none" w:sz="0" w:space="0" w:color="auto"/>
            <w:right w:val="none" w:sz="0" w:space="0" w:color="auto"/>
          </w:divBdr>
        </w:div>
        <w:div w:id="672025338">
          <w:marLeft w:val="640"/>
          <w:marRight w:val="0"/>
          <w:marTop w:val="0"/>
          <w:marBottom w:val="0"/>
          <w:divBdr>
            <w:top w:val="none" w:sz="0" w:space="0" w:color="auto"/>
            <w:left w:val="none" w:sz="0" w:space="0" w:color="auto"/>
            <w:bottom w:val="none" w:sz="0" w:space="0" w:color="auto"/>
            <w:right w:val="none" w:sz="0" w:space="0" w:color="auto"/>
          </w:divBdr>
        </w:div>
        <w:div w:id="1797678203">
          <w:marLeft w:val="640"/>
          <w:marRight w:val="0"/>
          <w:marTop w:val="0"/>
          <w:marBottom w:val="0"/>
          <w:divBdr>
            <w:top w:val="none" w:sz="0" w:space="0" w:color="auto"/>
            <w:left w:val="none" w:sz="0" w:space="0" w:color="auto"/>
            <w:bottom w:val="none" w:sz="0" w:space="0" w:color="auto"/>
            <w:right w:val="none" w:sz="0" w:space="0" w:color="auto"/>
          </w:divBdr>
        </w:div>
        <w:div w:id="253444444">
          <w:marLeft w:val="640"/>
          <w:marRight w:val="0"/>
          <w:marTop w:val="0"/>
          <w:marBottom w:val="0"/>
          <w:divBdr>
            <w:top w:val="none" w:sz="0" w:space="0" w:color="auto"/>
            <w:left w:val="none" w:sz="0" w:space="0" w:color="auto"/>
            <w:bottom w:val="none" w:sz="0" w:space="0" w:color="auto"/>
            <w:right w:val="none" w:sz="0" w:space="0" w:color="auto"/>
          </w:divBdr>
        </w:div>
        <w:div w:id="310409234">
          <w:marLeft w:val="640"/>
          <w:marRight w:val="0"/>
          <w:marTop w:val="0"/>
          <w:marBottom w:val="0"/>
          <w:divBdr>
            <w:top w:val="none" w:sz="0" w:space="0" w:color="auto"/>
            <w:left w:val="none" w:sz="0" w:space="0" w:color="auto"/>
            <w:bottom w:val="none" w:sz="0" w:space="0" w:color="auto"/>
            <w:right w:val="none" w:sz="0" w:space="0" w:color="auto"/>
          </w:divBdr>
        </w:div>
        <w:div w:id="1641961617">
          <w:marLeft w:val="640"/>
          <w:marRight w:val="0"/>
          <w:marTop w:val="0"/>
          <w:marBottom w:val="0"/>
          <w:divBdr>
            <w:top w:val="none" w:sz="0" w:space="0" w:color="auto"/>
            <w:left w:val="none" w:sz="0" w:space="0" w:color="auto"/>
            <w:bottom w:val="none" w:sz="0" w:space="0" w:color="auto"/>
            <w:right w:val="none" w:sz="0" w:space="0" w:color="auto"/>
          </w:divBdr>
        </w:div>
        <w:div w:id="984816499">
          <w:marLeft w:val="640"/>
          <w:marRight w:val="0"/>
          <w:marTop w:val="0"/>
          <w:marBottom w:val="0"/>
          <w:divBdr>
            <w:top w:val="none" w:sz="0" w:space="0" w:color="auto"/>
            <w:left w:val="none" w:sz="0" w:space="0" w:color="auto"/>
            <w:bottom w:val="none" w:sz="0" w:space="0" w:color="auto"/>
            <w:right w:val="none" w:sz="0" w:space="0" w:color="auto"/>
          </w:divBdr>
        </w:div>
        <w:div w:id="243687444">
          <w:marLeft w:val="640"/>
          <w:marRight w:val="0"/>
          <w:marTop w:val="0"/>
          <w:marBottom w:val="0"/>
          <w:divBdr>
            <w:top w:val="none" w:sz="0" w:space="0" w:color="auto"/>
            <w:left w:val="none" w:sz="0" w:space="0" w:color="auto"/>
            <w:bottom w:val="none" w:sz="0" w:space="0" w:color="auto"/>
            <w:right w:val="none" w:sz="0" w:space="0" w:color="auto"/>
          </w:divBdr>
        </w:div>
        <w:div w:id="1343699335">
          <w:marLeft w:val="640"/>
          <w:marRight w:val="0"/>
          <w:marTop w:val="0"/>
          <w:marBottom w:val="0"/>
          <w:divBdr>
            <w:top w:val="none" w:sz="0" w:space="0" w:color="auto"/>
            <w:left w:val="none" w:sz="0" w:space="0" w:color="auto"/>
            <w:bottom w:val="none" w:sz="0" w:space="0" w:color="auto"/>
            <w:right w:val="none" w:sz="0" w:space="0" w:color="auto"/>
          </w:divBdr>
        </w:div>
        <w:div w:id="366636575">
          <w:marLeft w:val="640"/>
          <w:marRight w:val="0"/>
          <w:marTop w:val="0"/>
          <w:marBottom w:val="0"/>
          <w:divBdr>
            <w:top w:val="none" w:sz="0" w:space="0" w:color="auto"/>
            <w:left w:val="none" w:sz="0" w:space="0" w:color="auto"/>
            <w:bottom w:val="none" w:sz="0" w:space="0" w:color="auto"/>
            <w:right w:val="none" w:sz="0" w:space="0" w:color="auto"/>
          </w:divBdr>
        </w:div>
        <w:div w:id="1406295194">
          <w:marLeft w:val="640"/>
          <w:marRight w:val="0"/>
          <w:marTop w:val="0"/>
          <w:marBottom w:val="0"/>
          <w:divBdr>
            <w:top w:val="none" w:sz="0" w:space="0" w:color="auto"/>
            <w:left w:val="none" w:sz="0" w:space="0" w:color="auto"/>
            <w:bottom w:val="none" w:sz="0" w:space="0" w:color="auto"/>
            <w:right w:val="none" w:sz="0" w:space="0" w:color="auto"/>
          </w:divBdr>
        </w:div>
        <w:div w:id="1775323029">
          <w:marLeft w:val="640"/>
          <w:marRight w:val="0"/>
          <w:marTop w:val="0"/>
          <w:marBottom w:val="0"/>
          <w:divBdr>
            <w:top w:val="none" w:sz="0" w:space="0" w:color="auto"/>
            <w:left w:val="none" w:sz="0" w:space="0" w:color="auto"/>
            <w:bottom w:val="none" w:sz="0" w:space="0" w:color="auto"/>
            <w:right w:val="none" w:sz="0" w:space="0" w:color="auto"/>
          </w:divBdr>
        </w:div>
        <w:div w:id="785851807">
          <w:marLeft w:val="640"/>
          <w:marRight w:val="0"/>
          <w:marTop w:val="0"/>
          <w:marBottom w:val="0"/>
          <w:divBdr>
            <w:top w:val="none" w:sz="0" w:space="0" w:color="auto"/>
            <w:left w:val="none" w:sz="0" w:space="0" w:color="auto"/>
            <w:bottom w:val="none" w:sz="0" w:space="0" w:color="auto"/>
            <w:right w:val="none" w:sz="0" w:space="0" w:color="auto"/>
          </w:divBdr>
        </w:div>
        <w:div w:id="422650596">
          <w:marLeft w:val="640"/>
          <w:marRight w:val="0"/>
          <w:marTop w:val="0"/>
          <w:marBottom w:val="0"/>
          <w:divBdr>
            <w:top w:val="none" w:sz="0" w:space="0" w:color="auto"/>
            <w:left w:val="none" w:sz="0" w:space="0" w:color="auto"/>
            <w:bottom w:val="none" w:sz="0" w:space="0" w:color="auto"/>
            <w:right w:val="none" w:sz="0" w:space="0" w:color="auto"/>
          </w:divBdr>
        </w:div>
        <w:div w:id="859204554">
          <w:marLeft w:val="640"/>
          <w:marRight w:val="0"/>
          <w:marTop w:val="0"/>
          <w:marBottom w:val="0"/>
          <w:divBdr>
            <w:top w:val="none" w:sz="0" w:space="0" w:color="auto"/>
            <w:left w:val="none" w:sz="0" w:space="0" w:color="auto"/>
            <w:bottom w:val="none" w:sz="0" w:space="0" w:color="auto"/>
            <w:right w:val="none" w:sz="0" w:space="0" w:color="auto"/>
          </w:divBdr>
        </w:div>
        <w:div w:id="979575961">
          <w:marLeft w:val="640"/>
          <w:marRight w:val="0"/>
          <w:marTop w:val="0"/>
          <w:marBottom w:val="0"/>
          <w:divBdr>
            <w:top w:val="none" w:sz="0" w:space="0" w:color="auto"/>
            <w:left w:val="none" w:sz="0" w:space="0" w:color="auto"/>
            <w:bottom w:val="none" w:sz="0" w:space="0" w:color="auto"/>
            <w:right w:val="none" w:sz="0" w:space="0" w:color="auto"/>
          </w:divBdr>
        </w:div>
        <w:div w:id="54084959">
          <w:marLeft w:val="640"/>
          <w:marRight w:val="0"/>
          <w:marTop w:val="0"/>
          <w:marBottom w:val="0"/>
          <w:divBdr>
            <w:top w:val="none" w:sz="0" w:space="0" w:color="auto"/>
            <w:left w:val="none" w:sz="0" w:space="0" w:color="auto"/>
            <w:bottom w:val="none" w:sz="0" w:space="0" w:color="auto"/>
            <w:right w:val="none" w:sz="0" w:space="0" w:color="auto"/>
          </w:divBdr>
        </w:div>
        <w:div w:id="1859729694">
          <w:marLeft w:val="640"/>
          <w:marRight w:val="0"/>
          <w:marTop w:val="0"/>
          <w:marBottom w:val="0"/>
          <w:divBdr>
            <w:top w:val="none" w:sz="0" w:space="0" w:color="auto"/>
            <w:left w:val="none" w:sz="0" w:space="0" w:color="auto"/>
            <w:bottom w:val="none" w:sz="0" w:space="0" w:color="auto"/>
            <w:right w:val="none" w:sz="0" w:space="0" w:color="auto"/>
          </w:divBdr>
        </w:div>
        <w:div w:id="812141337">
          <w:marLeft w:val="640"/>
          <w:marRight w:val="0"/>
          <w:marTop w:val="0"/>
          <w:marBottom w:val="0"/>
          <w:divBdr>
            <w:top w:val="none" w:sz="0" w:space="0" w:color="auto"/>
            <w:left w:val="none" w:sz="0" w:space="0" w:color="auto"/>
            <w:bottom w:val="none" w:sz="0" w:space="0" w:color="auto"/>
            <w:right w:val="none" w:sz="0" w:space="0" w:color="auto"/>
          </w:divBdr>
        </w:div>
        <w:div w:id="370231459">
          <w:marLeft w:val="640"/>
          <w:marRight w:val="0"/>
          <w:marTop w:val="0"/>
          <w:marBottom w:val="0"/>
          <w:divBdr>
            <w:top w:val="none" w:sz="0" w:space="0" w:color="auto"/>
            <w:left w:val="none" w:sz="0" w:space="0" w:color="auto"/>
            <w:bottom w:val="none" w:sz="0" w:space="0" w:color="auto"/>
            <w:right w:val="none" w:sz="0" w:space="0" w:color="auto"/>
          </w:divBdr>
        </w:div>
      </w:divsChild>
    </w:div>
    <w:div w:id="160976189">
      <w:bodyDiv w:val="1"/>
      <w:marLeft w:val="0"/>
      <w:marRight w:val="0"/>
      <w:marTop w:val="0"/>
      <w:marBottom w:val="0"/>
      <w:divBdr>
        <w:top w:val="none" w:sz="0" w:space="0" w:color="auto"/>
        <w:left w:val="none" w:sz="0" w:space="0" w:color="auto"/>
        <w:bottom w:val="none" w:sz="0" w:space="0" w:color="auto"/>
        <w:right w:val="none" w:sz="0" w:space="0" w:color="auto"/>
      </w:divBdr>
      <w:divsChild>
        <w:div w:id="167062936">
          <w:marLeft w:val="640"/>
          <w:marRight w:val="0"/>
          <w:marTop w:val="0"/>
          <w:marBottom w:val="0"/>
          <w:divBdr>
            <w:top w:val="none" w:sz="0" w:space="0" w:color="auto"/>
            <w:left w:val="none" w:sz="0" w:space="0" w:color="auto"/>
            <w:bottom w:val="none" w:sz="0" w:space="0" w:color="auto"/>
            <w:right w:val="none" w:sz="0" w:space="0" w:color="auto"/>
          </w:divBdr>
        </w:div>
        <w:div w:id="325549758">
          <w:marLeft w:val="640"/>
          <w:marRight w:val="0"/>
          <w:marTop w:val="0"/>
          <w:marBottom w:val="0"/>
          <w:divBdr>
            <w:top w:val="none" w:sz="0" w:space="0" w:color="auto"/>
            <w:left w:val="none" w:sz="0" w:space="0" w:color="auto"/>
            <w:bottom w:val="none" w:sz="0" w:space="0" w:color="auto"/>
            <w:right w:val="none" w:sz="0" w:space="0" w:color="auto"/>
          </w:divBdr>
        </w:div>
        <w:div w:id="324168834">
          <w:marLeft w:val="640"/>
          <w:marRight w:val="0"/>
          <w:marTop w:val="0"/>
          <w:marBottom w:val="0"/>
          <w:divBdr>
            <w:top w:val="none" w:sz="0" w:space="0" w:color="auto"/>
            <w:left w:val="none" w:sz="0" w:space="0" w:color="auto"/>
            <w:bottom w:val="none" w:sz="0" w:space="0" w:color="auto"/>
            <w:right w:val="none" w:sz="0" w:space="0" w:color="auto"/>
          </w:divBdr>
        </w:div>
        <w:div w:id="450789084">
          <w:marLeft w:val="640"/>
          <w:marRight w:val="0"/>
          <w:marTop w:val="0"/>
          <w:marBottom w:val="0"/>
          <w:divBdr>
            <w:top w:val="none" w:sz="0" w:space="0" w:color="auto"/>
            <w:left w:val="none" w:sz="0" w:space="0" w:color="auto"/>
            <w:bottom w:val="none" w:sz="0" w:space="0" w:color="auto"/>
            <w:right w:val="none" w:sz="0" w:space="0" w:color="auto"/>
          </w:divBdr>
        </w:div>
        <w:div w:id="1117723682">
          <w:marLeft w:val="640"/>
          <w:marRight w:val="0"/>
          <w:marTop w:val="0"/>
          <w:marBottom w:val="0"/>
          <w:divBdr>
            <w:top w:val="none" w:sz="0" w:space="0" w:color="auto"/>
            <w:left w:val="none" w:sz="0" w:space="0" w:color="auto"/>
            <w:bottom w:val="none" w:sz="0" w:space="0" w:color="auto"/>
            <w:right w:val="none" w:sz="0" w:space="0" w:color="auto"/>
          </w:divBdr>
        </w:div>
        <w:div w:id="518466631">
          <w:marLeft w:val="640"/>
          <w:marRight w:val="0"/>
          <w:marTop w:val="0"/>
          <w:marBottom w:val="0"/>
          <w:divBdr>
            <w:top w:val="none" w:sz="0" w:space="0" w:color="auto"/>
            <w:left w:val="none" w:sz="0" w:space="0" w:color="auto"/>
            <w:bottom w:val="none" w:sz="0" w:space="0" w:color="auto"/>
            <w:right w:val="none" w:sz="0" w:space="0" w:color="auto"/>
          </w:divBdr>
        </w:div>
        <w:div w:id="36439343">
          <w:marLeft w:val="640"/>
          <w:marRight w:val="0"/>
          <w:marTop w:val="0"/>
          <w:marBottom w:val="0"/>
          <w:divBdr>
            <w:top w:val="none" w:sz="0" w:space="0" w:color="auto"/>
            <w:left w:val="none" w:sz="0" w:space="0" w:color="auto"/>
            <w:bottom w:val="none" w:sz="0" w:space="0" w:color="auto"/>
            <w:right w:val="none" w:sz="0" w:space="0" w:color="auto"/>
          </w:divBdr>
        </w:div>
        <w:div w:id="945966157">
          <w:marLeft w:val="640"/>
          <w:marRight w:val="0"/>
          <w:marTop w:val="0"/>
          <w:marBottom w:val="0"/>
          <w:divBdr>
            <w:top w:val="none" w:sz="0" w:space="0" w:color="auto"/>
            <w:left w:val="none" w:sz="0" w:space="0" w:color="auto"/>
            <w:bottom w:val="none" w:sz="0" w:space="0" w:color="auto"/>
            <w:right w:val="none" w:sz="0" w:space="0" w:color="auto"/>
          </w:divBdr>
        </w:div>
        <w:div w:id="192035768">
          <w:marLeft w:val="640"/>
          <w:marRight w:val="0"/>
          <w:marTop w:val="0"/>
          <w:marBottom w:val="0"/>
          <w:divBdr>
            <w:top w:val="none" w:sz="0" w:space="0" w:color="auto"/>
            <w:left w:val="none" w:sz="0" w:space="0" w:color="auto"/>
            <w:bottom w:val="none" w:sz="0" w:space="0" w:color="auto"/>
            <w:right w:val="none" w:sz="0" w:space="0" w:color="auto"/>
          </w:divBdr>
        </w:div>
        <w:div w:id="1520655089">
          <w:marLeft w:val="640"/>
          <w:marRight w:val="0"/>
          <w:marTop w:val="0"/>
          <w:marBottom w:val="0"/>
          <w:divBdr>
            <w:top w:val="none" w:sz="0" w:space="0" w:color="auto"/>
            <w:left w:val="none" w:sz="0" w:space="0" w:color="auto"/>
            <w:bottom w:val="none" w:sz="0" w:space="0" w:color="auto"/>
            <w:right w:val="none" w:sz="0" w:space="0" w:color="auto"/>
          </w:divBdr>
        </w:div>
        <w:div w:id="180515876">
          <w:marLeft w:val="640"/>
          <w:marRight w:val="0"/>
          <w:marTop w:val="0"/>
          <w:marBottom w:val="0"/>
          <w:divBdr>
            <w:top w:val="none" w:sz="0" w:space="0" w:color="auto"/>
            <w:left w:val="none" w:sz="0" w:space="0" w:color="auto"/>
            <w:bottom w:val="none" w:sz="0" w:space="0" w:color="auto"/>
            <w:right w:val="none" w:sz="0" w:space="0" w:color="auto"/>
          </w:divBdr>
        </w:div>
        <w:div w:id="2049068531">
          <w:marLeft w:val="640"/>
          <w:marRight w:val="0"/>
          <w:marTop w:val="0"/>
          <w:marBottom w:val="0"/>
          <w:divBdr>
            <w:top w:val="none" w:sz="0" w:space="0" w:color="auto"/>
            <w:left w:val="none" w:sz="0" w:space="0" w:color="auto"/>
            <w:bottom w:val="none" w:sz="0" w:space="0" w:color="auto"/>
            <w:right w:val="none" w:sz="0" w:space="0" w:color="auto"/>
          </w:divBdr>
        </w:div>
        <w:div w:id="1242711656">
          <w:marLeft w:val="640"/>
          <w:marRight w:val="0"/>
          <w:marTop w:val="0"/>
          <w:marBottom w:val="0"/>
          <w:divBdr>
            <w:top w:val="none" w:sz="0" w:space="0" w:color="auto"/>
            <w:left w:val="none" w:sz="0" w:space="0" w:color="auto"/>
            <w:bottom w:val="none" w:sz="0" w:space="0" w:color="auto"/>
            <w:right w:val="none" w:sz="0" w:space="0" w:color="auto"/>
          </w:divBdr>
        </w:div>
        <w:div w:id="1151099130">
          <w:marLeft w:val="640"/>
          <w:marRight w:val="0"/>
          <w:marTop w:val="0"/>
          <w:marBottom w:val="0"/>
          <w:divBdr>
            <w:top w:val="none" w:sz="0" w:space="0" w:color="auto"/>
            <w:left w:val="none" w:sz="0" w:space="0" w:color="auto"/>
            <w:bottom w:val="none" w:sz="0" w:space="0" w:color="auto"/>
            <w:right w:val="none" w:sz="0" w:space="0" w:color="auto"/>
          </w:divBdr>
        </w:div>
        <w:div w:id="1231228304">
          <w:marLeft w:val="640"/>
          <w:marRight w:val="0"/>
          <w:marTop w:val="0"/>
          <w:marBottom w:val="0"/>
          <w:divBdr>
            <w:top w:val="none" w:sz="0" w:space="0" w:color="auto"/>
            <w:left w:val="none" w:sz="0" w:space="0" w:color="auto"/>
            <w:bottom w:val="none" w:sz="0" w:space="0" w:color="auto"/>
            <w:right w:val="none" w:sz="0" w:space="0" w:color="auto"/>
          </w:divBdr>
        </w:div>
        <w:div w:id="949970983">
          <w:marLeft w:val="640"/>
          <w:marRight w:val="0"/>
          <w:marTop w:val="0"/>
          <w:marBottom w:val="0"/>
          <w:divBdr>
            <w:top w:val="none" w:sz="0" w:space="0" w:color="auto"/>
            <w:left w:val="none" w:sz="0" w:space="0" w:color="auto"/>
            <w:bottom w:val="none" w:sz="0" w:space="0" w:color="auto"/>
            <w:right w:val="none" w:sz="0" w:space="0" w:color="auto"/>
          </w:divBdr>
        </w:div>
        <w:div w:id="727845795">
          <w:marLeft w:val="640"/>
          <w:marRight w:val="0"/>
          <w:marTop w:val="0"/>
          <w:marBottom w:val="0"/>
          <w:divBdr>
            <w:top w:val="none" w:sz="0" w:space="0" w:color="auto"/>
            <w:left w:val="none" w:sz="0" w:space="0" w:color="auto"/>
            <w:bottom w:val="none" w:sz="0" w:space="0" w:color="auto"/>
            <w:right w:val="none" w:sz="0" w:space="0" w:color="auto"/>
          </w:divBdr>
        </w:div>
        <w:div w:id="1206259273">
          <w:marLeft w:val="640"/>
          <w:marRight w:val="0"/>
          <w:marTop w:val="0"/>
          <w:marBottom w:val="0"/>
          <w:divBdr>
            <w:top w:val="none" w:sz="0" w:space="0" w:color="auto"/>
            <w:left w:val="none" w:sz="0" w:space="0" w:color="auto"/>
            <w:bottom w:val="none" w:sz="0" w:space="0" w:color="auto"/>
            <w:right w:val="none" w:sz="0" w:space="0" w:color="auto"/>
          </w:divBdr>
        </w:div>
        <w:div w:id="171073573">
          <w:marLeft w:val="640"/>
          <w:marRight w:val="0"/>
          <w:marTop w:val="0"/>
          <w:marBottom w:val="0"/>
          <w:divBdr>
            <w:top w:val="none" w:sz="0" w:space="0" w:color="auto"/>
            <w:left w:val="none" w:sz="0" w:space="0" w:color="auto"/>
            <w:bottom w:val="none" w:sz="0" w:space="0" w:color="auto"/>
            <w:right w:val="none" w:sz="0" w:space="0" w:color="auto"/>
          </w:divBdr>
        </w:div>
        <w:div w:id="622658966">
          <w:marLeft w:val="640"/>
          <w:marRight w:val="0"/>
          <w:marTop w:val="0"/>
          <w:marBottom w:val="0"/>
          <w:divBdr>
            <w:top w:val="none" w:sz="0" w:space="0" w:color="auto"/>
            <w:left w:val="none" w:sz="0" w:space="0" w:color="auto"/>
            <w:bottom w:val="none" w:sz="0" w:space="0" w:color="auto"/>
            <w:right w:val="none" w:sz="0" w:space="0" w:color="auto"/>
          </w:divBdr>
        </w:div>
        <w:div w:id="1679187564">
          <w:marLeft w:val="640"/>
          <w:marRight w:val="0"/>
          <w:marTop w:val="0"/>
          <w:marBottom w:val="0"/>
          <w:divBdr>
            <w:top w:val="none" w:sz="0" w:space="0" w:color="auto"/>
            <w:left w:val="none" w:sz="0" w:space="0" w:color="auto"/>
            <w:bottom w:val="none" w:sz="0" w:space="0" w:color="auto"/>
            <w:right w:val="none" w:sz="0" w:space="0" w:color="auto"/>
          </w:divBdr>
        </w:div>
        <w:div w:id="241568567">
          <w:marLeft w:val="640"/>
          <w:marRight w:val="0"/>
          <w:marTop w:val="0"/>
          <w:marBottom w:val="0"/>
          <w:divBdr>
            <w:top w:val="none" w:sz="0" w:space="0" w:color="auto"/>
            <w:left w:val="none" w:sz="0" w:space="0" w:color="auto"/>
            <w:bottom w:val="none" w:sz="0" w:space="0" w:color="auto"/>
            <w:right w:val="none" w:sz="0" w:space="0" w:color="auto"/>
          </w:divBdr>
        </w:div>
        <w:div w:id="922757247">
          <w:marLeft w:val="640"/>
          <w:marRight w:val="0"/>
          <w:marTop w:val="0"/>
          <w:marBottom w:val="0"/>
          <w:divBdr>
            <w:top w:val="none" w:sz="0" w:space="0" w:color="auto"/>
            <w:left w:val="none" w:sz="0" w:space="0" w:color="auto"/>
            <w:bottom w:val="none" w:sz="0" w:space="0" w:color="auto"/>
            <w:right w:val="none" w:sz="0" w:space="0" w:color="auto"/>
          </w:divBdr>
        </w:div>
        <w:div w:id="998457952">
          <w:marLeft w:val="640"/>
          <w:marRight w:val="0"/>
          <w:marTop w:val="0"/>
          <w:marBottom w:val="0"/>
          <w:divBdr>
            <w:top w:val="none" w:sz="0" w:space="0" w:color="auto"/>
            <w:left w:val="none" w:sz="0" w:space="0" w:color="auto"/>
            <w:bottom w:val="none" w:sz="0" w:space="0" w:color="auto"/>
            <w:right w:val="none" w:sz="0" w:space="0" w:color="auto"/>
          </w:divBdr>
        </w:div>
        <w:div w:id="1653824729">
          <w:marLeft w:val="640"/>
          <w:marRight w:val="0"/>
          <w:marTop w:val="0"/>
          <w:marBottom w:val="0"/>
          <w:divBdr>
            <w:top w:val="none" w:sz="0" w:space="0" w:color="auto"/>
            <w:left w:val="none" w:sz="0" w:space="0" w:color="auto"/>
            <w:bottom w:val="none" w:sz="0" w:space="0" w:color="auto"/>
            <w:right w:val="none" w:sz="0" w:space="0" w:color="auto"/>
          </w:divBdr>
        </w:div>
        <w:div w:id="854853037">
          <w:marLeft w:val="640"/>
          <w:marRight w:val="0"/>
          <w:marTop w:val="0"/>
          <w:marBottom w:val="0"/>
          <w:divBdr>
            <w:top w:val="none" w:sz="0" w:space="0" w:color="auto"/>
            <w:left w:val="none" w:sz="0" w:space="0" w:color="auto"/>
            <w:bottom w:val="none" w:sz="0" w:space="0" w:color="auto"/>
            <w:right w:val="none" w:sz="0" w:space="0" w:color="auto"/>
          </w:divBdr>
        </w:div>
        <w:div w:id="896623747">
          <w:marLeft w:val="640"/>
          <w:marRight w:val="0"/>
          <w:marTop w:val="0"/>
          <w:marBottom w:val="0"/>
          <w:divBdr>
            <w:top w:val="none" w:sz="0" w:space="0" w:color="auto"/>
            <w:left w:val="none" w:sz="0" w:space="0" w:color="auto"/>
            <w:bottom w:val="none" w:sz="0" w:space="0" w:color="auto"/>
            <w:right w:val="none" w:sz="0" w:space="0" w:color="auto"/>
          </w:divBdr>
        </w:div>
        <w:div w:id="1160119012">
          <w:marLeft w:val="640"/>
          <w:marRight w:val="0"/>
          <w:marTop w:val="0"/>
          <w:marBottom w:val="0"/>
          <w:divBdr>
            <w:top w:val="none" w:sz="0" w:space="0" w:color="auto"/>
            <w:left w:val="none" w:sz="0" w:space="0" w:color="auto"/>
            <w:bottom w:val="none" w:sz="0" w:space="0" w:color="auto"/>
            <w:right w:val="none" w:sz="0" w:space="0" w:color="auto"/>
          </w:divBdr>
        </w:div>
        <w:div w:id="1678658411">
          <w:marLeft w:val="640"/>
          <w:marRight w:val="0"/>
          <w:marTop w:val="0"/>
          <w:marBottom w:val="0"/>
          <w:divBdr>
            <w:top w:val="none" w:sz="0" w:space="0" w:color="auto"/>
            <w:left w:val="none" w:sz="0" w:space="0" w:color="auto"/>
            <w:bottom w:val="none" w:sz="0" w:space="0" w:color="auto"/>
            <w:right w:val="none" w:sz="0" w:space="0" w:color="auto"/>
          </w:divBdr>
        </w:div>
        <w:div w:id="1483159238">
          <w:marLeft w:val="640"/>
          <w:marRight w:val="0"/>
          <w:marTop w:val="0"/>
          <w:marBottom w:val="0"/>
          <w:divBdr>
            <w:top w:val="none" w:sz="0" w:space="0" w:color="auto"/>
            <w:left w:val="none" w:sz="0" w:space="0" w:color="auto"/>
            <w:bottom w:val="none" w:sz="0" w:space="0" w:color="auto"/>
            <w:right w:val="none" w:sz="0" w:space="0" w:color="auto"/>
          </w:divBdr>
        </w:div>
        <w:div w:id="42295688">
          <w:marLeft w:val="640"/>
          <w:marRight w:val="0"/>
          <w:marTop w:val="0"/>
          <w:marBottom w:val="0"/>
          <w:divBdr>
            <w:top w:val="none" w:sz="0" w:space="0" w:color="auto"/>
            <w:left w:val="none" w:sz="0" w:space="0" w:color="auto"/>
            <w:bottom w:val="none" w:sz="0" w:space="0" w:color="auto"/>
            <w:right w:val="none" w:sz="0" w:space="0" w:color="auto"/>
          </w:divBdr>
        </w:div>
        <w:div w:id="1751808930">
          <w:marLeft w:val="640"/>
          <w:marRight w:val="0"/>
          <w:marTop w:val="0"/>
          <w:marBottom w:val="0"/>
          <w:divBdr>
            <w:top w:val="none" w:sz="0" w:space="0" w:color="auto"/>
            <w:left w:val="none" w:sz="0" w:space="0" w:color="auto"/>
            <w:bottom w:val="none" w:sz="0" w:space="0" w:color="auto"/>
            <w:right w:val="none" w:sz="0" w:space="0" w:color="auto"/>
          </w:divBdr>
        </w:div>
        <w:div w:id="360327656">
          <w:marLeft w:val="640"/>
          <w:marRight w:val="0"/>
          <w:marTop w:val="0"/>
          <w:marBottom w:val="0"/>
          <w:divBdr>
            <w:top w:val="none" w:sz="0" w:space="0" w:color="auto"/>
            <w:left w:val="none" w:sz="0" w:space="0" w:color="auto"/>
            <w:bottom w:val="none" w:sz="0" w:space="0" w:color="auto"/>
            <w:right w:val="none" w:sz="0" w:space="0" w:color="auto"/>
          </w:divBdr>
        </w:div>
        <w:div w:id="2120367473">
          <w:marLeft w:val="640"/>
          <w:marRight w:val="0"/>
          <w:marTop w:val="0"/>
          <w:marBottom w:val="0"/>
          <w:divBdr>
            <w:top w:val="none" w:sz="0" w:space="0" w:color="auto"/>
            <w:left w:val="none" w:sz="0" w:space="0" w:color="auto"/>
            <w:bottom w:val="none" w:sz="0" w:space="0" w:color="auto"/>
            <w:right w:val="none" w:sz="0" w:space="0" w:color="auto"/>
          </w:divBdr>
        </w:div>
        <w:div w:id="858204138">
          <w:marLeft w:val="640"/>
          <w:marRight w:val="0"/>
          <w:marTop w:val="0"/>
          <w:marBottom w:val="0"/>
          <w:divBdr>
            <w:top w:val="none" w:sz="0" w:space="0" w:color="auto"/>
            <w:left w:val="none" w:sz="0" w:space="0" w:color="auto"/>
            <w:bottom w:val="none" w:sz="0" w:space="0" w:color="auto"/>
            <w:right w:val="none" w:sz="0" w:space="0" w:color="auto"/>
          </w:divBdr>
        </w:div>
        <w:div w:id="234517026">
          <w:marLeft w:val="640"/>
          <w:marRight w:val="0"/>
          <w:marTop w:val="0"/>
          <w:marBottom w:val="0"/>
          <w:divBdr>
            <w:top w:val="none" w:sz="0" w:space="0" w:color="auto"/>
            <w:left w:val="none" w:sz="0" w:space="0" w:color="auto"/>
            <w:bottom w:val="none" w:sz="0" w:space="0" w:color="auto"/>
            <w:right w:val="none" w:sz="0" w:space="0" w:color="auto"/>
          </w:divBdr>
        </w:div>
        <w:div w:id="1150056782">
          <w:marLeft w:val="640"/>
          <w:marRight w:val="0"/>
          <w:marTop w:val="0"/>
          <w:marBottom w:val="0"/>
          <w:divBdr>
            <w:top w:val="none" w:sz="0" w:space="0" w:color="auto"/>
            <w:left w:val="none" w:sz="0" w:space="0" w:color="auto"/>
            <w:bottom w:val="none" w:sz="0" w:space="0" w:color="auto"/>
            <w:right w:val="none" w:sz="0" w:space="0" w:color="auto"/>
          </w:divBdr>
        </w:div>
        <w:div w:id="1088695916">
          <w:marLeft w:val="640"/>
          <w:marRight w:val="0"/>
          <w:marTop w:val="0"/>
          <w:marBottom w:val="0"/>
          <w:divBdr>
            <w:top w:val="none" w:sz="0" w:space="0" w:color="auto"/>
            <w:left w:val="none" w:sz="0" w:space="0" w:color="auto"/>
            <w:bottom w:val="none" w:sz="0" w:space="0" w:color="auto"/>
            <w:right w:val="none" w:sz="0" w:space="0" w:color="auto"/>
          </w:divBdr>
        </w:div>
        <w:div w:id="1134910901">
          <w:marLeft w:val="640"/>
          <w:marRight w:val="0"/>
          <w:marTop w:val="0"/>
          <w:marBottom w:val="0"/>
          <w:divBdr>
            <w:top w:val="none" w:sz="0" w:space="0" w:color="auto"/>
            <w:left w:val="none" w:sz="0" w:space="0" w:color="auto"/>
            <w:bottom w:val="none" w:sz="0" w:space="0" w:color="auto"/>
            <w:right w:val="none" w:sz="0" w:space="0" w:color="auto"/>
          </w:divBdr>
        </w:div>
        <w:div w:id="2080708131">
          <w:marLeft w:val="640"/>
          <w:marRight w:val="0"/>
          <w:marTop w:val="0"/>
          <w:marBottom w:val="0"/>
          <w:divBdr>
            <w:top w:val="none" w:sz="0" w:space="0" w:color="auto"/>
            <w:left w:val="none" w:sz="0" w:space="0" w:color="auto"/>
            <w:bottom w:val="none" w:sz="0" w:space="0" w:color="auto"/>
            <w:right w:val="none" w:sz="0" w:space="0" w:color="auto"/>
          </w:divBdr>
        </w:div>
        <w:div w:id="444271211">
          <w:marLeft w:val="640"/>
          <w:marRight w:val="0"/>
          <w:marTop w:val="0"/>
          <w:marBottom w:val="0"/>
          <w:divBdr>
            <w:top w:val="none" w:sz="0" w:space="0" w:color="auto"/>
            <w:left w:val="none" w:sz="0" w:space="0" w:color="auto"/>
            <w:bottom w:val="none" w:sz="0" w:space="0" w:color="auto"/>
            <w:right w:val="none" w:sz="0" w:space="0" w:color="auto"/>
          </w:divBdr>
        </w:div>
        <w:div w:id="1227253764">
          <w:marLeft w:val="640"/>
          <w:marRight w:val="0"/>
          <w:marTop w:val="0"/>
          <w:marBottom w:val="0"/>
          <w:divBdr>
            <w:top w:val="none" w:sz="0" w:space="0" w:color="auto"/>
            <w:left w:val="none" w:sz="0" w:space="0" w:color="auto"/>
            <w:bottom w:val="none" w:sz="0" w:space="0" w:color="auto"/>
            <w:right w:val="none" w:sz="0" w:space="0" w:color="auto"/>
          </w:divBdr>
        </w:div>
        <w:div w:id="453057065">
          <w:marLeft w:val="640"/>
          <w:marRight w:val="0"/>
          <w:marTop w:val="0"/>
          <w:marBottom w:val="0"/>
          <w:divBdr>
            <w:top w:val="none" w:sz="0" w:space="0" w:color="auto"/>
            <w:left w:val="none" w:sz="0" w:space="0" w:color="auto"/>
            <w:bottom w:val="none" w:sz="0" w:space="0" w:color="auto"/>
            <w:right w:val="none" w:sz="0" w:space="0" w:color="auto"/>
          </w:divBdr>
        </w:div>
        <w:div w:id="924917594">
          <w:marLeft w:val="640"/>
          <w:marRight w:val="0"/>
          <w:marTop w:val="0"/>
          <w:marBottom w:val="0"/>
          <w:divBdr>
            <w:top w:val="none" w:sz="0" w:space="0" w:color="auto"/>
            <w:left w:val="none" w:sz="0" w:space="0" w:color="auto"/>
            <w:bottom w:val="none" w:sz="0" w:space="0" w:color="auto"/>
            <w:right w:val="none" w:sz="0" w:space="0" w:color="auto"/>
          </w:divBdr>
        </w:div>
        <w:div w:id="318577430">
          <w:marLeft w:val="640"/>
          <w:marRight w:val="0"/>
          <w:marTop w:val="0"/>
          <w:marBottom w:val="0"/>
          <w:divBdr>
            <w:top w:val="none" w:sz="0" w:space="0" w:color="auto"/>
            <w:left w:val="none" w:sz="0" w:space="0" w:color="auto"/>
            <w:bottom w:val="none" w:sz="0" w:space="0" w:color="auto"/>
            <w:right w:val="none" w:sz="0" w:space="0" w:color="auto"/>
          </w:divBdr>
        </w:div>
        <w:div w:id="902451226">
          <w:marLeft w:val="640"/>
          <w:marRight w:val="0"/>
          <w:marTop w:val="0"/>
          <w:marBottom w:val="0"/>
          <w:divBdr>
            <w:top w:val="none" w:sz="0" w:space="0" w:color="auto"/>
            <w:left w:val="none" w:sz="0" w:space="0" w:color="auto"/>
            <w:bottom w:val="none" w:sz="0" w:space="0" w:color="auto"/>
            <w:right w:val="none" w:sz="0" w:space="0" w:color="auto"/>
          </w:divBdr>
        </w:div>
        <w:div w:id="812136922">
          <w:marLeft w:val="640"/>
          <w:marRight w:val="0"/>
          <w:marTop w:val="0"/>
          <w:marBottom w:val="0"/>
          <w:divBdr>
            <w:top w:val="none" w:sz="0" w:space="0" w:color="auto"/>
            <w:left w:val="none" w:sz="0" w:space="0" w:color="auto"/>
            <w:bottom w:val="none" w:sz="0" w:space="0" w:color="auto"/>
            <w:right w:val="none" w:sz="0" w:space="0" w:color="auto"/>
          </w:divBdr>
        </w:div>
        <w:div w:id="1594628500">
          <w:marLeft w:val="640"/>
          <w:marRight w:val="0"/>
          <w:marTop w:val="0"/>
          <w:marBottom w:val="0"/>
          <w:divBdr>
            <w:top w:val="none" w:sz="0" w:space="0" w:color="auto"/>
            <w:left w:val="none" w:sz="0" w:space="0" w:color="auto"/>
            <w:bottom w:val="none" w:sz="0" w:space="0" w:color="auto"/>
            <w:right w:val="none" w:sz="0" w:space="0" w:color="auto"/>
          </w:divBdr>
        </w:div>
        <w:div w:id="1715501150">
          <w:marLeft w:val="640"/>
          <w:marRight w:val="0"/>
          <w:marTop w:val="0"/>
          <w:marBottom w:val="0"/>
          <w:divBdr>
            <w:top w:val="none" w:sz="0" w:space="0" w:color="auto"/>
            <w:left w:val="none" w:sz="0" w:space="0" w:color="auto"/>
            <w:bottom w:val="none" w:sz="0" w:space="0" w:color="auto"/>
            <w:right w:val="none" w:sz="0" w:space="0" w:color="auto"/>
          </w:divBdr>
        </w:div>
        <w:div w:id="421755607">
          <w:marLeft w:val="640"/>
          <w:marRight w:val="0"/>
          <w:marTop w:val="0"/>
          <w:marBottom w:val="0"/>
          <w:divBdr>
            <w:top w:val="none" w:sz="0" w:space="0" w:color="auto"/>
            <w:left w:val="none" w:sz="0" w:space="0" w:color="auto"/>
            <w:bottom w:val="none" w:sz="0" w:space="0" w:color="auto"/>
            <w:right w:val="none" w:sz="0" w:space="0" w:color="auto"/>
          </w:divBdr>
        </w:div>
        <w:div w:id="467745801">
          <w:marLeft w:val="640"/>
          <w:marRight w:val="0"/>
          <w:marTop w:val="0"/>
          <w:marBottom w:val="0"/>
          <w:divBdr>
            <w:top w:val="none" w:sz="0" w:space="0" w:color="auto"/>
            <w:left w:val="none" w:sz="0" w:space="0" w:color="auto"/>
            <w:bottom w:val="none" w:sz="0" w:space="0" w:color="auto"/>
            <w:right w:val="none" w:sz="0" w:space="0" w:color="auto"/>
          </w:divBdr>
        </w:div>
        <w:div w:id="27728508">
          <w:marLeft w:val="640"/>
          <w:marRight w:val="0"/>
          <w:marTop w:val="0"/>
          <w:marBottom w:val="0"/>
          <w:divBdr>
            <w:top w:val="none" w:sz="0" w:space="0" w:color="auto"/>
            <w:left w:val="none" w:sz="0" w:space="0" w:color="auto"/>
            <w:bottom w:val="none" w:sz="0" w:space="0" w:color="auto"/>
            <w:right w:val="none" w:sz="0" w:space="0" w:color="auto"/>
          </w:divBdr>
        </w:div>
        <w:div w:id="1796751708">
          <w:marLeft w:val="640"/>
          <w:marRight w:val="0"/>
          <w:marTop w:val="0"/>
          <w:marBottom w:val="0"/>
          <w:divBdr>
            <w:top w:val="none" w:sz="0" w:space="0" w:color="auto"/>
            <w:left w:val="none" w:sz="0" w:space="0" w:color="auto"/>
            <w:bottom w:val="none" w:sz="0" w:space="0" w:color="auto"/>
            <w:right w:val="none" w:sz="0" w:space="0" w:color="auto"/>
          </w:divBdr>
        </w:div>
        <w:div w:id="772632371">
          <w:marLeft w:val="640"/>
          <w:marRight w:val="0"/>
          <w:marTop w:val="0"/>
          <w:marBottom w:val="0"/>
          <w:divBdr>
            <w:top w:val="none" w:sz="0" w:space="0" w:color="auto"/>
            <w:left w:val="none" w:sz="0" w:space="0" w:color="auto"/>
            <w:bottom w:val="none" w:sz="0" w:space="0" w:color="auto"/>
            <w:right w:val="none" w:sz="0" w:space="0" w:color="auto"/>
          </w:divBdr>
        </w:div>
        <w:div w:id="81293583">
          <w:marLeft w:val="640"/>
          <w:marRight w:val="0"/>
          <w:marTop w:val="0"/>
          <w:marBottom w:val="0"/>
          <w:divBdr>
            <w:top w:val="none" w:sz="0" w:space="0" w:color="auto"/>
            <w:left w:val="none" w:sz="0" w:space="0" w:color="auto"/>
            <w:bottom w:val="none" w:sz="0" w:space="0" w:color="auto"/>
            <w:right w:val="none" w:sz="0" w:space="0" w:color="auto"/>
          </w:divBdr>
        </w:div>
        <w:div w:id="1944418539">
          <w:marLeft w:val="640"/>
          <w:marRight w:val="0"/>
          <w:marTop w:val="0"/>
          <w:marBottom w:val="0"/>
          <w:divBdr>
            <w:top w:val="none" w:sz="0" w:space="0" w:color="auto"/>
            <w:left w:val="none" w:sz="0" w:space="0" w:color="auto"/>
            <w:bottom w:val="none" w:sz="0" w:space="0" w:color="auto"/>
            <w:right w:val="none" w:sz="0" w:space="0" w:color="auto"/>
          </w:divBdr>
        </w:div>
        <w:div w:id="888800716">
          <w:marLeft w:val="640"/>
          <w:marRight w:val="0"/>
          <w:marTop w:val="0"/>
          <w:marBottom w:val="0"/>
          <w:divBdr>
            <w:top w:val="none" w:sz="0" w:space="0" w:color="auto"/>
            <w:left w:val="none" w:sz="0" w:space="0" w:color="auto"/>
            <w:bottom w:val="none" w:sz="0" w:space="0" w:color="auto"/>
            <w:right w:val="none" w:sz="0" w:space="0" w:color="auto"/>
          </w:divBdr>
        </w:div>
        <w:div w:id="542713190">
          <w:marLeft w:val="640"/>
          <w:marRight w:val="0"/>
          <w:marTop w:val="0"/>
          <w:marBottom w:val="0"/>
          <w:divBdr>
            <w:top w:val="none" w:sz="0" w:space="0" w:color="auto"/>
            <w:left w:val="none" w:sz="0" w:space="0" w:color="auto"/>
            <w:bottom w:val="none" w:sz="0" w:space="0" w:color="auto"/>
            <w:right w:val="none" w:sz="0" w:space="0" w:color="auto"/>
          </w:divBdr>
        </w:div>
        <w:div w:id="1136340340">
          <w:marLeft w:val="640"/>
          <w:marRight w:val="0"/>
          <w:marTop w:val="0"/>
          <w:marBottom w:val="0"/>
          <w:divBdr>
            <w:top w:val="none" w:sz="0" w:space="0" w:color="auto"/>
            <w:left w:val="none" w:sz="0" w:space="0" w:color="auto"/>
            <w:bottom w:val="none" w:sz="0" w:space="0" w:color="auto"/>
            <w:right w:val="none" w:sz="0" w:space="0" w:color="auto"/>
          </w:divBdr>
        </w:div>
        <w:div w:id="614219038">
          <w:marLeft w:val="640"/>
          <w:marRight w:val="0"/>
          <w:marTop w:val="0"/>
          <w:marBottom w:val="0"/>
          <w:divBdr>
            <w:top w:val="none" w:sz="0" w:space="0" w:color="auto"/>
            <w:left w:val="none" w:sz="0" w:space="0" w:color="auto"/>
            <w:bottom w:val="none" w:sz="0" w:space="0" w:color="auto"/>
            <w:right w:val="none" w:sz="0" w:space="0" w:color="auto"/>
          </w:divBdr>
        </w:div>
        <w:div w:id="1167358143">
          <w:marLeft w:val="640"/>
          <w:marRight w:val="0"/>
          <w:marTop w:val="0"/>
          <w:marBottom w:val="0"/>
          <w:divBdr>
            <w:top w:val="none" w:sz="0" w:space="0" w:color="auto"/>
            <w:left w:val="none" w:sz="0" w:space="0" w:color="auto"/>
            <w:bottom w:val="none" w:sz="0" w:space="0" w:color="auto"/>
            <w:right w:val="none" w:sz="0" w:space="0" w:color="auto"/>
          </w:divBdr>
        </w:div>
        <w:div w:id="186409008">
          <w:marLeft w:val="640"/>
          <w:marRight w:val="0"/>
          <w:marTop w:val="0"/>
          <w:marBottom w:val="0"/>
          <w:divBdr>
            <w:top w:val="none" w:sz="0" w:space="0" w:color="auto"/>
            <w:left w:val="none" w:sz="0" w:space="0" w:color="auto"/>
            <w:bottom w:val="none" w:sz="0" w:space="0" w:color="auto"/>
            <w:right w:val="none" w:sz="0" w:space="0" w:color="auto"/>
          </w:divBdr>
        </w:div>
        <w:div w:id="1282304385">
          <w:marLeft w:val="640"/>
          <w:marRight w:val="0"/>
          <w:marTop w:val="0"/>
          <w:marBottom w:val="0"/>
          <w:divBdr>
            <w:top w:val="none" w:sz="0" w:space="0" w:color="auto"/>
            <w:left w:val="none" w:sz="0" w:space="0" w:color="auto"/>
            <w:bottom w:val="none" w:sz="0" w:space="0" w:color="auto"/>
            <w:right w:val="none" w:sz="0" w:space="0" w:color="auto"/>
          </w:divBdr>
        </w:div>
        <w:div w:id="49496410">
          <w:marLeft w:val="640"/>
          <w:marRight w:val="0"/>
          <w:marTop w:val="0"/>
          <w:marBottom w:val="0"/>
          <w:divBdr>
            <w:top w:val="none" w:sz="0" w:space="0" w:color="auto"/>
            <w:left w:val="none" w:sz="0" w:space="0" w:color="auto"/>
            <w:bottom w:val="none" w:sz="0" w:space="0" w:color="auto"/>
            <w:right w:val="none" w:sz="0" w:space="0" w:color="auto"/>
          </w:divBdr>
        </w:div>
        <w:div w:id="1908882412">
          <w:marLeft w:val="640"/>
          <w:marRight w:val="0"/>
          <w:marTop w:val="0"/>
          <w:marBottom w:val="0"/>
          <w:divBdr>
            <w:top w:val="none" w:sz="0" w:space="0" w:color="auto"/>
            <w:left w:val="none" w:sz="0" w:space="0" w:color="auto"/>
            <w:bottom w:val="none" w:sz="0" w:space="0" w:color="auto"/>
            <w:right w:val="none" w:sz="0" w:space="0" w:color="auto"/>
          </w:divBdr>
        </w:div>
        <w:div w:id="1668247623">
          <w:marLeft w:val="640"/>
          <w:marRight w:val="0"/>
          <w:marTop w:val="0"/>
          <w:marBottom w:val="0"/>
          <w:divBdr>
            <w:top w:val="none" w:sz="0" w:space="0" w:color="auto"/>
            <w:left w:val="none" w:sz="0" w:space="0" w:color="auto"/>
            <w:bottom w:val="none" w:sz="0" w:space="0" w:color="auto"/>
            <w:right w:val="none" w:sz="0" w:space="0" w:color="auto"/>
          </w:divBdr>
        </w:div>
        <w:div w:id="1865826893">
          <w:marLeft w:val="640"/>
          <w:marRight w:val="0"/>
          <w:marTop w:val="0"/>
          <w:marBottom w:val="0"/>
          <w:divBdr>
            <w:top w:val="none" w:sz="0" w:space="0" w:color="auto"/>
            <w:left w:val="none" w:sz="0" w:space="0" w:color="auto"/>
            <w:bottom w:val="none" w:sz="0" w:space="0" w:color="auto"/>
            <w:right w:val="none" w:sz="0" w:space="0" w:color="auto"/>
          </w:divBdr>
        </w:div>
        <w:div w:id="34156460">
          <w:marLeft w:val="640"/>
          <w:marRight w:val="0"/>
          <w:marTop w:val="0"/>
          <w:marBottom w:val="0"/>
          <w:divBdr>
            <w:top w:val="none" w:sz="0" w:space="0" w:color="auto"/>
            <w:left w:val="none" w:sz="0" w:space="0" w:color="auto"/>
            <w:bottom w:val="none" w:sz="0" w:space="0" w:color="auto"/>
            <w:right w:val="none" w:sz="0" w:space="0" w:color="auto"/>
          </w:divBdr>
        </w:div>
        <w:div w:id="1535341419">
          <w:marLeft w:val="640"/>
          <w:marRight w:val="0"/>
          <w:marTop w:val="0"/>
          <w:marBottom w:val="0"/>
          <w:divBdr>
            <w:top w:val="none" w:sz="0" w:space="0" w:color="auto"/>
            <w:left w:val="none" w:sz="0" w:space="0" w:color="auto"/>
            <w:bottom w:val="none" w:sz="0" w:space="0" w:color="auto"/>
            <w:right w:val="none" w:sz="0" w:space="0" w:color="auto"/>
          </w:divBdr>
        </w:div>
        <w:div w:id="1248735460">
          <w:marLeft w:val="640"/>
          <w:marRight w:val="0"/>
          <w:marTop w:val="0"/>
          <w:marBottom w:val="0"/>
          <w:divBdr>
            <w:top w:val="none" w:sz="0" w:space="0" w:color="auto"/>
            <w:left w:val="none" w:sz="0" w:space="0" w:color="auto"/>
            <w:bottom w:val="none" w:sz="0" w:space="0" w:color="auto"/>
            <w:right w:val="none" w:sz="0" w:space="0" w:color="auto"/>
          </w:divBdr>
        </w:div>
        <w:div w:id="401755860">
          <w:marLeft w:val="640"/>
          <w:marRight w:val="0"/>
          <w:marTop w:val="0"/>
          <w:marBottom w:val="0"/>
          <w:divBdr>
            <w:top w:val="none" w:sz="0" w:space="0" w:color="auto"/>
            <w:left w:val="none" w:sz="0" w:space="0" w:color="auto"/>
            <w:bottom w:val="none" w:sz="0" w:space="0" w:color="auto"/>
            <w:right w:val="none" w:sz="0" w:space="0" w:color="auto"/>
          </w:divBdr>
        </w:div>
        <w:div w:id="490028143">
          <w:marLeft w:val="640"/>
          <w:marRight w:val="0"/>
          <w:marTop w:val="0"/>
          <w:marBottom w:val="0"/>
          <w:divBdr>
            <w:top w:val="none" w:sz="0" w:space="0" w:color="auto"/>
            <w:left w:val="none" w:sz="0" w:space="0" w:color="auto"/>
            <w:bottom w:val="none" w:sz="0" w:space="0" w:color="auto"/>
            <w:right w:val="none" w:sz="0" w:space="0" w:color="auto"/>
          </w:divBdr>
        </w:div>
        <w:div w:id="866529728">
          <w:marLeft w:val="640"/>
          <w:marRight w:val="0"/>
          <w:marTop w:val="0"/>
          <w:marBottom w:val="0"/>
          <w:divBdr>
            <w:top w:val="none" w:sz="0" w:space="0" w:color="auto"/>
            <w:left w:val="none" w:sz="0" w:space="0" w:color="auto"/>
            <w:bottom w:val="none" w:sz="0" w:space="0" w:color="auto"/>
            <w:right w:val="none" w:sz="0" w:space="0" w:color="auto"/>
          </w:divBdr>
        </w:div>
        <w:div w:id="1724989256">
          <w:marLeft w:val="640"/>
          <w:marRight w:val="0"/>
          <w:marTop w:val="0"/>
          <w:marBottom w:val="0"/>
          <w:divBdr>
            <w:top w:val="none" w:sz="0" w:space="0" w:color="auto"/>
            <w:left w:val="none" w:sz="0" w:space="0" w:color="auto"/>
            <w:bottom w:val="none" w:sz="0" w:space="0" w:color="auto"/>
            <w:right w:val="none" w:sz="0" w:space="0" w:color="auto"/>
          </w:divBdr>
        </w:div>
        <w:div w:id="1179009433">
          <w:marLeft w:val="640"/>
          <w:marRight w:val="0"/>
          <w:marTop w:val="0"/>
          <w:marBottom w:val="0"/>
          <w:divBdr>
            <w:top w:val="none" w:sz="0" w:space="0" w:color="auto"/>
            <w:left w:val="none" w:sz="0" w:space="0" w:color="auto"/>
            <w:bottom w:val="none" w:sz="0" w:space="0" w:color="auto"/>
            <w:right w:val="none" w:sz="0" w:space="0" w:color="auto"/>
          </w:divBdr>
        </w:div>
        <w:div w:id="1537234842">
          <w:marLeft w:val="640"/>
          <w:marRight w:val="0"/>
          <w:marTop w:val="0"/>
          <w:marBottom w:val="0"/>
          <w:divBdr>
            <w:top w:val="none" w:sz="0" w:space="0" w:color="auto"/>
            <w:left w:val="none" w:sz="0" w:space="0" w:color="auto"/>
            <w:bottom w:val="none" w:sz="0" w:space="0" w:color="auto"/>
            <w:right w:val="none" w:sz="0" w:space="0" w:color="auto"/>
          </w:divBdr>
        </w:div>
        <w:div w:id="1296762839">
          <w:marLeft w:val="640"/>
          <w:marRight w:val="0"/>
          <w:marTop w:val="0"/>
          <w:marBottom w:val="0"/>
          <w:divBdr>
            <w:top w:val="none" w:sz="0" w:space="0" w:color="auto"/>
            <w:left w:val="none" w:sz="0" w:space="0" w:color="auto"/>
            <w:bottom w:val="none" w:sz="0" w:space="0" w:color="auto"/>
            <w:right w:val="none" w:sz="0" w:space="0" w:color="auto"/>
          </w:divBdr>
        </w:div>
        <w:div w:id="458307537">
          <w:marLeft w:val="640"/>
          <w:marRight w:val="0"/>
          <w:marTop w:val="0"/>
          <w:marBottom w:val="0"/>
          <w:divBdr>
            <w:top w:val="none" w:sz="0" w:space="0" w:color="auto"/>
            <w:left w:val="none" w:sz="0" w:space="0" w:color="auto"/>
            <w:bottom w:val="none" w:sz="0" w:space="0" w:color="auto"/>
            <w:right w:val="none" w:sz="0" w:space="0" w:color="auto"/>
          </w:divBdr>
        </w:div>
        <w:div w:id="1086151480">
          <w:marLeft w:val="640"/>
          <w:marRight w:val="0"/>
          <w:marTop w:val="0"/>
          <w:marBottom w:val="0"/>
          <w:divBdr>
            <w:top w:val="none" w:sz="0" w:space="0" w:color="auto"/>
            <w:left w:val="none" w:sz="0" w:space="0" w:color="auto"/>
            <w:bottom w:val="none" w:sz="0" w:space="0" w:color="auto"/>
            <w:right w:val="none" w:sz="0" w:space="0" w:color="auto"/>
          </w:divBdr>
        </w:div>
        <w:div w:id="785275201">
          <w:marLeft w:val="640"/>
          <w:marRight w:val="0"/>
          <w:marTop w:val="0"/>
          <w:marBottom w:val="0"/>
          <w:divBdr>
            <w:top w:val="none" w:sz="0" w:space="0" w:color="auto"/>
            <w:left w:val="none" w:sz="0" w:space="0" w:color="auto"/>
            <w:bottom w:val="none" w:sz="0" w:space="0" w:color="auto"/>
            <w:right w:val="none" w:sz="0" w:space="0" w:color="auto"/>
          </w:divBdr>
        </w:div>
        <w:div w:id="823010509">
          <w:marLeft w:val="640"/>
          <w:marRight w:val="0"/>
          <w:marTop w:val="0"/>
          <w:marBottom w:val="0"/>
          <w:divBdr>
            <w:top w:val="none" w:sz="0" w:space="0" w:color="auto"/>
            <w:left w:val="none" w:sz="0" w:space="0" w:color="auto"/>
            <w:bottom w:val="none" w:sz="0" w:space="0" w:color="auto"/>
            <w:right w:val="none" w:sz="0" w:space="0" w:color="auto"/>
          </w:divBdr>
        </w:div>
        <w:div w:id="2029598834">
          <w:marLeft w:val="640"/>
          <w:marRight w:val="0"/>
          <w:marTop w:val="0"/>
          <w:marBottom w:val="0"/>
          <w:divBdr>
            <w:top w:val="none" w:sz="0" w:space="0" w:color="auto"/>
            <w:left w:val="none" w:sz="0" w:space="0" w:color="auto"/>
            <w:bottom w:val="none" w:sz="0" w:space="0" w:color="auto"/>
            <w:right w:val="none" w:sz="0" w:space="0" w:color="auto"/>
          </w:divBdr>
        </w:div>
        <w:div w:id="2030644926">
          <w:marLeft w:val="640"/>
          <w:marRight w:val="0"/>
          <w:marTop w:val="0"/>
          <w:marBottom w:val="0"/>
          <w:divBdr>
            <w:top w:val="none" w:sz="0" w:space="0" w:color="auto"/>
            <w:left w:val="none" w:sz="0" w:space="0" w:color="auto"/>
            <w:bottom w:val="none" w:sz="0" w:space="0" w:color="auto"/>
            <w:right w:val="none" w:sz="0" w:space="0" w:color="auto"/>
          </w:divBdr>
        </w:div>
        <w:div w:id="1778744832">
          <w:marLeft w:val="640"/>
          <w:marRight w:val="0"/>
          <w:marTop w:val="0"/>
          <w:marBottom w:val="0"/>
          <w:divBdr>
            <w:top w:val="none" w:sz="0" w:space="0" w:color="auto"/>
            <w:left w:val="none" w:sz="0" w:space="0" w:color="auto"/>
            <w:bottom w:val="none" w:sz="0" w:space="0" w:color="auto"/>
            <w:right w:val="none" w:sz="0" w:space="0" w:color="auto"/>
          </w:divBdr>
        </w:div>
        <w:div w:id="692267417">
          <w:marLeft w:val="640"/>
          <w:marRight w:val="0"/>
          <w:marTop w:val="0"/>
          <w:marBottom w:val="0"/>
          <w:divBdr>
            <w:top w:val="none" w:sz="0" w:space="0" w:color="auto"/>
            <w:left w:val="none" w:sz="0" w:space="0" w:color="auto"/>
            <w:bottom w:val="none" w:sz="0" w:space="0" w:color="auto"/>
            <w:right w:val="none" w:sz="0" w:space="0" w:color="auto"/>
          </w:divBdr>
        </w:div>
        <w:div w:id="750082019">
          <w:marLeft w:val="640"/>
          <w:marRight w:val="0"/>
          <w:marTop w:val="0"/>
          <w:marBottom w:val="0"/>
          <w:divBdr>
            <w:top w:val="none" w:sz="0" w:space="0" w:color="auto"/>
            <w:left w:val="none" w:sz="0" w:space="0" w:color="auto"/>
            <w:bottom w:val="none" w:sz="0" w:space="0" w:color="auto"/>
            <w:right w:val="none" w:sz="0" w:space="0" w:color="auto"/>
          </w:divBdr>
        </w:div>
        <w:div w:id="246154454">
          <w:marLeft w:val="640"/>
          <w:marRight w:val="0"/>
          <w:marTop w:val="0"/>
          <w:marBottom w:val="0"/>
          <w:divBdr>
            <w:top w:val="none" w:sz="0" w:space="0" w:color="auto"/>
            <w:left w:val="none" w:sz="0" w:space="0" w:color="auto"/>
            <w:bottom w:val="none" w:sz="0" w:space="0" w:color="auto"/>
            <w:right w:val="none" w:sz="0" w:space="0" w:color="auto"/>
          </w:divBdr>
        </w:div>
        <w:div w:id="955673334">
          <w:marLeft w:val="640"/>
          <w:marRight w:val="0"/>
          <w:marTop w:val="0"/>
          <w:marBottom w:val="0"/>
          <w:divBdr>
            <w:top w:val="none" w:sz="0" w:space="0" w:color="auto"/>
            <w:left w:val="none" w:sz="0" w:space="0" w:color="auto"/>
            <w:bottom w:val="none" w:sz="0" w:space="0" w:color="auto"/>
            <w:right w:val="none" w:sz="0" w:space="0" w:color="auto"/>
          </w:divBdr>
        </w:div>
        <w:div w:id="644313212">
          <w:marLeft w:val="640"/>
          <w:marRight w:val="0"/>
          <w:marTop w:val="0"/>
          <w:marBottom w:val="0"/>
          <w:divBdr>
            <w:top w:val="none" w:sz="0" w:space="0" w:color="auto"/>
            <w:left w:val="none" w:sz="0" w:space="0" w:color="auto"/>
            <w:bottom w:val="none" w:sz="0" w:space="0" w:color="auto"/>
            <w:right w:val="none" w:sz="0" w:space="0" w:color="auto"/>
          </w:divBdr>
        </w:div>
        <w:div w:id="2036730569">
          <w:marLeft w:val="640"/>
          <w:marRight w:val="0"/>
          <w:marTop w:val="0"/>
          <w:marBottom w:val="0"/>
          <w:divBdr>
            <w:top w:val="none" w:sz="0" w:space="0" w:color="auto"/>
            <w:left w:val="none" w:sz="0" w:space="0" w:color="auto"/>
            <w:bottom w:val="none" w:sz="0" w:space="0" w:color="auto"/>
            <w:right w:val="none" w:sz="0" w:space="0" w:color="auto"/>
          </w:divBdr>
        </w:div>
        <w:div w:id="930964744">
          <w:marLeft w:val="640"/>
          <w:marRight w:val="0"/>
          <w:marTop w:val="0"/>
          <w:marBottom w:val="0"/>
          <w:divBdr>
            <w:top w:val="none" w:sz="0" w:space="0" w:color="auto"/>
            <w:left w:val="none" w:sz="0" w:space="0" w:color="auto"/>
            <w:bottom w:val="none" w:sz="0" w:space="0" w:color="auto"/>
            <w:right w:val="none" w:sz="0" w:space="0" w:color="auto"/>
          </w:divBdr>
        </w:div>
        <w:div w:id="93866564">
          <w:marLeft w:val="640"/>
          <w:marRight w:val="0"/>
          <w:marTop w:val="0"/>
          <w:marBottom w:val="0"/>
          <w:divBdr>
            <w:top w:val="none" w:sz="0" w:space="0" w:color="auto"/>
            <w:left w:val="none" w:sz="0" w:space="0" w:color="auto"/>
            <w:bottom w:val="none" w:sz="0" w:space="0" w:color="auto"/>
            <w:right w:val="none" w:sz="0" w:space="0" w:color="auto"/>
          </w:divBdr>
        </w:div>
        <w:div w:id="861556769">
          <w:marLeft w:val="640"/>
          <w:marRight w:val="0"/>
          <w:marTop w:val="0"/>
          <w:marBottom w:val="0"/>
          <w:divBdr>
            <w:top w:val="none" w:sz="0" w:space="0" w:color="auto"/>
            <w:left w:val="none" w:sz="0" w:space="0" w:color="auto"/>
            <w:bottom w:val="none" w:sz="0" w:space="0" w:color="auto"/>
            <w:right w:val="none" w:sz="0" w:space="0" w:color="auto"/>
          </w:divBdr>
        </w:div>
        <w:div w:id="1583680266">
          <w:marLeft w:val="640"/>
          <w:marRight w:val="0"/>
          <w:marTop w:val="0"/>
          <w:marBottom w:val="0"/>
          <w:divBdr>
            <w:top w:val="none" w:sz="0" w:space="0" w:color="auto"/>
            <w:left w:val="none" w:sz="0" w:space="0" w:color="auto"/>
            <w:bottom w:val="none" w:sz="0" w:space="0" w:color="auto"/>
            <w:right w:val="none" w:sz="0" w:space="0" w:color="auto"/>
          </w:divBdr>
        </w:div>
        <w:div w:id="591746228">
          <w:marLeft w:val="640"/>
          <w:marRight w:val="0"/>
          <w:marTop w:val="0"/>
          <w:marBottom w:val="0"/>
          <w:divBdr>
            <w:top w:val="none" w:sz="0" w:space="0" w:color="auto"/>
            <w:left w:val="none" w:sz="0" w:space="0" w:color="auto"/>
            <w:bottom w:val="none" w:sz="0" w:space="0" w:color="auto"/>
            <w:right w:val="none" w:sz="0" w:space="0" w:color="auto"/>
          </w:divBdr>
        </w:div>
        <w:div w:id="1462459490">
          <w:marLeft w:val="640"/>
          <w:marRight w:val="0"/>
          <w:marTop w:val="0"/>
          <w:marBottom w:val="0"/>
          <w:divBdr>
            <w:top w:val="none" w:sz="0" w:space="0" w:color="auto"/>
            <w:left w:val="none" w:sz="0" w:space="0" w:color="auto"/>
            <w:bottom w:val="none" w:sz="0" w:space="0" w:color="auto"/>
            <w:right w:val="none" w:sz="0" w:space="0" w:color="auto"/>
          </w:divBdr>
        </w:div>
        <w:div w:id="1126587773">
          <w:marLeft w:val="640"/>
          <w:marRight w:val="0"/>
          <w:marTop w:val="0"/>
          <w:marBottom w:val="0"/>
          <w:divBdr>
            <w:top w:val="none" w:sz="0" w:space="0" w:color="auto"/>
            <w:left w:val="none" w:sz="0" w:space="0" w:color="auto"/>
            <w:bottom w:val="none" w:sz="0" w:space="0" w:color="auto"/>
            <w:right w:val="none" w:sz="0" w:space="0" w:color="auto"/>
          </w:divBdr>
        </w:div>
        <w:div w:id="1959068273">
          <w:marLeft w:val="640"/>
          <w:marRight w:val="0"/>
          <w:marTop w:val="0"/>
          <w:marBottom w:val="0"/>
          <w:divBdr>
            <w:top w:val="none" w:sz="0" w:space="0" w:color="auto"/>
            <w:left w:val="none" w:sz="0" w:space="0" w:color="auto"/>
            <w:bottom w:val="none" w:sz="0" w:space="0" w:color="auto"/>
            <w:right w:val="none" w:sz="0" w:space="0" w:color="auto"/>
          </w:divBdr>
        </w:div>
        <w:div w:id="2016765322">
          <w:marLeft w:val="640"/>
          <w:marRight w:val="0"/>
          <w:marTop w:val="0"/>
          <w:marBottom w:val="0"/>
          <w:divBdr>
            <w:top w:val="none" w:sz="0" w:space="0" w:color="auto"/>
            <w:left w:val="none" w:sz="0" w:space="0" w:color="auto"/>
            <w:bottom w:val="none" w:sz="0" w:space="0" w:color="auto"/>
            <w:right w:val="none" w:sz="0" w:space="0" w:color="auto"/>
          </w:divBdr>
        </w:div>
        <w:div w:id="918440955">
          <w:marLeft w:val="640"/>
          <w:marRight w:val="0"/>
          <w:marTop w:val="0"/>
          <w:marBottom w:val="0"/>
          <w:divBdr>
            <w:top w:val="none" w:sz="0" w:space="0" w:color="auto"/>
            <w:left w:val="none" w:sz="0" w:space="0" w:color="auto"/>
            <w:bottom w:val="none" w:sz="0" w:space="0" w:color="auto"/>
            <w:right w:val="none" w:sz="0" w:space="0" w:color="auto"/>
          </w:divBdr>
        </w:div>
        <w:div w:id="1924800707">
          <w:marLeft w:val="640"/>
          <w:marRight w:val="0"/>
          <w:marTop w:val="0"/>
          <w:marBottom w:val="0"/>
          <w:divBdr>
            <w:top w:val="none" w:sz="0" w:space="0" w:color="auto"/>
            <w:left w:val="none" w:sz="0" w:space="0" w:color="auto"/>
            <w:bottom w:val="none" w:sz="0" w:space="0" w:color="auto"/>
            <w:right w:val="none" w:sz="0" w:space="0" w:color="auto"/>
          </w:divBdr>
        </w:div>
        <w:div w:id="1973056835">
          <w:marLeft w:val="640"/>
          <w:marRight w:val="0"/>
          <w:marTop w:val="0"/>
          <w:marBottom w:val="0"/>
          <w:divBdr>
            <w:top w:val="none" w:sz="0" w:space="0" w:color="auto"/>
            <w:left w:val="none" w:sz="0" w:space="0" w:color="auto"/>
            <w:bottom w:val="none" w:sz="0" w:space="0" w:color="auto"/>
            <w:right w:val="none" w:sz="0" w:space="0" w:color="auto"/>
          </w:divBdr>
        </w:div>
        <w:div w:id="973364731">
          <w:marLeft w:val="640"/>
          <w:marRight w:val="0"/>
          <w:marTop w:val="0"/>
          <w:marBottom w:val="0"/>
          <w:divBdr>
            <w:top w:val="none" w:sz="0" w:space="0" w:color="auto"/>
            <w:left w:val="none" w:sz="0" w:space="0" w:color="auto"/>
            <w:bottom w:val="none" w:sz="0" w:space="0" w:color="auto"/>
            <w:right w:val="none" w:sz="0" w:space="0" w:color="auto"/>
          </w:divBdr>
        </w:div>
        <w:div w:id="1424767729">
          <w:marLeft w:val="640"/>
          <w:marRight w:val="0"/>
          <w:marTop w:val="0"/>
          <w:marBottom w:val="0"/>
          <w:divBdr>
            <w:top w:val="none" w:sz="0" w:space="0" w:color="auto"/>
            <w:left w:val="none" w:sz="0" w:space="0" w:color="auto"/>
            <w:bottom w:val="none" w:sz="0" w:space="0" w:color="auto"/>
            <w:right w:val="none" w:sz="0" w:space="0" w:color="auto"/>
          </w:divBdr>
        </w:div>
        <w:div w:id="1492794350">
          <w:marLeft w:val="640"/>
          <w:marRight w:val="0"/>
          <w:marTop w:val="0"/>
          <w:marBottom w:val="0"/>
          <w:divBdr>
            <w:top w:val="none" w:sz="0" w:space="0" w:color="auto"/>
            <w:left w:val="none" w:sz="0" w:space="0" w:color="auto"/>
            <w:bottom w:val="none" w:sz="0" w:space="0" w:color="auto"/>
            <w:right w:val="none" w:sz="0" w:space="0" w:color="auto"/>
          </w:divBdr>
        </w:div>
        <w:div w:id="1963729378">
          <w:marLeft w:val="640"/>
          <w:marRight w:val="0"/>
          <w:marTop w:val="0"/>
          <w:marBottom w:val="0"/>
          <w:divBdr>
            <w:top w:val="none" w:sz="0" w:space="0" w:color="auto"/>
            <w:left w:val="none" w:sz="0" w:space="0" w:color="auto"/>
            <w:bottom w:val="none" w:sz="0" w:space="0" w:color="auto"/>
            <w:right w:val="none" w:sz="0" w:space="0" w:color="auto"/>
          </w:divBdr>
        </w:div>
        <w:div w:id="1677535514">
          <w:marLeft w:val="640"/>
          <w:marRight w:val="0"/>
          <w:marTop w:val="0"/>
          <w:marBottom w:val="0"/>
          <w:divBdr>
            <w:top w:val="none" w:sz="0" w:space="0" w:color="auto"/>
            <w:left w:val="none" w:sz="0" w:space="0" w:color="auto"/>
            <w:bottom w:val="none" w:sz="0" w:space="0" w:color="auto"/>
            <w:right w:val="none" w:sz="0" w:space="0" w:color="auto"/>
          </w:divBdr>
        </w:div>
        <w:div w:id="797643130">
          <w:marLeft w:val="640"/>
          <w:marRight w:val="0"/>
          <w:marTop w:val="0"/>
          <w:marBottom w:val="0"/>
          <w:divBdr>
            <w:top w:val="none" w:sz="0" w:space="0" w:color="auto"/>
            <w:left w:val="none" w:sz="0" w:space="0" w:color="auto"/>
            <w:bottom w:val="none" w:sz="0" w:space="0" w:color="auto"/>
            <w:right w:val="none" w:sz="0" w:space="0" w:color="auto"/>
          </w:divBdr>
        </w:div>
        <w:div w:id="940064582">
          <w:marLeft w:val="640"/>
          <w:marRight w:val="0"/>
          <w:marTop w:val="0"/>
          <w:marBottom w:val="0"/>
          <w:divBdr>
            <w:top w:val="none" w:sz="0" w:space="0" w:color="auto"/>
            <w:left w:val="none" w:sz="0" w:space="0" w:color="auto"/>
            <w:bottom w:val="none" w:sz="0" w:space="0" w:color="auto"/>
            <w:right w:val="none" w:sz="0" w:space="0" w:color="auto"/>
          </w:divBdr>
        </w:div>
        <w:div w:id="811675643">
          <w:marLeft w:val="640"/>
          <w:marRight w:val="0"/>
          <w:marTop w:val="0"/>
          <w:marBottom w:val="0"/>
          <w:divBdr>
            <w:top w:val="none" w:sz="0" w:space="0" w:color="auto"/>
            <w:left w:val="none" w:sz="0" w:space="0" w:color="auto"/>
            <w:bottom w:val="none" w:sz="0" w:space="0" w:color="auto"/>
            <w:right w:val="none" w:sz="0" w:space="0" w:color="auto"/>
          </w:divBdr>
        </w:div>
        <w:div w:id="33702036">
          <w:marLeft w:val="640"/>
          <w:marRight w:val="0"/>
          <w:marTop w:val="0"/>
          <w:marBottom w:val="0"/>
          <w:divBdr>
            <w:top w:val="none" w:sz="0" w:space="0" w:color="auto"/>
            <w:left w:val="none" w:sz="0" w:space="0" w:color="auto"/>
            <w:bottom w:val="none" w:sz="0" w:space="0" w:color="auto"/>
            <w:right w:val="none" w:sz="0" w:space="0" w:color="auto"/>
          </w:divBdr>
        </w:div>
        <w:div w:id="1019434194">
          <w:marLeft w:val="640"/>
          <w:marRight w:val="0"/>
          <w:marTop w:val="0"/>
          <w:marBottom w:val="0"/>
          <w:divBdr>
            <w:top w:val="none" w:sz="0" w:space="0" w:color="auto"/>
            <w:left w:val="none" w:sz="0" w:space="0" w:color="auto"/>
            <w:bottom w:val="none" w:sz="0" w:space="0" w:color="auto"/>
            <w:right w:val="none" w:sz="0" w:space="0" w:color="auto"/>
          </w:divBdr>
        </w:div>
        <w:div w:id="1641232552">
          <w:marLeft w:val="640"/>
          <w:marRight w:val="0"/>
          <w:marTop w:val="0"/>
          <w:marBottom w:val="0"/>
          <w:divBdr>
            <w:top w:val="none" w:sz="0" w:space="0" w:color="auto"/>
            <w:left w:val="none" w:sz="0" w:space="0" w:color="auto"/>
            <w:bottom w:val="none" w:sz="0" w:space="0" w:color="auto"/>
            <w:right w:val="none" w:sz="0" w:space="0" w:color="auto"/>
          </w:divBdr>
        </w:div>
        <w:div w:id="2025932050">
          <w:marLeft w:val="640"/>
          <w:marRight w:val="0"/>
          <w:marTop w:val="0"/>
          <w:marBottom w:val="0"/>
          <w:divBdr>
            <w:top w:val="none" w:sz="0" w:space="0" w:color="auto"/>
            <w:left w:val="none" w:sz="0" w:space="0" w:color="auto"/>
            <w:bottom w:val="none" w:sz="0" w:space="0" w:color="auto"/>
            <w:right w:val="none" w:sz="0" w:space="0" w:color="auto"/>
          </w:divBdr>
        </w:div>
        <w:div w:id="144900625">
          <w:marLeft w:val="640"/>
          <w:marRight w:val="0"/>
          <w:marTop w:val="0"/>
          <w:marBottom w:val="0"/>
          <w:divBdr>
            <w:top w:val="none" w:sz="0" w:space="0" w:color="auto"/>
            <w:left w:val="none" w:sz="0" w:space="0" w:color="auto"/>
            <w:bottom w:val="none" w:sz="0" w:space="0" w:color="auto"/>
            <w:right w:val="none" w:sz="0" w:space="0" w:color="auto"/>
          </w:divBdr>
        </w:div>
        <w:div w:id="1359619890">
          <w:marLeft w:val="640"/>
          <w:marRight w:val="0"/>
          <w:marTop w:val="0"/>
          <w:marBottom w:val="0"/>
          <w:divBdr>
            <w:top w:val="none" w:sz="0" w:space="0" w:color="auto"/>
            <w:left w:val="none" w:sz="0" w:space="0" w:color="auto"/>
            <w:bottom w:val="none" w:sz="0" w:space="0" w:color="auto"/>
            <w:right w:val="none" w:sz="0" w:space="0" w:color="auto"/>
          </w:divBdr>
        </w:div>
        <w:div w:id="1195075680">
          <w:marLeft w:val="640"/>
          <w:marRight w:val="0"/>
          <w:marTop w:val="0"/>
          <w:marBottom w:val="0"/>
          <w:divBdr>
            <w:top w:val="none" w:sz="0" w:space="0" w:color="auto"/>
            <w:left w:val="none" w:sz="0" w:space="0" w:color="auto"/>
            <w:bottom w:val="none" w:sz="0" w:space="0" w:color="auto"/>
            <w:right w:val="none" w:sz="0" w:space="0" w:color="auto"/>
          </w:divBdr>
        </w:div>
        <w:div w:id="1799301261">
          <w:marLeft w:val="640"/>
          <w:marRight w:val="0"/>
          <w:marTop w:val="0"/>
          <w:marBottom w:val="0"/>
          <w:divBdr>
            <w:top w:val="none" w:sz="0" w:space="0" w:color="auto"/>
            <w:left w:val="none" w:sz="0" w:space="0" w:color="auto"/>
            <w:bottom w:val="none" w:sz="0" w:space="0" w:color="auto"/>
            <w:right w:val="none" w:sz="0" w:space="0" w:color="auto"/>
          </w:divBdr>
        </w:div>
        <w:div w:id="400451295">
          <w:marLeft w:val="640"/>
          <w:marRight w:val="0"/>
          <w:marTop w:val="0"/>
          <w:marBottom w:val="0"/>
          <w:divBdr>
            <w:top w:val="none" w:sz="0" w:space="0" w:color="auto"/>
            <w:left w:val="none" w:sz="0" w:space="0" w:color="auto"/>
            <w:bottom w:val="none" w:sz="0" w:space="0" w:color="auto"/>
            <w:right w:val="none" w:sz="0" w:space="0" w:color="auto"/>
          </w:divBdr>
        </w:div>
        <w:div w:id="1591894483">
          <w:marLeft w:val="640"/>
          <w:marRight w:val="0"/>
          <w:marTop w:val="0"/>
          <w:marBottom w:val="0"/>
          <w:divBdr>
            <w:top w:val="none" w:sz="0" w:space="0" w:color="auto"/>
            <w:left w:val="none" w:sz="0" w:space="0" w:color="auto"/>
            <w:bottom w:val="none" w:sz="0" w:space="0" w:color="auto"/>
            <w:right w:val="none" w:sz="0" w:space="0" w:color="auto"/>
          </w:divBdr>
        </w:div>
        <w:div w:id="2052607881">
          <w:marLeft w:val="640"/>
          <w:marRight w:val="0"/>
          <w:marTop w:val="0"/>
          <w:marBottom w:val="0"/>
          <w:divBdr>
            <w:top w:val="none" w:sz="0" w:space="0" w:color="auto"/>
            <w:left w:val="none" w:sz="0" w:space="0" w:color="auto"/>
            <w:bottom w:val="none" w:sz="0" w:space="0" w:color="auto"/>
            <w:right w:val="none" w:sz="0" w:space="0" w:color="auto"/>
          </w:divBdr>
        </w:div>
        <w:div w:id="728726349">
          <w:marLeft w:val="640"/>
          <w:marRight w:val="0"/>
          <w:marTop w:val="0"/>
          <w:marBottom w:val="0"/>
          <w:divBdr>
            <w:top w:val="none" w:sz="0" w:space="0" w:color="auto"/>
            <w:left w:val="none" w:sz="0" w:space="0" w:color="auto"/>
            <w:bottom w:val="none" w:sz="0" w:space="0" w:color="auto"/>
            <w:right w:val="none" w:sz="0" w:space="0" w:color="auto"/>
          </w:divBdr>
        </w:div>
        <w:div w:id="974677891">
          <w:marLeft w:val="640"/>
          <w:marRight w:val="0"/>
          <w:marTop w:val="0"/>
          <w:marBottom w:val="0"/>
          <w:divBdr>
            <w:top w:val="none" w:sz="0" w:space="0" w:color="auto"/>
            <w:left w:val="none" w:sz="0" w:space="0" w:color="auto"/>
            <w:bottom w:val="none" w:sz="0" w:space="0" w:color="auto"/>
            <w:right w:val="none" w:sz="0" w:space="0" w:color="auto"/>
          </w:divBdr>
        </w:div>
        <w:div w:id="2061396720">
          <w:marLeft w:val="640"/>
          <w:marRight w:val="0"/>
          <w:marTop w:val="0"/>
          <w:marBottom w:val="0"/>
          <w:divBdr>
            <w:top w:val="none" w:sz="0" w:space="0" w:color="auto"/>
            <w:left w:val="none" w:sz="0" w:space="0" w:color="auto"/>
            <w:bottom w:val="none" w:sz="0" w:space="0" w:color="auto"/>
            <w:right w:val="none" w:sz="0" w:space="0" w:color="auto"/>
          </w:divBdr>
        </w:div>
        <w:div w:id="395784672">
          <w:marLeft w:val="640"/>
          <w:marRight w:val="0"/>
          <w:marTop w:val="0"/>
          <w:marBottom w:val="0"/>
          <w:divBdr>
            <w:top w:val="none" w:sz="0" w:space="0" w:color="auto"/>
            <w:left w:val="none" w:sz="0" w:space="0" w:color="auto"/>
            <w:bottom w:val="none" w:sz="0" w:space="0" w:color="auto"/>
            <w:right w:val="none" w:sz="0" w:space="0" w:color="auto"/>
          </w:divBdr>
        </w:div>
        <w:div w:id="115411005">
          <w:marLeft w:val="640"/>
          <w:marRight w:val="0"/>
          <w:marTop w:val="0"/>
          <w:marBottom w:val="0"/>
          <w:divBdr>
            <w:top w:val="none" w:sz="0" w:space="0" w:color="auto"/>
            <w:left w:val="none" w:sz="0" w:space="0" w:color="auto"/>
            <w:bottom w:val="none" w:sz="0" w:space="0" w:color="auto"/>
            <w:right w:val="none" w:sz="0" w:space="0" w:color="auto"/>
          </w:divBdr>
        </w:div>
        <w:div w:id="1435051052">
          <w:marLeft w:val="640"/>
          <w:marRight w:val="0"/>
          <w:marTop w:val="0"/>
          <w:marBottom w:val="0"/>
          <w:divBdr>
            <w:top w:val="none" w:sz="0" w:space="0" w:color="auto"/>
            <w:left w:val="none" w:sz="0" w:space="0" w:color="auto"/>
            <w:bottom w:val="none" w:sz="0" w:space="0" w:color="auto"/>
            <w:right w:val="none" w:sz="0" w:space="0" w:color="auto"/>
          </w:divBdr>
        </w:div>
        <w:div w:id="1513256449">
          <w:marLeft w:val="640"/>
          <w:marRight w:val="0"/>
          <w:marTop w:val="0"/>
          <w:marBottom w:val="0"/>
          <w:divBdr>
            <w:top w:val="none" w:sz="0" w:space="0" w:color="auto"/>
            <w:left w:val="none" w:sz="0" w:space="0" w:color="auto"/>
            <w:bottom w:val="none" w:sz="0" w:space="0" w:color="auto"/>
            <w:right w:val="none" w:sz="0" w:space="0" w:color="auto"/>
          </w:divBdr>
        </w:div>
        <w:div w:id="1398631515">
          <w:marLeft w:val="640"/>
          <w:marRight w:val="0"/>
          <w:marTop w:val="0"/>
          <w:marBottom w:val="0"/>
          <w:divBdr>
            <w:top w:val="none" w:sz="0" w:space="0" w:color="auto"/>
            <w:left w:val="none" w:sz="0" w:space="0" w:color="auto"/>
            <w:bottom w:val="none" w:sz="0" w:space="0" w:color="auto"/>
            <w:right w:val="none" w:sz="0" w:space="0" w:color="auto"/>
          </w:divBdr>
        </w:div>
        <w:div w:id="1147743055">
          <w:marLeft w:val="640"/>
          <w:marRight w:val="0"/>
          <w:marTop w:val="0"/>
          <w:marBottom w:val="0"/>
          <w:divBdr>
            <w:top w:val="none" w:sz="0" w:space="0" w:color="auto"/>
            <w:left w:val="none" w:sz="0" w:space="0" w:color="auto"/>
            <w:bottom w:val="none" w:sz="0" w:space="0" w:color="auto"/>
            <w:right w:val="none" w:sz="0" w:space="0" w:color="auto"/>
          </w:divBdr>
        </w:div>
        <w:div w:id="1948194778">
          <w:marLeft w:val="640"/>
          <w:marRight w:val="0"/>
          <w:marTop w:val="0"/>
          <w:marBottom w:val="0"/>
          <w:divBdr>
            <w:top w:val="none" w:sz="0" w:space="0" w:color="auto"/>
            <w:left w:val="none" w:sz="0" w:space="0" w:color="auto"/>
            <w:bottom w:val="none" w:sz="0" w:space="0" w:color="auto"/>
            <w:right w:val="none" w:sz="0" w:space="0" w:color="auto"/>
          </w:divBdr>
        </w:div>
        <w:div w:id="573971272">
          <w:marLeft w:val="640"/>
          <w:marRight w:val="0"/>
          <w:marTop w:val="0"/>
          <w:marBottom w:val="0"/>
          <w:divBdr>
            <w:top w:val="none" w:sz="0" w:space="0" w:color="auto"/>
            <w:left w:val="none" w:sz="0" w:space="0" w:color="auto"/>
            <w:bottom w:val="none" w:sz="0" w:space="0" w:color="auto"/>
            <w:right w:val="none" w:sz="0" w:space="0" w:color="auto"/>
          </w:divBdr>
        </w:div>
        <w:div w:id="1333097081">
          <w:marLeft w:val="640"/>
          <w:marRight w:val="0"/>
          <w:marTop w:val="0"/>
          <w:marBottom w:val="0"/>
          <w:divBdr>
            <w:top w:val="none" w:sz="0" w:space="0" w:color="auto"/>
            <w:left w:val="none" w:sz="0" w:space="0" w:color="auto"/>
            <w:bottom w:val="none" w:sz="0" w:space="0" w:color="auto"/>
            <w:right w:val="none" w:sz="0" w:space="0" w:color="auto"/>
          </w:divBdr>
        </w:div>
        <w:div w:id="125589448">
          <w:marLeft w:val="640"/>
          <w:marRight w:val="0"/>
          <w:marTop w:val="0"/>
          <w:marBottom w:val="0"/>
          <w:divBdr>
            <w:top w:val="none" w:sz="0" w:space="0" w:color="auto"/>
            <w:left w:val="none" w:sz="0" w:space="0" w:color="auto"/>
            <w:bottom w:val="none" w:sz="0" w:space="0" w:color="auto"/>
            <w:right w:val="none" w:sz="0" w:space="0" w:color="auto"/>
          </w:divBdr>
        </w:div>
        <w:div w:id="148061552">
          <w:marLeft w:val="640"/>
          <w:marRight w:val="0"/>
          <w:marTop w:val="0"/>
          <w:marBottom w:val="0"/>
          <w:divBdr>
            <w:top w:val="none" w:sz="0" w:space="0" w:color="auto"/>
            <w:left w:val="none" w:sz="0" w:space="0" w:color="auto"/>
            <w:bottom w:val="none" w:sz="0" w:space="0" w:color="auto"/>
            <w:right w:val="none" w:sz="0" w:space="0" w:color="auto"/>
          </w:divBdr>
        </w:div>
        <w:div w:id="1355377355">
          <w:marLeft w:val="640"/>
          <w:marRight w:val="0"/>
          <w:marTop w:val="0"/>
          <w:marBottom w:val="0"/>
          <w:divBdr>
            <w:top w:val="none" w:sz="0" w:space="0" w:color="auto"/>
            <w:left w:val="none" w:sz="0" w:space="0" w:color="auto"/>
            <w:bottom w:val="none" w:sz="0" w:space="0" w:color="auto"/>
            <w:right w:val="none" w:sz="0" w:space="0" w:color="auto"/>
          </w:divBdr>
        </w:div>
        <w:div w:id="1894198847">
          <w:marLeft w:val="640"/>
          <w:marRight w:val="0"/>
          <w:marTop w:val="0"/>
          <w:marBottom w:val="0"/>
          <w:divBdr>
            <w:top w:val="none" w:sz="0" w:space="0" w:color="auto"/>
            <w:left w:val="none" w:sz="0" w:space="0" w:color="auto"/>
            <w:bottom w:val="none" w:sz="0" w:space="0" w:color="auto"/>
            <w:right w:val="none" w:sz="0" w:space="0" w:color="auto"/>
          </w:divBdr>
        </w:div>
        <w:div w:id="930821494">
          <w:marLeft w:val="640"/>
          <w:marRight w:val="0"/>
          <w:marTop w:val="0"/>
          <w:marBottom w:val="0"/>
          <w:divBdr>
            <w:top w:val="none" w:sz="0" w:space="0" w:color="auto"/>
            <w:left w:val="none" w:sz="0" w:space="0" w:color="auto"/>
            <w:bottom w:val="none" w:sz="0" w:space="0" w:color="auto"/>
            <w:right w:val="none" w:sz="0" w:space="0" w:color="auto"/>
          </w:divBdr>
        </w:div>
        <w:div w:id="1425958049">
          <w:marLeft w:val="640"/>
          <w:marRight w:val="0"/>
          <w:marTop w:val="0"/>
          <w:marBottom w:val="0"/>
          <w:divBdr>
            <w:top w:val="none" w:sz="0" w:space="0" w:color="auto"/>
            <w:left w:val="none" w:sz="0" w:space="0" w:color="auto"/>
            <w:bottom w:val="none" w:sz="0" w:space="0" w:color="auto"/>
            <w:right w:val="none" w:sz="0" w:space="0" w:color="auto"/>
          </w:divBdr>
        </w:div>
        <w:div w:id="1716082961">
          <w:marLeft w:val="640"/>
          <w:marRight w:val="0"/>
          <w:marTop w:val="0"/>
          <w:marBottom w:val="0"/>
          <w:divBdr>
            <w:top w:val="none" w:sz="0" w:space="0" w:color="auto"/>
            <w:left w:val="none" w:sz="0" w:space="0" w:color="auto"/>
            <w:bottom w:val="none" w:sz="0" w:space="0" w:color="auto"/>
            <w:right w:val="none" w:sz="0" w:space="0" w:color="auto"/>
          </w:divBdr>
        </w:div>
        <w:div w:id="280455881">
          <w:marLeft w:val="640"/>
          <w:marRight w:val="0"/>
          <w:marTop w:val="0"/>
          <w:marBottom w:val="0"/>
          <w:divBdr>
            <w:top w:val="none" w:sz="0" w:space="0" w:color="auto"/>
            <w:left w:val="none" w:sz="0" w:space="0" w:color="auto"/>
            <w:bottom w:val="none" w:sz="0" w:space="0" w:color="auto"/>
            <w:right w:val="none" w:sz="0" w:space="0" w:color="auto"/>
          </w:divBdr>
        </w:div>
        <w:div w:id="167135101">
          <w:marLeft w:val="640"/>
          <w:marRight w:val="0"/>
          <w:marTop w:val="0"/>
          <w:marBottom w:val="0"/>
          <w:divBdr>
            <w:top w:val="none" w:sz="0" w:space="0" w:color="auto"/>
            <w:left w:val="none" w:sz="0" w:space="0" w:color="auto"/>
            <w:bottom w:val="none" w:sz="0" w:space="0" w:color="auto"/>
            <w:right w:val="none" w:sz="0" w:space="0" w:color="auto"/>
          </w:divBdr>
        </w:div>
        <w:div w:id="312610812">
          <w:marLeft w:val="640"/>
          <w:marRight w:val="0"/>
          <w:marTop w:val="0"/>
          <w:marBottom w:val="0"/>
          <w:divBdr>
            <w:top w:val="none" w:sz="0" w:space="0" w:color="auto"/>
            <w:left w:val="none" w:sz="0" w:space="0" w:color="auto"/>
            <w:bottom w:val="none" w:sz="0" w:space="0" w:color="auto"/>
            <w:right w:val="none" w:sz="0" w:space="0" w:color="auto"/>
          </w:divBdr>
        </w:div>
        <w:div w:id="996343835">
          <w:marLeft w:val="640"/>
          <w:marRight w:val="0"/>
          <w:marTop w:val="0"/>
          <w:marBottom w:val="0"/>
          <w:divBdr>
            <w:top w:val="none" w:sz="0" w:space="0" w:color="auto"/>
            <w:left w:val="none" w:sz="0" w:space="0" w:color="auto"/>
            <w:bottom w:val="none" w:sz="0" w:space="0" w:color="auto"/>
            <w:right w:val="none" w:sz="0" w:space="0" w:color="auto"/>
          </w:divBdr>
        </w:div>
        <w:div w:id="1364671285">
          <w:marLeft w:val="640"/>
          <w:marRight w:val="0"/>
          <w:marTop w:val="0"/>
          <w:marBottom w:val="0"/>
          <w:divBdr>
            <w:top w:val="none" w:sz="0" w:space="0" w:color="auto"/>
            <w:left w:val="none" w:sz="0" w:space="0" w:color="auto"/>
            <w:bottom w:val="none" w:sz="0" w:space="0" w:color="auto"/>
            <w:right w:val="none" w:sz="0" w:space="0" w:color="auto"/>
          </w:divBdr>
        </w:div>
        <w:div w:id="205065584">
          <w:marLeft w:val="640"/>
          <w:marRight w:val="0"/>
          <w:marTop w:val="0"/>
          <w:marBottom w:val="0"/>
          <w:divBdr>
            <w:top w:val="none" w:sz="0" w:space="0" w:color="auto"/>
            <w:left w:val="none" w:sz="0" w:space="0" w:color="auto"/>
            <w:bottom w:val="none" w:sz="0" w:space="0" w:color="auto"/>
            <w:right w:val="none" w:sz="0" w:space="0" w:color="auto"/>
          </w:divBdr>
        </w:div>
        <w:div w:id="1879856493">
          <w:marLeft w:val="640"/>
          <w:marRight w:val="0"/>
          <w:marTop w:val="0"/>
          <w:marBottom w:val="0"/>
          <w:divBdr>
            <w:top w:val="none" w:sz="0" w:space="0" w:color="auto"/>
            <w:left w:val="none" w:sz="0" w:space="0" w:color="auto"/>
            <w:bottom w:val="none" w:sz="0" w:space="0" w:color="auto"/>
            <w:right w:val="none" w:sz="0" w:space="0" w:color="auto"/>
          </w:divBdr>
        </w:div>
        <w:div w:id="769008996">
          <w:marLeft w:val="640"/>
          <w:marRight w:val="0"/>
          <w:marTop w:val="0"/>
          <w:marBottom w:val="0"/>
          <w:divBdr>
            <w:top w:val="none" w:sz="0" w:space="0" w:color="auto"/>
            <w:left w:val="none" w:sz="0" w:space="0" w:color="auto"/>
            <w:bottom w:val="none" w:sz="0" w:space="0" w:color="auto"/>
            <w:right w:val="none" w:sz="0" w:space="0" w:color="auto"/>
          </w:divBdr>
        </w:div>
        <w:div w:id="1281690625">
          <w:marLeft w:val="640"/>
          <w:marRight w:val="0"/>
          <w:marTop w:val="0"/>
          <w:marBottom w:val="0"/>
          <w:divBdr>
            <w:top w:val="none" w:sz="0" w:space="0" w:color="auto"/>
            <w:left w:val="none" w:sz="0" w:space="0" w:color="auto"/>
            <w:bottom w:val="none" w:sz="0" w:space="0" w:color="auto"/>
            <w:right w:val="none" w:sz="0" w:space="0" w:color="auto"/>
          </w:divBdr>
        </w:div>
        <w:div w:id="1948727944">
          <w:marLeft w:val="640"/>
          <w:marRight w:val="0"/>
          <w:marTop w:val="0"/>
          <w:marBottom w:val="0"/>
          <w:divBdr>
            <w:top w:val="none" w:sz="0" w:space="0" w:color="auto"/>
            <w:left w:val="none" w:sz="0" w:space="0" w:color="auto"/>
            <w:bottom w:val="none" w:sz="0" w:space="0" w:color="auto"/>
            <w:right w:val="none" w:sz="0" w:space="0" w:color="auto"/>
          </w:divBdr>
        </w:div>
        <w:div w:id="1286815591">
          <w:marLeft w:val="640"/>
          <w:marRight w:val="0"/>
          <w:marTop w:val="0"/>
          <w:marBottom w:val="0"/>
          <w:divBdr>
            <w:top w:val="none" w:sz="0" w:space="0" w:color="auto"/>
            <w:left w:val="none" w:sz="0" w:space="0" w:color="auto"/>
            <w:bottom w:val="none" w:sz="0" w:space="0" w:color="auto"/>
            <w:right w:val="none" w:sz="0" w:space="0" w:color="auto"/>
          </w:divBdr>
        </w:div>
        <w:div w:id="1555699129">
          <w:marLeft w:val="640"/>
          <w:marRight w:val="0"/>
          <w:marTop w:val="0"/>
          <w:marBottom w:val="0"/>
          <w:divBdr>
            <w:top w:val="none" w:sz="0" w:space="0" w:color="auto"/>
            <w:left w:val="none" w:sz="0" w:space="0" w:color="auto"/>
            <w:bottom w:val="none" w:sz="0" w:space="0" w:color="auto"/>
            <w:right w:val="none" w:sz="0" w:space="0" w:color="auto"/>
          </w:divBdr>
        </w:div>
        <w:div w:id="887953390">
          <w:marLeft w:val="640"/>
          <w:marRight w:val="0"/>
          <w:marTop w:val="0"/>
          <w:marBottom w:val="0"/>
          <w:divBdr>
            <w:top w:val="none" w:sz="0" w:space="0" w:color="auto"/>
            <w:left w:val="none" w:sz="0" w:space="0" w:color="auto"/>
            <w:bottom w:val="none" w:sz="0" w:space="0" w:color="auto"/>
            <w:right w:val="none" w:sz="0" w:space="0" w:color="auto"/>
          </w:divBdr>
        </w:div>
        <w:div w:id="1770349959">
          <w:marLeft w:val="640"/>
          <w:marRight w:val="0"/>
          <w:marTop w:val="0"/>
          <w:marBottom w:val="0"/>
          <w:divBdr>
            <w:top w:val="none" w:sz="0" w:space="0" w:color="auto"/>
            <w:left w:val="none" w:sz="0" w:space="0" w:color="auto"/>
            <w:bottom w:val="none" w:sz="0" w:space="0" w:color="auto"/>
            <w:right w:val="none" w:sz="0" w:space="0" w:color="auto"/>
          </w:divBdr>
        </w:div>
        <w:div w:id="715469675">
          <w:marLeft w:val="640"/>
          <w:marRight w:val="0"/>
          <w:marTop w:val="0"/>
          <w:marBottom w:val="0"/>
          <w:divBdr>
            <w:top w:val="none" w:sz="0" w:space="0" w:color="auto"/>
            <w:left w:val="none" w:sz="0" w:space="0" w:color="auto"/>
            <w:bottom w:val="none" w:sz="0" w:space="0" w:color="auto"/>
            <w:right w:val="none" w:sz="0" w:space="0" w:color="auto"/>
          </w:divBdr>
        </w:div>
        <w:div w:id="1706370013">
          <w:marLeft w:val="640"/>
          <w:marRight w:val="0"/>
          <w:marTop w:val="0"/>
          <w:marBottom w:val="0"/>
          <w:divBdr>
            <w:top w:val="none" w:sz="0" w:space="0" w:color="auto"/>
            <w:left w:val="none" w:sz="0" w:space="0" w:color="auto"/>
            <w:bottom w:val="none" w:sz="0" w:space="0" w:color="auto"/>
            <w:right w:val="none" w:sz="0" w:space="0" w:color="auto"/>
          </w:divBdr>
        </w:div>
        <w:div w:id="1927035099">
          <w:marLeft w:val="640"/>
          <w:marRight w:val="0"/>
          <w:marTop w:val="0"/>
          <w:marBottom w:val="0"/>
          <w:divBdr>
            <w:top w:val="none" w:sz="0" w:space="0" w:color="auto"/>
            <w:left w:val="none" w:sz="0" w:space="0" w:color="auto"/>
            <w:bottom w:val="none" w:sz="0" w:space="0" w:color="auto"/>
            <w:right w:val="none" w:sz="0" w:space="0" w:color="auto"/>
          </w:divBdr>
        </w:div>
        <w:div w:id="1817530627">
          <w:marLeft w:val="640"/>
          <w:marRight w:val="0"/>
          <w:marTop w:val="0"/>
          <w:marBottom w:val="0"/>
          <w:divBdr>
            <w:top w:val="none" w:sz="0" w:space="0" w:color="auto"/>
            <w:left w:val="none" w:sz="0" w:space="0" w:color="auto"/>
            <w:bottom w:val="none" w:sz="0" w:space="0" w:color="auto"/>
            <w:right w:val="none" w:sz="0" w:space="0" w:color="auto"/>
          </w:divBdr>
        </w:div>
        <w:div w:id="1809668693">
          <w:marLeft w:val="640"/>
          <w:marRight w:val="0"/>
          <w:marTop w:val="0"/>
          <w:marBottom w:val="0"/>
          <w:divBdr>
            <w:top w:val="none" w:sz="0" w:space="0" w:color="auto"/>
            <w:left w:val="none" w:sz="0" w:space="0" w:color="auto"/>
            <w:bottom w:val="none" w:sz="0" w:space="0" w:color="auto"/>
            <w:right w:val="none" w:sz="0" w:space="0" w:color="auto"/>
          </w:divBdr>
        </w:div>
        <w:div w:id="1858500244">
          <w:marLeft w:val="640"/>
          <w:marRight w:val="0"/>
          <w:marTop w:val="0"/>
          <w:marBottom w:val="0"/>
          <w:divBdr>
            <w:top w:val="none" w:sz="0" w:space="0" w:color="auto"/>
            <w:left w:val="none" w:sz="0" w:space="0" w:color="auto"/>
            <w:bottom w:val="none" w:sz="0" w:space="0" w:color="auto"/>
            <w:right w:val="none" w:sz="0" w:space="0" w:color="auto"/>
          </w:divBdr>
        </w:div>
        <w:div w:id="1714228403">
          <w:marLeft w:val="640"/>
          <w:marRight w:val="0"/>
          <w:marTop w:val="0"/>
          <w:marBottom w:val="0"/>
          <w:divBdr>
            <w:top w:val="none" w:sz="0" w:space="0" w:color="auto"/>
            <w:left w:val="none" w:sz="0" w:space="0" w:color="auto"/>
            <w:bottom w:val="none" w:sz="0" w:space="0" w:color="auto"/>
            <w:right w:val="none" w:sz="0" w:space="0" w:color="auto"/>
          </w:divBdr>
        </w:div>
        <w:div w:id="425156101">
          <w:marLeft w:val="640"/>
          <w:marRight w:val="0"/>
          <w:marTop w:val="0"/>
          <w:marBottom w:val="0"/>
          <w:divBdr>
            <w:top w:val="none" w:sz="0" w:space="0" w:color="auto"/>
            <w:left w:val="none" w:sz="0" w:space="0" w:color="auto"/>
            <w:bottom w:val="none" w:sz="0" w:space="0" w:color="auto"/>
            <w:right w:val="none" w:sz="0" w:space="0" w:color="auto"/>
          </w:divBdr>
        </w:div>
        <w:div w:id="1190069470">
          <w:marLeft w:val="640"/>
          <w:marRight w:val="0"/>
          <w:marTop w:val="0"/>
          <w:marBottom w:val="0"/>
          <w:divBdr>
            <w:top w:val="none" w:sz="0" w:space="0" w:color="auto"/>
            <w:left w:val="none" w:sz="0" w:space="0" w:color="auto"/>
            <w:bottom w:val="none" w:sz="0" w:space="0" w:color="auto"/>
            <w:right w:val="none" w:sz="0" w:space="0" w:color="auto"/>
          </w:divBdr>
        </w:div>
        <w:div w:id="273244860">
          <w:marLeft w:val="640"/>
          <w:marRight w:val="0"/>
          <w:marTop w:val="0"/>
          <w:marBottom w:val="0"/>
          <w:divBdr>
            <w:top w:val="none" w:sz="0" w:space="0" w:color="auto"/>
            <w:left w:val="none" w:sz="0" w:space="0" w:color="auto"/>
            <w:bottom w:val="none" w:sz="0" w:space="0" w:color="auto"/>
            <w:right w:val="none" w:sz="0" w:space="0" w:color="auto"/>
          </w:divBdr>
        </w:div>
        <w:div w:id="1739328895">
          <w:marLeft w:val="640"/>
          <w:marRight w:val="0"/>
          <w:marTop w:val="0"/>
          <w:marBottom w:val="0"/>
          <w:divBdr>
            <w:top w:val="none" w:sz="0" w:space="0" w:color="auto"/>
            <w:left w:val="none" w:sz="0" w:space="0" w:color="auto"/>
            <w:bottom w:val="none" w:sz="0" w:space="0" w:color="auto"/>
            <w:right w:val="none" w:sz="0" w:space="0" w:color="auto"/>
          </w:divBdr>
        </w:div>
        <w:div w:id="1770352452">
          <w:marLeft w:val="640"/>
          <w:marRight w:val="0"/>
          <w:marTop w:val="0"/>
          <w:marBottom w:val="0"/>
          <w:divBdr>
            <w:top w:val="none" w:sz="0" w:space="0" w:color="auto"/>
            <w:left w:val="none" w:sz="0" w:space="0" w:color="auto"/>
            <w:bottom w:val="none" w:sz="0" w:space="0" w:color="auto"/>
            <w:right w:val="none" w:sz="0" w:space="0" w:color="auto"/>
          </w:divBdr>
        </w:div>
        <w:div w:id="1295597695">
          <w:marLeft w:val="640"/>
          <w:marRight w:val="0"/>
          <w:marTop w:val="0"/>
          <w:marBottom w:val="0"/>
          <w:divBdr>
            <w:top w:val="none" w:sz="0" w:space="0" w:color="auto"/>
            <w:left w:val="none" w:sz="0" w:space="0" w:color="auto"/>
            <w:bottom w:val="none" w:sz="0" w:space="0" w:color="auto"/>
            <w:right w:val="none" w:sz="0" w:space="0" w:color="auto"/>
          </w:divBdr>
        </w:div>
        <w:div w:id="1024332397">
          <w:marLeft w:val="640"/>
          <w:marRight w:val="0"/>
          <w:marTop w:val="0"/>
          <w:marBottom w:val="0"/>
          <w:divBdr>
            <w:top w:val="none" w:sz="0" w:space="0" w:color="auto"/>
            <w:left w:val="none" w:sz="0" w:space="0" w:color="auto"/>
            <w:bottom w:val="none" w:sz="0" w:space="0" w:color="auto"/>
            <w:right w:val="none" w:sz="0" w:space="0" w:color="auto"/>
          </w:divBdr>
        </w:div>
        <w:div w:id="1095173258">
          <w:marLeft w:val="640"/>
          <w:marRight w:val="0"/>
          <w:marTop w:val="0"/>
          <w:marBottom w:val="0"/>
          <w:divBdr>
            <w:top w:val="none" w:sz="0" w:space="0" w:color="auto"/>
            <w:left w:val="none" w:sz="0" w:space="0" w:color="auto"/>
            <w:bottom w:val="none" w:sz="0" w:space="0" w:color="auto"/>
            <w:right w:val="none" w:sz="0" w:space="0" w:color="auto"/>
          </w:divBdr>
        </w:div>
        <w:div w:id="203639491">
          <w:marLeft w:val="640"/>
          <w:marRight w:val="0"/>
          <w:marTop w:val="0"/>
          <w:marBottom w:val="0"/>
          <w:divBdr>
            <w:top w:val="none" w:sz="0" w:space="0" w:color="auto"/>
            <w:left w:val="none" w:sz="0" w:space="0" w:color="auto"/>
            <w:bottom w:val="none" w:sz="0" w:space="0" w:color="auto"/>
            <w:right w:val="none" w:sz="0" w:space="0" w:color="auto"/>
          </w:divBdr>
        </w:div>
        <w:div w:id="42095145">
          <w:marLeft w:val="640"/>
          <w:marRight w:val="0"/>
          <w:marTop w:val="0"/>
          <w:marBottom w:val="0"/>
          <w:divBdr>
            <w:top w:val="none" w:sz="0" w:space="0" w:color="auto"/>
            <w:left w:val="none" w:sz="0" w:space="0" w:color="auto"/>
            <w:bottom w:val="none" w:sz="0" w:space="0" w:color="auto"/>
            <w:right w:val="none" w:sz="0" w:space="0" w:color="auto"/>
          </w:divBdr>
        </w:div>
        <w:div w:id="284237009">
          <w:marLeft w:val="640"/>
          <w:marRight w:val="0"/>
          <w:marTop w:val="0"/>
          <w:marBottom w:val="0"/>
          <w:divBdr>
            <w:top w:val="none" w:sz="0" w:space="0" w:color="auto"/>
            <w:left w:val="none" w:sz="0" w:space="0" w:color="auto"/>
            <w:bottom w:val="none" w:sz="0" w:space="0" w:color="auto"/>
            <w:right w:val="none" w:sz="0" w:space="0" w:color="auto"/>
          </w:divBdr>
        </w:div>
        <w:div w:id="1543131516">
          <w:marLeft w:val="640"/>
          <w:marRight w:val="0"/>
          <w:marTop w:val="0"/>
          <w:marBottom w:val="0"/>
          <w:divBdr>
            <w:top w:val="none" w:sz="0" w:space="0" w:color="auto"/>
            <w:left w:val="none" w:sz="0" w:space="0" w:color="auto"/>
            <w:bottom w:val="none" w:sz="0" w:space="0" w:color="auto"/>
            <w:right w:val="none" w:sz="0" w:space="0" w:color="auto"/>
          </w:divBdr>
        </w:div>
        <w:div w:id="1550722998">
          <w:marLeft w:val="640"/>
          <w:marRight w:val="0"/>
          <w:marTop w:val="0"/>
          <w:marBottom w:val="0"/>
          <w:divBdr>
            <w:top w:val="none" w:sz="0" w:space="0" w:color="auto"/>
            <w:left w:val="none" w:sz="0" w:space="0" w:color="auto"/>
            <w:bottom w:val="none" w:sz="0" w:space="0" w:color="auto"/>
            <w:right w:val="none" w:sz="0" w:space="0" w:color="auto"/>
          </w:divBdr>
        </w:div>
        <w:div w:id="888959471">
          <w:marLeft w:val="640"/>
          <w:marRight w:val="0"/>
          <w:marTop w:val="0"/>
          <w:marBottom w:val="0"/>
          <w:divBdr>
            <w:top w:val="none" w:sz="0" w:space="0" w:color="auto"/>
            <w:left w:val="none" w:sz="0" w:space="0" w:color="auto"/>
            <w:bottom w:val="none" w:sz="0" w:space="0" w:color="auto"/>
            <w:right w:val="none" w:sz="0" w:space="0" w:color="auto"/>
          </w:divBdr>
        </w:div>
        <w:div w:id="417747527">
          <w:marLeft w:val="640"/>
          <w:marRight w:val="0"/>
          <w:marTop w:val="0"/>
          <w:marBottom w:val="0"/>
          <w:divBdr>
            <w:top w:val="none" w:sz="0" w:space="0" w:color="auto"/>
            <w:left w:val="none" w:sz="0" w:space="0" w:color="auto"/>
            <w:bottom w:val="none" w:sz="0" w:space="0" w:color="auto"/>
            <w:right w:val="none" w:sz="0" w:space="0" w:color="auto"/>
          </w:divBdr>
        </w:div>
        <w:div w:id="1715344843">
          <w:marLeft w:val="640"/>
          <w:marRight w:val="0"/>
          <w:marTop w:val="0"/>
          <w:marBottom w:val="0"/>
          <w:divBdr>
            <w:top w:val="none" w:sz="0" w:space="0" w:color="auto"/>
            <w:left w:val="none" w:sz="0" w:space="0" w:color="auto"/>
            <w:bottom w:val="none" w:sz="0" w:space="0" w:color="auto"/>
            <w:right w:val="none" w:sz="0" w:space="0" w:color="auto"/>
          </w:divBdr>
        </w:div>
        <w:div w:id="91243088">
          <w:marLeft w:val="640"/>
          <w:marRight w:val="0"/>
          <w:marTop w:val="0"/>
          <w:marBottom w:val="0"/>
          <w:divBdr>
            <w:top w:val="none" w:sz="0" w:space="0" w:color="auto"/>
            <w:left w:val="none" w:sz="0" w:space="0" w:color="auto"/>
            <w:bottom w:val="none" w:sz="0" w:space="0" w:color="auto"/>
            <w:right w:val="none" w:sz="0" w:space="0" w:color="auto"/>
          </w:divBdr>
        </w:div>
        <w:div w:id="1233278043">
          <w:marLeft w:val="640"/>
          <w:marRight w:val="0"/>
          <w:marTop w:val="0"/>
          <w:marBottom w:val="0"/>
          <w:divBdr>
            <w:top w:val="none" w:sz="0" w:space="0" w:color="auto"/>
            <w:left w:val="none" w:sz="0" w:space="0" w:color="auto"/>
            <w:bottom w:val="none" w:sz="0" w:space="0" w:color="auto"/>
            <w:right w:val="none" w:sz="0" w:space="0" w:color="auto"/>
          </w:divBdr>
        </w:div>
        <w:div w:id="552884380">
          <w:marLeft w:val="640"/>
          <w:marRight w:val="0"/>
          <w:marTop w:val="0"/>
          <w:marBottom w:val="0"/>
          <w:divBdr>
            <w:top w:val="none" w:sz="0" w:space="0" w:color="auto"/>
            <w:left w:val="none" w:sz="0" w:space="0" w:color="auto"/>
            <w:bottom w:val="none" w:sz="0" w:space="0" w:color="auto"/>
            <w:right w:val="none" w:sz="0" w:space="0" w:color="auto"/>
          </w:divBdr>
        </w:div>
        <w:div w:id="879587329">
          <w:marLeft w:val="640"/>
          <w:marRight w:val="0"/>
          <w:marTop w:val="0"/>
          <w:marBottom w:val="0"/>
          <w:divBdr>
            <w:top w:val="none" w:sz="0" w:space="0" w:color="auto"/>
            <w:left w:val="none" w:sz="0" w:space="0" w:color="auto"/>
            <w:bottom w:val="none" w:sz="0" w:space="0" w:color="auto"/>
            <w:right w:val="none" w:sz="0" w:space="0" w:color="auto"/>
          </w:divBdr>
        </w:div>
        <w:div w:id="216400329">
          <w:marLeft w:val="640"/>
          <w:marRight w:val="0"/>
          <w:marTop w:val="0"/>
          <w:marBottom w:val="0"/>
          <w:divBdr>
            <w:top w:val="none" w:sz="0" w:space="0" w:color="auto"/>
            <w:left w:val="none" w:sz="0" w:space="0" w:color="auto"/>
            <w:bottom w:val="none" w:sz="0" w:space="0" w:color="auto"/>
            <w:right w:val="none" w:sz="0" w:space="0" w:color="auto"/>
          </w:divBdr>
        </w:div>
        <w:div w:id="1997148740">
          <w:marLeft w:val="640"/>
          <w:marRight w:val="0"/>
          <w:marTop w:val="0"/>
          <w:marBottom w:val="0"/>
          <w:divBdr>
            <w:top w:val="none" w:sz="0" w:space="0" w:color="auto"/>
            <w:left w:val="none" w:sz="0" w:space="0" w:color="auto"/>
            <w:bottom w:val="none" w:sz="0" w:space="0" w:color="auto"/>
            <w:right w:val="none" w:sz="0" w:space="0" w:color="auto"/>
          </w:divBdr>
        </w:div>
        <w:div w:id="1548565826">
          <w:marLeft w:val="640"/>
          <w:marRight w:val="0"/>
          <w:marTop w:val="0"/>
          <w:marBottom w:val="0"/>
          <w:divBdr>
            <w:top w:val="none" w:sz="0" w:space="0" w:color="auto"/>
            <w:left w:val="none" w:sz="0" w:space="0" w:color="auto"/>
            <w:bottom w:val="none" w:sz="0" w:space="0" w:color="auto"/>
            <w:right w:val="none" w:sz="0" w:space="0" w:color="auto"/>
          </w:divBdr>
        </w:div>
        <w:div w:id="149762061">
          <w:marLeft w:val="640"/>
          <w:marRight w:val="0"/>
          <w:marTop w:val="0"/>
          <w:marBottom w:val="0"/>
          <w:divBdr>
            <w:top w:val="none" w:sz="0" w:space="0" w:color="auto"/>
            <w:left w:val="none" w:sz="0" w:space="0" w:color="auto"/>
            <w:bottom w:val="none" w:sz="0" w:space="0" w:color="auto"/>
            <w:right w:val="none" w:sz="0" w:space="0" w:color="auto"/>
          </w:divBdr>
        </w:div>
        <w:div w:id="974676120">
          <w:marLeft w:val="640"/>
          <w:marRight w:val="0"/>
          <w:marTop w:val="0"/>
          <w:marBottom w:val="0"/>
          <w:divBdr>
            <w:top w:val="none" w:sz="0" w:space="0" w:color="auto"/>
            <w:left w:val="none" w:sz="0" w:space="0" w:color="auto"/>
            <w:bottom w:val="none" w:sz="0" w:space="0" w:color="auto"/>
            <w:right w:val="none" w:sz="0" w:space="0" w:color="auto"/>
          </w:divBdr>
        </w:div>
        <w:div w:id="385029712">
          <w:marLeft w:val="640"/>
          <w:marRight w:val="0"/>
          <w:marTop w:val="0"/>
          <w:marBottom w:val="0"/>
          <w:divBdr>
            <w:top w:val="none" w:sz="0" w:space="0" w:color="auto"/>
            <w:left w:val="none" w:sz="0" w:space="0" w:color="auto"/>
            <w:bottom w:val="none" w:sz="0" w:space="0" w:color="auto"/>
            <w:right w:val="none" w:sz="0" w:space="0" w:color="auto"/>
          </w:divBdr>
        </w:div>
        <w:div w:id="1899124629">
          <w:marLeft w:val="640"/>
          <w:marRight w:val="0"/>
          <w:marTop w:val="0"/>
          <w:marBottom w:val="0"/>
          <w:divBdr>
            <w:top w:val="none" w:sz="0" w:space="0" w:color="auto"/>
            <w:left w:val="none" w:sz="0" w:space="0" w:color="auto"/>
            <w:bottom w:val="none" w:sz="0" w:space="0" w:color="auto"/>
            <w:right w:val="none" w:sz="0" w:space="0" w:color="auto"/>
          </w:divBdr>
        </w:div>
        <w:div w:id="1175388371">
          <w:marLeft w:val="640"/>
          <w:marRight w:val="0"/>
          <w:marTop w:val="0"/>
          <w:marBottom w:val="0"/>
          <w:divBdr>
            <w:top w:val="none" w:sz="0" w:space="0" w:color="auto"/>
            <w:left w:val="none" w:sz="0" w:space="0" w:color="auto"/>
            <w:bottom w:val="none" w:sz="0" w:space="0" w:color="auto"/>
            <w:right w:val="none" w:sz="0" w:space="0" w:color="auto"/>
          </w:divBdr>
        </w:div>
        <w:div w:id="168444615">
          <w:marLeft w:val="640"/>
          <w:marRight w:val="0"/>
          <w:marTop w:val="0"/>
          <w:marBottom w:val="0"/>
          <w:divBdr>
            <w:top w:val="none" w:sz="0" w:space="0" w:color="auto"/>
            <w:left w:val="none" w:sz="0" w:space="0" w:color="auto"/>
            <w:bottom w:val="none" w:sz="0" w:space="0" w:color="auto"/>
            <w:right w:val="none" w:sz="0" w:space="0" w:color="auto"/>
          </w:divBdr>
        </w:div>
        <w:div w:id="83379407">
          <w:marLeft w:val="640"/>
          <w:marRight w:val="0"/>
          <w:marTop w:val="0"/>
          <w:marBottom w:val="0"/>
          <w:divBdr>
            <w:top w:val="none" w:sz="0" w:space="0" w:color="auto"/>
            <w:left w:val="none" w:sz="0" w:space="0" w:color="auto"/>
            <w:bottom w:val="none" w:sz="0" w:space="0" w:color="auto"/>
            <w:right w:val="none" w:sz="0" w:space="0" w:color="auto"/>
          </w:divBdr>
        </w:div>
        <w:div w:id="1446119107">
          <w:marLeft w:val="640"/>
          <w:marRight w:val="0"/>
          <w:marTop w:val="0"/>
          <w:marBottom w:val="0"/>
          <w:divBdr>
            <w:top w:val="none" w:sz="0" w:space="0" w:color="auto"/>
            <w:left w:val="none" w:sz="0" w:space="0" w:color="auto"/>
            <w:bottom w:val="none" w:sz="0" w:space="0" w:color="auto"/>
            <w:right w:val="none" w:sz="0" w:space="0" w:color="auto"/>
          </w:divBdr>
        </w:div>
        <w:div w:id="447043222">
          <w:marLeft w:val="640"/>
          <w:marRight w:val="0"/>
          <w:marTop w:val="0"/>
          <w:marBottom w:val="0"/>
          <w:divBdr>
            <w:top w:val="none" w:sz="0" w:space="0" w:color="auto"/>
            <w:left w:val="none" w:sz="0" w:space="0" w:color="auto"/>
            <w:bottom w:val="none" w:sz="0" w:space="0" w:color="auto"/>
            <w:right w:val="none" w:sz="0" w:space="0" w:color="auto"/>
          </w:divBdr>
        </w:div>
        <w:div w:id="427501475">
          <w:marLeft w:val="640"/>
          <w:marRight w:val="0"/>
          <w:marTop w:val="0"/>
          <w:marBottom w:val="0"/>
          <w:divBdr>
            <w:top w:val="none" w:sz="0" w:space="0" w:color="auto"/>
            <w:left w:val="none" w:sz="0" w:space="0" w:color="auto"/>
            <w:bottom w:val="none" w:sz="0" w:space="0" w:color="auto"/>
            <w:right w:val="none" w:sz="0" w:space="0" w:color="auto"/>
          </w:divBdr>
        </w:div>
        <w:div w:id="1094938707">
          <w:marLeft w:val="640"/>
          <w:marRight w:val="0"/>
          <w:marTop w:val="0"/>
          <w:marBottom w:val="0"/>
          <w:divBdr>
            <w:top w:val="none" w:sz="0" w:space="0" w:color="auto"/>
            <w:left w:val="none" w:sz="0" w:space="0" w:color="auto"/>
            <w:bottom w:val="none" w:sz="0" w:space="0" w:color="auto"/>
            <w:right w:val="none" w:sz="0" w:space="0" w:color="auto"/>
          </w:divBdr>
        </w:div>
        <w:div w:id="1813011911">
          <w:marLeft w:val="640"/>
          <w:marRight w:val="0"/>
          <w:marTop w:val="0"/>
          <w:marBottom w:val="0"/>
          <w:divBdr>
            <w:top w:val="none" w:sz="0" w:space="0" w:color="auto"/>
            <w:left w:val="none" w:sz="0" w:space="0" w:color="auto"/>
            <w:bottom w:val="none" w:sz="0" w:space="0" w:color="auto"/>
            <w:right w:val="none" w:sz="0" w:space="0" w:color="auto"/>
          </w:divBdr>
        </w:div>
        <w:div w:id="1917323078">
          <w:marLeft w:val="640"/>
          <w:marRight w:val="0"/>
          <w:marTop w:val="0"/>
          <w:marBottom w:val="0"/>
          <w:divBdr>
            <w:top w:val="none" w:sz="0" w:space="0" w:color="auto"/>
            <w:left w:val="none" w:sz="0" w:space="0" w:color="auto"/>
            <w:bottom w:val="none" w:sz="0" w:space="0" w:color="auto"/>
            <w:right w:val="none" w:sz="0" w:space="0" w:color="auto"/>
          </w:divBdr>
        </w:div>
        <w:div w:id="22177365">
          <w:marLeft w:val="640"/>
          <w:marRight w:val="0"/>
          <w:marTop w:val="0"/>
          <w:marBottom w:val="0"/>
          <w:divBdr>
            <w:top w:val="none" w:sz="0" w:space="0" w:color="auto"/>
            <w:left w:val="none" w:sz="0" w:space="0" w:color="auto"/>
            <w:bottom w:val="none" w:sz="0" w:space="0" w:color="auto"/>
            <w:right w:val="none" w:sz="0" w:space="0" w:color="auto"/>
          </w:divBdr>
        </w:div>
        <w:div w:id="1264847848">
          <w:marLeft w:val="640"/>
          <w:marRight w:val="0"/>
          <w:marTop w:val="0"/>
          <w:marBottom w:val="0"/>
          <w:divBdr>
            <w:top w:val="none" w:sz="0" w:space="0" w:color="auto"/>
            <w:left w:val="none" w:sz="0" w:space="0" w:color="auto"/>
            <w:bottom w:val="none" w:sz="0" w:space="0" w:color="auto"/>
            <w:right w:val="none" w:sz="0" w:space="0" w:color="auto"/>
          </w:divBdr>
        </w:div>
        <w:div w:id="322200393">
          <w:marLeft w:val="640"/>
          <w:marRight w:val="0"/>
          <w:marTop w:val="0"/>
          <w:marBottom w:val="0"/>
          <w:divBdr>
            <w:top w:val="none" w:sz="0" w:space="0" w:color="auto"/>
            <w:left w:val="none" w:sz="0" w:space="0" w:color="auto"/>
            <w:bottom w:val="none" w:sz="0" w:space="0" w:color="auto"/>
            <w:right w:val="none" w:sz="0" w:space="0" w:color="auto"/>
          </w:divBdr>
        </w:div>
        <w:div w:id="585697720">
          <w:marLeft w:val="640"/>
          <w:marRight w:val="0"/>
          <w:marTop w:val="0"/>
          <w:marBottom w:val="0"/>
          <w:divBdr>
            <w:top w:val="none" w:sz="0" w:space="0" w:color="auto"/>
            <w:left w:val="none" w:sz="0" w:space="0" w:color="auto"/>
            <w:bottom w:val="none" w:sz="0" w:space="0" w:color="auto"/>
            <w:right w:val="none" w:sz="0" w:space="0" w:color="auto"/>
          </w:divBdr>
        </w:div>
        <w:div w:id="1750685944">
          <w:marLeft w:val="640"/>
          <w:marRight w:val="0"/>
          <w:marTop w:val="0"/>
          <w:marBottom w:val="0"/>
          <w:divBdr>
            <w:top w:val="none" w:sz="0" w:space="0" w:color="auto"/>
            <w:left w:val="none" w:sz="0" w:space="0" w:color="auto"/>
            <w:bottom w:val="none" w:sz="0" w:space="0" w:color="auto"/>
            <w:right w:val="none" w:sz="0" w:space="0" w:color="auto"/>
          </w:divBdr>
        </w:div>
        <w:div w:id="495389112">
          <w:marLeft w:val="640"/>
          <w:marRight w:val="0"/>
          <w:marTop w:val="0"/>
          <w:marBottom w:val="0"/>
          <w:divBdr>
            <w:top w:val="none" w:sz="0" w:space="0" w:color="auto"/>
            <w:left w:val="none" w:sz="0" w:space="0" w:color="auto"/>
            <w:bottom w:val="none" w:sz="0" w:space="0" w:color="auto"/>
            <w:right w:val="none" w:sz="0" w:space="0" w:color="auto"/>
          </w:divBdr>
        </w:div>
        <w:div w:id="875190952">
          <w:marLeft w:val="640"/>
          <w:marRight w:val="0"/>
          <w:marTop w:val="0"/>
          <w:marBottom w:val="0"/>
          <w:divBdr>
            <w:top w:val="none" w:sz="0" w:space="0" w:color="auto"/>
            <w:left w:val="none" w:sz="0" w:space="0" w:color="auto"/>
            <w:bottom w:val="none" w:sz="0" w:space="0" w:color="auto"/>
            <w:right w:val="none" w:sz="0" w:space="0" w:color="auto"/>
          </w:divBdr>
        </w:div>
        <w:div w:id="136337727">
          <w:marLeft w:val="640"/>
          <w:marRight w:val="0"/>
          <w:marTop w:val="0"/>
          <w:marBottom w:val="0"/>
          <w:divBdr>
            <w:top w:val="none" w:sz="0" w:space="0" w:color="auto"/>
            <w:left w:val="none" w:sz="0" w:space="0" w:color="auto"/>
            <w:bottom w:val="none" w:sz="0" w:space="0" w:color="auto"/>
            <w:right w:val="none" w:sz="0" w:space="0" w:color="auto"/>
          </w:divBdr>
        </w:div>
        <w:div w:id="525757105">
          <w:marLeft w:val="640"/>
          <w:marRight w:val="0"/>
          <w:marTop w:val="0"/>
          <w:marBottom w:val="0"/>
          <w:divBdr>
            <w:top w:val="none" w:sz="0" w:space="0" w:color="auto"/>
            <w:left w:val="none" w:sz="0" w:space="0" w:color="auto"/>
            <w:bottom w:val="none" w:sz="0" w:space="0" w:color="auto"/>
            <w:right w:val="none" w:sz="0" w:space="0" w:color="auto"/>
          </w:divBdr>
        </w:div>
        <w:div w:id="225842183">
          <w:marLeft w:val="640"/>
          <w:marRight w:val="0"/>
          <w:marTop w:val="0"/>
          <w:marBottom w:val="0"/>
          <w:divBdr>
            <w:top w:val="none" w:sz="0" w:space="0" w:color="auto"/>
            <w:left w:val="none" w:sz="0" w:space="0" w:color="auto"/>
            <w:bottom w:val="none" w:sz="0" w:space="0" w:color="auto"/>
            <w:right w:val="none" w:sz="0" w:space="0" w:color="auto"/>
          </w:divBdr>
        </w:div>
        <w:div w:id="5252479">
          <w:marLeft w:val="640"/>
          <w:marRight w:val="0"/>
          <w:marTop w:val="0"/>
          <w:marBottom w:val="0"/>
          <w:divBdr>
            <w:top w:val="none" w:sz="0" w:space="0" w:color="auto"/>
            <w:left w:val="none" w:sz="0" w:space="0" w:color="auto"/>
            <w:bottom w:val="none" w:sz="0" w:space="0" w:color="auto"/>
            <w:right w:val="none" w:sz="0" w:space="0" w:color="auto"/>
          </w:divBdr>
        </w:div>
        <w:div w:id="1913275912">
          <w:marLeft w:val="640"/>
          <w:marRight w:val="0"/>
          <w:marTop w:val="0"/>
          <w:marBottom w:val="0"/>
          <w:divBdr>
            <w:top w:val="none" w:sz="0" w:space="0" w:color="auto"/>
            <w:left w:val="none" w:sz="0" w:space="0" w:color="auto"/>
            <w:bottom w:val="none" w:sz="0" w:space="0" w:color="auto"/>
            <w:right w:val="none" w:sz="0" w:space="0" w:color="auto"/>
          </w:divBdr>
        </w:div>
        <w:div w:id="591397285">
          <w:marLeft w:val="640"/>
          <w:marRight w:val="0"/>
          <w:marTop w:val="0"/>
          <w:marBottom w:val="0"/>
          <w:divBdr>
            <w:top w:val="none" w:sz="0" w:space="0" w:color="auto"/>
            <w:left w:val="none" w:sz="0" w:space="0" w:color="auto"/>
            <w:bottom w:val="none" w:sz="0" w:space="0" w:color="auto"/>
            <w:right w:val="none" w:sz="0" w:space="0" w:color="auto"/>
          </w:divBdr>
        </w:div>
        <w:div w:id="1157722828">
          <w:marLeft w:val="640"/>
          <w:marRight w:val="0"/>
          <w:marTop w:val="0"/>
          <w:marBottom w:val="0"/>
          <w:divBdr>
            <w:top w:val="none" w:sz="0" w:space="0" w:color="auto"/>
            <w:left w:val="none" w:sz="0" w:space="0" w:color="auto"/>
            <w:bottom w:val="none" w:sz="0" w:space="0" w:color="auto"/>
            <w:right w:val="none" w:sz="0" w:space="0" w:color="auto"/>
          </w:divBdr>
        </w:div>
        <w:div w:id="564992960">
          <w:marLeft w:val="640"/>
          <w:marRight w:val="0"/>
          <w:marTop w:val="0"/>
          <w:marBottom w:val="0"/>
          <w:divBdr>
            <w:top w:val="none" w:sz="0" w:space="0" w:color="auto"/>
            <w:left w:val="none" w:sz="0" w:space="0" w:color="auto"/>
            <w:bottom w:val="none" w:sz="0" w:space="0" w:color="auto"/>
            <w:right w:val="none" w:sz="0" w:space="0" w:color="auto"/>
          </w:divBdr>
        </w:div>
        <w:div w:id="457457244">
          <w:marLeft w:val="640"/>
          <w:marRight w:val="0"/>
          <w:marTop w:val="0"/>
          <w:marBottom w:val="0"/>
          <w:divBdr>
            <w:top w:val="none" w:sz="0" w:space="0" w:color="auto"/>
            <w:left w:val="none" w:sz="0" w:space="0" w:color="auto"/>
            <w:bottom w:val="none" w:sz="0" w:space="0" w:color="auto"/>
            <w:right w:val="none" w:sz="0" w:space="0" w:color="auto"/>
          </w:divBdr>
        </w:div>
        <w:div w:id="630285577">
          <w:marLeft w:val="640"/>
          <w:marRight w:val="0"/>
          <w:marTop w:val="0"/>
          <w:marBottom w:val="0"/>
          <w:divBdr>
            <w:top w:val="none" w:sz="0" w:space="0" w:color="auto"/>
            <w:left w:val="none" w:sz="0" w:space="0" w:color="auto"/>
            <w:bottom w:val="none" w:sz="0" w:space="0" w:color="auto"/>
            <w:right w:val="none" w:sz="0" w:space="0" w:color="auto"/>
          </w:divBdr>
        </w:div>
        <w:div w:id="15078748">
          <w:marLeft w:val="640"/>
          <w:marRight w:val="0"/>
          <w:marTop w:val="0"/>
          <w:marBottom w:val="0"/>
          <w:divBdr>
            <w:top w:val="none" w:sz="0" w:space="0" w:color="auto"/>
            <w:left w:val="none" w:sz="0" w:space="0" w:color="auto"/>
            <w:bottom w:val="none" w:sz="0" w:space="0" w:color="auto"/>
            <w:right w:val="none" w:sz="0" w:space="0" w:color="auto"/>
          </w:divBdr>
        </w:div>
        <w:div w:id="326640054">
          <w:marLeft w:val="640"/>
          <w:marRight w:val="0"/>
          <w:marTop w:val="0"/>
          <w:marBottom w:val="0"/>
          <w:divBdr>
            <w:top w:val="none" w:sz="0" w:space="0" w:color="auto"/>
            <w:left w:val="none" w:sz="0" w:space="0" w:color="auto"/>
            <w:bottom w:val="none" w:sz="0" w:space="0" w:color="auto"/>
            <w:right w:val="none" w:sz="0" w:space="0" w:color="auto"/>
          </w:divBdr>
        </w:div>
        <w:div w:id="221064005">
          <w:marLeft w:val="640"/>
          <w:marRight w:val="0"/>
          <w:marTop w:val="0"/>
          <w:marBottom w:val="0"/>
          <w:divBdr>
            <w:top w:val="none" w:sz="0" w:space="0" w:color="auto"/>
            <w:left w:val="none" w:sz="0" w:space="0" w:color="auto"/>
            <w:bottom w:val="none" w:sz="0" w:space="0" w:color="auto"/>
            <w:right w:val="none" w:sz="0" w:space="0" w:color="auto"/>
          </w:divBdr>
        </w:div>
        <w:div w:id="929972956">
          <w:marLeft w:val="640"/>
          <w:marRight w:val="0"/>
          <w:marTop w:val="0"/>
          <w:marBottom w:val="0"/>
          <w:divBdr>
            <w:top w:val="none" w:sz="0" w:space="0" w:color="auto"/>
            <w:left w:val="none" w:sz="0" w:space="0" w:color="auto"/>
            <w:bottom w:val="none" w:sz="0" w:space="0" w:color="auto"/>
            <w:right w:val="none" w:sz="0" w:space="0" w:color="auto"/>
          </w:divBdr>
        </w:div>
        <w:div w:id="1604604679">
          <w:marLeft w:val="640"/>
          <w:marRight w:val="0"/>
          <w:marTop w:val="0"/>
          <w:marBottom w:val="0"/>
          <w:divBdr>
            <w:top w:val="none" w:sz="0" w:space="0" w:color="auto"/>
            <w:left w:val="none" w:sz="0" w:space="0" w:color="auto"/>
            <w:bottom w:val="none" w:sz="0" w:space="0" w:color="auto"/>
            <w:right w:val="none" w:sz="0" w:space="0" w:color="auto"/>
          </w:divBdr>
        </w:div>
        <w:div w:id="919291831">
          <w:marLeft w:val="640"/>
          <w:marRight w:val="0"/>
          <w:marTop w:val="0"/>
          <w:marBottom w:val="0"/>
          <w:divBdr>
            <w:top w:val="none" w:sz="0" w:space="0" w:color="auto"/>
            <w:left w:val="none" w:sz="0" w:space="0" w:color="auto"/>
            <w:bottom w:val="none" w:sz="0" w:space="0" w:color="auto"/>
            <w:right w:val="none" w:sz="0" w:space="0" w:color="auto"/>
          </w:divBdr>
        </w:div>
        <w:div w:id="1861042580">
          <w:marLeft w:val="640"/>
          <w:marRight w:val="0"/>
          <w:marTop w:val="0"/>
          <w:marBottom w:val="0"/>
          <w:divBdr>
            <w:top w:val="none" w:sz="0" w:space="0" w:color="auto"/>
            <w:left w:val="none" w:sz="0" w:space="0" w:color="auto"/>
            <w:bottom w:val="none" w:sz="0" w:space="0" w:color="auto"/>
            <w:right w:val="none" w:sz="0" w:space="0" w:color="auto"/>
          </w:divBdr>
        </w:div>
        <w:div w:id="1679192403">
          <w:marLeft w:val="640"/>
          <w:marRight w:val="0"/>
          <w:marTop w:val="0"/>
          <w:marBottom w:val="0"/>
          <w:divBdr>
            <w:top w:val="none" w:sz="0" w:space="0" w:color="auto"/>
            <w:left w:val="none" w:sz="0" w:space="0" w:color="auto"/>
            <w:bottom w:val="none" w:sz="0" w:space="0" w:color="auto"/>
            <w:right w:val="none" w:sz="0" w:space="0" w:color="auto"/>
          </w:divBdr>
        </w:div>
        <w:div w:id="714281136">
          <w:marLeft w:val="640"/>
          <w:marRight w:val="0"/>
          <w:marTop w:val="0"/>
          <w:marBottom w:val="0"/>
          <w:divBdr>
            <w:top w:val="none" w:sz="0" w:space="0" w:color="auto"/>
            <w:left w:val="none" w:sz="0" w:space="0" w:color="auto"/>
            <w:bottom w:val="none" w:sz="0" w:space="0" w:color="auto"/>
            <w:right w:val="none" w:sz="0" w:space="0" w:color="auto"/>
          </w:divBdr>
        </w:div>
        <w:div w:id="867523366">
          <w:marLeft w:val="640"/>
          <w:marRight w:val="0"/>
          <w:marTop w:val="0"/>
          <w:marBottom w:val="0"/>
          <w:divBdr>
            <w:top w:val="none" w:sz="0" w:space="0" w:color="auto"/>
            <w:left w:val="none" w:sz="0" w:space="0" w:color="auto"/>
            <w:bottom w:val="none" w:sz="0" w:space="0" w:color="auto"/>
            <w:right w:val="none" w:sz="0" w:space="0" w:color="auto"/>
          </w:divBdr>
        </w:div>
        <w:div w:id="2107650171">
          <w:marLeft w:val="640"/>
          <w:marRight w:val="0"/>
          <w:marTop w:val="0"/>
          <w:marBottom w:val="0"/>
          <w:divBdr>
            <w:top w:val="none" w:sz="0" w:space="0" w:color="auto"/>
            <w:left w:val="none" w:sz="0" w:space="0" w:color="auto"/>
            <w:bottom w:val="none" w:sz="0" w:space="0" w:color="auto"/>
            <w:right w:val="none" w:sz="0" w:space="0" w:color="auto"/>
          </w:divBdr>
        </w:div>
        <w:div w:id="89009603">
          <w:marLeft w:val="640"/>
          <w:marRight w:val="0"/>
          <w:marTop w:val="0"/>
          <w:marBottom w:val="0"/>
          <w:divBdr>
            <w:top w:val="none" w:sz="0" w:space="0" w:color="auto"/>
            <w:left w:val="none" w:sz="0" w:space="0" w:color="auto"/>
            <w:bottom w:val="none" w:sz="0" w:space="0" w:color="auto"/>
            <w:right w:val="none" w:sz="0" w:space="0" w:color="auto"/>
          </w:divBdr>
        </w:div>
        <w:div w:id="1520848194">
          <w:marLeft w:val="640"/>
          <w:marRight w:val="0"/>
          <w:marTop w:val="0"/>
          <w:marBottom w:val="0"/>
          <w:divBdr>
            <w:top w:val="none" w:sz="0" w:space="0" w:color="auto"/>
            <w:left w:val="none" w:sz="0" w:space="0" w:color="auto"/>
            <w:bottom w:val="none" w:sz="0" w:space="0" w:color="auto"/>
            <w:right w:val="none" w:sz="0" w:space="0" w:color="auto"/>
          </w:divBdr>
        </w:div>
        <w:div w:id="284584821">
          <w:marLeft w:val="640"/>
          <w:marRight w:val="0"/>
          <w:marTop w:val="0"/>
          <w:marBottom w:val="0"/>
          <w:divBdr>
            <w:top w:val="none" w:sz="0" w:space="0" w:color="auto"/>
            <w:left w:val="none" w:sz="0" w:space="0" w:color="auto"/>
            <w:bottom w:val="none" w:sz="0" w:space="0" w:color="auto"/>
            <w:right w:val="none" w:sz="0" w:space="0" w:color="auto"/>
          </w:divBdr>
        </w:div>
        <w:div w:id="354889573">
          <w:marLeft w:val="640"/>
          <w:marRight w:val="0"/>
          <w:marTop w:val="0"/>
          <w:marBottom w:val="0"/>
          <w:divBdr>
            <w:top w:val="none" w:sz="0" w:space="0" w:color="auto"/>
            <w:left w:val="none" w:sz="0" w:space="0" w:color="auto"/>
            <w:bottom w:val="none" w:sz="0" w:space="0" w:color="auto"/>
            <w:right w:val="none" w:sz="0" w:space="0" w:color="auto"/>
          </w:divBdr>
        </w:div>
        <w:div w:id="462843644">
          <w:marLeft w:val="640"/>
          <w:marRight w:val="0"/>
          <w:marTop w:val="0"/>
          <w:marBottom w:val="0"/>
          <w:divBdr>
            <w:top w:val="none" w:sz="0" w:space="0" w:color="auto"/>
            <w:left w:val="none" w:sz="0" w:space="0" w:color="auto"/>
            <w:bottom w:val="none" w:sz="0" w:space="0" w:color="auto"/>
            <w:right w:val="none" w:sz="0" w:space="0" w:color="auto"/>
          </w:divBdr>
        </w:div>
        <w:div w:id="1884755945">
          <w:marLeft w:val="640"/>
          <w:marRight w:val="0"/>
          <w:marTop w:val="0"/>
          <w:marBottom w:val="0"/>
          <w:divBdr>
            <w:top w:val="none" w:sz="0" w:space="0" w:color="auto"/>
            <w:left w:val="none" w:sz="0" w:space="0" w:color="auto"/>
            <w:bottom w:val="none" w:sz="0" w:space="0" w:color="auto"/>
            <w:right w:val="none" w:sz="0" w:space="0" w:color="auto"/>
          </w:divBdr>
        </w:div>
        <w:div w:id="1512842836">
          <w:marLeft w:val="640"/>
          <w:marRight w:val="0"/>
          <w:marTop w:val="0"/>
          <w:marBottom w:val="0"/>
          <w:divBdr>
            <w:top w:val="none" w:sz="0" w:space="0" w:color="auto"/>
            <w:left w:val="none" w:sz="0" w:space="0" w:color="auto"/>
            <w:bottom w:val="none" w:sz="0" w:space="0" w:color="auto"/>
            <w:right w:val="none" w:sz="0" w:space="0" w:color="auto"/>
          </w:divBdr>
        </w:div>
        <w:div w:id="1930311451">
          <w:marLeft w:val="640"/>
          <w:marRight w:val="0"/>
          <w:marTop w:val="0"/>
          <w:marBottom w:val="0"/>
          <w:divBdr>
            <w:top w:val="none" w:sz="0" w:space="0" w:color="auto"/>
            <w:left w:val="none" w:sz="0" w:space="0" w:color="auto"/>
            <w:bottom w:val="none" w:sz="0" w:space="0" w:color="auto"/>
            <w:right w:val="none" w:sz="0" w:space="0" w:color="auto"/>
          </w:divBdr>
        </w:div>
        <w:div w:id="877469507">
          <w:marLeft w:val="640"/>
          <w:marRight w:val="0"/>
          <w:marTop w:val="0"/>
          <w:marBottom w:val="0"/>
          <w:divBdr>
            <w:top w:val="none" w:sz="0" w:space="0" w:color="auto"/>
            <w:left w:val="none" w:sz="0" w:space="0" w:color="auto"/>
            <w:bottom w:val="none" w:sz="0" w:space="0" w:color="auto"/>
            <w:right w:val="none" w:sz="0" w:space="0" w:color="auto"/>
          </w:divBdr>
        </w:div>
      </w:divsChild>
    </w:div>
    <w:div w:id="165482770">
      <w:bodyDiv w:val="1"/>
      <w:marLeft w:val="0"/>
      <w:marRight w:val="0"/>
      <w:marTop w:val="0"/>
      <w:marBottom w:val="0"/>
      <w:divBdr>
        <w:top w:val="none" w:sz="0" w:space="0" w:color="auto"/>
        <w:left w:val="none" w:sz="0" w:space="0" w:color="auto"/>
        <w:bottom w:val="none" w:sz="0" w:space="0" w:color="auto"/>
        <w:right w:val="none" w:sz="0" w:space="0" w:color="auto"/>
      </w:divBdr>
      <w:divsChild>
        <w:div w:id="1676109624">
          <w:marLeft w:val="640"/>
          <w:marRight w:val="0"/>
          <w:marTop w:val="0"/>
          <w:marBottom w:val="0"/>
          <w:divBdr>
            <w:top w:val="none" w:sz="0" w:space="0" w:color="auto"/>
            <w:left w:val="none" w:sz="0" w:space="0" w:color="auto"/>
            <w:bottom w:val="none" w:sz="0" w:space="0" w:color="auto"/>
            <w:right w:val="none" w:sz="0" w:space="0" w:color="auto"/>
          </w:divBdr>
        </w:div>
        <w:div w:id="1824004991">
          <w:marLeft w:val="640"/>
          <w:marRight w:val="0"/>
          <w:marTop w:val="0"/>
          <w:marBottom w:val="0"/>
          <w:divBdr>
            <w:top w:val="none" w:sz="0" w:space="0" w:color="auto"/>
            <w:left w:val="none" w:sz="0" w:space="0" w:color="auto"/>
            <w:bottom w:val="none" w:sz="0" w:space="0" w:color="auto"/>
            <w:right w:val="none" w:sz="0" w:space="0" w:color="auto"/>
          </w:divBdr>
        </w:div>
        <w:div w:id="613290844">
          <w:marLeft w:val="640"/>
          <w:marRight w:val="0"/>
          <w:marTop w:val="0"/>
          <w:marBottom w:val="0"/>
          <w:divBdr>
            <w:top w:val="none" w:sz="0" w:space="0" w:color="auto"/>
            <w:left w:val="none" w:sz="0" w:space="0" w:color="auto"/>
            <w:bottom w:val="none" w:sz="0" w:space="0" w:color="auto"/>
            <w:right w:val="none" w:sz="0" w:space="0" w:color="auto"/>
          </w:divBdr>
        </w:div>
        <w:div w:id="1300762083">
          <w:marLeft w:val="640"/>
          <w:marRight w:val="0"/>
          <w:marTop w:val="0"/>
          <w:marBottom w:val="0"/>
          <w:divBdr>
            <w:top w:val="none" w:sz="0" w:space="0" w:color="auto"/>
            <w:left w:val="none" w:sz="0" w:space="0" w:color="auto"/>
            <w:bottom w:val="none" w:sz="0" w:space="0" w:color="auto"/>
            <w:right w:val="none" w:sz="0" w:space="0" w:color="auto"/>
          </w:divBdr>
        </w:div>
        <w:div w:id="1320421995">
          <w:marLeft w:val="640"/>
          <w:marRight w:val="0"/>
          <w:marTop w:val="0"/>
          <w:marBottom w:val="0"/>
          <w:divBdr>
            <w:top w:val="none" w:sz="0" w:space="0" w:color="auto"/>
            <w:left w:val="none" w:sz="0" w:space="0" w:color="auto"/>
            <w:bottom w:val="none" w:sz="0" w:space="0" w:color="auto"/>
            <w:right w:val="none" w:sz="0" w:space="0" w:color="auto"/>
          </w:divBdr>
        </w:div>
        <w:div w:id="594872941">
          <w:marLeft w:val="640"/>
          <w:marRight w:val="0"/>
          <w:marTop w:val="0"/>
          <w:marBottom w:val="0"/>
          <w:divBdr>
            <w:top w:val="none" w:sz="0" w:space="0" w:color="auto"/>
            <w:left w:val="none" w:sz="0" w:space="0" w:color="auto"/>
            <w:bottom w:val="none" w:sz="0" w:space="0" w:color="auto"/>
            <w:right w:val="none" w:sz="0" w:space="0" w:color="auto"/>
          </w:divBdr>
        </w:div>
        <w:div w:id="1538660221">
          <w:marLeft w:val="640"/>
          <w:marRight w:val="0"/>
          <w:marTop w:val="0"/>
          <w:marBottom w:val="0"/>
          <w:divBdr>
            <w:top w:val="none" w:sz="0" w:space="0" w:color="auto"/>
            <w:left w:val="none" w:sz="0" w:space="0" w:color="auto"/>
            <w:bottom w:val="none" w:sz="0" w:space="0" w:color="auto"/>
            <w:right w:val="none" w:sz="0" w:space="0" w:color="auto"/>
          </w:divBdr>
        </w:div>
        <w:div w:id="1609698330">
          <w:marLeft w:val="640"/>
          <w:marRight w:val="0"/>
          <w:marTop w:val="0"/>
          <w:marBottom w:val="0"/>
          <w:divBdr>
            <w:top w:val="none" w:sz="0" w:space="0" w:color="auto"/>
            <w:left w:val="none" w:sz="0" w:space="0" w:color="auto"/>
            <w:bottom w:val="none" w:sz="0" w:space="0" w:color="auto"/>
            <w:right w:val="none" w:sz="0" w:space="0" w:color="auto"/>
          </w:divBdr>
        </w:div>
        <w:div w:id="2147115721">
          <w:marLeft w:val="640"/>
          <w:marRight w:val="0"/>
          <w:marTop w:val="0"/>
          <w:marBottom w:val="0"/>
          <w:divBdr>
            <w:top w:val="none" w:sz="0" w:space="0" w:color="auto"/>
            <w:left w:val="none" w:sz="0" w:space="0" w:color="auto"/>
            <w:bottom w:val="none" w:sz="0" w:space="0" w:color="auto"/>
            <w:right w:val="none" w:sz="0" w:space="0" w:color="auto"/>
          </w:divBdr>
        </w:div>
        <w:div w:id="920211136">
          <w:marLeft w:val="640"/>
          <w:marRight w:val="0"/>
          <w:marTop w:val="0"/>
          <w:marBottom w:val="0"/>
          <w:divBdr>
            <w:top w:val="none" w:sz="0" w:space="0" w:color="auto"/>
            <w:left w:val="none" w:sz="0" w:space="0" w:color="auto"/>
            <w:bottom w:val="none" w:sz="0" w:space="0" w:color="auto"/>
            <w:right w:val="none" w:sz="0" w:space="0" w:color="auto"/>
          </w:divBdr>
        </w:div>
        <w:div w:id="250890235">
          <w:marLeft w:val="640"/>
          <w:marRight w:val="0"/>
          <w:marTop w:val="0"/>
          <w:marBottom w:val="0"/>
          <w:divBdr>
            <w:top w:val="none" w:sz="0" w:space="0" w:color="auto"/>
            <w:left w:val="none" w:sz="0" w:space="0" w:color="auto"/>
            <w:bottom w:val="none" w:sz="0" w:space="0" w:color="auto"/>
            <w:right w:val="none" w:sz="0" w:space="0" w:color="auto"/>
          </w:divBdr>
        </w:div>
        <w:div w:id="1180386210">
          <w:marLeft w:val="640"/>
          <w:marRight w:val="0"/>
          <w:marTop w:val="0"/>
          <w:marBottom w:val="0"/>
          <w:divBdr>
            <w:top w:val="none" w:sz="0" w:space="0" w:color="auto"/>
            <w:left w:val="none" w:sz="0" w:space="0" w:color="auto"/>
            <w:bottom w:val="none" w:sz="0" w:space="0" w:color="auto"/>
            <w:right w:val="none" w:sz="0" w:space="0" w:color="auto"/>
          </w:divBdr>
        </w:div>
        <w:div w:id="17590469">
          <w:marLeft w:val="640"/>
          <w:marRight w:val="0"/>
          <w:marTop w:val="0"/>
          <w:marBottom w:val="0"/>
          <w:divBdr>
            <w:top w:val="none" w:sz="0" w:space="0" w:color="auto"/>
            <w:left w:val="none" w:sz="0" w:space="0" w:color="auto"/>
            <w:bottom w:val="none" w:sz="0" w:space="0" w:color="auto"/>
            <w:right w:val="none" w:sz="0" w:space="0" w:color="auto"/>
          </w:divBdr>
        </w:div>
        <w:div w:id="2002275824">
          <w:marLeft w:val="640"/>
          <w:marRight w:val="0"/>
          <w:marTop w:val="0"/>
          <w:marBottom w:val="0"/>
          <w:divBdr>
            <w:top w:val="none" w:sz="0" w:space="0" w:color="auto"/>
            <w:left w:val="none" w:sz="0" w:space="0" w:color="auto"/>
            <w:bottom w:val="none" w:sz="0" w:space="0" w:color="auto"/>
            <w:right w:val="none" w:sz="0" w:space="0" w:color="auto"/>
          </w:divBdr>
        </w:div>
        <w:div w:id="109324324">
          <w:marLeft w:val="640"/>
          <w:marRight w:val="0"/>
          <w:marTop w:val="0"/>
          <w:marBottom w:val="0"/>
          <w:divBdr>
            <w:top w:val="none" w:sz="0" w:space="0" w:color="auto"/>
            <w:left w:val="none" w:sz="0" w:space="0" w:color="auto"/>
            <w:bottom w:val="none" w:sz="0" w:space="0" w:color="auto"/>
            <w:right w:val="none" w:sz="0" w:space="0" w:color="auto"/>
          </w:divBdr>
        </w:div>
        <w:div w:id="1316228110">
          <w:marLeft w:val="640"/>
          <w:marRight w:val="0"/>
          <w:marTop w:val="0"/>
          <w:marBottom w:val="0"/>
          <w:divBdr>
            <w:top w:val="none" w:sz="0" w:space="0" w:color="auto"/>
            <w:left w:val="none" w:sz="0" w:space="0" w:color="auto"/>
            <w:bottom w:val="none" w:sz="0" w:space="0" w:color="auto"/>
            <w:right w:val="none" w:sz="0" w:space="0" w:color="auto"/>
          </w:divBdr>
        </w:div>
        <w:div w:id="409423472">
          <w:marLeft w:val="640"/>
          <w:marRight w:val="0"/>
          <w:marTop w:val="0"/>
          <w:marBottom w:val="0"/>
          <w:divBdr>
            <w:top w:val="none" w:sz="0" w:space="0" w:color="auto"/>
            <w:left w:val="none" w:sz="0" w:space="0" w:color="auto"/>
            <w:bottom w:val="none" w:sz="0" w:space="0" w:color="auto"/>
            <w:right w:val="none" w:sz="0" w:space="0" w:color="auto"/>
          </w:divBdr>
        </w:div>
        <w:div w:id="2005696278">
          <w:marLeft w:val="640"/>
          <w:marRight w:val="0"/>
          <w:marTop w:val="0"/>
          <w:marBottom w:val="0"/>
          <w:divBdr>
            <w:top w:val="none" w:sz="0" w:space="0" w:color="auto"/>
            <w:left w:val="none" w:sz="0" w:space="0" w:color="auto"/>
            <w:bottom w:val="none" w:sz="0" w:space="0" w:color="auto"/>
            <w:right w:val="none" w:sz="0" w:space="0" w:color="auto"/>
          </w:divBdr>
        </w:div>
        <w:div w:id="1552961926">
          <w:marLeft w:val="640"/>
          <w:marRight w:val="0"/>
          <w:marTop w:val="0"/>
          <w:marBottom w:val="0"/>
          <w:divBdr>
            <w:top w:val="none" w:sz="0" w:space="0" w:color="auto"/>
            <w:left w:val="none" w:sz="0" w:space="0" w:color="auto"/>
            <w:bottom w:val="none" w:sz="0" w:space="0" w:color="auto"/>
            <w:right w:val="none" w:sz="0" w:space="0" w:color="auto"/>
          </w:divBdr>
        </w:div>
        <w:div w:id="761990114">
          <w:marLeft w:val="640"/>
          <w:marRight w:val="0"/>
          <w:marTop w:val="0"/>
          <w:marBottom w:val="0"/>
          <w:divBdr>
            <w:top w:val="none" w:sz="0" w:space="0" w:color="auto"/>
            <w:left w:val="none" w:sz="0" w:space="0" w:color="auto"/>
            <w:bottom w:val="none" w:sz="0" w:space="0" w:color="auto"/>
            <w:right w:val="none" w:sz="0" w:space="0" w:color="auto"/>
          </w:divBdr>
        </w:div>
        <w:div w:id="551697894">
          <w:marLeft w:val="640"/>
          <w:marRight w:val="0"/>
          <w:marTop w:val="0"/>
          <w:marBottom w:val="0"/>
          <w:divBdr>
            <w:top w:val="none" w:sz="0" w:space="0" w:color="auto"/>
            <w:left w:val="none" w:sz="0" w:space="0" w:color="auto"/>
            <w:bottom w:val="none" w:sz="0" w:space="0" w:color="auto"/>
            <w:right w:val="none" w:sz="0" w:space="0" w:color="auto"/>
          </w:divBdr>
        </w:div>
        <w:div w:id="435634797">
          <w:marLeft w:val="640"/>
          <w:marRight w:val="0"/>
          <w:marTop w:val="0"/>
          <w:marBottom w:val="0"/>
          <w:divBdr>
            <w:top w:val="none" w:sz="0" w:space="0" w:color="auto"/>
            <w:left w:val="none" w:sz="0" w:space="0" w:color="auto"/>
            <w:bottom w:val="none" w:sz="0" w:space="0" w:color="auto"/>
            <w:right w:val="none" w:sz="0" w:space="0" w:color="auto"/>
          </w:divBdr>
        </w:div>
        <w:div w:id="624848058">
          <w:marLeft w:val="640"/>
          <w:marRight w:val="0"/>
          <w:marTop w:val="0"/>
          <w:marBottom w:val="0"/>
          <w:divBdr>
            <w:top w:val="none" w:sz="0" w:space="0" w:color="auto"/>
            <w:left w:val="none" w:sz="0" w:space="0" w:color="auto"/>
            <w:bottom w:val="none" w:sz="0" w:space="0" w:color="auto"/>
            <w:right w:val="none" w:sz="0" w:space="0" w:color="auto"/>
          </w:divBdr>
        </w:div>
        <w:div w:id="1947539110">
          <w:marLeft w:val="640"/>
          <w:marRight w:val="0"/>
          <w:marTop w:val="0"/>
          <w:marBottom w:val="0"/>
          <w:divBdr>
            <w:top w:val="none" w:sz="0" w:space="0" w:color="auto"/>
            <w:left w:val="none" w:sz="0" w:space="0" w:color="auto"/>
            <w:bottom w:val="none" w:sz="0" w:space="0" w:color="auto"/>
            <w:right w:val="none" w:sz="0" w:space="0" w:color="auto"/>
          </w:divBdr>
        </w:div>
        <w:div w:id="1291865929">
          <w:marLeft w:val="640"/>
          <w:marRight w:val="0"/>
          <w:marTop w:val="0"/>
          <w:marBottom w:val="0"/>
          <w:divBdr>
            <w:top w:val="none" w:sz="0" w:space="0" w:color="auto"/>
            <w:left w:val="none" w:sz="0" w:space="0" w:color="auto"/>
            <w:bottom w:val="none" w:sz="0" w:space="0" w:color="auto"/>
            <w:right w:val="none" w:sz="0" w:space="0" w:color="auto"/>
          </w:divBdr>
        </w:div>
        <w:div w:id="567498262">
          <w:marLeft w:val="640"/>
          <w:marRight w:val="0"/>
          <w:marTop w:val="0"/>
          <w:marBottom w:val="0"/>
          <w:divBdr>
            <w:top w:val="none" w:sz="0" w:space="0" w:color="auto"/>
            <w:left w:val="none" w:sz="0" w:space="0" w:color="auto"/>
            <w:bottom w:val="none" w:sz="0" w:space="0" w:color="auto"/>
            <w:right w:val="none" w:sz="0" w:space="0" w:color="auto"/>
          </w:divBdr>
        </w:div>
        <w:div w:id="1522669601">
          <w:marLeft w:val="640"/>
          <w:marRight w:val="0"/>
          <w:marTop w:val="0"/>
          <w:marBottom w:val="0"/>
          <w:divBdr>
            <w:top w:val="none" w:sz="0" w:space="0" w:color="auto"/>
            <w:left w:val="none" w:sz="0" w:space="0" w:color="auto"/>
            <w:bottom w:val="none" w:sz="0" w:space="0" w:color="auto"/>
            <w:right w:val="none" w:sz="0" w:space="0" w:color="auto"/>
          </w:divBdr>
        </w:div>
        <w:div w:id="999189935">
          <w:marLeft w:val="640"/>
          <w:marRight w:val="0"/>
          <w:marTop w:val="0"/>
          <w:marBottom w:val="0"/>
          <w:divBdr>
            <w:top w:val="none" w:sz="0" w:space="0" w:color="auto"/>
            <w:left w:val="none" w:sz="0" w:space="0" w:color="auto"/>
            <w:bottom w:val="none" w:sz="0" w:space="0" w:color="auto"/>
            <w:right w:val="none" w:sz="0" w:space="0" w:color="auto"/>
          </w:divBdr>
        </w:div>
        <w:div w:id="1671642156">
          <w:marLeft w:val="640"/>
          <w:marRight w:val="0"/>
          <w:marTop w:val="0"/>
          <w:marBottom w:val="0"/>
          <w:divBdr>
            <w:top w:val="none" w:sz="0" w:space="0" w:color="auto"/>
            <w:left w:val="none" w:sz="0" w:space="0" w:color="auto"/>
            <w:bottom w:val="none" w:sz="0" w:space="0" w:color="auto"/>
            <w:right w:val="none" w:sz="0" w:space="0" w:color="auto"/>
          </w:divBdr>
        </w:div>
        <w:div w:id="1229462762">
          <w:marLeft w:val="640"/>
          <w:marRight w:val="0"/>
          <w:marTop w:val="0"/>
          <w:marBottom w:val="0"/>
          <w:divBdr>
            <w:top w:val="none" w:sz="0" w:space="0" w:color="auto"/>
            <w:left w:val="none" w:sz="0" w:space="0" w:color="auto"/>
            <w:bottom w:val="none" w:sz="0" w:space="0" w:color="auto"/>
            <w:right w:val="none" w:sz="0" w:space="0" w:color="auto"/>
          </w:divBdr>
        </w:div>
        <w:div w:id="159853828">
          <w:marLeft w:val="640"/>
          <w:marRight w:val="0"/>
          <w:marTop w:val="0"/>
          <w:marBottom w:val="0"/>
          <w:divBdr>
            <w:top w:val="none" w:sz="0" w:space="0" w:color="auto"/>
            <w:left w:val="none" w:sz="0" w:space="0" w:color="auto"/>
            <w:bottom w:val="none" w:sz="0" w:space="0" w:color="auto"/>
            <w:right w:val="none" w:sz="0" w:space="0" w:color="auto"/>
          </w:divBdr>
        </w:div>
        <w:div w:id="355236920">
          <w:marLeft w:val="640"/>
          <w:marRight w:val="0"/>
          <w:marTop w:val="0"/>
          <w:marBottom w:val="0"/>
          <w:divBdr>
            <w:top w:val="none" w:sz="0" w:space="0" w:color="auto"/>
            <w:left w:val="none" w:sz="0" w:space="0" w:color="auto"/>
            <w:bottom w:val="none" w:sz="0" w:space="0" w:color="auto"/>
            <w:right w:val="none" w:sz="0" w:space="0" w:color="auto"/>
          </w:divBdr>
        </w:div>
        <w:div w:id="653025040">
          <w:marLeft w:val="640"/>
          <w:marRight w:val="0"/>
          <w:marTop w:val="0"/>
          <w:marBottom w:val="0"/>
          <w:divBdr>
            <w:top w:val="none" w:sz="0" w:space="0" w:color="auto"/>
            <w:left w:val="none" w:sz="0" w:space="0" w:color="auto"/>
            <w:bottom w:val="none" w:sz="0" w:space="0" w:color="auto"/>
            <w:right w:val="none" w:sz="0" w:space="0" w:color="auto"/>
          </w:divBdr>
        </w:div>
        <w:div w:id="206451936">
          <w:marLeft w:val="640"/>
          <w:marRight w:val="0"/>
          <w:marTop w:val="0"/>
          <w:marBottom w:val="0"/>
          <w:divBdr>
            <w:top w:val="none" w:sz="0" w:space="0" w:color="auto"/>
            <w:left w:val="none" w:sz="0" w:space="0" w:color="auto"/>
            <w:bottom w:val="none" w:sz="0" w:space="0" w:color="auto"/>
            <w:right w:val="none" w:sz="0" w:space="0" w:color="auto"/>
          </w:divBdr>
        </w:div>
        <w:div w:id="1831367064">
          <w:marLeft w:val="640"/>
          <w:marRight w:val="0"/>
          <w:marTop w:val="0"/>
          <w:marBottom w:val="0"/>
          <w:divBdr>
            <w:top w:val="none" w:sz="0" w:space="0" w:color="auto"/>
            <w:left w:val="none" w:sz="0" w:space="0" w:color="auto"/>
            <w:bottom w:val="none" w:sz="0" w:space="0" w:color="auto"/>
            <w:right w:val="none" w:sz="0" w:space="0" w:color="auto"/>
          </w:divBdr>
        </w:div>
        <w:div w:id="1306350391">
          <w:marLeft w:val="640"/>
          <w:marRight w:val="0"/>
          <w:marTop w:val="0"/>
          <w:marBottom w:val="0"/>
          <w:divBdr>
            <w:top w:val="none" w:sz="0" w:space="0" w:color="auto"/>
            <w:left w:val="none" w:sz="0" w:space="0" w:color="auto"/>
            <w:bottom w:val="none" w:sz="0" w:space="0" w:color="auto"/>
            <w:right w:val="none" w:sz="0" w:space="0" w:color="auto"/>
          </w:divBdr>
        </w:div>
        <w:div w:id="476344018">
          <w:marLeft w:val="640"/>
          <w:marRight w:val="0"/>
          <w:marTop w:val="0"/>
          <w:marBottom w:val="0"/>
          <w:divBdr>
            <w:top w:val="none" w:sz="0" w:space="0" w:color="auto"/>
            <w:left w:val="none" w:sz="0" w:space="0" w:color="auto"/>
            <w:bottom w:val="none" w:sz="0" w:space="0" w:color="auto"/>
            <w:right w:val="none" w:sz="0" w:space="0" w:color="auto"/>
          </w:divBdr>
        </w:div>
        <w:div w:id="1373769972">
          <w:marLeft w:val="640"/>
          <w:marRight w:val="0"/>
          <w:marTop w:val="0"/>
          <w:marBottom w:val="0"/>
          <w:divBdr>
            <w:top w:val="none" w:sz="0" w:space="0" w:color="auto"/>
            <w:left w:val="none" w:sz="0" w:space="0" w:color="auto"/>
            <w:bottom w:val="none" w:sz="0" w:space="0" w:color="auto"/>
            <w:right w:val="none" w:sz="0" w:space="0" w:color="auto"/>
          </w:divBdr>
        </w:div>
        <w:div w:id="67114822">
          <w:marLeft w:val="640"/>
          <w:marRight w:val="0"/>
          <w:marTop w:val="0"/>
          <w:marBottom w:val="0"/>
          <w:divBdr>
            <w:top w:val="none" w:sz="0" w:space="0" w:color="auto"/>
            <w:left w:val="none" w:sz="0" w:space="0" w:color="auto"/>
            <w:bottom w:val="none" w:sz="0" w:space="0" w:color="auto"/>
            <w:right w:val="none" w:sz="0" w:space="0" w:color="auto"/>
          </w:divBdr>
        </w:div>
        <w:div w:id="691804220">
          <w:marLeft w:val="640"/>
          <w:marRight w:val="0"/>
          <w:marTop w:val="0"/>
          <w:marBottom w:val="0"/>
          <w:divBdr>
            <w:top w:val="none" w:sz="0" w:space="0" w:color="auto"/>
            <w:left w:val="none" w:sz="0" w:space="0" w:color="auto"/>
            <w:bottom w:val="none" w:sz="0" w:space="0" w:color="auto"/>
            <w:right w:val="none" w:sz="0" w:space="0" w:color="auto"/>
          </w:divBdr>
        </w:div>
        <w:div w:id="1632396957">
          <w:marLeft w:val="640"/>
          <w:marRight w:val="0"/>
          <w:marTop w:val="0"/>
          <w:marBottom w:val="0"/>
          <w:divBdr>
            <w:top w:val="none" w:sz="0" w:space="0" w:color="auto"/>
            <w:left w:val="none" w:sz="0" w:space="0" w:color="auto"/>
            <w:bottom w:val="none" w:sz="0" w:space="0" w:color="auto"/>
            <w:right w:val="none" w:sz="0" w:space="0" w:color="auto"/>
          </w:divBdr>
        </w:div>
        <w:div w:id="1299536054">
          <w:marLeft w:val="640"/>
          <w:marRight w:val="0"/>
          <w:marTop w:val="0"/>
          <w:marBottom w:val="0"/>
          <w:divBdr>
            <w:top w:val="none" w:sz="0" w:space="0" w:color="auto"/>
            <w:left w:val="none" w:sz="0" w:space="0" w:color="auto"/>
            <w:bottom w:val="none" w:sz="0" w:space="0" w:color="auto"/>
            <w:right w:val="none" w:sz="0" w:space="0" w:color="auto"/>
          </w:divBdr>
        </w:div>
        <w:div w:id="539127741">
          <w:marLeft w:val="640"/>
          <w:marRight w:val="0"/>
          <w:marTop w:val="0"/>
          <w:marBottom w:val="0"/>
          <w:divBdr>
            <w:top w:val="none" w:sz="0" w:space="0" w:color="auto"/>
            <w:left w:val="none" w:sz="0" w:space="0" w:color="auto"/>
            <w:bottom w:val="none" w:sz="0" w:space="0" w:color="auto"/>
            <w:right w:val="none" w:sz="0" w:space="0" w:color="auto"/>
          </w:divBdr>
        </w:div>
        <w:div w:id="1954512733">
          <w:marLeft w:val="640"/>
          <w:marRight w:val="0"/>
          <w:marTop w:val="0"/>
          <w:marBottom w:val="0"/>
          <w:divBdr>
            <w:top w:val="none" w:sz="0" w:space="0" w:color="auto"/>
            <w:left w:val="none" w:sz="0" w:space="0" w:color="auto"/>
            <w:bottom w:val="none" w:sz="0" w:space="0" w:color="auto"/>
            <w:right w:val="none" w:sz="0" w:space="0" w:color="auto"/>
          </w:divBdr>
        </w:div>
        <w:div w:id="1633360725">
          <w:marLeft w:val="640"/>
          <w:marRight w:val="0"/>
          <w:marTop w:val="0"/>
          <w:marBottom w:val="0"/>
          <w:divBdr>
            <w:top w:val="none" w:sz="0" w:space="0" w:color="auto"/>
            <w:left w:val="none" w:sz="0" w:space="0" w:color="auto"/>
            <w:bottom w:val="none" w:sz="0" w:space="0" w:color="auto"/>
            <w:right w:val="none" w:sz="0" w:space="0" w:color="auto"/>
          </w:divBdr>
        </w:div>
        <w:div w:id="174733876">
          <w:marLeft w:val="640"/>
          <w:marRight w:val="0"/>
          <w:marTop w:val="0"/>
          <w:marBottom w:val="0"/>
          <w:divBdr>
            <w:top w:val="none" w:sz="0" w:space="0" w:color="auto"/>
            <w:left w:val="none" w:sz="0" w:space="0" w:color="auto"/>
            <w:bottom w:val="none" w:sz="0" w:space="0" w:color="auto"/>
            <w:right w:val="none" w:sz="0" w:space="0" w:color="auto"/>
          </w:divBdr>
        </w:div>
        <w:div w:id="1842499270">
          <w:marLeft w:val="640"/>
          <w:marRight w:val="0"/>
          <w:marTop w:val="0"/>
          <w:marBottom w:val="0"/>
          <w:divBdr>
            <w:top w:val="none" w:sz="0" w:space="0" w:color="auto"/>
            <w:left w:val="none" w:sz="0" w:space="0" w:color="auto"/>
            <w:bottom w:val="none" w:sz="0" w:space="0" w:color="auto"/>
            <w:right w:val="none" w:sz="0" w:space="0" w:color="auto"/>
          </w:divBdr>
        </w:div>
        <w:div w:id="1287853771">
          <w:marLeft w:val="640"/>
          <w:marRight w:val="0"/>
          <w:marTop w:val="0"/>
          <w:marBottom w:val="0"/>
          <w:divBdr>
            <w:top w:val="none" w:sz="0" w:space="0" w:color="auto"/>
            <w:left w:val="none" w:sz="0" w:space="0" w:color="auto"/>
            <w:bottom w:val="none" w:sz="0" w:space="0" w:color="auto"/>
            <w:right w:val="none" w:sz="0" w:space="0" w:color="auto"/>
          </w:divBdr>
        </w:div>
        <w:div w:id="844899967">
          <w:marLeft w:val="640"/>
          <w:marRight w:val="0"/>
          <w:marTop w:val="0"/>
          <w:marBottom w:val="0"/>
          <w:divBdr>
            <w:top w:val="none" w:sz="0" w:space="0" w:color="auto"/>
            <w:left w:val="none" w:sz="0" w:space="0" w:color="auto"/>
            <w:bottom w:val="none" w:sz="0" w:space="0" w:color="auto"/>
            <w:right w:val="none" w:sz="0" w:space="0" w:color="auto"/>
          </w:divBdr>
        </w:div>
        <w:div w:id="1512799895">
          <w:marLeft w:val="640"/>
          <w:marRight w:val="0"/>
          <w:marTop w:val="0"/>
          <w:marBottom w:val="0"/>
          <w:divBdr>
            <w:top w:val="none" w:sz="0" w:space="0" w:color="auto"/>
            <w:left w:val="none" w:sz="0" w:space="0" w:color="auto"/>
            <w:bottom w:val="none" w:sz="0" w:space="0" w:color="auto"/>
            <w:right w:val="none" w:sz="0" w:space="0" w:color="auto"/>
          </w:divBdr>
        </w:div>
        <w:div w:id="830947333">
          <w:marLeft w:val="640"/>
          <w:marRight w:val="0"/>
          <w:marTop w:val="0"/>
          <w:marBottom w:val="0"/>
          <w:divBdr>
            <w:top w:val="none" w:sz="0" w:space="0" w:color="auto"/>
            <w:left w:val="none" w:sz="0" w:space="0" w:color="auto"/>
            <w:bottom w:val="none" w:sz="0" w:space="0" w:color="auto"/>
            <w:right w:val="none" w:sz="0" w:space="0" w:color="auto"/>
          </w:divBdr>
        </w:div>
        <w:div w:id="1905332759">
          <w:marLeft w:val="640"/>
          <w:marRight w:val="0"/>
          <w:marTop w:val="0"/>
          <w:marBottom w:val="0"/>
          <w:divBdr>
            <w:top w:val="none" w:sz="0" w:space="0" w:color="auto"/>
            <w:left w:val="none" w:sz="0" w:space="0" w:color="auto"/>
            <w:bottom w:val="none" w:sz="0" w:space="0" w:color="auto"/>
            <w:right w:val="none" w:sz="0" w:space="0" w:color="auto"/>
          </w:divBdr>
        </w:div>
        <w:div w:id="1095132520">
          <w:marLeft w:val="640"/>
          <w:marRight w:val="0"/>
          <w:marTop w:val="0"/>
          <w:marBottom w:val="0"/>
          <w:divBdr>
            <w:top w:val="none" w:sz="0" w:space="0" w:color="auto"/>
            <w:left w:val="none" w:sz="0" w:space="0" w:color="auto"/>
            <w:bottom w:val="none" w:sz="0" w:space="0" w:color="auto"/>
            <w:right w:val="none" w:sz="0" w:space="0" w:color="auto"/>
          </w:divBdr>
        </w:div>
        <w:div w:id="1034160436">
          <w:marLeft w:val="640"/>
          <w:marRight w:val="0"/>
          <w:marTop w:val="0"/>
          <w:marBottom w:val="0"/>
          <w:divBdr>
            <w:top w:val="none" w:sz="0" w:space="0" w:color="auto"/>
            <w:left w:val="none" w:sz="0" w:space="0" w:color="auto"/>
            <w:bottom w:val="none" w:sz="0" w:space="0" w:color="auto"/>
            <w:right w:val="none" w:sz="0" w:space="0" w:color="auto"/>
          </w:divBdr>
        </w:div>
        <w:div w:id="1690717829">
          <w:marLeft w:val="640"/>
          <w:marRight w:val="0"/>
          <w:marTop w:val="0"/>
          <w:marBottom w:val="0"/>
          <w:divBdr>
            <w:top w:val="none" w:sz="0" w:space="0" w:color="auto"/>
            <w:left w:val="none" w:sz="0" w:space="0" w:color="auto"/>
            <w:bottom w:val="none" w:sz="0" w:space="0" w:color="auto"/>
            <w:right w:val="none" w:sz="0" w:space="0" w:color="auto"/>
          </w:divBdr>
        </w:div>
        <w:div w:id="708260186">
          <w:marLeft w:val="640"/>
          <w:marRight w:val="0"/>
          <w:marTop w:val="0"/>
          <w:marBottom w:val="0"/>
          <w:divBdr>
            <w:top w:val="none" w:sz="0" w:space="0" w:color="auto"/>
            <w:left w:val="none" w:sz="0" w:space="0" w:color="auto"/>
            <w:bottom w:val="none" w:sz="0" w:space="0" w:color="auto"/>
            <w:right w:val="none" w:sz="0" w:space="0" w:color="auto"/>
          </w:divBdr>
        </w:div>
        <w:div w:id="733696029">
          <w:marLeft w:val="640"/>
          <w:marRight w:val="0"/>
          <w:marTop w:val="0"/>
          <w:marBottom w:val="0"/>
          <w:divBdr>
            <w:top w:val="none" w:sz="0" w:space="0" w:color="auto"/>
            <w:left w:val="none" w:sz="0" w:space="0" w:color="auto"/>
            <w:bottom w:val="none" w:sz="0" w:space="0" w:color="auto"/>
            <w:right w:val="none" w:sz="0" w:space="0" w:color="auto"/>
          </w:divBdr>
        </w:div>
        <w:div w:id="238175252">
          <w:marLeft w:val="640"/>
          <w:marRight w:val="0"/>
          <w:marTop w:val="0"/>
          <w:marBottom w:val="0"/>
          <w:divBdr>
            <w:top w:val="none" w:sz="0" w:space="0" w:color="auto"/>
            <w:left w:val="none" w:sz="0" w:space="0" w:color="auto"/>
            <w:bottom w:val="none" w:sz="0" w:space="0" w:color="auto"/>
            <w:right w:val="none" w:sz="0" w:space="0" w:color="auto"/>
          </w:divBdr>
        </w:div>
        <w:div w:id="1906449797">
          <w:marLeft w:val="640"/>
          <w:marRight w:val="0"/>
          <w:marTop w:val="0"/>
          <w:marBottom w:val="0"/>
          <w:divBdr>
            <w:top w:val="none" w:sz="0" w:space="0" w:color="auto"/>
            <w:left w:val="none" w:sz="0" w:space="0" w:color="auto"/>
            <w:bottom w:val="none" w:sz="0" w:space="0" w:color="auto"/>
            <w:right w:val="none" w:sz="0" w:space="0" w:color="auto"/>
          </w:divBdr>
        </w:div>
        <w:div w:id="261374381">
          <w:marLeft w:val="640"/>
          <w:marRight w:val="0"/>
          <w:marTop w:val="0"/>
          <w:marBottom w:val="0"/>
          <w:divBdr>
            <w:top w:val="none" w:sz="0" w:space="0" w:color="auto"/>
            <w:left w:val="none" w:sz="0" w:space="0" w:color="auto"/>
            <w:bottom w:val="none" w:sz="0" w:space="0" w:color="auto"/>
            <w:right w:val="none" w:sz="0" w:space="0" w:color="auto"/>
          </w:divBdr>
        </w:div>
        <w:div w:id="1146630697">
          <w:marLeft w:val="640"/>
          <w:marRight w:val="0"/>
          <w:marTop w:val="0"/>
          <w:marBottom w:val="0"/>
          <w:divBdr>
            <w:top w:val="none" w:sz="0" w:space="0" w:color="auto"/>
            <w:left w:val="none" w:sz="0" w:space="0" w:color="auto"/>
            <w:bottom w:val="none" w:sz="0" w:space="0" w:color="auto"/>
            <w:right w:val="none" w:sz="0" w:space="0" w:color="auto"/>
          </w:divBdr>
        </w:div>
        <w:div w:id="286590271">
          <w:marLeft w:val="640"/>
          <w:marRight w:val="0"/>
          <w:marTop w:val="0"/>
          <w:marBottom w:val="0"/>
          <w:divBdr>
            <w:top w:val="none" w:sz="0" w:space="0" w:color="auto"/>
            <w:left w:val="none" w:sz="0" w:space="0" w:color="auto"/>
            <w:bottom w:val="none" w:sz="0" w:space="0" w:color="auto"/>
            <w:right w:val="none" w:sz="0" w:space="0" w:color="auto"/>
          </w:divBdr>
        </w:div>
        <w:div w:id="1338076878">
          <w:marLeft w:val="640"/>
          <w:marRight w:val="0"/>
          <w:marTop w:val="0"/>
          <w:marBottom w:val="0"/>
          <w:divBdr>
            <w:top w:val="none" w:sz="0" w:space="0" w:color="auto"/>
            <w:left w:val="none" w:sz="0" w:space="0" w:color="auto"/>
            <w:bottom w:val="none" w:sz="0" w:space="0" w:color="auto"/>
            <w:right w:val="none" w:sz="0" w:space="0" w:color="auto"/>
          </w:divBdr>
        </w:div>
        <w:div w:id="779030037">
          <w:marLeft w:val="640"/>
          <w:marRight w:val="0"/>
          <w:marTop w:val="0"/>
          <w:marBottom w:val="0"/>
          <w:divBdr>
            <w:top w:val="none" w:sz="0" w:space="0" w:color="auto"/>
            <w:left w:val="none" w:sz="0" w:space="0" w:color="auto"/>
            <w:bottom w:val="none" w:sz="0" w:space="0" w:color="auto"/>
            <w:right w:val="none" w:sz="0" w:space="0" w:color="auto"/>
          </w:divBdr>
        </w:div>
        <w:div w:id="1678577761">
          <w:marLeft w:val="640"/>
          <w:marRight w:val="0"/>
          <w:marTop w:val="0"/>
          <w:marBottom w:val="0"/>
          <w:divBdr>
            <w:top w:val="none" w:sz="0" w:space="0" w:color="auto"/>
            <w:left w:val="none" w:sz="0" w:space="0" w:color="auto"/>
            <w:bottom w:val="none" w:sz="0" w:space="0" w:color="auto"/>
            <w:right w:val="none" w:sz="0" w:space="0" w:color="auto"/>
          </w:divBdr>
        </w:div>
        <w:div w:id="995768011">
          <w:marLeft w:val="640"/>
          <w:marRight w:val="0"/>
          <w:marTop w:val="0"/>
          <w:marBottom w:val="0"/>
          <w:divBdr>
            <w:top w:val="none" w:sz="0" w:space="0" w:color="auto"/>
            <w:left w:val="none" w:sz="0" w:space="0" w:color="auto"/>
            <w:bottom w:val="none" w:sz="0" w:space="0" w:color="auto"/>
            <w:right w:val="none" w:sz="0" w:space="0" w:color="auto"/>
          </w:divBdr>
        </w:div>
        <w:div w:id="1390301919">
          <w:marLeft w:val="640"/>
          <w:marRight w:val="0"/>
          <w:marTop w:val="0"/>
          <w:marBottom w:val="0"/>
          <w:divBdr>
            <w:top w:val="none" w:sz="0" w:space="0" w:color="auto"/>
            <w:left w:val="none" w:sz="0" w:space="0" w:color="auto"/>
            <w:bottom w:val="none" w:sz="0" w:space="0" w:color="auto"/>
            <w:right w:val="none" w:sz="0" w:space="0" w:color="auto"/>
          </w:divBdr>
        </w:div>
        <w:div w:id="1927685196">
          <w:marLeft w:val="640"/>
          <w:marRight w:val="0"/>
          <w:marTop w:val="0"/>
          <w:marBottom w:val="0"/>
          <w:divBdr>
            <w:top w:val="none" w:sz="0" w:space="0" w:color="auto"/>
            <w:left w:val="none" w:sz="0" w:space="0" w:color="auto"/>
            <w:bottom w:val="none" w:sz="0" w:space="0" w:color="auto"/>
            <w:right w:val="none" w:sz="0" w:space="0" w:color="auto"/>
          </w:divBdr>
        </w:div>
        <w:div w:id="1889148949">
          <w:marLeft w:val="640"/>
          <w:marRight w:val="0"/>
          <w:marTop w:val="0"/>
          <w:marBottom w:val="0"/>
          <w:divBdr>
            <w:top w:val="none" w:sz="0" w:space="0" w:color="auto"/>
            <w:left w:val="none" w:sz="0" w:space="0" w:color="auto"/>
            <w:bottom w:val="none" w:sz="0" w:space="0" w:color="auto"/>
            <w:right w:val="none" w:sz="0" w:space="0" w:color="auto"/>
          </w:divBdr>
        </w:div>
        <w:div w:id="344985644">
          <w:marLeft w:val="640"/>
          <w:marRight w:val="0"/>
          <w:marTop w:val="0"/>
          <w:marBottom w:val="0"/>
          <w:divBdr>
            <w:top w:val="none" w:sz="0" w:space="0" w:color="auto"/>
            <w:left w:val="none" w:sz="0" w:space="0" w:color="auto"/>
            <w:bottom w:val="none" w:sz="0" w:space="0" w:color="auto"/>
            <w:right w:val="none" w:sz="0" w:space="0" w:color="auto"/>
          </w:divBdr>
        </w:div>
        <w:div w:id="1244340210">
          <w:marLeft w:val="640"/>
          <w:marRight w:val="0"/>
          <w:marTop w:val="0"/>
          <w:marBottom w:val="0"/>
          <w:divBdr>
            <w:top w:val="none" w:sz="0" w:space="0" w:color="auto"/>
            <w:left w:val="none" w:sz="0" w:space="0" w:color="auto"/>
            <w:bottom w:val="none" w:sz="0" w:space="0" w:color="auto"/>
            <w:right w:val="none" w:sz="0" w:space="0" w:color="auto"/>
          </w:divBdr>
        </w:div>
        <w:div w:id="1582055820">
          <w:marLeft w:val="640"/>
          <w:marRight w:val="0"/>
          <w:marTop w:val="0"/>
          <w:marBottom w:val="0"/>
          <w:divBdr>
            <w:top w:val="none" w:sz="0" w:space="0" w:color="auto"/>
            <w:left w:val="none" w:sz="0" w:space="0" w:color="auto"/>
            <w:bottom w:val="none" w:sz="0" w:space="0" w:color="auto"/>
            <w:right w:val="none" w:sz="0" w:space="0" w:color="auto"/>
          </w:divBdr>
        </w:div>
        <w:div w:id="20516263">
          <w:marLeft w:val="640"/>
          <w:marRight w:val="0"/>
          <w:marTop w:val="0"/>
          <w:marBottom w:val="0"/>
          <w:divBdr>
            <w:top w:val="none" w:sz="0" w:space="0" w:color="auto"/>
            <w:left w:val="none" w:sz="0" w:space="0" w:color="auto"/>
            <w:bottom w:val="none" w:sz="0" w:space="0" w:color="auto"/>
            <w:right w:val="none" w:sz="0" w:space="0" w:color="auto"/>
          </w:divBdr>
        </w:div>
        <w:div w:id="1144129318">
          <w:marLeft w:val="640"/>
          <w:marRight w:val="0"/>
          <w:marTop w:val="0"/>
          <w:marBottom w:val="0"/>
          <w:divBdr>
            <w:top w:val="none" w:sz="0" w:space="0" w:color="auto"/>
            <w:left w:val="none" w:sz="0" w:space="0" w:color="auto"/>
            <w:bottom w:val="none" w:sz="0" w:space="0" w:color="auto"/>
            <w:right w:val="none" w:sz="0" w:space="0" w:color="auto"/>
          </w:divBdr>
        </w:div>
        <w:div w:id="1659841550">
          <w:marLeft w:val="640"/>
          <w:marRight w:val="0"/>
          <w:marTop w:val="0"/>
          <w:marBottom w:val="0"/>
          <w:divBdr>
            <w:top w:val="none" w:sz="0" w:space="0" w:color="auto"/>
            <w:left w:val="none" w:sz="0" w:space="0" w:color="auto"/>
            <w:bottom w:val="none" w:sz="0" w:space="0" w:color="auto"/>
            <w:right w:val="none" w:sz="0" w:space="0" w:color="auto"/>
          </w:divBdr>
        </w:div>
        <w:div w:id="808090891">
          <w:marLeft w:val="640"/>
          <w:marRight w:val="0"/>
          <w:marTop w:val="0"/>
          <w:marBottom w:val="0"/>
          <w:divBdr>
            <w:top w:val="none" w:sz="0" w:space="0" w:color="auto"/>
            <w:left w:val="none" w:sz="0" w:space="0" w:color="auto"/>
            <w:bottom w:val="none" w:sz="0" w:space="0" w:color="auto"/>
            <w:right w:val="none" w:sz="0" w:space="0" w:color="auto"/>
          </w:divBdr>
        </w:div>
        <w:div w:id="884294508">
          <w:marLeft w:val="640"/>
          <w:marRight w:val="0"/>
          <w:marTop w:val="0"/>
          <w:marBottom w:val="0"/>
          <w:divBdr>
            <w:top w:val="none" w:sz="0" w:space="0" w:color="auto"/>
            <w:left w:val="none" w:sz="0" w:space="0" w:color="auto"/>
            <w:bottom w:val="none" w:sz="0" w:space="0" w:color="auto"/>
            <w:right w:val="none" w:sz="0" w:space="0" w:color="auto"/>
          </w:divBdr>
        </w:div>
        <w:div w:id="887231094">
          <w:marLeft w:val="640"/>
          <w:marRight w:val="0"/>
          <w:marTop w:val="0"/>
          <w:marBottom w:val="0"/>
          <w:divBdr>
            <w:top w:val="none" w:sz="0" w:space="0" w:color="auto"/>
            <w:left w:val="none" w:sz="0" w:space="0" w:color="auto"/>
            <w:bottom w:val="none" w:sz="0" w:space="0" w:color="auto"/>
            <w:right w:val="none" w:sz="0" w:space="0" w:color="auto"/>
          </w:divBdr>
        </w:div>
        <w:div w:id="1186165098">
          <w:marLeft w:val="640"/>
          <w:marRight w:val="0"/>
          <w:marTop w:val="0"/>
          <w:marBottom w:val="0"/>
          <w:divBdr>
            <w:top w:val="none" w:sz="0" w:space="0" w:color="auto"/>
            <w:left w:val="none" w:sz="0" w:space="0" w:color="auto"/>
            <w:bottom w:val="none" w:sz="0" w:space="0" w:color="auto"/>
            <w:right w:val="none" w:sz="0" w:space="0" w:color="auto"/>
          </w:divBdr>
        </w:div>
        <w:div w:id="1215432280">
          <w:marLeft w:val="640"/>
          <w:marRight w:val="0"/>
          <w:marTop w:val="0"/>
          <w:marBottom w:val="0"/>
          <w:divBdr>
            <w:top w:val="none" w:sz="0" w:space="0" w:color="auto"/>
            <w:left w:val="none" w:sz="0" w:space="0" w:color="auto"/>
            <w:bottom w:val="none" w:sz="0" w:space="0" w:color="auto"/>
            <w:right w:val="none" w:sz="0" w:space="0" w:color="auto"/>
          </w:divBdr>
        </w:div>
        <w:div w:id="922687228">
          <w:marLeft w:val="640"/>
          <w:marRight w:val="0"/>
          <w:marTop w:val="0"/>
          <w:marBottom w:val="0"/>
          <w:divBdr>
            <w:top w:val="none" w:sz="0" w:space="0" w:color="auto"/>
            <w:left w:val="none" w:sz="0" w:space="0" w:color="auto"/>
            <w:bottom w:val="none" w:sz="0" w:space="0" w:color="auto"/>
            <w:right w:val="none" w:sz="0" w:space="0" w:color="auto"/>
          </w:divBdr>
        </w:div>
        <w:div w:id="1852716145">
          <w:marLeft w:val="640"/>
          <w:marRight w:val="0"/>
          <w:marTop w:val="0"/>
          <w:marBottom w:val="0"/>
          <w:divBdr>
            <w:top w:val="none" w:sz="0" w:space="0" w:color="auto"/>
            <w:left w:val="none" w:sz="0" w:space="0" w:color="auto"/>
            <w:bottom w:val="none" w:sz="0" w:space="0" w:color="auto"/>
            <w:right w:val="none" w:sz="0" w:space="0" w:color="auto"/>
          </w:divBdr>
        </w:div>
        <w:div w:id="1522670757">
          <w:marLeft w:val="640"/>
          <w:marRight w:val="0"/>
          <w:marTop w:val="0"/>
          <w:marBottom w:val="0"/>
          <w:divBdr>
            <w:top w:val="none" w:sz="0" w:space="0" w:color="auto"/>
            <w:left w:val="none" w:sz="0" w:space="0" w:color="auto"/>
            <w:bottom w:val="none" w:sz="0" w:space="0" w:color="auto"/>
            <w:right w:val="none" w:sz="0" w:space="0" w:color="auto"/>
          </w:divBdr>
        </w:div>
        <w:div w:id="56828170">
          <w:marLeft w:val="640"/>
          <w:marRight w:val="0"/>
          <w:marTop w:val="0"/>
          <w:marBottom w:val="0"/>
          <w:divBdr>
            <w:top w:val="none" w:sz="0" w:space="0" w:color="auto"/>
            <w:left w:val="none" w:sz="0" w:space="0" w:color="auto"/>
            <w:bottom w:val="none" w:sz="0" w:space="0" w:color="auto"/>
            <w:right w:val="none" w:sz="0" w:space="0" w:color="auto"/>
          </w:divBdr>
        </w:div>
        <w:div w:id="1639263764">
          <w:marLeft w:val="640"/>
          <w:marRight w:val="0"/>
          <w:marTop w:val="0"/>
          <w:marBottom w:val="0"/>
          <w:divBdr>
            <w:top w:val="none" w:sz="0" w:space="0" w:color="auto"/>
            <w:left w:val="none" w:sz="0" w:space="0" w:color="auto"/>
            <w:bottom w:val="none" w:sz="0" w:space="0" w:color="auto"/>
            <w:right w:val="none" w:sz="0" w:space="0" w:color="auto"/>
          </w:divBdr>
        </w:div>
        <w:div w:id="5787802">
          <w:marLeft w:val="640"/>
          <w:marRight w:val="0"/>
          <w:marTop w:val="0"/>
          <w:marBottom w:val="0"/>
          <w:divBdr>
            <w:top w:val="none" w:sz="0" w:space="0" w:color="auto"/>
            <w:left w:val="none" w:sz="0" w:space="0" w:color="auto"/>
            <w:bottom w:val="none" w:sz="0" w:space="0" w:color="auto"/>
            <w:right w:val="none" w:sz="0" w:space="0" w:color="auto"/>
          </w:divBdr>
        </w:div>
        <w:div w:id="576596329">
          <w:marLeft w:val="640"/>
          <w:marRight w:val="0"/>
          <w:marTop w:val="0"/>
          <w:marBottom w:val="0"/>
          <w:divBdr>
            <w:top w:val="none" w:sz="0" w:space="0" w:color="auto"/>
            <w:left w:val="none" w:sz="0" w:space="0" w:color="auto"/>
            <w:bottom w:val="none" w:sz="0" w:space="0" w:color="auto"/>
            <w:right w:val="none" w:sz="0" w:space="0" w:color="auto"/>
          </w:divBdr>
        </w:div>
        <w:div w:id="452020476">
          <w:marLeft w:val="640"/>
          <w:marRight w:val="0"/>
          <w:marTop w:val="0"/>
          <w:marBottom w:val="0"/>
          <w:divBdr>
            <w:top w:val="none" w:sz="0" w:space="0" w:color="auto"/>
            <w:left w:val="none" w:sz="0" w:space="0" w:color="auto"/>
            <w:bottom w:val="none" w:sz="0" w:space="0" w:color="auto"/>
            <w:right w:val="none" w:sz="0" w:space="0" w:color="auto"/>
          </w:divBdr>
        </w:div>
        <w:div w:id="1851140884">
          <w:marLeft w:val="640"/>
          <w:marRight w:val="0"/>
          <w:marTop w:val="0"/>
          <w:marBottom w:val="0"/>
          <w:divBdr>
            <w:top w:val="none" w:sz="0" w:space="0" w:color="auto"/>
            <w:left w:val="none" w:sz="0" w:space="0" w:color="auto"/>
            <w:bottom w:val="none" w:sz="0" w:space="0" w:color="auto"/>
            <w:right w:val="none" w:sz="0" w:space="0" w:color="auto"/>
          </w:divBdr>
        </w:div>
        <w:div w:id="941500496">
          <w:marLeft w:val="640"/>
          <w:marRight w:val="0"/>
          <w:marTop w:val="0"/>
          <w:marBottom w:val="0"/>
          <w:divBdr>
            <w:top w:val="none" w:sz="0" w:space="0" w:color="auto"/>
            <w:left w:val="none" w:sz="0" w:space="0" w:color="auto"/>
            <w:bottom w:val="none" w:sz="0" w:space="0" w:color="auto"/>
            <w:right w:val="none" w:sz="0" w:space="0" w:color="auto"/>
          </w:divBdr>
        </w:div>
        <w:div w:id="1098721588">
          <w:marLeft w:val="640"/>
          <w:marRight w:val="0"/>
          <w:marTop w:val="0"/>
          <w:marBottom w:val="0"/>
          <w:divBdr>
            <w:top w:val="none" w:sz="0" w:space="0" w:color="auto"/>
            <w:left w:val="none" w:sz="0" w:space="0" w:color="auto"/>
            <w:bottom w:val="none" w:sz="0" w:space="0" w:color="auto"/>
            <w:right w:val="none" w:sz="0" w:space="0" w:color="auto"/>
          </w:divBdr>
        </w:div>
        <w:div w:id="1587838790">
          <w:marLeft w:val="640"/>
          <w:marRight w:val="0"/>
          <w:marTop w:val="0"/>
          <w:marBottom w:val="0"/>
          <w:divBdr>
            <w:top w:val="none" w:sz="0" w:space="0" w:color="auto"/>
            <w:left w:val="none" w:sz="0" w:space="0" w:color="auto"/>
            <w:bottom w:val="none" w:sz="0" w:space="0" w:color="auto"/>
            <w:right w:val="none" w:sz="0" w:space="0" w:color="auto"/>
          </w:divBdr>
        </w:div>
        <w:div w:id="980232951">
          <w:marLeft w:val="640"/>
          <w:marRight w:val="0"/>
          <w:marTop w:val="0"/>
          <w:marBottom w:val="0"/>
          <w:divBdr>
            <w:top w:val="none" w:sz="0" w:space="0" w:color="auto"/>
            <w:left w:val="none" w:sz="0" w:space="0" w:color="auto"/>
            <w:bottom w:val="none" w:sz="0" w:space="0" w:color="auto"/>
            <w:right w:val="none" w:sz="0" w:space="0" w:color="auto"/>
          </w:divBdr>
        </w:div>
        <w:div w:id="652754928">
          <w:marLeft w:val="640"/>
          <w:marRight w:val="0"/>
          <w:marTop w:val="0"/>
          <w:marBottom w:val="0"/>
          <w:divBdr>
            <w:top w:val="none" w:sz="0" w:space="0" w:color="auto"/>
            <w:left w:val="none" w:sz="0" w:space="0" w:color="auto"/>
            <w:bottom w:val="none" w:sz="0" w:space="0" w:color="auto"/>
            <w:right w:val="none" w:sz="0" w:space="0" w:color="auto"/>
          </w:divBdr>
        </w:div>
        <w:div w:id="377827033">
          <w:marLeft w:val="640"/>
          <w:marRight w:val="0"/>
          <w:marTop w:val="0"/>
          <w:marBottom w:val="0"/>
          <w:divBdr>
            <w:top w:val="none" w:sz="0" w:space="0" w:color="auto"/>
            <w:left w:val="none" w:sz="0" w:space="0" w:color="auto"/>
            <w:bottom w:val="none" w:sz="0" w:space="0" w:color="auto"/>
            <w:right w:val="none" w:sz="0" w:space="0" w:color="auto"/>
          </w:divBdr>
        </w:div>
        <w:div w:id="1064521608">
          <w:marLeft w:val="640"/>
          <w:marRight w:val="0"/>
          <w:marTop w:val="0"/>
          <w:marBottom w:val="0"/>
          <w:divBdr>
            <w:top w:val="none" w:sz="0" w:space="0" w:color="auto"/>
            <w:left w:val="none" w:sz="0" w:space="0" w:color="auto"/>
            <w:bottom w:val="none" w:sz="0" w:space="0" w:color="auto"/>
            <w:right w:val="none" w:sz="0" w:space="0" w:color="auto"/>
          </w:divBdr>
        </w:div>
        <w:div w:id="69665624">
          <w:marLeft w:val="640"/>
          <w:marRight w:val="0"/>
          <w:marTop w:val="0"/>
          <w:marBottom w:val="0"/>
          <w:divBdr>
            <w:top w:val="none" w:sz="0" w:space="0" w:color="auto"/>
            <w:left w:val="none" w:sz="0" w:space="0" w:color="auto"/>
            <w:bottom w:val="none" w:sz="0" w:space="0" w:color="auto"/>
            <w:right w:val="none" w:sz="0" w:space="0" w:color="auto"/>
          </w:divBdr>
        </w:div>
        <w:div w:id="1833833444">
          <w:marLeft w:val="640"/>
          <w:marRight w:val="0"/>
          <w:marTop w:val="0"/>
          <w:marBottom w:val="0"/>
          <w:divBdr>
            <w:top w:val="none" w:sz="0" w:space="0" w:color="auto"/>
            <w:left w:val="none" w:sz="0" w:space="0" w:color="auto"/>
            <w:bottom w:val="none" w:sz="0" w:space="0" w:color="auto"/>
            <w:right w:val="none" w:sz="0" w:space="0" w:color="auto"/>
          </w:divBdr>
        </w:div>
        <w:div w:id="1017460569">
          <w:marLeft w:val="640"/>
          <w:marRight w:val="0"/>
          <w:marTop w:val="0"/>
          <w:marBottom w:val="0"/>
          <w:divBdr>
            <w:top w:val="none" w:sz="0" w:space="0" w:color="auto"/>
            <w:left w:val="none" w:sz="0" w:space="0" w:color="auto"/>
            <w:bottom w:val="none" w:sz="0" w:space="0" w:color="auto"/>
            <w:right w:val="none" w:sz="0" w:space="0" w:color="auto"/>
          </w:divBdr>
        </w:div>
        <w:div w:id="1866401847">
          <w:marLeft w:val="640"/>
          <w:marRight w:val="0"/>
          <w:marTop w:val="0"/>
          <w:marBottom w:val="0"/>
          <w:divBdr>
            <w:top w:val="none" w:sz="0" w:space="0" w:color="auto"/>
            <w:left w:val="none" w:sz="0" w:space="0" w:color="auto"/>
            <w:bottom w:val="none" w:sz="0" w:space="0" w:color="auto"/>
            <w:right w:val="none" w:sz="0" w:space="0" w:color="auto"/>
          </w:divBdr>
        </w:div>
        <w:div w:id="981619695">
          <w:marLeft w:val="640"/>
          <w:marRight w:val="0"/>
          <w:marTop w:val="0"/>
          <w:marBottom w:val="0"/>
          <w:divBdr>
            <w:top w:val="none" w:sz="0" w:space="0" w:color="auto"/>
            <w:left w:val="none" w:sz="0" w:space="0" w:color="auto"/>
            <w:bottom w:val="none" w:sz="0" w:space="0" w:color="auto"/>
            <w:right w:val="none" w:sz="0" w:space="0" w:color="auto"/>
          </w:divBdr>
        </w:div>
        <w:div w:id="386808848">
          <w:marLeft w:val="640"/>
          <w:marRight w:val="0"/>
          <w:marTop w:val="0"/>
          <w:marBottom w:val="0"/>
          <w:divBdr>
            <w:top w:val="none" w:sz="0" w:space="0" w:color="auto"/>
            <w:left w:val="none" w:sz="0" w:space="0" w:color="auto"/>
            <w:bottom w:val="none" w:sz="0" w:space="0" w:color="auto"/>
            <w:right w:val="none" w:sz="0" w:space="0" w:color="auto"/>
          </w:divBdr>
        </w:div>
        <w:div w:id="150144944">
          <w:marLeft w:val="640"/>
          <w:marRight w:val="0"/>
          <w:marTop w:val="0"/>
          <w:marBottom w:val="0"/>
          <w:divBdr>
            <w:top w:val="none" w:sz="0" w:space="0" w:color="auto"/>
            <w:left w:val="none" w:sz="0" w:space="0" w:color="auto"/>
            <w:bottom w:val="none" w:sz="0" w:space="0" w:color="auto"/>
            <w:right w:val="none" w:sz="0" w:space="0" w:color="auto"/>
          </w:divBdr>
        </w:div>
        <w:div w:id="66075450">
          <w:marLeft w:val="640"/>
          <w:marRight w:val="0"/>
          <w:marTop w:val="0"/>
          <w:marBottom w:val="0"/>
          <w:divBdr>
            <w:top w:val="none" w:sz="0" w:space="0" w:color="auto"/>
            <w:left w:val="none" w:sz="0" w:space="0" w:color="auto"/>
            <w:bottom w:val="none" w:sz="0" w:space="0" w:color="auto"/>
            <w:right w:val="none" w:sz="0" w:space="0" w:color="auto"/>
          </w:divBdr>
        </w:div>
        <w:div w:id="276304101">
          <w:marLeft w:val="640"/>
          <w:marRight w:val="0"/>
          <w:marTop w:val="0"/>
          <w:marBottom w:val="0"/>
          <w:divBdr>
            <w:top w:val="none" w:sz="0" w:space="0" w:color="auto"/>
            <w:left w:val="none" w:sz="0" w:space="0" w:color="auto"/>
            <w:bottom w:val="none" w:sz="0" w:space="0" w:color="auto"/>
            <w:right w:val="none" w:sz="0" w:space="0" w:color="auto"/>
          </w:divBdr>
        </w:div>
        <w:div w:id="988242953">
          <w:marLeft w:val="640"/>
          <w:marRight w:val="0"/>
          <w:marTop w:val="0"/>
          <w:marBottom w:val="0"/>
          <w:divBdr>
            <w:top w:val="none" w:sz="0" w:space="0" w:color="auto"/>
            <w:left w:val="none" w:sz="0" w:space="0" w:color="auto"/>
            <w:bottom w:val="none" w:sz="0" w:space="0" w:color="auto"/>
            <w:right w:val="none" w:sz="0" w:space="0" w:color="auto"/>
          </w:divBdr>
        </w:div>
        <w:div w:id="244189764">
          <w:marLeft w:val="640"/>
          <w:marRight w:val="0"/>
          <w:marTop w:val="0"/>
          <w:marBottom w:val="0"/>
          <w:divBdr>
            <w:top w:val="none" w:sz="0" w:space="0" w:color="auto"/>
            <w:left w:val="none" w:sz="0" w:space="0" w:color="auto"/>
            <w:bottom w:val="none" w:sz="0" w:space="0" w:color="auto"/>
            <w:right w:val="none" w:sz="0" w:space="0" w:color="auto"/>
          </w:divBdr>
        </w:div>
        <w:div w:id="252707292">
          <w:marLeft w:val="640"/>
          <w:marRight w:val="0"/>
          <w:marTop w:val="0"/>
          <w:marBottom w:val="0"/>
          <w:divBdr>
            <w:top w:val="none" w:sz="0" w:space="0" w:color="auto"/>
            <w:left w:val="none" w:sz="0" w:space="0" w:color="auto"/>
            <w:bottom w:val="none" w:sz="0" w:space="0" w:color="auto"/>
            <w:right w:val="none" w:sz="0" w:space="0" w:color="auto"/>
          </w:divBdr>
        </w:div>
        <w:div w:id="1445810027">
          <w:marLeft w:val="640"/>
          <w:marRight w:val="0"/>
          <w:marTop w:val="0"/>
          <w:marBottom w:val="0"/>
          <w:divBdr>
            <w:top w:val="none" w:sz="0" w:space="0" w:color="auto"/>
            <w:left w:val="none" w:sz="0" w:space="0" w:color="auto"/>
            <w:bottom w:val="none" w:sz="0" w:space="0" w:color="auto"/>
            <w:right w:val="none" w:sz="0" w:space="0" w:color="auto"/>
          </w:divBdr>
        </w:div>
      </w:divsChild>
    </w:div>
    <w:div w:id="176578925">
      <w:bodyDiv w:val="1"/>
      <w:marLeft w:val="0"/>
      <w:marRight w:val="0"/>
      <w:marTop w:val="0"/>
      <w:marBottom w:val="0"/>
      <w:divBdr>
        <w:top w:val="none" w:sz="0" w:space="0" w:color="auto"/>
        <w:left w:val="none" w:sz="0" w:space="0" w:color="auto"/>
        <w:bottom w:val="none" w:sz="0" w:space="0" w:color="auto"/>
        <w:right w:val="none" w:sz="0" w:space="0" w:color="auto"/>
      </w:divBdr>
      <w:divsChild>
        <w:div w:id="745492526">
          <w:marLeft w:val="640"/>
          <w:marRight w:val="0"/>
          <w:marTop w:val="0"/>
          <w:marBottom w:val="0"/>
          <w:divBdr>
            <w:top w:val="none" w:sz="0" w:space="0" w:color="auto"/>
            <w:left w:val="none" w:sz="0" w:space="0" w:color="auto"/>
            <w:bottom w:val="none" w:sz="0" w:space="0" w:color="auto"/>
            <w:right w:val="none" w:sz="0" w:space="0" w:color="auto"/>
          </w:divBdr>
        </w:div>
        <w:div w:id="988942127">
          <w:marLeft w:val="640"/>
          <w:marRight w:val="0"/>
          <w:marTop w:val="0"/>
          <w:marBottom w:val="0"/>
          <w:divBdr>
            <w:top w:val="none" w:sz="0" w:space="0" w:color="auto"/>
            <w:left w:val="none" w:sz="0" w:space="0" w:color="auto"/>
            <w:bottom w:val="none" w:sz="0" w:space="0" w:color="auto"/>
            <w:right w:val="none" w:sz="0" w:space="0" w:color="auto"/>
          </w:divBdr>
        </w:div>
        <w:div w:id="413940747">
          <w:marLeft w:val="640"/>
          <w:marRight w:val="0"/>
          <w:marTop w:val="0"/>
          <w:marBottom w:val="0"/>
          <w:divBdr>
            <w:top w:val="none" w:sz="0" w:space="0" w:color="auto"/>
            <w:left w:val="none" w:sz="0" w:space="0" w:color="auto"/>
            <w:bottom w:val="none" w:sz="0" w:space="0" w:color="auto"/>
            <w:right w:val="none" w:sz="0" w:space="0" w:color="auto"/>
          </w:divBdr>
        </w:div>
        <w:div w:id="2007055387">
          <w:marLeft w:val="640"/>
          <w:marRight w:val="0"/>
          <w:marTop w:val="0"/>
          <w:marBottom w:val="0"/>
          <w:divBdr>
            <w:top w:val="none" w:sz="0" w:space="0" w:color="auto"/>
            <w:left w:val="none" w:sz="0" w:space="0" w:color="auto"/>
            <w:bottom w:val="none" w:sz="0" w:space="0" w:color="auto"/>
            <w:right w:val="none" w:sz="0" w:space="0" w:color="auto"/>
          </w:divBdr>
        </w:div>
        <w:div w:id="940067409">
          <w:marLeft w:val="640"/>
          <w:marRight w:val="0"/>
          <w:marTop w:val="0"/>
          <w:marBottom w:val="0"/>
          <w:divBdr>
            <w:top w:val="none" w:sz="0" w:space="0" w:color="auto"/>
            <w:left w:val="none" w:sz="0" w:space="0" w:color="auto"/>
            <w:bottom w:val="none" w:sz="0" w:space="0" w:color="auto"/>
            <w:right w:val="none" w:sz="0" w:space="0" w:color="auto"/>
          </w:divBdr>
        </w:div>
        <w:div w:id="814757734">
          <w:marLeft w:val="640"/>
          <w:marRight w:val="0"/>
          <w:marTop w:val="0"/>
          <w:marBottom w:val="0"/>
          <w:divBdr>
            <w:top w:val="none" w:sz="0" w:space="0" w:color="auto"/>
            <w:left w:val="none" w:sz="0" w:space="0" w:color="auto"/>
            <w:bottom w:val="none" w:sz="0" w:space="0" w:color="auto"/>
            <w:right w:val="none" w:sz="0" w:space="0" w:color="auto"/>
          </w:divBdr>
        </w:div>
        <w:div w:id="1895850245">
          <w:marLeft w:val="640"/>
          <w:marRight w:val="0"/>
          <w:marTop w:val="0"/>
          <w:marBottom w:val="0"/>
          <w:divBdr>
            <w:top w:val="none" w:sz="0" w:space="0" w:color="auto"/>
            <w:left w:val="none" w:sz="0" w:space="0" w:color="auto"/>
            <w:bottom w:val="none" w:sz="0" w:space="0" w:color="auto"/>
            <w:right w:val="none" w:sz="0" w:space="0" w:color="auto"/>
          </w:divBdr>
        </w:div>
        <w:div w:id="1855151234">
          <w:marLeft w:val="640"/>
          <w:marRight w:val="0"/>
          <w:marTop w:val="0"/>
          <w:marBottom w:val="0"/>
          <w:divBdr>
            <w:top w:val="none" w:sz="0" w:space="0" w:color="auto"/>
            <w:left w:val="none" w:sz="0" w:space="0" w:color="auto"/>
            <w:bottom w:val="none" w:sz="0" w:space="0" w:color="auto"/>
            <w:right w:val="none" w:sz="0" w:space="0" w:color="auto"/>
          </w:divBdr>
        </w:div>
        <w:div w:id="521868747">
          <w:marLeft w:val="640"/>
          <w:marRight w:val="0"/>
          <w:marTop w:val="0"/>
          <w:marBottom w:val="0"/>
          <w:divBdr>
            <w:top w:val="none" w:sz="0" w:space="0" w:color="auto"/>
            <w:left w:val="none" w:sz="0" w:space="0" w:color="auto"/>
            <w:bottom w:val="none" w:sz="0" w:space="0" w:color="auto"/>
            <w:right w:val="none" w:sz="0" w:space="0" w:color="auto"/>
          </w:divBdr>
        </w:div>
        <w:div w:id="767238038">
          <w:marLeft w:val="640"/>
          <w:marRight w:val="0"/>
          <w:marTop w:val="0"/>
          <w:marBottom w:val="0"/>
          <w:divBdr>
            <w:top w:val="none" w:sz="0" w:space="0" w:color="auto"/>
            <w:left w:val="none" w:sz="0" w:space="0" w:color="auto"/>
            <w:bottom w:val="none" w:sz="0" w:space="0" w:color="auto"/>
            <w:right w:val="none" w:sz="0" w:space="0" w:color="auto"/>
          </w:divBdr>
        </w:div>
        <w:div w:id="1198464729">
          <w:marLeft w:val="640"/>
          <w:marRight w:val="0"/>
          <w:marTop w:val="0"/>
          <w:marBottom w:val="0"/>
          <w:divBdr>
            <w:top w:val="none" w:sz="0" w:space="0" w:color="auto"/>
            <w:left w:val="none" w:sz="0" w:space="0" w:color="auto"/>
            <w:bottom w:val="none" w:sz="0" w:space="0" w:color="auto"/>
            <w:right w:val="none" w:sz="0" w:space="0" w:color="auto"/>
          </w:divBdr>
        </w:div>
        <w:div w:id="1242331111">
          <w:marLeft w:val="640"/>
          <w:marRight w:val="0"/>
          <w:marTop w:val="0"/>
          <w:marBottom w:val="0"/>
          <w:divBdr>
            <w:top w:val="none" w:sz="0" w:space="0" w:color="auto"/>
            <w:left w:val="none" w:sz="0" w:space="0" w:color="auto"/>
            <w:bottom w:val="none" w:sz="0" w:space="0" w:color="auto"/>
            <w:right w:val="none" w:sz="0" w:space="0" w:color="auto"/>
          </w:divBdr>
        </w:div>
        <w:div w:id="1514149909">
          <w:marLeft w:val="640"/>
          <w:marRight w:val="0"/>
          <w:marTop w:val="0"/>
          <w:marBottom w:val="0"/>
          <w:divBdr>
            <w:top w:val="none" w:sz="0" w:space="0" w:color="auto"/>
            <w:left w:val="none" w:sz="0" w:space="0" w:color="auto"/>
            <w:bottom w:val="none" w:sz="0" w:space="0" w:color="auto"/>
            <w:right w:val="none" w:sz="0" w:space="0" w:color="auto"/>
          </w:divBdr>
        </w:div>
        <w:div w:id="960380818">
          <w:marLeft w:val="640"/>
          <w:marRight w:val="0"/>
          <w:marTop w:val="0"/>
          <w:marBottom w:val="0"/>
          <w:divBdr>
            <w:top w:val="none" w:sz="0" w:space="0" w:color="auto"/>
            <w:left w:val="none" w:sz="0" w:space="0" w:color="auto"/>
            <w:bottom w:val="none" w:sz="0" w:space="0" w:color="auto"/>
            <w:right w:val="none" w:sz="0" w:space="0" w:color="auto"/>
          </w:divBdr>
        </w:div>
        <w:div w:id="2001615977">
          <w:marLeft w:val="640"/>
          <w:marRight w:val="0"/>
          <w:marTop w:val="0"/>
          <w:marBottom w:val="0"/>
          <w:divBdr>
            <w:top w:val="none" w:sz="0" w:space="0" w:color="auto"/>
            <w:left w:val="none" w:sz="0" w:space="0" w:color="auto"/>
            <w:bottom w:val="none" w:sz="0" w:space="0" w:color="auto"/>
            <w:right w:val="none" w:sz="0" w:space="0" w:color="auto"/>
          </w:divBdr>
        </w:div>
        <w:div w:id="62342038">
          <w:marLeft w:val="640"/>
          <w:marRight w:val="0"/>
          <w:marTop w:val="0"/>
          <w:marBottom w:val="0"/>
          <w:divBdr>
            <w:top w:val="none" w:sz="0" w:space="0" w:color="auto"/>
            <w:left w:val="none" w:sz="0" w:space="0" w:color="auto"/>
            <w:bottom w:val="none" w:sz="0" w:space="0" w:color="auto"/>
            <w:right w:val="none" w:sz="0" w:space="0" w:color="auto"/>
          </w:divBdr>
        </w:div>
        <w:div w:id="1049189653">
          <w:marLeft w:val="640"/>
          <w:marRight w:val="0"/>
          <w:marTop w:val="0"/>
          <w:marBottom w:val="0"/>
          <w:divBdr>
            <w:top w:val="none" w:sz="0" w:space="0" w:color="auto"/>
            <w:left w:val="none" w:sz="0" w:space="0" w:color="auto"/>
            <w:bottom w:val="none" w:sz="0" w:space="0" w:color="auto"/>
            <w:right w:val="none" w:sz="0" w:space="0" w:color="auto"/>
          </w:divBdr>
        </w:div>
        <w:div w:id="981160465">
          <w:marLeft w:val="640"/>
          <w:marRight w:val="0"/>
          <w:marTop w:val="0"/>
          <w:marBottom w:val="0"/>
          <w:divBdr>
            <w:top w:val="none" w:sz="0" w:space="0" w:color="auto"/>
            <w:left w:val="none" w:sz="0" w:space="0" w:color="auto"/>
            <w:bottom w:val="none" w:sz="0" w:space="0" w:color="auto"/>
            <w:right w:val="none" w:sz="0" w:space="0" w:color="auto"/>
          </w:divBdr>
        </w:div>
        <w:div w:id="2125692006">
          <w:marLeft w:val="640"/>
          <w:marRight w:val="0"/>
          <w:marTop w:val="0"/>
          <w:marBottom w:val="0"/>
          <w:divBdr>
            <w:top w:val="none" w:sz="0" w:space="0" w:color="auto"/>
            <w:left w:val="none" w:sz="0" w:space="0" w:color="auto"/>
            <w:bottom w:val="none" w:sz="0" w:space="0" w:color="auto"/>
            <w:right w:val="none" w:sz="0" w:space="0" w:color="auto"/>
          </w:divBdr>
        </w:div>
        <w:div w:id="1190265823">
          <w:marLeft w:val="640"/>
          <w:marRight w:val="0"/>
          <w:marTop w:val="0"/>
          <w:marBottom w:val="0"/>
          <w:divBdr>
            <w:top w:val="none" w:sz="0" w:space="0" w:color="auto"/>
            <w:left w:val="none" w:sz="0" w:space="0" w:color="auto"/>
            <w:bottom w:val="none" w:sz="0" w:space="0" w:color="auto"/>
            <w:right w:val="none" w:sz="0" w:space="0" w:color="auto"/>
          </w:divBdr>
        </w:div>
        <w:div w:id="1329479603">
          <w:marLeft w:val="640"/>
          <w:marRight w:val="0"/>
          <w:marTop w:val="0"/>
          <w:marBottom w:val="0"/>
          <w:divBdr>
            <w:top w:val="none" w:sz="0" w:space="0" w:color="auto"/>
            <w:left w:val="none" w:sz="0" w:space="0" w:color="auto"/>
            <w:bottom w:val="none" w:sz="0" w:space="0" w:color="auto"/>
            <w:right w:val="none" w:sz="0" w:space="0" w:color="auto"/>
          </w:divBdr>
        </w:div>
        <w:div w:id="397821506">
          <w:marLeft w:val="640"/>
          <w:marRight w:val="0"/>
          <w:marTop w:val="0"/>
          <w:marBottom w:val="0"/>
          <w:divBdr>
            <w:top w:val="none" w:sz="0" w:space="0" w:color="auto"/>
            <w:left w:val="none" w:sz="0" w:space="0" w:color="auto"/>
            <w:bottom w:val="none" w:sz="0" w:space="0" w:color="auto"/>
            <w:right w:val="none" w:sz="0" w:space="0" w:color="auto"/>
          </w:divBdr>
        </w:div>
        <w:div w:id="201552840">
          <w:marLeft w:val="640"/>
          <w:marRight w:val="0"/>
          <w:marTop w:val="0"/>
          <w:marBottom w:val="0"/>
          <w:divBdr>
            <w:top w:val="none" w:sz="0" w:space="0" w:color="auto"/>
            <w:left w:val="none" w:sz="0" w:space="0" w:color="auto"/>
            <w:bottom w:val="none" w:sz="0" w:space="0" w:color="auto"/>
            <w:right w:val="none" w:sz="0" w:space="0" w:color="auto"/>
          </w:divBdr>
        </w:div>
        <w:div w:id="596641164">
          <w:marLeft w:val="640"/>
          <w:marRight w:val="0"/>
          <w:marTop w:val="0"/>
          <w:marBottom w:val="0"/>
          <w:divBdr>
            <w:top w:val="none" w:sz="0" w:space="0" w:color="auto"/>
            <w:left w:val="none" w:sz="0" w:space="0" w:color="auto"/>
            <w:bottom w:val="none" w:sz="0" w:space="0" w:color="auto"/>
            <w:right w:val="none" w:sz="0" w:space="0" w:color="auto"/>
          </w:divBdr>
        </w:div>
        <w:div w:id="1922132164">
          <w:marLeft w:val="640"/>
          <w:marRight w:val="0"/>
          <w:marTop w:val="0"/>
          <w:marBottom w:val="0"/>
          <w:divBdr>
            <w:top w:val="none" w:sz="0" w:space="0" w:color="auto"/>
            <w:left w:val="none" w:sz="0" w:space="0" w:color="auto"/>
            <w:bottom w:val="none" w:sz="0" w:space="0" w:color="auto"/>
            <w:right w:val="none" w:sz="0" w:space="0" w:color="auto"/>
          </w:divBdr>
        </w:div>
        <w:div w:id="1433545496">
          <w:marLeft w:val="640"/>
          <w:marRight w:val="0"/>
          <w:marTop w:val="0"/>
          <w:marBottom w:val="0"/>
          <w:divBdr>
            <w:top w:val="none" w:sz="0" w:space="0" w:color="auto"/>
            <w:left w:val="none" w:sz="0" w:space="0" w:color="auto"/>
            <w:bottom w:val="none" w:sz="0" w:space="0" w:color="auto"/>
            <w:right w:val="none" w:sz="0" w:space="0" w:color="auto"/>
          </w:divBdr>
        </w:div>
        <w:div w:id="530723185">
          <w:marLeft w:val="640"/>
          <w:marRight w:val="0"/>
          <w:marTop w:val="0"/>
          <w:marBottom w:val="0"/>
          <w:divBdr>
            <w:top w:val="none" w:sz="0" w:space="0" w:color="auto"/>
            <w:left w:val="none" w:sz="0" w:space="0" w:color="auto"/>
            <w:bottom w:val="none" w:sz="0" w:space="0" w:color="auto"/>
            <w:right w:val="none" w:sz="0" w:space="0" w:color="auto"/>
          </w:divBdr>
        </w:div>
        <w:div w:id="992637263">
          <w:marLeft w:val="640"/>
          <w:marRight w:val="0"/>
          <w:marTop w:val="0"/>
          <w:marBottom w:val="0"/>
          <w:divBdr>
            <w:top w:val="none" w:sz="0" w:space="0" w:color="auto"/>
            <w:left w:val="none" w:sz="0" w:space="0" w:color="auto"/>
            <w:bottom w:val="none" w:sz="0" w:space="0" w:color="auto"/>
            <w:right w:val="none" w:sz="0" w:space="0" w:color="auto"/>
          </w:divBdr>
        </w:div>
        <w:div w:id="1305503461">
          <w:marLeft w:val="640"/>
          <w:marRight w:val="0"/>
          <w:marTop w:val="0"/>
          <w:marBottom w:val="0"/>
          <w:divBdr>
            <w:top w:val="none" w:sz="0" w:space="0" w:color="auto"/>
            <w:left w:val="none" w:sz="0" w:space="0" w:color="auto"/>
            <w:bottom w:val="none" w:sz="0" w:space="0" w:color="auto"/>
            <w:right w:val="none" w:sz="0" w:space="0" w:color="auto"/>
          </w:divBdr>
        </w:div>
        <w:div w:id="1367560923">
          <w:marLeft w:val="640"/>
          <w:marRight w:val="0"/>
          <w:marTop w:val="0"/>
          <w:marBottom w:val="0"/>
          <w:divBdr>
            <w:top w:val="none" w:sz="0" w:space="0" w:color="auto"/>
            <w:left w:val="none" w:sz="0" w:space="0" w:color="auto"/>
            <w:bottom w:val="none" w:sz="0" w:space="0" w:color="auto"/>
            <w:right w:val="none" w:sz="0" w:space="0" w:color="auto"/>
          </w:divBdr>
        </w:div>
        <w:div w:id="1419406301">
          <w:marLeft w:val="640"/>
          <w:marRight w:val="0"/>
          <w:marTop w:val="0"/>
          <w:marBottom w:val="0"/>
          <w:divBdr>
            <w:top w:val="none" w:sz="0" w:space="0" w:color="auto"/>
            <w:left w:val="none" w:sz="0" w:space="0" w:color="auto"/>
            <w:bottom w:val="none" w:sz="0" w:space="0" w:color="auto"/>
            <w:right w:val="none" w:sz="0" w:space="0" w:color="auto"/>
          </w:divBdr>
        </w:div>
        <w:div w:id="1351101930">
          <w:marLeft w:val="640"/>
          <w:marRight w:val="0"/>
          <w:marTop w:val="0"/>
          <w:marBottom w:val="0"/>
          <w:divBdr>
            <w:top w:val="none" w:sz="0" w:space="0" w:color="auto"/>
            <w:left w:val="none" w:sz="0" w:space="0" w:color="auto"/>
            <w:bottom w:val="none" w:sz="0" w:space="0" w:color="auto"/>
            <w:right w:val="none" w:sz="0" w:space="0" w:color="auto"/>
          </w:divBdr>
        </w:div>
        <w:div w:id="860515458">
          <w:marLeft w:val="640"/>
          <w:marRight w:val="0"/>
          <w:marTop w:val="0"/>
          <w:marBottom w:val="0"/>
          <w:divBdr>
            <w:top w:val="none" w:sz="0" w:space="0" w:color="auto"/>
            <w:left w:val="none" w:sz="0" w:space="0" w:color="auto"/>
            <w:bottom w:val="none" w:sz="0" w:space="0" w:color="auto"/>
            <w:right w:val="none" w:sz="0" w:space="0" w:color="auto"/>
          </w:divBdr>
        </w:div>
        <w:div w:id="2059353065">
          <w:marLeft w:val="640"/>
          <w:marRight w:val="0"/>
          <w:marTop w:val="0"/>
          <w:marBottom w:val="0"/>
          <w:divBdr>
            <w:top w:val="none" w:sz="0" w:space="0" w:color="auto"/>
            <w:left w:val="none" w:sz="0" w:space="0" w:color="auto"/>
            <w:bottom w:val="none" w:sz="0" w:space="0" w:color="auto"/>
            <w:right w:val="none" w:sz="0" w:space="0" w:color="auto"/>
          </w:divBdr>
        </w:div>
        <w:div w:id="840658045">
          <w:marLeft w:val="640"/>
          <w:marRight w:val="0"/>
          <w:marTop w:val="0"/>
          <w:marBottom w:val="0"/>
          <w:divBdr>
            <w:top w:val="none" w:sz="0" w:space="0" w:color="auto"/>
            <w:left w:val="none" w:sz="0" w:space="0" w:color="auto"/>
            <w:bottom w:val="none" w:sz="0" w:space="0" w:color="auto"/>
            <w:right w:val="none" w:sz="0" w:space="0" w:color="auto"/>
          </w:divBdr>
        </w:div>
        <w:div w:id="2088064519">
          <w:marLeft w:val="640"/>
          <w:marRight w:val="0"/>
          <w:marTop w:val="0"/>
          <w:marBottom w:val="0"/>
          <w:divBdr>
            <w:top w:val="none" w:sz="0" w:space="0" w:color="auto"/>
            <w:left w:val="none" w:sz="0" w:space="0" w:color="auto"/>
            <w:bottom w:val="none" w:sz="0" w:space="0" w:color="auto"/>
            <w:right w:val="none" w:sz="0" w:space="0" w:color="auto"/>
          </w:divBdr>
        </w:div>
        <w:div w:id="748889462">
          <w:marLeft w:val="640"/>
          <w:marRight w:val="0"/>
          <w:marTop w:val="0"/>
          <w:marBottom w:val="0"/>
          <w:divBdr>
            <w:top w:val="none" w:sz="0" w:space="0" w:color="auto"/>
            <w:left w:val="none" w:sz="0" w:space="0" w:color="auto"/>
            <w:bottom w:val="none" w:sz="0" w:space="0" w:color="auto"/>
            <w:right w:val="none" w:sz="0" w:space="0" w:color="auto"/>
          </w:divBdr>
        </w:div>
        <w:div w:id="687802112">
          <w:marLeft w:val="640"/>
          <w:marRight w:val="0"/>
          <w:marTop w:val="0"/>
          <w:marBottom w:val="0"/>
          <w:divBdr>
            <w:top w:val="none" w:sz="0" w:space="0" w:color="auto"/>
            <w:left w:val="none" w:sz="0" w:space="0" w:color="auto"/>
            <w:bottom w:val="none" w:sz="0" w:space="0" w:color="auto"/>
            <w:right w:val="none" w:sz="0" w:space="0" w:color="auto"/>
          </w:divBdr>
        </w:div>
        <w:div w:id="1441291062">
          <w:marLeft w:val="640"/>
          <w:marRight w:val="0"/>
          <w:marTop w:val="0"/>
          <w:marBottom w:val="0"/>
          <w:divBdr>
            <w:top w:val="none" w:sz="0" w:space="0" w:color="auto"/>
            <w:left w:val="none" w:sz="0" w:space="0" w:color="auto"/>
            <w:bottom w:val="none" w:sz="0" w:space="0" w:color="auto"/>
            <w:right w:val="none" w:sz="0" w:space="0" w:color="auto"/>
          </w:divBdr>
        </w:div>
        <w:div w:id="1570774457">
          <w:marLeft w:val="640"/>
          <w:marRight w:val="0"/>
          <w:marTop w:val="0"/>
          <w:marBottom w:val="0"/>
          <w:divBdr>
            <w:top w:val="none" w:sz="0" w:space="0" w:color="auto"/>
            <w:left w:val="none" w:sz="0" w:space="0" w:color="auto"/>
            <w:bottom w:val="none" w:sz="0" w:space="0" w:color="auto"/>
            <w:right w:val="none" w:sz="0" w:space="0" w:color="auto"/>
          </w:divBdr>
        </w:div>
        <w:div w:id="1245919218">
          <w:marLeft w:val="640"/>
          <w:marRight w:val="0"/>
          <w:marTop w:val="0"/>
          <w:marBottom w:val="0"/>
          <w:divBdr>
            <w:top w:val="none" w:sz="0" w:space="0" w:color="auto"/>
            <w:left w:val="none" w:sz="0" w:space="0" w:color="auto"/>
            <w:bottom w:val="none" w:sz="0" w:space="0" w:color="auto"/>
            <w:right w:val="none" w:sz="0" w:space="0" w:color="auto"/>
          </w:divBdr>
        </w:div>
        <w:div w:id="1694762881">
          <w:marLeft w:val="640"/>
          <w:marRight w:val="0"/>
          <w:marTop w:val="0"/>
          <w:marBottom w:val="0"/>
          <w:divBdr>
            <w:top w:val="none" w:sz="0" w:space="0" w:color="auto"/>
            <w:left w:val="none" w:sz="0" w:space="0" w:color="auto"/>
            <w:bottom w:val="none" w:sz="0" w:space="0" w:color="auto"/>
            <w:right w:val="none" w:sz="0" w:space="0" w:color="auto"/>
          </w:divBdr>
        </w:div>
        <w:div w:id="568346563">
          <w:marLeft w:val="640"/>
          <w:marRight w:val="0"/>
          <w:marTop w:val="0"/>
          <w:marBottom w:val="0"/>
          <w:divBdr>
            <w:top w:val="none" w:sz="0" w:space="0" w:color="auto"/>
            <w:left w:val="none" w:sz="0" w:space="0" w:color="auto"/>
            <w:bottom w:val="none" w:sz="0" w:space="0" w:color="auto"/>
            <w:right w:val="none" w:sz="0" w:space="0" w:color="auto"/>
          </w:divBdr>
        </w:div>
        <w:div w:id="903877153">
          <w:marLeft w:val="640"/>
          <w:marRight w:val="0"/>
          <w:marTop w:val="0"/>
          <w:marBottom w:val="0"/>
          <w:divBdr>
            <w:top w:val="none" w:sz="0" w:space="0" w:color="auto"/>
            <w:left w:val="none" w:sz="0" w:space="0" w:color="auto"/>
            <w:bottom w:val="none" w:sz="0" w:space="0" w:color="auto"/>
            <w:right w:val="none" w:sz="0" w:space="0" w:color="auto"/>
          </w:divBdr>
        </w:div>
        <w:div w:id="589433154">
          <w:marLeft w:val="640"/>
          <w:marRight w:val="0"/>
          <w:marTop w:val="0"/>
          <w:marBottom w:val="0"/>
          <w:divBdr>
            <w:top w:val="none" w:sz="0" w:space="0" w:color="auto"/>
            <w:left w:val="none" w:sz="0" w:space="0" w:color="auto"/>
            <w:bottom w:val="none" w:sz="0" w:space="0" w:color="auto"/>
            <w:right w:val="none" w:sz="0" w:space="0" w:color="auto"/>
          </w:divBdr>
        </w:div>
        <w:div w:id="1904440147">
          <w:marLeft w:val="640"/>
          <w:marRight w:val="0"/>
          <w:marTop w:val="0"/>
          <w:marBottom w:val="0"/>
          <w:divBdr>
            <w:top w:val="none" w:sz="0" w:space="0" w:color="auto"/>
            <w:left w:val="none" w:sz="0" w:space="0" w:color="auto"/>
            <w:bottom w:val="none" w:sz="0" w:space="0" w:color="auto"/>
            <w:right w:val="none" w:sz="0" w:space="0" w:color="auto"/>
          </w:divBdr>
        </w:div>
        <w:div w:id="656306372">
          <w:marLeft w:val="640"/>
          <w:marRight w:val="0"/>
          <w:marTop w:val="0"/>
          <w:marBottom w:val="0"/>
          <w:divBdr>
            <w:top w:val="none" w:sz="0" w:space="0" w:color="auto"/>
            <w:left w:val="none" w:sz="0" w:space="0" w:color="auto"/>
            <w:bottom w:val="none" w:sz="0" w:space="0" w:color="auto"/>
            <w:right w:val="none" w:sz="0" w:space="0" w:color="auto"/>
          </w:divBdr>
        </w:div>
        <w:div w:id="777258532">
          <w:marLeft w:val="640"/>
          <w:marRight w:val="0"/>
          <w:marTop w:val="0"/>
          <w:marBottom w:val="0"/>
          <w:divBdr>
            <w:top w:val="none" w:sz="0" w:space="0" w:color="auto"/>
            <w:left w:val="none" w:sz="0" w:space="0" w:color="auto"/>
            <w:bottom w:val="none" w:sz="0" w:space="0" w:color="auto"/>
            <w:right w:val="none" w:sz="0" w:space="0" w:color="auto"/>
          </w:divBdr>
        </w:div>
        <w:div w:id="186145865">
          <w:marLeft w:val="640"/>
          <w:marRight w:val="0"/>
          <w:marTop w:val="0"/>
          <w:marBottom w:val="0"/>
          <w:divBdr>
            <w:top w:val="none" w:sz="0" w:space="0" w:color="auto"/>
            <w:left w:val="none" w:sz="0" w:space="0" w:color="auto"/>
            <w:bottom w:val="none" w:sz="0" w:space="0" w:color="auto"/>
            <w:right w:val="none" w:sz="0" w:space="0" w:color="auto"/>
          </w:divBdr>
        </w:div>
        <w:div w:id="2062753593">
          <w:marLeft w:val="640"/>
          <w:marRight w:val="0"/>
          <w:marTop w:val="0"/>
          <w:marBottom w:val="0"/>
          <w:divBdr>
            <w:top w:val="none" w:sz="0" w:space="0" w:color="auto"/>
            <w:left w:val="none" w:sz="0" w:space="0" w:color="auto"/>
            <w:bottom w:val="none" w:sz="0" w:space="0" w:color="auto"/>
            <w:right w:val="none" w:sz="0" w:space="0" w:color="auto"/>
          </w:divBdr>
        </w:div>
        <w:div w:id="1289582493">
          <w:marLeft w:val="640"/>
          <w:marRight w:val="0"/>
          <w:marTop w:val="0"/>
          <w:marBottom w:val="0"/>
          <w:divBdr>
            <w:top w:val="none" w:sz="0" w:space="0" w:color="auto"/>
            <w:left w:val="none" w:sz="0" w:space="0" w:color="auto"/>
            <w:bottom w:val="none" w:sz="0" w:space="0" w:color="auto"/>
            <w:right w:val="none" w:sz="0" w:space="0" w:color="auto"/>
          </w:divBdr>
        </w:div>
        <w:div w:id="1083528793">
          <w:marLeft w:val="640"/>
          <w:marRight w:val="0"/>
          <w:marTop w:val="0"/>
          <w:marBottom w:val="0"/>
          <w:divBdr>
            <w:top w:val="none" w:sz="0" w:space="0" w:color="auto"/>
            <w:left w:val="none" w:sz="0" w:space="0" w:color="auto"/>
            <w:bottom w:val="none" w:sz="0" w:space="0" w:color="auto"/>
            <w:right w:val="none" w:sz="0" w:space="0" w:color="auto"/>
          </w:divBdr>
        </w:div>
        <w:div w:id="1235975052">
          <w:marLeft w:val="640"/>
          <w:marRight w:val="0"/>
          <w:marTop w:val="0"/>
          <w:marBottom w:val="0"/>
          <w:divBdr>
            <w:top w:val="none" w:sz="0" w:space="0" w:color="auto"/>
            <w:left w:val="none" w:sz="0" w:space="0" w:color="auto"/>
            <w:bottom w:val="none" w:sz="0" w:space="0" w:color="auto"/>
            <w:right w:val="none" w:sz="0" w:space="0" w:color="auto"/>
          </w:divBdr>
        </w:div>
        <w:div w:id="1134984647">
          <w:marLeft w:val="640"/>
          <w:marRight w:val="0"/>
          <w:marTop w:val="0"/>
          <w:marBottom w:val="0"/>
          <w:divBdr>
            <w:top w:val="none" w:sz="0" w:space="0" w:color="auto"/>
            <w:left w:val="none" w:sz="0" w:space="0" w:color="auto"/>
            <w:bottom w:val="none" w:sz="0" w:space="0" w:color="auto"/>
            <w:right w:val="none" w:sz="0" w:space="0" w:color="auto"/>
          </w:divBdr>
        </w:div>
        <w:div w:id="838161503">
          <w:marLeft w:val="640"/>
          <w:marRight w:val="0"/>
          <w:marTop w:val="0"/>
          <w:marBottom w:val="0"/>
          <w:divBdr>
            <w:top w:val="none" w:sz="0" w:space="0" w:color="auto"/>
            <w:left w:val="none" w:sz="0" w:space="0" w:color="auto"/>
            <w:bottom w:val="none" w:sz="0" w:space="0" w:color="auto"/>
            <w:right w:val="none" w:sz="0" w:space="0" w:color="auto"/>
          </w:divBdr>
        </w:div>
        <w:div w:id="1276132163">
          <w:marLeft w:val="640"/>
          <w:marRight w:val="0"/>
          <w:marTop w:val="0"/>
          <w:marBottom w:val="0"/>
          <w:divBdr>
            <w:top w:val="none" w:sz="0" w:space="0" w:color="auto"/>
            <w:left w:val="none" w:sz="0" w:space="0" w:color="auto"/>
            <w:bottom w:val="none" w:sz="0" w:space="0" w:color="auto"/>
            <w:right w:val="none" w:sz="0" w:space="0" w:color="auto"/>
          </w:divBdr>
        </w:div>
        <w:div w:id="730036036">
          <w:marLeft w:val="640"/>
          <w:marRight w:val="0"/>
          <w:marTop w:val="0"/>
          <w:marBottom w:val="0"/>
          <w:divBdr>
            <w:top w:val="none" w:sz="0" w:space="0" w:color="auto"/>
            <w:left w:val="none" w:sz="0" w:space="0" w:color="auto"/>
            <w:bottom w:val="none" w:sz="0" w:space="0" w:color="auto"/>
            <w:right w:val="none" w:sz="0" w:space="0" w:color="auto"/>
          </w:divBdr>
        </w:div>
        <w:div w:id="1605652319">
          <w:marLeft w:val="640"/>
          <w:marRight w:val="0"/>
          <w:marTop w:val="0"/>
          <w:marBottom w:val="0"/>
          <w:divBdr>
            <w:top w:val="none" w:sz="0" w:space="0" w:color="auto"/>
            <w:left w:val="none" w:sz="0" w:space="0" w:color="auto"/>
            <w:bottom w:val="none" w:sz="0" w:space="0" w:color="auto"/>
            <w:right w:val="none" w:sz="0" w:space="0" w:color="auto"/>
          </w:divBdr>
        </w:div>
        <w:div w:id="666908103">
          <w:marLeft w:val="640"/>
          <w:marRight w:val="0"/>
          <w:marTop w:val="0"/>
          <w:marBottom w:val="0"/>
          <w:divBdr>
            <w:top w:val="none" w:sz="0" w:space="0" w:color="auto"/>
            <w:left w:val="none" w:sz="0" w:space="0" w:color="auto"/>
            <w:bottom w:val="none" w:sz="0" w:space="0" w:color="auto"/>
            <w:right w:val="none" w:sz="0" w:space="0" w:color="auto"/>
          </w:divBdr>
        </w:div>
        <w:div w:id="987783635">
          <w:marLeft w:val="640"/>
          <w:marRight w:val="0"/>
          <w:marTop w:val="0"/>
          <w:marBottom w:val="0"/>
          <w:divBdr>
            <w:top w:val="none" w:sz="0" w:space="0" w:color="auto"/>
            <w:left w:val="none" w:sz="0" w:space="0" w:color="auto"/>
            <w:bottom w:val="none" w:sz="0" w:space="0" w:color="auto"/>
            <w:right w:val="none" w:sz="0" w:space="0" w:color="auto"/>
          </w:divBdr>
        </w:div>
        <w:div w:id="581764737">
          <w:marLeft w:val="640"/>
          <w:marRight w:val="0"/>
          <w:marTop w:val="0"/>
          <w:marBottom w:val="0"/>
          <w:divBdr>
            <w:top w:val="none" w:sz="0" w:space="0" w:color="auto"/>
            <w:left w:val="none" w:sz="0" w:space="0" w:color="auto"/>
            <w:bottom w:val="none" w:sz="0" w:space="0" w:color="auto"/>
            <w:right w:val="none" w:sz="0" w:space="0" w:color="auto"/>
          </w:divBdr>
        </w:div>
        <w:div w:id="1293711212">
          <w:marLeft w:val="640"/>
          <w:marRight w:val="0"/>
          <w:marTop w:val="0"/>
          <w:marBottom w:val="0"/>
          <w:divBdr>
            <w:top w:val="none" w:sz="0" w:space="0" w:color="auto"/>
            <w:left w:val="none" w:sz="0" w:space="0" w:color="auto"/>
            <w:bottom w:val="none" w:sz="0" w:space="0" w:color="auto"/>
            <w:right w:val="none" w:sz="0" w:space="0" w:color="auto"/>
          </w:divBdr>
        </w:div>
        <w:div w:id="202325346">
          <w:marLeft w:val="640"/>
          <w:marRight w:val="0"/>
          <w:marTop w:val="0"/>
          <w:marBottom w:val="0"/>
          <w:divBdr>
            <w:top w:val="none" w:sz="0" w:space="0" w:color="auto"/>
            <w:left w:val="none" w:sz="0" w:space="0" w:color="auto"/>
            <w:bottom w:val="none" w:sz="0" w:space="0" w:color="auto"/>
            <w:right w:val="none" w:sz="0" w:space="0" w:color="auto"/>
          </w:divBdr>
        </w:div>
        <w:div w:id="1084692206">
          <w:marLeft w:val="640"/>
          <w:marRight w:val="0"/>
          <w:marTop w:val="0"/>
          <w:marBottom w:val="0"/>
          <w:divBdr>
            <w:top w:val="none" w:sz="0" w:space="0" w:color="auto"/>
            <w:left w:val="none" w:sz="0" w:space="0" w:color="auto"/>
            <w:bottom w:val="none" w:sz="0" w:space="0" w:color="auto"/>
            <w:right w:val="none" w:sz="0" w:space="0" w:color="auto"/>
          </w:divBdr>
        </w:div>
        <w:div w:id="1411852857">
          <w:marLeft w:val="640"/>
          <w:marRight w:val="0"/>
          <w:marTop w:val="0"/>
          <w:marBottom w:val="0"/>
          <w:divBdr>
            <w:top w:val="none" w:sz="0" w:space="0" w:color="auto"/>
            <w:left w:val="none" w:sz="0" w:space="0" w:color="auto"/>
            <w:bottom w:val="none" w:sz="0" w:space="0" w:color="auto"/>
            <w:right w:val="none" w:sz="0" w:space="0" w:color="auto"/>
          </w:divBdr>
        </w:div>
        <w:div w:id="2146265991">
          <w:marLeft w:val="640"/>
          <w:marRight w:val="0"/>
          <w:marTop w:val="0"/>
          <w:marBottom w:val="0"/>
          <w:divBdr>
            <w:top w:val="none" w:sz="0" w:space="0" w:color="auto"/>
            <w:left w:val="none" w:sz="0" w:space="0" w:color="auto"/>
            <w:bottom w:val="none" w:sz="0" w:space="0" w:color="auto"/>
            <w:right w:val="none" w:sz="0" w:space="0" w:color="auto"/>
          </w:divBdr>
        </w:div>
        <w:div w:id="415831011">
          <w:marLeft w:val="640"/>
          <w:marRight w:val="0"/>
          <w:marTop w:val="0"/>
          <w:marBottom w:val="0"/>
          <w:divBdr>
            <w:top w:val="none" w:sz="0" w:space="0" w:color="auto"/>
            <w:left w:val="none" w:sz="0" w:space="0" w:color="auto"/>
            <w:bottom w:val="none" w:sz="0" w:space="0" w:color="auto"/>
            <w:right w:val="none" w:sz="0" w:space="0" w:color="auto"/>
          </w:divBdr>
        </w:div>
        <w:div w:id="1542012135">
          <w:marLeft w:val="640"/>
          <w:marRight w:val="0"/>
          <w:marTop w:val="0"/>
          <w:marBottom w:val="0"/>
          <w:divBdr>
            <w:top w:val="none" w:sz="0" w:space="0" w:color="auto"/>
            <w:left w:val="none" w:sz="0" w:space="0" w:color="auto"/>
            <w:bottom w:val="none" w:sz="0" w:space="0" w:color="auto"/>
            <w:right w:val="none" w:sz="0" w:space="0" w:color="auto"/>
          </w:divBdr>
        </w:div>
        <w:div w:id="1696421478">
          <w:marLeft w:val="640"/>
          <w:marRight w:val="0"/>
          <w:marTop w:val="0"/>
          <w:marBottom w:val="0"/>
          <w:divBdr>
            <w:top w:val="none" w:sz="0" w:space="0" w:color="auto"/>
            <w:left w:val="none" w:sz="0" w:space="0" w:color="auto"/>
            <w:bottom w:val="none" w:sz="0" w:space="0" w:color="auto"/>
            <w:right w:val="none" w:sz="0" w:space="0" w:color="auto"/>
          </w:divBdr>
        </w:div>
        <w:div w:id="1575160240">
          <w:marLeft w:val="640"/>
          <w:marRight w:val="0"/>
          <w:marTop w:val="0"/>
          <w:marBottom w:val="0"/>
          <w:divBdr>
            <w:top w:val="none" w:sz="0" w:space="0" w:color="auto"/>
            <w:left w:val="none" w:sz="0" w:space="0" w:color="auto"/>
            <w:bottom w:val="none" w:sz="0" w:space="0" w:color="auto"/>
            <w:right w:val="none" w:sz="0" w:space="0" w:color="auto"/>
          </w:divBdr>
        </w:div>
        <w:div w:id="1803691285">
          <w:marLeft w:val="640"/>
          <w:marRight w:val="0"/>
          <w:marTop w:val="0"/>
          <w:marBottom w:val="0"/>
          <w:divBdr>
            <w:top w:val="none" w:sz="0" w:space="0" w:color="auto"/>
            <w:left w:val="none" w:sz="0" w:space="0" w:color="auto"/>
            <w:bottom w:val="none" w:sz="0" w:space="0" w:color="auto"/>
            <w:right w:val="none" w:sz="0" w:space="0" w:color="auto"/>
          </w:divBdr>
        </w:div>
        <w:div w:id="1130630509">
          <w:marLeft w:val="640"/>
          <w:marRight w:val="0"/>
          <w:marTop w:val="0"/>
          <w:marBottom w:val="0"/>
          <w:divBdr>
            <w:top w:val="none" w:sz="0" w:space="0" w:color="auto"/>
            <w:left w:val="none" w:sz="0" w:space="0" w:color="auto"/>
            <w:bottom w:val="none" w:sz="0" w:space="0" w:color="auto"/>
            <w:right w:val="none" w:sz="0" w:space="0" w:color="auto"/>
          </w:divBdr>
        </w:div>
        <w:div w:id="1272321116">
          <w:marLeft w:val="640"/>
          <w:marRight w:val="0"/>
          <w:marTop w:val="0"/>
          <w:marBottom w:val="0"/>
          <w:divBdr>
            <w:top w:val="none" w:sz="0" w:space="0" w:color="auto"/>
            <w:left w:val="none" w:sz="0" w:space="0" w:color="auto"/>
            <w:bottom w:val="none" w:sz="0" w:space="0" w:color="auto"/>
            <w:right w:val="none" w:sz="0" w:space="0" w:color="auto"/>
          </w:divBdr>
        </w:div>
        <w:div w:id="2065830617">
          <w:marLeft w:val="640"/>
          <w:marRight w:val="0"/>
          <w:marTop w:val="0"/>
          <w:marBottom w:val="0"/>
          <w:divBdr>
            <w:top w:val="none" w:sz="0" w:space="0" w:color="auto"/>
            <w:left w:val="none" w:sz="0" w:space="0" w:color="auto"/>
            <w:bottom w:val="none" w:sz="0" w:space="0" w:color="auto"/>
            <w:right w:val="none" w:sz="0" w:space="0" w:color="auto"/>
          </w:divBdr>
        </w:div>
        <w:div w:id="638193292">
          <w:marLeft w:val="640"/>
          <w:marRight w:val="0"/>
          <w:marTop w:val="0"/>
          <w:marBottom w:val="0"/>
          <w:divBdr>
            <w:top w:val="none" w:sz="0" w:space="0" w:color="auto"/>
            <w:left w:val="none" w:sz="0" w:space="0" w:color="auto"/>
            <w:bottom w:val="none" w:sz="0" w:space="0" w:color="auto"/>
            <w:right w:val="none" w:sz="0" w:space="0" w:color="auto"/>
          </w:divBdr>
        </w:div>
        <w:div w:id="1914002063">
          <w:marLeft w:val="640"/>
          <w:marRight w:val="0"/>
          <w:marTop w:val="0"/>
          <w:marBottom w:val="0"/>
          <w:divBdr>
            <w:top w:val="none" w:sz="0" w:space="0" w:color="auto"/>
            <w:left w:val="none" w:sz="0" w:space="0" w:color="auto"/>
            <w:bottom w:val="none" w:sz="0" w:space="0" w:color="auto"/>
            <w:right w:val="none" w:sz="0" w:space="0" w:color="auto"/>
          </w:divBdr>
        </w:div>
        <w:div w:id="92745865">
          <w:marLeft w:val="640"/>
          <w:marRight w:val="0"/>
          <w:marTop w:val="0"/>
          <w:marBottom w:val="0"/>
          <w:divBdr>
            <w:top w:val="none" w:sz="0" w:space="0" w:color="auto"/>
            <w:left w:val="none" w:sz="0" w:space="0" w:color="auto"/>
            <w:bottom w:val="none" w:sz="0" w:space="0" w:color="auto"/>
            <w:right w:val="none" w:sz="0" w:space="0" w:color="auto"/>
          </w:divBdr>
        </w:div>
        <w:div w:id="1916671791">
          <w:marLeft w:val="640"/>
          <w:marRight w:val="0"/>
          <w:marTop w:val="0"/>
          <w:marBottom w:val="0"/>
          <w:divBdr>
            <w:top w:val="none" w:sz="0" w:space="0" w:color="auto"/>
            <w:left w:val="none" w:sz="0" w:space="0" w:color="auto"/>
            <w:bottom w:val="none" w:sz="0" w:space="0" w:color="auto"/>
            <w:right w:val="none" w:sz="0" w:space="0" w:color="auto"/>
          </w:divBdr>
        </w:div>
        <w:div w:id="108205100">
          <w:marLeft w:val="640"/>
          <w:marRight w:val="0"/>
          <w:marTop w:val="0"/>
          <w:marBottom w:val="0"/>
          <w:divBdr>
            <w:top w:val="none" w:sz="0" w:space="0" w:color="auto"/>
            <w:left w:val="none" w:sz="0" w:space="0" w:color="auto"/>
            <w:bottom w:val="none" w:sz="0" w:space="0" w:color="auto"/>
            <w:right w:val="none" w:sz="0" w:space="0" w:color="auto"/>
          </w:divBdr>
        </w:div>
        <w:div w:id="1352685664">
          <w:marLeft w:val="640"/>
          <w:marRight w:val="0"/>
          <w:marTop w:val="0"/>
          <w:marBottom w:val="0"/>
          <w:divBdr>
            <w:top w:val="none" w:sz="0" w:space="0" w:color="auto"/>
            <w:left w:val="none" w:sz="0" w:space="0" w:color="auto"/>
            <w:bottom w:val="none" w:sz="0" w:space="0" w:color="auto"/>
            <w:right w:val="none" w:sz="0" w:space="0" w:color="auto"/>
          </w:divBdr>
        </w:div>
        <w:div w:id="1231841827">
          <w:marLeft w:val="640"/>
          <w:marRight w:val="0"/>
          <w:marTop w:val="0"/>
          <w:marBottom w:val="0"/>
          <w:divBdr>
            <w:top w:val="none" w:sz="0" w:space="0" w:color="auto"/>
            <w:left w:val="none" w:sz="0" w:space="0" w:color="auto"/>
            <w:bottom w:val="none" w:sz="0" w:space="0" w:color="auto"/>
            <w:right w:val="none" w:sz="0" w:space="0" w:color="auto"/>
          </w:divBdr>
        </w:div>
        <w:div w:id="1448699215">
          <w:marLeft w:val="640"/>
          <w:marRight w:val="0"/>
          <w:marTop w:val="0"/>
          <w:marBottom w:val="0"/>
          <w:divBdr>
            <w:top w:val="none" w:sz="0" w:space="0" w:color="auto"/>
            <w:left w:val="none" w:sz="0" w:space="0" w:color="auto"/>
            <w:bottom w:val="none" w:sz="0" w:space="0" w:color="auto"/>
            <w:right w:val="none" w:sz="0" w:space="0" w:color="auto"/>
          </w:divBdr>
        </w:div>
        <w:div w:id="305666825">
          <w:marLeft w:val="640"/>
          <w:marRight w:val="0"/>
          <w:marTop w:val="0"/>
          <w:marBottom w:val="0"/>
          <w:divBdr>
            <w:top w:val="none" w:sz="0" w:space="0" w:color="auto"/>
            <w:left w:val="none" w:sz="0" w:space="0" w:color="auto"/>
            <w:bottom w:val="none" w:sz="0" w:space="0" w:color="auto"/>
            <w:right w:val="none" w:sz="0" w:space="0" w:color="auto"/>
          </w:divBdr>
        </w:div>
        <w:div w:id="408425437">
          <w:marLeft w:val="640"/>
          <w:marRight w:val="0"/>
          <w:marTop w:val="0"/>
          <w:marBottom w:val="0"/>
          <w:divBdr>
            <w:top w:val="none" w:sz="0" w:space="0" w:color="auto"/>
            <w:left w:val="none" w:sz="0" w:space="0" w:color="auto"/>
            <w:bottom w:val="none" w:sz="0" w:space="0" w:color="auto"/>
            <w:right w:val="none" w:sz="0" w:space="0" w:color="auto"/>
          </w:divBdr>
        </w:div>
        <w:div w:id="1433430790">
          <w:marLeft w:val="640"/>
          <w:marRight w:val="0"/>
          <w:marTop w:val="0"/>
          <w:marBottom w:val="0"/>
          <w:divBdr>
            <w:top w:val="none" w:sz="0" w:space="0" w:color="auto"/>
            <w:left w:val="none" w:sz="0" w:space="0" w:color="auto"/>
            <w:bottom w:val="none" w:sz="0" w:space="0" w:color="auto"/>
            <w:right w:val="none" w:sz="0" w:space="0" w:color="auto"/>
          </w:divBdr>
        </w:div>
        <w:div w:id="1236670885">
          <w:marLeft w:val="640"/>
          <w:marRight w:val="0"/>
          <w:marTop w:val="0"/>
          <w:marBottom w:val="0"/>
          <w:divBdr>
            <w:top w:val="none" w:sz="0" w:space="0" w:color="auto"/>
            <w:left w:val="none" w:sz="0" w:space="0" w:color="auto"/>
            <w:bottom w:val="none" w:sz="0" w:space="0" w:color="auto"/>
            <w:right w:val="none" w:sz="0" w:space="0" w:color="auto"/>
          </w:divBdr>
        </w:div>
        <w:div w:id="1355108249">
          <w:marLeft w:val="640"/>
          <w:marRight w:val="0"/>
          <w:marTop w:val="0"/>
          <w:marBottom w:val="0"/>
          <w:divBdr>
            <w:top w:val="none" w:sz="0" w:space="0" w:color="auto"/>
            <w:left w:val="none" w:sz="0" w:space="0" w:color="auto"/>
            <w:bottom w:val="none" w:sz="0" w:space="0" w:color="auto"/>
            <w:right w:val="none" w:sz="0" w:space="0" w:color="auto"/>
          </w:divBdr>
        </w:div>
        <w:div w:id="2019652784">
          <w:marLeft w:val="640"/>
          <w:marRight w:val="0"/>
          <w:marTop w:val="0"/>
          <w:marBottom w:val="0"/>
          <w:divBdr>
            <w:top w:val="none" w:sz="0" w:space="0" w:color="auto"/>
            <w:left w:val="none" w:sz="0" w:space="0" w:color="auto"/>
            <w:bottom w:val="none" w:sz="0" w:space="0" w:color="auto"/>
            <w:right w:val="none" w:sz="0" w:space="0" w:color="auto"/>
          </w:divBdr>
        </w:div>
        <w:div w:id="466826130">
          <w:marLeft w:val="640"/>
          <w:marRight w:val="0"/>
          <w:marTop w:val="0"/>
          <w:marBottom w:val="0"/>
          <w:divBdr>
            <w:top w:val="none" w:sz="0" w:space="0" w:color="auto"/>
            <w:left w:val="none" w:sz="0" w:space="0" w:color="auto"/>
            <w:bottom w:val="none" w:sz="0" w:space="0" w:color="auto"/>
            <w:right w:val="none" w:sz="0" w:space="0" w:color="auto"/>
          </w:divBdr>
        </w:div>
        <w:div w:id="802425487">
          <w:marLeft w:val="640"/>
          <w:marRight w:val="0"/>
          <w:marTop w:val="0"/>
          <w:marBottom w:val="0"/>
          <w:divBdr>
            <w:top w:val="none" w:sz="0" w:space="0" w:color="auto"/>
            <w:left w:val="none" w:sz="0" w:space="0" w:color="auto"/>
            <w:bottom w:val="none" w:sz="0" w:space="0" w:color="auto"/>
            <w:right w:val="none" w:sz="0" w:space="0" w:color="auto"/>
          </w:divBdr>
        </w:div>
        <w:div w:id="797843500">
          <w:marLeft w:val="640"/>
          <w:marRight w:val="0"/>
          <w:marTop w:val="0"/>
          <w:marBottom w:val="0"/>
          <w:divBdr>
            <w:top w:val="none" w:sz="0" w:space="0" w:color="auto"/>
            <w:left w:val="none" w:sz="0" w:space="0" w:color="auto"/>
            <w:bottom w:val="none" w:sz="0" w:space="0" w:color="auto"/>
            <w:right w:val="none" w:sz="0" w:space="0" w:color="auto"/>
          </w:divBdr>
        </w:div>
        <w:div w:id="1539732579">
          <w:marLeft w:val="640"/>
          <w:marRight w:val="0"/>
          <w:marTop w:val="0"/>
          <w:marBottom w:val="0"/>
          <w:divBdr>
            <w:top w:val="none" w:sz="0" w:space="0" w:color="auto"/>
            <w:left w:val="none" w:sz="0" w:space="0" w:color="auto"/>
            <w:bottom w:val="none" w:sz="0" w:space="0" w:color="auto"/>
            <w:right w:val="none" w:sz="0" w:space="0" w:color="auto"/>
          </w:divBdr>
        </w:div>
        <w:div w:id="1464276714">
          <w:marLeft w:val="640"/>
          <w:marRight w:val="0"/>
          <w:marTop w:val="0"/>
          <w:marBottom w:val="0"/>
          <w:divBdr>
            <w:top w:val="none" w:sz="0" w:space="0" w:color="auto"/>
            <w:left w:val="none" w:sz="0" w:space="0" w:color="auto"/>
            <w:bottom w:val="none" w:sz="0" w:space="0" w:color="auto"/>
            <w:right w:val="none" w:sz="0" w:space="0" w:color="auto"/>
          </w:divBdr>
        </w:div>
        <w:div w:id="1132333854">
          <w:marLeft w:val="640"/>
          <w:marRight w:val="0"/>
          <w:marTop w:val="0"/>
          <w:marBottom w:val="0"/>
          <w:divBdr>
            <w:top w:val="none" w:sz="0" w:space="0" w:color="auto"/>
            <w:left w:val="none" w:sz="0" w:space="0" w:color="auto"/>
            <w:bottom w:val="none" w:sz="0" w:space="0" w:color="auto"/>
            <w:right w:val="none" w:sz="0" w:space="0" w:color="auto"/>
          </w:divBdr>
        </w:div>
        <w:div w:id="356809662">
          <w:marLeft w:val="640"/>
          <w:marRight w:val="0"/>
          <w:marTop w:val="0"/>
          <w:marBottom w:val="0"/>
          <w:divBdr>
            <w:top w:val="none" w:sz="0" w:space="0" w:color="auto"/>
            <w:left w:val="none" w:sz="0" w:space="0" w:color="auto"/>
            <w:bottom w:val="none" w:sz="0" w:space="0" w:color="auto"/>
            <w:right w:val="none" w:sz="0" w:space="0" w:color="auto"/>
          </w:divBdr>
        </w:div>
        <w:div w:id="1877237571">
          <w:marLeft w:val="640"/>
          <w:marRight w:val="0"/>
          <w:marTop w:val="0"/>
          <w:marBottom w:val="0"/>
          <w:divBdr>
            <w:top w:val="none" w:sz="0" w:space="0" w:color="auto"/>
            <w:left w:val="none" w:sz="0" w:space="0" w:color="auto"/>
            <w:bottom w:val="none" w:sz="0" w:space="0" w:color="auto"/>
            <w:right w:val="none" w:sz="0" w:space="0" w:color="auto"/>
          </w:divBdr>
        </w:div>
        <w:div w:id="1685399873">
          <w:marLeft w:val="640"/>
          <w:marRight w:val="0"/>
          <w:marTop w:val="0"/>
          <w:marBottom w:val="0"/>
          <w:divBdr>
            <w:top w:val="none" w:sz="0" w:space="0" w:color="auto"/>
            <w:left w:val="none" w:sz="0" w:space="0" w:color="auto"/>
            <w:bottom w:val="none" w:sz="0" w:space="0" w:color="auto"/>
            <w:right w:val="none" w:sz="0" w:space="0" w:color="auto"/>
          </w:divBdr>
        </w:div>
        <w:div w:id="1843005584">
          <w:marLeft w:val="640"/>
          <w:marRight w:val="0"/>
          <w:marTop w:val="0"/>
          <w:marBottom w:val="0"/>
          <w:divBdr>
            <w:top w:val="none" w:sz="0" w:space="0" w:color="auto"/>
            <w:left w:val="none" w:sz="0" w:space="0" w:color="auto"/>
            <w:bottom w:val="none" w:sz="0" w:space="0" w:color="auto"/>
            <w:right w:val="none" w:sz="0" w:space="0" w:color="auto"/>
          </w:divBdr>
        </w:div>
        <w:div w:id="1102914848">
          <w:marLeft w:val="640"/>
          <w:marRight w:val="0"/>
          <w:marTop w:val="0"/>
          <w:marBottom w:val="0"/>
          <w:divBdr>
            <w:top w:val="none" w:sz="0" w:space="0" w:color="auto"/>
            <w:left w:val="none" w:sz="0" w:space="0" w:color="auto"/>
            <w:bottom w:val="none" w:sz="0" w:space="0" w:color="auto"/>
            <w:right w:val="none" w:sz="0" w:space="0" w:color="auto"/>
          </w:divBdr>
        </w:div>
        <w:div w:id="288053826">
          <w:marLeft w:val="640"/>
          <w:marRight w:val="0"/>
          <w:marTop w:val="0"/>
          <w:marBottom w:val="0"/>
          <w:divBdr>
            <w:top w:val="none" w:sz="0" w:space="0" w:color="auto"/>
            <w:left w:val="none" w:sz="0" w:space="0" w:color="auto"/>
            <w:bottom w:val="none" w:sz="0" w:space="0" w:color="auto"/>
            <w:right w:val="none" w:sz="0" w:space="0" w:color="auto"/>
          </w:divBdr>
        </w:div>
        <w:div w:id="2046637793">
          <w:marLeft w:val="640"/>
          <w:marRight w:val="0"/>
          <w:marTop w:val="0"/>
          <w:marBottom w:val="0"/>
          <w:divBdr>
            <w:top w:val="none" w:sz="0" w:space="0" w:color="auto"/>
            <w:left w:val="none" w:sz="0" w:space="0" w:color="auto"/>
            <w:bottom w:val="none" w:sz="0" w:space="0" w:color="auto"/>
            <w:right w:val="none" w:sz="0" w:space="0" w:color="auto"/>
          </w:divBdr>
        </w:div>
        <w:div w:id="651640836">
          <w:marLeft w:val="640"/>
          <w:marRight w:val="0"/>
          <w:marTop w:val="0"/>
          <w:marBottom w:val="0"/>
          <w:divBdr>
            <w:top w:val="none" w:sz="0" w:space="0" w:color="auto"/>
            <w:left w:val="none" w:sz="0" w:space="0" w:color="auto"/>
            <w:bottom w:val="none" w:sz="0" w:space="0" w:color="auto"/>
            <w:right w:val="none" w:sz="0" w:space="0" w:color="auto"/>
          </w:divBdr>
        </w:div>
        <w:div w:id="676462875">
          <w:marLeft w:val="640"/>
          <w:marRight w:val="0"/>
          <w:marTop w:val="0"/>
          <w:marBottom w:val="0"/>
          <w:divBdr>
            <w:top w:val="none" w:sz="0" w:space="0" w:color="auto"/>
            <w:left w:val="none" w:sz="0" w:space="0" w:color="auto"/>
            <w:bottom w:val="none" w:sz="0" w:space="0" w:color="auto"/>
            <w:right w:val="none" w:sz="0" w:space="0" w:color="auto"/>
          </w:divBdr>
        </w:div>
        <w:div w:id="1251350080">
          <w:marLeft w:val="640"/>
          <w:marRight w:val="0"/>
          <w:marTop w:val="0"/>
          <w:marBottom w:val="0"/>
          <w:divBdr>
            <w:top w:val="none" w:sz="0" w:space="0" w:color="auto"/>
            <w:left w:val="none" w:sz="0" w:space="0" w:color="auto"/>
            <w:bottom w:val="none" w:sz="0" w:space="0" w:color="auto"/>
            <w:right w:val="none" w:sz="0" w:space="0" w:color="auto"/>
          </w:divBdr>
        </w:div>
        <w:div w:id="2039695713">
          <w:marLeft w:val="640"/>
          <w:marRight w:val="0"/>
          <w:marTop w:val="0"/>
          <w:marBottom w:val="0"/>
          <w:divBdr>
            <w:top w:val="none" w:sz="0" w:space="0" w:color="auto"/>
            <w:left w:val="none" w:sz="0" w:space="0" w:color="auto"/>
            <w:bottom w:val="none" w:sz="0" w:space="0" w:color="auto"/>
            <w:right w:val="none" w:sz="0" w:space="0" w:color="auto"/>
          </w:divBdr>
        </w:div>
        <w:div w:id="996615933">
          <w:marLeft w:val="640"/>
          <w:marRight w:val="0"/>
          <w:marTop w:val="0"/>
          <w:marBottom w:val="0"/>
          <w:divBdr>
            <w:top w:val="none" w:sz="0" w:space="0" w:color="auto"/>
            <w:left w:val="none" w:sz="0" w:space="0" w:color="auto"/>
            <w:bottom w:val="none" w:sz="0" w:space="0" w:color="auto"/>
            <w:right w:val="none" w:sz="0" w:space="0" w:color="auto"/>
          </w:divBdr>
        </w:div>
        <w:div w:id="1722439131">
          <w:marLeft w:val="640"/>
          <w:marRight w:val="0"/>
          <w:marTop w:val="0"/>
          <w:marBottom w:val="0"/>
          <w:divBdr>
            <w:top w:val="none" w:sz="0" w:space="0" w:color="auto"/>
            <w:left w:val="none" w:sz="0" w:space="0" w:color="auto"/>
            <w:bottom w:val="none" w:sz="0" w:space="0" w:color="auto"/>
            <w:right w:val="none" w:sz="0" w:space="0" w:color="auto"/>
          </w:divBdr>
        </w:div>
        <w:div w:id="1550409695">
          <w:marLeft w:val="640"/>
          <w:marRight w:val="0"/>
          <w:marTop w:val="0"/>
          <w:marBottom w:val="0"/>
          <w:divBdr>
            <w:top w:val="none" w:sz="0" w:space="0" w:color="auto"/>
            <w:left w:val="none" w:sz="0" w:space="0" w:color="auto"/>
            <w:bottom w:val="none" w:sz="0" w:space="0" w:color="auto"/>
            <w:right w:val="none" w:sz="0" w:space="0" w:color="auto"/>
          </w:divBdr>
        </w:div>
        <w:div w:id="1366098283">
          <w:marLeft w:val="640"/>
          <w:marRight w:val="0"/>
          <w:marTop w:val="0"/>
          <w:marBottom w:val="0"/>
          <w:divBdr>
            <w:top w:val="none" w:sz="0" w:space="0" w:color="auto"/>
            <w:left w:val="none" w:sz="0" w:space="0" w:color="auto"/>
            <w:bottom w:val="none" w:sz="0" w:space="0" w:color="auto"/>
            <w:right w:val="none" w:sz="0" w:space="0" w:color="auto"/>
          </w:divBdr>
        </w:div>
        <w:div w:id="138498423">
          <w:marLeft w:val="640"/>
          <w:marRight w:val="0"/>
          <w:marTop w:val="0"/>
          <w:marBottom w:val="0"/>
          <w:divBdr>
            <w:top w:val="none" w:sz="0" w:space="0" w:color="auto"/>
            <w:left w:val="none" w:sz="0" w:space="0" w:color="auto"/>
            <w:bottom w:val="none" w:sz="0" w:space="0" w:color="auto"/>
            <w:right w:val="none" w:sz="0" w:space="0" w:color="auto"/>
          </w:divBdr>
        </w:div>
        <w:div w:id="261768820">
          <w:marLeft w:val="640"/>
          <w:marRight w:val="0"/>
          <w:marTop w:val="0"/>
          <w:marBottom w:val="0"/>
          <w:divBdr>
            <w:top w:val="none" w:sz="0" w:space="0" w:color="auto"/>
            <w:left w:val="none" w:sz="0" w:space="0" w:color="auto"/>
            <w:bottom w:val="none" w:sz="0" w:space="0" w:color="auto"/>
            <w:right w:val="none" w:sz="0" w:space="0" w:color="auto"/>
          </w:divBdr>
        </w:div>
        <w:div w:id="128326977">
          <w:marLeft w:val="640"/>
          <w:marRight w:val="0"/>
          <w:marTop w:val="0"/>
          <w:marBottom w:val="0"/>
          <w:divBdr>
            <w:top w:val="none" w:sz="0" w:space="0" w:color="auto"/>
            <w:left w:val="none" w:sz="0" w:space="0" w:color="auto"/>
            <w:bottom w:val="none" w:sz="0" w:space="0" w:color="auto"/>
            <w:right w:val="none" w:sz="0" w:space="0" w:color="auto"/>
          </w:divBdr>
        </w:div>
        <w:div w:id="1318535434">
          <w:marLeft w:val="640"/>
          <w:marRight w:val="0"/>
          <w:marTop w:val="0"/>
          <w:marBottom w:val="0"/>
          <w:divBdr>
            <w:top w:val="none" w:sz="0" w:space="0" w:color="auto"/>
            <w:left w:val="none" w:sz="0" w:space="0" w:color="auto"/>
            <w:bottom w:val="none" w:sz="0" w:space="0" w:color="auto"/>
            <w:right w:val="none" w:sz="0" w:space="0" w:color="auto"/>
          </w:divBdr>
        </w:div>
        <w:div w:id="1995448678">
          <w:marLeft w:val="640"/>
          <w:marRight w:val="0"/>
          <w:marTop w:val="0"/>
          <w:marBottom w:val="0"/>
          <w:divBdr>
            <w:top w:val="none" w:sz="0" w:space="0" w:color="auto"/>
            <w:left w:val="none" w:sz="0" w:space="0" w:color="auto"/>
            <w:bottom w:val="none" w:sz="0" w:space="0" w:color="auto"/>
            <w:right w:val="none" w:sz="0" w:space="0" w:color="auto"/>
          </w:divBdr>
        </w:div>
        <w:div w:id="2073770287">
          <w:marLeft w:val="640"/>
          <w:marRight w:val="0"/>
          <w:marTop w:val="0"/>
          <w:marBottom w:val="0"/>
          <w:divBdr>
            <w:top w:val="none" w:sz="0" w:space="0" w:color="auto"/>
            <w:left w:val="none" w:sz="0" w:space="0" w:color="auto"/>
            <w:bottom w:val="none" w:sz="0" w:space="0" w:color="auto"/>
            <w:right w:val="none" w:sz="0" w:space="0" w:color="auto"/>
          </w:divBdr>
        </w:div>
        <w:div w:id="749274598">
          <w:marLeft w:val="640"/>
          <w:marRight w:val="0"/>
          <w:marTop w:val="0"/>
          <w:marBottom w:val="0"/>
          <w:divBdr>
            <w:top w:val="none" w:sz="0" w:space="0" w:color="auto"/>
            <w:left w:val="none" w:sz="0" w:space="0" w:color="auto"/>
            <w:bottom w:val="none" w:sz="0" w:space="0" w:color="auto"/>
            <w:right w:val="none" w:sz="0" w:space="0" w:color="auto"/>
          </w:divBdr>
        </w:div>
        <w:div w:id="982733879">
          <w:marLeft w:val="640"/>
          <w:marRight w:val="0"/>
          <w:marTop w:val="0"/>
          <w:marBottom w:val="0"/>
          <w:divBdr>
            <w:top w:val="none" w:sz="0" w:space="0" w:color="auto"/>
            <w:left w:val="none" w:sz="0" w:space="0" w:color="auto"/>
            <w:bottom w:val="none" w:sz="0" w:space="0" w:color="auto"/>
            <w:right w:val="none" w:sz="0" w:space="0" w:color="auto"/>
          </w:divBdr>
        </w:div>
        <w:div w:id="44451609">
          <w:marLeft w:val="640"/>
          <w:marRight w:val="0"/>
          <w:marTop w:val="0"/>
          <w:marBottom w:val="0"/>
          <w:divBdr>
            <w:top w:val="none" w:sz="0" w:space="0" w:color="auto"/>
            <w:left w:val="none" w:sz="0" w:space="0" w:color="auto"/>
            <w:bottom w:val="none" w:sz="0" w:space="0" w:color="auto"/>
            <w:right w:val="none" w:sz="0" w:space="0" w:color="auto"/>
          </w:divBdr>
        </w:div>
        <w:div w:id="1257443982">
          <w:marLeft w:val="640"/>
          <w:marRight w:val="0"/>
          <w:marTop w:val="0"/>
          <w:marBottom w:val="0"/>
          <w:divBdr>
            <w:top w:val="none" w:sz="0" w:space="0" w:color="auto"/>
            <w:left w:val="none" w:sz="0" w:space="0" w:color="auto"/>
            <w:bottom w:val="none" w:sz="0" w:space="0" w:color="auto"/>
            <w:right w:val="none" w:sz="0" w:space="0" w:color="auto"/>
          </w:divBdr>
        </w:div>
        <w:div w:id="786510503">
          <w:marLeft w:val="640"/>
          <w:marRight w:val="0"/>
          <w:marTop w:val="0"/>
          <w:marBottom w:val="0"/>
          <w:divBdr>
            <w:top w:val="none" w:sz="0" w:space="0" w:color="auto"/>
            <w:left w:val="none" w:sz="0" w:space="0" w:color="auto"/>
            <w:bottom w:val="none" w:sz="0" w:space="0" w:color="auto"/>
            <w:right w:val="none" w:sz="0" w:space="0" w:color="auto"/>
          </w:divBdr>
        </w:div>
        <w:div w:id="1797215419">
          <w:marLeft w:val="640"/>
          <w:marRight w:val="0"/>
          <w:marTop w:val="0"/>
          <w:marBottom w:val="0"/>
          <w:divBdr>
            <w:top w:val="none" w:sz="0" w:space="0" w:color="auto"/>
            <w:left w:val="none" w:sz="0" w:space="0" w:color="auto"/>
            <w:bottom w:val="none" w:sz="0" w:space="0" w:color="auto"/>
            <w:right w:val="none" w:sz="0" w:space="0" w:color="auto"/>
          </w:divBdr>
        </w:div>
        <w:div w:id="992609720">
          <w:marLeft w:val="640"/>
          <w:marRight w:val="0"/>
          <w:marTop w:val="0"/>
          <w:marBottom w:val="0"/>
          <w:divBdr>
            <w:top w:val="none" w:sz="0" w:space="0" w:color="auto"/>
            <w:left w:val="none" w:sz="0" w:space="0" w:color="auto"/>
            <w:bottom w:val="none" w:sz="0" w:space="0" w:color="auto"/>
            <w:right w:val="none" w:sz="0" w:space="0" w:color="auto"/>
          </w:divBdr>
        </w:div>
        <w:div w:id="441993280">
          <w:marLeft w:val="640"/>
          <w:marRight w:val="0"/>
          <w:marTop w:val="0"/>
          <w:marBottom w:val="0"/>
          <w:divBdr>
            <w:top w:val="none" w:sz="0" w:space="0" w:color="auto"/>
            <w:left w:val="none" w:sz="0" w:space="0" w:color="auto"/>
            <w:bottom w:val="none" w:sz="0" w:space="0" w:color="auto"/>
            <w:right w:val="none" w:sz="0" w:space="0" w:color="auto"/>
          </w:divBdr>
        </w:div>
        <w:div w:id="202644895">
          <w:marLeft w:val="640"/>
          <w:marRight w:val="0"/>
          <w:marTop w:val="0"/>
          <w:marBottom w:val="0"/>
          <w:divBdr>
            <w:top w:val="none" w:sz="0" w:space="0" w:color="auto"/>
            <w:left w:val="none" w:sz="0" w:space="0" w:color="auto"/>
            <w:bottom w:val="none" w:sz="0" w:space="0" w:color="auto"/>
            <w:right w:val="none" w:sz="0" w:space="0" w:color="auto"/>
          </w:divBdr>
        </w:div>
        <w:div w:id="40324195">
          <w:marLeft w:val="640"/>
          <w:marRight w:val="0"/>
          <w:marTop w:val="0"/>
          <w:marBottom w:val="0"/>
          <w:divBdr>
            <w:top w:val="none" w:sz="0" w:space="0" w:color="auto"/>
            <w:left w:val="none" w:sz="0" w:space="0" w:color="auto"/>
            <w:bottom w:val="none" w:sz="0" w:space="0" w:color="auto"/>
            <w:right w:val="none" w:sz="0" w:space="0" w:color="auto"/>
          </w:divBdr>
        </w:div>
        <w:div w:id="102460643">
          <w:marLeft w:val="640"/>
          <w:marRight w:val="0"/>
          <w:marTop w:val="0"/>
          <w:marBottom w:val="0"/>
          <w:divBdr>
            <w:top w:val="none" w:sz="0" w:space="0" w:color="auto"/>
            <w:left w:val="none" w:sz="0" w:space="0" w:color="auto"/>
            <w:bottom w:val="none" w:sz="0" w:space="0" w:color="auto"/>
            <w:right w:val="none" w:sz="0" w:space="0" w:color="auto"/>
          </w:divBdr>
        </w:div>
        <w:div w:id="1451825761">
          <w:marLeft w:val="640"/>
          <w:marRight w:val="0"/>
          <w:marTop w:val="0"/>
          <w:marBottom w:val="0"/>
          <w:divBdr>
            <w:top w:val="none" w:sz="0" w:space="0" w:color="auto"/>
            <w:left w:val="none" w:sz="0" w:space="0" w:color="auto"/>
            <w:bottom w:val="none" w:sz="0" w:space="0" w:color="auto"/>
            <w:right w:val="none" w:sz="0" w:space="0" w:color="auto"/>
          </w:divBdr>
        </w:div>
        <w:div w:id="1853716216">
          <w:marLeft w:val="640"/>
          <w:marRight w:val="0"/>
          <w:marTop w:val="0"/>
          <w:marBottom w:val="0"/>
          <w:divBdr>
            <w:top w:val="none" w:sz="0" w:space="0" w:color="auto"/>
            <w:left w:val="none" w:sz="0" w:space="0" w:color="auto"/>
            <w:bottom w:val="none" w:sz="0" w:space="0" w:color="auto"/>
            <w:right w:val="none" w:sz="0" w:space="0" w:color="auto"/>
          </w:divBdr>
        </w:div>
        <w:div w:id="1820462453">
          <w:marLeft w:val="640"/>
          <w:marRight w:val="0"/>
          <w:marTop w:val="0"/>
          <w:marBottom w:val="0"/>
          <w:divBdr>
            <w:top w:val="none" w:sz="0" w:space="0" w:color="auto"/>
            <w:left w:val="none" w:sz="0" w:space="0" w:color="auto"/>
            <w:bottom w:val="none" w:sz="0" w:space="0" w:color="auto"/>
            <w:right w:val="none" w:sz="0" w:space="0" w:color="auto"/>
          </w:divBdr>
        </w:div>
        <w:div w:id="1427001540">
          <w:marLeft w:val="640"/>
          <w:marRight w:val="0"/>
          <w:marTop w:val="0"/>
          <w:marBottom w:val="0"/>
          <w:divBdr>
            <w:top w:val="none" w:sz="0" w:space="0" w:color="auto"/>
            <w:left w:val="none" w:sz="0" w:space="0" w:color="auto"/>
            <w:bottom w:val="none" w:sz="0" w:space="0" w:color="auto"/>
            <w:right w:val="none" w:sz="0" w:space="0" w:color="auto"/>
          </w:divBdr>
        </w:div>
        <w:div w:id="1671178129">
          <w:marLeft w:val="640"/>
          <w:marRight w:val="0"/>
          <w:marTop w:val="0"/>
          <w:marBottom w:val="0"/>
          <w:divBdr>
            <w:top w:val="none" w:sz="0" w:space="0" w:color="auto"/>
            <w:left w:val="none" w:sz="0" w:space="0" w:color="auto"/>
            <w:bottom w:val="none" w:sz="0" w:space="0" w:color="auto"/>
            <w:right w:val="none" w:sz="0" w:space="0" w:color="auto"/>
          </w:divBdr>
        </w:div>
        <w:div w:id="1471744753">
          <w:marLeft w:val="640"/>
          <w:marRight w:val="0"/>
          <w:marTop w:val="0"/>
          <w:marBottom w:val="0"/>
          <w:divBdr>
            <w:top w:val="none" w:sz="0" w:space="0" w:color="auto"/>
            <w:left w:val="none" w:sz="0" w:space="0" w:color="auto"/>
            <w:bottom w:val="none" w:sz="0" w:space="0" w:color="auto"/>
            <w:right w:val="none" w:sz="0" w:space="0" w:color="auto"/>
          </w:divBdr>
        </w:div>
        <w:div w:id="147863350">
          <w:marLeft w:val="640"/>
          <w:marRight w:val="0"/>
          <w:marTop w:val="0"/>
          <w:marBottom w:val="0"/>
          <w:divBdr>
            <w:top w:val="none" w:sz="0" w:space="0" w:color="auto"/>
            <w:left w:val="none" w:sz="0" w:space="0" w:color="auto"/>
            <w:bottom w:val="none" w:sz="0" w:space="0" w:color="auto"/>
            <w:right w:val="none" w:sz="0" w:space="0" w:color="auto"/>
          </w:divBdr>
        </w:div>
        <w:div w:id="1968898756">
          <w:marLeft w:val="640"/>
          <w:marRight w:val="0"/>
          <w:marTop w:val="0"/>
          <w:marBottom w:val="0"/>
          <w:divBdr>
            <w:top w:val="none" w:sz="0" w:space="0" w:color="auto"/>
            <w:left w:val="none" w:sz="0" w:space="0" w:color="auto"/>
            <w:bottom w:val="none" w:sz="0" w:space="0" w:color="auto"/>
            <w:right w:val="none" w:sz="0" w:space="0" w:color="auto"/>
          </w:divBdr>
        </w:div>
        <w:div w:id="1116020230">
          <w:marLeft w:val="640"/>
          <w:marRight w:val="0"/>
          <w:marTop w:val="0"/>
          <w:marBottom w:val="0"/>
          <w:divBdr>
            <w:top w:val="none" w:sz="0" w:space="0" w:color="auto"/>
            <w:left w:val="none" w:sz="0" w:space="0" w:color="auto"/>
            <w:bottom w:val="none" w:sz="0" w:space="0" w:color="auto"/>
            <w:right w:val="none" w:sz="0" w:space="0" w:color="auto"/>
          </w:divBdr>
        </w:div>
        <w:div w:id="1871913009">
          <w:marLeft w:val="640"/>
          <w:marRight w:val="0"/>
          <w:marTop w:val="0"/>
          <w:marBottom w:val="0"/>
          <w:divBdr>
            <w:top w:val="none" w:sz="0" w:space="0" w:color="auto"/>
            <w:left w:val="none" w:sz="0" w:space="0" w:color="auto"/>
            <w:bottom w:val="none" w:sz="0" w:space="0" w:color="auto"/>
            <w:right w:val="none" w:sz="0" w:space="0" w:color="auto"/>
          </w:divBdr>
        </w:div>
        <w:div w:id="749236321">
          <w:marLeft w:val="640"/>
          <w:marRight w:val="0"/>
          <w:marTop w:val="0"/>
          <w:marBottom w:val="0"/>
          <w:divBdr>
            <w:top w:val="none" w:sz="0" w:space="0" w:color="auto"/>
            <w:left w:val="none" w:sz="0" w:space="0" w:color="auto"/>
            <w:bottom w:val="none" w:sz="0" w:space="0" w:color="auto"/>
            <w:right w:val="none" w:sz="0" w:space="0" w:color="auto"/>
          </w:divBdr>
        </w:div>
        <w:div w:id="1409496512">
          <w:marLeft w:val="640"/>
          <w:marRight w:val="0"/>
          <w:marTop w:val="0"/>
          <w:marBottom w:val="0"/>
          <w:divBdr>
            <w:top w:val="none" w:sz="0" w:space="0" w:color="auto"/>
            <w:left w:val="none" w:sz="0" w:space="0" w:color="auto"/>
            <w:bottom w:val="none" w:sz="0" w:space="0" w:color="auto"/>
            <w:right w:val="none" w:sz="0" w:space="0" w:color="auto"/>
          </w:divBdr>
        </w:div>
        <w:div w:id="1581789257">
          <w:marLeft w:val="640"/>
          <w:marRight w:val="0"/>
          <w:marTop w:val="0"/>
          <w:marBottom w:val="0"/>
          <w:divBdr>
            <w:top w:val="none" w:sz="0" w:space="0" w:color="auto"/>
            <w:left w:val="none" w:sz="0" w:space="0" w:color="auto"/>
            <w:bottom w:val="none" w:sz="0" w:space="0" w:color="auto"/>
            <w:right w:val="none" w:sz="0" w:space="0" w:color="auto"/>
          </w:divBdr>
        </w:div>
        <w:div w:id="945773905">
          <w:marLeft w:val="640"/>
          <w:marRight w:val="0"/>
          <w:marTop w:val="0"/>
          <w:marBottom w:val="0"/>
          <w:divBdr>
            <w:top w:val="none" w:sz="0" w:space="0" w:color="auto"/>
            <w:left w:val="none" w:sz="0" w:space="0" w:color="auto"/>
            <w:bottom w:val="none" w:sz="0" w:space="0" w:color="auto"/>
            <w:right w:val="none" w:sz="0" w:space="0" w:color="auto"/>
          </w:divBdr>
        </w:div>
        <w:div w:id="81920461">
          <w:marLeft w:val="640"/>
          <w:marRight w:val="0"/>
          <w:marTop w:val="0"/>
          <w:marBottom w:val="0"/>
          <w:divBdr>
            <w:top w:val="none" w:sz="0" w:space="0" w:color="auto"/>
            <w:left w:val="none" w:sz="0" w:space="0" w:color="auto"/>
            <w:bottom w:val="none" w:sz="0" w:space="0" w:color="auto"/>
            <w:right w:val="none" w:sz="0" w:space="0" w:color="auto"/>
          </w:divBdr>
        </w:div>
        <w:div w:id="1127550732">
          <w:marLeft w:val="640"/>
          <w:marRight w:val="0"/>
          <w:marTop w:val="0"/>
          <w:marBottom w:val="0"/>
          <w:divBdr>
            <w:top w:val="none" w:sz="0" w:space="0" w:color="auto"/>
            <w:left w:val="none" w:sz="0" w:space="0" w:color="auto"/>
            <w:bottom w:val="none" w:sz="0" w:space="0" w:color="auto"/>
            <w:right w:val="none" w:sz="0" w:space="0" w:color="auto"/>
          </w:divBdr>
        </w:div>
        <w:div w:id="1149057974">
          <w:marLeft w:val="640"/>
          <w:marRight w:val="0"/>
          <w:marTop w:val="0"/>
          <w:marBottom w:val="0"/>
          <w:divBdr>
            <w:top w:val="none" w:sz="0" w:space="0" w:color="auto"/>
            <w:left w:val="none" w:sz="0" w:space="0" w:color="auto"/>
            <w:bottom w:val="none" w:sz="0" w:space="0" w:color="auto"/>
            <w:right w:val="none" w:sz="0" w:space="0" w:color="auto"/>
          </w:divBdr>
        </w:div>
        <w:div w:id="1607690549">
          <w:marLeft w:val="640"/>
          <w:marRight w:val="0"/>
          <w:marTop w:val="0"/>
          <w:marBottom w:val="0"/>
          <w:divBdr>
            <w:top w:val="none" w:sz="0" w:space="0" w:color="auto"/>
            <w:left w:val="none" w:sz="0" w:space="0" w:color="auto"/>
            <w:bottom w:val="none" w:sz="0" w:space="0" w:color="auto"/>
            <w:right w:val="none" w:sz="0" w:space="0" w:color="auto"/>
          </w:divBdr>
        </w:div>
        <w:div w:id="336736643">
          <w:marLeft w:val="640"/>
          <w:marRight w:val="0"/>
          <w:marTop w:val="0"/>
          <w:marBottom w:val="0"/>
          <w:divBdr>
            <w:top w:val="none" w:sz="0" w:space="0" w:color="auto"/>
            <w:left w:val="none" w:sz="0" w:space="0" w:color="auto"/>
            <w:bottom w:val="none" w:sz="0" w:space="0" w:color="auto"/>
            <w:right w:val="none" w:sz="0" w:space="0" w:color="auto"/>
          </w:divBdr>
        </w:div>
        <w:div w:id="290791154">
          <w:marLeft w:val="640"/>
          <w:marRight w:val="0"/>
          <w:marTop w:val="0"/>
          <w:marBottom w:val="0"/>
          <w:divBdr>
            <w:top w:val="none" w:sz="0" w:space="0" w:color="auto"/>
            <w:left w:val="none" w:sz="0" w:space="0" w:color="auto"/>
            <w:bottom w:val="none" w:sz="0" w:space="0" w:color="auto"/>
            <w:right w:val="none" w:sz="0" w:space="0" w:color="auto"/>
          </w:divBdr>
        </w:div>
        <w:div w:id="2022392230">
          <w:marLeft w:val="640"/>
          <w:marRight w:val="0"/>
          <w:marTop w:val="0"/>
          <w:marBottom w:val="0"/>
          <w:divBdr>
            <w:top w:val="none" w:sz="0" w:space="0" w:color="auto"/>
            <w:left w:val="none" w:sz="0" w:space="0" w:color="auto"/>
            <w:bottom w:val="none" w:sz="0" w:space="0" w:color="auto"/>
            <w:right w:val="none" w:sz="0" w:space="0" w:color="auto"/>
          </w:divBdr>
        </w:div>
        <w:div w:id="1943340286">
          <w:marLeft w:val="640"/>
          <w:marRight w:val="0"/>
          <w:marTop w:val="0"/>
          <w:marBottom w:val="0"/>
          <w:divBdr>
            <w:top w:val="none" w:sz="0" w:space="0" w:color="auto"/>
            <w:left w:val="none" w:sz="0" w:space="0" w:color="auto"/>
            <w:bottom w:val="none" w:sz="0" w:space="0" w:color="auto"/>
            <w:right w:val="none" w:sz="0" w:space="0" w:color="auto"/>
          </w:divBdr>
        </w:div>
        <w:div w:id="91046813">
          <w:marLeft w:val="640"/>
          <w:marRight w:val="0"/>
          <w:marTop w:val="0"/>
          <w:marBottom w:val="0"/>
          <w:divBdr>
            <w:top w:val="none" w:sz="0" w:space="0" w:color="auto"/>
            <w:left w:val="none" w:sz="0" w:space="0" w:color="auto"/>
            <w:bottom w:val="none" w:sz="0" w:space="0" w:color="auto"/>
            <w:right w:val="none" w:sz="0" w:space="0" w:color="auto"/>
          </w:divBdr>
        </w:div>
        <w:div w:id="726684924">
          <w:marLeft w:val="640"/>
          <w:marRight w:val="0"/>
          <w:marTop w:val="0"/>
          <w:marBottom w:val="0"/>
          <w:divBdr>
            <w:top w:val="none" w:sz="0" w:space="0" w:color="auto"/>
            <w:left w:val="none" w:sz="0" w:space="0" w:color="auto"/>
            <w:bottom w:val="none" w:sz="0" w:space="0" w:color="auto"/>
            <w:right w:val="none" w:sz="0" w:space="0" w:color="auto"/>
          </w:divBdr>
        </w:div>
        <w:div w:id="1473907866">
          <w:marLeft w:val="640"/>
          <w:marRight w:val="0"/>
          <w:marTop w:val="0"/>
          <w:marBottom w:val="0"/>
          <w:divBdr>
            <w:top w:val="none" w:sz="0" w:space="0" w:color="auto"/>
            <w:left w:val="none" w:sz="0" w:space="0" w:color="auto"/>
            <w:bottom w:val="none" w:sz="0" w:space="0" w:color="auto"/>
            <w:right w:val="none" w:sz="0" w:space="0" w:color="auto"/>
          </w:divBdr>
        </w:div>
        <w:div w:id="1557543952">
          <w:marLeft w:val="640"/>
          <w:marRight w:val="0"/>
          <w:marTop w:val="0"/>
          <w:marBottom w:val="0"/>
          <w:divBdr>
            <w:top w:val="none" w:sz="0" w:space="0" w:color="auto"/>
            <w:left w:val="none" w:sz="0" w:space="0" w:color="auto"/>
            <w:bottom w:val="none" w:sz="0" w:space="0" w:color="auto"/>
            <w:right w:val="none" w:sz="0" w:space="0" w:color="auto"/>
          </w:divBdr>
        </w:div>
        <w:div w:id="955020693">
          <w:marLeft w:val="640"/>
          <w:marRight w:val="0"/>
          <w:marTop w:val="0"/>
          <w:marBottom w:val="0"/>
          <w:divBdr>
            <w:top w:val="none" w:sz="0" w:space="0" w:color="auto"/>
            <w:left w:val="none" w:sz="0" w:space="0" w:color="auto"/>
            <w:bottom w:val="none" w:sz="0" w:space="0" w:color="auto"/>
            <w:right w:val="none" w:sz="0" w:space="0" w:color="auto"/>
          </w:divBdr>
        </w:div>
        <w:div w:id="1579710898">
          <w:marLeft w:val="640"/>
          <w:marRight w:val="0"/>
          <w:marTop w:val="0"/>
          <w:marBottom w:val="0"/>
          <w:divBdr>
            <w:top w:val="none" w:sz="0" w:space="0" w:color="auto"/>
            <w:left w:val="none" w:sz="0" w:space="0" w:color="auto"/>
            <w:bottom w:val="none" w:sz="0" w:space="0" w:color="auto"/>
            <w:right w:val="none" w:sz="0" w:space="0" w:color="auto"/>
          </w:divBdr>
        </w:div>
        <w:div w:id="1355493944">
          <w:marLeft w:val="640"/>
          <w:marRight w:val="0"/>
          <w:marTop w:val="0"/>
          <w:marBottom w:val="0"/>
          <w:divBdr>
            <w:top w:val="none" w:sz="0" w:space="0" w:color="auto"/>
            <w:left w:val="none" w:sz="0" w:space="0" w:color="auto"/>
            <w:bottom w:val="none" w:sz="0" w:space="0" w:color="auto"/>
            <w:right w:val="none" w:sz="0" w:space="0" w:color="auto"/>
          </w:divBdr>
        </w:div>
        <w:div w:id="247278479">
          <w:marLeft w:val="640"/>
          <w:marRight w:val="0"/>
          <w:marTop w:val="0"/>
          <w:marBottom w:val="0"/>
          <w:divBdr>
            <w:top w:val="none" w:sz="0" w:space="0" w:color="auto"/>
            <w:left w:val="none" w:sz="0" w:space="0" w:color="auto"/>
            <w:bottom w:val="none" w:sz="0" w:space="0" w:color="auto"/>
            <w:right w:val="none" w:sz="0" w:space="0" w:color="auto"/>
          </w:divBdr>
        </w:div>
        <w:div w:id="1064648635">
          <w:marLeft w:val="640"/>
          <w:marRight w:val="0"/>
          <w:marTop w:val="0"/>
          <w:marBottom w:val="0"/>
          <w:divBdr>
            <w:top w:val="none" w:sz="0" w:space="0" w:color="auto"/>
            <w:left w:val="none" w:sz="0" w:space="0" w:color="auto"/>
            <w:bottom w:val="none" w:sz="0" w:space="0" w:color="auto"/>
            <w:right w:val="none" w:sz="0" w:space="0" w:color="auto"/>
          </w:divBdr>
        </w:div>
        <w:div w:id="1575774935">
          <w:marLeft w:val="640"/>
          <w:marRight w:val="0"/>
          <w:marTop w:val="0"/>
          <w:marBottom w:val="0"/>
          <w:divBdr>
            <w:top w:val="none" w:sz="0" w:space="0" w:color="auto"/>
            <w:left w:val="none" w:sz="0" w:space="0" w:color="auto"/>
            <w:bottom w:val="none" w:sz="0" w:space="0" w:color="auto"/>
            <w:right w:val="none" w:sz="0" w:space="0" w:color="auto"/>
          </w:divBdr>
        </w:div>
        <w:div w:id="377123427">
          <w:marLeft w:val="640"/>
          <w:marRight w:val="0"/>
          <w:marTop w:val="0"/>
          <w:marBottom w:val="0"/>
          <w:divBdr>
            <w:top w:val="none" w:sz="0" w:space="0" w:color="auto"/>
            <w:left w:val="none" w:sz="0" w:space="0" w:color="auto"/>
            <w:bottom w:val="none" w:sz="0" w:space="0" w:color="auto"/>
            <w:right w:val="none" w:sz="0" w:space="0" w:color="auto"/>
          </w:divBdr>
        </w:div>
        <w:div w:id="1290550138">
          <w:marLeft w:val="640"/>
          <w:marRight w:val="0"/>
          <w:marTop w:val="0"/>
          <w:marBottom w:val="0"/>
          <w:divBdr>
            <w:top w:val="none" w:sz="0" w:space="0" w:color="auto"/>
            <w:left w:val="none" w:sz="0" w:space="0" w:color="auto"/>
            <w:bottom w:val="none" w:sz="0" w:space="0" w:color="auto"/>
            <w:right w:val="none" w:sz="0" w:space="0" w:color="auto"/>
          </w:divBdr>
        </w:div>
        <w:div w:id="1004750076">
          <w:marLeft w:val="640"/>
          <w:marRight w:val="0"/>
          <w:marTop w:val="0"/>
          <w:marBottom w:val="0"/>
          <w:divBdr>
            <w:top w:val="none" w:sz="0" w:space="0" w:color="auto"/>
            <w:left w:val="none" w:sz="0" w:space="0" w:color="auto"/>
            <w:bottom w:val="none" w:sz="0" w:space="0" w:color="auto"/>
            <w:right w:val="none" w:sz="0" w:space="0" w:color="auto"/>
          </w:divBdr>
        </w:div>
        <w:div w:id="379522539">
          <w:marLeft w:val="640"/>
          <w:marRight w:val="0"/>
          <w:marTop w:val="0"/>
          <w:marBottom w:val="0"/>
          <w:divBdr>
            <w:top w:val="none" w:sz="0" w:space="0" w:color="auto"/>
            <w:left w:val="none" w:sz="0" w:space="0" w:color="auto"/>
            <w:bottom w:val="none" w:sz="0" w:space="0" w:color="auto"/>
            <w:right w:val="none" w:sz="0" w:space="0" w:color="auto"/>
          </w:divBdr>
        </w:div>
        <w:div w:id="1125200200">
          <w:marLeft w:val="640"/>
          <w:marRight w:val="0"/>
          <w:marTop w:val="0"/>
          <w:marBottom w:val="0"/>
          <w:divBdr>
            <w:top w:val="none" w:sz="0" w:space="0" w:color="auto"/>
            <w:left w:val="none" w:sz="0" w:space="0" w:color="auto"/>
            <w:bottom w:val="none" w:sz="0" w:space="0" w:color="auto"/>
            <w:right w:val="none" w:sz="0" w:space="0" w:color="auto"/>
          </w:divBdr>
        </w:div>
        <w:div w:id="2014144102">
          <w:marLeft w:val="640"/>
          <w:marRight w:val="0"/>
          <w:marTop w:val="0"/>
          <w:marBottom w:val="0"/>
          <w:divBdr>
            <w:top w:val="none" w:sz="0" w:space="0" w:color="auto"/>
            <w:left w:val="none" w:sz="0" w:space="0" w:color="auto"/>
            <w:bottom w:val="none" w:sz="0" w:space="0" w:color="auto"/>
            <w:right w:val="none" w:sz="0" w:space="0" w:color="auto"/>
          </w:divBdr>
        </w:div>
        <w:div w:id="1751542852">
          <w:marLeft w:val="640"/>
          <w:marRight w:val="0"/>
          <w:marTop w:val="0"/>
          <w:marBottom w:val="0"/>
          <w:divBdr>
            <w:top w:val="none" w:sz="0" w:space="0" w:color="auto"/>
            <w:left w:val="none" w:sz="0" w:space="0" w:color="auto"/>
            <w:bottom w:val="none" w:sz="0" w:space="0" w:color="auto"/>
            <w:right w:val="none" w:sz="0" w:space="0" w:color="auto"/>
          </w:divBdr>
        </w:div>
        <w:div w:id="1145273254">
          <w:marLeft w:val="640"/>
          <w:marRight w:val="0"/>
          <w:marTop w:val="0"/>
          <w:marBottom w:val="0"/>
          <w:divBdr>
            <w:top w:val="none" w:sz="0" w:space="0" w:color="auto"/>
            <w:left w:val="none" w:sz="0" w:space="0" w:color="auto"/>
            <w:bottom w:val="none" w:sz="0" w:space="0" w:color="auto"/>
            <w:right w:val="none" w:sz="0" w:space="0" w:color="auto"/>
          </w:divBdr>
        </w:div>
        <w:div w:id="1575356634">
          <w:marLeft w:val="640"/>
          <w:marRight w:val="0"/>
          <w:marTop w:val="0"/>
          <w:marBottom w:val="0"/>
          <w:divBdr>
            <w:top w:val="none" w:sz="0" w:space="0" w:color="auto"/>
            <w:left w:val="none" w:sz="0" w:space="0" w:color="auto"/>
            <w:bottom w:val="none" w:sz="0" w:space="0" w:color="auto"/>
            <w:right w:val="none" w:sz="0" w:space="0" w:color="auto"/>
          </w:divBdr>
        </w:div>
        <w:div w:id="214396883">
          <w:marLeft w:val="640"/>
          <w:marRight w:val="0"/>
          <w:marTop w:val="0"/>
          <w:marBottom w:val="0"/>
          <w:divBdr>
            <w:top w:val="none" w:sz="0" w:space="0" w:color="auto"/>
            <w:left w:val="none" w:sz="0" w:space="0" w:color="auto"/>
            <w:bottom w:val="none" w:sz="0" w:space="0" w:color="auto"/>
            <w:right w:val="none" w:sz="0" w:space="0" w:color="auto"/>
          </w:divBdr>
        </w:div>
        <w:div w:id="716399143">
          <w:marLeft w:val="640"/>
          <w:marRight w:val="0"/>
          <w:marTop w:val="0"/>
          <w:marBottom w:val="0"/>
          <w:divBdr>
            <w:top w:val="none" w:sz="0" w:space="0" w:color="auto"/>
            <w:left w:val="none" w:sz="0" w:space="0" w:color="auto"/>
            <w:bottom w:val="none" w:sz="0" w:space="0" w:color="auto"/>
            <w:right w:val="none" w:sz="0" w:space="0" w:color="auto"/>
          </w:divBdr>
        </w:div>
        <w:div w:id="221985287">
          <w:marLeft w:val="640"/>
          <w:marRight w:val="0"/>
          <w:marTop w:val="0"/>
          <w:marBottom w:val="0"/>
          <w:divBdr>
            <w:top w:val="none" w:sz="0" w:space="0" w:color="auto"/>
            <w:left w:val="none" w:sz="0" w:space="0" w:color="auto"/>
            <w:bottom w:val="none" w:sz="0" w:space="0" w:color="auto"/>
            <w:right w:val="none" w:sz="0" w:space="0" w:color="auto"/>
          </w:divBdr>
        </w:div>
        <w:div w:id="1212887437">
          <w:marLeft w:val="640"/>
          <w:marRight w:val="0"/>
          <w:marTop w:val="0"/>
          <w:marBottom w:val="0"/>
          <w:divBdr>
            <w:top w:val="none" w:sz="0" w:space="0" w:color="auto"/>
            <w:left w:val="none" w:sz="0" w:space="0" w:color="auto"/>
            <w:bottom w:val="none" w:sz="0" w:space="0" w:color="auto"/>
            <w:right w:val="none" w:sz="0" w:space="0" w:color="auto"/>
          </w:divBdr>
        </w:div>
        <w:div w:id="214970559">
          <w:marLeft w:val="640"/>
          <w:marRight w:val="0"/>
          <w:marTop w:val="0"/>
          <w:marBottom w:val="0"/>
          <w:divBdr>
            <w:top w:val="none" w:sz="0" w:space="0" w:color="auto"/>
            <w:left w:val="none" w:sz="0" w:space="0" w:color="auto"/>
            <w:bottom w:val="none" w:sz="0" w:space="0" w:color="auto"/>
            <w:right w:val="none" w:sz="0" w:space="0" w:color="auto"/>
          </w:divBdr>
        </w:div>
        <w:div w:id="692725396">
          <w:marLeft w:val="640"/>
          <w:marRight w:val="0"/>
          <w:marTop w:val="0"/>
          <w:marBottom w:val="0"/>
          <w:divBdr>
            <w:top w:val="none" w:sz="0" w:space="0" w:color="auto"/>
            <w:left w:val="none" w:sz="0" w:space="0" w:color="auto"/>
            <w:bottom w:val="none" w:sz="0" w:space="0" w:color="auto"/>
            <w:right w:val="none" w:sz="0" w:space="0" w:color="auto"/>
          </w:divBdr>
        </w:div>
        <w:div w:id="770777398">
          <w:marLeft w:val="640"/>
          <w:marRight w:val="0"/>
          <w:marTop w:val="0"/>
          <w:marBottom w:val="0"/>
          <w:divBdr>
            <w:top w:val="none" w:sz="0" w:space="0" w:color="auto"/>
            <w:left w:val="none" w:sz="0" w:space="0" w:color="auto"/>
            <w:bottom w:val="none" w:sz="0" w:space="0" w:color="auto"/>
            <w:right w:val="none" w:sz="0" w:space="0" w:color="auto"/>
          </w:divBdr>
        </w:div>
        <w:div w:id="1645887858">
          <w:marLeft w:val="640"/>
          <w:marRight w:val="0"/>
          <w:marTop w:val="0"/>
          <w:marBottom w:val="0"/>
          <w:divBdr>
            <w:top w:val="none" w:sz="0" w:space="0" w:color="auto"/>
            <w:left w:val="none" w:sz="0" w:space="0" w:color="auto"/>
            <w:bottom w:val="none" w:sz="0" w:space="0" w:color="auto"/>
            <w:right w:val="none" w:sz="0" w:space="0" w:color="auto"/>
          </w:divBdr>
        </w:div>
        <w:div w:id="1618563171">
          <w:marLeft w:val="640"/>
          <w:marRight w:val="0"/>
          <w:marTop w:val="0"/>
          <w:marBottom w:val="0"/>
          <w:divBdr>
            <w:top w:val="none" w:sz="0" w:space="0" w:color="auto"/>
            <w:left w:val="none" w:sz="0" w:space="0" w:color="auto"/>
            <w:bottom w:val="none" w:sz="0" w:space="0" w:color="auto"/>
            <w:right w:val="none" w:sz="0" w:space="0" w:color="auto"/>
          </w:divBdr>
        </w:div>
        <w:div w:id="1007976415">
          <w:marLeft w:val="640"/>
          <w:marRight w:val="0"/>
          <w:marTop w:val="0"/>
          <w:marBottom w:val="0"/>
          <w:divBdr>
            <w:top w:val="none" w:sz="0" w:space="0" w:color="auto"/>
            <w:left w:val="none" w:sz="0" w:space="0" w:color="auto"/>
            <w:bottom w:val="none" w:sz="0" w:space="0" w:color="auto"/>
            <w:right w:val="none" w:sz="0" w:space="0" w:color="auto"/>
          </w:divBdr>
        </w:div>
        <w:div w:id="389036858">
          <w:marLeft w:val="640"/>
          <w:marRight w:val="0"/>
          <w:marTop w:val="0"/>
          <w:marBottom w:val="0"/>
          <w:divBdr>
            <w:top w:val="none" w:sz="0" w:space="0" w:color="auto"/>
            <w:left w:val="none" w:sz="0" w:space="0" w:color="auto"/>
            <w:bottom w:val="none" w:sz="0" w:space="0" w:color="auto"/>
            <w:right w:val="none" w:sz="0" w:space="0" w:color="auto"/>
          </w:divBdr>
        </w:div>
        <w:div w:id="291636837">
          <w:marLeft w:val="640"/>
          <w:marRight w:val="0"/>
          <w:marTop w:val="0"/>
          <w:marBottom w:val="0"/>
          <w:divBdr>
            <w:top w:val="none" w:sz="0" w:space="0" w:color="auto"/>
            <w:left w:val="none" w:sz="0" w:space="0" w:color="auto"/>
            <w:bottom w:val="none" w:sz="0" w:space="0" w:color="auto"/>
            <w:right w:val="none" w:sz="0" w:space="0" w:color="auto"/>
          </w:divBdr>
        </w:div>
        <w:div w:id="1572695495">
          <w:marLeft w:val="640"/>
          <w:marRight w:val="0"/>
          <w:marTop w:val="0"/>
          <w:marBottom w:val="0"/>
          <w:divBdr>
            <w:top w:val="none" w:sz="0" w:space="0" w:color="auto"/>
            <w:left w:val="none" w:sz="0" w:space="0" w:color="auto"/>
            <w:bottom w:val="none" w:sz="0" w:space="0" w:color="auto"/>
            <w:right w:val="none" w:sz="0" w:space="0" w:color="auto"/>
          </w:divBdr>
        </w:div>
        <w:div w:id="720909885">
          <w:marLeft w:val="640"/>
          <w:marRight w:val="0"/>
          <w:marTop w:val="0"/>
          <w:marBottom w:val="0"/>
          <w:divBdr>
            <w:top w:val="none" w:sz="0" w:space="0" w:color="auto"/>
            <w:left w:val="none" w:sz="0" w:space="0" w:color="auto"/>
            <w:bottom w:val="none" w:sz="0" w:space="0" w:color="auto"/>
            <w:right w:val="none" w:sz="0" w:space="0" w:color="auto"/>
          </w:divBdr>
        </w:div>
        <w:div w:id="1742218416">
          <w:marLeft w:val="640"/>
          <w:marRight w:val="0"/>
          <w:marTop w:val="0"/>
          <w:marBottom w:val="0"/>
          <w:divBdr>
            <w:top w:val="none" w:sz="0" w:space="0" w:color="auto"/>
            <w:left w:val="none" w:sz="0" w:space="0" w:color="auto"/>
            <w:bottom w:val="none" w:sz="0" w:space="0" w:color="auto"/>
            <w:right w:val="none" w:sz="0" w:space="0" w:color="auto"/>
          </w:divBdr>
        </w:div>
        <w:div w:id="1342053531">
          <w:marLeft w:val="640"/>
          <w:marRight w:val="0"/>
          <w:marTop w:val="0"/>
          <w:marBottom w:val="0"/>
          <w:divBdr>
            <w:top w:val="none" w:sz="0" w:space="0" w:color="auto"/>
            <w:left w:val="none" w:sz="0" w:space="0" w:color="auto"/>
            <w:bottom w:val="none" w:sz="0" w:space="0" w:color="auto"/>
            <w:right w:val="none" w:sz="0" w:space="0" w:color="auto"/>
          </w:divBdr>
        </w:div>
        <w:div w:id="912664393">
          <w:marLeft w:val="640"/>
          <w:marRight w:val="0"/>
          <w:marTop w:val="0"/>
          <w:marBottom w:val="0"/>
          <w:divBdr>
            <w:top w:val="none" w:sz="0" w:space="0" w:color="auto"/>
            <w:left w:val="none" w:sz="0" w:space="0" w:color="auto"/>
            <w:bottom w:val="none" w:sz="0" w:space="0" w:color="auto"/>
            <w:right w:val="none" w:sz="0" w:space="0" w:color="auto"/>
          </w:divBdr>
        </w:div>
        <w:div w:id="1471360962">
          <w:marLeft w:val="640"/>
          <w:marRight w:val="0"/>
          <w:marTop w:val="0"/>
          <w:marBottom w:val="0"/>
          <w:divBdr>
            <w:top w:val="none" w:sz="0" w:space="0" w:color="auto"/>
            <w:left w:val="none" w:sz="0" w:space="0" w:color="auto"/>
            <w:bottom w:val="none" w:sz="0" w:space="0" w:color="auto"/>
            <w:right w:val="none" w:sz="0" w:space="0" w:color="auto"/>
          </w:divBdr>
        </w:div>
        <w:div w:id="984967418">
          <w:marLeft w:val="640"/>
          <w:marRight w:val="0"/>
          <w:marTop w:val="0"/>
          <w:marBottom w:val="0"/>
          <w:divBdr>
            <w:top w:val="none" w:sz="0" w:space="0" w:color="auto"/>
            <w:left w:val="none" w:sz="0" w:space="0" w:color="auto"/>
            <w:bottom w:val="none" w:sz="0" w:space="0" w:color="auto"/>
            <w:right w:val="none" w:sz="0" w:space="0" w:color="auto"/>
          </w:divBdr>
        </w:div>
        <w:div w:id="678822822">
          <w:marLeft w:val="640"/>
          <w:marRight w:val="0"/>
          <w:marTop w:val="0"/>
          <w:marBottom w:val="0"/>
          <w:divBdr>
            <w:top w:val="none" w:sz="0" w:space="0" w:color="auto"/>
            <w:left w:val="none" w:sz="0" w:space="0" w:color="auto"/>
            <w:bottom w:val="none" w:sz="0" w:space="0" w:color="auto"/>
            <w:right w:val="none" w:sz="0" w:space="0" w:color="auto"/>
          </w:divBdr>
        </w:div>
        <w:div w:id="1375620331">
          <w:marLeft w:val="640"/>
          <w:marRight w:val="0"/>
          <w:marTop w:val="0"/>
          <w:marBottom w:val="0"/>
          <w:divBdr>
            <w:top w:val="none" w:sz="0" w:space="0" w:color="auto"/>
            <w:left w:val="none" w:sz="0" w:space="0" w:color="auto"/>
            <w:bottom w:val="none" w:sz="0" w:space="0" w:color="auto"/>
            <w:right w:val="none" w:sz="0" w:space="0" w:color="auto"/>
          </w:divBdr>
        </w:div>
        <w:div w:id="502668628">
          <w:marLeft w:val="640"/>
          <w:marRight w:val="0"/>
          <w:marTop w:val="0"/>
          <w:marBottom w:val="0"/>
          <w:divBdr>
            <w:top w:val="none" w:sz="0" w:space="0" w:color="auto"/>
            <w:left w:val="none" w:sz="0" w:space="0" w:color="auto"/>
            <w:bottom w:val="none" w:sz="0" w:space="0" w:color="auto"/>
            <w:right w:val="none" w:sz="0" w:space="0" w:color="auto"/>
          </w:divBdr>
        </w:div>
        <w:div w:id="1295984045">
          <w:marLeft w:val="640"/>
          <w:marRight w:val="0"/>
          <w:marTop w:val="0"/>
          <w:marBottom w:val="0"/>
          <w:divBdr>
            <w:top w:val="none" w:sz="0" w:space="0" w:color="auto"/>
            <w:left w:val="none" w:sz="0" w:space="0" w:color="auto"/>
            <w:bottom w:val="none" w:sz="0" w:space="0" w:color="auto"/>
            <w:right w:val="none" w:sz="0" w:space="0" w:color="auto"/>
          </w:divBdr>
        </w:div>
        <w:div w:id="900486168">
          <w:marLeft w:val="640"/>
          <w:marRight w:val="0"/>
          <w:marTop w:val="0"/>
          <w:marBottom w:val="0"/>
          <w:divBdr>
            <w:top w:val="none" w:sz="0" w:space="0" w:color="auto"/>
            <w:left w:val="none" w:sz="0" w:space="0" w:color="auto"/>
            <w:bottom w:val="none" w:sz="0" w:space="0" w:color="auto"/>
            <w:right w:val="none" w:sz="0" w:space="0" w:color="auto"/>
          </w:divBdr>
        </w:div>
        <w:div w:id="478886643">
          <w:marLeft w:val="640"/>
          <w:marRight w:val="0"/>
          <w:marTop w:val="0"/>
          <w:marBottom w:val="0"/>
          <w:divBdr>
            <w:top w:val="none" w:sz="0" w:space="0" w:color="auto"/>
            <w:left w:val="none" w:sz="0" w:space="0" w:color="auto"/>
            <w:bottom w:val="none" w:sz="0" w:space="0" w:color="auto"/>
            <w:right w:val="none" w:sz="0" w:space="0" w:color="auto"/>
          </w:divBdr>
        </w:div>
        <w:div w:id="1895582594">
          <w:marLeft w:val="640"/>
          <w:marRight w:val="0"/>
          <w:marTop w:val="0"/>
          <w:marBottom w:val="0"/>
          <w:divBdr>
            <w:top w:val="none" w:sz="0" w:space="0" w:color="auto"/>
            <w:left w:val="none" w:sz="0" w:space="0" w:color="auto"/>
            <w:bottom w:val="none" w:sz="0" w:space="0" w:color="auto"/>
            <w:right w:val="none" w:sz="0" w:space="0" w:color="auto"/>
          </w:divBdr>
        </w:div>
        <w:div w:id="1101878264">
          <w:marLeft w:val="640"/>
          <w:marRight w:val="0"/>
          <w:marTop w:val="0"/>
          <w:marBottom w:val="0"/>
          <w:divBdr>
            <w:top w:val="none" w:sz="0" w:space="0" w:color="auto"/>
            <w:left w:val="none" w:sz="0" w:space="0" w:color="auto"/>
            <w:bottom w:val="none" w:sz="0" w:space="0" w:color="auto"/>
            <w:right w:val="none" w:sz="0" w:space="0" w:color="auto"/>
          </w:divBdr>
        </w:div>
        <w:div w:id="429854135">
          <w:marLeft w:val="640"/>
          <w:marRight w:val="0"/>
          <w:marTop w:val="0"/>
          <w:marBottom w:val="0"/>
          <w:divBdr>
            <w:top w:val="none" w:sz="0" w:space="0" w:color="auto"/>
            <w:left w:val="none" w:sz="0" w:space="0" w:color="auto"/>
            <w:bottom w:val="none" w:sz="0" w:space="0" w:color="auto"/>
            <w:right w:val="none" w:sz="0" w:space="0" w:color="auto"/>
          </w:divBdr>
        </w:div>
        <w:div w:id="223102291">
          <w:marLeft w:val="640"/>
          <w:marRight w:val="0"/>
          <w:marTop w:val="0"/>
          <w:marBottom w:val="0"/>
          <w:divBdr>
            <w:top w:val="none" w:sz="0" w:space="0" w:color="auto"/>
            <w:left w:val="none" w:sz="0" w:space="0" w:color="auto"/>
            <w:bottom w:val="none" w:sz="0" w:space="0" w:color="auto"/>
            <w:right w:val="none" w:sz="0" w:space="0" w:color="auto"/>
          </w:divBdr>
        </w:div>
        <w:div w:id="649136624">
          <w:marLeft w:val="640"/>
          <w:marRight w:val="0"/>
          <w:marTop w:val="0"/>
          <w:marBottom w:val="0"/>
          <w:divBdr>
            <w:top w:val="none" w:sz="0" w:space="0" w:color="auto"/>
            <w:left w:val="none" w:sz="0" w:space="0" w:color="auto"/>
            <w:bottom w:val="none" w:sz="0" w:space="0" w:color="auto"/>
            <w:right w:val="none" w:sz="0" w:space="0" w:color="auto"/>
          </w:divBdr>
        </w:div>
        <w:div w:id="201207441">
          <w:marLeft w:val="640"/>
          <w:marRight w:val="0"/>
          <w:marTop w:val="0"/>
          <w:marBottom w:val="0"/>
          <w:divBdr>
            <w:top w:val="none" w:sz="0" w:space="0" w:color="auto"/>
            <w:left w:val="none" w:sz="0" w:space="0" w:color="auto"/>
            <w:bottom w:val="none" w:sz="0" w:space="0" w:color="auto"/>
            <w:right w:val="none" w:sz="0" w:space="0" w:color="auto"/>
          </w:divBdr>
        </w:div>
        <w:div w:id="150801311">
          <w:marLeft w:val="640"/>
          <w:marRight w:val="0"/>
          <w:marTop w:val="0"/>
          <w:marBottom w:val="0"/>
          <w:divBdr>
            <w:top w:val="none" w:sz="0" w:space="0" w:color="auto"/>
            <w:left w:val="none" w:sz="0" w:space="0" w:color="auto"/>
            <w:bottom w:val="none" w:sz="0" w:space="0" w:color="auto"/>
            <w:right w:val="none" w:sz="0" w:space="0" w:color="auto"/>
          </w:divBdr>
        </w:div>
        <w:div w:id="953630931">
          <w:marLeft w:val="640"/>
          <w:marRight w:val="0"/>
          <w:marTop w:val="0"/>
          <w:marBottom w:val="0"/>
          <w:divBdr>
            <w:top w:val="none" w:sz="0" w:space="0" w:color="auto"/>
            <w:left w:val="none" w:sz="0" w:space="0" w:color="auto"/>
            <w:bottom w:val="none" w:sz="0" w:space="0" w:color="auto"/>
            <w:right w:val="none" w:sz="0" w:space="0" w:color="auto"/>
          </w:divBdr>
        </w:div>
        <w:div w:id="1561088401">
          <w:marLeft w:val="640"/>
          <w:marRight w:val="0"/>
          <w:marTop w:val="0"/>
          <w:marBottom w:val="0"/>
          <w:divBdr>
            <w:top w:val="none" w:sz="0" w:space="0" w:color="auto"/>
            <w:left w:val="none" w:sz="0" w:space="0" w:color="auto"/>
            <w:bottom w:val="none" w:sz="0" w:space="0" w:color="auto"/>
            <w:right w:val="none" w:sz="0" w:space="0" w:color="auto"/>
          </w:divBdr>
        </w:div>
        <w:div w:id="1514758711">
          <w:marLeft w:val="640"/>
          <w:marRight w:val="0"/>
          <w:marTop w:val="0"/>
          <w:marBottom w:val="0"/>
          <w:divBdr>
            <w:top w:val="none" w:sz="0" w:space="0" w:color="auto"/>
            <w:left w:val="none" w:sz="0" w:space="0" w:color="auto"/>
            <w:bottom w:val="none" w:sz="0" w:space="0" w:color="auto"/>
            <w:right w:val="none" w:sz="0" w:space="0" w:color="auto"/>
          </w:divBdr>
        </w:div>
        <w:div w:id="1149787009">
          <w:marLeft w:val="640"/>
          <w:marRight w:val="0"/>
          <w:marTop w:val="0"/>
          <w:marBottom w:val="0"/>
          <w:divBdr>
            <w:top w:val="none" w:sz="0" w:space="0" w:color="auto"/>
            <w:left w:val="none" w:sz="0" w:space="0" w:color="auto"/>
            <w:bottom w:val="none" w:sz="0" w:space="0" w:color="auto"/>
            <w:right w:val="none" w:sz="0" w:space="0" w:color="auto"/>
          </w:divBdr>
        </w:div>
        <w:div w:id="1122455436">
          <w:marLeft w:val="640"/>
          <w:marRight w:val="0"/>
          <w:marTop w:val="0"/>
          <w:marBottom w:val="0"/>
          <w:divBdr>
            <w:top w:val="none" w:sz="0" w:space="0" w:color="auto"/>
            <w:left w:val="none" w:sz="0" w:space="0" w:color="auto"/>
            <w:bottom w:val="none" w:sz="0" w:space="0" w:color="auto"/>
            <w:right w:val="none" w:sz="0" w:space="0" w:color="auto"/>
          </w:divBdr>
        </w:div>
        <w:div w:id="449670695">
          <w:marLeft w:val="640"/>
          <w:marRight w:val="0"/>
          <w:marTop w:val="0"/>
          <w:marBottom w:val="0"/>
          <w:divBdr>
            <w:top w:val="none" w:sz="0" w:space="0" w:color="auto"/>
            <w:left w:val="none" w:sz="0" w:space="0" w:color="auto"/>
            <w:bottom w:val="none" w:sz="0" w:space="0" w:color="auto"/>
            <w:right w:val="none" w:sz="0" w:space="0" w:color="auto"/>
          </w:divBdr>
        </w:div>
        <w:div w:id="872883149">
          <w:marLeft w:val="640"/>
          <w:marRight w:val="0"/>
          <w:marTop w:val="0"/>
          <w:marBottom w:val="0"/>
          <w:divBdr>
            <w:top w:val="none" w:sz="0" w:space="0" w:color="auto"/>
            <w:left w:val="none" w:sz="0" w:space="0" w:color="auto"/>
            <w:bottom w:val="none" w:sz="0" w:space="0" w:color="auto"/>
            <w:right w:val="none" w:sz="0" w:space="0" w:color="auto"/>
          </w:divBdr>
        </w:div>
        <w:div w:id="748842619">
          <w:marLeft w:val="640"/>
          <w:marRight w:val="0"/>
          <w:marTop w:val="0"/>
          <w:marBottom w:val="0"/>
          <w:divBdr>
            <w:top w:val="none" w:sz="0" w:space="0" w:color="auto"/>
            <w:left w:val="none" w:sz="0" w:space="0" w:color="auto"/>
            <w:bottom w:val="none" w:sz="0" w:space="0" w:color="auto"/>
            <w:right w:val="none" w:sz="0" w:space="0" w:color="auto"/>
          </w:divBdr>
        </w:div>
        <w:div w:id="105007385">
          <w:marLeft w:val="640"/>
          <w:marRight w:val="0"/>
          <w:marTop w:val="0"/>
          <w:marBottom w:val="0"/>
          <w:divBdr>
            <w:top w:val="none" w:sz="0" w:space="0" w:color="auto"/>
            <w:left w:val="none" w:sz="0" w:space="0" w:color="auto"/>
            <w:bottom w:val="none" w:sz="0" w:space="0" w:color="auto"/>
            <w:right w:val="none" w:sz="0" w:space="0" w:color="auto"/>
          </w:divBdr>
        </w:div>
        <w:div w:id="670334448">
          <w:marLeft w:val="640"/>
          <w:marRight w:val="0"/>
          <w:marTop w:val="0"/>
          <w:marBottom w:val="0"/>
          <w:divBdr>
            <w:top w:val="none" w:sz="0" w:space="0" w:color="auto"/>
            <w:left w:val="none" w:sz="0" w:space="0" w:color="auto"/>
            <w:bottom w:val="none" w:sz="0" w:space="0" w:color="auto"/>
            <w:right w:val="none" w:sz="0" w:space="0" w:color="auto"/>
          </w:divBdr>
        </w:div>
        <w:div w:id="1110397613">
          <w:marLeft w:val="640"/>
          <w:marRight w:val="0"/>
          <w:marTop w:val="0"/>
          <w:marBottom w:val="0"/>
          <w:divBdr>
            <w:top w:val="none" w:sz="0" w:space="0" w:color="auto"/>
            <w:left w:val="none" w:sz="0" w:space="0" w:color="auto"/>
            <w:bottom w:val="none" w:sz="0" w:space="0" w:color="auto"/>
            <w:right w:val="none" w:sz="0" w:space="0" w:color="auto"/>
          </w:divBdr>
        </w:div>
        <w:div w:id="128909770">
          <w:marLeft w:val="640"/>
          <w:marRight w:val="0"/>
          <w:marTop w:val="0"/>
          <w:marBottom w:val="0"/>
          <w:divBdr>
            <w:top w:val="none" w:sz="0" w:space="0" w:color="auto"/>
            <w:left w:val="none" w:sz="0" w:space="0" w:color="auto"/>
            <w:bottom w:val="none" w:sz="0" w:space="0" w:color="auto"/>
            <w:right w:val="none" w:sz="0" w:space="0" w:color="auto"/>
          </w:divBdr>
        </w:div>
        <w:div w:id="310137582">
          <w:marLeft w:val="640"/>
          <w:marRight w:val="0"/>
          <w:marTop w:val="0"/>
          <w:marBottom w:val="0"/>
          <w:divBdr>
            <w:top w:val="none" w:sz="0" w:space="0" w:color="auto"/>
            <w:left w:val="none" w:sz="0" w:space="0" w:color="auto"/>
            <w:bottom w:val="none" w:sz="0" w:space="0" w:color="auto"/>
            <w:right w:val="none" w:sz="0" w:space="0" w:color="auto"/>
          </w:divBdr>
        </w:div>
        <w:div w:id="1585411796">
          <w:marLeft w:val="640"/>
          <w:marRight w:val="0"/>
          <w:marTop w:val="0"/>
          <w:marBottom w:val="0"/>
          <w:divBdr>
            <w:top w:val="none" w:sz="0" w:space="0" w:color="auto"/>
            <w:left w:val="none" w:sz="0" w:space="0" w:color="auto"/>
            <w:bottom w:val="none" w:sz="0" w:space="0" w:color="auto"/>
            <w:right w:val="none" w:sz="0" w:space="0" w:color="auto"/>
          </w:divBdr>
        </w:div>
        <w:div w:id="1506239415">
          <w:marLeft w:val="640"/>
          <w:marRight w:val="0"/>
          <w:marTop w:val="0"/>
          <w:marBottom w:val="0"/>
          <w:divBdr>
            <w:top w:val="none" w:sz="0" w:space="0" w:color="auto"/>
            <w:left w:val="none" w:sz="0" w:space="0" w:color="auto"/>
            <w:bottom w:val="none" w:sz="0" w:space="0" w:color="auto"/>
            <w:right w:val="none" w:sz="0" w:space="0" w:color="auto"/>
          </w:divBdr>
        </w:div>
        <w:div w:id="395857060">
          <w:marLeft w:val="640"/>
          <w:marRight w:val="0"/>
          <w:marTop w:val="0"/>
          <w:marBottom w:val="0"/>
          <w:divBdr>
            <w:top w:val="none" w:sz="0" w:space="0" w:color="auto"/>
            <w:left w:val="none" w:sz="0" w:space="0" w:color="auto"/>
            <w:bottom w:val="none" w:sz="0" w:space="0" w:color="auto"/>
            <w:right w:val="none" w:sz="0" w:space="0" w:color="auto"/>
          </w:divBdr>
        </w:div>
        <w:div w:id="607661860">
          <w:marLeft w:val="640"/>
          <w:marRight w:val="0"/>
          <w:marTop w:val="0"/>
          <w:marBottom w:val="0"/>
          <w:divBdr>
            <w:top w:val="none" w:sz="0" w:space="0" w:color="auto"/>
            <w:left w:val="none" w:sz="0" w:space="0" w:color="auto"/>
            <w:bottom w:val="none" w:sz="0" w:space="0" w:color="auto"/>
            <w:right w:val="none" w:sz="0" w:space="0" w:color="auto"/>
          </w:divBdr>
        </w:div>
        <w:div w:id="670449993">
          <w:marLeft w:val="640"/>
          <w:marRight w:val="0"/>
          <w:marTop w:val="0"/>
          <w:marBottom w:val="0"/>
          <w:divBdr>
            <w:top w:val="none" w:sz="0" w:space="0" w:color="auto"/>
            <w:left w:val="none" w:sz="0" w:space="0" w:color="auto"/>
            <w:bottom w:val="none" w:sz="0" w:space="0" w:color="auto"/>
            <w:right w:val="none" w:sz="0" w:space="0" w:color="auto"/>
          </w:divBdr>
        </w:div>
        <w:div w:id="1696732611">
          <w:marLeft w:val="640"/>
          <w:marRight w:val="0"/>
          <w:marTop w:val="0"/>
          <w:marBottom w:val="0"/>
          <w:divBdr>
            <w:top w:val="none" w:sz="0" w:space="0" w:color="auto"/>
            <w:left w:val="none" w:sz="0" w:space="0" w:color="auto"/>
            <w:bottom w:val="none" w:sz="0" w:space="0" w:color="auto"/>
            <w:right w:val="none" w:sz="0" w:space="0" w:color="auto"/>
          </w:divBdr>
        </w:div>
        <w:div w:id="244339178">
          <w:marLeft w:val="640"/>
          <w:marRight w:val="0"/>
          <w:marTop w:val="0"/>
          <w:marBottom w:val="0"/>
          <w:divBdr>
            <w:top w:val="none" w:sz="0" w:space="0" w:color="auto"/>
            <w:left w:val="none" w:sz="0" w:space="0" w:color="auto"/>
            <w:bottom w:val="none" w:sz="0" w:space="0" w:color="auto"/>
            <w:right w:val="none" w:sz="0" w:space="0" w:color="auto"/>
          </w:divBdr>
        </w:div>
        <w:div w:id="578487665">
          <w:marLeft w:val="640"/>
          <w:marRight w:val="0"/>
          <w:marTop w:val="0"/>
          <w:marBottom w:val="0"/>
          <w:divBdr>
            <w:top w:val="none" w:sz="0" w:space="0" w:color="auto"/>
            <w:left w:val="none" w:sz="0" w:space="0" w:color="auto"/>
            <w:bottom w:val="none" w:sz="0" w:space="0" w:color="auto"/>
            <w:right w:val="none" w:sz="0" w:space="0" w:color="auto"/>
          </w:divBdr>
        </w:div>
        <w:div w:id="611209630">
          <w:marLeft w:val="640"/>
          <w:marRight w:val="0"/>
          <w:marTop w:val="0"/>
          <w:marBottom w:val="0"/>
          <w:divBdr>
            <w:top w:val="none" w:sz="0" w:space="0" w:color="auto"/>
            <w:left w:val="none" w:sz="0" w:space="0" w:color="auto"/>
            <w:bottom w:val="none" w:sz="0" w:space="0" w:color="auto"/>
            <w:right w:val="none" w:sz="0" w:space="0" w:color="auto"/>
          </w:divBdr>
        </w:div>
        <w:div w:id="775101346">
          <w:marLeft w:val="640"/>
          <w:marRight w:val="0"/>
          <w:marTop w:val="0"/>
          <w:marBottom w:val="0"/>
          <w:divBdr>
            <w:top w:val="none" w:sz="0" w:space="0" w:color="auto"/>
            <w:left w:val="none" w:sz="0" w:space="0" w:color="auto"/>
            <w:bottom w:val="none" w:sz="0" w:space="0" w:color="auto"/>
            <w:right w:val="none" w:sz="0" w:space="0" w:color="auto"/>
          </w:divBdr>
        </w:div>
        <w:div w:id="244338176">
          <w:marLeft w:val="640"/>
          <w:marRight w:val="0"/>
          <w:marTop w:val="0"/>
          <w:marBottom w:val="0"/>
          <w:divBdr>
            <w:top w:val="none" w:sz="0" w:space="0" w:color="auto"/>
            <w:left w:val="none" w:sz="0" w:space="0" w:color="auto"/>
            <w:bottom w:val="none" w:sz="0" w:space="0" w:color="auto"/>
            <w:right w:val="none" w:sz="0" w:space="0" w:color="auto"/>
          </w:divBdr>
        </w:div>
        <w:div w:id="443960382">
          <w:marLeft w:val="640"/>
          <w:marRight w:val="0"/>
          <w:marTop w:val="0"/>
          <w:marBottom w:val="0"/>
          <w:divBdr>
            <w:top w:val="none" w:sz="0" w:space="0" w:color="auto"/>
            <w:left w:val="none" w:sz="0" w:space="0" w:color="auto"/>
            <w:bottom w:val="none" w:sz="0" w:space="0" w:color="auto"/>
            <w:right w:val="none" w:sz="0" w:space="0" w:color="auto"/>
          </w:divBdr>
        </w:div>
        <w:div w:id="912079279">
          <w:marLeft w:val="640"/>
          <w:marRight w:val="0"/>
          <w:marTop w:val="0"/>
          <w:marBottom w:val="0"/>
          <w:divBdr>
            <w:top w:val="none" w:sz="0" w:space="0" w:color="auto"/>
            <w:left w:val="none" w:sz="0" w:space="0" w:color="auto"/>
            <w:bottom w:val="none" w:sz="0" w:space="0" w:color="auto"/>
            <w:right w:val="none" w:sz="0" w:space="0" w:color="auto"/>
          </w:divBdr>
        </w:div>
        <w:div w:id="876551490">
          <w:marLeft w:val="640"/>
          <w:marRight w:val="0"/>
          <w:marTop w:val="0"/>
          <w:marBottom w:val="0"/>
          <w:divBdr>
            <w:top w:val="none" w:sz="0" w:space="0" w:color="auto"/>
            <w:left w:val="none" w:sz="0" w:space="0" w:color="auto"/>
            <w:bottom w:val="none" w:sz="0" w:space="0" w:color="auto"/>
            <w:right w:val="none" w:sz="0" w:space="0" w:color="auto"/>
          </w:divBdr>
        </w:div>
        <w:div w:id="1377969599">
          <w:marLeft w:val="640"/>
          <w:marRight w:val="0"/>
          <w:marTop w:val="0"/>
          <w:marBottom w:val="0"/>
          <w:divBdr>
            <w:top w:val="none" w:sz="0" w:space="0" w:color="auto"/>
            <w:left w:val="none" w:sz="0" w:space="0" w:color="auto"/>
            <w:bottom w:val="none" w:sz="0" w:space="0" w:color="auto"/>
            <w:right w:val="none" w:sz="0" w:space="0" w:color="auto"/>
          </w:divBdr>
        </w:div>
        <w:div w:id="884482727">
          <w:marLeft w:val="640"/>
          <w:marRight w:val="0"/>
          <w:marTop w:val="0"/>
          <w:marBottom w:val="0"/>
          <w:divBdr>
            <w:top w:val="none" w:sz="0" w:space="0" w:color="auto"/>
            <w:left w:val="none" w:sz="0" w:space="0" w:color="auto"/>
            <w:bottom w:val="none" w:sz="0" w:space="0" w:color="auto"/>
            <w:right w:val="none" w:sz="0" w:space="0" w:color="auto"/>
          </w:divBdr>
        </w:div>
        <w:div w:id="1918438741">
          <w:marLeft w:val="640"/>
          <w:marRight w:val="0"/>
          <w:marTop w:val="0"/>
          <w:marBottom w:val="0"/>
          <w:divBdr>
            <w:top w:val="none" w:sz="0" w:space="0" w:color="auto"/>
            <w:left w:val="none" w:sz="0" w:space="0" w:color="auto"/>
            <w:bottom w:val="none" w:sz="0" w:space="0" w:color="auto"/>
            <w:right w:val="none" w:sz="0" w:space="0" w:color="auto"/>
          </w:divBdr>
        </w:div>
        <w:div w:id="339282727">
          <w:marLeft w:val="640"/>
          <w:marRight w:val="0"/>
          <w:marTop w:val="0"/>
          <w:marBottom w:val="0"/>
          <w:divBdr>
            <w:top w:val="none" w:sz="0" w:space="0" w:color="auto"/>
            <w:left w:val="none" w:sz="0" w:space="0" w:color="auto"/>
            <w:bottom w:val="none" w:sz="0" w:space="0" w:color="auto"/>
            <w:right w:val="none" w:sz="0" w:space="0" w:color="auto"/>
          </w:divBdr>
        </w:div>
        <w:div w:id="2119641825">
          <w:marLeft w:val="640"/>
          <w:marRight w:val="0"/>
          <w:marTop w:val="0"/>
          <w:marBottom w:val="0"/>
          <w:divBdr>
            <w:top w:val="none" w:sz="0" w:space="0" w:color="auto"/>
            <w:left w:val="none" w:sz="0" w:space="0" w:color="auto"/>
            <w:bottom w:val="none" w:sz="0" w:space="0" w:color="auto"/>
            <w:right w:val="none" w:sz="0" w:space="0" w:color="auto"/>
          </w:divBdr>
        </w:div>
        <w:div w:id="1570072695">
          <w:marLeft w:val="640"/>
          <w:marRight w:val="0"/>
          <w:marTop w:val="0"/>
          <w:marBottom w:val="0"/>
          <w:divBdr>
            <w:top w:val="none" w:sz="0" w:space="0" w:color="auto"/>
            <w:left w:val="none" w:sz="0" w:space="0" w:color="auto"/>
            <w:bottom w:val="none" w:sz="0" w:space="0" w:color="auto"/>
            <w:right w:val="none" w:sz="0" w:space="0" w:color="auto"/>
          </w:divBdr>
        </w:div>
        <w:div w:id="1065445390">
          <w:marLeft w:val="640"/>
          <w:marRight w:val="0"/>
          <w:marTop w:val="0"/>
          <w:marBottom w:val="0"/>
          <w:divBdr>
            <w:top w:val="none" w:sz="0" w:space="0" w:color="auto"/>
            <w:left w:val="none" w:sz="0" w:space="0" w:color="auto"/>
            <w:bottom w:val="none" w:sz="0" w:space="0" w:color="auto"/>
            <w:right w:val="none" w:sz="0" w:space="0" w:color="auto"/>
          </w:divBdr>
        </w:div>
        <w:div w:id="874931088">
          <w:marLeft w:val="640"/>
          <w:marRight w:val="0"/>
          <w:marTop w:val="0"/>
          <w:marBottom w:val="0"/>
          <w:divBdr>
            <w:top w:val="none" w:sz="0" w:space="0" w:color="auto"/>
            <w:left w:val="none" w:sz="0" w:space="0" w:color="auto"/>
            <w:bottom w:val="none" w:sz="0" w:space="0" w:color="auto"/>
            <w:right w:val="none" w:sz="0" w:space="0" w:color="auto"/>
          </w:divBdr>
        </w:div>
        <w:div w:id="1105005644">
          <w:marLeft w:val="640"/>
          <w:marRight w:val="0"/>
          <w:marTop w:val="0"/>
          <w:marBottom w:val="0"/>
          <w:divBdr>
            <w:top w:val="none" w:sz="0" w:space="0" w:color="auto"/>
            <w:left w:val="none" w:sz="0" w:space="0" w:color="auto"/>
            <w:bottom w:val="none" w:sz="0" w:space="0" w:color="auto"/>
            <w:right w:val="none" w:sz="0" w:space="0" w:color="auto"/>
          </w:divBdr>
        </w:div>
      </w:divsChild>
    </w:div>
    <w:div w:id="196239267">
      <w:bodyDiv w:val="1"/>
      <w:marLeft w:val="0"/>
      <w:marRight w:val="0"/>
      <w:marTop w:val="0"/>
      <w:marBottom w:val="0"/>
      <w:divBdr>
        <w:top w:val="none" w:sz="0" w:space="0" w:color="auto"/>
        <w:left w:val="none" w:sz="0" w:space="0" w:color="auto"/>
        <w:bottom w:val="none" w:sz="0" w:space="0" w:color="auto"/>
        <w:right w:val="none" w:sz="0" w:space="0" w:color="auto"/>
      </w:divBdr>
      <w:divsChild>
        <w:div w:id="554661327">
          <w:marLeft w:val="640"/>
          <w:marRight w:val="0"/>
          <w:marTop w:val="0"/>
          <w:marBottom w:val="0"/>
          <w:divBdr>
            <w:top w:val="none" w:sz="0" w:space="0" w:color="auto"/>
            <w:left w:val="none" w:sz="0" w:space="0" w:color="auto"/>
            <w:bottom w:val="none" w:sz="0" w:space="0" w:color="auto"/>
            <w:right w:val="none" w:sz="0" w:space="0" w:color="auto"/>
          </w:divBdr>
        </w:div>
        <w:div w:id="610363404">
          <w:marLeft w:val="640"/>
          <w:marRight w:val="0"/>
          <w:marTop w:val="0"/>
          <w:marBottom w:val="0"/>
          <w:divBdr>
            <w:top w:val="none" w:sz="0" w:space="0" w:color="auto"/>
            <w:left w:val="none" w:sz="0" w:space="0" w:color="auto"/>
            <w:bottom w:val="none" w:sz="0" w:space="0" w:color="auto"/>
            <w:right w:val="none" w:sz="0" w:space="0" w:color="auto"/>
          </w:divBdr>
        </w:div>
        <w:div w:id="2086149569">
          <w:marLeft w:val="640"/>
          <w:marRight w:val="0"/>
          <w:marTop w:val="0"/>
          <w:marBottom w:val="0"/>
          <w:divBdr>
            <w:top w:val="none" w:sz="0" w:space="0" w:color="auto"/>
            <w:left w:val="none" w:sz="0" w:space="0" w:color="auto"/>
            <w:bottom w:val="none" w:sz="0" w:space="0" w:color="auto"/>
            <w:right w:val="none" w:sz="0" w:space="0" w:color="auto"/>
          </w:divBdr>
        </w:div>
        <w:div w:id="675301066">
          <w:marLeft w:val="640"/>
          <w:marRight w:val="0"/>
          <w:marTop w:val="0"/>
          <w:marBottom w:val="0"/>
          <w:divBdr>
            <w:top w:val="none" w:sz="0" w:space="0" w:color="auto"/>
            <w:left w:val="none" w:sz="0" w:space="0" w:color="auto"/>
            <w:bottom w:val="none" w:sz="0" w:space="0" w:color="auto"/>
            <w:right w:val="none" w:sz="0" w:space="0" w:color="auto"/>
          </w:divBdr>
        </w:div>
        <w:div w:id="1788234942">
          <w:marLeft w:val="640"/>
          <w:marRight w:val="0"/>
          <w:marTop w:val="0"/>
          <w:marBottom w:val="0"/>
          <w:divBdr>
            <w:top w:val="none" w:sz="0" w:space="0" w:color="auto"/>
            <w:left w:val="none" w:sz="0" w:space="0" w:color="auto"/>
            <w:bottom w:val="none" w:sz="0" w:space="0" w:color="auto"/>
            <w:right w:val="none" w:sz="0" w:space="0" w:color="auto"/>
          </w:divBdr>
        </w:div>
        <w:div w:id="372772406">
          <w:marLeft w:val="640"/>
          <w:marRight w:val="0"/>
          <w:marTop w:val="0"/>
          <w:marBottom w:val="0"/>
          <w:divBdr>
            <w:top w:val="none" w:sz="0" w:space="0" w:color="auto"/>
            <w:left w:val="none" w:sz="0" w:space="0" w:color="auto"/>
            <w:bottom w:val="none" w:sz="0" w:space="0" w:color="auto"/>
            <w:right w:val="none" w:sz="0" w:space="0" w:color="auto"/>
          </w:divBdr>
        </w:div>
        <w:div w:id="1819180287">
          <w:marLeft w:val="640"/>
          <w:marRight w:val="0"/>
          <w:marTop w:val="0"/>
          <w:marBottom w:val="0"/>
          <w:divBdr>
            <w:top w:val="none" w:sz="0" w:space="0" w:color="auto"/>
            <w:left w:val="none" w:sz="0" w:space="0" w:color="auto"/>
            <w:bottom w:val="none" w:sz="0" w:space="0" w:color="auto"/>
            <w:right w:val="none" w:sz="0" w:space="0" w:color="auto"/>
          </w:divBdr>
        </w:div>
        <w:div w:id="255478446">
          <w:marLeft w:val="640"/>
          <w:marRight w:val="0"/>
          <w:marTop w:val="0"/>
          <w:marBottom w:val="0"/>
          <w:divBdr>
            <w:top w:val="none" w:sz="0" w:space="0" w:color="auto"/>
            <w:left w:val="none" w:sz="0" w:space="0" w:color="auto"/>
            <w:bottom w:val="none" w:sz="0" w:space="0" w:color="auto"/>
            <w:right w:val="none" w:sz="0" w:space="0" w:color="auto"/>
          </w:divBdr>
        </w:div>
        <w:div w:id="956789725">
          <w:marLeft w:val="640"/>
          <w:marRight w:val="0"/>
          <w:marTop w:val="0"/>
          <w:marBottom w:val="0"/>
          <w:divBdr>
            <w:top w:val="none" w:sz="0" w:space="0" w:color="auto"/>
            <w:left w:val="none" w:sz="0" w:space="0" w:color="auto"/>
            <w:bottom w:val="none" w:sz="0" w:space="0" w:color="auto"/>
            <w:right w:val="none" w:sz="0" w:space="0" w:color="auto"/>
          </w:divBdr>
        </w:div>
        <w:div w:id="959991877">
          <w:marLeft w:val="640"/>
          <w:marRight w:val="0"/>
          <w:marTop w:val="0"/>
          <w:marBottom w:val="0"/>
          <w:divBdr>
            <w:top w:val="none" w:sz="0" w:space="0" w:color="auto"/>
            <w:left w:val="none" w:sz="0" w:space="0" w:color="auto"/>
            <w:bottom w:val="none" w:sz="0" w:space="0" w:color="auto"/>
            <w:right w:val="none" w:sz="0" w:space="0" w:color="auto"/>
          </w:divBdr>
        </w:div>
        <w:div w:id="982003942">
          <w:marLeft w:val="640"/>
          <w:marRight w:val="0"/>
          <w:marTop w:val="0"/>
          <w:marBottom w:val="0"/>
          <w:divBdr>
            <w:top w:val="none" w:sz="0" w:space="0" w:color="auto"/>
            <w:left w:val="none" w:sz="0" w:space="0" w:color="auto"/>
            <w:bottom w:val="none" w:sz="0" w:space="0" w:color="auto"/>
            <w:right w:val="none" w:sz="0" w:space="0" w:color="auto"/>
          </w:divBdr>
        </w:div>
        <w:div w:id="918179133">
          <w:marLeft w:val="640"/>
          <w:marRight w:val="0"/>
          <w:marTop w:val="0"/>
          <w:marBottom w:val="0"/>
          <w:divBdr>
            <w:top w:val="none" w:sz="0" w:space="0" w:color="auto"/>
            <w:left w:val="none" w:sz="0" w:space="0" w:color="auto"/>
            <w:bottom w:val="none" w:sz="0" w:space="0" w:color="auto"/>
            <w:right w:val="none" w:sz="0" w:space="0" w:color="auto"/>
          </w:divBdr>
        </w:div>
        <w:div w:id="853882078">
          <w:marLeft w:val="640"/>
          <w:marRight w:val="0"/>
          <w:marTop w:val="0"/>
          <w:marBottom w:val="0"/>
          <w:divBdr>
            <w:top w:val="none" w:sz="0" w:space="0" w:color="auto"/>
            <w:left w:val="none" w:sz="0" w:space="0" w:color="auto"/>
            <w:bottom w:val="none" w:sz="0" w:space="0" w:color="auto"/>
            <w:right w:val="none" w:sz="0" w:space="0" w:color="auto"/>
          </w:divBdr>
        </w:div>
        <w:div w:id="500050370">
          <w:marLeft w:val="640"/>
          <w:marRight w:val="0"/>
          <w:marTop w:val="0"/>
          <w:marBottom w:val="0"/>
          <w:divBdr>
            <w:top w:val="none" w:sz="0" w:space="0" w:color="auto"/>
            <w:left w:val="none" w:sz="0" w:space="0" w:color="auto"/>
            <w:bottom w:val="none" w:sz="0" w:space="0" w:color="auto"/>
            <w:right w:val="none" w:sz="0" w:space="0" w:color="auto"/>
          </w:divBdr>
        </w:div>
        <w:div w:id="353113000">
          <w:marLeft w:val="640"/>
          <w:marRight w:val="0"/>
          <w:marTop w:val="0"/>
          <w:marBottom w:val="0"/>
          <w:divBdr>
            <w:top w:val="none" w:sz="0" w:space="0" w:color="auto"/>
            <w:left w:val="none" w:sz="0" w:space="0" w:color="auto"/>
            <w:bottom w:val="none" w:sz="0" w:space="0" w:color="auto"/>
            <w:right w:val="none" w:sz="0" w:space="0" w:color="auto"/>
          </w:divBdr>
        </w:div>
        <w:div w:id="639771187">
          <w:marLeft w:val="640"/>
          <w:marRight w:val="0"/>
          <w:marTop w:val="0"/>
          <w:marBottom w:val="0"/>
          <w:divBdr>
            <w:top w:val="none" w:sz="0" w:space="0" w:color="auto"/>
            <w:left w:val="none" w:sz="0" w:space="0" w:color="auto"/>
            <w:bottom w:val="none" w:sz="0" w:space="0" w:color="auto"/>
            <w:right w:val="none" w:sz="0" w:space="0" w:color="auto"/>
          </w:divBdr>
        </w:div>
        <w:div w:id="379280573">
          <w:marLeft w:val="640"/>
          <w:marRight w:val="0"/>
          <w:marTop w:val="0"/>
          <w:marBottom w:val="0"/>
          <w:divBdr>
            <w:top w:val="none" w:sz="0" w:space="0" w:color="auto"/>
            <w:left w:val="none" w:sz="0" w:space="0" w:color="auto"/>
            <w:bottom w:val="none" w:sz="0" w:space="0" w:color="auto"/>
            <w:right w:val="none" w:sz="0" w:space="0" w:color="auto"/>
          </w:divBdr>
        </w:div>
        <w:div w:id="1986356124">
          <w:marLeft w:val="640"/>
          <w:marRight w:val="0"/>
          <w:marTop w:val="0"/>
          <w:marBottom w:val="0"/>
          <w:divBdr>
            <w:top w:val="none" w:sz="0" w:space="0" w:color="auto"/>
            <w:left w:val="none" w:sz="0" w:space="0" w:color="auto"/>
            <w:bottom w:val="none" w:sz="0" w:space="0" w:color="auto"/>
            <w:right w:val="none" w:sz="0" w:space="0" w:color="auto"/>
          </w:divBdr>
        </w:div>
        <w:div w:id="1542325934">
          <w:marLeft w:val="640"/>
          <w:marRight w:val="0"/>
          <w:marTop w:val="0"/>
          <w:marBottom w:val="0"/>
          <w:divBdr>
            <w:top w:val="none" w:sz="0" w:space="0" w:color="auto"/>
            <w:left w:val="none" w:sz="0" w:space="0" w:color="auto"/>
            <w:bottom w:val="none" w:sz="0" w:space="0" w:color="auto"/>
            <w:right w:val="none" w:sz="0" w:space="0" w:color="auto"/>
          </w:divBdr>
        </w:div>
        <w:div w:id="1587759959">
          <w:marLeft w:val="640"/>
          <w:marRight w:val="0"/>
          <w:marTop w:val="0"/>
          <w:marBottom w:val="0"/>
          <w:divBdr>
            <w:top w:val="none" w:sz="0" w:space="0" w:color="auto"/>
            <w:left w:val="none" w:sz="0" w:space="0" w:color="auto"/>
            <w:bottom w:val="none" w:sz="0" w:space="0" w:color="auto"/>
            <w:right w:val="none" w:sz="0" w:space="0" w:color="auto"/>
          </w:divBdr>
        </w:div>
        <w:div w:id="746533210">
          <w:marLeft w:val="640"/>
          <w:marRight w:val="0"/>
          <w:marTop w:val="0"/>
          <w:marBottom w:val="0"/>
          <w:divBdr>
            <w:top w:val="none" w:sz="0" w:space="0" w:color="auto"/>
            <w:left w:val="none" w:sz="0" w:space="0" w:color="auto"/>
            <w:bottom w:val="none" w:sz="0" w:space="0" w:color="auto"/>
            <w:right w:val="none" w:sz="0" w:space="0" w:color="auto"/>
          </w:divBdr>
        </w:div>
        <w:div w:id="749229446">
          <w:marLeft w:val="640"/>
          <w:marRight w:val="0"/>
          <w:marTop w:val="0"/>
          <w:marBottom w:val="0"/>
          <w:divBdr>
            <w:top w:val="none" w:sz="0" w:space="0" w:color="auto"/>
            <w:left w:val="none" w:sz="0" w:space="0" w:color="auto"/>
            <w:bottom w:val="none" w:sz="0" w:space="0" w:color="auto"/>
            <w:right w:val="none" w:sz="0" w:space="0" w:color="auto"/>
          </w:divBdr>
        </w:div>
        <w:div w:id="511265525">
          <w:marLeft w:val="640"/>
          <w:marRight w:val="0"/>
          <w:marTop w:val="0"/>
          <w:marBottom w:val="0"/>
          <w:divBdr>
            <w:top w:val="none" w:sz="0" w:space="0" w:color="auto"/>
            <w:left w:val="none" w:sz="0" w:space="0" w:color="auto"/>
            <w:bottom w:val="none" w:sz="0" w:space="0" w:color="auto"/>
            <w:right w:val="none" w:sz="0" w:space="0" w:color="auto"/>
          </w:divBdr>
        </w:div>
        <w:div w:id="941180656">
          <w:marLeft w:val="640"/>
          <w:marRight w:val="0"/>
          <w:marTop w:val="0"/>
          <w:marBottom w:val="0"/>
          <w:divBdr>
            <w:top w:val="none" w:sz="0" w:space="0" w:color="auto"/>
            <w:left w:val="none" w:sz="0" w:space="0" w:color="auto"/>
            <w:bottom w:val="none" w:sz="0" w:space="0" w:color="auto"/>
            <w:right w:val="none" w:sz="0" w:space="0" w:color="auto"/>
          </w:divBdr>
        </w:div>
        <w:div w:id="1102456326">
          <w:marLeft w:val="640"/>
          <w:marRight w:val="0"/>
          <w:marTop w:val="0"/>
          <w:marBottom w:val="0"/>
          <w:divBdr>
            <w:top w:val="none" w:sz="0" w:space="0" w:color="auto"/>
            <w:left w:val="none" w:sz="0" w:space="0" w:color="auto"/>
            <w:bottom w:val="none" w:sz="0" w:space="0" w:color="auto"/>
            <w:right w:val="none" w:sz="0" w:space="0" w:color="auto"/>
          </w:divBdr>
        </w:div>
        <w:div w:id="1529832057">
          <w:marLeft w:val="640"/>
          <w:marRight w:val="0"/>
          <w:marTop w:val="0"/>
          <w:marBottom w:val="0"/>
          <w:divBdr>
            <w:top w:val="none" w:sz="0" w:space="0" w:color="auto"/>
            <w:left w:val="none" w:sz="0" w:space="0" w:color="auto"/>
            <w:bottom w:val="none" w:sz="0" w:space="0" w:color="auto"/>
            <w:right w:val="none" w:sz="0" w:space="0" w:color="auto"/>
          </w:divBdr>
        </w:div>
        <w:div w:id="2108884294">
          <w:marLeft w:val="640"/>
          <w:marRight w:val="0"/>
          <w:marTop w:val="0"/>
          <w:marBottom w:val="0"/>
          <w:divBdr>
            <w:top w:val="none" w:sz="0" w:space="0" w:color="auto"/>
            <w:left w:val="none" w:sz="0" w:space="0" w:color="auto"/>
            <w:bottom w:val="none" w:sz="0" w:space="0" w:color="auto"/>
            <w:right w:val="none" w:sz="0" w:space="0" w:color="auto"/>
          </w:divBdr>
        </w:div>
        <w:div w:id="1922061764">
          <w:marLeft w:val="640"/>
          <w:marRight w:val="0"/>
          <w:marTop w:val="0"/>
          <w:marBottom w:val="0"/>
          <w:divBdr>
            <w:top w:val="none" w:sz="0" w:space="0" w:color="auto"/>
            <w:left w:val="none" w:sz="0" w:space="0" w:color="auto"/>
            <w:bottom w:val="none" w:sz="0" w:space="0" w:color="auto"/>
            <w:right w:val="none" w:sz="0" w:space="0" w:color="auto"/>
          </w:divBdr>
        </w:div>
        <w:div w:id="1643194817">
          <w:marLeft w:val="640"/>
          <w:marRight w:val="0"/>
          <w:marTop w:val="0"/>
          <w:marBottom w:val="0"/>
          <w:divBdr>
            <w:top w:val="none" w:sz="0" w:space="0" w:color="auto"/>
            <w:left w:val="none" w:sz="0" w:space="0" w:color="auto"/>
            <w:bottom w:val="none" w:sz="0" w:space="0" w:color="auto"/>
            <w:right w:val="none" w:sz="0" w:space="0" w:color="auto"/>
          </w:divBdr>
        </w:div>
        <w:div w:id="855845647">
          <w:marLeft w:val="640"/>
          <w:marRight w:val="0"/>
          <w:marTop w:val="0"/>
          <w:marBottom w:val="0"/>
          <w:divBdr>
            <w:top w:val="none" w:sz="0" w:space="0" w:color="auto"/>
            <w:left w:val="none" w:sz="0" w:space="0" w:color="auto"/>
            <w:bottom w:val="none" w:sz="0" w:space="0" w:color="auto"/>
            <w:right w:val="none" w:sz="0" w:space="0" w:color="auto"/>
          </w:divBdr>
        </w:div>
        <w:div w:id="986055740">
          <w:marLeft w:val="640"/>
          <w:marRight w:val="0"/>
          <w:marTop w:val="0"/>
          <w:marBottom w:val="0"/>
          <w:divBdr>
            <w:top w:val="none" w:sz="0" w:space="0" w:color="auto"/>
            <w:left w:val="none" w:sz="0" w:space="0" w:color="auto"/>
            <w:bottom w:val="none" w:sz="0" w:space="0" w:color="auto"/>
            <w:right w:val="none" w:sz="0" w:space="0" w:color="auto"/>
          </w:divBdr>
        </w:div>
        <w:div w:id="1421561628">
          <w:marLeft w:val="640"/>
          <w:marRight w:val="0"/>
          <w:marTop w:val="0"/>
          <w:marBottom w:val="0"/>
          <w:divBdr>
            <w:top w:val="none" w:sz="0" w:space="0" w:color="auto"/>
            <w:left w:val="none" w:sz="0" w:space="0" w:color="auto"/>
            <w:bottom w:val="none" w:sz="0" w:space="0" w:color="auto"/>
            <w:right w:val="none" w:sz="0" w:space="0" w:color="auto"/>
          </w:divBdr>
        </w:div>
        <w:div w:id="1668703060">
          <w:marLeft w:val="640"/>
          <w:marRight w:val="0"/>
          <w:marTop w:val="0"/>
          <w:marBottom w:val="0"/>
          <w:divBdr>
            <w:top w:val="none" w:sz="0" w:space="0" w:color="auto"/>
            <w:left w:val="none" w:sz="0" w:space="0" w:color="auto"/>
            <w:bottom w:val="none" w:sz="0" w:space="0" w:color="auto"/>
            <w:right w:val="none" w:sz="0" w:space="0" w:color="auto"/>
          </w:divBdr>
        </w:div>
        <w:div w:id="534192399">
          <w:marLeft w:val="640"/>
          <w:marRight w:val="0"/>
          <w:marTop w:val="0"/>
          <w:marBottom w:val="0"/>
          <w:divBdr>
            <w:top w:val="none" w:sz="0" w:space="0" w:color="auto"/>
            <w:left w:val="none" w:sz="0" w:space="0" w:color="auto"/>
            <w:bottom w:val="none" w:sz="0" w:space="0" w:color="auto"/>
            <w:right w:val="none" w:sz="0" w:space="0" w:color="auto"/>
          </w:divBdr>
        </w:div>
        <w:div w:id="227887111">
          <w:marLeft w:val="640"/>
          <w:marRight w:val="0"/>
          <w:marTop w:val="0"/>
          <w:marBottom w:val="0"/>
          <w:divBdr>
            <w:top w:val="none" w:sz="0" w:space="0" w:color="auto"/>
            <w:left w:val="none" w:sz="0" w:space="0" w:color="auto"/>
            <w:bottom w:val="none" w:sz="0" w:space="0" w:color="auto"/>
            <w:right w:val="none" w:sz="0" w:space="0" w:color="auto"/>
          </w:divBdr>
        </w:div>
        <w:div w:id="2104495591">
          <w:marLeft w:val="640"/>
          <w:marRight w:val="0"/>
          <w:marTop w:val="0"/>
          <w:marBottom w:val="0"/>
          <w:divBdr>
            <w:top w:val="none" w:sz="0" w:space="0" w:color="auto"/>
            <w:left w:val="none" w:sz="0" w:space="0" w:color="auto"/>
            <w:bottom w:val="none" w:sz="0" w:space="0" w:color="auto"/>
            <w:right w:val="none" w:sz="0" w:space="0" w:color="auto"/>
          </w:divBdr>
        </w:div>
        <w:div w:id="23679489">
          <w:marLeft w:val="640"/>
          <w:marRight w:val="0"/>
          <w:marTop w:val="0"/>
          <w:marBottom w:val="0"/>
          <w:divBdr>
            <w:top w:val="none" w:sz="0" w:space="0" w:color="auto"/>
            <w:left w:val="none" w:sz="0" w:space="0" w:color="auto"/>
            <w:bottom w:val="none" w:sz="0" w:space="0" w:color="auto"/>
            <w:right w:val="none" w:sz="0" w:space="0" w:color="auto"/>
          </w:divBdr>
        </w:div>
        <w:div w:id="1194229547">
          <w:marLeft w:val="640"/>
          <w:marRight w:val="0"/>
          <w:marTop w:val="0"/>
          <w:marBottom w:val="0"/>
          <w:divBdr>
            <w:top w:val="none" w:sz="0" w:space="0" w:color="auto"/>
            <w:left w:val="none" w:sz="0" w:space="0" w:color="auto"/>
            <w:bottom w:val="none" w:sz="0" w:space="0" w:color="auto"/>
            <w:right w:val="none" w:sz="0" w:space="0" w:color="auto"/>
          </w:divBdr>
        </w:div>
        <w:div w:id="1833645956">
          <w:marLeft w:val="640"/>
          <w:marRight w:val="0"/>
          <w:marTop w:val="0"/>
          <w:marBottom w:val="0"/>
          <w:divBdr>
            <w:top w:val="none" w:sz="0" w:space="0" w:color="auto"/>
            <w:left w:val="none" w:sz="0" w:space="0" w:color="auto"/>
            <w:bottom w:val="none" w:sz="0" w:space="0" w:color="auto"/>
            <w:right w:val="none" w:sz="0" w:space="0" w:color="auto"/>
          </w:divBdr>
        </w:div>
        <w:div w:id="1483229422">
          <w:marLeft w:val="640"/>
          <w:marRight w:val="0"/>
          <w:marTop w:val="0"/>
          <w:marBottom w:val="0"/>
          <w:divBdr>
            <w:top w:val="none" w:sz="0" w:space="0" w:color="auto"/>
            <w:left w:val="none" w:sz="0" w:space="0" w:color="auto"/>
            <w:bottom w:val="none" w:sz="0" w:space="0" w:color="auto"/>
            <w:right w:val="none" w:sz="0" w:space="0" w:color="auto"/>
          </w:divBdr>
        </w:div>
        <w:div w:id="863592677">
          <w:marLeft w:val="640"/>
          <w:marRight w:val="0"/>
          <w:marTop w:val="0"/>
          <w:marBottom w:val="0"/>
          <w:divBdr>
            <w:top w:val="none" w:sz="0" w:space="0" w:color="auto"/>
            <w:left w:val="none" w:sz="0" w:space="0" w:color="auto"/>
            <w:bottom w:val="none" w:sz="0" w:space="0" w:color="auto"/>
            <w:right w:val="none" w:sz="0" w:space="0" w:color="auto"/>
          </w:divBdr>
        </w:div>
        <w:div w:id="1967075911">
          <w:marLeft w:val="640"/>
          <w:marRight w:val="0"/>
          <w:marTop w:val="0"/>
          <w:marBottom w:val="0"/>
          <w:divBdr>
            <w:top w:val="none" w:sz="0" w:space="0" w:color="auto"/>
            <w:left w:val="none" w:sz="0" w:space="0" w:color="auto"/>
            <w:bottom w:val="none" w:sz="0" w:space="0" w:color="auto"/>
            <w:right w:val="none" w:sz="0" w:space="0" w:color="auto"/>
          </w:divBdr>
        </w:div>
        <w:div w:id="333344237">
          <w:marLeft w:val="640"/>
          <w:marRight w:val="0"/>
          <w:marTop w:val="0"/>
          <w:marBottom w:val="0"/>
          <w:divBdr>
            <w:top w:val="none" w:sz="0" w:space="0" w:color="auto"/>
            <w:left w:val="none" w:sz="0" w:space="0" w:color="auto"/>
            <w:bottom w:val="none" w:sz="0" w:space="0" w:color="auto"/>
            <w:right w:val="none" w:sz="0" w:space="0" w:color="auto"/>
          </w:divBdr>
        </w:div>
        <w:div w:id="1397431953">
          <w:marLeft w:val="640"/>
          <w:marRight w:val="0"/>
          <w:marTop w:val="0"/>
          <w:marBottom w:val="0"/>
          <w:divBdr>
            <w:top w:val="none" w:sz="0" w:space="0" w:color="auto"/>
            <w:left w:val="none" w:sz="0" w:space="0" w:color="auto"/>
            <w:bottom w:val="none" w:sz="0" w:space="0" w:color="auto"/>
            <w:right w:val="none" w:sz="0" w:space="0" w:color="auto"/>
          </w:divBdr>
        </w:div>
        <w:div w:id="169370740">
          <w:marLeft w:val="640"/>
          <w:marRight w:val="0"/>
          <w:marTop w:val="0"/>
          <w:marBottom w:val="0"/>
          <w:divBdr>
            <w:top w:val="none" w:sz="0" w:space="0" w:color="auto"/>
            <w:left w:val="none" w:sz="0" w:space="0" w:color="auto"/>
            <w:bottom w:val="none" w:sz="0" w:space="0" w:color="auto"/>
            <w:right w:val="none" w:sz="0" w:space="0" w:color="auto"/>
          </w:divBdr>
        </w:div>
        <w:div w:id="1047950004">
          <w:marLeft w:val="640"/>
          <w:marRight w:val="0"/>
          <w:marTop w:val="0"/>
          <w:marBottom w:val="0"/>
          <w:divBdr>
            <w:top w:val="none" w:sz="0" w:space="0" w:color="auto"/>
            <w:left w:val="none" w:sz="0" w:space="0" w:color="auto"/>
            <w:bottom w:val="none" w:sz="0" w:space="0" w:color="auto"/>
            <w:right w:val="none" w:sz="0" w:space="0" w:color="auto"/>
          </w:divBdr>
        </w:div>
        <w:div w:id="2019311705">
          <w:marLeft w:val="640"/>
          <w:marRight w:val="0"/>
          <w:marTop w:val="0"/>
          <w:marBottom w:val="0"/>
          <w:divBdr>
            <w:top w:val="none" w:sz="0" w:space="0" w:color="auto"/>
            <w:left w:val="none" w:sz="0" w:space="0" w:color="auto"/>
            <w:bottom w:val="none" w:sz="0" w:space="0" w:color="auto"/>
            <w:right w:val="none" w:sz="0" w:space="0" w:color="auto"/>
          </w:divBdr>
        </w:div>
        <w:div w:id="242303649">
          <w:marLeft w:val="640"/>
          <w:marRight w:val="0"/>
          <w:marTop w:val="0"/>
          <w:marBottom w:val="0"/>
          <w:divBdr>
            <w:top w:val="none" w:sz="0" w:space="0" w:color="auto"/>
            <w:left w:val="none" w:sz="0" w:space="0" w:color="auto"/>
            <w:bottom w:val="none" w:sz="0" w:space="0" w:color="auto"/>
            <w:right w:val="none" w:sz="0" w:space="0" w:color="auto"/>
          </w:divBdr>
        </w:div>
        <w:div w:id="1056248050">
          <w:marLeft w:val="640"/>
          <w:marRight w:val="0"/>
          <w:marTop w:val="0"/>
          <w:marBottom w:val="0"/>
          <w:divBdr>
            <w:top w:val="none" w:sz="0" w:space="0" w:color="auto"/>
            <w:left w:val="none" w:sz="0" w:space="0" w:color="auto"/>
            <w:bottom w:val="none" w:sz="0" w:space="0" w:color="auto"/>
            <w:right w:val="none" w:sz="0" w:space="0" w:color="auto"/>
          </w:divBdr>
        </w:div>
        <w:div w:id="297104589">
          <w:marLeft w:val="640"/>
          <w:marRight w:val="0"/>
          <w:marTop w:val="0"/>
          <w:marBottom w:val="0"/>
          <w:divBdr>
            <w:top w:val="none" w:sz="0" w:space="0" w:color="auto"/>
            <w:left w:val="none" w:sz="0" w:space="0" w:color="auto"/>
            <w:bottom w:val="none" w:sz="0" w:space="0" w:color="auto"/>
            <w:right w:val="none" w:sz="0" w:space="0" w:color="auto"/>
          </w:divBdr>
        </w:div>
        <w:div w:id="570194734">
          <w:marLeft w:val="640"/>
          <w:marRight w:val="0"/>
          <w:marTop w:val="0"/>
          <w:marBottom w:val="0"/>
          <w:divBdr>
            <w:top w:val="none" w:sz="0" w:space="0" w:color="auto"/>
            <w:left w:val="none" w:sz="0" w:space="0" w:color="auto"/>
            <w:bottom w:val="none" w:sz="0" w:space="0" w:color="auto"/>
            <w:right w:val="none" w:sz="0" w:space="0" w:color="auto"/>
          </w:divBdr>
        </w:div>
        <w:div w:id="1595161201">
          <w:marLeft w:val="640"/>
          <w:marRight w:val="0"/>
          <w:marTop w:val="0"/>
          <w:marBottom w:val="0"/>
          <w:divBdr>
            <w:top w:val="none" w:sz="0" w:space="0" w:color="auto"/>
            <w:left w:val="none" w:sz="0" w:space="0" w:color="auto"/>
            <w:bottom w:val="none" w:sz="0" w:space="0" w:color="auto"/>
            <w:right w:val="none" w:sz="0" w:space="0" w:color="auto"/>
          </w:divBdr>
        </w:div>
        <w:div w:id="870067846">
          <w:marLeft w:val="640"/>
          <w:marRight w:val="0"/>
          <w:marTop w:val="0"/>
          <w:marBottom w:val="0"/>
          <w:divBdr>
            <w:top w:val="none" w:sz="0" w:space="0" w:color="auto"/>
            <w:left w:val="none" w:sz="0" w:space="0" w:color="auto"/>
            <w:bottom w:val="none" w:sz="0" w:space="0" w:color="auto"/>
            <w:right w:val="none" w:sz="0" w:space="0" w:color="auto"/>
          </w:divBdr>
        </w:div>
        <w:div w:id="817496383">
          <w:marLeft w:val="640"/>
          <w:marRight w:val="0"/>
          <w:marTop w:val="0"/>
          <w:marBottom w:val="0"/>
          <w:divBdr>
            <w:top w:val="none" w:sz="0" w:space="0" w:color="auto"/>
            <w:left w:val="none" w:sz="0" w:space="0" w:color="auto"/>
            <w:bottom w:val="none" w:sz="0" w:space="0" w:color="auto"/>
            <w:right w:val="none" w:sz="0" w:space="0" w:color="auto"/>
          </w:divBdr>
        </w:div>
        <w:div w:id="50354084">
          <w:marLeft w:val="640"/>
          <w:marRight w:val="0"/>
          <w:marTop w:val="0"/>
          <w:marBottom w:val="0"/>
          <w:divBdr>
            <w:top w:val="none" w:sz="0" w:space="0" w:color="auto"/>
            <w:left w:val="none" w:sz="0" w:space="0" w:color="auto"/>
            <w:bottom w:val="none" w:sz="0" w:space="0" w:color="auto"/>
            <w:right w:val="none" w:sz="0" w:space="0" w:color="auto"/>
          </w:divBdr>
        </w:div>
        <w:div w:id="169301798">
          <w:marLeft w:val="640"/>
          <w:marRight w:val="0"/>
          <w:marTop w:val="0"/>
          <w:marBottom w:val="0"/>
          <w:divBdr>
            <w:top w:val="none" w:sz="0" w:space="0" w:color="auto"/>
            <w:left w:val="none" w:sz="0" w:space="0" w:color="auto"/>
            <w:bottom w:val="none" w:sz="0" w:space="0" w:color="auto"/>
            <w:right w:val="none" w:sz="0" w:space="0" w:color="auto"/>
          </w:divBdr>
        </w:div>
        <w:div w:id="352192296">
          <w:marLeft w:val="640"/>
          <w:marRight w:val="0"/>
          <w:marTop w:val="0"/>
          <w:marBottom w:val="0"/>
          <w:divBdr>
            <w:top w:val="none" w:sz="0" w:space="0" w:color="auto"/>
            <w:left w:val="none" w:sz="0" w:space="0" w:color="auto"/>
            <w:bottom w:val="none" w:sz="0" w:space="0" w:color="auto"/>
            <w:right w:val="none" w:sz="0" w:space="0" w:color="auto"/>
          </w:divBdr>
        </w:div>
        <w:div w:id="1346786236">
          <w:marLeft w:val="640"/>
          <w:marRight w:val="0"/>
          <w:marTop w:val="0"/>
          <w:marBottom w:val="0"/>
          <w:divBdr>
            <w:top w:val="none" w:sz="0" w:space="0" w:color="auto"/>
            <w:left w:val="none" w:sz="0" w:space="0" w:color="auto"/>
            <w:bottom w:val="none" w:sz="0" w:space="0" w:color="auto"/>
            <w:right w:val="none" w:sz="0" w:space="0" w:color="auto"/>
          </w:divBdr>
        </w:div>
        <w:div w:id="1954284710">
          <w:marLeft w:val="640"/>
          <w:marRight w:val="0"/>
          <w:marTop w:val="0"/>
          <w:marBottom w:val="0"/>
          <w:divBdr>
            <w:top w:val="none" w:sz="0" w:space="0" w:color="auto"/>
            <w:left w:val="none" w:sz="0" w:space="0" w:color="auto"/>
            <w:bottom w:val="none" w:sz="0" w:space="0" w:color="auto"/>
            <w:right w:val="none" w:sz="0" w:space="0" w:color="auto"/>
          </w:divBdr>
        </w:div>
        <w:div w:id="748499306">
          <w:marLeft w:val="640"/>
          <w:marRight w:val="0"/>
          <w:marTop w:val="0"/>
          <w:marBottom w:val="0"/>
          <w:divBdr>
            <w:top w:val="none" w:sz="0" w:space="0" w:color="auto"/>
            <w:left w:val="none" w:sz="0" w:space="0" w:color="auto"/>
            <w:bottom w:val="none" w:sz="0" w:space="0" w:color="auto"/>
            <w:right w:val="none" w:sz="0" w:space="0" w:color="auto"/>
          </w:divBdr>
        </w:div>
        <w:div w:id="2019306008">
          <w:marLeft w:val="640"/>
          <w:marRight w:val="0"/>
          <w:marTop w:val="0"/>
          <w:marBottom w:val="0"/>
          <w:divBdr>
            <w:top w:val="none" w:sz="0" w:space="0" w:color="auto"/>
            <w:left w:val="none" w:sz="0" w:space="0" w:color="auto"/>
            <w:bottom w:val="none" w:sz="0" w:space="0" w:color="auto"/>
            <w:right w:val="none" w:sz="0" w:space="0" w:color="auto"/>
          </w:divBdr>
        </w:div>
        <w:div w:id="1729109402">
          <w:marLeft w:val="640"/>
          <w:marRight w:val="0"/>
          <w:marTop w:val="0"/>
          <w:marBottom w:val="0"/>
          <w:divBdr>
            <w:top w:val="none" w:sz="0" w:space="0" w:color="auto"/>
            <w:left w:val="none" w:sz="0" w:space="0" w:color="auto"/>
            <w:bottom w:val="none" w:sz="0" w:space="0" w:color="auto"/>
            <w:right w:val="none" w:sz="0" w:space="0" w:color="auto"/>
          </w:divBdr>
        </w:div>
        <w:div w:id="1449154051">
          <w:marLeft w:val="640"/>
          <w:marRight w:val="0"/>
          <w:marTop w:val="0"/>
          <w:marBottom w:val="0"/>
          <w:divBdr>
            <w:top w:val="none" w:sz="0" w:space="0" w:color="auto"/>
            <w:left w:val="none" w:sz="0" w:space="0" w:color="auto"/>
            <w:bottom w:val="none" w:sz="0" w:space="0" w:color="auto"/>
            <w:right w:val="none" w:sz="0" w:space="0" w:color="auto"/>
          </w:divBdr>
        </w:div>
        <w:div w:id="1348946849">
          <w:marLeft w:val="640"/>
          <w:marRight w:val="0"/>
          <w:marTop w:val="0"/>
          <w:marBottom w:val="0"/>
          <w:divBdr>
            <w:top w:val="none" w:sz="0" w:space="0" w:color="auto"/>
            <w:left w:val="none" w:sz="0" w:space="0" w:color="auto"/>
            <w:bottom w:val="none" w:sz="0" w:space="0" w:color="auto"/>
            <w:right w:val="none" w:sz="0" w:space="0" w:color="auto"/>
          </w:divBdr>
        </w:div>
        <w:div w:id="849373578">
          <w:marLeft w:val="640"/>
          <w:marRight w:val="0"/>
          <w:marTop w:val="0"/>
          <w:marBottom w:val="0"/>
          <w:divBdr>
            <w:top w:val="none" w:sz="0" w:space="0" w:color="auto"/>
            <w:left w:val="none" w:sz="0" w:space="0" w:color="auto"/>
            <w:bottom w:val="none" w:sz="0" w:space="0" w:color="auto"/>
            <w:right w:val="none" w:sz="0" w:space="0" w:color="auto"/>
          </w:divBdr>
        </w:div>
        <w:div w:id="357778029">
          <w:marLeft w:val="640"/>
          <w:marRight w:val="0"/>
          <w:marTop w:val="0"/>
          <w:marBottom w:val="0"/>
          <w:divBdr>
            <w:top w:val="none" w:sz="0" w:space="0" w:color="auto"/>
            <w:left w:val="none" w:sz="0" w:space="0" w:color="auto"/>
            <w:bottom w:val="none" w:sz="0" w:space="0" w:color="auto"/>
            <w:right w:val="none" w:sz="0" w:space="0" w:color="auto"/>
          </w:divBdr>
        </w:div>
        <w:div w:id="1712683486">
          <w:marLeft w:val="640"/>
          <w:marRight w:val="0"/>
          <w:marTop w:val="0"/>
          <w:marBottom w:val="0"/>
          <w:divBdr>
            <w:top w:val="none" w:sz="0" w:space="0" w:color="auto"/>
            <w:left w:val="none" w:sz="0" w:space="0" w:color="auto"/>
            <w:bottom w:val="none" w:sz="0" w:space="0" w:color="auto"/>
            <w:right w:val="none" w:sz="0" w:space="0" w:color="auto"/>
          </w:divBdr>
        </w:div>
        <w:div w:id="344593280">
          <w:marLeft w:val="640"/>
          <w:marRight w:val="0"/>
          <w:marTop w:val="0"/>
          <w:marBottom w:val="0"/>
          <w:divBdr>
            <w:top w:val="none" w:sz="0" w:space="0" w:color="auto"/>
            <w:left w:val="none" w:sz="0" w:space="0" w:color="auto"/>
            <w:bottom w:val="none" w:sz="0" w:space="0" w:color="auto"/>
            <w:right w:val="none" w:sz="0" w:space="0" w:color="auto"/>
          </w:divBdr>
        </w:div>
        <w:div w:id="2057073987">
          <w:marLeft w:val="640"/>
          <w:marRight w:val="0"/>
          <w:marTop w:val="0"/>
          <w:marBottom w:val="0"/>
          <w:divBdr>
            <w:top w:val="none" w:sz="0" w:space="0" w:color="auto"/>
            <w:left w:val="none" w:sz="0" w:space="0" w:color="auto"/>
            <w:bottom w:val="none" w:sz="0" w:space="0" w:color="auto"/>
            <w:right w:val="none" w:sz="0" w:space="0" w:color="auto"/>
          </w:divBdr>
        </w:div>
        <w:div w:id="1698920334">
          <w:marLeft w:val="640"/>
          <w:marRight w:val="0"/>
          <w:marTop w:val="0"/>
          <w:marBottom w:val="0"/>
          <w:divBdr>
            <w:top w:val="none" w:sz="0" w:space="0" w:color="auto"/>
            <w:left w:val="none" w:sz="0" w:space="0" w:color="auto"/>
            <w:bottom w:val="none" w:sz="0" w:space="0" w:color="auto"/>
            <w:right w:val="none" w:sz="0" w:space="0" w:color="auto"/>
          </w:divBdr>
        </w:div>
        <w:div w:id="1041325495">
          <w:marLeft w:val="640"/>
          <w:marRight w:val="0"/>
          <w:marTop w:val="0"/>
          <w:marBottom w:val="0"/>
          <w:divBdr>
            <w:top w:val="none" w:sz="0" w:space="0" w:color="auto"/>
            <w:left w:val="none" w:sz="0" w:space="0" w:color="auto"/>
            <w:bottom w:val="none" w:sz="0" w:space="0" w:color="auto"/>
            <w:right w:val="none" w:sz="0" w:space="0" w:color="auto"/>
          </w:divBdr>
        </w:div>
        <w:div w:id="1141078617">
          <w:marLeft w:val="640"/>
          <w:marRight w:val="0"/>
          <w:marTop w:val="0"/>
          <w:marBottom w:val="0"/>
          <w:divBdr>
            <w:top w:val="none" w:sz="0" w:space="0" w:color="auto"/>
            <w:left w:val="none" w:sz="0" w:space="0" w:color="auto"/>
            <w:bottom w:val="none" w:sz="0" w:space="0" w:color="auto"/>
            <w:right w:val="none" w:sz="0" w:space="0" w:color="auto"/>
          </w:divBdr>
        </w:div>
        <w:div w:id="64768825">
          <w:marLeft w:val="640"/>
          <w:marRight w:val="0"/>
          <w:marTop w:val="0"/>
          <w:marBottom w:val="0"/>
          <w:divBdr>
            <w:top w:val="none" w:sz="0" w:space="0" w:color="auto"/>
            <w:left w:val="none" w:sz="0" w:space="0" w:color="auto"/>
            <w:bottom w:val="none" w:sz="0" w:space="0" w:color="auto"/>
            <w:right w:val="none" w:sz="0" w:space="0" w:color="auto"/>
          </w:divBdr>
        </w:div>
        <w:div w:id="102652925">
          <w:marLeft w:val="640"/>
          <w:marRight w:val="0"/>
          <w:marTop w:val="0"/>
          <w:marBottom w:val="0"/>
          <w:divBdr>
            <w:top w:val="none" w:sz="0" w:space="0" w:color="auto"/>
            <w:left w:val="none" w:sz="0" w:space="0" w:color="auto"/>
            <w:bottom w:val="none" w:sz="0" w:space="0" w:color="auto"/>
            <w:right w:val="none" w:sz="0" w:space="0" w:color="auto"/>
          </w:divBdr>
        </w:div>
        <w:div w:id="729309293">
          <w:marLeft w:val="640"/>
          <w:marRight w:val="0"/>
          <w:marTop w:val="0"/>
          <w:marBottom w:val="0"/>
          <w:divBdr>
            <w:top w:val="none" w:sz="0" w:space="0" w:color="auto"/>
            <w:left w:val="none" w:sz="0" w:space="0" w:color="auto"/>
            <w:bottom w:val="none" w:sz="0" w:space="0" w:color="auto"/>
            <w:right w:val="none" w:sz="0" w:space="0" w:color="auto"/>
          </w:divBdr>
        </w:div>
        <w:div w:id="1670520705">
          <w:marLeft w:val="640"/>
          <w:marRight w:val="0"/>
          <w:marTop w:val="0"/>
          <w:marBottom w:val="0"/>
          <w:divBdr>
            <w:top w:val="none" w:sz="0" w:space="0" w:color="auto"/>
            <w:left w:val="none" w:sz="0" w:space="0" w:color="auto"/>
            <w:bottom w:val="none" w:sz="0" w:space="0" w:color="auto"/>
            <w:right w:val="none" w:sz="0" w:space="0" w:color="auto"/>
          </w:divBdr>
        </w:div>
        <w:div w:id="1417435343">
          <w:marLeft w:val="640"/>
          <w:marRight w:val="0"/>
          <w:marTop w:val="0"/>
          <w:marBottom w:val="0"/>
          <w:divBdr>
            <w:top w:val="none" w:sz="0" w:space="0" w:color="auto"/>
            <w:left w:val="none" w:sz="0" w:space="0" w:color="auto"/>
            <w:bottom w:val="none" w:sz="0" w:space="0" w:color="auto"/>
            <w:right w:val="none" w:sz="0" w:space="0" w:color="auto"/>
          </w:divBdr>
        </w:div>
        <w:div w:id="606275800">
          <w:marLeft w:val="640"/>
          <w:marRight w:val="0"/>
          <w:marTop w:val="0"/>
          <w:marBottom w:val="0"/>
          <w:divBdr>
            <w:top w:val="none" w:sz="0" w:space="0" w:color="auto"/>
            <w:left w:val="none" w:sz="0" w:space="0" w:color="auto"/>
            <w:bottom w:val="none" w:sz="0" w:space="0" w:color="auto"/>
            <w:right w:val="none" w:sz="0" w:space="0" w:color="auto"/>
          </w:divBdr>
        </w:div>
        <w:div w:id="1701053306">
          <w:marLeft w:val="640"/>
          <w:marRight w:val="0"/>
          <w:marTop w:val="0"/>
          <w:marBottom w:val="0"/>
          <w:divBdr>
            <w:top w:val="none" w:sz="0" w:space="0" w:color="auto"/>
            <w:left w:val="none" w:sz="0" w:space="0" w:color="auto"/>
            <w:bottom w:val="none" w:sz="0" w:space="0" w:color="auto"/>
            <w:right w:val="none" w:sz="0" w:space="0" w:color="auto"/>
          </w:divBdr>
        </w:div>
        <w:div w:id="1363435703">
          <w:marLeft w:val="640"/>
          <w:marRight w:val="0"/>
          <w:marTop w:val="0"/>
          <w:marBottom w:val="0"/>
          <w:divBdr>
            <w:top w:val="none" w:sz="0" w:space="0" w:color="auto"/>
            <w:left w:val="none" w:sz="0" w:space="0" w:color="auto"/>
            <w:bottom w:val="none" w:sz="0" w:space="0" w:color="auto"/>
            <w:right w:val="none" w:sz="0" w:space="0" w:color="auto"/>
          </w:divBdr>
        </w:div>
        <w:div w:id="620265164">
          <w:marLeft w:val="640"/>
          <w:marRight w:val="0"/>
          <w:marTop w:val="0"/>
          <w:marBottom w:val="0"/>
          <w:divBdr>
            <w:top w:val="none" w:sz="0" w:space="0" w:color="auto"/>
            <w:left w:val="none" w:sz="0" w:space="0" w:color="auto"/>
            <w:bottom w:val="none" w:sz="0" w:space="0" w:color="auto"/>
            <w:right w:val="none" w:sz="0" w:space="0" w:color="auto"/>
          </w:divBdr>
        </w:div>
        <w:div w:id="804390962">
          <w:marLeft w:val="640"/>
          <w:marRight w:val="0"/>
          <w:marTop w:val="0"/>
          <w:marBottom w:val="0"/>
          <w:divBdr>
            <w:top w:val="none" w:sz="0" w:space="0" w:color="auto"/>
            <w:left w:val="none" w:sz="0" w:space="0" w:color="auto"/>
            <w:bottom w:val="none" w:sz="0" w:space="0" w:color="auto"/>
            <w:right w:val="none" w:sz="0" w:space="0" w:color="auto"/>
          </w:divBdr>
        </w:div>
        <w:div w:id="2122601602">
          <w:marLeft w:val="640"/>
          <w:marRight w:val="0"/>
          <w:marTop w:val="0"/>
          <w:marBottom w:val="0"/>
          <w:divBdr>
            <w:top w:val="none" w:sz="0" w:space="0" w:color="auto"/>
            <w:left w:val="none" w:sz="0" w:space="0" w:color="auto"/>
            <w:bottom w:val="none" w:sz="0" w:space="0" w:color="auto"/>
            <w:right w:val="none" w:sz="0" w:space="0" w:color="auto"/>
          </w:divBdr>
        </w:div>
        <w:div w:id="341588697">
          <w:marLeft w:val="640"/>
          <w:marRight w:val="0"/>
          <w:marTop w:val="0"/>
          <w:marBottom w:val="0"/>
          <w:divBdr>
            <w:top w:val="none" w:sz="0" w:space="0" w:color="auto"/>
            <w:left w:val="none" w:sz="0" w:space="0" w:color="auto"/>
            <w:bottom w:val="none" w:sz="0" w:space="0" w:color="auto"/>
            <w:right w:val="none" w:sz="0" w:space="0" w:color="auto"/>
          </w:divBdr>
        </w:div>
        <w:div w:id="81807153">
          <w:marLeft w:val="640"/>
          <w:marRight w:val="0"/>
          <w:marTop w:val="0"/>
          <w:marBottom w:val="0"/>
          <w:divBdr>
            <w:top w:val="none" w:sz="0" w:space="0" w:color="auto"/>
            <w:left w:val="none" w:sz="0" w:space="0" w:color="auto"/>
            <w:bottom w:val="none" w:sz="0" w:space="0" w:color="auto"/>
            <w:right w:val="none" w:sz="0" w:space="0" w:color="auto"/>
          </w:divBdr>
        </w:div>
        <w:div w:id="581598511">
          <w:marLeft w:val="640"/>
          <w:marRight w:val="0"/>
          <w:marTop w:val="0"/>
          <w:marBottom w:val="0"/>
          <w:divBdr>
            <w:top w:val="none" w:sz="0" w:space="0" w:color="auto"/>
            <w:left w:val="none" w:sz="0" w:space="0" w:color="auto"/>
            <w:bottom w:val="none" w:sz="0" w:space="0" w:color="auto"/>
            <w:right w:val="none" w:sz="0" w:space="0" w:color="auto"/>
          </w:divBdr>
        </w:div>
        <w:div w:id="1809932663">
          <w:marLeft w:val="640"/>
          <w:marRight w:val="0"/>
          <w:marTop w:val="0"/>
          <w:marBottom w:val="0"/>
          <w:divBdr>
            <w:top w:val="none" w:sz="0" w:space="0" w:color="auto"/>
            <w:left w:val="none" w:sz="0" w:space="0" w:color="auto"/>
            <w:bottom w:val="none" w:sz="0" w:space="0" w:color="auto"/>
            <w:right w:val="none" w:sz="0" w:space="0" w:color="auto"/>
          </w:divBdr>
        </w:div>
        <w:div w:id="1016541638">
          <w:marLeft w:val="640"/>
          <w:marRight w:val="0"/>
          <w:marTop w:val="0"/>
          <w:marBottom w:val="0"/>
          <w:divBdr>
            <w:top w:val="none" w:sz="0" w:space="0" w:color="auto"/>
            <w:left w:val="none" w:sz="0" w:space="0" w:color="auto"/>
            <w:bottom w:val="none" w:sz="0" w:space="0" w:color="auto"/>
            <w:right w:val="none" w:sz="0" w:space="0" w:color="auto"/>
          </w:divBdr>
        </w:div>
        <w:div w:id="985665170">
          <w:marLeft w:val="640"/>
          <w:marRight w:val="0"/>
          <w:marTop w:val="0"/>
          <w:marBottom w:val="0"/>
          <w:divBdr>
            <w:top w:val="none" w:sz="0" w:space="0" w:color="auto"/>
            <w:left w:val="none" w:sz="0" w:space="0" w:color="auto"/>
            <w:bottom w:val="none" w:sz="0" w:space="0" w:color="auto"/>
            <w:right w:val="none" w:sz="0" w:space="0" w:color="auto"/>
          </w:divBdr>
        </w:div>
        <w:div w:id="611863394">
          <w:marLeft w:val="640"/>
          <w:marRight w:val="0"/>
          <w:marTop w:val="0"/>
          <w:marBottom w:val="0"/>
          <w:divBdr>
            <w:top w:val="none" w:sz="0" w:space="0" w:color="auto"/>
            <w:left w:val="none" w:sz="0" w:space="0" w:color="auto"/>
            <w:bottom w:val="none" w:sz="0" w:space="0" w:color="auto"/>
            <w:right w:val="none" w:sz="0" w:space="0" w:color="auto"/>
          </w:divBdr>
        </w:div>
        <w:div w:id="582880807">
          <w:marLeft w:val="640"/>
          <w:marRight w:val="0"/>
          <w:marTop w:val="0"/>
          <w:marBottom w:val="0"/>
          <w:divBdr>
            <w:top w:val="none" w:sz="0" w:space="0" w:color="auto"/>
            <w:left w:val="none" w:sz="0" w:space="0" w:color="auto"/>
            <w:bottom w:val="none" w:sz="0" w:space="0" w:color="auto"/>
            <w:right w:val="none" w:sz="0" w:space="0" w:color="auto"/>
          </w:divBdr>
        </w:div>
        <w:div w:id="656030071">
          <w:marLeft w:val="640"/>
          <w:marRight w:val="0"/>
          <w:marTop w:val="0"/>
          <w:marBottom w:val="0"/>
          <w:divBdr>
            <w:top w:val="none" w:sz="0" w:space="0" w:color="auto"/>
            <w:left w:val="none" w:sz="0" w:space="0" w:color="auto"/>
            <w:bottom w:val="none" w:sz="0" w:space="0" w:color="auto"/>
            <w:right w:val="none" w:sz="0" w:space="0" w:color="auto"/>
          </w:divBdr>
        </w:div>
        <w:div w:id="1914851633">
          <w:marLeft w:val="640"/>
          <w:marRight w:val="0"/>
          <w:marTop w:val="0"/>
          <w:marBottom w:val="0"/>
          <w:divBdr>
            <w:top w:val="none" w:sz="0" w:space="0" w:color="auto"/>
            <w:left w:val="none" w:sz="0" w:space="0" w:color="auto"/>
            <w:bottom w:val="none" w:sz="0" w:space="0" w:color="auto"/>
            <w:right w:val="none" w:sz="0" w:space="0" w:color="auto"/>
          </w:divBdr>
        </w:div>
        <w:div w:id="1402018602">
          <w:marLeft w:val="640"/>
          <w:marRight w:val="0"/>
          <w:marTop w:val="0"/>
          <w:marBottom w:val="0"/>
          <w:divBdr>
            <w:top w:val="none" w:sz="0" w:space="0" w:color="auto"/>
            <w:left w:val="none" w:sz="0" w:space="0" w:color="auto"/>
            <w:bottom w:val="none" w:sz="0" w:space="0" w:color="auto"/>
            <w:right w:val="none" w:sz="0" w:space="0" w:color="auto"/>
          </w:divBdr>
        </w:div>
        <w:div w:id="1195733743">
          <w:marLeft w:val="640"/>
          <w:marRight w:val="0"/>
          <w:marTop w:val="0"/>
          <w:marBottom w:val="0"/>
          <w:divBdr>
            <w:top w:val="none" w:sz="0" w:space="0" w:color="auto"/>
            <w:left w:val="none" w:sz="0" w:space="0" w:color="auto"/>
            <w:bottom w:val="none" w:sz="0" w:space="0" w:color="auto"/>
            <w:right w:val="none" w:sz="0" w:space="0" w:color="auto"/>
          </w:divBdr>
        </w:div>
        <w:div w:id="1444305300">
          <w:marLeft w:val="640"/>
          <w:marRight w:val="0"/>
          <w:marTop w:val="0"/>
          <w:marBottom w:val="0"/>
          <w:divBdr>
            <w:top w:val="none" w:sz="0" w:space="0" w:color="auto"/>
            <w:left w:val="none" w:sz="0" w:space="0" w:color="auto"/>
            <w:bottom w:val="none" w:sz="0" w:space="0" w:color="auto"/>
            <w:right w:val="none" w:sz="0" w:space="0" w:color="auto"/>
          </w:divBdr>
        </w:div>
        <w:div w:id="206796080">
          <w:marLeft w:val="640"/>
          <w:marRight w:val="0"/>
          <w:marTop w:val="0"/>
          <w:marBottom w:val="0"/>
          <w:divBdr>
            <w:top w:val="none" w:sz="0" w:space="0" w:color="auto"/>
            <w:left w:val="none" w:sz="0" w:space="0" w:color="auto"/>
            <w:bottom w:val="none" w:sz="0" w:space="0" w:color="auto"/>
            <w:right w:val="none" w:sz="0" w:space="0" w:color="auto"/>
          </w:divBdr>
        </w:div>
        <w:div w:id="2057467483">
          <w:marLeft w:val="640"/>
          <w:marRight w:val="0"/>
          <w:marTop w:val="0"/>
          <w:marBottom w:val="0"/>
          <w:divBdr>
            <w:top w:val="none" w:sz="0" w:space="0" w:color="auto"/>
            <w:left w:val="none" w:sz="0" w:space="0" w:color="auto"/>
            <w:bottom w:val="none" w:sz="0" w:space="0" w:color="auto"/>
            <w:right w:val="none" w:sz="0" w:space="0" w:color="auto"/>
          </w:divBdr>
        </w:div>
        <w:div w:id="776372127">
          <w:marLeft w:val="640"/>
          <w:marRight w:val="0"/>
          <w:marTop w:val="0"/>
          <w:marBottom w:val="0"/>
          <w:divBdr>
            <w:top w:val="none" w:sz="0" w:space="0" w:color="auto"/>
            <w:left w:val="none" w:sz="0" w:space="0" w:color="auto"/>
            <w:bottom w:val="none" w:sz="0" w:space="0" w:color="auto"/>
            <w:right w:val="none" w:sz="0" w:space="0" w:color="auto"/>
          </w:divBdr>
        </w:div>
        <w:div w:id="1533764950">
          <w:marLeft w:val="640"/>
          <w:marRight w:val="0"/>
          <w:marTop w:val="0"/>
          <w:marBottom w:val="0"/>
          <w:divBdr>
            <w:top w:val="none" w:sz="0" w:space="0" w:color="auto"/>
            <w:left w:val="none" w:sz="0" w:space="0" w:color="auto"/>
            <w:bottom w:val="none" w:sz="0" w:space="0" w:color="auto"/>
            <w:right w:val="none" w:sz="0" w:space="0" w:color="auto"/>
          </w:divBdr>
        </w:div>
        <w:div w:id="31808968">
          <w:marLeft w:val="640"/>
          <w:marRight w:val="0"/>
          <w:marTop w:val="0"/>
          <w:marBottom w:val="0"/>
          <w:divBdr>
            <w:top w:val="none" w:sz="0" w:space="0" w:color="auto"/>
            <w:left w:val="none" w:sz="0" w:space="0" w:color="auto"/>
            <w:bottom w:val="none" w:sz="0" w:space="0" w:color="auto"/>
            <w:right w:val="none" w:sz="0" w:space="0" w:color="auto"/>
          </w:divBdr>
        </w:div>
        <w:div w:id="459492844">
          <w:marLeft w:val="640"/>
          <w:marRight w:val="0"/>
          <w:marTop w:val="0"/>
          <w:marBottom w:val="0"/>
          <w:divBdr>
            <w:top w:val="none" w:sz="0" w:space="0" w:color="auto"/>
            <w:left w:val="none" w:sz="0" w:space="0" w:color="auto"/>
            <w:bottom w:val="none" w:sz="0" w:space="0" w:color="auto"/>
            <w:right w:val="none" w:sz="0" w:space="0" w:color="auto"/>
          </w:divBdr>
        </w:div>
        <w:div w:id="158277730">
          <w:marLeft w:val="640"/>
          <w:marRight w:val="0"/>
          <w:marTop w:val="0"/>
          <w:marBottom w:val="0"/>
          <w:divBdr>
            <w:top w:val="none" w:sz="0" w:space="0" w:color="auto"/>
            <w:left w:val="none" w:sz="0" w:space="0" w:color="auto"/>
            <w:bottom w:val="none" w:sz="0" w:space="0" w:color="auto"/>
            <w:right w:val="none" w:sz="0" w:space="0" w:color="auto"/>
          </w:divBdr>
        </w:div>
        <w:div w:id="1707633612">
          <w:marLeft w:val="640"/>
          <w:marRight w:val="0"/>
          <w:marTop w:val="0"/>
          <w:marBottom w:val="0"/>
          <w:divBdr>
            <w:top w:val="none" w:sz="0" w:space="0" w:color="auto"/>
            <w:left w:val="none" w:sz="0" w:space="0" w:color="auto"/>
            <w:bottom w:val="none" w:sz="0" w:space="0" w:color="auto"/>
            <w:right w:val="none" w:sz="0" w:space="0" w:color="auto"/>
          </w:divBdr>
        </w:div>
        <w:div w:id="257640548">
          <w:marLeft w:val="640"/>
          <w:marRight w:val="0"/>
          <w:marTop w:val="0"/>
          <w:marBottom w:val="0"/>
          <w:divBdr>
            <w:top w:val="none" w:sz="0" w:space="0" w:color="auto"/>
            <w:left w:val="none" w:sz="0" w:space="0" w:color="auto"/>
            <w:bottom w:val="none" w:sz="0" w:space="0" w:color="auto"/>
            <w:right w:val="none" w:sz="0" w:space="0" w:color="auto"/>
          </w:divBdr>
        </w:div>
        <w:div w:id="1513836246">
          <w:marLeft w:val="640"/>
          <w:marRight w:val="0"/>
          <w:marTop w:val="0"/>
          <w:marBottom w:val="0"/>
          <w:divBdr>
            <w:top w:val="none" w:sz="0" w:space="0" w:color="auto"/>
            <w:left w:val="none" w:sz="0" w:space="0" w:color="auto"/>
            <w:bottom w:val="none" w:sz="0" w:space="0" w:color="auto"/>
            <w:right w:val="none" w:sz="0" w:space="0" w:color="auto"/>
          </w:divBdr>
        </w:div>
        <w:div w:id="244191757">
          <w:marLeft w:val="640"/>
          <w:marRight w:val="0"/>
          <w:marTop w:val="0"/>
          <w:marBottom w:val="0"/>
          <w:divBdr>
            <w:top w:val="none" w:sz="0" w:space="0" w:color="auto"/>
            <w:left w:val="none" w:sz="0" w:space="0" w:color="auto"/>
            <w:bottom w:val="none" w:sz="0" w:space="0" w:color="auto"/>
            <w:right w:val="none" w:sz="0" w:space="0" w:color="auto"/>
          </w:divBdr>
        </w:div>
        <w:div w:id="855072288">
          <w:marLeft w:val="640"/>
          <w:marRight w:val="0"/>
          <w:marTop w:val="0"/>
          <w:marBottom w:val="0"/>
          <w:divBdr>
            <w:top w:val="none" w:sz="0" w:space="0" w:color="auto"/>
            <w:left w:val="none" w:sz="0" w:space="0" w:color="auto"/>
            <w:bottom w:val="none" w:sz="0" w:space="0" w:color="auto"/>
            <w:right w:val="none" w:sz="0" w:space="0" w:color="auto"/>
          </w:divBdr>
        </w:div>
        <w:div w:id="1532188877">
          <w:marLeft w:val="640"/>
          <w:marRight w:val="0"/>
          <w:marTop w:val="0"/>
          <w:marBottom w:val="0"/>
          <w:divBdr>
            <w:top w:val="none" w:sz="0" w:space="0" w:color="auto"/>
            <w:left w:val="none" w:sz="0" w:space="0" w:color="auto"/>
            <w:bottom w:val="none" w:sz="0" w:space="0" w:color="auto"/>
            <w:right w:val="none" w:sz="0" w:space="0" w:color="auto"/>
          </w:divBdr>
        </w:div>
        <w:div w:id="778137930">
          <w:marLeft w:val="640"/>
          <w:marRight w:val="0"/>
          <w:marTop w:val="0"/>
          <w:marBottom w:val="0"/>
          <w:divBdr>
            <w:top w:val="none" w:sz="0" w:space="0" w:color="auto"/>
            <w:left w:val="none" w:sz="0" w:space="0" w:color="auto"/>
            <w:bottom w:val="none" w:sz="0" w:space="0" w:color="auto"/>
            <w:right w:val="none" w:sz="0" w:space="0" w:color="auto"/>
          </w:divBdr>
        </w:div>
        <w:div w:id="1936864538">
          <w:marLeft w:val="640"/>
          <w:marRight w:val="0"/>
          <w:marTop w:val="0"/>
          <w:marBottom w:val="0"/>
          <w:divBdr>
            <w:top w:val="none" w:sz="0" w:space="0" w:color="auto"/>
            <w:left w:val="none" w:sz="0" w:space="0" w:color="auto"/>
            <w:bottom w:val="none" w:sz="0" w:space="0" w:color="auto"/>
            <w:right w:val="none" w:sz="0" w:space="0" w:color="auto"/>
          </w:divBdr>
        </w:div>
        <w:div w:id="2108306698">
          <w:marLeft w:val="640"/>
          <w:marRight w:val="0"/>
          <w:marTop w:val="0"/>
          <w:marBottom w:val="0"/>
          <w:divBdr>
            <w:top w:val="none" w:sz="0" w:space="0" w:color="auto"/>
            <w:left w:val="none" w:sz="0" w:space="0" w:color="auto"/>
            <w:bottom w:val="none" w:sz="0" w:space="0" w:color="auto"/>
            <w:right w:val="none" w:sz="0" w:space="0" w:color="auto"/>
          </w:divBdr>
        </w:div>
        <w:div w:id="818500584">
          <w:marLeft w:val="640"/>
          <w:marRight w:val="0"/>
          <w:marTop w:val="0"/>
          <w:marBottom w:val="0"/>
          <w:divBdr>
            <w:top w:val="none" w:sz="0" w:space="0" w:color="auto"/>
            <w:left w:val="none" w:sz="0" w:space="0" w:color="auto"/>
            <w:bottom w:val="none" w:sz="0" w:space="0" w:color="auto"/>
            <w:right w:val="none" w:sz="0" w:space="0" w:color="auto"/>
          </w:divBdr>
        </w:div>
        <w:div w:id="620840946">
          <w:marLeft w:val="640"/>
          <w:marRight w:val="0"/>
          <w:marTop w:val="0"/>
          <w:marBottom w:val="0"/>
          <w:divBdr>
            <w:top w:val="none" w:sz="0" w:space="0" w:color="auto"/>
            <w:left w:val="none" w:sz="0" w:space="0" w:color="auto"/>
            <w:bottom w:val="none" w:sz="0" w:space="0" w:color="auto"/>
            <w:right w:val="none" w:sz="0" w:space="0" w:color="auto"/>
          </w:divBdr>
        </w:div>
        <w:div w:id="2005278538">
          <w:marLeft w:val="640"/>
          <w:marRight w:val="0"/>
          <w:marTop w:val="0"/>
          <w:marBottom w:val="0"/>
          <w:divBdr>
            <w:top w:val="none" w:sz="0" w:space="0" w:color="auto"/>
            <w:left w:val="none" w:sz="0" w:space="0" w:color="auto"/>
            <w:bottom w:val="none" w:sz="0" w:space="0" w:color="auto"/>
            <w:right w:val="none" w:sz="0" w:space="0" w:color="auto"/>
          </w:divBdr>
        </w:div>
        <w:div w:id="1492133770">
          <w:marLeft w:val="640"/>
          <w:marRight w:val="0"/>
          <w:marTop w:val="0"/>
          <w:marBottom w:val="0"/>
          <w:divBdr>
            <w:top w:val="none" w:sz="0" w:space="0" w:color="auto"/>
            <w:left w:val="none" w:sz="0" w:space="0" w:color="auto"/>
            <w:bottom w:val="none" w:sz="0" w:space="0" w:color="auto"/>
            <w:right w:val="none" w:sz="0" w:space="0" w:color="auto"/>
          </w:divBdr>
        </w:div>
        <w:div w:id="262305774">
          <w:marLeft w:val="640"/>
          <w:marRight w:val="0"/>
          <w:marTop w:val="0"/>
          <w:marBottom w:val="0"/>
          <w:divBdr>
            <w:top w:val="none" w:sz="0" w:space="0" w:color="auto"/>
            <w:left w:val="none" w:sz="0" w:space="0" w:color="auto"/>
            <w:bottom w:val="none" w:sz="0" w:space="0" w:color="auto"/>
            <w:right w:val="none" w:sz="0" w:space="0" w:color="auto"/>
          </w:divBdr>
        </w:div>
        <w:div w:id="326636582">
          <w:marLeft w:val="640"/>
          <w:marRight w:val="0"/>
          <w:marTop w:val="0"/>
          <w:marBottom w:val="0"/>
          <w:divBdr>
            <w:top w:val="none" w:sz="0" w:space="0" w:color="auto"/>
            <w:left w:val="none" w:sz="0" w:space="0" w:color="auto"/>
            <w:bottom w:val="none" w:sz="0" w:space="0" w:color="auto"/>
            <w:right w:val="none" w:sz="0" w:space="0" w:color="auto"/>
          </w:divBdr>
        </w:div>
        <w:div w:id="398476380">
          <w:marLeft w:val="640"/>
          <w:marRight w:val="0"/>
          <w:marTop w:val="0"/>
          <w:marBottom w:val="0"/>
          <w:divBdr>
            <w:top w:val="none" w:sz="0" w:space="0" w:color="auto"/>
            <w:left w:val="none" w:sz="0" w:space="0" w:color="auto"/>
            <w:bottom w:val="none" w:sz="0" w:space="0" w:color="auto"/>
            <w:right w:val="none" w:sz="0" w:space="0" w:color="auto"/>
          </w:divBdr>
        </w:div>
        <w:div w:id="536747335">
          <w:marLeft w:val="640"/>
          <w:marRight w:val="0"/>
          <w:marTop w:val="0"/>
          <w:marBottom w:val="0"/>
          <w:divBdr>
            <w:top w:val="none" w:sz="0" w:space="0" w:color="auto"/>
            <w:left w:val="none" w:sz="0" w:space="0" w:color="auto"/>
            <w:bottom w:val="none" w:sz="0" w:space="0" w:color="auto"/>
            <w:right w:val="none" w:sz="0" w:space="0" w:color="auto"/>
          </w:divBdr>
        </w:div>
        <w:div w:id="526480558">
          <w:marLeft w:val="640"/>
          <w:marRight w:val="0"/>
          <w:marTop w:val="0"/>
          <w:marBottom w:val="0"/>
          <w:divBdr>
            <w:top w:val="none" w:sz="0" w:space="0" w:color="auto"/>
            <w:left w:val="none" w:sz="0" w:space="0" w:color="auto"/>
            <w:bottom w:val="none" w:sz="0" w:space="0" w:color="auto"/>
            <w:right w:val="none" w:sz="0" w:space="0" w:color="auto"/>
          </w:divBdr>
        </w:div>
        <w:div w:id="1162308707">
          <w:marLeft w:val="640"/>
          <w:marRight w:val="0"/>
          <w:marTop w:val="0"/>
          <w:marBottom w:val="0"/>
          <w:divBdr>
            <w:top w:val="none" w:sz="0" w:space="0" w:color="auto"/>
            <w:left w:val="none" w:sz="0" w:space="0" w:color="auto"/>
            <w:bottom w:val="none" w:sz="0" w:space="0" w:color="auto"/>
            <w:right w:val="none" w:sz="0" w:space="0" w:color="auto"/>
          </w:divBdr>
        </w:div>
      </w:divsChild>
    </w:div>
    <w:div w:id="220944693">
      <w:bodyDiv w:val="1"/>
      <w:marLeft w:val="0"/>
      <w:marRight w:val="0"/>
      <w:marTop w:val="0"/>
      <w:marBottom w:val="0"/>
      <w:divBdr>
        <w:top w:val="none" w:sz="0" w:space="0" w:color="auto"/>
        <w:left w:val="none" w:sz="0" w:space="0" w:color="auto"/>
        <w:bottom w:val="none" w:sz="0" w:space="0" w:color="auto"/>
        <w:right w:val="none" w:sz="0" w:space="0" w:color="auto"/>
      </w:divBdr>
      <w:divsChild>
        <w:div w:id="444621985">
          <w:marLeft w:val="640"/>
          <w:marRight w:val="0"/>
          <w:marTop w:val="0"/>
          <w:marBottom w:val="0"/>
          <w:divBdr>
            <w:top w:val="none" w:sz="0" w:space="0" w:color="auto"/>
            <w:left w:val="none" w:sz="0" w:space="0" w:color="auto"/>
            <w:bottom w:val="none" w:sz="0" w:space="0" w:color="auto"/>
            <w:right w:val="none" w:sz="0" w:space="0" w:color="auto"/>
          </w:divBdr>
        </w:div>
        <w:div w:id="1772117784">
          <w:marLeft w:val="640"/>
          <w:marRight w:val="0"/>
          <w:marTop w:val="0"/>
          <w:marBottom w:val="0"/>
          <w:divBdr>
            <w:top w:val="none" w:sz="0" w:space="0" w:color="auto"/>
            <w:left w:val="none" w:sz="0" w:space="0" w:color="auto"/>
            <w:bottom w:val="none" w:sz="0" w:space="0" w:color="auto"/>
            <w:right w:val="none" w:sz="0" w:space="0" w:color="auto"/>
          </w:divBdr>
        </w:div>
        <w:div w:id="624309199">
          <w:marLeft w:val="640"/>
          <w:marRight w:val="0"/>
          <w:marTop w:val="0"/>
          <w:marBottom w:val="0"/>
          <w:divBdr>
            <w:top w:val="none" w:sz="0" w:space="0" w:color="auto"/>
            <w:left w:val="none" w:sz="0" w:space="0" w:color="auto"/>
            <w:bottom w:val="none" w:sz="0" w:space="0" w:color="auto"/>
            <w:right w:val="none" w:sz="0" w:space="0" w:color="auto"/>
          </w:divBdr>
        </w:div>
        <w:div w:id="250819179">
          <w:marLeft w:val="640"/>
          <w:marRight w:val="0"/>
          <w:marTop w:val="0"/>
          <w:marBottom w:val="0"/>
          <w:divBdr>
            <w:top w:val="none" w:sz="0" w:space="0" w:color="auto"/>
            <w:left w:val="none" w:sz="0" w:space="0" w:color="auto"/>
            <w:bottom w:val="none" w:sz="0" w:space="0" w:color="auto"/>
            <w:right w:val="none" w:sz="0" w:space="0" w:color="auto"/>
          </w:divBdr>
        </w:div>
        <w:div w:id="1183741211">
          <w:marLeft w:val="640"/>
          <w:marRight w:val="0"/>
          <w:marTop w:val="0"/>
          <w:marBottom w:val="0"/>
          <w:divBdr>
            <w:top w:val="none" w:sz="0" w:space="0" w:color="auto"/>
            <w:left w:val="none" w:sz="0" w:space="0" w:color="auto"/>
            <w:bottom w:val="none" w:sz="0" w:space="0" w:color="auto"/>
            <w:right w:val="none" w:sz="0" w:space="0" w:color="auto"/>
          </w:divBdr>
        </w:div>
        <w:div w:id="157774748">
          <w:marLeft w:val="640"/>
          <w:marRight w:val="0"/>
          <w:marTop w:val="0"/>
          <w:marBottom w:val="0"/>
          <w:divBdr>
            <w:top w:val="none" w:sz="0" w:space="0" w:color="auto"/>
            <w:left w:val="none" w:sz="0" w:space="0" w:color="auto"/>
            <w:bottom w:val="none" w:sz="0" w:space="0" w:color="auto"/>
            <w:right w:val="none" w:sz="0" w:space="0" w:color="auto"/>
          </w:divBdr>
        </w:div>
        <w:div w:id="935360051">
          <w:marLeft w:val="640"/>
          <w:marRight w:val="0"/>
          <w:marTop w:val="0"/>
          <w:marBottom w:val="0"/>
          <w:divBdr>
            <w:top w:val="none" w:sz="0" w:space="0" w:color="auto"/>
            <w:left w:val="none" w:sz="0" w:space="0" w:color="auto"/>
            <w:bottom w:val="none" w:sz="0" w:space="0" w:color="auto"/>
            <w:right w:val="none" w:sz="0" w:space="0" w:color="auto"/>
          </w:divBdr>
        </w:div>
        <w:div w:id="1632707456">
          <w:marLeft w:val="640"/>
          <w:marRight w:val="0"/>
          <w:marTop w:val="0"/>
          <w:marBottom w:val="0"/>
          <w:divBdr>
            <w:top w:val="none" w:sz="0" w:space="0" w:color="auto"/>
            <w:left w:val="none" w:sz="0" w:space="0" w:color="auto"/>
            <w:bottom w:val="none" w:sz="0" w:space="0" w:color="auto"/>
            <w:right w:val="none" w:sz="0" w:space="0" w:color="auto"/>
          </w:divBdr>
        </w:div>
        <w:div w:id="1053701722">
          <w:marLeft w:val="640"/>
          <w:marRight w:val="0"/>
          <w:marTop w:val="0"/>
          <w:marBottom w:val="0"/>
          <w:divBdr>
            <w:top w:val="none" w:sz="0" w:space="0" w:color="auto"/>
            <w:left w:val="none" w:sz="0" w:space="0" w:color="auto"/>
            <w:bottom w:val="none" w:sz="0" w:space="0" w:color="auto"/>
            <w:right w:val="none" w:sz="0" w:space="0" w:color="auto"/>
          </w:divBdr>
        </w:div>
        <w:div w:id="1670600814">
          <w:marLeft w:val="640"/>
          <w:marRight w:val="0"/>
          <w:marTop w:val="0"/>
          <w:marBottom w:val="0"/>
          <w:divBdr>
            <w:top w:val="none" w:sz="0" w:space="0" w:color="auto"/>
            <w:left w:val="none" w:sz="0" w:space="0" w:color="auto"/>
            <w:bottom w:val="none" w:sz="0" w:space="0" w:color="auto"/>
            <w:right w:val="none" w:sz="0" w:space="0" w:color="auto"/>
          </w:divBdr>
        </w:div>
        <w:div w:id="1451895087">
          <w:marLeft w:val="640"/>
          <w:marRight w:val="0"/>
          <w:marTop w:val="0"/>
          <w:marBottom w:val="0"/>
          <w:divBdr>
            <w:top w:val="none" w:sz="0" w:space="0" w:color="auto"/>
            <w:left w:val="none" w:sz="0" w:space="0" w:color="auto"/>
            <w:bottom w:val="none" w:sz="0" w:space="0" w:color="auto"/>
            <w:right w:val="none" w:sz="0" w:space="0" w:color="auto"/>
          </w:divBdr>
        </w:div>
        <w:div w:id="1148522922">
          <w:marLeft w:val="640"/>
          <w:marRight w:val="0"/>
          <w:marTop w:val="0"/>
          <w:marBottom w:val="0"/>
          <w:divBdr>
            <w:top w:val="none" w:sz="0" w:space="0" w:color="auto"/>
            <w:left w:val="none" w:sz="0" w:space="0" w:color="auto"/>
            <w:bottom w:val="none" w:sz="0" w:space="0" w:color="auto"/>
            <w:right w:val="none" w:sz="0" w:space="0" w:color="auto"/>
          </w:divBdr>
        </w:div>
        <w:div w:id="1145004578">
          <w:marLeft w:val="640"/>
          <w:marRight w:val="0"/>
          <w:marTop w:val="0"/>
          <w:marBottom w:val="0"/>
          <w:divBdr>
            <w:top w:val="none" w:sz="0" w:space="0" w:color="auto"/>
            <w:left w:val="none" w:sz="0" w:space="0" w:color="auto"/>
            <w:bottom w:val="none" w:sz="0" w:space="0" w:color="auto"/>
            <w:right w:val="none" w:sz="0" w:space="0" w:color="auto"/>
          </w:divBdr>
        </w:div>
        <w:div w:id="975985327">
          <w:marLeft w:val="640"/>
          <w:marRight w:val="0"/>
          <w:marTop w:val="0"/>
          <w:marBottom w:val="0"/>
          <w:divBdr>
            <w:top w:val="none" w:sz="0" w:space="0" w:color="auto"/>
            <w:left w:val="none" w:sz="0" w:space="0" w:color="auto"/>
            <w:bottom w:val="none" w:sz="0" w:space="0" w:color="auto"/>
            <w:right w:val="none" w:sz="0" w:space="0" w:color="auto"/>
          </w:divBdr>
        </w:div>
        <w:div w:id="526602561">
          <w:marLeft w:val="640"/>
          <w:marRight w:val="0"/>
          <w:marTop w:val="0"/>
          <w:marBottom w:val="0"/>
          <w:divBdr>
            <w:top w:val="none" w:sz="0" w:space="0" w:color="auto"/>
            <w:left w:val="none" w:sz="0" w:space="0" w:color="auto"/>
            <w:bottom w:val="none" w:sz="0" w:space="0" w:color="auto"/>
            <w:right w:val="none" w:sz="0" w:space="0" w:color="auto"/>
          </w:divBdr>
        </w:div>
        <w:div w:id="1780879173">
          <w:marLeft w:val="640"/>
          <w:marRight w:val="0"/>
          <w:marTop w:val="0"/>
          <w:marBottom w:val="0"/>
          <w:divBdr>
            <w:top w:val="none" w:sz="0" w:space="0" w:color="auto"/>
            <w:left w:val="none" w:sz="0" w:space="0" w:color="auto"/>
            <w:bottom w:val="none" w:sz="0" w:space="0" w:color="auto"/>
            <w:right w:val="none" w:sz="0" w:space="0" w:color="auto"/>
          </w:divBdr>
        </w:div>
        <w:div w:id="930242254">
          <w:marLeft w:val="640"/>
          <w:marRight w:val="0"/>
          <w:marTop w:val="0"/>
          <w:marBottom w:val="0"/>
          <w:divBdr>
            <w:top w:val="none" w:sz="0" w:space="0" w:color="auto"/>
            <w:left w:val="none" w:sz="0" w:space="0" w:color="auto"/>
            <w:bottom w:val="none" w:sz="0" w:space="0" w:color="auto"/>
            <w:right w:val="none" w:sz="0" w:space="0" w:color="auto"/>
          </w:divBdr>
        </w:div>
        <w:div w:id="642740627">
          <w:marLeft w:val="640"/>
          <w:marRight w:val="0"/>
          <w:marTop w:val="0"/>
          <w:marBottom w:val="0"/>
          <w:divBdr>
            <w:top w:val="none" w:sz="0" w:space="0" w:color="auto"/>
            <w:left w:val="none" w:sz="0" w:space="0" w:color="auto"/>
            <w:bottom w:val="none" w:sz="0" w:space="0" w:color="auto"/>
            <w:right w:val="none" w:sz="0" w:space="0" w:color="auto"/>
          </w:divBdr>
        </w:div>
        <w:div w:id="1625765792">
          <w:marLeft w:val="640"/>
          <w:marRight w:val="0"/>
          <w:marTop w:val="0"/>
          <w:marBottom w:val="0"/>
          <w:divBdr>
            <w:top w:val="none" w:sz="0" w:space="0" w:color="auto"/>
            <w:left w:val="none" w:sz="0" w:space="0" w:color="auto"/>
            <w:bottom w:val="none" w:sz="0" w:space="0" w:color="auto"/>
            <w:right w:val="none" w:sz="0" w:space="0" w:color="auto"/>
          </w:divBdr>
        </w:div>
        <w:div w:id="265699359">
          <w:marLeft w:val="640"/>
          <w:marRight w:val="0"/>
          <w:marTop w:val="0"/>
          <w:marBottom w:val="0"/>
          <w:divBdr>
            <w:top w:val="none" w:sz="0" w:space="0" w:color="auto"/>
            <w:left w:val="none" w:sz="0" w:space="0" w:color="auto"/>
            <w:bottom w:val="none" w:sz="0" w:space="0" w:color="auto"/>
            <w:right w:val="none" w:sz="0" w:space="0" w:color="auto"/>
          </w:divBdr>
        </w:div>
        <w:div w:id="1355615341">
          <w:marLeft w:val="640"/>
          <w:marRight w:val="0"/>
          <w:marTop w:val="0"/>
          <w:marBottom w:val="0"/>
          <w:divBdr>
            <w:top w:val="none" w:sz="0" w:space="0" w:color="auto"/>
            <w:left w:val="none" w:sz="0" w:space="0" w:color="auto"/>
            <w:bottom w:val="none" w:sz="0" w:space="0" w:color="auto"/>
            <w:right w:val="none" w:sz="0" w:space="0" w:color="auto"/>
          </w:divBdr>
        </w:div>
        <w:div w:id="1566918259">
          <w:marLeft w:val="640"/>
          <w:marRight w:val="0"/>
          <w:marTop w:val="0"/>
          <w:marBottom w:val="0"/>
          <w:divBdr>
            <w:top w:val="none" w:sz="0" w:space="0" w:color="auto"/>
            <w:left w:val="none" w:sz="0" w:space="0" w:color="auto"/>
            <w:bottom w:val="none" w:sz="0" w:space="0" w:color="auto"/>
            <w:right w:val="none" w:sz="0" w:space="0" w:color="auto"/>
          </w:divBdr>
        </w:div>
        <w:div w:id="1113134296">
          <w:marLeft w:val="640"/>
          <w:marRight w:val="0"/>
          <w:marTop w:val="0"/>
          <w:marBottom w:val="0"/>
          <w:divBdr>
            <w:top w:val="none" w:sz="0" w:space="0" w:color="auto"/>
            <w:left w:val="none" w:sz="0" w:space="0" w:color="auto"/>
            <w:bottom w:val="none" w:sz="0" w:space="0" w:color="auto"/>
            <w:right w:val="none" w:sz="0" w:space="0" w:color="auto"/>
          </w:divBdr>
        </w:div>
        <w:div w:id="322005255">
          <w:marLeft w:val="640"/>
          <w:marRight w:val="0"/>
          <w:marTop w:val="0"/>
          <w:marBottom w:val="0"/>
          <w:divBdr>
            <w:top w:val="none" w:sz="0" w:space="0" w:color="auto"/>
            <w:left w:val="none" w:sz="0" w:space="0" w:color="auto"/>
            <w:bottom w:val="none" w:sz="0" w:space="0" w:color="auto"/>
            <w:right w:val="none" w:sz="0" w:space="0" w:color="auto"/>
          </w:divBdr>
        </w:div>
        <w:div w:id="1151142775">
          <w:marLeft w:val="640"/>
          <w:marRight w:val="0"/>
          <w:marTop w:val="0"/>
          <w:marBottom w:val="0"/>
          <w:divBdr>
            <w:top w:val="none" w:sz="0" w:space="0" w:color="auto"/>
            <w:left w:val="none" w:sz="0" w:space="0" w:color="auto"/>
            <w:bottom w:val="none" w:sz="0" w:space="0" w:color="auto"/>
            <w:right w:val="none" w:sz="0" w:space="0" w:color="auto"/>
          </w:divBdr>
        </w:div>
        <w:div w:id="283123858">
          <w:marLeft w:val="640"/>
          <w:marRight w:val="0"/>
          <w:marTop w:val="0"/>
          <w:marBottom w:val="0"/>
          <w:divBdr>
            <w:top w:val="none" w:sz="0" w:space="0" w:color="auto"/>
            <w:left w:val="none" w:sz="0" w:space="0" w:color="auto"/>
            <w:bottom w:val="none" w:sz="0" w:space="0" w:color="auto"/>
            <w:right w:val="none" w:sz="0" w:space="0" w:color="auto"/>
          </w:divBdr>
        </w:div>
        <w:div w:id="348409840">
          <w:marLeft w:val="640"/>
          <w:marRight w:val="0"/>
          <w:marTop w:val="0"/>
          <w:marBottom w:val="0"/>
          <w:divBdr>
            <w:top w:val="none" w:sz="0" w:space="0" w:color="auto"/>
            <w:left w:val="none" w:sz="0" w:space="0" w:color="auto"/>
            <w:bottom w:val="none" w:sz="0" w:space="0" w:color="auto"/>
            <w:right w:val="none" w:sz="0" w:space="0" w:color="auto"/>
          </w:divBdr>
        </w:div>
        <w:div w:id="1526359365">
          <w:marLeft w:val="640"/>
          <w:marRight w:val="0"/>
          <w:marTop w:val="0"/>
          <w:marBottom w:val="0"/>
          <w:divBdr>
            <w:top w:val="none" w:sz="0" w:space="0" w:color="auto"/>
            <w:left w:val="none" w:sz="0" w:space="0" w:color="auto"/>
            <w:bottom w:val="none" w:sz="0" w:space="0" w:color="auto"/>
            <w:right w:val="none" w:sz="0" w:space="0" w:color="auto"/>
          </w:divBdr>
        </w:div>
        <w:div w:id="1216815984">
          <w:marLeft w:val="640"/>
          <w:marRight w:val="0"/>
          <w:marTop w:val="0"/>
          <w:marBottom w:val="0"/>
          <w:divBdr>
            <w:top w:val="none" w:sz="0" w:space="0" w:color="auto"/>
            <w:left w:val="none" w:sz="0" w:space="0" w:color="auto"/>
            <w:bottom w:val="none" w:sz="0" w:space="0" w:color="auto"/>
            <w:right w:val="none" w:sz="0" w:space="0" w:color="auto"/>
          </w:divBdr>
        </w:div>
        <w:div w:id="1715233470">
          <w:marLeft w:val="640"/>
          <w:marRight w:val="0"/>
          <w:marTop w:val="0"/>
          <w:marBottom w:val="0"/>
          <w:divBdr>
            <w:top w:val="none" w:sz="0" w:space="0" w:color="auto"/>
            <w:left w:val="none" w:sz="0" w:space="0" w:color="auto"/>
            <w:bottom w:val="none" w:sz="0" w:space="0" w:color="auto"/>
            <w:right w:val="none" w:sz="0" w:space="0" w:color="auto"/>
          </w:divBdr>
        </w:div>
        <w:div w:id="1199078565">
          <w:marLeft w:val="640"/>
          <w:marRight w:val="0"/>
          <w:marTop w:val="0"/>
          <w:marBottom w:val="0"/>
          <w:divBdr>
            <w:top w:val="none" w:sz="0" w:space="0" w:color="auto"/>
            <w:left w:val="none" w:sz="0" w:space="0" w:color="auto"/>
            <w:bottom w:val="none" w:sz="0" w:space="0" w:color="auto"/>
            <w:right w:val="none" w:sz="0" w:space="0" w:color="auto"/>
          </w:divBdr>
        </w:div>
        <w:div w:id="575557708">
          <w:marLeft w:val="640"/>
          <w:marRight w:val="0"/>
          <w:marTop w:val="0"/>
          <w:marBottom w:val="0"/>
          <w:divBdr>
            <w:top w:val="none" w:sz="0" w:space="0" w:color="auto"/>
            <w:left w:val="none" w:sz="0" w:space="0" w:color="auto"/>
            <w:bottom w:val="none" w:sz="0" w:space="0" w:color="auto"/>
            <w:right w:val="none" w:sz="0" w:space="0" w:color="auto"/>
          </w:divBdr>
        </w:div>
        <w:div w:id="1227644017">
          <w:marLeft w:val="640"/>
          <w:marRight w:val="0"/>
          <w:marTop w:val="0"/>
          <w:marBottom w:val="0"/>
          <w:divBdr>
            <w:top w:val="none" w:sz="0" w:space="0" w:color="auto"/>
            <w:left w:val="none" w:sz="0" w:space="0" w:color="auto"/>
            <w:bottom w:val="none" w:sz="0" w:space="0" w:color="auto"/>
            <w:right w:val="none" w:sz="0" w:space="0" w:color="auto"/>
          </w:divBdr>
        </w:div>
        <w:div w:id="1945308335">
          <w:marLeft w:val="640"/>
          <w:marRight w:val="0"/>
          <w:marTop w:val="0"/>
          <w:marBottom w:val="0"/>
          <w:divBdr>
            <w:top w:val="none" w:sz="0" w:space="0" w:color="auto"/>
            <w:left w:val="none" w:sz="0" w:space="0" w:color="auto"/>
            <w:bottom w:val="none" w:sz="0" w:space="0" w:color="auto"/>
            <w:right w:val="none" w:sz="0" w:space="0" w:color="auto"/>
          </w:divBdr>
        </w:div>
        <w:div w:id="967666338">
          <w:marLeft w:val="640"/>
          <w:marRight w:val="0"/>
          <w:marTop w:val="0"/>
          <w:marBottom w:val="0"/>
          <w:divBdr>
            <w:top w:val="none" w:sz="0" w:space="0" w:color="auto"/>
            <w:left w:val="none" w:sz="0" w:space="0" w:color="auto"/>
            <w:bottom w:val="none" w:sz="0" w:space="0" w:color="auto"/>
            <w:right w:val="none" w:sz="0" w:space="0" w:color="auto"/>
          </w:divBdr>
        </w:div>
        <w:div w:id="1553620046">
          <w:marLeft w:val="640"/>
          <w:marRight w:val="0"/>
          <w:marTop w:val="0"/>
          <w:marBottom w:val="0"/>
          <w:divBdr>
            <w:top w:val="none" w:sz="0" w:space="0" w:color="auto"/>
            <w:left w:val="none" w:sz="0" w:space="0" w:color="auto"/>
            <w:bottom w:val="none" w:sz="0" w:space="0" w:color="auto"/>
            <w:right w:val="none" w:sz="0" w:space="0" w:color="auto"/>
          </w:divBdr>
        </w:div>
        <w:div w:id="1236285247">
          <w:marLeft w:val="640"/>
          <w:marRight w:val="0"/>
          <w:marTop w:val="0"/>
          <w:marBottom w:val="0"/>
          <w:divBdr>
            <w:top w:val="none" w:sz="0" w:space="0" w:color="auto"/>
            <w:left w:val="none" w:sz="0" w:space="0" w:color="auto"/>
            <w:bottom w:val="none" w:sz="0" w:space="0" w:color="auto"/>
            <w:right w:val="none" w:sz="0" w:space="0" w:color="auto"/>
          </w:divBdr>
        </w:div>
        <w:div w:id="1573197846">
          <w:marLeft w:val="640"/>
          <w:marRight w:val="0"/>
          <w:marTop w:val="0"/>
          <w:marBottom w:val="0"/>
          <w:divBdr>
            <w:top w:val="none" w:sz="0" w:space="0" w:color="auto"/>
            <w:left w:val="none" w:sz="0" w:space="0" w:color="auto"/>
            <w:bottom w:val="none" w:sz="0" w:space="0" w:color="auto"/>
            <w:right w:val="none" w:sz="0" w:space="0" w:color="auto"/>
          </w:divBdr>
        </w:div>
        <w:div w:id="387458635">
          <w:marLeft w:val="640"/>
          <w:marRight w:val="0"/>
          <w:marTop w:val="0"/>
          <w:marBottom w:val="0"/>
          <w:divBdr>
            <w:top w:val="none" w:sz="0" w:space="0" w:color="auto"/>
            <w:left w:val="none" w:sz="0" w:space="0" w:color="auto"/>
            <w:bottom w:val="none" w:sz="0" w:space="0" w:color="auto"/>
            <w:right w:val="none" w:sz="0" w:space="0" w:color="auto"/>
          </w:divBdr>
        </w:div>
        <w:div w:id="50932562">
          <w:marLeft w:val="640"/>
          <w:marRight w:val="0"/>
          <w:marTop w:val="0"/>
          <w:marBottom w:val="0"/>
          <w:divBdr>
            <w:top w:val="none" w:sz="0" w:space="0" w:color="auto"/>
            <w:left w:val="none" w:sz="0" w:space="0" w:color="auto"/>
            <w:bottom w:val="none" w:sz="0" w:space="0" w:color="auto"/>
            <w:right w:val="none" w:sz="0" w:space="0" w:color="auto"/>
          </w:divBdr>
        </w:div>
        <w:div w:id="1856573450">
          <w:marLeft w:val="640"/>
          <w:marRight w:val="0"/>
          <w:marTop w:val="0"/>
          <w:marBottom w:val="0"/>
          <w:divBdr>
            <w:top w:val="none" w:sz="0" w:space="0" w:color="auto"/>
            <w:left w:val="none" w:sz="0" w:space="0" w:color="auto"/>
            <w:bottom w:val="none" w:sz="0" w:space="0" w:color="auto"/>
            <w:right w:val="none" w:sz="0" w:space="0" w:color="auto"/>
          </w:divBdr>
        </w:div>
        <w:div w:id="1136987509">
          <w:marLeft w:val="640"/>
          <w:marRight w:val="0"/>
          <w:marTop w:val="0"/>
          <w:marBottom w:val="0"/>
          <w:divBdr>
            <w:top w:val="none" w:sz="0" w:space="0" w:color="auto"/>
            <w:left w:val="none" w:sz="0" w:space="0" w:color="auto"/>
            <w:bottom w:val="none" w:sz="0" w:space="0" w:color="auto"/>
            <w:right w:val="none" w:sz="0" w:space="0" w:color="auto"/>
          </w:divBdr>
        </w:div>
        <w:div w:id="730037968">
          <w:marLeft w:val="640"/>
          <w:marRight w:val="0"/>
          <w:marTop w:val="0"/>
          <w:marBottom w:val="0"/>
          <w:divBdr>
            <w:top w:val="none" w:sz="0" w:space="0" w:color="auto"/>
            <w:left w:val="none" w:sz="0" w:space="0" w:color="auto"/>
            <w:bottom w:val="none" w:sz="0" w:space="0" w:color="auto"/>
            <w:right w:val="none" w:sz="0" w:space="0" w:color="auto"/>
          </w:divBdr>
        </w:div>
        <w:div w:id="687222755">
          <w:marLeft w:val="640"/>
          <w:marRight w:val="0"/>
          <w:marTop w:val="0"/>
          <w:marBottom w:val="0"/>
          <w:divBdr>
            <w:top w:val="none" w:sz="0" w:space="0" w:color="auto"/>
            <w:left w:val="none" w:sz="0" w:space="0" w:color="auto"/>
            <w:bottom w:val="none" w:sz="0" w:space="0" w:color="auto"/>
            <w:right w:val="none" w:sz="0" w:space="0" w:color="auto"/>
          </w:divBdr>
        </w:div>
        <w:div w:id="1824348734">
          <w:marLeft w:val="640"/>
          <w:marRight w:val="0"/>
          <w:marTop w:val="0"/>
          <w:marBottom w:val="0"/>
          <w:divBdr>
            <w:top w:val="none" w:sz="0" w:space="0" w:color="auto"/>
            <w:left w:val="none" w:sz="0" w:space="0" w:color="auto"/>
            <w:bottom w:val="none" w:sz="0" w:space="0" w:color="auto"/>
            <w:right w:val="none" w:sz="0" w:space="0" w:color="auto"/>
          </w:divBdr>
        </w:div>
        <w:div w:id="2078167900">
          <w:marLeft w:val="640"/>
          <w:marRight w:val="0"/>
          <w:marTop w:val="0"/>
          <w:marBottom w:val="0"/>
          <w:divBdr>
            <w:top w:val="none" w:sz="0" w:space="0" w:color="auto"/>
            <w:left w:val="none" w:sz="0" w:space="0" w:color="auto"/>
            <w:bottom w:val="none" w:sz="0" w:space="0" w:color="auto"/>
            <w:right w:val="none" w:sz="0" w:space="0" w:color="auto"/>
          </w:divBdr>
        </w:div>
        <w:div w:id="1668509958">
          <w:marLeft w:val="640"/>
          <w:marRight w:val="0"/>
          <w:marTop w:val="0"/>
          <w:marBottom w:val="0"/>
          <w:divBdr>
            <w:top w:val="none" w:sz="0" w:space="0" w:color="auto"/>
            <w:left w:val="none" w:sz="0" w:space="0" w:color="auto"/>
            <w:bottom w:val="none" w:sz="0" w:space="0" w:color="auto"/>
            <w:right w:val="none" w:sz="0" w:space="0" w:color="auto"/>
          </w:divBdr>
        </w:div>
        <w:div w:id="331495475">
          <w:marLeft w:val="640"/>
          <w:marRight w:val="0"/>
          <w:marTop w:val="0"/>
          <w:marBottom w:val="0"/>
          <w:divBdr>
            <w:top w:val="none" w:sz="0" w:space="0" w:color="auto"/>
            <w:left w:val="none" w:sz="0" w:space="0" w:color="auto"/>
            <w:bottom w:val="none" w:sz="0" w:space="0" w:color="auto"/>
            <w:right w:val="none" w:sz="0" w:space="0" w:color="auto"/>
          </w:divBdr>
        </w:div>
        <w:div w:id="2129425942">
          <w:marLeft w:val="640"/>
          <w:marRight w:val="0"/>
          <w:marTop w:val="0"/>
          <w:marBottom w:val="0"/>
          <w:divBdr>
            <w:top w:val="none" w:sz="0" w:space="0" w:color="auto"/>
            <w:left w:val="none" w:sz="0" w:space="0" w:color="auto"/>
            <w:bottom w:val="none" w:sz="0" w:space="0" w:color="auto"/>
            <w:right w:val="none" w:sz="0" w:space="0" w:color="auto"/>
          </w:divBdr>
        </w:div>
        <w:div w:id="116680840">
          <w:marLeft w:val="640"/>
          <w:marRight w:val="0"/>
          <w:marTop w:val="0"/>
          <w:marBottom w:val="0"/>
          <w:divBdr>
            <w:top w:val="none" w:sz="0" w:space="0" w:color="auto"/>
            <w:left w:val="none" w:sz="0" w:space="0" w:color="auto"/>
            <w:bottom w:val="none" w:sz="0" w:space="0" w:color="auto"/>
            <w:right w:val="none" w:sz="0" w:space="0" w:color="auto"/>
          </w:divBdr>
        </w:div>
        <w:div w:id="877623928">
          <w:marLeft w:val="640"/>
          <w:marRight w:val="0"/>
          <w:marTop w:val="0"/>
          <w:marBottom w:val="0"/>
          <w:divBdr>
            <w:top w:val="none" w:sz="0" w:space="0" w:color="auto"/>
            <w:left w:val="none" w:sz="0" w:space="0" w:color="auto"/>
            <w:bottom w:val="none" w:sz="0" w:space="0" w:color="auto"/>
            <w:right w:val="none" w:sz="0" w:space="0" w:color="auto"/>
          </w:divBdr>
        </w:div>
        <w:div w:id="1269432612">
          <w:marLeft w:val="640"/>
          <w:marRight w:val="0"/>
          <w:marTop w:val="0"/>
          <w:marBottom w:val="0"/>
          <w:divBdr>
            <w:top w:val="none" w:sz="0" w:space="0" w:color="auto"/>
            <w:left w:val="none" w:sz="0" w:space="0" w:color="auto"/>
            <w:bottom w:val="none" w:sz="0" w:space="0" w:color="auto"/>
            <w:right w:val="none" w:sz="0" w:space="0" w:color="auto"/>
          </w:divBdr>
        </w:div>
        <w:div w:id="17633476">
          <w:marLeft w:val="640"/>
          <w:marRight w:val="0"/>
          <w:marTop w:val="0"/>
          <w:marBottom w:val="0"/>
          <w:divBdr>
            <w:top w:val="none" w:sz="0" w:space="0" w:color="auto"/>
            <w:left w:val="none" w:sz="0" w:space="0" w:color="auto"/>
            <w:bottom w:val="none" w:sz="0" w:space="0" w:color="auto"/>
            <w:right w:val="none" w:sz="0" w:space="0" w:color="auto"/>
          </w:divBdr>
        </w:div>
        <w:div w:id="1256280718">
          <w:marLeft w:val="640"/>
          <w:marRight w:val="0"/>
          <w:marTop w:val="0"/>
          <w:marBottom w:val="0"/>
          <w:divBdr>
            <w:top w:val="none" w:sz="0" w:space="0" w:color="auto"/>
            <w:left w:val="none" w:sz="0" w:space="0" w:color="auto"/>
            <w:bottom w:val="none" w:sz="0" w:space="0" w:color="auto"/>
            <w:right w:val="none" w:sz="0" w:space="0" w:color="auto"/>
          </w:divBdr>
        </w:div>
        <w:div w:id="580025644">
          <w:marLeft w:val="640"/>
          <w:marRight w:val="0"/>
          <w:marTop w:val="0"/>
          <w:marBottom w:val="0"/>
          <w:divBdr>
            <w:top w:val="none" w:sz="0" w:space="0" w:color="auto"/>
            <w:left w:val="none" w:sz="0" w:space="0" w:color="auto"/>
            <w:bottom w:val="none" w:sz="0" w:space="0" w:color="auto"/>
            <w:right w:val="none" w:sz="0" w:space="0" w:color="auto"/>
          </w:divBdr>
        </w:div>
        <w:div w:id="2061204407">
          <w:marLeft w:val="640"/>
          <w:marRight w:val="0"/>
          <w:marTop w:val="0"/>
          <w:marBottom w:val="0"/>
          <w:divBdr>
            <w:top w:val="none" w:sz="0" w:space="0" w:color="auto"/>
            <w:left w:val="none" w:sz="0" w:space="0" w:color="auto"/>
            <w:bottom w:val="none" w:sz="0" w:space="0" w:color="auto"/>
            <w:right w:val="none" w:sz="0" w:space="0" w:color="auto"/>
          </w:divBdr>
        </w:div>
        <w:div w:id="1000887074">
          <w:marLeft w:val="640"/>
          <w:marRight w:val="0"/>
          <w:marTop w:val="0"/>
          <w:marBottom w:val="0"/>
          <w:divBdr>
            <w:top w:val="none" w:sz="0" w:space="0" w:color="auto"/>
            <w:left w:val="none" w:sz="0" w:space="0" w:color="auto"/>
            <w:bottom w:val="none" w:sz="0" w:space="0" w:color="auto"/>
            <w:right w:val="none" w:sz="0" w:space="0" w:color="auto"/>
          </w:divBdr>
        </w:div>
        <w:div w:id="1325235648">
          <w:marLeft w:val="640"/>
          <w:marRight w:val="0"/>
          <w:marTop w:val="0"/>
          <w:marBottom w:val="0"/>
          <w:divBdr>
            <w:top w:val="none" w:sz="0" w:space="0" w:color="auto"/>
            <w:left w:val="none" w:sz="0" w:space="0" w:color="auto"/>
            <w:bottom w:val="none" w:sz="0" w:space="0" w:color="auto"/>
            <w:right w:val="none" w:sz="0" w:space="0" w:color="auto"/>
          </w:divBdr>
        </w:div>
        <w:div w:id="32924422">
          <w:marLeft w:val="640"/>
          <w:marRight w:val="0"/>
          <w:marTop w:val="0"/>
          <w:marBottom w:val="0"/>
          <w:divBdr>
            <w:top w:val="none" w:sz="0" w:space="0" w:color="auto"/>
            <w:left w:val="none" w:sz="0" w:space="0" w:color="auto"/>
            <w:bottom w:val="none" w:sz="0" w:space="0" w:color="auto"/>
            <w:right w:val="none" w:sz="0" w:space="0" w:color="auto"/>
          </w:divBdr>
        </w:div>
        <w:div w:id="1970356485">
          <w:marLeft w:val="640"/>
          <w:marRight w:val="0"/>
          <w:marTop w:val="0"/>
          <w:marBottom w:val="0"/>
          <w:divBdr>
            <w:top w:val="none" w:sz="0" w:space="0" w:color="auto"/>
            <w:left w:val="none" w:sz="0" w:space="0" w:color="auto"/>
            <w:bottom w:val="none" w:sz="0" w:space="0" w:color="auto"/>
            <w:right w:val="none" w:sz="0" w:space="0" w:color="auto"/>
          </w:divBdr>
        </w:div>
        <w:div w:id="1136531252">
          <w:marLeft w:val="640"/>
          <w:marRight w:val="0"/>
          <w:marTop w:val="0"/>
          <w:marBottom w:val="0"/>
          <w:divBdr>
            <w:top w:val="none" w:sz="0" w:space="0" w:color="auto"/>
            <w:left w:val="none" w:sz="0" w:space="0" w:color="auto"/>
            <w:bottom w:val="none" w:sz="0" w:space="0" w:color="auto"/>
            <w:right w:val="none" w:sz="0" w:space="0" w:color="auto"/>
          </w:divBdr>
        </w:div>
        <w:div w:id="2146851379">
          <w:marLeft w:val="640"/>
          <w:marRight w:val="0"/>
          <w:marTop w:val="0"/>
          <w:marBottom w:val="0"/>
          <w:divBdr>
            <w:top w:val="none" w:sz="0" w:space="0" w:color="auto"/>
            <w:left w:val="none" w:sz="0" w:space="0" w:color="auto"/>
            <w:bottom w:val="none" w:sz="0" w:space="0" w:color="auto"/>
            <w:right w:val="none" w:sz="0" w:space="0" w:color="auto"/>
          </w:divBdr>
        </w:div>
        <w:div w:id="1780373587">
          <w:marLeft w:val="640"/>
          <w:marRight w:val="0"/>
          <w:marTop w:val="0"/>
          <w:marBottom w:val="0"/>
          <w:divBdr>
            <w:top w:val="none" w:sz="0" w:space="0" w:color="auto"/>
            <w:left w:val="none" w:sz="0" w:space="0" w:color="auto"/>
            <w:bottom w:val="none" w:sz="0" w:space="0" w:color="auto"/>
            <w:right w:val="none" w:sz="0" w:space="0" w:color="auto"/>
          </w:divBdr>
        </w:div>
        <w:div w:id="264266392">
          <w:marLeft w:val="640"/>
          <w:marRight w:val="0"/>
          <w:marTop w:val="0"/>
          <w:marBottom w:val="0"/>
          <w:divBdr>
            <w:top w:val="none" w:sz="0" w:space="0" w:color="auto"/>
            <w:left w:val="none" w:sz="0" w:space="0" w:color="auto"/>
            <w:bottom w:val="none" w:sz="0" w:space="0" w:color="auto"/>
            <w:right w:val="none" w:sz="0" w:space="0" w:color="auto"/>
          </w:divBdr>
        </w:div>
        <w:div w:id="439303404">
          <w:marLeft w:val="640"/>
          <w:marRight w:val="0"/>
          <w:marTop w:val="0"/>
          <w:marBottom w:val="0"/>
          <w:divBdr>
            <w:top w:val="none" w:sz="0" w:space="0" w:color="auto"/>
            <w:left w:val="none" w:sz="0" w:space="0" w:color="auto"/>
            <w:bottom w:val="none" w:sz="0" w:space="0" w:color="auto"/>
            <w:right w:val="none" w:sz="0" w:space="0" w:color="auto"/>
          </w:divBdr>
        </w:div>
        <w:div w:id="1930842571">
          <w:marLeft w:val="640"/>
          <w:marRight w:val="0"/>
          <w:marTop w:val="0"/>
          <w:marBottom w:val="0"/>
          <w:divBdr>
            <w:top w:val="none" w:sz="0" w:space="0" w:color="auto"/>
            <w:left w:val="none" w:sz="0" w:space="0" w:color="auto"/>
            <w:bottom w:val="none" w:sz="0" w:space="0" w:color="auto"/>
            <w:right w:val="none" w:sz="0" w:space="0" w:color="auto"/>
          </w:divBdr>
        </w:div>
        <w:div w:id="1684628003">
          <w:marLeft w:val="640"/>
          <w:marRight w:val="0"/>
          <w:marTop w:val="0"/>
          <w:marBottom w:val="0"/>
          <w:divBdr>
            <w:top w:val="none" w:sz="0" w:space="0" w:color="auto"/>
            <w:left w:val="none" w:sz="0" w:space="0" w:color="auto"/>
            <w:bottom w:val="none" w:sz="0" w:space="0" w:color="auto"/>
            <w:right w:val="none" w:sz="0" w:space="0" w:color="auto"/>
          </w:divBdr>
        </w:div>
        <w:div w:id="928390252">
          <w:marLeft w:val="640"/>
          <w:marRight w:val="0"/>
          <w:marTop w:val="0"/>
          <w:marBottom w:val="0"/>
          <w:divBdr>
            <w:top w:val="none" w:sz="0" w:space="0" w:color="auto"/>
            <w:left w:val="none" w:sz="0" w:space="0" w:color="auto"/>
            <w:bottom w:val="none" w:sz="0" w:space="0" w:color="auto"/>
            <w:right w:val="none" w:sz="0" w:space="0" w:color="auto"/>
          </w:divBdr>
        </w:div>
        <w:div w:id="1276475596">
          <w:marLeft w:val="640"/>
          <w:marRight w:val="0"/>
          <w:marTop w:val="0"/>
          <w:marBottom w:val="0"/>
          <w:divBdr>
            <w:top w:val="none" w:sz="0" w:space="0" w:color="auto"/>
            <w:left w:val="none" w:sz="0" w:space="0" w:color="auto"/>
            <w:bottom w:val="none" w:sz="0" w:space="0" w:color="auto"/>
            <w:right w:val="none" w:sz="0" w:space="0" w:color="auto"/>
          </w:divBdr>
        </w:div>
        <w:div w:id="1533107437">
          <w:marLeft w:val="640"/>
          <w:marRight w:val="0"/>
          <w:marTop w:val="0"/>
          <w:marBottom w:val="0"/>
          <w:divBdr>
            <w:top w:val="none" w:sz="0" w:space="0" w:color="auto"/>
            <w:left w:val="none" w:sz="0" w:space="0" w:color="auto"/>
            <w:bottom w:val="none" w:sz="0" w:space="0" w:color="auto"/>
            <w:right w:val="none" w:sz="0" w:space="0" w:color="auto"/>
          </w:divBdr>
        </w:div>
        <w:div w:id="1087963333">
          <w:marLeft w:val="640"/>
          <w:marRight w:val="0"/>
          <w:marTop w:val="0"/>
          <w:marBottom w:val="0"/>
          <w:divBdr>
            <w:top w:val="none" w:sz="0" w:space="0" w:color="auto"/>
            <w:left w:val="none" w:sz="0" w:space="0" w:color="auto"/>
            <w:bottom w:val="none" w:sz="0" w:space="0" w:color="auto"/>
            <w:right w:val="none" w:sz="0" w:space="0" w:color="auto"/>
          </w:divBdr>
        </w:div>
        <w:div w:id="2124834799">
          <w:marLeft w:val="640"/>
          <w:marRight w:val="0"/>
          <w:marTop w:val="0"/>
          <w:marBottom w:val="0"/>
          <w:divBdr>
            <w:top w:val="none" w:sz="0" w:space="0" w:color="auto"/>
            <w:left w:val="none" w:sz="0" w:space="0" w:color="auto"/>
            <w:bottom w:val="none" w:sz="0" w:space="0" w:color="auto"/>
            <w:right w:val="none" w:sz="0" w:space="0" w:color="auto"/>
          </w:divBdr>
        </w:div>
        <w:div w:id="1189176748">
          <w:marLeft w:val="640"/>
          <w:marRight w:val="0"/>
          <w:marTop w:val="0"/>
          <w:marBottom w:val="0"/>
          <w:divBdr>
            <w:top w:val="none" w:sz="0" w:space="0" w:color="auto"/>
            <w:left w:val="none" w:sz="0" w:space="0" w:color="auto"/>
            <w:bottom w:val="none" w:sz="0" w:space="0" w:color="auto"/>
            <w:right w:val="none" w:sz="0" w:space="0" w:color="auto"/>
          </w:divBdr>
        </w:div>
        <w:div w:id="510684839">
          <w:marLeft w:val="640"/>
          <w:marRight w:val="0"/>
          <w:marTop w:val="0"/>
          <w:marBottom w:val="0"/>
          <w:divBdr>
            <w:top w:val="none" w:sz="0" w:space="0" w:color="auto"/>
            <w:left w:val="none" w:sz="0" w:space="0" w:color="auto"/>
            <w:bottom w:val="none" w:sz="0" w:space="0" w:color="auto"/>
            <w:right w:val="none" w:sz="0" w:space="0" w:color="auto"/>
          </w:divBdr>
        </w:div>
        <w:div w:id="261571932">
          <w:marLeft w:val="640"/>
          <w:marRight w:val="0"/>
          <w:marTop w:val="0"/>
          <w:marBottom w:val="0"/>
          <w:divBdr>
            <w:top w:val="none" w:sz="0" w:space="0" w:color="auto"/>
            <w:left w:val="none" w:sz="0" w:space="0" w:color="auto"/>
            <w:bottom w:val="none" w:sz="0" w:space="0" w:color="auto"/>
            <w:right w:val="none" w:sz="0" w:space="0" w:color="auto"/>
          </w:divBdr>
        </w:div>
        <w:div w:id="31006706">
          <w:marLeft w:val="640"/>
          <w:marRight w:val="0"/>
          <w:marTop w:val="0"/>
          <w:marBottom w:val="0"/>
          <w:divBdr>
            <w:top w:val="none" w:sz="0" w:space="0" w:color="auto"/>
            <w:left w:val="none" w:sz="0" w:space="0" w:color="auto"/>
            <w:bottom w:val="none" w:sz="0" w:space="0" w:color="auto"/>
            <w:right w:val="none" w:sz="0" w:space="0" w:color="auto"/>
          </w:divBdr>
        </w:div>
        <w:div w:id="1044872459">
          <w:marLeft w:val="640"/>
          <w:marRight w:val="0"/>
          <w:marTop w:val="0"/>
          <w:marBottom w:val="0"/>
          <w:divBdr>
            <w:top w:val="none" w:sz="0" w:space="0" w:color="auto"/>
            <w:left w:val="none" w:sz="0" w:space="0" w:color="auto"/>
            <w:bottom w:val="none" w:sz="0" w:space="0" w:color="auto"/>
            <w:right w:val="none" w:sz="0" w:space="0" w:color="auto"/>
          </w:divBdr>
        </w:div>
        <w:div w:id="843939294">
          <w:marLeft w:val="640"/>
          <w:marRight w:val="0"/>
          <w:marTop w:val="0"/>
          <w:marBottom w:val="0"/>
          <w:divBdr>
            <w:top w:val="none" w:sz="0" w:space="0" w:color="auto"/>
            <w:left w:val="none" w:sz="0" w:space="0" w:color="auto"/>
            <w:bottom w:val="none" w:sz="0" w:space="0" w:color="auto"/>
            <w:right w:val="none" w:sz="0" w:space="0" w:color="auto"/>
          </w:divBdr>
        </w:div>
        <w:div w:id="1102649484">
          <w:marLeft w:val="640"/>
          <w:marRight w:val="0"/>
          <w:marTop w:val="0"/>
          <w:marBottom w:val="0"/>
          <w:divBdr>
            <w:top w:val="none" w:sz="0" w:space="0" w:color="auto"/>
            <w:left w:val="none" w:sz="0" w:space="0" w:color="auto"/>
            <w:bottom w:val="none" w:sz="0" w:space="0" w:color="auto"/>
            <w:right w:val="none" w:sz="0" w:space="0" w:color="auto"/>
          </w:divBdr>
        </w:div>
        <w:div w:id="1559167915">
          <w:marLeft w:val="640"/>
          <w:marRight w:val="0"/>
          <w:marTop w:val="0"/>
          <w:marBottom w:val="0"/>
          <w:divBdr>
            <w:top w:val="none" w:sz="0" w:space="0" w:color="auto"/>
            <w:left w:val="none" w:sz="0" w:space="0" w:color="auto"/>
            <w:bottom w:val="none" w:sz="0" w:space="0" w:color="auto"/>
            <w:right w:val="none" w:sz="0" w:space="0" w:color="auto"/>
          </w:divBdr>
        </w:div>
        <w:div w:id="144901110">
          <w:marLeft w:val="640"/>
          <w:marRight w:val="0"/>
          <w:marTop w:val="0"/>
          <w:marBottom w:val="0"/>
          <w:divBdr>
            <w:top w:val="none" w:sz="0" w:space="0" w:color="auto"/>
            <w:left w:val="none" w:sz="0" w:space="0" w:color="auto"/>
            <w:bottom w:val="none" w:sz="0" w:space="0" w:color="auto"/>
            <w:right w:val="none" w:sz="0" w:space="0" w:color="auto"/>
          </w:divBdr>
        </w:div>
        <w:div w:id="1520314212">
          <w:marLeft w:val="640"/>
          <w:marRight w:val="0"/>
          <w:marTop w:val="0"/>
          <w:marBottom w:val="0"/>
          <w:divBdr>
            <w:top w:val="none" w:sz="0" w:space="0" w:color="auto"/>
            <w:left w:val="none" w:sz="0" w:space="0" w:color="auto"/>
            <w:bottom w:val="none" w:sz="0" w:space="0" w:color="auto"/>
            <w:right w:val="none" w:sz="0" w:space="0" w:color="auto"/>
          </w:divBdr>
        </w:div>
        <w:div w:id="205945154">
          <w:marLeft w:val="640"/>
          <w:marRight w:val="0"/>
          <w:marTop w:val="0"/>
          <w:marBottom w:val="0"/>
          <w:divBdr>
            <w:top w:val="none" w:sz="0" w:space="0" w:color="auto"/>
            <w:left w:val="none" w:sz="0" w:space="0" w:color="auto"/>
            <w:bottom w:val="none" w:sz="0" w:space="0" w:color="auto"/>
            <w:right w:val="none" w:sz="0" w:space="0" w:color="auto"/>
          </w:divBdr>
        </w:div>
        <w:div w:id="504856226">
          <w:marLeft w:val="640"/>
          <w:marRight w:val="0"/>
          <w:marTop w:val="0"/>
          <w:marBottom w:val="0"/>
          <w:divBdr>
            <w:top w:val="none" w:sz="0" w:space="0" w:color="auto"/>
            <w:left w:val="none" w:sz="0" w:space="0" w:color="auto"/>
            <w:bottom w:val="none" w:sz="0" w:space="0" w:color="auto"/>
            <w:right w:val="none" w:sz="0" w:space="0" w:color="auto"/>
          </w:divBdr>
        </w:div>
        <w:div w:id="1196651997">
          <w:marLeft w:val="640"/>
          <w:marRight w:val="0"/>
          <w:marTop w:val="0"/>
          <w:marBottom w:val="0"/>
          <w:divBdr>
            <w:top w:val="none" w:sz="0" w:space="0" w:color="auto"/>
            <w:left w:val="none" w:sz="0" w:space="0" w:color="auto"/>
            <w:bottom w:val="none" w:sz="0" w:space="0" w:color="auto"/>
            <w:right w:val="none" w:sz="0" w:space="0" w:color="auto"/>
          </w:divBdr>
        </w:div>
        <w:div w:id="127741835">
          <w:marLeft w:val="640"/>
          <w:marRight w:val="0"/>
          <w:marTop w:val="0"/>
          <w:marBottom w:val="0"/>
          <w:divBdr>
            <w:top w:val="none" w:sz="0" w:space="0" w:color="auto"/>
            <w:left w:val="none" w:sz="0" w:space="0" w:color="auto"/>
            <w:bottom w:val="none" w:sz="0" w:space="0" w:color="auto"/>
            <w:right w:val="none" w:sz="0" w:space="0" w:color="auto"/>
          </w:divBdr>
        </w:div>
        <w:div w:id="897597519">
          <w:marLeft w:val="640"/>
          <w:marRight w:val="0"/>
          <w:marTop w:val="0"/>
          <w:marBottom w:val="0"/>
          <w:divBdr>
            <w:top w:val="none" w:sz="0" w:space="0" w:color="auto"/>
            <w:left w:val="none" w:sz="0" w:space="0" w:color="auto"/>
            <w:bottom w:val="none" w:sz="0" w:space="0" w:color="auto"/>
            <w:right w:val="none" w:sz="0" w:space="0" w:color="auto"/>
          </w:divBdr>
        </w:div>
        <w:div w:id="215168199">
          <w:marLeft w:val="640"/>
          <w:marRight w:val="0"/>
          <w:marTop w:val="0"/>
          <w:marBottom w:val="0"/>
          <w:divBdr>
            <w:top w:val="none" w:sz="0" w:space="0" w:color="auto"/>
            <w:left w:val="none" w:sz="0" w:space="0" w:color="auto"/>
            <w:bottom w:val="none" w:sz="0" w:space="0" w:color="auto"/>
            <w:right w:val="none" w:sz="0" w:space="0" w:color="auto"/>
          </w:divBdr>
        </w:div>
        <w:div w:id="1790510888">
          <w:marLeft w:val="640"/>
          <w:marRight w:val="0"/>
          <w:marTop w:val="0"/>
          <w:marBottom w:val="0"/>
          <w:divBdr>
            <w:top w:val="none" w:sz="0" w:space="0" w:color="auto"/>
            <w:left w:val="none" w:sz="0" w:space="0" w:color="auto"/>
            <w:bottom w:val="none" w:sz="0" w:space="0" w:color="auto"/>
            <w:right w:val="none" w:sz="0" w:space="0" w:color="auto"/>
          </w:divBdr>
        </w:div>
        <w:div w:id="278682498">
          <w:marLeft w:val="640"/>
          <w:marRight w:val="0"/>
          <w:marTop w:val="0"/>
          <w:marBottom w:val="0"/>
          <w:divBdr>
            <w:top w:val="none" w:sz="0" w:space="0" w:color="auto"/>
            <w:left w:val="none" w:sz="0" w:space="0" w:color="auto"/>
            <w:bottom w:val="none" w:sz="0" w:space="0" w:color="auto"/>
            <w:right w:val="none" w:sz="0" w:space="0" w:color="auto"/>
          </w:divBdr>
        </w:div>
        <w:div w:id="1043792734">
          <w:marLeft w:val="640"/>
          <w:marRight w:val="0"/>
          <w:marTop w:val="0"/>
          <w:marBottom w:val="0"/>
          <w:divBdr>
            <w:top w:val="none" w:sz="0" w:space="0" w:color="auto"/>
            <w:left w:val="none" w:sz="0" w:space="0" w:color="auto"/>
            <w:bottom w:val="none" w:sz="0" w:space="0" w:color="auto"/>
            <w:right w:val="none" w:sz="0" w:space="0" w:color="auto"/>
          </w:divBdr>
        </w:div>
        <w:div w:id="605230836">
          <w:marLeft w:val="640"/>
          <w:marRight w:val="0"/>
          <w:marTop w:val="0"/>
          <w:marBottom w:val="0"/>
          <w:divBdr>
            <w:top w:val="none" w:sz="0" w:space="0" w:color="auto"/>
            <w:left w:val="none" w:sz="0" w:space="0" w:color="auto"/>
            <w:bottom w:val="none" w:sz="0" w:space="0" w:color="auto"/>
            <w:right w:val="none" w:sz="0" w:space="0" w:color="auto"/>
          </w:divBdr>
        </w:div>
        <w:div w:id="1368144675">
          <w:marLeft w:val="640"/>
          <w:marRight w:val="0"/>
          <w:marTop w:val="0"/>
          <w:marBottom w:val="0"/>
          <w:divBdr>
            <w:top w:val="none" w:sz="0" w:space="0" w:color="auto"/>
            <w:left w:val="none" w:sz="0" w:space="0" w:color="auto"/>
            <w:bottom w:val="none" w:sz="0" w:space="0" w:color="auto"/>
            <w:right w:val="none" w:sz="0" w:space="0" w:color="auto"/>
          </w:divBdr>
        </w:div>
        <w:div w:id="1102651139">
          <w:marLeft w:val="640"/>
          <w:marRight w:val="0"/>
          <w:marTop w:val="0"/>
          <w:marBottom w:val="0"/>
          <w:divBdr>
            <w:top w:val="none" w:sz="0" w:space="0" w:color="auto"/>
            <w:left w:val="none" w:sz="0" w:space="0" w:color="auto"/>
            <w:bottom w:val="none" w:sz="0" w:space="0" w:color="auto"/>
            <w:right w:val="none" w:sz="0" w:space="0" w:color="auto"/>
          </w:divBdr>
        </w:div>
        <w:div w:id="2143308852">
          <w:marLeft w:val="640"/>
          <w:marRight w:val="0"/>
          <w:marTop w:val="0"/>
          <w:marBottom w:val="0"/>
          <w:divBdr>
            <w:top w:val="none" w:sz="0" w:space="0" w:color="auto"/>
            <w:left w:val="none" w:sz="0" w:space="0" w:color="auto"/>
            <w:bottom w:val="none" w:sz="0" w:space="0" w:color="auto"/>
            <w:right w:val="none" w:sz="0" w:space="0" w:color="auto"/>
          </w:divBdr>
        </w:div>
        <w:div w:id="490680253">
          <w:marLeft w:val="640"/>
          <w:marRight w:val="0"/>
          <w:marTop w:val="0"/>
          <w:marBottom w:val="0"/>
          <w:divBdr>
            <w:top w:val="none" w:sz="0" w:space="0" w:color="auto"/>
            <w:left w:val="none" w:sz="0" w:space="0" w:color="auto"/>
            <w:bottom w:val="none" w:sz="0" w:space="0" w:color="auto"/>
            <w:right w:val="none" w:sz="0" w:space="0" w:color="auto"/>
          </w:divBdr>
        </w:div>
        <w:div w:id="1564438837">
          <w:marLeft w:val="640"/>
          <w:marRight w:val="0"/>
          <w:marTop w:val="0"/>
          <w:marBottom w:val="0"/>
          <w:divBdr>
            <w:top w:val="none" w:sz="0" w:space="0" w:color="auto"/>
            <w:left w:val="none" w:sz="0" w:space="0" w:color="auto"/>
            <w:bottom w:val="none" w:sz="0" w:space="0" w:color="auto"/>
            <w:right w:val="none" w:sz="0" w:space="0" w:color="auto"/>
          </w:divBdr>
        </w:div>
        <w:div w:id="550311518">
          <w:marLeft w:val="640"/>
          <w:marRight w:val="0"/>
          <w:marTop w:val="0"/>
          <w:marBottom w:val="0"/>
          <w:divBdr>
            <w:top w:val="none" w:sz="0" w:space="0" w:color="auto"/>
            <w:left w:val="none" w:sz="0" w:space="0" w:color="auto"/>
            <w:bottom w:val="none" w:sz="0" w:space="0" w:color="auto"/>
            <w:right w:val="none" w:sz="0" w:space="0" w:color="auto"/>
          </w:divBdr>
        </w:div>
        <w:div w:id="955797480">
          <w:marLeft w:val="640"/>
          <w:marRight w:val="0"/>
          <w:marTop w:val="0"/>
          <w:marBottom w:val="0"/>
          <w:divBdr>
            <w:top w:val="none" w:sz="0" w:space="0" w:color="auto"/>
            <w:left w:val="none" w:sz="0" w:space="0" w:color="auto"/>
            <w:bottom w:val="none" w:sz="0" w:space="0" w:color="auto"/>
            <w:right w:val="none" w:sz="0" w:space="0" w:color="auto"/>
          </w:divBdr>
        </w:div>
        <w:div w:id="376587812">
          <w:marLeft w:val="640"/>
          <w:marRight w:val="0"/>
          <w:marTop w:val="0"/>
          <w:marBottom w:val="0"/>
          <w:divBdr>
            <w:top w:val="none" w:sz="0" w:space="0" w:color="auto"/>
            <w:left w:val="none" w:sz="0" w:space="0" w:color="auto"/>
            <w:bottom w:val="none" w:sz="0" w:space="0" w:color="auto"/>
            <w:right w:val="none" w:sz="0" w:space="0" w:color="auto"/>
          </w:divBdr>
        </w:div>
        <w:div w:id="1224681922">
          <w:marLeft w:val="640"/>
          <w:marRight w:val="0"/>
          <w:marTop w:val="0"/>
          <w:marBottom w:val="0"/>
          <w:divBdr>
            <w:top w:val="none" w:sz="0" w:space="0" w:color="auto"/>
            <w:left w:val="none" w:sz="0" w:space="0" w:color="auto"/>
            <w:bottom w:val="none" w:sz="0" w:space="0" w:color="auto"/>
            <w:right w:val="none" w:sz="0" w:space="0" w:color="auto"/>
          </w:divBdr>
        </w:div>
        <w:div w:id="34890501">
          <w:marLeft w:val="640"/>
          <w:marRight w:val="0"/>
          <w:marTop w:val="0"/>
          <w:marBottom w:val="0"/>
          <w:divBdr>
            <w:top w:val="none" w:sz="0" w:space="0" w:color="auto"/>
            <w:left w:val="none" w:sz="0" w:space="0" w:color="auto"/>
            <w:bottom w:val="none" w:sz="0" w:space="0" w:color="auto"/>
            <w:right w:val="none" w:sz="0" w:space="0" w:color="auto"/>
          </w:divBdr>
        </w:div>
        <w:div w:id="460463826">
          <w:marLeft w:val="640"/>
          <w:marRight w:val="0"/>
          <w:marTop w:val="0"/>
          <w:marBottom w:val="0"/>
          <w:divBdr>
            <w:top w:val="none" w:sz="0" w:space="0" w:color="auto"/>
            <w:left w:val="none" w:sz="0" w:space="0" w:color="auto"/>
            <w:bottom w:val="none" w:sz="0" w:space="0" w:color="auto"/>
            <w:right w:val="none" w:sz="0" w:space="0" w:color="auto"/>
          </w:divBdr>
        </w:div>
        <w:div w:id="1303736575">
          <w:marLeft w:val="640"/>
          <w:marRight w:val="0"/>
          <w:marTop w:val="0"/>
          <w:marBottom w:val="0"/>
          <w:divBdr>
            <w:top w:val="none" w:sz="0" w:space="0" w:color="auto"/>
            <w:left w:val="none" w:sz="0" w:space="0" w:color="auto"/>
            <w:bottom w:val="none" w:sz="0" w:space="0" w:color="auto"/>
            <w:right w:val="none" w:sz="0" w:space="0" w:color="auto"/>
          </w:divBdr>
        </w:div>
        <w:div w:id="861361022">
          <w:marLeft w:val="640"/>
          <w:marRight w:val="0"/>
          <w:marTop w:val="0"/>
          <w:marBottom w:val="0"/>
          <w:divBdr>
            <w:top w:val="none" w:sz="0" w:space="0" w:color="auto"/>
            <w:left w:val="none" w:sz="0" w:space="0" w:color="auto"/>
            <w:bottom w:val="none" w:sz="0" w:space="0" w:color="auto"/>
            <w:right w:val="none" w:sz="0" w:space="0" w:color="auto"/>
          </w:divBdr>
        </w:div>
        <w:div w:id="900868129">
          <w:marLeft w:val="640"/>
          <w:marRight w:val="0"/>
          <w:marTop w:val="0"/>
          <w:marBottom w:val="0"/>
          <w:divBdr>
            <w:top w:val="none" w:sz="0" w:space="0" w:color="auto"/>
            <w:left w:val="none" w:sz="0" w:space="0" w:color="auto"/>
            <w:bottom w:val="none" w:sz="0" w:space="0" w:color="auto"/>
            <w:right w:val="none" w:sz="0" w:space="0" w:color="auto"/>
          </w:divBdr>
        </w:div>
        <w:div w:id="1091201512">
          <w:marLeft w:val="640"/>
          <w:marRight w:val="0"/>
          <w:marTop w:val="0"/>
          <w:marBottom w:val="0"/>
          <w:divBdr>
            <w:top w:val="none" w:sz="0" w:space="0" w:color="auto"/>
            <w:left w:val="none" w:sz="0" w:space="0" w:color="auto"/>
            <w:bottom w:val="none" w:sz="0" w:space="0" w:color="auto"/>
            <w:right w:val="none" w:sz="0" w:space="0" w:color="auto"/>
          </w:divBdr>
        </w:div>
        <w:div w:id="79571102">
          <w:marLeft w:val="640"/>
          <w:marRight w:val="0"/>
          <w:marTop w:val="0"/>
          <w:marBottom w:val="0"/>
          <w:divBdr>
            <w:top w:val="none" w:sz="0" w:space="0" w:color="auto"/>
            <w:left w:val="none" w:sz="0" w:space="0" w:color="auto"/>
            <w:bottom w:val="none" w:sz="0" w:space="0" w:color="auto"/>
            <w:right w:val="none" w:sz="0" w:space="0" w:color="auto"/>
          </w:divBdr>
        </w:div>
        <w:div w:id="1186868280">
          <w:marLeft w:val="640"/>
          <w:marRight w:val="0"/>
          <w:marTop w:val="0"/>
          <w:marBottom w:val="0"/>
          <w:divBdr>
            <w:top w:val="none" w:sz="0" w:space="0" w:color="auto"/>
            <w:left w:val="none" w:sz="0" w:space="0" w:color="auto"/>
            <w:bottom w:val="none" w:sz="0" w:space="0" w:color="auto"/>
            <w:right w:val="none" w:sz="0" w:space="0" w:color="auto"/>
          </w:divBdr>
        </w:div>
        <w:div w:id="576793776">
          <w:marLeft w:val="640"/>
          <w:marRight w:val="0"/>
          <w:marTop w:val="0"/>
          <w:marBottom w:val="0"/>
          <w:divBdr>
            <w:top w:val="none" w:sz="0" w:space="0" w:color="auto"/>
            <w:left w:val="none" w:sz="0" w:space="0" w:color="auto"/>
            <w:bottom w:val="none" w:sz="0" w:space="0" w:color="auto"/>
            <w:right w:val="none" w:sz="0" w:space="0" w:color="auto"/>
          </w:divBdr>
        </w:div>
        <w:div w:id="1200967939">
          <w:marLeft w:val="640"/>
          <w:marRight w:val="0"/>
          <w:marTop w:val="0"/>
          <w:marBottom w:val="0"/>
          <w:divBdr>
            <w:top w:val="none" w:sz="0" w:space="0" w:color="auto"/>
            <w:left w:val="none" w:sz="0" w:space="0" w:color="auto"/>
            <w:bottom w:val="none" w:sz="0" w:space="0" w:color="auto"/>
            <w:right w:val="none" w:sz="0" w:space="0" w:color="auto"/>
          </w:divBdr>
        </w:div>
        <w:div w:id="1852452792">
          <w:marLeft w:val="640"/>
          <w:marRight w:val="0"/>
          <w:marTop w:val="0"/>
          <w:marBottom w:val="0"/>
          <w:divBdr>
            <w:top w:val="none" w:sz="0" w:space="0" w:color="auto"/>
            <w:left w:val="none" w:sz="0" w:space="0" w:color="auto"/>
            <w:bottom w:val="none" w:sz="0" w:space="0" w:color="auto"/>
            <w:right w:val="none" w:sz="0" w:space="0" w:color="auto"/>
          </w:divBdr>
        </w:div>
        <w:div w:id="1538158502">
          <w:marLeft w:val="640"/>
          <w:marRight w:val="0"/>
          <w:marTop w:val="0"/>
          <w:marBottom w:val="0"/>
          <w:divBdr>
            <w:top w:val="none" w:sz="0" w:space="0" w:color="auto"/>
            <w:left w:val="none" w:sz="0" w:space="0" w:color="auto"/>
            <w:bottom w:val="none" w:sz="0" w:space="0" w:color="auto"/>
            <w:right w:val="none" w:sz="0" w:space="0" w:color="auto"/>
          </w:divBdr>
        </w:div>
      </w:divsChild>
    </w:div>
    <w:div w:id="228659313">
      <w:bodyDiv w:val="1"/>
      <w:marLeft w:val="0"/>
      <w:marRight w:val="0"/>
      <w:marTop w:val="0"/>
      <w:marBottom w:val="0"/>
      <w:divBdr>
        <w:top w:val="none" w:sz="0" w:space="0" w:color="auto"/>
        <w:left w:val="none" w:sz="0" w:space="0" w:color="auto"/>
        <w:bottom w:val="none" w:sz="0" w:space="0" w:color="auto"/>
        <w:right w:val="none" w:sz="0" w:space="0" w:color="auto"/>
      </w:divBdr>
      <w:divsChild>
        <w:div w:id="1840465894">
          <w:marLeft w:val="640"/>
          <w:marRight w:val="0"/>
          <w:marTop w:val="0"/>
          <w:marBottom w:val="0"/>
          <w:divBdr>
            <w:top w:val="none" w:sz="0" w:space="0" w:color="auto"/>
            <w:left w:val="none" w:sz="0" w:space="0" w:color="auto"/>
            <w:bottom w:val="none" w:sz="0" w:space="0" w:color="auto"/>
            <w:right w:val="none" w:sz="0" w:space="0" w:color="auto"/>
          </w:divBdr>
        </w:div>
        <w:div w:id="1247887538">
          <w:marLeft w:val="640"/>
          <w:marRight w:val="0"/>
          <w:marTop w:val="0"/>
          <w:marBottom w:val="0"/>
          <w:divBdr>
            <w:top w:val="none" w:sz="0" w:space="0" w:color="auto"/>
            <w:left w:val="none" w:sz="0" w:space="0" w:color="auto"/>
            <w:bottom w:val="none" w:sz="0" w:space="0" w:color="auto"/>
            <w:right w:val="none" w:sz="0" w:space="0" w:color="auto"/>
          </w:divBdr>
        </w:div>
        <w:div w:id="1207110651">
          <w:marLeft w:val="640"/>
          <w:marRight w:val="0"/>
          <w:marTop w:val="0"/>
          <w:marBottom w:val="0"/>
          <w:divBdr>
            <w:top w:val="none" w:sz="0" w:space="0" w:color="auto"/>
            <w:left w:val="none" w:sz="0" w:space="0" w:color="auto"/>
            <w:bottom w:val="none" w:sz="0" w:space="0" w:color="auto"/>
            <w:right w:val="none" w:sz="0" w:space="0" w:color="auto"/>
          </w:divBdr>
        </w:div>
        <w:div w:id="971594358">
          <w:marLeft w:val="640"/>
          <w:marRight w:val="0"/>
          <w:marTop w:val="0"/>
          <w:marBottom w:val="0"/>
          <w:divBdr>
            <w:top w:val="none" w:sz="0" w:space="0" w:color="auto"/>
            <w:left w:val="none" w:sz="0" w:space="0" w:color="auto"/>
            <w:bottom w:val="none" w:sz="0" w:space="0" w:color="auto"/>
            <w:right w:val="none" w:sz="0" w:space="0" w:color="auto"/>
          </w:divBdr>
        </w:div>
        <w:div w:id="1855805572">
          <w:marLeft w:val="640"/>
          <w:marRight w:val="0"/>
          <w:marTop w:val="0"/>
          <w:marBottom w:val="0"/>
          <w:divBdr>
            <w:top w:val="none" w:sz="0" w:space="0" w:color="auto"/>
            <w:left w:val="none" w:sz="0" w:space="0" w:color="auto"/>
            <w:bottom w:val="none" w:sz="0" w:space="0" w:color="auto"/>
            <w:right w:val="none" w:sz="0" w:space="0" w:color="auto"/>
          </w:divBdr>
        </w:div>
        <w:div w:id="1786315559">
          <w:marLeft w:val="640"/>
          <w:marRight w:val="0"/>
          <w:marTop w:val="0"/>
          <w:marBottom w:val="0"/>
          <w:divBdr>
            <w:top w:val="none" w:sz="0" w:space="0" w:color="auto"/>
            <w:left w:val="none" w:sz="0" w:space="0" w:color="auto"/>
            <w:bottom w:val="none" w:sz="0" w:space="0" w:color="auto"/>
            <w:right w:val="none" w:sz="0" w:space="0" w:color="auto"/>
          </w:divBdr>
        </w:div>
        <w:div w:id="673920191">
          <w:marLeft w:val="640"/>
          <w:marRight w:val="0"/>
          <w:marTop w:val="0"/>
          <w:marBottom w:val="0"/>
          <w:divBdr>
            <w:top w:val="none" w:sz="0" w:space="0" w:color="auto"/>
            <w:left w:val="none" w:sz="0" w:space="0" w:color="auto"/>
            <w:bottom w:val="none" w:sz="0" w:space="0" w:color="auto"/>
            <w:right w:val="none" w:sz="0" w:space="0" w:color="auto"/>
          </w:divBdr>
        </w:div>
        <w:div w:id="722410361">
          <w:marLeft w:val="640"/>
          <w:marRight w:val="0"/>
          <w:marTop w:val="0"/>
          <w:marBottom w:val="0"/>
          <w:divBdr>
            <w:top w:val="none" w:sz="0" w:space="0" w:color="auto"/>
            <w:left w:val="none" w:sz="0" w:space="0" w:color="auto"/>
            <w:bottom w:val="none" w:sz="0" w:space="0" w:color="auto"/>
            <w:right w:val="none" w:sz="0" w:space="0" w:color="auto"/>
          </w:divBdr>
        </w:div>
        <w:div w:id="1309359773">
          <w:marLeft w:val="640"/>
          <w:marRight w:val="0"/>
          <w:marTop w:val="0"/>
          <w:marBottom w:val="0"/>
          <w:divBdr>
            <w:top w:val="none" w:sz="0" w:space="0" w:color="auto"/>
            <w:left w:val="none" w:sz="0" w:space="0" w:color="auto"/>
            <w:bottom w:val="none" w:sz="0" w:space="0" w:color="auto"/>
            <w:right w:val="none" w:sz="0" w:space="0" w:color="auto"/>
          </w:divBdr>
        </w:div>
        <w:div w:id="1882091335">
          <w:marLeft w:val="640"/>
          <w:marRight w:val="0"/>
          <w:marTop w:val="0"/>
          <w:marBottom w:val="0"/>
          <w:divBdr>
            <w:top w:val="none" w:sz="0" w:space="0" w:color="auto"/>
            <w:left w:val="none" w:sz="0" w:space="0" w:color="auto"/>
            <w:bottom w:val="none" w:sz="0" w:space="0" w:color="auto"/>
            <w:right w:val="none" w:sz="0" w:space="0" w:color="auto"/>
          </w:divBdr>
        </w:div>
        <w:div w:id="1484082532">
          <w:marLeft w:val="640"/>
          <w:marRight w:val="0"/>
          <w:marTop w:val="0"/>
          <w:marBottom w:val="0"/>
          <w:divBdr>
            <w:top w:val="none" w:sz="0" w:space="0" w:color="auto"/>
            <w:left w:val="none" w:sz="0" w:space="0" w:color="auto"/>
            <w:bottom w:val="none" w:sz="0" w:space="0" w:color="auto"/>
            <w:right w:val="none" w:sz="0" w:space="0" w:color="auto"/>
          </w:divBdr>
        </w:div>
        <w:div w:id="109403349">
          <w:marLeft w:val="640"/>
          <w:marRight w:val="0"/>
          <w:marTop w:val="0"/>
          <w:marBottom w:val="0"/>
          <w:divBdr>
            <w:top w:val="none" w:sz="0" w:space="0" w:color="auto"/>
            <w:left w:val="none" w:sz="0" w:space="0" w:color="auto"/>
            <w:bottom w:val="none" w:sz="0" w:space="0" w:color="auto"/>
            <w:right w:val="none" w:sz="0" w:space="0" w:color="auto"/>
          </w:divBdr>
        </w:div>
        <w:div w:id="2011905318">
          <w:marLeft w:val="640"/>
          <w:marRight w:val="0"/>
          <w:marTop w:val="0"/>
          <w:marBottom w:val="0"/>
          <w:divBdr>
            <w:top w:val="none" w:sz="0" w:space="0" w:color="auto"/>
            <w:left w:val="none" w:sz="0" w:space="0" w:color="auto"/>
            <w:bottom w:val="none" w:sz="0" w:space="0" w:color="auto"/>
            <w:right w:val="none" w:sz="0" w:space="0" w:color="auto"/>
          </w:divBdr>
        </w:div>
        <w:div w:id="400179954">
          <w:marLeft w:val="640"/>
          <w:marRight w:val="0"/>
          <w:marTop w:val="0"/>
          <w:marBottom w:val="0"/>
          <w:divBdr>
            <w:top w:val="none" w:sz="0" w:space="0" w:color="auto"/>
            <w:left w:val="none" w:sz="0" w:space="0" w:color="auto"/>
            <w:bottom w:val="none" w:sz="0" w:space="0" w:color="auto"/>
            <w:right w:val="none" w:sz="0" w:space="0" w:color="auto"/>
          </w:divBdr>
        </w:div>
        <w:div w:id="2112511118">
          <w:marLeft w:val="640"/>
          <w:marRight w:val="0"/>
          <w:marTop w:val="0"/>
          <w:marBottom w:val="0"/>
          <w:divBdr>
            <w:top w:val="none" w:sz="0" w:space="0" w:color="auto"/>
            <w:left w:val="none" w:sz="0" w:space="0" w:color="auto"/>
            <w:bottom w:val="none" w:sz="0" w:space="0" w:color="auto"/>
            <w:right w:val="none" w:sz="0" w:space="0" w:color="auto"/>
          </w:divBdr>
        </w:div>
        <w:div w:id="928735118">
          <w:marLeft w:val="640"/>
          <w:marRight w:val="0"/>
          <w:marTop w:val="0"/>
          <w:marBottom w:val="0"/>
          <w:divBdr>
            <w:top w:val="none" w:sz="0" w:space="0" w:color="auto"/>
            <w:left w:val="none" w:sz="0" w:space="0" w:color="auto"/>
            <w:bottom w:val="none" w:sz="0" w:space="0" w:color="auto"/>
            <w:right w:val="none" w:sz="0" w:space="0" w:color="auto"/>
          </w:divBdr>
        </w:div>
        <w:div w:id="394593310">
          <w:marLeft w:val="640"/>
          <w:marRight w:val="0"/>
          <w:marTop w:val="0"/>
          <w:marBottom w:val="0"/>
          <w:divBdr>
            <w:top w:val="none" w:sz="0" w:space="0" w:color="auto"/>
            <w:left w:val="none" w:sz="0" w:space="0" w:color="auto"/>
            <w:bottom w:val="none" w:sz="0" w:space="0" w:color="auto"/>
            <w:right w:val="none" w:sz="0" w:space="0" w:color="auto"/>
          </w:divBdr>
        </w:div>
        <w:div w:id="1876851160">
          <w:marLeft w:val="640"/>
          <w:marRight w:val="0"/>
          <w:marTop w:val="0"/>
          <w:marBottom w:val="0"/>
          <w:divBdr>
            <w:top w:val="none" w:sz="0" w:space="0" w:color="auto"/>
            <w:left w:val="none" w:sz="0" w:space="0" w:color="auto"/>
            <w:bottom w:val="none" w:sz="0" w:space="0" w:color="auto"/>
            <w:right w:val="none" w:sz="0" w:space="0" w:color="auto"/>
          </w:divBdr>
        </w:div>
        <w:div w:id="1977637134">
          <w:marLeft w:val="640"/>
          <w:marRight w:val="0"/>
          <w:marTop w:val="0"/>
          <w:marBottom w:val="0"/>
          <w:divBdr>
            <w:top w:val="none" w:sz="0" w:space="0" w:color="auto"/>
            <w:left w:val="none" w:sz="0" w:space="0" w:color="auto"/>
            <w:bottom w:val="none" w:sz="0" w:space="0" w:color="auto"/>
            <w:right w:val="none" w:sz="0" w:space="0" w:color="auto"/>
          </w:divBdr>
        </w:div>
        <w:div w:id="104232659">
          <w:marLeft w:val="640"/>
          <w:marRight w:val="0"/>
          <w:marTop w:val="0"/>
          <w:marBottom w:val="0"/>
          <w:divBdr>
            <w:top w:val="none" w:sz="0" w:space="0" w:color="auto"/>
            <w:left w:val="none" w:sz="0" w:space="0" w:color="auto"/>
            <w:bottom w:val="none" w:sz="0" w:space="0" w:color="auto"/>
            <w:right w:val="none" w:sz="0" w:space="0" w:color="auto"/>
          </w:divBdr>
        </w:div>
        <w:div w:id="28772095">
          <w:marLeft w:val="640"/>
          <w:marRight w:val="0"/>
          <w:marTop w:val="0"/>
          <w:marBottom w:val="0"/>
          <w:divBdr>
            <w:top w:val="none" w:sz="0" w:space="0" w:color="auto"/>
            <w:left w:val="none" w:sz="0" w:space="0" w:color="auto"/>
            <w:bottom w:val="none" w:sz="0" w:space="0" w:color="auto"/>
            <w:right w:val="none" w:sz="0" w:space="0" w:color="auto"/>
          </w:divBdr>
        </w:div>
        <w:div w:id="830944775">
          <w:marLeft w:val="640"/>
          <w:marRight w:val="0"/>
          <w:marTop w:val="0"/>
          <w:marBottom w:val="0"/>
          <w:divBdr>
            <w:top w:val="none" w:sz="0" w:space="0" w:color="auto"/>
            <w:left w:val="none" w:sz="0" w:space="0" w:color="auto"/>
            <w:bottom w:val="none" w:sz="0" w:space="0" w:color="auto"/>
            <w:right w:val="none" w:sz="0" w:space="0" w:color="auto"/>
          </w:divBdr>
        </w:div>
        <w:div w:id="2134398710">
          <w:marLeft w:val="640"/>
          <w:marRight w:val="0"/>
          <w:marTop w:val="0"/>
          <w:marBottom w:val="0"/>
          <w:divBdr>
            <w:top w:val="none" w:sz="0" w:space="0" w:color="auto"/>
            <w:left w:val="none" w:sz="0" w:space="0" w:color="auto"/>
            <w:bottom w:val="none" w:sz="0" w:space="0" w:color="auto"/>
            <w:right w:val="none" w:sz="0" w:space="0" w:color="auto"/>
          </w:divBdr>
        </w:div>
        <w:div w:id="602419266">
          <w:marLeft w:val="640"/>
          <w:marRight w:val="0"/>
          <w:marTop w:val="0"/>
          <w:marBottom w:val="0"/>
          <w:divBdr>
            <w:top w:val="none" w:sz="0" w:space="0" w:color="auto"/>
            <w:left w:val="none" w:sz="0" w:space="0" w:color="auto"/>
            <w:bottom w:val="none" w:sz="0" w:space="0" w:color="auto"/>
            <w:right w:val="none" w:sz="0" w:space="0" w:color="auto"/>
          </w:divBdr>
        </w:div>
        <w:div w:id="2001495692">
          <w:marLeft w:val="640"/>
          <w:marRight w:val="0"/>
          <w:marTop w:val="0"/>
          <w:marBottom w:val="0"/>
          <w:divBdr>
            <w:top w:val="none" w:sz="0" w:space="0" w:color="auto"/>
            <w:left w:val="none" w:sz="0" w:space="0" w:color="auto"/>
            <w:bottom w:val="none" w:sz="0" w:space="0" w:color="auto"/>
            <w:right w:val="none" w:sz="0" w:space="0" w:color="auto"/>
          </w:divBdr>
        </w:div>
        <w:div w:id="1220552698">
          <w:marLeft w:val="640"/>
          <w:marRight w:val="0"/>
          <w:marTop w:val="0"/>
          <w:marBottom w:val="0"/>
          <w:divBdr>
            <w:top w:val="none" w:sz="0" w:space="0" w:color="auto"/>
            <w:left w:val="none" w:sz="0" w:space="0" w:color="auto"/>
            <w:bottom w:val="none" w:sz="0" w:space="0" w:color="auto"/>
            <w:right w:val="none" w:sz="0" w:space="0" w:color="auto"/>
          </w:divBdr>
        </w:div>
        <w:div w:id="1646010931">
          <w:marLeft w:val="640"/>
          <w:marRight w:val="0"/>
          <w:marTop w:val="0"/>
          <w:marBottom w:val="0"/>
          <w:divBdr>
            <w:top w:val="none" w:sz="0" w:space="0" w:color="auto"/>
            <w:left w:val="none" w:sz="0" w:space="0" w:color="auto"/>
            <w:bottom w:val="none" w:sz="0" w:space="0" w:color="auto"/>
            <w:right w:val="none" w:sz="0" w:space="0" w:color="auto"/>
          </w:divBdr>
        </w:div>
        <w:div w:id="9450830">
          <w:marLeft w:val="640"/>
          <w:marRight w:val="0"/>
          <w:marTop w:val="0"/>
          <w:marBottom w:val="0"/>
          <w:divBdr>
            <w:top w:val="none" w:sz="0" w:space="0" w:color="auto"/>
            <w:left w:val="none" w:sz="0" w:space="0" w:color="auto"/>
            <w:bottom w:val="none" w:sz="0" w:space="0" w:color="auto"/>
            <w:right w:val="none" w:sz="0" w:space="0" w:color="auto"/>
          </w:divBdr>
        </w:div>
        <w:div w:id="403796295">
          <w:marLeft w:val="640"/>
          <w:marRight w:val="0"/>
          <w:marTop w:val="0"/>
          <w:marBottom w:val="0"/>
          <w:divBdr>
            <w:top w:val="none" w:sz="0" w:space="0" w:color="auto"/>
            <w:left w:val="none" w:sz="0" w:space="0" w:color="auto"/>
            <w:bottom w:val="none" w:sz="0" w:space="0" w:color="auto"/>
            <w:right w:val="none" w:sz="0" w:space="0" w:color="auto"/>
          </w:divBdr>
        </w:div>
        <w:div w:id="484511153">
          <w:marLeft w:val="640"/>
          <w:marRight w:val="0"/>
          <w:marTop w:val="0"/>
          <w:marBottom w:val="0"/>
          <w:divBdr>
            <w:top w:val="none" w:sz="0" w:space="0" w:color="auto"/>
            <w:left w:val="none" w:sz="0" w:space="0" w:color="auto"/>
            <w:bottom w:val="none" w:sz="0" w:space="0" w:color="auto"/>
            <w:right w:val="none" w:sz="0" w:space="0" w:color="auto"/>
          </w:divBdr>
        </w:div>
        <w:div w:id="2069645864">
          <w:marLeft w:val="640"/>
          <w:marRight w:val="0"/>
          <w:marTop w:val="0"/>
          <w:marBottom w:val="0"/>
          <w:divBdr>
            <w:top w:val="none" w:sz="0" w:space="0" w:color="auto"/>
            <w:left w:val="none" w:sz="0" w:space="0" w:color="auto"/>
            <w:bottom w:val="none" w:sz="0" w:space="0" w:color="auto"/>
            <w:right w:val="none" w:sz="0" w:space="0" w:color="auto"/>
          </w:divBdr>
        </w:div>
        <w:div w:id="78186719">
          <w:marLeft w:val="640"/>
          <w:marRight w:val="0"/>
          <w:marTop w:val="0"/>
          <w:marBottom w:val="0"/>
          <w:divBdr>
            <w:top w:val="none" w:sz="0" w:space="0" w:color="auto"/>
            <w:left w:val="none" w:sz="0" w:space="0" w:color="auto"/>
            <w:bottom w:val="none" w:sz="0" w:space="0" w:color="auto"/>
            <w:right w:val="none" w:sz="0" w:space="0" w:color="auto"/>
          </w:divBdr>
        </w:div>
        <w:div w:id="1915702528">
          <w:marLeft w:val="640"/>
          <w:marRight w:val="0"/>
          <w:marTop w:val="0"/>
          <w:marBottom w:val="0"/>
          <w:divBdr>
            <w:top w:val="none" w:sz="0" w:space="0" w:color="auto"/>
            <w:left w:val="none" w:sz="0" w:space="0" w:color="auto"/>
            <w:bottom w:val="none" w:sz="0" w:space="0" w:color="auto"/>
            <w:right w:val="none" w:sz="0" w:space="0" w:color="auto"/>
          </w:divBdr>
        </w:div>
        <w:div w:id="1051274359">
          <w:marLeft w:val="640"/>
          <w:marRight w:val="0"/>
          <w:marTop w:val="0"/>
          <w:marBottom w:val="0"/>
          <w:divBdr>
            <w:top w:val="none" w:sz="0" w:space="0" w:color="auto"/>
            <w:left w:val="none" w:sz="0" w:space="0" w:color="auto"/>
            <w:bottom w:val="none" w:sz="0" w:space="0" w:color="auto"/>
            <w:right w:val="none" w:sz="0" w:space="0" w:color="auto"/>
          </w:divBdr>
        </w:div>
        <w:div w:id="907111779">
          <w:marLeft w:val="640"/>
          <w:marRight w:val="0"/>
          <w:marTop w:val="0"/>
          <w:marBottom w:val="0"/>
          <w:divBdr>
            <w:top w:val="none" w:sz="0" w:space="0" w:color="auto"/>
            <w:left w:val="none" w:sz="0" w:space="0" w:color="auto"/>
            <w:bottom w:val="none" w:sz="0" w:space="0" w:color="auto"/>
            <w:right w:val="none" w:sz="0" w:space="0" w:color="auto"/>
          </w:divBdr>
        </w:div>
        <w:div w:id="1668749156">
          <w:marLeft w:val="640"/>
          <w:marRight w:val="0"/>
          <w:marTop w:val="0"/>
          <w:marBottom w:val="0"/>
          <w:divBdr>
            <w:top w:val="none" w:sz="0" w:space="0" w:color="auto"/>
            <w:left w:val="none" w:sz="0" w:space="0" w:color="auto"/>
            <w:bottom w:val="none" w:sz="0" w:space="0" w:color="auto"/>
            <w:right w:val="none" w:sz="0" w:space="0" w:color="auto"/>
          </w:divBdr>
        </w:div>
        <w:div w:id="1679387538">
          <w:marLeft w:val="640"/>
          <w:marRight w:val="0"/>
          <w:marTop w:val="0"/>
          <w:marBottom w:val="0"/>
          <w:divBdr>
            <w:top w:val="none" w:sz="0" w:space="0" w:color="auto"/>
            <w:left w:val="none" w:sz="0" w:space="0" w:color="auto"/>
            <w:bottom w:val="none" w:sz="0" w:space="0" w:color="auto"/>
            <w:right w:val="none" w:sz="0" w:space="0" w:color="auto"/>
          </w:divBdr>
        </w:div>
        <w:div w:id="2071927073">
          <w:marLeft w:val="640"/>
          <w:marRight w:val="0"/>
          <w:marTop w:val="0"/>
          <w:marBottom w:val="0"/>
          <w:divBdr>
            <w:top w:val="none" w:sz="0" w:space="0" w:color="auto"/>
            <w:left w:val="none" w:sz="0" w:space="0" w:color="auto"/>
            <w:bottom w:val="none" w:sz="0" w:space="0" w:color="auto"/>
            <w:right w:val="none" w:sz="0" w:space="0" w:color="auto"/>
          </w:divBdr>
        </w:div>
        <w:div w:id="1561213783">
          <w:marLeft w:val="640"/>
          <w:marRight w:val="0"/>
          <w:marTop w:val="0"/>
          <w:marBottom w:val="0"/>
          <w:divBdr>
            <w:top w:val="none" w:sz="0" w:space="0" w:color="auto"/>
            <w:left w:val="none" w:sz="0" w:space="0" w:color="auto"/>
            <w:bottom w:val="none" w:sz="0" w:space="0" w:color="auto"/>
            <w:right w:val="none" w:sz="0" w:space="0" w:color="auto"/>
          </w:divBdr>
        </w:div>
        <w:div w:id="1292395183">
          <w:marLeft w:val="640"/>
          <w:marRight w:val="0"/>
          <w:marTop w:val="0"/>
          <w:marBottom w:val="0"/>
          <w:divBdr>
            <w:top w:val="none" w:sz="0" w:space="0" w:color="auto"/>
            <w:left w:val="none" w:sz="0" w:space="0" w:color="auto"/>
            <w:bottom w:val="none" w:sz="0" w:space="0" w:color="auto"/>
            <w:right w:val="none" w:sz="0" w:space="0" w:color="auto"/>
          </w:divBdr>
        </w:div>
        <w:div w:id="2051102415">
          <w:marLeft w:val="640"/>
          <w:marRight w:val="0"/>
          <w:marTop w:val="0"/>
          <w:marBottom w:val="0"/>
          <w:divBdr>
            <w:top w:val="none" w:sz="0" w:space="0" w:color="auto"/>
            <w:left w:val="none" w:sz="0" w:space="0" w:color="auto"/>
            <w:bottom w:val="none" w:sz="0" w:space="0" w:color="auto"/>
            <w:right w:val="none" w:sz="0" w:space="0" w:color="auto"/>
          </w:divBdr>
        </w:div>
        <w:div w:id="955600766">
          <w:marLeft w:val="640"/>
          <w:marRight w:val="0"/>
          <w:marTop w:val="0"/>
          <w:marBottom w:val="0"/>
          <w:divBdr>
            <w:top w:val="none" w:sz="0" w:space="0" w:color="auto"/>
            <w:left w:val="none" w:sz="0" w:space="0" w:color="auto"/>
            <w:bottom w:val="none" w:sz="0" w:space="0" w:color="auto"/>
            <w:right w:val="none" w:sz="0" w:space="0" w:color="auto"/>
          </w:divBdr>
        </w:div>
        <w:div w:id="1861624725">
          <w:marLeft w:val="640"/>
          <w:marRight w:val="0"/>
          <w:marTop w:val="0"/>
          <w:marBottom w:val="0"/>
          <w:divBdr>
            <w:top w:val="none" w:sz="0" w:space="0" w:color="auto"/>
            <w:left w:val="none" w:sz="0" w:space="0" w:color="auto"/>
            <w:bottom w:val="none" w:sz="0" w:space="0" w:color="auto"/>
            <w:right w:val="none" w:sz="0" w:space="0" w:color="auto"/>
          </w:divBdr>
        </w:div>
        <w:div w:id="1718043667">
          <w:marLeft w:val="640"/>
          <w:marRight w:val="0"/>
          <w:marTop w:val="0"/>
          <w:marBottom w:val="0"/>
          <w:divBdr>
            <w:top w:val="none" w:sz="0" w:space="0" w:color="auto"/>
            <w:left w:val="none" w:sz="0" w:space="0" w:color="auto"/>
            <w:bottom w:val="none" w:sz="0" w:space="0" w:color="auto"/>
            <w:right w:val="none" w:sz="0" w:space="0" w:color="auto"/>
          </w:divBdr>
        </w:div>
        <w:div w:id="1017584488">
          <w:marLeft w:val="640"/>
          <w:marRight w:val="0"/>
          <w:marTop w:val="0"/>
          <w:marBottom w:val="0"/>
          <w:divBdr>
            <w:top w:val="none" w:sz="0" w:space="0" w:color="auto"/>
            <w:left w:val="none" w:sz="0" w:space="0" w:color="auto"/>
            <w:bottom w:val="none" w:sz="0" w:space="0" w:color="auto"/>
            <w:right w:val="none" w:sz="0" w:space="0" w:color="auto"/>
          </w:divBdr>
        </w:div>
        <w:div w:id="925504567">
          <w:marLeft w:val="640"/>
          <w:marRight w:val="0"/>
          <w:marTop w:val="0"/>
          <w:marBottom w:val="0"/>
          <w:divBdr>
            <w:top w:val="none" w:sz="0" w:space="0" w:color="auto"/>
            <w:left w:val="none" w:sz="0" w:space="0" w:color="auto"/>
            <w:bottom w:val="none" w:sz="0" w:space="0" w:color="auto"/>
            <w:right w:val="none" w:sz="0" w:space="0" w:color="auto"/>
          </w:divBdr>
        </w:div>
        <w:div w:id="1394356715">
          <w:marLeft w:val="640"/>
          <w:marRight w:val="0"/>
          <w:marTop w:val="0"/>
          <w:marBottom w:val="0"/>
          <w:divBdr>
            <w:top w:val="none" w:sz="0" w:space="0" w:color="auto"/>
            <w:left w:val="none" w:sz="0" w:space="0" w:color="auto"/>
            <w:bottom w:val="none" w:sz="0" w:space="0" w:color="auto"/>
            <w:right w:val="none" w:sz="0" w:space="0" w:color="auto"/>
          </w:divBdr>
        </w:div>
        <w:div w:id="2116514467">
          <w:marLeft w:val="640"/>
          <w:marRight w:val="0"/>
          <w:marTop w:val="0"/>
          <w:marBottom w:val="0"/>
          <w:divBdr>
            <w:top w:val="none" w:sz="0" w:space="0" w:color="auto"/>
            <w:left w:val="none" w:sz="0" w:space="0" w:color="auto"/>
            <w:bottom w:val="none" w:sz="0" w:space="0" w:color="auto"/>
            <w:right w:val="none" w:sz="0" w:space="0" w:color="auto"/>
          </w:divBdr>
        </w:div>
        <w:div w:id="1264338589">
          <w:marLeft w:val="640"/>
          <w:marRight w:val="0"/>
          <w:marTop w:val="0"/>
          <w:marBottom w:val="0"/>
          <w:divBdr>
            <w:top w:val="none" w:sz="0" w:space="0" w:color="auto"/>
            <w:left w:val="none" w:sz="0" w:space="0" w:color="auto"/>
            <w:bottom w:val="none" w:sz="0" w:space="0" w:color="auto"/>
            <w:right w:val="none" w:sz="0" w:space="0" w:color="auto"/>
          </w:divBdr>
        </w:div>
        <w:div w:id="1888493864">
          <w:marLeft w:val="640"/>
          <w:marRight w:val="0"/>
          <w:marTop w:val="0"/>
          <w:marBottom w:val="0"/>
          <w:divBdr>
            <w:top w:val="none" w:sz="0" w:space="0" w:color="auto"/>
            <w:left w:val="none" w:sz="0" w:space="0" w:color="auto"/>
            <w:bottom w:val="none" w:sz="0" w:space="0" w:color="auto"/>
            <w:right w:val="none" w:sz="0" w:space="0" w:color="auto"/>
          </w:divBdr>
        </w:div>
        <w:div w:id="874346617">
          <w:marLeft w:val="640"/>
          <w:marRight w:val="0"/>
          <w:marTop w:val="0"/>
          <w:marBottom w:val="0"/>
          <w:divBdr>
            <w:top w:val="none" w:sz="0" w:space="0" w:color="auto"/>
            <w:left w:val="none" w:sz="0" w:space="0" w:color="auto"/>
            <w:bottom w:val="none" w:sz="0" w:space="0" w:color="auto"/>
            <w:right w:val="none" w:sz="0" w:space="0" w:color="auto"/>
          </w:divBdr>
        </w:div>
        <w:div w:id="1712074345">
          <w:marLeft w:val="640"/>
          <w:marRight w:val="0"/>
          <w:marTop w:val="0"/>
          <w:marBottom w:val="0"/>
          <w:divBdr>
            <w:top w:val="none" w:sz="0" w:space="0" w:color="auto"/>
            <w:left w:val="none" w:sz="0" w:space="0" w:color="auto"/>
            <w:bottom w:val="none" w:sz="0" w:space="0" w:color="auto"/>
            <w:right w:val="none" w:sz="0" w:space="0" w:color="auto"/>
          </w:divBdr>
        </w:div>
        <w:div w:id="385837914">
          <w:marLeft w:val="640"/>
          <w:marRight w:val="0"/>
          <w:marTop w:val="0"/>
          <w:marBottom w:val="0"/>
          <w:divBdr>
            <w:top w:val="none" w:sz="0" w:space="0" w:color="auto"/>
            <w:left w:val="none" w:sz="0" w:space="0" w:color="auto"/>
            <w:bottom w:val="none" w:sz="0" w:space="0" w:color="auto"/>
            <w:right w:val="none" w:sz="0" w:space="0" w:color="auto"/>
          </w:divBdr>
        </w:div>
        <w:div w:id="1770469859">
          <w:marLeft w:val="640"/>
          <w:marRight w:val="0"/>
          <w:marTop w:val="0"/>
          <w:marBottom w:val="0"/>
          <w:divBdr>
            <w:top w:val="none" w:sz="0" w:space="0" w:color="auto"/>
            <w:left w:val="none" w:sz="0" w:space="0" w:color="auto"/>
            <w:bottom w:val="none" w:sz="0" w:space="0" w:color="auto"/>
            <w:right w:val="none" w:sz="0" w:space="0" w:color="auto"/>
          </w:divBdr>
        </w:div>
      </w:divsChild>
    </w:div>
    <w:div w:id="248853338">
      <w:bodyDiv w:val="1"/>
      <w:marLeft w:val="0"/>
      <w:marRight w:val="0"/>
      <w:marTop w:val="0"/>
      <w:marBottom w:val="0"/>
      <w:divBdr>
        <w:top w:val="none" w:sz="0" w:space="0" w:color="auto"/>
        <w:left w:val="none" w:sz="0" w:space="0" w:color="auto"/>
        <w:bottom w:val="none" w:sz="0" w:space="0" w:color="auto"/>
        <w:right w:val="none" w:sz="0" w:space="0" w:color="auto"/>
      </w:divBdr>
      <w:divsChild>
        <w:div w:id="1735007640">
          <w:marLeft w:val="640"/>
          <w:marRight w:val="0"/>
          <w:marTop w:val="0"/>
          <w:marBottom w:val="0"/>
          <w:divBdr>
            <w:top w:val="none" w:sz="0" w:space="0" w:color="auto"/>
            <w:left w:val="none" w:sz="0" w:space="0" w:color="auto"/>
            <w:bottom w:val="none" w:sz="0" w:space="0" w:color="auto"/>
            <w:right w:val="none" w:sz="0" w:space="0" w:color="auto"/>
          </w:divBdr>
        </w:div>
        <w:div w:id="2075618968">
          <w:marLeft w:val="640"/>
          <w:marRight w:val="0"/>
          <w:marTop w:val="0"/>
          <w:marBottom w:val="0"/>
          <w:divBdr>
            <w:top w:val="none" w:sz="0" w:space="0" w:color="auto"/>
            <w:left w:val="none" w:sz="0" w:space="0" w:color="auto"/>
            <w:bottom w:val="none" w:sz="0" w:space="0" w:color="auto"/>
            <w:right w:val="none" w:sz="0" w:space="0" w:color="auto"/>
          </w:divBdr>
        </w:div>
        <w:div w:id="2146778164">
          <w:marLeft w:val="640"/>
          <w:marRight w:val="0"/>
          <w:marTop w:val="0"/>
          <w:marBottom w:val="0"/>
          <w:divBdr>
            <w:top w:val="none" w:sz="0" w:space="0" w:color="auto"/>
            <w:left w:val="none" w:sz="0" w:space="0" w:color="auto"/>
            <w:bottom w:val="none" w:sz="0" w:space="0" w:color="auto"/>
            <w:right w:val="none" w:sz="0" w:space="0" w:color="auto"/>
          </w:divBdr>
        </w:div>
        <w:div w:id="1282345095">
          <w:marLeft w:val="640"/>
          <w:marRight w:val="0"/>
          <w:marTop w:val="0"/>
          <w:marBottom w:val="0"/>
          <w:divBdr>
            <w:top w:val="none" w:sz="0" w:space="0" w:color="auto"/>
            <w:left w:val="none" w:sz="0" w:space="0" w:color="auto"/>
            <w:bottom w:val="none" w:sz="0" w:space="0" w:color="auto"/>
            <w:right w:val="none" w:sz="0" w:space="0" w:color="auto"/>
          </w:divBdr>
        </w:div>
        <w:div w:id="1845776136">
          <w:marLeft w:val="640"/>
          <w:marRight w:val="0"/>
          <w:marTop w:val="0"/>
          <w:marBottom w:val="0"/>
          <w:divBdr>
            <w:top w:val="none" w:sz="0" w:space="0" w:color="auto"/>
            <w:left w:val="none" w:sz="0" w:space="0" w:color="auto"/>
            <w:bottom w:val="none" w:sz="0" w:space="0" w:color="auto"/>
            <w:right w:val="none" w:sz="0" w:space="0" w:color="auto"/>
          </w:divBdr>
        </w:div>
        <w:div w:id="857815440">
          <w:marLeft w:val="640"/>
          <w:marRight w:val="0"/>
          <w:marTop w:val="0"/>
          <w:marBottom w:val="0"/>
          <w:divBdr>
            <w:top w:val="none" w:sz="0" w:space="0" w:color="auto"/>
            <w:left w:val="none" w:sz="0" w:space="0" w:color="auto"/>
            <w:bottom w:val="none" w:sz="0" w:space="0" w:color="auto"/>
            <w:right w:val="none" w:sz="0" w:space="0" w:color="auto"/>
          </w:divBdr>
        </w:div>
        <w:div w:id="1869296464">
          <w:marLeft w:val="640"/>
          <w:marRight w:val="0"/>
          <w:marTop w:val="0"/>
          <w:marBottom w:val="0"/>
          <w:divBdr>
            <w:top w:val="none" w:sz="0" w:space="0" w:color="auto"/>
            <w:left w:val="none" w:sz="0" w:space="0" w:color="auto"/>
            <w:bottom w:val="none" w:sz="0" w:space="0" w:color="auto"/>
            <w:right w:val="none" w:sz="0" w:space="0" w:color="auto"/>
          </w:divBdr>
        </w:div>
        <w:div w:id="1286616824">
          <w:marLeft w:val="640"/>
          <w:marRight w:val="0"/>
          <w:marTop w:val="0"/>
          <w:marBottom w:val="0"/>
          <w:divBdr>
            <w:top w:val="none" w:sz="0" w:space="0" w:color="auto"/>
            <w:left w:val="none" w:sz="0" w:space="0" w:color="auto"/>
            <w:bottom w:val="none" w:sz="0" w:space="0" w:color="auto"/>
            <w:right w:val="none" w:sz="0" w:space="0" w:color="auto"/>
          </w:divBdr>
        </w:div>
        <w:div w:id="571433480">
          <w:marLeft w:val="640"/>
          <w:marRight w:val="0"/>
          <w:marTop w:val="0"/>
          <w:marBottom w:val="0"/>
          <w:divBdr>
            <w:top w:val="none" w:sz="0" w:space="0" w:color="auto"/>
            <w:left w:val="none" w:sz="0" w:space="0" w:color="auto"/>
            <w:bottom w:val="none" w:sz="0" w:space="0" w:color="auto"/>
            <w:right w:val="none" w:sz="0" w:space="0" w:color="auto"/>
          </w:divBdr>
        </w:div>
        <w:div w:id="1761831957">
          <w:marLeft w:val="640"/>
          <w:marRight w:val="0"/>
          <w:marTop w:val="0"/>
          <w:marBottom w:val="0"/>
          <w:divBdr>
            <w:top w:val="none" w:sz="0" w:space="0" w:color="auto"/>
            <w:left w:val="none" w:sz="0" w:space="0" w:color="auto"/>
            <w:bottom w:val="none" w:sz="0" w:space="0" w:color="auto"/>
            <w:right w:val="none" w:sz="0" w:space="0" w:color="auto"/>
          </w:divBdr>
        </w:div>
        <w:div w:id="2016883536">
          <w:marLeft w:val="640"/>
          <w:marRight w:val="0"/>
          <w:marTop w:val="0"/>
          <w:marBottom w:val="0"/>
          <w:divBdr>
            <w:top w:val="none" w:sz="0" w:space="0" w:color="auto"/>
            <w:left w:val="none" w:sz="0" w:space="0" w:color="auto"/>
            <w:bottom w:val="none" w:sz="0" w:space="0" w:color="auto"/>
            <w:right w:val="none" w:sz="0" w:space="0" w:color="auto"/>
          </w:divBdr>
        </w:div>
        <w:div w:id="81805211">
          <w:marLeft w:val="640"/>
          <w:marRight w:val="0"/>
          <w:marTop w:val="0"/>
          <w:marBottom w:val="0"/>
          <w:divBdr>
            <w:top w:val="none" w:sz="0" w:space="0" w:color="auto"/>
            <w:left w:val="none" w:sz="0" w:space="0" w:color="auto"/>
            <w:bottom w:val="none" w:sz="0" w:space="0" w:color="auto"/>
            <w:right w:val="none" w:sz="0" w:space="0" w:color="auto"/>
          </w:divBdr>
        </w:div>
        <w:div w:id="43339215">
          <w:marLeft w:val="640"/>
          <w:marRight w:val="0"/>
          <w:marTop w:val="0"/>
          <w:marBottom w:val="0"/>
          <w:divBdr>
            <w:top w:val="none" w:sz="0" w:space="0" w:color="auto"/>
            <w:left w:val="none" w:sz="0" w:space="0" w:color="auto"/>
            <w:bottom w:val="none" w:sz="0" w:space="0" w:color="auto"/>
            <w:right w:val="none" w:sz="0" w:space="0" w:color="auto"/>
          </w:divBdr>
        </w:div>
        <w:div w:id="387186845">
          <w:marLeft w:val="640"/>
          <w:marRight w:val="0"/>
          <w:marTop w:val="0"/>
          <w:marBottom w:val="0"/>
          <w:divBdr>
            <w:top w:val="none" w:sz="0" w:space="0" w:color="auto"/>
            <w:left w:val="none" w:sz="0" w:space="0" w:color="auto"/>
            <w:bottom w:val="none" w:sz="0" w:space="0" w:color="auto"/>
            <w:right w:val="none" w:sz="0" w:space="0" w:color="auto"/>
          </w:divBdr>
        </w:div>
        <w:div w:id="921643538">
          <w:marLeft w:val="640"/>
          <w:marRight w:val="0"/>
          <w:marTop w:val="0"/>
          <w:marBottom w:val="0"/>
          <w:divBdr>
            <w:top w:val="none" w:sz="0" w:space="0" w:color="auto"/>
            <w:left w:val="none" w:sz="0" w:space="0" w:color="auto"/>
            <w:bottom w:val="none" w:sz="0" w:space="0" w:color="auto"/>
            <w:right w:val="none" w:sz="0" w:space="0" w:color="auto"/>
          </w:divBdr>
        </w:div>
        <w:div w:id="1163156010">
          <w:marLeft w:val="640"/>
          <w:marRight w:val="0"/>
          <w:marTop w:val="0"/>
          <w:marBottom w:val="0"/>
          <w:divBdr>
            <w:top w:val="none" w:sz="0" w:space="0" w:color="auto"/>
            <w:left w:val="none" w:sz="0" w:space="0" w:color="auto"/>
            <w:bottom w:val="none" w:sz="0" w:space="0" w:color="auto"/>
            <w:right w:val="none" w:sz="0" w:space="0" w:color="auto"/>
          </w:divBdr>
        </w:div>
        <w:div w:id="1224681401">
          <w:marLeft w:val="640"/>
          <w:marRight w:val="0"/>
          <w:marTop w:val="0"/>
          <w:marBottom w:val="0"/>
          <w:divBdr>
            <w:top w:val="none" w:sz="0" w:space="0" w:color="auto"/>
            <w:left w:val="none" w:sz="0" w:space="0" w:color="auto"/>
            <w:bottom w:val="none" w:sz="0" w:space="0" w:color="auto"/>
            <w:right w:val="none" w:sz="0" w:space="0" w:color="auto"/>
          </w:divBdr>
        </w:div>
        <w:div w:id="649754829">
          <w:marLeft w:val="640"/>
          <w:marRight w:val="0"/>
          <w:marTop w:val="0"/>
          <w:marBottom w:val="0"/>
          <w:divBdr>
            <w:top w:val="none" w:sz="0" w:space="0" w:color="auto"/>
            <w:left w:val="none" w:sz="0" w:space="0" w:color="auto"/>
            <w:bottom w:val="none" w:sz="0" w:space="0" w:color="auto"/>
            <w:right w:val="none" w:sz="0" w:space="0" w:color="auto"/>
          </w:divBdr>
        </w:div>
        <w:div w:id="1302269639">
          <w:marLeft w:val="640"/>
          <w:marRight w:val="0"/>
          <w:marTop w:val="0"/>
          <w:marBottom w:val="0"/>
          <w:divBdr>
            <w:top w:val="none" w:sz="0" w:space="0" w:color="auto"/>
            <w:left w:val="none" w:sz="0" w:space="0" w:color="auto"/>
            <w:bottom w:val="none" w:sz="0" w:space="0" w:color="auto"/>
            <w:right w:val="none" w:sz="0" w:space="0" w:color="auto"/>
          </w:divBdr>
        </w:div>
        <w:div w:id="1504466336">
          <w:marLeft w:val="640"/>
          <w:marRight w:val="0"/>
          <w:marTop w:val="0"/>
          <w:marBottom w:val="0"/>
          <w:divBdr>
            <w:top w:val="none" w:sz="0" w:space="0" w:color="auto"/>
            <w:left w:val="none" w:sz="0" w:space="0" w:color="auto"/>
            <w:bottom w:val="none" w:sz="0" w:space="0" w:color="auto"/>
            <w:right w:val="none" w:sz="0" w:space="0" w:color="auto"/>
          </w:divBdr>
        </w:div>
        <w:div w:id="2068986282">
          <w:marLeft w:val="640"/>
          <w:marRight w:val="0"/>
          <w:marTop w:val="0"/>
          <w:marBottom w:val="0"/>
          <w:divBdr>
            <w:top w:val="none" w:sz="0" w:space="0" w:color="auto"/>
            <w:left w:val="none" w:sz="0" w:space="0" w:color="auto"/>
            <w:bottom w:val="none" w:sz="0" w:space="0" w:color="auto"/>
            <w:right w:val="none" w:sz="0" w:space="0" w:color="auto"/>
          </w:divBdr>
        </w:div>
        <w:div w:id="39717165">
          <w:marLeft w:val="640"/>
          <w:marRight w:val="0"/>
          <w:marTop w:val="0"/>
          <w:marBottom w:val="0"/>
          <w:divBdr>
            <w:top w:val="none" w:sz="0" w:space="0" w:color="auto"/>
            <w:left w:val="none" w:sz="0" w:space="0" w:color="auto"/>
            <w:bottom w:val="none" w:sz="0" w:space="0" w:color="auto"/>
            <w:right w:val="none" w:sz="0" w:space="0" w:color="auto"/>
          </w:divBdr>
        </w:div>
        <w:div w:id="1264650542">
          <w:marLeft w:val="640"/>
          <w:marRight w:val="0"/>
          <w:marTop w:val="0"/>
          <w:marBottom w:val="0"/>
          <w:divBdr>
            <w:top w:val="none" w:sz="0" w:space="0" w:color="auto"/>
            <w:left w:val="none" w:sz="0" w:space="0" w:color="auto"/>
            <w:bottom w:val="none" w:sz="0" w:space="0" w:color="auto"/>
            <w:right w:val="none" w:sz="0" w:space="0" w:color="auto"/>
          </w:divBdr>
        </w:div>
        <w:div w:id="1309476690">
          <w:marLeft w:val="640"/>
          <w:marRight w:val="0"/>
          <w:marTop w:val="0"/>
          <w:marBottom w:val="0"/>
          <w:divBdr>
            <w:top w:val="none" w:sz="0" w:space="0" w:color="auto"/>
            <w:left w:val="none" w:sz="0" w:space="0" w:color="auto"/>
            <w:bottom w:val="none" w:sz="0" w:space="0" w:color="auto"/>
            <w:right w:val="none" w:sz="0" w:space="0" w:color="auto"/>
          </w:divBdr>
        </w:div>
        <w:div w:id="43875311">
          <w:marLeft w:val="640"/>
          <w:marRight w:val="0"/>
          <w:marTop w:val="0"/>
          <w:marBottom w:val="0"/>
          <w:divBdr>
            <w:top w:val="none" w:sz="0" w:space="0" w:color="auto"/>
            <w:left w:val="none" w:sz="0" w:space="0" w:color="auto"/>
            <w:bottom w:val="none" w:sz="0" w:space="0" w:color="auto"/>
            <w:right w:val="none" w:sz="0" w:space="0" w:color="auto"/>
          </w:divBdr>
        </w:div>
        <w:div w:id="1682508695">
          <w:marLeft w:val="640"/>
          <w:marRight w:val="0"/>
          <w:marTop w:val="0"/>
          <w:marBottom w:val="0"/>
          <w:divBdr>
            <w:top w:val="none" w:sz="0" w:space="0" w:color="auto"/>
            <w:left w:val="none" w:sz="0" w:space="0" w:color="auto"/>
            <w:bottom w:val="none" w:sz="0" w:space="0" w:color="auto"/>
            <w:right w:val="none" w:sz="0" w:space="0" w:color="auto"/>
          </w:divBdr>
        </w:div>
        <w:div w:id="440682096">
          <w:marLeft w:val="640"/>
          <w:marRight w:val="0"/>
          <w:marTop w:val="0"/>
          <w:marBottom w:val="0"/>
          <w:divBdr>
            <w:top w:val="none" w:sz="0" w:space="0" w:color="auto"/>
            <w:left w:val="none" w:sz="0" w:space="0" w:color="auto"/>
            <w:bottom w:val="none" w:sz="0" w:space="0" w:color="auto"/>
            <w:right w:val="none" w:sz="0" w:space="0" w:color="auto"/>
          </w:divBdr>
        </w:div>
        <w:div w:id="93522465">
          <w:marLeft w:val="640"/>
          <w:marRight w:val="0"/>
          <w:marTop w:val="0"/>
          <w:marBottom w:val="0"/>
          <w:divBdr>
            <w:top w:val="none" w:sz="0" w:space="0" w:color="auto"/>
            <w:left w:val="none" w:sz="0" w:space="0" w:color="auto"/>
            <w:bottom w:val="none" w:sz="0" w:space="0" w:color="auto"/>
            <w:right w:val="none" w:sz="0" w:space="0" w:color="auto"/>
          </w:divBdr>
        </w:div>
        <w:div w:id="1029378948">
          <w:marLeft w:val="640"/>
          <w:marRight w:val="0"/>
          <w:marTop w:val="0"/>
          <w:marBottom w:val="0"/>
          <w:divBdr>
            <w:top w:val="none" w:sz="0" w:space="0" w:color="auto"/>
            <w:left w:val="none" w:sz="0" w:space="0" w:color="auto"/>
            <w:bottom w:val="none" w:sz="0" w:space="0" w:color="auto"/>
            <w:right w:val="none" w:sz="0" w:space="0" w:color="auto"/>
          </w:divBdr>
        </w:div>
        <w:div w:id="84234767">
          <w:marLeft w:val="640"/>
          <w:marRight w:val="0"/>
          <w:marTop w:val="0"/>
          <w:marBottom w:val="0"/>
          <w:divBdr>
            <w:top w:val="none" w:sz="0" w:space="0" w:color="auto"/>
            <w:left w:val="none" w:sz="0" w:space="0" w:color="auto"/>
            <w:bottom w:val="none" w:sz="0" w:space="0" w:color="auto"/>
            <w:right w:val="none" w:sz="0" w:space="0" w:color="auto"/>
          </w:divBdr>
        </w:div>
        <w:div w:id="480461783">
          <w:marLeft w:val="640"/>
          <w:marRight w:val="0"/>
          <w:marTop w:val="0"/>
          <w:marBottom w:val="0"/>
          <w:divBdr>
            <w:top w:val="none" w:sz="0" w:space="0" w:color="auto"/>
            <w:left w:val="none" w:sz="0" w:space="0" w:color="auto"/>
            <w:bottom w:val="none" w:sz="0" w:space="0" w:color="auto"/>
            <w:right w:val="none" w:sz="0" w:space="0" w:color="auto"/>
          </w:divBdr>
        </w:div>
        <w:div w:id="1201819212">
          <w:marLeft w:val="640"/>
          <w:marRight w:val="0"/>
          <w:marTop w:val="0"/>
          <w:marBottom w:val="0"/>
          <w:divBdr>
            <w:top w:val="none" w:sz="0" w:space="0" w:color="auto"/>
            <w:left w:val="none" w:sz="0" w:space="0" w:color="auto"/>
            <w:bottom w:val="none" w:sz="0" w:space="0" w:color="auto"/>
            <w:right w:val="none" w:sz="0" w:space="0" w:color="auto"/>
          </w:divBdr>
        </w:div>
        <w:div w:id="745224525">
          <w:marLeft w:val="640"/>
          <w:marRight w:val="0"/>
          <w:marTop w:val="0"/>
          <w:marBottom w:val="0"/>
          <w:divBdr>
            <w:top w:val="none" w:sz="0" w:space="0" w:color="auto"/>
            <w:left w:val="none" w:sz="0" w:space="0" w:color="auto"/>
            <w:bottom w:val="none" w:sz="0" w:space="0" w:color="auto"/>
            <w:right w:val="none" w:sz="0" w:space="0" w:color="auto"/>
          </w:divBdr>
        </w:div>
        <w:div w:id="2086996889">
          <w:marLeft w:val="640"/>
          <w:marRight w:val="0"/>
          <w:marTop w:val="0"/>
          <w:marBottom w:val="0"/>
          <w:divBdr>
            <w:top w:val="none" w:sz="0" w:space="0" w:color="auto"/>
            <w:left w:val="none" w:sz="0" w:space="0" w:color="auto"/>
            <w:bottom w:val="none" w:sz="0" w:space="0" w:color="auto"/>
            <w:right w:val="none" w:sz="0" w:space="0" w:color="auto"/>
          </w:divBdr>
        </w:div>
        <w:div w:id="1418668504">
          <w:marLeft w:val="640"/>
          <w:marRight w:val="0"/>
          <w:marTop w:val="0"/>
          <w:marBottom w:val="0"/>
          <w:divBdr>
            <w:top w:val="none" w:sz="0" w:space="0" w:color="auto"/>
            <w:left w:val="none" w:sz="0" w:space="0" w:color="auto"/>
            <w:bottom w:val="none" w:sz="0" w:space="0" w:color="auto"/>
            <w:right w:val="none" w:sz="0" w:space="0" w:color="auto"/>
          </w:divBdr>
        </w:div>
        <w:div w:id="1293748921">
          <w:marLeft w:val="640"/>
          <w:marRight w:val="0"/>
          <w:marTop w:val="0"/>
          <w:marBottom w:val="0"/>
          <w:divBdr>
            <w:top w:val="none" w:sz="0" w:space="0" w:color="auto"/>
            <w:left w:val="none" w:sz="0" w:space="0" w:color="auto"/>
            <w:bottom w:val="none" w:sz="0" w:space="0" w:color="auto"/>
            <w:right w:val="none" w:sz="0" w:space="0" w:color="auto"/>
          </w:divBdr>
        </w:div>
        <w:div w:id="1500123035">
          <w:marLeft w:val="640"/>
          <w:marRight w:val="0"/>
          <w:marTop w:val="0"/>
          <w:marBottom w:val="0"/>
          <w:divBdr>
            <w:top w:val="none" w:sz="0" w:space="0" w:color="auto"/>
            <w:left w:val="none" w:sz="0" w:space="0" w:color="auto"/>
            <w:bottom w:val="none" w:sz="0" w:space="0" w:color="auto"/>
            <w:right w:val="none" w:sz="0" w:space="0" w:color="auto"/>
          </w:divBdr>
        </w:div>
        <w:div w:id="1878081194">
          <w:marLeft w:val="640"/>
          <w:marRight w:val="0"/>
          <w:marTop w:val="0"/>
          <w:marBottom w:val="0"/>
          <w:divBdr>
            <w:top w:val="none" w:sz="0" w:space="0" w:color="auto"/>
            <w:left w:val="none" w:sz="0" w:space="0" w:color="auto"/>
            <w:bottom w:val="none" w:sz="0" w:space="0" w:color="auto"/>
            <w:right w:val="none" w:sz="0" w:space="0" w:color="auto"/>
          </w:divBdr>
        </w:div>
        <w:div w:id="639380685">
          <w:marLeft w:val="640"/>
          <w:marRight w:val="0"/>
          <w:marTop w:val="0"/>
          <w:marBottom w:val="0"/>
          <w:divBdr>
            <w:top w:val="none" w:sz="0" w:space="0" w:color="auto"/>
            <w:left w:val="none" w:sz="0" w:space="0" w:color="auto"/>
            <w:bottom w:val="none" w:sz="0" w:space="0" w:color="auto"/>
            <w:right w:val="none" w:sz="0" w:space="0" w:color="auto"/>
          </w:divBdr>
        </w:div>
        <w:div w:id="355617070">
          <w:marLeft w:val="640"/>
          <w:marRight w:val="0"/>
          <w:marTop w:val="0"/>
          <w:marBottom w:val="0"/>
          <w:divBdr>
            <w:top w:val="none" w:sz="0" w:space="0" w:color="auto"/>
            <w:left w:val="none" w:sz="0" w:space="0" w:color="auto"/>
            <w:bottom w:val="none" w:sz="0" w:space="0" w:color="auto"/>
            <w:right w:val="none" w:sz="0" w:space="0" w:color="auto"/>
          </w:divBdr>
        </w:div>
        <w:div w:id="1624576353">
          <w:marLeft w:val="640"/>
          <w:marRight w:val="0"/>
          <w:marTop w:val="0"/>
          <w:marBottom w:val="0"/>
          <w:divBdr>
            <w:top w:val="none" w:sz="0" w:space="0" w:color="auto"/>
            <w:left w:val="none" w:sz="0" w:space="0" w:color="auto"/>
            <w:bottom w:val="none" w:sz="0" w:space="0" w:color="auto"/>
            <w:right w:val="none" w:sz="0" w:space="0" w:color="auto"/>
          </w:divBdr>
        </w:div>
        <w:div w:id="2010911992">
          <w:marLeft w:val="640"/>
          <w:marRight w:val="0"/>
          <w:marTop w:val="0"/>
          <w:marBottom w:val="0"/>
          <w:divBdr>
            <w:top w:val="none" w:sz="0" w:space="0" w:color="auto"/>
            <w:left w:val="none" w:sz="0" w:space="0" w:color="auto"/>
            <w:bottom w:val="none" w:sz="0" w:space="0" w:color="auto"/>
            <w:right w:val="none" w:sz="0" w:space="0" w:color="auto"/>
          </w:divBdr>
        </w:div>
        <w:div w:id="1431200351">
          <w:marLeft w:val="640"/>
          <w:marRight w:val="0"/>
          <w:marTop w:val="0"/>
          <w:marBottom w:val="0"/>
          <w:divBdr>
            <w:top w:val="none" w:sz="0" w:space="0" w:color="auto"/>
            <w:left w:val="none" w:sz="0" w:space="0" w:color="auto"/>
            <w:bottom w:val="none" w:sz="0" w:space="0" w:color="auto"/>
            <w:right w:val="none" w:sz="0" w:space="0" w:color="auto"/>
          </w:divBdr>
        </w:div>
        <w:div w:id="1773627603">
          <w:marLeft w:val="640"/>
          <w:marRight w:val="0"/>
          <w:marTop w:val="0"/>
          <w:marBottom w:val="0"/>
          <w:divBdr>
            <w:top w:val="none" w:sz="0" w:space="0" w:color="auto"/>
            <w:left w:val="none" w:sz="0" w:space="0" w:color="auto"/>
            <w:bottom w:val="none" w:sz="0" w:space="0" w:color="auto"/>
            <w:right w:val="none" w:sz="0" w:space="0" w:color="auto"/>
          </w:divBdr>
        </w:div>
        <w:div w:id="487289881">
          <w:marLeft w:val="640"/>
          <w:marRight w:val="0"/>
          <w:marTop w:val="0"/>
          <w:marBottom w:val="0"/>
          <w:divBdr>
            <w:top w:val="none" w:sz="0" w:space="0" w:color="auto"/>
            <w:left w:val="none" w:sz="0" w:space="0" w:color="auto"/>
            <w:bottom w:val="none" w:sz="0" w:space="0" w:color="auto"/>
            <w:right w:val="none" w:sz="0" w:space="0" w:color="auto"/>
          </w:divBdr>
        </w:div>
        <w:div w:id="872037097">
          <w:marLeft w:val="640"/>
          <w:marRight w:val="0"/>
          <w:marTop w:val="0"/>
          <w:marBottom w:val="0"/>
          <w:divBdr>
            <w:top w:val="none" w:sz="0" w:space="0" w:color="auto"/>
            <w:left w:val="none" w:sz="0" w:space="0" w:color="auto"/>
            <w:bottom w:val="none" w:sz="0" w:space="0" w:color="auto"/>
            <w:right w:val="none" w:sz="0" w:space="0" w:color="auto"/>
          </w:divBdr>
        </w:div>
        <w:div w:id="1263221564">
          <w:marLeft w:val="640"/>
          <w:marRight w:val="0"/>
          <w:marTop w:val="0"/>
          <w:marBottom w:val="0"/>
          <w:divBdr>
            <w:top w:val="none" w:sz="0" w:space="0" w:color="auto"/>
            <w:left w:val="none" w:sz="0" w:space="0" w:color="auto"/>
            <w:bottom w:val="none" w:sz="0" w:space="0" w:color="auto"/>
            <w:right w:val="none" w:sz="0" w:space="0" w:color="auto"/>
          </w:divBdr>
        </w:div>
        <w:div w:id="1996252878">
          <w:marLeft w:val="640"/>
          <w:marRight w:val="0"/>
          <w:marTop w:val="0"/>
          <w:marBottom w:val="0"/>
          <w:divBdr>
            <w:top w:val="none" w:sz="0" w:space="0" w:color="auto"/>
            <w:left w:val="none" w:sz="0" w:space="0" w:color="auto"/>
            <w:bottom w:val="none" w:sz="0" w:space="0" w:color="auto"/>
            <w:right w:val="none" w:sz="0" w:space="0" w:color="auto"/>
          </w:divBdr>
        </w:div>
        <w:div w:id="889343708">
          <w:marLeft w:val="640"/>
          <w:marRight w:val="0"/>
          <w:marTop w:val="0"/>
          <w:marBottom w:val="0"/>
          <w:divBdr>
            <w:top w:val="none" w:sz="0" w:space="0" w:color="auto"/>
            <w:left w:val="none" w:sz="0" w:space="0" w:color="auto"/>
            <w:bottom w:val="none" w:sz="0" w:space="0" w:color="auto"/>
            <w:right w:val="none" w:sz="0" w:space="0" w:color="auto"/>
          </w:divBdr>
        </w:div>
        <w:div w:id="1091900467">
          <w:marLeft w:val="640"/>
          <w:marRight w:val="0"/>
          <w:marTop w:val="0"/>
          <w:marBottom w:val="0"/>
          <w:divBdr>
            <w:top w:val="none" w:sz="0" w:space="0" w:color="auto"/>
            <w:left w:val="none" w:sz="0" w:space="0" w:color="auto"/>
            <w:bottom w:val="none" w:sz="0" w:space="0" w:color="auto"/>
            <w:right w:val="none" w:sz="0" w:space="0" w:color="auto"/>
          </w:divBdr>
        </w:div>
        <w:div w:id="765613110">
          <w:marLeft w:val="640"/>
          <w:marRight w:val="0"/>
          <w:marTop w:val="0"/>
          <w:marBottom w:val="0"/>
          <w:divBdr>
            <w:top w:val="none" w:sz="0" w:space="0" w:color="auto"/>
            <w:left w:val="none" w:sz="0" w:space="0" w:color="auto"/>
            <w:bottom w:val="none" w:sz="0" w:space="0" w:color="auto"/>
            <w:right w:val="none" w:sz="0" w:space="0" w:color="auto"/>
          </w:divBdr>
        </w:div>
        <w:div w:id="1439301721">
          <w:marLeft w:val="640"/>
          <w:marRight w:val="0"/>
          <w:marTop w:val="0"/>
          <w:marBottom w:val="0"/>
          <w:divBdr>
            <w:top w:val="none" w:sz="0" w:space="0" w:color="auto"/>
            <w:left w:val="none" w:sz="0" w:space="0" w:color="auto"/>
            <w:bottom w:val="none" w:sz="0" w:space="0" w:color="auto"/>
            <w:right w:val="none" w:sz="0" w:space="0" w:color="auto"/>
          </w:divBdr>
        </w:div>
        <w:div w:id="1599218440">
          <w:marLeft w:val="640"/>
          <w:marRight w:val="0"/>
          <w:marTop w:val="0"/>
          <w:marBottom w:val="0"/>
          <w:divBdr>
            <w:top w:val="none" w:sz="0" w:space="0" w:color="auto"/>
            <w:left w:val="none" w:sz="0" w:space="0" w:color="auto"/>
            <w:bottom w:val="none" w:sz="0" w:space="0" w:color="auto"/>
            <w:right w:val="none" w:sz="0" w:space="0" w:color="auto"/>
          </w:divBdr>
        </w:div>
        <w:div w:id="1572303995">
          <w:marLeft w:val="640"/>
          <w:marRight w:val="0"/>
          <w:marTop w:val="0"/>
          <w:marBottom w:val="0"/>
          <w:divBdr>
            <w:top w:val="none" w:sz="0" w:space="0" w:color="auto"/>
            <w:left w:val="none" w:sz="0" w:space="0" w:color="auto"/>
            <w:bottom w:val="none" w:sz="0" w:space="0" w:color="auto"/>
            <w:right w:val="none" w:sz="0" w:space="0" w:color="auto"/>
          </w:divBdr>
        </w:div>
        <w:div w:id="729231772">
          <w:marLeft w:val="640"/>
          <w:marRight w:val="0"/>
          <w:marTop w:val="0"/>
          <w:marBottom w:val="0"/>
          <w:divBdr>
            <w:top w:val="none" w:sz="0" w:space="0" w:color="auto"/>
            <w:left w:val="none" w:sz="0" w:space="0" w:color="auto"/>
            <w:bottom w:val="none" w:sz="0" w:space="0" w:color="auto"/>
            <w:right w:val="none" w:sz="0" w:space="0" w:color="auto"/>
          </w:divBdr>
        </w:div>
        <w:div w:id="1144736140">
          <w:marLeft w:val="640"/>
          <w:marRight w:val="0"/>
          <w:marTop w:val="0"/>
          <w:marBottom w:val="0"/>
          <w:divBdr>
            <w:top w:val="none" w:sz="0" w:space="0" w:color="auto"/>
            <w:left w:val="none" w:sz="0" w:space="0" w:color="auto"/>
            <w:bottom w:val="none" w:sz="0" w:space="0" w:color="auto"/>
            <w:right w:val="none" w:sz="0" w:space="0" w:color="auto"/>
          </w:divBdr>
        </w:div>
        <w:div w:id="718473898">
          <w:marLeft w:val="640"/>
          <w:marRight w:val="0"/>
          <w:marTop w:val="0"/>
          <w:marBottom w:val="0"/>
          <w:divBdr>
            <w:top w:val="none" w:sz="0" w:space="0" w:color="auto"/>
            <w:left w:val="none" w:sz="0" w:space="0" w:color="auto"/>
            <w:bottom w:val="none" w:sz="0" w:space="0" w:color="auto"/>
            <w:right w:val="none" w:sz="0" w:space="0" w:color="auto"/>
          </w:divBdr>
        </w:div>
        <w:div w:id="740299418">
          <w:marLeft w:val="640"/>
          <w:marRight w:val="0"/>
          <w:marTop w:val="0"/>
          <w:marBottom w:val="0"/>
          <w:divBdr>
            <w:top w:val="none" w:sz="0" w:space="0" w:color="auto"/>
            <w:left w:val="none" w:sz="0" w:space="0" w:color="auto"/>
            <w:bottom w:val="none" w:sz="0" w:space="0" w:color="auto"/>
            <w:right w:val="none" w:sz="0" w:space="0" w:color="auto"/>
          </w:divBdr>
        </w:div>
        <w:div w:id="1731539019">
          <w:marLeft w:val="640"/>
          <w:marRight w:val="0"/>
          <w:marTop w:val="0"/>
          <w:marBottom w:val="0"/>
          <w:divBdr>
            <w:top w:val="none" w:sz="0" w:space="0" w:color="auto"/>
            <w:left w:val="none" w:sz="0" w:space="0" w:color="auto"/>
            <w:bottom w:val="none" w:sz="0" w:space="0" w:color="auto"/>
            <w:right w:val="none" w:sz="0" w:space="0" w:color="auto"/>
          </w:divBdr>
        </w:div>
        <w:div w:id="1527257607">
          <w:marLeft w:val="640"/>
          <w:marRight w:val="0"/>
          <w:marTop w:val="0"/>
          <w:marBottom w:val="0"/>
          <w:divBdr>
            <w:top w:val="none" w:sz="0" w:space="0" w:color="auto"/>
            <w:left w:val="none" w:sz="0" w:space="0" w:color="auto"/>
            <w:bottom w:val="none" w:sz="0" w:space="0" w:color="auto"/>
            <w:right w:val="none" w:sz="0" w:space="0" w:color="auto"/>
          </w:divBdr>
        </w:div>
        <w:div w:id="77748217">
          <w:marLeft w:val="640"/>
          <w:marRight w:val="0"/>
          <w:marTop w:val="0"/>
          <w:marBottom w:val="0"/>
          <w:divBdr>
            <w:top w:val="none" w:sz="0" w:space="0" w:color="auto"/>
            <w:left w:val="none" w:sz="0" w:space="0" w:color="auto"/>
            <w:bottom w:val="none" w:sz="0" w:space="0" w:color="auto"/>
            <w:right w:val="none" w:sz="0" w:space="0" w:color="auto"/>
          </w:divBdr>
        </w:div>
        <w:div w:id="978077457">
          <w:marLeft w:val="640"/>
          <w:marRight w:val="0"/>
          <w:marTop w:val="0"/>
          <w:marBottom w:val="0"/>
          <w:divBdr>
            <w:top w:val="none" w:sz="0" w:space="0" w:color="auto"/>
            <w:left w:val="none" w:sz="0" w:space="0" w:color="auto"/>
            <w:bottom w:val="none" w:sz="0" w:space="0" w:color="auto"/>
            <w:right w:val="none" w:sz="0" w:space="0" w:color="auto"/>
          </w:divBdr>
        </w:div>
        <w:div w:id="2121222797">
          <w:marLeft w:val="640"/>
          <w:marRight w:val="0"/>
          <w:marTop w:val="0"/>
          <w:marBottom w:val="0"/>
          <w:divBdr>
            <w:top w:val="none" w:sz="0" w:space="0" w:color="auto"/>
            <w:left w:val="none" w:sz="0" w:space="0" w:color="auto"/>
            <w:bottom w:val="none" w:sz="0" w:space="0" w:color="auto"/>
            <w:right w:val="none" w:sz="0" w:space="0" w:color="auto"/>
          </w:divBdr>
        </w:div>
        <w:div w:id="360059640">
          <w:marLeft w:val="640"/>
          <w:marRight w:val="0"/>
          <w:marTop w:val="0"/>
          <w:marBottom w:val="0"/>
          <w:divBdr>
            <w:top w:val="none" w:sz="0" w:space="0" w:color="auto"/>
            <w:left w:val="none" w:sz="0" w:space="0" w:color="auto"/>
            <w:bottom w:val="none" w:sz="0" w:space="0" w:color="auto"/>
            <w:right w:val="none" w:sz="0" w:space="0" w:color="auto"/>
          </w:divBdr>
        </w:div>
        <w:div w:id="1114053519">
          <w:marLeft w:val="640"/>
          <w:marRight w:val="0"/>
          <w:marTop w:val="0"/>
          <w:marBottom w:val="0"/>
          <w:divBdr>
            <w:top w:val="none" w:sz="0" w:space="0" w:color="auto"/>
            <w:left w:val="none" w:sz="0" w:space="0" w:color="auto"/>
            <w:bottom w:val="none" w:sz="0" w:space="0" w:color="auto"/>
            <w:right w:val="none" w:sz="0" w:space="0" w:color="auto"/>
          </w:divBdr>
        </w:div>
        <w:div w:id="1252274865">
          <w:marLeft w:val="640"/>
          <w:marRight w:val="0"/>
          <w:marTop w:val="0"/>
          <w:marBottom w:val="0"/>
          <w:divBdr>
            <w:top w:val="none" w:sz="0" w:space="0" w:color="auto"/>
            <w:left w:val="none" w:sz="0" w:space="0" w:color="auto"/>
            <w:bottom w:val="none" w:sz="0" w:space="0" w:color="auto"/>
            <w:right w:val="none" w:sz="0" w:space="0" w:color="auto"/>
          </w:divBdr>
        </w:div>
        <w:div w:id="96872592">
          <w:marLeft w:val="640"/>
          <w:marRight w:val="0"/>
          <w:marTop w:val="0"/>
          <w:marBottom w:val="0"/>
          <w:divBdr>
            <w:top w:val="none" w:sz="0" w:space="0" w:color="auto"/>
            <w:left w:val="none" w:sz="0" w:space="0" w:color="auto"/>
            <w:bottom w:val="none" w:sz="0" w:space="0" w:color="auto"/>
            <w:right w:val="none" w:sz="0" w:space="0" w:color="auto"/>
          </w:divBdr>
        </w:div>
        <w:div w:id="1429354365">
          <w:marLeft w:val="640"/>
          <w:marRight w:val="0"/>
          <w:marTop w:val="0"/>
          <w:marBottom w:val="0"/>
          <w:divBdr>
            <w:top w:val="none" w:sz="0" w:space="0" w:color="auto"/>
            <w:left w:val="none" w:sz="0" w:space="0" w:color="auto"/>
            <w:bottom w:val="none" w:sz="0" w:space="0" w:color="auto"/>
            <w:right w:val="none" w:sz="0" w:space="0" w:color="auto"/>
          </w:divBdr>
        </w:div>
        <w:div w:id="113060705">
          <w:marLeft w:val="640"/>
          <w:marRight w:val="0"/>
          <w:marTop w:val="0"/>
          <w:marBottom w:val="0"/>
          <w:divBdr>
            <w:top w:val="none" w:sz="0" w:space="0" w:color="auto"/>
            <w:left w:val="none" w:sz="0" w:space="0" w:color="auto"/>
            <w:bottom w:val="none" w:sz="0" w:space="0" w:color="auto"/>
            <w:right w:val="none" w:sz="0" w:space="0" w:color="auto"/>
          </w:divBdr>
        </w:div>
        <w:div w:id="390692470">
          <w:marLeft w:val="640"/>
          <w:marRight w:val="0"/>
          <w:marTop w:val="0"/>
          <w:marBottom w:val="0"/>
          <w:divBdr>
            <w:top w:val="none" w:sz="0" w:space="0" w:color="auto"/>
            <w:left w:val="none" w:sz="0" w:space="0" w:color="auto"/>
            <w:bottom w:val="none" w:sz="0" w:space="0" w:color="auto"/>
            <w:right w:val="none" w:sz="0" w:space="0" w:color="auto"/>
          </w:divBdr>
        </w:div>
        <w:div w:id="1831478032">
          <w:marLeft w:val="640"/>
          <w:marRight w:val="0"/>
          <w:marTop w:val="0"/>
          <w:marBottom w:val="0"/>
          <w:divBdr>
            <w:top w:val="none" w:sz="0" w:space="0" w:color="auto"/>
            <w:left w:val="none" w:sz="0" w:space="0" w:color="auto"/>
            <w:bottom w:val="none" w:sz="0" w:space="0" w:color="auto"/>
            <w:right w:val="none" w:sz="0" w:space="0" w:color="auto"/>
          </w:divBdr>
        </w:div>
        <w:div w:id="841503974">
          <w:marLeft w:val="640"/>
          <w:marRight w:val="0"/>
          <w:marTop w:val="0"/>
          <w:marBottom w:val="0"/>
          <w:divBdr>
            <w:top w:val="none" w:sz="0" w:space="0" w:color="auto"/>
            <w:left w:val="none" w:sz="0" w:space="0" w:color="auto"/>
            <w:bottom w:val="none" w:sz="0" w:space="0" w:color="auto"/>
            <w:right w:val="none" w:sz="0" w:space="0" w:color="auto"/>
          </w:divBdr>
        </w:div>
        <w:div w:id="902910291">
          <w:marLeft w:val="640"/>
          <w:marRight w:val="0"/>
          <w:marTop w:val="0"/>
          <w:marBottom w:val="0"/>
          <w:divBdr>
            <w:top w:val="none" w:sz="0" w:space="0" w:color="auto"/>
            <w:left w:val="none" w:sz="0" w:space="0" w:color="auto"/>
            <w:bottom w:val="none" w:sz="0" w:space="0" w:color="auto"/>
            <w:right w:val="none" w:sz="0" w:space="0" w:color="auto"/>
          </w:divBdr>
        </w:div>
        <w:div w:id="1759212646">
          <w:marLeft w:val="640"/>
          <w:marRight w:val="0"/>
          <w:marTop w:val="0"/>
          <w:marBottom w:val="0"/>
          <w:divBdr>
            <w:top w:val="none" w:sz="0" w:space="0" w:color="auto"/>
            <w:left w:val="none" w:sz="0" w:space="0" w:color="auto"/>
            <w:bottom w:val="none" w:sz="0" w:space="0" w:color="auto"/>
            <w:right w:val="none" w:sz="0" w:space="0" w:color="auto"/>
          </w:divBdr>
        </w:div>
        <w:div w:id="1493570590">
          <w:marLeft w:val="640"/>
          <w:marRight w:val="0"/>
          <w:marTop w:val="0"/>
          <w:marBottom w:val="0"/>
          <w:divBdr>
            <w:top w:val="none" w:sz="0" w:space="0" w:color="auto"/>
            <w:left w:val="none" w:sz="0" w:space="0" w:color="auto"/>
            <w:bottom w:val="none" w:sz="0" w:space="0" w:color="auto"/>
            <w:right w:val="none" w:sz="0" w:space="0" w:color="auto"/>
          </w:divBdr>
        </w:div>
        <w:div w:id="2145468618">
          <w:marLeft w:val="640"/>
          <w:marRight w:val="0"/>
          <w:marTop w:val="0"/>
          <w:marBottom w:val="0"/>
          <w:divBdr>
            <w:top w:val="none" w:sz="0" w:space="0" w:color="auto"/>
            <w:left w:val="none" w:sz="0" w:space="0" w:color="auto"/>
            <w:bottom w:val="none" w:sz="0" w:space="0" w:color="auto"/>
            <w:right w:val="none" w:sz="0" w:space="0" w:color="auto"/>
          </w:divBdr>
        </w:div>
        <w:div w:id="1448233212">
          <w:marLeft w:val="640"/>
          <w:marRight w:val="0"/>
          <w:marTop w:val="0"/>
          <w:marBottom w:val="0"/>
          <w:divBdr>
            <w:top w:val="none" w:sz="0" w:space="0" w:color="auto"/>
            <w:left w:val="none" w:sz="0" w:space="0" w:color="auto"/>
            <w:bottom w:val="none" w:sz="0" w:space="0" w:color="auto"/>
            <w:right w:val="none" w:sz="0" w:space="0" w:color="auto"/>
          </w:divBdr>
        </w:div>
        <w:div w:id="1766851130">
          <w:marLeft w:val="640"/>
          <w:marRight w:val="0"/>
          <w:marTop w:val="0"/>
          <w:marBottom w:val="0"/>
          <w:divBdr>
            <w:top w:val="none" w:sz="0" w:space="0" w:color="auto"/>
            <w:left w:val="none" w:sz="0" w:space="0" w:color="auto"/>
            <w:bottom w:val="none" w:sz="0" w:space="0" w:color="auto"/>
            <w:right w:val="none" w:sz="0" w:space="0" w:color="auto"/>
          </w:divBdr>
        </w:div>
        <w:div w:id="544486647">
          <w:marLeft w:val="640"/>
          <w:marRight w:val="0"/>
          <w:marTop w:val="0"/>
          <w:marBottom w:val="0"/>
          <w:divBdr>
            <w:top w:val="none" w:sz="0" w:space="0" w:color="auto"/>
            <w:left w:val="none" w:sz="0" w:space="0" w:color="auto"/>
            <w:bottom w:val="none" w:sz="0" w:space="0" w:color="auto"/>
            <w:right w:val="none" w:sz="0" w:space="0" w:color="auto"/>
          </w:divBdr>
        </w:div>
        <w:div w:id="1718815329">
          <w:marLeft w:val="640"/>
          <w:marRight w:val="0"/>
          <w:marTop w:val="0"/>
          <w:marBottom w:val="0"/>
          <w:divBdr>
            <w:top w:val="none" w:sz="0" w:space="0" w:color="auto"/>
            <w:left w:val="none" w:sz="0" w:space="0" w:color="auto"/>
            <w:bottom w:val="none" w:sz="0" w:space="0" w:color="auto"/>
            <w:right w:val="none" w:sz="0" w:space="0" w:color="auto"/>
          </w:divBdr>
        </w:div>
        <w:div w:id="585656451">
          <w:marLeft w:val="640"/>
          <w:marRight w:val="0"/>
          <w:marTop w:val="0"/>
          <w:marBottom w:val="0"/>
          <w:divBdr>
            <w:top w:val="none" w:sz="0" w:space="0" w:color="auto"/>
            <w:left w:val="none" w:sz="0" w:space="0" w:color="auto"/>
            <w:bottom w:val="none" w:sz="0" w:space="0" w:color="auto"/>
            <w:right w:val="none" w:sz="0" w:space="0" w:color="auto"/>
          </w:divBdr>
        </w:div>
        <w:div w:id="1468740303">
          <w:marLeft w:val="640"/>
          <w:marRight w:val="0"/>
          <w:marTop w:val="0"/>
          <w:marBottom w:val="0"/>
          <w:divBdr>
            <w:top w:val="none" w:sz="0" w:space="0" w:color="auto"/>
            <w:left w:val="none" w:sz="0" w:space="0" w:color="auto"/>
            <w:bottom w:val="none" w:sz="0" w:space="0" w:color="auto"/>
            <w:right w:val="none" w:sz="0" w:space="0" w:color="auto"/>
          </w:divBdr>
        </w:div>
        <w:div w:id="2096976554">
          <w:marLeft w:val="640"/>
          <w:marRight w:val="0"/>
          <w:marTop w:val="0"/>
          <w:marBottom w:val="0"/>
          <w:divBdr>
            <w:top w:val="none" w:sz="0" w:space="0" w:color="auto"/>
            <w:left w:val="none" w:sz="0" w:space="0" w:color="auto"/>
            <w:bottom w:val="none" w:sz="0" w:space="0" w:color="auto"/>
            <w:right w:val="none" w:sz="0" w:space="0" w:color="auto"/>
          </w:divBdr>
        </w:div>
        <w:div w:id="1564217522">
          <w:marLeft w:val="640"/>
          <w:marRight w:val="0"/>
          <w:marTop w:val="0"/>
          <w:marBottom w:val="0"/>
          <w:divBdr>
            <w:top w:val="none" w:sz="0" w:space="0" w:color="auto"/>
            <w:left w:val="none" w:sz="0" w:space="0" w:color="auto"/>
            <w:bottom w:val="none" w:sz="0" w:space="0" w:color="auto"/>
            <w:right w:val="none" w:sz="0" w:space="0" w:color="auto"/>
          </w:divBdr>
        </w:div>
        <w:div w:id="1594316338">
          <w:marLeft w:val="640"/>
          <w:marRight w:val="0"/>
          <w:marTop w:val="0"/>
          <w:marBottom w:val="0"/>
          <w:divBdr>
            <w:top w:val="none" w:sz="0" w:space="0" w:color="auto"/>
            <w:left w:val="none" w:sz="0" w:space="0" w:color="auto"/>
            <w:bottom w:val="none" w:sz="0" w:space="0" w:color="auto"/>
            <w:right w:val="none" w:sz="0" w:space="0" w:color="auto"/>
          </w:divBdr>
        </w:div>
        <w:div w:id="1815641823">
          <w:marLeft w:val="640"/>
          <w:marRight w:val="0"/>
          <w:marTop w:val="0"/>
          <w:marBottom w:val="0"/>
          <w:divBdr>
            <w:top w:val="none" w:sz="0" w:space="0" w:color="auto"/>
            <w:left w:val="none" w:sz="0" w:space="0" w:color="auto"/>
            <w:bottom w:val="none" w:sz="0" w:space="0" w:color="auto"/>
            <w:right w:val="none" w:sz="0" w:space="0" w:color="auto"/>
          </w:divBdr>
        </w:div>
        <w:div w:id="10030698">
          <w:marLeft w:val="640"/>
          <w:marRight w:val="0"/>
          <w:marTop w:val="0"/>
          <w:marBottom w:val="0"/>
          <w:divBdr>
            <w:top w:val="none" w:sz="0" w:space="0" w:color="auto"/>
            <w:left w:val="none" w:sz="0" w:space="0" w:color="auto"/>
            <w:bottom w:val="none" w:sz="0" w:space="0" w:color="auto"/>
            <w:right w:val="none" w:sz="0" w:space="0" w:color="auto"/>
          </w:divBdr>
        </w:div>
        <w:div w:id="1577320870">
          <w:marLeft w:val="640"/>
          <w:marRight w:val="0"/>
          <w:marTop w:val="0"/>
          <w:marBottom w:val="0"/>
          <w:divBdr>
            <w:top w:val="none" w:sz="0" w:space="0" w:color="auto"/>
            <w:left w:val="none" w:sz="0" w:space="0" w:color="auto"/>
            <w:bottom w:val="none" w:sz="0" w:space="0" w:color="auto"/>
            <w:right w:val="none" w:sz="0" w:space="0" w:color="auto"/>
          </w:divBdr>
        </w:div>
        <w:div w:id="516309573">
          <w:marLeft w:val="640"/>
          <w:marRight w:val="0"/>
          <w:marTop w:val="0"/>
          <w:marBottom w:val="0"/>
          <w:divBdr>
            <w:top w:val="none" w:sz="0" w:space="0" w:color="auto"/>
            <w:left w:val="none" w:sz="0" w:space="0" w:color="auto"/>
            <w:bottom w:val="none" w:sz="0" w:space="0" w:color="auto"/>
            <w:right w:val="none" w:sz="0" w:space="0" w:color="auto"/>
          </w:divBdr>
        </w:div>
        <w:div w:id="1269000101">
          <w:marLeft w:val="640"/>
          <w:marRight w:val="0"/>
          <w:marTop w:val="0"/>
          <w:marBottom w:val="0"/>
          <w:divBdr>
            <w:top w:val="none" w:sz="0" w:space="0" w:color="auto"/>
            <w:left w:val="none" w:sz="0" w:space="0" w:color="auto"/>
            <w:bottom w:val="none" w:sz="0" w:space="0" w:color="auto"/>
            <w:right w:val="none" w:sz="0" w:space="0" w:color="auto"/>
          </w:divBdr>
        </w:div>
        <w:div w:id="2066637022">
          <w:marLeft w:val="640"/>
          <w:marRight w:val="0"/>
          <w:marTop w:val="0"/>
          <w:marBottom w:val="0"/>
          <w:divBdr>
            <w:top w:val="none" w:sz="0" w:space="0" w:color="auto"/>
            <w:left w:val="none" w:sz="0" w:space="0" w:color="auto"/>
            <w:bottom w:val="none" w:sz="0" w:space="0" w:color="auto"/>
            <w:right w:val="none" w:sz="0" w:space="0" w:color="auto"/>
          </w:divBdr>
        </w:div>
        <w:div w:id="811676048">
          <w:marLeft w:val="640"/>
          <w:marRight w:val="0"/>
          <w:marTop w:val="0"/>
          <w:marBottom w:val="0"/>
          <w:divBdr>
            <w:top w:val="none" w:sz="0" w:space="0" w:color="auto"/>
            <w:left w:val="none" w:sz="0" w:space="0" w:color="auto"/>
            <w:bottom w:val="none" w:sz="0" w:space="0" w:color="auto"/>
            <w:right w:val="none" w:sz="0" w:space="0" w:color="auto"/>
          </w:divBdr>
        </w:div>
        <w:div w:id="1206259878">
          <w:marLeft w:val="640"/>
          <w:marRight w:val="0"/>
          <w:marTop w:val="0"/>
          <w:marBottom w:val="0"/>
          <w:divBdr>
            <w:top w:val="none" w:sz="0" w:space="0" w:color="auto"/>
            <w:left w:val="none" w:sz="0" w:space="0" w:color="auto"/>
            <w:bottom w:val="none" w:sz="0" w:space="0" w:color="auto"/>
            <w:right w:val="none" w:sz="0" w:space="0" w:color="auto"/>
          </w:divBdr>
        </w:div>
        <w:div w:id="1093551634">
          <w:marLeft w:val="640"/>
          <w:marRight w:val="0"/>
          <w:marTop w:val="0"/>
          <w:marBottom w:val="0"/>
          <w:divBdr>
            <w:top w:val="none" w:sz="0" w:space="0" w:color="auto"/>
            <w:left w:val="none" w:sz="0" w:space="0" w:color="auto"/>
            <w:bottom w:val="none" w:sz="0" w:space="0" w:color="auto"/>
            <w:right w:val="none" w:sz="0" w:space="0" w:color="auto"/>
          </w:divBdr>
        </w:div>
        <w:div w:id="499128351">
          <w:marLeft w:val="640"/>
          <w:marRight w:val="0"/>
          <w:marTop w:val="0"/>
          <w:marBottom w:val="0"/>
          <w:divBdr>
            <w:top w:val="none" w:sz="0" w:space="0" w:color="auto"/>
            <w:left w:val="none" w:sz="0" w:space="0" w:color="auto"/>
            <w:bottom w:val="none" w:sz="0" w:space="0" w:color="auto"/>
            <w:right w:val="none" w:sz="0" w:space="0" w:color="auto"/>
          </w:divBdr>
        </w:div>
        <w:div w:id="1923828175">
          <w:marLeft w:val="640"/>
          <w:marRight w:val="0"/>
          <w:marTop w:val="0"/>
          <w:marBottom w:val="0"/>
          <w:divBdr>
            <w:top w:val="none" w:sz="0" w:space="0" w:color="auto"/>
            <w:left w:val="none" w:sz="0" w:space="0" w:color="auto"/>
            <w:bottom w:val="none" w:sz="0" w:space="0" w:color="auto"/>
            <w:right w:val="none" w:sz="0" w:space="0" w:color="auto"/>
          </w:divBdr>
        </w:div>
        <w:div w:id="1436096962">
          <w:marLeft w:val="640"/>
          <w:marRight w:val="0"/>
          <w:marTop w:val="0"/>
          <w:marBottom w:val="0"/>
          <w:divBdr>
            <w:top w:val="none" w:sz="0" w:space="0" w:color="auto"/>
            <w:left w:val="none" w:sz="0" w:space="0" w:color="auto"/>
            <w:bottom w:val="none" w:sz="0" w:space="0" w:color="auto"/>
            <w:right w:val="none" w:sz="0" w:space="0" w:color="auto"/>
          </w:divBdr>
        </w:div>
        <w:div w:id="675421626">
          <w:marLeft w:val="640"/>
          <w:marRight w:val="0"/>
          <w:marTop w:val="0"/>
          <w:marBottom w:val="0"/>
          <w:divBdr>
            <w:top w:val="none" w:sz="0" w:space="0" w:color="auto"/>
            <w:left w:val="none" w:sz="0" w:space="0" w:color="auto"/>
            <w:bottom w:val="none" w:sz="0" w:space="0" w:color="auto"/>
            <w:right w:val="none" w:sz="0" w:space="0" w:color="auto"/>
          </w:divBdr>
        </w:div>
        <w:div w:id="1330325290">
          <w:marLeft w:val="640"/>
          <w:marRight w:val="0"/>
          <w:marTop w:val="0"/>
          <w:marBottom w:val="0"/>
          <w:divBdr>
            <w:top w:val="none" w:sz="0" w:space="0" w:color="auto"/>
            <w:left w:val="none" w:sz="0" w:space="0" w:color="auto"/>
            <w:bottom w:val="none" w:sz="0" w:space="0" w:color="auto"/>
            <w:right w:val="none" w:sz="0" w:space="0" w:color="auto"/>
          </w:divBdr>
        </w:div>
        <w:div w:id="196238331">
          <w:marLeft w:val="640"/>
          <w:marRight w:val="0"/>
          <w:marTop w:val="0"/>
          <w:marBottom w:val="0"/>
          <w:divBdr>
            <w:top w:val="none" w:sz="0" w:space="0" w:color="auto"/>
            <w:left w:val="none" w:sz="0" w:space="0" w:color="auto"/>
            <w:bottom w:val="none" w:sz="0" w:space="0" w:color="auto"/>
            <w:right w:val="none" w:sz="0" w:space="0" w:color="auto"/>
          </w:divBdr>
        </w:div>
        <w:div w:id="1510873772">
          <w:marLeft w:val="640"/>
          <w:marRight w:val="0"/>
          <w:marTop w:val="0"/>
          <w:marBottom w:val="0"/>
          <w:divBdr>
            <w:top w:val="none" w:sz="0" w:space="0" w:color="auto"/>
            <w:left w:val="none" w:sz="0" w:space="0" w:color="auto"/>
            <w:bottom w:val="none" w:sz="0" w:space="0" w:color="auto"/>
            <w:right w:val="none" w:sz="0" w:space="0" w:color="auto"/>
          </w:divBdr>
        </w:div>
        <w:div w:id="888104493">
          <w:marLeft w:val="640"/>
          <w:marRight w:val="0"/>
          <w:marTop w:val="0"/>
          <w:marBottom w:val="0"/>
          <w:divBdr>
            <w:top w:val="none" w:sz="0" w:space="0" w:color="auto"/>
            <w:left w:val="none" w:sz="0" w:space="0" w:color="auto"/>
            <w:bottom w:val="none" w:sz="0" w:space="0" w:color="auto"/>
            <w:right w:val="none" w:sz="0" w:space="0" w:color="auto"/>
          </w:divBdr>
        </w:div>
        <w:div w:id="25640964">
          <w:marLeft w:val="640"/>
          <w:marRight w:val="0"/>
          <w:marTop w:val="0"/>
          <w:marBottom w:val="0"/>
          <w:divBdr>
            <w:top w:val="none" w:sz="0" w:space="0" w:color="auto"/>
            <w:left w:val="none" w:sz="0" w:space="0" w:color="auto"/>
            <w:bottom w:val="none" w:sz="0" w:space="0" w:color="auto"/>
            <w:right w:val="none" w:sz="0" w:space="0" w:color="auto"/>
          </w:divBdr>
        </w:div>
        <w:div w:id="451897951">
          <w:marLeft w:val="640"/>
          <w:marRight w:val="0"/>
          <w:marTop w:val="0"/>
          <w:marBottom w:val="0"/>
          <w:divBdr>
            <w:top w:val="none" w:sz="0" w:space="0" w:color="auto"/>
            <w:left w:val="none" w:sz="0" w:space="0" w:color="auto"/>
            <w:bottom w:val="none" w:sz="0" w:space="0" w:color="auto"/>
            <w:right w:val="none" w:sz="0" w:space="0" w:color="auto"/>
          </w:divBdr>
        </w:div>
        <w:div w:id="1825469099">
          <w:marLeft w:val="640"/>
          <w:marRight w:val="0"/>
          <w:marTop w:val="0"/>
          <w:marBottom w:val="0"/>
          <w:divBdr>
            <w:top w:val="none" w:sz="0" w:space="0" w:color="auto"/>
            <w:left w:val="none" w:sz="0" w:space="0" w:color="auto"/>
            <w:bottom w:val="none" w:sz="0" w:space="0" w:color="auto"/>
            <w:right w:val="none" w:sz="0" w:space="0" w:color="auto"/>
          </w:divBdr>
        </w:div>
        <w:div w:id="1086998999">
          <w:marLeft w:val="640"/>
          <w:marRight w:val="0"/>
          <w:marTop w:val="0"/>
          <w:marBottom w:val="0"/>
          <w:divBdr>
            <w:top w:val="none" w:sz="0" w:space="0" w:color="auto"/>
            <w:left w:val="none" w:sz="0" w:space="0" w:color="auto"/>
            <w:bottom w:val="none" w:sz="0" w:space="0" w:color="auto"/>
            <w:right w:val="none" w:sz="0" w:space="0" w:color="auto"/>
          </w:divBdr>
        </w:div>
        <w:div w:id="894121552">
          <w:marLeft w:val="640"/>
          <w:marRight w:val="0"/>
          <w:marTop w:val="0"/>
          <w:marBottom w:val="0"/>
          <w:divBdr>
            <w:top w:val="none" w:sz="0" w:space="0" w:color="auto"/>
            <w:left w:val="none" w:sz="0" w:space="0" w:color="auto"/>
            <w:bottom w:val="none" w:sz="0" w:space="0" w:color="auto"/>
            <w:right w:val="none" w:sz="0" w:space="0" w:color="auto"/>
          </w:divBdr>
        </w:div>
        <w:div w:id="263077979">
          <w:marLeft w:val="640"/>
          <w:marRight w:val="0"/>
          <w:marTop w:val="0"/>
          <w:marBottom w:val="0"/>
          <w:divBdr>
            <w:top w:val="none" w:sz="0" w:space="0" w:color="auto"/>
            <w:left w:val="none" w:sz="0" w:space="0" w:color="auto"/>
            <w:bottom w:val="none" w:sz="0" w:space="0" w:color="auto"/>
            <w:right w:val="none" w:sz="0" w:space="0" w:color="auto"/>
          </w:divBdr>
        </w:div>
        <w:div w:id="16392998">
          <w:marLeft w:val="640"/>
          <w:marRight w:val="0"/>
          <w:marTop w:val="0"/>
          <w:marBottom w:val="0"/>
          <w:divBdr>
            <w:top w:val="none" w:sz="0" w:space="0" w:color="auto"/>
            <w:left w:val="none" w:sz="0" w:space="0" w:color="auto"/>
            <w:bottom w:val="none" w:sz="0" w:space="0" w:color="auto"/>
            <w:right w:val="none" w:sz="0" w:space="0" w:color="auto"/>
          </w:divBdr>
        </w:div>
        <w:div w:id="1292715035">
          <w:marLeft w:val="640"/>
          <w:marRight w:val="0"/>
          <w:marTop w:val="0"/>
          <w:marBottom w:val="0"/>
          <w:divBdr>
            <w:top w:val="none" w:sz="0" w:space="0" w:color="auto"/>
            <w:left w:val="none" w:sz="0" w:space="0" w:color="auto"/>
            <w:bottom w:val="none" w:sz="0" w:space="0" w:color="auto"/>
            <w:right w:val="none" w:sz="0" w:space="0" w:color="auto"/>
          </w:divBdr>
        </w:div>
      </w:divsChild>
    </w:div>
    <w:div w:id="251624518">
      <w:bodyDiv w:val="1"/>
      <w:marLeft w:val="0"/>
      <w:marRight w:val="0"/>
      <w:marTop w:val="0"/>
      <w:marBottom w:val="0"/>
      <w:divBdr>
        <w:top w:val="none" w:sz="0" w:space="0" w:color="auto"/>
        <w:left w:val="none" w:sz="0" w:space="0" w:color="auto"/>
        <w:bottom w:val="none" w:sz="0" w:space="0" w:color="auto"/>
        <w:right w:val="none" w:sz="0" w:space="0" w:color="auto"/>
      </w:divBdr>
      <w:divsChild>
        <w:div w:id="1998800308">
          <w:marLeft w:val="640"/>
          <w:marRight w:val="0"/>
          <w:marTop w:val="0"/>
          <w:marBottom w:val="0"/>
          <w:divBdr>
            <w:top w:val="none" w:sz="0" w:space="0" w:color="auto"/>
            <w:left w:val="none" w:sz="0" w:space="0" w:color="auto"/>
            <w:bottom w:val="none" w:sz="0" w:space="0" w:color="auto"/>
            <w:right w:val="none" w:sz="0" w:space="0" w:color="auto"/>
          </w:divBdr>
        </w:div>
        <w:div w:id="166598169">
          <w:marLeft w:val="640"/>
          <w:marRight w:val="0"/>
          <w:marTop w:val="0"/>
          <w:marBottom w:val="0"/>
          <w:divBdr>
            <w:top w:val="none" w:sz="0" w:space="0" w:color="auto"/>
            <w:left w:val="none" w:sz="0" w:space="0" w:color="auto"/>
            <w:bottom w:val="none" w:sz="0" w:space="0" w:color="auto"/>
            <w:right w:val="none" w:sz="0" w:space="0" w:color="auto"/>
          </w:divBdr>
        </w:div>
        <w:div w:id="950472564">
          <w:marLeft w:val="640"/>
          <w:marRight w:val="0"/>
          <w:marTop w:val="0"/>
          <w:marBottom w:val="0"/>
          <w:divBdr>
            <w:top w:val="none" w:sz="0" w:space="0" w:color="auto"/>
            <w:left w:val="none" w:sz="0" w:space="0" w:color="auto"/>
            <w:bottom w:val="none" w:sz="0" w:space="0" w:color="auto"/>
            <w:right w:val="none" w:sz="0" w:space="0" w:color="auto"/>
          </w:divBdr>
        </w:div>
        <w:div w:id="1211530004">
          <w:marLeft w:val="640"/>
          <w:marRight w:val="0"/>
          <w:marTop w:val="0"/>
          <w:marBottom w:val="0"/>
          <w:divBdr>
            <w:top w:val="none" w:sz="0" w:space="0" w:color="auto"/>
            <w:left w:val="none" w:sz="0" w:space="0" w:color="auto"/>
            <w:bottom w:val="none" w:sz="0" w:space="0" w:color="auto"/>
            <w:right w:val="none" w:sz="0" w:space="0" w:color="auto"/>
          </w:divBdr>
        </w:div>
        <w:div w:id="1696610352">
          <w:marLeft w:val="640"/>
          <w:marRight w:val="0"/>
          <w:marTop w:val="0"/>
          <w:marBottom w:val="0"/>
          <w:divBdr>
            <w:top w:val="none" w:sz="0" w:space="0" w:color="auto"/>
            <w:left w:val="none" w:sz="0" w:space="0" w:color="auto"/>
            <w:bottom w:val="none" w:sz="0" w:space="0" w:color="auto"/>
            <w:right w:val="none" w:sz="0" w:space="0" w:color="auto"/>
          </w:divBdr>
        </w:div>
        <w:div w:id="1932853301">
          <w:marLeft w:val="640"/>
          <w:marRight w:val="0"/>
          <w:marTop w:val="0"/>
          <w:marBottom w:val="0"/>
          <w:divBdr>
            <w:top w:val="none" w:sz="0" w:space="0" w:color="auto"/>
            <w:left w:val="none" w:sz="0" w:space="0" w:color="auto"/>
            <w:bottom w:val="none" w:sz="0" w:space="0" w:color="auto"/>
            <w:right w:val="none" w:sz="0" w:space="0" w:color="auto"/>
          </w:divBdr>
        </w:div>
        <w:div w:id="1689523503">
          <w:marLeft w:val="640"/>
          <w:marRight w:val="0"/>
          <w:marTop w:val="0"/>
          <w:marBottom w:val="0"/>
          <w:divBdr>
            <w:top w:val="none" w:sz="0" w:space="0" w:color="auto"/>
            <w:left w:val="none" w:sz="0" w:space="0" w:color="auto"/>
            <w:bottom w:val="none" w:sz="0" w:space="0" w:color="auto"/>
            <w:right w:val="none" w:sz="0" w:space="0" w:color="auto"/>
          </w:divBdr>
        </w:div>
        <w:div w:id="1842962658">
          <w:marLeft w:val="640"/>
          <w:marRight w:val="0"/>
          <w:marTop w:val="0"/>
          <w:marBottom w:val="0"/>
          <w:divBdr>
            <w:top w:val="none" w:sz="0" w:space="0" w:color="auto"/>
            <w:left w:val="none" w:sz="0" w:space="0" w:color="auto"/>
            <w:bottom w:val="none" w:sz="0" w:space="0" w:color="auto"/>
            <w:right w:val="none" w:sz="0" w:space="0" w:color="auto"/>
          </w:divBdr>
        </w:div>
        <w:div w:id="439498816">
          <w:marLeft w:val="640"/>
          <w:marRight w:val="0"/>
          <w:marTop w:val="0"/>
          <w:marBottom w:val="0"/>
          <w:divBdr>
            <w:top w:val="none" w:sz="0" w:space="0" w:color="auto"/>
            <w:left w:val="none" w:sz="0" w:space="0" w:color="auto"/>
            <w:bottom w:val="none" w:sz="0" w:space="0" w:color="auto"/>
            <w:right w:val="none" w:sz="0" w:space="0" w:color="auto"/>
          </w:divBdr>
        </w:div>
        <w:div w:id="562372588">
          <w:marLeft w:val="640"/>
          <w:marRight w:val="0"/>
          <w:marTop w:val="0"/>
          <w:marBottom w:val="0"/>
          <w:divBdr>
            <w:top w:val="none" w:sz="0" w:space="0" w:color="auto"/>
            <w:left w:val="none" w:sz="0" w:space="0" w:color="auto"/>
            <w:bottom w:val="none" w:sz="0" w:space="0" w:color="auto"/>
            <w:right w:val="none" w:sz="0" w:space="0" w:color="auto"/>
          </w:divBdr>
        </w:div>
        <w:div w:id="967390696">
          <w:marLeft w:val="640"/>
          <w:marRight w:val="0"/>
          <w:marTop w:val="0"/>
          <w:marBottom w:val="0"/>
          <w:divBdr>
            <w:top w:val="none" w:sz="0" w:space="0" w:color="auto"/>
            <w:left w:val="none" w:sz="0" w:space="0" w:color="auto"/>
            <w:bottom w:val="none" w:sz="0" w:space="0" w:color="auto"/>
            <w:right w:val="none" w:sz="0" w:space="0" w:color="auto"/>
          </w:divBdr>
        </w:div>
        <w:div w:id="790976912">
          <w:marLeft w:val="640"/>
          <w:marRight w:val="0"/>
          <w:marTop w:val="0"/>
          <w:marBottom w:val="0"/>
          <w:divBdr>
            <w:top w:val="none" w:sz="0" w:space="0" w:color="auto"/>
            <w:left w:val="none" w:sz="0" w:space="0" w:color="auto"/>
            <w:bottom w:val="none" w:sz="0" w:space="0" w:color="auto"/>
            <w:right w:val="none" w:sz="0" w:space="0" w:color="auto"/>
          </w:divBdr>
        </w:div>
        <w:div w:id="476843573">
          <w:marLeft w:val="640"/>
          <w:marRight w:val="0"/>
          <w:marTop w:val="0"/>
          <w:marBottom w:val="0"/>
          <w:divBdr>
            <w:top w:val="none" w:sz="0" w:space="0" w:color="auto"/>
            <w:left w:val="none" w:sz="0" w:space="0" w:color="auto"/>
            <w:bottom w:val="none" w:sz="0" w:space="0" w:color="auto"/>
            <w:right w:val="none" w:sz="0" w:space="0" w:color="auto"/>
          </w:divBdr>
        </w:div>
        <w:div w:id="1084303161">
          <w:marLeft w:val="640"/>
          <w:marRight w:val="0"/>
          <w:marTop w:val="0"/>
          <w:marBottom w:val="0"/>
          <w:divBdr>
            <w:top w:val="none" w:sz="0" w:space="0" w:color="auto"/>
            <w:left w:val="none" w:sz="0" w:space="0" w:color="auto"/>
            <w:bottom w:val="none" w:sz="0" w:space="0" w:color="auto"/>
            <w:right w:val="none" w:sz="0" w:space="0" w:color="auto"/>
          </w:divBdr>
        </w:div>
        <w:div w:id="1376663187">
          <w:marLeft w:val="640"/>
          <w:marRight w:val="0"/>
          <w:marTop w:val="0"/>
          <w:marBottom w:val="0"/>
          <w:divBdr>
            <w:top w:val="none" w:sz="0" w:space="0" w:color="auto"/>
            <w:left w:val="none" w:sz="0" w:space="0" w:color="auto"/>
            <w:bottom w:val="none" w:sz="0" w:space="0" w:color="auto"/>
            <w:right w:val="none" w:sz="0" w:space="0" w:color="auto"/>
          </w:divBdr>
        </w:div>
        <w:div w:id="1518494916">
          <w:marLeft w:val="640"/>
          <w:marRight w:val="0"/>
          <w:marTop w:val="0"/>
          <w:marBottom w:val="0"/>
          <w:divBdr>
            <w:top w:val="none" w:sz="0" w:space="0" w:color="auto"/>
            <w:left w:val="none" w:sz="0" w:space="0" w:color="auto"/>
            <w:bottom w:val="none" w:sz="0" w:space="0" w:color="auto"/>
            <w:right w:val="none" w:sz="0" w:space="0" w:color="auto"/>
          </w:divBdr>
        </w:div>
        <w:div w:id="587812625">
          <w:marLeft w:val="640"/>
          <w:marRight w:val="0"/>
          <w:marTop w:val="0"/>
          <w:marBottom w:val="0"/>
          <w:divBdr>
            <w:top w:val="none" w:sz="0" w:space="0" w:color="auto"/>
            <w:left w:val="none" w:sz="0" w:space="0" w:color="auto"/>
            <w:bottom w:val="none" w:sz="0" w:space="0" w:color="auto"/>
            <w:right w:val="none" w:sz="0" w:space="0" w:color="auto"/>
          </w:divBdr>
        </w:div>
        <w:div w:id="1249997823">
          <w:marLeft w:val="640"/>
          <w:marRight w:val="0"/>
          <w:marTop w:val="0"/>
          <w:marBottom w:val="0"/>
          <w:divBdr>
            <w:top w:val="none" w:sz="0" w:space="0" w:color="auto"/>
            <w:left w:val="none" w:sz="0" w:space="0" w:color="auto"/>
            <w:bottom w:val="none" w:sz="0" w:space="0" w:color="auto"/>
            <w:right w:val="none" w:sz="0" w:space="0" w:color="auto"/>
          </w:divBdr>
        </w:div>
        <w:div w:id="1714696981">
          <w:marLeft w:val="640"/>
          <w:marRight w:val="0"/>
          <w:marTop w:val="0"/>
          <w:marBottom w:val="0"/>
          <w:divBdr>
            <w:top w:val="none" w:sz="0" w:space="0" w:color="auto"/>
            <w:left w:val="none" w:sz="0" w:space="0" w:color="auto"/>
            <w:bottom w:val="none" w:sz="0" w:space="0" w:color="auto"/>
            <w:right w:val="none" w:sz="0" w:space="0" w:color="auto"/>
          </w:divBdr>
        </w:div>
        <w:div w:id="2115976211">
          <w:marLeft w:val="640"/>
          <w:marRight w:val="0"/>
          <w:marTop w:val="0"/>
          <w:marBottom w:val="0"/>
          <w:divBdr>
            <w:top w:val="none" w:sz="0" w:space="0" w:color="auto"/>
            <w:left w:val="none" w:sz="0" w:space="0" w:color="auto"/>
            <w:bottom w:val="none" w:sz="0" w:space="0" w:color="auto"/>
            <w:right w:val="none" w:sz="0" w:space="0" w:color="auto"/>
          </w:divBdr>
        </w:div>
        <w:div w:id="1040087616">
          <w:marLeft w:val="640"/>
          <w:marRight w:val="0"/>
          <w:marTop w:val="0"/>
          <w:marBottom w:val="0"/>
          <w:divBdr>
            <w:top w:val="none" w:sz="0" w:space="0" w:color="auto"/>
            <w:left w:val="none" w:sz="0" w:space="0" w:color="auto"/>
            <w:bottom w:val="none" w:sz="0" w:space="0" w:color="auto"/>
            <w:right w:val="none" w:sz="0" w:space="0" w:color="auto"/>
          </w:divBdr>
        </w:div>
        <w:div w:id="783112123">
          <w:marLeft w:val="640"/>
          <w:marRight w:val="0"/>
          <w:marTop w:val="0"/>
          <w:marBottom w:val="0"/>
          <w:divBdr>
            <w:top w:val="none" w:sz="0" w:space="0" w:color="auto"/>
            <w:left w:val="none" w:sz="0" w:space="0" w:color="auto"/>
            <w:bottom w:val="none" w:sz="0" w:space="0" w:color="auto"/>
            <w:right w:val="none" w:sz="0" w:space="0" w:color="auto"/>
          </w:divBdr>
        </w:div>
        <w:div w:id="658579261">
          <w:marLeft w:val="640"/>
          <w:marRight w:val="0"/>
          <w:marTop w:val="0"/>
          <w:marBottom w:val="0"/>
          <w:divBdr>
            <w:top w:val="none" w:sz="0" w:space="0" w:color="auto"/>
            <w:left w:val="none" w:sz="0" w:space="0" w:color="auto"/>
            <w:bottom w:val="none" w:sz="0" w:space="0" w:color="auto"/>
            <w:right w:val="none" w:sz="0" w:space="0" w:color="auto"/>
          </w:divBdr>
        </w:div>
        <w:div w:id="1750999336">
          <w:marLeft w:val="640"/>
          <w:marRight w:val="0"/>
          <w:marTop w:val="0"/>
          <w:marBottom w:val="0"/>
          <w:divBdr>
            <w:top w:val="none" w:sz="0" w:space="0" w:color="auto"/>
            <w:left w:val="none" w:sz="0" w:space="0" w:color="auto"/>
            <w:bottom w:val="none" w:sz="0" w:space="0" w:color="auto"/>
            <w:right w:val="none" w:sz="0" w:space="0" w:color="auto"/>
          </w:divBdr>
        </w:div>
        <w:div w:id="745956465">
          <w:marLeft w:val="640"/>
          <w:marRight w:val="0"/>
          <w:marTop w:val="0"/>
          <w:marBottom w:val="0"/>
          <w:divBdr>
            <w:top w:val="none" w:sz="0" w:space="0" w:color="auto"/>
            <w:left w:val="none" w:sz="0" w:space="0" w:color="auto"/>
            <w:bottom w:val="none" w:sz="0" w:space="0" w:color="auto"/>
            <w:right w:val="none" w:sz="0" w:space="0" w:color="auto"/>
          </w:divBdr>
        </w:div>
        <w:div w:id="773207678">
          <w:marLeft w:val="640"/>
          <w:marRight w:val="0"/>
          <w:marTop w:val="0"/>
          <w:marBottom w:val="0"/>
          <w:divBdr>
            <w:top w:val="none" w:sz="0" w:space="0" w:color="auto"/>
            <w:left w:val="none" w:sz="0" w:space="0" w:color="auto"/>
            <w:bottom w:val="none" w:sz="0" w:space="0" w:color="auto"/>
            <w:right w:val="none" w:sz="0" w:space="0" w:color="auto"/>
          </w:divBdr>
        </w:div>
        <w:div w:id="569077015">
          <w:marLeft w:val="640"/>
          <w:marRight w:val="0"/>
          <w:marTop w:val="0"/>
          <w:marBottom w:val="0"/>
          <w:divBdr>
            <w:top w:val="none" w:sz="0" w:space="0" w:color="auto"/>
            <w:left w:val="none" w:sz="0" w:space="0" w:color="auto"/>
            <w:bottom w:val="none" w:sz="0" w:space="0" w:color="auto"/>
            <w:right w:val="none" w:sz="0" w:space="0" w:color="auto"/>
          </w:divBdr>
        </w:div>
        <w:div w:id="246118169">
          <w:marLeft w:val="640"/>
          <w:marRight w:val="0"/>
          <w:marTop w:val="0"/>
          <w:marBottom w:val="0"/>
          <w:divBdr>
            <w:top w:val="none" w:sz="0" w:space="0" w:color="auto"/>
            <w:left w:val="none" w:sz="0" w:space="0" w:color="auto"/>
            <w:bottom w:val="none" w:sz="0" w:space="0" w:color="auto"/>
            <w:right w:val="none" w:sz="0" w:space="0" w:color="auto"/>
          </w:divBdr>
        </w:div>
        <w:div w:id="138423844">
          <w:marLeft w:val="640"/>
          <w:marRight w:val="0"/>
          <w:marTop w:val="0"/>
          <w:marBottom w:val="0"/>
          <w:divBdr>
            <w:top w:val="none" w:sz="0" w:space="0" w:color="auto"/>
            <w:left w:val="none" w:sz="0" w:space="0" w:color="auto"/>
            <w:bottom w:val="none" w:sz="0" w:space="0" w:color="auto"/>
            <w:right w:val="none" w:sz="0" w:space="0" w:color="auto"/>
          </w:divBdr>
        </w:div>
        <w:div w:id="1611549947">
          <w:marLeft w:val="640"/>
          <w:marRight w:val="0"/>
          <w:marTop w:val="0"/>
          <w:marBottom w:val="0"/>
          <w:divBdr>
            <w:top w:val="none" w:sz="0" w:space="0" w:color="auto"/>
            <w:left w:val="none" w:sz="0" w:space="0" w:color="auto"/>
            <w:bottom w:val="none" w:sz="0" w:space="0" w:color="auto"/>
            <w:right w:val="none" w:sz="0" w:space="0" w:color="auto"/>
          </w:divBdr>
        </w:div>
        <w:div w:id="886258900">
          <w:marLeft w:val="640"/>
          <w:marRight w:val="0"/>
          <w:marTop w:val="0"/>
          <w:marBottom w:val="0"/>
          <w:divBdr>
            <w:top w:val="none" w:sz="0" w:space="0" w:color="auto"/>
            <w:left w:val="none" w:sz="0" w:space="0" w:color="auto"/>
            <w:bottom w:val="none" w:sz="0" w:space="0" w:color="auto"/>
            <w:right w:val="none" w:sz="0" w:space="0" w:color="auto"/>
          </w:divBdr>
        </w:div>
        <w:div w:id="82804072">
          <w:marLeft w:val="640"/>
          <w:marRight w:val="0"/>
          <w:marTop w:val="0"/>
          <w:marBottom w:val="0"/>
          <w:divBdr>
            <w:top w:val="none" w:sz="0" w:space="0" w:color="auto"/>
            <w:left w:val="none" w:sz="0" w:space="0" w:color="auto"/>
            <w:bottom w:val="none" w:sz="0" w:space="0" w:color="auto"/>
            <w:right w:val="none" w:sz="0" w:space="0" w:color="auto"/>
          </w:divBdr>
        </w:div>
        <w:div w:id="173342925">
          <w:marLeft w:val="640"/>
          <w:marRight w:val="0"/>
          <w:marTop w:val="0"/>
          <w:marBottom w:val="0"/>
          <w:divBdr>
            <w:top w:val="none" w:sz="0" w:space="0" w:color="auto"/>
            <w:left w:val="none" w:sz="0" w:space="0" w:color="auto"/>
            <w:bottom w:val="none" w:sz="0" w:space="0" w:color="auto"/>
            <w:right w:val="none" w:sz="0" w:space="0" w:color="auto"/>
          </w:divBdr>
        </w:div>
        <w:div w:id="920020675">
          <w:marLeft w:val="640"/>
          <w:marRight w:val="0"/>
          <w:marTop w:val="0"/>
          <w:marBottom w:val="0"/>
          <w:divBdr>
            <w:top w:val="none" w:sz="0" w:space="0" w:color="auto"/>
            <w:left w:val="none" w:sz="0" w:space="0" w:color="auto"/>
            <w:bottom w:val="none" w:sz="0" w:space="0" w:color="auto"/>
            <w:right w:val="none" w:sz="0" w:space="0" w:color="auto"/>
          </w:divBdr>
        </w:div>
        <w:div w:id="1981381724">
          <w:marLeft w:val="640"/>
          <w:marRight w:val="0"/>
          <w:marTop w:val="0"/>
          <w:marBottom w:val="0"/>
          <w:divBdr>
            <w:top w:val="none" w:sz="0" w:space="0" w:color="auto"/>
            <w:left w:val="none" w:sz="0" w:space="0" w:color="auto"/>
            <w:bottom w:val="none" w:sz="0" w:space="0" w:color="auto"/>
            <w:right w:val="none" w:sz="0" w:space="0" w:color="auto"/>
          </w:divBdr>
        </w:div>
        <w:div w:id="647393109">
          <w:marLeft w:val="640"/>
          <w:marRight w:val="0"/>
          <w:marTop w:val="0"/>
          <w:marBottom w:val="0"/>
          <w:divBdr>
            <w:top w:val="none" w:sz="0" w:space="0" w:color="auto"/>
            <w:left w:val="none" w:sz="0" w:space="0" w:color="auto"/>
            <w:bottom w:val="none" w:sz="0" w:space="0" w:color="auto"/>
            <w:right w:val="none" w:sz="0" w:space="0" w:color="auto"/>
          </w:divBdr>
        </w:div>
        <w:div w:id="1964846857">
          <w:marLeft w:val="640"/>
          <w:marRight w:val="0"/>
          <w:marTop w:val="0"/>
          <w:marBottom w:val="0"/>
          <w:divBdr>
            <w:top w:val="none" w:sz="0" w:space="0" w:color="auto"/>
            <w:left w:val="none" w:sz="0" w:space="0" w:color="auto"/>
            <w:bottom w:val="none" w:sz="0" w:space="0" w:color="auto"/>
            <w:right w:val="none" w:sz="0" w:space="0" w:color="auto"/>
          </w:divBdr>
        </w:div>
        <w:div w:id="1534074210">
          <w:marLeft w:val="640"/>
          <w:marRight w:val="0"/>
          <w:marTop w:val="0"/>
          <w:marBottom w:val="0"/>
          <w:divBdr>
            <w:top w:val="none" w:sz="0" w:space="0" w:color="auto"/>
            <w:left w:val="none" w:sz="0" w:space="0" w:color="auto"/>
            <w:bottom w:val="none" w:sz="0" w:space="0" w:color="auto"/>
            <w:right w:val="none" w:sz="0" w:space="0" w:color="auto"/>
          </w:divBdr>
        </w:div>
        <w:div w:id="1956323931">
          <w:marLeft w:val="640"/>
          <w:marRight w:val="0"/>
          <w:marTop w:val="0"/>
          <w:marBottom w:val="0"/>
          <w:divBdr>
            <w:top w:val="none" w:sz="0" w:space="0" w:color="auto"/>
            <w:left w:val="none" w:sz="0" w:space="0" w:color="auto"/>
            <w:bottom w:val="none" w:sz="0" w:space="0" w:color="auto"/>
            <w:right w:val="none" w:sz="0" w:space="0" w:color="auto"/>
          </w:divBdr>
        </w:div>
        <w:div w:id="1070227964">
          <w:marLeft w:val="640"/>
          <w:marRight w:val="0"/>
          <w:marTop w:val="0"/>
          <w:marBottom w:val="0"/>
          <w:divBdr>
            <w:top w:val="none" w:sz="0" w:space="0" w:color="auto"/>
            <w:left w:val="none" w:sz="0" w:space="0" w:color="auto"/>
            <w:bottom w:val="none" w:sz="0" w:space="0" w:color="auto"/>
            <w:right w:val="none" w:sz="0" w:space="0" w:color="auto"/>
          </w:divBdr>
        </w:div>
        <w:div w:id="1847017903">
          <w:marLeft w:val="640"/>
          <w:marRight w:val="0"/>
          <w:marTop w:val="0"/>
          <w:marBottom w:val="0"/>
          <w:divBdr>
            <w:top w:val="none" w:sz="0" w:space="0" w:color="auto"/>
            <w:left w:val="none" w:sz="0" w:space="0" w:color="auto"/>
            <w:bottom w:val="none" w:sz="0" w:space="0" w:color="auto"/>
            <w:right w:val="none" w:sz="0" w:space="0" w:color="auto"/>
          </w:divBdr>
        </w:div>
        <w:div w:id="1071541795">
          <w:marLeft w:val="640"/>
          <w:marRight w:val="0"/>
          <w:marTop w:val="0"/>
          <w:marBottom w:val="0"/>
          <w:divBdr>
            <w:top w:val="none" w:sz="0" w:space="0" w:color="auto"/>
            <w:left w:val="none" w:sz="0" w:space="0" w:color="auto"/>
            <w:bottom w:val="none" w:sz="0" w:space="0" w:color="auto"/>
            <w:right w:val="none" w:sz="0" w:space="0" w:color="auto"/>
          </w:divBdr>
        </w:div>
        <w:div w:id="483359052">
          <w:marLeft w:val="640"/>
          <w:marRight w:val="0"/>
          <w:marTop w:val="0"/>
          <w:marBottom w:val="0"/>
          <w:divBdr>
            <w:top w:val="none" w:sz="0" w:space="0" w:color="auto"/>
            <w:left w:val="none" w:sz="0" w:space="0" w:color="auto"/>
            <w:bottom w:val="none" w:sz="0" w:space="0" w:color="auto"/>
            <w:right w:val="none" w:sz="0" w:space="0" w:color="auto"/>
          </w:divBdr>
        </w:div>
        <w:div w:id="1296065396">
          <w:marLeft w:val="640"/>
          <w:marRight w:val="0"/>
          <w:marTop w:val="0"/>
          <w:marBottom w:val="0"/>
          <w:divBdr>
            <w:top w:val="none" w:sz="0" w:space="0" w:color="auto"/>
            <w:left w:val="none" w:sz="0" w:space="0" w:color="auto"/>
            <w:bottom w:val="none" w:sz="0" w:space="0" w:color="auto"/>
            <w:right w:val="none" w:sz="0" w:space="0" w:color="auto"/>
          </w:divBdr>
        </w:div>
        <w:div w:id="266885736">
          <w:marLeft w:val="640"/>
          <w:marRight w:val="0"/>
          <w:marTop w:val="0"/>
          <w:marBottom w:val="0"/>
          <w:divBdr>
            <w:top w:val="none" w:sz="0" w:space="0" w:color="auto"/>
            <w:left w:val="none" w:sz="0" w:space="0" w:color="auto"/>
            <w:bottom w:val="none" w:sz="0" w:space="0" w:color="auto"/>
            <w:right w:val="none" w:sz="0" w:space="0" w:color="auto"/>
          </w:divBdr>
        </w:div>
        <w:div w:id="1465151688">
          <w:marLeft w:val="640"/>
          <w:marRight w:val="0"/>
          <w:marTop w:val="0"/>
          <w:marBottom w:val="0"/>
          <w:divBdr>
            <w:top w:val="none" w:sz="0" w:space="0" w:color="auto"/>
            <w:left w:val="none" w:sz="0" w:space="0" w:color="auto"/>
            <w:bottom w:val="none" w:sz="0" w:space="0" w:color="auto"/>
            <w:right w:val="none" w:sz="0" w:space="0" w:color="auto"/>
          </w:divBdr>
        </w:div>
        <w:div w:id="62458709">
          <w:marLeft w:val="640"/>
          <w:marRight w:val="0"/>
          <w:marTop w:val="0"/>
          <w:marBottom w:val="0"/>
          <w:divBdr>
            <w:top w:val="none" w:sz="0" w:space="0" w:color="auto"/>
            <w:left w:val="none" w:sz="0" w:space="0" w:color="auto"/>
            <w:bottom w:val="none" w:sz="0" w:space="0" w:color="auto"/>
            <w:right w:val="none" w:sz="0" w:space="0" w:color="auto"/>
          </w:divBdr>
        </w:div>
        <w:div w:id="1265962831">
          <w:marLeft w:val="640"/>
          <w:marRight w:val="0"/>
          <w:marTop w:val="0"/>
          <w:marBottom w:val="0"/>
          <w:divBdr>
            <w:top w:val="none" w:sz="0" w:space="0" w:color="auto"/>
            <w:left w:val="none" w:sz="0" w:space="0" w:color="auto"/>
            <w:bottom w:val="none" w:sz="0" w:space="0" w:color="auto"/>
            <w:right w:val="none" w:sz="0" w:space="0" w:color="auto"/>
          </w:divBdr>
        </w:div>
        <w:div w:id="1492142685">
          <w:marLeft w:val="640"/>
          <w:marRight w:val="0"/>
          <w:marTop w:val="0"/>
          <w:marBottom w:val="0"/>
          <w:divBdr>
            <w:top w:val="none" w:sz="0" w:space="0" w:color="auto"/>
            <w:left w:val="none" w:sz="0" w:space="0" w:color="auto"/>
            <w:bottom w:val="none" w:sz="0" w:space="0" w:color="auto"/>
            <w:right w:val="none" w:sz="0" w:space="0" w:color="auto"/>
          </w:divBdr>
        </w:div>
        <w:div w:id="1968197154">
          <w:marLeft w:val="640"/>
          <w:marRight w:val="0"/>
          <w:marTop w:val="0"/>
          <w:marBottom w:val="0"/>
          <w:divBdr>
            <w:top w:val="none" w:sz="0" w:space="0" w:color="auto"/>
            <w:left w:val="none" w:sz="0" w:space="0" w:color="auto"/>
            <w:bottom w:val="none" w:sz="0" w:space="0" w:color="auto"/>
            <w:right w:val="none" w:sz="0" w:space="0" w:color="auto"/>
          </w:divBdr>
        </w:div>
        <w:div w:id="2039428805">
          <w:marLeft w:val="640"/>
          <w:marRight w:val="0"/>
          <w:marTop w:val="0"/>
          <w:marBottom w:val="0"/>
          <w:divBdr>
            <w:top w:val="none" w:sz="0" w:space="0" w:color="auto"/>
            <w:left w:val="none" w:sz="0" w:space="0" w:color="auto"/>
            <w:bottom w:val="none" w:sz="0" w:space="0" w:color="auto"/>
            <w:right w:val="none" w:sz="0" w:space="0" w:color="auto"/>
          </w:divBdr>
        </w:div>
        <w:div w:id="1075082017">
          <w:marLeft w:val="640"/>
          <w:marRight w:val="0"/>
          <w:marTop w:val="0"/>
          <w:marBottom w:val="0"/>
          <w:divBdr>
            <w:top w:val="none" w:sz="0" w:space="0" w:color="auto"/>
            <w:left w:val="none" w:sz="0" w:space="0" w:color="auto"/>
            <w:bottom w:val="none" w:sz="0" w:space="0" w:color="auto"/>
            <w:right w:val="none" w:sz="0" w:space="0" w:color="auto"/>
          </w:divBdr>
        </w:div>
        <w:div w:id="1654288668">
          <w:marLeft w:val="640"/>
          <w:marRight w:val="0"/>
          <w:marTop w:val="0"/>
          <w:marBottom w:val="0"/>
          <w:divBdr>
            <w:top w:val="none" w:sz="0" w:space="0" w:color="auto"/>
            <w:left w:val="none" w:sz="0" w:space="0" w:color="auto"/>
            <w:bottom w:val="none" w:sz="0" w:space="0" w:color="auto"/>
            <w:right w:val="none" w:sz="0" w:space="0" w:color="auto"/>
          </w:divBdr>
        </w:div>
        <w:div w:id="1616324981">
          <w:marLeft w:val="640"/>
          <w:marRight w:val="0"/>
          <w:marTop w:val="0"/>
          <w:marBottom w:val="0"/>
          <w:divBdr>
            <w:top w:val="none" w:sz="0" w:space="0" w:color="auto"/>
            <w:left w:val="none" w:sz="0" w:space="0" w:color="auto"/>
            <w:bottom w:val="none" w:sz="0" w:space="0" w:color="auto"/>
            <w:right w:val="none" w:sz="0" w:space="0" w:color="auto"/>
          </w:divBdr>
        </w:div>
        <w:div w:id="1396008146">
          <w:marLeft w:val="640"/>
          <w:marRight w:val="0"/>
          <w:marTop w:val="0"/>
          <w:marBottom w:val="0"/>
          <w:divBdr>
            <w:top w:val="none" w:sz="0" w:space="0" w:color="auto"/>
            <w:left w:val="none" w:sz="0" w:space="0" w:color="auto"/>
            <w:bottom w:val="none" w:sz="0" w:space="0" w:color="auto"/>
            <w:right w:val="none" w:sz="0" w:space="0" w:color="auto"/>
          </w:divBdr>
        </w:div>
        <w:div w:id="524098162">
          <w:marLeft w:val="640"/>
          <w:marRight w:val="0"/>
          <w:marTop w:val="0"/>
          <w:marBottom w:val="0"/>
          <w:divBdr>
            <w:top w:val="none" w:sz="0" w:space="0" w:color="auto"/>
            <w:left w:val="none" w:sz="0" w:space="0" w:color="auto"/>
            <w:bottom w:val="none" w:sz="0" w:space="0" w:color="auto"/>
            <w:right w:val="none" w:sz="0" w:space="0" w:color="auto"/>
          </w:divBdr>
        </w:div>
        <w:div w:id="1341469404">
          <w:marLeft w:val="640"/>
          <w:marRight w:val="0"/>
          <w:marTop w:val="0"/>
          <w:marBottom w:val="0"/>
          <w:divBdr>
            <w:top w:val="none" w:sz="0" w:space="0" w:color="auto"/>
            <w:left w:val="none" w:sz="0" w:space="0" w:color="auto"/>
            <w:bottom w:val="none" w:sz="0" w:space="0" w:color="auto"/>
            <w:right w:val="none" w:sz="0" w:space="0" w:color="auto"/>
          </w:divBdr>
        </w:div>
        <w:div w:id="1856966345">
          <w:marLeft w:val="640"/>
          <w:marRight w:val="0"/>
          <w:marTop w:val="0"/>
          <w:marBottom w:val="0"/>
          <w:divBdr>
            <w:top w:val="none" w:sz="0" w:space="0" w:color="auto"/>
            <w:left w:val="none" w:sz="0" w:space="0" w:color="auto"/>
            <w:bottom w:val="none" w:sz="0" w:space="0" w:color="auto"/>
            <w:right w:val="none" w:sz="0" w:space="0" w:color="auto"/>
          </w:divBdr>
        </w:div>
        <w:div w:id="1965573241">
          <w:marLeft w:val="640"/>
          <w:marRight w:val="0"/>
          <w:marTop w:val="0"/>
          <w:marBottom w:val="0"/>
          <w:divBdr>
            <w:top w:val="none" w:sz="0" w:space="0" w:color="auto"/>
            <w:left w:val="none" w:sz="0" w:space="0" w:color="auto"/>
            <w:bottom w:val="none" w:sz="0" w:space="0" w:color="auto"/>
            <w:right w:val="none" w:sz="0" w:space="0" w:color="auto"/>
          </w:divBdr>
        </w:div>
        <w:div w:id="593394095">
          <w:marLeft w:val="640"/>
          <w:marRight w:val="0"/>
          <w:marTop w:val="0"/>
          <w:marBottom w:val="0"/>
          <w:divBdr>
            <w:top w:val="none" w:sz="0" w:space="0" w:color="auto"/>
            <w:left w:val="none" w:sz="0" w:space="0" w:color="auto"/>
            <w:bottom w:val="none" w:sz="0" w:space="0" w:color="auto"/>
            <w:right w:val="none" w:sz="0" w:space="0" w:color="auto"/>
          </w:divBdr>
        </w:div>
        <w:div w:id="174928828">
          <w:marLeft w:val="640"/>
          <w:marRight w:val="0"/>
          <w:marTop w:val="0"/>
          <w:marBottom w:val="0"/>
          <w:divBdr>
            <w:top w:val="none" w:sz="0" w:space="0" w:color="auto"/>
            <w:left w:val="none" w:sz="0" w:space="0" w:color="auto"/>
            <w:bottom w:val="none" w:sz="0" w:space="0" w:color="auto"/>
            <w:right w:val="none" w:sz="0" w:space="0" w:color="auto"/>
          </w:divBdr>
        </w:div>
        <w:div w:id="580219393">
          <w:marLeft w:val="640"/>
          <w:marRight w:val="0"/>
          <w:marTop w:val="0"/>
          <w:marBottom w:val="0"/>
          <w:divBdr>
            <w:top w:val="none" w:sz="0" w:space="0" w:color="auto"/>
            <w:left w:val="none" w:sz="0" w:space="0" w:color="auto"/>
            <w:bottom w:val="none" w:sz="0" w:space="0" w:color="auto"/>
            <w:right w:val="none" w:sz="0" w:space="0" w:color="auto"/>
          </w:divBdr>
        </w:div>
        <w:div w:id="1495797360">
          <w:marLeft w:val="640"/>
          <w:marRight w:val="0"/>
          <w:marTop w:val="0"/>
          <w:marBottom w:val="0"/>
          <w:divBdr>
            <w:top w:val="none" w:sz="0" w:space="0" w:color="auto"/>
            <w:left w:val="none" w:sz="0" w:space="0" w:color="auto"/>
            <w:bottom w:val="none" w:sz="0" w:space="0" w:color="auto"/>
            <w:right w:val="none" w:sz="0" w:space="0" w:color="auto"/>
          </w:divBdr>
        </w:div>
        <w:div w:id="688719709">
          <w:marLeft w:val="640"/>
          <w:marRight w:val="0"/>
          <w:marTop w:val="0"/>
          <w:marBottom w:val="0"/>
          <w:divBdr>
            <w:top w:val="none" w:sz="0" w:space="0" w:color="auto"/>
            <w:left w:val="none" w:sz="0" w:space="0" w:color="auto"/>
            <w:bottom w:val="none" w:sz="0" w:space="0" w:color="auto"/>
            <w:right w:val="none" w:sz="0" w:space="0" w:color="auto"/>
          </w:divBdr>
        </w:div>
        <w:div w:id="1313173198">
          <w:marLeft w:val="640"/>
          <w:marRight w:val="0"/>
          <w:marTop w:val="0"/>
          <w:marBottom w:val="0"/>
          <w:divBdr>
            <w:top w:val="none" w:sz="0" w:space="0" w:color="auto"/>
            <w:left w:val="none" w:sz="0" w:space="0" w:color="auto"/>
            <w:bottom w:val="none" w:sz="0" w:space="0" w:color="auto"/>
            <w:right w:val="none" w:sz="0" w:space="0" w:color="auto"/>
          </w:divBdr>
        </w:div>
        <w:div w:id="1653483668">
          <w:marLeft w:val="640"/>
          <w:marRight w:val="0"/>
          <w:marTop w:val="0"/>
          <w:marBottom w:val="0"/>
          <w:divBdr>
            <w:top w:val="none" w:sz="0" w:space="0" w:color="auto"/>
            <w:left w:val="none" w:sz="0" w:space="0" w:color="auto"/>
            <w:bottom w:val="none" w:sz="0" w:space="0" w:color="auto"/>
            <w:right w:val="none" w:sz="0" w:space="0" w:color="auto"/>
          </w:divBdr>
        </w:div>
        <w:div w:id="556862449">
          <w:marLeft w:val="640"/>
          <w:marRight w:val="0"/>
          <w:marTop w:val="0"/>
          <w:marBottom w:val="0"/>
          <w:divBdr>
            <w:top w:val="none" w:sz="0" w:space="0" w:color="auto"/>
            <w:left w:val="none" w:sz="0" w:space="0" w:color="auto"/>
            <w:bottom w:val="none" w:sz="0" w:space="0" w:color="auto"/>
            <w:right w:val="none" w:sz="0" w:space="0" w:color="auto"/>
          </w:divBdr>
        </w:div>
        <w:div w:id="1472554398">
          <w:marLeft w:val="640"/>
          <w:marRight w:val="0"/>
          <w:marTop w:val="0"/>
          <w:marBottom w:val="0"/>
          <w:divBdr>
            <w:top w:val="none" w:sz="0" w:space="0" w:color="auto"/>
            <w:left w:val="none" w:sz="0" w:space="0" w:color="auto"/>
            <w:bottom w:val="none" w:sz="0" w:space="0" w:color="auto"/>
            <w:right w:val="none" w:sz="0" w:space="0" w:color="auto"/>
          </w:divBdr>
        </w:div>
        <w:div w:id="1119035711">
          <w:marLeft w:val="640"/>
          <w:marRight w:val="0"/>
          <w:marTop w:val="0"/>
          <w:marBottom w:val="0"/>
          <w:divBdr>
            <w:top w:val="none" w:sz="0" w:space="0" w:color="auto"/>
            <w:left w:val="none" w:sz="0" w:space="0" w:color="auto"/>
            <w:bottom w:val="none" w:sz="0" w:space="0" w:color="auto"/>
            <w:right w:val="none" w:sz="0" w:space="0" w:color="auto"/>
          </w:divBdr>
        </w:div>
        <w:div w:id="703019538">
          <w:marLeft w:val="640"/>
          <w:marRight w:val="0"/>
          <w:marTop w:val="0"/>
          <w:marBottom w:val="0"/>
          <w:divBdr>
            <w:top w:val="none" w:sz="0" w:space="0" w:color="auto"/>
            <w:left w:val="none" w:sz="0" w:space="0" w:color="auto"/>
            <w:bottom w:val="none" w:sz="0" w:space="0" w:color="auto"/>
            <w:right w:val="none" w:sz="0" w:space="0" w:color="auto"/>
          </w:divBdr>
        </w:div>
        <w:div w:id="2095317642">
          <w:marLeft w:val="640"/>
          <w:marRight w:val="0"/>
          <w:marTop w:val="0"/>
          <w:marBottom w:val="0"/>
          <w:divBdr>
            <w:top w:val="none" w:sz="0" w:space="0" w:color="auto"/>
            <w:left w:val="none" w:sz="0" w:space="0" w:color="auto"/>
            <w:bottom w:val="none" w:sz="0" w:space="0" w:color="auto"/>
            <w:right w:val="none" w:sz="0" w:space="0" w:color="auto"/>
          </w:divBdr>
        </w:div>
        <w:div w:id="1986543830">
          <w:marLeft w:val="640"/>
          <w:marRight w:val="0"/>
          <w:marTop w:val="0"/>
          <w:marBottom w:val="0"/>
          <w:divBdr>
            <w:top w:val="none" w:sz="0" w:space="0" w:color="auto"/>
            <w:left w:val="none" w:sz="0" w:space="0" w:color="auto"/>
            <w:bottom w:val="none" w:sz="0" w:space="0" w:color="auto"/>
            <w:right w:val="none" w:sz="0" w:space="0" w:color="auto"/>
          </w:divBdr>
        </w:div>
        <w:div w:id="1413550556">
          <w:marLeft w:val="640"/>
          <w:marRight w:val="0"/>
          <w:marTop w:val="0"/>
          <w:marBottom w:val="0"/>
          <w:divBdr>
            <w:top w:val="none" w:sz="0" w:space="0" w:color="auto"/>
            <w:left w:val="none" w:sz="0" w:space="0" w:color="auto"/>
            <w:bottom w:val="none" w:sz="0" w:space="0" w:color="auto"/>
            <w:right w:val="none" w:sz="0" w:space="0" w:color="auto"/>
          </w:divBdr>
        </w:div>
        <w:div w:id="1958028091">
          <w:marLeft w:val="640"/>
          <w:marRight w:val="0"/>
          <w:marTop w:val="0"/>
          <w:marBottom w:val="0"/>
          <w:divBdr>
            <w:top w:val="none" w:sz="0" w:space="0" w:color="auto"/>
            <w:left w:val="none" w:sz="0" w:space="0" w:color="auto"/>
            <w:bottom w:val="none" w:sz="0" w:space="0" w:color="auto"/>
            <w:right w:val="none" w:sz="0" w:space="0" w:color="auto"/>
          </w:divBdr>
        </w:div>
        <w:div w:id="731343629">
          <w:marLeft w:val="640"/>
          <w:marRight w:val="0"/>
          <w:marTop w:val="0"/>
          <w:marBottom w:val="0"/>
          <w:divBdr>
            <w:top w:val="none" w:sz="0" w:space="0" w:color="auto"/>
            <w:left w:val="none" w:sz="0" w:space="0" w:color="auto"/>
            <w:bottom w:val="none" w:sz="0" w:space="0" w:color="auto"/>
            <w:right w:val="none" w:sz="0" w:space="0" w:color="auto"/>
          </w:divBdr>
        </w:div>
        <w:div w:id="49698623">
          <w:marLeft w:val="640"/>
          <w:marRight w:val="0"/>
          <w:marTop w:val="0"/>
          <w:marBottom w:val="0"/>
          <w:divBdr>
            <w:top w:val="none" w:sz="0" w:space="0" w:color="auto"/>
            <w:left w:val="none" w:sz="0" w:space="0" w:color="auto"/>
            <w:bottom w:val="none" w:sz="0" w:space="0" w:color="auto"/>
            <w:right w:val="none" w:sz="0" w:space="0" w:color="auto"/>
          </w:divBdr>
        </w:div>
        <w:div w:id="2097092947">
          <w:marLeft w:val="640"/>
          <w:marRight w:val="0"/>
          <w:marTop w:val="0"/>
          <w:marBottom w:val="0"/>
          <w:divBdr>
            <w:top w:val="none" w:sz="0" w:space="0" w:color="auto"/>
            <w:left w:val="none" w:sz="0" w:space="0" w:color="auto"/>
            <w:bottom w:val="none" w:sz="0" w:space="0" w:color="auto"/>
            <w:right w:val="none" w:sz="0" w:space="0" w:color="auto"/>
          </w:divBdr>
        </w:div>
        <w:div w:id="164591308">
          <w:marLeft w:val="640"/>
          <w:marRight w:val="0"/>
          <w:marTop w:val="0"/>
          <w:marBottom w:val="0"/>
          <w:divBdr>
            <w:top w:val="none" w:sz="0" w:space="0" w:color="auto"/>
            <w:left w:val="none" w:sz="0" w:space="0" w:color="auto"/>
            <w:bottom w:val="none" w:sz="0" w:space="0" w:color="auto"/>
            <w:right w:val="none" w:sz="0" w:space="0" w:color="auto"/>
          </w:divBdr>
        </w:div>
        <w:div w:id="12925324">
          <w:marLeft w:val="640"/>
          <w:marRight w:val="0"/>
          <w:marTop w:val="0"/>
          <w:marBottom w:val="0"/>
          <w:divBdr>
            <w:top w:val="none" w:sz="0" w:space="0" w:color="auto"/>
            <w:left w:val="none" w:sz="0" w:space="0" w:color="auto"/>
            <w:bottom w:val="none" w:sz="0" w:space="0" w:color="auto"/>
            <w:right w:val="none" w:sz="0" w:space="0" w:color="auto"/>
          </w:divBdr>
        </w:div>
        <w:div w:id="292175521">
          <w:marLeft w:val="640"/>
          <w:marRight w:val="0"/>
          <w:marTop w:val="0"/>
          <w:marBottom w:val="0"/>
          <w:divBdr>
            <w:top w:val="none" w:sz="0" w:space="0" w:color="auto"/>
            <w:left w:val="none" w:sz="0" w:space="0" w:color="auto"/>
            <w:bottom w:val="none" w:sz="0" w:space="0" w:color="auto"/>
            <w:right w:val="none" w:sz="0" w:space="0" w:color="auto"/>
          </w:divBdr>
        </w:div>
        <w:div w:id="619529382">
          <w:marLeft w:val="640"/>
          <w:marRight w:val="0"/>
          <w:marTop w:val="0"/>
          <w:marBottom w:val="0"/>
          <w:divBdr>
            <w:top w:val="none" w:sz="0" w:space="0" w:color="auto"/>
            <w:left w:val="none" w:sz="0" w:space="0" w:color="auto"/>
            <w:bottom w:val="none" w:sz="0" w:space="0" w:color="auto"/>
            <w:right w:val="none" w:sz="0" w:space="0" w:color="auto"/>
          </w:divBdr>
        </w:div>
        <w:div w:id="951086855">
          <w:marLeft w:val="640"/>
          <w:marRight w:val="0"/>
          <w:marTop w:val="0"/>
          <w:marBottom w:val="0"/>
          <w:divBdr>
            <w:top w:val="none" w:sz="0" w:space="0" w:color="auto"/>
            <w:left w:val="none" w:sz="0" w:space="0" w:color="auto"/>
            <w:bottom w:val="none" w:sz="0" w:space="0" w:color="auto"/>
            <w:right w:val="none" w:sz="0" w:space="0" w:color="auto"/>
          </w:divBdr>
        </w:div>
        <w:div w:id="1273395978">
          <w:marLeft w:val="640"/>
          <w:marRight w:val="0"/>
          <w:marTop w:val="0"/>
          <w:marBottom w:val="0"/>
          <w:divBdr>
            <w:top w:val="none" w:sz="0" w:space="0" w:color="auto"/>
            <w:left w:val="none" w:sz="0" w:space="0" w:color="auto"/>
            <w:bottom w:val="none" w:sz="0" w:space="0" w:color="auto"/>
            <w:right w:val="none" w:sz="0" w:space="0" w:color="auto"/>
          </w:divBdr>
        </w:div>
        <w:div w:id="1460538637">
          <w:marLeft w:val="640"/>
          <w:marRight w:val="0"/>
          <w:marTop w:val="0"/>
          <w:marBottom w:val="0"/>
          <w:divBdr>
            <w:top w:val="none" w:sz="0" w:space="0" w:color="auto"/>
            <w:left w:val="none" w:sz="0" w:space="0" w:color="auto"/>
            <w:bottom w:val="none" w:sz="0" w:space="0" w:color="auto"/>
            <w:right w:val="none" w:sz="0" w:space="0" w:color="auto"/>
          </w:divBdr>
        </w:div>
        <w:div w:id="1153061091">
          <w:marLeft w:val="640"/>
          <w:marRight w:val="0"/>
          <w:marTop w:val="0"/>
          <w:marBottom w:val="0"/>
          <w:divBdr>
            <w:top w:val="none" w:sz="0" w:space="0" w:color="auto"/>
            <w:left w:val="none" w:sz="0" w:space="0" w:color="auto"/>
            <w:bottom w:val="none" w:sz="0" w:space="0" w:color="auto"/>
            <w:right w:val="none" w:sz="0" w:space="0" w:color="auto"/>
          </w:divBdr>
        </w:div>
        <w:div w:id="1331445640">
          <w:marLeft w:val="640"/>
          <w:marRight w:val="0"/>
          <w:marTop w:val="0"/>
          <w:marBottom w:val="0"/>
          <w:divBdr>
            <w:top w:val="none" w:sz="0" w:space="0" w:color="auto"/>
            <w:left w:val="none" w:sz="0" w:space="0" w:color="auto"/>
            <w:bottom w:val="none" w:sz="0" w:space="0" w:color="auto"/>
            <w:right w:val="none" w:sz="0" w:space="0" w:color="auto"/>
          </w:divBdr>
        </w:div>
        <w:div w:id="404299075">
          <w:marLeft w:val="640"/>
          <w:marRight w:val="0"/>
          <w:marTop w:val="0"/>
          <w:marBottom w:val="0"/>
          <w:divBdr>
            <w:top w:val="none" w:sz="0" w:space="0" w:color="auto"/>
            <w:left w:val="none" w:sz="0" w:space="0" w:color="auto"/>
            <w:bottom w:val="none" w:sz="0" w:space="0" w:color="auto"/>
            <w:right w:val="none" w:sz="0" w:space="0" w:color="auto"/>
          </w:divBdr>
        </w:div>
        <w:div w:id="1401634623">
          <w:marLeft w:val="640"/>
          <w:marRight w:val="0"/>
          <w:marTop w:val="0"/>
          <w:marBottom w:val="0"/>
          <w:divBdr>
            <w:top w:val="none" w:sz="0" w:space="0" w:color="auto"/>
            <w:left w:val="none" w:sz="0" w:space="0" w:color="auto"/>
            <w:bottom w:val="none" w:sz="0" w:space="0" w:color="auto"/>
            <w:right w:val="none" w:sz="0" w:space="0" w:color="auto"/>
          </w:divBdr>
        </w:div>
        <w:div w:id="302275503">
          <w:marLeft w:val="640"/>
          <w:marRight w:val="0"/>
          <w:marTop w:val="0"/>
          <w:marBottom w:val="0"/>
          <w:divBdr>
            <w:top w:val="none" w:sz="0" w:space="0" w:color="auto"/>
            <w:left w:val="none" w:sz="0" w:space="0" w:color="auto"/>
            <w:bottom w:val="none" w:sz="0" w:space="0" w:color="auto"/>
            <w:right w:val="none" w:sz="0" w:space="0" w:color="auto"/>
          </w:divBdr>
        </w:div>
        <w:div w:id="1892230338">
          <w:marLeft w:val="640"/>
          <w:marRight w:val="0"/>
          <w:marTop w:val="0"/>
          <w:marBottom w:val="0"/>
          <w:divBdr>
            <w:top w:val="none" w:sz="0" w:space="0" w:color="auto"/>
            <w:left w:val="none" w:sz="0" w:space="0" w:color="auto"/>
            <w:bottom w:val="none" w:sz="0" w:space="0" w:color="auto"/>
            <w:right w:val="none" w:sz="0" w:space="0" w:color="auto"/>
          </w:divBdr>
        </w:div>
        <w:div w:id="964196892">
          <w:marLeft w:val="640"/>
          <w:marRight w:val="0"/>
          <w:marTop w:val="0"/>
          <w:marBottom w:val="0"/>
          <w:divBdr>
            <w:top w:val="none" w:sz="0" w:space="0" w:color="auto"/>
            <w:left w:val="none" w:sz="0" w:space="0" w:color="auto"/>
            <w:bottom w:val="none" w:sz="0" w:space="0" w:color="auto"/>
            <w:right w:val="none" w:sz="0" w:space="0" w:color="auto"/>
          </w:divBdr>
        </w:div>
        <w:div w:id="603880086">
          <w:marLeft w:val="640"/>
          <w:marRight w:val="0"/>
          <w:marTop w:val="0"/>
          <w:marBottom w:val="0"/>
          <w:divBdr>
            <w:top w:val="none" w:sz="0" w:space="0" w:color="auto"/>
            <w:left w:val="none" w:sz="0" w:space="0" w:color="auto"/>
            <w:bottom w:val="none" w:sz="0" w:space="0" w:color="auto"/>
            <w:right w:val="none" w:sz="0" w:space="0" w:color="auto"/>
          </w:divBdr>
        </w:div>
        <w:div w:id="1391727686">
          <w:marLeft w:val="640"/>
          <w:marRight w:val="0"/>
          <w:marTop w:val="0"/>
          <w:marBottom w:val="0"/>
          <w:divBdr>
            <w:top w:val="none" w:sz="0" w:space="0" w:color="auto"/>
            <w:left w:val="none" w:sz="0" w:space="0" w:color="auto"/>
            <w:bottom w:val="none" w:sz="0" w:space="0" w:color="auto"/>
            <w:right w:val="none" w:sz="0" w:space="0" w:color="auto"/>
          </w:divBdr>
        </w:div>
        <w:div w:id="372773213">
          <w:marLeft w:val="640"/>
          <w:marRight w:val="0"/>
          <w:marTop w:val="0"/>
          <w:marBottom w:val="0"/>
          <w:divBdr>
            <w:top w:val="none" w:sz="0" w:space="0" w:color="auto"/>
            <w:left w:val="none" w:sz="0" w:space="0" w:color="auto"/>
            <w:bottom w:val="none" w:sz="0" w:space="0" w:color="auto"/>
            <w:right w:val="none" w:sz="0" w:space="0" w:color="auto"/>
          </w:divBdr>
        </w:div>
        <w:div w:id="7106530">
          <w:marLeft w:val="640"/>
          <w:marRight w:val="0"/>
          <w:marTop w:val="0"/>
          <w:marBottom w:val="0"/>
          <w:divBdr>
            <w:top w:val="none" w:sz="0" w:space="0" w:color="auto"/>
            <w:left w:val="none" w:sz="0" w:space="0" w:color="auto"/>
            <w:bottom w:val="none" w:sz="0" w:space="0" w:color="auto"/>
            <w:right w:val="none" w:sz="0" w:space="0" w:color="auto"/>
          </w:divBdr>
        </w:div>
        <w:div w:id="602884821">
          <w:marLeft w:val="640"/>
          <w:marRight w:val="0"/>
          <w:marTop w:val="0"/>
          <w:marBottom w:val="0"/>
          <w:divBdr>
            <w:top w:val="none" w:sz="0" w:space="0" w:color="auto"/>
            <w:left w:val="none" w:sz="0" w:space="0" w:color="auto"/>
            <w:bottom w:val="none" w:sz="0" w:space="0" w:color="auto"/>
            <w:right w:val="none" w:sz="0" w:space="0" w:color="auto"/>
          </w:divBdr>
        </w:div>
        <w:div w:id="2117947286">
          <w:marLeft w:val="640"/>
          <w:marRight w:val="0"/>
          <w:marTop w:val="0"/>
          <w:marBottom w:val="0"/>
          <w:divBdr>
            <w:top w:val="none" w:sz="0" w:space="0" w:color="auto"/>
            <w:left w:val="none" w:sz="0" w:space="0" w:color="auto"/>
            <w:bottom w:val="none" w:sz="0" w:space="0" w:color="auto"/>
            <w:right w:val="none" w:sz="0" w:space="0" w:color="auto"/>
          </w:divBdr>
        </w:div>
        <w:div w:id="379715763">
          <w:marLeft w:val="640"/>
          <w:marRight w:val="0"/>
          <w:marTop w:val="0"/>
          <w:marBottom w:val="0"/>
          <w:divBdr>
            <w:top w:val="none" w:sz="0" w:space="0" w:color="auto"/>
            <w:left w:val="none" w:sz="0" w:space="0" w:color="auto"/>
            <w:bottom w:val="none" w:sz="0" w:space="0" w:color="auto"/>
            <w:right w:val="none" w:sz="0" w:space="0" w:color="auto"/>
          </w:divBdr>
        </w:div>
        <w:div w:id="645165257">
          <w:marLeft w:val="640"/>
          <w:marRight w:val="0"/>
          <w:marTop w:val="0"/>
          <w:marBottom w:val="0"/>
          <w:divBdr>
            <w:top w:val="none" w:sz="0" w:space="0" w:color="auto"/>
            <w:left w:val="none" w:sz="0" w:space="0" w:color="auto"/>
            <w:bottom w:val="none" w:sz="0" w:space="0" w:color="auto"/>
            <w:right w:val="none" w:sz="0" w:space="0" w:color="auto"/>
          </w:divBdr>
        </w:div>
        <w:div w:id="631793602">
          <w:marLeft w:val="640"/>
          <w:marRight w:val="0"/>
          <w:marTop w:val="0"/>
          <w:marBottom w:val="0"/>
          <w:divBdr>
            <w:top w:val="none" w:sz="0" w:space="0" w:color="auto"/>
            <w:left w:val="none" w:sz="0" w:space="0" w:color="auto"/>
            <w:bottom w:val="none" w:sz="0" w:space="0" w:color="auto"/>
            <w:right w:val="none" w:sz="0" w:space="0" w:color="auto"/>
          </w:divBdr>
        </w:div>
        <w:div w:id="70081970">
          <w:marLeft w:val="640"/>
          <w:marRight w:val="0"/>
          <w:marTop w:val="0"/>
          <w:marBottom w:val="0"/>
          <w:divBdr>
            <w:top w:val="none" w:sz="0" w:space="0" w:color="auto"/>
            <w:left w:val="none" w:sz="0" w:space="0" w:color="auto"/>
            <w:bottom w:val="none" w:sz="0" w:space="0" w:color="auto"/>
            <w:right w:val="none" w:sz="0" w:space="0" w:color="auto"/>
          </w:divBdr>
        </w:div>
        <w:div w:id="557211394">
          <w:marLeft w:val="640"/>
          <w:marRight w:val="0"/>
          <w:marTop w:val="0"/>
          <w:marBottom w:val="0"/>
          <w:divBdr>
            <w:top w:val="none" w:sz="0" w:space="0" w:color="auto"/>
            <w:left w:val="none" w:sz="0" w:space="0" w:color="auto"/>
            <w:bottom w:val="none" w:sz="0" w:space="0" w:color="auto"/>
            <w:right w:val="none" w:sz="0" w:space="0" w:color="auto"/>
          </w:divBdr>
        </w:div>
        <w:div w:id="1342197289">
          <w:marLeft w:val="640"/>
          <w:marRight w:val="0"/>
          <w:marTop w:val="0"/>
          <w:marBottom w:val="0"/>
          <w:divBdr>
            <w:top w:val="none" w:sz="0" w:space="0" w:color="auto"/>
            <w:left w:val="none" w:sz="0" w:space="0" w:color="auto"/>
            <w:bottom w:val="none" w:sz="0" w:space="0" w:color="auto"/>
            <w:right w:val="none" w:sz="0" w:space="0" w:color="auto"/>
          </w:divBdr>
        </w:div>
        <w:div w:id="54820218">
          <w:marLeft w:val="640"/>
          <w:marRight w:val="0"/>
          <w:marTop w:val="0"/>
          <w:marBottom w:val="0"/>
          <w:divBdr>
            <w:top w:val="none" w:sz="0" w:space="0" w:color="auto"/>
            <w:left w:val="none" w:sz="0" w:space="0" w:color="auto"/>
            <w:bottom w:val="none" w:sz="0" w:space="0" w:color="auto"/>
            <w:right w:val="none" w:sz="0" w:space="0" w:color="auto"/>
          </w:divBdr>
        </w:div>
        <w:div w:id="135296984">
          <w:marLeft w:val="640"/>
          <w:marRight w:val="0"/>
          <w:marTop w:val="0"/>
          <w:marBottom w:val="0"/>
          <w:divBdr>
            <w:top w:val="none" w:sz="0" w:space="0" w:color="auto"/>
            <w:left w:val="none" w:sz="0" w:space="0" w:color="auto"/>
            <w:bottom w:val="none" w:sz="0" w:space="0" w:color="auto"/>
            <w:right w:val="none" w:sz="0" w:space="0" w:color="auto"/>
          </w:divBdr>
        </w:div>
        <w:div w:id="402483117">
          <w:marLeft w:val="640"/>
          <w:marRight w:val="0"/>
          <w:marTop w:val="0"/>
          <w:marBottom w:val="0"/>
          <w:divBdr>
            <w:top w:val="none" w:sz="0" w:space="0" w:color="auto"/>
            <w:left w:val="none" w:sz="0" w:space="0" w:color="auto"/>
            <w:bottom w:val="none" w:sz="0" w:space="0" w:color="auto"/>
            <w:right w:val="none" w:sz="0" w:space="0" w:color="auto"/>
          </w:divBdr>
        </w:div>
        <w:div w:id="1051925106">
          <w:marLeft w:val="640"/>
          <w:marRight w:val="0"/>
          <w:marTop w:val="0"/>
          <w:marBottom w:val="0"/>
          <w:divBdr>
            <w:top w:val="none" w:sz="0" w:space="0" w:color="auto"/>
            <w:left w:val="none" w:sz="0" w:space="0" w:color="auto"/>
            <w:bottom w:val="none" w:sz="0" w:space="0" w:color="auto"/>
            <w:right w:val="none" w:sz="0" w:space="0" w:color="auto"/>
          </w:divBdr>
        </w:div>
        <w:div w:id="1850748818">
          <w:marLeft w:val="640"/>
          <w:marRight w:val="0"/>
          <w:marTop w:val="0"/>
          <w:marBottom w:val="0"/>
          <w:divBdr>
            <w:top w:val="none" w:sz="0" w:space="0" w:color="auto"/>
            <w:left w:val="none" w:sz="0" w:space="0" w:color="auto"/>
            <w:bottom w:val="none" w:sz="0" w:space="0" w:color="auto"/>
            <w:right w:val="none" w:sz="0" w:space="0" w:color="auto"/>
          </w:divBdr>
        </w:div>
        <w:div w:id="792669800">
          <w:marLeft w:val="640"/>
          <w:marRight w:val="0"/>
          <w:marTop w:val="0"/>
          <w:marBottom w:val="0"/>
          <w:divBdr>
            <w:top w:val="none" w:sz="0" w:space="0" w:color="auto"/>
            <w:left w:val="none" w:sz="0" w:space="0" w:color="auto"/>
            <w:bottom w:val="none" w:sz="0" w:space="0" w:color="auto"/>
            <w:right w:val="none" w:sz="0" w:space="0" w:color="auto"/>
          </w:divBdr>
        </w:div>
        <w:div w:id="1516725910">
          <w:marLeft w:val="640"/>
          <w:marRight w:val="0"/>
          <w:marTop w:val="0"/>
          <w:marBottom w:val="0"/>
          <w:divBdr>
            <w:top w:val="none" w:sz="0" w:space="0" w:color="auto"/>
            <w:left w:val="none" w:sz="0" w:space="0" w:color="auto"/>
            <w:bottom w:val="none" w:sz="0" w:space="0" w:color="auto"/>
            <w:right w:val="none" w:sz="0" w:space="0" w:color="auto"/>
          </w:divBdr>
        </w:div>
        <w:div w:id="234972649">
          <w:marLeft w:val="640"/>
          <w:marRight w:val="0"/>
          <w:marTop w:val="0"/>
          <w:marBottom w:val="0"/>
          <w:divBdr>
            <w:top w:val="none" w:sz="0" w:space="0" w:color="auto"/>
            <w:left w:val="none" w:sz="0" w:space="0" w:color="auto"/>
            <w:bottom w:val="none" w:sz="0" w:space="0" w:color="auto"/>
            <w:right w:val="none" w:sz="0" w:space="0" w:color="auto"/>
          </w:divBdr>
        </w:div>
        <w:div w:id="17661813">
          <w:marLeft w:val="640"/>
          <w:marRight w:val="0"/>
          <w:marTop w:val="0"/>
          <w:marBottom w:val="0"/>
          <w:divBdr>
            <w:top w:val="none" w:sz="0" w:space="0" w:color="auto"/>
            <w:left w:val="none" w:sz="0" w:space="0" w:color="auto"/>
            <w:bottom w:val="none" w:sz="0" w:space="0" w:color="auto"/>
            <w:right w:val="none" w:sz="0" w:space="0" w:color="auto"/>
          </w:divBdr>
        </w:div>
        <w:div w:id="1989626473">
          <w:marLeft w:val="640"/>
          <w:marRight w:val="0"/>
          <w:marTop w:val="0"/>
          <w:marBottom w:val="0"/>
          <w:divBdr>
            <w:top w:val="none" w:sz="0" w:space="0" w:color="auto"/>
            <w:left w:val="none" w:sz="0" w:space="0" w:color="auto"/>
            <w:bottom w:val="none" w:sz="0" w:space="0" w:color="auto"/>
            <w:right w:val="none" w:sz="0" w:space="0" w:color="auto"/>
          </w:divBdr>
        </w:div>
      </w:divsChild>
    </w:div>
    <w:div w:id="276067915">
      <w:bodyDiv w:val="1"/>
      <w:marLeft w:val="0"/>
      <w:marRight w:val="0"/>
      <w:marTop w:val="0"/>
      <w:marBottom w:val="0"/>
      <w:divBdr>
        <w:top w:val="none" w:sz="0" w:space="0" w:color="auto"/>
        <w:left w:val="none" w:sz="0" w:space="0" w:color="auto"/>
        <w:bottom w:val="none" w:sz="0" w:space="0" w:color="auto"/>
        <w:right w:val="none" w:sz="0" w:space="0" w:color="auto"/>
      </w:divBdr>
      <w:divsChild>
        <w:div w:id="406733221">
          <w:marLeft w:val="640"/>
          <w:marRight w:val="0"/>
          <w:marTop w:val="0"/>
          <w:marBottom w:val="0"/>
          <w:divBdr>
            <w:top w:val="none" w:sz="0" w:space="0" w:color="auto"/>
            <w:left w:val="none" w:sz="0" w:space="0" w:color="auto"/>
            <w:bottom w:val="none" w:sz="0" w:space="0" w:color="auto"/>
            <w:right w:val="none" w:sz="0" w:space="0" w:color="auto"/>
          </w:divBdr>
        </w:div>
        <w:div w:id="156960444">
          <w:marLeft w:val="640"/>
          <w:marRight w:val="0"/>
          <w:marTop w:val="0"/>
          <w:marBottom w:val="0"/>
          <w:divBdr>
            <w:top w:val="none" w:sz="0" w:space="0" w:color="auto"/>
            <w:left w:val="none" w:sz="0" w:space="0" w:color="auto"/>
            <w:bottom w:val="none" w:sz="0" w:space="0" w:color="auto"/>
            <w:right w:val="none" w:sz="0" w:space="0" w:color="auto"/>
          </w:divBdr>
        </w:div>
        <w:div w:id="702831038">
          <w:marLeft w:val="640"/>
          <w:marRight w:val="0"/>
          <w:marTop w:val="0"/>
          <w:marBottom w:val="0"/>
          <w:divBdr>
            <w:top w:val="none" w:sz="0" w:space="0" w:color="auto"/>
            <w:left w:val="none" w:sz="0" w:space="0" w:color="auto"/>
            <w:bottom w:val="none" w:sz="0" w:space="0" w:color="auto"/>
            <w:right w:val="none" w:sz="0" w:space="0" w:color="auto"/>
          </w:divBdr>
        </w:div>
        <w:div w:id="1462504307">
          <w:marLeft w:val="640"/>
          <w:marRight w:val="0"/>
          <w:marTop w:val="0"/>
          <w:marBottom w:val="0"/>
          <w:divBdr>
            <w:top w:val="none" w:sz="0" w:space="0" w:color="auto"/>
            <w:left w:val="none" w:sz="0" w:space="0" w:color="auto"/>
            <w:bottom w:val="none" w:sz="0" w:space="0" w:color="auto"/>
            <w:right w:val="none" w:sz="0" w:space="0" w:color="auto"/>
          </w:divBdr>
        </w:div>
        <w:div w:id="2146775049">
          <w:marLeft w:val="640"/>
          <w:marRight w:val="0"/>
          <w:marTop w:val="0"/>
          <w:marBottom w:val="0"/>
          <w:divBdr>
            <w:top w:val="none" w:sz="0" w:space="0" w:color="auto"/>
            <w:left w:val="none" w:sz="0" w:space="0" w:color="auto"/>
            <w:bottom w:val="none" w:sz="0" w:space="0" w:color="auto"/>
            <w:right w:val="none" w:sz="0" w:space="0" w:color="auto"/>
          </w:divBdr>
        </w:div>
        <w:div w:id="1818036678">
          <w:marLeft w:val="640"/>
          <w:marRight w:val="0"/>
          <w:marTop w:val="0"/>
          <w:marBottom w:val="0"/>
          <w:divBdr>
            <w:top w:val="none" w:sz="0" w:space="0" w:color="auto"/>
            <w:left w:val="none" w:sz="0" w:space="0" w:color="auto"/>
            <w:bottom w:val="none" w:sz="0" w:space="0" w:color="auto"/>
            <w:right w:val="none" w:sz="0" w:space="0" w:color="auto"/>
          </w:divBdr>
        </w:div>
        <w:div w:id="1736930508">
          <w:marLeft w:val="640"/>
          <w:marRight w:val="0"/>
          <w:marTop w:val="0"/>
          <w:marBottom w:val="0"/>
          <w:divBdr>
            <w:top w:val="none" w:sz="0" w:space="0" w:color="auto"/>
            <w:left w:val="none" w:sz="0" w:space="0" w:color="auto"/>
            <w:bottom w:val="none" w:sz="0" w:space="0" w:color="auto"/>
            <w:right w:val="none" w:sz="0" w:space="0" w:color="auto"/>
          </w:divBdr>
        </w:div>
        <w:div w:id="1385330125">
          <w:marLeft w:val="640"/>
          <w:marRight w:val="0"/>
          <w:marTop w:val="0"/>
          <w:marBottom w:val="0"/>
          <w:divBdr>
            <w:top w:val="none" w:sz="0" w:space="0" w:color="auto"/>
            <w:left w:val="none" w:sz="0" w:space="0" w:color="auto"/>
            <w:bottom w:val="none" w:sz="0" w:space="0" w:color="auto"/>
            <w:right w:val="none" w:sz="0" w:space="0" w:color="auto"/>
          </w:divBdr>
        </w:div>
        <w:div w:id="86539827">
          <w:marLeft w:val="640"/>
          <w:marRight w:val="0"/>
          <w:marTop w:val="0"/>
          <w:marBottom w:val="0"/>
          <w:divBdr>
            <w:top w:val="none" w:sz="0" w:space="0" w:color="auto"/>
            <w:left w:val="none" w:sz="0" w:space="0" w:color="auto"/>
            <w:bottom w:val="none" w:sz="0" w:space="0" w:color="auto"/>
            <w:right w:val="none" w:sz="0" w:space="0" w:color="auto"/>
          </w:divBdr>
        </w:div>
        <w:div w:id="796535003">
          <w:marLeft w:val="640"/>
          <w:marRight w:val="0"/>
          <w:marTop w:val="0"/>
          <w:marBottom w:val="0"/>
          <w:divBdr>
            <w:top w:val="none" w:sz="0" w:space="0" w:color="auto"/>
            <w:left w:val="none" w:sz="0" w:space="0" w:color="auto"/>
            <w:bottom w:val="none" w:sz="0" w:space="0" w:color="auto"/>
            <w:right w:val="none" w:sz="0" w:space="0" w:color="auto"/>
          </w:divBdr>
        </w:div>
        <w:div w:id="1557669202">
          <w:marLeft w:val="640"/>
          <w:marRight w:val="0"/>
          <w:marTop w:val="0"/>
          <w:marBottom w:val="0"/>
          <w:divBdr>
            <w:top w:val="none" w:sz="0" w:space="0" w:color="auto"/>
            <w:left w:val="none" w:sz="0" w:space="0" w:color="auto"/>
            <w:bottom w:val="none" w:sz="0" w:space="0" w:color="auto"/>
            <w:right w:val="none" w:sz="0" w:space="0" w:color="auto"/>
          </w:divBdr>
        </w:div>
        <w:div w:id="153306592">
          <w:marLeft w:val="640"/>
          <w:marRight w:val="0"/>
          <w:marTop w:val="0"/>
          <w:marBottom w:val="0"/>
          <w:divBdr>
            <w:top w:val="none" w:sz="0" w:space="0" w:color="auto"/>
            <w:left w:val="none" w:sz="0" w:space="0" w:color="auto"/>
            <w:bottom w:val="none" w:sz="0" w:space="0" w:color="auto"/>
            <w:right w:val="none" w:sz="0" w:space="0" w:color="auto"/>
          </w:divBdr>
        </w:div>
        <w:div w:id="822239151">
          <w:marLeft w:val="640"/>
          <w:marRight w:val="0"/>
          <w:marTop w:val="0"/>
          <w:marBottom w:val="0"/>
          <w:divBdr>
            <w:top w:val="none" w:sz="0" w:space="0" w:color="auto"/>
            <w:left w:val="none" w:sz="0" w:space="0" w:color="auto"/>
            <w:bottom w:val="none" w:sz="0" w:space="0" w:color="auto"/>
            <w:right w:val="none" w:sz="0" w:space="0" w:color="auto"/>
          </w:divBdr>
        </w:div>
        <w:div w:id="857160060">
          <w:marLeft w:val="640"/>
          <w:marRight w:val="0"/>
          <w:marTop w:val="0"/>
          <w:marBottom w:val="0"/>
          <w:divBdr>
            <w:top w:val="none" w:sz="0" w:space="0" w:color="auto"/>
            <w:left w:val="none" w:sz="0" w:space="0" w:color="auto"/>
            <w:bottom w:val="none" w:sz="0" w:space="0" w:color="auto"/>
            <w:right w:val="none" w:sz="0" w:space="0" w:color="auto"/>
          </w:divBdr>
        </w:div>
        <w:div w:id="120463284">
          <w:marLeft w:val="640"/>
          <w:marRight w:val="0"/>
          <w:marTop w:val="0"/>
          <w:marBottom w:val="0"/>
          <w:divBdr>
            <w:top w:val="none" w:sz="0" w:space="0" w:color="auto"/>
            <w:left w:val="none" w:sz="0" w:space="0" w:color="auto"/>
            <w:bottom w:val="none" w:sz="0" w:space="0" w:color="auto"/>
            <w:right w:val="none" w:sz="0" w:space="0" w:color="auto"/>
          </w:divBdr>
        </w:div>
        <w:div w:id="1496264017">
          <w:marLeft w:val="640"/>
          <w:marRight w:val="0"/>
          <w:marTop w:val="0"/>
          <w:marBottom w:val="0"/>
          <w:divBdr>
            <w:top w:val="none" w:sz="0" w:space="0" w:color="auto"/>
            <w:left w:val="none" w:sz="0" w:space="0" w:color="auto"/>
            <w:bottom w:val="none" w:sz="0" w:space="0" w:color="auto"/>
            <w:right w:val="none" w:sz="0" w:space="0" w:color="auto"/>
          </w:divBdr>
        </w:div>
        <w:div w:id="1395082450">
          <w:marLeft w:val="640"/>
          <w:marRight w:val="0"/>
          <w:marTop w:val="0"/>
          <w:marBottom w:val="0"/>
          <w:divBdr>
            <w:top w:val="none" w:sz="0" w:space="0" w:color="auto"/>
            <w:left w:val="none" w:sz="0" w:space="0" w:color="auto"/>
            <w:bottom w:val="none" w:sz="0" w:space="0" w:color="auto"/>
            <w:right w:val="none" w:sz="0" w:space="0" w:color="auto"/>
          </w:divBdr>
        </w:div>
        <w:div w:id="1067337182">
          <w:marLeft w:val="640"/>
          <w:marRight w:val="0"/>
          <w:marTop w:val="0"/>
          <w:marBottom w:val="0"/>
          <w:divBdr>
            <w:top w:val="none" w:sz="0" w:space="0" w:color="auto"/>
            <w:left w:val="none" w:sz="0" w:space="0" w:color="auto"/>
            <w:bottom w:val="none" w:sz="0" w:space="0" w:color="auto"/>
            <w:right w:val="none" w:sz="0" w:space="0" w:color="auto"/>
          </w:divBdr>
        </w:div>
        <w:div w:id="869301391">
          <w:marLeft w:val="640"/>
          <w:marRight w:val="0"/>
          <w:marTop w:val="0"/>
          <w:marBottom w:val="0"/>
          <w:divBdr>
            <w:top w:val="none" w:sz="0" w:space="0" w:color="auto"/>
            <w:left w:val="none" w:sz="0" w:space="0" w:color="auto"/>
            <w:bottom w:val="none" w:sz="0" w:space="0" w:color="auto"/>
            <w:right w:val="none" w:sz="0" w:space="0" w:color="auto"/>
          </w:divBdr>
        </w:div>
        <w:div w:id="198978926">
          <w:marLeft w:val="640"/>
          <w:marRight w:val="0"/>
          <w:marTop w:val="0"/>
          <w:marBottom w:val="0"/>
          <w:divBdr>
            <w:top w:val="none" w:sz="0" w:space="0" w:color="auto"/>
            <w:left w:val="none" w:sz="0" w:space="0" w:color="auto"/>
            <w:bottom w:val="none" w:sz="0" w:space="0" w:color="auto"/>
            <w:right w:val="none" w:sz="0" w:space="0" w:color="auto"/>
          </w:divBdr>
        </w:div>
        <w:div w:id="2102217137">
          <w:marLeft w:val="640"/>
          <w:marRight w:val="0"/>
          <w:marTop w:val="0"/>
          <w:marBottom w:val="0"/>
          <w:divBdr>
            <w:top w:val="none" w:sz="0" w:space="0" w:color="auto"/>
            <w:left w:val="none" w:sz="0" w:space="0" w:color="auto"/>
            <w:bottom w:val="none" w:sz="0" w:space="0" w:color="auto"/>
            <w:right w:val="none" w:sz="0" w:space="0" w:color="auto"/>
          </w:divBdr>
        </w:div>
        <w:div w:id="643584377">
          <w:marLeft w:val="640"/>
          <w:marRight w:val="0"/>
          <w:marTop w:val="0"/>
          <w:marBottom w:val="0"/>
          <w:divBdr>
            <w:top w:val="none" w:sz="0" w:space="0" w:color="auto"/>
            <w:left w:val="none" w:sz="0" w:space="0" w:color="auto"/>
            <w:bottom w:val="none" w:sz="0" w:space="0" w:color="auto"/>
            <w:right w:val="none" w:sz="0" w:space="0" w:color="auto"/>
          </w:divBdr>
        </w:div>
        <w:div w:id="1867788456">
          <w:marLeft w:val="640"/>
          <w:marRight w:val="0"/>
          <w:marTop w:val="0"/>
          <w:marBottom w:val="0"/>
          <w:divBdr>
            <w:top w:val="none" w:sz="0" w:space="0" w:color="auto"/>
            <w:left w:val="none" w:sz="0" w:space="0" w:color="auto"/>
            <w:bottom w:val="none" w:sz="0" w:space="0" w:color="auto"/>
            <w:right w:val="none" w:sz="0" w:space="0" w:color="auto"/>
          </w:divBdr>
        </w:div>
        <w:div w:id="891814904">
          <w:marLeft w:val="640"/>
          <w:marRight w:val="0"/>
          <w:marTop w:val="0"/>
          <w:marBottom w:val="0"/>
          <w:divBdr>
            <w:top w:val="none" w:sz="0" w:space="0" w:color="auto"/>
            <w:left w:val="none" w:sz="0" w:space="0" w:color="auto"/>
            <w:bottom w:val="none" w:sz="0" w:space="0" w:color="auto"/>
            <w:right w:val="none" w:sz="0" w:space="0" w:color="auto"/>
          </w:divBdr>
        </w:div>
        <w:div w:id="2122218227">
          <w:marLeft w:val="640"/>
          <w:marRight w:val="0"/>
          <w:marTop w:val="0"/>
          <w:marBottom w:val="0"/>
          <w:divBdr>
            <w:top w:val="none" w:sz="0" w:space="0" w:color="auto"/>
            <w:left w:val="none" w:sz="0" w:space="0" w:color="auto"/>
            <w:bottom w:val="none" w:sz="0" w:space="0" w:color="auto"/>
            <w:right w:val="none" w:sz="0" w:space="0" w:color="auto"/>
          </w:divBdr>
        </w:div>
        <w:div w:id="1801653762">
          <w:marLeft w:val="640"/>
          <w:marRight w:val="0"/>
          <w:marTop w:val="0"/>
          <w:marBottom w:val="0"/>
          <w:divBdr>
            <w:top w:val="none" w:sz="0" w:space="0" w:color="auto"/>
            <w:left w:val="none" w:sz="0" w:space="0" w:color="auto"/>
            <w:bottom w:val="none" w:sz="0" w:space="0" w:color="auto"/>
            <w:right w:val="none" w:sz="0" w:space="0" w:color="auto"/>
          </w:divBdr>
        </w:div>
        <w:div w:id="1277758487">
          <w:marLeft w:val="640"/>
          <w:marRight w:val="0"/>
          <w:marTop w:val="0"/>
          <w:marBottom w:val="0"/>
          <w:divBdr>
            <w:top w:val="none" w:sz="0" w:space="0" w:color="auto"/>
            <w:left w:val="none" w:sz="0" w:space="0" w:color="auto"/>
            <w:bottom w:val="none" w:sz="0" w:space="0" w:color="auto"/>
            <w:right w:val="none" w:sz="0" w:space="0" w:color="auto"/>
          </w:divBdr>
        </w:div>
        <w:div w:id="759060565">
          <w:marLeft w:val="640"/>
          <w:marRight w:val="0"/>
          <w:marTop w:val="0"/>
          <w:marBottom w:val="0"/>
          <w:divBdr>
            <w:top w:val="none" w:sz="0" w:space="0" w:color="auto"/>
            <w:left w:val="none" w:sz="0" w:space="0" w:color="auto"/>
            <w:bottom w:val="none" w:sz="0" w:space="0" w:color="auto"/>
            <w:right w:val="none" w:sz="0" w:space="0" w:color="auto"/>
          </w:divBdr>
        </w:div>
        <w:div w:id="291205576">
          <w:marLeft w:val="640"/>
          <w:marRight w:val="0"/>
          <w:marTop w:val="0"/>
          <w:marBottom w:val="0"/>
          <w:divBdr>
            <w:top w:val="none" w:sz="0" w:space="0" w:color="auto"/>
            <w:left w:val="none" w:sz="0" w:space="0" w:color="auto"/>
            <w:bottom w:val="none" w:sz="0" w:space="0" w:color="auto"/>
            <w:right w:val="none" w:sz="0" w:space="0" w:color="auto"/>
          </w:divBdr>
        </w:div>
        <w:div w:id="1109398856">
          <w:marLeft w:val="640"/>
          <w:marRight w:val="0"/>
          <w:marTop w:val="0"/>
          <w:marBottom w:val="0"/>
          <w:divBdr>
            <w:top w:val="none" w:sz="0" w:space="0" w:color="auto"/>
            <w:left w:val="none" w:sz="0" w:space="0" w:color="auto"/>
            <w:bottom w:val="none" w:sz="0" w:space="0" w:color="auto"/>
            <w:right w:val="none" w:sz="0" w:space="0" w:color="auto"/>
          </w:divBdr>
        </w:div>
        <w:div w:id="90203582">
          <w:marLeft w:val="640"/>
          <w:marRight w:val="0"/>
          <w:marTop w:val="0"/>
          <w:marBottom w:val="0"/>
          <w:divBdr>
            <w:top w:val="none" w:sz="0" w:space="0" w:color="auto"/>
            <w:left w:val="none" w:sz="0" w:space="0" w:color="auto"/>
            <w:bottom w:val="none" w:sz="0" w:space="0" w:color="auto"/>
            <w:right w:val="none" w:sz="0" w:space="0" w:color="auto"/>
          </w:divBdr>
        </w:div>
        <w:div w:id="2067096190">
          <w:marLeft w:val="640"/>
          <w:marRight w:val="0"/>
          <w:marTop w:val="0"/>
          <w:marBottom w:val="0"/>
          <w:divBdr>
            <w:top w:val="none" w:sz="0" w:space="0" w:color="auto"/>
            <w:left w:val="none" w:sz="0" w:space="0" w:color="auto"/>
            <w:bottom w:val="none" w:sz="0" w:space="0" w:color="auto"/>
            <w:right w:val="none" w:sz="0" w:space="0" w:color="auto"/>
          </w:divBdr>
        </w:div>
        <w:div w:id="778376419">
          <w:marLeft w:val="640"/>
          <w:marRight w:val="0"/>
          <w:marTop w:val="0"/>
          <w:marBottom w:val="0"/>
          <w:divBdr>
            <w:top w:val="none" w:sz="0" w:space="0" w:color="auto"/>
            <w:left w:val="none" w:sz="0" w:space="0" w:color="auto"/>
            <w:bottom w:val="none" w:sz="0" w:space="0" w:color="auto"/>
            <w:right w:val="none" w:sz="0" w:space="0" w:color="auto"/>
          </w:divBdr>
        </w:div>
        <w:div w:id="425656385">
          <w:marLeft w:val="640"/>
          <w:marRight w:val="0"/>
          <w:marTop w:val="0"/>
          <w:marBottom w:val="0"/>
          <w:divBdr>
            <w:top w:val="none" w:sz="0" w:space="0" w:color="auto"/>
            <w:left w:val="none" w:sz="0" w:space="0" w:color="auto"/>
            <w:bottom w:val="none" w:sz="0" w:space="0" w:color="auto"/>
            <w:right w:val="none" w:sz="0" w:space="0" w:color="auto"/>
          </w:divBdr>
        </w:div>
        <w:div w:id="2125728088">
          <w:marLeft w:val="640"/>
          <w:marRight w:val="0"/>
          <w:marTop w:val="0"/>
          <w:marBottom w:val="0"/>
          <w:divBdr>
            <w:top w:val="none" w:sz="0" w:space="0" w:color="auto"/>
            <w:left w:val="none" w:sz="0" w:space="0" w:color="auto"/>
            <w:bottom w:val="none" w:sz="0" w:space="0" w:color="auto"/>
            <w:right w:val="none" w:sz="0" w:space="0" w:color="auto"/>
          </w:divBdr>
        </w:div>
        <w:div w:id="552352927">
          <w:marLeft w:val="640"/>
          <w:marRight w:val="0"/>
          <w:marTop w:val="0"/>
          <w:marBottom w:val="0"/>
          <w:divBdr>
            <w:top w:val="none" w:sz="0" w:space="0" w:color="auto"/>
            <w:left w:val="none" w:sz="0" w:space="0" w:color="auto"/>
            <w:bottom w:val="none" w:sz="0" w:space="0" w:color="auto"/>
            <w:right w:val="none" w:sz="0" w:space="0" w:color="auto"/>
          </w:divBdr>
        </w:div>
        <w:div w:id="317661117">
          <w:marLeft w:val="640"/>
          <w:marRight w:val="0"/>
          <w:marTop w:val="0"/>
          <w:marBottom w:val="0"/>
          <w:divBdr>
            <w:top w:val="none" w:sz="0" w:space="0" w:color="auto"/>
            <w:left w:val="none" w:sz="0" w:space="0" w:color="auto"/>
            <w:bottom w:val="none" w:sz="0" w:space="0" w:color="auto"/>
            <w:right w:val="none" w:sz="0" w:space="0" w:color="auto"/>
          </w:divBdr>
        </w:div>
        <w:div w:id="1097864610">
          <w:marLeft w:val="640"/>
          <w:marRight w:val="0"/>
          <w:marTop w:val="0"/>
          <w:marBottom w:val="0"/>
          <w:divBdr>
            <w:top w:val="none" w:sz="0" w:space="0" w:color="auto"/>
            <w:left w:val="none" w:sz="0" w:space="0" w:color="auto"/>
            <w:bottom w:val="none" w:sz="0" w:space="0" w:color="auto"/>
            <w:right w:val="none" w:sz="0" w:space="0" w:color="auto"/>
          </w:divBdr>
        </w:div>
        <w:div w:id="1614484253">
          <w:marLeft w:val="640"/>
          <w:marRight w:val="0"/>
          <w:marTop w:val="0"/>
          <w:marBottom w:val="0"/>
          <w:divBdr>
            <w:top w:val="none" w:sz="0" w:space="0" w:color="auto"/>
            <w:left w:val="none" w:sz="0" w:space="0" w:color="auto"/>
            <w:bottom w:val="none" w:sz="0" w:space="0" w:color="auto"/>
            <w:right w:val="none" w:sz="0" w:space="0" w:color="auto"/>
          </w:divBdr>
        </w:div>
        <w:div w:id="983126665">
          <w:marLeft w:val="640"/>
          <w:marRight w:val="0"/>
          <w:marTop w:val="0"/>
          <w:marBottom w:val="0"/>
          <w:divBdr>
            <w:top w:val="none" w:sz="0" w:space="0" w:color="auto"/>
            <w:left w:val="none" w:sz="0" w:space="0" w:color="auto"/>
            <w:bottom w:val="none" w:sz="0" w:space="0" w:color="auto"/>
            <w:right w:val="none" w:sz="0" w:space="0" w:color="auto"/>
          </w:divBdr>
        </w:div>
        <w:div w:id="1764496291">
          <w:marLeft w:val="640"/>
          <w:marRight w:val="0"/>
          <w:marTop w:val="0"/>
          <w:marBottom w:val="0"/>
          <w:divBdr>
            <w:top w:val="none" w:sz="0" w:space="0" w:color="auto"/>
            <w:left w:val="none" w:sz="0" w:space="0" w:color="auto"/>
            <w:bottom w:val="none" w:sz="0" w:space="0" w:color="auto"/>
            <w:right w:val="none" w:sz="0" w:space="0" w:color="auto"/>
          </w:divBdr>
        </w:div>
        <w:div w:id="1147816815">
          <w:marLeft w:val="640"/>
          <w:marRight w:val="0"/>
          <w:marTop w:val="0"/>
          <w:marBottom w:val="0"/>
          <w:divBdr>
            <w:top w:val="none" w:sz="0" w:space="0" w:color="auto"/>
            <w:left w:val="none" w:sz="0" w:space="0" w:color="auto"/>
            <w:bottom w:val="none" w:sz="0" w:space="0" w:color="auto"/>
            <w:right w:val="none" w:sz="0" w:space="0" w:color="auto"/>
          </w:divBdr>
        </w:div>
        <w:div w:id="523444565">
          <w:marLeft w:val="640"/>
          <w:marRight w:val="0"/>
          <w:marTop w:val="0"/>
          <w:marBottom w:val="0"/>
          <w:divBdr>
            <w:top w:val="none" w:sz="0" w:space="0" w:color="auto"/>
            <w:left w:val="none" w:sz="0" w:space="0" w:color="auto"/>
            <w:bottom w:val="none" w:sz="0" w:space="0" w:color="auto"/>
            <w:right w:val="none" w:sz="0" w:space="0" w:color="auto"/>
          </w:divBdr>
        </w:div>
        <w:div w:id="1939478961">
          <w:marLeft w:val="640"/>
          <w:marRight w:val="0"/>
          <w:marTop w:val="0"/>
          <w:marBottom w:val="0"/>
          <w:divBdr>
            <w:top w:val="none" w:sz="0" w:space="0" w:color="auto"/>
            <w:left w:val="none" w:sz="0" w:space="0" w:color="auto"/>
            <w:bottom w:val="none" w:sz="0" w:space="0" w:color="auto"/>
            <w:right w:val="none" w:sz="0" w:space="0" w:color="auto"/>
          </w:divBdr>
        </w:div>
        <w:div w:id="788353405">
          <w:marLeft w:val="640"/>
          <w:marRight w:val="0"/>
          <w:marTop w:val="0"/>
          <w:marBottom w:val="0"/>
          <w:divBdr>
            <w:top w:val="none" w:sz="0" w:space="0" w:color="auto"/>
            <w:left w:val="none" w:sz="0" w:space="0" w:color="auto"/>
            <w:bottom w:val="none" w:sz="0" w:space="0" w:color="auto"/>
            <w:right w:val="none" w:sz="0" w:space="0" w:color="auto"/>
          </w:divBdr>
        </w:div>
        <w:div w:id="2078355442">
          <w:marLeft w:val="640"/>
          <w:marRight w:val="0"/>
          <w:marTop w:val="0"/>
          <w:marBottom w:val="0"/>
          <w:divBdr>
            <w:top w:val="none" w:sz="0" w:space="0" w:color="auto"/>
            <w:left w:val="none" w:sz="0" w:space="0" w:color="auto"/>
            <w:bottom w:val="none" w:sz="0" w:space="0" w:color="auto"/>
            <w:right w:val="none" w:sz="0" w:space="0" w:color="auto"/>
          </w:divBdr>
        </w:div>
        <w:div w:id="407003002">
          <w:marLeft w:val="640"/>
          <w:marRight w:val="0"/>
          <w:marTop w:val="0"/>
          <w:marBottom w:val="0"/>
          <w:divBdr>
            <w:top w:val="none" w:sz="0" w:space="0" w:color="auto"/>
            <w:left w:val="none" w:sz="0" w:space="0" w:color="auto"/>
            <w:bottom w:val="none" w:sz="0" w:space="0" w:color="auto"/>
            <w:right w:val="none" w:sz="0" w:space="0" w:color="auto"/>
          </w:divBdr>
        </w:div>
        <w:div w:id="1309552113">
          <w:marLeft w:val="640"/>
          <w:marRight w:val="0"/>
          <w:marTop w:val="0"/>
          <w:marBottom w:val="0"/>
          <w:divBdr>
            <w:top w:val="none" w:sz="0" w:space="0" w:color="auto"/>
            <w:left w:val="none" w:sz="0" w:space="0" w:color="auto"/>
            <w:bottom w:val="none" w:sz="0" w:space="0" w:color="auto"/>
            <w:right w:val="none" w:sz="0" w:space="0" w:color="auto"/>
          </w:divBdr>
        </w:div>
        <w:div w:id="86267689">
          <w:marLeft w:val="640"/>
          <w:marRight w:val="0"/>
          <w:marTop w:val="0"/>
          <w:marBottom w:val="0"/>
          <w:divBdr>
            <w:top w:val="none" w:sz="0" w:space="0" w:color="auto"/>
            <w:left w:val="none" w:sz="0" w:space="0" w:color="auto"/>
            <w:bottom w:val="none" w:sz="0" w:space="0" w:color="auto"/>
            <w:right w:val="none" w:sz="0" w:space="0" w:color="auto"/>
          </w:divBdr>
        </w:div>
        <w:div w:id="63533770">
          <w:marLeft w:val="640"/>
          <w:marRight w:val="0"/>
          <w:marTop w:val="0"/>
          <w:marBottom w:val="0"/>
          <w:divBdr>
            <w:top w:val="none" w:sz="0" w:space="0" w:color="auto"/>
            <w:left w:val="none" w:sz="0" w:space="0" w:color="auto"/>
            <w:bottom w:val="none" w:sz="0" w:space="0" w:color="auto"/>
            <w:right w:val="none" w:sz="0" w:space="0" w:color="auto"/>
          </w:divBdr>
        </w:div>
        <w:div w:id="1374428410">
          <w:marLeft w:val="640"/>
          <w:marRight w:val="0"/>
          <w:marTop w:val="0"/>
          <w:marBottom w:val="0"/>
          <w:divBdr>
            <w:top w:val="none" w:sz="0" w:space="0" w:color="auto"/>
            <w:left w:val="none" w:sz="0" w:space="0" w:color="auto"/>
            <w:bottom w:val="none" w:sz="0" w:space="0" w:color="auto"/>
            <w:right w:val="none" w:sz="0" w:space="0" w:color="auto"/>
          </w:divBdr>
        </w:div>
        <w:div w:id="8022270">
          <w:marLeft w:val="640"/>
          <w:marRight w:val="0"/>
          <w:marTop w:val="0"/>
          <w:marBottom w:val="0"/>
          <w:divBdr>
            <w:top w:val="none" w:sz="0" w:space="0" w:color="auto"/>
            <w:left w:val="none" w:sz="0" w:space="0" w:color="auto"/>
            <w:bottom w:val="none" w:sz="0" w:space="0" w:color="auto"/>
            <w:right w:val="none" w:sz="0" w:space="0" w:color="auto"/>
          </w:divBdr>
        </w:div>
        <w:div w:id="716319265">
          <w:marLeft w:val="640"/>
          <w:marRight w:val="0"/>
          <w:marTop w:val="0"/>
          <w:marBottom w:val="0"/>
          <w:divBdr>
            <w:top w:val="none" w:sz="0" w:space="0" w:color="auto"/>
            <w:left w:val="none" w:sz="0" w:space="0" w:color="auto"/>
            <w:bottom w:val="none" w:sz="0" w:space="0" w:color="auto"/>
            <w:right w:val="none" w:sz="0" w:space="0" w:color="auto"/>
          </w:divBdr>
        </w:div>
        <w:div w:id="196436180">
          <w:marLeft w:val="640"/>
          <w:marRight w:val="0"/>
          <w:marTop w:val="0"/>
          <w:marBottom w:val="0"/>
          <w:divBdr>
            <w:top w:val="none" w:sz="0" w:space="0" w:color="auto"/>
            <w:left w:val="none" w:sz="0" w:space="0" w:color="auto"/>
            <w:bottom w:val="none" w:sz="0" w:space="0" w:color="auto"/>
            <w:right w:val="none" w:sz="0" w:space="0" w:color="auto"/>
          </w:divBdr>
        </w:div>
        <w:div w:id="1745760296">
          <w:marLeft w:val="640"/>
          <w:marRight w:val="0"/>
          <w:marTop w:val="0"/>
          <w:marBottom w:val="0"/>
          <w:divBdr>
            <w:top w:val="none" w:sz="0" w:space="0" w:color="auto"/>
            <w:left w:val="none" w:sz="0" w:space="0" w:color="auto"/>
            <w:bottom w:val="none" w:sz="0" w:space="0" w:color="auto"/>
            <w:right w:val="none" w:sz="0" w:space="0" w:color="auto"/>
          </w:divBdr>
        </w:div>
        <w:div w:id="698120384">
          <w:marLeft w:val="640"/>
          <w:marRight w:val="0"/>
          <w:marTop w:val="0"/>
          <w:marBottom w:val="0"/>
          <w:divBdr>
            <w:top w:val="none" w:sz="0" w:space="0" w:color="auto"/>
            <w:left w:val="none" w:sz="0" w:space="0" w:color="auto"/>
            <w:bottom w:val="none" w:sz="0" w:space="0" w:color="auto"/>
            <w:right w:val="none" w:sz="0" w:space="0" w:color="auto"/>
          </w:divBdr>
        </w:div>
        <w:div w:id="1711030510">
          <w:marLeft w:val="640"/>
          <w:marRight w:val="0"/>
          <w:marTop w:val="0"/>
          <w:marBottom w:val="0"/>
          <w:divBdr>
            <w:top w:val="none" w:sz="0" w:space="0" w:color="auto"/>
            <w:left w:val="none" w:sz="0" w:space="0" w:color="auto"/>
            <w:bottom w:val="none" w:sz="0" w:space="0" w:color="auto"/>
            <w:right w:val="none" w:sz="0" w:space="0" w:color="auto"/>
          </w:divBdr>
        </w:div>
        <w:div w:id="1773742320">
          <w:marLeft w:val="640"/>
          <w:marRight w:val="0"/>
          <w:marTop w:val="0"/>
          <w:marBottom w:val="0"/>
          <w:divBdr>
            <w:top w:val="none" w:sz="0" w:space="0" w:color="auto"/>
            <w:left w:val="none" w:sz="0" w:space="0" w:color="auto"/>
            <w:bottom w:val="none" w:sz="0" w:space="0" w:color="auto"/>
            <w:right w:val="none" w:sz="0" w:space="0" w:color="auto"/>
          </w:divBdr>
        </w:div>
        <w:div w:id="1121802283">
          <w:marLeft w:val="640"/>
          <w:marRight w:val="0"/>
          <w:marTop w:val="0"/>
          <w:marBottom w:val="0"/>
          <w:divBdr>
            <w:top w:val="none" w:sz="0" w:space="0" w:color="auto"/>
            <w:left w:val="none" w:sz="0" w:space="0" w:color="auto"/>
            <w:bottom w:val="none" w:sz="0" w:space="0" w:color="auto"/>
            <w:right w:val="none" w:sz="0" w:space="0" w:color="auto"/>
          </w:divBdr>
        </w:div>
        <w:div w:id="30544584">
          <w:marLeft w:val="640"/>
          <w:marRight w:val="0"/>
          <w:marTop w:val="0"/>
          <w:marBottom w:val="0"/>
          <w:divBdr>
            <w:top w:val="none" w:sz="0" w:space="0" w:color="auto"/>
            <w:left w:val="none" w:sz="0" w:space="0" w:color="auto"/>
            <w:bottom w:val="none" w:sz="0" w:space="0" w:color="auto"/>
            <w:right w:val="none" w:sz="0" w:space="0" w:color="auto"/>
          </w:divBdr>
        </w:div>
        <w:div w:id="2025401731">
          <w:marLeft w:val="640"/>
          <w:marRight w:val="0"/>
          <w:marTop w:val="0"/>
          <w:marBottom w:val="0"/>
          <w:divBdr>
            <w:top w:val="none" w:sz="0" w:space="0" w:color="auto"/>
            <w:left w:val="none" w:sz="0" w:space="0" w:color="auto"/>
            <w:bottom w:val="none" w:sz="0" w:space="0" w:color="auto"/>
            <w:right w:val="none" w:sz="0" w:space="0" w:color="auto"/>
          </w:divBdr>
        </w:div>
        <w:div w:id="1535726325">
          <w:marLeft w:val="640"/>
          <w:marRight w:val="0"/>
          <w:marTop w:val="0"/>
          <w:marBottom w:val="0"/>
          <w:divBdr>
            <w:top w:val="none" w:sz="0" w:space="0" w:color="auto"/>
            <w:left w:val="none" w:sz="0" w:space="0" w:color="auto"/>
            <w:bottom w:val="none" w:sz="0" w:space="0" w:color="auto"/>
            <w:right w:val="none" w:sz="0" w:space="0" w:color="auto"/>
          </w:divBdr>
        </w:div>
        <w:div w:id="784543193">
          <w:marLeft w:val="640"/>
          <w:marRight w:val="0"/>
          <w:marTop w:val="0"/>
          <w:marBottom w:val="0"/>
          <w:divBdr>
            <w:top w:val="none" w:sz="0" w:space="0" w:color="auto"/>
            <w:left w:val="none" w:sz="0" w:space="0" w:color="auto"/>
            <w:bottom w:val="none" w:sz="0" w:space="0" w:color="auto"/>
            <w:right w:val="none" w:sz="0" w:space="0" w:color="auto"/>
          </w:divBdr>
        </w:div>
        <w:div w:id="172230426">
          <w:marLeft w:val="640"/>
          <w:marRight w:val="0"/>
          <w:marTop w:val="0"/>
          <w:marBottom w:val="0"/>
          <w:divBdr>
            <w:top w:val="none" w:sz="0" w:space="0" w:color="auto"/>
            <w:left w:val="none" w:sz="0" w:space="0" w:color="auto"/>
            <w:bottom w:val="none" w:sz="0" w:space="0" w:color="auto"/>
            <w:right w:val="none" w:sz="0" w:space="0" w:color="auto"/>
          </w:divBdr>
        </w:div>
        <w:div w:id="1933659686">
          <w:marLeft w:val="640"/>
          <w:marRight w:val="0"/>
          <w:marTop w:val="0"/>
          <w:marBottom w:val="0"/>
          <w:divBdr>
            <w:top w:val="none" w:sz="0" w:space="0" w:color="auto"/>
            <w:left w:val="none" w:sz="0" w:space="0" w:color="auto"/>
            <w:bottom w:val="none" w:sz="0" w:space="0" w:color="auto"/>
            <w:right w:val="none" w:sz="0" w:space="0" w:color="auto"/>
          </w:divBdr>
        </w:div>
        <w:div w:id="423767427">
          <w:marLeft w:val="640"/>
          <w:marRight w:val="0"/>
          <w:marTop w:val="0"/>
          <w:marBottom w:val="0"/>
          <w:divBdr>
            <w:top w:val="none" w:sz="0" w:space="0" w:color="auto"/>
            <w:left w:val="none" w:sz="0" w:space="0" w:color="auto"/>
            <w:bottom w:val="none" w:sz="0" w:space="0" w:color="auto"/>
            <w:right w:val="none" w:sz="0" w:space="0" w:color="auto"/>
          </w:divBdr>
        </w:div>
        <w:div w:id="570623233">
          <w:marLeft w:val="640"/>
          <w:marRight w:val="0"/>
          <w:marTop w:val="0"/>
          <w:marBottom w:val="0"/>
          <w:divBdr>
            <w:top w:val="none" w:sz="0" w:space="0" w:color="auto"/>
            <w:left w:val="none" w:sz="0" w:space="0" w:color="auto"/>
            <w:bottom w:val="none" w:sz="0" w:space="0" w:color="auto"/>
            <w:right w:val="none" w:sz="0" w:space="0" w:color="auto"/>
          </w:divBdr>
        </w:div>
        <w:div w:id="220484545">
          <w:marLeft w:val="640"/>
          <w:marRight w:val="0"/>
          <w:marTop w:val="0"/>
          <w:marBottom w:val="0"/>
          <w:divBdr>
            <w:top w:val="none" w:sz="0" w:space="0" w:color="auto"/>
            <w:left w:val="none" w:sz="0" w:space="0" w:color="auto"/>
            <w:bottom w:val="none" w:sz="0" w:space="0" w:color="auto"/>
            <w:right w:val="none" w:sz="0" w:space="0" w:color="auto"/>
          </w:divBdr>
        </w:div>
        <w:div w:id="1602949662">
          <w:marLeft w:val="640"/>
          <w:marRight w:val="0"/>
          <w:marTop w:val="0"/>
          <w:marBottom w:val="0"/>
          <w:divBdr>
            <w:top w:val="none" w:sz="0" w:space="0" w:color="auto"/>
            <w:left w:val="none" w:sz="0" w:space="0" w:color="auto"/>
            <w:bottom w:val="none" w:sz="0" w:space="0" w:color="auto"/>
            <w:right w:val="none" w:sz="0" w:space="0" w:color="auto"/>
          </w:divBdr>
        </w:div>
        <w:div w:id="242645635">
          <w:marLeft w:val="640"/>
          <w:marRight w:val="0"/>
          <w:marTop w:val="0"/>
          <w:marBottom w:val="0"/>
          <w:divBdr>
            <w:top w:val="none" w:sz="0" w:space="0" w:color="auto"/>
            <w:left w:val="none" w:sz="0" w:space="0" w:color="auto"/>
            <w:bottom w:val="none" w:sz="0" w:space="0" w:color="auto"/>
            <w:right w:val="none" w:sz="0" w:space="0" w:color="auto"/>
          </w:divBdr>
        </w:div>
        <w:div w:id="1763641483">
          <w:marLeft w:val="640"/>
          <w:marRight w:val="0"/>
          <w:marTop w:val="0"/>
          <w:marBottom w:val="0"/>
          <w:divBdr>
            <w:top w:val="none" w:sz="0" w:space="0" w:color="auto"/>
            <w:left w:val="none" w:sz="0" w:space="0" w:color="auto"/>
            <w:bottom w:val="none" w:sz="0" w:space="0" w:color="auto"/>
            <w:right w:val="none" w:sz="0" w:space="0" w:color="auto"/>
          </w:divBdr>
        </w:div>
        <w:div w:id="1974217375">
          <w:marLeft w:val="640"/>
          <w:marRight w:val="0"/>
          <w:marTop w:val="0"/>
          <w:marBottom w:val="0"/>
          <w:divBdr>
            <w:top w:val="none" w:sz="0" w:space="0" w:color="auto"/>
            <w:left w:val="none" w:sz="0" w:space="0" w:color="auto"/>
            <w:bottom w:val="none" w:sz="0" w:space="0" w:color="auto"/>
            <w:right w:val="none" w:sz="0" w:space="0" w:color="auto"/>
          </w:divBdr>
        </w:div>
        <w:div w:id="1423717721">
          <w:marLeft w:val="640"/>
          <w:marRight w:val="0"/>
          <w:marTop w:val="0"/>
          <w:marBottom w:val="0"/>
          <w:divBdr>
            <w:top w:val="none" w:sz="0" w:space="0" w:color="auto"/>
            <w:left w:val="none" w:sz="0" w:space="0" w:color="auto"/>
            <w:bottom w:val="none" w:sz="0" w:space="0" w:color="auto"/>
            <w:right w:val="none" w:sz="0" w:space="0" w:color="auto"/>
          </w:divBdr>
        </w:div>
        <w:div w:id="1237521168">
          <w:marLeft w:val="640"/>
          <w:marRight w:val="0"/>
          <w:marTop w:val="0"/>
          <w:marBottom w:val="0"/>
          <w:divBdr>
            <w:top w:val="none" w:sz="0" w:space="0" w:color="auto"/>
            <w:left w:val="none" w:sz="0" w:space="0" w:color="auto"/>
            <w:bottom w:val="none" w:sz="0" w:space="0" w:color="auto"/>
            <w:right w:val="none" w:sz="0" w:space="0" w:color="auto"/>
          </w:divBdr>
        </w:div>
        <w:div w:id="1950888377">
          <w:marLeft w:val="640"/>
          <w:marRight w:val="0"/>
          <w:marTop w:val="0"/>
          <w:marBottom w:val="0"/>
          <w:divBdr>
            <w:top w:val="none" w:sz="0" w:space="0" w:color="auto"/>
            <w:left w:val="none" w:sz="0" w:space="0" w:color="auto"/>
            <w:bottom w:val="none" w:sz="0" w:space="0" w:color="auto"/>
            <w:right w:val="none" w:sz="0" w:space="0" w:color="auto"/>
          </w:divBdr>
        </w:div>
        <w:div w:id="1421103112">
          <w:marLeft w:val="640"/>
          <w:marRight w:val="0"/>
          <w:marTop w:val="0"/>
          <w:marBottom w:val="0"/>
          <w:divBdr>
            <w:top w:val="none" w:sz="0" w:space="0" w:color="auto"/>
            <w:left w:val="none" w:sz="0" w:space="0" w:color="auto"/>
            <w:bottom w:val="none" w:sz="0" w:space="0" w:color="auto"/>
            <w:right w:val="none" w:sz="0" w:space="0" w:color="auto"/>
          </w:divBdr>
        </w:div>
        <w:div w:id="68577905">
          <w:marLeft w:val="640"/>
          <w:marRight w:val="0"/>
          <w:marTop w:val="0"/>
          <w:marBottom w:val="0"/>
          <w:divBdr>
            <w:top w:val="none" w:sz="0" w:space="0" w:color="auto"/>
            <w:left w:val="none" w:sz="0" w:space="0" w:color="auto"/>
            <w:bottom w:val="none" w:sz="0" w:space="0" w:color="auto"/>
            <w:right w:val="none" w:sz="0" w:space="0" w:color="auto"/>
          </w:divBdr>
        </w:div>
        <w:div w:id="682315827">
          <w:marLeft w:val="640"/>
          <w:marRight w:val="0"/>
          <w:marTop w:val="0"/>
          <w:marBottom w:val="0"/>
          <w:divBdr>
            <w:top w:val="none" w:sz="0" w:space="0" w:color="auto"/>
            <w:left w:val="none" w:sz="0" w:space="0" w:color="auto"/>
            <w:bottom w:val="none" w:sz="0" w:space="0" w:color="auto"/>
            <w:right w:val="none" w:sz="0" w:space="0" w:color="auto"/>
          </w:divBdr>
        </w:div>
        <w:div w:id="1745058341">
          <w:marLeft w:val="640"/>
          <w:marRight w:val="0"/>
          <w:marTop w:val="0"/>
          <w:marBottom w:val="0"/>
          <w:divBdr>
            <w:top w:val="none" w:sz="0" w:space="0" w:color="auto"/>
            <w:left w:val="none" w:sz="0" w:space="0" w:color="auto"/>
            <w:bottom w:val="none" w:sz="0" w:space="0" w:color="auto"/>
            <w:right w:val="none" w:sz="0" w:space="0" w:color="auto"/>
          </w:divBdr>
        </w:div>
        <w:div w:id="1492864185">
          <w:marLeft w:val="640"/>
          <w:marRight w:val="0"/>
          <w:marTop w:val="0"/>
          <w:marBottom w:val="0"/>
          <w:divBdr>
            <w:top w:val="none" w:sz="0" w:space="0" w:color="auto"/>
            <w:left w:val="none" w:sz="0" w:space="0" w:color="auto"/>
            <w:bottom w:val="none" w:sz="0" w:space="0" w:color="auto"/>
            <w:right w:val="none" w:sz="0" w:space="0" w:color="auto"/>
          </w:divBdr>
        </w:div>
        <w:div w:id="1355957209">
          <w:marLeft w:val="640"/>
          <w:marRight w:val="0"/>
          <w:marTop w:val="0"/>
          <w:marBottom w:val="0"/>
          <w:divBdr>
            <w:top w:val="none" w:sz="0" w:space="0" w:color="auto"/>
            <w:left w:val="none" w:sz="0" w:space="0" w:color="auto"/>
            <w:bottom w:val="none" w:sz="0" w:space="0" w:color="auto"/>
            <w:right w:val="none" w:sz="0" w:space="0" w:color="auto"/>
          </w:divBdr>
        </w:div>
        <w:div w:id="276956991">
          <w:marLeft w:val="640"/>
          <w:marRight w:val="0"/>
          <w:marTop w:val="0"/>
          <w:marBottom w:val="0"/>
          <w:divBdr>
            <w:top w:val="none" w:sz="0" w:space="0" w:color="auto"/>
            <w:left w:val="none" w:sz="0" w:space="0" w:color="auto"/>
            <w:bottom w:val="none" w:sz="0" w:space="0" w:color="auto"/>
            <w:right w:val="none" w:sz="0" w:space="0" w:color="auto"/>
          </w:divBdr>
        </w:div>
        <w:div w:id="2059665868">
          <w:marLeft w:val="640"/>
          <w:marRight w:val="0"/>
          <w:marTop w:val="0"/>
          <w:marBottom w:val="0"/>
          <w:divBdr>
            <w:top w:val="none" w:sz="0" w:space="0" w:color="auto"/>
            <w:left w:val="none" w:sz="0" w:space="0" w:color="auto"/>
            <w:bottom w:val="none" w:sz="0" w:space="0" w:color="auto"/>
            <w:right w:val="none" w:sz="0" w:space="0" w:color="auto"/>
          </w:divBdr>
        </w:div>
        <w:div w:id="1270159692">
          <w:marLeft w:val="640"/>
          <w:marRight w:val="0"/>
          <w:marTop w:val="0"/>
          <w:marBottom w:val="0"/>
          <w:divBdr>
            <w:top w:val="none" w:sz="0" w:space="0" w:color="auto"/>
            <w:left w:val="none" w:sz="0" w:space="0" w:color="auto"/>
            <w:bottom w:val="none" w:sz="0" w:space="0" w:color="auto"/>
            <w:right w:val="none" w:sz="0" w:space="0" w:color="auto"/>
          </w:divBdr>
        </w:div>
        <w:div w:id="293563705">
          <w:marLeft w:val="640"/>
          <w:marRight w:val="0"/>
          <w:marTop w:val="0"/>
          <w:marBottom w:val="0"/>
          <w:divBdr>
            <w:top w:val="none" w:sz="0" w:space="0" w:color="auto"/>
            <w:left w:val="none" w:sz="0" w:space="0" w:color="auto"/>
            <w:bottom w:val="none" w:sz="0" w:space="0" w:color="auto"/>
            <w:right w:val="none" w:sz="0" w:space="0" w:color="auto"/>
          </w:divBdr>
        </w:div>
        <w:div w:id="406389667">
          <w:marLeft w:val="640"/>
          <w:marRight w:val="0"/>
          <w:marTop w:val="0"/>
          <w:marBottom w:val="0"/>
          <w:divBdr>
            <w:top w:val="none" w:sz="0" w:space="0" w:color="auto"/>
            <w:left w:val="none" w:sz="0" w:space="0" w:color="auto"/>
            <w:bottom w:val="none" w:sz="0" w:space="0" w:color="auto"/>
            <w:right w:val="none" w:sz="0" w:space="0" w:color="auto"/>
          </w:divBdr>
        </w:div>
        <w:div w:id="1911839698">
          <w:marLeft w:val="640"/>
          <w:marRight w:val="0"/>
          <w:marTop w:val="0"/>
          <w:marBottom w:val="0"/>
          <w:divBdr>
            <w:top w:val="none" w:sz="0" w:space="0" w:color="auto"/>
            <w:left w:val="none" w:sz="0" w:space="0" w:color="auto"/>
            <w:bottom w:val="none" w:sz="0" w:space="0" w:color="auto"/>
            <w:right w:val="none" w:sz="0" w:space="0" w:color="auto"/>
          </w:divBdr>
        </w:div>
        <w:div w:id="837186899">
          <w:marLeft w:val="640"/>
          <w:marRight w:val="0"/>
          <w:marTop w:val="0"/>
          <w:marBottom w:val="0"/>
          <w:divBdr>
            <w:top w:val="none" w:sz="0" w:space="0" w:color="auto"/>
            <w:left w:val="none" w:sz="0" w:space="0" w:color="auto"/>
            <w:bottom w:val="none" w:sz="0" w:space="0" w:color="auto"/>
            <w:right w:val="none" w:sz="0" w:space="0" w:color="auto"/>
          </w:divBdr>
        </w:div>
        <w:div w:id="1949197820">
          <w:marLeft w:val="640"/>
          <w:marRight w:val="0"/>
          <w:marTop w:val="0"/>
          <w:marBottom w:val="0"/>
          <w:divBdr>
            <w:top w:val="none" w:sz="0" w:space="0" w:color="auto"/>
            <w:left w:val="none" w:sz="0" w:space="0" w:color="auto"/>
            <w:bottom w:val="none" w:sz="0" w:space="0" w:color="auto"/>
            <w:right w:val="none" w:sz="0" w:space="0" w:color="auto"/>
          </w:divBdr>
        </w:div>
        <w:div w:id="1892424349">
          <w:marLeft w:val="640"/>
          <w:marRight w:val="0"/>
          <w:marTop w:val="0"/>
          <w:marBottom w:val="0"/>
          <w:divBdr>
            <w:top w:val="none" w:sz="0" w:space="0" w:color="auto"/>
            <w:left w:val="none" w:sz="0" w:space="0" w:color="auto"/>
            <w:bottom w:val="none" w:sz="0" w:space="0" w:color="auto"/>
            <w:right w:val="none" w:sz="0" w:space="0" w:color="auto"/>
          </w:divBdr>
        </w:div>
        <w:div w:id="749353182">
          <w:marLeft w:val="640"/>
          <w:marRight w:val="0"/>
          <w:marTop w:val="0"/>
          <w:marBottom w:val="0"/>
          <w:divBdr>
            <w:top w:val="none" w:sz="0" w:space="0" w:color="auto"/>
            <w:left w:val="none" w:sz="0" w:space="0" w:color="auto"/>
            <w:bottom w:val="none" w:sz="0" w:space="0" w:color="auto"/>
            <w:right w:val="none" w:sz="0" w:space="0" w:color="auto"/>
          </w:divBdr>
        </w:div>
        <w:div w:id="575826401">
          <w:marLeft w:val="640"/>
          <w:marRight w:val="0"/>
          <w:marTop w:val="0"/>
          <w:marBottom w:val="0"/>
          <w:divBdr>
            <w:top w:val="none" w:sz="0" w:space="0" w:color="auto"/>
            <w:left w:val="none" w:sz="0" w:space="0" w:color="auto"/>
            <w:bottom w:val="none" w:sz="0" w:space="0" w:color="auto"/>
            <w:right w:val="none" w:sz="0" w:space="0" w:color="auto"/>
          </w:divBdr>
        </w:div>
        <w:div w:id="1428232343">
          <w:marLeft w:val="640"/>
          <w:marRight w:val="0"/>
          <w:marTop w:val="0"/>
          <w:marBottom w:val="0"/>
          <w:divBdr>
            <w:top w:val="none" w:sz="0" w:space="0" w:color="auto"/>
            <w:left w:val="none" w:sz="0" w:space="0" w:color="auto"/>
            <w:bottom w:val="none" w:sz="0" w:space="0" w:color="auto"/>
            <w:right w:val="none" w:sz="0" w:space="0" w:color="auto"/>
          </w:divBdr>
        </w:div>
        <w:div w:id="231817679">
          <w:marLeft w:val="640"/>
          <w:marRight w:val="0"/>
          <w:marTop w:val="0"/>
          <w:marBottom w:val="0"/>
          <w:divBdr>
            <w:top w:val="none" w:sz="0" w:space="0" w:color="auto"/>
            <w:left w:val="none" w:sz="0" w:space="0" w:color="auto"/>
            <w:bottom w:val="none" w:sz="0" w:space="0" w:color="auto"/>
            <w:right w:val="none" w:sz="0" w:space="0" w:color="auto"/>
          </w:divBdr>
        </w:div>
        <w:div w:id="406004607">
          <w:marLeft w:val="640"/>
          <w:marRight w:val="0"/>
          <w:marTop w:val="0"/>
          <w:marBottom w:val="0"/>
          <w:divBdr>
            <w:top w:val="none" w:sz="0" w:space="0" w:color="auto"/>
            <w:left w:val="none" w:sz="0" w:space="0" w:color="auto"/>
            <w:bottom w:val="none" w:sz="0" w:space="0" w:color="auto"/>
            <w:right w:val="none" w:sz="0" w:space="0" w:color="auto"/>
          </w:divBdr>
        </w:div>
        <w:div w:id="1227764428">
          <w:marLeft w:val="640"/>
          <w:marRight w:val="0"/>
          <w:marTop w:val="0"/>
          <w:marBottom w:val="0"/>
          <w:divBdr>
            <w:top w:val="none" w:sz="0" w:space="0" w:color="auto"/>
            <w:left w:val="none" w:sz="0" w:space="0" w:color="auto"/>
            <w:bottom w:val="none" w:sz="0" w:space="0" w:color="auto"/>
            <w:right w:val="none" w:sz="0" w:space="0" w:color="auto"/>
          </w:divBdr>
        </w:div>
        <w:div w:id="1619295642">
          <w:marLeft w:val="640"/>
          <w:marRight w:val="0"/>
          <w:marTop w:val="0"/>
          <w:marBottom w:val="0"/>
          <w:divBdr>
            <w:top w:val="none" w:sz="0" w:space="0" w:color="auto"/>
            <w:left w:val="none" w:sz="0" w:space="0" w:color="auto"/>
            <w:bottom w:val="none" w:sz="0" w:space="0" w:color="auto"/>
            <w:right w:val="none" w:sz="0" w:space="0" w:color="auto"/>
          </w:divBdr>
        </w:div>
        <w:div w:id="947157861">
          <w:marLeft w:val="640"/>
          <w:marRight w:val="0"/>
          <w:marTop w:val="0"/>
          <w:marBottom w:val="0"/>
          <w:divBdr>
            <w:top w:val="none" w:sz="0" w:space="0" w:color="auto"/>
            <w:left w:val="none" w:sz="0" w:space="0" w:color="auto"/>
            <w:bottom w:val="none" w:sz="0" w:space="0" w:color="auto"/>
            <w:right w:val="none" w:sz="0" w:space="0" w:color="auto"/>
          </w:divBdr>
        </w:div>
        <w:div w:id="94598799">
          <w:marLeft w:val="640"/>
          <w:marRight w:val="0"/>
          <w:marTop w:val="0"/>
          <w:marBottom w:val="0"/>
          <w:divBdr>
            <w:top w:val="none" w:sz="0" w:space="0" w:color="auto"/>
            <w:left w:val="none" w:sz="0" w:space="0" w:color="auto"/>
            <w:bottom w:val="none" w:sz="0" w:space="0" w:color="auto"/>
            <w:right w:val="none" w:sz="0" w:space="0" w:color="auto"/>
          </w:divBdr>
        </w:div>
        <w:div w:id="1972975945">
          <w:marLeft w:val="640"/>
          <w:marRight w:val="0"/>
          <w:marTop w:val="0"/>
          <w:marBottom w:val="0"/>
          <w:divBdr>
            <w:top w:val="none" w:sz="0" w:space="0" w:color="auto"/>
            <w:left w:val="none" w:sz="0" w:space="0" w:color="auto"/>
            <w:bottom w:val="none" w:sz="0" w:space="0" w:color="auto"/>
            <w:right w:val="none" w:sz="0" w:space="0" w:color="auto"/>
          </w:divBdr>
        </w:div>
        <w:div w:id="2062095371">
          <w:marLeft w:val="640"/>
          <w:marRight w:val="0"/>
          <w:marTop w:val="0"/>
          <w:marBottom w:val="0"/>
          <w:divBdr>
            <w:top w:val="none" w:sz="0" w:space="0" w:color="auto"/>
            <w:left w:val="none" w:sz="0" w:space="0" w:color="auto"/>
            <w:bottom w:val="none" w:sz="0" w:space="0" w:color="auto"/>
            <w:right w:val="none" w:sz="0" w:space="0" w:color="auto"/>
          </w:divBdr>
        </w:div>
        <w:div w:id="922496321">
          <w:marLeft w:val="640"/>
          <w:marRight w:val="0"/>
          <w:marTop w:val="0"/>
          <w:marBottom w:val="0"/>
          <w:divBdr>
            <w:top w:val="none" w:sz="0" w:space="0" w:color="auto"/>
            <w:left w:val="none" w:sz="0" w:space="0" w:color="auto"/>
            <w:bottom w:val="none" w:sz="0" w:space="0" w:color="auto"/>
            <w:right w:val="none" w:sz="0" w:space="0" w:color="auto"/>
          </w:divBdr>
        </w:div>
        <w:div w:id="1800761505">
          <w:marLeft w:val="640"/>
          <w:marRight w:val="0"/>
          <w:marTop w:val="0"/>
          <w:marBottom w:val="0"/>
          <w:divBdr>
            <w:top w:val="none" w:sz="0" w:space="0" w:color="auto"/>
            <w:left w:val="none" w:sz="0" w:space="0" w:color="auto"/>
            <w:bottom w:val="none" w:sz="0" w:space="0" w:color="auto"/>
            <w:right w:val="none" w:sz="0" w:space="0" w:color="auto"/>
          </w:divBdr>
        </w:div>
        <w:div w:id="1716154531">
          <w:marLeft w:val="640"/>
          <w:marRight w:val="0"/>
          <w:marTop w:val="0"/>
          <w:marBottom w:val="0"/>
          <w:divBdr>
            <w:top w:val="none" w:sz="0" w:space="0" w:color="auto"/>
            <w:left w:val="none" w:sz="0" w:space="0" w:color="auto"/>
            <w:bottom w:val="none" w:sz="0" w:space="0" w:color="auto"/>
            <w:right w:val="none" w:sz="0" w:space="0" w:color="auto"/>
          </w:divBdr>
        </w:div>
        <w:div w:id="7876678">
          <w:marLeft w:val="640"/>
          <w:marRight w:val="0"/>
          <w:marTop w:val="0"/>
          <w:marBottom w:val="0"/>
          <w:divBdr>
            <w:top w:val="none" w:sz="0" w:space="0" w:color="auto"/>
            <w:left w:val="none" w:sz="0" w:space="0" w:color="auto"/>
            <w:bottom w:val="none" w:sz="0" w:space="0" w:color="auto"/>
            <w:right w:val="none" w:sz="0" w:space="0" w:color="auto"/>
          </w:divBdr>
        </w:div>
        <w:div w:id="552421868">
          <w:marLeft w:val="640"/>
          <w:marRight w:val="0"/>
          <w:marTop w:val="0"/>
          <w:marBottom w:val="0"/>
          <w:divBdr>
            <w:top w:val="none" w:sz="0" w:space="0" w:color="auto"/>
            <w:left w:val="none" w:sz="0" w:space="0" w:color="auto"/>
            <w:bottom w:val="none" w:sz="0" w:space="0" w:color="auto"/>
            <w:right w:val="none" w:sz="0" w:space="0" w:color="auto"/>
          </w:divBdr>
        </w:div>
        <w:div w:id="579020315">
          <w:marLeft w:val="640"/>
          <w:marRight w:val="0"/>
          <w:marTop w:val="0"/>
          <w:marBottom w:val="0"/>
          <w:divBdr>
            <w:top w:val="none" w:sz="0" w:space="0" w:color="auto"/>
            <w:left w:val="none" w:sz="0" w:space="0" w:color="auto"/>
            <w:bottom w:val="none" w:sz="0" w:space="0" w:color="auto"/>
            <w:right w:val="none" w:sz="0" w:space="0" w:color="auto"/>
          </w:divBdr>
        </w:div>
        <w:div w:id="225458041">
          <w:marLeft w:val="640"/>
          <w:marRight w:val="0"/>
          <w:marTop w:val="0"/>
          <w:marBottom w:val="0"/>
          <w:divBdr>
            <w:top w:val="none" w:sz="0" w:space="0" w:color="auto"/>
            <w:left w:val="none" w:sz="0" w:space="0" w:color="auto"/>
            <w:bottom w:val="none" w:sz="0" w:space="0" w:color="auto"/>
            <w:right w:val="none" w:sz="0" w:space="0" w:color="auto"/>
          </w:divBdr>
        </w:div>
        <w:div w:id="1250699152">
          <w:marLeft w:val="640"/>
          <w:marRight w:val="0"/>
          <w:marTop w:val="0"/>
          <w:marBottom w:val="0"/>
          <w:divBdr>
            <w:top w:val="none" w:sz="0" w:space="0" w:color="auto"/>
            <w:left w:val="none" w:sz="0" w:space="0" w:color="auto"/>
            <w:bottom w:val="none" w:sz="0" w:space="0" w:color="auto"/>
            <w:right w:val="none" w:sz="0" w:space="0" w:color="auto"/>
          </w:divBdr>
        </w:div>
        <w:div w:id="669328503">
          <w:marLeft w:val="640"/>
          <w:marRight w:val="0"/>
          <w:marTop w:val="0"/>
          <w:marBottom w:val="0"/>
          <w:divBdr>
            <w:top w:val="none" w:sz="0" w:space="0" w:color="auto"/>
            <w:left w:val="none" w:sz="0" w:space="0" w:color="auto"/>
            <w:bottom w:val="none" w:sz="0" w:space="0" w:color="auto"/>
            <w:right w:val="none" w:sz="0" w:space="0" w:color="auto"/>
          </w:divBdr>
        </w:div>
        <w:div w:id="215894728">
          <w:marLeft w:val="640"/>
          <w:marRight w:val="0"/>
          <w:marTop w:val="0"/>
          <w:marBottom w:val="0"/>
          <w:divBdr>
            <w:top w:val="none" w:sz="0" w:space="0" w:color="auto"/>
            <w:left w:val="none" w:sz="0" w:space="0" w:color="auto"/>
            <w:bottom w:val="none" w:sz="0" w:space="0" w:color="auto"/>
            <w:right w:val="none" w:sz="0" w:space="0" w:color="auto"/>
          </w:divBdr>
        </w:div>
        <w:div w:id="877739074">
          <w:marLeft w:val="640"/>
          <w:marRight w:val="0"/>
          <w:marTop w:val="0"/>
          <w:marBottom w:val="0"/>
          <w:divBdr>
            <w:top w:val="none" w:sz="0" w:space="0" w:color="auto"/>
            <w:left w:val="none" w:sz="0" w:space="0" w:color="auto"/>
            <w:bottom w:val="none" w:sz="0" w:space="0" w:color="auto"/>
            <w:right w:val="none" w:sz="0" w:space="0" w:color="auto"/>
          </w:divBdr>
        </w:div>
        <w:div w:id="315115892">
          <w:marLeft w:val="640"/>
          <w:marRight w:val="0"/>
          <w:marTop w:val="0"/>
          <w:marBottom w:val="0"/>
          <w:divBdr>
            <w:top w:val="none" w:sz="0" w:space="0" w:color="auto"/>
            <w:left w:val="none" w:sz="0" w:space="0" w:color="auto"/>
            <w:bottom w:val="none" w:sz="0" w:space="0" w:color="auto"/>
            <w:right w:val="none" w:sz="0" w:space="0" w:color="auto"/>
          </w:divBdr>
        </w:div>
        <w:div w:id="1884169355">
          <w:marLeft w:val="640"/>
          <w:marRight w:val="0"/>
          <w:marTop w:val="0"/>
          <w:marBottom w:val="0"/>
          <w:divBdr>
            <w:top w:val="none" w:sz="0" w:space="0" w:color="auto"/>
            <w:left w:val="none" w:sz="0" w:space="0" w:color="auto"/>
            <w:bottom w:val="none" w:sz="0" w:space="0" w:color="auto"/>
            <w:right w:val="none" w:sz="0" w:space="0" w:color="auto"/>
          </w:divBdr>
        </w:div>
      </w:divsChild>
    </w:div>
    <w:div w:id="296110415">
      <w:bodyDiv w:val="1"/>
      <w:marLeft w:val="0"/>
      <w:marRight w:val="0"/>
      <w:marTop w:val="0"/>
      <w:marBottom w:val="0"/>
      <w:divBdr>
        <w:top w:val="none" w:sz="0" w:space="0" w:color="auto"/>
        <w:left w:val="none" w:sz="0" w:space="0" w:color="auto"/>
        <w:bottom w:val="none" w:sz="0" w:space="0" w:color="auto"/>
        <w:right w:val="none" w:sz="0" w:space="0" w:color="auto"/>
      </w:divBdr>
      <w:divsChild>
        <w:div w:id="1859196011">
          <w:marLeft w:val="640"/>
          <w:marRight w:val="0"/>
          <w:marTop w:val="0"/>
          <w:marBottom w:val="0"/>
          <w:divBdr>
            <w:top w:val="none" w:sz="0" w:space="0" w:color="auto"/>
            <w:left w:val="none" w:sz="0" w:space="0" w:color="auto"/>
            <w:bottom w:val="none" w:sz="0" w:space="0" w:color="auto"/>
            <w:right w:val="none" w:sz="0" w:space="0" w:color="auto"/>
          </w:divBdr>
        </w:div>
        <w:div w:id="97142618">
          <w:marLeft w:val="640"/>
          <w:marRight w:val="0"/>
          <w:marTop w:val="0"/>
          <w:marBottom w:val="0"/>
          <w:divBdr>
            <w:top w:val="none" w:sz="0" w:space="0" w:color="auto"/>
            <w:left w:val="none" w:sz="0" w:space="0" w:color="auto"/>
            <w:bottom w:val="none" w:sz="0" w:space="0" w:color="auto"/>
            <w:right w:val="none" w:sz="0" w:space="0" w:color="auto"/>
          </w:divBdr>
        </w:div>
        <w:div w:id="152113033">
          <w:marLeft w:val="640"/>
          <w:marRight w:val="0"/>
          <w:marTop w:val="0"/>
          <w:marBottom w:val="0"/>
          <w:divBdr>
            <w:top w:val="none" w:sz="0" w:space="0" w:color="auto"/>
            <w:left w:val="none" w:sz="0" w:space="0" w:color="auto"/>
            <w:bottom w:val="none" w:sz="0" w:space="0" w:color="auto"/>
            <w:right w:val="none" w:sz="0" w:space="0" w:color="auto"/>
          </w:divBdr>
        </w:div>
        <w:div w:id="1956132294">
          <w:marLeft w:val="640"/>
          <w:marRight w:val="0"/>
          <w:marTop w:val="0"/>
          <w:marBottom w:val="0"/>
          <w:divBdr>
            <w:top w:val="none" w:sz="0" w:space="0" w:color="auto"/>
            <w:left w:val="none" w:sz="0" w:space="0" w:color="auto"/>
            <w:bottom w:val="none" w:sz="0" w:space="0" w:color="auto"/>
            <w:right w:val="none" w:sz="0" w:space="0" w:color="auto"/>
          </w:divBdr>
        </w:div>
        <w:div w:id="1588030854">
          <w:marLeft w:val="640"/>
          <w:marRight w:val="0"/>
          <w:marTop w:val="0"/>
          <w:marBottom w:val="0"/>
          <w:divBdr>
            <w:top w:val="none" w:sz="0" w:space="0" w:color="auto"/>
            <w:left w:val="none" w:sz="0" w:space="0" w:color="auto"/>
            <w:bottom w:val="none" w:sz="0" w:space="0" w:color="auto"/>
            <w:right w:val="none" w:sz="0" w:space="0" w:color="auto"/>
          </w:divBdr>
        </w:div>
        <w:div w:id="795637754">
          <w:marLeft w:val="640"/>
          <w:marRight w:val="0"/>
          <w:marTop w:val="0"/>
          <w:marBottom w:val="0"/>
          <w:divBdr>
            <w:top w:val="none" w:sz="0" w:space="0" w:color="auto"/>
            <w:left w:val="none" w:sz="0" w:space="0" w:color="auto"/>
            <w:bottom w:val="none" w:sz="0" w:space="0" w:color="auto"/>
            <w:right w:val="none" w:sz="0" w:space="0" w:color="auto"/>
          </w:divBdr>
        </w:div>
        <w:div w:id="2032802788">
          <w:marLeft w:val="640"/>
          <w:marRight w:val="0"/>
          <w:marTop w:val="0"/>
          <w:marBottom w:val="0"/>
          <w:divBdr>
            <w:top w:val="none" w:sz="0" w:space="0" w:color="auto"/>
            <w:left w:val="none" w:sz="0" w:space="0" w:color="auto"/>
            <w:bottom w:val="none" w:sz="0" w:space="0" w:color="auto"/>
            <w:right w:val="none" w:sz="0" w:space="0" w:color="auto"/>
          </w:divBdr>
        </w:div>
        <w:div w:id="1912542906">
          <w:marLeft w:val="640"/>
          <w:marRight w:val="0"/>
          <w:marTop w:val="0"/>
          <w:marBottom w:val="0"/>
          <w:divBdr>
            <w:top w:val="none" w:sz="0" w:space="0" w:color="auto"/>
            <w:left w:val="none" w:sz="0" w:space="0" w:color="auto"/>
            <w:bottom w:val="none" w:sz="0" w:space="0" w:color="auto"/>
            <w:right w:val="none" w:sz="0" w:space="0" w:color="auto"/>
          </w:divBdr>
        </w:div>
        <w:div w:id="809790759">
          <w:marLeft w:val="640"/>
          <w:marRight w:val="0"/>
          <w:marTop w:val="0"/>
          <w:marBottom w:val="0"/>
          <w:divBdr>
            <w:top w:val="none" w:sz="0" w:space="0" w:color="auto"/>
            <w:left w:val="none" w:sz="0" w:space="0" w:color="auto"/>
            <w:bottom w:val="none" w:sz="0" w:space="0" w:color="auto"/>
            <w:right w:val="none" w:sz="0" w:space="0" w:color="auto"/>
          </w:divBdr>
        </w:div>
        <w:div w:id="1915118650">
          <w:marLeft w:val="640"/>
          <w:marRight w:val="0"/>
          <w:marTop w:val="0"/>
          <w:marBottom w:val="0"/>
          <w:divBdr>
            <w:top w:val="none" w:sz="0" w:space="0" w:color="auto"/>
            <w:left w:val="none" w:sz="0" w:space="0" w:color="auto"/>
            <w:bottom w:val="none" w:sz="0" w:space="0" w:color="auto"/>
            <w:right w:val="none" w:sz="0" w:space="0" w:color="auto"/>
          </w:divBdr>
        </w:div>
        <w:div w:id="1659797226">
          <w:marLeft w:val="640"/>
          <w:marRight w:val="0"/>
          <w:marTop w:val="0"/>
          <w:marBottom w:val="0"/>
          <w:divBdr>
            <w:top w:val="none" w:sz="0" w:space="0" w:color="auto"/>
            <w:left w:val="none" w:sz="0" w:space="0" w:color="auto"/>
            <w:bottom w:val="none" w:sz="0" w:space="0" w:color="auto"/>
            <w:right w:val="none" w:sz="0" w:space="0" w:color="auto"/>
          </w:divBdr>
        </w:div>
        <w:div w:id="1985891546">
          <w:marLeft w:val="640"/>
          <w:marRight w:val="0"/>
          <w:marTop w:val="0"/>
          <w:marBottom w:val="0"/>
          <w:divBdr>
            <w:top w:val="none" w:sz="0" w:space="0" w:color="auto"/>
            <w:left w:val="none" w:sz="0" w:space="0" w:color="auto"/>
            <w:bottom w:val="none" w:sz="0" w:space="0" w:color="auto"/>
            <w:right w:val="none" w:sz="0" w:space="0" w:color="auto"/>
          </w:divBdr>
        </w:div>
        <w:div w:id="692465289">
          <w:marLeft w:val="640"/>
          <w:marRight w:val="0"/>
          <w:marTop w:val="0"/>
          <w:marBottom w:val="0"/>
          <w:divBdr>
            <w:top w:val="none" w:sz="0" w:space="0" w:color="auto"/>
            <w:left w:val="none" w:sz="0" w:space="0" w:color="auto"/>
            <w:bottom w:val="none" w:sz="0" w:space="0" w:color="auto"/>
            <w:right w:val="none" w:sz="0" w:space="0" w:color="auto"/>
          </w:divBdr>
        </w:div>
        <w:div w:id="863788539">
          <w:marLeft w:val="640"/>
          <w:marRight w:val="0"/>
          <w:marTop w:val="0"/>
          <w:marBottom w:val="0"/>
          <w:divBdr>
            <w:top w:val="none" w:sz="0" w:space="0" w:color="auto"/>
            <w:left w:val="none" w:sz="0" w:space="0" w:color="auto"/>
            <w:bottom w:val="none" w:sz="0" w:space="0" w:color="auto"/>
            <w:right w:val="none" w:sz="0" w:space="0" w:color="auto"/>
          </w:divBdr>
        </w:div>
        <w:div w:id="1396203263">
          <w:marLeft w:val="640"/>
          <w:marRight w:val="0"/>
          <w:marTop w:val="0"/>
          <w:marBottom w:val="0"/>
          <w:divBdr>
            <w:top w:val="none" w:sz="0" w:space="0" w:color="auto"/>
            <w:left w:val="none" w:sz="0" w:space="0" w:color="auto"/>
            <w:bottom w:val="none" w:sz="0" w:space="0" w:color="auto"/>
            <w:right w:val="none" w:sz="0" w:space="0" w:color="auto"/>
          </w:divBdr>
        </w:div>
        <w:div w:id="2061896852">
          <w:marLeft w:val="640"/>
          <w:marRight w:val="0"/>
          <w:marTop w:val="0"/>
          <w:marBottom w:val="0"/>
          <w:divBdr>
            <w:top w:val="none" w:sz="0" w:space="0" w:color="auto"/>
            <w:left w:val="none" w:sz="0" w:space="0" w:color="auto"/>
            <w:bottom w:val="none" w:sz="0" w:space="0" w:color="auto"/>
            <w:right w:val="none" w:sz="0" w:space="0" w:color="auto"/>
          </w:divBdr>
        </w:div>
        <w:div w:id="1620643041">
          <w:marLeft w:val="640"/>
          <w:marRight w:val="0"/>
          <w:marTop w:val="0"/>
          <w:marBottom w:val="0"/>
          <w:divBdr>
            <w:top w:val="none" w:sz="0" w:space="0" w:color="auto"/>
            <w:left w:val="none" w:sz="0" w:space="0" w:color="auto"/>
            <w:bottom w:val="none" w:sz="0" w:space="0" w:color="auto"/>
            <w:right w:val="none" w:sz="0" w:space="0" w:color="auto"/>
          </w:divBdr>
        </w:div>
        <w:div w:id="1967811515">
          <w:marLeft w:val="640"/>
          <w:marRight w:val="0"/>
          <w:marTop w:val="0"/>
          <w:marBottom w:val="0"/>
          <w:divBdr>
            <w:top w:val="none" w:sz="0" w:space="0" w:color="auto"/>
            <w:left w:val="none" w:sz="0" w:space="0" w:color="auto"/>
            <w:bottom w:val="none" w:sz="0" w:space="0" w:color="auto"/>
            <w:right w:val="none" w:sz="0" w:space="0" w:color="auto"/>
          </w:divBdr>
        </w:div>
        <w:div w:id="1850605765">
          <w:marLeft w:val="640"/>
          <w:marRight w:val="0"/>
          <w:marTop w:val="0"/>
          <w:marBottom w:val="0"/>
          <w:divBdr>
            <w:top w:val="none" w:sz="0" w:space="0" w:color="auto"/>
            <w:left w:val="none" w:sz="0" w:space="0" w:color="auto"/>
            <w:bottom w:val="none" w:sz="0" w:space="0" w:color="auto"/>
            <w:right w:val="none" w:sz="0" w:space="0" w:color="auto"/>
          </w:divBdr>
        </w:div>
        <w:div w:id="1420445370">
          <w:marLeft w:val="640"/>
          <w:marRight w:val="0"/>
          <w:marTop w:val="0"/>
          <w:marBottom w:val="0"/>
          <w:divBdr>
            <w:top w:val="none" w:sz="0" w:space="0" w:color="auto"/>
            <w:left w:val="none" w:sz="0" w:space="0" w:color="auto"/>
            <w:bottom w:val="none" w:sz="0" w:space="0" w:color="auto"/>
            <w:right w:val="none" w:sz="0" w:space="0" w:color="auto"/>
          </w:divBdr>
        </w:div>
        <w:div w:id="1481386766">
          <w:marLeft w:val="640"/>
          <w:marRight w:val="0"/>
          <w:marTop w:val="0"/>
          <w:marBottom w:val="0"/>
          <w:divBdr>
            <w:top w:val="none" w:sz="0" w:space="0" w:color="auto"/>
            <w:left w:val="none" w:sz="0" w:space="0" w:color="auto"/>
            <w:bottom w:val="none" w:sz="0" w:space="0" w:color="auto"/>
            <w:right w:val="none" w:sz="0" w:space="0" w:color="auto"/>
          </w:divBdr>
        </w:div>
        <w:div w:id="922882362">
          <w:marLeft w:val="640"/>
          <w:marRight w:val="0"/>
          <w:marTop w:val="0"/>
          <w:marBottom w:val="0"/>
          <w:divBdr>
            <w:top w:val="none" w:sz="0" w:space="0" w:color="auto"/>
            <w:left w:val="none" w:sz="0" w:space="0" w:color="auto"/>
            <w:bottom w:val="none" w:sz="0" w:space="0" w:color="auto"/>
            <w:right w:val="none" w:sz="0" w:space="0" w:color="auto"/>
          </w:divBdr>
        </w:div>
        <w:div w:id="677655691">
          <w:marLeft w:val="640"/>
          <w:marRight w:val="0"/>
          <w:marTop w:val="0"/>
          <w:marBottom w:val="0"/>
          <w:divBdr>
            <w:top w:val="none" w:sz="0" w:space="0" w:color="auto"/>
            <w:left w:val="none" w:sz="0" w:space="0" w:color="auto"/>
            <w:bottom w:val="none" w:sz="0" w:space="0" w:color="auto"/>
            <w:right w:val="none" w:sz="0" w:space="0" w:color="auto"/>
          </w:divBdr>
        </w:div>
        <w:div w:id="635140109">
          <w:marLeft w:val="640"/>
          <w:marRight w:val="0"/>
          <w:marTop w:val="0"/>
          <w:marBottom w:val="0"/>
          <w:divBdr>
            <w:top w:val="none" w:sz="0" w:space="0" w:color="auto"/>
            <w:left w:val="none" w:sz="0" w:space="0" w:color="auto"/>
            <w:bottom w:val="none" w:sz="0" w:space="0" w:color="auto"/>
            <w:right w:val="none" w:sz="0" w:space="0" w:color="auto"/>
          </w:divBdr>
        </w:div>
        <w:div w:id="1705591377">
          <w:marLeft w:val="640"/>
          <w:marRight w:val="0"/>
          <w:marTop w:val="0"/>
          <w:marBottom w:val="0"/>
          <w:divBdr>
            <w:top w:val="none" w:sz="0" w:space="0" w:color="auto"/>
            <w:left w:val="none" w:sz="0" w:space="0" w:color="auto"/>
            <w:bottom w:val="none" w:sz="0" w:space="0" w:color="auto"/>
            <w:right w:val="none" w:sz="0" w:space="0" w:color="auto"/>
          </w:divBdr>
        </w:div>
        <w:div w:id="1077821799">
          <w:marLeft w:val="640"/>
          <w:marRight w:val="0"/>
          <w:marTop w:val="0"/>
          <w:marBottom w:val="0"/>
          <w:divBdr>
            <w:top w:val="none" w:sz="0" w:space="0" w:color="auto"/>
            <w:left w:val="none" w:sz="0" w:space="0" w:color="auto"/>
            <w:bottom w:val="none" w:sz="0" w:space="0" w:color="auto"/>
            <w:right w:val="none" w:sz="0" w:space="0" w:color="auto"/>
          </w:divBdr>
        </w:div>
        <w:div w:id="1330986807">
          <w:marLeft w:val="640"/>
          <w:marRight w:val="0"/>
          <w:marTop w:val="0"/>
          <w:marBottom w:val="0"/>
          <w:divBdr>
            <w:top w:val="none" w:sz="0" w:space="0" w:color="auto"/>
            <w:left w:val="none" w:sz="0" w:space="0" w:color="auto"/>
            <w:bottom w:val="none" w:sz="0" w:space="0" w:color="auto"/>
            <w:right w:val="none" w:sz="0" w:space="0" w:color="auto"/>
          </w:divBdr>
        </w:div>
        <w:div w:id="36009241">
          <w:marLeft w:val="640"/>
          <w:marRight w:val="0"/>
          <w:marTop w:val="0"/>
          <w:marBottom w:val="0"/>
          <w:divBdr>
            <w:top w:val="none" w:sz="0" w:space="0" w:color="auto"/>
            <w:left w:val="none" w:sz="0" w:space="0" w:color="auto"/>
            <w:bottom w:val="none" w:sz="0" w:space="0" w:color="auto"/>
            <w:right w:val="none" w:sz="0" w:space="0" w:color="auto"/>
          </w:divBdr>
        </w:div>
        <w:div w:id="2114394130">
          <w:marLeft w:val="640"/>
          <w:marRight w:val="0"/>
          <w:marTop w:val="0"/>
          <w:marBottom w:val="0"/>
          <w:divBdr>
            <w:top w:val="none" w:sz="0" w:space="0" w:color="auto"/>
            <w:left w:val="none" w:sz="0" w:space="0" w:color="auto"/>
            <w:bottom w:val="none" w:sz="0" w:space="0" w:color="auto"/>
            <w:right w:val="none" w:sz="0" w:space="0" w:color="auto"/>
          </w:divBdr>
        </w:div>
        <w:div w:id="149177345">
          <w:marLeft w:val="640"/>
          <w:marRight w:val="0"/>
          <w:marTop w:val="0"/>
          <w:marBottom w:val="0"/>
          <w:divBdr>
            <w:top w:val="none" w:sz="0" w:space="0" w:color="auto"/>
            <w:left w:val="none" w:sz="0" w:space="0" w:color="auto"/>
            <w:bottom w:val="none" w:sz="0" w:space="0" w:color="auto"/>
            <w:right w:val="none" w:sz="0" w:space="0" w:color="auto"/>
          </w:divBdr>
        </w:div>
        <w:div w:id="974062669">
          <w:marLeft w:val="640"/>
          <w:marRight w:val="0"/>
          <w:marTop w:val="0"/>
          <w:marBottom w:val="0"/>
          <w:divBdr>
            <w:top w:val="none" w:sz="0" w:space="0" w:color="auto"/>
            <w:left w:val="none" w:sz="0" w:space="0" w:color="auto"/>
            <w:bottom w:val="none" w:sz="0" w:space="0" w:color="auto"/>
            <w:right w:val="none" w:sz="0" w:space="0" w:color="auto"/>
          </w:divBdr>
        </w:div>
        <w:div w:id="1922444650">
          <w:marLeft w:val="640"/>
          <w:marRight w:val="0"/>
          <w:marTop w:val="0"/>
          <w:marBottom w:val="0"/>
          <w:divBdr>
            <w:top w:val="none" w:sz="0" w:space="0" w:color="auto"/>
            <w:left w:val="none" w:sz="0" w:space="0" w:color="auto"/>
            <w:bottom w:val="none" w:sz="0" w:space="0" w:color="auto"/>
            <w:right w:val="none" w:sz="0" w:space="0" w:color="auto"/>
          </w:divBdr>
        </w:div>
        <w:div w:id="172962133">
          <w:marLeft w:val="640"/>
          <w:marRight w:val="0"/>
          <w:marTop w:val="0"/>
          <w:marBottom w:val="0"/>
          <w:divBdr>
            <w:top w:val="none" w:sz="0" w:space="0" w:color="auto"/>
            <w:left w:val="none" w:sz="0" w:space="0" w:color="auto"/>
            <w:bottom w:val="none" w:sz="0" w:space="0" w:color="auto"/>
            <w:right w:val="none" w:sz="0" w:space="0" w:color="auto"/>
          </w:divBdr>
        </w:div>
        <w:div w:id="367489148">
          <w:marLeft w:val="640"/>
          <w:marRight w:val="0"/>
          <w:marTop w:val="0"/>
          <w:marBottom w:val="0"/>
          <w:divBdr>
            <w:top w:val="none" w:sz="0" w:space="0" w:color="auto"/>
            <w:left w:val="none" w:sz="0" w:space="0" w:color="auto"/>
            <w:bottom w:val="none" w:sz="0" w:space="0" w:color="auto"/>
            <w:right w:val="none" w:sz="0" w:space="0" w:color="auto"/>
          </w:divBdr>
        </w:div>
        <w:div w:id="1621841760">
          <w:marLeft w:val="640"/>
          <w:marRight w:val="0"/>
          <w:marTop w:val="0"/>
          <w:marBottom w:val="0"/>
          <w:divBdr>
            <w:top w:val="none" w:sz="0" w:space="0" w:color="auto"/>
            <w:left w:val="none" w:sz="0" w:space="0" w:color="auto"/>
            <w:bottom w:val="none" w:sz="0" w:space="0" w:color="auto"/>
            <w:right w:val="none" w:sz="0" w:space="0" w:color="auto"/>
          </w:divBdr>
        </w:div>
        <w:div w:id="1367370048">
          <w:marLeft w:val="640"/>
          <w:marRight w:val="0"/>
          <w:marTop w:val="0"/>
          <w:marBottom w:val="0"/>
          <w:divBdr>
            <w:top w:val="none" w:sz="0" w:space="0" w:color="auto"/>
            <w:left w:val="none" w:sz="0" w:space="0" w:color="auto"/>
            <w:bottom w:val="none" w:sz="0" w:space="0" w:color="auto"/>
            <w:right w:val="none" w:sz="0" w:space="0" w:color="auto"/>
          </w:divBdr>
        </w:div>
        <w:div w:id="344291048">
          <w:marLeft w:val="640"/>
          <w:marRight w:val="0"/>
          <w:marTop w:val="0"/>
          <w:marBottom w:val="0"/>
          <w:divBdr>
            <w:top w:val="none" w:sz="0" w:space="0" w:color="auto"/>
            <w:left w:val="none" w:sz="0" w:space="0" w:color="auto"/>
            <w:bottom w:val="none" w:sz="0" w:space="0" w:color="auto"/>
            <w:right w:val="none" w:sz="0" w:space="0" w:color="auto"/>
          </w:divBdr>
        </w:div>
        <w:div w:id="18288269">
          <w:marLeft w:val="640"/>
          <w:marRight w:val="0"/>
          <w:marTop w:val="0"/>
          <w:marBottom w:val="0"/>
          <w:divBdr>
            <w:top w:val="none" w:sz="0" w:space="0" w:color="auto"/>
            <w:left w:val="none" w:sz="0" w:space="0" w:color="auto"/>
            <w:bottom w:val="none" w:sz="0" w:space="0" w:color="auto"/>
            <w:right w:val="none" w:sz="0" w:space="0" w:color="auto"/>
          </w:divBdr>
        </w:div>
        <w:div w:id="478763257">
          <w:marLeft w:val="640"/>
          <w:marRight w:val="0"/>
          <w:marTop w:val="0"/>
          <w:marBottom w:val="0"/>
          <w:divBdr>
            <w:top w:val="none" w:sz="0" w:space="0" w:color="auto"/>
            <w:left w:val="none" w:sz="0" w:space="0" w:color="auto"/>
            <w:bottom w:val="none" w:sz="0" w:space="0" w:color="auto"/>
            <w:right w:val="none" w:sz="0" w:space="0" w:color="auto"/>
          </w:divBdr>
        </w:div>
        <w:div w:id="869031812">
          <w:marLeft w:val="640"/>
          <w:marRight w:val="0"/>
          <w:marTop w:val="0"/>
          <w:marBottom w:val="0"/>
          <w:divBdr>
            <w:top w:val="none" w:sz="0" w:space="0" w:color="auto"/>
            <w:left w:val="none" w:sz="0" w:space="0" w:color="auto"/>
            <w:bottom w:val="none" w:sz="0" w:space="0" w:color="auto"/>
            <w:right w:val="none" w:sz="0" w:space="0" w:color="auto"/>
          </w:divBdr>
        </w:div>
        <w:div w:id="2000886322">
          <w:marLeft w:val="640"/>
          <w:marRight w:val="0"/>
          <w:marTop w:val="0"/>
          <w:marBottom w:val="0"/>
          <w:divBdr>
            <w:top w:val="none" w:sz="0" w:space="0" w:color="auto"/>
            <w:left w:val="none" w:sz="0" w:space="0" w:color="auto"/>
            <w:bottom w:val="none" w:sz="0" w:space="0" w:color="auto"/>
            <w:right w:val="none" w:sz="0" w:space="0" w:color="auto"/>
          </w:divBdr>
        </w:div>
        <w:div w:id="153569538">
          <w:marLeft w:val="640"/>
          <w:marRight w:val="0"/>
          <w:marTop w:val="0"/>
          <w:marBottom w:val="0"/>
          <w:divBdr>
            <w:top w:val="none" w:sz="0" w:space="0" w:color="auto"/>
            <w:left w:val="none" w:sz="0" w:space="0" w:color="auto"/>
            <w:bottom w:val="none" w:sz="0" w:space="0" w:color="auto"/>
            <w:right w:val="none" w:sz="0" w:space="0" w:color="auto"/>
          </w:divBdr>
        </w:div>
        <w:div w:id="1825973506">
          <w:marLeft w:val="640"/>
          <w:marRight w:val="0"/>
          <w:marTop w:val="0"/>
          <w:marBottom w:val="0"/>
          <w:divBdr>
            <w:top w:val="none" w:sz="0" w:space="0" w:color="auto"/>
            <w:left w:val="none" w:sz="0" w:space="0" w:color="auto"/>
            <w:bottom w:val="none" w:sz="0" w:space="0" w:color="auto"/>
            <w:right w:val="none" w:sz="0" w:space="0" w:color="auto"/>
          </w:divBdr>
        </w:div>
        <w:div w:id="1974869919">
          <w:marLeft w:val="640"/>
          <w:marRight w:val="0"/>
          <w:marTop w:val="0"/>
          <w:marBottom w:val="0"/>
          <w:divBdr>
            <w:top w:val="none" w:sz="0" w:space="0" w:color="auto"/>
            <w:left w:val="none" w:sz="0" w:space="0" w:color="auto"/>
            <w:bottom w:val="none" w:sz="0" w:space="0" w:color="auto"/>
            <w:right w:val="none" w:sz="0" w:space="0" w:color="auto"/>
          </w:divBdr>
        </w:div>
        <w:div w:id="887689102">
          <w:marLeft w:val="640"/>
          <w:marRight w:val="0"/>
          <w:marTop w:val="0"/>
          <w:marBottom w:val="0"/>
          <w:divBdr>
            <w:top w:val="none" w:sz="0" w:space="0" w:color="auto"/>
            <w:left w:val="none" w:sz="0" w:space="0" w:color="auto"/>
            <w:bottom w:val="none" w:sz="0" w:space="0" w:color="auto"/>
            <w:right w:val="none" w:sz="0" w:space="0" w:color="auto"/>
          </w:divBdr>
        </w:div>
        <w:div w:id="1940259891">
          <w:marLeft w:val="640"/>
          <w:marRight w:val="0"/>
          <w:marTop w:val="0"/>
          <w:marBottom w:val="0"/>
          <w:divBdr>
            <w:top w:val="none" w:sz="0" w:space="0" w:color="auto"/>
            <w:left w:val="none" w:sz="0" w:space="0" w:color="auto"/>
            <w:bottom w:val="none" w:sz="0" w:space="0" w:color="auto"/>
            <w:right w:val="none" w:sz="0" w:space="0" w:color="auto"/>
          </w:divBdr>
        </w:div>
        <w:div w:id="1974754619">
          <w:marLeft w:val="640"/>
          <w:marRight w:val="0"/>
          <w:marTop w:val="0"/>
          <w:marBottom w:val="0"/>
          <w:divBdr>
            <w:top w:val="none" w:sz="0" w:space="0" w:color="auto"/>
            <w:left w:val="none" w:sz="0" w:space="0" w:color="auto"/>
            <w:bottom w:val="none" w:sz="0" w:space="0" w:color="auto"/>
            <w:right w:val="none" w:sz="0" w:space="0" w:color="auto"/>
          </w:divBdr>
        </w:div>
        <w:div w:id="825631263">
          <w:marLeft w:val="640"/>
          <w:marRight w:val="0"/>
          <w:marTop w:val="0"/>
          <w:marBottom w:val="0"/>
          <w:divBdr>
            <w:top w:val="none" w:sz="0" w:space="0" w:color="auto"/>
            <w:left w:val="none" w:sz="0" w:space="0" w:color="auto"/>
            <w:bottom w:val="none" w:sz="0" w:space="0" w:color="auto"/>
            <w:right w:val="none" w:sz="0" w:space="0" w:color="auto"/>
          </w:divBdr>
        </w:div>
        <w:div w:id="128784504">
          <w:marLeft w:val="640"/>
          <w:marRight w:val="0"/>
          <w:marTop w:val="0"/>
          <w:marBottom w:val="0"/>
          <w:divBdr>
            <w:top w:val="none" w:sz="0" w:space="0" w:color="auto"/>
            <w:left w:val="none" w:sz="0" w:space="0" w:color="auto"/>
            <w:bottom w:val="none" w:sz="0" w:space="0" w:color="auto"/>
            <w:right w:val="none" w:sz="0" w:space="0" w:color="auto"/>
          </w:divBdr>
        </w:div>
        <w:div w:id="198400199">
          <w:marLeft w:val="640"/>
          <w:marRight w:val="0"/>
          <w:marTop w:val="0"/>
          <w:marBottom w:val="0"/>
          <w:divBdr>
            <w:top w:val="none" w:sz="0" w:space="0" w:color="auto"/>
            <w:left w:val="none" w:sz="0" w:space="0" w:color="auto"/>
            <w:bottom w:val="none" w:sz="0" w:space="0" w:color="auto"/>
            <w:right w:val="none" w:sz="0" w:space="0" w:color="auto"/>
          </w:divBdr>
        </w:div>
        <w:div w:id="1400404500">
          <w:marLeft w:val="640"/>
          <w:marRight w:val="0"/>
          <w:marTop w:val="0"/>
          <w:marBottom w:val="0"/>
          <w:divBdr>
            <w:top w:val="none" w:sz="0" w:space="0" w:color="auto"/>
            <w:left w:val="none" w:sz="0" w:space="0" w:color="auto"/>
            <w:bottom w:val="none" w:sz="0" w:space="0" w:color="auto"/>
            <w:right w:val="none" w:sz="0" w:space="0" w:color="auto"/>
          </w:divBdr>
        </w:div>
        <w:div w:id="995767375">
          <w:marLeft w:val="640"/>
          <w:marRight w:val="0"/>
          <w:marTop w:val="0"/>
          <w:marBottom w:val="0"/>
          <w:divBdr>
            <w:top w:val="none" w:sz="0" w:space="0" w:color="auto"/>
            <w:left w:val="none" w:sz="0" w:space="0" w:color="auto"/>
            <w:bottom w:val="none" w:sz="0" w:space="0" w:color="auto"/>
            <w:right w:val="none" w:sz="0" w:space="0" w:color="auto"/>
          </w:divBdr>
        </w:div>
        <w:div w:id="1687629856">
          <w:marLeft w:val="640"/>
          <w:marRight w:val="0"/>
          <w:marTop w:val="0"/>
          <w:marBottom w:val="0"/>
          <w:divBdr>
            <w:top w:val="none" w:sz="0" w:space="0" w:color="auto"/>
            <w:left w:val="none" w:sz="0" w:space="0" w:color="auto"/>
            <w:bottom w:val="none" w:sz="0" w:space="0" w:color="auto"/>
            <w:right w:val="none" w:sz="0" w:space="0" w:color="auto"/>
          </w:divBdr>
        </w:div>
        <w:div w:id="813915477">
          <w:marLeft w:val="640"/>
          <w:marRight w:val="0"/>
          <w:marTop w:val="0"/>
          <w:marBottom w:val="0"/>
          <w:divBdr>
            <w:top w:val="none" w:sz="0" w:space="0" w:color="auto"/>
            <w:left w:val="none" w:sz="0" w:space="0" w:color="auto"/>
            <w:bottom w:val="none" w:sz="0" w:space="0" w:color="auto"/>
            <w:right w:val="none" w:sz="0" w:space="0" w:color="auto"/>
          </w:divBdr>
        </w:div>
        <w:div w:id="86658300">
          <w:marLeft w:val="640"/>
          <w:marRight w:val="0"/>
          <w:marTop w:val="0"/>
          <w:marBottom w:val="0"/>
          <w:divBdr>
            <w:top w:val="none" w:sz="0" w:space="0" w:color="auto"/>
            <w:left w:val="none" w:sz="0" w:space="0" w:color="auto"/>
            <w:bottom w:val="none" w:sz="0" w:space="0" w:color="auto"/>
            <w:right w:val="none" w:sz="0" w:space="0" w:color="auto"/>
          </w:divBdr>
        </w:div>
        <w:div w:id="1985960973">
          <w:marLeft w:val="640"/>
          <w:marRight w:val="0"/>
          <w:marTop w:val="0"/>
          <w:marBottom w:val="0"/>
          <w:divBdr>
            <w:top w:val="none" w:sz="0" w:space="0" w:color="auto"/>
            <w:left w:val="none" w:sz="0" w:space="0" w:color="auto"/>
            <w:bottom w:val="none" w:sz="0" w:space="0" w:color="auto"/>
            <w:right w:val="none" w:sz="0" w:space="0" w:color="auto"/>
          </w:divBdr>
        </w:div>
        <w:div w:id="146872194">
          <w:marLeft w:val="640"/>
          <w:marRight w:val="0"/>
          <w:marTop w:val="0"/>
          <w:marBottom w:val="0"/>
          <w:divBdr>
            <w:top w:val="none" w:sz="0" w:space="0" w:color="auto"/>
            <w:left w:val="none" w:sz="0" w:space="0" w:color="auto"/>
            <w:bottom w:val="none" w:sz="0" w:space="0" w:color="auto"/>
            <w:right w:val="none" w:sz="0" w:space="0" w:color="auto"/>
          </w:divBdr>
        </w:div>
        <w:div w:id="1560627107">
          <w:marLeft w:val="640"/>
          <w:marRight w:val="0"/>
          <w:marTop w:val="0"/>
          <w:marBottom w:val="0"/>
          <w:divBdr>
            <w:top w:val="none" w:sz="0" w:space="0" w:color="auto"/>
            <w:left w:val="none" w:sz="0" w:space="0" w:color="auto"/>
            <w:bottom w:val="none" w:sz="0" w:space="0" w:color="auto"/>
            <w:right w:val="none" w:sz="0" w:space="0" w:color="auto"/>
          </w:divBdr>
        </w:div>
        <w:div w:id="1650400229">
          <w:marLeft w:val="640"/>
          <w:marRight w:val="0"/>
          <w:marTop w:val="0"/>
          <w:marBottom w:val="0"/>
          <w:divBdr>
            <w:top w:val="none" w:sz="0" w:space="0" w:color="auto"/>
            <w:left w:val="none" w:sz="0" w:space="0" w:color="auto"/>
            <w:bottom w:val="none" w:sz="0" w:space="0" w:color="auto"/>
            <w:right w:val="none" w:sz="0" w:space="0" w:color="auto"/>
          </w:divBdr>
        </w:div>
        <w:div w:id="1428228022">
          <w:marLeft w:val="640"/>
          <w:marRight w:val="0"/>
          <w:marTop w:val="0"/>
          <w:marBottom w:val="0"/>
          <w:divBdr>
            <w:top w:val="none" w:sz="0" w:space="0" w:color="auto"/>
            <w:left w:val="none" w:sz="0" w:space="0" w:color="auto"/>
            <w:bottom w:val="none" w:sz="0" w:space="0" w:color="auto"/>
            <w:right w:val="none" w:sz="0" w:space="0" w:color="auto"/>
          </w:divBdr>
        </w:div>
        <w:div w:id="818769408">
          <w:marLeft w:val="640"/>
          <w:marRight w:val="0"/>
          <w:marTop w:val="0"/>
          <w:marBottom w:val="0"/>
          <w:divBdr>
            <w:top w:val="none" w:sz="0" w:space="0" w:color="auto"/>
            <w:left w:val="none" w:sz="0" w:space="0" w:color="auto"/>
            <w:bottom w:val="none" w:sz="0" w:space="0" w:color="auto"/>
            <w:right w:val="none" w:sz="0" w:space="0" w:color="auto"/>
          </w:divBdr>
        </w:div>
        <w:div w:id="1875847185">
          <w:marLeft w:val="640"/>
          <w:marRight w:val="0"/>
          <w:marTop w:val="0"/>
          <w:marBottom w:val="0"/>
          <w:divBdr>
            <w:top w:val="none" w:sz="0" w:space="0" w:color="auto"/>
            <w:left w:val="none" w:sz="0" w:space="0" w:color="auto"/>
            <w:bottom w:val="none" w:sz="0" w:space="0" w:color="auto"/>
            <w:right w:val="none" w:sz="0" w:space="0" w:color="auto"/>
          </w:divBdr>
        </w:div>
        <w:div w:id="209191750">
          <w:marLeft w:val="640"/>
          <w:marRight w:val="0"/>
          <w:marTop w:val="0"/>
          <w:marBottom w:val="0"/>
          <w:divBdr>
            <w:top w:val="none" w:sz="0" w:space="0" w:color="auto"/>
            <w:left w:val="none" w:sz="0" w:space="0" w:color="auto"/>
            <w:bottom w:val="none" w:sz="0" w:space="0" w:color="auto"/>
            <w:right w:val="none" w:sz="0" w:space="0" w:color="auto"/>
          </w:divBdr>
        </w:div>
        <w:div w:id="1359500334">
          <w:marLeft w:val="640"/>
          <w:marRight w:val="0"/>
          <w:marTop w:val="0"/>
          <w:marBottom w:val="0"/>
          <w:divBdr>
            <w:top w:val="none" w:sz="0" w:space="0" w:color="auto"/>
            <w:left w:val="none" w:sz="0" w:space="0" w:color="auto"/>
            <w:bottom w:val="none" w:sz="0" w:space="0" w:color="auto"/>
            <w:right w:val="none" w:sz="0" w:space="0" w:color="auto"/>
          </w:divBdr>
        </w:div>
        <w:div w:id="515383799">
          <w:marLeft w:val="640"/>
          <w:marRight w:val="0"/>
          <w:marTop w:val="0"/>
          <w:marBottom w:val="0"/>
          <w:divBdr>
            <w:top w:val="none" w:sz="0" w:space="0" w:color="auto"/>
            <w:left w:val="none" w:sz="0" w:space="0" w:color="auto"/>
            <w:bottom w:val="none" w:sz="0" w:space="0" w:color="auto"/>
            <w:right w:val="none" w:sz="0" w:space="0" w:color="auto"/>
          </w:divBdr>
        </w:div>
        <w:div w:id="12610111">
          <w:marLeft w:val="640"/>
          <w:marRight w:val="0"/>
          <w:marTop w:val="0"/>
          <w:marBottom w:val="0"/>
          <w:divBdr>
            <w:top w:val="none" w:sz="0" w:space="0" w:color="auto"/>
            <w:left w:val="none" w:sz="0" w:space="0" w:color="auto"/>
            <w:bottom w:val="none" w:sz="0" w:space="0" w:color="auto"/>
            <w:right w:val="none" w:sz="0" w:space="0" w:color="auto"/>
          </w:divBdr>
        </w:div>
        <w:div w:id="1414357423">
          <w:marLeft w:val="640"/>
          <w:marRight w:val="0"/>
          <w:marTop w:val="0"/>
          <w:marBottom w:val="0"/>
          <w:divBdr>
            <w:top w:val="none" w:sz="0" w:space="0" w:color="auto"/>
            <w:left w:val="none" w:sz="0" w:space="0" w:color="auto"/>
            <w:bottom w:val="none" w:sz="0" w:space="0" w:color="auto"/>
            <w:right w:val="none" w:sz="0" w:space="0" w:color="auto"/>
          </w:divBdr>
        </w:div>
        <w:div w:id="924613545">
          <w:marLeft w:val="640"/>
          <w:marRight w:val="0"/>
          <w:marTop w:val="0"/>
          <w:marBottom w:val="0"/>
          <w:divBdr>
            <w:top w:val="none" w:sz="0" w:space="0" w:color="auto"/>
            <w:left w:val="none" w:sz="0" w:space="0" w:color="auto"/>
            <w:bottom w:val="none" w:sz="0" w:space="0" w:color="auto"/>
            <w:right w:val="none" w:sz="0" w:space="0" w:color="auto"/>
          </w:divBdr>
        </w:div>
        <w:div w:id="1479616114">
          <w:marLeft w:val="640"/>
          <w:marRight w:val="0"/>
          <w:marTop w:val="0"/>
          <w:marBottom w:val="0"/>
          <w:divBdr>
            <w:top w:val="none" w:sz="0" w:space="0" w:color="auto"/>
            <w:left w:val="none" w:sz="0" w:space="0" w:color="auto"/>
            <w:bottom w:val="none" w:sz="0" w:space="0" w:color="auto"/>
            <w:right w:val="none" w:sz="0" w:space="0" w:color="auto"/>
          </w:divBdr>
        </w:div>
        <w:div w:id="1686712601">
          <w:marLeft w:val="640"/>
          <w:marRight w:val="0"/>
          <w:marTop w:val="0"/>
          <w:marBottom w:val="0"/>
          <w:divBdr>
            <w:top w:val="none" w:sz="0" w:space="0" w:color="auto"/>
            <w:left w:val="none" w:sz="0" w:space="0" w:color="auto"/>
            <w:bottom w:val="none" w:sz="0" w:space="0" w:color="auto"/>
            <w:right w:val="none" w:sz="0" w:space="0" w:color="auto"/>
          </w:divBdr>
        </w:div>
        <w:div w:id="2107922580">
          <w:marLeft w:val="640"/>
          <w:marRight w:val="0"/>
          <w:marTop w:val="0"/>
          <w:marBottom w:val="0"/>
          <w:divBdr>
            <w:top w:val="none" w:sz="0" w:space="0" w:color="auto"/>
            <w:left w:val="none" w:sz="0" w:space="0" w:color="auto"/>
            <w:bottom w:val="none" w:sz="0" w:space="0" w:color="auto"/>
            <w:right w:val="none" w:sz="0" w:space="0" w:color="auto"/>
          </w:divBdr>
        </w:div>
        <w:div w:id="495807980">
          <w:marLeft w:val="640"/>
          <w:marRight w:val="0"/>
          <w:marTop w:val="0"/>
          <w:marBottom w:val="0"/>
          <w:divBdr>
            <w:top w:val="none" w:sz="0" w:space="0" w:color="auto"/>
            <w:left w:val="none" w:sz="0" w:space="0" w:color="auto"/>
            <w:bottom w:val="none" w:sz="0" w:space="0" w:color="auto"/>
            <w:right w:val="none" w:sz="0" w:space="0" w:color="auto"/>
          </w:divBdr>
        </w:div>
        <w:div w:id="279384001">
          <w:marLeft w:val="640"/>
          <w:marRight w:val="0"/>
          <w:marTop w:val="0"/>
          <w:marBottom w:val="0"/>
          <w:divBdr>
            <w:top w:val="none" w:sz="0" w:space="0" w:color="auto"/>
            <w:left w:val="none" w:sz="0" w:space="0" w:color="auto"/>
            <w:bottom w:val="none" w:sz="0" w:space="0" w:color="auto"/>
            <w:right w:val="none" w:sz="0" w:space="0" w:color="auto"/>
          </w:divBdr>
        </w:div>
        <w:div w:id="111170143">
          <w:marLeft w:val="640"/>
          <w:marRight w:val="0"/>
          <w:marTop w:val="0"/>
          <w:marBottom w:val="0"/>
          <w:divBdr>
            <w:top w:val="none" w:sz="0" w:space="0" w:color="auto"/>
            <w:left w:val="none" w:sz="0" w:space="0" w:color="auto"/>
            <w:bottom w:val="none" w:sz="0" w:space="0" w:color="auto"/>
            <w:right w:val="none" w:sz="0" w:space="0" w:color="auto"/>
          </w:divBdr>
        </w:div>
        <w:div w:id="290600395">
          <w:marLeft w:val="640"/>
          <w:marRight w:val="0"/>
          <w:marTop w:val="0"/>
          <w:marBottom w:val="0"/>
          <w:divBdr>
            <w:top w:val="none" w:sz="0" w:space="0" w:color="auto"/>
            <w:left w:val="none" w:sz="0" w:space="0" w:color="auto"/>
            <w:bottom w:val="none" w:sz="0" w:space="0" w:color="auto"/>
            <w:right w:val="none" w:sz="0" w:space="0" w:color="auto"/>
          </w:divBdr>
        </w:div>
        <w:div w:id="1329791231">
          <w:marLeft w:val="640"/>
          <w:marRight w:val="0"/>
          <w:marTop w:val="0"/>
          <w:marBottom w:val="0"/>
          <w:divBdr>
            <w:top w:val="none" w:sz="0" w:space="0" w:color="auto"/>
            <w:left w:val="none" w:sz="0" w:space="0" w:color="auto"/>
            <w:bottom w:val="none" w:sz="0" w:space="0" w:color="auto"/>
            <w:right w:val="none" w:sz="0" w:space="0" w:color="auto"/>
          </w:divBdr>
        </w:div>
        <w:div w:id="411004235">
          <w:marLeft w:val="640"/>
          <w:marRight w:val="0"/>
          <w:marTop w:val="0"/>
          <w:marBottom w:val="0"/>
          <w:divBdr>
            <w:top w:val="none" w:sz="0" w:space="0" w:color="auto"/>
            <w:left w:val="none" w:sz="0" w:space="0" w:color="auto"/>
            <w:bottom w:val="none" w:sz="0" w:space="0" w:color="auto"/>
            <w:right w:val="none" w:sz="0" w:space="0" w:color="auto"/>
          </w:divBdr>
        </w:div>
        <w:div w:id="321933068">
          <w:marLeft w:val="640"/>
          <w:marRight w:val="0"/>
          <w:marTop w:val="0"/>
          <w:marBottom w:val="0"/>
          <w:divBdr>
            <w:top w:val="none" w:sz="0" w:space="0" w:color="auto"/>
            <w:left w:val="none" w:sz="0" w:space="0" w:color="auto"/>
            <w:bottom w:val="none" w:sz="0" w:space="0" w:color="auto"/>
            <w:right w:val="none" w:sz="0" w:space="0" w:color="auto"/>
          </w:divBdr>
        </w:div>
        <w:div w:id="1665888919">
          <w:marLeft w:val="640"/>
          <w:marRight w:val="0"/>
          <w:marTop w:val="0"/>
          <w:marBottom w:val="0"/>
          <w:divBdr>
            <w:top w:val="none" w:sz="0" w:space="0" w:color="auto"/>
            <w:left w:val="none" w:sz="0" w:space="0" w:color="auto"/>
            <w:bottom w:val="none" w:sz="0" w:space="0" w:color="auto"/>
            <w:right w:val="none" w:sz="0" w:space="0" w:color="auto"/>
          </w:divBdr>
        </w:div>
        <w:div w:id="1140994702">
          <w:marLeft w:val="640"/>
          <w:marRight w:val="0"/>
          <w:marTop w:val="0"/>
          <w:marBottom w:val="0"/>
          <w:divBdr>
            <w:top w:val="none" w:sz="0" w:space="0" w:color="auto"/>
            <w:left w:val="none" w:sz="0" w:space="0" w:color="auto"/>
            <w:bottom w:val="none" w:sz="0" w:space="0" w:color="auto"/>
            <w:right w:val="none" w:sz="0" w:space="0" w:color="auto"/>
          </w:divBdr>
        </w:div>
        <w:div w:id="1748066448">
          <w:marLeft w:val="640"/>
          <w:marRight w:val="0"/>
          <w:marTop w:val="0"/>
          <w:marBottom w:val="0"/>
          <w:divBdr>
            <w:top w:val="none" w:sz="0" w:space="0" w:color="auto"/>
            <w:left w:val="none" w:sz="0" w:space="0" w:color="auto"/>
            <w:bottom w:val="none" w:sz="0" w:space="0" w:color="auto"/>
            <w:right w:val="none" w:sz="0" w:space="0" w:color="auto"/>
          </w:divBdr>
        </w:div>
        <w:div w:id="880098597">
          <w:marLeft w:val="640"/>
          <w:marRight w:val="0"/>
          <w:marTop w:val="0"/>
          <w:marBottom w:val="0"/>
          <w:divBdr>
            <w:top w:val="none" w:sz="0" w:space="0" w:color="auto"/>
            <w:left w:val="none" w:sz="0" w:space="0" w:color="auto"/>
            <w:bottom w:val="none" w:sz="0" w:space="0" w:color="auto"/>
            <w:right w:val="none" w:sz="0" w:space="0" w:color="auto"/>
          </w:divBdr>
        </w:div>
        <w:div w:id="1012300408">
          <w:marLeft w:val="640"/>
          <w:marRight w:val="0"/>
          <w:marTop w:val="0"/>
          <w:marBottom w:val="0"/>
          <w:divBdr>
            <w:top w:val="none" w:sz="0" w:space="0" w:color="auto"/>
            <w:left w:val="none" w:sz="0" w:space="0" w:color="auto"/>
            <w:bottom w:val="none" w:sz="0" w:space="0" w:color="auto"/>
            <w:right w:val="none" w:sz="0" w:space="0" w:color="auto"/>
          </w:divBdr>
        </w:div>
        <w:div w:id="1013603331">
          <w:marLeft w:val="640"/>
          <w:marRight w:val="0"/>
          <w:marTop w:val="0"/>
          <w:marBottom w:val="0"/>
          <w:divBdr>
            <w:top w:val="none" w:sz="0" w:space="0" w:color="auto"/>
            <w:left w:val="none" w:sz="0" w:space="0" w:color="auto"/>
            <w:bottom w:val="none" w:sz="0" w:space="0" w:color="auto"/>
            <w:right w:val="none" w:sz="0" w:space="0" w:color="auto"/>
          </w:divBdr>
        </w:div>
        <w:div w:id="701170176">
          <w:marLeft w:val="640"/>
          <w:marRight w:val="0"/>
          <w:marTop w:val="0"/>
          <w:marBottom w:val="0"/>
          <w:divBdr>
            <w:top w:val="none" w:sz="0" w:space="0" w:color="auto"/>
            <w:left w:val="none" w:sz="0" w:space="0" w:color="auto"/>
            <w:bottom w:val="none" w:sz="0" w:space="0" w:color="auto"/>
            <w:right w:val="none" w:sz="0" w:space="0" w:color="auto"/>
          </w:divBdr>
        </w:div>
        <w:div w:id="1846899150">
          <w:marLeft w:val="640"/>
          <w:marRight w:val="0"/>
          <w:marTop w:val="0"/>
          <w:marBottom w:val="0"/>
          <w:divBdr>
            <w:top w:val="none" w:sz="0" w:space="0" w:color="auto"/>
            <w:left w:val="none" w:sz="0" w:space="0" w:color="auto"/>
            <w:bottom w:val="none" w:sz="0" w:space="0" w:color="auto"/>
            <w:right w:val="none" w:sz="0" w:space="0" w:color="auto"/>
          </w:divBdr>
        </w:div>
        <w:div w:id="601259434">
          <w:marLeft w:val="640"/>
          <w:marRight w:val="0"/>
          <w:marTop w:val="0"/>
          <w:marBottom w:val="0"/>
          <w:divBdr>
            <w:top w:val="none" w:sz="0" w:space="0" w:color="auto"/>
            <w:left w:val="none" w:sz="0" w:space="0" w:color="auto"/>
            <w:bottom w:val="none" w:sz="0" w:space="0" w:color="auto"/>
            <w:right w:val="none" w:sz="0" w:space="0" w:color="auto"/>
          </w:divBdr>
        </w:div>
        <w:div w:id="1233395412">
          <w:marLeft w:val="640"/>
          <w:marRight w:val="0"/>
          <w:marTop w:val="0"/>
          <w:marBottom w:val="0"/>
          <w:divBdr>
            <w:top w:val="none" w:sz="0" w:space="0" w:color="auto"/>
            <w:left w:val="none" w:sz="0" w:space="0" w:color="auto"/>
            <w:bottom w:val="none" w:sz="0" w:space="0" w:color="auto"/>
            <w:right w:val="none" w:sz="0" w:space="0" w:color="auto"/>
          </w:divBdr>
        </w:div>
        <w:div w:id="2066638888">
          <w:marLeft w:val="640"/>
          <w:marRight w:val="0"/>
          <w:marTop w:val="0"/>
          <w:marBottom w:val="0"/>
          <w:divBdr>
            <w:top w:val="none" w:sz="0" w:space="0" w:color="auto"/>
            <w:left w:val="none" w:sz="0" w:space="0" w:color="auto"/>
            <w:bottom w:val="none" w:sz="0" w:space="0" w:color="auto"/>
            <w:right w:val="none" w:sz="0" w:space="0" w:color="auto"/>
          </w:divBdr>
        </w:div>
        <w:div w:id="729231500">
          <w:marLeft w:val="640"/>
          <w:marRight w:val="0"/>
          <w:marTop w:val="0"/>
          <w:marBottom w:val="0"/>
          <w:divBdr>
            <w:top w:val="none" w:sz="0" w:space="0" w:color="auto"/>
            <w:left w:val="none" w:sz="0" w:space="0" w:color="auto"/>
            <w:bottom w:val="none" w:sz="0" w:space="0" w:color="auto"/>
            <w:right w:val="none" w:sz="0" w:space="0" w:color="auto"/>
          </w:divBdr>
        </w:div>
        <w:div w:id="309091488">
          <w:marLeft w:val="640"/>
          <w:marRight w:val="0"/>
          <w:marTop w:val="0"/>
          <w:marBottom w:val="0"/>
          <w:divBdr>
            <w:top w:val="none" w:sz="0" w:space="0" w:color="auto"/>
            <w:left w:val="none" w:sz="0" w:space="0" w:color="auto"/>
            <w:bottom w:val="none" w:sz="0" w:space="0" w:color="auto"/>
            <w:right w:val="none" w:sz="0" w:space="0" w:color="auto"/>
          </w:divBdr>
        </w:div>
        <w:div w:id="586621065">
          <w:marLeft w:val="640"/>
          <w:marRight w:val="0"/>
          <w:marTop w:val="0"/>
          <w:marBottom w:val="0"/>
          <w:divBdr>
            <w:top w:val="none" w:sz="0" w:space="0" w:color="auto"/>
            <w:left w:val="none" w:sz="0" w:space="0" w:color="auto"/>
            <w:bottom w:val="none" w:sz="0" w:space="0" w:color="auto"/>
            <w:right w:val="none" w:sz="0" w:space="0" w:color="auto"/>
          </w:divBdr>
        </w:div>
        <w:div w:id="800463708">
          <w:marLeft w:val="640"/>
          <w:marRight w:val="0"/>
          <w:marTop w:val="0"/>
          <w:marBottom w:val="0"/>
          <w:divBdr>
            <w:top w:val="none" w:sz="0" w:space="0" w:color="auto"/>
            <w:left w:val="none" w:sz="0" w:space="0" w:color="auto"/>
            <w:bottom w:val="none" w:sz="0" w:space="0" w:color="auto"/>
            <w:right w:val="none" w:sz="0" w:space="0" w:color="auto"/>
          </w:divBdr>
        </w:div>
        <w:div w:id="1089354574">
          <w:marLeft w:val="640"/>
          <w:marRight w:val="0"/>
          <w:marTop w:val="0"/>
          <w:marBottom w:val="0"/>
          <w:divBdr>
            <w:top w:val="none" w:sz="0" w:space="0" w:color="auto"/>
            <w:left w:val="none" w:sz="0" w:space="0" w:color="auto"/>
            <w:bottom w:val="none" w:sz="0" w:space="0" w:color="auto"/>
            <w:right w:val="none" w:sz="0" w:space="0" w:color="auto"/>
          </w:divBdr>
        </w:div>
        <w:div w:id="26370830">
          <w:marLeft w:val="640"/>
          <w:marRight w:val="0"/>
          <w:marTop w:val="0"/>
          <w:marBottom w:val="0"/>
          <w:divBdr>
            <w:top w:val="none" w:sz="0" w:space="0" w:color="auto"/>
            <w:left w:val="none" w:sz="0" w:space="0" w:color="auto"/>
            <w:bottom w:val="none" w:sz="0" w:space="0" w:color="auto"/>
            <w:right w:val="none" w:sz="0" w:space="0" w:color="auto"/>
          </w:divBdr>
        </w:div>
        <w:div w:id="39983135">
          <w:marLeft w:val="640"/>
          <w:marRight w:val="0"/>
          <w:marTop w:val="0"/>
          <w:marBottom w:val="0"/>
          <w:divBdr>
            <w:top w:val="none" w:sz="0" w:space="0" w:color="auto"/>
            <w:left w:val="none" w:sz="0" w:space="0" w:color="auto"/>
            <w:bottom w:val="none" w:sz="0" w:space="0" w:color="auto"/>
            <w:right w:val="none" w:sz="0" w:space="0" w:color="auto"/>
          </w:divBdr>
        </w:div>
        <w:div w:id="185683696">
          <w:marLeft w:val="640"/>
          <w:marRight w:val="0"/>
          <w:marTop w:val="0"/>
          <w:marBottom w:val="0"/>
          <w:divBdr>
            <w:top w:val="none" w:sz="0" w:space="0" w:color="auto"/>
            <w:left w:val="none" w:sz="0" w:space="0" w:color="auto"/>
            <w:bottom w:val="none" w:sz="0" w:space="0" w:color="auto"/>
            <w:right w:val="none" w:sz="0" w:space="0" w:color="auto"/>
          </w:divBdr>
        </w:div>
        <w:div w:id="1191257169">
          <w:marLeft w:val="640"/>
          <w:marRight w:val="0"/>
          <w:marTop w:val="0"/>
          <w:marBottom w:val="0"/>
          <w:divBdr>
            <w:top w:val="none" w:sz="0" w:space="0" w:color="auto"/>
            <w:left w:val="none" w:sz="0" w:space="0" w:color="auto"/>
            <w:bottom w:val="none" w:sz="0" w:space="0" w:color="auto"/>
            <w:right w:val="none" w:sz="0" w:space="0" w:color="auto"/>
          </w:divBdr>
        </w:div>
        <w:div w:id="153031391">
          <w:marLeft w:val="640"/>
          <w:marRight w:val="0"/>
          <w:marTop w:val="0"/>
          <w:marBottom w:val="0"/>
          <w:divBdr>
            <w:top w:val="none" w:sz="0" w:space="0" w:color="auto"/>
            <w:left w:val="none" w:sz="0" w:space="0" w:color="auto"/>
            <w:bottom w:val="none" w:sz="0" w:space="0" w:color="auto"/>
            <w:right w:val="none" w:sz="0" w:space="0" w:color="auto"/>
          </w:divBdr>
        </w:div>
        <w:div w:id="1840151742">
          <w:marLeft w:val="640"/>
          <w:marRight w:val="0"/>
          <w:marTop w:val="0"/>
          <w:marBottom w:val="0"/>
          <w:divBdr>
            <w:top w:val="none" w:sz="0" w:space="0" w:color="auto"/>
            <w:left w:val="none" w:sz="0" w:space="0" w:color="auto"/>
            <w:bottom w:val="none" w:sz="0" w:space="0" w:color="auto"/>
            <w:right w:val="none" w:sz="0" w:space="0" w:color="auto"/>
          </w:divBdr>
        </w:div>
        <w:div w:id="183635305">
          <w:marLeft w:val="640"/>
          <w:marRight w:val="0"/>
          <w:marTop w:val="0"/>
          <w:marBottom w:val="0"/>
          <w:divBdr>
            <w:top w:val="none" w:sz="0" w:space="0" w:color="auto"/>
            <w:left w:val="none" w:sz="0" w:space="0" w:color="auto"/>
            <w:bottom w:val="none" w:sz="0" w:space="0" w:color="auto"/>
            <w:right w:val="none" w:sz="0" w:space="0" w:color="auto"/>
          </w:divBdr>
        </w:div>
        <w:div w:id="779299791">
          <w:marLeft w:val="640"/>
          <w:marRight w:val="0"/>
          <w:marTop w:val="0"/>
          <w:marBottom w:val="0"/>
          <w:divBdr>
            <w:top w:val="none" w:sz="0" w:space="0" w:color="auto"/>
            <w:left w:val="none" w:sz="0" w:space="0" w:color="auto"/>
            <w:bottom w:val="none" w:sz="0" w:space="0" w:color="auto"/>
            <w:right w:val="none" w:sz="0" w:space="0" w:color="auto"/>
          </w:divBdr>
        </w:div>
        <w:div w:id="684672240">
          <w:marLeft w:val="640"/>
          <w:marRight w:val="0"/>
          <w:marTop w:val="0"/>
          <w:marBottom w:val="0"/>
          <w:divBdr>
            <w:top w:val="none" w:sz="0" w:space="0" w:color="auto"/>
            <w:left w:val="none" w:sz="0" w:space="0" w:color="auto"/>
            <w:bottom w:val="none" w:sz="0" w:space="0" w:color="auto"/>
            <w:right w:val="none" w:sz="0" w:space="0" w:color="auto"/>
          </w:divBdr>
        </w:div>
        <w:div w:id="1879589880">
          <w:marLeft w:val="640"/>
          <w:marRight w:val="0"/>
          <w:marTop w:val="0"/>
          <w:marBottom w:val="0"/>
          <w:divBdr>
            <w:top w:val="none" w:sz="0" w:space="0" w:color="auto"/>
            <w:left w:val="none" w:sz="0" w:space="0" w:color="auto"/>
            <w:bottom w:val="none" w:sz="0" w:space="0" w:color="auto"/>
            <w:right w:val="none" w:sz="0" w:space="0" w:color="auto"/>
          </w:divBdr>
        </w:div>
        <w:div w:id="469322295">
          <w:marLeft w:val="640"/>
          <w:marRight w:val="0"/>
          <w:marTop w:val="0"/>
          <w:marBottom w:val="0"/>
          <w:divBdr>
            <w:top w:val="none" w:sz="0" w:space="0" w:color="auto"/>
            <w:left w:val="none" w:sz="0" w:space="0" w:color="auto"/>
            <w:bottom w:val="none" w:sz="0" w:space="0" w:color="auto"/>
            <w:right w:val="none" w:sz="0" w:space="0" w:color="auto"/>
          </w:divBdr>
        </w:div>
        <w:div w:id="528419503">
          <w:marLeft w:val="640"/>
          <w:marRight w:val="0"/>
          <w:marTop w:val="0"/>
          <w:marBottom w:val="0"/>
          <w:divBdr>
            <w:top w:val="none" w:sz="0" w:space="0" w:color="auto"/>
            <w:left w:val="none" w:sz="0" w:space="0" w:color="auto"/>
            <w:bottom w:val="none" w:sz="0" w:space="0" w:color="auto"/>
            <w:right w:val="none" w:sz="0" w:space="0" w:color="auto"/>
          </w:divBdr>
        </w:div>
        <w:div w:id="1972401489">
          <w:marLeft w:val="640"/>
          <w:marRight w:val="0"/>
          <w:marTop w:val="0"/>
          <w:marBottom w:val="0"/>
          <w:divBdr>
            <w:top w:val="none" w:sz="0" w:space="0" w:color="auto"/>
            <w:left w:val="none" w:sz="0" w:space="0" w:color="auto"/>
            <w:bottom w:val="none" w:sz="0" w:space="0" w:color="auto"/>
            <w:right w:val="none" w:sz="0" w:space="0" w:color="auto"/>
          </w:divBdr>
        </w:div>
        <w:div w:id="1429543347">
          <w:marLeft w:val="640"/>
          <w:marRight w:val="0"/>
          <w:marTop w:val="0"/>
          <w:marBottom w:val="0"/>
          <w:divBdr>
            <w:top w:val="none" w:sz="0" w:space="0" w:color="auto"/>
            <w:left w:val="none" w:sz="0" w:space="0" w:color="auto"/>
            <w:bottom w:val="none" w:sz="0" w:space="0" w:color="auto"/>
            <w:right w:val="none" w:sz="0" w:space="0" w:color="auto"/>
          </w:divBdr>
        </w:div>
        <w:div w:id="424768317">
          <w:marLeft w:val="640"/>
          <w:marRight w:val="0"/>
          <w:marTop w:val="0"/>
          <w:marBottom w:val="0"/>
          <w:divBdr>
            <w:top w:val="none" w:sz="0" w:space="0" w:color="auto"/>
            <w:left w:val="none" w:sz="0" w:space="0" w:color="auto"/>
            <w:bottom w:val="none" w:sz="0" w:space="0" w:color="auto"/>
            <w:right w:val="none" w:sz="0" w:space="0" w:color="auto"/>
          </w:divBdr>
        </w:div>
        <w:div w:id="2090039785">
          <w:marLeft w:val="640"/>
          <w:marRight w:val="0"/>
          <w:marTop w:val="0"/>
          <w:marBottom w:val="0"/>
          <w:divBdr>
            <w:top w:val="none" w:sz="0" w:space="0" w:color="auto"/>
            <w:left w:val="none" w:sz="0" w:space="0" w:color="auto"/>
            <w:bottom w:val="none" w:sz="0" w:space="0" w:color="auto"/>
            <w:right w:val="none" w:sz="0" w:space="0" w:color="auto"/>
          </w:divBdr>
        </w:div>
        <w:div w:id="568461837">
          <w:marLeft w:val="640"/>
          <w:marRight w:val="0"/>
          <w:marTop w:val="0"/>
          <w:marBottom w:val="0"/>
          <w:divBdr>
            <w:top w:val="none" w:sz="0" w:space="0" w:color="auto"/>
            <w:left w:val="none" w:sz="0" w:space="0" w:color="auto"/>
            <w:bottom w:val="none" w:sz="0" w:space="0" w:color="auto"/>
            <w:right w:val="none" w:sz="0" w:space="0" w:color="auto"/>
          </w:divBdr>
        </w:div>
        <w:div w:id="1921910380">
          <w:marLeft w:val="640"/>
          <w:marRight w:val="0"/>
          <w:marTop w:val="0"/>
          <w:marBottom w:val="0"/>
          <w:divBdr>
            <w:top w:val="none" w:sz="0" w:space="0" w:color="auto"/>
            <w:left w:val="none" w:sz="0" w:space="0" w:color="auto"/>
            <w:bottom w:val="none" w:sz="0" w:space="0" w:color="auto"/>
            <w:right w:val="none" w:sz="0" w:space="0" w:color="auto"/>
          </w:divBdr>
        </w:div>
        <w:div w:id="604777167">
          <w:marLeft w:val="640"/>
          <w:marRight w:val="0"/>
          <w:marTop w:val="0"/>
          <w:marBottom w:val="0"/>
          <w:divBdr>
            <w:top w:val="none" w:sz="0" w:space="0" w:color="auto"/>
            <w:left w:val="none" w:sz="0" w:space="0" w:color="auto"/>
            <w:bottom w:val="none" w:sz="0" w:space="0" w:color="auto"/>
            <w:right w:val="none" w:sz="0" w:space="0" w:color="auto"/>
          </w:divBdr>
        </w:div>
        <w:div w:id="288360580">
          <w:marLeft w:val="640"/>
          <w:marRight w:val="0"/>
          <w:marTop w:val="0"/>
          <w:marBottom w:val="0"/>
          <w:divBdr>
            <w:top w:val="none" w:sz="0" w:space="0" w:color="auto"/>
            <w:left w:val="none" w:sz="0" w:space="0" w:color="auto"/>
            <w:bottom w:val="none" w:sz="0" w:space="0" w:color="auto"/>
            <w:right w:val="none" w:sz="0" w:space="0" w:color="auto"/>
          </w:divBdr>
        </w:div>
        <w:div w:id="1622803413">
          <w:marLeft w:val="640"/>
          <w:marRight w:val="0"/>
          <w:marTop w:val="0"/>
          <w:marBottom w:val="0"/>
          <w:divBdr>
            <w:top w:val="none" w:sz="0" w:space="0" w:color="auto"/>
            <w:left w:val="none" w:sz="0" w:space="0" w:color="auto"/>
            <w:bottom w:val="none" w:sz="0" w:space="0" w:color="auto"/>
            <w:right w:val="none" w:sz="0" w:space="0" w:color="auto"/>
          </w:divBdr>
        </w:div>
        <w:div w:id="624166630">
          <w:marLeft w:val="640"/>
          <w:marRight w:val="0"/>
          <w:marTop w:val="0"/>
          <w:marBottom w:val="0"/>
          <w:divBdr>
            <w:top w:val="none" w:sz="0" w:space="0" w:color="auto"/>
            <w:left w:val="none" w:sz="0" w:space="0" w:color="auto"/>
            <w:bottom w:val="none" w:sz="0" w:space="0" w:color="auto"/>
            <w:right w:val="none" w:sz="0" w:space="0" w:color="auto"/>
          </w:divBdr>
        </w:div>
        <w:div w:id="76904041">
          <w:marLeft w:val="640"/>
          <w:marRight w:val="0"/>
          <w:marTop w:val="0"/>
          <w:marBottom w:val="0"/>
          <w:divBdr>
            <w:top w:val="none" w:sz="0" w:space="0" w:color="auto"/>
            <w:left w:val="none" w:sz="0" w:space="0" w:color="auto"/>
            <w:bottom w:val="none" w:sz="0" w:space="0" w:color="auto"/>
            <w:right w:val="none" w:sz="0" w:space="0" w:color="auto"/>
          </w:divBdr>
        </w:div>
        <w:div w:id="554241131">
          <w:marLeft w:val="640"/>
          <w:marRight w:val="0"/>
          <w:marTop w:val="0"/>
          <w:marBottom w:val="0"/>
          <w:divBdr>
            <w:top w:val="none" w:sz="0" w:space="0" w:color="auto"/>
            <w:left w:val="none" w:sz="0" w:space="0" w:color="auto"/>
            <w:bottom w:val="none" w:sz="0" w:space="0" w:color="auto"/>
            <w:right w:val="none" w:sz="0" w:space="0" w:color="auto"/>
          </w:divBdr>
        </w:div>
        <w:div w:id="31542290">
          <w:marLeft w:val="640"/>
          <w:marRight w:val="0"/>
          <w:marTop w:val="0"/>
          <w:marBottom w:val="0"/>
          <w:divBdr>
            <w:top w:val="none" w:sz="0" w:space="0" w:color="auto"/>
            <w:left w:val="none" w:sz="0" w:space="0" w:color="auto"/>
            <w:bottom w:val="none" w:sz="0" w:space="0" w:color="auto"/>
            <w:right w:val="none" w:sz="0" w:space="0" w:color="auto"/>
          </w:divBdr>
        </w:div>
        <w:div w:id="1179927880">
          <w:marLeft w:val="640"/>
          <w:marRight w:val="0"/>
          <w:marTop w:val="0"/>
          <w:marBottom w:val="0"/>
          <w:divBdr>
            <w:top w:val="none" w:sz="0" w:space="0" w:color="auto"/>
            <w:left w:val="none" w:sz="0" w:space="0" w:color="auto"/>
            <w:bottom w:val="none" w:sz="0" w:space="0" w:color="auto"/>
            <w:right w:val="none" w:sz="0" w:space="0" w:color="auto"/>
          </w:divBdr>
        </w:div>
        <w:div w:id="1771850286">
          <w:marLeft w:val="640"/>
          <w:marRight w:val="0"/>
          <w:marTop w:val="0"/>
          <w:marBottom w:val="0"/>
          <w:divBdr>
            <w:top w:val="none" w:sz="0" w:space="0" w:color="auto"/>
            <w:left w:val="none" w:sz="0" w:space="0" w:color="auto"/>
            <w:bottom w:val="none" w:sz="0" w:space="0" w:color="auto"/>
            <w:right w:val="none" w:sz="0" w:space="0" w:color="auto"/>
          </w:divBdr>
        </w:div>
        <w:div w:id="1249654950">
          <w:marLeft w:val="640"/>
          <w:marRight w:val="0"/>
          <w:marTop w:val="0"/>
          <w:marBottom w:val="0"/>
          <w:divBdr>
            <w:top w:val="none" w:sz="0" w:space="0" w:color="auto"/>
            <w:left w:val="none" w:sz="0" w:space="0" w:color="auto"/>
            <w:bottom w:val="none" w:sz="0" w:space="0" w:color="auto"/>
            <w:right w:val="none" w:sz="0" w:space="0" w:color="auto"/>
          </w:divBdr>
        </w:div>
        <w:div w:id="2005205411">
          <w:marLeft w:val="640"/>
          <w:marRight w:val="0"/>
          <w:marTop w:val="0"/>
          <w:marBottom w:val="0"/>
          <w:divBdr>
            <w:top w:val="none" w:sz="0" w:space="0" w:color="auto"/>
            <w:left w:val="none" w:sz="0" w:space="0" w:color="auto"/>
            <w:bottom w:val="none" w:sz="0" w:space="0" w:color="auto"/>
            <w:right w:val="none" w:sz="0" w:space="0" w:color="auto"/>
          </w:divBdr>
        </w:div>
        <w:div w:id="157499326">
          <w:marLeft w:val="640"/>
          <w:marRight w:val="0"/>
          <w:marTop w:val="0"/>
          <w:marBottom w:val="0"/>
          <w:divBdr>
            <w:top w:val="none" w:sz="0" w:space="0" w:color="auto"/>
            <w:left w:val="none" w:sz="0" w:space="0" w:color="auto"/>
            <w:bottom w:val="none" w:sz="0" w:space="0" w:color="auto"/>
            <w:right w:val="none" w:sz="0" w:space="0" w:color="auto"/>
          </w:divBdr>
        </w:div>
        <w:div w:id="2125153778">
          <w:marLeft w:val="640"/>
          <w:marRight w:val="0"/>
          <w:marTop w:val="0"/>
          <w:marBottom w:val="0"/>
          <w:divBdr>
            <w:top w:val="none" w:sz="0" w:space="0" w:color="auto"/>
            <w:left w:val="none" w:sz="0" w:space="0" w:color="auto"/>
            <w:bottom w:val="none" w:sz="0" w:space="0" w:color="auto"/>
            <w:right w:val="none" w:sz="0" w:space="0" w:color="auto"/>
          </w:divBdr>
        </w:div>
        <w:div w:id="866019368">
          <w:marLeft w:val="640"/>
          <w:marRight w:val="0"/>
          <w:marTop w:val="0"/>
          <w:marBottom w:val="0"/>
          <w:divBdr>
            <w:top w:val="none" w:sz="0" w:space="0" w:color="auto"/>
            <w:left w:val="none" w:sz="0" w:space="0" w:color="auto"/>
            <w:bottom w:val="none" w:sz="0" w:space="0" w:color="auto"/>
            <w:right w:val="none" w:sz="0" w:space="0" w:color="auto"/>
          </w:divBdr>
        </w:div>
        <w:div w:id="1911497747">
          <w:marLeft w:val="640"/>
          <w:marRight w:val="0"/>
          <w:marTop w:val="0"/>
          <w:marBottom w:val="0"/>
          <w:divBdr>
            <w:top w:val="none" w:sz="0" w:space="0" w:color="auto"/>
            <w:left w:val="none" w:sz="0" w:space="0" w:color="auto"/>
            <w:bottom w:val="none" w:sz="0" w:space="0" w:color="auto"/>
            <w:right w:val="none" w:sz="0" w:space="0" w:color="auto"/>
          </w:divBdr>
        </w:div>
        <w:div w:id="499004478">
          <w:marLeft w:val="640"/>
          <w:marRight w:val="0"/>
          <w:marTop w:val="0"/>
          <w:marBottom w:val="0"/>
          <w:divBdr>
            <w:top w:val="none" w:sz="0" w:space="0" w:color="auto"/>
            <w:left w:val="none" w:sz="0" w:space="0" w:color="auto"/>
            <w:bottom w:val="none" w:sz="0" w:space="0" w:color="auto"/>
            <w:right w:val="none" w:sz="0" w:space="0" w:color="auto"/>
          </w:divBdr>
        </w:div>
        <w:div w:id="776952782">
          <w:marLeft w:val="640"/>
          <w:marRight w:val="0"/>
          <w:marTop w:val="0"/>
          <w:marBottom w:val="0"/>
          <w:divBdr>
            <w:top w:val="none" w:sz="0" w:space="0" w:color="auto"/>
            <w:left w:val="none" w:sz="0" w:space="0" w:color="auto"/>
            <w:bottom w:val="none" w:sz="0" w:space="0" w:color="auto"/>
            <w:right w:val="none" w:sz="0" w:space="0" w:color="auto"/>
          </w:divBdr>
        </w:div>
        <w:div w:id="584150854">
          <w:marLeft w:val="640"/>
          <w:marRight w:val="0"/>
          <w:marTop w:val="0"/>
          <w:marBottom w:val="0"/>
          <w:divBdr>
            <w:top w:val="none" w:sz="0" w:space="0" w:color="auto"/>
            <w:left w:val="none" w:sz="0" w:space="0" w:color="auto"/>
            <w:bottom w:val="none" w:sz="0" w:space="0" w:color="auto"/>
            <w:right w:val="none" w:sz="0" w:space="0" w:color="auto"/>
          </w:divBdr>
        </w:div>
        <w:div w:id="1445492612">
          <w:marLeft w:val="640"/>
          <w:marRight w:val="0"/>
          <w:marTop w:val="0"/>
          <w:marBottom w:val="0"/>
          <w:divBdr>
            <w:top w:val="none" w:sz="0" w:space="0" w:color="auto"/>
            <w:left w:val="none" w:sz="0" w:space="0" w:color="auto"/>
            <w:bottom w:val="none" w:sz="0" w:space="0" w:color="auto"/>
            <w:right w:val="none" w:sz="0" w:space="0" w:color="auto"/>
          </w:divBdr>
        </w:div>
        <w:div w:id="1732079128">
          <w:marLeft w:val="640"/>
          <w:marRight w:val="0"/>
          <w:marTop w:val="0"/>
          <w:marBottom w:val="0"/>
          <w:divBdr>
            <w:top w:val="none" w:sz="0" w:space="0" w:color="auto"/>
            <w:left w:val="none" w:sz="0" w:space="0" w:color="auto"/>
            <w:bottom w:val="none" w:sz="0" w:space="0" w:color="auto"/>
            <w:right w:val="none" w:sz="0" w:space="0" w:color="auto"/>
          </w:divBdr>
        </w:div>
        <w:div w:id="1475685221">
          <w:marLeft w:val="640"/>
          <w:marRight w:val="0"/>
          <w:marTop w:val="0"/>
          <w:marBottom w:val="0"/>
          <w:divBdr>
            <w:top w:val="none" w:sz="0" w:space="0" w:color="auto"/>
            <w:left w:val="none" w:sz="0" w:space="0" w:color="auto"/>
            <w:bottom w:val="none" w:sz="0" w:space="0" w:color="auto"/>
            <w:right w:val="none" w:sz="0" w:space="0" w:color="auto"/>
          </w:divBdr>
        </w:div>
        <w:div w:id="365914783">
          <w:marLeft w:val="640"/>
          <w:marRight w:val="0"/>
          <w:marTop w:val="0"/>
          <w:marBottom w:val="0"/>
          <w:divBdr>
            <w:top w:val="none" w:sz="0" w:space="0" w:color="auto"/>
            <w:left w:val="none" w:sz="0" w:space="0" w:color="auto"/>
            <w:bottom w:val="none" w:sz="0" w:space="0" w:color="auto"/>
            <w:right w:val="none" w:sz="0" w:space="0" w:color="auto"/>
          </w:divBdr>
        </w:div>
        <w:div w:id="60105885">
          <w:marLeft w:val="640"/>
          <w:marRight w:val="0"/>
          <w:marTop w:val="0"/>
          <w:marBottom w:val="0"/>
          <w:divBdr>
            <w:top w:val="none" w:sz="0" w:space="0" w:color="auto"/>
            <w:left w:val="none" w:sz="0" w:space="0" w:color="auto"/>
            <w:bottom w:val="none" w:sz="0" w:space="0" w:color="auto"/>
            <w:right w:val="none" w:sz="0" w:space="0" w:color="auto"/>
          </w:divBdr>
        </w:div>
        <w:div w:id="256981376">
          <w:marLeft w:val="640"/>
          <w:marRight w:val="0"/>
          <w:marTop w:val="0"/>
          <w:marBottom w:val="0"/>
          <w:divBdr>
            <w:top w:val="none" w:sz="0" w:space="0" w:color="auto"/>
            <w:left w:val="none" w:sz="0" w:space="0" w:color="auto"/>
            <w:bottom w:val="none" w:sz="0" w:space="0" w:color="auto"/>
            <w:right w:val="none" w:sz="0" w:space="0" w:color="auto"/>
          </w:divBdr>
        </w:div>
        <w:div w:id="826628278">
          <w:marLeft w:val="640"/>
          <w:marRight w:val="0"/>
          <w:marTop w:val="0"/>
          <w:marBottom w:val="0"/>
          <w:divBdr>
            <w:top w:val="none" w:sz="0" w:space="0" w:color="auto"/>
            <w:left w:val="none" w:sz="0" w:space="0" w:color="auto"/>
            <w:bottom w:val="none" w:sz="0" w:space="0" w:color="auto"/>
            <w:right w:val="none" w:sz="0" w:space="0" w:color="auto"/>
          </w:divBdr>
        </w:div>
        <w:div w:id="742604110">
          <w:marLeft w:val="640"/>
          <w:marRight w:val="0"/>
          <w:marTop w:val="0"/>
          <w:marBottom w:val="0"/>
          <w:divBdr>
            <w:top w:val="none" w:sz="0" w:space="0" w:color="auto"/>
            <w:left w:val="none" w:sz="0" w:space="0" w:color="auto"/>
            <w:bottom w:val="none" w:sz="0" w:space="0" w:color="auto"/>
            <w:right w:val="none" w:sz="0" w:space="0" w:color="auto"/>
          </w:divBdr>
        </w:div>
        <w:div w:id="1855994295">
          <w:marLeft w:val="640"/>
          <w:marRight w:val="0"/>
          <w:marTop w:val="0"/>
          <w:marBottom w:val="0"/>
          <w:divBdr>
            <w:top w:val="none" w:sz="0" w:space="0" w:color="auto"/>
            <w:left w:val="none" w:sz="0" w:space="0" w:color="auto"/>
            <w:bottom w:val="none" w:sz="0" w:space="0" w:color="auto"/>
            <w:right w:val="none" w:sz="0" w:space="0" w:color="auto"/>
          </w:divBdr>
        </w:div>
        <w:div w:id="1074357885">
          <w:marLeft w:val="640"/>
          <w:marRight w:val="0"/>
          <w:marTop w:val="0"/>
          <w:marBottom w:val="0"/>
          <w:divBdr>
            <w:top w:val="none" w:sz="0" w:space="0" w:color="auto"/>
            <w:left w:val="none" w:sz="0" w:space="0" w:color="auto"/>
            <w:bottom w:val="none" w:sz="0" w:space="0" w:color="auto"/>
            <w:right w:val="none" w:sz="0" w:space="0" w:color="auto"/>
          </w:divBdr>
        </w:div>
        <w:div w:id="1521240968">
          <w:marLeft w:val="640"/>
          <w:marRight w:val="0"/>
          <w:marTop w:val="0"/>
          <w:marBottom w:val="0"/>
          <w:divBdr>
            <w:top w:val="none" w:sz="0" w:space="0" w:color="auto"/>
            <w:left w:val="none" w:sz="0" w:space="0" w:color="auto"/>
            <w:bottom w:val="none" w:sz="0" w:space="0" w:color="auto"/>
            <w:right w:val="none" w:sz="0" w:space="0" w:color="auto"/>
          </w:divBdr>
        </w:div>
        <w:div w:id="924001370">
          <w:marLeft w:val="640"/>
          <w:marRight w:val="0"/>
          <w:marTop w:val="0"/>
          <w:marBottom w:val="0"/>
          <w:divBdr>
            <w:top w:val="none" w:sz="0" w:space="0" w:color="auto"/>
            <w:left w:val="none" w:sz="0" w:space="0" w:color="auto"/>
            <w:bottom w:val="none" w:sz="0" w:space="0" w:color="auto"/>
            <w:right w:val="none" w:sz="0" w:space="0" w:color="auto"/>
          </w:divBdr>
        </w:div>
        <w:div w:id="1170094760">
          <w:marLeft w:val="640"/>
          <w:marRight w:val="0"/>
          <w:marTop w:val="0"/>
          <w:marBottom w:val="0"/>
          <w:divBdr>
            <w:top w:val="none" w:sz="0" w:space="0" w:color="auto"/>
            <w:left w:val="none" w:sz="0" w:space="0" w:color="auto"/>
            <w:bottom w:val="none" w:sz="0" w:space="0" w:color="auto"/>
            <w:right w:val="none" w:sz="0" w:space="0" w:color="auto"/>
          </w:divBdr>
        </w:div>
        <w:div w:id="806119812">
          <w:marLeft w:val="640"/>
          <w:marRight w:val="0"/>
          <w:marTop w:val="0"/>
          <w:marBottom w:val="0"/>
          <w:divBdr>
            <w:top w:val="none" w:sz="0" w:space="0" w:color="auto"/>
            <w:left w:val="none" w:sz="0" w:space="0" w:color="auto"/>
            <w:bottom w:val="none" w:sz="0" w:space="0" w:color="auto"/>
            <w:right w:val="none" w:sz="0" w:space="0" w:color="auto"/>
          </w:divBdr>
        </w:div>
        <w:div w:id="276257381">
          <w:marLeft w:val="640"/>
          <w:marRight w:val="0"/>
          <w:marTop w:val="0"/>
          <w:marBottom w:val="0"/>
          <w:divBdr>
            <w:top w:val="none" w:sz="0" w:space="0" w:color="auto"/>
            <w:left w:val="none" w:sz="0" w:space="0" w:color="auto"/>
            <w:bottom w:val="none" w:sz="0" w:space="0" w:color="auto"/>
            <w:right w:val="none" w:sz="0" w:space="0" w:color="auto"/>
          </w:divBdr>
        </w:div>
        <w:div w:id="909115543">
          <w:marLeft w:val="640"/>
          <w:marRight w:val="0"/>
          <w:marTop w:val="0"/>
          <w:marBottom w:val="0"/>
          <w:divBdr>
            <w:top w:val="none" w:sz="0" w:space="0" w:color="auto"/>
            <w:left w:val="none" w:sz="0" w:space="0" w:color="auto"/>
            <w:bottom w:val="none" w:sz="0" w:space="0" w:color="auto"/>
            <w:right w:val="none" w:sz="0" w:space="0" w:color="auto"/>
          </w:divBdr>
        </w:div>
        <w:div w:id="1740325044">
          <w:marLeft w:val="640"/>
          <w:marRight w:val="0"/>
          <w:marTop w:val="0"/>
          <w:marBottom w:val="0"/>
          <w:divBdr>
            <w:top w:val="none" w:sz="0" w:space="0" w:color="auto"/>
            <w:left w:val="none" w:sz="0" w:space="0" w:color="auto"/>
            <w:bottom w:val="none" w:sz="0" w:space="0" w:color="auto"/>
            <w:right w:val="none" w:sz="0" w:space="0" w:color="auto"/>
          </w:divBdr>
        </w:div>
        <w:div w:id="1986348220">
          <w:marLeft w:val="640"/>
          <w:marRight w:val="0"/>
          <w:marTop w:val="0"/>
          <w:marBottom w:val="0"/>
          <w:divBdr>
            <w:top w:val="none" w:sz="0" w:space="0" w:color="auto"/>
            <w:left w:val="none" w:sz="0" w:space="0" w:color="auto"/>
            <w:bottom w:val="none" w:sz="0" w:space="0" w:color="auto"/>
            <w:right w:val="none" w:sz="0" w:space="0" w:color="auto"/>
          </w:divBdr>
        </w:div>
        <w:div w:id="2014644791">
          <w:marLeft w:val="640"/>
          <w:marRight w:val="0"/>
          <w:marTop w:val="0"/>
          <w:marBottom w:val="0"/>
          <w:divBdr>
            <w:top w:val="none" w:sz="0" w:space="0" w:color="auto"/>
            <w:left w:val="none" w:sz="0" w:space="0" w:color="auto"/>
            <w:bottom w:val="none" w:sz="0" w:space="0" w:color="auto"/>
            <w:right w:val="none" w:sz="0" w:space="0" w:color="auto"/>
          </w:divBdr>
        </w:div>
        <w:div w:id="593172002">
          <w:marLeft w:val="640"/>
          <w:marRight w:val="0"/>
          <w:marTop w:val="0"/>
          <w:marBottom w:val="0"/>
          <w:divBdr>
            <w:top w:val="none" w:sz="0" w:space="0" w:color="auto"/>
            <w:left w:val="none" w:sz="0" w:space="0" w:color="auto"/>
            <w:bottom w:val="none" w:sz="0" w:space="0" w:color="auto"/>
            <w:right w:val="none" w:sz="0" w:space="0" w:color="auto"/>
          </w:divBdr>
        </w:div>
        <w:div w:id="1429547167">
          <w:marLeft w:val="640"/>
          <w:marRight w:val="0"/>
          <w:marTop w:val="0"/>
          <w:marBottom w:val="0"/>
          <w:divBdr>
            <w:top w:val="none" w:sz="0" w:space="0" w:color="auto"/>
            <w:left w:val="none" w:sz="0" w:space="0" w:color="auto"/>
            <w:bottom w:val="none" w:sz="0" w:space="0" w:color="auto"/>
            <w:right w:val="none" w:sz="0" w:space="0" w:color="auto"/>
          </w:divBdr>
        </w:div>
        <w:div w:id="841121592">
          <w:marLeft w:val="640"/>
          <w:marRight w:val="0"/>
          <w:marTop w:val="0"/>
          <w:marBottom w:val="0"/>
          <w:divBdr>
            <w:top w:val="none" w:sz="0" w:space="0" w:color="auto"/>
            <w:left w:val="none" w:sz="0" w:space="0" w:color="auto"/>
            <w:bottom w:val="none" w:sz="0" w:space="0" w:color="auto"/>
            <w:right w:val="none" w:sz="0" w:space="0" w:color="auto"/>
          </w:divBdr>
        </w:div>
        <w:div w:id="1242905187">
          <w:marLeft w:val="640"/>
          <w:marRight w:val="0"/>
          <w:marTop w:val="0"/>
          <w:marBottom w:val="0"/>
          <w:divBdr>
            <w:top w:val="none" w:sz="0" w:space="0" w:color="auto"/>
            <w:left w:val="none" w:sz="0" w:space="0" w:color="auto"/>
            <w:bottom w:val="none" w:sz="0" w:space="0" w:color="auto"/>
            <w:right w:val="none" w:sz="0" w:space="0" w:color="auto"/>
          </w:divBdr>
        </w:div>
        <w:div w:id="1562910383">
          <w:marLeft w:val="640"/>
          <w:marRight w:val="0"/>
          <w:marTop w:val="0"/>
          <w:marBottom w:val="0"/>
          <w:divBdr>
            <w:top w:val="none" w:sz="0" w:space="0" w:color="auto"/>
            <w:left w:val="none" w:sz="0" w:space="0" w:color="auto"/>
            <w:bottom w:val="none" w:sz="0" w:space="0" w:color="auto"/>
            <w:right w:val="none" w:sz="0" w:space="0" w:color="auto"/>
          </w:divBdr>
        </w:div>
        <w:div w:id="341277271">
          <w:marLeft w:val="640"/>
          <w:marRight w:val="0"/>
          <w:marTop w:val="0"/>
          <w:marBottom w:val="0"/>
          <w:divBdr>
            <w:top w:val="none" w:sz="0" w:space="0" w:color="auto"/>
            <w:left w:val="none" w:sz="0" w:space="0" w:color="auto"/>
            <w:bottom w:val="none" w:sz="0" w:space="0" w:color="auto"/>
            <w:right w:val="none" w:sz="0" w:space="0" w:color="auto"/>
          </w:divBdr>
        </w:div>
        <w:div w:id="1887835036">
          <w:marLeft w:val="640"/>
          <w:marRight w:val="0"/>
          <w:marTop w:val="0"/>
          <w:marBottom w:val="0"/>
          <w:divBdr>
            <w:top w:val="none" w:sz="0" w:space="0" w:color="auto"/>
            <w:left w:val="none" w:sz="0" w:space="0" w:color="auto"/>
            <w:bottom w:val="none" w:sz="0" w:space="0" w:color="auto"/>
            <w:right w:val="none" w:sz="0" w:space="0" w:color="auto"/>
          </w:divBdr>
        </w:div>
        <w:div w:id="1180195806">
          <w:marLeft w:val="640"/>
          <w:marRight w:val="0"/>
          <w:marTop w:val="0"/>
          <w:marBottom w:val="0"/>
          <w:divBdr>
            <w:top w:val="none" w:sz="0" w:space="0" w:color="auto"/>
            <w:left w:val="none" w:sz="0" w:space="0" w:color="auto"/>
            <w:bottom w:val="none" w:sz="0" w:space="0" w:color="auto"/>
            <w:right w:val="none" w:sz="0" w:space="0" w:color="auto"/>
          </w:divBdr>
        </w:div>
        <w:div w:id="1830049510">
          <w:marLeft w:val="640"/>
          <w:marRight w:val="0"/>
          <w:marTop w:val="0"/>
          <w:marBottom w:val="0"/>
          <w:divBdr>
            <w:top w:val="none" w:sz="0" w:space="0" w:color="auto"/>
            <w:left w:val="none" w:sz="0" w:space="0" w:color="auto"/>
            <w:bottom w:val="none" w:sz="0" w:space="0" w:color="auto"/>
            <w:right w:val="none" w:sz="0" w:space="0" w:color="auto"/>
          </w:divBdr>
        </w:div>
        <w:div w:id="1340087267">
          <w:marLeft w:val="640"/>
          <w:marRight w:val="0"/>
          <w:marTop w:val="0"/>
          <w:marBottom w:val="0"/>
          <w:divBdr>
            <w:top w:val="none" w:sz="0" w:space="0" w:color="auto"/>
            <w:left w:val="none" w:sz="0" w:space="0" w:color="auto"/>
            <w:bottom w:val="none" w:sz="0" w:space="0" w:color="auto"/>
            <w:right w:val="none" w:sz="0" w:space="0" w:color="auto"/>
          </w:divBdr>
        </w:div>
        <w:div w:id="2135125689">
          <w:marLeft w:val="640"/>
          <w:marRight w:val="0"/>
          <w:marTop w:val="0"/>
          <w:marBottom w:val="0"/>
          <w:divBdr>
            <w:top w:val="none" w:sz="0" w:space="0" w:color="auto"/>
            <w:left w:val="none" w:sz="0" w:space="0" w:color="auto"/>
            <w:bottom w:val="none" w:sz="0" w:space="0" w:color="auto"/>
            <w:right w:val="none" w:sz="0" w:space="0" w:color="auto"/>
          </w:divBdr>
        </w:div>
        <w:div w:id="815091">
          <w:marLeft w:val="640"/>
          <w:marRight w:val="0"/>
          <w:marTop w:val="0"/>
          <w:marBottom w:val="0"/>
          <w:divBdr>
            <w:top w:val="none" w:sz="0" w:space="0" w:color="auto"/>
            <w:left w:val="none" w:sz="0" w:space="0" w:color="auto"/>
            <w:bottom w:val="none" w:sz="0" w:space="0" w:color="auto"/>
            <w:right w:val="none" w:sz="0" w:space="0" w:color="auto"/>
          </w:divBdr>
        </w:div>
        <w:div w:id="638728240">
          <w:marLeft w:val="640"/>
          <w:marRight w:val="0"/>
          <w:marTop w:val="0"/>
          <w:marBottom w:val="0"/>
          <w:divBdr>
            <w:top w:val="none" w:sz="0" w:space="0" w:color="auto"/>
            <w:left w:val="none" w:sz="0" w:space="0" w:color="auto"/>
            <w:bottom w:val="none" w:sz="0" w:space="0" w:color="auto"/>
            <w:right w:val="none" w:sz="0" w:space="0" w:color="auto"/>
          </w:divBdr>
        </w:div>
        <w:div w:id="2130472179">
          <w:marLeft w:val="640"/>
          <w:marRight w:val="0"/>
          <w:marTop w:val="0"/>
          <w:marBottom w:val="0"/>
          <w:divBdr>
            <w:top w:val="none" w:sz="0" w:space="0" w:color="auto"/>
            <w:left w:val="none" w:sz="0" w:space="0" w:color="auto"/>
            <w:bottom w:val="none" w:sz="0" w:space="0" w:color="auto"/>
            <w:right w:val="none" w:sz="0" w:space="0" w:color="auto"/>
          </w:divBdr>
        </w:div>
        <w:div w:id="982658475">
          <w:marLeft w:val="640"/>
          <w:marRight w:val="0"/>
          <w:marTop w:val="0"/>
          <w:marBottom w:val="0"/>
          <w:divBdr>
            <w:top w:val="none" w:sz="0" w:space="0" w:color="auto"/>
            <w:left w:val="none" w:sz="0" w:space="0" w:color="auto"/>
            <w:bottom w:val="none" w:sz="0" w:space="0" w:color="auto"/>
            <w:right w:val="none" w:sz="0" w:space="0" w:color="auto"/>
          </w:divBdr>
        </w:div>
        <w:div w:id="1493332432">
          <w:marLeft w:val="640"/>
          <w:marRight w:val="0"/>
          <w:marTop w:val="0"/>
          <w:marBottom w:val="0"/>
          <w:divBdr>
            <w:top w:val="none" w:sz="0" w:space="0" w:color="auto"/>
            <w:left w:val="none" w:sz="0" w:space="0" w:color="auto"/>
            <w:bottom w:val="none" w:sz="0" w:space="0" w:color="auto"/>
            <w:right w:val="none" w:sz="0" w:space="0" w:color="auto"/>
          </w:divBdr>
        </w:div>
        <w:div w:id="2129278602">
          <w:marLeft w:val="640"/>
          <w:marRight w:val="0"/>
          <w:marTop w:val="0"/>
          <w:marBottom w:val="0"/>
          <w:divBdr>
            <w:top w:val="none" w:sz="0" w:space="0" w:color="auto"/>
            <w:left w:val="none" w:sz="0" w:space="0" w:color="auto"/>
            <w:bottom w:val="none" w:sz="0" w:space="0" w:color="auto"/>
            <w:right w:val="none" w:sz="0" w:space="0" w:color="auto"/>
          </w:divBdr>
        </w:div>
        <w:div w:id="1331177805">
          <w:marLeft w:val="640"/>
          <w:marRight w:val="0"/>
          <w:marTop w:val="0"/>
          <w:marBottom w:val="0"/>
          <w:divBdr>
            <w:top w:val="none" w:sz="0" w:space="0" w:color="auto"/>
            <w:left w:val="none" w:sz="0" w:space="0" w:color="auto"/>
            <w:bottom w:val="none" w:sz="0" w:space="0" w:color="auto"/>
            <w:right w:val="none" w:sz="0" w:space="0" w:color="auto"/>
          </w:divBdr>
        </w:div>
        <w:div w:id="1925146530">
          <w:marLeft w:val="640"/>
          <w:marRight w:val="0"/>
          <w:marTop w:val="0"/>
          <w:marBottom w:val="0"/>
          <w:divBdr>
            <w:top w:val="none" w:sz="0" w:space="0" w:color="auto"/>
            <w:left w:val="none" w:sz="0" w:space="0" w:color="auto"/>
            <w:bottom w:val="none" w:sz="0" w:space="0" w:color="auto"/>
            <w:right w:val="none" w:sz="0" w:space="0" w:color="auto"/>
          </w:divBdr>
        </w:div>
        <w:div w:id="769930561">
          <w:marLeft w:val="640"/>
          <w:marRight w:val="0"/>
          <w:marTop w:val="0"/>
          <w:marBottom w:val="0"/>
          <w:divBdr>
            <w:top w:val="none" w:sz="0" w:space="0" w:color="auto"/>
            <w:left w:val="none" w:sz="0" w:space="0" w:color="auto"/>
            <w:bottom w:val="none" w:sz="0" w:space="0" w:color="auto"/>
            <w:right w:val="none" w:sz="0" w:space="0" w:color="auto"/>
          </w:divBdr>
        </w:div>
        <w:div w:id="1976056972">
          <w:marLeft w:val="640"/>
          <w:marRight w:val="0"/>
          <w:marTop w:val="0"/>
          <w:marBottom w:val="0"/>
          <w:divBdr>
            <w:top w:val="none" w:sz="0" w:space="0" w:color="auto"/>
            <w:left w:val="none" w:sz="0" w:space="0" w:color="auto"/>
            <w:bottom w:val="none" w:sz="0" w:space="0" w:color="auto"/>
            <w:right w:val="none" w:sz="0" w:space="0" w:color="auto"/>
          </w:divBdr>
        </w:div>
        <w:div w:id="2129935346">
          <w:marLeft w:val="640"/>
          <w:marRight w:val="0"/>
          <w:marTop w:val="0"/>
          <w:marBottom w:val="0"/>
          <w:divBdr>
            <w:top w:val="none" w:sz="0" w:space="0" w:color="auto"/>
            <w:left w:val="none" w:sz="0" w:space="0" w:color="auto"/>
            <w:bottom w:val="none" w:sz="0" w:space="0" w:color="auto"/>
            <w:right w:val="none" w:sz="0" w:space="0" w:color="auto"/>
          </w:divBdr>
        </w:div>
        <w:div w:id="852762283">
          <w:marLeft w:val="640"/>
          <w:marRight w:val="0"/>
          <w:marTop w:val="0"/>
          <w:marBottom w:val="0"/>
          <w:divBdr>
            <w:top w:val="none" w:sz="0" w:space="0" w:color="auto"/>
            <w:left w:val="none" w:sz="0" w:space="0" w:color="auto"/>
            <w:bottom w:val="none" w:sz="0" w:space="0" w:color="auto"/>
            <w:right w:val="none" w:sz="0" w:space="0" w:color="auto"/>
          </w:divBdr>
        </w:div>
        <w:div w:id="2055690003">
          <w:marLeft w:val="640"/>
          <w:marRight w:val="0"/>
          <w:marTop w:val="0"/>
          <w:marBottom w:val="0"/>
          <w:divBdr>
            <w:top w:val="none" w:sz="0" w:space="0" w:color="auto"/>
            <w:left w:val="none" w:sz="0" w:space="0" w:color="auto"/>
            <w:bottom w:val="none" w:sz="0" w:space="0" w:color="auto"/>
            <w:right w:val="none" w:sz="0" w:space="0" w:color="auto"/>
          </w:divBdr>
        </w:div>
        <w:div w:id="611086958">
          <w:marLeft w:val="640"/>
          <w:marRight w:val="0"/>
          <w:marTop w:val="0"/>
          <w:marBottom w:val="0"/>
          <w:divBdr>
            <w:top w:val="none" w:sz="0" w:space="0" w:color="auto"/>
            <w:left w:val="none" w:sz="0" w:space="0" w:color="auto"/>
            <w:bottom w:val="none" w:sz="0" w:space="0" w:color="auto"/>
            <w:right w:val="none" w:sz="0" w:space="0" w:color="auto"/>
          </w:divBdr>
        </w:div>
        <w:div w:id="854995696">
          <w:marLeft w:val="640"/>
          <w:marRight w:val="0"/>
          <w:marTop w:val="0"/>
          <w:marBottom w:val="0"/>
          <w:divBdr>
            <w:top w:val="none" w:sz="0" w:space="0" w:color="auto"/>
            <w:left w:val="none" w:sz="0" w:space="0" w:color="auto"/>
            <w:bottom w:val="none" w:sz="0" w:space="0" w:color="auto"/>
            <w:right w:val="none" w:sz="0" w:space="0" w:color="auto"/>
          </w:divBdr>
        </w:div>
        <w:div w:id="1893148914">
          <w:marLeft w:val="640"/>
          <w:marRight w:val="0"/>
          <w:marTop w:val="0"/>
          <w:marBottom w:val="0"/>
          <w:divBdr>
            <w:top w:val="none" w:sz="0" w:space="0" w:color="auto"/>
            <w:left w:val="none" w:sz="0" w:space="0" w:color="auto"/>
            <w:bottom w:val="none" w:sz="0" w:space="0" w:color="auto"/>
            <w:right w:val="none" w:sz="0" w:space="0" w:color="auto"/>
          </w:divBdr>
        </w:div>
        <w:div w:id="1459883598">
          <w:marLeft w:val="640"/>
          <w:marRight w:val="0"/>
          <w:marTop w:val="0"/>
          <w:marBottom w:val="0"/>
          <w:divBdr>
            <w:top w:val="none" w:sz="0" w:space="0" w:color="auto"/>
            <w:left w:val="none" w:sz="0" w:space="0" w:color="auto"/>
            <w:bottom w:val="none" w:sz="0" w:space="0" w:color="auto"/>
            <w:right w:val="none" w:sz="0" w:space="0" w:color="auto"/>
          </w:divBdr>
        </w:div>
        <w:div w:id="1063521805">
          <w:marLeft w:val="640"/>
          <w:marRight w:val="0"/>
          <w:marTop w:val="0"/>
          <w:marBottom w:val="0"/>
          <w:divBdr>
            <w:top w:val="none" w:sz="0" w:space="0" w:color="auto"/>
            <w:left w:val="none" w:sz="0" w:space="0" w:color="auto"/>
            <w:bottom w:val="none" w:sz="0" w:space="0" w:color="auto"/>
            <w:right w:val="none" w:sz="0" w:space="0" w:color="auto"/>
          </w:divBdr>
        </w:div>
        <w:div w:id="517817868">
          <w:marLeft w:val="640"/>
          <w:marRight w:val="0"/>
          <w:marTop w:val="0"/>
          <w:marBottom w:val="0"/>
          <w:divBdr>
            <w:top w:val="none" w:sz="0" w:space="0" w:color="auto"/>
            <w:left w:val="none" w:sz="0" w:space="0" w:color="auto"/>
            <w:bottom w:val="none" w:sz="0" w:space="0" w:color="auto"/>
            <w:right w:val="none" w:sz="0" w:space="0" w:color="auto"/>
          </w:divBdr>
        </w:div>
        <w:div w:id="908541305">
          <w:marLeft w:val="640"/>
          <w:marRight w:val="0"/>
          <w:marTop w:val="0"/>
          <w:marBottom w:val="0"/>
          <w:divBdr>
            <w:top w:val="none" w:sz="0" w:space="0" w:color="auto"/>
            <w:left w:val="none" w:sz="0" w:space="0" w:color="auto"/>
            <w:bottom w:val="none" w:sz="0" w:space="0" w:color="auto"/>
            <w:right w:val="none" w:sz="0" w:space="0" w:color="auto"/>
          </w:divBdr>
        </w:div>
        <w:div w:id="1456363750">
          <w:marLeft w:val="640"/>
          <w:marRight w:val="0"/>
          <w:marTop w:val="0"/>
          <w:marBottom w:val="0"/>
          <w:divBdr>
            <w:top w:val="none" w:sz="0" w:space="0" w:color="auto"/>
            <w:left w:val="none" w:sz="0" w:space="0" w:color="auto"/>
            <w:bottom w:val="none" w:sz="0" w:space="0" w:color="auto"/>
            <w:right w:val="none" w:sz="0" w:space="0" w:color="auto"/>
          </w:divBdr>
        </w:div>
        <w:div w:id="883759421">
          <w:marLeft w:val="640"/>
          <w:marRight w:val="0"/>
          <w:marTop w:val="0"/>
          <w:marBottom w:val="0"/>
          <w:divBdr>
            <w:top w:val="none" w:sz="0" w:space="0" w:color="auto"/>
            <w:left w:val="none" w:sz="0" w:space="0" w:color="auto"/>
            <w:bottom w:val="none" w:sz="0" w:space="0" w:color="auto"/>
            <w:right w:val="none" w:sz="0" w:space="0" w:color="auto"/>
          </w:divBdr>
        </w:div>
        <w:div w:id="282271575">
          <w:marLeft w:val="640"/>
          <w:marRight w:val="0"/>
          <w:marTop w:val="0"/>
          <w:marBottom w:val="0"/>
          <w:divBdr>
            <w:top w:val="none" w:sz="0" w:space="0" w:color="auto"/>
            <w:left w:val="none" w:sz="0" w:space="0" w:color="auto"/>
            <w:bottom w:val="none" w:sz="0" w:space="0" w:color="auto"/>
            <w:right w:val="none" w:sz="0" w:space="0" w:color="auto"/>
          </w:divBdr>
        </w:div>
        <w:div w:id="830869371">
          <w:marLeft w:val="640"/>
          <w:marRight w:val="0"/>
          <w:marTop w:val="0"/>
          <w:marBottom w:val="0"/>
          <w:divBdr>
            <w:top w:val="none" w:sz="0" w:space="0" w:color="auto"/>
            <w:left w:val="none" w:sz="0" w:space="0" w:color="auto"/>
            <w:bottom w:val="none" w:sz="0" w:space="0" w:color="auto"/>
            <w:right w:val="none" w:sz="0" w:space="0" w:color="auto"/>
          </w:divBdr>
        </w:div>
        <w:div w:id="1658148050">
          <w:marLeft w:val="640"/>
          <w:marRight w:val="0"/>
          <w:marTop w:val="0"/>
          <w:marBottom w:val="0"/>
          <w:divBdr>
            <w:top w:val="none" w:sz="0" w:space="0" w:color="auto"/>
            <w:left w:val="none" w:sz="0" w:space="0" w:color="auto"/>
            <w:bottom w:val="none" w:sz="0" w:space="0" w:color="auto"/>
            <w:right w:val="none" w:sz="0" w:space="0" w:color="auto"/>
          </w:divBdr>
        </w:div>
        <w:div w:id="790512444">
          <w:marLeft w:val="640"/>
          <w:marRight w:val="0"/>
          <w:marTop w:val="0"/>
          <w:marBottom w:val="0"/>
          <w:divBdr>
            <w:top w:val="none" w:sz="0" w:space="0" w:color="auto"/>
            <w:left w:val="none" w:sz="0" w:space="0" w:color="auto"/>
            <w:bottom w:val="none" w:sz="0" w:space="0" w:color="auto"/>
            <w:right w:val="none" w:sz="0" w:space="0" w:color="auto"/>
          </w:divBdr>
        </w:div>
        <w:div w:id="1547642722">
          <w:marLeft w:val="640"/>
          <w:marRight w:val="0"/>
          <w:marTop w:val="0"/>
          <w:marBottom w:val="0"/>
          <w:divBdr>
            <w:top w:val="none" w:sz="0" w:space="0" w:color="auto"/>
            <w:left w:val="none" w:sz="0" w:space="0" w:color="auto"/>
            <w:bottom w:val="none" w:sz="0" w:space="0" w:color="auto"/>
            <w:right w:val="none" w:sz="0" w:space="0" w:color="auto"/>
          </w:divBdr>
        </w:div>
        <w:div w:id="2081055183">
          <w:marLeft w:val="640"/>
          <w:marRight w:val="0"/>
          <w:marTop w:val="0"/>
          <w:marBottom w:val="0"/>
          <w:divBdr>
            <w:top w:val="none" w:sz="0" w:space="0" w:color="auto"/>
            <w:left w:val="none" w:sz="0" w:space="0" w:color="auto"/>
            <w:bottom w:val="none" w:sz="0" w:space="0" w:color="auto"/>
            <w:right w:val="none" w:sz="0" w:space="0" w:color="auto"/>
          </w:divBdr>
        </w:div>
        <w:div w:id="208761293">
          <w:marLeft w:val="640"/>
          <w:marRight w:val="0"/>
          <w:marTop w:val="0"/>
          <w:marBottom w:val="0"/>
          <w:divBdr>
            <w:top w:val="none" w:sz="0" w:space="0" w:color="auto"/>
            <w:left w:val="none" w:sz="0" w:space="0" w:color="auto"/>
            <w:bottom w:val="none" w:sz="0" w:space="0" w:color="auto"/>
            <w:right w:val="none" w:sz="0" w:space="0" w:color="auto"/>
          </w:divBdr>
        </w:div>
        <w:div w:id="915089352">
          <w:marLeft w:val="640"/>
          <w:marRight w:val="0"/>
          <w:marTop w:val="0"/>
          <w:marBottom w:val="0"/>
          <w:divBdr>
            <w:top w:val="none" w:sz="0" w:space="0" w:color="auto"/>
            <w:left w:val="none" w:sz="0" w:space="0" w:color="auto"/>
            <w:bottom w:val="none" w:sz="0" w:space="0" w:color="auto"/>
            <w:right w:val="none" w:sz="0" w:space="0" w:color="auto"/>
          </w:divBdr>
        </w:div>
        <w:div w:id="1453745609">
          <w:marLeft w:val="640"/>
          <w:marRight w:val="0"/>
          <w:marTop w:val="0"/>
          <w:marBottom w:val="0"/>
          <w:divBdr>
            <w:top w:val="none" w:sz="0" w:space="0" w:color="auto"/>
            <w:left w:val="none" w:sz="0" w:space="0" w:color="auto"/>
            <w:bottom w:val="none" w:sz="0" w:space="0" w:color="auto"/>
            <w:right w:val="none" w:sz="0" w:space="0" w:color="auto"/>
          </w:divBdr>
        </w:div>
        <w:div w:id="647436730">
          <w:marLeft w:val="640"/>
          <w:marRight w:val="0"/>
          <w:marTop w:val="0"/>
          <w:marBottom w:val="0"/>
          <w:divBdr>
            <w:top w:val="none" w:sz="0" w:space="0" w:color="auto"/>
            <w:left w:val="none" w:sz="0" w:space="0" w:color="auto"/>
            <w:bottom w:val="none" w:sz="0" w:space="0" w:color="auto"/>
            <w:right w:val="none" w:sz="0" w:space="0" w:color="auto"/>
          </w:divBdr>
        </w:div>
        <w:div w:id="638657173">
          <w:marLeft w:val="640"/>
          <w:marRight w:val="0"/>
          <w:marTop w:val="0"/>
          <w:marBottom w:val="0"/>
          <w:divBdr>
            <w:top w:val="none" w:sz="0" w:space="0" w:color="auto"/>
            <w:left w:val="none" w:sz="0" w:space="0" w:color="auto"/>
            <w:bottom w:val="none" w:sz="0" w:space="0" w:color="auto"/>
            <w:right w:val="none" w:sz="0" w:space="0" w:color="auto"/>
          </w:divBdr>
        </w:div>
        <w:div w:id="81612352">
          <w:marLeft w:val="640"/>
          <w:marRight w:val="0"/>
          <w:marTop w:val="0"/>
          <w:marBottom w:val="0"/>
          <w:divBdr>
            <w:top w:val="none" w:sz="0" w:space="0" w:color="auto"/>
            <w:left w:val="none" w:sz="0" w:space="0" w:color="auto"/>
            <w:bottom w:val="none" w:sz="0" w:space="0" w:color="auto"/>
            <w:right w:val="none" w:sz="0" w:space="0" w:color="auto"/>
          </w:divBdr>
        </w:div>
        <w:div w:id="1170869025">
          <w:marLeft w:val="640"/>
          <w:marRight w:val="0"/>
          <w:marTop w:val="0"/>
          <w:marBottom w:val="0"/>
          <w:divBdr>
            <w:top w:val="none" w:sz="0" w:space="0" w:color="auto"/>
            <w:left w:val="none" w:sz="0" w:space="0" w:color="auto"/>
            <w:bottom w:val="none" w:sz="0" w:space="0" w:color="auto"/>
            <w:right w:val="none" w:sz="0" w:space="0" w:color="auto"/>
          </w:divBdr>
        </w:div>
        <w:div w:id="1910966474">
          <w:marLeft w:val="640"/>
          <w:marRight w:val="0"/>
          <w:marTop w:val="0"/>
          <w:marBottom w:val="0"/>
          <w:divBdr>
            <w:top w:val="none" w:sz="0" w:space="0" w:color="auto"/>
            <w:left w:val="none" w:sz="0" w:space="0" w:color="auto"/>
            <w:bottom w:val="none" w:sz="0" w:space="0" w:color="auto"/>
            <w:right w:val="none" w:sz="0" w:space="0" w:color="auto"/>
          </w:divBdr>
        </w:div>
        <w:div w:id="746151049">
          <w:marLeft w:val="640"/>
          <w:marRight w:val="0"/>
          <w:marTop w:val="0"/>
          <w:marBottom w:val="0"/>
          <w:divBdr>
            <w:top w:val="none" w:sz="0" w:space="0" w:color="auto"/>
            <w:left w:val="none" w:sz="0" w:space="0" w:color="auto"/>
            <w:bottom w:val="none" w:sz="0" w:space="0" w:color="auto"/>
            <w:right w:val="none" w:sz="0" w:space="0" w:color="auto"/>
          </w:divBdr>
        </w:div>
        <w:div w:id="780951423">
          <w:marLeft w:val="640"/>
          <w:marRight w:val="0"/>
          <w:marTop w:val="0"/>
          <w:marBottom w:val="0"/>
          <w:divBdr>
            <w:top w:val="none" w:sz="0" w:space="0" w:color="auto"/>
            <w:left w:val="none" w:sz="0" w:space="0" w:color="auto"/>
            <w:bottom w:val="none" w:sz="0" w:space="0" w:color="auto"/>
            <w:right w:val="none" w:sz="0" w:space="0" w:color="auto"/>
          </w:divBdr>
        </w:div>
        <w:div w:id="682439329">
          <w:marLeft w:val="640"/>
          <w:marRight w:val="0"/>
          <w:marTop w:val="0"/>
          <w:marBottom w:val="0"/>
          <w:divBdr>
            <w:top w:val="none" w:sz="0" w:space="0" w:color="auto"/>
            <w:left w:val="none" w:sz="0" w:space="0" w:color="auto"/>
            <w:bottom w:val="none" w:sz="0" w:space="0" w:color="auto"/>
            <w:right w:val="none" w:sz="0" w:space="0" w:color="auto"/>
          </w:divBdr>
        </w:div>
        <w:div w:id="737216681">
          <w:marLeft w:val="640"/>
          <w:marRight w:val="0"/>
          <w:marTop w:val="0"/>
          <w:marBottom w:val="0"/>
          <w:divBdr>
            <w:top w:val="none" w:sz="0" w:space="0" w:color="auto"/>
            <w:left w:val="none" w:sz="0" w:space="0" w:color="auto"/>
            <w:bottom w:val="none" w:sz="0" w:space="0" w:color="auto"/>
            <w:right w:val="none" w:sz="0" w:space="0" w:color="auto"/>
          </w:divBdr>
        </w:div>
        <w:div w:id="744453120">
          <w:marLeft w:val="640"/>
          <w:marRight w:val="0"/>
          <w:marTop w:val="0"/>
          <w:marBottom w:val="0"/>
          <w:divBdr>
            <w:top w:val="none" w:sz="0" w:space="0" w:color="auto"/>
            <w:left w:val="none" w:sz="0" w:space="0" w:color="auto"/>
            <w:bottom w:val="none" w:sz="0" w:space="0" w:color="auto"/>
            <w:right w:val="none" w:sz="0" w:space="0" w:color="auto"/>
          </w:divBdr>
        </w:div>
        <w:div w:id="1218473103">
          <w:marLeft w:val="640"/>
          <w:marRight w:val="0"/>
          <w:marTop w:val="0"/>
          <w:marBottom w:val="0"/>
          <w:divBdr>
            <w:top w:val="none" w:sz="0" w:space="0" w:color="auto"/>
            <w:left w:val="none" w:sz="0" w:space="0" w:color="auto"/>
            <w:bottom w:val="none" w:sz="0" w:space="0" w:color="auto"/>
            <w:right w:val="none" w:sz="0" w:space="0" w:color="auto"/>
          </w:divBdr>
        </w:div>
        <w:div w:id="81070786">
          <w:marLeft w:val="640"/>
          <w:marRight w:val="0"/>
          <w:marTop w:val="0"/>
          <w:marBottom w:val="0"/>
          <w:divBdr>
            <w:top w:val="none" w:sz="0" w:space="0" w:color="auto"/>
            <w:left w:val="none" w:sz="0" w:space="0" w:color="auto"/>
            <w:bottom w:val="none" w:sz="0" w:space="0" w:color="auto"/>
            <w:right w:val="none" w:sz="0" w:space="0" w:color="auto"/>
          </w:divBdr>
        </w:div>
        <w:div w:id="785082131">
          <w:marLeft w:val="640"/>
          <w:marRight w:val="0"/>
          <w:marTop w:val="0"/>
          <w:marBottom w:val="0"/>
          <w:divBdr>
            <w:top w:val="none" w:sz="0" w:space="0" w:color="auto"/>
            <w:left w:val="none" w:sz="0" w:space="0" w:color="auto"/>
            <w:bottom w:val="none" w:sz="0" w:space="0" w:color="auto"/>
            <w:right w:val="none" w:sz="0" w:space="0" w:color="auto"/>
          </w:divBdr>
        </w:div>
        <w:div w:id="1934243844">
          <w:marLeft w:val="640"/>
          <w:marRight w:val="0"/>
          <w:marTop w:val="0"/>
          <w:marBottom w:val="0"/>
          <w:divBdr>
            <w:top w:val="none" w:sz="0" w:space="0" w:color="auto"/>
            <w:left w:val="none" w:sz="0" w:space="0" w:color="auto"/>
            <w:bottom w:val="none" w:sz="0" w:space="0" w:color="auto"/>
            <w:right w:val="none" w:sz="0" w:space="0" w:color="auto"/>
          </w:divBdr>
        </w:div>
        <w:div w:id="1312909485">
          <w:marLeft w:val="640"/>
          <w:marRight w:val="0"/>
          <w:marTop w:val="0"/>
          <w:marBottom w:val="0"/>
          <w:divBdr>
            <w:top w:val="none" w:sz="0" w:space="0" w:color="auto"/>
            <w:left w:val="none" w:sz="0" w:space="0" w:color="auto"/>
            <w:bottom w:val="none" w:sz="0" w:space="0" w:color="auto"/>
            <w:right w:val="none" w:sz="0" w:space="0" w:color="auto"/>
          </w:divBdr>
        </w:div>
        <w:div w:id="255209373">
          <w:marLeft w:val="640"/>
          <w:marRight w:val="0"/>
          <w:marTop w:val="0"/>
          <w:marBottom w:val="0"/>
          <w:divBdr>
            <w:top w:val="none" w:sz="0" w:space="0" w:color="auto"/>
            <w:left w:val="none" w:sz="0" w:space="0" w:color="auto"/>
            <w:bottom w:val="none" w:sz="0" w:space="0" w:color="auto"/>
            <w:right w:val="none" w:sz="0" w:space="0" w:color="auto"/>
          </w:divBdr>
        </w:div>
        <w:div w:id="588851962">
          <w:marLeft w:val="640"/>
          <w:marRight w:val="0"/>
          <w:marTop w:val="0"/>
          <w:marBottom w:val="0"/>
          <w:divBdr>
            <w:top w:val="none" w:sz="0" w:space="0" w:color="auto"/>
            <w:left w:val="none" w:sz="0" w:space="0" w:color="auto"/>
            <w:bottom w:val="none" w:sz="0" w:space="0" w:color="auto"/>
            <w:right w:val="none" w:sz="0" w:space="0" w:color="auto"/>
          </w:divBdr>
        </w:div>
        <w:div w:id="989140124">
          <w:marLeft w:val="640"/>
          <w:marRight w:val="0"/>
          <w:marTop w:val="0"/>
          <w:marBottom w:val="0"/>
          <w:divBdr>
            <w:top w:val="none" w:sz="0" w:space="0" w:color="auto"/>
            <w:left w:val="none" w:sz="0" w:space="0" w:color="auto"/>
            <w:bottom w:val="none" w:sz="0" w:space="0" w:color="auto"/>
            <w:right w:val="none" w:sz="0" w:space="0" w:color="auto"/>
          </w:divBdr>
        </w:div>
        <w:div w:id="179321899">
          <w:marLeft w:val="640"/>
          <w:marRight w:val="0"/>
          <w:marTop w:val="0"/>
          <w:marBottom w:val="0"/>
          <w:divBdr>
            <w:top w:val="none" w:sz="0" w:space="0" w:color="auto"/>
            <w:left w:val="none" w:sz="0" w:space="0" w:color="auto"/>
            <w:bottom w:val="none" w:sz="0" w:space="0" w:color="auto"/>
            <w:right w:val="none" w:sz="0" w:space="0" w:color="auto"/>
          </w:divBdr>
        </w:div>
        <w:div w:id="957685161">
          <w:marLeft w:val="640"/>
          <w:marRight w:val="0"/>
          <w:marTop w:val="0"/>
          <w:marBottom w:val="0"/>
          <w:divBdr>
            <w:top w:val="none" w:sz="0" w:space="0" w:color="auto"/>
            <w:left w:val="none" w:sz="0" w:space="0" w:color="auto"/>
            <w:bottom w:val="none" w:sz="0" w:space="0" w:color="auto"/>
            <w:right w:val="none" w:sz="0" w:space="0" w:color="auto"/>
          </w:divBdr>
        </w:div>
        <w:div w:id="685055818">
          <w:marLeft w:val="640"/>
          <w:marRight w:val="0"/>
          <w:marTop w:val="0"/>
          <w:marBottom w:val="0"/>
          <w:divBdr>
            <w:top w:val="none" w:sz="0" w:space="0" w:color="auto"/>
            <w:left w:val="none" w:sz="0" w:space="0" w:color="auto"/>
            <w:bottom w:val="none" w:sz="0" w:space="0" w:color="auto"/>
            <w:right w:val="none" w:sz="0" w:space="0" w:color="auto"/>
          </w:divBdr>
        </w:div>
        <w:div w:id="1187139472">
          <w:marLeft w:val="640"/>
          <w:marRight w:val="0"/>
          <w:marTop w:val="0"/>
          <w:marBottom w:val="0"/>
          <w:divBdr>
            <w:top w:val="none" w:sz="0" w:space="0" w:color="auto"/>
            <w:left w:val="none" w:sz="0" w:space="0" w:color="auto"/>
            <w:bottom w:val="none" w:sz="0" w:space="0" w:color="auto"/>
            <w:right w:val="none" w:sz="0" w:space="0" w:color="auto"/>
          </w:divBdr>
        </w:div>
        <w:div w:id="1204908346">
          <w:marLeft w:val="640"/>
          <w:marRight w:val="0"/>
          <w:marTop w:val="0"/>
          <w:marBottom w:val="0"/>
          <w:divBdr>
            <w:top w:val="none" w:sz="0" w:space="0" w:color="auto"/>
            <w:left w:val="none" w:sz="0" w:space="0" w:color="auto"/>
            <w:bottom w:val="none" w:sz="0" w:space="0" w:color="auto"/>
            <w:right w:val="none" w:sz="0" w:space="0" w:color="auto"/>
          </w:divBdr>
        </w:div>
        <w:div w:id="1901403807">
          <w:marLeft w:val="640"/>
          <w:marRight w:val="0"/>
          <w:marTop w:val="0"/>
          <w:marBottom w:val="0"/>
          <w:divBdr>
            <w:top w:val="none" w:sz="0" w:space="0" w:color="auto"/>
            <w:left w:val="none" w:sz="0" w:space="0" w:color="auto"/>
            <w:bottom w:val="none" w:sz="0" w:space="0" w:color="auto"/>
            <w:right w:val="none" w:sz="0" w:space="0" w:color="auto"/>
          </w:divBdr>
        </w:div>
        <w:div w:id="622881053">
          <w:marLeft w:val="640"/>
          <w:marRight w:val="0"/>
          <w:marTop w:val="0"/>
          <w:marBottom w:val="0"/>
          <w:divBdr>
            <w:top w:val="none" w:sz="0" w:space="0" w:color="auto"/>
            <w:left w:val="none" w:sz="0" w:space="0" w:color="auto"/>
            <w:bottom w:val="none" w:sz="0" w:space="0" w:color="auto"/>
            <w:right w:val="none" w:sz="0" w:space="0" w:color="auto"/>
          </w:divBdr>
        </w:div>
        <w:div w:id="1215122748">
          <w:marLeft w:val="640"/>
          <w:marRight w:val="0"/>
          <w:marTop w:val="0"/>
          <w:marBottom w:val="0"/>
          <w:divBdr>
            <w:top w:val="none" w:sz="0" w:space="0" w:color="auto"/>
            <w:left w:val="none" w:sz="0" w:space="0" w:color="auto"/>
            <w:bottom w:val="none" w:sz="0" w:space="0" w:color="auto"/>
            <w:right w:val="none" w:sz="0" w:space="0" w:color="auto"/>
          </w:divBdr>
        </w:div>
        <w:div w:id="1256475336">
          <w:marLeft w:val="640"/>
          <w:marRight w:val="0"/>
          <w:marTop w:val="0"/>
          <w:marBottom w:val="0"/>
          <w:divBdr>
            <w:top w:val="none" w:sz="0" w:space="0" w:color="auto"/>
            <w:left w:val="none" w:sz="0" w:space="0" w:color="auto"/>
            <w:bottom w:val="none" w:sz="0" w:space="0" w:color="auto"/>
            <w:right w:val="none" w:sz="0" w:space="0" w:color="auto"/>
          </w:divBdr>
        </w:div>
        <w:div w:id="1269040739">
          <w:marLeft w:val="640"/>
          <w:marRight w:val="0"/>
          <w:marTop w:val="0"/>
          <w:marBottom w:val="0"/>
          <w:divBdr>
            <w:top w:val="none" w:sz="0" w:space="0" w:color="auto"/>
            <w:left w:val="none" w:sz="0" w:space="0" w:color="auto"/>
            <w:bottom w:val="none" w:sz="0" w:space="0" w:color="auto"/>
            <w:right w:val="none" w:sz="0" w:space="0" w:color="auto"/>
          </w:divBdr>
        </w:div>
        <w:div w:id="502820632">
          <w:marLeft w:val="640"/>
          <w:marRight w:val="0"/>
          <w:marTop w:val="0"/>
          <w:marBottom w:val="0"/>
          <w:divBdr>
            <w:top w:val="none" w:sz="0" w:space="0" w:color="auto"/>
            <w:left w:val="none" w:sz="0" w:space="0" w:color="auto"/>
            <w:bottom w:val="none" w:sz="0" w:space="0" w:color="auto"/>
            <w:right w:val="none" w:sz="0" w:space="0" w:color="auto"/>
          </w:divBdr>
        </w:div>
        <w:div w:id="207836157">
          <w:marLeft w:val="640"/>
          <w:marRight w:val="0"/>
          <w:marTop w:val="0"/>
          <w:marBottom w:val="0"/>
          <w:divBdr>
            <w:top w:val="none" w:sz="0" w:space="0" w:color="auto"/>
            <w:left w:val="none" w:sz="0" w:space="0" w:color="auto"/>
            <w:bottom w:val="none" w:sz="0" w:space="0" w:color="auto"/>
            <w:right w:val="none" w:sz="0" w:space="0" w:color="auto"/>
          </w:divBdr>
        </w:div>
        <w:div w:id="757361144">
          <w:marLeft w:val="640"/>
          <w:marRight w:val="0"/>
          <w:marTop w:val="0"/>
          <w:marBottom w:val="0"/>
          <w:divBdr>
            <w:top w:val="none" w:sz="0" w:space="0" w:color="auto"/>
            <w:left w:val="none" w:sz="0" w:space="0" w:color="auto"/>
            <w:bottom w:val="none" w:sz="0" w:space="0" w:color="auto"/>
            <w:right w:val="none" w:sz="0" w:space="0" w:color="auto"/>
          </w:divBdr>
        </w:div>
        <w:div w:id="1578859632">
          <w:marLeft w:val="640"/>
          <w:marRight w:val="0"/>
          <w:marTop w:val="0"/>
          <w:marBottom w:val="0"/>
          <w:divBdr>
            <w:top w:val="none" w:sz="0" w:space="0" w:color="auto"/>
            <w:left w:val="none" w:sz="0" w:space="0" w:color="auto"/>
            <w:bottom w:val="none" w:sz="0" w:space="0" w:color="auto"/>
            <w:right w:val="none" w:sz="0" w:space="0" w:color="auto"/>
          </w:divBdr>
        </w:div>
        <w:div w:id="1001084799">
          <w:marLeft w:val="640"/>
          <w:marRight w:val="0"/>
          <w:marTop w:val="0"/>
          <w:marBottom w:val="0"/>
          <w:divBdr>
            <w:top w:val="none" w:sz="0" w:space="0" w:color="auto"/>
            <w:left w:val="none" w:sz="0" w:space="0" w:color="auto"/>
            <w:bottom w:val="none" w:sz="0" w:space="0" w:color="auto"/>
            <w:right w:val="none" w:sz="0" w:space="0" w:color="auto"/>
          </w:divBdr>
        </w:div>
        <w:div w:id="2128548688">
          <w:marLeft w:val="640"/>
          <w:marRight w:val="0"/>
          <w:marTop w:val="0"/>
          <w:marBottom w:val="0"/>
          <w:divBdr>
            <w:top w:val="none" w:sz="0" w:space="0" w:color="auto"/>
            <w:left w:val="none" w:sz="0" w:space="0" w:color="auto"/>
            <w:bottom w:val="none" w:sz="0" w:space="0" w:color="auto"/>
            <w:right w:val="none" w:sz="0" w:space="0" w:color="auto"/>
          </w:divBdr>
        </w:div>
        <w:div w:id="1816140433">
          <w:marLeft w:val="640"/>
          <w:marRight w:val="0"/>
          <w:marTop w:val="0"/>
          <w:marBottom w:val="0"/>
          <w:divBdr>
            <w:top w:val="none" w:sz="0" w:space="0" w:color="auto"/>
            <w:left w:val="none" w:sz="0" w:space="0" w:color="auto"/>
            <w:bottom w:val="none" w:sz="0" w:space="0" w:color="auto"/>
            <w:right w:val="none" w:sz="0" w:space="0" w:color="auto"/>
          </w:divBdr>
        </w:div>
        <w:div w:id="1275862745">
          <w:marLeft w:val="640"/>
          <w:marRight w:val="0"/>
          <w:marTop w:val="0"/>
          <w:marBottom w:val="0"/>
          <w:divBdr>
            <w:top w:val="none" w:sz="0" w:space="0" w:color="auto"/>
            <w:left w:val="none" w:sz="0" w:space="0" w:color="auto"/>
            <w:bottom w:val="none" w:sz="0" w:space="0" w:color="auto"/>
            <w:right w:val="none" w:sz="0" w:space="0" w:color="auto"/>
          </w:divBdr>
        </w:div>
        <w:div w:id="213201883">
          <w:marLeft w:val="640"/>
          <w:marRight w:val="0"/>
          <w:marTop w:val="0"/>
          <w:marBottom w:val="0"/>
          <w:divBdr>
            <w:top w:val="none" w:sz="0" w:space="0" w:color="auto"/>
            <w:left w:val="none" w:sz="0" w:space="0" w:color="auto"/>
            <w:bottom w:val="none" w:sz="0" w:space="0" w:color="auto"/>
            <w:right w:val="none" w:sz="0" w:space="0" w:color="auto"/>
          </w:divBdr>
        </w:div>
        <w:div w:id="2097557634">
          <w:marLeft w:val="640"/>
          <w:marRight w:val="0"/>
          <w:marTop w:val="0"/>
          <w:marBottom w:val="0"/>
          <w:divBdr>
            <w:top w:val="none" w:sz="0" w:space="0" w:color="auto"/>
            <w:left w:val="none" w:sz="0" w:space="0" w:color="auto"/>
            <w:bottom w:val="none" w:sz="0" w:space="0" w:color="auto"/>
            <w:right w:val="none" w:sz="0" w:space="0" w:color="auto"/>
          </w:divBdr>
        </w:div>
        <w:div w:id="1032878024">
          <w:marLeft w:val="640"/>
          <w:marRight w:val="0"/>
          <w:marTop w:val="0"/>
          <w:marBottom w:val="0"/>
          <w:divBdr>
            <w:top w:val="none" w:sz="0" w:space="0" w:color="auto"/>
            <w:left w:val="none" w:sz="0" w:space="0" w:color="auto"/>
            <w:bottom w:val="none" w:sz="0" w:space="0" w:color="auto"/>
            <w:right w:val="none" w:sz="0" w:space="0" w:color="auto"/>
          </w:divBdr>
        </w:div>
        <w:div w:id="285544596">
          <w:marLeft w:val="640"/>
          <w:marRight w:val="0"/>
          <w:marTop w:val="0"/>
          <w:marBottom w:val="0"/>
          <w:divBdr>
            <w:top w:val="none" w:sz="0" w:space="0" w:color="auto"/>
            <w:left w:val="none" w:sz="0" w:space="0" w:color="auto"/>
            <w:bottom w:val="none" w:sz="0" w:space="0" w:color="auto"/>
            <w:right w:val="none" w:sz="0" w:space="0" w:color="auto"/>
          </w:divBdr>
        </w:div>
        <w:div w:id="1349453068">
          <w:marLeft w:val="640"/>
          <w:marRight w:val="0"/>
          <w:marTop w:val="0"/>
          <w:marBottom w:val="0"/>
          <w:divBdr>
            <w:top w:val="none" w:sz="0" w:space="0" w:color="auto"/>
            <w:left w:val="none" w:sz="0" w:space="0" w:color="auto"/>
            <w:bottom w:val="none" w:sz="0" w:space="0" w:color="auto"/>
            <w:right w:val="none" w:sz="0" w:space="0" w:color="auto"/>
          </w:divBdr>
        </w:div>
        <w:div w:id="1636792832">
          <w:marLeft w:val="640"/>
          <w:marRight w:val="0"/>
          <w:marTop w:val="0"/>
          <w:marBottom w:val="0"/>
          <w:divBdr>
            <w:top w:val="none" w:sz="0" w:space="0" w:color="auto"/>
            <w:left w:val="none" w:sz="0" w:space="0" w:color="auto"/>
            <w:bottom w:val="none" w:sz="0" w:space="0" w:color="auto"/>
            <w:right w:val="none" w:sz="0" w:space="0" w:color="auto"/>
          </w:divBdr>
        </w:div>
        <w:div w:id="197476519">
          <w:marLeft w:val="640"/>
          <w:marRight w:val="0"/>
          <w:marTop w:val="0"/>
          <w:marBottom w:val="0"/>
          <w:divBdr>
            <w:top w:val="none" w:sz="0" w:space="0" w:color="auto"/>
            <w:left w:val="none" w:sz="0" w:space="0" w:color="auto"/>
            <w:bottom w:val="none" w:sz="0" w:space="0" w:color="auto"/>
            <w:right w:val="none" w:sz="0" w:space="0" w:color="auto"/>
          </w:divBdr>
        </w:div>
      </w:divsChild>
    </w:div>
    <w:div w:id="306013403">
      <w:bodyDiv w:val="1"/>
      <w:marLeft w:val="0"/>
      <w:marRight w:val="0"/>
      <w:marTop w:val="0"/>
      <w:marBottom w:val="0"/>
      <w:divBdr>
        <w:top w:val="none" w:sz="0" w:space="0" w:color="auto"/>
        <w:left w:val="none" w:sz="0" w:space="0" w:color="auto"/>
        <w:bottom w:val="none" w:sz="0" w:space="0" w:color="auto"/>
        <w:right w:val="none" w:sz="0" w:space="0" w:color="auto"/>
      </w:divBdr>
      <w:divsChild>
        <w:div w:id="1092513225">
          <w:marLeft w:val="640"/>
          <w:marRight w:val="0"/>
          <w:marTop w:val="0"/>
          <w:marBottom w:val="0"/>
          <w:divBdr>
            <w:top w:val="none" w:sz="0" w:space="0" w:color="auto"/>
            <w:left w:val="none" w:sz="0" w:space="0" w:color="auto"/>
            <w:bottom w:val="none" w:sz="0" w:space="0" w:color="auto"/>
            <w:right w:val="none" w:sz="0" w:space="0" w:color="auto"/>
          </w:divBdr>
        </w:div>
        <w:div w:id="873201788">
          <w:marLeft w:val="640"/>
          <w:marRight w:val="0"/>
          <w:marTop w:val="0"/>
          <w:marBottom w:val="0"/>
          <w:divBdr>
            <w:top w:val="none" w:sz="0" w:space="0" w:color="auto"/>
            <w:left w:val="none" w:sz="0" w:space="0" w:color="auto"/>
            <w:bottom w:val="none" w:sz="0" w:space="0" w:color="auto"/>
            <w:right w:val="none" w:sz="0" w:space="0" w:color="auto"/>
          </w:divBdr>
        </w:div>
        <w:div w:id="1365012138">
          <w:marLeft w:val="640"/>
          <w:marRight w:val="0"/>
          <w:marTop w:val="0"/>
          <w:marBottom w:val="0"/>
          <w:divBdr>
            <w:top w:val="none" w:sz="0" w:space="0" w:color="auto"/>
            <w:left w:val="none" w:sz="0" w:space="0" w:color="auto"/>
            <w:bottom w:val="none" w:sz="0" w:space="0" w:color="auto"/>
            <w:right w:val="none" w:sz="0" w:space="0" w:color="auto"/>
          </w:divBdr>
        </w:div>
        <w:div w:id="1425689825">
          <w:marLeft w:val="640"/>
          <w:marRight w:val="0"/>
          <w:marTop w:val="0"/>
          <w:marBottom w:val="0"/>
          <w:divBdr>
            <w:top w:val="none" w:sz="0" w:space="0" w:color="auto"/>
            <w:left w:val="none" w:sz="0" w:space="0" w:color="auto"/>
            <w:bottom w:val="none" w:sz="0" w:space="0" w:color="auto"/>
            <w:right w:val="none" w:sz="0" w:space="0" w:color="auto"/>
          </w:divBdr>
        </w:div>
        <w:div w:id="1604605785">
          <w:marLeft w:val="640"/>
          <w:marRight w:val="0"/>
          <w:marTop w:val="0"/>
          <w:marBottom w:val="0"/>
          <w:divBdr>
            <w:top w:val="none" w:sz="0" w:space="0" w:color="auto"/>
            <w:left w:val="none" w:sz="0" w:space="0" w:color="auto"/>
            <w:bottom w:val="none" w:sz="0" w:space="0" w:color="auto"/>
            <w:right w:val="none" w:sz="0" w:space="0" w:color="auto"/>
          </w:divBdr>
        </w:div>
        <w:div w:id="794257207">
          <w:marLeft w:val="640"/>
          <w:marRight w:val="0"/>
          <w:marTop w:val="0"/>
          <w:marBottom w:val="0"/>
          <w:divBdr>
            <w:top w:val="none" w:sz="0" w:space="0" w:color="auto"/>
            <w:left w:val="none" w:sz="0" w:space="0" w:color="auto"/>
            <w:bottom w:val="none" w:sz="0" w:space="0" w:color="auto"/>
            <w:right w:val="none" w:sz="0" w:space="0" w:color="auto"/>
          </w:divBdr>
        </w:div>
        <w:div w:id="1002316552">
          <w:marLeft w:val="640"/>
          <w:marRight w:val="0"/>
          <w:marTop w:val="0"/>
          <w:marBottom w:val="0"/>
          <w:divBdr>
            <w:top w:val="none" w:sz="0" w:space="0" w:color="auto"/>
            <w:left w:val="none" w:sz="0" w:space="0" w:color="auto"/>
            <w:bottom w:val="none" w:sz="0" w:space="0" w:color="auto"/>
            <w:right w:val="none" w:sz="0" w:space="0" w:color="auto"/>
          </w:divBdr>
        </w:div>
        <w:div w:id="665324242">
          <w:marLeft w:val="640"/>
          <w:marRight w:val="0"/>
          <w:marTop w:val="0"/>
          <w:marBottom w:val="0"/>
          <w:divBdr>
            <w:top w:val="none" w:sz="0" w:space="0" w:color="auto"/>
            <w:left w:val="none" w:sz="0" w:space="0" w:color="auto"/>
            <w:bottom w:val="none" w:sz="0" w:space="0" w:color="auto"/>
            <w:right w:val="none" w:sz="0" w:space="0" w:color="auto"/>
          </w:divBdr>
        </w:div>
        <w:div w:id="1293294370">
          <w:marLeft w:val="640"/>
          <w:marRight w:val="0"/>
          <w:marTop w:val="0"/>
          <w:marBottom w:val="0"/>
          <w:divBdr>
            <w:top w:val="none" w:sz="0" w:space="0" w:color="auto"/>
            <w:left w:val="none" w:sz="0" w:space="0" w:color="auto"/>
            <w:bottom w:val="none" w:sz="0" w:space="0" w:color="auto"/>
            <w:right w:val="none" w:sz="0" w:space="0" w:color="auto"/>
          </w:divBdr>
        </w:div>
        <w:div w:id="1052195278">
          <w:marLeft w:val="640"/>
          <w:marRight w:val="0"/>
          <w:marTop w:val="0"/>
          <w:marBottom w:val="0"/>
          <w:divBdr>
            <w:top w:val="none" w:sz="0" w:space="0" w:color="auto"/>
            <w:left w:val="none" w:sz="0" w:space="0" w:color="auto"/>
            <w:bottom w:val="none" w:sz="0" w:space="0" w:color="auto"/>
            <w:right w:val="none" w:sz="0" w:space="0" w:color="auto"/>
          </w:divBdr>
        </w:div>
        <w:div w:id="1631085486">
          <w:marLeft w:val="640"/>
          <w:marRight w:val="0"/>
          <w:marTop w:val="0"/>
          <w:marBottom w:val="0"/>
          <w:divBdr>
            <w:top w:val="none" w:sz="0" w:space="0" w:color="auto"/>
            <w:left w:val="none" w:sz="0" w:space="0" w:color="auto"/>
            <w:bottom w:val="none" w:sz="0" w:space="0" w:color="auto"/>
            <w:right w:val="none" w:sz="0" w:space="0" w:color="auto"/>
          </w:divBdr>
        </w:div>
        <w:div w:id="382951604">
          <w:marLeft w:val="640"/>
          <w:marRight w:val="0"/>
          <w:marTop w:val="0"/>
          <w:marBottom w:val="0"/>
          <w:divBdr>
            <w:top w:val="none" w:sz="0" w:space="0" w:color="auto"/>
            <w:left w:val="none" w:sz="0" w:space="0" w:color="auto"/>
            <w:bottom w:val="none" w:sz="0" w:space="0" w:color="auto"/>
            <w:right w:val="none" w:sz="0" w:space="0" w:color="auto"/>
          </w:divBdr>
        </w:div>
        <w:div w:id="494036035">
          <w:marLeft w:val="640"/>
          <w:marRight w:val="0"/>
          <w:marTop w:val="0"/>
          <w:marBottom w:val="0"/>
          <w:divBdr>
            <w:top w:val="none" w:sz="0" w:space="0" w:color="auto"/>
            <w:left w:val="none" w:sz="0" w:space="0" w:color="auto"/>
            <w:bottom w:val="none" w:sz="0" w:space="0" w:color="auto"/>
            <w:right w:val="none" w:sz="0" w:space="0" w:color="auto"/>
          </w:divBdr>
        </w:div>
        <w:div w:id="1348167515">
          <w:marLeft w:val="640"/>
          <w:marRight w:val="0"/>
          <w:marTop w:val="0"/>
          <w:marBottom w:val="0"/>
          <w:divBdr>
            <w:top w:val="none" w:sz="0" w:space="0" w:color="auto"/>
            <w:left w:val="none" w:sz="0" w:space="0" w:color="auto"/>
            <w:bottom w:val="none" w:sz="0" w:space="0" w:color="auto"/>
            <w:right w:val="none" w:sz="0" w:space="0" w:color="auto"/>
          </w:divBdr>
        </w:div>
        <w:div w:id="484319528">
          <w:marLeft w:val="640"/>
          <w:marRight w:val="0"/>
          <w:marTop w:val="0"/>
          <w:marBottom w:val="0"/>
          <w:divBdr>
            <w:top w:val="none" w:sz="0" w:space="0" w:color="auto"/>
            <w:left w:val="none" w:sz="0" w:space="0" w:color="auto"/>
            <w:bottom w:val="none" w:sz="0" w:space="0" w:color="auto"/>
            <w:right w:val="none" w:sz="0" w:space="0" w:color="auto"/>
          </w:divBdr>
        </w:div>
        <w:div w:id="276722359">
          <w:marLeft w:val="640"/>
          <w:marRight w:val="0"/>
          <w:marTop w:val="0"/>
          <w:marBottom w:val="0"/>
          <w:divBdr>
            <w:top w:val="none" w:sz="0" w:space="0" w:color="auto"/>
            <w:left w:val="none" w:sz="0" w:space="0" w:color="auto"/>
            <w:bottom w:val="none" w:sz="0" w:space="0" w:color="auto"/>
            <w:right w:val="none" w:sz="0" w:space="0" w:color="auto"/>
          </w:divBdr>
        </w:div>
        <w:div w:id="960719965">
          <w:marLeft w:val="640"/>
          <w:marRight w:val="0"/>
          <w:marTop w:val="0"/>
          <w:marBottom w:val="0"/>
          <w:divBdr>
            <w:top w:val="none" w:sz="0" w:space="0" w:color="auto"/>
            <w:left w:val="none" w:sz="0" w:space="0" w:color="auto"/>
            <w:bottom w:val="none" w:sz="0" w:space="0" w:color="auto"/>
            <w:right w:val="none" w:sz="0" w:space="0" w:color="auto"/>
          </w:divBdr>
        </w:div>
        <w:div w:id="778795222">
          <w:marLeft w:val="640"/>
          <w:marRight w:val="0"/>
          <w:marTop w:val="0"/>
          <w:marBottom w:val="0"/>
          <w:divBdr>
            <w:top w:val="none" w:sz="0" w:space="0" w:color="auto"/>
            <w:left w:val="none" w:sz="0" w:space="0" w:color="auto"/>
            <w:bottom w:val="none" w:sz="0" w:space="0" w:color="auto"/>
            <w:right w:val="none" w:sz="0" w:space="0" w:color="auto"/>
          </w:divBdr>
        </w:div>
        <w:div w:id="2084135021">
          <w:marLeft w:val="640"/>
          <w:marRight w:val="0"/>
          <w:marTop w:val="0"/>
          <w:marBottom w:val="0"/>
          <w:divBdr>
            <w:top w:val="none" w:sz="0" w:space="0" w:color="auto"/>
            <w:left w:val="none" w:sz="0" w:space="0" w:color="auto"/>
            <w:bottom w:val="none" w:sz="0" w:space="0" w:color="auto"/>
            <w:right w:val="none" w:sz="0" w:space="0" w:color="auto"/>
          </w:divBdr>
        </w:div>
        <w:div w:id="272834658">
          <w:marLeft w:val="640"/>
          <w:marRight w:val="0"/>
          <w:marTop w:val="0"/>
          <w:marBottom w:val="0"/>
          <w:divBdr>
            <w:top w:val="none" w:sz="0" w:space="0" w:color="auto"/>
            <w:left w:val="none" w:sz="0" w:space="0" w:color="auto"/>
            <w:bottom w:val="none" w:sz="0" w:space="0" w:color="auto"/>
            <w:right w:val="none" w:sz="0" w:space="0" w:color="auto"/>
          </w:divBdr>
        </w:div>
        <w:div w:id="700672224">
          <w:marLeft w:val="640"/>
          <w:marRight w:val="0"/>
          <w:marTop w:val="0"/>
          <w:marBottom w:val="0"/>
          <w:divBdr>
            <w:top w:val="none" w:sz="0" w:space="0" w:color="auto"/>
            <w:left w:val="none" w:sz="0" w:space="0" w:color="auto"/>
            <w:bottom w:val="none" w:sz="0" w:space="0" w:color="auto"/>
            <w:right w:val="none" w:sz="0" w:space="0" w:color="auto"/>
          </w:divBdr>
        </w:div>
        <w:div w:id="1375883143">
          <w:marLeft w:val="640"/>
          <w:marRight w:val="0"/>
          <w:marTop w:val="0"/>
          <w:marBottom w:val="0"/>
          <w:divBdr>
            <w:top w:val="none" w:sz="0" w:space="0" w:color="auto"/>
            <w:left w:val="none" w:sz="0" w:space="0" w:color="auto"/>
            <w:bottom w:val="none" w:sz="0" w:space="0" w:color="auto"/>
            <w:right w:val="none" w:sz="0" w:space="0" w:color="auto"/>
          </w:divBdr>
        </w:div>
        <w:div w:id="571163007">
          <w:marLeft w:val="640"/>
          <w:marRight w:val="0"/>
          <w:marTop w:val="0"/>
          <w:marBottom w:val="0"/>
          <w:divBdr>
            <w:top w:val="none" w:sz="0" w:space="0" w:color="auto"/>
            <w:left w:val="none" w:sz="0" w:space="0" w:color="auto"/>
            <w:bottom w:val="none" w:sz="0" w:space="0" w:color="auto"/>
            <w:right w:val="none" w:sz="0" w:space="0" w:color="auto"/>
          </w:divBdr>
        </w:div>
        <w:div w:id="1892308081">
          <w:marLeft w:val="640"/>
          <w:marRight w:val="0"/>
          <w:marTop w:val="0"/>
          <w:marBottom w:val="0"/>
          <w:divBdr>
            <w:top w:val="none" w:sz="0" w:space="0" w:color="auto"/>
            <w:left w:val="none" w:sz="0" w:space="0" w:color="auto"/>
            <w:bottom w:val="none" w:sz="0" w:space="0" w:color="auto"/>
            <w:right w:val="none" w:sz="0" w:space="0" w:color="auto"/>
          </w:divBdr>
        </w:div>
        <w:div w:id="753478779">
          <w:marLeft w:val="640"/>
          <w:marRight w:val="0"/>
          <w:marTop w:val="0"/>
          <w:marBottom w:val="0"/>
          <w:divBdr>
            <w:top w:val="none" w:sz="0" w:space="0" w:color="auto"/>
            <w:left w:val="none" w:sz="0" w:space="0" w:color="auto"/>
            <w:bottom w:val="none" w:sz="0" w:space="0" w:color="auto"/>
            <w:right w:val="none" w:sz="0" w:space="0" w:color="auto"/>
          </w:divBdr>
        </w:div>
        <w:div w:id="1791166753">
          <w:marLeft w:val="640"/>
          <w:marRight w:val="0"/>
          <w:marTop w:val="0"/>
          <w:marBottom w:val="0"/>
          <w:divBdr>
            <w:top w:val="none" w:sz="0" w:space="0" w:color="auto"/>
            <w:left w:val="none" w:sz="0" w:space="0" w:color="auto"/>
            <w:bottom w:val="none" w:sz="0" w:space="0" w:color="auto"/>
            <w:right w:val="none" w:sz="0" w:space="0" w:color="auto"/>
          </w:divBdr>
        </w:div>
        <w:div w:id="1862889209">
          <w:marLeft w:val="640"/>
          <w:marRight w:val="0"/>
          <w:marTop w:val="0"/>
          <w:marBottom w:val="0"/>
          <w:divBdr>
            <w:top w:val="none" w:sz="0" w:space="0" w:color="auto"/>
            <w:left w:val="none" w:sz="0" w:space="0" w:color="auto"/>
            <w:bottom w:val="none" w:sz="0" w:space="0" w:color="auto"/>
            <w:right w:val="none" w:sz="0" w:space="0" w:color="auto"/>
          </w:divBdr>
        </w:div>
        <w:div w:id="1680736420">
          <w:marLeft w:val="640"/>
          <w:marRight w:val="0"/>
          <w:marTop w:val="0"/>
          <w:marBottom w:val="0"/>
          <w:divBdr>
            <w:top w:val="none" w:sz="0" w:space="0" w:color="auto"/>
            <w:left w:val="none" w:sz="0" w:space="0" w:color="auto"/>
            <w:bottom w:val="none" w:sz="0" w:space="0" w:color="auto"/>
            <w:right w:val="none" w:sz="0" w:space="0" w:color="auto"/>
          </w:divBdr>
        </w:div>
      </w:divsChild>
    </w:div>
    <w:div w:id="307169222">
      <w:bodyDiv w:val="1"/>
      <w:marLeft w:val="0"/>
      <w:marRight w:val="0"/>
      <w:marTop w:val="0"/>
      <w:marBottom w:val="0"/>
      <w:divBdr>
        <w:top w:val="none" w:sz="0" w:space="0" w:color="auto"/>
        <w:left w:val="none" w:sz="0" w:space="0" w:color="auto"/>
        <w:bottom w:val="none" w:sz="0" w:space="0" w:color="auto"/>
        <w:right w:val="none" w:sz="0" w:space="0" w:color="auto"/>
      </w:divBdr>
      <w:divsChild>
        <w:div w:id="2126926473">
          <w:marLeft w:val="640"/>
          <w:marRight w:val="0"/>
          <w:marTop w:val="0"/>
          <w:marBottom w:val="0"/>
          <w:divBdr>
            <w:top w:val="none" w:sz="0" w:space="0" w:color="auto"/>
            <w:left w:val="none" w:sz="0" w:space="0" w:color="auto"/>
            <w:bottom w:val="none" w:sz="0" w:space="0" w:color="auto"/>
            <w:right w:val="none" w:sz="0" w:space="0" w:color="auto"/>
          </w:divBdr>
        </w:div>
        <w:div w:id="1949894283">
          <w:marLeft w:val="640"/>
          <w:marRight w:val="0"/>
          <w:marTop w:val="0"/>
          <w:marBottom w:val="0"/>
          <w:divBdr>
            <w:top w:val="none" w:sz="0" w:space="0" w:color="auto"/>
            <w:left w:val="none" w:sz="0" w:space="0" w:color="auto"/>
            <w:bottom w:val="none" w:sz="0" w:space="0" w:color="auto"/>
            <w:right w:val="none" w:sz="0" w:space="0" w:color="auto"/>
          </w:divBdr>
        </w:div>
        <w:div w:id="913322146">
          <w:marLeft w:val="640"/>
          <w:marRight w:val="0"/>
          <w:marTop w:val="0"/>
          <w:marBottom w:val="0"/>
          <w:divBdr>
            <w:top w:val="none" w:sz="0" w:space="0" w:color="auto"/>
            <w:left w:val="none" w:sz="0" w:space="0" w:color="auto"/>
            <w:bottom w:val="none" w:sz="0" w:space="0" w:color="auto"/>
            <w:right w:val="none" w:sz="0" w:space="0" w:color="auto"/>
          </w:divBdr>
        </w:div>
        <w:div w:id="146097731">
          <w:marLeft w:val="640"/>
          <w:marRight w:val="0"/>
          <w:marTop w:val="0"/>
          <w:marBottom w:val="0"/>
          <w:divBdr>
            <w:top w:val="none" w:sz="0" w:space="0" w:color="auto"/>
            <w:left w:val="none" w:sz="0" w:space="0" w:color="auto"/>
            <w:bottom w:val="none" w:sz="0" w:space="0" w:color="auto"/>
            <w:right w:val="none" w:sz="0" w:space="0" w:color="auto"/>
          </w:divBdr>
        </w:div>
        <w:div w:id="1983348726">
          <w:marLeft w:val="640"/>
          <w:marRight w:val="0"/>
          <w:marTop w:val="0"/>
          <w:marBottom w:val="0"/>
          <w:divBdr>
            <w:top w:val="none" w:sz="0" w:space="0" w:color="auto"/>
            <w:left w:val="none" w:sz="0" w:space="0" w:color="auto"/>
            <w:bottom w:val="none" w:sz="0" w:space="0" w:color="auto"/>
            <w:right w:val="none" w:sz="0" w:space="0" w:color="auto"/>
          </w:divBdr>
        </w:div>
        <w:div w:id="585268249">
          <w:marLeft w:val="640"/>
          <w:marRight w:val="0"/>
          <w:marTop w:val="0"/>
          <w:marBottom w:val="0"/>
          <w:divBdr>
            <w:top w:val="none" w:sz="0" w:space="0" w:color="auto"/>
            <w:left w:val="none" w:sz="0" w:space="0" w:color="auto"/>
            <w:bottom w:val="none" w:sz="0" w:space="0" w:color="auto"/>
            <w:right w:val="none" w:sz="0" w:space="0" w:color="auto"/>
          </w:divBdr>
        </w:div>
        <w:div w:id="1406218877">
          <w:marLeft w:val="640"/>
          <w:marRight w:val="0"/>
          <w:marTop w:val="0"/>
          <w:marBottom w:val="0"/>
          <w:divBdr>
            <w:top w:val="none" w:sz="0" w:space="0" w:color="auto"/>
            <w:left w:val="none" w:sz="0" w:space="0" w:color="auto"/>
            <w:bottom w:val="none" w:sz="0" w:space="0" w:color="auto"/>
            <w:right w:val="none" w:sz="0" w:space="0" w:color="auto"/>
          </w:divBdr>
        </w:div>
        <w:div w:id="285703194">
          <w:marLeft w:val="640"/>
          <w:marRight w:val="0"/>
          <w:marTop w:val="0"/>
          <w:marBottom w:val="0"/>
          <w:divBdr>
            <w:top w:val="none" w:sz="0" w:space="0" w:color="auto"/>
            <w:left w:val="none" w:sz="0" w:space="0" w:color="auto"/>
            <w:bottom w:val="none" w:sz="0" w:space="0" w:color="auto"/>
            <w:right w:val="none" w:sz="0" w:space="0" w:color="auto"/>
          </w:divBdr>
        </w:div>
        <w:div w:id="1868063261">
          <w:marLeft w:val="640"/>
          <w:marRight w:val="0"/>
          <w:marTop w:val="0"/>
          <w:marBottom w:val="0"/>
          <w:divBdr>
            <w:top w:val="none" w:sz="0" w:space="0" w:color="auto"/>
            <w:left w:val="none" w:sz="0" w:space="0" w:color="auto"/>
            <w:bottom w:val="none" w:sz="0" w:space="0" w:color="auto"/>
            <w:right w:val="none" w:sz="0" w:space="0" w:color="auto"/>
          </w:divBdr>
        </w:div>
        <w:div w:id="469977787">
          <w:marLeft w:val="640"/>
          <w:marRight w:val="0"/>
          <w:marTop w:val="0"/>
          <w:marBottom w:val="0"/>
          <w:divBdr>
            <w:top w:val="none" w:sz="0" w:space="0" w:color="auto"/>
            <w:left w:val="none" w:sz="0" w:space="0" w:color="auto"/>
            <w:bottom w:val="none" w:sz="0" w:space="0" w:color="auto"/>
            <w:right w:val="none" w:sz="0" w:space="0" w:color="auto"/>
          </w:divBdr>
        </w:div>
        <w:div w:id="1286544748">
          <w:marLeft w:val="640"/>
          <w:marRight w:val="0"/>
          <w:marTop w:val="0"/>
          <w:marBottom w:val="0"/>
          <w:divBdr>
            <w:top w:val="none" w:sz="0" w:space="0" w:color="auto"/>
            <w:left w:val="none" w:sz="0" w:space="0" w:color="auto"/>
            <w:bottom w:val="none" w:sz="0" w:space="0" w:color="auto"/>
            <w:right w:val="none" w:sz="0" w:space="0" w:color="auto"/>
          </w:divBdr>
        </w:div>
        <w:div w:id="68119618">
          <w:marLeft w:val="640"/>
          <w:marRight w:val="0"/>
          <w:marTop w:val="0"/>
          <w:marBottom w:val="0"/>
          <w:divBdr>
            <w:top w:val="none" w:sz="0" w:space="0" w:color="auto"/>
            <w:left w:val="none" w:sz="0" w:space="0" w:color="auto"/>
            <w:bottom w:val="none" w:sz="0" w:space="0" w:color="auto"/>
            <w:right w:val="none" w:sz="0" w:space="0" w:color="auto"/>
          </w:divBdr>
        </w:div>
        <w:div w:id="345795280">
          <w:marLeft w:val="640"/>
          <w:marRight w:val="0"/>
          <w:marTop w:val="0"/>
          <w:marBottom w:val="0"/>
          <w:divBdr>
            <w:top w:val="none" w:sz="0" w:space="0" w:color="auto"/>
            <w:left w:val="none" w:sz="0" w:space="0" w:color="auto"/>
            <w:bottom w:val="none" w:sz="0" w:space="0" w:color="auto"/>
            <w:right w:val="none" w:sz="0" w:space="0" w:color="auto"/>
          </w:divBdr>
        </w:div>
        <w:div w:id="1911308520">
          <w:marLeft w:val="640"/>
          <w:marRight w:val="0"/>
          <w:marTop w:val="0"/>
          <w:marBottom w:val="0"/>
          <w:divBdr>
            <w:top w:val="none" w:sz="0" w:space="0" w:color="auto"/>
            <w:left w:val="none" w:sz="0" w:space="0" w:color="auto"/>
            <w:bottom w:val="none" w:sz="0" w:space="0" w:color="auto"/>
            <w:right w:val="none" w:sz="0" w:space="0" w:color="auto"/>
          </w:divBdr>
        </w:div>
        <w:div w:id="1755935540">
          <w:marLeft w:val="640"/>
          <w:marRight w:val="0"/>
          <w:marTop w:val="0"/>
          <w:marBottom w:val="0"/>
          <w:divBdr>
            <w:top w:val="none" w:sz="0" w:space="0" w:color="auto"/>
            <w:left w:val="none" w:sz="0" w:space="0" w:color="auto"/>
            <w:bottom w:val="none" w:sz="0" w:space="0" w:color="auto"/>
            <w:right w:val="none" w:sz="0" w:space="0" w:color="auto"/>
          </w:divBdr>
        </w:div>
        <w:div w:id="1291860633">
          <w:marLeft w:val="640"/>
          <w:marRight w:val="0"/>
          <w:marTop w:val="0"/>
          <w:marBottom w:val="0"/>
          <w:divBdr>
            <w:top w:val="none" w:sz="0" w:space="0" w:color="auto"/>
            <w:left w:val="none" w:sz="0" w:space="0" w:color="auto"/>
            <w:bottom w:val="none" w:sz="0" w:space="0" w:color="auto"/>
            <w:right w:val="none" w:sz="0" w:space="0" w:color="auto"/>
          </w:divBdr>
        </w:div>
        <w:div w:id="241527086">
          <w:marLeft w:val="640"/>
          <w:marRight w:val="0"/>
          <w:marTop w:val="0"/>
          <w:marBottom w:val="0"/>
          <w:divBdr>
            <w:top w:val="none" w:sz="0" w:space="0" w:color="auto"/>
            <w:left w:val="none" w:sz="0" w:space="0" w:color="auto"/>
            <w:bottom w:val="none" w:sz="0" w:space="0" w:color="auto"/>
            <w:right w:val="none" w:sz="0" w:space="0" w:color="auto"/>
          </w:divBdr>
        </w:div>
        <w:div w:id="441610697">
          <w:marLeft w:val="640"/>
          <w:marRight w:val="0"/>
          <w:marTop w:val="0"/>
          <w:marBottom w:val="0"/>
          <w:divBdr>
            <w:top w:val="none" w:sz="0" w:space="0" w:color="auto"/>
            <w:left w:val="none" w:sz="0" w:space="0" w:color="auto"/>
            <w:bottom w:val="none" w:sz="0" w:space="0" w:color="auto"/>
            <w:right w:val="none" w:sz="0" w:space="0" w:color="auto"/>
          </w:divBdr>
        </w:div>
        <w:div w:id="1332953556">
          <w:marLeft w:val="640"/>
          <w:marRight w:val="0"/>
          <w:marTop w:val="0"/>
          <w:marBottom w:val="0"/>
          <w:divBdr>
            <w:top w:val="none" w:sz="0" w:space="0" w:color="auto"/>
            <w:left w:val="none" w:sz="0" w:space="0" w:color="auto"/>
            <w:bottom w:val="none" w:sz="0" w:space="0" w:color="auto"/>
            <w:right w:val="none" w:sz="0" w:space="0" w:color="auto"/>
          </w:divBdr>
        </w:div>
        <w:div w:id="974330756">
          <w:marLeft w:val="640"/>
          <w:marRight w:val="0"/>
          <w:marTop w:val="0"/>
          <w:marBottom w:val="0"/>
          <w:divBdr>
            <w:top w:val="none" w:sz="0" w:space="0" w:color="auto"/>
            <w:left w:val="none" w:sz="0" w:space="0" w:color="auto"/>
            <w:bottom w:val="none" w:sz="0" w:space="0" w:color="auto"/>
            <w:right w:val="none" w:sz="0" w:space="0" w:color="auto"/>
          </w:divBdr>
        </w:div>
        <w:div w:id="1389691755">
          <w:marLeft w:val="640"/>
          <w:marRight w:val="0"/>
          <w:marTop w:val="0"/>
          <w:marBottom w:val="0"/>
          <w:divBdr>
            <w:top w:val="none" w:sz="0" w:space="0" w:color="auto"/>
            <w:left w:val="none" w:sz="0" w:space="0" w:color="auto"/>
            <w:bottom w:val="none" w:sz="0" w:space="0" w:color="auto"/>
            <w:right w:val="none" w:sz="0" w:space="0" w:color="auto"/>
          </w:divBdr>
        </w:div>
        <w:div w:id="1246837041">
          <w:marLeft w:val="640"/>
          <w:marRight w:val="0"/>
          <w:marTop w:val="0"/>
          <w:marBottom w:val="0"/>
          <w:divBdr>
            <w:top w:val="none" w:sz="0" w:space="0" w:color="auto"/>
            <w:left w:val="none" w:sz="0" w:space="0" w:color="auto"/>
            <w:bottom w:val="none" w:sz="0" w:space="0" w:color="auto"/>
            <w:right w:val="none" w:sz="0" w:space="0" w:color="auto"/>
          </w:divBdr>
        </w:div>
        <w:div w:id="1159155944">
          <w:marLeft w:val="640"/>
          <w:marRight w:val="0"/>
          <w:marTop w:val="0"/>
          <w:marBottom w:val="0"/>
          <w:divBdr>
            <w:top w:val="none" w:sz="0" w:space="0" w:color="auto"/>
            <w:left w:val="none" w:sz="0" w:space="0" w:color="auto"/>
            <w:bottom w:val="none" w:sz="0" w:space="0" w:color="auto"/>
            <w:right w:val="none" w:sz="0" w:space="0" w:color="auto"/>
          </w:divBdr>
        </w:div>
        <w:div w:id="197814438">
          <w:marLeft w:val="640"/>
          <w:marRight w:val="0"/>
          <w:marTop w:val="0"/>
          <w:marBottom w:val="0"/>
          <w:divBdr>
            <w:top w:val="none" w:sz="0" w:space="0" w:color="auto"/>
            <w:left w:val="none" w:sz="0" w:space="0" w:color="auto"/>
            <w:bottom w:val="none" w:sz="0" w:space="0" w:color="auto"/>
            <w:right w:val="none" w:sz="0" w:space="0" w:color="auto"/>
          </w:divBdr>
        </w:div>
        <w:div w:id="1072777036">
          <w:marLeft w:val="640"/>
          <w:marRight w:val="0"/>
          <w:marTop w:val="0"/>
          <w:marBottom w:val="0"/>
          <w:divBdr>
            <w:top w:val="none" w:sz="0" w:space="0" w:color="auto"/>
            <w:left w:val="none" w:sz="0" w:space="0" w:color="auto"/>
            <w:bottom w:val="none" w:sz="0" w:space="0" w:color="auto"/>
            <w:right w:val="none" w:sz="0" w:space="0" w:color="auto"/>
          </w:divBdr>
        </w:div>
        <w:div w:id="1433554913">
          <w:marLeft w:val="640"/>
          <w:marRight w:val="0"/>
          <w:marTop w:val="0"/>
          <w:marBottom w:val="0"/>
          <w:divBdr>
            <w:top w:val="none" w:sz="0" w:space="0" w:color="auto"/>
            <w:left w:val="none" w:sz="0" w:space="0" w:color="auto"/>
            <w:bottom w:val="none" w:sz="0" w:space="0" w:color="auto"/>
            <w:right w:val="none" w:sz="0" w:space="0" w:color="auto"/>
          </w:divBdr>
        </w:div>
        <w:div w:id="798376971">
          <w:marLeft w:val="640"/>
          <w:marRight w:val="0"/>
          <w:marTop w:val="0"/>
          <w:marBottom w:val="0"/>
          <w:divBdr>
            <w:top w:val="none" w:sz="0" w:space="0" w:color="auto"/>
            <w:left w:val="none" w:sz="0" w:space="0" w:color="auto"/>
            <w:bottom w:val="none" w:sz="0" w:space="0" w:color="auto"/>
            <w:right w:val="none" w:sz="0" w:space="0" w:color="auto"/>
          </w:divBdr>
        </w:div>
        <w:div w:id="895554386">
          <w:marLeft w:val="640"/>
          <w:marRight w:val="0"/>
          <w:marTop w:val="0"/>
          <w:marBottom w:val="0"/>
          <w:divBdr>
            <w:top w:val="none" w:sz="0" w:space="0" w:color="auto"/>
            <w:left w:val="none" w:sz="0" w:space="0" w:color="auto"/>
            <w:bottom w:val="none" w:sz="0" w:space="0" w:color="auto"/>
            <w:right w:val="none" w:sz="0" w:space="0" w:color="auto"/>
          </w:divBdr>
        </w:div>
        <w:div w:id="1595823364">
          <w:marLeft w:val="640"/>
          <w:marRight w:val="0"/>
          <w:marTop w:val="0"/>
          <w:marBottom w:val="0"/>
          <w:divBdr>
            <w:top w:val="none" w:sz="0" w:space="0" w:color="auto"/>
            <w:left w:val="none" w:sz="0" w:space="0" w:color="auto"/>
            <w:bottom w:val="none" w:sz="0" w:space="0" w:color="auto"/>
            <w:right w:val="none" w:sz="0" w:space="0" w:color="auto"/>
          </w:divBdr>
        </w:div>
        <w:div w:id="1657416201">
          <w:marLeft w:val="640"/>
          <w:marRight w:val="0"/>
          <w:marTop w:val="0"/>
          <w:marBottom w:val="0"/>
          <w:divBdr>
            <w:top w:val="none" w:sz="0" w:space="0" w:color="auto"/>
            <w:left w:val="none" w:sz="0" w:space="0" w:color="auto"/>
            <w:bottom w:val="none" w:sz="0" w:space="0" w:color="auto"/>
            <w:right w:val="none" w:sz="0" w:space="0" w:color="auto"/>
          </w:divBdr>
        </w:div>
        <w:div w:id="2137016992">
          <w:marLeft w:val="640"/>
          <w:marRight w:val="0"/>
          <w:marTop w:val="0"/>
          <w:marBottom w:val="0"/>
          <w:divBdr>
            <w:top w:val="none" w:sz="0" w:space="0" w:color="auto"/>
            <w:left w:val="none" w:sz="0" w:space="0" w:color="auto"/>
            <w:bottom w:val="none" w:sz="0" w:space="0" w:color="auto"/>
            <w:right w:val="none" w:sz="0" w:space="0" w:color="auto"/>
          </w:divBdr>
        </w:div>
        <w:div w:id="599416909">
          <w:marLeft w:val="640"/>
          <w:marRight w:val="0"/>
          <w:marTop w:val="0"/>
          <w:marBottom w:val="0"/>
          <w:divBdr>
            <w:top w:val="none" w:sz="0" w:space="0" w:color="auto"/>
            <w:left w:val="none" w:sz="0" w:space="0" w:color="auto"/>
            <w:bottom w:val="none" w:sz="0" w:space="0" w:color="auto"/>
            <w:right w:val="none" w:sz="0" w:space="0" w:color="auto"/>
          </w:divBdr>
        </w:div>
        <w:div w:id="557788870">
          <w:marLeft w:val="640"/>
          <w:marRight w:val="0"/>
          <w:marTop w:val="0"/>
          <w:marBottom w:val="0"/>
          <w:divBdr>
            <w:top w:val="none" w:sz="0" w:space="0" w:color="auto"/>
            <w:left w:val="none" w:sz="0" w:space="0" w:color="auto"/>
            <w:bottom w:val="none" w:sz="0" w:space="0" w:color="auto"/>
            <w:right w:val="none" w:sz="0" w:space="0" w:color="auto"/>
          </w:divBdr>
        </w:div>
        <w:div w:id="896816520">
          <w:marLeft w:val="640"/>
          <w:marRight w:val="0"/>
          <w:marTop w:val="0"/>
          <w:marBottom w:val="0"/>
          <w:divBdr>
            <w:top w:val="none" w:sz="0" w:space="0" w:color="auto"/>
            <w:left w:val="none" w:sz="0" w:space="0" w:color="auto"/>
            <w:bottom w:val="none" w:sz="0" w:space="0" w:color="auto"/>
            <w:right w:val="none" w:sz="0" w:space="0" w:color="auto"/>
          </w:divBdr>
        </w:div>
        <w:div w:id="1104033113">
          <w:marLeft w:val="640"/>
          <w:marRight w:val="0"/>
          <w:marTop w:val="0"/>
          <w:marBottom w:val="0"/>
          <w:divBdr>
            <w:top w:val="none" w:sz="0" w:space="0" w:color="auto"/>
            <w:left w:val="none" w:sz="0" w:space="0" w:color="auto"/>
            <w:bottom w:val="none" w:sz="0" w:space="0" w:color="auto"/>
            <w:right w:val="none" w:sz="0" w:space="0" w:color="auto"/>
          </w:divBdr>
        </w:div>
        <w:div w:id="2132750186">
          <w:marLeft w:val="640"/>
          <w:marRight w:val="0"/>
          <w:marTop w:val="0"/>
          <w:marBottom w:val="0"/>
          <w:divBdr>
            <w:top w:val="none" w:sz="0" w:space="0" w:color="auto"/>
            <w:left w:val="none" w:sz="0" w:space="0" w:color="auto"/>
            <w:bottom w:val="none" w:sz="0" w:space="0" w:color="auto"/>
            <w:right w:val="none" w:sz="0" w:space="0" w:color="auto"/>
          </w:divBdr>
        </w:div>
        <w:div w:id="130364446">
          <w:marLeft w:val="640"/>
          <w:marRight w:val="0"/>
          <w:marTop w:val="0"/>
          <w:marBottom w:val="0"/>
          <w:divBdr>
            <w:top w:val="none" w:sz="0" w:space="0" w:color="auto"/>
            <w:left w:val="none" w:sz="0" w:space="0" w:color="auto"/>
            <w:bottom w:val="none" w:sz="0" w:space="0" w:color="auto"/>
            <w:right w:val="none" w:sz="0" w:space="0" w:color="auto"/>
          </w:divBdr>
        </w:div>
        <w:div w:id="1991011516">
          <w:marLeft w:val="640"/>
          <w:marRight w:val="0"/>
          <w:marTop w:val="0"/>
          <w:marBottom w:val="0"/>
          <w:divBdr>
            <w:top w:val="none" w:sz="0" w:space="0" w:color="auto"/>
            <w:left w:val="none" w:sz="0" w:space="0" w:color="auto"/>
            <w:bottom w:val="none" w:sz="0" w:space="0" w:color="auto"/>
            <w:right w:val="none" w:sz="0" w:space="0" w:color="auto"/>
          </w:divBdr>
        </w:div>
        <w:div w:id="1393694136">
          <w:marLeft w:val="640"/>
          <w:marRight w:val="0"/>
          <w:marTop w:val="0"/>
          <w:marBottom w:val="0"/>
          <w:divBdr>
            <w:top w:val="none" w:sz="0" w:space="0" w:color="auto"/>
            <w:left w:val="none" w:sz="0" w:space="0" w:color="auto"/>
            <w:bottom w:val="none" w:sz="0" w:space="0" w:color="auto"/>
            <w:right w:val="none" w:sz="0" w:space="0" w:color="auto"/>
          </w:divBdr>
        </w:div>
        <w:div w:id="1030185373">
          <w:marLeft w:val="640"/>
          <w:marRight w:val="0"/>
          <w:marTop w:val="0"/>
          <w:marBottom w:val="0"/>
          <w:divBdr>
            <w:top w:val="none" w:sz="0" w:space="0" w:color="auto"/>
            <w:left w:val="none" w:sz="0" w:space="0" w:color="auto"/>
            <w:bottom w:val="none" w:sz="0" w:space="0" w:color="auto"/>
            <w:right w:val="none" w:sz="0" w:space="0" w:color="auto"/>
          </w:divBdr>
        </w:div>
        <w:div w:id="1446121057">
          <w:marLeft w:val="640"/>
          <w:marRight w:val="0"/>
          <w:marTop w:val="0"/>
          <w:marBottom w:val="0"/>
          <w:divBdr>
            <w:top w:val="none" w:sz="0" w:space="0" w:color="auto"/>
            <w:left w:val="none" w:sz="0" w:space="0" w:color="auto"/>
            <w:bottom w:val="none" w:sz="0" w:space="0" w:color="auto"/>
            <w:right w:val="none" w:sz="0" w:space="0" w:color="auto"/>
          </w:divBdr>
        </w:div>
        <w:div w:id="1978031335">
          <w:marLeft w:val="640"/>
          <w:marRight w:val="0"/>
          <w:marTop w:val="0"/>
          <w:marBottom w:val="0"/>
          <w:divBdr>
            <w:top w:val="none" w:sz="0" w:space="0" w:color="auto"/>
            <w:left w:val="none" w:sz="0" w:space="0" w:color="auto"/>
            <w:bottom w:val="none" w:sz="0" w:space="0" w:color="auto"/>
            <w:right w:val="none" w:sz="0" w:space="0" w:color="auto"/>
          </w:divBdr>
        </w:div>
        <w:div w:id="3746616">
          <w:marLeft w:val="640"/>
          <w:marRight w:val="0"/>
          <w:marTop w:val="0"/>
          <w:marBottom w:val="0"/>
          <w:divBdr>
            <w:top w:val="none" w:sz="0" w:space="0" w:color="auto"/>
            <w:left w:val="none" w:sz="0" w:space="0" w:color="auto"/>
            <w:bottom w:val="none" w:sz="0" w:space="0" w:color="auto"/>
            <w:right w:val="none" w:sz="0" w:space="0" w:color="auto"/>
          </w:divBdr>
        </w:div>
        <w:div w:id="460415554">
          <w:marLeft w:val="640"/>
          <w:marRight w:val="0"/>
          <w:marTop w:val="0"/>
          <w:marBottom w:val="0"/>
          <w:divBdr>
            <w:top w:val="none" w:sz="0" w:space="0" w:color="auto"/>
            <w:left w:val="none" w:sz="0" w:space="0" w:color="auto"/>
            <w:bottom w:val="none" w:sz="0" w:space="0" w:color="auto"/>
            <w:right w:val="none" w:sz="0" w:space="0" w:color="auto"/>
          </w:divBdr>
        </w:div>
        <w:div w:id="2007516348">
          <w:marLeft w:val="640"/>
          <w:marRight w:val="0"/>
          <w:marTop w:val="0"/>
          <w:marBottom w:val="0"/>
          <w:divBdr>
            <w:top w:val="none" w:sz="0" w:space="0" w:color="auto"/>
            <w:left w:val="none" w:sz="0" w:space="0" w:color="auto"/>
            <w:bottom w:val="none" w:sz="0" w:space="0" w:color="auto"/>
            <w:right w:val="none" w:sz="0" w:space="0" w:color="auto"/>
          </w:divBdr>
        </w:div>
        <w:div w:id="304432723">
          <w:marLeft w:val="640"/>
          <w:marRight w:val="0"/>
          <w:marTop w:val="0"/>
          <w:marBottom w:val="0"/>
          <w:divBdr>
            <w:top w:val="none" w:sz="0" w:space="0" w:color="auto"/>
            <w:left w:val="none" w:sz="0" w:space="0" w:color="auto"/>
            <w:bottom w:val="none" w:sz="0" w:space="0" w:color="auto"/>
            <w:right w:val="none" w:sz="0" w:space="0" w:color="auto"/>
          </w:divBdr>
        </w:div>
        <w:div w:id="1742099504">
          <w:marLeft w:val="640"/>
          <w:marRight w:val="0"/>
          <w:marTop w:val="0"/>
          <w:marBottom w:val="0"/>
          <w:divBdr>
            <w:top w:val="none" w:sz="0" w:space="0" w:color="auto"/>
            <w:left w:val="none" w:sz="0" w:space="0" w:color="auto"/>
            <w:bottom w:val="none" w:sz="0" w:space="0" w:color="auto"/>
            <w:right w:val="none" w:sz="0" w:space="0" w:color="auto"/>
          </w:divBdr>
        </w:div>
        <w:div w:id="1691683700">
          <w:marLeft w:val="640"/>
          <w:marRight w:val="0"/>
          <w:marTop w:val="0"/>
          <w:marBottom w:val="0"/>
          <w:divBdr>
            <w:top w:val="none" w:sz="0" w:space="0" w:color="auto"/>
            <w:left w:val="none" w:sz="0" w:space="0" w:color="auto"/>
            <w:bottom w:val="none" w:sz="0" w:space="0" w:color="auto"/>
            <w:right w:val="none" w:sz="0" w:space="0" w:color="auto"/>
          </w:divBdr>
        </w:div>
        <w:div w:id="447698883">
          <w:marLeft w:val="640"/>
          <w:marRight w:val="0"/>
          <w:marTop w:val="0"/>
          <w:marBottom w:val="0"/>
          <w:divBdr>
            <w:top w:val="none" w:sz="0" w:space="0" w:color="auto"/>
            <w:left w:val="none" w:sz="0" w:space="0" w:color="auto"/>
            <w:bottom w:val="none" w:sz="0" w:space="0" w:color="auto"/>
            <w:right w:val="none" w:sz="0" w:space="0" w:color="auto"/>
          </w:divBdr>
        </w:div>
        <w:div w:id="1288656484">
          <w:marLeft w:val="640"/>
          <w:marRight w:val="0"/>
          <w:marTop w:val="0"/>
          <w:marBottom w:val="0"/>
          <w:divBdr>
            <w:top w:val="none" w:sz="0" w:space="0" w:color="auto"/>
            <w:left w:val="none" w:sz="0" w:space="0" w:color="auto"/>
            <w:bottom w:val="none" w:sz="0" w:space="0" w:color="auto"/>
            <w:right w:val="none" w:sz="0" w:space="0" w:color="auto"/>
          </w:divBdr>
        </w:div>
        <w:div w:id="1731805124">
          <w:marLeft w:val="640"/>
          <w:marRight w:val="0"/>
          <w:marTop w:val="0"/>
          <w:marBottom w:val="0"/>
          <w:divBdr>
            <w:top w:val="none" w:sz="0" w:space="0" w:color="auto"/>
            <w:left w:val="none" w:sz="0" w:space="0" w:color="auto"/>
            <w:bottom w:val="none" w:sz="0" w:space="0" w:color="auto"/>
            <w:right w:val="none" w:sz="0" w:space="0" w:color="auto"/>
          </w:divBdr>
        </w:div>
        <w:div w:id="526452572">
          <w:marLeft w:val="640"/>
          <w:marRight w:val="0"/>
          <w:marTop w:val="0"/>
          <w:marBottom w:val="0"/>
          <w:divBdr>
            <w:top w:val="none" w:sz="0" w:space="0" w:color="auto"/>
            <w:left w:val="none" w:sz="0" w:space="0" w:color="auto"/>
            <w:bottom w:val="none" w:sz="0" w:space="0" w:color="auto"/>
            <w:right w:val="none" w:sz="0" w:space="0" w:color="auto"/>
          </w:divBdr>
        </w:div>
        <w:div w:id="138574037">
          <w:marLeft w:val="640"/>
          <w:marRight w:val="0"/>
          <w:marTop w:val="0"/>
          <w:marBottom w:val="0"/>
          <w:divBdr>
            <w:top w:val="none" w:sz="0" w:space="0" w:color="auto"/>
            <w:left w:val="none" w:sz="0" w:space="0" w:color="auto"/>
            <w:bottom w:val="none" w:sz="0" w:space="0" w:color="auto"/>
            <w:right w:val="none" w:sz="0" w:space="0" w:color="auto"/>
          </w:divBdr>
        </w:div>
        <w:div w:id="951404996">
          <w:marLeft w:val="640"/>
          <w:marRight w:val="0"/>
          <w:marTop w:val="0"/>
          <w:marBottom w:val="0"/>
          <w:divBdr>
            <w:top w:val="none" w:sz="0" w:space="0" w:color="auto"/>
            <w:left w:val="none" w:sz="0" w:space="0" w:color="auto"/>
            <w:bottom w:val="none" w:sz="0" w:space="0" w:color="auto"/>
            <w:right w:val="none" w:sz="0" w:space="0" w:color="auto"/>
          </w:divBdr>
        </w:div>
        <w:div w:id="1317682690">
          <w:marLeft w:val="640"/>
          <w:marRight w:val="0"/>
          <w:marTop w:val="0"/>
          <w:marBottom w:val="0"/>
          <w:divBdr>
            <w:top w:val="none" w:sz="0" w:space="0" w:color="auto"/>
            <w:left w:val="none" w:sz="0" w:space="0" w:color="auto"/>
            <w:bottom w:val="none" w:sz="0" w:space="0" w:color="auto"/>
            <w:right w:val="none" w:sz="0" w:space="0" w:color="auto"/>
          </w:divBdr>
        </w:div>
        <w:div w:id="888999820">
          <w:marLeft w:val="640"/>
          <w:marRight w:val="0"/>
          <w:marTop w:val="0"/>
          <w:marBottom w:val="0"/>
          <w:divBdr>
            <w:top w:val="none" w:sz="0" w:space="0" w:color="auto"/>
            <w:left w:val="none" w:sz="0" w:space="0" w:color="auto"/>
            <w:bottom w:val="none" w:sz="0" w:space="0" w:color="auto"/>
            <w:right w:val="none" w:sz="0" w:space="0" w:color="auto"/>
          </w:divBdr>
        </w:div>
        <w:div w:id="1061708354">
          <w:marLeft w:val="640"/>
          <w:marRight w:val="0"/>
          <w:marTop w:val="0"/>
          <w:marBottom w:val="0"/>
          <w:divBdr>
            <w:top w:val="none" w:sz="0" w:space="0" w:color="auto"/>
            <w:left w:val="none" w:sz="0" w:space="0" w:color="auto"/>
            <w:bottom w:val="none" w:sz="0" w:space="0" w:color="auto"/>
            <w:right w:val="none" w:sz="0" w:space="0" w:color="auto"/>
          </w:divBdr>
        </w:div>
        <w:div w:id="81876253">
          <w:marLeft w:val="640"/>
          <w:marRight w:val="0"/>
          <w:marTop w:val="0"/>
          <w:marBottom w:val="0"/>
          <w:divBdr>
            <w:top w:val="none" w:sz="0" w:space="0" w:color="auto"/>
            <w:left w:val="none" w:sz="0" w:space="0" w:color="auto"/>
            <w:bottom w:val="none" w:sz="0" w:space="0" w:color="auto"/>
            <w:right w:val="none" w:sz="0" w:space="0" w:color="auto"/>
          </w:divBdr>
        </w:div>
        <w:div w:id="163320873">
          <w:marLeft w:val="640"/>
          <w:marRight w:val="0"/>
          <w:marTop w:val="0"/>
          <w:marBottom w:val="0"/>
          <w:divBdr>
            <w:top w:val="none" w:sz="0" w:space="0" w:color="auto"/>
            <w:left w:val="none" w:sz="0" w:space="0" w:color="auto"/>
            <w:bottom w:val="none" w:sz="0" w:space="0" w:color="auto"/>
            <w:right w:val="none" w:sz="0" w:space="0" w:color="auto"/>
          </w:divBdr>
        </w:div>
        <w:div w:id="58939358">
          <w:marLeft w:val="640"/>
          <w:marRight w:val="0"/>
          <w:marTop w:val="0"/>
          <w:marBottom w:val="0"/>
          <w:divBdr>
            <w:top w:val="none" w:sz="0" w:space="0" w:color="auto"/>
            <w:left w:val="none" w:sz="0" w:space="0" w:color="auto"/>
            <w:bottom w:val="none" w:sz="0" w:space="0" w:color="auto"/>
            <w:right w:val="none" w:sz="0" w:space="0" w:color="auto"/>
          </w:divBdr>
        </w:div>
        <w:div w:id="637076098">
          <w:marLeft w:val="640"/>
          <w:marRight w:val="0"/>
          <w:marTop w:val="0"/>
          <w:marBottom w:val="0"/>
          <w:divBdr>
            <w:top w:val="none" w:sz="0" w:space="0" w:color="auto"/>
            <w:left w:val="none" w:sz="0" w:space="0" w:color="auto"/>
            <w:bottom w:val="none" w:sz="0" w:space="0" w:color="auto"/>
            <w:right w:val="none" w:sz="0" w:space="0" w:color="auto"/>
          </w:divBdr>
        </w:div>
        <w:div w:id="1497115518">
          <w:marLeft w:val="640"/>
          <w:marRight w:val="0"/>
          <w:marTop w:val="0"/>
          <w:marBottom w:val="0"/>
          <w:divBdr>
            <w:top w:val="none" w:sz="0" w:space="0" w:color="auto"/>
            <w:left w:val="none" w:sz="0" w:space="0" w:color="auto"/>
            <w:bottom w:val="none" w:sz="0" w:space="0" w:color="auto"/>
            <w:right w:val="none" w:sz="0" w:space="0" w:color="auto"/>
          </w:divBdr>
        </w:div>
        <w:div w:id="754211502">
          <w:marLeft w:val="640"/>
          <w:marRight w:val="0"/>
          <w:marTop w:val="0"/>
          <w:marBottom w:val="0"/>
          <w:divBdr>
            <w:top w:val="none" w:sz="0" w:space="0" w:color="auto"/>
            <w:left w:val="none" w:sz="0" w:space="0" w:color="auto"/>
            <w:bottom w:val="none" w:sz="0" w:space="0" w:color="auto"/>
            <w:right w:val="none" w:sz="0" w:space="0" w:color="auto"/>
          </w:divBdr>
        </w:div>
        <w:div w:id="166480843">
          <w:marLeft w:val="640"/>
          <w:marRight w:val="0"/>
          <w:marTop w:val="0"/>
          <w:marBottom w:val="0"/>
          <w:divBdr>
            <w:top w:val="none" w:sz="0" w:space="0" w:color="auto"/>
            <w:left w:val="none" w:sz="0" w:space="0" w:color="auto"/>
            <w:bottom w:val="none" w:sz="0" w:space="0" w:color="auto"/>
            <w:right w:val="none" w:sz="0" w:space="0" w:color="auto"/>
          </w:divBdr>
        </w:div>
        <w:div w:id="2124960328">
          <w:marLeft w:val="640"/>
          <w:marRight w:val="0"/>
          <w:marTop w:val="0"/>
          <w:marBottom w:val="0"/>
          <w:divBdr>
            <w:top w:val="none" w:sz="0" w:space="0" w:color="auto"/>
            <w:left w:val="none" w:sz="0" w:space="0" w:color="auto"/>
            <w:bottom w:val="none" w:sz="0" w:space="0" w:color="auto"/>
            <w:right w:val="none" w:sz="0" w:space="0" w:color="auto"/>
          </w:divBdr>
        </w:div>
        <w:div w:id="791368612">
          <w:marLeft w:val="640"/>
          <w:marRight w:val="0"/>
          <w:marTop w:val="0"/>
          <w:marBottom w:val="0"/>
          <w:divBdr>
            <w:top w:val="none" w:sz="0" w:space="0" w:color="auto"/>
            <w:left w:val="none" w:sz="0" w:space="0" w:color="auto"/>
            <w:bottom w:val="none" w:sz="0" w:space="0" w:color="auto"/>
            <w:right w:val="none" w:sz="0" w:space="0" w:color="auto"/>
          </w:divBdr>
        </w:div>
        <w:div w:id="1929342465">
          <w:marLeft w:val="640"/>
          <w:marRight w:val="0"/>
          <w:marTop w:val="0"/>
          <w:marBottom w:val="0"/>
          <w:divBdr>
            <w:top w:val="none" w:sz="0" w:space="0" w:color="auto"/>
            <w:left w:val="none" w:sz="0" w:space="0" w:color="auto"/>
            <w:bottom w:val="none" w:sz="0" w:space="0" w:color="auto"/>
            <w:right w:val="none" w:sz="0" w:space="0" w:color="auto"/>
          </w:divBdr>
        </w:div>
        <w:div w:id="1669750377">
          <w:marLeft w:val="640"/>
          <w:marRight w:val="0"/>
          <w:marTop w:val="0"/>
          <w:marBottom w:val="0"/>
          <w:divBdr>
            <w:top w:val="none" w:sz="0" w:space="0" w:color="auto"/>
            <w:left w:val="none" w:sz="0" w:space="0" w:color="auto"/>
            <w:bottom w:val="none" w:sz="0" w:space="0" w:color="auto"/>
            <w:right w:val="none" w:sz="0" w:space="0" w:color="auto"/>
          </w:divBdr>
        </w:div>
        <w:div w:id="870074899">
          <w:marLeft w:val="640"/>
          <w:marRight w:val="0"/>
          <w:marTop w:val="0"/>
          <w:marBottom w:val="0"/>
          <w:divBdr>
            <w:top w:val="none" w:sz="0" w:space="0" w:color="auto"/>
            <w:left w:val="none" w:sz="0" w:space="0" w:color="auto"/>
            <w:bottom w:val="none" w:sz="0" w:space="0" w:color="auto"/>
            <w:right w:val="none" w:sz="0" w:space="0" w:color="auto"/>
          </w:divBdr>
        </w:div>
        <w:div w:id="610941171">
          <w:marLeft w:val="640"/>
          <w:marRight w:val="0"/>
          <w:marTop w:val="0"/>
          <w:marBottom w:val="0"/>
          <w:divBdr>
            <w:top w:val="none" w:sz="0" w:space="0" w:color="auto"/>
            <w:left w:val="none" w:sz="0" w:space="0" w:color="auto"/>
            <w:bottom w:val="none" w:sz="0" w:space="0" w:color="auto"/>
            <w:right w:val="none" w:sz="0" w:space="0" w:color="auto"/>
          </w:divBdr>
        </w:div>
        <w:div w:id="1106849756">
          <w:marLeft w:val="640"/>
          <w:marRight w:val="0"/>
          <w:marTop w:val="0"/>
          <w:marBottom w:val="0"/>
          <w:divBdr>
            <w:top w:val="none" w:sz="0" w:space="0" w:color="auto"/>
            <w:left w:val="none" w:sz="0" w:space="0" w:color="auto"/>
            <w:bottom w:val="none" w:sz="0" w:space="0" w:color="auto"/>
            <w:right w:val="none" w:sz="0" w:space="0" w:color="auto"/>
          </w:divBdr>
        </w:div>
        <w:div w:id="1862473624">
          <w:marLeft w:val="640"/>
          <w:marRight w:val="0"/>
          <w:marTop w:val="0"/>
          <w:marBottom w:val="0"/>
          <w:divBdr>
            <w:top w:val="none" w:sz="0" w:space="0" w:color="auto"/>
            <w:left w:val="none" w:sz="0" w:space="0" w:color="auto"/>
            <w:bottom w:val="none" w:sz="0" w:space="0" w:color="auto"/>
            <w:right w:val="none" w:sz="0" w:space="0" w:color="auto"/>
          </w:divBdr>
        </w:div>
        <w:div w:id="366681710">
          <w:marLeft w:val="640"/>
          <w:marRight w:val="0"/>
          <w:marTop w:val="0"/>
          <w:marBottom w:val="0"/>
          <w:divBdr>
            <w:top w:val="none" w:sz="0" w:space="0" w:color="auto"/>
            <w:left w:val="none" w:sz="0" w:space="0" w:color="auto"/>
            <w:bottom w:val="none" w:sz="0" w:space="0" w:color="auto"/>
            <w:right w:val="none" w:sz="0" w:space="0" w:color="auto"/>
          </w:divBdr>
        </w:div>
        <w:div w:id="1209339077">
          <w:marLeft w:val="640"/>
          <w:marRight w:val="0"/>
          <w:marTop w:val="0"/>
          <w:marBottom w:val="0"/>
          <w:divBdr>
            <w:top w:val="none" w:sz="0" w:space="0" w:color="auto"/>
            <w:left w:val="none" w:sz="0" w:space="0" w:color="auto"/>
            <w:bottom w:val="none" w:sz="0" w:space="0" w:color="auto"/>
            <w:right w:val="none" w:sz="0" w:space="0" w:color="auto"/>
          </w:divBdr>
        </w:div>
        <w:div w:id="577057371">
          <w:marLeft w:val="640"/>
          <w:marRight w:val="0"/>
          <w:marTop w:val="0"/>
          <w:marBottom w:val="0"/>
          <w:divBdr>
            <w:top w:val="none" w:sz="0" w:space="0" w:color="auto"/>
            <w:left w:val="none" w:sz="0" w:space="0" w:color="auto"/>
            <w:bottom w:val="none" w:sz="0" w:space="0" w:color="auto"/>
            <w:right w:val="none" w:sz="0" w:space="0" w:color="auto"/>
          </w:divBdr>
        </w:div>
        <w:div w:id="1521626626">
          <w:marLeft w:val="640"/>
          <w:marRight w:val="0"/>
          <w:marTop w:val="0"/>
          <w:marBottom w:val="0"/>
          <w:divBdr>
            <w:top w:val="none" w:sz="0" w:space="0" w:color="auto"/>
            <w:left w:val="none" w:sz="0" w:space="0" w:color="auto"/>
            <w:bottom w:val="none" w:sz="0" w:space="0" w:color="auto"/>
            <w:right w:val="none" w:sz="0" w:space="0" w:color="auto"/>
          </w:divBdr>
        </w:div>
        <w:div w:id="359866881">
          <w:marLeft w:val="640"/>
          <w:marRight w:val="0"/>
          <w:marTop w:val="0"/>
          <w:marBottom w:val="0"/>
          <w:divBdr>
            <w:top w:val="none" w:sz="0" w:space="0" w:color="auto"/>
            <w:left w:val="none" w:sz="0" w:space="0" w:color="auto"/>
            <w:bottom w:val="none" w:sz="0" w:space="0" w:color="auto"/>
            <w:right w:val="none" w:sz="0" w:space="0" w:color="auto"/>
          </w:divBdr>
        </w:div>
        <w:div w:id="817385411">
          <w:marLeft w:val="640"/>
          <w:marRight w:val="0"/>
          <w:marTop w:val="0"/>
          <w:marBottom w:val="0"/>
          <w:divBdr>
            <w:top w:val="none" w:sz="0" w:space="0" w:color="auto"/>
            <w:left w:val="none" w:sz="0" w:space="0" w:color="auto"/>
            <w:bottom w:val="none" w:sz="0" w:space="0" w:color="auto"/>
            <w:right w:val="none" w:sz="0" w:space="0" w:color="auto"/>
          </w:divBdr>
        </w:div>
        <w:div w:id="272395810">
          <w:marLeft w:val="640"/>
          <w:marRight w:val="0"/>
          <w:marTop w:val="0"/>
          <w:marBottom w:val="0"/>
          <w:divBdr>
            <w:top w:val="none" w:sz="0" w:space="0" w:color="auto"/>
            <w:left w:val="none" w:sz="0" w:space="0" w:color="auto"/>
            <w:bottom w:val="none" w:sz="0" w:space="0" w:color="auto"/>
            <w:right w:val="none" w:sz="0" w:space="0" w:color="auto"/>
          </w:divBdr>
        </w:div>
        <w:div w:id="542328556">
          <w:marLeft w:val="640"/>
          <w:marRight w:val="0"/>
          <w:marTop w:val="0"/>
          <w:marBottom w:val="0"/>
          <w:divBdr>
            <w:top w:val="none" w:sz="0" w:space="0" w:color="auto"/>
            <w:left w:val="none" w:sz="0" w:space="0" w:color="auto"/>
            <w:bottom w:val="none" w:sz="0" w:space="0" w:color="auto"/>
            <w:right w:val="none" w:sz="0" w:space="0" w:color="auto"/>
          </w:divBdr>
        </w:div>
        <w:div w:id="1471246209">
          <w:marLeft w:val="640"/>
          <w:marRight w:val="0"/>
          <w:marTop w:val="0"/>
          <w:marBottom w:val="0"/>
          <w:divBdr>
            <w:top w:val="none" w:sz="0" w:space="0" w:color="auto"/>
            <w:left w:val="none" w:sz="0" w:space="0" w:color="auto"/>
            <w:bottom w:val="none" w:sz="0" w:space="0" w:color="auto"/>
            <w:right w:val="none" w:sz="0" w:space="0" w:color="auto"/>
          </w:divBdr>
        </w:div>
        <w:div w:id="1926573653">
          <w:marLeft w:val="640"/>
          <w:marRight w:val="0"/>
          <w:marTop w:val="0"/>
          <w:marBottom w:val="0"/>
          <w:divBdr>
            <w:top w:val="none" w:sz="0" w:space="0" w:color="auto"/>
            <w:left w:val="none" w:sz="0" w:space="0" w:color="auto"/>
            <w:bottom w:val="none" w:sz="0" w:space="0" w:color="auto"/>
            <w:right w:val="none" w:sz="0" w:space="0" w:color="auto"/>
          </w:divBdr>
        </w:div>
        <w:div w:id="1840845311">
          <w:marLeft w:val="640"/>
          <w:marRight w:val="0"/>
          <w:marTop w:val="0"/>
          <w:marBottom w:val="0"/>
          <w:divBdr>
            <w:top w:val="none" w:sz="0" w:space="0" w:color="auto"/>
            <w:left w:val="none" w:sz="0" w:space="0" w:color="auto"/>
            <w:bottom w:val="none" w:sz="0" w:space="0" w:color="auto"/>
            <w:right w:val="none" w:sz="0" w:space="0" w:color="auto"/>
          </w:divBdr>
        </w:div>
        <w:div w:id="637995766">
          <w:marLeft w:val="640"/>
          <w:marRight w:val="0"/>
          <w:marTop w:val="0"/>
          <w:marBottom w:val="0"/>
          <w:divBdr>
            <w:top w:val="none" w:sz="0" w:space="0" w:color="auto"/>
            <w:left w:val="none" w:sz="0" w:space="0" w:color="auto"/>
            <w:bottom w:val="none" w:sz="0" w:space="0" w:color="auto"/>
            <w:right w:val="none" w:sz="0" w:space="0" w:color="auto"/>
          </w:divBdr>
        </w:div>
        <w:div w:id="1315836733">
          <w:marLeft w:val="640"/>
          <w:marRight w:val="0"/>
          <w:marTop w:val="0"/>
          <w:marBottom w:val="0"/>
          <w:divBdr>
            <w:top w:val="none" w:sz="0" w:space="0" w:color="auto"/>
            <w:left w:val="none" w:sz="0" w:space="0" w:color="auto"/>
            <w:bottom w:val="none" w:sz="0" w:space="0" w:color="auto"/>
            <w:right w:val="none" w:sz="0" w:space="0" w:color="auto"/>
          </w:divBdr>
        </w:div>
        <w:div w:id="1321076866">
          <w:marLeft w:val="640"/>
          <w:marRight w:val="0"/>
          <w:marTop w:val="0"/>
          <w:marBottom w:val="0"/>
          <w:divBdr>
            <w:top w:val="none" w:sz="0" w:space="0" w:color="auto"/>
            <w:left w:val="none" w:sz="0" w:space="0" w:color="auto"/>
            <w:bottom w:val="none" w:sz="0" w:space="0" w:color="auto"/>
            <w:right w:val="none" w:sz="0" w:space="0" w:color="auto"/>
          </w:divBdr>
        </w:div>
        <w:div w:id="1176771648">
          <w:marLeft w:val="640"/>
          <w:marRight w:val="0"/>
          <w:marTop w:val="0"/>
          <w:marBottom w:val="0"/>
          <w:divBdr>
            <w:top w:val="none" w:sz="0" w:space="0" w:color="auto"/>
            <w:left w:val="none" w:sz="0" w:space="0" w:color="auto"/>
            <w:bottom w:val="none" w:sz="0" w:space="0" w:color="auto"/>
            <w:right w:val="none" w:sz="0" w:space="0" w:color="auto"/>
          </w:divBdr>
        </w:div>
        <w:div w:id="1309673518">
          <w:marLeft w:val="640"/>
          <w:marRight w:val="0"/>
          <w:marTop w:val="0"/>
          <w:marBottom w:val="0"/>
          <w:divBdr>
            <w:top w:val="none" w:sz="0" w:space="0" w:color="auto"/>
            <w:left w:val="none" w:sz="0" w:space="0" w:color="auto"/>
            <w:bottom w:val="none" w:sz="0" w:space="0" w:color="auto"/>
            <w:right w:val="none" w:sz="0" w:space="0" w:color="auto"/>
          </w:divBdr>
        </w:div>
        <w:div w:id="1731728553">
          <w:marLeft w:val="640"/>
          <w:marRight w:val="0"/>
          <w:marTop w:val="0"/>
          <w:marBottom w:val="0"/>
          <w:divBdr>
            <w:top w:val="none" w:sz="0" w:space="0" w:color="auto"/>
            <w:left w:val="none" w:sz="0" w:space="0" w:color="auto"/>
            <w:bottom w:val="none" w:sz="0" w:space="0" w:color="auto"/>
            <w:right w:val="none" w:sz="0" w:space="0" w:color="auto"/>
          </w:divBdr>
        </w:div>
        <w:div w:id="757795707">
          <w:marLeft w:val="640"/>
          <w:marRight w:val="0"/>
          <w:marTop w:val="0"/>
          <w:marBottom w:val="0"/>
          <w:divBdr>
            <w:top w:val="none" w:sz="0" w:space="0" w:color="auto"/>
            <w:left w:val="none" w:sz="0" w:space="0" w:color="auto"/>
            <w:bottom w:val="none" w:sz="0" w:space="0" w:color="auto"/>
            <w:right w:val="none" w:sz="0" w:space="0" w:color="auto"/>
          </w:divBdr>
        </w:div>
        <w:div w:id="2076313059">
          <w:marLeft w:val="640"/>
          <w:marRight w:val="0"/>
          <w:marTop w:val="0"/>
          <w:marBottom w:val="0"/>
          <w:divBdr>
            <w:top w:val="none" w:sz="0" w:space="0" w:color="auto"/>
            <w:left w:val="none" w:sz="0" w:space="0" w:color="auto"/>
            <w:bottom w:val="none" w:sz="0" w:space="0" w:color="auto"/>
            <w:right w:val="none" w:sz="0" w:space="0" w:color="auto"/>
          </w:divBdr>
        </w:div>
        <w:div w:id="1740404586">
          <w:marLeft w:val="640"/>
          <w:marRight w:val="0"/>
          <w:marTop w:val="0"/>
          <w:marBottom w:val="0"/>
          <w:divBdr>
            <w:top w:val="none" w:sz="0" w:space="0" w:color="auto"/>
            <w:left w:val="none" w:sz="0" w:space="0" w:color="auto"/>
            <w:bottom w:val="none" w:sz="0" w:space="0" w:color="auto"/>
            <w:right w:val="none" w:sz="0" w:space="0" w:color="auto"/>
          </w:divBdr>
        </w:div>
        <w:div w:id="1833642401">
          <w:marLeft w:val="640"/>
          <w:marRight w:val="0"/>
          <w:marTop w:val="0"/>
          <w:marBottom w:val="0"/>
          <w:divBdr>
            <w:top w:val="none" w:sz="0" w:space="0" w:color="auto"/>
            <w:left w:val="none" w:sz="0" w:space="0" w:color="auto"/>
            <w:bottom w:val="none" w:sz="0" w:space="0" w:color="auto"/>
            <w:right w:val="none" w:sz="0" w:space="0" w:color="auto"/>
          </w:divBdr>
        </w:div>
        <w:div w:id="791900350">
          <w:marLeft w:val="640"/>
          <w:marRight w:val="0"/>
          <w:marTop w:val="0"/>
          <w:marBottom w:val="0"/>
          <w:divBdr>
            <w:top w:val="none" w:sz="0" w:space="0" w:color="auto"/>
            <w:left w:val="none" w:sz="0" w:space="0" w:color="auto"/>
            <w:bottom w:val="none" w:sz="0" w:space="0" w:color="auto"/>
            <w:right w:val="none" w:sz="0" w:space="0" w:color="auto"/>
          </w:divBdr>
        </w:div>
        <w:div w:id="1704330696">
          <w:marLeft w:val="640"/>
          <w:marRight w:val="0"/>
          <w:marTop w:val="0"/>
          <w:marBottom w:val="0"/>
          <w:divBdr>
            <w:top w:val="none" w:sz="0" w:space="0" w:color="auto"/>
            <w:left w:val="none" w:sz="0" w:space="0" w:color="auto"/>
            <w:bottom w:val="none" w:sz="0" w:space="0" w:color="auto"/>
            <w:right w:val="none" w:sz="0" w:space="0" w:color="auto"/>
          </w:divBdr>
        </w:div>
        <w:div w:id="679234166">
          <w:marLeft w:val="640"/>
          <w:marRight w:val="0"/>
          <w:marTop w:val="0"/>
          <w:marBottom w:val="0"/>
          <w:divBdr>
            <w:top w:val="none" w:sz="0" w:space="0" w:color="auto"/>
            <w:left w:val="none" w:sz="0" w:space="0" w:color="auto"/>
            <w:bottom w:val="none" w:sz="0" w:space="0" w:color="auto"/>
            <w:right w:val="none" w:sz="0" w:space="0" w:color="auto"/>
          </w:divBdr>
        </w:div>
        <w:div w:id="450168187">
          <w:marLeft w:val="640"/>
          <w:marRight w:val="0"/>
          <w:marTop w:val="0"/>
          <w:marBottom w:val="0"/>
          <w:divBdr>
            <w:top w:val="none" w:sz="0" w:space="0" w:color="auto"/>
            <w:left w:val="none" w:sz="0" w:space="0" w:color="auto"/>
            <w:bottom w:val="none" w:sz="0" w:space="0" w:color="auto"/>
            <w:right w:val="none" w:sz="0" w:space="0" w:color="auto"/>
          </w:divBdr>
        </w:div>
        <w:div w:id="986586563">
          <w:marLeft w:val="640"/>
          <w:marRight w:val="0"/>
          <w:marTop w:val="0"/>
          <w:marBottom w:val="0"/>
          <w:divBdr>
            <w:top w:val="none" w:sz="0" w:space="0" w:color="auto"/>
            <w:left w:val="none" w:sz="0" w:space="0" w:color="auto"/>
            <w:bottom w:val="none" w:sz="0" w:space="0" w:color="auto"/>
            <w:right w:val="none" w:sz="0" w:space="0" w:color="auto"/>
          </w:divBdr>
        </w:div>
        <w:div w:id="33190751">
          <w:marLeft w:val="640"/>
          <w:marRight w:val="0"/>
          <w:marTop w:val="0"/>
          <w:marBottom w:val="0"/>
          <w:divBdr>
            <w:top w:val="none" w:sz="0" w:space="0" w:color="auto"/>
            <w:left w:val="none" w:sz="0" w:space="0" w:color="auto"/>
            <w:bottom w:val="none" w:sz="0" w:space="0" w:color="auto"/>
            <w:right w:val="none" w:sz="0" w:space="0" w:color="auto"/>
          </w:divBdr>
        </w:div>
        <w:div w:id="684135275">
          <w:marLeft w:val="640"/>
          <w:marRight w:val="0"/>
          <w:marTop w:val="0"/>
          <w:marBottom w:val="0"/>
          <w:divBdr>
            <w:top w:val="none" w:sz="0" w:space="0" w:color="auto"/>
            <w:left w:val="none" w:sz="0" w:space="0" w:color="auto"/>
            <w:bottom w:val="none" w:sz="0" w:space="0" w:color="auto"/>
            <w:right w:val="none" w:sz="0" w:space="0" w:color="auto"/>
          </w:divBdr>
        </w:div>
        <w:div w:id="950629278">
          <w:marLeft w:val="640"/>
          <w:marRight w:val="0"/>
          <w:marTop w:val="0"/>
          <w:marBottom w:val="0"/>
          <w:divBdr>
            <w:top w:val="none" w:sz="0" w:space="0" w:color="auto"/>
            <w:left w:val="none" w:sz="0" w:space="0" w:color="auto"/>
            <w:bottom w:val="none" w:sz="0" w:space="0" w:color="auto"/>
            <w:right w:val="none" w:sz="0" w:space="0" w:color="auto"/>
          </w:divBdr>
        </w:div>
        <w:div w:id="433862077">
          <w:marLeft w:val="640"/>
          <w:marRight w:val="0"/>
          <w:marTop w:val="0"/>
          <w:marBottom w:val="0"/>
          <w:divBdr>
            <w:top w:val="none" w:sz="0" w:space="0" w:color="auto"/>
            <w:left w:val="none" w:sz="0" w:space="0" w:color="auto"/>
            <w:bottom w:val="none" w:sz="0" w:space="0" w:color="auto"/>
            <w:right w:val="none" w:sz="0" w:space="0" w:color="auto"/>
          </w:divBdr>
        </w:div>
        <w:div w:id="1386904560">
          <w:marLeft w:val="640"/>
          <w:marRight w:val="0"/>
          <w:marTop w:val="0"/>
          <w:marBottom w:val="0"/>
          <w:divBdr>
            <w:top w:val="none" w:sz="0" w:space="0" w:color="auto"/>
            <w:left w:val="none" w:sz="0" w:space="0" w:color="auto"/>
            <w:bottom w:val="none" w:sz="0" w:space="0" w:color="auto"/>
            <w:right w:val="none" w:sz="0" w:space="0" w:color="auto"/>
          </w:divBdr>
        </w:div>
        <w:div w:id="1322074529">
          <w:marLeft w:val="640"/>
          <w:marRight w:val="0"/>
          <w:marTop w:val="0"/>
          <w:marBottom w:val="0"/>
          <w:divBdr>
            <w:top w:val="none" w:sz="0" w:space="0" w:color="auto"/>
            <w:left w:val="none" w:sz="0" w:space="0" w:color="auto"/>
            <w:bottom w:val="none" w:sz="0" w:space="0" w:color="auto"/>
            <w:right w:val="none" w:sz="0" w:space="0" w:color="auto"/>
          </w:divBdr>
        </w:div>
        <w:div w:id="1480923103">
          <w:marLeft w:val="640"/>
          <w:marRight w:val="0"/>
          <w:marTop w:val="0"/>
          <w:marBottom w:val="0"/>
          <w:divBdr>
            <w:top w:val="none" w:sz="0" w:space="0" w:color="auto"/>
            <w:left w:val="none" w:sz="0" w:space="0" w:color="auto"/>
            <w:bottom w:val="none" w:sz="0" w:space="0" w:color="auto"/>
            <w:right w:val="none" w:sz="0" w:space="0" w:color="auto"/>
          </w:divBdr>
        </w:div>
        <w:div w:id="1082411865">
          <w:marLeft w:val="640"/>
          <w:marRight w:val="0"/>
          <w:marTop w:val="0"/>
          <w:marBottom w:val="0"/>
          <w:divBdr>
            <w:top w:val="none" w:sz="0" w:space="0" w:color="auto"/>
            <w:left w:val="none" w:sz="0" w:space="0" w:color="auto"/>
            <w:bottom w:val="none" w:sz="0" w:space="0" w:color="auto"/>
            <w:right w:val="none" w:sz="0" w:space="0" w:color="auto"/>
          </w:divBdr>
        </w:div>
        <w:div w:id="1143624609">
          <w:marLeft w:val="640"/>
          <w:marRight w:val="0"/>
          <w:marTop w:val="0"/>
          <w:marBottom w:val="0"/>
          <w:divBdr>
            <w:top w:val="none" w:sz="0" w:space="0" w:color="auto"/>
            <w:left w:val="none" w:sz="0" w:space="0" w:color="auto"/>
            <w:bottom w:val="none" w:sz="0" w:space="0" w:color="auto"/>
            <w:right w:val="none" w:sz="0" w:space="0" w:color="auto"/>
          </w:divBdr>
        </w:div>
        <w:div w:id="1332492841">
          <w:marLeft w:val="640"/>
          <w:marRight w:val="0"/>
          <w:marTop w:val="0"/>
          <w:marBottom w:val="0"/>
          <w:divBdr>
            <w:top w:val="none" w:sz="0" w:space="0" w:color="auto"/>
            <w:left w:val="none" w:sz="0" w:space="0" w:color="auto"/>
            <w:bottom w:val="none" w:sz="0" w:space="0" w:color="auto"/>
            <w:right w:val="none" w:sz="0" w:space="0" w:color="auto"/>
          </w:divBdr>
        </w:div>
        <w:div w:id="1328632215">
          <w:marLeft w:val="640"/>
          <w:marRight w:val="0"/>
          <w:marTop w:val="0"/>
          <w:marBottom w:val="0"/>
          <w:divBdr>
            <w:top w:val="none" w:sz="0" w:space="0" w:color="auto"/>
            <w:left w:val="none" w:sz="0" w:space="0" w:color="auto"/>
            <w:bottom w:val="none" w:sz="0" w:space="0" w:color="auto"/>
            <w:right w:val="none" w:sz="0" w:space="0" w:color="auto"/>
          </w:divBdr>
        </w:div>
        <w:div w:id="728647595">
          <w:marLeft w:val="640"/>
          <w:marRight w:val="0"/>
          <w:marTop w:val="0"/>
          <w:marBottom w:val="0"/>
          <w:divBdr>
            <w:top w:val="none" w:sz="0" w:space="0" w:color="auto"/>
            <w:left w:val="none" w:sz="0" w:space="0" w:color="auto"/>
            <w:bottom w:val="none" w:sz="0" w:space="0" w:color="auto"/>
            <w:right w:val="none" w:sz="0" w:space="0" w:color="auto"/>
          </w:divBdr>
        </w:div>
        <w:div w:id="903025052">
          <w:marLeft w:val="640"/>
          <w:marRight w:val="0"/>
          <w:marTop w:val="0"/>
          <w:marBottom w:val="0"/>
          <w:divBdr>
            <w:top w:val="none" w:sz="0" w:space="0" w:color="auto"/>
            <w:left w:val="none" w:sz="0" w:space="0" w:color="auto"/>
            <w:bottom w:val="none" w:sz="0" w:space="0" w:color="auto"/>
            <w:right w:val="none" w:sz="0" w:space="0" w:color="auto"/>
          </w:divBdr>
        </w:div>
        <w:div w:id="722484533">
          <w:marLeft w:val="640"/>
          <w:marRight w:val="0"/>
          <w:marTop w:val="0"/>
          <w:marBottom w:val="0"/>
          <w:divBdr>
            <w:top w:val="none" w:sz="0" w:space="0" w:color="auto"/>
            <w:left w:val="none" w:sz="0" w:space="0" w:color="auto"/>
            <w:bottom w:val="none" w:sz="0" w:space="0" w:color="auto"/>
            <w:right w:val="none" w:sz="0" w:space="0" w:color="auto"/>
          </w:divBdr>
        </w:div>
        <w:div w:id="1599827226">
          <w:marLeft w:val="640"/>
          <w:marRight w:val="0"/>
          <w:marTop w:val="0"/>
          <w:marBottom w:val="0"/>
          <w:divBdr>
            <w:top w:val="none" w:sz="0" w:space="0" w:color="auto"/>
            <w:left w:val="none" w:sz="0" w:space="0" w:color="auto"/>
            <w:bottom w:val="none" w:sz="0" w:space="0" w:color="auto"/>
            <w:right w:val="none" w:sz="0" w:space="0" w:color="auto"/>
          </w:divBdr>
        </w:div>
        <w:div w:id="1604149352">
          <w:marLeft w:val="640"/>
          <w:marRight w:val="0"/>
          <w:marTop w:val="0"/>
          <w:marBottom w:val="0"/>
          <w:divBdr>
            <w:top w:val="none" w:sz="0" w:space="0" w:color="auto"/>
            <w:left w:val="none" w:sz="0" w:space="0" w:color="auto"/>
            <w:bottom w:val="none" w:sz="0" w:space="0" w:color="auto"/>
            <w:right w:val="none" w:sz="0" w:space="0" w:color="auto"/>
          </w:divBdr>
        </w:div>
        <w:div w:id="13656205">
          <w:marLeft w:val="640"/>
          <w:marRight w:val="0"/>
          <w:marTop w:val="0"/>
          <w:marBottom w:val="0"/>
          <w:divBdr>
            <w:top w:val="none" w:sz="0" w:space="0" w:color="auto"/>
            <w:left w:val="none" w:sz="0" w:space="0" w:color="auto"/>
            <w:bottom w:val="none" w:sz="0" w:space="0" w:color="auto"/>
            <w:right w:val="none" w:sz="0" w:space="0" w:color="auto"/>
          </w:divBdr>
        </w:div>
        <w:div w:id="639379256">
          <w:marLeft w:val="640"/>
          <w:marRight w:val="0"/>
          <w:marTop w:val="0"/>
          <w:marBottom w:val="0"/>
          <w:divBdr>
            <w:top w:val="none" w:sz="0" w:space="0" w:color="auto"/>
            <w:left w:val="none" w:sz="0" w:space="0" w:color="auto"/>
            <w:bottom w:val="none" w:sz="0" w:space="0" w:color="auto"/>
            <w:right w:val="none" w:sz="0" w:space="0" w:color="auto"/>
          </w:divBdr>
        </w:div>
        <w:div w:id="1952122246">
          <w:marLeft w:val="640"/>
          <w:marRight w:val="0"/>
          <w:marTop w:val="0"/>
          <w:marBottom w:val="0"/>
          <w:divBdr>
            <w:top w:val="none" w:sz="0" w:space="0" w:color="auto"/>
            <w:left w:val="none" w:sz="0" w:space="0" w:color="auto"/>
            <w:bottom w:val="none" w:sz="0" w:space="0" w:color="auto"/>
            <w:right w:val="none" w:sz="0" w:space="0" w:color="auto"/>
          </w:divBdr>
        </w:div>
        <w:div w:id="2085373754">
          <w:marLeft w:val="640"/>
          <w:marRight w:val="0"/>
          <w:marTop w:val="0"/>
          <w:marBottom w:val="0"/>
          <w:divBdr>
            <w:top w:val="none" w:sz="0" w:space="0" w:color="auto"/>
            <w:left w:val="none" w:sz="0" w:space="0" w:color="auto"/>
            <w:bottom w:val="none" w:sz="0" w:space="0" w:color="auto"/>
            <w:right w:val="none" w:sz="0" w:space="0" w:color="auto"/>
          </w:divBdr>
        </w:div>
        <w:div w:id="1186098543">
          <w:marLeft w:val="640"/>
          <w:marRight w:val="0"/>
          <w:marTop w:val="0"/>
          <w:marBottom w:val="0"/>
          <w:divBdr>
            <w:top w:val="none" w:sz="0" w:space="0" w:color="auto"/>
            <w:left w:val="none" w:sz="0" w:space="0" w:color="auto"/>
            <w:bottom w:val="none" w:sz="0" w:space="0" w:color="auto"/>
            <w:right w:val="none" w:sz="0" w:space="0" w:color="auto"/>
          </w:divBdr>
        </w:div>
        <w:div w:id="626618249">
          <w:marLeft w:val="640"/>
          <w:marRight w:val="0"/>
          <w:marTop w:val="0"/>
          <w:marBottom w:val="0"/>
          <w:divBdr>
            <w:top w:val="none" w:sz="0" w:space="0" w:color="auto"/>
            <w:left w:val="none" w:sz="0" w:space="0" w:color="auto"/>
            <w:bottom w:val="none" w:sz="0" w:space="0" w:color="auto"/>
            <w:right w:val="none" w:sz="0" w:space="0" w:color="auto"/>
          </w:divBdr>
        </w:div>
        <w:div w:id="283582242">
          <w:marLeft w:val="640"/>
          <w:marRight w:val="0"/>
          <w:marTop w:val="0"/>
          <w:marBottom w:val="0"/>
          <w:divBdr>
            <w:top w:val="none" w:sz="0" w:space="0" w:color="auto"/>
            <w:left w:val="none" w:sz="0" w:space="0" w:color="auto"/>
            <w:bottom w:val="none" w:sz="0" w:space="0" w:color="auto"/>
            <w:right w:val="none" w:sz="0" w:space="0" w:color="auto"/>
          </w:divBdr>
        </w:div>
        <w:div w:id="1777629373">
          <w:marLeft w:val="640"/>
          <w:marRight w:val="0"/>
          <w:marTop w:val="0"/>
          <w:marBottom w:val="0"/>
          <w:divBdr>
            <w:top w:val="none" w:sz="0" w:space="0" w:color="auto"/>
            <w:left w:val="none" w:sz="0" w:space="0" w:color="auto"/>
            <w:bottom w:val="none" w:sz="0" w:space="0" w:color="auto"/>
            <w:right w:val="none" w:sz="0" w:space="0" w:color="auto"/>
          </w:divBdr>
        </w:div>
        <w:div w:id="56827755">
          <w:marLeft w:val="640"/>
          <w:marRight w:val="0"/>
          <w:marTop w:val="0"/>
          <w:marBottom w:val="0"/>
          <w:divBdr>
            <w:top w:val="none" w:sz="0" w:space="0" w:color="auto"/>
            <w:left w:val="none" w:sz="0" w:space="0" w:color="auto"/>
            <w:bottom w:val="none" w:sz="0" w:space="0" w:color="auto"/>
            <w:right w:val="none" w:sz="0" w:space="0" w:color="auto"/>
          </w:divBdr>
        </w:div>
        <w:div w:id="694499402">
          <w:marLeft w:val="640"/>
          <w:marRight w:val="0"/>
          <w:marTop w:val="0"/>
          <w:marBottom w:val="0"/>
          <w:divBdr>
            <w:top w:val="none" w:sz="0" w:space="0" w:color="auto"/>
            <w:left w:val="none" w:sz="0" w:space="0" w:color="auto"/>
            <w:bottom w:val="none" w:sz="0" w:space="0" w:color="auto"/>
            <w:right w:val="none" w:sz="0" w:space="0" w:color="auto"/>
          </w:divBdr>
        </w:div>
        <w:div w:id="298462521">
          <w:marLeft w:val="640"/>
          <w:marRight w:val="0"/>
          <w:marTop w:val="0"/>
          <w:marBottom w:val="0"/>
          <w:divBdr>
            <w:top w:val="none" w:sz="0" w:space="0" w:color="auto"/>
            <w:left w:val="none" w:sz="0" w:space="0" w:color="auto"/>
            <w:bottom w:val="none" w:sz="0" w:space="0" w:color="auto"/>
            <w:right w:val="none" w:sz="0" w:space="0" w:color="auto"/>
          </w:divBdr>
        </w:div>
        <w:div w:id="344864169">
          <w:marLeft w:val="640"/>
          <w:marRight w:val="0"/>
          <w:marTop w:val="0"/>
          <w:marBottom w:val="0"/>
          <w:divBdr>
            <w:top w:val="none" w:sz="0" w:space="0" w:color="auto"/>
            <w:left w:val="none" w:sz="0" w:space="0" w:color="auto"/>
            <w:bottom w:val="none" w:sz="0" w:space="0" w:color="auto"/>
            <w:right w:val="none" w:sz="0" w:space="0" w:color="auto"/>
          </w:divBdr>
        </w:div>
        <w:div w:id="2105489600">
          <w:marLeft w:val="640"/>
          <w:marRight w:val="0"/>
          <w:marTop w:val="0"/>
          <w:marBottom w:val="0"/>
          <w:divBdr>
            <w:top w:val="none" w:sz="0" w:space="0" w:color="auto"/>
            <w:left w:val="none" w:sz="0" w:space="0" w:color="auto"/>
            <w:bottom w:val="none" w:sz="0" w:space="0" w:color="auto"/>
            <w:right w:val="none" w:sz="0" w:space="0" w:color="auto"/>
          </w:divBdr>
        </w:div>
        <w:div w:id="499657242">
          <w:marLeft w:val="640"/>
          <w:marRight w:val="0"/>
          <w:marTop w:val="0"/>
          <w:marBottom w:val="0"/>
          <w:divBdr>
            <w:top w:val="none" w:sz="0" w:space="0" w:color="auto"/>
            <w:left w:val="none" w:sz="0" w:space="0" w:color="auto"/>
            <w:bottom w:val="none" w:sz="0" w:space="0" w:color="auto"/>
            <w:right w:val="none" w:sz="0" w:space="0" w:color="auto"/>
          </w:divBdr>
        </w:div>
      </w:divsChild>
    </w:div>
    <w:div w:id="309599728">
      <w:bodyDiv w:val="1"/>
      <w:marLeft w:val="0"/>
      <w:marRight w:val="0"/>
      <w:marTop w:val="0"/>
      <w:marBottom w:val="0"/>
      <w:divBdr>
        <w:top w:val="none" w:sz="0" w:space="0" w:color="auto"/>
        <w:left w:val="none" w:sz="0" w:space="0" w:color="auto"/>
        <w:bottom w:val="none" w:sz="0" w:space="0" w:color="auto"/>
        <w:right w:val="none" w:sz="0" w:space="0" w:color="auto"/>
      </w:divBdr>
      <w:divsChild>
        <w:div w:id="620308770">
          <w:marLeft w:val="640"/>
          <w:marRight w:val="0"/>
          <w:marTop w:val="0"/>
          <w:marBottom w:val="0"/>
          <w:divBdr>
            <w:top w:val="none" w:sz="0" w:space="0" w:color="auto"/>
            <w:left w:val="none" w:sz="0" w:space="0" w:color="auto"/>
            <w:bottom w:val="none" w:sz="0" w:space="0" w:color="auto"/>
            <w:right w:val="none" w:sz="0" w:space="0" w:color="auto"/>
          </w:divBdr>
        </w:div>
        <w:div w:id="1913159400">
          <w:marLeft w:val="640"/>
          <w:marRight w:val="0"/>
          <w:marTop w:val="0"/>
          <w:marBottom w:val="0"/>
          <w:divBdr>
            <w:top w:val="none" w:sz="0" w:space="0" w:color="auto"/>
            <w:left w:val="none" w:sz="0" w:space="0" w:color="auto"/>
            <w:bottom w:val="none" w:sz="0" w:space="0" w:color="auto"/>
            <w:right w:val="none" w:sz="0" w:space="0" w:color="auto"/>
          </w:divBdr>
        </w:div>
        <w:div w:id="720176291">
          <w:marLeft w:val="640"/>
          <w:marRight w:val="0"/>
          <w:marTop w:val="0"/>
          <w:marBottom w:val="0"/>
          <w:divBdr>
            <w:top w:val="none" w:sz="0" w:space="0" w:color="auto"/>
            <w:left w:val="none" w:sz="0" w:space="0" w:color="auto"/>
            <w:bottom w:val="none" w:sz="0" w:space="0" w:color="auto"/>
            <w:right w:val="none" w:sz="0" w:space="0" w:color="auto"/>
          </w:divBdr>
        </w:div>
        <w:div w:id="853879327">
          <w:marLeft w:val="640"/>
          <w:marRight w:val="0"/>
          <w:marTop w:val="0"/>
          <w:marBottom w:val="0"/>
          <w:divBdr>
            <w:top w:val="none" w:sz="0" w:space="0" w:color="auto"/>
            <w:left w:val="none" w:sz="0" w:space="0" w:color="auto"/>
            <w:bottom w:val="none" w:sz="0" w:space="0" w:color="auto"/>
            <w:right w:val="none" w:sz="0" w:space="0" w:color="auto"/>
          </w:divBdr>
        </w:div>
        <w:div w:id="1659646642">
          <w:marLeft w:val="640"/>
          <w:marRight w:val="0"/>
          <w:marTop w:val="0"/>
          <w:marBottom w:val="0"/>
          <w:divBdr>
            <w:top w:val="none" w:sz="0" w:space="0" w:color="auto"/>
            <w:left w:val="none" w:sz="0" w:space="0" w:color="auto"/>
            <w:bottom w:val="none" w:sz="0" w:space="0" w:color="auto"/>
            <w:right w:val="none" w:sz="0" w:space="0" w:color="auto"/>
          </w:divBdr>
        </w:div>
        <w:div w:id="864561631">
          <w:marLeft w:val="640"/>
          <w:marRight w:val="0"/>
          <w:marTop w:val="0"/>
          <w:marBottom w:val="0"/>
          <w:divBdr>
            <w:top w:val="none" w:sz="0" w:space="0" w:color="auto"/>
            <w:left w:val="none" w:sz="0" w:space="0" w:color="auto"/>
            <w:bottom w:val="none" w:sz="0" w:space="0" w:color="auto"/>
            <w:right w:val="none" w:sz="0" w:space="0" w:color="auto"/>
          </w:divBdr>
        </w:div>
        <w:div w:id="1495073129">
          <w:marLeft w:val="640"/>
          <w:marRight w:val="0"/>
          <w:marTop w:val="0"/>
          <w:marBottom w:val="0"/>
          <w:divBdr>
            <w:top w:val="none" w:sz="0" w:space="0" w:color="auto"/>
            <w:left w:val="none" w:sz="0" w:space="0" w:color="auto"/>
            <w:bottom w:val="none" w:sz="0" w:space="0" w:color="auto"/>
            <w:right w:val="none" w:sz="0" w:space="0" w:color="auto"/>
          </w:divBdr>
        </w:div>
        <w:div w:id="130096383">
          <w:marLeft w:val="640"/>
          <w:marRight w:val="0"/>
          <w:marTop w:val="0"/>
          <w:marBottom w:val="0"/>
          <w:divBdr>
            <w:top w:val="none" w:sz="0" w:space="0" w:color="auto"/>
            <w:left w:val="none" w:sz="0" w:space="0" w:color="auto"/>
            <w:bottom w:val="none" w:sz="0" w:space="0" w:color="auto"/>
            <w:right w:val="none" w:sz="0" w:space="0" w:color="auto"/>
          </w:divBdr>
        </w:div>
        <w:div w:id="918490592">
          <w:marLeft w:val="640"/>
          <w:marRight w:val="0"/>
          <w:marTop w:val="0"/>
          <w:marBottom w:val="0"/>
          <w:divBdr>
            <w:top w:val="none" w:sz="0" w:space="0" w:color="auto"/>
            <w:left w:val="none" w:sz="0" w:space="0" w:color="auto"/>
            <w:bottom w:val="none" w:sz="0" w:space="0" w:color="auto"/>
            <w:right w:val="none" w:sz="0" w:space="0" w:color="auto"/>
          </w:divBdr>
        </w:div>
        <w:div w:id="1495220373">
          <w:marLeft w:val="640"/>
          <w:marRight w:val="0"/>
          <w:marTop w:val="0"/>
          <w:marBottom w:val="0"/>
          <w:divBdr>
            <w:top w:val="none" w:sz="0" w:space="0" w:color="auto"/>
            <w:left w:val="none" w:sz="0" w:space="0" w:color="auto"/>
            <w:bottom w:val="none" w:sz="0" w:space="0" w:color="auto"/>
            <w:right w:val="none" w:sz="0" w:space="0" w:color="auto"/>
          </w:divBdr>
        </w:div>
        <w:div w:id="719981485">
          <w:marLeft w:val="640"/>
          <w:marRight w:val="0"/>
          <w:marTop w:val="0"/>
          <w:marBottom w:val="0"/>
          <w:divBdr>
            <w:top w:val="none" w:sz="0" w:space="0" w:color="auto"/>
            <w:left w:val="none" w:sz="0" w:space="0" w:color="auto"/>
            <w:bottom w:val="none" w:sz="0" w:space="0" w:color="auto"/>
            <w:right w:val="none" w:sz="0" w:space="0" w:color="auto"/>
          </w:divBdr>
        </w:div>
        <w:div w:id="1077676541">
          <w:marLeft w:val="640"/>
          <w:marRight w:val="0"/>
          <w:marTop w:val="0"/>
          <w:marBottom w:val="0"/>
          <w:divBdr>
            <w:top w:val="none" w:sz="0" w:space="0" w:color="auto"/>
            <w:left w:val="none" w:sz="0" w:space="0" w:color="auto"/>
            <w:bottom w:val="none" w:sz="0" w:space="0" w:color="auto"/>
            <w:right w:val="none" w:sz="0" w:space="0" w:color="auto"/>
          </w:divBdr>
        </w:div>
        <w:div w:id="779223412">
          <w:marLeft w:val="640"/>
          <w:marRight w:val="0"/>
          <w:marTop w:val="0"/>
          <w:marBottom w:val="0"/>
          <w:divBdr>
            <w:top w:val="none" w:sz="0" w:space="0" w:color="auto"/>
            <w:left w:val="none" w:sz="0" w:space="0" w:color="auto"/>
            <w:bottom w:val="none" w:sz="0" w:space="0" w:color="auto"/>
            <w:right w:val="none" w:sz="0" w:space="0" w:color="auto"/>
          </w:divBdr>
        </w:div>
        <w:div w:id="1823035783">
          <w:marLeft w:val="640"/>
          <w:marRight w:val="0"/>
          <w:marTop w:val="0"/>
          <w:marBottom w:val="0"/>
          <w:divBdr>
            <w:top w:val="none" w:sz="0" w:space="0" w:color="auto"/>
            <w:left w:val="none" w:sz="0" w:space="0" w:color="auto"/>
            <w:bottom w:val="none" w:sz="0" w:space="0" w:color="auto"/>
            <w:right w:val="none" w:sz="0" w:space="0" w:color="auto"/>
          </w:divBdr>
        </w:div>
        <w:div w:id="363556870">
          <w:marLeft w:val="640"/>
          <w:marRight w:val="0"/>
          <w:marTop w:val="0"/>
          <w:marBottom w:val="0"/>
          <w:divBdr>
            <w:top w:val="none" w:sz="0" w:space="0" w:color="auto"/>
            <w:left w:val="none" w:sz="0" w:space="0" w:color="auto"/>
            <w:bottom w:val="none" w:sz="0" w:space="0" w:color="auto"/>
            <w:right w:val="none" w:sz="0" w:space="0" w:color="auto"/>
          </w:divBdr>
        </w:div>
        <w:div w:id="324019565">
          <w:marLeft w:val="640"/>
          <w:marRight w:val="0"/>
          <w:marTop w:val="0"/>
          <w:marBottom w:val="0"/>
          <w:divBdr>
            <w:top w:val="none" w:sz="0" w:space="0" w:color="auto"/>
            <w:left w:val="none" w:sz="0" w:space="0" w:color="auto"/>
            <w:bottom w:val="none" w:sz="0" w:space="0" w:color="auto"/>
            <w:right w:val="none" w:sz="0" w:space="0" w:color="auto"/>
          </w:divBdr>
        </w:div>
        <w:div w:id="135683480">
          <w:marLeft w:val="640"/>
          <w:marRight w:val="0"/>
          <w:marTop w:val="0"/>
          <w:marBottom w:val="0"/>
          <w:divBdr>
            <w:top w:val="none" w:sz="0" w:space="0" w:color="auto"/>
            <w:left w:val="none" w:sz="0" w:space="0" w:color="auto"/>
            <w:bottom w:val="none" w:sz="0" w:space="0" w:color="auto"/>
            <w:right w:val="none" w:sz="0" w:space="0" w:color="auto"/>
          </w:divBdr>
        </w:div>
        <w:div w:id="2035111459">
          <w:marLeft w:val="640"/>
          <w:marRight w:val="0"/>
          <w:marTop w:val="0"/>
          <w:marBottom w:val="0"/>
          <w:divBdr>
            <w:top w:val="none" w:sz="0" w:space="0" w:color="auto"/>
            <w:left w:val="none" w:sz="0" w:space="0" w:color="auto"/>
            <w:bottom w:val="none" w:sz="0" w:space="0" w:color="auto"/>
            <w:right w:val="none" w:sz="0" w:space="0" w:color="auto"/>
          </w:divBdr>
        </w:div>
        <w:div w:id="618070027">
          <w:marLeft w:val="640"/>
          <w:marRight w:val="0"/>
          <w:marTop w:val="0"/>
          <w:marBottom w:val="0"/>
          <w:divBdr>
            <w:top w:val="none" w:sz="0" w:space="0" w:color="auto"/>
            <w:left w:val="none" w:sz="0" w:space="0" w:color="auto"/>
            <w:bottom w:val="none" w:sz="0" w:space="0" w:color="auto"/>
            <w:right w:val="none" w:sz="0" w:space="0" w:color="auto"/>
          </w:divBdr>
        </w:div>
        <w:div w:id="1731466560">
          <w:marLeft w:val="640"/>
          <w:marRight w:val="0"/>
          <w:marTop w:val="0"/>
          <w:marBottom w:val="0"/>
          <w:divBdr>
            <w:top w:val="none" w:sz="0" w:space="0" w:color="auto"/>
            <w:left w:val="none" w:sz="0" w:space="0" w:color="auto"/>
            <w:bottom w:val="none" w:sz="0" w:space="0" w:color="auto"/>
            <w:right w:val="none" w:sz="0" w:space="0" w:color="auto"/>
          </w:divBdr>
        </w:div>
        <w:div w:id="73405838">
          <w:marLeft w:val="640"/>
          <w:marRight w:val="0"/>
          <w:marTop w:val="0"/>
          <w:marBottom w:val="0"/>
          <w:divBdr>
            <w:top w:val="none" w:sz="0" w:space="0" w:color="auto"/>
            <w:left w:val="none" w:sz="0" w:space="0" w:color="auto"/>
            <w:bottom w:val="none" w:sz="0" w:space="0" w:color="auto"/>
            <w:right w:val="none" w:sz="0" w:space="0" w:color="auto"/>
          </w:divBdr>
        </w:div>
        <w:div w:id="946422605">
          <w:marLeft w:val="640"/>
          <w:marRight w:val="0"/>
          <w:marTop w:val="0"/>
          <w:marBottom w:val="0"/>
          <w:divBdr>
            <w:top w:val="none" w:sz="0" w:space="0" w:color="auto"/>
            <w:left w:val="none" w:sz="0" w:space="0" w:color="auto"/>
            <w:bottom w:val="none" w:sz="0" w:space="0" w:color="auto"/>
            <w:right w:val="none" w:sz="0" w:space="0" w:color="auto"/>
          </w:divBdr>
        </w:div>
        <w:div w:id="1696078606">
          <w:marLeft w:val="640"/>
          <w:marRight w:val="0"/>
          <w:marTop w:val="0"/>
          <w:marBottom w:val="0"/>
          <w:divBdr>
            <w:top w:val="none" w:sz="0" w:space="0" w:color="auto"/>
            <w:left w:val="none" w:sz="0" w:space="0" w:color="auto"/>
            <w:bottom w:val="none" w:sz="0" w:space="0" w:color="auto"/>
            <w:right w:val="none" w:sz="0" w:space="0" w:color="auto"/>
          </w:divBdr>
        </w:div>
        <w:div w:id="1088114837">
          <w:marLeft w:val="640"/>
          <w:marRight w:val="0"/>
          <w:marTop w:val="0"/>
          <w:marBottom w:val="0"/>
          <w:divBdr>
            <w:top w:val="none" w:sz="0" w:space="0" w:color="auto"/>
            <w:left w:val="none" w:sz="0" w:space="0" w:color="auto"/>
            <w:bottom w:val="none" w:sz="0" w:space="0" w:color="auto"/>
            <w:right w:val="none" w:sz="0" w:space="0" w:color="auto"/>
          </w:divBdr>
        </w:div>
        <w:div w:id="327681590">
          <w:marLeft w:val="640"/>
          <w:marRight w:val="0"/>
          <w:marTop w:val="0"/>
          <w:marBottom w:val="0"/>
          <w:divBdr>
            <w:top w:val="none" w:sz="0" w:space="0" w:color="auto"/>
            <w:left w:val="none" w:sz="0" w:space="0" w:color="auto"/>
            <w:bottom w:val="none" w:sz="0" w:space="0" w:color="auto"/>
            <w:right w:val="none" w:sz="0" w:space="0" w:color="auto"/>
          </w:divBdr>
        </w:div>
        <w:div w:id="1895778333">
          <w:marLeft w:val="640"/>
          <w:marRight w:val="0"/>
          <w:marTop w:val="0"/>
          <w:marBottom w:val="0"/>
          <w:divBdr>
            <w:top w:val="none" w:sz="0" w:space="0" w:color="auto"/>
            <w:left w:val="none" w:sz="0" w:space="0" w:color="auto"/>
            <w:bottom w:val="none" w:sz="0" w:space="0" w:color="auto"/>
            <w:right w:val="none" w:sz="0" w:space="0" w:color="auto"/>
          </w:divBdr>
        </w:div>
        <w:div w:id="1632977519">
          <w:marLeft w:val="640"/>
          <w:marRight w:val="0"/>
          <w:marTop w:val="0"/>
          <w:marBottom w:val="0"/>
          <w:divBdr>
            <w:top w:val="none" w:sz="0" w:space="0" w:color="auto"/>
            <w:left w:val="none" w:sz="0" w:space="0" w:color="auto"/>
            <w:bottom w:val="none" w:sz="0" w:space="0" w:color="auto"/>
            <w:right w:val="none" w:sz="0" w:space="0" w:color="auto"/>
          </w:divBdr>
        </w:div>
        <w:div w:id="1944066992">
          <w:marLeft w:val="640"/>
          <w:marRight w:val="0"/>
          <w:marTop w:val="0"/>
          <w:marBottom w:val="0"/>
          <w:divBdr>
            <w:top w:val="none" w:sz="0" w:space="0" w:color="auto"/>
            <w:left w:val="none" w:sz="0" w:space="0" w:color="auto"/>
            <w:bottom w:val="none" w:sz="0" w:space="0" w:color="auto"/>
            <w:right w:val="none" w:sz="0" w:space="0" w:color="auto"/>
          </w:divBdr>
        </w:div>
        <w:div w:id="563832234">
          <w:marLeft w:val="640"/>
          <w:marRight w:val="0"/>
          <w:marTop w:val="0"/>
          <w:marBottom w:val="0"/>
          <w:divBdr>
            <w:top w:val="none" w:sz="0" w:space="0" w:color="auto"/>
            <w:left w:val="none" w:sz="0" w:space="0" w:color="auto"/>
            <w:bottom w:val="none" w:sz="0" w:space="0" w:color="auto"/>
            <w:right w:val="none" w:sz="0" w:space="0" w:color="auto"/>
          </w:divBdr>
        </w:div>
        <w:div w:id="1596984571">
          <w:marLeft w:val="640"/>
          <w:marRight w:val="0"/>
          <w:marTop w:val="0"/>
          <w:marBottom w:val="0"/>
          <w:divBdr>
            <w:top w:val="none" w:sz="0" w:space="0" w:color="auto"/>
            <w:left w:val="none" w:sz="0" w:space="0" w:color="auto"/>
            <w:bottom w:val="none" w:sz="0" w:space="0" w:color="auto"/>
            <w:right w:val="none" w:sz="0" w:space="0" w:color="auto"/>
          </w:divBdr>
        </w:div>
        <w:div w:id="1612399073">
          <w:marLeft w:val="640"/>
          <w:marRight w:val="0"/>
          <w:marTop w:val="0"/>
          <w:marBottom w:val="0"/>
          <w:divBdr>
            <w:top w:val="none" w:sz="0" w:space="0" w:color="auto"/>
            <w:left w:val="none" w:sz="0" w:space="0" w:color="auto"/>
            <w:bottom w:val="none" w:sz="0" w:space="0" w:color="auto"/>
            <w:right w:val="none" w:sz="0" w:space="0" w:color="auto"/>
          </w:divBdr>
        </w:div>
        <w:div w:id="1590579846">
          <w:marLeft w:val="640"/>
          <w:marRight w:val="0"/>
          <w:marTop w:val="0"/>
          <w:marBottom w:val="0"/>
          <w:divBdr>
            <w:top w:val="none" w:sz="0" w:space="0" w:color="auto"/>
            <w:left w:val="none" w:sz="0" w:space="0" w:color="auto"/>
            <w:bottom w:val="none" w:sz="0" w:space="0" w:color="auto"/>
            <w:right w:val="none" w:sz="0" w:space="0" w:color="auto"/>
          </w:divBdr>
        </w:div>
        <w:div w:id="56972952">
          <w:marLeft w:val="640"/>
          <w:marRight w:val="0"/>
          <w:marTop w:val="0"/>
          <w:marBottom w:val="0"/>
          <w:divBdr>
            <w:top w:val="none" w:sz="0" w:space="0" w:color="auto"/>
            <w:left w:val="none" w:sz="0" w:space="0" w:color="auto"/>
            <w:bottom w:val="none" w:sz="0" w:space="0" w:color="auto"/>
            <w:right w:val="none" w:sz="0" w:space="0" w:color="auto"/>
          </w:divBdr>
        </w:div>
        <w:div w:id="526869008">
          <w:marLeft w:val="640"/>
          <w:marRight w:val="0"/>
          <w:marTop w:val="0"/>
          <w:marBottom w:val="0"/>
          <w:divBdr>
            <w:top w:val="none" w:sz="0" w:space="0" w:color="auto"/>
            <w:left w:val="none" w:sz="0" w:space="0" w:color="auto"/>
            <w:bottom w:val="none" w:sz="0" w:space="0" w:color="auto"/>
            <w:right w:val="none" w:sz="0" w:space="0" w:color="auto"/>
          </w:divBdr>
        </w:div>
        <w:div w:id="25722316">
          <w:marLeft w:val="640"/>
          <w:marRight w:val="0"/>
          <w:marTop w:val="0"/>
          <w:marBottom w:val="0"/>
          <w:divBdr>
            <w:top w:val="none" w:sz="0" w:space="0" w:color="auto"/>
            <w:left w:val="none" w:sz="0" w:space="0" w:color="auto"/>
            <w:bottom w:val="none" w:sz="0" w:space="0" w:color="auto"/>
            <w:right w:val="none" w:sz="0" w:space="0" w:color="auto"/>
          </w:divBdr>
        </w:div>
        <w:div w:id="826820267">
          <w:marLeft w:val="640"/>
          <w:marRight w:val="0"/>
          <w:marTop w:val="0"/>
          <w:marBottom w:val="0"/>
          <w:divBdr>
            <w:top w:val="none" w:sz="0" w:space="0" w:color="auto"/>
            <w:left w:val="none" w:sz="0" w:space="0" w:color="auto"/>
            <w:bottom w:val="none" w:sz="0" w:space="0" w:color="auto"/>
            <w:right w:val="none" w:sz="0" w:space="0" w:color="auto"/>
          </w:divBdr>
        </w:div>
        <w:div w:id="2102557753">
          <w:marLeft w:val="640"/>
          <w:marRight w:val="0"/>
          <w:marTop w:val="0"/>
          <w:marBottom w:val="0"/>
          <w:divBdr>
            <w:top w:val="none" w:sz="0" w:space="0" w:color="auto"/>
            <w:left w:val="none" w:sz="0" w:space="0" w:color="auto"/>
            <w:bottom w:val="none" w:sz="0" w:space="0" w:color="auto"/>
            <w:right w:val="none" w:sz="0" w:space="0" w:color="auto"/>
          </w:divBdr>
        </w:div>
        <w:div w:id="1574313068">
          <w:marLeft w:val="640"/>
          <w:marRight w:val="0"/>
          <w:marTop w:val="0"/>
          <w:marBottom w:val="0"/>
          <w:divBdr>
            <w:top w:val="none" w:sz="0" w:space="0" w:color="auto"/>
            <w:left w:val="none" w:sz="0" w:space="0" w:color="auto"/>
            <w:bottom w:val="none" w:sz="0" w:space="0" w:color="auto"/>
            <w:right w:val="none" w:sz="0" w:space="0" w:color="auto"/>
          </w:divBdr>
        </w:div>
        <w:div w:id="672030961">
          <w:marLeft w:val="640"/>
          <w:marRight w:val="0"/>
          <w:marTop w:val="0"/>
          <w:marBottom w:val="0"/>
          <w:divBdr>
            <w:top w:val="none" w:sz="0" w:space="0" w:color="auto"/>
            <w:left w:val="none" w:sz="0" w:space="0" w:color="auto"/>
            <w:bottom w:val="none" w:sz="0" w:space="0" w:color="auto"/>
            <w:right w:val="none" w:sz="0" w:space="0" w:color="auto"/>
          </w:divBdr>
        </w:div>
        <w:div w:id="1872574572">
          <w:marLeft w:val="640"/>
          <w:marRight w:val="0"/>
          <w:marTop w:val="0"/>
          <w:marBottom w:val="0"/>
          <w:divBdr>
            <w:top w:val="none" w:sz="0" w:space="0" w:color="auto"/>
            <w:left w:val="none" w:sz="0" w:space="0" w:color="auto"/>
            <w:bottom w:val="none" w:sz="0" w:space="0" w:color="auto"/>
            <w:right w:val="none" w:sz="0" w:space="0" w:color="auto"/>
          </w:divBdr>
        </w:div>
        <w:div w:id="1509058633">
          <w:marLeft w:val="640"/>
          <w:marRight w:val="0"/>
          <w:marTop w:val="0"/>
          <w:marBottom w:val="0"/>
          <w:divBdr>
            <w:top w:val="none" w:sz="0" w:space="0" w:color="auto"/>
            <w:left w:val="none" w:sz="0" w:space="0" w:color="auto"/>
            <w:bottom w:val="none" w:sz="0" w:space="0" w:color="auto"/>
            <w:right w:val="none" w:sz="0" w:space="0" w:color="auto"/>
          </w:divBdr>
        </w:div>
        <w:div w:id="1858083891">
          <w:marLeft w:val="640"/>
          <w:marRight w:val="0"/>
          <w:marTop w:val="0"/>
          <w:marBottom w:val="0"/>
          <w:divBdr>
            <w:top w:val="none" w:sz="0" w:space="0" w:color="auto"/>
            <w:left w:val="none" w:sz="0" w:space="0" w:color="auto"/>
            <w:bottom w:val="none" w:sz="0" w:space="0" w:color="auto"/>
            <w:right w:val="none" w:sz="0" w:space="0" w:color="auto"/>
          </w:divBdr>
        </w:div>
        <w:div w:id="1976593771">
          <w:marLeft w:val="640"/>
          <w:marRight w:val="0"/>
          <w:marTop w:val="0"/>
          <w:marBottom w:val="0"/>
          <w:divBdr>
            <w:top w:val="none" w:sz="0" w:space="0" w:color="auto"/>
            <w:left w:val="none" w:sz="0" w:space="0" w:color="auto"/>
            <w:bottom w:val="none" w:sz="0" w:space="0" w:color="auto"/>
            <w:right w:val="none" w:sz="0" w:space="0" w:color="auto"/>
          </w:divBdr>
        </w:div>
        <w:div w:id="1926380413">
          <w:marLeft w:val="640"/>
          <w:marRight w:val="0"/>
          <w:marTop w:val="0"/>
          <w:marBottom w:val="0"/>
          <w:divBdr>
            <w:top w:val="none" w:sz="0" w:space="0" w:color="auto"/>
            <w:left w:val="none" w:sz="0" w:space="0" w:color="auto"/>
            <w:bottom w:val="none" w:sz="0" w:space="0" w:color="auto"/>
            <w:right w:val="none" w:sz="0" w:space="0" w:color="auto"/>
          </w:divBdr>
        </w:div>
        <w:div w:id="1688633219">
          <w:marLeft w:val="640"/>
          <w:marRight w:val="0"/>
          <w:marTop w:val="0"/>
          <w:marBottom w:val="0"/>
          <w:divBdr>
            <w:top w:val="none" w:sz="0" w:space="0" w:color="auto"/>
            <w:left w:val="none" w:sz="0" w:space="0" w:color="auto"/>
            <w:bottom w:val="none" w:sz="0" w:space="0" w:color="auto"/>
            <w:right w:val="none" w:sz="0" w:space="0" w:color="auto"/>
          </w:divBdr>
        </w:div>
        <w:div w:id="70204180">
          <w:marLeft w:val="640"/>
          <w:marRight w:val="0"/>
          <w:marTop w:val="0"/>
          <w:marBottom w:val="0"/>
          <w:divBdr>
            <w:top w:val="none" w:sz="0" w:space="0" w:color="auto"/>
            <w:left w:val="none" w:sz="0" w:space="0" w:color="auto"/>
            <w:bottom w:val="none" w:sz="0" w:space="0" w:color="auto"/>
            <w:right w:val="none" w:sz="0" w:space="0" w:color="auto"/>
          </w:divBdr>
        </w:div>
        <w:div w:id="1740055476">
          <w:marLeft w:val="640"/>
          <w:marRight w:val="0"/>
          <w:marTop w:val="0"/>
          <w:marBottom w:val="0"/>
          <w:divBdr>
            <w:top w:val="none" w:sz="0" w:space="0" w:color="auto"/>
            <w:left w:val="none" w:sz="0" w:space="0" w:color="auto"/>
            <w:bottom w:val="none" w:sz="0" w:space="0" w:color="auto"/>
            <w:right w:val="none" w:sz="0" w:space="0" w:color="auto"/>
          </w:divBdr>
        </w:div>
        <w:div w:id="126316562">
          <w:marLeft w:val="640"/>
          <w:marRight w:val="0"/>
          <w:marTop w:val="0"/>
          <w:marBottom w:val="0"/>
          <w:divBdr>
            <w:top w:val="none" w:sz="0" w:space="0" w:color="auto"/>
            <w:left w:val="none" w:sz="0" w:space="0" w:color="auto"/>
            <w:bottom w:val="none" w:sz="0" w:space="0" w:color="auto"/>
            <w:right w:val="none" w:sz="0" w:space="0" w:color="auto"/>
          </w:divBdr>
        </w:div>
        <w:div w:id="1243755229">
          <w:marLeft w:val="640"/>
          <w:marRight w:val="0"/>
          <w:marTop w:val="0"/>
          <w:marBottom w:val="0"/>
          <w:divBdr>
            <w:top w:val="none" w:sz="0" w:space="0" w:color="auto"/>
            <w:left w:val="none" w:sz="0" w:space="0" w:color="auto"/>
            <w:bottom w:val="none" w:sz="0" w:space="0" w:color="auto"/>
            <w:right w:val="none" w:sz="0" w:space="0" w:color="auto"/>
          </w:divBdr>
        </w:div>
        <w:div w:id="14767399">
          <w:marLeft w:val="640"/>
          <w:marRight w:val="0"/>
          <w:marTop w:val="0"/>
          <w:marBottom w:val="0"/>
          <w:divBdr>
            <w:top w:val="none" w:sz="0" w:space="0" w:color="auto"/>
            <w:left w:val="none" w:sz="0" w:space="0" w:color="auto"/>
            <w:bottom w:val="none" w:sz="0" w:space="0" w:color="auto"/>
            <w:right w:val="none" w:sz="0" w:space="0" w:color="auto"/>
          </w:divBdr>
        </w:div>
        <w:div w:id="716008700">
          <w:marLeft w:val="640"/>
          <w:marRight w:val="0"/>
          <w:marTop w:val="0"/>
          <w:marBottom w:val="0"/>
          <w:divBdr>
            <w:top w:val="none" w:sz="0" w:space="0" w:color="auto"/>
            <w:left w:val="none" w:sz="0" w:space="0" w:color="auto"/>
            <w:bottom w:val="none" w:sz="0" w:space="0" w:color="auto"/>
            <w:right w:val="none" w:sz="0" w:space="0" w:color="auto"/>
          </w:divBdr>
        </w:div>
        <w:div w:id="1615750506">
          <w:marLeft w:val="640"/>
          <w:marRight w:val="0"/>
          <w:marTop w:val="0"/>
          <w:marBottom w:val="0"/>
          <w:divBdr>
            <w:top w:val="none" w:sz="0" w:space="0" w:color="auto"/>
            <w:left w:val="none" w:sz="0" w:space="0" w:color="auto"/>
            <w:bottom w:val="none" w:sz="0" w:space="0" w:color="auto"/>
            <w:right w:val="none" w:sz="0" w:space="0" w:color="auto"/>
          </w:divBdr>
        </w:div>
        <w:div w:id="1867786483">
          <w:marLeft w:val="640"/>
          <w:marRight w:val="0"/>
          <w:marTop w:val="0"/>
          <w:marBottom w:val="0"/>
          <w:divBdr>
            <w:top w:val="none" w:sz="0" w:space="0" w:color="auto"/>
            <w:left w:val="none" w:sz="0" w:space="0" w:color="auto"/>
            <w:bottom w:val="none" w:sz="0" w:space="0" w:color="auto"/>
            <w:right w:val="none" w:sz="0" w:space="0" w:color="auto"/>
          </w:divBdr>
        </w:div>
        <w:div w:id="1542130113">
          <w:marLeft w:val="640"/>
          <w:marRight w:val="0"/>
          <w:marTop w:val="0"/>
          <w:marBottom w:val="0"/>
          <w:divBdr>
            <w:top w:val="none" w:sz="0" w:space="0" w:color="auto"/>
            <w:left w:val="none" w:sz="0" w:space="0" w:color="auto"/>
            <w:bottom w:val="none" w:sz="0" w:space="0" w:color="auto"/>
            <w:right w:val="none" w:sz="0" w:space="0" w:color="auto"/>
          </w:divBdr>
        </w:div>
        <w:div w:id="2027511828">
          <w:marLeft w:val="640"/>
          <w:marRight w:val="0"/>
          <w:marTop w:val="0"/>
          <w:marBottom w:val="0"/>
          <w:divBdr>
            <w:top w:val="none" w:sz="0" w:space="0" w:color="auto"/>
            <w:left w:val="none" w:sz="0" w:space="0" w:color="auto"/>
            <w:bottom w:val="none" w:sz="0" w:space="0" w:color="auto"/>
            <w:right w:val="none" w:sz="0" w:space="0" w:color="auto"/>
          </w:divBdr>
        </w:div>
        <w:div w:id="332218611">
          <w:marLeft w:val="640"/>
          <w:marRight w:val="0"/>
          <w:marTop w:val="0"/>
          <w:marBottom w:val="0"/>
          <w:divBdr>
            <w:top w:val="none" w:sz="0" w:space="0" w:color="auto"/>
            <w:left w:val="none" w:sz="0" w:space="0" w:color="auto"/>
            <w:bottom w:val="none" w:sz="0" w:space="0" w:color="auto"/>
            <w:right w:val="none" w:sz="0" w:space="0" w:color="auto"/>
          </w:divBdr>
        </w:div>
        <w:div w:id="1857111553">
          <w:marLeft w:val="640"/>
          <w:marRight w:val="0"/>
          <w:marTop w:val="0"/>
          <w:marBottom w:val="0"/>
          <w:divBdr>
            <w:top w:val="none" w:sz="0" w:space="0" w:color="auto"/>
            <w:left w:val="none" w:sz="0" w:space="0" w:color="auto"/>
            <w:bottom w:val="none" w:sz="0" w:space="0" w:color="auto"/>
            <w:right w:val="none" w:sz="0" w:space="0" w:color="auto"/>
          </w:divBdr>
        </w:div>
        <w:div w:id="1511483813">
          <w:marLeft w:val="640"/>
          <w:marRight w:val="0"/>
          <w:marTop w:val="0"/>
          <w:marBottom w:val="0"/>
          <w:divBdr>
            <w:top w:val="none" w:sz="0" w:space="0" w:color="auto"/>
            <w:left w:val="none" w:sz="0" w:space="0" w:color="auto"/>
            <w:bottom w:val="none" w:sz="0" w:space="0" w:color="auto"/>
            <w:right w:val="none" w:sz="0" w:space="0" w:color="auto"/>
          </w:divBdr>
        </w:div>
        <w:div w:id="289896750">
          <w:marLeft w:val="640"/>
          <w:marRight w:val="0"/>
          <w:marTop w:val="0"/>
          <w:marBottom w:val="0"/>
          <w:divBdr>
            <w:top w:val="none" w:sz="0" w:space="0" w:color="auto"/>
            <w:left w:val="none" w:sz="0" w:space="0" w:color="auto"/>
            <w:bottom w:val="none" w:sz="0" w:space="0" w:color="auto"/>
            <w:right w:val="none" w:sz="0" w:space="0" w:color="auto"/>
          </w:divBdr>
        </w:div>
        <w:div w:id="85929361">
          <w:marLeft w:val="640"/>
          <w:marRight w:val="0"/>
          <w:marTop w:val="0"/>
          <w:marBottom w:val="0"/>
          <w:divBdr>
            <w:top w:val="none" w:sz="0" w:space="0" w:color="auto"/>
            <w:left w:val="none" w:sz="0" w:space="0" w:color="auto"/>
            <w:bottom w:val="none" w:sz="0" w:space="0" w:color="auto"/>
            <w:right w:val="none" w:sz="0" w:space="0" w:color="auto"/>
          </w:divBdr>
        </w:div>
        <w:div w:id="1681077063">
          <w:marLeft w:val="640"/>
          <w:marRight w:val="0"/>
          <w:marTop w:val="0"/>
          <w:marBottom w:val="0"/>
          <w:divBdr>
            <w:top w:val="none" w:sz="0" w:space="0" w:color="auto"/>
            <w:left w:val="none" w:sz="0" w:space="0" w:color="auto"/>
            <w:bottom w:val="none" w:sz="0" w:space="0" w:color="auto"/>
            <w:right w:val="none" w:sz="0" w:space="0" w:color="auto"/>
          </w:divBdr>
        </w:div>
        <w:div w:id="1112937706">
          <w:marLeft w:val="640"/>
          <w:marRight w:val="0"/>
          <w:marTop w:val="0"/>
          <w:marBottom w:val="0"/>
          <w:divBdr>
            <w:top w:val="none" w:sz="0" w:space="0" w:color="auto"/>
            <w:left w:val="none" w:sz="0" w:space="0" w:color="auto"/>
            <w:bottom w:val="none" w:sz="0" w:space="0" w:color="auto"/>
            <w:right w:val="none" w:sz="0" w:space="0" w:color="auto"/>
          </w:divBdr>
        </w:div>
        <w:div w:id="1003431050">
          <w:marLeft w:val="640"/>
          <w:marRight w:val="0"/>
          <w:marTop w:val="0"/>
          <w:marBottom w:val="0"/>
          <w:divBdr>
            <w:top w:val="none" w:sz="0" w:space="0" w:color="auto"/>
            <w:left w:val="none" w:sz="0" w:space="0" w:color="auto"/>
            <w:bottom w:val="none" w:sz="0" w:space="0" w:color="auto"/>
            <w:right w:val="none" w:sz="0" w:space="0" w:color="auto"/>
          </w:divBdr>
        </w:div>
        <w:div w:id="1690836749">
          <w:marLeft w:val="640"/>
          <w:marRight w:val="0"/>
          <w:marTop w:val="0"/>
          <w:marBottom w:val="0"/>
          <w:divBdr>
            <w:top w:val="none" w:sz="0" w:space="0" w:color="auto"/>
            <w:left w:val="none" w:sz="0" w:space="0" w:color="auto"/>
            <w:bottom w:val="none" w:sz="0" w:space="0" w:color="auto"/>
            <w:right w:val="none" w:sz="0" w:space="0" w:color="auto"/>
          </w:divBdr>
        </w:div>
        <w:div w:id="1981033683">
          <w:marLeft w:val="640"/>
          <w:marRight w:val="0"/>
          <w:marTop w:val="0"/>
          <w:marBottom w:val="0"/>
          <w:divBdr>
            <w:top w:val="none" w:sz="0" w:space="0" w:color="auto"/>
            <w:left w:val="none" w:sz="0" w:space="0" w:color="auto"/>
            <w:bottom w:val="none" w:sz="0" w:space="0" w:color="auto"/>
            <w:right w:val="none" w:sz="0" w:space="0" w:color="auto"/>
          </w:divBdr>
        </w:div>
        <w:div w:id="1525627410">
          <w:marLeft w:val="640"/>
          <w:marRight w:val="0"/>
          <w:marTop w:val="0"/>
          <w:marBottom w:val="0"/>
          <w:divBdr>
            <w:top w:val="none" w:sz="0" w:space="0" w:color="auto"/>
            <w:left w:val="none" w:sz="0" w:space="0" w:color="auto"/>
            <w:bottom w:val="none" w:sz="0" w:space="0" w:color="auto"/>
            <w:right w:val="none" w:sz="0" w:space="0" w:color="auto"/>
          </w:divBdr>
        </w:div>
        <w:div w:id="921334793">
          <w:marLeft w:val="640"/>
          <w:marRight w:val="0"/>
          <w:marTop w:val="0"/>
          <w:marBottom w:val="0"/>
          <w:divBdr>
            <w:top w:val="none" w:sz="0" w:space="0" w:color="auto"/>
            <w:left w:val="none" w:sz="0" w:space="0" w:color="auto"/>
            <w:bottom w:val="none" w:sz="0" w:space="0" w:color="auto"/>
            <w:right w:val="none" w:sz="0" w:space="0" w:color="auto"/>
          </w:divBdr>
        </w:div>
        <w:div w:id="1073628466">
          <w:marLeft w:val="640"/>
          <w:marRight w:val="0"/>
          <w:marTop w:val="0"/>
          <w:marBottom w:val="0"/>
          <w:divBdr>
            <w:top w:val="none" w:sz="0" w:space="0" w:color="auto"/>
            <w:left w:val="none" w:sz="0" w:space="0" w:color="auto"/>
            <w:bottom w:val="none" w:sz="0" w:space="0" w:color="auto"/>
            <w:right w:val="none" w:sz="0" w:space="0" w:color="auto"/>
          </w:divBdr>
        </w:div>
        <w:div w:id="644697804">
          <w:marLeft w:val="640"/>
          <w:marRight w:val="0"/>
          <w:marTop w:val="0"/>
          <w:marBottom w:val="0"/>
          <w:divBdr>
            <w:top w:val="none" w:sz="0" w:space="0" w:color="auto"/>
            <w:left w:val="none" w:sz="0" w:space="0" w:color="auto"/>
            <w:bottom w:val="none" w:sz="0" w:space="0" w:color="auto"/>
            <w:right w:val="none" w:sz="0" w:space="0" w:color="auto"/>
          </w:divBdr>
        </w:div>
        <w:div w:id="1925340447">
          <w:marLeft w:val="640"/>
          <w:marRight w:val="0"/>
          <w:marTop w:val="0"/>
          <w:marBottom w:val="0"/>
          <w:divBdr>
            <w:top w:val="none" w:sz="0" w:space="0" w:color="auto"/>
            <w:left w:val="none" w:sz="0" w:space="0" w:color="auto"/>
            <w:bottom w:val="none" w:sz="0" w:space="0" w:color="auto"/>
            <w:right w:val="none" w:sz="0" w:space="0" w:color="auto"/>
          </w:divBdr>
        </w:div>
        <w:div w:id="1166942402">
          <w:marLeft w:val="640"/>
          <w:marRight w:val="0"/>
          <w:marTop w:val="0"/>
          <w:marBottom w:val="0"/>
          <w:divBdr>
            <w:top w:val="none" w:sz="0" w:space="0" w:color="auto"/>
            <w:left w:val="none" w:sz="0" w:space="0" w:color="auto"/>
            <w:bottom w:val="none" w:sz="0" w:space="0" w:color="auto"/>
            <w:right w:val="none" w:sz="0" w:space="0" w:color="auto"/>
          </w:divBdr>
        </w:div>
        <w:div w:id="1374887277">
          <w:marLeft w:val="640"/>
          <w:marRight w:val="0"/>
          <w:marTop w:val="0"/>
          <w:marBottom w:val="0"/>
          <w:divBdr>
            <w:top w:val="none" w:sz="0" w:space="0" w:color="auto"/>
            <w:left w:val="none" w:sz="0" w:space="0" w:color="auto"/>
            <w:bottom w:val="none" w:sz="0" w:space="0" w:color="auto"/>
            <w:right w:val="none" w:sz="0" w:space="0" w:color="auto"/>
          </w:divBdr>
        </w:div>
        <w:div w:id="1160272929">
          <w:marLeft w:val="640"/>
          <w:marRight w:val="0"/>
          <w:marTop w:val="0"/>
          <w:marBottom w:val="0"/>
          <w:divBdr>
            <w:top w:val="none" w:sz="0" w:space="0" w:color="auto"/>
            <w:left w:val="none" w:sz="0" w:space="0" w:color="auto"/>
            <w:bottom w:val="none" w:sz="0" w:space="0" w:color="auto"/>
            <w:right w:val="none" w:sz="0" w:space="0" w:color="auto"/>
          </w:divBdr>
        </w:div>
        <w:div w:id="915212013">
          <w:marLeft w:val="640"/>
          <w:marRight w:val="0"/>
          <w:marTop w:val="0"/>
          <w:marBottom w:val="0"/>
          <w:divBdr>
            <w:top w:val="none" w:sz="0" w:space="0" w:color="auto"/>
            <w:left w:val="none" w:sz="0" w:space="0" w:color="auto"/>
            <w:bottom w:val="none" w:sz="0" w:space="0" w:color="auto"/>
            <w:right w:val="none" w:sz="0" w:space="0" w:color="auto"/>
          </w:divBdr>
        </w:div>
        <w:div w:id="711272526">
          <w:marLeft w:val="640"/>
          <w:marRight w:val="0"/>
          <w:marTop w:val="0"/>
          <w:marBottom w:val="0"/>
          <w:divBdr>
            <w:top w:val="none" w:sz="0" w:space="0" w:color="auto"/>
            <w:left w:val="none" w:sz="0" w:space="0" w:color="auto"/>
            <w:bottom w:val="none" w:sz="0" w:space="0" w:color="auto"/>
            <w:right w:val="none" w:sz="0" w:space="0" w:color="auto"/>
          </w:divBdr>
        </w:div>
        <w:div w:id="1821389027">
          <w:marLeft w:val="640"/>
          <w:marRight w:val="0"/>
          <w:marTop w:val="0"/>
          <w:marBottom w:val="0"/>
          <w:divBdr>
            <w:top w:val="none" w:sz="0" w:space="0" w:color="auto"/>
            <w:left w:val="none" w:sz="0" w:space="0" w:color="auto"/>
            <w:bottom w:val="none" w:sz="0" w:space="0" w:color="auto"/>
            <w:right w:val="none" w:sz="0" w:space="0" w:color="auto"/>
          </w:divBdr>
        </w:div>
        <w:div w:id="339896883">
          <w:marLeft w:val="640"/>
          <w:marRight w:val="0"/>
          <w:marTop w:val="0"/>
          <w:marBottom w:val="0"/>
          <w:divBdr>
            <w:top w:val="none" w:sz="0" w:space="0" w:color="auto"/>
            <w:left w:val="none" w:sz="0" w:space="0" w:color="auto"/>
            <w:bottom w:val="none" w:sz="0" w:space="0" w:color="auto"/>
            <w:right w:val="none" w:sz="0" w:space="0" w:color="auto"/>
          </w:divBdr>
        </w:div>
        <w:div w:id="625745896">
          <w:marLeft w:val="640"/>
          <w:marRight w:val="0"/>
          <w:marTop w:val="0"/>
          <w:marBottom w:val="0"/>
          <w:divBdr>
            <w:top w:val="none" w:sz="0" w:space="0" w:color="auto"/>
            <w:left w:val="none" w:sz="0" w:space="0" w:color="auto"/>
            <w:bottom w:val="none" w:sz="0" w:space="0" w:color="auto"/>
            <w:right w:val="none" w:sz="0" w:space="0" w:color="auto"/>
          </w:divBdr>
        </w:div>
        <w:div w:id="878052157">
          <w:marLeft w:val="640"/>
          <w:marRight w:val="0"/>
          <w:marTop w:val="0"/>
          <w:marBottom w:val="0"/>
          <w:divBdr>
            <w:top w:val="none" w:sz="0" w:space="0" w:color="auto"/>
            <w:left w:val="none" w:sz="0" w:space="0" w:color="auto"/>
            <w:bottom w:val="none" w:sz="0" w:space="0" w:color="auto"/>
            <w:right w:val="none" w:sz="0" w:space="0" w:color="auto"/>
          </w:divBdr>
        </w:div>
        <w:div w:id="1578636423">
          <w:marLeft w:val="640"/>
          <w:marRight w:val="0"/>
          <w:marTop w:val="0"/>
          <w:marBottom w:val="0"/>
          <w:divBdr>
            <w:top w:val="none" w:sz="0" w:space="0" w:color="auto"/>
            <w:left w:val="none" w:sz="0" w:space="0" w:color="auto"/>
            <w:bottom w:val="none" w:sz="0" w:space="0" w:color="auto"/>
            <w:right w:val="none" w:sz="0" w:space="0" w:color="auto"/>
          </w:divBdr>
        </w:div>
        <w:div w:id="1176846572">
          <w:marLeft w:val="640"/>
          <w:marRight w:val="0"/>
          <w:marTop w:val="0"/>
          <w:marBottom w:val="0"/>
          <w:divBdr>
            <w:top w:val="none" w:sz="0" w:space="0" w:color="auto"/>
            <w:left w:val="none" w:sz="0" w:space="0" w:color="auto"/>
            <w:bottom w:val="none" w:sz="0" w:space="0" w:color="auto"/>
            <w:right w:val="none" w:sz="0" w:space="0" w:color="auto"/>
          </w:divBdr>
        </w:div>
        <w:div w:id="391780728">
          <w:marLeft w:val="640"/>
          <w:marRight w:val="0"/>
          <w:marTop w:val="0"/>
          <w:marBottom w:val="0"/>
          <w:divBdr>
            <w:top w:val="none" w:sz="0" w:space="0" w:color="auto"/>
            <w:left w:val="none" w:sz="0" w:space="0" w:color="auto"/>
            <w:bottom w:val="none" w:sz="0" w:space="0" w:color="auto"/>
            <w:right w:val="none" w:sz="0" w:space="0" w:color="auto"/>
          </w:divBdr>
        </w:div>
        <w:div w:id="1143887086">
          <w:marLeft w:val="640"/>
          <w:marRight w:val="0"/>
          <w:marTop w:val="0"/>
          <w:marBottom w:val="0"/>
          <w:divBdr>
            <w:top w:val="none" w:sz="0" w:space="0" w:color="auto"/>
            <w:left w:val="none" w:sz="0" w:space="0" w:color="auto"/>
            <w:bottom w:val="none" w:sz="0" w:space="0" w:color="auto"/>
            <w:right w:val="none" w:sz="0" w:space="0" w:color="auto"/>
          </w:divBdr>
        </w:div>
        <w:div w:id="1617323548">
          <w:marLeft w:val="640"/>
          <w:marRight w:val="0"/>
          <w:marTop w:val="0"/>
          <w:marBottom w:val="0"/>
          <w:divBdr>
            <w:top w:val="none" w:sz="0" w:space="0" w:color="auto"/>
            <w:left w:val="none" w:sz="0" w:space="0" w:color="auto"/>
            <w:bottom w:val="none" w:sz="0" w:space="0" w:color="auto"/>
            <w:right w:val="none" w:sz="0" w:space="0" w:color="auto"/>
          </w:divBdr>
        </w:div>
        <w:div w:id="1682002597">
          <w:marLeft w:val="640"/>
          <w:marRight w:val="0"/>
          <w:marTop w:val="0"/>
          <w:marBottom w:val="0"/>
          <w:divBdr>
            <w:top w:val="none" w:sz="0" w:space="0" w:color="auto"/>
            <w:left w:val="none" w:sz="0" w:space="0" w:color="auto"/>
            <w:bottom w:val="none" w:sz="0" w:space="0" w:color="auto"/>
            <w:right w:val="none" w:sz="0" w:space="0" w:color="auto"/>
          </w:divBdr>
        </w:div>
        <w:div w:id="1713387883">
          <w:marLeft w:val="640"/>
          <w:marRight w:val="0"/>
          <w:marTop w:val="0"/>
          <w:marBottom w:val="0"/>
          <w:divBdr>
            <w:top w:val="none" w:sz="0" w:space="0" w:color="auto"/>
            <w:left w:val="none" w:sz="0" w:space="0" w:color="auto"/>
            <w:bottom w:val="none" w:sz="0" w:space="0" w:color="auto"/>
            <w:right w:val="none" w:sz="0" w:space="0" w:color="auto"/>
          </w:divBdr>
        </w:div>
        <w:div w:id="1419257311">
          <w:marLeft w:val="640"/>
          <w:marRight w:val="0"/>
          <w:marTop w:val="0"/>
          <w:marBottom w:val="0"/>
          <w:divBdr>
            <w:top w:val="none" w:sz="0" w:space="0" w:color="auto"/>
            <w:left w:val="none" w:sz="0" w:space="0" w:color="auto"/>
            <w:bottom w:val="none" w:sz="0" w:space="0" w:color="auto"/>
            <w:right w:val="none" w:sz="0" w:space="0" w:color="auto"/>
          </w:divBdr>
        </w:div>
        <w:div w:id="1786659479">
          <w:marLeft w:val="640"/>
          <w:marRight w:val="0"/>
          <w:marTop w:val="0"/>
          <w:marBottom w:val="0"/>
          <w:divBdr>
            <w:top w:val="none" w:sz="0" w:space="0" w:color="auto"/>
            <w:left w:val="none" w:sz="0" w:space="0" w:color="auto"/>
            <w:bottom w:val="none" w:sz="0" w:space="0" w:color="auto"/>
            <w:right w:val="none" w:sz="0" w:space="0" w:color="auto"/>
          </w:divBdr>
        </w:div>
        <w:div w:id="1233468914">
          <w:marLeft w:val="640"/>
          <w:marRight w:val="0"/>
          <w:marTop w:val="0"/>
          <w:marBottom w:val="0"/>
          <w:divBdr>
            <w:top w:val="none" w:sz="0" w:space="0" w:color="auto"/>
            <w:left w:val="none" w:sz="0" w:space="0" w:color="auto"/>
            <w:bottom w:val="none" w:sz="0" w:space="0" w:color="auto"/>
            <w:right w:val="none" w:sz="0" w:space="0" w:color="auto"/>
          </w:divBdr>
        </w:div>
        <w:div w:id="560679193">
          <w:marLeft w:val="640"/>
          <w:marRight w:val="0"/>
          <w:marTop w:val="0"/>
          <w:marBottom w:val="0"/>
          <w:divBdr>
            <w:top w:val="none" w:sz="0" w:space="0" w:color="auto"/>
            <w:left w:val="none" w:sz="0" w:space="0" w:color="auto"/>
            <w:bottom w:val="none" w:sz="0" w:space="0" w:color="auto"/>
            <w:right w:val="none" w:sz="0" w:space="0" w:color="auto"/>
          </w:divBdr>
        </w:div>
        <w:div w:id="402799738">
          <w:marLeft w:val="640"/>
          <w:marRight w:val="0"/>
          <w:marTop w:val="0"/>
          <w:marBottom w:val="0"/>
          <w:divBdr>
            <w:top w:val="none" w:sz="0" w:space="0" w:color="auto"/>
            <w:left w:val="none" w:sz="0" w:space="0" w:color="auto"/>
            <w:bottom w:val="none" w:sz="0" w:space="0" w:color="auto"/>
            <w:right w:val="none" w:sz="0" w:space="0" w:color="auto"/>
          </w:divBdr>
        </w:div>
        <w:div w:id="203519526">
          <w:marLeft w:val="640"/>
          <w:marRight w:val="0"/>
          <w:marTop w:val="0"/>
          <w:marBottom w:val="0"/>
          <w:divBdr>
            <w:top w:val="none" w:sz="0" w:space="0" w:color="auto"/>
            <w:left w:val="none" w:sz="0" w:space="0" w:color="auto"/>
            <w:bottom w:val="none" w:sz="0" w:space="0" w:color="auto"/>
            <w:right w:val="none" w:sz="0" w:space="0" w:color="auto"/>
          </w:divBdr>
        </w:div>
        <w:div w:id="81295173">
          <w:marLeft w:val="640"/>
          <w:marRight w:val="0"/>
          <w:marTop w:val="0"/>
          <w:marBottom w:val="0"/>
          <w:divBdr>
            <w:top w:val="none" w:sz="0" w:space="0" w:color="auto"/>
            <w:left w:val="none" w:sz="0" w:space="0" w:color="auto"/>
            <w:bottom w:val="none" w:sz="0" w:space="0" w:color="auto"/>
            <w:right w:val="none" w:sz="0" w:space="0" w:color="auto"/>
          </w:divBdr>
        </w:div>
        <w:div w:id="1869373147">
          <w:marLeft w:val="640"/>
          <w:marRight w:val="0"/>
          <w:marTop w:val="0"/>
          <w:marBottom w:val="0"/>
          <w:divBdr>
            <w:top w:val="none" w:sz="0" w:space="0" w:color="auto"/>
            <w:left w:val="none" w:sz="0" w:space="0" w:color="auto"/>
            <w:bottom w:val="none" w:sz="0" w:space="0" w:color="auto"/>
            <w:right w:val="none" w:sz="0" w:space="0" w:color="auto"/>
          </w:divBdr>
        </w:div>
        <w:div w:id="530648158">
          <w:marLeft w:val="640"/>
          <w:marRight w:val="0"/>
          <w:marTop w:val="0"/>
          <w:marBottom w:val="0"/>
          <w:divBdr>
            <w:top w:val="none" w:sz="0" w:space="0" w:color="auto"/>
            <w:left w:val="none" w:sz="0" w:space="0" w:color="auto"/>
            <w:bottom w:val="none" w:sz="0" w:space="0" w:color="auto"/>
            <w:right w:val="none" w:sz="0" w:space="0" w:color="auto"/>
          </w:divBdr>
        </w:div>
        <w:div w:id="1144349114">
          <w:marLeft w:val="640"/>
          <w:marRight w:val="0"/>
          <w:marTop w:val="0"/>
          <w:marBottom w:val="0"/>
          <w:divBdr>
            <w:top w:val="none" w:sz="0" w:space="0" w:color="auto"/>
            <w:left w:val="none" w:sz="0" w:space="0" w:color="auto"/>
            <w:bottom w:val="none" w:sz="0" w:space="0" w:color="auto"/>
            <w:right w:val="none" w:sz="0" w:space="0" w:color="auto"/>
          </w:divBdr>
        </w:div>
        <w:div w:id="1874077133">
          <w:marLeft w:val="640"/>
          <w:marRight w:val="0"/>
          <w:marTop w:val="0"/>
          <w:marBottom w:val="0"/>
          <w:divBdr>
            <w:top w:val="none" w:sz="0" w:space="0" w:color="auto"/>
            <w:left w:val="none" w:sz="0" w:space="0" w:color="auto"/>
            <w:bottom w:val="none" w:sz="0" w:space="0" w:color="auto"/>
            <w:right w:val="none" w:sz="0" w:space="0" w:color="auto"/>
          </w:divBdr>
        </w:div>
        <w:div w:id="84228799">
          <w:marLeft w:val="640"/>
          <w:marRight w:val="0"/>
          <w:marTop w:val="0"/>
          <w:marBottom w:val="0"/>
          <w:divBdr>
            <w:top w:val="none" w:sz="0" w:space="0" w:color="auto"/>
            <w:left w:val="none" w:sz="0" w:space="0" w:color="auto"/>
            <w:bottom w:val="none" w:sz="0" w:space="0" w:color="auto"/>
            <w:right w:val="none" w:sz="0" w:space="0" w:color="auto"/>
          </w:divBdr>
        </w:div>
        <w:div w:id="585919352">
          <w:marLeft w:val="640"/>
          <w:marRight w:val="0"/>
          <w:marTop w:val="0"/>
          <w:marBottom w:val="0"/>
          <w:divBdr>
            <w:top w:val="none" w:sz="0" w:space="0" w:color="auto"/>
            <w:left w:val="none" w:sz="0" w:space="0" w:color="auto"/>
            <w:bottom w:val="none" w:sz="0" w:space="0" w:color="auto"/>
            <w:right w:val="none" w:sz="0" w:space="0" w:color="auto"/>
          </w:divBdr>
        </w:div>
        <w:div w:id="415059764">
          <w:marLeft w:val="640"/>
          <w:marRight w:val="0"/>
          <w:marTop w:val="0"/>
          <w:marBottom w:val="0"/>
          <w:divBdr>
            <w:top w:val="none" w:sz="0" w:space="0" w:color="auto"/>
            <w:left w:val="none" w:sz="0" w:space="0" w:color="auto"/>
            <w:bottom w:val="none" w:sz="0" w:space="0" w:color="auto"/>
            <w:right w:val="none" w:sz="0" w:space="0" w:color="auto"/>
          </w:divBdr>
        </w:div>
        <w:div w:id="1178353233">
          <w:marLeft w:val="640"/>
          <w:marRight w:val="0"/>
          <w:marTop w:val="0"/>
          <w:marBottom w:val="0"/>
          <w:divBdr>
            <w:top w:val="none" w:sz="0" w:space="0" w:color="auto"/>
            <w:left w:val="none" w:sz="0" w:space="0" w:color="auto"/>
            <w:bottom w:val="none" w:sz="0" w:space="0" w:color="auto"/>
            <w:right w:val="none" w:sz="0" w:space="0" w:color="auto"/>
          </w:divBdr>
        </w:div>
        <w:div w:id="150948574">
          <w:marLeft w:val="640"/>
          <w:marRight w:val="0"/>
          <w:marTop w:val="0"/>
          <w:marBottom w:val="0"/>
          <w:divBdr>
            <w:top w:val="none" w:sz="0" w:space="0" w:color="auto"/>
            <w:left w:val="none" w:sz="0" w:space="0" w:color="auto"/>
            <w:bottom w:val="none" w:sz="0" w:space="0" w:color="auto"/>
            <w:right w:val="none" w:sz="0" w:space="0" w:color="auto"/>
          </w:divBdr>
        </w:div>
        <w:div w:id="2104645047">
          <w:marLeft w:val="640"/>
          <w:marRight w:val="0"/>
          <w:marTop w:val="0"/>
          <w:marBottom w:val="0"/>
          <w:divBdr>
            <w:top w:val="none" w:sz="0" w:space="0" w:color="auto"/>
            <w:left w:val="none" w:sz="0" w:space="0" w:color="auto"/>
            <w:bottom w:val="none" w:sz="0" w:space="0" w:color="auto"/>
            <w:right w:val="none" w:sz="0" w:space="0" w:color="auto"/>
          </w:divBdr>
        </w:div>
        <w:div w:id="1986661442">
          <w:marLeft w:val="640"/>
          <w:marRight w:val="0"/>
          <w:marTop w:val="0"/>
          <w:marBottom w:val="0"/>
          <w:divBdr>
            <w:top w:val="none" w:sz="0" w:space="0" w:color="auto"/>
            <w:left w:val="none" w:sz="0" w:space="0" w:color="auto"/>
            <w:bottom w:val="none" w:sz="0" w:space="0" w:color="auto"/>
            <w:right w:val="none" w:sz="0" w:space="0" w:color="auto"/>
          </w:divBdr>
        </w:div>
        <w:div w:id="2123726206">
          <w:marLeft w:val="640"/>
          <w:marRight w:val="0"/>
          <w:marTop w:val="0"/>
          <w:marBottom w:val="0"/>
          <w:divBdr>
            <w:top w:val="none" w:sz="0" w:space="0" w:color="auto"/>
            <w:left w:val="none" w:sz="0" w:space="0" w:color="auto"/>
            <w:bottom w:val="none" w:sz="0" w:space="0" w:color="auto"/>
            <w:right w:val="none" w:sz="0" w:space="0" w:color="auto"/>
          </w:divBdr>
        </w:div>
        <w:div w:id="849418025">
          <w:marLeft w:val="640"/>
          <w:marRight w:val="0"/>
          <w:marTop w:val="0"/>
          <w:marBottom w:val="0"/>
          <w:divBdr>
            <w:top w:val="none" w:sz="0" w:space="0" w:color="auto"/>
            <w:left w:val="none" w:sz="0" w:space="0" w:color="auto"/>
            <w:bottom w:val="none" w:sz="0" w:space="0" w:color="auto"/>
            <w:right w:val="none" w:sz="0" w:space="0" w:color="auto"/>
          </w:divBdr>
        </w:div>
        <w:div w:id="2022664458">
          <w:marLeft w:val="640"/>
          <w:marRight w:val="0"/>
          <w:marTop w:val="0"/>
          <w:marBottom w:val="0"/>
          <w:divBdr>
            <w:top w:val="none" w:sz="0" w:space="0" w:color="auto"/>
            <w:left w:val="none" w:sz="0" w:space="0" w:color="auto"/>
            <w:bottom w:val="none" w:sz="0" w:space="0" w:color="auto"/>
            <w:right w:val="none" w:sz="0" w:space="0" w:color="auto"/>
          </w:divBdr>
        </w:div>
      </w:divsChild>
    </w:div>
    <w:div w:id="325405402">
      <w:bodyDiv w:val="1"/>
      <w:marLeft w:val="0"/>
      <w:marRight w:val="0"/>
      <w:marTop w:val="0"/>
      <w:marBottom w:val="0"/>
      <w:divBdr>
        <w:top w:val="none" w:sz="0" w:space="0" w:color="auto"/>
        <w:left w:val="none" w:sz="0" w:space="0" w:color="auto"/>
        <w:bottom w:val="none" w:sz="0" w:space="0" w:color="auto"/>
        <w:right w:val="none" w:sz="0" w:space="0" w:color="auto"/>
      </w:divBdr>
      <w:divsChild>
        <w:div w:id="816819">
          <w:marLeft w:val="640"/>
          <w:marRight w:val="0"/>
          <w:marTop w:val="0"/>
          <w:marBottom w:val="0"/>
          <w:divBdr>
            <w:top w:val="none" w:sz="0" w:space="0" w:color="auto"/>
            <w:left w:val="none" w:sz="0" w:space="0" w:color="auto"/>
            <w:bottom w:val="none" w:sz="0" w:space="0" w:color="auto"/>
            <w:right w:val="none" w:sz="0" w:space="0" w:color="auto"/>
          </w:divBdr>
        </w:div>
        <w:div w:id="779882463">
          <w:marLeft w:val="640"/>
          <w:marRight w:val="0"/>
          <w:marTop w:val="0"/>
          <w:marBottom w:val="0"/>
          <w:divBdr>
            <w:top w:val="none" w:sz="0" w:space="0" w:color="auto"/>
            <w:left w:val="none" w:sz="0" w:space="0" w:color="auto"/>
            <w:bottom w:val="none" w:sz="0" w:space="0" w:color="auto"/>
            <w:right w:val="none" w:sz="0" w:space="0" w:color="auto"/>
          </w:divBdr>
        </w:div>
        <w:div w:id="1693870801">
          <w:marLeft w:val="640"/>
          <w:marRight w:val="0"/>
          <w:marTop w:val="0"/>
          <w:marBottom w:val="0"/>
          <w:divBdr>
            <w:top w:val="none" w:sz="0" w:space="0" w:color="auto"/>
            <w:left w:val="none" w:sz="0" w:space="0" w:color="auto"/>
            <w:bottom w:val="none" w:sz="0" w:space="0" w:color="auto"/>
            <w:right w:val="none" w:sz="0" w:space="0" w:color="auto"/>
          </w:divBdr>
        </w:div>
        <w:div w:id="41832498">
          <w:marLeft w:val="640"/>
          <w:marRight w:val="0"/>
          <w:marTop w:val="0"/>
          <w:marBottom w:val="0"/>
          <w:divBdr>
            <w:top w:val="none" w:sz="0" w:space="0" w:color="auto"/>
            <w:left w:val="none" w:sz="0" w:space="0" w:color="auto"/>
            <w:bottom w:val="none" w:sz="0" w:space="0" w:color="auto"/>
            <w:right w:val="none" w:sz="0" w:space="0" w:color="auto"/>
          </w:divBdr>
        </w:div>
        <w:div w:id="598878653">
          <w:marLeft w:val="640"/>
          <w:marRight w:val="0"/>
          <w:marTop w:val="0"/>
          <w:marBottom w:val="0"/>
          <w:divBdr>
            <w:top w:val="none" w:sz="0" w:space="0" w:color="auto"/>
            <w:left w:val="none" w:sz="0" w:space="0" w:color="auto"/>
            <w:bottom w:val="none" w:sz="0" w:space="0" w:color="auto"/>
            <w:right w:val="none" w:sz="0" w:space="0" w:color="auto"/>
          </w:divBdr>
        </w:div>
        <w:div w:id="464199837">
          <w:marLeft w:val="640"/>
          <w:marRight w:val="0"/>
          <w:marTop w:val="0"/>
          <w:marBottom w:val="0"/>
          <w:divBdr>
            <w:top w:val="none" w:sz="0" w:space="0" w:color="auto"/>
            <w:left w:val="none" w:sz="0" w:space="0" w:color="auto"/>
            <w:bottom w:val="none" w:sz="0" w:space="0" w:color="auto"/>
            <w:right w:val="none" w:sz="0" w:space="0" w:color="auto"/>
          </w:divBdr>
        </w:div>
        <w:div w:id="354961968">
          <w:marLeft w:val="640"/>
          <w:marRight w:val="0"/>
          <w:marTop w:val="0"/>
          <w:marBottom w:val="0"/>
          <w:divBdr>
            <w:top w:val="none" w:sz="0" w:space="0" w:color="auto"/>
            <w:left w:val="none" w:sz="0" w:space="0" w:color="auto"/>
            <w:bottom w:val="none" w:sz="0" w:space="0" w:color="auto"/>
            <w:right w:val="none" w:sz="0" w:space="0" w:color="auto"/>
          </w:divBdr>
        </w:div>
        <w:div w:id="1952974455">
          <w:marLeft w:val="640"/>
          <w:marRight w:val="0"/>
          <w:marTop w:val="0"/>
          <w:marBottom w:val="0"/>
          <w:divBdr>
            <w:top w:val="none" w:sz="0" w:space="0" w:color="auto"/>
            <w:left w:val="none" w:sz="0" w:space="0" w:color="auto"/>
            <w:bottom w:val="none" w:sz="0" w:space="0" w:color="auto"/>
            <w:right w:val="none" w:sz="0" w:space="0" w:color="auto"/>
          </w:divBdr>
        </w:div>
        <w:div w:id="1022827749">
          <w:marLeft w:val="640"/>
          <w:marRight w:val="0"/>
          <w:marTop w:val="0"/>
          <w:marBottom w:val="0"/>
          <w:divBdr>
            <w:top w:val="none" w:sz="0" w:space="0" w:color="auto"/>
            <w:left w:val="none" w:sz="0" w:space="0" w:color="auto"/>
            <w:bottom w:val="none" w:sz="0" w:space="0" w:color="auto"/>
            <w:right w:val="none" w:sz="0" w:space="0" w:color="auto"/>
          </w:divBdr>
        </w:div>
        <w:div w:id="10422048">
          <w:marLeft w:val="640"/>
          <w:marRight w:val="0"/>
          <w:marTop w:val="0"/>
          <w:marBottom w:val="0"/>
          <w:divBdr>
            <w:top w:val="none" w:sz="0" w:space="0" w:color="auto"/>
            <w:left w:val="none" w:sz="0" w:space="0" w:color="auto"/>
            <w:bottom w:val="none" w:sz="0" w:space="0" w:color="auto"/>
            <w:right w:val="none" w:sz="0" w:space="0" w:color="auto"/>
          </w:divBdr>
        </w:div>
        <w:div w:id="1585340901">
          <w:marLeft w:val="640"/>
          <w:marRight w:val="0"/>
          <w:marTop w:val="0"/>
          <w:marBottom w:val="0"/>
          <w:divBdr>
            <w:top w:val="none" w:sz="0" w:space="0" w:color="auto"/>
            <w:left w:val="none" w:sz="0" w:space="0" w:color="auto"/>
            <w:bottom w:val="none" w:sz="0" w:space="0" w:color="auto"/>
            <w:right w:val="none" w:sz="0" w:space="0" w:color="auto"/>
          </w:divBdr>
        </w:div>
        <w:div w:id="1154028698">
          <w:marLeft w:val="640"/>
          <w:marRight w:val="0"/>
          <w:marTop w:val="0"/>
          <w:marBottom w:val="0"/>
          <w:divBdr>
            <w:top w:val="none" w:sz="0" w:space="0" w:color="auto"/>
            <w:left w:val="none" w:sz="0" w:space="0" w:color="auto"/>
            <w:bottom w:val="none" w:sz="0" w:space="0" w:color="auto"/>
            <w:right w:val="none" w:sz="0" w:space="0" w:color="auto"/>
          </w:divBdr>
        </w:div>
        <w:div w:id="386926522">
          <w:marLeft w:val="640"/>
          <w:marRight w:val="0"/>
          <w:marTop w:val="0"/>
          <w:marBottom w:val="0"/>
          <w:divBdr>
            <w:top w:val="none" w:sz="0" w:space="0" w:color="auto"/>
            <w:left w:val="none" w:sz="0" w:space="0" w:color="auto"/>
            <w:bottom w:val="none" w:sz="0" w:space="0" w:color="auto"/>
            <w:right w:val="none" w:sz="0" w:space="0" w:color="auto"/>
          </w:divBdr>
        </w:div>
        <w:div w:id="589852728">
          <w:marLeft w:val="640"/>
          <w:marRight w:val="0"/>
          <w:marTop w:val="0"/>
          <w:marBottom w:val="0"/>
          <w:divBdr>
            <w:top w:val="none" w:sz="0" w:space="0" w:color="auto"/>
            <w:left w:val="none" w:sz="0" w:space="0" w:color="auto"/>
            <w:bottom w:val="none" w:sz="0" w:space="0" w:color="auto"/>
            <w:right w:val="none" w:sz="0" w:space="0" w:color="auto"/>
          </w:divBdr>
        </w:div>
        <w:div w:id="877014944">
          <w:marLeft w:val="640"/>
          <w:marRight w:val="0"/>
          <w:marTop w:val="0"/>
          <w:marBottom w:val="0"/>
          <w:divBdr>
            <w:top w:val="none" w:sz="0" w:space="0" w:color="auto"/>
            <w:left w:val="none" w:sz="0" w:space="0" w:color="auto"/>
            <w:bottom w:val="none" w:sz="0" w:space="0" w:color="auto"/>
            <w:right w:val="none" w:sz="0" w:space="0" w:color="auto"/>
          </w:divBdr>
        </w:div>
        <w:div w:id="336273848">
          <w:marLeft w:val="640"/>
          <w:marRight w:val="0"/>
          <w:marTop w:val="0"/>
          <w:marBottom w:val="0"/>
          <w:divBdr>
            <w:top w:val="none" w:sz="0" w:space="0" w:color="auto"/>
            <w:left w:val="none" w:sz="0" w:space="0" w:color="auto"/>
            <w:bottom w:val="none" w:sz="0" w:space="0" w:color="auto"/>
            <w:right w:val="none" w:sz="0" w:space="0" w:color="auto"/>
          </w:divBdr>
        </w:div>
        <w:div w:id="1150053838">
          <w:marLeft w:val="640"/>
          <w:marRight w:val="0"/>
          <w:marTop w:val="0"/>
          <w:marBottom w:val="0"/>
          <w:divBdr>
            <w:top w:val="none" w:sz="0" w:space="0" w:color="auto"/>
            <w:left w:val="none" w:sz="0" w:space="0" w:color="auto"/>
            <w:bottom w:val="none" w:sz="0" w:space="0" w:color="auto"/>
            <w:right w:val="none" w:sz="0" w:space="0" w:color="auto"/>
          </w:divBdr>
        </w:div>
        <w:div w:id="2053773569">
          <w:marLeft w:val="640"/>
          <w:marRight w:val="0"/>
          <w:marTop w:val="0"/>
          <w:marBottom w:val="0"/>
          <w:divBdr>
            <w:top w:val="none" w:sz="0" w:space="0" w:color="auto"/>
            <w:left w:val="none" w:sz="0" w:space="0" w:color="auto"/>
            <w:bottom w:val="none" w:sz="0" w:space="0" w:color="auto"/>
            <w:right w:val="none" w:sz="0" w:space="0" w:color="auto"/>
          </w:divBdr>
        </w:div>
        <w:div w:id="1546796670">
          <w:marLeft w:val="640"/>
          <w:marRight w:val="0"/>
          <w:marTop w:val="0"/>
          <w:marBottom w:val="0"/>
          <w:divBdr>
            <w:top w:val="none" w:sz="0" w:space="0" w:color="auto"/>
            <w:left w:val="none" w:sz="0" w:space="0" w:color="auto"/>
            <w:bottom w:val="none" w:sz="0" w:space="0" w:color="auto"/>
            <w:right w:val="none" w:sz="0" w:space="0" w:color="auto"/>
          </w:divBdr>
        </w:div>
        <w:div w:id="1982465412">
          <w:marLeft w:val="640"/>
          <w:marRight w:val="0"/>
          <w:marTop w:val="0"/>
          <w:marBottom w:val="0"/>
          <w:divBdr>
            <w:top w:val="none" w:sz="0" w:space="0" w:color="auto"/>
            <w:left w:val="none" w:sz="0" w:space="0" w:color="auto"/>
            <w:bottom w:val="none" w:sz="0" w:space="0" w:color="auto"/>
            <w:right w:val="none" w:sz="0" w:space="0" w:color="auto"/>
          </w:divBdr>
        </w:div>
        <w:div w:id="1686052532">
          <w:marLeft w:val="640"/>
          <w:marRight w:val="0"/>
          <w:marTop w:val="0"/>
          <w:marBottom w:val="0"/>
          <w:divBdr>
            <w:top w:val="none" w:sz="0" w:space="0" w:color="auto"/>
            <w:left w:val="none" w:sz="0" w:space="0" w:color="auto"/>
            <w:bottom w:val="none" w:sz="0" w:space="0" w:color="auto"/>
            <w:right w:val="none" w:sz="0" w:space="0" w:color="auto"/>
          </w:divBdr>
        </w:div>
        <w:div w:id="480776231">
          <w:marLeft w:val="640"/>
          <w:marRight w:val="0"/>
          <w:marTop w:val="0"/>
          <w:marBottom w:val="0"/>
          <w:divBdr>
            <w:top w:val="none" w:sz="0" w:space="0" w:color="auto"/>
            <w:left w:val="none" w:sz="0" w:space="0" w:color="auto"/>
            <w:bottom w:val="none" w:sz="0" w:space="0" w:color="auto"/>
            <w:right w:val="none" w:sz="0" w:space="0" w:color="auto"/>
          </w:divBdr>
        </w:div>
        <w:div w:id="870724580">
          <w:marLeft w:val="640"/>
          <w:marRight w:val="0"/>
          <w:marTop w:val="0"/>
          <w:marBottom w:val="0"/>
          <w:divBdr>
            <w:top w:val="none" w:sz="0" w:space="0" w:color="auto"/>
            <w:left w:val="none" w:sz="0" w:space="0" w:color="auto"/>
            <w:bottom w:val="none" w:sz="0" w:space="0" w:color="auto"/>
            <w:right w:val="none" w:sz="0" w:space="0" w:color="auto"/>
          </w:divBdr>
        </w:div>
        <w:div w:id="759256396">
          <w:marLeft w:val="640"/>
          <w:marRight w:val="0"/>
          <w:marTop w:val="0"/>
          <w:marBottom w:val="0"/>
          <w:divBdr>
            <w:top w:val="none" w:sz="0" w:space="0" w:color="auto"/>
            <w:left w:val="none" w:sz="0" w:space="0" w:color="auto"/>
            <w:bottom w:val="none" w:sz="0" w:space="0" w:color="auto"/>
            <w:right w:val="none" w:sz="0" w:space="0" w:color="auto"/>
          </w:divBdr>
        </w:div>
        <w:div w:id="1486822597">
          <w:marLeft w:val="640"/>
          <w:marRight w:val="0"/>
          <w:marTop w:val="0"/>
          <w:marBottom w:val="0"/>
          <w:divBdr>
            <w:top w:val="none" w:sz="0" w:space="0" w:color="auto"/>
            <w:left w:val="none" w:sz="0" w:space="0" w:color="auto"/>
            <w:bottom w:val="none" w:sz="0" w:space="0" w:color="auto"/>
            <w:right w:val="none" w:sz="0" w:space="0" w:color="auto"/>
          </w:divBdr>
        </w:div>
        <w:div w:id="1967194857">
          <w:marLeft w:val="640"/>
          <w:marRight w:val="0"/>
          <w:marTop w:val="0"/>
          <w:marBottom w:val="0"/>
          <w:divBdr>
            <w:top w:val="none" w:sz="0" w:space="0" w:color="auto"/>
            <w:left w:val="none" w:sz="0" w:space="0" w:color="auto"/>
            <w:bottom w:val="none" w:sz="0" w:space="0" w:color="auto"/>
            <w:right w:val="none" w:sz="0" w:space="0" w:color="auto"/>
          </w:divBdr>
        </w:div>
        <w:div w:id="1046484910">
          <w:marLeft w:val="640"/>
          <w:marRight w:val="0"/>
          <w:marTop w:val="0"/>
          <w:marBottom w:val="0"/>
          <w:divBdr>
            <w:top w:val="none" w:sz="0" w:space="0" w:color="auto"/>
            <w:left w:val="none" w:sz="0" w:space="0" w:color="auto"/>
            <w:bottom w:val="none" w:sz="0" w:space="0" w:color="auto"/>
            <w:right w:val="none" w:sz="0" w:space="0" w:color="auto"/>
          </w:divBdr>
        </w:div>
        <w:div w:id="2022120261">
          <w:marLeft w:val="640"/>
          <w:marRight w:val="0"/>
          <w:marTop w:val="0"/>
          <w:marBottom w:val="0"/>
          <w:divBdr>
            <w:top w:val="none" w:sz="0" w:space="0" w:color="auto"/>
            <w:left w:val="none" w:sz="0" w:space="0" w:color="auto"/>
            <w:bottom w:val="none" w:sz="0" w:space="0" w:color="auto"/>
            <w:right w:val="none" w:sz="0" w:space="0" w:color="auto"/>
          </w:divBdr>
        </w:div>
        <w:div w:id="2118597769">
          <w:marLeft w:val="640"/>
          <w:marRight w:val="0"/>
          <w:marTop w:val="0"/>
          <w:marBottom w:val="0"/>
          <w:divBdr>
            <w:top w:val="none" w:sz="0" w:space="0" w:color="auto"/>
            <w:left w:val="none" w:sz="0" w:space="0" w:color="auto"/>
            <w:bottom w:val="none" w:sz="0" w:space="0" w:color="auto"/>
            <w:right w:val="none" w:sz="0" w:space="0" w:color="auto"/>
          </w:divBdr>
        </w:div>
        <w:div w:id="769014189">
          <w:marLeft w:val="640"/>
          <w:marRight w:val="0"/>
          <w:marTop w:val="0"/>
          <w:marBottom w:val="0"/>
          <w:divBdr>
            <w:top w:val="none" w:sz="0" w:space="0" w:color="auto"/>
            <w:left w:val="none" w:sz="0" w:space="0" w:color="auto"/>
            <w:bottom w:val="none" w:sz="0" w:space="0" w:color="auto"/>
            <w:right w:val="none" w:sz="0" w:space="0" w:color="auto"/>
          </w:divBdr>
        </w:div>
        <w:div w:id="479614886">
          <w:marLeft w:val="640"/>
          <w:marRight w:val="0"/>
          <w:marTop w:val="0"/>
          <w:marBottom w:val="0"/>
          <w:divBdr>
            <w:top w:val="none" w:sz="0" w:space="0" w:color="auto"/>
            <w:left w:val="none" w:sz="0" w:space="0" w:color="auto"/>
            <w:bottom w:val="none" w:sz="0" w:space="0" w:color="auto"/>
            <w:right w:val="none" w:sz="0" w:space="0" w:color="auto"/>
          </w:divBdr>
        </w:div>
        <w:div w:id="2054577526">
          <w:marLeft w:val="640"/>
          <w:marRight w:val="0"/>
          <w:marTop w:val="0"/>
          <w:marBottom w:val="0"/>
          <w:divBdr>
            <w:top w:val="none" w:sz="0" w:space="0" w:color="auto"/>
            <w:left w:val="none" w:sz="0" w:space="0" w:color="auto"/>
            <w:bottom w:val="none" w:sz="0" w:space="0" w:color="auto"/>
            <w:right w:val="none" w:sz="0" w:space="0" w:color="auto"/>
          </w:divBdr>
        </w:div>
        <w:div w:id="1192259766">
          <w:marLeft w:val="640"/>
          <w:marRight w:val="0"/>
          <w:marTop w:val="0"/>
          <w:marBottom w:val="0"/>
          <w:divBdr>
            <w:top w:val="none" w:sz="0" w:space="0" w:color="auto"/>
            <w:left w:val="none" w:sz="0" w:space="0" w:color="auto"/>
            <w:bottom w:val="none" w:sz="0" w:space="0" w:color="auto"/>
            <w:right w:val="none" w:sz="0" w:space="0" w:color="auto"/>
          </w:divBdr>
        </w:div>
        <w:div w:id="167326996">
          <w:marLeft w:val="640"/>
          <w:marRight w:val="0"/>
          <w:marTop w:val="0"/>
          <w:marBottom w:val="0"/>
          <w:divBdr>
            <w:top w:val="none" w:sz="0" w:space="0" w:color="auto"/>
            <w:left w:val="none" w:sz="0" w:space="0" w:color="auto"/>
            <w:bottom w:val="none" w:sz="0" w:space="0" w:color="auto"/>
            <w:right w:val="none" w:sz="0" w:space="0" w:color="auto"/>
          </w:divBdr>
        </w:div>
        <w:div w:id="2113276472">
          <w:marLeft w:val="640"/>
          <w:marRight w:val="0"/>
          <w:marTop w:val="0"/>
          <w:marBottom w:val="0"/>
          <w:divBdr>
            <w:top w:val="none" w:sz="0" w:space="0" w:color="auto"/>
            <w:left w:val="none" w:sz="0" w:space="0" w:color="auto"/>
            <w:bottom w:val="none" w:sz="0" w:space="0" w:color="auto"/>
            <w:right w:val="none" w:sz="0" w:space="0" w:color="auto"/>
          </w:divBdr>
        </w:div>
        <w:div w:id="445468882">
          <w:marLeft w:val="640"/>
          <w:marRight w:val="0"/>
          <w:marTop w:val="0"/>
          <w:marBottom w:val="0"/>
          <w:divBdr>
            <w:top w:val="none" w:sz="0" w:space="0" w:color="auto"/>
            <w:left w:val="none" w:sz="0" w:space="0" w:color="auto"/>
            <w:bottom w:val="none" w:sz="0" w:space="0" w:color="auto"/>
            <w:right w:val="none" w:sz="0" w:space="0" w:color="auto"/>
          </w:divBdr>
        </w:div>
        <w:div w:id="716901353">
          <w:marLeft w:val="640"/>
          <w:marRight w:val="0"/>
          <w:marTop w:val="0"/>
          <w:marBottom w:val="0"/>
          <w:divBdr>
            <w:top w:val="none" w:sz="0" w:space="0" w:color="auto"/>
            <w:left w:val="none" w:sz="0" w:space="0" w:color="auto"/>
            <w:bottom w:val="none" w:sz="0" w:space="0" w:color="auto"/>
            <w:right w:val="none" w:sz="0" w:space="0" w:color="auto"/>
          </w:divBdr>
        </w:div>
        <w:div w:id="1585256954">
          <w:marLeft w:val="640"/>
          <w:marRight w:val="0"/>
          <w:marTop w:val="0"/>
          <w:marBottom w:val="0"/>
          <w:divBdr>
            <w:top w:val="none" w:sz="0" w:space="0" w:color="auto"/>
            <w:left w:val="none" w:sz="0" w:space="0" w:color="auto"/>
            <w:bottom w:val="none" w:sz="0" w:space="0" w:color="auto"/>
            <w:right w:val="none" w:sz="0" w:space="0" w:color="auto"/>
          </w:divBdr>
        </w:div>
        <w:div w:id="593245840">
          <w:marLeft w:val="640"/>
          <w:marRight w:val="0"/>
          <w:marTop w:val="0"/>
          <w:marBottom w:val="0"/>
          <w:divBdr>
            <w:top w:val="none" w:sz="0" w:space="0" w:color="auto"/>
            <w:left w:val="none" w:sz="0" w:space="0" w:color="auto"/>
            <w:bottom w:val="none" w:sz="0" w:space="0" w:color="auto"/>
            <w:right w:val="none" w:sz="0" w:space="0" w:color="auto"/>
          </w:divBdr>
        </w:div>
        <w:div w:id="143008152">
          <w:marLeft w:val="640"/>
          <w:marRight w:val="0"/>
          <w:marTop w:val="0"/>
          <w:marBottom w:val="0"/>
          <w:divBdr>
            <w:top w:val="none" w:sz="0" w:space="0" w:color="auto"/>
            <w:left w:val="none" w:sz="0" w:space="0" w:color="auto"/>
            <w:bottom w:val="none" w:sz="0" w:space="0" w:color="auto"/>
            <w:right w:val="none" w:sz="0" w:space="0" w:color="auto"/>
          </w:divBdr>
        </w:div>
        <w:div w:id="49617751">
          <w:marLeft w:val="640"/>
          <w:marRight w:val="0"/>
          <w:marTop w:val="0"/>
          <w:marBottom w:val="0"/>
          <w:divBdr>
            <w:top w:val="none" w:sz="0" w:space="0" w:color="auto"/>
            <w:left w:val="none" w:sz="0" w:space="0" w:color="auto"/>
            <w:bottom w:val="none" w:sz="0" w:space="0" w:color="auto"/>
            <w:right w:val="none" w:sz="0" w:space="0" w:color="auto"/>
          </w:divBdr>
        </w:div>
        <w:div w:id="1397900073">
          <w:marLeft w:val="640"/>
          <w:marRight w:val="0"/>
          <w:marTop w:val="0"/>
          <w:marBottom w:val="0"/>
          <w:divBdr>
            <w:top w:val="none" w:sz="0" w:space="0" w:color="auto"/>
            <w:left w:val="none" w:sz="0" w:space="0" w:color="auto"/>
            <w:bottom w:val="none" w:sz="0" w:space="0" w:color="auto"/>
            <w:right w:val="none" w:sz="0" w:space="0" w:color="auto"/>
          </w:divBdr>
        </w:div>
        <w:div w:id="966274759">
          <w:marLeft w:val="640"/>
          <w:marRight w:val="0"/>
          <w:marTop w:val="0"/>
          <w:marBottom w:val="0"/>
          <w:divBdr>
            <w:top w:val="none" w:sz="0" w:space="0" w:color="auto"/>
            <w:left w:val="none" w:sz="0" w:space="0" w:color="auto"/>
            <w:bottom w:val="none" w:sz="0" w:space="0" w:color="auto"/>
            <w:right w:val="none" w:sz="0" w:space="0" w:color="auto"/>
          </w:divBdr>
        </w:div>
        <w:div w:id="1031683231">
          <w:marLeft w:val="640"/>
          <w:marRight w:val="0"/>
          <w:marTop w:val="0"/>
          <w:marBottom w:val="0"/>
          <w:divBdr>
            <w:top w:val="none" w:sz="0" w:space="0" w:color="auto"/>
            <w:left w:val="none" w:sz="0" w:space="0" w:color="auto"/>
            <w:bottom w:val="none" w:sz="0" w:space="0" w:color="auto"/>
            <w:right w:val="none" w:sz="0" w:space="0" w:color="auto"/>
          </w:divBdr>
        </w:div>
        <w:div w:id="1910530377">
          <w:marLeft w:val="640"/>
          <w:marRight w:val="0"/>
          <w:marTop w:val="0"/>
          <w:marBottom w:val="0"/>
          <w:divBdr>
            <w:top w:val="none" w:sz="0" w:space="0" w:color="auto"/>
            <w:left w:val="none" w:sz="0" w:space="0" w:color="auto"/>
            <w:bottom w:val="none" w:sz="0" w:space="0" w:color="auto"/>
            <w:right w:val="none" w:sz="0" w:space="0" w:color="auto"/>
          </w:divBdr>
        </w:div>
        <w:div w:id="1730377584">
          <w:marLeft w:val="640"/>
          <w:marRight w:val="0"/>
          <w:marTop w:val="0"/>
          <w:marBottom w:val="0"/>
          <w:divBdr>
            <w:top w:val="none" w:sz="0" w:space="0" w:color="auto"/>
            <w:left w:val="none" w:sz="0" w:space="0" w:color="auto"/>
            <w:bottom w:val="none" w:sz="0" w:space="0" w:color="auto"/>
            <w:right w:val="none" w:sz="0" w:space="0" w:color="auto"/>
          </w:divBdr>
        </w:div>
        <w:div w:id="2109619934">
          <w:marLeft w:val="640"/>
          <w:marRight w:val="0"/>
          <w:marTop w:val="0"/>
          <w:marBottom w:val="0"/>
          <w:divBdr>
            <w:top w:val="none" w:sz="0" w:space="0" w:color="auto"/>
            <w:left w:val="none" w:sz="0" w:space="0" w:color="auto"/>
            <w:bottom w:val="none" w:sz="0" w:space="0" w:color="auto"/>
            <w:right w:val="none" w:sz="0" w:space="0" w:color="auto"/>
          </w:divBdr>
        </w:div>
        <w:div w:id="1623609697">
          <w:marLeft w:val="640"/>
          <w:marRight w:val="0"/>
          <w:marTop w:val="0"/>
          <w:marBottom w:val="0"/>
          <w:divBdr>
            <w:top w:val="none" w:sz="0" w:space="0" w:color="auto"/>
            <w:left w:val="none" w:sz="0" w:space="0" w:color="auto"/>
            <w:bottom w:val="none" w:sz="0" w:space="0" w:color="auto"/>
            <w:right w:val="none" w:sz="0" w:space="0" w:color="auto"/>
          </w:divBdr>
        </w:div>
        <w:div w:id="351348346">
          <w:marLeft w:val="640"/>
          <w:marRight w:val="0"/>
          <w:marTop w:val="0"/>
          <w:marBottom w:val="0"/>
          <w:divBdr>
            <w:top w:val="none" w:sz="0" w:space="0" w:color="auto"/>
            <w:left w:val="none" w:sz="0" w:space="0" w:color="auto"/>
            <w:bottom w:val="none" w:sz="0" w:space="0" w:color="auto"/>
            <w:right w:val="none" w:sz="0" w:space="0" w:color="auto"/>
          </w:divBdr>
        </w:div>
        <w:div w:id="1509563866">
          <w:marLeft w:val="640"/>
          <w:marRight w:val="0"/>
          <w:marTop w:val="0"/>
          <w:marBottom w:val="0"/>
          <w:divBdr>
            <w:top w:val="none" w:sz="0" w:space="0" w:color="auto"/>
            <w:left w:val="none" w:sz="0" w:space="0" w:color="auto"/>
            <w:bottom w:val="none" w:sz="0" w:space="0" w:color="auto"/>
            <w:right w:val="none" w:sz="0" w:space="0" w:color="auto"/>
          </w:divBdr>
        </w:div>
        <w:div w:id="1221406861">
          <w:marLeft w:val="640"/>
          <w:marRight w:val="0"/>
          <w:marTop w:val="0"/>
          <w:marBottom w:val="0"/>
          <w:divBdr>
            <w:top w:val="none" w:sz="0" w:space="0" w:color="auto"/>
            <w:left w:val="none" w:sz="0" w:space="0" w:color="auto"/>
            <w:bottom w:val="none" w:sz="0" w:space="0" w:color="auto"/>
            <w:right w:val="none" w:sz="0" w:space="0" w:color="auto"/>
          </w:divBdr>
        </w:div>
        <w:div w:id="1920171257">
          <w:marLeft w:val="640"/>
          <w:marRight w:val="0"/>
          <w:marTop w:val="0"/>
          <w:marBottom w:val="0"/>
          <w:divBdr>
            <w:top w:val="none" w:sz="0" w:space="0" w:color="auto"/>
            <w:left w:val="none" w:sz="0" w:space="0" w:color="auto"/>
            <w:bottom w:val="none" w:sz="0" w:space="0" w:color="auto"/>
            <w:right w:val="none" w:sz="0" w:space="0" w:color="auto"/>
          </w:divBdr>
        </w:div>
        <w:div w:id="985553843">
          <w:marLeft w:val="640"/>
          <w:marRight w:val="0"/>
          <w:marTop w:val="0"/>
          <w:marBottom w:val="0"/>
          <w:divBdr>
            <w:top w:val="none" w:sz="0" w:space="0" w:color="auto"/>
            <w:left w:val="none" w:sz="0" w:space="0" w:color="auto"/>
            <w:bottom w:val="none" w:sz="0" w:space="0" w:color="auto"/>
            <w:right w:val="none" w:sz="0" w:space="0" w:color="auto"/>
          </w:divBdr>
        </w:div>
        <w:div w:id="2137674164">
          <w:marLeft w:val="640"/>
          <w:marRight w:val="0"/>
          <w:marTop w:val="0"/>
          <w:marBottom w:val="0"/>
          <w:divBdr>
            <w:top w:val="none" w:sz="0" w:space="0" w:color="auto"/>
            <w:left w:val="none" w:sz="0" w:space="0" w:color="auto"/>
            <w:bottom w:val="none" w:sz="0" w:space="0" w:color="auto"/>
            <w:right w:val="none" w:sz="0" w:space="0" w:color="auto"/>
          </w:divBdr>
        </w:div>
        <w:div w:id="1463504261">
          <w:marLeft w:val="640"/>
          <w:marRight w:val="0"/>
          <w:marTop w:val="0"/>
          <w:marBottom w:val="0"/>
          <w:divBdr>
            <w:top w:val="none" w:sz="0" w:space="0" w:color="auto"/>
            <w:left w:val="none" w:sz="0" w:space="0" w:color="auto"/>
            <w:bottom w:val="none" w:sz="0" w:space="0" w:color="auto"/>
            <w:right w:val="none" w:sz="0" w:space="0" w:color="auto"/>
          </w:divBdr>
        </w:div>
        <w:div w:id="1807812903">
          <w:marLeft w:val="640"/>
          <w:marRight w:val="0"/>
          <w:marTop w:val="0"/>
          <w:marBottom w:val="0"/>
          <w:divBdr>
            <w:top w:val="none" w:sz="0" w:space="0" w:color="auto"/>
            <w:left w:val="none" w:sz="0" w:space="0" w:color="auto"/>
            <w:bottom w:val="none" w:sz="0" w:space="0" w:color="auto"/>
            <w:right w:val="none" w:sz="0" w:space="0" w:color="auto"/>
          </w:divBdr>
        </w:div>
        <w:div w:id="1904873422">
          <w:marLeft w:val="640"/>
          <w:marRight w:val="0"/>
          <w:marTop w:val="0"/>
          <w:marBottom w:val="0"/>
          <w:divBdr>
            <w:top w:val="none" w:sz="0" w:space="0" w:color="auto"/>
            <w:left w:val="none" w:sz="0" w:space="0" w:color="auto"/>
            <w:bottom w:val="none" w:sz="0" w:space="0" w:color="auto"/>
            <w:right w:val="none" w:sz="0" w:space="0" w:color="auto"/>
          </w:divBdr>
        </w:div>
        <w:div w:id="1563368819">
          <w:marLeft w:val="640"/>
          <w:marRight w:val="0"/>
          <w:marTop w:val="0"/>
          <w:marBottom w:val="0"/>
          <w:divBdr>
            <w:top w:val="none" w:sz="0" w:space="0" w:color="auto"/>
            <w:left w:val="none" w:sz="0" w:space="0" w:color="auto"/>
            <w:bottom w:val="none" w:sz="0" w:space="0" w:color="auto"/>
            <w:right w:val="none" w:sz="0" w:space="0" w:color="auto"/>
          </w:divBdr>
        </w:div>
        <w:div w:id="1715426277">
          <w:marLeft w:val="640"/>
          <w:marRight w:val="0"/>
          <w:marTop w:val="0"/>
          <w:marBottom w:val="0"/>
          <w:divBdr>
            <w:top w:val="none" w:sz="0" w:space="0" w:color="auto"/>
            <w:left w:val="none" w:sz="0" w:space="0" w:color="auto"/>
            <w:bottom w:val="none" w:sz="0" w:space="0" w:color="auto"/>
            <w:right w:val="none" w:sz="0" w:space="0" w:color="auto"/>
          </w:divBdr>
        </w:div>
        <w:div w:id="2083067128">
          <w:marLeft w:val="640"/>
          <w:marRight w:val="0"/>
          <w:marTop w:val="0"/>
          <w:marBottom w:val="0"/>
          <w:divBdr>
            <w:top w:val="none" w:sz="0" w:space="0" w:color="auto"/>
            <w:left w:val="none" w:sz="0" w:space="0" w:color="auto"/>
            <w:bottom w:val="none" w:sz="0" w:space="0" w:color="auto"/>
            <w:right w:val="none" w:sz="0" w:space="0" w:color="auto"/>
          </w:divBdr>
        </w:div>
        <w:div w:id="137191345">
          <w:marLeft w:val="640"/>
          <w:marRight w:val="0"/>
          <w:marTop w:val="0"/>
          <w:marBottom w:val="0"/>
          <w:divBdr>
            <w:top w:val="none" w:sz="0" w:space="0" w:color="auto"/>
            <w:left w:val="none" w:sz="0" w:space="0" w:color="auto"/>
            <w:bottom w:val="none" w:sz="0" w:space="0" w:color="auto"/>
            <w:right w:val="none" w:sz="0" w:space="0" w:color="auto"/>
          </w:divBdr>
        </w:div>
        <w:div w:id="1458373686">
          <w:marLeft w:val="640"/>
          <w:marRight w:val="0"/>
          <w:marTop w:val="0"/>
          <w:marBottom w:val="0"/>
          <w:divBdr>
            <w:top w:val="none" w:sz="0" w:space="0" w:color="auto"/>
            <w:left w:val="none" w:sz="0" w:space="0" w:color="auto"/>
            <w:bottom w:val="none" w:sz="0" w:space="0" w:color="auto"/>
            <w:right w:val="none" w:sz="0" w:space="0" w:color="auto"/>
          </w:divBdr>
        </w:div>
        <w:div w:id="1173060921">
          <w:marLeft w:val="640"/>
          <w:marRight w:val="0"/>
          <w:marTop w:val="0"/>
          <w:marBottom w:val="0"/>
          <w:divBdr>
            <w:top w:val="none" w:sz="0" w:space="0" w:color="auto"/>
            <w:left w:val="none" w:sz="0" w:space="0" w:color="auto"/>
            <w:bottom w:val="none" w:sz="0" w:space="0" w:color="auto"/>
            <w:right w:val="none" w:sz="0" w:space="0" w:color="auto"/>
          </w:divBdr>
        </w:div>
        <w:div w:id="1124274888">
          <w:marLeft w:val="640"/>
          <w:marRight w:val="0"/>
          <w:marTop w:val="0"/>
          <w:marBottom w:val="0"/>
          <w:divBdr>
            <w:top w:val="none" w:sz="0" w:space="0" w:color="auto"/>
            <w:left w:val="none" w:sz="0" w:space="0" w:color="auto"/>
            <w:bottom w:val="none" w:sz="0" w:space="0" w:color="auto"/>
            <w:right w:val="none" w:sz="0" w:space="0" w:color="auto"/>
          </w:divBdr>
        </w:div>
        <w:div w:id="888956572">
          <w:marLeft w:val="640"/>
          <w:marRight w:val="0"/>
          <w:marTop w:val="0"/>
          <w:marBottom w:val="0"/>
          <w:divBdr>
            <w:top w:val="none" w:sz="0" w:space="0" w:color="auto"/>
            <w:left w:val="none" w:sz="0" w:space="0" w:color="auto"/>
            <w:bottom w:val="none" w:sz="0" w:space="0" w:color="auto"/>
            <w:right w:val="none" w:sz="0" w:space="0" w:color="auto"/>
          </w:divBdr>
        </w:div>
        <w:div w:id="2091778434">
          <w:marLeft w:val="640"/>
          <w:marRight w:val="0"/>
          <w:marTop w:val="0"/>
          <w:marBottom w:val="0"/>
          <w:divBdr>
            <w:top w:val="none" w:sz="0" w:space="0" w:color="auto"/>
            <w:left w:val="none" w:sz="0" w:space="0" w:color="auto"/>
            <w:bottom w:val="none" w:sz="0" w:space="0" w:color="auto"/>
            <w:right w:val="none" w:sz="0" w:space="0" w:color="auto"/>
          </w:divBdr>
        </w:div>
        <w:div w:id="1676568821">
          <w:marLeft w:val="640"/>
          <w:marRight w:val="0"/>
          <w:marTop w:val="0"/>
          <w:marBottom w:val="0"/>
          <w:divBdr>
            <w:top w:val="none" w:sz="0" w:space="0" w:color="auto"/>
            <w:left w:val="none" w:sz="0" w:space="0" w:color="auto"/>
            <w:bottom w:val="none" w:sz="0" w:space="0" w:color="auto"/>
            <w:right w:val="none" w:sz="0" w:space="0" w:color="auto"/>
          </w:divBdr>
        </w:div>
        <w:div w:id="2108037166">
          <w:marLeft w:val="640"/>
          <w:marRight w:val="0"/>
          <w:marTop w:val="0"/>
          <w:marBottom w:val="0"/>
          <w:divBdr>
            <w:top w:val="none" w:sz="0" w:space="0" w:color="auto"/>
            <w:left w:val="none" w:sz="0" w:space="0" w:color="auto"/>
            <w:bottom w:val="none" w:sz="0" w:space="0" w:color="auto"/>
            <w:right w:val="none" w:sz="0" w:space="0" w:color="auto"/>
          </w:divBdr>
        </w:div>
        <w:div w:id="1462842834">
          <w:marLeft w:val="640"/>
          <w:marRight w:val="0"/>
          <w:marTop w:val="0"/>
          <w:marBottom w:val="0"/>
          <w:divBdr>
            <w:top w:val="none" w:sz="0" w:space="0" w:color="auto"/>
            <w:left w:val="none" w:sz="0" w:space="0" w:color="auto"/>
            <w:bottom w:val="none" w:sz="0" w:space="0" w:color="auto"/>
            <w:right w:val="none" w:sz="0" w:space="0" w:color="auto"/>
          </w:divBdr>
        </w:div>
        <w:div w:id="265239253">
          <w:marLeft w:val="640"/>
          <w:marRight w:val="0"/>
          <w:marTop w:val="0"/>
          <w:marBottom w:val="0"/>
          <w:divBdr>
            <w:top w:val="none" w:sz="0" w:space="0" w:color="auto"/>
            <w:left w:val="none" w:sz="0" w:space="0" w:color="auto"/>
            <w:bottom w:val="none" w:sz="0" w:space="0" w:color="auto"/>
            <w:right w:val="none" w:sz="0" w:space="0" w:color="auto"/>
          </w:divBdr>
        </w:div>
        <w:div w:id="109596824">
          <w:marLeft w:val="640"/>
          <w:marRight w:val="0"/>
          <w:marTop w:val="0"/>
          <w:marBottom w:val="0"/>
          <w:divBdr>
            <w:top w:val="none" w:sz="0" w:space="0" w:color="auto"/>
            <w:left w:val="none" w:sz="0" w:space="0" w:color="auto"/>
            <w:bottom w:val="none" w:sz="0" w:space="0" w:color="auto"/>
            <w:right w:val="none" w:sz="0" w:space="0" w:color="auto"/>
          </w:divBdr>
        </w:div>
        <w:div w:id="169033078">
          <w:marLeft w:val="640"/>
          <w:marRight w:val="0"/>
          <w:marTop w:val="0"/>
          <w:marBottom w:val="0"/>
          <w:divBdr>
            <w:top w:val="none" w:sz="0" w:space="0" w:color="auto"/>
            <w:left w:val="none" w:sz="0" w:space="0" w:color="auto"/>
            <w:bottom w:val="none" w:sz="0" w:space="0" w:color="auto"/>
            <w:right w:val="none" w:sz="0" w:space="0" w:color="auto"/>
          </w:divBdr>
        </w:div>
        <w:div w:id="1204640337">
          <w:marLeft w:val="640"/>
          <w:marRight w:val="0"/>
          <w:marTop w:val="0"/>
          <w:marBottom w:val="0"/>
          <w:divBdr>
            <w:top w:val="none" w:sz="0" w:space="0" w:color="auto"/>
            <w:left w:val="none" w:sz="0" w:space="0" w:color="auto"/>
            <w:bottom w:val="none" w:sz="0" w:space="0" w:color="auto"/>
            <w:right w:val="none" w:sz="0" w:space="0" w:color="auto"/>
          </w:divBdr>
        </w:div>
        <w:div w:id="1900627144">
          <w:marLeft w:val="640"/>
          <w:marRight w:val="0"/>
          <w:marTop w:val="0"/>
          <w:marBottom w:val="0"/>
          <w:divBdr>
            <w:top w:val="none" w:sz="0" w:space="0" w:color="auto"/>
            <w:left w:val="none" w:sz="0" w:space="0" w:color="auto"/>
            <w:bottom w:val="none" w:sz="0" w:space="0" w:color="auto"/>
            <w:right w:val="none" w:sz="0" w:space="0" w:color="auto"/>
          </w:divBdr>
        </w:div>
        <w:div w:id="1071848884">
          <w:marLeft w:val="640"/>
          <w:marRight w:val="0"/>
          <w:marTop w:val="0"/>
          <w:marBottom w:val="0"/>
          <w:divBdr>
            <w:top w:val="none" w:sz="0" w:space="0" w:color="auto"/>
            <w:left w:val="none" w:sz="0" w:space="0" w:color="auto"/>
            <w:bottom w:val="none" w:sz="0" w:space="0" w:color="auto"/>
            <w:right w:val="none" w:sz="0" w:space="0" w:color="auto"/>
          </w:divBdr>
        </w:div>
        <w:div w:id="1814832941">
          <w:marLeft w:val="640"/>
          <w:marRight w:val="0"/>
          <w:marTop w:val="0"/>
          <w:marBottom w:val="0"/>
          <w:divBdr>
            <w:top w:val="none" w:sz="0" w:space="0" w:color="auto"/>
            <w:left w:val="none" w:sz="0" w:space="0" w:color="auto"/>
            <w:bottom w:val="none" w:sz="0" w:space="0" w:color="auto"/>
            <w:right w:val="none" w:sz="0" w:space="0" w:color="auto"/>
          </w:divBdr>
        </w:div>
        <w:div w:id="1802729824">
          <w:marLeft w:val="640"/>
          <w:marRight w:val="0"/>
          <w:marTop w:val="0"/>
          <w:marBottom w:val="0"/>
          <w:divBdr>
            <w:top w:val="none" w:sz="0" w:space="0" w:color="auto"/>
            <w:left w:val="none" w:sz="0" w:space="0" w:color="auto"/>
            <w:bottom w:val="none" w:sz="0" w:space="0" w:color="auto"/>
            <w:right w:val="none" w:sz="0" w:space="0" w:color="auto"/>
          </w:divBdr>
        </w:div>
        <w:div w:id="482704045">
          <w:marLeft w:val="640"/>
          <w:marRight w:val="0"/>
          <w:marTop w:val="0"/>
          <w:marBottom w:val="0"/>
          <w:divBdr>
            <w:top w:val="none" w:sz="0" w:space="0" w:color="auto"/>
            <w:left w:val="none" w:sz="0" w:space="0" w:color="auto"/>
            <w:bottom w:val="none" w:sz="0" w:space="0" w:color="auto"/>
            <w:right w:val="none" w:sz="0" w:space="0" w:color="auto"/>
          </w:divBdr>
        </w:div>
        <w:div w:id="1057708390">
          <w:marLeft w:val="640"/>
          <w:marRight w:val="0"/>
          <w:marTop w:val="0"/>
          <w:marBottom w:val="0"/>
          <w:divBdr>
            <w:top w:val="none" w:sz="0" w:space="0" w:color="auto"/>
            <w:left w:val="none" w:sz="0" w:space="0" w:color="auto"/>
            <w:bottom w:val="none" w:sz="0" w:space="0" w:color="auto"/>
            <w:right w:val="none" w:sz="0" w:space="0" w:color="auto"/>
          </w:divBdr>
        </w:div>
        <w:div w:id="1026756999">
          <w:marLeft w:val="640"/>
          <w:marRight w:val="0"/>
          <w:marTop w:val="0"/>
          <w:marBottom w:val="0"/>
          <w:divBdr>
            <w:top w:val="none" w:sz="0" w:space="0" w:color="auto"/>
            <w:left w:val="none" w:sz="0" w:space="0" w:color="auto"/>
            <w:bottom w:val="none" w:sz="0" w:space="0" w:color="auto"/>
            <w:right w:val="none" w:sz="0" w:space="0" w:color="auto"/>
          </w:divBdr>
        </w:div>
        <w:div w:id="995963355">
          <w:marLeft w:val="640"/>
          <w:marRight w:val="0"/>
          <w:marTop w:val="0"/>
          <w:marBottom w:val="0"/>
          <w:divBdr>
            <w:top w:val="none" w:sz="0" w:space="0" w:color="auto"/>
            <w:left w:val="none" w:sz="0" w:space="0" w:color="auto"/>
            <w:bottom w:val="none" w:sz="0" w:space="0" w:color="auto"/>
            <w:right w:val="none" w:sz="0" w:space="0" w:color="auto"/>
          </w:divBdr>
        </w:div>
        <w:div w:id="1822771807">
          <w:marLeft w:val="640"/>
          <w:marRight w:val="0"/>
          <w:marTop w:val="0"/>
          <w:marBottom w:val="0"/>
          <w:divBdr>
            <w:top w:val="none" w:sz="0" w:space="0" w:color="auto"/>
            <w:left w:val="none" w:sz="0" w:space="0" w:color="auto"/>
            <w:bottom w:val="none" w:sz="0" w:space="0" w:color="auto"/>
            <w:right w:val="none" w:sz="0" w:space="0" w:color="auto"/>
          </w:divBdr>
        </w:div>
        <w:div w:id="199897336">
          <w:marLeft w:val="640"/>
          <w:marRight w:val="0"/>
          <w:marTop w:val="0"/>
          <w:marBottom w:val="0"/>
          <w:divBdr>
            <w:top w:val="none" w:sz="0" w:space="0" w:color="auto"/>
            <w:left w:val="none" w:sz="0" w:space="0" w:color="auto"/>
            <w:bottom w:val="none" w:sz="0" w:space="0" w:color="auto"/>
            <w:right w:val="none" w:sz="0" w:space="0" w:color="auto"/>
          </w:divBdr>
        </w:div>
        <w:div w:id="1668364842">
          <w:marLeft w:val="640"/>
          <w:marRight w:val="0"/>
          <w:marTop w:val="0"/>
          <w:marBottom w:val="0"/>
          <w:divBdr>
            <w:top w:val="none" w:sz="0" w:space="0" w:color="auto"/>
            <w:left w:val="none" w:sz="0" w:space="0" w:color="auto"/>
            <w:bottom w:val="none" w:sz="0" w:space="0" w:color="auto"/>
            <w:right w:val="none" w:sz="0" w:space="0" w:color="auto"/>
          </w:divBdr>
        </w:div>
        <w:div w:id="432634456">
          <w:marLeft w:val="640"/>
          <w:marRight w:val="0"/>
          <w:marTop w:val="0"/>
          <w:marBottom w:val="0"/>
          <w:divBdr>
            <w:top w:val="none" w:sz="0" w:space="0" w:color="auto"/>
            <w:left w:val="none" w:sz="0" w:space="0" w:color="auto"/>
            <w:bottom w:val="none" w:sz="0" w:space="0" w:color="auto"/>
            <w:right w:val="none" w:sz="0" w:space="0" w:color="auto"/>
          </w:divBdr>
        </w:div>
        <w:div w:id="1042366008">
          <w:marLeft w:val="640"/>
          <w:marRight w:val="0"/>
          <w:marTop w:val="0"/>
          <w:marBottom w:val="0"/>
          <w:divBdr>
            <w:top w:val="none" w:sz="0" w:space="0" w:color="auto"/>
            <w:left w:val="none" w:sz="0" w:space="0" w:color="auto"/>
            <w:bottom w:val="none" w:sz="0" w:space="0" w:color="auto"/>
            <w:right w:val="none" w:sz="0" w:space="0" w:color="auto"/>
          </w:divBdr>
        </w:div>
        <w:div w:id="820998316">
          <w:marLeft w:val="640"/>
          <w:marRight w:val="0"/>
          <w:marTop w:val="0"/>
          <w:marBottom w:val="0"/>
          <w:divBdr>
            <w:top w:val="none" w:sz="0" w:space="0" w:color="auto"/>
            <w:left w:val="none" w:sz="0" w:space="0" w:color="auto"/>
            <w:bottom w:val="none" w:sz="0" w:space="0" w:color="auto"/>
            <w:right w:val="none" w:sz="0" w:space="0" w:color="auto"/>
          </w:divBdr>
        </w:div>
        <w:div w:id="665665458">
          <w:marLeft w:val="640"/>
          <w:marRight w:val="0"/>
          <w:marTop w:val="0"/>
          <w:marBottom w:val="0"/>
          <w:divBdr>
            <w:top w:val="none" w:sz="0" w:space="0" w:color="auto"/>
            <w:left w:val="none" w:sz="0" w:space="0" w:color="auto"/>
            <w:bottom w:val="none" w:sz="0" w:space="0" w:color="auto"/>
            <w:right w:val="none" w:sz="0" w:space="0" w:color="auto"/>
          </w:divBdr>
        </w:div>
        <w:div w:id="286133396">
          <w:marLeft w:val="640"/>
          <w:marRight w:val="0"/>
          <w:marTop w:val="0"/>
          <w:marBottom w:val="0"/>
          <w:divBdr>
            <w:top w:val="none" w:sz="0" w:space="0" w:color="auto"/>
            <w:left w:val="none" w:sz="0" w:space="0" w:color="auto"/>
            <w:bottom w:val="none" w:sz="0" w:space="0" w:color="auto"/>
            <w:right w:val="none" w:sz="0" w:space="0" w:color="auto"/>
          </w:divBdr>
        </w:div>
        <w:div w:id="416942330">
          <w:marLeft w:val="640"/>
          <w:marRight w:val="0"/>
          <w:marTop w:val="0"/>
          <w:marBottom w:val="0"/>
          <w:divBdr>
            <w:top w:val="none" w:sz="0" w:space="0" w:color="auto"/>
            <w:left w:val="none" w:sz="0" w:space="0" w:color="auto"/>
            <w:bottom w:val="none" w:sz="0" w:space="0" w:color="auto"/>
            <w:right w:val="none" w:sz="0" w:space="0" w:color="auto"/>
          </w:divBdr>
        </w:div>
        <w:div w:id="1430849625">
          <w:marLeft w:val="640"/>
          <w:marRight w:val="0"/>
          <w:marTop w:val="0"/>
          <w:marBottom w:val="0"/>
          <w:divBdr>
            <w:top w:val="none" w:sz="0" w:space="0" w:color="auto"/>
            <w:left w:val="none" w:sz="0" w:space="0" w:color="auto"/>
            <w:bottom w:val="none" w:sz="0" w:space="0" w:color="auto"/>
            <w:right w:val="none" w:sz="0" w:space="0" w:color="auto"/>
          </w:divBdr>
        </w:div>
        <w:div w:id="1580097608">
          <w:marLeft w:val="640"/>
          <w:marRight w:val="0"/>
          <w:marTop w:val="0"/>
          <w:marBottom w:val="0"/>
          <w:divBdr>
            <w:top w:val="none" w:sz="0" w:space="0" w:color="auto"/>
            <w:left w:val="none" w:sz="0" w:space="0" w:color="auto"/>
            <w:bottom w:val="none" w:sz="0" w:space="0" w:color="auto"/>
            <w:right w:val="none" w:sz="0" w:space="0" w:color="auto"/>
          </w:divBdr>
        </w:div>
        <w:div w:id="439759612">
          <w:marLeft w:val="640"/>
          <w:marRight w:val="0"/>
          <w:marTop w:val="0"/>
          <w:marBottom w:val="0"/>
          <w:divBdr>
            <w:top w:val="none" w:sz="0" w:space="0" w:color="auto"/>
            <w:left w:val="none" w:sz="0" w:space="0" w:color="auto"/>
            <w:bottom w:val="none" w:sz="0" w:space="0" w:color="auto"/>
            <w:right w:val="none" w:sz="0" w:space="0" w:color="auto"/>
          </w:divBdr>
        </w:div>
        <w:div w:id="1570775030">
          <w:marLeft w:val="640"/>
          <w:marRight w:val="0"/>
          <w:marTop w:val="0"/>
          <w:marBottom w:val="0"/>
          <w:divBdr>
            <w:top w:val="none" w:sz="0" w:space="0" w:color="auto"/>
            <w:left w:val="none" w:sz="0" w:space="0" w:color="auto"/>
            <w:bottom w:val="none" w:sz="0" w:space="0" w:color="auto"/>
            <w:right w:val="none" w:sz="0" w:space="0" w:color="auto"/>
          </w:divBdr>
        </w:div>
        <w:div w:id="613244000">
          <w:marLeft w:val="640"/>
          <w:marRight w:val="0"/>
          <w:marTop w:val="0"/>
          <w:marBottom w:val="0"/>
          <w:divBdr>
            <w:top w:val="none" w:sz="0" w:space="0" w:color="auto"/>
            <w:left w:val="none" w:sz="0" w:space="0" w:color="auto"/>
            <w:bottom w:val="none" w:sz="0" w:space="0" w:color="auto"/>
            <w:right w:val="none" w:sz="0" w:space="0" w:color="auto"/>
          </w:divBdr>
        </w:div>
        <w:div w:id="1113784744">
          <w:marLeft w:val="640"/>
          <w:marRight w:val="0"/>
          <w:marTop w:val="0"/>
          <w:marBottom w:val="0"/>
          <w:divBdr>
            <w:top w:val="none" w:sz="0" w:space="0" w:color="auto"/>
            <w:left w:val="none" w:sz="0" w:space="0" w:color="auto"/>
            <w:bottom w:val="none" w:sz="0" w:space="0" w:color="auto"/>
            <w:right w:val="none" w:sz="0" w:space="0" w:color="auto"/>
          </w:divBdr>
        </w:div>
        <w:div w:id="134228350">
          <w:marLeft w:val="640"/>
          <w:marRight w:val="0"/>
          <w:marTop w:val="0"/>
          <w:marBottom w:val="0"/>
          <w:divBdr>
            <w:top w:val="none" w:sz="0" w:space="0" w:color="auto"/>
            <w:left w:val="none" w:sz="0" w:space="0" w:color="auto"/>
            <w:bottom w:val="none" w:sz="0" w:space="0" w:color="auto"/>
            <w:right w:val="none" w:sz="0" w:space="0" w:color="auto"/>
          </w:divBdr>
        </w:div>
        <w:div w:id="1123619796">
          <w:marLeft w:val="640"/>
          <w:marRight w:val="0"/>
          <w:marTop w:val="0"/>
          <w:marBottom w:val="0"/>
          <w:divBdr>
            <w:top w:val="none" w:sz="0" w:space="0" w:color="auto"/>
            <w:left w:val="none" w:sz="0" w:space="0" w:color="auto"/>
            <w:bottom w:val="none" w:sz="0" w:space="0" w:color="auto"/>
            <w:right w:val="none" w:sz="0" w:space="0" w:color="auto"/>
          </w:divBdr>
        </w:div>
        <w:div w:id="1955594500">
          <w:marLeft w:val="640"/>
          <w:marRight w:val="0"/>
          <w:marTop w:val="0"/>
          <w:marBottom w:val="0"/>
          <w:divBdr>
            <w:top w:val="none" w:sz="0" w:space="0" w:color="auto"/>
            <w:left w:val="none" w:sz="0" w:space="0" w:color="auto"/>
            <w:bottom w:val="none" w:sz="0" w:space="0" w:color="auto"/>
            <w:right w:val="none" w:sz="0" w:space="0" w:color="auto"/>
          </w:divBdr>
        </w:div>
        <w:div w:id="1938557286">
          <w:marLeft w:val="640"/>
          <w:marRight w:val="0"/>
          <w:marTop w:val="0"/>
          <w:marBottom w:val="0"/>
          <w:divBdr>
            <w:top w:val="none" w:sz="0" w:space="0" w:color="auto"/>
            <w:left w:val="none" w:sz="0" w:space="0" w:color="auto"/>
            <w:bottom w:val="none" w:sz="0" w:space="0" w:color="auto"/>
            <w:right w:val="none" w:sz="0" w:space="0" w:color="auto"/>
          </w:divBdr>
        </w:div>
        <w:div w:id="1709331359">
          <w:marLeft w:val="640"/>
          <w:marRight w:val="0"/>
          <w:marTop w:val="0"/>
          <w:marBottom w:val="0"/>
          <w:divBdr>
            <w:top w:val="none" w:sz="0" w:space="0" w:color="auto"/>
            <w:left w:val="none" w:sz="0" w:space="0" w:color="auto"/>
            <w:bottom w:val="none" w:sz="0" w:space="0" w:color="auto"/>
            <w:right w:val="none" w:sz="0" w:space="0" w:color="auto"/>
          </w:divBdr>
        </w:div>
        <w:div w:id="782500711">
          <w:marLeft w:val="640"/>
          <w:marRight w:val="0"/>
          <w:marTop w:val="0"/>
          <w:marBottom w:val="0"/>
          <w:divBdr>
            <w:top w:val="none" w:sz="0" w:space="0" w:color="auto"/>
            <w:left w:val="none" w:sz="0" w:space="0" w:color="auto"/>
            <w:bottom w:val="none" w:sz="0" w:space="0" w:color="auto"/>
            <w:right w:val="none" w:sz="0" w:space="0" w:color="auto"/>
          </w:divBdr>
        </w:div>
        <w:div w:id="1768383594">
          <w:marLeft w:val="640"/>
          <w:marRight w:val="0"/>
          <w:marTop w:val="0"/>
          <w:marBottom w:val="0"/>
          <w:divBdr>
            <w:top w:val="none" w:sz="0" w:space="0" w:color="auto"/>
            <w:left w:val="none" w:sz="0" w:space="0" w:color="auto"/>
            <w:bottom w:val="none" w:sz="0" w:space="0" w:color="auto"/>
            <w:right w:val="none" w:sz="0" w:space="0" w:color="auto"/>
          </w:divBdr>
        </w:div>
        <w:div w:id="672300213">
          <w:marLeft w:val="640"/>
          <w:marRight w:val="0"/>
          <w:marTop w:val="0"/>
          <w:marBottom w:val="0"/>
          <w:divBdr>
            <w:top w:val="none" w:sz="0" w:space="0" w:color="auto"/>
            <w:left w:val="none" w:sz="0" w:space="0" w:color="auto"/>
            <w:bottom w:val="none" w:sz="0" w:space="0" w:color="auto"/>
            <w:right w:val="none" w:sz="0" w:space="0" w:color="auto"/>
          </w:divBdr>
        </w:div>
        <w:div w:id="1042708039">
          <w:marLeft w:val="640"/>
          <w:marRight w:val="0"/>
          <w:marTop w:val="0"/>
          <w:marBottom w:val="0"/>
          <w:divBdr>
            <w:top w:val="none" w:sz="0" w:space="0" w:color="auto"/>
            <w:left w:val="none" w:sz="0" w:space="0" w:color="auto"/>
            <w:bottom w:val="none" w:sz="0" w:space="0" w:color="auto"/>
            <w:right w:val="none" w:sz="0" w:space="0" w:color="auto"/>
          </w:divBdr>
        </w:div>
        <w:div w:id="1846556533">
          <w:marLeft w:val="640"/>
          <w:marRight w:val="0"/>
          <w:marTop w:val="0"/>
          <w:marBottom w:val="0"/>
          <w:divBdr>
            <w:top w:val="none" w:sz="0" w:space="0" w:color="auto"/>
            <w:left w:val="none" w:sz="0" w:space="0" w:color="auto"/>
            <w:bottom w:val="none" w:sz="0" w:space="0" w:color="auto"/>
            <w:right w:val="none" w:sz="0" w:space="0" w:color="auto"/>
          </w:divBdr>
        </w:div>
        <w:div w:id="1160849911">
          <w:marLeft w:val="640"/>
          <w:marRight w:val="0"/>
          <w:marTop w:val="0"/>
          <w:marBottom w:val="0"/>
          <w:divBdr>
            <w:top w:val="none" w:sz="0" w:space="0" w:color="auto"/>
            <w:left w:val="none" w:sz="0" w:space="0" w:color="auto"/>
            <w:bottom w:val="none" w:sz="0" w:space="0" w:color="auto"/>
            <w:right w:val="none" w:sz="0" w:space="0" w:color="auto"/>
          </w:divBdr>
        </w:div>
        <w:div w:id="1531381511">
          <w:marLeft w:val="640"/>
          <w:marRight w:val="0"/>
          <w:marTop w:val="0"/>
          <w:marBottom w:val="0"/>
          <w:divBdr>
            <w:top w:val="none" w:sz="0" w:space="0" w:color="auto"/>
            <w:left w:val="none" w:sz="0" w:space="0" w:color="auto"/>
            <w:bottom w:val="none" w:sz="0" w:space="0" w:color="auto"/>
            <w:right w:val="none" w:sz="0" w:space="0" w:color="auto"/>
          </w:divBdr>
        </w:div>
        <w:div w:id="495606594">
          <w:marLeft w:val="640"/>
          <w:marRight w:val="0"/>
          <w:marTop w:val="0"/>
          <w:marBottom w:val="0"/>
          <w:divBdr>
            <w:top w:val="none" w:sz="0" w:space="0" w:color="auto"/>
            <w:left w:val="none" w:sz="0" w:space="0" w:color="auto"/>
            <w:bottom w:val="none" w:sz="0" w:space="0" w:color="auto"/>
            <w:right w:val="none" w:sz="0" w:space="0" w:color="auto"/>
          </w:divBdr>
        </w:div>
        <w:div w:id="217671411">
          <w:marLeft w:val="640"/>
          <w:marRight w:val="0"/>
          <w:marTop w:val="0"/>
          <w:marBottom w:val="0"/>
          <w:divBdr>
            <w:top w:val="none" w:sz="0" w:space="0" w:color="auto"/>
            <w:left w:val="none" w:sz="0" w:space="0" w:color="auto"/>
            <w:bottom w:val="none" w:sz="0" w:space="0" w:color="auto"/>
            <w:right w:val="none" w:sz="0" w:space="0" w:color="auto"/>
          </w:divBdr>
        </w:div>
        <w:div w:id="120997794">
          <w:marLeft w:val="640"/>
          <w:marRight w:val="0"/>
          <w:marTop w:val="0"/>
          <w:marBottom w:val="0"/>
          <w:divBdr>
            <w:top w:val="none" w:sz="0" w:space="0" w:color="auto"/>
            <w:left w:val="none" w:sz="0" w:space="0" w:color="auto"/>
            <w:bottom w:val="none" w:sz="0" w:space="0" w:color="auto"/>
            <w:right w:val="none" w:sz="0" w:space="0" w:color="auto"/>
          </w:divBdr>
        </w:div>
        <w:div w:id="1096100142">
          <w:marLeft w:val="640"/>
          <w:marRight w:val="0"/>
          <w:marTop w:val="0"/>
          <w:marBottom w:val="0"/>
          <w:divBdr>
            <w:top w:val="none" w:sz="0" w:space="0" w:color="auto"/>
            <w:left w:val="none" w:sz="0" w:space="0" w:color="auto"/>
            <w:bottom w:val="none" w:sz="0" w:space="0" w:color="auto"/>
            <w:right w:val="none" w:sz="0" w:space="0" w:color="auto"/>
          </w:divBdr>
        </w:div>
        <w:div w:id="1174681952">
          <w:marLeft w:val="640"/>
          <w:marRight w:val="0"/>
          <w:marTop w:val="0"/>
          <w:marBottom w:val="0"/>
          <w:divBdr>
            <w:top w:val="none" w:sz="0" w:space="0" w:color="auto"/>
            <w:left w:val="none" w:sz="0" w:space="0" w:color="auto"/>
            <w:bottom w:val="none" w:sz="0" w:space="0" w:color="auto"/>
            <w:right w:val="none" w:sz="0" w:space="0" w:color="auto"/>
          </w:divBdr>
        </w:div>
        <w:div w:id="1749574234">
          <w:marLeft w:val="640"/>
          <w:marRight w:val="0"/>
          <w:marTop w:val="0"/>
          <w:marBottom w:val="0"/>
          <w:divBdr>
            <w:top w:val="none" w:sz="0" w:space="0" w:color="auto"/>
            <w:left w:val="none" w:sz="0" w:space="0" w:color="auto"/>
            <w:bottom w:val="none" w:sz="0" w:space="0" w:color="auto"/>
            <w:right w:val="none" w:sz="0" w:space="0" w:color="auto"/>
          </w:divBdr>
        </w:div>
        <w:div w:id="777145439">
          <w:marLeft w:val="640"/>
          <w:marRight w:val="0"/>
          <w:marTop w:val="0"/>
          <w:marBottom w:val="0"/>
          <w:divBdr>
            <w:top w:val="none" w:sz="0" w:space="0" w:color="auto"/>
            <w:left w:val="none" w:sz="0" w:space="0" w:color="auto"/>
            <w:bottom w:val="none" w:sz="0" w:space="0" w:color="auto"/>
            <w:right w:val="none" w:sz="0" w:space="0" w:color="auto"/>
          </w:divBdr>
        </w:div>
        <w:div w:id="1879706679">
          <w:marLeft w:val="640"/>
          <w:marRight w:val="0"/>
          <w:marTop w:val="0"/>
          <w:marBottom w:val="0"/>
          <w:divBdr>
            <w:top w:val="none" w:sz="0" w:space="0" w:color="auto"/>
            <w:left w:val="none" w:sz="0" w:space="0" w:color="auto"/>
            <w:bottom w:val="none" w:sz="0" w:space="0" w:color="auto"/>
            <w:right w:val="none" w:sz="0" w:space="0" w:color="auto"/>
          </w:divBdr>
        </w:div>
        <w:div w:id="1267158069">
          <w:marLeft w:val="640"/>
          <w:marRight w:val="0"/>
          <w:marTop w:val="0"/>
          <w:marBottom w:val="0"/>
          <w:divBdr>
            <w:top w:val="none" w:sz="0" w:space="0" w:color="auto"/>
            <w:left w:val="none" w:sz="0" w:space="0" w:color="auto"/>
            <w:bottom w:val="none" w:sz="0" w:space="0" w:color="auto"/>
            <w:right w:val="none" w:sz="0" w:space="0" w:color="auto"/>
          </w:divBdr>
        </w:div>
        <w:div w:id="1941260637">
          <w:marLeft w:val="640"/>
          <w:marRight w:val="0"/>
          <w:marTop w:val="0"/>
          <w:marBottom w:val="0"/>
          <w:divBdr>
            <w:top w:val="none" w:sz="0" w:space="0" w:color="auto"/>
            <w:left w:val="none" w:sz="0" w:space="0" w:color="auto"/>
            <w:bottom w:val="none" w:sz="0" w:space="0" w:color="auto"/>
            <w:right w:val="none" w:sz="0" w:space="0" w:color="auto"/>
          </w:divBdr>
        </w:div>
        <w:div w:id="1373730962">
          <w:marLeft w:val="640"/>
          <w:marRight w:val="0"/>
          <w:marTop w:val="0"/>
          <w:marBottom w:val="0"/>
          <w:divBdr>
            <w:top w:val="none" w:sz="0" w:space="0" w:color="auto"/>
            <w:left w:val="none" w:sz="0" w:space="0" w:color="auto"/>
            <w:bottom w:val="none" w:sz="0" w:space="0" w:color="auto"/>
            <w:right w:val="none" w:sz="0" w:space="0" w:color="auto"/>
          </w:divBdr>
        </w:div>
        <w:div w:id="1037239868">
          <w:marLeft w:val="640"/>
          <w:marRight w:val="0"/>
          <w:marTop w:val="0"/>
          <w:marBottom w:val="0"/>
          <w:divBdr>
            <w:top w:val="none" w:sz="0" w:space="0" w:color="auto"/>
            <w:left w:val="none" w:sz="0" w:space="0" w:color="auto"/>
            <w:bottom w:val="none" w:sz="0" w:space="0" w:color="auto"/>
            <w:right w:val="none" w:sz="0" w:space="0" w:color="auto"/>
          </w:divBdr>
        </w:div>
        <w:div w:id="2134395948">
          <w:marLeft w:val="640"/>
          <w:marRight w:val="0"/>
          <w:marTop w:val="0"/>
          <w:marBottom w:val="0"/>
          <w:divBdr>
            <w:top w:val="none" w:sz="0" w:space="0" w:color="auto"/>
            <w:left w:val="none" w:sz="0" w:space="0" w:color="auto"/>
            <w:bottom w:val="none" w:sz="0" w:space="0" w:color="auto"/>
            <w:right w:val="none" w:sz="0" w:space="0" w:color="auto"/>
          </w:divBdr>
        </w:div>
        <w:div w:id="90467006">
          <w:marLeft w:val="640"/>
          <w:marRight w:val="0"/>
          <w:marTop w:val="0"/>
          <w:marBottom w:val="0"/>
          <w:divBdr>
            <w:top w:val="none" w:sz="0" w:space="0" w:color="auto"/>
            <w:left w:val="none" w:sz="0" w:space="0" w:color="auto"/>
            <w:bottom w:val="none" w:sz="0" w:space="0" w:color="auto"/>
            <w:right w:val="none" w:sz="0" w:space="0" w:color="auto"/>
          </w:divBdr>
        </w:div>
        <w:div w:id="1608275262">
          <w:marLeft w:val="640"/>
          <w:marRight w:val="0"/>
          <w:marTop w:val="0"/>
          <w:marBottom w:val="0"/>
          <w:divBdr>
            <w:top w:val="none" w:sz="0" w:space="0" w:color="auto"/>
            <w:left w:val="none" w:sz="0" w:space="0" w:color="auto"/>
            <w:bottom w:val="none" w:sz="0" w:space="0" w:color="auto"/>
            <w:right w:val="none" w:sz="0" w:space="0" w:color="auto"/>
          </w:divBdr>
        </w:div>
        <w:div w:id="1174760640">
          <w:marLeft w:val="640"/>
          <w:marRight w:val="0"/>
          <w:marTop w:val="0"/>
          <w:marBottom w:val="0"/>
          <w:divBdr>
            <w:top w:val="none" w:sz="0" w:space="0" w:color="auto"/>
            <w:left w:val="none" w:sz="0" w:space="0" w:color="auto"/>
            <w:bottom w:val="none" w:sz="0" w:space="0" w:color="auto"/>
            <w:right w:val="none" w:sz="0" w:space="0" w:color="auto"/>
          </w:divBdr>
        </w:div>
        <w:div w:id="1208031616">
          <w:marLeft w:val="640"/>
          <w:marRight w:val="0"/>
          <w:marTop w:val="0"/>
          <w:marBottom w:val="0"/>
          <w:divBdr>
            <w:top w:val="none" w:sz="0" w:space="0" w:color="auto"/>
            <w:left w:val="none" w:sz="0" w:space="0" w:color="auto"/>
            <w:bottom w:val="none" w:sz="0" w:space="0" w:color="auto"/>
            <w:right w:val="none" w:sz="0" w:space="0" w:color="auto"/>
          </w:divBdr>
        </w:div>
        <w:div w:id="1071926523">
          <w:marLeft w:val="640"/>
          <w:marRight w:val="0"/>
          <w:marTop w:val="0"/>
          <w:marBottom w:val="0"/>
          <w:divBdr>
            <w:top w:val="none" w:sz="0" w:space="0" w:color="auto"/>
            <w:left w:val="none" w:sz="0" w:space="0" w:color="auto"/>
            <w:bottom w:val="none" w:sz="0" w:space="0" w:color="auto"/>
            <w:right w:val="none" w:sz="0" w:space="0" w:color="auto"/>
          </w:divBdr>
        </w:div>
        <w:div w:id="1687175340">
          <w:marLeft w:val="640"/>
          <w:marRight w:val="0"/>
          <w:marTop w:val="0"/>
          <w:marBottom w:val="0"/>
          <w:divBdr>
            <w:top w:val="none" w:sz="0" w:space="0" w:color="auto"/>
            <w:left w:val="none" w:sz="0" w:space="0" w:color="auto"/>
            <w:bottom w:val="none" w:sz="0" w:space="0" w:color="auto"/>
            <w:right w:val="none" w:sz="0" w:space="0" w:color="auto"/>
          </w:divBdr>
        </w:div>
        <w:div w:id="1820223002">
          <w:marLeft w:val="640"/>
          <w:marRight w:val="0"/>
          <w:marTop w:val="0"/>
          <w:marBottom w:val="0"/>
          <w:divBdr>
            <w:top w:val="none" w:sz="0" w:space="0" w:color="auto"/>
            <w:left w:val="none" w:sz="0" w:space="0" w:color="auto"/>
            <w:bottom w:val="none" w:sz="0" w:space="0" w:color="auto"/>
            <w:right w:val="none" w:sz="0" w:space="0" w:color="auto"/>
          </w:divBdr>
        </w:div>
        <w:div w:id="1542596458">
          <w:marLeft w:val="640"/>
          <w:marRight w:val="0"/>
          <w:marTop w:val="0"/>
          <w:marBottom w:val="0"/>
          <w:divBdr>
            <w:top w:val="none" w:sz="0" w:space="0" w:color="auto"/>
            <w:left w:val="none" w:sz="0" w:space="0" w:color="auto"/>
            <w:bottom w:val="none" w:sz="0" w:space="0" w:color="auto"/>
            <w:right w:val="none" w:sz="0" w:space="0" w:color="auto"/>
          </w:divBdr>
        </w:div>
        <w:div w:id="1881505035">
          <w:marLeft w:val="640"/>
          <w:marRight w:val="0"/>
          <w:marTop w:val="0"/>
          <w:marBottom w:val="0"/>
          <w:divBdr>
            <w:top w:val="none" w:sz="0" w:space="0" w:color="auto"/>
            <w:left w:val="none" w:sz="0" w:space="0" w:color="auto"/>
            <w:bottom w:val="none" w:sz="0" w:space="0" w:color="auto"/>
            <w:right w:val="none" w:sz="0" w:space="0" w:color="auto"/>
          </w:divBdr>
        </w:div>
        <w:div w:id="1363821147">
          <w:marLeft w:val="640"/>
          <w:marRight w:val="0"/>
          <w:marTop w:val="0"/>
          <w:marBottom w:val="0"/>
          <w:divBdr>
            <w:top w:val="none" w:sz="0" w:space="0" w:color="auto"/>
            <w:left w:val="none" w:sz="0" w:space="0" w:color="auto"/>
            <w:bottom w:val="none" w:sz="0" w:space="0" w:color="auto"/>
            <w:right w:val="none" w:sz="0" w:space="0" w:color="auto"/>
          </w:divBdr>
        </w:div>
        <w:div w:id="1195968195">
          <w:marLeft w:val="640"/>
          <w:marRight w:val="0"/>
          <w:marTop w:val="0"/>
          <w:marBottom w:val="0"/>
          <w:divBdr>
            <w:top w:val="none" w:sz="0" w:space="0" w:color="auto"/>
            <w:left w:val="none" w:sz="0" w:space="0" w:color="auto"/>
            <w:bottom w:val="none" w:sz="0" w:space="0" w:color="auto"/>
            <w:right w:val="none" w:sz="0" w:space="0" w:color="auto"/>
          </w:divBdr>
        </w:div>
        <w:div w:id="1921451937">
          <w:marLeft w:val="640"/>
          <w:marRight w:val="0"/>
          <w:marTop w:val="0"/>
          <w:marBottom w:val="0"/>
          <w:divBdr>
            <w:top w:val="none" w:sz="0" w:space="0" w:color="auto"/>
            <w:left w:val="none" w:sz="0" w:space="0" w:color="auto"/>
            <w:bottom w:val="none" w:sz="0" w:space="0" w:color="auto"/>
            <w:right w:val="none" w:sz="0" w:space="0" w:color="auto"/>
          </w:divBdr>
        </w:div>
        <w:div w:id="1174998856">
          <w:marLeft w:val="640"/>
          <w:marRight w:val="0"/>
          <w:marTop w:val="0"/>
          <w:marBottom w:val="0"/>
          <w:divBdr>
            <w:top w:val="none" w:sz="0" w:space="0" w:color="auto"/>
            <w:left w:val="none" w:sz="0" w:space="0" w:color="auto"/>
            <w:bottom w:val="none" w:sz="0" w:space="0" w:color="auto"/>
            <w:right w:val="none" w:sz="0" w:space="0" w:color="auto"/>
          </w:divBdr>
        </w:div>
        <w:div w:id="1810127965">
          <w:marLeft w:val="640"/>
          <w:marRight w:val="0"/>
          <w:marTop w:val="0"/>
          <w:marBottom w:val="0"/>
          <w:divBdr>
            <w:top w:val="none" w:sz="0" w:space="0" w:color="auto"/>
            <w:left w:val="none" w:sz="0" w:space="0" w:color="auto"/>
            <w:bottom w:val="none" w:sz="0" w:space="0" w:color="auto"/>
            <w:right w:val="none" w:sz="0" w:space="0" w:color="auto"/>
          </w:divBdr>
        </w:div>
        <w:div w:id="1105033000">
          <w:marLeft w:val="640"/>
          <w:marRight w:val="0"/>
          <w:marTop w:val="0"/>
          <w:marBottom w:val="0"/>
          <w:divBdr>
            <w:top w:val="none" w:sz="0" w:space="0" w:color="auto"/>
            <w:left w:val="none" w:sz="0" w:space="0" w:color="auto"/>
            <w:bottom w:val="none" w:sz="0" w:space="0" w:color="auto"/>
            <w:right w:val="none" w:sz="0" w:space="0" w:color="auto"/>
          </w:divBdr>
        </w:div>
        <w:div w:id="1883134504">
          <w:marLeft w:val="640"/>
          <w:marRight w:val="0"/>
          <w:marTop w:val="0"/>
          <w:marBottom w:val="0"/>
          <w:divBdr>
            <w:top w:val="none" w:sz="0" w:space="0" w:color="auto"/>
            <w:left w:val="none" w:sz="0" w:space="0" w:color="auto"/>
            <w:bottom w:val="none" w:sz="0" w:space="0" w:color="auto"/>
            <w:right w:val="none" w:sz="0" w:space="0" w:color="auto"/>
          </w:divBdr>
        </w:div>
        <w:div w:id="840849824">
          <w:marLeft w:val="640"/>
          <w:marRight w:val="0"/>
          <w:marTop w:val="0"/>
          <w:marBottom w:val="0"/>
          <w:divBdr>
            <w:top w:val="none" w:sz="0" w:space="0" w:color="auto"/>
            <w:left w:val="none" w:sz="0" w:space="0" w:color="auto"/>
            <w:bottom w:val="none" w:sz="0" w:space="0" w:color="auto"/>
            <w:right w:val="none" w:sz="0" w:space="0" w:color="auto"/>
          </w:divBdr>
        </w:div>
        <w:div w:id="627469773">
          <w:marLeft w:val="640"/>
          <w:marRight w:val="0"/>
          <w:marTop w:val="0"/>
          <w:marBottom w:val="0"/>
          <w:divBdr>
            <w:top w:val="none" w:sz="0" w:space="0" w:color="auto"/>
            <w:left w:val="none" w:sz="0" w:space="0" w:color="auto"/>
            <w:bottom w:val="none" w:sz="0" w:space="0" w:color="auto"/>
            <w:right w:val="none" w:sz="0" w:space="0" w:color="auto"/>
          </w:divBdr>
        </w:div>
        <w:div w:id="665472385">
          <w:marLeft w:val="640"/>
          <w:marRight w:val="0"/>
          <w:marTop w:val="0"/>
          <w:marBottom w:val="0"/>
          <w:divBdr>
            <w:top w:val="none" w:sz="0" w:space="0" w:color="auto"/>
            <w:left w:val="none" w:sz="0" w:space="0" w:color="auto"/>
            <w:bottom w:val="none" w:sz="0" w:space="0" w:color="auto"/>
            <w:right w:val="none" w:sz="0" w:space="0" w:color="auto"/>
          </w:divBdr>
        </w:div>
        <w:div w:id="792940586">
          <w:marLeft w:val="640"/>
          <w:marRight w:val="0"/>
          <w:marTop w:val="0"/>
          <w:marBottom w:val="0"/>
          <w:divBdr>
            <w:top w:val="none" w:sz="0" w:space="0" w:color="auto"/>
            <w:left w:val="none" w:sz="0" w:space="0" w:color="auto"/>
            <w:bottom w:val="none" w:sz="0" w:space="0" w:color="auto"/>
            <w:right w:val="none" w:sz="0" w:space="0" w:color="auto"/>
          </w:divBdr>
        </w:div>
        <w:div w:id="1236088263">
          <w:marLeft w:val="640"/>
          <w:marRight w:val="0"/>
          <w:marTop w:val="0"/>
          <w:marBottom w:val="0"/>
          <w:divBdr>
            <w:top w:val="none" w:sz="0" w:space="0" w:color="auto"/>
            <w:left w:val="none" w:sz="0" w:space="0" w:color="auto"/>
            <w:bottom w:val="none" w:sz="0" w:space="0" w:color="auto"/>
            <w:right w:val="none" w:sz="0" w:space="0" w:color="auto"/>
          </w:divBdr>
        </w:div>
      </w:divsChild>
    </w:div>
    <w:div w:id="326639636">
      <w:bodyDiv w:val="1"/>
      <w:marLeft w:val="0"/>
      <w:marRight w:val="0"/>
      <w:marTop w:val="0"/>
      <w:marBottom w:val="0"/>
      <w:divBdr>
        <w:top w:val="none" w:sz="0" w:space="0" w:color="auto"/>
        <w:left w:val="none" w:sz="0" w:space="0" w:color="auto"/>
        <w:bottom w:val="none" w:sz="0" w:space="0" w:color="auto"/>
        <w:right w:val="none" w:sz="0" w:space="0" w:color="auto"/>
      </w:divBdr>
      <w:divsChild>
        <w:div w:id="1817379208">
          <w:marLeft w:val="640"/>
          <w:marRight w:val="0"/>
          <w:marTop w:val="0"/>
          <w:marBottom w:val="0"/>
          <w:divBdr>
            <w:top w:val="none" w:sz="0" w:space="0" w:color="auto"/>
            <w:left w:val="none" w:sz="0" w:space="0" w:color="auto"/>
            <w:bottom w:val="none" w:sz="0" w:space="0" w:color="auto"/>
            <w:right w:val="none" w:sz="0" w:space="0" w:color="auto"/>
          </w:divBdr>
        </w:div>
        <w:div w:id="659818597">
          <w:marLeft w:val="640"/>
          <w:marRight w:val="0"/>
          <w:marTop w:val="0"/>
          <w:marBottom w:val="0"/>
          <w:divBdr>
            <w:top w:val="none" w:sz="0" w:space="0" w:color="auto"/>
            <w:left w:val="none" w:sz="0" w:space="0" w:color="auto"/>
            <w:bottom w:val="none" w:sz="0" w:space="0" w:color="auto"/>
            <w:right w:val="none" w:sz="0" w:space="0" w:color="auto"/>
          </w:divBdr>
        </w:div>
        <w:div w:id="225261860">
          <w:marLeft w:val="640"/>
          <w:marRight w:val="0"/>
          <w:marTop w:val="0"/>
          <w:marBottom w:val="0"/>
          <w:divBdr>
            <w:top w:val="none" w:sz="0" w:space="0" w:color="auto"/>
            <w:left w:val="none" w:sz="0" w:space="0" w:color="auto"/>
            <w:bottom w:val="none" w:sz="0" w:space="0" w:color="auto"/>
            <w:right w:val="none" w:sz="0" w:space="0" w:color="auto"/>
          </w:divBdr>
        </w:div>
        <w:div w:id="131410834">
          <w:marLeft w:val="640"/>
          <w:marRight w:val="0"/>
          <w:marTop w:val="0"/>
          <w:marBottom w:val="0"/>
          <w:divBdr>
            <w:top w:val="none" w:sz="0" w:space="0" w:color="auto"/>
            <w:left w:val="none" w:sz="0" w:space="0" w:color="auto"/>
            <w:bottom w:val="none" w:sz="0" w:space="0" w:color="auto"/>
            <w:right w:val="none" w:sz="0" w:space="0" w:color="auto"/>
          </w:divBdr>
        </w:div>
        <w:div w:id="98182894">
          <w:marLeft w:val="640"/>
          <w:marRight w:val="0"/>
          <w:marTop w:val="0"/>
          <w:marBottom w:val="0"/>
          <w:divBdr>
            <w:top w:val="none" w:sz="0" w:space="0" w:color="auto"/>
            <w:left w:val="none" w:sz="0" w:space="0" w:color="auto"/>
            <w:bottom w:val="none" w:sz="0" w:space="0" w:color="auto"/>
            <w:right w:val="none" w:sz="0" w:space="0" w:color="auto"/>
          </w:divBdr>
        </w:div>
        <w:div w:id="1954508769">
          <w:marLeft w:val="640"/>
          <w:marRight w:val="0"/>
          <w:marTop w:val="0"/>
          <w:marBottom w:val="0"/>
          <w:divBdr>
            <w:top w:val="none" w:sz="0" w:space="0" w:color="auto"/>
            <w:left w:val="none" w:sz="0" w:space="0" w:color="auto"/>
            <w:bottom w:val="none" w:sz="0" w:space="0" w:color="auto"/>
            <w:right w:val="none" w:sz="0" w:space="0" w:color="auto"/>
          </w:divBdr>
        </w:div>
        <w:div w:id="1996104270">
          <w:marLeft w:val="640"/>
          <w:marRight w:val="0"/>
          <w:marTop w:val="0"/>
          <w:marBottom w:val="0"/>
          <w:divBdr>
            <w:top w:val="none" w:sz="0" w:space="0" w:color="auto"/>
            <w:left w:val="none" w:sz="0" w:space="0" w:color="auto"/>
            <w:bottom w:val="none" w:sz="0" w:space="0" w:color="auto"/>
            <w:right w:val="none" w:sz="0" w:space="0" w:color="auto"/>
          </w:divBdr>
        </w:div>
        <w:div w:id="678198258">
          <w:marLeft w:val="640"/>
          <w:marRight w:val="0"/>
          <w:marTop w:val="0"/>
          <w:marBottom w:val="0"/>
          <w:divBdr>
            <w:top w:val="none" w:sz="0" w:space="0" w:color="auto"/>
            <w:left w:val="none" w:sz="0" w:space="0" w:color="auto"/>
            <w:bottom w:val="none" w:sz="0" w:space="0" w:color="auto"/>
            <w:right w:val="none" w:sz="0" w:space="0" w:color="auto"/>
          </w:divBdr>
        </w:div>
        <w:div w:id="1708867562">
          <w:marLeft w:val="640"/>
          <w:marRight w:val="0"/>
          <w:marTop w:val="0"/>
          <w:marBottom w:val="0"/>
          <w:divBdr>
            <w:top w:val="none" w:sz="0" w:space="0" w:color="auto"/>
            <w:left w:val="none" w:sz="0" w:space="0" w:color="auto"/>
            <w:bottom w:val="none" w:sz="0" w:space="0" w:color="auto"/>
            <w:right w:val="none" w:sz="0" w:space="0" w:color="auto"/>
          </w:divBdr>
        </w:div>
        <w:div w:id="254631522">
          <w:marLeft w:val="640"/>
          <w:marRight w:val="0"/>
          <w:marTop w:val="0"/>
          <w:marBottom w:val="0"/>
          <w:divBdr>
            <w:top w:val="none" w:sz="0" w:space="0" w:color="auto"/>
            <w:left w:val="none" w:sz="0" w:space="0" w:color="auto"/>
            <w:bottom w:val="none" w:sz="0" w:space="0" w:color="auto"/>
            <w:right w:val="none" w:sz="0" w:space="0" w:color="auto"/>
          </w:divBdr>
        </w:div>
        <w:div w:id="213926529">
          <w:marLeft w:val="640"/>
          <w:marRight w:val="0"/>
          <w:marTop w:val="0"/>
          <w:marBottom w:val="0"/>
          <w:divBdr>
            <w:top w:val="none" w:sz="0" w:space="0" w:color="auto"/>
            <w:left w:val="none" w:sz="0" w:space="0" w:color="auto"/>
            <w:bottom w:val="none" w:sz="0" w:space="0" w:color="auto"/>
            <w:right w:val="none" w:sz="0" w:space="0" w:color="auto"/>
          </w:divBdr>
        </w:div>
        <w:div w:id="683753340">
          <w:marLeft w:val="640"/>
          <w:marRight w:val="0"/>
          <w:marTop w:val="0"/>
          <w:marBottom w:val="0"/>
          <w:divBdr>
            <w:top w:val="none" w:sz="0" w:space="0" w:color="auto"/>
            <w:left w:val="none" w:sz="0" w:space="0" w:color="auto"/>
            <w:bottom w:val="none" w:sz="0" w:space="0" w:color="auto"/>
            <w:right w:val="none" w:sz="0" w:space="0" w:color="auto"/>
          </w:divBdr>
        </w:div>
        <w:div w:id="356201895">
          <w:marLeft w:val="640"/>
          <w:marRight w:val="0"/>
          <w:marTop w:val="0"/>
          <w:marBottom w:val="0"/>
          <w:divBdr>
            <w:top w:val="none" w:sz="0" w:space="0" w:color="auto"/>
            <w:left w:val="none" w:sz="0" w:space="0" w:color="auto"/>
            <w:bottom w:val="none" w:sz="0" w:space="0" w:color="auto"/>
            <w:right w:val="none" w:sz="0" w:space="0" w:color="auto"/>
          </w:divBdr>
        </w:div>
        <w:div w:id="1734888881">
          <w:marLeft w:val="640"/>
          <w:marRight w:val="0"/>
          <w:marTop w:val="0"/>
          <w:marBottom w:val="0"/>
          <w:divBdr>
            <w:top w:val="none" w:sz="0" w:space="0" w:color="auto"/>
            <w:left w:val="none" w:sz="0" w:space="0" w:color="auto"/>
            <w:bottom w:val="none" w:sz="0" w:space="0" w:color="auto"/>
            <w:right w:val="none" w:sz="0" w:space="0" w:color="auto"/>
          </w:divBdr>
        </w:div>
        <w:div w:id="1327586438">
          <w:marLeft w:val="640"/>
          <w:marRight w:val="0"/>
          <w:marTop w:val="0"/>
          <w:marBottom w:val="0"/>
          <w:divBdr>
            <w:top w:val="none" w:sz="0" w:space="0" w:color="auto"/>
            <w:left w:val="none" w:sz="0" w:space="0" w:color="auto"/>
            <w:bottom w:val="none" w:sz="0" w:space="0" w:color="auto"/>
            <w:right w:val="none" w:sz="0" w:space="0" w:color="auto"/>
          </w:divBdr>
        </w:div>
        <w:div w:id="312635975">
          <w:marLeft w:val="640"/>
          <w:marRight w:val="0"/>
          <w:marTop w:val="0"/>
          <w:marBottom w:val="0"/>
          <w:divBdr>
            <w:top w:val="none" w:sz="0" w:space="0" w:color="auto"/>
            <w:left w:val="none" w:sz="0" w:space="0" w:color="auto"/>
            <w:bottom w:val="none" w:sz="0" w:space="0" w:color="auto"/>
            <w:right w:val="none" w:sz="0" w:space="0" w:color="auto"/>
          </w:divBdr>
        </w:div>
        <w:div w:id="538202667">
          <w:marLeft w:val="640"/>
          <w:marRight w:val="0"/>
          <w:marTop w:val="0"/>
          <w:marBottom w:val="0"/>
          <w:divBdr>
            <w:top w:val="none" w:sz="0" w:space="0" w:color="auto"/>
            <w:left w:val="none" w:sz="0" w:space="0" w:color="auto"/>
            <w:bottom w:val="none" w:sz="0" w:space="0" w:color="auto"/>
            <w:right w:val="none" w:sz="0" w:space="0" w:color="auto"/>
          </w:divBdr>
        </w:div>
        <w:div w:id="1747990049">
          <w:marLeft w:val="640"/>
          <w:marRight w:val="0"/>
          <w:marTop w:val="0"/>
          <w:marBottom w:val="0"/>
          <w:divBdr>
            <w:top w:val="none" w:sz="0" w:space="0" w:color="auto"/>
            <w:left w:val="none" w:sz="0" w:space="0" w:color="auto"/>
            <w:bottom w:val="none" w:sz="0" w:space="0" w:color="auto"/>
            <w:right w:val="none" w:sz="0" w:space="0" w:color="auto"/>
          </w:divBdr>
        </w:div>
      </w:divsChild>
    </w:div>
    <w:div w:id="326830330">
      <w:bodyDiv w:val="1"/>
      <w:marLeft w:val="0"/>
      <w:marRight w:val="0"/>
      <w:marTop w:val="0"/>
      <w:marBottom w:val="0"/>
      <w:divBdr>
        <w:top w:val="none" w:sz="0" w:space="0" w:color="auto"/>
        <w:left w:val="none" w:sz="0" w:space="0" w:color="auto"/>
        <w:bottom w:val="none" w:sz="0" w:space="0" w:color="auto"/>
        <w:right w:val="none" w:sz="0" w:space="0" w:color="auto"/>
      </w:divBdr>
      <w:divsChild>
        <w:div w:id="1339769848">
          <w:marLeft w:val="640"/>
          <w:marRight w:val="0"/>
          <w:marTop w:val="0"/>
          <w:marBottom w:val="0"/>
          <w:divBdr>
            <w:top w:val="none" w:sz="0" w:space="0" w:color="auto"/>
            <w:left w:val="none" w:sz="0" w:space="0" w:color="auto"/>
            <w:bottom w:val="none" w:sz="0" w:space="0" w:color="auto"/>
            <w:right w:val="none" w:sz="0" w:space="0" w:color="auto"/>
          </w:divBdr>
        </w:div>
        <w:div w:id="979766194">
          <w:marLeft w:val="640"/>
          <w:marRight w:val="0"/>
          <w:marTop w:val="0"/>
          <w:marBottom w:val="0"/>
          <w:divBdr>
            <w:top w:val="none" w:sz="0" w:space="0" w:color="auto"/>
            <w:left w:val="none" w:sz="0" w:space="0" w:color="auto"/>
            <w:bottom w:val="none" w:sz="0" w:space="0" w:color="auto"/>
            <w:right w:val="none" w:sz="0" w:space="0" w:color="auto"/>
          </w:divBdr>
        </w:div>
        <w:div w:id="335767409">
          <w:marLeft w:val="640"/>
          <w:marRight w:val="0"/>
          <w:marTop w:val="0"/>
          <w:marBottom w:val="0"/>
          <w:divBdr>
            <w:top w:val="none" w:sz="0" w:space="0" w:color="auto"/>
            <w:left w:val="none" w:sz="0" w:space="0" w:color="auto"/>
            <w:bottom w:val="none" w:sz="0" w:space="0" w:color="auto"/>
            <w:right w:val="none" w:sz="0" w:space="0" w:color="auto"/>
          </w:divBdr>
        </w:div>
        <w:div w:id="1441877329">
          <w:marLeft w:val="640"/>
          <w:marRight w:val="0"/>
          <w:marTop w:val="0"/>
          <w:marBottom w:val="0"/>
          <w:divBdr>
            <w:top w:val="none" w:sz="0" w:space="0" w:color="auto"/>
            <w:left w:val="none" w:sz="0" w:space="0" w:color="auto"/>
            <w:bottom w:val="none" w:sz="0" w:space="0" w:color="auto"/>
            <w:right w:val="none" w:sz="0" w:space="0" w:color="auto"/>
          </w:divBdr>
        </w:div>
        <w:div w:id="15356515">
          <w:marLeft w:val="640"/>
          <w:marRight w:val="0"/>
          <w:marTop w:val="0"/>
          <w:marBottom w:val="0"/>
          <w:divBdr>
            <w:top w:val="none" w:sz="0" w:space="0" w:color="auto"/>
            <w:left w:val="none" w:sz="0" w:space="0" w:color="auto"/>
            <w:bottom w:val="none" w:sz="0" w:space="0" w:color="auto"/>
            <w:right w:val="none" w:sz="0" w:space="0" w:color="auto"/>
          </w:divBdr>
        </w:div>
        <w:div w:id="1917980389">
          <w:marLeft w:val="640"/>
          <w:marRight w:val="0"/>
          <w:marTop w:val="0"/>
          <w:marBottom w:val="0"/>
          <w:divBdr>
            <w:top w:val="none" w:sz="0" w:space="0" w:color="auto"/>
            <w:left w:val="none" w:sz="0" w:space="0" w:color="auto"/>
            <w:bottom w:val="none" w:sz="0" w:space="0" w:color="auto"/>
            <w:right w:val="none" w:sz="0" w:space="0" w:color="auto"/>
          </w:divBdr>
        </w:div>
        <w:div w:id="883565147">
          <w:marLeft w:val="640"/>
          <w:marRight w:val="0"/>
          <w:marTop w:val="0"/>
          <w:marBottom w:val="0"/>
          <w:divBdr>
            <w:top w:val="none" w:sz="0" w:space="0" w:color="auto"/>
            <w:left w:val="none" w:sz="0" w:space="0" w:color="auto"/>
            <w:bottom w:val="none" w:sz="0" w:space="0" w:color="auto"/>
            <w:right w:val="none" w:sz="0" w:space="0" w:color="auto"/>
          </w:divBdr>
        </w:div>
        <w:div w:id="428278156">
          <w:marLeft w:val="640"/>
          <w:marRight w:val="0"/>
          <w:marTop w:val="0"/>
          <w:marBottom w:val="0"/>
          <w:divBdr>
            <w:top w:val="none" w:sz="0" w:space="0" w:color="auto"/>
            <w:left w:val="none" w:sz="0" w:space="0" w:color="auto"/>
            <w:bottom w:val="none" w:sz="0" w:space="0" w:color="auto"/>
            <w:right w:val="none" w:sz="0" w:space="0" w:color="auto"/>
          </w:divBdr>
        </w:div>
        <w:div w:id="389616871">
          <w:marLeft w:val="640"/>
          <w:marRight w:val="0"/>
          <w:marTop w:val="0"/>
          <w:marBottom w:val="0"/>
          <w:divBdr>
            <w:top w:val="none" w:sz="0" w:space="0" w:color="auto"/>
            <w:left w:val="none" w:sz="0" w:space="0" w:color="auto"/>
            <w:bottom w:val="none" w:sz="0" w:space="0" w:color="auto"/>
            <w:right w:val="none" w:sz="0" w:space="0" w:color="auto"/>
          </w:divBdr>
        </w:div>
        <w:div w:id="677191961">
          <w:marLeft w:val="640"/>
          <w:marRight w:val="0"/>
          <w:marTop w:val="0"/>
          <w:marBottom w:val="0"/>
          <w:divBdr>
            <w:top w:val="none" w:sz="0" w:space="0" w:color="auto"/>
            <w:left w:val="none" w:sz="0" w:space="0" w:color="auto"/>
            <w:bottom w:val="none" w:sz="0" w:space="0" w:color="auto"/>
            <w:right w:val="none" w:sz="0" w:space="0" w:color="auto"/>
          </w:divBdr>
        </w:div>
        <w:div w:id="1647513179">
          <w:marLeft w:val="640"/>
          <w:marRight w:val="0"/>
          <w:marTop w:val="0"/>
          <w:marBottom w:val="0"/>
          <w:divBdr>
            <w:top w:val="none" w:sz="0" w:space="0" w:color="auto"/>
            <w:left w:val="none" w:sz="0" w:space="0" w:color="auto"/>
            <w:bottom w:val="none" w:sz="0" w:space="0" w:color="auto"/>
            <w:right w:val="none" w:sz="0" w:space="0" w:color="auto"/>
          </w:divBdr>
        </w:div>
        <w:div w:id="1504471897">
          <w:marLeft w:val="640"/>
          <w:marRight w:val="0"/>
          <w:marTop w:val="0"/>
          <w:marBottom w:val="0"/>
          <w:divBdr>
            <w:top w:val="none" w:sz="0" w:space="0" w:color="auto"/>
            <w:left w:val="none" w:sz="0" w:space="0" w:color="auto"/>
            <w:bottom w:val="none" w:sz="0" w:space="0" w:color="auto"/>
            <w:right w:val="none" w:sz="0" w:space="0" w:color="auto"/>
          </w:divBdr>
        </w:div>
        <w:div w:id="932932221">
          <w:marLeft w:val="640"/>
          <w:marRight w:val="0"/>
          <w:marTop w:val="0"/>
          <w:marBottom w:val="0"/>
          <w:divBdr>
            <w:top w:val="none" w:sz="0" w:space="0" w:color="auto"/>
            <w:left w:val="none" w:sz="0" w:space="0" w:color="auto"/>
            <w:bottom w:val="none" w:sz="0" w:space="0" w:color="auto"/>
            <w:right w:val="none" w:sz="0" w:space="0" w:color="auto"/>
          </w:divBdr>
        </w:div>
        <w:div w:id="55977457">
          <w:marLeft w:val="640"/>
          <w:marRight w:val="0"/>
          <w:marTop w:val="0"/>
          <w:marBottom w:val="0"/>
          <w:divBdr>
            <w:top w:val="none" w:sz="0" w:space="0" w:color="auto"/>
            <w:left w:val="none" w:sz="0" w:space="0" w:color="auto"/>
            <w:bottom w:val="none" w:sz="0" w:space="0" w:color="auto"/>
            <w:right w:val="none" w:sz="0" w:space="0" w:color="auto"/>
          </w:divBdr>
        </w:div>
        <w:div w:id="21715770">
          <w:marLeft w:val="640"/>
          <w:marRight w:val="0"/>
          <w:marTop w:val="0"/>
          <w:marBottom w:val="0"/>
          <w:divBdr>
            <w:top w:val="none" w:sz="0" w:space="0" w:color="auto"/>
            <w:left w:val="none" w:sz="0" w:space="0" w:color="auto"/>
            <w:bottom w:val="none" w:sz="0" w:space="0" w:color="auto"/>
            <w:right w:val="none" w:sz="0" w:space="0" w:color="auto"/>
          </w:divBdr>
        </w:div>
        <w:div w:id="1750275826">
          <w:marLeft w:val="640"/>
          <w:marRight w:val="0"/>
          <w:marTop w:val="0"/>
          <w:marBottom w:val="0"/>
          <w:divBdr>
            <w:top w:val="none" w:sz="0" w:space="0" w:color="auto"/>
            <w:left w:val="none" w:sz="0" w:space="0" w:color="auto"/>
            <w:bottom w:val="none" w:sz="0" w:space="0" w:color="auto"/>
            <w:right w:val="none" w:sz="0" w:space="0" w:color="auto"/>
          </w:divBdr>
        </w:div>
        <w:div w:id="350882014">
          <w:marLeft w:val="640"/>
          <w:marRight w:val="0"/>
          <w:marTop w:val="0"/>
          <w:marBottom w:val="0"/>
          <w:divBdr>
            <w:top w:val="none" w:sz="0" w:space="0" w:color="auto"/>
            <w:left w:val="none" w:sz="0" w:space="0" w:color="auto"/>
            <w:bottom w:val="none" w:sz="0" w:space="0" w:color="auto"/>
            <w:right w:val="none" w:sz="0" w:space="0" w:color="auto"/>
          </w:divBdr>
        </w:div>
        <w:div w:id="1191411259">
          <w:marLeft w:val="640"/>
          <w:marRight w:val="0"/>
          <w:marTop w:val="0"/>
          <w:marBottom w:val="0"/>
          <w:divBdr>
            <w:top w:val="none" w:sz="0" w:space="0" w:color="auto"/>
            <w:left w:val="none" w:sz="0" w:space="0" w:color="auto"/>
            <w:bottom w:val="none" w:sz="0" w:space="0" w:color="auto"/>
            <w:right w:val="none" w:sz="0" w:space="0" w:color="auto"/>
          </w:divBdr>
        </w:div>
        <w:div w:id="1917323515">
          <w:marLeft w:val="640"/>
          <w:marRight w:val="0"/>
          <w:marTop w:val="0"/>
          <w:marBottom w:val="0"/>
          <w:divBdr>
            <w:top w:val="none" w:sz="0" w:space="0" w:color="auto"/>
            <w:left w:val="none" w:sz="0" w:space="0" w:color="auto"/>
            <w:bottom w:val="none" w:sz="0" w:space="0" w:color="auto"/>
            <w:right w:val="none" w:sz="0" w:space="0" w:color="auto"/>
          </w:divBdr>
        </w:div>
        <w:div w:id="193160317">
          <w:marLeft w:val="640"/>
          <w:marRight w:val="0"/>
          <w:marTop w:val="0"/>
          <w:marBottom w:val="0"/>
          <w:divBdr>
            <w:top w:val="none" w:sz="0" w:space="0" w:color="auto"/>
            <w:left w:val="none" w:sz="0" w:space="0" w:color="auto"/>
            <w:bottom w:val="none" w:sz="0" w:space="0" w:color="auto"/>
            <w:right w:val="none" w:sz="0" w:space="0" w:color="auto"/>
          </w:divBdr>
        </w:div>
        <w:div w:id="729767019">
          <w:marLeft w:val="640"/>
          <w:marRight w:val="0"/>
          <w:marTop w:val="0"/>
          <w:marBottom w:val="0"/>
          <w:divBdr>
            <w:top w:val="none" w:sz="0" w:space="0" w:color="auto"/>
            <w:left w:val="none" w:sz="0" w:space="0" w:color="auto"/>
            <w:bottom w:val="none" w:sz="0" w:space="0" w:color="auto"/>
            <w:right w:val="none" w:sz="0" w:space="0" w:color="auto"/>
          </w:divBdr>
        </w:div>
        <w:div w:id="695735422">
          <w:marLeft w:val="640"/>
          <w:marRight w:val="0"/>
          <w:marTop w:val="0"/>
          <w:marBottom w:val="0"/>
          <w:divBdr>
            <w:top w:val="none" w:sz="0" w:space="0" w:color="auto"/>
            <w:left w:val="none" w:sz="0" w:space="0" w:color="auto"/>
            <w:bottom w:val="none" w:sz="0" w:space="0" w:color="auto"/>
            <w:right w:val="none" w:sz="0" w:space="0" w:color="auto"/>
          </w:divBdr>
        </w:div>
        <w:div w:id="917980830">
          <w:marLeft w:val="640"/>
          <w:marRight w:val="0"/>
          <w:marTop w:val="0"/>
          <w:marBottom w:val="0"/>
          <w:divBdr>
            <w:top w:val="none" w:sz="0" w:space="0" w:color="auto"/>
            <w:left w:val="none" w:sz="0" w:space="0" w:color="auto"/>
            <w:bottom w:val="none" w:sz="0" w:space="0" w:color="auto"/>
            <w:right w:val="none" w:sz="0" w:space="0" w:color="auto"/>
          </w:divBdr>
        </w:div>
        <w:div w:id="1400834372">
          <w:marLeft w:val="640"/>
          <w:marRight w:val="0"/>
          <w:marTop w:val="0"/>
          <w:marBottom w:val="0"/>
          <w:divBdr>
            <w:top w:val="none" w:sz="0" w:space="0" w:color="auto"/>
            <w:left w:val="none" w:sz="0" w:space="0" w:color="auto"/>
            <w:bottom w:val="none" w:sz="0" w:space="0" w:color="auto"/>
            <w:right w:val="none" w:sz="0" w:space="0" w:color="auto"/>
          </w:divBdr>
        </w:div>
        <w:div w:id="732580329">
          <w:marLeft w:val="640"/>
          <w:marRight w:val="0"/>
          <w:marTop w:val="0"/>
          <w:marBottom w:val="0"/>
          <w:divBdr>
            <w:top w:val="none" w:sz="0" w:space="0" w:color="auto"/>
            <w:left w:val="none" w:sz="0" w:space="0" w:color="auto"/>
            <w:bottom w:val="none" w:sz="0" w:space="0" w:color="auto"/>
            <w:right w:val="none" w:sz="0" w:space="0" w:color="auto"/>
          </w:divBdr>
        </w:div>
        <w:div w:id="1414276008">
          <w:marLeft w:val="640"/>
          <w:marRight w:val="0"/>
          <w:marTop w:val="0"/>
          <w:marBottom w:val="0"/>
          <w:divBdr>
            <w:top w:val="none" w:sz="0" w:space="0" w:color="auto"/>
            <w:left w:val="none" w:sz="0" w:space="0" w:color="auto"/>
            <w:bottom w:val="none" w:sz="0" w:space="0" w:color="auto"/>
            <w:right w:val="none" w:sz="0" w:space="0" w:color="auto"/>
          </w:divBdr>
        </w:div>
        <w:div w:id="331379512">
          <w:marLeft w:val="640"/>
          <w:marRight w:val="0"/>
          <w:marTop w:val="0"/>
          <w:marBottom w:val="0"/>
          <w:divBdr>
            <w:top w:val="none" w:sz="0" w:space="0" w:color="auto"/>
            <w:left w:val="none" w:sz="0" w:space="0" w:color="auto"/>
            <w:bottom w:val="none" w:sz="0" w:space="0" w:color="auto"/>
            <w:right w:val="none" w:sz="0" w:space="0" w:color="auto"/>
          </w:divBdr>
        </w:div>
      </w:divsChild>
    </w:div>
    <w:div w:id="370035842">
      <w:bodyDiv w:val="1"/>
      <w:marLeft w:val="0"/>
      <w:marRight w:val="0"/>
      <w:marTop w:val="0"/>
      <w:marBottom w:val="0"/>
      <w:divBdr>
        <w:top w:val="none" w:sz="0" w:space="0" w:color="auto"/>
        <w:left w:val="none" w:sz="0" w:space="0" w:color="auto"/>
        <w:bottom w:val="none" w:sz="0" w:space="0" w:color="auto"/>
        <w:right w:val="none" w:sz="0" w:space="0" w:color="auto"/>
      </w:divBdr>
      <w:divsChild>
        <w:div w:id="1160996792">
          <w:marLeft w:val="640"/>
          <w:marRight w:val="0"/>
          <w:marTop w:val="0"/>
          <w:marBottom w:val="0"/>
          <w:divBdr>
            <w:top w:val="none" w:sz="0" w:space="0" w:color="auto"/>
            <w:left w:val="none" w:sz="0" w:space="0" w:color="auto"/>
            <w:bottom w:val="none" w:sz="0" w:space="0" w:color="auto"/>
            <w:right w:val="none" w:sz="0" w:space="0" w:color="auto"/>
          </w:divBdr>
        </w:div>
        <w:div w:id="1068923650">
          <w:marLeft w:val="640"/>
          <w:marRight w:val="0"/>
          <w:marTop w:val="0"/>
          <w:marBottom w:val="0"/>
          <w:divBdr>
            <w:top w:val="none" w:sz="0" w:space="0" w:color="auto"/>
            <w:left w:val="none" w:sz="0" w:space="0" w:color="auto"/>
            <w:bottom w:val="none" w:sz="0" w:space="0" w:color="auto"/>
            <w:right w:val="none" w:sz="0" w:space="0" w:color="auto"/>
          </w:divBdr>
        </w:div>
        <w:div w:id="911238955">
          <w:marLeft w:val="640"/>
          <w:marRight w:val="0"/>
          <w:marTop w:val="0"/>
          <w:marBottom w:val="0"/>
          <w:divBdr>
            <w:top w:val="none" w:sz="0" w:space="0" w:color="auto"/>
            <w:left w:val="none" w:sz="0" w:space="0" w:color="auto"/>
            <w:bottom w:val="none" w:sz="0" w:space="0" w:color="auto"/>
            <w:right w:val="none" w:sz="0" w:space="0" w:color="auto"/>
          </w:divBdr>
        </w:div>
        <w:div w:id="1162505923">
          <w:marLeft w:val="640"/>
          <w:marRight w:val="0"/>
          <w:marTop w:val="0"/>
          <w:marBottom w:val="0"/>
          <w:divBdr>
            <w:top w:val="none" w:sz="0" w:space="0" w:color="auto"/>
            <w:left w:val="none" w:sz="0" w:space="0" w:color="auto"/>
            <w:bottom w:val="none" w:sz="0" w:space="0" w:color="auto"/>
            <w:right w:val="none" w:sz="0" w:space="0" w:color="auto"/>
          </w:divBdr>
        </w:div>
        <w:div w:id="824469710">
          <w:marLeft w:val="640"/>
          <w:marRight w:val="0"/>
          <w:marTop w:val="0"/>
          <w:marBottom w:val="0"/>
          <w:divBdr>
            <w:top w:val="none" w:sz="0" w:space="0" w:color="auto"/>
            <w:left w:val="none" w:sz="0" w:space="0" w:color="auto"/>
            <w:bottom w:val="none" w:sz="0" w:space="0" w:color="auto"/>
            <w:right w:val="none" w:sz="0" w:space="0" w:color="auto"/>
          </w:divBdr>
        </w:div>
        <w:div w:id="601425315">
          <w:marLeft w:val="640"/>
          <w:marRight w:val="0"/>
          <w:marTop w:val="0"/>
          <w:marBottom w:val="0"/>
          <w:divBdr>
            <w:top w:val="none" w:sz="0" w:space="0" w:color="auto"/>
            <w:left w:val="none" w:sz="0" w:space="0" w:color="auto"/>
            <w:bottom w:val="none" w:sz="0" w:space="0" w:color="auto"/>
            <w:right w:val="none" w:sz="0" w:space="0" w:color="auto"/>
          </w:divBdr>
        </w:div>
        <w:div w:id="880048535">
          <w:marLeft w:val="640"/>
          <w:marRight w:val="0"/>
          <w:marTop w:val="0"/>
          <w:marBottom w:val="0"/>
          <w:divBdr>
            <w:top w:val="none" w:sz="0" w:space="0" w:color="auto"/>
            <w:left w:val="none" w:sz="0" w:space="0" w:color="auto"/>
            <w:bottom w:val="none" w:sz="0" w:space="0" w:color="auto"/>
            <w:right w:val="none" w:sz="0" w:space="0" w:color="auto"/>
          </w:divBdr>
        </w:div>
        <w:div w:id="2126071796">
          <w:marLeft w:val="640"/>
          <w:marRight w:val="0"/>
          <w:marTop w:val="0"/>
          <w:marBottom w:val="0"/>
          <w:divBdr>
            <w:top w:val="none" w:sz="0" w:space="0" w:color="auto"/>
            <w:left w:val="none" w:sz="0" w:space="0" w:color="auto"/>
            <w:bottom w:val="none" w:sz="0" w:space="0" w:color="auto"/>
            <w:right w:val="none" w:sz="0" w:space="0" w:color="auto"/>
          </w:divBdr>
        </w:div>
        <w:div w:id="1513257999">
          <w:marLeft w:val="640"/>
          <w:marRight w:val="0"/>
          <w:marTop w:val="0"/>
          <w:marBottom w:val="0"/>
          <w:divBdr>
            <w:top w:val="none" w:sz="0" w:space="0" w:color="auto"/>
            <w:left w:val="none" w:sz="0" w:space="0" w:color="auto"/>
            <w:bottom w:val="none" w:sz="0" w:space="0" w:color="auto"/>
            <w:right w:val="none" w:sz="0" w:space="0" w:color="auto"/>
          </w:divBdr>
        </w:div>
        <w:div w:id="2036227513">
          <w:marLeft w:val="640"/>
          <w:marRight w:val="0"/>
          <w:marTop w:val="0"/>
          <w:marBottom w:val="0"/>
          <w:divBdr>
            <w:top w:val="none" w:sz="0" w:space="0" w:color="auto"/>
            <w:left w:val="none" w:sz="0" w:space="0" w:color="auto"/>
            <w:bottom w:val="none" w:sz="0" w:space="0" w:color="auto"/>
            <w:right w:val="none" w:sz="0" w:space="0" w:color="auto"/>
          </w:divBdr>
        </w:div>
        <w:div w:id="826898032">
          <w:marLeft w:val="640"/>
          <w:marRight w:val="0"/>
          <w:marTop w:val="0"/>
          <w:marBottom w:val="0"/>
          <w:divBdr>
            <w:top w:val="none" w:sz="0" w:space="0" w:color="auto"/>
            <w:left w:val="none" w:sz="0" w:space="0" w:color="auto"/>
            <w:bottom w:val="none" w:sz="0" w:space="0" w:color="auto"/>
            <w:right w:val="none" w:sz="0" w:space="0" w:color="auto"/>
          </w:divBdr>
        </w:div>
        <w:div w:id="722489443">
          <w:marLeft w:val="640"/>
          <w:marRight w:val="0"/>
          <w:marTop w:val="0"/>
          <w:marBottom w:val="0"/>
          <w:divBdr>
            <w:top w:val="none" w:sz="0" w:space="0" w:color="auto"/>
            <w:left w:val="none" w:sz="0" w:space="0" w:color="auto"/>
            <w:bottom w:val="none" w:sz="0" w:space="0" w:color="auto"/>
            <w:right w:val="none" w:sz="0" w:space="0" w:color="auto"/>
          </w:divBdr>
        </w:div>
        <w:div w:id="1211575288">
          <w:marLeft w:val="640"/>
          <w:marRight w:val="0"/>
          <w:marTop w:val="0"/>
          <w:marBottom w:val="0"/>
          <w:divBdr>
            <w:top w:val="none" w:sz="0" w:space="0" w:color="auto"/>
            <w:left w:val="none" w:sz="0" w:space="0" w:color="auto"/>
            <w:bottom w:val="none" w:sz="0" w:space="0" w:color="auto"/>
            <w:right w:val="none" w:sz="0" w:space="0" w:color="auto"/>
          </w:divBdr>
        </w:div>
        <w:div w:id="132992189">
          <w:marLeft w:val="640"/>
          <w:marRight w:val="0"/>
          <w:marTop w:val="0"/>
          <w:marBottom w:val="0"/>
          <w:divBdr>
            <w:top w:val="none" w:sz="0" w:space="0" w:color="auto"/>
            <w:left w:val="none" w:sz="0" w:space="0" w:color="auto"/>
            <w:bottom w:val="none" w:sz="0" w:space="0" w:color="auto"/>
            <w:right w:val="none" w:sz="0" w:space="0" w:color="auto"/>
          </w:divBdr>
        </w:div>
        <w:div w:id="1703743800">
          <w:marLeft w:val="640"/>
          <w:marRight w:val="0"/>
          <w:marTop w:val="0"/>
          <w:marBottom w:val="0"/>
          <w:divBdr>
            <w:top w:val="none" w:sz="0" w:space="0" w:color="auto"/>
            <w:left w:val="none" w:sz="0" w:space="0" w:color="auto"/>
            <w:bottom w:val="none" w:sz="0" w:space="0" w:color="auto"/>
            <w:right w:val="none" w:sz="0" w:space="0" w:color="auto"/>
          </w:divBdr>
        </w:div>
        <w:div w:id="1538155572">
          <w:marLeft w:val="640"/>
          <w:marRight w:val="0"/>
          <w:marTop w:val="0"/>
          <w:marBottom w:val="0"/>
          <w:divBdr>
            <w:top w:val="none" w:sz="0" w:space="0" w:color="auto"/>
            <w:left w:val="none" w:sz="0" w:space="0" w:color="auto"/>
            <w:bottom w:val="none" w:sz="0" w:space="0" w:color="auto"/>
            <w:right w:val="none" w:sz="0" w:space="0" w:color="auto"/>
          </w:divBdr>
        </w:div>
        <w:div w:id="1687555329">
          <w:marLeft w:val="640"/>
          <w:marRight w:val="0"/>
          <w:marTop w:val="0"/>
          <w:marBottom w:val="0"/>
          <w:divBdr>
            <w:top w:val="none" w:sz="0" w:space="0" w:color="auto"/>
            <w:left w:val="none" w:sz="0" w:space="0" w:color="auto"/>
            <w:bottom w:val="none" w:sz="0" w:space="0" w:color="auto"/>
            <w:right w:val="none" w:sz="0" w:space="0" w:color="auto"/>
          </w:divBdr>
        </w:div>
        <w:div w:id="567107069">
          <w:marLeft w:val="640"/>
          <w:marRight w:val="0"/>
          <w:marTop w:val="0"/>
          <w:marBottom w:val="0"/>
          <w:divBdr>
            <w:top w:val="none" w:sz="0" w:space="0" w:color="auto"/>
            <w:left w:val="none" w:sz="0" w:space="0" w:color="auto"/>
            <w:bottom w:val="none" w:sz="0" w:space="0" w:color="auto"/>
            <w:right w:val="none" w:sz="0" w:space="0" w:color="auto"/>
          </w:divBdr>
        </w:div>
        <w:div w:id="509830437">
          <w:marLeft w:val="640"/>
          <w:marRight w:val="0"/>
          <w:marTop w:val="0"/>
          <w:marBottom w:val="0"/>
          <w:divBdr>
            <w:top w:val="none" w:sz="0" w:space="0" w:color="auto"/>
            <w:left w:val="none" w:sz="0" w:space="0" w:color="auto"/>
            <w:bottom w:val="none" w:sz="0" w:space="0" w:color="auto"/>
            <w:right w:val="none" w:sz="0" w:space="0" w:color="auto"/>
          </w:divBdr>
        </w:div>
        <w:div w:id="806698838">
          <w:marLeft w:val="640"/>
          <w:marRight w:val="0"/>
          <w:marTop w:val="0"/>
          <w:marBottom w:val="0"/>
          <w:divBdr>
            <w:top w:val="none" w:sz="0" w:space="0" w:color="auto"/>
            <w:left w:val="none" w:sz="0" w:space="0" w:color="auto"/>
            <w:bottom w:val="none" w:sz="0" w:space="0" w:color="auto"/>
            <w:right w:val="none" w:sz="0" w:space="0" w:color="auto"/>
          </w:divBdr>
        </w:div>
        <w:div w:id="1680812748">
          <w:marLeft w:val="640"/>
          <w:marRight w:val="0"/>
          <w:marTop w:val="0"/>
          <w:marBottom w:val="0"/>
          <w:divBdr>
            <w:top w:val="none" w:sz="0" w:space="0" w:color="auto"/>
            <w:left w:val="none" w:sz="0" w:space="0" w:color="auto"/>
            <w:bottom w:val="none" w:sz="0" w:space="0" w:color="auto"/>
            <w:right w:val="none" w:sz="0" w:space="0" w:color="auto"/>
          </w:divBdr>
        </w:div>
        <w:div w:id="272712909">
          <w:marLeft w:val="640"/>
          <w:marRight w:val="0"/>
          <w:marTop w:val="0"/>
          <w:marBottom w:val="0"/>
          <w:divBdr>
            <w:top w:val="none" w:sz="0" w:space="0" w:color="auto"/>
            <w:left w:val="none" w:sz="0" w:space="0" w:color="auto"/>
            <w:bottom w:val="none" w:sz="0" w:space="0" w:color="auto"/>
            <w:right w:val="none" w:sz="0" w:space="0" w:color="auto"/>
          </w:divBdr>
        </w:div>
        <w:div w:id="1568490814">
          <w:marLeft w:val="640"/>
          <w:marRight w:val="0"/>
          <w:marTop w:val="0"/>
          <w:marBottom w:val="0"/>
          <w:divBdr>
            <w:top w:val="none" w:sz="0" w:space="0" w:color="auto"/>
            <w:left w:val="none" w:sz="0" w:space="0" w:color="auto"/>
            <w:bottom w:val="none" w:sz="0" w:space="0" w:color="auto"/>
            <w:right w:val="none" w:sz="0" w:space="0" w:color="auto"/>
          </w:divBdr>
        </w:div>
        <w:div w:id="417603606">
          <w:marLeft w:val="640"/>
          <w:marRight w:val="0"/>
          <w:marTop w:val="0"/>
          <w:marBottom w:val="0"/>
          <w:divBdr>
            <w:top w:val="none" w:sz="0" w:space="0" w:color="auto"/>
            <w:left w:val="none" w:sz="0" w:space="0" w:color="auto"/>
            <w:bottom w:val="none" w:sz="0" w:space="0" w:color="auto"/>
            <w:right w:val="none" w:sz="0" w:space="0" w:color="auto"/>
          </w:divBdr>
        </w:div>
        <w:div w:id="1664626823">
          <w:marLeft w:val="640"/>
          <w:marRight w:val="0"/>
          <w:marTop w:val="0"/>
          <w:marBottom w:val="0"/>
          <w:divBdr>
            <w:top w:val="none" w:sz="0" w:space="0" w:color="auto"/>
            <w:left w:val="none" w:sz="0" w:space="0" w:color="auto"/>
            <w:bottom w:val="none" w:sz="0" w:space="0" w:color="auto"/>
            <w:right w:val="none" w:sz="0" w:space="0" w:color="auto"/>
          </w:divBdr>
        </w:div>
        <w:div w:id="2066447738">
          <w:marLeft w:val="640"/>
          <w:marRight w:val="0"/>
          <w:marTop w:val="0"/>
          <w:marBottom w:val="0"/>
          <w:divBdr>
            <w:top w:val="none" w:sz="0" w:space="0" w:color="auto"/>
            <w:left w:val="none" w:sz="0" w:space="0" w:color="auto"/>
            <w:bottom w:val="none" w:sz="0" w:space="0" w:color="auto"/>
            <w:right w:val="none" w:sz="0" w:space="0" w:color="auto"/>
          </w:divBdr>
        </w:div>
        <w:div w:id="2071076977">
          <w:marLeft w:val="640"/>
          <w:marRight w:val="0"/>
          <w:marTop w:val="0"/>
          <w:marBottom w:val="0"/>
          <w:divBdr>
            <w:top w:val="none" w:sz="0" w:space="0" w:color="auto"/>
            <w:left w:val="none" w:sz="0" w:space="0" w:color="auto"/>
            <w:bottom w:val="none" w:sz="0" w:space="0" w:color="auto"/>
            <w:right w:val="none" w:sz="0" w:space="0" w:color="auto"/>
          </w:divBdr>
        </w:div>
        <w:div w:id="1178694378">
          <w:marLeft w:val="640"/>
          <w:marRight w:val="0"/>
          <w:marTop w:val="0"/>
          <w:marBottom w:val="0"/>
          <w:divBdr>
            <w:top w:val="none" w:sz="0" w:space="0" w:color="auto"/>
            <w:left w:val="none" w:sz="0" w:space="0" w:color="auto"/>
            <w:bottom w:val="none" w:sz="0" w:space="0" w:color="auto"/>
            <w:right w:val="none" w:sz="0" w:space="0" w:color="auto"/>
          </w:divBdr>
        </w:div>
        <w:div w:id="12386411">
          <w:marLeft w:val="640"/>
          <w:marRight w:val="0"/>
          <w:marTop w:val="0"/>
          <w:marBottom w:val="0"/>
          <w:divBdr>
            <w:top w:val="none" w:sz="0" w:space="0" w:color="auto"/>
            <w:left w:val="none" w:sz="0" w:space="0" w:color="auto"/>
            <w:bottom w:val="none" w:sz="0" w:space="0" w:color="auto"/>
            <w:right w:val="none" w:sz="0" w:space="0" w:color="auto"/>
          </w:divBdr>
        </w:div>
        <w:div w:id="755512927">
          <w:marLeft w:val="640"/>
          <w:marRight w:val="0"/>
          <w:marTop w:val="0"/>
          <w:marBottom w:val="0"/>
          <w:divBdr>
            <w:top w:val="none" w:sz="0" w:space="0" w:color="auto"/>
            <w:left w:val="none" w:sz="0" w:space="0" w:color="auto"/>
            <w:bottom w:val="none" w:sz="0" w:space="0" w:color="auto"/>
            <w:right w:val="none" w:sz="0" w:space="0" w:color="auto"/>
          </w:divBdr>
        </w:div>
        <w:div w:id="195506274">
          <w:marLeft w:val="640"/>
          <w:marRight w:val="0"/>
          <w:marTop w:val="0"/>
          <w:marBottom w:val="0"/>
          <w:divBdr>
            <w:top w:val="none" w:sz="0" w:space="0" w:color="auto"/>
            <w:left w:val="none" w:sz="0" w:space="0" w:color="auto"/>
            <w:bottom w:val="none" w:sz="0" w:space="0" w:color="auto"/>
            <w:right w:val="none" w:sz="0" w:space="0" w:color="auto"/>
          </w:divBdr>
        </w:div>
        <w:div w:id="1908605910">
          <w:marLeft w:val="640"/>
          <w:marRight w:val="0"/>
          <w:marTop w:val="0"/>
          <w:marBottom w:val="0"/>
          <w:divBdr>
            <w:top w:val="none" w:sz="0" w:space="0" w:color="auto"/>
            <w:left w:val="none" w:sz="0" w:space="0" w:color="auto"/>
            <w:bottom w:val="none" w:sz="0" w:space="0" w:color="auto"/>
            <w:right w:val="none" w:sz="0" w:space="0" w:color="auto"/>
          </w:divBdr>
        </w:div>
        <w:div w:id="975720741">
          <w:marLeft w:val="640"/>
          <w:marRight w:val="0"/>
          <w:marTop w:val="0"/>
          <w:marBottom w:val="0"/>
          <w:divBdr>
            <w:top w:val="none" w:sz="0" w:space="0" w:color="auto"/>
            <w:left w:val="none" w:sz="0" w:space="0" w:color="auto"/>
            <w:bottom w:val="none" w:sz="0" w:space="0" w:color="auto"/>
            <w:right w:val="none" w:sz="0" w:space="0" w:color="auto"/>
          </w:divBdr>
        </w:div>
        <w:div w:id="724792496">
          <w:marLeft w:val="640"/>
          <w:marRight w:val="0"/>
          <w:marTop w:val="0"/>
          <w:marBottom w:val="0"/>
          <w:divBdr>
            <w:top w:val="none" w:sz="0" w:space="0" w:color="auto"/>
            <w:left w:val="none" w:sz="0" w:space="0" w:color="auto"/>
            <w:bottom w:val="none" w:sz="0" w:space="0" w:color="auto"/>
            <w:right w:val="none" w:sz="0" w:space="0" w:color="auto"/>
          </w:divBdr>
        </w:div>
        <w:div w:id="799961933">
          <w:marLeft w:val="640"/>
          <w:marRight w:val="0"/>
          <w:marTop w:val="0"/>
          <w:marBottom w:val="0"/>
          <w:divBdr>
            <w:top w:val="none" w:sz="0" w:space="0" w:color="auto"/>
            <w:left w:val="none" w:sz="0" w:space="0" w:color="auto"/>
            <w:bottom w:val="none" w:sz="0" w:space="0" w:color="auto"/>
            <w:right w:val="none" w:sz="0" w:space="0" w:color="auto"/>
          </w:divBdr>
        </w:div>
        <w:div w:id="1817646163">
          <w:marLeft w:val="640"/>
          <w:marRight w:val="0"/>
          <w:marTop w:val="0"/>
          <w:marBottom w:val="0"/>
          <w:divBdr>
            <w:top w:val="none" w:sz="0" w:space="0" w:color="auto"/>
            <w:left w:val="none" w:sz="0" w:space="0" w:color="auto"/>
            <w:bottom w:val="none" w:sz="0" w:space="0" w:color="auto"/>
            <w:right w:val="none" w:sz="0" w:space="0" w:color="auto"/>
          </w:divBdr>
        </w:div>
        <w:div w:id="1619218858">
          <w:marLeft w:val="640"/>
          <w:marRight w:val="0"/>
          <w:marTop w:val="0"/>
          <w:marBottom w:val="0"/>
          <w:divBdr>
            <w:top w:val="none" w:sz="0" w:space="0" w:color="auto"/>
            <w:left w:val="none" w:sz="0" w:space="0" w:color="auto"/>
            <w:bottom w:val="none" w:sz="0" w:space="0" w:color="auto"/>
            <w:right w:val="none" w:sz="0" w:space="0" w:color="auto"/>
          </w:divBdr>
        </w:div>
        <w:div w:id="447238236">
          <w:marLeft w:val="640"/>
          <w:marRight w:val="0"/>
          <w:marTop w:val="0"/>
          <w:marBottom w:val="0"/>
          <w:divBdr>
            <w:top w:val="none" w:sz="0" w:space="0" w:color="auto"/>
            <w:left w:val="none" w:sz="0" w:space="0" w:color="auto"/>
            <w:bottom w:val="none" w:sz="0" w:space="0" w:color="auto"/>
            <w:right w:val="none" w:sz="0" w:space="0" w:color="auto"/>
          </w:divBdr>
        </w:div>
        <w:div w:id="750274852">
          <w:marLeft w:val="640"/>
          <w:marRight w:val="0"/>
          <w:marTop w:val="0"/>
          <w:marBottom w:val="0"/>
          <w:divBdr>
            <w:top w:val="none" w:sz="0" w:space="0" w:color="auto"/>
            <w:left w:val="none" w:sz="0" w:space="0" w:color="auto"/>
            <w:bottom w:val="none" w:sz="0" w:space="0" w:color="auto"/>
            <w:right w:val="none" w:sz="0" w:space="0" w:color="auto"/>
          </w:divBdr>
        </w:div>
        <w:div w:id="347098907">
          <w:marLeft w:val="640"/>
          <w:marRight w:val="0"/>
          <w:marTop w:val="0"/>
          <w:marBottom w:val="0"/>
          <w:divBdr>
            <w:top w:val="none" w:sz="0" w:space="0" w:color="auto"/>
            <w:left w:val="none" w:sz="0" w:space="0" w:color="auto"/>
            <w:bottom w:val="none" w:sz="0" w:space="0" w:color="auto"/>
            <w:right w:val="none" w:sz="0" w:space="0" w:color="auto"/>
          </w:divBdr>
        </w:div>
        <w:div w:id="1706322370">
          <w:marLeft w:val="640"/>
          <w:marRight w:val="0"/>
          <w:marTop w:val="0"/>
          <w:marBottom w:val="0"/>
          <w:divBdr>
            <w:top w:val="none" w:sz="0" w:space="0" w:color="auto"/>
            <w:left w:val="none" w:sz="0" w:space="0" w:color="auto"/>
            <w:bottom w:val="none" w:sz="0" w:space="0" w:color="auto"/>
            <w:right w:val="none" w:sz="0" w:space="0" w:color="auto"/>
          </w:divBdr>
        </w:div>
        <w:div w:id="276569927">
          <w:marLeft w:val="640"/>
          <w:marRight w:val="0"/>
          <w:marTop w:val="0"/>
          <w:marBottom w:val="0"/>
          <w:divBdr>
            <w:top w:val="none" w:sz="0" w:space="0" w:color="auto"/>
            <w:left w:val="none" w:sz="0" w:space="0" w:color="auto"/>
            <w:bottom w:val="none" w:sz="0" w:space="0" w:color="auto"/>
            <w:right w:val="none" w:sz="0" w:space="0" w:color="auto"/>
          </w:divBdr>
        </w:div>
        <w:div w:id="188110330">
          <w:marLeft w:val="640"/>
          <w:marRight w:val="0"/>
          <w:marTop w:val="0"/>
          <w:marBottom w:val="0"/>
          <w:divBdr>
            <w:top w:val="none" w:sz="0" w:space="0" w:color="auto"/>
            <w:left w:val="none" w:sz="0" w:space="0" w:color="auto"/>
            <w:bottom w:val="none" w:sz="0" w:space="0" w:color="auto"/>
            <w:right w:val="none" w:sz="0" w:space="0" w:color="auto"/>
          </w:divBdr>
        </w:div>
        <w:div w:id="1849562154">
          <w:marLeft w:val="640"/>
          <w:marRight w:val="0"/>
          <w:marTop w:val="0"/>
          <w:marBottom w:val="0"/>
          <w:divBdr>
            <w:top w:val="none" w:sz="0" w:space="0" w:color="auto"/>
            <w:left w:val="none" w:sz="0" w:space="0" w:color="auto"/>
            <w:bottom w:val="none" w:sz="0" w:space="0" w:color="auto"/>
            <w:right w:val="none" w:sz="0" w:space="0" w:color="auto"/>
          </w:divBdr>
        </w:div>
        <w:div w:id="1257179601">
          <w:marLeft w:val="640"/>
          <w:marRight w:val="0"/>
          <w:marTop w:val="0"/>
          <w:marBottom w:val="0"/>
          <w:divBdr>
            <w:top w:val="none" w:sz="0" w:space="0" w:color="auto"/>
            <w:left w:val="none" w:sz="0" w:space="0" w:color="auto"/>
            <w:bottom w:val="none" w:sz="0" w:space="0" w:color="auto"/>
            <w:right w:val="none" w:sz="0" w:space="0" w:color="auto"/>
          </w:divBdr>
        </w:div>
        <w:div w:id="1781295339">
          <w:marLeft w:val="640"/>
          <w:marRight w:val="0"/>
          <w:marTop w:val="0"/>
          <w:marBottom w:val="0"/>
          <w:divBdr>
            <w:top w:val="none" w:sz="0" w:space="0" w:color="auto"/>
            <w:left w:val="none" w:sz="0" w:space="0" w:color="auto"/>
            <w:bottom w:val="none" w:sz="0" w:space="0" w:color="auto"/>
            <w:right w:val="none" w:sz="0" w:space="0" w:color="auto"/>
          </w:divBdr>
        </w:div>
        <w:div w:id="1992557929">
          <w:marLeft w:val="640"/>
          <w:marRight w:val="0"/>
          <w:marTop w:val="0"/>
          <w:marBottom w:val="0"/>
          <w:divBdr>
            <w:top w:val="none" w:sz="0" w:space="0" w:color="auto"/>
            <w:left w:val="none" w:sz="0" w:space="0" w:color="auto"/>
            <w:bottom w:val="none" w:sz="0" w:space="0" w:color="auto"/>
            <w:right w:val="none" w:sz="0" w:space="0" w:color="auto"/>
          </w:divBdr>
        </w:div>
        <w:div w:id="415248712">
          <w:marLeft w:val="640"/>
          <w:marRight w:val="0"/>
          <w:marTop w:val="0"/>
          <w:marBottom w:val="0"/>
          <w:divBdr>
            <w:top w:val="none" w:sz="0" w:space="0" w:color="auto"/>
            <w:left w:val="none" w:sz="0" w:space="0" w:color="auto"/>
            <w:bottom w:val="none" w:sz="0" w:space="0" w:color="auto"/>
            <w:right w:val="none" w:sz="0" w:space="0" w:color="auto"/>
          </w:divBdr>
        </w:div>
        <w:div w:id="673799637">
          <w:marLeft w:val="640"/>
          <w:marRight w:val="0"/>
          <w:marTop w:val="0"/>
          <w:marBottom w:val="0"/>
          <w:divBdr>
            <w:top w:val="none" w:sz="0" w:space="0" w:color="auto"/>
            <w:left w:val="none" w:sz="0" w:space="0" w:color="auto"/>
            <w:bottom w:val="none" w:sz="0" w:space="0" w:color="auto"/>
            <w:right w:val="none" w:sz="0" w:space="0" w:color="auto"/>
          </w:divBdr>
        </w:div>
        <w:div w:id="1986008057">
          <w:marLeft w:val="640"/>
          <w:marRight w:val="0"/>
          <w:marTop w:val="0"/>
          <w:marBottom w:val="0"/>
          <w:divBdr>
            <w:top w:val="none" w:sz="0" w:space="0" w:color="auto"/>
            <w:left w:val="none" w:sz="0" w:space="0" w:color="auto"/>
            <w:bottom w:val="none" w:sz="0" w:space="0" w:color="auto"/>
            <w:right w:val="none" w:sz="0" w:space="0" w:color="auto"/>
          </w:divBdr>
        </w:div>
        <w:div w:id="505676589">
          <w:marLeft w:val="640"/>
          <w:marRight w:val="0"/>
          <w:marTop w:val="0"/>
          <w:marBottom w:val="0"/>
          <w:divBdr>
            <w:top w:val="none" w:sz="0" w:space="0" w:color="auto"/>
            <w:left w:val="none" w:sz="0" w:space="0" w:color="auto"/>
            <w:bottom w:val="none" w:sz="0" w:space="0" w:color="auto"/>
            <w:right w:val="none" w:sz="0" w:space="0" w:color="auto"/>
          </w:divBdr>
        </w:div>
        <w:div w:id="1360931695">
          <w:marLeft w:val="640"/>
          <w:marRight w:val="0"/>
          <w:marTop w:val="0"/>
          <w:marBottom w:val="0"/>
          <w:divBdr>
            <w:top w:val="none" w:sz="0" w:space="0" w:color="auto"/>
            <w:left w:val="none" w:sz="0" w:space="0" w:color="auto"/>
            <w:bottom w:val="none" w:sz="0" w:space="0" w:color="auto"/>
            <w:right w:val="none" w:sz="0" w:space="0" w:color="auto"/>
          </w:divBdr>
        </w:div>
        <w:div w:id="1135564743">
          <w:marLeft w:val="640"/>
          <w:marRight w:val="0"/>
          <w:marTop w:val="0"/>
          <w:marBottom w:val="0"/>
          <w:divBdr>
            <w:top w:val="none" w:sz="0" w:space="0" w:color="auto"/>
            <w:left w:val="none" w:sz="0" w:space="0" w:color="auto"/>
            <w:bottom w:val="none" w:sz="0" w:space="0" w:color="auto"/>
            <w:right w:val="none" w:sz="0" w:space="0" w:color="auto"/>
          </w:divBdr>
        </w:div>
        <w:div w:id="68814310">
          <w:marLeft w:val="640"/>
          <w:marRight w:val="0"/>
          <w:marTop w:val="0"/>
          <w:marBottom w:val="0"/>
          <w:divBdr>
            <w:top w:val="none" w:sz="0" w:space="0" w:color="auto"/>
            <w:left w:val="none" w:sz="0" w:space="0" w:color="auto"/>
            <w:bottom w:val="none" w:sz="0" w:space="0" w:color="auto"/>
            <w:right w:val="none" w:sz="0" w:space="0" w:color="auto"/>
          </w:divBdr>
        </w:div>
        <w:div w:id="1473207901">
          <w:marLeft w:val="640"/>
          <w:marRight w:val="0"/>
          <w:marTop w:val="0"/>
          <w:marBottom w:val="0"/>
          <w:divBdr>
            <w:top w:val="none" w:sz="0" w:space="0" w:color="auto"/>
            <w:left w:val="none" w:sz="0" w:space="0" w:color="auto"/>
            <w:bottom w:val="none" w:sz="0" w:space="0" w:color="auto"/>
            <w:right w:val="none" w:sz="0" w:space="0" w:color="auto"/>
          </w:divBdr>
        </w:div>
        <w:div w:id="1342778552">
          <w:marLeft w:val="640"/>
          <w:marRight w:val="0"/>
          <w:marTop w:val="0"/>
          <w:marBottom w:val="0"/>
          <w:divBdr>
            <w:top w:val="none" w:sz="0" w:space="0" w:color="auto"/>
            <w:left w:val="none" w:sz="0" w:space="0" w:color="auto"/>
            <w:bottom w:val="none" w:sz="0" w:space="0" w:color="auto"/>
            <w:right w:val="none" w:sz="0" w:space="0" w:color="auto"/>
          </w:divBdr>
        </w:div>
        <w:div w:id="1784349359">
          <w:marLeft w:val="640"/>
          <w:marRight w:val="0"/>
          <w:marTop w:val="0"/>
          <w:marBottom w:val="0"/>
          <w:divBdr>
            <w:top w:val="none" w:sz="0" w:space="0" w:color="auto"/>
            <w:left w:val="none" w:sz="0" w:space="0" w:color="auto"/>
            <w:bottom w:val="none" w:sz="0" w:space="0" w:color="auto"/>
            <w:right w:val="none" w:sz="0" w:space="0" w:color="auto"/>
          </w:divBdr>
        </w:div>
        <w:div w:id="1512523797">
          <w:marLeft w:val="640"/>
          <w:marRight w:val="0"/>
          <w:marTop w:val="0"/>
          <w:marBottom w:val="0"/>
          <w:divBdr>
            <w:top w:val="none" w:sz="0" w:space="0" w:color="auto"/>
            <w:left w:val="none" w:sz="0" w:space="0" w:color="auto"/>
            <w:bottom w:val="none" w:sz="0" w:space="0" w:color="auto"/>
            <w:right w:val="none" w:sz="0" w:space="0" w:color="auto"/>
          </w:divBdr>
        </w:div>
        <w:div w:id="2094232683">
          <w:marLeft w:val="640"/>
          <w:marRight w:val="0"/>
          <w:marTop w:val="0"/>
          <w:marBottom w:val="0"/>
          <w:divBdr>
            <w:top w:val="none" w:sz="0" w:space="0" w:color="auto"/>
            <w:left w:val="none" w:sz="0" w:space="0" w:color="auto"/>
            <w:bottom w:val="none" w:sz="0" w:space="0" w:color="auto"/>
            <w:right w:val="none" w:sz="0" w:space="0" w:color="auto"/>
          </w:divBdr>
        </w:div>
        <w:div w:id="722216827">
          <w:marLeft w:val="640"/>
          <w:marRight w:val="0"/>
          <w:marTop w:val="0"/>
          <w:marBottom w:val="0"/>
          <w:divBdr>
            <w:top w:val="none" w:sz="0" w:space="0" w:color="auto"/>
            <w:left w:val="none" w:sz="0" w:space="0" w:color="auto"/>
            <w:bottom w:val="none" w:sz="0" w:space="0" w:color="auto"/>
            <w:right w:val="none" w:sz="0" w:space="0" w:color="auto"/>
          </w:divBdr>
        </w:div>
        <w:div w:id="1465388370">
          <w:marLeft w:val="640"/>
          <w:marRight w:val="0"/>
          <w:marTop w:val="0"/>
          <w:marBottom w:val="0"/>
          <w:divBdr>
            <w:top w:val="none" w:sz="0" w:space="0" w:color="auto"/>
            <w:left w:val="none" w:sz="0" w:space="0" w:color="auto"/>
            <w:bottom w:val="none" w:sz="0" w:space="0" w:color="auto"/>
            <w:right w:val="none" w:sz="0" w:space="0" w:color="auto"/>
          </w:divBdr>
        </w:div>
        <w:div w:id="2027946865">
          <w:marLeft w:val="640"/>
          <w:marRight w:val="0"/>
          <w:marTop w:val="0"/>
          <w:marBottom w:val="0"/>
          <w:divBdr>
            <w:top w:val="none" w:sz="0" w:space="0" w:color="auto"/>
            <w:left w:val="none" w:sz="0" w:space="0" w:color="auto"/>
            <w:bottom w:val="none" w:sz="0" w:space="0" w:color="auto"/>
            <w:right w:val="none" w:sz="0" w:space="0" w:color="auto"/>
          </w:divBdr>
        </w:div>
        <w:div w:id="545944642">
          <w:marLeft w:val="640"/>
          <w:marRight w:val="0"/>
          <w:marTop w:val="0"/>
          <w:marBottom w:val="0"/>
          <w:divBdr>
            <w:top w:val="none" w:sz="0" w:space="0" w:color="auto"/>
            <w:left w:val="none" w:sz="0" w:space="0" w:color="auto"/>
            <w:bottom w:val="none" w:sz="0" w:space="0" w:color="auto"/>
            <w:right w:val="none" w:sz="0" w:space="0" w:color="auto"/>
          </w:divBdr>
        </w:div>
        <w:div w:id="731462516">
          <w:marLeft w:val="640"/>
          <w:marRight w:val="0"/>
          <w:marTop w:val="0"/>
          <w:marBottom w:val="0"/>
          <w:divBdr>
            <w:top w:val="none" w:sz="0" w:space="0" w:color="auto"/>
            <w:left w:val="none" w:sz="0" w:space="0" w:color="auto"/>
            <w:bottom w:val="none" w:sz="0" w:space="0" w:color="auto"/>
            <w:right w:val="none" w:sz="0" w:space="0" w:color="auto"/>
          </w:divBdr>
        </w:div>
        <w:div w:id="2130587654">
          <w:marLeft w:val="640"/>
          <w:marRight w:val="0"/>
          <w:marTop w:val="0"/>
          <w:marBottom w:val="0"/>
          <w:divBdr>
            <w:top w:val="none" w:sz="0" w:space="0" w:color="auto"/>
            <w:left w:val="none" w:sz="0" w:space="0" w:color="auto"/>
            <w:bottom w:val="none" w:sz="0" w:space="0" w:color="auto"/>
            <w:right w:val="none" w:sz="0" w:space="0" w:color="auto"/>
          </w:divBdr>
        </w:div>
        <w:div w:id="341055362">
          <w:marLeft w:val="640"/>
          <w:marRight w:val="0"/>
          <w:marTop w:val="0"/>
          <w:marBottom w:val="0"/>
          <w:divBdr>
            <w:top w:val="none" w:sz="0" w:space="0" w:color="auto"/>
            <w:left w:val="none" w:sz="0" w:space="0" w:color="auto"/>
            <w:bottom w:val="none" w:sz="0" w:space="0" w:color="auto"/>
            <w:right w:val="none" w:sz="0" w:space="0" w:color="auto"/>
          </w:divBdr>
        </w:div>
        <w:div w:id="857351052">
          <w:marLeft w:val="640"/>
          <w:marRight w:val="0"/>
          <w:marTop w:val="0"/>
          <w:marBottom w:val="0"/>
          <w:divBdr>
            <w:top w:val="none" w:sz="0" w:space="0" w:color="auto"/>
            <w:left w:val="none" w:sz="0" w:space="0" w:color="auto"/>
            <w:bottom w:val="none" w:sz="0" w:space="0" w:color="auto"/>
            <w:right w:val="none" w:sz="0" w:space="0" w:color="auto"/>
          </w:divBdr>
        </w:div>
        <w:div w:id="1291593270">
          <w:marLeft w:val="640"/>
          <w:marRight w:val="0"/>
          <w:marTop w:val="0"/>
          <w:marBottom w:val="0"/>
          <w:divBdr>
            <w:top w:val="none" w:sz="0" w:space="0" w:color="auto"/>
            <w:left w:val="none" w:sz="0" w:space="0" w:color="auto"/>
            <w:bottom w:val="none" w:sz="0" w:space="0" w:color="auto"/>
            <w:right w:val="none" w:sz="0" w:space="0" w:color="auto"/>
          </w:divBdr>
        </w:div>
        <w:div w:id="443964940">
          <w:marLeft w:val="640"/>
          <w:marRight w:val="0"/>
          <w:marTop w:val="0"/>
          <w:marBottom w:val="0"/>
          <w:divBdr>
            <w:top w:val="none" w:sz="0" w:space="0" w:color="auto"/>
            <w:left w:val="none" w:sz="0" w:space="0" w:color="auto"/>
            <w:bottom w:val="none" w:sz="0" w:space="0" w:color="auto"/>
            <w:right w:val="none" w:sz="0" w:space="0" w:color="auto"/>
          </w:divBdr>
        </w:div>
        <w:div w:id="1613436462">
          <w:marLeft w:val="640"/>
          <w:marRight w:val="0"/>
          <w:marTop w:val="0"/>
          <w:marBottom w:val="0"/>
          <w:divBdr>
            <w:top w:val="none" w:sz="0" w:space="0" w:color="auto"/>
            <w:left w:val="none" w:sz="0" w:space="0" w:color="auto"/>
            <w:bottom w:val="none" w:sz="0" w:space="0" w:color="auto"/>
            <w:right w:val="none" w:sz="0" w:space="0" w:color="auto"/>
          </w:divBdr>
        </w:div>
        <w:div w:id="1391001834">
          <w:marLeft w:val="640"/>
          <w:marRight w:val="0"/>
          <w:marTop w:val="0"/>
          <w:marBottom w:val="0"/>
          <w:divBdr>
            <w:top w:val="none" w:sz="0" w:space="0" w:color="auto"/>
            <w:left w:val="none" w:sz="0" w:space="0" w:color="auto"/>
            <w:bottom w:val="none" w:sz="0" w:space="0" w:color="auto"/>
            <w:right w:val="none" w:sz="0" w:space="0" w:color="auto"/>
          </w:divBdr>
        </w:div>
        <w:div w:id="2100133731">
          <w:marLeft w:val="640"/>
          <w:marRight w:val="0"/>
          <w:marTop w:val="0"/>
          <w:marBottom w:val="0"/>
          <w:divBdr>
            <w:top w:val="none" w:sz="0" w:space="0" w:color="auto"/>
            <w:left w:val="none" w:sz="0" w:space="0" w:color="auto"/>
            <w:bottom w:val="none" w:sz="0" w:space="0" w:color="auto"/>
            <w:right w:val="none" w:sz="0" w:space="0" w:color="auto"/>
          </w:divBdr>
        </w:div>
        <w:div w:id="1942107416">
          <w:marLeft w:val="640"/>
          <w:marRight w:val="0"/>
          <w:marTop w:val="0"/>
          <w:marBottom w:val="0"/>
          <w:divBdr>
            <w:top w:val="none" w:sz="0" w:space="0" w:color="auto"/>
            <w:left w:val="none" w:sz="0" w:space="0" w:color="auto"/>
            <w:bottom w:val="none" w:sz="0" w:space="0" w:color="auto"/>
            <w:right w:val="none" w:sz="0" w:space="0" w:color="auto"/>
          </w:divBdr>
        </w:div>
        <w:div w:id="875699606">
          <w:marLeft w:val="640"/>
          <w:marRight w:val="0"/>
          <w:marTop w:val="0"/>
          <w:marBottom w:val="0"/>
          <w:divBdr>
            <w:top w:val="none" w:sz="0" w:space="0" w:color="auto"/>
            <w:left w:val="none" w:sz="0" w:space="0" w:color="auto"/>
            <w:bottom w:val="none" w:sz="0" w:space="0" w:color="auto"/>
            <w:right w:val="none" w:sz="0" w:space="0" w:color="auto"/>
          </w:divBdr>
        </w:div>
        <w:div w:id="882982241">
          <w:marLeft w:val="640"/>
          <w:marRight w:val="0"/>
          <w:marTop w:val="0"/>
          <w:marBottom w:val="0"/>
          <w:divBdr>
            <w:top w:val="none" w:sz="0" w:space="0" w:color="auto"/>
            <w:left w:val="none" w:sz="0" w:space="0" w:color="auto"/>
            <w:bottom w:val="none" w:sz="0" w:space="0" w:color="auto"/>
            <w:right w:val="none" w:sz="0" w:space="0" w:color="auto"/>
          </w:divBdr>
        </w:div>
        <w:div w:id="723525380">
          <w:marLeft w:val="640"/>
          <w:marRight w:val="0"/>
          <w:marTop w:val="0"/>
          <w:marBottom w:val="0"/>
          <w:divBdr>
            <w:top w:val="none" w:sz="0" w:space="0" w:color="auto"/>
            <w:left w:val="none" w:sz="0" w:space="0" w:color="auto"/>
            <w:bottom w:val="none" w:sz="0" w:space="0" w:color="auto"/>
            <w:right w:val="none" w:sz="0" w:space="0" w:color="auto"/>
          </w:divBdr>
        </w:div>
        <w:div w:id="664356770">
          <w:marLeft w:val="640"/>
          <w:marRight w:val="0"/>
          <w:marTop w:val="0"/>
          <w:marBottom w:val="0"/>
          <w:divBdr>
            <w:top w:val="none" w:sz="0" w:space="0" w:color="auto"/>
            <w:left w:val="none" w:sz="0" w:space="0" w:color="auto"/>
            <w:bottom w:val="none" w:sz="0" w:space="0" w:color="auto"/>
            <w:right w:val="none" w:sz="0" w:space="0" w:color="auto"/>
          </w:divBdr>
        </w:div>
        <w:div w:id="660547018">
          <w:marLeft w:val="640"/>
          <w:marRight w:val="0"/>
          <w:marTop w:val="0"/>
          <w:marBottom w:val="0"/>
          <w:divBdr>
            <w:top w:val="none" w:sz="0" w:space="0" w:color="auto"/>
            <w:left w:val="none" w:sz="0" w:space="0" w:color="auto"/>
            <w:bottom w:val="none" w:sz="0" w:space="0" w:color="auto"/>
            <w:right w:val="none" w:sz="0" w:space="0" w:color="auto"/>
          </w:divBdr>
        </w:div>
        <w:div w:id="1331905636">
          <w:marLeft w:val="640"/>
          <w:marRight w:val="0"/>
          <w:marTop w:val="0"/>
          <w:marBottom w:val="0"/>
          <w:divBdr>
            <w:top w:val="none" w:sz="0" w:space="0" w:color="auto"/>
            <w:left w:val="none" w:sz="0" w:space="0" w:color="auto"/>
            <w:bottom w:val="none" w:sz="0" w:space="0" w:color="auto"/>
            <w:right w:val="none" w:sz="0" w:space="0" w:color="auto"/>
          </w:divBdr>
        </w:div>
        <w:div w:id="44568337">
          <w:marLeft w:val="640"/>
          <w:marRight w:val="0"/>
          <w:marTop w:val="0"/>
          <w:marBottom w:val="0"/>
          <w:divBdr>
            <w:top w:val="none" w:sz="0" w:space="0" w:color="auto"/>
            <w:left w:val="none" w:sz="0" w:space="0" w:color="auto"/>
            <w:bottom w:val="none" w:sz="0" w:space="0" w:color="auto"/>
            <w:right w:val="none" w:sz="0" w:space="0" w:color="auto"/>
          </w:divBdr>
        </w:div>
        <w:div w:id="1366980777">
          <w:marLeft w:val="640"/>
          <w:marRight w:val="0"/>
          <w:marTop w:val="0"/>
          <w:marBottom w:val="0"/>
          <w:divBdr>
            <w:top w:val="none" w:sz="0" w:space="0" w:color="auto"/>
            <w:left w:val="none" w:sz="0" w:space="0" w:color="auto"/>
            <w:bottom w:val="none" w:sz="0" w:space="0" w:color="auto"/>
            <w:right w:val="none" w:sz="0" w:space="0" w:color="auto"/>
          </w:divBdr>
        </w:div>
        <w:div w:id="1450705847">
          <w:marLeft w:val="640"/>
          <w:marRight w:val="0"/>
          <w:marTop w:val="0"/>
          <w:marBottom w:val="0"/>
          <w:divBdr>
            <w:top w:val="none" w:sz="0" w:space="0" w:color="auto"/>
            <w:left w:val="none" w:sz="0" w:space="0" w:color="auto"/>
            <w:bottom w:val="none" w:sz="0" w:space="0" w:color="auto"/>
            <w:right w:val="none" w:sz="0" w:space="0" w:color="auto"/>
          </w:divBdr>
        </w:div>
        <w:div w:id="999120272">
          <w:marLeft w:val="640"/>
          <w:marRight w:val="0"/>
          <w:marTop w:val="0"/>
          <w:marBottom w:val="0"/>
          <w:divBdr>
            <w:top w:val="none" w:sz="0" w:space="0" w:color="auto"/>
            <w:left w:val="none" w:sz="0" w:space="0" w:color="auto"/>
            <w:bottom w:val="none" w:sz="0" w:space="0" w:color="auto"/>
            <w:right w:val="none" w:sz="0" w:space="0" w:color="auto"/>
          </w:divBdr>
        </w:div>
        <w:div w:id="1519152542">
          <w:marLeft w:val="640"/>
          <w:marRight w:val="0"/>
          <w:marTop w:val="0"/>
          <w:marBottom w:val="0"/>
          <w:divBdr>
            <w:top w:val="none" w:sz="0" w:space="0" w:color="auto"/>
            <w:left w:val="none" w:sz="0" w:space="0" w:color="auto"/>
            <w:bottom w:val="none" w:sz="0" w:space="0" w:color="auto"/>
            <w:right w:val="none" w:sz="0" w:space="0" w:color="auto"/>
          </w:divBdr>
        </w:div>
        <w:div w:id="620186424">
          <w:marLeft w:val="640"/>
          <w:marRight w:val="0"/>
          <w:marTop w:val="0"/>
          <w:marBottom w:val="0"/>
          <w:divBdr>
            <w:top w:val="none" w:sz="0" w:space="0" w:color="auto"/>
            <w:left w:val="none" w:sz="0" w:space="0" w:color="auto"/>
            <w:bottom w:val="none" w:sz="0" w:space="0" w:color="auto"/>
            <w:right w:val="none" w:sz="0" w:space="0" w:color="auto"/>
          </w:divBdr>
        </w:div>
        <w:div w:id="1883516065">
          <w:marLeft w:val="640"/>
          <w:marRight w:val="0"/>
          <w:marTop w:val="0"/>
          <w:marBottom w:val="0"/>
          <w:divBdr>
            <w:top w:val="none" w:sz="0" w:space="0" w:color="auto"/>
            <w:left w:val="none" w:sz="0" w:space="0" w:color="auto"/>
            <w:bottom w:val="none" w:sz="0" w:space="0" w:color="auto"/>
            <w:right w:val="none" w:sz="0" w:space="0" w:color="auto"/>
          </w:divBdr>
        </w:div>
        <w:div w:id="915633191">
          <w:marLeft w:val="640"/>
          <w:marRight w:val="0"/>
          <w:marTop w:val="0"/>
          <w:marBottom w:val="0"/>
          <w:divBdr>
            <w:top w:val="none" w:sz="0" w:space="0" w:color="auto"/>
            <w:left w:val="none" w:sz="0" w:space="0" w:color="auto"/>
            <w:bottom w:val="none" w:sz="0" w:space="0" w:color="auto"/>
            <w:right w:val="none" w:sz="0" w:space="0" w:color="auto"/>
          </w:divBdr>
        </w:div>
        <w:div w:id="1879511579">
          <w:marLeft w:val="640"/>
          <w:marRight w:val="0"/>
          <w:marTop w:val="0"/>
          <w:marBottom w:val="0"/>
          <w:divBdr>
            <w:top w:val="none" w:sz="0" w:space="0" w:color="auto"/>
            <w:left w:val="none" w:sz="0" w:space="0" w:color="auto"/>
            <w:bottom w:val="none" w:sz="0" w:space="0" w:color="auto"/>
            <w:right w:val="none" w:sz="0" w:space="0" w:color="auto"/>
          </w:divBdr>
        </w:div>
        <w:div w:id="2138910714">
          <w:marLeft w:val="640"/>
          <w:marRight w:val="0"/>
          <w:marTop w:val="0"/>
          <w:marBottom w:val="0"/>
          <w:divBdr>
            <w:top w:val="none" w:sz="0" w:space="0" w:color="auto"/>
            <w:left w:val="none" w:sz="0" w:space="0" w:color="auto"/>
            <w:bottom w:val="none" w:sz="0" w:space="0" w:color="auto"/>
            <w:right w:val="none" w:sz="0" w:space="0" w:color="auto"/>
          </w:divBdr>
        </w:div>
        <w:div w:id="1766222406">
          <w:marLeft w:val="640"/>
          <w:marRight w:val="0"/>
          <w:marTop w:val="0"/>
          <w:marBottom w:val="0"/>
          <w:divBdr>
            <w:top w:val="none" w:sz="0" w:space="0" w:color="auto"/>
            <w:left w:val="none" w:sz="0" w:space="0" w:color="auto"/>
            <w:bottom w:val="none" w:sz="0" w:space="0" w:color="auto"/>
            <w:right w:val="none" w:sz="0" w:space="0" w:color="auto"/>
          </w:divBdr>
        </w:div>
        <w:div w:id="2096316127">
          <w:marLeft w:val="640"/>
          <w:marRight w:val="0"/>
          <w:marTop w:val="0"/>
          <w:marBottom w:val="0"/>
          <w:divBdr>
            <w:top w:val="none" w:sz="0" w:space="0" w:color="auto"/>
            <w:left w:val="none" w:sz="0" w:space="0" w:color="auto"/>
            <w:bottom w:val="none" w:sz="0" w:space="0" w:color="auto"/>
            <w:right w:val="none" w:sz="0" w:space="0" w:color="auto"/>
          </w:divBdr>
        </w:div>
        <w:div w:id="716046724">
          <w:marLeft w:val="640"/>
          <w:marRight w:val="0"/>
          <w:marTop w:val="0"/>
          <w:marBottom w:val="0"/>
          <w:divBdr>
            <w:top w:val="none" w:sz="0" w:space="0" w:color="auto"/>
            <w:left w:val="none" w:sz="0" w:space="0" w:color="auto"/>
            <w:bottom w:val="none" w:sz="0" w:space="0" w:color="auto"/>
            <w:right w:val="none" w:sz="0" w:space="0" w:color="auto"/>
          </w:divBdr>
        </w:div>
        <w:div w:id="1166478716">
          <w:marLeft w:val="640"/>
          <w:marRight w:val="0"/>
          <w:marTop w:val="0"/>
          <w:marBottom w:val="0"/>
          <w:divBdr>
            <w:top w:val="none" w:sz="0" w:space="0" w:color="auto"/>
            <w:left w:val="none" w:sz="0" w:space="0" w:color="auto"/>
            <w:bottom w:val="none" w:sz="0" w:space="0" w:color="auto"/>
            <w:right w:val="none" w:sz="0" w:space="0" w:color="auto"/>
          </w:divBdr>
        </w:div>
        <w:div w:id="46152118">
          <w:marLeft w:val="640"/>
          <w:marRight w:val="0"/>
          <w:marTop w:val="0"/>
          <w:marBottom w:val="0"/>
          <w:divBdr>
            <w:top w:val="none" w:sz="0" w:space="0" w:color="auto"/>
            <w:left w:val="none" w:sz="0" w:space="0" w:color="auto"/>
            <w:bottom w:val="none" w:sz="0" w:space="0" w:color="auto"/>
            <w:right w:val="none" w:sz="0" w:space="0" w:color="auto"/>
          </w:divBdr>
        </w:div>
        <w:div w:id="2061784984">
          <w:marLeft w:val="640"/>
          <w:marRight w:val="0"/>
          <w:marTop w:val="0"/>
          <w:marBottom w:val="0"/>
          <w:divBdr>
            <w:top w:val="none" w:sz="0" w:space="0" w:color="auto"/>
            <w:left w:val="none" w:sz="0" w:space="0" w:color="auto"/>
            <w:bottom w:val="none" w:sz="0" w:space="0" w:color="auto"/>
            <w:right w:val="none" w:sz="0" w:space="0" w:color="auto"/>
          </w:divBdr>
        </w:div>
        <w:div w:id="37826411">
          <w:marLeft w:val="640"/>
          <w:marRight w:val="0"/>
          <w:marTop w:val="0"/>
          <w:marBottom w:val="0"/>
          <w:divBdr>
            <w:top w:val="none" w:sz="0" w:space="0" w:color="auto"/>
            <w:left w:val="none" w:sz="0" w:space="0" w:color="auto"/>
            <w:bottom w:val="none" w:sz="0" w:space="0" w:color="auto"/>
            <w:right w:val="none" w:sz="0" w:space="0" w:color="auto"/>
          </w:divBdr>
        </w:div>
        <w:div w:id="1480146012">
          <w:marLeft w:val="640"/>
          <w:marRight w:val="0"/>
          <w:marTop w:val="0"/>
          <w:marBottom w:val="0"/>
          <w:divBdr>
            <w:top w:val="none" w:sz="0" w:space="0" w:color="auto"/>
            <w:left w:val="none" w:sz="0" w:space="0" w:color="auto"/>
            <w:bottom w:val="none" w:sz="0" w:space="0" w:color="auto"/>
            <w:right w:val="none" w:sz="0" w:space="0" w:color="auto"/>
          </w:divBdr>
        </w:div>
        <w:div w:id="597954152">
          <w:marLeft w:val="640"/>
          <w:marRight w:val="0"/>
          <w:marTop w:val="0"/>
          <w:marBottom w:val="0"/>
          <w:divBdr>
            <w:top w:val="none" w:sz="0" w:space="0" w:color="auto"/>
            <w:left w:val="none" w:sz="0" w:space="0" w:color="auto"/>
            <w:bottom w:val="none" w:sz="0" w:space="0" w:color="auto"/>
            <w:right w:val="none" w:sz="0" w:space="0" w:color="auto"/>
          </w:divBdr>
        </w:div>
        <w:div w:id="1696736815">
          <w:marLeft w:val="640"/>
          <w:marRight w:val="0"/>
          <w:marTop w:val="0"/>
          <w:marBottom w:val="0"/>
          <w:divBdr>
            <w:top w:val="none" w:sz="0" w:space="0" w:color="auto"/>
            <w:left w:val="none" w:sz="0" w:space="0" w:color="auto"/>
            <w:bottom w:val="none" w:sz="0" w:space="0" w:color="auto"/>
            <w:right w:val="none" w:sz="0" w:space="0" w:color="auto"/>
          </w:divBdr>
        </w:div>
        <w:div w:id="987326860">
          <w:marLeft w:val="640"/>
          <w:marRight w:val="0"/>
          <w:marTop w:val="0"/>
          <w:marBottom w:val="0"/>
          <w:divBdr>
            <w:top w:val="none" w:sz="0" w:space="0" w:color="auto"/>
            <w:left w:val="none" w:sz="0" w:space="0" w:color="auto"/>
            <w:bottom w:val="none" w:sz="0" w:space="0" w:color="auto"/>
            <w:right w:val="none" w:sz="0" w:space="0" w:color="auto"/>
          </w:divBdr>
        </w:div>
        <w:div w:id="865172462">
          <w:marLeft w:val="640"/>
          <w:marRight w:val="0"/>
          <w:marTop w:val="0"/>
          <w:marBottom w:val="0"/>
          <w:divBdr>
            <w:top w:val="none" w:sz="0" w:space="0" w:color="auto"/>
            <w:left w:val="none" w:sz="0" w:space="0" w:color="auto"/>
            <w:bottom w:val="none" w:sz="0" w:space="0" w:color="auto"/>
            <w:right w:val="none" w:sz="0" w:space="0" w:color="auto"/>
          </w:divBdr>
        </w:div>
        <w:div w:id="654915394">
          <w:marLeft w:val="640"/>
          <w:marRight w:val="0"/>
          <w:marTop w:val="0"/>
          <w:marBottom w:val="0"/>
          <w:divBdr>
            <w:top w:val="none" w:sz="0" w:space="0" w:color="auto"/>
            <w:left w:val="none" w:sz="0" w:space="0" w:color="auto"/>
            <w:bottom w:val="none" w:sz="0" w:space="0" w:color="auto"/>
            <w:right w:val="none" w:sz="0" w:space="0" w:color="auto"/>
          </w:divBdr>
        </w:div>
        <w:div w:id="641540818">
          <w:marLeft w:val="640"/>
          <w:marRight w:val="0"/>
          <w:marTop w:val="0"/>
          <w:marBottom w:val="0"/>
          <w:divBdr>
            <w:top w:val="none" w:sz="0" w:space="0" w:color="auto"/>
            <w:left w:val="none" w:sz="0" w:space="0" w:color="auto"/>
            <w:bottom w:val="none" w:sz="0" w:space="0" w:color="auto"/>
            <w:right w:val="none" w:sz="0" w:space="0" w:color="auto"/>
          </w:divBdr>
        </w:div>
        <w:div w:id="474032070">
          <w:marLeft w:val="640"/>
          <w:marRight w:val="0"/>
          <w:marTop w:val="0"/>
          <w:marBottom w:val="0"/>
          <w:divBdr>
            <w:top w:val="none" w:sz="0" w:space="0" w:color="auto"/>
            <w:left w:val="none" w:sz="0" w:space="0" w:color="auto"/>
            <w:bottom w:val="none" w:sz="0" w:space="0" w:color="auto"/>
            <w:right w:val="none" w:sz="0" w:space="0" w:color="auto"/>
          </w:divBdr>
        </w:div>
        <w:div w:id="794714381">
          <w:marLeft w:val="640"/>
          <w:marRight w:val="0"/>
          <w:marTop w:val="0"/>
          <w:marBottom w:val="0"/>
          <w:divBdr>
            <w:top w:val="none" w:sz="0" w:space="0" w:color="auto"/>
            <w:left w:val="none" w:sz="0" w:space="0" w:color="auto"/>
            <w:bottom w:val="none" w:sz="0" w:space="0" w:color="auto"/>
            <w:right w:val="none" w:sz="0" w:space="0" w:color="auto"/>
          </w:divBdr>
        </w:div>
        <w:div w:id="205797761">
          <w:marLeft w:val="640"/>
          <w:marRight w:val="0"/>
          <w:marTop w:val="0"/>
          <w:marBottom w:val="0"/>
          <w:divBdr>
            <w:top w:val="none" w:sz="0" w:space="0" w:color="auto"/>
            <w:left w:val="none" w:sz="0" w:space="0" w:color="auto"/>
            <w:bottom w:val="none" w:sz="0" w:space="0" w:color="auto"/>
            <w:right w:val="none" w:sz="0" w:space="0" w:color="auto"/>
          </w:divBdr>
        </w:div>
        <w:div w:id="2088308806">
          <w:marLeft w:val="640"/>
          <w:marRight w:val="0"/>
          <w:marTop w:val="0"/>
          <w:marBottom w:val="0"/>
          <w:divBdr>
            <w:top w:val="none" w:sz="0" w:space="0" w:color="auto"/>
            <w:left w:val="none" w:sz="0" w:space="0" w:color="auto"/>
            <w:bottom w:val="none" w:sz="0" w:space="0" w:color="auto"/>
            <w:right w:val="none" w:sz="0" w:space="0" w:color="auto"/>
          </w:divBdr>
        </w:div>
        <w:div w:id="1916822260">
          <w:marLeft w:val="640"/>
          <w:marRight w:val="0"/>
          <w:marTop w:val="0"/>
          <w:marBottom w:val="0"/>
          <w:divBdr>
            <w:top w:val="none" w:sz="0" w:space="0" w:color="auto"/>
            <w:left w:val="none" w:sz="0" w:space="0" w:color="auto"/>
            <w:bottom w:val="none" w:sz="0" w:space="0" w:color="auto"/>
            <w:right w:val="none" w:sz="0" w:space="0" w:color="auto"/>
          </w:divBdr>
        </w:div>
        <w:div w:id="147475747">
          <w:marLeft w:val="640"/>
          <w:marRight w:val="0"/>
          <w:marTop w:val="0"/>
          <w:marBottom w:val="0"/>
          <w:divBdr>
            <w:top w:val="none" w:sz="0" w:space="0" w:color="auto"/>
            <w:left w:val="none" w:sz="0" w:space="0" w:color="auto"/>
            <w:bottom w:val="none" w:sz="0" w:space="0" w:color="auto"/>
            <w:right w:val="none" w:sz="0" w:space="0" w:color="auto"/>
          </w:divBdr>
        </w:div>
        <w:div w:id="1551577772">
          <w:marLeft w:val="640"/>
          <w:marRight w:val="0"/>
          <w:marTop w:val="0"/>
          <w:marBottom w:val="0"/>
          <w:divBdr>
            <w:top w:val="none" w:sz="0" w:space="0" w:color="auto"/>
            <w:left w:val="none" w:sz="0" w:space="0" w:color="auto"/>
            <w:bottom w:val="none" w:sz="0" w:space="0" w:color="auto"/>
            <w:right w:val="none" w:sz="0" w:space="0" w:color="auto"/>
          </w:divBdr>
        </w:div>
        <w:div w:id="736585938">
          <w:marLeft w:val="640"/>
          <w:marRight w:val="0"/>
          <w:marTop w:val="0"/>
          <w:marBottom w:val="0"/>
          <w:divBdr>
            <w:top w:val="none" w:sz="0" w:space="0" w:color="auto"/>
            <w:left w:val="none" w:sz="0" w:space="0" w:color="auto"/>
            <w:bottom w:val="none" w:sz="0" w:space="0" w:color="auto"/>
            <w:right w:val="none" w:sz="0" w:space="0" w:color="auto"/>
          </w:divBdr>
        </w:div>
        <w:div w:id="1631548731">
          <w:marLeft w:val="640"/>
          <w:marRight w:val="0"/>
          <w:marTop w:val="0"/>
          <w:marBottom w:val="0"/>
          <w:divBdr>
            <w:top w:val="none" w:sz="0" w:space="0" w:color="auto"/>
            <w:left w:val="none" w:sz="0" w:space="0" w:color="auto"/>
            <w:bottom w:val="none" w:sz="0" w:space="0" w:color="auto"/>
            <w:right w:val="none" w:sz="0" w:space="0" w:color="auto"/>
          </w:divBdr>
        </w:div>
        <w:div w:id="996225659">
          <w:marLeft w:val="640"/>
          <w:marRight w:val="0"/>
          <w:marTop w:val="0"/>
          <w:marBottom w:val="0"/>
          <w:divBdr>
            <w:top w:val="none" w:sz="0" w:space="0" w:color="auto"/>
            <w:left w:val="none" w:sz="0" w:space="0" w:color="auto"/>
            <w:bottom w:val="none" w:sz="0" w:space="0" w:color="auto"/>
            <w:right w:val="none" w:sz="0" w:space="0" w:color="auto"/>
          </w:divBdr>
        </w:div>
        <w:div w:id="1584988525">
          <w:marLeft w:val="640"/>
          <w:marRight w:val="0"/>
          <w:marTop w:val="0"/>
          <w:marBottom w:val="0"/>
          <w:divBdr>
            <w:top w:val="none" w:sz="0" w:space="0" w:color="auto"/>
            <w:left w:val="none" w:sz="0" w:space="0" w:color="auto"/>
            <w:bottom w:val="none" w:sz="0" w:space="0" w:color="auto"/>
            <w:right w:val="none" w:sz="0" w:space="0" w:color="auto"/>
          </w:divBdr>
        </w:div>
        <w:div w:id="746270285">
          <w:marLeft w:val="640"/>
          <w:marRight w:val="0"/>
          <w:marTop w:val="0"/>
          <w:marBottom w:val="0"/>
          <w:divBdr>
            <w:top w:val="none" w:sz="0" w:space="0" w:color="auto"/>
            <w:left w:val="none" w:sz="0" w:space="0" w:color="auto"/>
            <w:bottom w:val="none" w:sz="0" w:space="0" w:color="auto"/>
            <w:right w:val="none" w:sz="0" w:space="0" w:color="auto"/>
          </w:divBdr>
        </w:div>
        <w:div w:id="1391492520">
          <w:marLeft w:val="640"/>
          <w:marRight w:val="0"/>
          <w:marTop w:val="0"/>
          <w:marBottom w:val="0"/>
          <w:divBdr>
            <w:top w:val="none" w:sz="0" w:space="0" w:color="auto"/>
            <w:left w:val="none" w:sz="0" w:space="0" w:color="auto"/>
            <w:bottom w:val="none" w:sz="0" w:space="0" w:color="auto"/>
            <w:right w:val="none" w:sz="0" w:space="0" w:color="auto"/>
          </w:divBdr>
        </w:div>
        <w:div w:id="790562644">
          <w:marLeft w:val="640"/>
          <w:marRight w:val="0"/>
          <w:marTop w:val="0"/>
          <w:marBottom w:val="0"/>
          <w:divBdr>
            <w:top w:val="none" w:sz="0" w:space="0" w:color="auto"/>
            <w:left w:val="none" w:sz="0" w:space="0" w:color="auto"/>
            <w:bottom w:val="none" w:sz="0" w:space="0" w:color="auto"/>
            <w:right w:val="none" w:sz="0" w:space="0" w:color="auto"/>
          </w:divBdr>
        </w:div>
        <w:div w:id="975332394">
          <w:marLeft w:val="640"/>
          <w:marRight w:val="0"/>
          <w:marTop w:val="0"/>
          <w:marBottom w:val="0"/>
          <w:divBdr>
            <w:top w:val="none" w:sz="0" w:space="0" w:color="auto"/>
            <w:left w:val="none" w:sz="0" w:space="0" w:color="auto"/>
            <w:bottom w:val="none" w:sz="0" w:space="0" w:color="auto"/>
            <w:right w:val="none" w:sz="0" w:space="0" w:color="auto"/>
          </w:divBdr>
        </w:div>
        <w:div w:id="1740984099">
          <w:marLeft w:val="640"/>
          <w:marRight w:val="0"/>
          <w:marTop w:val="0"/>
          <w:marBottom w:val="0"/>
          <w:divBdr>
            <w:top w:val="none" w:sz="0" w:space="0" w:color="auto"/>
            <w:left w:val="none" w:sz="0" w:space="0" w:color="auto"/>
            <w:bottom w:val="none" w:sz="0" w:space="0" w:color="auto"/>
            <w:right w:val="none" w:sz="0" w:space="0" w:color="auto"/>
          </w:divBdr>
        </w:div>
        <w:div w:id="1253514573">
          <w:marLeft w:val="640"/>
          <w:marRight w:val="0"/>
          <w:marTop w:val="0"/>
          <w:marBottom w:val="0"/>
          <w:divBdr>
            <w:top w:val="none" w:sz="0" w:space="0" w:color="auto"/>
            <w:left w:val="none" w:sz="0" w:space="0" w:color="auto"/>
            <w:bottom w:val="none" w:sz="0" w:space="0" w:color="auto"/>
            <w:right w:val="none" w:sz="0" w:space="0" w:color="auto"/>
          </w:divBdr>
        </w:div>
        <w:div w:id="209535403">
          <w:marLeft w:val="640"/>
          <w:marRight w:val="0"/>
          <w:marTop w:val="0"/>
          <w:marBottom w:val="0"/>
          <w:divBdr>
            <w:top w:val="none" w:sz="0" w:space="0" w:color="auto"/>
            <w:left w:val="none" w:sz="0" w:space="0" w:color="auto"/>
            <w:bottom w:val="none" w:sz="0" w:space="0" w:color="auto"/>
            <w:right w:val="none" w:sz="0" w:space="0" w:color="auto"/>
          </w:divBdr>
        </w:div>
        <w:div w:id="1265842937">
          <w:marLeft w:val="640"/>
          <w:marRight w:val="0"/>
          <w:marTop w:val="0"/>
          <w:marBottom w:val="0"/>
          <w:divBdr>
            <w:top w:val="none" w:sz="0" w:space="0" w:color="auto"/>
            <w:left w:val="none" w:sz="0" w:space="0" w:color="auto"/>
            <w:bottom w:val="none" w:sz="0" w:space="0" w:color="auto"/>
            <w:right w:val="none" w:sz="0" w:space="0" w:color="auto"/>
          </w:divBdr>
        </w:div>
        <w:div w:id="1029184726">
          <w:marLeft w:val="640"/>
          <w:marRight w:val="0"/>
          <w:marTop w:val="0"/>
          <w:marBottom w:val="0"/>
          <w:divBdr>
            <w:top w:val="none" w:sz="0" w:space="0" w:color="auto"/>
            <w:left w:val="none" w:sz="0" w:space="0" w:color="auto"/>
            <w:bottom w:val="none" w:sz="0" w:space="0" w:color="auto"/>
            <w:right w:val="none" w:sz="0" w:space="0" w:color="auto"/>
          </w:divBdr>
        </w:div>
        <w:div w:id="1037389237">
          <w:marLeft w:val="640"/>
          <w:marRight w:val="0"/>
          <w:marTop w:val="0"/>
          <w:marBottom w:val="0"/>
          <w:divBdr>
            <w:top w:val="none" w:sz="0" w:space="0" w:color="auto"/>
            <w:left w:val="none" w:sz="0" w:space="0" w:color="auto"/>
            <w:bottom w:val="none" w:sz="0" w:space="0" w:color="auto"/>
            <w:right w:val="none" w:sz="0" w:space="0" w:color="auto"/>
          </w:divBdr>
        </w:div>
        <w:div w:id="1026981247">
          <w:marLeft w:val="640"/>
          <w:marRight w:val="0"/>
          <w:marTop w:val="0"/>
          <w:marBottom w:val="0"/>
          <w:divBdr>
            <w:top w:val="none" w:sz="0" w:space="0" w:color="auto"/>
            <w:left w:val="none" w:sz="0" w:space="0" w:color="auto"/>
            <w:bottom w:val="none" w:sz="0" w:space="0" w:color="auto"/>
            <w:right w:val="none" w:sz="0" w:space="0" w:color="auto"/>
          </w:divBdr>
        </w:div>
        <w:div w:id="1808158900">
          <w:marLeft w:val="640"/>
          <w:marRight w:val="0"/>
          <w:marTop w:val="0"/>
          <w:marBottom w:val="0"/>
          <w:divBdr>
            <w:top w:val="none" w:sz="0" w:space="0" w:color="auto"/>
            <w:left w:val="none" w:sz="0" w:space="0" w:color="auto"/>
            <w:bottom w:val="none" w:sz="0" w:space="0" w:color="auto"/>
            <w:right w:val="none" w:sz="0" w:space="0" w:color="auto"/>
          </w:divBdr>
        </w:div>
        <w:div w:id="218827604">
          <w:marLeft w:val="640"/>
          <w:marRight w:val="0"/>
          <w:marTop w:val="0"/>
          <w:marBottom w:val="0"/>
          <w:divBdr>
            <w:top w:val="none" w:sz="0" w:space="0" w:color="auto"/>
            <w:left w:val="none" w:sz="0" w:space="0" w:color="auto"/>
            <w:bottom w:val="none" w:sz="0" w:space="0" w:color="auto"/>
            <w:right w:val="none" w:sz="0" w:space="0" w:color="auto"/>
          </w:divBdr>
        </w:div>
        <w:div w:id="1105885918">
          <w:marLeft w:val="640"/>
          <w:marRight w:val="0"/>
          <w:marTop w:val="0"/>
          <w:marBottom w:val="0"/>
          <w:divBdr>
            <w:top w:val="none" w:sz="0" w:space="0" w:color="auto"/>
            <w:left w:val="none" w:sz="0" w:space="0" w:color="auto"/>
            <w:bottom w:val="none" w:sz="0" w:space="0" w:color="auto"/>
            <w:right w:val="none" w:sz="0" w:space="0" w:color="auto"/>
          </w:divBdr>
        </w:div>
        <w:div w:id="229998386">
          <w:marLeft w:val="640"/>
          <w:marRight w:val="0"/>
          <w:marTop w:val="0"/>
          <w:marBottom w:val="0"/>
          <w:divBdr>
            <w:top w:val="none" w:sz="0" w:space="0" w:color="auto"/>
            <w:left w:val="none" w:sz="0" w:space="0" w:color="auto"/>
            <w:bottom w:val="none" w:sz="0" w:space="0" w:color="auto"/>
            <w:right w:val="none" w:sz="0" w:space="0" w:color="auto"/>
          </w:divBdr>
        </w:div>
        <w:div w:id="1756053998">
          <w:marLeft w:val="640"/>
          <w:marRight w:val="0"/>
          <w:marTop w:val="0"/>
          <w:marBottom w:val="0"/>
          <w:divBdr>
            <w:top w:val="none" w:sz="0" w:space="0" w:color="auto"/>
            <w:left w:val="none" w:sz="0" w:space="0" w:color="auto"/>
            <w:bottom w:val="none" w:sz="0" w:space="0" w:color="auto"/>
            <w:right w:val="none" w:sz="0" w:space="0" w:color="auto"/>
          </w:divBdr>
        </w:div>
        <w:div w:id="567035925">
          <w:marLeft w:val="640"/>
          <w:marRight w:val="0"/>
          <w:marTop w:val="0"/>
          <w:marBottom w:val="0"/>
          <w:divBdr>
            <w:top w:val="none" w:sz="0" w:space="0" w:color="auto"/>
            <w:left w:val="none" w:sz="0" w:space="0" w:color="auto"/>
            <w:bottom w:val="none" w:sz="0" w:space="0" w:color="auto"/>
            <w:right w:val="none" w:sz="0" w:space="0" w:color="auto"/>
          </w:divBdr>
        </w:div>
        <w:div w:id="1621841711">
          <w:marLeft w:val="640"/>
          <w:marRight w:val="0"/>
          <w:marTop w:val="0"/>
          <w:marBottom w:val="0"/>
          <w:divBdr>
            <w:top w:val="none" w:sz="0" w:space="0" w:color="auto"/>
            <w:left w:val="none" w:sz="0" w:space="0" w:color="auto"/>
            <w:bottom w:val="none" w:sz="0" w:space="0" w:color="auto"/>
            <w:right w:val="none" w:sz="0" w:space="0" w:color="auto"/>
          </w:divBdr>
        </w:div>
        <w:div w:id="1648782523">
          <w:marLeft w:val="640"/>
          <w:marRight w:val="0"/>
          <w:marTop w:val="0"/>
          <w:marBottom w:val="0"/>
          <w:divBdr>
            <w:top w:val="none" w:sz="0" w:space="0" w:color="auto"/>
            <w:left w:val="none" w:sz="0" w:space="0" w:color="auto"/>
            <w:bottom w:val="none" w:sz="0" w:space="0" w:color="auto"/>
            <w:right w:val="none" w:sz="0" w:space="0" w:color="auto"/>
          </w:divBdr>
        </w:div>
        <w:div w:id="2026711465">
          <w:marLeft w:val="640"/>
          <w:marRight w:val="0"/>
          <w:marTop w:val="0"/>
          <w:marBottom w:val="0"/>
          <w:divBdr>
            <w:top w:val="none" w:sz="0" w:space="0" w:color="auto"/>
            <w:left w:val="none" w:sz="0" w:space="0" w:color="auto"/>
            <w:bottom w:val="none" w:sz="0" w:space="0" w:color="auto"/>
            <w:right w:val="none" w:sz="0" w:space="0" w:color="auto"/>
          </w:divBdr>
        </w:div>
        <w:div w:id="2007978984">
          <w:marLeft w:val="640"/>
          <w:marRight w:val="0"/>
          <w:marTop w:val="0"/>
          <w:marBottom w:val="0"/>
          <w:divBdr>
            <w:top w:val="none" w:sz="0" w:space="0" w:color="auto"/>
            <w:left w:val="none" w:sz="0" w:space="0" w:color="auto"/>
            <w:bottom w:val="none" w:sz="0" w:space="0" w:color="auto"/>
            <w:right w:val="none" w:sz="0" w:space="0" w:color="auto"/>
          </w:divBdr>
        </w:div>
        <w:div w:id="2018531898">
          <w:marLeft w:val="640"/>
          <w:marRight w:val="0"/>
          <w:marTop w:val="0"/>
          <w:marBottom w:val="0"/>
          <w:divBdr>
            <w:top w:val="none" w:sz="0" w:space="0" w:color="auto"/>
            <w:left w:val="none" w:sz="0" w:space="0" w:color="auto"/>
            <w:bottom w:val="none" w:sz="0" w:space="0" w:color="auto"/>
            <w:right w:val="none" w:sz="0" w:space="0" w:color="auto"/>
          </w:divBdr>
        </w:div>
        <w:div w:id="1746223379">
          <w:marLeft w:val="640"/>
          <w:marRight w:val="0"/>
          <w:marTop w:val="0"/>
          <w:marBottom w:val="0"/>
          <w:divBdr>
            <w:top w:val="none" w:sz="0" w:space="0" w:color="auto"/>
            <w:left w:val="none" w:sz="0" w:space="0" w:color="auto"/>
            <w:bottom w:val="none" w:sz="0" w:space="0" w:color="auto"/>
            <w:right w:val="none" w:sz="0" w:space="0" w:color="auto"/>
          </w:divBdr>
        </w:div>
        <w:div w:id="752044851">
          <w:marLeft w:val="640"/>
          <w:marRight w:val="0"/>
          <w:marTop w:val="0"/>
          <w:marBottom w:val="0"/>
          <w:divBdr>
            <w:top w:val="none" w:sz="0" w:space="0" w:color="auto"/>
            <w:left w:val="none" w:sz="0" w:space="0" w:color="auto"/>
            <w:bottom w:val="none" w:sz="0" w:space="0" w:color="auto"/>
            <w:right w:val="none" w:sz="0" w:space="0" w:color="auto"/>
          </w:divBdr>
        </w:div>
        <w:div w:id="852767305">
          <w:marLeft w:val="640"/>
          <w:marRight w:val="0"/>
          <w:marTop w:val="0"/>
          <w:marBottom w:val="0"/>
          <w:divBdr>
            <w:top w:val="none" w:sz="0" w:space="0" w:color="auto"/>
            <w:left w:val="none" w:sz="0" w:space="0" w:color="auto"/>
            <w:bottom w:val="none" w:sz="0" w:space="0" w:color="auto"/>
            <w:right w:val="none" w:sz="0" w:space="0" w:color="auto"/>
          </w:divBdr>
        </w:div>
        <w:div w:id="1078866037">
          <w:marLeft w:val="640"/>
          <w:marRight w:val="0"/>
          <w:marTop w:val="0"/>
          <w:marBottom w:val="0"/>
          <w:divBdr>
            <w:top w:val="none" w:sz="0" w:space="0" w:color="auto"/>
            <w:left w:val="none" w:sz="0" w:space="0" w:color="auto"/>
            <w:bottom w:val="none" w:sz="0" w:space="0" w:color="auto"/>
            <w:right w:val="none" w:sz="0" w:space="0" w:color="auto"/>
          </w:divBdr>
        </w:div>
        <w:div w:id="1673027586">
          <w:marLeft w:val="640"/>
          <w:marRight w:val="0"/>
          <w:marTop w:val="0"/>
          <w:marBottom w:val="0"/>
          <w:divBdr>
            <w:top w:val="none" w:sz="0" w:space="0" w:color="auto"/>
            <w:left w:val="none" w:sz="0" w:space="0" w:color="auto"/>
            <w:bottom w:val="none" w:sz="0" w:space="0" w:color="auto"/>
            <w:right w:val="none" w:sz="0" w:space="0" w:color="auto"/>
          </w:divBdr>
        </w:div>
        <w:div w:id="1546025231">
          <w:marLeft w:val="640"/>
          <w:marRight w:val="0"/>
          <w:marTop w:val="0"/>
          <w:marBottom w:val="0"/>
          <w:divBdr>
            <w:top w:val="none" w:sz="0" w:space="0" w:color="auto"/>
            <w:left w:val="none" w:sz="0" w:space="0" w:color="auto"/>
            <w:bottom w:val="none" w:sz="0" w:space="0" w:color="auto"/>
            <w:right w:val="none" w:sz="0" w:space="0" w:color="auto"/>
          </w:divBdr>
        </w:div>
        <w:div w:id="1928995310">
          <w:marLeft w:val="640"/>
          <w:marRight w:val="0"/>
          <w:marTop w:val="0"/>
          <w:marBottom w:val="0"/>
          <w:divBdr>
            <w:top w:val="none" w:sz="0" w:space="0" w:color="auto"/>
            <w:left w:val="none" w:sz="0" w:space="0" w:color="auto"/>
            <w:bottom w:val="none" w:sz="0" w:space="0" w:color="auto"/>
            <w:right w:val="none" w:sz="0" w:space="0" w:color="auto"/>
          </w:divBdr>
        </w:div>
        <w:div w:id="1722483953">
          <w:marLeft w:val="640"/>
          <w:marRight w:val="0"/>
          <w:marTop w:val="0"/>
          <w:marBottom w:val="0"/>
          <w:divBdr>
            <w:top w:val="none" w:sz="0" w:space="0" w:color="auto"/>
            <w:left w:val="none" w:sz="0" w:space="0" w:color="auto"/>
            <w:bottom w:val="none" w:sz="0" w:space="0" w:color="auto"/>
            <w:right w:val="none" w:sz="0" w:space="0" w:color="auto"/>
          </w:divBdr>
        </w:div>
        <w:div w:id="983661306">
          <w:marLeft w:val="640"/>
          <w:marRight w:val="0"/>
          <w:marTop w:val="0"/>
          <w:marBottom w:val="0"/>
          <w:divBdr>
            <w:top w:val="none" w:sz="0" w:space="0" w:color="auto"/>
            <w:left w:val="none" w:sz="0" w:space="0" w:color="auto"/>
            <w:bottom w:val="none" w:sz="0" w:space="0" w:color="auto"/>
            <w:right w:val="none" w:sz="0" w:space="0" w:color="auto"/>
          </w:divBdr>
        </w:div>
        <w:div w:id="1530727537">
          <w:marLeft w:val="640"/>
          <w:marRight w:val="0"/>
          <w:marTop w:val="0"/>
          <w:marBottom w:val="0"/>
          <w:divBdr>
            <w:top w:val="none" w:sz="0" w:space="0" w:color="auto"/>
            <w:left w:val="none" w:sz="0" w:space="0" w:color="auto"/>
            <w:bottom w:val="none" w:sz="0" w:space="0" w:color="auto"/>
            <w:right w:val="none" w:sz="0" w:space="0" w:color="auto"/>
          </w:divBdr>
        </w:div>
        <w:div w:id="1332026518">
          <w:marLeft w:val="640"/>
          <w:marRight w:val="0"/>
          <w:marTop w:val="0"/>
          <w:marBottom w:val="0"/>
          <w:divBdr>
            <w:top w:val="none" w:sz="0" w:space="0" w:color="auto"/>
            <w:left w:val="none" w:sz="0" w:space="0" w:color="auto"/>
            <w:bottom w:val="none" w:sz="0" w:space="0" w:color="auto"/>
            <w:right w:val="none" w:sz="0" w:space="0" w:color="auto"/>
          </w:divBdr>
        </w:div>
      </w:divsChild>
    </w:div>
    <w:div w:id="374239998">
      <w:bodyDiv w:val="1"/>
      <w:marLeft w:val="0"/>
      <w:marRight w:val="0"/>
      <w:marTop w:val="0"/>
      <w:marBottom w:val="0"/>
      <w:divBdr>
        <w:top w:val="none" w:sz="0" w:space="0" w:color="auto"/>
        <w:left w:val="none" w:sz="0" w:space="0" w:color="auto"/>
        <w:bottom w:val="none" w:sz="0" w:space="0" w:color="auto"/>
        <w:right w:val="none" w:sz="0" w:space="0" w:color="auto"/>
      </w:divBdr>
      <w:divsChild>
        <w:div w:id="1864781798">
          <w:marLeft w:val="640"/>
          <w:marRight w:val="0"/>
          <w:marTop w:val="0"/>
          <w:marBottom w:val="0"/>
          <w:divBdr>
            <w:top w:val="none" w:sz="0" w:space="0" w:color="auto"/>
            <w:left w:val="none" w:sz="0" w:space="0" w:color="auto"/>
            <w:bottom w:val="none" w:sz="0" w:space="0" w:color="auto"/>
            <w:right w:val="none" w:sz="0" w:space="0" w:color="auto"/>
          </w:divBdr>
        </w:div>
        <w:div w:id="1918443410">
          <w:marLeft w:val="640"/>
          <w:marRight w:val="0"/>
          <w:marTop w:val="0"/>
          <w:marBottom w:val="0"/>
          <w:divBdr>
            <w:top w:val="none" w:sz="0" w:space="0" w:color="auto"/>
            <w:left w:val="none" w:sz="0" w:space="0" w:color="auto"/>
            <w:bottom w:val="none" w:sz="0" w:space="0" w:color="auto"/>
            <w:right w:val="none" w:sz="0" w:space="0" w:color="auto"/>
          </w:divBdr>
        </w:div>
        <w:div w:id="423385598">
          <w:marLeft w:val="640"/>
          <w:marRight w:val="0"/>
          <w:marTop w:val="0"/>
          <w:marBottom w:val="0"/>
          <w:divBdr>
            <w:top w:val="none" w:sz="0" w:space="0" w:color="auto"/>
            <w:left w:val="none" w:sz="0" w:space="0" w:color="auto"/>
            <w:bottom w:val="none" w:sz="0" w:space="0" w:color="auto"/>
            <w:right w:val="none" w:sz="0" w:space="0" w:color="auto"/>
          </w:divBdr>
        </w:div>
        <w:div w:id="111099180">
          <w:marLeft w:val="640"/>
          <w:marRight w:val="0"/>
          <w:marTop w:val="0"/>
          <w:marBottom w:val="0"/>
          <w:divBdr>
            <w:top w:val="none" w:sz="0" w:space="0" w:color="auto"/>
            <w:left w:val="none" w:sz="0" w:space="0" w:color="auto"/>
            <w:bottom w:val="none" w:sz="0" w:space="0" w:color="auto"/>
            <w:right w:val="none" w:sz="0" w:space="0" w:color="auto"/>
          </w:divBdr>
        </w:div>
        <w:div w:id="535772175">
          <w:marLeft w:val="640"/>
          <w:marRight w:val="0"/>
          <w:marTop w:val="0"/>
          <w:marBottom w:val="0"/>
          <w:divBdr>
            <w:top w:val="none" w:sz="0" w:space="0" w:color="auto"/>
            <w:left w:val="none" w:sz="0" w:space="0" w:color="auto"/>
            <w:bottom w:val="none" w:sz="0" w:space="0" w:color="auto"/>
            <w:right w:val="none" w:sz="0" w:space="0" w:color="auto"/>
          </w:divBdr>
        </w:div>
        <w:div w:id="1018778134">
          <w:marLeft w:val="640"/>
          <w:marRight w:val="0"/>
          <w:marTop w:val="0"/>
          <w:marBottom w:val="0"/>
          <w:divBdr>
            <w:top w:val="none" w:sz="0" w:space="0" w:color="auto"/>
            <w:left w:val="none" w:sz="0" w:space="0" w:color="auto"/>
            <w:bottom w:val="none" w:sz="0" w:space="0" w:color="auto"/>
            <w:right w:val="none" w:sz="0" w:space="0" w:color="auto"/>
          </w:divBdr>
        </w:div>
        <w:div w:id="269364008">
          <w:marLeft w:val="640"/>
          <w:marRight w:val="0"/>
          <w:marTop w:val="0"/>
          <w:marBottom w:val="0"/>
          <w:divBdr>
            <w:top w:val="none" w:sz="0" w:space="0" w:color="auto"/>
            <w:left w:val="none" w:sz="0" w:space="0" w:color="auto"/>
            <w:bottom w:val="none" w:sz="0" w:space="0" w:color="auto"/>
            <w:right w:val="none" w:sz="0" w:space="0" w:color="auto"/>
          </w:divBdr>
        </w:div>
        <w:div w:id="1331104196">
          <w:marLeft w:val="640"/>
          <w:marRight w:val="0"/>
          <w:marTop w:val="0"/>
          <w:marBottom w:val="0"/>
          <w:divBdr>
            <w:top w:val="none" w:sz="0" w:space="0" w:color="auto"/>
            <w:left w:val="none" w:sz="0" w:space="0" w:color="auto"/>
            <w:bottom w:val="none" w:sz="0" w:space="0" w:color="auto"/>
            <w:right w:val="none" w:sz="0" w:space="0" w:color="auto"/>
          </w:divBdr>
        </w:div>
        <w:div w:id="1843856825">
          <w:marLeft w:val="640"/>
          <w:marRight w:val="0"/>
          <w:marTop w:val="0"/>
          <w:marBottom w:val="0"/>
          <w:divBdr>
            <w:top w:val="none" w:sz="0" w:space="0" w:color="auto"/>
            <w:left w:val="none" w:sz="0" w:space="0" w:color="auto"/>
            <w:bottom w:val="none" w:sz="0" w:space="0" w:color="auto"/>
            <w:right w:val="none" w:sz="0" w:space="0" w:color="auto"/>
          </w:divBdr>
        </w:div>
        <w:div w:id="2029477412">
          <w:marLeft w:val="640"/>
          <w:marRight w:val="0"/>
          <w:marTop w:val="0"/>
          <w:marBottom w:val="0"/>
          <w:divBdr>
            <w:top w:val="none" w:sz="0" w:space="0" w:color="auto"/>
            <w:left w:val="none" w:sz="0" w:space="0" w:color="auto"/>
            <w:bottom w:val="none" w:sz="0" w:space="0" w:color="auto"/>
            <w:right w:val="none" w:sz="0" w:space="0" w:color="auto"/>
          </w:divBdr>
        </w:div>
        <w:div w:id="1138494110">
          <w:marLeft w:val="640"/>
          <w:marRight w:val="0"/>
          <w:marTop w:val="0"/>
          <w:marBottom w:val="0"/>
          <w:divBdr>
            <w:top w:val="none" w:sz="0" w:space="0" w:color="auto"/>
            <w:left w:val="none" w:sz="0" w:space="0" w:color="auto"/>
            <w:bottom w:val="none" w:sz="0" w:space="0" w:color="auto"/>
            <w:right w:val="none" w:sz="0" w:space="0" w:color="auto"/>
          </w:divBdr>
        </w:div>
        <w:div w:id="1579170115">
          <w:marLeft w:val="640"/>
          <w:marRight w:val="0"/>
          <w:marTop w:val="0"/>
          <w:marBottom w:val="0"/>
          <w:divBdr>
            <w:top w:val="none" w:sz="0" w:space="0" w:color="auto"/>
            <w:left w:val="none" w:sz="0" w:space="0" w:color="auto"/>
            <w:bottom w:val="none" w:sz="0" w:space="0" w:color="auto"/>
            <w:right w:val="none" w:sz="0" w:space="0" w:color="auto"/>
          </w:divBdr>
        </w:div>
        <w:div w:id="200829533">
          <w:marLeft w:val="640"/>
          <w:marRight w:val="0"/>
          <w:marTop w:val="0"/>
          <w:marBottom w:val="0"/>
          <w:divBdr>
            <w:top w:val="none" w:sz="0" w:space="0" w:color="auto"/>
            <w:left w:val="none" w:sz="0" w:space="0" w:color="auto"/>
            <w:bottom w:val="none" w:sz="0" w:space="0" w:color="auto"/>
            <w:right w:val="none" w:sz="0" w:space="0" w:color="auto"/>
          </w:divBdr>
        </w:div>
        <w:div w:id="1785735829">
          <w:marLeft w:val="640"/>
          <w:marRight w:val="0"/>
          <w:marTop w:val="0"/>
          <w:marBottom w:val="0"/>
          <w:divBdr>
            <w:top w:val="none" w:sz="0" w:space="0" w:color="auto"/>
            <w:left w:val="none" w:sz="0" w:space="0" w:color="auto"/>
            <w:bottom w:val="none" w:sz="0" w:space="0" w:color="auto"/>
            <w:right w:val="none" w:sz="0" w:space="0" w:color="auto"/>
          </w:divBdr>
        </w:div>
        <w:div w:id="1113211730">
          <w:marLeft w:val="640"/>
          <w:marRight w:val="0"/>
          <w:marTop w:val="0"/>
          <w:marBottom w:val="0"/>
          <w:divBdr>
            <w:top w:val="none" w:sz="0" w:space="0" w:color="auto"/>
            <w:left w:val="none" w:sz="0" w:space="0" w:color="auto"/>
            <w:bottom w:val="none" w:sz="0" w:space="0" w:color="auto"/>
            <w:right w:val="none" w:sz="0" w:space="0" w:color="auto"/>
          </w:divBdr>
        </w:div>
        <w:div w:id="798449455">
          <w:marLeft w:val="640"/>
          <w:marRight w:val="0"/>
          <w:marTop w:val="0"/>
          <w:marBottom w:val="0"/>
          <w:divBdr>
            <w:top w:val="none" w:sz="0" w:space="0" w:color="auto"/>
            <w:left w:val="none" w:sz="0" w:space="0" w:color="auto"/>
            <w:bottom w:val="none" w:sz="0" w:space="0" w:color="auto"/>
            <w:right w:val="none" w:sz="0" w:space="0" w:color="auto"/>
          </w:divBdr>
        </w:div>
        <w:div w:id="1272250445">
          <w:marLeft w:val="640"/>
          <w:marRight w:val="0"/>
          <w:marTop w:val="0"/>
          <w:marBottom w:val="0"/>
          <w:divBdr>
            <w:top w:val="none" w:sz="0" w:space="0" w:color="auto"/>
            <w:left w:val="none" w:sz="0" w:space="0" w:color="auto"/>
            <w:bottom w:val="none" w:sz="0" w:space="0" w:color="auto"/>
            <w:right w:val="none" w:sz="0" w:space="0" w:color="auto"/>
          </w:divBdr>
        </w:div>
        <w:div w:id="656109834">
          <w:marLeft w:val="640"/>
          <w:marRight w:val="0"/>
          <w:marTop w:val="0"/>
          <w:marBottom w:val="0"/>
          <w:divBdr>
            <w:top w:val="none" w:sz="0" w:space="0" w:color="auto"/>
            <w:left w:val="none" w:sz="0" w:space="0" w:color="auto"/>
            <w:bottom w:val="none" w:sz="0" w:space="0" w:color="auto"/>
            <w:right w:val="none" w:sz="0" w:space="0" w:color="auto"/>
          </w:divBdr>
        </w:div>
        <w:div w:id="242031918">
          <w:marLeft w:val="640"/>
          <w:marRight w:val="0"/>
          <w:marTop w:val="0"/>
          <w:marBottom w:val="0"/>
          <w:divBdr>
            <w:top w:val="none" w:sz="0" w:space="0" w:color="auto"/>
            <w:left w:val="none" w:sz="0" w:space="0" w:color="auto"/>
            <w:bottom w:val="none" w:sz="0" w:space="0" w:color="auto"/>
            <w:right w:val="none" w:sz="0" w:space="0" w:color="auto"/>
          </w:divBdr>
        </w:div>
        <w:div w:id="933591842">
          <w:marLeft w:val="640"/>
          <w:marRight w:val="0"/>
          <w:marTop w:val="0"/>
          <w:marBottom w:val="0"/>
          <w:divBdr>
            <w:top w:val="none" w:sz="0" w:space="0" w:color="auto"/>
            <w:left w:val="none" w:sz="0" w:space="0" w:color="auto"/>
            <w:bottom w:val="none" w:sz="0" w:space="0" w:color="auto"/>
            <w:right w:val="none" w:sz="0" w:space="0" w:color="auto"/>
          </w:divBdr>
        </w:div>
        <w:div w:id="1920403864">
          <w:marLeft w:val="640"/>
          <w:marRight w:val="0"/>
          <w:marTop w:val="0"/>
          <w:marBottom w:val="0"/>
          <w:divBdr>
            <w:top w:val="none" w:sz="0" w:space="0" w:color="auto"/>
            <w:left w:val="none" w:sz="0" w:space="0" w:color="auto"/>
            <w:bottom w:val="none" w:sz="0" w:space="0" w:color="auto"/>
            <w:right w:val="none" w:sz="0" w:space="0" w:color="auto"/>
          </w:divBdr>
        </w:div>
        <w:div w:id="1887714125">
          <w:marLeft w:val="640"/>
          <w:marRight w:val="0"/>
          <w:marTop w:val="0"/>
          <w:marBottom w:val="0"/>
          <w:divBdr>
            <w:top w:val="none" w:sz="0" w:space="0" w:color="auto"/>
            <w:left w:val="none" w:sz="0" w:space="0" w:color="auto"/>
            <w:bottom w:val="none" w:sz="0" w:space="0" w:color="auto"/>
            <w:right w:val="none" w:sz="0" w:space="0" w:color="auto"/>
          </w:divBdr>
        </w:div>
        <w:div w:id="526606780">
          <w:marLeft w:val="640"/>
          <w:marRight w:val="0"/>
          <w:marTop w:val="0"/>
          <w:marBottom w:val="0"/>
          <w:divBdr>
            <w:top w:val="none" w:sz="0" w:space="0" w:color="auto"/>
            <w:left w:val="none" w:sz="0" w:space="0" w:color="auto"/>
            <w:bottom w:val="none" w:sz="0" w:space="0" w:color="auto"/>
            <w:right w:val="none" w:sz="0" w:space="0" w:color="auto"/>
          </w:divBdr>
        </w:div>
        <w:div w:id="800653348">
          <w:marLeft w:val="640"/>
          <w:marRight w:val="0"/>
          <w:marTop w:val="0"/>
          <w:marBottom w:val="0"/>
          <w:divBdr>
            <w:top w:val="none" w:sz="0" w:space="0" w:color="auto"/>
            <w:left w:val="none" w:sz="0" w:space="0" w:color="auto"/>
            <w:bottom w:val="none" w:sz="0" w:space="0" w:color="auto"/>
            <w:right w:val="none" w:sz="0" w:space="0" w:color="auto"/>
          </w:divBdr>
        </w:div>
        <w:div w:id="327054278">
          <w:marLeft w:val="640"/>
          <w:marRight w:val="0"/>
          <w:marTop w:val="0"/>
          <w:marBottom w:val="0"/>
          <w:divBdr>
            <w:top w:val="none" w:sz="0" w:space="0" w:color="auto"/>
            <w:left w:val="none" w:sz="0" w:space="0" w:color="auto"/>
            <w:bottom w:val="none" w:sz="0" w:space="0" w:color="auto"/>
            <w:right w:val="none" w:sz="0" w:space="0" w:color="auto"/>
          </w:divBdr>
        </w:div>
        <w:div w:id="1103576975">
          <w:marLeft w:val="640"/>
          <w:marRight w:val="0"/>
          <w:marTop w:val="0"/>
          <w:marBottom w:val="0"/>
          <w:divBdr>
            <w:top w:val="none" w:sz="0" w:space="0" w:color="auto"/>
            <w:left w:val="none" w:sz="0" w:space="0" w:color="auto"/>
            <w:bottom w:val="none" w:sz="0" w:space="0" w:color="auto"/>
            <w:right w:val="none" w:sz="0" w:space="0" w:color="auto"/>
          </w:divBdr>
        </w:div>
        <w:div w:id="268779289">
          <w:marLeft w:val="640"/>
          <w:marRight w:val="0"/>
          <w:marTop w:val="0"/>
          <w:marBottom w:val="0"/>
          <w:divBdr>
            <w:top w:val="none" w:sz="0" w:space="0" w:color="auto"/>
            <w:left w:val="none" w:sz="0" w:space="0" w:color="auto"/>
            <w:bottom w:val="none" w:sz="0" w:space="0" w:color="auto"/>
            <w:right w:val="none" w:sz="0" w:space="0" w:color="auto"/>
          </w:divBdr>
        </w:div>
      </w:divsChild>
    </w:div>
    <w:div w:id="381559095">
      <w:bodyDiv w:val="1"/>
      <w:marLeft w:val="0"/>
      <w:marRight w:val="0"/>
      <w:marTop w:val="0"/>
      <w:marBottom w:val="0"/>
      <w:divBdr>
        <w:top w:val="none" w:sz="0" w:space="0" w:color="auto"/>
        <w:left w:val="none" w:sz="0" w:space="0" w:color="auto"/>
        <w:bottom w:val="none" w:sz="0" w:space="0" w:color="auto"/>
        <w:right w:val="none" w:sz="0" w:space="0" w:color="auto"/>
      </w:divBdr>
      <w:divsChild>
        <w:div w:id="1821578358">
          <w:marLeft w:val="640"/>
          <w:marRight w:val="0"/>
          <w:marTop w:val="0"/>
          <w:marBottom w:val="0"/>
          <w:divBdr>
            <w:top w:val="none" w:sz="0" w:space="0" w:color="auto"/>
            <w:left w:val="none" w:sz="0" w:space="0" w:color="auto"/>
            <w:bottom w:val="none" w:sz="0" w:space="0" w:color="auto"/>
            <w:right w:val="none" w:sz="0" w:space="0" w:color="auto"/>
          </w:divBdr>
        </w:div>
        <w:div w:id="1428424405">
          <w:marLeft w:val="640"/>
          <w:marRight w:val="0"/>
          <w:marTop w:val="0"/>
          <w:marBottom w:val="0"/>
          <w:divBdr>
            <w:top w:val="none" w:sz="0" w:space="0" w:color="auto"/>
            <w:left w:val="none" w:sz="0" w:space="0" w:color="auto"/>
            <w:bottom w:val="none" w:sz="0" w:space="0" w:color="auto"/>
            <w:right w:val="none" w:sz="0" w:space="0" w:color="auto"/>
          </w:divBdr>
        </w:div>
        <w:div w:id="94175906">
          <w:marLeft w:val="640"/>
          <w:marRight w:val="0"/>
          <w:marTop w:val="0"/>
          <w:marBottom w:val="0"/>
          <w:divBdr>
            <w:top w:val="none" w:sz="0" w:space="0" w:color="auto"/>
            <w:left w:val="none" w:sz="0" w:space="0" w:color="auto"/>
            <w:bottom w:val="none" w:sz="0" w:space="0" w:color="auto"/>
            <w:right w:val="none" w:sz="0" w:space="0" w:color="auto"/>
          </w:divBdr>
        </w:div>
        <w:div w:id="588273691">
          <w:marLeft w:val="640"/>
          <w:marRight w:val="0"/>
          <w:marTop w:val="0"/>
          <w:marBottom w:val="0"/>
          <w:divBdr>
            <w:top w:val="none" w:sz="0" w:space="0" w:color="auto"/>
            <w:left w:val="none" w:sz="0" w:space="0" w:color="auto"/>
            <w:bottom w:val="none" w:sz="0" w:space="0" w:color="auto"/>
            <w:right w:val="none" w:sz="0" w:space="0" w:color="auto"/>
          </w:divBdr>
        </w:div>
        <w:div w:id="112359590">
          <w:marLeft w:val="640"/>
          <w:marRight w:val="0"/>
          <w:marTop w:val="0"/>
          <w:marBottom w:val="0"/>
          <w:divBdr>
            <w:top w:val="none" w:sz="0" w:space="0" w:color="auto"/>
            <w:left w:val="none" w:sz="0" w:space="0" w:color="auto"/>
            <w:bottom w:val="none" w:sz="0" w:space="0" w:color="auto"/>
            <w:right w:val="none" w:sz="0" w:space="0" w:color="auto"/>
          </w:divBdr>
        </w:div>
        <w:div w:id="1052998801">
          <w:marLeft w:val="640"/>
          <w:marRight w:val="0"/>
          <w:marTop w:val="0"/>
          <w:marBottom w:val="0"/>
          <w:divBdr>
            <w:top w:val="none" w:sz="0" w:space="0" w:color="auto"/>
            <w:left w:val="none" w:sz="0" w:space="0" w:color="auto"/>
            <w:bottom w:val="none" w:sz="0" w:space="0" w:color="auto"/>
            <w:right w:val="none" w:sz="0" w:space="0" w:color="auto"/>
          </w:divBdr>
        </w:div>
        <w:div w:id="904149544">
          <w:marLeft w:val="640"/>
          <w:marRight w:val="0"/>
          <w:marTop w:val="0"/>
          <w:marBottom w:val="0"/>
          <w:divBdr>
            <w:top w:val="none" w:sz="0" w:space="0" w:color="auto"/>
            <w:left w:val="none" w:sz="0" w:space="0" w:color="auto"/>
            <w:bottom w:val="none" w:sz="0" w:space="0" w:color="auto"/>
            <w:right w:val="none" w:sz="0" w:space="0" w:color="auto"/>
          </w:divBdr>
        </w:div>
        <w:div w:id="1360005877">
          <w:marLeft w:val="640"/>
          <w:marRight w:val="0"/>
          <w:marTop w:val="0"/>
          <w:marBottom w:val="0"/>
          <w:divBdr>
            <w:top w:val="none" w:sz="0" w:space="0" w:color="auto"/>
            <w:left w:val="none" w:sz="0" w:space="0" w:color="auto"/>
            <w:bottom w:val="none" w:sz="0" w:space="0" w:color="auto"/>
            <w:right w:val="none" w:sz="0" w:space="0" w:color="auto"/>
          </w:divBdr>
        </w:div>
        <w:div w:id="758214489">
          <w:marLeft w:val="640"/>
          <w:marRight w:val="0"/>
          <w:marTop w:val="0"/>
          <w:marBottom w:val="0"/>
          <w:divBdr>
            <w:top w:val="none" w:sz="0" w:space="0" w:color="auto"/>
            <w:left w:val="none" w:sz="0" w:space="0" w:color="auto"/>
            <w:bottom w:val="none" w:sz="0" w:space="0" w:color="auto"/>
            <w:right w:val="none" w:sz="0" w:space="0" w:color="auto"/>
          </w:divBdr>
        </w:div>
        <w:div w:id="2112969066">
          <w:marLeft w:val="640"/>
          <w:marRight w:val="0"/>
          <w:marTop w:val="0"/>
          <w:marBottom w:val="0"/>
          <w:divBdr>
            <w:top w:val="none" w:sz="0" w:space="0" w:color="auto"/>
            <w:left w:val="none" w:sz="0" w:space="0" w:color="auto"/>
            <w:bottom w:val="none" w:sz="0" w:space="0" w:color="auto"/>
            <w:right w:val="none" w:sz="0" w:space="0" w:color="auto"/>
          </w:divBdr>
        </w:div>
        <w:div w:id="1665623485">
          <w:marLeft w:val="640"/>
          <w:marRight w:val="0"/>
          <w:marTop w:val="0"/>
          <w:marBottom w:val="0"/>
          <w:divBdr>
            <w:top w:val="none" w:sz="0" w:space="0" w:color="auto"/>
            <w:left w:val="none" w:sz="0" w:space="0" w:color="auto"/>
            <w:bottom w:val="none" w:sz="0" w:space="0" w:color="auto"/>
            <w:right w:val="none" w:sz="0" w:space="0" w:color="auto"/>
          </w:divBdr>
        </w:div>
        <w:div w:id="50229700">
          <w:marLeft w:val="640"/>
          <w:marRight w:val="0"/>
          <w:marTop w:val="0"/>
          <w:marBottom w:val="0"/>
          <w:divBdr>
            <w:top w:val="none" w:sz="0" w:space="0" w:color="auto"/>
            <w:left w:val="none" w:sz="0" w:space="0" w:color="auto"/>
            <w:bottom w:val="none" w:sz="0" w:space="0" w:color="auto"/>
            <w:right w:val="none" w:sz="0" w:space="0" w:color="auto"/>
          </w:divBdr>
        </w:div>
        <w:div w:id="1244803921">
          <w:marLeft w:val="640"/>
          <w:marRight w:val="0"/>
          <w:marTop w:val="0"/>
          <w:marBottom w:val="0"/>
          <w:divBdr>
            <w:top w:val="none" w:sz="0" w:space="0" w:color="auto"/>
            <w:left w:val="none" w:sz="0" w:space="0" w:color="auto"/>
            <w:bottom w:val="none" w:sz="0" w:space="0" w:color="auto"/>
            <w:right w:val="none" w:sz="0" w:space="0" w:color="auto"/>
          </w:divBdr>
        </w:div>
        <w:div w:id="2121795763">
          <w:marLeft w:val="640"/>
          <w:marRight w:val="0"/>
          <w:marTop w:val="0"/>
          <w:marBottom w:val="0"/>
          <w:divBdr>
            <w:top w:val="none" w:sz="0" w:space="0" w:color="auto"/>
            <w:left w:val="none" w:sz="0" w:space="0" w:color="auto"/>
            <w:bottom w:val="none" w:sz="0" w:space="0" w:color="auto"/>
            <w:right w:val="none" w:sz="0" w:space="0" w:color="auto"/>
          </w:divBdr>
        </w:div>
        <w:div w:id="2136871564">
          <w:marLeft w:val="640"/>
          <w:marRight w:val="0"/>
          <w:marTop w:val="0"/>
          <w:marBottom w:val="0"/>
          <w:divBdr>
            <w:top w:val="none" w:sz="0" w:space="0" w:color="auto"/>
            <w:left w:val="none" w:sz="0" w:space="0" w:color="auto"/>
            <w:bottom w:val="none" w:sz="0" w:space="0" w:color="auto"/>
            <w:right w:val="none" w:sz="0" w:space="0" w:color="auto"/>
          </w:divBdr>
        </w:div>
        <w:div w:id="1837649880">
          <w:marLeft w:val="640"/>
          <w:marRight w:val="0"/>
          <w:marTop w:val="0"/>
          <w:marBottom w:val="0"/>
          <w:divBdr>
            <w:top w:val="none" w:sz="0" w:space="0" w:color="auto"/>
            <w:left w:val="none" w:sz="0" w:space="0" w:color="auto"/>
            <w:bottom w:val="none" w:sz="0" w:space="0" w:color="auto"/>
            <w:right w:val="none" w:sz="0" w:space="0" w:color="auto"/>
          </w:divBdr>
        </w:div>
        <w:div w:id="472915052">
          <w:marLeft w:val="640"/>
          <w:marRight w:val="0"/>
          <w:marTop w:val="0"/>
          <w:marBottom w:val="0"/>
          <w:divBdr>
            <w:top w:val="none" w:sz="0" w:space="0" w:color="auto"/>
            <w:left w:val="none" w:sz="0" w:space="0" w:color="auto"/>
            <w:bottom w:val="none" w:sz="0" w:space="0" w:color="auto"/>
            <w:right w:val="none" w:sz="0" w:space="0" w:color="auto"/>
          </w:divBdr>
        </w:div>
        <w:div w:id="1033771626">
          <w:marLeft w:val="640"/>
          <w:marRight w:val="0"/>
          <w:marTop w:val="0"/>
          <w:marBottom w:val="0"/>
          <w:divBdr>
            <w:top w:val="none" w:sz="0" w:space="0" w:color="auto"/>
            <w:left w:val="none" w:sz="0" w:space="0" w:color="auto"/>
            <w:bottom w:val="none" w:sz="0" w:space="0" w:color="auto"/>
            <w:right w:val="none" w:sz="0" w:space="0" w:color="auto"/>
          </w:divBdr>
        </w:div>
        <w:div w:id="1094400449">
          <w:marLeft w:val="640"/>
          <w:marRight w:val="0"/>
          <w:marTop w:val="0"/>
          <w:marBottom w:val="0"/>
          <w:divBdr>
            <w:top w:val="none" w:sz="0" w:space="0" w:color="auto"/>
            <w:left w:val="none" w:sz="0" w:space="0" w:color="auto"/>
            <w:bottom w:val="none" w:sz="0" w:space="0" w:color="auto"/>
            <w:right w:val="none" w:sz="0" w:space="0" w:color="auto"/>
          </w:divBdr>
        </w:div>
        <w:div w:id="454183642">
          <w:marLeft w:val="640"/>
          <w:marRight w:val="0"/>
          <w:marTop w:val="0"/>
          <w:marBottom w:val="0"/>
          <w:divBdr>
            <w:top w:val="none" w:sz="0" w:space="0" w:color="auto"/>
            <w:left w:val="none" w:sz="0" w:space="0" w:color="auto"/>
            <w:bottom w:val="none" w:sz="0" w:space="0" w:color="auto"/>
            <w:right w:val="none" w:sz="0" w:space="0" w:color="auto"/>
          </w:divBdr>
        </w:div>
        <w:div w:id="1213889051">
          <w:marLeft w:val="640"/>
          <w:marRight w:val="0"/>
          <w:marTop w:val="0"/>
          <w:marBottom w:val="0"/>
          <w:divBdr>
            <w:top w:val="none" w:sz="0" w:space="0" w:color="auto"/>
            <w:left w:val="none" w:sz="0" w:space="0" w:color="auto"/>
            <w:bottom w:val="none" w:sz="0" w:space="0" w:color="auto"/>
            <w:right w:val="none" w:sz="0" w:space="0" w:color="auto"/>
          </w:divBdr>
        </w:div>
        <w:div w:id="785465673">
          <w:marLeft w:val="640"/>
          <w:marRight w:val="0"/>
          <w:marTop w:val="0"/>
          <w:marBottom w:val="0"/>
          <w:divBdr>
            <w:top w:val="none" w:sz="0" w:space="0" w:color="auto"/>
            <w:left w:val="none" w:sz="0" w:space="0" w:color="auto"/>
            <w:bottom w:val="none" w:sz="0" w:space="0" w:color="auto"/>
            <w:right w:val="none" w:sz="0" w:space="0" w:color="auto"/>
          </w:divBdr>
        </w:div>
        <w:div w:id="1330794279">
          <w:marLeft w:val="640"/>
          <w:marRight w:val="0"/>
          <w:marTop w:val="0"/>
          <w:marBottom w:val="0"/>
          <w:divBdr>
            <w:top w:val="none" w:sz="0" w:space="0" w:color="auto"/>
            <w:left w:val="none" w:sz="0" w:space="0" w:color="auto"/>
            <w:bottom w:val="none" w:sz="0" w:space="0" w:color="auto"/>
            <w:right w:val="none" w:sz="0" w:space="0" w:color="auto"/>
          </w:divBdr>
        </w:div>
        <w:div w:id="426581961">
          <w:marLeft w:val="640"/>
          <w:marRight w:val="0"/>
          <w:marTop w:val="0"/>
          <w:marBottom w:val="0"/>
          <w:divBdr>
            <w:top w:val="none" w:sz="0" w:space="0" w:color="auto"/>
            <w:left w:val="none" w:sz="0" w:space="0" w:color="auto"/>
            <w:bottom w:val="none" w:sz="0" w:space="0" w:color="auto"/>
            <w:right w:val="none" w:sz="0" w:space="0" w:color="auto"/>
          </w:divBdr>
        </w:div>
        <w:div w:id="525337165">
          <w:marLeft w:val="640"/>
          <w:marRight w:val="0"/>
          <w:marTop w:val="0"/>
          <w:marBottom w:val="0"/>
          <w:divBdr>
            <w:top w:val="none" w:sz="0" w:space="0" w:color="auto"/>
            <w:left w:val="none" w:sz="0" w:space="0" w:color="auto"/>
            <w:bottom w:val="none" w:sz="0" w:space="0" w:color="auto"/>
            <w:right w:val="none" w:sz="0" w:space="0" w:color="auto"/>
          </w:divBdr>
        </w:div>
        <w:div w:id="1400253543">
          <w:marLeft w:val="640"/>
          <w:marRight w:val="0"/>
          <w:marTop w:val="0"/>
          <w:marBottom w:val="0"/>
          <w:divBdr>
            <w:top w:val="none" w:sz="0" w:space="0" w:color="auto"/>
            <w:left w:val="none" w:sz="0" w:space="0" w:color="auto"/>
            <w:bottom w:val="none" w:sz="0" w:space="0" w:color="auto"/>
            <w:right w:val="none" w:sz="0" w:space="0" w:color="auto"/>
          </w:divBdr>
        </w:div>
        <w:div w:id="5639884">
          <w:marLeft w:val="640"/>
          <w:marRight w:val="0"/>
          <w:marTop w:val="0"/>
          <w:marBottom w:val="0"/>
          <w:divBdr>
            <w:top w:val="none" w:sz="0" w:space="0" w:color="auto"/>
            <w:left w:val="none" w:sz="0" w:space="0" w:color="auto"/>
            <w:bottom w:val="none" w:sz="0" w:space="0" w:color="auto"/>
            <w:right w:val="none" w:sz="0" w:space="0" w:color="auto"/>
          </w:divBdr>
        </w:div>
        <w:div w:id="2037852467">
          <w:marLeft w:val="640"/>
          <w:marRight w:val="0"/>
          <w:marTop w:val="0"/>
          <w:marBottom w:val="0"/>
          <w:divBdr>
            <w:top w:val="none" w:sz="0" w:space="0" w:color="auto"/>
            <w:left w:val="none" w:sz="0" w:space="0" w:color="auto"/>
            <w:bottom w:val="none" w:sz="0" w:space="0" w:color="auto"/>
            <w:right w:val="none" w:sz="0" w:space="0" w:color="auto"/>
          </w:divBdr>
        </w:div>
        <w:div w:id="1153528980">
          <w:marLeft w:val="640"/>
          <w:marRight w:val="0"/>
          <w:marTop w:val="0"/>
          <w:marBottom w:val="0"/>
          <w:divBdr>
            <w:top w:val="none" w:sz="0" w:space="0" w:color="auto"/>
            <w:left w:val="none" w:sz="0" w:space="0" w:color="auto"/>
            <w:bottom w:val="none" w:sz="0" w:space="0" w:color="auto"/>
            <w:right w:val="none" w:sz="0" w:space="0" w:color="auto"/>
          </w:divBdr>
        </w:div>
        <w:div w:id="784426658">
          <w:marLeft w:val="640"/>
          <w:marRight w:val="0"/>
          <w:marTop w:val="0"/>
          <w:marBottom w:val="0"/>
          <w:divBdr>
            <w:top w:val="none" w:sz="0" w:space="0" w:color="auto"/>
            <w:left w:val="none" w:sz="0" w:space="0" w:color="auto"/>
            <w:bottom w:val="none" w:sz="0" w:space="0" w:color="auto"/>
            <w:right w:val="none" w:sz="0" w:space="0" w:color="auto"/>
          </w:divBdr>
        </w:div>
        <w:div w:id="311302240">
          <w:marLeft w:val="640"/>
          <w:marRight w:val="0"/>
          <w:marTop w:val="0"/>
          <w:marBottom w:val="0"/>
          <w:divBdr>
            <w:top w:val="none" w:sz="0" w:space="0" w:color="auto"/>
            <w:left w:val="none" w:sz="0" w:space="0" w:color="auto"/>
            <w:bottom w:val="none" w:sz="0" w:space="0" w:color="auto"/>
            <w:right w:val="none" w:sz="0" w:space="0" w:color="auto"/>
          </w:divBdr>
        </w:div>
        <w:div w:id="1707094446">
          <w:marLeft w:val="640"/>
          <w:marRight w:val="0"/>
          <w:marTop w:val="0"/>
          <w:marBottom w:val="0"/>
          <w:divBdr>
            <w:top w:val="none" w:sz="0" w:space="0" w:color="auto"/>
            <w:left w:val="none" w:sz="0" w:space="0" w:color="auto"/>
            <w:bottom w:val="none" w:sz="0" w:space="0" w:color="auto"/>
            <w:right w:val="none" w:sz="0" w:space="0" w:color="auto"/>
          </w:divBdr>
        </w:div>
        <w:div w:id="2104447214">
          <w:marLeft w:val="640"/>
          <w:marRight w:val="0"/>
          <w:marTop w:val="0"/>
          <w:marBottom w:val="0"/>
          <w:divBdr>
            <w:top w:val="none" w:sz="0" w:space="0" w:color="auto"/>
            <w:left w:val="none" w:sz="0" w:space="0" w:color="auto"/>
            <w:bottom w:val="none" w:sz="0" w:space="0" w:color="auto"/>
            <w:right w:val="none" w:sz="0" w:space="0" w:color="auto"/>
          </w:divBdr>
        </w:div>
        <w:div w:id="735711723">
          <w:marLeft w:val="640"/>
          <w:marRight w:val="0"/>
          <w:marTop w:val="0"/>
          <w:marBottom w:val="0"/>
          <w:divBdr>
            <w:top w:val="none" w:sz="0" w:space="0" w:color="auto"/>
            <w:left w:val="none" w:sz="0" w:space="0" w:color="auto"/>
            <w:bottom w:val="none" w:sz="0" w:space="0" w:color="auto"/>
            <w:right w:val="none" w:sz="0" w:space="0" w:color="auto"/>
          </w:divBdr>
        </w:div>
        <w:div w:id="1369840740">
          <w:marLeft w:val="640"/>
          <w:marRight w:val="0"/>
          <w:marTop w:val="0"/>
          <w:marBottom w:val="0"/>
          <w:divBdr>
            <w:top w:val="none" w:sz="0" w:space="0" w:color="auto"/>
            <w:left w:val="none" w:sz="0" w:space="0" w:color="auto"/>
            <w:bottom w:val="none" w:sz="0" w:space="0" w:color="auto"/>
            <w:right w:val="none" w:sz="0" w:space="0" w:color="auto"/>
          </w:divBdr>
        </w:div>
        <w:div w:id="2113280590">
          <w:marLeft w:val="640"/>
          <w:marRight w:val="0"/>
          <w:marTop w:val="0"/>
          <w:marBottom w:val="0"/>
          <w:divBdr>
            <w:top w:val="none" w:sz="0" w:space="0" w:color="auto"/>
            <w:left w:val="none" w:sz="0" w:space="0" w:color="auto"/>
            <w:bottom w:val="none" w:sz="0" w:space="0" w:color="auto"/>
            <w:right w:val="none" w:sz="0" w:space="0" w:color="auto"/>
          </w:divBdr>
        </w:div>
        <w:div w:id="56439976">
          <w:marLeft w:val="640"/>
          <w:marRight w:val="0"/>
          <w:marTop w:val="0"/>
          <w:marBottom w:val="0"/>
          <w:divBdr>
            <w:top w:val="none" w:sz="0" w:space="0" w:color="auto"/>
            <w:left w:val="none" w:sz="0" w:space="0" w:color="auto"/>
            <w:bottom w:val="none" w:sz="0" w:space="0" w:color="auto"/>
            <w:right w:val="none" w:sz="0" w:space="0" w:color="auto"/>
          </w:divBdr>
        </w:div>
        <w:div w:id="1119496930">
          <w:marLeft w:val="640"/>
          <w:marRight w:val="0"/>
          <w:marTop w:val="0"/>
          <w:marBottom w:val="0"/>
          <w:divBdr>
            <w:top w:val="none" w:sz="0" w:space="0" w:color="auto"/>
            <w:left w:val="none" w:sz="0" w:space="0" w:color="auto"/>
            <w:bottom w:val="none" w:sz="0" w:space="0" w:color="auto"/>
            <w:right w:val="none" w:sz="0" w:space="0" w:color="auto"/>
          </w:divBdr>
        </w:div>
        <w:div w:id="1581721193">
          <w:marLeft w:val="640"/>
          <w:marRight w:val="0"/>
          <w:marTop w:val="0"/>
          <w:marBottom w:val="0"/>
          <w:divBdr>
            <w:top w:val="none" w:sz="0" w:space="0" w:color="auto"/>
            <w:left w:val="none" w:sz="0" w:space="0" w:color="auto"/>
            <w:bottom w:val="none" w:sz="0" w:space="0" w:color="auto"/>
            <w:right w:val="none" w:sz="0" w:space="0" w:color="auto"/>
          </w:divBdr>
        </w:div>
        <w:div w:id="1722553882">
          <w:marLeft w:val="640"/>
          <w:marRight w:val="0"/>
          <w:marTop w:val="0"/>
          <w:marBottom w:val="0"/>
          <w:divBdr>
            <w:top w:val="none" w:sz="0" w:space="0" w:color="auto"/>
            <w:left w:val="none" w:sz="0" w:space="0" w:color="auto"/>
            <w:bottom w:val="none" w:sz="0" w:space="0" w:color="auto"/>
            <w:right w:val="none" w:sz="0" w:space="0" w:color="auto"/>
          </w:divBdr>
        </w:div>
        <w:div w:id="1653289148">
          <w:marLeft w:val="640"/>
          <w:marRight w:val="0"/>
          <w:marTop w:val="0"/>
          <w:marBottom w:val="0"/>
          <w:divBdr>
            <w:top w:val="none" w:sz="0" w:space="0" w:color="auto"/>
            <w:left w:val="none" w:sz="0" w:space="0" w:color="auto"/>
            <w:bottom w:val="none" w:sz="0" w:space="0" w:color="auto"/>
            <w:right w:val="none" w:sz="0" w:space="0" w:color="auto"/>
          </w:divBdr>
        </w:div>
        <w:div w:id="135951628">
          <w:marLeft w:val="640"/>
          <w:marRight w:val="0"/>
          <w:marTop w:val="0"/>
          <w:marBottom w:val="0"/>
          <w:divBdr>
            <w:top w:val="none" w:sz="0" w:space="0" w:color="auto"/>
            <w:left w:val="none" w:sz="0" w:space="0" w:color="auto"/>
            <w:bottom w:val="none" w:sz="0" w:space="0" w:color="auto"/>
            <w:right w:val="none" w:sz="0" w:space="0" w:color="auto"/>
          </w:divBdr>
        </w:div>
        <w:div w:id="2007441377">
          <w:marLeft w:val="640"/>
          <w:marRight w:val="0"/>
          <w:marTop w:val="0"/>
          <w:marBottom w:val="0"/>
          <w:divBdr>
            <w:top w:val="none" w:sz="0" w:space="0" w:color="auto"/>
            <w:left w:val="none" w:sz="0" w:space="0" w:color="auto"/>
            <w:bottom w:val="none" w:sz="0" w:space="0" w:color="auto"/>
            <w:right w:val="none" w:sz="0" w:space="0" w:color="auto"/>
          </w:divBdr>
        </w:div>
        <w:div w:id="72826715">
          <w:marLeft w:val="640"/>
          <w:marRight w:val="0"/>
          <w:marTop w:val="0"/>
          <w:marBottom w:val="0"/>
          <w:divBdr>
            <w:top w:val="none" w:sz="0" w:space="0" w:color="auto"/>
            <w:left w:val="none" w:sz="0" w:space="0" w:color="auto"/>
            <w:bottom w:val="none" w:sz="0" w:space="0" w:color="auto"/>
            <w:right w:val="none" w:sz="0" w:space="0" w:color="auto"/>
          </w:divBdr>
        </w:div>
        <w:div w:id="250313109">
          <w:marLeft w:val="640"/>
          <w:marRight w:val="0"/>
          <w:marTop w:val="0"/>
          <w:marBottom w:val="0"/>
          <w:divBdr>
            <w:top w:val="none" w:sz="0" w:space="0" w:color="auto"/>
            <w:left w:val="none" w:sz="0" w:space="0" w:color="auto"/>
            <w:bottom w:val="none" w:sz="0" w:space="0" w:color="auto"/>
            <w:right w:val="none" w:sz="0" w:space="0" w:color="auto"/>
          </w:divBdr>
        </w:div>
        <w:div w:id="464735980">
          <w:marLeft w:val="640"/>
          <w:marRight w:val="0"/>
          <w:marTop w:val="0"/>
          <w:marBottom w:val="0"/>
          <w:divBdr>
            <w:top w:val="none" w:sz="0" w:space="0" w:color="auto"/>
            <w:left w:val="none" w:sz="0" w:space="0" w:color="auto"/>
            <w:bottom w:val="none" w:sz="0" w:space="0" w:color="auto"/>
            <w:right w:val="none" w:sz="0" w:space="0" w:color="auto"/>
          </w:divBdr>
        </w:div>
        <w:div w:id="1349209749">
          <w:marLeft w:val="640"/>
          <w:marRight w:val="0"/>
          <w:marTop w:val="0"/>
          <w:marBottom w:val="0"/>
          <w:divBdr>
            <w:top w:val="none" w:sz="0" w:space="0" w:color="auto"/>
            <w:left w:val="none" w:sz="0" w:space="0" w:color="auto"/>
            <w:bottom w:val="none" w:sz="0" w:space="0" w:color="auto"/>
            <w:right w:val="none" w:sz="0" w:space="0" w:color="auto"/>
          </w:divBdr>
        </w:div>
        <w:div w:id="896941126">
          <w:marLeft w:val="640"/>
          <w:marRight w:val="0"/>
          <w:marTop w:val="0"/>
          <w:marBottom w:val="0"/>
          <w:divBdr>
            <w:top w:val="none" w:sz="0" w:space="0" w:color="auto"/>
            <w:left w:val="none" w:sz="0" w:space="0" w:color="auto"/>
            <w:bottom w:val="none" w:sz="0" w:space="0" w:color="auto"/>
            <w:right w:val="none" w:sz="0" w:space="0" w:color="auto"/>
          </w:divBdr>
        </w:div>
        <w:div w:id="100414649">
          <w:marLeft w:val="640"/>
          <w:marRight w:val="0"/>
          <w:marTop w:val="0"/>
          <w:marBottom w:val="0"/>
          <w:divBdr>
            <w:top w:val="none" w:sz="0" w:space="0" w:color="auto"/>
            <w:left w:val="none" w:sz="0" w:space="0" w:color="auto"/>
            <w:bottom w:val="none" w:sz="0" w:space="0" w:color="auto"/>
            <w:right w:val="none" w:sz="0" w:space="0" w:color="auto"/>
          </w:divBdr>
        </w:div>
        <w:div w:id="2017687190">
          <w:marLeft w:val="640"/>
          <w:marRight w:val="0"/>
          <w:marTop w:val="0"/>
          <w:marBottom w:val="0"/>
          <w:divBdr>
            <w:top w:val="none" w:sz="0" w:space="0" w:color="auto"/>
            <w:left w:val="none" w:sz="0" w:space="0" w:color="auto"/>
            <w:bottom w:val="none" w:sz="0" w:space="0" w:color="auto"/>
            <w:right w:val="none" w:sz="0" w:space="0" w:color="auto"/>
          </w:divBdr>
        </w:div>
        <w:div w:id="1411346990">
          <w:marLeft w:val="640"/>
          <w:marRight w:val="0"/>
          <w:marTop w:val="0"/>
          <w:marBottom w:val="0"/>
          <w:divBdr>
            <w:top w:val="none" w:sz="0" w:space="0" w:color="auto"/>
            <w:left w:val="none" w:sz="0" w:space="0" w:color="auto"/>
            <w:bottom w:val="none" w:sz="0" w:space="0" w:color="auto"/>
            <w:right w:val="none" w:sz="0" w:space="0" w:color="auto"/>
          </w:divBdr>
        </w:div>
        <w:div w:id="1952317794">
          <w:marLeft w:val="640"/>
          <w:marRight w:val="0"/>
          <w:marTop w:val="0"/>
          <w:marBottom w:val="0"/>
          <w:divBdr>
            <w:top w:val="none" w:sz="0" w:space="0" w:color="auto"/>
            <w:left w:val="none" w:sz="0" w:space="0" w:color="auto"/>
            <w:bottom w:val="none" w:sz="0" w:space="0" w:color="auto"/>
            <w:right w:val="none" w:sz="0" w:space="0" w:color="auto"/>
          </w:divBdr>
        </w:div>
        <w:div w:id="210119383">
          <w:marLeft w:val="640"/>
          <w:marRight w:val="0"/>
          <w:marTop w:val="0"/>
          <w:marBottom w:val="0"/>
          <w:divBdr>
            <w:top w:val="none" w:sz="0" w:space="0" w:color="auto"/>
            <w:left w:val="none" w:sz="0" w:space="0" w:color="auto"/>
            <w:bottom w:val="none" w:sz="0" w:space="0" w:color="auto"/>
            <w:right w:val="none" w:sz="0" w:space="0" w:color="auto"/>
          </w:divBdr>
        </w:div>
        <w:div w:id="1003553361">
          <w:marLeft w:val="640"/>
          <w:marRight w:val="0"/>
          <w:marTop w:val="0"/>
          <w:marBottom w:val="0"/>
          <w:divBdr>
            <w:top w:val="none" w:sz="0" w:space="0" w:color="auto"/>
            <w:left w:val="none" w:sz="0" w:space="0" w:color="auto"/>
            <w:bottom w:val="none" w:sz="0" w:space="0" w:color="auto"/>
            <w:right w:val="none" w:sz="0" w:space="0" w:color="auto"/>
          </w:divBdr>
        </w:div>
        <w:div w:id="1491827784">
          <w:marLeft w:val="640"/>
          <w:marRight w:val="0"/>
          <w:marTop w:val="0"/>
          <w:marBottom w:val="0"/>
          <w:divBdr>
            <w:top w:val="none" w:sz="0" w:space="0" w:color="auto"/>
            <w:left w:val="none" w:sz="0" w:space="0" w:color="auto"/>
            <w:bottom w:val="none" w:sz="0" w:space="0" w:color="auto"/>
            <w:right w:val="none" w:sz="0" w:space="0" w:color="auto"/>
          </w:divBdr>
        </w:div>
        <w:div w:id="1877155368">
          <w:marLeft w:val="640"/>
          <w:marRight w:val="0"/>
          <w:marTop w:val="0"/>
          <w:marBottom w:val="0"/>
          <w:divBdr>
            <w:top w:val="none" w:sz="0" w:space="0" w:color="auto"/>
            <w:left w:val="none" w:sz="0" w:space="0" w:color="auto"/>
            <w:bottom w:val="none" w:sz="0" w:space="0" w:color="auto"/>
            <w:right w:val="none" w:sz="0" w:space="0" w:color="auto"/>
          </w:divBdr>
        </w:div>
        <w:div w:id="1774781174">
          <w:marLeft w:val="640"/>
          <w:marRight w:val="0"/>
          <w:marTop w:val="0"/>
          <w:marBottom w:val="0"/>
          <w:divBdr>
            <w:top w:val="none" w:sz="0" w:space="0" w:color="auto"/>
            <w:left w:val="none" w:sz="0" w:space="0" w:color="auto"/>
            <w:bottom w:val="none" w:sz="0" w:space="0" w:color="auto"/>
            <w:right w:val="none" w:sz="0" w:space="0" w:color="auto"/>
          </w:divBdr>
        </w:div>
        <w:div w:id="235407160">
          <w:marLeft w:val="640"/>
          <w:marRight w:val="0"/>
          <w:marTop w:val="0"/>
          <w:marBottom w:val="0"/>
          <w:divBdr>
            <w:top w:val="none" w:sz="0" w:space="0" w:color="auto"/>
            <w:left w:val="none" w:sz="0" w:space="0" w:color="auto"/>
            <w:bottom w:val="none" w:sz="0" w:space="0" w:color="auto"/>
            <w:right w:val="none" w:sz="0" w:space="0" w:color="auto"/>
          </w:divBdr>
        </w:div>
        <w:div w:id="137262990">
          <w:marLeft w:val="640"/>
          <w:marRight w:val="0"/>
          <w:marTop w:val="0"/>
          <w:marBottom w:val="0"/>
          <w:divBdr>
            <w:top w:val="none" w:sz="0" w:space="0" w:color="auto"/>
            <w:left w:val="none" w:sz="0" w:space="0" w:color="auto"/>
            <w:bottom w:val="none" w:sz="0" w:space="0" w:color="auto"/>
            <w:right w:val="none" w:sz="0" w:space="0" w:color="auto"/>
          </w:divBdr>
        </w:div>
        <w:div w:id="980960091">
          <w:marLeft w:val="640"/>
          <w:marRight w:val="0"/>
          <w:marTop w:val="0"/>
          <w:marBottom w:val="0"/>
          <w:divBdr>
            <w:top w:val="none" w:sz="0" w:space="0" w:color="auto"/>
            <w:left w:val="none" w:sz="0" w:space="0" w:color="auto"/>
            <w:bottom w:val="none" w:sz="0" w:space="0" w:color="auto"/>
            <w:right w:val="none" w:sz="0" w:space="0" w:color="auto"/>
          </w:divBdr>
        </w:div>
        <w:div w:id="2003269218">
          <w:marLeft w:val="640"/>
          <w:marRight w:val="0"/>
          <w:marTop w:val="0"/>
          <w:marBottom w:val="0"/>
          <w:divBdr>
            <w:top w:val="none" w:sz="0" w:space="0" w:color="auto"/>
            <w:left w:val="none" w:sz="0" w:space="0" w:color="auto"/>
            <w:bottom w:val="none" w:sz="0" w:space="0" w:color="auto"/>
            <w:right w:val="none" w:sz="0" w:space="0" w:color="auto"/>
          </w:divBdr>
        </w:div>
        <w:div w:id="1267159290">
          <w:marLeft w:val="640"/>
          <w:marRight w:val="0"/>
          <w:marTop w:val="0"/>
          <w:marBottom w:val="0"/>
          <w:divBdr>
            <w:top w:val="none" w:sz="0" w:space="0" w:color="auto"/>
            <w:left w:val="none" w:sz="0" w:space="0" w:color="auto"/>
            <w:bottom w:val="none" w:sz="0" w:space="0" w:color="auto"/>
            <w:right w:val="none" w:sz="0" w:space="0" w:color="auto"/>
          </w:divBdr>
        </w:div>
        <w:div w:id="756711159">
          <w:marLeft w:val="640"/>
          <w:marRight w:val="0"/>
          <w:marTop w:val="0"/>
          <w:marBottom w:val="0"/>
          <w:divBdr>
            <w:top w:val="none" w:sz="0" w:space="0" w:color="auto"/>
            <w:left w:val="none" w:sz="0" w:space="0" w:color="auto"/>
            <w:bottom w:val="none" w:sz="0" w:space="0" w:color="auto"/>
            <w:right w:val="none" w:sz="0" w:space="0" w:color="auto"/>
          </w:divBdr>
        </w:div>
        <w:div w:id="2062553527">
          <w:marLeft w:val="640"/>
          <w:marRight w:val="0"/>
          <w:marTop w:val="0"/>
          <w:marBottom w:val="0"/>
          <w:divBdr>
            <w:top w:val="none" w:sz="0" w:space="0" w:color="auto"/>
            <w:left w:val="none" w:sz="0" w:space="0" w:color="auto"/>
            <w:bottom w:val="none" w:sz="0" w:space="0" w:color="auto"/>
            <w:right w:val="none" w:sz="0" w:space="0" w:color="auto"/>
          </w:divBdr>
        </w:div>
        <w:div w:id="1018779753">
          <w:marLeft w:val="640"/>
          <w:marRight w:val="0"/>
          <w:marTop w:val="0"/>
          <w:marBottom w:val="0"/>
          <w:divBdr>
            <w:top w:val="none" w:sz="0" w:space="0" w:color="auto"/>
            <w:left w:val="none" w:sz="0" w:space="0" w:color="auto"/>
            <w:bottom w:val="none" w:sz="0" w:space="0" w:color="auto"/>
            <w:right w:val="none" w:sz="0" w:space="0" w:color="auto"/>
          </w:divBdr>
        </w:div>
        <w:div w:id="582564198">
          <w:marLeft w:val="640"/>
          <w:marRight w:val="0"/>
          <w:marTop w:val="0"/>
          <w:marBottom w:val="0"/>
          <w:divBdr>
            <w:top w:val="none" w:sz="0" w:space="0" w:color="auto"/>
            <w:left w:val="none" w:sz="0" w:space="0" w:color="auto"/>
            <w:bottom w:val="none" w:sz="0" w:space="0" w:color="auto"/>
            <w:right w:val="none" w:sz="0" w:space="0" w:color="auto"/>
          </w:divBdr>
        </w:div>
        <w:div w:id="776292408">
          <w:marLeft w:val="640"/>
          <w:marRight w:val="0"/>
          <w:marTop w:val="0"/>
          <w:marBottom w:val="0"/>
          <w:divBdr>
            <w:top w:val="none" w:sz="0" w:space="0" w:color="auto"/>
            <w:left w:val="none" w:sz="0" w:space="0" w:color="auto"/>
            <w:bottom w:val="none" w:sz="0" w:space="0" w:color="auto"/>
            <w:right w:val="none" w:sz="0" w:space="0" w:color="auto"/>
          </w:divBdr>
        </w:div>
        <w:div w:id="631324342">
          <w:marLeft w:val="640"/>
          <w:marRight w:val="0"/>
          <w:marTop w:val="0"/>
          <w:marBottom w:val="0"/>
          <w:divBdr>
            <w:top w:val="none" w:sz="0" w:space="0" w:color="auto"/>
            <w:left w:val="none" w:sz="0" w:space="0" w:color="auto"/>
            <w:bottom w:val="none" w:sz="0" w:space="0" w:color="auto"/>
            <w:right w:val="none" w:sz="0" w:space="0" w:color="auto"/>
          </w:divBdr>
        </w:div>
        <w:div w:id="815992949">
          <w:marLeft w:val="640"/>
          <w:marRight w:val="0"/>
          <w:marTop w:val="0"/>
          <w:marBottom w:val="0"/>
          <w:divBdr>
            <w:top w:val="none" w:sz="0" w:space="0" w:color="auto"/>
            <w:left w:val="none" w:sz="0" w:space="0" w:color="auto"/>
            <w:bottom w:val="none" w:sz="0" w:space="0" w:color="auto"/>
            <w:right w:val="none" w:sz="0" w:space="0" w:color="auto"/>
          </w:divBdr>
        </w:div>
        <w:div w:id="91055191">
          <w:marLeft w:val="640"/>
          <w:marRight w:val="0"/>
          <w:marTop w:val="0"/>
          <w:marBottom w:val="0"/>
          <w:divBdr>
            <w:top w:val="none" w:sz="0" w:space="0" w:color="auto"/>
            <w:left w:val="none" w:sz="0" w:space="0" w:color="auto"/>
            <w:bottom w:val="none" w:sz="0" w:space="0" w:color="auto"/>
            <w:right w:val="none" w:sz="0" w:space="0" w:color="auto"/>
          </w:divBdr>
        </w:div>
        <w:div w:id="500899855">
          <w:marLeft w:val="640"/>
          <w:marRight w:val="0"/>
          <w:marTop w:val="0"/>
          <w:marBottom w:val="0"/>
          <w:divBdr>
            <w:top w:val="none" w:sz="0" w:space="0" w:color="auto"/>
            <w:left w:val="none" w:sz="0" w:space="0" w:color="auto"/>
            <w:bottom w:val="none" w:sz="0" w:space="0" w:color="auto"/>
            <w:right w:val="none" w:sz="0" w:space="0" w:color="auto"/>
          </w:divBdr>
        </w:div>
        <w:div w:id="105930881">
          <w:marLeft w:val="640"/>
          <w:marRight w:val="0"/>
          <w:marTop w:val="0"/>
          <w:marBottom w:val="0"/>
          <w:divBdr>
            <w:top w:val="none" w:sz="0" w:space="0" w:color="auto"/>
            <w:left w:val="none" w:sz="0" w:space="0" w:color="auto"/>
            <w:bottom w:val="none" w:sz="0" w:space="0" w:color="auto"/>
            <w:right w:val="none" w:sz="0" w:space="0" w:color="auto"/>
          </w:divBdr>
        </w:div>
        <w:div w:id="54469950">
          <w:marLeft w:val="640"/>
          <w:marRight w:val="0"/>
          <w:marTop w:val="0"/>
          <w:marBottom w:val="0"/>
          <w:divBdr>
            <w:top w:val="none" w:sz="0" w:space="0" w:color="auto"/>
            <w:left w:val="none" w:sz="0" w:space="0" w:color="auto"/>
            <w:bottom w:val="none" w:sz="0" w:space="0" w:color="auto"/>
            <w:right w:val="none" w:sz="0" w:space="0" w:color="auto"/>
          </w:divBdr>
        </w:div>
        <w:div w:id="137500941">
          <w:marLeft w:val="640"/>
          <w:marRight w:val="0"/>
          <w:marTop w:val="0"/>
          <w:marBottom w:val="0"/>
          <w:divBdr>
            <w:top w:val="none" w:sz="0" w:space="0" w:color="auto"/>
            <w:left w:val="none" w:sz="0" w:space="0" w:color="auto"/>
            <w:bottom w:val="none" w:sz="0" w:space="0" w:color="auto"/>
            <w:right w:val="none" w:sz="0" w:space="0" w:color="auto"/>
          </w:divBdr>
        </w:div>
        <w:div w:id="1732996418">
          <w:marLeft w:val="640"/>
          <w:marRight w:val="0"/>
          <w:marTop w:val="0"/>
          <w:marBottom w:val="0"/>
          <w:divBdr>
            <w:top w:val="none" w:sz="0" w:space="0" w:color="auto"/>
            <w:left w:val="none" w:sz="0" w:space="0" w:color="auto"/>
            <w:bottom w:val="none" w:sz="0" w:space="0" w:color="auto"/>
            <w:right w:val="none" w:sz="0" w:space="0" w:color="auto"/>
          </w:divBdr>
        </w:div>
        <w:div w:id="1037239466">
          <w:marLeft w:val="640"/>
          <w:marRight w:val="0"/>
          <w:marTop w:val="0"/>
          <w:marBottom w:val="0"/>
          <w:divBdr>
            <w:top w:val="none" w:sz="0" w:space="0" w:color="auto"/>
            <w:left w:val="none" w:sz="0" w:space="0" w:color="auto"/>
            <w:bottom w:val="none" w:sz="0" w:space="0" w:color="auto"/>
            <w:right w:val="none" w:sz="0" w:space="0" w:color="auto"/>
          </w:divBdr>
        </w:div>
        <w:div w:id="57629683">
          <w:marLeft w:val="640"/>
          <w:marRight w:val="0"/>
          <w:marTop w:val="0"/>
          <w:marBottom w:val="0"/>
          <w:divBdr>
            <w:top w:val="none" w:sz="0" w:space="0" w:color="auto"/>
            <w:left w:val="none" w:sz="0" w:space="0" w:color="auto"/>
            <w:bottom w:val="none" w:sz="0" w:space="0" w:color="auto"/>
            <w:right w:val="none" w:sz="0" w:space="0" w:color="auto"/>
          </w:divBdr>
        </w:div>
        <w:div w:id="1697467639">
          <w:marLeft w:val="640"/>
          <w:marRight w:val="0"/>
          <w:marTop w:val="0"/>
          <w:marBottom w:val="0"/>
          <w:divBdr>
            <w:top w:val="none" w:sz="0" w:space="0" w:color="auto"/>
            <w:left w:val="none" w:sz="0" w:space="0" w:color="auto"/>
            <w:bottom w:val="none" w:sz="0" w:space="0" w:color="auto"/>
            <w:right w:val="none" w:sz="0" w:space="0" w:color="auto"/>
          </w:divBdr>
        </w:div>
        <w:div w:id="1398358175">
          <w:marLeft w:val="640"/>
          <w:marRight w:val="0"/>
          <w:marTop w:val="0"/>
          <w:marBottom w:val="0"/>
          <w:divBdr>
            <w:top w:val="none" w:sz="0" w:space="0" w:color="auto"/>
            <w:left w:val="none" w:sz="0" w:space="0" w:color="auto"/>
            <w:bottom w:val="none" w:sz="0" w:space="0" w:color="auto"/>
            <w:right w:val="none" w:sz="0" w:space="0" w:color="auto"/>
          </w:divBdr>
        </w:div>
        <w:div w:id="678889963">
          <w:marLeft w:val="640"/>
          <w:marRight w:val="0"/>
          <w:marTop w:val="0"/>
          <w:marBottom w:val="0"/>
          <w:divBdr>
            <w:top w:val="none" w:sz="0" w:space="0" w:color="auto"/>
            <w:left w:val="none" w:sz="0" w:space="0" w:color="auto"/>
            <w:bottom w:val="none" w:sz="0" w:space="0" w:color="auto"/>
            <w:right w:val="none" w:sz="0" w:space="0" w:color="auto"/>
          </w:divBdr>
        </w:div>
        <w:div w:id="1267809346">
          <w:marLeft w:val="640"/>
          <w:marRight w:val="0"/>
          <w:marTop w:val="0"/>
          <w:marBottom w:val="0"/>
          <w:divBdr>
            <w:top w:val="none" w:sz="0" w:space="0" w:color="auto"/>
            <w:left w:val="none" w:sz="0" w:space="0" w:color="auto"/>
            <w:bottom w:val="none" w:sz="0" w:space="0" w:color="auto"/>
            <w:right w:val="none" w:sz="0" w:space="0" w:color="auto"/>
          </w:divBdr>
        </w:div>
        <w:div w:id="1698045063">
          <w:marLeft w:val="640"/>
          <w:marRight w:val="0"/>
          <w:marTop w:val="0"/>
          <w:marBottom w:val="0"/>
          <w:divBdr>
            <w:top w:val="none" w:sz="0" w:space="0" w:color="auto"/>
            <w:left w:val="none" w:sz="0" w:space="0" w:color="auto"/>
            <w:bottom w:val="none" w:sz="0" w:space="0" w:color="auto"/>
            <w:right w:val="none" w:sz="0" w:space="0" w:color="auto"/>
          </w:divBdr>
        </w:div>
        <w:div w:id="368459325">
          <w:marLeft w:val="640"/>
          <w:marRight w:val="0"/>
          <w:marTop w:val="0"/>
          <w:marBottom w:val="0"/>
          <w:divBdr>
            <w:top w:val="none" w:sz="0" w:space="0" w:color="auto"/>
            <w:left w:val="none" w:sz="0" w:space="0" w:color="auto"/>
            <w:bottom w:val="none" w:sz="0" w:space="0" w:color="auto"/>
            <w:right w:val="none" w:sz="0" w:space="0" w:color="auto"/>
          </w:divBdr>
        </w:div>
        <w:div w:id="659163230">
          <w:marLeft w:val="640"/>
          <w:marRight w:val="0"/>
          <w:marTop w:val="0"/>
          <w:marBottom w:val="0"/>
          <w:divBdr>
            <w:top w:val="none" w:sz="0" w:space="0" w:color="auto"/>
            <w:left w:val="none" w:sz="0" w:space="0" w:color="auto"/>
            <w:bottom w:val="none" w:sz="0" w:space="0" w:color="auto"/>
            <w:right w:val="none" w:sz="0" w:space="0" w:color="auto"/>
          </w:divBdr>
        </w:div>
        <w:div w:id="722800132">
          <w:marLeft w:val="640"/>
          <w:marRight w:val="0"/>
          <w:marTop w:val="0"/>
          <w:marBottom w:val="0"/>
          <w:divBdr>
            <w:top w:val="none" w:sz="0" w:space="0" w:color="auto"/>
            <w:left w:val="none" w:sz="0" w:space="0" w:color="auto"/>
            <w:bottom w:val="none" w:sz="0" w:space="0" w:color="auto"/>
            <w:right w:val="none" w:sz="0" w:space="0" w:color="auto"/>
          </w:divBdr>
        </w:div>
        <w:div w:id="1316646031">
          <w:marLeft w:val="640"/>
          <w:marRight w:val="0"/>
          <w:marTop w:val="0"/>
          <w:marBottom w:val="0"/>
          <w:divBdr>
            <w:top w:val="none" w:sz="0" w:space="0" w:color="auto"/>
            <w:left w:val="none" w:sz="0" w:space="0" w:color="auto"/>
            <w:bottom w:val="none" w:sz="0" w:space="0" w:color="auto"/>
            <w:right w:val="none" w:sz="0" w:space="0" w:color="auto"/>
          </w:divBdr>
        </w:div>
        <w:div w:id="1647273261">
          <w:marLeft w:val="640"/>
          <w:marRight w:val="0"/>
          <w:marTop w:val="0"/>
          <w:marBottom w:val="0"/>
          <w:divBdr>
            <w:top w:val="none" w:sz="0" w:space="0" w:color="auto"/>
            <w:left w:val="none" w:sz="0" w:space="0" w:color="auto"/>
            <w:bottom w:val="none" w:sz="0" w:space="0" w:color="auto"/>
            <w:right w:val="none" w:sz="0" w:space="0" w:color="auto"/>
          </w:divBdr>
        </w:div>
        <w:div w:id="525673659">
          <w:marLeft w:val="640"/>
          <w:marRight w:val="0"/>
          <w:marTop w:val="0"/>
          <w:marBottom w:val="0"/>
          <w:divBdr>
            <w:top w:val="none" w:sz="0" w:space="0" w:color="auto"/>
            <w:left w:val="none" w:sz="0" w:space="0" w:color="auto"/>
            <w:bottom w:val="none" w:sz="0" w:space="0" w:color="auto"/>
            <w:right w:val="none" w:sz="0" w:space="0" w:color="auto"/>
          </w:divBdr>
        </w:div>
        <w:div w:id="1858349796">
          <w:marLeft w:val="640"/>
          <w:marRight w:val="0"/>
          <w:marTop w:val="0"/>
          <w:marBottom w:val="0"/>
          <w:divBdr>
            <w:top w:val="none" w:sz="0" w:space="0" w:color="auto"/>
            <w:left w:val="none" w:sz="0" w:space="0" w:color="auto"/>
            <w:bottom w:val="none" w:sz="0" w:space="0" w:color="auto"/>
            <w:right w:val="none" w:sz="0" w:space="0" w:color="auto"/>
          </w:divBdr>
        </w:div>
        <w:div w:id="1411152075">
          <w:marLeft w:val="640"/>
          <w:marRight w:val="0"/>
          <w:marTop w:val="0"/>
          <w:marBottom w:val="0"/>
          <w:divBdr>
            <w:top w:val="none" w:sz="0" w:space="0" w:color="auto"/>
            <w:left w:val="none" w:sz="0" w:space="0" w:color="auto"/>
            <w:bottom w:val="none" w:sz="0" w:space="0" w:color="auto"/>
            <w:right w:val="none" w:sz="0" w:space="0" w:color="auto"/>
          </w:divBdr>
        </w:div>
        <w:div w:id="1469544400">
          <w:marLeft w:val="640"/>
          <w:marRight w:val="0"/>
          <w:marTop w:val="0"/>
          <w:marBottom w:val="0"/>
          <w:divBdr>
            <w:top w:val="none" w:sz="0" w:space="0" w:color="auto"/>
            <w:left w:val="none" w:sz="0" w:space="0" w:color="auto"/>
            <w:bottom w:val="none" w:sz="0" w:space="0" w:color="auto"/>
            <w:right w:val="none" w:sz="0" w:space="0" w:color="auto"/>
          </w:divBdr>
        </w:div>
        <w:div w:id="453331352">
          <w:marLeft w:val="640"/>
          <w:marRight w:val="0"/>
          <w:marTop w:val="0"/>
          <w:marBottom w:val="0"/>
          <w:divBdr>
            <w:top w:val="none" w:sz="0" w:space="0" w:color="auto"/>
            <w:left w:val="none" w:sz="0" w:space="0" w:color="auto"/>
            <w:bottom w:val="none" w:sz="0" w:space="0" w:color="auto"/>
            <w:right w:val="none" w:sz="0" w:space="0" w:color="auto"/>
          </w:divBdr>
        </w:div>
        <w:div w:id="1327587343">
          <w:marLeft w:val="640"/>
          <w:marRight w:val="0"/>
          <w:marTop w:val="0"/>
          <w:marBottom w:val="0"/>
          <w:divBdr>
            <w:top w:val="none" w:sz="0" w:space="0" w:color="auto"/>
            <w:left w:val="none" w:sz="0" w:space="0" w:color="auto"/>
            <w:bottom w:val="none" w:sz="0" w:space="0" w:color="auto"/>
            <w:right w:val="none" w:sz="0" w:space="0" w:color="auto"/>
          </w:divBdr>
        </w:div>
        <w:div w:id="1052847498">
          <w:marLeft w:val="640"/>
          <w:marRight w:val="0"/>
          <w:marTop w:val="0"/>
          <w:marBottom w:val="0"/>
          <w:divBdr>
            <w:top w:val="none" w:sz="0" w:space="0" w:color="auto"/>
            <w:left w:val="none" w:sz="0" w:space="0" w:color="auto"/>
            <w:bottom w:val="none" w:sz="0" w:space="0" w:color="auto"/>
            <w:right w:val="none" w:sz="0" w:space="0" w:color="auto"/>
          </w:divBdr>
        </w:div>
        <w:div w:id="2030908540">
          <w:marLeft w:val="640"/>
          <w:marRight w:val="0"/>
          <w:marTop w:val="0"/>
          <w:marBottom w:val="0"/>
          <w:divBdr>
            <w:top w:val="none" w:sz="0" w:space="0" w:color="auto"/>
            <w:left w:val="none" w:sz="0" w:space="0" w:color="auto"/>
            <w:bottom w:val="none" w:sz="0" w:space="0" w:color="auto"/>
            <w:right w:val="none" w:sz="0" w:space="0" w:color="auto"/>
          </w:divBdr>
        </w:div>
        <w:div w:id="1798450359">
          <w:marLeft w:val="640"/>
          <w:marRight w:val="0"/>
          <w:marTop w:val="0"/>
          <w:marBottom w:val="0"/>
          <w:divBdr>
            <w:top w:val="none" w:sz="0" w:space="0" w:color="auto"/>
            <w:left w:val="none" w:sz="0" w:space="0" w:color="auto"/>
            <w:bottom w:val="none" w:sz="0" w:space="0" w:color="auto"/>
            <w:right w:val="none" w:sz="0" w:space="0" w:color="auto"/>
          </w:divBdr>
        </w:div>
        <w:div w:id="1947351658">
          <w:marLeft w:val="640"/>
          <w:marRight w:val="0"/>
          <w:marTop w:val="0"/>
          <w:marBottom w:val="0"/>
          <w:divBdr>
            <w:top w:val="none" w:sz="0" w:space="0" w:color="auto"/>
            <w:left w:val="none" w:sz="0" w:space="0" w:color="auto"/>
            <w:bottom w:val="none" w:sz="0" w:space="0" w:color="auto"/>
            <w:right w:val="none" w:sz="0" w:space="0" w:color="auto"/>
          </w:divBdr>
        </w:div>
        <w:div w:id="154534532">
          <w:marLeft w:val="640"/>
          <w:marRight w:val="0"/>
          <w:marTop w:val="0"/>
          <w:marBottom w:val="0"/>
          <w:divBdr>
            <w:top w:val="none" w:sz="0" w:space="0" w:color="auto"/>
            <w:left w:val="none" w:sz="0" w:space="0" w:color="auto"/>
            <w:bottom w:val="none" w:sz="0" w:space="0" w:color="auto"/>
            <w:right w:val="none" w:sz="0" w:space="0" w:color="auto"/>
          </w:divBdr>
        </w:div>
        <w:div w:id="1277716653">
          <w:marLeft w:val="640"/>
          <w:marRight w:val="0"/>
          <w:marTop w:val="0"/>
          <w:marBottom w:val="0"/>
          <w:divBdr>
            <w:top w:val="none" w:sz="0" w:space="0" w:color="auto"/>
            <w:left w:val="none" w:sz="0" w:space="0" w:color="auto"/>
            <w:bottom w:val="none" w:sz="0" w:space="0" w:color="auto"/>
            <w:right w:val="none" w:sz="0" w:space="0" w:color="auto"/>
          </w:divBdr>
        </w:div>
        <w:div w:id="973218624">
          <w:marLeft w:val="640"/>
          <w:marRight w:val="0"/>
          <w:marTop w:val="0"/>
          <w:marBottom w:val="0"/>
          <w:divBdr>
            <w:top w:val="none" w:sz="0" w:space="0" w:color="auto"/>
            <w:left w:val="none" w:sz="0" w:space="0" w:color="auto"/>
            <w:bottom w:val="none" w:sz="0" w:space="0" w:color="auto"/>
            <w:right w:val="none" w:sz="0" w:space="0" w:color="auto"/>
          </w:divBdr>
        </w:div>
        <w:div w:id="1904101">
          <w:marLeft w:val="640"/>
          <w:marRight w:val="0"/>
          <w:marTop w:val="0"/>
          <w:marBottom w:val="0"/>
          <w:divBdr>
            <w:top w:val="none" w:sz="0" w:space="0" w:color="auto"/>
            <w:left w:val="none" w:sz="0" w:space="0" w:color="auto"/>
            <w:bottom w:val="none" w:sz="0" w:space="0" w:color="auto"/>
            <w:right w:val="none" w:sz="0" w:space="0" w:color="auto"/>
          </w:divBdr>
        </w:div>
        <w:div w:id="1642690480">
          <w:marLeft w:val="640"/>
          <w:marRight w:val="0"/>
          <w:marTop w:val="0"/>
          <w:marBottom w:val="0"/>
          <w:divBdr>
            <w:top w:val="none" w:sz="0" w:space="0" w:color="auto"/>
            <w:left w:val="none" w:sz="0" w:space="0" w:color="auto"/>
            <w:bottom w:val="none" w:sz="0" w:space="0" w:color="auto"/>
            <w:right w:val="none" w:sz="0" w:space="0" w:color="auto"/>
          </w:divBdr>
        </w:div>
        <w:div w:id="408306780">
          <w:marLeft w:val="640"/>
          <w:marRight w:val="0"/>
          <w:marTop w:val="0"/>
          <w:marBottom w:val="0"/>
          <w:divBdr>
            <w:top w:val="none" w:sz="0" w:space="0" w:color="auto"/>
            <w:left w:val="none" w:sz="0" w:space="0" w:color="auto"/>
            <w:bottom w:val="none" w:sz="0" w:space="0" w:color="auto"/>
            <w:right w:val="none" w:sz="0" w:space="0" w:color="auto"/>
          </w:divBdr>
        </w:div>
        <w:div w:id="199635710">
          <w:marLeft w:val="640"/>
          <w:marRight w:val="0"/>
          <w:marTop w:val="0"/>
          <w:marBottom w:val="0"/>
          <w:divBdr>
            <w:top w:val="none" w:sz="0" w:space="0" w:color="auto"/>
            <w:left w:val="none" w:sz="0" w:space="0" w:color="auto"/>
            <w:bottom w:val="none" w:sz="0" w:space="0" w:color="auto"/>
            <w:right w:val="none" w:sz="0" w:space="0" w:color="auto"/>
          </w:divBdr>
        </w:div>
        <w:div w:id="469783859">
          <w:marLeft w:val="640"/>
          <w:marRight w:val="0"/>
          <w:marTop w:val="0"/>
          <w:marBottom w:val="0"/>
          <w:divBdr>
            <w:top w:val="none" w:sz="0" w:space="0" w:color="auto"/>
            <w:left w:val="none" w:sz="0" w:space="0" w:color="auto"/>
            <w:bottom w:val="none" w:sz="0" w:space="0" w:color="auto"/>
            <w:right w:val="none" w:sz="0" w:space="0" w:color="auto"/>
          </w:divBdr>
        </w:div>
        <w:div w:id="834229303">
          <w:marLeft w:val="640"/>
          <w:marRight w:val="0"/>
          <w:marTop w:val="0"/>
          <w:marBottom w:val="0"/>
          <w:divBdr>
            <w:top w:val="none" w:sz="0" w:space="0" w:color="auto"/>
            <w:left w:val="none" w:sz="0" w:space="0" w:color="auto"/>
            <w:bottom w:val="none" w:sz="0" w:space="0" w:color="auto"/>
            <w:right w:val="none" w:sz="0" w:space="0" w:color="auto"/>
          </w:divBdr>
        </w:div>
        <w:div w:id="534973384">
          <w:marLeft w:val="640"/>
          <w:marRight w:val="0"/>
          <w:marTop w:val="0"/>
          <w:marBottom w:val="0"/>
          <w:divBdr>
            <w:top w:val="none" w:sz="0" w:space="0" w:color="auto"/>
            <w:left w:val="none" w:sz="0" w:space="0" w:color="auto"/>
            <w:bottom w:val="none" w:sz="0" w:space="0" w:color="auto"/>
            <w:right w:val="none" w:sz="0" w:space="0" w:color="auto"/>
          </w:divBdr>
        </w:div>
        <w:div w:id="2085181953">
          <w:marLeft w:val="640"/>
          <w:marRight w:val="0"/>
          <w:marTop w:val="0"/>
          <w:marBottom w:val="0"/>
          <w:divBdr>
            <w:top w:val="none" w:sz="0" w:space="0" w:color="auto"/>
            <w:left w:val="none" w:sz="0" w:space="0" w:color="auto"/>
            <w:bottom w:val="none" w:sz="0" w:space="0" w:color="auto"/>
            <w:right w:val="none" w:sz="0" w:space="0" w:color="auto"/>
          </w:divBdr>
        </w:div>
        <w:div w:id="2006320226">
          <w:marLeft w:val="640"/>
          <w:marRight w:val="0"/>
          <w:marTop w:val="0"/>
          <w:marBottom w:val="0"/>
          <w:divBdr>
            <w:top w:val="none" w:sz="0" w:space="0" w:color="auto"/>
            <w:left w:val="none" w:sz="0" w:space="0" w:color="auto"/>
            <w:bottom w:val="none" w:sz="0" w:space="0" w:color="auto"/>
            <w:right w:val="none" w:sz="0" w:space="0" w:color="auto"/>
          </w:divBdr>
        </w:div>
        <w:div w:id="1459253276">
          <w:marLeft w:val="640"/>
          <w:marRight w:val="0"/>
          <w:marTop w:val="0"/>
          <w:marBottom w:val="0"/>
          <w:divBdr>
            <w:top w:val="none" w:sz="0" w:space="0" w:color="auto"/>
            <w:left w:val="none" w:sz="0" w:space="0" w:color="auto"/>
            <w:bottom w:val="none" w:sz="0" w:space="0" w:color="auto"/>
            <w:right w:val="none" w:sz="0" w:space="0" w:color="auto"/>
          </w:divBdr>
        </w:div>
        <w:div w:id="1915628202">
          <w:marLeft w:val="640"/>
          <w:marRight w:val="0"/>
          <w:marTop w:val="0"/>
          <w:marBottom w:val="0"/>
          <w:divBdr>
            <w:top w:val="none" w:sz="0" w:space="0" w:color="auto"/>
            <w:left w:val="none" w:sz="0" w:space="0" w:color="auto"/>
            <w:bottom w:val="none" w:sz="0" w:space="0" w:color="auto"/>
            <w:right w:val="none" w:sz="0" w:space="0" w:color="auto"/>
          </w:divBdr>
        </w:div>
        <w:div w:id="179662680">
          <w:marLeft w:val="640"/>
          <w:marRight w:val="0"/>
          <w:marTop w:val="0"/>
          <w:marBottom w:val="0"/>
          <w:divBdr>
            <w:top w:val="none" w:sz="0" w:space="0" w:color="auto"/>
            <w:left w:val="none" w:sz="0" w:space="0" w:color="auto"/>
            <w:bottom w:val="none" w:sz="0" w:space="0" w:color="auto"/>
            <w:right w:val="none" w:sz="0" w:space="0" w:color="auto"/>
          </w:divBdr>
        </w:div>
        <w:div w:id="1370111798">
          <w:marLeft w:val="640"/>
          <w:marRight w:val="0"/>
          <w:marTop w:val="0"/>
          <w:marBottom w:val="0"/>
          <w:divBdr>
            <w:top w:val="none" w:sz="0" w:space="0" w:color="auto"/>
            <w:left w:val="none" w:sz="0" w:space="0" w:color="auto"/>
            <w:bottom w:val="none" w:sz="0" w:space="0" w:color="auto"/>
            <w:right w:val="none" w:sz="0" w:space="0" w:color="auto"/>
          </w:divBdr>
        </w:div>
        <w:div w:id="478962420">
          <w:marLeft w:val="640"/>
          <w:marRight w:val="0"/>
          <w:marTop w:val="0"/>
          <w:marBottom w:val="0"/>
          <w:divBdr>
            <w:top w:val="none" w:sz="0" w:space="0" w:color="auto"/>
            <w:left w:val="none" w:sz="0" w:space="0" w:color="auto"/>
            <w:bottom w:val="none" w:sz="0" w:space="0" w:color="auto"/>
            <w:right w:val="none" w:sz="0" w:space="0" w:color="auto"/>
          </w:divBdr>
        </w:div>
        <w:div w:id="217867440">
          <w:marLeft w:val="640"/>
          <w:marRight w:val="0"/>
          <w:marTop w:val="0"/>
          <w:marBottom w:val="0"/>
          <w:divBdr>
            <w:top w:val="none" w:sz="0" w:space="0" w:color="auto"/>
            <w:left w:val="none" w:sz="0" w:space="0" w:color="auto"/>
            <w:bottom w:val="none" w:sz="0" w:space="0" w:color="auto"/>
            <w:right w:val="none" w:sz="0" w:space="0" w:color="auto"/>
          </w:divBdr>
        </w:div>
        <w:div w:id="895092065">
          <w:marLeft w:val="640"/>
          <w:marRight w:val="0"/>
          <w:marTop w:val="0"/>
          <w:marBottom w:val="0"/>
          <w:divBdr>
            <w:top w:val="none" w:sz="0" w:space="0" w:color="auto"/>
            <w:left w:val="none" w:sz="0" w:space="0" w:color="auto"/>
            <w:bottom w:val="none" w:sz="0" w:space="0" w:color="auto"/>
            <w:right w:val="none" w:sz="0" w:space="0" w:color="auto"/>
          </w:divBdr>
        </w:div>
        <w:div w:id="1543788458">
          <w:marLeft w:val="640"/>
          <w:marRight w:val="0"/>
          <w:marTop w:val="0"/>
          <w:marBottom w:val="0"/>
          <w:divBdr>
            <w:top w:val="none" w:sz="0" w:space="0" w:color="auto"/>
            <w:left w:val="none" w:sz="0" w:space="0" w:color="auto"/>
            <w:bottom w:val="none" w:sz="0" w:space="0" w:color="auto"/>
            <w:right w:val="none" w:sz="0" w:space="0" w:color="auto"/>
          </w:divBdr>
        </w:div>
        <w:div w:id="864249168">
          <w:marLeft w:val="640"/>
          <w:marRight w:val="0"/>
          <w:marTop w:val="0"/>
          <w:marBottom w:val="0"/>
          <w:divBdr>
            <w:top w:val="none" w:sz="0" w:space="0" w:color="auto"/>
            <w:left w:val="none" w:sz="0" w:space="0" w:color="auto"/>
            <w:bottom w:val="none" w:sz="0" w:space="0" w:color="auto"/>
            <w:right w:val="none" w:sz="0" w:space="0" w:color="auto"/>
          </w:divBdr>
        </w:div>
        <w:div w:id="84349723">
          <w:marLeft w:val="640"/>
          <w:marRight w:val="0"/>
          <w:marTop w:val="0"/>
          <w:marBottom w:val="0"/>
          <w:divBdr>
            <w:top w:val="none" w:sz="0" w:space="0" w:color="auto"/>
            <w:left w:val="none" w:sz="0" w:space="0" w:color="auto"/>
            <w:bottom w:val="none" w:sz="0" w:space="0" w:color="auto"/>
            <w:right w:val="none" w:sz="0" w:space="0" w:color="auto"/>
          </w:divBdr>
        </w:div>
        <w:div w:id="1852866259">
          <w:marLeft w:val="640"/>
          <w:marRight w:val="0"/>
          <w:marTop w:val="0"/>
          <w:marBottom w:val="0"/>
          <w:divBdr>
            <w:top w:val="none" w:sz="0" w:space="0" w:color="auto"/>
            <w:left w:val="none" w:sz="0" w:space="0" w:color="auto"/>
            <w:bottom w:val="none" w:sz="0" w:space="0" w:color="auto"/>
            <w:right w:val="none" w:sz="0" w:space="0" w:color="auto"/>
          </w:divBdr>
        </w:div>
        <w:div w:id="1575309879">
          <w:marLeft w:val="640"/>
          <w:marRight w:val="0"/>
          <w:marTop w:val="0"/>
          <w:marBottom w:val="0"/>
          <w:divBdr>
            <w:top w:val="none" w:sz="0" w:space="0" w:color="auto"/>
            <w:left w:val="none" w:sz="0" w:space="0" w:color="auto"/>
            <w:bottom w:val="none" w:sz="0" w:space="0" w:color="auto"/>
            <w:right w:val="none" w:sz="0" w:space="0" w:color="auto"/>
          </w:divBdr>
        </w:div>
        <w:div w:id="733312870">
          <w:marLeft w:val="640"/>
          <w:marRight w:val="0"/>
          <w:marTop w:val="0"/>
          <w:marBottom w:val="0"/>
          <w:divBdr>
            <w:top w:val="none" w:sz="0" w:space="0" w:color="auto"/>
            <w:left w:val="none" w:sz="0" w:space="0" w:color="auto"/>
            <w:bottom w:val="none" w:sz="0" w:space="0" w:color="auto"/>
            <w:right w:val="none" w:sz="0" w:space="0" w:color="auto"/>
          </w:divBdr>
        </w:div>
        <w:div w:id="567808757">
          <w:marLeft w:val="640"/>
          <w:marRight w:val="0"/>
          <w:marTop w:val="0"/>
          <w:marBottom w:val="0"/>
          <w:divBdr>
            <w:top w:val="none" w:sz="0" w:space="0" w:color="auto"/>
            <w:left w:val="none" w:sz="0" w:space="0" w:color="auto"/>
            <w:bottom w:val="none" w:sz="0" w:space="0" w:color="auto"/>
            <w:right w:val="none" w:sz="0" w:space="0" w:color="auto"/>
          </w:divBdr>
        </w:div>
        <w:div w:id="1457522741">
          <w:marLeft w:val="640"/>
          <w:marRight w:val="0"/>
          <w:marTop w:val="0"/>
          <w:marBottom w:val="0"/>
          <w:divBdr>
            <w:top w:val="none" w:sz="0" w:space="0" w:color="auto"/>
            <w:left w:val="none" w:sz="0" w:space="0" w:color="auto"/>
            <w:bottom w:val="none" w:sz="0" w:space="0" w:color="auto"/>
            <w:right w:val="none" w:sz="0" w:space="0" w:color="auto"/>
          </w:divBdr>
        </w:div>
        <w:div w:id="857696334">
          <w:marLeft w:val="640"/>
          <w:marRight w:val="0"/>
          <w:marTop w:val="0"/>
          <w:marBottom w:val="0"/>
          <w:divBdr>
            <w:top w:val="none" w:sz="0" w:space="0" w:color="auto"/>
            <w:left w:val="none" w:sz="0" w:space="0" w:color="auto"/>
            <w:bottom w:val="none" w:sz="0" w:space="0" w:color="auto"/>
            <w:right w:val="none" w:sz="0" w:space="0" w:color="auto"/>
          </w:divBdr>
        </w:div>
        <w:div w:id="1766075129">
          <w:marLeft w:val="640"/>
          <w:marRight w:val="0"/>
          <w:marTop w:val="0"/>
          <w:marBottom w:val="0"/>
          <w:divBdr>
            <w:top w:val="none" w:sz="0" w:space="0" w:color="auto"/>
            <w:left w:val="none" w:sz="0" w:space="0" w:color="auto"/>
            <w:bottom w:val="none" w:sz="0" w:space="0" w:color="auto"/>
            <w:right w:val="none" w:sz="0" w:space="0" w:color="auto"/>
          </w:divBdr>
        </w:div>
        <w:div w:id="1081105687">
          <w:marLeft w:val="640"/>
          <w:marRight w:val="0"/>
          <w:marTop w:val="0"/>
          <w:marBottom w:val="0"/>
          <w:divBdr>
            <w:top w:val="none" w:sz="0" w:space="0" w:color="auto"/>
            <w:left w:val="none" w:sz="0" w:space="0" w:color="auto"/>
            <w:bottom w:val="none" w:sz="0" w:space="0" w:color="auto"/>
            <w:right w:val="none" w:sz="0" w:space="0" w:color="auto"/>
          </w:divBdr>
        </w:div>
        <w:div w:id="1873760071">
          <w:marLeft w:val="640"/>
          <w:marRight w:val="0"/>
          <w:marTop w:val="0"/>
          <w:marBottom w:val="0"/>
          <w:divBdr>
            <w:top w:val="none" w:sz="0" w:space="0" w:color="auto"/>
            <w:left w:val="none" w:sz="0" w:space="0" w:color="auto"/>
            <w:bottom w:val="none" w:sz="0" w:space="0" w:color="auto"/>
            <w:right w:val="none" w:sz="0" w:space="0" w:color="auto"/>
          </w:divBdr>
        </w:div>
        <w:div w:id="1559243627">
          <w:marLeft w:val="640"/>
          <w:marRight w:val="0"/>
          <w:marTop w:val="0"/>
          <w:marBottom w:val="0"/>
          <w:divBdr>
            <w:top w:val="none" w:sz="0" w:space="0" w:color="auto"/>
            <w:left w:val="none" w:sz="0" w:space="0" w:color="auto"/>
            <w:bottom w:val="none" w:sz="0" w:space="0" w:color="auto"/>
            <w:right w:val="none" w:sz="0" w:space="0" w:color="auto"/>
          </w:divBdr>
        </w:div>
        <w:div w:id="1105346546">
          <w:marLeft w:val="640"/>
          <w:marRight w:val="0"/>
          <w:marTop w:val="0"/>
          <w:marBottom w:val="0"/>
          <w:divBdr>
            <w:top w:val="none" w:sz="0" w:space="0" w:color="auto"/>
            <w:left w:val="none" w:sz="0" w:space="0" w:color="auto"/>
            <w:bottom w:val="none" w:sz="0" w:space="0" w:color="auto"/>
            <w:right w:val="none" w:sz="0" w:space="0" w:color="auto"/>
          </w:divBdr>
        </w:div>
        <w:div w:id="1475365615">
          <w:marLeft w:val="640"/>
          <w:marRight w:val="0"/>
          <w:marTop w:val="0"/>
          <w:marBottom w:val="0"/>
          <w:divBdr>
            <w:top w:val="none" w:sz="0" w:space="0" w:color="auto"/>
            <w:left w:val="none" w:sz="0" w:space="0" w:color="auto"/>
            <w:bottom w:val="none" w:sz="0" w:space="0" w:color="auto"/>
            <w:right w:val="none" w:sz="0" w:space="0" w:color="auto"/>
          </w:divBdr>
        </w:div>
        <w:div w:id="1618953798">
          <w:marLeft w:val="640"/>
          <w:marRight w:val="0"/>
          <w:marTop w:val="0"/>
          <w:marBottom w:val="0"/>
          <w:divBdr>
            <w:top w:val="none" w:sz="0" w:space="0" w:color="auto"/>
            <w:left w:val="none" w:sz="0" w:space="0" w:color="auto"/>
            <w:bottom w:val="none" w:sz="0" w:space="0" w:color="auto"/>
            <w:right w:val="none" w:sz="0" w:space="0" w:color="auto"/>
          </w:divBdr>
        </w:div>
      </w:divsChild>
    </w:div>
    <w:div w:id="382600971">
      <w:bodyDiv w:val="1"/>
      <w:marLeft w:val="0"/>
      <w:marRight w:val="0"/>
      <w:marTop w:val="0"/>
      <w:marBottom w:val="0"/>
      <w:divBdr>
        <w:top w:val="none" w:sz="0" w:space="0" w:color="auto"/>
        <w:left w:val="none" w:sz="0" w:space="0" w:color="auto"/>
        <w:bottom w:val="none" w:sz="0" w:space="0" w:color="auto"/>
        <w:right w:val="none" w:sz="0" w:space="0" w:color="auto"/>
      </w:divBdr>
      <w:divsChild>
        <w:div w:id="1768454471">
          <w:marLeft w:val="640"/>
          <w:marRight w:val="0"/>
          <w:marTop w:val="0"/>
          <w:marBottom w:val="0"/>
          <w:divBdr>
            <w:top w:val="none" w:sz="0" w:space="0" w:color="auto"/>
            <w:left w:val="none" w:sz="0" w:space="0" w:color="auto"/>
            <w:bottom w:val="none" w:sz="0" w:space="0" w:color="auto"/>
            <w:right w:val="none" w:sz="0" w:space="0" w:color="auto"/>
          </w:divBdr>
        </w:div>
        <w:div w:id="472598593">
          <w:marLeft w:val="640"/>
          <w:marRight w:val="0"/>
          <w:marTop w:val="0"/>
          <w:marBottom w:val="0"/>
          <w:divBdr>
            <w:top w:val="none" w:sz="0" w:space="0" w:color="auto"/>
            <w:left w:val="none" w:sz="0" w:space="0" w:color="auto"/>
            <w:bottom w:val="none" w:sz="0" w:space="0" w:color="auto"/>
            <w:right w:val="none" w:sz="0" w:space="0" w:color="auto"/>
          </w:divBdr>
        </w:div>
        <w:div w:id="1330786597">
          <w:marLeft w:val="640"/>
          <w:marRight w:val="0"/>
          <w:marTop w:val="0"/>
          <w:marBottom w:val="0"/>
          <w:divBdr>
            <w:top w:val="none" w:sz="0" w:space="0" w:color="auto"/>
            <w:left w:val="none" w:sz="0" w:space="0" w:color="auto"/>
            <w:bottom w:val="none" w:sz="0" w:space="0" w:color="auto"/>
            <w:right w:val="none" w:sz="0" w:space="0" w:color="auto"/>
          </w:divBdr>
        </w:div>
        <w:div w:id="1525510620">
          <w:marLeft w:val="640"/>
          <w:marRight w:val="0"/>
          <w:marTop w:val="0"/>
          <w:marBottom w:val="0"/>
          <w:divBdr>
            <w:top w:val="none" w:sz="0" w:space="0" w:color="auto"/>
            <w:left w:val="none" w:sz="0" w:space="0" w:color="auto"/>
            <w:bottom w:val="none" w:sz="0" w:space="0" w:color="auto"/>
            <w:right w:val="none" w:sz="0" w:space="0" w:color="auto"/>
          </w:divBdr>
        </w:div>
        <w:div w:id="1627807039">
          <w:marLeft w:val="640"/>
          <w:marRight w:val="0"/>
          <w:marTop w:val="0"/>
          <w:marBottom w:val="0"/>
          <w:divBdr>
            <w:top w:val="none" w:sz="0" w:space="0" w:color="auto"/>
            <w:left w:val="none" w:sz="0" w:space="0" w:color="auto"/>
            <w:bottom w:val="none" w:sz="0" w:space="0" w:color="auto"/>
            <w:right w:val="none" w:sz="0" w:space="0" w:color="auto"/>
          </w:divBdr>
        </w:div>
        <w:div w:id="688793961">
          <w:marLeft w:val="640"/>
          <w:marRight w:val="0"/>
          <w:marTop w:val="0"/>
          <w:marBottom w:val="0"/>
          <w:divBdr>
            <w:top w:val="none" w:sz="0" w:space="0" w:color="auto"/>
            <w:left w:val="none" w:sz="0" w:space="0" w:color="auto"/>
            <w:bottom w:val="none" w:sz="0" w:space="0" w:color="auto"/>
            <w:right w:val="none" w:sz="0" w:space="0" w:color="auto"/>
          </w:divBdr>
        </w:div>
        <w:div w:id="2023167482">
          <w:marLeft w:val="640"/>
          <w:marRight w:val="0"/>
          <w:marTop w:val="0"/>
          <w:marBottom w:val="0"/>
          <w:divBdr>
            <w:top w:val="none" w:sz="0" w:space="0" w:color="auto"/>
            <w:left w:val="none" w:sz="0" w:space="0" w:color="auto"/>
            <w:bottom w:val="none" w:sz="0" w:space="0" w:color="auto"/>
            <w:right w:val="none" w:sz="0" w:space="0" w:color="auto"/>
          </w:divBdr>
        </w:div>
        <w:div w:id="1784232316">
          <w:marLeft w:val="640"/>
          <w:marRight w:val="0"/>
          <w:marTop w:val="0"/>
          <w:marBottom w:val="0"/>
          <w:divBdr>
            <w:top w:val="none" w:sz="0" w:space="0" w:color="auto"/>
            <w:left w:val="none" w:sz="0" w:space="0" w:color="auto"/>
            <w:bottom w:val="none" w:sz="0" w:space="0" w:color="auto"/>
            <w:right w:val="none" w:sz="0" w:space="0" w:color="auto"/>
          </w:divBdr>
        </w:div>
        <w:div w:id="242107522">
          <w:marLeft w:val="640"/>
          <w:marRight w:val="0"/>
          <w:marTop w:val="0"/>
          <w:marBottom w:val="0"/>
          <w:divBdr>
            <w:top w:val="none" w:sz="0" w:space="0" w:color="auto"/>
            <w:left w:val="none" w:sz="0" w:space="0" w:color="auto"/>
            <w:bottom w:val="none" w:sz="0" w:space="0" w:color="auto"/>
            <w:right w:val="none" w:sz="0" w:space="0" w:color="auto"/>
          </w:divBdr>
        </w:div>
        <w:div w:id="592863369">
          <w:marLeft w:val="640"/>
          <w:marRight w:val="0"/>
          <w:marTop w:val="0"/>
          <w:marBottom w:val="0"/>
          <w:divBdr>
            <w:top w:val="none" w:sz="0" w:space="0" w:color="auto"/>
            <w:left w:val="none" w:sz="0" w:space="0" w:color="auto"/>
            <w:bottom w:val="none" w:sz="0" w:space="0" w:color="auto"/>
            <w:right w:val="none" w:sz="0" w:space="0" w:color="auto"/>
          </w:divBdr>
        </w:div>
        <w:div w:id="996572256">
          <w:marLeft w:val="640"/>
          <w:marRight w:val="0"/>
          <w:marTop w:val="0"/>
          <w:marBottom w:val="0"/>
          <w:divBdr>
            <w:top w:val="none" w:sz="0" w:space="0" w:color="auto"/>
            <w:left w:val="none" w:sz="0" w:space="0" w:color="auto"/>
            <w:bottom w:val="none" w:sz="0" w:space="0" w:color="auto"/>
            <w:right w:val="none" w:sz="0" w:space="0" w:color="auto"/>
          </w:divBdr>
        </w:div>
        <w:div w:id="855340312">
          <w:marLeft w:val="640"/>
          <w:marRight w:val="0"/>
          <w:marTop w:val="0"/>
          <w:marBottom w:val="0"/>
          <w:divBdr>
            <w:top w:val="none" w:sz="0" w:space="0" w:color="auto"/>
            <w:left w:val="none" w:sz="0" w:space="0" w:color="auto"/>
            <w:bottom w:val="none" w:sz="0" w:space="0" w:color="auto"/>
            <w:right w:val="none" w:sz="0" w:space="0" w:color="auto"/>
          </w:divBdr>
        </w:div>
        <w:div w:id="1563639624">
          <w:marLeft w:val="640"/>
          <w:marRight w:val="0"/>
          <w:marTop w:val="0"/>
          <w:marBottom w:val="0"/>
          <w:divBdr>
            <w:top w:val="none" w:sz="0" w:space="0" w:color="auto"/>
            <w:left w:val="none" w:sz="0" w:space="0" w:color="auto"/>
            <w:bottom w:val="none" w:sz="0" w:space="0" w:color="auto"/>
            <w:right w:val="none" w:sz="0" w:space="0" w:color="auto"/>
          </w:divBdr>
        </w:div>
        <w:div w:id="1188370859">
          <w:marLeft w:val="640"/>
          <w:marRight w:val="0"/>
          <w:marTop w:val="0"/>
          <w:marBottom w:val="0"/>
          <w:divBdr>
            <w:top w:val="none" w:sz="0" w:space="0" w:color="auto"/>
            <w:left w:val="none" w:sz="0" w:space="0" w:color="auto"/>
            <w:bottom w:val="none" w:sz="0" w:space="0" w:color="auto"/>
            <w:right w:val="none" w:sz="0" w:space="0" w:color="auto"/>
          </w:divBdr>
        </w:div>
        <w:div w:id="1307584634">
          <w:marLeft w:val="640"/>
          <w:marRight w:val="0"/>
          <w:marTop w:val="0"/>
          <w:marBottom w:val="0"/>
          <w:divBdr>
            <w:top w:val="none" w:sz="0" w:space="0" w:color="auto"/>
            <w:left w:val="none" w:sz="0" w:space="0" w:color="auto"/>
            <w:bottom w:val="none" w:sz="0" w:space="0" w:color="auto"/>
            <w:right w:val="none" w:sz="0" w:space="0" w:color="auto"/>
          </w:divBdr>
        </w:div>
        <w:div w:id="1648127799">
          <w:marLeft w:val="640"/>
          <w:marRight w:val="0"/>
          <w:marTop w:val="0"/>
          <w:marBottom w:val="0"/>
          <w:divBdr>
            <w:top w:val="none" w:sz="0" w:space="0" w:color="auto"/>
            <w:left w:val="none" w:sz="0" w:space="0" w:color="auto"/>
            <w:bottom w:val="none" w:sz="0" w:space="0" w:color="auto"/>
            <w:right w:val="none" w:sz="0" w:space="0" w:color="auto"/>
          </w:divBdr>
        </w:div>
        <w:div w:id="1761870429">
          <w:marLeft w:val="640"/>
          <w:marRight w:val="0"/>
          <w:marTop w:val="0"/>
          <w:marBottom w:val="0"/>
          <w:divBdr>
            <w:top w:val="none" w:sz="0" w:space="0" w:color="auto"/>
            <w:left w:val="none" w:sz="0" w:space="0" w:color="auto"/>
            <w:bottom w:val="none" w:sz="0" w:space="0" w:color="auto"/>
            <w:right w:val="none" w:sz="0" w:space="0" w:color="auto"/>
          </w:divBdr>
        </w:div>
        <w:div w:id="1658461960">
          <w:marLeft w:val="640"/>
          <w:marRight w:val="0"/>
          <w:marTop w:val="0"/>
          <w:marBottom w:val="0"/>
          <w:divBdr>
            <w:top w:val="none" w:sz="0" w:space="0" w:color="auto"/>
            <w:left w:val="none" w:sz="0" w:space="0" w:color="auto"/>
            <w:bottom w:val="none" w:sz="0" w:space="0" w:color="auto"/>
            <w:right w:val="none" w:sz="0" w:space="0" w:color="auto"/>
          </w:divBdr>
        </w:div>
        <w:div w:id="1944142107">
          <w:marLeft w:val="640"/>
          <w:marRight w:val="0"/>
          <w:marTop w:val="0"/>
          <w:marBottom w:val="0"/>
          <w:divBdr>
            <w:top w:val="none" w:sz="0" w:space="0" w:color="auto"/>
            <w:left w:val="none" w:sz="0" w:space="0" w:color="auto"/>
            <w:bottom w:val="none" w:sz="0" w:space="0" w:color="auto"/>
            <w:right w:val="none" w:sz="0" w:space="0" w:color="auto"/>
          </w:divBdr>
        </w:div>
        <w:div w:id="1385644026">
          <w:marLeft w:val="640"/>
          <w:marRight w:val="0"/>
          <w:marTop w:val="0"/>
          <w:marBottom w:val="0"/>
          <w:divBdr>
            <w:top w:val="none" w:sz="0" w:space="0" w:color="auto"/>
            <w:left w:val="none" w:sz="0" w:space="0" w:color="auto"/>
            <w:bottom w:val="none" w:sz="0" w:space="0" w:color="auto"/>
            <w:right w:val="none" w:sz="0" w:space="0" w:color="auto"/>
          </w:divBdr>
        </w:div>
        <w:div w:id="2063669688">
          <w:marLeft w:val="640"/>
          <w:marRight w:val="0"/>
          <w:marTop w:val="0"/>
          <w:marBottom w:val="0"/>
          <w:divBdr>
            <w:top w:val="none" w:sz="0" w:space="0" w:color="auto"/>
            <w:left w:val="none" w:sz="0" w:space="0" w:color="auto"/>
            <w:bottom w:val="none" w:sz="0" w:space="0" w:color="auto"/>
            <w:right w:val="none" w:sz="0" w:space="0" w:color="auto"/>
          </w:divBdr>
        </w:div>
        <w:div w:id="115684019">
          <w:marLeft w:val="640"/>
          <w:marRight w:val="0"/>
          <w:marTop w:val="0"/>
          <w:marBottom w:val="0"/>
          <w:divBdr>
            <w:top w:val="none" w:sz="0" w:space="0" w:color="auto"/>
            <w:left w:val="none" w:sz="0" w:space="0" w:color="auto"/>
            <w:bottom w:val="none" w:sz="0" w:space="0" w:color="auto"/>
            <w:right w:val="none" w:sz="0" w:space="0" w:color="auto"/>
          </w:divBdr>
        </w:div>
        <w:div w:id="1269462107">
          <w:marLeft w:val="640"/>
          <w:marRight w:val="0"/>
          <w:marTop w:val="0"/>
          <w:marBottom w:val="0"/>
          <w:divBdr>
            <w:top w:val="none" w:sz="0" w:space="0" w:color="auto"/>
            <w:left w:val="none" w:sz="0" w:space="0" w:color="auto"/>
            <w:bottom w:val="none" w:sz="0" w:space="0" w:color="auto"/>
            <w:right w:val="none" w:sz="0" w:space="0" w:color="auto"/>
          </w:divBdr>
        </w:div>
        <w:div w:id="436681317">
          <w:marLeft w:val="640"/>
          <w:marRight w:val="0"/>
          <w:marTop w:val="0"/>
          <w:marBottom w:val="0"/>
          <w:divBdr>
            <w:top w:val="none" w:sz="0" w:space="0" w:color="auto"/>
            <w:left w:val="none" w:sz="0" w:space="0" w:color="auto"/>
            <w:bottom w:val="none" w:sz="0" w:space="0" w:color="auto"/>
            <w:right w:val="none" w:sz="0" w:space="0" w:color="auto"/>
          </w:divBdr>
        </w:div>
        <w:div w:id="908730764">
          <w:marLeft w:val="640"/>
          <w:marRight w:val="0"/>
          <w:marTop w:val="0"/>
          <w:marBottom w:val="0"/>
          <w:divBdr>
            <w:top w:val="none" w:sz="0" w:space="0" w:color="auto"/>
            <w:left w:val="none" w:sz="0" w:space="0" w:color="auto"/>
            <w:bottom w:val="none" w:sz="0" w:space="0" w:color="auto"/>
            <w:right w:val="none" w:sz="0" w:space="0" w:color="auto"/>
          </w:divBdr>
        </w:div>
        <w:div w:id="707878517">
          <w:marLeft w:val="640"/>
          <w:marRight w:val="0"/>
          <w:marTop w:val="0"/>
          <w:marBottom w:val="0"/>
          <w:divBdr>
            <w:top w:val="none" w:sz="0" w:space="0" w:color="auto"/>
            <w:left w:val="none" w:sz="0" w:space="0" w:color="auto"/>
            <w:bottom w:val="none" w:sz="0" w:space="0" w:color="auto"/>
            <w:right w:val="none" w:sz="0" w:space="0" w:color="auto"/>
          </w:divBdr>
        </w:div>
        <w:div w:id="1830515831">
          <w:marLeft w:val="640"/>
          <w:marRight w:val="0"/>
          <w:marTop w:val="0"/>
          <w:marBottom w:val="0"/>
          <w:divBdr>
            <w:top w:val="none" w:sz="0" w:space="0" w:color="auto"/>
            <w:left w:val="none" w:sz="0" w:space="0" w:color="auto"/>
            <w:bottom w:val="none" w:sz="0" w:space="0" w:color="auto"/>
            <w:right w:val="none" w:sz="0" w:space="0" w:color="auto"/>
          </w:divBdr>
        </w:div>
        <w:div w:id="302663310">
          <w:marLeft w:val="640"/>
          <w:marRight w:val="0"/>
          <w:marTop w:val="0"/>
          <w:marBottom w:val="0"/>
          <w:divBdr>
            <w:top w:val="none" w:sz="0" w:space="0" w:color="auto"/>
            <w:left w:val="none" w:sz="0" w:space="0" w:color="auto"/>
            <w:bottom w:val="none" w:sz="0" w:space="0" w:color="auto"/>
            <w:right w:val="none" w:sz="0" w:space="0" w:color="auto"/>
          </w:divBdr>
        </w:div>
        <w:div w:id="371076892">
          <w:marLeft w:val="640"/>
          <w:marRight w:val="0"/>
          <w:marTop w:val="0"/>
          <w:marBottom w:val="0"/>
          <w:divBdr>
            <w:top w:val="none" w:sz="0" w:space="0" w:color="auto"/>
            <w:left w:val="none" w:sz="0" w:space="0" w:color="auto"/>
            <w:bottom w:val="none" w:sz="0" w:space="0" w:color="auto"/>
            <w:right w:val="none" w:sz="0" w:space="0" w:color="auto"/>
          </w:divBdr>
        </w:div>
        <w:div w:id="1572959209">
          <w:marLeft w:val="640"/>
          <w:marRight w:val="0"/>
          <w:marTop w:val="0"/>
          <w:marBottom w:val="0"/>
          <w:divBdr>
            <w:top w:val="none" w:sz="0" w:space="0" w:color="auto"/>
            <w:left w:val="none" w:sz="0" w:space="0" w:color="auto"/>
            <w:bottom w:val="none" w:sz="0" w:space="0" w:color="auto"/>
            <w:right w:val="none" w:sz="0" w:space="0" w:color="auto"/>
          </w:divBdr>
        </w:div>
        <w:div w:id="1368601196">
          <w:marLeft w:val="640"/>
          <w:marRight w:val="0"/>
          <w:marTop w:val="0"/>
          <w:marBottom w:val="0"/>
          <w:divBdr>
            <w:top w:val="none" w:sz="0" w:space="0" w:color="auto"/>
            <w:left w:val="none" w:sz="0" w:space="0" w:color="auto"/>
            <w:bottom w:val="none" w:sz="0" w:space="0" w:color="auto"/>
            <w:right w:val="none" w:sz="0" w:space="0" w:color="auto"/>
          </w:divBdr>
        </w:div>
        <w:div w:id="525101408">
          <w:marLeft w:val="640"/>
          <w:marRight w:val="0"/>
          <w:marTop w:val="0"/>
          <w:marBottom w:val="0"/>
          <w:divBdr>
            <w:top w:val="none" w:sz="0" w:space="0" w:color="auto"/>
            <w:left w:val="none" w:sz="0" w:space="0" w:color="auto"/>
            <w:bottom w:val="none" w:sz="0" w:space="0" w:color="auto"/>
            <w:right w:val="none" w:sz="0" w:space="0" w:color="auto"/>
          </w:divBdr>
        </w:div>
        <w:div w:id="989333800">
          <w:marLeft w:val="640"/>
          <w:marRight w:val="0"/>
          <w:marTop w:val="0"/>
          <w:marBottom w:val="0"/>
          <w:divBdr>
            <w:top w:val="none" w:sz="0" w:space="0" w:color="auto"/>
            <w:left w:val="none" w:sz="0" w:space="0" w:color="auto"/>
            <w:bottom w:val="none" w:sz="0" w:space="0" w:color="auto"/>
            <w:right w:val="none" w:sz="0" w:space="0" w:color="auto"/>
          </w:divBdr>
        </w:div>
        <w:div w:id="1554998027">
          <w:marLeft w:val="640"/>
          <w:marRight w:val="0"/>
          <w:marTop w:val="0"/>
          <w:marBottom w:val="0"/>
          <w:divBdr>
            <w:top w:val="none" w:sz="0" w:space="0" w:color="auto"/>
            <w:left w:val="none" w:sz="0" w:space="0" w:color="auto"/>
            <w:bottom w:val="none" w:sz="0" w:space="0" w:color="auto"/>
            <w:right w:val="none" w:sz="0" w:space="0" w:color="auto"/>
          </w:divBdr>
        </w:div>
        <w:div w:id="439420242">
          <w:marLeft w:val="640"/>
          <w:marRight w:val="0"/>
          <w:marTop w:val="0"/>
          <w:marBottom w:val="0"/>
          <w:divBdr>
            <w:top w:val="none" w:sz="0" w:space="0" w:color="auto"/>
            <w:left w:val="none" w:sz="0" w:space="0" w:color="auto"/>
            <w:bottom w:val="none" w:sz="0" w:space="0" w:color="auto"/>
            <w:right w:val="none" w:sz="0" w:space="0" w:color="auto"/>
          </w:divBdr>
        </w:div>
        <w:div w:id="1254700715">
          <w:marLeft w:val="640"/>
          <w:marRight w:val="0"/>
          <w:marTop w:val="0"/>
          <w:marBottom w:val="0"/>
          <w:divBdr>
            <w:top w:val="none" w:sz="0" w:space="0" w:color="auto"/>
            <w:left w:val="none" w:sz="0" w:space="0" w:color="auto"/>
            <w:bottom w:val="none" w:sz="0" w:space="0" w:color="auto"/>
            <w:right w:val="none" w:sz="0" w:space="0" w:color="auto"/>
          </w:divBdr>
        </w:div>
        <w:div w:id="409230603">
          <w:marLeft w:val="640"/>
          <w:marRight w:val="0"/>
          <w:marTop w:val="0"/>
          <w:marBottom w:val="0"/>
          <w:divBdr>
            <w:top w:val="none" w:sz="0" w:space="0" w:color="auto"/>
            <w:left w:val="none" w:sz="0" w:space="0" w:color="auto"/>
            <w:bottom w:val="none" w:sz="0" w:space="0" w:color="auto"/>
            <w:right w:val="none" w:sz="0" w:space="0" w:color="auto"/>
          </w:divBdr>
        </w:div>
        <w:div w:id="382294922">
          <w:marLeft w:val="640"/>
          <w:marRight w:val="0"/>
          <w:marTop w:val="0"/>
          <w:marBottom w:val="0"/>
          <w:divBdr>
            <w:top w:val="none" w:sz="0" w:space="0" w:color="auto"/>
            <w:left w:val="none" w:sz="0" w:space="0" w:color="auto"/>
            <w:bottom w:val="none" w:sz="0" w:space="0" w:color="auto"/>
            <w:right w:val="none" w:sz="0" w:space="0" w:color="auto"/>
          </w:divBdr>
        </w:div>
        <w:div w:id="933131584">
          <w:marLeft w:val="640"/>
          <w:marRight w:val="0"/>
          <w:marTop w:val="0"/>
          <w:marBottom w:val="0"/>
          <w:divBdr>
            <w:top w:val="none" w:sz="0" w:space="0" w:color="auto"/>
            <w:left w:val="none" w:sz="0" w:space="0" w:color="auto"/>
            <w:bottom w:val="none" w:sz="0" w:space="0" w:color="auto"/>
            <w:right w:val="none" w:sz="0" w:space="0" w:color="auto"/>
          </w:divBdr>
        </w:div>
        <w:div w:id="2015188412">
          <w:marLeft w:val="640"/>
          <w:marRight w:val="0"/>
          <w:marTop w:val="0"/>
          <w:marBottom w:val="0"/>
          <w:divBdr>
            <w:top w:val="none" w:sz="0" w:space="0" w:color="auto"/>
            <w:left w:val="none" w:sz="0" w:space="0" w:color="auto"/>
            <w:bottom w:val="none" w:sz="0" w:space="0" w:color="auto"/>
            <w:right w:val="none" w:sz="0" w:space="0" w:color="auto"/>
          </w:divBdr>
        </w:div>
        <w:div w:id="1719891789">
          <w:marLeft w:val="640"/>
          <w:marRight w:val="0"/>
          <w:marTop w:val="0"/>
          <w:marBottom w:val="0"/>
          <w:divBdr>
            <w:top w:val="none" w:sz="0" w:space="0" w:color="auto"/>
            <w:left w:val="none" w:sz="0" w:space="0" w:color="auto"/>
            <w:bottom w:val="none" w:sz="0" w:space="0" w:color="auto"/>
            <w:right w:val="none" w:sz="0" w:space="0" w:color="auto"/>
          </w:divBdr>
        </w:div>
        <w:div w:id="1674724934">
          <w:marLeft w:val="640"/>
          <w:marRight w:val="0"/>
          <w:marTop w:val="0"/>
          <w:marBottom w:val="0"/>
          <w:divBdr>
            <w:top w:val="none" w:sz="0" w:space="0" w:color="auto"/>
            <w:left w:val="none" w:sz="0" w:space="0" w:color="auto"/>
            <w:bottom w:val="none" w:sz="0" w:space="0" w:color="auto"/>
            <w:right w:val="none" w:sz="0" w:space="0" w:color="auto"/>
          </w:divBdr>
        </w:div>
        <w:div w:id="1384526387">
          <w:marLeft w:val="640"/>
          <w:marRight w:val="0"/>
          <w:marTop w:val="0"/>
          <w:marBottom w:val="0"/>
          <w:divBdr>
            <w:top w:val="none" w:sz="0" w:space="0" w:color="auto"/>
            <w:left w:val="none" w:sz="0" w:space="0" w:color="auto"/>
            <w:bottom w:val="none" w:sz="0" w:space="0" w:color="auto"/>
            <w:right w:val="none" w:sz="0" w:space="0" w:color="auto"/>
          </w:divBdr>
        </w:div>
        <w:div w:id="1787432884">
          <w:marLeft w:val="640"/>
          <w:marRight w:val="0"/>
          <w:marTop w:val="0"/>
          <w:marBottom w:val="0"/>
          <w:divBdr>
            <w:top w:val="none" w:sz="0" w:space="0" w:color="auto"/>
            <w:left w:val="none" w:sz="0" w:space="0" w:color="auto"/>
            <w:bottom w:val="none" w:sz="0" w:space="0" w:color="auto"/>
            <w:right w:val="none" w:sz="0" w:space="0" w:color="auto"/>
          </w:divBdr>
        </w:div>
        <w:div w:id="1754013813">
          <w:marLeft w:val="640"/>
          <w:marRight w:val="0"/>
          <w:marTop w:val="0"/>
          <w:marBottom w:val="0"/>
          <w:divBdr>
            <w:top w:val="none" w:sz="0" w:space="0" w:color="auto"/>
            <w:left w:val="none" w:sz="0" w:space="0" w:color="auto"/>
            <w:bottom w:val="none" w:sz="0" w:space="0" w:color="auto"/>
            <w:right w:val="none" w:sz="0" w:space="0" w:color="auto"/>
          </w:divBdr>
        </w:div>
        <w:div w:id="1483889493">
          <w:marLeft w:val="640"/>
          <w:marRight w:val="0"/>
          <w:marTop w:val="0"/>
          <w:marBottom w:val="0"/>
          <w:divBdr>
            <w:top w:val="none" w:sz="0" w:space="0" w:color="auto"/>
            <w:left w:val="none" w:sz="0" w:space="0" w:color="auto"/>
            <w:bottom w:val="none" w:sz="0" w:space="0" w:color="auto"/>
            <w:right w:val="none" w:sz="0" w:space="0" w:color="auto"/>
          </w:divBdr>
        </w:div>
        <w:div w:id="1139687707">
          <w:marLeft w:val="640"/>
          <w:marRight w:val="0"/>
          <w:marTop w:val="0"/>
          <w:marBottom w:val="0"/>
          <w:divBdr>
            <w:top w:val="none" w:sz="0" w:space="0" w:color="auto"/>
            <w:left w:val="none" w:sz="0" w:space="0" w:color="auto"/>
            <w:bottom w:val="none" w:sz="0" w:space="0" w:color="auto"/>
            <w:right w:val="none" w:sz="0" w:space="0" w:color="auto"/>
          </w:divBdr>
        </w:div>
        <w:div w:id="324361747">
          <w:marLeft w:val="640"/>
          <w:marRight w:val="0"/>
          <w:marTop w:val="0"/>
          <w:marBottom w:val="0"/>
          <w:divBdr>
            <w:top w:val="none" w:sz="0" w:space="0" w:color="auto"/>
            <w:left w:val="none" w:sz="0" w:space="0" w:color="auto"/>
            <w:bottom w:val="none" w:sz="0" w:space="0" w:color="auto"/>
            <w:right w:val="none" w:sz="0" w:space="0" w:color="auto"/>
          </w:divBdr>
        </w:div>
        <w:div w:id="748501595">
          <w:marLeft w:val="640"/>
          <w:marRight w:val="0"/>
          <w:marTop w:val="0"/>
          <w:marBottom w:val="0"/>
          <w:divBdr>
            <w:top w:val="none" w:sz="0" w:space="0" w:color="auto"/>
            <w:left w:val="none" w:sz="0" w:space="0" w:color="auto"/>
            <w:bottom w:val="none" w:sz="0" w:space="0" w:color="auto"/>
            <w:right w:val="none" w:sz="0" w:space="0" w:color="auto"/>
          </w:divBdr>
        </w:div>
        <w:div w:id="1062680428">
          <w:marLeft w:val="640"/>
          <w:marRight w:val="0"/>
          <w:marTop w:val="0"/>
          <w:marBottom w:val="0"/>
          <w:divBdr>
            <w:top w:val="none" w:sz="0" w:space="0" w:color="auto"/>
            <w:left w:val="none" w:sz="0" w:space="0" w:color="auto"/>
            <w:bottom w:val="none" w:sz="0" w:space="0" w:color="auto"/>
            <w:right w:val="none" w:sz="0" w:space="0" w:color="auto"/>
          </w:divBdr>
        </w:div>
        <w:div w:id="32535474">
          <w:marLeft w:val="640"/>
          <w:marRight w:val="0"/>
          <w:marTop w:val="0"/>
          <w:marBottom w:val="0"/>
          <w:divBdr>
            <w:top w:val="none" w:sz="0" w:space="0" w:color="auto"/>
            <w:left w:val="none" w:sz="0" w:space="0" w:color="auto"/>
            <w:bottom w:val="none" w:sz="0" w:space="0" w:color="auto"/>
            <w:right w:val="none" w:sz="0" w:space="0" w:color="auto"/>
          </w:divBdr>
        </w:div>
        <w:div w:id="822163923">
          <w:marLeft w:val="640"/>
          <w:marRight w:val="0"/>
          <w:marTop w:val="0"/>
          <w:marBottom w:val="0"/>
          <w:divBdr>
            <w:top w:val="none" w:sz="0" w:space="0" w:color="auto"/>
            <w:left w:val="none" w:sz="0" w:space="0" w:color="auto"/>
            <w:bottom w:val="none" w:sz="0" w:space="0" w:color="auto"/>
            <w:right w:val="none" w:sz="0" w:space="0" w:color="auto"/>
          </w:divBdr>
        </w:div>
        <w:div w:id="158883562">
          <w:marLeft w:val="640"/>
          <w:marRight w:val="0"/>
          <w:marTop w:val="0"/>
          <w:marBottom w:val="0"/>
          <w:divBdr>
            <w:top w:val="none" w:sz="0" w:space="0" w:color="auto"/>
            <w:left w:val="none" w:sz="0" w:space="0" w:color="auto"/>
            <w:bottom w:val="none" w:sz="0" w:space="0" w:color="auto"/>
            <w:right w:val="none" w:sz="0" w:space="0" w:color="auto"/>
          </w:divBdr>
        </w:div>
        <w:div w:id="1240749400">
          <w:marLeft w:val="640"/>
          <w:marRight w:val="0"/>
          <w:marTop w:val="0"/>
          <w:marBottom w:val="0"/>
          <w:divBdr>
            <w:top w:val="none" w:sz="0" w:space="0" w:color="auto"/>
            <w:left w:val="none" w:sz="0" w:space="0" w:color="auto"/>
            <w:bottom w:val="none" w:sz="0" w:space="0" w:color="auto"/>
            <w:right w:val="none" w:sz="0" w:space="0" w:color="auto"/>
          </w:divBdr>
        </w:div>
        <w:div w:id="874004965">
          <w:marLeft w:val="640"/>
          <w:marRight w:val="0"/>
          <w:marTop w:val="0"/>
          <w:marBottom w:val="0"/>
          <w:divBdr>
            <w:top w:val="none" w:sz="0" w:space="0" w:color="auto"/>
            <w:left w:val="none" w:sz="0" w:space="0" w:color="auto"/>
            <w:bottom w:val="none" w:sz="0" w:space="0" w:color="auto"/>
            <w:right w:val="none" w:sz="0" w:space="0" w:color="auto"/>
          </w:divBdr>
        </w:div>
        <w:div w:id="1827165584">
          <w:marLeft w:val="640"/>
          <w:marRight w:val="0"/>
          <w:marTop w:val="0"/>
          <w:marBottom w:val="0"/>
          <w:divBdr>
            <w:top w:val="none" w:sz="0" w:space="0" w:color="auto"/>
            <w:left w:val="none" w:sz="0" w:space="0" w:color="auto"/>
            <w:bottom w:val="none" w:sz="0" w:space="0" w:color="auto"/>
            <w:right w:val="none" w:sz="0" w:space="0" w:color="auto"/>
          </w:divBdr>
        </w:div>
        <w:div w:id="837771144">
          <w:marLeft w:val="640"/>
          <w:marRight w:val="0"/>
          <w:marTop w:val="0"/>
          <w:marBottom w:val="0"/>
          <w:divBdr>
            <w:top w:val="none" w:sz="0" w:space="0" w:color="auto"/>
            <w:left w:val="none" w:sz="0" w:space="0" w:color="auto"/>
            <w:bottom w:val="none" w:sz="0" w:space="0" w:color="auto"/>
            <w:right w:val="none" w:sz="0" w:space="0" w:color="auto"/>
          </w:divBdr>
        </w:div>
        <w:div w:id="910846676">
          <w:marLeft w:val="640"/>
          <w:marRight w:val="0"/>
          <w:marTop w:val="0"/>
          <w:marBottom w:val="0"/>
          <w:divBdr>
            <w:top w:val="none" w:sz="0" w:space="0" w:color="auto"/>
            <w:left w:val="none" w:sz="0" w:space="0" w:color="auto"/>
            <w:bottom w:val="none" w:sz="0" w:space="0" w:color="auto"/>
            <w:right w:val="none" w:sz="0" w:space="0" w:color="auto"/>
          </w:divBdr>
        </w:div>
        <w:div w:id="1414623414">
          <w:marLeft w:val="640"/>
          <w:marRight w:val="0"/>
          <w:marTop w:val="0"/>
          <w:marBottom w:val="0"/>
          <w:divBdr>
            <w:top w:val="none" w:sz="0" w:space="0" w:color="auto"/>
            <w:left w:val="none" w:sz="0" w:space="0" w:color="auto"/>
            <w:bottom w:val="none" w:sz="0" w:space="0" w:color="auto"/>
            <w:right w:val="none" w:sz="0" w:space="0" w:color="auto"/>
          </w:divBdr>
        </w:div>
        <w:div w:id="603657170">
          <w:marLeft w:val="640"/>
          <w:marRight w:val="0"/>
          <w:marTop w:val="0"/>
          <w:marBottom w:val="0"/>
          <w:divBdr>
            <w:top w:val="none" w:sz="0" w:space="0" w:color="auto"/>
            <w:left w:val="none" w:sz="0" w:space="0" w:color="auto"/>
            <w:bottom w:val="none" w:sz="0" w:space="0" w:color="auto"/>
            <w:right w:val="none" w:sz="0" w:space="0" w:color="auto"/>
          </w:divBdr>
        </w:div>
        <w:div w:id="980501160">
          <w:marLeft w:val="640"/>
          <w:marRight w:val="0"/>
          <w:marTop w:val="0"/>
          <w:marBottom w:val="0"/>
          <w:divBdr>
            <w:top w:val="none" w:sz="0" w:space="0" w:color="auto"/>
            <w:left w:val="none" w:sz="0" w:space="0" w:color="auto"/>
            <w:bottom w:val="none" w:sz="0" w:space="0" w:color="auto"/>
            <w:right w:val="none" w:sz="0" w:space="0" w:color="auto"/>
          </w:divBdr>
        </w:div>
        <w:div w:id="1366980037">
          <w:marLeft w:val="640"/>
          <w:marRight w:val="0"/>
          <w:marTop w:val="0"/>
          <w:marBottom w:val="0"/>
          <w:divBdr>
            <w:top w:val="none" w:sz="0" w:space="0" w:color="auto"/>
            <w:left w:val="none" w:sz="0" w:space="0" w:color="auto"/>
            <w:bottom w:val="none" w:sz="0" w:space="0" w:color="auto"/>
            <w:right w:val="none" w:sz="0" w:space="0" w:color="auto"/>
          </w:divBdr>
        </w:div>
        <w:div w:id="628319389">
          <w:marLeft w:val="640"/>
          <w:marRight w:val="0"/>
          <w:marTop w:val="0"/>
          <w:marBottom w:val="0"/>
          <w:divBdr>
            <w:top w:val="none" w:sz="0" w:space="0" w:color="auto"/>
            <w:left w:val="none" w:sz="0" w:space="0" w:color="auto"/>
            <w:bottom w:val="none" w:sz="0" w:space="0" w:color="auto"/>
            <w:right w:val="none" w:sz="0" w:space="0" w:color="auto"/>
          </w:divBdr>
        </w:div>
        <w:div w:id="1718965798">
          <w:marLeft w:val="640"/>
          <w:marRight w:val="0"/>
          <w:marTop w:val="0"/>
          <w:marBottom w:val="0"/>
          <w:divBdr>
            <w:top w:val="none" w:sz="0" w:space="0" w:color="auto"/>
            <w:left w:val="none" w:sz="0" w:space="0" w:color="auto"/>
            <w:bottom w:val="none" w:sz="0" w:space="0" w:color="auto"/>
            <w:right w:val="none" w:sz="0" w:space="0" w:color="auto"/>
          </w:divBdr>
        </w:div>
        <w:div w:id="576552483">
          <w:marLeft w:val="640"/>
          <w:marRight w:val="0"/>
          <w:marTop w:val="0"/>
          <w:marBottom w:val="0"/>
          <w:divBdr>
            <w:top w:val="none" w:sz="0" w:space="0" w:color="auto"/>
            <w:left w:val="none" w:sz="0" w:space="0" w:color="auto"/>
            <w:bottom w:val="none" w:sz="0" w:space="0" w:color="auto"/>
            <w:right w:val="none" w:sz="0" w:space="0" w:color="auto"/>
          </w:divBdr>
        </w:div>
        <w:div w:id="1857496963">
          <w:marLeft w:val="640"/>
          <w:marRight w:val="0"/>
          <w:marTop w:val="0"/>
          <w:marBottom w:val="0"/>
          <w:divBdr>
            <w:top w:val="none" w:sz="0" w:space="0" w:color="auto"/>
            <w:left w:val="none" w:sz="0" w:space="0" w:color="auto"/>
            <w:bottom w:val="none" w:sz="0" w:space="0" w:color="auto"/>
            <w:right w:val="none" w:sz="0" w:space="0" w:color="auto"/>
          </w:divBdr>
        </w:div>
        <w:div w:id="318074753">
          <w:marLeft w:val="640"/>
          <w:marRight w:val="0"/>
          <w:marTop w:val="0"/>
          <w:marBottom w:val="0"/>
          <w:divBdr>
            <w:top w:val="none" w:sz="0" w:space="0" w:color="auto"/>
            <w:left w:val="none" w:sz="0" w:space="0" w:color="auto"/>
            <w:bottom w:val="none" w:sz="0" w:space="0" w:color="auto"/>
            <w:right w:val="none" w:sz="0" w:space="0" w:color="auto"/>
          </w:divBdr>
        </w:div>
        <w:div w:id="1397239292">
          <w:marLeft w:val="640"/>
          <w:marRight w:val="0"/>
          <w:marTop w:val="0"/>
          <w:marBottom w:val="0"/>
          <w:divBdr>
            <w:top w:val="none" w:sz="0" w:space="0" w:color="auto"/>
            <w:left w:val="none" w:sz="0" w:space="0" w:color="auto"/>
            <w:bottom w:val="none" w:sz="0" w:space="0" w:color="auto"/>
            <w:right w:val="none" w:sz="0" w:space="0" w:color="auto"/>
          </w:divBdr>
        </w:div>
        <w:div w:id="1978873328">
          <w:marLeft w:val="640"/>
          <w:marRight w:val="0"/>
          <w:marTop w:val="0"/>
          <w:marBottom w:val="0"/>
          <w:divBdr>
            <w:top w:val="none" w:sz="0" w:space="0" w:color="auto"/>
            <w:left w:val="none" w:sz="0" w:space="0" w:color="auto"/>
            <w:bottom w:val="none" w:sz="0" w:space="0" w:color="auto"/>
            <w:right w:val="none" w:sz="0" w:space="0" w:color="auto"/>
          </w:divBdr>
        </w:div>
        <w:div w:id="1453406641">
          <w:marLeft w:val="640"/>
          <w:marRight w:val="0"/>
          <w:marTop w:val="0"/>
          <w:marBottom w:val="0"/>
          <w:divBdr>
            <w:top w:val="none" w:sz="0" w:space="0" w:color="auto"/>
            <w:left w:val="none" w:sz="0" w:space="0" w:color="auto"/>
            <w:bottom w:val="none" w:sz="0" w:space="0" w:color="auto"/>
            <w:right w:val="none" w:sz="0" w:space="0" w:color="auto"/>
          </w:divBdr>
        </w:div>
        <w:div w:id="1294864615">
          <w:marLeft w:val="640"/>
          <w:marRight w:val="0"/>
          <w:marTop w:val="0"/>
          <w:marBottom w:val="0"/>
          <w:divBdr>
            <w:top w:val="none" w:sz="0" w:space="0" w:color="auto"/>
            <w:left w:val="none" w:sz="0" w:space="0" w:color="auto"/>
            <w:bottom w:val="none" w:sz="0" w:space="0" w:color="auto"/>
            <w:right w:val="none" w:sz="0" w:space="0" w:color="auto"/>
          </w:divBdr>
        </w:div>
        <w:div w:id="1076245536">
          <w:marLeft w:val="640"/>
          <w:marRight w:val="0"/>
          <w:marTop w:val="0"/>
          <w:marBottom w:val="0"/>
          <w:divBdr>
            <w:top w:val="none" w:sz="0" w:space="0" w:color="auto"/>
            <w:left w:val="none" w:sz="0" w:space="0" w:color="auto"/>
            <w:bottom w:val="none" w:sz="0" w:space="0" w:color="auto"/>
            <w:right w:val="none" w:sz="0" w:space="0" w:color="auto"/>
          </w:divBdr>
        </w:div>
        <w:div w:id="893928604">
          <w:marLeft w:val="640"/>
          <w:marRight w:val="0"/>
          <w:marTop w:val="0"/>
          <w:marBottom w:val="0"/>
          <w:divBdr>
            <w:top w:val="none" w:sz="0" w:space="0" w:color="auto"/>
            <w:left w:val="none" w:sz="0" w:space="0" w:color="auto"/>
            <w:bottom w:val="none" w:sz="0" w:space="0" w:color="auto"/>
            <w:right w:val="none" w:sz="0" w:space="0" w:color="auto"/>
          </w:divBdr>
        </w:div>
        <w:div w:id="1699619149">
          <w:marLeft w:val="640"/>
          <w:marRight w:val="0"/>
          <w:marTop w:val="0"/>
          <w:marBottom w:val="0"/>
          <w:divBdr>
            <w:top w:val="none" w:sz="0" w:space="0" w:color="auto"/>
            <w:left w:val="none" w:sz="0" w:space="0" w:color="auto"/>
            <w:bottom w:val="none" w:sz="0" w:space="0" w:color="auto"/>
            <w:right w:val="none" w:sz="0" w:space="0" w:color="auto"/>
          </w:divBdr>
        </w:div>
        <w:div w:id="1869222685">
          <w:marLeft w:val="640"/>
          <w:marRight w:val="0"/>
          <w:marTop w:val="0"/>
          <w:marBottom w:val="0"/>
          <w:divBdr>
            <w:top w:val="none" w:sz="0" w:space="0" w:color="auto"/>
            <w:left w:val="none" w:sz="0" w:space="0" w:color="auto"/>
            <w:bottom w:val="none" w:sz="0" w:space="0" w:color="auto"/>
            <w:right w:val="none" w:sz="0" w:space="0" w:color="auto"/>
          </w:divBdr>
        </w:div>
        <w:div w:id="899560476">
          <w:marLeft w:val="640"/>
          <w:marRight w:val="0"/>
          <w:marTop w:val="0"/>
          <w:marBottom w:val="0"/>
          <w:divBdr>
            <w:top w:val="none" w:sz="0" w:space="0" w:color="auto"/>
            <w:left w:val="none" w:sz="0" w:space="0" w:color="auto"/>
            <w:bottom w:val="none" w:sz="0" w:space="0" w:color="auto"/>
            <w:right w:val="none" w:sz="0" w:space="0" w:color="auto"/>
          </w:divBdr>
        </w:div>
        <w:div w:id="1716999513">
          <w:marLeft w:val="640"/>
          <w:marRight w:val="0"/>
          <w:marTop w:val="0"/>
          <w:marBottom w:val="0"/>
          <w:divBdr>
            <w:top w:val="none" w:sz="0" w:space="0" w:color="auto"/>
            <w:left w:val="none" w:sz="0" w:space="0" w:color="auto"/>
            <w:bottom w:val="none" w:sz="0" w:space="0" w:color="auto"/>
            <w:right w:val="none" w:sz="0" w:space="0" w:color="auto"/>
          </w:divBdr>
        </w:div>
        <w:div w:id="418530238">
          <w:marLeft w:val="640"/>
          <w:marRight w:val="0"/>
          <w:marTop w:val="0"/>
          <w:marBottom w:val="0"/>
          <w:divBdr>
            <w:top w:val="none" w:sz="0" w:space="0" w:color="auto"/>
            <w:left w:val="none" w:sz="0" w:space="0" w:color="auto"/>
            <w:bottom w:val="none" w:sz="0" w:space="0" w:color="auto"/>
            <w:right w:val="none" w:sz="0" w:space="0" w:color="auto"/>
          </w:divBdr>
        </w:div>
        <w:div w:id="429936804">
          <w:marLeft w:val="640"/>
          <w:marRight w:val="0"/>
          <w:marTop w:val="0"/>
          <w:marBottom w:val="0"/>
          <w:divBdr>
            <w:top w:val="none" w:sz="0" w:space="0" w:color="auto"/>
            <w:left w:val="none" w:sz="0" w:space="0" w:color="auto"/>
            <w:bottom w:val="none" w:sz="0" w:space="0" w:color="auto"/>
            <w:right w:val="none" w:sz="0" w:space="0" w:color="auto"/>
          </w:divBdr>
        </w:div>
        <w:div w:id="176773472">
          <w:marLeft w:val="640"/>
          <w:marRight w:val="0"/>
          <w:marTop w:val="0"/>
          <w:marBottom w:val="0"/>
          <w:divBdr>
            <w:top w:val="none" w:sz="0" w:space="0" w:color="auto"/>
            <w:left w:val="none" w:sz="0" w:space="0" w:color="auto"/>
            <w:bottom w:val="none" w:sz="0" w:space="0" w:color="auto"/>
            <w:right w:val="none" w:sz="0" w:space="0" w:color="auto"/>
          </w:divBdr>
        </w:div>
        <w:div w:id="349724242">
          <w:marLeft w:val="640"/>
          <w:marRight w:val="0"/>
          <w:marTop w:val="0"/>
          <w:marBottom w:val="0"/>
          <w:divBdr>
            <w:top w:val="none" w:sz="0" w:space="0" w:color="auto"/>
            <w:left w:val="none" w:sz="0" w:space="0" w:color="auto"/>
            <w:bottom w:val="none" w:sz="0" w:space="0" w:color="auto"/>
            <w:right w:val="none" w:sz="0" w:space="0" w:color="auto"/>
          </w:divBdr>
        </w:div>
        <w:div w:id="1347944473">
          <w:marLeft w:val="640"/>
          <w:marRight w:val="0"/>
          <w:marTop w:val="0"/>
          <w:marBottom w:val="0"/>
          <w:divBdr>
            <w:top w:val="none" w:sz="0" w:space="0" w:color="auto"/>
            <w:left w:val="none" w:sz="0" w:space="0" w:color="auto"/>
            <w:bottom w:val="none" w:sz="0" w:space="0" w:color="auto"/>
            <w:right w:val="none" w:sz="0" w:space="0" w:color="auto"/>
          </w:divBdr>
        </w:div>
        <w:div w:id="828448081">
          <w:marLeft w:val="640"/>
          <w:marRight w:val="0"/>
          <w:marTop w:val="0"/>
          <w:marBottom w:val="0"/>
          <w:divBdr>
            <w:top w:val="none" w:sz="0" w:space="0" w:color="auto"/>
            <w:left w:val="none" w:sz="0" w:space="0" w:color="auto"/>
            <w:bottom w:val="none" w:sz="0" w:space="0" w:color="auto"/>
            <w:right w:val="none" w:sz="0" w:space="0" w:color="auto"/>
          </w:divBdr>
        </w:div>
        <w:div w:id="2013334980">
          <w:marLeft w:val="640"/>
          <w:marRight w:val="0"/>
          <w:marTop w:val="0"/>
          <w:marBottom w:val="0"/>
          <w:divBdr>
            <w:top w:val="none" w:sz="0" w:space="0" w:color="auto"/>
            <w:left w:val="none" w:sz="0" w:space="0" w:color="auto"/>
            <w:bottom w:val="none" w:sz="0" w:space="0" w:color="auto"/>
            <w:right w:val="none" w:sz="0" w:space="0" w:color="auto"/>
          </w:divBdr>
        </w:div>
        <w:div w:id="1480732722">
          <w:marLeft w:val="640"/>
          <w:marRight w:val="0"/>
          <w:marTop w:val="0"/>
          <w:marBottom w:val="0"/>
          <w:divBdr>
            <w:top w:val="none" w:sz="0" w:space="0" w:color="auto"/>
            <w:left w:val="none" w:sz="0" w:space="0" w:color="auto"/>
            <w:bottom w:val="none" w:sz="0" w:space="0" w:color="auto"/>
            <w:right w:val="none" w:sz="0" w:space="0" w:color="auto"/>
          </w:divBdr>
        </w:div>
        <w:div w:id="1828663148">
          <w:marLeft w:val="640"/>
          <w:marRight w:val="0"/>
          <w:marTop w:val="0"/>
          <w:marBottom w:val="0"/>
          <w:divBdr>
            <w:top w:val="none" w:sz="0" w:space="0" w:color="auto"/>
            <w:left w:val="none" w:sz="0" w:space="0" w:color="auto"/>
            <w:bottom w:val="none" w:sz="0" w:space="0" w:color="auto"/>
            <w:right w:val="none" w:sz="0" w:space="0" w:color="auto"/>
          </w:divBdr>
        </w:div>
        <w:div w:id="2040664252">
          <w:marLeft w:val="640"/>
          <w:marRight w:val="0"/>
          <w:marTop w:val="0"/>
          <w:marBottom w:val="0"/>
          <w:divBdr>
            <w:top w:val="none" w:sz="0" w:space="0" w:color="auto"/>
            <w:left w:val="none" w:sz="0" w:space="0" w:color="auto"/>
            <w:bottom w:val="none" w:sz="0" w:space="0" w:color="auto"/>
            <w:right w:val="none" w:sz="0" w:space="0" w:color="auto"/>
          </w:divBdr>
        </w:div>
        <w:div w:id="2080786838">
          <w:marLeft w:val="640"/>
          <w:marRight w:val="0"/>
          <w:marTop w:val="0"/>
          <w:marBottom w:val="0"/>
          <w:divBdr>
            <w:top w:val="none" w:sz="0" w:space="0" w:color="auto"/>
            <w:left w:val="none" w:sz="0" w:space="0" w:color="auto"/>
            <w:bottom w:val="none" w:sz="0" w:space="0" w:color="auto"/>
            <w:right w:val="none" w:sz="0" w:space="0" w:color="auto"/>
          </w:divBdr>
        </w:div>
        <w:div w:id="971598563">
          <w:marLeft w:val="640"/>
          <w:marRight w:val="0"/>
          <w:marTop w:val="0"/>
          <w:marBottom w:val="0"/>
          <w:divBdr>
            <w:top w:val="none" w:sz="0" w:space="0" w:color="auto"/>
            <w:left w:val="none" w:sz="0" w:space="0" w:color="auto"/>
            <w:bottom w:val="none" w:sz="0" w:space="0" w:color="auto"/>
            <w:right w:val="none" w:sz="0" w:space="0" w:color="auto"/>
          </w:divBdr>
        </w:div>
        <w:div w:id="1208757645">
          <w:marLeft w:val="640"/>
          <w:marRight w:val="0"/>
          <w:marTop w:val="0"/>
          <w:marBottom w:val="0"/>
          <w:divBdr>
            <w:top w:val="none" w:sz="0" w:space="0" w:color="auto"/>
            <w:left w:val="none" w:sz="0" w:space="0" w:color="auto"/>
            <w:bottom w:val="none" w:sz="0" w:space="0" w:color="auto"/>
            <w:right w:val="none" w:sz="0" w:space="0" w:color="auto"/>
          </w:divBdr>
        </w:div>
        <w:div w:id="324864155">
          <w:marLeft w:val="640"/>
          <w:marRight w:val="0"/>
          <w:marTop w:val="0"/>
          <w:marBottom w:val="0"/>
          <w:divBdr>
            <w:top w:val="none" w:sz="0" w:space="0" w:color="auto"/>
            <w:left w:val="none" w:sz="0" w:space="0" w:color="auto"/>
            <w:bottom w:val="none" w:sz="0" w:space="0" w:color="auto"/>
            <w:right w:val="none" w:sz="0" w:space="0" w:color="auto"/>
          </w:divBdr>
        </w:div>
        <w:div w:id="43454322">
          <w:marLeft w:val="640"/>
          <w:marRight w:val="0"/>
          <w:marTop w:val="0"/>
          <w:marBottom w:val="0"/>
          <w:divBdr>
            <w:top w:val="none" w:sz="0" w:space="0" w:color="auto"/>
            <w:left w:val="none" w:sz="0" w:space="0" w:color="auto"/>
            <w:bottom w:val="none" w:sz="0" w:space="0" w:color="auto"/>
            <w:right w:val="none" w:sz="0" w:space="0" w:color="auto"/>
          </w:divBdr>
        </w:div>
        <w:div w:id="28142596">
          <w:marLeft w:val="640"/>
          <w:marRight w:val="0"/>
          <w:marTop w:val="0"/>
          <w:marBottom w:val="0"/>
          <w:divBdr>
            <w:top w:val="none" w:sz="0" w:space="0" w:color="auto"/>
            <w:left w:val="none" w:sz="0" w:space="0" w:color="auto"/>
            <w:bottom w:val="none" w:sz="0" w:space="0" w:color="auto"/>
            <w:right w:val="none" w:sz="0" w:space="0" w:color="auto"/>
          </w:divBdr>
        </w:div>
        <w:div w:id="79258466">
          <w:marLeft w:val="640"/>
          <w:marRight w:val="0"/>
          <w:marTop w:val="0"/>
          <w:marBottom w:val="0"/>
          <w:divBdr>
            <w:top w:val="none" w:sz="0" w:space="0" w:color="auto"/>
            <w:left w:val="none" w:sz="0" w:space="0" w:color="auto"/>
            <w:bottom w:val="none" w:sz="0" w:space="0" w:color="auto"/>
            <w:right w:val="none" w:sz="0" w:space="0" w:color="auto"/>
          </w:divBdr>
        </w:div>
        <w:div w:id="731583163">
          <w:marLeft w:val="640"/>
          <w:marRight w:val="0"/>
          <w:marTop w:val="0"/>
          <w:marBottom w:val="0"/>
          <w:divBdr>
            <w:top w:val="none" w:sz="0" w:space="0" w:color="auto"/>
            <w:left w:val="none" w:sz="0" w:space="0" w:color="auto"/>
            <w:bottom w:val="none" w:sz="0" w:space="0" w:color="auto"/>
            <w:right w:val="none" w:sz="0" w:space="0" w:color="auto"/>
          </w:divBdr>
        </w:div>
        <w:div w:id="132917640">
          <w:marLeft w:val="640"/>
          <w:marRight w:val="0"/>
          <w:marTop w:val="0"/>
          <w:marBottom w:val="0"/>
          <w:divBdr>
            <w:top w:val="none" w:sz="0" w:space="0" w:color="auto"/>
            <w:left w:val="none" w:sz="0" w:space="0" w:color="auto"/>
            <w:bottom w:val="none" w:sz="0" w:space="0" w:color="auto"/>
            <w:right w:val="none" w:sz="0" w:space="0" w:color="auto"/>
          </w:divBdr>
        </w:div>
        <w:div w:id="585308875">
          <w:marLeft w:val="640"/>
          <w:marRight w:val="0"/>
          <w:marTop w:val="0"/>
          <w:marBottom w:val="0"/>
          <w:divBdr>
            <w:top w:val="none" w:sz="0" w:space="0" w:color="auto"/>
            <w:left w:val="none" w:sz="0" w:space="0" w:color="auto"/>
            <w:bottom w:val="none" w:sz="0" w:space="0" w:color="auto"/>
            <w:right w:val="none" w:sz="0" w:space="0" w:color="auto"/>
          </w:divBdr>
        </w:div>
        <w:div w:id="703016694">
          <w:marLeft w:val="640"/>
          <w:marRight w:val="0"/>
          <w:marTop w:val="0"/>
          <w:marBottom w:val="0"/>
          <w:divBdr>
            <w:top w:val="none" w:sz="0" w:space="0" w:color="auto"/>
            <w:left w:val="none" w:sz="0" w:space="0" w:color="auto"/>
            <w:bottom w:val="none" w:sz="0" w:space="0" w:color="auto"/>
            <w:right w:val="none" w:sz="0" w:space="0" w:color="auto"/>
          </w:divBdr>
        </w:div>
        <w:div w:id="1378705126">
          <w:marLeft w:val="640"/>
          <w:marRight w:val="0"/>
          <w:marTop w:val="0"/>
          <w:marBottom w:val="0"/>
          <w:divBdr>
            <w:top w:val="none" w:sz="0" w:space="0" w:color="auto"/>
            <w:left w:val="none" w:sz="0" w:space="0" w:color="auto"/>
            <w:bottom w:val="none" w:sz="0" w:space="0" w:color="auto"/>
            <w:right w:val="none" w:sz="0" w:space="0" w:color="auto"/>
          </w:divBdr>
        </w:div>
        <w:div w:id="1530222721">
          <w:marLeft w:val="640"/>
          <w:marRight w:val="0"/>
          <w:marTop w:val="0"/>
          <w:marBottom w:val="0"/>
          <w:divBdr>
            <w:top w:val="none" w:sz="0" w:space="0" w:color="auto"/>
            <w:left w:val="none" w:sz="0" w:space="0" w:color="auto"/>
            <w:bottom w:val="none" w:sz="0" w:space="0" w:color="auto"/>
            <w:right w:val="none" w:sz="0" w:space="0" w:color="auto"/>
          </w:divBdr>
        </w:div>
        <w:div w:id="1452361968">
          <w:marLeft w:val="640"/>
          <w:marRight w:val="0"/>
          <w:marTop w:val="0"/>
          <w:marBottom w:val="0"/>
          <w:divBdr>
            <w:top w:val="none" w:sz="0" w:space="0" w:color="auto"/>
            <w:left w:val="none" w:sz="0" w:space="0" w:color="auto"/>
            <w:bottom w:val="none" w:sz="0" w:space="0" w:color="auto"/>
            <w:right w:val="none" w:sz="0" w:space="0" w:color="auto"/>
          </w:divBdr>
        </w:div>
        <w:div w:id="577831621">
          <w:marLeft w:val="640"/>
          <w:marRight w:val="0"/>
          <w:marTop w:val="0"/>
          <w:marBottom w:val="0"/>
          <w:divBdr>
            <w:top w:val="none" w:sz="0" w:space="0" w:color="auto"/>
            <w:left w:val="none" w:sz="0" w:space="0" w:color="auto"/>
            <w:bottom w:val="none" w:sz="0" w:space="0" w:color="auto"/>
            <w:right w:val="none" w:sz="0" w:space="0" w:color="auto"/>
          </w:divBdr>
        </w:div>
        <w:div w:id="255334832">
          <w:marLeft w:val="640"/>
          <w:marRight w:val="0"/>
          <w:marTop w:val="0"/>
          <w:marBottom w:val="0"/>
          <w:divBdr>
            <w:top w:val="none" w:sz="0" w:space="0" w:color="auto"/>
            <w:left w:val="none" w:sz="0" w:space="0" w:color="auto"/>
            <w:bottom w:val="none" w:sz="0" w:space="0" w:color="auto"/>
            <w:right w:val="none" w:sz="0" w:space="0" w:color="auto"/>
          </w:divBdr>
        </w:div>
        <w:div w:id="437529266">
          <w:marLeft w:val="640"/>
          <w:marRight w:val="0"/>
          <w:marTop w:val="0"/>
          <w:marBottom w:val="0"/>
          <w:divBdr>
            <w:top w:val="none" w:sz="0" w:space="0" w:color="auto"/>
            <w:left w:val="none" w:sz="0" w:space="0" w:color="auto"/>
            <w:bottom w:val="none" w:sz="0" w:space="0" w:color="auto"/>
            <w:right w:val="none" w:sz="0" w:space="0" w:color="auto"/>
          </w:divBdr>
        </w:div>
        <w:div w:id="1318418785">
          <w:marLeft w:val="640"/>
          <w:marRight w:val="0"/>
          <w:marTop w:val="0"/>
          <w:marBottom w:val="0"/>
          <w:divBdr>
            <w:top w:val="none" w:sz="0" w:space="0" w:color="auto"/>
            <w:left w:val="none" w:sz="0" w:space="0" w:color="auto"/>
            <w:bottom w:val="none" w:sz="0" w:space="0" w:color="auto"/>
            <w:right w:val="none" w:sz="0" w:space="0" w:color="auto"/>
          </w:divBdr>
        </w:div>
        <w:div w:id="1424766888">
          <w:marLeft w:val="640"/>
          <w:marRight w:val="0"/>
          <w:marTop w:val="0"/>
          <w:marBottom w:val="0"/>
          <w:divBdr>
            <w:top w:val="none" w:sz="0" w:space="0" w:color="auto"/>
            <w:left w:val="none" w:sz="0" w:space="0" w:color="auto"/>
            <w:bottom w:val="none" w:sz="0" w:space="0" w:color="auto"/>
            <w:right w:val="none" w:sz="0" w:space="0" w:color="auto"/>
          </w:divBdr>
        </w:div>
        <w:div w:id="95831266">
          <w:marLeft w:val="640"/>
          <w:marRight w:val="0"/>
          <w:marTop w:val="0"/>
          <w:marBottom w:val="0"/>
          <w:divBdr>
            <w:top w:val="none" w:sz="0" w:space="0" w:color="auto"/>
            <w:left w:val="none" w:sz="0" w:space="0" w:color="auto"/>
            <w:bottom w:val="none" w:sz="0" w:space="0" w:color="auto"/>
            <w:right w:val="none" w:sz="0" w:space="0" w:color="auto"/>
          </w:divBdr>
        </w:div>
        <w:div w:id="1124034925">
          <w:marLeft w:val="640"/>
          <w:marRight w:val="0"/>
          <w:marTop w:val="0"/>
          <w:marBottom w:val="0"/>
          <w:divBdr>
            <w:top w:val="none" w:sz="0" w:space="0" w:color="auto"/>
            <w:left w:val="none" w:sz="0" w:space="0" w:color="auto"/>
            <w:bottom w:val="none" w:sz="0" w:space="0" w:color="auto"/>
            <w:right w:val="none" w:sz="0" w:space="0" w:color="auto"/>
          </w:divBdr>
        </w:div>
        <w:div w:id="1623922206">
          <w:marLeft w:val="640"/>
          <w:marRight w:val="0"/>
          <w:marTop w:val="0"/>
          <w:marBottom w:val="0"/>
          <w:divBdr>
            <w:top w:val="none" w:sz="0" w:space="0" w:color="auto"/>
            <w:left w:val="none" w:sz="0" w:space="0" w:color="auto"/>
            <w:bottom w:val="none" w:sz="0" w:space="0" w:color="auto"/>
            <w:right w:val="none" w:sz="0" w:space="0" w:color="auto"/>
          </w:divBdr>
        </w:div>
        <w:div w:id="2133286712">
          <w:marLeft w:val="640"/>
          <w:marRight w:val="0"/>
          <w:marTop w:val="0"/>
          <w:marBottom w:val="0"/>
          <w:divBdr>
            <w:top w:val="none" w:sz="0" w:space="0" w:color="auto"/>
            <w:left w:val="none" w:sz="0" w:space="0" w:color="auto"/>
            <w:bottom w:val="none" w:sz="0" w:space="0" w:color="auto"/>
            <w:right w:val="none" w:sz="0" w:space="0" w:color="auto"/>
          </w:divBdr>
        </w:div>
        <w:div w:id="1859925128">
          <w:marLeft w:val="640"/>
          <w:marRight w:val="0"/>
          <w:marTop w:val="0"/>
          <w:marBottom w:val="0"/>
          <w:divBdr>
            <w:top w:val="none" w:sz="0" w:space="0" w:color="auto"/>
            <w:left w:val="none" w:sz="0" w:space="0" w:color="auto"/>
            <w:bottom w:val="none" w:sz="0" w:space="0" w:color="auto"/>
            <w:right w:val="none" w:sz="0" w:space="0" w:color="auto"/>
          </w:divBdr>
        </w:div>
        <w:div w:id="1794402164">
          <w:marLeft w:val="640"/>
          <w:marRight w:val="0"/>
          <w:marTop w:val="0"/>
          <w:marBottom w:val="0"/>
          <w:divBdr>
            <w:top w:val="none" w:sz="0" w:space="0" w:color="auto"/>
            <w:left w:val="none" w:sz="0" w:space="0" w:color="auto"/>
            <w:bottom w:val="none" w:sz="0" w:space="0" w:color="auto"/>
            <w:right w:val="none" w:sz="0" w:space="0" w:color="auto"/>
          </w:divBdr>
        </w:div>
        <w:div w:id="456529177">
          <w:marLeft w:val="640"/>
          <w:marRight w:val="0"/>
          <w:marTop w:val="0"/>
          <w:marBottom w:val="0"/>
          <w:divBdr>
            <w:top w:val="none" w:sz="0" w:space="0" w:color="auto"/>
            <w:left w:val="none" w:sz="0" w:space="0" w:color="auto"/>
            <w:bottom w:val="none" w:sz="0" w:space="0" w:color="auto"/>
            <w:right w:val="none" w:sz="0" w:space="0" w:color="auto"/>
          </w:divBdr>
        </w:div>
        <w:div w:id="1356226396">
          <w:marLeft w:val="640"/>
          <w:marRight w:val="0"/>
          <w:marTop w:val="0"/>
          <w:marBottom w:val="0"/>
          <w:divBdr>
            <w:top w:val="none" w:sz="0" w:space="0" w:color="auto"/>
            <w:left w:val="none" w:sz="0" w:space="0" w:color="auto"/>
            <w:bottom w:val="none" w:sz="0" w:space="0" w:color="auto"/>
            <w:right w:val="none" w:sz="0" w:space="0" w:color="auto"/>
          </w:divBdr>
        </w:div>
        <w:div w:id="31074172">
          <w:marLeft w:val="640"/>
          <w:marRight w:val="0"/>
          <w:marTop w:val="0"/>
          <w:marBottom w:val="0"/>
          <w:divBdr>
            <w:top w:val="none" w:sz="0" w:space="0" w:color="auto"/>
            <w:left w:val="none" w:sz="0" w:space="0" w:color="auto"/>
            <w:bottom w:val="none" w:sz="0" w:space="0" w:color="auto"/>
            <w:right w:val="none" w:sz="0" w:space="0" w:color="auto"/>
          </w:divBdr>
        </w:div>
        <w:div w:id="871963323">
          <w:marLeft w:val="640"/>
          <w:marRight w:val="0"/>
          <w:marTop w:val="0"/>
          <w:marBottom w:val="0"/>
          <w:divBdr>
            <w:top w:val="none" w:sz="0" w:space="0" w:color="auto"/>
            <w:left w:val="none" w:sz="0" w:space="0" w:color="auto"/>
            <w:bottom w:val="none" w:sz="0" w:space="0" w:color="auto"/>
            <w:right w:val="none" w:sz="0" w:space="0" w:color="auto"/>
          </w:divBdr>
        </w:div>
        <w:div w:id="1954826732">
          <w:marLeft w:val="640"/>
          <w:marRight w:val="0"/>
          <w:marTop w:val="0"/>
          <w:marBottom w:val="0"/>
          <w:divBdr>
            <w:top w:val="none" w:sz="0" w:space="0" w:color="auto"/>
            <w:left w:val="none" w:sz="0" w:space="0" w:color="auto"/>
            <w:bottom w:val="none" w:sz="0" w:space="0" w:color="auto"/>
            <w:right w:val="none" w:sz="0" w:space="0" w:color="auto"/>
          </w:divBdr>
        </w:div>
        <w:div w:id="575553456">
          <w:marLeft w:val="640"/>
          <w:marRight w:val="0"/>
          <w:marTop w:val="0"/>
          <w:marBottom w:val="0"/>
          <w:divBdr>
            <w:top w:val="none" w:sz="0" w:space="0" w:color="auto"/>
            <w:left w:val="none" w:sz="0" w:space="0" w:color="auto"/>
            <w:bottom w:val="none" w:sz="0" w:space="0" w:color="auto"/>
            <w:right w:val="none" w:sz="0" w:space="0" w:color="auto"/>
          </w:divBdr>
        </w:div>
        <w:div w:id="1941138718">
          <w:marLeft w:val="640"/>
          <w:marRight w:val="0"/>
          <w:marTop w:val="0"/>
          <w:marBottom w:val="0"/>
          <w:divBdr>
            <w:top w:val="none" w:sz="0" w:space="0" w:color="auto"/>
            <w:left w:val="none" w:sz="0" w:space="0" w:color="auto"/>
            <w:bottom w:val="none" w:sz="0" w:space="0" w:color="auto"/>
            <w:right w:val="none" w:sz="0" w:space="0" w:color="auto"/>
          </w:divBdr>
        </w:div>
        <w:div w:id="673340012">
          <w:marLeft w:val="640"/>
          <w:marRight w:val="0"/>
          <w:marTop w:val="0"/>
          <w:marBottom w:val="0"/>
          <w:divBdr>
            <w:top w:val="none" w:sz="0" w:space="0" w:color="auto"/>
            <w:left w:val="none" w:sz="0" w:space="0" w:color="auto"/>
            <w:bottom w:val="none" w:sz="0" w:space="0" w:color="auto"/>
            <w:right w:val="none" w:sz="0" w:space="0" w:color="auto"/>
          </w:divBdr>
        </w:div>
        <w:div w:id="1124615273">
          <w:marLeft w:val="640"/>
          <w:marRight w:val="0"/>
          <w:marTop w:val="0"/>
          <w:marBottom w:val="0"/>
          <w:divBdr>
            <w:top w:val="none" w:sz="0" w:space="0" w:color="auto"/>
            <w:left w:val="none" w:sz="0" w:space="0" w:color="auto"/>
            <w:bottom w:val="none" w:sz="0" w:space="0" w:color="auto"/>
            <w:right w:val="none" w:sz="0" w:space="0" w:color="auto"/>
          </w:divBdr>
        </w:div>
        <w:div w:id="928122189">
          <w:marLeft w:val="640"/>
          <w:marRight w:val="0"/>
          <w:marTop w:val="0"/>
          <w:marBottom w:val="0"/>
          <w:divBdr>
            <w:top w:val="none" w:sz="0" w:space="0" w:color="auto"/>
            <w:left w:val="none" w:sz="0" w:space="0" w:color="auto"/>
            <w:bottom w:val="none" w:sz="0" w:space="0" w:color="auto"/>
            <w:right w:val="none" w:sz="0" w:space="0" w:color="auto"/>
          </w:divBdr>
        </w:div>
        <w:div w:id="561409800">
          <w:marLeft w:val="640"/>
          <w:marRight w:val="0"/>
          <w:marTop w:val="0"/>
          <w:marBottom w:val="0"/>
          <w:divBdr>
            <w:top w:val="none" w:sz="0" w:space="0" w:color="auto"/>
            <w:left w:val="none" w:sz="0" w:space="0" w:color="auto"/>
            <w:bottom w:val="none" w:sz="0" w:space="0" w:color="auto"/>
            <w:right w:val="none" w:sz="0" w:space="0" w:color="auto"/>
          </w:divBdr>
        </w:div>
        <w:div w:id="1447694278">
          <w:marLeft w:val="640"/>
          <w:marRight w:val="0"/>
          <w:marTop w:val="0"/>
          <w:marBottom w:val="0"/>
          <w:divBdr>
            <w:top w:val="none" w:sz="0" w:space="0" w:color="auto"/>
            <w:left w:val="none" w:sz="0" w:space="0" w:color="auto"/>
            <w:bottom w:val="none" w:sz="0" w:space="0" w:color="auto"/>
            <w:right w:val="none" w:sz="0" w:space="0" w:color="auto"/>
          </w:divBdr>
        </w:div>
        <w:div w:id="427581070">
          <w:marLeft w:val="640"/>
          <w:marRight w:val="0"/>
          <w:marTop w:val="0"/>
          <w:marBottom w:val="0"/>
          <w:divBdr>
            <w:top w:val="none" w:sz="0" w:space="0" w:color="auto"/>
            <w:left w:val="none" w:sz="0" w:space="0" w:color="auto"/>
            <w:bottom w:val="none" w:sz="0" w:space="0" w:color="auto"/>
            <w:right w:val="none" w:sz="0" w:space="0" w:color="auto"/>
          </w:divBdr>
        </w:div>
        <w:div w:id="932855816">
          <w:marLeft w:val="640"/>
          <w:marRight w:val="0"/>
          <w:marTop w:val="0"/>
          <w:marBottom w:val="0"/>
          <w:divBdr>
            <w:top w:val="none" w:sz="0" w:space="0" w:color="auto"/>
            <w:left w:val="none" w:sz="0" w:space="0" w:color="auto"/>
            <w:bottom w:val="none" w:sz="0" w:space="0" w:color="auto"/>
            <w:right w:val="none" w:sz="0" w:space="0" w:color="auto"/>
          </w:divBdr>
        </w:div>
        <w:div w:id="51854731">
          <w:marLeft w:val="640"/>
          <w:marRight w:val="0"/>
          <w:marTop w:val="0"/>
          <w:marBottom w:val="0"/>
          <w:divBdr>
            <w:top w:val="none" w:sz="0" w:space="0" w:color="auto"/>
            <w:left w:val="none" w:sz="0" w:space="0" w:color="auto"/>
            <w:bottom w:val="none" w:sz="0" w:space="0" w:color="auto"/>
            <w:right w:val="none" w:sz="0" w:space="0" w:color="auto"/>
          </w:divBdr>
        </w:div>
        <w:div w:id="1065958993">
          <w:marLeft w:val="640"/>
          <w:marRight w:val="0"/>
          <w:marTop w:val="0"/>
          <w:marBottom w:val="0"/>
          <w:divBdr>
            <w:top w:val="none" w:sz="0" w:space="0" w:color="auto"/>
            <w:left w:val="none" w:sz="0" w:space="0" w:color="auto"/>
            <w:bottom w:val="none" w:sz="0" w:space="0" w:color="auto"/>
            <w:right w:val="none" w:sz="0" w:space="0" w:color="auto"/>
          </w:divBdr>
        </w:div>
        <w:div w:id="182521568">
          <w:marLeft w:val="640"/>
          <w:marRight w:val="0"/>
          <w:marTop w:val="0"/>
          <w:marBottom w:val="0"/>
          <w:divBdr>
            <w:top w:val="none" w:sz="0" w:space="0" w:color="auto"/>
            <w:left w:val="none" w:sz="0" w:space="0" w:color="auto"/>
            <w:bottom w:val="none" w:sz="0" w:space="0" w:color="auto"/>
            <w:right w:val="none" w:sz="0" w:space="0" w:color="auto"/>
          </w:divBdr>
        </w:div>
        <w:div w:id="112096464">
          <w:marLeft w:val="640"/>
          <w:marRight w:val="0"/>
          <w:marTop w:val="0"/>
          <w:marBottom w:val="0"/>
          <w:divBdr>
            <w:top w:val="none" w:sz="0" w:space="0" w:color="auto"/>
            <w:left w:val="none" w:sz="0" w:space="0" w:color="auto"/>
            <w:bottom w:val="none" w:sz="0" w:space="0" w:color="auto"/>
            <w:right w:val="none" w:sz="0" w:space="0" w:color="auto"/>
          </w:divBdr>
        </w:div>
        <w:div w:id="459881161">
          <w:marLeft w:val="640"/>
          <w:marRight w:val="0"/>
          <w:marTop w:val="0"/>
          <w:marBottom w:val="0"/>
          <w:divBdr>
            <w:top w:val="none" w:sz="0" w:space="0" w:color="auto"/>
            <w:left w:val="none" w:sz="0" w:space="0" w:color="auto"/>
            <w:bottom w:val="none" w:sz="0" w:space="0" w:color="auto"/>
            <w:right w:val="none" w:sz="0" w:space="0" w:color="auto"/>
          </w:divBdr>
        </w:div>
        <w:div w:id="120609637">
          <w:marLeft w:val="640"/>
          <w:marRight w:val="0"/>
          <w:marTop w:val="0"/>
          <w:marBottom w:val="0"/>
          <w:divBdr>
            <w:top w:val="none" w:sz="0" w:space="0" w:color="auto"/>
            <w:left w:val="none" w:sz="0" w:space="0" w:color="auto"/>
            <w:bottom w:val="none" w:sz="0" w:space="0" w:color="auto"/>
            <w:right w:val="none" w:sz="0" w:space="0" w:color="auto"/>
          </w:divBdr>
        </w:div>
        <w:div w:id="1661227439">
          <w:marLeft w:val="640"/>
          <w:marRight w:val="0"/>
          <w:marTop w:val="0"/>
          <w:marBottom w:val="0"/>
          <w:divBdr>
            <w:top w:val="none" w:sz="0" w:space="0" w:color="auto"/>
            <w:left w:val="none" w:sz="0" w:space="0" w:color="auto"/>
            <w:bottom w:val="none" w:sz="0" w:space="0" w:color="auto"/>
            <w:right w:val="none" w:sz="0" w:space="0" w:color="auto"/>
          </w:divBdr>
        </w:div>
        <w:div w:id="2088114314">
          <w:marLeft w:val="640"/>
          <w:marRight w:val="0"/>
          <w:marTop w:val="0"/>
          <w:marBottom w:val="0"/>
          <w:divBdr>
            <w:top w:val="none" w:sz="0" w:space="0" w:color="auto"/>
            <w:left w:val="none" w:sz="0" w:space="0" w:color="auto"/>
            <w:bottom w:val="none" w:sz="0" w:space="0" w:color="auto"/>
            <w:right w:val="none" w:sz="0" w:space="0" w:color="auto"/>
          </w:divBdr>
        </w:div>
        <w:div w:id="194927658">
          <w:marLeft w:val="640"/>
          <w:marRight w:val="0"/>
          <w:marTop w:val="0"/>
          <w:marBottom w:val="0"/>
          <w:divBdr>
            <w:top w:val="none" w:sz="0" w:space="0" w:color="auto"/>
            <w:left w:val="none" w:sz="0" w:space="0" w:color="auto"/>
            <w:bottom w:val="none" w:sz="0" w:space="0" w:color="auto"/>
            <w:right w:val="none" w:sz="0" w:space="0" w:color="auto"/>
          </w:divBdr>
        </w:div>
        <w:div w:id="1135375009">
          <w:marLeft w:val="640"/>
          <w:marRight w:val="0"/>
          <w:marTop w:val="0"/>
          <w:marBottom w:val="0"/>
          <w:divBdr>
            <w:top w:val="none" w:sz="0" w:space="0" w:color="auto"/>
            <w:left w:val="none" w:sz="0" w:space="0" w:color="auto"/>
            <w:bottom w:val="none" w:sz="0" w:space="0" w:color="auto"/>
            <w:right w:val="none" w:sz="0" w:space="0" w:color="auto"/>
          </w:divBdr>
        </w:div>
        <w:div w:id="601184801">
          <w:marLeft w:val="640"/>
          <w:marRight w:val="0"/>
          <w:marTop w:val="0"/>
          <w:marBottom w:val="0"/>
          <w:divBdr>
            <w:top w:val="none" w:sz="0" w:space="0" w:color="auto"/>
            <w:left w:val="none" w:sz="0" w:space="0" w:color="auto"/>
            <w:bottom w:val="none" w:sz="0" w:space="0" w:color="auto"/>
            <w:right w:val="none" w:sz="0" w:space="0" w:color="auto"/>
          </w:divBdr>
        </w:div>
        <w:div w:id="1807820255">
          <w:marLeft w:val="640"/>
          <w:marRight w:val="0"/>
          <w:marTop w:val="0"/>
          <w:marBottom w:val="0"/>
          <w:divBdr>
            <w:top w:val="none" w:sz="0" w:space="0" w:color="auto"/>
            <w:left w:val="none" w:sz="0" w:space="0" w:color="auto"/>
            <w:bottom w:val="none" w:sz="0" w:space="0" w:color="auto"/>
            <w:right w:val="none" w:sz="0" w:space="0" w:color="auto"/>
          </w:divBdr>
        </w:div>
        <w:div w:id="1225722679">
          <w:marLeft w:val="640"/>
          <w:marRight w:val="0"/>
          <w:marTop w:val="0"/>
          <w:marBottom w:val="0"/>
          <w:divBdr>
            <w:top w:val="none" w:sz="0" w:space="0" w:color="auto"/>
            <w:left w:val="none" w:sz="0" w:space="0" w:color="auto"/>
            <w:bottom w:val="none" w:sz="0" w:space="0" w:color="auto"/>
            <w:right w:val="none" w:sz="0" w:space="0" w:color="auto"/>
          </w:divBdr>
        </w:div>
        <w:div w:id="889880228">
          <w:marLeft w:val="640"/>
          <w:marRight w:val="0"/>
          <w:marTop w:val="0"/>
          <w:marBottom w:val="0"/>
          <w:divBdr>
            <w:top w:val="none" w:sz="0" w:space="0" w:color="auto"/>
            <w:left w:val="none" w:sz="0" w:space="0" w:color="auto"/>
            <w:bottom w:val="none" w:sz="0" w:space="0" w:color="auto"/>
            <w:right w:val="none" w:sz="0" w:space="0" w:color="auto"/>
          </w:divBdr>
        </w:div>
        <w:div w:id="1215040903">
          <w:marLeft w:val="640"/>
          <w:marRight w:val="0"/>
          <w:marTop w:val="0"/>
          <w:marBottom w:val="0"/>
          <w:divBdr>
            <w:top w:val="none" w:sz="0" w:space="0" w:color="auto"/>
            <w:left w:val="none" w:sz="0" w:space="0" w:color="auto"/>
            <w:bottom w:val="none" w:sz="0" w:space="0" w:color="auto"/>
            <w:right w:val="none" w:sz="0" w:space="0" w:color="auto"/>
          </w:divBdr>
        </w:div>
        <w:div w:id="1503815335">
          <w:marLeft w:val="640"/>
          <w:marRight w:val="0"/>
          <w:marTop w:val="0"/>
          <w:marBottom w:val="0"/>
          <w:divBdr>
            <w:top w:val="none" w:sz="0" w:space="0" w:color="auto"/>
            <w:left w:val="none" w:sz="0" w:space="0" w:color="auto"/>
            <w:bottom w:val="none" w:sz="0" w:space="0" w:color="auto"/>
            <w:right w:val="none" w:sz="0" w:space="0" w:color="auto"/>
          </w:divBdr>
        </w:div>
        <w:div w:id="625965637">
          <w:marLeft w:val="640"/>
          <w:marRight w:val="0"/>
          <w:marTop w:val="0"/>
          <w:marBottom w:val="0"/>
          <w:divBdr>
            <w:top w:val="none" w:sz="0" w:space="0" w:color="auto"/>
            <w:left w:val="none" w:sz="0" w:space="0" w:color="auto"/>
            <w:bottom w:val="none" w:sz="0" w:space="0" w:color="auto"/>
            <w:right w:val="none" w:sz="0" w:space="0" w:color="auto"/>
          </w:divBdr>
        </w:div>
        <w:div w:id="734275474">
          <w:marLeft w:val="640"/>
          <w:marRight w:val="0"/>
          <w:marTop w:val="0"/>
          <w:marBottom w:val="0"/>
          <w:divBdr>
            <w:top w:val="none" w:sz="0" w:space="0" w:color="auto"/>
            <w:left w:val="none" w:sz="0" w:space="0" w:color="auto"/>
            <w:bottom w:val="none" w:sz="0" w:space="0" w:color="auto"/>
            <w:right w:val="none" w:sz="0" w:space="0" w:color="auto"/>
          </w:divBdr>
        </w:div>
        <w:div w:id="2068456838">
          <w:marLeft w:val="640"/>
          <w:marRight w:val="0"/>
          <w:marTop w:val="0"/>
          <w:marBottom w:val="0"/>
          <w:divBdr>
            <w:top w:val="none" w:sz="0" w:space="0" w:color="auto"/>
            <w:left w:val="none" w:sz="0" w:space="0" w:color="auto"/>
            <w:bottom w:val="none" w:sz="0" w:space="0" w:color="auto"/>
            <w:right w:val="none" w:sz="0" w:space="0" w:color="auto"/>
          </w:divBdr>
        </w:div>
        <w:div w:id="1509980793">
          <w:marLeft w:val="640"/>
          <w:marRight w:val="0"/>
          <w:marTop w:val="0"/>
          <w:marBottom w:val="0"/>
          <w:divBdr>
            <w:top w:val="none" w:sz="0" w:space="0" w:color="auto"/>
            <w:left w:val="none" w:sz="0" w:space="0" w:color="auto"/>
            <w:bottom w:val="none" w:sz="0" w:space="0" w:color="auto"/>
            <w:right w:val="none" w:sz="0" w:space="0" w:color="auto"/>
          </w:divBdr>
        </w:div>
        <w:div w:id="369916558">
          <w:marLeft w:val="640"/>
          <w:marRight w:val="0"/>
          <w:marTop w:val="0"/>
          <w:marBottom w:val="0"/>
          <w:divBdr>
            <w:top w:val="none" w:sz="0" w:space="0" w:color="auto"/>
            <w:left w:val="none" w:sz="0" w:space="0" w:color="auto"/>
            <w:bottom w:val="none" w:sz="0" w:space="0" w:color="auto"/>
            <w:right w:val="none" w:sz="0" w:space="0" w:color="auto"/>
          </w:divBdr>
        </w:div>
        <w:div w:id="969017836">
          <w:marLeft w:val="640"/>
          <w:marRight w:val="0"/>
          <w:marTop w:val="0"/>
          <w:marBottom w:val="0"/>
          <w:divBdr>
            <w:top w:val="none" w:sz="0" w:space="0" w:color="auto"/>
            <w:left w:val="none" w:sz="0" w:space="0" w:color="auto"/>
            <w:bottom w:val="none" w:sz="0" w:space="0" w:color="auto"/>
            <w:right w:val="none" w:sz="0" w:space="0" w:color="auto"/>
          </w:divBdr>
        </w:div>
        <w:div w:id="1037465919">
          <w:marLeft w:val="640"/>
          <w:marRight w:val="0"/>
          <w:marTop w:val="0"/>
          <w:marBottom w:val="0"/>
          <w:divBdr>
            <w:top w:val="none" w:sz="0" w:space="0" w:color="auto"/>
            <w:left w:val="none" w:sz="0" w:space="0" w:color="auto"/>
            <w:bottom w:val="none" w:sz="0" w:space="0" w:color="auto"/>
            <w:right w:val="none" w:sz="0" w:space="0" w:color="auto"/>
          </w:divBdr>
        </w:div>
        <w:div w:id="797575467">
          <w:marLeft w:val="640"/>
          <w:marRight w:val="0"/>
          <w:marTop w:val="0"/>
          <w:marBottom w:val="0"/>
          <w:divBdr>
            <w:top w:val="none" w:sz="0" w:space="0" w:color="auto"/>
            <w:left w:val="none" w:sz="0" w:space="0" w:color="auto"/>
            <w:bottom w:val="none" w:sz="0" w:space="0" w:color="auto"/>
            <w:right w:val="none" w:sz="0" w:space="0" w:color="auto"/>
          </w:divBdr>
        </w:div>
        <w:div w:id="2041738095">
          <w:marLeft w:val="640"/>
          <w:marRight w:val="0"/>
          <w:marTop w:val="0"/>
          <w:marBottom w:val="0"/>
          <w:divBdr>
            <w:top w:val="none" w:sz="0" w:space="0" w:color="auto"/>
            <w:left w:val="none" w:sz="0" w:space="0" w:color="auto"/>
            <w:bottom w:val="none" w:sz="0" w:space="0" w:color="auto"/>
            <w:right w:val="none" w:sz="0" w:space="0" w:color="auto"/>
          </w:divBdr>
        </w:div>
        <w:div w:id="1368872282">
          <w:marLeft w:val="640"/>
          <w:marRight w:val="0"/>
          <w:marTop w:val="0"/>
          <w:marBottom w:val="0"/>
          <w:divBdr>
            <w:top w:val="none" w:sz="0" w:space="0" w:color="auto"/>
            <w:left w:val="none" w:sz="0" w:space="0" w:color="auto"/>
            <w:bottom w:val="none" w:sz="0" w:space="0" w:color="auto"/>
            <w:right w:val="none" w:sz="0" w:space="0" w:color="auto"/>
          </w:divBdr>
        </w:div>
        <w:div w:id="1083642444">
          <w:marLeft w:val="640"/>
          <w:marRight w:val="0"/>
          <w:marTop w:val="0"/>
          <w:marBottom w:val="0"/>
          <w:divBdr>
            <w:top w:val="none" w:sz="0" w:space="0" w:color="auto"/>
            <w:left w:val="none" w:sz="0" w:space="0" w:color="auto"/>
            <w:bottom w:val="none" w:sz="0" w:space="0" w:color="auto"/>
            <w:right w:val="none" w:sz="0" w:space="0" w:color="auto"/>
          </w:divBdr>
        </w:div>
        <w:div w:id="2074616475">
          <w:marLeft w:val="640"/>
          <w:marRight w:val="0"/>
          <w:marTop w:val="0"/>
          <w:marBottom w:val="0"/>
          <w:divBdr>
            <w:top w:val="none" w:sz="0" w:space="0" w:color="auto"/>
            <w:left w:val="none" w:sz="0" w:space="0" w:color="auto"/>
            <w:bottom w:val="none" w:sz="0" w:space="0" w:color="auto"/>
            <w:right w:val="none" w:sz="0" w:space="0" w:color="auto"/>
          </w:divBdr>
        </w:div>
        <w:div w:id="1791166315">
          <w:marLeft w:val="640"/>
          <w:marRight w:val="0"/>
          <w:marTop w:val="0"/>
          <w:marBottom w:val="0"/>
          <w:divBdr>
            <w:top w:val="none" w:sz="0" w:space="0" w:color="auto"/>
            <w:left w:val="none" w:sz="0" w:space="0" w:color="auto"/>
            <w:bottom w:val="none" w:sz="0" w:space="0" w:color="auto"/>
            <w:right w:val="none" w:sz="0" w:space="0" w:color="auto"/>
          </w:divBdr>
        </w:div>
        <w:div w:id="635724176">
          <w:marLeft w:val="640"/>
          <w:marRight w:val="0"/>
          <w:marTop w:val="0"/>
          <w:marBottom w:val="0"/>
          <w:divBdr>
            <w:top w:val="none" w:sz="0" w:space="0" w:color="auto"/>
            <w:left w:val="none" w:sz="0" w:space="0" w:color="auto"/>
            <w:bottom w:val="none" w:sz="0" w:space="0" w:color="auto"/>
            <w:right w:val="none" w:sz="0" w:space="0" w:color="auto"/>
          </w:divBdr>
        </w:div>
        <w:div w:id="1926725318">
          <w:marLeft w:val="640"/>
          <w:marRight w:val="0"/>
          <w:marTop w:val="0"/>
          <w:marBottom w:val="0"/>
          <w:divBdr>
            <w:top w:val="none" w:sz="0" w:space="0" w:color="auto"/>
            <w:left w:val="none" w:sz="0" w:space="0" w:color="auto"/>
            <w:bottom w:val="none" w:sz="0" w:space="0" w:color="auto"/>
            <w:right w:val="none" w:sz="0" w:space="0" w:color="auto"/>
          </w:divBdr>
        </w:div>
        <w:div w:id="460156411">
          <w:marLeft w:val="640"/>
          <w:marRight w:val="0"/>
          <w:marTop w:val="0"/>
          <w:marBottom w:val="0"/>
          <w:divBdr>
            <w:top w:val="none" w:sz="0" w:space="0" w:color="auto"/>
            <w:left w:val="none" w:sz="0" w:space="0" w:color="auto"/>
            <w:bottom w:val="none" w:sz="0" w:space="0" w:color="auto"/>
            <w:right w:val="none" w:sz="0" w:space="0" w:color="auto"/>
          </w:divBdr>
        </w:div>
        <w:div w:id="979530177">
          <w:marLeft w:val="640"/>
          <w:marRight w:val="0"/>
          <w:marTop w:val="0"/>
          <w:marBottom w:val="0"/>
          <w:divBdr>
            <w:top w:val="none" w:sz="0" w:space="0" w:color="auto"/>
            <w:left w:val="none" w:sz="0" w:space="0" w:color="auto"/>
            <w:bottom w:val="none" w:sz="0" w:space="0" w:color="auto"/>
            <w:right w:val="none" w:sz="0" w:space="0" w:color="auto"/>
          </w:divBdr>
        </w:div>
        <w:div w:id="1527255822">
          <w:marLeft w:val="640"/>
          <w:marRight w:val="0"/>
          <w:marTop w:val="0"/>
          <w:marBottom w:val="0"/>
          <w:divBdr>
            <w:top w:val="none" w:sz="0" w:space="0" w:color="auto"/>
            <w:left w:val="none" w:sz="0" w:space="0" w:color="auto"/>
            <w:bottom w:val="none" w:sz="0" w:space="0" w:color="auto"/>
            <w:right w:val="none" w:sz="0" w:space="0" w:color="auto"/>
          </w:divBdr>
        </w:div>
        <w:div w:id="1249339692">
          <w:marLeft w:val="640"/>
          <w:marRight w:val="0"/>
          <w:marTop w:val="0"/>
          <w:marBottom w:val="0"/>
          <w:divBdr>
            <w:top w:val="none" w:sz="0" w:space="0" w:color="auto"/>
            <w:left w:val="none" w:sz="0" w:space="0" w:color="auto"/>
            <w:bottom w:val="none" w:sz="0" w:space="0" w:color="auto"/>
            <w:right w:val="none" w:sz="0" w:space="0" w:color="auto"/>
          </w:divBdr>
        </w:div>
        <w:div w:id="1348405593">
          <w:marLeft w:val="640"/>
          <w:marRight w:val="0"/>
          <w:marTop w:val="0"/>
          <w:marBottom w:val="0"/>
          <w:divBdr>
            <w:top w:val="none" w:sz="0" w:space="0" w:color="auto"/>
            <w:left w:val="none" w:sz="0" w:space="0" w:color="auto"/>
            <w:bottom w:val="none" w:sz="0" w:space="0" w:color="auto"/>
            <w:right w:val="none" w:sz="0" w:space="0" w:color="auto"/>
          </w:divBdr>
        </w:div>
        <w:div w:id="1713846283">
          <w:marLeft w:val="640"/>
          <w:marRight w:val="0"/>
          <w:marTop w:val="0"/>
          <w:marBottom w:val="0"/>
          <w:divBdr>
            <w:top w:val="none" w:sz="0" w:space="0" w:color="auto"/>
            <w:left w:val="none" w:sz="0" w:space="0" w:color="auto"/>
            <w:bottom w:val="none" w:sz="0" w:space="0" w:color="auto"/>
            <w:right w:val="none" w:sz="0" w:space="0" w:color="auto"/>
          </w:divBdr>
        </w:div>
        <w:div w:id="990522364">
          <w:marLeft w:val="640"/>
          <w:marRight w:val="0"/>
          <w:marTop w:val="0"/>
          <w:marBottom w:val="0"/>
          <w:divBdr>
            <w:top w:val="none" w:sz="0" w:space="0" w:color="auto"/>
            <w:left w:val="none" w:sz="0" w:space="0" w:color="auto"/>
            <w:bottom w:val="none" w:sz="0" w:space="0" w:color="auto"/>
            <w:right w:val="none" w:sz="0" w:space="0" w:color="auto"/>
          </w:divBdr>
        </w:div>
        <w:div w:id="1375276893">
          <w:marLeft w:val="640"/>
          <w:marRight w:val="0"/>
          <w:marTop w:val="0"/>
          <w:marBottom w:val="0"/>
          <w:divBdr>
            <w:top w:val="none" w:sz="0" w:space="0" w:color="auto"/>
            <w:left w:val="none" w:sz="0" w:space="0" w:color="auto"/>
            <w:bottom w:val="none" w:sz="0" w:space="0" w:color="auto"/>
            <w:right w:val="none" w:sz="0" w:space="0" w:color="auto"/>
          </w:divBdr>
        </w:div>
        <w:div w:id="1361586967">
          <w:marLeft w:val="640"/>
          <w:marRight w:val="0"/>
          <w:marTop w:val="0"/>
          <w:marBottom w:val="0"/>
          <w:divBdr>
            <w:top w:val="none" w:sz="0" w:space="0" w:color="auto"/>
            <w:left w:val="none" w:sz="0" w:space="0" w:color="auto"/>
            <w:bottom w:val="none" w:sz="0" w:space="0" w:color="auto"/>
            <w:right w:val="none" w:sz="0" w:space="0" w:color="auto"/>
          </w:divBdr>
        </w:div>
        <w:div w:id="1439176534">
          <w:marLeft w:val="640"/>
          <w:marRight w:val="0"/>
          <w:marTop w:val="0"/>
          <w:marBottom w:val="0"/>
          <w:divBdr>
            <w:top w:val="none" w:sz="0" w:space="0" w:color="auto"/>
            <w:left w:val="none" w:sz="0" w:space="0" w:color="auto"/>
            <w:bottom w:val="none" w:sz="0" w:space="0" w:color="auto"/>
            <w:right w:val="none" w:sz="0" w:space="0" w:color="auto"/>
          </w:divBdr>
        </w:div>
        <w:div w:id="1222982344">
          <w:marLeft w:val="640"/>
          <w:marRight w:val="0"/>
          <w:marTop w:val="0"/>
          <w:marBottom w:val="0"/>
          <w:divBdr>
            <w:top w:val="none" w:sz="0" w:space="0" w:color="auto"/>
            <w:left w:val="none" w:sz="0" w:space="0" w:color="auto"/>
            <w:bottom w:val="none" w:sz="0" w:space="0" w:color="auto"/>
            <w:right w:val="none" w:sz="0" w:space="0" w:color="auto"/>
          </w:divBdr>
        </w:div>
        <w:div w:id="207841210">
          <w:marLeft w:val="640"/>
          <w:marRight w:val="0"/>
          <w:marTop w:val="0"/>
          <w:marBottom w:val="0"/>
          <w:divBdr>
            <w:top w:val="none" w:sz="0" w:space="0" w:color="auto"/>
            <w:left w:val="none" w:sz="0" w:space="0" w:color="auto"/>
            <w:bottom w:val="none" w:sz="0" w:space="0" w:color="auto"/>
            <w:right w:val="none" w:sz="0" w:space="0" w:color="auto"/>
          </w:divBdr>
        </w:div>
        <w:div w:id="1287857723">
          <w:marLeft w:val="640"/>
          <w:marRight w:val="0"/>
          <w:marTop w:val="0"/>
          <w:marBottom w:val="0"/>
          <w:divBdr>
            <w:top w:val="none" w:sz="0" w:space="0" w:color="auto"/>
            <w:left w:val="none" w:sz="0" w:space="0" w:color="auto"/>
            <w:bottom w:val="none" w:sz="0" w:space="0" w:color="auto"/>
            <w:right w:val="none" w:sz="0" w:space="0" w:color="auto"/>
          </w:divBdr>
        </w:div>
        <w:div w:id="118885506">
          <w:marLeft w:val="640"/>
          <w:marRight w:val="0"/>
          <w:marTop w:val="0"/>
          <w:marBottom w:val="0"/>
          <w:divBdr>
            <w:top w:val="none" w:sz="0" w:space="0" w:color="auto"/>
            <w:left w:val="none" w:sz="0" w:space="0" w:color="auto"/>
            <w:bottom w:val="none" w:sz="0" w:space="0" w:color="auto"/>
            <w:right w:val="none" w:sz="0" w:space="0" w:color="auto"/>
          </w:divBdr>
        </w:div>
        <w:div w:id="767625233">
          <w:marLeft w:val="640"/>
          <w:marRight w:val="0"/>
          <w:marTop w:val="0"/>
          <w:marBottom w:val="0"/>
          <w:divBdr>
            <w:top w:val="none" w:sz="0" w:space="0" w:color="auto"/>
            <w:left w:val="none" w:sz="0" w:space="0" w:color="auto"/>
            <w:bottom w:val="none" w:sz="0" w:space="0" w:color="auto"/>
            <w:right w:val="none" w:sz="0" w:space="0" w:color="auto"/>
          </w:divBdr>
        </w:div>
        <w:div w:id="360859710">
          <w:marLeft w:val="640"/>
          <w:marRight w:val="0"/>
          <w:marTop w:val="0"/>
          <w:marBottom w:val="0"/>
          <w:divBdr>
            <w:top w:val="none" w:sz="0" w:space="0" w:color="auto"/>
            <w:left w:val="none" w:sz="0" w:space="0" w:color="auto"/>
            <w:bottom w:val="none" w:sz="0" w:space="0" w:color="auto"/>
            <w:right w:val="none" w:sz="0" w:space="0" w:color="auto"/>
          </w:divBdr>
        </w:div>
        <w:div w:id="475268006">
          <w:marLeft w:val="640"/>
          <w:marRight w:val="0"/>
          <w:marTop w:val="0"/>
          <w:marBottom w:val="0"/>
          <w:divBdr>
            <w:top w:val="none" w:sz="0" w:space="0" w:color="auto"/>
            <w:left w:val="none" w:sz="0" w:space="0" w:color="auto"/>
            <w:bottom w:val="none" w:sz="0" w:space="0" w:color="auto"/>
            <w:right w:val="none" w:sz="0" w:space="0" w:color="auto"/>
          </w:divBdr>
        </w:div>
        <w:div w:id="442847902">
          <w:marLeft w:val="640"/>
          <w:marRight w:val="0"/>
          <w:marTop w:val="0"/>
          <w:marBottom w:val="0"/>
          <w:divBdr>
            <w:top w:val="none" w:sz="0" w:space="0" w:color="auto"/>
            <w:left w:val="none" w:sz="0" w:space="0" w:color="auto"/>
            <w:bottom w:val="none" w:sz="0" w:space="0" w:color="auto"/>
            <w:right w:val="none" w:sz="0" w:space="0" w:color="auto"/>
          </w:divBdr>
        </w:div>
        <w:div w:id="216169914">
          <w:marLeft w:val="640"/>
          <w:marRight w:val="0"/>
          <w:marTop w:val="0"/>
          <w:marBottom w:val="0"/>
          <w:divBdr>
            <w:top w:val="none" w:sz="0" w:space="0" w:color="auto"/>
            <w:left w:val="none" w:sz="0" w:space="0" w:color="auto"/>
            <w:bottom w:val="none" w:sz="0" w:space="0" w:color="auto"/>
            <w:right w:val="none" w:sz="0" w:space="0" w:color="auto"/>
          </w:divBdr>
        </w:div>
        <w:div w:id="662899900">
          <w:marLeft w:val="640"/>
          <w:marRight w:val="0"/>
          <w:marTop w:val="0"/>
          <w:marBottom w:val="0"/>
          <w:divBdr>
            <w:top w:val="none" w:sz="0" w:space="0" w:color="auto"/>
            <w:left w:val="none" w:sz="0" w:space="0" w:color="auto"/>
            <w:bottom w:val="none" w:sz="0" w:space="0" w:color="auto"/>
            <w:right w:val="none" w:sz="0" w:space="0" w:color="auto"/>
          </w:divBdr>
        </w:div>
        <w:div w:id="692420603">
          <w:marLeft w:val="640"/>
          <w:marRight w:val="0"/>
          <w:marTop w:val="0"/>
          <w:marBottom w:val="0"/>
          <w:divBdr>
            <w:top w:val="none" w:sz="0" w:space="0" w:color="auto"/>
            <w:left w:val="none" w:sz="0" w:space="0" w:color="auto"/>
            <w:bottom w:val="none" w:sz="0" w:space="0" w:color="auto"/>
            <w:right w:val="none" w:sz="0" w:space="0" w:color="auto"/>
          </w:divBdr>
        </w:div>
        <w:div w:id="1582330960">
          <w:marLeft w:val="640"/>
          <w:marRight w:val="0"/>
          <w:marTop w:val="0"/>
          <w:marBottom w:val="0"/>
          <w:divBdr>
            <w:top w:val="none" w:sz="0" w:space="0" w:color="auto"/>
            <w:left w:val="none" w:sz="0" w:space="0" w:color="auto"/>
            <w:bottom w:val="none" w:sz="0" w:space="0" w:color="auto"/>
            <w:right w:val="none" w:sz="0" w:space="0" w:color="auto"/>
          </w:divBdr>
        </w:div>
        <w:div w:id="1727945563">
          <w:marLeft w:val="640"/>
          <w:marRight w:val="0"/>
          <w:marTop w:val="0"/>
          <w:marBottom w:val="0"/>
          <w:divBdr>
            <w:top w:val="none" w:sz="0" w:space="0" w:color="auto"/>
            <w:left w:val="none" w:sz="0" w:space="0" w:color="auto"/>
            <w:bottom w:val="none" w:sz="0" w:space="0" w:color="auto"/>
            <w:right w:val="none" w:sz="0" w:space="0" w:color="auto"/>
          </w:divBdr>
        </w:div>
        <w:div w:id="1716851714">
          <w:marLeft w:val="640"/>
          <w:marRight w:val="0"/>
          <w:marTop w:val="0"/>
          <w:marBottom w:val="0"/>
          <w:divBdr>
            <w:top w:val="none" w:sz="0" w:space="0" w:color="auto"/>
            <w:left w:val="none" w:sz="0" w:space="0" w:color="auto"/>
            <w:bottom w:val="none" w:sz="0" w:space="0" w:color="auto"/>
            <w:right w:val="none" w:sz="0" w:space="0" w:color="auto"/>
          </w:divBdr>
        </w:div>
        <w:div w:id="117070165">
          <w:marLeft w:val="640"/>
          <w:marRight w:val="0"/>
          <w:marTop w:val="0"/>
          <w:marBottom w:val="0"/>
          <w:divBdr>
            <w:top w:val="none" w:sz="0" w:space="0" w:color="auto"/>
            <w:left w:val="none" w:sz="0" w:space="0" w:color="auto"/>
            <w:bottom w:val="none" w:sz="0" w:space="0" w:color="auto"/>
            <w:right w:val="none" w:sz="0" w:space="0" w:color="auto"/>
          </w:divBdr>
        </w:div>
        <w:div w:id="1182204082">
          <w:marLeft w:val="640"/>
          <w:marRight w:val="0"/>
          <w:marTop w:val="0"/>
          <w:marBottom w:val="0"/>
          <w:divBdr>
            <w:top w:val="none" w:sz="0" w:space="0" w:color="auto"/>
            <w:left w:val="none" w:sz="0" w:space="0" w:color="auto"/>
            <w:bottom w:val="none" w:sz="0" w:space="0" w:color="auto"/>
            <w:right w:val="none" w:sz="0" w:space="0" w:color="auto"/>
          </w:divBdr>
        </w:div>
        <w:div w:id="1361668003">
          <w:marLeft w:val="640"/>
          <w:marRight w:val="0"/>
          <w:marTop w:val="0"/>
          <w:marBottom w:val="0"/>
          <w:divBdr>
            <w:top w:val="none" w:sz="0" w:space="0" w:color="auto"/>
            <w:left w:val="none" w:sz="0" w:space="0" w:color="auto"/>
            <w:bottom w:val="none" w:sz="0" w:space="0" w:color="auto"/>
            <w:right w:val="none" w:sz="0" w:space="0" w:color="auto"/>
          </w:divBdr>
        </w:div>
        <w:div w:id="788934783">
          <w:marLeft w:val="640"/>
          <w:marRight w:val="0"/>
          <w:marTop w:val="0"/>
          <w:marBottom w:val="0"/>
          <w:divBdr>
            <w:top w:val="none" w:sz="0" w:space="0" w:color="auto"/>
            <w:left w:val="none" w:sz="0" w:space="0" w:color="auto"/>
            <w:bottom w:val="none" w:sz="0" w:space="0" w:color="auto"/>
            <w:right w:val="none" w:sz="0" w:space="0" w:color="auto"/>
          </w:divBdr>
        </w:div>
        <w:div w:id="949514199">
          <w:marLeft w:val="640"/>
          <w:marRight w:val="0"/>
          <w:marTop w:val="0"/>
          <w:marBottom w:val="0"/>
          <w:divBdr>
            <w:top w:val="none" w:sz="0" w:space="0" w:color="auto"/>
            <w:left w:val="none" w:sz="0" w:space="0" w:color="auto"/>
            <w:bottom w:val="none" w:sz="0" w:space="0" w:color="auto"/>
            <w:right w:val="none" w:sz="0" w:space="0" w:color="auto"/>
          </w:divBdr>
        </w:div>
        <w:div w:id="679162656">
          <w:marLeft w:val="640"/>
          <w:marRight w:val="0"/>
          <w:marTop w:val="0"/>
          <w:marBottom w:val="0"/>
          <w:divBdr>
            <w:top w:val="none" w:sz="0" w:space="0" w:color="auto"/>
            <w:left w:val="none" w:sz="0" w:space="0" w:color="auto"/>
            <w:bottom w:val="none" w:sz="0" w:space="0" w:color="auto"/>
            <w:right w:val="none" w:sz="0" w:space="0" w:color="auto"/>
          </w:divBdr>
        </w:div>
        <w:div w:id="264578378">
          <w:marLeft w:val="640"/>
          <w:marRight w:val="0"/>
          <w:marTop w:val="0"/>
          <w:marBottom w:val="0"/>
          <w:divBdr>
            <w:top w:val="none" w:sz="0" w:space="0" w:color="auto"/>
            <w:left w:val="none" w:sz="0" w:space="0" w:color="auto"/>
            <w:bottom w:val="none" w:sz="0" w:space="0" w:color="auto"/>
            <w:right w:val="none" w:sz="0" w:space="0" w:color="auto"/>
          </w:divBdr>
        </w:div>
        <w:div w:id="1122917200">
          <w:marLeft w:val="640"/>
          <w:marRight w:val="0"/>
          <w:marTop w:val="0"/>
          <w:marBottom w:val="0"/>
          <w:divBdr>
            <w:top w:val="none" w:sz="0" w:space="0" w:color="auto"/>
            <w:left w:val="none" w:sz="0" w:space="0" w:color="auto"/>
            <w:bottom w:val="none" w:sz="0" w:space="0" w:color="auto"/>
            <w:right w:val="none" w:sz="0" w:space="0" w:color="auto"/>
          </w:divBdr>
        </w:div>
        <w:div w:id="1401709395">
          <w:marLeft w:val="640"/>
          <w:marRight w:val="0"/>
          <w:marTop w:val="0"/>
          <w:marBottom w:val="0"/>
          <w:divBdr>
            <w:top w:val="none" w:sz="0" w:space="0" w:color="auto"/>
            <w:left w:val="none" w:sz="0" w:space="0" w:color="auto"/>
            <w:bottom w:val="none" w:sz="0" w:space="0" w:color="auto"/>
            <w:right w:val="none" w:sz="0" w:space="0" w:color="auto"/>
          </w:divBdr>
        </w:div>
        <w:div w:id="563102724">
          <w:marLeft w:val="640"/>
          <w:marRight w:val="0"/>
          <w:marTop w:val="0"/>
          <w:marBottom w:val="0"/>
          <w:divBdr>
            <w:top w:val="none" w:sz="0" w:space="0" w:color="auto"/>
            <w:left w:val="none" w:sz="0" w:space="0" w:color="auto"/>
            <w:bottom w:val="none" w:sz="0" w:space="0" w:color="auto"/>
            <w:right w:val="none" w:sz="0" w:space="0" w:color="auto"/>
          </w:divBdr>
        </w:div>
        <w:div w:id="573785187">
          <w:marLeft w:val="640"/>
          <w:marRight w:val="0"/>
          <w:marTop w:val="0"/>
          <w:marBottom w:val="0"/>
          <w:divBdr>
            <w:top w:val="none" w:sz="0" w:space="0" w:color="auto"/>
            <w:left w:val="none" w:sz="0" w:space="0" w:color="auto"/>
            <w:bottom w:val="none" w:sz="0" w:space="0" w:color="auto"/>
            <w:right w:val="none" w:sz="0" w:space="0" w:color="auto"/>
          </w:divBdr>
        </w:div>
        <w:div w:id="512456828">
          <w:marLeft w:val="640"/>
          <w:marRight w:val="0"/>
          <w:marTop w:val="0"/>
          <w:marBottom w:val="0"/>
          <w:divBdr>
            <w:top w:val="none" w:sz="0" w:space="0" w:color="auto"/>
            <w:left w:val="none" w:sz="0" w:space="0" w:color="auto"/>
            <w:bottom w:val="none" w:sz="0" w:space="0" w:color="auto"/>
            <w:right w:val="none" w:sz="0" w:space="0" w:color="auto"/>
          </w:divBdr>
        </w:div>
        <w:div w:id="1273972066">
          <w:marLeft w:val="640"/>
          <w:marRight w:val="0"/>
          <w:marTop w:val="0"/>
          <w:marBottom w:val="0"/>
          <w:divBdr>
            <w:top w:val="none" w:sz="0" w:space="0" w:color="auto"/>
            <w:left w:val="none" w:sz="0" w:space="0" w:color="auto"/>
            <w:bottom w:val="none" w:sz="0" w:space="0" w:color="auto"/>
            <w:right w:val="none" w:sz="0" w:space="0" w:color="auto"/>
          </w:divBdr>
        </w:div>
        <w:div w:id="1254822497">
          <w:marLeft w:val="640"/>
          <w:marRight w:val="0"/>
          <w:marTop w:val="0"/>
          <w:marBottom w:val="0"/>
          <w:divBdr>
            <w:top w:val="none" w:sz="0" w:space="0" w:color="auto"/>
            <w:left w:val="none" w:sz="0" w:space="0" w:color="auto"/>
            <w:bottom w:val="none" w:sz="0" w:space="0" w:color="auto"/>
            <w:right w:val="none" w:sz="0" w:space="0" w:color="auto"/>
          </w:divBdr>
        </w:div>
        <w:div w:id="349646629">
          <w:marLeft w:val="640"/>
          <w:marRight w:val="0"/>
          <w:marTop w:val="0"/>
          <w:marBottom w:val="0"/>
          <w:divBdr>
            <w:top w:val="none" w:sz="0" w:space="0" w:color="auto"/>
            <w:left w:val="none" w:sz="0" w:space="0" w:color="auto"/>
            <w:bottom w:val="none" w:sz="0" w:space="0" w:color="auto"/>
            <w:right w:val="none" w:sz="0" w:space="0" w:color="auto"/>
          </w:divBdr>
        </w:div>
        <w:div w:id="1486360627">
          <w:marLeft w:val="640"/>
          <w:marRight w:val="0"/>
          <w:marTop w:val="0"/>
          <w:marBottom w:val="0"/>
          <w:divBdr>
            <w:top w:val="none" w:sz="0" w:space="0" w:color="auto"/>
            <w:left w:val="none" w:sz="0" w:space="0" w:color="auto"/>
            <w:bottom w:val="none" w:sz="0" w:space="0" w:color="auto"/>
            <w:right w:val="none" w:sz="0" w:space="0" w:color="auto"/>
          </w:divBdr>
        </w:div>
        <w:div w:id="1483350619">
          <w:marLeft w:val="640"/>
          <w:marRight w:val="0"/>
          <w:marTop w:val="0"/>
          <w:marBottom w:val="0"/>
          <w:divBdr>
            <w:top w:val="none" w:sz="0" w:space="0" w:color="auto"/>
            <w:left w:val="none" w:sz="0" w:space="0" w:color="auto"/>
            <w:bottom w:val="none" w:sz="0" w:space="0" w:color="auto"/>
            <w:right w:val="none" w:sz="0" w:space="0" w:color="auto"/>
          </w:divBdr>
        </w:div>
        <w:div w:id="474415385">
          <w:marLeft w:val="640"/>
          <w:marRight w:val="0"/>
          <w:marTop w:val="0"/>
          <w:marBottom w:val="0"/>
          <w:divBdr>
            <w:top w:val="none" w:sz="0" w:space="0" w:color="auto"/>
            <w:left w:val="none" w:sz="0" w:space="0" w:color="auto"/>
            <w:bottom w:val="none" w:sz="0" w:space="0" w:color="auto"/>
            <w:right w:val="none" w:sz="0" w:space="0" w:color="auto"/>
          </w:divBdr>
        </w:div>
        <w:div w:id="1639410866">
          <w:marLeft w:val="640"/>
          <w:marRight w:val="0"/>
          <w:marTop w:val="0"/>
          <w:marBottom w:val="0"/>
          <w:divBdr>
            <w:top w:val="none" w:sz="0" w:space="0" w:color="auto"/>
            <w:left w:val="none" w:sz="0" w:space="0" w:color="auto"/>
            <w:bottom w:val="none" w:sz="0" w:space="0" w:color="auto"/>
            <w:right w:val="none" w:sz="0" w:space="0" w:color="auto"/>
          </w:divBdr>
        </w:div>
        <w:div w:id="1687440165">
          <w:marLeft w:val="640"/>
          <w:marRight w:val="0"/>
          <w:marTop w:val="0"/>
          <w:marBottom w:val="0"/>
          <w:divBdr>
            <w:top w:val="none" w:sz="0" w:space="0" w:color="auto"/>
            <w:left w:val="none" w:sz="0" w:space="0" w:color="auto"/>
            <w:bottom w:val="none" w:sz="0" w:space="0" w:color="auto"/>
            <w:right w:val="none" w:sz="0" w:space="0" w:color="auto"/>
          </w:divBdr>
        </w:div>
        <w:div w:id="317614185">
          <w:marLeft w:val="640"/>
          <w:marRight w:val="0"/>
          <w:marTop w:val="0"/>
          <w:marBottom w:val="0"/>
          <w:divBdr>
            <w:top w:val="none" w:sz="0" w:space="0" w:color="auto"/>
            <w:left w:val="none" w:sz="0" w:space="0" w:color="auto"/>
            <w:bottom w:val="none" w:sz="0" w:space="0" w:color="auto"/>
            <w:right w:val="none" w:sz="0" w:space="0" w:color="auto"/>
          </w:divBdr>
        </w:div>
        <w:div w:id="1658419277">
          <w:marLeft w:val="640"/>
          <w:marRight w:val="0"/>
          <w:marTop w:val="0"/>
          <w:marBottom w:val="0"/>
          <w:divBdr>
            <w:top w:val="none" w:sz="0" w:space="0" w:color="auto"/>
            <w:left w:val="none" w:sz="0" w:space="0" w:color="auto"/>
            <w:bottom w:val="none" w:sz="0" w:space="0" w:color="auto"/>
            <w:right w:val="none" w:sz="0" w:space="0" w:color="auto"/>
          </w:divBdr>
        </w:div>
        <w:div w:id="1393313121">
          <w:marLeft w:val="640"/>
          <w:marRight w:val="0"/>
          <w:marTop w:val="0"/>
          <w:marBottom w:val="0"/>
          <w:divBdr>
            <w:top w:val="none" w:sz="0" w:space="0" w:color="auto"/>
            <w:left w:val="none" w:sz="0" w:space="0" w:color="auto"/>
            <w:bottom w:val="none" w:sz="0" w:space="0" w:color="auto"/>
            <w:right w:val="none" w:sz="0" w:space="0" w:color="auto"/>
          </w:divBdr>
        </w:div>
        <w:div w:id="1571580074">
          <w:marLeft w:val="640"/>
          <w:marRight w:val="0"/>
          <w:marTop w:val="0"/>
          <w:marBottom w:val="0"/>
          <w:divBdr>
            <w:top w:val="none" w:sz="0" w:space="0" w:color="auto"/>
            <w:left w:val="none" w:sz="0" w:space="0" w:color="auto"/>
            <w:bottom w:val="none" w:sz="0" w:space="0" w:color="auto"/>
            <w:right w:val="none" w:sz="0" w:space="0" w:color="auto"/>
          </w:divBdr>
        </w:div>
        <w:div w:id="319306448">
          <w:marLeft w:val="640"/>
          <w:marRight w:val="0"/>
          <w:marTop w:val="0"/>
          <w:marBottom w:val="0"/>
          <w:divBdr>
            <w:top w:val="none" w:sz="0" w:space="0" w:color="auto"/>
            <w:left w:val="none" w:sz="0" w:space="0" w:color="auto"/>
            <w:bottom w:val="none" w:sz="0" w:space="0" w:color="auto"/>
            <w:right w:val="none" w:sz="0" w:space="0" w:color="auto"/>
          </w:divBdr>
        </w:div>
        <w:div w:id="777217695">
          <w:marLeft w:val="640"/>
          <w:marRight w:val="0"/>
          <w:marTop w:val="0"/>
          <w:marBottom w:val="0"/>
          <w:divBdr>
            <w:top w:val="none" w:sz="0" w:space="0" w:color="auto"/>
            <w:left w:val="none" w:sz="0" w:space="0" w:color="auto"/>
            <w:bottom w:val="none" w:sz="0" w:space="0" w:color="auto"/>
            <w:right w:val="none" w:sz="0" w:space="0" w:color="auto"/>
          </w:divBdr>
        </w:div>
        <w:div w:id="1730108318">
          <w:marLeft w:val="640"/>
          <w:marRight w:val="0"/>
          <w:marTop w:val="0"/>
          <w:marBottom w:val="0"/>
          <w:divBdr>
            <w:top w:val="none" w:sz="0" w:space="0" w:color="auto"/>
            <w:left w:val="none" w:sz="0" w:space="0" w:color="auto"/>
            <w:bottom w:val="none" w:sz="0" w:space="0" w:color="auto"/>
            <w:right w:val="none" w:sz="0" w:space="0" w:color="auto"/>
          </w:divBdr>
        </w:div>
        <w:div w:id="1433865684">
          <w:marLeft w:val="640"/>
          <w:marRight w:val="0"/>
          <w:marTop w:val="0"/>
          <w:marBottom w:val="0"/>
          <w:divBdr>
            <w:top w:val="none" w:sz="0" w:space="0" w:color="auto"/>
            <w:left w:val="none" w:sz="0" w:space="0" w:color="auto"/>
            <w:bottom w:val="none" w:sz="0" w:space="0" w:color="auto"/>
            <w:right w:val="none" w:sz="0" w:space="0" w:color="auto"/>
          </w:divBdr>
        </w:div>
        <w:div w:id="1485464065">
          <w:marLeft w:val="640"/>
          <w:marRight w:val="0"/>
          <w:marTop w:val="0"/>
          <w:marBottom w:val="0"/>
          <w:divBdr>
            <w:top w:val="none" w:sz="0" w:space="0" w:color="auto"/>
            <w:left w:val="none" w:sz="0" w:space="0" w:color="auto"/>
            <w:bottom w:val="none" w:sz="0" w:space="0" w:color="auto"/>
            <w:right w:val="none" w:sz="0" w:space="0" w:color="auto"/>
          </w:divBdr>
        </w:div>
        <w:div w:id="677194320">
          <w:marLeft w:val="640"/>
          <w:marRight w:val="0"/>
          <w:marTop w:val="0"/>
          <w:marBottom w:val="0"/>
          <w:divBdr>
            <w:top w:val="none" w:sz="0" w:space="0" w:color="auto"/>
            <w:left w:val="none" w:sz="0" w:space="0" w:color="auto"/>
            <w:bottom w:val="none" w:sz="0" w:space="0" w:color="auto"/>
            <w:right w:val="none" w:sz="0" w:space="0" w:color="auto"/>
          </w:divBdr>
        </w:div>
        <w:div w:id="1873837504">
          <w:marLeft w:val="640"/>
          <w:marRight w:val="0"/>
          <w:marTop w:val="0"/>
          <w:marBottom w:val="0"/>
          <w:divBdr>
            <w:top w:val="none" w:sz="0" w:space="0" w:color="auto"/>
            <w:left w:val="none" w:sz="0" w:space="0" w:color="auto"/>
            <w:bottom w:val="none" w:sz="0" w:space="0" w:color="auto"/>
            <w:right w:val="none" w:sz="0" w:space="0" w:color="auto"/>
          </w:divBdr>
        </w:div>
        <w:div w:id="1314334547">
          <w:marLeft w:val="640"/>
          <w:marRight w:val="0"/>
          <w:marTop w:val="0"/>
          <w:marBottom w:val="0"/>
          <w:divBdr>
            <w:top w:val="none" w:sz="0" w:space="0" w:color="auto"/>
            <w:left w:val="none" w:sz="0" w:space="0" w:color="auto"/>
            <w:bottom w:val="none" w:sz="0" w:space="0" w:color="auto"/>
            <w:right w:val="none" w:sz="0" w:space="0" w:color="auto"/>
          </w:divBdr>
        </w:div>
        <w:div w:id="157161634">
          <w:marLeft w:val="640"/>
          <w:marRight w:val="0"/>
          <w:marTop w:val="0"/>
          <w:marBottom w:val="0"/>
          <w:divBdr>
            <w:top w:val="none" w:sz="0" w:space="0" w:color="auto"/>
            <w:left w:val="none" w:sz="0" w:space="0" w:color="auto"/>
            <w:bottom w:val="none" w:sz="0" w:space="0" w:color="auto"/>
            <w:right w:val="none" w:sz="0" w:space="0" w:color="auto"/>
          </w:divBdr>
        </w:div>
        <w:div w:id="64256997">
          <w:marLeft w:val="640"/>
          <w:marRight w:val="0"/>
          <w:marTop w:val="0"/>
          <w:marBottom w:val="0"/>
          <w:divBdr>
            <w:top w:val="none" w:sz="0" w:space="0" w:color="auto"/>
            <w:left w:val="none" w:sz="0" w:space="0" w:color="auto"/>
            <w:bottom w:val="none" w:sz="0" w:space="0" w:color="auto"/>
            <w:right w:val="none" w:sz="0" w:space="0" w:color="auto"/>
          </w:divBdr>
        </w:div>
        <w:div w:id="522863087">
          <w:marLeft w:val="640"/>
          <w:marRight w:val="0"/>
          <w:marTop w:val="0"/>
          <w:marBottom w:val="0"/>
          <w:divBdr>
            <w:top w:val="none" w:sz="0" w:space="0" w:color="auto"/>
            <w:left w:val="none" w:sz="0" w:space="0" w:color="auto"/>
            <w:bottom w:val="none" w:sz="0" w:space="0" w:color="auto"/>
            <w:right w:val="none" w:sz="0" w:space="0" w:color="auto"/>
          </w:divBdr>
        </w:div>
        <w:div w:id="998119005">
          <w:marLeft w:val="640"/>
          <w:marRight w:val="0"/>
          <w:marTop w:val="0"/>
          <w:marBottom w:val="0"/>
          <w:divBdr>
            <w:top w:val="none" w:sz="0" w:space="0" w:color="auto"/>
            <w:left w:val="none" w:sz="0" w:space="0" w:color="auto"/>
            <w:bottom w:val="none" w:sz="0" w:space="0" w:color="auto"/>
            <w:right w:val="none" w:sz="0" w:space="0" w:color="auto"/>
          </w:divBdr>
        </w:div>
        <w:div w:id="397705126">
          <w:marLeft w:val="640"/>
          <w:marRight w:val="0"/>
          <w:marTop w:val="0"/>
          <w:marBottom w:val="0"/>
          <w:divBdr>
            <w:top w:val="none" w:sz="0" w:space="0" w:color="auto"/>
            <w:left w:val="none" w:sz="0" w:space="0" w:color="auto"/>
            <w:bottom w:val="none" w:sz="0" w:space="0" w:color="auto"/>
            <w:right w:val="none" w:sz="0" w:space="0" w:color="auto"/>
          </w:divBdr>
        </w:div>
        <w:div w:id="1313868905">
          <w:marLeft w:val="640"/>
          <w:marRight w:val="0"/>
          <w:marTop w:val="0"/>
          <w:marBottom w:val="0"/>
          <w:divBdr>
            <w:top w:val="none" w:sz="0" w:space="0" w:color="auto"/>
            <w:left w:val="none" w:sz="0" w:space="0" w:color="auto"/>
            <w:bottom w:val="none" w:sz="0" w:space="0" w:color="auto"/>
            <w:right w:val="none" w:sz="0" w:space="0" w:color="auto"/>
          </w:divBdr>
        </w:div>
        <w:div w:id="549536051">
          <w:marLeft w:val="640"/>
          <w:marRight w:val="0"/>
          <w:marTop w:val="0"/>
          <w:marBottom w:val="0"/>
          <w:divBdr>
            <w:top w:val="none" w:sz="0" w:space="0" w:color="auto"/>
            <w:left w:val="none" w:sz="0" w:space="0" w:color="auto"/>
            <w:bottom w:val="none" w:sz="0" w:space="0" w:color="auto"/>
            <w:right w:val="none" w:sz="0" w:space="0" w:color="auto"/>
          </w:divBdr>
        </w:div>
        <w:div w:id="1920555547">
          <w:marLeft w:val="640"/>
          <w:marRight w:val="0"/>
          <w:marTop w:val="0"/>
          <w:marBottom w:val="0"/>
          <w:divBdr>
            <w:top w:val="none" w:sz="0" w:space="0" w:color="auto"/>
            <w:left w:val="none" w:sz="0" w:space="0" w:color="auto"/>
            <w:bottom w:val="none" w:sz="0" w:space="0" w:color="auto"/>
            <w:right w:val="none" w:sz="0" w:space="0" w:color="auto"/>
          </w:divBdr>
        </w:div>
        <w:div w:id="20057585">
          <w:marLeft w:val="640"/>
          <w:marRight w:val="0"/>
          <w:marTop w:val="0"/>
          <w:marBottom w:val="0"/>
          <w:divBdr>
            <w:top w:val="none" w:sz="0" w:space="0" w:color="auto"/>
            <w:left w:val="none" w:sz="0" w:space="0" w:color="auto"/>
            <w:bottom w:val="none" w:sz="0" w:space="0" w:color="auto"/>
            <w:right w:val="none" w:sz="0" w:space="0" w:color="auto"/>
          </w:divBdr>
        </w:div>
        <w:div w:id="906187347">
          <w:marLeft w:val="640"/>
          <w:marRight w:val="0"/>
          <w:marTop w:val="0"/>
          <w:marBottom w:val="0"/>
          <w:divBdr>
            <w:top w:val="none" w:sz="0" w:space="0" w:color="auto"/>
            <w:left w:val="none" w:sz="0" w:space="0" w:color="auto"/>
            <w:bottom w:val="none" w:sz="0" w:space="0" w:color="auto"/>
            <w:right w:val="none" w:sz="0" w:space="0" w:color="auto"/>
          </w:divBdr>
        </w:div>
        <w:div w:id="2064672417">
          <w:marLeft w:val="640"/>
          <w:marRight w:val="0"/>
          <w:marTop w:val="0"/>
          <w:marBottom w:val="0"/>
          <w:divBdr>
            <w:top w:val="none" w:sz="0" w:space="0" w:color="auto"/>
            <w:left w:val="none" w:sz="0" w:space="0" w:color="auto"/>
            <w:bottom w:val="none" w:sz="0" w:space="0" w:color="auto"/>
            <w:right w:val="none" w:sz="0" w:space="0" w:color="auto"/>
          </w:divBdr>
        </w:div>
        <w:div w:id="1299411487">
          <w:marLeft w:val="640"/>
          <w:marRight w:val="0"/>
          <w:marTop w:val="0"/>
          <w:marBottom w:val="0"/>
          <w:divBdr>
            <w:top w:val="none" w:sz="0" w:space="0" w:color="auto"/>
            <w:left w:val="none" w:sz="0" w:space="0" w:color="auto"/>
            <w:bottom w:val="none" w:sz="0" w:space="0" w:color="auto"/>
            <w:right w:val="none" w:sz="0" w:space="0" w:color="auto"/>
          </w:divBdr>
        </w:div>
        <w:div w:id="269775151">
          <w:marLeft w:val="640"/>
          <w:marRight w:val="0"/>
          <w:marTop w:val="0"/>
          <w:marBottom w:val="0"/>
          <w:divBdr>
            <w:top w:val="none" w:sz="0" w:space="0" w:color="auto"/>
            <w:left w:val="none" w:sz="0" w:space="0" w:color="auto"/>
            <w:bottom w:val="none" w:sz="0" w:space="0" w:color="auto"/>
            <w:right w:val="none" w:sz="0" w:space="0" w:color="auto"/>
          </w:divBdr>
        </w:div>
        <w:div w:id="480731299">
          <w:marLeft w:val="640"/>
          <w:marRight w:val="0"/>
          <w:marTop w:val="0"/>
          <w:marBottom w:val="0"/>
          <w:divBdr>
            <w:top w:val="none" w:sz="0" w:space="0" w:color="auto"/>
            <w:left w:val="none" w:sz="0" w:space="0" w:color="auto"/>
            <w:bottom w:val="none" w:sz="0" w:space="0" w:color="auto"/>
            <w:right w:val="none" w:sz="0" w:space="0" w:color="auto"/>
          </w:divBdr>
        </w:div>
        <w:div w:id="1214076980">
          <w:marLeft w:val="640"/>
          <w:marRight w:val="0"/>
          <w:marTop w:val="0"/>
          <w:marBottom w:val="0"/>
          <w:divBdr>
            <w:top w:val="none" w:sz="0" w:space="0" w:color="auto"/>
            <w:left w:val="none" w:sz="0" w:space="0" w:color="auto"/>
            <w:bottom w:val="none" w:sz="0" w:space="0" w:color="auto"/>
            <w:right w:val="none" w:sz="0" w:space="0" w:color="auto"/>
          </w:divBdr>
        </w:div>
        <w:div w:id="1243955448">
          <w:marLeft w:val="640"/>
          <w:marRight w:val="0"/>
          <w:marTop w:val="0"/>
          <w:marBottom w:val="0"/>
          <w:divBdr>
            <w:top w:val="none" w:sz="0" w:space="0" w:color="auto"/>
            <w:left w:val="none" w:sz="0" w:space="0" w:color="auto"/>
            <w:bottom w:val="none" w:sz="0" w:space="0" w:color="auto"/>
            <w:right w:val="none" w:sz="0" w:space="0" w:color="auto"/>
          </w:divBdr>
        </w:div>
        <w:div w:id="1871794621">
          <w:marLeft w:val="640"/>
          <w:marRight w:val="0"/>
          <w:marTop w:val="0"/>
          <w:marBottom w:val="0"/>
          <w:divBdr>
            <w:top w:val="none" w:sz="0" w:space="0" w:color="auto"/>
            <w:left w:val="none" w:sz="0" w:space="0" w:color="auto"/>
            <w:bottom w:val="none" w:sz="0" w:space="0" w:color="auto"/>
            <w:right w:val="none" w:sz="0" w:space="0" w:color="auto"/>
          </w:divBdr>
        </w:div>
        <w:div w:id="674766514">
          <w:marLeft w:val="640"/>
          <w:marRight w:val="0"/>
          <w:marTop w:val="0"/>
          <w:marBottom w:val="0"/>
          <w:divBdr>
            <w:top w:val="none" w:sz="0" w:space="0" w:color="auto"/>
            <w:left w:val="none" w:sz="0" w:space="0" w:color="auto"/>
            <w:bottom w:val="none" w:sz="0" w:space="0" w:color="auto"/>
            <w:right w:val="none" w:sz="0" w:space="0" w:color="auto"/>
          </w:divBdr>
        </w:div>
      </w:divsChild>
    </w:div>
    <w:div w:id="395276767">
      <w:bodyDiv w:val="1"/>
      <w:marLeft w:val="0"/>
      <w:marRight w:val="0"/>
      <w:marTop w:val="0"/>
      <w:marBottom w:val="0"/>
      <w:divBdr>
        <w:top w:val="none" w:sz="0" w:space="0" w:color="auto"/>
        <w:left w:val="none" w:sz="0" w:space="0" w:color="auto"/>
        <w:bottom w:val="none" w:sz="0" w:space="0" w:color="auto"/>
        <w:right w:val="none" w:sz="0" w:space="0" w:color="auto"/>
      </w:divBdr>
      <w:divsChild>
        <w:div w:id="1588730506">
          <w:marLeft w:val="640"/>
          <w:marRight w:val="0"/>
          <w:marTop w:val="0"/>
          <w:marBottom w:val="0"/>
          <w:divBdr>
            <w:top w:val="none" w:sz="0" w:space="0" w:color="auto"/>
            <w:left w:val="none" w:sz="0" w:space="0" w:color="auto"/>
            <w:bottom w:val="none" w:sz="0" w:space="0" w:color="auto"/>
            <w:right w:val="none" w:sz="0" w:space="0" w:color="auto"/>
          </w:divBdr>
        </w:div>
        <w:div w:id="100147209">
          <w:marLeft w:val="640"/>
          <w:marRight w:val="0"/>
          <w:marTop w:val="0"/>
          <w:marBottom w:val="0"/>
          <w:divBdr>
            <w:top w:val="none" w:sz="0" w:space="0" w:color="auto"/>
            <w:left w:val="none" w:sz="0" w:space="0" w:color="auto"/>
            <w:bottom w:val="none" w:sz="0" w:space="0" w:color="auto"/>
            <w:right w:val="none" w:sz="0" w:space="0" w:color="auto"/>
          </w:divBdr>
        </w:div>
        <w:div w:id="372341938">
          <w:marLeft w:val="640"/>
          <w:marRight w:val="0"/>
          <w:marTop w:val="0"/>
          <w:marBottom w:val="0"/>
          <w:divBdr>
            <w:top w:val="none" w:sz="0" w:space="0" w:color="auto"/>
            <w:left w:val="none" w:sz="0" w:space="0" w:color="auto"/>
            <w:bottom w:val="none" w:sz="0" w:space="0" w:color="auto"/>
            <w:right w:val="none" w:sz="0" w:space="0" w:color="auto"/>
          </w:divBdr>
        </w:div>
        <w:div w:id="807624433">
          <w:marLeft w:val="640"/>
          <w:marRight w:val="0"/>
          <w:marTop w:val="0"/>
          <w:marBottom w:val="0"/>
          <w:divBdr>
            <w:top w:val="none" w:sz="0" w:space="0" w:color="auto"/>
            <w:left w:val="none" w:sz="0" w:space="0" w:color="auto"/>
            <w:bottom w:val="none" w:sz="0" w:space="0" w:color="auto"/>
            <w:right w:val="none" w:sz="0" w:space="0" w:color="auto"/>
          </w:divBdr>
        </w:div>
        <w:div w:id="1480075481">
          <w:marLeft w:val="640"/>
          <w:marRight w:val="0"/>
          <w:marTop w:val="0"/>
          <w:marBottom w:val="0"/>
          <w:divBdr>
            <w:top w:val="none" w:sz="0" w:space="0" w:color="auto"/>
            <w:left w:val="none" w:sz="0" w:space="0" w:color="auto"/>
            <w:bottom w:val="none" w:sz="0" w:space="0" w:color="auto"/>
            <w:right w:val="none" w:sz="0" w:space="0" w:color="auto"/>
          </w:divBdr>
        </w:div>
        <w:div w:id="1683125983">
          <w:marLeft w:val="640"/>
          <w:marRight w:val="0"/>
          <w:marTop w:val="0"/>
          <w:marBottom w:val="0"/>
          <w:divBdr>
            <w:top w:val="none" w:sz="0" w:space="0" w:color="auto"/>
            <w:left w:val="none" w:sz="0" w:space="0" w:color="auto"/>
            <w:bottom w:val="none" w:sz="0" w:space="0" w:color="auto"/>
            <w:right w:val="none" w:sz="0" w:space="0" w:color="auto"/>
          </w:divBdr>
        </w:div>
        <w:div w:id="993294164">
          <w:marLeft w:val="640"/>
          <w:marRight w:val="0"/>
          <w:marTop w:val="0"/>
          <w:marBottom w:val="0"/>
          <w:divBdr>
            <w:top w:val="none" w:sz="0" w:space="0" w:color="auto"/>
            <w:left w:val="none" w:sz="0" w:space="0" w:color="auto"/>
            <w:bottom w:val="none" w:sz="0" w:space="0" w:color="auto"/>
            <w:right w:val="none" w:sz="0" w:space="0" w:color="auto"/>
          </w:divBdr>
        </w:div>
        <w:div w:id="824206054">
          <w:marLeft w:val="640"/>
          <w:marRight w:val="0"/>
          <w:marTop w:val="0"/>
          <w:marBottom w:val="0"/>
          <w:divBdr>
            <w:top w:val="none" w:sz="0" w:space="0" w:color="auto"/>
            <w:left w:val="none" w:sz="0" w:space="0" w:color="auto"/>
            <w:bottom w:val="none" w:sz="0" w:space="0" w:color="auto"/>
            <w:right w:val="none" w:sz="0" w:space="0" w:color="auto"/>
          </w:divBdr>
        </w:div>
        <w:div w:id="1495994965">
          <w:marLeft w:val="640"/>
          <w:marRight w:val="0"/>
          <w:marTop w:val="0"/>
          <w:marBottom w:val="0"/>
          <w:divBdr>
            <w:top w:val="none" w:sz="0" w:space="0" w:color="auto"/>
            <w:left w:val="none" w:sz="0" w:space="0" w:color="auto"/>
            <w:bottom w:val="none" w:sz="0" w:space="0" w:color="auto"/>
            <w:right w:val="none" w:sz="0" w:space="0" w:color="auto"/>
          </w:divBdr>
        </w:div>
        <w:div w:id="368379098">
          <w:marLeft w:val="640"/>
          <w:marRight w:val="0"/>
          <w:marTop w:val="0"/>
          <w:marBottom w:val="0"/>
          <w:divBdr>
            <w:top w:val="none" w:sz="0" w:space="0" w:color="auto"/>
            <w:left w:val="none" w:sz="0" w:space="0" w:color="auto"/>
            <w:bottom w:val="none" w:sz="0" w:space="0" w:color="auto"/>
            <w:right w:val="none" w:sz="0" w:space="0" w:color="auto"/>
          </w:divBdr>
        </w:div>
        <w:div w:id="927151666">
          <w:marLeft w:val="640"/>
          <w:marRight w:val="0"/>
          <w:marTop w:val="0"/>
          <w:marBottom w:val="0"/>
          <w:divBdr>
            <w:top w:val="none" w:sz="0" w:space="0" w:color="auto"/>
            <w:left w:val="none" w:sz="0" w:space="0" w:color="auto"/>
            <w:bottom w:val="none" w:sz="0" w:space="0" w:color="auto"/>
            <w:right w:val="none" w:sz="0" w:space="0" w:color="auto"/>
          </w:divBdr>
        </w:div>
        <w:div w:id="12458718">
          <w:marLeft w:val="640"/>
          <w:marRight w:val="0"/>
          <w:marTop w:val="0"/>
          <w:marBottom w:val="0"/>
          <w:divBdr>
            <w:top w:val="none" w:sz="0" w:space="0" w:color="auto"/>
            <w:left w:val="none" w:sz="0" w:space="0" w:color="auto"/>
            <w:bottom w:val="none" w:sz="0" w:space="0" w:color="auto"/>
            <w:right w:val="none" w:sz="0" w:space="0" w:color="auto"/>
          </w:divBdr>
        </w:div>
        <w:div w:id="332487445">
          <w:marLeft w:val="640"/>
          <w:marRight w:val="0"/>
          <w:marTop w:val="0"/>
          <w:marBottom w:val="0"/>
          <w:divBdr>
            <w:top w:val="none" w:sz="0" w:space="0" w:color="auto"/>
            <w:left w:val="none" w:sz="0" w:space="0" w:color="auto"/>
            <w:bottom w:val="none" w:sz="0" w:space="0" w:color="auto"/>
            <w:right w:val="none" w:sz="0" w:space="0" w:color="auto"/>
          </w:divBdr>
        </w:div>
        <w:div w:id="684597803">
          <w:marLeft w:val="640"/>
          <w:marRight w:val="0"/>
          <w:marTop w:val="0"/>
          <w:marBottom w:val="0"/>
          <w:divBdr>
            <w:top w:val="none" w:sz="0" w:space="0" w:color="auto"/>
            <w:left w:val="none" w:sz="0" w:space="0" w:color="auto"/>
            <w:bottom w:val="none" w:sz="0" w:space="0" w:color="auto"/>
            <w:right w:val="none" w:sz="0" w:space="0" w:color="auto"/>
          </w:divBdr>
        </w:div>
        <w:div w:id="641734276">
          <w:marLeft w:val="640"/>
          <w:marRight w:val="0"/>
          <w:marTop w:val="0"/>
          <w:marBottom w:val="0"/>
          <w:divBdr>
            <w:top w:val="none" w:sz="0" w:space="0" w:color="auto"/>
            <w:left w:val="none" w:sz="0" w:space="0" w:color="auto"/>
            <w:bottom w:val="none" w:sz="0" w:space="0" w:color="auto"/>
            <w:right w:val="none" w:sz="0" w:space="0" w:color="auto"/>
          </w:divBdr>
        </w:div>
        <w:div w:id="1946578094">
          <w:marLeft w:val="640"/>
          <w:marRight w:val="0"/>
          <w:marTop w:val="0"/>
          <w:marBottom w:val="0"/>
          <w:divBdr>
            <w:top w:val="none" w:sz="0" w:space="0" w:color="auto"/>
            <w:left w:val="none" w:sz="0" w:space="0" w:color="auto"/>
            <w:bottom w:val="none" w:sz="0" w:space="0" w:color="auto"/>
            <w:right w:val="none" w:sz="0" w:space="0" w:color="auto"/>
          </w:divBdr>
        </w:div>
        <w:div w:id="1132290633">
          <w:marLeft w:val="640"/>
          <w:marRight w:val="0"/>
          <w:marTop w:val="0"/>
          <w:marBottom w:val="0"/>
          <w:divBdr>
            <w:top w:val="none" w:sz="0" w:space="0" w:color="auto"/>
            <w:left w:val="none" w:sz="0" w:space="0" w:color="auto"/>
            <w:bottom w:val="none" w:sz="0" w:space="0" w:color="auto"/>
            <w:right w:val="none" w:sz="0" w:space="0" w:color="auto"/>
          </w:divBdr>
        </w:div>
        <w:div w:id="2056200256">
          <w:marLeft w:val="640"/>
          <w:marRight w:val="0"/>
          <w:marTop w:val="0"/>
          <w:marBottom w:val="0"/>
          <w:divBdr>
            <w:top w:val="none" w:sz="0" w:space="0" w:color="auto"/>
            <w:left w:val="none" w:sz="0" w:space="0" w:color="auto"/>
            <w:bottom w:val="none" w:sz="0" w:space="0" w:color="auto"/>
            <w:right w:val="none" w:sz="0" w:space="0" w:color="auto"/>
          </w:divBdr>
        </w:div>
        <w:div w:id="382867730">
          <w:marLeft w:val="640"/>
          <w:marRight w:val="0"/>
          <w:marTop w:val="0"/>
          <w:marBottom w:val="0"/>
          <w:divBdr>
            <w:top w:val="none" w:sz="0" w:space="0" w:color="auto"/>
            <w:left w:val="none" w:sz="0" w:space="0" w:color="auto"/>
            <w:bottom w:val="none" w:sz="0" w:space="0" w:color="auto"/>
            <w:right w:val="none" w:sz="0" w:space="0" w:color="auto"/>
          </w:divBdr>
        </w:div>
        <w:div w:id="1995912164">
          <w:marLeft w:val="640"/>
          <w:marRight w:val="0"/>
          <w:marTop w:val="0"/>
          <w:marBottom w:val="0"/>
          <w:divBdr>
            <w:top w:val="none" w:sz="0" w:space="0" w:color="auto"/>
            <w:left w:val="none" w:sz="0" w:space="0" w:color="auto"/>
            <w:bottom w:val="none" w:sz="0" w:space="0" w:color="auto"/>
            <w:right w:val="none" w:sz="0" w:space="0" w:color="auto"/>
          </w:divBdr>
        </w:div>
        <w:div w:id="1581450563">
          <w:marLeft w:val="640"/>
          <w:marRight w:val="0"/>
          <w:marTop w:val="0"/>
          <w:marBottom w:val="0"/>
          <w:divBdr>
            <w:top w:val="none" w:sz="0" w:space="0" w:color="auto"/>
            <w:left w:val="none" w:sz="0" w:space="0" w:color="auto"/>
            <w:bottom w:val="none" w:sz="0" w:space="0" w:color="auto"/>
            <w:right w:val="none" w:sz="0" w:space="0" w:color="auto"/>
          </w:divBdr>
        </w:div>
        <w:div w:id="2016611822">
          <w:marLeft w:val="640"/>
          <w:marRight w:val="0"/>
          <w:marTop w:val="0"/>
          <w:marBottom w:val="0"/>
          <w:divBdr>
            <w:top w:val="none" w:sz="0" w:space="0" w:color="auto"/>
            <w:left w:val="none" w:sz="0" w:space="0" w:color="auto"/>
            <w:bottom w:val="none" w:sz="0" w:space="0" w:color="auto"/>
            <w:right w:val="none" w:sz="0" w:space="0" w:color="auto"/>
          </w:divBdr>
        </w:div>
        <w:div w:id="52848949">
          <w:marLeft w:val="640"/>
          <w:marRight w:val="0"/>
          <w:marTop w:val="0"/>
          <w:marBottom w:val="0"/>
          <w:divBdr>
            <w:top w:val="none" w:sz="0" w:space="0" w:color="auto"/>
            <w:left w:val="none" w:sz="0" w:space="0" w:color="auto"/>
            <w:bottom w:val="none" w:sz="0" w:space="0" w:color="auto"/>
            <w:right w:val="none" w:sz="0" w:space="0" w:color="auto"/>
          </w:divBdr>
        </w:div>
        <w:div w:id="261575490">
          <w:marLeft w:val="640"/>
          <w:marRight w:val="0"/>
          <w:marTop w:val="0"/>
          <w:marBottom w:val="0"/>
          <w:divBdr>
            <w:top w:val="none" w:sz="0" w:space="0" w:color="auto"/>
            <w:left w:val="none" w:sz="0" w:space="0" w:color="auto"/>
            <w:bottom w:val="none" w:sz="0" w:space="0" w:color="auto"/>
            <w:right w:val="none" w:sz="0" w:space="0" w:color="auto"/>
          </w:divBdr>
        </w:div>
        <w:div w:id="1826117415">
          <w:marLeft w:val="640"/>
          <w:marRight w:val="0"/>
          <w:marTop w:val="0"/>
          <w:marBottom w:val="0"/>
          <w:divBdr>
            <w:top w:val="none" w:sz="0" w:space="0" w:color="auto"/>
            <w:left w:val="none" w:sz="0" w:space="0" w:color="auto"/>
            <w:bottom w:val="none" w:sz="0" w:space="0" w:color="auto"/>
            <w:right w:val="none" w:sz="0" w:space="0" w:color="auto"/>
          </w:divBdr>
        </w:div>
        <w:div w:id="1286237628">
          <w:marLeft w:val="640"/>
          <w:marRight w:val="0"/>
          <w:marTop w:val="0"/>
          <w:marBottom w:val="0"/>
          <w:divBdr>
            <w:top w:val="none" w:sz="0" w:space="0" w:color="auto"/>
            <w:left w:val="none" w:sz="0" w:space="0" w:color="auto"/>
            <w:bottom w:val="none" w:sz="0" w:space="0" w:color="auto"/>
            <w:right w:val="none" w:sz="0" w:space="0" w:color="auto"/>
          </w:divBdr>
        </w:div>
        <w:div w:id="809984510">
          <w:marLeft w:val="640"/>
          <w:marRight w:val="0"/>
          <w:marTop w:val="0"/>
          <w:marBottom w:val="0"/>
          <w:divBdr>
            <w:top w:val="none" w:sz="0" w:space="0" w:color="auto"/>
            <w:left w:val="none" w:sz="0" w:space="0" w:color="auto"/>
            <w:bottom w:val="none" w:sz="0" w:space="0" w:color="auto"/>
            <w:right w:val="none" w:sz="0" w:space="0" w:color="auto"/>
          </w:divBdr>
        </w:div>
        <w:div w:id="1721511749">
          <w:marLeft w:val="640"/>
          <w:marRight w:val="0"/>
          <w:marTop w:val="0"/>
          <w:marBottom w:val="0"/>
          <w:divBdr>
            <w:top w:val="none" w:sz="0" w:space="0" w:color="auto"/>
            <w:left w:val="none" w:sz="0" w:space="0" w:color="auto"/>
            <w:bottom w:val="none" w:sz="0" w:space="0" w:color="auto"/>
            <w:right w:val="none" w:sz="0" w:space="0" w:color="auto"/>
          </w:divBdr>
        </w:div>
        <w:div w:id="248931019">
          <w:marLeft w:val="640"/>
          <w:marRight w:val="0"/>
          <w:marTop w:val="0"/>
          <w:marBottom w:val="0"/>
          <w:divBdr>
            <w:top w:val="none" w:sz="0" w:space="0" w:color="auto"/>
            <w:left w:val="none" w:sz="0" w:space="0" w:color="auto"/>
            <w:bottom w:val="none" w:sz="0" w:space="0" w:color="auto"/>
            <w:right w:val="none" w:sz="0" w:space="0" w:color="auto"/>
          </w:divBdr>
        </w:div>
        <w:div w:id="1453010400">
          <w:marLeft w:val="640"/>
          <w:marRight w:val="0"/>
          <w:marTop w:val="0"/>
          <w:marBottom w:val="0"/>
          <w:divBdr>
            <w:top w:val="none" w:sz="0" w:space="0" w:color="auto"/>
            <w:left w:val="none" w:sz="0" w:space="0" w:color="auto"/>
            <w:bottom w:val="none" w:sz="0" w:space="0" w:color="auto"/>
            <w:right w:val="none" w:sz="0" w:space="0" w:color="auto"/>
          </w:divBdr>
        </w:div>
        <w:div w:id="385446465">
          <w:marLeft w:val="640"/>
          <w:marRight w:val="0"/>
          <w:marTop w:val="0"/>
          <w:marBottom w:val="0"/>
          <w:divBdr>
            <w:top w:val="none" w:sz="0" w:space="0" w:color="auto"/>
            <w:left w:val="none" w:sz="0" w:space="0" w:color="auto"/>
            <w:bottom w:val="none" w:sz="0" w:space="0" w:color="auto"/>
            <w:right w:val="none" w:sz="0" w:space="0" w:color="auto"/>
          </w:divBdr>
        </w:div>
        <w:div w:id="648364567">
          <w:marLeft w:val="640"/>
          <w:marRight w:val="0"/>
          <w:marTop w:val="0"/>
          <w:marBottom w:val="0"/>
          <w:divBdr>
            <w:top w:val="none" w:sz="0" w:space="0" w:color="auto"/>
            <w:left w:val="none" w:sz="0" w:space="0" w:color="auto"/>
            <w:bottom w:val="none" w:sz="0" w:space="0" w:color="auto"/>
            <w:right w:val="none" w:sz="0" w:space="0" w:color="auto"/>
          </w:divBdr>
        </w:div>
        <w:div w:id="2013216541">
          <w:marLeft w:val="640"/>
          <w:marRight w:val="0"/>
          <w:marTop w:val="0"/>
          <w:marBottom w:val="0"/>
          <w:divBdr>
            <w:top w:val="none" w:sz="0" w:space="0" w:color="auto"/>
            <w:left w:val="none" w:sz="0" w:space="0" w:color="auto"/>
            <w:bottom w:val="none" w:sz="0" w:space="0" w:color="auto"/>
            <w:right w:val="none" w:sz="0" w:space="0" w:color="auto"/>
          </w:divBdr>
        </w:div>
        <w:div w:id="1192568867">
          <w:marLeft w:val="640"/>
          <w:marRight w:val="0"/>
          <w:marTop w:val="0"/>
          <w:marBottom w:val="0"/>
          <w:divBdr>
            <w:top w:val="none" w:sz="0" w:space="0" w:color="auto"/>
            <w:left w:val="none" w:sz="0" w:space="0" w:color="auto"/>
            <w:bottom w:val="none" w:sz="0" w:space="0" w:color="auto"/>
            <w:right w:val="none" w:sz="0" w:space="0" w:color="auto"/>
          </w:divBdr>
        </w:div>
        <w:div w:id="1878204393">
          <w:marLeft w:val="640"/>
          <w:marRight w:val="0"/>
          <w:marTop w:val="0"/>
          <w:marBottom w:val="0"/>
          <w:divBdr>
            <w:top w:val="none" w:sz="0" w:space="0" w:color="auto"/>
            <w:left w:val="none" w:sz="0" w:space="0" w:color="auto"/>
            <w:bottom w:val="none" w:sz="0" w:space="0" w:color="auto"/>
            <w:right w:val="none" w:sz="0" w:space="0" w:color="auto"/>
          </w:divBdr>
        </w:div>
        <w:div w:id="1329406393">
          <w:marLeft w:val="640"/>
          <w:marRight w:val="0"/>
          <w:marTop w:val="0"/>
          <w:marBottom w:val="0"/>
          <w:divBdr>
            <w:top w:val="none" w:sz="0" w:space="0" w:color="auto"/>
            <w:left w:val="none" w:sz="0" w:space="0" w:color="auto"/>
            <w:bottom w:val="none" w:sz="0" w:space="0" w:color="auto"/>
            <w:right w:val="none" w:sz="0" w:space="0" w:color="auto"/>
          </w:divBdr>
        </w:div>
        <w:div w:id="632640834">
          <w:marLeft w:val="640"/>
          <w:marRight w:val="0"/>
          <w:marTop w:val="0"/>
          <w:marBottom w:val="0"/>
          <w:divBdr>
            <w:top w:val="none" w:sz="0" w:space="0" w:color="auto"/>
            <w:left w:val="none" w:sz="0" w:space="0" w:color="auto"/>
            <w:bottom w:val="none" w:sz="0" w:space="0" w:color="auto"/>
            <w:right w:val="none" w:sz="0" w:space="0" w:color="auto"/>
          </w:divBdr>
        </w:div>
        <w:div w:id="167139348">
          <w:marLeft w:val="640"/>
          <w:marRight w:val="0"/>
          <w:marTop w:val="0"/>
          <w:marBottom w:val="0"/>
          <w:divBdr>
            <w:top w:val="none" w:sz="0" w:space="0" w:color="auto"/>
            <w:left w:val="none" w:sz="0" w:space="0" w:color="auto"/>
            <w:bottom w:val="none" w:sz="0" w:space="0" w:color="auto"/>
            <w:right w:val="none" w:sz="0" w:space="0" w:color="auto"/>
          </w:divBdr>
        </w:div>
        <w:div w:id="1888487866">
          <w:marLeft w:val="640"/>
          <w:marRight w:val="0"/>
          <w:marTop w:val="0"/>
          <w:marBottom w:val="0"/>
          <w:divBdr>
            <w:top w:val="none" w:sz="0" w:space="0" w:color="auto"/>
            <w:left w:val="none" w:sz="0" w:space="0" w:color="auto"/>
            <w:bottom w:val="none" w:sz="0" w:space="0" w:color="auto"/>
            <w:right w:val="none" w:sz="0" w:space="0" w:color="auto"/>
          </w:divBdr>
        </w:div>
        <w:div w:id="1719742962">
          <w:marLeft w:val="640"/>
          <w:marRight w:val="0"/>
          <w:marTop w:val="0"/>
          <w:marBottom w:val="0"/>
          <w:divBdr>
            <w:top w:val="none" w:sz="0" w:space="0" w:color="auto"/>
            <w:left w:val="none" w:sz="0" w:space="0" w:color="auto"/>
            <w:bottom w:val="none" w:sz="0" w:space="0" w:color="auto"/>
            <w:right w:val="none" w:sz="0" w:space="0" w:color="auto"/>
          </w:divBdr>
        </w:div>
        <w:div w:id="1713266404">
          <w:marLeft w:val="640"/>
          <w:marRight w:val="0"/>
          <w:marTop w:val="0"/>
          <w:marBottom w:val="0"/>
          <w:divBdr>
            <w:top w:val="none" w:sz="0" w:space="0" w:color="auto"/>
            <w:left w:val="none" w:sz="0" w:space="0" w:color="auto"/>
            <w:bottom w:val="none" w:sz="0" w:space="0" w:color="auto"/>
            <w:right w:val="none" w:sz="0" w:space="0" w:color="auto"/>
          </w:divBdr>
        </w:div>
        <w:div w:id="1357921333">
          <w:marLeft w:val="640"/>
          <w:marRight w:val="0"/>
          <w:marTop w:val="0"/>
          <w:marBottom w:val="0"/>
          <w:divBdr>
            <w:top w:val="none" w:sz="0" w:space="0" w:color="auto"/>
            <w:left w:val="none" w:sz="0" w:space="0" w:color="auto"/>
            <w:bottom w:val="none" w:sz="0" w:space="0" w:color="auto"/>
            <w:right w:val="none" w:sz="0" w:space="0" w:color="auto"/>
          </w:divBdr>
        </w:div>
        <w:div w:id="850073777">
          <w:marLeft w:val="640"/>
          <w:marRight w:val="0"/>
          <w:marTop w:val="0"/>
          <w:marBottom w:val="0"/>
          <w:divBdr>
            <w:top w:val="none" w:sz="0" w:space="0" w:color="auto"/>
            <w:left w:val="none" w:sz="0" w:space="0" w:color="auto"/>
            <w:bottom w:val="none" w:sz="0" w:space="0" w:color="auto"/>
            <w:right w:val="none" w:sz="0" w:space="0" w:color="auto"/>
          </w:divBdr>
        </w:div>
        <w:div w:id="231280372">
          <w:marLeft w:val="640"/>
          <w:marRight w:val="0"/>
          <w:marTop w:val="0"/>
          <w:marBottom w:val="0"/>
          <w:divBdr>
            <w:top w:val="none" w:sz="0" w:space="0" w:color="auto"/>
            <w:left w:val="none" w:sz="0" w:space="0" w:color="auto"/>
            <w:bottom w:val="none" w:sz="0" w:space="0" w:color="auto"/>
            <w:right w:val="none" w:sz="0" w:space="0" w:color="auto"/>
          </w:divBdr>
        </w:div>
        <w:div w:id="1027607732">
          <w:marLeft w:val="640"/>
          <w:marRight w:val="0"/>
          <w:marTop w:val="0"/>
          <w:marBottom w:val="0"/>
          <w:divBdr>
            <w:top w:val="none" w:sz="0" w:space="0" w:color="auto"/>
            <w:left w:val="none" w:sz="0" w:space="0" w:color="auto"/>
            <w:bottom w:val="none" w:sz="0" w:space="0" w:color="auto"/>
            <w:right w:val="none" w:sz="0" w:space="0" w:color="auto"/>
          </w:divBdr>
        </w:div>
        <w:div w:id="1941451957">
          <w:marLeft w:val="640"/>
          <w:marRight w:val="0"/>
          <w:marTop w:val="0"/>
          <w:marBottom w:val="0"/>
          <w:divBdr>
            <w:top w:val="none" w:sz="0" w:space="0" w:color="auto"/>
            <w:left w:val="none" w:sz="0" w:space="0" w:color="auto"/>
            <w:bottom w:val="none" w:sz="0" w:space="0" w:color="auto"/>
            <w:right w:val="none" w:sz="0" w:space="0" w:color="auto"/>
          </w:divBdr>
        </w:div>
        <w:div w:id="427576687">
          <w:marLeft w:val="640"/>
          <w:marRight w:val="0"/>
          <w:marTop w:val="0"/>
          <w:marBottom w:val="0"/>
          <w:divBdr>
            <w:top w:val="none" w:sz="0" w:space="0" w:color="auto"/>
            <w:left w:val="none" w:sz="0" w:space="0" w:color="auto"/>
            <w:bottom w:val="none" w:sz="0" w:space="0" w:color="auto"/>
            <w:right w:val="none" w:sz="0" w:space="0" w:color="auto"/>
          </w:divBdr>
        </w:div>
        <w:div w:id="931546835">
          <w:marLeft w:val="640"/>
          <w:marRight w:val="0"/>
          <w:marTop w:val="0"/>
          <w:marBottom w:val="0"/>
          <w:divBdr>
            <w:top w:val="none" w:sz="0" w:space="0" w:color="auto"/>
            <w:left w:val="none" w:sz="0" w:space="0" w:color="auto"/>
            <w:bottom w:val="none" w:sz="0" w:space="0" w:color="auto"/>
            <w:right w:val="none" w:sz="0" w:space="0" w:color="auto"/>
          </w:divBdr>
        </w:div>
        <w:div w:id="224682210">
          <w:marLeft w:val="640"/>
          <w:marRight w:val="0"/>
          <w:marTop w:val="0"/>
          <w:marBottom w:val="0"/>
          <w:divBdr>
            <w:top w:val="none" w:sz="0" w:space="0" w:color="auto"/>
            <w:left w:val="none" w:sz="0" w:space="0" w:color="auto"/>
            <w:bottom w:val="none" w:sz="0" w:space="0" w:color="auto"/>
            <w:right w:val="none" w:sz="0" w:space="0" w:color="auto"/>
          </w:divBdr>
        </w:div>
        <w:div w:id="141509905">
          <w:marLeft w:val="640"/>
          <w:marRight w:val="0"/>
          <w:marTop w:val="0"/>
          <w:marBottom w:val="0"/>
          <w:divBdr>
            <w:top w:val="none" w:sz="0" w:space="0" w:color="auto"/>
            <w:left w:val="none" w:sz="0" w:space="0" w:color="auto"/>
            <w:bottom w:val="none" w:sz="0" w:space="0" w:color="auto"/>
            <w:right w:val="none" w:sz="0" w:space="0" w:color="auto"/>
          </w:divBdr>
        </w:div>
        <w:div w:id="1494566463">
          <w:marLeft w:val="640"/>
          <w:marRight w:val="0"/>
          <w:marTop w:val="0"/>
          <w:marBottom w:val="0"/>
          <w:divBdr>
            <w:top w:val="none" w:sz="0" w:space="0" w:color="auto"/>
            <w:left w:val="none" w:sz="0" w:space="0" w:color="auto"/>
            <w:bottom w:val="none" w:sz="0" w:space="0" w:color="auto"/>
            <w:right w:val="none" w:sz="0" w:space="0" w:color="auto"/>
          </w:divBdr>
        </w:div>
        <w:div w:id="1772507980">
          <w:marLeft w:val="640"/>
          <w:marRight w:val="0"/>
          <w:marTop w:val="0"/>
          <w:marBottom w:val="0"/>
          <w:divBdr>
            <w:top w:val="none" w:sz="0" w:space="0" w:color="auto"/>
            <w:left w:val="none" w:sz="0" w:space="0" w:color="auto"/>
            <w:bottom w:val="none" w:sz="0" w:space="0" w:color="auto"/>
            <w:right w:val="none" w:sz="0" w:space="0" w:color="auto"/>
          </w:divBdr>
        </w:div>
        <w:div w:id="227306901">
          <w:marLeft w:val="640"/>
          <w:marRight w:val="0"/>
          <w:marTop w:val="0"/>
          <w:marBottom w:val="0"/>
          <w:divBdr>
            <w:top w:val="none" w:sz="0" w:space="0" w:color="auto"/>
            <w:left w:val="none" w:sz="0" w:space="0" w:color="auto"/>
            <w:bottom w:val="none" w:sz="0" w:space="0" w:color="auto"/>
            <w:right w:val="none" w:sz="0" w:space="0" w:color="auto"/>
          </w:divBdr>
        </w:div>
        <w:div w:id="770593164">
          <w:marLeft w:val="640"/>
          <w:marRight w:val="0"/>
          <w:marTop w:val="0"/>
          <w:marBottom w:val="0"/>
          <w:divBdr>
            <w:top w:val="none" w:sz="0" w:space="0" w:color="auto"/>
            <w:left w:val="none" w:sz="0" w:space="0" w:color="auto"/>
            <w:bottom w:val="none" w:sz="0" w:space="0" w:color="auto"/>
            <w:right w:val="none" w:sz="0" w:space="0" w:color="auto"/>
          </w:divBdr>
        </w:div>
        <w:div w:id="1644695467">
          <w:marLeft w:val="640"/>
          <w:marRight w:val="0"/>
          <w:marTop w:val="0"/>
          <w:marBottom w:val="0"/>
          <w:divBdr>
            <w:top w:val="none" w:sz="0" w:space="0" w:color="auto"/>
            <w:left w:val="none" w:sz="0" w:space="0" w:color="auto"/>
            <w:bottom w:val="none" w:sz="0" w:space="0" w:color="auto"/>
            <w:right w:val="none" w:sz="0" w:space="0" w:color="auto"/>
          </w:divBdr>
        </w:div>
        <w:div w:id="725295759">
          <w:marLeft w:val="640"/>
          <w:marRight w:val="0"/>
          <w:marTop w:val="0"/>
          <w:marBottom w:val="0"/>
          <w:divBdr>
            <w:top w:val="none" w:sz="0" w:space="0" w:color="auto"/>
            <w:left w:val="none" w:sz="0" w:space="0" w:color="auto"/>
            <w:bottom w:val="none" w:sz="0" w:space="0" w:color="auto"/>
            <w:right w:val="none" w:sz="0" w:space="0" w:color="auto"/>
          </w:divBdr>
        </w:div>
        <w:div w:id="1479690346">
          <w:marLeft w:val="640"/>
          <w:marRight w:val="0"/>
          <w:marTop w:val="0"/>
          <w:marBottom w:val="0"/>
          <w:divBdr>
            <w:top w:val="none" w:sz="0" w:space="0" w:color="auto"/>
            <w:left w:val="none" w:sz="0" w:space="0" w:color="auto"/>
            <w:bottom w:val="none" w:sz="0" w:space="0" w:color="auto"/>
            <w:right w:val="none" w:sz="0" w:space="0" w:color="auto"/>
          </w:divBdr>
        </w:div>
        <w:div w:id="904682433">
          <w:marLeft w:val="640"/>
          <w:marRight w:val="0"/>
          <w:marTop w:val="0"/>
          <w:marBottom w:val="0"/>
          <w:divBdr>
            <w:top w:val="none" w:sz="0" w:space="0" w:color="auto"/>
            <w:left w:val="none" w:sz="0" w:space="0" w:color="auto"/>
            <w:bottom w:val="none" w:sz="0" w:space="0" w:color="auto"/>
            <w:right w:val="none" w:sz="0" w:space="0" w:color="auto"/>
          </w:divBdr>
        </w:div>
        <w:div w:id="1305546092">
          <w:marLeft w:val="640"/>
          <w:marRight w:val="0"/>
          <w:marTop w:val="0"/>
          <w:marBottom w:val="0"/>
          <w:divBdr>
            <w:top w:val="none" w:sz="0" w:space="0" w:color="auto"/>
            <w:left w:val="none" w:sz="0" w:space="0" w:color="auto"/>
            <w:bottom w:val="none" w:sz="0" w:space="0" w:color="auto"/>
            <w:right w:val="none" w:sz="0" w:space="0" w:color="auto"/>
          </w:divBdr>
        </w:div>
        <w:div w:id="596910999">
          <w:marLeft w:val="640"/>
          <w:marRight w:val="0"/>
          <w:marTop w:val="0"/>
          <w:marBottom w:val="0"/>
          <w:divBdr>
            <w:top w:val="none" w:sz="0" w:space="0" w:color="auto"/>
            <w:left w:val="none" w:sz="0" w:space="0" w:color="auto"/>
            <w:bottom w:val="none" w:sz="0" w:space="0" w:color="auto"/>
            <w:right w:val="none" w:sz="0" w:space="0" w:color="auto"/>
          </w:divBdr>
        </w:div>
        <w:div w:id="908541119">
          <w:marLeft w:val="640"/>
          <w:marRight w:val="0"/>
          <w:marTop w:val="0"/>
          <w:marBottom w:val="0"/>
          <w:divBdr>
            <w:top w:val="none" w:sz="0" w:space="0" w:color="auto"/>
            <w:left w:val="none" w:sz="0" w:space="0" w:color="auto"/>
            <w:bottom w:val="none" w:sz="0" w:space="0" w:color="auto"/>
            <w:right w:val="none" w:sz="0" w:space="0" w:color="auto"/>
          </w:divBdr>
        </w:div>
        <w:div w:id="1558975472">
          <w:marLeft w:val="640"/>
          <w:marRight w:val="0"/>
          <w:marTop w:val="0"/>
          <w:marBottom w:val="0"/>
          <w:divBdr>
            <w:top w:val="none" w:sz="0" w:space="0" w:color="auto"/>
            <w:left w:val="none" w:sz="0" w:space="0" w:color="auto"/>
            <w:bottom w:val="none" w:sz="0" w:space="0" w:color="auto"/>
            <w:right w:val="none" w:sz="0" w:space="0" w:color="auto"/>
          </w:divBdr>
        </w:div>
        <w:div w:id="1147942752">
          <w:marLeft w:val="640"/>
          <w:marRight w:val="0"/>
          <w:marTop w:val="0"/>
          <w:marBottom w:val="0"/>
          <w:divBdr>
            <w:top w:val="none" w:sz="0" w:space="0" w:color="auto"/>
            <w:left w:val="none" w:sz="0" w:space="0" w:color="auto"/>
            <w:bottom w:val="none" w:sz="0" w:space="0" w:color="auto"/>
            <w:right w:val="none" w:sz="0" w:space="0" w:color="auto"/>
          </w:divBdr>
        </w:div>
        <w:div w:id="1095520008">
          <w:marLeft w:val="640"/>
          <w:marRight w:val="0"/>
          <w:marTop w:val="0"/>
          <w:marBottom w:val="0"/>
          <w:divBdr>
            <w:top w:val="none" w:sz="0" w:space="0" w:color="auto"/>
            <w:left w:val="none" w:sz="0" w:space="0" w:color="auto"/>
            <w:bottom w:val="none" w:sz="0" w:space="0" w:color="auto"/>
            <w:right w:val="none" w:sz="0" w:space="0" w:color="auto"/>
          </w:divBdr>
        </w:div>
        <w:div w:id="692220042">
          <w:marLeft w:val="640"/>
          <w:marRight w:val="0"/>
          <w:marTop w:val="0"/>
          <w:marBottom w:val="0"/>
          <w:divBdr>
            <w:top w:val="none" w:sz="0" w:space="0" w:color="auto"/>
            <w:left w:val="none" w:sz="0" w:space="0" w:color="auto"/>
            <w:bottom w:val="none" w:sz="0" w:space="0" w:color="auto"/>
            <w:right w:val="none" w:sz="0" w:space="0" w:color="auto"/>
          </w:divBdr>
        </w:div>
        <w:div w:id="486023182">
          <w:marLeft w:val="640"/>
          <w:marRight w:val="0"/>
          <w:marTop w:val="0"/>
          <w:marBottom w:val="0"/>
          <w:divBdr>
            <w:top w:val="none" w:sz="0" w:space="0" w:color="auto"/>
            <w:left w:val="none" w:sz="0" w:space="0" w:color="auto"/>
            <w:bottom w:val="none" w:sz="0" w:space="0" w:color="auto"/>
            <w:right w:val="none" w:sz="0" w:space="0" w:color="auto"/>
          </w:divBdr>
        </w:div>
        <w:div w:id="1910118239">
          <w:marLeft w:val="640"/>
          <w:marRight w:val="0"/>
          <w:marTop w:val="0"/>
          <w:marBottom w:val="0"/>
          <w:divBdr>
            <w:top w:val="none" w:sz="0" w:space="0" w:color="auto"/>
            <w:left w:val="none" w:sz="0" w:space="0" w:color="auto"/>
            <w:bottom w:val="none" w:sz="0" w:space="0" w:color="auto"/>
            <w:right w:val="none" w:sz="0" w:space="0" w:color="auto"/>
          </w:divBdr>
        </w:div>
        <w:div w:id="1229194785">
          <w:marLeft w:val="640"/>
          <w:marRight w:val="0"/>
          <w:marTop w:val="0"/>
          <w:marBottom w:val="0"/>
          <w:divBdr>
            <w:top w:val="none" w:sz="0" w:space="0" w:color="auto"/>
            <w:left w:val="none" w:sz="0" w:space="0" w:color="auto"/>
            <w:bottom w:val="none" w:sz="0" w:space="0" w:color="auto"/>
            <w:right w:val="none" w:sz="0" w:space="0" w:color="auto"/>
          </w:divBdr>
        </w:div>
        <w:div w:id="1210000354">
          <w:marLeft w:val="640"/>
          <w:marRight w:val="0"/>
          <w:marTop w:val="0"/>
          <w:marBottom w:val="0"/>
          <w:divBdr>
            <w:top w:val="none" w:sz="0" w:space="0" w:color="auto"/>
            <w:left w:val="none" w:sz="0" w:space="0" w:color="auto"/>
            <w:bottom w:val="none" w:sz="0" w:space="0" w:color="auto"/>
            <w:right w:val="none" w:sz="0" w:space="0" w:color="auto"/>
          </w:divBdr>
        </w:div>
        <w:div w:id="316761435">
          <w:marLeft w:val="640"/>
          <w:marRight w:val="0"/>
          <w:marTop w:val="0"/>
          <w:marBottom w:val="0"/>
          <w:divBdr>
            <w:top w:val="none" w:sz="0" w:space="0" w:color="auto"/>
            <w:left w:val="none" w:sz="0" w:space="0" w:color="auto"/>
            <w:bottom w:val="none" w:sz="0" w:space="0" w:color="auto"/>
            <w:right w:val="none" w:sz="0" w:space="0" w:color="auto"/>
          </w:divBdr>
        </w:div>
        <w:div w:id="657731834">
          <w:marLeft w:val="640"/>
          <w:marRight w:val="0"/>
          <w:marTop w:val="0"/>
          <w:marBottom w:val="0"/>
          <w:divBdr>
            <w:top w:val="none" w:sz="0" w:space="0" w:color="auto"/>
            <w:left w:val="none" w:sz="0" w:space="0" w:color="auto"/>
            <w:bottom w:val="none" w:sz="0" w:space="0" w:color="auto"/>
            <w:right w:val="none" w:sz="0" w:space="0" w:color="auto"/>
          </w:divBdr>
        </w:div>
        <w:div w:id="1003968719">
          <w:marLeft w:val="640"/>
          <w:marRight w:val="0"/>
          <w:marTop w:val="0"/>
          <w:marBottom w:val="0"/>
          <w:divBdr>
            <w:top w:val="none" w:sz="0" w:space="0" w:color="auto"/>
            <w:left w:val="none" w:sz="0" w:space="0" w:color="auto"/>
            <w:bottom w:val="none" w:sz="0" w:space="0" w:color="auto"/>
            <w:right w:val="none" w:sz="0" w:space="0" w:color="auto"/>
          </w:divBdr>
        </w:div>
        <w:div w:id="82074487">
          <w:marLeft w:val="640"/>
          <w:marRight w:val="0"/>
          <w:marTop w:val="0"/>
          <w:marBottom w:val="0"/>
          <w:divBdr>
            <w:top w:val="none" w:sz="0" w:space="0" w:color="auto"/>
            <w:left w:val="none" w:sz="0" w:space="0" w:color="auto"/>
            <w:bottom w:val="none" w:sz="0" w:space="0" w:color="auto"/>
            <w:right w:val="none" w:sz="0" w:space="0" w:color="auto"/>
          </w:divBdr>
        </w:div>
        <w:div w:id="1243687010">
          <w:marLeft w:val="640"/>
          <w:marRight w:val="0"/>
          <w:marTop w:val="0"/>
          <w:marBottom w:val="0"/>
          <w:divBdr>
            <w:top w:val="none" w:sz="0" w:space="0" w:color="auto"/>
            <w:left w:val="none" w:sz="0" w:space="0" w:color="auto"/>
            <w:bottom w:val="none" w:sz="0" w:space="0" w:color="auto"/>
            <w:right w:val="none" w:sz="0" w:space="0" w:color="auto"/>
          </w:divBdr>
        </w:div>
        <w:div w:id="259799791">
          <w:marLeft w:val="640"/>
          <w:marRight w:val="0"/>
          <w:marTop w:val="0"/>
          <w:marBottom w:val="0"/>
          <w:divBdr>
            <w:top w:val="none" w:sz="0" w:space="0" w:color="auto"/>
            <w:left w:val="none" w:sz="0" w:space="0" w:color="auto"/>
            <w:bottom w:val="none" w:sz="0" w:space="0" w:color="auto"/>
            <w:right w:val="none" w:sz="0" w:space="0" w:color="auto"/>
          </w:divBdr>
        </w:div>
        <w:div w:id="1159735538">
          <w:marLeft w:val="640"/>
          <w:marRight w:val="0"/>
          <w:marTop w:val="0"/>
          <w:marBottom w:val="0"/>
          <w:divBdr>
            <w:top w:val="none" w:sz="0" w:space="0" w:color="auto"/>
            <w:left w:val="none" w:sz="0" w:space="0" w:color="auto"/>
            <w:bottom w:val="none" w:sz="0" w:space="0" w:color="auto"/>
            <w:right w:val="none" w:sz="0" w:space="0" w:color="auto"/>
          </w:divBdr>
        </w:div>
        <w:div w:id="1489901656">
          <w:marLeft w:val="640"/>
          <w:marRight w:val="0"/>
          <w:marTop w:val="0"/>
          <w:marBottom w:val="0"/>
          <w:divBdr>
            <w:top w:val="none" w:sz="0" w:space="0" w:color="auto"/>
            <w:left w:val="none" w:sz="0" w:space="0" w:color="auto"/>
            <w:bottom w:val="none" w:sz="0" w:space="0" w:color="auto"/>
            <w:right w:val="none" w:sz="0" w:space="0" w:color="auto"/>
          </w:divBdr>
        </w:div>
        <w:div w:id="1081221219">
          <w:marLeft w:val="640"/>
          <w:marRight w:val="0"/>
          <w:marTop w:val="0"/>
          <w:marBottom w:val="0"/>
          <w:divBdr>
            <w:top w:val="none" w:sz="0" w:space="0" w:color="auto"/>
            <w:left w:val="none" w:sz="0" w:space="0" w:color="auto"/>
            <w:bottom w:val="none" w:sz="0" w:space="0" w:color="auto"/>
            <w:right w:val="none" w:sz="0" w:space="0" w:color="auto"/>
          </w:divBdr>
        </w:div>
        <w:div w:id="579563388">
          <w:marLeft w:val="640"/>
          <w:marRight w:val="0"/>
          <w:marTop w:val="0"/>
          <w:marBottom w:val="0"/>
          <w:divBdr>
            <w:top w:val="none" w:sz="0" w:space="0" w:color="auto"/>
            <w:left w:val="none" w:sz="0" w:space="0" w:color="auto"/>
            <w:bottom w:val="none" w:sz="0" w:space="0" w:color="auto"/>
            <w:right w:val="none" w:sz="0" w:space="0" w:color="auto"/>
          </w:divBdr>
        </w:div>
        <w:div w:id="2033873439">
          <w:marLeft w:val="640"/>
          <w:marRight w:val="0"/>
          <w:marTop w:val="0"/>
          <w:marBottom w:val="0"/>
          <w:divBdr>
            <w:top w:val="none" w:sz="0" w:space="0" w:color="auto"/>
            <w:left w:val="none" w:sz="0" w:space="0" w:color="auto"/>
            <w:bottom w:val="none" w:sz="0" w:space="0" w:color="auto"/>
            <w:right w:val="none" w:sz="0" w:space="0" w:color="auto"/>
          </w:divBdr>
        </w:div>
        <w:div w:id="662398299">
          <w:marLeft w:val="640"/>
          <w:marRight w:val="0"/>
          <w:marTop w:val="0"/>
          <w:marBottom w:val="0"/>
          <w:divBdr>
            <w:top w:val="none" w:sz="0" w:space="0" w:color="auto"/>
            <w:left w:val="none" w:sz="0" w:space="0" w:color="auto"/>
            <w:bottom w:val="none" w:sz="0" w:space="0" w:color="auto"/>
            <w:right w:val="none" w:sz="0" w:space="0" w:color="auto"/>
          </w:divBdr>
        </w:div>
        <w:div w:id="989792976">
          <w:marLeft w:val="640"/>
          <w:marRight w:val="0"/>
          <w:marTop w:val="0"/>
          <w:marBottom w:val="0"/>
          <w:divBdr>
            <w:top w:val="none" w:sz="0" w:space="0" w:color="auto"/>
            <w:left w:val="none" w:sz="0" w:space="0" w:color="auto"/>
            <w:bottom w:val="none" w:sz="0" w:space="0" w:color="auto"/>
            <w:right w:val="none" w:sz="0" w:space="0" w:color="auto"/>
          </w:divBdr>
        </w:div>
        <w:div w:id="1787315386">
          <w:marLeft w:val="640"/>
          <w:marRight w:val="0"/>
          <w:marTop w:val="0"/>
          <w:marBottom w:val="0"/>
          <w:divBdr>
            <w:top w:val="none" w:sz="0" w:space="0" w:color="auto"/>
            <w:left w:val="none" w:sz="0" w:space="0" w:color="auto"/>
            <w:bottom w:val="none" w:sz="0" w:space="0" w:color="auto"/>
            <w:right w:val="none" w:sz="0" w:space="0" w:color="auto"/>
          </w:divBdr>
        </w:div>
        <w:div w:id="1616671447">
          <w:marLeft w:val="640"/>
          <w:marRight w:val="0"/>
          <w:marTop w:val="0"/>
          <w:marBottom w:val="0"/>
          <w:divBdr>
            <w:top w:val="none" w:sz="0" w:space="0" w:color="auto"/>
            <w:left w:val="none" w:sz="0" w:space="0" w:color="auto"/>
            <w:bottom w:val="none" w:sz="0" w:space="0" w:color="auto"/>
            <w:right w:val="none" w:sz="0" w:space="0" w:color="auto"/>
          </w:divBdr>
        </w:div>
        <w:div w:id="755325384">
          <w:marLeft w:val="640"/>
          <w:marRight w:val="0"/>
          <w:marTop w:val="0"/>
          <w:marBottom w:val="0"/>
          <w:divBdr>
            <w:top w:val="none" w:sz="0" w:space="0" w:color="auto"/>
            <w:left w:val="none" w:sz="0" w:space="0" w:color="auto"/>
            <w:bottom w:val="none" w:sz="0" w:space="0" w:color="auto"/>
            <w:right w:val="none" w:sz="0" w:space="0" w:color="auto"/>
          </w:divBdr>
        </w:div>
        <w:div w:id="779177932">
          <w:marLeft w:val="640"/>
          <w:marRight w:val="0"/>
          <w:marTop w:val="0"/>
          <w:marBottom w:val="0"/>
          <w:divBdr>
            <w:top w:val="none" w:sz="0" w:space="0" w:color="auto"/>
            <w:left w:val="none" w:sz="0" w:space="0" w:color="auto"/>
            <w:bottom w:val="none" w:sz="0" w:space="0" w:color="auto"/>
            <w:right w:val="none" w:sz="0" w:space="0" w:color="auto"/>
          </w:divBdr>
        </w:div>
        <w:div w:id="75253342">
          <w:marLeft w:val="640"/>
          <w:marRight w:val="0"/>
          <w:marTop w:val="0"/>
          <w:marBottom w:val="0"/>
          <w:divBdr>
            <w:top w:val="none" w:sz="0" w:space="0" w:color="auto"/>
            <w:left w:val="none" w:sz="0" w:space="0" w:color="auto"/>
            <w:bottom w:val="none" w:sz="0" w:space="0" w:color="auto"/>
            <w:right w:val="none" w:sz="0" w:space="0" w:color="auto"/>
          </w:divBdr>
        </w:div>
        <w:div w:id="2019848596">
          <w:marLeft w:val="640"/>
          <w:marRight w:val="0"/>
          <w:marTop w:val="0"/>
          <w:marBottom w:val="0"/>
          <w:divBdr>
            <w:top w:val="none" w:sz="0" w:space="0" w:color="auto"/>
            <w:left w:val="none" w:sz="0" w:space="0" w:color="auto"/>
            <w:bottom w:val="none" w:sz="0" w:space="0" w:color="auto"/>
            <w:right w:val="none" w:sz="0" w:space="0" w:color="auto"/>
          </w:divBdr>
        </w:div>
        <w:div w:id="432287602">
          <w:marLeft w:val="640"/>
          <w:marRight w:val="0"/>
          <w:marTop w:val="0"/>
          <w:marBottom w:val="0"/>
          <w:divBdr>
            <w:top w:val="none" w:sz="0" w:space="0" w:color="auto"/>
            <w:left w:val="none" w:sz="0" w:space="0" w:color="auto"/>
            <w:bottom w:val="none" w:sz="0" w:space="0" w:color="auto"/>
            <w:right w:val="none" w:sz="0" w:space="0" w:color="auto"/>
          </w:divBdr>
        </w:div>
        <w:div w:id="852300236">
          <w:marLeft w:val="640"/>
          <w:marRight w:val="0"/>
          <w:marTop w:val="0"/>
          <w:marBottom w:val="0"/>
          <w:divBdr>
            <w:top w:val="none" w:sz="0" w:space="0" w:color="auto"/>
            <w:left w:val="none" w:sz="0" w:space="0" w:color="auto"/>
            <w:bottom w:val="none" w:sz="0" w:space="0" w:color="auto"/>
            <w:right w:val="none" w:sz="0" w:space="0" w:color="auto"/>
          </w:divBdr>
        </w:div>
        <w:div w:id="273173772">
          <w:marLeft w:val="640"/>
          <w:marRight w:val="0"/>
          <w:marTop w:val="0"/>
          <w:marBottom w:val="0"/>
          <w:divBdr>
            <w:top w:val="none" w:sz="0" w:space="0" w:color="auto"/>
            <w:left w:val="none" w:sz="0" w:space="0" w:color="auto"/>
            <w:bottom w:val="none" w:sz="0" w:space="0" w:color="auto"/>
            <w:right w:val="none" w:sz="0" w:space="0" w:color="auto"/>
          </w:divBdr>
        </w:div>
        <w:div w:id="373622332">
          <w:marLeft w:val="640"/>
          <w:marRight w:val="0"/>
          <w:marTop w:val="0"/>
          <w:marBottom w:val="0"/>
          <w:divBdr>
            <w:top w:val="none" w:sz="0" w:space="0" w:color="auto"/>
            <w:left w:val="none" w:sz="0" w:space="0" w:color="auto"/>
            <w:bottom w:val="none" w:sz="0" w:space="0" w:color="auto"/>
            <w:right w:val="none" w:sz="0" w:space="0" w:color="auto"/>
          </w:divBdr>
        </w:div>
        <w:div w:id="1693914404">
          <w:marLeft w:val="640"/>
          <w:marRight w:val="0"/>
          <w:marTop w:val="0"/>
          <w:marBottom w:val="0"/>
          <w:divBdr>
            <w:top w:val="none" w:sz="0" w:space="0" w:color="auto"/>
            <w:left w:val="none" w:sz="0" w:space="0" w:color="auto"/>
            <w:bottom w:val="none" w:sz="0" w:space="0" w:color="auto"/>
            <w:right w:val="none" w:sz="0" w:space="0" w:color="auto"/>
          </w:divBdr>
        </w:div>
        <w:div w:id="772676943">
          <w:marLeft w:val="640"/>
          <w:marRight w:val="0"/>
          <w:marTop w:val="0"/>
          <w:marBottom w:val="0"/>
          <w:divBdr>
            <w:top w:val="none" w:sz="0" w:space="0" w:color="auto"/>
            <w:left w:val="none" w:sz="0" w:space="0" w:color="auto"/>
            <w:bottom w:val="none" w:sz="0" w:space="0" w:color="auto"/>
            <w:right w:val="none" w:sz="0" w:space="0" w:color="auto"/>
          </w:divBdr>
        </w:div>
        <w:div w:id="1044603690">
          <w:marLeft w:val="640"/>
          <w:marRight w:val="0"/>
          <w:marTop w:val="0"/>
          <w:marBottom w:val="0"/>
          <w:divBdr>
            <w:top w:val="none" w:sz="0" w:space="0" w:color="auto"/>
            <w:left w:val="none" w:sz="0" w:space="0" w:color="auto"/>
            <w:bottom w:val="none" w:sz="0" w:space="0" w:color="auto"/>
            <w:right w:val="none" w:sz="0" w:space="0" w:color="auto"/>
          </w:divBdr>
        </w:div>
        <w:div w:id="429745303">
          <w:marLeft w:val="640"/>
          <w:marRight w:val="0"/>
          <w:marTop w:val="0"/>
          <w:marBottom w:val="0"/>
          <w:divBdr>
            <w:top w:val="none" w:sz="0" w:space="0" w:color="auto"/>
            <w:left w:val="none" w:sz="0" w:space="0" w:color="auto"/>
            <w:bottom w:val="none" w:sz="0" w:space="0" w:color="auto"/>
            <w:right w:val="none" w:sz="0" w:space="0" w:color="auto"/>
          </w:divBdr>
        </w:div>
        <w:div w:id="1828130991">
          <w:marLeft w:val="640"/>
          <w:marRight w:val="0"/>
          <w:marTop w:val="0"/>
          <w:marBottom w:val="0"/>
          <w:divBdr>
            <w:top w:val="none" w:sz="0" w:space="0" w:color="auto"/>
            <w:left w:val="none" w:sz="0" w:space="0" w:color="auto"/>
            <w:bottom w:val="none" w:sz="0" w:space="0" w:color="auto"/>
            <w:right w:val="none" w:sz="0" w:space="0" w:color="auto"/>
          </w:divBdr>
        </w:div>
        <w:div w:id="1067722162">
          <w:marLeft w:val="640"/>
          <w:marRight w:val="0"/>
          <w:marTop w:val="0"/>
          <w:marBottom w:val="0"/>
          <w:divBdr>
            <w:top w:val="none" w:sz="0" w:space="0" w:color="auto"/>
            <w:left w:val="none" w:sz="0" w:space="0" w:color="auto"/>
            <w:bottom w:val="none" w:sz="0" w:space="0" w:color="auto"/>
            <w:right w:val="none" w:sz="0" w:space="0" w:color="auto"/>
          </w:divBdr>
        </w:div>
        <w:div w:id="696733380">
          <w:marLeft w:val="640"/>
          <w:marRight w:val="0"/>
          <w:marTop w:val="0"/>
          <w:marBottom w:val="0"/>
          <w:divBdr>
            <w:top w:val="none" w:sz="0" w:space="0" w:color="auto"/>
            <w:left w:val="none" w:sz="0" w:space="0" w:color="auto"/>
            <w:bottom w:val="none" w:sz="0" w:space="0" w:color="auto"/>
            <w:right w:val="none" w:sz="0" w:space="0" w:color="auto"/>
          </w:divBdr>
        </w:div>
        <w:div w:id="1725251400">
          <w:marLeft w:val="640"/>
          <w:marRight w:val="0"/>
          <w:marTop w:val="0"/>
          <w:marBottom w:val="0"/>
          <w:divBdr>
            <w:top w:val="none" w:sz="0" w:space="0" w:color="auto"/>
            <w:left w:val="none" w:sz="0" w:space="0" w:color="auto"/>
            <w:bottom w:val="none" w:sz="0" w:space="0" w:color="auto"/>
            <w:right w:val="none" w:sz="0" w:space="0" w:color="auto"/>
          </w:divBdr>
        </w:div>
        <w:div w:id="409155751">
          <w:marLeft w:val="640"/>
          <w:marRight w:val="0"/>
          <w:marTop w:val="0"/>
          <w:marBottom w:val="0"/>
          <w:divBdr>
            <w:top w:val="none" w:sz="0" w:space="0" w:color="auto"/>
            <w:left w:val="none" w:sz="0" w:space="0" w:color="auto"/>
            <w:bottom w:val="none" w:sz="0" w:space="0" w:color="auto"/>
            <w:right w:val="none" w:sz="0" w:space="0" w:color="auto"/>
          </w:divBdr>
        </w:div>
        <w:div w:id="829175147">
          <w:marLeft w:val="640"/>
          <w:marRight w:val="0"/>
          <w:marTop w:val="0"/>
          <w:marBottom w:val="0"/>
          <w:divBdr>
            <w:top w:val="none" w:sz="0" w:space="0" w:color="auto"/>
            <w:left w:val="none" w:sz="0" w:space="0" w:color="auto"/>
            <w:bottom w:val="none" w:sz="0" w:space="0" w:color="auto"/>
            <w:right w:val="none" w:sz="0" w:space="0" w:color="auto"/>
          </w:divBdr>
        </w:div>
        <w:div w:id="553004813">
          <w:marLeft w:val="640"/>
          <w:marRight w:val="0"/>
          <w:marTop w:val="0"/>
          <w:marBottom w:val="0"/>
          <w:divBdr>
            <w:top w:val="none" w:sz="0" w:space="0" w:color="auto"/>
            <w:left w:val="none" w:sz="0" w:space="0" w:color="auto"/>
            <w:bottom w:val="none" w:sz="0" w:space="0" w:color="auto"/>
            <w:right w:val="none" w:sz="0" w:space="0" w:color="auto"/>
          </w:divBdr>
        </w:div>
        <w:div w:id="1764034469">
          <w:marLeft w:val="640"/>
          <w:marRight w:val="0"/>
          <w:marTop w:val="0"/>
          <w:marBottom w:val="0"/>
          <w:divBdr>
            <w:top w:val="none" w:sz="0" w:space="0" w:color="auto"/>
            <w:left w:val="none" w:sz="0" w:space="0" w:color="auto"/>
            <w:bottom w:val="none" w:sz="0" w:space="0" w:color="auto"/>
            <w:right w:val="none" w:sz="0" w:space="0" w:color="auto"/>
          </w:divBdr>
        </w:div>
        <w:div w:id="1907256005">
          <w:marLeft w:val="640"/>
          <w:marRight w:val="0"/>
          <w:marTop w:val="0"/>
          <w:marBottom w:val="0"/>
          <w:divBdr>
            <w:top w:val="none" w:sz="0" w:space="0" w:color="auto"/>
            <w:left w:val="none" w:sz="0" w:space="0" w:color="auto"/>
            <w:bottom w:val="none" w:sz="0" w:space="0" w:color="auto"/>
            <w:right w:val="none" w:sz="0" w:space="0" w:color="auto"/>
          </w:divBdr>
        </w:div>
        <w:div w:id="2134862881">
          <w:marLeft w:val="640"/>
          <w:marRight w:val="0"/>
          <w:marTop w:val="0"/>
          <w:marBottom w:val="0"/>
          <w:divBdr>
            <w:top w:val="none" w:sz="0" w:space="0" w:color="auto"/>
            <w:left w:val="none" w:sz="0" w:space="0" w:color="auto"/>
            <w:bottom w:val="none" w:sz="0" w:space="0" w:color="auto"/>
            <w:right w:val="none" w:sz="0" w:space="0" w:color="auto"/>
          </w:divBdr>
        </w:div>
        <w:div w:id="756290859">
          <w:marLeft w:val="640"/>
          <w:marRight w:val="0"/>
          <w:marTop w:val="0"/>
          <w:marBottom w:val="0"/>
          <w:divBdr>
            <w:top w:val="none" w:sz="0" w:space="0" w:color="auto"/>
            <w:left w:val="none" w:sz="0" w:space="0" w:color="auto"/>
            <w:bottom w:val="none" w:sz="0" w:space="0" w:color="auto"/>
            <w:right w:val="none" w:sz="0" w:space="0" w:color="auto"/>
          </w:divBdr>
        </w:div>
        <w:div w:id="610091241">
          <w:marLeft w:val="640"/>
          <w:marRight w:val="0"/>
          <w:marTop w:val="0"/>
          <w:marBottom w:val="0"/>
          <w:divBdr>
            <w:top w:val="none" w:sz="0" w:space="0" w:color="auto"/>
            <w:left w:val="none" w:sz="0" w:space="0" w:color="auto"/>
            <w:bottom w:val="none" w:sz="0" w:space="0" w:color="auto"/>
            <w:right w:val="none" w:sz="0" w:space="0" w:color="auto"/>
          </w:divBdr>
        </w:div>
        <w:div w:id="479351024">
          <w:marLeft w:val="640"/>
          <w:marRight w:val="0"/>
          <w:marTop w:val="0"/>
          <w:marBottom w:val="0"/>
          <w:divBdr>
            <w:top w:val="none" w:sz="0" w:space="0" w:color="auto"/>
            <w:left w:val="none" w:sz="0" w:space="0" w:color="auto"/>
            <w:bottom w:val="none" w:sz="0" w:space="0" w:color="auto"/>
            <w:right w:val="none" w:sz="0" w:space="0" w:color="auto"/>
          </w:divBdr>
        </w:div>
        <w:div w:id="1794061067">
          <w:marLeft w:val="640"/>
          <w:marRight w:val="0"/>
          <w:marTop w:val="0"/>
          <w:marBottom w:val="0"/>
          <w:divBdr>
            <w:top w:val="none" w:sz="0" w:space="0" w:color="auto"/>
            <w:left w:val="none" w:sz="0" w:space="0" w:color="auto"/>
            <w:bottom w:val="none" w:sz="0" w:space="0" w:color="auto"/>
            <w:right w:val="none" w:sz="0" w:space="0" w:color="auto"/>
          </w:divBdr>
        </w:div>
        <w:div w:id="473565685">
          <w:marLeft w:val="640"/>
          <w:marRight w:val="0"/>
          <w:marTop w:val="0"/>
          <w:marBottom w:val="0"/>
          <w:divBdr>
            <w:top w:val="none" w:sz="0" w:space="0" w:color="auto"/>
            <w:left w:val="none" w:sz="0" w:space="0" w:color="auto"/>
            <w:bottom w:val="none" w:sz="0" w:space="0" w:color="auto"/>
            <w:right w:val="none" w:sz="0" w:space="0" w:color="auto"/>
          </w:divBdr>
        </w:div>
        <w:div w:id="920135804">
          <w:marLeft w:val="640"/>
          <w:marRight w:val="0"/>
          <w:marTop w:val="0"/>
          <w:marBottom w:val="0"/>
          <w:divBdr>
            <w:top w:val="none" w:sz="0" w:space="0" w:color="auto"/>
            <w:left w:val="none" w:sz="0" w:space="0" w:color="auto"/>
            <w:bottom w:val="none" w:sz="0" w:space="0" w:color="auto"/>
            <w:right w:val="none" w:sz="0" w:space="0" w:color="auto"/>
          </w:divBdr>
        </w:div>
        <w:div w:id="288358766">
          <w:marLeft w:val="640"/>
          <w:marRight w:val="0"/>
          <w:marTop w:val="0"/>
          <w:marBottom w:val="0"/>
          <w:divBdr>
            <w:top w:val="none" w:sz="0" w:space="0" w:color="auto"/>
            <w:left w:val="none" w:sz="0" w:space="0" w:color="auto"/>
            <w:bottom w:val="none" w:sz="0" w:space="0" w:color="auto"/>
            <w:right w:val="none" w:sz="0" w:space="0" w:color="auto"/>
          </w:divBdr>
        </w:div>
        <w:div w:id="1199204696">
          <w:marLeft w:val="640"/>
          <w:marRight w:val="0"/>
          <w:marTop w:val="0"/>
          <w:marBottom w:val="0"/>
          <w:divBdr>
            <w:top w:val="none" w:sz="0" w:space="0" w:color="auto"/>
            <w:left w:val="none" w:sz="0" w:space="0" w:color="auto"/>
            <w:bottom w:val="none" w:sz="0" w:space="0" w:color="auto"/>
            <w:right w:val="none" w:sz="0" w:space="0" w:color="auto"/>
          </w:divBdr>
        </w:div>
        <w:div w:id="2007780414">
          <w:marLeft w:val="640"/>
          <w:marRight w:val="0"/>
          <w:marTop w:val="0"/>
          <w:marBottom w:val="0"/>
          <w:divBdr>
            <w:top w:val="none" w:sz="0" w:space="0" w:color="auto"/>
            <w:left w:val="none" w:sz="0" w:space="0" w:color="auto"/>
            <w:bottom w:val="none" w:sz="0" w:space="0" w:color="auto"/>
            <w:right w:val="none" w:sz="0" w:space="0" w:color="auto"/>
          </w:divBdr>
        </w:div>
        <w:div w:id="819075880">
          <w:marLeft w:val="640"/>
          <w:marRight w:val="0"/>
          <w:marTop w:val="0"/>
          <w:marBottom w:val="0"/>
          <w:divBdr>
            <w:top w:val="none" w:sz="0" w:space="0" w:color="auto"/>
            <w:left w:val="none" w:sz="0" w:space="0" w:color="auto"/>
            <w:bottom w:val="none" w:sz="0" w:space="0" w:color="auto"/>
            <w:right w:val="none" w:sz="0" w:space="0" w:color="auto"/>
          </w:divBdr>
        </w:div>
        <w:div w:id="1434550126">
          <w:marLeft w:val="640"/>
          <w:marRight w:val="0"/>
          <w:marTop w:val="0"/>
          <w:marBottom w:val="0"/>
          <w:divBdr>
            <w:top w:val="none" w:sz="0" w:space="0" w:color="auto"/>
            <w:left w:val="none" w:sz="0" w:space="0" w:color="auto"/>
            <w:bottom w:val="none" w:sz="0" w:space="0" w:color="auto"/>
            <w:right w:val="none" w:sz="0" w:space="0" w:color="auto"/>
          </w:divBdr>
        </w:div>
        <w:div w:id="2116054341">
          <w:marLeft w:val="640"/>
          <w:marRight w:val="0"/>
          <w:marTop w:val="0"/>
          <w:marBottom w:val="0"/>
          <w:divBdr>
            <w:top w:val="none" w:sz="0" w:space="0" w:color="auto"/>
            <w:left w:val="none" w:sz="0" w:space="0" w:color="auto"/>
            <w:bottom w:val="none" w:sz="0" w:space="0" w:color="auto"/>
            <w:right w:val="none" w:sz="0" w:space="0" w:color="auto"/>
          </w:divBdr>
        </w:div>
        <w:div w:id="1205605092">
          <w:marLeft w:val="640"/>
          <w:marRight w:val="0"/>
          <w:marTop w:val="0"/>
          <w:marBottom w:val="0"/>
          <w:divBdr>
            <w:top w:val="none" w:sz="0" w:space="0" w:color="auto"/>
            <w:left w:val="none" w:sz="0" w:space="0" w:color="auto"/>
            <w:bottom w:val="none" w:sz="0" w:space="0" w:color="auto"/>
            <w:right w:val="none" w:sz="0" w:space="0" w:color="auto"/>
          </w:divBdr>
        </w:div>
        <w:div w:id="1870802423">
          <w:marLeft w:val="640"/>
          <w:marRight w:val="0"/>
          <w:marTop w:val="0"/>
          <w:marBottom w:val="0"/>
          <w:divBdr>
            <w:top w:val="none" w:sz="0" w:space="0" w:color="auto"/>
            <w:left w:val="none" w:sz="0" w:space="0" w:color="auto"/>
            <w:bottom w:val="none" w:sz="0" w:space="0" w:color="auto"/>
            <w:right w:val="none" w:sz="0" w:space="0" w:color="auto"/>
          </w:divBdr>
        </w:div>
        <w:div w:id="1076242870">
          <w:marLeft w:val="640"/>
          <w:marRight w:val="0"/>
          <w:marTop w:val="0"/>
          <w:marBottom w:val="0"/>
          <w:divBdr>
            <w:top w:val="none" w:sz="0" w:space="0" w:color="auto"/>
            <w:left w:val="none" w:sz="0" w:space="0" w:color="auto"/>
            <w:bottom w:val="none" w:sz="0" w:space="0" w:color="auto"/>
            <w:right w:val="none" w:sz="0" w:space="0" w:color="auto"/>
          </w:divBdr>
        </w:div>
        <w:div w:id="499737345">
          <w:marLeft w:val="640"/>
          <w:marRight w:val="0"/>
          <w:marTop w:val="0"/>
          <w:marBottom w:val="0"/>
          <w:divBdr>
            <w:top w:val="none" w:sz="0" w:space="0" w:color="auto"/>
            <w:left w:val="none" w:sz="0" w:space="0" w:color="auto"/>
            <w:bottom w:val="none" w:sz="0" w:space="0" w:color="auto"/>
            <w:right w:val="none" w:sz="0" w:space="0" w:color="auto"/>
          </w:divBdr>
        </w:div>
        <w:div w:id="1592159147">
          <w:marLeft w:val="640"/>
          <w:marRight w:val="0"/>
          <w:marTop w:val="0"/>
          <w:marBottom w:val="0"/>
          <w:divBdr>
            <w:top w:val="none" w:sz="0" w:space="0" w:color="auto"/>
            <w:left w:val="none" w:sz="0" w:space="0" w:color="auto"/>
            <w:bottom w:val="none" w:sz="0" w:space="0" w:color="auto"/>
            <w:right w:val="none" w:sz="0" w:space="0" w:color="auto"/>
          </w:divBdr>
        </w:div>
        <w:div w:id="1140877343">
          <w:marLeft w:val="640"/>
          <w:marRight w:val="0"/>
          <w:marTop w:val="0"/>
          <w:marBottom w:val="0"/>
          <w:divBdr>
            <w:top w:val="none" w:sz="0" w:space="0" w:color="auto"/>
            <w:left w:val="none" w:sz="0" w:space="0" w:color="auto"/>
            <w:bottom w:val="none" w:sz="0" w:space="0" w:color="auto"/>
            <w:right w:val="none" w:sz="0" w:space="0" w:color="auto"/>
          </w:divBdr>
        </w:div>
        <w:div w:id="214774855">
          <w:marLeft w:val="640"/>
          <w:marRight w:val="0"/>
          <w:marTop w:val="0"/>
          <w:marBottom w:val="0"/>
          <w:divBdr>
            <w:top w:val="none" w:sz="0" w:space="0" w:color="auto"/>
            <w:left w:val="none" w:sz="0" w:space="0" w:color="auto"/>
            <w:bottom w:val="none" w:sz="0" w:space="0" w:color="auto"/>
            <w:right w:val="none" w:sz="0" w:space="0" w:color="auto"/>
          </w:divBdr>
        </w:div>
        <w:div w:id="1280189012">
          <w:marLeft w:val="640"/>
          <w:marRight w:val="0"/>
          <w:marTop w:val="0"/>
          <w:marBottom w:val="0"/>
          <w:divBdr>
            <w:top w:val="none" w:sz="0" w:space="0" w:color="auto"/>
            <w:left w:val="none" w:sz="0" w:space="0" w:color="auto"/>
            <w:bottom w:val="none" w:sz="0" w:space="0" w:color="auto"/>
            <w:right w:val="none" w:sz="0" w:space="0" w:color="auto"/>
          </w:divBdr>
        </w:div>
        <w:div w:id="1695424313">
          <w:marLeft w:val="640"/>
          <w:marRight w:val="0"/>
          <w:marTop w:val="0"/>
          <w:marBottom w:val="0"/>
          <w:divBdr>
            <w:top w:val="none" w:sz="0" w:space="0" w:color="auto"/>
            <w:left w:val="none" w:sz="0" w:space="0" w:color="auto"/>
            <w:bottom w:val="none" w:sz="0" w:space="0" w:color="auto"/>
            <w:right w:val="none" w:sz="0" w:space="0" w:color="auto"/>
          </w:divBdr>
        </w:div>
        <w:div w:id="201022207">
          <w:marLeft w:val="640"/>
          <w:marRight w:val="0"/>
          <w:marTop w:val="0"/>
          <w:marBottom w:val="0"/>
          <w:divBdr>
            <w:top w:val="none" w:sz="0" w:space="0" w:color="auto"/>
            <w:left w:val="none" w:sz="0" w:space="0" w:color="auto"/>
            <w:bottom w:val="none" w:sz="0" w:space="0" w:color="auto"/>
            <w:right w:val="none" w:sz="0" w:space="0" w:color="auto"/>
          </w:divBdr>
        </w:div>
        <w:div w:id="2015567549">
          <w:marLeft w:val="640"/>
          <w:marRight w:val="0"/>
          <w:marTop w:val="0"/>
          <w:marBottom w:val="0"/>
          <w:divBdr>
            <w:top w:val="none" w:sz="0" w:space="0" w:color="auto"/>
            <w:left w:val="none" w:sz="0" w:space="0" w:color="auto"/>
            <w:bottom w:val="none" w:sz="0" w:space="0" w:color="auto"/>
            <w:right w:val="none" w:sz="0" w:space="0" w:color="auto"/>
          </w:divBdr>
        </w:div>
        <w:div w:id="2010019741">
          <w:marLeft w:val="640"/>
          <w:marRight w:val="0"/>
          <w:marTop w:val="0"/>
          <w:marBottom w:val="0"/>
          <w:divBdr>
            <w:top w:val="none" w:sz="0" w:space="0" w:color="auto"/>
            <w:left w:val="none" w:sz="0" w:space="0" w:color="auto"/>
            <w:bottom w:val="none" w:sz="0" w:space="0" w:color="auto"/>
            <w:right w:val="none" w:sz="0" w:space="0" w:color="auto"/>
          </w:divBdr>
        </w:div>
        <w:div w:id="410812185">
          <w:marLeft w:val="640"/>
          <w:marRight w:val="0"/>
          <w:marTop w:val="0"/>
          <w:marBottom w:val="0"/>
          <w:divBdr>
            <w:top w:val="none" w:sz="0" w:space="0" w:color="auto"/>
            <w:left w:val="none" w:sz="0" w:space="0" w:color="auto"/>
            <w:bottom w:val="none" w:sz="0" w:space="0" w:color="auto"/>
            <w:right w:val="none" w:sz="0" w:space="0" w:color="auto"/>
          </w:divBdr>
        </w:div>
        <w:div w:id="404306557">
          <w:marLeft w:val="640"/>
          <w:marRight w:val="0"/>
          <w:marTop w:val="0"/>
          <w:marBottom w:val="0"/>
          <w:divBdr>
            <w:top w:val="none" w:sz="0" w:space="0" w:color="auto"/>
            <w:left w:val="none" w:sz="0" w:space="0" w:color="auto"/>
            <w:bottom w:val="none" w:sz="0" w:space="0" w:color="auto"/>
            <w:right w:val="none" w:sz="0" w:space="0" w:color="auto"/>
          </w:divBdr>
        </w:div>
        <w:div w:id="1290936945">
          <w:marLeft w:val="640"/>
          <w:marRight w:val="0"/>
          <w:marTop w:val="0"/>
          <w:marBottom w:val="0"/>
          <w:divBdr>
            <w:top w:val="none" w:sz="0" w:space="0" w:color="auto"/>
            <w:left w:val="none" w:sz="0" w:space="0" w:color="auto"/>
            <w:bottom w:val="none" w:sz="0" w:space="0" w:color="auto"/>
            <w:right w:val="none" w:sz="0" w:space="0" w:color="auto"/>
          </w:divBdr>
        </w:div>
        <w:div w:id="1031950787">
          <w:marLeft w:val="640"/>
          <w:marRight w:val="0"/>
          <w:marTop w:val="0"/>
          <w:marBottom w:val="0"/>
          <w:divBdr>
            <w:top w:val="none" w:sz="0" w:space="0" w:color="auto"/>
            <w:left w:val="none" w:sz="0" w:space="0" w:color="auto"/>
            <w:bottom w:val="none" w:sz="0" w:space="0" w:color="auto"/>
            <w:right w:val="none" w:sz="0" w:space="0" w:color="auto"/>
          </w:divBdr>
        </w:div>
        <w:div w:id="1390417648">
          <w:marLeft w:val="640"/>
          <w:marRight w:val="0"/>
          <w:marTop w:val="0"/>
          <w:marBottom w:val="0"/>
          <w:divBdr>
            <w:top w:val="none" w:sz="0" w:space="0" w:color="auto"/>
            <w:left w:val="none" w:sz="0" w:space="0" w:color="auto"/>
            <w:bottom w:val="none" w:sz="0" w:space="0" w:color="auto"/>
            <w:right w:val="none" w:sz="0" w:space="0" w:color="auto"/>
          </w:divBdr>
        </w:div>
        <w:div w:id="1430000970">
          <w:marLeft w:val="640"/>
          <w:marRight w:val="0"/>
          <w:marTop w:val="0"/>
          <w:marBottom w:val="0"/>
          <w:divBdr>
            <w:top w:val="none" w:sz="0" w:space="0" w:color="auto"/>
            <w:left w:val="none" w:sz="0" w:space="0" w:color="auto"/>
            <w:bottom w:val="none" w:sz="0" w:space="0" w:color="auto"/>
            <w:right w:val="none" w:sz="0" w:space="0" w:color="auto"/>
          </w:divBdr>
        </w:div>
        <w:div w:id="2039119760">
          <w:marLeft w:val="640"/>
          <w:marRight w:val="0"/>
          <w:marTop w:val="0"/>
          <w:marBottom w:val="0"/>
          <w:divBdr>
            <w:top w:val="none" w:sz="0" w:space="0" w:color="auto"/>
            <w:left w:val="none" w:sz="0" w:space="0" w:color="auto"/>
            <w:bottom w:val="none" w:sz="0" w:space="0" w:color="auto"/>
            <w:right w:val="none" w:sz="0" w:space="0" w:color="auto"/>
          </w:divBdr>
        </w:div>
        <w:div w:id="1302921722">
          <w:marLeft w:val="640"/>
          <w:marRight w:val="0"/>
          <w:marTop w:val="0"/>
          <w:marBottom w:val="0"/>
          <w:divBdr>
            <w:top w:val="none" w:sz="0" w:space="0" w:color="auto"/>
            <w:left w:val="none" w:sz="0" w:space="0" w:color="auto"/>
            <w:bottom w:val="none" w:sz="0" w:space="0" w:color="auto"/>
            <w:right w:val="none" w:sz="0" w:space="0" w:color="auto"/>
          </w:divBdr>
        </w:div>
        <w:div w:id="297565844">
          <w:marLeft w:val="640"/>
          <w:marRight w:val="0"/>
          <w:marTop w:val="0"/>
          <w:marBottom w:val="0"/>
          <w:divBdr>
            <w:top w:val="none" w:sz="0" w:space="0" w:color="auto"/>
            <w:left w:val="none" w:sz="0" w:space="0" w:color="auto"/>
            <w:bottom w:val="none" w:sz="0" w:space="0" w:color="auto"/>
            <w:right w:val="none" w:sz="0" w:space="0" w:color="auto"/>
          </w:divBdr>
        </w:div>
        <w:div w:id="1866287371">
          <w:marLeft w:val="640"/>
          <w:marRight w:val="0"/>
          <w:marTop w:val="0"/>
          <w:marBottom w:val="0"/>
          <w:divBdr>
            <w:top w:val="none" w:sz="0" w:space="0" w:color="auto"/>
            <w:left w:val="none" w:sz="0" w:space="0" w:color="auto"/>
            <w:bottom w:val="none" w:sz="0" w:space="0" w:color="auto"/>
            <w:right w:val="none" w:sz="0" w:space="0" w:color="auto"/>
          </w:divBdr>
        </w:div>
        <w:div w:id="1683123544">
          <w:marLeft w:val="640"/>
          <w:marRight w:val="0"/>
          <w:marTop w:val="0"/>
          <w:marBottom w:val="0"/>
          <w:divBdr>
            <w:top w:val="none" w:sz="0" w:space="0" w:color="auto"/>
            <w:left w:val="none" w:sz="0" w:space="0" w:color="auto"/>
            <w:bottom w:val="none" w:sz="0" w:space="0" w:color="auto"/>
            <w:right w:val="none" w:sz="0" w:space="0" w:color="auto"/>
          </w:divBdr>
        </w:div>
      </w:divsChild>
    </w:div>
    <w:div w:id="406535646">
      <w:bodyDiv w:val="1"/>
      <w:marLeft w:val="0"/>
      <w:marRight w:val="0"/>
      <w:marTop w:val="0"/>
      <w:marBottom w:val="0"/>
      <w:divBdr>
        <w:top w:val="none" w:sz="0" w:space="0" w:color="auto"/>
        <w:left w:val="none" w:sz="0" w:space="0" w:color="auto"/>
        <w:bottom w:val="none" w:sz="0" w:space="0" w:color="auto"/>
        <w:right w:val="none" w:sz="0" w:space="0" w:color="auto"/>
      </w:divBdr>
      <w:divsChild>
        <w:div w:id="687605486">
          <w:marLeft w:val="640"/>
          <w:marRight w:val="0"/>
          <w:marTop w:val="0"/>
          <w:marBottom w:val="0"/>
          <w:divBdr>
            <w:top w:val="none" w:sz="0" w:space="0" w:color="auto"/>
            <w:left w:val="none" w:sz="0" w:space="0" w:color="auto"/>
            <w:bottom w:val="none" w:sz="0" w:space="0" w:color="auto"/>
            <w:right w:val="none" w:sz="0" w:space="0" w:color="auto"/>
          </w:divBdr>
        </w:div>
        <w:div w:id="1900052320">
          <w:marLeft w:val="640"/>
          <w:marRight w:val="0"/>
          <w:marTop w:val="0"/>
          <w:marBottom w:val="0"/>
          <w:divBdr>
            <w:top w:val="none" w:sz="0" w:space="0" w:color="auto"/>
            <w:left w:val="none" w:sz="0" w:space="0" w:color="auto"/>
            <w:bottom w:val="none" w:sz="0" w:space="0" w:color="auto"/>
            <w:right w:val="none" w:sz="0" w:space="0" w:color="auto"/>
          </w:divBdr>
        </w:div>
        <w:div w:id="722368286">
          <w:marLeft w:val="640"/>
          <w:marRight w:val="0"/>
          <w:marTop w:val="0"/>
          <w:marBottom w:val="0"/>
          <w:divBdr>
            <w:top w:val="none" w:sz="0" w:space="0" w:color="auto"/>
            <w:left w:val="none" w:sz="0" w:space="0" w:color="auto"/>
            <w:bottom w:val="none" w:sz="0" w:space="0" w:color="auto"/>
            <w:right w:val="none" w:sz="0" w:space="0" w:color="auto"/>
          </w:divBdr>
        </w:div>
        <w:div w:id="1679304885">
          <w:marLeft w:val="640"/>
          <w:marRight w:val="0"/>
          <w:marTop w:val="0"/>
          <w:marBottom w:val="0"/>
          <w:divBdr>
            <w:top w:val="none" w:sz="0" w:space="0" w:color="auto"/>
            <w:left w:val="none" w:sz="0" w:space="0" w:color="auto"/>
            <w:bottom w:val="none" w:sz="0" w:space="0" w:color="auto"/>
            <w:right w:val="none" w:sz="0" w:space="0" w:color="auto"/>
          </w:divBdr>
        </w:div>
        <w:div w:id="1002274605">
          <w:marLeft w:val="640"/>
          <w:marRight w:val="0"/>
          <w:marTop w:val="0"/>
          <w:marBottom w:val="0"/>
          <w:divBdr>
            <w:top w:val="none" w:sz="0" w:space="0" w:color="auto"/>
            <w:left w:val="none" w:sz="0" w:space="0" w:color="auto"/>
            <w:bottom w:val="none" w:sz="0" w:space="0" w:color="auto"/>
            <w:right w:val="none" w:sz="0" w:space="0" w:color="auto"/>
          </w:divBdr>
        </w:div>
        <w:div w:id="418260595">
          <w:marLeft w:val="640"/>
          <w:marRight w:val="0"/>
          <w:marTop w:val="0"/>
          <w:marBottom w:val="0"/>
          <w:divBdr>
            <w:top w:val="none" w:sz="0" w:space="0" w:color="auto"/>
            <w:left w:val="none" w:sz="0" w:space="0" w:color="auto"/>
            <w:bottom w:val="none" w:sz="0" w:space="0" w:color="auto"/>
            <w:right w:val="none" w:sz="0" w:space="0" w:color="auto"/>
          </w:divBdr>
        </w:div>
        <w:div w:id="355425011">
          <w:marLeft w:val="640"/>
          <w:marRight w:val="0"/>
          <w:marTop w:val="0"/>
          <w:marBottom w:val="0"/>
          <w:divBdr>
            <w:top w:val="none" w:sz="0" w:space="0" w:color="auto"/>
            <w:left w:val="none" w:sz="0" w:space="0" w:color="auto"/>
            <w:bottom w:val="none" w:sz="0" w:space="0" w:color="auto"/>
            <w:right w:val="none" w:sz="0" w:space="0" w:color="auto"/>
          </w:divBdr>
        </w:div>
        <w:div w:id="203521063">
          <w:marLeft w:val="640"/>
          <w:marRight w:val="0"/>
          <w:marTop w:val="0"/>
          <w:marBottom w:val="0"/>
          <w:divBdr>
            <w:top w:val="none" w:sz="0" w:space="0" w:color="auto"/>
            <w:left w:val="none" w:sz="0" w:space="0" w:color="auto"/>
            <w:bottom w:val="none" w:sz="0" w:space="0" w:color="auto"/>
            <w:right w:val="none" w:sz="0" w:space="0" w:color="auto"/>
          </w:divBdr>
        </w:div>
        <w:div w:id="1502969306">
          <w:marLeft w:val="640"/>
          <w:marRight w:val="0"/>
          <w:marTop w:val="0"/>
          <w:marBottom w:val="0"/>
          <w:divBdr>
            <w:top w:val="none" w:sz="0" w:space="0" w:color="auto"/>
            <w:left w:val="none" w:sz="0" w:space="0" w:color="auto"/>
            <w:bottom w:val="none" w:sz="0" w:space="0" w:color="auto"/>
            <w:right w:val="none" w:sz="0" w:space="0" w:color="auto"/>
          </w:divBdr>
        </w:div>
        <w:div w:id="559830469">
          <w:marLeft w:val="640"/>
          <w:marRight w:val="0"/>
          <w:marTop w:val="0"/>
          <w:marBottom w:val="0"/>
          <w:divBdr>
            <w:top w:val="none" w:sz="0" w:space="0" w:color="auto"/>
            <w:left w:val="none" w:sz="0" w:space="0" w:color="auto"/>
            <w:bottom w:val="none" w:sz="0" w:space="0" w:color="auto"/>
            <w:right w:val="none" w:sz="0" w:space="0" w:color="auto"/>
          </w:divBdr>
        </w:div>
        <w:div w:id="476529012">
          <w:marLeft w:val="640"/>
          <w:marRight w:val="0"/>
          <w:marTop w:val="0"/>
          <w:marBottom w:val="0"/>
          <w:divBdr>
            <w:top w:val="none" w:sz="0" w:space="0" w:color="auto"/>
            <w:left w:val="none" w:sz="0" w:space="0" w:color="auto"/>
            <w:bottom w:val="none" w:sz="0" w:space="0" w:color="auto"/>
            <w:right w:val="none" w:sz="0" w:space="0" w:color="auto"/>
          </w:divBdr>
        </w:div>
        <w:div w:id="70126672">
          <w:marLeft w:val="640"/>
          <w:marRight w:val="0"/>
          <w:marTop w:val="0"/>
          <w:marBottom w:val="0"/>
          <w:divBdr>
            <w:top w:val="none" w:sz="0" w:space="0" w:color="auto"/>
            <w:left w:val="none" w:sz="0" w:space="0" w:color="auto"/>
            <w:bottom w:val="none" w:sz="0" w:space="0" w:color="auto"/>
            <w:right w:val="none" w:sz="0" w:space="0" w:color="auto"/>
          </w:divBdr>
        </w:div>
        <w:div w:id="1858541182">
          <w:marLeft w:val="640"/>
          <w:marRight w:val="0"/>
          <w:marTop w:val="0"/>
          <w:marBottom w:val="0"/>
          <w:divBdr>
            <w:top w:val="none" w:sz="0" w:space="0" w:color="auto"/>
            <w:left w:val="none" w:sz="0" w:space="0" w:color="auto"/>
            <w:bottom w:val="none" w:sz="0" w:space="0" w:color="auto"/>
            <w:right w:val="none" w:sz="0" w:space="0" w:color="auto"/>
          </w:divBdr>
        </w:div>
        <w:div w:id="995299206">
          <w:marLeft w:val="640"/>
          <w:marRight w:val="0"/>
          <w:marTop w:val="0"/>
          <w:marBottom w:val="0"/>
          <w:divBdr>
            <w:top w:val="none" w:sz="0" w:space="0" w:color="auto"/>
            <w:left w:val="none" w:sz="0" w:space="0" w:color="auto"/>
            <w:bottom w:val="none" w:sz="0" w:space="0" w:color="auto"/>
            <w:right w:val="none" w:sz="0" w:space="0" w:color="auto"/>
          </w:divBdr>
        </w:div>
        <w:div w:id="763035782">
          <w:marLeft w:val="640"/>
          <w:marRight w:val="0"/>
          <w:marTop w:val="0"/>
          <w:marBottom w:val="0"/>
          <w:divBdr>
            <w:top w:val="none" w:sz="0" w:space="0" w:color="auto"/>
            <w:left w:val="none" w:sz="0" w:space="0" w:color="auto"/>
            <w:bottom w:val="none" w:sz="0" w:space="0" w:color="auto"/>
            <w:right w:val="none" w:sz="0" w:space="0" w:color="auto"/>
          </w:divBdr>
        </w:div>
        <w:div w:id="383649320">
          <w:marLeft w:val="640"/>
          <w:marRight w:val="0"/>
          <w:marTop w:val="0"/>
          <w:marBottom w:val="0"/>
          <w:divBdr>
            <w:top w:val="none" w:sz="0" w:space="0" w:color="auto"/>
            <w:left w:val="none" w:sz="0" w:space="0" w:color="auto"/>
            <w:bottom w:val="none" w:sz="0" w:space="0" w:color="auto"/>
            <w:right w:val="none" w:sz="0" w:space="0" w:color="auto"/>
          </w:divBdr>
        </w:div>
        <w:div w:id="1337919547">
          <w:marLeft w:val="640"/>
          <w:marRight w:val="0"/>
          <w:marTop w:val="0"/>
          <w:marBottom w:val="0"/>
          <w:divBdr>
            <w:top w:val="none" w:sz="0" w:space="0" w:color="auto"/>
            <w:left w:val="none" w:sz="0" w:space="0" w:color="auto"/>
            <w:bottom w:val="none" w:sz="0" w:space="0" w:color="auto"/>
            <w:right w:val="none" w:sz="0" w:space="0" w:color="auto"/>
          </w:divBdr>
        </w:div>
        <w:div w:id="844319607">
          <w:marLeft w:val="640"/>
          <w:marRight w:val="0"/>
          <w:marTop w:val="0"/>
          <w:marBottom w:val="0"/>
          <w:divBdr>
            <w:top w:val="none" w:sz="0" w:space="0" w:color="auto"/>
            <w:left w:val="none" w:sz="0" w:space="0" w:color="auto"/>
            <w:bottom w:val="none" w:sz="0" w:space="0" w:color="auto"/>
            <w:right w:val="none" w:sz="0" w:space="0" w:color="auto"/>
          </w:divBdr>
        </w:div>
        <w:div w:id="1670401420">
          <w:marLeft w:val="640"/>
          <w:marRight w:val="0"/>
          <w:marTop w:val="0"/>
          <w:marBottom w:val="0"/>
          <w:divBdr>
            <w:top w:val="none" w:sz="0" w:space="0" w:color="auto"/>
            <w:left w:val="none" w:sz="0" w:space="0" w:color="auto"/>
            <w:bottom w:val="none" w:sz="0" w:space="0" w:color="auto"/>
            <w:right w:val="none" w:sz="0" w:space="0" w:color="auto"/>
          </w:divBdr>
        </w:div>
        <w:div w:id="364869974">
          <w:marLeft w:val="640"/>
          <w:marRight w:val="0"/>
          <w:marTop w:val="0"/>
          <w:marBottom w:val="0"/>
          <w:divBdr>
            <w:top w:val="none" w:sz="0" w:space="0" w:color="auto"/>
            <w:left w:val="none" w:sz="0" w:space="0" w:color="auto"/>
            <w:bottom w:val="none" w:sz="0" w:space="0" w:color="auto"/>
            <w:right w:val="none" w:sz="0" w:space="0" w:color="auto"/>
          </w:divBdr>
        </w:div>
        <w:div w:id="429593403">
          <w:marLeft w:val="640"/>
          <w:marRight w:val="0"/>
          <w:marTop w:val="0"/>
          <w:marBottom w:val="0"/>
          <w:divBdr>
            <w:top w:val="none" w:sz="0" w:space="0" w:color="auto"/>
            <w:left w:val="none" w:sz="0" w:space="0" w:color="auto"/>
            <w:bottom w:val="none" w:sz="0" w:space="0" w:color="auto"/>
            <w:right w:val="none" w:sz="0" w:space="0" w:color="auto"/>
          </w:divBdr>
        </w:div>
        <w:div w:id="1239167869">
          <w:marLeft w:val="640"/>
          <w:marRight w:val="0"/>
          <w:marTop w:val="0"/>
          <w:marBottom w:val="0"/>
          <w:divBdr>
            <w:top w:val="none" w:sz="0" w:space="0" w:color="auto"/>
            <w:left w:val="none" w:sz="0" w:space="0" w:color="auto"/>
            <w:bottom w:val="none" w:sz="0" w:space="0" w:color="auto"/>
            <w:right w:val="none" w:sz="0" w:space="0" w:color="auto"/>
          </w:divBdr>
        </w:div>
        <w:div w:id="92940554">
          <w:marLeft w:val="640"/>
          <w:marRight w:val="0"/>
          <w:marTop w:val="0"/>
          <w:marBottom w:val="0"/>
          <w:divBdr>
            <w:top w:val="none" w:sz="0" w:space="0" w:color="auto"/>
            <w:left w:val="none" w:sz="0" w:space="0" w:color="auto"/>
            <w:bottom w:val="none" w:sz="0" w:space="0" w:color="auto"/>
            <w:right w:val="none" w:sz="0" w:space="0" w:color="auto"/>
          </w:divBdr>
        </w:div>
        <w:div w:id="1821924134">
          <w:marLeft w:val="640"/>
          <w:marRight w:val="0"/>
          <w:marTop w:val="0"/>
          <w:marBottom w:val="0"/>
          <w:divBdr>
            <w:top w:val="none" w:sz="0" w:space="0" w:color="auto"/>
            <w:left w:val="none" w:sz="0" w:space="0" w:color="auto"/>
            <w:bottom w:val="none" w:sz="0" w:space="0" w:color="auto"/>
            <w:right w:val="none" w:sz="0" w:space="0" w:color="auto"/>
          </w:divBdr>
        </w:div>
        <w:div w:id="1320381301">
          <w:marLeft w:val="640"/>
          <w:marRight w:val="0"/>
          <w:marTop w:val="0"/>
          <w:marBottom w:val="0"/>
          <w:divBdr>
            <w:top w:val="none" w:sz="0" w:space="0" w:color="auto"/>
            <w:left w:val="none" w:sz="0" w:space="0" w:color="auto"/>
            <w:bottom w:val="none" w:sz="0" w:space="0" w:color="auto"/>
            <w:right w:val="none" w:sz="0" w:space="0" w:color="auto"/>
          </w:divBdr>
        </w:div>
        <w:div w:id="28340751">
          <w:marLeft w:val="640"/>
          <w:marRight w:val="0"/>
          <w:marTop w:val="0"/>
          <w:marBottom w:val="0"/>
          <w:divBdr>
            <w:top w:val="none" w:sz="0" w:space="0" w:color="auto"/>
            <w:left w:val="none" w:sz="0" w:space="0" w:color="auto"/>
            <w:bottom w:val="none" w:sz="0" w:space="0" w:color="auto"/>
            <w:right w:val="none" w:sz="0" w:space="0" w:color="auto"/>
          </w:divBdr>
        </w:div>
        <w:div w:id="1978796801">
          <w:marLeft w:val="640"/>
          <w:marRight w:val="0"/>
          <w:marTop w:val="0"/>
          <w:marBottom w:val="0"/>
          <w:divBdr>
            <w:top w:val="none" w:sz="0" w:space="0" w:color="auto"/>
            <w:left w:val="none" w:sz="0" w:space="0" w:color="auto"/>
            <w:bottom w:val="none" w:sz="0" w:space="0" w:color="auto"/>
            <w:right w:val="none" w:sz="0" w:space="0" w:color="auto"/>
          </w:divBdr>
        </w:div>
        <w:div w:id="922026543">
          <w:marLeft w:val="640"/>
          <w:marRight w:val="0"/>
          <w:marTop w:val="0"/>
          <w:marBottom w:val="0"/>
          <w:divBdr>
            <w:top w:val="none" w:sz="0" w:space="0" w:color="auto"/>
            <w:left w:val="none" w:sz="0" w:space="0" w:color="auto"/>
            <w:bottom w:val="none" w:sz="0" w:space="0" w:color="auto"/>
            <w:right w:val="none" w:sz="0" w:space="0" w:color="auto"/>
          </w:divBdr>
        </w:div>
        <w:div w:id="1889561545">
          <w:marLeft w:val="640"/>
          <w:marRight w:val="0"/>
          <w:marTop w:val="0"/>
          <w:marBottom w:val="0"/>
          <w:divBdr>
            <w:top w:val="none" w:sz="0" w:space="0" w:color="auto"/>
            <w:left w:val="none" w:sz="0" w:space="0" w:color="auto"/>
            <w:bottom w:val="none" w:sz="0" w:space="0" w:color="auto"/>
            <w:right w:val="none" w:sz="0" w:space="0" w:color="auto"/>
          </w:divBdr>
        </w:div>
        <w:div w:id="1062220582">
          <w:marLeft w:val="640"/>
          <w:marRight w:val="0"/>
          <w:marTop w:val="0"/>
          <w:marBottom w:val="0"/>
          <w:divBdr>
            <w:top w:val="none" w:sz="0" w:space="0" w:color="auto"/>
            <w:left w:val="none" w:sz="0" w:space="0" w:color="auto"/>
            <w:bottom w:val="none" w:sz="0" w:space="0" w:color="auto"/>
            <w:right w:val="none" w:sz="0" w:space="0" w:color="auto"/>
          </w:divBdr>
        </w:div>
        <w:div w:id="878199149">
          <w:marLeft w:val="640"/>
          <w:marRight w:val="0"/>
          <w:marTop w:val="0"/>
          <w:marBottom w:val="0"/>
          <w:divBdr>
            <w:top w:val="none" w:sz="0" w:space="0" w:color="auto"/>
            <w:left w:val="none" w:sz="0" w:space="0" w:color="auto"/>
            <w:bottom w:val="none" w:sz="0" w:space="0" w:color="auto"/>
            <w:right w:val="none" w:sz="0" w:space="0" w:color="auto"/>
          </w:divBdr>
        </w:div>
        <w:div w:id="1655059773">
          <w:marLeft w:val="640"/>
          <w:marRight w:val="0"/>
          <w:marTop w:val="0"/>
          <w:marBottom w:val="0"/>
          <w:divBdr>
            <w:top w:val="none" w:sz="0" w:space="0" w:color="auto"/>
            <w:left w:val="none" w:sz="0" w:space="0" w:color="auto"/>
            <w:bottom w:val="none" w:sz="0" w:space="0" w:color="auto"/>
            <w:right w:val="none" w:sz="0" w:space="0" w:color="auto"/>
          </w:divBdr>
        </w:div>
        <w:div w:id="1626764702">
          <w:marLeft w:val="640"/>
          <w:marRight w:val="0"/>
          <w:marTop w:val="0"/>
          <w:marBottom w:val="0"/>
          <w:divBdr>
            <w:top w:val="none" w:sz="0" w:space="0" w:color="auto"/>
            <w:left w:val="none" w:sz="0" w:space="0" w:color="auto"/>
            <w:bottom w:val="none" w:sz="0" w:space="0" w:color="auto"/>
            <w:right w:val="none" w:sz="0" w:space="0" w:color="auto"/>
          </w:divBdr>
        </w:div>
        <w:div w:id="917208477">
          <w:marLeft w:val="640"/>
          <w:marRight w:val="0"/>
          <w:marTop w:val="0"/>
          <w:marBottom w:val="0"/>
          <w:divBdr>
            <w:top w:val="none" w:sz="0" w:space="0" w:color="auto"/>
            <w:left w:val="none" w:sz="0" w:space="0" w:color="auto"/>
            <w:bottom w:val="none" w:sz="0" w:space="0" w:color="auto"/>
            <w:right w:val="none" w:sz="0" w:space="0" w:color="auto"/>
          </w:divBdr>
        </w:div>
        <w:div w:id="1054888477">
          <w:marLeft w:val="640"/>
          <w:marRight w:val="0"/>
          <w:marTop w:val="0"/>
          <w:marBottom w:val="0"/>
          <w:divBdr>
            <w:top w:val="none" w:sz="0" w:space="0" w:color="auto"/>
            <w:left w:val="none" w:sz="0" w:space="0" w:color="auto"/>
            <w:bottom w:val="none" w:sz="0" w:space="0" w:color="auto"/>
            <w:right w:val="none" w:sz="0" w:space="0" w:color="auto"/>
          </w:divBdr>
        </w:div>
        <w:div w:id="1317026626">
          <w:marLeft w:val="640"/>
          <w:marRight w:val="0"/>
          <w:marTop w:val="0"/>
          <w:marBottom w:val="0"/>
          <w:divBdr>
            <w:top w:val="none" w:sz="0" w:space="0" w:color="auto"/>
            <w:left w:val="none" w:sz="0" w:space="0" w:color="auto"/>
            <w:bottom w:val="none" w:sz="0" w:space="0" w:color="auto"/>
            <w:right w:val="none" w:sz="0" w:space="0" w:color="auto"/>
          </w:divBdr>
        </w:div>
        <w:div w:id="253369226">
          <w:marLeft w:val="640"/>
          <w:marRight w:val="0"/>
          <w:marTop w:val="0"/>
          <w:marBottom w:val="0"/>
          <w:divBdr>
            <w:top w:val="none" w:sz="0" w:space="0" w:color="auto"/>
            <w:left w:val="none" w:sz="0" w:space="0" w:color="auto"/>
            <w:bottom w:val="none" w:sz="0" w:space="0" w:color="auto"/>
            <w:right w:val="none" w:sz="0" w:space="0" w:color="auto"/>
          </w:divBdr>
        </w:div>
        <w:div w:id="1375690298">
          <w:marLeft w:val="640"/>
          <w:marRight w:val="0"/>
          <w:marTop w:val="0"/>
          <w:marBottom w:val="0"/>
          <w:divBdr>
            <w:top w:val="none" w:sz="0" w:space="0" w:color="auto"/>
            <w:left w:val="none" w:sz="0" w:space="0" w:color="auto"/>
            <w:bottom w:val="none" w:sz="0" w:space="0" w:color="auto"/>
            <w:right w:val="none" w:sz="0" w:space="0" w:color="auto"/>
          </w:divBdr>
        </w:div>
        <w:div w:id="2077507119">
          <w:marLeft w:val="640"/>
          <w:marRight w:val="0"/>
          <w:marTop w:val="0"/>
          <w:marBottom w:val="0"/>
          <w:divBdr>
            <w:top w:val="none" w:sz="0" w:space="0" w:color="auto"/>
            <w:left w:val="none" w:sz="0" w:space="0" w:color="auto"/>
            <w:bottom w:val="none" w:sz="0" w:space="0" w:color="auto"/>
            <w:right w:val="none" w:sz="0" w:space="0" w:color="auto"/>
          </w:divBdr>
        </w:div>
        <w:div w:id="1528055469">
          <w:marLeft w:val="640"/>
          <w:marRight w:val="0"/>
          <w:marTop w:val="0"/>
          <w:marBottom w:val="0"/>
          <w:divBdr>
            <w:top w:val="none" w:sz="0" w:space="0" w:color="auto"/>
            <w:left w:val="none" w:sz="0" w:space="0" w:color="auto"/>
            <w:bottom w:val="none" w:sz="0" w:space="0" w:color="auto"/>
            <w:right w:val="none" w:sz="0" w:space="0" w:color="auto"/>
          </w:divBdr>
        </w:div>
        <w:div w:id="1111972850">
          <w:marLeft w:val="640"/>
          <w:marRight w:val="0"/>
          <w:marTop w:val="0"/>
          <w:marBottom w:val="0"/>
          <w:divBdr>
            <w:top w:val="none" w:sz="0" w:space="0" w:color="auto"/>
            <w:left w:val="none" w:sz="0" w:space="0" w:color="auto"/>
            <w:bottom w:val="none" w:sz="0" w:space="0" w:color="auto"/>
            <w:right w:val="none" w:sz="0" w:space="0" w:color="auto"/>
          </w:divBdr>
        </w:div>
        <w:div w:id="2132900581">
          <w:marLeft w:val="640"/>
          <w:marRight w:val="0"/>
          <w:marTop w:val="0"/>
          <w:marBottom w:val="0"/>
          <w:divBdr>
            <w:top w:val="none" w:sz="0" w:space="0" w:color="auto"/>
            <w:left w:val="none" w:sz="0" w:space="0" w:color="auto"/>
            <w:bottom w:val="none" w:sz="0" w:space="0" w:color="auto"/>
            <w:right w:val="none" w:sz="0" w:space="0" w:color="auto"/>
          </w:divBdr>
        </w:div>
        <w:div w:id="11885989">
          <w:marLeft w:val="640"/>
          <w:marRight w:val="0"/>
          <w:marTop w:val="0"/>
          <w:marBottom w:val="0"/>
          <w:divBdr>
            <w:top w:val="none" w:sz="0" w:space="0" w:color="auto"/>
            <w:left w:val="none" w:sz="0" w:space="0" w:color="auto"/>
            <w:bottom w:val="none" w:sz="0" w:space="0" w:color="auto"/>
            <w:right w:val="none" w:sz="0" w:space="0" w:color="auto"/>
          </w:divBdr>
        </w:div>
        <w:div w:id="1380787227">
          <w:marLeft w:val="640"/>
          <w:marRight w:val="0"/>
          <w:marTop w:val="0"/>
          <w:marBottom w:val="0"/>
          <w:divBdr>
            <w:top w:val="none" w:sz="0" w:space="0" w:color="auto"/>
            <w:left w:val="none" w:sz="0" w:space="0" w:color="auto"/>
            <w:bottom w:val="none" w:sz="0" w:space="0" w:color="auto"/>
            <w:right w:val="none" w:sz="0" w:space="0" w:color="auto"/>
          </w:divBdr>
        </w:div>
        <w:div w:id="948465146">
          <w:marLeft w:val="640"/>
          <w:marRight w:val="0"/>
          <w:marTop w:val="0"/>
          <w:marBottom w:val="0"/>
          <w:divBdr>
            <w:top w:val="none" w:sz="0" w:space="0" w:color="auto"/>
            <w:left w:val="none" w:sz="0" w:space="0" w:color="auto"/>
            <w:bottom w:val="none" w:sz="0" w:space="0" w:color="auto"/>
            <w:right w:val="none" w:sz="0" w:space="0" w:color="auto"/>
          </w:divBdr>
        </w:div>
        <w:div w:id="1682317545">
          <w:marLeft w:val="640"/>
          <w:marRight w:val="0"/>
          <w:marTop w:val="0"/>
          <w:marBottom w:val="0"/>
          <w:divBdr>
            <w:top w:val="none" w:sz="0" w:space="0" w:color="auto"/>
            <w:left w:val="none" w:sz="0" w:space="0" w:color="auto"/>
            <w:bottom w:val="none" w:sz="0" w:space="0" w:color="auto"/>
            <w:right w:val="none" w:sz="0" w:space="0" w:color="auto"/>
          </w:divBdr>
        </w:div>
        <w:div w:id="1613856080">
          <w:marLeft w:val="640"/>
          <w:marRight w:val="0"/>
          <w:marTop w:val="0"/>
          <w:marBottom w:val="0"/>
          <w:divBdr>
            <w:top w:val="none" w:sz="0" w:space="0" w:color="auto"/>
            <w:left w:val="none" w:sz="0" w:space="0" w:color="auto"/>
            <w:bottom w:val="none" w:sz="0" w:space="0" w:color="auto"/>
            <w:right w:val="none" w:sz="0" w:space="0" w:color="auto"/>
          </w:divBdr>
        </w:div>
        <w:div w:id="1729112060">
          <w:marLeft w:val="640"/>
          <w:marRight w:val="0"/>
          <w:marTop w:val="0"/>
          <w:marBottom w:val="0"/>
          <w:divBdr>
            <w:top w:val="none" w:sz="0" w:space="0" w:color="auto"/>
            <w:left w:val="none" w:sz="0" w:space="0" w:color="auto"/>
            <w:bottom w:val="none" w:sz="0" w:space="0" w:color="auto"/>
            <w:right w:val="none" w:sz="0" w:space="0" w:color="auto"/>
          </w:divBdr>
        </w:div>
        <w:div w:id="815952978">
          <w:marLeft w:val="640"/>
          <w:marRight w:val="0"/>
          <w:marTop w:val="0"/>
          <w:marBottom w:val="0"/>
          <w:divBdr>
            <w:top w:val="none" w:sz="0" w:space="0" w:color="auto"/>
            <w:left w:val="none" w:sz="0" w:space="0" w:color="auto"/>
            <w:bottom w:val="none" w:sz="0" w:space="0" w:color="auto"/>
            <w:right w:val="none" w:sz="0" w:space="0" w:color="auto"/>
          </w:divBdr>
        </w:div>
        <w:div w:id="609943899">
          <w:marLeft w:val="640"/>
          <w:marRight w:val="0"/>
          <w:marTop w:val="0"/>
          <w:marBottom w:val="0"/>
          <w:divBdr>
            <w:top w:val="none" w:sz="0" w:space="0" w:color="auto"/>
            <w:left w:val="none" w:sz="0" w:space="0" w:color="auto"/>
            <w:bottom w:val="none" w:sz="0" w:space="0" w:color="auto"/>
            <w:right w:val="none" w:sz="0" w:space="0" w:color="auto"/>
          </w:divBdr>
        </w:div>
        <w:div w:id="1088384907">
          <w:marLeft w:val="640"/>
          <w:marRight w:val="0"/>
          <w:marTop w:val="0"/>
          <w:marBottom w:val="0"/>
          <w:divBdr>
            <w:top w:val="none" w:sz="0" w:space="0" w:color="auto"/>
            <w:left w:val="none" w:sz="0" w:space="0" w:color="auto"/>
            <w:bottom w:val="none" w:sz="0" w:space="0" w:color="auto"/>
            <w:right w:val="none" w:sz="0" w:space="0" w:color="auto"/>
          </w:divBdr>
        </w:div>
        <w:div w:id="1949239398">
          <w:marLeft w:val="640"/>
          <w:marRight w:val="0"/>
          <w:marTop w:val="0"/>
          <w:marBottom w:val="0"/>
          <w:divBdr>
            <w:top w:val="none" w:sz="0" w:space="0" w:color="auto"/>
            <w:left w:val="none" w:sz="0" w:space="0" w:color="auto"/>
            <w:bottom w:val="none" w:sz="0" w:space="0" w:color="auto"/>
            <w:right w:val="none" w:sz="0" w:space="0" w:color="auto"/>
          </w:divBdr>
        </w:div>
        <w:div w:id="1264605165">
          <w:marLeft w:val="640"/>
          <w:marRight w:val="0"/>
          <w:marTop w:val="0"/>
          <w:marBottom w:val="0"/>
          <w:divBdr>
            <w:top w:val="none" w:sz="0" w:space="0" w:color="auto"/>
            <w:left w:val="none" w:sz="0" w:space="0" w:color="auto"/>
            <w:bottom w:val="none" w:sz="0" w:space="0" w:color="auto"/>
            <w:right w:val="none" w:sz="0" w:space="0" w:color="auto"/>
          </w:divBdr>
        </w:div>
        <w:div w:id="120149759">
          <w:marLeft w:val="640"/>
          <w:marRight w:val="0"/>
          <w:marTop w:val="0"/>
          <w:marBottom w:val="0"/>
          <w:divBdr>
            <w:top w:val="none" w:sz="0" w:space="0" w:color="auto"/>
            <w:left w:val="none" w:sz="0" w:space="0" w:color="auto"/>
            <w:bottom w:val="none" w:sz="0" w:space="0" w:color="auto"/>
            <w:right w:val="none" w:sz="0" w:space="0" w:color="auto"/>
          </w:divBdr>
        </w:div>
        <w:div w:id="1706060025">
          <w:marLeft w:val="640"/>
          <w:marRight w:val="0"/>
          <w:marTop w:val="0"/>
          <w:marBottom w:val="0"/>
          <w:divBdr>
            <w:top w:val="none" w:sz="0" w:space="0" w:color="auto"/>
            <w:left w:val="none" w:sz="0" w:space="0" w:color="auto"/>
            <w:bottom w:val="none" w:sz="0" w:space="0" w:color="auto"/>
            <w:right w:val="none" w:sz="0" w:space="0" w:color="auto"/>
          </w:divBdr>
        </w:div>
        <w:div w:id="192962390">
          <w:marLeft w:val="640"/>
          <w:marRight w:val="0"/>
          <w:marTop w:val="0"/>
          <w:marBottom w:val="0"/>
          <w:divBdr>
            <w:top w:val="none" w:sz="0" w:space="0" w:color="auto"/>
            <w:left w:val="none" w:sz="0" w:space="0" w:color="auto"/>
            <w:bottom w:val="none" w:sz="0" w:space="0" w:color="auto"/>
            <w:right w:val="none" w:sz="0" w:space="0" w:color="auto"/>
          </w:divBdr>
        </w:div>
        <w:div w:id="1010572196">
          <w:marLeft w:val="640"/>
          <w:marRight w:val="0"/>
          <w:marTop w:val="0"/>
          <w:marBottom w:val="0"/>
          <w:divBdr>
            <w:top w:val="none" w:sz="0" w:space="0" w:color="auto"/>
            <w:left w:val="none" w:sz="0" w:space="0" w:color="auto"/>
            <w:bottom w:val="none" w:sz="0" w:space="0" w:color="auto"/>
            <w:right w:val="none" w:sz="0" w:space="0" w:color="auto"/>
          </w:divBdr>
        </w:div>
        <w:div w:id="1567255024">
          <w:marLeft w:val="640"/>
          <w:marRight w:val="0"/>
          <w:marTop w:val="0"/>
          <w:marBottom w:val="0"/>
          <w:divBdr>
            <w:top w:val="none" w:sz="0" w:space="0" w:color="auto"/>
            <w:left w:val="none" w:sz="0" w:space="0" w:color="auto"/>
            <w:bottom w:val="none" w:sz="0" w:space="0" w:color="auto"/>
            <w:right w:val="none" w:sz="0" w:space="0" w:color="auto"/>
          </w:divBdr>
        </w:div>
        <w:div w:id="147787141">
          <w:marLeft w:val="640"/>
          <w:marRight w:val="0"/>
          <w:marTop w:val="0"/>
          <w:marBottom w:val="0"/>
          <w:divBdr>
            <w:top w:val="none" w:sz="0" w:space="0" w:color="auto"/>
            <w:left w:val="none" w:sz="0" w:space="0" w:color="auto"/>
            <w:bottom w:val="none" w:sz="0" w:space="0" w:color="auto"/>
            <w:right w:val="none" w:sz="0" w:space="0" w:color="auto"/>
          </w:divBdr>
        </w:div>
        <w:div w:id="1849756738">
          <w:marLeft w:val="640"/>
          <w:marRight w:val="0"/>
          <w:marTop w:val="0"/>
          <w:marBottom w:val="0"/>
          <w:divBdr>
            <w:top w:val="none" w:sz="0" w:space="0" w:color="auto"/>
            <w:left w:val="none" w:sz="0" w:space="0" w:color="auto"/>
            <w:bottom w:val="none" w:sz="0" w:space="0" w:color="auto"/>
            <w:right w:val="none" w:sz="0" w:space="0" w:color="auto"/>
          </w:divBdr>
        </w:div>
        <w:div w:id="1068068010">
          <w:marLeft w:val="640"/>
          <w:marRight w:val="0"/>
          <w:marTop w:val="0"/>
          <w:marBottom w:val="0"/>
          <w:divBdr>
            <w:top w:val="none" w:sz="0" w:space="0" w:color="auto"/>
            <w:left w:val="none" w:sz="0" w:space="0" w:color="auto"/>
            <w:bottom w:val="none" w:sz="0" w:space="0" w:color="auto"/>
            <w:right w:val="none" w:sz="0" w:space="0" w:color="auto"/>
          </w:divBdr>
        </w:div>
        <w:div w:id="131943392">
          <w:marLeft w:val="640"/>
          <w:marRight w:val="0"/>
          <w:marTop w:val="0"/>
          <w:marBottom w:val="0"/>
          <w:divBdr>
            <w:top w:val="none" w:sz="0" w:space="0" w:color="auto"/>
            <w:left w:val="none" w:sz="0" w:space="0" w:color="auto"/>
            <w:bottom w:val="none" w:sz="0" w:space="0" w:color="auto"/>
            <w:right w:val="none" w:sz="0" w:space="0" w:color="auto"/>
          </w:divBdr>
        </w:div>
        <w:div w:id="789128443">
          <w:marLeft w:val="640"/>
          <w:marRight w:val="0"/>
          <w:marTop w:val="0"/>
          <w:marBottom w:val="0"/>
          <w:divBdr>
            <w:top w:val="none" w:sz="0" w:space="0" w:color="auto"/>
            <w:left w:val="none" w:sz="0" w:space="0" w:color="auto"/>
            <w:bottom w:val="none" w:sz="0" w:space="0" w:color="auto"/>
            <w:right w:val="none" w:sz="0" w:space="0" w:color="auto"/>
          </w:divBdr>
        </w:div>
        <w:div w:id="1492216189">
          <w:marLeft w:val="640"/>
          <w:marRight w:val="0"/>
          <w:marTop w:val="0"/>
          <w:marBottom w:val="0"/>
          <w:divBdr>
            <w:top w:val="none" w:sz="0" w:space="0" w:color="auto"/>
            <w:left w:val="none" w:sz="0" w:space="0" w:color="auto"/>
            <w:bottom w:val="none" w:sz="0" w:space="0" w:color="auto"/>
            <w:right w:val="none" w:sz="0" w:space="0" w:color="auto"/>
          </w:divBdr>
        </w:div>
        <w:div w:id="315570938">
          <w:marLeft w:val="640"/>
          <w:marRight w:val="0"/>
          <w:marTop w:val="0"/>
          <w:marBottom w:val="0"/>
          <w:divBdr>
            <w:top w:val="none" w:sz="0" w:space="0" w:color="auto"/>
            <w:left w:val="none" w:sz="0" w:space="0" w:color="auto"/>
            <w:bottom w:val="none" w:sz="0" w:space="0" w:color="auto"/>
            <w:right w:val="none" w:sz="0" w:space="0" w:color="auto"/>
          </w:divBdr>
        </w:div>
        <w:div w:id="104277181">
          <w:marLeft w:val="640"/>
          <w:marRight w:val="0"/>
          <w:marTop w:val="0"/>
          <w:marBottom w:val="0"/>
          <w:divBdr>
            <w:top w:val="none" w:sz="0" w:space="0" w:color="auto"/>
            <w:left w:val="none" w:sz="0" w:space="0" w:color="auto"/>
            <w:bottom w:val="none" w:sz="0" w:space="0" w:color="auto"/>
            <w:right w:val="none" w:sz="0" w:space="0" w:color="auto"/>
          </w:divBdr>
        </w:div>
        <w:div w:id="1108769225">
          <w:marLeft w:val="640"/>
          <w:marRight w:val="0"/>
          <w:marTop w:val="0"/>
          <w:marBottom w:val="0"/>
          <w:divBdr>
            <w:top w:val="none" w:sz="0" w:space="0" w:color="auto"/>
            <w:left w:val="none" w:sz="0" w:space="0" w:color="auto"/>
            <w:bottom w:val="none" w:sz="0" w:space="0" w:color="auto"/>
            <w:right w:val="none" w:sz="0" w:space="0" w:color="auto"/>
          </w:divBdr>
        </w:div>
        <w:div w:id="2086876656">
          <w:marLeft w:val="640"/>
          <w:marRight w:val="0"/>
          <w:marTop w:val="0"/>
          <w:marBottom w:val="0"/>
          <w:divBdr>
            <w:top w:val="none" w:sz="0" w:space="0" w:color="auto"/>
            <w:left w:val="none" w:sz="0" w:space="0" w:color="auto"/>
            <w:bottom w:val="none" w:sz="0" w:space="0" w:color="auto"/>
            <w:right w:val="none" w:sz="0" w:space="0" w:color="auto"/>
          </w:divBdr>
        </w:div>
        <w:div w:id="268707129">
          <w:marLeft w:val="640"/>
          <w:marRight w:val="0"/>
          <w:marTop w:val="0"/>
          <w:marBottom w:val="0"/>
          <w:divBdr>
            <w:top w:val="none" w:sz="0" w:space="0" w:color="auto"/>
            <w:left w:val="none" w:sz="0" w:space="0" w:color="auto"/>
            <w:bottom w:val="none" w:sz="0" w:space="0" w:color="auto"/>
            <w:right w:val="none" w:sz="0" w:space="0" w:color="auto"/>
          </w:divBdr>
        </w:div>
        <w:div w:id="822893689">
          <w:marLeft w:val="640"/>
          <w:marRight w:val="0"/>
          <w:marTop w:val="0"/>
          <w:marBottom w:val="0"/>
          <w:divBdr>
            <w:top w:val="none" w:sz="0" w:space="0" w:color="auto"/>
            <w:left w:val="none" w:sz="0" w:space="0" w:color="auto"/>
            <w:bottom w:val="none" w:sz="0" w:space="0" w:color="auto"/>
            <w:right w:val="none" w:sz="0" w:space="0" w:color="auto"/>
          </w:divBdr>
        </w:div>
        <w:div w:id="192109026">
          <w:marLeft w:val="640"/>
          <w:marRight w:val="0"/>
          <w:marTop w:val="0"/>
          <w:marBottom w:val="0"/>
          <w:divBdr>
            <w:top w:val="none" w:sz="0" w:space="0" w:color="auto"/>
            <w:left w:val="none" w:sz="0" w:space="0" w:color="auto"/>
            <w:bottom w:val="none" w:sz="0" w:space="0" w:color="auto"/>
            <w:right w:val="none" w:sz="0" w:space="0" w:color="auto"/>
          </w:divBdr>
        </w:div>
        <w:div w:id="1322658216">
          <w:marLeft w:val="640"/>
          <w:marRight w:val="0"/>
          <w:marTop w:val="0"/>
          <w:marBottom w:val="0"/>
          <w:divBdr>
            <w:top w:val="none" w:sz="0" w:space="0" w:color="auto"/>
            <w:left w:val="none" w:sz="0" w:space="0" w:color="auto"/>
            <w:bottom w:val="none" w:sz="0" w:space="0" w:color="auto"/>
            <w:right w:val="none" w:sz="0" w:space="0" w:color="auto"/>
          </w:divBdr>
        </w:div>
        <w:div w:id="298801989">
          <w:marLeft w:val="640"/>
          <w:marRight w:val="0"/>
          <w:marTop w:val="0"/>
          <w:marBottom w:val="0"/>
          <w:divBdr>
            <w:top w:val="none" w:sz="0" w:space="0" w:color="auto"/>
            <w:left w:val="none" w:sz="0" w:space="0" w:color="auto"/>
            <w:bottom w:val="none" w:sz="0" w:space="0" w:color="auto"/>
            <w:right w:val="none" w:sz="0" w:space="0" w:color="auto"/>
          </w:divBdr>
        </w:div>
        <w:div w:id="1639845275">
          <w:marLeft w:val="640"/>
          <w:marRight w:val="0"/>
          <w:marTop w:val="0"/>
          <w:marBottom w:val="0"/>
          <w:divBdr>
            <w:top w:val="none" w:sz="0" w:space="0" w:color="auto"/>
            <w:left w:val="none" w:sz="0" w:space="0" w:color="auto"/>
            <w:bottom w:val="none" w:sz="0" w:space="0" w:color="auto"/>
            <w:right w:val="none" w:sz="0" w:space="0" w:color="auto"/>
          </w:divBdr>
        </w:div>
        <w:div w:id="1277173272">
          <w:marLeft w:val="640"/>
          <w:marRight w:val="0"/>
          <w:marTop w:val="0"/>
          <w:marBottom w:val="0"/>
          <w:divBdr>
            <w:top w:val="none" w:sz="0" w:space="0" w:color="auto"/>
            <w:left w:val="none" w:sz="0" w:space="0" w:color="auto"/>
            <w:bottom w:val="none" w:sz="0" w:space="0" w:color="auto"/>
            <w:right w:val="none" w:sz="0" w:space="0" w:color="auto"/>
          </w:divBdr>
        </w:div>
        <w:div w:id="1644385185">
          <w:marLeft w:val="640"/>
          <w:marRight w:val="0"/>
          <w:marTop w:val="0"/>
          <w:marBottom w:val="0"/>
          <w:divBdr>
            <w:top w:val="none" w:sz="0" w:space="0" w:color="auto"/>
            <w:left w:val="none" w:sz="0" w:space="0" w:color="auto"/>
            <w:bottom w:val="none" w:sz="0" w:space="0" w:color="auto"/>
            <w:right w:val="none" w:sz="0" w:space="0" w:color="auto"/>
          </w:divBdr>
        </w:div>
        <w:div w:id="1679692787">
          <w:marLeft w:val="640"/>
          <w:marRight w:val="0"/>
          <w:marTop w:val="0"/>
          <w:marBottom w:val="0"/>
          <w:divBdr>
            <w:top w:val="none" w:sz="0" w:space="0" w:color="auto"/>
            <w:left w:val="none" w:sz="0" w:space="0" w:color="auto"/>
            <w:bottom w:val="none" w:sz="0" w:space="0" w:color="auto"/>
            <w:right w:val="none" w:sz="0" w:space="0" w:color="auto"/>
          </w:divBdr>
        </w:div>
        <w:div w:id="1073047873">
          <w:marLeft w:val="640"/>
          <w:marRight w:val="0"/>
          <w:marTop w:val="0"/>
          <w:marBottom w:val="0"/>
          <w:divBdr>
            <w:top w:val="none" w:sz="0" w:space="0" w:color="auto"/>
            <w:left w:val="none" w:sz="0" w:space="0" w:color="auto"/>
            <w:bottom w:val="none" w:sz="0" w:space="0" w:color="auto"/>
            <w:right w:val="none" w:sz="0" w:space="0" w:color="auto"/>
          </w:divBdr>
        </w:div>
        <w:div w:id="1779056492">
          <w:marLeft w:val="640"/>
          <w:marRight w:val="0"/>
          <w:marTop w:val="0"/>
          <w:marBottom w:val="0"/>
          <w:divBdr>
            <w:top w:val="none" w:sz="0" w:space="0" w:color="auto"/>
            <w:left w:val="none" w:sz="0" w:space="0" w:color="auto"/>
            <w:bottom w:val="none" w:sz="0" w:space="0" w:color="auto"/>
            <w:right w:val="none" w:sz="0" w:space="0" w:color="auto"/>
          </w:divBdr>
        </w:div>
        <w:div w:id="2106683445">
          <w:marLeft w:val="640"/>
          <w:marRight w:val="0"/>
          <w:marTop w:val="0"/>
          <w:marBottom w:val="0"/>
          <w:divBdr>
            <w:top w:val="none" w:sz="0" w:space="0" w:color="auto"/>
            <w:left w:val="none" w:sz="0" w:space="0" w:color="auto"/>
            <w:bottom w:val="none" w:sz="0" w:space="0" w:color="auto"/>
            <w:right w:val="none" w:sz="0" w:space="0" w:color="auto"/>
          </w:divBdr>
        </w:div>
        <w:div w:id="1838616170">
          <w:marLeft w:val="640"/>
          <w:marRight w:val="0"/>
          <w:marTop w:val="0"/>
          <w:marBottom w:val="0"/>
          <w:divBdr>
            <w:top w:val="none" w:sz="0" w:space="0" w:color="auto"/>
            <w:left w:val="none" w:sz="0" w:space="0" w:color="auto"/>
            <w:bottom w:val="none" w:sz="0" w:space="0" w:color="auto"/>
            <w:right w:val="none" w:sz="0" w:space="0" w:color="auto"/>
          </w:divBdr>
        </w:div>
        <w:div w:id="1412586548">
          <w:marLeft w:val="640"/>
          <w:marRight w:val="0"/>
          <w:marTop w:val="0"/>
          <w:marBottom w:val="0"/>
          <w:divBdr>
            <w:top w:val="none" w:sz="0" w:space="0" w:color="auto"/>
            <w:left w:val="none" w:sz="0" w:space="0" w:color="auto"/>
            <w:bottom w:val="none" w:sz="0" w:space="0" w:color="auto"/>
            <w:right w:val="none" w:sz="0" w:space="0" w:color="auto"/>
          </w:divBdr>
        </w:div>
        <w:div w:id="1516462617">
          <w:marLeft w:val="640"/>
          <w:marRight w:val="0"/>
          <w:marTop w:val="0"/>
          <w:marBottom w:val="0"/>
          <w:divBdr>
            <w:top w:val="none" w:sz="0" w:space="0" w:color="auto"/>
            <w:left w:val="none" w:sz="0" w:space="0" w:color="auto"/>
            <w:bottom w:val="none" w:sz="0" w:space="0" w:color="auto"/>
            <w:right w:val="none" w:sz="0" w:space="0" w:color="auto"/>
          </w:divBdr>
        </w:div>
        <w:div w:id="1606380861">
          <w:marLeft w:val="640"/>
          <w:marRight w:val="0"/>
          <w:marTop w:val="0"/>
          <w:marBottom w:val="0"/>
          <w:divBdr>
            <w:top w:val="none" w:sz="0" w:space="0" w:color="auto"/>
            <w:left w:val="none" w:sz="0" w:space="0" w:color="auto"/>
            <w:bottom w:val="none" w:sz="0" w:space="0" w:color="auto"/>
            <w:right w:val="none" w:sz="0" w:space="0" w:color="auto"/>
          </w:divBdr>
        </w:div>
        <w:div w:id="601766246">
          <w:marLeft w:val="640"/>
          <w:marRight w:val="0"/>
          <w:marTop w:val="0"/>
          <w:marBottom w:val="0"/>
          <w:divBdr>
            <w:top w:val="none" w:sz="0" w:space="0" w:color="auto"/>
            <w:left w:val="none" w:sz="0" w:space="0" w:color="auto"/>
            <w:bottom w:val="none" w:sz="0" w:space="0" w:color="auto"/>
            <w:right w:val="none" w:sz="0" w:space="0" w:color="auto"/>
          </w:divBdr>
        </w:div>
        <w:div w:id="1576279974">
          <w:marLeft w:val="640"/>
          <w:marRight w:val="0"/>
          <w:marTop w:val="0"/>
          <w:marBottom w:val="0"/>
          <w:divBdr>
            <w:top w:val="none" w:sz="0" w:space="0" w:color="auto"/>
            <w:left w:val="none" w:sz="0" w:space="0" w:color="auto"/>
            <w:bottom w:val="none" w:sz="0" w:space="0" w:color="auto"/>
            <w:right w:val="none" w:sz="0" w:space="0" w:color="auto"/>
          </w:divBdr>
        </w:div>
        <w:div w:id="715354708">
          <w:marLeft w:val="640"/>
          <w:marRight w:val="0"/>
          <w:marTop w:val="0"/>
          <w:marBottom w:val="0"/>
          <w:divBdr>
            <w:top w:val="none" w:sz="0" w:space="0" w:color="auto"/>
            <w:left w:val="none" w:sz="0" w:space="0" w:color="auto"/>
            <w:bottom w:val="none" w:sz="0" w:space="0" w:color="auto"/>
            <w:right w:val="none" w:sz="0" w:space="0" w:color="auto"/>
          </w:divBdr>
        </w:div>
        <w:div w:id="998580218">
          <w:marLeft w:val="640"/>
          <w:marRight w:val="0"/>
          <w:marTop w:val="0"/>
          <w:marBottom w:val="0"/>
          <w:divBdr>
            <w:top w:val="none" w:sz="0" w:space="0" w:color="auto"/>
            <w:left w:val="none" w:sz="0" w:space="0" w:color="auto"/>
            <w:bottom w:val="none" w:sz="0" w:space="0" w:color="auto"/>
            <w:right w:val="none" w:sz="0" w:space="0" w:color="auto"/>
          </w:divBdr>
        </w:div>
        <w:div w:id="1521428561">
          <w:marLeft w:val="640"/>
          <w:marRight w:val="0"/>
          <w:marTop w:val="0"/>
          <w:marBottom w:val="0"/>
          <w:divBdr>
            <w:top w:val="none" w:sz="0" w:space="0" w:color="auto"/>
            <w:left w:val="none" w:sz="0" w:space="0" w:color="auto"/>
            <w:bottom w:val="none" w:sz="0" w:space="0" w:color="auto"/>
            <w:right w:val="none" w:sz="0" w:space="0" w:color="auto"/>
          </w:divBdr>
        </w:div>
        <w:div w:id="1963917745">
          <w:marLeft w:val="640"/>
          <w:marRight w:val="0"/>
          <w:marTop w:val="0"/>
          <w:marBottom w:val="0"/>
          <w:divBdr>
            <w:top w:val="none" w:sz="0" w:space="0" w:color="auto"/>
            <w:left w:val="none" w:sz="0" w:space="0" w:color="auto"/>
            <w:bottom w:val="none" w:sz="0" w:space="0" w:color="auto"/>
            <w:right w:val="none" w:sz="0" w:space="0" w:color="auto"/>
          </w:divBdr>
        </w:div>
        <w:div w:id="475798278">
          <w:marLeft w:val="640"/>
          <w:marRight w:val="0"/>
          <w:marTop w:val="0"/>
          <w:marBottom w:val="0"/>
          <w:divBdr>
            <w:top w:val="none" w:sz="0" w:space="0" w:color="auto"/>
            <w:left w:val="none" w:sz="0" w:space="0" w:color="auto"/>
            <w:bottom w:val="none" w:sz="0" w:space="0" w:color="auto"/>
            <w:right w:val="none" w:sz="0" w:space="0" w:color="auto"/>
          </w:divBdr>
        </w:div>
        <w:div w:id="1273632641">
          <w:marLeft w:val="640"/>
          <w:marRight w:val="0"/>
          <w:marTop w:val="0"/>
          <w:marBottom w:val="0"/>
          <w:divBdr>
            <w:top w:val="none" w:sz="0" w:space="0" w:color="auto"/>
            <w:left w:val="none" w:sz="0" w:space="0" w:color="auto"/>
            <w:bottom w:val="none" w:sz="0" w:space="0" w:color="auto"/>
            <w:right w:val="none" w:sz="0" w:space="0" w:color="auto"/>
          </w:divBdr>
        </w:div>
        <w:div w:id="1333484829">
          <w:marLeft w:val="640"/>
          <w:marRight w:val="0"/>
          <w:marTop w:val="0"/>
          <w:marBottom w:val="0"/>
          <w:divBdr>
            <w:top w:val="none" w:sz="0" w:space="0" w:color="auto"/>
            <w:left w:val="none" w:sz="0" w:space="0" w:color="auto"/>
            <w:bottom w:val="none" w:sz="0" w:space="0" w:color="auto"/>
            <w:right w:val="none" w:sz="0" w:space="0" w:color="auto"/>
          </w:divBdr>
        </w:div>
        <w:div w:id="1253591843">
          <w:marLeft w:val="640"/>
          <w:marRight w:val="0"/>
          <w:marTop w:val="0"/>
          <w:marBottom w:val="0"/>
          <w:divBdr>
            <w:top w:val="none" w:sz="0" w:space="0" w:color="auto"/>
            <w:left w:val="none" w:sz="0" w:space="0" w:color="auto"/>
            <w:bottom w:val="none" w:sz="0" w:space="0" w:color="auto"/>
            <w:right w:val="none" w:sz="0" w:space="0" w:color="auto"/>
          </w:divBdr>
        </w:div>
        <w:div w:id="752504850">
          <w:marLeft w:val="640"/>
          <w:marRight w:val="0"/>
          <w:marTop w:val="0"/>
          <w:marBottom w:val="0"/>
          <w:divBdr>
            <w:top w:val="none" w:sz="0" w:space="0" w:color="auto"/>
            <w:left w:val="none" w:sz="0" w:space="0" w:color="auto"/>
            <w:bottom w:val="none" w:sz="0" w:space="0" w:color="auto"/>
            <w:right w:val="none" w:sz="0" w:space="0" w:color="auto"/>
          </w:divBdr>
        </w:div>
        <w:div w:id="64842944">
          <w:marLeft w:val="640"/>
          <w:marRight w:val="0"/>
          <w:marTop w:val="0"/>
          <w:marBottom w:val="0"/>
          <w:divBdr>
            <w:top w:val="none" w:sz="0" w:space="0" w:color="auto"/>
            <w:left w:val="none" w:sz="0" w:space="0" w:color="auto"/>
            <w:bottom w:val="none" w:sz="0" w:space="0" w:color="auto"/>
            <w:right w:val="none" w:sz="0" w:space="0" w:color="auto"/>
          </w:divBdr>
        </w:div>
        <w:div w:id="1163740630">
          <w:marLeft w:val="640"/>
          <w:marRight w:val="0"/>
          <w:marTop w:val="0"/>
          <w:marBottom w:val="0"/>
          <w:divBdr>
            <w:top w:val="none" w:sz="0" w:space="0" w:color="auto"/>
            <w:left w:val="none" w:sz="0" w:space="0" w:color="auto"/>
            <w:bottom w:val="none" w:sz="0" w:space="0" w:color="auto"/>
            <w:right w:val="none" w:sz="0" w:space="0" w:color="auto"/>
          </w:divBdr>
        </w:div>
        <w:div w:id="76026351">
          <w:marLeft w:val="640"/>
          <w:marRight w:val="0"/>
          <w:marTop w:val="0"/>
          <w:marBottom w:val="0"/>
          <w:divBdr>
            <w:top w:val="none" w:sz="0" w:space="0" w:color="auto"/>
            <w:left w:val="none" w:sz="0" w:space="0" w:color="auto"/>
            <w:bottom w:val="none" w:sz="0" w:space="0" w:color="auto"/>
            <w:right w:val="none" w:sz="0" w:space="0" w:color="auto"/>
          </w:divBdr>
        </w:div>
        <w:div w:id="666399589">
          <w:marLeft w:val="640"/>
          <w:marRight w:val="0"/>
          <w:marTop w:val="0"/>
          <w:marBottom w:val="0"/>
          <w:divBdr>
            <w:top w:val="none" w:sz="0" w:space="0" w:color="auto"/>
            <w:left w:val="none" w:sz="0" w:space="0" w:color="auto"/>
            <w:bottom w:val="none" w:sz="0" w:space="0" w:color="auto"/>
            <w:right w:val="none" w:sz="0" w:space="0" w:color="auto"/>
          </w:divBdr>
        </w:div>
        <w:div w:id="1616057204">
          <w:marLeft w:val="640"/>
          <w:marRight w:val="0"/>
          <w:marTop w:val="0"/>
          <w:marBottom w:val="0"/>
          <w:divBdr>
            <w:top w:val="none" w:sz="0" w:space="0" w:color="auto"/>
            <w:left w:val="none" w:sz="0" w:space="0" w:color="auto"/>
            <w:bottom w:val="none" w:sz="0" w:space="0" w:color="auto"/>
            <w:right w:val="none" w:sz="0" w:space="0" w:color="auto"/>
          </w:divBdr>
        </w:div>
        <w:div w:id="199630048">
          <w:marLeft w:val="640"/>
          <w:marRight w:val="0"/>
          <w:marTop w:val="0"/>
          <w:marBottom w:val="0"/>
          <w:divBdr>
            <w:top w:val="none" w:sz="0" w:space="0" w:color="auto"/>
            <w:left w:val="none" w:sz="0" w:space="0" w:color="auto"/>
            <w:bottom w:val="none" w:sz="0" w:space="0" w:color="auto"/>
            <w:right w:val="none" w:sz="0" w:space="0" w:color="auto"/>
          </w:divBdr>
        </w:div>
        <w:div w:id="1039090601">
          <w:marLeft w:val="640"/>
          <w:marRight w:val="0"/>
          <w:marTop w:val="0"/>
          <w:marBottom w:val="0"/>
          <w:divBdr>
            <w:top w:val="none" w:sz="0" w:space="0" w:color="auto"/>
            <w:left w:val="none" w:sz="0" w:space="0" w:color="auto"/>
            <w:bottom w:val="none" w:sz="0" w:space="0" w:color="auto"/>
            <w:right w:val="none" w:sz="0" w:space="0" w:color="auto"/>
          </w:divBdr>
        </w:div>
        <w:div w:id="832526695">
          <w:marLeft w:val="640"/>
          <w:marRight w:val="0"/>
          <w:marTop w:val="0"/>
          <w:marBottom w:val="0"/>
          <w:divBdr>
            <w:top w:val="none" w:sz="0" w:space="0" w:color="auto"/>
            <w:left w:val="none" w:sz="0" w:space="0" w:color="auto"/>
            <w:bottom w:val="none" w:sz="0" w:space="0" w:color="auto"/>
            <w:right w:val="none" w:sz="0" w:space="0" w:color="auto"/>
          </w:divBdr>
        </w:div>
        <w:div w:id="1908569510">
          <w:marLeft w:val="640"/>
          <w:marRight w:val="0"/>
          <w:marTop w:val="0"/>
          <w:marBottom w:val="0"/>
          <w:divBdr>
            <w:top w:val="none" w:sz="0" w:space="0" w:color="auto"/>
            <w:left w:val="none" w:sz="0" w:space="0" w:color="auto"/>
            <w:bottom w:val="none" w:sz="0" w:space="0" w:color="auto"/>
            <w:right w:val="none" w:sz="0" w:space="0" w:color="auto"/>
          </w:divBdr>
        </w:div>
        <w:div w:id="66077268">
          <w:marLeft w:val="640"/>
          <w:marRight w:val="0"/>
          <w:marTop w:val="0"/>
          <w:marBottom w:val="0"/>
          <w:divBdr>
            <w:top w:val="none" w:sz="0" w:space="0" w:color="auto"/>
            <w:left w:val="none" w:sz="0" w:space="0" w:color="auto"/>
            <w:bottom w:val="none" w:sz="0" w:space="0" w:color="auto"/>
            <w:right w:val="none" w:sz="0" w:space="0" w:color="auto"/>
          </w:divBdr>
        </w:div>
        <w:div w:id="309750358">
          <w:marLeft w:val="640"/>
          <w:marRight w:val="0"/>
          <w:marTop w:val="0"/>
          <w:marBottom w:val="0"/>
          <w:divBdr>
            <w:top w:val="none" w:sz="0" w:space="0" w:color="auto"/>
            <w:left w:val="none" w:sz="0" w:space="0" w:color="auto"/>
            <w:bottom w:val="none" w:sz="0" w:space="0" w:color="auto"/>
            <w:right w:val="none" w:sz="0" w:space="0" w:color="auto"/>
          </w:divBdr>
        </w:div>
        <w:div w:id="458962245">
          <w:marLeft w:val="640"/>
          <w:marRight w:val="0"/>
          <w:marTop w:val="0"/>
          <w:marBottom w:val="0"/>
          <w:divBdr>
            <w:top w:val="none" w:sz="0" w:space="0" w:color="auto"/>
            <w:left w:val="none" w:sz="0" w:space="0" w:color="auto"/>
            <w:bottom w:val="none" w:sz="0" w:space="0" w:color="auto"/>
            <w:right w:val="none" w:sz="0" w:space="0" w:color="auto"/>
          </w:divBdr>
        </w:div>
        <w:div w:id="13190661">
          <w:marLeft w:val="640"/>
          <w:marRight w:val="0"/>
          <w:marTop w:val="0"/>
          <w:marBottom w:val="0"/>
          <w:divBdr>
            <w:top w:val="none" w:sz="0" w:space="0" w:color="auto"/>
            <w:left w:val="none" w:sz="0" w:space="0" w:color="auto"/>
            <w:bottom w:val="none" w:sz="0" w:space="0" w:color="auto"/>
            <w:right w:val="none" w:sz="0" w:space="0" w:color="auto"/>
          </w:divBdr>
        </w:div>
        <w:div w:id="1418357456">
          <w:marLeft w:val="640"/>
          <w:marRight w:val="0"/>
          <w:marTop w:val="0"/>
          <w:marBottom w:val="0"/>
          <w:divBdr>
            <w:top w:val="none" w:sz="0" w:space="0" w:color="auto"/>
            <w:left w:val="none" w:sz="0" w:space="0" w:color="auto"/>
            <w:bottom w:val="none" w:sz="0" w:space="0" w:color="auto"/>
            <w:right w:val="none" w:sz="0" w:space="0" w:color="auto"/>
          </w:divBdr>
        </w:div>
        <w:div w:id="72972780">
          <w:marLeft w:val="640"/>
          <w:marRight w:val="0"/>
          <w:marTop w:val="0"/>
          <w:marBottom w:val="0"/>
          <w:divBdr>
            <w:top w:val="none" w:sz="0" w:space="0" w:color="auto"/>
            <w:left w:val="none" w:sz="0" w:space="0" w:color="auto"/>
            <w:bottom w:val="none" w:sz="0" w:space="0" w:color="auto"/>
            <w:right w:val="none" w:sz="0" w:space="0" w:color="auto"/>
          </w:divBdr>
        </w:div>
        <w:div w:id="516039911">
          <w:marLeft w:val="640"/>
          <w:marRight w:val="0"/>
          <w:marTop w:val="0"/>
          <w:marBottom w:val="0"/>
          <w:divBdr>
            <w:top w:val="none" w:sz="0" w:space="0" w:color="auto"/>
            <w:left w:val="none" w:sz="0" w:space="0" w:color="auto"/>
            <w:bottom w:val="none" w:sz="0" w:space="0" w:color="auto"/>
            <w:right w:val="none" w:sz="0" w:space="0" w:color="auto"/>
          </w:divBdr>
        </w:div>
        <w:div w:id="1428379370">
          <w:marLeft w:val="640"/>
          <w:marRight w:val="0"/>
          <w:marTop w:val="0"/>
          <w:marBottom w:val="0"/>
          <w:divBdr>
            <w:top w:val="none" w:sz="0" w:space="0" w:color="auto"/>
            <w:left w:val="none" w:sz="0" w:space="0" w:color="auto"/>
            <w:bottom w:val="none" w:sz="0" w:space="0" w:color="auto"/>
            <w:right w:val="none" w:sz="0" w:space="0" w:color="auto"/>
          </w:divBdr>
        </w:div>
        <w:div w:id="2089573872">
          <w:marLeft w:val="640"/>
          <w:marRight w:val="0"/>
          <w:marTop w:val="0"/>
          <w:marBottom w:val="0"/>
          <w:divBdr>
            <w:top w:val="none" w:sz="0" w:space="0" w:color="auto"/>
            <w:left w:val="none" w:sz="0" w:space="0" w:color="auto"/>
            <w:bottom w:val="none" w:sz="0" w:space="0" w:color="auto"/>
            <w:right w:val="none" w:sz="0" w:space="0" w:color="auto"/>
          </w:divBdr>
        </w:div>
        <w:div w:id="1757705976">
          <w:marLeft w:val="640"/>
          <w:marRight w:val="0"/>
          <w:marTop w:val="0"/>
          <w:marBottom w:val="0"/>
          <w:divBdr>
            <w:top w:val="none" w:sz="0" w:space="0" w:color="auto"/>
            <w:left w:val="none" w:sz="0" w:space="0" w:color="auto"/>
            <w:bottom w:val="none" w:sz="0" w:space="0" w:color="auto"/>
            <w:right w:val="none" w:sz="0" w:space="0" w:color="auto"/>
          </w:divBdr>
        </w:div>
        <w:div w:id="16322541">
          <w:marLeft w:val="640"/>
          <w:marRight w:val="0"/>
          <w:marTop w:val="0"/>
          <w:marBottom w:val="0"/>
          <w:divBdr>
            <w:top w:val="none" w:sz="0" w:space="0" w:color="auto"/>
            <w:left w:val="none" w:sz="0" w:space="0" w:color="auto"/>
            <w:bottom w:val="none" w:sz="0" w:space="0" w:color="auto"/>
            <w:right w:val="none" w:sz="0" w:space="0" w:color="auto"/>
          </w:divBdr>
        </w:div>
        <w:div w:id="300119892">
          <w:marLeft w:val="640"/>
          <w:marRight w:val="0"/>
          <w:marTop w:val="0"/>
          <w:marBottom w:val="0"/>
          <w:divBdr>
            <w:top w:val="none" w:sz="0" w:space="0" w:color="auto"/>
            <w:left w:val="none" w:sz="0" w:space="0" w:color="auto"/>
            <w:bottom w:val="none" w:sz="0" w:space="0" w:color="auto"/>
            <w:right w:val="none" w:sz="0" w:space="0" w:color="auto"/>
          </w:divBdr>
        </w:div>
        <w:div w:id="1589998269">
          <w:marLeft w:val="640"/>
          <w:marRight w:val="0"/>
          <w:marTop w:val="0"/>
          <w:marBottom w:val="0"/>
          <w:divBdr>
            <w:top w:val="none" w:sz="0" w:space="0" w:color="auto"/>
            <w:left w:val="none" w:sz="0" w:space="0" w:color="auto"/>
            <w:bottom w:val="none" w:sz="0" w:space="0" w:color="auto"/>
            <w:right w:val="none" w:sz="0" w:space="0" w:color="auto"/>
          </w:divBdr>
        </w:div>
        <w:div w:id="615647212">
          <w:marLeft w:val="640"/>
          <w:marRight w:val="0"/>
          <w:marTop w:val="0"/>
          <w:marBottom w:val="0"/>
          <w:divBdr>
            <w:top w:val="none" w:sz="0" w:space="0" w:color="auto"/>
            <w:left w:val="none" w:sz="0" w:space="0" w:color="auto"/>
            <w:bottom w:val="none" w:sz="0" w:space="0" w:color="auto"/>
            <w:right w:val="none" w:sz="0" w:space="0" w:color="auto"/>
          </w:divBdr>
        </w:div>
        <w:div w:id="1545101240">
          <w:marLeft w:val="640"/>
          <w:marRight w:val="0"/>
          <w:marTop w:val="0"/>
          <w:marBottom w:val="0"/>
          <w:divBdr>
            <w:top w:val="none" w:sz="0" w:space="0" w:color="auto"/>
            <w:left w:val="none" w:sz="0" w:space="0" w:color="auto"/>
            <w:bottom w:val="none" w:sz="0" w:space="0" w:color="auto"/>
            <w:right w:val="none" w:sz="0" w:space="0" w:color="auto"/>
          </w:divBdr>
        </w:div>
        <w:div w:id="725959634">
          <w:marLeft w:val="640"/>
          <w:marRight w:val="0"/>
          <w:marTop w:val="0"/>
          <w:marBottom w:val="0"/>
          <w:divBdr>
            <w:top w:val="none" w:sz="0" w:space="0" w:color="auto"/>
            <w:left w:val="none" w:sz="0" w:space="0" w:color="auto"/>
            <w:bottom w:val="none" w:sz="0" w:space="0" w:color="auto"/>
            <w:right w:val="none" w:sz="0" w:space="0" w:color="auto"/>
          </w:divBdr>
        </w:div>
        <w:div w:id="121965471">
          <w:marLeft w:val="640"/>
          <w:marRight w:val="0"/>
          <w:marTop w:val="0"/>
          <w:marBottom w:val="0"/>
          <w:divBdr>
            <w:top w:val="none" w:sz="0" w:space="0" w:color="auto"/>
            <w:left w:val="none" w:sz="0" w:space="0" w:color="auto"/>
            <w:bottom w:val="none" w:sz="0" w:space="0" w:color="auto"/>
            <w:right w:val="none" w:sz="0" w:space="0" w:color="auto"/>
          </w:divBdr>
        </w:div>
        <w:div w:id="1800109270">
          <w:marLeft w:val="640"/>
          <w:marRight w:val="0"/>
          <w:marTop w:val="0"/>
          <w:marBottom w:val="0"/>
          <w:divBdr>
            <w:top w:val="none" w:sz="0" w:space="0" w:color="auto"/>
            <w:left w:val="none" w:sz="0" w:space="0" w:color="auto"/>
            <w:bottom w:val="none" w:sz="0" w:space="0" w:color="auto"/>
            <w:right w:val="none" w:sz="0" w:space="0" w:color="auto"/>
          </w:divBdr>
        </w:div>
        <w:div w:id="626161877">
          <w:marLeft w:val="640"/>
          <w:marRight w:val="0"/>
          <w:marTop w:val="0"/>
          <w:marBottom w:val="0"/>
          <w:divBdr>
            <w:top w:val="none" w:sz="0" w:space="0" w:color="auto"/>
            <w:left w:val="none" w:sz="0" w:space="0" w:color="auto"/>
            <w:bottom w:val="none" w:sz="0" w:space="0" w:color="auto"/>
            <w:right w:val="none" w:sz="0" w:space="0" w:color="auto"/>
          </w:divBdr>
        </w:div>
        <w:div w:id="429619140">
          <w:marLeft w:val="640"/>
          <w:marRight w:val="0"/>
          <w:marTop w:val="0"/>
          <w:marBottom w:val="0"/>
          <w:divBdr>
            <w:top w:val="none" w:sz="0" w:space="0" w:color="auto"/>
            <w:left w:val="none" w:sz="0" w:space="0" w:color="auto"/>
            <w:bottom w:val="none" w:sz="0" w:space="0" w:color="auto"/>
            <w:right w:val="none" w:sz="0" w:space="0" w:color="auto"/>
          </w:divBdr>
        </w:div>
        <w:div w:id="934051694">
          <w:marLeft w:val="640"/>
          <w:marRight w:val="0"/>
          <w:marTop w:val="0"/>
          <w:marBottom w:val="0"/>
          <w:divBdr>
            <w:top w:val="none" w:sz="0" w:space="0" w:color="auto"/>
            <w:left w:val="none" w:sz="0" w:space="0" w:color="auto"/>
            <w:bottom w:val="none" w:sz="0" w:space="0" w:color="auto"/>
            <w:right w:val="none" w:sz="0" w:space="0" w:color="auto"/>
          </w:divBdr>
        </w:div>
        <w:div w:id="1451046905">
          <w:marLeft w:val="640"/>
          <w:marRight w:val="0"/>
          <w:marTop w:val="0"/>
          <w:marBottom w:val="0"/>
          <w:divBdr>
            <w:top w:val="none" w:sz="0" w:space="0" w:color="auto"/>
            <w:left w:val="none" w:sz="0" w:space="0" w:color="auto"/>
            <w:bottom w:val="none" w:sz="0" w:space="0" w:color="auto"/>
            <w:right w:val="none" w:sz="0" w:space="0" w:color="auto"/>
          </w:divBdr>
        </w:div>
        <w:div w:id="1933200908">
          <w:marLeft w:val="640"/>
          <w:marRight w:val="0"/>
          <w:marTop w:val="0"/>
          <w:marBottom w:val="0"/>
          <w:divBdr>
            <w:top w:val="none" w:sz="0" w:space="0" w:color="auto"/>
            <w:left w:val="none" w:sz="0" w:space="0" w:color="auto"/>
            <w:bottom w:val="none" w:sz="0" w:space="0" w:color="auto"/>
            <w:right w:val="none" w:sz="0" w:space="0" w:color="auto"/>
          </w:divBdr>
        </w:div>
        <w:div w:id="217520325">
          <w:marLeft w:val="640"/>
          <w:marRight w:val="0"/>
          <w:marTop w:val="0"/>
          <w:marBottom w:val="0"/>
          <w:divBdr>
            <w:top w:val="none" w:sz="0" w:space="0" w:color="auto"/>
            <w:left w:val="none" w:sz="0" w:space="0" w:color="auto"/>
            <w:bottom w:val="none" w:sz="0" w:space="0" w:color="auto"/>
            <w:right w:val="none" w:sz="0" w:space="0" w:color="auto"/>
          </w:divBdr>
        </w:div>
        <w:div w:id="2125035497">
          <w:marLeft w:val="640"/>
          <w:marRight w:val="0"/>
          <w:marTop w:val="0"/>
          <w:marBottom w:val="0"/>
          <w:divBdr>
            <w:top w:val="none" w:sz="0" w:space="0" w:color="auto"/>
            <w:left w:val="none" w:sz="0" w:space="0" w:color="auto"/>
            <w:bottom w:val="none" w:sz="0" w:space="0" w:color="auto"/>
            <w:right w:val="none" w:sz="0" w:space="0" w:color="auto"/>
          </w:divBdr>
        </w:div>
        <w:div w:id="1184709626">
          <w:marLeft w:val="640"/>
          <w:marRight w:val="0"/>
          <w:marTop w:val="0"/>
          <w:marBottom w:val="0"/>
          <w:divBdr>
            <w:top w:val="none" w:sz="0" w:space="0" w:color="auto"/>
            <w:left w:val="none" w:sz="0" w:space="0" w:color="auto"/>
            <w:bottom w:val="none" w:sz="0" w:space="0" w:color="auto"/>
            <w:right w:val="none" w:sz="0" w:space="0" w:color="auto"/>
          </w:divBdr>
        </w:div>
        <w:div w:id="567694187">
          <w:marLeft w:val="640"/>
          <w:marRight w:val="0"/>
          <w:marTop w:val="0"/>
          <w:marBottom w:val="0"/>
          <w:divBdr>
            <w:top w:val="none" w:sz="0" w:space="0" w:color="auto"/>
            <w:left w:val="none" w:sz="0" w:space="0" w:color="auto"/>
            <w:bottom w:val="none" w:sz="0" w:space="0" w:color="auto"/>
            <w:right w:val="none" w:sz="0" w:space="0" w:color="auto"/>
          </w:divBdr>
        </w:div>
        <w:div w:id="28069927">
          <w:marLeft w:val="640"/>
          <w:marRight w:val="0"/>
          <w:marTop w:val="0"/>
          <w:marBottom w:val="0"/>
          <w:divBdr>
            <w:top w:val="none" w:sz="0" w:space="0" w:color="auto"/>
            <w:left w:val="none" w:sz="0" w:space="0" w:color="auto"/>
            <w:bottom w:val="none" w:sz="0" w:space="0" w:color="auto"/>
            <w:right w:val="none" w:sz="0" w:space="0" w:color="auto"/>
          </w:divBdr>
        </w:div>
        <w:div w:id="983588021">
          <w:marLeft w:val="640"/>
          <w:marRight w:val="0"/>
          <w:marTop w:val="0"/>
          <w:marBottom w:val="0"/>
          <w:divBdr>
            <w:top w:val="none" w:sz="0" w:space="0" w:color="auto"/>
            <w:left w:val="none" w:sz="0" w:space="0" w:color="auto"/>
            <w:bottom w:val="none" w:sz="0" w:space="0" w:color="auto"/>
            <w:right w:val="none" w:sz="0" w:space="0" w:color="auto"/>
          </w:divBdr>
        </w:div>
        <w:div w:id="496307426">
          <w:marLeft w:val="640"/>
          <w:marRight w:val="0"/>
          <w:marTop w:val="0"/>
          <w:marBottom w:val="0"/>
          <w:divBdr>
            <w:top w:val="none" w:sz="0" w:space="0" w:color="auto"/>
            <w:left w:val="none" w:sz="0" w:space="0" w:color="auto"/>
            <w:bottom w:val="none" w:sz="0" w:space="0" w:color="auto"/>
            <w:right w:val="none" w:sz="0" w:space="0" w:color="auto"/>
          </w:divBdr>
        </w:div>
        <w:div w:id="2042440761">
          <w:marLeft w:val="640"/>
          <w:marRight w:val="0"/>
          <w:marTop w:val="0"/>
          <w:marBottom w:val="0"/>
          <w:divBdr>
            <w:top w:val="none" w:sz="0" w:space="0" w:color="auto"/>
            <w:left w:val="none" w:sz="0" w:space="0" w:color="auto"/>
            <w:bottom w:val="none" w:sz="0" w:space="0" w:color="auto"/>
            <w:right w:val="none" w:sz="0" w:space="0" w:color="auto"/>
          </w:divBdr>
        </w:div>
        <w:div w:id="1862434427">
          <w:marLeft w:val="640"/>
          <w:marRight w:val="0"/>
          <w:marTop w:val="0"/>
          <w:marBottom w:val="0"/>
          <w:divBdr>
            <w:top w:val="none" w:sz="0" w:space="0" w:color="auto"/>
            <w:left w:val="none" w:sz="0" w:space="0" w:color="auto"/>
            <w:bottom w:val="none" w:sz="0" w:space="0" w:color="auto"/>
            <w:right w:val="none" w:sz="0" w:space="0" w:color="auto"/>
          </w:divBdr>
        </w:div>
        <w:div w:id="533538421">
          <w:marLeft w:val="640"/>
          <w:marRight w:val="0"/>
          <w:marTop w:val="0"/>
          <w:marBottom w:val="0"/>
          <w:divBdr>
            <w:top w:val="none" w:sz="0" w:space="0" w:color="auto"/>
            <w:left w:val="none" w:sz="0" w:space="0" w:color="auto"/>
            <w:bottom w:val="none" w:sz="0" w:space="0" w:color="auto"/>
            <w:right w:val="none" w:sz="0" w:space="0" w:color="auto"/>
          </w:divBdr>
        </w:div>
        <w:div w:id="338387200">
          <w:marLeft w:val="640"/>
          <w:marRight w:val="0"/>
          <w:marTop w:val="0"/>
          <w:marBottom w:val="0"/>
          <w:divBdr>
            <w:top w:val="none" w:sz="0" w:space="0" w:color="auto"/>
            <w:left w:val="none" w:sz="0" w:space="0" w:color="auto"/>
            <w:bottom w:val="none" w:sz="0" w:space="0" w:color="auto"/>
            <w:right w:val="none" w:sz="0" w:space="0" w:color="auto"/>
          </w:divBdr>
        </w:div>
        <w:div w:id="556204044">
          <w:marLeft w:val="640"/>
          <w:marRight w:val="0"/>
          <w:marTop w:val="0"/>
          <w:marBottom w:val="0"/>
          <w:divBdr>
            <w:top w:val="none" w:sz="0" w:space="0" w:color="auto"/>
            <w:left w:val="none" w:sz="0" w:space="0" w:color="auto"/>
            <w:bottom w:val="none" w:sz="0" w:space="0" w:color="auto"/>
            <w:right w:val="none" w:sz="0" w:space="0" w:color="auto"/>
          </w:divBdr>
        </w:div>
        <w:div w:id="773669948">
          <w:marLeft w:val="640"/>
          <w:marRight w:val="0"/>
          <w:marTop w:val="0"/>
          <w:marBottom w:val="0"/>
          <w:divBdr>
            <w:top w:val="none" w:sz="0" w:space="0" w:color="auto"/>
            <w:left w:val="none" w:sz="0" w:space="0" w:color="auto"/>
            <w:bottom w:val="none" w:sz="0" w:space="0" w:color="auto"/>
            <w:right w:val="none" w:sz="0" w:space="0" w:color="auto"/>
          </w:divBdr>
        </w:div>
        <w:div w:id="919369442">
          <w:marLeft w:val="640"/>
          <w:marRight w:val="0"/>
          <w:marTop w:val="0"/>
          <w:marBottom w:val="0"/>
          <w:divBdr>
            <w:top w:val="none" w:sz="0" w:space="0" w:color="auto"/>
            <w:left w:val="none" w:sz="0" w:space="0" w:color="auto"/>
            <w:bottom w:val="none" w:sz="0" w:space="0" w:color="auto"/>
            <w:right w:val="none" w:sz="0" w:space="0" w:color="auto"/>
          </w:divBdr>
        </w:div>
      </w:divsChild>
    </w:div>
    <w:div w:id="415829200">
      <w:bodyDiv w:val="1"/>
      <w:marLeft w:val="0"/>
      <w:marRight w:val="0"/>
      <w:marTop w:val="0"/>
      <w:marBottom w:val="0"/>
      <w:divBdr>
        <w:top w:val="none" w:sz="0" w:space="0" w:color="auto"/>
        <w:left w:val="none" w:sz="0" w:space="0" w:color="auto"/>
        <w:bottom w:val="none" w:sz="0" w:space="0" w:color="auto"/>
        <w:right w:val="none" w:sz="0" w:space="0" w:color="auto"/>
      </w:divBdr>
      <w:divsChild>
        <w:div w:id="93521302">
          <w:marLeft w:val="640"/>
          <w:marRight w:val="0"/>
          <w:marTop w:val="0"/>
          <w:marBottom w:val="0"/>
          <w:divBdr>
            <w:top w:val="none" w:sz="0" w:space="0" w:color="auto"/>
            <w:left w:val="none" w:sz="0" w:space="0" w:color="auto"/>
            <w:bottom w:val="none" w:sz="0" w:space="0" w:color="auto"/>
            <w:right w:val="none" w:sz="0" w:space="0" w:color="auto"/>
          </w:divBdr>
        </w:div>
        <w:div w:id="391122933">
          <w:marLeft w:val="640"/>
          <w:marRight w:val="0"/>
          <w:marTop w:val="0"/>
          <w:marBottom w:val="0"/>
          <w:divBdr>
            <w:top w:val="none" w:sz="0" w:space="0" w:color="auto"/>
            <w:left w:val="none" w:sz="0" w:space="0" w:color="auto"/>
            <w:bottom w:val="none" w:sz="0" w:space="0" w:color="auto"/>
            <w:right w:val="none" w:sz="0" w:space="0" w:color="auto"/>
          </w:divBdr>
        </w:div>
        <w:div w:id="1083769207">
          <w:marLeft w:val="640"/>
          <w:marRight w:val="0"/>
          <w:marTop w:val="0"/>
          <w:marBottom w:val="0"/>
          <w:divBdr>
            <w:top w:val="none" w:sz="0" w:space="0" w:color="auto"/>
            <w:left w:val="none" w:sz="0" w:space="0" w:color="auto"/>
            <w:bottom w:val="none" w:sz="0" w:space="0" w:color="auto"/>
            <w:right w:val="none" w:sz="0" w:space="0" w:color="auto"/>
          </w:divBdr>
        </w:div>
        <w:div w:id="770860435">
          <w:marLeft w:val="640"/>
          <w:marRight w:val="0"/>
          <w:marTop w:val="0"/>
          <w:marBottom w:val="0"/>
          <w:divBdr>
            <w:top w:val="none" w:sz="0" w:space="0" w:color="auto"/>
            <w:left w:val="none" w:sz="0" w:space="0" w:color="auto"/>
            <w:bottom w:val="none" w:sz="0" w:space="0" w:color="auto"/>
            <w:right w:val="none" w:sz="0" w:space="0" w:color="auto"/>
          </w:divBdr>
        </w:div>
        <w:div w:id="693921705">
          <w:marLeft w:val="640"/>
          <w:marRight w:val="0"/>
          <w:marTop w:val="0"/>
          <w:marBottom w:val="0"/>
          <w:divBdr>
            <w:top w:val="none" w:sz="0" w:space="0" w:color="auto"/>
            <w:left w:val="none" w:sz="0" w:space="0" w:color="auto"/>
            <w:bottom w:val="none" w:sz="0" w:space="0" w:color="auto"/>
            <w:right w:val="none" w:sz="0" w:space="0" w:color="auto"/>
          </w:divBdr>
        </w:div>
        <w:div w:id="1413308197">
          <w:marLeft w:val="640"/>
          <w:marRight w:val="0"/>
          <w:marTop w:val="0"/>
          <w:marBottom w:val="0"/>
          <w:divBdr>
            <w:top w:val="none" w:sz="0" w:space="0" w:color="auto"/>
            <w:left w:val="none" w:sz="0" w:space="0" w:color="auto"/>
            <w:bottom w:val="none" w:sz="0" w:space="0" w:color="auto"/>
            <w:right w:val="none" w:sz="0" w:space="0" w:color="auto"/>
          </w:divBdr>
        </w:div>
        <w:div w:id="411514030">
          <w:marLeft w:val="640"/>
          <w:marRight w:val="0"/>
          <w:marTop w:val="0"/>
          <w:marBottom w:val="0"/>
          <w:divBdr>
            <w:top w:val="none" w:sz="0" w:space="0" w:color="auto"/>
            <w:left w:val="none" w:sz="0" w:space="0" w:color="auto"/>
            <w:bottom w:val="none" w:sz="0" w:space="0" w:color="auto"/>
            <w:right w:val="none" w:sz="0" w:space="0" w:color="auto"/>
          </w:divBdr>
        </w:div>
        <w:div w:id="2013099038">
          <w:marLeft w:val="640"/>
          <w:marRight w:val="0"/>
          <w:marTop w:val="0"/>
          <w:marBottom w:val="0"/>
          <w:divBdr>
            <w:top w:val="none" w:sz="0" w:space="0" w:color="auto"/>
            <w:left w:val="none" w:sz="0" w:space="0" w:color="auto"/>
            <w:bottom w:val="none" w:sz="0" w:space="0" w:color="auto"/>
            <w:right w:val="none" w:sz="0" w:space="0" w:color="auto"/>
          </w:divBdr>
        </w:div>
        <w:div w:id="1700621458">
          <w:marLeft w:val="640"/>
          <w:marRight w:val="0"/>
          <w:marTop w:val="0"/>
          <w:marBottom w:val="0"/>
          <w:divBdr>
            <w:top w:val="none" w:sz="0" w:space="0" w:color="auto"/>
            <w:left w:val="none" w:sz="0" w:space="0" w:color="auto"/>
            <w:bottom w:val="none" w:sz="0" w:space="0" w:color="auto"/>
            <w:right w:val="none" w:sz="0" w:space="0" w:color="auto"/>
          </w:divBdr>
        </w:div>
        <w:div w:id="523597908">
          <w:marLeft w:val="640"/>
          <w:marRight w:val="0"/>
          <w:marTop w:val="0"/>
          <w:marBottom w:val="0"/>
          <w:divBdr>
            <w:top w:val="none" w:sz="0" w:space="0" w:color="auto"/>
            <w:left w:val="none" w:sz="0" w:space="0" w:color="auto"/>
            <w:bottom w:val="none" w:sz="0" w:space="0" w:color="auto"/>
            <w:right w:val="none" w:sz="0" w:space="0" w:color="auto"/>
          </w:divBdr>
        </w:div>
        <w:div w:id="160244819">
          <w:marLeft w:val="640"/>
          <w:marRight w:val="0"/>
          <w:marTop w:val="0"/>
          <w:marBottom w:val="0"/>
          <w:divBdr>
            <w:top w:val="none" w:sz="0" w:space="0" w:color="auto"/>
            <w:left w:val="none" w:sz="0" w:space="0" w:color="auto"/>
            <w:bottom w:val="none" w:sz="0" w:space="0" w:color="auto"/>
            <w:right w:val="none" w:sz="0" w:space="0" w:color="auto"/>
          </w:divBdr>
        </w:div>
        <w:div w:id="1639725555">
          <w:marLeft w:val="640"/>
          <w:marRight w:val="0"/>
          <w:marTop w:val="0"/>
          <w:marBottom w:val="0"/>
          <w:divBdr>
            <w:top w:val="none" w:sz="0" w:space="0" w:color="auto"/>
            <w:left w:val="none" w:sz="0" w:space="0" w:color="auto"/>
            <w:bottom w:val="none" w:sz="0" w:space="0" w:color="auto"/>
            <w:right w:val="none" w:sz="0" w:space="0" w:color="auto"/>
          </w:divBdr>
        </w:div>
        <w:div w:id="1984188923">
          <w:marLeft w:val="640"/>
          <w:marRight w:val="0"/>
          <w:marTop w:val="0"/>
          <w:marBottom w:val="0"/>
          <w:divBdr>
            <w:top w:val="none" w:sz="0" w:space="0" w:color="auto"/>
            <w:left w:val="none" w:sz="0" w:space="0" w:color="auto"/>
            <w:bottom w:val="none" w:sz="0" w:space="0" w:color="auto"/>
            <w:right w:val="none" w:sz="0" w:space="0" w:color="auto"/>
          </w:divBdr>
        </w:div>
        <w:div w:id="401147179">
          <w:marLeft w:val="640"/>
          <w:marRight w:val="0"/>
          <w:marTop w:val="0"/>
          <w:marBottom w:val="0"/>
          <w:divBdr>
            <w:top w:val="none" w:sz="0" w:space="0" w:color="auto"/>
            <w:left w:val="none" w:sz="0" w:space="0" w:color="auto"/>
            <w:bottom w:val="none" w:sz="0" w:space="0" w:color="auto"/>
            <w:right w:val="none" w:sz="0" w:space="0" w:color="auto"/>
          </w:divBdr>
        </w:div>
        <w:div w:id="878128562">
          <w:marLeft w:val="640"/>
          <w:marRight w:val="0"/>
          <w:marTop w:val="0"/>
          <w:marBottom w:val="0"/>
          <w:divBdr>
            <w:top w:val="none" w:sz="0" w:space="0" w:color="auto"/>
            <w:left w:val="none" w:sz="0" w:space="0" w:color="auto"/>
            <w:bottom w:val="none" w:sz="0" w:space="0" w:color="auto"/>
            <w:right w:val="none" w:sz="0" w:space="0" w:color="auto"/>
          </w:divBdr>
        </w:div>
        <w:div w:id="1893538354">
          <w:marLeft w:val="640"/>
          <w:marRight w:val="0"/>
          <w:marTop w:val="0"/>
          <w:marBottom w:val="0"/>
          <w:divBdr>
            <w:top w:val="none" w:sz="0" w:space="0" w:color="auto"/>
            <w:left w:val="none" w:sz="0" w:space="0" w:color="auto"/>
            <w:bottom w:val="none" w:sz="0" w:space="0" w:color="auto"/>
            <w:right w:val="none" w:sz="0" w:space="0" w:color="auto"/>
          </w:divBdr>
        </w:div>
        <w:div w:id="2120828185">
          <w:marLeft w:val="640"/>
          <w:marRight w:val="0"/>
          <w:marTop w:val="0"/>
          <w:marBottom w:val="0"/>
          <w:divBdr>
            <w:top w:val="none" w:sz="0" w:space="0" w:color="auto"/>
            <w:left w:val="none" w:sz="0" w:space="0" w:color="auto"/>
            <w:bottom w:val="none" w:sz="0" w:space="0" w:color="auto"/>
            <w:right w:val="none" w:sz="0" w:space="0" w:color="auto"/>
          </w:divBdr>
        </w:div>
        <w:div w:id="868101564">
          <w:marLeft w:val="640"/>
          <w:marRight w:val="0"/>
          <w:marTop w:val="0"/>
          <w:marBottom w:val="0"/>
          <w:divBdr>
            <w:top w:val="none" w:sz="0" w:space="0" w:color="auto"/>
            <w:left w:val="none" w:sz="0" w:space="0" w:color="auto"/>
            <w:bottom w:val="none" w:sz="0" w:space="0" w:color="auto"/>
            <w:right w:val="none" w:sz="0" w:space="0" w:color="auto"/>
          </w:divBdr>
        </w:div>
        <w:div w:id="2072149108">
          <w:marLeft w:val="640"/>
          <w:marRight w:val="0"/>
          <w:marTop w:val="0"/>
          <w:marBottom w:val="0"/>
          <w:divBdr>
            <w:top w:val="none" w:sz="0" w:space="0" w:color="auto"/>
            <w:left w:val="none" w:sz="0" w:space="0" w:color="auto"/>
            <w:bottom w:val="none" w:sz="0" w:space="0" w:color="auto"/>
            <w:right w:val="none" w:sz="0" w:space="0" w:color="auto"/>
          </w:divBdr>
        </w:div>
        <w:div w:id="131102249">
          <w:marLeft w:val="640"/>
          <w:marRight w:val="0"/>
          <w:marTop w:val="0"/>
          <w:marBottom w:val="0"/>
          <w:divBdr>
            <w:top w:val="none" w:sz="0" w:space="0" w:color="auto"/>
            <w:left w:val="none" w:sz="0" w:space="0" w:color="auto"/>
            <w:bottom w:val="none" w:sz="0" w:space="0" w:color="auto"/>
            <w:right w:val="none" w:sz="0" w:space="0" w:color="auto"/>
          </w:divBdr>
        </w:div>
        <w:div w:id="963004192">
          <w:marLeft w:val="640"/>
          <w:marRight w:val="0"/>
          <w:marTop w:val="0"/>
          <w:marBottom w:val="0"/>
          <w:divBdr>
            <w:top w:val="none" w:sz="0" w:space="0" w:color="auto"/>
            <w:left w:val="none" w:sz="0" w:space="0" w:color="auto"/>
            <w:bottom w:val="none" w:sz="0" w:space="0" w:color="auto"/>
            <w:right w:val="none" w:sz="0" w:space="0" w:color="auto"/>
          </w:divBdr>
        </w:div>
        <w:div w:id="1762675148">
          <w:marLeft w:val="640"/>
          <w:marRight w:val="0"/>
          <w:marTop w:val="0"/>
          <w:marBottom w:val="0"/>
          <w:divBdr>
            <w:top w:val="none" w:sz="0" w:space="0" w:color="auto"/>
            <w:left w:val="none" w:sz="0" w:space="0" w:color="auto"/>
            <w:bottom w:val="none" w:sz="0" w:space="0" w:color="auto"/>
            <w:right w:val="none" w:sz="0" w:space="0" w:color="auto"/>
          </w:divBdr>
        </w:div>
        <w:div w:id="2013139890">
          <w:marLeft w:val="640"/>
          <w:marRight w:val="0"/>
          <w:marTop w:val="0"/>
          <w:marBottom w:val="0"/>
          <w:divBdr>
            <w:top w:val="none" w:sz="0" w:space="0" w:color="auto"/>
            <w:left w:val="none" w:sz="0" w:space="0" w:color="auto"/>
            <w:bottom w:val="none" w:sz="0" w:space="0" w:color="auto"/>
            <w:right w:val="none" w:sz="0" w:space="0" w:color="auto"/>
          </w:divBdr>
        </w:div>
        <w:div w:id="2078893105">
          <w:marLeft w:val="640"/>
          <w:marRight w:val="0"/>
          <w:marTop w:val="0"/>
          <w:marBottom w:val="0"/>
          <w:divBdr>
            <w:top w:val="none" w:sz="0" w:space="0" w:color="auto"/>
            <w:left w:val="none" w:sz="0" w:space="0" w:color="auto"/>
            <w:bottom w:val="none" w:sz="0" w:space="0" w:color="auto"/>
            <w:right w:val="none" w:sz="0" w:space="0" w:color="auto"/>
          </w:divBdr>
        </w:div>
        <w:div w:id="813792417">
          <w:marLeft w:val="640"/>
          <w:marRight w:val="0"/>
          <w:marTop w:val="0"/>
          <w:marBottom w:val="0"/>
          <w:divBdr>
            <w:top w:val="none" w:sz="0" w:space="0" w:color="auto"/>
            <w:left w:val="none" w:sz="0" w:space="0" w:color="auto"/>
            <w:bottom w:val="none" w:sz="0" w:space="0" w:color="auto"/>
            <w:right w:val="none" w:sz="0" w:space="0" w:color="auto"/>
          </w:divBdr>
        </w:div>
        <w:div w:id="488178808">
          <w:marLeft w:val="640"/>
          <w:marRight w:val="0"/>
          <w:marTop w:val="0"/>
          <w:marBottom w:val="0"/>
          <w:divBdr>
            <w:top w:val="none" w:sz="0" w:space="0" w:color="auto"/>
            <w:left w:val="none" w:sz="0" w:space="0" w:color="auto"/>
            <w:bottom w:val="none" w:sz="0" w:space="0" w:color="auto"/>
            <w:right w:val="none" w:sz="0" w:space="0" w:color="auto"/>
          </w:divBdr>
        </w:div>
        <w:div w:id="291138254">
          <w:marLeft w:val="640"/>
          <w:marRight w:val="0"/>
          <w:marTop w:val="0"/>
          <w:marBottom w:val="0"/>
          <w:divBdr>
            <w:top w:val="none" w:sz="0" w:space="0" w:color="auto"/>
            <w:left w:val="none" w:sz="0" w:space="0" w:color="auto"/>
            <w:bottom w:val="none" w:sz="0" w:space="0" w:color="auto"/>
            <w:right w:val="none" w:sz="0" w:space="0" w:color="auto"/>
          </w:divBdr>
        </w:div>
        <w:div w:id="123937810">
          <w:marLeft w:val="640"/>
          <w:marRight w:val="0"/>
          <w:marTop w:val="0"/>
          <w:marBottom w:val="0"/>
          <w:divBdr>
            <w:top w:val="none" w:sz="0" w:space="0" w:color="auto"/>
            <w:left w:val="none" w:sz="0" w:space="0" w:color="auto"/>
            <w:bottom w:val="none" w:sz="0" w:space="0" w:color="auto"/>
            <w:right w:val="none" w:sz="0" w:space="0" w:color="auto"/>
          </w:divBdr>
        </w:div>
        <w:div w:id="1414887646">
          <w:marLeft w:val="640"/>
          <w:marRight w:val="0"/>
          <w:marTop w:val="0"/>
          <w:marBottom w:val="0"/>
          <w:divBdr>
            <w:top w:val="none" w:sz="0" w:space="0" w:color="auto"/>
            <w:left w:val="none" w:sz="0" w:space="0" w:color="auto"/>
            <w:bottom w:val="none" w:sz="0" w:space="0" w:color="auto"/>
            <w:right w:val="none" w:sz="0" w:space="0" w:color="auto"/>
          </w:divBdr>
        </w:div>
        <w:div w:id="690186807">
          <w:marLeft w:val="640"/>
          <w:marRight w:val="0"/>
          <w:marTop w:val="0"/>
          <w:marBottom w:val="0"/>
          <w:divBdr>
            <w:top w:val="none" w:sz="0" w:space="0" w:color="auto"/>
            <w:left w:val="none" w:sz="0" w:space="0" w:color="auto"/>
            <w:bottom w:val="none" w:sz="0" w:space="0" w:color="auto"/>
            <w:right w:val="none" w:sz="0" w:space="0" w:color="auto"/>
          </w:divBdr>
        </w:div>
        <w:div w:id="112948597">
          <w:marLeft w:val="640"/>
          <w:marRight w:val="0"/>
          <w:marTop w:val="0"/>
          <w:marBottom w:val="0"/>
          <w:divBdr>
            <w:top w:val="none" w:sz="0" w:space="0" w:color="auto"/>
            <w:left w:val="none" w:sz="0" w:space="0" w:color="auto"/>
            <w:bottom w:val="none" w:sz="0" w:space="0" w:color="auto"/>
            <w:right w:val="none" w:sz="0" w:space="0" w:color="auto"/>
          </w:divBdr>
        </w:div>
        <w:div w:id="676227540">
          <w:marLeft w:val="640"/>
          <w:marRight w:val="0"/>
          <w:marTop w:val="0"/>
          <w:marBottom w:val="0"/>
          <w:divBdr>
            <w:top w:val="none" w:sz="0" w:space="0" w:color="auto"/>
            <w:left w:val="none" w:sz="0" w:space="0" w:color="auto"/>
            <w:bottom w:val="none" w:sz="0" w:space="0" w:color="auto"/>
            <w:right w:val="none" w:sz="0" w:space="0" w:color="auto"/>
          </w:divBdr>
        </w:div>
        <w:div w:id="676268962">
          <w:marLeft w:val="640"/>
          <w:marRight w:val="0"/>
          <w:marTop w:val="0"/>
          <w:marBottom w:val="0"/>
          <w:divBdr>
            <w:top w:val="none" w:sz="0" w:space="0" w:color="auto"/>
            <w:left w:val="none" w:sz="0" w:space="0" w:color="auto"/>
            <w:bottom w:val="none" w:sz="0" w:space="0" w:color="auto"/>
            <w:right w:val="none" w:sz="0" w:space="0" w:color="auto"/>
          </w:divBdr>
        </w:div>
        <w:div w:id="443233708">
          <w:marLeft w:val="640"/>
          <w:marRight w:val="0"/>
          <w:marTop w:val="0"/>
          <w:marBottom w:val="0"/>
          <w:divBdr>
            <w:top w:val="none" w:sz="0" w:space="0" w:color="auto"/>
            <w:left w:val="none" w:sz="0" w:space="0" w:color="auto"/>
            <w:bottom w:val="none" w:sz="0" w:space="0" w:color="auto"/>
            <w:right w:val="none" w:sz="0" w:space="0" w:color="auto"/>
          </w:divBdr>
        </w:div>
        <w:div w:id="1488474210">
          <w:marLeft w:val="640"/>
          <w:marRight w:val="0"/>
          <w:marTop w:val="0"/>
          <w:marBottom w:val="0"/>
          <w:divBdr>
            <w:top w:val="none" w:sz="0" w:space="0" w:color="auto"/>
            <w:left w:val="none" w:sz="0" w:space="0" w:color="auto"/>
            <w:bottom w:val="none" w:sz="0" w:space="0" w:color="auto"/>
            <w:right w:val="none" w:sz="0" w:space="0" w:color="auto"/>
          </w:divBdr>
        </w:div>
        <w:div w:id="1935169086">
          <w:marLeft w:val="640"/>
          <w:marRight w:val="0"/>
          <w:marTop w:val="0"/>
          <w:marBottom w:val="0"/>
          <w:divBdr>
            <w:top w:val="none" w:sz="0" w:space="0" w:color="auto"/>
            <w:left w:val="none" w:sz="0" w:space="0" w:color="auto"/>
            <w:bottom w:val="none" w:sz="0" w:space="0" w:color="auto"/>
            <w:right w:val="none" w:sz="0" w:space="0" w:color="auto"/>
          </w:divBdr>
        </w:div>
        <w:div w:id="1300766968">
          <w:marLeft w:val="640"/>
          <w:marRight w:val="0"/>
          <w:marTop w:val="0"/>
          <w:marBottom w:val="0"/>
          <w:divBdr>
            <w:top w:val="none" w:sz="0" w:space="0" w:color="auto"/>
            <w:left w:val="none" w:sz="0" w:space="0" w:color="auto"/>
            <w:bottom w:val="none" w:sz="0" w:space="0" w:color="auto"/>
            <w:right w:val="none" w:sz="0" w:space="0" w:color="auto"/>
          </w:divBdr>
        </w:div>
        <w:div w:id="384529128">
          <w:marLeft w:val="640"/>
          <w:marRight w:val="0"/>
          <w:marTop w:val="0"/>
          <w:marBottom w:val="0"/>
          <w:divBdr>
            <w:top w:val="none" w:sz="0" w:space="0" w:color="auto"/>
            <w:left w:val="none" w:sz="0" w:space="0" w:color="auto"/>
            <w:bottom w:val="none" w:sz="0" w:space="0" w:color="auto"/>
            <w:right w:val="none" w:sz="0" w:space="0" w:color="auto"/>
          </w:divBdr>
        </w:div>
        <w:div w:id="874654923">
          <w:marLeft w:val="640"/>
          <w:marRight w:val="0"/>
          <w:marTop w:val="0"/>
          <w:marBottom w:val="0"/>
          <w:divBdr>
            <w:top w:val="none" w:sz="0" w:space="0" w:color="auto"/>
            <w:left w:val="none" w:sz="0" w:space="0" w:color="auto"/>
            <w:bottom w:val="none" w:sz="0" w:space="0" w:color="auto"/>
            <w:right w:val="none" w:sz="0" w:space="0" w:color="auto"/>
          </w:divBdr>
        </w:div>
        <w:div w:id="297691677">
          <w:marLeft w:val="640"/>
          <w:marRight w:val="0"/>
          <w:marTop w:val="0"/>
          <w:marBottom w:val="0"/>
          <w:divBdr>
            <w:top w:val="none" w:sz="0" w:space="0" w:color="auto"/>
            <w:left w:val="none" w:sz="0" w:space="0" w:color="auto"/>
            <w:bottom w:val="none" w:sz="0" w:space="0" w:color="auto"/>
            <w:right w:val="none" w:sz="0" w:space="0" w:color="auto"/>
          </w:divBdr>
        </w:div>
        <w:div w:id="1158813189">
          <w:marLeft w:val="640"/>
          <w:marRight w:val="0"/>
          <w:marTop w:val="0"/>
          <w:marBottom w:val="0"/>
          <w:divBdr>
            <w:top w:val="none" w:sz="0" w:space="0" w:color="auto"/>
            <w:left w:val="none" w:sz="0" w:space="0" w:color="auto"/>
            <w:bottom w:val="none" w:sz="0" w:space="0" w:color="auto"/>
            <w:right w:val="none" w:sz="0" w:space="0" w:color="auto"/>
          </w:divBdr>
        </w:div>
        <w:div w:id="1746100727">
          <w:marLeft w:val="640"/>
          <w:marRight w:val="0"/>
          <w:marTop w:val="0"/>
          <w:marBottom w:val="0"/>
          <w:divBdr>
            <w:top w:val="none" w:sz="0" w:space="0" w:color="auto"/>
            <w:left w:val="none" w:sz="0" w:space="0" w:color="auto"/>
            <w:bottom w:val="none" w:sz="0" w:space="0" w:color="auto"/>
            <w:right w:val="none" w:sz="0" w:space="0" w:color="auto"/>
          </w:divBdr>
        </w:div>
        <w:div w:id="1072702015">
          <w:marLeft w:val="640"/>
          <w:marRight w:val="0"/>
          <w:marTop w:val="0"/>
          <w:marBottom w:val="0"/>
          <w:divBdr>
            <w:top w:val="none" w:sz="0" w:space="0" w:color="auto"/>
            <w:left w:val="none" w:sz="0" w:space="0" w:color="auto"/>
            <w:bottom w:val="none" w:sz="0" w:space="0" w:color="auto"/>
            <w:right w:val="none" w:sz="0" w:space="0" w:color="auto"/>
          </w:divBdr>
        </w:div>
        <w:div w:id="1347102009">
          <w:marLeft w:val="640"/>
          <w:marRight w:val="0"/>
          <w:marTop w:val="0"/>
          <w:marBottom w:val="0"/>
          <w:divBdr>
            <w:top w:val="none" w:sz="0" w:space="0" w:color="auto"/>
            <w:left w:val="none" w:sz="0" w:space="0" w:color="auto"/>
            <w:bottom w:val="none" w:sz="0" w:space="0" w:color="auto"/>
            <w:right w:val="none" w:sz="0" w:space="0" w:color="auto"/>
          </w:divBdr>
        </w:div>
        <w:div w:id="1786537900">
          <w:marLeft w:val="640"/>
          <w:marRight w:val="0"/>
          <w:marTop w:val="0"/>
          <w:marBottom w:val="0"/>
          <w:divBdr>
            <w:top w:val="none" w:sz="0" w:space="0" w:color="auto"/>
            <w:left w:val="none" w:sz="0" w:space="0" w:color="auto"/>
            <w:bottom w:val="none" w:sz="0" w:space="0" w:color="auto"/>
            <w:right w:val="none" w:sz="0" w:space="0" w:color="auto"/>
          </w:divBdr>
        </w:div>
        <w:div w:id="845902146">
          <w:marLeft w:val="640"/>
          <w:marRight w:val="0"/>
          <w:marTop w:val="0"/>
          <w:marBottom w:val="0"/>
          <w:divBdr>
            <w:top w:val="none" w:sz="0" w:space="0" w:color="auto"/>
            <w:left w:val="none" w:sz="0" w:space="0" w:color="auto"/>
            <w:bottom w:val="none" w:sz="0" w:space="0" w:color="auto"/>
            <w:right w:val="none" w:sz="0" w:space="0" w:color="auto"/>
          </w:divBdr>
        </w:div>
        <w:div w:id="1797984271">
          <w:marLeft w:val="640"/>
          <w:marRight w:val="0"/>
          <w:marTop w:val="0"/>
          <w:marBottom w:val="0"/>
          <w:divBdr>
            <w:top w:val="none" w:sz="0" w:space="0" w:color="auto"/>
            <w:left w:val="none" w:sz="0" w:space="0" w:color="auto"/>
            <w:bottom w:val="none" w:sz="0" w:space="0" w:color="auto"/>
            <w:right w:val="none" w:sz="0" w:space="0" w:color="auto"/>
          </w:divBdr>
        </w:div>
        <w:div w:id="23485909">
          <w:marLeft w:val="640"/>
          <w:marRight w:val="0"/>
          <w:marTop w:val="0"/>
          <w:marBottom w:val="0"/>
          <w:divBdr>
            <w:top w:val="none" w:sz="0" w:space="0" w:color="auto"/>
            <w:left w:val="none" w:sz="0" w:space="0" w:color="auto"/>
            <w:bottom w:val="none" w:sz="0" w:space="0" w:color="auto"/>
            <w:right w:val="none" w:sz="0" w:space="0" w:color="auto"/>
          </w:divBdr>
        </w:div>
        <w:div w:id="98959795">
          <w:marLeft w:val="640"/>
          <w:marRight w:val="0"/>
          <w:marTop w:val="0"/>
          <w:marBottom w:val="0"/>
          <w:divBdr>
            <w:top w:val="none" w:sz="0" w:space="0" w:color="auto"/>
            <w:left w:val="none" w:sz="0" w:space="0" w:color="auto"/>
            <w:bottom w:val="none" w:sz="0" w:space="0" w:color="auto"/>
            <w:right w:val="none" w:sz="0" w:space="0" w:color="auto"/>
          </w:divBdr>
        </w:div>
        <w:div w:id="1631519146">
          <w:marLeft w:val="640"/>
          <w:marRight w:val="0"/>
          <w:marTop w:val="0"/>
          <w:marBottom w:val="0"/>
          <w:divBdr>
            <w:top w:val="none" w:sz="0" w:space="0" w:color="auto"/>
            <w:left w:val="none" w:sz="0" w:space="0" w:color="auto"/>
            <w:bottom w:val="none" w:sz="0" w:space="0" w:color="auto"/>
            <w:right w:val="none" w:sz="0" w:space="0" w:color="auto"/>
          </w:divBdr>
        </w:div>
        <w:div w:id="168524377">
          <w:marLeft w:val="640"/>
          <w:marRight w:val="0"/>
          <w:marTop w:val="0"/>
          <w:marBottom w:val="0"/>
          <w:divBdr>
            <w:top w:val="none" w:sz="0" w:space="0" w:color="auto"/>
            <w:left w:val="none" w:sz="0" w:space="0" w:color="auto"/>
            <w:bottom w:val="none" w:sz="0" w:space="0" w:color="auto"/>
            <w:right w:val="none" w:sz="0" w:space="0" w:color="auto"/>
          </w:divBdr>
        </w:div>
        <w:div w:id="2057388271">
          <w:marLeft w:val="640"/>
          <w:marRight w:val="0"/>
          <w:marTop w:val="0"/>
          <w:marBottom w:val="0"/>
          <w:divBdr>
            <w:top w:val="none" w:sz="0" w:space="0" w:color="auto"/>
            <w:left w:val="none" w:sz="0" w:space="0" w:color="auto"/>
            <w:bottom w:val="none" w:sz="0" w:space="0" w:color="auto"/>
            <w:right w:val="none" w:sz="0" w:space="0" w:color="auto"/>
          </w:divBdr>
        </w:div>
        <w:div w:id="1214121164">
          <w:marLeft w:val="640"/>
          <w:marRight w:val="0"/>
          <w:marTop w:val="0"/>
          <w:marBottom w:val="0"/>
          <w:divBdr>
            <w:top w:val="none" w:sz="0" w:space="0" w:color="auto"/>
            <w:left w:val="none" w:sz="0" w:space="0" w:color="auto"/>
            <w:bottom w:val="none" w:sz="0" w:space="0" w:color="auto"/>
            <w:right w:val="none" w:sz="0" w:space="0" w:color="auto"/>
          </w:divBdr>
        </w:div>
        <w:div w:id="1361935904">
          <w:marLeft w:val="640"/>
          <w:marRight w:val="0"/>
          <w:marTop w:val="0"/>
          <w:marBottom w:val="0"/>
          <w:divBdr>
            <w:top w:val="none" w:sz="0" w:space="0" w:color="auto"/>
            <w:left w:val="none" w:sz="0" w:space="0" w:color="auto"/>
            <w:bottom w:val="none" w:sz="0" w:space="0" w:color="auto"/>
            <w:right w:val="none" w:sz="0" w:space="0" w:color="auto"/>
          </w:divBdr>
        </w:div>
        <w:div w:id="101727825">
          <w:marLeft w:val="640"/>
          <w:marRight w:val="0"/>
          <w:marTop w:val="0"/>
          <w:marBottom w:val="0"/>
          <w:divBdr>
            <w:top w:val="none" w:sz="0" w:space="0" w:color="auto"/>
            <w:left w:val="none" w:sz="0" w:space="0" w:color="auto"/>
            <w:bottom w:val="none" w:sz="0" w:space="0" w:color="auto"/>
            <w:right w:val="none" w:sz="0" w:space="0" w:color="auto"/>
          </w:divBdr>
        </w:div>
        <w:div w:id="321083118">
          <w:marLeft w:val="640"/>
          <w:marRight w:val="0"/>
          <w:marTop w:val="0"/>
          <w:marBottom w:val="0"/>
          <w:divBdr>
            <w:top w:val="none" w:sz="0" w:space="0" w:color="auto"/>
            <w:left w:val="none" w:sz="0" w:space="0" w:color="auto"/>
            <w:bottom w:val="none" w:sz="0" w:space="0" w:color="auto"/>
            <w:right w:val="none" w:sz="0" w:space="0" w:color="auto"/>
          </w:divBdr>
        </w:div>
        <w:div w:id="879170781">
          <w:marLeft w:val="640"/>
          <w:marRight w:val="0"/>
          <w:marTop w:val="0"/>
          <w:marBottom w:val="0"/>
          <w:divBdr>
            <w:top w:val="none" w:sz="0" w:space="0" w:color="auto"/>
            <w:left w:val="none" w:sz="0" w:space="0" w:color="auto"/>
            <w:bottom w:val="none" w:sz="0" w:space="0" w:color="auto"/>
            <w:right w:val="none" w:sz="0" w:space="0" w:color="auto"/>
          </w:divBdr>
        </w:div>
        <w:div w:id="1598977195">
          <w:marLeft w:val="640"/>
          <w:marRight w:val="0"/>
          <w:marTop w:val="0"/>
          <w:marBottom w:val="0"/>
          <w:divBdr>
            <w:top w:val="none" w:sz="0" w:space="0" w:color="auto"/>
            <w:left w:val="none" w:sz="0" w:space="0" w:color="auto"/>
            <w:bottom w:val="none" w:sz="0" w:space="0" w:color="auto"/>
            <w:right w:val="none" w:sz="0" w:space="0" w:color="auto"/>
          </w:divBdr>
        </w:div>
        <w:div w:id="1140658228">
          <w:marLeft w:val="640"/>
          <w:marRight w:val="0"/>
          <w:marTop w:val="0"/>
          <w:marBottom w:val="0"/>
          <w:divBdr>
            <w:top w:val="none" w:sz="0" w:space="0" w:color="auto"/>
            <w:left w:val="none" w:sz="0" w:space="0" w:color="auto"/>
            <w:bottom w:val="none" w:sz="0" w:space="0" w:color="auto"/>
            <w:right w:val="none" w:sz="0" w:space="0" w:color="auto"/>
          </w:divBdr>
        </w:div>
        <w:div w:id="1586185111">
          <w:marLeft w:val="640"/>
          <w:marRight w:val="0"/>
          <w:marTop w:val="0"/>
          <w:marBottom w:val="0"/>
          <w:divBdr>
            <w:top w:val="none" w:sz="0" w:space="0" w:color="auto"/>
            <w:left w:val="none" w:sz="0" w:space="0" w:color="auto"/>
            <w:bottom w:val="none" w:sz="0" w:space="0" w:color="auto"/>
            <w:right w:val="none" w:sz="0" w:space="0" w:color="auto"/>
          </w:divBdr>
        </w:div>
        <w:div w:id="1973247209">
          <w:marLeft w:val="640"/>
          <w:marRight w:val="0"/>
          <w:marTop w:val="0"/>
          <w:marBottom w:val="0"/>
          <w:divBdr>
            <w:top w:val="none" w:sz="0" w:space="0" w:color="auto"/>
            <w:left w:val="none" w:sz="0" w:space="0" w:color="auto"/>
            <w:bottom w:val="none" w:sz="0" w:space="0" w:color="auto"/>
            <w:right w:val="none" w:sz="0" w:space="0" w:color="auto"/>
          </w:divBdr>
        </w:div>
        <w:div w:id="1495410662">
          <w:marLeft w:val="640"/>
          <w:marRight w:val="0"/>
          <w:marTop w:val="0"/>
          <w:marBottom w:val="0"/>
          <w:divBdr>
            <w:top w:val="none" w:sz="0" w:space="0" w:color="auto"/>
            <w:left w:val="none" w:sz="0" w:space="0" w:color="auto"/>
            <w:bottom w:val="none" w:sz="0" w:space="0" w:color="auto"/>
            <w:right w:val="none" w:sz="0" w:space="0" w:color="auto"/>
          </w:divBdr>
        </w:div>
        <w:div w:id="1176185809">
          <w:marLeft w:val="640"/>
          <w:marRight w:val="0"/>
          <w:marTop w:val="0"/>
          <w:marBottom w:val="0"/>
          <w:divBdr>
            <w:top w:val="none" w:sz="0" w:space="0" w:color="auto"/>
            <w:left w:val="none" w:sz="0" w:space="0" w:color="auto"/>
            <w:bottom w:val="none" w:sz="0" w:space="0" w:color="auto"/>
            <w:right w:val="none" w:sz="0" w:space="0" w:color="auto"/>
          </w:divBdr>
        </w:div>
        <w:div w:id="155922464">
          <w:marLeft w:val="640"/>
          <w:marRight w:val="0"/>
          <w:marTop w:val="0"/>
          <w:marBottom w:val="0"/>
          <w:divBdr>
            <w:top w:val="none" w:sz="0" w:space="0" w:color="auto"/>
            <w:left w:val="none" w:sz="0" w:space="0" w:color="auto"/>
            <w:bottom w:val="none" w:sz="0" w:space="0" w:color="auto"/>
            <w:right w:val="none" w:sz="0" w:space="0" w:color="auto"/>
          </w:divBdr>
        </w:div>
        <w:div w:id="1640839490">
          <w:marLeft w:val="640"/>
          <w:marRight w:val="0"/>
          <w:marTop w:val="0"/>
          <w:marBottom w:val="0"/>
          <w:divBdr>
            <w:top w:val="none" w:sz="0" w:space="0" w:color="auto"/>
            <w:left w:val="none" w:sz="0" w:space="0" w:color="auto"/>
            <w:bottom w:val="none" w:sz="0" w:space="0" w:color="auto"/>
            <w:right w:val="none" w:sz="0" w:space="0" w:color="auto"/>
          </w:divBdr>
        </w:div>
        <w:div w:id="2067602884">
          <w:marLeft w:val="640"/>
          <w:marRight w:val="0"/>
          <w:marTop w:val="0"/>
          <w:marBottom w:val="0"/>
          <w:divBdr>
            <w:top w:val="none" w:sz="0" w:space="0" w:color="auto"/>
            <w:left w:val="none" w:sz="0" w:space="0" w:color="auto"/>
            <w:bottom w:val="none" w:sz="0" w:space="0" w:color="auto"/>
            <w:right w:val="none" w:sz="0" w:space="0" w:color="auto"/>
          </w:divBdr>
        </w:div>
        <w:div w:id="2006395830">
          <w:marLeft w:val="640"/>
          <w:marRight w:val="0"/>
          <w:marTop w:val="0"/>
          <w:marBottom w:val="0"/>
          <w:divBdr>
            <w:top w:val="none" w:sz="0" w:space="0" w:color="auto"/>
            <w:left w:val="none" w:sz="0" w:space="0" w:color="auto"/>
            <w:bottom w:val="none" w:sz="0" w:space="0" w:color="auto"/>
            <w:right w:val="none" w:sz="0" w:space="0" w:color="auto"/>
          </w:divBdr>
        </w:div>
        <w:div w:id="640767422">
          <w:marLeft w:val="640"/>
          <w:marRight w:val="0"/>
          <w:marTop w:val="0"/>
          <w:marBottom w:val="0"/>
          <w:divBdr>
            <w:top w:val="none" w:sz="0" w:space="0" w:color="auto"/>
            <w:left w:val="none" w:sz="0" w:space="0" w:color="auto"/>
            <w:bottom w:val="none" w:sz="0" w:space="0" w:color="auto"/>
            <w:right w:val="none" w:sz="0" w:space="0" w:color="auto"/>
          </w:divBdr>
        </w:div>
        <w:div w:id="1105345185">
          <w:marLeft w:val="640"/>
          <w:marRight w:val="0"/>
          <w:marTop w:val="0"/>
          <w:marBottom w:val="0"/>
          <w:divBdr>
            <w:top w:val="none" w:sz="0" w:space="0" w:color="auto"/>
            <w:left w:val="none" w:sz="0" w:space="0" w:color="auto"/>
            <w:bottom w:val="none" w:sz="0" w:space="0" w:color="auto"/>
            <w:right w:val="none" w:sz="0" w:space="0" w:color="auto"/>
          </w:divBdr>
        </w:div>
        <w:div w:id="291250366">
          <w:marLeft w:val="640"/>
          <w:marRight w:val="0"/>
          <w:marTop w:val="0"/>
          <w:marBottom w:val="0"/>
          <w:divBdr>
            <w:top w:val="none" w:sz="0" w:space="0" w:color="auto"/>
            <w:left w:val="none" w:sz="0" w:space="0" w:color="auto"/>
            <w:bottom w:val="none" w:sz="0" w:space="0" w:color="auto"/>
            <w:right w:val="none" w:sz="0" w:space="0" w:color="auto"/>
          </w:divBdr>
        </w:div>
        <w:div w:id="222563255">
          <w:marLeft w:val="640"/>
          <w:marRight w:val="0"/>
          <w:marTop w:val="0"/>
          <w:marBottom w:val="0"/>
          <w:divBdr>
            <w:top w:val="none" w:sz="0" w:space="0" w:color="auto"/>
            <w:left w:val="none" w:sz="0" w:space="0" w:color="auto"/>
            <w:bottom w:val="none" w:sz="0" w:space="0" w:color="auto"/>
            <w:right w:val="none" w:sz="0" w:space="0" w:color="auto"/>
          </w:divBdr>
        </w:div>
        <w:div w:id="121701579">
          <w:marLeft w:val="640"/>
          <w:marRight w:val="0"/>
          <w:marTop w:val="0"/>
          <w:marBottom w:val="0"/>
          <w:divBdr>
            <w:top w:val="none" w:sz="0" w:space="0" w:color="auto"/>
            <w:left w:val="none" w:sz="0" w:space="0" w:color="auto"/>
            <w:bottom w:val="none" w:sz="0" w:space="0" w:color="auto"/>
            <w:right w:val="none" w:sz="0" w:space="0" w:color="auto"/>
          </w:divBdr>
        </w:div>
        <w:div w:id="495804572">
          <w:marLeft w:val="640"/>
          <w:marRight w:val="0"/>
          <w:marTop w:val="0"/>
          <w:marBottom w:val="0"/>
          <w:divBdr>
            <w:top w:val="none" w:sz="0" w:space="0" w:color="auto"/>
            <w:left w:val="none" w:sz="0" w:space="0" w:color="auto"/>
            <w:bottom w:val="none" w:sz="0" w:space="0" w:color="auto"/>
            <w:right w:val="none" w:sz="0" w:space="0" w:color="auto"/>
          </w:divBdr>
        </w:div>
        <w:div w:id="1004747447">
          <w:marLeft w:val="640"/>
          <w:marRight w:val="0"/>
          <w:marTop w:val="0"/>
          <w:marBottom w:val="0"/>
          <w:divBdr>
            <w:top w:val="none" w:sz="0" w:space="0" w:color="auto"/>
            <w:left w:val="none" w:sz="0" w:space="0" w:color="auto"/>
            <w:bottom w:val="none" w:sz="0" w:space="0" w:color="auto"/>
            <w:right w:val="none" w:sz="0" w:space="0" w:color="auto"/>
          </w:divBdr>
        </w:div>
        <w:div w:id="1147016919">
          <w:marLeft w:val="640"/>
          <w:marRight w:val="0"/>
          <w:marTop w:val="0"/>
          <w:marBottom w:val="0"/>
          <w:divBdr>
            <w:top w:val="none" w:sz="0" w:space="0" w:color="auto"/>
            <w:left w:val="none" w:sz="0" w:space="0" w:color="auto"/>
            <w:bottom w:val="none" w:sz="0" w:space="0" w:color="auto"/>
            <w:right w:val="none" w:sz="0" w:space="0" w:color="auto"/>
          </w:divBdr>
        </w:div>
        <w:div w:id="1365793534">
          <w:marLeft w:val="640"/>
          <w:marRight w:val="0"/>
          <w:marTop w:val="0"/>
          <w:marBottom w:val="0"/>
          <w:divBdr>
            <w:top w:val="none" w:sz="0" w:space="0" w:color="auto"/>
            <w:left w:val="none" w:sz="0" w:space="0" w:color="auto"/>
            <w:bottom w:val="none" w:sz="0" w:space="0" w:color="auto"/>
            <w:right w:val="none" w:sz="0" w:space="0" w:color="auto"/>
          </w:divBdr>
        </w:div>
        <w:div w:id="1668096532">
          <w:marLeft w:val="640"/>
          <w:marRight w:val="0"/>
          <w:marTop w:val="0"/>
          <w:marBottom w:val="0"/>
          <w:divBdr>
            <w:top w:val="none" w:sz="0" w:space="0" w:color="auto"/>
            <w:left w:val="none" w:sz="0" w:space="0" w:color="auto"/>
            <w:bottom w:val="none" w:sz="0" w:space="0" w:color="auto"/>
            <w:right w:val="none" w:sz="0" w:space="0" w:color="auto"/>
          </w:divBdr>
        </w:div>
        <w:div w:id="319582620">
          <w:marLeft w:val="640"/>
          <w:marRight w:val="0"/>
          <w:marTop w:val="0"/>
          <w:marBottom w:val="0"/>
          <w:divBdr>
            <w:top w:val="none" w:sz="0" w:space="0" w:color="auto"/>
            <w:left w:val="none" w:sz="0" w:space="0" w:color="auto"/>
            <w:bottom w:val="none" w:sz="0" w:space="0" w:color="auto"/>
            <w:right w:val="none" w:sz="0" w:space="0" w:color="auto"/>
          </w:divBdr>
        </w:div>
        <w:div w:id="1125351367">
          <w:marLeft w:val="640"/>
          <w:marRight w:val="0"/>
          <w:marTop w:val="0"/>
          <w:marBottom w:val="0"/>
          <w:divBdr>
            <w:top w:val="none" w:sz="0" w:space="0" w:color="auto"/>
            <w:left w:val="none" w:sz="0" w:space="0" w:color="auto"/>
            <w:bottom w:val="none" w:sz="0" w:space="0" w:color="auto"/>
            <w:right w:val="none" w:sz="0" w:space="0" w:color="auto"/>
          </w:divBdr>
        </w:div>
        <w:div w:id="1199128315">
          <w:marLeft w:val="640"/>
          <w:marRight w:val="0"/>
          <w:marTop w:val="0"/>
          <w:marBottom w:val="0"/>
          <w:divBdr>
            <w:top w:val="none" w:sz="0" w:space="0" w:color="auto"/>
            <w:left w:val="none" w:sz="0" w:space="0" w:color="auto"/>
            <w:bottom w:val="none" w:sz="0" w:space="0" w:color="auto"/>
            <w:right w:val="none" w:sz="0" w:space="0" w:color="auto"/>
          </w:divBdr>
        </w:div>
        <w:div w:id="657732817">
          <w:marLeft w:val="640"/>
          <w:marRight w:val="0"/>
          <w:marTop w:val="0"/>
          <w:marBottom w:val="0"/>
          <w:divBdr>
            <w:top w:val="none" w:sz="0" w:space="0" w:color="auto"/>
            <w:left w:val="none" w:sz="0" w:space="0" w:color="auto"/>
            <w:bottom w:val="none" w:sz="0" w:space="0" w:color="auto"/>
            <w:right w:val="none" w:sz="0" w:space="0" w:color="auto"/>
          </w:divBdr>
        </w:div>
        <w:div w:id="963072232">
          <w:marLeft w:val="640"/>
          <w:marRight w:val="0"/>
          <w:marTop w:val="0"/>
          <w:marBottom w:val="0"/>
          <w:divBdr>
            <w:top w:val="none" w:sz="0" w:space="0" w:color="auto"/>
            <w:left w:val="none" w:sz="0" w:space="0" w:color="auto"/>
            <w:bottom w:val="none" w:sz="0" w:space="0" w:color="auto"/>
            <w:right w:val="none" w:sz="0" w:space="0" w:color="auto"/>
          </w:divBdr>
        </w:div>
        <w:div w:id="984049863">
          <w:marLeft w:val="640"/>
          <w:marRight w:val="0"/>
          <w:marTop w:val="0"/>
          <w:marBottom w:val="0"/>
          <w:divBdr>
            <w:top w:val="none" w:sz="0" w:space="0" w:color="auto"/>
            <w:left w:val="none" w:sz="0" w:space="0" w:color="auto"/>
            <w:bottom w:val="none" w:sz="0" w:space="0" w:color="auto"/>
            <w:right w:val="none" w:sz="0" w:space="0" w:color="auto"/>
          </w:divBdr>
        </w:div>
        <w:div w:id="1404523951">
          <w:marLeft w:val="640"/>
          <w:marRight w:val="0"/>
          <w:marTop w:val="0"/>
          <w:marBottom w:val="0"/>
          <w:divBdr>
            <w:top w:val="none" w:sz="0" w:space="0" w:color="auto"/>
            <w:left w:val="none" w:sz="0" w:space="0" w:color="auto"/>
            <w:bottom w:val="none" w:sz="0" w:space="0" w:color="auto"/>
            <w:right w:val="none" w:sz="0" w:space="0" w:color="auto"/>
          </w:divBdr>
        </w:div>
        <w:div w:id="978265326">
          <w:marLeft w:val="640"/>
          <w:marRight w:val="0"/>
          <w:marTop w:val="0"/>
          <w:marBottom w:val="0"/>
          <w:divBdr>
            <w:top w:val="none" w:sz="0" w:space="0" w:color="auto"/>
            <w:left w:val="none" w:sz="0" w:space="0" w:color="auto"/>
            <w:bottom w:val="none" w:sz="0" w:space="0" w:color="auto"/>
            <w:right w:val="none" w:sz="0" w:space="0" w:color="auto"/>
          </w:divBdr>
        </w:div>
        <w:div w:id="249118564">
          <w:marLeft w:val="640"/>
          <w:marRight w:val="0"/>
          <w:marTop w:val="0"/>
          <w:marBottom w:val="0"/>
          <w:divBdr>
            <w:top w:val="none" w:sz="0" w:space="0" w:color="auto"/>
            <w:left w:val="none" w:sz="0" w:space="0" w:color="auto"/>
            <w:bottom w:val="none" w:sz="0" w:space="0" w:color="auto"/>
            <w:right w:val="none" w:sz="0" w:space="0" w:color="auto"/>
          </w:divBdr>
        </w:div>
        <w:div w:id="1499930262">
          <w:marLeft w:val="640"/>
          <w:marRight w:val="0"/>
          <w:marTop w:val="0"/>
          <w:marBottom w:val="0"/>
          <w:divBdr>
            <w:top w:val="none" w:sz="0" w:space="0" w:color="auto"/>
            <w:left w:val="none" w:sz="0" w:space="0" w:color="auto"/>
            <w:bottom w:val="none" w:sz="0" w:space="0" w:color="auto"/>
            <w:right w:val="none" w:sz="0" w:space="0" w:color="auto"/>
          </w:divBdr>
        </w:div>
        <w:div w:id="219905026">
          <w:marLeft w:val="640"/>
          <w:marRight w:val="0"/>
          <w:marTop w:val="0"/>
          <w:marBottom w:val="0"/>
          <w:divBdr>
            <w:top w:val="none" w:sz="0" w:space="0" w:color="auto"/>
            <w:left w:val="none" w:sz="0" w:space="0" w:color="auto"/>
            <w:bottom w:val="none" w:sz="0" w:space="0" w:color="auto"/>
            <w:right w:val="none" w:sz="0" w:space="0" w:color="auto"/>
          </w:divBdr>
        </w:div>
        <w:div w:id="994189619">
          <w:marLeft w:val="640"/>
          <w:marRight w:val="0"/>
          <w:marTop w:val="0"/>
          <w:marBottom w:val="0"/>
          <w:divBdr>
            <w:top w:val="none" w:sz="0" w:space="0" w:color="auto"/>
            <w:left w:val="none" w:sz="0" w:space="0" w:color="auto"/>
            <w:bottom w:val="none" w:sz="0" w:space="0" w:color="auto"/>
            <w:right w:val="none" w:sz="0" w:space="0" w:color="auto"/>
          </w:divBdr>
        </w:div>
        <w:div w:id="67197872">
          <w:marLeft w:val="640"/>
          <w:marRight w:val="0"/>
          <w:marTop w:val="0"/>
          <w:marBottom w:val="0"/>
          <w:divBdr>
            <w:top w:val="none" w:sz="0" w:space="0" w:color="auto"/>
            <w:left w:val="none" w:sz="0" w:space="0" w:color="auto"/>
            <w:bottom w:val="none" w:sz="0" w:space="0" w:color="auto"/>
            <w:right w:val="none" w:sz="0" w:space="0" w:color="auto"/>
          </w:divBdr>
        </w:div>
        <w:div w:id="953293986">
          <w:marLeft w:val="640"/>
          <w:marRight w:val="0"/>
          <w:marTop w:val="0"/>
          <w:marBottom w:val="0"/>
          <w:divBdr>
            <w:top w:val="none" w:sz="0" w:space="0" w:color="auto"/>
            <w:left w:val="none" w:sz="0" w:space="0" w:color="auto"/>
            <w:bottom w:val="none" w:sz="0" w:space="0" w:color="auto"/>
            <w:right w:val="none" w:sz="0" w:space="0" w:color="auto"/>
          </w:divBdr>
        </w:div>
        <w:div w:id="310252467">
          <w:marLeft w:val="640"/>
          <w:marRight w:val="0"/>
          <w:marTop w:val="0"/>
          <w:marBottom w:val="0"/>
          <w:divBdr>
            <w:top w:val="none" w:sz="0" w:space="0" w:color="auto"/>
            <w:left w:val="none" w:sz="0" w:space="0" w:color="auto"/>
            <w:bottom w:val="none" w:sz="0" w:space="0" w:color="auto"/>
            <w:right w:val="none" w:sz="0" w:space="0" w:color="auto"/>
          </w:divBdr>
        </w:div>
        <w:div w:id="1157956257">
          <w:marLeft w:val="640"/>
          <w:marRight w:val="0"/>
          <w:marTop w:val="0"/>
          <w:marBottom w:val="0"/>
          <w:divBdr>
            <w:top w:val="none" w:sz="0" w:space="0" w:color="auto"/>
            <w:left w:val="none" w:sz="0" w:space="0" w:color="auto"/>
            <w:bottom w:val="none" w:sz="0" w:space="0" w:color="auto"/>
            <w:right w:val="none" w:sz="0" w:space="0" w:color="auto"/>
          </w:divBdr>
        </w:div>
        <w:div w:id="265234542">
          <w:marLeft w:val="640"/>
          <w:marRight w:val="0"/>
          <w:marTop w:val="0"/>
          <w:marBottom w:val="0"/>
          <w:divBdr>
            <w:top w:val="none" w:sz="0" w:space="0" w:color="auto"/>
            <w:left w:val="none" w:sz="0" w:space="0" w:color="auto"/>
            <w:bottom w:val="none" w:sz="0" w:space="0" w:color="auto"/>
            <w:right w:val="none" w:sz="0" w:space="0" w:color="auto"/>
          </w:divBdr>
        </w:div>
        <w:div w:id="317271180">
          <w:marLeft w:val="640"/>
          <w:marRight w:val="0"/>
          <w:marTop w:val="0"/>
          <w:marBottom w:val="0"/>
          <w:divBdr>
            <w:top w:val="none" w:sz="0" w:space="0" w:color="auto"/>
            <w:left w:val="none" w:sz="0" w:space="0" w:color="auto"/>
            <w:bottom w:val="none" w:sz="0" w:space="0" w:color="auto"/>
            <w:right w:val="none" w:sz="0" w:space="0" w:color="auto"/>
          </w:divBdr>
        </w:div>
        <w:div w:id="1158571113">
          <w:marLeft w:val="640"/>
          <w:marRight w:val="0"/>
          <w:marTop w:val="0"/>
          <w:marBottom w:val="0"/>
          <w:divBdr>
            <w:top w:val="none" w:sz="0" w:space="0" w:color="auto"/>
            <w:left w:val="none" w:sz="0" w:space="0" w:color="auto"/>
            <w:bottom w:val="none" w:sz="0" w:space="0" w:color="auto"/>
            <w:right w:val="none" w:sz="0" w:space="0" w:color="auto"/>
          </w:divBdr>
        </w:div>
        <w:div w:id="1271618807">
          <w:marLeft w:val="640"/>
          <w:marRight w:val="0"/>
          <w:marTop w:val="0"/>
          <w:marBottom w:val="0"/>
          <w:divBdr>
            <w:top w:val="none" w:sz="0" w:space="0" w:color="auto"/>
            <w:left w:val="none" w:sz="0" w:space="0" w:color="auto"/>
            <w:bottom w:val="none" w:sz="0" w:space="0" w:color="auto"/>
            <w:right w:val="none" w:sz="0" w:space="0" w:color="auto"/>
          </w:divBdr>
        </w:div>
        <w:div w:id="2075657077">
          <w:marLeft w:val="640"/>
          <w:marRight w:val="0"/>
          <w:marTop w:val="0"/>
          <w:marBottom w:val="0"/>
          <w:divBdr>
            <w:top w:val="none" w:sz="0" w:space="0" w:color="auto"/>
            <w:left w:val="none" w:sz="0" w:space="0" w:color="auto"/>
            <w:bottom w:val="none" w:sz="0" w:space="0" w:color="auto"/>
            <w:right w:val="none" w:sz="0" w:space="0" w:color="auto"/>
          </w:divBdr>
        </w:div>
        <w:div w:id="66850651">
          <w:marLeft w:val="640"/>
          <w:marRight w:val="0"/>
          <w:marTop w:val="0"/>
          <w:marBottom w:val="0"/>
          <w:divBdr>
            <w:top w:val="none" w:sz="0" w:space="0" w:color="auto"/>
            <w:left w:val="none" w:sz="0" w:space="0" w:color="auto"/>
            <w:bottom w:val="none" w:sz="0" w:space="0" w:color="auto"/>
            <w:right w:val="none" w:sz="0" w:space="0" w:color="auto"/>
          </w:divBdr>
        </w:div>
        <w:div w:id="169176862">
          <w:marLeft w:val="640"/>
          <w:marRight w:val="0"/>
          <w:marTop w:val="0"/>
          <w:marBottom w:val="0"/>
          <w:divBdr>
            <w:top w:val="none" w:sz="0" w:space="0" w:color="auto"/>
            <w:left w:val="none" w:sz="0" w:space="0" w:color="auto"/>
            <w:bottom w:val="none" w:sz="0" w:space="0" w:color="auto"/>
            <w:right w:val="none" w:sz="0" w:space="0" w:color="auto"/>
          </w:divBdr>
        </w:div>
        <w:div w:id="1870678567">
          <w:marLeft w:val="640"/>
          <w:marRight w:val="0"/>
          <w:marTop w:val="0"/>
          <w:marBottom w:val="0"/>
          <w:divBdr>
            <w:top w:val="none" w:sz="0" w:space="0" w:color="auto"/>
            <w:left w:val="none" w:sz="0" w:space="0" w:color="auto"/>
            <w:bottom w:val="none" w:sz="0" w:space="0" w:color="auto"/>
            <w:right w:val="none" w:sz="0" w:space="0" w:color="auto"/>
          </w:divBdr>
        </w:div>
        <w:div w:id="1495951281">
          <w:marLeft w:val="640"/>
          <w:marRight w:val="0"/>
          <w:marTop w:val="0"/>
          <w:marBottom w:val="0"/>
          <w:divBdr>
            <w:top w:val="none" w:sz="0" w:space="0" w:color="auto"/>
            <w:left w:val="none" w:sz="0" w:space="0" w:color="auto"/>
            <w:bottom w:val="none" w:sz="0" w:space="0" w:color="auto"/>
            <w:right w:val="none" w:sz="0" w:space="0" w:color="auto"/>
          </w:divBdr>
        </w:div>
        <w:div w:id="38939314">
          <w:marLeft w:val="640"/>
          <w:marRight w:val="0"/>
          <w:marTop w:val="0"/>
          <w:marBottom w:val="0"/>
          <w:divBdr>
            <w:top w:val="none" w:sz="0" w:space="0" w:color="auto"/>
            <w:left w:val="none" w:sz="0" w:space="0" w:color="auto"/>
            <w:bottom w:val="none" w:sz="0" w:space="0" w:color="auto"/>
            <w:right w:val="none" w:sz="0" w:space="0" w:color="auto"/>
          </w:divBdr>
        </w:div>
        <w:div w:id="812061887">
          <w:marLeft w:val="640"/>
          <w:marRight w:val="0"/>
          <w:marTop w:val="0"/>
          <w:marBottom w:val="0"/>
          <w:divBdr>
            <w:top w:val="none" w:sz="0" w:space="0" w:color="auto"/>
            <w:left w:val="none" w:sz="0" w:space="0" w:color="auto"/>
            <w:bottom w:val="none" w:sz="0" w:space="0" w:color="auto"/>
            <w:right w:val="none" w:sz="0" w:space="0" w:color="auto"/>
          </w:divBdr>
        </w:div>
        <w:div w:id="2140879151">
          <w:marLeft w:val="640"/>
          <w:marRight w:val="0"/>
          <w:marTop w:val="0"/>
          <w:marBottom w:val="0"/>
          <w:divBdr>
            <w:top w:val="none" w:sz="0" w:space="0" w:color="auto"/>
            <w:left w:val="none" w:sz="0" w:space="0" w:color="auto"/>
            <w:bottom w:val="none" w:sz="0" w:space="0" w:color="auto"/>
            <w:right w:val="none" w:sz="0" w:space="0" w:color="auto"/>
          </w:divBdr>
        </w:div>
        <w:div w:id="1041906985">
          <w:marLeft w:val="640"/>
          <w:marRight w:val="0"/>
          <w:marTop w:val="0"/>
          <w:marBottom w:val="0"/>
          <w:divBdr>
            <w:top w:val="none" w:sz="0" w:space="0" w:color="auto"/>
            <w:left w:val="none" w:sz="0" w:space="0" w:color="auto"/>
            <w:bottom w:val="none" w:sz="0" w:space="0" w:color="auto"/>
            <w:right w:val="none" w:sz="0" w:space="0" w:color="auto"/>
          </w:divBdr>
        </w:div>
        <w:div w:id="692650022">
          <w:marLeft w:val="640"/>
          <w:marRight w:val="0"/>
          <w:marTop w:val="0"/>
          <w:marBottom w:val="0"/>
          <w:divBdr>
            <w:top w:val="none" w:sz="0" w:space="0" w:color="auto"/>
            <w:left w:val="none" w:sz="0" w:space="0" w:color="auto"/>
            <w:bottom w:val="none" w:sz="0" w:space="0" w:color="auto"/>
            <w:right w:val="none" w:sz="0" w:space="0" w:color="auto"/>
          </w:divBdr>
        </w:div>
        <w:div w:id="778334406">
          <w:marLeft w:val="640"/>
          <w:marRight w:val="0"/>
          <w:marTop w:val="0"/>
          <w:marBottom w:val="0"/>
          <w:divBdr>
            <w:top w:val="none" w:sz="0" w:space="0" w:color="auto"/>
            <w:left w:val="none" w:sz="0" w:space="0" w:color="auto"/>
            <w:bottom w:val="none" w:sz="0" w:space="0" w:color="auto"/>
            <w:right w:val="none" w:sz="0" w:space="0" w:color="auto"/>
          </w:divBdr>
        </w:div>
        <w:div w:id="1475757457">
          <w:marLeft w:val="640"/>
          <w:marRight w:val="0"/>
          <w:marTop w:val="0"/>
          <w:marBottom w:val="0"/>
          <w:divBdr>
            <w:top w:val="none" w:sz="0" w:space="0" w:color="auto"/>
            <w:left w:val="none" w:sz="0" w:space="0" w:color="auto"/>
            <w:bottom w:val="none" w:sz="0" w:space="0" w:color="auto"/>
            <w:right w:val="none" w:sz="0" w:space="0" w:color="auto"/>
          </w:divBdr>
        </w:div>
        <w:div w:id="137186328">
          <w:marLeft w:val="640"/>
          <w:marRight w:val="0"/>
          <w:marTop w:val="0"/>
          <w:marBottom w:val="0"/>
          <w:divBdr>
            <w:top w:val="none" w:sz="0" w:space="0" w:color="auto"/>
            <w:left w:val="none" w:sz="0" w:space="0" w:color="auto"/>
            <w:bottom w:val="none" w:sz="0" w:space="0" w:color="auto"/>
            <w:right w:val="none" w:sz="0" w:space="0" w:color="auto"/>
          </w:divBdr>
        </w:div>
        <w:div w:id="1584947316">
          <w:marLeft w:val="640"/>
          <w:marRight w:val="0"/>
          <w:marTop w:val="0"/>
          <w:marBottom w:val="0"/>
          <w:divBdr>
            <w:top w:val="none" w:sz="0" w:space="0" w:color="auto"/>
            <w:left w:val="none" w:sz="0" w:space="0" w:color="auto"/>
            <w:bottom w:val="none" w:sz="0" w:space="0" w:color="auto"/>
            <w:right w:val="none" w:sz="0" w:space="0" w:color="auto"/>
          </w:divBdr>
        </w:div>
        <w:div w:id="2067028588">
          <w:marLeft w:val="640"/>
          <w:marRight w:val="0"/>
          <w:marTop w:val="0"/>
          <w:marBottom w:val="0"/>
          <w:divBdr>
            <w:top w:val="none" w:sz="0" w:space="0" w:color="auto"/>
            <w:left w:val="none" w:sz="0" w:space="0" w:color="auto"/>
            <w:bottom w:val="none" w:sz="0" w:space="0" w:color="auto"/>
            <w:right w:val="none" w:sz="0" w:space="0" w:color="auto"/>
          </w:divBdr>
        </w:div>
        <w:div w:id="1131899406">
          <w:marLeft w:val="640"/>
          <w:marRight w:val="0"/>
          <w:marTop w:val="0"/>
          <w:marBottom w:val="0"/>
          <w:divBdr>
            <w:top w:val="none" w:sz="0" w:space="0" w:color="auto"/>
            <w:left w:val="none" w:sz="0" w:space="0" w:color="auto"/>
            <w:bottom w:val="none" w:sz="0" w:space="0" w:color="auto"/>
            <w:right w:val="none" w:sz="0" w:space="0" w:color="auto"/>
          </w:divBdr>
        </w:div>
        <w:div w:id="751009304">
          <w:marLeft w:val="640"/>
          <w:marRight w:val="0"/>
          <w:marTop w:val="0"/>
          <w:marBottom w:val="0"/>
          <w:divBdr>
            <w:top w:val="none" w:sz="0" w:space="0" w:color="auto"/>
            <w:left w:val="none" w:sz="0" w:space="0" w:color="auto"/>
            <w:bottom w:val="none" w:sz="0" w:space="0" w:color="auto"/>
            <w:right w:val="none" w:sz="0" w:space="0" w:color="auto"/>
          </w:divBdr>
        </w:div>
        <w:div w:id="581642328">
          <w:marLeft w:val="640"/>
          <w:marRight w:val="0"/>
          <w:marTop w:val="0"/>
          <w:marBottom w:val="0"/>
          <w:divBdr>
            <w:top w:val="none" w:sz="0" w:space="0" w:color="auto"/>
            <w:left w:val="none" w:sz="0" w:space="0" w:color="auto"/>
            <w:bottom w:val="none" w:sz="0" w:space="0" w:color="auto"/>
            <w:right w:val="none" w:sz="0" w:space="0" w:color="auto"/>
          </w:divBdr>
        </w:div>
        <w:div w:id="461926518">
          <w:marLeft w:val="640"/>
          <w:marRight w:val="0"/>
          <w:marTop w:val="0"/>
          <w:marBottom w:val="0"/>
          <w:divBdr>
            <w:top w:val="none" w:sz="0" w:space="0" w:color="auto"/>
            <w:left w:val="none" w:sz="0" w:space="0" w:color="auto"/>
            <w:bottom w:val="none" w:sz="0" w:space="0" w:color="auto"/>
            <w:right w:val="none" w:sz="0" w:space="0" w:color="auto"/>
          </w:divBdr>
        </w:div>
        <w:div w:id="95248299">
          <w:marLeft w:val="640"/>
          <w:marRight w:val="0"/>
          <w:marTop w:val="0"/>
          <w:marBottom w:val="0"/>
          <w:divBdr>
            <w:top w:val="none" w:sz="0" w:space="0" w:color="auto"/>
            <w:left w:val="none" w:sz="0" w:space="0" w:color="auto"/>
            <w:bottom w:val="none" w:sz="0" w:space="0" w:color="auto"/>
            <w:right w:val="none" w:sz="0" w:space="0" w:color="auto"/>
          </w:divBdr>
        </w:div>
        <w:div w:id="1191336822">
          <w:marLeft w:val="640"/>
          <w:marRight w:val="0"/>
          <w:marTop w:val="0"/>
          <w:marBottom w:val="0"/>
          <w:divBdr>
            <w:top w:val="none" w:sz="0" w:space="0" w:color="auto"/>
            <w:left w:val="none" w:sz="0" w:space="0" w:color="auto"/>
            <w:bottom w:val="none" w:sz="0" w:space="0" w:color="auto"/>
            <w:right w:val="none" w:sz="0" w:space="0" w:color="auto"/>
          </w:divBdr>
        </w:div>
        <w:div w:id="167521711">
          <w:marLeft w:val="640"/>
          <w:marRight w:val="0"/>
          <w:marTop w:val="0"/>
          <w:marBottom w:val="0"/>
          <w:divBdr>
            <w:top w:val="none" w:sz="0" w:space="0" w:color="auto"/>
            <w:left w:val="none" w:sz="0" w:space="0" w:color="auto"/>
            <w:bottom w:val="none" w:sz="0" w:space="0" w:color="auto"/>
            <w:right w:val="none" w:sz="0" w:space="0" w:color="auto"/>
          </w:divBdr>
        </w:div>
        <w:div w:id="22020183">
          <w:marLeft w:val="640"/>
          <w:marRight w:val="0"/>
          <w:marTop w:val="0"/>
          <w:marBottom w:val="0"/>
          <w:divBdr>
            <w:top w:val="none" w:sz="0" w:space="0" w:color="auto"/>
            <w:left w:val="none" w:sz="0" w:space="0" w:color="auto"/>
            <w:bottom w:val="none" w:sz="0" w:space="0" w:color="auto"/>
            <w:right w:val="none" w:sz="0" w:space="0" w:color="auto"/>
          </w:divBdr>
        </w:div>
        <w:div w:id="968164779">
          <w:marLeft w:val="640"/>
          <w:marRight w:val="0"/>
          <w:marTop w:val="0"/>
          <w:marBottom w:val="0"/>
          <w:divBdr>
            <w:top w:val="none" w:sz="0" w:space="0" w:color="auto"/>
            <w:left w:val="none" w:sz="0" w:space="0" w:color="auto"/>
            <w:bottom w:val="none" w:sz="0" w:space="0" w:color="auto"/>
            <w:right w:val="none" w:sz="0" w:space="0" w:color="auto"/>
          </w:divBdr>
        </w:div>
        <w:div w:id="932014506">
          <w:marLeft w:val="640"/>
          <w:marRight w:val="0"/>
          <w:marTop w:val="0"/>
          <w:marBottom w:val="0"/>
          <w:divBdr>
            <w:top w:val="none" w:sz="0" w:space="0" w:color="auto"/>
            <w:left w:val="none" w:sz="0" w:space="0" w:color="auto"/>
            <w:bottom w:val="none" w:sz="0" w:space="0" w:color="auto"/>
            <w:right w:val="none" w:sz="0" w:space="0" w:color="auto"/>
          </w:divBdr>
        </w:div>
        <w:div w:id="1919360249">
          <w:marLeft w:val="640"/>
          <w:marRight w:val="0"/>
          <w:marTop w:val="0"/>
          <w:marBottom w:val="0"/>
          <w:divBdr>
            <w:top w:val="none" w:sz="0" w:space="0" w:color="auto"/>
            <w:left w:val="none" w:sz="0" w:space="0" w:color="auto"/>
            <w:bottom w:val="none" w:sz="0" w:space="0" w:color="auto"/>
            <w:right w:val="none" w:sz="0" w:space="0" w:color="auto"/>
          </w:divBdr>
        </w:div>
        <w:div w:id="977028315">
          <w:marLeft w:val="640"/>
          <w:marRight w:val="0"/>
          <w:marTop w:val="0"/>
          <w:marBottom w:val="0"/>
          <w:divBdr>
            <w:top w:val="none" w:sz="0" w:space="0" w:color="auto"/>
            <w:left w:val="none" w:sz="0" w:space="0" w:color="auto"/>
            <w:bottom w:val="none" w:sz="0" w:space="0" w:color="auto"/>
            <w:right w:val="none" w:sz="0" w:space="0" w:color="auto"/>
          </w:divBdr>
        </w:div>
        <w:div w:id="2073774209">
          <w:marLeft w:val="640"/>
          <w:marRight w:val="0"/>
          <w:marTop w:val="0"/>
          <w:marBottom w:val="0"/>
          <w:divBdr>
            <w:top w:val="none" w:sz="0" w:space="0" w:color="auto"/>
            <w:left w:val="none" w:sz="0" w:space="0" w:color="auto"/>
            <w:bottom w:val="none" w:sz="0" w:space="0" w:color="auto"/>
            <w:right w:val="none" w:sz="0" w:space="0" w:color="auto"/>
          </w:divBdr>
        </w:div>
        <w:div w:id="1976370937">
          <w:marLeft w:val="640"/>
          <w:marRight w:val="0"/>
          <w:marTop w:val="0"/>
          <w:marBottom w:val="0"/>
          <w:divBdr>
            <w:top w:val="none" w:sz="0" w:space="0" w:color="auto"/>
            <w:left w:val="none" w:sz="0" w:space="0" w:color="auto"/>
            <w:bottom w:val="none" w:sz="0" w:space="0" w:color="auto"/>
            <w:right w:val="none" w:sz="0" w:space="0" w:color="auto"/>
          </w:divBdr>
        </w:div>
        <w:div w:id="1392999716">
          <w:marLeft w:val="640"/>
          <w:marRight w:val="0"/>
          <w:marTop w:val="0"/>
          <w:marBottom w:val="0"/>
          <w:divBdr>
            <w:top w:val="none" w:sz="0" w:space="0" w:color="auto"/>
            <w:left w:val="none" w:sz="0" w:space="0" w:color="auto"/>
            <w:bottom w:val="none" w:sz="0" w:space="0" w:color="auto"/>
            <w:right w:val="none" w:sz="0" w:space="0" w:color="auto"/>
          </w:divBdr>
        </w:div>
        <w:div w:id="82801100">
          <w:marLeft w:val="640"/>
          <w:marRight w:val="0"/>
          <w:marTop w:val="0"/>
          <w:marBottom w:val="0"/>
          <w:divBdr>
            <w:top w:val="none" w:sz="0" w:space="0" w:color="auto"/>
            <w:left w:val="none" w:sz="0" w:space="0" w:color="auto"/>
            <w:bottom w:val="none" w:sz="0" w:space="0" w:color="auto"/>
            <w:right w:val="none" w:sz="0" w:space="0" w:color="auto"/>
          </w:divBdr>
        </w:div>
      </w:divsChild>
    </w:div>
    <w:div w:id="424040662">
      <w:bodyDiv w:val="1"/>
      <w:marLeft w:val="0"/>
      <w:marRight w:val="0"/>
      <w:marTop w:val="0"/>
      <w:marBottom w:val="0"/>
      <w:divBdr>
        <w:top w:val="none" w:sz="0" w:space="0" w:color="auto"/>
        <w:left w:val="none" w:sz="0" w:space="0" w:color="auto"/>
        <w:bottom w:val="none" w:sz="0" w:space="0" w:color="auto"/>
        <w:right w:val="none" w:sz="0" w:space="0" w:color="auto"/>
      </w:divBdr>
      <w:divsChild>
        <w:div w:id="576093727">
          <w:marLeft w:val="640"/>
          <w:marRight w:val="0"/>
          <w:marTop w:val="0"/>
          <w:marBottom w:val="0"/>
          <w:divBdr>
            <w:top w:val="none" w:sz="0" w:space="0" w:color="auto"/>
            <w:left w:val="none" w:sz="0" w:space="0" w:color="auto"/>
            <w:bottom w:val="none" w:sz="0" w:space="0" w:color="auto"/>
            <w:right w:val="none" w:sz="0" w:space="0" w:color="auto"/>
          </w:divBdr>
        </w:div>
        <w:div w:id="936908142">
          <w:marLeft w:val="640"/>
          <w:marRight w:val="0"/>
          <w:marTop w:val="0"/>
          <w:marBottom w:val="0"/>
          <w:divBdr>
            <w:top w:val="none" w:sz="0" w:space="0" w:color="auto"/>
            <w:left w:val="none" w:sz="0" w:space="0" w:color="auto"/>
            <w:bottom w:val="none" w:sz="0" w:space="0" w:color="auto"/>
            <w:right w:val="none" w:sz="0" w:space="0" w:color="auto"/>
          </w:divBdr>
        </w:div>
        <w:div w:id="417020239">
          <w:marLeft w:val="640"/>
          <w:marRight w:val="0"/>
          <w:marTop w:val="0"/>
          <w:marBottom w:val="0"/>
          <w:divBdr>
            <w:top w:val="none" w:sz="0" w:space="0" w:color="auto"/>
            <w:left w:val="none" w:sz="0" w:space="0" w:color="auto"/>
            <w:bottom w:val="none" w:sz="0" w:space="0" w:color="auto"/>
            <w:right w:val="none" w:sz="0" w:space="0" w:color="auto"/>
          </w:divBdr>
        </w:div>
        <w:div w:id="1755586619">
          <w:marLeft w:val="640"/>
          <w:marRight w:val="0"/>
          <w:marTop w:val="0"/>
          <w:marBottom w:val="0"/>
          <w:divBdr>
            <w:top w:val="none" w:sz="0" w:space="0" w:color="auto"/>
            <w:left w:val="none" w:sz="0" w:space="0" w:color="auto"/>
            <w:bottom w:val="none" w:sz="0" w:space="0" w:color="auto"/>
            <w:right w:val="none" w:sz="0" w:space="0" w:color="auto"/>
          </w:divBdr>
        </w:div>
        <w:div w:id="410464307">
          <w:marLeft w:val="640"/>
          <w:marRight w:val="0"/>
          <w:marTop w:val="0"/>
          <w:marBottom w:val="0"/>
          <w:divBdr>
            <w:top w:val="none" w:sz="0" w:space="0" w:color="auto"/>
            <w:left w:val="none" w:sz="0" w:space="0" w:color="auto"/>
            <w:bottom w:val="none" w:sz="0" w:space="0" w:color="auto"/>
            <w:right w:val="none" w:sz="0" w:space="0" w:color="auto"/>
          </w:divBdr>
        </w:div>
        <w:div w:id="1236015884">
          <w:marLeft w:val="640"/>
          <w:marRight w:val="0"/>
          <w:marTop w:val="0"/>
          <w:marBottom w:val="0"/>
          <w:divBdr>
            <w:top w:val="none" w:sz="0" w:space="0" w:color="auto"/>
            <w:left w:val="none" w:sz="0" w:space="0" w:color="auto"/>
            <w:bottom w:val="none" w:sz="0" w:space="0" w:color="auto"/>
            <w:right w:val="none" w:sz="0" w:space="0" w:color="auto"/>
          </w:divBdr>
        </w:div>
        <w:div w:id="1457523201">
          <w:marLeft w:val="640"/>
          <w:marRight w:val="0"/>
          <w:marTop w:val="0"/>
          <w:marBottom w:val="0"/>
          <w:divBdr>
            <w:top w:val="none" w:sz="0" w:space="0" w:color="auto"/>
            <w:left w:val="none" w:sz="0" w:space="0" w:color="auto"/>
            <w:bottom w:val="none" w:sz="0" w:space="0" w:color="auto"/>
            <w:right w:val="none" w:sz="0" w:space="0" w:color="auto"/>
          </w:divBdr>
        </w:div>
        <w:div w:id="1640380956">
          <w:marLeft w:val="640"/>
          <w:marRight w:val="0"/>
          <w:marTop w:val="0"/>
          <w:marBottom w:val="0"/>
          <w:divBdr>
            <w:top w:val="none" w:sz="0" w:space="0" w:color="auto"/>
            <w:left w:val="none" w:sz="0" w:space="0" w:color="auto"/>
            <w:bottom w:val="none" w:sz="0" w:space="0" w:color="auto"/>
            <w:right w:val="none" w:sz="0" w:space="0" w:color="auto"/>
          </w:divBdr>
        </w:div>
        <w:div w:id="1559706711">
          <w:marLeft w:val="640"/>
          <w:marRight w:val="0"/>
          <w:marTop w:val="0"/>
          <w:marBottom w:val="0"/>
          <w:divBdr>
            <w:top w:val="none" w:sz="0" w:space="0" w:color="auto"/>
            <w:left w:val="none" w:sz="0" w:space="0" w:color="auto"/>
            <w:bottom w:val="none" w:sz="0" w:space="0" w:color="auto"/>
            <w:right w:val="none" w:sz="0" w:space="0" w:color="auto"/>
          </w:divBdr>
        </w:div>
        <w:div w:id="1443769855">
          <w:marLeft w:val="640"/>
          <w:marRight w:val="0"/>
          <w:marTop w:val="0"/>
          <w:marBottom w:val="0"/>
          <w:divBdr>
            <w:top w:val="none" w:sz="0" w:space="0" w:color="auto"/>
            <w:left w:val="none" w:sz="0" w:space="0" w:color="auto"/>
            <w:bottom w:val="none" w:sz="0" w:space="0" w:color="auto"/>
            <w:right w:val="none" w:sz="0" w:space="0" w:color="auto"/>
          </w:divBdr>
        </w:div>
        <w:div w:id="1184980957">
          <w:marLeft w:val="640"/>
          <w:marRight w:val="0"/>
          <w:marTop w:val="0"/>
          <w:marBottom w:val="0"/>
          <w:divBdr>
            <w:top w:val="none" w:sz="0" w:space="0" w:color="auto"/>
            <w:left w:val="none" w:sz="0" w:space="0" w:color="auto"/>
            <w:bottom w:val="none" w:sz="0" w:space="0" w:color="auto"/>
            <w:right w:val="none" w:sz="0" w:space="0" w:color="auto"/>
          </w:divBdr>
        </w:div>
        <w:div w:id="1826051392">
          <w:marLeft w:val="640"/>
          <w:marRight w:val="0"/>
          <w:marTop w:val="0"/>
          <w:marBottom w:val="0"/>
          <w:divBdr>
            <w:top w:val="none" w:sz="0" w:space="0" w:color="auto"/>
            <w:left w:val="none" w:sz="0" w:space="0" w:color="auto"/>
            <w:bottom w:val="none" w:sz="0" w:space="0" w:color="auto"/>
            <w:right w:val="none" w:sz="0" w:space="0" w:color="auto"/>
          </w:divBdr>
        </w:div>
        <w:div w:id="1213619487">
          <w:marLeft w:val="640"/>
          <w:marRight w:val="0"/>
          <w:marTop w:val="0"/>
          <w:marBottom w:val="0"/>
          <w:divBdr>
            <w:top w:val="none" w:sz="0" w:space="0" w:color="auto"/>
            <w:left w:val="none" w:sz="0" w:space="0" w:color="auto"/>
            <w:bottom w:val="none" w:sz="0" w:space="0" w:color="auto"/>
            <w:right w:val="none" w:sz="0" w:space="0" w:color="auto"/>
          </w:divBdr>
        </w:div>
        <w:div w:id="533271225">
          <w:marLeft w:val="640"/>
          <w:marRight w:val="0"/>
          <w:marTop w:val="0"/>
          <w:marBottom w:val="0"/>
          <w:divBdr>
            <w:top w:val="none" w:sz="0" w:space="0" w:color="auto"/>
            <w:left w:val="none" w:sz="0" w:space="0" w:color="auto"/>
            <w:bottom w:val="none" w:sz="0" w:space="0" w:color="auto"/>
            <w:right w:val="none" w:sz="0" w:space="0" w:color="auto"/>
          </w:divBdr>
        </w:div>
        <w:div w:id="714233201">
          <w:marLeft w:val="640"/>
          <w:marRight w:val="0"/>
          <w:marTop w:val="0"/>
          <w:marBottom w:val="0"/>
          <w:divBdr>
            <w:top w:val="none" w:sz="0" w:space="0" w:color="auto"/>
            <w:left w:val="none" w:sz="0" w:space="0" w:color="auto"/>
            <w:bottom w:val="none" w:sz="0" w:space="0" w:color="auto"/>
            <w:right w:val="none" w:sz="0" w:space="0" w:color="auto"/>
          </w:divBdr>
        </w:div>
        <w:div w:id="1178274844">
          <w:marLeft w:val="640"/>
          <w:marRight w:val="0"/>
          <w:marTop w:val="0"/>
          <w:marBottom w:val="0"/>
          <w:divBdr>
            <w:top w:val="none" w:sz="0" w:space="0" w:color="auto"/>
            <w:left w:val="none" w:sz="0" w:space="0" w:color="auto"/>
            <w:bottom w:val="none" w:sz="0" w:space="0" w:color="auto"/>
            <w:right w:val="none" w:sz="0" w:space="0" w:color="auto"/>
          </w:divBdr>
        </w:div>
        <w:div w:id="762603501">
          <w:marLeft w:val="640"/>
          <w:marRight w:val="0"/>
          <w:marTop w:val="0"/>
          <w:marBottom w:val="0"/>
          <w:divBdr>
            <w:top w:val="none" w:sz="0" w:space="0" w:color="auto"/>
            <w:left w:val="none" w:sz="0" w:space="0" w:color="auto"/>
            <w:bottom w:val="none" w:sz="0" w:space="0" w:color="auto"/>
            <w:right w:val="none" w:sz="0" w:space="0" w:color="auto"/>
          </w:divBdr>
        </w:div>
        <w:div w:id="601838990">
          <w:marLeft w:val="640"/>
          <w:marRight w:val="0"/>
          <w:marTop w:val="0"/>
          <w:marBottom w:val="0"/>
          <w:divBdr>
            <w:top w:val="none" w:sz="0" w:space="0" w:color="auto"/>
            <w:left w:val="none" w:sz="0" w:space="0" w:color="auto"/>
            <w:bottom w:val="none" w:sz="0" w:space="0" w:color="auto"/>
            <w:right w:val="none" w:sz="0" w:space="0" w:color="auto"/>
          </w:divBdr>
        </w:div>
        <w:div w:id="1205218291">
          <w:marLeft w:val="640"/>
          <w:marRight w:val="0"/>
          <w:marTop w:val="0"/>
          <w:marBottom w:val="0"/>
          <w:divBdr>
            <w:top w:val="none" w:sz="0" w:space="0" w:color="auto"/>
            <w:left w:val="none" w:sz="0" w:space="0" w:color="auto"/>
            <w:bottom w:val="none" w:sz="0" w:space="0" w:color="auto"/>
            <w:right w:val="none" w:sz="0" w:space="0" w:color="auto"/>
          </w:divBdr>
        </w:div>
        <w:div w:id="670913359">
          <w:marLeft w:val="640"/>
          <w:marRight w:val="0"/>
          <w:marTop w:val="0"/>
          <w:marBottom w:val="0"/>
          <w:divBdr>
            <w:top w:val="none" w:sz="0" w:space="0" w:color="auto"/>
            <w:left w:val="none" w:sz="0" w:space="0" w:color="auto"/>
            <w:bottom w:val="none" w:sz="0" w:space="0" w:color="auto"/>
            <w:right w:val="none" w:sz="0" w:space="0" w:color="auto"/>
          </w:divBdr>
        </w:div>
        <w:div w:id="203251076">
          <w:marLeft w:val="640"/>
          <w:marRight w:val="0"/>
          <w:marTop w:val="0"/>
          <w:marBottom w:val="0"/>
          <w:divBdr>
            <w:top w:val="none" w:sz="0" w:space="0" w:color="auto"/>
            <w:left w:val="none" w:sz="0" w:space="0" w:color="auto"/>
            <w:bottom w:val="none" w:sz="0" w:space="0" w:color="auto"/>
            <w:right w:val="none" w:sz="0" w:space="0" w:color="auto"/>
          </w:divBdr>
        </w:div>
        <w:div w:id="61493743">
          <w:marLeft w:val="640"/>
          <w:marRight w:val="0"/>
          <w:marTop w:val="0"/>
          <w:marBottom w:val="0"/>
          <w:divBdr>
            <w:top w:val="none" w:sz="0" w:space="0" w:color="auto"/>
            <w:left w:val="none" w:sz="0" w:space="0" w:color="auto"/>
            <w:bottom w:val="none" w:sz="0" w:space="0" w:color="auto"/>
            <w:right w:val="none" w:sz="0" w:space="0" w:color="auto"/>
          </w:divBdr>
        </w:div>
        <w:div w:id="957758961">
          <w:marLeft w:val="640"/>
          <w:marRight w:val="0"/>
          <w:marTop w:val="0"/>
          <w:marBottom w:val="0"/>
          <w:divBdr>
            <w:top w:val="none" w:sz="0" w:space="0" w:color="auto"/>
            <w:left w:val="none" w:sz="0" w:space="0" w:color="auto"/>
            <w:bottom w:val="none" w:sz="0" w:space="0" w:color="auto"/>
            <w:right w:val="none" w:sz="0" w:space="0" w:color="auto"/>
          </w:divBdr>
        </w:div>
        <w:div w:id="64912163">
          <w:marLeft w:val="640"/>
          <w:marRight w:val="0"/>
          <w:marTop w:val="0"/>
          <w:marBottom w:val="0"/>
          <w:divBdr>
            <w:top w:val="none" w:sz="0" w:space="0" w:color="auto"/>
            <w:left w:val="none" w:sz="0" w:space="0" w:color="auto"/>
            <w:bottom w:val="none" w:sz="0" w:space="0" w:color="auto"/>
            <w:right w:val="none" w:sz="0" w:space="0" w:color="auto"/>
          </w:divBdr>
        </w:div>
        <w:div w:id="64913352">
          <w:marLeft w:val="640"/>
          <w:marRight w:val="0"/>
          <w:marTop w:val="0"/>
          <w:marBottom w:val="0"/>
          <w:divBdr>
            <w:top w:val="none" w:sz="0" w:space="0" w:color="auto"/>
            <w:left w:val="none" w:sz="0" w:space="0" w:color="auto"/>
            <w:bottom w:val="none" w:sz="0" w:space="0" w:color="auto"/>
            <w:right w:val="none" w:sz="0" w:space="0" w:color="auto"/>
          </w:divBdr>
        </w:div>
        <w:div w:id="2000960635">
          <w:marLeft w:val="640"/>
          <w:marRight w:val="0"/>
          <w:marTop w:val="0"/>
          <w:marBottom w:val="0"/>
          <w:divBdr>
            <w:top w:val="none" w:sz="0" w:space="0" w:color="auto"/>
            <w:left w:val="none" w:sz="0" w:space="0" w:color="auto"/>
            <w:bottom w:val="none" w:sz="0" w:space="0" w:color="auto"/>
            <w:right w:val="none" w:sz="0" w:space="0" w:color="auto"/>
          </w:divBdr>
        </w:div>
        <w:div w:id="107630737">
          <w:marLeft w:val="640"/>
          <w:marRight w:val="0"/>
          <w:marTop w:val="0"/>
          <w:marBottom w:val="0"/>
          <w:divBdr>
            <w:top w:val="none" w:sz="0" w:space="0" w:color="auto"/>
            <w:left w:val="none" w:sz="0" w:space="0" w:color="auto"/>
            <w:bottom w:val="none" w:sz="0" w:space="0" w:color="auto"/>
            <w:right w:val="none" w:sz="0" w:space="0" w:color="auto"/>
          </w:divBdr>
        </w:div>
      </w:divsChild>
    </w:div>
    <w:div w:id="426973022">
      <w:bodyDiv w:val="1"/>
      <w:marLeft w:val="0"/>
      <w:marRight w:val="0"/>
      <w:marTop w:val="0"/>
      <w:marBottom w:val="0"/>
      <w:divBdr>
        <w:top w:val="none" w:sz="0" w:space="0" w:color="auto"/>
        <w:left w:val="none" w:sz="0" w:space="0" w:color="auto"/>
        <w:bottom w:val="none" w:sz="0" w:space="0" w:color="auto"/>
        <w:right w:val="none" w:sz="0" w:space="0" w:color="auto"/>
      </w:divBdr>
      <w:divsChild>
        <w:div w:id="1202860784">
          <w:marLeft w:val="640"/>
          <w:marRight w:val="0"/>
          <w:marTop w:val="0"/>
          <w:marBottom w:val="0"/>
          <w:divBdr>
            <w:top w:val="none" w:sz="0" w:space="0" w:color="auto"/>
            <w:left w:val="none" w:sz="0" w:space="0" w:color="auto"/>
            <w:bottom w:val="none" w:sz="0" w:space="0" w:color="auto"/>
            <w:right w:val="none" w:sz="0" w:space="0" w:color="auto"/>
          </w:divBdr>
        </w:div>
        <w:div w:id="503519240">
          <w:marLeft w:val="640"/>
          <w:marRight w:val="0"/>
          <w:marTop w:val="0"/>
          <w:marBottom w:val="0"/>
          <w:divBdr>
            <w:top w:val="none" w:sz="0" w:space="0" w:color="auto"/>
            <w:left w:val="none" w:sz="0" w:space="0" w:color="auto"/>
            <w:bottom w:val="none" w:sz="0" w:space="0" w:color="auto"/>
            <w:right w:val="none" w:sz="0" w:space="0" w:color="auto"/>
          </w:divBdr>
        </w:div>
        <w:div w:id="121119173">
          <w:marLeft w:val="640"/>
          <w:marRight w:val="0"/>
          <w:marTop w:val="0"/>
          <w:marBottom w:val="0"/>
          <w:divBdr>
            <w:top w:val="none" w:sz="0" w:space="0" w:color="auto"/>
            <w:left w:val="none" w:sz="0" w:space="0" w:color="auto"/>
            <w:bottom w:val="none" w:sz="0" w:space="0" w:color="auto"/>
            <w:right w:val="none" w:sz="0" w:space="0" w:color="auto"/>
          </w:divBdr>
        </w:div>
        <w:div w:id="445657750">
          <w:marLeft w:val="640"/>
          <w:marRight w:val="0"/>
          <w:marTop w:val="0"/>
          <w:marBottom w:val="0"/>
          <w:divBdr>
            <w:top w:val="none" w:sz="0" w:space="0" w:color="auto"/>
            <w:left w:val="none" w:sz="0" w:space="0" w:color="auto"/>
            <w:bottom w:val="none" w:sz="0" w:space="0" w:color="auto"/>
            <w:right w:val="none" w:sz="0" w:space="0" w:color="auto"/>
          </w:divBdr>
        </w:div>
        <w:div w:id="44836173">
          <w:marLeft w:val="640"/>
          <w:marRight w:val="0"/>
          <w:marTop w:val="0"/>
          <w:marBottom w:val="0"/>
          <w:divBdr>
            <w:top w:val="none" w:sz="0" w:space="0" w:color="auto"/>
            <w:left w:val="none" w:sz="0" w:space="0" w:color="auto"/>
            <w:bottom w:val="none" w:sz="0" w:space="0" w:color="auto"/>
            <w:right w:val="none" w:sz="0" w:space="0" w:color="auto"/>
          </w:divBdr>
        </w:div>
        <w:div w:id="1525679212">
          <w:marLeft w:val="640"/>
          <w:marRight w:val="0"/>
          <w:marTop w:val="0"/>
          <w:marBottom w:val="0"/>
          <w:divBdr>
            <w:top w:val="none" w:sz="0" w:space="0" w:color="auto"/>
            <w:left w:val="none" w:sz="0" w:space="0" w:color="auto"/>
            <w:bottom w:val="none" w:sz="0" w:space="0" w:color="auto"/>
            <w:right w:val="none" w:sz="0" w:space="0" w:color="auto"/>
          </w:divBdr>
        </w:div>
        <w:div w:id="186911072">
          <w:marLeft w:val="640"/>
          <w:marRight w:val="0"/>
          <w:marTop w:val="0"/>
          <w:marBottom w:val="0"/>
          <w:divBdr>
            <w:top w:val="none" w:sz="0" w:space="0" w:color="auto"/>
            <w:left w:val="none" w:sz="0" w:space="0" w:color="auto"/>
            <w:bottom w:val="none" w:sz="0" w:space="0" w:color="auto"/>
            <w:right w:val="none" w:sz="0" w:space="0" w:color="auto"/>
          </w:divBdr>
        </w:div>
        <w:div w:id="953367790">
          <w:marLeft w:val="640"/>
          <w:marRight w:val="0"/>
          <w:marTop w:val="0"/>
          <w:marBottom w:val="0"/>
          <w:divBdr>
            <w:top w:val="none" w:sz="0" w:space="0" w:color="auto"/>
            <w:left w:val="none" w:sz="0" w:space="0" w:color="auto"/>
            <w:bottom w:val="none" w:sz="0" w:space="0" w:color="auto"/>
            <w:right w:val="none" w:sz="0" w:space="0" w:color="auto"/>
          </w:divBdr>
        </w:div>
        <w:div w:id="2089424320">
          <w:marLeft w:val="640"/>
          <w:marRight w:val="0"/>
          <w:marTop w:val="0"/>
          <w:marBottom w:val="0"/>
          <w:divBdr>
            <w:top w:val="none" w:sz="0" w:space="0" w:color="auto"/>
            <w:left w:val="none" w:sz="0" w:space="0" w:color="auto"/>
            <w:bottom w:val="none" w:sz="0" w:space="0" w:color="auto"/>
            <w:right w:val="none" w:sz="0" w:space="0" w:color="auto"/>
          </w:divBdr>
        </w:div>
        <w:div w:id="157891714">
          <w:marLeft w:val="640"/>
          <w:marRight w:val="0"/>
          <w:marTop w:val="0"/>
          <w:marBottom w:val="0"/>
          <w:divBdr>
            <w:top w:val="none" w:sz="0" w:space="0" w:color="auto"/>
            <w:left w:val="none" w:sz="0" w:space="0" w:color="auto"/>
            <w:bottom w:val="none" w:sz="0" w:space="0" w:color="auto"/>
            <w:right w:val="none" w:sz="0" w:space="0" w:color="auto"/>
          </w:divBdr>
        </w:div>
        <w:div w:id="1947033995">
          <w:marLeft w:val="640"/>
          <w:marRight w:val="0"/>
          <w:marTop w:val="0"/>
          <w:marBottom w:val="0"/>
          <w:divBdr>
            <w:top w:val="none" w:sz="0" w:space="0" w:color="auto"/>
            <w:left w:val="none" w:sz="0" w:space="0" w:color="auto"/>
            <w:bottom w:val="none" w:sz="0" w:space="0" w:color="auto"/>
            <w:right w:val="none" w:sz="0" w:space="0" w:color="auto"/>
          </w:divBdr>
        </w:div>
        <w:div w:id="115293328">
          <w:marLeft w:val="640"/>
          <w:marRight w:val="0"/>
          <w:marTop w:val="0"/>
          <w:marBottom w:val="0"/>
          <w:divBdr>
            <w:top w:val="none" w:sz="0" w:space="0" w:color="auto"/>
            <w:left w:val="none" w:sz="0" w:space="0" w:color="auto"/>
            <w:bottom w:val="none" w:sz="0" w:space="0" w:color="auto"/>
            <w:right w:val="none" w:sz="0" w:space="0" w:color="auto"/>
          </w:divBdr>
        </w:div>
        <w:div w:id="322971601">
          <w:marLeft w:val="640"/>
          <w:marRight w:val="0"/>
          <w:marTop w:val="0"/>
          <w:marBottom w:val="0"/>
          <w:divBdr>
            <w:top w:val="none" w:sz="0" w:space="0" w:color="auto"/>
            <w:left w:val="none" w:sz="0" w:space="0" w:color="auto"/>
            <w:bottom w:val="none" w:sz="0" w:space="0" w:color="auto"/>
            <w:right w:val="none" w:sz="0" w:space="0" w:color="auto"/>
          </w:divBdr>
        </w:div>
        <w:div w:id="1353072808">
          <w:marLeft w:val="640"/>
          <w:marRight w:val="0"/>
          <w:marTop w:val="0"/>
          <w:marBottom w:val="0"/>
          <w:divBdr>
            <w:top w:val="none" w:sz="0" w:space="0" w:color="auto"/>
            <w:left w:val="none" w:sz="0" w:space="0" w:color="auto"/>
            <w:bottom w:val="none" w:sz="0" w:space="0" w:color="auto"/>
            <w:right w:val="none" w:sz="0" w:space="0" w:color="auto"/>
          </w:divBdr>
        </w:div>
        <w:div w:id="921912793">
          <w:marLeft w:val="640"/>
          <w:marRight w:val="0"/>
          <w:marTop w:val="0"/>
          <w:marBottom w:val="0"/>
          <w:divBdr>
            <w:top w:val="none" w:sz="0" w:space="0" w:color="auto"/>
            <w:left w:val="none" w:sz="0" w:space="0" w:color="auto"/>
            <w:bottom w:val="none" w:sz="0" w:space="0" w:color="auto"/>
            <w:right w:val="none" w:sz="0" w:space="0" w:color="auto"/>
          </w:divBdr>
        </w:div>
        <w:div w:id="1271745293">
          <w:marLeft w:val="640"/>
          <w:marRight w:val="0"/>
          <w:marTop w:val="0"/>
          <w:marBottom w:val="0"/>
          <w:divBdr>
            <w:top w:val="none" w:sz="0" w:space="0" w:color="auto"/>
            <w:left w:val="none" w:sz="0" w:space="0" w:color="auto"/>
            <w:bottom w:val="none" w:sz="0" w:space="0" w:color="auto"/>
            <w:right w:val="none" w:sz="0" w:space="0" w:color="auto"/>
          </w:divBdr>
        </w:div>
        <w:div w:id="1040975498">
          <w:marLeft w:val="640"/>
          <w:marRight w:val="0"/>
          <w:marTop w:val="0"/>
          <w:marBottom w:val="0"/>
          <w:divBdr>
            <w:top w:val="none" w:sz="0" w:space="0" w:color="auto"/>
            <w:left w:val="none" w:sz="0" w:space="0" w:color="auto"/>
            <w:bottom w:val="none" w:sz="0" w:space="0" w:color="auto"/>
            <w:right w:val="none" w:sz="0" w:space="0" w:color="auto"/>
          </w:divBdr>
        </w:div>
        <w:div w:id="1573613669">
          <w:marLeft w:val="640"/>
          <w:marRight w:val="0"/>
          <w:marTop w:val="0"/>
          <w:marBottom w:val="0"/>
          <w:divBdr>
            <w:top w:val="none" w:sz="0" w:space="0" w:color="auto"/>
            <w:left w:val="none" w:sz="0" w:space="0" w:color="auto"/>
            <w:bottom w:val="none" w:sz="0" w:space="0" w:color="auto"/>
            <w:right w:val="none" w:sz="0" w:space="0" w:color="auto"/>
          </w:divBdr>
        </w:div>
        <w:div w:id="1474298667">
          <w:marLeft w:val="640"/>
          <w:marRight w:val="0"/>
          <w:marTop w:val="0"/>
          <w:marBottom w:val="0"/>
          <w:divBdr>
            <w:top w:val="none" w:sz="0" w:space="0" w:color="auto"/>
            <w:left w:val="none" w:sz="0" w:space="0" w:color="auto"/>
            <w:bottom w:val="none" w:sz="0" w:space="0" w:color="auto"/>
            <w:right w:val="none" w:sz="0" w:space="0" w:color="auto"/>
          </w:divBdr>
        </w:div>
        <w:div w:id="358972686">
          <w:marLeft w:val="640"/>
          <w:marRight w:val="0"/>
          <w:marTop w:val="0"/>
          <w:marBottom w:val="0"/>
          <w:divBdr>
            <w:top w:val="none" w:sz="0" w:space="0" w:color="auto"/>
            <w:left w:val="none" w:sz="0" w:space="0" w:color="auto"/>
            <w:bottom w:val="none" w:sz="0" w:space="0" w:color="auto"/>
            <w:right w:val="none" w:sz="0" w:space="0" w:color="auto"/>
          </w:divBdr>
        </w:div>
        <w:div w:id="557860197">
          <w:marLeft w:val="640"/>
          <w:marRight w:val="0"/>
          <w:marTop w:val="0"/>
          <w:marBottom w:val="0"/>
          <w:divBdr>
            <w:top w:val="none" w:sz="0" w:space="0" w:color="auto"/>
            <w:left w:val="none" w:sz="0" w:space="0" w:color="auto"/>
            <w:bottom w:val="none" w:sz="0" w:space="0" w:color="auto"/>
            <w:right w:val="none" w:sz="0" w:space="0" w:color="auto"/>
          </w:divBdr>
        </w:div>
        <w:div w:id="185142492">
          <w:marLeft w:val="640"/>
          <w:marRight w:val="0"/>
          <w:marTop w:val="0"/>
          <w:marBottom w:val="0"/>
          <w:divBdr>
            <w:top w:val="none" w:sz="0" w:space="0" w:color="auto"/>
            <w:left w:val="none" w:sz="0" w:space="0" w:color="auto"/>
            <w:bottom w:val="none" w:sz="0" w:space="0" w:color="auto"/>
            <w:right w:val="none" w:sz="0" w:space="0" w:color="auto"/>
          </w:divBdr>
        </w:div>
        <w:div w:id="890073655">
          <w:marLeft w:val="640"/>
          <w:marRight w:val="0"/>
          <w:marTop w:val="0"/>
          <w:marBottom w:val="0"/>
          <w:divBdr>
            <w:top w:val="none" w:sz="0" w:space="0" w:color="auto"/>
            <w:left w:val="none" w:sz="0" w:space="0" w:color="auto"/>
            <w:bottom w:val="none" w:sz="0" w:space="0" w:color="auto"/>
            <w:right w:val="none" w:sz="0" w:space="0" w:color="auto"/>
          </w:divBdr>
        </w:div>
        <w:div w:id="476260953">
          <w:marLeft w:val="640"/>
          <w:marRight w:val="0"/>
          <w:marTop w:val="0"/>
          <w:marBottom w:val="0"/>
          <w:divBdr>
            <w:top w:val="none" w:sz="0" w:space="0" w:color="auto"/>
            <w:left w:val="none" w:sz="0" w:space="0" w:color="auto"/>
            <w:bottom w:val="none" w:sz="0" w:space="0" w:color="auto"/>
            <w:right w:val="none" w:sz="0" w:space="0" w:color="auto"/>
          </w:divBdr>
        </w:div>
        <w:div w:id="56444272">
          <w:marLeft w:val="640"/>
          <w:marRight w:val="0"/>
          <w:marTop w:val="0"/>
          <w:marBottom w:val="0"/>
          <w:divBdr>
            <w:top w:val="none" w:sz="0" w:space="0" w:color="auto"/>
            <w:left w:val="none" w:sz="0" w:space="0" w:color="auto"/>
            <w:bottom w:val="none" w:sz="0" w:space="0" w:color="auto"/>
            <w:right w:val="none" w:sz="0" w:space="0" w:color="auto"/>
          </w:divBdr>
        </w:div>
        <w:div w:id="1381594805">
          <w:marLeft w:val="640"/>
          <w:marRight w:val="0"/>
          <w:marTop w:val="0"/>
          <w:marBottom w:val="0"/>
          <w:divBdr>
            <w:top w:val="none" w:sz="0" w:space="0" w:color="auto"/>
            <w:left w:val="none" w:sz="0" w:space="0" w:color="auto"/>
            <w:bottom w:val="none" w:sz="0" w:space="0" w:color="auto"/>
            <w:right w:val="none" w:sz="0" w:space="0" w:color="auto"/>
          </w:divBdr>
        </w:div>
        <w:div w:id="1321815548">
          <w:marLeft w:val="640"/>
          <w:marRight w:val="0"/>
          <w:marTop w:val="0"/>
          <w:marBottom w:val="0"/>
          <w:divBdr>
            <w:top w:val="none" w:sz="0" w:space="0" w:color="auto"/>
            <w:left w:val="none" w:sz="0" w:space="0" w:color="auto"/>
            <w:bottom w:val="none" w:sz="0" w:space="0" w:color="auto"/>
            <w:right w:val="none" w:sz="0" w:space="0" w:color="auto"/>
          </w:divBdr>
        </w:div>
        <w:div w:id="1081365284">
          <w:marLeft w:val="640"/>
          <w:marRight w:val="0"/>
          <w:marTop w:val="0"/>
          <w:marBottom w:val="0"/>
          <w:divBdr>
            <w:top w:val="none" w:sz="0" w:space="0" w:color="auto"/>
            <w:left w:val="none" w:sz="0" w:space="0" w:color="auto"/>
            <w:bottom w:val="none" w:sz="0" w:space="0" w:color="auto"/>
            <w:right w:val="none" w:sz="0" w:space="0" w:color="auto"/>
          </w:divBdr>
        </w:div>
        <w:div w:id="324822057">
          <w:marLeft w:val="640"/>
          <w:marRight w:val="0"/>
          <w:marTop w:val="0"/>
          <w:marBottom w:val="0"/>
          <w:divBdr>
            <w:top w:val="none" w:sz="0" w:space="0" w:color="auto"/>
            <w:left w:val="none" w:sz="0" w:space="0" w:color="auto"/>
            <w:bottom w:val="none" w:sz="0" w:space="0" w:color="auto"/>
            <w:right w:val="none" w:sz="0" w:space="0" w:color="auto"/>
          </w:divBdr>
        </w:div>
        <w:div w:id="1293633659">
          <w:marLeft w:val="640"/>
          <w:marRight w:val="0"/>
          <w:marTop w:val="0"/>
          <w:marBottom w:val="0"/>
          <w:divBdr>
            <w:top w:val="none" w:sz="0" w:space="0" w:color="auto"/>
            <w:left w:val="none" w:sz="0" w:space="0" w:color="auto"/>
            <w:bottom w:val="none" w:sz="0" w:space="0" w:color="auto"/>
            <w:right w:val="none" w:sz="0" w:space="0" w:color="auto"/>
          </w:divBdr>
        </w:div>
        <w:div w:id="265620266">
          <w:marLeft w:val="640"/>
          <w:marRight w:val="0"/>
          <w:marTop w:val="0"/>
          <w:marBottom w:val="0"/>
          <w:divBdr>
            <w:top w:val="none" w:sz="0" w:space="0" w:color="auto"/>
            <w:left w:val="none" w:sz="0" w:space="0" w:color="auto"/>
            <w:bottom w:val="none" w:sz="0" w:space="0" w:color="auto"/>
            <w:right w:val="none" w:sz="0" w:space="0" w:color="auto"/>
          </w:divBdr>
        </w:div>
        <w:div w:id="1765880280">
          <w:marLeft w:val="640"/>
          <w:marRight w:val="0"/>
          <w:marTop w:val="0"/>
          <w:marBottom w:val="0"/>
          <w:divBdr>
            <w:top w:val="none" w:sz="0" w:space="0" w:color="auto"/>
            <w:left w:val="none" w:sz="0" w:space="0" w:color="auto"/>
            <w:bottom w:val="none" w:sz="0" w:space="0" w:color="auto"/>
            <w:right w:val="none" w:sz="0" w:space="0" w:color="auto"/>
          </w:divBdr>
        </w:div>
        <w:div w:id="1070731231">
          <w:marLeft w:val="640"/>
          <w:marRight w:val="0"/>
          <w:marTop w:val="0"/>
          <w:marBottom w:val="0"/>
          <w:divBdr>
            <w:top w:val="none" w:sz="0" w:space="0" w:color="auto"/>
            <w:left w:val="none" w:sz="0" w:space="0" w:color="auto"/>
            <w:bottom w:val="none" w:sz="0" w:space="0" w:color="auto"/>
            <w:right w:val="none" w:sz="0" w:space="0" w:color="auto"/>
          </w:divBdr>
        </w:div>
        <w:div w:id="329064094">
          <w:marLeft w:val="640"/>
          <w:marRight w:val="0"/>
          <w:marTop w:val="0"/>
          <w:marBottom w:val="0"/>
          <w:divBdr>
            <w:top w:val="none" w:sz="0" w:space="0" w:color="auto"/>
            <w:left w:val="none" w:sz="0" w:space="0" w:color="auto"/>
            <w:bottom w:val="none" w:sz="0" w:space="0" w:color="auto"/>
            <w:right w:val="none" w:sz="0" w:space="0" w:color="auto"/>
          </w:divBdr>
        </w:div>
        <w:div w:id="1303926041">
          <w:marLeft w:val="640"/>
          <w:marRight w:val="0"/>
          <w:marTop w:val="0"/>
          <w:marBottom w:val="0"/>
          <w:divBdr>
            <w:top w:val="none" w:sz="0" w:space="0" w:color="auto"/>
            <w:left w:val="none" w:sz="0" w:space="0" w:color="auto"/>
            <w:bottom w:val="none" w:sz="0" w:space="0" w:color="auto"/>
            <w:right w:val="none" w:sz="0" w:space="0" w:color="auto"/>
          </w:divBdr>
        </w:div>
        <w:div w:id="566889150">
          <w:marLeft w:val="640"/>
          <w:marRight w:val="0"/>
          <w:marTop w:val="0"/>
          <w:marBottom w:val="0"/>
          <w:divBdr>
            <w:top w:val="none" w:sz="0" w:space="0" w:color="auto"/>
            <w:left w:val="none" w:sz="0" w:space="0" w:color="auto"/>
            <w:bottom w:val="none" w:sz="0" w:space="0" w:color="auto"/>
            <w:right w:val="none" w:sz="0" w:space="0" w:color="auto"/>
          </w:divBdr>
        </w:div>
        <w:div w:id="1485900851">
          <w:marLeft w:val="640"/>
          <w:marRight w:val="0"/>
          <w:marTop w:val="0"/>
          <w:marBottom w:val="0"/>
          <w:divBdr>
            <w:top w:val="none" w:sz="0" w:space="0" w:color="auto"/>
            <w:left w:val="none" w:sz="0" w:space="0" w:color="auto"/>
            <w:bottom w:val="none" w:sz="0" w:space="0" w:color="auto"/>
            <w:right w:val="none" w:sz="0" w:space="0" w:color="auto"/>
          </w:divBdr>
        </w:div>
        <w:div w:id="602225659">
          <w:marLeft w:val="640"/>
          <w:marRight w:val="0"/>
          <w:marTop w:val="0"/>
          <w:marBottom w:val="0"/>
          <w:divBdr>
            <w:top w:val="none" w:sz="0" w:space="0" w:color="auto"/>
            <w:left w:val="none" w:sz="0" w:space="0" w:color="auto"/>
            <w:bottom w:val="none" w:sz="0" w:space="0" w:color="auto"/>
            <w:right w:val="none" w:sz="0" w:space="0" w:color="auto"/>
          </w:divBdr>
        </w:div>
        <w:div w:id="2126459932">
          <w:marLeft w:val="640"/>
          <w:marRight w:val="0"/>
          <w:marTop w:val="0"/>
          <w:marBottom w:val="0"/>
          <w:divBdr>
            <w:top w:val="none" w:sz="0" w:space="0" w:color="auto"/>
            <w:left w:val="none" w:sz="0" w:space="0" w:color="auto"/>
            <w:bottom w:val="none" w:sz="0" w:space="0" w:color="auto"/>
            <w:right w:val="none" w:sz="0" w:space="0" w:color="auto"/>
          </w:divBdr>
        </w:div>
        <w:div w:id="344862688">
          <w:marLeft w:val="640"/>
          <w:marRight w:val="0"/>
          <w:marTop w:val="0"/>
          <w:marBottom w:val="0"/>
          <w:divBdr>
            <w:top w:val="none" w:sz="0" w:space="0" w:color="auto"/>
            <w:left w:val="none" w:sz="0" w:space="0" w:color="auto"/>
            <w:bottom w:val="none" w:sz="0" w:space="0" w:color="auto"/>
            <w:right w:val="none" w:sz="0" w:space="0" w:color="auto"/>
          </w:divBdr>
        </w:div>
        <w:div w:id="894244159">
          <w:marLeft w:val="640"/>
          <w:marRight w:val="0"/>
          <w:marTop w:val="0"/>
          <w:marBottom w:val="0"/>
          <w:divBdr>
            <w:top w:val="none" w:sz="0" w:space="0" w:color="auto"/>
            <w:left w:val="none" w:sz="0" w:space="0" w:color="auto"/>
            <w:bottom w:val="none" w:sz="0" w:space="0" w:color="auto"/>
            <w:right w:val="none" w:sz="0" w:space="0" w:color="auto"/>
          </w:divBdr>
        </w:div>
        <w:div w:id="1347441038">
          <w:marLeft w:val="640"/>
          <w:marRight w:val="0"/>
          <w:marTop w:val="0"/>
          <w:marBottom w:val="0"/>
          <w:divBdr>
            <w:top w:val="none" w:sz="0" w:space="0" w:color="auto"/>
            <w:left w:val="none" w:sz="0" w:space="0" w:color="auto"/>
            <w:bottom w:val="none" w:sz="0" w:space="0" w:color="auto"/>
            <w:right w:val="none" w:sz="0" w:space="0" w:color="auto"/>
          </w:divBdr>
        </w:div>
        <w:div w:id="1455900083">
          <w:marLeft w:val="640"/>
          <w:marRight w:val="0"/>
          <w:marTop w:val="0"/>
          <w:marBottom w:val="0"/>
          <w:divBdr>
            <w:top w:val="none" w:sz="0" w:space="0" w:color="auto"/>
            <w:left w:val="none" w:sz="0" w:space="0" w:color="auto"/>
            <w:bottom w:val="none" w:sz="0" w:space="0" w:color="auto"/>
            <w:right w:val="none" w:sz="0" w:space="0" w:color="auto"/>
          </w:divBdr>
        </w:div>
        <w:div w:id="1802843193">
          <w:marLeft w:val="640"/>
          <w:marRight w:val="0"/>
          <w:marTop w:val="0"/>
          <w:marBottom w:val="0"/>
          <w:divBdr>
            <w:top w:val="none" w:sz="0" w:space="0" w:color="auto"/>
            <w:left w:val="none" w:sz="0" w:space="0" w:color="auto"/>
            <w:bottom w:val="none" w:sz="0" w:space="0" w:color="auto"/>
            <w:right w:val="none" w:sz="0" w:space="0" w:color="auto"/>
          </w:divBdr>
        </w:div>
        <w:div w:id="1961916493">
          <w:marLeft w:val="640"/>
          <w:marRight w:val="0"/>
          <w:marTop w:val="0"/>
          <w:marBottom w:val="0"/>
          <w:divBdr>
            <w:top w:val="none" w:sz="0" w:space="0" w:color="auto"/>
            <w:left w:val="none" w:sz="0" w:space="0" w:color="auto"/>
            <w:bottom w:val="none" w:sz="0" w:space="0" w:color="auto"/>
            <w:right w:val="none" w:sz="0" w:space="0" w:color="auto"/>
          </w:divBdr>
        </w:div>
        <w:div w:id="1376812278">
          <w:marLeft w:val="640"/>
          <w:marRight w:val="0"/>
          <w:marTop w:val="0"/>
          <w:marBottom w:val="0"/>
          <w:divBdr>
            <w:top w:val="none" w:sz="0" w:space="0" w:color="auto"/>
            <w:left w:val="none" w:sz="0" w:space="0" w:color="auto"/>
            <w:bottom w:val="none" w:sz="0" w:space="0" w:color="auto"/>
            <w:right w:val="none" w:sz="0" w:space="0" w:color="auto"/>
          </w:divBdr>
        </w:div>
        <w:div w:id="2083332031">
          <w:marLeft w:val="640"/>
          <w:marRight w:val="0"/>
          <w:marTop w:val="0"/>
          <w:marBottom w:val="0"/>
          <w:divBdr>
            <w:top w:val="none" w:sz="0" w:space="0" w:color="auto"/>
            <w:left w:val="none" w:sz="0" w:space="0" w:color="auto"/>
            <w:bottom w:val="none" w:sz="0" w:space="0" w:color="auto"/>
            <w:right w:val="none" w:sz="0" w:space="0" w:color="auto"/>
          </w:divBdr>
        </w:div>
        <w:div w:id="2102097827">
          <w:marLeft w:val="640"/>
          <w:marRight w:val="0"/>
          <w:marTop w:val="0"/>
          <w:marBottom w:val="0"/>
          <w:divBdr>
            <w:top w:val="none" w:sz="0" w:space="0" w:color="auto"/>
            <w:left w:val="none" w:sz="0" w:space="0" w:color="auto"/>
            <w:bottom w:val="none" w:sz="0" w:space="0" w:color="auto"/>
            <w:right w:val="none" w:sz="0" w:space="0" w:color="auto"/>
          </w:divBdr>
        </w:div>
        <w:div w:id="1146707675">
          <w:marLeft w:val="640"/>
          <w:marRight w:val="0"/>
          <w:marTop w:val="0"/>
          <w:marBottom w:val="0"/>
          <w:divBdr>
            <w:top w:val="none" w:sz="0" w:space="0" w:color="auto"/>
            <w:left w:val="none" w:sz="0" w:space="0" w:color="auto"/>
            <w:bottom w:val="none" w:sz="0" w:space="0" w:color="auto"/>
            <w:right w:val="none" w:sz="0" w:space="0" w:color="auto"/>
          </w:divBdr>
        </w:div>
        <w:div w:id="1846630218">
          <w:marLeft w:val="640"/>
          <w:marRight w:val="0"/>
          <w:marTop w:val="0"/>
          <w:marBottom w:val="0"/>
          <w:divBdr>
            <w:top w:val="none" w:sz="0" w:space="0" w:color="auto"/>
            <w:left w:val="none" w:sz="0" w:space="0" w:color="auto"/>
            <w:bottom w:val="none" w:sz="0" w:space="0" w:color="auto"/>
            <w:right w:val="none" w:sz="0" w:space="0" w:color="auto"/>
          </w:divBdr>
        </w:div>
        <w:div w:id="992950315">
          <w:marLeft w:val="640"/>
          <w:marRight w:val="0"/>
          <w:marTop w:val="0"/>
          <w:marBottom w:val="0"/>
          <w:divBdr>
            <w:top w:val="none" w:sz="0" w:space="0" w:color="auto"/>
            <w:left w:val="none" w:sz="0" w:space="0" w:color="auto"/>
            <w:bottom w:val="none" w:sz="0" w:space="0" w:color="auto"/>
            <w:right w:val="none" w:sz="0" w:space="0" w:color="auto"/>
          </w:divBdr>
        </w:div>
        <w:div w:id="26415594">
          <w:marLeft w:val="640"/>
          <w:marRight w:val="0"/>
          <w:marTop w:val="0"/>
          <w:marBottom w:val="0"/>
          <w:divBdr>
            <w:top w:val="none" w:sz="0" w:space="0" w:color="auto"/>
            <w:left w:val="none" w:sz="0" w:space="0" w:color="auto"/>
            <w:bottom w:val="none" w:sz="0" w:space="0" w:color="auto"/>
            <w:right w:val="none" w:sz="0" w:space="0" w:color="auto"/>
          </w:divBdr>
        </w:div>
        <w:div w:id="732967064">
          <w:marLeft w:val="640"/>
          <w:marRight w:val="0"/>
          <w:marTop w:val="0"/>
          <w:marBottom w:val="0"/>
          <w:divBdr>
            <w:top w:val="none" w:sz="0" w:space="0" w:color="auto"/>
            <w:left w:val="none" w:sz="0" w:space="0" w:color="auto"/>
            <w:bottom w:val="none" w:sz="0" w:space="0" w:color="auto"/>
            <w:right w:val="none" w:sz="0" w:space="0" w:color="auto"/>
          </w:divBdr>
        </w:div>
        <w:div w:id="876117761">
          <w:marLeft w:val="640"/>
          <w:marRight w:val="0"/>
          <w:marTop w:val="0"/>
          <w:marBottom w:val="0"/>
          <w:divBdr>
            <w:top w:val="none" w:sz="0" w:space="0" w:color="auto"/>
            <w:left w:val="none" w:sz="0" w:space="0" w:color="auto"/>
            <w:bottom w:val="none" w:sz="0" w:space="0" w:color="auto"/>
            <w:right w:val="none" w:sz="0" w:space="0" w:color="auto"/>
          </w:divBdr>
        </w:div>
        <w:div w:id="819687417">
          <w:marLeft w:val="640"/>
          <w:marRight w:val="0"/>
          <w:marTop w:val="0"/>
          <w:marBottom w:val="0"/>
          <w:divBdr>
            <w:top w:val="none" w:sz="0" w:space="0" w:color="auto"/>
            <w:left w:val="none" w:sz="0" w:space="0" w:color="auto"/>
            <w:bottom w:val="none" w:sz="0" w:space="0" w:color="auto"/>
            <w:right w:val="none" w:sz="0" w:space="0" w:color="auto"/>
          </w:divBdr>
        </w:div>
        <w:div w:id="562761929">
          <w:marLeft w:val="640"/>
          <w:marRight w:val="0"/>
          <w:marTop w:val="0"/>
          <w:marBottom w:val="0"/>
          <w:divBdr>
            <w:top w:val="none" w:sz="0" w:space="0" w:color="auto"/>
            <w:left w:val="none" w:sz="0" w:space="0" w:color="auto"/>
            <w:bottom w:val="none" w:sz="0" w:space="0" w:color="auto"/>
            <w:right w:val="none" w:sz="0" w:space="0" w:color="auto"/>
          </w:divBdr>
        </w:div>
        <w:div w:id="1035157705">
          <w:marLeft w:val="640"/>
          <w:marRight w:val="0"/>
          <w:marTop w:val="0"/>
          <w:marBottom w:val="0"/>
          <w:divBdr>
            <w:top w:val="none" w:sz="0" w:space="0" w:color="auto"/>
            <w:left w:val="none" w:sz="0" w:space="0" w:color="auto"/>
            <w:bottom w:val="none" w:sz="0" w:space="0" w:color="auto"/>
            <w:right w:val="none" w:sz="0" w:space="0" w:color="auto"/>
          </w:divBdr>
        </w:div>
        <w:div w:id="662320001">
          <w:marLeft w:val="640"/>
          <w:marRight w:val="0"/>
          <w:marTop w:val="0"/>
          <w:marBottom w:val="0"/>
          <w:divBdr>
            <w:top w:val="none" w:sz="0" w:space="0" w:color="auto"/>
            <w:left w:val="none" w:sz="0" w:space="0" w:color="auto"/>
            <w:bottom w:val="none" w:sz="0" w:space="0" w:color="auto"/>
            <w:right w:val="none" w:sz="0" w:space="0" w:color="auto"/>
          </w:divBdr>
        </w:div>
        <w:div w:id="1698387534">
          <w:marLeft w:val="640"/>
          <w:marRight w:val="0"/>
          <w:marTop w:val="0"/>
          <w:marBottom w:val="0"/>
          <w:divBdr>
            <w:top w:val="none" w:sz="0" w:space="0" w:color="auto"/>
            <w:left w:val="none" w:sz="0" w:space="0" w:color="auto"/>
            <w:bottom w:val="none" w:sz="0" w:space="0" w:color="auto"/>
            <w:right w:val="none" w:sz="0" w:space="0" w:color="auto"/>
          </w:divBdr>
        </w:div>
        <w:div w:id="1439520447">
          <w:marLeft w:val="640"/>
          <w:marRight w:val="0"/>
          <w:marTop w:val="0"/>
          <w:marBottom w:val="0"/>
          <w:divBdr>
            <w:top w:val="none" w:sz="0" w:space="0" w:color="auto"/>
            <w:left w:val="none" w:sz="0" w:space="0" w:color="auto"/>
            <w:bottom w:val="none" w:sz="0" w:space="0" w:color="auto"/>
            <w:right w:val="none" w:sz="0" w:space="0" w:color="auto"/>
          </w:divBdr>
        </w:div>
        <w:div w:id="1995065513">
          <w:marLeft w:val="640"/>
          <w:marRight w:val="0"/>
          <w:marTop w:val="0"/>
          <w:marBottom w:val="0"/>
          <w:divBdr>
            <w:top w:val="none" w:sz="0" w:space="0" w:color="auto"/>
            <w:left w:val="none" w:sz="0" w:space="0" w:color="auto"/>
            <w:bottom w:val="none" w:sz="0" w:space="0" w:color="auto"/>
            <w:right w:val="none" w:sz="0" w:space="0" w:color="auto"/>
          </w:divBdr>
        </w:div>
        <w:div w:id="2053771303">
          <w:marLeft w:val="640"/>
          <w:marRight w:val="0"/>
          <w:marTop w:val="0"/>
          <w:marBottom w:val="0"/>
          <w:divBdr>
            <w:top w:val="none" w:sz="0" w:space="0" w:color="auto"/>
            <w:left w:val="none" w:sz="0" w:space="0" w:color="auto"/>
            <w:bottom w:val="none" w:sz="0" w:space="0" w:color="auto"/>
            <w:right w:val="none" w:sz="0" w:space="0" w:color="auto"/>
          </w:divBdr>
        </w:div>
        <w:div w:id="39862557">
          <w:marLeft w:val="640"/>
          <w:marRight w:val="0"/>
          <w:marTop w:val="0"/>
          <w:marBottom w:val="0"/>
          <w:divBdr>
            <w:top w:val="none" w:sz="0" w:space="0" w:color="auto"/>
            <w:left w:val="none" w:sz="0" w:space="0" w:color="auto"/>
            <w:bottom w:val="none" w:sz="0" w:space="0" w:color="auto"/>
            <w:right w:val="none" w:sz="0" w:space="0" w:color="auto"/>
          </w:divBdr>
        </w:div>
        <w:div w:id="799105635">
          <w:marLeft w:val="640"/>
          <w:marRight w:val="0"/>
          <w:marTop w:val="0"/>
          <w:marBottom w:val="0"/>
          <w:divBdr>
            <w:top w:val="none" w:sz="0" w:space="0" w:color="auto"/>
            <w:left w:val="none" w:sz="0" w:space="0" w:color="auto"/>
            <w:bottom w:val="none" w:sz="0" w:space="0" w:color="auto"/>
            <w:right w:val="none" w:sz="0" w:space="0" w:color="auto"/>
          </w:divBdr>
        </w:div>
        <w:div w:id="1833719404">
          <w:marLeft w:val="640"/>
          <w:marRight w:val="0"/>
          <w:marTop w:val="0"/>
          <w:marBottom w:val="0"/>
          <w:divBdr>
            <w:top w:val="none" w:sz="0" w:space="0" w:color="auto"/>
            <w:left w:val="none" w:sz="0" w:space="0" w:color="auto"/>
            <w:bottom w:val="none" w:sz="0" w:space="0" w:color="auto"/>
            <w:right w:val="none" w:sz="0" w:space="0" w:color="auto"/>
          </w:divBdr>
        </w:div>
        <w:div w:id="2707823">
          <w:marLeft w:val="640"/>
          <w:marRight w:val="0"/>
          <w:marTop w:val="0"/>
          <w:marBottom w:val="0"/>
          <w:divBdr>
            <w:top w:val="none" w:sz="0" w:space="0" w:color="auto"/>
            <w:left w:val="none" w:sz="0" w:space="0" w:color="auto"/>
            <w:bottom w:val="none" w:sz="0" w:space="0" w:color="auto"/>
            <w:right w:val="none" w:sz="0" w:space="0" w:color="auto"/>
          </w:divBdr>
        </w:div>
        <w:div w:id="2107457877">
          <w:marLeft w:val="640"/>
          <w:marRight w:val="0"/>
          <w:marTop w:val="0"/>
          <w:marBottom w:val="0"/>
          <w:divBdr>
            <w:top w:val="none" w:sz="0" w:space="0" w:color="auto"/>
            <w:left w:val="none" w:sz="0" w:space="0" w:color="auto"/>
            <w:bottom w:val="none" w:sz="0" w:space="0" w:color="auto"/>
            <w:right w:val="none" w:sz="0" w:space="0" w:color="auto"/>
          </w:divBdr>
        </w:div>
        <w:div w:id="102386187">
          <w:marLeft w:val="640"/>
          <w:marRight w:val="0"/>
          <w:marTop w:val="0"/>
          <w:marBottom w:val="0"/>
          <w:divBdr>
            <w:top w:val="none" w:sz="0" w:space="0" w:color="auto"/>
            <w:left w:val="none" w:sz="0" w:space="0" w:color="auto"/>
            <w:bottom w:val="none" w:sz="0" w:space="0" w:color="auto"/>
            <w:right w:val="none" w:sz="0" w:space="0" w:color="auto"/>
          </w:divBdr>
        </w:div>
        <w:div w:id="331880915">
          <w:marLeft w:val="640"/>
          <w:marRight w:val="0"/>
          <w:marTop w:val="0"/>
          <w:marBottom w:val="0"/>
          <w:divBdr>
            <w:top w:val="none" w:sz="0" w:space="0" w:color="auto"/>
            <w:left w:val="none" w:sz="0" w:space="0" w:color="auto"/>
            <w:bottom w:val="none" w:sz="0" w:space="0" w:color="auto"/>
            <w:right w:val="none" w:sz="0" w:space="0" w:color="auto"/>
          </w:divBdr>
        </w:div>
        <w:div w:id="893155581">
          <w:marLeft w:val="640"/>
          <w:marRight w:val="0"/>
          <w:marTop w:val="0"/>
          <w:marBottom w:val="0"/>
          <w:divBdr>
            <w:top w:val="none" w:sz="0" w:space="0" w:color="auto"/>
            <w:left w:val="none" w:sz="0" w:space="0" w:color="auto"/>
            <w:bottom w:val="none" w:sz="0" w:space="0" w:color="auto"/>
            <w:right w:val="none" w:sz="0" w:space="0" w:color="auto"/>
          </w:divBdr>
        </w:div>
        <w:div w:id="1235626581">
          <w:marLeft w:val="640"/>
          <w:marRight w:val="0"/>
          <w:marTop w:val="0"/>
          <w:marBottom w:val="0"/>
          <w:divBdr>
            <w:top w:val="none" w:sz="0" w:space="0" w:color="auto"/>
            <w:left w:val="none" w:sz="0" w:space="0" w:color="auto"/>
            <w:bottom w:val="none" w:sz="0" w:space="0" w:color="auto"/>
            <w:right w:val="none" w:sz="0" w:space="0" w:color="auto"/>
          </w:divBdr>
        </w:div>
        <w:div w:id="1015033035">
          <w:marLeft w:val="640"/>
          <w:marRight w:val="0"/>
          <w:marTop w:val="0"/>
          <w:marBottom w:val="0"/>
          <w:divBdr>
            <w:top w:val="none" w:sz="0" w:space="0" w:color="auto"/>
            <w:left w:val="none" w:sz="0" w:space="0" w:color="auto"/>
            <w:bottom w:val="none" w:sz="0" w:space="0" w:color="auto"/>
            <w:right w:val="none" w:sz="0" w:space="0" w:color="auto"/>
          </w:divBdr>
        </w:div>
        <w:div w:id="1546143558">
          <w:marLeft w:val="640"/>
          <w:marRight w:val="0"/>
          <w:marTop w:val="0"/>
          <w:marBottom w:val="0"/>
          <w:divBdr>
            <w:top w:val="none" w:sz="0" w:space="0" w:color="auto"/>
            <w:left w:val="none" w:sz="0" w:space="0" w:color="auto"/>
            <w:bottom w:val="none" w:sz="0" w:space="0" w:color="auto"/>
            <w:right w:val="none" w:sz="0" w:space="0" w:color="auto"/>
          </w:divBdr>
        </w:div>
        <w:div w:id="930166143">
          <w:marLeft w:val="640"/>
          <w:marRight w:val="0"/>
          <w:marTop w:val="0"/>
          <w:marBottom w:val="0"/>
          <w:divBdr>
            <w:top w:val="none" w:sz="0" w:space="0" w:color="auto"/>
            <w:left w:val="none" w:sz="0" w:space="0" w:color="auto"/>
            <w:bottom w:val="none" w:sz="0" w:space="0" w:color="auto"/>
            <w:right w:val="none" w:sz="0" w:space="0" w:color="auto"/>
          </w:divBdr>
        </w:div>
        <w:div w:id="1152719397">
          <w:marLeft w:val="640"/>
          <w:marRight w:val="0"/>
          <w:marTop w:val="0"/>
          <w:marBottom w:val="0"/>
          <w:divBdr>
            <w:top w:val="none" w:sz="0" w:space="0" w:color="auto"/>
            <w:left w:val="none" w:sz="0" w:space="0" w:color="auto"/>
            <w:bottom w:val="none" w:sz="0" w:space="0" w:color="auto"/>
            <w:right w:val="none" w:sz="0" w:space="0" w:color="auto"/>
          </w:divBdr>
        </w:div>
        <w:div w:id="1113792177">
          <w:marLeft w:val="640"/>
          <w:marRight w:val="0"/>
          <w:marTop w:val="0"/>
          <w:marBottom w:val="0"/>
          <w:divBdr>
            <w:top w:val="none" w:sz="0" w:space="0" w:color="auto"/>
            <w:left w:val="none" w:sz="0" w:space="0" w:color="auto"/>
            <w:bottom w:val="none" w:sz="0" w:space="0" w:color="auto"/>
            <w:right w:val="none" w:sz="0" w:space="0" w:color="auto"/>
          </w:divBdr>
        </w:div>
        <w:div w:id="1406492846">
          <w:marLeft w:val="640"/>
          <w:marRight w:val="0"/>
          <w:marTop w:val="0"/>
          <w:marBottom w:val="0"/>
          <w:divBdr>
            <w:top w:val="none" w:sz="0" w:space="0" w:color="auto"/>
            <w:left w:val="none" w:sz="0" w:space="0" w:color="auto"/>
            <w:bottom w:val="none" w:sz="0" w:space="0" w:color="auto"/>
            <w:right w:val="none" w:sz="0" w:space="0" w:color="auto"/>
          </w:divBdr>
        </w:div>
        <w:div w:id="420219985">
          <w:marLeft w:val="640"/>
          <w:marRight w:val="0"/>
          <w:marTop w:val="0"/>
          <w:marBottom w:val="0"/>
          <w:divBdr>
            <w:top w:val="none" w:sz="0" w:space="0" w:color="auto"/>
            <w:left w:val="none" w:sz="0" w:space="0" w:color="auto"/>
            <w:bottom w:val="none" w:sz="0" w:space="0" w:color="auto"/>
            <w:right w:val="none" w:sz="0" w:space="0" w:color="auto"/>
          </w:divBdr>
        </w:div>
        <w:div w:id="205988675">
          <w:marLeft w:val="640"/>
          <w:marRight w:val="0"/>
          <w:marTop w:val="0"/>
          <w:marBottom w:val="0"/>
          <w:divBdr>
            <w:top w:val="none" w:sz="0" w:space="0" w:color="auto"/>
            <w:left w:val="none" w:sz="0" w:space="0" w:color="auto"/>
            <w:bottom w:val="none" w:sz="0" w:space="0" w:color="auto"/>
            <w:right w:val="none" w:sz="0" w:space="0" w:color="auto"/>
          </w:divBdr>
        </w:div>
        <w:div w:id="479618136">
          <w:marLeft w:val="640"/>
          <w:marRight w:val="0"/>
          <w:marTop w:val="0"/>
          <w:marBottom w:val="0"/>
          <w:divBdr>
            <w:top w:val="none" w:sz="0" w:space="0" w:color="auto"/>
            <w:left w:val="none" w:sz="0" w:space="0" w:color="auto"/>
            <w:bottom w:val="none" w:sz="0" w:space="0" w:color="auto"/>
            <w:right w:val="none" w:sz="0" w:space="0" w:color="auto"/>
          </w:divBdr>
        </w:div>
        <w:div w:id="1308166114">
          <w:marLeft w:val="640"/>
          <w:marRight w:val="0"/>
          <w:marTop w:val="0"/>
          <w:marBottom w:val="0"/>
          <w:divBdr>
            <w:top w:val="none" w:sz="0" w:space="0" w:color="auto"/>
            <w:left w:val="none" w:sz="0" w:space="0" w:color="auto"/>
            <w:bottom w:val="none" w:sz="0" w:space="0" w:color="auto"/>
            <w:right w:val="none" w:sz="0" w:space="0" w:color="auto"/>
          </w:divBdr>
        </w:div>
        <w:div w:id="1840580823">
          <w:marLeft w:val="640"/>
          <w:marRight w:val="0"/>
          <w:marTop w:val="0"/>
          <w:marBottom w:val="0"/>
          <w:divBdr>
            <w:top w:val="none" w:sz="0" w:space="0" w:color="auto"/>
            <w:left w:val="none" w:sz="0" w:space="0" w:color="auto"/>
            <w:bottom w:val="none" w:sz="0" w:space="0" w:color="auto"/>
            <w:right w:val="none" w:sz="0" w:space="0" w:color="auto"/>
          </w:divBdr>
        </w:div>
        <w:div w:id="1795714038">
          <w:marLeft w:val="640"/>
          <w:marRight w:val="0"/>
          <w:marTop w:val="0"/>
          <w:marBottom w:val="0"/>
          <w:divBdr>
            <w:top w:val="none" w:sz="0" w:space="0" w:color="auto"/>
            <w:left w:val="none" w:sz="0" w:space="0" w:color="auto"/>
            <w:bottom w:val="none" w:sz="0" w:space="0" w:color="auto"/>
            <w:right w:val="none" w:sz="0" w:space="0" w:color="auto"/>
          </w:divBdr>
        </w:div>
        <w:div w:id="977341914">
          <w:marLeft w:val="640"/>
          <w:marRight w:val="0"/>
          <w:marTop w:val="0"/>
          <w:marBottom w:val="0"/>
          <w:divBdr>
            <w:top w:val="none" w:sz="0" w:space="0" w:color="auto"/>
            <w:left w:val="none" w:sz="0" w:space="0" w:color="auto"/>
            <w:bottom w:val="none" w:sz="0" w:space="0" w:color="auto"/>
            <w:right w:val="none" w:sz="0" w:space="0" w:color="auto"/>
          </w:divBdr>
        </w:div>
        <w:div w:id="597564376">
          <w:marLeft w:val="640"/>
          <w:marRight w:val="0"/>
          <w:marTop w:val="0"/>
          <w:marBottom w:val="0"/>
          <w:divBdr>
            <w:top w:val="none" w:sz="0" w:space="0" w:color="auto"/>
            <w:left w:val="none" w:sz="0" w:space="0" w:color="auto"/>
            <w:bottom w:val="none" w:sz="0" w:space="0" w:color="auto"/>
            <w:right w:val="none" w:sz="0" w:space="0" w:color="auto"/>
          </w:divBdr>
        </w:div>
        <w:div w:id="1562906038">
          <w:marLeft w:val="640"/>
          <w:marRight w:val="0"/>
          <w:marTop w:val="0"/>
          <w:marBottom w:val="0"/>
          <w:divBdr>
            <w:top w:val="none" w:sz="0" w:space="0" w:color="auto"/>
            <w:left w:val="none" w:sz="0" w:space="0" w:color="auto"/>
            <w:bottom w:val="none" w:sz="0" w:space="0" w:color="auto"/>
            <w:right w:val="none" w:sz="0" w:space="0" w:color="auto"/>
          </w:divBdr>
        </w:div>
        <w:div w:id="1492983168">
          <w:marLeft w:val="640"/>
          <w:marRight w:val="0"/>
          <w:marTop w:val="0"/>
          <w:marBottom w:val="0"/>
          <w:divBdr>
            <w:top w:val="none" w:sz="0" w:space="0" w:color="auto"/>
            <w:left w:val="none" w:sz="0" w:space="0" w:color="auto"/>
            <w:bottom w:val="none" w:sz="0" w:space="0" w:color="auto"/>
            <w:right w:val="none" w:sz="0" w:space="0" w:color="auto"/>
          </w:divBdr>
        </w:div>
        <w:div w:id="499077705">
          <w:marLeft w:val="640"/>
          <w:marRight w:val="0"/>
          <w:marTop w:val="0"/>
          <w:marBottom w:val="0"/>
          <w:divBdr>
            <w:top w:val="none" w:sz="0" w:space="0" w:color="auto"/>
            <w:left w:val="none" w:sz="0" w:space="0" w:color="auto"/>
            <w:bottom w:val="none" w:sz="0" w:space="0" w:color="auto"/>
            <w:right w:val="none" w:sz="0" w:space="0" w:color="auto"/>
          </w:divBdr>
        </w:div>
        <w:div w:id="1738043420">
          <w:marLeft w:val="640"/>
          <w:marRight w:val="0"/>
          <w:marTop w:val="0"/>
          <w:marBottom w:val="0"/>
          <w:divBdr>
            <w:top w:val="none" w:sz="0" w:space="0" w:color="auto"/>
            <w:left w:val="none" w:sz="0" w:space="0" w:color="auto"/>
            <w:bottom w:val="none" w:sz="0" w:space="0" w:color="auto"/>
            <w:right w:val="none" w:sz="0" w:space="0" w:color="auto"/>
          </w:divBdr>
        </w:div>
        <w:div w:id="1027869880">
          <w:marLeft w:val="640"/>
          <w:marRight w:val="0"/>
          <w:marTop w:val="0"/>
          <w:marBottom w:val="0"/>
          <w:divBdr>
            <w:top w:val="none" w:sz="0" w:space="0" w:color="auto"/>
            <w:left w:val="none" w:sz="0" w:space="0" w:color="auto"/>
            <w:bottom w:val="none" w:sz="0" w:space="0" w:color="auto"/>
            <w:right w:val="none" w:sz="0" w:space="0" w:color="auto"/>
          </w:divBdr>
        </w:div>
        <w:div w:id="1929263700">
          <w:marLeft w:val="640"/>
          <w:marRight w:val="0"/>
          <w:marTop w:val="0"/>
          <w:marBottom w:val="0"/>
          <w:divBdr>
            <w:top w:val="none" w:sz="0" w:space="0" w:color="auto"/>
            <w:left w:val="none" w:sz="0" w:space="0" w:color="auto"/>
            <w:bottom w:val="none" w:sz="0" w:space="0" w:color="auto"/>
            <w:right w:val="none" w:sz="0" w:space="0" w:color="auto"/>
          </w:divBdr>
        </w:div>
        <w:div w:id="1477917719">
          <w:marLeft w:val="640"/>
          <w:marRight w:val="0"/>
          <w:marTop w:val="0"/>
          <w:marBottom w:val="0"/>
          <w:divBdr>
            <w:top w:val="none" w:sz="0" w:space="0" w:color="auto"/>
            <w:left w:val="none" w:sz="0" w:space="0" w:color="auto"/>
            <w:bottom w:val="none" w:sz="0" w:space="0" w:color="auto"/>
            <w:right w:val="none" w:sz="0" w:space="0" w:color="auto"/>
          </w:divBdr>
        </w:div>
        <w:div w:id="1845240677">
          <w:marLeft w:val="640"/>
          <w:marRight w:val="0"/>
          <w:marTop w:val="0"/>
          <w:marBottom w:val="0"/>
          <w:divBdr>
            <w:top w:val="none" w:sz="0" w:space="0" w:color="auto"/>
            <w:left w:val="none" w:sz="0" w:space="0" w:color="auto"/>
            <w:bottom w:val="none" w:sz="0" w:space="0" w:color="auto"/>
            <w:right w:val="none" w:sz="0" w:space="0" w:color="auto"/>
          </w:divBdr>
        </w:div>
        <w:div w:id="1406949740">
          <w:marLeft w:val="640"/>
          <w:marRight w:val="0"/>
          <w:marTop w:val="0"/>
          <w:marBottom w:val="0"/>
          <w:divBdr>
            <w:top w:val="none" w:sz="0" w:space="0" w:color="auto"/>
            <w:left w:val="none" w:sz="0" w:space="0" w:color="auto"/>
            <w:bottom w:val="none" w:sz="0" w:space="0" w:color="auto"/>
            <w:right w:val="none" w:sz="0" w:space="0" w:color="auto"/>
          </w:divBdr>
        </w:div>
        <w:div w:id="2145584460">
          <w:marLeft w:val="640"/>
          <w:marRight w:val="0"/>
          <w:marTop w:val="0"/>
          <w:marBottom w:val="0"/>
          <w:divBdr>
            <w:top w:val="none" w:sz="0" w:space="0" w:color="auto"/>
            <w:left w:val="none" w:sz="0" w:space="0" w:color="auto"/>
            <w:bottom w:val="none" w:sz="0" w:space="0" w:color="auto"/>
            <w:right w:val="none" w:sz="0" w:space="0" w:color="auto"/>
          </w:divBdr>
        </w:div>
        <w:div w:id="2137135435">
          <w:marLeft w:val="640"/>
          <w:marRight w:val="0"/>
          <w:marTop w:val="0"/>
          <w:marBottom w:val="0"/>
          <w:divBdr>
            <w:top w:val="none" w:sz="0" w:space="0" w:color="auto"/>
            <w:left w:val="none" w:sz="0" w:space="0" w:color="auto"/>
            <w:bottom w:val="none" w:sz="0" w:space="0" w:color="auto"/>
            <w:right w:val="none" w:sz="0" w:space="0" w:color="auto"/>
          </w:divBdr>
        </w:div>
        <w:div w:id="614943821">
          <w:marLeft w:val="640"/>
          <w:marRight w:val="0"/>
          <w:marTop w:val="0"/>
          <w:marBottom w:val="0"/>
          <w:divBdr>
            <w:top w:val="none" w:sz="0" w:space="0" w:color="auto"/>
            <w:left w:val="none" w:sz="0" w:space="0" w:color="auto"/>
            <w:bottom w:val="none" w:sz="0" w:space="0" w:color="auto"/>
            <w:right w:val="none" w:sz="0" w:space="0" w:color="auto"/>
          </w:divBdr>
        </w:div>
        <w:div w:id="1940137823">
          <w:marLeft w:val="640"/>
          <w:marRight w:val="0"/>
          <w:marTop w:val="0"/>
          <w:marBottom w:val="0"/>
          <w:divBdr>
            <w:top w:val="none" w:sz="0" w:space="0" w:color="auto"/>
            <w:left w:val="none" w:sz="0" w:space="0" w:color="auto"/>
            <w:bottom w:val="none" w:sz="0" w:space="0" w:color="auto"/>
            <w:right w:val="none" w:sz="0" w:space="0" w:color="auto"/>
          </w:divBdr>
        </w:div>
        <w:div w:id="665137180">
          <w:marLeft w:val="640"/>
          <w:marRight w:val="0"/>
          <w:marTop w:val="0"/>
          <w:marBottom w:val="0"/>
          <w:divBdr>
            <w:top w:val="none" w:sz="0" w:space="0" w:color="auto"/>
            <w:left w:val="none" w:sz="0" w:space="0" w:color="auto"/>
            <w:bottom w:val="none" w:sz="0" w:space="0" w:color="auto"/>
            <w:right w:val="none" w:sz="0" w:space="0" w:color="auto"/>
          </w:divBdr>
        </w:div>
        <w:div w:id="225335422">
          <w:marLeft w:val="640"/>
          <w:marRight w:val="0"/>
          <w:marTop w:val="0"/>
          <w:marBottom w:val="0"/>
          <w:divBdr>
            <w:top w:val="none" w:sz="0" w:space="0" w:color="auto"/>
            <w:left w:val="none" w:sz="0" w:space="0" w:color="auto"/>
            <w:bottom w:val="none" w:sz="0" w:space="0" w:color="auto"/>
            <w:right w:val="none" w:sz="0" w:space="0" w:color="auto"/>
          </w:divBdr>
        </w:div>
        <w:div w:id="609119763">
          <w:marLeft w:val="640"/>
          <w:marRight w:val="0"/>
          <w:marTop w:val="0"/>
          <w:marBottom w:val="0"/>
          <w:divBdr>
            <w:top w:val="none" w:sz="0" w:space="0" w:color="auto"/>
            <w:left w:val="none" w:sz="0" w:space="0" w:color="auto"/>
            <w:bottom w:val="none" w:sz="0" w:space="0" w:color="auto"/>
            <w:right w:val="none" w:sz="0" w:space="0" w:color="auto"/>
          </w:divBdr>
        </w:div>
        <w:div w:id="478349927">
          <w:marLeft w:val="640"/>
          <w:marRight w:val="0"/>
          <w:marTop w:val="0"/>
          <w:marBottom w:val="0"/>
          <w:divBdr>
            <w:top w:val="none" w:sz="0" w:space="0" w:color="auto"/>
            <w:left w:val="none" w:sz="0" w:space="0" w:color="auto"/>
            <w:bottom w:val="none" w:sz="0" w:space="0" w:color="auto"/>
            <w:right w:val="none" w:sz="0" w:space="0" w:color="auto"/>
          </w:divBdr>
        </w:div>
        <w:div w:id="1414275692">
          <w:marLeft w:val="640"/>
          <w:marRight w:val="0"/>
          <w:marTop w:val="0"/>
          <w:marBottom w:val="0"/>
          <w:divBdr>
            <w:top w:val="none" w:sz="0" w:space="0" w:color="auto"/>
            <w:left w:val="none" w:sz="0" w:space="0" w:color="auto"/>
            <w:bottom w:val="none" w:sz="0" w:space="0" w:color="auto"/>
            <w:right w:val="none" w:sz="0" w:space="0" w:color="auto"/>
          </w:divBdr>
        </w:div>
        <w:div w:id="1878659672">
          <w:marLeft w:val="640"/>
          <w:marRight w:val="0"/>
          <w:marTop w:val="0"/>
          <w:marBottom w:val="0"/>
          <w:divBdr>
            <w:top w:val="none" w:sz="0" w:space="0" w:color="auto"/>
            <w:left w:val="none" w:sz="0" w:space="0" w:color="auto"/>
            <w:bottom w:val="none" w:sz="0" w:space="0" w:color="auto"/>
            <w:right w:val="none" w:sz="0" w:space="0" w:color="auto"/>
          </w:divBdr>
        </w:div>
        <w:div w:id="1697778317">
          <w:marLeft w:val="640"/>
          <w:marRight w:val="0"/>
          <w:marTop w:val="0"/>
          <w:marBottom w:val="0"/>
          <w:divBdr>
            <w:top w:val="none" w:sz="0" w:space="0" w:color="auto"/>
            <w:left w:val="none" w:sz="0" w:space="0" w:color="auto"/>
            <w:bottom w:val="none" w:sz="0" w:space="0" w:color="auto"/>
            <w:right w:val="none" w:sz="0" w:space="0" w:color="auto"/>
          </w:divBdr>
        </w:div>
        <w:div w:id="1754470474">
          <w:marLeft w:val="640"/>
          <w:marRight w:val="0"/>
          <w:marTop w:val="0"/>
          <w:marBottom w:val="0"/>
          <w:divBdr>
            <w:top w:val="none" w:sz="0" w:space="0" w:color="auto"/>
            <w:left w:val="none" w:sz="0" w:space="0" w:color="auto"/>
            <w:bottom w:val="none" w:sz="0" w:space="0" w:color="auto"/>
            <w:right w:val="none" w:sz="0" w:space="0" w:color="auto"/>
          </w:divBdr>
        </w:div>
        <w:div w:id="2023243563">
          <w:marLeft w:val="640"/>
          <w:marRight w:val="0"/>
          <w:marTop w:val="0"/>
          <w:marBottom w:val="0"/>
          <w:divBdr>
            <w:top w:val="none" w:sz="0" w:space="0" w:color="auto"/>
            <w:left w:val="none" w:sz="0" w:space="0" w:color="auto"/>
            <w:bottom w:val="none" w:sz="0" w:space="0" w:color="auto"/>
            <w:right w:val="none" w:sz="0" w:space="0" w:color="auto"/>
          </w:divBdr>
        </w:div>
        <w:div w:id="1986009195">
          <w:marLeft w:val="640"/>
          <w:marRight w:val="0"/>
          <w:marTop w:val="0"/>
          <w:marBottom w:val="0"/>
          <w:divBdr>
            <w:top w:val="none" w:sz="0" w:space="0" w:color="auto"/>
            <w:left w:val="none" w:sz="0" w:space="0" w:color="auto"/>
            <w:bottom w:val="none" w:sz="0" w:space="0" w:color="auto"/>
            <w:right w:val="none" w:sz="0" w:space="0" w:color="auto"/>
          </w:divBdr>
        </w:div>
        <w:div w:id="1221744428">
          <w:marLeft w:val="640"/>
          <w:marRight w:val="0"/>
          <w:marTop w:val="0"/>
          <w:marBottom w:val="0"/>
          <w:divBdr>
            <w:top w:val="none" w:sz="0" w:space="0" w:color="auto"/>
            <w:left w:val="none" w:sz="0" w:space="0" w:color="auto"/>
            <w:bottom w:val="none" w:sz="0" w:space="0" w:color="auto"/>
            <w:right w:val="none" w:sz="0" w:space="0" w:color="auto"/>
          </w:divBdr>
        </w:div>
        <w:div w:id="1062557517">
          <w:marLeft w:val="640"/>
          <w:marRight w:val="0"/>
          <w:marTop w:val="0"/>
          <w:marBottom w:val="0"/>
          <w:divBdr>
            <w:top w:val="none" w:sz="0" w:space="0" w:color="auto"/>
            <w:left w:val="none" w:sz="0" w:space="0" w:color="auto"/>
            <w:bottom w:val="none" w:sz="0" w:space="0" w:color="auto"/>
            <w:right w:val="none" w:sz="0" w:space="0" w:color="auto"/>
          </w:divBdr>
        </w:div>
        <w:div w:id="541527538">
          <w:marLeft w:val="640"/>
          <w:marRight w:val="0"/>
          <w:marTop w:val="0"/>
          <w:marBottom w:val="0"/>
          <w:divBdr>
            <w:top w:val="none" w:sz="0" w:space="0" w:color="auto"/>
            <w:left w:val="none" w:sz="0" w:space="0" w:color="auto"/>
            <w:bottom w:val="none" w:sz="0" w:space="0" w:color="auto"/>
            <w:right w:val="none" w:sz="0" w:space="0" w:color="auto"/>
          </w:divBdr>
        </w:div>
        <w:div w:id="1110515623">
          <w:marLeft w:val="640"/>
          <w:marRight w:val="0"/>
          <w:marTop w:val="0"/>
          <w:marBottom w:val="0"/>
          <w:divBdr>
            <w:top w:val="none" w:sz="0" w:space="0" w:color="auto"/>
            <w:left w:val="none" w:sz="0" w:space="0" w:color="auto"/>
            <w:bottom w:val="none" w:sz="0" w:space="0" w:color="auto"/>
            <w:right w:val="none" w:sz="0" w:space="0" w:color="auto"/>
          </w:divBdr>
        </w:div>
        <w:div w:id="1866167962">
          <w:marLeft w:val="640"/>
          <w:marRight w:val="0"/>
          <w:marTop w:val="0"/>
          <w:marBottom w:val="0"/>
          <w:divBdr>
            <w:top w:val="none" w:sz="0" w:space="0" w:color="auto"/>
            <w:left w:val="none" w:sz="0" w:space="0" w:color="auto"/>
            <w:bottom w:val="none" w:sz="0" w:space="0" w:color="auto"/>
            <w:right w:val="none" w:sz="0" w:space="0" w:color="auto"/>
          </w:divBdr>
        </w:div>
        <w:div w:id="2139953373">
          <w:marLeft w:val="640"/>
          <w:marRight w:val="0"/>
          <w:marTop w:val="0"/>
          <w:marBottom w:val="0"/>
          <w:divBdr>
            <w:top w:val="none" w:sz="0" w:space="0" w:color="auto"/>
            <w:left w:val="none" w:sz="0" w:space="0" w:color="auto"/>
            <w:bottom w:val="none" w:sz="0" w:space="0" w:color="auto"/>
            <w:right w:val="none" w:sz="0" w:space="0" w:color="auto"/>
          </w:divBdr>
        </w:div>
        <w:div w:id="1226723004">
          <w:marLeft w:val="640"/>
          <w:marRight w:val="0"/>
          <w:marTop w:val="0"/>
          <w:marBottom w:val="0"/>
          <w:divBdr>
            <w:top w:val="none" w:sz="0" w:space="0" w:color="auto"/>
            <w:left w:val="none" w:sz="0" w:space="0" w:color="auto"/>
            <w:bottom w:val="none" w:sz="0" w:space="0" w:color="auto"/>
            <w:right w:val="none" w:sz="0" w:space="0" w:color="auto"/>
          </w:divBdr>
        </w:div>
        <w:div w:id="1368682437">
          <w:marLeft w:val="640"/>
          <w:marRight w:val="0"/>
          <w:marTop w:val="0"/>
          <w:marBottom w:val="0"/>
          <w:divBdr>
            <w:top w:val="none" w:sz="0" w:space="0" w:color="auto"/>
            <w:left w:val="none" w:sz="0" w:space="0" w:color="auto"/>
            <w:bottom w:val="none" w:sz="0" w:space="0" w:color="auto"/>
            <w:right w:val="none" w:sz="0" w:space="0" w:color="auto"/>
          </w:divBdr>
        </w:div>
        <w:div w:id="1556165372">
          <w:marLeft w:val="640"/>
          <w:marRight w:val="0"/>
          <w:marTop w:val="0"/>
          <w:marBottom w:val="0"/>
          <w:divBdr>
            <w:top w:val="none" w:sz="0" w:space="0" w:color="auto"/>
            <w:left w:val="none" w:sz="0" w:space="0" w:color="auto"/>
            <w:bottom w:val="none" w:sz="0" w:space="0" w:color="auto"/>
            <w:right w:val="none" w:sz="0" w:space="0" w:color="auto"/>
          </w:divBdr>
        </w:div>
        <w:div w:id="1225682481">
          <w:marLeft w:val="640"/>
          <w:marRight w:val="0"/>
          <w:marTop w:val="0"/>
          <w:marBottom w:val="0"/>
          <w:divBdr>
            <w:top w:val="none" w:sz="0" w:space="0" w:color="auto"/>
            <w:left w:val="none" w:sz="0" w:space="0" w:color="auto"/>
            <w:bottom w:val="none" w:sz="0" w:space="0" w:color="auto"/>
            <w:right w:val="none" w:sz="0" w:space="0" w:color="auto"/>
          </w:divBdr>
        </w:div>
        <w:div w:id="1322849354">
          <w:marLeft w:val="640"/>
          <w:marRight w:val="0"/>
          <w:marTop w:val="0"/>
          <w:marBottom w:val="0"/>
          <w:divBdr>
            <w:top w:val="none" w:sz="0" w:space="0" w:color="auto"/>
            <w:left w:val="none" w:sz="0" w:space="0" w:color="auto"/>
            <w:bottom w:val="none" w:sz="0" w:space="0" w:color="auto"/>
            <w:right w:val="none" w:sz="0" w:space="0" w:color="auto"/>
          </w:divBdr>
        </w:div>
        <w:div w:id="2029017798">
          <w:marLeft w:val="640"/>
          <w:marRight w:val="0"/>
          <w:marTop w:val="0"/>
          <w:marBottom w:val="0"/>
          <w:divBdr>
            <w:top w:val="none" w:sz="0" w:space="0" w:color="auto"/>
            <w:left w:val="none" w:sz="0" w:space="0" w:color="auto"/>
            <w:bottom w:val="none" w:sz="0" w:space="0" w:color="auto"/>
            <w:right w:val="none" w:sz="0" w:space="0" w:color="auto"/>
          </w:divBdr>
        </w:div>
        <w:div w:id="630553140">
          <w:marLeft w:val="640"/>
          <w:marRight w:val="0"/>
          <w:marTop w:val="0"/>
          <w:marBottom w:val="0"/>
          <w:divBdr>
            <w:top w:val="none" w:sz="0" w:space="0" w:color="auto"/>
            <w:left w:val="none" w:sz="0" w:space="0" w:color="auto"/>
            <w:bottom w:val="none" w:sz="0" w:space="0" w:color="auto"/>
            <w:right w:val="none" w:sz="0" w:space="0" w:color="auto"/>
          </w:divBdr>
        </w:div>
        <w:div w:id="1284078308">
          <w:marLeft w:val="640"/>
          <w:marRight w:val="0"/>
          <w:marTop w:val="0"/>
          <w:marBottom w:val="0"/>
          <w:divBdr>
            <w:top w:val="none" w:sz="0" w:space="0" w:color="auto"/>
            <w:left w:val="none" w:sz="0" w:space="0" w:color="auto"/>
            <w:bottom w:val="none" w:sz="0" w:space="0" w:color="auto"/>
            <w:right w:val="none" w:sz="0" w:space="0" w:color="auto"/>
          </w:divBdr>
        </w:div>
        <w:div w:id="1229804341">
          <w:marLeft w:val="640"/>
          <w:marRight w:val="0"/>
          <w:marTop w:val="0"/>
          <w:marBottom w:val="0"/>
          <w:divBdr>
            <w:top w:val="none" w:sz="0" w:space="0" w:color="auto"/>
            <w:left w:val="none" w:sz="0" w:space="0" w:color="auto"/>
            <w:bottom w:val="none" w:sz="0" w:space="0" w:color="auto"/>
            <w:right w:val="none" w:sz="0" w:space="0" w:color="auto"/>
          </w:divBdr>
        </w:div>
        <w:div w:id="300577906">
          <w:marLeft w:val="640"/>
          <w:marRight w:val="0"/>
          <w:marTop w:val="0"/>
          <w:marBottom w:val="0"/>
          <w:divBdr>
            <w:top w:val="none" w:sz="0" w:space="0" w:color="auto"/>
            <w:left w:val="none" w:sz="0" w:space="0" w:color="auto"/>
            <w:bottom w:val="none" w:sz="0" w:space="0" w:color="auto"/>
            <w:right w:val="none" w:sz="0" w:space="0" w:color="auto"/>
          </w:divBdr>
        </w:div>
        <w:div w:id="2056998287">
          <w:marLeft w:val="640"/>
          <w:marRight w:val="0"/>
          <w:marTop w:val="0"/>
          <w:marBottom w:val="0"/>
          <w:divBdr>
            <w:top w:val="none" w:sz="0" w:space="0" w:color="auto"/>
            <w:left w:val="none" w:sz="0" w:space="0" w:color="auto"/>
            <w:bottom w:val="none" w:sz="0" w:space="0" w:color="auto"/>
            <w:right w:val="none" w:sz="0" w:space="0" w:color="auto"/>
          </w:divBdr>
        </w:div>
        <w:div w:id="515927982">
          <w:marLeft w:val="640"/>
          <w:marRight w:val="0"/>
          <w:marTop w:val="0"/>
          <w:marBottom w:val="0"/>
          <w:divBdr>
            <w:top w:val="none" w:sz="0" w:space="0" w:color="auto"/>
            <w:left w:val="none" w:sz="0" w:space="0" w:color="auto"/>
            <w:bottom w:val="none" w:sz="0" w:space="0" w:color="auto"/>
            <w:right w:val="none" w:sz="0" w:space="0" w:color="auto"/>
          </w:divBdr>
        </w:div>
        <w:div w:id="378170992">
          <w:marLeft w:val="640"/>
          <w:marRight w:val="0"/>
          <w:marTop w:val="0"/>
          <w:marBottom w:val="0"/>
          <w:divBdr>
            <w:top w:val="none" w:sz="0" w:space="0" w:color="auto"/>
            <w:left w:val="none" w:sz="0" w:space="0" w:color="auto"/>
            <w:bottom w:val="none" w:sz="0" w:space="0" w:color="auto"/>
            <w:right w:val="none" w:sz="0" w:space="0" w:color="auto"/>
          </w:divBdr>
        </w:div>
        <w:div w:id="995763503">
          <w:marLeft w:val="640"/>
          <w:marRight w:val="0"/>
          <w:marTop w:val="0"/>
          <w:marBottom w:val="0"/>
          <w:divBdr>
            <w:top w:val="none" w:sz="0" w:space="0" w:color="auto"/>
            <w:left w:val="none" w:sz="0" w:space="0" w:color="auto"/>
            <w:bottom w:val="none" w:sz="0" w:space="0" w:color="auto"/>
            <w:right w:val="none" w:sz="0" w:space="0" w:color="auto"/>
          </w:divBdr>
        </w:div>
        <w:div w:id="1151141979">
          <w:marLeft w:val="640"/>
          <w:marRight w:val="0"/>
          <w:marTop w:val="0"/>
          <w:marBottom w:val="0"/>
          <w:divBdr>
            <w:top w:val="none" w:sz="0" w:space="0" w:color="auto"/>
            <w:left w:val="none" w:sz="0" w:space="0" w:color="auto"/>
            <w:bottom w:val="none" w:sz="0" w:space="0" w:color="auto"/>
            <w:right w:val="none" w:sz="0" w:space="0" w:color="auto"/>
          </w:divBdr>
        </w:div>
        <w:div w:id="1577124999">
          <w:marLeft w:val="640"/>
          <w:marRight w:val="0"/>
          <w:marTop w:val="0"/>
          <w:marBottom w:val="0"/>
          <w:divBdr>
            <w:top w:val="none" w:sz="0" w:space="0" w:color="auto"/>
            <w:left w:val="none" w:sz="0" w:space="0" w:color="auto"/>
            <w:bottom w:val="none" w:sz="0" w:space="0" w:color="auto"/>
            <w:right w:val="none" w:sz="0" w:space="0" w:color="auto"/>
          </w:divBdr>
        </w:div>
        <w:div w:id="947353781">
          <w:marLeft w:val="640"/>
          <w:marRight w:val="0"/>
          <w:marTop w:val="0"/>
          <w:marBottom w:val="0"/>
          <w:divBdr>
            <w:top w:val="none" w:sz="0" w:space="0" w:color="auto"/>
            <w:left w:val="none" w:sz="0" w:space="0" w:color="auto"/>
            <w:bottom w:val="none" w:sz="0" w:space="0" w:color="auto"/>
            <w:right w:val="none" w:sz="0" w:space="0" w:color="auto"/>
          </w:divBdr>
        </w:div>
        <w:div w:id="816529085">
          <w:marLeft w:val="640"/>
          <w:marRight w:val="0"/>
          <w:marTop w:val="0"/>
          <w:marBottom w:val="0"/>
          <w:divBdr>
            <w:top w:val="none" w:sz="0" w:space="0" w:color="auto"/>
            <w:left w:val="none" w:sz="0" w:space="0" w:color="auto"/>
            <w:bottom w:val="none" w:sz="0" w:space="0" w:color="auto"/>
            <w:right w:val="none" w:sz="0" w:space="0" w:color="auto"/>
          </w:divBdr>
        </w:div>
        <w:div w:id="947008998">
          <w:marLeft w:val="640"/>
          <w:marRight w:val="0"/>
          <w:marTop w:val="0"/>
          <w:marBottom w:val="0"/>
          <w:divBdr>
            <w:top w:val="none" w:sz="0" w:space="0" w:color="auto"/>
            <w:left w:val="none" w:sz="0" w:space="0" w:color="auto"/>
            <w:bottom w:val="none" w:sz="0" w:space="0" w:color="auto"/>
            <w:right w:val="none" w:sz="0" w:space="0" w:color="auto"/>
          </w:divBdr>
        </w:div>
        <w:div w:id="49808156">
          <w:marLeft w:val="640"/>
          <w:marRight w:val="0"/>
          <w:marTop w:val="0"/>
          <w:marBottom w:val="0"/>
          <w:divBdr>
            <w:top w:val="none" w:sz="0" w:space="0" w:color="auto"/>
            <w:left w:val="none" w:sz="0" w:space="0" w:color="auto"/>
            <w:bottom w:val="none" w:sz="0" w:space="0" w:color="auto"/>
            <w:right w:val="none" w:sz="0" w:space="0" w:color="auto"/>
          </w:divBdr>
        </w:div>
        <w:div w:id="1259144192">
          <w:marLeft w:val="640"/>
          <w:marRight w:val="0"/>
          <w:marTop w:val="0"/>
          <w:marBottom w:val="0"/>
          <w:divBdr>
            <w:top w:val="none" w:sz="0" w:space="0" w:color="auto"/>
            <w:left w:val="none" w:sz="0" w:space="0" w:color="auto"/>
            <w:bottom w:val="none" w:sz="0" w:space="0" w:color="auto"/>
            <w:right w:val="none" w:sz="0" w:space="0" w:color="auto"/>
          </w:divBdr>
        </w:div>
        <w:div w:id="1949460769">
          <w:marLeft w:val="640"/>
          <w:marRight w:val="0"/>
          <w:marTop w:val="0"/>
          <w:marBottom w:val="0"/>
          <w:divBdr>
            <w:top w:val="none" w:sz="0" w:space="0" w:color="auto"/>
            <w:left w:val="none" w:sz="0" w:space="0" w:color="auto"/>
            <w:bottom w:val="none" w:sz="0" w:space="0" w:color="auto"/>
            <w:right w:val="none" w:sz="0" w:space="0" w:color="auto"/>
          </w:divBdr>
        </w:div>
        <w:div w:id="1790856728">
          <w:marLeft w:val="640"/>
          <w:marRight w:val="0"/>
          <w:marTop w:val="0"/>
          <w:marBottom w:val="0"/>
          <w:divBdr>
            <w:top w:val="none" w:sz="0" w:space="0" w:color="auto"/>
            <w:left w:val="none" w:sz="0" w:space="0" w:color="auto"/>
            <w:bottom w:val="none" w:sz="0" w:space="0" w:color="auto"/>
            <w:right w:val="none" w:sz="0" w:space="0" w:color="auto"/>
          </w:divBdr>
        </w:div>
        <w:div w:id="1564872506">
          <w:marLeft w:val="640"/>
          <w:marRight w:val="0"/>
          <w:marTop w:val="0"/>
          <w:marBottom w:val="0"/>
          <w:divBdr>
            <w:top w:val="none" w:sz="0" w:space="0" w:color="auto"/>
            <w:left w:val="none" w:sz="0" w:space="0" w:color="auto"/>
            <w:bottom w:val="none" w:sz="0" w:space="0" w:color="auto"/>
            <w:right w:val="none" w:sz="0" w:space="0" w:color="auto"/>
          </w:divBdr>
        </w:div>
        <w:div w:id="201599838">
          <w:marLeft w:val="640"/>
          <w:marRight w:val="0"/>
          <w:marTop w:val="0"/>
          <w:marBottom w:val="0"/>
          <w:divBdr>
            <w:top w:val="none" w:sz="0" w:space="0" w:color="auto"/>
            <w:left w:val="none" w:sz="0" w:space="0" w:color="auto"/>
            <w:bottom w:val="none" w:sz="0" w:space="0" w:color="auto"/>
            <w:right w:val="none" w:sz="0" w:space="0" w:color="auto"/>
          </w:divBdr>
        </w:div>
        <w:div w:id="855458745">
          <w:marLeft w:val="640"/>
          <w:marRight w:val="0"/>
          <w:marTop w:val="0"/>
          <w:marBottom w:val="0"/>
          <w:divBdr>
            <w:top w:val="none" w:sz="0" w:space="0" w:color="auto"/>
            <w:left w:val="none" w:sz="0" w:space="0" w:color="auto"/>
            <w:bottom w:val="none" w:sz="0" w:space="0" w:color="auto"/>
            <w:right w:val="none" w:sz="0" w:space="0" w:color="auto"/>
          </w:divBdr>
        </w:div>
        <w:div w:id="634796591">
          <w:marLeft w:val="640"/>
          <w:marRight w:val="0"/>
          <w:marTop w:val="0"/>
          <w:marBottom w:val="0"/>
          <w:divBdr>
            <w:top w:val="none" w:sz="0" w:space="0" w:color="auto"/>
            <w:left w:val="none" w:sz="0" w:space="0" w:color="auto"/>
            <w:bottom w:val="none" w:sz="0" w:space="0" w:color="auto"/>
            <w:right w:val="none" w:sz="0" w:space="0" w:color="auto"/>
          </w:divBdr>
        </w:div>
        <w:div w:id="1770389760">
          <w:marLeft w:val="640"/>
          <w:marRight w:val="0"/>
          <w:marTop w:val="0"/>
          <w:marBottom w:val="0"/>
          <w:divBdr>
            <w:top w:val="none" w:sz="0" w:space="0" w:color="auto"/>
            <w:left w:val="none" w:sz="0" w:space="0" w:color="auto"/>
            <w:bottom w:val="none" w:sz="0" w:space="0" w:color="auto"/>
            <w:right w:val="none" w:sz="0" w:space="0" w:color="auto"/>
          </w:divBdr>
        </w:div>
        <w:div w:id="1620451742">
          <w:marLeft w:val="640"/>
          <w:marRight w:val="0"/>
          <w:marTop w:val="0"/>
          <w:marBottom w:val="0"/>
          <w:divBdr>
            <w:top w:val="none" w:sz="0" w:space="0" w:color="auto"/>
            <w:left w:val="none" w:sz="0" w:space="0" w:color="auto"/>
            <w:bottom w:val="none" w:sz="0" w:space="0" w:color="auto"/>
            <w:right w:val="none" w:sz="0" w:space="0" w:color="auto"/>
          </w:divBdr>
        </w:div>
        <w:div w:id="1271668698">
          <w:marLeft w:val="640"/>
          <w:marRight w:val="0"/>
          <w:marTop w:val="0"/>
          <w:marBottom w:val="0"/>
          <w:divBdr>
            <w:top w:val="none" w:sz="0" w:space="0" w:color="auto"/>
            <w:left w:val="none" w:sz="0" w:space="0" w:color="auto"/>
            <w:bottom w:val="none" w:sz="0" w:space="0" w:color="auto"/>
            <w:right w:val="none" w:sz="0" w:space="0" w:color="auto"/>
          </w:divBdr>
        </w:div>
        <w:div w:id="305401934">
          <w:marLeft w:val="640"/>
          <w:marRight w:val="0"/>
          <w:marTop w:val="0"/>
          <w:marBottom w:val="0"/>
          <w:divBdr>
            <w:top w:val="none" w:sz="0" w:space="0" w:color="auto"/>
            <w:left w:val="none" w:sz="0" w:space="0" w:color="auto"/>
            <w:bottom w:val="none" w:sz="0" w:space="0" w:color="auto"/>
            <w:right w:val="none" w:sz="0" w:space="0" w:color="auto"/>
          </w:divBdr>
        </w:div>
        <w:div w:id="1426731450">
          <w:marLeft w:val="640"/>
          <w:marRight w:val="0"/>
          <w:marTop w:val="0"/>
          <w:marBottom w:val="0"/>
          <w:divBdr>
            <w:top w:val="none" w:sz="0" w:space="0" w:color="auto"/>
            <w:left w:val="none" w:sz="0" w:space="0" w:color="auto"/>
            <w:bottom w:val="none" w:sz="0" w:space="0" w:color="auto"/>
            <w:right w:val="none" w:sz="0" w:space="0" w:color="auto"/>
          </w:divBdr>
        </w:div>
        <w:div w:id="883323378">
          <w:marLeft w:val="640"/>
          <w:marRight w:val="0"/>
          <w:marTop w:val="0"/>
          <w:marBottom w:val="0"/>
          <w:divBdr>
            <w:top w:val="none" w:sz="0" w:space="0" w:color="auto"/>
            <w:left w:val="none" w:sz="0" w:space="0" w:color="auto"/>
            <w:bottom w:val="none" w:sz="0" w:space="0" w:color="auto"/>
            <w:right w:val="none" w:sz="0" w:space="0" w:color="auto"/>
          </w:divBdr>
        </w:div>
        <w:div w:id="90053266">
          <w:marLeft w:val="640"/>
          <w:marRight w:val="0"/>
          <w:marTop w:val="0"/>
          <w:marBottom w:val="0"/>
          <w:divBdr>
            <w:top w:val="none" w:sz="0" w:space="0" w:color="auto"/>
            <w:left w:val="none" w:sz="0" w:space="0" w:color="auto"/>
            <w:bottom w:val="none" w:sz="0" w:space="0" w:color="auto"/>
            <w:right w:val="none" w:sz="0" w:space="0" w:color="auto"/>
          </w:divBdr>
        </w:div>
        <w:div w:id="620919703">
          <w:marLeft w:val="640"/>
          <w:marRight w:val="0"/>
          <w:marTop w:val="0"/>
          <w:marBottom w:val="0"/>
          <w:divBdr>
            <w:top w:val="none" w:sz="0" w:space="0" w:color="auto"/>
            <w:left w:val="none" w:sz="0" w:space="0" w:color="auto"/>
            <w:bottom w:val="none" w:sz="0" w:space="0" w:color="auto"/>
            <w:right w:val="none" w:sz="0" w:space="0" w:color="auto"/>
          </w:divBdr>
        </w:div>
        <w:div w:id="1620792513">
          <w:marLeft w:val="640"/>
          <w:marRight w:val="0"/>
          <w:marTop w:val="0"/>
          <w:marBottom w:val="0"/>
          <w:divBdr>
            <w:top w:val="none" w:sz="0" w:space="0" w:color="auto"/>
            <w:left w:val="none" w:sz="0" w:space="0" w:color="auto"/>
            <w:bottom w:val="none" w:sz="0" w:space="0" w:color="auto"/>
            <w:right w:val="none" w:sz="0" w:space="0" w:color="auto"/>
          </w:divBdr>
        </w:div>
        <w:div w:id="925071140">
          <w:marLeft w:val="640"/>
          <w:marRight w:val="0"/>
          <w:marTop w:val="0"/>
          <w:marBottom w:val="0"/>
          <w:divBdr>
            <w:top w:val="none" w:sz="0" w:space="0" w:color="auto"/>
            <w:left w:val="none" w:sz="0" w:space="0" w:color="auto"/>
            <w:bottom w:val="none" w:sz="0" w:space="0" w:color="auto"/>
            <w:right w:val="none" w:sz="0" w:space="0" w:color="auto"/>
          </w:divBdr>
        </w:div>
        <w:div w:id="179784674">
          <w:marLeft w:val="640"/>
          <w:marRight w:val="0"/>
          <w:marTop w:val="0"/>
          <w:marBottom w:val="0"/>
          <w:divBdr>
            <w:top w:val="none" w:sz="0" w:space="0" w:color="auto"/>
            <w:left w:val="none" w:sz="0" w:space="0" w:color="auto"/>
            <w:bottom w:val="none" w:sz="0" w:space="0" w:color="auto"/>
            <w:right w:val="none" w:sz="0" w:space="0" w:color="auto"/>
          </w:divBdr>
        </w:div>
        <w:div w:id="1751921402">
          <w:marLeft w:val="640"/>
          <w:marRight w:val="0"/>
          <w:marTop w:val="0"/>
          <w:marBottom w:val="0"/>
          <w:divBdr>
            <w:top w:val="none" w:sz="0" w:space="0" w:color="auto"/>
            <w:left w:val="none" w:sz="0" w:space="0" w:color="auto"/>
            <w:bottom w:val="none" w:sz="0" w:space="0" w:color="auto"/>
            <w:right w:val="none" w:sz="0" w:space="0" w:color="auto"/>
          </w:divBdr>
        </w:div>
        <w:div w:id="2136409522">
          <w:marLeft w:val="640"/>
          <w:marRight w:val="0"/>
          <w:marTop w:val="0"/>
          <w:marBottom w:val="0"/>
          <w:divBdr>
            <w:top w:val="none" w:sz="0" w:space="0" w:color="auto"/>
            <w:left w:val="none" w:sz="0" w:space="0" w:color="auto"/>
            <w:bottom w:val="none" w:sz="0" w:space="0" w:color="auto"/>
            <w:right w:val="none" w:sz="0" w:space="0" w:color="auto"/>
          </w:divBdr>
        </w:div>
        <w:div w:id="1517693762">
          <w:marLeft w:val="640"/>
          <w:marRight w:val="0"/>
          <w:marTop w:val="0"/>
          <w:marBottom w:val="0"/>
          <w:divBdr>
            <w:top w:val="none" w:sz="0" w:space="0" w:color="auto"/>
            <w:left w:val="none" w:sz="0" w:space="0" w:color="auto"/>
            <w:bottom w:val="none" w:sz="0" w:space="0" w:color="auto"/>
            <w:right w:val="none" w:sz="0" w:space="0" w:color="auto"/>
          </w:divBdr>
        </w:div>
        <w:div w:id="169879836">
          <w:marLeft w:val="640"/>
          <w:marRight w:val="0"/>
          <w:marTop w:val="0"/>
          <w:marBottom w:val="0"/>
          <w:divBdr>
            <w:top w:val="none" w:sz="0" w:space="0" w:color="auto"/>
            <w:left w:val="none" w:sz="0" w:space="0" w:color="auto"/>
            <w:bottom w:val="none" w:sz="0" w:space="0" w:color="auto"/>
            <w:right w:val="none" w:sz="0" w:space="0" w:color="auto"/>
          </w:divBdr>
        </w:div>
        <w:div w:id="2077702216">
          <w:marLeft w:val="640"/>
          <w:marRight w:val="0"/>
          <w:marTop w:val="0"/>
          <w:marBottom w:val="0"/>
          <w:divBdr>
            <w:top w:val="none" w:sz="0" w:space="0" w:color="auto"/>
            <w:left w:val="none" w:sz="0" w:space="0" w:color="auto"/>
            <w:bottom w:val="none" w:sz="0" w:space="0" w:color="auto"/>
            <w:right w:val="none" w:sz="0" w:space="0" w:color="auto"/>
          </w:divBdr>
        </w:div>
        <w:div w:id="147406708">
          <w:marLeft w:val="640"/>
          <w:marRight w:val="0"/>
          <w:marTop w:val="0"/>
          <w:marBottom w:val="0"/>
          <w:divBdr>
            <w:top w:val="none" w:sz="0" w:space="0" w:color="auto"/>
            <w:left w:val="none" w:sz="0" w:space="0" w:color="auto"/>
            <w:bottom w:val="none" w:sz="0" w:space="0" w:color="auto"/>
            <w:right w:val="none" w:sz="0" w:space="0" w:color="auto"/>
          </w:divBdr>
        </w:div>
        <w:div w:id="1692216982">
          <w:marLeft w:val="640"/>
          <w:marRight w:val="0"/>
          <w:marTop w:val="0"/>
          <w:marBottom w:val="0"/>
          <w:divBdr>
            <w:top w:val="none" w:sz="0" w:space="0" w:color="auto"/>
            <w:left w:val="none" w:sz="0" w:space="0" w:color="auto"/>
            <w:bottom w:val="none" w:sz="0" w:space="0" w:color="auto"/>
            <w:right w:val="none" w:sz="0" w:space="0" w:color="auto"/>
          </w:divBdr>
        </w:div>
        <w:div w:id="1326277031">
          <w:marLeft w:val="640"/>
          <w:marRight w:val="0"/>
          <w:marTop w:val="0"/>
          <w:marBottom w:val="0"/>
          <w:divBdr>
            <w:top w:val="none" w:sz="0" w:space="0" w:color="auto"/>
            <w:left w:val="none" w:sz="0" w:space="0" w:color="auto"/>
            <w:bottom w:val="none" w:sz="0" w:space="0" w:color="auto"/>
            <w:right w:val="none" w:sz="0" w:space="0" w:color="auto"/>
          </w:divBdr>
        </w:div>
        <w:div w:id="343746821">
          <w:marLeft w:val="640"/>
          <w:marRight w:val="0"/>
          <w:marTop w:val="0"/>
          <w:marBottom w:val="0"/>
          <w:divBdr>
            <w:top w:val="none" w:sz="0" w:space="0" w:color="auto"/>
            <w:left w:val="none" w:sz="0" w:space="0" w:color="auto"/>
            <w:bottom w:val="none" w:sz="0" w:space="0" w:color="auto"/>
            <w:right w:val="none" w:sz="0" w:space="0" w:color="auto"/>
          </w:divBdr>
        </w:div>
        <w:div w:id="284241444">
          <w:marLeft w:val="640"/>
          <w:marRight w:val="0"/>
          <w:marTop w:val="0"/>
          <w:marBottom w:val="0"/>
          <w:divBdr>
            <w:top w:val="none" w:sz="0" w:space="0" w:color="auto"/>
            <w:left w:val="none" w:sz="0" w:space="0" w:color="auto"/>
            <w:bottom w:val="none" w:sz="0" w:space="0" w:color="auto"/>
            <w:right w:val="none" w:sz="0" w:space="0" w:color="auto"/>
          </w:divBdr>
        </w:div>
        <w:div w:id="312223804">
          <w:marLeft w:val="640"/>
          <w:marRight w:val="0"/>
          <w:marTop w:val="0"/>
          <w:marBottom w:val="0"/>
          <w:divBdr>
            <w:top w:val="none" w:sz="0" w:space="0" w:color="auto"/>
            <w:left w:val="none" w:sz="0" w:space="0" w:color="auto"/>
            <w:bottom w:val="none" w:sz="0" w:space="0" w:color="auto"/>
            <w:right w:val="none" w:sz="0" w:space="0" w:color="auto"/>
          </w:divBdr>
        </w:div>
        <w:div w:id="818769423">
          <w:marLeft w:val="640"/>
          <w:marRight w:val="0"/>
          <w:marTop w:val="0"/>
          <w:marBottom w:val="0"/>
          <w:divBdr>
            <w:top w:val="none" w:sz="0" w:space="0" w:color="auto"/>
            <w:left w:val="none" w:sz="0" w:space="0" w:color="auto"/>
            <w:bottom w:val="none" w:sz="0" w:space="0" w:color="auto"/>
            <w:right w:val="none" w:sz="0" w:space="0" w:color="auto"/>
          </w:divBdr>
        </w:div>
        <w:div w:id="1273980686">
          <w:marLeft w:val="640"/>
          <w:marRight w:val="0"/>
          <w:marTop w:val="0"/>
          <w:marBottom w:val="0"/>
          <w:divBdr>
            <w:top w:val="none" w:sz="0" w:space="0" w:color="auto"/>
            <w:left w:val="none" w:sz="0" w:space="0" w:color="auto"/>
            <w:bottom w:val="none" w:sz="0" w:space="0" w:color="auto"/>
            <w:right w:val="none" w:sz="0" w:space="0" w:color="auto"/>
          </w:divBdr>
        </w:div>
        <w:div w:id="116801115">
          <w:marLeft w:val="640"/>
          <w:marRight w:val="0"/>
          <w:marTop w:val="0"/>
          <w:marBottom w:val="0"/>
          <w:divBdr>
            <w:top w:val="none" w:sz="0" w:space="0" w:color="auto"/>
            <w:left w:val="none" w:sz="0" w:space="0" w:color="auto"/>
            <w:bottom w:val="none" w:sz="0" w:space="0" w:color="auto"/>
            <w:right w:val="none" w:sz="0" w:space="0" w:color="auto"/>
          </w:divBdr>
        </w:div>
        <w:div w:id="1424180650">
          <w:marLeft w:val="640"/>
          <w:marRight w:val="0"/>
          <w:marTop w:val="0"/>
          <w:marBottom w:val="0"/>
          <w:divBdr>
            <w:top w:val="none" w:sz="0" w:space="0" w:color="auto"/>
            <w:left w:val="none" w:sz="0" w:space="0" w:color="auto"/>
            <w:bottom w:val="none" w:sz="0" w:space="0" w:color="auto"/>
            <w:right w:val="none" w:sz="0" w:space="0" w:color="auto"/>
          </w:divBdr>
        </w:div>
        <w:div w:id="66655267">
          <w:marLeft w:val="640"/>
          <w:marRight w:val="0"/>
          <w:marTop w:val="0"/>
          <w:marBottom w:val="0"/>
          <w:divBdr>
            <w:top w:val="none" w:sz="0" w:space="0" w:color="auto"/>
            <w:left w:val="none" w:sz="0" w:space="0" w:color="auto"/>
            <w:bottom w:val="none" w:sz="0" w:space="0" w:color="auto"/>
            <w:right w:val="none" w:sz="0" w:space="0" w:color="auto"/>
          </w:divBdr>
        </w:div>
        <w:div w:id="418335516">
          <w:marLeft w:val="640"/>
          <w:marRight w:val="0"/>
          <w:marTop w:val="0"/>
          <w:marBottom w:val="0"/>
          <w:divBdr>
            <w:top w:val="none" w:sz="0" w:space="0" w:color="auto"/>
            <w:left w:val="none" w:sz="0" w:space="0" w:color="auto"/>
            <w:bottom w:val="none" w:sz="0" w:space="0" w:color="auto"/>
            <w:right w:val="none" w:sz="0" w:space="0" w:color="auto"/>
          </w:divBdr>
        </w:div>
        <w:div w:id="964893995">
          <w:marLeft w:val="640"/>
          <w:marRight w:val="0"/>
          <w:marTop w:val="0"/>
          <w:marBottom w:val="0"/>
          <w:divBdr>
            <w:top w:val="none" w:sz="0" w:space="0" w:color="auto"/>
            <w:left w:val="none" w:sz="0" w:space="0" w:color="auto"/>
            <w:bottom w:val="none" w:sz="0" w:space="0" w:color="auto"/>
            <w:right w:val="none" w:sz="0" w:space="0" w:color="auto"/>
          </w:divBdr>
        </w:div>
        <w:div w:id="1153058386">
          <w:marLeft w:val="640"/>
          <w:marRight w:val="0"/>
          <w:marTop w:val="0"/>
          <w:marBottom w:val="0"/>
          <w:divBdr>
            <w:top w:val="none" w:sz="0" w:space="0" w:color="auto"/>
            <w:left w:val="none" w:sz="0" w:space="0" w:color="auto"/>
            <w:bottom w:val="none" w:sz="0" w:space="0" w:color="auto"/>
            <w:right w:val="none" w:sz="0" w:space="0" w:color="auto"/>
          </w:divBdr>
        </w:div>
        <w:div w:id="508258792">
          <w:marLeft w:val="640"/>
          <w:marRight w:val="0"/>
          <w:marTop w:val="0"/>
          <w:marBottom w:val="0"/>
          <w:divBdr>
            <w:top w:val="none" w:sz="0" w:space="0" w:color="auto"/>
            <w:left w:val="none" w:sz="0" w:space="0" w:color="auto"/>
            <w:bottom w:val="none" w:sz="0" w:space="0" w:color="auto"/>
            <w:right w:val="none" w:sz="0" w:space="0" w:color="auto"/>
          </w:divBdr>
        </w:div>
        <w:div w:id="627205252">
          <w:marLeft w:val="640"/>
          <w:marRight w:val="0"/>
          <w:marTop w:val="0"/>
          <w:marBottom w:val="0"/>
          <w:divBdr>
            <w:top w:val="none" w:sz="0" w:space="0" w:color="auto"/>
            <w:left w:val="none" w:sz="0" w:space="0" w:color="auto"/>
            <w:bottom w:val="none" w:sz="0" w:space="0" w:color="auto"/>
            <w:right w:val="none" w:sz="0" w:space="0" w:color="auto"/>
          </w:divBdr>
        </w:div>
        <w:div w:id="1272085381">
          <w:marLeft w:val="640"/>
          <w:marRight w:val="0"/>
          <w:marTop w:val="0"/>
          <w:marBottom w:val="0"/>
          <w:divBdr>
            <w:top w:val="none" w:sz="0" w:space="0" w:color="auto"/>
            <w:left w:val="none" w:sz="0" w:space="0" w:color="auto"/>
            <w:bottom w:val="none" w:sz="0" w:space="0" w:color="auto"/>
            <w:right w:val="none" w:sz="0" w:space="0" w:color="auto"/>
          </w:divBdr>
        </w:div>
        <w:div w:id="1882009706">
          <w:marLeft w:val="640"/>
          <w:marRight w:val="0"/>
          <w:marTop w:val="0"/>
          <w:marBottom w:val="0"/>
          <w:divBdr>
            <w:top w:val="none" w:sz="0" w:space="0" w:color="auto"/>
            <w:left w:val="none" w:sz="0" w:space="0" w:color="auto"/>
            <w:bottom w:val="none" w:sz="0" w:space="0" w:color="auto"/>
            <w:right w:val="none" w:sz="0" w:space="0" w:color="auto"/>
          </w:divBdr>
        </w:div>
        <w:div w:id="1777166854">
          <w:marLeft w:val="640"/>
          <w:marRight w:val="0"/>
          <w:marTop w:val="0"/>
          <w:marBottom w:val="0"/>
          <w:divBdr>
            <w:top w:val="none" w:sz="0" w:space="0" w:color="auto"/>
            <w:left w:val="none" w:sz="0" w:space="0" w:color="auto"/>
            <w:bottom w:val="none" w:sz="0" w:space="0" w:color="auto"/>
            <w:right w:val="none" w:sz="0" w:space="0" w:color="auto"/>
          </w:divBdr>
        </w:div>
        <w:div w:id="1801264013">
          <w:marLeft w:val="640"/>
          <w:marRight w:val="0"/>
          <w:marTop w:val="0"/>
          <w:marBottom w:val="0"/>
          <w:divBdr>
            <w:top w:val="none" w:sz="0" w:space="0" w:color="auto"/>
            <w:left w:val="none" w:sz="0" w:space="0" w:color="auto"/>
            <w:bottom w:val="none" w:sz="0" w:space="0" w:color="auto"/>
            <w:right w:val="none" w:sz="0" w:space="0" w:color="auto"/>
          </w:divBdr>
        </w:div>
        <w:div w:id="176847609">
          <w:marLeft w:val="640"/>
          <w:marRight w:val="0"/>
          <w:marTop w:val="0"/>
          <w:marBottom w:val="0"/>
          <w:divBdr>
            <w:top w:val="none" w:sz="0" w:space="0" w:color="auto"/>
            <w:left w:val="none" w:sz="0" w:space="0" w:color="auto"/>
            <w:bottom w:val="none" w:sz="0" w:space="0" w:color="auto"/>
            <w:right w:val="none" w:sz="0" w:space="0" w:color="auto"/>
          </w:divBdr>
        </w:div>
        <w:div w:id="2094667928">
          <w:marLeft w:val="640"/>
          <w:marRight w:val="0"/>
          <w:marTop w:val="0"/>
          <w:marBottom w:val="0"/>
          <w:divBdr>
            <w:top w:val="none" w:sz="0" w:space="0" w:color="auto"/>
            <w:left w:val="none" w:sz="0" w:space="0" w:color="auto"/>
            <w:bottom w:val="none" w:sz="0" w:space="0" w:color="auto"/>
            <w:right w:val="none" w:sz="0" w:space="0" w:color="auto"/>
          </w:divBdr>
        </w:div>
        <w:div w:id="1841777665">
          <w:marLeft w:val="640"/>
          <w:marRight w:val="0"/>
          <w:marTop w:val="0"/>
          <w:marBottom w:val="0"/>
          <w:divBdr>
            <w:top w:val="none" w:sz="0" w:space="0" w:color="auto"/>
            <w:left w:val="none" w:sz="0" w:space="0" w:color="auto"/>
            <w:bottom w:val="none" w:sz="0" w:space="0" w:color="auto"/>
            <w:right w:val="none" w:sz="0" w:space="0" w:color="auto"/>
          </w:divBdr>
        </w:div>
        <w:div w:id="1076785468">
          <w:marLeft w:val="640"/>
          <w:marRight w:val="0"/>
          <w:marTop w:val="0"/>
          <w:marBottom w:val="0"/>
          <w:divBdr>
            <w:top w:val="none" w:sz="0" w:space="0" w:color="auto"/>
            <w:left w:val="none" w:sz="0" w:space="0" w:color="auto"/>
            <w:bottom w:val="none" w:sz="0" w:space="0" w:color="auto"/>
            <w:right w:val="none" w:sz="0" w:space="0" w:color="auto"/>
          </w:divBdr>
        </w:div>
        <w:div w:id="1768426613">
          <w:marLeft w:val="640"/>
          <w:marRight w:val="0"/>
          <w:marTop w:val="0"/>
          <w:marBottom w:val="0"/>
          <w:divBdr>
            <w:top w:val="none" w:sz="0" w:space="0" w:color="auto"/>
            <w:left w:val="none" w:sz="0" w:space="0" w:color="auto"/>
            <w:bottom w:val="none" w:sz="0" w:space="0" w:color="auto"/>
            <w:right w:val="none" w:sz="0" w:space="0" w:color="auto"/>
          </w:divBdr>
        </w:div>
        <w:div w:id="714163751">
          <w:marLeft w:val="640"/>
          <w:marRight w:val="0"/>
          <w:marTop w:val="0"/>
          <w:marBottom w:val="0"/>
          <w:divBdr>
            <w:top w:val="none" w:sz="0" w:space="0" w:color="auto"/>
            <w:left w:val="none" w:sz="0" w:space="0" w:color="auto"/>
            <w:bottom w:val="none" w:sz="0" w:space="0" w:color="auto"/>
            <w:right w:val="none" w:sz="0" w:space="0" w:color="auto"/>
          </w:divBdr>
        </w:div>
        <w:div w:id="25834858">
          <w:marLeft w:val="640"/>
          <w:marRight w:val="0"/>
          <w:marTop w:val="0"/>
          <w:marBottom w:val="0"/>
          <w:divBdr>
            <w:top w:val="none" w:sz="0" w:space="0" w:color="auto"/>
            <w:left w:val="none" w:sz="0" w:space="0" w:color="auto"/>
            <w:bottom w:val="none" w:sz="0" w:space="0" w:color="auto"/>
            <w:right w:val="none" w:sz="0" w:space="0" w:color="auto"/>
          </w:divBdr>
        </w:div>
        <w:div w:id="1678995076">
          <w:marLeft w:val="640"/>
          <w:marRight w:val="0"/>
          <w:marTop w:val="0"/>
          <w:marBottom w:val="0"/>
          <w:divBdr>
            <w:top w:val="none" w:sz="0" w:space="0" w:color="auto"/>
            <w:left w:val="none" w:sz="0" w:space="0" w:color="auto"/>
            <w:bottom w:val="none" w:sz="0" w:space="0" w:color="auto"/>
            <w:right w:val="none" w:sz="0" w:space="0" w:color="auto"/>
          </w:divBdr>
        </w:div>
        <w:div w:id="1189028979">
          <w:marLeft w:val="640"/>
          <w:marRight w:val="0"/>
          <w:marTop w:val="0"/>
          <w:marBottom w:val="0"/>
          <w:divBdr>
            <w:top w:val="none" w:sz="0" w:space="0" w:color="auto"/>
            <w:left w:val="none" w:sz="0" w:space="0" w:color="auto"/>
            <w:bottom w:val="none" w:sz="0" w:space="0" w:color="auto"/>
            <w:right w:val="none" w:sz="0" w:space="0" w:color="auto"/>
          </w:divBdr>
        </w:div>
        <w:div w:id="1821575900">
          <w:marLeft w:val="640"/>
          <w:marRight w:val="0"/>
          <w:marTop w:val="0"/>
          <w:marBottom w:val="0"/>
          <w:divBdr>
            <w:top w:val="none" w:sz="0" w:space="0" w:color="auto"/>
            <w:left w:val="none" w:sz="0" w:space="0" w:color="auto"/>
            <w:bottom w:val="none" w:sz="0" w:space="0" w:color="auto"/>
            <w:right w:val="none" w:sz="0" w:space="0" w:color="auto"/>
          </w:divBdr>
        </w:div>
        <w:div w:id="217059893">
          <w:marLeft w:val="640"/>
          <w:marRight w:val="0"/>
          <w:marTop w:val="0"/>
          <w:marBottom w:val="0"/>
          <w:divBdr>
            <w:top w:val="none" w:sz="0" w:space="0" w:color="auto"/>
            <w:left w:val="none" w:sz="0" w:space="0" w:color="auto"/>
            <w:bottom w:val="none" w:sz="0" w:space="0" w:color="auto"/>
            <w:right w:val="none" w:sz="0" w:space="0" w:color="auto"/>
          </w:divBdr>
        </w:div>
        <w:div w:id="262568562">
          <w:marLeft w:val="640"/>
          <w:marRight w:val="0"/>
          <w:marTop w:val="0"/>
          <w:marBottom w:val="0"/>
          <w:divBdr>
            <w:top w:val="none" w:sz="0" w:space="0" w:color="auto"/>
            <w:left w:val="none" w:sz="0" w:space="0" w:color="auto"/>
            <w:bottom w:val="none" w:sz="0" w:space="0" w:color="auto"/>
            <w:right w:val="none" w:sz="0" w:space="0" w:color="auto"/>
          </w:divBdr>
        </w:div>
        <w:div w:id="586889198">
          <w:marLeft w:val="640"/>
          <w:marRight w:val="0"/>
          <w:marTop w:val="0"/>
          <w:marBottom w:val="0"/>
          <w:divBdr>
            <w:top w:val="none" w:sz="0" w:space="0" w:color="auto"/>
            <w:left w:val="none" w:sz="0" w:space="0" w:color="auto"/>
            <w:bottom w:val="none" w:sz="0" w:space="0" w:color="auto"/>
            <w:right w:val="none" w:sz="0" w:space="0" w:color="auto"/>
          </w:divBdr>
        </w:div>
        <w:div w:id="1362323916">
          <w:marLeft w:val="640"/>
          <w:marRight w:val="0"/>
          <w:marTop w:val="0"/>
          <w:marBottom w:val="0"/>
          <w:divBdr>
            <w:top w:val="none" w:sz="0" w:space="0" w:color="auto"/>
            <w:left w:val="none" w:sz="0" w:space="0" w:color="auto"/>
            <w:bottom w:val="none" w:sz="0" w:space="0" w:color="auto"/>
            <w:right w:val="none" w:sz="0" w:space="0" w:color="auto"/>
          </w:divBdr>
        </w:div>
        <w:div w:id="900167614">
          <w:marLeft w:val="640"/>
          <w:marRight w:val="0"/>
          <w:marTop w:val="0"/>
          <w:marBottom w:val="0"/>
          <w:divBdr>
            <w:top w:val="none" w:sz="0" w:space="0" w:color="auto"/>
            <w:left w:val="none" w:sz="0" w:space="0" w:color="auto"/>
            <w:bottom w:val="none" w:sz="0" w:space="0" w:color="auto"/>
            <w:right w:val="none" w:sz="0" w:space="0" w:color="auto"/>
          </w:divBdr>
        </w:div>
        <w:div w:id="692263598">
          <w:marLeft w:val="640"/>
          <w:marRight w:val="0"/>
          <w:marTop w:val="0"/>
          <w:marBottom w:val="0"/>
          <w:divBdr>
            <w:top w:val="none" w:sz="0" w:space="0" w:color="auto"/>
            <w:left w:val="none" w:sz="0" w:space="0" w:color="auto"/>
            <w:bottom w:val="none" w:sz="0" w:space="0" w:color="auto"/>
            <w:right w:val="none" w:sz="0" w:space="0" w:color="auto"/>
          </w:divBdr>
        </w:div>
        <w:div w:id="378670918">
          <w:marLeft w:val="640"/>
          <w:marRight w:val="0"/>
          <w:marTop w:val="0"/>
          <w:marBottom w:val="0"/>
          <w:divBdr>
            <w:top w:val="none" w:sz="0" w:space="0" w:color="auto"/>
            <w:left w:val="none" w:sz="0" w:space="0" w:color="auto"/>
            <w:bottom w:val="none" w:sz="0" w:space="0" w:color="auto"/>
            <w:right w:val="none" w:sz="0" w:space="0" w:color="auto"/>
          </w:divBdr>
        </w:div>
        <w:div w:id="638926515">
          <w:marLeft w:val="640"/>
          <w:marRight w:val="0"/>
          <w:marTop w:val="0"/>
          <w:marBottom w:val="0"/>
          <w:divBdr>
            <w:top w:val="none" w:sz="0" w:space="0" w:color="auto"/>
            <w:left w:val="none" w:sz="0" w:space="0" w:color="auto"/>
            <w:bottom w:val="none" w:sz="0" w:space="0" w:color="auto"/>
            <w:right w:val="none" w:sz="0" w:space="0" w:color="auto"/>
          </w:divBdr>
        </w:div>
        <w:div w:id="1481118212">
          <w:marLeft w:val="640"/>
          <w:marRight w:val="0"/>
          <w:marTop w:val="0"/>
          <w:marBottom w:val="0"/>
          <w:divBdr>
            <w:top w:val="none" w:sz="0" w:space="0" w:color="auto"/>
            <w:left w:val="none" w:sz="0" w:space="0" w:color="auto"/>
            <w:bottom w:val="none" w:sz="0" w:space="0" w:color="auto"/>
            <w:right w:val="none" w:sz="0" w:space="0" w:color="auto"/>
          </w:divBdr>
        </w:div>
        <w:div w:id="1404183235">
          <w:marLeft w:val="640"/>
          <w:marRight w:val="0"/>
          <w:marTop w:val="0"/>
          <w:marBottom w:val="0"/>
          <w:divBdr>
            <w:top w:val="none" w:sz="0" w:space="0" w:color="auto"/>
            <w:left w:val="none" w:sz="0" w:space="0" w:color="auto"/>
            <w:bottom w:val="none" w:sz="0" w:space="0" w:color="auto"/>
            <w:right w:val="none" w:sz="0" w:space="0" w:color="auto"/>
          </w:divBdr>
        </w:div>
        <w:div w:id="1448235241">
          <w:marLeft w:val="640"/>
          <w:marRight w:val="0"/>
          <w:marTop w:val="0"/>
          <w:marBottom w:val="0"/>
          <w:divBdr>
            <w:top w:val="none" w:sz="0" w:space="0" w:color="auto"/>
            <w:left w:val="none" w:sz="0" w:space="0" w:color="auto"/>
            <w:bottom w:val="none" w:sz="0" w:space="0" w:color="auto"/>
            <w:right w:val="none" w:sz="0" w:space="0" w:color="auto"/>
          </w:divBdr>
        </w:div>
        <w:div w:id="313068417">
          <w:marLeft w:val="640"/>
          <w:marRight w:val="0"/>
          <w:marTop w:val="0"/>
          <w:marBottom w:val="0"/>
          <w:divBdr>
            <w:top w:val="none" w:sz="0" w:space="0" w:color="auto"/>
            <w:left w:val="none" w:sz="0" w:space="0" w:color="auto"/>
            <w:bottom w:val="none" w:sz="0" w:space="0" w:color="auto"/>
            <w:right w:val="none" w:sz="0" w:space="0" w:color="auto"/>
          </w:divBdr>
        </w:div>
        <w:div w:id="1281959464">
          <w:marLeft w:val="640"/>
          <w:marRight w:val="0"/>
          <w:marTop w:val="0"/>
          <w:marBottom w:val="0"/>
          <w:divBdr>
            <w:top w:val="none" w:sz="0" w:space="0" w:color="auto"/>
            <w:left w:val="none" w:sz="0" w:space="0" w:color="auto"/>
            <w:bottom w:val="none" w:sz="0" w:space="0" w:color="auto"/>
            <w:right w:val="none" w:sz="0" w:space="0" w:color="auto"/>
          </w:divBdr>
        </w:div>
        <w:div w:id="412357693">
          <w:marLeft w:val="640"/>
          <w:marRight w:val="0"/>
          <w:marTop w:val="0"/>
          <w:marBottom w:val="0"/>
          <w:divBdr>
            <w:top w:val="none" w:sz="0" w:space="0" w:color="auto"/>
            <w:left w:val="none" w:sz="0" w:space="0" w:color="auto"/>
            <w:bottom w:val="none" w:sz="0" w:space="0" w:color="auto"/>
            <w:right w:val="none" w:sz="0" w:space="0" w:color="auto"/>
          </w:divBdr>
        </w:div>
        <w:div w:id="2140491183">
          <w:marLeft w:val="640"/>
          <w:marRight w:val="0"/>
          <w:marTop w:val="0"/>
          <w:marBottom w:val="0"/>
          <w:divBdr>
            <w:top w:val="none" w:sz="0" w:space="0" w:color="auto"/>
            <w:left w:val="none" w:sz="0" w:space="0" w:color="auto"/>
            <w:bottom w:val="none" w:sz="0" w:space="0" w:color="auto"/>
            <w:right w:val="none" w:sz="0" w:space="0" w:color="auto"/>
          </w:divBdr>
        </w:div>
        <w:div w:id="1688630481">
          <w:marLeft w:val="640"/>
          <w:marRight w:val="0"/>
          <w:marTop w:val="0"/>
          <w:marBottom w:val="0"/>
          <w:divBdr>
            <w:top w:val="none" w:sz="0" w:space="0" w:color="auto"/>
            <w:left w:val="none" w:sz="0" w:space="0" w:color="auto"/>
            <w:bottom w:val="none" w:sz="0" w:space="0" w:color="auto"/>
            <w:right w:val="none" w:sz="0" w:space="0" w:color="auto"/>
          </w:divBdr>
        </w:div>
        <w:div w:id="263076681">
          <w:marLeft w:val="640"/>
          <w:marRight w:val="0"/>
          <w:marTop w:val="0"/>
          <w:marBottom w:val="0"/>
          <w:divBdr>
            <w:top w:val="none" w:sz="0" w:space="0" w:color="auto"/>
            <w:left w:val="none" w:sz="0" w:space="0" w:color="auto"/>
            <w:bottom w:val="none" w:sz="0" w:space="0" w:color="auto"/>
            <w:right w:val="none" w:sz="0" w:space="0" w:color="auto"/>
          </w:divBdr>
        </w:div>
        <w:div w:id="648483173">
          <w:marLeft w:val="640"/>
          <w:marRight w:val="0"/>
          <w:marTop w:val="0"/>
          <w:marBottom w:val="0"/>
          <w:divBdr>
            <w:top w:val="none" w:sz="0" w:space="0" w:color="auto"/>
            <w:left w:val="none" w:sz="0" w:space="0" w:color="auto"/>
            <w:bottom w:val="none" w:sz="0" w:space="0" w:color="auto"/>
            <w:right w:val="none" w:sz="0" w:space="0" w:color="auto"/>
          </w:divBdr>
        </w:div>
        <w:div w:id="745882554">
          <w:marLeft w:val="640"/>
          <w:marRight w:val="0"/>
          <w:marTop w:val="0"/>
          <w:marBottom w:val="0"/>
          <w:divBdr>
            <w:top w:val="none" w:sz="0" w:space="0" w:color="auto"/>
            <w:left w:val="none" w:sz="0" w:space="0" w:color="auto"/>
            <w:bottom w:val="none" w:sz="0" w:space="0" w:color="auto"/>
            <w:right w:val="none" w:sz="0" w:space="0" w:color="auto"/>
          </w:divBdr>
        </w:div>
        <w:div w:id="2005618835">
          <w:marLeft w:val="640"/>
          <w:marRight w:val="0"/>
          <w:marTop w:val="0"/>
          <w:marBottom w:val="0"/>
          <w:divBdr>
            <w:top w:val="none" w:sz="0" w:space="0" w:color="auto"/>
            <w:left w:val="none" w:sz="0" w:space="0" w:color="auto"/>
            <w:bottom w:val="none" w:sz="0" w:space="0" w:color="auto"/>
            <w:right w:val="none" w:sz="0" w:space="0" w:color="auto"/>
          </w:divBdr>
        </w:div>
        <w:div w:id="531650583">
          <w:marLeft w:val="640"/>
          <w:marRight w:val="0"/>
          <w:marTop w:val="0"/>
          <w:marBottom w:val="0"/>
          <w:divBdr>
            <w:top w:val="none" w:sz="0" w:space="0" w:color="auto"/>
            <w:left w:val="none" w:sz="0" w:space="0" w:color="auto"/>
            <w:bottom w:val="none" w:sz="0" w:space="0" w:color="auto"/>
            <w:right w:val="none" w:sz="0" w:space="0" w:color="auto"/>
          </w:divBdr>
        </w:div>
        <w:div w:id="639463041">
          <w:marLeft w:val="640"/>
          <w:marRight w:val="0"/>
          <w:marTop w:val="0"/>
          <w:marBottom w:val="0"/>
          <w:divBdr>
            <w:top w:val="none" w:sz="0" w:space="0" w:color="auto"/>
            <w:left w:val="none" w:sz="0" w:space="0" w:color="auto"/>
            <w:bottom w:val="none" w:sz="0" w:space="0" w:color="auto"/>
            <w:right w:val="none" w:sz="0" w:space="0" w:color="auto"/>
          </w:divBdr>
        </w:div>
        <w:div w:id="797071753">
          <w:marLeft w:val="640"/>
          <w:marRight w:val="0"/>
          <w:marTop w:val="0"/>
          <w:marBottom w:val="0"/>
          <w:divBdr>
            <w:top w:val="none" w:sz="0" w:space="0" w:color="auto"/>
            <w:left w:val="none" w:sz="0" w:space="0" w:color="auto"/>
            <w:bottom w:val="none" w:sz="0" w:space="0" w:color="auto"/>
            <w:right w:val="none" w:sz="0" w:space="0" w:color="auto"/>
          </w:divBdr>
        </w:div>
        <w:div w:id="1271204520">
          <w:marLeft w:val="640"/>
          <w:marRight w:val="0"/>
          <w:marTop w:val="0"/>
          <w:marBottom w:val="0"/>
          <w:divBdr>
            <w:top w:val="none" w:sz="0" w:space="0" w:color="auto"/>
            <w:left w:val="none" w:sz="0" w:space="0" w:color="auto"/>
            <w:bottom w:val="none" w:sz="0" w:space="0" w:color="auto"/>
            <w:right w:val="none" w:sz="0" w:space="0" w:color="auto"/>
          </w:divBdr>
        </w:div>
        <w:div w:id="1025792510">
          <w:marLeft w:val="640"/>
          <w:marRight w:val="0"/>
          <w:marTop w:val="0"/>
          <w:marBottom w:val="0"/>
          <w:divBdr>
            <w:top w:val="none" w:sz="0" w:space="0" w:color="auto"/>
            <w:left w:val="none" w:sz="0" w:space="0" w:color="auto"/>
            <w:bottom w:val="none" w:sz="0" w:space="0" w:color="auto"/>
            <w:right w:val="none" w:sz="0" w:space="0" w:color="auto"/>
          </w:divBdr>
        </w:div>
        <w:div w:id="543256649">
          <w:marLeft w:val="640"/>
          <w:marRight w:val="0"/>
          <w:marTop w:val="0"/>
          <w:marBottom w:val="0"/>
          <w:divBdr>
            <w:top w:val="none" w:sz="0" w:space="0" w:color="auto"/>
            <w:left w:val="none" w:sz="0" w:space="0" w:color="auto"/>
            <w:bottom w:val="none" w:sz="0" w:space="0" w:color="auto"/>
            <w:right w:val="none" w:sz="0" w:space="0" w:color="auto"/>
          </w:divBdr>
        </w:div>
        <w:div w:id="223873650">
          <w:marLeft w:val="640"/>
          <w:marRight w:val="0"/>
          <w:marTop w:val="0"/>
          <w:marBottom w:val="0"/>
          <w:divBdr>
            <w:top w:val="none" w:sz="0" w:space="0" w:color="auto"/>
            <w:left w:val="none" w:sz="0" w:space="0" w:color="auto"/>
            <w:bottom w:val="none" w:sz="0" w:space="0" w:color="auto"/>
            <w:right w:val="none" w:sz="0" w:space="0" w:color="auto"/>
          </w:divBdr>
        </w:div>
        <w:div w:id="926308063">
          <w:marLeft w:val="640"/>
          <w:marRight w:val="0"/>
          <w:marTop w:val="0"/>
          <w:marBottom w:val="0"/>
          <w:divBdr>
            <w:top w:val="none" w:sz="0" w:space="0" w:color="auto"/>
            <w:left w:val="none" w:sz="0" w:space="0" w:color="auto"/>
            <w:bottom w:val="none" w:sz="0" w:space="0" w:color="auto"/>
            <w:right w:val="none" w:sz="0" w:space="0" w:color="auto"/>
          </w:divBdr>
        </w:div>
        <w:div w:id="1007555479">
          <w:marLeft w:val="640"/>
          <w:marRight w:val="0"/>
          <w:marTop w:val="0"/>
          <w:marBottom w:val="0"/>
          <w:divBdr>
            <w:top w:val="none" w:sz="0" w:space="0" w:color="auto"/>
            <w:left w:val="none" w:sz="0" w:space="0" w:color="auto"/>
            <w:bottom w:val="none" w:sz="0" w:space="0" w:color="auto"/>
            <w:right w:val="none" w:sz="0" w:space="0" w:color="auto"/>
          </w:divBdr>
        </w:div>
        <w:div w:id="1047728507">
          <w:marLeft w:val="640"/>
          <w:marRight w:val="0"/>
          <w:marTop w:val="0"/>
          <w:marBottom w:val="0"/>
          <w:divBdr>
            <w:top w:val="none" w:sz="0" w:space="0" w:color="auto"/>
            <w:left w:val="none" w:sz="0" w:space="0" w:color="auto"/>
            <w:bottom w:val="none" w:sz="0" w:space="0" w:color="auto"/>
            <w:right w:val="none" w:sz="0" w:space="0" w:color="auto"/>
          </w:divBdr>
        </w:div>
        <w:div w:id="1065303031">
          <w:marLeft w:val="640"/>
          <w:marRight w:val="0"/>
          <w:marTop w:val="0"/>
          <w:marBottom w:val="0"/>
          <w:divBdr>
            <w:top w:val="none" w:sz="0" w:space="0" w:color="auto"/>
            <w:left w:val="none" w:sz="0" w:space="0" w:color="auto"/>
            <w:bottom w:val="none" w:sz="0" w:space="0" w:color="auto"/>
            <w:right w:val="none" w:sz="0" w:space="0" w:color="auto"/>
          </w:divBdr>
        </w:div>
        <w:div w:id="449055083">
          <w:marLeft w:val="640"/>
          <w:marRight w:val="0"/>
          <w:marTop w:val="0"/>
          <w:marBottom w:val="0"/>
          <w:divBdr>
            <w:top w:val="none" w:sz="0" w:space="0" w:color="auto"/>
            <w:left w:val="none" w:sz="0" w:space="0" w:color="auto"/>
            <w:bottom w:val="none" w:sz="0" w:space="0" w:color="auto"/>
            <w:right w:val="none" w:sz="0" w:space="0" w:color="auto"/>
          </w:divBdr>
        </w:div>
        <w:div w:id="1774788938">
          <w:marLeft w:val="640"/>
          <w:marRight w:val="0"/>
          <w:marTop w:val="0"/>
          <w:marBottom w:val="0"/>
          <w:divBdr>
            <w:top w:val="none" w:sz="0" w:space="0" w:color="auto"/>
            <w:left w:val="none" w:sz="0" w:space="0" w:color="auto"/>
            <w:bottom w:val="none" w:sz="0" w:space="0" w:color="auto"/>
            <w:right w:val="none" w:sz="0" w:space="0" w:color="auto"/>
          </w:divBdr>
        </w:div>
        <w:div w:id="1560359186">
          <w:marLeft w:val="640"/>
          <w:marRight w:val="0"/>
          <w:marTop w:val="0"/>
          <w:marBottom w:val="0"/>
          <w:divBdr>
            <w:top w:val="none" w:sz="0" w:space="0" w:color="auto"/>
            <w:left w:val="none" w:sz="0" w:space="0" w:color="auto"/>
            <w:bottom w:val="none" w:sz="0" w:space="0" w:color="auto"/>
            <w:right w:val="none" w:sz="0" w:space="0" w:color="auto"/>
          </w:divBdr>
        </w:div>
        <w:div w:id="925190871">
          <w:marLeft w:val="640"/>
          <w:marRight w:val="0"/>
          <w:marTop w:val="0"/>
          <w:marBottom w:val="0"/>
          <w:divBdr>
            <w:top w:val="none" w:sz="0" w:space="0" w:color="auto"/>
            <w:left w:val="none" w:sz="0" w:space="0" w:color="auto"/>
            <w:bottom w:val="none" w:sz="0" w:space="0" w:color="auto"/>
            <w:right w:val="none" w:sz="0" w:space="0" w:color="auto"/>
          </w:divBdr>
        </w:div>
        <w:div w:id="1357610666">
          <w:marLeft w:val="640"/>
          <w:marRight w:val="0"/>
          <w:marTop w:val="0"/>
          <w:marBottom w:val="0"/>
          <w:divBdr>
            <w:top w:val="none" w:sz="0" w:space="0" w:color="auto"/>
            <w:left w:val="none" w:sz="0" w:space="0" w:color="auto"/>
            <w:bottom w:val="none" w:sz="0" w:space="0" w:color="auto"/>
            <w:right w:val="none" w:sz="0" w:space="0" w:color="auto"/>
          </w:divBdr>
        </w:div>
        <w:div w:id="1279263615">
          <w:marLeft w:val="640"/>
          <w:marRight w:val="0"/>
          <w:marTop w:val="0"/>
          <w:marBottom w:val="0"/>
          <w:divBdr>
            <w:top w:val="none" w:sz="0" w:space="0" w:color="auto"/>
            <w:left w:val="none" w:sz="0" w:space="0" w:color="auto"/>
            <w:bottom w:val="none" w:sz="0" w:space="0" w:color="auto"/>
            <w:right w:val="none" w:sz="0" w:space="0" w:color="auto"/>
          </w:divBdr>
        </w:div>
        <w:div w:id="2131821128">
          <w:marLeft w:val="640"/>
          <w:marRight w:val="0"/>
          <w:marTop w:val="0"/>
          <w:marBottom w:val="0"/>
          <w:divBdr>
            <w:top w:val="none" w:sz="0" w:space="0" w:color="auto"/>
            <w:left w:val="none" w:sz="0" w:space="0" w:color="auto"/>
            <w:bottom w:val="none" w:sz="0" w:space="0" w:color="auto"/>
            <w:right w:val="none" w:sz="0" w:space="0" w:color="auto"/>
          </w:divBdr>
        </w:div>
        <w:div w:id="1881822167">
          <w:marLeft w:val="640"/>
          <w:marRight w:val="0"/>
          <w:marTop w:val="0"/>
          <w:marBottom w:val="0"/>
          <w:divBdr>
            <w:top w:val="none" w:sz="0" w:space="0" w:color="auto"/>
            <w:left w:val="none" w:sz="0" w:space="0" w:color="auto"/>
            <w:bottom w:val="none" w:sz="0" w:space="0" w:color="auto"/>
            <w:right w:val="none" w:sz="0" w:space="0" w:color="auto"/>
          </w:divBdr>
        </w:div>
        <w:div w:id="1900700497">
          <w:marLeft w:val="640"/>
          <w:marRight w:val="0"/>
          <w:marTop w:val="0"/>
          <w:marBottom w:val="0"/>
          <w:divBdr>
            <w:top w:val="none" w:sz="0" w:space="0" w:color="auto"/>
            <w:left w:val="none" w:sz="0" w:space="0" w:color="auto"/>
            <w:bottom w:val="none" w:sz="0" w:space="0" w:color="auto"/>
            <w:right w:val="none" w:sz="0" w:space="0" w:color="auto"/>
          </w:divBdr>
        </w:div>
        <w:div w:id="1554077291">
          <w:marLeft w:val="640"/>
          <w:marRight w:val="0"/>
          <w:marTop w:val="0"/>
          <w:marBottom w:val="0"/>
          <w:divBdr>
            <w:top w:val="none" w:sz="0" w:space="0" w:color="auto"/>
            <w:left w:val="none" w:sz="0" w:space="0" w:color="auto"/>
            <w:bottom w:val="none" w:sz="0" w:space="0" w:color="auto"/>
            <w:right w:val="none" w:sz="0" w:space="0" w:color="auto"/>
          </w:divBdr>
        </w:div>
        <w:div w:id="512964116">
          <w:marLeft w:val="640"/>
          <w:marRight w:val="0"/>
          <w:marTop w:val="0"/>
          <w:marBottom w:val="0"/>
          <w:divBdr>
            <w:top w:val="none" w:sz="0" w:space="0" w:color="auto"/>
            <w:left w:val="none" w:sz="0" w:space="0" w:color="auto"/>
            <w:bottom w:val="none" w:sz="0" w:space="0" w:color="auto"/>
            <w:right w:val="none" w:sz="0" w:space="0" w:color="auto"/>
          </w:divBdr>
        </w:div>
        <w:div w:id="740295276">
          <w:marLeft w:val="640"/>
          <w:marRight w:val="0"/>
          <w:marTop w:val="0"/>
          <w:marBottom w:val="0"/>
          <w:divBdr>
            <w:top w:val="none" w:sz="0" w:space="0" w:color="auto"/>
            <w:left w:val="none" w:sz="0" w:space="0" w:color="auto"/>
            <w:bottom w:val="none" w:sz="0" w:space="0" w:color="auto"/>
            <w:right w:val="none" w:sz="0" w:space="0" w:color="auto"/>
          </w:divBdr>
        </w:div>
        <w:div w:id="945111784">
          <w:marLeft w:val="640"/>
          <w:marRight w:val="0"/>
          <w:marTop w:val="0"/>
          <w:marBottom w:val="0"/>
          <w:divBdr>
            <w:top w:val="none" w:sz="0" w:space="0" w:color="auto"/>
            <w:left w:val="none" w:sz="0" w:space="0" w:color="auto"/>
            <w:bottom w:val="none" w:sz="0" w:space="0" w:color="auto"/>
            <w:right w:val="none" w:sz="0" w:space="0" w:color="auto"/>
          </w:divBdr>
        </w:div>
        <w:div w:id="1029112162">
          <w:marLeft w:val="640"/>
          <w:marRight w:val="0"/>
          <w:marTop w:val="0"/>
          <w:marBottom w:val="0"/>
          <w:divBdr>
            <w:top w:val="none" w:sz="0" w:space="0" w:color="auto"/>
            <w:left w:val="none" w:sz="0" w:space="0" w:color="auto"/>
            <w:bottom w:val="none" w:sz="0" w:space="0" w:color="auto"/>
            <w:right w:val="none" w:sz="0" w:space="0" w:color="auto"/>
          </w:divBdr>
        </w:div>
        <w:div w:id="1920285069">
          <w:marLeft w:val="640"/>
          <w:marRight w:val="0"/>
          <w:marTop w:val="0"/>
          <w:marBottom w:val="0"/>
          <w:divBdr>
            <w:top w:val="none" w:sz="0" w:space="0" w:color="auto"/>
            <w:left w:val="none" w:sz="0" w:space="0" w:color="auto"/>
            <w:bottom w:val="none" w:sz="0" w:space="0" w:color="auto"/>
            <w:right w:val="none" w:sz="0" w:space="0" w:color="auto"/>
          </w:divBdr>
        </w:div>
        <w:div w:id="1374647043">
          <w:marLeft w:val="640"/>
          <w:marRight w:val="0"/>
          <w:marTop w:val="0"/>
          <w:marBottom w:val="0"/>
          <w:divBdr>
            <w:top w:val="none" w:sz="0" w:space="0" w:color="auto"/>
            <w:left w:val="none" w:sz="0" w:space="0" w:color="auto"/>
            <w:bottom w:val="none" w:sz="0" w:space="0" w:color="auto"/>
            <w:right w:val="none" w:sz="0" w:space="0" w:color="auto"/>
          </w:divBdr>
        </w:div>
      </w:divsChild>
    </w:div>
    <w:div w:id="477577706">
      <w:bodyDiv w:val="1"/>
      <w:marLeft w:val="0"/>
      <w:marRight w:val="0"/>
      <w:marTop w:val="0"/>
      <w:marBottom w:val="0"/>
      <w:divBdr>
        <w:top w:val="none" w:sz="0" w:space="0" w:color="auto"/>
        <w:left w:val="none" w:sz="0" w:space="0" w:color="auto"/>
        <w:bottom w:val="none" w:sz="0" w:space="0" w:color="auto"/>
        <w:right w:val="none" w:sz="0" w:space="0" w:color="auto"/>
      </w:divBdr>
      <w:divsChild>
        <w:div w:id="619532664">
          <w:marLeft w:val="640"/>
          <w:marRight w:val="0"/>
          <w:marTop w:val="0"/>
          <w:marBottom w:val="0"/>
          <w:divBdr>
            <w:top w:val="none" w:sz="0" w:space="0" w:color="auto"/>
            <w:left w:val="none" w:sz="0" w:space="0" w:color="auto"/>
            <w:bottom w:val="none" w:sz="0" w:space="0" w:color="auto"/>
            <w:right w:val="none" w:sz="0" w:space="0" w:color="auto"/>
          </w:divBdr>
        </w:div>
        <w:div w:id="1046686703">
          <w:marLeft w:val="640"/>
          <w:marRight w:val="0"/>
          <w:marTop w:val="0"/>
          <w:marBottom w:val="0"/>
          <w:divBdr>
            <w:top w:val="none" w:sz="0" w:space="0" w:color="auto"/>
            <w:left w:val="none" w:sz="0" w:space="0" w:color="auto"/>
            <w:bottom w:val="none" w:sz="0" w:space="0" w:color="auto"/>
            <w:right w:val="none" w:sz="0" w:space="0" w:color="auto"/>
          </w:divBdr>
        </w:div>
        <w:div w:id="1305507068">
          <w:marLeft w:val="640"/>
          <w:marRight w:val="0"/>
          <w:marTop w:val="0"/>
          <w:marBottom w:val="0"/>
          <w:divBdr>
            <w:top w:val="none" w:sz="0" w:space="0" w:color="auto"/>
            <w:left w:val="none" w:sz="0" w:space="0" w:color="auto"/>
            <w:bottom w:val="none" w:sz="0" w:space="0" w:color="auto"/>
            <w:right w:val="none" w:sz="0" w:space="0" w:color="auto"/>
          </w:divBdr>
        </w:div>
        <w:div w:id="1510293080">
          <w:marLeft w:val="640"/>
          <w:marRight w:val="0"/>
          <w:marTop w:val="0"/>
          <w:marBottom w:val="0"/>
          <w:divBdr>
            <w:top w:val="none" w:sz="0" w:space="0" w:color="auto"/>
            <w:left w:val="none" w:sz="0" w:space="0" w:color="auto"/>
            <w:bottom w:val="none" w:sz="0" w:space="0" w:color="auto"/>
            <w:right w:val="none" w:sz="0" w:space="0" w:color="auto"/>
          </w:divBdr>
        </w:div>
        <w:div w:id="1230114489">
          <w:marLeft w:val="640"/>
          <w:marRight w:val="0"/>
          <w:marTop w:val="0"/>
          <w:marBottom w:val="0"/>
          <w:divBdr>
            <w:top w:val="none" w:sz="0" w:space="0" w:color="auto"/>
            <w:left w:val="none" w:sz="0" w:space="0" w:color="auto"/>
            <w:bottom w:val="none" w:sz="0" w:space="0" w:color="auto"/>
            <w:right w:val="none" w:sz="0" w:space="0" w:color="auto"/>
          </w:divBdr>
        </w:div>
        <w:div w:id="1643464115">
          <w:marLeft w:val="640"/>
          <w:marRight w:val="0"/>
          <w:marTop w:val="0"/>
          <w:marBottom w:val="0"/>
          <w:divBdr>
            <w:top w:val="none" w:sz="0" w:space="0" w:color="auto"/>
            <w:left w:val="none" w:sz="0" w:space="0" w:color="auto"/>
            <w:bottom w:val="none" w:sz="0" w:space="0" w:color="auto"/>
            <w:right w:val="none" w:sz="0" w:space="0" w:color="auto"/>
          </w:divBdr>
        </w:div>
        <w:div w:id="29231875">
          <w:marLeft w:val="640"/>
          <w:marRight w:val="0"/>
          <w:marTop w:val="0"/>
          <w:marBottom w:val="0"/>
          <w:divBdr>
            <w:top w:val="none" w:sz="0" w:space="0" w:color="auto"/>
            <w:left w:val="none" w:sz="0" w:space="0" w:color="auto"/>
            <w:bottom w:val="none" w:sz="0" w:space="0" w:color="auto"/>
            <w:right w:val="none" w:sz="0" w:space="0" w:color="auto"/>
          </w:divBdr>
        </w:div>
        <w:div w:id="375783668">
          <w:marLeft w:val="640"/>
          <w:marRight w:val="0"/>
          <w:marTop w:val="0"/>
          <w:marBottom w:val="0"/>
          <w:divBdr>
            <w:top w:val="none" w:sz="0" w:space="0" w:color="auto"/>
            <w:left w:val="none" w:sz="0" w:space="0" w:color="auto"/>
            <w:bottom w:val="none" w:sz="0" w:space="0" w:color="auto"/>
            <w:right w:val="none" w:sz="0" w:space="0" w:color="auto"/>
          </w:divBdr>
        </w:div>
        <w:div w:id="243033711">
          <w:marLeft w:val="640"/>
          <w:marRight w:val="0"/>
          <w:marTop w:val="0"/>
          <w:marBottom w:val="0"/>
          <w:divBdr>
            <w:top w:val="none" w:sz="0" w:space="0" w:color="auto"/>
            <w:left w:val="none" w:sz="0" w:space="0" w:color="auto"/>
            <w:bottom w:val="none" w:sz="0" w:space="0" w:color="auto"/>
            <w:right w:val="none" w:sz="0" w:space="0" w:color="auto"/>
          </w:divBdr>
        </w:div>
        <w:div w:id="849175441">
          <w:marLeft w:val="640"/>
          <w:marRight w:val="0"/>
          <w:marTop w:val="0"/>
          <w:marBottom w:val="0"/>
          <w:divBdr>
            <w:top w:val="none" w:sz="0" w:space="0" w:color="auto"/>
            <w:left w:val="none" w:sz="0" w:space="0" w:color="auto"/>
            <w:bottom w:val="none" w:sz="0" w:space="0" w:color="auto"/>
            <w:right w:val="none" w:sz="0" w:space="0" w:color="auto"/>
          </w:divBdr>
        </w:div>
        <w:div w:id="507721594">
          <w:marLeft w:val="640"/>
          <w:marRight w:val="0"/>
          <w:marTop w:val="0"/>
          <w:marBottom w:val="0"/>
          <w:divBdr>
            <w:top w:val="none" w:sz="0" w:space="0" w:color="auto"/>
            <w:left w:val="none" w:sz="0" w:space="0" w:color="auto"/>
            <w:bottom w:val="none" w:sz="0" w:space="0" w:color="auto"/>
            <w:right w:val="none" w:sz="0" w:space="0" w:color="auto"/>
          </w:divBdr>
        </w:div>
        <w:div w:id="1630668240">
          <w:marLeft w:val="640"/>
          <w:marRight w:val="0"/>
          <w:marTop w:val="0"/>
          <w:marBottom w:val="0"/>
          <w:divBdr>
            <w:top w:val="none" w:sz="0" w:space="0" w:color="auto"/>
            <w:left w:val="none" w:sz="0" w:space="0" w:color="auto"/>
            <w:bottom w:val="none" w:sz="0" w:space="0" w:color="auto"/>
            <w:right w:val="none" w:sz="0" w:space="0" w:color="auto"/>
          </w:divBdr>
        </w:div>
        <w:div w:id="1084689793">
          <w:marLeft w:val="640"/>
          <w:marRight w:val="0"/>
          <w:marTop w:val="0"/>
          <w:marBottom w:val="0"/>
          <w:divBdr>
            <w:top w:val="none" w:sz="0" w:space="0" w:color="auto"/>
            <w:left w:val="none" w:sz="0" w:space="0" w:color="auto"/>
            <w:bottom w:val="none" w:sz="0" w:space="0" w:color="auto"/>
            <w:right w:val="none" w:sz="0" w:space="0" w:color="auto"/>
          </w:divBdr>
        </w:div>
        <w:div w:id="568660099">
          <w:marLeft w:val="640"/>
          <w:marRight w:val="0"/>
          <w:marTop w:val="0"/>
          <w:marBottom w:val="0"/>
          <w:divBdr>
            <w:top w:val="none" w:sz="0" w:space="0" w:color="auto"/>
            <w:left w:val="none" w:sz="0" w:space="0" w:color="auto"/>
            <w:bottom w:val="none" w:sz="0" w:space="0" w:color="auto"/>
            <w:right w:val="none" w:sz="0" w:space="0" w:color="auto"/>
          </w:divBdr>
        </w:div>
        <w:div w:id="434057671">
          <w:marLeft w:val="640"/>
          <w:marRight w:val="0"/>
          <w:marTop w:val="0"/>
          <w:marBottom w:val="0"/>
          <w:divBdr>
            <w:top w:val="none" w:sz="0" w:space="0" w:color="auto"/>
            <w:left w:val="none" w:sz="0" w:space="0" w:color="auto"/>
            <w:bottom w:val="none" w:sz="0" w:space="0" w:color="auto"/>
            <w:right w:val="none" w:sz="0" w:space="0" w:color="auto"/>
          </w:divBdr>
        </w:div>
        <w:div w:id="486440141">
          <w:marLeft w:val="640"/>
          <w:marRight w:val="0"/>
          <w:marTop w:val="0"/>
          <w:marBottom w:val="0"/>
          <w:divBdr>
            <w:top w:val="none" w:sz="0" w:space="0" w:color="auto"/>
            <w:left w:val="none" w:sz="0" w:space="0" w:color="auto"/>
            <w:bottom w:val="none" w:sz="0" w:space="0" w:color="auto"/>
            <w:right w:val="none" w:sz="0" w:space="0" w:color="auto"/>
          </w:divBdr>
        </w:div>
        <w:div w:id="372467701">
          <w:marLeft w:val="640"/>
          <w:marRight w:val="0"/>
          <w:marTop w:val="0"/>
          <w:marBottom w:val="0"/>
          <w:divBdr>
            <w:top w:val="none" w:sz="0" w:space="0" w:color="auto"/>
            <w:left w:val="none" w:sz="0" w:space="0" w:color="auto"/>
            <w:bottom w:val="none" w:sz="0" w:space="0" w:color="auto"/>
            <w:right w:val="none" w:sz="0" w:space="0" w:color="auto"/>
          </w:divBdr>
        </w:div>
        <w:div w:id="1403983135">
          <w:marLeft w:val="640"/>
          <w:marRight w:val="0"/>
          <w:marTop w:val="0"/>
          <w:marBottom w:val="0"/>
          <w:divBdr>
            <w:top w:val="none" w:sz="0" w:space="0" w:color="auto"/>
            <w:left w:val="none" w:sz="0" w:space="0" w:color="auto"/>
            <w:bottom w:val="none" w:sz="0" w:space="0" w:color="auto"/>
            <w:right w:val="none" w:sz="0" w:space="0" w:color="auto"/>
          </w:divBdr>
        </w:div>
        <w:div w:id="1773471090">
          <w:marLeft w:val="640"/>
          <w:marRight w:val="0"/>
          <w:marTop w:val="0"/>
          <w:marBottom w:val="0"/>
          <w:divBdr>
            <w:top w:val="none" w:sz="0" w:space="0" w:color="auto"/>
            <w:left w:val="none" w:sz="0" w:space="0" w:color="auto"/>
            <w:bottom w:val="none" w:sz="0" w:space="0" w:color="auto"/>
            <w:right w:val="none" w:sz="0" w:space="0" w:color="auto"/>
          </w:divBdr>
        </w:div>
        <w:div w:id="11147279">
          <w:marLeft w:val="640"/>
          <w:marRight w:val="0"/>
          <w:marTop w:val="0"/>
          <w:marBottom w:val="0"/>
          <w:divBdr>
            <w:top w:val="none" w:sz="0" w:space="0" w:color="auto"/>
            <w:left w:val="none" w:sz="0" w:space="0" w:color="auto"/>
            <w:bottom w:val="none" w:sz="0" w:space="0" w:color="auto"/>
            <w:right w:val="none" w:sz="0" w:space="0" w:color="auto"/>
          </w:divBdr>
        </w:div>
        <w:div w:id="1065178465">
          <w:marLeft w:val="640"/>
          <w:marRight w:val="0"/>
          <w:marTop w:val="0"/>
          <w:marBottom w:val="0"/>
          <w:divBdr>
            <w:top w:val="none" w:sz="0" w:space="0" w:color="auto"/>
            <w:left w:val="none" w:sz="0" w:space="0" w:color="auto"/>
            <w:bottom w:val="none" w:sz="0" w:space="0" w:color="auto"/>
            <w:right w:val="none" w:sz="0" w:space="0" w:color="auto"/>
          </w:divBdr>
        </w:div>
        <w:div w:id="1817212059">
          <w:marLeft w:val="640"/>
          <w:marRight w:val="0"/>
          <w:marTop w:val="0"/>
          <w:marBottom w:val="0"/>
          <w:divBdr>
            <w:top w:val="none" w:sz="0" w:space="0" w:color="auto"/>
            <w:left w:val="none" w:sz="0" w:space="0" w:color="auto"/>
            <w:bottom w:val="none" w:sz="0" w:space="0" w:color="auto"/>
            <w:right w:val="none" w:sz="0" w:space="0" w:color="auto"/>
          </w:divBdr>
        </w:div>
        <w:div w:id="86075266">
          <w:marLeft w:val="640"/>
          <w:marRight w:val="0"/>
          <w:marTop w:val="0"/>
          <w:marBottom w:val="0"/>
          <w:divBdr>
            <w:top w:val="none" w:sz="0" w:space="0" w:color="auto"/>
            <w:left w:val="none" w:sz="0" w:space="0" w:color="auto"/>
            <w:bottom w:val="none" w:sz="0" w:space="0" w:color="auto"/>
            <w:right w:val="none" w:sz="0" w:space="0" w:color="auto"/>
          </w:divBdr>
        </w:div>
        <w:div w:id="1394545854">
          <w:marLeft w:val="640"/>
          <w:marRight w:val="0"/>
          <w:marTop w:val="0"/>
          <w:marBottom w:val="0"/>
          <w:divBdr>
            <w:top w:val="none" w:sz="0" w:space="0" w:color="auto"/>
            <w:left w:val="none" w:sz="0" w:space="0" w:color="auto"/>
            <w:bottom w:val="none" w:sz="0" w:space="0" w:color="auto"/>
            <w:right w:val="none" w:sz="0" w:space="0" w:color="auto"/>
          </w:divBdr>
        </w:div>
        <w:div w:id="1916283375">
          <w:marLeft w:val="640"/>
          <w:marRight w:val="0"/>
          <w:marTop w:val="0"/>
          <w:marBottom w:val="0"/>
          <w:divBdr>
            <w:top w:val="none" w:sz="0" w:space="0" w:color="auto"/>
            <w:left w:val="none" w:sz="0" w:space="0" w:color="auto"/>
            <w:bottom w:val="none" w:sz="0" w:space="0" w:color="auto"/>
            <w:right w:val="none" w:sz="0" w:space="0" w:color="auto"/>
          </w:divBdr>
        </w:div>
        <w:div w:id="387263283">
          <w:marLeft w:val="640"/>
          <w:marRight w:val="0"/>
          <w:marTop w:val="0"/>
          <w:marBottom w:val="0"/>
          <w:divBdr>
            <w:top w:val="none" w:sz="0" w:space="0" w:color="auto"/>
            <w:left w:val="none" w:sz="0" w:space="0" w:color="auto"/>
            <w:bottom w:val="none" w:sz="0" w:space="0" w:color="auto"/>
            <w:right w:val="none" w:sz="0" w:space="0" w:color="auto"/>
          </w:divBdr>
        </w:div>
        <w:div w:id="1670865274">
          <w:marLeft w:val="640"/>
          <w:marRight w:val="0"/>
          <w:marTop w:val="0"/>
          <w:marBottom w:val="0"/>
          <w:divBdr>
            <w:top w:val="none" w:sz="0" w:space="0" w:color="auto"/>
            <w:left w:val="none" w:sz="0" w:space="0" w:color="auto"/>
            <w:bottom w:val="none" w:sz="0" w:space="0" w:color="auto"/>
            <w:right w:val="none" w:sz="0" w:space="0" w:color="auto"/>
          </w:divBdr>
        </w:div>
        <w:div w:id="567613376">
          <w:marLeft w:val="640"/>
          <w:marRight w:val="0"/>
          <w:marTop w:val="0"/>
          <w:marBottom w:val="0"/>
          <w:divBdr>
            <w:top w:val="none" w:sz="0" w:space="0" w:color="auto"/>
            <w:left w:val="none" w:sz="0" w:space="0" w:color="auto"/>
            <w:bottom w:val="none" w:sz="0" w:space="0" w:color="auto"/>
            <w:right w:val="none" w:sz="0" w:space="0" w:color="auto"/>
          </w:divBdr>
        </w:div>
        <w:div w:id="892544519">
          <w:marLeft w:val="640"/>
          <w:marRight w:val="0"/>
          <w:marTop w:val="0"/>
          <w:marBottom w:val="0"/>
          <w:divBdr>
            <w:top w:val="none" w:sz="0" w:space="0" w:color="auto"/>
            <w:left w:val="none" w:sz="0" w:space="0" w:color="auto"/>
            <w:bottom w:val="none" w:sz="0" w:space="0" w:color="auto"/>
            <w:right w:val="none" w:sz="0" w:space="0" w:color="auto"/>
          </w:divBdr>
        </w:div>
        <w:div w:id="1373533308">
          <w:marLeft w:val="640"/>
          <w:marRight w:val="0"/>
          <w:marTop w:val="0"/>
          <w:marBottom w:val="0"/>
          <w:divBdr>
            <w:top w:val="none" w:sz="0" w:space="0" w:color="auto"/>
            <w:left w:val="none" w:sz="0" w:space="0" w:color="auto"/>
            <w:bottom w:val="none" w:sz="0" w:space="0" w:color="auto"/>
            <w:right w:val="none" w:sz="0" w:space="0" w:color="auto"/>
          </w:divBdr>
        </w:div>
        <w:div w:id="1054239563">
          <w:marLeft w:val="640"/>
          <w:marRight w:val="0"/>
          <w:marTop w:val="0"/>
          <w:marBottom w:val="0"/>
          <w:divBdr>
            <w:top w:val="none" w:sz="0" w:space="0" w:color="auto"/>
            <w:left w:val="none" w:sz="0" w:space="0" w:color="auto"/>
            <w:bottom w:val="none" w:sz="0" w:space="0" w:color="auto"/>
            <w:right w:val="none" w:sz="0" w:space="0" w:color="auto"/>
          </w:divBdr>
        </w:div>
        <w:div w:id="1465149930">
          <w:marLeft w:val="640"/>
          <w:marRight w:val="0"/>
          <w:marTop w:val="0"/>
          <w:marBottom w:val="0"/>
          <w:divBdr>
            <w:top w:val="none" w:sz="0" w:space="0" w:color="auto"/>
            <w:left w:val="none" w:sz="0" w:space="0" w:color="auto"/>
            <w:bottom w:val="none" w:sz="0" w:space="0" w:color="auto"/>
            <w:right w:val="none" w:sz="0" w:space="0" w:color="auto"/>
          </w:divBdr>
        </w:div>
        <w:div w:id="1963340861">
          <w:marLeft w:val="640"/>
          <w:marRight w:val="0"/>
          <w:marTop w:val="0"/>
          <w:marBottom w:val="0"/>
          <w:divBdr>
            <w:top w:val="none" w:sz="0" w:space="0" w:color="auto"/>
            <w:left w:val="none" w:sz="0" w:space="0" w:color="auto"/>
            <w:bottom w:val="none" w:sz="0" w:space="0" w:color="auto"/>
            <w:right w:val="none" w:sz="0" w:space="0" w:color="auto"/>
          </w:divBdr>
        </w:div>
        <w:div w:id="655761724">
          <w:marLeft w:val="640"/>
          <w:marRight w:val="0"/>
          <w:marTop w:val="0"/>
          <w:marBottom w:val="0"/>
          <w:divBdr>
            <w:top w:val="none" w:sz="0" w:space="0" w:color="auto"/>
            <w:left w:val="none" w:sz="0" w:space="0" w:color="auto"/>
            <w:bottom w:val="none" w:sz="0" w:space="0" w:color="auto"/>
            <w:right w:val="none" w:sz="0" w:space="0" w:color="auto"/>
          </w:divBdr>
        </w:div>
        <w:div w:id="203953647">
          <w:marLeft w:val="640"/>
          <w:marRight w:val="0"/>
          <w:marTop w:val="0"/>
          <w:marBottom w:val="0"/>
          <w:divBdr>
            <w:top w:val="none" w:sz="0" w:space="0" w:color="auto"/>
            <w:left w:val="none" w:sz="0" w:space="0" w:color="auto"/>
            <w:bottom w:val="none" w:sz="0" w:space="0" w:color="auto"/>
            <w:right w:val="none" w:sz="0" w:space="0" w:color="auto"/>
          </w:divBdr>
        </w:div>
        <w:div w:id="1196967781">
          <w:marLeft w:val="640"/>
          <w:marRight w:val="0"/>
          <w:marTop w:val="0"/>
          <w:marBottom w:val="0"/>
          <w:divBdr>
            <w:top w:val="none" w:sz="0" w:space="0" w:color="auto"/>
            <w:left w:val="none" w:sz="0" w:space="0" w:color="auto"/>
            <w:bottom w:val="none" w:sz="0" w:space="0" w:color="auto"/>
            <w:right w:val="none" w:sz="0" w:space="0" w:color="auto"/>
          </w:divBdr>
        </w:div>
        <w:div w:id="105664357">
          <w:marLeft w:val="640"/>
          <w:marRight w:val="0"/>
          <w:marTop w:val="0"/>
          <w:marBottom w:val="0"/>
          <w:divBdr>
            <w:top w:val="none" w:sz="0" w:space="0" w:color="auto"/>
            <w:left w:val="none" w:sz="0" w:space="0" w:color="auto"/>
            <w:bottom w:val="none" w:sz="0" w:space="0" w:color="auto"/>
            <w:right w:val="none" w:sz="0" w:space="0" w:color="auto"/>
          </w:divBdr>
        </w:div>
        <w:div w:id="1766144799">
          <w:marLeft w:val="640"/>
          <w:marRight w:val="0"/>
          <w:marTop w:val="0"/>
          <w:marBottom w:val="0"/>
          <w:divBdr>
            <w:top w:val="none" w:sz="0" w:space="0" w:color="auto"/>
            <w:left w:val="none" w:sz="0" w:space="0" w:color="auto"/>
            <w:bottom w:val="none" w:sz="0" w:space="0" w:color="auto"/>
            <w:right w:val="none" w:sz="0" w:space="0" w:color="auto"/>
          </w:divBdr>
        </w:div>
        <w:div w:id="635377841">
          <w:marLeft w:val="640"/>
          <w:marRight w:val="0"/>
          <w:marTop w:val="0"/>
          <w:marBottom w:val="0"/>
          <w:divBdr>
            <w:top w:val="none" w:sz="0" w:space="0" w:color="auto"/>
            <w:left w:val="none" w:sz="0" w:space="0" w:color="auto"/>
            <w:bottom w:val="none" w:sz="0" w:space="0" w:color="auto"/>
            <w:right w:val="none" w:sz="0" w:space="0" w:color="auto"/>
          </w:divBdr>
        </w:div>
        <w:div w:id="1820463060">
          <w:marLeft w:val="640"/>
          <w:marRight w:val="0"/>
          <w:marTop w:val="0"/>
          <w:marBottom w:val="0"/>
          <w:divBdr>
            <w:top w:val="none" w:sz="0" w:space="0" w:color="auto"/>
            <w:left w:val="none" w:sz="0" w:space="0" w:color="auto"/>
            <w:bottom w:val="none" w:sz="0" w:space="0" w:color="auto"/>
            <w:right w:val="none" w:sz="0" w:space="0" w:color="auto"/>
          </w:divBdr>
        </w:div>
        <w:div w:id="2097509265">
          <w:marLeft w:val="640"/>
          <w:marRight w:val="0"/>
          <w:marTop w:val="0"/>
          <w:marBottom w:val="0"/>
          <w:divBdr>
            <w:top w:val="none" w:sz="0" w:space="0" w:color="auto"/>
            <w:left w:val="none" w:sz="0" w:space="0" w:color="auto"/>
            <w:bottom w:val="none" w:sz="0" w:space="0" w:color="auto"/>
            <w:right w:val="none" w:sz="0" w:space="0" w:color="auto"/>
          </w:divBdr>
        </w:div>
        <w:div w:id="1665619309">
          <w:marLeft w:val="640"/>
          <w:marRight w:val="0"/>
          <w:marTop w:val="0"/>
          <w:marBottom w:val="0"/>
          <w:divBdr>
            <w:top w:val="none" w:sz="0" w:space="0" w:color="auto"/>
            <w:left w:val="none" w:sz="0" w:space="0" w:color="auto"/>
            <w:bottom w:val="none" w:sz="0" w:space="0" w:color="auto"/>
            <w:right w:val="none" w:sz="0" w:space="0" w:color="auto"/>
          </w:divBdr>
        </w:div>
        <w:div w:id="861865043">
          <w:marLeft w:val="640"/>
          <w:marRight w:val="0"/>
          <w:marTop w:val="0"/>
          <w:marBottom w:val="0"/>
          <w:divBdr>
            <w:top w:val="none" w:sz="0" w:space="0" w:color="auto"/>
            <w:left w:val="none" w:sz="0" w:space="0" w:color="auto"/>
            <w:bottom w:val="none" w:sz="0" w:space="0" w:color="auto"/>
            <w:right w:val="none" w:sz="0" w:space="0" w:color="auto"/>
          </w:divBdr>
        </w:div>
        <w:div w:id="889268148">
          <w:marLeft w:val="640"/>
          <w:marRight w:val="0"/>
          <w:marTop w:val="0"/>
          <w:marBottom w:val="0"/>
          <w:divBdr>
            <w:top w:val="none" w:sz="0" w:space="0" w:color="auto"/>
            <w:left w:val="none" w:sz="0" w:space="0" w:color="auto"/>
            <w:bottom w:val="none" w:sz="0" w:space="0" w:color="auto"/>
            <w:right w:val="none" w:sz="0" w:space="0" w:color="auto"/>
          </w:divBdr>
        </w:div>
        <w:div w:id="1601718277">
          <w:marLeft w:val="640"/>
          <w:marRight w:val="0"/>
          <w:marTop w:val="0"/>
          <w:marBottom w:val="0"/>
          <w:divBdr>
            <w:top w:val="none" w:sz="0" w:space="0" w:color="auto"/>
            <w:left w:val="none" w:sz="0" w:space="0" w:color="auto"/>
            <w:bottom w:val="none" w:sz="0" w:space="0" w:color="auto"/>
            <w:right w:val="none" w:sz="0" w:space="0" w:color="auto"/>
          </w:divBdr>
        </w:div>
        <w:div w:id="390469154">
          <w:marLeft w:val="640"/>
          <w:marRight w:val="0"/>
          <w:marTop w:val="0"/>
          <w:marBottom w:val="0"/>
          <w:divBdr>
            <w:top w:val="none" w:sz="0" w:space="0" w:color="auto"/>
            <w:left w:val="none" w:sz="0" w:space="0" w:color="auto"/>
            <w:bottom w:val="none" w:sz="0" w:space="0" w:color="auto"/>
            <w:right w:val="none" w:sz="0" w:space="0" w:color="auto"/>
          </w:divBdr>
        </w:div>
        <w:div w:id="276328314">
          <w:marLeft w:val="640"/>
          <w:marRight w:val="0"/>
          <w:marTop w:val="0"/>
          <w:marBottom w:val="0"/>
          <w:divBdr>
            <w:top w:val="none" w:sz="0" w:space="0" w:color="auto"/>
            <w:left w:val="none" w:sz="0" w:space="0" w:color="auto"/>
            <w:bottom w:val="none" w:sz="0" w:space="0" w:color="auto"/>
            <w:right w:val="none" w:sz="0" w:space="0" w:color="auto"/>
          </w:divBdr>
        </w:div>
        <w:div w:id="1437018769">
          <w:marLeft w:val="640"/>
          <w:marRight w:val="0"/>
          <w:marTop w:val="0"/>
          <w:marBottom w:val="0"/>
          <w:divBdr>
            <w:top w:val="none" w:sz="0" w:space="0" w:color="auto"/>
            <w:left w:val="none" w:sz="0" w:space="0" w:color="auto"/>
            <w:bottom w:val="none" w:sz="0" w:space="0" w:color="auto"/>
            <w:right w:val="none" w:sz="0" w:space="0" w:color="auto"/>
          </w:divBdr>
        </w:div>
        <w:div w:id="1331375131">
          <w:marLeft w:val="640"/>
          <w:marRight w:val="0"/>
          <w:marTop w:val="0"/>
          <w:marBottom w:val="0"/>
          <w:divBdr>
            <w:top w:val="none" w:sz="0" w:space="0" w:color="auto"/>
            <w:left w:val="none" w:sz="0" w:space="0" w:color="auto"/>
            <w:bottom w:val="none" w:sz="0" w:space="0" w:color="auto"/>
            <w:right w:val="none" w:sz="0" w:space="0" w:color="auto"/>
          </w:divBdr>
        </w:div>
        <w:div w:id="33845221">
          <w:marLeft w:val="640"/>
          <w:marRight w:val="0"/>
          <w:marTop w:val="0"/>
          <w:marBottom w:val="0"/>
          <w:divBdr>
            <w:top w:val="none" w:sz="0" w:space="0" w:color="auto"/>
            <w:left w:val="none" w:sz="0" w:space="0" w:color="auto"/>
            <w:bottom w:val="none" w:sz="0" w:space="0" w:color="auto"/>
            <w:right w:val="none" w:sz="0" w:space="0" w:color="auto"/>
          </w:divBdr>
        </w:div>
        <w:div w:id="5375087">
          <w:marLeft w:val="640"/>
          <w:marRight w:val="0"/>
          <w:marTop w:val="0"/>
          <w:marBottom w:val="0"/>
          <w:divBdr>
            <w:top w:val="none" w:sz="0" w:space="0" w:color="auto"/>
            <w:left w:val="none" w:sz="0" w:space="0" w:color="auto"/>
            <w:bottom w:val="none" w:sz="0" w:space="0" w:color="auto"/>
            <w:right w:val="none" w:sz="0" w:space="0" w:color="auto"/>
          </w:divBdr>
        </w:div>
        <w:div w:id="1204905253">
          <w:marLeft w:val="640"/>
          <w:marRight w:val="0"/>
          <w:marTop w:val="0"/>
          <w:marBottom w:val="0"/>
          <w:divBdr>
            <w:top w:val="none" w:sz="0" w:space="0" w:color="auto"/>
            <w:left w:val="none" w:sz="0" w:space="0" w:color="auto"/>
            <w:bottom w:val="none" w:sz="0" w:space="0" w:color="auto"/>
            <w:right w:val="none" w:sz="0" w:space="0" w:color="auto"/>
          </w:divBdr>
        </w:div>
        <w:div w:id="1176767030">
          <w:marLeft w:val="640"/>
          <w:marRight w:val="0"/>
          <w:marTop w:val="0"/>
          <w:marBottom w:val="0"/>
          <w:divBdr>
            <w:top w:val="none" w:sz="0" w:space="0" w:color="auto"/>
            <w:left w:val="none" w:sz="0" w:space="0" w:color="auto"/>
            <w:bottom w:val="none" w:sz="0" w:space="0" w:color="auto"/>
            <w:right w:val="none" w:sz="0" w:space="0" w:color="auto"/>
          </w:divBdr>
        </w:div>
        <w:div w:id="920676840">
          <w:marLeft w:val="640"/>
          <w:marRight w:val="0"/>
          <w:marTop w:val="0"/>
          <w:marBottom w:val="0"/>
          <w:divBdr>
            <w:top w:val="none" w:sz="0" w:space="0" w:color="auto"/>
            <w:left w:val="none" w:sz="0" w:space="0" w:color="auto"/>
            <w:bottom w:val="none" w:sz="0" w:space="0" w:color="auto"/>
            <w:right w:val="none" w:sz="0" w:space="0" w:color="auto"/>
          </w:divBdr>
        </w:div>
        <w:div w:id="1635257263">
          <w:marLeft w:val="640"/>
          <w:marRight w:val="0"/>
          <w:marTop w:val="0"/>
          <w:marBottom w:val="0"/>
          <w:divBdr>
            <w:top w:val="none" w:sz="0" w:space="0" w:color="auto"/>
            <w:left w:val="none" w:sz="0" w:space="0" w:color="auto"/>
            <w:bottom w:val="none" w:sz="0" w:space="0" w:color="auto"/>
            <w:right w:val="none" w:sz="0" w:space="0" w:color="auto"/>
          </w:divBdr>
        </w:div>
        <w:div w:id="929434303">
          <w:marLeft w:val="640"/>
          <w:marRight w:val="0"/>
          <w:marTop w:val="0"/>
          <w:marBottom w:val="0"/>
          <w:divBdr>
            <w:top w:val="none" w:sz="0" w:space="0" w:color="auto"/>
            <w:left w:val="none" w:sz="0" w:space="0" w:color="auto"/>
            <w:bottom w:val="none" w:sz="0" w:space="0" w:color="auto"/>
            <w:right w:val="none" w:sz="0" w:space="0" w:color="auto"/>
          </w:divBdr>
        </w:div>
        <w:div w:id="709183811">
          <w:marLeft w:val="640"/>
          <w:marRight w:val="0"/>
          <w:marTop w:val="0"/>
          <w:marBottom w:val="0"/>
          <w:divBdr>
            <w:top w:val="none" w:sz="0" w:space="0" w:color="auto"/>
            <w:left w:val="none" w:sz="0" w:space="0" w:color="auto"/>
            <w:bottom w:val="none" w:sz="0" w:space="0" w:color="auto"/>
            <w:right w:val="none" w:sz="0" w:space="0" w:color="auto"/>
          </w:divBdr>
        </w:div>
        <w:div w:id="44454430">
          <w:marLeft w:val="640"/>
          <w:marRight w:val="0"/>
          <w:marTop w:val="0"/>
          <w:marBottom w:val="0"/>
          <w:divBdr>
            <w:top w:val="none" w:sz="0" w:space="0" w:color="auto"/>
            <w:left w:val="none" w:sz="0" w:space="0" w:color="auto"/>
            <w:bottom w:val="none" w:sz="0" w:space="0" w:color="auto"/>
            <w:right w:val="none" w:sz="0" w:space="0" w:color="auto"/>
          </w:divBdr>
        </w:div>
        <w:div w:id="1928226065">
          <w:marLeft w:val="640"/>
          <w:marRight w:val="0"/>
          <w:marTop w:val="0"/>
          <w:marBottom w:val="0"/>
          <w:divBdr>
            <w:top w:val="none" w:sz="0" w:space="0" w:color="auto"/>
            <w:left w:val="none" w:sz="0" w:space="0" w:color="auto"/>
            <w:bottom w:val="none" w:sz="0" w:space="0" w:color="auto"/>
            <w:right w:val="none" w:sz="0" w:space="0" w:color="auto"/>
          </w:divBdr>
        </w:div>
        <w:div w:id="911084808">
          <w:marLeft w:val="640"/>
          <w:marRight w:val="0"/>
          <w:marTop w:val="0"/>
          <w:marBottom w:val="0"/>
          <w:divBdr>
            <w:top w:val="none" w:sz="0" w:space="0" w:color="auto"/>
            <w:left w:val="none" w:sz="0" w:space="0" w:color="auto"/>
            <w:bottom w:val="none" w:sz="0" w:space="0" w:color="auto"/>
            <w:right w:val="none" w:sz="0" w:space="0" w:color="auto"/>
          </w:divBdr>
        </w:div>
        <w:div w:id="2076278378">
          <w:marLeft w:val="640"/>
          <w:marRight w:val="0"/>
          <w:marTop w:val="0"/>
          <w:marBottom w:val="0"/>
          <w:divBdr>
            <w:top w:val="none" w:sz="0" w:space="0" w:color="auto"/>
            <w:left w:val="none" w:sz="0" w:space="0" w:color="auto"/>
            <w:bottom w:val="none" w:sz="0" w:space="0" w:color="auto"/>
            <w:right w:val="none" w:sz="0" w:space="0" w:color="auto"/>
          </w:divBdr>
        </w:div>
        <w:div w:id="494995675">
          <w:marLeft w:val="640"/>
          <w:marRight w:val="0"/>
          <w:marTop w:val="0"/>
          <w:marBottom w:val="0"/>
          <w:divBdr>
            <w:top w:val="none" w:sz="0" w:space="0" w:color="auto"/>
            <w:left w:val="none" w:sz="0" w:space="0" w:color="auto"/>
            <w:bottom w:val="none" w:sz="0" w:space="0" w:color="auto"/>
            <w:right w:val="none" w:sz="0" w:space="0" w:color="auto"/>
          </w:divBdr>
        </w:div>
        <w:div w:id="1741177814">
          <w:marLeft w:val="640"/>
          <w:marRight w:val="0"/>
          <w:marTop w:val="0"/>
          <w:marBottom w:val="0"/>
          <w:divBdr>
            <w:top w:val="none" w:sz="0" w:space="0" w:color="auto"/>
            <w:left w:val="none" w:sz="0" w:space="0" w:color="auto"/>
            <w:bottom w:val="none" w:sz="0" w:space="0" w:color="auto"/>
            <w:right w:val="none" w:sz="0" w:space="0" w:color="auto"/>
          </w:divBdr>
        </w:div>
        <w:div w:id="79838105">
          <w:marLeft w:val="640"/>
          <w:marRight w:val="0"/>
          <w:marTop w:val="0"/>
          <w:marBottom w:val="0"/>
          <w:divBdr>
            <w:top w:val="none" w:sz="0" w:space="0" w:color="auto"/>
            <w:left w:val="none" w:sz="0" w:space="0" w:color="auto"/>
            <w:bottom w:val="none" w:sz="0" w:space="0" w:color="auto"/>
            <w:right w:val="none" w:sz="0" w:space="0" w:color="auto"/>
          </w:divBdr>
        </w:div>
        <w:div w:id="1866090733">
          <w:marLeft w:val="640"/>
          <w:marRight w:val="0"/>
          <w:marTop w:val="0"/>
          <w:marBottom w:val="0"/>
          <w:divBdr>
            <w:top w:val="none" w:sz="0" w:space="0" w:color="auto"/>
            <w:left w:val="none" w:sz="0" w:space="0" w:color="auto"/>
            <w:bottom w:val="none" w:sz="0" w:space="0" w:color="auto"/>
            <w:right w:val="none" w:sz="0" w:space="0" w:color="auto"/>
          </w:divBdr>
        </w:div>
        <w:div w:id="947547373">
          <w:marLeft w:val="640"/>
          <w:marRight w:val="0"/>
          <w:marTop w:val="0"/>
          <w:marBottom w:val="0"/>
          <w:divBdr>
            <w:top w:val="none" w:sz="0" w:space="0" w:color="auto"/>
            <w:left w:val="none" w:sz="0" w:space="0" w:color="auto"/>
            <w:bottom w:val="none" w:sz="0" w:space="0" w:color="auto"/>
            <w:right w:val="none" w:sz="0" w:space="0" w:color="auto"/>
          </w:divBdr>
        </w:div>
        <w:div w:id="1120614844">
          <w:marLeft w:val="640"/>
          <w:marRight w:val="0"/>
          <w:marTop w:val="0"/>
          <w:marBottom w:val="0"/>
          <w:divBdr>
            <w:top w:val="none" w:sz="0" w:space="0" w:color="auto"/>
            <w:left w:val="none" w:sz="0" w:space="0" w:color="auto"/>
            <w:bottom w:val="none" w:sz="0" w:space="0" w:color="auto"/>
            <w:right w:val="none" w:sz="0" w:space="0" w:color="auto"/>
          </w:divBdr>
        </w:div>
        <w:div w:id="707534218">
          <w:marLeft w:val="640"/>
          <w:marRight w:val="0"/>
          <w:marTop w:val="0"/>
          <w:marBottom w:val="0"/>
          <w:divBdr>
            <w:top w:val="none" w:sz="0" w:space="0" w:color="auto"/>
            <w:left w:val="none" w:sz="0" w:space="0" w:color="auto"/>
            <w:bottom w:val="none" w:sz="0" w:space="0" w:color="auto"/>
            <w:right w:val="none" w:sz="0" w:space="0" w:color="auto"/>
          </w:divBdr>
        </w:div>
        <w:div w:id="1658413202">
          <w:marLeft w:val="640"/>
          <w:marRight w:val="0"/>
          <w:marTop w:val="0"/>
          <w:marBottom w:val="0"/>
          <w:divBdr>
            <w:top w:val="none" w:sz="0" w:space="0" w:color="auto"/>
            <w:left w:val="none" w:sz="0" w:space="0" w:color="auto"/>
            <w:bottom w:val="none" w:sz="0" w:space="0" w:color="auto"/>
            <w:right w:val="none" w:sz="0" w:space="0" w:color="auto"/>
          </w:divBdr>
        </w:div>
        <w:div w:id="1268777784">
          <w:marLeft w:val="640"/>
          <w:marRight w:val="0"/>
          <w:marTop w:val="0"/>
          <w:marBottom w:val="0"/>
          <w:divBdr>
            <w:top w:val="none" w:sz="0" w:space="0" w:color="auto"/>
            <w:left w:val="none" w:sz="0" w:space="0" w:color="auto"/>
            <w:bottom w:val="none" w:sz="0" w:space="0" w:color="auto"/>
            <w:right w:val="none" w:sz="0" w:space="0" w:color="auto"/>
          </w:divBdr>
        </w:div>
        <w:div w:id="588537129">
          <w:marLeft w:val="640"/>
          <w:marRight w:val="0"/>
          <w:marTop w:val="0"/>
          <w:marBottom w:val="0"/>
          <w:divBdr>
            <w:top w:val="none" w:sz="0" w:space="0" w:color="auto"/>
            <w:left w:val="none" w:sz="0" w:space="0" w:color="auto"/>
            <w:bottom w:val="none" w:sz="0" w:space="0" w:color="auto"/>
            <w:right w:val="none" w:sz="0" w:space="0" w:color="auto"/>
          </w:divBdr>
        </w:div>
        <w:div w:id="680468047">
          <w:marLeft w:val="640"/>
          <w:marRight w:val="0"/>
          <w:marTop w:val="0"/>
          <w:marBottom w:val="0"/>
          <w:divBdr>
            <w:top w:val="none" w:sz="0" w:space="0" w:color="auto"/>
            <w:left w:val="none" w:sz="0" w:space="0" w:color="auto"/>
            <w:bottom w:val="none" w:sz="0" w:space="0" w:color="auto"/>
            <w:right w:val="none" w:sz="0" w:space="0" w:color="auto"/>
          </w:divBdr>
        </w:div>
        <w:div w:id="1852836720">
          <w:marLeft w:val="640"/>
          <w:marRight w:val="0"/>
          <w:marTop w:val="0"/>
          <w:marBottom w:val="0"/>
          <w:divBdr>
            <w:top w:val="none" w:sz="0" w:space="0" w:color="auto"/>
            <w:left w:val="none" w:sz="0" w:space="0" w:color="auto"/>
            <w:bottom w:val="none" w:sz="0" w:space="0" w:color="auto"/>
            <w:right w:val="none" w:sz="0" w:space="0" w:color="auto"/>
          </w:divBdr>
        </w:div>
        <w:div w:id="862474108">
          <w:marLeft w:val="640"/>
          <w:marRight w:val="0"/>
          <w:marTop w:val="0"/>
          <w:marBottom w:val="0"/>
          <w:divBdr>
            <w:top w:val="none" w:sz="0" w:space="0" w:color="auto"/>
            <w:left w:val="none" w:sz="0" w:space="0" w:color="auto"/>
            <w:bottom w:val="none" w:sz="0" w:space="0" w:color="auto"/>
            <w:right w:val="none" w:sz="0" w:space="0" w:color="auto"/>
          </w:divBdr>
        </w:div>
        <w:div w:id="1932397195">
          <w:marLeft w:val="640"/>
          <w:marRight w:val="0"/>
          <w:marTop w:val="0"/>
          <w:marBottom w:val="0"/>
          <w:divBdr>
            <w:top w:val="none" w:sz="0" w:space="0" w:color="auto"/>
            <w:left w:val="none" w:sz="0" w:space="0" w:color="auto"/>
            <w:bottom w:val="none" w:sz="0" w:space="0" w:color="auto"/>
            <w:right w:val="none" w:sz="0" w:space="0" w:color="auto"/>
          </w:divBdr>
        </w:div>
        <w:div w:id="1001660158">
          <w:marLeft w:val="640"/>
          <w:marRight w:val="0"/>
          <w:marTop w:val="0"/>
          <w:marBottom w:val="0"/>
          <w:divBdr>
            <w:top w:val="none" w:sz="0" w:space="0" w:color="auto"/>
            <w:left w:val="none" w:sz="0" w:space="0" w:color="auto"/>
            <w:bottom w:val="none" w:sz="0" w:space="0" w:color="auto"/>
            <w:right w:val="none" w:sz="0" w:space="0" w:color="auto"/>
          </w:divBdr>
        </w:div>
        <w:div w:id="1509755987">
          <w:marLeft w:val="640"/>
          <w:marRight w:val="0"/>
          <w:marTop w:val="0"/>
          <w:marBottom w:val="0"/>
          <w:divBdr>
            <w:top w:val="none" w:sz="0" w:space="0" w:color="auto"/>
            <w:left w:val="none" w:sz="0" w:space="0" w:color="auto"/>
            <w:bottom w:val="none" w:sz="0" w:space="0" w:color="auto"/>
            <w:right w:val="none" w:sz="0" w:space="0" w:color="auto"/>
          </w:divBdr>
        </w:div>
        <w:div w:id="1110972396">
          <w:marLeft w:val="640"/>
          <w:marRight w:val="0"/>
          <w:marTop w:val="0"/>
          <w:marBottom w:val="0"/>
          <w:divBdr>
            <w:top w:val="none" w:sz="0" w:space="0" w:color="auto"/>
            <w:left w:val="none" w:sz="0" w:space="0" w:color="auto"/>
            <w:bottom w:val="none" w:sz="0" w:space="0" w:color="auto"/>
            <w:right w:val="none" w:sz="0" w:space="0" w:color="auto"/>
          </w:divBdr>
        </w:div>
        <w:div w:id="403768797">
          <w:marLeft w:val="640"/>
          <w:marRight w:val="0"/>
          <w:marTop w:val="0"/>
          <w:marBottom w:val="0"/>
          <w:divBdr>
            <w:top w:val="none" w:sz="0" w:space="0" w:color="auto"/>
            <w:left w:val="none" w:sz="0" w:space="0" w:color="auto"/>
            <w:bottom w:val="none" w:sz="0" w:space="0" w:color="auto"/>
            <w:right w:val="none" w:sz="0" w:space="0" w:color="auto"/>
          </w:divBdr>
        </w:div>
        <w:div w:id="611477301">
          <w:marLeft w:val="640"/>
          <w:marRight w:val="0"/>
          <w:marTop w:val="0"/>
          <w:marBottom w:val="0"/>
          <w:divBdr>
            <w:top w:val="none" w:sz="0" w:space="0" w:color="auto"/>
            <w:left w:val="none" w:sz="0" w:space="0" w:color="auto"/>
            <w:bottom w:val="none" w:sz="0" w:space="0" w:color="auto"/>
            <w:right w:val="none" w:sz="0" w:space="0" w:color="auto"/>
          </w:divBdr>
        </w:div>
        <w:div w:id="2001736575">
          <w:marLeft w:val="640"/>
          <w:marRight w:val="0"/>
          <w:marTop w:val="0"/>
          <w:marBottom w:val="0"/>
          <w:divBdr>
            <w:top w:val="none" w:sz="0" w:space="0" w:color="auto"/>
            <w:left w:val="none" w:sz="0" w:space="0" w:color="auto"/>
            <w:bottom w:val="none" w:sz="0" w:space="0" w:color="auto"/>
            <w:right w:val="none" w:sz="0" w:space="0" w:color="auto"/>
          </w:divBdr>
        </w:div>
        <w:div w:id="1721585998">
          <w:marLeft w:val="640"/>
          <w:marRight w:val="0"/>
          <w:marTop w:val="0"/>
          <w:marBottom w:val="0"/>
          <w:divBdr>
            <w:top w:val="none" w:sz="0" w:space="0" w:color="auto"/>
            <w:left w:val="none" w:sz="0" w:space="0" w:color="auto"/>
            <w:bottom w:val="none" w:sz="0" w:space="0" w:color="auto"/>
            <w:right w:val="none" w:sz="0" w:space="0" w:color="auto"/>
          </w:divBdr>
        </w:div>
        <w:div w:id="1698309133">
          <w:marLeft w:val="640"/>
          <w:marRight w:val="0"/>
          <w:marTop w:val="0"/>
          <w:marBottom w:val="0"/>
          <w:divBdr>
            <w:top w:val="none" w:sz="0" w:space="0" w:color="auto"/>
            <w:left w:val="none" w:sz="0" w:space="0" w:color="auto"/>
            <w:bottom w:val="none" w:sz="0" w:space="0" w:color="auto"/>
            <w:right w:val="none" w:sz="0" w:space="0" w:color="auto"/>
          </w:divBdr>
        </w:div>
        <w:div w:id="447747696">
          <w:marLeft w:val="640"/>
          <w:marRight w:val="0"/>
          <w:marTop w:val="0"/>
          <w:marBottom w:val="0"/>
          <w:divBdr>
            <w:top w:val="none" w:sz="0" w:space="0" w:color="auto"/>
            <w:left w:val="none" w:sz="0" w:space="0" w:color="auto"/>
            <w:bottom w:val="none" w:sz="0" w:space="0" w:color="auto"/>
            <w:right w:val="none" w:sz="0" w:space="0" w:color="auto"/>
          </w:divBdr>
        </w:div>
        <w:div w:id="377820393">
          <w:marLeft w:val="640"/>
          <w:marRight w:val="0"/>
          <w:marTop w:val="0"/>
          <w:marBottom w:val="0"/>
          <w:divBdr>
            <w:top w:val="none" w:sz="0" w:space="0" w:color="auto"/>
            <w:left w:val="none" w:sz="0" w:space="0" w:color="auto"/>
            <w:bottom w:val="none" w:sz="0" w:space="0" w:color="auto"/>
            <w:right w:val="none" w:sz="0" w:space="0" w:color="auto"/>
          </w:divBdr>
        </w:div>
        <w:div w:id="588849568">
          <w:marLeft w:val="640"/>
          <w:marRight w:val="0"/>
          <w:marTop w:val="0"/>
          <w:marBottom w:val="0"/>
          <w:divBdr>
            <w:top w:val="none" w:sz="0" w:space="0" w:color="auto"/>
            <w:left w:val="none" w:sz="0" w:space="0" w:color="auto"/>
            <w:bottom w:val="none" w:sz="0" w:space="0" w:color="auto"/>
            <w:right w:val="none" w:sz="0" w:space="0" w:color="auto"/>
          </w:divBdr>
        </w:div>
        <w:div w:id="377240741">
          <w:marLeft w:val="640"/>
          <w:marRight w:val="0"/>
          <w:marTop w:val="0"/>
          <w:marBottom w:val="0"/>
          <w:divBdr>
            <w:top w:val="none" w:sz="0" w:space="0" w:color="auto"/>
            <w:left w:val="none" w:sz="0" w:space="0" w:color="auto"/>
            <w:bottom w:val="none" w:sz="0" w:space="0" w:color="auto"/>
            <w:right w:val="none" w:sz="0" w:space="0" w:color="auto"/>
          </w:divBdr>
        </w:div>
        <w:div w:id="2019042156">
          <w:marLeft w:val="640"/>
          <w:marRight w:val="0"/>
          <w:marTop w:val="0"/>
          <w:marBottom w:val="0"/>
          <w:divBdr>
            <w:top w:val="none" w:sz="0" w:space="0" w:color="auto"/>
            <w:left w:val="none" w:sz="0" w:space="0" w:color="auto"/>
            <w:bottom w:val="none" w:sz="0" w:space="0" w:color="auto"/>
            <w:right w:val="none" w:sz="0" w:space="0" w:color="auto"/>
          </w:divBdr>
        </w:div>
        <w:div w:id="1556814977">
          <w:marLeft w:val="640"/>
          <w:marRight w:val="0"/>
          <w:marTop w:val="0"/>
          <w:marBottom w:val="0"/>
          <w:divBdr>
            <w:top w:val="none" w:sz="0" w:space="0" w:color="auto"/>
            <w:left w:val="none" w:sz="0" w:space="0" w:color="auto"/>
            <w:bottom w:val="none" w:sz="0" w:space="0" w:color="auto"/>
            <w:right w:val="none" w:sz="0" w:space="0" w:color="auto"/>
          </w:divBdr>
        </w:div>
        <w:div w:id="1997801712">
          <w:marLeft w:val="640"/>
          <w:marRight w:val="0"/>
          <w:marTop w:val="0"/>
          <w:marBottom w:val="0"/>
          <w:divBdr>
            <w:top w:val="none" w:sz="0" w:space="0" w:color="auto"/>
            <w:left w:val="none" w:sz="0" w:space="0" w:color="auto"/>
            <w:bottom w:val="none" w:sz="0" w:space="0" w:color="auto"/>
            <w:right w:val="none" w:sz="0" w:space="0" w:color="auto"/>
          </w:divBdr>
        </w:div>
        <w:div w:id="1396468322">
          <w:marLeft w:val="640"/>
          <w:marRight w:val="0"/>
          <w:marTop w:val="0"/>
          <w:marBottom w:val="0"/>
          <w:divBdr>
            <w:top w:val="none" w:sz="0" w:space="0" w:color="auto"/>
            <w:left w:val="none" w:sz="0" w:space="0" w:color="auto"/>
            <w:bottom w:val="none" w:sz="0" w:space="0" w:color="auto"/>
            <w:right w:val="none" w:sz="0" w:space="0" w:color="auto"/>
          </w:divBdr>
        </w:div>
        <w:div w:id="1650818335">
          <w:marLeft w:val="640"/>
          <w:marRight w:val="0"/>
          <w:marTop w:val="0"/>
          <w:marBottom w:val="0"/>
          <w:divBdr>
            <w:top w:val="none" w:sz="0" w:space="0" w:color="auto"/>
            <w:left w:val="none" w:sz="0" w:space="0" w:color="auto"/>
            <w:bottom w:val="none" w:sz="0" w:space="0" w:color="auto"/>
            <w:right w:val="none" w:sz="0" w:space="0" w:color="auto"/>
          </w:divBdr>
        </w:div>
        <w:div w:id="382290579">
          <w:marLeft w:val="640"/>
          <w:marRight w:val="0"/>
          <w:marTop w:val="0"/>
          <w:marBottom w:val="0"/>
          <w:divBdr>
            <w:top w:val="none" w:sz="0" w:space="0" w:color="auto"/>
            <w:left w:val="none" w:sz="0" w:space="0" w:color="auto"/>
            <w:bottom w:val="none" w:sz="0" w:space="0" w:color="auto"/>
            <w:right w:val="none" w:sz="0" w:space="0" w:color="auto"/>
          </w:divBdr>
        </w:div>
        <w:div w:id="1171143475">
          <w:marLeft w:val="640"/>
          <w:marRight w:val="0"/>
          <w:marTop w:val="0"/>
          <w:marBottom w:val="0"/>
          <w:divBdr>
            <w:top w:val="none" w:sz="0" w:space="0" w:color="auto"/>
            <w:left w:val="none" w:sz="0" w:space="0" w:color="auto"/>
            <w:bottom w:val="none" w:sz="0" w:space="0" w:color="auto"/>
            <w:right w:val="none" w:sz="0" w:space="0" w:color="auto"/>
          </w:divBdr>
        </w:div>
        <w:div w:id="1755323757">
          <w:marLeft w:val="640"/>
          <w:marRight w:val="0"/>
          <w:marTop w:val="0"/>
          <w:marBottom w:val="0"/>
          <w:divBdr>
            <w:top w:val="none" w:sz="0" w:space="0" w:color="auto"/>
            <w:left w:val="none" w:sz="0" w:space="0" w:color="auto"/>
            <w:bottom w:val="none" w:sz="0" w:space="0" w:color="auto"/>
            <w:right w:val="none" w:sz="0" w:space="0" w:color="auto"/>
          </w:divBdr>
        </w:div>
        <w:div w:id="338851080">
          <w:marLeft w:val="640"/>
          <w:marRight w:val="0"/>
          <w:marTop w:val="0"/>
          <w:marBottom w:val="0"/>
          <w:divBdr>
            <w:top w:val="none" w:sz="0" w:space="0" w:color="auto"/>
            <w:left w:val="none" w:sz="0" w:space="0" w:color="auto"/>
            <w:bottom w:val="none" w:sz="0" w:space="0" w:color="auto"/>
            <w:right w:val="none" w:sz="0" w:space="0" w:color="auto"/>
          </w:divBdr>
        </w:div>
        <w:div w:id="1932814976">
          <w:marLeft w:val="640"/>
          <w:marRight w:val="0"/>
          <w:marTop w:val="0"/>
          <w:marBottom w:val="0"/>
          <w:divBdr>
            <w:top w:val="none" w:sz="0" w:space="0" w:color="auto"/>
            <w:left w:val="none" w:sz="0" w:space="0" w:color="auto"/>
            <w:bottom w:val="none" w:sz="0" w:space="0" w:color="auto"/>
            <w:right w:val="none" w:sz="0" w:space="0" w:color="auto"/>
          </w:divBdr>
        </w:div>
        <w:div w:id="788430546">
          <w:marLeft w:val="640"/>
          <w:marRight w:val="0"/>
          <w:marTop w:val="0"/>
          <w:marBottom w:val="0"/>
          <w:divBdr>
            <w:top w:val="none" w:sz="0" w:space="0" w:color="auto"/>
            <w:left w:val="none" w:sz="0" w:space="0" w:color="auto"/>
            <w:bottom w:val="none" w:sz="0" w:space="0" w:color="auto"/>
            <w:right w:val="none" w:sz="0" w:space="0" w:color="auto"/>
          </w:divBdr>
        </w:div>
        <w:div w:id="1171481684">
          <w:marLeft w:val="640"/>
          <w:marRight w:val="0"/>
          <w:marTop w:val="0"/>
          <w:marBottom w:val="0"/>
          <w:divBdr>
            <w:top w:val="none" w:sz="0" w:space="0" w:color="auto"/>
            <w:left w:val="none" w:sz="0" w:space="0" w:color="auto"/>
            <w:bottom w:val="none" w:sz="0" w:space="0" w:color="auto"/>
            <w:right w:val="none" w:sz="0" w:space="0" w:color="auto"/>
          </w:divBdr>
        </w:div>
        <w:div w:id="1763524247">
          <w:marLeft w:val="640"/>
          <w:marRight w:val="0"/>
          <w:marTop w:val="0"/>
          <w:marBottom w:val="0"/>
          <w:divBdr>
            <w:top w:val="none" w:sz="0" w:space="0" w:color="auto"/>
            <w:left w:val="none" w:sz="0" w:space="0" w:color="auto"/>
            <w:bottom w:val="none" w:sz="0" w:space="0" w:color="auto"/>
            <w:right w:val="none" w:sz="0" w:space="0" w:color="auto"/>
          </w:divBdr>
        </w:div>
        <w:div w:id="1793131243">
          <w:marLeft w:val="640"/>
          <w:marRight w:val="0"/>
          <w:marTop w:val="0"/>
          <w:marBottom w:val="0"/>
          <w:divBdr>
            <w:top w:val="none" w:sz="0" w:space="0" w:color="auto"/>
            <w:left w:val="none" w:sz="0" w:space="0" w:color="auto"/>
            <w:bottom w:val="none" w:sz="0" w:space="0" w:color="auto"/>
            <w:right w:val="none" w:sz="0" w:space="0" w:color="auto"/>
          </w:divBdr>
        </w:div>
        <w:div w:id="1753774790">
          <w:marLeft w:val="640"/>
          <w:marRight w:val="0"/>
          <w:marTop w:val="0"/>
          <w:marBottom w:val="0"/>
          <w:divBdr>
            <w:top w:val="none" w:sz="0" w:space="0" w:color="auto"/>
            <w:left w:val="none" w:sz="0" w:space="0" w:color="auto"/>
            <w:bottom w:val="none" w:sz="0" w:space="0" w:color="auto"/>
            <w:right w:val="none" w:sz="0" w:space="0" w:color="auto"/>
          </w:divBdr>
        </w:div>
        <w:div w:id="2115325545">
          <w:marLeft w:val="640"/>
          <w:marRight w:val="0"/>
          <w:marTop w:val="0"/>
          <w:marBottom w:val="0"/>
          <w:divBdr>
            <w:top w:val="none" w:sz="0" w:space="0" w:color="auto"/>
            <w:left w:val="none" w:sz="0" w:space="0" w:color="auto"/>
            <w:bottom w:val="none" w:sz="0" w:space="0" w:color="auto"/>
            <w:right w:val="none" w:sz="0" w:space="0" w:color="auto"/>
          </w:divBdr>
        </w:div>
        <w:div w:id="766072776">
          <w:marLeft w:val="640"/>
          <w:marRight w:val="0"/>
          <w:marTop w:val="0"/>
          <w:marBottom w:val="0"/>
          <w:divBdr>
            <w:top w:val="none" w:sz="0" w:space="0" w:color="auto"/>
            <w:left w:val="none" w:sz="0" w:space="0" w:color="auto"/>
            <w:bottom w:val="none" w:sz="0" w:space="0" w:color="auto"/>
            <w:right w:val="none" w:sz="0" w:space="0" w:color="auto"/>
          </w:divBdr>
        </w:div>
        <w:div w:id="1986010735">
          <w:marLeft w:val="640"/>
          <w:marRight w:val="0"/>
          <w:marTop w:val="0"/>
          <w:marBottom w:val="0"/>
          <w:divBdr>
            <w:top w:val="none" w:sz="0" w:space="0" w:color="auto"/>
            <w:left w:val="none" w:sz="0" w:space="0" w:color="auto"/>
            <w:bottom w:val="none" w:sz="0" w:space="0" w:color="auto"/>
            <w:right w:val="none" w:sz="0" w:space="0" w:color="auto"/>
          </w:divBdr>
        </w:div>
        <w:div w:id="1232546453">
          <w:marLeft w:val="640"/>
          <w:marRight w:val="0"/>
          <w:marTop w:val="0"/>
          <w:marBottom w:val="0"/>
          <w:divBdr>
            <w:top w:val="none" w:sz="0" w:space="0" w:color="auto"/>
            <w:left w:val="none" w:sz="0" w:space="0" w:color="auto"/>
            <w:bottom w:val="none" w:sz="0" w:space="0" w:color="auto"/>
            <w:right w:val="none" w:sz="0" w:space="0" w:color="auto"/>
          </w:divBdr>
        </w:div>
        <w:div w:id="94055754">
          <w:marLeft w:val="640"/>
          <w:marRight w:val="0"/>
          <w:marTop w:val="0"/>
          <w:marBottom w:val="0"/>
          <w:divBdr>
            <w:top w:val="none" w:sz="0" w:space="0" w:color="auto"/>
            <w:left w:val="none" w:sz="0" w:space="0" w:color="auto"/>
            <w:bottom w:val="none" w:sz="0" w:space="0" w:color="auto"/>
            <w:right w:val="none" w:sz="0" w:space="0" w:color="auto"/>
          </w:divBdr>
        </w:div>
        <w:div w:id="1823353055">
          <w:marLeft w:val="640"/>
          <w:marRight w:val="0"/>
          <w:marTop w:val="0"/>
          <w:marBottom w:val="0"/>
          <w:divBdr>
            <w:top w:val="none" w:sz="0" w:space="0" w:color="auto"/>
            <w:left w:val="none" w:sz="0" w:space="0" w:color="auto"/>
            <w:bottom w:val="none" w:sz="0" w:space="0" w:color="auto"/>
            <w:right w:val="none" w:sz="0" w:space="0" w:color="auto"/>
          </w:divBdr>
        </w:div>
        <w:div w:id="313219698">
          <w:marLeft w:val="640"/>
          <w:marRight w:val="0"/>
          <w:marTop w:val="0"/>
          <w:marBottom w:val="0"/>
          <w:divBdr>
            <w:top w:val="none" w:sz="0" w:space="0" w:color="auto"/>
            <w:left w:val="none" w:sz="0" w:space="0" w:color="auto"/>
            <w:bottom w:val="none" w:sz="0" w:space="0" w:color="auto"/>
            <w:right w:val="none" w:sz="0" w:space="0" w:color="auto"/>
          </w:divBdr>
        </w:div>
        <w:div w:id="1677416011">
          <w:marLeft w:val="640"/>
          <w:marRight w:val="0"/>
          <w:marTop w:val="0"/>
          <w:marBottom w:val="0"/>
          <w:divBdr>
            <w:top w:val="none" w:sz="0" w:space="0" w:color="auto"/>
            <w:left w:val="none" w:sz="0" w:space="0" w:color="auto"/>
            <w:bottom w:val="none" w:sz="0" w:space="0" w:color="auto"/>
            <w:right w:val="none" w:sz="0" w:space="0" w:color="auto"/>
          </w:divBdr>
        </w:div>
        <w:div w:id="968125558">
          <w:marLeft w:val="640"/>
          <w:marRight w:val="0"/>
          <w:marTop w:val="0"/>
          <w:marBottom w:val="0"/>
          <w:divBdr>
            <w:top w:val="none" w:sz="0" w:space="0" w:color="auto"/>
            <w:left w:val="none" w:sz="0" w:space="0" w:color="auto"/>
            <w:bottom w:val="none" w:sz="0" w:space="0" w:color="auto"/>
            <w:right w:val="none" w:sz="0" w:space="0" w:color="auto"/>
          </w:divBdr>
        </w:div>
        <w:div w:id="1560092722">
          <w:marLeft w:val="640"/>
          <w:marRight w:val="0"/>
          <w:marTop w:val="0"/>
          <w:marBottom w:val="0"/>
          <w:divBdr>
            <w:top w:val="none" w:sz="0" w:space="0" w:color="auto"/>
            <w:left w:val="none" w:sz="0" w:space="0" w:color="auto"/>
            <w:bottom w:val="none" w:sz="0" w:space="0" w:color="auto"/>
            <w:right w:val="none" w:sz="0" w:space="0" w:color="auto"/>
          </w:divBdr>
        </w:div>
        <w:div w:id="341014145">
          <w:marLeft w:val="640"/>
          <w:marRight w:val="0"/>
          <w:marTop w:val="0"/>
          <w:marBottom w:val="0"/>
          <w:divBdr>
            <w:top w:val="none" w:sz="0" w:space="0" w:color="auto"/>
            <w:left w:val="none" w:sz="0" w:space="0" w:color="auto"/>
            <w:bottom w:val="none" w:sz="0" w:space="0" w:color="auto"/>
            <w:right w:val="none" w:sz="0" w:space="0" w:color="auto"/>
          </w:divBdr>
        </w:div>
        <w:div w:id="2119447878">
          <w:marLeft w:val="640"/>
          <w:marRight w:val="0"/>
          <w:marTop w:val="0"/>
          <w:marBottom w:val="0"/>
          <w:divBdr>
            <w:top w:val="none" w:sz="0" w:space="0" w:color="auto"/>
            <w:left w:val="none" w:sz="0" w:space="0" w:color="auto"/>
            <w:bottom w:val="none" w:sz="0" w:space="0" w:color="auto"/>
            <w:right w:val="none" w:sz="0" w:space="0" w:color="auto"/>
          </w:divBdr>
        </w:div>
        <w:div w:id="1638334697">
          <w:marLeft w:val="640"/>
          <w:marRight w:val="0"/>
          <w:marTop w:val="0"/>
          <w:marBottom w:val="0"/>
          <w:divBdr>
            <w:top w:val="none" w:sz="0" w:space="0" w:color="auto"/>
            <w:left w:val="none" w:sz="0" w:space="0" w:color="auto"/>
            <w:bottom w:val="none" w:sz="0" w:space="0" w:color="auto"/>
            <w:right w:val="none" w:sz="0" w:space="0" w:color="auto"/>
          </w:divBdr>
        </w:div>
        <w:div w:id="658580871">
          <w:marLeft w:val="640"/>
          <w:marRight w:val="0"/>
          <w:marTop w:val="0"/>
          <w:marBottom w:val="0"/>
          <w:divBdr>
            <w:top w:val="none" w:sz="0" w:space="0" w:color="auto"/>
            <w:left w:val="none" w:sz="0" w:space="0" w:color="auto"/>
            <w:bottom w:val="none" w:sz="0" w:space="0" w:color="auto"/>
            <w:right w:val="none" w:sz="0" w:space="0" w:color="auto"/>
          </w:divBdr>
        </w:div>
        <w:div w:id="904686715">
          <w:marLeft w:val="640"/>
          <w:marRight w:val="0"/>
          <w:marTop w:val="0"/>
          <w:marBottom w:val="0"/>
          <w:divBdr>
            <w:top w:val="none" w:sz="0" w:space="0" w:color="auto"/>
            <w:left w:val="none" w:sz="0" w:space="0" w:color="auto"/>
            <w:bottom w:val="none" w:sz="0" w:space="0" w:color="auto"/>
            <w:right w:val="none" w:sz="0" w:space="0" w:color="auto"/>
          </w:divBdr>
        </w:div>
        <w:div w:id="181868408">
          <w:marLeft w:val="640"/>
          <w:marRight w:val="0"/>
          <w:marTop w:val="0"/>
          <w:marBottom w:val="0"/>
          <w:divBdr>
            <w:top w:val="none" w:sz="0" w:space="0" w:color="auto"/>
            <w:left w:val="none" w:sz="0" w:space="0" w:color="auto"/>
            <w:bottom w:val="none" w:sz="0" w:space="0" w:color="auto"/>
            <w:right w:val="none" w:sz="0" w:space="0" w:color="auto"/>
          </w:divBdr>
        </w:div>
        <w:div w:id="1088504509">
          <w:marLeft w:val="640"/>
          <w:marRight w:val="0"/>
          <w:marTop w:val="0"/>
          <w:marBottom w:val="0"/>
          <w:divBdr>
            <w:top w:val="none" w:sz="0" w:space="0" w:color="auto"/>
            <w:left w:val="none" w:sz="0" w:space="0" w:color="auto"/>
            <w:bottom w:val="none" w:sz="0" w:space="0" w:color="auto"/>
            <w:right w:val="none" w:sz="0" w:space="0" w:color="auto"/>
          </w:divBdr>
        </w:div>
        <w:div w:id="749499656">
          <w:marLeft w:val="640"/>
          <w:marRight w:val="0"/>
          <w:marTop w:val="0"/>
          <w:marBottom w:val="0"/>
          <w:divBdr>
            <w:top w:val="none" w:sz="0" w:space="0" w:color="auto"/>
            <w:left w:val="none" w:sz="0" w:space="0" w:color="auto"/>
            <w:bottom w:val="none" w:sz="0" w:space="0" w:color="auto"/>
            <w:right w:val="none" w:sz="0" w:space="0" w:color="auto"/>
          </w:divBdr>
        </w:div>
        <w:div w:id="1909684732">
          <w:marLeft w:val="640"/>
          <w:marRight w:val="0"/>
          <w:marTop w:val="0"/>
          <w:marBottom w:val="0"/>
          <w:divBdr>
            <w:top w:val="none" w:sz="0" w:space="0" w:color="auto"/>
            <w:left w:val="none" w:sz="0" w:space="0" w:color="auto"/>
            <w:bottom w:val="none" w:sz="0" w:space="0" w:color="auto"/>
            <w:right w:val="none" w:sz="0" w:space="0" w:color="auto"/>
          </w:divBdr>
        </w:div>
        <w:div w:id="2136755464">
          <w:marLeft w:val="640"/>
          <w:marRight w:val="0"/>
          <w:marTop w:val="0"/>
          <w:marBottom w:val="0"/>
          <w:divBdr>
            <w:top w:val="none" w:sz="0" w:space="0" w:color="auto"/>
            <w:left w:val="none" w:sz="0" w:space="0" w:color="auto"/>
            <w:bottom w:val="none" w:sz="0" w:space="0" w:color="auto"/>
            <w:right w:val="none" w:sz="0" w:space="0" w:color="auto"/>
          </w:divBdr>
        </w:div>
      </w:divsChild>
    </w:div>
    <w:div w:id="480582669">
      <w:bodyDiv w:val="1"/>
      <w:marLeft w:val="0"/>
      <w:marRight w:val="0"/>
      <w:marTop w:val="0"/>
      <w:marBottom w:val="0"/>
      <w:divBdr>
        <w:top w:val="none" w:sz="0" w:space="0" w:color="auto"/>
        <w:left w:val="none" w:sz="0" w:space="0" w:color="auto"/>
        <w:bottom w:val="none" w:sz="0" w:space="0" w:color="auto"/>
        <w:right w:val="none" w:sz="0" w:space="0" w:color="auto"/>
      </w:divBdr>
      <w:divsChild>
        <w:div w:id="1882551594">
          <w:marLeft w:val="640"/>
          <w:marRight w:val="0"/>
          <w:marTop w:val="0"/>
          <w:marBottom w:val="0"/>
          <w:divBdr>
            <w:top w:val="none" w:sz="0" w:space="0" w:color="auto"/>
            <w:left w:val="none" w:sz="0" w:space="0" w:color="auto"/>
            <w:bottom w:val="none" w:sz="0" w:space="0" w:color="auto"/>
            <w:right w:val="none" w:sz="0" w:space="0" w:color="auto"/>
          </w:divBdr>
        </w:div>
        <w:div w:id="1952782903">
          <w:marLeft w:val="640"/>
          <w:marRight w:val="0"/>
          <w:marTop w:val="0"/>
          <w:marBottom w:val="0"/>
          <w:divBdr>
            <w:top w:val="none" w:sz="0" w:space="0" w:color="auto"/>
            <w:left w:val="none" w:sz="0" w:space="0" w:color="auto"/>
            <w:bottom w:val="none" w:sz="0" w:space="0" w:color="auto"/>
            <w:right w:val="none" w:sz="0" w:space="0" w:color="auto"/>
          </w:divBdr>
        </w:div>
        <w:div w:id="523785922">
          <w:marLeft w:val="640"/>
          <w:marRight w:val="0"/>
          <w:marTop w:val="0"/>
          <w:marBottom w:val="0"/>
          <w:divBdr>
            <w:top w:val="none" w:sz="0" w:space="0" w:color="auto"/>
            <w:left w:val="none" w:sz="0" w:space="0" w:color="auto"/>
            <w:bottom w:val="none" w:sz="0" w:space="0" w:color="auto"/>
            <w:right w:val="none" w:sz="0" w:space="0" w:color="auto"/>
          </w:divBdr>
        </w:div>
        <w:div w:id="57672203">
          <w:marLeft w:val="640"/>
          <w:marRight w:val="0"/>
          <w:marTop w:val="0"/>
          <w:marBottom w:val="0"/>
          <w:divBdr>
            <w:top w:val="none" w:sz="0" w:space="0" w:color="auto"/>
            <w:left w:val="none" w:sz="0" w:space="0" w:color="auto"/>
            <w:bottom w:val="none" w:sz="0" w:space="0" w:color="auto"/>
            <w:right w:val="none" w:sz="0" w:space="0" w:color="auto"/>
          </w:divBdr>
        </w:div>
        <w:div w:id="1813937900">
          <w:marLeft w:val="640"/>
          <w:marRight w:val="0"/>
          <w:marTop w:val="0"/>
          <w:marBottom w:val="0"/>
          <w:divBdr>
            <w:top w:val="none" w:sz="0" w:space="0" w:color="auto"/>
            <w:left w:val="none" w:sz="0" w:space="0" w:color="auto"/>
            <w:bottom w:val="none" w:sz="0" w:space="0" w:color="auto"/>
            <w:right w:val="none" w:sz="0" w:space="0" w:color="auto"/>
          </w:divBdr>
        </w:div>
        <w:div w:id="1218857245">
          <w:marLeft w:val="640"/>
          <w:marRight w:val="0"/>
          <w:marTop w:val="0"/>
          <w:marBottom w:val="0"/>
          <w:divBdr>
            <w:top w:val="none" w:sz="0" w:space="0" w:color="auto"/>
            <w:left w:val="none" w:sz="0" w:space="0" w:color="auto"/>
            <w:bottom w:val="none" w:sz="0" w:space="0" w:color="auto"/>
            <w:right w:val="none" w:sz="0" w:space="0" w:color="auto"/>
          </w:divBdr>
        </w:div>
        <w:div w:id="1040085379">
          <w:marLeft w:val="640"/>
          <w:marRight w:val="0"/>
          <w:marTop w:val="0"/>
          <w:marBottom w:val="0"/>
          <w:divBdr>
            <w:top w:val="none" w:sz="0" w:space="0" w:color="auto"/>
            <w:left w:val="none" w:sz="0" w:space="0" w:color="auto"/>
            <w:bottom w:val="none" w:sz="0" w:space="0" w:color="auto"/>
            <w:right w:val="none" w:sz="0" w:space="0" w:color="auto"/>
          </w:divBdr>
        </w:div>
        <w:div w:id="1534658423">
          <w:marLeft w:val="640"/>
          <w:marRight w:val="0"/>
          <w:marTop w:val="0"/>
          <w:marBottom w:val="0"/>
          <w:divBdr>
            <w:top w:val="none" w:sz="0" w:space="0" w:color="auto"/>
            <w:left w:val="none" w:sz="0" w:space="0" w:color="auto"/>
            <w:bottom w:val="none" w:sz="0" w:space="0" w:color="auto"/>
            <w:right w:val="none" w:sz="0" w:space="0" w:color="auto"/>
          </w:divBdr>
        </w:div>
        <w:div w:id="1870609783">
          <w:marLeft w:val="640"/>
          <w:marRight w:val="0"/>
          <w:marTop w:val="0"/>
          <w:marBottom w:val="0"/>
          <w:divBdr>
            <w:top w:val="none" w:sz="0" w:space="0" w:color="auto"/>
            <w:left w:val="none" w:sz="0" w:space="0" w:color="auto"/>
            <w:bottom w:val="none" w:sz="0" w:space="0" w:color="auto"/>
            <w:right w:val="none" w:sz="0" w:space="0" w:color="auto"/>
          </w:divBdr>
        </w:div>
        <w:div w:id="1255555784">
          <w:marLeft w:val="640"/>
          <w:marRight w:val="0"/>
          <w:marTop w:val="0"/>
          <w:marBottom w:val="0"/>
          <w:divBdr>
            <w:top w:val="none" w:sz="0" w:space="0" w:color="auto"/>
            <w:left w:val="none" w:sz="0" w:space="0" w:color="auto"/>
            <w:bottom w:val="none" w:sz="0" w:space="0" w:color="auto"/>
            <w:right w:val="none" w:sz="0" w:space="0" w:color="auto"/>
          </w:divBdr>
        </w:div>
        <w:div w:id="1624191213">
          <w:marLeft w:val="640"/>
          <w:marRight w:val="0"/>
          <w:marTop w:val="0"/>
          <w:marBottom w:val="0"/>
          <w:divBdr>
            <w:top w:val="none" w:sz="0" w:space="0" w:color="auto"/>
            <w:left w:val="none" w:sz="0" w:space="0" w:color="auto"/>
            <w:bottom w:val="none" w:sz="0" w:space="0" w:color="auto"/>
            <w:right w:val="none" w:sz="0" w:space="0" w:color="auto"/>
          </w:divBdr>
        </w:div>
        <w:div w:id="2005040826">
          <w:marLeft w:val="640"/>
          <w:marRight w:val="0"/>
          <w:marTop w:val="0"/>
          <w:marBottom w:val="0"/>
          <w:divBdr>
            <w:top w:val="none" w:sz="0" w:space="0" w:color="auto"/>
            <w:left w:val="none" w:sz="0" w:space="0" w:color="auto"/>
            <w:bottom w:val="none" w:sz="0" w:space="0" w:color="auto"/>
            <w:right w:val="none" w:sz="0" w:space="0" w:color="auto"/>
          </w:divBdr>
        </w:div>
        <w:div w:id="1776170776">
          <w:marLeft w:val="640"/>
          <w:marRight w:val="0"/>
          <w:marTop w:val="0"/>
          <w:marBottom w:val="0"/>
          <w:divBdr>
            <w:top w:val="none" w:sz="0" w:space="0" w:color="auto"/>
            <w:left w:val="none" w:sz="0" w:space="0" w:color="auto"/>
            <w:bottom w:val="none" w:sz="0" w:space="0" w:color="auto"/>
            <w:right w:val="none" w:sz="0" w:space="0" w:color="auto"/>
          </w:divBdr>
        </w:div>
        <w:div w:id="819076084">
          <w:marLeft w:val="640"/>
          <w:marRight w:val="0"/>
          <w:marTop w:val="0"/>
          <w:marBottom w:val="0"/>
          <w:divBdr>
            <w:top w:val="none" w:sz="0" w:space="0" w:color="auto"/>
            <w:left w:val="none" w:sz="0" w:space="0" w:color="auto"/>
            <w:bottom w:val="none" w:sz="0" w:space="0" w:color="auto"/>
            <w:right w:val="none" w:sz="0" w:space="0" w:color="auto"/>
          </w:divBdr>
        </w:div>
        <w:div w:id="1568371071">
          <w:marLeft w:val="640"/>
          <w:marRight w:val="0"/>
          <w:marTop w:val="0"/>
          <w:marBottom w:val="0"/>
          <w:divBdr>
            <w:top w:val="none" w:sz="0" w:space="0" w:color="auto"/>
            <w:left w:val="none" w:sz="0" w:space="0" w:color="auto"/>
            <w:bottom w:val="none" w:sz="0" w:space="0" w:color="auto"/>
            <w:right w:val="none" w:sz="0" w:space="0" w:color="auto"/>
          </w:divBdr>
        </w:div>
        <w:div w:id="1099133469">
          <w:marLeft w:val="640"/>
          <w:marRight w:val="0"/>
          <w:marTop w:val="0"/>
          <w:marBottom w:val="0"/>
          <w:divBdr>
            <w:top w:val="none" w:sz="0" w:space="0" w:color="auto"/>
            <w:left w:val="none" w:sz="0" w:space="0" w:color="auto"/>
            <w:bottom w:val="none" w:sz="0" w:space="0" w:color="auto"/>
            <w:right w:val="none" w:sz="0" w:space="0" w:color="auto"/>
          </w:divBdr>
        </w:div>
        <w:div w:id="1474372351">
          <w:marLeft w:val="640"/>
          <w:marRight w:val="0"/>
          <w:marTop w:val="0"/>
          <w:marBottom w:val="0"/>
          <w:divBdr>
            <w:top w:val="none" w:sz="0" w:space="0" w:color="auto"/>
            <w:left w:val="none" w:sz="0" w:space="0" w:color="auto"/>
            <w:bottom w:val="none" w:sz="0" w:space="0" w:color="auto"/>
            <w:right w:val="none" w:sz="0" w:space="0" w:color="auto"/>
          </w:divBdr>
        </w:div>
        <w:div w:id="1919436425">
          <w:marLeft w:val="640"/>
          <w:marRight w:val="0"/>
          <w:marTop w:val="0"/>
          <w:marBottom w:val="0"/>
          <w:divBdr>
            <w:top w:val="none" w:sz="0" w:space="0" w:color="auto"/>
            <w:left w:val="none" w:sz="0" w:space="0" w:color="auto"/>
            <w:bottom w:val="none" w:sz="0" w:space="0" w:color="auto"/>
            <w:right w:val="none" w:sz="0" w:space="0" w:color="auto"/>
          </w:divBdr>
        </w:div>
        <w:div w:id="264046811">
          <w:marLeft w:val="640"/>
          <w:marRight w:val="0"/>
          <w:marTop w:val="0"/>
          <w:marBottom w:val="0"/>
          <w:divBdr>
            <w:top w:val="none" w:sz="0" w:space="0" w:color="auto"/>
            <w:left w:val="none" w:sz="0" w:space="0" w:color="auto"/>
            <w:bottom w:val="none" w:sz="0" w:space="0" w:color="auto"/>
            <w:right w:val="none" w:sz="0" w:space="0" w:color="auto"/>
          </w:divBdr>
        </w:div>
        <w:div w:id="2093815019">
          <w:marLeft w:val="640"/>
          <w:marRight w:val="0"/>
          <w:marTop w:val="0"/>
          <w:marBottom w:val="0"/>
          <w:divBdr>
            <w:top w:val="none" w:sz="0" w:space="0" w:color="auto"/>
            <w:left w:val="none" w:sz="0" w:space="0" w:color="auto"/>
            <w:bottom w:val="none" w:sz="0" w:space="0" w:color="auto"/>
            <w:right w:val="none" w:sz="0" w:space="0" w:color="auto"/>
          </w:divBdr>
        </w:div>
        <w:div w:id="1992323051">
          <w:marLeft w:val="640"/>
          <w:marRight w:val="0"/>
          <w:marTop w:val="0"/>
          <w:marBottom w:val="0"/>
          <w:divBdr>
            <w:top w:val="none" w:sz="0" w:space="0" w:color="auto"/>
            <w:left w:val="none" w:sz="0" w:space="0" w:color="auto"/>
            <w:bottom w:val="none" w:sz="0" w:space="0" w:color="auto"/>
            <w:right w:val="none" w:sz="0" w:space="0" w:color="auto"/>
          </w:divBdr>
        </w:div>
        <w:div w:id="832600841">
          <w:marLeft w:val="640"/>
          <w:marRight w:val="0"/>
          <w:marTop w:val="0"/>
          <w:marBottom w:val="0"/>
          <w:divBdr>
            <w:top w:val="none" w:sz="0" w:space="0" w:color="auto"/>
            <w:left w:val="none" w:sz="0" w:space="0" w:color="auto"/>
            <w:bottom w:val="none" w:sz="0" w:space="0" w:color="auto"/>
            <w:right w:val="none" w:sz="0" w:space="0" w:color="auto"/>
          </w:divBdr>
        </w:div>
        <w:div w:id="1626618002">
          <w:marLeft w:val="640"/>
          <w:marRight w:val="0"/>
          <w:marTop w:val="0"/>
          <w:marBottom w:val="0"/>
          <w:divBdr>
            <w:top w:val="none" w:sz="0" w:space="0" w:color="auto"/>
            <w:left w:val="none" w:sz="0" w:space="0" w:color="auto"/>
            <w:bottom w:val="none" w:sz="0" w:space="0" w:color="auto"/>
            <w:right w:val="none" w:sz="0" w:space="0" w:color="auto"/>
          </w:divBdr>
        </w:div>
        <w:div w:id="165629775">
          <w:marLeft w:val="640"/>
          <w:marRight w:val="0"/>
          <w:marTop w:val="0"/>
          <w:marBottom w:val="0"/>
          <w:divBdr>
            <w:top w:val="none" w:sz="0" w:space="0" w:color="auto"/>
            <w:left w:val="none" w:sz="0" w:space="0" w:color="auto"/>
            <w:bottom w:val="none" w:sz="0" w:space="0" w:color="auto"/>
            <w:right w:val="none" w:sz="0" w:space="0" w:color="auto"/>
          </w:divBdr>
        </w:div>
        <w:div w:id="1256207291">
          <w:marLeft w:val="640"/>
          <w:marRight w:val="0"/>
          <w:marTop w:val="0"/>
          <w:marBottom w:val="0"/>
          <w:divBdr>
            <w:top w:val="none" w:sz="0" w:space="0" w:color="auto"/>
            <w:left w:val="none" w:sz="0" w:space="0" w:color="auto"/>
            <w:bottom w:val="none" w:sz="0" w:space="0" w:color="auto"/>
            <w:right w:val="none" w:sz="0" w:space="0" w:color="auto"/>
          </w:divBdr>
        </w:div>
        <w:div w:id="1994486964">
          <w:marLeft w:val="640"/>
          <w:marRight w:val="0"/>
          <w:marTop w:val="0"/>
          <w:marBottom w:val="0"/>
          <w:divBdr>
            <w:top w:val="none" w:sz="0" w:space="0" w:color="auto"/>
            <w:left w:val="none" w:sz="0" w:space="0" w:color="auto"/>
            <w:bottom w:val="none" w:sz="0" w:space="0" w:color="auto"/>
            <w:right w:val="none" w:sz="0" w:space="0" w:color="auto"/>
          </w:divBdr>
        </w:div>
        <w:div w:id="2047177951">
          <w:marLeft w:val="640"/>
          <w:marRight w:val="0"/>
          <w:marTop w:val="0"/>
          <w:marBottom w:val="0"/>
          <w:divBdr>
            <w:top w:val="none" w:sz="0" w:space="0" w:color="auto"/>
            <w:left w:val="none" w:sz="0" w:space="0" w:color="auto"/>
            <w:bottom w:val="none" w:sz="0" w:space="0" w:color="auto"/>
            <w:right w:val="none" w:sz="0" w:space="0" w:color="auto"/>
          </w:divBdr>
        </w:div>
        <w:div w:id="1912537573">
          <w:marLeft w:val="640"/>
          <w:marRight w:val="0"/>
          <w:marTop w:val="0"/>
          <w:marBottom w:val="0"/>
          <w:divBdr>
            <w:top w:val="none" w:sz="0" w:space="0" w:color="auto"/>
            <w:left w:val="none" w:sz="0" w:space="0" w:color="auto"/>
            <w:bottom w:val="none" w:sz="0" w:space="0" w:color="auto"/>
            <w:right w:val="none" w:sz="0" w:space="0" w:color="auto"/>
          </w:divBdr>
        </w:div>
        <w:div w:id="478502195">
          <w:marLeft w:val="640"/>
          <w:marRight w:val="0"/>
          <w:marTop w:val="0"/>
          <w:marBottom w:val="0"/>
          <w:divBdr>
            <w:top w:val="none" w:sz="0" w:space="0" w:color="auto"/>
            <w:left w:val="none" w:sz="0" w:space="0" w:color="auto"/>
            <w:bottom w:val="none" w:sz="0" w:space="0" w:color="auto"/>
            <w:right w:val="none" w:sz="0" w:space="0" w:color="auto"/>
          </w:divBdr>
        </w:div>
        <w:div w:id="1788236913">
          <w:marLeft w:val="640"/>
          <w:marRight w:val="0"/>
          <w:marTop w:val="0"/>
          <w:marBottom w:val="0"/>
          <w:divBdr>
            <w:top w:val="none" w:sz="0" w:space="0" w:color="auto"/>
            <w:left w:val="none" w:sz="0" w:space="0" w:color="auto"/>
            <w:bottom w:val="none" w:sz="0" w:space="0" w:color="auto"/>
            <w:right w:val="none" w:sz="0" w:space="0" w:color="auto"/>
          </w:divBdr>
        </w:div>
        <w:div w:id="1000353858">
          <w:marLeft w:val="640"/>
          <w:marRight w:val="0"/>
          <w:marTop w:val="0"/>
          <w:marBottom w:val="0"/>
          <w:divBdr>
            <w:top w:val="none" w:sz="0" w:space="0" w:color="auto"/>
            <w:left w:val="none" w:sz="0" w:space="0" w:color="auto"/>
            <w:bottom w:val="none" w:sz="0" w:space="0" w:color="auto"/>
            <w:right w:val="none" w:sz="0" w:space="0" w:color="auto"/>
          </w:divBdr>
        </w:div>
        <w:div w:id="1342585165">
          <w:marLeft w:val="640"/>
          <w:marRight w:val="0"/>
          <w:marTop w:val="0"/>
          <w:marBottom w:val="0"/>
          <w:divBdr>
            <w:top w:val="none" w:sz="0" w:space="0" w:color="auto"/>
            <w:left w:val="none" w:sz="0" w:space="0" w:color="auto"/>
            <w:bottom w:val="none" w:sz="0" w:space="0" w:color="auto"/>
            <w:right w:val="none" w:sz="0" w:space="0" w:color="auto"/>
          </w:divBdr>
        </w:div>
        <w:div w:id="833840800">
          <w:marLeft w:val="640"/>
          <w:marRight w:val="0"/>
          <w:marTop w:val="0"/>
          <w:marBottom w:val="0"/>
          <w:divBdr>
            <w:top w:val="none" w:sz="0" w:space="0" w:color="auto"/>
            <w:left w:val="none" w:sz="0" w:space="0" w:color="auto"/>
            <w:bottom w:val="none" w:sz="0" w:space="0" w:color="auto"/>
            <w:right w:val="none" w:sz="0" w:space="0" w:color="auto"/>
          </w:divBdr>
        </w:div>
        <w:div w:id="742917631">
          <w:marLeft w:val="640"/>
          <w:marRight w:val="0"/>
          <w:marTop w:val="0"/>
          <w:marBottom w:val="0"/>
          <w:divBdr>
            <w:top w:val="none" w:sz="0" w:space="0" w:color="auto"/>
            <w:left w:val="none" w:sz="0" w:space="0" w:color="auto"/>
            <w:bottom w:val="none" w:sz="0" w:space="0" w:color="auto"/>
            <w:right w:val="none" w:sz="0" w:space="0" w:color="auto"/>
          </w:divBdr>
        </w:div>
        <w:div w:id="2063211013">
          <w:marLeft w:val="640"/>
          <w:marRight w:val="0"/>
          <w:marTop w:val="0"/>
          <w:marBottom w:val="0"/>
          <w:divBdr>
            <w:top w:val="none" w:sz="0" w:space="0" w:color="auto"/>
            <w:left w:val="none" w:sz="0" w:space="0" w:color="auto"/>
            <w:bottom w:val="none" w:sz="0" w:space="0" w:color="auto"/>
            <w:right w:val="none" w:sz="0" w:space="0" w:color="auto"/>
          </w:divBdr>
        </w:div>
        <w:div w:id="1131291141">
          <w:marLeft w:val="640"/>
          <w:marRight w:val="0"/>
          <w:marTop w:val="0"/>
          <w:marBottom w:val="0"/>
          <w:divBdr>
            <w:top w:val="none" w:sz="0" w:space="0" w:color="auto"/>
            <w:left w:val="none" w:sz="0" w:space="0" w:color="auto"/>
            <w:bottom w:val="none" w:sz="0" w:space="0" w:color="auto"/>
            <w:right w:val="none" w:sz="0" w:space="0" w:color="auto"/>
          </w:divBdr>
        </w:div>
        <w:div w:id="2075809430">
          <w:marLeft w:val="640"/>
          <w:marRight w:val="0"/>
          <w:marTop w:val="0"/>
          <w:marBottom w:val="0"/>
          <w:divBdr>
            <w:top w:val="none" w:sz="0" w:space="0" w:color="auto"/>
            <w:left w:val="none" w:sz="0" w:space="0" w:color="auto"/>
            <w:bottom w:val="none" w:sz="0" w:space="0" w:color="auto"/>
            <w:right w:val="none" w:sz="0" w:space="0" w:color="auto"/>
          </w:divBdr>
        </w:div>
        <w:div w:id="1771662690">
          <w:marLeft w:val="640"/>
          <w:marRight w:val="0"/>
          <w:marTop w:val="0"/>
          <w:marBottom w:val="0"/>
          <w:divBdr>
            <w:top w:val="none" w:sz="0" w:space="0" w:color="auto"/>
            <w:left w:val="none" w:sz="0" w:space="0" w:color="auto"/>
            <w:bottom w:val="none" w:sz="0" w:space="0" w:color="auto"/>
            <w:right w:val="none" w:sz="0" w:space="0" w:color="auto"/>
          </w:divBdr>
        </w:div>
        <w:div w:id="465246653">
          <w:marLeft w:val="640"/>
          <w:marRight w:val="0"/>
          <w:marTop w:val="0"/>
          <w:marBottom w:val="0"/>
          <w:divBdr>
            <w:top w:val="none" w:sz="0" w:space="0" w:color="auto"/>
            <w:left w:val="none" w:sz="0" w:space="0" w:color="auto"/>
            <w:bottom w:val="none" w:sz="0" w:space="0" w:color="auto"/>
            <w:right w:val="none" w:sz="0" w:space="0" w:color="auto"/>
          </w:divBdr>
        </w:div>
        <w:div w:id="1180314032">
          <w:marLeft w:val="640"/>
          <w:marRight w:val="0"/>
          <w:marTop w:val="0"/>
          <w:marBottom w:val="0"/>
          <w:divBdr>
            <w:top w:val="none" w:sz="0" w:space="0" w:color="auto"/>
            <w:left w:val="none" w:sz="0" w:space="0" w:color="auto"/>
            <w:bottom w:val="none" w:sz="0" w:space="0" w:color="auto"/>
            <w:right w:val="none" w:sz="0" w:space="0" w:color="auto"/>
          </w:divBdr>
        </w:div>
        <w:div w:id="214511369">
          <w:marLeft w:val="640"/>
          <w:marRight w:val="0"/>
          <w:marTop w:val="0"/>
          <w:marBottom w:val="0"/>
          <w:divBdr>
            <w:top w:val="none" w:sz="0" w:space="0" w:color="auto"/>
            <w:left w:val="none" w:sz="0" w:space="0" w:color="auto"/>
            <w:bottom w:val="none" w:sz="0" w:space="0" w:color="auto"/>
            <w:right w:val="none" w:sz="0" w:space="0" w:color="auto"/>
          </w:divBdr>
        </w:div>
        <w:div w:id="49768001">
          <w:marLeft w:val="640"/>
          <w:marRight w:val="0"/>
          <w:marTop w:val="0"/>
          <w:marBottom w:val="0"/>
          <w:divBdr>
            <w:top w:val="none" w:sz="0" w:space="0" w:color="auto"/>
            <w:left w:val="none" w:sz="0" w:space="0" w:color="auto"/>
            <w:bottom w:val="none" w:sz="0" w:space="0" w:color="auto"/>
            <w:right w:val="none" w:sz="0" w:space="0" w:color="auto"/>
          </w:divBdr>
        </w:div>
        <w:div w:id="2133746524">
          <w:marLeft w:val="640"/>
          <w:marRight w:val="0"/>
          <w:marTop w:val="0"/>
          <w:marBottom w:val="0"/>
          <w:divBdr>
            <w:top w:val="none" w:sz="0" w:space="0" w:color="auto"/>
            <w:left w:val="none" w:sz="0" w:space="0" w:color="auto"/>
            <w:bottom w:val="none" w:sz="0" w:space="0" w:color="auto"/>
            <w:right w:val="none" w:sz="0" w:space="0" w:color="auto"/>
          </w:divBdr>
        </w:div>
        <w:div w:id="97678623">
          <w:marLeft w:val="640"/>
          <w:marRight w:val="0"/>
          <w:marTop w:val="0"/>
          <w:marBottom w:val="0"/>
          <w:divBdr>
            <w:top w:val="none" w:sz="0" w:space="0" w:color="auto"/>
            <w:left w:val="none" w:sz="0" w:space="0" w:color="auto"/>
            <w:bottom w:val="none" w:sz="0" w:space="0" w:color="auto"/>
            <w:right w:val="none" w:sz="0" w:space="0" w:color="auto"/>
          </w:divBdr>
        </w:div>
        <w:div w:id="513308201">
          <w:marLeft w:val="640"/>
          <w:marRight w:val="0"/>
          <w:marTop w:val="0"/>
          <w:marBottom w:val="0"/>
          <w:divBdr>
            <w:top w:val="none" w:sz="0" w:space="0" w:color="auto"/>
            <w:left w:val="none" w:sz="0" w:space="0" w:color="auto"/>
            <w:bottom w:val="none" w:sz="0" w:space="0" w:color="auto"/>
            <w:right w:val="none" w:sz="0" w:space="0" w:color="auto"/>
          </w:divBdr>
        </w:div>
        <w:div w:id="1069038968">
          <w:marLeft w:val="640"/>
          <w:marRight w:val="0"/>
          <w:marTop w:val="0"/>
          <w:marBottom w:val="0"/>
          <w:divBdr>
            <w:top w:val="none" w:sz="0" w:space="0" w:color="auto"/>
            <w:left w:val="none" w:sz="0" w:space="0" w:color="auto"/>
            <w:bottom w:val="none" w:sz="0" w:space="0" w:color="auto"/>
            <w:right w:val="none" w:sz="0" w:space="0" w:color="auto"/>
          </w:divBdr>
        </w:div>
        <w:div w:id="1514416237">
          <w:marLeft w:val="640"/>
          <w:marRight w:val="0"/>
          <w:marTop w:val="0"/>
          <w:marBottom w:val="0"/>
          <w:divBdr>
            <w:top w:val="none" w:sz="0" w:space="0" w:color="auto"/>
            <w:left w:val="none" w:sz="0" w:space="0" w:color="auto"/>
            <w:bottom w:val="none" w:sz="0" w:space="0" w:color="auto"/>
            <w:right w:val="none" w:sz="0" w:space="0" w:color="auto"/>
          </w:divBdr>
        </w:div>
        <w:div w:id="588464385">
          <w:marLeft w:val="640"/>
          <w:marRight w:val="0"/>
          <w:marTop w:val="0"/>
          <w:marBottom w:val="0"/>
          <w:divBdr>
            <w:top w:val="none" w:sz="0" w:space="0" w:color="auto"/>
            <w:left w:val="none" w:sz="0" w:space="0" w:color="auto"/>
            <w:bottom w:val="none" w:sz="0" w:space="0" w:color="auto"/>
            <w:right w:val="none" w:sz="0" w:space="0" w:color="auto"/>
          </w:divBdr>
        </w:div>
        <w:div w:id="840320003">
          <w:marLeft w:val="640"/>
          <w:marRight w:val="0"/>
          <w:marTop w:val="0"/>
          <w:marBottom w:val="0"/>
          <w:divBdr>
            <w:top w:val="none" w:sz="0" w:space="0" w:color="auto"/>
            <w:left w:val="none" w:sz="0" w:space="0" w:color="auto"/>
            <w:bottom w:val="none" w:sz="0" w:space="0" w:color="auto"/>
            <w:right w:val="none" w:sz="0" w:space="0" w:color="auto"/>
          </w:divBdr>
        </w:div>
        <w:div w:id="758453819">
          <w:marLeft w:val="640"/>
          <w:marRight w:val="0"/>
          <w:marTop w:val="0"/>
          <w:marBottom w:val="0"/>
          <w:divBdr>
            <w:top w:val="none" w:sz="0" w:space="0" w:color="auto"/>
            <w:left w:val="none" w:sz="0" w:space="0" w:color="auto"/>
            <w:bottom w:val="none" w:sz="0" w:space="0" w:color="auto"/>
            <w:right w:val="none" w:sz="0" w:space="0" w:color="auto"/>
          </w:divBdr>
        </w:div>
        <w:div w:id="541865912">
          <w:marLeft w:val="640"/>
          <w:marRight w:val="0"/>
          <w:marTop w:val="0"/>
          <w:marBottom w:val="0"/>
          <w:divBdr>
            <w:top w:val="none" w:sz="0" w:space="0" w:color="auto"/>
            <w:left w:val="none" w:sz="0" w:space="0" w:color="auto"/>
            <w:bottom w:val="none" w:sz="0" w:space="0" w:color="auto"/>
            <w:right w:val="none" w:sz="0" w:space="0" w:color="auto"/>
          </w:divBdr>
        </w:div>
        <w:div w:id="1814566147">
          <w:marLeft w:val="640"/>
          <w:marRight w:val="0"/>
          <w:marTop w:val="0"/>
          <w:marBottom w:val="0"/>
          <w:divBdr>
            <w:top w:val="none" w:sz="0" w:space="0" w:color="auto"/>
            <w:left w:val="none" w:sz="0" w:space="0" w:color="auto"/>
            <w:bottom w:val="none" w:sz="0" w:space="0" w:color="auto"/>
            <w:right w:val="none" w:sz="0" w:space="0" w:color="auto"/>
          </w:divBdr>
        </w:div>
        <w:div w:id="1870676052">
          <w:marLeft w:val="640"/>
          <w:marRight w:val="0"/>
          <w:marTop w:val="0"/>
          <w:marBottom w:val="0"/>
          <w:divBdr>
            <w:top w:val="none" w:sz="0" w:space="0" w:color="auto"/>
            <w:left w:val="none" w:sz="0" w:space="0" w:color="auto"/>
            <w:bottom w:val="none" w:sz="0" w:space="0" w:color="auto"/>
            <w:right w:val="none" w:sz="0" w:space="0" w:color="auto"/>
          </w:divBdr>
        </w:div>
        <w:div w:id="1225144188">
          <w:marLeft w:val="640"/>
          <w:marRight w:val="0"/>
          <w:marTop w:val="0"/>
          <w:marBottom w:val="0"/>
          <w:divBdr>
            <w:top w:val="none" w:sz="0" w:space="0" w:color="auto"/>
            <w:left w:val="none" w:sz="0" w:space="0" w:color="auto"/>
            <w:bottom w:val="none" w:sz="0" w:space="0" w:color="auto"/>
            <w:right w:val="none" w:sz="0" w:space="0" w:color="auto"/>
          </w:divBdr>
        </w:div>
        <w:div w:id="1968006814">
          <w:marLeft w:val="640"/>
          <w:marRight w:val="0"/>
          <w:marTop w:val="0"/>
          <w:marBottom w:val="0"/>
          <w:divBdr>
            <w:top w:val="none" w:sz="0" w:space="0" w:color="auto"/>
            <w:left w:val="none" w:sz="0" w:space="0" w:color="auto"/>
            <w:bottom w:val="none" w:sz="0" w:space="0" w:color="auto"/>
            <w:right w:val="none" w:sz="0" w:space="0" w:color="auto"/>
          </w:divBdr>
        </w:div>
        <w:div w:id="563754717">
          <w:marLeft w:val="640"/>
          <w:marRight w:val="0"/>
          <w:marTop w:val="0"/>
          <w:marBottom w:val="0"/>
          <w:divBdr>
            <w:top w:val="none" w:sz="0" w:space="0" w:color="auto"/>
            <w:left w:val="none" w:sz="0" w:space="0" w:color="auto"/>
            <w:bottom w:val="none" w:sz="0" w:space="0" w:color="auto"/>
            <w:right w:val="none" w:sz="0" w:space="0" w:color="auto"/>
          </w:divBdr>
        </w:div>
        <w:div w:id="747194131">
          <w:marLeft w:val="640"/>
          <w:marRight w:val="0"/>
          <w:marTop w:val="0"/>
          <w:marBottom w:val="0"/>
          <w:divBdr>
            <w:top w:val="none" w:sz="0" w:space="0" w:color="auto"/>
            <w:left w:val="none" w:sz="0" w:space="0" w:color="auto"/>
            <w:bottom w:val="none" w:sz="0" w:space="0" w:color="auto"/>
            <w:right w:val="none" w:sz="0" w:space="0" w:color="auto"/>
          </w:divBdr>
        </w:div>
        <w:div w:id="1985623292">
          <w:marLeft w:val="640"/>
          <w:marRight w:val="0"/>
          <w:marTop w:val="0"/>
          <w:marBottom w:val="0"/>
          <w:divBdr>
            <w:top w:val="none" w:sz="0" w:space="0" w:color="auto"/>
            <w:left w:val="none" w:sz="0" w:space="0" w:color="auto"/>
            <w:bottom w:val="none" w:sz="0" w:space="0" w:color="auto"/>
            <w:right w:val="none" w:sz="0" w:space="0" w:color="auto"/>
          </w:divBdr>
        </w:div>
        <w:div w:id="1108042274">
          <w:marLeft w:val="640"/>
          <w:marRight w:val="0"/>
          <w:marTop w:val="0"/>
          <w:marBottom w:val="0"/>
          <w:divBdr>
            <w:top w:val="none" w:sz="0" w:space="0" w:color="auto"/>
            <w:left w:val="none" w:sz="0" w:space="0" w:color="auto"/>
            <w:bottom w:val="none" w:sz="0" w:space="0" w:color="auto"/>
            <w:right w:val="none" w:sz="0" w:space="0" w:color="auto"/>
          </w:divBdr>
        </w:div>
        <w:div w:id="2059159643">
          <w:marLeft w:val="640"/>
          <w:marRight w:val="0"/>
          <w:marTop w:val="0"/>
          <w:marBottom w:val="0"/>
          <w:divBdr>
            <w:top w:val="none" w:sz="0" w:space="0" w:color="auto"/>
            <w:left w:val="none" w:sz="0" w:space="0" w:color="auto"/>
            <w:bottom w:val="none" w:sz="0" w:space="0" w:color="auto"/>
            <w:right w:val="none" w:sz="0" w:space="0" w:color="auto"/>
          </w:divBdr>
        </w:div>
        <w:div w:id="691494709">
          <w:marLeft w:val="640"/>
          <w:marRight w:val="0"/>
          <w:marTop w:val="0"/>
          <w:marBottom w:val="0"/>
          <w:divBdr>
            <w:top w:val="none" w:sz="0" w:space="0" w:color="auto"/>
            <w:left w:val="none" w:sz="0" w:space="0" w:color="auto"/>
            <w:bottom w:val="none" w:sz="0" w:space="0" w:color="auto"/>
            <w:right w:val="none" w:sz="0" w:space="0" w:color="auto"/>
          </w:divBdr>
        </w:div>
        <w:div w:id="1055466229">
          <w:marLeft w:val="640"/>
          <w:marRight w:val="0"/>
          <w:marTop w:val="0"/>
          <w:marBottom w:val="0"/>
          <w:divBdr>
            <w:top w:val="none" w:sz="0" w:space="0" w:color="auto"/>
            <w:left w:val="none" w:sz="0" w:space="0" w:color="auto"/>
            <w:bottom w:val="none" w:sz="0" w:space="0" w:color="auto"/>
            <w:right w:val="none" w:sz="0" w:space="0" w:color="auto"/>
          </w:divBdr>
        </w:div>
        <w:div w:id="389961485">
          <w:marLeft w:val="640"/>
          <w:marRight w:val="0"/>
          <w:marTop w:val="0"/>
          <w:marBottom w:val="0"/>
          <w:divBdr>
            <w:top w:val="none" w:sz="0" w:space="0" w:color="auto"/>
            <w:left w:val="none" w:sz="0" w:space="0" w:color="auto"/>
            <w:bottom w:val="none" w:sz="0" w:space="0" w:color="auto"/>
            <w:right w:val="none" w:sz="0" w:space="0" w:color="auto"/>
          </w:divBdr>
        </w:div>
        <w:div w:id="2018993479">
          <w:marLeft w:val="640"/>
          <w:marRight w:val="0"/>
          <w:marTop w:val="0"/>
          <w:marBottom w:val="0"/>
          <w:divBdr>
            <w:top w:val="none" w:sz="0" w:space="0" w:color="auto"/>
            <w:left w:val="none" w:sz="0" w:space="0" w:color="auto"/>
            <w:bottom w:val="none" w:sz="0" w:space="0" w:color="auto"/>
            <w:right w:val="none" w:sz="0" w:space="0" w:color="auto"/>
          </w:divBdr>
        </w:div>
        <w:div w:id="1320765914">
          <w:marLeft w:val="640"/>
          <w:marRight w:val="0"/>
          <w:marTop w:val="0"/>
          <w:marBottom w:val="0"/>
          <w:divBdr>
            <w:top w:val="none" w:sz="0" w:space="0" w:color="auto"/>
            <w:left w:val="none" w:sz="0" w:space="0" w:color="auto"/>
            <w:bottom w:val="none" w:sz="0" w:space="0" w:color="auto"/>
            <w:right w:val="none" w:sz="0" w:space="0" w:color="auto"/>
          </w:divBdr>
        </w:div>
        <w:div w:id="1109278495">
          <w:marLeft w:val="640"/>
          <w:marRight w:val="0"/>
          <w:marTop w:val="0"/>
          <w:marBottom w:val="0"/>
          <w:divBdr>
            <w:top w:val="none" w:sz="0" w:space="0" w:color="auto"/>
            <w:left w:val="none" w:sz="0" w:space="0" w:color="auto"/>
            <w:bottom w:val="none" w:sz="0" w:space="0" w:color="auto"/>
            <w:right w:val="none" w:sz="0" w:space="0" w:color="auto"/>
          </w:divBdr>
        </w:div>
        <w:div w:id="468398076">
          <w:marLeft w:val="640"/>
          <w:marRight w:val="0"/>
          <w:marTop w:val="0"/>
          <w:marBottom w:val="0"/>
          <w:divBdr>
            <w:top w:val="none" w:sz="0" w:space="0" w:color="auto"/>
            <w:left w:val="none" w:sz="0" w:space="0" w:color="auto"/>
            <w:bottom w:val="none" w:sz="0" w:space="0" w:color="auto"/>
            <w:right w:val="none" w:sz="0" w:space="0" w:color="auto"/>
          </w:divBdr>
        </w:div>
        <w:div w:id="807476306">
          <w:marLeft w:val="640"/>
          <w:marRight w:val="0"/>
          <w:marTop w:val="0"/>
          <w:marBottom w:val="0"/>
          <w:divBdr>
            <w:top w:val="none" w:sz="0" w:space="0" w:color="auto"/>
            <w:left w:val="none" w:sz="0" w:space="0" w:color="auto"/>
            <w:bottom w:val="none" w:sz="0" w:space="0" w:color="auto"/>
            <w:right w:val="none" w:sz="0" w:space="0" w:color="auto"/>
          </w:divBdr>
        </w:div>
        <w:div w:id="149948570">
          <w:marLeft w:val="640"/>
          <w:marRight w:val="0"/>
          <w:marTop w:val="0"/>
          <w:marBottom w:val="0"/>
          <w:divBdr>
            <w:top w:val="none" w:sz="0" w:space="0" w:color="auto"/>
            <w:left w:val="none" w:sz="0" w:space="0" w:color="auto"/>
            <w:bottom w:val="none" w:sz="0" w:space="0" w:color="auto"/>
            <w:right w:val="none" w:sz="0" w:space="0" w:color="auto"/>
          </w:divBdr>
        </w:div>
        <w:div w:id="884760559">
          <w:marLeft w:val="640"/>
          <w:marRight w:val="0"/>
          <w:marTop w:val="0"/>
          <w:marBottom w:val="0"/>
          <w:divBdr>
            <w:top w:val="none" w:sz="0" w:space="0" w:color="auto"/>
            <w:left w:val="none" w:sz="0" w:space="0" w:color="auto"/>
            <w:bottom w:val="none" w:sz="0" w:space="0" w:color="auto"/>
            <w:right w:val="none" w:sz="0" w:space="0" w:color="auto"/>
          </w:divBdr>
        </w:div>
        <w:div w:id="1048187262">
          <w:marLeft w:val="640"/>
          <w:marRight w:val="0"/>
          <w:marTop w:val="0"/>
          <w:marBottom w:val="0"/>
          <w:divBdr>
            <w:top w:val="none" w:sz="0" w:space="0" w:color="auto"/>
            <w:left w:val="none" w:sz="0" w:space="0" w:color="auto"/>
            <w:bottom w:val="none" w:sz="0" w:space="0" w:color="auto"/>
            <w:right w:val="none" w:sz="0" w:space="0" w:color="auto"/>
          </w:divBdr>
        </w:div>
        <w:div w:id="565145111">
          <w:marLeft w:val="640"/>
          <w:marRight w:val="0"/>
          <w:marTop w:val="0"/>
          <w:marBottom w:val="0"/>
          <w:divBdr>
            <w:top w:val="none" w:sz="0" w:space="0" w:color="auto"/>
            <w:left w:val="none" w:sz="0" w:space="0" w:color="auto"/>
            <w:bottom w:val="none" w:sz="0" w:space="0" w:color="auto"/>
            <w:right w:val="none" w:sz="0" w:space="0" w:color="auto"/>
          </w:divBdr>
        </w:div>
        <w:div w:id="1172180680">
          <w:marLeft w:val="640"/>
          <w:marRight w:val="0"/>
          <w:marTop w:val="0"/>
          <w:marBottom w:val="0"/>
          <w:divBdr>
            <w:top w:val="none" w:sz="0" w:space="0" w:color="auto"/>
            <w:left w:val="none" w:sz="0" w:space="0" w:color="auto"/>
            <w:bottom w:val="none" w:sz="0" w:space="0" w:color="auto"/>
            <w:right w:val="none" w:sz="0" w:space="0" w:color="auto"/>
          </w:divBdr>
        </w:div>
        <w:div w:id="1816217870">
          <w:marLeft w:val="640"/>
          <w:marRight w:val="0"/>
          <w:marTop w:val="0"/>
          <w:marBottom w:val="0"/>
          <w:divBdr>
            <w:top w:val="none" w:sz="0" w:space="0" w:color="auto"/>
            <w:left w:val="none" w:sz="0" w:space="0" w:color="auto"/>
            <w:bottom w:val="none" w:sz="0" w:space="0" w:color="auto"/>
            <w:right w:val="none" w:sz="0" w:space="0" w:color="auto"/>
          </w:divBdr>
        </w:div>
        <w:div w:id="763260461">
          <w:marLeft w:val="640"/>
          <w:marRight w:val="0"/>
          <w:marTop w:val="0"/>
          <w:marBottom w:val="0"/>
          <w:divBdr>
            <w:top w:val="none" w:sz="0" w:space="0" w:color="auto"/>
            <w:left w:val="none" w:sz="0" w:space="0" w:color="auto"/>
            <w:bottom w:val="none" w:sz="0" w:space="0" w:color="auto"/>
            <w:right w:val="none" w:sz="0" w:space="0" w:color="auto"/>
          </w:divBdr>
        </w:div>
        <w:div w:id="1365866383">
          <w:marLeft w:val="640"/>
          <w:marRight w:val="0"/>
          <w:marTop w:val="0"/>
          <w:marBottom w:val="0"/>
          <w:divBdr>
            <w:top w:val="none" w:sz="0" w:space="0" w:color="auto"/>
            <w:left w:val="none" w:sz="0" w:space="0" w:color="auto"/>
            <w:bottom w:val="none" w:sz="0" w:space="0" w:color="auto"/>
            <w:right w:val="none" w:sz="0" w:space="0" w:color="auto"/>
          </w:divBdr>
        </w:div>
        <w:div w:id="1877305184">
          <w:marLeft w:val="640"/>
          <w:marRight w:val="0"/>
          <w:marTop w:val="0"/>
          <w:marBottom w:val="0"/>
          <w:divBdr>
            <w:top w:val="none" w:sz="0" w:space="0" w:color="auto"/>
            <w:left w:val="none" w:sz="0" w:space="0" w:color="auto"/>
            <w:bottom w:val="none" w:sz="0" w:space="0" w:color="auto"/>
            <w:right w:val="none" w:sz="0" w:space="0" w:color="auto"/>
          </w:divBdr>
        </w:div>
        <w:div w:id="2005012976">
          <w:marLeft w:val="640"/>
          <w:marRight w:val="0"/>
          <w:marTop w:val="0"/>
          <w:marBottom w:val="0"/>
          <w:divBdr>
            <w:top w:val="none" w:sz="0" w:space="0" w:color="auto"/>
            <w:left w:val="none" w:sz="0" w:space="0" w:color="auto"/>
            <w:bottom w:val="none" w:sz="0" w:space="0" w:color="auto"/>
            <w:right w:val="none" w:sz="0" w:space="0" w:color="auto"/>
          </w:divBdr>
        </w:div>
        <w:div w:id="240870525">
          <w:marLeft w:val="640"/>
          <w:marRight w:val="0"/>
          <w:marTop w:val="0"/>
          <w:marBottom w:val="0"/>
          <w:divBdr>
            <w:top w:val="none" w:sz="0" w:space="0" w:color="auto"/>
            <w:left w:val="none" w:sz="0" w:space="0" w:color="auto"/>
            <w:bottom w:val="none" w:sz="0" w:space="0" w:color="auto"/>
            <w:right w:val="none" w:sz="0" w:space="0" w:color="auto"/>
          </w:divBdr>
        </w:div>
        <w:div w:id="1919055985">
          <w:marLeft w:val="640"/>
          <w:marRight w:val="0"/>
          <w:marTop w:val="0"/>
          <w:marBottom w:val="0"/>
          <w:divBdr>
            <w:top w:val="none" w:sz="0" w:space="0" w:color="auto"/>
            <w:left w:val="none" w:sz="0" w:space="0" w:color="auto"/>
            <w:bottom w:val="none" w:sz="0" w:space="0" w:color="auto"/>
            <w:right w:val="none" w:sz="0" w:space="0" w:color="auto"/>
          </w:divBdr>
        </w:div>
        <w:div w:id="1150634104">
          <w:marLeft w:val="640"/>
          <w:marRight w:val="0"/>
          <w:marTop w:val="0"/>
          <w:marBottom w:val="0"/>
          <w:divBdr>
            <w:top w:val="none" w:sz="0" w:space="0" w:color="auto"/>
            <w:left w:val="none" w:sz="0" w:space="0" w:color="auto"/>
            <w:bottom w:val="none" w:sz="0" w:space="0" w:color="auto"/>
            <w:right w:val="none" w:sz="0" w:space="0" w:color="auto"/>
          </w:divBdr>
        </w:div>
        <w:div w:id="1411655342">
          <w:marLeft w:val="640"/>
          <w:marRight w:val="0"/>
          <w:marTop w:val="0"/>
          <w:marBottom w:val="0"/>
          <w:divBdr>
            <w:top w:val="none" w:sz="0" w:space="0" w:color="auto"/>
            <w:left w:val="none" w:sz="0" w:space="0" w:color="auto"/>
            <w:bottom w:val="none" w:sz="0" w:space="0" w:color="auto"/>
            <w:right w:val="none" w:sz="0" w:space="0" w:color="auto"/>
          </w:divBdr>
        </w:div>
        <w:div w:id="1058700385">
          <w:marLeft w:val="640"/>
          <w:marRight w:val="0"/>
          <w:marTop w:val="0"/>
          <w:marBottom w:val="0"/>
          <w:divBdr>
            <w:top w:val="none" w:sz="0" w:space="0" w:color="auto"/>
            <w:left w:val="none" w:sz="0" w:space="0" w:color="auto"/>
            <w:bottom w:val="none" w:sz="0" w:space="0" w:color="auto"/>
            <w:right w:val="none" w:sz="0" w:space="0" w:color="auto"/>
          </w:divBdr>
        </w:div>
        <w:div w:id="1815486457">
          <w:marLeft w:val="640"/>
          <w:marRight w:val="0"/>
          <w:marTop w:val="0"/>
          <w:marBottom w:val="0"/>
          <w:divBdr>
            <w:top w:val="none" w:sz="0" w:space="0" w:color="auto"/>
            <w:left w:val="none" w:sz="0" w:space="0" w:color="auto"/>
            <w:bottom w:val="none" w:sz="0" w:space="0" w:color="auto"/>
            <w:right w:val="none" w:sz="0" w:space="0" w:color="auto"/>
          </w:divBdr>
        </w:div>
        <w:div w:id="1573927332">
          <w:marLeft w:val="640"/>
          <w:marRight w:val="0"/>
          <w:marTop w:val="0"/>
          <w:marBottom w:val="0"/>
          <w:divBdr>
            <w:top w:val="none" w:sz="0" w:space="0" w:color="auto"/>
            <w:left w:val="none" w:sz="0" w:space="0" w:color="auto"/>
            <w:bottom w:val="none" w:sz="0" w:space="0" w:color="auto"/>
            <w:right w:val="none" w:sz="0" w:space="0" w:color="auto"/>
          </w:divBdr>
        </w:div>
        <w:div w:id="1289319464">
          <w:marLeft w:val="640"/>
          <w:marRight w:val="0"/>
          <w:marTop w:val="0"/>
          <w:marBottom w:val="0"/>
          <w:divBdr>
            <w:top w:val="none" w:sz="0" w:space="0" w:color="auto"/>
            <w:left w:val="none" w:sz="0" w:space="0" w:color="auto"/>
            <w:bottom w:val="none" w:sz="0" w:space="0" w:color="auto"/>
            <w:right w:val="none" w:sz="0" w:space="0" w:color="auto"/>
          </w:divBdr>
        </w:div>
        <w:div w:id="1360466734">
          <w:marLeft w:val="640"/>
          <w:marRight w:val="0"/>
          <w:marTop w:val="0"/>
          <w:marBottom w:val="0"/>
          <w:divBdr>
            <w:top w:val="none" w:sz="0" w:space="0" w:color="auto"/>
            <w:left w:val="none" w:sz="0" w:space="0" w:color="auto"/>
            <w:bottom w:val="none" w:sz="0" w:space="0" w:color="auto"/>
            <w:right w:val="none" w:sz="0" w:space="0" w:color="auto"/>
          </w:divBdr>
        </w:div>
        <w:div w:id="982126350">
          <w:marLeft w:val="640"/>
          <w:marRight w:val="0"/>
          <w:marTop w:val="0"/>
          <w:marBottom w:val="0"/>
          <w:divBdr>
            <w:top w:val="none" w:sz="0" w:space="0" w:color="auto"/>
            <w:left w:val="none" w:sz="0" w:space="0" w:color="auto"/>
            <w:bottom w:val="none" w:sz="0" w:space="0" w:color="auto"/>
            <w:right w:val="none" w:sz="0" w:space="0" w:color="auto"/>
          </w:divBdr>
        </w:div>
        <w:div w:id="1918008897">
          <w:marLeft w:val="640"/>
          <w:marRight w:val="0"/>
          <w:marTop w:val="0"/>
          <w:marBottom w:val="0"/>
          <w:divBdr>
            <w:top w:val="none" w:sz="0" w:space="0" w:color="auto"/>
            <w:left w:val="none" w:sz="0" w:space="0" w:color="auto"/>
            <w:bottom w:val="none" w:sz="0" w:space="0" w:color="auto"/>
            <w:right w:val="none" w:sz="0" w:space="0" w:color="auto"/>
          </w:divBdr>
        </w:div>
        <w:div w:id="1182015351">
          <w:marLeft w:val="640"/>
          <w:marRight w:val="0"/>
          <w:marTop w:val="0"/>
          <w:marBottom w:val="0"/>
          <w:divBdr>
            <w:top w:val="none" w:sz="0" w:space="0" w:color="auto"/>
            <w:left w:val="none" w:sz="0" w:space="0" w:color="auto"/>
            <w:bottom w:val="none" w:sz="0" w:space="0" w:color="auto"/>
            <w:right w:val="none" w:sz="0" w:space="0" w:color="auto"/>
          </w:divBdr>
        </w:div>
        <w:div w:id="463349477">
          <w:marLeft w:val="640"/>
          <w:marRight w:val="0"/>
          <w:marTop w:val="0"/>
          <w:marBottom w:val="0"/>
          <w:divBdr>
            <w:top w:val="none" w:sz="0" w:space="0" w:color="auto"/>
            <w:left w:val="none" w:sz="0" w:space="0" w:color="auto"/>
            <w:bottom w:val="none" w:sz="0" w:space="0" w:color="auto"/>
            <w:right w:val="none" w:sz="0" w:space="0" w:color="auto"/>
          </w:divBdr>
        </w:div>
        <w:div w:id="800422814">
          <w:marLeft w:val="640"/>
          <w:marRight w:val="0"/>
          <w:marTop w:val="0"/>
          <w:marBottom w:val="0"/>
          <w:divBdr>
            <w:top w:val="none" w:sz="0" w:space="0" w:color="auto"/>
            <w:left w:val="none" w:sz="0" w:space="0" w:color="auto"/>
            <w:bottom w:val="none" w:sz="0" w:space="0" w:color="auto"/>
            <w:right w:val="none" w:sz="0" w:space="0" w:color="auto"/>
          </w:divBdr>
        </w:div>
        <w:div w:id="674575980">
          <w:marLeft w:val="640"/>
          <w:marRight w:val="0"/>
          <w:marTop w:val="0"/>
          <w:marBottom w:val="0"/>
          <w:divBdr>
            <w:top w:val="none" w:sz="0" w:space="0" w:color="auto"/>
            <w:left w:val="none" w:sz="0" w:space="0" w:color="auto"/>
            <w:bottom w:val="none" w:sz="0" w:space="0" w:color="auto"/>
            <w:right w:val="none" w:sz="0" w:space="0" w:color="auto"/>
          </w:divBdr>
        </w:div>
        <w:div w:id="1891379048">
          <w:marLeft w:val="640"/>
          <w:marRight w:val="0"/>
          <w:marTop w:val="0"/>
          <w:marBottom w:val="0"/>
          <w:divBdr>
            <w:top w:val="none" w:sz="0" w:space="0" w:color="auto"/>
            <w:left w:val="none" w:sz="0" w:space="0" w:color="auto"/>
            <w:bottom w:val="none" w:sz="0" w:space="0" w:color="auto"/>
            <w:right w:val="none" w:sz="0" w:space="0" w:color="auto"/>
          </w:divBdr>
        </w:div>
        <w:div w:id="279534726">
          <w:marLeft w:val="640"/>
          <w:marRight w:val="0"/>
          <w:marTop w:val="0"/>
          <w:marBottom w:val="0"/>
          <w:divBdr>
            <w:top w:val="none" w:sz="0" w:space="0" w:color="auto"/>
            <w:left w:val="none" w:sz="0" w:space="0" w:color="auto"/>
            <w:bottom w:val="none" w:sz="0" w:space="0" w:color="auto"/>
            <w:right w:val="none" w:sz="0" w:space="0" w:color="auto"/>
          </w:divBdr>
        </w:div>
        <w:div w:id="1056859008">
          <w:marLeft w:val="640"/>
          <w:marRight w:val="0"/>
          <w:marTop w:val="0"/>
          <w:marBottom w:val="0"/>
          <w:divBdr>
            <w:top w:val="none" w:sz="0" w:space="0" w:color="auto"/>
            <w:left w:val="none" w:sz="0" w:space="0" w:color="auto"/>
            <w:bottom w:val="none" w:sz="0" w:space="0" w:color="auto"/>
            <w:right w:val="none" w:sz="0" w:space="0" w:color="auto"/>
          </w:divBdr>
        </w:div>
        <w:div w:id="1463116918">
          <w:marLeft w:val="640"/>
          <w:marRight w:val="0"/>
          <w:marTop w:val="0"/>
          <w:marBottom w:val="0"/>
          <w:divBdr>
            <w:top w:val="none" w:sz="0" w:space="0" w:color="auto"/>
            <w:left w:val="none" w:sz="0" w:space="0" w:color="auto"/>
            <w:bottom w:val="none" w:sz="0" w:space="0" w:color="auto"/>
            <w:right w:val="none" w:sz="0" w:space="0" w:color="auto"/>
          </w:divBdr>
        </w:div>
        <w:div w:id="1035623115">
          <w:marLeft w:val="640"/>
          <w:marRight w:val="0"/>
          <w:marTop w:val="0"/>
          <w:marBottom w:val="0"/>
          <w:divBdr>
            <w:top w:val="none" w:sz="0" w:space="0" w:color="auto"/>
            <w:left w:val="none" w:sz="0" w:space="0" w:color="auto"/>
            <w:bottom w:val="none" w:sz="0" w:space="0" w:color="auto"/>
            <w:right w:val="none" w:sz="0" w:space="0" w:color="auto"/>
          </w:divBdr>
        </w:div>
        <w:div w:id="459809688">
          <w:marLeft w:val="640"/>
          <w:marRight w:val="0"/>
          <w:marTop w:val="0"/>
          <w:marBottom w:val="0"/>
          <w:divBdr>
            <w:top w:val="none" w:sz="0" w:space="0" w:color="auto"/>
            <w:left w:val="none" w:sz="0" w:space="0" w:color="auto"/>
            <w:bottom w:val="none" w:sz="0" w:space="0" w:color="auto"/>
            <w:right w:val="none" w:sz="0" w:space="0" w:color="auto"/>
          </w:divBdr>
        </w:div>
        <w:div w:id="1176461441">
          <w:marLeft w:val="640"/>
          <w:marRight w:val="0"/>
          <w:marTop w:val="0"/>
          <w:marBottom w:val="0"/>
          <w:divBdr>
            <w:top w:val="none" w:sz="0" w:space="0" w:color="auto"/>
            <w:left w:val="none" w:sz="0" w:space="0" w:color="auto"/>
            <w:bottom w:val="none" w:sz="0" w:space="0" w:color="auto"/>
            <w:right w:val="none" w:sz="0" w:space="0" w:color="auto"/>
          </w:divBdr>
        </w:div>
        <w:div w:id="1183319873">
          <w:marLeft w:val="640"/>
          <w:marRight w:val="0"/>
          <w:marTop w:val="0"/>
          <w:marBottom w:val="0"/>
          <w:divBdr>
            <w:top w:val="none" w:sz="0" w:space="0" w:color="auto"/>
            <w:left w:val="none" w:sz="0" w:space="0" w:color="auto"/>
            <w:bottom w:val="none" w:sz="0" w:space="0" w:color="auto"/>
            <w:right w:val="none" w:sz="0" w:space="0" w:color="auto"/>
          </w:divBdr>
        </w:div>
        <w:div w:id="1519925961">
          <w:marLeft w:val="640"/>
          <w:marRight w:val="0"/>
          <w:marTop w:val="0"/>
          <w:marBottom w:val="0"/>
          <w:divBdr>
            <w:top w:val="none" w:sz="0" w:space="0" w:color="auto"/>
            <w:left w:val="none" w:sz="0" w:space="0" w:color="auto"/>
            <w:bottom w:val="none" w:sz="0" w:space="0" w:color="auto"/>
            <w:right w:val="none" w:sz="0" w:space="0" w:color="auto"/>
          </w:divBdr>
        </w:div>
        <w:div w:id="1574002228">
          <w:marLeft w:val="640"/>
          <w:marRight w:val="0"/>
          <w:marTop w:val="0"/>
          <w:marBottom w:val="0"/>
          <w:divBdr>
            <w:top w:val="none" w:sz="0" w:space="0" w:color="auto"/>
            <w:left w:val="none" w:sz="0" w:space="0" w:color="auto"/>
            <w:bottom w:val="none" w:sz="0" w:space="0" w:color="auto"/>
            <w:right w:val="none" w:sz="0" w:space="0" w:color="auto"/>
          </w:divBdr>
        </w:div>
        <w:div w:id="1991593932">
          <w:marLeft w:val="640"/>
          <w:marRight w:val="0"/>
          <w:marTop w:val="0"/>
          <w:marBottom w:val="0"/>
          <w:divBdr>
            <w:top w:val="none" w:sz="0" w:space="0" w:color="auto"/>
            <w:left w:val="none" w:sz="0" w:space="0" w:color="auto"/>
            <w:bottom w:val="none" w:sz="0" w:space="0" w:color="auto"/>
            <w:right w:val="none" w:sz="0" w:space="0" w:color="auto"/>
          </w:divBdr>
        </w:div>
        <w:div w:id="253634292">
          <w:marLeft w:val="640"/>
          <w:marRight w:val="0"/>
          <w:marTop w:val="0"/>
          <w:marBottom w:val="0"/>
          <w:divBdr>
            <w:top w:val="none" w:sz="0" w:space="0" w:color="auto"/>
            <w:left w:val="none" w:sz="0" w:space="0" w:color="auto"/>
            <w:bottom w:val="none" w:sz="0" w:space="0" w:color="auto"/>
            <w:right w:val="none" w:sz="0" w:space="0" w:color="auto"/>
          </w:divBdr>
        </w:div>
        <w:div w:id="491720970">
          <w:marLeft w:val="640"/>
          <w:marRight w:val="0"/>
          <w:marTop w:val="0"/>
          <w:marBottom w:val="0"/>
          <w:divBdr>
            <w:top w:val="none" w:sz="0" w:space="0" w:color="auto"/>
            <w:left w:val="none" w:sz="0" w:space="0" w:color="auto"/>
            <w:bottom w:val="none" w:sz="0" w:space="0" w:color="auto"/>
            <w:right w:val="none" w:sz="0" w:space="0" w:color="auto"/>
          </w:divBdr>
        </w:div>
        <w:div w:id="434134322">
          <w:marLeft w:val="640"/>
          <w:marRight w:val="0"/>
          <w:marTop w:val="0"/>
          <w:marBottom w:val="0"/>
          <w:divBdr>
            <w:top w:val="none" w:sz="0" w:space="0" w:color="auto"/>
            <w:left w:val="none" w:sz="0" w:space="0" w:color="auto"/>
            <w:bottom w:val="none" w:sz="0" w:space="0" w:color="auto"/>
            <w:right w:val="none" w:sz="0" w:space="0" w:color="auto"/>
          </w:divBdr>
        </w:div>
      </w:divsChild>
    </w:div>
    <w:div w:id="483547971">
      <w:bodyDiv w:val="1"/>
      <w:marLeft w:val="0"/>
      <w:marRight w:val="0"/>
      <w:marTop w:val="0"/>
      <w:marBottom w:val="0"/>
      <w:divBdr>
        <w:top w:val="none" w:sz="0" w:space="0" w:color="auto"/>
        <w:left w:val="none" w:sz="0" w:space="0" w:color="auto"/>
        <w:bottom w:val="none" w:sz="0" w:space="0" w:color="auto"/>
        <w:right w:val="none" w:sz="0" w:space="0" w:color="auto"/>
      </w:divBdr>
      <w:divsChild>
        <w:div w:id="554316099">
          <w:marLeft w:val="640"/>
          <w:marRight w:val="0"/>
          <w:marTop w:val="0"/>
          <w:marBottom w:val="0"/>
          <w:divBdr>
            <w:top w:val="none" w:sz="0" w:space="0" w:color="auto"/>
            <w:left w:val="none" w:sz="0" w:space="0" w:color="auto"/>
            <w:bottom w:val="none" w:sz="0" w:space="0" w:color="auto"/>
            <w:right w:val="none" w:sz="0" w:space="0" w:color="auto"/>
          </w:divBdr>
        </w:div>
        <w:div w:id="520360579">
          <w:marLeft w:val="640"/>
          <w:marRight w:val="0"/>
          <w:marTop w:val="0"/>
          <w:marBottom w:val="0"/>
          <w:divBdr>
            <w:top w:val="none" w:sz="0" w:space="0" w:color="auto"/>
            <w:left w:val="none" w:sz="0" w:space="0" w:color="auto"/>
            <w:bottom w:val="none" w:sz="0" w:space="0" w:color="auto"/>
            <w:right w:val="none" w:sz="0" w:space="0" w:color="auto"/>
          </w:divBdr>
        </w:div>
        <w:div w:id="1226600448">
          <w:marLeft w:val="640"/>
          <w:marRight w:val="0"/>
          <w:marTop w:val="0"/>
          <w:marBottom w:val="0"/>
          <w:divBdr>
            <w:top w:val="none" w:sz="0" w:space="0" w:color="auto"/>
            <w:left w:val="none" w:sz="0" w:space="0" w:color="auto"/>
            <w:bottom w:val="none" w:sz="0" w:space="0" w:color="auto"/>
            <w:right w:val="none" w:sz="0" w:space="0" w:color="auto"/>
          </w:divBdr>
        </w:div>
        <w:div w:id="1386563410">
          <w:marLeft w:val="640"/>
          <w:marRight w:val="0"/>
          <w:marTop w:val="0"/>
          <w:marBottom w:val="0"/>
          <w:divBdr>
            <w:top w:val="none" w:sz="0" w:space="0" w:color="auto"/>
            <w:left w:val="none" w:sz="0" w:space="0" w:color="auto"/>
            <w:bottom w:val="none" w:sz="0" w:space="0" w:color="auto"/>
            <w:right w:val="none" w:sz="0" w:space="0" w:color="auto"/>
          </w:divBdr>
        </w:div>
        <w:div w:id="2073381086">
          <w:marLeft w:val="640"/>
          <w:marRight w:val="0"/>
          <w:marTop w:val="0"/>
          <w:marBottom w:val="0"/>
          <w:divBdr>
            <w:top w:val="none" w:sz="0" w:space="0" w:color="auto"/>
            <w:left w:val="none" w:sz="0" w:space="0" w:color="auto"/>
            <w:bottom w:val="none" w:sz="0" w:space="0" w:color="auto"/>
            <w:right w:val="none" w:sz="0" w:space="0" w:color="auto"/>
          </w:divBdr>
        </w:div>
        <w:div w:id="2066026497">
          <w:marLeft w:val="640"/>
          <w:marRight w:val="0"/>
          <w:marTop w:val="0"/>
          <w:marBottom w:val="0"/>
          <w:divBdr>
            <w:top w:val="none" w:sz="0" w:space="0" w:color="auto"/>
            <w:left w:val="none" w:sz="0" w:space="0" w:color="auto"/>
            <w:bottom w:val="none" w:sz="0" w:space="0" w:color="auto"/>
            <w:right w:val="none" w:sz="0" w:space="0" w:color="auto"/>
          </w:divBdr>
        </w:div>
        <w:div w:id="2120252767">
          <w:marLeft w:val="640"/>
          <w:marRight w:val="0"/>
          <w:marTop w:val="0"/>
          <w:marBottom w:val="0"/>
          <w:divBdr>
            <w:top w:val="none" w:sz="0" w:space="0" w:color="auto"/>
            <w:left w:val="none" w:sz="0" w:space="0" w:color="auto"/>
            <w:bottom w:val="none" w:sz="0" w:space="0" w:color="auto"/>
            <w:right w:val="none" w:sz="0" w:space="0" w:color="auto"/>
          </w:divBdr>
        </w:div>
        <w:div w:id="2090999426">
          <w:marLeft w:val="640"/>
          <w:marRight w:val="0"/>
          <w:marTop w:val="0"/>
          <w:marBottom w:val="0"/>
          <w:divBdr>
            <w:top w:val="none" w:sz="0" w:space="0" w:color="auto"/>
            <w:left w:val="none" w:sz="0" w:space="0" w:color="auto"/>
            <w:bottom w:val="none" w:sz="0" w:space="0" w:color="auto"/>
            <w:right w:val="none" w:sz="0" w:space="0" w:color="auto"/>
          </w:divBdr>
        </w:div>
        <w:div w:id="120269662">
          <w:marLeft w:val="640"/>
          <w:marRight w:val="0"/>
          <w:marTop w:val="0"/>
          <w:marBottom w:val="0"/>
          <w:divBdr>
            <w:top w:val="none" w:sz="0" w:space="0" w:color="auto"/>
            <w:left w:val="none" w:sz="0" w:space="0" w:color="auto"/>
            <w:bottom w:val="none" w:sz="0" w:space="0" w:color="auto"/>
            <w:right w:val="none" w:sz="0" w:space="0" w:color="auto"/>
          </w:divBdr>
        </w:div>
        <w:div w:id="1702395395">
          <w:marLeft w:val="640"/>
          <w:marRight w:val="0"/>
          <w:marTop w:val="0"/>
          <w:marBottom w:val="0"/>
          <w:divBdr>
            <w:top w:val="none" w:sz="0" w:space="0" w:color="auto"/>
            <w:left w:val="none" w:sz="0" w:space="0" w:color="auto"/>
            <w:bottom w:val="none" w:sz="0" w:space="0" w:color="auto"/>
            <w:right w:val="none" w:sz="0" w:space="0" w:color="auto"/>
          </w:divBdr>
        </w:div>
        <w:div w:id="1728215058">
          <w:marLeft w:val="640"/>
          <w:marRight w:val="0"/>
          <w:marTop w:val="0"/>
          <w:marBottom w:val="0"/>
          <w:divBdr>
            <w:top w:val="none" w:sz="0" w:space="0" w:color="auto"/>
            <w:left w:val="none" w:sz="0" w:space="0" w:color="auto"/>
            <w:bottom w:val="none" w:sz="0" w:space="0" w:color="auto"/>
            <w:right w:val="none" w:sz="0" w:space="0" w:color="auto"/>
          </w:divBdr>
        </w:div>
        <w:div w:id="797602058">
          <w:marLeft w:val="640"/>
          <w:marRight w:val="0"/>
          <w:marTop w:val="0"/>
          <w:marBottom w:val="0"/>
          <w:divBdr>
            <w:top w:val="none" w:sz="0" w:space="0" w:color="auto"/>
            <w:left w:val="none" w:sz="0" w:space="0" w:color="auto"/>
            <w:bottom w:val="none" w:sz="0" w:space="0" w:color="auto"/>
            <w:right w:val="none" w:sz="0" w:space="0" w:color="auto"/>
          </w:divBdr>
        </w:div>
        <w:div w:id="908923592">
          <w:marLeft w:val="640"/>
          <w:marRight w:val="0"/>
          <w:marTop w:val="0"/>
          <w:marBottom w:val="0"/>
          <w:divBdr>
            <w:top w:val="none" w:sz="0" w:space="0" w:color="auto"/>
            <w:left w:val="none" w:sz="0" w:space="0" w:color="auto"/>
            <w:bottom w:val="none" w:sz="0" w:space="0" w:color="auto"/>
            <w:right w:val="none" w:sz="0" w:space="0" w:color="auto"/>
          </w:divBdr>
        </w:div>
        <w:div w:id="1551919730">
          <w:marLeft w:val="640"/>
          <w:marRight w:val="0"/>
          <w:marTop w:val="0"/>
          <w:marBottom w:val="0"/>
          <w:divBdr>
            <w:top w:val="none" w:sz="0" w:space="0" w:color="auto"/>
            <w:left w:val="none" w:sz="0" w:space="0" w:color="auto"/>
            <w:bottom w:val="none" w:sz="0" w:space="0" w:color="auto"/>
            <w:right w:val="none" w:sz="0" w:space="0" w:color="auto"/>
          </w:divBdr>
        </w:div>
        <w:div w:id="372926922">
          <w:marLeft w:val="640"/>
          <w:marRight w:val="0"/>
          <w:marTop w:val="0"/>
          <w:marBottom w:val="0"/>
          <w:divBdr>
            <w:top w:val="none" w:sz="0" w:space="0" w:color="auto"/>
            <w:left w:val="none" w:sz="0" w:space="0" w:color="auto"/>
            <w:bottom w:val="none" w:sz="0" w:space="0" w:color="auto"/>
            <w:right w:val="none" w:sz="0" w:space="0" w:color="auto"/>
          </w:divBdr>
        </w:div>
        <w:div w:id="421728300">
          <w:marLeft w:val="640"/>
          <w:marRight w:val="0"/>
          <w:marTop w:val="0"/>
          <w:marBottom w:val="0"/>
          <w:divBdr>
            <w:top w:val="none" w:sz="0" w:space="0" w:color="auto"/>
            <w:left w:val="none" w:sz="0" w:space="0" w:color="auto"/>
            <w:bottom w:val="none" w:sz="0" w:space="0" w:color="auto"/>
            <w:right w:val="none" w:sz="0" w:space="0" w:color="auto"/>
          </w:divBdr>
        </w:div>
        <w:div w:id="284510911">
          <w:marLeft w:val="640"/>
          <w:marRight w:val="0"/>
          <w:marTop w:val="0"/>
          <w:marBottom w:val="0"/>
          <w:divBdr>
            <w:top w:val="none" w:sz="0" w:space="0" w:color="auto"/>
            <w:left w:val="none" w:sz="0" w:space="0" w:color="auto"/>
            <w:bottom w:val="none" w:sz="0" w:space="0" w:color="auto"/>
            <w:right w:val="none" w:sz="0" w:space="0" w:color="auto"/>
          </w:divBdr>
        </w:div>
        <w:div w:id="1486630969">
          <w:marLeft w:val="640"/>
          <w:marRight w:val="0"/>
          <w:marTop w:val="0"/>
          <w:marBottom w:val="0"/>
          <w:divBdr>
            <w:top w:val="none" w:sz="0" w:space="0" w:color="auto"/>
            <w:left w:val="none" w:sz="0" w:space="0" w:color="auto"/>
            <w:bottom w:val="none" w:sz="0" w:space="0" w:color="auto"/>
            <w:right w:val="none" w:sz="0" w:space="0" w:color="auto"/>
          </w:divBdr>
        </w:div>
        <w:div w:id="238904261">
          <w:marLeft w:val="640"/>
          <w:marRight w:val="0"/>
          <w:marTop w:val="0"/>
          <w:marBottom w:val="0"/>
          <w:divBdr>
            <w:top w:val="none" w:sz="0" w:space="0" w:color="auto"/>
            <w:left w:val="none" w:sz="0" w:space="0" w:color="auto"/>
            <w:bottom w:val="none" w:sz="0" w:space="0" w:color="auto"/>
            <w:right w:val="none" w:sz="0" w:space="0" w:color="auto"/>
          </w:divBdr>
        </w:div>
        <w:div w:id="1949199023">
          <w:marLeft w:val="640"/>
          <w:marRight w:val="0"/>
          <w:marTop w:val="0"/>
          <w:marBottom w:val="0"/>
          <w:divBdr>
            <w:top w:val="none" w:sz="0" w:space="0" w:color="auto"/>
            <w:left w:val="none" w:sz="0" w:space="0" w:color="auto"/>
            <w:bottom w:val="none" w:sz="0" w:space="0" w:color="auto"/>
            <w:right w:val="none" w:sz="0" w:space="0" w:color="auto"/>
          </w:divBdr>
        </w:div>
        <w:div w:id="1977221413">
          <w:marLeft w:val="640"/>
          <w:marRight w:val="0"/>
          <w:marTop w:val="0"/>
          <w:marBottom w:val="0"/>
          <w:divBdr>
            <w:top w:val="none" w:sz="0" w:space="0" w:color="auto"/>
            <w:left w:val="none" w:sz="0" w:space="0" w:color="auto"/>
            <w:bottom w:val="none" w:sz="0" w:space="0" w:color="auto"/>
            <w:right w:val="none" w:sz="0" w:space="0" w:color="auto"/>
          </w:divBdr>
        </w:div>
        <w:div w:id="826826200">
          <w:marLeft w:val="640"/>
          <w:marRight w:val="0"/>
          <w:marTop w:val="0"/>
          <w:marBottom w:val="0"/>
          <w:divBdr>
            <w:top w:val="none" w:sz="0" w:space="0" w:color="auto"/>
            <w:left w:val="none" w:sz="0" w:space="0" w:color="auto"/>
            <w:bottom w:val="none" w:sz="0" w:space="0" w:color="auto"/>
            <w:right w:val="none" w:sz="0" w:space="0" w:color="auto"/>
          </w:divBdr>
        </w:div>
        <w:div w:id="1461537004">
          <w:marLeft w:val="640"/>
          <w:marRight w:val="0"/>
          <w:marTop w:val="0"/>
          <w:marBottom w:val="0"/>
          <w:divBdr>
            <w:top w:val="none" w:sz="0" w:space="0" w:color="auto"/>
            <w:left w:val="none" w:sz="0" w:space="0" w:color="auto"/>
            <w:bottom w:val="none" w:sz="0" w:space="0" w:color="auto"/>
            <w:right w:val="none" w:sz="0" w:space="0" w:color="auto"/>
          </w:divBdr>
        </w:div>
        <w:div w:id="1704086479">
          <w:marLeft w:val="640"/>
          <w:marRight w:val="0"/>
          <w:marTop w:val="0"/>
          <w:marBottom w:val="0"/>
          <w:divBdr>
            <w:top w:val="none" w:sz="0" w:space="0" w:color="auto"/>
            <w:left w:val="none" w:sz="0" w:space="0" w:color="auto"/>
            <w:bottom w:val="none" w:sz="0" w:space="0" w:color="auto"/>
            <w:right w:val="none" w:sz="0" w:space="0" w:color="auto"/>
          </w:divBdr>
        </w:div>
        <w:div w:id="1709180872">
          <w:marLeft w:val="640"/>
          <w:marRight w:val="0"/>
          <w:marTop w:val="0"/>
          <w:marBottom w:val="0"/>
          <w:divBdr>
            <w:top w:val="none" w:sz="0" w:space="0" w:color="auto"/>
            <w:left w:val="none" w:sz="0" w:space="0" w:color="auto"/>
            <w:bottom w:val="none" w:sz="0" w:space="0" w:color="auto"/>
            <w:right w:val="none" w:sz="0" w:space="0" w:color="auto"/>
          </w:divBdr>
        </w:div>
        <w:div w:id="584270015">
          <w:marLeft w:val="640"/>
          <w:marRight w:val="0"/>
          <w:marTop w:val="0"/>
          <w:marBottom w:val="0"/>
          <w:divBdr>
            <w:top w:val="none" w:sz="0" w:space="0" w:color="auto"/>
            <w:left w:val="none" w:sz="0" w:space="0" w:color="auto"/>
            <w:bottom w:val="none" w:sz="0" w:space="0" w:color="auto"/>
            <w:right w:val="none" w:sz="0" w:space="0" w:color="auto"/>
          </w:divBdr>
        </w:div>
        <w:div w:id="662854594">
          <w:marLeft w:val="640"/>
          <w:marRight w:val="0"/>
          <w:marTop w:val="0"/>
          <w:marBottom w:val="0"/>
          <w:divBdr>
            <w:top w:val="none" w:sz="0" w:space="0" w:color="auto"/>
            <w:left w:val="none" w:sz="0" w:space="0" w:color="auto"/>
            <w:bottom w:val="none" w:sz="0" w:space="0" w:color="auto"/>
            <w:right w:val="none" w:sz="0" w:space="0" w:color="auto"/>
          </w:divBdr>
        </w:div>
        <w:div w:id="1513182713">
          <w:marLeft w:val="640"/>
          <w:marRight w:val="0"/>
          <w:marTop w:val="0"/>
          <w:marBottom w:val="0"/>
          <w:divBdr>
            <w:top w:val="none" w:sz="0" w:space="0" w:color="auto"/>
            <w:left w:val="none" w:sz="0" w:space="0" w:color="auto"/>
            <w:bottom w:val="none" w:sz="0" w:space="0" w:color="auto"/>
            <w:right w:val="none" w:sz="0" w:space="0" w:color="auto"/>
          </w:divBdr>
        </w:div>
        <w:div w:id="614409908">
          <w:marLeft w:val="640"/>
          <w:marRight w:val="0"/>
          <w:marTop w:val="0"/>
          <w:marBottom w:val="0"/>
          <w:divBdr>
            <w:top w:val="none" w:sz="0" w:space="0" w:color="auto"/>
            <w:left w:val="none" w:sz="0" w:space="0" w:color="auto"/>
            <w:bottom w:val="none" w:sz="0" w:space="0" w:color="auto"/>
            <w:right w:val="none" w:sz="0" w:space="0" w:color="auto"/>
          </w:divBdr>
        </w:div>
        <w:div w:id="1383822852">
          <w:marLeft w:val="640"/>
          <w:marRight w:val="0"/>
          <w:marTop w:val="0"/>
          <w:marBottom w:val="0"/>
          <w:divBdr>
            <w:top w:val="none" w:sz="0" w:space="0" w:color="auto"/>
            <w:left w:val="none" w:sz="0" w:space="0" w:color="auto"/>
            <w:bottom w:val="none" w:sz="0" w:space="0" w:color="auto"/>
            <w:right w:val="none" w:sz="0" w:space="0" w:color="auto"/>
          </w:divBdr>
        </w:div>
        <w:div w:id="360592832">
          <w:marLeft w:val="640"/>
          <w:marRight w:val="0"/>
          <w:marTop w:val="0"/>
          <w:marBottom w:val="0"/>
          <w:divBdr>
            <w:top w:val="none" w:sz="0" w:space="0" w:color="auto"/>
            <w:left w:val="none" w:sz="0" w:space="0" w:color="auto"/>
            <w:bottom w:val="none" w:sz="0" w:space="0" w:color="auto"/>
            <w:right w:val="none" w:sz="0" w:space="0" w:color="auto"/>
          </w:divBdr>
        </w:div>
        <w:div w:id="1644190661">
          <w:marLeft w:val="640"/>
          <w:marRight w:val="0"/>
          <w:marTop w:val="0"/>
          <w:marBottom w:val="0"/>
          <w:divBdr>
            <w:top w:val="none" w:sz="0" w:space="0" w:color="auto"/>
            <w:left w:val="none" w:sz="0" w:space="0" w:color="auto"/>
            <w:bottom w:val="none" w:sz="0" w:space="0" w:color="auto"/>
            <w:right w:val="none" w:sz="0" w:space="0" w:color="auto"/>
          </w:divBdr>
        </w:div>
        <w:div w:id="2141994145">
          <w:marLeft w:val="640"/>
          <w:marRight w:val="0"/>
          <w:marTop w:val="0"/>
          <w:marBottom w:val="0"/>
          <w:divBdr>
            <w:top w:val="none" w:sz="0" w:space="0" w:color="auto"/>
            <w:left w:val="none" w:sz="0" w:space="0" w:color="auto"/>
            <w:bottom w:val="none" w:sz="0" w:space="0" w:color="auto"/>
            <w:right w:val="none" w:sz="0" w:space="0" w:color="auto"/>
          </w:divBdr>
        </w:div>
        <w:div w:id="1019312199">
          <w:marLeft w:val="640"/>
          <w:marRight w:val="0"/>
          <w:marTop w:val="0"/>
          <w:marBottom w:val="0"/>
          <w:divBdr>
            <w:top w:val="none" w:sz="0" w:space="0" w:color="auto"/>
            <w:left w:val="none" w:sz="0" w:space="0" w:color="auto"/>
            <w:bottom w:val="none" w:sz="0" w:space="0" w:color="auto"/>
            <w:right w:val="none" w:sz="0" w:space="0" w:color="auto"/>
          </w:divBdr>
        </w:div>
        <w:div w:id="159006836">
          <w:marLeft w:val="640"/>
          <w:marRight w:val="0"/>
          <w:marTop w:val="0"/>
          <w:marBottom w:val="0"/>
          <w:divBdr>
            <w:top w:val="none" w:sz="0" w:space="0" w:color="auto"/>
            <w:left w:val="none" w:sz="0" w:space="0" w:color="auto"/>
            <w:bottom w:val="none" w:sz="0" w:space="0" w:color="auto"/>
            <w:right w:val="none" w:sz="0" w:space="0" w:color="auto"/>
          </w:divBdr>
        </w:div>
        <w:div w:id="601375112">
          <w:marLeft w:val="640"/>
          <w:marRight w:val="0"/>
          <w:marTop w:val="0"/>
          <w:marBottom w:val="0"/>
          <w:divBdr>
            <w:top w:val="none" w:sz="0" w:space="0" w:color="auto"/>
            <w:left w:val="none" w:sz="0" w:space="0" w:color="auto"/>
            <w:bottom w:val="none" w:sz="0" w:space="0" w:color="auto"/>
            <w:right w:val="none" w:sz="0" w:space="0" w:color="auto"/>
          </w:divBdr>
        </w:div>
        <w:div w:id="1624194229">
          <w:marLeft w:val="640"/>
          <w:marRight w:val="0"/>
          <w:marTop w:val="0"/>
          <w:marBottom w:val="0"/>
          <w:divBdr>
            <w:top w:val="none" w:sz="0" w:space="0" w:color="auto"/>
            <w:left w:val="none" w:sz="0" w:space="0" w:color="auto"/>
            <w:bottom w:val="none" w:sz="0" w:space="0" w:color="auto"/>
            <w:right w:val="none" w:sz="0" w:space="0" w:color="auto"/>
          </w:divBdr>
        </w:div>
        <w:div w:id="107622543">
          <w:marLeft w:val="640"/>
          <w:marRight w:val="0"/>
          <w:marTop w:val="0"/>
          <w:marBottom w:val="0"/>
          <w:divBdr>
            <w:top w:val="none" w:sz="0" w:space="0" w:color="auto"/>
            <w:left w:val="none" w:sz="0" w:space="0" w:color="auto"/>
            <w:bottom w:val="none" w:sz="0" w:space="0" w:color="auto"/>
            <w:right w:val="none" w:sz="0" w:space="0" w:color="auto"/>
          </w:divBdr>
        </w:div>
        <w:div w:id="1193493063">
          <w:marLeft w:val="640"/>
          <w:marRight w:val="0"/>
          <w:marTop w:val="0"/>
          <w:marBottom w:val="0"/>
          <w:divBdr>
            <w:top w:val="none" w:sz="0" w:space="0" w:color="auto"/>
            <w:left w:val="none" w:sz="0" w:space="0" w:color="auto"/>
            <w:bottom w:val="none" w:sz="0" w:space="0" w:color="auto"/>
            <w:right w:val="none" w:sz="0" w:space="0" w:color="auto"/>
          </w:divBdr>
        </w:div>
        <w:div w:id="909997722">
          <w:marLeft w:val="640"/>
          <w:marRight w:val="0"/>
          <w:marTop w:val="0"/>
          <w:marBottom w:val="0"/>
          <w:divBdr>
            <w:top w:val="none" w:sz="0" w:space="0" w:color="auto"/>
            <w:left w:val="none" w:sz="0" w:space="0" w:color="auto"/>
            <w:bottom w:val="none" w:sz="0" w:space="0" w:color="auto"/>
            <w:right w:val="none" w:sz="0" w:space="0" w:color="auto"/>
          </w:divBdr>
        </w:div>
        <w:div w:id="305668399">
          <w:marLeft w:val="640"/>
          <w:marRight w:val="0"/>
          <w:marTop w:val="0"/>
          <w:marBottom w:val="0"/>
          <w:divBdr>
            <w:top w:val="none" w:sz="0" w:space="0" w:color="auto"/>
            <w:left w:val="none" w:sz="0" w:space="0" w:color="auto"/>
            <w:bottom w:val="none" w:sz="0" w:space="0" w:color="auto"/>
            <w:right w:val="none" w:sz="0" w:space="0" w:color="auto"/>
          </w:divBdr>
        </w:div>
        <w:div w:id="517816870">
          <w:marLeft w:val="640"/>
          <w:marRight w:val="0"/>
          <w:marTop w:val="0"/>
          <w:marBottom w:val="0"/>
          <w:divBdr>
            <w:top w:val="none" w:sz="0" w:space="0" w:color="auto"/>
            <w:left w:val="none" w:sz="0" w:space="0" w:color="auto"/>
            <w:bottom w:val="none" w:sz="0" w:space="0" w:color="auto"/>
            <w:right w:val="none" w:sz="0" w:space="0" w:color="auto"/>
          </w:divBdr>
        </w:div>
        <w:div w:id="1057315386">
          <w:marLeft w:val="640"/>
          <w:marRight w:val="0"/>
          <w:marTop w:val="0"/>
          <w:marBottom w:val="0"/>
          <w:divBdr>
            <w:top w:val="none" w:sz="0" w:space="0" w:color="auto"/>
            <w:left w:val="none" w:sz="0" w:space="0" w:color="auto"/>
            <w:bottom w:val="none" w:sz="0" w:space="0" w:color="auto"/>
            <w:right w:val="none" w:sz="0" w:space="0" w:color="auto"/>
          </w:divBdr>
        </w:div>
        <w:div w:id="1500199247">
          <w:marLeft w:val="640"/>
          <w:marRight w:val="0"/>
          <w:marTop w:val="0"/>
          <w:marBottom w:val="0"/>
          <w:divBdr>
            <w:top w:val="none" w:sz="0" w:space="0" w:color="auto"/>
            <w:left w:val="none" w:sz="0" w:space="0" w:color="auto"/>
            <w:bottom w:val="none" w:sz="0" w:space="0" w:color="auto"/>
            <w:right w:val="none" w:sz="0" w:space="0" w:color="auto"/>
          </w:divBdr>
        </w:div>
        <w:div w:id="1015420331">
          <w:marLeft w:val="640"/>
          <w:marRight w:val="0"/>
          <w:marTop w:val="0"/>
          <w:marBottom w:val="0"/>
          <w:divBdr>
            <w:top w:val="none" w:sz="0" w:space="0" w:color="auto"/>
            <w:left w:val="none" w:sz="0" w:space="0" w:color="auto"/>
            <w:bottom w:val="none" w:sz="0" w:space="0" w:color="auto"/>
            <w:right w:val="none" w:sz="0" w:space="0" w:color="auto"/>
          </w:divBdr>
        </w:div>
        <w:div w:id="1700928875">
          <w:marLeft w:val="640"/>
          <w:marRight w:val="0"/>
          <w:marTop w:val="0"/>
          <w:marBottom w:val="0"/>
          <w:divBdr>
            <w:top w:val="none" w:sz="0" w:space="0" w:color="auto"/>
            <w:left w:val="none" w:sz="0" w:space="0" w:color="auto"/>
            <w:bottom w:val="none" w:sz="0" w:space="0" w:color="auto"/>
            <w:right w:val="none" w:sz="0" w:space="0" w:color="auto"/>
          </w:divBdr>
        </w:div>
        <w:div w:id="939874500">
          <w:marLeft w:val="640"/>
          <w:marRight w:val="0"/>
          <w:marTop w:val="0"/>
          <w:marBottom w:val="0"/>
          <w:divBdr>
            <w:top w:val="none" w:sz="0" w:space="0" w:color="auto"/>
            <w:left w:val="none" w:sz="0" w:space="0" w:color="auto"/>
            <w:bottom w:val="none" w:sz="0" w:space="0" w:color="auto"/>
            <w:right w:val="none" w:sz="0" w:space="0" w:color="auto"/>
          </w:divBdr>
        </w:div>
        <w:div w:id="1540625783">
          <w:marLeft w:val="640"/>
          <w:marRight w:val="0"/>
          <w:marTop w:val="0"/>
          <w:marBottom w:val="0"/>
          <w:divBdr>
            <w:top w:val="none" w:sz="0" w:space="0" w:color="auto"/>
            <w:left w:val="none" w:sz="0" w:space="0" w:color="auto"/>
            <w:bottom w:val="none" w:sz="0" w:space="0" w:color="auto"/>
            <w:right w:val="none" w:sz="0" w:space="0" w:color="auto"/>
          </w:divBdr>
        </w:div>
        <w:div w:id="830213279">
          <w:marLeft w:val="640"/>
          <w:marRight w:val="0"/>
          <w:marTop w:val="0"/>
          <w:marBottom w:val="0"/>
          <w:divBdr>
            <w:top w:val="none" w:sz="0" w:space="0" w:color="auto"/>
            <w:left w:val="none" w:sz="0" w:space="0" w:color="auto"/>
            <w:bottom w:val="none" w:sz="0" w:space="0" w:color="auto"/>
            <w:right w:val="none" w:sz="0" w:space="0" w:color="auto"/>
          </w:divBdr>
        </w:div>
        <w:div w:id="2046051785">
          <w:marLeft w:val="640"/>
          <w:marRight w:val="0"/>
          <w:marTop w:val="0"/>
          <w:marBottom w:val="0"/>
          <w:divBdr>
            <w:top w:val="none" w:sz="0" w:space="0" w:color="auto"/>
            <w:left w:val="none" w:sz="0" w:space="0" w:color="auto"/>
            <w:bottom w:val="none" w:sz="0" w:space="0" w:color="auto"/>
            <w:right w:val="none" w:sz="0" w:space="0" w:color="auto"/>
          </w:divBdr>
        </w:div>
        <w:div w:id="337002423">
          <w:marLeft w:val="640"/>
          <w:marRight w:val="0"/>
          <w:marTop w:val="0"/>
          <w:marBottom w:val="0"/>
          <w:divBdr>
            <w:top w:val="none" w:sz="0" w:space="0" w:color="auto"/>
            <w:left w:val="none" w:sz="0" w:space="0" w:color="auto"/>
            <w:bottom w:val="none" w:sz="0" w:space="0" w:color="auto"/>
            <w:right w:val="none" w:sz="0" w:space="0" w:color="auto"/>
          </w:divBdr>
        </w:div>
        <w:div w:id="1558785868">
          <w:marLeft w:val="640"/>
          <w:marRight w:val="0"/>
          <w:marTop w:val="0"/>
          <w:marBottom w:val="0"/>
          <w:divBdr>
            <w:top w:val="none" w:sz="0" w:space="0" w:color="auto"/>
            <w:left w:val="none" w:sz="0" w:space="0" w:color="auto"/>
            <w:bottom w:val="none" w:sz="0" w:space="0" w:color="auto"/>
            <w:right w:val="none" w:sz="0" w:space="0" w:color="auto"/>
          </w:divBdr>
        </w:div>
        <w:div w:id="711930292">
          <w:marLeft w:val="640"/>
          <w:marRight w:val="0"/>
          <w:marTop w:val="0"/>
          <w:marBottom w:val="0"/>
          <w:divBdr>
            <w:top w:val="none" w:sz="0" w:space="0" w:color="auto"/>
            <w:left w:val="none" w:sz="0" w:space="0" w:color="auto"/>
            <w:bottom w:val="none" w:sz="0" w:space="0" w:color="auto"/>
            <w:right w:val="none" w:sz="0" w:space="0" w:color="auto"/>
          </w:divBdr>
        </w:div>
        <w:div w:id="605620675">
          <w:marLeft w:val="640"/>
          <w:marRight w:val="0"/>
          <w:marTop w:val="0"/>
          <w:marBottom w:val="0"/>
          <w:divBdr>
            <w:top w:val="none" w:sz="0" w:space="0" w:color="auto"/>
            <w:left w:val="none" w:sz="0" w:space="0" w:color="auto"/>
            <w:bottom w:val="none" w:sz="0" w:space="0" w:color="auto"/>
            <w:right w:val="none" w:sz="0" w:space="0" w:color="auto"/>
          </w:divBdr>
        </w:div>
        <w:div w:id="929654309">
          <w:marLeft w:val="640"/>
          <w:marRight w:val="0"/>
          <w:marTop w:val="0"/>
          <w:marBottom w:val="0"/>
          <w:divBdr>
            <w:top w:val="none" w:sz="0" w:space="0" w:color="auto"/>
            <w:left w:val="none" w:sz="0" w:space="0" w:color="auto"/>
            <w:bottom w:val="none" w:sz="0" w:space="0" w:color="auto"/>
            <w:right w:val="none" w:sz="0" w:space="0" w:color="auto"/>
          </w:divBdr>
        </w:div>
        <w:div w:id="678964543">
          <w:marLeft w:val="640"/>
          <w:marRight w:val="0"/>
          <w:marTop w:val="0"/>
          <w:marBottom w:val="0"/>
          <w:divBdr>
            <w:top w:val="none" w:sz="0" w:space="0" w:color="auto"/>
            <w:left w:val="none" w:sz="0" w:space="0" w:color="auto"/>
            <w:bottom w:val="none" w:sz="0" w:space="0" w:color="auto"/>
            <w:right w:val="none" w:sz="0" w:space="0" w:color="auto"/>
          </w:divBdr>
        </w:div>
        <w:div w:id="2027167815">
          <w:marLeft w:val="640"/>
          <w:marRight w:val="0"/>
          <w:marTop w:val="0"/>
          <w:marBottom w:val="0"/>
          <w:divBdr>
            <w:top w:val="none" w:sz="0" w:space="0" w:color="auto"/>
            <w:left w:val="none" w:sz="0" w:space="0" w:color="auto"/>
            <w:bottom w:val="none" w:sz="0" w:space="0" w:color="auto"/>
            <w:right w:val="none" w:sz="0" w:space="0" w:color="auto"/>
          </w:divBdr>
        </w:div>
        <w:div w:id="1957440521">
          <w:marLeft w:val="640"/>
          <w:marRight w:val="0"/>
          <w:marTop w:val="0"/>
          <w:marBottom w:val="0"/>
          <w:divBdr>
            <w:top w:val="none" w:sz="0" w:space="0" w:color="auto"/>
            <w:left w:val="none" w:sz="0" w:space="0" w:color="auto"/>
            <w:bottom w:val="none" w:sz="0" w:space="0" w:color="auto"/>
            <w:right w:val="none" w:sz="0" w:space="0" w:color="auto"/>
          </w:divBdr>
        </w:div>
        <w:div w:id="356395543">
          <w:marLeft w:val="640"/>
          <w:marRight w:val="0"/>
          <w:marTop w:val="0"/>
          <w:marBottom w:val="0"/>
          <w:divBdr>
            <w:top w:val="none" w:sz="0" w:space="0" w:color="auto"/>
            <w:left w:val="none" w:sz="0" w:space="0" w:color="auto"/>
            <w:bottom w:val="none" w:sz="0" w:space="0" w:color="auto"/>
            <w:right w:val="none" w:sz="0" w:space="0" w:color="auto"/>
          </w:divBdr>
        </w:div>
        <w:div w:id="479811758">
          <w:marLeft w:val="640"/>
          <w:marRight w:val="0"/>
          <w:marTop w:val="0"/>
          <w:marBottom w:val="0"/>
          <w:divBdr>
            <w:top w:val="none" w:sz="0" w:space="0" w:color="auto"/>
            <w:left w:val="none" w:sz="0" w:space="0" w:color="auto"/>
            <w:bottom w:val="none" w:sz="0" w:space="0" w:color="auto"/>
            <w:right w:val="none" w:sz="0" w:space="0" w:color="auto"/>
          </w:divBdr>
        </w:div>
        <w:div w:id="1589196219">
          <w:marLeft w:val="640"/>
          <w:marRight w:val="0"/>
          <w:marTop w:val="0"/>
          <w:marBottom w:val="0"/>
          <w:divBdr>
            <w:top w:val="none" w:sz="0" w:space="0" w:color="auto"/>
            <w:left w:val="none" w:sz="0" w:space="0" w:color="auto"/>
            <w:bottom w:val="none" w:sz="0" w:space="0" w:color="auto"/>
            <w:right w:val="none" w:sz="0" w:space="0" w:color="auto"/>
          </w:divBdr>
        </w:div>
        <w:div w:id="1060179638">
          <w:marLeft w:val="640"/>
          <w:marRight w:val="0"/>
          <w:marTop w:val="0"/>
          <w:marBottom w:val="0"/>
          <w:divBdr>
            <w:top w:val="none" w:sz="0" w:space="0" w:color="auto"/>
            <w:left w:val="none" w:sz="0" w:space="0" w:color="auto"/>
            <w:bottom w:val="none" w:sz="0" w:space="0" w:color="auto"/>
            <w:right w:val="none" w:sz="0" w:space="0" w:color="auto"/>
          </w:divBdr>
        </w:div>
        <w:div w:id="1473207515">
          <w:marLeft w:val="640"/>
          <w:marRight w:val="0"/>
          <w:marTop w:val="0"/>
          <w:marBottom w:val="0"/>
          <w:divBdr>
            <w:top w:val="none" w:sz="0" w:space="0" w:color="auto"/>
            <w:left w:val="none" w:sz="0" w:space="0" w:color="auto"/>
            <w:bottom w:val="none" w:sz="0" w:space="0" w:color="auto"/>
            <w:right w:val="none" w:sz="0" w:space="0" w:color="auto"/>
          </w:divBdr>
        </w:div>
        <w:div w:id="1449621798">
          <w:marLeft w:val="640"/>
          <w:marRight w:val="0"/>
          <w:marTop w:val="0"/>
          <w:marBottom w:val="0"/>
          <w:divBdr>
            <w:top w:val="none" w:sz="0" w:space="0" w:color="auto"/>
            <w:left w:val="none" w:sz="0" w:space="0" w:color="auto"/>
            <w:bottom w:val="none" w:sz="0" w:space="0" w:color="auto"/>
            <w:right w:val="none" w:sz="0" w:space="0" w:color="auto"/>
          </w:divBdr>
        </w:div>
        <w:div w:id="1888758779">
          <w:marLeft w:val="640"/>
          <w:marRight w:val="0"/>
          <w:marTop w:val="0"/>
          <w:marBottom w:val="0"/>
          <w:divBdr>
            <w:top w:val="none" w:sz="0" w:space="0" w:color="auto"/>
            <w:left w:val="none" w:sz="0" w:space="0" w:color="auto"/>
            <w:bottom w:val="none" w:sz="0" w:space="0" w:color="auto"/>
            <w:right w:val="none" w:sz="0" w:space="0" w:color="auto"/>
          </w:divBdr>
        </w:div>
        <w:div w:id="445081619">
          <w:marLeft w:val="640"/>
          <w:marRight w:val="0"/>
          <w:marTop w:val="0"/>
          <w:marBottom w:val="0"/>
          <w:divBdr>
            <w:top w:val="none" w:sz="0" w:space="0" w:color="auto"/>
            <w:left w:val="none" w:sz="0" w:space="0" w:color="auto"/>
            <w:bottom w:val="none" w:sz="0" w:space="0" w:color="auto"/>
            <w:right w:val="none" w:sz="0" w:space="0" w:color="auto"/>
          </w:divBdr>
        </w:div>
        <w:div w:id="2075466093">
          <w:marLeft w:val="640"/>
          <w:marRight w:val="0"/>
          <w:marTop w:val="0"/>
          <w:marBottom w:val="0"/>
          <w:divBdr>
            <w:top w:val="none" w:sz="0" w:space="0" w:color="auto"/>
            <w:left w:val="none" w:sz="0" w:space="0" w:color="auto"/>
            <w:bottom w:val="none" w:sz="0" w:space="0" w:color="auto"/>
            <w:right w:val="none" w:sz="0" w:space="0" w:color="auto"/>
          </w:divBdr>
        </w:div>
        <w:div w:id="351300200">
          <w:marLeft w:val="640"/>
          <w:marRight w:val="0"/>
          <w:marTop w:val="0"/>
          <w:marBottom w:val="0"/>
          <w:divBdr>
            <w:top w:val="none" w:sz="0" w:space="0" w:color="auto"/>
            <w:left w:val="none" w:sz="0" w:space="0" w:color="auto"/>
            <w:bottom w:val="none" w:sz="0" w:space="0" w:color="auto"/>
            <w:right w:val="none" w:sz="0" w:space="0" w:color="auto"/>
          </w:divBdr>
        </w:div>
        <w:div w:id="233517930">
          <w:marLeft w:val="640"/>
          <w:marRight w:val="0"/>
          <w:marTop w:val="0"/>
          <w:marBottom w:val="0"/>
          <w:divBdr>
            <w:top w:val="none" w:sz="0" w:space="0" w:color="auto"/>
            <w:left w:val="none" w:sz="0" w:space="0" w:color="auto"/>
            <w:bottom w:val="none" w:sz="0" w:space="0" w:color="auto"/>
            <w:right w:val="none" w:sz="0" w:space="0" w:color="auto"/>
          </w:divBdr>
        </w:div>
        <w:div w:id="16008797">
          <w:marLeft w:val="640"/>
          <w:marRight w:val="0"/>
          <w:marTop w:val="0"/>
          <w:marBottom w:val="0"/>
          <w:divBdr>
            <w:top w:val="none" w:sz="0" w:space="0" w:color="auto"/>
            <w:left w:val="none" w:sz="0" w:space="0" w:color="auto"/>
            <w:bottom w:val="none" w:sz="0" w:space="0" w:color="auto"/>
            <w:right w:val="none" w:sz="0" w:space="0" w:color="auto"/>
          </w:divBdr>
        </w:div>
        <w:div w:id="1308822051">
          <w:marLeft w:val="640"/>
          <w:marRight w:val="0"/>
          <w:marTop w:val="0"/>
          <w:marBottom w:val="0"/>
          <w:divBdr>
            <w:top w:val="none" w:sz="0" w:space="0" w:color="auto"/>
            <w:left w:val="none" w:sz="0" w:space="0" w:color="auto"/>
            <w:bottom w:val="none" w:sz="0" w:space="0" w:color="auto"/>
            <w:right w:val="none" w:sz="0" w:space="0" w:color="auto"/>
          </w:divBdr>
        </w:div>
        <w:div w:id="1635140772">
          <w:marLeft w:val="640"/>
          <w:marRight w:val="0"/>
          <w:marTop w:val="0"/>
          <w:marBottom w:val="0"/>
          <w:divBdr>
            <w:top w:val="none" w:sz="0" w:space="0" w:color="auto"/>
            <w:left w:val="none" w:sz="0" w:space="0" w:color="auto"/>
            <w:bottom w:val="none" w:sz="0" w:space="0" w:color="auto"/>
            <w:right w:val="none" w:sz="0" w:space="0" w:color="auto"/>
          </w:divBdr>
        </w:div>
        <w:div w:id="1284313897">
          <w:marLeft w:val="640"/>
          <w:marRight w:val="0"/>
          <w:marTop w:val="0"/>
          <w:marBottom w:val="0"/>
          <w:divBdr>
            <w:top w:val="none" w:sz="0" w:space="0" w:color="auto"/>
            <w:left w:val="none" w:sz="0" w:space="0" w:color="auto"/>
            <w:bottom w:val="none" w:sz="0" w:space="0" w:color="auto"/>
            <w:right w:val="none" w:sz="0" w:space="0" w:color="auto"/>
          </w:divBdr>
        </w:div>
        <w:div w:id="1120806395">
          <w:marLeft w:val="640"/>
          <w:marRight w:val="0"/>
          <w:marTop w:val="0"/>
          <w:marBottom w:val="0"/>
          <w:divBdr>
            <w:top w:val="none" w:sz="0" w:space="0" w:color="auto"/>
            <w:left w:val="none" w:sz="0" w:space="0" w:color="auto"/>
            <w:bottom w:val="none" w:sz="0" w:space="0" w:color="auto"/>
            <w:right w:val="none" w:sz="0" w:space="0" w:color="auto"/>
          </w:divBdr>
        </w:div>
        <w:div w:id="440413784">
          <w:marLeft w:val="640"/>
          <w:marRight w:val="0"/>
          <w:marTop w:val="0"/>
          <w:marBottom w:val="0"/>
          <w:divBdr>
            <w:top w:val="none" w:sz="0" w:space="0" w:color="auto"/>
            <w:left w:val="none" w:sz="0" w:space="0" w:color="auto"/>
            <w:bottom w:val="none" w:sz="0" w:space="0" w:color="auto"/>
            <w:right w:val="none" w:sz="0" w:space="0" w:color="auto"/>
          </w:divBdr>
        </w:div>
        <w:div w:id="540626920">
          <w:marLeft w:val="640"/>
          <w:marRight w:val="0"/>
          <w:marTop w:val="0"/>
          <w:marBottom w:val="0"/>
          <w:divBdr>
            <w:top w:val="none" w:sz="0" w:space="0" w:color="auto"/>
            <w:left w:val="none" w:sz="0" w:space="0" w:color="auto"/>
            <w:bottom w:val="none" w:sz="0" w:space="0" w:color="auto"/>
            <w:right w:val="none" w:sz="0" w:space="0" w:color="auto"/>
          </w:divBdr>
        </w:div>
        <w:div w:id="1054309333">
          <w:marLeft w:val="640"/>
          <w:marRight w:val="0"/>
          <w:marTop w:val="0"/>
          <w:marBottom w:val="0"/>
          <w:divBdr>
            <w:top w:val="none" w:sz="0" w:space="0" w:color="auto"/>
            <w:left w:val="none" w:sz="0" w:space="0" w:color="auto"/>
            <w:bottom w:val="none" w:sz="0" w:space="0" w:color="auto"/>
            <w:right w:val="none" w:sz="0" w:space="0" w:color="auto"/>
          </w:divBdr>
        </w:div>
        <w:div w:id="462846501">
          <w:marLeft w:val="640"/>
          <w:marRight w:val="0"/>
          <w:marTop w:val="0"/>
          <w:marBottom w:val="0"/>
          <w:divBdr>
            <w:top w:val="none" w:sz="0" w:space="0" w:color="auto"/>
            <w:left w:val="none" w:sz="0" w:space="0" w:color="auto"/>
            <w:bottom w:val="none" w:sz="0" w:space="0" w:color="auto"/>
            <w:right w:val="none" w:sz="0" w:space="0" w:color="auto"/>
          </w:divBdr>
        </w:div>
        <w:div w:id="146631659">
          <w:marLeft w:val="640"/>
          <w:marRight w:val="0"/>
          <w:marTop w:val="0"/>
          <w:marBottom w:val="0"/>
          <w:divBdr>
            <w:top w:val="none" w:sz="0" w:space="0" w:color="auto"/>
            <w:left w:val="none" w:sz="0" w:space="0" w:color="auto"/>
            <w:bottom w:val="none" w:sz="0" w:space="0" w:color="auto"/>
            <w:right w:val="none" w:sz="0" w:space="0" w:color="auto"/>
          </w:divBdr>
        </w:div>
        <w:div w:id="1823307910">
          <w:marLeft w:val="640"/>
          <w:marRight w:val="0"/>
          <w:marTop w:val="0"/>
          <w:marBottom w:val="0"/>
          <w:divBdr>
            <w:top w:val="none" w:sz="0" w:space="0" w:color="auto"/>
            <w:left w:val="none" w:sz="0" w:space="0" w:color="auto"/>
            <w:bottom w:val="none" w:sz="0" w:space="0" w:color="auto"/>
            <w:right w:val="none" w:sz="0" w:space="0" w:color="auto"/>
          </w:divBdr>
        </w:div>
        <w:div w:id="5140325">
          <w:marLeft w:val="640"/>
          <w:marRight w:val="0"/>
          <w:marTop w:val="0"/>
          <w:marBottom w:val="0"/>
          <w:divBdr>
            <w:top w:val="none" w:sz="0" w:space="0" w:color="auto"/>
            <w:left w:val="none" w:sz="0" w:space="0" w:color="auto"/>
            <w:bottom w:val="none" w:sz="0" w:space="0" w:color="auto"/>
            <w:right w:val="none" w:sz="0" w:space="0" w:color="auto"/>
          </w:divBdr>
        </w:div>
        <w:div w:id="881358825">
          <w:marLeft w:val="640"/>
          <w:marRight w:val="0"/>
          <w:marTop w:val="0"/>
          <w:marBottom w:val="0"/>
          <w:divBdr>
            <w:top w:val="none" w:sz="0" w:space="0" w:color="auto"/>
            <w:left w:val="none" w:sz="0" w:space="0" w:color="auto"/>
            <w:bottom w:val="none" w:sz="0" w:space="0" w:color="auto"/>
            <w:right w:val="none" w:sz="0" w:space="0" w:color="auto"/>
          </w:divBdr>
        </w:div>
        <w:div w:id="146635115">
          <w:marLeft w:val="640"/>
          <w:marRight w:val="0"/>
          <w:marTop w:val="0"/>
          <w:marBottom w:val="0"/>
          <w:divBdr>
            <w:top w:val="none" w:sz="0" w:space="0" w:color="auto"/>
            <w:left w:val="none" w:sz="0" w:space="0" w:color="auto"/>
            <w:bottom w:val="none" w:sz="0" w:space="0" w:color="auto"/>
            <w:right w:val="none" w:sz="0" w:space="0" w:color="auto"/>
          </w:divBdr>
        </w:div>
        <w:div w:id="1482842358">
          <w:marLeft w:val="640"/>
          <w:marRight w:val="0"/>
          <w:marTop w:val="0"/>
          <w:marBottom w:val="0"/>
          <w:divBdr>
            <w:top w:val="none" w:sz="0" w:space="0" w:color="auto"/>
            <w:left w:val="none" w:sz="0" w:space="0" w:color="auto"/>
            <w:bottom w:val="none" w:sz="0" w:space="0" w:color="auto"/>
            <w:right w:val="none" w:sz="0" w:space="0" w:color="auto"/>
          </w:divBdr>
        </w:div>
        <w:div w:id="2012490076">
          <w:marLeft w:val="640"/>
          <w:marRight w:val="0"/>
          <w:marTop w:val="0"/>
          <w:marBottom w:val="0"/>
          <w:divBdr>
            <w:top w:val="none" w:sz="0" w:space="0" w:color="auto"/>
            <w:left w:val="none" w:sz="0" w:space="0" w:color="auto"/>
            <w:bottom w:val="none" w:sz="0" w:space="0" w:color="auto"/>
            <w:right w:val="none" w:sz="0" w:space="0" w:color="auto"/>
          </w:divBdr>
        </w:div>
        <w:div w:id="1957173069">
          <w:marLeft w:val="640"/>
          <w:marRight w:val="0"/>
          <w:marTop w:val="0"/>
          <w:marBottom w:val="0"/>
          <w:divBdr>
            <w:top w:val="none" w:sz="0" w:space="0" w:color="auto"/>
            <w:left w:val="none" w:sz="0" w:space="0" w:color="auto"/>
            <w:bottom w:val="none" w:sz="0" w:space="0" w:color="auto"/>
            <w:right w:val="none" w:sz="0" w:space="0" w:color="auto"/>
          </w:divBdr>
        </w:div>
        <w:div w:id="1412855013">
          <w:marLeft w:val="640"/>
          <w:marRight w:val="0"/>
          <w:marTop w:val="0"/>
          <w:marBottom w:val="0"/>
          <w:divBdr>
            <w:top w:val="none" w:sz="0" w:space="0" w:color="auto"/>
            <w:left w:val="none" w:sz="0" w:space="0" w:color="auto"/>
            <w:bottom w:val="none" w:sz="0" w:space="0" w:color="auto"/>
            <w:right w:val="none" w:sz="0" w:space="0" w:color="auto"/>
          </w:divBdr>
        </w:div>
        <w:div w:id="1059520744">
          <w:marLeft w:val="640"/>
          <w:marRight w:val="0"/>
          <w:marTop w:val="0"/>
          <w:marBottom w:val="0"/>
          <w:divBdr>
            <w:top w:val="none" w:sz="0" w:space="0" w:color="auto"/>
            <w:left w:val="none" w:sz="0" w:space="0" w:color="auto"/>
            <w:bottom w:val="none" w:sz="0" w:space="0" w:color="auto"/>
            <w:right w:val="none" w:sz="0" w:space="0" w:color="auto"/>
          </w:divBdr>
        </w:div>
        <w:div w:id="270090218">
          <w:marLeft w:val="640"/>
          <w:marRight w:val="0"/>
          <w:marTop w:val="0"/>
          <w:marBottom w:val="0"/>
          <w:divBdr>
            <w:top w:val="none" w:sz="0" w:space="0" w:color="auto"/>
            <w:left w:val="none" w:sz="0" w:space="0" w:color="auto"/>
            <w:bottom w:val="none" w:sz="0" w:space="0" w:color="auto"/>
            <w:right w:val="none" w:sz="0" w:space="0" w:color="auto"/>
          </w:divBdr>
        </w:div>
        <w:div w:id="48118501">
          <w:marLeft w:val="640"/>
          <w:marRight w:val="0"/>
          <w:marTop w:val="0"/>
          <w:marBottom w:val="0"/>
          <w:divBdr>
            <w:top w:val="none" w:sz="0" w:space="0" w:color="auto"/>
            <w:left w:val="none" w:sz="0" w:space="0" w:color="auto"/>
            <w:bottom w:val="none" w:sz="0" w:space="0" w:color="auto"/>
            <w:right w:val="none" w:sz="0" w:space="0" w:color="auto"/>
          </w:divBdr>
        </w:div>
        <w:div w:id="1492600608">
          <w:marLeft w:val="640"/>
          <w:marRight w:val="0"/>
          <w:marTop w:val="0"/>
          <w:marBottom w:val="0"/>
          <w:divBdr>
            <w:top w:val="none" w:sz="0" w:space="0" w:color="auto"/>
            <w:left w:val="none" w:sz="0" w:space="0" w:color="auto"/>
            <w:bottom w:val="none" w:sz="0" w:space="0" w:color="auto"/>
            <w:right w:val="none" w:sz="0" w:space="0" w:color="auto"/>
          </w:divBdr>
        </w:div>
        <w:div w:id="159390455">
          <w:marLeft w:val="640"/>
          <w:marRight w:val="0"/>
          <w:marTop w:val="0"/>
          <w:marBottom w:val="0"/>
          <w:divBdr>
            <w:top w:val="none" w:sz="0" w:space="0" w:color="auto"/>
            <w:left w:val="none" w:sz="0" w:space="0" w:color="auto"/>
            <w:bottom w:val="none" w:sz="0" w:space="0" w:color="auto"/>
            <w:right w:val="none" w:sz="0" w:space="0" w:color="auto"/>
          </w:divBdr>
        </w:div>
        <w:div w:id="209460136">
          <w:marLeft w:val="640"/>
          <w:marRight w:val="0"/>
          <w:marTop w:val="0"/>
          <w:marBottom w:val="0"/>
          <w:divBdr>
            <w:top w:val="none" w:sz="0" w:space="0" w:color="auto"/>
            <w:left w:val="none" w:sz="0" w:space="0" w:color="auto"/>
            <w:bottom w:val="none" w:sz="0" w:space="0" w:color="auto"/>
            <w:right w:val="none" w:sz="0" w:space="0" w:color="auto"/>
          </w:divBdr>
        </w:div>
        <w:div w:id="966275525">
          <w:marLeft w:val="640"/>
          <w:marRight w:val="0"/>
          <w:marTop w:val="0"/>
          <w:marBottom w:val="0"/>
          <w:divBdr>
            <w:top w:val="none" w:sz="0" w:space="0" w:color="auto"/>
            <w:left w:val="none" w:sz="0" w:space="0" w:color="auto"/>
            <w:bottom w:val="none" w:sz="0" w:space="0" w:color="auto"/>
            <w:right w:val="none" w:sz="0" w:space="0" w:color="auto"/>
          </w:divBdr>
        </w:div>
        <w:div w:id="1435663111">
          <w:marLeft w:val="640"/>
          <w:marRight w:val="0"/>
          <w:marTop w:val="0"/>
          <w:marBottom w:val="0"/>
          <w:divBdr>
            <w:top w:val="none" w:sz="0" w:space="0" w:color="auto"/>
            <w:left w:val="none" w:sz="0" w:space="0" w:color="auto"/>
            <w:bottom w:val="none" w:sz="0" w:space="0" w:color="auto"/>
            <w:right w:val="none" w:sz="0" w:space="0" w:color="auto"/>
          </w:divBdr>
        </w:div>
        <w:div w:id="719285328">
          <w:marLeft w:val="640"/>
          <w:marRight w:val="0"/>
          <w:marTop w:val="0"/>
          <w:marBottom w:val="0"/>
          <w:divBdr>
            <w:top w:val="none" w:sz="0" w:space="0" w:color="auto"/>
            <w:left w:val="none" w:sz="0" w:space="0" w:color="auto"/>
            <w:bottom w:val="none" w:sz="0" w:space="0" w:color="auto"/>
            <w:right w:val="none" w:sz="0" w:space="0" w:color="auto"/>
          </w:divBdr>
        </w:div>
        <w:div w:id="1346321171">
          <w:marLeft w:val="640"/>
          <w:marRight w:val="0"/>
          <w:marTop w:val="0"/>
          <w:marBottom w:val="0"/>
          <w:divBdr>
            <w:top w:val="none" w:sz="0" w:space="0" w:color="auto"/>
            <w:left w:val="none" w:sz="0" w:space="0" w:color="auto"/>
            <w:bottom w:val="none" w:sz="0" w:space="0" w:color="auto"/>
            <w:right w:val="none" w:sz="0" w:space="0" w:color="auto"/>
          </w:divBdr>
        </w:div>
        <w:div w:id="1824201764">
          <w:marLeft w:val="640"/>
          <w:marRight w:val="0"/>
          <w:marTop w:val="0"/>
          <w:marBottom w:val="0"/>
          <w:divBdr>
            <w:top w:val="none" w:sz="0" w:space="0" w:color="auto"/>
            <w:left w:val="none" w:sz="0" w:space="0" w:color="auto"/>
            <w:bottom w:val="none" w:sz="0" w:space="0" w:color="auto"/>
            <w:right w:val="none" w:sz="0" w:space="0" w:color="auto"/>
          </w:divBdr>
        </w:div>
        <w:div w:id="260259083">
          <w:marLeft w:val="640"/>
          <w:marRight w:val="0"/>
          <w:marTop w:val="0"/>
          <w:marBottom w:val="0"/>
          <w:divBdr>
            <w:top w:val="none" w:sz="0" w:space="0" w:color="auto"/>
            <w:left w:val="none" w:sz="0" w:space="0" w:color="auto"/>
            <w:bottom w:val="none" w:sz="0" w:space="0" w:color="auto"/>
            <w:right w:val="none" w:sz="0" w:space="0" w:color="auto"/>
          </w:divBdr>
        </w:div>
        <w:div w:id="1774670936">
          <w:marLeft w:val="640"/>
          <w:marRight w:val="0"/>
          <w:marTop w:val="0"/>
          <w:marBottom w:val="0"/>
          <w:divBdr>
            <w:top w:val="none" w:sz="0" w:space="0" w:color="auto"/>
            <w:left w:val="none" w:sz="0" w:space="0" w:color="auto"/>
            <w:bottom w:val="none" w:sz="0" w:space="0" w:color="auto"/>
            <w:right w:val="none" w:sz="0" w:space="0" w:color="auto"/>
          </w:divBdr>
        </w:div>
        <w:div w:id="387537718">
          <w:marLeft w:val="640"/>
          <w:marRight w:val="0"/>
          <w:marTop w:val="0"/>
          <w:marBottom w:val="0"/>
          <w:divBdr>
            <w:top w:val="none" w:sz="0" w:space="0" w:color="auto"/>
            <w:left w:val="none" w:sz="0" w:space="0" w:color="auto"/>
            <w:bottom w:val="none" w:sz="0" w:space="0" w:color="auto"/>
            <w:right w:val="none" w:sz="0" w:space="0" w:color="auto"/>
          </w:divBdr>
        </w:div>
        <w:div w:id="360742019">
          <w:marLeft w:val="640"/>
          <w:marRight w:val="0"/>
          <w:marTop w:val="0"/>
          <w:marBottom w:val="0"/>
          <w:divBdr>
            <w:top w:val="none" w:sz="0" w:space="0" w:color="auto"/>
            <w:left w:val="none" w:sz="0" w:space="0" w:color="auto"/>
            <w:bottom w:val="none" w:sz="0" w:space="0" w:color="auto"/>
            <w:right w:val="none" w:sz="0" w:space="0" w:color="auto"/>
          </w:divBdr>
        </w:div>
        <w:div w:id="1459181104">
          <w:marLeft w:val="640"/>
          <w:marRight w:val="0"/>
          <w:marTop w:val="0"/>
          <w:marBottom w:val="0"/>
          <w:divBdr>
            <w:top w:val="none" w:sz="0" w:space="0" w:color="auto"/>
            <w:left w:val="none" w:sz="0" w:space="0" w:color="auto"/>
            <w:bottom w:val="none" w:sz="0" w:space="0" w:color="auto"/>
            <w:right w:val="none" w:sz="0" w:space="0" w:color="auto"/>
          </w:divBdr>
        </w:div>
        <w:div w:id="1521049235">
          <w:marLeft w:val="640"/>
          <w:marRight w:val="0"/>
          <w:marTop w:val="0"/>
          <w:marBottom w:val="0"/>
          <w:divBdr>
            <w:top w:val="none" w:sz="0" w:space="0" w:color="auto"/>
            <w:left w:val="none" w:sz="0" w:space="0" w:color="auto"/>
            <w:bottom w:val="none" w:sz="0" w:space="0" w:color="auto"/>
            <w:right w:val="none" w:sz="0" w:space="0" w:color="auto"/>
          </w:divBdr>
        </w:div>
        <w:div w:id="431782384">
          <w:marLeft w:val="640"/>
          <w:marRight w:val="0"/>
          <w:marTop w:val="0"/>
          <w:marBottom w:val="0"/>
          <w:divBdr>
            <w:top w:val="none" w:sz="0" w:space="0" w:color="auto"/>
            <w:left w:val="none" w:sz="0" w:space="0" w:color="auto"/>
            <w:bottom w:val="none" w:sz="0" w:space="0" w:color="auto"/>
            <w:right w:val="none" w:sz="0" w:space="0" w:color="auto"/>
          </w:divBdr>
        </w:div>
        <w:div w:id="811947854">
          <w:marLeft w:val="640"/>
          <w:marRight w:val="0"/>
          <w:marTop w:val="0"/>
          <w:marBottom w:val="0"/>
          <w:divBdr>
            <w:top w:val="none" w:sz="0" w:space="0" w:color="auto"/>
            <w:left w:val="none" w:sz="0" w:space="0" w:color="auto"/>
            <w:bottom w:val="none" w:sz="0" w:space="0" w:color="auto"/>
            <w:right w:val="none" w:sz="0" w:space="0" w:color="auto"/>
          </w:divBdr>
        </w:div>
        <w:div w:id="551966687">
          <w:marLeft w:val="640"/>
          <w:marRight w:val="0"/>
          <w:marTop w:val="0"/>
          <w:marBottom w:val="0"/>
          <w:divBdr>
            <w:top w:val="none" w:sz="0" w:space="0" w:color="auto"/>
            <w:left w:val="none" w:sz="0" w:space="0" w:color="auto"/>
            <w:bottom w:val="none" w:sz="0" w:space="0" w:color="auto"/>
            <w:right w:val="none" w:sz="0" w:space="0" w:color="auto"/>
          </w:divBdr>
        </w:div>
        <w:div w:id="28340921">
          <w:marLeft w:val="640"/>
          <w:marRight w:val="0"/>
          <w:marTop w:val="0"/>
          <w:marBottom w:val="0"/>
          <w:divBdr>
            <w:top w:val="none" w:sz="0" w:space="0" w:color="auto"/>
            <w:left w:val="none" w:sz="0" w:space="0" w:color="auto"/>
            <w:bottom w:val="none" w:sz="0" w:space="0" w:color="auto"/>
            <w:right w:val="none" w:sz="0" w:space="0" w:color="auto"/>
          </w:divBdr>
        </w:div>
        <w:div w:id="585068231">
          <w:marLeft w:val="640"/>
          <w:marRight w:val="0"/>
          <w:marTop w:val="0"/>
          <w:marBottom w:val="0"/>
          <w:divBdr>
            <w:top w:val="none" w:sz="0" w:space="0" w:color="auto"/>
            <w:left w:val="none" w:sz="0" w:space="0" w:color="auto"/>
            <w:bottom w:val="none" w:sz="0" w:space="0" w:color="auto"/>
            <w:right w:val="none" w:sz="0" w:space="0" w:color="auto"/>
          </w:divBdr>
        </w:div>
        <w:div w:id="1911573679">
          <w:marLeft w:val="640"/>
          <w:marRight w:val="0"/>
          <w:marTop w:val="0"/>
          <w:marBottom w:val="0"/>
          <w:divBdr>
            <w:top w:val="none" w:sz="0" w:space="0" w:color="auto"/>
            <w:left w:val="none" w:sz="0" w:space="0" w:color="auto"/>
            <w:bottom w:val="none" w:sz="0" w:space="0" w:color="auto"/>
            <w:right w:val="none" w:sz="0" w:space="0" w:color="auto"/>
          </w:divBdr>
        </w:div>
        <w:div w:id="706952618">
          <w:marLeft w:val="640"/>
          <w:marRight w:val="0"/>
          <w:marTop w:val="0"/>
          <w:marBottom w:val="0"/>
          <w:divBdr>
            <w:top w:val="none" w:sz="0" w:space="0" w:color="auto"/>
            <w:left w:val="none" w:sz="0" w:space="0" w:color="auto"/>
            <w:bottom w:val="none" w:sz="0" w:space="0" w:color="auto"/>
            <w:right w:val="none" w:sz="0" w:space="0" w:color="auto"/>
          </w:divBdr>
        </w:div>
        <w:div w:id="216207603">
          <w:marLeft w:val="640"/>
          <w:marRight w:val="0"/>
          <w:marTop w:val="0"/>
          <w:marBottom w:val="0"/>
          <w:divBdr>
            <w:top w:val="none" w:sz="0" w:space="0" w:color="auto"/>
            <w:left w:val="none" w:sz="0" w:space="0" w:color="auto"/>
            <w:bottom w:val="none" w:sz="0" w:space="0" w:color="auto"/>
            <w:right w:val="none" w:sz="0" w:space="0" w:color="auto"/>
          </w:divBdr>
        </w:div>
        <w:div w:id="820343502">
          <w:marLeft w:val="640"/>
          <w:marRight w:val="0"/>
          <w:marTop w:val="0"/>
          <w:marBottom w:val="0"/>
          <w:divBdr>
            <w:top w:val="none" w:sz="0" w:space="0" w:color="auto"/>
            <w:left w:val="none" w:sz="0" w:space="0" w:color="auto"/>
            <w:bottom w:val="none" w:sz="0" w:space="0" w:color="auto"/>
            <w:right w:val="none" w:sz="0" w:space="0" w:color="auto"/>
          </w:divBdr>
        </w:div>
        <w:div w:id="350298463">
          <w:marLeft w:val="640"/>
          <w:marRight w:val="0"/>
          <w:marTop w:val="0"/>
          <w:marBottom w:val="0"/>
          <w:divBdr>
            <w:top w:val="none" w:sz="0" w:space="0" w:color="auto"/>
            <w:left w:val="none" w:sz="0" w:space="0" w:color="auto"/>
            <w:bottom w:val="none" w:sz="0" w:space="0" w:color="auto"/>
            <w:right w:val="none" w:sz="0" w:space="0" w:color="auto"/>
          </w:divBdr>
        </w:div>
        <w:div w:id="2010673425">
          <w:marLeft w:val="640"/>
          <w:marRight w:val="0"/>
          <w:marTop w:val="0"/>
          <w:marBottom w:val="0"/>
          <w:divBdr>
            <w:top w:val="none" w:sz="0" w:space="0" w:color="auto"/>
            <w:left w:val="none" w:sz="0" w:space="0" w:color="auto"/>
            <w:bottom w:val="none" w:sz="0" w:space="0" w:color="auto"/>
            <w:right w:val="none" w:sz="0" w:space="0" w:color="auto"/>
          </w:divBdr>
        </w:div>
        <w:div w:id="1020935387">
          <w:marLeft w:val="640"/>
          <w:marRight w:val="0"/>
          <w:marTop w:val="0"/>
          <w:marBottom w:val="0"/>
          <w:divBdr>
            <w:top w:val="none" w:sz="0" w:space="0" w:color="auto"/>
            <w:left w:val="none" w:sz="0" w:space="0" w:color="auto"/>
            <w:bottom w:val="none" w:sz="0" w:space="0" w:color="auto"/>
            <w:right w:val="none" w:sz="0" w:space="0" w:color="auto"/>
          </w:divBdr>
        </w:div>
        <w:div w:id="1747066135">
          <w:marLeft w:val="640"/>
          <w:marRight w:val="0"/>
          <w:marTop w:val="0"/>
          <w:marBottom w:val="0"/>
          <w:divBdr>
            <w:top w:val="none" w:sz="0" w:space="0" w:color="auto"/>
            <w:left w:val="none" w:sz="0" w:space="0" w:color="auto"/>
            <w:bottom w:val="none" w:sz="0" w:space="0" w:color="auto"/>
            <w:right w:val="none" w:sz="0" w:space="0" w:color="auto"/>
          </w:divBdr>
        </w:div>
        <w:div w:id="1761871675">
          <w:marLeft w:val="640"/>
          <w:marRight w:val="0"/>
          <w:marTop w:val="0"/>
          <w:marBottom w:val="0"/>
          <w:divBdr>
            <w:top w:val="none" w:sz="0" w:space="0" w:color="auto"/>
            <w:left w:val="none" w:sz="0" w:space="0" w:color="auto"/>
            <w:bottom w:val="none" w:sz="0" w:space="0" w:color="auto"/>
            <w:right w:val="none" w:sz="0" w:space="0" w:color="auto"/>
          </w:divBdr>
        </w:div>
        <w:div w:id="1136988899">
          <w:marLeft w:val="640"/>
          <w:marRight w:val="0"/>
          <w:marTop w:val="0"/>
          <w:marBottom w:val="0"/>
          <w:divBdr>
            <w:top w:val="none" w:sz="0" w:space="0" w:color="auto"/>
            <w:left w:val="none" w:sz="0" w:space="0" w:color="auto"/>
            <w:bottom w:val="none" w:sz="0" w:space="0" w:color="auto"/>
            <w:right w:val="none" w:sz="0" w:space="0" w:color="auto"/>
          </w:divBdr>
        </w:div>
        <w:div w:id="1542936815">
          <w:marLeft w:val="640"/>
          <w:marRight w:val="0"/>
          <w:marTop w:val="0"/>
          <w:marBottom w:val="0"/>
          <w:divBdr>
            <w:top w:val="none" w:sz="0" w:space="0" w:color="auto"/>
            <w:left w:val="none" w:sz="0" w:space="0" w:color="auto"/>
            <w:bottom w:val="none" w:sz="0" w:space="0" w:color="auto"/>
            <w:right w:val="none" w:sz="0" w:space="0" w:color="auto"/>
          </w:divBdr>
        </w:div>
        <w:div w:id="2100171578">
          <w:marLeft w:val="640"/>
          <w:marRight w:val="0"/>
          <w:marTop w:val="0"/>
          <w:marBottom w:val="0"/>
          <w:divBdr>
            <w:top w:val="none" w:sz="0" w:space="0" w:color="auto"/>
            <w:left w:val="none" w:sz="0" w:space="0" w:color="auto"/>
            <w:bottom w:val="none" w:sz="0" w:space="0" w:color="auto"/>
            <w:right w:val="none" w:sz="0" w:space="0" w:color="auto"/>
          </w:divBdr>
        </w:div>
        <w:div w:id="1718895371">
          <w:marLeft w:val="640"/>
          <w:marRight w:val="0"/>
          <w:marTop w:val="0"/>
          <w:marBottom w:val="0"/>
          <w:divBdr>
            <w:top w:val="none" w:sz="0" w:space="0" w:color="auto"/>
            <w:left w:val="none" w:sz="0" w:space="0" w:color="auto"/>
            <w:bottom w:val="none" w:sz="0" w:space="0" w:color="auto"/>
            <w:right w:val="none" w:sz="0" w:space="0" w:color="auto"/>
          </w:divBdr>
        </w:div>
        <w:div w:id="1330792538">
          <w:marLeft w:val="640"/>
          <w:marRight w:val="0"/>
          <w:marTop w:val="0"/>
          <w:marBottom w:val="0"/>
          <w:divBdr>
            <w:top w:val="none" w:sz="0" w:space="0" w:color="auto"/>
            <w:left w:val="none" w:sz="0" w:space="0" w:color="auto"/>
            <w:bottom w:val="none" w:sz="0" w:space="0" w:color="auto"/>
            <w:right w:val="none" w:sz="0" w:space="0" w:color="auto"/>
          </w:divBdr>
        </w:div>
        <w:div w:id="99381542">
          <w:marLeft w:val="640"/>
          <w:marRight w:val="0"/>
          <w:marTop w:val="0"/>
          <w:marBottom w:val="0"/>
          <w:divBdr>
            <w:top w:val="none" w:sz="0" w:space="0" w:color="auto"/>
            <w:left w:val="none" w:sz="0" w:space="0" w:color="auto"/>
            <w:bottom w:val="none" w:sz="0" w:space="0" w:color="auto"/>
            <w:right w:val="none" w:sz="0" w:space="0" w:color="auto"/>
          </w:divBdr>
        </w:div>
        <w:div w:id="680548758">
          <w:marLeft w:val="640"/>
          <w:marRight w:val="0"/>
          <w:marTop w:val="0"/>
          <w:marBottom w:val="0"/>
          <w:divBdr>
            <w:top w:val="none" w:sz="0" w:space="0" w:color="auto"/>
            <w:left w:val="none" w:sz="0" w:space="0" w:color="auto"/>
            <w:bottom w:val="none" w:sz="0" w:space="0" w:color="auto"/>
            <w:right w:val="none" w:sz="0" w:space="0" w:color="auto"/>
          </w:divBdr>
        </w:div>
        <w:div w:id="133761789">
          <w:marLeft w:val="640"/>
          <w:marRight w:val="0"/>
          <w:marTop w:val="0"/>
          <w:marBottom w:val="0"/>
          <w:divBdr>
            <w:top w:val="none" w:sz="0" w:space="0" w:color="auto"/>
            <w:left w:val="none" w:sz="0" w:space="0" w:color="auto"/>
            <w:bottom w:val="none" w:sz="0" w:space="0" w:color="auto"/>
            <w:right w:val="none" w:sz="0" w:space="0" w:color="auto"/>
          </w:divBdr>
        </w:div>
        <w:div w:id="705981891">
          <w:marLeft w:val="640"/>
          <w:marRight w:val="0"/>
          <w:marTop w:val="0"/>
          <w:marBottom w:val="0"/>
          <w:divBdr>
            <w:top w:val="none" w:sz="0" w:space="0" w:color="auto"/>
            <w:left w:val="none" w:sz="0" w:space="0" w:color="auto"/>
            <w:bottom w:val="none" w:sz="0" w:space="0" w:color="auto"/>
            <w:right w:val="none" w:sz="0" w:space="0" w:color="auto"/>
          </w:divBdr>
        </w:div>
        <w:div w:id="1717390023">
          <w:marLeft w:val="640"/>
          <w:marRight w:val="0"/>
          <w:marTop w:val="0"/>
          <w:marBottom w:val="0"/>
          <w:divBdr>
            <w:top w:val="none" w:sz="0" w:space="0" w:color="auto"/>
            <w:left w:val="none" w:sz="0" w:space="0" w:color="auto"/>
            <w:bottom w:val="none" w:sz="0" w:space="0" w:color="auto"/>
            <w:right w:val="none" w:sz="0" w:space="0" w:color="auto"/>
          </w:divBdr>
        </w:div>
        <w:div w:id="198200816">
          <w:marLeft w:val="640"/>
          <w:marRight w:val="0"/>
          <w:marTop w:val="0"/>
          <w:marBottom w:val="0"/>
          <w:divBdr>
            <w:top w:val="none" w:sz="0" w:space="0" w:color="auto"/>
            <w:left w:val="none" w:sz="0" w:space="0" w:color="auto"/>
            <w:bottom w:val="none" w:sz="0" w:space="0" w:color="auto"/>
            <w:right w:val="none" w:sz="0" w:space="0" w:color="auto"/>
          </w:divBdr>
        </w:div>
        <w:div w:id="1047408749">
          <w:marLeft w:val="640"/>
          <w:marRight w:val="0"/>
          <w:marTop w:val="0"/>
          <w:marBottom w:val="0"/>
          <w:divBdr>
            <w:top w:val="none" w:sz="0" w:space="0" w:color="auto"/>
            <w:left w:val="none" w:sz="0" w:space="0" w:color="auto"/>
            <w:bottom w:val="none" w:sz="0" w:space="0" w:color="auto"/>
            <w:right w:val="none" w:sz="0" w:space="0" w:color="auto"/>
          </w:divBdr>
        </w:div>
        <w:div w:id="2002929952">
          <w:marLeft w:val="640"/>
          <w:marRight w:val="0"/>
          <w:marTop w:val="0"/>
          <w:marBottom w:val="0"/>
          <w:divBdr>
            <w:top w:val="none" w:sz="0" w:space="0" w:color="auto"/>
            <w:left w:val="none" w:sz="0" w:space="0" w:color="auto"/>
            <w:bottom w:val="none" w:sz="0" w:space="0" w:color="auto"/>
            <w:right w:val="none" w:sz="0" w:space="0" w:color="auto"/>
          </w:divBdr>
        </w:div>
        <w:div w:id="1953780391">
          <w:marLeft w:val="640"/>
          <w:marRight w:val="0"/>
          <w:marTop w:val="0"/>
          <w:marBottom w:val="0"/>
          <w:divBdr>
            <w:top w:val="none" w:sz="0" w:space="0" w:color="auto"/>
            <w:left w:val="none" w:sz="0" w:space="0" w:color="auto"/>
            <w:bottom w:val="none" w:sz="0" w:space="0" w:color="auto"/>
            <w:right w:val="none" w:sz="0" w:space="0" w:color="auto"/>
          </w:divBdr>
        </w:div>
        <w:div w:id="1139035302">
          <w:marLeft w:val="640"/>
          <w:marRight w:val="0"/>
          <w:marTop w:val="0"/>
          <w:marBottom w:val="0"/>
          <w:divBdr>
            <w:top w:val="none" w:sz="0" w:space="0" w:color="auto"/>
            <w:left w:val="none" w:sz="0" w:space="0" w:color="auto"/>
            <w:bottom w:val="none" w:sz="0" w:space="0" w:color="auto"/>
            <w:right w:val="none" w:sz="0" w:space="0" w:color="auto"/>
          </w:divBdr>
        </w:div>
        <w:div w:id="1617057903">
          <w:marLeft w:val="640"/>
          <w:marRight w:val="0"/>
          <w:marTop w:val="0"/>
          <w:marBottom w:val="0"/>
          <w:divBdr>
            <w:top w:val="none" w:sz="0" w:space="0" w:color="auto"/>
            <w:left w:val="none" w:sz="0" w:space="0" w:color="auto"/>
            <w:bottom w:val="none" w:sz="0" w:space="0" w:color="auto"/>
            <w:right w:val="none" w:sz="0" w:space="0" w:color="auto"/>
          </w:divBdr>
        </w:div>
        <w:div w:id="1278369601">
          <w:marLeft w:val="640"/>
          <w:marRight w:val="0"/>
          <w:marTop w:val="0"/>
          <w:marBottom w:val="0"/>
          <w:divBdr>
            <w:top w:val="none" w:sz="0" w:space="0" w:color="auto"/>
            <w:left w:val="none" w:sz="0" w:space="0" w:color="auto"/>
            <w:bottom w:val="none" w:sz="0" w:space="0" w:color="auto"/>
            <w:right w:val="none" w:sz="0" w:space="0" w:color="auto"/>
          </w:divBdr>
        </w:div>
        <w:div w:id="1630432896">
          <w:marLeft w:val="640"/>
          <w:marRight w:val="0"/>
          <w:marTop w:val="0"/>
          <w:marBottom w:val="0"/>
          <w:divBdr>
            <w:top w:val="none" w:sz="0" w:space="0" w:color="auto"/>
            <w:left w:val="none" w:sz="0" w:space="0" w:color="auto"/>
            <w:bottom w:val="none" w:sz="0" w:space="0" w:color="auto"/>
            <w:right w:val="none" w:sz="0" w:space="0" w:color="auto"/>
          </w:divBdr>
        </w:div>
        <w:div w:id="1040744183">
          <w:marLeft w:val="640"/>
          <w:marRight w:val="0"/>
          <w:marTop w:val="0"/>
          <w:marBottom w:val="0"/>
          <w:divBdr>
            <w:top w:val="none" w:sz="0" w:space="0" w:color="auto"/>
            <w:left w:val="none" w:sz="0" w:space="0" w:color="auto"/>
            <w:bottom w:val="none" w:sz="0" w:space="0" w:color="auto"/>
            <w:right w:val="none" w:sz="0" w:space="0" w:color="auto"/>
          </w:divBdr>
        </w:div>
        <w:div w:id="1255438568">
          <w:marLeft w:val="640"/>
          <w:marRight w:val="0"/>
          <w:marTop w:val="0"/>
          <w:marBottom w:val="0"/>
          <w:divBdr>
            <w:top w:val="none" w:sz="0" w:space="0" w:color="auto"/>
            <w:left w:val="none" w:sz="0" w:space="0" w:color="auto"/>
            <w:bottom w:val="none" w:sz="0" w:space="0" w:color="auto"/>
            <w:right w:val="none" w:sz="0" w:space="0" w:color="auto"/>
          </w:divBdr>
        </w:div>
        <w:div w:id="1398631754">
          <w:marLeft w:val="640"/>
          <w:marRight w:val="0"/>
          <w:marTop w:val="0"/>
          <w:marBottom w:val="0"/>
          <w:divBdr>
            <w:top w:val="none" w:sz="0" w:space="0" w:color="auto"/>
            <w:left w:val="none" w:sz="0" w:space="0" w:color="auto"/>
            <w:bottom w:val="none" w:sz="0" w:space="0" w:color="auto"/>
            <w:right w:val="none" w:sz="0" w:space="0" w:color="auto"/>
          </w:divBdr>
        </w:div>
        <w:div w:id="155535687">
          <w:marLeft w:val="640"/>
          <w:marRight w:val="0"/>
          <w:marTop w:val="0"/>
          <w:marBottom w:val="0"/>
          <w:divBdr>
            <w:top w:val="none" w:sz="0" w:space="0" w:color="auto"/>
            <w:left w:val="none" w:sz="0" w:space="0" w:color="auto"/>
            <w:bottom w:val="none" w:sz="0" w:space="0" w:color="auto"/>
            <w:right w:val="none" w:sz="0" w:space="0" w:color="auto"/>
          </w:divBdr>
        </w:div>
        <w:div w:id="2135445294">
          <w:marLeft w:val="640"/>
          <w:marRight w:val="0"/>
          <w:marTop w:val="0"/>
          <w:marBottom w:val="0"/>
          <w:divBdr>
            <w:top w:val="none" w:sz="0" w:space="0" w:color="auto"/>
            <w:left w:val="none" w:sz="0" w:space="0" w:color="auto"/>
            <w:bottom w:val="none" w:sz="0" w:space="0" w:color="auto"/>
            <w:right w:val="none" w:sz="0" w:space="0" w:color="auto"/>
          </w:divBdr>
        </w:div>
        <w:div w:id="197818451">
          <w:marLeft w:val="640"/>
          <w:marRight w:val="0"/>
          <w:marTop w:val="0"/>
          <w:marBottom w:val="0"/>
          <w:divBdr>
            <w:top w:val="none" w:sz="0" w:space="0" w:color="auto"/>
            <w:left w:val="none" w:sz="0" w:space="0" w:color="auto"/>
            <w:bottom w:val="none" w:sz="0" w:space="0" w:color="auto"/>
            <w:right w:val="none" w:sz="0" w:space="0" w:color="auto"/>
          </w:divBdr>
        </w:div>
        <w:div w:id="1505241706">
          <w:marLeft w:val="640"/>
          <w:marRight w:val="0"/>
          <w:marTop w:val="0"/>
          <w:marBottom w:val="0"/>
          <w:divBdr>
            <w:top w:val="none" w:sz="0" w:space="0" w:color="auto"/>
            <w:left w:val="none" w:sz="0" w:space="0" w:color="auto"/>
            <w:bottom w:val="none" w:sz="0" w:space="0" w:color="auto"/>
            <w:right w:val="none" w:sz="0" w:space="0" w:color="auto"/>
          </w:divBdr>
        </w:div>
        <w:div w:id="1004550758">
          <w:marLeft w:val="640"/>
          <w:marRight w:val="0"/>
          <w:marTop w:val="0"/>
          <w:marBottom w:val="0"/>
          <w:divBdr>
            <w:top w:val="none" w:sz="0" w:space="0" w:color="auto"/>
            <w:left w:val="none" w:sz="0" w:space="0" w:color="auto"/>
            <w:bottom w:val="none" w:sz="0" w:space="0" w:color="auto"/>
            <w:right w:val="none" w:sz="0" w:space="0" w:color="auto"/>
          </w:divBdr>
        </w:div>
        <w:div w:id="307521214">
          <w:marLeft w:val="640"/>
          <w:marRight w:val="0"/>
          <w:marTop w:val="0"/>
          <w:marBottom w:val="0"/>
          <w:divBdr>
            <w:top w:val="none" w:sz="0" w:space="0" w:color="auto"/>
            <w:left w:val="none" w:sz="0" w:space="0" w:color="auto"/>
            <w:bottom w:val="none" w:sz="0" w:space="0" w:color="auto"/>
            <w:right w:val="none" w:sz="0" w:space="0" w:color="auto"/>
          </w:divBdr>
        </w:div>
        <w:div w:id="1663778500">
          <w:marLeft w:val="640"/>
          <w:marRight w:val="0"/>
          <w:marTop w:val="0"/>
          <w:marBottom w:val="0"/>
          <w:divBdr>
            <w:top w:val="none" w:sz="0" w:space="0" w:color="auto"/>
            <w:left w:val="none" w:sz="0" w:space="0" w:color="auto"/>
            <w:bottom w:val="none" w:sz="0" w:space="0" w:color="auto"/>
            <w:right w:val="none" w:sz="0" w:space="0" w:color="auto"/>
          </w:divBdr>
        </w:div>
        <w:div w:id="1988825717">
          <w:marLeft w:val="640"/>
          <w:marRight w:val="0"/>
          <w:marTop w:val="0"/>
          <w:marBottom w:val="0"/>
          <w:divBdr>
            <w:top w:val="none" w:sz="0" w:space="0" w:color="auto"/>
            <w:left w:val="none" w:sz="0" w:space="0" w:color="auto"/>
            <w:bottom w:val="none" w:sz="0" w:space="0" w:color="auto"/>
            <w:right w:val="none" w:sz="0" w:space="0" w:color="auto"/>
          </w:divBdr>
        </w:div>
        <w:div w:id="1889103327">
          <w:marLeft w:val="640"/>
          <w:marRight w:val="0"/>
          <w:marTop w:val="0"/>
          <w:marBottom w:val="0"/>
          <w:divBdr>
            <w:top w:val="none" w:sz="0" w:space="0" w:color="auto"/>
            <w:left w:val="none" w:sz="0" w:space="0" w:color="auto"/>
            <w:bottom w:val="none" w:sz="0" w:space="0" w:color="auto"/>
            <w:right w:val="none" w:sz="0" w:space="0" w:color="auto"/>
          </w:divBdr>
        </w:div>
        <w:div w:id="208342015">
          <w:marLeft w:val="640"/>
          <w:marRight w:val="0"/>
          <w:marTop w:val="0"/>
          <w:marBottom w:val="0"/>
          <w:divBdr>
            <w:top w:val="none" w:sz="0" w:space="0" w:color="auto"/>
            <w:left w:val="none" w:sz="0" w:space="0" w:color="auto"/>
            <w:bottom w:val="none" w:sz="0" w:space="0" w:color="auto"/>
            <w:right w:val="none" w:sz="0" w:space="0" w:color="auto"/>
          </w:divBdr>
        </w:div>
        <w:div w:id="363143166">
          <w:marLeft w:val="640"/>
          <w:marRight w:val="0"/>
          <w:marTop w:val="0"/>
          <w:marBottom w:val="0"/>
          <w:divBdr>
            <w:top w:val="none" w:sz="0" w:space="0" w:color="auto"/>
            <w:left w:val="none" w:sz="0" w:space="0" w:color="auto"/>
            <w:bottom w:val="none" w:sz="0" w:space="0" w:color="auto"/>
            <w:right w:val="none" w:sz="0" w:space="0" w:color="auto"/>
          </w:divBdr>
        </w:div>
        <w:div w:id="742263529">
          <w:marLeft w:val="640"/>
          <w:marRight w:val="0"/>
          <w:marTop w:val="0"/>
          <w:marBottom w:val="0"/>
          <w:divBdr>
            <w:top w:val="none" w:sz="0" w:space="0" w:color="auto"/>
            <w:left w:val="none" w:sz="0" w:space="0" w:color="auto"/>
            <w:bottom w:val="none" w:sz="0" w:space="0" w:color="auto"/>
            <w:right w:val="none" w:sz="0" w:space="0" w:color="auto"/>
          </w:divBdr>
        </w:div>
        <w:div w:id="67504906">
          <w:marLeft w:val="640"/>
          <w:marRight w:val="0"/>
          <w:marTop w:val="0"/>
          <w:marBottom w:val="0"/>
          <w:divBdr>
            <w:top w:val="none" w:sz="0" w:space="0" w:color="auto"/>
            <w:left w:val="none" w:sz="0" w:space="0" w:color="auto"/>
            <w:bottom w:val="none" w:sz="0" w:space="0" w:color="auto"/>
            <w:right w:val="none" w:sz="0" w:space="0" w:color="auto"/>
          </w:divBdr>
        </w:div>
        <w:div w:id="712314890">
          <w:marLeft w:val="640"/>
          <w:marRight w:val="0"/>
          <w:marTop w:val="0"/>
          <w:marBottom w:val="0"/>
          <w:divBdr>
            <w:top w:val="none" w:sz="0" w:space="0" w:color="auto"/>
            <w:left w:val="none" w:sz="0" w:space="0" w:color="auto"/>
            <w:bottom w:val="none" w:sz="0" w:space="0" w:color="auto"/>
            <w:right w:val="none" w:sz="0" w:space="0" w:color="auto"/>
          </w:divBdr>
        </w:div>
        <w:div w:id="1798334554">
          <w:marLeft w:val="640"/>
          <w:marRight w:val="0"/>
          <w:marTop w:val="0"/>
          <w:marBottom w:val="0"/>
          <w:divBdr>
            <w:top w:val="none" w:sz="0" w:space="0" w:color="auto"/>
            <w:left w:val="none" w:sz="0" w:space="0" w:color="auto"/>
            <w:bottom w:val="none" w:sz="0" w:space="0" w:color="auto"/>
            <w:right w:val="none" w:sz="0" w:space="0" w:color="auto"/>
          </w:divBdr>
        </w:div>
        <w:div w:id="1131434910">
          <w:marLeft w:val="640"/>
          <w:marRight w:val="0"/>
          <w:marTop w:val="0"/>
          <w:marBottom w:val="0"/>
          <w:divBdr>
            <w:top w:val="none" w:sz="0" w:space="0" w:color="auto"/>
            <w:left w:val="none" w:sz="0" w:space="0" w:color="auto"/>
            <w:bottom w:val="none" w:sz="0" w:space="0" w:color="auto"/>
            <w:right w:val="none" w:sz="0" w:space="0" w:color="auto"/>
          </w:divBdr>
        </w:div>
        <w:div w:id="1774550346">
          <w:marLeft w:val="640"/>
          <w:marRight w:val="0"/>
          <w:marTop w:val="0"/>
          <w:marBottom w:val="0"/>
          <w:divBdr>
            <w:top w:val="none" w:sz="0" w:space="0" w:color="auto"/>
            <w:left w:val="none" w:sz="0" w:space="0" w:color="auto"/>
            <w:bottom w:val="none" w:sz="0" w:space="0" w:color="auto"/>
            <w:right w:val="none" w:sz="0" w:space="0" w:color="auto"/>
          </w:divBdr>
        </w:div>
        <w:div w:id="1334256129">
          <w:marLeft w:val="640"/>
          <w:marRight w:val="0"/>
          <w:marTop w:val="0"/>
          <w:marBottom w:val="0"/>
          <w:divBdr>
            <w:top w:val="none" w:sz="0" w:space="0" w:color="auto"/>
            <w:left w:val="none" w:sz="0" w:space="0" w:color="auto"/>
            <w:bottom w:val="none" w:sz="0" w:space="0" w:color="auto"/>
            <w:right w:val="none" w:sz="0" w:space="0" w:color="auto"/>
          </w:divBdr>
        </w:div>
        <w:div w:id="1317494529">
          <w:marLeft w:val="640"/>
          <w:marRight w:val="0"/>
          <w:marTop w:val="0"/>
          <w:marBottom w:val="0"/>
          <w:divBdr>
            <w:top w:val="none" w:sz="0" w:space="0" w:color="auto"/>
            <w:left w:val="none" w:sz="0" w:space="0" w:color="auto"/>
            <w:bottom w:val="none" w:sz="0" w:space="0" w:color="auto"/>
            <w:right w:val="none" w:sz="0" w:space="0" w:color="auto"/>
          </w:divBdr>
        </w:div>
        <w:div w:id="1835485604">
          <w:marLeft w:val="640"/>
          <w:marRight w:val="0"/>
          <w:marTop w:val="0"/>
          <w:marBottom w:val="0"/>
          <w:divBdr>
            <w:top w:val="none" w:sz="0" w:space="0" w:color="auto"/>
            <w:left w:val="none" w:sz="0" w:space="0" w:color="auto"/>
            <w:bottom w:val="none" w:sz="0" w:space="0" w:color="auto"/>
            <w:right w:val="none" w:sz="0" w:space="0" w:color="auto"/>
          </w:divBdr>
        </w:div>
        <w:div w:id="255870395">
          <w:marLeft w:val="640"/>
          <w:marRight w:val="0"/>
          <w:marTop w:val="0"/>
          <w:marBottom w:val="0"/>
          <w:divBdr>
            <w:top w:val="none" w:sz="0" w:space="0" w:color="auto"/>
            <w:left w:val="none" w:sz="0" w:space="0" w:color="auto"/>
            <w:bottom w:val="none" w:sz="0" w:space="0" w:color="auto"/>
            <w:right w:val="none" w:sz="0" w:space="0" w:color="auto"/>
          </w:divBdr>
        </w:div>
        <w:div w:id="1518274461">
          <w:marLeft w:val="640"/>
          <w:marRight w:val="0"/>
          <w:marTop w:val="0"/>
          <w:marBottom w:val="0"/>
          <w:divBdr>
            <w:top w:val="none" w:sz="0" w:space="0" w:color="auto"/>
            <w:left w:val="none" w:sz="0" w:space="0" w:color="auto"/>
            <w:bottom w:val="none" w:sz="0" w:space="0" w:color="auto"/>
            <w:right w:val="none" w:sz="0" w:space="0" w:color="auto"/>
          </w:divBdr>
        </w:div>
        <w:div w:id="2009792597">
          <w:marLeft w:val="640"/>
          <w:marRight w:val="0"/>
          <w:marTop w:val="0"/>
          <w:marBottom w:val="0"/>
          <w:divBdr>
            <w:top w:val="none" w:sz="0" w:space="0" w:color="auto"/>
            <w:left w:val="none" w:sz="0" w:space="0" w:color="auto"/>
            <w:bottom w:val="none" w:sz="0" w:space="0" w:color="auto"/>
            <w:right w:val="none" w:sz="0" w:space="0" w:color="auto"/>
          </w:divBdr>
        </w:div>
        <w:div w:id="1659842558">
          <w:marLeft w:val="640"/>
          <w:marRight w:val="0"/>
          <w:marTop w:val="0"/>
          <w:marBottom w:val="0"/>
          <w:divBdr>
            <w:top w:val="none" w:sz="0" w:space="0" w:color="auto"/>
            <w:left w:val="none" w:sz="0" w:space="0" w:color="auto"/>
            <w:bottom w:val="none" w:sz="0" w:space="0" w:color="auto"/>
            <w:right w:val="none" w:sz="0" w:space="0" w:color="auto"/>
          </w:divBdr>
        </w:div>
        <w:div w:id="12460055">
          <w:marLeft w:val="640"/>
          <w:marRight w:val="0"/>
          <w:marTop w:val="0"/>
          <w:marBottom w:val="0"/>
          <w:divBdr>
            <w:top w:val="none" w:sz="0" w:space="0" w:color="auto"/>
            <w:left w:val="none" w:sz="0" w:space="0" w:color="auto"/>
            <w:bottom w:val="none" w:sz="0" w:space="0" w:color="auto"/>
            <w:right w:val="none" w:sz="0" w:space="0" w:color="auto"/>
          </w:divBdr>
        </w:div>
        <w:div w:id="490095868">
          <w:marLeft w:val="640"/>
          <w:marRight w:val="0"/>
          <w:marTop w:val="0"/>
          <w:marBottom w:val="0"/>
          <w:divBdr>
            <w:top w:val="none" w:sz="0" w:space="0" w:color="auto"/>
            <w:left w:val="none" w:sz="0" w:space="0" w:color="auto"/>
            <w:bottom w:val="none" w:sz="0" w:space="0" w:color="auto"/>
            <w:right w:val="none" w:sz="0" w:space="0" w:color="auto"/>
          </w:divBdr>
        </w:div>
        <w:div w:id="1422677786">
          <w:marLeft w:val="640"/>
          <w:marRight w:val="0"/>
          <w:marTop w:val="0"/>
          <w:marBottom w:val="0"/>
          <w:divBdr>
            <w:top w:val="none" w:sz="0" w:space="0" w:color="auto"/>
            <w:left w:val="none" w:sz="0" w:space="0" w:color="auto"/>
            <w:bottom w:val="none" w:sz="0" w:space="0" w:color="auto"/>
            <w:right w:val="none" w:sz="0" w:space="0" w:color="auto"/>
          </w:divBdr>
        </w:div>
        <w:div w:id="1719747115">
          <w:marLeft w:val="640"/>
          <w:marRight w:val="0"/>
          <w:marTop w:val="0"/>
          <w:marBottom w:val="0"/>
          <w:divBdr>
            <w:top w:val="none" w:sz="0" w:space="0" w:color="auto"/>
            <w:left w:val="none" w:sz="0" w:space="0" w:color="auto"/>
            <w:bottom w:val="none" w:sz="0" w:space="0" w:color="auto"/>
            <w:right w:val="none" w:sz="0" w:space="0" w:color="auto"/>
          </w:divBdr>
        </w:div>
        <w:div w:id="304897861">
          <w:marLeft w:val="640"/>
          <w:marRight w:val="0"/>
          <w:marTop w:val="0"/>
          <w:marBottom w:val="0"/>
          <w:divBdr>
            <w:top w:val="none" w:sz="0" w:space="0" w:color="auto"/>
            <w:left w:val="none" w:sz="0" w:space="0" w:color="auto"/>
            <w:bottom w:val="none" w:sz="0" w:space="0" w:color="auto"/>
            <w:right w:val="none" w:sz="0" w:space="0" w:color="auto"/>
          </w:divBdr>
        </w:div>
        <w:div w:id="883254289">
          <w:marLeft w:val="640"/>
          <w:marRight w:val="0"/>
          <w:marTop w:val="0"/>
          <w:marBottom w:val="0"/>
          <w:divBdr>
            <w:top w:val="none" w:sz="0" w:space="0" w:color="auto"/>
            <w:left w:val="none" w:sz="0" w:space="0" w:color="auto"/>
            <w:bottom w:val="none" w:sz="0" w:space="0" w:color="auto"/>
            <w:right w:val="none" w:sz="0" w:space="0" w:color="auto"/>
          </w:divBdr>
        </w:div>
        <w:div w:id="1586844667">
          <w:marLeft w:val="640"/>
          <w:marRight w:val="0"/>
          <w:marTop w:val="0"/>
          <w:marBottom w:val="0"/>
          <w:divBdr>
            <w:top w:val="none" w:sz="0" w:space="0" w:color="auto"/>
            <w:left w:val="none" w:sz="0" w:space="0" w:color="auto"/>
            <w:bottom w:val="none" w:sz="0" w:space="0" w:color="auto"/>
            <w:right w:val="none" w:sz="0" w:space="0" w:color="auto"/>
          </w:divBdr>
        </w:div>
        <w:div w:id="510534505">
          <w:marLeft w:val="640"/>
          <w:marRight w:val="0"/>
          <w:marTop w:val="0"/>
          <w:marBottom w:val="0"/>
          <w:divBdr>
            <w:top w:val="none" w:sz="0" w:space="0" w:color="auto"/>
            <w:left w:val="none" w:sz="0" w:space="0" w:color="auto"/>
            <w:bottom w:val="none" w:sz="0" w:space="0" w:color="auto"/>
            <w:right w:val="none" w:sz="0" w:space="0" w:color="auto"/>
          </w:divBdr>
        </w:div>
        <w:div w:id="1807970699">
          <w:marLeft w:val="640"/>
          <w:marRight w:val="0"/>
          <w:marTop w:val="0"/>
          <w:marBottom w:val="0"/>
          <w:divBdr>
            <w:top w:val="none" w:sz="0" w:space="0" w:color="auto"/>
            <w:left w:val="none" w:sz="0" w:space="0" w:color="auto"/>
            <w:bottom w:val="none" w:sz="0" w:space="0" w:color="auto"/>
            <w:right w:val="none" w:sz="0" w:space="0" w:color="auto"/>
          </w:divBdr>
        </w:div>
        <w:div w:id="1611862470">
          <w:marLeft w:val="640"/>
          <w:marRight w:val="0"/>
          <w:marTop w:val="0"/>
          <w:marBottom w:val="0"/>
          <w:divBdr>
            <w:top w:val="none" w:sz="0" w:space="0" w:color="auto"/>
            <w:left w:val="none" w:sz="0" w:space="0" w:color="auto"/>
            <w:bottom w:val="none" w:sz="0" w:space="0" w:color="auto"/>
            <w:right w:val="none" w:sz="0" w:space="0" w:color="auto"/>
          </w:divBdr>
        </w:div>
        <w:div w:id="2023970053">
          <w:marLeft w:val="640"/>
          <w:marRight w:val="0"/>
          <w:marTop w:val="0"/>
          <w:marBottom w:val="0"/>
          <w:divBdr>
            <w:top w:val="none" w:sz="0" w:space="0" w:color="auto"/>
            <w:left w:val="none" w:sz="0" w:space="0" w:color="auto"/>
            <w:bottom w:val="none" w:sz="0" w:space="0" w:color="auto"/>
            <w:right w:val="none" w:sz="0" w:space="0" w:color="auto"/>
          </w:divBdr>
        </w:div>
        <w:div w:id="953825363">
          <w:marLeft w:val="640"/>
          <w:marRight w:val="0"/>
          <w:marTop w:val="0"/>
          <w:marBottom w:val="0"/>
          <w:divBdr>
            <w:top w:val="none" w:sz="0" w:space="0" w:color="auto"/>
            <w:left w:val="none" w:sz="0" w:space="0" w:color="auto"/>
            <w:bottom w:val="none" w:sz="0" w:space="0" w:color="auto"/>
            <w:right w:val="none" w:sz="0" w:space="0" w:color="auto"/>
          </w:divBdr>
        </w:div>
        <w:div w:id="774247643">
          <w:marLeft w:val="640"/>
          <w:marRight w:val="0"/>
          <w:marTop w:val="0"/>
          <w:marBottom w:val="0"/>
          <w:divBdr>
            <w:top w:val="none" w:sz="0" w:space="0" w:color="auto"/>
            <w:left w:val="none" w:sz="0" w:space="0" w:color="auto"/>
            <w:bottom w:val="none" w:sz="0" w:space="0" w:color="auto"/>
            <w:right w:val="none" w:sz="0" w:space="0" w:color="auto"/>
          </w:divBdr>
        </w:div>
        <w:div w:id="1295217598">
          <w:marLeft w:val="640"/>
          <w:marRight w:val="0"/>
          <w:marTop w:val="0"/>
          <w:marBottom w:val="0"/>
          <w:divBdr>
            <w:top w:val="none" w:sz="0" w:space="0" w:color="auto"/>
            <w:left w:val="none" w:sz="0" w:space="0" w:color="auto"/>
            <w:bottom w:val="none" w:sz="0" w:space="0" w:color="auto"/>
            <w:right w:val="none" w:sz="0" w:space="0" w:color="auto"/>
          </w:divBdr>
        </w:div>
        <w:div w:id="469060669">
          <w:marLeft w:val="640"/>
          <w:marRight w:val="0"/>
          <w:marTop w:val="0"/>
          <w:marBottom w:val="0"/>
          <w:divBdr>
            <w:top w:val="none" w:sz="0" w:space="0" w:color="auto"/>
            <w:left w:val="none" w:sz="0" w:space="0" w:color="auto"/>
            <w:bottom w:val="none" w:sz="0" w:space="0" w:color="auto"/>
            <w:right w:val="none" w:sz="0" w:space="0" w:color="auto"/>
          </w:divBdr>
        </w:div>
        <w:div w:id="1611668238">
          <w:marLeft w:val="640"/>
          <w:marRight w:val="0"/>
          <w:marTop w:val="0"/>
          <w:marBottom w:val="0"/>
          <w:divBdr>
            <w:top w:val="none" w:sz="0" w:space="0" w:color="auto"/>
            <w:left w:val="none" w:sz="0" w:space="0" w:color="auto"/>
            <w:bottom w:val="none" w:sz="0" w:space="0" w:color="auto"/>
            <w:right w:val="none" w:sz="0" w:space="0" w:color="auto"/>
          </w:divBdr>
        </w:div>
        <w:div w:id="467207071">
          <w:marLeft w:val="640"/>
          <w:marRight w:val="0"/>
          <w:marTop w:val="0"/>
          <w:marBottom w:val="0"/>
          <w:divBdr>
            <w:top w:val="none" w:sz="0" w:space="0" w:color="auto"/>
            <w:left w:val="none" w:sz="0" w:space="0" w:color="auto"/>
            <w:bottom w:val="none" w:sz="0" w:space="0" w:color="auto"/>
            <w:right w:val="none" w:sz="0" w:space="0" w:color="auto"/>
          </w:divBdr>
        </w:div>
        <w:div w:id="1987079541">
          <w:marLeft w:val="640"/>
          <w:marRight w:val="0"/>
          <w:marTop w:val="0"/>
          <w:marBottom w:val="0"/>
          <w:divBdr>
            <w:top w:val="none" w:sz="0" w:space="0" w:color="auto"/>
            <w:left w:val="none" w:sz="0" w:space="0" w:color="auto"/>
            <w:bottom w:val="none" w:sz="0" w:space="0" w:color="auto"/>
            <w:right w:val="none" w:sz="0" w:space="0" w:color="auto"/>
          </w:divBdr>
        </w:div>
        <w:div w:id="983462857">
          <w:marLeft w:val="640"/>
          <w:marRight w:val="0"/>
          <w:marTop w:val="0"/>
          <w:marBottom w:val="0"/>
          <w:divBdr>
            <w:top w:val="none" w:sz="0" w:space="0" w:color="auto"/>
            <w:left w:val="none" w:sz="0" w:space="0" w:color="auto"/>
            <w:bottom w:val="none" w:sz="0" w:space="0" w:color="auto"/>
            <w:right w:val="none" w:sz="0" w:space="0" w:color="auto"/>
          </w:divBdr>
        </w:div>
        <w:div w:id="572355956">
          <w:marLeft w:val="640"/>
          <w:marRight w:val="0"/>
          <w:marTop w:val="0"/>
          <w:marBottom w:val="0"/>
          <w:divBdr>
            <w:top w:val="none" w:sz="0" w:space="0" w:color="auto"/>
            <w:left w:val="none" w:sz="0" w:space="0" w:color="auto"/>
            <w:bottom w:val="none" w:sz="0" w:space="0" w:color="auto"/>
            <w:right w:val="none" w:sz="0" w:space="0" w:color="auto"/>
          </w:divBdr>
        </w:div>
        <w:div w:id="1755587801">
          <w:marLeft w:val="640"/>
          <w:marRight w:val="0"/>
          <w:marTop w:val="0"/>
          <w:marBottom w:val="0"/>
          <w:divBdr>
            <w:top w:val="none" w:sz="0" w:space="0" w:color="auto"/>
            <w:left w:val="none" w:sz="0" w:space="0" w:color="auto"/>
            <w:bottom w:val="none" w:sz="0" w:space="0" w:color="auto"/>
            <w:right w:val="none" w:sz="0" w:space="0" w:color="auto"/>
          </w:divBdr>
        </w:div>
        <w:div w:id="384527414">
          <w:marLeft w:val="640"/>
          <w:marRight w:val="0"/>
          <w:marTop w:val="0"/>
          <w:marBottom w:val="0"/>
          <w:divBdr>
            <w:top w:val="none" w:sz="0" w:space="0" w:color="auto"/>
            <w:left w:val="none" w:sz="0" w:space="0" w:color="auto"/>
            <w:bottom w:val="none" w:sz="0" w:space="0" w:color="auto"/>
            <w:right w:val="none" w:sz="0" w:space="0" w:color="auto"/>
          </w:divBdr>
        </w:div>
        <w:div w:id="1503081540">
          <w:marLeft w:val="640"/>
          <w:marRight w:val="0"/>
          <w:marTop w:val="0"/>
          <w:marBottom w:val="0"/>
          <w:divBdr>
            <w:top w:val="none" w:sz="0" w:space="0" w:color="auto"/>
            <w:left w:val="none" w:sz="0" w:space="0" w:color="auto"/>
            <w:bottom w:val="none" w:sz="0" w:space="0" w:color="auto"/>
            <w:right w:val="none" w:sz="0" w:space="0" w:color="auto"/>
          </w:divBdr>
        </w:div>
        <w:div w:id="739596044">
          <w:marLeft w:val="640"/>
          <w:marRight w:val="0"/>
          <w:marTop w:val="0"/>
          <w:marBottom w:val="0"/>
          <w:divBdr>
            <w:top w:val="none" w:sz="0" w:space="0" w:color="auto"/>
            <w:left w:val="none" w:sz="0" w:space="0" w:color="auto"/>
            <w:bottom w:val="none" w:sz="0" w:space="0" w:color="auto"/>
            <w:right w:val="none" w:sz="0" w:space="0" w:color="auto"/>
          </w:divBdr>
        </w:div>
        <w:div w:id="832260521">
          <w:marLeft w:val="640"/>
          <w:marRight w:val="0"/>
          <w:marTop w:val="0"/>
          <w:marBottom w:val="0"/>
          <w:divBdr>
            <w:top w:val="none" w:sz="0" w:space="0" w:color="auto"/>
            <w:left w:val="none" w:sz="0" w:space="0" w:color="auto"/>
            <w:bottom w:val="none" w:sz="0" w:space="0" w:color="auto"/>
            <w:right w:val="none" w:sz="0" w:space="0" w:color="auto"/>
          </w:divBdr>
        </w:div>
        <w:div w:id="690840358">
          <w:marLeft w:val="640"/>
          <w:marRight w:val="0"/>
          <w:marTop w:val="0"/>
          <w:marBottom w:val="0"/>
          <w:divBdr>
            <w:top w:val="none" w:sz="0" w:space="0" w:color="auto"/>
            <w:left w:val="none" w:sz="0" w:space="0" w:color="auto"/>
            <w:bottom w:val="none" w:sz="0" w:space="0" w:color="auto"/>
            <w:right w:val="none" w:sz="0" w:space="0" w:color="auto"/>
          </w:divBdr>
        </w:div>
        <w:div w:id="1555503823">
          <w:marLeft w:val="640"/>
          <w:marRight w:val="0"/>
          <w:marTop w:val="0"/>
          <w:marBottom w:val="0"/>
          <w:divBdr>
            <w:top w:val="none" w:sz="0" w:space="0" w:color="auto"/>
            <w:left w:val="none" w:sz="0" w:space="0" w:color="auto"/>
            <w:bottom w:val="none" w:sz="0" w:space="0" w:color="auto"/>
            <w:right w:val="none" w:sz="0" w:space="0" w:color="auto"/>
          </w:divBdr>
        </w:div>
        <w:div w:id="433593565">
          <w:marLeft w:val="640"/>
          <w:marRight w:val="0"/>
          <w:marTop w:val="0"/>
          <w:marBottom w:val="0"/>
          <w:divBdr>
            <w:top w:val="none" w:sz="0" w:space="0" w:color="auto"/>
            <w:left w:val="none" w:sz="0" w:space="0" w:color="auto"/>
            <w:bottom w:val="none" w:sz="0" w:space="0" w:color="auto"/>
            <w:right w:val="none" w:sz="0" w:space="0" w:color="auto"/>
          </w:divBdr>
        </w:div>
        <w:div w:id="1925601424">
          <w:marLeft w:val="640"/>
          <w:marRight w:val="0"/>
          <w:marTop w:val="0"/>
          <w:marBottom w:val="0"/>
          <w:divBdr>
            <w:top w:val="none" w:sz="0" w:space="0" w:color="auto"/>
            <w:left w:val="none" w:sz="0" w:space="0" w:color="auto"/>
            <w:bottom w:val="none" w:sz="0" w:space="0" w:color="auto"/>
            <w:right w:val="none" w:sz="0" w:space="0" w:color="auto"/>
          </w:divBdr>
        </w:div>
        <w:div w:id="454060607">
          <w:marLeft w:val="640"/>
          <w:marRight w:val="0"/>
          <w:marTop w:val="0"/>
          <w:marBottom w:val="0"/>
          <w:divBdr>
            <w:top w:val="none" w:sz="0" w:space="0" w:color="auto"/>
            <w:left w:val="none" w:sz="0" w:space="0" w:color="auto"/>
            <w:bottom w:val="none" w:sz="0" w:space="0" w:color="auto"/>
            <w:right w:val="none" w:sz="0" w:space="0" w:color="auto"/>
          </w:divBdr>
        </w:div>
        <w:div w:id="1508984081">
          <w:marLeft w:val="640"/>
          <w:marRight w:val="0"/>
          <w:marTop w:val="0"/>
          <w:marBottom w:val="0"/>
          <w:divBdr>
            <w:top w:val="none" w:sz="0" w:space="0" w:color="auto"/>
            <w:left w:val="none" w:sz="0" w:space="0" w:color="auto"/>
            <w:bottom w:val="none" w:sz="0" w:space="0" w:color="auto"/>
            <w:right w:val="none" w:sz="0" w:space="0" w:color="auto"/>
          </w:divBdr>
        </w:div>
        <w:div w:id="544219050">
          <w:marLeft w:val="640"/>
          <w:marRight w:val="0"/>
          <w:marTop w:val="0"/>
          <w:marBottom w:val="0"/>
          <w:divBdr>
            <w:top w:val="none" w:sz="0" w:space="0" w:color="auto"/>
            <w:left w:val="none" w:sz="0" w:space="0" w:color="auto"/>
            <w:bottom w:val="none" w:sz="0" w:space="0" w:color="auto"/>
            <w:right w:val="none" w:sz="0" w:space="0" w:color="auto"/>
          </w:divBdr>
        </w:div>
        <w:div w:id="915751058">
          <w:marLeft w:val="640"/>
          <w:marRight w:val="0"/>
          <w:marTop w:val="0"/>
          <w:marBottom w:val="0"/>
          <w:divBdr>
            <w:top w:val="none" w:sz="0" w:space="0" w:color="auto"/>
            <w:left w:val="none" w:sz="0" w:space="0" w:color="auto"/>
            <w:bottom w:val="none" w:sz="0" w:space="0" w:color="auto"/>
            <w:right w:val="none" w:sz="0" w:space="0" w:color="auto"/>
          </w:divBdr>
        </w:div>
        <w:div w:id="540048932">
          <w:marLeft w:val="640"/>
          <w:marRight w:val="0"/>
          <w:marTop w:val="0"/>
          <w:marBottom w:val="0"/>
          <w:divBdr>
            <w:top w:val="none" w:sz="0" w:space="0" w:color="auto"/>
            <w:left w:val="none" w:sz="0" w:space="0" w:color="auto"/>
            <w:bottom w:val="none" w:sz="0" w:space="0" w:color="auto"/>
            <w:right w:val="none" w:sz="0" w:space="0" w:color="auto"/>
          </w:divBdr>
        </w:div>
        <w:div w:id="109856655">
          <w:marLeft w:val="640"/>
          <w:marRight w:val="0"/>
          <w:marTop w:val="0"/>
          <w:marBottom w:val="0"/>
          <w:divBdr>
            <w:top w:val="none" w:sz="0" w:space="0" w:color="auto"/>
            <w:left w:val="none" w:sz="0" w:space="0" w:color="auto"/>
            <w:bottom w:val="none" w:sz="0" w:space="0" w:color="auto"/>
            <w:right w:val="none" w:sz="0" w:space="0" w:color="auto"/>
          </w:divBdr>
        </w:div>
        <w:div w:id="186413810">
          <w:marLeft w:val="640"/>
          <w:marRight w:val="0"/>
          <w:marTop w:val="0"/>
          <w:marBottom w:val="0"/>
          <w:divBdr>
            <w:top w:val="none" w:sz="0" w:space="0" w:color="auto"/>
            <w:left w:val="none" w:sz="0" w:space="0" w:color="auto"/>
            <w:bottom w:val="none" w:sz="0" w:space="0" w:color="auto"/>
            <w:right w:val="none" w:sz="0" w:space="0" w:color="auto"/>
          </w:divBdr>
        </w:div>
        <w:div w:id="942372309">
          <w:marLeft w:val="640"/>
          <w:marRight w:val="0"/>
          <w:marTop w:val="0"/>
          <w:marBottom w:val="0"/>
          <w:divBdr>
            <w:top w:val="none" w:sz="0" w:space="0" w:color="auto"/>
            <w:left w:val="none" w:sz="0" w:space="0" w:color="auto"/>
            <w:bottom w:val="none" w:sz="0" w:space="0" w:color="auto"/>
            <w:right w:val="none" w:sz="0" w:space="0" w:color="auto"/>
          </w:divBdr>
        </w:div>
        <w:div w:id="1619291922">
          <w:marLeft w:val="640"/>
          <w:marRight w:val="0"/>
          <w:marTop w:val="0"/>
          <w:marBottom w:val="0"/>
          <w:divBdr>
            <w:top w:val="none" w:sz="0" w:space="0" w:color="auto"/>
            <w:left w:val="none" w:sz="0" w:space="0" w:color="auto"/>
            <w:bottom w:val="none" w:sz="0" w:space="0" w:color="auto"/>
            <w:right w:val="none" w:sz="0" w:space="0" w:color="auto"/>
          </w:divBdr>
        </w:div>
        <w:div w:id="1753043650">
          <w:marLeft w:val="640"/>
          <w:marRight w:val="0"/>
          <w:marTop w:val="0"/>
          <w:marBottom w:val="0"/>
          <w:divBdr>
            <w:top w:val="none" w:sz="0" w:space="0" w:color="auto"/>
            <w:left w:val="none" w:sz="0" w:space="0" w:color="auto"/>
            <w:bottom w:val="none" w:sz="0" w:space="0" w:color="auto"/>
            <w:right w:val="none" w:sz="0" w:space="0" w:color="auto"/>
          </w:divBdr>
        </w:div>
        <w:div w:id="291252856">
          <w:marLeft w:val="640"/>
          <w:marRight w:val="0"/>
          <w:marTop w:val="0"/>
          <w:marBottom w:val="0"/>
          <w:divBdr>
            <w:top w:val="none" w:sz="0" w:space="0" w:color="auto"/>
            <w:left w:val="none" w:sz="0" w:space="0" w:color="auto"/>
            <w:bottom w:val="none" w:sz="0" w:space="0" w:color="auto"/>
            <w:right w:val="none" w:sz="0" w:space="0" w:color="auto"/>
          </w:divBdr>
        </w:div>
        <w:div w:id="1506900989">
          <w:marLeft w:val="640"/>
          <w:marRight w:val="0"/>
          <w:marTop w:val="0"/>
          <w:marBottom w:val="0"/>
          <w:divBdr>
            <w:top w:val="none" w:sz="0" w:space="0" w:color="auto"/>
            <w:left w:val="none" w:sz="0" w:space="0" w:color="auto"/>
            <w:bottom w:val="none" w:sz="0" w:space="0" w:color="auto"/>
            <w:right w:val="none" w:sz="0" w:space="0" w:color="auto"/>
          </w:divBdr>
        </w:div>
        <w:div w:id="632516470">
          <w:marLeft w:val="640"/>
          <w:marRight w:val="0"/>
          <w:marTop w:val="0"/>
          <w:marBottom w:val="0"/>
          <w:divBdr>
            <w:top w:val="none" w:sz="0" w:space="0" w:color="auto"/>
            <w:left w:val="none" w:sz="0" w:space="0" w:color="auto"/>
            <w:bottom w:val="none" w:sz="0" w:space="0" w:color="auto"/>
            <w:right w:val="none" w:sz="0" w:space="0" w:color="auto"/>
          </w:divBdr>
        </w:div>
        <w:div w:id="1819418049">
          <w:marLeft w:val="640"/>
          <w:marRight w:val="0"/>
          <w:marTop w:val="0"/>
          <w:marBottom w:val="0"/>
          <w:divBdr>
            <w:top w:val="none" w:sz="0" w:space="0" w:color="auto"/>
            <w:left w:val="none" w:sz="0" w:space="0" w:color="auto"/>
            <w:bottom w:val="none" w:sz="0" w:space="0" w:color="auto"/>
            <w:right w:val="none" w:sz="0" w:space="0" w:color="auto"/>
          </w:divBdr>
        </w:div>
        <w:div w:id="769665313">
          <w:marLeft w:val="640"/>
          <w:marRight w:val="0"/>
          <w:marTop w:val="0"/>
          <w:marBottom w:val="0"/>
          <w:divBdr>
            <w:top w:val="none" w:sz="0" w:space="0" w:color="auto"/>
            <w:left w:val="none" w:sz="0" w:space="0" w:color="auto"/>
            <w:bottom w:val="none" w:sz="0" w:space="0" w:color="auto"/>
            <w:right w:val="none" w:sz="0" w:space="0" w:color="auto"/>
          </w:divBdr>
        </w:div>
        <w:div w:id="674260934">
          <w:marLeft w:val="640"/>
          <w:marRight w:val="0"/>
          <w:marTop w:val="0"/>
          <w:marBottom w:val="0"/>
          <w:divBdr>
            <w:top w:val="none" w:sz="0" w:space="0" w:color="auto"/>
            <w:left w:val="none" w:sz="0" w:space="0" w:color="auto"/>
            <w:bottom w:val="none" w:sz="0" w:space="0" w:color="auto"/>
            <w:right w:val="none" w:sz="0" w:space="0" w:color="auto"/>
          </w:divBdr>
        </w:div>
        <w:div w:id="22440952">
          <w:marLeft w:val="640"/>
          <w:marRight w:val="0"/>
          <w:marTop w:val="0"/>
          <w:marBottom w:val="0"/>
          <w:divBdr>
            <w:top w:val="none" w:sz="0" w:space="0" w:color="auto"/>
            <w:left w:val="none" w:sz="0" w:space="0" w:color="auto"/>
            <w:bottom w:val="none" w:sz="0" w:space="0" w:color="auto"/>
            <w:right w:val="none" w:sz="0" w:space="0" w:color="auto"/>
          </w:divBdr>
        </w:div>
        <w:div w:id="145126154">
          <w:marLeft w:val="640"/>
          <w:marRight w:val="0"/>
          <w:marTop w:val="0"/>
          <w:marBottom w:val="0"/>
          <w:divBdr>
            <w:top w:val="none" w:sz="0" w:space="0" w:color="auto"/>
            <w:left w:val="none" w:sz="0" w:space="0" w:color="auto"/>
            <w:bottom w:val="none" w:sz="0" w:space="0" w:color="auto"/>
            <w:right w:val="none" w:sz="0" w:space="0" w:color="auto"/>
          </w:divBdr>
        </w:div>
        <w:div w:id="211693754">
          <w:marLeft w:val="640"/>
          <w:marRight w:val="0"/>
          <w:marTop w:val="0"/>
          <w:marBottom w:val="0"/>
          <w:divBdr>
            <w:top w:val="none" w:sz="0" w:space="0" w:color="auto"/>
            <w:left w:val="none" w:sz="0" w:space="0" w:color="auto"/>
            <w:bottom w:val="none" w:sz="0" w:space="0" w:color="auto"/>
            <w:right w:val="none" w:sz="0" w:space="0" w:color="auto"/>
          </w:divBdr>
        </w:div>
        <w:div w:id="473646392">
          <w:marLeft w:val="640"/>
          <w:marRight w:val="0"/>
          <w:marTop w:val="0"/>
          <w:marBottom w:val="0"/>
          <w:divBdr>
            <w:top w:val="none" w:sz="0" w:space="0" w:color="auto"/>
            <w:left w:val="none" w:sz="0" w:space="0" w:color="auto"/>
            <w:bottom w:val="none" w:sz="0" w:space="0" w:color="auto"/>
            <w:right w:val="none" w:sz="0" w:space="0" w:color="auto"/>
          </w:divBdr>
        </w:div>
        <w:div w:id="1728532746">
          <w:marLeft w:val="640"/>
          <w:marRight w:val="0"/>
          <w:marTop w:val="0"/>
          <w:marBottom w:val="0"/>
          <w:divBdr>
            <w:top w:val="none" w:sz="0" w:space="0" w:color="auto"/>
            <w:left w:val="none" w:sz="0" w:space="0" w:color="auto"/>
            <w:bottom w:val="none" w:sz="0" w:space="0" w:color="auto"/>
            <w:right w:val="none" w:sz="0" w:space="0" w:color="auto"/>
          </w:divBdr>
        </w:div>
        <w:div w:id="1025134716">
          <w:marLeft w:val="640"/>
          <w:marRight w:val="0"/>
          <w:marTop w:val="0"/>
          <w:marBottom w:val="0"/>
          <w:divBdr>
            <w:top w:val="none" w:sz="0" w:space="0" w:color="auto"/>
            <w:left w:val="none" w:sz="0" w:space="0" w:color="auto"/>
            <w:bottom w:val="none" w:sz="0" w:space="0" w:color="auto"/>
            <w:right w:val="none" w:sz="0" w:space="0" w:color="auto"/>
          </w:divBdr>
        </w:div>
        <w:div w:id="543712369">
          <w:marLeft w:val="640"/>
          <w:marRight w:val="0"/>
          <w:marTop w:val="0"/>
          <w:marBottom w:val="0"/>
          <w:divBdr>
            <w:top w:val="none" w:sz="0" w:space="0" w:color="auto"/>
            <w:left w:val="none" w:sz="0" w:space="0" w:color="auto"/>
            <w:bottom w:val="none" w:sz="0" w:space="0" w:color="auto"/>
            <w:right w:val="none" w:sz="0" w:space="0" w:color="auto"/>
          </w:divBdr>
        </w:div>
        <w:div w:id="1436169969">
          <w:marLeft w:val="640"/>
          <w:marRight w:val="0"/>
          <w:marTop w:val="0"/>
          <w:marBottom w:val="0"/>
          <w:divBdr>
            <w:top w:val="none" w:sz="0" w:space="0" w:color="auto"/>
            <w:left w:val="none" w:sz="0" w:space="0" w:color="auto"/>
            <w:bottom w:val="none" w:sz="0" w:space="0" w:color="auto"/>
            <w:right w:val="none" w:sz="0" w:space="0" w:color="auto"/>
          </w:divBdr>
        </w:div>
        <w:div w:id="2033070771">
          <w:marLeft w:val="640"/>
          <w:marRight w:val="0"/>
          <w:marTop w:val="0"/>
          <w:marBottom w:val="0"/>
          <w:divBdr>
            <w:top w:val="none" w:sz="0" w:space="0" w:color="auto"/>
            <w:left w:val="none" w:sz="0" w:space="0" w:color="auto"/>
            <w:bottom w:val="none" w:sz="0" w:space="0" w:color="auto"/>
            <w:right w:val="none" w:sz="0" w:space="0" w:color="auto"/>
          </w:divBdr>
        </w:div>
        <w:div w:id="1483425018">
          <w:marLeft w:val="640"/>
          <w:marRight w:val="0"/>
          <w:marTop w:val="0"/>
          <w:marBottom w:val="0"/>
          <w:divBdr>
            <w:top w:val="none" w:sz="0" w:space="0" w:color="auto"/>
            <w:left w:val="none" w:sz="0" w:space="0" w:color="auto"/>
            <w:bottom w:val="none" w:sz="0" w:space="0" w:color="auto"/>
            <w:right w:val="none" w:sz="0" w:space="0" w:color="auto"/>
          </w:divBdr>
        </w:div>
        <w:div w:id="198706981">
          <w:marLeft w:val="640"/>
          <w:marRight w:val="0"/>
          <w:marTop w:val="0"/>
          <w:marBottom w:val="0"/>
          <w:divBdr>
            <w:top w:val="none" w:sz="0" w:space="0" w:color="auto"/>
            <w:left w:val="none" w:sz="0" w:space="0" w:color="auto"/>
            <w:bottom w:val="none" w:sz="0" w:space="0" w:color="auto"/>
            <w:right w:val="none" w:sz="0" w:space="0" w:color="auto"/>
          </w:divBdr>
        </w:div>
        <w:div w:id="480121927">
          <w:marLeft w:val="640"/>
          <w:marRight w:val="0"/>
          <w:marTop w:val="0"/>
          <w:marBottom w:val="0"/>
          <w:divBdr>
            <w:top w:val="none" w:sz="0" w:space="0" w:color="auto"/>
            <w:left w:val="none" w:sz="0" w:space="0" w:color="auto"/>
            <w:bottom w:val="none" w:sz="0" w:space="0" w:color="auto"/>
            <w:right w:val="none" w:sz="0" w:space="0" w:color="auto"/>
          </w:divBdr>
        </w:div>
        <w:div w:id="456488400">
          <w:marLeft w:val="640"/>
          <w:marRight w:val="0"/>
          <w:marTop w:val="0"/>
          <w:marBottom w:val="0"/>
          <w:divBdr>
            <w:top w:val="none" w:sz="0" w:space="0" w:color="auto"/>
            <w:left w:val="none" w:sz="0" w:space="0" w:color="auto"/>
            <w:bottom w:val="none" w:sz="0" w:space="0" w:color="auto"/>
            <w:right w:val="none" w:sz="0" w:space="0" w:color="auto"/>
          </w:divBdr>
        </w:div>
        <w:div w:id="461964519">
          <w:marLeft w:val="640"/>
          <w:marRight w:val="0"/>
          <w:marTop w:val="0"/>
          <w:marBottom w:val="0"/>
          <w:divBdr>
            <w:top w:val="none" w:sz="0" w:space="0" w:color="auto"/>
            <w:left w:val="none" w:sz="0" w:space="0" w:color="auto"/>
            <w:bottom w:val="none" w:sz="0" w:space="0" w:color="auto"/>
            <w:right w:val="none" w:sz="0" w:space="0" w:color="auto"/>
          </w:divBdr>
        </w:div>
        <w:div w:id="1825929816">
          <w:marLeft w:val="640"/>
          <w:marRight w:val="0"/>
          <w:marTop w:val="0"/>
          <w:marBottom w:val="0"/>
          <w:divBdr>
            <w:top w:val="none" w:sz="0" w:space="0" w:color="auto"/>
            <w:left w:val="none" w:sz="0" w:space="0" w:color="auto"/>
            <w:bottom w:val="none" w:sz="0" w:space="0" w:color="auto"/>
            <w:right w:val="none" w:sz="0" w:space="0" w:color="auto"/>
          </w:divBdr>
        </w:div>
        <w:div w:id="1593933589">
          <w:marLeft w:val="640"/>
          <w:marRight w:val="0"/>
          <w:marTop w:val="0"/>
          <w:marBottom w:val="0"/>
          <w:divBdr>
            <w:top w:val="none" w:sz="0" w:space="0" w:color="auto"/>
            <w:left w:val="none" w:sz="0" w:space="0" w:color="auto"/>
            <w:bottom w:val="none" w:sz="0" w:space="0" w:color="auto"/>
            <w:right w:val="none" w:sz="0" w:space="0" w:color="auto"/>
          </w:divBdr>
        </w:div>
        <w:div w:id="1877502229">
          <w:marLeft w:val="640"/>
          <w:marRight w:val="0"/>
          <w:marTop w:val="0"/>
          <w:marBottom w:val="0"/>
          <w:divBdr>
            <w:top w:val="none" w:sz="0" w:space="0" w:color="auto"/>
            <w:left w:val="none" w:sz="0" w:space="0" w:color="auto"/>
            <w:bottom w:val="none" w:sz="0" w:space="0" w:color="auto"/>
            <w:right w:val="none" w:sz="0" w:space="0" w:color="auto"/>
          </w:divBdr>
        </w:div>
        <w:div w:id="1682273215">
          <w:marLeft w:val="640"/>
          <w:marRight w:val="0"/>
          <w:marTop w:val="0"/>
          <w:marBottom w:val="0"/>
          <w:divBdr>
            <w:top w:val="none" w:sz="0" w:space="0" w:color="auto"/>
            <w:left w:val="none" w:sz="0" w:space="0" w:color="auto"/>
            <w:bottom w:val="none" w:sz="0" w:space="0" w:color="auto"/>
            <w:right w:val="none" w:sz="0" w:space="0" w:color="auto"/>
          </w:divBdr>
        </w:div>
        <w:div w:id="1720279431">
          <w:marLeft w:val="640"/>
          <w:marRight w:val="0"/>
          <w:marTop w:val="0"/>
          <w:marBottom w:val="0"/>
          <w:divBdr>
            <w:top w:val="none" w:sz="0" w:space="0" w:color="auto"/>
            <w:left w:val="none" w:sz="0" w:space="0" w:color="auto"/>
            <w:bottom w:val="none" w:sz="0" w:space="0" w:color="auto"/>
            <w:right w:val="none" w:sz="0" w:space="0" w:color="auto"/>
          </w:divBdr>
        </w:div>
        <w:div w:id="1762023837">
          <w:marLeft w:val="640"/>
          <w:marRight w:val="0"/>
          <w:marTop w:val="0"/>
          <w:marBottom w:val="0"/>
          <w:divBdr>
            <w:top w:val="none" w:sz="0" w:space="0" w:color="auto"/>
            <w:left w:val="none" w:sz="0" w:space="0" w:color="auto"/>
            <w:bottom w:val="none" w:sz="0" w:space="0" w:color="auto"/>
            <w:right w:val="none" w:sz="0" w:space="0" w:color="auto"/>
          </w:divBdr>
        </w:div>
        <w:div w:id="382485658">
          <w:marLeft w:val="640"/>
          <w:marRight w:val="0"/>
          <w:marTop w:val="0"/>
          <w:marBottom w:val="0"/>
          <w:divBdr>
            <w:top w:val="none" w:sz="0" w:space="0" w:color="auto"/>
            <w:left w:val="none" w:sz="0" w:space="0" w:color="auto"/>
            <w:bottom w:val="none" w:sz="0" w:space="0" w:color="auto"/>
            <w:right w:val="none" w:sz="0" w:space="0" w:color="auto"/>
          </w:divBdr>
        </w:div>
        <w:div w:id="1975601841">
          <w:marLeft w:val="640"/>
          <w:marRight w:val="0"/>
          <w:marTop w:val="0"/>
          <w:marBottom w:val="0"/>
          <w:divBdr>
            <w:top w:val="none" w:sz="0" w:space="0" w:color="auto"/>
            <w:left w:val="none" w:sz="0" w:space="0" w:color="auto"/>
            <w:bottom w:val="none" w:sz="0" w:space="0" w:color="auto"/>
            <w:right w:val="none" w:sz="0" w:space="0" w:color="auto"/>
          </w:divBdr>
        </w:div>
        <w:div w:id="1007559535">
          <w:marLeft w:val="640"/>
          <w:marRight w:val="0"/>
          <w:marTop w:val="0"/>
          <w:marBottom w:val="0"/>
          <w:divBdr>
            <w:top w:val="none" w:sz="0" w:space="0" w:color="auto"/>
            <w:left w:val="none" w:sz="0" w:space="0" w:color="auto"/>
            <w:bottom w:val="none" w:sz="0" w:space="0" w:color="auto"/>
            <w:right w:val="none" w:sz="0" w:space="0" w:color="auto"/>
          </w:divBdr>
        </w:div>
        <w:div w:id="1584873565">
          <w:marLeft w:val="640"/>
          <w:marRight w:val="0"/>
          <w:marTop w:val="0"/>
          <w:marBottom w:val="0"/>
          <w:divBdr>
            <w:top w:val="none" w:sz="0" w:space="0" w:color="auto"/>
            <w:left w:val="none" w:sz="0" w:space="0" w:color="auto"/>
            <w:bottom w:val="none" w:sz="0" w:space="0" w:color="auto"/>
            <w:right w:val="none" w:sz="0" w:space="0" w:color="auto"/>
          </w:divBdr>
        </w:div>
        <w:div w:id="1254632654">
          <w:marLeft w:val="640"/>
          <w:marRight w:val="0"/>
          <w:marTop w:val="0"/>
          <w:marBottom w:val="0"/>
          <w:divBdr>
            <w:top w:val="none" w:sz="0" w:space="0" w:color="auto"/>
            <w:left w:val="none" w:sz="0" w:space="0" w:color="auto"/>
            <w:bottom w:val="none" w:sz="0" w:space="0" w:color="auto"/>
            <w:right w:val="none" w:sz="0" w:space="0" w:color="auto"/>
          </w:divBdr>
        </w:div>
        <w:div w:id="346641052">
          <w:marLeft w:val="640"/>
          <w:marRight w:val="0"/>
          <w:marTop w:val="0"/>
          <w:marBottom w:val="0"/>
          <w:divBdr>
            <w:top w:val="none" w:sz="0" w:space="0" w:color="auto"/>
            <w:left w:val="none" w:sz="0" w:space="0" w:color="auto"/>
            <w:bottom w:val="none" w:sz="0" w:space="0" w:color="auto"/>
            <w:right w:val="none" w:sz="0" w:space="0" w:color="auto"/>
          </w:divBdr>
        </w:div>
        <w:div w:id="887569102">
          <w:marLeft w:val="640"/>
          <w:marRight w:val="0"/>
          <w:marTop w:val="0"/>
          <w:marBottom w:val="0"/>
          <w:divBdr>
            <w:top w:val="none" w:sz="0" w:space="0" w:color="auto"/>
            <w:left w:val="none" w:sz="0" w:space="0" w:color="auto"/>
            <w:bottom w:val="none" w:sz="0" w:space="0" w:color="auto"/>
            <w:right w:val="none" w:sz="0" w:space="0" w:color="auto"/>
          </w:divBdr>
        </w:div>
      </w:divsChild>
    </w:div>
    <w:div w:id="489450057">
      <w:bodyDiv w:val="1"/>
      <w:marLeft w:val="0"/>
      <w:marRight w:val="0"/>
      <w:marTop w:val="0"/>
      <w:marBottom w:val="0"/>
      <w:divBdr>
        <w:top w:val="none" w:sz="0" w:space="0" w:color="auto"/>
        <w:left w:val="none" w:sz="0" w:space="0" w:color="auto"/>
        <w:bottom w:val="none" w:sz="0" w:space="0" w:color="auto"/>
        <w:right w:val="none" w:sz="0" w:space="0" w:color="auto"/>
      </w:divBdr>
      <w:divsChild>
        <w:div w:id="1876577994">
          <w:marLeft w:val="640"/>
          <w:marRight w:val="0"/>
          <w:marTop w:val="0"/>
          <w:marBottom w:val="0"/>
          <w:divBdr>
            <w:top w:val="none" w:sz="0" w:space="0" w:color="auto"/>
            <w:left w:val="none" w:sz="0" w:space="0" w:color="auto"/>
            <w:bottom w:val="none" w:sz="0" w:space="0" w:color="auto"/>
            <w:right w:val="none" w:sz="0" w:space="0" w:color="auto"/>
          </w:divBdr>
        </w:div>
        <w:div w:id="1377119347">
          <w:marLeft w:val="640"/>
          <w:marRight w:val="0"/>
          <w:marTop w:val="0"/>
          <w:marBottom w:val="0"/>
          <w:divBdr>
            <w:top w:val="none" w:sz="0" w:space="0" w:color="auto"/>
            <w:left w:val="none" w:sz="0" w:space="0" w:color="auto"/>
            <w:bottom w:val="none" w:sz="0" w:space="0" w:color="auto"/>
            <w:right w:val="none" w:sz="0" w:space="0" w:color="auto"/>
          </w:divBdr>
        </w:div>
        <w:div w:id="142700579">
          <w:marLeft w:val="640"/>
          <w:marRight w:val="0"/>
          <w:marTop w:val="0"/>
          <w:marBottom w:val="0"/>
          <w:divBdr>
            <w:top w:val="none" w:sz="0" w:space="0" w:color="auto"/>
            <w:left w:val="none" w:sz="0" w:space="0" w:color="auto"/>
            <w:bottom w:val="none" w:sz="0" w:space="0" w:color="auto"/>
            <w:right w:val="none" w:sz="0" w:space="0" w:color="auto"/>
          </w:divBdr>
        </w:div>
        <w:div w:id="571551118">
          <w:marLeft w:val="640"/>
          <w:marRight w:val="0"/>
          <w:marTop w:val="0"/>
          <w:marBottom w:val="0"/>
          <w:divBdr>
            <w:top w:val="none" w:sz="0" w:space="0" w:color="auto"/>
            <w:left w:val="none" w:sz="0" w:space="0" w:color="auto"/>
            <w:bottom w:val="none" w:sz="0" w:space="0" w:color="auto"/>
            <w:right w:val="none" w:sz="0" w:space="0" w:color="auto"/>
          </w:divBdr>
        </w:div>
        <w:div w:id="2130126857">
          <w:marLeft w:val="640"/>
          <w:marRight w:val="0"/>
          <w:marTop w:val="0"/>
          <w:marBottom w:val="0"/>
          <w:divBdr>
            <w:top w:val="none" w:sz="0" w:space="0" w:color="auto"/>
            <w:left w:val="none" w:sz="0" w:space="0" w:color="auto"/>
            <w:bottom w:val="none" w:sz="0" w:space="0" w:color="auto"/>
            <w:right w:val="none" w:sz="0" w:space="0" w:color="auto"/>
          </w:divBdr>
        </w:div>
        <w:div w:id="1568373456">
          <w:marLeft w:val="640"/>
          <w:marRight w:val="0"/>
          <w:marTop w:val="0"/>
          <w:marBottom w:val="0"/>
          <w:divBdr>
            <w:top w:val="none" w:sz="0" w:space="0" w:color="auto"/>
            <w:left w:val="none" w:sz="0" w:space="0" w:color="auto"/>
            <w:bottom w:val="none" w:sz="0" w:space="0" w:color="auto"/>
            <w:right w:val="none" w:sz="0" w:space="0" w:color="auto"/>
          </w:divBdr>
        </w:div>
        <w:div w:id="1010762867">
          <w:marLeft w:val="640"/>
          <w:marRight w:val="0"/>
          <w:marTop w:val="0"/>
          <w:marBottom w:val="0"/>
          <w:divBdr>
            <w:top w:val="none" w:sz="0" w:space="0" w:color="auto"/>
            <w:left w:val="none" w:sz="0" w:space="0" w:color="auto"/>
            <w:bottom w:val="none" w:sz="0" w:space="0" w:color="auto"/>
            <w:right w:val="none" w:sz="0" w:space="0" w:color="auto"/>
          </w:divBdr>
        </w:div>
        <w:div w:id="1168666513">
          <w:marLeft w:val="640"/>
          <w:marRight w:val="0"/>
          <w:marTop w:val="0"/>
          <w:marBottom w:val="0"/>
          <w:divBdr>
            <w:top w:val="none" w:sz="0" w:space="0" w:color="auto"/>
            <w:left w:val="none" w:sz="0" w:space="0" w:color="auto"/>
            <w:bottom w:val="none" w:sz="0" w:space="0" w:color="auto"/>
            <w:right w:val="none" w:sz="0" w:space="0" w:color="auto"/>
          </w:divBdr>
        </w:div>
        <w:div w:id="8994144">
          <w:marLeft w:val="640"/>
          <w:marRight w:val="0"/>
          <w:marTop w:val="0"/>
          <w:marBottom w:val="0"/>
          <w:divBdr>
            <w:top w:val="none" w:sz="0" w:space="0" w:color="auto"/>
            <w:left w:val="none" w:sz="0" w:space="0" w:color="auto"/>
            <w:bottom w:val="none" w:sz="0" w:space="0" w:color="auto"/>
            <w:right w:val="none" w:sz="0" w:space="0" w:color="auto"/>
          </w:divBdr>
        </w:div>
        <w:div w:id="373429004">
          <w:marLeft w:val="640"/>
          <w:marRight w:val="0"/>
          <w:marTop w:val="0"/>
          <w:marBottom w:val="0"/>
          <w:divBdr>
            <w:top w:val="none" w:sz="0" w:space="0" w:color="auto"/>
            <w:left w:val="none" w:sz="0" w:space="0" w:color="auto"/>
            <w:bottom w:val="none" w:sz="0" w:space="0" w:color="auto"/>
            <w:right w:val="none" w:sz="0" w:space="0" w:color="auto"/>
          </w:divBdr>
        </w:div>
        <w:div w:id="1275332391">
          <w:marLeft w:val="640"/>
          <w:marRight w:val="0"/>
          <w:marTop w:val="0"/>
          <w:marBottom w:val="0"/>
          <w:divBdr>
            <w:top w:val="none" w:sz="0" w:space="0" w:color="auto"/>
            <w:left w:val="none" w:sz="0" w:space="0" w:color="auto"/>
            <w:bottom w:val="none" w:sz="0" w:space="0" w:color="auto"/>
            <w:right w:val="none" w:sz="0" w:space="0" w:color="auto"/>
          </w:divBdr>
        </w:div>
        <w:div w:id="1785346869">
          <w:marLeft w:val="640"/>
          <w:marRight w:val="0"/>
          <w:marTop w:val="0"/>
          <w:marBottom w:val="0"/>
          <w:divBdr>
            <w:top w:val="none" w:sz="0" w:space="0" w:color="auto"/>
            <w:left w:val="none" w:sz="0" w:space="0" w:color="auto"/>
            <w:bottom w:val="none" w:sz="0" w:space="0" w:color="auto"/>
            <w:right w:val="none" w:sz="0" w:space="0" w:color="auto"/>
          </w:divBdr>
        </w:div>
        <w:div w:id="1504513128">
          <w:marLeft w:val="640"/>
          <w:marRight w:val="0"/>
          <w:marTop w:val="0"/>
          <w:marBottom w:val="0"/>
          <w:divBdr>
            <w:top w:val="none" w:sz="0" w:space="0" w:color="auto"/>
            <w:left w:val="none" w:sz="0" w:space="0" w:color="auto"/>
            <w:bottom w:val="none" w:sz="0" w:space="0" w:color="auto"/>
            <w:right w:val="none" w:sz="0" w:space="0" w:color="auto"/>
          </w:divBdr>
        </w:div>
        <w:div w:id="2108386500">
          <w:marLeft w:val="640"/>
          <w:marRight w:val="0"/>
          <w:marTop w:val="0"/>
          <w:marBottom w:val="0"/>
          <w:divBdr>
            <w:top w:val="none" w:sz="0" w:space="0" w:color="auto"/>
            <w:left w:val="none" w:sz="0" w:space="0" w:color="auto"/>
            <w:bottom w:val="none" w:sz="0" w:space="0" w:color="auto"/>
            <w:right w:val="none" w:sz="0" w:space="0" w:color="auto"/>
          </w:divBdr>
        </w:div>
        <w:div w:id="1345670976">
          <w:marLeft w:val="640"/>
          <w:marRight w:val="0"/>
          <w:marTop w:val="0"/>
          <w:marBottom w:val="0"/>
          <w:divBdr>
            <w:top w:val="none" w:sz="0" w:space="0" w:color="auto"/>
            <w:left w:val="none" w:sz="0" w:space="0" w:color="auto"/>
            <w:bottom w:val="none" w:sz="0" w:space="0" w:color="auto"/>
            <w:right w:val="none" w:sz="0" w:space="0" w:color="auto"/>
          </w:divBdr>
        </w:div>
        <w:div w:id="476266063">
          <w:marLeft w:val="640"/>
          <w:marRight w:val="0"/>
          <w:marTop w:val="0"/>
          <w:marBottom w:val="0"/>
          <w:divBdr>
            <w:top w:val="none" w:sz="0" w:space="0" w:color="auto"/>
            <w:left w:val="none" w:sz="0" w:space="0" w:color="auto"/>
            <w:bottom w:val="none" w:sz="0" w:space="0" w:color="auto"/>
            <w:right w:val="none" w:sz="0" w:space="0" w:color="auto"/>
          </w:divBdr>
        </w:div>
        <w:div w:id="1477801467">
          <w:marLeft w:val="640"/>
          <w:marRight w:val="0"/>
          <w:marTop w:val="0"/>
          <w:marBottom w:val="0"/>
          <w:divBdr>
            <w:top w:val="none" w:sz="0" w:space="0" w:color="auto"/>
            <w:left w:val="none" w:sz="0" w:space="0" w:color="auto"/>
            <w:bottom w:val="none" w:sz="0" w:space="0" w:color="auto"/>
            <w:right w:val="none" w:sz="0" w:space="0" w:color="auto"/>
          </w:divBdr>
        </w:div>
        <w:div w:id="350451452">
          <w:marLeft w:val="640"/>
          <w:marRight w:val="0"/>
          <w:marTop w:val="0"/>
          <w:marBottom w:val="0"/>
          <w:divBdr>
            <w:top w:val="none" w:sz="0" w:space="0" w:color="auto"/>
            <w:left w:val="none" w:sz="0" w:space="0" w:color="auto"/>
            <w:bottom w:val="none" w:sz="0" w:space="0" w:color="auto"/>
            <w:right w:val="none" w:sz="0" w:space="0" w:color="auto"/>
          </w:divBdr>
        </w:div>
        <w:div w:id="1605961481">
          <w:marLeft w:val="640"/>
          <w:marRight w:val="0"/>
          <w:marTop w:val="0"/>
          <w:marBottom w:val="0"/>
          <w:divBdr>
            <w:top w:val="none" w:sz="0" w:space="0" w:color="auto"/>
            <w:left w:val="none" w:sz="0" w:space="0" w:color="auto"/>
            <w:bottom w:val="none" w:sz="0" w:space="0" w:color="auto"/>
            <w:right w:val="none" w:sz="0" w:space="0" w:color="auto"/>
          </w:divBdr>
        </w:div>
        <w:div w:id="1178540704">
          <w:marLeft w:val="640"/>
          <w:marRight w:val="0"/>
          <w:marTop w:val="0"/>
          <w:marBottom w:val="0"/>
          <w:divBdr>
            <w:top w:val="none" w:sz="0" w:space="0" w:color="auto"/>
            <w:left w:val="none" w:sz="0" w:space="0" w:color="auto"/>
            <w:bottom w:val="none" w:sz="0" w:space="0" w:color="auto"/>
            <w:right w:val="none" w:sz="0" w:space="0" w:color="auto"/>
          </w:divBdr>
        </w:div>
        <w:div w:id="344213036">
          <w:marLeft w:val="640"/>
          <w:marRight w:val="0"/>
          <w:marTop w:val="0"/>
          <w:marBottom w:val="0"/>
          <w:divBdr>
            <w:top w:val="none" w:sz="0" w:space="0" w:color="auto"/>
            <w:left w:val="none" w:sz="0" w:space="0" w:color="auto"/>
            <w:bottom w:val="none" w:sz="0" w:space="0" w:color="auto"/>
            <w:right w:val="none" w:sz="0" w:space="0" w:color="auto"/>
          </w:divBdr>
        </w:div>
        <w:div w:id="1930187456">
          <w:marLeft w:val="640"/>
          <w:marRight w:val="0"/>
          <w:marTop w:val="0"/>
          <w:marBottom w:val="0"/>
          <w:divBdr>
            <w:top w:val="none" w:sz="0" w:space="0" w:color="auto"/>
            <w:left w:val="none" w:sz="0" w:space="0" w:color="auto"/>
            <w:bottom w:val="none" w:sz="0" w:space="0" w:color="auto"/>
            <w:right w:val="none" w:sz="0" w:space="0" w:color="auto"/>
          </w:divBdr>
        </w:div>
        <w:div w:id="2129230602">
          <w:marLeft w:val="640"/>
          <w:marRight w:val="0"/>
          <w:marTop w:val="0"/>
          <w:marBottom w:val="0"/>
          <w:divBdr>
            <w:top w:val="none" w:sz="0" w:space="0" w:color="auto"/>
            <w:left w:val="none" w:sz="0" w:space="0" w:color="auto"/>
            <w:bottom w:val="none" w:sz="0" w:space="0" w:color="auto"/>
            <w:right w:val="none" w:sz="0" w:space="0" w:color="auto"/>
          </w:divBdr>
        </w:div>
        <w:div w:id="727190540">
          <w:marLeft w:val="640"/>
          <w:marRight w:val="0"/>
          <w:marTop w:val="0"/>
          <w:marBottom w:val="0"/>
          <w:divBdr>
            <w:top w:val="none" w:sz="0" w:space="0" w:color="auto"/>
            <w:left w:val="none" w:sz="0" w:space="0" w:color="auto"/>
            <w:bottom w:val="none" w:sz="0" w:space="0" w:color="auto"/>
            <w:right w:val="none" w:sz="0" w:space="0" w:color="auto"/>
          </w:divBdr>
        </w:div>
        <w:div w:id="1834251459">
          <w:marLeft w:val="640"/>
          <w:marRight w:val="0"/>
          <w:marTop w:val="0"/>
          <w:marBottom w:val="0"/>
          <w:divBdr>
            <w:top w:val="none" w:sz="0" w:space="0" w:color="auto"/>
            <w:left w:val="none" w:sz="0" w:space="0" w:color="auto"/>
            <w:bottom w:val="none" w:sz="0" w:space="0" w:color="auto"/>
            <w:right w:val="none" w:sz="0" w:space="0" w:color="auto"/>
          </w:divBdr>
        </w:div>
        <w:div w:id="803696003">
          <w:marLeft w:val="640"/>
          <w:marRight w:val="0"/>
          <w:marTop w:val="0"/>
          <w:marBottom w:val="0"/>
          <w:divBdr>
            <w:top w:val="none" w:sz="0" w:space="0" w:color="auto"/>
            <w:left w:val="none" w:sz="0" w:space="0" w:color="auto"/>
            <w:bottom w:val="none" w:sz="0" w:space="0" w:color="auto"/>
            <w:right w:val="none" w:sz="0" w:space="0" w:color="auto"/>
          </w:divBdr>
        </w:div>
        <w:div w:id="417676314">
          <w:marLeft w:val="640"/>
          <w:marRight w:val="0"/>
          <w:marTop w:val="0"/>
          <w:marBottom w:val="0"/>
          <w:divBdr>
            <w:top w:val="none" w:sz="0" w:space="0" w:color="auto"/>
            <w:left w:val="none" w:sz="0" w:space="0" w:color="auto"/>
            <w:bottom w:val="none" w:sz="0" w:space="0" w:color="auto"/>
            <w:right w:val="none" w:sz="0" w:space="0" w:color="auto"/>
          </w:divBdr>
        </w:div>
        <w:div w:id="1012295389">
          <w:marLeft w:val="640"/>
          <w:marRight w:val="0"/>
          <w:marTop w:val="0"/>
          <w:marBottom w:val="0"/>
          <w:divBdr>
            <w:top w:val="none" w:sz="0" w:space="0" w:color="auto"/>
            <w:left w:val="none" w:sz="0" w:space="0" w:color="auto"/>
            <w:bottom w:val="none" w:sz="0" w:space="0" w:color="auto"/>
            <w:right w:val="none" w:sz="0" w:space="0" w:color="auto"/>
          </w:divBdr>
        </w:div>
        <w:div w:id="1238596010">
          <w:marLeft w:val="640"/>
          <w:marRight w:val="0"/>
          <w:marTop w:val="0"/>
          <w:marBottom w:val="0"/>
          <w:divBdr>
            <w:top w:val="none" w:sz="0" w:space="0" w:color="auto"/>
            <w:left w:val="none" w:sz="0" w:space="0" w:color="auto"/>
            <w:bottom w:val="none" w:sz="0" w:space="0" w:color="auto"/>
            <w:right w:val="none" w:sz="0" w:space="0" w:color="auto"/>
          </w:divBdr>
        </w:div>
        <w:div w:id="1052192596">
          <w:marLeft w:val="640"/>
          <w:marRight w:val="0"/>
          <w:marTop w:val="0"/>
          <w:marBottom w:val="0"/>
          <w:divBdr>
            <w:top w:val="none" w:sz="0" w:space="0" w:color="auto"/>
            <w:left w:val="none" w:sz="0" w:space="0" w:color="auto"/>
            <w:bottom w:val="none" w:sz="0" w:space="0" w:color="auto"/>
            <w:right w:val="none" w:sz="0" w:space="0" w:color="auto"/>
          </w:divBdr>
        </w:div>
        <w:div w:id="1138104538">
          <w:marLeft w:val="640"/>
          <w:marRight w:val="0"/>
          <w:marTop w:val="0"/>
          <w:marBottom w:val="0"/>
          <w:divBdr>
            <w:top w:val="none" w:sz="0" w:space="0" w:color="auto"/>
            <w:left w:val="none" w:sz="0" w:space="0" w:color="auto"/>
            <w:bottom w:val="none" w:sz="0" w:space="0" w:color="auto"/>
            <w:right w:val="none" w:sz="0" w:space="0" w:color="auto"/>
          </w:divBdr>
        </w:div>
        <w:div w:id="1803569913">
          <w:marLeft w:val="640"/>
          <w:marRight w:val="0"/>
          <w:marTop w:val="0"/>
          <w:marBottom w:val="0"/>
          <w:divBdr>
            <w:top w:val="none" w:sz="0" w:space="0" w:color="auto"/>
            <w:left w:val="none" w:sz="0" w:space="0" w:color="auto"/>
            <w:bottom w:val="none" w:sz="0" w:space="0" w:color="auto"/>
            <w:right w:val="none" w:sz="0" w:space="0" w:color="auto"/>
          </w:divBdr>
        </w:div>
        <w:div w:id="1314607394">
          <w:marLeft w:val="640"/>
          <w:marRight w:val="0"/>
          <w:marTop w:val="0"/>
          <w:marBottom w:val="0"/>
          <w:divBdr>
            <w:top w:val="none" w:sz="0" w:space="0" w:color="auto"/>
            <w:left w:val="none" w:sz="0" w:space="0" w:color="auto"/>
            <w:bottom w:val="none" w:sz="0" w:space="0" w:color="auto"/>
            <w:right w:val="none" w:sz="0" w:space="0" w:color="auto"/>
          </w:divBdr>
        </w:div>
        <w:div w:id="1750423388">
          <w:marLeft w:val="640"/>
          <w:marRight w:val="0"/>
          <w:marTop w:val="0"/>
          <w:marBottom w:val="0"/>
          <w:divBdr>
            <w:top w:val="none" w:sz="0" w:space="0" w:color="auto"/>
            <w:left w:val="none" w:sz="0" w:space="0" w:color="auto"/>
            <w:bottom w:val="none" w:sz="0" w:space="0" w:color="auto"/>
            <w:right w:val="none" w:sz="0" w:space="0" w:color="auto"/>
          </w:divBdr>
        </w:div>
        <w:div w:id="1666856330">
          <w:marLeft w:val="640"/>
          <w:marRight w:val="0"/>
          <w:marTop w:val="0"/>
          <w:marBottom w:val="0"/>
          <w:divBdr>
            <w:top w:val="none" w:sz="0" w:space="0" w:color="auto"/>
            <w:left w:val="none" w:sz="0" w:space="0" w:color="auto"/>
            <w:bottom w:val="none" w:sz="0" w:space="0" w:color="auto"/>
            <w:right w:val="none" w:sz="0" w:space="0" w:color="auto"/>
          </w:divBdr>
        </w:div>
        <w:div w:id="677543072">
          <w:marLeft w:val="640"/>
          <w:marRight w:val="0"/>
          <w:marTop w:val="0"/>
          <w:marBottom w:val="0"/>
          <w:divBdr>
            <w:top w:val="none" w:sz="0" w:space="0" w:color="auto"/>
            <w:left w:val="none" w:sz="0" w:space="0" w:color="auto"/>
            <w:bottom w:val="none" w:sz="0" w:space="0" w:color="auto"/>
            <w:right w:val="none" w:sz="0" w:space="0" w:color="auto"/>
          </w:divBdr>
        </w:div>
        <w:div w:id="338309785">
          <w:marLeft w:val="640"/>
          <w:marRight w:val="0"/>
          <w:marTop w:val="0"/>
          <w:marBottom w:val="0"/>
          <w:divBdr>
            <w:top w:val="none" w:sz="0" w:space="0" w:color="auto"/>
            <w:left w:val="none" w:sz="0" w:space="0" w:color="auto"/>
            <w:bottom w:val="none" w:sz="0" w:space="0" w:color="auto"/>
            <w:right w:val="none" w:sz="0" w:space="0" w:color="auto"/>
          </w:divBdr>
        </w:div>
        <w:div w:id="1741321749">
          <w:marLeft w:val="640"/>
          <w:marRight w:val="0"/>
          <w:marTop w:val="0"/>
          <w:marBottom w:val="0"/>
          <w:divBdr>
            <w:top w:val="none" w:sz="0" w:space="0" w:color="auto"/>
            <w:left w:val="none" w:sz="0" w:space="0" w:color="auto"/>
            <w:bottom w:val="none" w:sz="0" w:space="0" w:color="auto"/>
            <w:right w:val="none" w:sz="0" w:space="0" w:color="auto"/>
          </w:divBdr>
        </w:div>
        <w:div w:id="117921444">
          <w:marLeft w:val="640"/>
          <w:marRight w:val="0"/>
          <w:marTop w:val="0"/>
          <w:marBottom w:val="0"/>
          <w:divBdr>
            <w:top w:val="none" w:sz="0" w:space="0" w:color="auto"/>
            <w:left w:val="none" w:sz="0" w:space="0" w:color="auto"/>
            <w:bottom w:val="none" w:sz="0" w:space="0" w:color="auto"/>
            <w:right w:val="none" w:sz="0" w:space="0" w:color="auto"/>
          </w:divBdr>
        </w:div>
        <w:div w:id="1198543250">
          <w:marLeft w:val="640"/>
          <w:marRight w:val="0"/>
          <w:marTop w:val="0"/>
          <w:marBottom w:val="0"/>
          <w:divBdr>
            <w:top w:val="none" w:sz="0" w:space="0" w:color="auto"/>
            <w:left w:val="none" w:sz="0" w:space="0" w:color="auto"/>
            <w:bottom w:val="none" w:sz="0" w:space="0" w:color="auto"/>
            <w:right w:val="none" w:sz="0" w:space="0" w:color="auto"/>
          </w:divBdr>
        </w:div>
        <w:div w:id="702051293">
          <w:marLeft w:val="640"/>
          <w:marRight w:val="0"/>
          <w:marTop w:val="0"/>
          <w:marBottom w:val="0"/>
          <w:divBdr>
            <w:top w:val="none" w:sz="0" w:space="0" w:color="auto"/>
            <w:left w:val="none" w:sz="0" w:space="0" w:color="auto"/>
            <w:bottom w:val="none" w:sz="0" w:space="0" w:color="auto"/>
            <w:right w:val="none" w:sz="0" w:space="0" w:color="auto"/>
          </w:divBdr>
        </w:div>
        <w:div w:id="289633258">
          <w:marLeft w:val="640"/>
          <w:marRight w:val="0"/>
          <w:marTop w:val="0"/>
          <w:marBottom w:val="0"/>
          <w:divBdr>
            <w:top w:val="none" w:sz="0" w:space="0" w:color="auto"/>
            <w:left w:val="none" w:sz="0" w:space="0" w:color="auto"/>
            <w:bottom w:val="none" w:sz="0" w:space="0" w:color="auto"/>
            <w:right w:val="none" w:sz="0" w:space="0" w:color="auto"/>
          </w:divBdr>
        </w:div>
        <w:div w:id="1584534696">
          <w:marLeft w:val="640"/>
          <w:marRight w:val="0"/>
          <w:marTop w:val="0"/>
          <w:marBottom w:val="0"/>
          <w:divBdr>
            <w:top w:val="none" w:sz="0" w:space="0" w:color="auto"/>
            <w:left w:val="none" w:sz="0" w:space="0" w:color="auto"/>
            <w:bottom w:val="none" w:sz="0" w:space="0" w:color="auto"/>
            <w:right w:val="none" w:sz="0" w:space="0" w:color="auto"/>
          </w:divBdr>
        </w:div>
        <w:div w:id="1587114141">
          <w:marLeft w:val="640"/>
          <w:marRight w:val="0"/>
          <w:marTop w:val="0"/>
          <w:marBottom w:val="0"/>
          <w:divBdr>
            <w:top w:val="none" w:sz="0" w:space="0" w:color="auto"/>
            <w:left w:val="none" w:sz="0" w:space="0" w:color="auto"/>
            <w:bottom w:val="none" w:sz="0" w:space="0" w:color="auto"/>
            <w:right w:val="none" w:sz="0" w:space="0" w:color="auto"/>
          </w:divBdr>
        </w:div>
        <w:div w:id="409959702">
          <w:marLeft w:val="640"/>
          <w:marRight w:val="0"/>
          <w:marTop w:val="0"/>
          <w:marBottom w:val="0"/>
          <w:divBdr>
            <w:top w:val="none" w:sz="0" w:space="0" w:color="auto"/>
            <w:left w:val="none" w:sz="0" w:space="0" w:color="auto"/>
            <w:bottom w:val="none" w:sz="0" w:space="0" w:color="auto"/>
            <w:right w:val="none" w:sz="0" w:space="0" w:color="auto"/>
          </w:divBdr>
        </w:div>
        <w:div w:id="548764562">
          <w:marLeft w:val="640"/>
          <w:marRight w:val="0"/>
          <w:marTop w:val="0"/>
          <w:marBottom w:val="0"/>
          <w:divBdr>
            <w:top w:val="none" w:sz="0" w:space="0" w:color="auto"/>
            <w:left w:val="none" w:sz="0" w:space="0" w:color="auto"/>
            <w:bottom w:val="none" w:sz="0" w:space="0" w:color="auto"/>
            <w:right w:val="none" w:sz="0" w:space="0" w:color="auto"/>
          </w:divBdr>
        </w:div>
        <w:div w:id="543830811">
          <w:marLeft w:val="640"/>
          <w:marRight w:val="0"/>
          <w:marTop w:val="0"/>
          <w:marBottom w:val="0"/>
          <w:divBdr>
            <w:top w:val="none" w:sz="0" w:space="0" w:color="auto"/>
            <w:left w:val="none" w:sz="0" w:space="0" w:color="auto"/>
            <w:bottom w:val="none" w:sz="0" w:space="0" w:color="auto"/>
            <w:right w:val="none" w:sz="0" w:space="0" w:color="auto"/>
          </w:divBdr>
        </w:div>
        <w:div w:id="454180983">
          <w:marLeft w:val="640"/>
          <w:marRight w:val="0"/>
          <w:marTop w:val="0"/>
          <w:marBottom w:val="0"/>
          <w:divBdr>
            <w:top w:val="none" w:sz="0" w:space="0" w:color="auto"/>
            <w:left w:val="none" w:sz="0" w:space="0" w:color="auto"/>
            <w:bottom w:val="none" w:sz="0" w:space="0" w:color="auto"/>
            <w:right w:val="none" w:sz="0" w:space="0" w:color="auto"/>
          </w:divBdr>
        </w:div>
        <w:div w:id="1489441550">
          <w:marLeft w:val="640"/>
          <w:marRight w:val="0"/>
          <w:marTop w:val="0"/>
          <w:marBottom w:val="0"/>
          <w:divBdr>
            <w:top w:val="none" w:sz="0" w:space="0" w:color="auto"/>
            <w:left w:val="none" w:sz="0" w:space="0" w:color="auto"/>
            <w:bottom w:val="none" w:sz="0" w:space="0" w:color="auto"/>
            <w:right w:val="none" w:sz="0" w:space="0" w:color="auto"/>
          </w:divBdr>
        </w:div>
        <w:div w:id="691884878">
          <w:marLeft w:val="640"/>
          <w:marRight w:val="0"/>
          <w:marTop w:val="0"/>
          <w:marBottom w:val="0"/>
          <w:divBdr>
            <w:top w:val="none" w:sz="0" w:space="0" w:color="auto"/>
            <w:left w:val="none" w:sz="0" w:space="0" w:color="auto"/>
            <w:bottom w:val="none" w:sz="0" w:space="0" w:color="auto"/>
            <w:right w:val="none" w:sz="0" w:space="0" w:color="auto"/>
          </w:divBdr>
        </w:div>
        <w:div w:id="1262110201">
          <w:marLeft w:val="640"/>
          <w:marRight w:val="0"/>
          <w:marTop w:val="0"/>
          <w:marBottom w:val="0"/>
          <w:divBdr>
            <w:top w:val="none" w:sz="0" w:space="0" w:color="auto"/>
            <w:left w:val="none" w:sz="0" w:space="0" w:color="auto"/>
            <w:bottom w:val="none" w:sz="0" w:space="0" w:color="auto"/>
            <w:right w:val="none" w:sz="0" w:space="0" w:color="auto"/>
          </w:divBdr>
        </w:div>
        <w:div w:id="1584216234">
          <w:marLeft w:val="640"/>
          <w:marRight w:val="0"/>
          <w:marTop w:val="0"/>
          <w:marBottom w:val="0"/>
          <w:divBdr>
            <w:top w:val="none" w:sz="0" w:space="0" w:color="auto"/>
            <w:left w:val="none" w:sz="0" w:space="0" w:color="auto"/>
            <w:bottom w:val="none" w:sz="0" w:space="0" w:color="auto"/>
            <w:right w:val="none" w:sz="0" w:space="0" w:color="auto"/>
          </w:divBdr>
        </w:div>
        <w:div w:id="1410419913">
          <w:marLeft w:val="640"/>
          <w:marRight w:val="0"/>
          <w:marTop w:val="0"/>
          <w:marBottom w:val="0"/>
          <w:divBdr>
            <w:top w:val="none" w:sz="0" w:space="0" w:color="auto"/>
            <w:left w:val="none" w:sz="0" w:space="0" w:color="auto"/>
            <w:bottom w:val="none" w:sz="0" w:space="0" w:color="auto"/>
            <w:right w:val="none" w:sz="0" w:space="0" w:color="auto"/>
          </w:divBdr>
        </w:div>
        <w:div w:id="929267053">
          <w:marLeft w:val="640"/>
          <w:marRight w:val="0"/>
          <w:marTop w:val="0"/>
          <w:marBottom w:val="0"/>
          <w:divBdr>
            <w:top w:val="none" w:sz="0" w:space="0" w:color="auto"/>
            <w:left w:val="none" w:sz="0" w:space="0" w:color="auto"/>
            <w:bottom w:val="none" w:sz="0" w:space="0" w:color="auto"/>
            <w:right w:val="none" w:sz="0" w:space="0" w:color="auto"/>
          </w:divBdr>
        </w:div>
        <w:div w:id="1186941991">
          <w:marLeft w:val="640"/>
          <w:marRight w:val="0"/>
          <w:marTop w:val="0"/>
          <w:marBottom w:val="0"/>
          <w:divBdr>
            <w:top w:val="none" w:sz="0" w:space="0" w:color="auto"/>
            <w:left w:val="none" w:sz="0" w:space="0" w:color="auto"/>
            <w:bottom w:val="none" w:sz="0" w:space="0" w:color="auto"/>
            <w:right w:val="none" w:sz="0" w:space="0" w:color="auto"/>
          </w:divBdr>
        </w:div>
        <w:div w:id="818156551">
          <w:marLeft w:val="640"/>
          <w:marRight w:val="0"/>
          <w:marTop w:val="0"/>
          <w:marBottom w:val="0"/>
          <w:divBdr>
            <w:top w:val="none" w:sz="0" w:space="0" w:color="auto"/>
            <w:left w:val="none" w:sz="0" w:space="0" w:color="auto"/>
            <w:bottom w:val="none" w:sz="0" w:space="0" w:color="auto"/>
            <w:right w:val="none" w:sz="0" w:space="0" w:color="auto"/>
          </w:divBdr>
        </w:div>
        <w:div w:id="500312237">
          <w:marLeft w:val="640"/>
          <w:marRight w:val="0"/>
          <w:marTop w:val="0"/>
          <w:marBottom w:val="0"/>
          <w:divBdr>
            <w:top w:val="none" w:sz="0" w:space="0" w:color="auto"/>
            <w:left w:val="none" w:sz="0" w:space="0" w:color="auto"/>
            <w:bottom w:val="none" w:sz="0" w:space="0" w:color="auto"/>
            <w:right w:val="none" w:sz="0" w:space="0" w:color="auto"/>
          </w:divBdr>
        </w:div>
        <w:div w:id="231165559">
          <w:marLeft w:val="640"/>
          <w:marRight w:val="0"/>
          <w:marTop w:val="0"/>
          <w:marBottom w:val="0"/>
          <w:divBdr>
            <w:top w:val="none" w:sz="0" w:space="0" w:color="auto"/>
            <w:left w:val="none" w:sz="0" w:space="0" w:color="auto"/>
            <w:bottom w:val="none" w:sz="0" w:space="0" w:color="auto"/>
            <w:right w:val="none" w:sz="0" w:space="0" w:color="auto"/>
          </w:divBdr>
        </w:div>
        <w:div w:id="812522791">
          <w:marLeft w:val="640"/>
          <w:marRight w:val="0"/>
          <w:marTop w:val="0"/>
          <w:marBottom w:val="0"/>
          <w:divBdr>
            <w:top w:val="none" w:sz="0" w:space="0" w:color="auto"/>
            <w:left w:val="none" w:sz="0" w:space="0" w:color="auto"/>
            <w:bottom w:val="none" w:sz="0" w:space="0" w:color="auto"/>
            <w:right w:val="none" w:sz="0" w:space="0" w:color="auto"/>
          </w:divBdr>
        </w:div>
        <w:div w:id="1433428739">
          <w:marLeft w:val="640"/>
          <w:marRight w:val="0"/>
          <w:marTop w:val="0"/>
          <w:marBottom w:val="0"/>
          <w:divBdr>
            <w:top w:val="none" w:sz="0" w:space="0" w:color="auto"/>
            <w:left w:val="none" w:sz="0" w:space="0" w:color="auto"/>
            <w:bottom w:val="none" w:sz="0" w:space="0" w:color="auto"/>
            <w:right w:val="none" w:sz="0" w:space="0" w:color="auto"/>
          </w:divBdr>
        </w:div>
        <w:div w:id="1723210950">
          <w:marLeft w:val="640"/>
          <w:marRight w:val="0"/>
          <w:marTop w:val="0"/>
          <w:marBottom w:val="0"/>
          <w:divBdr>
            <w:top w:val="none" w:sz="0" w:space="0" w:color="auto"/>
            <w:left w:val="none" w:sz="0" w:space="0" w:color="auto"/>
            <w:bottom w:val="none" w:sz="0" w:space="0" w:color="auto"/>
            <w:right w:val="none" w:sz="0" w:space="0" w:color="auto"/>
          </w:divBdr>
        </w:div>
        <w:div w:id="1854609952">
          <w:marLeft w:val="640"/>
          <w:marRight w:val="0"/>
          <w:marTop w:val="0"/>
          <w:marBottom w:val="0"/>
          <w:divBdr>
            <w:top w:val="none" w:sz="0" w:space="0" w:color="auto"/>
            <w:left w:val="none" w:sz="0" w:space="0" w:color="auto"/>
            <w:bottom w:val="none" w:sz="0" w:space="0" w:color="auto"/>
            <w:right w:val="none" w:sz="0" w:space="0" w:color="auto"/>
          </w:divBdr>
        </w:div>
        <w:div w:id="1149324945">
          <w:marLeft w:val="640"/>
          <w:marRight w:val="0"/>
          <w:marTop w:val="0"/>
          <w:marBottom w:val="0"/>
          <w:divBdr>
            <w:top w:val="none" w:sz="0" w:space="0" w:color="auto"/>
            <w:left w:val="none" w:sz="0" w:space="0" w:color="auto"/>
            <w:bottom w:val="none" w:sz="0" w:space="0" w:color="auto"/>
            <w:right w:val="none" w:sz="0" w:space="0" w:color="auto"/>
          </w:divBdr>
        </w:div>
        <w:div w:id="93601151">
          <w:marLeft w:val="640"/>
          <w:marRight w:val="0"/>
          <w:marTop w:val="0"/>
          <w:marBottom w:val="0"/>
          <w:divBdr>
            <w:top w:val="none" w:sz="0" w:space="0" w:color="auto"/>
            <w:left w:val="none" w:sz="0" w:space="0" w:color="auto"/>
            <w:bottom w:val="none" w:sz="0" w:space="0" w:color="auto"/>
            <w:right w:val="none" w:sz="0" w:space="0" w:color="auto"/>
          </w:divBdr>
        </w:div>
        <w:div w:id="373581723">
          <w:marLeft w:val="640"/>
          <w:marRight w:val="0"/>
          <w:marTop w:val="0"/>
          <w:marBottom w:val="0"/>
          <w:divBdr>
            <w:top w:val="none" w:sz="0" w:space="0" w:color="auto"/>
            <w:left w:val="none" w:sz="0" w:space="0" w:color="auto"/>
            <w:bottom w:val="none" w:sz="0" w:space="0" w:color="auto"/>
            <w:right w:val="none" w:sz="0" w:space="0" w:color="auto"/>
          </w:divBdr>
        </w:div>
        <w:div w:id="991711661">
          <w:marLeft w:val="640"/>
          <w:marRight w:val="0"/>
          <w:marTop w:val="0"/>
          <w:marBottom w:val="0"/>
          <w:divBdr>
            <w:top w:val="none" w:sz="0" w:space="0" w:color="auto"/>
            <w:left w:val="none" w:sz="0" w:space="0" w:color="auto"/>
            <w:bottom w:val="none" w:sz="0" w:space="0" w:color="auto"/>
            <w:right w:val="none" w:sz="0" w:space="0" w:color="auto"/>
          </w:divBdr>
        </w:div>
        <w:div w:id="41640876">
          <w:marLeft w:val="640"/>
          <w:marRight w:val="0"/>
          <w:marTop w:val="0"/>
          <w:marBottom w:val="0"/>
          <w:divBdr>
            <w:top w:val="none" w:sz="0" w:space="0" w:color="auto"/>
            <w:left w:val="none" w:sz="0" w:space="0" w:color="auto"/>
            <w:bottom w:val="none" w:sz="0" w:space="0" w:color="auto"/>
            <w:right w:val="none" w:sz="0" w:space="0" w:color="auto"/>
          </w:divBdr>
        </w:div>
        <w:div w:id="204609294">
          <w:marLeft w:val="640"/>
          <w:marRight w:val="0"/>
          <w:marTop w:val="0"/>
          <w:marBottom w:val="0"/>
          <w:divBdr>
            <w:top w:val="none" w:sz="0" w:space="0" w:color="auto"/>
            <w:left w:val="none" w:sz="0" w:space="0" w:color="auto"/>
            <w:bottom w:val="none" w:sz="0" w:space="0" w:color="auto"/>
            <w:right w:val="none" w:sz="0" w:space="0" w:color="auto"/>
          </w:divBdr>
        </w:div>
        <w:div w:id="417285628">
          <w:marLeft w:val="640"/>
          <w:marRight w:val="0"/>
          <w:marTop w:val="0"/>
          <w:marBottom w:val="0"/>
          <w:divBdr>
            <w:top w:val="none" w:sz="0" w:space="0" w:color="auto"/>
            <w:left w:val="none" w:sz="0" w:space="0" w:color="auto"/>
            <w:bottom w:val="none" w:sz="0" w:space="0" w:color="auto"/>
            <w:right w:val="none" w:sz="0" w:space="0" w:color="auto"/>
          </w:divBdr>
        </w:div>
        <w:div w:id="1874919892">
          <w:marLeft w:val="640"/>
          <w:marRight w:val="0"/>
          <w:marTop w:val="0"/>
          <w:marBottom w:val="0"/>
          <w:divBdr>
            <w:top w:val="none" w:sz="0" w:space="0" w:color="auto"/>
            <w:left w:val="none" w:sz="0" w:space="0" w:color="auto"/>
            <w:bottom w:val="none" w:sz="0" w:space="0" w:color="auto"/>
            <w:right w:val="none" w:sz="0" w:space="0" w:color="auto"/>
          </w:divBdr>
        </w:div>
        <w:div w:id="1849057915">
          <w:marLeft w:val="640"/>
          <w:marRight w:val="0"/>
          <w:marTop w:val="0"/>
          <w:marBottom w:val="0"/>
          <w:divBdr>
            <w:top w:val="none" w:sz="0" w:space="0" w:color="auto"/>
            <w:left w:val="none" w:sz="0" w:space="0" w:color="auto"/>
            <w:bottom w:val="none" w:sz="0" w:space="0" w:color="auto"/>
            <w:right w:val="none" w:sz="0" w:space="0" w:color="auto"/>
          </w:divBdr>
        </w:div>
        <w:div w:id="400491555">
          <w:marLeft w:val="640"/>
          <w:marRight w:val="0"/>
          <w:marTop w:val="0"/>
          <w:marBottom w:val="0"/>
          <w:divBdr>
            <w:top w:val="none" w:sz="0" w:space="0" w:color="auto"/>
            <w:left w:val="none" w:sz="0" w:space="0" w:color="auto"/>
            <w:bottom w:val="none" w:sz="0" w:space="0" w:color="auto"/>
            <w:right w:val="none" w:sz="0" w:space="0" w:color="auto"/>
          </w:divBdr>
        </w:div>
        <w:div w:id="386494149">
          <w:marLeft w:val="640"/>
          <w:marRight w:val="0"/>
          <w:marTop w:val="0"/>
          <w:marBottom w:val="0"/>
          <w:divBdr>
            <w:top w:val="none" w:sz="0" w:space="0" w:color="auto"/>
            <w:left w:val="none" w:sz="0" w:space="0" w:color="auto"/>
            <w:bottom w:val="none" w:sz="0" w:space="0" w:color="auto"/>
            <w:right w:val="none" w:sz="0" w:space="0" w:color="auto"/>
          </w:divBdr>
        </w:div>
        <w:div w:id="635330012">
          <w:marLeft w:val="640"/>
          <w:marRight w:val="0"/>
          <w:marTop w:val="0"/>
          <w:marBottom w:val="0"/>
          <w:divBdr>
            <w:top w:val="none" w:sz="0" w:space="0" w:color="auto"/>
            <w:left w:val="none" w:sz="0" w:space="0" w:color="auto"/>
            <w:bottom w:val="none" w:sz="0" w:space="0" w:color="auto"/>
            <w:right w:val="none" w:sz="0" w:space="0" w:color="auto"/>
          </w:divBdr>
        </w:div>
        <w:div w:id="706686320">
          <w:marLeft w:val="640"/>
          <w:marRight w:val="0"/>
          <w:marTop w:val="0"/>
          <w:marBottom w:val="0"/>
          <w:divBdr>
            <w:top w:val="none" w:sz="0" w:space="0" w:color="auto"/>
            <w:left w:val="none" w:sz="0" w:space="0" w:color="auto"/>
            <w:bottom w:val="none" w:sz="0" w:space="0" w:color="auto"/>
            <w:right w:val="none" w:sz="0" w:space="0" w:color="auto"/>
          </w:divBdr>
        </w:div>
        <w:div w:id="1408334103">
          <w:marLeft w:val="640"/>
          <w:marRight w:val="0"/>
          <w:marTop w:val="0"/>
          <w:marBottom w:val="0"/>
          <w:divBdr>
            <w:top w:val="none" w:sz="0" w:space="0" w:color="auto"/>
            <w:left w:val="none" w:sz="0" w:space="0" w:color="auto"/>
            <w:bottom w:val="none" w:sz="0" w:space="0" w:color="auto"/>
            <w:right w:val="none" w:sz="0" w:space="0" w:color="auto"/>
          </w:divBdr>
        </w:div>
        <w:div w:id="1454127845">
          <w:marLeft w:val="640"/>
          <w:marRight w:val="0"/>
          <w:marTop w:val="0"/>
          <w:marBottom w:val="0"/>
          <w:divBdr>
            <w:top w:val="none" w:sz="0" w:space="0" w:color="auto"/>
            <w:left w:val="none" w:sz="0" w:space="0" w:color="auto"/>
            <w:bottom w:val="none" w:sz="0" w:space="0" w:color="auto"/>
            <w:right w:val="none" w:sz="0" w:space="0" w:color="auto"/>
          </w:divBdr>
        </w:div>
        <w:div w:id="2137486774">
          <w:marLeft w:val="640"/>
          <w:marRight w:val="0"/>
          <w:marTop w:val="0"/>
          <w:marBottom w:val="0"/>
          <w:divBdr>
            <w:top w:val="none" w:sz="0" w:space="0" w:color="auto"/>
            <w:left w:val="none" w:sz="0" w:space="0" w:color="auto"/>
            <w:bottom w:val="none" w:sz="0" w:space="0" w:color="auto"/>
            <w:right w:val="none" w:sz="0" w:space="0" w:color="auto"/>
          </w:divBdr>
        </w:div>
        <w:div w:id="1578779721">
          <w:marLeft w:val="640"/>
          <w:marRight w:val="0"/>
          <w:marTop w:val="0"/>
          <w:marBottom w:val="0"/>
          <w:divBdr>
            <w:top w:val="none" w:sz="0" w:space="0" w:color="auto"/>
            <w:left w:val="none" w:sz="0" w:space="0" w:color="auto"/>
            <w:bottom w:val="none" w:sz="0" w:space="0" w:color="auto"/>
            <w:right w:val="none" w:sz="0" w:space="0" w:color="auto"/>
          </w:divBdr>
        </w:div>
        <w:div w:id="1708602211">
          <w:marLeft w:val="640"/>
          <w:marRight w:val="0"/>
          <w:marTop w:val="0"/>
          <w:marBottom w:val="0"/>
          <w:divBdr>
            <w:top w:val="none" w:sz="0" w:space="0" w:color="auto"/>
            <w:left w:val="none" w:sz="0" w:space="0" w:color="auto"/>
            <w:bottom w:val="none" w:sz="0" w:space="0" w:color="auto"/>
            <w:right w:val="none" w:sz="0" w:space="0" w:color="auto"/>
          </w:divBdr>
        </w:div>
        <w:div w:id="277373329">
          <w:marLeft w:val="640"/>
          <w:marRight w:val="0"/>
          <w:marTop w:val="0"/>
          <w:marBottom w:val="0"/>
          <w:divBdr>
            <w:top w:val="none" w:sz="0" w:space="0" w:color="auto"/>
            <w:left w:val="none" w:sz="0" w:space="0" w:color="auto"/>
            <w:bottom w:val="none" w:sz="0" w:space="0" w:color="auto"/>
            <w:right w:val="none" w:sz="0" w:space="0" w:color="auto"/>
          </w:divBdr>
        </w:div>
        <w:div w:id="1928615166">
          <w:marLeft w:val="640"/>
          <w:marRight w:val="0"/>
          <w:marTop w:val="0"/>
          <w:marBottom w:val="0"/>
          <w:divBdr>
            <w:top w:val="none" w:sz="0" w:space="0" w:color="auto"/>
            <w:left w:val="none" w:sz="0" w:space="0" w:color="auto"/>
            <w:bottom w:val="none" w:sz="0" w:space="0" w:color="auto"/>
            <w:right w:val="none" w:sz="0" w:space="0" w:color="auto"/>
          </w:divBdr>
        </w:div>
        <w:div w:id="123473062">
          <w:marLeft w:val="640"/>
          <w:marRight w:val="0"/>
          <w:marTop w:val="0"/>
          <w:marBottom w:val="0"/>
          <w:divBdr>
            <w:top w:val="none" w:sz="0" w:space="0" w:color="auto"/>
            <w:left w:val="none" w:sz="0" w:space="0" w:color="auto"/>
            <w:bottom w:val="none" w:sz="0" w:space="0" w:color="auto"/>
            <w:right w:val="none" w:sz="0" w:space="0" w:color="auto"/>
          </w:divBdr>
        </w:div>
        <w:div w:id="1898586932">
          <w:marLeft w:val="640"/>
          <w:marRight w:val="0"/>
          <w:marTop w:val="0"/>
          <w:marBottom w:val="0"/>
          <w:divBdr>
            <w:top w:val="none" w:sz="0" w:space="0" w:color="auto"/>
            <w:left w:val="none" w:sz="0" w:space="0" w:color="auto"/>
            <w:bottom w:val="none" w:sz="0" w:space="0" w:color="auto"/>
            <w:right w:val="none" w:sz="0" w:space="0" w:color="auto"/>
          </w:divBdr>
        </w:div>
        <w:div w:id="1378042340">
          <w:marLeft w:val="640"/>
          <w:marRight w:val="0"/>
          <w:marTop w:val="0"/>
          <w:marBottom w:val="0"/>
          <w:divBdr>
            <w:top w:val="none" w:sz="0" w:space="0" w:color="auto"/>
            <w:left w:val="none" w:sz="0" w:space="0" w:color="auto"/>
            <w:bottom w:val="none" w:sz="0" w:space="0" w:color="auto"/>
            <w:right w:val="none" w:sz="0" w:space="0" w:color="auto"/>
          </w:divBdr>
        </w:div>
        <w:div w:id="1756200578">
          <w:marLeft w:val="640"/>
          <w:marRight w:val="0"/>
          <w:marTop w:val="0"/>
          <w:marBottom w:val="0"/>
          <w:divBdr>
            <w:top w:val="none" w:sz="0" w:space="0" w:color="auto"/>
            <w:left w:val="none" w:sz="0" w:space="0" w:color="auto"/>
            <w:bottom w:val="none" w:sz="0" w:space="0" w:color="auto"/>
            <w:right w:val="none" w:sz="0" w:space="0" w:color="auto"/>
          </w:divBdr>
        </w:div>
        <w:div w:id="209609962">
          <w:marLeft w:val="640"/>
          <w:marRight w:val="0"/>
          <w:marTop w:val="0"/>
          <w:marBottom w:val="0"/>
          <w:divBdr>
            <w:top w:val="none" w:sz="0" w:space="0" w:color="auto"/>
            <w:left w:val="none" w:sz="0" w:space="0" w:color="auto"/>
            <w:bottom w:val="none" w:sz="0" w:space="0" w:color="auto"/>
            <w:right w:val="none" w:sz="0" w:space="0" w:color="auto"/>
          </w:divBdr>
        </w:div>
        <w:div w:id="422797692">
          <w:marLeft w:val="640"/>
          <w:marRight w:val="0"/>
          <w:marTop w:val="0"/>
          <w:marBottom w:val="0"/>
          <w:divBdr>
            <w:top w:val="none" w:sz="0" w:space="0" w:color="auto"/>
            <w:left w:val="none" w:sz="0" w:space="0" w:color="auto"/>
            <w:bottom w:val="none" w:sz="0" w:space="0" w:color="auto"/>
            <w:right w:val="none" w:sz="0" w:space="0" w:color="auto"/>
          </w:divBdr>
        </w:div>
        <w:div w:id="840004220">
          <w:marLeft w:val="640"/>
          <w:marRight w:val="0"/>
          <w:marTop w:val="0"/>
          <w:marBottom w:val="0"/>
          <w:divBdr>
            <w:top w:val="none" w:sz="0" w:space="0" w:color="auto"/>
            <w:left w:val="none" w:sz="0" w:space="0" w:color="auto"/>
            <w:bottom w:val="none" w:sz="0" w:space="0" w:color="auto"/>
            <w:right w:val="none" w:sz="0" w:space="0" w:color="auto"/>
          </w:divBdr>
        </w:div>
        <w:div w:id="531764799">
          <w:marLeft w:val="640"/>
          <w:marRight w:val="0"/>
          <w:marTop w:val="0"/>
          <w:marBottom w:val="0"/>
          <w:divBdr>
            <w:top w:val="none" w:sz="0" w:space="0" w:color="auto"/>
            <w:left w:val="none" w:sz="0" w:space="0" w:color="auto"/>
            <w:bottom w:val="none" w:sz="0" w:space="0" w:color="auto"/>
            <w:right w:val="none" w:sz="0" w:space="0" w:color="auto"/>
          </w:divBdr>
        </w:div>
        <w:div w:id="929853542">
          <w:marLeft w:val="640"/>
          <w:marRight w:val="0"/>
          <w:marTop w:val="0"/>
          <w:marBottom w:val="0"/>
          <w:divBdr>
            <w:top w:val="none" w:sz="0" w:space="0" w:color="auto"/>
            <w:left w:val="none" w:sz="0" w:space="0" w:color="auto"/>
            <w:bottom w:val="none" w:sz="0" w:space="0" w:color="auto"/>
            <w:right w:val="none" w:sz="0" w:space="0" w:color="auto"/>
          </w:divBdr>
        </w:div>
        <w:div w:id="484708690">
          <w:marLeft w:val="640"/>
          <w:marRight w:val="0"/>
          <w:marTop w:val="0"/>
          <w:marBottom w:val="0"/>
          <w:divBdr>
            <w:top w:val="none" w:sz="0" w:space="0" w:color="auto"/>
            <w:left w:val="none" w:sz="0" w:space="0" w:color="auto"/>
            <w:bottom w:val="none" w:sz="0" w:space="0" w:color="auto"/>
            <w:right w:val="none" w:sz="0" w:space="0" w:color="auto"/>
          </w:divBdr>
        </w:div>
        <w:div w:id="520896357">
          <w:marLeft w:val="640"/>
          <w:marRight w:val="0"/>
          <w:marTop w:val="0"/>
          <w:marBottom w:val="0"/>
          <w:divBdr>
            <w:top w:val="none" w:sz="0" w:space="0" w:color="auto"/>
            <w:left w:val="none" w:sz="0" w:space="0" w:color="auto"/>
            <w:bottom w:val="none" w:sz="0" w:space="0" w:color="auto"/>
            <w:right w:val="none" w:sz="0" w:space="0" w:color="auto"/>
          </w:divBdr>
        </w:div>
        <w:div w:id="326060364">
          <w:marLeft w:val="640"/>
          <w:marRight w:val="0"/>
          <w:marTop w:val="0"/>
          <w:marBottom w:val="0"/>
          <w:divBdr>
            <w:top w:val="none" w:sz="0" w:space="0" w:color="auto"/>
            <w:left w:val="none" w:sz="0" w:space="0" w:color="auto"/>
            <w:bottom w:val="none" w:sz="0" w:space="0" w:color="auto"/>
            <w:right w:val="none" w:sz="0" w:space="0" w:color="auto"/>
          </w:divBdr>
        </w:div>
        <w:div w:id="1853644339">
          <w:marLeft w:val="640"/>
          <w:marRight w:val="0"/>
          <w:marTop w:val="0"/>
          <w:marBottom w:val="0"/>
          <w:divBdr>
            <w:top w:val="none" w:sz="0" w:space="0" w:color="auto"/>
            <w:left w:val="none" w:sz="0" w:space="0" w:color="auto"/>
            <w:bottom w:val="none" w:sz="0" w:space="0" w:color="auto"/>
            <w:right w:val="none" w:sz="0" w:space="0" w:color="auto"/>
          </w:divBdr>
        </w:div>
        <w:div w:id="1222323211">
          <w:marLeft w:val="640"/>
          <w:marRight w:val="0"/>
          <w:marTop w:val="0"/>
          <w:marBottom w:val="0"/>
          <w:divBdr>
            <w:top w:val="none" w:sz="0" w:space="0" w:color="auto"/>
            <w:left w:val="none" w:sz="0" w:space="0" w:color="auto"/>
            <w:bottom w:val="none" w:sz="0" w:space="0" w:color="auto"/>
            <w:right w:val="none" w:sz="0" w:space="0" w:color="auto"/>
          </w:divBdr>
        </w:div>
        <w:div w:id="500657411">
          <w:marLeft w:val="640"/>
          <w:marRight w:val="0"/>
          <w:marTop w:val="0"/>
          <w:marBottom w:val="0"/>
          <w:divBdr>
            <w:top w:val="none" w:sz="0" w:space="0" w:color="auto"/>
            <w:left w:val="none" w:sz="0" w:space="0" w:color="auto"/>
            <w:bottom w:val="none" w:sz="0" w:space="0" w:color="auto"/>
            <w:right w:val="none" w:sz="0" w:space="0" w:color="auto"/>
          </w:divBdr>
        </w:div>
        <w:div w:id="1548445022">
          <w:marLeft w:val="640"/>
          <w:marRight w:val="0"/>
          <w:marTop w:val="0"/>
          <w:marBottom w:val="0"/>
          <w:divBdr>
            <w:top w:val="none" w:sz="0" w:space="0" w:color="auto"/>
            <w:left w:val="none" w:sz="0" w:space="0" w:color="auto"/>
            <w:bottom w:val="none" w:sz="0" w:space="0" w:color="auto"/>
            <w:right w:val="none" w:sz="0" w:space="0" w:color="auto"/>
          </w:divBdr>
        </w:div>
        <w:div w:id="457842831">
          <w:marLeft w:val="640"/>
          <w:marRight w:val="0"/>
          <w:marTop w:val="0"/>
          <w:marBottom w:val="0"/>
          <w:divBdr>
            <w:top w:val="none" w:sz="0" w:space="0" w:color="auto"/>
            <w:left w:val="none" w:sz="0" w:space="0" w:color="auto"/>
            <w:bottom w:val="none" w:sz="0" w:space="0" w:color="auto"/>
            <w:right w:val="none" w:sz="0" w:space="0" w:color="auto"/>
          </w:divBdr>
        </w:div>
        <w:div w:id="1303802964">
          <w:marLeft w:val="640"/>
          <w:marRight w:val="0"/>
          <w:marTop w:val="0"/>
          <w:marBottom w:val="0"/>
          <w:divBdr>
            <w:top w:val="none" w:sz="0" w:space="0" w:color="auto"/>
            <w:left w:val="none" w:sz="0" w:space="0" w:color="auto"/>
            <w:bottom w:val="none" w:sz="0" w:space="0" w:color="auto"/>
            <w:right w:val="none" w:sz="0" w:space="0" w:color="auto"/>
          </w:divBdr>
        </w:div>
        <w:div w:id="1301228086">
          <w:marLeft w:val="640"/>
          <w:marRight w:val="0"/>
          <w:marTop w:val="0"/>
          <w:marBottom w:val="0"/>
          <w:divBdr>
            <w:top w:val="none" w:sz="0" w:space="0" w:color="auto"/>
            <w:left w:val="none" w:sz="0" w:space="0" w:color="auto"/>
            <w:bottom w:val="none" w:sz="0" w:space="0" w:color="auto"/>
            <w:right w:val="none" w:sz="0" w:space="0" w:color="auto"/>
          </w:divBdr>
        </w:div>
        <w:div w:id="1621181399">
          <w:marLeft w:val="640"/>
          <w:marRight w:val="0"/>
          <w:marTop w:val="0"/>
          <w:marBottom w:val="0"/>
          <w:divBdr>
            <w:top w:val="none" w:sz="0" w:space="0" w:color="auto"/>
            <w:left w:val="none" w:sz="0" w:space="0" w:color="auto"/>
            <w:bottom w:val="none" w:sz="0" w:space="0" w:color="auto"/>
            <w:right w:val="none" w:sz="0" w:space="0" w:color="auto"/>
          </w:divBdr>
        </w:div>
        <w:div w:id="475420351">
          <w:marLeft w:val="640"/>
          <w:marRight w:val="0"/>
          <w:marTop w:val="0"/>
          <w:marBottom w:val="0"/>
          <w:divBdr>
            <w:top w:val="none" w:sz="0" w:space="0" w:color="auto"/>
            <w:left w:val="none" w:sz="0" w:space="0" w:color="auto"/>
            <w:bottom w:val="none" w:sz="0" w:space="0" w:color="auto"/>
            <w:right w:val="none" w:sz="0" w:space="0" w:color="auto"/>
          </w:divBdr>
        </w:div>
        <w:div w:id="868689265">
          <w:marLeft w:val="640"/>
          <w:marRight w:val="0"/>
          <w:marTop w:val="0"/>
          <w:marBottom w:val="0"/>
          <w:divBdr>
            <w:top w:val="none" w:sz="0" w:space="0" w:color="auto"/>
            <w:left w:val="none" w:sz="0" w:space="0" w:color="auto"/>
            <w:bottom w:val="none" w:sz="0" w:space="0" w:color="auto"/>
            <w:right w:val="none" w:sz="0" w:space="0" w:color="auto"/>
          </w:divBdr>
        </w:div>
        <w:div w:id="1152141207">
          <w:marLeft w:val="640"/>
          <w:marRight w:val="0"/>
          <w:marTop w:val="0"/>
          <w:marBottom w:val="0"/>
          <w:divBdr>
            <w:top w:val="none" w:sz="0" w:space="0" w:color="auto"/>
            <w:left w:val="none" w:sz="0" w:space="0" w:color="auto"/>
            <w:bottom w:val="none" w:sz="0" w:space="0" w:color="auto"/>
            <w:right w:val="none" w:sz="0" w:space="0" w:color="auto"/>
          </w:divBdr>
        </w:div>
        <w:div w:id="1183520814">
          <w:marLeft w:val="640"/>
          <w:marRight w:val="0"/>
          <w:marTop w:val="0"/>
          <w:marBottom w:val="0"/>
          <w:divBdr>
            <w:top w:val="none" w:sz="0" w:space="0" w:color="auto"/>
            <w:left w:val="none" w:sz="0" w:space="0" w:color="auto"/>
            <w:bottom w:val="none" w:sz="0" w:space="0" w:color="auto"/>
            <w:right w:val="none" w:sz="0" w:space="0" w:color="auto"/>
          </w:divBdr>
        </w:div>
        <w:div w:id="1340885868">
          <w:marLeft w:val="640"/>
          <w:marRight w:val="0"/>
          <w:marTop w:val="0"/>
          <w:marBottom w:val="0"/>
          <w:divBdr>
            <w:top w:val="none" w:sz="0" w:space="0" w:color="auto"/>
            <w:left w:val="none" w:sz="0" w:space="0" w:color="auto"/>
            <w:bottom w:val="none" w:sz="0" w:space="0" w:color="auto"/>
            <w:right w:val="none" w:sz="0" w:space="0" w:color="auto"/>
          </w:divBdr>
        </w:div>
        <w:div w:id="526607223">
          <w:marLeft w:val="640"/>
          <w:marRight w:val="0"/>
          <w:marTop w:val="0"/>
          <w:marBottom w:val="0"/>
          <w:divBdr>
            <w:top w:val="none" w:sz="0" w:space="0" w:color="auto"/>
            <w:left w:val="none" w:sz="0" w:space="0" w:color="auto"/>
            <w:bottom w:val="none" w:sz="0" w:space="0" w:color="auto"/>
            <w:right w:val="none" w:sz="0" w:space="0" w:color="auto"/>
          </w:divBdr>
        </w:div>
        <w:div w:id="1291282195">
          <w:marLeft w:val="640"/>
          <w:marRight w:val="0"/>
          <w:marTop w:val="0"/>
          <w:marBottom w:val="0"/>
          <w:divBdr>
            <w:top w:val="none" w:sz="0" w:space="0" w:color="auto"/>
            <w:left w:val="none" w:sz="0" w:space="0" w:color="auto"/>
            <w:bottom w:val="none" w:sz="0" w:space="0" w:color="auto"/>
            <w:right w:val="none" w:sz="0" w:space="0" w:color="auto"/>
          </w:divBdr>
        </w:div>
        <w:div w:id="1396734">
          <w:marLeft w:val="640"/>
          <w:marRight w:val="0"/>
          <w:marTop w:val="0"/>
          <w:marBottom w:val="0"/>
          <w:divBdr>
            <w:top w:val="none" w:sz="0" w:space="0" w:color="auto"/>
            <w:left w:val="none" w:sz="0" w:space="0" w:color="auto"/>
            <w:bottom w:val="none" w:sz="0" w:space="0" w:color="auto"/>
            <w:right w:val="none" w:sz="0" w:space="0" w:color="auto"/>
          </w:divBdr>
        </w:div>
        <w:div w:id="1824813837">
          <w:marLeft w:val="640"/>
          <w:marRight w:val="0"/>
          <w:marTop w:val="0"/>
          <w:marBottom w:val="0"/>
          <w:divBdr>
            <w:top w:val="none" w:sz="0" w:space="0" w:color="auto"/>
            <w:left w:val="none" w:sz="0" w:space="0" w:color="auto"/>
            <w:bottom w:val="none" w:sz="0" w:space="0" w:color="auto"/>
            <w:right w:val="none" w:sz="0" w:space="0" w:color="auto"/>
          </w:divBdr>
        </w:div>
        <w:div w:id="144709728">
          <w:marLeft w:val="640"/>
          <w:marRight w:val="0"/>
          <w:marTop w:val="0"/>
          <w:marBottom w:val="0"/>
          <w:divBdr>
            <w:top w:val="none" w:sz="0" w:space="0" w:color="auto"/>
            <w:left w:val="none" w:sz="0" w:space="0" w:color="auto"/>
            <w:bottom w:val="none" w:sz="0" w:space="0" w:color="auto"/>
            <w:right w:val="none" w:sz="0" w:space="0" w:color="auto"/>
          </w:divBdr>
        </w:div>
        <w:div w:id="1943491666">
          <w:marLeft w:val="640"/>
          <w:marRight w:val="0"/>
          <w:marTop w:val="0"/>
          <w:marBottom w:val="0"/>
          <w:divBdr>
            <w:top w:val="none" w:sz="0" w:space="0" w:color="auto"/>
            <w:left w:val="none" w:sz="0" w:space="0" w:color="auto"/>
            <w:bottom w:val="none" w:sz="0" w:space="0" w:color="auto"/>
            <w:right w:val="none" w:sz="0" w:space="0" w:color="auto"/>
          </w:divBdr>
        </w:div>
        <w:div w:id="1911693186">
          <w:marLeft w:val="640"/>
          <w:marRight w:val="0"/>
          <w:marTop w:val="0"/>
          <w:marBottom w:val="0"/>
          <w:divBdr>
            <w:top w:val="none" w:sz="0" w:space="0" w:color="auto"/>
            <w:left w:val="none" w:sz="0" w:space="0" w:color="auto"/>
            <w:bottom w:val="none" w:sz="0" w:space="0" w:color="auto"/>
            <w:right w:val="none" w:sz="0" w:space="0" w:color="auto"/>
          </w:divBdr>
        </w:div>
        <w:div w:id="1354266861">
          <w:marLeft w:val="640"/>
          <w:marRight w:val="0"/>
          <w:marTop w:val="0"/>
          <w:marBottom w:val="0"/>
          <w:divBdr>
            <w:top w:val="none" w:sz="0" w:space="0" w:color="auto"/>
            <w:left w:val="none" w:sz="0" w:space="0" w:color="auto"/>
            <w:bottom w:val="none" w:sz="0" w:space="0" w:color="auto"/>
            <w:right w:val="none" w:sz="0" w:space="0" w:color="auto"/>
          </w:divBdr>
        </w:div>
        <w:div w:id="555969082">
          <w:marLeft w:val="640"/>
          <w:marRight w:val="0"/>
          <w:marTop w:val="0"/>
          <w:marBottom w:val="0"/>
          <w:divBdr>
            <w:top w:val="none" w:sz="0" w:space="0" w:color="auto"/>
            <w:left w:val="none" w:sz="0" w:space="0" w:color="auto"/>
            <w:bottom w:val="none" w:sz="0" w:space="0" w:color="auto"/>
            <w:right w:val="none" w:sz="0" w:space="0" w:color="auto"/>
          </w:divBdr>
        </w:div>
        <w:div w:id="934822661">
          <w:marLeft w:val="640"/>
          <w:marRight w:val="0"/>
          <w:marTop w:val="0"/>
          <w:marBottom w:val="0"/>
          <w:divBdr>
            <w:top w:val="none" w:sz="0" w:space="0" w:color="auto"/>
            <w:left w:val="none" w:sz="0" w:space="0" w:color="auto"/>
            <w:bottom w:val="none" w:sz="0" w:space="0" w:color="auto"/>
            <w:right w:val="none" w:sz="0" w:space="0" w:color="auto"/>
          </w:divBdr>
        </w:div>
        <w:div w:id="730159580">
          <w:marLeft w:val="640"/>
          <w:marRight w:val="0"/>
          <w:marTop w:val="0"/>
          <w:marBottom w:val="0"/>
          <w:divBdr>
            <w:top w:val="none" w:sz="0" w:space="0" w:color="auto"/>
            <w:left w:val="none" w:sz="0" w:space="0" w:color="auto"/>
            <w:bottom w:val="none" w:sz="0" w:space="0" w:color="auto"/>
            <w:right w:val="none" w:sz="0" w:space="0" w:color="auto"/>
          </w:divBdr>
        </w:div>
        <w:div w:id="1725326918">
          <w:marLeft w:val="640"/>
          <w:marRight w:val="0"/>
          <w:marTop w:val="0"/>
          <w:marBottom w:val="0"/>
          <w:divBdr>
            <w:top w:val="none" w:sz="0" w:space="0" w:color="auto"/>
            <w:left w:val="none" w:sz="0" w:space="0" w:color="auto"/>
            <w:bottom w:val="none" w:sz="0" w:space="0" w:color="auto"/>
            <w:right w:val="none" w:sz="0" w:space="0" w:color="auto"/>
          </w:divBdr>
        </w:div>
        <w:div w:id="383719246">
          <w:marLeft w:val="640"/>
          <w:marRight w:val="0"/>
          <w:marTop w:val="0"/>
          <w:marBottom w:val="0"/>
          <w:divBdr>
            <w:top w:val="none" w:sz="0" w:space="0" w:color="auto"/>
            <w:left w:val="none" w:sz="0" w:space="0" w:color="auto"/>
            <w:bottom w:val="none" w:sz="0" w:space="0" w:color="auto"/>
            <w:right w:val="none" w:sz="0" w:space="0" w:color="auto"/>
          </w:divBdr>
        </w:div>
        <w:div w:id="1821070804">
          <w:marLeft w:val="640"/>
          <w:marRight w:val="0"/>
          <w:marTop w:val="0"/>
          <w:marBottom w:val="0"/>
          <w:divBdr>
            <w:top w:val="none" w:sz="0" w:space="0" w:color="auto"/>
            <w:left w:val="none" w:sz="0" w:space="0" w:color="auto"/>
            <w:bottom w:val="none" w:sz="0" w:space="0" w:color="auto"/>
            <w:right w:val="none" w:sz="0" w:space="0" w:color="auto"/>
          </w:divBdr>
        </w:div>
        <w:div w:id="1328174626">
          <w:marLeft w:val="640"/>
          <w:marRight w:val="0"/>
          <w:marTop w:val="0"/>
          <w:marBottom w:val="0"/>
          <w:divBdr>
            <w:top w:val="none" w:sz="0" w:space="0" w:color="auto"/>
            <w:left w:val="none" w:sz="0" w:space="0" w:color="auto"/>
            <w:bottom w:val="none" w:sz="0" w:space="0" w:color="auto"/>
            <w:right w:val="none" w:sz="0" w:space="0" w:color="auto"/>
          </w:divBdr>
        </w:div>
        <w:div w:id="1973706337">
          <w:marLeft w:val="640"/>
          <w:marRight w:val="0"/>
          <w:marTop w:val="0"/>
          <w:marBottom w:val="0"/>
          <w:divBdr>
            <w:top w:val="none" w:sz="0" w:space="0" w:color="auto"/>
            <w:left w:val="none" w:sz="0" w:space="0" w:color="auto"/>
            <w:bottom w:val="none" w:sz="0" w:space="0" w:color="auto"/>
            <w:right w:val="none" w:sz="0" w:space="0" w:color="auto"/>
          </w:divBdr>
        </w:div>
        <w:div w:id="236788924">
          <w:marLeft w:val="640"/>
          <w:marRight w:val="0"/>
          <w:marTop w:val="0"/>
          <w:marBottom w:val="0"/>
          <w:divBdr>
            <w:top w:val="none" w:sz="0" w:space="0" w:color="auto"/>
            <w:left w:val="none" w:sz="0" w:space="0" w:color="auto"/>
            <w:bottom w:val="none" w:sz="0" w:space="0" w:color="auto"/>
            <w:right w:val="none" w:sz="0" w:space="0" w:color="auto"/>
          </w:divBdr>
        </w:div>
        <w:div w:id="331883529">
          <w:marLeft w:val="640"/>
          <w:marRight w:val="0"/>
          <w:marTop w:val="0"/>
          <w:marBottom w:val="0"/>
          <w:divBdr>
            <w:top w:val="none" w:sz="0" w:space="0" w:color="auto"/>
            <w:left w:val="none" w:sz="0" w:space="0" w:color="auto"/>
            <w:bottom w:val="none" w:sz="0" w:space="0" w:color="auto"/>
            <w:right w:val="none" w:sz="0" w:space="0" w:color="auto"/>
          </w:divBdr>
        </w:div>
      </w:divsChild>
    </w:div>
    <w:div w:id="503711013">
      <w:bodyDiv w:val="1"/>
      <w:marLeft w:val="0"/>
      <w:marRight w:val="0"/>
      <w:marTop w:val="0"/>
      <w:marBottom w:val="0"/>
      <w:divBdr>
        <w:top w:val="none" w:sz="0" w:space="0" w:color="auto"/>
        <w:left w:val="none" w:sz="0" w:space="0" w:color="auto"/>
        <w:bottom w:val="none" w:sz="0" w:space="0" w:color="auto"/>
        <w:right w:val="none" w:sz="0" w:space="0" w:color="auto"/>
      </w:divBdr>
      <w:divsChild>
        <w:div w:id="1782334041">
          <w:marLeft w:val="640"/>
          <w:marRight w:val="0"/>
          <w:marTop w:val="0"/>
          <w:marBottom w:val="0"/>
          <w:divBdr>
            <w:top w:val="none" w:sz="0" w:space="0" w:color="auto"/>
            <w:left w:val="none" w:sz="0" w:space="0" w:color="auto"/>
            <w:bottom w:val="none" w:sz="0" w:space="0" w:color="auto"/>
            <w:right w:val="none" w:sz="0" w:space="0" w:color="auto"/>
          </w:divBdr>
        </w:div>
        <w:div w:id="1503472739">
          <w:marLeft w:val="640"/>
          <w:marRight w:val="0"/>
          <w:marTop w:val="0"/>
          <w:marBottom w:val="0"/>
          <w:divBdr>
            <w:top w:val="none" w:sz="0" w:space="0" w:color="auto"/>
            <w:left w:val="none" w:sz="0" w:space="0" w:color="auto"/>
            <w:bottom w:val="none" w:sz="0" w:space="0" w:color="auto"/>
            <w:right w:val="none" w:sz="0" w:space="0" w:color="auto"/>
          </w:divBdr>
        </w:div>
        <w:div w:id="1636595626">
          <w:marLeft w:val="640"/>
          <w:marRight w:val="0"/>
          <w:marTop w:val="0"/>
          <w:marBottom w:val="0"/>
          <w:divBdr>
            <w:top w:val="none" w:sz="0" w:space="0" w:color="auto"/>
            <w:left w:val="none" w:sz="0" w:space="0" w:color="auto"/>
            <w:bottom w:val="none" w:sz="0" w:space="0" w:color="auto"/>
            <w:right w:val="none" w:sz="0" w:space="0" w:color="auto"/>
          </w:divBdr>
        </w:div>
        <w:div w:id="480462216">
          <w:marLeft w:val="640"/>
          <w:marRight w:val="0"/>
          <w:marTop w:val="0"/>
          <w:marBottom w:val="0"/>
          <w:divBdr>
            <w:top w:val="none" w:sz="0" w:space="0" w:color="auto"/>
            <w:left w:val="none" w:sz="0" w:space="0" w:color="auto"/>
            <w:bottom w:val="none" w:sz="0" w:space="0" w:color="auto"/>
            <w:right w:val="none" w:sz="0" w:space="0" w:color="auto"/>
          </w:divBdr>
        </w:div>
        <w:div w:id="810638867">
          <w:marLeft w:val="640"/>
          <w:marRight w:val="0"/>
          <w:marTop w:val="0"/>
          <w:marBottom w:val="0"/>
          <w:divBdr>
            <w:top w:val="none" w:sz="0" w:space="0" w:color="auto"/>
            <w:left w:val="none" w:sz="0" w:space="0" w:color="auto"/>
            <w:bottom w:val="none" w:sz="0" w:space="0" w:color="auto"/>
            <w:right w:val="none" w:sz="0" w:space="0" w:color="auto"/>
          </w:divBdr>
        </w:div>
        <w:div w:id="315036922">
          <w:marLeft w:val="640"/>
          <w:marRight w:val="0"/>
          <w:marTop w:val="0"/>
          <w:marBottom w:val="0"/>
          <w:divBdr>
            <w:top w:val="none" w:sz="0" w:space="0" w:color="auto"/>
            <w:left w:val="none" w:sz="0" w:space="0" w:color="auto"/>
            <w:bottom w:val="none" w:sz="0" w:space="0" w:color="auto"/>
            <w:right w:val="none" w:sz="0" w:space="0" w:color="auto"/>
          </w:divBdr>
        </w:div>
        <w:div w:id="478304564">
          <w:marLeft w:val="640"/>
          <w:marRight w:val="0"/>
          <w:marTop w:val="0"/>
          <w:marBottom w:val="0"/>
          <w:divBdr>
            <w:top w:val="none" w:sz="0" w:space="0" w:color="auto"/>
            <w:left w:val="none" w:sz="0" w:space="0" w:color="auto"/>
            <w:bottom w:val="none" w:sz="0" w:space="0" w:color="auto"/>
            <w:right w:val="none" w:sz="0" w:space="0" w:color="auto"/>
          </w:divBdr>
        </w:div>
        <w:div w:id="1549758395">
          <w:marLeft w:val="640"/>
          <w:marRight w:val="0"/>
          <w:marTop w:val="0"/>
          <w:marBottom w:val="0"/>
          <w:divBdr>
            <w:top w:val="none" w:sz="0" w:space="0" w:color="auto"/>
            <w:left w:val="none" w:sz="0" w:space="0" w:color="auto"/>
            <w:bottom w:val="none" w:sz="0" w:space="0" w:color="auto"/>
            <w:right w:val="none" w:sz="0" w:space="0" w:color="auto"/>
          </w:divBdr>
        </w:div>
        <w:div w:id="497498871">
          <w:marLeft w:val="640"/>
          <w:marRight w:val="0"/>
          <w:marTop w:val="0"/>
          <w:marBottom w:val="0"/>
          <w:divBdr>
            <w:top w:val="none" w:sz="0" w:space="0" w:color="auto"/>
            <w:left w:val="none" w:sz="0" w:space="0" w:color="auto"/>
            <w:bottom w:val="none" w:sz="0" w:space="0" w:color="auto"/>
            <w:right w:val="none" w:sz="0" w:space="0" w:color="auto"/>
          </w:divBdr>
        </w:div>
        <w:div w:id="378633039">
          <w:marLeft w:val="640"/>
          <w:marRight w:val="0"/>
          <w:marTop w:val="0"/>
          <w:marBottom w:val="0"/>
          <w:divBdr>
            <w:top w:val="none" w:sz="0" w:space="0" w:color="auto"/>
            <w:left w:val="none" w:sz="0" w:space="0" w:color="auto"/>
            <w:bottom w:val="none" w:sz="0" w:space="0" w:color="auto"/>
            <w:right w:val="none" w:sz="0" w:space="0" w:color="auto"/>
          </w:divBdr>
        </w:div>
        <w:div w:id="177040333">
          <w:marLeft w:val="640"/>
          <w:marRight w:val="0"/>
          <w:marTop w:val="0"/>
          <w:marBottom w:val="0"/>
          <w:divBdr>
            <w:top w:val="none" w:sz="0" w:space="0" w:color="auto"/>
            <w:left w:val="none" w:sz="0" w:space="0" w:color="auto"/>
            <w:bottom w:val="none" w:sz="0" w:space="0" w:color="auto"/>
            <w:right w:val="none" w:sz="0" w:space="0" w:color="auto"/>
          </w:divBdr>
        </w:div>
        <w:div w:id="418990234">
          <w:marLeft w:val="640"/>
          <w:marRight w:val="0"/>
          <w:marTop w:val="0"/>
          <w:marBottom w:val="0"/>
          <w:divBdr>
            <w:top w:val="none" w:sz="0" w:space="0" w:color="auto"/>
            <w:left w:val="none" w:sz="0" w:space="0" w:color="auto"/>
            <w:bottom w:val="none" w:sz="0" w:space="0" w:color="auto"/>
            <w:right w:val="none" w:sz="0" w:space="0" w:color="auto"/>
          </w:divBdr>
        </w:div>
        <w:div w:id="196162412">
          <w:marLeft w:val="640"/>
          <w:marRight w:val="0"/>
          <w:marTop w:val="0"/>
          <w:marBottom w:val="0"/>
          <w:divBdr>
            <w:top w:val="none" w:sz="0" w:space="0" w:color="auto"/>
            <w:left w:val="none" w:sz="0" w:space="0" w:color="auto"/>
            <w:bottom w:val="none" w:sz="0" w:space="0" w:color="auto"/>
            <w:right w:val="none" w:sz="0" w:space="0" w:color="auto"/>
          </w:divBdr>
        </w:div>
        <w:div w:id="715277594">
          <w:marLeft w:val="640"/>
          <w:marRight w:val="0"/>
          <w:marTop w:val="0"/>
          <w:marBottom w:val="0"/>
          <w:divBdr>
            <w:top w:val="none" w:sz="0" w:space="0" w:color="auto"/>
            <w:left w:val="none" w:sz="0" w:space="0" w:color="auto"/>
            <w:bottom w:val="none" w:sz="0" w:space="0" w:color="auto"/>
            <w:right w:val="none" w:sz="0" w:space="0" w:color="auto"/>
          </w:divBdr>
        </w:div>
        <w:div w:id="1876581930">
          <w:marLeft w:val="640"/>
          <w:marRight w:val="0"/>
          <w:marTop w:val="0"/>
          <w:marBottom w:val="0"/>
          <w:divBdr>
            <w:top w:val="none" w:sz="0" w:space="0" w:color="auto"/>
            <w:left w:val="none" w:sz="0" w:space="0" w:color="auto"/>
            <w:bottom w:val="none" w:sz="0" w:space="0" w:color="auto"/>
            <w:right w:val="none" w:sz="0" w:space="0" w:color="auto"/>
          </w:divBdr>
        </w:div>
        <w:div w:id="1353610773">
          <w:marLeft w:val="640"/>
          <w:marRight w:val="0"/>
          <w:marTop w:val="0"/>
          <w:marBottom w:val="0"/>
          <w:divBdr>
            <w:top w:val="none" w:sz="0" w:space="0" w:color="auto"/>
            <w:left w:val="none" w:sz="0" w:space="0" w:color="auto"/>
            <w:bottom w:val="none" w:sz="0" w:space="0" w:color="auto"/>
            <w:right w:val="none" w:sz="0" w:space="0" w:color="auto"/>
          </w:divBdr>
        </w:div>
        <w:div w:id="949899711">
          <w:marLeft w:val="640"/>
          <w:marRight w:val="0"/>
          <w:marTop w:val="0"/>
          <w:marBottom w:val="0"/>
          <w:divBdr>
            <w:top w:val="none" w:sz="0" w:space="0" w:color="auto"/>
            <w:left w:val="none" w:sz="0" w:space="0" w:color="auto"/>
            <w:bottom w:val="none" w:sz="0" w:space="0" w:color="auto"/>
            <w:right w:val="none" w:sz="0" w:space="0" w:color="auto"/>
          </w:divBdr>
        </w:div>
        <w:div w:id="1539201175">
          <w:marLeft w:val="640"/>
          <w:marRight w:val="0"/>
          <w:marTop w:val="0"/>
          <w:marBottom w:val="0"/>
          <w:divBdr>
            <w:top w:val="none" w:sz="0" w:space="0" w:color="auto"/>
            <w:left w:val="none" w:sz="0" w:space="0" w:color="auto"/>
            <w:bottom w:val="none" w:sz="0" w:space="0" w:color="auto"/>
            <w:right w:val="none" w:sz="0" w:space="0" w:color="auto"/>
          </w:divBdr>
        </w:div>
        <w:div w:id="37434467">
          <w:marLeft w:val="640"/>
          <w:marRight w:val="0"/>
          <w:marTop w:val="0"/>
          <w:marBottom w:val="0"/>
          <w:divBdr>
            <w:top w:val="none" w:sz="0" w:space="0" w:color="auto"/>
            <w:left w:val="none" w:sz="0" w:space="0" w:color="auto"/>
            <w:bottom w:val="none" w:sz="0" w:space="0" w:color="auto"/>
            <w:right w:val="none" w:sz="0" w:space="0" w:color="auto"/>
          </w:divBdr>
        </w:div>
        <w:div w:id="1408766622">
          <w:marLeft w:val="640"/>
          <w:marRight w:val="0"/>
          <w:marTop w:val="0"/>
          <w:marBottom w:val="0"/>
          <w:divBdr>
            <w:top w:val="none" w:sz="0" w:space="0" w:color="auto"/>
            <w:left w:val="none" w:sz="0" w:space="0" w:color="auto"/>
            <w:bottom w:val="none" w:sz="0" w:space="0" w:color="auto"/>
            <w:right w:val="none" w:sz="0" w:space="0" w:color="auto"/>
          </w:divBdr>
        </w:div>
        <w:div w:id="670986363">
          <w:marLeft w:val="640"/>
          <w:marRight w:val="0"/>
          <w:marTop w:val="0"/>
          <w:marBottom w:val="0"/>
          <w:divBdr>
            <w:top w:val="none" w:sz="0" w:space="0" w:color="auto"/>
            <w:left w:val="none" w:sz="0" w:space="0" w:color="auto"/>
            <w:bottom w:val="none" w:sz="0" w:space="0" w:color="auto"/>
            <w:right w:val="none" w:sz="0" w:space="0" w:color="auto"/>
          </w:divBdr>
        </w:div>
        <w:div w:id="539318082">
          <w:marLeft w:val="640"/>
          <w:marRight w:val="0"/>
          <w:marTop w:val="0"/>
          <w:marBottom w:val="0"/>
          <w:divBdr>
            <w:top w:val="none" w:sz="0" w:space="0" w:color="auto"/>
            <w:left w:val="none" w:sz="0" w:space="0" w:color="auto"/>
            <w:bottom w:val="none" w:sz="0" w:space="0" w:color="auto"/>
            <w:right w:val="none" w:sz="0" w:space="0" w:color="auto"/>
          </w:divBdr>
        </w:div>
        <w:div w:id="238101170">
          <w:marLeft w:val="640"/>
          <w:marRight w:val="0"/>
          <w:marTop w:val="0"/>
          <w:marBottom w:val="0"/>
          <w:divBdr>
            <w:top w:val="none" w:sz="0" w:space="0" w:color="auto"/>
            <w:left w:val="none" w:sz="0" w:space="0" w:color="auto"/>
            <w:bottom w:val="none" w:sz="0" w:space="0" w:color="auto"/>
            <w:right w:val="none" w:sz="0" w:space="0" w:color="auto"/>
          </w:divBdr>
        </w:div>
        <w:div w:id="75904869">
          <w:marLeft w:val="640"/>
          <w:marRight w:val="0"/>
          <w:marTop w:val="0"/>
          <w:marBottom w:val="0"/>
          <w:divBdr>
            <w:top w:val="none" w:sz="0" w:space="0" w:color="auto"/>
            <w:left w:val="none" w:sz="0" w:space="0" w:color="auto"/>
            <w:bottom w:val="none" w:sz="0" w:space="0" w:color="auto"/>
            <w:right w:val="none" w:sz="0" w:space="0" w:color="auto"/>
          </w:divBdr>
        </w:div>
        <w:div w:id="687831384">
          <w:marLeft w:val="640"/>
          <w:marRight w:val="0"/>
          <w:marTop w:val="0"/>
          <w:marBottom w:val="0"/>
          <w:divBdr>
            <w:top w:val="none" w:sz="0" w:space="0" w:color="auto"/>
            <w:left w:val="none" w:sz="0" w:space="0" w:color="auto"/>
            <w:bottom w:val="none" w:sz="0" w:space="0" w:color="auto"/>
            <w:right w:val="none" w:sz="0" w:space="0" w:color="auto"/>
          </w:divBdr>
        </w:div>
        <w:div w:id="1735083772">
          <w:marLeft w:val="640"/>
          <w:marRight w:val="0"/>
          <w:marTop w:val="0"/>
          <w:marBottom w:val="0"/>
          <w:divBdr>
            <w:top w:val="none" w:sz="0" w:space="0" w:color="auto"/>
            <w:left w:val="none" w:sz="0" w:space="0" w:color="auto"/>
            <w:bottom w:val="none" w:sz="0" w:space="0" w:color="auto"/>
            <w:right w:val="none" w:sz="0" w:space="0" w:color="auto"/>
          </w:divBdr>
        </w:div>
        <w:div w:id="1067073703">
          <w:marLeft w:val="640"/>
          <w:marRight w:val="0"/>
          <w:marTop w:val="0"/>
          <w:marBottom w:val="0"/>
          <w:divBdr>
            <w:top w:val="none" w:sz="0" w:space="0" w:color="auto"/>
            <w:left w:val="none" w:sz="0" w:space="0" w:color="auto"/>
            <w:bottom w:val="none" w:sz="0" w:space="0" w:color="auto"/>
            <w:right w:val="none" w:sz="0" w:space="0" w:color="auto"/>
          </w:divBdr>
        </w:div>
        <w:div w:id="1757676683">
          <w:marLeft w:val="640"/>
          <w:marRight w:val="0"/>
          <w:marTop w:val="0"/>
          <w:marBottom w:val="0"/>
          <w:divBdr>
            <w:top w:val="none" w:sz="0" w:space="0" w:color="auto"/>
            <w:left w:val="none" w:sz="0" w:space="0" w:color="auto"/>
            <w:bottom w:val="none" w:sz="0" w:space="0" w:color="auto"/>
            <w:right w:val="none" w:sz="0" w:space="0" w:color="auto"/>
          </w:divBdr>
        </w:div>
        <w:div w:id="1504514083">
          <w:marLeft w:val="640"/>
          <w:marRight w:val="0"/>
          <w:marTop w:val="0"/>
          <w:marBottom w:val="0"/>
          <w:divBdr>
            <w:top w:val="none" w:sz="0" w:space="0" w:color="auto"/>
            <w:left w:val="none" w:sz="0" w:space="0" w:color="auto"/>
            <w:bottom w:val="none" w:sz="0" w:space="0" w:color="auto"/>
            <w:right w:val="none" w:sz="0" w:space="0" w:color="auto"/>
          </w:divBdr>
        </w:div>
        <w:div w:id="1542089357">
          <w:marLeft w:val="640"/>
          <w:marRight w:val="0"/>
          <w:marTop w:val="0"/>
          <w:marBottom w:val="0"/>
          <w:divBdr>
            <w:top w:val="none" w:sz="0" w:space="0" w:color="auto"/>
            <w:left w:val="none" w:sz="0" w:space="0" w:color="auto"/>
            <w:bottom w:val="none" w:sz="0" w:space="0" w:color="auto"/>
            <w:right w:val="none" w:sz="0" w:space="0" w:color="auto"/>
          </w:divBdr>
        </w:div>
        <w:div w:id="852299889">
          <w:marLeft w:val="640"/>
          <w:marRight w:val="0"/>
          <w:marTop w:val="0"/>
          <w:marBottom w:val="0"/>
          <w:divBdr>
            <w:top w:val="none" w:sz="0" w:space="0" w:color="auto"/>
            <w:left w:val="none" w:sz="0" w:space="0" w:color="auto"/>
            <w:bottom w:val="none" w:sz="0" w:space="0" w:color="auto"/>
            <w:right w:val="none" w:sz="0" w:space="0" w:color="auto"/>
          </w:divBdr>
        </w:div>
        <w:div w:id="1492672437">
          <w:marLeft w:val="640"/>
          <w:marRight w:val="0"/>
          <w:marTop w:val="0"/>
          <w:marBottom w:val="0"/>
          <w:divBdr>
            <w:top w:val="none" w:sz="0" w:space="0" w:color="auto"/>
            <w:left w:val="none" w:sz="0" w:space="0" w:color="auto"/>
            <w:bottom w:val="none" w:sz="0" w:space="0" w:color="auto"/>
            <w:right w:val="none" w:sz="0" w:space="0" w:color="auto"/>
          </w:divBdr>
        </w:div>
        <w:div w:id="444616242">
          <w:marLeft w:val="640"/>
          <w:marRight w:val="0"/>
          <w:marTop w:val="0"/>
          <w:marBottom w:val="0"/>
          <w:divBdr>
            <w:top w:val="none" w:sz="0" w:space="0" w:color="auto"/>
            <w:left w:val="none" w:sz="0" w:space="0" w:color="auto"/>
            <w:bottom w:val="none" w:sz="0" w:space="0" w:color="auto"/>
            <w:right w:val="none" w:sz="0" w:space="0" w:color="auto"/>
          </w:divBdr>
        </w:div>
        <w:div w:id="1312054220">
          <w:marLeft w:val="640"/>
          <w:marRight w:val="0"/>
          <w:marTop w:val="0"/>
          <w:marBottom w:val="0"/>
          <w:divBdr>
            <w:top w:val="none" w:sz="0" w:space="0" w:color="auto"/>
            <w:left w:val="none" w:sz="0" w:space="0" w:color="auto"/>
            <w:bottom w:val="none" w:sz="0" w:space="0" w:color="auto"/>
            <w:right w:val="none" w:sz="0" w:space="0" w:color="auto"/>
          </w:divBdr>
        </w:div>
        <w:div w:id="135883461">
          <w:marLeft w:val="640"/>
          <w:marRight w:val="0"/>
          <w:marTop w:val="0"/>
          <w:marBottom w:val="0"/>
          <w:divBdr>
            <w:top w:val="none" w:sz="0" w:space="0" w:color="auto"/>
            <w:left w:val="none" w:sz="0" w:space="0" w:color="auto"/>
            <w:bottom w:val="none" w:sz="0" w:space="0" w:color="auto"/>
            <w:right w:val="none" w:sz="0" w:space="0" w:color="auto"/>
          </w:divBdr>
        </w:div>
        <w:div w:id="130248113">
          <w:marLeft w:val="640"/>
          <w:marRight w:val="0"/>
          <w:marTop w:val="0"/>
          <w:marBottom w:val="0"/>
          <w:divBdr>
            <w:top w:val="none" w:sz="0" w:space="0" w:color="auto"/>
            <w:left w:val="none" w:sz="0" w:space="0" w:color="auto"/>
            <w:bottom w:val="none" w:sz="0" w:space="0" w:color="auto"/>
            <w:right w:val="none" w:sz="0" w:space="0" w:color="auto"/>
          </w:divBdr>
        </w:div>
        <w:div w:id="639117349">
          <w:marLeft w:val="640"/>
          <w:marRight w:val="0"/>
          <w:marTop w:val="0"/>
          <w:marBottom w:val="0"/>
          <w:divBdr>
            <w:top w:val="none" w:sz="0" w:space="0" w:color="auto"/>
            <w:left w:val="none" w:sz="0" w:space="0" w:color="auto"/>
            <w:bottom w:val="none" w:sz="0" w:space="0" w:color="auto"/>
            <w:right w:val="none" w:sz="0" w:space="0" w:color="auto"/>
          </w:divBdr>
        </w:div>
        <w:div w:id="1440370646">
          <w:marLeft w:val="640"/>
          <w:marRight w:val="0"/>
          <w:marTop w:val="0"/>
          <w:marBottom w:val="0"/>
          <w:divBdr>
            <w:top w:val="none" w:sz="0" w:space="0" w:color="auto"/>
            <w:left w:val="none" w:sz="0" w:space="0" w:color="auto"/>
            <w:bottom w:val="none" w:sz="0" w:space="0" w:color="auto"/>
            <w:right w:val="none" w:sz="0" w:space="0" w:color="auto"/>
          </w:divBdr>
        </w:div>
        <w:div w:id="722144703">
          <w:marLeft w:val="640"/>
          <w:marRight w:val="0"/>
          <w:marTop w:val="0"/>
          <w:marBottom w:val="0"/>
          <w:divBdr>
            <w:top w:val="none" w:sz="0" w:space="0" w:color="auto"/>
            <w:left w:val="none" w:sz="0" w:space="0" w:color="auto"/>
            <w:bottom w:val="none" w:sz="0" w:space="0" w:color="auto"/>
            <w:right w:val="none" w:sz="0" w:space="0" w:color="auto"/>
          </w:divBdr>
        </w:div>
        <w:div w:id="163740335">
          <w:marLeft w:val="640"/>
          <w:marRight w:val="0"/>
          <w:marTop w:val="0"/>
          <w:marBottom w:val="0"/>
          <w:divBdr>
            <w:top w:val="none" w:sz="0" w:space="0" w:color="auto"/>
            <w:left w:val="none" w:sz="0" w:space="0" w:color="auto"/>
            <w:bottom w:val="none" w:sz="0" w:space="0" w:color="auto"/>
            <w:right w:val="none" w:sz="0" w:space="0" w:color="auto"/>
          </w:divBdr>
        </w:div>
        <w:div w:id="2057581122">
          <w:marLeft w:val="640"/>
          <w:marRight w:val="0"/>
          <w:marTop w:val="0"/>
          <w:marBottom w:val="0"/>
          <w:divBdr>
            <w:top w:val="none" w:sz="0" w:space="0" w:color="auto"/>
            <w:left w:val="none" w:sz="0" w:space="0" w:color="auto"/>
            <w:bottom w:val="none" w:sz="0" w:space="0" w:color="auto"/>
            <w:right w:val="none" w:sz="0" w:space="0" w:color="auto"/>
          </w:divBdr>
        </w:div>
        <w:div w:id="264457564">
          <w:marLeft w:val="640"/>
          <w:marRight w:val="0"/>
          <w:marTop w:val="0"/>
          <w:marBottom w:val="0"/>
          <w:divBdr>
            <w:top w:val="none" w:sz="0" w:space="0" w:color="auto"/>
            <w:left w:val="none" w:sz="0" w:space="0" w:color="auto"/>
            <w:bottom w:val="none" w:sz="0" w:space="0" w:color="auto"/>
            <w:right w:val="none" w:sz="0" w:space="0" w:color="auto"/>
          </w:divBdr>
        </w:div>
        <w:div w:id="2136676902">
          <w:marLeft w:val="640"/>
          <w:marRight w:val="0"/>
          <w:marTop w:val="0"/>
          <w:marBottom w:val="0"/>
          <w:divBdr>
            <w:top w:val="none" w:sz="0" w:space="0" w:color="auto"/>
            <w:left w:val="none" w:sz="0" w:space="0" w:color="auto"/>
            <w:bottom w:val="none" w:sz="0" w:space="0" w:color="auto"/>
            <w:right w:val="none" w:sz="0" w:space="0" w:color="auto"/>
          </w:divBdr>
        </w:div>
        <w:div w:id="417288674">
          <w:marLeft w:val="640"/>
          <w:marRight w:val="0"/>
          <w:marTop w:val="0"/>
          <w:marBottom w:val="0"/>
          <w:divBdr>
            <w:top w:val="none" w:sz="0" w:space="0" w:color="auto"/>
            <w:left w:val="none" w:sz="0" w:space="0" w:color="auto"/>
            <w:bottom w:val="none" w:sz="0" w:space="0" w:color="auto"/>
            <w:right w:val="none" w:sz="0" w:space="0" w:color="auto"/>
          </w:divBdr>
        </w:div>
        <w:div w:id="57486870">
          <w:marLeft w:val="640"/>
          <w:marRight w:val="0"/>
          <w:marTop w:val="0"/>
          <w:marBottom w:val="0"/>
          <w:divBdr>
            <w:top w:val="none" w:sz="0" w:space="0" w:color="auto"/>
            <w:left w:val="none" w:sz="0" w:space="0" w:color="auto"/>
            <w:bottom w:val="none" w:sz="0" w:space="0" w:color="auto"/>
            <w:right w:val="none" w:sz="0" w:space="0" w:color="auto"/>
          </w:divBdr>
        </w:div>
        <w:div w:id="1217669143">
          <w:marLeft w:val="640"/>
          <w:marRight w:val="0"/>
          <w:marTop w:val="0"/>
          <w:marBottom w:val="0"/>
          <w:divBdr>
            <w:top w:val="none" w:sz="0" w:space="0" w:color="auto"/>
            <w:left w:val="none" w:sz="0" w:space="0" w:color="auto"/>
            <w:bottom w:val="none" w:sz="0" w:space="0" w:color="auto"/>
            <w:right w:val="none" w:sz="0" w:space="0" w:color="auto"/>
          </w:divBdr>
        </w:div>
        <w:div w:id="1574466781">
          <w:marLeft w:val="640"/>
          <w:marRight w:val="0"/>
          <w:marTop w:val="0"/>
          <w:marBottom w:val="0"/>
          <w:divBdr>
            <w:top w:val="none" w:sz="0" w:space="0" w:color="auto"/>
            <w:left w:val="none" w:sz="0" w:space="0" w:color="auto"/>
            <w:bottom w:val="none" w:sz="0" w:space="0" w:color="auto"/>
            <w:right w:val="none" w:sz="0" w:space="0" w:color="auto"/>
          </w:divBdr>
        </w:div>
        <w:div w:id="1936786429">
          <w:marLeft w:val="640"/>
          <w:marRight w:val="0"/>
          <w:marTop w:val="0"/>
          <w:marBottom w:val="0"/>
          <w:divBdr>
            <w:top w:val="none" w:sz="0" w:space="0" w:color="auto"/>
            <w:left w:val="none" w:sz="0" w:space="0" w:color="auto"/>
            <w:bottom w:val="none" w:sz="0" w:space="0" w:color="auto"/>
            <w:right w:val="none" w:sz="0" w:space="0" w:color="auto"/>
          </w:divBdr>
        </w:div>
        <w:div w:id="2098018329">
          <w:marLeft w:val="640"/>
          <w:marRight w:val="0"/>
          <w:marTop w:val="0"/>
          <w:marBottom w:val="0"/>
          <w:divBdr>
            <w:top w:val="none" w:sz="0" w:space="0" w:color="auto"/>
            <w:left w:val="none" w:sz="0" w:space="0" w:color="auto"/>
            <w:bottom w:val="none" w:sz="0" w:space="0" w:color="auto"/>
            <w:right w:val="none" w:sz="0" w:space="0" w:color="auto"/>
          </w:divBdr>
        </w:div>
        <w:div w:id="2027510880">
          <w:marLeft w:val="640"/>
          <w:marRight w:val="0"/>
          <w:marTop w:val="0"/>
          <w:marBottom w:val="0"/>
          <w:divBdr>
            <w:top w:val="none" w:sz="0" w:space="0" w:color="auto"/>
            <w:left w:val="none" w:sz="0" w:space="0" w:color="auto"/>
            <w:bottom w:val="none" w:sz="0" w:space="0" w:color="auto"/>
            <w:right w:val="none" w:sz="0" w:space="0" w:color="auto"/>
          </w:divBdr>
        </w:div>
        <w:div w:id="2037920736">
          <w:marLeft w:val="640"/>
          <w:marRight w:val="0"/>
          <w:marTop w:val="0"/>
          <w:marBottom w:val="0"/>
          <w:divBdr>
            <w:top w:val="none" w:sz="0" w:space="0" w:color="auto"/>
            <w:left w:val="none" w:sz="0" w:space="0" w:color="auto"/>
            <w:bottom w:val="none" w:sz="0" w:space="0" w:color="auto"/>
            <w:right w:val="none" w:sz="0" w:space="0" w:color="auto"/>
          </w:divBdr>
        </w:div>
        <w:div w:id="1095324979">
          <w:marLeft w:val="640"/>
          <w:marRight w:val="0"/>
          <w:marTop w:val="0"/>
          <w:marBottom w:val="0"/>
          <w:divBdr>
            <w:top w:val="none" w:sz="0" w:space="0" w:color="auto"/>
            <w:left w:val="none" w:sz="0" w:space="0" w:color="auto"/>
            <w:bottom w:val="none" w:sz="0" w:space="0" w:color="auto"/>
            <w:right w:val="none" w:sz="0" w:space="0" w:color="auto"/>
          </w:divBdr>
        </w:div>
        <w:div w:id="691414740">
          <w:marLeft w:val="640"/>
          <w:marRight w:val="0"/>
          <w:marTop w:val="0"/>
          <w:marBottom w:val="0"/>
          <w:divBdr>
            <w:top w:val="none" w:sz="0" w:space="0" w:color="auto"/>
            <w:left w:val="none" w:sz="0" w:space="0" w:color="auto"/>
            <w:bottom w:val="none" w:sz="0" w:space="0" w:color="auto"/>
            <w:right w:val="none" w:sz="0" w:space="0" w:color="auto"/>
          </w:divBdr>
        </w:div>
        <w:div w:id="385418881">
          <w:marLeft w:val="640"/>
          <w:marRight w:val="0"/>
          <w:marTop w:val="0"/>
          <w:marBottom w:val="0"/>
          <w:divBdr>
            <w:top w:val="none" w:sz="0" w:space="0" w:color="auto"/>
            <w:left w:val="none" w:sz="0" w:space="0" w:color="auto"/>
            <w:bottom w:val="none" w:sz="0" w:space="0" w:color="auto"/>
            <w:right w:val="none" w:sz="0" w:space="0" w:color="auto"/>
          </w:divBdr>
        </w:div>
        <w:div w:id="1679886398">
          <w:marLeft w:val="640"/>
          <w:marRight w:val="0"/>
          <w:marTop w:val="0"/>
          <w:marBottom w:val="0"/>
          <w:divBdr>
            <w:top w:val="none" w:sz="0" w:space="0" w:color="auto"/>
            <w:left w:val="none" w:sz="0" w:space="0" w:color="auto"/>
            <w:bottom w:val="none" w:sz="0" w:space="0" w:color="auto"/>
            <w:right w:val="none" w:sz="0" w:space="0" w:color="auto"/>
          </w:divBdr>
        </w:div>
        <w:div w:id="1370180903">
          <w:marLeft w:val="640"/>
          <w:marRight w:val="0"/>
          <w:marTop w:val="0"/>
          <w:marBottom w:val="0"/>
          <w:divBdr>
            <w:top w:val="none" w:sz="0" w:space="0" w:color="auto"/>
            <w:left w:val="none" w:sz="0" w:space="0" w:color="auto"/>
            <w:bottom w:val="none" w:sz="0" w:space="0" w:color="auto"/>
            <w:right w:val="none" w:sz="0" w:space="0" w:color="auto"/>
          </w:divBdr>
        </w:div>
        <w:div w:id="987050371">
          <w:marLeft w:val="640"/>
          <w:marRight w:val="0"/>
          <w:marTop w:val="0"/>
          <w:marBottom w:val="0"/>
          <w:divBdr>
            <w:top w:val="none" w:sz="0" w:space="0" w:color="auto"/>
            <w:left w:val="none" w:sz="0" w:space="0" w:color="auto"/>
            <w:bottom w:val="none" w:sz="0" w:space="0" w:color="auto"/>
            <w:right w:val="none" w:sz="0" w:space="0" w:color="auto"/>
          </w:divBdr>
        </w:div>
        <w:div w:id="1528063115">
          <w:marLeft w:val="640"/>
          <w:marRight w:val="0"/>
          <w:marTop w:val="0"/>
          <w:marBottom w:val="0"/>
          <w:divBdr>
            <w:top w:val="none" w:sz="0" w:space="0" w:color="auto"/>
            <w:left w:val="none" w:sz="0" w:space="0" w:color="auto"/>
            <w:bottom w:val="none" w:sz="0" w:space="0" w:color="auto"/>
            <w:right w:val="none" w:sz="0" w:space="0" w:color="auto"/>
          </w:divBdr>
        </w:div>
        <w:div w:id="1593122651">
          <w:marLeft w:val="640"/>
          <w:marRight w:val="0"/>
          <w:marTop w:val="0"/>
          <w:marBottom w:val="0"/>
          <w:divBdr>
            <w:top w:val="none" w:sz="0" w:space="0" w:color="auto"/>
            <w:left w:val="none" w:sz="0" w:space="0" w:color="auto"/>
            <w:bottom w:val="none" w:sz="0" w:space="0" w:color="auto"/>
            <w:right w:val="none" w:sz="0" w:space="0" w:color="auto"/>
          </w:divBdr>
        </w:div>
        <w:div w:id="668757918">
          <w:marLeft w:val="640"/>
          <w:marRight w:val="0"/>
          <w:marTop w:val="0"/>
          <w:marBottom w:val="0"/>
          <w:divBdr>
            <w:top w:val="none" w:sz="0" w:space="0" w:color="auto"/>
            <w:left w:val="none" w:sz="0" w:space="0" w:color="auto"/>
            <w:bottom w:val="none" w:sz="0" w:space="0" w:color="auto"/>
            <w:right w:val="none" w:sz="0" w:space="0" w:color="auto"/>
          </w:divBdr>
        </w:div>
        <w:div w:id="1403528306">
          <w:marLeft w:val="640"/>
          <w:marRight w:val="0"/>
          <w:marTop w:val="0"/>
          <w:marBottom w:val="0"/>
          <w:divBdr>
            <w:top w:val="none" w:sz="0" w:space="0" w:color="auto"/>
            <w:left w:val="none" w:sz="0" w:space="0" w:color="auto"/>
            <w:bottom w:val="none" w:sz="0" w:space="0" w:color="auto"/>
            <w:right w:val="none" w:sz="0" w:space="0" w:color="auto"/>
          </w:divBdr>
        </w:div>
        <w:div w:id="144861731">
          <w:marLeft w:val="640"/>
          <w:marRight w:val="0"/>
          <w:marTop w:val="0"/>
          <w:marBottom w:val="0"/>
          <w:divBdr>
            <w:top w:val="none" w:sz="0" w:space="0" w:color="auto"/>
            <w:left w:val="none" w:sz="0" w:space="0" w:color="auto"/>
            <w:bottom w:val="none" w:sz="0" w:space="0" w:color="auto"/>
            <w:right w:val="none" w:sz="0" w:space="0" w:color="auto"/>
          </w:divBdr>
        </w:div>
        <w:div w:id="467287559">
          <w:marLeft w:val="640"/>
          <w:marRight w:val="0"/>
          <w:marTop w:val="0"/>
          <w:marBottom w:val="0"/>
          <w:divBdr>
            <w:top w:val="none" w:sz="0" w:space="0" w:color="auto"/>
            <w:left w:val="none" w:sz="0" w:space="0" w:color="auto"/>
            <w:bottom w:val="none" w:sz="0" w:space="0" w:color="auto"/>
            <w:right w:val="none" w:sz="0" w:space="0" w:color="auto"/>
          </w:divBdr>
        </w:div>
        <w:div w:id="99957554">
          <w:marLeft w:val="640"/>
          <w:marRight w:val="0"/>
          <w:marTop w:val="0"/>
          <w:marBottom w:val="0"/>
          <w:divBdr>
            <w:top w:val="none" w:sz="0" w:space="0" w:color="auto"/>
            <w:left w:val="none" w:sz="0" w:space="0" w:color="auto"/>
            <w:bottom w:val="none" w:sz="0" w:space="0" w:color="auto"/>
            <w:right w:val="none" w:sz="0" w:space="0" w:color="auto"/>
          </w:divBdr>
        </w:div>
        <w:div w:id="1942758468">
          <w:marLeft w:val="640"/>
          <w:marRight w:val="0"/>
          <w:marTop w:val="0"/>
          <w:marBottom w:val="0"/>
          <w:divBdr>
            <w:top w:val="none" w:sz="0" w:space="0" w:color="auto"/>
            <w:left w:val="none" w:sz="0" w:space="0" w:color="auto"/>
            <w:bottom w:val="none" w:sz="0" w:space="0" w:color="auto"/>
            <w:right w:val="none" w:sz="0" w:space="0" w:color="auto"/>
          </w:divBdr>
        </w:div>
        <w:div w:id="461579450">
          <w:marLeft w:val="640"/>
          <w:marRight w:val="0"/>
          <w:marTop w:val="0"/>
          <w:marBottom w:val="0"/>
          <w:divBdr>
            <w:top w:val="none" w:sz="0" w:space="0" w:color="auto"/>
            <w:left w:val="none" w:sz="0" w:space="0" w:color="auto"/>
            <w:bottom w:val="none" w:sz="0" w:space="0" w:color="auto"/>
            <w:right w:val="none" w:sz="0" w:space="0" w:color="auto"/>
          </w:divBdr>
        </w:div>
        <w:div w:id="833298249">
          <w:marLeft w:val="640"/>
          <w:marRight w:val="0"/>
          <w:marTop w:val="0"/>
          <w:marBottom w:val="0"/>
          <w:divBdr>
            <w:top w:val="none" w:sz="0" w:space="0" w:color="auto"/>
            <w:left w:val="none" w:sz="0" w:space="0" w:color="auto"/>
            <w:bottom w:val="none" w:sz="0" w:space="0" w:color="auto"/>
            <w:right w:val="none" w:sz="0" w:space="0" w:color="auto"/>
          </w:divBdr>
        </w:div>
        <w:div w:id="631832838">
          <w:marLeft w:val="640"/>
          <w:marRight w:val="0"/>
          <w:marTop w:val="0"/>
          <w:marBottom w:val="0"/>
          <w:divBdr>
            <w:top w:val="none" w:sz="0" w:space="0" w:color="auto"/>
            <w:left w:val="none" w:sz="0" w:space="0" w:color="auto"/>
            <w:bottom w:val="none" w:sz="0" w:space="0" w:color="auto"/>
            <w:right w:val="none" w:sz="0" w:space="0" w:color="auto"/>
          </w:divBdr>
        </w:div>
        <w:div w:id="1821075188">
          <w:marLeft w:val="640"/>
          <w:marRight w:val="0"/>
          <w:marTop w:val="0"/>
          <w:marBottom w:val="0"/>
          <w:divBdr>
            <w:top w:val="none" w:sz="0" w:space="0" w:color="auto"/>
            <w:left w:val="none" w:sz="0" w:space="0" w:color="auto"/>
            <w:bottom w:val="none" w:sz="0" w:space="0" w:color="auto"/>
            <w:right w:val="none" w:sz="0" w:space="0" w:color="auto"/>
          </w:divBdr>
        </w:div>
        <w:div w:id="1383092801">
          <w:marLeft w:val="640"/>
          <w:marRight w:val="0"/>
          <w:marTop w:val="0"/>
          <w:marBottom w:val="0"/>
          <w:divBdr>
            <w:top w:val="none" w:sz="0" w:space="0" w:color="auto"/>
            <w:left w:val="none" w:sz="0" w:space="0" w:color="auto"/>
            <w:bottom w:val="none" w:sz="0" w:space="0" w:color="auto"/>
            <w:right w:val="none" w:sz="0" w:space="0" w:color="auto"/>
          </w:divBdr>
        </w:div>
        <w:div w:id="711614948">
          <w:marLeft w:val="640"/>
          <w:marRight w:val="0"/>
          <w:marTop w:val="0"/>
          <w:marBottom w:val="0"/>
          <w:divBdr>
            <w:top w:val="none" w:sz="0" w:space="0" w:color="auto"/>
            <w:left w:val="none" w:sz="0" w:space="0" w:color="auto"/>
            <w:bottom w:val="none" w:sz="0" w:space="0" w:color="auto"/>
            <w:right w:val="none" w:sz="0" w:space="0" w:color="auto"/>
          </w:divBdr>
        </w:div>
        <w:div w:id="1799563865">
          <w:marLeft w:val="640"/>
          <w:marRight w:val="0"/>
          <w:marTop w:val="0"/>
          <w:marBottom w:val="0"/>
          <w:divBdr>
            <w:top w:val="none" w:sz="0" w:space="0" w:color="auto"/>
            <w:left w:val="none" w:sz="0" w:space="0" w:color="auto"/>
            <w:bottom w:val="none" w:sz="0" w:space="0" w:color="auto"/>
            <w:right w:val="none" w:sz="0" w:space="0" w:color="auto"/>
          </w:divBdr>
        </w:div>
        <w:div w:id="1007948903">
          <w:marLeft w:val="640"/>
          <w:marRight w:val="0"/>
          <w:marTop w:val="0"/>
          <w:marBottom w:val="0"/>
          <w:divBdr>
            <w:top w:val="none" w:sz="0" w:space="0" w:color="auto"/>
            <w:left w:val="none" w:sz="0" w:space="0" w:color="auto"/>
            <w:bottom w:val="none" w:sz="0" w:space="0" w:color="auto"/>
            <w:right w:val="none" w:sz="0" w:space="0" w:color="auto"/>
          </w:divBdr>
        </w:div>
        <w:div w:id="1731466037">
          <w:marLeft w:val="640"/>
          <w:marRight w:val="0"/>
          <w:marTop w:val="0"/>
          <w:marBottom w:val="0"/>
          <w:divBdr>
            <w:top w:val="none" w:sz="0" w:space="0" w:color="auto"/>
            <w:left w:val="none" w:sz="0" w:space="0" w:color="auto"/>
            <w:bottom w:val="none" w:sz="0" w:space="0" w:color="auto"/>
            <w:right w:val="none" w:sz="0" w:space="0" w:color="auto"/>
          </w:divBdr>
        </w:div>
        <w:div w:id="2122844533">
          <w:marLeft w:val="640"/>
          <w:marRight w:val="0"/>
          <w:marTop w:val="0"/>
          <w:marBottom w:val="0"/>
          <w:divBdr>
            <w:top w:val="none" w:sz="0" w:space="0" w:color="auto"/>
            <w:left w:val="none" w:sz="0" w:space="0" w:color="auto"/>
            <w:bottom w:val="none" w:sz="0" w:space="0" w:color="auto"/>
            <w:right w:val="none" w:sz="0" w:space="0" w:color="auto"/>
          </w:divBdr>
        </w:div>
        <w:div w:id="2026202224">
          <w:marLeft w:val="640"/>
          <w:marRight w:val="0"/>
          <w:marTop w:val="0"/>
          <w:marBottom w:val="0"/>
          <w:divBdr>
            <w:top w:val="none" w:sz="0" w:space="0" w:color="auto"/>
            <w:left w:val="none" w:sz="0" w:space="0" w:color="auto"/>
            <w:bottom w:val="none" w:sz="0" w:space="0" w:color="auto"/>
            <w:right w:val="none" w:sz="0" w:space="0" w:color="auto"/>
          </w:divBdr>
        </w:div>
        <w:div w:id="574246107">
          <w:marLeft w:val="640"/>
          <w:marRight w:val="0"/>
          <w:marTop w:val="0"/>
          <w:marBottom w:val="0"/>
          <w:divBdr>
            <w:top w:val="none" w:sz="0" w:space="0" w:color="auto"/>
            <w:left w:val="none" w:sz="0" w:space="0" w:color="auto"/>
            <w:bottom w:val="none" w:sz="0" w:space="0" w:color="auto"/>
            <w:right w:val="none" w:sz="0" w:space="0" w:color="auto"/>
          </w:divBdr>
        </w:div>
        <w:div w:id="1800149568">
          <w:marLeft w:val="640"/>
          <w:marRight w:val="0"/>
          <w:marTop w:val="0"/>
          <w:marBottom w:val="0"/>
          <w:divBdr>
            <w:top w:val="none" w:sz="0" w:space="0" w:color="auto"/>
            <w:left w:val="none" w:sz="0" w:space="0" w:color="auto"/>
            <w:bottom w:val="none" w:sz="0" w:space="0" w:color="auto"/>
            <w:right w:val="none" w:sz="0" w:space="0" w:color="auto"/>
          </w:divBdr>
        </w:div>
        <w:div w:id="1550991142">
          <w:marLeft w:val="640"/>
          <w:marRight w:val="0"/>
          <w:marTop w:val="0"/>
          <w:marBottom w:val="0"/>
          <w:divBdr>
            <w:top w:val="none" w:sz="0" w:space="0" w:color="auto"/>
            <w:left w:val="none" w:sz="0" w:space="0" w:color="auto"/>
            <w:bottom w:val="none" w:sz="0" w:space="0" w:color="auto"/>
            <w:right w:val="none" w:sz="0" w:space="0" w:color="auto"/>
          </w:divBdr>
        </w:div>
        <w:div w:id="1518889560">
          <w:marLeft w:val="640"/>
          <w:marRight w:val="0"/>
          <w:marTop w:val="0"/>
          <w:marBottom w:val="0"/>
          <w:divBdr>
            <w:top w:val="none" w:sz="0" w:space="0" w:color="auto"/>
            <w:left w:val="none" w:sz="0" w:space="0" w:color="auto"/>
            <w:bottom w:val="none" w:sz="0" w:space="0" w:color="auto"/>
            <w:right w:val="none" w:sz="0" w:space="0" w:color="auto"/>
          </w:divBdr>
        </w:div>
        <w:div w:id="1844664783">
          <w:marLeft w:val="640"/>
          <w:marRight w:val="0"/>
          <w:marTop w:val="0"/>
          <w:marBottom w:val="0"/>
          <w:divBdr>
            <w:top w:val="none" w:sz="0" w:space="0" w:color="auto"/>
            <w:left w:val="none" w:sz="0" w:space="0" w:color="auto"/>
            <w:bottom w:val="none" w:sz="0" w:space="0" w:color="auto"/>
            <w:right w:val="none" w:sz="0" w:space="0" w:color="auto"/>
          </w:divBdr>
        </w:div>
        <w:div w:id="1280533449">
          <w:marLeft w:val="640"/>
          <w:marRight w:val="0"/>
          <w:marTop w:val="0"/>
          <w:marBottom w:val="0"/>
          <w:divBdr>
            <w:top w:val="none" w:sz="0" w:space="0" w:color="auto"/>
            <w:left w:val="none" w:sz="0" w:space="0" w:color="auto"/>
            <w:bottom w:val="none" w:sz="0" w:space="0" w:color="auto"/>
            <w:right w:val="none" w:sz="0" w:space="0" w:color="auto"/>
          </w:divBdr>
        </w:div>
        <w:div w:id="370424371">
          <w:marLeft w:val="640"/>
          <w:marRight w:val="0"/>
          <w:marTop w:val="0"/>
          <w:marBottom w:val="0"/>
          <w:divBdr>
            <w:top w:val="none" w:sz="0" w:space="0" w:color="auto"/>
            <w:left w:val="none" w:sz="0" w:space="0" w:color="auto"/>
            <w:bottom w:val="none" w:sz="0" w:space="0" w:color="auto"/>
            <w:right w:val="none" w:sz="0" w:space="0" w:color="auto"/>
          </w:divBdr>
        </w:div>
        <w:div w:id="1964073662">
          <w:marLeft w:val="640"/>
          <w:marRight w:val="0"/>
          <w:marTop w:val="0"/>
          <w:marBottom w:val="0"/>
          <w:divBdr>
            <w:top w:val="none" w:sz="0" w:space="0" w:color="auto"/>
            <w:left w:val="none" w:sz="0" w:space="0" w:color="auto"/>
            <w:bottom w:val="none" w:sz="0" w:space="0" w:color="auto"/>
            <w:right w:val="none" w:sz="0" w:space="0" w:color="auto"/>
          </w:divBdr>
        </w:div>
        <w:div w:id="68814009">
          <w:marLeft w:val="640"/>
          <w:marRight w:val="0"/>
          <w:marTop w:val="0"/>
          <w:marBottom w:val="0"/>
          <w:divBdr>
            <w:top w:val="none" w:sz="0" w:space="0" w:color="auto"/>
            <w:left w:val="none" w:sz="0" w:space="0" w:color="auto"/>
            <w:bottom w:val="none" w:sz="0" w:space="0" w:color="auto"/>
            <w:right w:val="none" w:sz="0" w:space="0" w:color="auto"/>
          </w:divBdr>
        </w:div>
        <w:div w:id="1567953656">
          <w:marLeft w:val="640"/>
          <w:marRight w:val="0"/>
          <w:marTop w:val="0"/>
          <w:marBottom w:val="0"/>
          <w:divBdr>
            <w:top w:val="none" w:sz="0" w:space="0" w:color="auto"/>
            <w:left w:val="none" w:sz="0" w:space="0" w:color="auto"/>
            <w:bottom w:val="none" w:sz="0" w:space="0" w:color="auto"/>
            <w:right w:val="none" w:sz="0" w:space="0" w:color="auto"/>
          </w:divBdr>
        </w:div>
        <w:div w:id="490217298">
          <w:marLeft w:val="640"/>
          <w:marRight w:val="0"/>
          <w:marTop w:val="0"/>
          <w:marBottom w:val="0"/>
          <w:divBdr>
            <w:top w:val="none" w:sz="0" w:space="0" w:color="auto"/>
            <w:left w:val="none" w:sz="0" w:space="0" w:color="auto"/>
            <w:bottom w:val="none" w:sz="0" w:space="0" w:color="auto"/>
            <w:right w:val="none" w:sz="0" w:space="0" w:color="auto"/>
          </w:divBdr>
        </w:div>
        <w:div w:id="328678712">
          <w:marLeft w:val="640"/>
          <w:marRight w:val="0"/>
          <w:marTop w:val="0"/>
          <w:marBottom w:val="0"/>
          <w:divBdr>
            <w:top w:val="none" w:sz="0" w:space="0" w:color="auto"/>
            <w:left w:val="none" w:sz="0" w:space="0" w:color="auto"/>
            <w:bottom w:val="none" w:sz="0" w:space="0" w:color="auto"/>
            <w:right w:val="none" w:sz="0" w:space="0" w:color="auto"/>
          </w:divBdr>
        </w:div>
        <w:div w:id="2044286176">
          <w:marLeft w:val="640"/>
          <w:marRight w:val="0"/>
          <w:marTop w:val="0"/>
          <w:marBottom w:val="0"/>
          <w:divBdr>
            <w:top w:val="none" w:sz="0" w:space="0" w:color="auto"/>
            <w:left w:val="none" w:sz="0" w:space="0" w:color="auto"/>
            <w:bottom w:val="none" w:sz="0" w:space="0" w:color="auto"/>
            <w:right w:val="none" w:sz="0" w:space="0" w:color="auto"/>
          </w:divBdr>
        </w:div>
        <w:div w:id="1927029181">
          <w:marLeft w:val="640"/>
          <w:marRight w:val="0"/>
          <w:marTop w:val="0"/>
          <w:marBottom w:val="0"/>
          <w:divBdr>
            <w:top w:val="none" w:sz="0" w:space="0" w:color="auto"/>
            <w:left w:val="none" w:sz="0" w:space="0" w:color="auto"/>
            <w:bottom w:val="none" w:sz="0" w:space="0" w:color="auto"/>
            <w:right w:val="none" w:sz="0" w:space="0" w:color="auto"/>
          </w:divBdr>
        </w:div>
        <w:div w:id="534777142">
          <w:marLeft w:val="640"/>
          <w:marRight w:val="0"/>
          <w:marTop w:val="0"/>
          <w:marBottom w:val="0"/>
          <w:divBdr>
            <w:top w:val="none" w:sz="0" w:space="0" w:color="auto"/>
            <w:left w:val="none" w:sz="0" w:space="0" w:color="auto"/>
            <w:bottom w:val="none" w:sz="0" w:space="0" w:color="auto"/>
            <w:right w:val="none" w:sz="0" w:space="0" w:color="auto"/>
          </w:divBdr>
        </w:div>
        <w:div w:id="404425153">
          <w:marLeft w:val="640"/>
          <w:marRight w:val="0"/>
          <w:marTop w:val="0"/>
          <w:marBottom w:val="0"/>
          <w:divBdr>
            <w:top w:val="none" w:sz="0" w:space="0" w:color="auto"/>
            <w:left w:val="none" w:sz="0" w:space="0" w:color="auto"/>
            <w:bottom w:val="none" w:sz="0" w:space="0" w:color="auto"/>
            <w:right w:val="none" w:sz="0" w:space="0" w:color="auto"/>
          </w:divBdr>
        </w:div>
        <w:div w:id="1845507074">
          <w:marLeft w:val="640"/>
          <w:marRight w:val="0"/>
          <w:marTop w:val="0"/>
          <w:marBottom w:val="0"/>
          <w:divBdr>
            <w:top w:val="none" w:sz="0" w:space="0" w:color="auto"/>
            <w:left w:val="none" w:sz="0" w:space="0" w:color="auto"/>
            <w:bottom w:val="none" w:sz="0" w:space="0" w:color="auto"/>
            <w:right w:val="none" w:sz="0" w:space="0" w:color="auto"/>
          </w:divBdr>
        </w:div>
        <w:div w:id="1886336305">
          <w:marLeft w:val="640"/>
          <w:marRight w:val="0"/>
          <w:marTop w:val="0"/>
          <w:marBottom w:val="0"/>
          <w:divBdr>
            <w:top w:val="none" w:sz="0" w:space="0" w:color="auto"/>
            <w:left w:val="none" w:sz="0" w:space="0" w:color="auto"/>
            <w:bottom w:val="none" w:sz="0" w:space="0" w:color="auto"/>
            <w:right w:val="none" w:sz="0" w:space="0" w:color="auto"/>
          </w:divBdr>
        </w:div>
        <w:div w:id="351346203">
          <w:marLeft w:val="640"/>
          <w:marRight w:val="0"/>
          <w:marTop w:val="0"/>
          <w:marBottom w:val="0"/>
          <w:divBdr>
            <w:top w:val="none" w:sz="0" w:space="0" w:color="auto"/>
            <w:left w:val="none" w:sz="0" w:space="0" w:color="auto"/>
            <w:bottom w:val="none" w:sz="0" w:space="0" w:color="auto"/>
            <w:right w:val="none" w:sz="0" w:space="0" w:color="auto"/>
          </w:divBdr>
        </w:div>
        <w:div w:id="2041471559">
          <w:marLeft w:val="640"/>
          <w:marRight w:val="0"/>
          <w:marTop w:val="0"/>
          <w:marBottom w:val="0"/>
          <w:divBdr>
            <w:top w:val="none" w:sz="0" w:space="0" w:color="auto"/>
            <w:left w:val="none" w:sz="0" w:space="0" w:color="auto"/>
            <w:bottom w:val="none" w:sz="0" w:space="0" w:color="auto"/>
            <w:right w:val="none" w:sz="0" w:space="0" w:color="auto"/>
          </w:divBdr>
        </w:div>
        <w:div w:id="1336761245">
          <w:marLeft w:val="640"/>
          <w:marRight w:val="0"/>
          <w:marTop w:val="0"/>
          <w:marBottom w:val="0"/>
          <w:divBdr>
            <w:top w:val="none" w:sz="0" w:space="0" w:color="auto"/>
            <w:left w:val="none" w:sz="0" w:space="0" w:color="auto"/>
            <w:bottom w:val="none" w:sz="0" w:space="0" w:color="auto"/>
            <w:right w:val="none" w:sz="0" w:space="0" w:color="auto"/>
          </w:divBdr>
        </w:div>
        <w:div w:id="1696224867">
          <w:marLeft w:val="640"/>
          <w:marRight w:val="0"/>
          <w:marTop w:val="0"/>
          <w:marBottom w:val="0"/>
          <w:divBdr>
            <w:top w:val="none" w:sz="0" w:space="0" w:color="auto"/>
            <w:left w:val="none" w:sz="0" w:space="0" w:color="auto"/>
            <w:bottom w:val="none" w:sz="0" w:space="0" w:color="auto"/>
            <w:right w:val="none" w:sz="0" w:space="0" w:color="auto"/>
          </w:divBdr>
        </w:div>
        <w:div w:id="1094471694">
          <w:marLeft w:val="640"/>
          <w:marRight w:val="0"/>
          <w:marTop w:val="0"/>
          <w:marBottom w:val="0"/>
          <w:divBdr>
            <w:top w:val="none" w:sz="0" w:space="0" w:color="auto"/>
            <w:left w:val="none" w:sz="0" w:space="0" w:color="auto"/>
            <w:bottom w:val="none" w:sz="0" w:space="0" w:color="auto"/>
            <w:right w:val="none" w:sz="0" w:space="0" w:color="auto"/>
          </w:divBdr>
        </w:div>
        <w:div w:id="2061247771">
          <w:marLeft w:val="640"/>
          <w:marRight w:val="0"/>
          <w:marTop w:val="0"/>
          <w:marBottom w:val="0"/>
          <w:divBdr>
            <w:top w:val="none" w:sz="0" w:space="0" w:color="auto"/>
            <w:left w:val="none" w:sz="0" w:space="0" w:color="auto"/>
            <w:bottom w:val="none" w:sz="0" w:space="0" w:color="auto"/>
            <w:right w:val="none" w:sz="0" w:space="0" w:color="auto"/>
          </w:divBdr>
        </w:div>
        <w:div w:id="1512334080">
          <w:marLeft w:val="640"/>
          <w:marRight w:val="0"/>
          <w:marTop w:val="0"/>
          <w:marBottom w:val="0"/>
          <w:divBdr>
            <w:top w:val="none" w:sz="0" w:space="0" w:color="auto"/>
            <w:left w:val="none" w:sz="0" w:space="0" w:color="auto"/>
            <w:bottom w:val="none" w:sz="0" w:space="0" w:color="auto"/>
            <w:right w:val="none" w:sz="0" w:space="0" w:color="auto"/>
          </w:divBdr>
        </w:div>
        <w:div w:id="1333098659">
          <w:marLeft w:val="640"/>
          <w:marRight w:val="0"/>
          <w:marTop w:val="0"/>
          <w:marBottom w:val="0"/>
          <w:divBdr>
            <w:top w:val="none" w:sz="0" w:space="0" w:color="auto"/>
            <w:left w:val="none" w:sz="0" w:space="0" w:color="auto"/>
            <w:bottom w:val="none" w:sz="0" w:space="0" w:color="auto"/>
            <w:right w:val="none" w:sz="0" w:space="0" w:color="auto"/>
          </w:divBdr>
        </w:div>
        <w:div w:id="1933661968">
          <w:marLeft w:val="640"/>
          <w:marRight w:val="0"/>
          <w:marTop w:val="0"/>
          <w:marBottom w:val="0"/>
          <w:divBdr>
            <w:top w:val="none" w:sz="0" w:space="0" w:color="auto"/>
            <w:left w:val="none" w:sz="0" w:space="0" w:color="auto"/>
            <w:bottom w:val="none" w:sz="0" w:space="0" w:color="auto"/>
            <w:right w:val="none" w:sz="0" w:space="0" w:color="auto"/>
          </w:divBdr>
        </w:div>
        <w:div w:id="779296179">
          <w:marLeft w:val="640"/>
          <w:marRight w:val="0"/>
          <w:marTop w:val="0"/>
          <w:marBottom w:val="0"/>
          <w:divBdr>
            <w:top w:val="none" w:sz="0" w:space="0" w:color="auto"/>
            <w:left w:val="none" w:sz="0" w:space="0" w:color="auto"/>
            <w:bottom w:val="none" w:sz="0" w:space="0" w:color="auto"/>
            <w:right w:val="none" w:sz="0" w:space="0" w:color="auto"/>
          </w:divBdr>
        </w:div>
        <w:div w:id="843281291">
          <w:marLeft w:val="640"/>
          <w:marRight w:val="0"/>
          <w:marTop w:val="0"/>
          <w:marBottom w:val="0"/>
          <w:divBdr>
            <w:top w:val="none" w:sz="0" w:space="0" w:color="auto"/>
            <w:left w:val="none" w:sz="0" w:space="0" w:color="auto"/>
            <w:bottom w:val="none" w:sz="0" w:space="0" w:color="auto"/>
            <w:right w:val="none" w:sz="0" w:space="0" w:color="auto"/>
          </w:divBdr>
        </w:div>
        <w:div w:id="29041377">
          <w:marLeft w:val="640"/>
          <w:marRight w:val="0"/>
          <w:marTop w:val="0"/>
          <w:marBottom w:val="0"/>
          <w:divBdr>
            <w:top w:val="none" w:sz="0" w:space="0" w:color="auto"/>
            <w:left w:val="none" w:sz="0" w:space="0" w:color="auto"/>
            <w:bottom w:val="none" w:sz="0" w:space="0" w:color="auto"/>
            <w:right w:val="none" w:sz="0" w:space="0" w:color="auto"/>
          </w:divBdr>
        </w:div>
        <w:div w:id="952175769">
          <w:marLeft w:val="640"/>
          <w:marRight w:val="0"/>
          <w:marTop w:val="0"/>
          <w:marBottom w:val="0"/>
          <w:divBdr>
            <w:top w:val="none" w:sz="0" w:space="0" w:color="auto"/>
            <w:left w:val="none" w:sz="0" w:space="0" w:color="auto"/>
            <w:bottom w:val="none" w:sz="0" w:space="0" w:color="auto"/>
            <w:right w:val="none" w:sz="0" w:space="0" w:color="auto"/>
          </w:divBdr>
        </w:div>
        <w:div w:id="1778984725">
          <w:marLeft w:val="640"/>
          <w:marRight w:val="0"/>
          <w:marTop w:val="0"/>
          <w:marBottom w:val="0"/>
          <w:divBdr>
            <w:top w:val="none" w:sz="0" w:space="0" w:color="auto"/>
            <w:left w:val="none" w:sz="0" w:space="0" w:color="auto"/>
            <w:bottom w:val="none" w:sz="0" w:space="0" w:color="auto"/>
            <w:right w:val="none" w:sz="0" w:space="0" w:color="auto"/>
          </w:divBdr>
        </w:div>
        <w:div w:id="651524350">
          <w:marLeft w:val="640"/>
          <w:marRight w:val="0"/>
          <w:marTop w:val="0"/>
          <w:marBottom w:val="0"/>
          <w:divBdr>
            <w:top w:val="none" w:sz="0" w:space="0" w:color="auto"/>
            <w:left w:val="none" w:sz="0" w:space="0" w:color="auto"/>
            <w:bottom w:val="none" w:sz="0" w:space="0" w:color="auto"/>
            <w:right w:val="none" w:sz="0" w:space="0" w:color="auto"/>
          </w:divBdr>
        </w:div>
        <w:div w:id="2086023728">
          <w:marLeft w:val="640"/>
          <w:marRight w:val="0"/>
          <w:marTop w:val="0"/>
          <w:marBottom w:val="0"/>
          <w:divBdr>
            <w:top w:val="none" w:sz="0" w:space="0" w:color="auto"/>
            <w:left w:val="none" w:sz="0" w:space="0" w:color="auto"/>
            <w:bottom w:val="none" w:sz="0" w:space="0" w:color="auto"/>
            <w:right w:val="none" w:sz="0" w:space="0" w:color="auto"/>
          </w:divBdr>
        </w:div>
        <w:div w:id="1186283436">
          <w:marLeft w:val="640"/>
          <w:marRight w:val="0"/>
          <w:marTop w:val="0"/>
          <w:marBottom w:val="0"/>
          <w:divBdr>
            <w:top w:val="none" w:sz="0" w:space="0" w:color="auto"/>
            <w:left w:val="none" w:sz="0" w:space="0" w:color="auto"/>
            <w:bottom w:val="none" w:sz="0" w:space="0" w:color="auto"/>
            <w:right w:val="none" w:sz="0" w:space="0" w:color="auto"/>
          </w:divBdr>
        </w:div>
        <w:div w:id="2117750927">
          <w:marLeft w:val="640"/>
          <w:marRight w:val="0"/>
          <w:marTop w:val="0"/>
          <w:marBottom w:val="0"/>
          <w:divBdr>
            <w:top w:val="none" w:sz="0" w:space="0" w:color="auto"/>
            <w:left w:val="none" w:sz="0" w:space="0" w:color="auto"/>
            <w:bottom w:val="none" w:sz="0" w:space="0" w:color="auto"/>
            <w:right w:val="none" w:sz="0" w:space="0" w:color="auto"/>
          </w:divBdr>
        </w:div>
        <w:div w:id="1903523726">
          <w:marLeft w:val="640"/>
          <w:marRight w:val="0"/>
          <w:marTop w:val="0"/>
          <w:marBottom w:val="0"/>
          <w:divBdr>
            <w:top w:val="none" w:sz="0" w:space="0" w:color="auto"/>
            <w:left w:val="none" w:sz="0" w:space="0" w:color="auto"/>
            <w:bottom w:val="none" w:sz="0" w:space="0" w:color="auto"/>
            <w:right w:val="none" w:sz="0" w:space="0" w:color="auto"/>
          </w:divBdr>
        </w:div>
        <w:div w:id="1479493194">
          <w:marLeft w:val="640"/>
          <w:marRight w:val="0"/>
          <w:marTop w:val="0"/>
          <w:marBottom w:val="0"/>
          <w:divBdr>
            <w:top w:val="none" w:sz="0" w:space="0" w:color="auto"/>
            <w:left w:val="none" w:sz="0" w:space="0" w:color="auto"/>
            <w:bottom w:val="none" w:sz="0" w:space="0" w:color="auto"/>
            <w:right w:val="none" w:sz="0" w:space="0" w:color="auto"/>
          </w:divBdr>
        </w:div>
        <w:div w:id="1311710691">
          <w:marLeft w:val="640"/>
          <w:marRight w:val="0"/>
          <w:marTop w:val="0"/>
          <w:marBottom w:val="0"/>
          <w:divBdr>
            <w:top w:val="none" w:sz="0" w:space="0" w:color="auto"/>
            <w:left w:val="none" w:sz="0" w:space="0" w:color="auto"/>
            <w:bottom w:val="none" w:sz="0" w:space="0" w:color="auto"/>
            <w:right w:val="none" w:sz="0" w:space="0" w:color="auto"/>
          </w:divBdr>
        </w:div>
        <w:div w:id="502012278">
          <w:marLeft w:val="640"/>
          <w:marRight w:val="0"/>
          <w:marTop w:val="0"/>
          <w:marBottom w:val="0"/>
          <w:divBdr>
            <w:top w:val="none" w:sz="0" w:space="0" w:color="auto"/>
            <w:left w:val="none" w:sz="0" w:space="0" w:color="auto"/>
            <w:bottom w:val="none" w:sz="0" w:space="0" w:color="auto"/>
            <w:right w:val="none" w:sz="0" w:space="0" w:color="auto"/>
          </w:divBdr>
        </w:div>
        <w:div w:id="195198858">
          <w:marLeft w:val="640"/>
          <w:marRight w:val="0"/>
          <w:marTop w:val="0"/>
          <w:marBottom w:val="0"/>
          <w:divBdr>
            <w:top w:val="none" w:sz="0" w:space="0" w:color="auto"/>
            <w:left w:val="none" w:sz="0" w:space="0" w:color="auto"/>
            <w:bottom w:val="none" w:sz="0" w:space="0" w:color="auto"/>
            <w:right w:val="none" w:sz="0" w:space="0" w:color="auto"/>
          </w:divBdr>
        </w:div>
        <w:div w:id="1173227653">
          <w:marLeft w:val="640"/>
          <w:marRight w:val="0"/>
          <w:marTop w:val="0"/>
          <w:marBottom w:val="0"/>
          <w:divBdr>
            <w:top w:val="none" w:sz="0" w:space="0" w:color="auto"/>
            <w:left w:val="none" w:sz="0" w:space="0" w:color="auto"/>
            <w:bottom w:val="none" w:sz="0" w:space="0" w:color="auto"/>
            <w:right w:val="none" w:sz="0" w:space="0" w:color="auto"/>
          </w:divBdr>
        </w:div>
        <w:div w:id="59670346">
          <w:marLeft w:val="640"/>
          <w:marRight w:val="0"/>
          <w:marTop w:val="0"/>
          <w:marBottom w:val="0"/>
          <w:divBdr>
            <w:top w:val="none" w:sz="0" w:space="0" w:color="auto"/>
            <w:left w:val="none" w:sz="0" w:space="0" w:color="auto"/>
            <w:bottom w:val="none" w:sz="0" w:space="0" w:color="auto"/>
            <w:right w:val="none" w:sz="0" w:space="0" w:color="auto"/>
          </w:divBdr>
        </w:div>
        <w:div w:id="962999629">
          <w:marLeft w:val="640"/>
          <w:marRight w:val="0"/>
          <w:marTop w:val="0"/>
          <w:marBottom w:val="0"/>
          <w:divBdr>
            <w:top w:val="none" w:sz="0" w:space="0" w:color="auto"/>
            <w:left w:val="none" w:sz="0" w:space="0" w:color="auto"/>
            <w:bottom w:val="none" w:sz="0" w:space="0" w:color="auto"/>
            <w:right w:val="none" w:sz="0" w:space="0" w:color="auto"/>
          </w:divBdr>
        </w:div>
        <w:div w:id="222524971">
          <w:marLeft w:val="640"/>
          <w:marRight w:val="0"/>
          <w:marTop w:val="0"/>
          <w:marBottom w:val="0"/>
          <w:divBdr>
            <w:top w:val="none" w:sz="0" w:space="0" w:color="auto"/>
            <w:left w:val="none" w:sz="0" w:space="0" w:color="auto"/>
            <w:bottom w:val="none" w:sz="0" w:space="0" w:color="auto"/>
            <w:right w:val="none" w:sz="0" w:space="0" w:color="auto"/>
          </w:divBdr>
        </w:div>
        <w:div w:id="796919054">
          <w:marLeft w:val="640"/>
          <w:marRight w:val="0"/>
          <w:marTop w:val="0"/>
          <w:marBottom w:val="0"/>
          <w:divBdr>
            <w:top w:val="none" w:sz="0" w:space="0" w:color="auto"/>
            <w:left w:val="none" w:sz="0" w:space="0" w:color="auto"/>
            <w:bottom w:val="none" w:sz="0" w:space="0" w:color="auto"/>
            <w:right w:val="none" w:sz="0" w:space="0" w:color="auto"/>
          </w:divBdr>
        </w:div>
        <w:div w:id="1489442909">
          <w:marLeft w:val="640"/>
          <w:marRight w:val="0"/>
          <w:marTop w:val="0"/>
          <w:marBottom w:val="0"/>
          <w:divBdr>
            <w:top w:val="none" w:sz="0" w:space="0" w:color="auto"/>
            <w:left w:val="none" w:sz="0" w:space="0" w:color="auto"/>
            <w:bottom w:val="none" w:sz="0" w:space="0" w:color="auto"/>
            <w:right w:val="none" w:sz="0" w:space="0" w:color="auto"/>
          </w:divBdr>
        </w:div>
        <w:div w:id="1422529529">
          <w:marLeft w:val="640"/>
          <w:marRight w:val="0"/>
          <w:marTop w:val="0"/>
          <w:marBottom w:val="0"/>
          <w:divBdr>
            <w:top w:val="none" w:sz="0" w:space="0" w:color="auto"/>
            <w:left w:val="none" w:sz="0" w:space="0" w:color="auto"/>
            <w:bottom w:val="none" w:sz="0" w:space="0" w:color="auto"/>
            <w:right w:val="none" w:sz="0" w:space="0" w:color="auto"/>
          </w:divBdr>
        </w:div>
        <w:div w:id="204997218">
          <w:marLeft w:val="640"/>
          <w:marRight w:val="0"/>
          <w:marTop w:val="0"/>
          <w:marBottom w:val="0"/>
          <w:divBdr>
            <w:top w:val="none" w:sz="0" w:space="0" w:color="auto"/>
            <w:left w:val="none" w:sz="0" w:space="0" w:color="auto"/>
            <w:bottom w:val="none" w:sz="0" w:space="0" w:color="auto"/>
            <w:right w:val="none" w:sz="0" w:space="0" w:color="auto"/>
          </w:divBdr>
        </w:div>
        <w:div w:id="241457034">
          <w:marLeft w:val="640"/>
          <w:marRight w:val="0"/>
          <w:marTop w:val="0"/>
          <w:marBottom w:val="0"/>
          <w:divBdr>
            <w:top w:val="none" w:sz="0" w:space="0" w:color="auto"/>
            <w:left w:val="none" w:sz="0" w:space="0" w:color="auto"/>
            <w:bottom w:val="none" w:sz="0" w:space="0" w:color="auto"/>
            <w:right w:val="none" w:sz="0" w:space="0" w:color="auto"/>
          </w:divBdr>
        </w:div>
        <w:div w:id="2054688334">
          <w:marLeft w:val="640"/>
          <w:marRight w:val="0"/>
          <w:marTop w:val="0"/>
          <w:marBottom w:val="0"/>
          <w:divBdr>
            <w:top w:val="none" w:sz="0" w:space="0" w:color="auto"/>
            <w:left w:val="none" w:sz="0" w:space="0" w:color="auto"/>
            <w:bottom w:val="none" w:sz="0" w:space="0" w:color="auto"/>
            <w:right w:val="none" w:sz="0" w:space="0" w:color="auto"/>
          </w:divBdr>
        </w:div>
        <w:div w:id="1955014173">
          <w:marLeft w:val="640"/>
          <w:marRight w:val="0"/>
          <w:marTop w:val="0"/>
          <w:marBottom w:val="0"/>
          <w:divBdr>
            <w:top w:val="none" w:sz="0" w:space="0" w:color="auto"/>
            <w:left w:val="none" w:sz="0" w:space="0" w:color="auto"/>
            <w:bottom w:val="none" w:sz="0" w:space="0" w:color="auto"/>
            <w:right w:val="none" w:sz="0" w:space="0" w:color="auto"/>
          </w:divBdr>
        </w:div>
        <w:div w:id="579025167">
          <w:marLeft w:val="640"/>
          <w:marRight w:val="0"/>
          <w:marTop w:val="0"/>
          <w:marBottom w:val="0"/>
          <w:divBdr>
            <w:top w:val="none" w:sz="0" w:space="0" w:color="auto"/>
            <w:left w:val="none" w:sz="0" w:space="0" w:color="auto"/>
            <w:bottom w:val="none" w:sz="0" w:space="0" w:color="auto"/>
            <w:right w:val="none" w:sz="0" w:space="0" w:color="auto"/>
          </w:divBdr>
        </w:div>
        <w:div w:id="1157957463">
          <w:marLeft w:val="640"/>
          <w:marRight w:val="0"/>
          <w:marTop w:val="0"/>
          <w:marBottom w:val="0"/>
          <w:divBdr>
            <w:top w:val="none" w:sz="0" w:space="0" w:color="auto"/>
            <w:left w:val="none" w:sz="0" w:space="0" w:color="auto"/>
            <w:bottom w:val="none" w:sz="0" w:space="0" w:color="auto"/>
            <w:right w:val="none" w:sz="0" w:space="0" w:color="auto"/>
          </w:divBdr>
        </w:div>
        <w:div w:id="339965677">
          <w:marLeft w:val="640"/>
          <w:marRight w:val="0"/>
          <w:marTop w:val="0"/>
          <w:marBottom w:val="0"/>
          <w:divBdr>
            <w:top w:val="none" w:sz="0" w:space="0" w:color="auto"/>
            <w:left w:val="none" w:sz="0" w:space="0" w:color="auto"/>
            <w:bottom w:val="none" w:sz="0" w:space="0" w:color="auto"/>
            <w:right w:val="none" w:sz="0" w:space="0" w:color="auto"/>
          </w:divBdr>
        </w:div>
        <w:div w:id="1779905585">
          <w:marLeft w:val="640"/>
          <w:marRight w:val="0"/>
          <w:marTop w:val="0"/>
          <w:marBottom w:val="0"/>
          <w:divBdr>
            <w:top w:val="none" w:sz="0" w:space="0" w:color="auto"/>
            <w:left w:val="none" w:sz="0" w:space="0" w:color="auto"/>
            <w:bottom w:val="none" w:sz="0" w:space="0" w:color="auto"/>
            <w:right w:val="none" w:sz="0" w:space="0" w:color="auto"/>
          </w:divBdr>
        </w:div>
        <w:div w:id="1444379995">
          <w:marLeft w:val="640"/>
          <w:marRight w:val="0"/>
          <w:marTop w:val="0"/>
          <w:marBottom w:val="0"/>
          <w:divBdr>
            <w:top w:val="none" w:sz="0" w:space="0" w:color="auto"/>
            <w:left w:val="none" w:sz="0" w:space="0" w:color="auto"/>
            <w:bottom w:val="none" w:sz="0" w:space="0" w:color="auto"/>
            <w:right w:val="none" w:sz="0" w:space="0" w:color="auto"/>
          </w:divBdr>
        </w:div>
        <w:div w:id="550578646">
          <w:marLeft w:val="640"/>
          <w:marRight w:val="0"/>
          <w:marTop w:val="0"/>
          <w:marBottom w:val="0"/>
          <w:divBdr>
            <w:top w:val="none" w:sz="0" w:space="0" w:color="auto"/>
            <w:left w:val="none" w:sz="0" w:space="0" w:color="auto"/>
            <w:bottom w:val="none" w:sz="0" w:space="0" w:color="auto"/>
            <w:right w:val="none" w:sz="0" w:space="0" w:color="auto"/>
          </w:divBdr>
        </w:div>
        <w:div w:id="190798666">
          <w:marLeft w:val="640"/>
          <w:marRight w:val="0"/>
          <w:marTop w:val="0"/>
          <w:marBottom w:val="0"/>
          <w:divBdr>
            <w:top w:val="none" w:sz="0" w:space="0" w:color="auto"/>
            <w:left w:val="none" w:sz="0" w:space="0" w:color="auto"/>
            <w:bottom w:val="none" w:sz="0" w:space="0" w:color="auto"/>
            <w:right w:val="none" w:sz="0" w:space="0" w:color="auto"/>
          </w:divBdr>
        </w:div>
        <w:div w:id="1468275560">
          <w:marLeft w:val="640"/>
          <w:marRight w:val="0"/>
          <w:marTop w:val="0"/>
          <w:marBottom w:val="0"/>
          <w:divBdr>
            <w:top w:val="none" w:sz="0" w:space="0" w:color="auto"/>
            <w:left w:val="none" w:sz="0" w:space="0" w:color="auto"/>
            <w:bottom w:val="none" w:sz="0" w:space="0" w:color="auto"/>
            <w:right w:val="none" w:sz="0" w:space="0" w:color="auto"/>
          </w:divBdr>
        </w:div>
      </w:divsChild>
    </w:div>
    <w:div w:id="510997879">
      <w:bodyDiv w:val="1"/>
      <w:marLeft w:val="0"/>
      <w:marRight w:val="0"/>
      <w:marTop w:val="0"/>
      <w:marBottom w:val="0"/>
      <w:divBdr>
        <w:top w:val="none" w:sz="0" w:space="0" w:color="auto"/>
        <w:left w:val="none" w:sz="0" w:space="0" w:color="auto"/>
        <w:bottom w:val="none" w:sz="0" w:space="0" w:color="auto"/>
        <w:right w:val="none" w:sz="0" w:space="0" w:color="auto"/>
      </w:divBdr>
      <w:divsChild>
        <w:div w:id="1550648109">
          <w:marLeft w:val="640"/>
          <w:marRight w:val="0"/>
          <w:marTop w:val="0"/>
          <w:marBottom w:val="0"/>
          <w:divBdr>
            <w:top w:val="none" w:sz="0" w:space="0" w:color="auto"/>
            <w:left w:val="none" w:sz="0" w:space="0" w:color="auto"/>
            <w:bottom w:val="none" w:sz="0" w:space="0" w:color="auto"/>
            <w:right w:val="none" w:sz="0" w:space="0" w:color="auto"/>
          </w:divBdr>
        </w:div>
        <w:div w:id="1263804004">
          <w:marLeft w:val="640"/>
          <w:marRight w:val="0"/>
          <w:marTop w:val="0"/>
          <w:marBottom w:val="0"/>
          <w:divBdr>
            <w:top w:val="none" w:sz="0" w:space="0" w:color="auto"/>
            <w:left w:val="none" w:sz="0" w:space="0" w:color="auto"/>
            <w:bottom w:val="none" w:sz="0" w:space="0" w:color="auto"/>
            <w:right w:val="none" w:sz="0" w:space="0" w:color="auto"/>
          </w:divBdr>
        </w:div>
        <w:div w:id="1298410763">
          <w:marLeft w:val="640"/>
          <w:marRight w:val="0"/>
          <w:marTop w:val="0"/>
          <w:marBottom w:val="0"/>
          <w:divBdr>
            <w:top w:val="none" w:sz="0" w:space="0" w:color="auto"/>
            <w:left w:val="none" w:sz="0" w:space="0" w:color="auto"/>
            <w:bottom w:val="none" w:sz="0" w:space="0" w:color="auto"/>
            <w:right w:val="none" w:sz="0" w:space="0" w:color="auto"/>
          </w:divBdr>
        </w:div>
        <w:div w:id="1084955072">
          <w:marLeft w:val="640"/>
          <w:marRight w:val="0"/>
          <w:marTop w:val="0"/>
          <w:marBottom w:val="0"/>
          <w:divBdr>
            <w:top w:val="none" w:sz="0" w:space="0" w:color="auto"/>
            <w:left w:val="none" w:sz="0" w:space="0" w:color="auto"/>
            <w:bottom w:val="none" w:sz="0" w:space="0" w:color="auto"/>
            <w:right w:val="none" w:sz="0" w:space="0" w:color="auto"/>
          </w:divBdr>
        </w:div>
        <w:div w:id="413475682">
          <w:marLeft w:val="640"/>
          <w:marRight w:val="0"/>
          <w:marTop w:val="0"/>
          <w:marBottom w:val="0"/>
          <w:divBdr>
            <w:top w:val="none" w:sz="0" w:space="0" w:color="auto"/>
            <w:left w:val="none" w:sz="0" w:space="0" w:color="auto"/>
            <w:bottom w:val="none" w:sz="0" w:space="0" w:color="auto"/>
            <w:right w:val="none" w:sz="0" w:space="0" w:color="auto"/>
          </w:divBdr>
        </w:div>
        <w:div w:id="463549942">
          <w:marLeft w:val="640"/>
          <w:marRight w:val="0"/>
          <w:marTop w:val="0"/>
          <w:marBottom w:val="0"/>
          <w:divBdr>
            <w:top w:val="none" w:sz="0" w:space="0" w:color="auto"/>
            <w:left w:val="none" w:sz="0" w:space="0" w:color="auto"/>
            <w:bottom w:val="none" w:sz="0" w:space="0" w:color="auto"/>
            <w:right w:val="none" w:sz="0" w:space="0" w:color="auto"/>
          </w:divBdr>
        </w:div>
        <w:div w:id="2135361798">
          <w:marLeft w:val="640"/>
          <w:marRight w:val="0"/>
          <w:marTop w:val="0"/>
          <w:marBottom w:val="0"/>
          <w:divBdr>
            <w:top w:val="none" w:sz="0" w:space="0" w:color="auto"/>
            <w:left w:val="none" w:sz="0" w:space="0" w:color="auto"/>
            <w:bottom w:val="none" w:sz="0" w:space="0" w:color="auto"/>
            <w:right w:val="none" w:sz="0" w:space="0" w:color="auto"/>
          </w:divBdr>
        </w:div>
        <w:div w:id="1492067045">
          <w:marLeft w:val="640"/>
          <w:marRight w:val="0"/>
          <w:marTop w:val="0"/>
          <w:marBottom w:val="0"/>
          <w:divBdr>
            <w:top w:val="none" w:sz="0" w:space="0" w:color="auto"/>
            <w:left w:val="none" w:sz="0" w:space="0" w:color="auto"/>
            <w:bottom w:val="none" w:sz="0" w:space="0" w:color="auto"/>
            <w:right w:val="none" w:sz="0" w:space="0" w:color="auto"/>
          </w:divBdr>
        </w:div>
        <w:div w:id="1573471091">
          <w:marLeft w:val="640"/>
          <w:marRight w:val="0"/>
          <w:marTop w:val="0"/>
          <w:marBottom w:val="0"/>
          <w:divBdr>
            <w:top w:val="none" w:sz="0" w:space="0" w:color="auto"/>
            <w:left w:val="none" w:sz="0" w:space="0" w:color="auto"/>
            <w:bottom w:val="none" w:sz="0" w:space="0" w:color="auto"/>
            <w:right w:val="none" w:sz="0" w:space="0" w:color="auto"/>
          </w:divBdr>
        </w:div>
        <w:div w:id="1970746988">
          <w:marLeft w:val="640"/>
          <w:marRight w:val="0"/>
          <w:marTop w:val="0"/>
          <w:marBottom w:val="0"/>
          <w:divBdr>
            <w:top w:val="none" w:sz="0" w:space="0" w:color="auto"/>
            <w:left w:val="none" w:sz="0" w:space="0" w:color="auto"/>
            <w:bottom w:val="none" w:sz="0" w:space="0" w:color="auto"/>
            <w:right w:val="none" w:sz="0" w:space="0" w:color="auto"/>
          </w:divBdr>
        </w:div>
        <w:div w:id="894658059">
          <w:marLeft w:val="640"/>
          <w:marRight w:val="0"/>
          <w:marTop w:val="0"/>
          <w:marBottom w:val="0"/>
          <w:divBdr>
            <w:top w:val="none" w:sz="0" w:space="0" w:color="auto"/>
            <w:left w:val="none" w:sz="0" w:space="0" w:color="auto"/>
            <w:bottom w:val="none" w:sz="0" w:space="0" w:color="auto"/>
            <w:right w:val="none" w:sz="0" w:space="0" w:color="auto"/>
          </w:divBdr>
        </w:div>
        <w:div w:id="1232930975">
          <w:marLeft w:val="640"/>
          <w:marRight w:val="0"/>
          <w:marTop w:val="0"/>
          <w:marBottom w:val="0"/>
          <w:divBdr>
            <w:top w:val="none" w:sz="0" w:space="0" w:color="auto"/>
            <w:left w:val="none" w:sz="0" w:space="0" w:color="auto"/>
            <w:bottom w:val="none" w:sz="0" w:space="0" w:color="auto"/>
            <w:right w:val="none" w:sz="0" w:space="0" w:color="auto"/>
          </w:divBdr>
        </w:div>
        <w:div w:id="350648952">
          <w:marLeft w:val="640"/>
          <w:marRight w:val="0"/>
          <w:marTop w:val="0"/>
          <w:marBottom w:val="0"/>
          <w:divBdr>
            <w:top w:val="none" w:sz="0" w:space="0" w:color="auto"/>
            <w:left w:val="none" w:sz="0" w:space="0" w:color="auto"/>
            <w:bottom w:val="none" w:sz="0" w:space="0" w:color="auto"/>
            <w:right w:val="none" w:sz="0" w:space="0" w:color="auto"/>
          </w:divBdr>
        </w:div>
        <w:div w:id="1438603603">
          <w:marLeft w:val="640"/>
          <w:marRight w:val="0"/>
          <w:marTop w:val="0"/>
          <w:marBottom w:val="0"/>
          <w:divBdr>
            <w:top w:val="none" w:sz="0" w:space="0" w:color="auto"/>
            <w:left w:val="none" w:sz="0" w:space="0" w:color="auto"/>
            <w:bottom w:val="none" w:sz="0" w:space="0" w:color="auto"/>
            <w:right w:val="none" w:sz="0" w:space="0" w:color="auto"/>
          </w:divBdr>
        </w:div>
      </w:divsChild>
    </w:div>
    <w:div w:id="543054966">
      <w:bodyDiv w:val="1"/>
      <w:marLeft w:val="0"/>
      <w:marRight w:val="0"/>
      <w:marTop w:val="0"/>
      <w:marBottom w:val="0"/>
      <w:divBdr>
        <w:top w:val="none" w:sz="0" w:space="0" w:color="auto"/>
        <w:left w:val="none" w:sz="0" w:space="0" w:color="auto"/>
        <w:bottom w:val="none" w:sz="0" w:space="0" w:color="auto"/>
        <w:right w:val="none" w:sz="0" w:space="0" w:color="auto"/>
      </w:divBdr>
      <w:divsChild>
        <w:div w:id="595597476">
          <w:marLeft w:val="640"/>
          <w:marRight w:val="0"/>
          <w:marTop w:val="0"/>
          <w:marBottom w:val="0"/>
          <w:divBdr>
            <w:top w:val="none" w:sz="0" w:space="0" w:color="auto"/>
            <w:left w:val="none" w:sz="0" w:space="0" w:color="auto"/>
            <w:bottom w:val="none" w:sz="0" w:space="0" w:color="auto"/>
            <w:right w:val="none" w:sz="0" w:space="0" w:color="auto"/>
          </w:divBdr>
        </w:div>
        <w:div w:id="1644042898">
          <w:marLeft w:val="640"/>
          <w:marRight w:val="0"/>
          <w:marTop w:val="0"/>
          <w:marBottom w:val="0"/>
          <w:divBdr>
            <w:top w:val="none" w:sz="0" w:space="0" w:color="auto"/>
            <w:left w:val="none" w:sz="0" w:space="0" w:color="auto"/>
            <w:bottom w:val="none" w:sz="0" w:space="0" w:color="auto"/>
            <w:right w:val="none" w:sz="0" w:space="0" w:color="auto"/>
          </w:divBdr>
        </w:div>
        <w:div w:id="21592215">
          <w:marLeft w:val="640"/>
          <w:marRight w:val="0"/>
          <w:marTop w:val="0"/>
          <w:marBottom w:val="0"/>
          <w:divBdr>
            <w:top w:val="none" w:sz="0" w:space="0" w:color="auto"/>
            <w:left w:val="none" w:sz="0" w:space="0" w:color="auto"/>
            <w:bottom w:val="none" w:sz="0" w:space="0" w:color="auto"/>
            <w:right w:val="none" w:sz="0" w:space="0" w:color="auto"/>
          </w:divBdr>
        </w:div>
        <w:div w:id="401178455">
          <w:marLeft w:val="640"/>
          <w:marRight w:val="0"/>
          <w:marTop w:val="0"/>
          <w:marBottom w:val="0"/>
          <w:divBdr>
            <w:top w:val="none" w:sz="0" w:space="0" w:color="auto"/>
            <w:left w:val="none" w:sz="0" w:space="0" w:color="auto"/>
            <w:bottom w:val="none" w:sz="0" w:space="0" w:color="auto"/>
            <w:right w:val="none" w:sz="0" w:space="0" w:color="auto"/>
          </w:divBdr>
        </w:div>
        <w:div w:id="1618640356">
          <w:marLeft w:val="640"/>
          <w:marRight w:val="0"/>
          <w:marTop w:val="0"/>
          <w:marBottom w:val="0"/>
          <w:divBdr>
            <w:top w:val="none" w:sz="0" w:space="0" w:color="auto"/>
            <w:left w:val="none" w:sz="0" w:space="0" w:color="auto"/>
            <w:bottom w:val="none" w:sz="0" w:space="0" w:color="auto"/>
            <w:right w:val="none" w:sz="0" w:space="0" w:color="auto"/>
          </w:divBdr>
        </w:div>
        <w:div w:id="740828592">
          <w:marLeft w:val="640"/>
          <w:marRight w:val="0"/>
          <w:marTop w:val="0"/>
          <w:marBottom w:val="0"/>
          <w:divBdr>
            <w:top w:val="none" w:sz="0" w:space="0" w:color="auto"/>
            <w:left w:val="none" w:sz="0" w:space="0" w:color="auto"/>
            <w:bottom w:val="none" w:sz="0" w:space="0" w:color="auto"/>
            <w:right w:val="none" w:sz="0" w:space="0" w:color="auto"/>
          </w:divBdr>
        </w:div>
        <w:div w:id="2087146274">
          <w:marLeft w:val="640"/>
          <w:marRight w:val="0"/>
          <w:marTop w:val="0"/>
          <w:marBottom w:val="0"/>
          <w:divBdr>
            <w:top w:val="none" w:sz="0" w:space="0" w:color="auto"/>
            <w:left w:val="none" w:sz="0" w:space="0" w:color="auto"/>
            <w:bottom w:val="none" w:sz="0" w:space="0" w:color="auto"/>
            <w:right w:val="none" w:sz="0" w:space="0" w:color="auto"/>
          </w:divBdr>
        </w:div>
        <w:div w:id="1149324535">
          <w:marLeft w:val="640"/>
          <w:marRight w:val="0"/>
          <w:marTop w:val="0"/>
          <w:marBottom w:val="0"/>
          <w:divBdr>
            <w:top w:val="none" w:sz="0" w:space="0" w:color="auto"/>
            <w:left w:val="none" w:sz="0" w:space="0" w:color="auto"/>
            <w:bottom w:val="none" w:sz="0" w:space="0" w:color="auto"/>
            <w:right w:val="none" w:sz="0" w:space="0" w:color="auto"/>
          </w:divBdr>
        </w:div>
        <w:div w:id="1011494398">
          <w:marLeft w:val="640"/>
          <w:marRight w:val="0"/>
          <w:marTop w:val="0"/>
          <w:marBottom w:val="0"/>
          <w:divBdr>
            <w:top w:val="none" w:sz="0" w:space="0" w:color="auto"/>
            <w:left w:val="none" w:sz="0" w:space="0" w:color="auto"/>
            <w:bottom w:val="none" w:sz="0" w:space="0" w:color="auto"/>
            <w:right w:val="none" w:sz="0" w:space="0" w:color="auto"/>
          </w:divBdr>
        </w:div>
        <w:div w:id="1296525662">
          <w:marLeft w:val="640"/>
          <w:marRight w:val="0"/>
          <w:marTop w:val="0"/>
          <w:marBottom w:val="0"/>
          <w:divBdr>
            <w:top w:val="none" w:sz="0" w:space="0" w:color="auto"/>
            <w:left w:val="none" w:sz="0" w:space="0" w:color="auto"/>
            <w:bottom w:val="none" w:sz="0" w:space="0" w:color="auto"/>
            <w:right w:val="none" w:sz="0" w:space="0" w:color="auto"/>
          </w:divBdr>
        </w:div>
        <w:div w:id="531260518">
          <w:marLeft w:val="640"/>
          <w:marRight w:val="0"/>
          <w:marTop w:val="0"/>
          <w:marBottom w:val="0"/>
          <w:divBdr>
            <w:top w:val="none" w:sz="0" w:space="0" w:color="auto"/>
            <w:left w:val="none" w:sz="0" w:space="0" w:color="auto"/>
            <w:bottom w:val="none" w:sz="0" w:space="0" w:color="auto"/>
            <w:right w:val="none" w:sz="0" w:space="0" w:color="auto"/>
          </w:divBdr>
        </w:div>
        <w:div w:id="1869291279">
          <w:marLeft w:val="640"/>
          <w:marRight w:val="0"/>
          <w:marTop w:val="0"/>
          <w:marBottom w:val="0"/>
          <w:divBdr>
            <w:top w:val="none" w:sz="0" w:space="0" w:color="auto"/>
            <w:left w:val="none" w:sz="0" w:space="0" w:color="auto"/>
            <w:bottom w:val="none" w:sz="0" w:space="0" w:color="auto"/>
            <w:right w:val="none" w:sz="0" w:space="0" w:color="auto"/>
          </w:divBdr>
        </w:div>
        <w:div w:id="653605178">
          <w:marLeft w:val="640"/>
          <w:marRight w:val="0"/>
          <w:marTop w:val="0"/>
          <w:marBottom w:val="0"/>
          <w:divBdr>
            <w:top w:val="none" w:sz="0" w:space="0" w:color="auto"/>
            <w:left w:val="none" w:sz="0" w:space="0" w:color="auto"/>
            <w:bottom w:val="none" w:sz="0" w:space="0" w:color="auto"/>
            <w:right w:val="none" w:sz="0" w:space="0" w:color="auto"/>
          </w:divBdr>
        </w:div>
        <w:div w:id="979457187">
          <w:marLeft w:val="640"/>
          <w:marRight w:val="0"/>
          <w:marTop w:val="0"/>
          <w:marBottom w:val="0"/>
          <w:divBdr>
            <w:top w:val="none" w:sz="0" w:space="0" w:color="auto"/>
            <w:left w:val="none" w:sz="0" w:space="0" w:color="auto"/>
            <w:bottom w:val="none" w:sz="0" w:space="0" w:color="auto"/>
            <w:right w:val="none" w:sz="0" w:space="0" w:color="auto"/>
          </w:divBdr>
        </w:div>
        <w:div w:id="1977487364">
          <w:marLeft w:val="640"/>
          <w:marRight w:val="0"/>
          <w:marTop w:val="0"/>
          <w:marBottom w:val="0"/>
          <w:divBdr>
            <w:top w:val="none" w:sz="0" w:space="0" w:color="auto"/>
            <w:left w:val="none" w:sz="0" w:space="0" w:color="auto"/>
            <w:bottom w:val="none" w:sz="0" w:space="0" w:color="auto"/>
            <w:right w:val="none" w:sz="0" w:space="0" w:color="auto"/>
          </w:divBdr>
        </w:div>
        <w:div w:id="2094543776">
          <w:marLeft w:val="640"/>
          <w:marRight w:val="0"/>
          <w:marTop w:val="0"/>
          <w:marBottom w:val="0"/>
          <w:divBdr>
            <w:top w:val="none" w:sz="0" w:space="0" w:color="auto"/>
            <w:left w:val="none" w:sz="0" w:space="0" w:color="auto"/>
            <w:bottom w:val="none" w:sz="0" w:space="0" w:color="auto"/>
            <w:right w:val="none" w:sz="0" w:space="0" w:color="auto"/>
          </w:divBdr>
        </w:div>
        <w:div w:id="1859733081">
          <w:marLeft w:val="640"/>
          <w:marRight w:val="0"/>
          <w:marTop w:val="0"/>
          <w:marBottom w:val="0"/>
          <w:divBdr>
            <w:top w:val="none" w:sz="0" w:space="0" w:color="auto"/>
            <w:left w:val="none" w:sz="0" w:space="0" w:color="auto"/>
            <w:bottom w:val="none" w:sz="0" w:space="0" w:color="auto"/>
            <w:right w:val="none" w:sz="0" w:space="0" w:color="auto"/>
          </w:divBdr>
        </w:div>
        <w:div w:id="1265655191">
          <w:marLeft w:val="640"/>
          <w:marRight w:val="0"/>
          <w:marTop w:val="0"/>
          <w:marBottom w:val="0"/>
          <w:divBdr>
            <w:top w:val="none" w:sz="0" w:space="0" w:color="auto"/>
            <w:left w:val="none" w:sz="0" w:space="0" w:color="auto"/>
            <w:bottom w:val="none" w:sz="0" w:space="0" w:color="auto"/>
            <w:right w:val="none" w:sz="0" w:space="0" w:color="auto"/>
          </w:divBdr>
        </w:div>
        <w:div w:id="743987214">
          <w:marLeft w:val="640"/>
          <w:marRight w:val="0"/>
          <w:marTop w:val="0"/>
          <w:marBottom w:val="0"/>
          <w:divBdr>
            <w:top w:val="none" w:sz="0" w:space="0" w:color="auto"/>
            <w:left w:val="none" w:sz="0" w:space="0" w:color="auto"/>
            <w:bottom w:val="none" w:sz="0" w:space="0" w:color="auto"/>
            <w:right w:val="none" w:sz="0" w:space="0" w:color="auto"/>
          </w:divBdr>
        </w:div>
        <w:div w:id="1784374976">
          <w:marLeft w:val="640"/>
          <w:marRight w:val="0"/>
          <w:marTop w:val="0"/>
          <w:marBottom w:val="0"/>
          <w:divBdr>
            <w:top w:val="none" w:sz="0" w:space="0" w:color="auto"/>
            <w:left w:val="none" w:sz="0" w:space="0" w:color="auto"/>
            <w:bottom w:val="none" w:sz="0" w:space="0" w:color="auto"/>
            <w:right w:val="none" w:sz="0" w:space="0" w:color="auto"/>
          </w:divBdr>
        </w:div>
        <w:div w:id="1927807954">
          <w:marLeft w:val="640"/>
          <w:marRight w:val="0"/>
          <w:marTop w:val="0"/>
          <w:marBottom w:val="0"/>
          <w:divBdr>
            <w:top w:val="none" w:sz="0" w:space="0" w:color="auto"/>
            <w:left w:val="none" w:sz="0" w:space="0" w:color="auto"/>
            <w:bottom w:val="none" w:sz="0" w:space="0" w:color="auto"/>
            <w:right w:val="none" w:sz="0" w:space="0" w:color="auto"/>
          </w:divBdr>
        </w:div>
        <w:div w:id="79761022">
          <w:marLeft w:val="640"/>
          <w:marRight w:val="0"/>
          <w:marTop w:val="0"/>
          <w:marBottom w:val="0"/>
          <w:divBdr>
            <w:top w:val="none" w:sz="0" w:space="0" w:color="auto"/>
            <w:left w:val="none" w:sz="0" w:space="0" w:color="auto"/>
            <w:bottom w:val="none" w:sz="0" w:space="0" w:color="auto"/>
            <w:right w:val="none" w:sz="0" w:space="0" w:color="auto"/>
          </w:divBdr>
        </w:div>
        <w:div w:id="784422090">
          <w:marLeft w:val="640"/>
          <w:marRight w:val="0"/>
          <w:marTop w:val="0"/>
          <w:marBottom w:val="0"/>
          <w:divBdr>
            <w:top w:val="none" w:sz="0" w:space="0" w:color="auto"/>
            <w:left w:val="none" w:sz="0" w:space="0" w:color="auto"/>
            <w:bottom w:val="none" w:sz="0" w:space="0" w:color="auto"/>
            <w:right w:val="none" w:sz="0" w:space="0" w:color="auto"/>
          </w:divBdr>
        </w:div>
        <w:div w:id="812023155">
          <w:marLeft w:val="640"/>
          <w:marRight w:val="0"/>
          <w:marTop w:val="0"/>
          <w:marBottom w:val="0"/>
          <w:divBdr>
            <w:top w:val="none" w:sz="0" w:space="0" w:color="auto"/>
            <w:left w:val="none" w:sz="0" w:space="0" w:color="auto"/>
            <w:bottom w:val="none" w:sz="0" w:space="0" w:color="auto"/>
            <w:right w:val="none" w:sz="0" w:space="0" w:color="auto"/>
          </w:divBdr>
        </w:div>
        <w:div w:id="657268233">
          <w:marLeft w:val="640"/>
          <w:marRight w:val="0"/>
          <w:marTop w:val="0"/>
          <w:marBottom w:val="0"/>
          <w:divBdr>
            <w:top w:val="none" w:sz="0" w:space="0" w:color="auto"/>
            <w:left w:val="none" w:sz="0" w:space="0" w:color="auto"/>
            <w:bottom w:val="none" w:sz="0" w:space="0" w:color="auto"/>
            <w:right w:val="none" w:sz="0" w:space="0" w:color="auto"/>
          </w:divBdr>
        </w:div>
        <w:div w:id="849493877">
          <w:marLeft w:val="640"/>
          <w:marRight w:val="0"/>
          <w:marTop w:val="0"/>
          <w:marBottom w:val="0"/>
          <w:divBdr>
            <w:top w:val="none" w:sz="0" w:space="0" w:color="auto"/>
            <w:left w:val="none" w:sz="0" w:space="0" w:color="auto"/>
            <w:bottom w:val="none" w:sz="0" w:space="0" w:color="auto"/>
            <w:right w:val="none" w:sz="0" w:space="0" w:color="auto"/>
          </w:divBdr>
        </w:div>
        <w:div w:id="983192378">
          <w:marLeft w:val="640"/>
          <w:marRight w:val="0"/>
          <w:marTop w:val="0"/>
          <w:marBottom w:val="0"/>
          <w:divBdr>
            <w:top w:val="none" w:sz="0" w:space="0" w:color="auto"/>
            <w:left w:val="none" w:sz="0" w:space="0" w:color="auto"/>
            <w:bottom w:val="none" w:sz="0" w:space="0" w:color="auto"/>
            <w:right w:val="none" w:sz="0" w:space="0" w:color="auto"/>
          </w:divBdr>
        </w:div>
        <w:div w:id="1623413409">
          <w:marLeft w:val="640"/>
          <w:marRight w:val="0"/>
          <w:marTop w:val="0"/>
          <w:marBottom w:val="0"/>
          <w:divBdr>
            <w:top w:val="none" w:sz="0" w:space="0" w:color="auto"/>
            <w:left w:val="none" w:sz="0" w:space="0" w:color="auto"/>
            <w:bottom w:val="none" w:sz="0" w:space="0" w:color="auto"/>
            <w:right w:val="none" w:sz="0" w:space="0" w:color="auto"/>
          </w:divBdr>
        </w:div>
        <w:div w:id="519397691">
          <w:marLeft w:val="640"/>
          <w:marRight w:val="0"/>
          <w:marTop w:val="0"/>
          <w:marBottom w:val="0"/>
          <w:divBdr>
            <w:top w:val="none" w:sz="0" w:space="0" w:color="auto"/>
            <w:left w:val="none" w:sz="0" w:space="0" w:color="auto"/>
            <w:bottom w:val="none" w:sz="0" w:space="0" w:color="auto"/>
            <w:right w:val="none" w:sz="0" w:space="0" w:color="auto"/>
          </w:divBdr>
        </w:div>
        <w:div w:id="2039619339">
          <w:marLeft w:val="640"/>
          <w:marRight w:val="0"/>
          <w:marTop w:val="0"/>
          <w:marBottom w:val="0"/>
          <w:divBdr>
            <w:top w:val="none" w:sz="0" w:space="0" w:color="auto"/>
            <w:left w:val="none" w:sz="0" w:space="0" w:color="auto"/>
            <w:bottom w:val="none" w:sz="0" w:space="0" w:color="auto"/>
            <w:right w:val="none" w:sz="0" w:space="0" w:color="auto"/>
          </w:divBdr>
        </w:div>
        <w:div w:id="204753434">
          <w:marLeft w:val="640"/>
          <w:marRight w:val="0"/>
          <w:marTop w:val="0"/>
          <w:marBottom w:val="0"/>
          <w:divBdr>
            <w:top w:val="none" w:sz="0" w:space="0" w:color="auto"/>
            <w:left w:val="none" w:sz="0" w:space="0" w:color="auto"/>
            <w:bottom w:val="none" w:sz="0" w:space="0" w:color="auto"/>
            <w:right w:val="none" w:sz="0" w:space="0" w:color="auto"/>
          </w:divBdr>
        </w:div>
        <w:div w:id="1459256687">
          <w:marLeft w:val="640"/>
          <w:marRight w:val="0"/>
          <w:marTop w:val="0"/>
          <w:marBottom w:val="0"/>
          <w:divBdr>
            <w:top w:val="none" w:sz="0" w:space="0" w:color="auto"/>
            <w:left w:val="none" w:sz="0" w:space="0" w:color="auto"/>
            <w:bottom w:val="none" w:sz="0" w:space="0" w:color="auto"/>
            <w:right w:val="none" w:sz="0" w:space="0" w:color="auto"/>
          </w:divBdr>
        </w:div>
        <w:div w:id="1594126853">
          <w:marLeft w:val="640"/>
          <w:marRight w:val="0"/>
          <w:marTop w:val="0"/>
          <w:marBottom w:val="0"/>
          <w:divBdr>
            <w:top w:val="none" w:sz="0" w:space="0" w:color="auto"/>
            <w:left w:val="none" w:sz="0" w:space="0" w:color="auto"/>
            <w:bottom w:val="none" w:sz="0" w:space="0" w:color="auto"/>
            <w:right w:val="none" w:sz="0" w:space="0" w:color="auto"/>
          </w:divBdr>
        </w:div>
        <w:div w:id="1522471535">
          <w:marLeft w:val="640"/>
          <w:marRight w:val="0"/>
          <w:marTop w:val="0"/>
          <w:marBottom w:val="0"/>
          <w:divBdr>
            <w:top w:val="none" w:sz="0" w:space="0" w:color="auto"/>
            <w:left w:val="none" w:sz="0" w:space="0" w:color="auto"/>
            <w:bottom w:val="none" w:sz="0" w:space="0" w:color="auto"/>
            <w:right w:val="none" w:sz="0" w:space="0" w:color="auto"/>
          </w:divBdr>
        </w:div>
        <w:div w:id="1296373963">
          <w:marLeft w:val="640"/>
          <w:marRight w:val="0"/>
          <w:marTop w:val="0"/>
          <w:marBottom w:val="0"/>
          <w:divBdr>
            <w:top w:val="none" w:sz="0" w:space="0" w:color="auto"/>
            <w:left w:val="none" w:sz="0" w:space="0" w:color="auto"/>
            <w:bottom w:val="none" w:sz="0" w:space="0" w:color="auto"/>
            <w:right w:val="none" w:sz="0" w:space="0" w:color="auto"/>
          </w:divBdr>
        </w:div>
        <w:div w:id="1314525629">
          <w:marLeft w:val="640"/>
          <w:marRight w:val="0"/>
          <w:marTop w:val="0"/>
          <w:marBottom w:val="0"/>
          <w:divBdr>
            <w:top w:val="none" w:sz="0" w:space="0" w:color="auto"/>
            <w:left w:val="none" w:sz="0" w:space="0" w:color="auto"/>
            <w:bottom w:val="none" w:sz="0" w:space="0" w:color="auto"/>
            <w:right w:val="none" w:sz="0" w:space="0" w:color="auto"/>
          </w:divBdr>
        </w:div>
        <w:div w:id="1895240836">
          <w:marLeft w:val="640"/>
          <w:marRight w:val="0"/>
          <w:marTop w:val="0"/>
          <w:marBottom w:val="0"/>
          <w:divBdr>
            <w:top w:val="none" w:sz="0" w:space="0" w:color="auto"/>
            <w:left w:val="none" w:sz="0" w:space="0" w:color="auto"/>
            <w:bottom w:val="none" w:sz="0" w:space="0" w:color="auto"/>
            <w:right w:val="none" w:sz="0" w:space="0" w:color="auto"/>
          </w:divBdr>
        </w:div>
        <w:div w:id="1415973252">
          <w:marLeft w:val="640"/>
          <w:marRight w:val="0"/>
          <w:marTop w:val="0"/>
          <w:marBottom w:val="0"/>
          <w:divBdr>
            <w:top w:val="none" w:sz="0" w:space="0" w:color="auto"/>
            <w:left w:val="none" w:sz="0" w:space="0" w:color="auto"/>
            <w:bottom w:val="none" w:sz="0" w:space="0" w:color="auto"/>
            <w:right w:val="none" w:sz="0" w:space="0" w:color="auto"/>
          </w:divBdr>
        </w:div>
        <w:div w:id="2112504121">
          <w:marLeft w:val="640"/>
          <w:marRight w:val="0"/>
          <w:marTop w:val="0"/>
          <w:marBottom w:val="0"/>
          <w:divBdr>
            <w:top w:val="none" w:sz="0" w:space="0" w:color="auto"/>
            <w:left w:val="none" w:sz="0" w:space="0" w:color="auto"/>
            <w:bottom w:val="none" w:sz="0" w:space="0" w:color="auto"/>
            <w:right w:val="none" w:sz="0" w:space="0" w:color="auto"/>
          </w:divBdr>
        </w:div>
        <w:div w:id="990907146">
          <w:marLeft w:val="640"/>
          <w:marRight w:val="0"/>
          <w:marTop w:val="0"/>
          <w:marBottom w:val="0"/>
          <w:divBdr>
            <w:top w:val="none" w:sz="0" w:space="0" w:color="auto"/>
            <w:left w:val="none" w:sz="0" w:space="0" w:color="auto"/>
            <w:bottom w:val="none" w:sz="0" w:space="0" w:color="auto"/>
            <w:right w:val="none" w:sz="0" w:space="0" w:color="auto"/>
          </w:divBdr>
        </w:div>
        <w:div w:id="263848070">
          <w:marLeft w:val="640"/>
          <w:marRight w:val="0"/>
          <w:marTop w:val="0"/>
          <w:marBottom w:val="0"/>
          <w:divBdr>
            <w:top w:val="none" w:sz="0" w:space="0" w:color="auto"/>
            <w:left w:val="none" w:sz="0" w:space="0" w:color="auto"/>
            <w:bottom w:val="none" w:sz="0" w:space="0" w:color="auto"/>
            <w:right w:val="none" w:sz="0" w:space="0" w:color="auto"/>
          </w:divBdr>
        </w:div>
        <w:div w:id="188179764">
          <w:marLeft w:val="640"/>
          <w:marRight w:val="0"/>
          <w:marTop w:val="0"/>
          <w:marBottom w:val="0"/>
          <w:divBdr>
            <w:top w:val="none" w:sz="0" w:space="0" w:color="auto"/>
            <w:left w:val="none" w:sz="0" w:space="0" w:color="auto"/>
            <w:bottom w:val="none" w:sz="0" w:space="0" w:color="auto"/>
            <w:right w:val="none" w:sz="0" w:space="0" w:color="auto"/>
          </w:divBdr>
        </w:div>
        <w:div w:id="4862533">
          <w:marLeft w:val="640"/>
          <w:marRight w:val="0"/>
          <w:marTop w:val="0"/>
          <w:marBottom w:val="0"/>
          <w:divBdr>
            <w:top w:val="none" w:sz="0" w:space="0" w:color="auto"/>
            <w:left w:val="none" w:sz="0" w:space="0" w:color="auto"/>
            <w:bottom w:val="none" w:sz="0" w:space="0" w:color="auto"/>
            <w:right w:val="none" w:sz="0" w:space="0" w:color="auto"/>
          </w:divBdr>
        </w:div>
        <w:div w:id="823276287">
          <w:marLeft w:val="640"/>
          <w:marRight w:val="0"/>
          <w:marTop w:val="0"/>
          <w:marBottom w:val="0"/>
          <w:divBdr>
            <w:top w:val="none" w:sz="0" w:space="0" w:color="auto"/>
            <w:left w:val="none" w:sz="0" w:space="0" w:color="auto"/>
            <w:bottom w:val="none" w:sz="0" w:space="0" w:color="auto"/>
            <w:right w:val="none" w:sz="0" w:space="0" w:color="auto"/>
          </w:divBdr>
        </w:div>
        <w:div w:id="935207621">
          <w:marLeft w:val="640"/>
          <w:marRight w:val="0"/>
          <w:marTop w:val="0"/>
          <w:marBottom w:val="0"/>
          <w:divBdr>
            <w:top w:val="none" w:sz="0" w:space="0" w:color="auto"/>
            <w:left w:val="none" w:sz="0" w:space="0" w:color="auto"/>
            <w:bottom w:val="none" w:sz="0" w:space="0" w:color="auto"/>
            <w:right w:val="none" w:sz="0" w:space="0" w:color="auto"/>
          </w:divBdr>
        </w:div>
        <w:div w:id="117720733">
          <w:marLeft w:val="640"/>
          <w:marRight w:val="0"/>
          <w:marTop w:val="0"/>
          <w:marBottom w:val="0"/>
          <w:divBdr>
            <w:top w:val="none" w:sz="0" w:space="0" w:color="auto"/>
            <w:left w:val="none" w:sz="0" w:space="0" w:color="auto"/>
            <w:bottom w:val="none" w:sz="0" w:space="0" w:color="auto"/>
            <w:right w:val="none" w:sz="0" w:space="0" w:color="auto"/>
          </w:divBdr>
        </w:div>
        <w:div w:id="1227451464">
          <w:marLeft w:val="640"/>
          <w:marRight w:val="0"/>
          <w:marTop w:val="0"/>
          <w:marBottom w:val="0"/>
          <w:divBdr>
            <w:top w:val="none" w:sz="0" w:space="0" w:color="auto"/>
            <w:left w:val="none" w:sz="0" w:space="0" w:color="auto"/>
            <w:bottom w:val="none" w:sz="0" w:space="0" w:color="auto"/>
            <w:right w:val="none" w:sz="0" w:space="0" w:color="auto"/>
          </w:divBdr>
        </w:div>
        <w:div w:id="513308321">
          <w:marLeft w:val="640"/>
          <w:marRight w:val="0"/>
          <w:marTop w:val="0"/>
          <w:marBottom w:val="0"/>
          <w:divBdr>
            <w:top w:val="none" w:sz="0" w:space="0" w:color="auto"/>
            <w:left w:val="none" w:sz="0" w:space="0" w:color="auto"/>
            <w:bottom w:val="none" w:sz="0" w:space="0" w:color="auto"/>
            <w:right w:val="none" w:sz="0" w:space="0" w:color="auto"/>
          </w:divBdr>
        </w:div>
        <w:div w:id="1124808553">
          <w:marLeft w:val="640"/>
          <w:marRight w:val="0"/>
          <w:marTop w:val="0"/>
          <w:marBottom w:val="0"/>
          <w:divBdr>
            <w:top w:val="none" w:sz="0" w:space="0" w:color="auto"/>
            <w:left w:val="none" w:sz="0" w:space="0" w:color="auto"/>
            <w:bottom w:val="none" w:sz="0" w:space="0" w:color="auto"/>
            <w:right w:val="none" w:sz="0" w:space="0" w:color="auto"/>
          </w:divBdr>
        </w:div>
        <w:div w:id="2086031858">
          <w:marLeft w:val="640"/>
          <w:marRight w:val="0"/>
          <w:marTop w:val="0"/>
          <w:marBottom w:val="0"/>
          <w:divBdr>
            <w:top w:val="none" w:sz="0" w:space="0" w:color="auto"/>
            <w:left w:val="none" w:sz="0" w:space="0" w:color="auto"/>
            <w:bottom w:val="none" w:sz="0" w:space="0" w:color="auto"/>
            <w:right w:val="none" w:sz="0" w:space="0" w:color="auto"/>
          </w:divBdr>
        </w:div>
        <w:div w:id="1313291022">
          <w:marLeft w:val="640"/>
          <w:marRight w:val="0"/>
          <w:marTop w:val="0"/>
          <w:marBottom w:val="0"/>
          <w:divBdr>
            <w:top w:val="none" w:sz="0" w:space="0" w:color="auto"/>
            <w:left w:val="none" w:sz="0" w:space="0" w:color="auto"/>
            <w:bottom w:val="none" w:sz="0" w:space="0" w:color="auto"/>
            <w:right w:val="none" w:sz="0" w:space="0" w:color="auto"/>
          </w:divBdr>
        </w:div>
        <w:div w:id="1210797157">
          <w:marLeft w:val="640"/>
          <w:marRight w:val="0"/>
          <w:marTop w:val="0"/>
          <w:marBottom w:val="0"/>
          <w:divBdr>
            <w:top w:val="none" w:sz="0" w:space="0" w:color="auto"/>
            <w:left w:val="none" w:sz="0" w:space="0" w:color="auto"/>
            <w:bottom w:val="none" w:sz="0" w:space="0" w:color="auto"/>
            <w:right w:val="none" w:sz="0" w:space="0" w:color="auto"/>
          </w:divBdr>
        </w:div>
        <w:div w:id="917711930">
          <w:marLeft w:val="640"/>
          <w:marRight w:val="0"/>
          <w:marTop w:val="0"/>
          <w:marBottom w:val="0"/>
          <w:divBdr>
            <w:top w:val="none" w:sz="0" w:space="0" w:color="auto"/>
            <w:left w:val="none" w:sz="0" w:space="0" w:color="auto"/>
            <w:bottom w:val="none" w:sz="0" w:space="0" w:color="auto"/>
            <w:right w:val="none" w:sz="0" w:space="0" w:color="auto"/>
          </w:divBdr>
        </w:div>
        <w:div w:id="401562844">
          <w:marLeft w:val="640"/>
          <w:marRight w:val="0"/>
          <w:marTop w:val="0"/>
          <w:marBottom w:val="0"/>
          <w:divBdr>
            <w:top w:val="none" w:sz="0" w:space="0" w:color="auto"/>
            <w:left w:val="none" w:sz="0" w:space="0" w:color="auto"/>
            <w:bottom w:val="none" w:sz="0" w:space="0" w:color="auto"/>
            <w:right w:val="none" w:sz="0" w:space="0" w:color="auto"/>
          </w:divBdr>
        </w:div>
        <w:div w:id="1319387618">
          <w:marLeft w:val="640"/>
          <w:marRight w:val="0"/>
          <w:marTop w:val="0"/>
          <w:marBottom w:val="0"/>
          <w:divBdr>
            <w:top w:val="none" w:sz="0" w:space="0" w:color="auto"/>
            <w:left w:val="none" w:sz="0" w:space="0" w:color="auto"/>
            <w:bottom w:val="none" w:sz="0" w:space="0" w:color="auto"/>
            <w:right w:val="none" w:sz="0" w:space="0" w:color="auto"/>
          </w:divBdr>
        </w:div>
        <w:div w:id="449979881">
          <w:marLeft w:val="640"/>
          <w:marRight w:val="0"/>
          <w:marTop w:val="0"/>
          <w:marBottom w:val="0"/>
          <w:divBdr>
            <w:top w:val="none" w:sz="0" w:space="0" w:color="auto"/>
            <w:left w:val="none" w:sz="0" w:space="0" w:color="auto"/>
            <w:bottom w:val="none" w:sz="0" w:space="0" w:color="auto"/>
            <w:right w:val="none" w:sz="0" w:space="0" w:color="auto"/>
          </w:divBdr>
        </w:div>
        <w:div w:id="1319307000">
          <w:marLeft w:val="640"/>
          <w:marRight w:val="0"/>
          <w:marTop w:val="0"/>
          <w:marBottom w:val="0"/>
          <w:divBdr>
            <w:top w:val="none" w:sz="0" w:space="0" w:color="auto"/>
            <w:left w:val="none" w:sz="0" w:space="0" w:color="auto"/>
            <w:bottom w:val="none" w:sz="0" w:space="0" w:color="auto"/>
            <w:right w:val="none" w:sz="0" w:space="0" w:color="auto"/>
          </w:divBdr>
        </w:div>
        <w:div w:id="348025743">
          <w:marLeft w:val="640"/>
          <w:marRight w:val="0"/>
          <w:marTop w:val="0"/>
          <w:marBottom w:val="0"/>
          <w:divBdr>
            <w:top w:val="none" w:sz="0" w:space="0" w:color="auto"/>
            <w:left w:val="none" w:sz="0" w:space="0" w:color="auto"/>
            <w:bottom w:val="none" w:sz="0" w:space="0" w:color="auto"/>
            <w:right w:val="none" w:sz="0" w:space="0" w:color="auto"/>
          </w:divBdr>
        </w:div>
        <w:div w:id="579482891">
          <w:marLeft w:val="640"/>
          <w:marRight w:val="0"/>
          <w:marTop w:val="0"/>
          <w:marBottom w:val="0"/>
          <w:divBdr>
            <w:top w:val="none" w:sz="0" w:space="0" w:color="auto"/>
            <w:left w:val="none" w:sz="0" w:space="0" w:color="auto"/>
            <w:bottom w:val="none" w:sz="0" w:space="0" w:color="auto"/>
            <w:right w:val="none" w:sz="0" w:space="0" w:color="auto"/>
          </w:divBdr>
        </w:div>
        <w:div w:id="322321825">
          <w:marLeft w:val="640"/>
          <w:marRight w:val="0"/>
          <w:marTop w:val="0"/>
          <w:marBottom w:val="0"/>
          <w:divBdr>
            <w:top w:val="none" w:sz="0" w:space="0" w:color="auto"/>
            <w:left w:val="none" w:sz="0" w:space="0" w:color="auto"/>
            <w:bottom w:val="none" w:sz="0" w:space="0" w:color="auto"/>
            <w:right w:val="none" w:sz="0" w:space="0" w:color="auto"/>
          </w:divBdr>
        </w:div>
        <w:div w:id="907836474">
          <w:marLeft w:val="640"/>
          <w:marRight w:val="0"/>
          <w:marTop w:val="0"/>
          <w:marBottom w:val="0"/>
          <w:divBdr>
            <w:top w:val="none" w:sz="0" w:space="0" w:color="auto"/>
            <w:left w:val="none" w:sz="0" w:space="0" w:color="auto"/>
            <w:bottom w:val="none" w:sz="0" w:space="0" w:color="auto"/>
            <w:right w:val="none" w:sz="0" w:space="0" w:color="auto"/>
          </w:divBdr>
        </w:div>
        <w:div w:id="2006007180">
          <w:marLeft w:val="640"/>
          <w:marRight w:val="0"/>
          <w:marTop w:val="0"/>
          <w:marBottom w:val="0"/>
          <w:divBdr>
            <w:top w:val="none" w:sz="0" w:space="0" w:color="auto"/>
            <w:left w:val="none" w:sz="0" w:space="0" w:color="auto"/>
            <w:bottom w:val="none" w:sz="0" w:space="0" w:color="auto"/>
            <w:right w:val="none" w:sz="0" w:space="0" w:color="auto"/>
          </w:divBdr>
        </w:div>
        <w:div w:id="249892948">
          <w:marLeft w:val="640"/>
          <w:marRight w:val="0"/>
          <w:marTop w:val="0"/>
          <w:marBottom w:val="0"/>
          <w:divBdr>
            <w:top w:val="none" w:sz="0" w:space="0" w:color="auto"/>
            <w:left w:val="none" w:sz="0" w:space="0" w:color="auto"/>
            <w:bottom w:val="none" w:sz="0" w:space="0" w:color="auto"/>
            <w:right w:val="none" w:sz="0" w:space="0" w:color="auto"/>
          </w:divBdr>
        </w:div>
        <w:div w:id="1007708277">
          <w:marLeft w:val="640"/>
          <w:marRight w:val="0"/>
          <w:marTop w:val="0"/>
          <w:marBottom w:val="0"/>
          <w:divBdr>
            <w:top w:val="none" w:sz="0" w:space="0" w:color="auto"/>
            <w:left w:val="none" w:sz="0" w:space="0" w:color="auto"/>
            <w:bottom w:val="none" w:sz="0" w:space="0" w:color="auto"/>
            <w:right w:val="none" w:sz="0" w:space="0" w:color="auto"/>
          </w:divBdr>
        </w:div>
        <w:div w:id="1423188034">
          <w:marLeft w:val="640"/>
          <w:marRight w:val="0"/>
          <w:marTop w:val="0"/>
          <w:marBottom w:val="0"/>
          <w:divBdr>
            <w:top w:val="none" w:sz="0" w:space="0" w:color="auto"/>
            <w:left w:val="none" w:sz="0" w:space="0" w:color="auto"/>
            <w:bottom w:val="none" w:sz="0" w:space="0" w:color="auto"/>
            <w:right w:val="none" w:sz="0" w:space="0" w:color="auto"/>
          </w:divBdr>
        </w:div>
        <w:div w:id="730275057">
          <w:marLeft w:val="640"/>
          <w:marRight w:val="0"/>
          <w:marTop w:val="0"/>
          <w:marBottom w:val="0"/>
          <w:divBdr>
            <w:top w:val="none" w:sz="0" w:space="0" w:color="auto"/>
            <w:left w:val="none" w:sz="0" w:space="0" w:color="auto"/>
            <w:bottom w:val="none" w:sz="0" w:space="0" w:color="auto"/>
            <w:right w:val="none" w:sz="0" w:space="0" w:color="auto"/>
          </w:divBdr>
        </w:div>
        <w:div w:id="690643587">
          <w:marLeft w:val="640"/>
          <w:marRight w:val="0"/>
          <w:marTop w:val="0"/>
          <w:marBottom w:val="0"/>
          <w:divBdr>
            <w:top w:val="none" w:sz="0" w:space="0" w:color="auto"/>
            <w:left w:val="none" w:sz="0" w:space="0" w:color="auto"/>
            <w:bottom w:val="none" w:sz="0" w:space="0" w:color="auto"/>
            <w:right w:val="none" w:sz="0" w:space="0" w:color="auto"/>
          </w:divBdr>
        </w:div>
        <w:div w:id="1299146338">
          <w:marLeft w:val="640"/>
          <w:marRight w:val="0"/>
          <w:marTop w:val="0"/>
          <w:marBottom w:val="0"/>
          <w:divBdr>
            <w:top w:val="none" w:sz="0" w:space="0" w:color="auto"/>
            <w:left w:val="none" w:sz="0" w:space="0" w:color="auto"/>
            <w:bottom w:val="none" w:sz="0" w:space="0" w:color="auto"/>
            <w:right w:val="none" w:sz="0" w:space="0" w:color="auto"/>
          </w:divBdr>
        </w:div>
        <w:div w:id="458378884">
          <w:marLeft w:val="640"/>
          <w:marRight w:val="0"/>
          <w:marTop w:val="0"/>
          <w:marBottom w:val="0"/>
          <w:divBdr>
            <w:top w:val="none" w:sz="0" w:space="0" w:color="auto"/>
            <w:left w:val="none" w:sz="0" w:space="0" w:color="auto"/>
            <w:bottom w:val="none" w:sz="0" w:space="0" w:color="auto"/>
            <w:right w:val="none" w:sz="0" w:space="0" w:color="auto"/>
          </w:divBdr>
        </w:div>
        <w:div w:id="440610191">
          <w:marLeft w:val="640"/>
          <w:marRight w:val="0"/>
          <w:marTop w:val="0"/>
          <w:marBottom w:val="0"/>
          <w:divBdr>
            <w:top w:val="none" w:sz="0" w:space="0" w:color="auto"/>
            <w:left w:val="none" w:sz="0" w:space="0" w:color="auto"/>
            <w:bottom w:val="none" w:sz="0" w:space="0" w:color="auto"/>
            <w:right w:val="none" w:sz="0" w:space="0" w:color="auto"/>
          </w:divBdr>
        </w:div>
        <w:div w:id="640769941">
          <w:marLeft w:val="640"/>
          <w:marRight w:val="0"/>
          <w:marTop w:val="0"/>
          <w:marBottom w:val="0"/>
          <w:divBdr>
            <w:top w:val="none" w:sz="0" w:space="0" w:color="auto"/>
            <w:left w:val="none" w:sz="0" w:space="0" w:color="auto"/>
            <w:bottom w:val="none" w:sz="0" w:space="0" w:color="auto"/>
            <w:right w:val="none" w:sz="0" w:space="0" w:color="auto"/>
          </w:divBdr>
        </w:div>
        <w:div w:id="775104016">
          <w:marLeft w:val="640"/>
          <w:marRight w:val="0"/>
          <w:marTop w:val="0"/>
          <w:marBottom w:val="0"/>
          <w:divBdr>
            <w:top w:val="none" w:sz="0" w:space="0" w:color="auto"/>
            <w:left w:val="none" w:sz="0" w:space="0" w:color="auto"/>
            <w:bottom w:val="none" w:sz="0" w:space="0" w:color="auto"/>
            <w:right w:val="none" w:sz="0" w:space="0" w:color="auto"/>
          </w:divBdr>
        </w:div>
        <w:div w:id="1457137695">
          <w:marLeft w:val="640"/>
          <w:marRight w:val="0"/>
          <w:marTop w:val="0"/>
          <w:marBottom w:val="0"/>
          <w:divBdr>
            <w:top w:val="none" w:sz="0" w:space="0" w:color="auto"/>
            <w:left w:val="none" w:sz="0" w:space="0" w:color="auto"/>
            <w:bottom w:val="none" w:sz="0" w:space="0" w:color="auto"/>
            <w:right w:val="none" w:sz="0" w:space="0" w:color="auto"/>
          </w:divBdr>
        </w:div>
        <w:div w:id="137694582">
          <w:marLeft w:val="640"/>
          <w:marRight w:val="0"/>
          <w:marTop w:val="0"/>
          <w:marBottom w:val="0"/>
          <w:divBdr>
            <w:top w:val="none" w:sz="0" w:space="0" w:color="auto"/>
            <w:left w:val="none" w:sz="0" w:space="0" w:color="auto"/>
            <w:bottom w:val="none" w:sz="0" w:space="0" w:color="auto"/>
            <w:right w:val="none" w:sz="0" w:space="0" w:color="auto"/>
          </w:divBdr>
        </w:div>
        <w:div w:id="1324577544">
          <w:marLeft w:val="640"/>
          <w:marRight w:val="0"/>
          <w:marTop w:val="0"/>
          <w:marBottom w:val="0"/>
          <w:divBdr>
            <w:top w:val="none" w:sz="0" w:space="0" w:color="auto"/>
            <w:left w:val="none" w:sz="0" w:space="0" w:color="auto"/>
            <w:bottom w:val="none" w:sz="0" w:space="0" w:color="auto"/>
            <w:right w:val="none" w:sz="0" w:space="0" w:color="auto"/>
          </w:divBdr>
        </w:div>
        <w:div w:id="1134325440">
          <w:marLeft w:val="640"/>
          <w:marRight w:val="0"/>
          <w:marTop w:val="0"/>
          <w:marBottom w:val="0"/>
          <w:divBdr>
            <w:top w:val="none" w:sz="0" w:space="0" w:color="auto"/>
            <w:left w:val="none" w:sz="0" w:space="0" w:color="auto"/>
            <w:bottom w:val="none" w:sz="0" w:space="0" w:color="auto"/>
            <w:right w:val="none" w:sz="0" w:space="0" w:color="auto"/>
          </w:divBdr>
        </w:div>
        <w:div w:id="286007206">
          <w:marLeft w:val="640"/>
          <w:marRight w:val="0"/>
          <w:marTop w:val="0"/>
          <w:marBottom w:val="0"/>
          <w:divBdr>
            <w:top w:val="none" w:sz="0" w:space="0" w:color="auto"/>
            <w:left w:val="none" w:sz="0" w:space="0" w:color="auto"/>
            <w:bottom w:val="none" w:sz="0" w:space="0" w:color="auto"/>
            <w:right w:val="none" w:sz="0" w:space="0" w:color="auto"/>
          </w:divBdr>
        </w:div>
        <w:div w:id="1795056950">
          <w:marLeft w:val="640"/>
          <w:marRight w:val="0"/>
          <w:marTop w:val="0"/>
          <w:marBottom w:val="0"/>
          <w:divBdr>
            <w:top w:val="none" w:sz="0" w:space="0" w:color="auto"/>
            <w:left w:val="none" w:sz="0" w:space="0" w:color="auto"/>
            <w:bottom w:val="none" w:sz="0" w:space="0" w:color="auto"/>
            <w:right w:val="none" w:sz="0" w:space="0" w:color="auto"/>
          </w:divBdr>
        </w:div>
        <w:div w:id="1171022023">
          <w:marLeft w:val="640"/>
          <w:marRight w:val="0"/>
          <w:marTop w:val="0"/>
          <w:marBottom w:val="0"/>
          <w:divBdr>
            <w:top w:val="none" w:sz="0" w:space="0" w:color="auto"/>
            <w:left w:val="none" w:sz="0" w:space="0" w:color="auto"/>
            <w:bottom w:val="none" w:sz="0" w:space="0" w:color="auto"/>
            <w:right w:val="none" w:sz="0" w:space="0" w:color="auto"/>
          </w:divBdr>
        </w:div>
        <w:div w:id="1261765911">
          <w:marLeft w:val="640"/>
          <w:marRight w:val="0"/>
          <w:marTop w:val="0"/>
          <w:marBottom w:val="0"/>
          <w:divBdr>
            <w:top w:val="none" w:sz="0" w:space="0" w:color="auto"/>
            <w:left w:val="none" w:sz="0" w:space="0" w:color="auto"/>
            <w:bottom w:val="none" w:sz="0" w:space="0" w:color="auto"/>
            <w:right w:val="none" w:sz="0" w:space="0" w:color="auto"/>
          </w:divBdr>
        </w:div>
        <w:div w:id="1760439952">
          <w:marLeft w:val="640"/>
          <w:marRight w:val="0"/>
          <w:marTop w:val="0"/>
          <w:marBottom w:val="0"/>
          <w:divBdr>
            <w:top w:val="none" w:sz="0" w:space="0" w:color="auto"/>
            <w:left w:val="none" w:sz="0" w:space="0" w:color="auto"/>
            <w:bottom w:val="none" w:sz="0" w:space="0" w:color="auto"/>
            <w:right w:val="none" w:sz="0" w:space="0" w:color="auto"/>
          </w:divBdr>
        </w:div>
        <w:div w:id="800807165">
          <w:marLeft w:val="640"/>
          <w:marRight w:val="0"/>
          <w:marTop w:val="0"/>
          <w:marBottom w:val="0"/>
          <w:divBdr>
            <w:top w:val="none" w:sz="0" w:space="0" w:color="auto"/>
            <w:left w:val="none" w:sz="0" w:space="0" w:color="auto"/>
            <w:bottom w:val="none" w:sz="0" w:space="0" w:color="auto"/>
            <w:right w:val="none" w:sz="0" w:space="0" w:color="auto"/>
          </w:divBdr>
        </w:div>
        <w:div w:id="1655329361">
          <w:marLeft w:val="640"/>
          <w:marRight w:val="0"/>
          <w:marTop w:val="0"/>
          <w:marBottom w:val="0"/>
          <w:divBdr>
            <w:top w:val="none" w:sz="0" w:space="0" w:color="auto"/>
            <w:left w:val="none" w:sz="0" w:space="0" w:color="auto"/>
            <w:bottom w:val="none" w:sz="0" w:space="0" w:color="auto"/>
            <w:right w:val="none" w:sz="0" w:space="0" w:color="auto"/>
          </w:divBdr>
        </w:div>
        <w:div w:id="400298157">
          <w:marLeft w:val="640"/>
          <w:marRight w:val="0"/>
          <w:marTop w:val="0"/>
          <w:marBottom w:val="0"/>
          <w:divBdr>
            <w:top w:val="none" w:sz="0" w:space="0" w:color="auto"/>
            <w:left w:val="none" w:sz="0" w:space="0" w:color="auto"/>
            <w:bottom w:val="none" w:sz="0" w:space="0" w:color="auto"/>
            <w:right w:val="none" w:sz="0" w:space="0" w:color="auto"/>
          </w:divBdr>
        </w:div>
        <w:div w:id="939525449">
          <w:marLeft w:val="640"/>
          <w:marRight w:val="0"/>
          <w:marTop w:val="0"/>
          <w:marBottom w:val="0"/>
          <w:divBdr>
            <w:top w:val="none" w:sz="0" w:space="0" w:color="auto"/>
            <w:left w:val="none" w:sz="0" w:space="0" w:color="auto"/>
            <w:bottom w:val="none" w:sz="0" w:space="0" w:color="auto"/>
            <w:right w:val="none" w:sz="0" w:space="0" w:color="auto"/>
          </w:divBdr>
        </w:div>
        <w:div w:id="348607487">
          <w:marLeft w:val="640"/>
          <w:marRight w:val="0"/>
          <w:marTop w:val="0"/>
          <w:marBottom w:val="0"/>
          <w:divBdr>
            <w:top w:val="none" w:sz="0" w:space="0" w:color="auto"/>
            <w:left w:val="none" w:sz="0" w:space="0" w:color="auto"/>
            <w:bottom w:val="none" w:sz="0" w:space="0" w:color="auto"/>
            <w:right w:val="none" w:sz="0" w:space="0" w:color="auto"/>
          </w:divBdr>
        </w:div>
        <w:div w:id="979922174">
          <w:marLeft w:val="640"/>
          <w:marRight w:val="0"/>
          <w:marTop w:val="0"/>
          <w:marBottom w:val="0"/>
          <w:divBdr>
            <w:top w:val="none" w:sz="0" w:space="0" w:color="auto"/>
            <w:left w:val="none" w:sz="0" w:space="0" w:color="auto"/>
            <w:bottom w:val="none" w:sz="0" w:space="0" w:color="auto"/>
            <w:right w:val="none" w:sz="0" w:space="0" w:color="auto"/>
          </w:divBdr>
        </w:div>
        <w:div w:id="818039378">
          <w:marLeft w:val="640"/>
          <w:marRight w:val="0"/>
          <w:marTop w:val="0"/>
          <w:marBottom w:val="0"/>
          <w:divBdr>
            <w:top w:val="none" w:sz="0" w:space="0" w:color="auto"/>
            <w:left w:val="none" w:sz="0" w:space="0" w:color="auto"/>
            <w:bottom w:val="none" w:sz="0" w:space="0" w:color="auto"/>
            <w:right w:val="none" w:sz="0" w:space="0" w:color="auto"/>
          </w:divBdr>
        </w:div>
        <w:div w:id="1137187288">
          <w:marLeft w:val="640"/>
          <w:marRight w:val="0"/>
          <w:marTop w:val="0"/>
          <w:marBottom w:val="0"/>
          <w:divBdr>
            <w:top w:val="none" w:sz="0" w:space="0" w:color="auto"/>
            <w:left w:val="none" w:sz="0" w:space="0" w:color="auto"/>
            <w:bottom w:val="none" w:sz="0" w:space="0" w:color="auto"/>
            <w:right w:val="none" w:sz="0" w:space="0" w:color="auto"/>
          </w:divBdr>
        </w:div>
        <w:div w:id="1783304544">
          <w:marLeft w:val="640"/>
          <w:marRight w:val="0"/>
          <w:marTop w:val="0"/>
          <w:marBottom w:val="0"/>
          <w:divBdr>
            <w:top w:val="none" w:sz="0" w:space="0" w:color="auto"/>
            <w:left w:val="none" w:sz="0" w:space="0" w:color="auto"/>
            <w:bottom w:val="none" w:sz="0" w:space="0" w:color="auto"/>
            <w:right w:val="none" w:sz="0" w:space="0" w:color="auto"/>
          </w:divBdr>
        </w:div>
        <w:div w:id="1703089068">
          <w:marLeft w:val="640"/>
          <w:marRight w:val="0"/>
          <w:marTop w:val="0"/>
          <w:marBottom w:val="0"/>
          <w:divBdr>
            <w:top w:val="none" w:sz="0" w:space="0" w:color="auto"/>
            <w:left w:val="none" w:sz="0" w:space="0" w:color="auto"/>
            <w:bottom w:val="none" w:sz="0" w:space="0" w:color="auto"/>
            <w:right w:val="none" w:sz="0" w:space="0" w:color="auto"/>
          </w:divBdr>
        </w:div>
        <w:div w:id="1974823046">
          <w:marLeft w:val="640"/>
          <w:marRight w:val="0"/>
          <w:marTop w:val="0"/>
          <w:marBottom w:val="0"/>
          <w:divBdr>
            <w:top w:val="none" w:sz="0" w:space="0" w:color="auto"/>
            <w:left w:val="none" w:sz="0" w:space="0" w:color="auto"/>
            <w:bottom w:val="none" w:sz="0" w:space="0" w:color="auto"/>
            <w:right w:val="none" w:sz="0" w:space="0" w:color="auto"/>
          </w:divBdr>
        </w:div>
        <w:div w:id="2073697467">
          <w:marLeft w:val="640"/>
          <w:marRight w:val="0"/>
          <w:marTop w:val="0"/>
          <w:marBottom w:val="0"/>
          <w:divBdr>
            <w:top w:val="none" w:sz="0" w:space="0" w:color="auto"/>
            <w:left w:val="none" w:sz="0" w:space="0" w:color="auto"/>
            <w:bottom w:val="none" w:sz="0" w:space="0" w:color="auto"/>
            <w:right w:val="none" w:sz="0" w:space="0" w:color="auto"/>
          </w:divBdr>
        </w:div>
        <w:div w:id="1467892587">
          <w:marLeft w:val="640"/>
          <w:marRight w:val="0"/>
          <w:marTop w:val="0"/>
          <w:marBottom w:val="0"/>
          <w:divBdr>
            <w:top w:val="none" w:sz="0" w:space="0" w:color="auto"/>
            <w:left w:val="none" w:sz="0" w:space="0" w:color="auto"/>
            <w:bottom w:val="none" w:sz="0" w:space="0" w:color="auto"/>
            <w:right w:val="none" w:sz="0" w:space="0" w:color="auto"/>
          </w:divBdr>
        </w:div>
        <w:div w:id="1549101899">
          <w:marLeft w:val="640"/>
          <w:marRight w:val="0"/>
          <w:marTop w:val="0"/>
          <w:marBottom w:val="0"/>
          <w:divBdr>
            <w:top w:val="none" w:sz="0" w:space="0" w:color="auto"/>
            <w:left w:val="none" w:sz="0" w:space="0" w:color="auto"/>
            <w:bottom w:val="none" w:sz="0" w:space="0" w:color="auto"/>
            <w:right w:val="none" w:sz="0" w:space="0" w:color="auto"/>
          </w:divBdr>
        </w:div>
        <w:div w:id="1356420659">
          <w:marLeft w:val="640"/>
          <w:marRight w:val="0"/>
          <w:marTop w:val="0"/>
          <w:marBottom w:val="0"/>
          <w:divBdr>
            <w:top w:val="none" w:sz="0" w:space="0" w:color="auto"/>
            <w:left w:val="none" w:sz="0" w:space="0" w:color="auto"/>
            <w:bottom w:val="none" w:sz="0" w:space="0" w:color="auto"/>
            <w:right w:val="none" w:sz="0" w:space="0" w:color="auto"/>
          </w:divBdr>
        </w:div>
        <w:div w:id="1031959996">
          <w:marLeft w:val="640"/>
          <w:marRight w:val="0"/>
          <w:marTop w:val="0"/>
          <w:marBottom w:val="0"/>
          <w:divBdr>
            <w:top w:val="none" w:sz="0" w:space="0" w:color="auto"/>
            <w:left w:val="none" w:sz="0" w:space="0" w:color="auto"/>
            <w:bottom w:val="none" w:sz="0" w:space="0" w:color="auto"/>
            <w:right w:val="none" w:sz="0" w:space="0" w:color="auto"/>
          </w:divBdr>
        </w:div>
        <w:div w:id="762722744">
          <w:marLeft w:val="640"/>
          <w:marRight w:val="0"/>
          <w:marTop w:val="0"/>
          <w:marBottom w:val="0"/>
          <w:divBdr>
            <w:top w:val="none" w:sz="0" w:space="0" w:color="auto"/>
            <w:left w:val="none" w:sz="0" w:space="0" w:color="auto"/>
            <w:bottom w:val="none" w:sz="0" w:space="0" w:color="auto"/>
            <w:right w:val="none" w:sz="0" w:space="0" w:color="auto"/>
          </w:divBdr>
        </w:div>
        <w:div w:id="245505002">
          <w:marLeft w:val="640"/>
          <w:marRight w:val="0"/>
          <w:marTop w:val="0"/>
          <w:marBottom w:val="0"/>
          <w:divBdr>
            <w:top w:val="none" w:sz="0" w:space="0" w:color="auto"/>
            <w:left w:val="none" w:sz="0" w:space="0" w:color="auto"/>
            <w:bottom w:val="none" w:sz="0" w:space="0" w:color="auto"/>
            <w:right w:val="none" w:sz="0" w:space="0" w:color="auto"/>
          </w:divBdr>
        </w:div>
        <w:div w:id="1719207490">
          <w:marLeft w:val="640"/>
          <w:marRight w:val="0"/>
          <w:marTop w:val="0"/>
          <w:marBottom w:val="0"/>
          <w:divBdr>
            <w:top w:val="none" w:sz="0" w:space="0" w:color="auto"/>
            <w:left w:val="none" w:sz="0" w:space="0" w:color="auto"/>
            <w:bottom w:val="none" w:sz="0" w:space="0" w:color="auto"/>
            <w:right w:val="none" w:sz="0" w:space="0" w:color="auto"/>
          </w:divBdr>
        </w:div>
        <w:div w:id="1792164919">
          <w:marLeft w:val="640"/>
          <w:marRight w:val="0"/>
          <w:marTop w:val="0"/>
          <w:marBottom w:val="0"/>
          <w:divBdr>
            <w:top w:val="none" w:sz="0" w:space="0" w:color="auto"/>
            <w:left w:val="none" w:sz="0" w:space="0" w:color="auto"/>
            <w:bottom w:val="none" w:sz="0" w:space="0" w:color="auto"/>
            <w:right w:val="none" w:sz="0" w:space="0" w:color="auto"/>
          </w:divBdr>
        </w:div>
        <w:div w:id="309939685">
          <w:marLeft w:val="640"/>
          <w:marRight w:val="0"/>
          <w:marTop w:val="0"/>
          <w:marBottom w:val="0"/>
          <w:divBdr>
            <w:top w:val="none" w:sz="0" w:space="0" w:color="auto"/>
            <w:left w:val="none" w:sz="0" w:space="0" w:color="auto"/>
            <w:bottom w:val="none" w:sz="0" w:space="0" w:color="auto"/>
            <w:right w:val="none" w:sz="0" w:space="0" w:color="auto"/>
          </w:divBdr>
        </w:div>
        <w:div w:id="1991908109">
          <w:marLeft w:val="640"/>
          <w:marRight w:val="0"/>
          <w:marTop w:val="0"/>
          <w:marBottom w:val="0"/>
          <w:divBdr>
            <w:top w:val="none" w:sz="0" w:space="0" w:color="auto"/>
            <w:left w:val="none" w:sz="0" w:space="0" w:color="auto"/>
            <w:bottom w:val="none" w:sz="0" w:space="0" w:color="auto"/>
            <w:right w:val="none" w:sz="0" w:space="0" w:color="auto"/>
          </w:divBdr>
        </w:div>
        <w:div w:id="806045850">
          <w:marLeft w:val="640"/>
          <w:marRight w:val="0"/>
          <w:marTop w:val="0"/>
          <w:marBottom w:val="0"/>
          <w:divBdr>
            <w:top w:val="none" w:sz="0" w:space="0" w:color="auto"/>
            <w:left w:val="none" w:sz="0" w:space="0" w:color="auto"/>
            <w:bottom w:val="none" w:sz="0" w:space="0" w:color="auto"/>
            <w:right w:val="none" w:sz="0" w:space="0" w:color="auto"/>
          </w:divBdr>
        </w:div>
        <w:div w:id="170603380">
          <w:marLeft w:val="640"/>
          <w:marRight w:val="0"/>
          <w:marTop w:val="0"/>
          <w:marBottom w:val="0"/>
          <w:divBdr>
            <w:top w:val="none" w:sz="0" w:space="0" w:color="auto"/>
            <w:left w:val="none" w:sz="0" w:space="0" w:color="auto"/>
            <w:bottom w:val="none" w:sz="0" w:space="0" w:color="auto"/>
            <w:right w:val="none" w:sz="0" w:space="0" w:color="auto"/>
          </w:divBdr>
        </w:div>
        <w:div w:id="938949443">
          <w:marLeft w:val="640"/>
          <w:marRight w:val="0"/>
          <w:marTop w:val="0"/>
          <w:marBottom w:val="0"/>
          <w:divBdr>
            <w:top w:val="none" w:sz="0" w:space="0" w:color="auto"/>
            <w:left w:val="none" w:sz="0" w:space="0" w:color="auto"/>
            <w:bottom w:val="none" w:sz="0" w:space="0" w:color="auto"/>
            <w:right w:val="none" w:sz="0" w:space="0" w:color="auto"/>
          </w:divBdr>
        </w:div>
        <w:div w:id="1480926778">
          <w:marLeft w:val="640"/>
          <w:marRight w:val="0"/>
          <w:marTop w:val="0"/>
          <w:marBottom w:val="0"/>
          <w:divBdr>
            <w:top w:val="none" w:sz="0" w:space="0" w:color="auto"/>
            <w:left w:val="none" w:sz="0" w:space="0" w:color="auto"/>
            <w:bottom w:val="none" w:sz="0" w:space="0" w:color="auto"/>
            <w:right w:val="none" w:sz="0" w:space="0" w:color="auto"/>
          </w:divBdr>
        </w:div>
        <w:div w:id="1766068540">
          <w:marLeft w:val="640"/>
          <w:marRight w:val="0"/>
          <w:marTop w:val="0"/>
          <w:marBottom w:val="0"/>
          <w:divBdr>
            <w:top w:val="none" w:sz="0" w:space="0" w:color="auto"/>
            <w:left w:val="none" w:sz="0" w:space="0" w:color="auto"/>
            <w:bottom w:val="none" w:sz="0" w:space="0" w:color="auto"/>
            <w:right w:val="none" w:sz="0" w:space="0" w:color="auto"/>
          </w:divBdr>
        </w:div>
        <w:div w:id="1024598351">
          <w:marLeft w:val="640"/>
          <w:marRight w:val="0"/>
          <w:marTop w:val="0"/>
          <w:marBottom w:val="0"/>
          <w:divBdr>
            <w:top w:val="none" w:sz="0" w:space="0" w:color="auto"/>
            <w:left w:val="none" w:sz="0" w:space="0" w:color="auto"/>
            <w:bottom w:val="none" w:sz="0" w:space="0" w:color="auto"/>
            <w:right w:val="none" w:sz="0" w:space="0" w:color="auto"/>
          </w:divBdr>
        </w:div>
        <w:div w:id="55590094">
          <w:marLeft w:val="640"/>
          <w:marRight w:val="0"/>
          <w:marTop w:val="0"/>
          <w:marBottom w:val="0"/>
          <w:divBdr>
            <w:top w:val="none" w:sz="0" w:space="0" w:color="auto"/>
            <w:left w:val="none" w:sz="0" w:space="0" w:color="auto"/>
            <w:bottom w:val="none" w:sz="0" w:space="0" w:color="auto"/>
            <w:right w:val="none" w:sz="0" w:space="0" w:color="auto"/>
          </w:divBdr>
        </w:div>
        <w:div w:id="2057897647">
          <w:marLeft w:val="640"/>
          <w:marRight w:val="0"/>
          <w:marTop w:val="0"/>
          <w:marBottom w:val="0"/>
          <w:divBdr>
            <w:top w:val="none" w:sz="0" w:space="0" w:color="auto"/>
            <w:left w:val="none" w:sz="0" w:space="0" w:color="auto"/>
            <w:bottom w:val="none" w:sz="0" w:space="0" w:color="auto"/>
            <w:right w:val="none" w:sz="0" w:space="0" w:color="auto"/>
          </w:divBdr>
        </w:div>
        <w:div w:id="1242255080">
          <w:marLeft w:val="640"/>
          <w:marRight w:val="0"/>
          <w:marTop w:val="0"/>
          <w:marBottom w:val="0"/>
          <w:divBdr>
            <w:top w:val="none" w:sz="0" w:space="0" w:color="auto"/>
            <w:left w:val="none" w:sz="0" w:space="0" w:color="auto"/>
            <w:bottom w:val="none" w:sz="0" w:space="0" w:color="auto"/>
            <w:right w:val="none" w:sz="0" w:space="0" w:color="auto"/>
          </w:divBdr>
        </w:div>
        <w:div w:id="1705517157">
          <w:marLeft w:val="640"/>
          <w:marRight w:val="0"/>
          <w:marTop w:val="0"/>
          <w:marBottom w:val="0"/>
          <w:divBdr>
            <w:top w:val="none" w:sz="0" w:space="0" w:color="auto"/>
            <w:left w:val="none" w:sz="0" w:space="0" w:color="auto"/>
            <w:bottom w:val="none" w:sz="0" w:space="0" w:color="auto"/>
            <w:right w:val="none" w:sz="0" w:space="0" w:color="auto"/>
          </w:divBdr>
        </w:div>
        <w:div w:id="1295410479">
          <w:marLeft w:val="640"/>
          <w:marRight w:val="0"/>
          <w:marTop w:val="0"/>
          <w:marBottom w:val="0"/>
          <w:divBdr>
            <w:top w:val="none" w:sz="0" w:space="0" w:color="auto"/>
            <w:left w:val="none" w:sz="0" w:space="0" w:color="auto"/>
            <w:bottom w:val="none" w:sz="0" w:space="0" w:color="auto"/>
            <w:right w:val="none" w:sz="0" w:space="0" w:color="auto"/>
          </w:divBdr>
        </w:div>
        <w:div w:id="399866528">
          <w:marLeft w:val="640"/>
          <w:marRight w:val="0"/>
          <w:marTop w:val="0"/>
          <w:marBottom w:val="0"/>
          <w:divBdr>
            <w:top w:val="none" w:sz="0" w:space="0" w:color="auto"/>
            <w:left w:val="none" w:sz="0" w:space="0" w:color="auto"/>
            <w:bottom w:val="none" w:sz="0" w:space="0" w:color="auto"/>
            <w:right w:val="none" w:sz="0" w:space="0" w:color="auto"/>
          </w:divBdr>
        </w:div>
        <w:div w:id="260838236">
          <w:marLeft w:val="640"/>
          <w:marRight w:val="0"/>
          <w:marTop w:val="0"/>
          <w:marBottom w:val="0"/>
          <w:divBdr>
            <w:top w:val="none" w:sz="0" w:space="0" w:color="auto"/>
            <w:left w:val="none" w:sz="0" w:space="0" w:color="auto"/>
            <w:bottom w:val="none" w:sz="0" w:space="0" w:color="auto"/>
            <w:right w:val="none" w:sz="0" w:space="0" w:color="auto"/>
          </w:divBdr>
        </w:div>
        <w:div w:id="323361329">
          <w:marLeft w:val="640"/>
          <w:marRight w:val="0"/>
          <w:marTop w:val="0"/>
          <w:marBottom w:val="0"/>
          <w:divBdr>
            <w:top w:val="none" w:sz="0" w:space="0" w:color="auto"/>
            <w:left w:val="none" w:sz="0" w:space="0" w:color="auto"/>
            <w:bottom w:val="none" w:sz="0" w:space="0" w:color="auto"/>
            <w:right w:val="none" w:sz="0" w:space="0" w:color="auto"/>
          </w:divBdr>
        </w:div>
        <w:div w:id="557522031">
          <w:marLeft w:val="640"/>
          <w:marRight w:val="0"/>
          <w:marTop w:val="0"/>
          <w:marBottom w:val="0"/>
          <w:divBdr>
            <w:top w:val="none" w:sz="0" w:space="0" w:color="auto"/>
            <w:left w:val="none" w:sz="0" w:space="0" w:color="auto"/>
            <w:bottom w:val="none" w:sz="0" w:space="0" w:color="auto"/>
            <w:right w:val="none" w:sz="0" w:space="0" w:color="auto"/>
          </w:divBdr>
        </w:div>
        <w:div w:id="78332528">
          <w:marLeft w:val="640"/>
          <w:marRight w:val="0"/>
          <w:marTop w:val="0"/>
          <w:marBottom w:val="0"/>
          <w:divBdr>
            <w:top w:val="none" w:sz="0" w:space="0" w:color="auto"/>
            <w:left w:val="none" w:sz="0" w:space="0" w:color="auto"/>
            <w:bottom w:val="none" w:sz="0" w:space="0" w:color="auto"/>
            <w:right w:val="none" w:sz="0" w:space="0" w:color="auto"/>
          </w:divBdr>
        </w:div>
        <w:div w:id="920135978">
          <w:marLeft w:val="640"/>
          <w:marRight w:val="0"/>
          <w:marTop w:val="0"/>
          <w:marBottom w:val="0"/>
          <w:divBdr>
            <w:top w:val="none" w:sz="0" w:space="0" w:color="auto"/>
            <w:left w:val="none" w:sz="0" w:space="0" w:color="auto"/>
            <w:bottom w:val="none" w:sz="0" w:space="0" w:color="auto"/>
            <w:right w:val="none" w:sz="0" w:space="0" w:color="auto"/>
          </w:divBdr>
        </w:div>
        <w:div w:id="145360201">
          <w:marLeft w:val="640"/>
          <w:marRight w:val="0"/>
          <w:marTop w:val="0"/>
          <w:marBottom w:val="0"/>
          <w:divBdr>
            <w:top w:val="none" w:sz="0" w:space="0" w:color="auto"/>
            <w:left w:val="none" w:sz="0" w:space="0" w:color="auto"/>
            <w:bottom w:val="none" w:sz="0" w:space="0" w:color="auto"/>
            <w:right w:val="none" w:sz="0" w:space="0" w:color="auto"/>
          </w:divBdr>
        </w:div>
        <w:div w:id="1881745159">
          <w:marLeft w:val="640"/>
          <w:marRight w:val="0"/>
          <w:marTop w:val="0"/>
          <w:marBottom w:val="0"/>
          <w:divBdr>
            <w:top w:val="none" w:sz="0" w:space="0" w:color="auto"/>
            <w:left w:val="none" w:sz="0" w:space="0" w:color="auto"/>
            <w:bottom w:val="none" w:sz="0" w:space="0" w:color="auto"/>
            <w:right w:val="none" w:sz="0" w:space="0" w:color="auto"/>
          </w:divBdr>
        </w:div>
        <w:div w:id="1713727480">
          <w:marLeft w:val="640"/>
          <w:marRight w:val="0"/>
          <w:marTop w:val="0"/>
          <w:marBottom w:val="0"/>
          <w:divBdr>
            <w:top w:val="none" w:sz="0" w:space="0" w:color="auto"/>
            <w:left w:val="none" w:sz="0" w:space="0" w:color="auto"/>
            <w:bottom w:val="none" w:sz="0" w:space="0" w:color="auto"/>
            <w:right w:val="none" w:sz="0" w:space="0" w:color="auto"/>
          </w:divBdr>
        </w:div>
        <w:div w:id="841625031">
          <w:marLeft w:val="640"/>
          <w:marRight w:val="0"/>
          <w:marTop w:val="0"/>
          <w:marBottom w:val="0"/>
          <w:divBdr>
            <w:top w:val="none" w:sz="0" w:space="0" w:color="auto"/>
            <w:left w:val="none" w:sz="0" w:space="0" w:color="auto"/>
            <w:bottom w:val="none" w:sz="0" w:space="0" w:color="auto"/>
            <w:right w:val="none" w:sz="0" w:space="0" w:color="auto"/>
          </w:divBdr>
        </w:div>
        <w:div w:id="215363900">
          <w:marLeft w:val="640"/>
          <w:marRight w:val="0"/>
          <w:marTop w:val="0"/>
          <w:marBottom w:val="0"/>
          <w:divBdr>
            <w:top w:val="none" w:sz="0" w:space="0" w:color="auto"/>
            <w:left w:val="none" w:sz="0" w:space="0" w:color="auto"/>
            <w:bottom w:val="none" w:sz="0" w:space="0" w:color="auto"/>
            <w:right w:val="none" w:sz="0" w:space="0" w:color="auto"/>
          </w:divBdr>
        </w:div>
        <w:div w:id="268394991">
          <w:marLeft w:val="640"/>
          <w:marRight w:val="0"/>
          <w:marTop w:val="0"/>
          <w:marBottom w:val="0"/>
          <w:divBdr>
            <w:top w:val="none" w:sz="0" w:space="0" w:color="auto"/>
            <w:left w:val="none" w:sz="0" w:space="0" w:color="auto"/>
            <w:bottom w:val="none" w:sz="0" w:space="0" w:color="auto"/>
            <w:right w:val="none" w:sz="0" w:space="0" w:color="auto"/>
          </w:divBdr>
        </w:div>
        <w:div w:id="1820420352">
          <w:marLeft w:val="640"/>
          <w:marRight w:val="0"/>
          <w:marTop w:val="0"/>
          <w:marBottom w:val="0"/>
          <w:divBdr>
            <w:top w:val="none" w:sz="0" w:space="0" w:color="auto"/>
            <w:left w:val="none" w:sz="0" w:space="0" w:color="auto"/>
            <w:bottom w:val="none" w:sz="0" w:space="0" w:color="auto"/>
            <w:right w:val="none" w:sz="0" w:space="0" w:color="auto"/>
          </w:divBdr>
        </w:div>
        <w:div w:id="1825050432">
          <w:marLeft w:val="640"/>
          <w:marRight w:val="0"/>
          <w:marTop w:val="0"/>
          <w:marBottom w:val="0"/>
          <w:divBdr>
            <w:top w:val="none" w:sz="0" w:space="0" w:color="auto"/>
            <w:left w:val="none" w:sz="0" w:space="0" w:color="auto"/>
            <w:bottom w:val="none" w:sz="0" w:space="0" w:color="auto"/>
            <w:right w:val="none" w:sz="0" w:space="0" w:color="auto"/>
          </w:divBdr>
        </w:div>
        <w:div w:id="1202018588">
          <w:marLeft w:val="640"/>
          <w:marRight w:val="0"/>
          <w:marTop w:val="0"/>
          <w:marBottom w:val="0"/>
          <w:divBdr>
            <w:top w:val="none" w:sz="0" w:space="0" w:color="auto"/>
            <w:left w:val="none" w:sz="0" w:space="0" w:color="auto"/>
            <w:bottom w:val="none" w:sz="0" w:space="0" w:color="auto"/>
            <w:right w:val="none" w:sz="0" w:space="0" w:color="auto"/>
          </w:divBdr>
        </w:div>
        <w:div w:id="1065491917">
          <w:marLeft w:val="640"/>
          <w:marRight w:val="0"/>
          <w:marTop w:val="0"/>
          <w:marBottom w:val="0"/>
          <w:divBdr>
            <w:top w:val="none" w:sz="0" w:space="0" w:color="auto"/>
            <w:left w:val="none" w:sz="0" w:space="0" w:color="auto"/>
            <w:bottom w:val="none" w:sz="0" w:space="0" w:color="auto"/>
            <w:right w:val="none" w:sz="0" w:space="0" w:color="auto"/>
          </w:divBdr>
        </w:div>
        <w:div w:id="715469907">
          <w:marLeft w:val="640"/>
          <w:marRight w:val="0"/>
          <w:marTop w:val="0"/>
          <w:marBottom w:val="0"/>
          <w:divBdr>
            <w:top w:val="none" w:sz="0" w:space="0" w:color="auto"/>
            <w:left w:val="none" w:sz="0" w:space="0" w:color="auto"/>
            <w:bottom w:val="none" w:sz="0" w:space="0" w:color="auto"/>
            <w:right w:val="none" w:sz="0" w:space="0" w:color="auto"/>
          </w:divBdr>
        </w:div>
        <w:div w:id="1924097411">
          <w:marLeft w:val="640"/>
          <w:marRight w:val="0"/>
          <w:marTop w:val="0"/>
          <w:marBottom w:val="0"/>
          <w:divBdr>
            <w:top w:val="none" w:sz="0" w:space="0" w:color="auto"/>
            <w:left w:val="none" w:sz="0" w:space="0" w:color="auto"/>
            <w:bottom w:val="none" w:sz="0" w:space="0" w:color="auto"/>
            <w:right w:val="none" w:sz="0" w:space="0" w:color="auto"/>
          </w:divBdr>
        </w:div>
        <w:div w:id="1972133987">
          <w:marLeft w:val="640"/>
          <w:marRight w:val="0"/>
          <w:marTop w:val="0"/>
          <w:marBottom w:val="0"/>
          <w:divBdr>
            <w:top w:val="none" w:sz="0" w:space="0" w:color="auto"/>
            <w:left w:val="none" w:sz="0" w:space="0" w:color="auto"/>
            <w:bottom w:val="none" w:sz="0" w:space="0" w:color="auto"/>
            <w:right w:val="none" w:sz="0" w:space="0" w:color="auto"/>
          </w:divBdr>
        </w:div>
        <w:div w:id="1997495756">
          <w:marLeft w:val="640"/>
          <w:marRight w:val="0"/>
          <w:marTop w:val="0"/>
          <w:marBottom w:val="0"/>
          <w:divBdr>
            <w:top w:val="none" w:sz="0" w:space="0" w:color="auto"/>
            <w:left w:val="none" w:sz="0" w:space="0" w:color="auto"/>
            <w:bottom w:val="none" w:sz="0" w:space="0" w:color="auto"/>
            <w:right w:val="none" w:sz="0" w:space="0" w:color="auto"/>
          </w:divBdr>
        </w:div>
        <w:div w:id="482354171">
          <w:marLeft w:val="640"/>
          <w:marRight w:val="0"/>
          <w:marTop w:val="0"/>
          <w:marBottom w:val="0"/>
          <w:divBdr>
            <w:top w:val="none" w:sz="0" w:space="0" w:color="auto"/>
            <w:left w:val="none" w:sz="0" w:space="0" w:color="auto"/>
            <w:bottom w:val="none" w:sz="0" w:space="0" w:color="auto"/>
            <w:right w:val="none" w:sz="0" w:space="0" w:color="auto"/>
          </w:divBdr>
        </w:div>
        <w:div w:id="931281899">
          <w:marLeft w:val="640"/>
          <w:marRight w:val="0"/>
          <w:marTop w:val="0"/>
          <w:marBottom w:val="0"/>
          <w:divBdr>
            <w:top w:val="none" w:sz="0" w:space="0" w:color="auto"/>
            <w:left w:val="none" w:sz="0" w:space="0" w:color="auto"/>
            <w:bottom w:val="none" w:sz="0" w:space="0" w:color="auto"/>
            <w:right w:val="none" w:sz="0" w:space="0" w:color="auto"/>
          </w:divBdr>
        </w:div>
        <w:div w:id="625359193">
          <w:marLeft w:val="640"/>
          <w:marRight w:val="0"/>
          <w:marTop w:val="0"/>
          <w:marBottom w:val="0"/>
          <w:divBdr>
            <w:top w:val="none" w:sz="0" w:space="0" w:color="auto"/>
            <w:left w:val="none" w:sz="0" w:space="0" w:color="auto"/>
            <w:bottom w:val="none" w:sz="0" w:space="0" w:color="auto"/>
            <w:right w:val="none" w:sz="0" w:space="0" w:color="auto"/>
          </w:divBdr>
        </w:div>
        <w:div w:id="1843930374">
          <w:marLeft w:val="640"/>
          <w:marRight w:val="0"/>
          <w:marTop w:val="0"/>
          <w:marBottom w:val="0"/>
          <w:divBdr>
            <w:top w:val="none" w:sz="0" w:space="0" w:color="auto"/>
            <w:left w:val="none" w:sz="0" w:space="0" w:color="auto"/>
            <w:bottom w:val="none" w:sz="0" w:space="0" w:color="auto"/>
            <w:right w:val="none" w:sz="0" w:space="0" w:color="auto"/>
          </w:divBdr>
        </w:div>
        <w:div w:id="1340498200">
          <w:marLeft w:val="640"/>
          <w:marRight w:val="0"/>
          <w:marTop w:val="0"/>
          <w:marBottom w:val="0"/>
          <w:divBdr>
            <w:top w:val="none" w:sz="0" w:space="0" w:color="auto"/>
            <w:left w:val="none" w:sz="0" w:space="0" w:color="auto"/>
            <w:bottom w:val="none" w:sz="0" w:space="0" w:color="auto"/>
            <w:right w:val="none" w:sz="0" w:space="0" w:color="auto"/>
          </w:divBdr>
        </w:div>
        <w:div w:id="1414468897">
          <w:marLeft w:val="640"/>
          <w:marRight w:val="0"/>
          <w:marTop w:val="0"/>
          <w:marBottom w:val="0"/>
          <w:divBdr>
            <w:top w:val="none" w:sz="0" w:space="0" w:color="auto"/>
            <w:left w:val="none" w:sz="0" w:space="0" w:color="auto"/>
            <w:bottom w:val="none" w:sz="0" w:space="0" w:color="auto"/>
            <w:right w:val="none" w:sz="0" w:space="0" w:color="auto"/>
          </w:divBdr>
        </w:div>
        <w:div w:id="675308797">
          <w:marLeft w:val="640"/>
          <w:marRight w:val="0"/>
          <w:marTop w:val="0"/>
          <w:marBottom w:val="0"/>
          <w:divBdr>
            <w:top w:val="none" w:sz="0" w:space="0" w:color="auto"/>
            <w:left w:val="none" w:sz="0" w:space="0" w:color="auto"/>
            <w:bottom w:val="none" w:sz="0" w:space="0" w:color="auto"/>
            <w:right w:val="none" w:sz="0" w:space="0" w:color="auto"/>
          </w:divBdr>
        </w:div>
        <w:div w:id="1594896213">
          <w:marLeft w:val="640"/>
          <w:marRight w:val="0"/>
          <w:marTop w:val="0"/>
          <w:marBottom w:val="0"/>
          <w:divBdr>
            <w:top w:val="none" w:sz="0" w:space="0" w:color="auto"/>
            <w:left w:val="none" w:sz="0" w:space="0" w:color="auto"/>
            <w:bottom w:val="none" w:sz="0" w:space="0" w:color="auto"/>
            <w:right w:val="none" w:sz="0" w:space="0" w:color="auto"/>
          </w:divBdr>
        </w:div>
        <w:div w:id="268632243">
          <w:marLeft w:val="640"/>
          <w:marRight w:val="0"/>
          <w:marTop w:val="0"/>
          <w:marBottom w:val="0"/>
          <w:divBdr>
            <w:top w:val="none" w:sz="0" w:space="0" w:color="auto"/>
            <w:left w:val="none" w:sz="0" w:space="0" w:color="auto"/>
            <w:bottom w:val="none" w:sz="0" w:space="0" w:color="auto"/>
            <w:right w:val="none" w:sz="0" w:space="0" w:color="auto"/>
          </w:divBdr>
        </w:div>
        <w:div w:id="1430849127">
          <w:marLeft w:val="640"/>
          <w:marRight w:val="0"/>
          <w:marTop w:val="0"/>
          <w:marBottom w:val="0"/>
          <w:divBdr>
            <w:top w:val="none" w:sz="0" w:space="0" w:color="auto"/>
            <w:left w:val="none" w:sz="0" w:space="0" w:color="auto"/>
            <w:bottom w:val="none" w:sz="0" w:space="0" w:color="auto"/>
            <w:right w:val="none" w:sz="0" w:space="0" w:color="auto"/>
          </w:divBdr>
        </w:div>
        <w:div w:id="932126936">
          <w:marLeft w:val="640"/>
          <w:marRight w:val="0"/>
          <w:marTop w:val="0"/>
          <w:marBottom w:val="0"/>
          <w:divBdr>
            <w:top w:val="none" w:sz="0" w:space="0" w:color="auto"/>
            <w:left w:val="none" w:sz="0" w:space="0" w:color="auto"/>
            <w:bottom w:val="none" w:sz="0" w:space="0" w:color="auto"/>
            <w:right w:val="none" w:sz="0" w:space="0" w:color="auto"/>
          </w:divBdr>
        </w:div>
        <w:div w:id="2072650338">
          <w:marLeft w:val="640"/>
          <w:marRight w:val="0"/>
          <w:marTop w:val="0"/>
          <w:marBottom w:val="0"/>
          <w:divBdr>
            <w:top w:val="none" w:sz="0" w:space="0" w:color="auto"/>
            <w:left w:val="none" w:sz="0" w:space="0" w:color="auto"/>
            <w:bottom w:val="none" w:sz="0" w:space="0" w:color="auto"/>
            <w:right w:val="none" w:sz="0" w:space="0" w:color="auto"/>
          </w:divBdr>
        </w:div>
        <w:div w:id="1812408549">
          <w:marLeft w:val="640"/>
          <w:marRight w:val="0"/>
          <w:marTop w:val="0"/>
          <w:marBottom w:val="0"/>
          <w:divBdr>
            <w:top w:val="none" w:sz="0" w:space="0" w:color="auto"/>
            <w:left w:val="none" w:sz="0" w:space="0" w:color="auto"/>
            <w:bottom w:val="none" w:sz="0" w:space="0" w:color="auto"/>
            <w:right w:val="none" w:sz="0" w:space="0" w:color="auto"/>
          </w:divBdr>
        </w:div>
      </w:divsChild>
    </w:div>
    <w:div w:id="547373489">
      <w:bodyDiv w:val="1"/>
      <w:marLeft w:val="0"/>
      <w:marRight w:val="0"/>
      <w:marTop w:val="0"/>
      <w:marBottom w:val="0"/>
      <w:divBdr>
        <w:top w:val="none" w:sz="0" w:space="0" w:color="auto"/>
        <w:left w:val="none" w:sz="0" w:space="0" w:color="auto"/>
        <w:bottom w:val="none" w:sz="0" w:space="0" w:color="auto"/>
        <w:right w:val="none" w:sz="0" w:space="0" w:color="auto"/>
      </w:divBdr>
      <w:divsChild>
        <w:div w:id="2118215287">
          <w:marLeft w:val="640"/>
          <w:marRight w:val="0"/>
          <w:marTop w:val="0"/>
          <w:marBottom w:val="0"/>
          <w:divBdr>
            <w:top w:val="none" w:sz="0" w:space="0" w:color="auto"/>
            <w:left w:val="none" w:sz="0" w:space="0" w:color="auto"/>
            <w:bottom w:val="none" w:sz="0" w:space="0" w:color="auto"/>
            <w:right w:val="none" w:sz="0" w:space="0" w:color="auto"/>
          </w:divBdr>
        </w:div>
        <w:div w:id="640768921">
          <w:marLeft w:val="640"/>
          <w:marRight w:val="0"/>
          <w:marTop w:val="0"/>
          <w:marBottom w:val="0"/>
          <w:divBdr>
            <w:top w:val="none" w:sz="0" w:space="0" w:color="auto"/>
            <w:left w:val="none" w:sz="0" w:space="0" w:color="auto"/>
            <w:bottom w:val="none" w:sz="0" w:space="0" w:color="auto"/>
            <w:right w:val="none" w:sz="0" w:space="0" w:color="auto"/>
          </w:divBdr>
        </w:div>
        <w:div w:id="1033655287">
          <w:marLeft w:val="640"/>
          <w:marRight w:val="0"/>
          <w:marTop w:val="0"/>
          <w:marBottom w:val="0"/>
          <w:divBdr>
            <w:top w:val="none" w:sz="0" w:space="0" w:color="auto"/>
            <w:left w:val="none" w:sz="0" w:space="0" w:color="auto"/>
            <w:bottom w:val="none" w:sz="0" w:space="0" w:color="auto"/>
            <w:right w:val="none" w:sz="0" w:space="0" w:color="auto"/>
          </w:divBdr>
        </w:div>
        <w:div w:id="655719694">
          <w:marLeft w:val="640"/>
          <w:marRight w:val="0"/>
          <w:marTop w:val="0"/>
          <w:marBottom w:val="0"/>
          <w:divBdr>
            <w:top w:val="none" w:sz="0" w:space="0" w:color="auto"/>
            <w:left w:val="none" w:sz="0" w:space="0" w:color="auto"/>
            <w:bottom w:val="none" w:sz="0" w:space="0" w:color="auto"/>
            <w:right w:val="none" w:sz="0" w:space="0" w:color="auto"/>
          </w:divBdr>
        </w:div>
        <w:div w:id="584145533">
          <w:marLeft w:val="640"/>
          <w:marRight w:val="0"/>
          <w:marTop w:val="0"/>
          <w:marBottom w:val="0"/>
          <w:divBdr>
            <w:top w:val="none" w:sz="0" w:space="0" w:color="auto"/>
            <w:left w:val="none" w:sz="0" w:space="0" w:color="auto"/>
            <w:bottom w:val="none" w:sz="0" w:space="0" w:color="auto"/>
            <w:right w:val="none" w:sz="0" w:space="0" w:color="auto"/>
          </w:divBdr>
        </w:div>
        <w:div w:id="723411769">
          <w:marLeft w:val="640"/>
          <w:marRight w:val="0"/>
          <w:marTop w:val="0"/>
          <w:marBottom w:val="0"/>
          <w:divBdr>
            <w:top w:val="none" w:sz="0" w:space="0" w:color="auto"/>
            <w:left w:val="none" w:sz="0" w:space="0" w:color="auto"/>
            <w:bottom w:val="none" w:sz="0" w:space="0" w:color="auto"/>
            <w:right w:val="none" w:sz="0" w:space="0" w:color="auto"/>
          </w:divBdr>
        </w:div>
        <w:div w:id="2061973432">
          <w:marLeft w:val="640"/>
          <w:marRight w:val="0"/>
          <w:marTop w:val="0"/>
          <w:marBottom w:val="0"/>
          <w:divBdr>
            <w:top w:val="none" w:sz="0" w:space="0" w:color="auto"/>
            <w:left w:val="none" w:sz="0" w:space="0" w:color="auto"/>
            <w:bottom w:val="none" w:sz="0" w:space="0" w:color="auto"/>
            <w:right w:val="none" w:sz="0" w:space="0" w:color="auto"/>
          </w:divBdr>
        </w:div>
        <w:div w:id="1041711326">
          <w:marLeft w:val="640"/>
          <w:marRight w:val="0"/>
          <w:marTop w:val="0"/>
          <w:marBottom w:val="0"/>
          <w:divBdr>
            <w:top w:val="none" w:sz="0" w:space="0" w:color="auto"/>
            <w:left w:val="none" w:sz="0" w:space="0" w:color="auto"/>
            <w:bottom w:val="none" w:sz="0" w:space="0" w:color="auto"/>
            <w:right w:val="none" w:sz="0" w:space="0" w:color="auto"/>
          </w:divBdr>
        </w:div>
        <w:div w:id="294259294">
          <w:marLeft w:val="640"/>
          <w:marRight w:val="0"/>
          <w:marTop w:val="0"/>
          <w:marBottom w:val="0"/>
          <w:divBdr>
            <w:top w:val="none" w:sz="0" w:space="0" w:color="auto"/>
            <w:left w:val="none" w:sz="0" w:space="0" w:color="auto"/>
            <w:bottom w:val="none" w:sz="0" w:space="0" w:color="auto"/>
            <w:right w:val="none" w:sz="0" w:space="0" w:color="auto"/>
          </w:divBdr>
        </w:div>
        <w:div w:id="1541166146">
          <w:marLeft w:val="640"/>
          <w:marRight w:val="0"/>
          <w:marTop w:val="0"/>
          <w:marBottom w:val="0"/>
          <w:divBdr>
            <w:top w:val="none" w:sz="0" w:space="0" w:color="auto"/>
            <w:left w:val="none" w:sz="0" w:space="0" w:color="auto"/>
            <w:bottom w:val="none" w:sz="0" w:space="0" w:color="auto"/>
            <w:right w:val="none" w:sz="0" w:space="0" w:color="auto"/>
          </w:divBdr>
        </w:div>
        <w:div w:id="1557350597">
          <w:marLeft w:val="640"/>
          <w:marRight w:val="0"/>
          <w:marTop w:val="0"/>
          <w:marBottom w:val="0"/>
          <w:divBdr>
            <w:top w:val="none" w:sz="0" w:space="0" w:color="auto"/>
            <w:left w:val="none" w:sz="0" w:space="0" w:color="auto"/>
            <w:bottom w:val="none" w:sz="0" w:space="0" w:color="auto"/>
            <w:right w:val="none" w:sz="0" w:space="0" w:color="auto"/>
          </w:divBdr>
        </w:div>
        <w:div w:id="1615480954">
          <w:marLeft w:val="640"/>
          <w:marRight w:val="0"/>
          <w:marTop w:val="0"/>
          <w:marBottom w:val="0"/>
          <w:divBdr>
            <w:top w:val="none" w:sz="0" w:space="0" w:color="auto"/>
            <w:left w:val="none" w:sz="0" w:space="0" w:color="auto"/>
            <w:bottom w:val="none" w:sz="0" w:space="0" w:color="auto"/>
            <w:right w:val="none" w:sz="0" w:space="0" w:color="auto"/>
          </w:divBdr>
        </w:div>
        <w:div w:id="600187316">
          <w:marLeft w:val="640"/>
          <w:marRight w:val="0"/>
          <w:marTop w:val="0"/>
          <w:marBottom w:val="0"/>
          <w:divBdr>
            <w:top w:val="none" w:sz="0" w:space="0" w:color="auto"/>
            <w:left w:val="none" w:sz="0" w:space="0" w:color="auto"/>
            <w:bottom w:val="none" w:sz="0" w:space="0" w:color="auto"/>
            <w:right w:val="none" w:sz="0" w:space="0" w:color="auto"/>
          </w:divBdr>
        </w:div>
        <w:div w:id="1447508572">
          <w:marLeft w:val="640"/>
          <w:marRight w:val="0"/>
          <w:marTop w:val="0"/>
          <w:marBottom w:val="0"/>
          <w:divBdr>
            <w:top w:val="none" w:sz="0" w:space="0" w:color="auto"/>
            <w:left w:val="none" w:sz="0" w:space="0" w:color="auto"/>
            <w:bottom w:val="none" w:sz="0" w:space="0" w:color="auto"/>
            <w:right w:val="none" w:sz="0" w:space="0" w:color="auto"/>
          </w:divBdr>
        </w:div>
        <w:div w:id="432358558">
          <w:marLeft w:val="640"/>
          <w:marRight w:val="0"/>
          <w:marTop w:val="0"/>
          <w:marBottom w:val="0"/>
          <w:divBdr>
            <w:top w:val="none" w:sz="0" w:space="0" w:color="auto"/>
            <w:left w:val="none" w:sz="0" w:space="0" w:color="auto"/>
            <w:bottom w:val="none" w:sz="0" w:space="0" w:color="auto"/>
            <w:right w:val="none" w:sz="0" w:space="0" w:color="auto"/>
          </w:divBdr>
        </w:div>
        <w:div w:id="2118334149">
          <w:marLeft w:val="640"/>
          <w:marRight w:val="0"/>
          <w:marTop w:val="0"/>
          <w:marBottom w:val="0"/>
          <w:divBdr>
            <w:top w:val="none" w:sz="0" w:space="0" w:color="auto"/>
            <w:left w:val="none" w:sz="0" w:space="0" w:color="auto"/>
            <w:bottom w:val="none" w:sz="0" w:space="0" w:color="auto"/>
            <w:right w:val="none" w:sz="0" w:space="0" w:color="auto"/>
          </w:divBdr>
        </w:div>
        <w:div w:id="1957635784">
          <w:marLeft w:val="640"/>
          <w:marRight w:val="0"/>
          <w:marTop w:val="0"/>
          <w:marBottom w:val="0"/>
          <w:divBdr>
            <w:top w:val="none" w:sz="0" w:space="0" w:color="auto"/>
            <w:left w:val="none" w:sz="0" w:space="0" w:color="auto"/>
            <w:bottom w:val="none" w:sz="0" w:space="0" w:color="auto"/>
            <w:right w:val="none" w:sz="0" w:space="0" w:color="auto"/>
          </w:divBdr>
        </w:div>
        <w:div w:id="2018534094">
          <w:marLeft w:val="640"/>
          <w:marRight w:val="0"/>
          <w:marTop w:val="0"/>
          <w:marBottom w:val="0"/>
          <w:divBdr>
            <w:top w:val="none" w:sz="0" w:space="0" w:color="auto"/>
            <w:left w:val="none" w:sz="0" w:space="0" w:color="auto"/>
            <w:bottom w:val="none" w:sz="0" w:space="0" w:color="auto"/>
            <w:right w:val="none" w:sz="0" w:space="0" w:color="auto"/>
          </w:divBdr>
        </w:div>
        <w:div w:id="1291083487">
          <w:marLeft w:val="640"/>
          <w:marRight w:val="0"/>
          <w:marTop w:val="0"/>
          <w:marBottom w:val="0"/>
          <w:divBdr>
            <w:top w:val="none" w:sz="0" w:space="0" w:color="auto"/>
            <w:left w:val="none" w:sz="0" w:space="0" w:color="auto"/>
            <w:bottom w:val="none" w:sz="0" w:space="0" w:color="auto"/>
            <w:right w:val="none" w:sz="0" w:space="0" w:color="auto"/>
          </w:divBdr>
        </w:div>
        <w:div w:id="661812797">
          <w:marLeft w:val="640"/>
          <w:marRight w:val="0"/>
          <w:marTop w:val="0"/>
          <w:marBottom w:val="0"/>
          <w:divBdr>
            <w:top w:val="none" w:sz="0" w:space="0" w:color="auto"/>
            <w:left w:val="none" w:sz="0" w:space="0" w:color="auto"/>
            <w:bottom w:val="none" w:sz="0" w:space="0" w:color="auto"/>
            <w:right w:val="none" w:sz="0" w:space="0" w:color="auto"/>
          </w:divBdr>
        </w:div>
        <w:div w:id="1591884978">
          <w:marLeft w:val="640"/>
          <w:marRight w:val="0"/>
          <w:marTop w:val="0"/>
          <w:marBottom w:val="0"/>
          <w:divBdr>
            <w:top w:val="none" w:sz="0" w:space="0" w:color="auto"/>
            <w:left w:val="none" w:sz="0" w:space="0" w:color="auto"/>
            <w:bottom w:val="none" w:sz="0" w:space="0" w:color="auto"/>
            <w:right w:val="none" w:sz="0" w:space="0" w:color="auto"/>
          </w:divBdr>
        </w:div>
        <w:div w:id="234777013">
          <w:marLeft w:val="640"/>
          <w:marRight w:val="0"/>
          <w:marTop w:val="0"/>
          <w:marBottom w:val="0"/>
          <w:divBdr>
            <w:top w:val="none" w:sz="0" w:space="0" w:color="auto"/>
            <w:left w:val="none" w:sz="0" w:space="0" w:color="auto"/>
            <w:bottom w:val="none" w:sz="0" w:space="0" w:color="auto"/>
            <w:right w:val="none" w:sz="0" w:space="0" w:color="auto"/>
          </w:divBdr>
        </w:div>
        <w:div w:id="1239052865">
          <w:marLeft w:val="640"/>
          <w:marRight w:val="0"/>
          <w:marTop w:val="0"/>
          <w:marBottom w:val="0"/>
          <w:divBdr>
            <w:top w:val="none" w:sz="0" w:space="0" w:color="auto"/>
            <w:left w:val="none" w:sz="0" w:space="0" w:color="auto"/>
            <w:bottom w:val="none" w:sz="0" w:space="0" w:color="auto"/>
            <w:right w:val="none" w:sz="0" w:space="0" w:color="auto"/>
          </w:divBdr>
        </w:div>
        <w:div w:id="1663582684">
          <w:marLeft w:val="640"/>
          <w:marRight w:val="0"/>
          <w:marTop w:val="0"/>
          <w:marBottom w:val="0"/>
          <w:divBdr>
            <w:top w:val="none" w:sz="0" w:space="0" w:color="auto"/>
            <w:left w:val="none" w:sz="0" w:space="0" w:color="auto"/>
            <w:bottom w:val="none" w:sz="0" w:space="0" w:color="auto"/>
            <w:right w:val="none" w:sz="0" w:space="0" w:color="auto"/>
          </w:divBdr>
        </w:div>
        <w:div w:id="1609657382">
          <w:marLeft w:val="640"/>
          <w:marRight w:val="0"/>
          <w:marTop w:val="0"/>
          <w:marBottom w:val="0"/>
          <w:divBdr>
            <w:top w:val="none" w:sz="0" w:space="0" w:color="auto"/>
            <w:left w:val="none" w:sz="0" w:space="0" w:color="auto"/>
            <w:bottom w:val="none" w:sz="0" w:space="0" w:color="auto"/>
            <w:right w:val="none" w:sz="0" w:space="0" w:color="auto"/>
          </w:divBdr>
        </w:div>
        <w:div w:id="432360896">
          <w:marLeft w:val="640"/>
          <w:marRight w:val="0"/>
          <w:marTop w:val="0"/>
          <w:marBottom w:val="0"/>
          <w:divBdr>
            <w:top w:val="none" w:sz="0" w:space="0" w:color="auto"/>
            <w:left w:val="none" w:sz="0" w:space="0" w:color="auto"/>
            <w:bottom w:val="none" w:sz="0" w:space="0" w:color="auto"/>
            <w:right w:val="none" w:sz="0" w:space="0" w:color="auto"/>
          </w:divBdr>
        </w:div>
        <w:div w:id="1764302265">
          <w:marLeft w:val="640"/>
          <w:marRight w:val="0"/>
          <w:marTop w:val="0"/>
          <w:marBottom w:val="0"/>
          <w:divBdr>
            <w:top w:val="none" w:sz="0" w:space="0" w:color="auto"/>
            <w:left w:val="none" w:sz="0" w:space="0" w:color="auto"/>
            <w:bottom w:val="none" w:sz="0" w:space="0" w:color="auto"/>
            <w:right w:val="none" w:sz="0" w:space="0" w:color="auto"/>
          </w:divBdr>
        </w:div>
        <w:div w:id="1810854039">
          <w:marLeft w:val="640"/>
          <w:marRight w:val="0"/>
          <w:marTop w:val="0"/>
          <w:marBottom w:val="0"/>
          <w:divBdr>
            <w:top w:val="none" w:sz="0" w:space="0" w:color="auto"/>
            <w:left w:val="none" w:sz="0" w:space="0" w:color="auto"/>
            <w:bottom w:val="none" w:sz="0" w:space="0" w:color="auto"/>
            <w:right w:val="none" w:sz="0" w:space="0" w:color="auto"/>
          </w:divBdr>
        </w:div>
        <w:div w:id="1851094123">
          <w:marLeft w:val="640"/>
          <w:marRight w:val="0"/>
          <w:marTop w:val="0"/>
          <w:marBottom w:val="0"/>
          <w:divBdr>
            <w:top w:val="none" w:sz="0" w:space="0" w:color="auto"/>
            <w:left w:val="none" w:sz="0" w:space="0" w:color="auto"/>
            <w:bottom w:val="none" w:sz="0" w:space="0" w:color="auto"/>
            <w:right w:val="none" w:sz="0" w:space="0" w:color="auto"/>
          </w:divBdr>
        </w:div>
        <w:div w:id="701058294">
          <w:marLeft w:val="640"/>
          <w:marRight w:val="0"/>
          <w:marTop w:val="0"/>
          <w:marBottom w:val="0"/>
          <w:divBdr>
            <w:top w:val="none" w:sz="0" w:space="0" w:color="auto"/>
            <w:left w:val="none" w:sz="0" w:space="0" w:color="auto"/>
            <w:bottom w:val="none" w:sz="0" w:space="0" w:color="auto"/>
            <w:right w:val="none" w:sz="0" w:space="0" w:color="auto"/>
          </w:divBdr>
        </w:div>
        <w:div w:id="709571868">
          <w:marLeft w:val="640"/>
          <w:marRight w:val="0"/>
          <w:marTop w:val="0"/>
          <w:marBottom w:val="0"/>
          <w:divBdr>
            <w:top w:val="none" w:sz="0" w:space="0" w:color="auto"/>
            <w:left w:val="none" w:sz="0" w:space="0" w:color="auto"/>
            <w:bottom w:val="none" w:sz="0" w:space="0" w:color="auto"/>
            <w:right w:val="none" w:sz="0" w:space="0" w:color="auto"/>
          </w:divBdr>
        </w:div>
        <w:div w:id="1435634937">
          <w:marLeft w:val="640"/>
          <w:marRight w:val="0"/>
          <w:marTop w:val="0"/>
          <w:marBottom w:val="0"/>
          <w:divBdr>
            <w:top w:val="none" w:sz="0" w:space="0" w:color="auto"/>
            <w:left w:val="none" w:sz="0" w:space="0" w:color="auto"/>
            <w:bottom w:val="none" w:sz="0" w:space="0" w:color="auto"/>
            <w:right w:val="none" w:sz="0" w:space="0" w:color="auto"/>
          </w:divBdr>
        </w:div>
        <w:div w:id="1741370404">
          <w:marLeft w:val="640"/>
          <w:marRight w:val="0"/>
          <w:marTop w:val="0"/>
          <w:marBottom w:val="0"/>
          <w:divBdr>
            <w:top w:val="none" w:sz="0" w:space="0" w:color="auto"/>
            <w:left w:val="none" w:sz="0" w:space="0" w:color="auto"/>
            <w:bottom w:val="none" w:sz="0" w:space="0" w:color="auto"/>
            <w:right w:val="none" w:sz="0" w:space="0" w:color="auto"/>
          </w:divBdr>
        </w:div>
        <w:div w:id="2091197381">
          <w:marLeft w:val="640"/>
          <w:marRight w:val="0"/>
          <w:marTop w:val="0"/>
          <w:marBottom w:val="0"/>
          <w:divBdr>
            <w:top w:val="none" w:sz="0" w:space="0" w:color="auto"/>
            <w:left w:val="none" w:sz="0" w:space="0" w:color="auto"/>
            <w:bottom w:val="none" w:sz="0" w:space="0" w:color="auto"/>
            <w:right w:val="none" w:sz="0" w:space="0" w:color="auto"/>
          </w:divBdr>
        </w:div>
        <w:div w:id="571044879">
          <w:marLeft w:val="640"/>
          <w:marRight w:val="0"/>
          <w:marTop w:val="0"/>
          <w:marBottom w:val="0"/>
          <w:divBdr>
            <w:top w:val="none" w:sz="0" w:space="0" w:color="auto"/>
            <w:left w:val="none" w:sz="0" w:space="0" w:color="auto"/>
            <w:bottom w:val="none" w:sz="0" w:space="0" w:color="auto"/>
            <w:right w:val="none" w:sz="0" w:space="0" w:color="auto"/>
          </w:divBdr>
        </w:div>
        <w:div w:id="130632432">
          <w:marLeft w:val="640"/>
          <w:marRight w:val="0"/>
          <w:marTop w:val="0"/>
          <w:marBottom w:val="0"/>
          <w:divBdr>
            <w:top w:val="none" w:sz="0" w:space="0" w:color="auto"/>
            <w:left w:val="none" w:sz="0" w:space="0" w:color="auto"/>
            <w:bottom w:val="none" w:sz="0" w:space="0" w:color="auto"/>
            <w:right w:val="none" w:sz="0" w:space="0" w:color="auto"/>
          </w:divBdr>
        </w:div>
        <w:div w:id="57481062">
          <w:marLeft w:val="640"/>
          <w:marRight w:val="0"/>
          <w:marTop w:val="0"/>
          <w:marBottom w:val="0"/>
          <w:divBdr>
            <w:top w:val="none" w:sz="0" w:space="0" w:color="auto"/>
            <w:left w:val="none" w:sz="0" w:space="0" w:color="auto"/>
            <w:bottom w:val="none" w:sz="0" w:space="0" w:color="auto"/>
            <w:right w:val="none" w:sz="0" w:space="0" w:color="auto"/>
          </w:divBdr>
        </w:div>
        <w:div w:id="679429858">
          <w:marLeft w:val="640"/>
          <w:marRight w:val="0"/>
          <w:marTop w:val="0"/>
          <w:marBottom w:val="0"/>
          <w:divBdr>
            <w:top w:val="none" w:sz="0" w:space="0" w:color="auto"/>
            <w:left w:val="none" w:sz="0" w:space="0" w:color="auto"/>
            <w:bottom w:val="none" w:sz="0" w:space="0" w:color="auto"/>
            <w:right w:val="none" w:sz="0" w:space="0" w:color="auto"/>
          </w:divBdr>
        </w:div>
        <w:div w:id="1208298339">
          <w:marLeft w:val="640"/>
          <w:marRight w:val="0"/>
          <w:marTop w:val="0"/>
          <w:marBottom w:val="0"/>
          <w:divBdr>
            <w:top w:val="none" w:sz="0" w:space="0" w:color="auto"/>
            <w:left w:val="none" w:sz="0" w:space="0" w:color="auto"/>
            <w:bottom w:val="none" w:sz="0" w:space="0" w:color="auto"/>
            <w:right w:val="none" w:sz="0" w:space="0" w:color="auto"/>
          </w:divBdr>
        </w:div>
        <w:div w:id="1135636765">
          <w:marLeft w:val="640"/>
          <w:marRight w:val="0"/>
          <w:marTop w:val="0"/>
          <w:marBottom w:val="0"/>
          <w:divBdr>
            <w:top w:val="none" w:sz="0" w:space="0" w:color="auto"/>
            <w:left w:val="none" w:sz="0" w:space="0" w:color="auto"/>
            <w:bottom w:val="none" w:sz="0" w:space="0" w:color="auto"/>
            <w:right w:val="none" w:sz="0" w:space="0" w:color="auto"/>
          </w:divBdr>
        </w:div>
        <w:div w:id="411702862">
          <w:marLeft w:val="640"/>
          <w:marRight w:val="0"/>
          <w:marTop w:val="0"/>
          <w:marBottom w:val="0"/>
          <w:divBdr>
            <w:top w:val="none" w:sz="0" w:space="0" w:color="auto"/>
            <w:left w:val="none" w:sz="0" w:space="0" w:color="auto"/>
            <w:bottom w:val="none" w:sz="0" w:space="0" w:color="auto"/>
            <w:right w:val="none" w:sz="0" w:space="0" w:color="auto"/>
          </w:divBdr>
        </w:div>
        <w:div w:id="1939940721">
          <w:marLeft w:val="640"/>
          <w:marRight w:val="0"/>
          <w:marTop w:val="0"/>
          <w:marBottom w:val="0"/>
          <w:divBdr>
            <w:top w:val="none" w:sz="0" w:space="0" w:color="auto"/>
            <w:left w:val="none" w:sz="0" w:space="0" w:color="auto"/>
            <w:bottom w:val="none" w:sz="0" w:space="0" w:color="auto"/>
            <w:right w:val="none" w:sz="0" w:space="0" w:color="auto"/>
          </w:divBdr>
        </w:div>
        <w:div w:id="583077083">
          <w:marLeft w:val="640"/>
          <w:marRight w:val="0"/>
          <w:marTop w:val="0"/>
          <w:marBottom w:val="0"/>
          <w:divBdr>
            <w:top w:val="none" w:sz="0" w:space="0" w:color="auto"/>
            <w:left w:val="none" w:sz="0" w:space="0" w:color="auto"/>
            <w:bottom w:val="none" w:sz="0" w:space="0" w:color="auto"/>
            <w:right w:val="none" w:sz="0" w:space="0" w:color="auto"/>
          </w:divBdr>
        </w:div>
        <w:div w:id="1259867744">
          <w:marLeft w:val="640"/>
          <w:marRight w:val="0"/>
          <w:marTop w:val="0"/>
          <w:marBottom w:val="0"/>
          <w:divBdr>
            <w:top w:val="none" w:sz="0" w:space="0" w:color="auto"/>
            <w:left w:val="none" w:sz="0" w:space="0" w:color="auto"/>
            <w:bottom w:val="none" w:sz="0" w:space="0" w:color="auto"/>
            <w:right w:val="none" w:sz="0" w:space="0" w:color="auto"/>
          </w:divBdr>
        </w:div>
        <w:div w:id="1319936">
          <w:marLeft w:val="640"/>
          <w:marRight w:val="0"/>
          <w:marTop w:val="0"/>
          <w:marBottom w:val="0"/>
          <w:divBdr>
            <w:top w:val="none" w:sz="0" w:space="0" w:color="auto"/>
            <w:left w:val="none" w:sz="0" w:space="0" w:color="auto"/>
            <w:bottom w:val="none" w:sz="0" w:space="0" w:color="auto"/>
            <w:right w:val="none" w:sz="0" w:space="0" w:color="auto"/>
          </w:divBdr>
        </w:div>
        <w:div w:id="888687144">
          <w:marLeft w:val="640"/>
          <w:marRight w:val="0"/>
          <w:marTop w:val="0"/>
          <w:marBottom w:val="0"/>
          <w:divBdr>
            <w:top w:val="none" w:sz="0" w:space="0" w:color="auto"/>
            <w:left w:val="none" w:sz="0" w:space="0" w:color="auto"/>
            <w:bottom w:val="none" w:sz="0" w:space="0" w:color="auto"/>
            <w:right w:val="none" w:sz="0" w:space="0" w:color="auto"/>
          </w:divBdr>
        </w:div>
        <w:div w:id="954403058">
          <w:marLeft w:val="640"/>
          <w:marRight w:val="0"/>
          <w:marTop w:val="0"/>
          <w:marBottom w:val="0"/>
          <w:divBdr>
            <w:top w:val="none" w:sz="0" w:space="0" w:color="auto"/>
            <w:left w:val="none" w:sz="0" w:space="0" w:color="auto"/>
            <w:bottom w:val="none" w:sz="0" w:space="0" w:color="auto"/>
            <w:right w:val="none" w:sz="0" w:space="0" w:color="auto"/>
          </w:divBdr>
        </w:div>
        <w:div w:id="882903321">
          <w:marLeft w:val="640"/>
          <w:marRight w:val="0"/>
          <w:marTop w:val="0"/>
          <w:marBottom w:val="0"/>
          <w:divBdr>
            <w:top w:val="none" w:sz="0" w:space="0" w:color="auto"/>
            <w:left w:val="none" w:sz="0" w:space="0" w:color="auto"/>
            <w:bottom w:val="none" w:sz="0" w:space="0" w:color="auto"/>
            <w:right w:val="none" w:sz="0" w:space="0" w:color="auto"/>
          </w:divBdr>
        </w:div>
        <w:div w:id="1756512540">
          <w:marLeft w:val="640"/>
          <w:marRight w:val="0"/>
          <w:marTop w:val="0"/>
          <w:marBottom w:val="0"/>
          <w:divBdr>
            <w:top w:val="none" w:sz="0" w:space="0" w:color="auto"/>
            <w:left w:val="none" w:sz="0" w:space="0" w:color="auto"/>
            <w:bottom w:val="none" w:sz="0" w:space="0" w:color="auto"/>
            <w:right w:val="none" w:sz="0" w:space="0" w:color="auto"/>
          </w:divBdr>
        </w:div>
        <w:div w:id="178355750">
          <w:marLeft w:val="640"/>
          <w:marRight w:val="0"/>
          <w:marTop w:val="0"/>
          <w:marBottom w:val="0"/>
          <w:divBdr>
            <w:top w:val="none" w:sz="0" w:space="0" w:color="auto"/>
            <w:left w:val="none" w:sz="0" w:space="0" w:color="auto"/>
            <w:bottom w:val="none" w:sz="0" w:space="0" w:color="auto"/>
            <w:right w:val="none" w:sz="0" w:space="0" w:color="auto"/>
          </w:divBdr>
        </w:div>
        <w:div w:id="1608349727">
          <w:marLeft w:val="640"/>
          <w:marRight w:val="0"/>
          <w:marTop w:val="0"/>
          <w:marBottom w:val="0"/>
          <w:divBdr>
            <w:top w:val="none" w:sz="0" w:space="0" w:color="auto"/>
            <w:left w:val="none" w:sz="0" w:space="0" w:color="auto"/>
            <w:bottom w:val="none" w:sz="0" w:space="0" w:color="auto"/>
            <w:right w:val="none" w:sz="0" w:space="0" w:color="auto"/>
          </w:divBdr>
        </w:div>
        <w:div w:id="978998166">
          <w:marLeft w:val="640"/>
          <w:marRight w:val="0"/>
          <w:marTop w:val="0"/>
          <w:marBottom w:val="0"/>
          <w:divBdr>
            <w:top w:val="none" w:sz="0" w:space="0" w:color="auto"/>
            <w:left w:val="none" w:sz="0" w:space="0" w:color="auto"/>
            <w:bottom w:val="none" w:sz="0" w:space="0" w:color="auto"/>
            <w:right w:val="none" w:sz="0" w:space="0" w:color="auto"/>
          </w:divBdr>
        </w:div>
        <w:div w:id="1763598735">
          <w:marLeft w:val="640"/>
          <w:marRight w:val="0"/>
          <w:marTop w:val="0"/>
          <w:marBottom w:val="0"/>
          <w:divBdr>
            <w:top w:val="none" w:sz="0" w:space="0" w:color="auto"/>
            <w:left w:val="none" w:sz="0" w:space="0" w:color="auto"/>
            <w:bottom w:val="none" w:sz="0" w:space="0" w:color="auto"/>
            <w:right w:val="none" w:sz="0" w:space="0" w:color="auto"/>
          </w:divBdr>
        </w:div>
        <w:div w:id="1335955475">
          <w:marLeft w:val="640"/>
          <w:marRight w:val="0"/>
          <w:marTop w:val="0"/>
          <w:marBottom w:val="0"/>
          <w:divBdr>
            <w:top w:val="none" w:sz="0" w:space="0" w:color="auto"/>
            <w:left w:val="none" w:sz="0" w:space="0" w:color="auto"/>
            <w:bottom w:val="none" w:sz="0" w:space="0" w:color="auto"/>
            <w:right w:val="none" w:sz="0" w:space="0" w:color="auto"/>
          </w:divBdr>
        </w:div>
        <w:div w:id="1913391325">
          <w:marLeft w:val="640"/>
          <w:marRight w:val="0"/>
          <w:marTop w:val="0"/>
          <w:marBottom w:val="0"/>
          <w:divBdr>
            <w:top w:val="none" w:sz="0" w:space="0" w:color="auto"/>
            <w:left w:val="none" w:sz="0" w:space="0" w:color="auto"/>
            <w:bottom w:val="none" w:sz="0" w:space="0" w:color="auto"/>
            <w:right w:val="none" w:sz="0" w:space="0" w:color="auto"/>
          </w:divBdr>
        </w:div>
        <w:div w:id="1441146101">
          <w:marLeft w:val="640"/>
          <w:marRight w:val="0"/>
          <w:marTop w:val="0"/>
          <w:marBottom w:val="0"/>
          <w:divBdr>
            <w:top w:val="none" w:sz="0" w:space="0" w:color="auto"/>
            <w:left w:val="none" w:sz="0" w:space="0" w:color="auto"/>
            <w:bottom w:val="none" w:sz="0" w:space="0" w:color="auto"/>
            <w:right w:val="none" w:sz="0" w:space="0" w:color="auto"/>
          </w:divBdr>
        </w:div>
        <w:div w:id="238447361">
          <w:marLeft w:val="640"/>
          <w:marRight w:val="0"/>
          <w:marTop w:val="0"/>
          <w:marBottom w:val="0"/>
          <w:divBdr>
            <w:top w:val="none" w:sz="0" w:space="0" w:color="auto"/>
            <w:left w:val="none" w:sz="0" w:space="0" w:color="auto"/>
            <w:bottom w:val="none" w:sz="0" w:space="0" w:color="auto"/>
            <w:right w:val="none" w:sz="0" w:space="0" w:color="auto"/>
          </w:divBdr>
        </w:div>
        <w:div w:id="1589727274">
          <w:marLeft w:val="640"/>
          <w:marRight w:val="0"/>
          <w:marTop w:val="0"/>
          <w:marBottom w:val="0"/>
          <w:divBdr>
            <w:top w:val="none" w:sz="0" w:space="0" w:color="auto"/>
            <w:left w:val="none" w:sz="0" w:space="0" w:color="auto"/>
            <w:bottom w:val="none" w:sz="0" w:space="0" w:color="auto"/>
            <w:right w:val="none" w:sz="0" w:space="0" w:color="auto"/>
          </w:divBdr>
        </w:div>
        <w:div w:id="584342563">
          <w:marLeft w:val="640"/>
          <w:marRight w:val="0"/>
          <w:marTop w:val="0"/>
          <w:marBottom w:val="0"/>
          <w:divBdr>
            <w:top w:val="none" w:sz="0" w:space="0" w:color="auto"/>
            <w:left w:val="none" w:sz="0" w:space="0" w:color="auto"/>
            <w:bottom w:val="none" w:sz="0" w:space="0" w:color="auto"/>
            <w:right w:val="none" w:sz="0" w:space="0" w:color="auto"/>
          </w:divBdr>
        </w:div>
        <w:div w:id="1874073066">
          <w:marLeft w:val="640"/>
          <w:marRight w:val="0"/>
          <w:marTop w:val="0"/>
          <w:marBottom w:val="0"/>
          <w:divBdr>
            <w:top w:val="none" w:sz="0" w:space="0" w:color="auto"/>
            <w:left w:val="none" w:sz="0" w:space="0" w:color="auto"/>
            <w:bottom w:val="none" w:sz="0" w:space="0" w:color="auto"/>
            <w:right w:val="none" w:sz="0" w:space="0" w:color="auto"/>
          </w:divBdr>
        </w:div>
        <w:div w:id="676732533">
          <w:marLeft w:val="640"/>
          <w:marRight w:val="0"/>
          <w:marTop w:val="0"/>
          <w:marBottom w:val="0"/>
          <w:divBdr>
            <w:top w:val="none" w:sz="0" w:space="0" w:color="auto"/>
            <w:left w:val="none" w:sz="0" w:space="0" w:color="auto"/>
            <w:bottom w:val="none" w:sz="0" w:space="0" w:color="auto"/>
            <w:right w:val="none" w:sz="0" w:space="0" w:color="auto"/>
          </w:divBdr>
        </w:div>
        <w:div w:id="169028381">
          <w:marLeft w:val="640"/>
          <w:marRight w:val="0"/>
          <w:marTop w:val="0"/>
          <w:marBottom w:val="0"/>
          <w:divBdr>
            <w:top w:val="none" w:sz="0" w:space="0" w:color="auto"/>
            <w:left w:val="none" w:sz="0" w:space="0" w:color="auto"/>
            <w:bottom w:val="none" w:sz="0" w:space="0" w:color="auto"/>
            <w:right w:val="none" w:sz="0" w:space="0" w:color="auto"/>
          </w:divBdr>
        </w:div>
        <w:div w:id="1310138076">
          <w:marLeft w:val="640"/>
          <w:marRight w:val="0"/>
          <w:marTop w:val="0"/>
          <w:marBottom w:val="0"/>
          <w:divBdr>
            <w:top w:val="none" w:sz="0" w:space="0" w:color="auto"/>
            <w:left w:val="none" w:sz="0" w:space="0" w:color="auto"/>
            <w:bottom w:val="none" w:sz="0" w:space="0" w:color="auto"/>
            <w:right w:val="none" w:sz="0" w:space="0" w:color="auto"/>
          </w:divBdr>
        </w:div>
        <w:div w:id="149559392">
          <w:marLeft w:val="640"/>
          <w:marRight w:val="0"/>
          <w:marTop w:val="0"/>
          <w:marBottom w:val="0"/>
          <w:divBdr>
            <w:top w:val="none" w:sz="0" w:space="0" w:color="auto"/>
            <w:left w:val="none" w:sz="0" w:space="0" w:color="auto"/>
            <w:bottom w:val="none" w:sz="0" w:space="0" w:color="auto"/>
            <w:right w:val="none" w:sz="0" w:space="0" w:color="auto"/>
          </w:divBdr>
        </w:div>
        <w:div w:id="1833907318">
          <w:marLeft w:val="640"/>
          <w:marRight w:val="0"/>
          <w:marTop w:val="0"/>
          <w:marBottom w:val="0"/>
          <w:divBdr>
            <w:top w:val="none" w:sz="0" w:space="0" w:color="auto"/>
            <w:left w:val="none" w:sz="0" w:space="0" w:color="auto"/>
            <w:bottom w:val="none" w:sz="0" w:space="0" w:color="auto"/>
            <w:right w:val="none" w:sz="0" w:space="0" w:color="auto"/>
          </w:divBdr>
        </w:div>
        <w:div w:id="1328245005">
          <w:marLeft w:val="640"/>
          <w:marRight w:val="0"/>
          <w:marTop w:val="0"/>
          <w:marBottom w:val="0"/>
          <w:divBdr>
            <w:top w:val="none" w:sz="0" w:space="0" w:color="auto"/>
            <w:left w:val="none" w:sz="0" w:space="0" w:color="auto"/>
            <w:bottom w:val="none" w:sz="0" w:space="0" w:color="auto"/>
            <w:right w:val="none" w:sz="0" w:space="0" w:color="auto"/>
          </w:divBdr>
        </w:div>
        <w:div w:id="1186166202">
          <w:marLeft w:val="640"/>
          <w:marRight w:val="0"/>
          <w:marTop w:val="0"/>
          <w:marBottom w:val="0"/>
          <w:divBdr>
            <w:top w:val="none" w:sz="0" w:space="0" w:color="auto"/>
            <w:left w:val="none" w:sz="0" w:space="0" w:color="auto"/>
            <w:bottom w:val="none" w:sz="0" w:space="0" w:color="auto"/>
            <w:right w:val="none" w:sz="0" w:space="0" w:color="auto"/>
          </w:divBdr>
        </w:div>
        <w:div w:id="1460565496">
          <w:marLeft w:val="640"/>
          <w:marRight w:val="0"/>
          <w:marTop w:val="0"/>
          <w:marBottom w:val="0"/>
          <w:divBdr>
            <w:top w:val="none" w:sz="0" w:space="0" w:color="auto"/>
            <w:left w:val="none" w:sz="0" w:space="0" w:color="auto"/>
            <w:bottom w:val="none" w:sz="0" w:space="0" w:color="auto"/>
            <w:right w:val="none" w:sz="0" w:space="0" w:color="auto"/>
          </w:divBdr>
        </w:div>
        <w:div w:id="1874032488">
          <w:marLeft w:val="640"/>
          <w:marRight w:val="0"/>
          <w:marTop w:val="0"/>
          <w:marBottom w:val="0"/>
          <w:divBdr>
            <w:top w:val="none" w:sz="0" w:space="0" w:color="auto"/>
            <w:left w:val="none" w:sz="0" w:space="0" w:color="auto"/>
            <w:bottom w:val="none" w:sz="0" w:space="0" w:color="auto"/>
            <w:right w:val="none" w:sz="0" w:space="0" w:color="auto"/>
          </w:divBdr>
        </w:div>
        <w:div w:id="29886533">
          <w:marLeft w:val="640"/>
          <w:marRight w:val="0"/>
          <w:marTop w:val="0"/>
          <w:marBottom w:val="0"/>
          <w:divBdr>
            <w:top w:val="none" w:sz="0" w:space="0" w:color="auto"/>
            <w:left w:val="none" w:sz="0" w:space="0" w:color="auto"/>
            <w:bottom w:val="none" w:sz="0" w:space="0" w:color="auto"/>
            <w:right w:val="none" w:sz="0" w:space="0" w:color="auto"/>
          </w:divBdr>
        </w:div>
        <w:div w:id="1849756323">
          <w:marLeft w:val="640"/>
          <w:marRight w:val="0"/>
          <w:marTop w:val="0"/>
          <w:marBottom w:val="0"/>
          <w:divBdr>
            <w:top w:val="none" w:sz="0" w:space="0" w:color="auto"/>
            <w:left w:val="none" w:sz="0" w:space="0" w:color="auto"/>
            <w:bottom w:val="none" w:sz="0" w:space="0" w:color="auto"/>
            <w:right w:val="none" w:sz="0" w:space="0" w:color="auto"/>
          </w:divBdr>
        </w:div>
        <w:div w:id="724832763">
          <w:marLeft w:val="640"/>
          <w:marRight w:val="0"/>
          <w:marTop w:val="0"/>
          <w:marBottom w:val="0"/>
          <w:divBdr>
            <w:top w:val="none" w:sz="0" w:space="0" w:color="auto"/>
            <w:left w:val="none" w:sz="0" w:space="0" w:color="auto"/>
            <w:bottom w:val="none" w:sz="0" w:space="0" w:color="auto"/>
            <w:right w:val="none" w:sz="0" w:space="0" w:color="auto"/>
          </w:divBdr>
        </w:div>
        <w:div w:id="1457480664">
          <w:marLeft w:val="640"/>
          <w:marRight w:val="0"/>
          <w:marTop w:val="0"/>
          <w:marBottom w:val="0"/>
          <w:divBdr>
            <w:top w:val="none" w:sz="0" w:space="0" w:color="auto"/>
            <w:left w:val="none" w:sz="0" w:space="0" w:color="auto"/>
            <w:bottom w:val="none" w:sz="0" w:space="0" w:color="auto"/>
            <w:right w:val="none" w:sz="0" w:space="0" w:color="auto"/>
          </w:divBdr>
        </w:div>
        <w:div w:id="1394767719">
          <w:marLeft w:val="640"/>
          <w:marRight w:val="0"/>
          <w:marTop w:val="0"/>
          <w:marBottom w:val="0"/>
          <w:divBdr>
            <w:top w:val="none" w:sz="0" w:space="0" w:color="auto"/>
            <w:left w:val="none" w:sz="0" w:space="0" w:color="auto"/>
            <w:bottom w:val="none" w:sz="0" w:space="0" w:color="auto"/>
            <w:right w:val="none" w:sz="0" w:space="0" w:color="auto"/>
          </w:divBdr>
        </w:div>
        <w:div w:id="800660274">
          <w:marLeft w:val="640"/>
          <w:marRight w:val="0"/>
          <w:marTop w:val="0"/>
          <w:marBottom w:val="0"/>
          <w:divBdr>
            <w:top w:val="none" w:sz="0" w:space="0" w:color="auto"/>
            <w:left w:val="none" w:sz="0" w:space="0" w:color="auto"/>
            <w:bottom w:val="none" w:sz="0" w:space="0" w:color="auto"/>
            <w:right w:val="none" w:sz="0" w:space="0" w:color="auto"/>
          </w:divBdr>
        </w:div>
        <w:div w:id="7870534">
          <w:marLeft w:val="640"/>
          <w:marRight w:val="0"/>
          <w:marTop w:val="0"/>
          <w:marBottom w:val="0"/>
          <w:divBdr>
            <w:top w:val="none" w:sz="0" w:space="0" w:color="auto"/>
            <w:left w:val="none" w:sz="0" w:space="0" w:color="auto"/>
            <w:bottom w:val="none" w:sz="0" w:space="0" w:color="auto"/>
            <w:right w:val="none" w:sz="0" w:space="0" w:color="auto"/>
          </w:divBdr>
        </w:div>
        <w:div w:id="1015036962">
          <w:marLeft w:val="640"/>
          <w:marRight w:val="0"/>
          <w:marTop w:val="0"/>
          <w:marBottom w:val="0"/>
          <w:divBdr>
            <w:top w:val="none" w:sz="0" w:space="0" w:color="auto"/>
            <w:left w:val="none" w:sz="0" w:space="0" w:color="auto"/>
            <w:bottom w:val="none" w:sz="0" w:space="0" w:color="auto"/>
            <w:right w:val="none" w:sz="0" w:space="0" w:color="auto"/>
          </w:divBdr>
        </w:div>
        <w:div w:id="749275795">
          <w:marLeft w:val="640"/>
          <w:marRight w:val="0"/>
          <w:marTop w:val="0"/>
          <w:marBottom w:val="0"/>
          <w:divBdr>
            <w:top w:val="none" w:sz="0" w:space="0" w:color="auto"/>
            <w:left w:val="none" w:sz="0" w:space="0" w:color="auto"/>
            <w:bottom w:val="none" w:sz="0" w:space="0" w:color="auto"/>
            <w:right w:val="none" w:sz="0" w:space="0" w:color="auto"/>
          </w:divBdr>
        </w:div>
        <w:div w:id="2029795638">
          <w:marLeft w:val="640"/>
          <w:marRight w:val="0"/>
          <w:marTop w:val="0"/>
          <w:marBottom w:val="0"/>
          <w:divBdr>
            <w:top w:val="none" w:sz="0" w:space="0" w:color="auto"/>
            <w:left w:val="none" w:sz="0" w:space="0" w:color="auto"/>
            <w:bottom w:val="none" w:sz="0" w:space="0" w:color="auto"/>
            <w:right w:val="none" w:sz="0" w:space="0" w:color="auto"/>
          </w:divBdr>
        </w:div>
        <w:div w:id="1516648389">
          <w:marLeft w:val="640"/>
          <w:marRight w:val="0"/>
          <w:marTop w:val="0"/>
          <w:marBottom w:val="0"/>
          <w:divBdr>
            <w:top w:val="none" w:sz="0" w:space="0" w:color="auto"/>
            <w:left w:val="none" w:sz="0" w:space="0" w:color="auto"/>
            <w:bottom w:val="none" w:sz="0" w:space="0" w:color="auto"/>
            <w:right w:val="none" w:sz="0" w:space="0" w:color="auto"/>
          </w:divBdr>
        </w:div>
        <w:div w:id="1439906504">
          <w:marLeft w:val="640"/>
          <w:marRight w:val="0"/>
          <w:marTop w:val="0"/>
          <w:marBottom w:val="0"/>
          <w:divBdr>
            <w:top w:val="none" w:sz="0" w:space="0" w:color="auto"/>
            <w:left w:val="none" w:sz="0" w:space="0" w:color="auto"/>
            <w:bottom w:val="none" w:sz="0" w:space="0" w:color="auto"/>
            <w:right w:val="none" w:sz="0" w:space="0" w:color="auto"/>
          </w:divBdr>
        </w:div>
        <w:div w:id="595871837">
          <w:marLeft w:val="640"/>
          <w:marRight w:val="0"/>
          <w:marTop w:val="0"/>
          <w:marBottom w:val="0"/>
          <w:divBdr>
            <w:top w:val="none" w:sz="0" w:space="0" w:color="auto"/>
            <w:left w:val="none" w:sz="0" w:space="0" w:color="auto"/>
            <w:bottom w:val="none" w:sz="0" w:space="0" w:color="auto"/>
            <w:right w:val="none" w:sz="0" w:space="0" w:color="auto"/>
          </w:divBdr>
        </w:div>
        <w:div w:id="1179739711">
          <w:marLeft w:val="640"/>
          <w:marRight w:val="0"/>
          <w:marTop w:val="0"/>
          <w:marBottom w:val="0"/>
          <w:divBdr>
            <w:top w:val="none" w:sz="0" w:space="0" w:color="auto"/>
            <w:left w:val="none" w:sz="0" w:space="0" w:color="auto"/>
            <w:bottom w:val="none" w:sz="0" w:space="0" w:color="auto"/>
            <w:right w:val="none" w:sz="0" w:space="0" w:color="auto"/>
          </w:divBdr>
        </w:div>
        <w:div w:id="1087381076">
          <w:marLeft w:val="640"/>
          <w:marRight w:val="0"/>
          <w:marTop w:val="0"/>
          <w:marBottom w:val="0"/>
          <w:divBdr>
            <w:top w:val="none" w:sz="0" w:space="0" w:color="auto"/>
            <w:left w:val="none" w:sz="0" w:space="0" w:color="auto"/>
            <w:bottom w:val="none" w:sz="0" w:space="0" w:color="auto"/>
            <w:right w:val="none" w:sz="0" w:space="0" w:color="auto"/>
          </w:divBdr>
        </w:div>
        <w:div w:id="557671475">
          <w:marLeft w:val="640"/>
          <w:marRight w:val="0"/>
          <w:marTop w:val="0"/>
          <w:marBottom w:val="0"/>
          <w:divBdr>
            <w:top w:val="none" w:sz="0" w:space="0" w:color="auto"/>
            <w:left w:val="none" w:sz="0" w:space="0" w:color="auto"/>
            <w:bottom w:val="none" w:sz="0" w:space="0" w:color="auto"/>
            <w:right w:val="none" w:sz="0" w:space="0" w:color="auto"/>
          </w:divBdr>
        </w:div>
        <w:div w:id="2045137371">
          <w:marLeft w:val="640"/>
          <w:marRight w:val="0"/>
          <w:marTop w:val="0"/>
          <w:marBottom w:val="0"/>
          <w:divBdr>
            <w:top w:val="none" w:sz="0" w:space="0" w:color="auto"/>
            <w:left w:val="none" w:sz="0" w:space="0" w:color="auto"/>
            <w:bottom w:val="none" w:sz="0" w:space="0" w:color="auto"/>
            <w:right w:val="none" w:sz="0" w:space="0" w:color="auto"/>
          </w:divBdr>
        </w:div>
        <w:div w:id="1448504482">
          <w:marLeft w:val="640"/>
          <w:marRight w:val="0"/>
          <w:marTop w:val="0"/>
          <w:marBottom w:val="0"/>
          <w:divBdr>
            <w:top w:val="none" w:sz="0" w:space="0" w:color="auto"/>
            <w:left w:val="none" w:sz="0" w:space="0" w:color="auto"/>
            <w:bottom w:val="none" w:sz="0" w:space="0" w:color="auto"/>
            <w:right w:val="none" w:sz="0" w:space="0" w:color="auto"/>
          </w:divBdr>
        </w:div>
        <w:div w:id="1245453218">
          <w:marLeft w:val="640"/>
          <w:marRight w:val="0"/>
          <w:marTop w:val="0"/>
          <w:marBottom w:val="0"/>
          <w:divBdr>
            <w:top w:val="none" w:sz="0" w:space="0" w:color="auto"/>
            <w:left w:val="none" w:sz="0" w:space="0" w:color="auto"/>
            <w:bottom w:val="none" w:sz="0" w:space="0" w:color="auto"/>
            <w:right w:val="none" w:sz="0" w:space="0" w:color="auto"/>
          </w:divBdr>
        </w:div>
        <w:div w:id="756176003">
          <w:marLeft w:val="640"/>
          <w:marRight w:val="0"/>
          <w:marTop w:val="0"/>
          <w:marBottom w:val="0"/>
          <w:divBdr>
            <w:top w:val="none" w:sz="0" w:space="0" w:color="auto"/>
            <w:left w:val="none" w:sz="0" w:space="0" w:color="auto"/>
            <w:bottom w:val="none" w:sz="0" w:space="0" w:color="auto"/>
            <w:right w:val="none" w:sz="0" w:space="0" w:color="auto"/>
          </w:divBdr>
        </w:div>
        <w:div w:id="1854103250">
          <w:marLeft w:val="640"/>
          <w:marRight w:val="0"/>
          <w:marTop w:val="0"/>
          <w:marBottom w:val="0"/>
          <w:divBdr>
            <w:top w:val="none" w:sz="0" w:space="0" w:color="auto"/>
            <w:left w:val="none" w:sz="0" w:space="0" w:color="auto"/>
            <w:bottom w:val="none" w:sz="0" w:space="0" w:color="auto"/>
            <w:right w:val="none" w:sz="0" w:space="0" w:color="auto"/>
          </w:divBdr>
        </w:div>
        <w:div w:id="678965596">
          <w:marLeft w:val="640"/>
          <w:marRight w:val="0"/>
          <w:marTop w:val="0"/>
          <w:marBottom w:val="0"/>
          <w:divBdr>
            <w:top w:val="none" w:sz="0" w:space="0" w:color="auto"/>
            <w:left w:val="none" w:sz="0" w:space="0" w:color="auto"/>
            <w:bottom w:val="none" w:sz="0" w:space="0" w:color="auto"/>
            <w:right w:val="none" w:sz="0" w:space="0" w:color="auto"/>
          </w:divBdr>
        </w:div>
        <w:div w:id="1697272099">
          <w:marLeft w:val="640"/>
          <w:marRight w:val="0"/>
          <w:marTop w:val="0"/>
          <w:marBottom w:val="0"/>
          <w:divBdr>
            <w:top w:val="none" w:sz="0" w:space="0" w:color="auto"/>
            <w:left w:val="none" w:sz="0" w:space="0" w:color="auto"/>
            <w:bottom w:val="none" w:sz="0" w:space="0" w:color="auto"/>
            <w:right w:val="none" w:sz="0" w:space="0" w:color="auto"/>
          </w:divBdr>
        </w:div>
        <w:div w:id="2113043870">
          <w:marLeft w:val="640"/>
          <w:marRight w:val="0"/>
          <w:marTop w:val="0"/>
          <w:marBottom w:val="0"/>
          <w:divBdr>
            <w:top w:val="none" w:sz="0" w:space="0" w:color="auto"/>
            <w:left w:val="none" w:sz="0" w:space="0" w:color="auto"/>
            <w:bottom w:val="none" w:sz="0" w:space="0" w:color="auto"/>
            <w:right w:val="none" w:sz="0" w:space="0" w:color="auto"/>
          </w:divBdr>
        </w:div>
        <w:div w:id="857156055">
          <w:marLeft w:val="640"/>
          <w:marRight w:val="0"/>
          <w:marTop w:val="0"/>
          <w:marBottom w:val="0"/>
          <w:divBdr>
            <w:top w:val="none" w:sz="0" w:space="0" w:color="auto"/>
            <w:left w:val="none" w:sz="0" w:space="0" w:color="auto"/>
            <w:bottom w:val="none" w:sz="0" w:space="0" w:color="auto"/>
            <w:right w:val="none" w:sz="0" w:space="0" w:color="auto"/>
          </w:divBdr>
        </w:div>
        <w:div w:id="1892619823">
          <w:marLeft w:val="640"/>
          <w:marRight w:val="0"/>
          <w:marTop w:val="0"/>
          <w:marBottom w:val="0"/>
          <w:divBdr>
            <w:top w:val="none" w:sz="0" w:space="0" w:color="auto"/>
            <w:left w:val="none" w:sz="0" w:space="0" w:color="auto"/>
            <w:bottom w:val="none" w:sz="0" w:space="0" w:color="auto"/>
            <w:right w:val="none" w:sz="0" w:space="0" w:color="auto"/>
          </w:divBdr>
        </w:div>
        <w:div w:id="1352994224">
          <w:marLeft w:val="640"/>
          <w:marRight w:val="0"/>
          <w:marTop w:val="0"/>
          <w:marBottom w:val="0"/>
          <w:divBdr>
            <w:top w:val="none" w:sz="0" w:space="0" w:color="auto"/>
            <w:left w:val="none" w:sz="0" w:space="0" w:color="auto"/>
            <w:bottom w:val="none" w:sz="0" w:space="0" w:color="auto"/>
            <w:right w:val="none" w:sz="0" w:space="0" w:color="auto"/>
          </w:divBdr>
        </w:div>
        <w:div w:id="687176524">
          <w:marLeft w:val="640"/>
          <w:marRight w:val="0"/>
          <w:marTop w:val="0"/>
          <w:marBottom w:val="0"/>
          <w:divBdr>
            <w:top w:val="none" w:sz="0" w:space="0" w:color="auto"/>
            <w:left w:val="none" w:sz="0" w:space="0" w:color="auto"/>
            <w:bottom w:val="none" w:sz="0" w:space="0" w:color="auto"/>
            <w:right w:val="none" w:sz="0" w:space="0" w:color="auto"/>
          </w:divBdr>
        </w:div>
        <w:div w:id="517890308">
          <w:marLeft w:val="640"/>
          <w:marRight w:val="0"/>
          <w:marTop w:val="0"/>
          <w:marBottom w:val="0"/>
          <w:divBdr>
            <w:top w:val="none" w:sz="0" w:space="0" w:color="auto"/>
            <w:left w:val="none" w:sz="0" w:space="0" w:color="auto"/>
            <w:bottom w:val="none" w:sz="0" w:space="0" w:color="auto"/>
            <w:right w:val="none" w:sz="0" w:space="0" w:color="auto"/>
          </w:divBdr>
        </w:div>
        <w:div w:id="985090685">
          <w:marLeft w:val="640"/>
          <w:marRight w:val="0"/>
          <w:marTop w:val="0"/>
          <w:marBottom w:val="0"/>
          <w:divBdr>
            <w:top w:val="none" w:sz="0" w:space="0" w:color="auto"/>
            <w:left w:val="none" w:sz="0" w:space="0" w:color="auto"/>
            <w:bottom w:val="none" w:sz="0" w:space="0" w:color="auto"/>
            <w:right w:val="none" w:sz="0" w:space="0" w:color="auto"/>
          </w:divBdr>
        </w:div>
        <w:div w:id="2062829535">
          <w:marLeft w:val="640"/>
          <w:marRight w:val="0"/>
          <w:marTop w:val="0"/>
          <w:marBottom w:val="0"/>
          <w:divBdr>
            <w:top w:val="none" w:sz="0" w:space="0" w:color="auto"/>
            <w:left w:val="none" w:sz="0" w:space="0" w:color="auto"/>
            <w:bottom w:val="none" w:sz="0" w:space="0" w:color="auto"/>
            <w:right w:val="none" w:sz="0" w:space="0" w:color="auto"/>
          </w:divBdr>
        </w:div>
        <w:div w:id="1167986248">
          <w:marLeft w:val="640"/>
          <w:marRight w:val="0"/>
          <w:marTop w:val="0"/>
          <w:marBottom w:val="0"/>
          <w:divBdr>
            <w:top w:val="none" w:sz="0" w:space="0" w:color="auto"/>
            <w:left w:val="none" w:sz="0" w:space="0" w:color="auto"/>
            <w:bottom w:val="none" w:sz="0" w:space="0" w:color="auto"/>
            <w:right w:val="none" w:sz="0" w:space="0" w:color="auto"/>
          </w:divBdr>
        </w:div>
        <w:div w:id="2035493859">
          <w:marLeft w:val="640"/>
          <w:marRight w:val="0"/>
          <w:marTop w:val="0"/>
          <w:marBottom w:val="0"/>
          <w:divBdr>
            <w:top w:val="none" w:sz="0" w:space="0" w:color="auto"/>
            <w:left w:val="none" w:sz="0" w:space="0" w:color="auto"/>
            <w:bottom w:val="none" w:sz="0" w:space="0" w:color="auto"/>
            <w:right w:val="none" w:sz="0" w:space="0" w:color="auto"/>
          </w:divBdr>
        </w:div>
        <w:div w:id="1823345678">
          <w:marLeft w:val="640"/>
          <w:marRight w:val="0"/>
          <w:marTop w:val="0"/>
          <w:marBottom w:val="0"/>
          <w:divBdr>
            <w:top w:val="none" w:sz="0" w:space="0" w:color="auto"/>
            <w:left w:val="none" w:sz="0" w:space="0" w:color="auto"/>
            <w:bottom w:val="none" w:sz="0" w:space="0" w:color="auto"/>
            <w:right w:val="none" w:sz="0" w:space="0" w:color="auto"/>
          </w:divBdr>
        </w:div>
        <w:div w:id="213007465">
          <w:marLeft w:val="640"/>
          <w:marRight w:val="0"/>
          <w:marTop w:val="0"/>
          <w:marBottom w:val="0"/>
          <w:divBdr>
            <w:top w:val="none" w:sz="0" w:space="0" w:color="auto"/>
            <w:left w:val="none" w:sz="0" w:space="0" w:color="auto"/>
            <w:bottom w:val="none" w:sz="0" w:space="0" w:color="auto"/>
            <w:right w:val="none" w:sz="0" w:space="0" w:color="auto"/>
          </w:divBdr>
        </w:div>
        <w:div w:id="268005765">
          <w:marLeft w:val="640"/>
          <w:marRight w:val="0"/>
          <w:marTop w:val="0"/>
          <w:marBottom w:val="0"/>
          <w:divBdr>
            <w:top w:val="none" w:sz="0" w:space="0" w:color="auto"/>
            <w:left w:val="none" w:sz="0" w:space="0" w:color="auto"/>
            <w:bottom w:val="none" w:sz="0" w:space="0" w:color="auto"/>
            <w:right w:val="none" w:sz="0" w:space="0" w:color="auto"/>
          </w:divBdr>
        </w:div>
        <w:div w:id="890116143">
          <w:marLeft w:val="640"/>
          <w:marRight w:val="0"/>
          <w:marTop w:val="0"/>
          <w:marBottom w:val="0"/>
          <w:divBdr>
            <w:top w:val="none" w:sz="0" w:space="0" w:color="auto"/>
            <w:left w:val="none" w:sz="0" w:space="0" w:color="auto"/>
            <w:bottom w:val="none" w:sz="0" w:space="0" w:color="auto"/>
            <w:right w:val="none" w:sz="0" w:space="0" w:color="auto"/>
          </w:divBdr>
        </w:div>
        <w:div w:id="691568167">
          <w:marLeft w:val="640"/>
          <w:marRight w:val="0"/>
          <w:marTop w:val="0"/>
          <w:marBottom w:val="0"/>
          <w:divBdr>
            <w:top w:val="none" w:sz="0" w:space="0" w:color="auto"/>
            <w:left w:val="none" w:sz="0" w:space="0" w:color="auto"/>
            <w:bottom w:val="none" w:sz="0" w:space="0" w:color="auto"/>
            <w:right w:val="none" w:sz="0" w:space="0" w:color="auto"/>
          </w:divBdr>
        </w:div>
        <w:div w:id="1771202102">
          <w:marLeft w:val="640"/>
          <w:marRight w:val="0"/>
          <w:marTop w:val="0"/>
          <w:marBottom w:val="0"/>
          <w:divBdr>
            <w:top w:val="none" w:sz="0" w:space="0" w:color="auto"/>
            <w:left w:val="none" w:sz="0" w:space="0" w:color="auto"/>
            <w:bottom w:val="none" w:sz="0" w:space="0" w:color="auto"/>
            <w:right w:val="none" w:sz="0" w:space="0" w:color="auto"/>
          </w:divBdr>
        </w:div>
        <w:div w:id="1700352520">
          <w:marLeft w:val="640"/>
          <w:marRight w:val="0"/>
          <w:marTop w:val="0"/>
          <w:marBottom w:val="0"/>
          <w:divBdr>
            <w:top w:val="none" w:sz="0" w:space="0" w:color="auto"/>
            <w:left w:val="none" w:sz="0" w:space="0" w:color="auto"/>
            <w:bottom w:val="none" w:sz="0" w:space="0" w:color="auto"/>
            <w:right w:val="none" w:sz="0" w:space="0" w:color="auto"/>
          </w:divBdr>
        </w:div>
        <w:div w:id="1499541560">
          <w:marLeft w:val="640"/>
          <w:marRight w:val="0"/>
          <w:marTop w:val="0"/>
          <w:marBottom w:val="0"/>
          <w:divBdr>
            <w:top w:val="none" w:sz="0" w:space="0" w:color="auto"/>
            <w:left w:val="none" w:sz="0" w:space="0" w:color="auto"/>
            <w:bottom w:val="none" w:sz="0" w:space="0" w:color="auto"/>
            <w:right w:val="none" w:sz="0" w:space="0" w:color="auto"/>
          </w:divBdr>
        </w:div>
        <w:div w:id="1037314076">
          <w:marLeft w:val="640"/>
          <w:marRight w:val="0"/>
          <w:marTop w:val="0"/>
          <w:marBottom w:val="0"/>
          <w:divBdr>
            <w:top w:val="none" w:sz="0" w:space="0" w:color="auto"/>
            <w:left w:val="none" w:sz="0" w:space="0" w:color="auto"/>
            <w:bottom w:val="none" w:sz="0" w:space="0" w:color="auto"/>
            <w:right w:val="none" w:sz="0" w:space="0" w:color="auto"/>
          </w:divBdr>
        </w:div>
        <w:div w:id="737290481">
          <w:marLeft w:val="640"/>
          <w:marRight w:val="0"/>
          <w:marTop w:val="0"/>
          <w:marBottom w:val="0"/>
          <w:divBdr>
            <w:top w:val="none" w:sz="0" w:space="0" w:color="auto"/>
            <w:left w:val="none" w:sz="0" w:space="0" w:color="auto"/>
            <w:bottom w:val="none" w:sz="0" w:space="0" w:color="auto"/>
            <w:right w:val="none" w:sz="0" w:space="0" w:color="auto"/>
          </w:divBdr>
        </w:div>
        <w:div w:id="169638015">
          <w:marLeft w:val="640"/>
          <w:marRight w:val="0"/>
          <w:marTop w:val="0"/>
          <w:marBottom w:val="0"/>
          <w:divBdr>
            <w:top w:val="none" w:sz="0" w:space="0" w:color="auto"/>
            <w:left w:val="none" w:sz="0" w:space="0" w:color="auto"/>
            <w:bottom w:val="none" w:sz="0" w:space="0" w:color="auto"/>
            <w:right w:val="none" w:sz="0" w:space="0" w:color="auto"/>
          </w:divBdr>
        </w:div>
        <w:div w:id="1374846733">
          <w:marLeft w:val="640"/>
          <w:marRight w:val="0"/>
          <w:marTop w:val="0"/>
          <w:marBottom w:val="0"/>
          <w:divBdr>
            <w:top w:val="none" w:sz="0" w:space="0" w:color="auto"/>
            <w:left w:val="none" w:sz="0" w:space="0" w:color="auto"/>
            <w:bottom w:val="none" w:sz="0" w:space="0" w:color="auto"/>
            <w:right w:val="none" w:sz="0" w:space="0" w:color="auto"/>
          </w:divBdr>
        </w:div>
        <w:div w:id="2110660241">
          <w:marLeft w:val="640"/>
          <w:marRight w:val="0"/>
          <w:marTop w:val="0"/>
          <w:marBottom w:val="0"/>
          <w:divBdr>
            <w:top w:val="none" w:sz="0" w:space="0" w:color="auto"/>
            <w:left w:val="none" w:sz="0" w:space="0" w:color="auto"/>
            <w:bottom w:val="none" w:sz="0" w:space="0" w:color="auto"/>
            <w:right w:val="none" w:sz="0" w:space="0" w:color="auto"/>
          </w:divBdr>
        </w:div>
        <w:div w:id="2069643933">
          <w:marLeft w:val="640"/>
          <w:marRight w:val="0"/>
          <w:marTop w:val="0"/>
          <w:marBottom w:val="0"/>
          <w:divBdr>
            <w:top w:val="none" w:sz="0" w:space="0" w:color="auto"/>
            <w:left w:val="none" w:sz="0" w:space="0" w:color="auto"/>
            <w:bottom w:val="none" w:sz="0" w:space="0" w:color="auto"/>
            <w:right w:val="none" w:sz="0" w:space="0" w:color="auto"/>
          </w:divBdr>
        </w:div>
        <w:div w:id="2037657974">
          <w:marLeft w:val="640"/>
          <w:marRight w:val="0"/>
          <w:marTop w:val="0"/>
          <w:marBottom w:val="0"/>
          <w:divBdr>
            <w:top w:val="none" w:sz="0" w:space="0" w:color="auto"/>
            <w:left w:val="none" w:sz="0" w:space="0" w:color="auto"/>
            <w:bottom w:val="none" w:sz="0" w:space="0" w:color="auto"/>
            <w:right w:val="none" w:sz="0" w:space="0" w:color="auto"/>
          </w:divBdr>
        </w:div>
        <w:div w:id="1005208292">
          <w:marLeft w:val="640"/>
          <w:marRight w:val="0"/>
          <w:marTop w:val="0"/>
          <w:marBottom w:val="0"/>
          <w:divBdr>
            <w:top w:val="none" w:sz="0" w:space="0" w:color="auto"/>
            <w:left w:val="none" w:sz="0" w:space="0" w:color="auto"/>
            <w:bottom w:val="none" w:sz="0" w:space="0" w:color="auto"/>
            <w:right w:val="none" w:sz="0" w:space="0" w:color="auto"/>
          </w:divBdr>
        </w:div>
        <w:div w:id="527647270">
          <w:marLeft w:val="640"/>
          <w:marRight w:val="0"/>
          <w:marTop w:val="0"/>
          <w:marBottom w:val="0"/>
          <w:divBdr>
            <w:top w:val="none" w:sz="0" w:space="0" w:color="auto"/>
            <w:left w:val="none" w:sz="0" w:space="0" w:color="auto"/>
            <w:bottom w:val="none" w:sz="0" w:space="0" w:color="auto"/>
            <w:right w:val="none" w:sz="0" w:space="0" w:color="auto"/>
          </w:divBdr>
        </w:div>
        <w:div w:id="302464139">
          <w:marLeft w:val="640"/>
          <w:marRight w:val="0"/>
          <w:marTop w:val="0"/>
          <w:marBottom w:val="0"/>
          <w:divBdr>
            <w:top w:val="none" w:sz="0" w:space="0" w:color="auto"/>
            <w:left w:val="none" w:sz="0" w:space="0" w:color="auto"/>
            <w:bottom w:val="none" w:sz="0" w:space="0" w:color="auto"/>
            <w:right w:val="none" w:sz="0" w:space="0" w:color="auto"/>
          </w:divBdr>
        </w:div>
        <w:div w:id="303504754">
          <w:marLeft w:val="640"/>
          <w:marRight w:val="0"/>
          <w:marTop w:val="0"/>
          <w:marBottom w:val="0"/>
          <w:divBdr>
            <w:top w:val="none" w:sz="0" w:space="0" w:color="auto"/>
            <w:left w:val="none" w:sz="0" w:space="0" w:color="auto"/>
            <w:bottom w:val="none" w:sz="0" w:space="0" w:color="auto"/>
            <w:right w:val="none" w:sz="0" w:space="0" w:color="auto"/>
          </w:divBdr>
        </w:div>
        <w:div w:id="1776703393">
          <w:marLeft w:val="640"/>
          <w:marRight w:val="0"/>
          <w:marTop w:val="0"/>
          <w:marBottom w:val="0"/>
          <w:divBdr>
            <w:top w:val="none" w:sz="0" w:space="0" w:color="auto"/>
            <w:left w:val="none" w:sz="0" w:space="0" w:color="auto"/>
            <w:bottom w:val="none" w:sz="0" w:space="0" w:color="auto"/>
            <w:right w:val="none" w:sz="0" w:space="0" w:color="auto"/>
          </w:divBdr>
        </w:div>
        <w:div w:id="446852519">
          <w:marLeft w:val="640"/>
          <w:marRight w:val="0"/>
          <w:marTop w:val="0"/>
          <w:marBottom w:val="0"/>
          <w:divBdr>
            <w:top w:val="none" w:sz="0" w:space="0" w:color="auto"/>
            <w:left w:val="none" w:sz="0" w:space="0" w:color="auto"/>
            <w:bottom w:val="none" w:sz="0" w:space="0" w:color="auto"/>
            <w:right w:val="none" w:sz="0" w:space="0" w:color="auto"/>
          </w:divBdr>
        </w:div>
        <w:div w:id="588778926">
          <w:marLeft w:val="640"/>
          <w:marRight w:val="0"/>
          <w:marTop w:val="0"/>
          <w:marBottom w:val="0"/>
          <w:divBdr>
            <w:top w:val="none" w:sz="0" w:space="0" w:color="auto"/>
            <w:left w:val="none" w:sz="0" w:space="0" w:color="auto"/>
            <w:bottom w:val="none" w:sz="0" w:space="0" w:color="auto"/>
            <w:right w:val="none" w:sz="0" w:space="0" w:color="auto"/>
          </w:divBdr>
        </w:div>
        <w:div w:id="2040425276">
          <w:marLeft w:val="640"/>
          <w:marRight w:val="0"/>
          <w:marTop w:val="0"/>
          <w:marBottom w:val="0"/>
          <w:divBdr>
            <w:top w:val="none" w:sz="0" w:space="0" w:color="auto"/>
            <w:left w:val="none" w:sz="0" w:space="0" w:color="auto"/>
            <w:bottom w:val="none" w:sz="0" w:space="0" w:color="auto"/>
            <w:right w:val="none" w:sz="0" w:space="0" w:color="auto"/>
          </w:divBdr>
        </w:div>
        <w:div w:id="1646620485">
          <w:marLeft w:val="640"/>
          <w:marRight w:val="0"/>
          <w:marTop w:val="0"/>
          <w:marBottom w:val="0"/>
          <w:divBdr>
            <w:top w:val="none" w:sz="0" w:space="0" w:color="auto"/>
            <w:left w:val="none" w:sz="0" w:space="0" w:color="auto"/>
            <w:bottom w:val="none" w:sz="0" w:space="0" w:color="auto"/>
            <w:right w:val="none" w:sz="0" w:space="0" w:color="auto"/>
          </w:divBdr>
        </w:div>
        <w:div w:id="1942370690">
          <w:marLeft w:val="640"/>
          <w:marRight w:val="0"/>
          <w:marTop w:val="0"/>
          <w:marBottom w:val="0"/>
          <w:divBdr>
            <w:top w:val="none" w:sz="0" w:space="0" w:color="auto"/>
            <w:left w:val="none" w:sz="0" w:space="0" w:color="auto"/>
            <w:bottom w:val="none" w:sz="0" w:space="0" w:color="auto"/>
            <w:right w:val="none" w:sz="0" w:space="0" w:color="auto"/>
          </w:divBdr>
        </w:div>
        <w:div w:id="1111705192">
          <w:marLeft w:val="640"/>
          <w:marRight w:val="0"/>
          <w:marTop w:val="0"/>
          <w:marBottom w:val="0"/>
          <w:divBdr>
            <w:top w:val="none" w:sz="0" w:space="0" w:color="auto"/>
            <w:left w:val="none" w:sz="0" w:space="0" w:color="auto"/>
            <w:bottom w:val="none" w:sz="0" w:space="0" w:color="auto"/>
            <w:right w:val="none" w:sz="0" w:space="0" w:color="auto"/>
          </w:divBdr>
        </w:div>
        <w:div w:id="984748127">
          <w:marLeft w:val="640"/>
          <w:marRight w:val="0"/>
          <w:marTop w:val="0"/>
          <w:marBottom w:val="0"/>
          <w:divBdr>
            <w:top w:val="none" w:sz="0" w:space="0" w:color="auto"/>
            <w:left w:val="none" w:sz="0" w:space="0" w:color="auto"/>
            <w:bottom w:val="none" w:sz="0" w:space="0" w:color="auto"/>
            <w:right w:val="none" w:sz="0" w:space="0" w:color="auto"/>
          </w:divBdr>
        </w:div>
        <w:div w:id="436407373">
          <w:marLeft w:val="640"/>
          <w:marRight w:val="0"/>
          <w:marTop w:val="0"/>
          <w:marBottom w:val="0"/>
          <w:divBdr>
            <w:top w:val="none" w:sz="0" w:space="0" w:color="auto"/>
            <w:left w:val="none" w:sz="0" w:space="0" w:color="auto"/>
            <w:bottom w:val="none" w:sz="0" w:space="0" w:color="auto"/>
            <w:right w:val="none" w:sz="0" w:space="0" w:color="auto"/>
          </w:divBdr>
        </w:div>
        <w:div w:id="815147562">
          <w:marLeft w:val="640"/>
          <w:marRight w:val="0"/>
          <w:marTop w:val="0"/>
          <w:marBottom w:val="0"/>
          <w:divBdr>
            <w:top w:val="none" w:sz="0" w:space="0" w:color="auto"/>
            <w:left w:val="none" w:sz="0" w:space="0" w:color="auto"/>
            <w:bottom w:val="none" w:sz="0" w:space="0" w:color="auto"/>
            <w:right w:val="none" w:sz="0" w:space="0" w:color="auto"/>
          </w:divBdr>
        </w:div>
        <w:div w:id="551695798">
          <w:marLeft w:val="640"/>
          <w:marRight w:val="0"/>
          <w:marTop w:val="0"/>
          <w:marBottom w:val="0"/>
          <w:divBdr>
            <w:top w:val="none" w:sz="0" w:space="0" w:color="auto"/>
            <w:left w:val="none" w:sz="0" w:space="0" w:color="auto"/>
            <w:bottom w:val="none" w:sz="0" w:space="0" w:color="auto"/>
            <w:right w:val="none" w:sz="0" w:space="0" w:color="auto"/>
          </w:divBdr>
        </w:div>
        <w:div w:id="1977253603">
          <w:marLeft w:val="640"/>
          <w:marRight w:val="0"/>
          <w:marTop w:val="0"/>
          <w:marBottom w:val="0"/>
          <w:divBdr>
            <w:top w:val="none" w:sz="0" w:space="0" w:color="auto"/>
            <w:left w:val="none" w:sz="0" w:space="0" w:color="auto"/>
            <w:bottom w:val="none" w:sz="0" w:space="0" w:color="auto"/>
            <w:right w:val="none" w:sz="0" w:space="0" w:color="auto"/>
          </w:divBdr>
        </w:div>
        <w:div w:id="979960483">
          <w:marLeft w:val="640"/>
          <w:marRight w:val="0"/>
          <w:marTop w:val="0"/>
          <w:marBottom w:val="0"/>
          <w:divBdr>
            <w:top w:val="none" w:sz="0" w:space="0" w:color="auto"/>
            <w:left w:val="none" w:sz="0" w:space="0" w:color="auto"/>
            <w:bottom w:val="none" w:sz="0" w:space="0" w:color="auto"/>
            <w:right w:val="none" w:sz="0" w:space="0" w:color="auto"/>
          </w:divBdr>
        </w:div>
        <w:div w:id="61107206">
          <w:marLeft w:val="640"/>
          <w:marRight w:val="0"/>
          <w:marTop w:val="0"/>
          <w:marBottom w:val="0"/>
          <w:divBdr>
            <w:top w:val="none" w:sz="0" w:space="0" w:color="auto"/>
            <w:left w:val="none" w:sz="0" w:space="0" w:color="auto"/>
            <w:bottom w:val="none" w:sz="0" w:space="0" w:color="auto"/>
            <w:right w:val="none" w:sz="0" w:space="0" w:color="auto"/>
          </w:divBdr>
        </w:div>
        <w:div w:id="1324696709">
          <w:marLeft w:val="640"/>
          <w:marRight w:val="0"/>
          <w:marTop w:val="0"/>
          <w:marBottom w:val="0"/>
          <w:divBdr>
            <w:top w:val="none" w:sz="0" w:space="0" w:color="auto"/>
            <w:left w:val="none" w:sz="0" w:space="0" w:color="auto"/>
            <w:bottom w:val="none" w:sz="0" w:space="0" w:color="auto"/>
            <w:right w:val="none" w:sz="0" w:space="0" w:color="auto"/>
          </w:divBdr>
        </w:div>
        <w:div w:id="1417241902">
          <w:marLeft w:val="640"/>
          <w:marRight w:val="0"/>
          <w:marTop w:val="0"/>
          <w:marBottom w:val="0"/>
          <w:divBdr>
            <w:top w:val="none" w:sz="0" w:space="0" w:color="auto"/>
            <w:left w:val="none" w:sz="0" w:space="0" w:color="auto"/>
            <w:bottom w:val="none" w:sz="0" w:space="0" w:color="auto"/>
            <w:right w:val="none" w:sz="0" w:space="0" w:color="auto"/>
          </w:divBdr>
        </w:div>
        <w:div w:id="886454830">
          <w:marLeft w:val="640"/>
          <w:marRight w:val="0"/>
          <w:marTop w:val="0"/>
          <w:marBottom w:val="0"/>
          <w:divBdr>
            <w:top w:val="none" w:sz="0" w:space="0" w:color="auto"/>
            <w:left w:val="none" w:sz="0" w:space="0" w:color="auto"/>
            <w:bottom w:val="none" w:sz="0" w:space="0" w:color="auto"/>
            <w:right w:val="none" w:sz="0" w:space="0" w:color="auto"/>
          </w:divBdr>
        </w:div>
        <w:div w:id="1676883699">
          <w:marLeft w:val="640"/>
          <w:marRight w:val="0"/>
          <w:marTop w:val="0"/>
          <w:marBottom w:val="0"/>
          <w:divBdr>
            <w:top w:val="none" w:sz="0" w:space="0" w:color="auto"/>
            <w:left w:val="none" w:sz="0" w:space="0" w:color="auto"/>
            <w:bottom w:val="none" w:sz="0" w:space="0" w:color="auto"/>
            <w:right w:val="none" w:sz="0" w:space="0" w:color="auto"/>
          </w:divBdr>
        </w:div>
        <w:div w:id="548611984">
          <w:marLeft w:val="640"/>
          <w:marRight w:val="0"/>
          <w:marTop w:val="0"/>
          <w:marBottom w:val="0"/>
          <w:divBdr>
            <w:top w:val="none" w:sz="0" w:space="0" w:color="auto"/>
            <w:left w:val="none" w:sz="0" w:space="0" w:color="auto"/>
            <w:bottom w:val="none" w:sz="0" w:space="0" w:color="auto"/>
            <w:right w:val="none" w:sz="0" w:space="0" w:color="auto"/>
          </w:divBdr>
        </w:div>
        <w:div w:id="1098867231">
          <w:marLeft w:val="640"/>
          <w:marRight w:val="0"/>
          <w:marTop w:val="0"/>
          <w:marBottom w:val="0"/>
          <w:divBdr>
            <w:top w:val="none" w:sz="0" w:space="0" w:color="auto"/>
            <w:left w:val="none" w:sz="0" w:space="0" w:color="auto"/>
            <w:bottom w:val="none" w:sz="0" w:space="0" w:color="auto"/>
            <w:right w:val="none" w:sz="0" w:space="0" w:color="auto"/>
          </w:divBdr>
        </w:div>
        <w:div w:id="1515726775">
          <w:marLeft w:val="640"/>
          <w:marRight w:val="0"/>
          <w:marTop w:val="0"/>
          <w:marBottom w:val="0"/>
          <w:divBdr>
            <w:top w:val="none" w:sz="0" w:space="0" w:color="auto"/>
            <w:left w:val="none" w:sz="0" w:space="0" w:color="auto"/>
            <w:bottom w:val="none" w:sz="0" w:space="0" w:color="auto"/>
            <w:right w:val="none" w:sz="0" w:space="0" w:color="auto"/>
          </w:divBdr>
        </w:div>
        <w:div w:id="1255213960">
          <w:marLeft w:val="640"/>
          <w:marRight w:val="0"/>
          <w:marTop w:val="0"/>
          <w:marBottom w:val="0"/>
          <w:divBdr>
            <w:top w:val="none" w:sz="0" w:space="0" w:color="auto"/>
            <w:left w:val="none" w:sz="0" w:space="0" w:color="auto"/>
            <w:bottom w:val="none" w:sz="0" w:space="0" w:color="auto"/>
            <w:right w:val="none" w:sz="0" w:space="0" w:color="auto"/>
          </w:divBdr>
        </w:div>
        <w:div w:id="1556118935">
          <w:marLeft w:val="640"/>
          <w:marRight w:val="0"/>
          <w:marTop w:val="0"/>
          <w:marBottom w:val="0"/>
          <w:divBdr>
            <w:top w:val="none" w:sz="0" w:space="0" w:color="auto"/>
            <w:left w:val="none" w:sz="0" w:space="0" w:color="auto"/>
            <w:bottom w:val="none" w:sz="0" w:space="0" w:color="auto"/>
            <w:right w:val="none" w:sz="0" w:space="0" w:color="auto"/>
          </w:divBdr>
        </w:div>
        <w:div w:id="647903172">
          <w:marLeft w:val="640"/>
          <w:marRight w:val="0"/>
          <w:marTop w:val="0"/>
          <w:marBottom w:val="0"/>
          <w:divBdr>
            <w:top w:val="none" w:sz="0" w:space="0" w:color="auto"/>
            <w:left w:val="none" w:sz="0" w:space="0" w:color="auto"/>
            <w:bottom w:val="none" w:sz="0" w:space="0" w:color="auto"/>
            <w:right w:val="none" w:sz="0" w:space="0" w:color="auto"/>
          </w:divBdr>
        </w:div>
        <w:div w:id="1341354368">
          <w:marLeft w:val="640"/>
          <w:marRight w:val="0"/>
          <w:marTop w:val="0"/>
          <w:marBottom w:val="0"/>
          <w:divBdr>
            <w:top w:val="none" w:sz="0" w:space="0" w:color="auto"/>
            <w:left w:val="none" w:sz="0" w:space="0" w:color="auto"/>
            <w:bottom w:val="none" w:sz="0" w:space="0" w:color="auto"/>
            <w:right w:val="none" w:sz="0" w:space="0" w:color="auto"/>
          </w:divBdr>
        </w:div>
        <w:div w:id="1997801672">
          <w:marLeft w:val="640"/>
          <w:marRight w:val="0"/>
          <w:marTop w:val="0"/>
          <w:marBottom w:val="0"/>
          <w:divBdr>
            <w:top w:val="none" w:sz="0" w:space="0" w:color="auto"/>
            <w:left w:val="none" w:sz="0" w:space="0" w:color="auto"/>
            <w:bottom w:val="none" w:sz="0" w:space="0" w:color="auto"/>
            <w:right w:val="none" w:sz="0" w:space="0" w:color="auto"/>
          </w:divBdr>
        </w:div>
        <w:div w:id="1085805611">
          <w:marLeft w:val="640"/>
          <w:marRight w:val="0"/>
          <w:marTop w:val="0"/>
          <w:marBottom w:val="0"/>
          <w:divBdr>
            <w:top w:val="none" w:sz="0" w:space="0" w:color="auto"/>
            <w:left w:val="none" w:sz="0" w:space="0" w:color="auto"/>
            <w:bottom w:val="none" w:sz="0" w:space="0" w:color="auto"/>
            <w:right w:val="none" w:sz="0" w:space="0" w:color="auto"/>
          </w:divBdr>
        </w:div>
        <w:div w:id="396438877">
          <w:marLeft w:val="640"/>
          <w:marRight w:val="0"/>
          <w:marTop w:val="0"/>
          <w:marBottom w:val="0"/>
          <w:divBdr>
            <w:top w:val="none" w:sz="0" w:space="0" w:color="auto"/>
            <w:left w:val="none" w:sz="0" w:space="0" w:color="auto"/>
            <w:bottom w:val="none" w:sz="0" w:space="0" w:color="auto"/>
            <w:right w:val="none" w:sz="0" w:space="0" w:color="auto"/>
          </w:divBdr>
        </w:div>
        <w:div w:id="1027608056">
          <w:marLeft w:val="640"/>
          <w:marRight w:val="0"/>
          <w:marTop w:val="0"/>
          <w:marBottom w:val="0"/>
          <w:divBdr>
            <w:top w:val="none" w:sz="0" w:space="0" w:color="auto"/>
            <w:left w:val="none" w:sz="0" w:space="0" w:color="auto"/>
            <w:bottom w:val="none" w:sz="0" w:space="0" w:color="auto"/>
            <w:right w:val="none" w:sz="0" w:space="0" w:color="auto"/>
          </w:divBdr>
        </w:div>
        <w:div w:id="1690328879">
          <w:marLeft w:val="640"/>
          <w:marRight w:val="0"/>
          <w:marTop w:val="0"/>
          <w:marBottom w:val="0"/>
          <w:divBdr>
            <w:top w:val="none" w:sz="0" w:space="0" w:color="auto"/>
            <w:left w:val="none" w:sz="0" w:space="0" w:color="auto"/>
            <w:bottom w:val="none" w:sz="0" w:space="0" w:color="auto"/>
            <w:right w:val="none" w:sz="0" w:space="0" w:color="auto"/>
          </w:divBdr>
        </w:div>
        <w:div w:id="1390692976">
          <w:marLeft w:val="640"/>
          <w:marRight w:val="0"/>
          <w:marTop w:val="0"/>
          <w:marBottom w:val="0"/>
          <w:divBdr>
            <w:top w:val="none" w:sz="0" w:space="0" w:color="auto"/>
            <w:left w:val="none" w:sz="0" w:space="0" w:color="auto"/>
            <w:bottom w:val="none" w:sz="0" w:space="0" w:color="auto"/>
            <w:right w:val="none" w:sz="0" w:space="0" w:color="auto"/>
          </w:divBdr>
        </w:div>
        <w:div w:id="435056565">
          <w:marLeft w:val="640"/>
          <w:marRight w:val="0"/>
          <w:marTop w:val="0"/>
          <w:marBottom w:val="0"/>
          <w:divBdr>
            <w:top w:val="none" w:sz="0" w:space="0" w:color="auto"/>
            <w:left w:val="none" w:sz="0" w:space="0" w:color="auto"/>
            <w:bottom w:val="none" w:sz="0" w:space="0" w:color="auto"/>
            <w:right w:val="none" w:sz="0" w:space="0" w:color="auto"/>
          </w:divBdr>
        </w:div>
        <w:div w:id="928386985">
          <w:marLeft w:val="640"/>
          <w:marRight w:val="0"/>
          <w:marTop w:val="0"/>
          <w:marBottom w:val="0"/>
          <w:divBdr>
            <w:top w:val="none" w:sz="0" w:space="0" w:color="auto"/>
            <w:left w:val="none" w:sz="0" w:space="0" w:color="auto"/>
            <w:bottom w:val="none" w:sz="0" w:space="0" w:color="auto"/>
            <w:right w:val="none" w:sz="0" w:space="0" w:color="auto"/>
          </w:divBdr>
        </w:div>
        <w:div w:id="174462164">
          <w:marLeft w:val="640"/>
          <w:marRight w:val="0"/>
          <w:marTop w:val="0"/>
          <w:marBottom w:val="0"/>
          <w:divBdr>
            <w:top w:val="none" w:sz="0" w:space="0" w:color="auto"/>
            <w:left w:val="none" w:sz="0" w:space="0" w:color="auto"/>
            <w:bottom w:val="none" w:sz="0" w:space="0" w:color="auto"/>
            <w:right w:val="none" w:sz="0" w:space="0" w:color="auto"/>
          </w:divBdr>
        </w:div>
        <w:div w:id="1113093962">
          <w:marLeft w:val="640"/>
          <w:marRight w:val="0"/>
          <w:marTop w:val="0"/>
          <w:marBottom w:val="0"/>
          <w:divBdr>
            <w:top w:val="none" w:sz="0" w:space="0" w:color="auto"/>
            <w:left w:val="none" w:sz="0" w:space="0" w:color="auto"/>
            <w:bottom w:val="none" w:sz="0" w:space="0" w:color="auto"/>
            <w:right w:val="none" w:sz="0" w:space="0" w:color="auto"/>
          </w:divBdr>
        </w:div>
        <w:div w:id="843670847">
          <w:marLeft w:val="640"/>
          <w:marRight w:val="0"/>
          <w:marTop w:val="0"/>
          <w:marBottom w:val="0"/>
          <w:divBdr>
            <w:top w:val="none" w:sz="0" w:space="0" w:color="auto"/>
            <w:left w:val="none" w:sz="0" w:space="0" w:color="auto"/>
            <w:bottom w:val="none" w:sz="0" w:space="0" w:color="auto"/>
            <w:right w:val="none" w:sz="0" w:space="0" w:color="auto"/>
          </w:divBdr>
        </w:div>
        <w:div w:id="1724871123">
          <w:marLeft w:val="640"/>
          <w:marRight w:val="0"/>
          <w:marTop w:val="0"/>
          <w:marBottom w:val="0"/>
          <w:divBdr>
            <w:top w:val="none" w:sz="0" w:space="0" w:color="auto"/>
            <w:left w:val="none" w:sz="0" w:space="0" w:color="auto"/>
            <w:bottom w:val="none" w:sz="0" w:space="0" w:color="auto"/>
            <w:right w:val="none" w:sz="0" w:space="0" w:color="auto"/>
          </w:divBdr>
        </w:div>
        <w:div w:id="538249198">
          <w:marLeft w:val="640"/>
          <w:marRight w:val="0"/>
          <w:marTop w:val="0"/>
          <w:marBottom w:val="0"/>
          <w:divBdr>
            <w:top w:val="none" w:sz="0" w:space="0" w:color="auto"/>
            <w:left w:val="none" w:sz="0" w:space="0" w:color="auto"/>
            <w:bottom w:val="none" w:sz="0" w:space="0" w:color="auto"/>
            <w:right w:val="none" w:sz="0" w:space="0" w:color="auto"/>
          </w:divBdr>
        </w:div>
        <w:div w:id="1413626441">
          <w:marLeft w:val="640"/>
          <w:marRight w:val="0"/>
          <w:marTop w:val="0"/>
          <w:marBottom w:val="0"/>
          <w:divBdr>
            <w:top w:val="none" w:sz="0" w:space="0" w:color="auto"/>
            <w:left w:val="none" w:sz="0" w:space="0" w:color="auto"/>
            <w:bottom w:val="none" w:sz="0" w:space="0" w:color="auto"/>
            <w:right w:val="none" w:sz="0" w:space="0" w:color="auto"/>
          </w:divBdr>
        </w:div>
        <w:div w:id="12730771">
          <w:marLeft w:val="640"/>
          <w:marRight w:val="0"/>
          <w:marTop w:val="0"/>
          <w:marBottom w:val="0"/>
          <w:divBdr>
            <w:top w:val="none" w:sz="0" w:space="0" w:color="auto"/>
            <w:left w:val="none" w:sz="0" w:space="0" w:color="auto"/>
            <w:bottom w:val="none" w:sz="0" w:space="0" w:color="auto"/>
            <w:right w:val="none" w:sz="0" w:space="0" w:color="auto"/>
          </w:divBdr>
        </w:div>
        <w:div w:id="1013383530">
          <w:marLeft w:val="640"/>
          <w:marRight w:val="0"/>
          <w:marTop w:val="0"/>
          <w:marBottom w:val="0"/>
          <w:divBdr>
            <w:top w:val="none" w:sz="0" w:space="0" w:color="auto"/>
            <w:left w:val="none" w:sz="0" w:space="0" w:color="auto"/>
            <w:bottom w:val="none" w:sz="0" w:space="0" w:color="auto"/>
            <w:right w:val="none" w:sz="0" w:space="0" w:color="auto"/>
          </w:divBdr>
        </w:div>
        <w:div w:id="237330079">
          <w:marLeft w:val="640"/>
          <w:marRight w:val="0"/>
          <w:marTop w:val="0"/>
          <w:marBottom w:val="0"/>
          <w:divBdr>
            <w:top w:val="none" w:sz="0" w:space="0" w:color="auto"/>
            <w:left w:val="none" w:sz="0" w:space="0" w:color="auto"/>
            <w:bottom w:val="none" w:sz="0" w:space="0" w:color="auto"/>
            <w:right w:val="none" w:sz="0" w:space="0" w:color="auto"/>
          </w:divBdr>
        </w:div>
        <w:div w:id="1921407436">
          <w:marLeft w:val="640"/>
          <w:marRight w:val="0"/>
          <w:marTop w:val="0"/>
          <w:marBottom w:val="0"/>
          <w:divBdr>
            <w:top w:val="none" w:sz="0" w:space="0" w:color="auto"/>
            <w:left w:val="none" w:sz="0" w:space="0" w:color="auto"/>
            <w:bottom w:val="none" w:sz="0" w:space="0" w:color="auto"/>
            <w:right w:val="none" w:sz="0" w:space="0" w:color="auto"/>
          </w:divBdr>
        </w:div>
        <w:div w:id="501162853">
          <w:marLeft w:val="640"/>
          <w:marRight w:val="0"/>
          <w:marTop w:val="0"/>
          <w:marBottom w:val="0"/>
          <w:divBdr>
            <w:top w:val="none" w:sz="0" w:space="0" w:color="auto"/>
            <w:left w:val="none" w:sz="0" w:space="0" w:color="auto"/>
            <w:bottom w:val="none" w:sz="0" w:space="0" w:color="auto"/>
            <w:right w:val="none" w:sz="0" w:space="0" w:color="auto"/>
          </w:divBdr>
        </w:div>
        <w:div w:id="174659421">
          <w:marLeft w:val="640"/>
          <w:marRight w:val="0"/>
          <w:marTop w:val="0"/>
          <w:marBottom w:val="0"/>
          <w:divBdr>
            <w:top w:val="none" w:sz="0" w:space="0" w:color="auto"/>
            <w:left w:val="none" w:sz="0" w:space="0" w:color="auto"/>
            <w:bottom w:val="none" w:sz="0" w:space="0" w:color="auto"/>
            <w:right w:val="none" w:sz="0" w:space="0" w:color="auto"/>
          </w:divBdr>
        </w:div>
        <w:div w:id="1806000774">
          <w:marLeft w:val="640"/>
          <w:marRight w:val="0"/>
          <w:marTop w:val="0"/>
          <w:marBottom w:val="0"/>
          <w:divBdr>
            <w:top w:val="none" w:sz="0" w:space="0" w:color="auto"/>
            <w:left w:val="none" w:sz="0" w:space="0" w:color="auto"/>
            <w:bottom w:val="none" w:sz="0" w:space="0" w:color="auto"/>
            <w:right w:val="none" w:sz="0" w:space="0" w:color="auto"/>
          </w:divBdr>
        </w:div>
        <w:div w:id="321130587">
          <w:marLeft w:val="640"/>
          <w:marRight w:val="0"/>
          <w:marTop w:val="0"/>
          <w:marBottom w:val="0"/>
          <w:divBdr>
            <w:top w:val="none" w:sz="0" w:space="0" w:color="auto"/>
            <w:left w:val="none" w:sz="0" w:space="0" w:color="auto"/>
            <w:bottom w:val="none" w:sz="0" w:space="0" w:color="auto"/>
            <w:right w:val="none" w:sz="0" w:space="0" w:color="auto"/>
          </w:divBdr>
        </w:div>
        <w:div w:id="562252865">
          <w:marLeft w:val="640"/>
          <w:marRight w:val="0"/>
          <w:marTop w:val="0"/>
          <w:marBottom w:val="0"/>
          <w:divBdr>
            <w:top w:val="none" w:sz="0" w:space="0" w:color="auto"/>
            <w:left w:val="none" w:sz="0" w:space="0" w:color="auto"/>
            <w:bottom w:val="none" w:sz="0" w:space="0" w:color="auto"/>
            <w:right w:val="none" w:sz="0" w:space="0" w:color="auto"/>
          </w:divBdr>
        </w:div>
        <w:div w:id="1378697178">
          <w:marLeft w:val="640"/>
          <w:marRight w:val="0"/>
          <w:marTop w:val="0"/>
          <w:marBottom w:val="0"/>
          <w:divBdr>
            <w:top w:val="none" w:sz="0" w:space="0" w:color="auto"/>
            <w:left w:val="none" w:sz="0" w:space="0" w:color="auto"/>
            <w:bottom w:val="none" w:sz="0" w:space="0" w:color="auto"/>
            <w:right w:val="none" w:sz="0" w:space="0" w:color="auto"/>
          </w:divBdr>
        </w:div>
        <w:div w:id="358312478">
          <w:marLeft w:val="640"/>
          <w:marRight w:val="0"/>
          <w:marTop w:val="0"/>
          <w:marBottom w:val="0"/>
          <w:divBdr>
            <w:top w:val="none" w:sz="0" w:space="0" w:color="auto"/>
            <w:left w:val="none" w:sz="0" w:space="0" w:color="auto"/>
            <w:bottom w:val="none" w:sz="0" w:space="0" w:color="auto"/>
            <w:right w:val="none" w:sz="0" w:space="0" w:color="auto"/>
          </w:divBdr>
        </w:div>
        <w:div w:id="728921583">
          <w:marLeft w:val="640"/>
          <w:marRight w:val="0"/>
          <w:marTop w:val="0"/>
          <w:marBottom w:val="0"/>
          <w:divBdr>
            <w:top w:val="none" w:sz="0" w:space="0" w:color="auto"/>
            <w:left w:val="none" w:sz="0" w:space="0" w:color="auto"/>
            <w:bottom w:val="none" w:sz="0" w:space="0" w:color="auto"/>
            <w:right w:val="none" w:sz="0" w:space="0" w:color="auto"/>
          </w:divBdr>
        </w:div>
        <w:div w:id="1016424521">
          <w:marLeft w:val="640"/>
          <w:marRight w:val="0"/>
          <w:marTop w:val="0"/>
          <w:marBottom w:val="0"/>
          <w:divBdr>
            <w:top w:val="none" w:sz="0" w:space="0" w:color="auto"/>
            <w:left w:val="none" w:sz="0" w:space="0" w:color="auto"/>
            <w:bottom w:val="none" w:sz="0" w:space="0" w:color="auto"/>
            <w:right w:val="none" w:sz="0" w:space="0" w:color="auto"/>
          </w:divBdr>
        </w:div>
        <w:div w:id="2043238024">
          <w:marLeft w:val="640"/>
          <w:marRight w:val="0"/>
          <w:marTop w:val="0"/>
          <w:marBottom w:val="0"/>
          <w:divBdr>
            <w:top w:val="none" w:sz="0" w:space="0" w:color="auto"/>
            <w:left w:val="none" w:sz="0" w:space="0" w:color="auto"/>
            <w:bottom w:val="none" w:sz="0" w:space="0" w:color="auto"/>
            <w:right w:val="none" w:sz="0" w:space="0" w:color="auto"/>
          </w:divBdr>
        </w:div>
        <w:div w:id="1556742701">
          <w:marLeft w:val="640"/>
          <w:marRight w:val="0"/>
          <w:marTop w:val="0"/>
          <w:marBottom w:val="0"/>
          <w:divBdr>
            <w:top w:val="none" w:sz="0" w:space="0" w:color="auto"/>
            <w:left w:val="none" w:sz="0" w:space="0" w:color="auto"/>
            <w:bottom w:val="none" w:sz="0" w:space="0" w:color="auto"/>
            <w:right w:val="none" w:sz="0" w:space="0" w:color="auto"/>
          </w:divBdr>
        </w:div>
        <w:div w:id="1639842029">
          <w:marLeft w:val="640"/>
          <w:marRight w:val="0"/>
          <w:marTop w:val="0"/>
          <w:marBottom w:val="0"/>
          <w:divBdr>
            <w:top w:val="none" w:sz="0" w:space="0" w:color="auto"/>
            <w:left w:val="none" w:sz="0" w:space="0" w:color="auto"/>
            <w:bottom w:val="none" w:sz="0" w:space="0" w:color="auto"/>
            <w:right w:val="none" w:sz="0" w:space="0" w:color="auto"/>
          </w:divBdr>
        </w:div>
        <w:div w:id="450899676">
          <w:marLeft w:val="640"/>
          <w:marRight w:val="0"/>
          <w:marTop w:val="0"/>
          <w:marBottom w:val="0"/>
          <w:divBdr>
            <w:top w:val="none" w:sz="0" w:space="0" w:color="auto"/>
            <w:left w:val="none" w:sz="0" w:space="0" w:color="auto"/>
            <w:bottom w:val="none" w:sz="0" w:space="0" w:color="auto"/>
            <w:right w:val="none" w:sz="0" w:space="0" w:color="auto"/>
          </w:divBdr>
        </w:div>
        <w:div w:id="1592930391">
          <w:marLeft w:val="640"/>
          <w:marRight w:val="0"/>
          <w:marTop w:val="0"/>
          <w:marBottom w:val="0"/>
          <w:divBdr>
            <w:top w:val="none" w:sz="0" w:space="0" w:color="auto"/>
            <w:left w:val="none" w:sz="0" w:space="0" w:color="auto"/>
            <w:bottom w:val="none" w:sz="0" w:space="0" w:color="auto"/>
            <w:right w:val="none" w:sz="0" w:space="0" w:color="auto"/>
          </w:divBdr>
        </w:div>
        <w:div w:id="410658976">
          <w:marLeft w:val="640"/>
          <w:marRight w:val="0"/>
          <w:marTop w:val="0"/>
          <w:marBottom w:val="0"/>
          <w:divBdr>
            <w:top w:val="none" w:sz="0" w:space="0" w:color="auto"/>
            <w:left w:val="none" w:sz="0" w:space="0" w:color="auto"/>
            <w:bottom w:val="none" w:sz="0" w:space="0" w:color="auto"/>
            <w:right w:val="none" w:sz="0" w:space="0" w:color="auto"/>
          </w:divBdr>
        </w:div>
        <w:div w:id="1930455955">
          <w:marLeft w:val="640"/>
          <w:marRight w:val="0"/>
          <w:marTop w:val="0"/>
          <w:marBottom w:val="0"/>
          <w:divBdr>
            <w:top w:val="none" w:sz="0" w:space="0" w:color="auto"/>
            <w:left w:val="none" w:sz="0" w:space="0" w:color="auto"/>
            <w:bottom w:val="none" w:sz="0" w:space="0" w:color="auto"/>
            <w:right w:val="none" w:sz="0" w:space="0" w:color="auto"/>
          </w:divBdr>
        </w:div>
        <w:div w:id="75061280">
          <w:marLeft w:val="640"/>
          <w:marRight w:val="0"/>
          <w:marTop w:val="0"/>
          <w:marBottom w:val="0"/>
          <w:divBdr>
            <w:top w:val="none" w:sz="0" w:space="0" w:color="auto"/>
            <w:left w:val="none" w:sz="0" w:space="0" w:color="auto"/>
            <w:bottom w:val="none" w:sz="0" w:space="0" w:color="auto"/>
            <w:right w:val="none" w:sz="0" w:space="0" w:color="auto"/>
          </w:divBdr>
        </w:div>
        <w:div w:id="2002393583">
          <w:marLeft w:val="640"/>
          <w:marRight w:val="0"/>
          <w:marTop w:val="0"/>
          <w:marBottom w:val="0"/>
          <w:divBdr>
            <w:top w:val="none" w:sz="0" w:space="0" w:color="auto"/>
            <w:left w:val="none" w:sz="0" w:space="0" w:color="auto"/>
            <w:bottom w:val="none" w:sz="0" w:space="0" w:color="auto"/>
            <w:right w:val="none" w:sz="0" w:space="0" w:color="auto"/>
          </w:divBdr>
        </w:div>
        <w:div w:id="1634365085">
          <w:marLeft w:val="640"/>
          <w:marRight w:val="0"/>
          <w:marTop w:val="0"/>
          <w:marBottom w:val="0"/>
          <w:divBdr>
            <w:top w:val="none" w:sz="0" w:space="0" w:color="auto"/>
            <w:left w:val="none" w:sz="0" w:space="0" w:color="auto"/>
            <w:bottom w:val="none" w:sz="0" w:space="0" w:color="auto"/>
            <w:right w:val="none" w:sz="0" w:space="0" w:color="auto"/>
          </w:divBdr>
        </w:div>
        <w:div w:id="674647091">
          <w:marLeft w:val="640"/>
          <w:marRight w:val="0"/>
          <w:marTop w:val="0"/>
          <w:marBottom w:val="0"/>
          <w:divBdr>
            <w:top w:val="none" w:sz="0" w:space="0" w:color="auto"/>
            <w:left w:val="none" w:sz="0" w:space="0" w:color="auto"/>
            <w:bottom w:val="none" w:sz="0" w:space="0" w:color="auto"/>
            <w:right w:val="none" w:sz="0" w:space="0" w:color="auto"/>
          </w:divBdr>
        </w:div>
        <w:div w:id="1134525577">
          <w:marLeft w:val="640"/>
          <w:marRight w:val="0"/>
          <w:marTop w:val="0"/>
          <w:marBottom w:val="0"/>
          <w:divBdr>
            <w:top w:val="none" w:sz="0" w:space="0" w:color="auto"/>
            <w:left w:val="none" w:sz="0" w:space="0" w:color="auto"/>
            <w:bottom w:val="none" w:sz="0" w:space="0" w:color="auto"/>
            <w:right w:val="none" w:sz="0" w:space="0" w:color="auto"/>
          </w:divBdr>
        </w:div>
        <w:div w:id="1293369976">
          <w:marLeft w:val="640"/>
          <w:marRight w:val="0"/>
          <w:marTop w:val="0"/>
          <w:marBottom w:val="0"/>
          <w:divBdr>
            <w:top w:val="none" w:sz="0" w:space="0" w:color="auto"/>
            <w:left w:val="none" w:sz="0" w:space="0" w:color="auto"/>
            <w:bottom w:val="none" w:sz="0" w:space="0" w:color="auto"/>
            <w:right w:val="none" w:sz="0" w:space="0" w:color="auto"/>
          </w:divBdr>
        </w:div>
        <w:div w:id="590746667">
          <w:marLeft w:val="640"/>
          <w:marRight w:val="0"/>
          <w:marTop w:val="0"/>
          <w:marBottom w:val="0"/>
          <w:divBdr>
            <w:top w:val="none" w:sz="0" w:space="0" w:color="auto"/>
            <w:left w:val="none" w:sz="0" w:space="0" w:color="auto"/>
            <w:bottom w:val="none" w:sz="0" w:space="0" w:color="auto"/>
            <w:right w:val="none" w:sz="0" w:space="0" w:color="auto"/>
          </w:divBdr>
        </w:div>
        <w:div w:id="300811540">
          <w:marLeft w:val="640"/>
          <w:marRight w:val="0"/>
          <w:marTop w:val="0"/>
          <w:marBottom w:val="0"/>
          <w:divBdr>
            <w:top w:val="none" w:sz="0" w:space="0" w:color="auto"/>
            <w:left w:val="none" w:sz="0" w:space="0" w:color="auto"/>
            <w:bottom w:val="none" w:sz="0" w:space="0" w:color="auto"/>
            <w:right w:val="none" w:sz="0" w:space="0" w:color="auto"/>
          </w:divBdr>
        </w:div>
        <w:div w:id="94374686">
          <w:marLeft w:val="640"/>
          <w:marRight w:val="0"/>
          <w:marTop w:val="0"/>
          <w:marBottom w:val="0"/>
          <w:divBdr>
            <w:top w:val="none" w:sz="0" w:space="0" w:color="auto"/>
            <w:left w:val="none" w:sz="0" w:space="0" w:color="auto"/>
            <w:bottom w:val="none" w:sz="0" w:space="0" w:color="auto"/>
            <w:right w:val="none" w:sz="0" w:space="0" w:color="auto"/>
          </w:divBdr>
        </w:div>
        <w:div w:id="12853125">
          <w:marLeft w:val="640"/>
          <w:marRight w:val="0"/>
          <w:marTop w:val="0"/>
          <w:marBottom w:val="0"/>
          <w:divBdr>
            <w:top w:val="none" w:sz="0" w:space="0" w:color="auto"/>
            <w:left w:val="none" w:sz="0" w:space="0" w:color="auto"/>
            <w:bottom w:val="none" w:sz="0" w:space="0" w:color="auto"/>
            <w:right w:val="none" w:sz="0" w:space="0" w:color="auto"/>
          </w:divBdr>
        </w:div>
        <w:div w:id="2052143354">
          <w:marLeft w:val="640"/>
          <w:marRight w:val="0"/>
          <w:marTop w:val="0"/>
          <w:marBottom w:val="0"/>
          <w:divBdr>
            <w:top w:val="none" w:sz="0" w:space="0" w:color="auto"/>
            <w:left w:val="none" w:sz="0" w:space="0" w:color="auto"/>
            <w:bottom w:val="none" w:sz="0" w:space="0" w:color="auto"/>
            <w:right w:val="none" w:sz="0" w:space="0" w:color="auto"/>
          </w:divBdr>
        </w:div>
        <w:div w:id="1903785505">
          <w:marLeft w:val="640"/>
          <w:marRight w:val="0"/>
          <w:marTop w:val="0"/>
          <w:marBottom w:val="0"/>
          <w:divBdr>
            <w:top w:val="none" w:sz="0" w:space="0" w:color="auto"/>
            <w:left w:val="none" w:sz="0" w:space="0" w:color="auto"/>
            <w:bottom w:val="none" w:sz="0" w:space="0" w:color="auto"/>
            <w:right w:val="none" w:sz="0" w:space="0" w:color="auto"/>
          </w:divBdr>
        </w:div>
        <w:div w:id="892814365">
          <w:marLeft w:val="640"/>
          <w:marRight w:val="0"/>
          <w:marTop w:val="0"/>
          <w:marBottom w:val="0"/>
          <w:divBdr>
            <w:top w:val="none" w:sz="0" w:space="0" w:color="auto"/>
            <w:left w:val="none" w:sz="0" w:space="0" w:color="auto"/>
            <w:bottom w:val="none" w:sz="0" w:space="0" w:color="auto"/>
            <w:right w:val="none" w:sz="0" w:space="0" w:color="auto"/>
          </w:divBdr>
        </w:div>
        <w:div w:id="859122138">
          <w:marLeft w:val="640"/>
          <w:marRight w:val="0"/>
          <w:marTop w:val="0"/>
          <w:marBottom w:val="0"/>
          <w:divBdr>
            <w:top w:val="none" w:sz="0" w:space="0" w:color="auto"/>
            <w:left w:val="none" w:sz="0" w:space="0" w:color="auto"/>
            <w:bottom w:val="none" w:sz="0" w:space="0" w:color="auto"/>
            <w:right w:val="none" w:sz="0" w:space="0" w:color="auto"/>
          </w:divBdr>
        </w:div>
        <w:div w:id="517475136">
          <w:marLeft w:val="640"/>
          <w:marRight w:val="0"/>
          <w:marTop w:val="0"/>
          <w:marBottom w:val="0"/>
          <w:divBdr>
            <w:top w:val="none" w:sz="0" w:space="0" w:color="auto"/>
            <w:left w:val="none" w:sz="0" w:space="0" w:color="auto"/>
            <w:bottom w:val="none" w:sz="0" w:space="0" w:color="auto"/>
            <w:right w:val="none" w:sz="0" w:space="0" w:color="auto"/>
          </w:divBdr>
        </w:div>
        <w:div w:id="1939629679">
          <w:marLeft w:val="640"/>
          <w:marRight w:val="0"/>
          <w:marTop w:val="0"/>
          <w:marBottom w:val="0"/>
          <w:divBdr>
            <w:top w:val="none" w:sz="0" w:space="0" w:color="auto"/>
            <w:left w:val="none" w:sz="0" w:space="0" w:color="auto"/>
            <w:bottom w:val="none" w:sz="0" w:space="0" w:color="auto"/>
            <w:right w:val="none" w:sz="0" w:space="0" w:color="auto"/>
          </w:divBdr>
        </w:div>
        <w:div w:id="1857231757">
          <w:marLeft w:val="640"/>
          <w:marRight w:val="0"/>
          <w:marTop w:val="0"/>
          <w:marBottom w:val="0"/>
          <w:divBdr>
            <w:top w:val="none" w:sz="0" w:space="0" w:color="auto"/>
            <w:left w:val="none" w:sz="0" w:space="0" w:color="auto"/>
            <w:bottom w:val="none" w:sz="0" w:space="0" w:color="auto"/>
            <w:right w:val="none" w:sz="0" w:space="0" w:color="auto"/>
          </w:divBdr>
        </w:div>
        <w:div w:id="224797381">
          <w:marLeft w:val="640"/>
          <w:marRight w:val="0"/>
          <w:marTop w:val="0"/>
          <w:marBottom w:val="0"/>
          <w:divBdr>
            <w:top w:val="none" w:sz="0" w:space="0" w:color="auto"/>
            <w:left w:val="none" w:sz="0" w:space="0" w:color="auto"/>
            <w:bottom w:val="none" w:sz="0" w:space="0" w:color="auto"/>
            <w:right w:val="none" w:sz="0" w:space="0" w:color="auto"/>
          </w:divBdr>
        </w:div>
        <w:div w:id="974918199">
          <w:marLeft w:val="640"/>
          <w:marRight w:val="0"/>
          <w:marTop w:val="0"/>
          <w:marBottom w:val="0"/>
          <w:divBdr>
            <w:top w:val="none" w:sz="0" w:space="0" w:color="auto"/>
            <w:left w:val="none" w:sz="0" w:space="0" w:color="auto"/>
            <w:bottom w:val="none" w:sz="0" w:space="0" w:color="auto"/>
            <w:right w:val="none" w:sz="0" w:space="0" w:color="auto"/>
          </w:divBdr>
        </w:div>
        <w:div w:id="51773586">
          <w:marLeft w:val="640"/>
          <w:marRight w:val="0"/>
          <w:marTop w:val="0"/>
          <w:marBottom w:val="0"/>
          <w:divBdr>
            <w:top w:val="none" w:sz="0" w:space="0" w:color="auto"/>
            <w:left w:val="none" w:sz="0" w:space="0" w:color="auto"/>
            <w:bottom w:val="none" w:sz="0" w:space="0" w:color="auto"/>
            <w:right w:val="none" w:sz="0" w:space="0" w:color="auto"/>
          </w:divBdr>
        </w:div>
        <w:div w:id="1909682904">
          <w:marLeft w:val="640"/>
          <w:marRight w:val="0"/>
          <w:marTop w:val="0"/>
          <w:marBottom w:val="0"/>
          <w:divBdr>
            <w:top w:val="none" w:sz="0" w:space="0" w:color="auto"/>
            <w:left w:val="none" w:sz="0" w:space="0" w:color="auto"/>
            <w:bottom w:val="none" w:sz="0" w:space="0" w:color="auto"/>
            <w:right w:val="none" w:sz="0" w:space="0" w:color="auto"/>
          </w:divBdr>
        </w:div>
        <w:div w:id="113984170">
          <w:marLeft w:val="640"/>
          <w:marRight w:val="0"/>
          <w:marTop w:val="0"/>
          <w:marBottom w:val="0"/>
          <w:divBdr>
            <w:top w:val="none" w:sz="0" w:space="0" w:color="auto"/>
            <w:left w:val="none" w:sz="0" w:space="0" w:color="auto"/>
            <w:bottom w:val="none" w:sz="0" w:space="0" w:color="auto"/>
            <w:right w:val="none" w:sz="0" w:space="0" w:color="auto"/>
          </w:divBdr>
        </w:div>
        <w:div w:id="41097310">
          <w:marLeft w:val="640"/>
          <w:marRight w:val="0"/>
          <w:marTop w:val="0"/>
          <w:marBottom w:val="0"/>
          <w:divBdr>
            <w:top w:val="none" w:sz="0" w:space="0" w:color="auto"/>
            <w:left w:val="none" w:sz="0" w:space="0" w:color="auto"/>
            <w:bottom w:val="none" w:sz="0" w:space="0" w:color="auto"/>
            <w:right w:val="none" w:sz="0" w:space="0" w:color="auto"/>
          </w:divBdr>
        </w:div>
        <w:div w:id="492986281">
          <w:marLeft w:val="640"/>
          <w:marRight w:val="0"/>
          <w:marTop w:val="0"/>
          <w:marBottom w:val="0"/>
          <w:divBdr>
            <w:top w:val="none" w:sz="0" w:space="0" w:color="auto"/>
            <w:left w:val="none" w:sz="0" w:space="0" w:color="auto"/>
            <w:bottom w:val="none" w:sz="0" w:space="0" w:color="auto"/>
            <w:right w:val="none" w:sz="0" w:space="0" w:color="auto"/>
          </w:divBdr>
        </w:div>
        <w:div w:id="1867714287">
          <w:marLeft w:val="640"/>
          <w:marRight w:val="0"/>
          <w:marTop w:val="0"/>
          <w:marBottom w:val="0"/>
          <w:divBdr>
            <w:top w:val="none" w:sz="0" w:space="0" w:color="auto"/>
            <w:left w:val="none" w:sz="0" w:space="0" w:color="auto"/>
            <w:bottom w:val="none" w:sz="0" w:space="0" w:color="auto"/>
            <w:right w:val="none" w:sz="0" w:space="0" w:color="auto"/>
          </w:divBdr>
        </w:div>
        <w:div w:id="885608513">
          <w:marLeft w:val="640"/>
          <w:marRight w:val="0"/>
          <w:marTop w:val="0"/>
          <w:marBottom w:val="0"/>
          <w:divBdr>
            <w:top w:val="none" w:sz="0" w:space="0" w:color="auto"/>
            <w:left w:val="none" w:sz="0" w:space="0" w:color="auto"/>
            <w:bottom w:val="none" w:sz="0" w:space="0" w:color="auto"/>
            <w:right w:val="none" w:sz="0" w:space="0" w:color="auto"/>
          </w:divBdr>
        </w:div>
        <w:div w:id="753741695">
          <w:marLeft w:val="640"/>
          <w:marRight w:val="0"/>
          <w:marTop w:val="0"/>
          <w:marBottom w:val="0"/>
          <w:divBdr>
            <w:top w:val="none" w:sz="0" w:space="0" w:color="auto"/>
            <w:left w:val="none" w:sz="0" w:space="0" w:color="auto"/>
            <w:bottom w:val="none" w:sz="0" w:space="0" w:color="auto"/>
            <w:right w:val="none" w:sz="0" w:space="0" w:color="auto"/>
          </w:divBdr>
        </w:div>
        <w:div w:id="1266841422">
          <w:marLeft w:val="640"/>
          <w:marRight w:val="0"/>
          <w:marTop w:val="0"/>
          <w:marBottom w:val="0"/>
          <w:divBdr>
            <w:top w:val="none" w:sz="0" w:space="0" w:color="auto"/>
            <w:left w:val="none" w:sz="0" w:space="0" w:color="auto"/>
            <w:bottom w:val="none" w:sz="0" w:space="0" w:color="auto"/>
            <w:right w:val="none" w:sz="0" w:space="0" w:color="auto"/>
          </w:divBdr>
        </w:div>
        <w:div w:id="1899632036">
          <w:marLeft w:val="640"/>
          <w:marRight w:val="0"/>
          <w:marTop w:val="0"/>
          <w:marBottom w:val="0"/>
          <w:divBdr>
            <w:top w:val="none" w:sz="0" w:space="0" w:color="auto"/>
            <w:left w:val="none" w:sz="0" w:space="0" w:color="auto"/>
            <w:bottom w:val="none" w:sz="0" w:space="0" w:color="auto"/>
            <w:right w:val="none" w:sz="0" w:space="0" w:color="auto"/>
          </w:divBdr>
        </w:div>
        <w:div w:id="1373265358">
          <w:marLeft w:val="640"/>
          <w:marRight w:val="0"/>
          <w:marTop w:val="0"/>
          <w:marBottom w:val="0"/>
          <w:divBdr>
            <w:top w:val="none" w:sz="0" w:space="0" w:color="auto"/>
            <w:left w:val="none" w:sz="0" w:space="0" w:color="auto"/>
            <w:bottom w:val="none" w:sz="0" w:space="0" w:color="auto"/>
            <w:right w:val="none" w:sz="0" w:space="0" w:color="auto"/>
          </w:divBdr>
        </w:div>
        <w:div w:id="1063021006">
          <w:marLeft w:val="640"/>
          <w:marRight w:val="0"/>
          <w:marTop w:val="0"/>
          <w:marBottom w:val="0"/>
          <w:divBdr>
            <w:top w:val="none" w:sz="0" w:space="0" w:color="auto"/>
            <w:left w:val="none" w:sz="0" w:space="0" w:color="auto"/>
            <w:bottom w:val="none" w:sz="0" w:space="0" w:color="auto"/>
            <w:right w:val="none" w:sz="0" w:space="0" w:color="auto"/>
          </w:divBdr>
        </w:div>
        <w:div w:id="739909059">
          <w:marLeft w:val="640"/>
          <w:marRight w:val="0"/>
          <w:marTop w:val="0"/>
          <w:marBottom w:val="0"/>
          <w:divBdr>
            <w:top w:val="none" w:sz="0" w:space="0" w:color="auto"/>
            <w:left w:val="none" w:sz="0" w:space="0" w:color="auto"/>
            <w:bottom w:val="none" w:sz="0" w:space="0" w:color="auto"/>
            <w:right w:val="none" w:sz="0" w:space="0" w:color="auto"/>
          </w:divBdr>
        </w:div>
        <w:div w:id="1138953924">
          <w:marLeft w:val="640"/>
          <w:marRight w:val="0"/>
          <w:marTop w:val="0"/>
          <w:marBottom w:val="0"/>
          <w:divBdr>
            <w:top w:val="none" w:sz="0" w:space="0" w:color="auto"/>
            <w:left w:val="none" w:sz="0" w:space="0" w:color="auto"/>
            <w:bottom w:val="none" w:sz="0" w:space="0" w:color="auto"/>
            <w:right w:val="none" w:sz="0" w:space="0" w:color="auto"/>
          </w:divBdr>
        </w:div>
        <w:div w:id="1702391634">
          <w:marLeft w:val="640"/>
          <w:marRight w:val="0"/>
          <w:marTop w:val="0"/>
          <w:marBottom w:val="0"/>
          <w:divBdr>
            <w:top w:val="none" w:sz="0" w:space="0" w:color="auto"/>
            <w:left w:val="none" w:sz="0" w:space="0" w:color="auto"/>
            <w:bottom w:val="none" w:sz="0" w:space="0" w:color="auto"/>
            <w:right w:val="none" w:sz="0" w:space="0" w:color="auto"/>
          </w:divBdr>
        </w:div>
        <w:div w:id="564219886">
          <w:marLeft w:val="640"/>
          <w:marRight w:val="0"/>
          <w:marTop w:val="0"/>
          <w:marBottom w:val="0"/>
          <w:divBdr>
            <w:top w:val="none" w:sz="0" w:space="0" w:color="auto"/>
            <w:left w:val="none" w:sz="0" w:space="0" w:color="auto"/>
            <w:bottom w:val="none" w:sz="0" w:space="0" w:color="auto"/>
            <w:right w:val="none" w:sz="0" w:space="0" w:color="auto"/>
          </w:divBdr>
        </w:div>
        <w:div w:id="1372606904">
          <w:marLeft w:val="640"/>
          <w:marRight w:val="0"/>
          <w:marTop w:val="0"/>
          <w:marBottom w:val="0"/>
          <w:divBdr>
            <w:top w:val="none" w:sz="0" w:space="0" w:color="auto"/>
            <w:left w:val="none" w:sz="0" w:space="0" w:color="auto"/>
            <w:bottom w:val="none" w:sz="0" w:space="0" w:color="auto"/>
            <w:right w:val="none" w:sz="0" w:space="0" w:color="auto"/>
          </w:divBdr>
        </w:div>
        <w:div w:id="1111435385">
          <w:marLeft w:val="640"/>
          <w:marRight w:val="0"/>
          <w:marTop w:val="0"/>
          <w:marBottom w:val="0"/>
          <w:divBdr>
            <w:top w:val="none" w:sz="0" w:space="0" w:color="auto"/>
            <w:left w:val="none" w:sz="0" w:space="0" w:color="auto"/>
            <w:bottom w:val="none" w:sz="0" w:space="0" w:color="auto"/>
            <w:right w:val="none" w:sz="0" w:space="0" w:color="auto"/>
          </w:divBdr>
        </w:div>
        <w:div w:id="1414203709">
          <w:marLeft w:val="640"/>
          <w:marRight w:val="0"/>
          <w:marTop w:val="0"/>
          <w:marBottom w:val="0"/>
          <w:divBdr>
            <w:top w:val="none" w:sz="0" w:space="0" w:color="auto"/>
            <w:left w:val="none" w:sz="0" w:space="0" w:color="auto"/>
            <w:bottom w:val="none" w:sz="0" w:space="0" w:color="auto"/>
            <w:right w:val="none" w:sz="0" w:space="0" w:color="auto"/>
          </w:divBdr>
        </w:div>
        <w:div w:id="590432409">
          <w:marLeft w:val="640"/>
          <w:marRight w:val="0"/>
          <w:marTop w:val="0"/>
          <w:marBottom w:val="0"/>
          <w:divBdr>
            <w:top w:val="none" w:sz="0" w:space="0" w:color="auto"/>
            <w:left w:val="none" w:sz="0" w:space="0" w:color="auto"/>
            <w:bottom w:val="none" w:sz="0" w:space="0" w:color="auto"/>
            <w:right w:val="none" w:sz="0" w:space="0" w:color="auto"/>
          </w:divBdr>
        </w:div>
        <w:div w:id="1951887115">
          <w:marLeft w:val="640"/>
          <w:marRight w:val="0"/>
          <w:marTop w:val="0"/>
          <w:marBottom w:val="0"/>
          <w:divBdr>
            <w:top w:val="none" w:sz="0" w:space="0" w:color="auto"/>
            <w:left w:val="none" w:sz="0" w:space="0" w:color="auto"/>
            <w:bottom w:val="none" w:sz="0" w:space="0" w:color="auto"/>
            <w:right w:val="none" w:sz="0" w:space="0" w:color="auto"/>
          </w:divBdr>
        </w:div>
        <w:div w:id="1533181351">
          <w:marLeft w:val="640"/>
          <w:marRight w:val="0"/>
          <w:marTop w:val="0"/>
          <w:marBottom w:val="0"/>
          <w:divBdr>
            <w:top w:val="none" w:sz="0" w:space="0" w:color="auto"/>
            <w:left w:val="none" w:sz="0" w:space="0" w:color="auto"/>
            <w:bottom w:val="none" w:sz="0" w:space="0" w:color="auto"/>
            <w:right w:val="none" w:sz="0" w:space="0" w:color="auto"/>
          </w:divBdr>
        </w:div>
        <w:div w:id="1636137223">
          <w:marLeft w:val="640"/>
          <w:marRight w:val="0"/>
          <w:marTop w:val="0"/>
          <w:marBottom w:val="0"/>
          <w:divBdr>
            <w:top w:val="none" w:sz="0" w:space="0" w:color="auto"/>
            <w:left w:val="none" w:sz="0" w:space="0" w:color="auto"/>
            <w:bottom w:val="none" w:sz="0" w:space="0" w:color="auto"/>
            <w:right w:val="none" w:sz="0" w:space="0" w:color="auto"/>
          </w:divBdr>
        </w:div>
        <w:div w:id="1061486791">
          <w:marLeft w:val="640"/>
          <w:marRight w:val="0"/>
          <w:marTop w:val="0"/>
          <w:marBottom w:val="0"/>
          <w:divBdr>
            <w:top w:val="none" w:sz="0" w:space="0" w:color="auto"/>
            <w:left w:val="none" w:sz="0" w:space="0" w:color="auto"/>
            <w:bottom w:val="none" w:sz="0" w:space="0" w:color="auto"/>
            <w:right w:val="none" w:sz="0" w:space="0" w:color="auto"/>
          </w:divBdr>
        </w:div>
        <w:div w:id="1115516969">
          <w:marLeft w:val="640"/>
          <w:marRight w:val="0"/>
          <w:marTop w:val="0"/>
          <w:marBottom w:val="0"/>
          <w:divBdr>
            <w:top w:val="none" w:sz="0" w:space="0" w:color="auto"/>
            <w:left w:val="none" w:sz="0" w:space="0" w:color="auto"/>
            <w:bottom w:val="none" w:sz="0" w:space="0" w:color="auto"/>
            <w:right w:val="none" w:sz="0" w:space="0" w:color="auto"/>
          </w:divBdr>
        </w:div>
        <w:div w:id="484587005">
          <w:marLeft w:val="640"/>
          <w:marRight w:val="0"/>
          <w:marTop w:val="0"/>
          <w:marBottom w:val="0"/>
          <w:divBdr>
            <w:top w:val="none" w:sz="0" w:space="0" w:color="auto"/>
            <w:left w:val="none" w:sz="0" w:space="0" w:color="auto"/>
            <w:bottom w:val="none" w:sz="0" w:space="0" w:color="auto"/>
            <w:right w:val="none" w:sz="0" w:space="0" w:color="auto"/>
          </w:divBdr>
        </w:div>
        <w:div w:id="1513185677">
          <w:marLeft w:val="640"/>
          <w:marRight w:val="0"/>
          <w:marTop w:val="0"/>
          <w:marBottom w:val="0"/>
          <w:divBdr>
            <w:top w:val="none" w:sz="0" w:space="0" w:color="auto"/>
            <w:left w:val="none" w:sz="0" w:space="0" w:color="auto"/>
            <w:bottom w:val="none" w:sz="0" w:space="0" w:color="auto"/>
            <w:right w:val="none" w:sz="0" w:space="0" w:color="auto"/>
          </w:divBdr>
        </w:div>
        <w:div w:id="523710417">
          <w:marLeft w:val="640"/>
          <w:marRight w:val="0"/>
          <w:marTop w:val="0"/>
          <w:marBottom w:val="0"/>
          <w:divBdr>
            <w:top w:val="none" w:sz="0" w:space="0" w:color="auto"/>
            <w:left w:val="none" w:sz="0" w:space="0" w:color="auto"/>
            <w:bottom w:val="none" w:sz="0" w:space="0" w:color="auto"/>
            <w:right w:val="none" w:sz="0" w:space="0" w:color="auto"/>
          </w:divBdr>
        </w:div>
        <w:div w:id="593591168">
          <w:marLeft w:val="640"/>
          <w:marRight w:val="0"/>
          <w:marTop w:val="0"/>
          <w:marBottom w:val="0"/>
          <w:divBdr>
            <w:top w:val="none" w:sz="0" w:space="0" w:color="auto"/>
            <w:left w:val="none" w:sz="0" w:space="0" w:color="auto"/>
            <w:bottom w:val="none" w:sz="0" w:space="0" w:color="auto"/>
            <w:right w:val="none" w:sz="0" w:space="0" w:color="auto"/>
          </w:divBdr>
        </w:div>
        <w:div w:id="295258898">
          <w:marLeft w:val="640"/>
          <w:marRight w:val="0"/>
          <w:marTop w:val="0"/>
          <w:marBottom w:val="0"/>
          <w:divBdr>
            <w:top w:val="none" w:sz="0" w:space="0" w:color="auto"/>
            <w:left w:val="none" w:sz="0" w:space="0" w:color="auto"/>
            <w:bottom w:val="none" w:sz="0" w:space="0" w:color="auto"/>
            <w:right w:val="none" w:sz="0" w:space="0" w:color="auto"/>
          </w:divBdr>
        </w:div>
        <w:div w:id="1914267665">
          <w:marLeft w:val="640"/>
          <w:marRight w:val="0"/>
          <w:marTop w:val="0"/>
          <w:marBottom w:val="0"/>
          <w:divBdr>
            <w:top w:val="none" w:sz="0" w:space="0" w:color="auto"/>
            <w:left w:val="none" w:sz="0" w:space="0" w:color="auto"/>
            <w:bottom w:val="none" w:sz="0" w:space="0" w:color="auto"/>
            <w:right w:val="none" w:sz="0" w:space="0" w:color="auto"/>
          </w:divBdr>
        </w:div>
        <w:div w:id="120614536">
          <w:marLeft w:val="640"/>
          <w:marRight w:val="0"/>
          <w:marTop w:val="0"/>
          <w:marBottom w:val="0"/>
          <w:divBdr>
            <w:top w:val="none" w:sz="0" w:space="0" w:color="auto"/>
            <w:left w:val="none" w:sz="0" w:space="0" w:color="auto"/>
            <w:bottom w:val="none" w:sz="0" w:space="0" w:color="auto"/>
            <w:right w:val="none" w:sz="0" w:space="0" w:color="auto"/>
          </w:divBdr>
        </w:div>
      </w:divsChild>
    </w:div>
    <w:div w:id="564609257">
      <w:bodyDiv w:val="1"/>
      <w:marLeft w:val="0"/>
      <w:marRight w:val="0"/>
      <w:marTop w:val="0"/>
      <w:marBottom w:val="0"/>
      <w:divBdr>
        <w:top w:val="none" w:sz="0" w:space="0" w:color="auto"/>
        <w:left w:val="none" w:sz="0" w:space="0" w:color="auto"/>
        <w:bottom w:val="none" w:sz="0" w:space="0" w:color="auto"/>
        <w:right w:val="none" w:sz="0" w:space="0" w:color="auto"/>
      </w:divBdr>
      <w:divsChild>
        <w:div w:id="1969628872">
          <w:marLeft w:val="640"/>
          <w:marRight w:val="0"/>
          <w:marTop w:val="0"/>
          <w:marBottom w:val="0"/>
          <w:divBdr>
            <w:top w:val="none" w:sz="0" w:space="0" w:color="auto"/>
            <w:left w:val="none" w:sz="0" w:space="0" w:color="auto"/>
            <w:bottom w:val="none" w:sz="0" w:space="0" w:color="auto"/>
            <w:right w:val="none" w:sz="0" w:space="0" w:color="auto"/>
          </w:divBdr>
        </w:div>
        <w:div w:id="657149014">
          <w:marLeft w:val="640"/>
          <w:marRight w:val="0"/>
          <w:marTop w:val="0"/>
          <w:marBottom w:val="0"/>
          <w:divBdr>
            <w:top w:val="none" w:sz="0" w:space="0" w:color="auto"/>
            <w:left w:val="none" w:sz="0" w:space="0" w:color="auto"/>
            <w:bottom w:val="none" w:sz="0" w:space="0" w:color="auto"/>
            <w:right w:val="none" w:sz="0" w:space="0" w:color="auto"/>
          </w:divBdr>
        </w:div>
        <w:div w:id="294141547">
          <w:marLeft w:val="640"/>
          <w:marRight w:val="0"/>
          <w:marTop w:val="0"/>
          <w:marBottom w:val="0"/>
          <w:divBdr>
            <w:top w:val="none" w:sz="0" w:space="0" w:color="auto"/>
            <w:left w:val="none" w:sz="0" w:space="0" w:color="auto"/>
            <w:bottom w:val="none" w:sz="0" w:space="0" w:color="auto"/>
            <w:right w:val="none" w:sz="0" w:space="0" w:color="auto"/>
          </w:divBdr>
        </w:div>
        <w:div w:id="176584924">
          <w:marLeft w:val="640"/>
          <w:marRight w:val="0"/>
          <w:marTop w:val="0"/>
          <w:marBottom w:val="0"/>
          <w:divBdr>
            <w:top w:val="none" w:sz="0" w:space="0" w:color="auto"/>
            <w:left w:val="none" w:sz="0" w:space="0" w:color="auto"/>
            <w:bottom w:val="none" w:sz="0" w:space="0" w:color="auto"/>
            <w:right w:val="none" w:sz="0" w:space="0" w:color="auto"/>
          </w:divBdr>
        </w:div>
        <w:div w:id="1048532325">
          <w:marLeft w:val="640"/>
          <w:marRight w:val="0"/>
          <w:marTop w:val="0"/>
          <w:marBottom w:val="0"/>
          <w:divBdr>
            <w:top w:val="none" w:sz="0" w:space="0" w:color="auto"/>
            <w:left w:val="none" w:sz="0" w:space="0" w:color="auto"/>
            <w:bottom w:val="none" w:sz="0" w:space="0" w:color="auto"/>
            <w:right w:val="none" w:sz="0" w:space="0" w:color="auto"/>
          </w:divBdr>
        </w:div>
        <w:div w:id="164708326">
          <w:marLeft w:val="640"/>
          <w:marRight w:val="0"/>
          <w:marTop w:val="0"/>
          <w:marBottom w:val="0"/>
          <w:divBdr>
            <w:top w:val="none" w:sz="0" w:space="0" w:color="auto"/>
            <w:left w:val="none" w:sz="0" w:space="0" w:color="auto"/>
            <w:bottom w:val="none" w:sz="0" w:space="0" w:color="auto"/>
            <w:right w:val="none" w:sz="0" w:space="0" w:color="auto"/>
          </w:divBdr>
        </w:div>
        <w:div w:id="2009940932">
          <w:marLeft w:val="640"/>
          <w:marRight w:val="0"/>
          <w:marTop w:val="0"/>
          <w:marBottom w:val="0"/>
          <w:divBdr>
            <w:top w:val="none" w:sz="0" w:space="0" w:color="auto"/>
            <w:left w:val="none" w:sz="0" w:space="0" w:color="auto"/>
            <w:bottom w:val="none" w:sz="0" w:space="0" w:color="auto"/>
            <w:right w:val="none" w:sz="0" w:space="0" w:color="auto"/>
          </w:divBdr>
        </w:div>
        <w:div w:id="1282147199">
          <w:marLeft w:val="640"/>
          <w:marRight w:val="0"/>
          <w:marTop w:val="0"/>
          <w:marBottom w:val="0"/>
          <w:divBdr>
            <w:top w:val="none" w:sz="0" w:space="0" w:color="auto"/>
            <w:left w:val="none" w:sz="0" w:space="0" w:color="auto"/>
            <w:bottom w:val="none" w:sz="0" w:space="0" w:color="auto"/>
            <w:right w:val="none" w:sz="0" w:space="0" w:color="auto"/>
          </w:divBdr>
        </w:div>
        <w:div w:id="1667393295">
          <w:marLeft w:val="640"/>
          <w:marRight w:val="0"/>
          <w:marTop w:val="0"/>
          <w:marBottom w:val="0"/>
          <w:divBdr>
            <w:top w:val="none" w:sz="0" w:space="0" w:color="auto"/>
            <w:left w:val="none" w:sz="0" w:space="0" w:color="auto"/>
            <w:bottom w:val="none" w:sz="0" w:space="0" w:color="auto"/>
            <w:right w:val="none" w:sz="0" w:space="0" w:color="auto"/>
          </w:divBdr>
        </w:div>
        <w:div w:id="840776080">
          <w:marLeft w:val="640"/>
          <w:marRight w:val="0"/>
          <w:marTop w:val="0"/>
          <w:marBottom w:val="0"/>
          <w:divBdr>
            <w:top w:val="none" w:sz="0" w:space="0" w:color="auto"/>
            <w:left w:val="none" w:sz="0" w:space="0" w:color="auto"/>
            <w:bottom w:val="none" w:sz="0" w:space="0" w:color="auto"/>
            <w:right w:val="none" w:sz="0" w:space="0" w:color="auto"/>
          </w:divBdr>
        </w:div>
        <w:div w:id="1980987521">
          <w:marLeft w:val="640"/>
          <w:marRight w:val="0"/>
          <w:marTop w:val="0"/>
          <w:marBottom w:val="0"/>
          <w:divBdr>
            <w:top w:val="none" w:sz="0" w:space="0" w:color="auto"/>
            <w:left w:val="none" w:sz="0" w:space="0" w:color="auto"/>
            <w:bottom w:val="none" w:sz="0" w:space="0" w:color="auto"/>
            <w:right w:val="none" w:sz="0" w:space="0" w:color="auto"/>
          </w:divBdr>
        </w:div>
        <w:div w:id="1164584473">
          <w:marLeft w:val="640"/>
          <w:marRight w:val="0"/>
          <w:marTop w:val="0"/>
          <w:marBottom w:val="0"/>
          <w:divBdr>
            <w:top w:val="none" w:sz="0" w:space="0" w:color="auto"/>
            <w:left w:val="none" w:sz="0" w:space="0" w:color="auto"/>
            <w:bottom w:val="none" w:sz="0" w:space="0" w:color="auto"/>
            <w:right w:val="none" w:sz="0" w:space="0" w:color="auto"/>
          </w:divBdr>
        </w:div>
        <w:div w:id="707990904">
          <w:marLeft w:val="640"/>
          <w:marRight w:val="0"/>
          <w:marTop w:val="0"/>
          <w:marBottom w:val="0"/>
          <w:divBdr>
            <w:top w:val="none" w:sz="0" w:space="0" w:color="auto"/>
            <w:left w:val="none" w:sz="0" w:space="0" w:color="auto"/>
            <w:bottom w:val="none" w:sz="0" w:space="0" w:color="auto"/>
            <w:right w:val="none" w:sz="0" w:space="0" w:color="auto"/>
          </w:divBdr>
        </w:div>
        <w:div w:id="728458250">
          <w:marLeft w:val="640"/>
          <w:marRight w:val="0"/>
          <w:marTop w:val="0"/>
          <w:marBottom w:val="0"/>
          <w:divBdr>
            <w:top w:val="none" w:sz="0" w:space="0" w:color="auto"/>
            <w:left w:val="none" w:sz="0" w:space="0" w:color="auto"/>
            <w:bottom w:val="none" w:sz="0" w:space="0" w:color="auto"/>
            <w:right w:val="none" w:sz="0" w:space="0" w:color="auto"/>
          </w:divBdr>
        </w:div>
        <w:div w:id="163521733">
          <w:marLeft w:val="640"/>
          <w:marRight w:val="0"/>
          <w:marTop w:val="0"/>
          <w:marBottom w:val="0"/>
          <w:divBdr>
            <w:top w:val="none" w:sz="0" w:space="0" w:color="auto"/>
            <w:left w:val="none" w:sz="0" w:space="0" w:color="auto"/>
            <w:bottom w:val="none" w:sz="0" w:space="0" w:color="auto"/>
            <w:right w:val="none" w:sz="0" w:space="0" w:color="auto"/>
          </w:divBdr>
        </w:div>
        <w:div w:id="1599093890">
          <w:marLeft w:val="640"/>
          <w:marRight w:val="0"/>
          <w:marTop w:val="0"/>
          <w:marBottom w:val="0"/>
          <w:divBdr>
            <w:top w:val="none" w:sz="0" w:space="0" w:color="auto"/>
            <w:left w:val="none" w:sz="0" w:space="0" w:color="auto"/>
            <w:bottom w:val="none" w:sz="0" w:space="0" w:color="auto"/>
            <w:right w:val="none" w:sz="0" w:space="0" w:color="auto"/>
          </w:divBdr>
        </w:div>
        <w:div w:id="1238394478">
          <w:marLeft w:val="640"/>
          <w:marRight w:val="0"/>
          <w:marTop w:val="0"/>
          <w:marBottom w:val="0"/>
          <w:divBdr>
            <w:top w:val="none" w:sz="0" w:space="0" w:color="auto"/>
            <w:left w:val="none" w:sz="0" w:space="0" w:color="auto"/>
            <w:bottom w:val="none" w:sz="0" w:space="0" w:color="auto"/>
            <w:right w:val="none" w:sz="0" w:space="0" w:color="auto"/>
          </w:divBdr>
        </w:div>
        <w:div w:id="1430545229">
          <w:marLeft w:val="640"/>
          <w:marRight w:val="0"/>
          <w:marTop w:val="0"/>
          <w:marBottom w:val="0"/>
          <w:divBdr>
            <w:top w:val="none" w:sz="0" w:space="0" w:color="auto"/>
            <w:left w:val="none" w:sz="0" w:space="0" w:color="auto"/>
            <w:bottom w:val="none" w:sz="0" w:space="0" w:color="auto"/>
            <w:right w:val="none" w:sz="0" w:space="0" w:color="auto"/>
          </w:divBdr>
        </w:div>
        <w:div w:id="755131055">
          <w:marLeft w:val="640"/>
          <w:marRight w:val="0"/>
          <w:marTop w:val="0"/>
          <w:marBottom w:val="0"/>
          <w:divBdr>
            <w:top w:val="none" w:sz="0" w:space="0" w:color="auto"/>
            <w:left w:val="none" w:sz="0" w:space="0" w:color="auto"/>
            <w:bottom w:val="none" w:sz="0" w:space="0" w:color="auto"/>
            <w:right w:val="none" w:sz="0" w:space="0" w:color="auto"/>
          </w:divBdr>
        </w:div>
        <w:div w:id="1160737246">
          <w:marLeft w:val="640"/>
          <w:marRight w:val="0"/>
          <w:marTop w:val="0"/>
          <w:marBottom w:val="0"/>
          <w:divBdr>
            <w:top w:val="none" w:sz="0" w:space="0" w:color="auto"/>
            <w:left w:val="none" w:sz="0" w:space="0" w:color="auto"/>
            <w:bottom w:val="none" w:sz="0" w:space="0" w:color="auto"/>
            <w:right w:val="none" w:sz="0" w:space="0" w:color="auto"/>
          </w:divBdr>
        </w:div>
        <w:div w:id="527723372">
          <w:marLeft w:val="640"/>
          <w:marRight w:val="0"/>
          <w:marTop w:val="0"/>
          <w:marBottom w:val="0"/>
          <w:divBdr>
            <w:top w:val="none" w:sz="0" w:space="0" w:color="auto"/>
            <w:left w:val="none" w:sz="0" w:space="0" w:color="auto"/>
            <w:bottom w:val="none" w:sz="0" w:space="0" w:color="auto"/>
            <w:right w:val="none" w:sz="0" w:space="0" w:color="auto"/>
          </w:divBdr>
        </w:div>
        <w:div w:id="1357193022">
          <w:marLeft w:val="640"/>
          <w:marRight w:val="0"/>
          <w:marTop w:val="0"/>
          <w:marBottom w:val="0"/>
          <w:divBdr>
            <w:top w:val="none" w:sz="0" w:space="0" w:color="auto"/>
            <w:left w:val="none" w:sz="0" w:space="0" w:color="auto"/>
            <w:bottom w:val="none" w:sz="0" w:space="0" w:color="auto"/>
            <w:right w:val="none" w:sz="0" w:space="0" w:color="auto"/>
          </w:divBdr>
        </w:div>
        <w:div w:id="1443919702">
          <w:marLeft w:val="640"/>
          <w:marRight w:val="0"/>
          <w:marTop w:val="0"/>
          <w:marBottom w:val="0"/>
          <w:divBdr>
            <w:top w:val="none" w:sz="0" w:space="0" w:color="auto"/>
            <w:left w:val="none" w:sz="0" w:space="0" w:color="auto"/>
            <w:bottom w:val="none" w:sz="0" w:space="0" w:color="auto"/>
            <w:right w:val="none" w:sz="0" w:space="0" w:color="auto"/>
          </w:divBdr>
        </w:div>
        <w:div w:id="1850022980">
          <w:marLeft w:val="640"/>
          <w:marRight w:val="0"/>
          <w:marTop w:val="0"/>
          <w:marBottom w:val="0"/>
          <w:divBdr>
            <w:top w:val="none" w:sz="0" w:space="0" w:color="auto"/>
            <w:left w:val="none" w:sz="0" w:space="0" w:color="auto"/>
            <w:bottom w:val="none" w:sz="0" w:space="0" w:color="auto"/>
            <w:right w:val="none" w:sz="0" w:space="0" w:color="auto"/>
          </w:divBdr>
        </w:div>
        <w:div w:id="1482769944">
          <w:marLeft w:val="640"/>
          <w:marRight w:val="0"/>
          <w:marTop w:val="0"/>
          <w:marBottom w:val="0"/>
          <w:divBdr>
            <w:top w:val="none" w:sz="0" w:space="0" w:color="auto"/>
            <w:left w:val="none" w:sz="0" w:space="0" w:color="auto"/>
            <w:bottom w:val="none" w:sz="0" w:space="0" w:color="auto"/>
            <w:right w:val="none" w:sz="0" w:space="0" w:color="auto"/>
          </w:divBdr>
        </w:div>
        <w:div w:id="244194423">
          <w:marLeft w:val="640"/>
          <w:marRight w:val="0"/>
          <w:marTop w:val="0"/>
          <w:marBottom w:val="0"/>
          <w:divBdr>
            <w:top w:val="none" w:sz="0" w:space="0" w:color="auto"/>
            <w:left w:val="none" w:sz="0" w:space="0" w:color="auto"/>
            <w:bottom w:val="none" w:sz="0" w:space="0" w:color="auto"/>
            <w:right w:val="none" w:sz="0" w:space="0" w:color="auto"/>
          </w:divBdr>
        </w:div>
        <w:div w:id="1996520472">
          <w:marLeft w:val="640"/>
          <w:marRight w:val="0"/>
          <w:marTop w:val="0"/>
          <w:marBottom w:val="0"/>
          <w:divBdr>
            <w:top w:val="none" w:sz="0" w:space="0" w:color="auto"/>
            <w:left w:val="none" w:sz="0" w:space="0" w:color="auto"/>
            <w:bottom w:val="none" w:sz="0" w:space="0" w:color="auto"/>
            <w:right w:val="none" w:sz="0" w:space="0" w:color="auto"/>
          </w:divBdr>
        </w:div>
        <w:div w:id="1015379884">
          <w:marLeft w:val="640"/>
          <w:marRight w:val="0"/>
          <w:marTop w:val="0"/>
          <w:marBottom w:val="0"/>
          <w:divBdr>
            <w:top w:val="none" w:sz="0" w:space="0" w:color="auto"/>
            <w:left w:val="none" w:sz="0" w:space="0" w:color="auto"/>
            <w:bottom w:val="none" w:sz="0" w:space="0" w:color="auto"/>
            <w:right w:val="none" w:sz="0" w:space="0" w:color="auto"/>
          </w:divBdr>
        </w:div>
        <w:div w:id="626813030">
          <w:marLeft w:val="640"/>
          <w:marRight w:val="0"/>
          <w:marTop w:val="0"/>
          <w:marBottom w:val="0"/>
          <w:divBdr>
            <w:top w:val="none" w:sz="0" w:space="0" w:color="auto"/>
            <w:left w:val="none" w:sz="0" w:space="0" w:color="auto"/>
            <w:bottom w:val="none" w:sz="0" w:space="0" w:color="auto"/>
            <w:right w:val="none" w:sz="0" w:space="0" w:color="auto"/>
          </w:divBdr>
        </w:div>
        <w:div w:id="111287427">
          <w:marLeft w:val="640"/>
          <w:marRight w:val="0"/>
          <w:marTop w:val="0"/>
          <w:marBottom w:val="0"/>
          <w:divBdr>
            <w:top w:val="none" w:sz="0" w:space="0" w:color="auto"/>
            <w:left w:val="none" w:sz="0" w:space="0" w:color="auto"/>
            <w:bottom w:val="none" w:sz="0" w:space="0" w:color="auto"/>
            <w:right w:val="none" w:sz="0" w:space="0" w:color="auto"/>
          </w:divBdr>
        </w:div>
        <w:div w:id="1768697710">
          <w:marLeft w:val="640"/>
          <w:marRight w:val="0"/>
          <w:marTop w:val="0"/>
          <w:marBottom w:val="0"/>
          <w:divBdr>
            <w:top w:val="none" w:sz="0" w:space="0" w:color="auto"/>
            <w:left w:val="none" w:sz="0" w:space="0" w:color="auto"/>
            <w:bottom w:val="none" w:sz="0" w:space="0" w:color="auto"/>
            <w:right w:val="none" w:sz="0" w:space="0" w:color="auto"/>
          </w:divBdr>
        </w:div>
        <w:div w:id="644358022">
          <w:marLeft w:val="640"/>
          <w:marRight w:val="0"/>
          <w:marTop w:val="0"/>
          <w:marBottom w:val="0"/>
          <w:divBdr>
            <w:top w:val="none" w:sz="0" w:space="0" w:color="auto"/>
            <w:left w:val="none" w:sz="0" w:space="0" w:color="auto"/>
            <w:bottom w:val="none" w:sz="0" w:space="0" w:color="auto"/>
            <w:right w:val="none" w:sz="0" w:space="0" w:color="auto"/>
          </w:divBdr>
        </w:div>
        <w:div w:id="884484070">
          <w:marLeft w:val="640"/>
          <w:marRight w:val="0"/>
          <w:marTop w:val="0"/>
          <w:marBottom w:val="0"/>
          <w:divBdr>
            <w:top w:val="none" w:sz="0" w:space="0" w:color="auto"/>
            <w:left w:val="none" w:sz="0" w:space="0" w:color="auto"/>
            <w:bottom w:val="none" w:sz="0" w:space="0" w:color="auto"/>
            <w:right w:val="none" w:sz="0" w:space="0" w:color="auto"/>
          </w:divBdr>
        </w:div>
        <w:div w:id="2069256443">
          <w:marLeft w:val="640"/>
          <w:marRight w:val="0"/>
          <w:marTop w:val="0"/>
          <w:marBottom w:val="0"/>
          <w:divBdr>
            <w:top w:val="none" w:sz="0" w:space="0" w:color="auto"/>
            <w:left w:val="none" w:sz="0" w:space="0" w:color="auto"/>
            <w:bottom w:val="none" w:sz="0" w:space="0" w:color="auto"/>
            <w:right w:val="none" w:sz="0" w:space="0" w:color="auto"/>
          </w:divBdr>
        </w:div>
        <w:div w:id="109475342">
          <w:marLeft w:val="640"/>
          <w:marRight w:val="0"/>
          <w:marTop w:val="0"/>
          <w:marBottom w:val="0"/>
          <w:divBdr>
            <w:top w:val="none" w:sz="0" w:space="0" w:color="auto"/>
            <w:left w:val="none" w:sz="0" w:space="0" w:color="auto"/>
            <w:bottom w:val="none" w:sz="0" w:space="0" w:color="auto"/>
            <w:right w:val="none" w:sz="0" w:space="0" w:color="auto"/>
          </w:divBdr>
        </w:div>
        <w:div w:id="691300775">
          <w:marLeft w:val="640"/>
          <w:marRight w:val="0"/>
          <w:marTop w:val="0"/>
          <w:marBottom w:val="0"/>
          <w:divBdr>
            <w:top w:val="none" w:sz="0" w:space="0" w:color="auto"/>
            <w:left w:val="none" w:sz="0" w:space="0" w:color="auto"/>
            <w:bottom w:val="none" w:sz="0" w:space="0" w:color="auto"/>
            <w:right w:val="none" w:sz="0" w:space="0" w:color="auto"/>
          </w:divBdr>
        </w:div>
        <w:div w:id="740564575">
          <w:marLeft w:val="640"/>
          <w:marRight w:val="0"/>
          <w:marTop w:val="0"/>
          <w:marBottom w:val="0"/>
          <w:divBdr>
            <w:top w:val="none" w:sz="0" w:space="0" w:color="auto"/>
            <w:left w:val="none" w:sz="0" w:space="0" w:color="auto"/>
            <w:bottom w:val="none" w:sz="0" w:space="0" w:color="auto"/>
            <w:right w:val="none" w:sz="0" w:space="0" w:color="auto"/>
          </w:divBdr>
        </w:div>
        <w:div w:id="1003973287">
          <w:marLeft w:val="640"/>
          <w:marRight w:val="0"/>
          <w:marTop w:val="0"/>
          <w:marBottom w:val="0"/>
          <w:divBdr>
            <w:top w:val="none" w:sz="0" w:space="0" w:color="auto"/>
            <w:left w:val="none" w:sz="0" w:space="0" w:color="auto"/>
            <w:bottom w:val="none" w:sz="0" w:space="0" w:color="auto"/>
            <w:right w:val="none" w:sz="0" w:space="0" w:color="auto"/>
          </w:divBdr>
        </w:div>
        <w:div w:id="410279673">
          <w:marLeft w:val="640"/>
          <w:marRight w:val="0"/>
          <w:marTop w:val="0"/>
          <w:marBottom w:val="0"/>
          <w:divBdr>
            <w:top w:val="none" w:sz="0" w:space="0" w:color="auto"/>
            <w:left w:val="none" w:sz="0" w:space="0" w:color="auto"/>
            <w:bottom w:val="none" w:sz="0" w:space="0" w:color="auto"/>
            <w:right w:val="none" w:sz="0" w:space="0" w:color="auto"/>
          </w:divBdr>
        </w:div>
        <w:div w:id="2047481936">
          <w:marLeft w:val="640"/>
          <w:marRight w:val="0"/>
          <w:marTop w:val="0"/>
          <w:marBottom w:val="0"/>
          <w:divBdr>
            <w:top w:val="none" w:sz="0" w:space="0" w:color="auto"/>
            <w:left w:val="none" w:sz="0" w:space="0" w:color="auto"/>
            <w:bottom w:val="none" w:sz="0" w:space="0" w:color="auto"/>
            <w:right w:val="none" w:sz="0" w:space="0" w:color="auto"/>
          </w:divBdr>
        </w:div>
        <w:div w:id="1944456744">
          <w:marLeft w:val="640"/>
          <w:marRight w:val="0"/>
          <w:marTop w:val="0"/>
          <w:marBottom w:val="0"/>
          <w:divBdr>
            <w:top w:val="none" w:sz="0" w:space="0" w:color="auto"/>
            <w:left w:val="none" w:sz="0" w:space="0" w:color="auto"/>
            <w:bottom w:val="none" w:sz="0" w:space="0" w:color="auto"/>
            <w:right w:val="none" w:sz="0" w:space="0" w:color="auto"/>
          </w:divBdr>
        </w:div>
        <w:div w:id="1004549155">
          <w:marLeft w:val="640"/>
          <w:marRight w:val="0"/>
          <w:marTop w:val="0"/>
          <w:marBottom w:val="0"/>
          <w:divBdr>
            <w:top w:val="none" w:sz="0" w:space="0" w:color="auto"/>
            <w:left w:val="none" w:sz="0" w:space="0" w:color="auto"/>
            <w:bottom w:val="none" w:sz="0" w:space="0" w:color="auto"/>
            <w:right w:val="none" w:sz="0" w:space="0" w:color="auto"/>
          </w:divBdr>
        </w:div>
        <w:div w:id="893127271">
          <w:marLeft w:val="640"/>
          <w:marRight w:val="0"/>
          <w:marTop w:val="0"/>
          <w:marBottom w:val="0"/>
          <w:divBdr>
            <w:top w:val="none" w:sz="0" w:space="0" w:color="auto"/>
            <w:left w:val="none" w:sz="0" w:space="0" w:color="auto"/>
            <w:bottom w:val="none" w:sz="0" w:space="0" w:color="auto"/>
            <w:right w:val="none" w:sz="0" w:space="0" w:color="auto"/>
          </w:divBdr>
        </w:div>
        <w:div w:id="1422068268">
          <w:marLeft w:val="640"/>
          <w:marRight w:val="0"/>
          <w:marTop w:val="0"/>
          <w:marBottom w:val="0"/>
          <w:divBdr>
            <w:top w:val="none" w:sz="0" w:space="0" w:color="auto"/>
            <w:left w:val="none" w:sz="0" w:space="0" w:color="auto"/>
            <w:bottom w:val="none" w:sz="0" w:space="0" w:color="auto"/>
            <w:right w:val="none" w:sz="0" w:space="0" w:color="auto"/>
          </w:divBdr>
        </w:div>
        <w:div w:id="1242905545">
          <w:marLeft w:val="640"/>
          <w:marRight w:val="0"/>
          <w:marTop w:val="0"/>
          <w:marBottom w:val="0"/>
          <w:divBdr>
            <w:top w:val="none" w:sz="0" w:space="0" w:color="auto"/>
            <w:left w:val="none" w:sz="0" w:space="0" w:color="auto"/>
            <w:bottom w:val="none" w:sz="0" w:space="0" w:color="auto"/>
            <w:right w:val="none" w:sz="0" w:space="0" w:color="auto"/>
          </w:divBdr>
        </w:div>
        <w:div w:id="190071304">
          <w:marLeft w:val="640"/>
          <w:marRight w:val="0"/>
          <w:marTop w:val="0"/>
          <w:marBottom w:val="0"/>
          <w:divBdr>
            <w:top w:val="none" w:sz="0" w:space="0" w:color="auto"/>
            <w:left w:val="none" w:sz="0" w:space="0" w:color="auto"/>
            <w:bottom w:val="none" w:sz="0" w:space="0" w:color="auto"/>
            <w:right w:val="none" w:sz="0" w:space="0" w:color="auto"/>
          </w:divBdr>
        </w:div>
        <w:div w:id="635450132">
          <w:marLeft w:val="640"/>
          <w:marRight w:val="0"/>
          <w:marTop w:val="0"/>
          <w:marBottom w:val="0"/>
          <w:divBdr>
            <w:top w:val="none" w:sz="0" w:space="0" w:color="auto"/>
            <w:left w:val="none" w:sz="0" w:space="0" w:color="auto"/>
            <w:bottom w:val="none" w:sz="0" w:space="0" w:color="auto"/>
            <w:right w:val="none" w:sz="0" w:space="0" w:color="auto"/>
          </w:divBdr>
        </w:div>
        <w:div w:id="1085688675">
          <w:marLeft w:val="640"/>
          <w:marRight w:val="0"/>
          <w:marTop w:val="0"/>
          <w:marBottom w:val="0"/>
          <w:divBdr>
            <w:top w:val="none" w:sz="0" w:space="0" w:color="auto"/>
            <w:left w:val="none" w:sz="0" w:space="0" w:color="auto"/>
            <w:bottom w:val="none" w:sz="0" w:space="0" w:color="auto"/>
            <w:right w:val="none" w:sz="0" w:space="0" w:color="auto"/>
          </w:divBdr>
        </w:div>
        <w:div w:id="1036353322">
          <w:marLeft w:val="640"/>
          <w:marRight w:val="0"/>
          <w:marTop w:val="0"/>
          <w:marBottom w:val="0"/>
          <w:divBdr>
            <w:top w:val="none" w:sz="0" w:space="0" w:color="auto"/>
            <w:left w:val="none" w:sz="0" w:space="0" w:color="auto"/>
            <w:bottom w:val="none" w:sz="0" w:space="0" w:color="auto"/>
            <w:right w:val="none" w:sz="0" w:space="0" w:color="auto"/>
          </w:divBdr>
        </w:div>
        <w:div w:id="587006088">
          <w:marLeft w:val="640"/>
          <w:marRight w:val="0"/>
          <w:marTop w:val="0"/>
          <w:marBottom w:val="0"/>
          <w:divBdr>
            <w:top w:val="none" w:sz="0" w:space="0" w:color="auto"/>
            <w:left w:val="none" w:sz="0" w:space="0" w:color="auto"/>
            <w:bottom w:val="none" w:sz="0" w:space="0" w:color="auto"/>
            <w:right w:val="none" w:sz="0" w:space="0" w:color="auto"/>
          </w:divBdr>
        </w:div>
        <w:div w:id="460735332">
          <w:marLeft w:val="640"/>
          <w:marRight w:val="0"/>
          <w:marTop w:val="0"/>
          <w:marBottom w:val="0"/>
          <w:divBdr>
            <w:top w:val="none" w:sz="0" w:space="0" w:color="auto"/>
            <w:left w:val="none" w:sz="0" w:space="0" w:color="auto"/>
            <w:bottom w:val="none" w:sz="0" w:space="0" w:color="auto"/>
            <w:right w:val="none" w:sz="0" w:space="0" w:color="auto"/>
          </w:divBdr>
        </w:div>
        <w:div w:id="1481654433">
          <w:marLeft w:val="640"/>
          <w:marRight w:val="0"/>
          <w:marTop w:val="0"/>
          <w:marBottom w:val="0"/>
          <w:divBdr>
            <w:top w:val="none" w:sz="0" w:space="0" w:color="auto"/>
            <w:left w:val="none" w:sz="0" w:space="0" w:color="auto"/>
            <w:bottom w:val="none" w:sz="0" w:space="0" w:color="auto"/>
            <w:right w:val="none" w:sz="0" w:space="0" w:color="auto"/>
          </w:divBdr>
        </w:div>
        <w:div w:id="1019435088">
          <w:marLeft w:val="640"/>
          <w:marRight w:val="0"/>
          <w:marTop w:val="0"/>
          <w:marBottom w:val="0"/>
          <w:divBdr>
            <w:top w:val="none" w:sz="0" w:space="0" w:color="auto"/>
            <w:left w:val="none" w:sz="0" w:space="0" w:color="auto"/>
            <w:bottom w:val="none" w:sz="0" w:space="0" w:color="auto"/>
            <w:right w:val="none" w:sz="0" w:space="0" w:color="auto"/>
          </w:divBdr>
        </w:div>
        <w:div w:id="569076591">
          <w:marLeft w:val="640"/>
          <w:marRight w:val="0"/>
          <w:marTop w:val="0"/>
          <w:marBottom w:val="0"/>
          <w:divBdr>
            <w:top w:val="none" w:sz="0" w:space="0" w:color="auto"/>
            <w:left w:val="none" w:sz="0" w:space="0" w:color="auto"/>
            <w:bottom w:val="none" w:sz="0" w:space="0" w:color="auto"/>
            <w:right w:val="none" w:sz="0" w:space="0" w:color="auto"/>
          </w:divBdr>
        </w:div>
        <w:div w:id="1955867218">
          <w:marLeft w:val="640"/>
          <w:marRight w:val="0"/>
          <w:marTop w:val="0"/>
          <w:marBottom w:val="0"/>
          <w:divBdr>
            <w:top w:val="none" w:sz="0" w:space="0" w:color="auto"/>
            <w:left w:val="none" w:sz="0" w:space="0" w:color="auto"/>
            <w:bottom w:val="none" w:sz="0" w:space="0" w:color="auto"/>
            <w:right w:val="none" w:sz="0" w:space="0" w:color="auto"/>
          </w:divBdr>
        </w:div>
        <w:div w:id="940574205">
          <w:marLeft w:val="640"/>
          <w:marRight w:val="0"/>
          <w:marTop w:val="0"/>
          <w:marBottom w:val="0"/>
          <w:divBdr>
            <w:top w:val="none" w:sz="0" w:space="0" w:color="auto"/>
            <w:left w:val="none" w:sz="0" w:space="0" w:color="auto"/>
            <w:bottom w:val="none" w:sz="0" w:space="0" w:color="auto"/>
            <w:right w:val="none" w:sz="0" w:space="0" w:color="auto"/>
          </w:divBdr>
        </w:div>
        <w:div w:id="1557080697">
          <w:marLeft w:val="640"/>
          <w:marRight w:val="0"/>
          <w:marTop w:val="0"/>
          <w:marBottom w:val="0"/>
          <w:divBdr>
            <w:top w:val="none" w:sz="0" w:space="0" w:color="auto"/>
            <w:left w:val="none" w:sz="0" w:space="0" w:color="auto"/>
            <w:bottom w:val="none" w:sz="0" w:space="0" w:color="auto"/>
            <w:right w:val="none" w:sz="0" w:space="0" w:color="auto"/>
          </w:divBdr>
        </w:div>
        <w:div w:id="1579250253">
          <w:marLeft w:val="640"/>
          <w:marRight w:val="0"/>
          <w:marTop w:val="0"/>
          <w:marBottom w:val="0"/>
          <w:divBdr>
            <w:top w:val="none" w:sz="0" w:space="0" w:color="auto"/>
            <w:left w:val="none" w:sz="0" w:space="0" w:color="auto"/>
            <w:bottom w:val="none" w:sz="0" w:space="0" w:color="auto"/>
            <w:right w:val="none" w:sz="0" w:space="0" w:color="auto"/>
          </w:divBdr>
        </w:div>
        <w:div w:id="298847388">
          <w:marLeft w:val="640"/>
          <w:marRight w:val="0"/>
          <w:marTop w:val="0"/>
          <w:marBottom w:val="0"/>
          <w:divBdr>
            <w:top w:val="none" w:sz="0" w:space="0" w:color="auto"/>
            <w:left w:val="none" w:sz="0" w:space="0" w:color="auto"/>
            <w:bottom w:val="none" w:sz="0" w:space="0" w:color="auto"/>
            <w:right w:val="none" w:sz="0" w:space="0" w:color="auto"/>
          </w:divBdr>
        </w:div>
        <w:div w:id="167252529">
          <w:marLeft w:val="640"/>
          <w:marRight w:val="0"/>
          <w:marTop w:val="0"/>
          <w:marBottom w:val="0"/>
          <w:divBdr>
            <w:top w:val="none" w:sz="0" w:space="0" w:color="auto"/>
            <w:left w:val="none" w:sz="0" w:space="0" w:color="auto"/>
            <w:bottom w:val="none" w:sz="0" w:space="0" w:color="auto"/>
            <w:right w:val="none" w:sz="0" w:space="0" w:color="auto"/>
          </w:divBdr>
        </w:div>
        <w:div w:id="1558541502">
          <w:marLeft w:val="640"/>
          <w:marRight w:val="0"/>
          <w:marTop w:val="0"/>
          <w:marBottom w:val="0"/>
          <w:divBdr>
            <w:top w:val="none" w:sz="0" w:space="0" w:color="auto"/>
            <w:left w:val="none" w:sz="0" w:space="0" w:color="auto"/>
            <w:bottom w:val="none" w:sz="0" w:space="0" w:color="auto"/>
            <w:right w:val="none" w:sz="0" w:space="0" w:color="auto"/>
          </w:divBdr>
        </w:div>
        <w:div w:id="1514034574">
          <w:marLeft w:val="640"/>
          <w:marRight w:val="0"/>
          <w:marTop w:val="0"/>
          <w:marBottom w:val="0"/>
          <w:divBdr>
            <w:top w:val="none" w:sz="0" w:space="0" w:color="auto"/>
            <w:left w:val="none" w:sz="0" w:space="0" w:color="auto"/>
            <w:bottom w:val="none" w:sz="0" w:space="0" w:color="auto"/>
            <w:right w:val="none" w:sz="0" w:space="0" w:color="auto"/>
          </w:divBdr>
        </w:div>
        <w:div w:id="1285884066">
          <w:marLeft w:val="640"/>
          <w:marRight w:val="0"/>
          <w:marTop w:val="0"/>
          <w:marBottom w:val="0"/>
          <w:divBdr>
            <w:top w:val="none" w:sz="0" w:space="0" w:color="auto"/>
            <w:left w:val="none" w:sz="0" w:space="0" w:color="auto"/>
            <w:bottom w:val="none" w:sz="0" w:space="0" w:color="auto"/>
            <w:right w:val="none" w:sz="0" w:space="0" w:color="auto"/>
          </w:divBdr>
        </w:div>
        <w:div w:id="888609012">
          <w:marLeft w:val="640"/>
          <w:marRight w:val="0"/>
          <w:marTop w:val="0"/>
          <w:marBottom w:val="0"/>
          <w:divBdr>
            <w:top w:val="none" w:sz="0" w:space="0" w:color="auto"/>
            <w:left w:val="none" w:sz="0" w:space="0" w:color="auto"/>
            <w:bottom w:val="none" w:sz="0" w:space="0" w:color="auto"/>
            <w:right w:val="none" w:sz="0" w:space="0" w:color="auto"/>
          </w:divBdr>
        </w:div>
        <w:div w:id="544878383">
          <w:marLeft w:val="640"/>
          <w:marRight w:val="0"/>
          <w:marTop w:val="0"/>
          <w:marBottom w:val="0"/>
          <w:divBdr>
            <w:top w:val="none" w:sz="0" w:space="0" w:color="auto"/>
            <w:left w:val="none" w:sz="0" w:space="0" w:color="auto"/>
            <w:bottom w:val="none" w:sz="0" w:space="0" w:color="auto"/>
            <w:right w:val="none" w:sz="0" w:space="0" w:color="auto"/>
          </w:divBdr>
        </w:div>
        <w:div w:id="317463516">
          <w:marLeft w:val="640"/>
          <w:marRight w:val="0"/>
          <w:marTop w:val="0"/>
          <w:marBottom w:val="0"/>
          <w:divBdr>
            <w:top w:val="none" w:sz="0" w:space="0" w:color="auto"/>
            <w:left w:val="none" w:sz="0" w:space="0" w:color="auto"/>
            <w:bottom w:val="none" w:sz="0" w:space="0" w:color="auto"/>
            <w:right w:val="none" w:sz="0" w:space="0" w:color="auto"/>
          </w:divBdr>
        </w:div>
        <w:div w:id="1785004559">
          <w:marLeft w:val="640"/>
          <w:marRight w:val="0"/>
          <w:marTop w:val="0"/>
          <w:marBottom w:val="0"/>
          <w:divBdr>
            <w:top w:val="none" w:sz="0" w:space="0" w:color="auto"/>
            <w:left w:val="none" w:sz="0" w:space="0" w:color="auto"/>
            <w:bottom w:val="none" w:sz="0" w:space="0" w:color="auto"/>
            <w:right w:val="none" w:sz="0" w:space="0" w:color="auto"/>
          </w:divBdr>
        </w:div>
        <w:div w:id="1283339421">
          <w:marLeft w:val="640"/>
          <w:marRight w:val="0"/>
          <w:marTop w:val="0"/>
          <w:marBottom w:val="0"/>
          <w:divBdr>
            <w:top w:val="none" w:sz="0" w:space="0" w:color="auto"/>
            <w:left w:val="none" w:sz="0" w:space="0" w:color="auto"/>
            <w:bottom w:val="none" w:sz="0" w:space="0" w:color="auto"/>
            <w:right w:val="none" w:sz="0" w:space="0" w:color="auto"/>
          </w:divBdr>
        </w:div>
        <w:div w:id="1634171862">
          <w:marLeft w:val="640"/>
          <w:marRight w:val="0"/>
          <w:marTop w:val="0"/>
          <w:marBottom w:val="0"/>
          <w:divBdr>
            <w:top w:val="none" w:sz="0" w:space="0" w:color="auto"/>
            <w:left w:val="none" w:sz="0" w:space="0" w:color="auto"/>
            <w:bottom w:val="none" w:sz="0" w:space="0" w:color="auto"/>
            <w:right w:val="none" w:sz="0" w:space="0" w:color="auto"/>
          </w:divBdr>
        </w:div>
        <w:div w:id="1142428832">
          <w:marLeft w:val="640"/>
          <w:marRight w:val="0"/>
          <w:marTop w:val="0"/>
          <w:marBottom w:val="0"/>
          <w:divBdr>
            <w:top w:val="none" w:sz="0" w:space="0" w:color="auto"/>
            <w:left w:val="none" w:sz="0" w:space="0" w:color="auto"/>
            <w:bottom w:val="none" w:sz="0" w:space="0" w:color="auto"/>
            <w:right w:val="none" w:sz="0" w:space="0" w:color="auto"/>
          </w:divBdr>
        </w:div>
        <w:div w:id="365956297">
          <w:marLeft w:val="640"/>
          <w:marRight w:val="0"/>
          <w:marTop w:val="0"/>
          <w:marBottom w:val="0"/>
          <w:divBdr>
            <w:top w:val="none" w:sz="0" w:space="0" w:color="auto"/>
            <w:left w:val="none" w:sz="0" w:space="0" w:color="auto"/>
            <w:bottom w:val="none" w:sz="0" w:space="0" w:color="auto"/>
            <w:right w:val="none" w:sz="0" w:space="0" w:color="auto"/>
          </w:divBdr>
        </w:div>
        <w:div w:id="642849300">
          <w:marLeft w:val="640"/>
          <w:marRight w:val="0"/>
          <w:marTop w:val="0"/>
          <w:marBottom w:val="0"/>
          <w:divBdr>
            <w:top w:val="none" w:sz="0" w:space="0" w:color="auto"/>
            <w:left w:val="none" w:sz="0" w:space="0" w:color="auto"/>
            <w:bottom w:val="none" w:sz="0" w:space="0" w:color="auto"/>
            <w:right w:val="none" w:sz="0" w:space="0" w:color="auto"/>
          </w:divBdr>
        </w:div>
        <w:div w:id="1169632647">
          <w:marLeft w:val="640"/>
          <w:marRight w:val="0"/>
          <w:marTop w:val="0"/>
          <w:marBottom w:val="0"/>
          <w:divBdr>
            <w:top w:val="none" w:sz="0" w:space="0" w:color="auto"/>
            <w:left w:val="none" w:sz="0" w:space="0" w:color="auto"/>
            <w:bottom w:val="none" w:sz="0" w:space="0" w:color="auto"/>
            <w:right w:val="none" w:sz="0" w:space="0" w:color="auto"/>
          </w:divBdr>
        </w:div>
        <w:div w:id="42608040">
          <w:marLeft w:val="640"/>
          <w:marRight w:val="0"/>
          <w:marTop w:val="0"/>
          <w:marBottom w:val="0"/>
          <w:divBdr>
            <w:top w:val="none" w:sz="0" w:space="0" w:color="auto"/>
            <w:left w:val="none" w:sz="0" w:space="0" w:color="auto"/>
            <w:bottom w:val="none" w:sz="0" w:space="0" w:color="auto"/>
            <w:right w:val="none" w:sz="0" w:space="0" w:color="auto"/>
          </w:divBdr>
        </w:div>
        <w:div w:id="1841306524">
          <w:marLeft w:val="640"/>
          <w:marRight w:val="0"/>
          <w:marTop w:val="0"/>
          <w:marBottom w:val="0"/>
          <w:divBdr>
            <w:top w:val="none" w:sz="0" w:space="0" w:color="auto"/>
            <w:left w:val="none" w:sz="0" w:space="0" w:color="auto"/>
            <w:bottom w:val="none" w:sz="0" w:space="0" w:color="auto"/>
            <w:right w:val="none" w:sz="0" w:space="0" w:color="auto"/>
          </w:divBdr>
        </w:div>
        <w:div w:id="2115513575">
          <w:marLeft w:val="640"/>
          <w:marRight w:val="0"/>
          <w:marTop w:val="0"/>
          <w:marBottom w:val="0"/>
          <w:divBdr>
            <w:top w:val="none" w:sz="0" w:space="0" w:color="auto"/>
            <w:left w:val="none" w:sz="0" w:space="0" w:color="auto"/>
            <w:bottom w:val="none" w:sz="0" w:space="0" w:color="auto"/>
            <w:right w:val="none" w:sz="0" w:space="0" w:color="auto"/>
          </w:divBdr>
        </w:div>
        <w:div w:id="464081147">
          <w:marLeft w:val="640"/>
          <w:marRight w:val="0"/>
          <w:marTop w:val="0"/>
          <w:marBottom w:val="0"/>
          <w:divBdr>
            <w:top w:val="none" w:sz="0" w:space="0" w:color="auto"/>
            <w:left w:val="none" w:sz="0" w:space="0" w:color="auto"/>
            <w:bottom w:val="none" w:sz="0" w:space="0" w:color="auto"/>
            <w:right w:val="none" w:sz="0" w:space="0" w:color="auto"/>
          </w:divBdr>
        </w:div>
        <w:div w:id="1210144075">
          <w:marLeft w:val="640"/>
          <w:marRight w:val="0"/>
          <w:marTop w:val="0"/>
          <w:marBottom w:val="0"/>
          <w:divBdr>
            <w:top w:val="none" w:sz="0" w:space="0" w:color="auto"/>
            <w:left w:val="none" w:sz="0" w:space="0" w:color="auto"/>
            <w:bottom w:val="none" w:sz="0" w:space="0" w:color="auto"/>
            <w:right w:val="none" w:sz="0" w:space="0" w:color="auto"/>
          </w:divBdr>
        </w:div>
        <w:div w:id="1291327841">
          <w:marLeft w:val="640"/>
          <w:marRight w:val="0"/>
          <w:marTop w:val="0"/>
          <w:marBottom w:val="0"/>
          <w:divBdr>
            <w:top w:val="none" w:sz="0" w:space="0" w:color="auto"/>
            <w:left w:val="none" w:sz="0" w:space="0" w:color="auto"/>
            <w:bottom w:val="none" w:sz="0" w:space="0" w:color="auto"/>
            <w:right w:val="none" w:sz="0" w:space="0" w:color="auto"/>
          </w:divBdr>
        </w:div>
        <w:div w:id="1206405419">
          <w:marLeft w:val="640"/>
          <w:marRight w:val="0"/>
          <w:marTop w:val="0"/>
          <w:marBottom w:val="0"/>
          <w:divBdr>
            <w:top w:val="none" w:sz="0" w:space="0" w:color="auto"/>
            <w:left w:val="none" w:sz="0" w:space="0" w:color="auto"/>
            <w:bottom w:val="none" w:sz="0" w:space="0" w:color="auto"/>
            <w:right w:val="none" w:sz="0" w:space="0" w:color="auto"/>
          </w:divBdr>
        </w:div>
        <w:div w:id="1984002762">
          <w:marLeft w:val="640"/>
          <w:marRight w:val="0"/>
          <w:marTop w:val="0"/>
          <w:marBottom w:val="0"/>
          <w:divBdr>
            <w:top w:val="none" w:sz="0" w:space="0" w:color="auto"/>
            <w:left w:val="none" w:sz="0" w:space="0" w:color="auto"/>
            <w:bottom w:val="none" w:sz="0" w:space="0" w:color="auto"/>
            <w:right w:val="none" w:sz="0" w:space="0" w:color="auto"/>
          </w:divBdr>
        </w:div>
        <w:div w:id="1388187546">
          <w:marLeft w:val="640"/>
          <w:marRight w:val="0"/>
          <w:marTop w:val="0"/>
          <w:marBottom w:val="0"/>
          <w:divBdr>
            <w:top w:val="none" w:sz="0" w:space="0" w:color="auto"/>
            <w:left w:val="none" w:sz="0" w:space="0" w:color="auto"/>
            <w:bottom w:val="none" w:sz="0" w:space="0" w:color="auto"/>
            <w:right w:val="none" w:sz="0" w:space="0" w:color="auto"/>
          </w:divBdr>
        </w:div>
        <w:div w:id="1037897423">
          <w:marLeft w:val="640"/>
          <w:marRight w:val="0"/>
          <w:marTop w:val="0"/>
          <w:marBottom w:val="0"/>
          <w:divBdr>
            <w:top w:val="none" w:sz="0" w:space="0" w:color="auto"/>
            <w:left w:val="none" w:sz="0" w:space="0" w:color="auto"/>
            <w:bottom w:val="none" w:sz="0" w:space="0" w:color="auto"/>
            <w:right w:val="none" w:sz="0" w:space="0" w:color="auto"/>
          </w:divBdr>
        </w:div>
        <w:div w:id="297565038">
          <w:marLeft w:val="640"/>
          <w:marRight w:val="0"/>
          <w:marTop w:val="0"/>
          <w:marBottom w:val="0"/>
          <w:divBdr>
            <w:top w:val="none" w:sz="0" w:space="0" w:color="auto"/>
            <w:left w:val="none" w:sz="0" w:space="0" w:color="auto"/>
            <w:bottom w:val="none" w:sz="0" w:space="0" w:color="auto"/>
            <w:right w:val="none" w:sz="0" w:space="0" w:color="auto"/>
          </w:divBdr>
        </w:div>
        <w:div w:id="969021879">
          <w:marLeft w:val="640"/>
          <w:marRight w:val="0"/>
          <w:marTop w:val="0"/>
          <w:marBottom w:val="0"/>
          <w:divBdr>
            <w:top w:val="none" w:sz="0" w:space="0" w:color="auto"/>
            <w:left w:val="none" w:sz="0" w:space="0" w:color="auto"/>
            <w:bottom w:val="none" w:sz="0" w:space="0" w:color="auto"/>
            <w:right w:val="none" w:sz="0" w:space="0" w:color="auto"/>
          </w:divBdr>
        </w:div>
        <w:div w:id="91704041">
          <w:marLeft w:val="640"/>
          <w:marRight w:val="0"/>
          <w:marTop w:val="0"/>
          <w:marBottom w:val="0"/>
          <w:divBdr>
            <w:top w:val="none" w:sz="0" w:space="0" w:color="auto"/>
            <w:left w:val="none" w:sz="0" w:space="0" w:color="auto"/>
            <w:bottom w:val="none" w:sz="0" w:space="0" w:color="auto"/>
            <w:right w:val="none" w:sz="0" w:space="0" w:color="auto"/>
          </w:divBdr>
        </w:div>
        <w:div w:id="2113895504">
          <w:marLeft w:val="640"/>
          <w:marRight w:val="0"/>
          <w:marTop w:val="0"/>
          <w:marBottom w:val="0"/>
          <w:divBdr>
            <w:top w:val="none" w:sz="0" w:space="0" w:color="auto"/>
            <w:left w:val="none" w:sz="0" w:space="0" w:color="auto"/>
            <w:bottom w:val="none" w:sz="0" w:space="0" w:color="auto"/>
            <w:right w:val="none" w:sz="0" w:space="0" w:color="auto"/>
          </w:divBdr>
        </w:div>
        <w:div w:id="445126106">
          <w:marLeft w:val="640"/>
          <w:marRight w:val="0"/>
          <w:marTop w:val="0"/>
          <w:marBottom w:val="0"/>
          <w:divBdr>
            <w:top w:val="none" w:sz="0" w:space="0" w:color="auto"/>
            <w:left w:val="none" w:sz="0" w:space="0" w:color="auto"/>
            <w:bottom w:val="none" w:sz="0" w:space="0" w:color="auto"/>
            <w:right w:val="none" w:sz="0" w:space="0" w:color="auto"/>
          </w:divBdr>
        </w:div>
        <w:div w:id="1653944020">
          <w:marLeft w:val="640"/>
          <w:marRight w:val="0"/>
          <w:marTop w:val="0"/>
          <w:marBottom w:val="0"/>
          <w:divBdr>
            <w:top w:val="none" w:sz="0" w:space="0" w:color="auto"/>
            <w:left w:val="none" w:sz="0" w:space="0" w:color="auto"/>
            <w:bottom w:val="none" w:sz="0" w:space="0" w:color="auto"/>
            <w:right w:val="none" w:sz="0" w:space="0" w:color="auto"/>
          </w:divBdr>
        </w:div>
        <w:div w:id="1050151049">
          <w:marLeft w:val="640"/>
          <w:marRight w:val="0"/>
          <w:marTop w:val="0"/>
          <w:marBottom w:val="0"/>
          <w:divBdr>
            <w:top w:val="none" w:sz="0" w:space="0" w:color="auto"/>
            <w:left w:val="none" w:sz="0" w:space="0" w:color="auto"/>
            <w:bottom w:val="none" w:sz="0" w:space="0" w:color="auto"/>
            <w:right w:val="none" w:sz="0" w:space="0" w:color="auto"/>
          </w:divBdr>
        </w:div>
        <w:div w:id="610405843">
          <w:marLeft w:val="640"/>
          <w:marRight w:val="0"/>
          <w:marTop w:val="0"/>
          <w:marBottom w:val="0"/>
          <w:divBdr>
            <w:top w:val="none" w:sz="0" w:space="0" w:color="auto"/>
            <w:left w:val="none" w:sz="0" w:space="0" w:color="auto"/>
            <w:bottom w:val="none" w:sz="0" w:space="0" w:color="auto"/>
            <w:right w:val="none" w:sz="0" w:space="0" w:color="auto"/>
          </w:divBdr>
        </w:div>
        <w:div w:id="1398942918">
          <w:marLeft w:val="640"/>
          <w:marRight w:val="0"/>
          <w:marTop w:val="0"/>
          <w:marBottom w:val="0"/>
          <w:divBdr>
            <w:top w:val="none" w:sz="0" w:space="0" w:color="auto"/>
            <w:left w:val="none" w:sz="0" w:space="0" w:color="auto"/>
            <w:bottom w:val="none" w:sz="0" w:space="0" w:color="auto"/>
            <w:right w:val="none" w:sz="0" w:space="0" w:color="auto"/>
          </w:divBdr>
        </w:div>
        <w:div w:id="1574314682">
          <w:marLeft w:val="640"/>
          <w:marRight w:val="0"/>
          <w:marTop w:val="0"/>
          <w:marBottom w:val="0"/>
          <w:divBdr>
            <w:top w:val="none" w:sz="0" w:space="0" w:color="auto"/>
            <w:left w:val="none" w:sz="0" w:space="0" w:color="auto"/>
            <w:bottom w:val="none" w:sz="0" w:space="0" w:color="auto"/>
            <w:right w:val="none" w:sz="0" w:space="0" w:color="auto"/>
          </w:divBdr>
        </w:div>
        <w:div w:id="1142305019">
          <w:marLeft w:val="640"/>
          <w:marRight w:val="0"/>
          <w:marTop w:val="0"/>
          <w:marBottom w:val="0"/>
          <w:divBdr>
            <w:top w:val="none" w:sz="0" w:space="0" w:color="auto"/>
            <w:left w:val="none" w:sz="0" w:space="0" w:color="auto"/>
            <w:bottom w:val="none" w:sz="0" w:space="0" w:color="auto"/>
            <w:right w:val="none" w:sz="0" w:space="0" w:color="auto"/>
          </w:divBdr>
        </w:div>
        <w:div w:id="356733047">
          <w:marLeft w:val="640"/>
          <w:marRight w:val="0"/>
          <w:marTop w:val="0"/>
          <w:marBottom w:val="0"/>
          <w:divBdr>
            <w:top w:val="none" w:sz="0" w:space="0" w:color="auto"/>
            <w:left w:val="none" w:sz="0" w:space="0" w:color="auto"/>
            <w:bottom w:val="none" w:sz="0" w:space="0" w:color="auto"/>
            <w:right w:val="none" w:sz="0" w:space="0" w:color="auto"/>
          </w:divBdr>
        </w:div>
        <w:div w:id="1634670833">
          <w:marLeft w:val="640"/>
          <w:marRight w:val="0"/>
          <w:marTop w:val="0"/>
          <w:marBottom w:val="0"/>
          <w:divBdr>
            <w:top w:val="none" w:sz="0" w:space="0" w:color="auto"/>
            <w:left w:val="none" w:sz="0" w:space="0" w:color="auto"/>
            <w:bottom w:val="none" w:sz="0" w:space="0" w:color="auto"/>
            <w:right w:val="none" w:sz="0" w:space="0" w:color="auto"/>
          </w:divBdr>
        </w:div>
        <w:div w:id="533689784">
          <w:marLeft w:val="640"/>
          <w:marRight w:val="0"/>
          <w:marTop w:val="0"/>
          <w:marBottom w:val="0"/>
          <w:divBdr>
            <w:top w:val="none" w:sz="0" w:space="0" w:color="auto"/>
            <w:left w:val="none" w:sz="0" w:space="0" w:color="auto"/>
            <w:bottom w:val="none" w:sz="0" w:space="0" w:color="auto"/>
            <w:right w:val="none" w:sz="0" w:space="0" w:color="auto"/>
          </w:divBdr>
        </w:div>
        <w:div w:id="1461998101">
          <w:marLeft w:val="640"/>
          <w:marRight w:val="0"/>
          <w:marTop w:val="0"/>
          <w:marBottom w:val="0"/>
          <w:divBdr>
            <w:top w:val="none" w:sz="0" w:space="0" w:color="auto"/>
            <w:left w:val="none" w:sz="0" w:space="0" w:color="auto"/>
            <w:bottom w:val="none" w:sz="0" w:space="0" w:color="auto"/>
            <w:right w:val="none" w:sz="0" w:space="0" w:color="auto"/>
          </w:divBdr>
        </w:div>
        <w:div w:id="538981261">
          <w:marLeft w:val="640"/>
          <w:marRight w:val="0"/>
          <w:marTop w:val="0"/>
          <w:marBottom w:val="0"/>
          <w:divBdr>
            <w:top w:val="none" w:sz="0" w:space="0" w:color="auto"/>
            <w:left w:val="none" w:sz="0" w:space="0" w:color="auto"/>
            <w:bottom w:val="none" w:sz="0" w:space="0" w:color="auto"/>
            <w:right w:val="none" w:sz="0" w:space="0" w:color="auto"/>
          </w:divBdr>
        </w:div>
        <w:div w:id="964045847">
          <w:marLeft w:val="640"/>
          <w:marRight w:val="0"/>
          <w:marTop w:val="0"/>
          <w:marBottom w:val="0"/>
          <w:divBdr>
            <w:top w:val="none" w:sz="0" w:space="0" w:color="auto"/>
            <w:left w:val="none" w:sz="0" w:space="0" w:color="auto"/>
            <w:bottom w:val="none" w:sz="0" w:space="0" w:color="auto"/>
            <w:right w:val="none" w:sz="0" w:space="0" w:color="auto"/>
          </w:divBdr>
        </w:div>
        <w:div w:id="1317759713">
          <w:marLeft w:val="640"/>
          <w:marRight w:val="0"/>
          <w:marTop w:val="0"/>
          <w:marBottom w:val="0"/>
          <w:divBdr>
            <w:top w:val="none" w:sz="0" w:space="0" w:color="auto"/>
            <w:left w:val="none" w:sz="0" w:space="0" w:color="auto"/>
            <w:bottom w:val="none" w:sz="0" w:space="0" w:color="auto"/>
            <w:right w:val="none" w:sz="0" w:space="0" w:color="auto"/>
          </w:divBdr>
        </w:div>
        <w:div w:id="1572886504">
          <w:marLeft w:val="640"/>
          <w:marRight w:val="0"/>
          <w:marTop w:val="0"/>
          <w:marBottom w:val="0"/>
          <w:divBdr>
            <w:top w:val="none" w:sz="0" w:space="0" w:color="auto"/>
            <w:left w:val="none" w:sz="0" w:space="0" w:color="auto"/>
            <w:bottom w:val="none" w:sz="0" w:space="0" w:color="auto"/>
            <w:right w:val="none" w:sz="0" w:space="0" w:color="auto"/>
          </w:divBdr>
        </w:div>
        <w:div w:id="96950470">
          <w:marLeft w:val="640"/>
          <w:marRight w:val="0"/>
          <w:marTop w:val="0"/>
          <w:marBottom w:val="0"/>
          <w:divBdr>
            <w:top w:val="none" w:sz="0" w:space="0" w:color="auto"/>
            <w:left w:val="none" w:sz="0" w:space="0" w:color="auto"/>
            <w:bottom w:val="none" w:sz="0" w:space="0" w:color="auto"/>
            <w:right w:val="none" w:sz="0" w:space="0" w:color="auto"/>
          </w:divBdr>
        </w:div>
        <w:div w:id="1026255048">
          <w:marLeft w:val="640"/>
          <w:marRight w:val="0"/>
          <w:marTop w:val="0"/>
          <w:marBottom w:val="0"/>
          <w:divBdr>
            <w:top w:val="none" w:sz="0" w:space="0" w:color="auto"/>
            <w:left w:val="none" w:sz="0" w:space="0" w:color="auto"/>
            <w:bottom w:val="none" w:sz="0" w:space="0" w:color="auto"/>
            <w:right w:val="none" w:sz="0" w:space="0" w:color="auto"/>
          </w:divBdr>
        </w:div>
        <w:div w:id="1092093025">
          <w:marLeft w:val="640"/>
          <w:marRight w:val="0"/>
          <w:marTop w:val="0"/>
          <w:marBottom w:val="0"/>
          <w:divBdr>
            <w:top w:val="none" w:sz="0" w:space="0" w:color="auto"/>
            <w:left w:val="none" w:sz="0" w:space="0" w:color="auto"/>
            <w:bottom w:val="none" w:sz="0" w:space="0" w:color="auto"/>
            <w:right w:val="none" w:sz="0" w:space="0" w:color="auto"/>
          </w:divBdr>
        </w:div>
        <w:div w:id="1921602841">
          <w:marLeft w:val="640"/>
          <w:marRight w:val="0"/>
          <w:marTop w:val="0"/>
          <w:marBottom w:val="0"/>
          <w:divBdr>
            <w:top w:val="none" w:sz="0" w:space="0" w:color="auto"/>
            <w:left w:val="none" w:sz="0" w:space="0" w:color="auto"/>
            <w:bottom w:val="none" w:sz="0" w:space="0" w:color="auto"/>
            <w:right w:val="none" w:sz="0" w:space="0" w:color="auto"/>
          </w:divBdr>
        </w:div>
        <w:div w:id="1919368195">
          <w:marLeft w:val="640"/>
          <w:marRight w:val="0"/>
          <w:marTop w:val="0"/>
          <w:marBottom w:val="0"/>
          <w:divBdr>
            <w:top w:val="none" w:sz="0" w:space="0" w:color="auto"/>
            <w:left w:val="none" w:sz="0" w:space="0" w:color="auto"/>
            <w:bottom w:val="none" w:sz="0" w:space="0" w:color="auto"/>
            <w:right w:val="none" w:sz="0" w:space="0" w:color="auto"/>
          </w:divBdr>
        </w:div>
        <w:div w:id="1374768414">
          <w:marLeft w:val="640"/>
          <w:marRight w:val="0"/>
          <w:marTop w:val="0"/>
          <w:marBottom w:val="0"/>
          <w:divBdr>
            <w:top w:val="none" w:sz="0" w:space="0" w:color="auto"/>
            <w:left w:val="none" w:sz="0" w:space="0" w:color="auto"/>
            <w:bottom w:val="none" w:sz="0" w:space="0" w:color="auto"/>
            <w:right w:val="none" w:sz="0" w:space="0" w:color="auto"/>
          </w:divBdr>
        </w:div>
        <w:div w:id="324556904">
          <w:marLeft w:val="640"/>
          <w:marRight w:val="0"/>
          <w:marTop w:val="0"/>
          <w:marBottom w:val="0"/>
          <w:divBdr>
            <w:top w:val="none" w:sz="0" w:space="0" w:color="auto"/>
            <w:left w:val="none" w:sz="0" w:space="0" w:color="auto"/>
            <w:bottom w:val="none" w:sz="0" w:space="0" w:color="auto"/>
            <w:right w:val="none" w:sz="0" w:space="0" w:color="auto"/>
          </w:divBdr>
        </w:div>
        <w:div w:id="788621770">
          <w:marLeft w:val="640"/>
          <w:marRight w:val="0"/>
          <w:marTop w:val="0"/>
          <w:marBottom w:val="0"/>
          <w:divBdr>
            <w:top w:val="none" w:sz="0" w:space="0" w:color="auto"/>
            <w:left w:val="none" w:sz="0" w:space="0" w:color="auto"/>
            <w:bottom w:val="none" w:sz="0" w:space="0" w:color="auto"/>
            <w:right w:val="none" w:sz="0" w:space="0" w:color="auto"/>
          </w:divBdr>
        </w:div>
        <w:div w:id="415832477">
          <w:marLeft w:val="640"/>
          <w:marRight w:val="0"/>
          <w:marTop w:val="0"/>
          <w:marBottom w:val="0"/>
          <w:divBdr>
            <w:top w:val="none" w:sz="0" w:space="0" w:color="auto"/>
            <w:left w:val="none" w:sz="0" w:space="0" w:color="auto"/>
            <w:bottom w:val="none" w:sz="0" w:space="0" w:color="auto"/>
            <w:right w:val="none" w:sz="0" w:space="0" w:color="auto"/>
          </w:divBdr>
        </w:div>
        <w:div w:id="2041857905">
          <w:marLeft w:val="640"/>
          <w:marRight w:val="0"/>
          <w:marTop w:val="0"/>
          <w:marBottom w:val="0"/>
          <w:divBdr>
            <w:top w:val="none" w:sz="0" w:space="0" w:color="auto"/>
            <w:left w:val="none" w:sz="0" w:space="0" w:color="auto"/>
            <w:bottom w:val="none" w:sz="0" w:space="0" w:color="auto"/>
            <w:right w:val="none" w:sz="0" w:space="0" w:color="auto"/>
          </w:divBdr>
        </w:div>
        <w:div w:id="1758018641">
          <w:marLeft w:val="640"/>
          <w:marRight w:val="0"/>
          <w:marTop w:val="0"/>
          <w:marBottom w:val="0"/>
          <w:divBdr>
            <w:top w:val="none" w:sz="0" w:space="0" w:color="auto"/>
            <w:left w:val="none" w:sz="0" w:space="0" w:color="auto"/>
            <w:bottom w:val="none" w:sz="0" w:space="0" w:color="auto"/>
            <w:right w:val="none" w:sz="0" w:space="0" w:color="auto"/>
          </w:divBdr>
        </w:div>
        <w:div w:id="138495326">
          <w:marLeft w:val="640"/>
          <w:marRight w:val="0"/>
          <w:marTop w:val="0"/>
          <w:marBottom w:val="0"/>
          <w:divBdr>
            <w:top w:val="none" w:sz="0" w:space="0" w:color="auto"/>
            <w:left w:val="none" w:sz="0" w:space="0" w:color="auto"/>
            <w:bottom w:val="none" w:sz="0" w:space="0" w:color="auto"/>
            <w:right w:val="none" w:sz="0" w:space="0" w:color="auto"/>
          </w:divBdr>
        </w:div>
        <w:div w:id="526867010">
          <w:marLeft w:val="640"/>
          <w:marRight w:val="0"/>
          <w:marTop w:val="0"/>
          <w:marBottom w:val="0"/>
          <w:divBdr>
            <w:top w:val="none" w:sz="0" w:space="0" w:color="auto"/>
            <w:left w:val="none" w:sz="0" w:space="0" w:color="auto"/>
            <w:bottom w:val="none" w:sz="0" w:space="0" w:color="auto"/>
            <w:right w:val="none" w:sz="0" w:space="0" w:color="auto"/>
          </w:divBdr>
        </w:div>
        <w:div w:id="810826930">
          <w:marLeft w:val="640"/>
          <w:marRight w:val="0"/>
          <w:marTop w:val="0"/>
          <w:marBottom w:val="0"/>
          <w:divBdr>
            <w:top w:val="none" w:sz="0" w:space="0" w:color="auto"/>
            <w:left w:val="none" w:sz="0" w:space="0" w:color="auto"/>
            <w:bottom w:val="none" w:sz="0" w:space="0" w:color="auto"/>
            <w:right w:val="none" w:sz="0" w:space="0" w:color="auto"/>
          </w:divBdr>
        </w:div>
        <w:div w:id="874386581">
          <w:marLeft w:val="640"/>
          <w:marRight w:val="0"/>
          <w:marTop w:val="0"/>
          <w:marBottom w:val="0"/>
          <w:divBdr>
            <w:top w:val="none" w:sz="0" w:space="0" w:color="auto"/>
            <w:left w:val="none" w:sz="0" w:space="0" w:color="auto"/>
            <w:bottom w:val="none" w:sz="0" w:space="0" w:color="auto"/>
            <w:right w:val="none" w:sz="0" w:space="0" w:color="auto"/>
          </w:divBdr>
        </w:div>
        <w:div w:id="262417044">
          <w:marLeft w:val="640"/>
          <w:marRight w:val="0"/>
          <w:marTop w:val="0"/>
          <w:marBottom w:val="0"/>
          <w:divBdr>
            <w:top w:val="none" w:sz="0" w:space="0" w:color="auto"/>
            <w:left w:val="none" w:sz="0" w:space="0" w:color="auto"/>
            <w:bottom w:val="none" w:sz="0" w:space="0" w:color="auto"/>
            <w:right w:val="none" w:sz="0" w:space="0" w:color="auto"/>
          </w:divBdr>
        </w:div>
        <w:div w:id="1416630653">
          <w:marLeft w:val="640"/>
          <w:marRight w:val="0"/>
          <w:marTop w:val="0"/>
          <w:marBottom w:val="0"/>
          <w:divBdr>
            <w:top w:val="none" w:sz="0" w:space="0" w:color="auto"/>
            <w:left w:val="none" w:sz="0" w:space="0" w:color="auto"/>
            <w:bottom w:val="none" w:sz="0" w:space="0" w:color="auto"/>
            <w:right w:val="none" w:sz="0" w:space="0" w:color="auto"/>
          </w:divBdr>
        </w:div>
        <w:div w:id="711879057">
          <w:marLeft w:val="640"/>
          <w:marRight w:val="0"/>
          <w:marTop w:val="0"/>
          <w:marBottom w:val="0"/>
          <w:divBdr>
            <w:top w:val="none" w:sz="0" w:space="0" w:color="auto"/>
            <w:left w:val="none" w:sz="0" w:space="0" w:color="auto"/>
            <w:bottom w:val="none" w:sz="0" w:space="0" w:color="auto"/>
            <w:right w:val="none" w:sz="0" w:space="0" w:color="auto"/>
          </w:divBdr>
        </w:div>
      </w:divsChild>
    </w:div>
    <w:div w:id="566576935">
      <w:bodyDiv w:val="1"/>
      <w:marLeft w:val="0"/>
      <w:marRight w:val="0"/>
      <w:marTop w:val="0"/>
      <w:marBottom w:val="0"/>
      <w:divBdr>
        <w:top w:val="none" w:sz="0" w:space="0" w:color="auto"/>
        <w:left w:val="none" w:sz="0" w:space="0" w:color="auto"/>
        <w:bottom w:val="none" w:sz="0" w:space="0" w:color="auto"/>
        <w:right w:val="none" w:sz="0" w:space="0" w:color="auto"/>
      </w:divBdr>
      <w:divsChild>
        <w:div w:id="650982816">
          <w:marLeft w:val="640"/>
          <w:marRight w:val="0"/>
          <w:marTop w:val="0"/>
          <w:marBottom w:val="0"/>
          <w:divBdr>
            <w:top w:val="none" w:sz="0" w:space="0" w:color="auto"/>
            <w:left w:val="none" w:sz="0" w:space="0" w:color="auto"/>
            <w:bottom w:val="none" w:sz="0" w:space="0" w:color="auto"/>
            <w:right w:val="none" w:sz="0" w:space="0" w:color="auto"/>
          </w:divBdr>
        </w:div>
        <w:div w:id="1321927839">
          <w:marLeft w:val="640"/>
          <w:marRight w:val="0"/>
          <w:marTop w:val="0"/>
          <w:marBottom w:val="0"/>
          <w:divBdr>
            <w:top w:val="none" w:sz="0" w:space="0" w:color="auto"/>
            <w:left w:val="none" w:sz="0" w:space="0" w:color="auto"/>
            <w:bottom w:val="none" w:sz="0" w:space="0" w:color="auto"/>
            <w:right w:val="none" w:sz="0" w:space="0" w:color="auto"/>
          </w:divBdr>
        </w:div>
        <w:div w:id="551962864">
          <w:marLeft w:val="640"/>
          <w:marRight w:val="0"/>
          <w:marTop w:val="0"/>
          <w:marBottom w:val="0"/>
          <w:divBdr>
            <w:top w:val="none" w:sz="0" w:space="0" w:color="auto"/>
            <w:left w:val="none" w:sz="0" w:space="0" w:color="auto"/>
            <w:bottom w:val="none" w:sz="0" w:space="0" w:color="auto"/>
            <w:right w:val="none" w:sz="0" w:space="0" w:color="auto"/>
          </w:divBdr>
        </w:div>
        <w:div w:id="606079492">
          <w:marLeft w:val="640"/>
          <w:marRight w:val="0"/>
          <w:marTop w:val="0"/>
          <w:marBottom w:val="0"/>
          <w:divBdr>
            <w:top w:val="none" w:sz="0" w:space="0" w:color="auto"/>
            <w:left w:val="none" w:sz="0" w:space="0" w:color="auto"/>
            <w:bottom w:val="none" w:sz="0" w:space="0" w:color="auto"/>
            <w:right w:val="none" w:sz="0" w:space="0" w:color="auto"/>
          </w:divBdr>
        </w:div>
        <w:div w:id="489953931">
          <w:marLeft w:val="640"/>
          <w:marRight w:val="0"/>
          <w:marTop w:val="0"/>
          <w:marBottom w:val="0"/>
          <w:divBdr>
            <w:top w:val="none" w:sz="0" w:space="0" w:color="auto"/>
            <w:left w:val="none" w:sz="0" w:space="0" w:color="auto"/>
            <w:bottom w:val="none" w:sz="0" w:space="0" w:color="auto"/>
            <w:right w:val="none" w:sz="0" w:space="0" w:color="auto"/>
          </w:divBdr>
        </w:div>
        <w:div w:id="530921601">
          <w:marLeft w:val="640"/>
          <w:marRight w:val="0"/>
          <w:marTop w:val="0"/>
          <w:marBottom w:val="0"/>
          <w:divBdr>
            <w:top w:val="none" w:sz="0" w:space="0" w:color="auto"/>
            <w:left w:val="none" w:sz="0" w:space="0" w:color="auto"/>
            <w:bottom w:val="none" w:sz="0" w:space="0" w:color="auto"/>
            <w:right w:val="none" w:sz="0" w:space="0" w:color="auto"/>
          </w:divBdr>
        </w:div>
        <w:div w:id="1343900097">
          <w:marLeft w:val="640"/>
          <w:marRight w:val="0"/>
          <w:marTop w:val="0"/>
          <w:marBottom w:val="0"/>
          <w:divBdr>
            <w:top w:val="none" w:sz="0" w:space="0" w:color="auto"/>
            <w:left w:val="none" w:sz="0" w:space="0" w:color="auto"/>
            <w:bottom w:val="none" w:sz="0" w:space="0" w:color="auto"/>
            <w:right w:val="none" w:sz="0" w:space="0" w:color="auto"/>
          </w:divBdr>
        </w:div>
        <w:div w:id="711275097">
          <w:marLeft w:val="640"/>
          <w:marRight w:val="0"/>
          <w:marTop w:val="0"/>
          <w:marBottom w:val="0"/>
          <w:divBdr>
            <w:top w:val="none" w:sz="0" w:space="0" w:color="auto"/>
            <w:left w:val="none" w:sz="0" w:space="0" w:color="auto"/>
            <w:bottom w:val="none" w:sz="0" w:space="0" w:color="auto"/>
            <w:right w:val="none" w:sz="0" w:space="0" w:color="auto"/>
          </w:divBdr>
        </w:div>
        <w:div w:id="588346270">
          <w:marLeft w:val="640"/>
          <w:marRight w:val="0"/>
          <w:marTop w:val="0"/>
          <w:marBottom w:val="0"/>
          <w:divBdr>
            <w:top w:val="none" w:sz="0" w:space="0" w:color="auto"/>
            <w:left w:val="none" w:sz="0" w:space="0" w:color="auto"/>
            <w:bottom w:val="none" w:sz="0" w:space="0" w:color="auto"/>
            <w:right w:val="none" w:sz="0" w:space="0" w:color="auto"/>
          </w:divBdr>
        </w:div>
        <w:div w:id="1237201585">
          <w:marLeft w:val="640"/>
          <w:marRight w:val="0"/>
          <w:marTop w:val="0"/>
          <w:marBottom w:val="0"/>
          <w:divBdr>
            <w:top w:val="none" w:sz="0" w:space="0" w:color="auto"/>
            <w:left w:val="none" w:sz="0" w:space="0" w:color="auto"/>
            <w:bottom w:val="none" w:sz="0" w:space="0" w:color="auto"/>
            <w:right w:val="none" w:sz="0" w:space="0" w:color="auto"/>
          </w:divBdr>
        </w:div>
        <w:div w:id="156770706">
          <w:marLeft w:val="640"/>
          <w:marRight w:val="0"/>
          <w:marTop w:val="0"/>
          <w:marBottom w:val="0"/>
          <w:divBdr>
            <w:top w:val="none" w:sz="0" w:space="0" w:color="auto"/>
            <w:left w:val="none" w:sz="0" w:space="0" w:color="auto"/>
            <w:bottom w:val="none" w:sz="0" w:space="0" w:color="auto"/>
            <w:right w:val="none" w:sz="0" w:space="0" w:color="auto"/>
          </w:divBdr>
        </w:div>
        <w:div w:id="1199657105">
          <w:marLeft w:val="640"/>
          <w:marRight w:val="0"/>
          <w:marTop w:val="0"/>
          <w:marBottom w:val="0"/>
          <w:divBdr>
            <w:top w:val="none" w:sz="0" w:space="0" w:color="auto"/>
            <w:left w:val="none" w:sz="0" w:space="0" w:color="auto"/>
            <w:bottom w:val="none" w:sz="0" w:space="0" w:color="auto"/>
            <w:right w:val="none" w:sz="0" w:space="0" w:color="auto"/>
          </w:divBdr>
        </w:div>
        <w:div w:id="1107001268">
          <w:marLeft w:val="640"/>
          <w:marRight w:val="0"/>
          <w:marTop w:val="0"/>
          <w:marBottom w:val="0"/>
          <w:divBdr>
            <w:top w:val="none" w:sz="0" w:space="0" w:color="auto"/>
            <w:left w:val="none" w:sz="0" w:space="0" w:color="auto"/>
            <w:bottom w:val="none" w:sz="0" w:space="0" w:color="auto"/>
            <w:right w:val="none" w:sz="0" w:space="0" w:color="auto"/>
          </w:divBdr>
        </w:div>
        <w:div w:id="991980023">
          <w:marLeft w:val="640"/>
          <w:marRight w:val="0"/>
          <w:marTop w:val="0"/>
          <w:marBottom w:val="0"/>
          <w:divBdr>
            <w:top w:val="none" w:sz="0" w:space="0" w:color="auto"/>
            <w:left w:val="none" w:sz="0" w:space="0" w:color="auto"/>
            <w:bottom w:val="none" w:sz="0" w:space="0" w:color="auto"/>
            <w:right w:val="none" w:sz="0" w:space="0" w:color="auto"/>
          </w:divBdr>
        </w:div>
        <w:div w:id="1685084108">
          <w:marLeft w:val="640"/>
          <w:marRight w:val="0"/>
          <w:marTop w:val="0"/>
          <w:marBottom w:val="0"/>
          <w:divBdr>
            <w:top w:val="none" w:sz="0" w:space="0" w:color="auto"/>
            <w:left w:val="none" w:sz="0" w:space="0" w:color="auto"/>
            <w:bottom w:val="none" w:sz="0" w:space="0" w:color="auto"/>
            <w:right w:val="none" w:sz="0" w:space="0" w:color="auto"/>
          </w:divBdr>
        </w:div>
        <w:div w:id="2006012119">
          <w:marLeft w:val="640"/>
          <w:marRight w:val="0"/>
          <w:marTop w:val="0"/>
          <w:marBottom w:val="0"/>
          <w:divBdr>
            <w:top w:val="none" w:sz="0" w:space="0" w:color="auto"/>
            <w:left w:val="none" w:sz="0" w:space="0" w:color="auto"/>
            <w:bottom w:val="none" w:sz="0" w:space="0" w:color="auto"/>
            <w:right w:val="none" w:sz="0" w:space="0" w:color="auto"/>
          </w:divBdr>
        </w:div>
        <w:div w:id="270936887">
          <w:marLeft w:val="640"/>
          <w:marRight w:val="0"/>
          <w:marTop w:val="0"/>
          <w:marBottom w:val="0"/>
          <w:divBdr>
            <w:top w:val="none" w:sz="0" w:space="0" w:color="auto"/>
            <w:left w:val="none" w:sz="0" w:space="0" w:color="auto"/>
            <w:bottom w:val="none" w:sz="0" w:space="0" w:color="auto"/>
            <w:right w:val="none" w:sz="0" w:space="0" w:color="auto"/>
          </w:divBdr>
        </w:div>
        <w:div w:id="1043478129">
          <w:marLeft w:val="640"/>
          <w:marRight w:val="0"/>
          <w:marTop w:val="0"/>
          <w:marBottom w:val="0"/>
          <w:divBdr>
            <w:top w:val="none" w:sz="0" w:space="0" w:color="auto"/>
            <w:left w:val="none" w:sz="0" w:space="0" w:color="auto"/>
            <w:bottom w:val="none" w:sz="0" w:space="0" w:color="auto"/>
            <w:right w:val="none" w:sz="0" w:space="0" w:color="auto"/>
          </w:divBdr>
        </w:div>
        <w:div w:id="23139719">
          <w:marLeft w:val="640"/>
          <w:marRight w:val="0"/>
          <w:marTop w:val="0"/>
          <w:marBottom w:val="0"/>
          <w:divBdr>
            <w:top w:val="none" w:sz="0" w:space="0" w:color="auto"/>
            <w:left w:val="none" w:sz="0" w:space="0" w:color="auto"/>
            <w:bottom w:val="none" w:sz="0" w:space="0" w:color="auto"/>
            <w:right w:val="none" w:sz="0" w:space="0" w:color="auto"/>
          </w:divBdr>
        </w:div>
        <w:div w:id="47610025">
          <w:marLeft w:val="640"/>
          <w:marRight w:val="0"/>
          <w:marTop w:val="0"/>
          <w:marBottom w:val="0"/>
          <w:divBdr>
            <w:top w:val="none" w:sz="0" w:space="0" w:color="auto"/>
            <w:left w:val="none" w:sz="0" w:space="0" w:color="auto"/>
            <w:bottom w:val="none" w:sz="0" w:space="0" w:color="auto"/>
            <w:right w:val="none" w:sz="0" w:space="0" w:color="auto"/>
          </w:divBdr>
        </w:div>
        <w:div w:id="351542269">
          <w:marLeft w:val="640"/>
          <w:marRight w:val="0"/>
          <w:marTop w:val="0"/>
          <w:marBottom w:val="0"/>
          <w:divBdr>
            <w:top w:val="none" w:sz="0" w:space="0" w:color="auto"/>
            <w:left w:val="none" w:sz="0" w:space="0" w:color="auto"/>
            <w:bottom w:val="none" w:sz="0" w:space="0" w:color="auto"/>
            <w:right w:val="none" w:sz="0" w:space="0" w:color="auto"/>
          </w:divBdr>
        </w:div>
        <w:div w:id="1875145251">
          <w:marLeft w:val="640"/>
          <w:marRight w:val="0"/>
          <w:marTop w:val="0"/>
          <w:marBottom w:val="0"/>
          <w:divBdr>
            <w:top w:val="none" w:sz="0" w:space="0" w:color="auto"/>
            <w:left w:val="none" w:sz="0" w:space="0" w:color="auto"/>
            <w:bottom w:val="none" w:sz="0" w:space="0" w:color="auto"/>
            <w:right w:val="none" w:sz="0" w:space="0" w:color="auto"/>
          </w:divBdr>
        </w:div>
        <w:div w:id="669602978">
          <w:marLeft w:val="640"/>
          <w:marRight w:val="0"/>
          <w:marTop w:val="0"/>
          <w:marBottom w:val="0"/>
          <w:divBdr>
            <w:top w:val="none" w:sz="0" w:space="0" w:color="auto"/>
            <w:left w:val="none" w:sz="0" w:space="0" w:color="auto"/>
            <w:bottom w:val="none" w:sz="0" w:space="0" w:color="auto"/>
            <w:right w:val="none" w:sz="0" w:space="0" w:color="auto"/>
          </w:divBdr>
        </w:div>
        <w:div w:id="941185624">
          <w:marLeft w:val="640"/>
          <w:marRight w:val="0"/>
          <w:marTop w:val="0"/>
          <w:marBottom w:val="0"/>
          <w:divBdr>
            <w:top w:val="none" w:sz="0" w:space="0" w:color="auto"/>
            <w:left w:val="none" w:sz="0" w:space="0" w:color="auto"/>
            <w:bottom w:val="none" w:sz="0" w:space="0" w:color="auto"/>
            <w:right w:val="none" w:sz="0" w:space="0" w:color="auto"/>
          </w:divBdr>
        </w:div>
        <w:div w:id="59526428">
          <w:marLeft w:val="640"/>
          <w:marRight w:val="0"/>
          <w:marTop w:val="0"/>
          <w:marBottom w:val="0"/>
          <w:divBdr>
            <w:top w:val="none" w:sz="0" w:space="0" w:color="auto"/>
            <w:left w:val="none" w:sz="0" w:space="0" w:color="auto"/>
            <w:bottom w:val="none" w:sz="0" w:space="0" w:color="auto"/>
            <w:right w:val="none" w:sz="0" w:space="0" w:color="auto"/>
          </w:divBdr>
        </w:div>
        <w:div w:id="1926112155">
          <w:marLeft w:val="640"/>
          <w:marRight w:val="0"/>
          <w:marTop w:val="0"/>
          <w:marBottom w:val="0"/>
          <w:divBdr>
            <w:top w:val="none" w:sz="0" w:space="0" w:color="auto"/>
            <w:left w:val="none" w:sz="0" w:space="0" w:color="auto"/>
            <w:bottom w:val="none" w:sz="0" w:space="0" w:color="auto"/>
            <w:right w:val="none" w:sz="0" w:space="0" w:color="auto"/>
          </w:divBdr>
        </w:div>
        <w:div w:id="920677002">
          <w:marLeft w:val="640"/>
          <w:marRight w:val="0"/>
          <w:marTop w:val="0"/>
          <w:marBottom w:val="0"/>
          <w:divBdr>
            <w:top w:val="none" w:sz="0" w:space="0" w:color="auto"/>
            <w:left w:val="none" w:sz="0" w:space="0" w:color="auto"/>
            <w:bottom w:val="none" w:sz="0" w:space="0" w:color="auto"/>
            <w:right w:val="none" w:sz="0" w:space="0" w:color="auto"/>
          </w:divBdr>
        </w:div>
        <w:div w:id="1502965731">
          <w:marLeft w:val="640"/>
          <w:marRight w:val="0"/>
          <w:marTop w:val="0"/>
          <w:marBottom w:val="0"/>
          <w:divBdr>
            <w:top w:val="none" w:sz="0" w:space="0" w:color="auto"/>
            <w:left w:val="none" w:sz="0" w:space="0" w:color="auto"/>
            <w:bottom w:val="none" w:sz="0" w:space="0" w:color="auto"/>
            <w:right w:val="none" w:sz="0" w:space="0" w:color="auto"/>
          </w:divBdr>
        </w:div>
        <w:div w:id="429787812">
          <w:marLeft w:val="640"/>
          <w:marRight w:val="0"/>
          <w:marTop w:val="0"/>
          <w:marBottom w:val="0"/>
          <w:divBdr>
            <w:top w:val="none" w:sz="0" w:space="0" w:color="auto"/>
            <w:left w:val="none" w:sz="0" w:space="0" w:color="auto"/>
            <w:bottom w:val="none" w:sz="0" w:space="0" w:color="auto"/>
            <w:right w:val="none" w:sz="0" w:space="0" w:color="auto"/>
          </w:divBdr>
        </w:div>
        <w:div w:id="58986871">
          <w:marLeft w:val="640"/>
          <w:marRight w:val="0"/>
          <w:marTop w:val="0"/>
          <w:marBottom w:val="0"/>
          <w:divBdr>
            <w:top w:val="none" w:sz="0" w:space="0" w:color="auto"/>
            <w:left w:val="none" w:sz="0" w:space="0" w:color="auto"/>
            <w:bottom w:val="none" w:sz="0" w:space="0" w:color="auto"/>
            <w:right w:val="none" w:sz="0" w:space="0" w:color="auto"/>
          </w:divBdr>
        </w:div>
        <w:div w:id="1512985589">
          <w:marLeft w:val="640"/>
          <w:marRight w:val="0"/>
          <w:marTop w:val="0"/>
          <w:marBottom w:val="0"/>
          <w:divBdr>
            <w:top w:val="none" w:sz="0" w:space="0" w:color="auto"/>
            <w:left w:val="none" w:sz="0" w:space="0" w:color="auto"/>
            <w:bottom w:val="none" w:sz="0" w:space="0" w:color="auto"/>
            <w:right w:val="none" w:sz="0" w:space="0" w:color="auto"/>
          </w:divBdr>
        </w:div>
        <w:div w:id="1147743722">
          <w:marLeft w:val="640"/>
          <w:marRight w:val="0"/>
          <w:marTop w:val="0"/>
          <w:marBottom w:val="0"/>
          <w:divBdr>
            <w:top w:val="none" w:sz="0" w:space="0" w:color="auto"/>
            <w:left w:val="none" w:sz="0" w:space="0" w:color="auto"/>
            <w:bottom w:val="none" w:sz="0" w:space="0" w:color="auto"/>
            <w:right w:val="none" w:sz="0" w:space="0" w:color="auto"/>
          </w:divBdr>
        </w:div>
        <w:div w:id="1312827562">
          <w:marLeft w:val="640"/>
          <w:marRight w:val="0"/>
          <w:marTop w:val="0"/>
          <w:marBottom w:val="0"/>
          <w:divBdr>
            <w:top w:val="none" w:sz="0" w:space="0" w:color="auto"/>
            <w:left w:val="none" w:sz="0" w:space="0" w:color="auto"/>
            <w:bottom w:val="none" w:sz="0" w:space="0" w:color="auto"/>
            <w:right w:val="none" w:sz="0" w:space="0" w:color="auto"/>
          </w:divBdr>
        </w:div>
        <w:div w:id="1780831016">
          <w:marLeft w:val="640"/>
          <w:marRight w:val="0"/>
          <w:marTop w:val="0"/>
          <w:marBottom w:val="0"/>
          <w:divBdr>
            <w:top w:val="none" w:sz="0" w:space="0" w:color="auto"/>
            <w:left w:val="none" w:sz="0" w:space="0" w:color="auto"/>
            <w:bottom w:val="none" w:sz="0" w:space="0" w:color="auto"/>
            <w:right w:val="none" w:sz="0" w:space="0" w:color="auto"/>
          </w:divBdr>
        </w:div>
        <w:div w:id="326135671">
          <w:marLeft w:val="640"/>
          <w:marRight w:val="0"/>
          <w:marTop w:val="0"/>
          <w:marBottom w:val="0"/>
          <w:divBdr>
            <w:top w:val="none" w:sz="0" w:space="0" w:color="auto"/>
            <w:left w:val="none" w:sz="0" w:space="0" w:color="auto"/>
            <w:bottom w:val="none" w:sz="0" w:space="0" w:color="auto"/>
            <w:right w:val="none" w:sz="0" w:space="0" w:color="auto"/>
          </w:divBdr>
        </w:div>
        <w:div w:id="1167403332">
          <w:marLeft w:val="640"/>
          <w:marRight w:val="0"/>
          <w:marTop w:val="0"/>
          <w:marBottom w:val="0"/>
          <w:divBdr>
            <w:top w:val="none" w:sz="0" w:space="0" w:color="auto"/>
            <w:left w:val="none" w:sz="0" w:space="0" w:color="auto"/>
            <w:bottom w:val="none" w:sz="0" w:space="0" w:color="auto"/>
            <w:right w:val="none" w:sz="0" w:space="0" w:color="auto"/>
          </w:divBdr>
        </w:div>
        <w:div w:id="1701855148">
          <w:marLeft w:val="640"/>
          <w:marRight w:val="0"/>
          <w:marTop w:val="0"/>
          <w:marBottom w:val="0"/>
          <w:divBdr>
            <w:top w:val="none" w:sz="0" w:space="0" w:color="auto"/>
            <w:left w:val="none" w:sz="0" w:space="0" w:color="auto"/>
            <w:bottom w:val="none" w:sz="0" w:space="0" w:color="auto"/>
            <w:right w:val="none" w:sz="0" w:space="0" w:color="auto"/>
          </w:divBdr>
        </w:div>
        <w:div w:id="256989411">
          <w:marLeft w:val="640"/>
          <w:marRight w:val="0"/>
          <w:marTop w:val="0"/>
          <w:marBottom w:val="0"/>
          <w:divBdr>
            <w:top w:val="none" w:sz="0" w:space="0" w:color="auto"/>
            <w:left w:val="none" w:sz="0" w:space="0" w:color="auto"/>
            <w:bottom w:val="none" w:sz="0" w:space="0" w:color="auto"/>
            <w:right w:val="none" w:sz="0" w:space="0" w:color="auto"/>
          </w:divBdr>
        </w:div>
        <w:div w:id="1975404214">
          <w:marLeft w:val="640"/>
          <w:marRight w:val="0"/>
          <w:marTop w:val="0"/>
          <w:marBottom w:val="0"/>
          <w:divBdr>
            <w:top w:val="none" w:sz="0" w:space="0" w:color="auto"/>
            <w:left w:val="none" w:sz="0" w:space="0" w:color="auto"/>
            <w:bottom w:val="none" w:sz="0" w:space="0" w:color="auto"/>
            <w:right w:val="none" w:sz="0" w:space="0" w:color="auto"/>
          </w:divBdr>
        </w:div>
        <w:div w:id="722561427">
          <w:marLeft w:val="640"/>
          <w:marRight w:val="0"/>
          <w:marTop w:val="0"/>
          <w:marBottom w:val="0"/>
          <w:divBdr>
            <w:top w:val="none" w:sz="0" w:space="0" w:color="auto"/>
            <w:left w:val="none" w:sz="0" w:space="0" w:color="auto"/>
            <w:bottom w:val="none" w:sz="0" w:space="0" w:color="auto"/>
            <w:right w:val="none" w:sz="0" w:space="0" w:color="auto"/>
          </w:divBdr>
        </w:div>
        <w:div w:id="1786651175">
          <w:marLeft w:val="640"/>
          <w:marRight w:val="0"/>
          <w:marTop w:val="0"/>
          <w:marBottom w:val="0"/>
          <w:divBdr>
            <w:top w:val="none" w:sz="0" w:space="0" w:color="auto"/>
            <w:left w:val="none" w:sz="0" w:space="0" w:color="auto"/>
            <w:bottom w:val="none" w:sz="0" w:space="0" w:color="auto"/>
            <w:right w:val="none" w:sz="0" w:space="0" w:color="auto"/>
          </w:divBdr>
        </w:div>
        <w:div w:id="138157275">
          <w:marLeft w:val="640"/>
          <w:marRight w:val="0"/>
          <w:marTop w:val="0"/>
          <w:marBottom w:val="0"/>
          <w:divBdr>
            <w:top w:val="none" w:sz="0" w:space="0" w:color="auto"/>
            <w:left w:val="none" w:sz="0" w:space="0" w:color="auto"/>
            <w:bottom w:val="none" w:sz="0" w:space="0" w:color="auto"/>
            <w:right w:val="none" w:sz="0" w:space="0" w:color="auto"/>
          </w:divBdr>
        </w:div>
        <w:div w:id="1190874913">
          <w:marLeft w:val="640"/>
          <w:marRight w:val="0"/>
          <w:marTop w:val="0"/>
          <w:marBottom w:val="0"/>
          <w:divBdr>
            <w:top w:val="none" w:sz="0" w:space="0" w:color="auto"/>
            <w:left w:val="none" w:sz="0" w:space="0" w:color="auto"/>
            <w:bottom w:val="none" w:sz="0" w:space="0" w:color="auto"/>
            <w:right w:val="none" w:sz="0" w:space="0" w:color="auto"/>
          </w:divBdr>
        </w:div>
        <w:div w:id="2031296669">
          <w:marLeft w:val="640"/>
          <w:marRight w:val="0"/>
          <w:marTop w:val="0"/>
          <w:marBottom w:val="0"/>
          <w:divBdr>
            <w:top w:val="none" w:sz="0" w:space="0" w:color="auto"/>
            <w:left w:val="none" w:sz="0" w:space="0" w:color="auto"/>
            <w:bottom w:val="none" w:sz="0" w:space="0" w:color="auto"/>
            <w:right w:val="none" w:sz="0" w:space="0" w:color="auto"/>
          </w:divBdr>
        </w:div>
        <w:div w:id="1520118742">
          <w:marLeft w:val="640"/>
          <w:marRight w:val="0"/>
          <w:marTop w:val="0"/>
          <w:marBottom w:val="0"/>
          <w:divBdr>
            <w:top w:val="none" w:sz="0" w:space="0" w:color="auto"/>
            <w:left w:val="none" w:sz="0" w:space="0" w:color="auto"/>
            <w:bottom w:val="none" w:sz="0" w:space="0" w:color="auto"/>
            <w:right w:val="none" w:sz="0" w:space="0" w:color="auto"/>
          </w:divBdr>
        </w:div>
        <w:div w:id="323047991">
          <w:marLeft w:val="640"/>
          <w:marRight w:val="0"/>
          <w:marTop w:val="0"/>
          <w:marBottom w:val="0"/>
          <w:divBdr>
            <w:top w:val="none" w:sz="0" w:space="0" w:color="auto"/>
            <w:left w:val="none" w:sz="0" w:space="0" w:color="auto"/>
            <w:bottom w:val="none" w:sz="0" w:space="0" w:color="auto"/>
            <w:right w:val="none" w:sz="0" w:space="0" w:color="auto"/>
          </w:divBdr>
        </w:div>
        <w:div w:id="687294802">
          <w:marLeft w:val="640"/>
          <w:marRight w:val="0"/>
          <w:marTop w:val="0"/>
          <w:marBottom w:val="0"/>
          <w:divBdr>
            <w:top w:val="none" w:sz="0" w:space="0" w:color="auto"/>
            <w:left w:val="none" w:sz="0" w:space="0" w:color="auto"/>
            <w:bottom w:val="none" w:sz="0" w:space="0" w:color="auto"/>
            <w:right w:val="none" w:sz="0" w:space="0" w:color="auto"/>
          </w:divBdr>
        </w:div>
        <w:div w:id="1892883525">
          <w:marLeft w:val="640"/>
          <w:marRight w:val="0"/>
          <w:marTop w:val="0"/>
          <w:marBottom w:val="0"/>
          <w:divBdr>
            <w:top w:val="none" w:sz="0" w:space="0" w:color="auto"/>
            <w:left w:val="none" w:sz="0" w:space="0" w:color="auto"/>
            <w:bottom w:val="none" w:sz="0" w:space="0" w:color="auto"/>
            <w:right w:val="none" w:sz="0" w:space="0" w:color="auto"/>
          </w:divBdr>
        </w:div>
        <w:div w:id="571043443">
          <w:marLeft w:val="640"/>
          <w:marRight w:val="0"/>
          <w:marTop w:val="0"/>
          <w:marBottom w:val="0"/>
          <w:divBdr>
            <w:top w:val="none" w:sz="0" w:space="0" w:color="auto"/>
            <w:left w:val="none" w:sz="0" w:space="0" w:color="auto"/>
            <w:bottom w:val="none" w:sz="0" w:space="0" w:color="auto"/>
            <w:right w:val="none" w:sz="0" w:space="0" w:color="auto"/>
          </w:divBdr>
        </w:div>
        <w:div w:id="1972979268">
          <w:marLeft w:val="640"/>
          <w:marRight w:val="0"/>
          <w:marTop w:val="0"/>
          <w:marBottom w:val="0"/>
          <w:divBdr>
            <w:top w:val="none" w:sz="0" w:space="0" w:color="auto"/>
            <w:left w:val="none" w:sz="0" w:space="0" w:color="auto"/>
            <w:bottom w:val="none" w:sz="0" w:space="0" w:color="auto"/>
            <w:right w:val="none" w:sz="0" w:space="0" w:color="auto"/>
          </w:divBdr>
        </w:div>
        <w:div w:id="1800487453">
          <w:marLeft w:val="640"/>
          <w:marRight w:val="0"/>
          <w:marTop w:val="0"/>
          <w:marBottom w:val="0"/>
          <w:divBdr>
            <w:top w:val="none" w:sz="0" w:space="0" w:color="auto"/>
            <w:left w:val="none" w:sz="0" w:space="0" w:color="auto"/>
            <w:bottom w:val="none" w:sz="0" w:space="0" w:color="auto"/>
            <w:right w:val="none" w:sz="0" w:space="0" w:color="auto"/>
          </w:divBdr>
        </w:div>
        <w:div w:id="575826700">
          <w:marLeft w:val="640"/>
          <w:marRight w:val="0"/>
          <w:marTop w:val="0"/>
          <w:marBottom w:val="0"/>
          <w:divBdr>
            <w:top w:val="none" w:sz="0" w:space="0" w:color="auto"/>
            <w:left w:val="none" w:sz="0" w:space="0" w:color="auto"/>
            <w:bottom w:val="none" w:sz="0" w:space="0" w:color="auto"/>
            <w:right w:val="none" w:sz="0" w:space="0" w:color="auto"/>
          </w:divBdr>
        </w:div>
        <w:div w:id="1063139230">
          <w:marLeft w:val="640"/>
          <w:marRight w:val="0"/>
          <w:marTop w:val="0"/>
          <w:marBottom w:val="0"/>
          <w:divBdr>
            <w:top w:val="none" w:sz="0" w:space="0" w:color="auto"/>
            <w:left w:val="none" w:sz="0" w:space="0" w:color="auto"/>
            <w:bottom w:val="none" w:sz="0" w:space="0" w:color="auto"/>
            <w:right w:val="none" w:sz="0" w:space="0" w:color="auto"/>
          </w:divBdr>
        </w:div>
        <w:div w:id="72625376">
          <w:marLeft w:val="640"/>
          <w:marRight w:val="0"/>
          <w:marTop w:val="0"/>
          <w:marBottom w:val="0"/>
          <w:divBdr>
            <w:top w:val="none" w:sz="0" w:space="0" w:color="auto"/>
            <w:left w:val="none" w:sz="0" w:space="0" w:color="auto"/>
            <w:bottom w:val="none" w:sz="0" w:space="0" w:color="auto"/>
            <w:right w:val="none" w:sz="0" w:space="0" w:color="auto"/>
          </w:divBdr>
        </w:div>
        <w:div w:id="2124377066">
          <w:marLeft w:val="640"/>
          <w:marRight w:val="0"/>
          <w:marTop w:val="0"/>
          <w:marBottom w:val="0"/>
          <w:divBdr>
            <w:top w:val="none" w:sz="0" w:space="0" w:color="auto"/>
            <w:left w:val="none" w:sz="0" w:space="0" w:color="auto"/>
            <w:bottom w:val="none" w:sz="0" w:space="0" w:color="auto"/>
            <w:right w:val="none" w:sz="0" w:space="0" w:color="auto"/>
          </w:divBdr>
        </w:div>
        <w:div w:id="1791585704">
          <w:marLeft w:val="640"/>
          <w:marRight w:val="0"/>
          <w:marTop w:val="0"/>
          <w:marBottom w:val="0"/>
          <w:divBdr>
            <w:top w:val="none" w:sz="0" w:space="0" w:color="auto"/>
            <w:left w:val="none" w:sz="0" w:space="0" w:color="auto"/>
            <w:bottom w:val="none" w:sz="0" w:space="0" w:color="auto"/>
            <w:right w:val="none" w:sz="0" w:space="0" w:color="auto"/>
          </w:divBdr>
        </w:div>
        <w:div w:id="106236120">
          <w:marLeft w:val="640"/>
          <w:marRight w:val="0"/>
          <w:marTop w:val="0"/>
          <w:marBottom w:val="0"/>
          <w:divBdr>
            <w:top w:val="none" w:sz="0" w:space="0" w:color="auto"/>
            <w:left w:val="none" w:sz="0" w:space="0" w:color="auto"/>
            <w:bottom w:val="none" w:sz="0" w:space="0" w:color="auto"/>
            <w:right w:val="none" w:sz="0" w:space="0" w:color="auto"/>
          </w:divBdr>
        </w:div>
        <w:div w:id="373652443">
          <w:marLeft w:val="640"/>
          <w:marRight w:val="0"/>
          <w:marTop w:val="0"/>
          <w:marBottom w:val="0"/>
          <w:divBdr>
            <w:top w:val="none" w:sz="0" w:space="0" w:color="auto"/>
            <w:left w:val="none" w:sz="0" w:space="0" w:color="auto"/>
            <w:bottom w:val="none" w:sz="0" w:space="0" w:color="auto"/>
            <w:right w:val="none" w:sz="0" w:space="0" w:color="auto"/>
          </w:divBdr>
        </w:div>
        <w:div w:id="235212366">
          <w:marLeft w:val="640"/>
          <w:marRight w:val="0"/>
          <w:marTop w:val="0"/>
          <w:marBottom w:val="0"/>
          <w:divBdr>
            <w:top w:val="none" w:sz="0" w:space="0" w:color="auto"/>
            <w:left w:val="none" w:sz="0" w:space="0" w:color="auto"/>
            <w:bottom w:val="none" w:sz="0" w:space="0" w:color="auto"/>
            <w:right w:val="none" w:sz="0" w:space="0" w:color="auto"/>
          </w:divBdr>
        </w:div>
        <w:div w:id="378280817">
          <w:marLeft w:val="640"/>
          <w:marRight w:val="0"/>
          <w:marTop w:val="0"/>
          <w:marBottom w:val="0"/>
          <w:divBdr>
            <w:top w:val="none" w:sz="0" w:space="0" w:color="auto"/>
            <w:left w:val="none" w:sz="0" w:space="0" w:color="auto"/>
            <w:bottom w:val="none" w:sz="0" w:space="0" w:color="auto"/>
            <w:right w:val="none" w:sz="0" w:space="0" w:color="auto"/>
          </w:divBdr>
        </w:div>
        <w:div w:id="2020959665">
          <w:marLeft w:val="640"/>
          <w:marRight w:val="0"/>
          <w:marTop w:val="0"/>
          <w:marBottom w:val="0"/>
          <w:divBdr>
            <w:top w:val="none" w:sz="0" w:space="0" w:color="auto"/>
            <w:left w:val="none" w:sz="0" w:space="0" w:color="auto"/>
            <w:bottom w:val="none" w:sz="0" w:space="0" w:color="auto"/>
            <w:right w:val="none" w:sz="0" w:space="0" w:color="auto"/>
          </w:divBdr>
        </w:div>
        <w:div w:id="71660825">
          <w:marLeft w:val="640"/>
          <w:marRight w:val="0"/>
          <w:marTop w:val="0"/>
          <w:marBottom w:val="0"/>
          <w:divBdr>
            <w:top w:val="none" w:sz="0" w:space="0" w:color="auto"/>
            <w:left w:val="none" w:sz="0" w:space="0" w:color="auto"/>
            <w:bottom w:val="none" w:sz="0" w:space="0" w:color="auto"/>
            <w:right w:val="none" w:sz="0" w:space="0" w:color="auto"/>
          </w:divBdr>
        </w:div>
        <w:div w:id="882712433">
          <w:marLeft w:val="640"/>
          <w:marRight w:val="0"/>
          <w:marTop w:val="0"/>
          <w:marBottom w:val="0"/>
          <w:divBdr>
            <w:top w:val="none" w:sz="0" w:space="0" w:color="auto"/>
            <w:left w:val="none" w:sz="0" w:space="0" w:color="auto"/>
            <w:bottom w:val="none" w:sz="0" w:space="0" w:color="auto"/>
            <w:right w:val="none" w:sz="0" w:space="0" w:color="auto"/>
          </w:divBdr>
        </w:div>
        <w:div w:id="847334397">
          <w:marLeft w:val="640"/>
          <w:marRight w:val="0"/>
          <w:marTop w:val="0"/>
          <w:marBottom w:val="0"/>
          <w:divBdr>
            <w:top w:val="none" w:sz="0" w:space="0" w:color="auto"/>
            <w:left w:val="none" w:sz="0" w:space="0" w:color="auto"/>
            <w:bottom w:val="none" w:sz="0" w:space="0" w:color="auto"/>
            <w:right w:val="none" w:sz="0" w:space="0" w:color="auto"/>
          </w:divBdr>
        </w:div>
        <w:div w:id="498928112">
          <w:marLeft w:val="640"/>
          <w:marRight w:val="0"/>
          <w:marTop w:val="0"/>
          <w:marBottom w:val="0"/>
          <w:divBdr>
            <w:top w:val="none" w:sz="0" w:space="0" w:color="auto"/>
            <w:left w:val="none" w:sz="0" w:space="0" w:color="auto"/>
            <w:bottom w:val="none" w:sz="0" w:space="0" w:color="auto"/>
            <w:right w:val="none" w:sz="0" w:space="0" w:color="auto"/>
          </w:divBdr>
        </w:div>
        <w:div w:id="124666124">
          <w:marLeft w:val="640"/>
          <w:marRight w:val="0"/>
          <w:marTop w:val="0"/>
          <w:marBottom w:val="0"/>
          <w:divBdr>
            <w:top w:val="none" w:sz="0" w:space="0" w:color="auto"/>
            <w:left w:val="none" w:sz="0" w:space="0" w:color="auto"/>
            <w:bottom w:val="none" w:sz="0" w:space="0" w:color="auto"/>
            <w:right w:val="none" w:sz="0" w:space="0" w:color="auto"/>
          </w:divBdr>
        </w:div>
        <w:div w:id="2141023202">
          <w:marLeft w:val="640"/>
          <w:marRight w:val="0"/>
          <w:marTop w:val="0"/>
          <w:marBottom w:val="0"/>
          <w:divBdr>
            <w:top w:val="none" w:sz="0" w:space="0" w:color="auto"/>
            <w:left w:val="none" w:sz="0" w:space="0" w:color="auto"/>
            <w:bottom w:val="none" w:sz="0" w:space="0" w:color="auto"/>
            <w:right w:val="none" w:sz="0" w:space="0" w:color="auto"/>
          </w:divBdr>
        </w:div>
        <w:div w:id="1068577761">
          <w:marLeft w:val="640"/>
          <w:marRight w:val="0"/>
          <w:marTop w:val="0"/>
          <w:marBottom w:val="0"/>
          <w:divBdr>
            <w:top w:val="none" w:sz="0" w:space="0" w:color="auto"/>
            <w:left w:val="none" w:sz="0" w:space="0" w:color="auto"/>
            <w:bottom w:val="none" w:sz="0" w:space="0" w:color="auto"/>
            <w:right w:val="none" w:sz="0" w:space="0" w:color="auto"/>
          </w:divBdr>
        </w:div>
        <w:div w:id="35281714">
          <w:marLeft w:val="640"/>
          <w:marRight w:val="0"/>
          <w:marTop w:val="0"/>
          <w:marBottom w:val="0"/>
          <w:divBdr>
            <w:top w:val="none" w:sz="0" w:space="0" w:color="auto"/>
            <w:left w:val="none" w:sz="0" w:space="0" w:color="auto"/>
            <w:bottom w:val="none" w:sz="0" w:space="0" w:color="auto"/>
            <w:right w:val="none" w:sz="0" w:space="0" w:color="auto"/>
          </w:divBdr>
        </w:div>
        <w:div w:id="1082725775">
          <w:marLeft w:val="640"/>
          <w:marRight w:val="0"/>
          <w:marTop w:val="0"/>
          <w:marBottom w:val="0"/>
          <w:divBdr>
            <w:top w:val="none" w:sz="0" w:space="0" w:color="auto"/>
            <w:left w:val="none" w:sz="0" w:space="0" w:color="auto"/>
            <w:bottom w:val="none" w:sz="0" w:space="0" w:color="auto"/>
            <w:right w:val="none" w:sz="0" w:space="0" w:color="auto"/>
          </w:divBdr>
        </w:div>
        <w:div w:id="104203516">
          <w:marLeft w:val="640"/>
          <w:marRight w:val="0"/>
          <w:marTop w:val="0"/>
          <w:marBottom w:val="0"/>
          <w:divBdr>
            <w:top w:val="none" w:sz="0" w:space="0" w:color="auto"/>
            <w:left w:val="none" w:sz="0" w:space="0" w:color="auto"/>
            <w:bottom w:val="none" w:sz="0" w:space="0" w:color="auto"/>
            <w:right w:val="none" w:sz="0" w:space="0" w:color="auto"/>
          </w:divBdr>
        </w:div>
        <w:div w:id="1692339898">
          <w:marLeft w:val="640"/>
          <w:marRight w:val="0"/>
          <w:marTop w:val="0"/>
          <w:marBottom w:val="0"/>
          <w:divBdr>
            <w:top w:val="none" w:sz="0" w:space="0" w:color="auto"/>
            <w:left w:val="none" w:sz="0" w:space="0" w:color="auto"/>
            <w:bottom w:val="none" w:sz="0" w:space="0" w:color="auto"/>
            <w:right w:val="none" w:sz="0" w:space="0" w:color="auto"/>
          </w:divBdr>
        </w:div>
        <w:div w:id="2122649475">
          <w:marLeft w:val="640"/>
          <w:marRight w:val="0"/>
          <w:marTop w:val="0"/>
          <w:marBottom w:val="0"/>
          <w:divBdr>
            <w:top w:val="none" w:sz="0" w:space="0" w:color="auto"/>
            <w:left w:val="none" w:sz="0" w:space="0" w:color="auto"/>
            <w:bottom w:val="none" w:sz="0" w:space="0" w:color="auto"/>
            <w:right w:val="none" w:sz="0" w:space="0" w:color="auto"/>
          </w:divBdr>
        </w:div>
        <w:div w:id="1120028390">
          <w:marLeft w:val="640"/>
          <w:marRight w:val="0"/>
          <w:marTop w:val="0"/>
          <w:marBottom w:val="0"/>
          <w:divBdr>
            <w:top w:val="none" w:sz="0" w:space="0" w:color="auto"/>
            <w:left w:val="none" w:sz="0" w:space="0" w:color="auto"/>
            <w:bottom w:val="none" w:sz="0" w:space="0" w:color="auto"/>
            <w:right w:val="none" w:sz="0" w:space="0" w:color="auto"/>
          </w:divBdr>
        </w:div>
        <w:div w:id="364452454">
          <w:marLeft w:val="640"/>
          <w:marRight w:val="0"/>
          <w:marTop w:val="0"/>
          <w:marBottom w:val="0"/>
          <w:divBdr>
            <w:top w:val="none" w:sz="0" w:space="0" w:color="auto"/>
            <w:left w:val="none" w:sz="0" w:space="0" w:color="auto"/>
            <w:bottom w:val="none" w:sz="0" w:space="0" w:color="auto"/>
            <w:right w:val="none" w:sz="0" w:space="0" w:color="auto"/>
          </w:divBdr>
        </w:div>
        <w:div w:id="615596526">
          <w:marLeft w:val="640"/>
          <w:marRight w:val="0"/>
          <w:marTop w:val="0"/>
          <w:marBottom w:val="0"/>
          <w:divBdr>
            <w:top w:val="none" w:sz="0" w:space="0" w:color="auto"/>
            <w:left w:val="none" w:sz="0" w:space="0" w:color="auto"/>
            <w:bottom w:val="none" w:sz="0" w:space="0" w:color="auto"/>
            <w:right w:val="none" w:sz="0" w:space="0" w:color="auto"/>
          </w:divBdr>
        </w:div>
        <w:div w:id="356396605">
          <w:marLeft w:val="640"/>
          <w:marRight w:val="0"/>
          <w:marTop w:val="0"/>
          <w:marBottom w:val="0"/>
          <w:divBdr>
            <w:top w:val="none" w:sz="0" w:space="0" w:color="auto"/>
            <w:left w:val="none" w:sz="0" w:space="0" w:color="auto"/>
            <w:bottom w:val="none" w:sz="0" w:space="0" w:color="auto"/>
            <w:right w:val="none" w:sz="0" w:space="0" w:color="auto"/>
          </w:divBdr>
        </w:div>
        <w:div w:id="8988003">
          <w:marLeft w:val="640"/>
          <w:marRight w:val="0"/>
          <w:marTop w:val="0"/>
          <w:marBottom w:val="0"/>
          <w:divBdr>
            <w:top w:val="none" w:sz="0" w:space="0" w:color="auto"/>
            <w:left w:val="none" w:sz="0" w:space="0" w:color="auto"/>
            <w:bottom w:val="none" w:sz="0" w:space="0" w:color="auto"/>
            <w:right w:val="none" w:sz="0" w:space="0" w:color="auto"/>
          </w:divBdr>
        </w:div>
        <w:div w:id="690573933">
          <w:marLeft w:val="640"/>
          <w:marRight w:val="0"/>
          <w:marTop w:val="0"/>
          <w:marBottom w:val="0"/>
          <w:divBdr>
            <w:top w:val="none" w:sz="0" w:space="0" w:color="auto"/>
            <w:left w:val="none" w:sz="0" w:space="0" w:color="auto"/>
            <w:bottom w:val="none" w:sz="0" w:space="0" w:color="auto"/>
            <w:right w:val="none" w:sz="0" w:space="0" w:color="auto"/>
          </w:divBdr>
        </w:div>
        <w:div w:id="116997317">
          <w:marLeft w:val="640"/>
          <w:marRight w:val="0"/>
          <w:marTop w:val="0"/>
          <w:marBottom w:val="0"/>
          <w:divBdr>
            <w:top w:val="none" w:sz="0" w:space="0" w:color="auto"/>
            <w:left w:val="none" w:sz="0" w:space="0" w:color="auto"/>
            <w:bottom w:val="none" w:sz="0" w:space="0" w:color="auto"/>
            <w:right w:val="none" w:sz="0" w:space="0" w:color="auto"/>
          </w:divBdr>
        </w:div>
        <w:div w:id="768818205">
          <w:marLeft w:val="640"/>
          <w:marRight w:val="0"/>
          <w:marTop w:val="0"/>
          <w:marBottom w:val="0"/>
          <w:divBdr>
            <w:top w:val="none" w:sz="0" w:space="0" w:color="auto"/>
            <w:left w:val="none" w:sz="0" w:space="0" w:color="auto"/>
            <w:bottom w:val="none" w:sz="0" w:space="0" w:color="auto"/>
            <w:right w:val="none" w:sz="0" w:space="0" w:color="auto"/>
          </w:divBdr>
        </w:div>
        <w:div w:id="339354948">
          <w:marLeft w:val="640"/>
          <w:marRight w:val="0"/>
          <w:marTop w:val="0"/>
          <w:marBottom w:val="0"/>
          <w:divBdr>
            <w:top w:val="none" w:sz="0" w:space="0" w:color="auto"/>
            <w:left w:val="none" w:sz="0" w:space="0" w:color="auto"/>
            <w:bottom w:val="none" w:sz="0" w:space="0" w:color="auto"/>
            <w:right w:val="none" w:sz="0" w:space="0" w:color="auto"/>
          </w:divBdr>
        </w:div>
        <w:div w:id="1591309855">
          <w:marLeft w:val="640"/>
          <w:marRight w:val="0"/>
          <w:marTop w:val="0"/>
          <w:marBottom w:val="0"/>
          <w:divBdr>
            <w:top w:val="none" w:sz="0" w:space="0" w:color="auto"/>
            <w:left w:val="none" w:sz="0" w:space="0" w:color="auto"/>
            <w:bottom w:val="none" w:sz="0" w:space="0" w:color="auto"/>
            <w:right w:val="none" w:sz="0" w:space="0" w:color="auto"/>
          </w:divBdr>
        </w:div>
        <w:div w:id="1475026401">
          <w:marLeft w:val="640"/>
          <w:marRight w:val="0"/>
          <w:marTop w:val="0"/>
          <w:marBottom w:val="0"/>
          <w:divBdr>
            <w:top w:val="none" w:sz="0" w:space="0" w:color="auto"/>
            <w:left w:val="none" w:sz="0" w:space="0" w:color="auto"/>
            <w:bottom w:val="none" w:sz="0" w:space="0" w:color="auto"/>
            <w:right w:val="none" w:sz="0" w:space="0" w:color="auto"/>
          </w:divBdr>
        </w:div>
        <w:div w:id="1816606202">
          <w:marLeft w:val="640"/>
          <w:marRight w:val="0"/>
          <w:marTop w:val="0"/>
          <w:marBottom w:val="0"/>
          <w:divBdr>
            <w:top w:val="none" w:sz="0" w:space="0" w:color="auto"/>
            <w:left w:val="none" w:sz="0" w:space="0" w:color="auto"/>
            <w:bottom w:val="none" w:sz="0" w:space="0" w:color="auto"/>
            <w:right w:val="none" w:sz="0" w:space="0" w:color="auto"/>
          </w:divBdr>
        </w:div>
        <w:div w:id="1674651419">
          <w:marLeft w:val="640"/>
          <w:marRight w:val="0"/>
          <w:marTop w:val="0"/>
          <w:marBottom w:val="0"/>
          <w:divBdr>
            <w:top w:val="none" w:sz="0" w:space="0" w:color="auto"/>
            <w:left w:val="none" w:sz="0" w:space="0" w:color="auto"/>
            <w:bottom w:val="none" w:sz="0" w:space="0" w:color="auto"/>
            <w:right w:val="none" w:sz="0" w:space="0" w:color="auto"/>
          </w:divBdr>
        </w:div>
        <w:div w:id="1679426474">
          <w:marLeft w:val="640"/>
          <w:marRight w:val="0"/>
          <w:marTop w:val="0"/>
          <w:marBottom w:val="0"/>
          <w:divBdr>
            <w:top w:val="none" w:sz="0" w:space="0" w:color="auto"/>
            <w:left w:val="none" w:sz="0" w:space="0" w:color="auto"/>
            <w:bottom w:val="none" w:sz="0" w:space="0" w:color="auto"/>
            <w:right w:val="none" w:sz="0" w:space="0" w:color="auto"/>
          </w:divBdr>
        </w:div>
        <w:div w:id="1363750759">
          <w:marLeft w:val="640"/>
          <w:marRight w:val="0"/>
          <w:marTop w:val="0"/>
          <w:marBottom w:val="0"/>
          <w:divBdr>
            <w:top w:val="none" w:sz="0" w:space="0" w:color="auto"/>
            <w:left w:val="none" w:sz="0" w:space="0" w:color="auto"/>
            <w:bottom w:val="none" w:sz="0" w:space="0" w:color="auto"/>
            <w:right w:val="none" w:sz="0" w:space="0" w:color="auto"/>
          </w:divBdr>
        </w:div>
        <w:div w:id="1502892746">
          <w:marLeft w:val="640"/>
          <w:marRight w:val="0"/>
          <w:marTop w:val="0"/>
          <w:marBottom w:val="0"/>
          <w:divBdr>
            <w:top w:val="none" w:sz="0" w:space="0" w:color="auto"/>
            <w:left w:val="none" w:sz="0" w:space="0" w:color="auto"/>
            <w:bottom w:val="none" w:sz="0" w:space="0" w:color="auto"/>
            <w:right w:val="none" w:sz="0" w:space="0" w:color="auto"/>
          </w:divBdr>
        </w:div>
        <w:div w:id="1354111880">
          <w:marLeft w:val="640"/>
          <w:marRight w:val="0"/>
          <w:marTop w:val="0"/>
          <w:marBottom w:val="0"/>
          <w:divBdr>
            <w:top w:val="none" w:sz="0" w:space="0" w:color="auto"/>
            <w:left w:val="none" w:sz="0" w:space="0" w:color="auto"/>
            <w:bottom w:val="none" w:sz="0" w:space="0" w:color="auto"/>
            <w:right w:val="none" w:sz="0" w:space="0" w:color="auto"/>
          </w:divBdr>
        </w:div>
        <w:div w:id="388303806">
          <w:marLeft w:val="640"/>
          <w:marRight w:val="0"/>
          <w:marTop w:val="0"/>
          <w:marBottom w:val="0"/>
          <w:divBdr>
            <w:top w:val="none" w:sz="0" w:space="0" w:color="auto"/>
            <w:left w:val="none" w:sz="0" w:space="0" w:color="auto"/>
            <w:bottom w:val="none" w:sz="0" w:space="0" w:color="auto"/>
            <w:right w:val="none" w:sz="0" w:space="0" w:color="auto"/>
          </w:divBdr>
        </w:div>
        <w:div w:id="519777035">
          <w:marLeft w:val="640"/>
          <w:marRight w:val="0"/>
          <w:marTop w:val="0"/>
          <w:marBottom w:val="0"/>
          <w:divBdr>
            <w:top w:val="none" w:sz="0" w:space="0" w:color="auto"/>
            <w:left w:val="none" w:sz="0" w:space="0" w:color="auto"/>
            <w:bottom w:val="none" w:sz="0" w:space="0" w:color="auto"/>
            <w:right w:val="none" w:sz="0" w:space="0" w:color="auto"/>
          </w:divBdr>
        </w:div>
        <w:div w:id="1860779631">
          <w:marLeft w:val="640"/>
          <w:marRight w:val="0"/>
          <w:marTop w:val="0"/>
          <w:marBottom w:val="0"/>
          <w:divBdr>
            <w:top w:val="none" w:sz="0" w:space="0" w:color="auto"/>
            <w:left w:val="none" w:sz="0" w:space="0" w:color="auto"/>
            <w:bottom w:val="none" w:sz="0" w:space="0" w:color="auto"/>
            <w:right w:val="none" w:sz="0" w:space="0" w:color="auto"/>
          </w:divBdr>
        </w:div>
        <w:div w:id="1239637529">
          <w:marLeft w:val="640"/>
          <w:marRight w:val="0"/>
          <w:marTop w:val="0"/>
          <w:marBottom w:val="0"/>
          <w:divBdr>
            <w:top w:val="none" w:sz="0" w:space="0" w:color="auto"/>
            <w:left w:val="none" w:sz="0" w:space="0" w:color="auto"/>
            <w:bottom w:val="none" w:sz="0" w:space="0" w:color="auto"/>
            <w:right w:val="none" w:sz="0" w:space="0" w:color="auto"/>
          </w:divBdr>
        </w:div>
        <w:div w:id="518742605">
          <w:marLeft w:val="640"/>
          <w:marRight w:val="0"/>
          <w:marTop w:val="0"/>
          <w:marBottom w:val="0"/>
          <w:divBdr>
            <w:top w:val="none" w:sz="0" w:space="0" w:color="auto"/>
            <w:left w:val="none" w:sz="0" w:space="0" w:color="auto"/>
            <w:bottom w:val="none" w:sz="0" w:space="0" w:color="auto"/>
            <w:right w:val="none" w:sz="0" w:space="0" w:color="auto"/>
          </w:divBdr>
        </w:div>
        <w:div w:id="62417582">
          <w:marLeft w:val="640"/>
          <w:marRight w:val="0"/>
          <w:marTop w:val="0"/>
          <w:marBottom w:val="0"/>
          <w:divBdr>
            <w:top w:val="none" w:sz="0" w:space="0" w:color="auto"/>
            <w:left w:val="none" w:sz="0" w:space="0" w:color="auto"/>
            <w:bottom w:val="none" w:sz="0" w:space="0" w:color="auto"/>
            <w:right w:val="none" w:sz="0" w:space="0" w:color="auto"/>
          </w:divBdr>
        </w:div>
        <w:div w:id="1203975666">
          <w:marLeft w:val="640"/>
          <w:marRight w:val="0"/>
          <w:marTop w:val="0"/>
          <w:marBottom w:val="0"/>
          <w:divBdr>
            <w:top w:val="none" w:sz="0" w:space="0" w:color="auto"/>
            <w:left w:val="none" w:sz="0" w:space="0" w:color="auto"/>
            <w:bottom w:val="none" w:sz="0" w:space="0" w:color="auto"/>
            <w:right w:val="none" w:sz="0" w:space="0" w:color="auto"/>
          </w:divBdr>
        </w:div>
        <w:div w:id="1841196687">
          <w:marLeft w:val="640"/>
          <w:marRight w:val="0"/>
          <w:marTop w:val="0"/>
          <w:marBottom w:val="0"/>
          <w:divBdr>
            <w:top w:val="none" w:sz="0" w:space="0" w:color="auto"/>
            <w:left w:val="none" w:sz="0" w:space="0" w:color="auto"/>
            <w:bottom w:val="none" w:sz="0" w:space="0" w:color="auto"/>
            <w:right w:val="none" w:sz="0" w:space="0" w:color="auto"/>
          </w:divBdr>
        </w:div>
        <w:div w:id="962613311">
          <w:marLeft w:val="640"/>
          <w:marRight w:val="0"/>
          <w:marTop w:val="0"/>
          <w:marBottom w:val="0"/>
          <w:divBdr>
            <w:top w:val="none" w:sz="0" w:space="0" w:color="auto"/>
            <w:left w:val="none" w:sz="0" w:space="0" w:color="auto"/>
            <w:bottom w:val="none" w:sz="0" w:space="0" w:color="auto"/>
            <w:right w:val="none" w:sz="0" w:space="0" w:color="auto"/>
          </w:divBdr>
        </w:div>
        <w:div w:id="2135757291">
          <w:marLeft w:val="640"/>
          <w:marRight w:val="0"/>
          <w:marTop w:val="0"/>
          <w:marBottom w:val="0"/>
          <w:divBdr>
            <w:top w:val="none" w:sz="0" w:space="0" w:color="auto"/>
            <w:left w:val="none" w:sz="0" w:space="0" w:color="auto"/>
            <w:bottom w:val="none" w:sz="0" w:space="0" w:color="auto"/>
            <w:right w:val="none" w:sz="0" w:space="0" w:color="auto"/>
          </w:divBdr>
        </w:div>
        <w:div w:id="1187790475">
          <w:marLeft w:val="640"/>
          <w:marRight w:val="0"/>
          <w:marTop w:val="0"/>
          <w:marBottom w:val="0"/>
          <w:divBdr>
            <w:top w:val="none" w:sz="0" w:space="0" w:color="auto"/>
            <w:left w:val="none" w:sz="0" w:space="0" w:color="auto"/>
            <w:bottom w:val="none" w:sz="0" w:space="0" w:color="auto"/>
            <w:right w:val="none" w:sz="0" w:space="0" w:color="auto"/>
          </w:divBdr>
        </w:div>
        <w:div w:id="1037583958">
          <w:marLeft w:val="640"/>
          <w:marRight w:val="0"/>
          <w:marTop w:val="0"/>
          <w:marBottom w:val="0"/>
          <w:divBdr>
            <w:top w:val="none" w:sz="0" w:space="0" w:color="auto"/>
            <w:left w:val="none" w:sz="0" w:space="0" w:color="auto"/>
            <w:bottom w:val="none" w:sz="0" w:space="0" w:color="auto"/>
            <w:right w:val="none" w:sz="0" w:space="0" w:color="auto"/>
          </w:divBdr>
        </w:div>
        <w:div w:id="2068340579">
          <w:marLeft w:val="640"/>
          <w:marRight w:val="0"/>
          <w:marTop w:val="0"/>
          <w:marBottom w:val="0"/>
          <w:divBdr>
            <w:top w:val="none" w:sz="0" w:space="0" w:color="auto"/>
            <w:left w:val="none" w:sz="0" w:space="0" w:color="auto"/>
            <w:bottom w:val="none" w:sz="0" w:space="0" w:color="auto"/>
            <w:right w:val="none" w:sz="0" w:space="0" w:color="auto"/>
          </w:divBdr>
        </w:div>
        <w:div w:id="1081176706">
          <w:marLeft w:val="640"/>
          <w:marRight w:val="0"/>
          <w:marTop w:val="0"/>
          <w:marBottom w:val="0"/>
          <w:divBdr>
            <w:top w:val="none" w:sz="0" w:space="0" w:color="auto"/>
            <w:left w:val="none" w:sz="0" w:space="0" w:color="auto"/>
            <w:bottom w:val="none" w:sz="0" w:space="0" w:color="auto"/>
            <w:right w:val="none" w:sz="0" w:space="0" w:color="auto"/>
          </w:divBdr>
        </w:div>
        <w:div w:id="1461073140">
          <w:marLeft w:val="640"/>
          <w:marRight w:val="0"/>
          <w:marTop w:val="0"/>
          <w:marBottom w:val="0"/>
          <w:divBdr>
            <w:top w:val="none" w:sz="0" w:space="0" w:color="auto"/>
            <w:left w:val="none" w:sz="0" w:space="0" w:color="auto"/>
            <w:bottom w:val="none" w:sz="0" w:space="0" w:color="auto"/>
            <w:right w:val="none" w:sz="0" w:space="0" w:color="auto"/>
          </w:divBdr>
        </w:div>
        <w:div w:id="448401780">
          <w:marLeft w:val="640"/>
          <w:marRight w:val="0"/>
          <w:marTop w:val="0"/>
          <w:marBottom w:val="0"/>
          <w:divBdr>
            <w:top w:val="none" w:sz="0" w:space="0" w:color="auto"/>
            <w:left w:val="none" w:sz="0" w:space="0" w:color="auto"/>
            <w:bottom w:val="none" w:sz="0" w:space="0" w:color="auto"/>
            <w:right w:val="none" w:sz="0" w:space="0" w:color="auto"/>
          </w:divBdr>
        </w:div>
        <w:div w:id="1798330184">
          <w:marLeft w:val="640"/>
          <w:marRight w:val="0"/>
          <w:marTop w:val="0"/>
          <w:marBottom w:val="0"/>
          <w:divBdr>
            <w:top w:val="none" w:sz="0" w:space="0" w:color="auto"/>
            <w:left w:val="none" w:sz="0" w:space="0" w:color="auto"/>
            <w:bottom w:val="none" w:sz="0" w:space="0" w:color="auto"/>
            <w:right w:val="none" w:sz="0" w:space="0" w:color="auto"/>
          </w:divBdr>
        </w:div>
        <w:div w:id="185871296">
          <w:marLeft w:val="640"/>
          <w:marRight w:val="0"/>
          <w:marTop w:val="0"/>
          <w:marBottom w:val="0"/>
          <w:divBdr>
            <w:top w:val="none" w:sz="0" w:space="0" w:color="auto"/>
            <w:left w:val="none" w:sz="0" w:space="0" w:color="auto"/>
            <w:bottom w:val="none" w:sz="0" w:space="0" w:color="auto"/>
            <w:right w:val="none" w:sz="0" w:space="0" w:color="auto"/>
          </w:divBdr>
        </w:div>
        <w:div w:id="1568607763">
          <w:marLeft w:val="640"/>
          <w:marRight w:val="0"/>
          <w:marTop w:val="0"/>
          <w:marBottom w:val="0"/>
          <w:divBdr>
            <w:top w:val="none" w:sz="0" w:space="0" w:color="auto"/>
            <w:left w:val="none" w:sz="0" w:space="0" w:color="auto"/>
            <w:bottom w:val="none" w:sz="0" w:space="0" w:color="auto"/>
            <w:right w:val="none" w:sz="0" w:space="0" w:color="auto"/>
          </w:divBdr>
        </w:div>
        <w:div w:id="1950238643">
          <w:marLeft w:val="640"/>
          <w:marRight w:val="0"/>
          <w:marTop w:val="0"/>
          <w:marBottom w:val="0"/>
          <w:divBdr>
            <w:top w:val="none" w:sz="0" w:space="0" w:color="auto"/>
            <w:left w:val="none" w:sz="0" w:space="0" w:color="auto"/>
            <w:bottom w:val="none" w:sz="0" w:space="0" w:color="auto"/>
            <w:right w:val="none" w:sz="0" w:space="0" w:color="auto"/>
          </w:divBdr>
        </w:div>
        <w:div w:id="814684771">
          <w:marLeft w:val="640"/>
          <w:marRight w:val="0"/>
          <w:marTop w:val="0"/>
          <w:marBottom w:val="0"/>
          <w:divBdr>
            <w:top w:val="none" w:sz="0" w:space="0" w:color="auto"/>
            <w:left w:val="none" w:sz="0" w:space="0" w:color="auto"/>
            <w:bottom w:val="none" w:sz="0" w:space="0" w:color="auto"/>
            <w:right w:val="none" w:sz="0" w:space="0" w:color="auto"/>
          </w:divBdr>
        </w:div>
        <w:div w:id="1093286634">
          <w:marLeft w:val="640"/>
          <w:marRight w:val="0"/>
          <w:marTop w:val="0"/>
          <w:marBottom w:val="0"/>
          <w:divBdr>
            <w:top w:val="none" w:sz="0" w:space="0" w:color="auto"/>
            <w:left w:val="none" w:sz="0" w:space="0" w:color="auto"/>
            <w:bottom w:val="none" w:sz="0" w:space="0" w:color="auto"/>
            <w:right w:val="none" w:sz="0" w:space="0" w:color="auto"/>
          </w:divBdr>
        </w:div>
        <w:div w:id="1570192362">
          <w:marLeft w:val="640"/>
          <w:marRight w:val="0"/>
          <w:marTop w:val="0"/>
          <w:marBottom w:val="0"/>
          <w:divBdr>
            <w:top w:val="none" w:sz="0" w:space="0" w:color="auto"/>
            <w:left w:val="none" w:sz="0" w:space="0" w:color="auto"/>
            <w:bottom w:val="none" w:sz="0" w:space="0" w:color="auto"/>
            <w:right w:val="none" w:sz="0" w:space="0" w:color="auto"/>
          </w:divBdr>
        </w:div>
        <w:div w:id="1514227972">
          <w:marLeft w:val="640"/>
          <w:marRight w:val="0"/>
          <w:marTop w:val="0"/>
          <w:marBottom w:val="0"/>
          <w:divBdr>
            <w:top w:val="none" w:sz="0" w:space="0" w:color="auto"/>
            <w:left w:val="none" w:sz="0" w:space="0" w:color="auto"/>
            <w:bottom w:val="none" w:sz="0" w:space="0" w:color="auto"/>
            <w:right w:val="none" w:sz="0" w:space="0" w:color="auto"/>
          </w:divBdr>
        </w:div>
        <w:div w:id="671953020">
          <w:marLeft w:val="640"/>
          <w:marRight w:val="0"/>
          <w:marTop w:val="0"/>
          <w:marBottom w:val="0"/>
          <w:divBdr>
            <w:top w:val="none" w:sz="0" w:space="0" w:color="auto"/>
            <w:left w:val="none" w:sz="0" w:space="0" w:color="auto"/>
            <w:bottom w:val="none" w:sz="0" w:space="0" w:color="auto"/>
            <w:right w:val="none" w:sz="0" w:space="0" w:color="auto"/>
          </w:divBdr>
        </w:div>
        <w:div w:id="2016151958">
          <w:marLeft w:val="640"/>
          <w:marRight w:val="0"/>
          <w:marTop w:val="0"/>
          <w:marBottom w:val="0"/>
          <w:divBdr>
            <w:top w:val="none" w:sz="0" w:space="0" w:color="auto"/>
            <w:left w:val="none" w:sz="0" w:space="0" w:color="auto"/>
            <w:bottom w:val="none" w:sz="0" w:space="0" w:color="auto"/>
            <w:right w:val="none" w:sz="0" w:space="0" w:color="auto"/>
          </w:divBdr>
        </w:div>
        <w:div w:id="1537041787">
          <w:marLeft w:val="640"/>
          <w:marRight w:val="0"/>
          <w:marTop w:val="0"/>
          <w:marBottom w:val="0"/>
          <w:divBdr>
            <w:top w:val="none" w:sz="0" w:space="0" w:color="auto"/>
            <w:left w:val="none" w:sz="0" w:space="0" w:color="auto"/>
            <w:bottom w:val="none" w:sz="0" w:space="0" w:color="auto"/>
            <w:right w:val="none" w:sz="0" w:space="0" w:color="auto"/>
          </w:divBdr>
        </w:div>
        <w:div w:id="1967421058">
          <w:marLeft w:val="640"/>
          <w:marRight w:val="0"/>
          <w:marTop w:val="0"/>
          <w:marBottom w:val="0"/>
          <w:divBdr>
            <w:top w:val="none" w:sz="0" w:space="0" w:color="auto"/>
            <w:left w:val="none" w:sz="0" w:space="0" w:color="auto"/>
            <w:bottom w:val="none" w:sz="0" w:space="0" w:color="auto"/>
            <w:right w:val="none" w:sz="0" w:space="0" w:color="auto"/>
          </w:divBdr>
        </w:div>
        <w:div w:id="1951012446">
          <w:marLeft w:val="640"/>
          <w:marRight w:val="0"/>
          <w:marTop w:val="0"/>
          <w:marBottom w:val="0"/>
          <w:divBdr>
            <w:top w:val="none" w:sz="0" w:space="0" w:color="auto"/>
            <w:left w:val="none" w:sz="0" w:space="0" w:color="auto"/>
            <w:bottom w:val="none" w:sz="0" w:space="0" w:color="auto"/>
            <w:right w:val="none" w:sz="0" w:space="0" w:color="auto"/>
          </w:divBdr>
        </w:div>
        <w:div w:id="622736472">
          <w:marLeft w:val="640"/>
          <w:marRight w:val="0"/>
          <w:marTop w:val="0"/>
          <w:marBottom w:val="0"/>
          <w:divBdr>
            <w:top w:val="none" w:sz="0" w:space="0" w:color="auto"/>
            <w:left w:val="none" w:sz="0" w:space="0" w:color="auto"/>
            <w:bottom w:val="none" w:sz="0" w:space="0" w:color="auto"/>
            <w:right w:val="none" w:sz="0" w:space="0" w:color="auto"/>
          </w:divBdr>
        </w:div>
        <w:div w:id="578708098">
          <w:marLeft w:val="640"/>
          <w:marRight w:val="0"/>
          <w:marTop w:val="0"/>
          <w:marBottom w:val="0"/>
          <w:divBdr>
            <w:top w:val="none" w:sz="0" w:space="0" w:color="auto"/>
            <w:left w:val="none" w:sz="0" w:space="0" w:color="auto"/>
            <w:bottom w:val="none" w:sz="0" w:space="0" w:color="auto"/>
            <w:right w:val="none" w:sz="0" w:space="0" w:color="auto"/>
          </w:divBdr>
        </w:div>
        <w:div w:id="16201520">
          <w:marLeft w:val="640"/>
          <w:marRight w:val="0"/>
          <w:marTop w:val="0"/>
          <w:marBottom w:val="0"/>
          <w:divBdr>
            <w:top w:val="none" w:sz="0" w:space="0" w:color="auto"/>
            <w:left w:val="none" w:sz="0" w:space="0" w:color="auto"/>
            <w:bottom w:val="none" w:sz="0" w:space="0" w:color="auto"/>
            <w:right w:val="none" w:sz="0" w:space="0" w:color="auto"/>
          </w:divBdr>
        </w:div>
        <w:div w:id="123892909">
          <w:marLeft w:val="640"/>
          <w:marRight w:val="0"/>
          <w:marTop w:val="0"/>
          <w:marBottom w:val="0"/>
          <w:divBdr>
            <w:top w:val="none" w:sz="0" w:space="0" w:color="auto"/>
            <w:left w:val="none" w:sz="0" w:space="0" w:color="auto"/>
            <w:bottom w:val="none" w:sz="0" w:space="0" w:color="auto"/>
            <w:right w:val="none" w:sz="0" w:space="0" w:color="auto"/>
          </w:divBdr>
        </w:div>
        <w:div w:id="134228778">
          <w:marLeft w:val="640"/>
          <w:marRight w:val="0"/>
          <w:marTop w:val="0"/>
          <w:marBottom w:val="0"/>
          <w:divBdr>
            <w:top w:val="none" w:sz="0" w:space="0" w:color="auto"/>
            <w:left w:val="none" w:sz="0" w:space="0" w:color="auto"/>
            <w:bottom w:val="none" w:sz="0" w:space="0" w:color="auto"/>
            <w:right w:val="none" w:sz="0" w:space="0" w:color="auto"/>
          </w:divBdr>
        </w:div>
        <w:div w:id="1104887787">
          <w:marLeft w:val="640"/>
          <w:marRight w:val="0"/>
          <w:marTop w:val="0"/>
          <w:marBottom w:val="0"/>
          <w:divBdr>
            <w:top w:val="none" w:sz="0" w:space="0" w:color="auto"/>
            <w:left w:val="none" w:sz="0" w:space="0" w:color="auto"/>
            <w:bottom w:val="none" w:sz="0" w:space="0" w:color="auto"/>
            <w:right w:val="none" w:sz="0" w:space="0" w:color="auto"/>
          </w:divBdr>
        </w:div>
        <w:div w:id="387144630">
          <w:marLeft w:val="640"/>
          <w:marRight w:val="0"/>
          <w:marTop w:val="0"/>
          <w:marBottom w:val="0"/>
          <w:divBdr>
            <w:top w:val="none" w:sz="0" w:space="0" w:color="auto"/>
            <w:left w:val="none" w:sz="0" w:space="0" w:color="auto"/>
            <w:bottom w:val="none" w:sz="0" w:space="0" w:color="auto"/>
            <w:right w:val="none" w:sz="0" w:space="0" w:color="auto"/>
          </w:divBdr>
        </w:div>
        <w:div w:id="16658524">
          <w:marLeft w:val="640"/>
          <w:marRight w:val="0"/>
          <w:marTop w:val="0"/>
          <w:marBottom w:val="0"/>
          <w:divBdr>
            <w:top w:val="none" w:sz="0" w:space="0" w:color="auto"/>
            <w:left w:val="none" w:sz="0" w:space="0" w:color="auto"/>
            <w:bottom w:val="none" w:sz="0" w:space="0" w:color="auto"/>
            <w:right w:val="none" w:sz="0" w:space="0" w:color="auto"/>
          </w:divBdr>
        </w:div>
        <w:div w:id="1287810361">
          <w:marLeft w:val="640"/>
          <w:marRight w:val="0"/>
          <w:marTop w:val="0"/>
          <w:marBottom w:val="0"/>
          <w:divBdr>
            <w:top w:val="none" w:sz="0" w:space="0" w:color="auto"/>
            <w:left w:val="none" w:sz="0" w:space="0" w:color="auto"/>
            <w:bottom w:val="none" w:sz="0" w:space="0" w:color="auto"/>
            <w:right w:val="none" w:sz="0" w:space="0" w:color="auto"/>
          </w:divBdr>
        </w:div>
        <w:div w:id="1833638194">
          <w:marLeft w:val="640"/>
          <w:marRight w:val="0"/>
          <w:marTop w:val="0"/>
          <w:marBottom w:val="0"/>
          <w:divBdr>
            <w:top w:val="none" w:sz="0" w:space="0" w:color="auto"/>
            <w:left w:val="none" w:sz="0" w:space="0" w:color="auto"/>
            <w:bottom w:val="none" w:sz="0" w:space="0" w:color="auto"/>
            <w:right w:val="none" w:sz="0" w:space="0" w:color="auto"/>
          </w:divBdr>
        </w:div>
      </w:divsChild>
    </w:div>
    <w:div w:id="587233879">
      <w:bodyDiv w:val="1"/>
      <w:marLeft w:val="0"/>
      <w:marRight w:val="0"/>
      <w:marTop w:val="0"/>
      <w:marBottom w:val="0"/>
      <w:divBdr>
        <w:top w:val="none" w:sz="0" w:space="0" w:color="auto"/>
        <w:left w:val="none" w:sz="0" w:space="0" w:color="auto"/>
        <w:bottom w:val="none" w:sz="0" w:space="0" w:color="auto"/>
        <w:right w:val="none" w:sz="0" w:space="0" w:color="auto"/>
      </w:divBdr>
      <w:divsChild>
        <w:div w:id="1514953792">
          <w:marLeft w:val="640"/>
          <w:marRight w:val="0"/>
          <w:marTop w:val="0"/>
          <w:marBottom w:val="0"/>
          <w:divBdr>
            <w:top w:val="none" w:sz="0" w:space="0" w:color="auto"/>
            <w:left w:val="none" w:sz="0" w:space="0" w:color="auto"/>
            <w:bottom w:val="none" w:sz="0" w:space="0" w:color="auto"/>
            <w:right w:val="none" w:sz="0" w:space="0" w:color="auto"/>
          </w:divBdr>
        </w:div>
        <w:div w:id="949044928">
          <w:marLeft w:val="640"/>
          <w:marRight w:val="0"/>
          <w:marTop w:val="0"/>
          <w:marBottom w:val="0"/>
          <w:divBdr>
            <w:top w:val="none" w:sz="0" w:space="0" w:color="auto"/>
            <w:left w:val="none" w:sz="0" w:space="0" w:color="auto"/>
            <w:bottom w:val="none" w:sz="0" w:space="0" w:color="auto"/>
            <w:right w:val="none" w:sz="0" w:space="0" w:color="auto"/>
          </w:divBdr>
        </w:div>
        <w:div w:id="891310233">
          <w:marLeft w:val="640"/>
          <w:marRight w:val="0"/>
          <w:marTop w:val="0"/>
          <w:marBottom w:val="0"/>
          <w:divBdr>
            <w:top w:val="none" w:sz="0" w:space="0" w:color="auto"/>
            <w:left w:val="none" w:sz="0" w:space="0" w:color="auto"/>
            <w:bottom w:val="none" w:sz="0" w:space="0" w:color="auto"/>
            <w:right w:val="none" w:sz="0" w:space="0" w:color="auto"/>
          </w:divBdr>
        </w:div>
        <w:div w:id="1930581679">
          <w:marLeft w:val="640"/>
          <w:marRight w:val="0"/>
          <w:marTop w:val="0"/>
          <w:marBottom w:val="0"/>
          <w:divBdr>
            <w:top w:val="none" w:sz="0" w:space="0" w:color="auto"/>
            <w:left w:val="none" w:sz="0" w:space="0" w:color="auto"/>
            <w:bottom w:val="none" w:sz="0" w:space="0" w:color="auto"/>
            <w:right w:val="none" w:sz="0" w:space="0" w:color="auto"/>
          </w:divBdr>
        </w:div>
        <w:div w:id="1076707308">
          <w:marLeft w:val="640"/>
          <w:marRight w:val="0"/>
          <w:marTop w:val="0"/>
          <w:marBottom w:val="0"/>
          <w:divBdr>
            <w:top w:val="none" w:sz="0" w:space="0" w:color="auto"/>
            <w:left w:val="none" w:sz="0" w:space="0" w:color="auto"/>
            <w:bottom w:val="none" w:sz="0" w:space="0" w:color="auto"/>
            <w:right w:val="none" w:sz="0" w:space="0" w:color="auto"/>
          </w:divBdr>
        </w:div>
        <w:div w:id="789475831">
          <w:marLeft w:val="640"/>
          <w:marRight w:val="0"/>
          <w:marTop w:val="0"/>
          <w:marBottom w:val="0"/>
          <w:divBdr>
            <w:top w:val="none" w:sz="0" w:space="0" w:color="auto"/>
            <w:left w:val="none" w:sz="0" w:space="0" w:color="auto"/>
            <w:bottom w:val="none" w:sz="0" w:space="0" w:color="auto"/>
            <w:right w:val="none" w:sz="0" w:space="0" w:color="auto"/>
          </w:divBdr>
        </w:div>
        <w:div w:id="1944265775">
          <w:marLeft w:val="640"/>
          <w:marRight w:val="0"/>
          <w:marTop w:val="0"/>
          <w:marBottom w:val="0"/>
          <w:divBdr>
            <w:top w:val="none" w:sz="0" w:space="0" w:color="auto"/>
            <w:left w:val="none" w:sz="0" w:space="0" w:color="auto"/>
            <w:bottom w:val="none" w:sz="0" w:space="0" w:color="auto"/>
            <w:right w:val="none" w:sz="0" w:space="0" w:color="auto"/>
          </w:divBdr>
        </w:div>
        <w:div w:id="1109742839">
          <w:marLeft w:val="640"/>
          <w:marRight w:val="0"/>
          <w:marTop w:val="0"/>
          <w:marBottom w:val="0"/>
          <w:divBdr>
            <w:top w:val="none" w:sz="0" w:space="0" w:color="auto"/>
            <w:left w:val="none" w:sz="0" w:space="0" w:color="auto"/>
            <w:bottom w:val="none" w:sz="0" w:space="0" w:color="auto"/>
            <w:right w:val="none" w:sz="0" w:space="0" w:color="auto"/>
          </w:divBdr>
        </w:div>
        <w:div w:id="126053220">
          <w:marLeft w:val="640"/>
          <w:marRight w:val="0"/>
          <w:marTop w:val="0"/>
          <w:marBottom w:val="0"/>
          <w:divBdr>
            <w:top w:val="none" w:sz="0" w:space="0" w:color="auto"/>
            <w:left w:val="none" w:sz="0" w:space="0" w:color="auto"/>
            <w:bottom w:val="none" w:sz="0" w:space="0" w:color="auto"/>
            <w:right w:val="none" w:sz="0" w:space="0" w:color="auto"/>
          </w:divBdr>
        </w:div>
        <w:div w:id="1693650356">
          <w:marLeft w:val="640"/>
          <w:marRight w:val="0"/>
          <w:marTop w:val="0"/>
          <w:marBottom w:val="0"/>
          <w:divBdr>
            <w:top w:val="none" w:sz="0" w:space="0" w:color="auto"/>
            <w:left w:val="none" w:sz="0" w:space="0" w:color="auto"/>
            <w:bottom w:val="none" w:sz="0" w:space="0" w:color="auto"/>
            <w:right w:val="none" w:sz="0" w:space="0" w:color="auto"/>
          </w:divBdr>
        </w:div>
        <w:div w:id="1595555029">
          <w:marLeft w:val="640"/>
          <w:marRight w:val="0"/>
          <w:marTop w:val="0"/>
          <w:marBottom w:val="0"/>
          <w:divBdr>
            <w:top w:val="none" w:sz="0" w:space="0" w:color="auto"/>
            <w:left w:val="none" w:sz="0" w:space="0" w:color="auto"/>
            <w:bottom w:val="none" w:sz="0" w:space="0" w:color="auto"/>
            <w:right w:val="none" w:sz="0" w:space="0" w:color="auto"/>
          </w:divBdr>
        </w:div>
        <w:div w:id="634943062">
          <w:marLeft w:val="640"/>
          <w:marRight w:val="0"/>
          <w:marTop w:val="0"/>
          <w:marBottom w:val="0"/>
          <w:divBdr>
            <w:top w:val="none" w:sz="0" w:space="0" w:color="auto"/>
            <w:left w:val="none" w:sz="0" w:space="0" w:color="auto"/>
            <w:bottom w:val="none" w:sz="0" w:space="0" w:color="auto"/>
            <w:right w:val="none" w:sz="0" w:space="0" w:color="auto"/>
          </w:divBdr>
        </w:div>
        <w:div w:id="1663267166">
          <w:marLeft w:val="640"/>
          <w:marRight w:val="0"/>
          <w:marTop w:val="0"/>
          <w:marBottom w:val="0"/>
          <w:divBdr>
            <w:top w:val="none" w:sz="0" w:space="0" w:color="auto"/>
            <w:left w:val="none" w:sz="0" w:space="0" w:color="auto"/>
            <w:bottom w:val="none" w:sz="0" w:space="0" w:color="auto"/>
            <w:right w:val="none" w:sz="0" w:space="0" w:color="auto"/>
          </w:divBdr>
        </w:div>
        <w:div w:id="1646276772">
          <w:marLeft w:val="640"/>
          <w:marRight w:val="0"/>
          <w:marTop w:val="0"/>
          <w:marBottom w:val="0"/>
          <w:divBdr>
            <w:top w:val="none" w:sz="0" w:space="0" w:color="auto"/>
            <w:left w:val="none" w:sz="0" w:space="0" w:color="auto"/>
            <w:bottom w:val="none" w:sz="0" w:space="0" w:color="auto"/>
            <w:right w:val="none" w:sz="0" w:space="0" w:color="auto"/>
          </w:divBdr>
        </w:div>
        <w:div w:id="1088768668">
          <w:marLeft w:val="640"/>
          <w:marRight w:val="0"/>
          <w:marTop w:val="0"/>
          <w:marBottom w:val="0"/>
          <w:divBdr>
            <w:top w:val="none" w:sz="0" w:space="0" w:color="auto"/>
            <w:left w:val="none" w:sz="0" w:space="0" w:color="auto"/>
            <w:bottom w:val="none" w:sz="0" w:space="0" w:color="auto"/>
            <w:right w:val="none" w:sz="0" w:space="0" w:color="auto"/>
          </w:divBdr>
        </w:div>
        <w:div w:id="1214392572">
          <w:marLeft w:val="640"/>
          <w:marRight w:val="0"/>
          <w:marTop w:val="0"/>
          <w:marBottom w:val="0"/>
          <w:divBdr>
            <w:top w:val="none" w:sz="0" w:space="0" w:color="auto"/>
            <w:left w:val="none" w:sz="0" w:space="0" w:color="auto"/>
            <w:bottom w:val="none" w:sz="0" w:space="0" w:color="auto"/>
            <w:right w:val="none" w:sz="0" w:space="0" w:color="auto"/>
          </w:divBdr>
        </w:div>
        <w:div w:id="1682389757">
          <w:marLeft w:val="640"/>
          <w:marRight w:val="0"/>
          <w:marTop w:val="0"/>
          <w:marBottom w:val="0"/>
          <w:divBdr>
            <w:top w:val="none" w:sz="0" w:space="0" w:color="auto"/>
            <w:left w:val="none" w:sz="0" w:space="0" w:color="auto"/>
            <w:bottom w:val="none" w:sz="0" w:space="0" w:color="auto"/>
            <w:right w:val="none" w:sz="0" w:space="0" w:color="auto"/>
          </w:divBdr>
        </w:div>
        <w:div w:id="738287060">
          <w:marLeft w:val="640"/>
          <w:marRight w:val="0"/>
          <w:marTop w:val="0"/>
          <w:marBottom w:val="0"/>
          <w:divBdr>
            <w:top w:val="none" w:sz="0" w:space="0" w:color="auto"/>
            <w:left w:val="none" w:sz="0" w:space="0" w:color="auto"/>
            <w:bottom w:val="none" w:sz="0" w:space="0" w:color="auto"/>
            <w:right w:val="none" w:sz="0" w:space="0" w:color="auto"/>
          </w:divBdr>
        </w:div>
        <w:div w:id="667633201">
          <w:marLeft w:val="640"/>
          <w:marRight w:val="0"/>
          <w:marTop w:val="0"/>
          <w:marBottom w:val="0"/>
          <w:divBdr>
            <w:top w:val="none" w:sz="0" w:space="0" w:color="auto"/>
            <w:left w:val="none" w:sz="0" w:space="0" w:color="auto"/>
            <w:bottom w:val="none" w:sz="0" w:space="0" w:color="auto"/>
            <w:right w:val="none" w:sz="0" w:space="0" w:color="auto"/>
          </w:divBdr>
        </w:div>
        <w:div w:id="1421681673">
          <w:marLeft w:val="640"/>
          <w:marRight w:val="0"/>
          <w:marTop w:val="0"/>
          <w:marBottom w:val="0"/>
          <w:divBdr>
            <w:top w:val="none" w:sz="0" w:space="0" w:color="auto"/>
            <w:left w:val="none" w:sz="0" w:space="0" w:color="auto"/>
            <w:bottom w:val="none" w:sz="0" w:space="0" w:color="auto"/>
            <w:right w:val="none" w:sz="0" w:space="0" w:color="auto"/>
          </w:divBdr>
        </w:div>
        <w:div w:id="1372414838">
          <w:marLeft w:val="640"/>
          <w:marRight w:val="0"/>
          <w:marTop w:val="0"/>
          <w:marBottom w:val="0"/>
          <w:divBdr>
            <w:top w:val="none" w:sz="0" w:space="0" w:color="auto"/>
            <w:left w:val="none" w:sz="0" w:space="0" w:color="auto"/>
            <w:bottom w:val="none" w:sz="0" w:space="0" w:color="auto"/>
            <w:right w:val="none" w:sz="0" w:space="0" w:color="auto"/>
          </w:divBdr>
        </w:div>
        <w:div w:id="890842887">
          <w:marLeft w:val="640"/>
          <w:marRight w:val="0"/>
          <w:marTop w:val="0"/>
          <w:marBottom w:val="0"/>
          <w:divBdr>
            <w:top w:val="none" w:sz="0" w:space="0" w:color="auto"/>
            <w:left w:val="none" w:sz="0" w:space="0" w:color="auto"/>
            <w:bottom w:val="none" w:sz="0" w:space="0" w:color="auto"/>
            <w:right w:val="none" w:sz="0" w:space="0" w:color="auto"/>
          </w:divBdr>
        </w:div>
        <w:div w:id="108428532">
          <w:marLeft w:val="640"/>
          <w:marRight w:val="0"/>
          <w:marTop w:val="0"/>
          <w:marBottom w:val="0"/>
          <w:divBdr>
            <w:top w:val="none" w:sz="0" w:space="0" w:color="auto"/>
            <w:left w:val="none" w:sz="0" w:space="0" w:color="auto"/>
            <w:bottom w:val="none" w:sz="0" w:space="0" w:color="auto"/>
            <w:right w:val="none" w:sz="0" w:space="0" w:color="auto"/>
          </w:divBdr>
        </w:div>
        <w:div w:id="1275945844">
          <w:marLeft w:val="640"/>
          <w:marRight w:val="0"/>
          <w:marTop w:val="0"/>
          <w:marBottom w:val="0"/>
          <w:divBdr>
            <w:top w:val="none" w:sz="0" w:space="0" w:color="auto"/>
            <w:left w:val="none" w:sz="0" w:space="0" w:color="auto"/>
            <w:bottom w:val="none" w:sz="0" w:space="0" w:color="auto"/>
            <w:right w:val="none" w:sz="0" w:space="0" w:color="auto"/>
          </w:divBdr>
        </w:div>
        <w:div w:id="1801801495">
          <w:marLeft w:val="640"/>
          <w:marRight w:val="0"/>
          <w:marTop w:val="0"/>
          <w:marBottom w:val="0"/>
          <w:divBdr>
            <w:top w:val="none" w:sz="0" w:space="0" w:color="auto"/>
            <w:left w:val="none" w:sz="0" w:space="0" w:color="auto"/>
            <w:bottom w:val="none" w:sz="0" w:space="0" w:color="auto"/>
            <w:right w:val="none" w:sz="0" w:space="0" w:color="auto"/>
          </w:divBdr>
        </w:div>
        <w:div w:id="2127116593">
          <w:marLeft w:val="640"/>
          <w:marRight w:val="0"/>
          <w:marTop w:val="0"/>
          <w:marBottom w:val="0"/>
          <w:divBdr>
            <w:top w:val="none" w:sz="0" w:space="0" w:color="auto"/>
            <w:left w:val="none" w:sz="0" w:space="0" w:color="auto"/>
            <w:bottom w:val="none" w:sz="0" w:space="0" w:color="auto"/>
            <w:right w:val="none" w:sz="0" w:space="0" w:color="auto"/>
          </w:divBdr>
        </w:div>
        <w:div w:id="1740326853">
          <w:marLeft w:val="640"/>
          <w:marRight w:val="0"/>
          <w:marTop w:val="0"/>
          <w:marBottom w:val="0"/>
          <w:divBdr>
            <w:top w:val="none" w:sz="0" w:space="0" w:color="auto"/>
            <w:left w:val="none" w:sz="0" w:space="0" w:color="auto"/>
            <w:bottom w:val="none" w:sz="0" w:space="0" w:color="auto"/>
            <w:right w:val="none" w:sz="0" w:space="0" w:color="auto"/>
          </w:divBdr>
        </w:div>
        <w:div w:id="1291327301">
          <w:marLeft w:val="640"/>
          <w:marRight w:val="0"/>
          <w:marTop w:val="0"/>
          <w:marBottom w:val="0"/>
          <w:divBdr>
            <w:top w:val="none" w:sz="0" w:space="0" w:color="auto"/>
            <w:left w:val="none" w:sz="0" w:space="0" w:color="auto"/>
            <w:bottom w:val="none" w:sz="0" w:space="0" w:color="auto"/>
            <w:right w:val="none" w:sz="0" w:space="0" w:color="auto"/>
          </w:divBdr>
        </w:div>
        <w:div w:id="883758599">
          <w:marLeft w:val="640"/>
          <w:marRight w:val="0"/>
          <w:marTop w:val="0"/>
          <w:marBottom w:val="0"/>
          <w:divBdr>
            <w:top w:val="none" w:sz="0" w:space="0" w:color="auto"/>
            <w:left w:val="none" w:sz="0" w:space="0" w:color="auto"/>
            <w:bottom w:val="none" w:sz="0" w:space="0" w:color="auto"/>
            <w:right w:val="none" w:sz="0" w:space="0" w:color="auto"/>
          </w:divBdr>
        </w:div>
        <w:div w:id="304549926">
          <w:marLeft w:val="640"/>
          <w:marRight w:val="0"/>
          <w:marTop w:val="0"/>
          <w:marBottom w:val="0"/>
          <w:divBdr>
            <w:top w:val="none" w:sz="0" w:space="0" w:color="auto"/>
            <w:left w:val="none" w:sz="0" w:space="0" w:color="auto"/>
            <w:bottom w:val="none" w:sz="0" w:space="0" w:color="auto"/>
            <w:right w:val="none" w:sz="0" w:space="0" w:color="auto"/>
          </w:divBdr>
        </w:div>
        <w:div w:id="304701895">
          <w:marLeft w:val="640"/>
          <w:marRight w:val="0"/>
          <w:marTop w:val="0"/>
          <w:marBottom w:val="0"/>
          <w:divBdr>
            <w:top w:val="none" w:sz="0" w:space="0" w:color="auto"/>
            <w:left w:val="none" w:sz="0" w:space="0" w:color="auto"/>
            <w:bottom w:val="none" w:sz="0" w:space="0" w:color="auto"/>
            <w:right w:val="none" w:sz="0" w:space="0" w:color="auto"/>
          </w:divBdr>
        </w:div>
        <w:div w:id="285820568">
          <w:marLeft w:val="640"/>
          <w:marRight w:val="0"/>
          <w:marTop w:val="0"/>
          <w:marBottom w:val="0"/>
          <w:divBdr>
            <w:top w:val="none" w:sz="0" w:space="0" w:color="auto"/>
            <w:left w:val="none" w:sz="0" w:space="0" w:color="auto"/>
            <w:bottom w:val="none" w:sz="0" w:space="0" w:color="auto"/>
            <w:right w:val="none" w:sz="0" w:space="0" w:color="auto"/>
          </w:divBdr>
        </w:div>
        <w:div w:id="1352488625">
          <w:marLeft w:val="640"/>
          <w:marRight w:val="0"/>
          <w:marTop w:val="0"/>
          <w:marBottom w:val="0"/>
          <w:divBdr>
            <w:top w:val="none" w:sz="0" w:space="0" w:color="auto"/>
            <w:left w:val="none" w:sz="0" w:space="0" w:color="auto"/>
            <w:bottom w:val="none" w:sz="0" w:space="0" w:color="auto"/>
            <w:right w:val="none" w:sz="0" w:space="0" w:color="auto"/>
          </w:divBdr>
        </w:div>
        <w:div w:id="1489978636">
          <w:marLeft w:val="640"/>
          <w:marRight w:val="0"/>
          <w:marTop w:val="0"/>
          <w:marBottom w:val="0"/>
          <w:divBdr>
            <w:top w:val="none" w:sz="0" w:space="0" w:color="auto"/>
            <w:left w:val="none" w:sz="0" w:space="0" w:color="auto"/>
            <w:bottom w:val="none" w:sz="0" w:space="0" w:color="auto"/>
            <w:right w:val="none" w:sz="0" w:space="0" w:color="auto"/>
          </w:divBdr>
        </w:div>
        <w:div w:id="989988019">
          <w:marLeft w:val="640"/>
          <w:marRight w:val="0"/>
          <w:marTop w:val="0"/>
          <w:marBottom w:val="0"/>
          <w:divBdr>
            <w:top w:val="none" w:sz="0" w:space="0" w:color="auto"/>
            <w:left w:val="none" w:sz="0" w:space="0" w:color="auto"/>
            <w:bottom w:val="none" w:sz="0" w:space="0" w:color="auto"/>
            <w:right w:val="none" w:sz="0" w:space="0" w:color="auto"/>
          </w:divBdr>
        </w:div>
        <w:div w:id="1744136271">
          <w:marLeft w:val="640"/>
          <w:marRight w:val="0"/>
          <w:marTop w:val="0"/>
          <w:marBottom w:val="0"/>
          <w:divBdr>
            <w:top w:val="none" w:sz="0" w:space="0" w:color="auto"/>
            <w:left w:val="none" w:sz="0" w:space="0" w:color="auto"/>
            <w:bottom w:val="none" w:sz="0" w:space="0" w:color="auto"/>
            <w:right w:val="none" w:sz="0" w:space="0" w:color="auto"/>
          </w:divBdr>
        </w:div>
        <w:div w:id="1206403349">
          <w:marLeft w:val="640"/>
          <w:marRight w:val="0"/>
          <w:marTop w:val="0"/>
          <w:marBottom w:val="0"/>
          <w:divBdr>
            <w:top w:val="none" w:sz="0" w:space="0" w:color="auto"/>
            <w:left w:val="none" w:sz="0" w:space="0" w:color="auto"/>
            <w:bottom w:val="none" w:sz="0" w:space="0" w:color="auto"/>
            <w:right w:val="none" w:sz="0" w:space="0" w:color="auto"/>
          </w:divBdr>
        </w:div>
        <w:div w:id="902255102">
          <w:marLeft w:val="640"/>
          <w:marRight w:val="0"/>
          <w:marTop w:val="0"/>
          <w:marBottom w:val="0"/>
          <w:divBdr>
            <w:top w:val="none" w:sz="0" w:space="0" w:color="auto"/>
            <w:left w:val="none" w:sz="0" w:space="0" w:color="auto"/>
            <w:bottom w:val="none" w:sz="0" w:space="0" w:color="auto"/>
            <w:right w:val="none" w:sz="0" w:space="0" w:color="auto"/>
          </w:divBdr>
        </w:div>
        <w:div w:id="1684360422">
          <w:marLeft w:val="640"/>
          <w:marRight w:val="0"/>
          <w:marTop w:val="0"/>
          <w:marBottom w:val="0"/>
          <w:divBdr>
            <w:top w:val="none" w:sz="0" w:space="0" w:color="auto"/>
            <w:left w:val="none" w:sz="0" w:space="0" w:color="auto"/>
            <w:bottom w:val="none" w:sz="0" w:space="0" w:color="auto"/>
            <w:right w:val="none" w:sz="0" w:space="0" w:color="auto"/>
          </w:divBdr>
        </w:div>
        <w:div w:id="398408319">
          <w:marLeft w:val="640"/>
          <w:marRight w:val="0"/>
          <w:marTop w:val="0"/>
          <w:marBottom w:val="0"/>
          <w:divBdr>
            <w:top w:val="none" w:sz="0" w:space="0" w:color="auto"/>
            <w:left w:val="none" w:sz="0" w:space="0" w:color="auto"/>
            <w:bottom w:val="none" w:sz="0" w:space="0" w:color="auto"/>
            <w:right w:val="none" w:sz="0" w:space="0" w:color="auto"/>
          </w:divBdr>
        </w:div>
        <w:div w:id="2004888838">
          <w:marLeft w:val="640"/>
          <w:marRight w:val="0"/>
          <w:marTop w:val="0"/>
          <w:marBottom w:val="0"/>
          <w:divBdr>
            <w:top w:val="none" w:sz="0" w:space="0" w:color="auto"/>
            <w:left w:val="none" w:sz="0" w:space="0" w:color="auto"/>
            <w:bottom w:val="none" w:sz="0" w:space="0" w:color="auto"/>
            <w:right w:val="none" w:sz="0" w:space="0" w:color="auto"/>
          </w:divBdr>
        </w:div>
        <w:div w:id="915557717">
          <w:marLeft w:val="640"/>
          <w:marRight w:val="0"/>
          <w:marTop w:val="0"/>
          <w:marBottom w:val="0"/>
          <w:divBdr>
            <w:top w:val="none" w:sz="0" w:space="0" w:color="auto"/>
            <w:left w:val="none" w:sz="0" w:space="0" w:color="auto"/>
            <w:bottom w:val="none" w:sz="0" w:space="0" w:color="auto"/>
            <w:right w:val="none" w:sz="0" w:space="0" w:color="auto"/>
          </w:divBdr>
        </w:div>
        <w:div w:id="942880430">
          <w:marLeft w:val="640"/>
          <w:marRight w:val="0"/>
          <w:marTop w:val="0"/>
          <w:marBottom w:val="0"/>
          <w:divBdr>
            <w:top w:val="none" w:sz="0" w:space="0" w:color="auto"/>
            <w:left w:val="none" w:sz="0" w:space="0" w:color="auto"/>
            <w:bottom w:val="none" w:sz="0" w:space="0" w:color="auto"/>
            <w:right w:val="none" w:sz="0" w:space="0" w:color="auto"/>
          </w:divBdr>
        </w:div>
        <w:div w:id="1663115992">
          <w:marLeft w:val="640"/>
          <w:marRight w:val="0"/>
          <w:marTop w:val="0"/>
          <w:marBottom w:val="0"/>
          <w:divBdr>
            <w:top w:val="none" w:sz="0" w:space="0" w:color="auto"/>
            <w:left w:val="none" w:sz="0" w:space="0" w:color="auto"/>
            <w:bottom w:val="none" w:sz="0" w:space="0" w:color="auto"/>
            <w:right w:val="none" w:sz="0" w:space="0" w:color="auto"/>
          </w:divBdr>
        </w:div>
        <w:div w:id="78675331">
          <w:marLeft w:val="640"/>
          <w:marRight w:val="0"/>
          <w:marTop w:val="0"/>
          <w:marBottom w:val="0"/>
          <w:divBdr>
            <w:top w:val="none" w:sz="0" w:space="0" w:color="auto"/>
            <w:left w:val="none" w:sz="0" w:space="0" w:color="auto"/>
            <w:bottom w:val="none" w:sz="0" w:space="0" w:color="auto"/>
            <w:right w:val="none" w:sz="0" w:space="0" w:color="auto"/>
          </w:divBdr>
        </w:div>
        <w:div w:id="205794619">
          <w:marLeft w:val="640"/>
          <w:marRight w:val="0"/>
          <w:marTop w:val="0"/>
          <w:marBottom w:val="0"/>
          <w:divBdr>
            <w:top w:val="none" w:sz="0" w:space="0" w:color="auto"/>
            <w:left w:val="none" w:sz="0" w:space="0" w:color="auto"/>
            <w:bottom w:val="none" w:sz="0" w:space="0" w:color="auto"/>
            <w:right w:val="none" w:sz="0" w:space="0" w:color="auto"/>
          </w:divBdr>
        </w:div>
        <w:div w:id="993415138">
          <w:marLeft w:val="640"/>
          <w:marRight w:val="0"/>
          <w:marTop w:val="0"/>
          <w:marBottom w:val="0"/>
          <w:divBdr>
            <w:top w:val="none" w:sz="0" w:space="0" w:color="auto"/>
            <w:left w:val="none" w:sz="0" w:space="0" w:color="auto"/>
            <w:bottom w:val="none" w:sz="0" w:space="0" w:color="auto"/>
            <w:right w:val="none" w:sz="0" w:space="0" w:color="auto"/>
          </w:divBdr>
        </w:div>
        <w:div w:id="37825249">
          <w:marLeft w:val="640"/>
          <w:marRight w:val="0"/>
          <w:marTop w:val="0"/>
          <w:marBottom w:val="0"/>
          <w:divBdr>
            <w:top w:val="none" w:sz="0" w:space="0" w:color="auto"/>
            <w:left w:val="none" w:sz="0" w:space="0" w:color="auto"/>
            <w:bottom w:val="none" w:sz="0" w:space="0" w:color="auto"/>
            <w:right w:val="none" w:sz="0" w:space="0" w:color="auto"/>
          </w:divBdr>
        </w:div>
        <w:div w:id="2075152363">
          <w:marLeft w:val="640"/>
          <w:marRight w:val="0"/>
          <w:marTop w:val="0"/>
          <w:marBottom w:val="0"/>
          <w:divBdr>
            <w:top w:val="none" w:sz="0" w:space="0" w:color="auto"/>
            <w:left w:val="none" w:sz="0" w:space="0" w:color="auto"/>
            <w:bottom w:val="none" w:sz="0" w:space="0" w:color="auto"/>
            <w:right w:val="none" w:sz="0" w:space="0" w:color="auto"/>
          </w:divBdr>
        </w:div>
        <w:div w:id="212694840">
          <w:marLeft w:val="640"/>
          <w:marRight w:val="0"/>
          <w:marTop w:val="0"/>
          <w:marBottom w:val="0"/>
          <w:divBdr>
            <w:top w:val="none" w:sz="0" w:space="0" w:color="auto"/>
            <w:left w:val="none" w:sz="0" w:space="0" w:color="auto"/>
            <w:bottom w:val="none" w:sz="0" w:space="0" w:color="auto"/>
            <w:right w:val="none" w:sz="0" w:space="0" w:color="auto"/>
          </w:divBdr>
        </w:div>
        <w:div w:id="1900172238">
          <w:marLeft w:val="640"/>
          <w:marRight w:val="0"/>
          <w:marTop w:val="0"/>
          <w:marBottom w:val="0"/>
          <w:divBdr>
            <w:top w:val="none" w:sz="0" w:space="0" w:color="auto"/>
            <w:left w:val="none" w:sz="0" w:space="0" w:color="auto"/>
            <w:bottom w:val="none" w:sz="0" w:space="0" w:color="auto"/>
            <w:right w:val="none" w:sz="0" w:space="0" w:color="auto"/>
          </w:divBdr>
        </w:div>
        <w:div w:id="1703243000">
          <w:marLeft w:val="640"/>
          <w:marRight w:val="0"/>
          <w:marTop w:val="0"/>
          <w:marBottom w:val="0"/>
          <w:divBdr>
            <w:top w:val="none" w:sz="0" w:space="0" w:color="auto"/>
            <w:left w:val="none" w:sz="0" w:space="0" w:color="auto"/>
            <w:bottom w:val="none" w:sz="0" w:space="0" w:color="auto"/>
            <w:right w:val="none" w:sz="0" w:space="0" w:color="auto"/>
          </w:divBdr>
        </w:div>
        <w:div w:id="1974481283">
          <w:marLeft w:val="640"/>
          <w:marRight w:val="0"/>
          <w:marTop w:val="0"/>
          <w:marBottom w:val="0"/>
          <w:divBdr>
            <w:top w:val="none" w:sz="0" w:space="0" w:color="auto"/>
            <w:left w:val="none" w:sz="0" w:space="0" w:color="auto"/>
            <w:bottom w:val="none" w:sz="0" w:space="0" w:color="auto"/>
            <w:right w:val="none" w:sz="0" w:space="0" w:color="auto"/>
          </w:divBdr>
        </w:div>
        <w:div w:id="582683518">
          <w:marLeft w:val="640"/>
          <w:marRight w:val="0"/>
          <w:marTop w:val="0"/>
          <w:marBottom w:val="0"/>
          <w:divBdr>
            <w:top w:val="none" w:sz="0" w:space="0" w:color="auto"/>
            <w:left w:val="none" w:sz="0" w:space="0" w:color="auto"/>
            <w:bottom w:val="none" w:sz="0" w:space="0" w:color="auto"/>
            <w:right w:val="none" w:sz="0" w:space="0" w:color="auto"/>
          </w:divBdr>
        </w:div>
        <w:div w:id="1870409357">
          <w:marLeft w:val="640"/>
          <w:marRight w:val="0"/>
          <w:marTop w:val="0"/>
          <w:marBottom w:val="0"/>
          <w:divBdr>
            <w:top w:val="none" w:sz="0" w:space="0" w:color="auto"/>
            <w:left w:val="none" w:sz="0" w:space="0" w:color="auto"/>
            <w:bottom w:val="none" w:sz="0" w:space="0" w:color="auto"/>
            <w:right w:val="none" w:sz="0" w:space="0" w:color="auto"/>
          </w:divBdr>
        </w:div>
        <w:div w:id="2099518197">
          <w:marLeft w:val="640"/>
          <w:marRight w:val="0"/>
          <w:marTop w:val="0"/>
          <w:marBottom w:val="0"/>
          <w:divBdr>
            <w:top w:val="none" w:sz="0" w:space="0" w:color="auto"/>
            <w:left w:val="none" w:sz="0" w:space="0" w:color="auto"/>
            <w:bottom w:val="none" w:sz="0" w:space="0" w:color="auto"/>
            <w:right w:val="none" w:sz="0" w:space="0" w:color="auto"/>
          </w:divBdr>
        </w:div>
        <w:div w:id="522859635">
          <w:marLeft w:val="640"/>
          <w:marRight w:val="0"/>
          <w:marTop w:val="0"/>
          <w:marBottom w:val="0"/>
          <w:divBdr>
            <w:top w:val="none" w:sz="0" w:space="0" w:color="auto"/>
            <w:left w:val="none" w:sz="0" w:space="0" w:color="auto"/>
            <w:bottom w:val="none" w:sz="0" w:space="0" w:color="auto"/>
            <w:right w:val="none" w:sz="0" w:space="0" w:color="auto"/>
          </w:divBdr>
        </w:div>
        <w:div w:id="215360264">
          <w:marLeft w:val="640"/>
          <w:marRight w:val="0"/>
          <w:marTop w:val="0"/>
          <w:marBottom w:val="0"/>
          <w:divBdr>
            <w:top w:val="none" w:sz="0" w:space="0" w:color="auto"/>
            <w:left w:val="none" w:sz="0" w:space="0" w:color="auto"/>
            <w:bottom w:val="none" w:sz="0" w:space="0" w:color="auto"/>
            <w:right w:val="none" w:sz="0" w:space="0" w:color="auto"/>
          </w:divBdr>
        </w:div>
        <w:div w:id="1312174629">
          <w:marLeft w:val="640"/>
          <w:marRight w:val="0"/>
          <w:marTop w:val="0"/>
          <w:marBottom w:val="0"/>
          <w:divBdr>
            <w:top w:val="none" w:sz="0" w:space="0" w:color="auto"/>
            <w:left w:val="none" w:sz="0" w:space="0" w:color="auto"/>
            <w:bottom w:val="none" w:sz="0" w:space="0" w:color="auto"/>
            <w:right w:val="none" w:sz="0" w:space="0" w:color="auto"/>
          </w:divBdr>
        </w:div>
        <w:div w:id="1500191297">
          <w:marLeft w:val="640"/>
          <w:marRight w:val="0"/>
          <w:marTop w:val="0"/>
          <w:marBottom w:val="0"/>
          <w:divBdr>
            <w:top w:val="none" w:sz="0" w:space="0" w:color="auto"/>
            <w:left w:val="none" w:sz="0" w:space="0" w:color="auto"/>
            <w:bottom w:val="none" w:sz="0" w:space="0" w:color="auto"/>
            <w:right w:val="none" w:sz="0" w:space="0" w:color="auto"/>
          </w:divBdr>
        </w:div>
        <w:div w:id="2104913496">
          <w:marLeft w:val="640"/>
          <w:marRight w:val="0"/>
          <w:marTop w:val="0"/>
          <w:marBottom w:val="0"/>
          <w:divBdr>
            <w:top w:val="none" w:sz="0" w:space="0" w:color="auto"/>
            <w:left w:val="none" w:sz="0" w:space="0" w:color="auto"/>
            <w:bottom w:val="none" w:sz="0" w:space="0" w:color="auto"/>
            <w:right w:val="none" w:sz="0" w:space="0" w:color="auto"/>
          </w:divBdr>
        </w:div>
        <w:div w:id="1104226421">
          <w:marLeft w:val="640"/>
          <w:marRight w:val="0"/>
          <w:marTop w:val="0"/>
          <w:marBottom w:val="0"/>
          <w:divBdr>
            <w:top w:val="none" w:sz="0" w:space="0" w:color="auto"/>
            <w:left w:val="none" w:sz="0" w:space="0" w:color="auto"/>
            <w:bottom w:val="none" w:sz="0" w:space="0" w:color="auto"/>
            <w:right w:val="none" w:sz="0" w:space="0" w:color="auto"/>
          </w:divBdr>
        </w:div>
        <w:div w:id="1007946075">
          <w:marLeft w:val="640"/>
          <w:marRight w:val="0"/>
          <w:marTop w:val="0"/>
          <w:marBottom w:val="0"/>
          <w:divBdr>
            <w:top w:val="none" w:sz="0" w:space="0" w:color="auto"/>
            <w:left w:val="none" w:sz="0" w:space="0" w:color="auto"/>
            <w:bottom w:val="none" w:sz="0" w:space="0" w:color="auto"/>
            <w:right w:val="none" w:sz="0" w:space="0" w:color="auto"/>
          </w:divBdr>
        </w:div>
        <w:div w:id="634916731">
          <w:marLeft w:val="640"/>
          <w:marRight w:val="0"/>
          <w:marTop w:val="0"/>
          <w:marBottom w:val="0"/>
          <w:divBdr>
            <w:top w:val="none" w:sz="0" w:space="0" w:color="auto"/>
            <w:left w:val="none" w:sz="0" w:space="0" w:color="auto"/>
            <w:bottom w:val="none" w:sz="0" w:space="0" w:color="auto"/>
            <w:right w:val="none" w:sz="0" w:space="0" w:color="auto"/>
          </w:divBdr>
        </w:div>
        <w:div w:id="343023256">
          <w:marLeft w:val="640"/>
          <w:marRight w:val="0"/>
          <w:marTop w:val="0"/>
          <w:marBottom w:val="0"/>
          <w:divBdr>
            <w:top w:val="none" w:sz="0" w:space="0" w:color="auto"/>
            <w:left w:val="none" w:sz="0" w:space="0" w:color="auto"/>
            <w:bottom w:val="none" w:sz="0" w:space="0" w:color="auto"/>
            <w:right w:val="none" w:sz="0" w:space="0" w:color="auto"/>
          </w:divBdr>
        </w:div>
        <w:div w:id="1572108700">
          <w:marLeft w:val="640"/>
          <w:marRight w:val="0"/>
          <w:marTop w:val="0"/>
          <w:marBottom w:val="0"/>
          <w:divBdr>
            <w:top w:val="none" w:sz="0" w:space="0" w:color="auto"/>
            <w:left w:val="none" w:sz="0" w:space="0" w:color="auto"/>
            <w:bottom w:val="none" w:sz="0" w:space="0" w:color="auto"/>
            <w:right w:val="none" w:sz="0" w:space="0" w:color="auto"/>
          </w:divBdr>
        </w:div>
        <w:div w:id="1125123845">
          <w:marLeft w:val="640"/>
          <w:marRight w:val="0"/>
          <w:marTop w:val="0"/>
          <w:marBottom w:val="0"/>
          <w:divBdr>
            <w:top w:val="none" w:sz="0" w:space="0" w:color="auto"/>
            <w:left w:val="none" w:sz="0" w:space="0" w:color="auto"/>
            <w:bottom w:val="none" w:sz="0" w:space="0" w:color="auto"/>
            <w:right w:val="none" w:sz="0" w:space="0" w:color="auto"/>
          </w:divBdr>
        </w:div>
        <w:div w:id="1579945512">
          <w:marLeft w:val="640"/>
          <w:marRight w:val="0"/>
          <w:marTop w:val="0"/>
          <w:marBottom w:val="0"/>
          <w:divBdr>
            <w:top w:val="none" w:sz="0" w:space="0" w:color="auto"/>
            <w:left w:val="none" w:sz="0" w:space="0" w:color="auto"/>
            <w:bottom w:val="none" w:sz="0" w:space="0" w:color="auto"/>
            <w:right w:val="none" w:sz="0" w:space="0" w:color="auto"/>
          </w:divBdr>
        </w:div>
        <w:div w:id="332612940">
          <w:marLeft w:val="640"/>
          <w:marRight w:val="0"/>
          <w:marTop w:val="0"/>
          <w:marBottom w:val="0"/>
          <w:divBdr>
            <w:top w:val="none" w:sz="0" w:space="0" w:color="auto"/>
            <w:left w:val="none" w:sz="0" w:space="0" w:color="auto"/>
            <w:bottom w:val="none" w:sz="0" w:space="0" w:color="auto"/>
            <w:right w:val="none" w:sz="0" w:space="0" w:color="auto"/>
          </w:divBdr>
        </w:div>
        <w:div w:id="1814516697">
          <w:marLeft w:val="640"/>
          <w:marRight w:val="0"/>
          <w:marTop w:val="0"/>
          <w:marBottom w:val="0"/>
          <w:divBdr>
            <w:top w:val="none" w:sz="0" w:space="0" w:color="auto"/>
            <w:left w:val="none" w:sz="0" w:space="0" w:color="auto"/>
            <w:bottom w:val="none" w:sz="0" w:space="0" w:color="auto"/>
            <w:right w:val="none" w:sz="0" w:space="0" w:color="auto"/>
          </w:divBdr>
        </w:div>
        <w:div w:id="1262763126">
          <w:marLeft w:val="640"/>
          <w:marRight w:val="0"/>
          <w:marTop w:val="0"/>
          <w:marBottom w:val="0"/>
          <w:divBdr>
            <w:top w:val="none" w:sz="0" w:space="0" w:color="auto"/>
            <w:left w:val="none" w:sz="0" w:space="0" w:color="auto"/>
            <w:bottom w:val="none" w:sz="0" w:space="0" w:color="auto"/>
            <w:right w:val="none" w:sz="0" w:space="0" w:color="auto"/>
          </w:divBdr>
        </w:div>
        <w:div w:id="37240932">
          <w:marLeft w:val="640"/>
          <w:marRight w:val="0"/>
          <w:marTop w:val="0"/>
          <w:marBottom w:val="0"/>
          <w:divBdr>
            <w:top w:val="none" w:sz="0" w:space="0" w:color="auto"/>
            <w:left w:val="none" w:sz="0" w:space="0" w:color="auto"/>
            <w:bottom w:val="none" w:sz="0" w:space="0" w:color="auto"/>
            <w:right w:val="none" w:sz="0" w:space="0" w:color="auto"/>
          </w:divBdr>
        </w:div>
        <w:div w:id="884869252">
          <w:marLeft w:val="640"/>
          <w:marRight w:val="0"/>
          <w:marTop w:val="0"/>
          <w:marBottom w:val="0"/>
          <w:divBdr>
            <w:top w:val="none" w:sz="0" w:space="0" w:color="auto"/>
            <w:left w:val="none" w:sz="0" w:space="0" w:color="auto"/>
            <w:bottom w:val="none" w:sz="0" w:space="0" w:color="auto"/>
            <w:right w:val="none" w:sz="0" w:space="0" w:color="auto"/>
          </w:divBdr>
        </w:div>
        <w:div w:id="1940291368">
          <w:marLeft w:val="640"/>
          <w:marRight w:val="0"/>
          <w:marTop w:val="0"/>
          <w:marBottom w:val="0"/>
          <w:divBdr>
            <w:top w:val="none" w:sz="0" w:space="0" w:color="auto"/>
            <w:left w:val="none" w:sz="0" w:space="0" w:color="auto"/>
            <w:bottom w:val="none" w:sz="0" w:space="0" w:color="auto"/>
            <w:right w:val="none" w:sz="0" w:space="0" w:color="auto"/>
          </w:divBdr>
        </w:div>
        <w:div w:id="752431769">
          <w:marLeft w:val="640"/>
          <w:marRight w:val="0"/>
          <w:marTop w:val="0"/>
          <w:marBottom w:val="0"/>
          <w:divBdr>
            <w:top w:val="none" w:sz="0" w:space="0" w:color="auto"/>
            <w:left w:val="none" w:sz="0" w:space="0" w:color="auto"/>
            <w:bottom w:val="none" w:sz="0" w:space="0" w:color="auto"/>
            <w:right w:val="none" w:sz="0" w:space="0" w:color="auto"/>
          </w:divBdr>
        </w:div>
        <w:div w:id="584802397">
          <w:marLeft w:val="640"/>
          <w:marRight w:val="0"/>
          <w:marTop w:val="0"/>
          <w:marBottom w:val="0"/>
          <w:divBdr>
            <w:top w:val="none" w:sz="0" w:space="0" w:color="auto"/>
            <w:left w:val="none" w:sz="0" w:space="0" w:color="auto"/>
            <w:bottom w:val="none" w:sz="0" w:space="0" w:color="auto"/>
            <w:right w:val="none" w:sz="0" w:space="0" w:color="auto"/>
          </w:divBdr>
        </w:div>
        <w:div w:id="1443693411">
          <w:marLeft w:val="640"/>
          <w:marRight w:val="0"/>
          <w:marTop w:val="0"/>
          <w:marBottom w:val="0"/>
          <w:divBdr>
            <w:top w:val="none" w:sz="0" w:space="0" w:color="auto"/>
            <w:left w:val="none" w:sz="0" w:space="0" w:color="auto"/>
            <w:bottom w:val="none" w:sz="0" w:space="0" w:color="auto"/>
            <w:right w:val="none" w:sz="0" w:space="0" w:color="auto"/>
          </w:divBdr>
        </w:div>
        <w:div w:id="2044088242">
          <w:marLeft w:val="640"/>
          <w:marRight w:val="0"/>
          <w:marTop w:val="0"/>
          <w:marBottom w:val="0"/>
          <w:divBdr>
            <w:top w:val="none" w:sz="0" w:space="0" w:color="auto"/>
            <w:left w:val="none" w:sz="0" w:space="0" w:color="auto"/>
            <w:bottom w:val="none" w:sz="0" w:space="0" w:color="auto"/>
            <w:right w:val="none" w:sz="0" w:space="0" w:color="auto"/>
          </w:divBdr>
        </w:div>
        <w:div w:id="303628700">
          <w:marLeft w:val="640"/>
          <w:marRight w:val="0"/>
          <w:marTop w:val="0"/>
          <w:marBottom w:val="0"/>
          <w:divBdr>
            <w:top w:val="none" w:sz="0" w:space="0" w:color="auto"/>
            <w:left w:val="none" w:sz="0" w:space="0" w:color="auto"/>
            <w:bottom w:val="none" w:sz="0" w:space="0" w:color="auto"/>
            <w:right w:val="none" w:sz="0" w:space="0" w:color="auto"/>
          </w:divBdr>
        </w:div>
        <w:div w:id="2108311156">
          <w:marLeft w:val="640"/>
          <w:marRight w:val="0"/>
          <w:marTop w:val="0"/>
          <w:marBottom w:val="0"/>
          <w:divBdr>
            <w:top w:val="none" w:sz="0" w:space="0" w:color="auto"/>
            <w:left w:val="none" w:sz="0" w:space="0" w:color="auto"/>
            <w:bottom w:val="none" w:sz="0" w:space="0" w:color="auto"/>
            <w:right w:val="none" w:sz="0" w:space="0" w:color="auto"/>
          </w:divBdr>
        </w:div>
        <w:div w:id="2105418855">
          <w:marLeft w:val="640"/>
          <w:marRight w:val="0"/>
          <w:marTop w:val="0"/>
          <w:marBottom w:val="0"/>
          <w:divBdr>
            <w:top w:val="none" w:sz="0" w:space="0" w:color="auto"/>
            <w:left w:val="none" w:sz="0" w:space="0" w:color="auto"/>
            <w:bottom w:val="none" w:sz="0" w:space="0" w:color="auto"/>
            <w:right w:val="none" w:sz="0" w:space="0" w:color="auto"/>
          </w:divBdr>
        </w:div>
        <w:div w:id="1027173010">
          <w:marLeft w:val="640"/>
          <w:marRight w:val="0"/>
          <w:marTop w:val="0"/>
          <w:marBottom w:val="0"/>
          <w:divBdr>
            <w:top w:val="none" w:sz="0" w:space="0" w:color="auto"/>
            <w:left w:val="none" w:sz="0" w:space="0" w:color="auto"/>
            <w:bottom w:val="none" w:sz="0" w:space="0" w:color="auto"/>
            <w:right w:val="none" w:sz="0" w:space="0" w:color="auto"/>
          </w:divBdr>
        </w:div>
        <w:div w:id="1749230360">
          <w:marLeft w:val="640"/>
          <w:marRight w:val="0"/>
          <w:marTop w:val="0"/>
          <w:marBottom w:val="0"/>
          <w:divBdr>
            <w:top w:val="none" w:sz="0" w:space="0" w:color="auto"/>
            <w:left w:val="none" w:sz="0" w:space="0" w:color="auto"/>
            <w:bottom w:val="none" w:sz="0" w:space="0" w:color="auto"/>
            <w:right w:val="none" w:sz="0" w:space="0" w:color="auto"/>
          </w:divBdr>
        </w:div>
        <w:div w:id="1816944239">
          <w:marLeft w:val="640"/>
          <w:marRight w:val="0"/>
          <w:marTop w:val="0"/>
          <w:marBottom w:val="0"/>
          <w:divBdr>
            <w:top w:val="none" w:sz="0" w:space="0" w:color="auto"/>
            <w:left w:val="none" w:sz="0" w:space="0" w:color="auto"/>
            <w:bottom w:val="none" w:sz="0" w:space="0" w:color="auto"/>
            <w:right w:val="none" w:sz="0" w:space="0" w:color="auto"/>
          </w:divBdr>
        </w:div>
        <w:div w:id="4989545">
          <w:marLeft w:val="640"/>
          <w:marRight w:val="0"/>
          <w:marTop w:val="0"/>
          <w:marBottom w:val="0"/>
          <w:divBdr>
            <w:top w:val="none" w:sz="0" w:space="0" w:color="auto"/>
            <w:left w:val="none" w:sz="0" w:space="0" w:color="auto"/>
            <w:bottom w:val="none" w:sz="0" w:space="0" w:color="auto"/>
            <w:right w:val="none" w:sz="0" w:space="0" w:color="auto"/>
          </w:divBdr>
        </w:div>
        <w:div w:id="1421365316">
          <w:marLeft w:val="640"/>
          <w:marRight w:val="0"/>
          <w:marTop w:val="0"/>
          <w:marBottom w:val="0"/>
          <w:divBdr>
            <w:top w:val="none" w:sz="0" w:space="0" w:color="auto"/>
            <w:left w:val="none" w:sz="0" w:space="0" w:color="auto"/>
            <w:bottom w:val="none" w:sz="0" w:space="0" w:color="auto"/>
            <w:right w:val="none" w:sz="0" w:space="0" w:color="auto"/>
          </w:divBdr>
        </w:div>
        <w:div w:id="1488355184">
          <w:marLeft w:val="640"/>
          <w:marRight w:val="0"/>
          <w:marTop w:val="0"/>
          <w:marBottom w:val="0"/>
          <w:divBdr>
            <w:top w:val="none" w:sz="0" w:space="0" w:color="auto"/>
            <w:left w:val="none" w:sz="0" w:space="0" w:color="auto"/>
            <w:bottom w:val="none" w:sz="0" w:space="0" w:color="auto"/>
            <w:right w:val="none" w:sz="0" w:space="0" w:color="auto"/>
          </w:divBdr>
        </w:div>
        <w:div w:id="390887246">
          <w:marLeft w:val="640"/>
          <w:marRight w:val="0"/>
          <w:marTop w:val="0"/>
          <w:marBottom w:val="0"/>
          <w:divBdr>
            <w:top w:val="none" w:sz="0" w:space="0" w:color="auto"/>
            <w:left w:val="none" w:sz="0" w:space="0" w:color="auto"/>
            <w:bottom w:val="none" w:sz="0" w:space="0" w:color="auto"/>
            <w:right w:val="none" w:sz="0" w:space="0" w:color="auto"/>
          </w:divBdr>
        </w:div>
        <w:div w:id="381247998">
          <w:marLeft w:val="640"/>
          <w:marRight w:val="0"/>
          <w:marTop w:val="0"/>
          <w:marBottom w:val="0"/>
          <w:divBdr>
            <w:top w:val="none" w:sz="0" w:space="0" w:color="auto"/>
            <w:left w:val="none" w:sz="0" w:space="0" w:color="auto"/>
            <w:bottom w:val="none" w:sz="0" w:space="0" w:color="auto"/>
            <w:right w:val="none" w:sz="0" w:space="0" w:color="auto"/>
          </w:divBdr>
        </w:div>
        <w:div w:id="1231888863">
          <w:marLeft w:val="640"/>
          <w:marRight w:val="0"/>
          <w:marTop w:val="0"/>
          <w:marBottom w:val="0"/>
          <w:divBdr>
            <w:top w:val="none" w:sz="0" w:space="0" w:color="auto"/>
            <w:left w:val="none" w:sz="0" w:space="0" w:color="auto"/>
            <w:bottom w:val="none" w:sz="0" w:space="0" w:color="auto"/>
            <w:right w:val="none" w:sz="0" w:space="0" w:color="auto"/>
          </w:divBdr>
        </w:div>
        <w:div w:id="1224218829">
          <w:marLeft w:val="640"/>
          <w:marRight w:val="0"/>
          <w:marTop w:val="0"/>
          <w:marBottom w:val="0"/>
          <w:divBdr>
            <w:top w:val="none" w:sz="0" w:space="0" w:color="auto"/>
            <w:left w:val="none" w:sz="0" w:space="0" w:color="auto"/>
            <w:bottom w:val="none" w:sz="0" w:space="0" w:color="auto"/>
            <w:right w:val="none" w:sz="0" w:space="0" w:color="auto"/>
          </w:divBdr>
        </w:div>
        <w:div w:id="1622149819">
          <w:marLeft w:val="640"/>
          <w:marRight w:val="0"/>
          <w:marTop w:val="0"/>
          <w:marBottom w:val="0"/>
          <w:divBdr>
            <w:top w:val="none" w:sz="0" w:space="0" w:color="auto"/>
            <w:left w:val="none" w:sz="0" w:space="0" w:color="auto"/>
            <w:bottom w:val="none" w:sz="0" w:space="0" w:color="auto"/>
            <w:right w:val="none" w:sz="0" w:space="0" w:color="auto"/>
          </w:divBdr>
        </w:div>
        <w:div w:id="54861618">
          <w:marLeft w:val="640"/>
          <w:marRight w:val="0"/>
          <w:marTop w:val="0"/>
          <w:marBottom w:val="0"/>
          <w:divBdr>
            <w:top w:val="none" w:sz="0" w:space="0" w:color="auto"/>
            <w:left w:val="none" w:sz="0" w:space="0" w:color="auto"/>
            <w:bottom w:val="none" w:sz="0" w:space="0" w:color="auto"/>
            <w:right w:val="none" w:sz="0" w:space="0" w:color="auto"/>
          </w:divBdr>
        </w:div>
        <w:div w:id="803934582">
          <w:marLeft w:val="640"/>
          <w:marRight w:val="0"/>
          <w:marTop w:val="0"/>
          <w:marBottom w:val="0"/>
          <w:divBdr>
            <w:top w:val="none" w:sz="0" w:space="0" w:color="auto"/>
            <w:left w:val="none" w:sz="0" w:space="0" w:color="auto"/>
            <w:bottom w:val="none" w:sz="0" w:space="0" w:color="auto"/>
            <w:right w:val="none" w:sz="0" w:space="0" w:color="auto"/>
          </w:divBdr>
        </w:div>
        <w:div w:id="1878348616">
          <w:marLeft w:val="640"/>
          <w:marRight w:val="0"/>
          <w:marTop w:val="0"/>
          <w:marBottom w:val="0"/>
          <w:divBdr>
            <w:top w:val="none" w:sz="0" w:space="0" w:color="auto"/>
            <w:left w:val="none" w:sz="0" w:space="0" w:color="auto"/>
            <w:bottom w:val="none" w:sz="0" w:space="0" w:color="auto"/>
            <w:right w:val="none" w:sz="0" w:space="0" w:color="auto"/>
          </w:divBdr>
        </w:div>
        <w:div w:id="635797095">
          <w:marLeft w:val="640"/>
          <w:marRight w:val="0"/>
          <w:marTop w:val="0"/>
          <w:marBottom w:val="0"/>
          <w:divBdr>
            <w:top w:val="none" w:sz="0" w:space="0" w:color="auto"/>
            <w:left w:val="none" w:sz="0" w:space="0" w:color="auto"/>
            <w:bottom w:val="none" w:sz="0" w:space="0" w:color="auto"/>
            <w:right w:val="none" w:sz="0" w:space="0" w:color="auto"/>
          </w:divBdr>
        </w:div>
        <w:div w:id="1966354112">
          <w:marLeft w:val="640"/>
          <w:marRight w:val="0"/>
          <w:marTop w:val="0"/>
          <w:marBottom w:val="0"/>
          <w:divBdr>
            <w:top w:val="none" w:sz="0" w:space="0" w:color="auto"/>
            <w:left w:val="none" w:sz="0" w:space="0" w:color="auto"/>
            <w:bottom w:val="none" w:sz="0" w:space="0" w:color="auto"/>
            <w:right w:val="none" w:sz="0" w:space="0" w:color="auto"/>
          </w:divBdr>
        </w:div>
        <w:div w:id="1436243515">
          <w:marLeft w:val="640"/>
          <w:marRight w:val="0"/>
          <w:marTop w:val="0"/>
          <w:marBottom w:val="0"/>
          <w:divBdr>
            <w:top w:val="none" w:sz="0" w:space="0" w:color="auto"/>
            <w:left w:val="none" w:sz="0" w:space="0" w:color="auto"/>
            <w:bottom w:val="none" w:sz="0" w:space="0" w:color="auto"/>
            <w:right w:val="none" w:sz="0" w:space="0" w:color="auto"/>
          </w:divBdr>
        </w:div>
        <w:div w:id="261960682">
          <w:marLeft w:val="640"/>
          <w:marRight w:val="0"/>
          <w:marTop w:val="0"/>
          <w:marBottom w:val="0"/>
          <w:divBdr>
            <w:top w:val="none" w:sz="0" w:space="0" w:color="auto"/>
            <w:left w:val="none" w:sz="0" w:space="0" w:color="auto"/>
            <w:bottom w:val="none" w:sz="0" w:space="0" w:color="auto"/>
            <w:right w:val="none" w:sz="0" w:space="0" w:color="auto"/>
          </w:divBdr>
        </w:div>
        <w:div w:id="522978946">
          <w:marLeft w:val="640"/>
          <w:marRight w:val="0"/>
          <w:marTop w:val="0"/>
          <w:marBottom w:val="0"/>
          <w:divBdr>
            <w:top w:val="none" w:sz="0" w:space="0" w:color="auto"/>
            <w:left w:val="none" w:sz="0" w:space="0" w:color="auto"/>
            <w:bottom w:val="none" w:sz="0" w:space="0" w:color="auto"/>
            <w:right w:val="none" w:sz="0" w:space="0" w:color="auto"/>
          </w:divBdr>
        </w:div>
        <w:div w:id="1599361470">
          <w:marLeft w:val="640"/>
          <w:marRight w:val="0"/>
          <w:marTop w:val="0"/>
          <w:marBottom w:val="0"/>
          <w:divBdr>
            <w:top w:val="none" w:sz="0" w:space="0" w:color="auto"/>
            <w:left w:val="none" w:sz="0" w:space="0" w:color="auto"/>
            <w:bottom w:val="none" w:sz="0" w:space="0" w:color="auto"/>
            <w:right w:val="none" w:sz="0" w:space="0" w:color="auto"/>
          </w:divBdr>
        </w:div>
        <w:div w:id="1337658930">
          <w:marLeft w:val="640"/>
          <w:marRight w:val="0"/>
          <w:marTop w:val="0"/>
          <w:marBottom w:val="0"/>
          <w:divBdr>
            <w:top w:val="none" w:sz="0" w:space="0" w:color="auto"/>
            <w:left w:val="none" w:sz="0" w:space="0" w:color="auto"/>
            <w:bottom w:val="none" w:sz="0" w:space="0" w:color="auto"/>
            <w:right w:val="none" w:sz="0" w:space="0" w:color="auto"/>
          </w:divBdr>
        </w:div>
        <w:div w:id="21051288">
          <w:marLeft w:val="640"/>
          <w:marRight w:val="0"/>
          <w:marTop w:val="0"/>
          <w:marBottom w:val="0"/>
          <w:divBdr>
            <w:top w:val="none" w:sz="0" w:space="0" w:color="auto"/>
            <w:left w:val="none" w:sz="0" w:space="0" w:color="auto"/>
            <w:bottom w:val="none" w:sz="0" w:space="0" w:color="auto"/>
            <w:right w:val="none" w:sz="0" w:space="0" w:color="auto"/>
          </w:divBdr>
        </w:div>
        <w:div w:id="2145080764">
          <w:marLeft w:val="640"/>
          <w:marRight w:val="0"/>
          <w:marTop w:val="0"/>
          <w:marBottom w:val="0"/>
          <w:divBdr>
            <w:top w:val="none" w:sz="0" w:space="0" w:color="auto"/>
            <w:left w:val="none" w:sz="0" w:space="0" w:color="auto"/>
            <w:bottom w:val="none" w:sz="0" w:space="0" w:color="auto"/>
            <w:right w:val="none" w:sz="0" w:space="0" w:color="auto"/>
          </w:divBdr>
        </w:div>
        <w:div w:id="545484487">
          <w:marLeft w:val="640"/>
          <w:marRight w:val="0"/>
          <w:marTop w:val="0"/>
          <w:marBottom w:val="0"/>
          <w:divBdr>
            <w:top w:val="none" w:sz="0" w:space="0" w:color="auto"/>
            <w:left w:val="none" w:sz="0" w:space="0" w:color="auto"/>
            <w:bottom w:val="none" w:sz="0" w:space="0" w:color="auto"/>
            <w:right w:val="none" w:sz="0" w:space="0" w:color="auto"/>
          </w:divBdr>
        </w:div>
        <w:div w:id="1813282282">
          <w:marLeft w:val="640"/>
          <w:marRight w:val="0"/>
          <w:marTop w:val="0"/>
          <w:marBottom w:val="0"/>
          <w:divBdr>
            <w:top w:val="none" w:sz="0" w:space="0" w:color="auto"/>
            <w:left w:val="none" w:sz="0" w:space="0" w:color="auto"/>
            <w:bottom w:val="none" w:sz="0" w:space="0" w:color="auto"/>
            <w:right w:val="none" w:sz="0" w:space="0" w:color="auto"/>
          </w:divBdr>
        </w:div>
        <w:div w:id="882059560">
          <w:marLeft w:val="640"/>
          <w:marRight w:val="0"/>
          <w:marTop w:val="0"/>
          <w:marBottom w:val="0"/>
          <w:divBdr>
            <w:top w:val="none" w:sz="0" w:space="0" w:color="auto"/>
            <w:left w:val="none" w:sz="0" w:space="0" w:color="auto"/>
            <w:bottom w:val="none" w:sz="0" w:space="0" w:color="auto"/>
            <w:right w:val="none" w:sz="0" w:space="0" w:color="auto"/>
          </w:divBdr>
        </w:div>
        <w:div w:id="100225686">
          <w:marLeft w:val="640"/>
          <w:marRight w:val="0"/>
          <w:marTop w:val="0"/>
          <w:marBottom w:val="0"/>
          <w:divBdr>
            <w:top w:val="none" w:sz="0" w:space="0" w:color="auto"/>
            <w:left w:val="none" w:sz="0" w:space="0" w:color="auto"/>
            <w:bottom w:val="none" w:sz="0" w:space="0" w:color="auto"/>
            <w:right w:val="none" w:sz="0" w:space="0" w:color="auto"/>
          </w:divBdr>
        </w:div>
        <w:div w:id="1365718138">
          <w:marLeft w:val="640"/>
          <w:marRight w:val="0"/>
          <w:marTop w:val="0"/>
          <w:marBottom w:val="0"/>
          <w:divBdr>
            <w:top w:val="none" w:sz="0" w:space="0" w:color="auto"/>
            <w:left w:val="none" w:sz="0" w:space="0" w:color="auto"/>
            <w:bottom w:val="none" w:sz="0" w:space="0" w:color="auto"/>
            <w:right w:val="none" w:sz="0" w:space="0" w:color="auto"/>
          </w:divBdr>
        </w:div>
        <w:div w:id="683827571">
          <w:marLeft w:val="640"/>
          <w:marRight w:val="0"/>
          <w:marTop w:val="0"/>
          <w:marBottom w:val="0"/>
          <w:divBdr>
            <w:top w:val="none" w:sz="0" w:space="0" w:color="auto"/>
            <w:left w:val="none" w:sz="0" w:space="0" w:color="auto"/>
            <w:bottom w:val="none" w:sz="0" w:space="0" w:color="auto"/>
            <w:right w:val="none" w:sz="0" w:space="0" w:color="auto"/>
          </w:divBdr>
        </w:div>
        <w:div w:id="1536115364">
          <w:marLeft w:val="640"/>
          <w:marRight w:val="0"/>
          <w:marTop w:val="0"/>
          <w:marBottom w:val="0"/>
          <w:divBdr>
            <w:top w:val="none" w:sz="0" w:space="0" w:color="auto"/>
            <w:left w:val="none" w:sz="0" w:space="0" w:color="auto"/>
            <w:bottom w:val="none" w:sz="0" w:space="0" w:color="auto"/>
            <w:right w:val="none" w:sz="0" w:space="0" w:color="auto"/>
          </w:divBdr>
        </w:div>
        <w:div w:id="979656703">
          <w:marLeft w:val="640"/>
          <w:marRight w:val="0"/>
          <w:marTop w:val="0"/>
          <w:marBottom w:val="0"/>
          <w:divBdr>
            <w:top w:val="none" w:sz="0" w:space="0" w:color="auto"/>
            <w:left w:val="none" w:sz="0" w:space="0" w:color="auto"/>
            <w:bottom w:val="none" w:sz="0" w:space="0" w:color="auto"/>
            <w:right w:val="none" w:sz="0" w:space="0" w:color="auto"/>
          </w:divBdr>
        </w:div>
        <w:div w:id="378554370">
          <w:marLeft w:val="640"/>
          <w:marRight w:val="0"/>
          <w:marTop w:val="0"/>
          <w:marBottom w:val="0"/>
          <w:divBdr>
            <w:top w:val="none" w:sz="0" w:space="0" w:color="auto"/>
            <w:left w:val="none" w:sz="0" w:space="0" w:color="auto"/>
            <w:bottom w:val="none" w:sz="0" w:space="0" w:color="auto"/>
            <w:right w:val="none" w:sz="0" w:space="0" w:color="auto"/>
          </w:divBdr>
        </w:div>
        <w:div w:id="788209718">
          <w:marLeft w:val="640"/>
          <w:marRight w:val="0"/>
          <w:marTop w:val="0"/>
          <w:marBottom w:val="0"/>
          <w:divBdr>
            <w:top w:val="none" w:sz="0" w:space="0" w:color="auto"/>
            <w:left w:val="none" w:sz="0" w:space="0" w:color="auto"/>
            <w:bottom w:val="none" w:sz="0" w:space="0" w:color="auto"/>
            <w:right w:val="none" w:sz="0" w:space="0" w:color="auto"/>
          </w:divBdr>
        </w:div>
        <w:div w:id="1110321880">
          <w:marLeft w:val="640"/>
          <w:marRight w:val="0"/>
          <w:marTop w:val="0"/>
          <w:marBottom w:val="0"/>
          <w:divBdr>
            <w:top w:val="none" w:sz="0" w:space="0" w:color="auto"/>
            <w:left w:val="none" w:sz="0" w:space="0" w:color="auto"/>
            <w:bottom w:val="none" w:sz="0" w:space="0" w:color="auto"/>
            <w:right w:val="none" w:sz="0" w:space="0" w:color="auto"/>
          </w:divBdr>
        </w:div>
        <w:div w:id="413818662">
          <w:marLeft w:val="640"/>
          <w:marRight w:val="0"/>
          <w:marTop w:val="0"/>
          <w:marBottom w:val="0"/>
          <w:divBdr>
            <w:top w:val="none" w:sz="0" w:space="0" w:color="auto"/>
            <w:left w:val="none" w:sz="0" w:space="0" w:color="auto"/>
            <w:bottom w:val="none" w:sz="0" w:space="0" w:color="auto"/>
            <w:right w:val="none" w:sz="0" w:space="0" w:color="auto"/>
          </w:divBdr>
        </w:div>
        <w:div w:id="957643998">
          <w:marLeft w:val="640"/>
          <w:marRight w:val="0"/>
          <w:marTop w:val="0"/>
          <w:marBottom w:val="0"/>
          <w:divBdr>
            <w:top w:val="none" w:sz="0" w:space="0" w:color="auto"/>
            <w:left w:val="none" w:sz="0" w:space="0" w:color="auto"/>
            <w:bottom w:val="none" w:sz="0" w:space="0" w:color="auto"/>
            <w:right w:val="none" w:sz="0" w:space="0" w:color="auto"/>
          </w:divBdr>
        </w:div>
        <w:div w:id="1530216267">
          <w:marLeft w:val="640"/>
          <w:marRight w:val="0"/>
          <w:marTop w:val="0"/>
          <w:marBottom w:val="0"/>
          <w:divBdr>
            <w:top w:val="none" w:sz="0" w:space="0" w:color="auto"/>
            <w:left w:val="none" w:sz="0" w:space="0" w:color="auto"/>
            <w:bottom w:val="none" w:sz="0" w:space="0" w:color="auto"/>
            <w:right w:val="none" w:sz="0" w:space="0" w:color="auto"/>
          </w:divBdr>
        </w:div>
        <w:div w:id="1805464267">
          <w:marLeft w:val="640"/>
          <w:marRight w:val="0"/>
          <w:marTop w:val="0"/>
          <w:marBottom w:val="0"/>
          <w:divBdr>
            <w:top w:val="none" w:sz="0" w:space="0" w:color="auto"/>
            <w:left w:val="none" w:sz="0" w:space="0" w:color="auto"/>
            <w:bottom w:val="none" w:sz="0" w:space="0" w:color="auto"/>
            <w:right w:val="none" w:sz="0" w:space="0" w:color="auto"/>
          </w:divBdr>
        </w:div>
        <w:div w:id="1168132726">
          <w:marLeft w:val="640"/>
          <w:marRight w:val="0"/>
          <w:marTop w:val="0"/>
          <w:marBottom w:val="0"/>
          <w:divBdr>
            <w:top w:val="none" w:sz="0" w:space="0" w:color="auto"/>
            <w:left w:val="none" w:sz="0" w:space="0" w:color="auto"/>
            <w:bottom w:val="none" w:sz="0" w:space="0" w:color="auto"/>
            <w:right w:val="none" w:sz="0" w:space="0" w:color="auto"/>
          </w:divBdr>
        </w:div>
        <w:div w:id="1158225089">
          <w:marLeft w:val="640"/>
          <w:marRight w:val="0"/>
          <w:marTop w:val="0"/>
          <w:marBottom w:val="0"/>
          <w:divBdr>
            <w:top w:val="none" w:sz="0" w:space="0" w:color="auto"/>
            <w:left w:val="none" w:sz="0" w:space="0" w:color="auto"/>
            <w:bottom w:val="none" w:sz="0" w:space="0" w:color="auto"/>
            <w:right w:val="none" w:sz="0" w:space="0" w:color="auto"/>
          </w:divBdr>
        </w:div>
        <w:div w:id="1999798033">
          <w:marLeft w:val="640"/>
          <w:marRight w:val="0"/>
          <w:marTop w:val="0"/>
          <w:marBottom w:val="0"/>
          <w:divBdr>
            <w:top w:val="none" w:sz="0" w:space="0" w:color="auto"/>
            <w:left w:val="none" w:sz="0" w:space="0" w:color="auto"/>
            <w:bottom w:val="none" w:sz="0" w:space="0" w:color="auto"/>
            <w:right w:val="none" w:sz="0" w:space="0" w:color="auto"/>
          </w:divBdr>
        </w:div>
        <w:div w:id="1915703860">
          <w:marLeft w:val="640"/>
          <w:marRight w:val="0"/>
          <w:marTop w:val="0"/>
          <w:marBottom w:val="0"/>
          <w:divBdr>
            <w:top w:val="none" w:sz="0" w:space="0" w:color="auto"/>
            <w:left w:val="none" w:sz="0" w:space="0" w:color="auto"/>
            <w:bottom w:val="none" w:sz="0" w:space="0" w:color="auto"/>
            <w:right w:val="none" w:sz="0" w:space="0" w:color="auto"/>
          </w:divBdr>
        </w:div>
        <w:div w:id="511530783">
          <w:marLeft w:val="640"/>
          <w:marRight w:val="0"/>
          <w:marTop w:val="0"/>
          <w:marBottom w:val="0"/>
          <w:divBdr>
            <w:top w:val="none" w:sz="0" w:space="0" w:color="auto"/>
            <w:left w:val="none" w:sz="0" w:space="0" w:color="auto"/>
            <w:bottom w:val="none" w:sz="0" w:space="0" w:color="auto"/>
            <w:right w:val="none" w:sz="0" w:space="0" w:color="auto"/>
          </w:divBdr>
        </w:div>
        <w:div w:id="1024598745">
          <w:marLeft w:val="640"/>
          <w:marRight w:val="0"/>
          <w:marTop w:val="0"/>
          <w:marBottom w:val="0"/>
          <w:divBdr>
            <w:top w:val="none" w:sz="0" w:space="0" w:color="auto"/>
            <w:left w:val="none" w:sz="0" w:space="0" w:color="auto"/>
            <w:bottom w:val="none" w:sz="0" w:space="0" w:color="auto"/>
            <w:right w:val="none" w:sz="0" w:space="0" w:color="auto"/>
          </w:divBdr>
        </w:div>
        <w:div w:id="1614676401">
          <w:marLeft w:val="640"/>
          <w:marRight w:val="0"/>
          <w:marTop w:val="0"/>
          <w:marBottom w:val="0"/>
          <w:divBdr>
            <w:top w:val="none" w:sz="0" w:space="0" w:color="auto"/>
            <w:left w:val="none" w:sz="0" w:space="0" w:color="auto"/>
            <w:bottom w:val="none" w:sz="0" w:space="0" w:color="auto"/>
            <w:right w:val="none" w:sz="0" w:space="0" w:color="auto"/>
          </w:divBdr>
        </w:div>
        <w:div w:id="377362233">
          <w:marLeft w:val="640"/>
          <w:marRight w:val="0"/>
          <w:marTop w:val="0"/>
          <w:marBottom w:val="0"/>
          <w:divBdr>
            <w:top w:val="none" w:sz="0" w:space="0" w:color="auto"/>
            <w:left w:val="none" w:sz="0" w:space="0" w:color="auto"/>
            <w:bottom w:val="none" w:sz="0" w:space="0" w:color="auto"/>
            <w:right w:val="none" w:sz="0" w:space="0" w:color="auto"/>
          </w:divBdr>
        </w:div>
        <w:div w:id="1532718967">
          <w:marLeft w:val="640"/>
          <w:marRight w:val="0"/>
          <w:marTop w:val="0"/>
          <w:marBottom w:val="0"/>
          <w:divBdr>
            <w:top w:val="none" w:sz="0" w:space="0" w:color="auto"/>
            <w:left w:val="none" w:sz="0" w:space="0" w:color="auto"/>
            <w:bottom w:val="none" w:sz="0" w:space="0" w:color="auto"/>
            <w:right w:val="none" w:sz="0" w:space="0" w:color="auto"/>
          </w:divBdr>
        </w:div>
      </w:divsChild>
    </w:div>
    <w:div w:id="588661776">
      <w:bodyDiv w:val="1"/>
      <w:marLeft w:val="0"/>
      <w:marRight w:val="0"/>
      <w:marTop w:val="0"/>
      <w:marBottom w:val="0"/>
      <w:divBdr>
        <w:top w:val="none" w:sz="0" w:space="0" w:color="auto"/>
        <w:left w:val="none" w:sz="0" w:space="0" w:color="auto"/>
        <w:bottom w:val="none" w:sz="0" w:space="0" w:color="auto"/>
        <w:right w:val="none" w:sz="0" w:space="0" w:color="auto"/>
      </w:divBdr>
      <w:divsChild>
        <w:div w:id="1255169954">
          <w:marLeft w:val="640"/>
          <w:marRight w:val="0"/>
          <w:marTop w:val="0"/>
          <w:marBottom w:val="0"/>
          <w:divBdr>
            <w:top w:val="none" w:sz="0" w:space="0" w:color="auto"/>
            <w:left w:val="none" w:sz="0" w:space="0" w:color="auto"/>
            <w:bottom w:val="none" w:sz="0" w:space="0" w:color="auto"/>
            <w:right w:val="none" w:sz="0" w:space="0" w:color="auto"/>
          </w:divBdr>
        </w:div>
        <w:div w:id="416175250">
          <w:marLeft w:val="640"/>
          <w:marRight w:val="0"/>
          <w:marTop w:val="0"/>
          <w:marBottom w:val="0"/>
          <w:divBdr>
            <w:top w:val="none" w:sz="0" w:space="0" w:color="auto"/>
            <w:left w:val="none" w:sz="0" w:space="0" w:color="auto"/>
            <w:bottom w:val="none" w:sz="0" w:space="0" w:color="auto"/>
            <w:right w:val="none" w:sz="0" w:space="0" w:color="auto"/>
          </w:divBdr>
        </w:div>
        <w:div w:id="1270889613">
          <w:marLeft w:val="640"/>
          <w:marRight w:val="0"/>
          <w:marTop w:val="0"/>
          <w:marBottom w:val="0"/>
          <w:divBdr>
            <w:top w:val="none" w:sz="0" w:space="0" w:color="auto"/>
            <w:left w:val="none" w:sz="0" w:space="0" w:color="auto"/>
            <w:bottom w:val="none" w:sz="0" w:space="0" w:color="auto"/>
            <w:right w:val="none" w:sz="0" w:space="0" w:color="auto"/>
          </w:divBdr>
        </w:div>
        <w:div w:id="931209342">
          <w:marLeft w:val="640"/>
          <w:marRight w:val="0"/>
          <w:marTop w:val="0"/>
          <w:marBottom w:val="0"/>
          <w:divBdr>
            <w:top w:val="none" w:sz="0" w:space="0" w:color="auto"/>
            <w:left w:val="none" w:sz="0" w:space="0" w:color="auto"/>
            <w:bottom w:val="none" w:sz="0" w:space="0" w:color="auto"/>
            <w:right w:val="none" w:sz="0" w:space="0" w:color="auto"/>
          </w:divBdr>
        </w:div>
        <w:div w:id="279000493">
          <w:marLeft w:val="640"/>
          <w:marRight w:val="0"/>
          <w:marTop w:val="0"/>
          <w:marBottom w:val="0"/>
          <w:divBdr>
            <w:top w:val="none" w:sz="0" w:space="0" w:color="auto"/>
            <w:left w:val="none" w:sz="0" w:space="0" w:color="auto"/>
            <w:bottom w:val="none" w:sz="0" w:space="0" w:color="auto"/>
            <w:right w:val="none" w:sz="0" w:space="0" w:color="auto"/>
          </w:divBdr>
        </w:div>
        <w:div w:id="1772385570">
          <w:marLeft w:val="640"/>
          <w:marRight w:val="0"/>
          <w:marTop w:val="0"/>
          <w:marBottom w:val="0"/>
          <w:divBdr>
            <w:top w:val="none" w:sz="0" w:space="0" w:color="auto"/>
            <w:left w:val="none" w:sz="0" w:space="0" w:color="auto"/>
            <w:bottom w:val="none" w:sz="0" w:space="0" w:color="auto"/>
            <w:right w:val="none" w:sz="0" w:space="0" w:color="auto"/>
          </w:divBdr>
        </w:div>
        <w:div w:id="1747260327">
          <w:marLeft w:val="640"/>
          <w:marRight w:val="0"/>
          <w:marTop w:val="0"/>
          <w:marBottom w:val="0"/>
          <w:divBdr>
            <w:top w:val="none" w:sz="0" w:space="0" w:color="auto"/>
            <w:left w:val="none" w:sz="0" w:space="0" w:color="auto"/>
            <w:bottom w:val="none" w:sz="0" w:space="0" w:color="auto"/>
            <w:right w:val="none" w:sz="0" w:space="0" w:color="auto"/>
          </w:divBdr>
        </w:div>
        <w:div w:id="2070423908">
          <w:marLeft w:val="640"/>
          <w:marRight w:val="0"/>
          <w:marTop w:val="0"/>
          <w:marBottom w:val="0"/>
          <w:divBdr>
            <w:top w:val="none" w:sz="0" w:space="0" w:color="auto"/>
            <w:left w:val="none" w:sz="0" w:space="0" w:color="auto"/>
            <w:bottom w:val="none" w:sz="0" w:space="0" w:color="auto"/>
            <w:right w:val="none" w:sz="0" w:space="0" w:color="auto"/>
          </w:divBdr>
        </w:div>
        <w:div w:id="532839912">
          <w:marLeft w:val="640"/>
          <w:marRight w:val="0"/>
          <w:marTop w:val="0"/>
          <w:marBottom w:val="0"/>
          <w:divBdr>
            <w:top w:val="none" w:sz="0" w:space="0" w:color="auto"/>
            <w:left w:val="none" w:sz="0" w:space="0" w:color="auto"/>
            <w:bottom w:val="none" w:sz="0" w:space="0" w:color="auto"/>
            <w:right w:val="none" w:sz="0" w:space="0" w:color="auto"/>
          </w:divBdr>
        </w:div>
        <w:div w:id="1920944823">
          <w:marLeft w:val="640"/>
          <w:marRight w:val="0"/>
          <w:marTop w:val="0"/>
          <w:marBottom w:val="0"/>
          <w:divBdr>
            <w:top w:val="none" w:sz="0" w:space="0" w:color="auto"/>
            <w:left w:val="none" w:sz="0" w:space="0" w:color="auto"/>
            <w:bottom w:val="none" w:sz="0" w:space="0" w:color="auto"/>
            <w:right w:val="none" w:sz="0" w:space="0" w:color="auto"/>
          </w:divBdr>
        </w:div>
        <w:div w:id="107967325">
          <w:marLeft w:val="640"/>
          <w:marRight w:val="0"/>
          <w:marTop w:val="0"/>
          <w:marBottom w:val="0"/>
          <w:divBdr>
            <w:top w:val="none" w:sz="0" w:space="0" w:color="auto"/>
            <w:left w:val="none" w:sz="0" w:space="0" w:color="auto"/>
            <w:bottom w:val="none" w:sz="0" w:space="0" w:color="auto"/>
            <w:right w:val="none" w:sz="0" w:space="0" w:color="auto"/>
          </w:divBdr>
        </w:div>
        <w:div w:id="886185142">
          <w:marLeft w:val="640"/>
          <w:marRight w:val="0"/>
          <w:marTop w:val="0"/>
          <w:marBottom w:val="0"/>
          <w:divBdr>
            <w:top w:val="none" w:sz="0" w:space="0" w:color="auto"/>
            <w:left w:val="none" w:sz="0" w:space="0" w:color="auto"/>
            <w:bottom w:val="none" w:sz="0" w:space="0" w:color="auto"/>
            <w:right w:val="none" w:sz="0" w:space="0" w:color="auto"/>
          </w:divBdr>
        </w:div>
        <w:div w:id="940382974">
          <w:marLeft w:val="640"/>
          <w:marRight w:val="0"/>
          <w:marTop w:val="0"/>
          <w:marBottom w:val="0"/>
          <w:divBdr>
            <w:top w:val="none" w:sz="0" w:space="0" w:color="auto"/>
            <w:left w:val="none" w:sz="0" w:space="0" w:color="auto"/>
            <w:bottom w:val="none" w:sz="0" w:space="0" w:color="auto"/>
            <w:right w:val="none" w:sz="0" w:space="0" w:color="auto"/>
          </w:divBdr>
        </w:div>
      </w:divsChild>
    </w:div>
    <w:div w:id="594242467">
      <w:bodyDiv w:val="1"/>
      <w:marLeft w:val="0"/>
      <w:marRight w:val="0"/>
      <w:marTop w:val="0"/>
      <w:marBottom w:val="0"/>
      <w:divBdr>
        <w:top w:val="none" w:sz="0" w:space="0" w:color="auto"/>
        <w:left w:val="none" w:sz="0" w:space="0" w:color="auto"/>
        <w:bottom w:val="none" w:sz="0" w:space="0" w:color="auto"/>
        <w:right w:val="none" w:sz="0" w:space="0" w:color="auto"/>
      </w:divBdr>
      <w:divsChild>
        <w:div w:id="842941305">
          <w:marLeft w:val="640"/>
          <w:marRight w:val="0"/>
          <w:marTop w:val="0"/>
          <w:marBottom w:val="0"/>
          <w:divBdr>
            <w:top w:val="none" w:sz="0" w:space="0" w:color="auto"/>
            <w:left w:val="none" w:sz="0" w:space="0" w:color="auto"/>
            <w:bottom w:val="none" w:sz="0" w:space="0" w:color="auto"/>
            <w:right w:val="none" w:sz="0" w:space="0" w:color="auto"/>
          </w:divBdr>
        </w:div>
        <w:div w:id="606349105">
          <w:marLeft w:val="640"/>
          <w:marRight w:val="0"/>
          <w:marTop w:val="0"/>
          <w:marBottom w:val="0"/>
          <w:divBdr>
            <w:top w:val="none" w:sz="0" w:space="0" w:color="auto"/>
            <w:left w:val="none" w:sz="0" w:space="0" w:color="auto"/>
            <w:bottom w:val="none" w:sz="0" w:space="0" w:color="auto"/>
            <w:right w:val="none" w:sz="0" w:space="0" w:color="auto"/>
          </w:divBdr>
        </w:div>
        <w:div w:id="653535927">
          <w:marLeft w:val="640"/>
          <w:marRight w:val="0"/>
          <w:marTop w:val="0"/>
          <w:marBottom w:val="0"/>
          <w:divBdr>
            <w:top w:val="none" w:sz="0" w:space="0" w:color="auto"/>
            <w:left w:val="none" w:sz="0" w:space="0" w:color="auto"/>
            <w:bottom w:val="none" w:sz="0" w:space="0" w:color="auto"/>
            <w:right w:val="none" w:sz="0" w:space="0" w:color="auto"/>
          </w:divBdr>
        </w:div>
        <w:div w:id="60106029">
          <w:marLeft w:val="640"/>
          <w:marRight w:val="0"/>
          <w:marTop w:val="0"/>
          <w:marBottom w:val="0"/>
          <w:divBdr>
            <w:top w:val="none" w:sz="0" w:space="0" w:color="auto"/>
            <w:left w:val="none" w:sz="0" w:space="0" w:color="auto"/>
            <w:bottom w:val="none" w:sz="0" w:space="0" w:color="auto"/>
            <w:right w:val="none" w:sz="0" w:space="0" w:color="auto"/>
          </w:divBdr>
        </w:div>
        <w:div w:id="99842940">
          <w:marLeft w:val="640"/>
          <w:marRight w:val="0"/>
          <w:marTop w:val="0"/>
          <w:marBottom w:val="0"/>
          <w:divBdr>
            <w:top w:val="none" w:sz="0" w:space="0" w:color="auto"/>
            <w:left w:val="none" w:sz="0" w:space="0" w:color="auto"/>
            <w:bottom w:val="none" w:sz="0" w:space="0" w:color="auto"/>
            <w:right w:val="none" w:sz="0" w:space="0" w:color="auto"/>
          </w:divBdr>
        </w:div>
        <w:div w:id="1547639323">
          <w:marLeft w:val="640"/>
          <w:marRight w:val="0"/>
          <w:marTop w:val="0"/>
          <w:marBottom w:val="0"/>
          <w:divBdr>
            <w:top w:val="none" w:sz="0" w:space="0" w:color="auto"/>
            <w:left w:val="none" w:sz="0" w:space="0" w:color="auto"/>
            <w:bottom w:val="none" w:sz="0" w:space="0" w:color="auto"/>
            <w:right w:val="none" w:sz="0" w:space="0" w:color="auto"/>
          </w:divBdr>
        </w:div>
        <w:div w:id="1528642443">
          <w:marLeft w:val="640"/>
          <w:marRight w:val="0"/>
          <w:marTop w:val="0"/>
          <w:marBottom w:val="0"/>
          <w:divBdr>
            <w:top w:val="none" w:sz="0" w:space="0" w:color="auto"/>
            <w:left w:val="none" w:sz="0" w:space="0" w:color="auto"/>
            <w:bottom w:val="none" w:sz="0" w:space="0" w:color="auto"/>
            <w:right w:val="none" w:sz="0" w:space="0" w:color="auto"/>
          </w:divBdr>
        </w:div>
        <w:div w:id="1698119690">
          <w:marLeft w:val="640"/>
          <w:marRight w:val="0"/>
          <w:marTop w:val="0"/>
          <w:marBottom w:val="0"/>
          <w:divBdr>
            <w:top w:val="none" w:sz="0" w:space="0" w:color="auto"/>
            <w:left w:val="none" w:sz="0" w:space="0" w:color="auto"/>
            <w:bottom w:val="none" w:sz="0" w:space="0" w:color="auto"/>
            <w:right w:val="none" w:sz="0" w:space="0" w:color="auto"/>
          </w:divBdr>
        </w:div>
        <w:div w:id="803086968">
          <w:marLeft w:val="640"/>
          <w:marRight w:val="0"/>
          <w:marTop w:val="0"/>
          <w:marBottom w:val="0"/>
          <w:divBdr>
            <w:top w:val="none" w:sz="0" w:space="0" w:color="auto"/>
            <w:left w:val="none" w:sz="0" w:space="0" w:color="auto"/>
            <w:bottom w:val="none" w:sz="0" w:space="0" w:color="auto"/>
            <w:right w:val="none" w:sz="0" w:space="0" w:color="auto"/>
          </w:divBdr>
        </w:div>
        <w:div w:id="1368600906">
          <w:marLeft w:val="640"/>
          <w:marRight w:val="0"/>
          <w:marTop w:val="0"/>
          <w:marBottom w:val="0"/>
          <w:divBdr>
            <w:top w:val="none" w:sz="0" w:space="0" w:color="auto"/>
            <w:left w:val="none" w:sz="0" w:space="0" w:color="auto"/>
            <w:bottom w:val="none" w:sz="0" w:space="0" w:color="auto"/>
            <w:right w:val="none" w:sz="0" w:space="0" w:color="auto"/>
          </w:divBdr>
        </w:div>
        <w:div w:id="1846438702">
          <w:marLeft w:val="640"/>
          <w:marRight w:val="0"/>
          <w:marTop w:val="0"/>
          <w:marBottom w:val="0"/>
          <w:divBdr>
            <w:top w:val="none" w:sz="0" w:space="0" w:color="auto"/>
            <w:left w:val="none" w:sz="0" w:space="0" w:color="auto"/>
            <w:bottom w:val="none" w:sz="0" w:space="0" w:color="auto"/>
            <w:right w:val="none" w:sz="0" w:space="0" w:color="auto"/>
          </w:divBdr>
        </w:div>
        <w:div w:id="2100176447">
          <w:marLeft w:val="640"/>
          <w:marRight w:val="0"/>
          <w:marTop w:val="0"/>
          <w:marBottom w:val="0"/>
          <w:divBdr>
            <w:top w:val="none" w:sz="0" w:space="0" w:color="auto"/>
            <w:left w:val="none" w:sz="0" w:space="0" w:color="auto"/>
            <w:bottom w:val="none" w:sz="0" w:space="0" w:color="auto"/>
            <w:right w:val="none" w:sz="0" w:space="0" w:color="auto"/>
          </w:divBdr>
        </w:div>
        <w:div w:id="1770735198">
          <w:marLeft w:val="640"/>
          <w:marRight w:val="0"/>
          <w:marTop w:val="0"/>
          <w:marBottom w:val="0"/>
          <w:divBdr>
            <w:top w:val="none" w:sz="0" w:space="0" w:color="auto"/>
            <w:left w:val="none" w:sz="0" w:space="0" w:color="auto"/>
            <w:bottom w:val="none" w:sz="0" w:space="0" w:color="auto"/>
            <w:right w:val="none" w:sz="0" w:space="0" w:color="auto"/>
          </w:divBdr>
        </w:div>
        <w:div w:id="577058416">
          <w:marLeft w:val="640"/>
          <w:marRight w:val="0"/>
          <w:marTop w:val="0"/>
          <w:marBottom w:val="0"/>
          <w:divBdr>
            <w:top w:val="none" w:sz="0" w:space="0" w:color="auto"/>
            <w:left w:val="none" w:sz="0" w:space="0" w:color="auto"/>
            <w:bottom w:val="none" w:sz="0" w:space="0" w:color="auto"/>
            <w:right w:val="none" w:sz="0" w:space="0" w:color="auto"/>
          </w:divBdr>
        </w:div>
        <w:div w:id="2037808164">
          <w:marLeft w:val="640"/>
          <w:marRight w:val="0"/>
          <w:marTop w:val="0"/>
          <w:marBottom w:val="0"/>
          <w:divBdr>
            <w:top w:val="none" w:sz="0" w:space="0" w:color="auto"/>
            <w:left w:val="none" w:sz="0" w:space="0" w:color="auto"/>
            <w:bottom w:val="none" w:sz="0" w:space="0" w:color="auto"/>
            <w:right w:val="none" w:sz="0" w:space="0" w:color="auto"/>
          </w:divBdr>
        </w:div>
        <w:div w:id="1571426784">
          <w:marLeft w:val="640"/>
          <w:marRight w:val="0"/>
          <w:marTop w:val="0"/>
          <w:marBottom w:val="0"/>
          <w:divBdr>
            <w:top w:val="none" w:sz="0" w:space="0" w:color="auto"/>
            <w:left w:val="none" w:sz="0" w:space="0" w:color="auto"/>
            <w:bottom w:val="none" w:sz="0" w:space="0" w:color="auto"/>
            <w:right w:val="none" w:sz="0" w:space="0" w:color="auto"/>
          </w:divBdr>
        </w:div>
        <w:div w:id="582375035">
          <w:marLeft w:val="640"/>
          <w:marRight w:val="0"/>
          <w:marTop w:val="0"/>
          <w:marBottom w:val="0"/>
          <w:divBdr>
            <w:top w:val="none" w:sz="0" w:space="0" w:color="auto"/>
            <w:left w:val="none" w:sz="0" w:space="0" w:color="auto"/>
            <w:bottom w:val="none" w:sz="0" w:space="0" w:color="auto"/>
            <w:right w:val="none" w:sz="0" w:space="0" w:color="auto"/>
          </w:divBdr>
        </w:div>
        <w:div w:id="1456560535">
          <w:marLeft w:val="640"/>
          <w:marRight w:val="0"/>
          <w:marTop w:val="0"/>
          <w:marBottom w:val="0"/>
          <w:divBdr>
            <w:top w:val="none" w:sz="0" w:space="0" w:color="auto"/>
            <w:left w:val="none" w:sz="0" w:space="0" w:color="auto"/>
            <w:bottom w:val="none" w:sz="0" w:space="0" w:color="auto"/>
            <w:right w:val="none" w:sz="0" w:space="0" w:color="auto"/>
          </w:divBdr>
        </w:div>
        <w:div w:id="1630433383">
          <w:marLeft w:val="640"/>
          <w:marRight w:val="0"/>
          <w:marTop w:val="0"/>
          <w:marBottom w:val="0"/>
          <w:divBdr>
            <w:top w:val="none" w:sz="0" w:space="0" w:color="auto"/>
            <w:left w:val="none" w:sz="0" w:space="0" w:color="auto"/>
            <w:bottom w:val="none" w:sz="0" w:space="0" w:color="auto"/>
            <w:right w:val="none" w:sz="0" w:space="0" w:color="auto"/>
          </w:divBdr>
        </w:div>
        <w:div w:id="1335456372">
          <w:marLeft w:val="640"/>
          <w:marRight w:val="0"/>
          <w:marTop w:val="0"/>
          <w:marBottom w:val="0"/>
          <w:divBdr>
            <w:top w:val="none" w:sz="0" w:space="0" w:color="auto"/>
            <w:left w:val="none" w:sz="0" w:space="0" w:color="auto"/>
            <w:bottom w:val="none" w:sz="0" w:space="0" w:color="auto"/>
            <w:right w:val="none" w:sz="0" w:space="0" w:color="auto"/>
          </w:divBdr>
        </w:div>
        <w:div w:id="28991203">
          <w:marLeft w:val="640"/>
          <w:marRight w:val="0"/>
          <w:marTop w:val="0"/>
          <w:marBottom w:val="0"/>
          <w:divBdr>
            <w:top w:val="none" w:sz="0" w:space="0" w:color="auto"/>
            <w:left w:val="none" w:sz="0" w:space="0" w:color="auto"/>
            <w:bottom w:val="none" w:sz="0" w:space="0" w:color="auto"/>
            <w:right w:val="none" w:sz="0" w:space="0" w:color="auto"/>
          </w:divBdr>
        </w:div>
        <w:div w:id="1284537003">
          <w:marLeft w:val="640"/>
          <w:marRight w:val="0"/>
          <w:marTop w:val="0"/>
          <w:marBottom w:val="0"/>
          <w:divBdr>
            <w:top w:val="none" w:sz="0" w:space="0" w:color="auto"/>
            <w:left w:val="none" w:sz="0" w:space="0" w:color="auto"/>
            <w:bottom w:val="none" w:sz="0" w:space="0" w:color="auto"/>
            <w:right w:val="none" w:sz="0" w:space="0" w:color="auto"/>
          </w:divBdr>
        </w:div>
        <w:div w:id="594287488">
          <w:marLeft w:val="640"/>
          <w:marRight w:val="0"/>
          <w:marTop w:val="0"/>
          <w:marBottom w:val="0"/>
          <w:divBdr>
            <w:top w:val="none" w:sz="0" w:space="0" w:color="auto"/>
            <w:left w:val="none" w:sz="0" w:space="0" w:color="auto"/>
            <w:bottom w:val="none" w:sz="0" w:space="0" w:color="auto"/>
            <w:right w:val="none" w:sz="0" w:space="0" w:color="auto"/>
          </w:divBdr>
        </w:div>
        <w:div w:id="1024328559">
          <w:marLeft w:val="640"/>
          <w:marRight w:val="0"/>
          <w:marTop w:val="0"/>
          <w:marBottom w:val="0"/>
          <w:divBdr>
            <w:top w:val="none" w:sz="0" w:space="0" w:color="auto"/>
            <w:left w:val="none" w:sz="0" w:space="0" w:color="auto"/>
            <w:bottom w:val="none" w:sz="0" w:space="0" w:color="auto"/>
            <w:right w:val="none" w:sz="0" w:space="0" w:color="auto"/>
          </w:divBdr>
        </w:div>
        <w:div w:id="177930730">
          <w:marLeft w:val="640"/>
          <w:marRight w:val="0"/>
          <w:marTop w:val="0"/>
          <w:marBottom w:val="0"/>
          <w:divBdr>
            <w:top w:val="none" w:sz="0" w:space="0" w:color="auto"/>
            <w:left w:val="none" w:sz="0" w:space="0" w:color="auto"/>
            <w:bottom w:val="none" w:sz="0" w:space="0" w:color="auto"/>
            <w:right w:val="none" w:sz="0" w:space="0" w:color="auto"/>
          </w:divBdr>
        </w:div>
        <w:div w:id="273054865">
          <w:marLeft w:val="640"/>
          <w:marRight w:val="0"/>
          <w:marTop w:val="0"/>
          <w:marBottom w:val="0"/>
          <w:divBdr>
            <w:top w:val="none" w:sz="0" w:space="0" w:color="auto"/>
            <w:left w:val="none" w:sz="0" w:space="0" w:color="auto"/>
            <w:bottom w:val="none" w:sz="0" w:space="0" w:color="auto"/>
            <w:right w:val="none" w:sz="0" w:space="0" w:color="auto"/>
          </w:divBdr>
        </w:div>
        <w:div w:id="46417993">
          <w:marLeft w:val="640"/>
          <w:marRight w:val="0"/>
          <w:marTop w:val="0"/>
          <w:marBottom w:val="0"/>
          <w:divBdr>
            <w:top w:val="none" w:sz="0" w:space="0" w:color="auto"/>
            <w:left w:val="none" w:sz="0" w:space="0" w:color="auto"/>
            <w:bottom w:val="none" w:sz="0" w:space="0" w:color="auto"/>
            <w:right w:val="none" w:sz="0" w:space="0" w:color="auto"/>
          </w:divBdr>
        </w:div>
        <w:div w:id="754476910">
          <w:marLeft w:val="640"/>
          <w:marRight w:val="0"/>
          <w:marTop w:val="0"/>
          <w:marBottom w:val="0"/>
          <w:divBdr>
            <w:top w:val="none" w:sz="0" w:space="0" w:color="auto"/>
            <w:left w:val="none" w:sz="0" w:space="0" w:color="auto"/>
            <w:bottom w:val="none" w:sz="0" w:space="0" w:color="auto"/>
            <w:right w:val="none" w:sz="0" w:space="0" w:color="auto"/>
          </w:divBdr>
        </w:div>
        <w:div w:id="2110657233">
          <w:marLeft w:val="640"/>
          <w:marRight w:val="0"/>
          <w:marTop w:val="0"/>
          <w:marBottom w:val="0"/>
          <w:divBdr>
            <w:top w:val="none" w:sz="0" w:space="0" w:color="auto"/>
            <w:left w:val="none" w:sz="0" w:space="0" w:color="auto"/>
            <w:bottom w:val="none" w:sz="0" w:space="0" w:color="auto"/>
            <w:right w:val="none" w:sz="0" w:space="0" w:color="auto"/>
          </w:divBdr>
        </w:div>
        <w:div w:id="1231310281">
          <w:marLeft w:val="640"/>
          <w:marRight w:val="0"/>
          <w:marTop w:val="0"/>
          <w:marBottom w:val="0"/>
          <w:divBdr>
            <w:top w:val="none" w:sz="0" w:space="0" w:color="auto"/>
            <w:left w:val="none" w:sz="0" w:space="0" w:color="auto"/>
            <w:bottom w:val="none" w:sz="0" w:space="0" w:color="auto"/>
            <w:right w:val="none" w:sz="0" w:space="0" w:color="auto"/>
          </w:divBdr>
        </w:div>
        <w:div w:id="845904307">
          <w:marLeft w:val="640"/>
          <w:marRight w:val="0"/>
          <w:marTop w:val="0"/>
          <w:marBottom w:val="0"/>
          <w:divBdr>
            <w:top w:val="none" w:sz="0" w:space="0" w:color="auto"/>
            <w:left w:val="none" w:sz="0" w:space="0" w:color="auto"/>
            <w:bottom w:val="none" w:sz="0" w:space="0" w:color="auto"/>
            <w:right w:val="none" w:sz="0" w:space="0" w:color="auto"/>
          </w:divBdr>
        </w:div>
        <w:div w:id="1586916690">
          <w:marLeft w:val="640"/>
          <w:marRight w:val="0"/>
          <w:marTop w:val="0"/>
          <w:marBottom w:val="0"/>
          <w:divBdr>
            <w:top w:val="none" w:sz="0" w:space="0" w:color="auto"/>
            <w:left w:val="none" w:sz="0" w:space="0" w:color="auto"/>
            <w:bottom w:val="none" w:sz="0" w:space="0" w:color="auto"/>
            <w:right w:val="none" w:sz="0" w:space="0" w:color="auto"/>
          </w:divBdr>
        </w:div>
        <w:div w:id="1502313134">
          <w:marLeft w:val="640"/>
          <w:marRight w:val="0"/>
          <w:marTop w:val="0"/>
          <w:marBottom w:val="0"/>
          <w:divBdr>
            <w:top w:val="none" w:sz="0" w:space="0" w:color="auto"/>
            <w:left w:val="none" w:sz="0" w:space="0" w:color="auto"/>
            <w:bottom w:val="none" w:sz="0" w:space="0" w:color="auto"/>
            <w:right w:val="none" w:sz="0" w:space="0" w:color="auto"/>
          </w:divBdr>
        </w:div>
        <w:div w:id="1300377226">
          <w:marLeft w:val="640"/>
          <w:marRight w:val="0"/>
          <w:marTop w:val="0"/>
          <w:marBottom w:val="0"/>
          <w:divBdr>
            <w:top w:val="none" w:sz="0" w:space="0" w:color="auto"/>
            <w:left w:val="none" w:sz="0" w:space="0" w:color="auto"/>
            <w:bottom w:val="none" w:sz="0" w:space="0" w:color="auto"/>
            <w:right w:val="none" w:sz="0" w:space="0" w:color="auto"/>
          </w:divBdr>
        </w:div>
        <w:div w:id="1755397781">
          <w:marLeft w:val="640"/>
          <w:marRight w:val="0"/>
          <w:marTop w:val="0"/>
          <w:marBottom w:val="0"/>
          <w:divBdr>
            <w:top w:val="none" w:sz="0" w:space="0" w:color="auto"/>
            <w:left w:val="none" w:sz="0" w:space="0" w:color="auto"/>
            <w:bottom w:val="none" w:sz="0" w:space="0" w:color="auto"/>
            <w:right w:val="none" w:sz="0" w:space="0" w:color="auto"/>
          </w:divBdr>
        </w:div>
        <w:div w:id="2077623573">
          <w:marLeft w:val="640"/>
          <w:marRight w:val="0"/>
          <w:marTop w:val="0"/>
          <w:marBottom w:val="0"/>
          <w:divBdr>
            <w:top w:val="none" w:sz="0" w:space="0" w:color="auto"/>
            <w:left w:val="none" w:sz="0" w:space="0" w:color="auto"/>
            <w:bottom w:val="none" w:sz="0" w:space="0" w:color="auto"/>
            <w:right w:val="none" w:sz="0" w:space="0" w:color="auto"/>
          </w:divBdr>
        </w:div>
        <w:div w:id="1994680194">
          <w:marLeft w:val="640"/>
          <w:marRight w:val="0"/>
          <w:marTop w:val="0"/>
          <w:marBottom w:val="0"/>
          <w:divBdr>
            <w:top w:val="none" w:sz="0" w:space="0" w:color="auto"/>
            <w:left w:val="none" w:sz="0" w:space="0" w:color="auto"/>
            <w:bottom w:val="none" w:sz="0" w:space="0" w:color="auto"/>
            <w:right w:val="none" w:sz="0" w:space="0" w:color="auto"/>
          </w:divBdr>
        </w:div>
        <w:div w:id="1604453757">
          <w:marLeft w:val="640"/>
          <w:marRight w:val="0"/>
          <w:marTop w:val="0"/>
          <w:marBottom w:val="0"/>
          <w:divBdr>
            <w:top w:val="none" w:sz="0" w:space="0" w:color="auto"/>
            <w:left w:val="none" w:sz="0" w:space="0" w:color="auto"/>
            <w:bottom w:val="none" w:sz="0" w:space="0" w:color="auto"/>
            <w:right w:val="none" w:sz="0" w:space="0" w:color="auto"/>
          </w:divBdr>
        </w:div>
        <w:div w:id="287781609">
          <w:marLeft w:val="640"/>
          <w:marRight w:val="0"/>
          <w:marTop w:val="0"/>
          <w:marBottom w:val="0"/>
          <w:divBdr>
            <w:top w:val="none" w:sz="0" w:space="0" w:color="auto"/>
            <w:left w:val="none" w:sz="0" w:space="0" w:color="auto"/>
            <w:bottom w:val="none" w:sz="0" w:space="0" w:color="auto"/>
            <w:right w:val="none" w:sz="0" w:space="0" w:color="auto"/>
          </w:divBdr>
        </w:div>
        <w:div w:id="1552888984">
          <w:marLeft w:val="640"/>
          <w:marRight w:val="0"/>
          <w:marTop w:val="0"/>
          <w:marBottom w:val="0"/>
          <w:divBdr>
            <w:top w:val="none" w:sz="0" w:space="0" w:color="auto"/>
            <w:left w:val="none" w:sz="0" w:space="0" w:color="auto"/>
            <w:bottom w:val="none" w:sz="0" w:space="0" w:color="auto"/>
            <w:right w:val="none" w:sz="0" w:space="0" w:color="auto"/>
          </w:divBdr>
        </w:div>
        <w:div w:id="736828394">
          <w:marLeft w:val="640"/>
          <w:marRight w:val="0"/>
          <w:marTop w:val="0"/>
          <w:marBottom w:val="0"/>
          <w:divBdr>
            <w:top w:val="none" w:sz="0" w:space="0" w:color="auto"/>
            <w:left w:val="none" w:sz="0" w:space="0" w:color="auto"/>
            <w:bottom w:val="none" w:sz="0" w:space="0" w:color="auto"/>
            <w:right w:val="none" w:sz="0" w:space="0" w:color="auto"/>
          </w:divBdr>
        </w:div>
        <w:div w:id="1353187979">
          <w:marLeft w:val="640"/>
          <w:marRight w:val="0"/>
          <w:marTop w:val="0"/>
          <w:marBottom w:val="0"/>
          <w:divBdr>
            <w:top w:val="none" w:sz="0" w:space="0" w:color="auto"/>
            <w:left w:val="none" w:sz="0" w:space="0" w:color="auto"/>
            <w:bottom w:val="none" w:sz="0" w:space="0" w:color="auto"/>
            <w:right w:val="none" w:sz="0" w:space="0" w:color="auto"/>
          </w:divBdr>
        </w:div>
        <w:div w:id="1170559117">
          <w:marLeft w:val="640"/>
          <w:marRight w:val="0"/>
          <w:marTop w:val="0"/>
          <w:marBottom w:val="0"/>
          <w:divBdr>
            <w:top w:val="none" w:sz="0" w:space="0" w:color="auto"/>
            <w:left w:val="none" w:sz="0" w:space="0" w:color="auto"/>
            <w:bottom w:val="none" w:sz="0" w:space="0" w:color="auto"/>
            <w:right w:val="none" w:sz="0" w:space="0" w:color="auto"/>
          </w:divBdr>
        </w:div>
        <w:div w:id="1116680065">
          <w:marLeft w:val="640"/>
          <w:marRight w:val="0"/>
          <w:marTop w:val="0"/>
          <w:marBottom w:val="0"/>
          <w:divBdr>
            <w:top w:val="none" w:sz="0" w:space="0" w:color="auto"/>
            <w:left w:val="none" w:sz="0" w:space="0" w:color="auto"/>
            <w:bottom w:val="none" w:sz="0" w:space="0" w:color="auto"/>
            <w:right w:val="none" w:sz="0" w:space="0" w:color="auto"/>
          </w:divBdr>
        </w:div>
        <w:div w:id="1493449096">
          <w:marLeft w:val="640"/>
          <w:marRight w:val="0"/>
          <w:marTop w:val="0"/>
          <w:marBottom w:val="0"/>
          <w:divBdr>
            <w:top w:val="none" w:sz="0" w:space="0" w:color="auto"/>
            <w:left w:val="none" w:sz="0" w:space="0" w:color="auto"/>
            <w:bottom w:val="none" w:sz="0" w:space="0" w:color="auto"/>
            <w:right w:val="none" w:sz="0" w:space="0" w:color="auto"/>
          </w:divBdr>
        </w:div>
        <w:div w:id="914358411">
          <w:marLeft w:val="640"/>
          <w:marRight w:val="0"/>
          <w:marTop w:val="0"/>
          <w:marBottom w:val="0"/>
          <w:divBdr>
            <w:top w:val="none" w:sz="0" w:space="0" w:color="auto"/>
            <w:left w:val="none" w:sz="0" w:space="0" w:color="auto"/>
            <w:bottom w:val="none" w:sz="0" w:space="0" w:color="auto"/>
            <w:right w:val="none" w:sz="0" w:space="0" w:color="auto"/>
          </w:divBdr>
        </w:div>
        <w:div w:id="463815010">
          <w:marLeft w:val="640"/>
          <w:marRight w:val="0"/>
          <w:marTop w:val="0"/>
          <w:marBottom w:val="0"/>
          <w:divBdr>
            <w:top w:val="none" w:sz="0" w:space="0" w:color="auto"/>
            <w:left w:val="none" w:sz="0" w:space="0" w:color="auto"/>
            <w:bottom w:val="none" w:sz="0" w:space="0" w:color="auto"/>
            <w:right w:val="none" w:sz="0" w:space="0" w:color="auto"/>
          </w:divBdr>
        </w:div>
        <w:div w:id="199243025">
          <w:marLeft w:val="640"/>
          <w:marRight w:val="0"/>
          <w:marTop w:val="0"/>
          <w:marBottom w:val="0"/>
          <w:divBdr>
            <w:top w:val="none" w:sz="0" w:space="0" w:color="auto"/>
            <w:left w:val="none" w:sz="0" w:space="0" w:color="auto"/>
            <w:bottom w:val="none" w:sz="0" w:space="0" w:color="auto"/>
            <w:right w:val="none" w:sz="0" w:space="0" w:color="auto"/>
          </w:divBdr>
        </w:div>
        <w:div w:id="2017725326">
          <w:marLeft w:val="640"/>
          <w:marRight w:val="0"/>
          <w:marTop w:val="0"/>
          <w:marBottom w:val="0"/>
          <w:divBdr>
            <w:top w:val="none" w:sz="0" w:space="0" w:color="auto"/>
            <w:left w:val="none" w:sz="0" w:space="0" w:color="auto"/>
            <w:bottom w:val="none" w:sz="0" w:space="0" w:color="auto"/>
            <w:right w:val="none" w:sz="0" w:space="0" w:color="auto"/>
          </w:divBdr>
        </w:div>
        <w:div w:id="1508058125">
          <w:marLeft w:val="640"/>
          <w:marRight w:val="0"/>
          <w:marTop w:val="0"/>
          <w:marBottom w:val="0"/>
          <w:divBdr>
            <w:top w:val="none" w:sz="0" w:space="0" w:color="auto"/>
            <w:left w:val="none" w:sz="0" w:space="0" w:color="auto"/>
            <w:bottom w:val="none" w:sz="0" w:space="0" w:color="auto"/>
            <w:right w:val="none" w:sz="0" w:space="0" w:color="auto"/>
          </w:divBdr>
        </w:div>
        <w:div w:id="1953433986">
          <w:marLeft w:val="640"/>
          <w:marRight w:val="0"/>
          <w:marTop w:val="0"/>
          <w:marBottom w:val="0"/>
          <w:divBdr>
            <w:top w:val="none" w:sz="0" w:space="0" w:color="auto"/>
            <w:left w:val="none" w:sz="0" w:space="0" w:color="auto"/>
            <w:bottom w:val="none" w:sz="0" w:space="0" w:color="auto"/>
            <w:right w:val="none" w:sz="0" w:space="0" w:color="auto"/>
          </w:divBdr>
        </w:div>
        <w:div w:id="1409227918">
          <w:marLeft w:val="640"/>
          <w:marRight w:val="0"/>
          <w:marTop w:val="0"/>
          <w:marBottom w:val="0"/>
          <w:divBdr>
            <w:top w:val="none" w:sz="0" w:space="0" w:color="auto"/>
            <w:left w:val="none" w:sz="0" w:space="0" w:color="auto"/>
            <w:bottom w:val="none" w:sz="0" w:space="0" w:color="auto"/>
            <w:right w:val="none" w:sz="0" w:space="0" w:color="auto"/>
          </w:divBdr>
        </w:div>
        <w:div w:id="1626547912">
          <w:marLeft w:val="640"/>
          <w:marRight w:val="0"/>
          <w:marTop w:val="0"/>
          <w:marBottom w:val="0"/>
          <w:divBdr>
            <w:top w:val="none" w:sz="0" w:space="0" w:color="auto"/>
            <w:left w:val="none" w:sz="0" w:space="0" w:color="auto"/>
            <w:bottom w:val="none" w:sz="0" w:space="0" w:color="auto"/>
            <w:right w:val="none" w:sz="0" w:space="0" w:color="auto"/>
          </w:divBdr>
        </w:div>
        <w:div w:id="1447428411">
          <w:marLeft w:val="640"/>
          <w:marRight w:val="0"/>
          <w:marTop w:val="0"/>
          <w:marBottom w:val="0"/>
          <w:divBdr>
            <w:top w:val="none" w:sz="0" w:space="0" w:color="auto"/>
            <w:left w:val="none" w:sz="0" w:space="0" w:color="auto"/>
            <w:bottom w:val="none" w:sz="0" w:space="0" w:color="auto"/>
            <w:right w:val="none" w:sz="0" w:space="0" w:color="auto"/>
          </w:divBdr>
        </w:div>
        <w:div w:id="1268658561">
          <w:marLeft w:val="640"/>
          <w:marRight w:val="0"/>
          <w:marTop w:val="0"/>
          <w:marBottom w:val="0"/>
          <w:divBdr>
            <w:top w:val="none" w:sz="0" w:space="0" w:color="auto"/>
            <w:left w:val="none" w:sz="0" w:space="0" w:color="auto"/>
            <w:bottom w:val="none" w:sz="0" w:space="0" w:color="auto"/>
            <w:right w:val="none" w:sz="0" w:space="0" w:color="auto"/>
          </w:divBdr>
        </w:div>
        <w:div w:id="580453252">
          <w:marLeft w:val="640"/>
          <w:marRight w:val="0"/>
          <w:marTop w:val="0"/>
          <w:marBottom w:val="0"/>
          <w:divBdr>
            <w:top w:val="none" w:sz="0" w:space="0" w:color="auto"/>
            <w:left w:val="none" w:sz="0" w:space="0" w:color="auto"/>
            <w:bottom w:val="none" w:sz="0" w:space="0" w:color="auto"/>
            <w:right w:val="none" w:sz="0" w:space="0" w:color="auto"/>
          </w:divBdr>
        </w:div>
        <w:div w:id="1210218006">
          <w:marLeft w:val="640"/>
          <w:marRight w:val="0"/>
          <w:marTop w:val="0"/>
          <w:marBottom w:val="0"/>
          <w:divBdr>
            <w:top w:val="none" w:sz="0" w:space="0" w:color="auto"/>
            <w:left w:val="none" w:sz="0" w:space="0" w:color="auto"/>
            <w:bottom w:val="none" w:sz="0" w:space="0" w:color="auto"/>
            <w:right w:val="none" w:sz="0" w:space="0" w:color="auto"/>
          </w:divBdr>
        </w:div>
        <w:div w:id="518666542">
          <w:marLeft w:val="640"/>
          <w:marRight w:val="0"/>
          <w:marTop w:val="0"/>
          <w:marBottom w:val="0"/>
          <w:divBdr>
            <w:top w:val="none" w:sz="0" w:space="0" w:color="auto"/>
            <w:left w:val="none" w:sz="0" w:space="0" w:color="auto"/>
            <w:bottom w:val="none" w:sz="0" w:space="0" w:color="auto"/>
            <w:right w:val="none" w:sz="0" w:space="0" w:color="auto"/>
          </w:divBdr>
        </w:div>
        <w:div w:id="179124455">
          <w:marLeft w:val="640"/>
          <w:marRight w:val="0"/>
          <w:marTop w:val="0"/>
          <w:marBottom w:val="0"/>
          <w:divBdr>
            <w:top w:val="none" w:sz="0" w:space="0" w:color="auto"/>
            <w:left w:val="none" w:sz="0" w:space="0" w:color="auto"/>
            <w:bottom w:val="none" w:sz="0" w:space="0" w:color="auto"/>
            <w:right w:val="none" w:sz="0" w:space="0" w:color="auto"/>
          </w:divBdr>
        </w:div>
        <w:div w:id="1068503790">
          <w:marLeft w:val="640"/>
          <w:marRight w:val="0"/>
          <w:marTop w:val="0"/>
          <w:marBottom w:val="0"/>
          <w:divBdr>
            <w:top w:val="none" w:sz="0" w:space="0" w:color="auto"/>
            <w:left w:val="none" w:sz="0" w:space="0" w:color="auto"/>
            <w:bottom w:val="none" w:sz="0" w:space="0" w:color="auto"/>
            <w:right w:val="none" w:sz="0" w:space="0" w:color="auto"/>
          </w:divBdr>
        </w:div>
        <w:div w:id="1302879757">
          <w:marLeft w:val="640"/>
          <w:marRight w:val="0"/>
          <w:marTop w:val="0"/>
          <w:marBottom w:val="0"/>
          <w:divBdr>
            <w:top w:val="none" w:sz="0" w:space="0" w:color="auto"/>
            <w:left w:val="none" w:sz="0" w:space="0" w:color="auto"/>
            <w:bottom w:val="none" w:sz="0" w:space="0" w:color="auto"/>
            <w:right w:val="none" w:sz="0" w:space="0" w:color="auto"/>
          </w:divBdr>
        </w:div>
        <w:div w:id="1480615685">
          <w:marLeft w:val="640"/>
          <w:marRight w:val="0"/>
          <w:marTop w:val="0"/>
          <w:marBottom w:val="0"/>
          <w:divBdr>
            <w:top w:val="none" w:sz="0" w:space="0" w:color="auto"/>
            <w:left w:val="none" w:sz="0" w:space="0" w:color="auto"/>
            <w:bottom w:val="none" w:sz="0" w:space="0" w:color="auto"/>
            <w:right w:val="none" w:sz="0" w:space="0" w:color="auto"/>
          </w:divBdr>
        </w:div>
        <w:div w:id="1231430846">
          <w:marLeft w:val="640"/>
          <w:marRight w:val="0"/>
          <w:marTop w:val="0"/>
          <w:marBottom w:val="0"/>
          <w:divBdr>
            <w:top w:val="none" w:sz="0" w:space="0" w:color="auto"/>
            <w:left w:val="none" w:sz="0" w:space="0" w:color="auto"/>
            <w:bottom w:val="none" w:sz="0" w:space="0" w:color="auto"/>
            <w:right w:val="none" w:sz="0" w:space="0" w:color="auto"/>
          </w:divBdr>
        </w:div>
        <w:div w:id="78252916">
          <w:marLeft w:val="640"/>
          <w:marRight w:val="0"/>
          <w:marTop w:val="0"/>
          <w:marBottom w:val="0"/>
          <w:divBdr>
            <w:top w:val="none" w:sz="0" w:space="0" w:color="auto"/>
            <w:left w:val="none" w:sz="0" w:space="0" w:color="auto"/>
            <w:bottom w:val="none" w:sz="0" w:space="0" w:color="auto"/>
            <w:right w:val="none" w:sz="0" w:space="0" w:color="auto"/>
          </w:divBdr>
        </w:div>
        <w:div w:id="1917083617">
          <w:marLeft w:val="640"/>
          <w:marRight w:val="0"/>
          <w:marTop w:val="0"/>
          <w:marBottom w:val="0"/>
          <w:divBdr>
            <w:top w:val="none" w:sz="0" w:space="0" w:color="auto"/>
            <w:left w:val="none" w:sz="0" w:space="0" w:color="auto"/>
            <w:bottom w:val="none" w:sz="0" w:space="0" w:color="auto"/>
            <w:right w:val="none" w:sz="0" w:space="0" w:color="auto"/>
          </w:divBdr>
        </w:div>
        <w:div w:id="639726406">
          <w:marLeft w:val="640"/>
          <w:marRight w:val="0"/>
          <w:marTop w:val="0"/>
          <w:marBottom w:val="0"/>
          <w:divBdr>
            <w:top w:val="none" w:sz="0" w:space="0" w:color="auto"/>
            <w:left w:val="none" w:sz="0" w:space="0" w:color="auto"/>
            <w:bottom w:val="none" w:sz="0" w:space="0" w:color="auto"/>
            <w:right w:val="none" w:sz="0" w:space="0" w:color="auto"/>
          </w:divBdr>
        </w:div>
        <w:div w:id="2085760853">
          <w:marLeft w:val="640"/>
          <w:marRight w:val="0"/>
          <w:marTop w:val="0"/>
          <w:marBottom w:val="0"/>
          <w:divBdr>
            <w:top w:val="none" w:sz="0" w:space="0" w:color="auto"/>
            <w:left w:val="none" w:sz="0" w:space="0" w:color="auto"/>
            <w:bottom w:val="none" w:sz="0" w:space="0" w:color="auto"/>
            <w:right w:val="none" w:sz="0" w:space="0" w:color="auto"/>
          </w:divBdr>
        </w:div>
        <w:div w:id="1809203855">
          <w:marLeft w:val="640"/>
          <w:marRight w:val="0"/>
          <w:marTop w:val="0"/>
          <w:marBottom w:val="0"/>
          <w:divBdr>
            <w:top w:val="none" w:sz="0" w:space="0" w:color="auto"/>
            <w:left w:val="none" w:sz="0" w:space="0" w:color="auto"/>
            <w:bottom w:val="none" w:sz="0" w:space="0" w:color="auto"/>
            <w:right w:val="none" w:sz="0" w:space="0" w:color="auto"/>
          </w:divBdr>
        </w:div>
        <w:div w:id="2122526229">
          <w:marLeft w:val="640"/>
          <w:marRight w:val="0"/>
          <w:marTop w:val="0"/>
          <w:marBottom w:val="0"/>
          <w:divBdr>
            <w:top w:val="none" w:sz="0" w:space="0" w:color="auto"/>
            <w:left w:val="none" w:sz="0" w:space="0" w:color="auto"/>
            <w:bottom w:val="none" w:sz="0" w:space="0" w:color="auto"/>
            <w:right w:val="none" w:sz="0" w:space="0" w:color="auto"/>
          </w:divBdr>
        </w:div>
        <w:div w:id="2083984225">
          <w:marLeft w:val="640"/>
          <w:marRight w:val="0"/>
          <w:marTop w:val="0"/>
          <w:marBottom w:val="0"/>
          <w:divBdr>
            <w:top w:val="none" w:sz="0" w:space="0" w:color="auto"/>
            <w:left w:val="none" w:sz="0" w:space="0" w:color="auto"/>
            <w:bottom w:val="none" w:sz="0" w:space="0" w:color="auto"/>
            <w:right w:val="none" w:sz="0" w:space="0" w:color="auto"/>
          </w:divBdr>
        </w:div>
        <w:div w:id="1951543802">
          <w:marLeft w:val="640"/>
          <w:marRight w:val="0"/>
          <w:marTop w:val="0"/>
          <w:marBottom w:val="0"/>
          <w:divBdr>
            <w:top w:val="none" w:sz="0" w:space="0" w:color="auto"/>
            <w:left w:val="none" w:sz="0" w:space="0" w:color="auto"/>
            <w:bottom w:val="none" w:sz="0" w:space="0" w:color="auto"/>
            <w:right w:val="none" w:sz="0" w:space="0" w:color="auto"/>
          </w:divBdr>
        </w:div>
        <w:div w:id="686755618">
          <w:marLeft w:val="640"/>
          <w:marRight w:val="0"/>
          <w:marTop w:val="0"/>
          <w:marBottom w:val="0"/>
          <w:divBdr>
            <w:top w:val="none" w:sz="0" w:space="0" w:color="auto"/>
            <w:left w:val="none" w:sz="0" w:space="0" w:color="auto"/>
            <w:bottom w:val="none" w:sz="0" w:space="0" w:color="auto"/>
            <w:right w:val="none" w:sz="0" w:space="0" w:color="auto"/>
          </w:divBdr>
        </w:div>
        <w:div w:id="1874881313">
          <w:marLeft w:val="640"/>
          <w:marRight w:val="0"/>
          <w:marTop w:val="0"/>
          <w:marBottom w:val="0"/>
          <w:divBdr>
            <w:top w:val="none" w:sz="0" w:space="0" w:color="auto"/>
            <w:left w:val="none" w:sz="0" w:space="0" w:color="auto"/>
            <w:bottom w:val="none" w:sz="0" w:space="0" w:color="auto"/>
            <w:right w:val="none" w:sz="0" w:space="0" w:color="auto"/>
          </w:divBdr>
        </w:div>
        <w:div w:id="694304537">
          <w:marLeft w:val="640"/>
          <w:marRight w:val="0"/>
          <w:marTop w:val="0"/>
          <w:marBottom w:val="0"/>
          <w:divBdr>
            <w:top w:val="none" w:sz="0" w:space="0" w:color="auto"/>
            <w:left w:val="none" w:sz="0" w:space="0" w:color="auto"/>
            <w:bottom w:val="none" w:sz="0" w:space="0" w:color="auto"/>
            <w:right w:val="none" w:sz="0" w:space="0" w:color="auto"/>
          </w:divBdr>
        </w:div>
        <w:div w:id="1286734513">
          <w:marLeft w:val="640"/>
          <w:marRight w:val="0"/>
          <w:marTop w:val="0"/>
          <w:marBottom w:val="0"/>
          <w:divBdr>
            <w:top w:val="none" w:sz="0" w:space="0" w:color="auto"/>
            <w:left w:val="none" w:sz="0" w:space="0" w:color="auto"/>
            <w:bottom w:val="none" w:sz="0" w:space="0" w:color="auto"/>
            <w:right w:val="none" w:sz="0" w:space="0" w:color="auto"/>
          </w:divBdr>
        </w:div>
        <w:div w:id="1507671385">
          <w:marLeft w:val="640"/>
          <w:marRight w:val="0"/>
          <w:marTop w:val="0"/>
          <w:marBottom w:val="0"/>
          <w:divBdr>
            <w:top w:val="none" w:sz="0" w:space="0" w:color="auto"/>
            <w:left w:val="none" w:sz="0" w:space="0" w:color="auto"/>
            <w:bottom w:val="none" w:sz="0" w:space="0" w:color="auto"/>
            <w:right w:val="none" w:sz="0" w:space="0" w:color="auto"/>
          </w:divBdr>
        </w:div>
        <w:div w:id="1993633681">
          <w:marLeft w:val="640"/>
          <w:marRight w:val="0"/>
          <w:marTop w:val="0"/>
          <w:marBottom w:val="0"/>
          <w:divBdr>
            <w:top w:val="none" w:sz="0" w:space="0" w:color="auto"/>
            <w:left w:val="none" w:sz="0" w:space="0" w:color="auto"/>
            <w:bottom w:val="none" w:sz="0" w:space="0" w:color="auto"/>
            <w:right w:val="none" w:sz="0" w:space="0" w:color="auto"/>
          </w:divBdr>
        </w:div>
        <w:div w:id="363332092">
          <w:marLeft w:val="640"/>
          <w:marRight w:val="0"/>
          <w:marTop w:val="0"/>
          <w:marBottom w:val="0"/>
          <w:divBdr>
            <w:top w:val="none" w:sz="0" w:space="0" w:color="auto"/>
            <w:left w:val="none" w:sz="0" w:space="0" w:color="auto"/>
            <w:bottom w:val="none" w:sz="0" w:space="0" w:color="auto"/>
            <w:right w:val="none" w:sz="0" w:space="0" w:color="auto"/>
          </w:divBdr>
        </w:div>
        <w:div w:id="1574046642">
          <w:marLeft w:val="640"/>
          <w:marRight w:val="0"/>
          <w:marTop w:val="0"/>
          <w:marBottom w:val="0"/>
          <w:divBdr>
            <w:top w:val="none" w:sz="0" w:space="0" w:color="auto"/>
            <w:left w:val="none" w:sz="0" w:space="0" w:color="auto"/>
            <w:bottom w:val="none" w:sz="0" w:space="0" w:color="auto"/>
            <w:right w:val="none" w:sz="0" w:space="0" w:color="auto"/>
          </w:divBdr>
        </w:div>
        <w:div w:id="552885934">
          <w:marLeft w:val="640"/>
          <w:marRight w:val="0"/>
          <w:marTop w:val="0"/>
          <w:marBottom w:val="0"/>
          <w:divBdr>
            <w:top w:val="none" w:sz="0" w:space="0" w:color="auto"/>
            <w:left w:val="none" w:sz="0" w:space="0" w:color="auto"/>
            <w:bottom w:val="none" w:sz="0" w:space="0" w:color="auto"/>
            <w:right w:val="none" w:sz="0" w:space="0" w:color="auto"/>
          </w:divBdr>
        </w:div>
        <w:div w:id="1011688623">
          <w:marLeft w:val="640"/>
          <w:marRight w:val="0"/>
          <w:marTop w:val="0"/>
          <w:marBottom w:val="0"/>
          <w:divBdr>
            <w:top w:val="none" w:sz="0" w:space="0" w:color="auto"/>
            <w:left w:val="none" w:sz="0" w:space="0" w:color="auto"/>
            <w:bottom w:val="none" w:sz="0" w:space="0" w:color="auto"/>
            <w:right w:val="none" w:sz="0" w:space="0" w:color="auto"/>
          </w:divBdr>
        </w:div>
        <w:div w:id="1081946525">
          <w:marLeft w:val="640"/>
          <w:marRight w:val="0"/>
          <w:marTop w:val="0"/>
          <w:marBottom w:val="0"/>
          <w:divBdr>
            <w:top w:val="none" w:sz="0" w:space="0" w:color="auto"/>
            <w:left w:val="none" w:sz="0" w:space="0" w:color="auto"/>
            <w:bottom w:val="none" w:sz="0" w:space="0" w:color="auto"/>
            <w:right w:val="none" w:sz="0" w:space="0" w:color="auto"/>
          </w:divBdr>
        </w:div>
        <w:div w:id="417677539">
          <w:marLeft w:val="640"/>
          <w:marRight w:val="0"/>
          <w:marTop w:val="0"/>
          <w:marBottom w:val="0"/>
          <w:divBdr>
            <w:top w:val="none" w:sz="0" w:space="0" w:color="auto"/>
            <w:left w:val="none" w:sz="0" w:space="0" w:color="auto"/>
            <w:bottom w:val="none" w:sz="0" w:space="0" w:color="auto"/>
            <w:right w:val="none" w:sz="0" w:space="0" w:color="auto"/>
          </w:divBdr>
        </w:div>
        <w:div w:id="365565467">
          <w:marLeft w:val="640"/>
          <w:marRight w:val="0"/>
          <w:marTop w:val="0"/>
          <w:marBottom w:val="0"/>
          <w:divBdr>
            <w:top w:val="none" w:sz="0" w:space="0" w:color="auto"/>
            <w:left w:val="none" w:sz="0" w:space="0" w:color="auto"/>
            <w:bottom w:val="none" w:sz="0" w:space="0" w:color="auto"/>
            <w:right w:val="none" w:sz="0" w:space="0" w:color="auto"/>
          </w:divBdr>
        </w:div>
        <w:div w:id="457800843">
          <w:marLeft w:val="640"/>
          <w:marRight w:val="0"/>
          <w:marTop w:val="0"/>
          <w:marBottom w:val="0"/>
          <w:divBdr>
            <w:top w:val="none" w:sz="0" w:space="0" w:color="auto"/>
            <w:left w:val="none" w:sz="0" w:space="0" w:color="auto"/>
            <w:bottom w:val="none" w:sz="0" w:space="0" w:color="auto"/>
            <w:right w:val="none" w:sz="0" w:space="0" w:color="auto"/>
          </w:divBdr>
        </w:div>
        <w:div w:id="768355251">
          <w:marLeft w:val="640"/>
          <w:marRight w:val="0"/>
          <w:marTop w:val="0"/>
          <w:marBottom w:val="0"/>
          <w:divBdr>
            <w:top w:val="none" w:sz="0" w:space="0" w:color="auto"/>
            <w:left w:val="none" w:sz="0" w:space="0" w:color="auto"/>
            <w:bottom w:val="none" w:sz="0" w:space="0" w:color="auto"/>
            <w:right w:val="none" w:sz="0" w:space="0" w:color="auto"/>
          </w:divBdr>
        </w:div>
        <w:div w:id="1338731535">
          <w:marLeft w:val="640"/>
          <w:marRight w:val="0"/>
          <w:marTop w:val="0"/>
          <w:marBottom w:val="0"/>
          <w:divBdr>
            <w:top w:val="none" w:sz="0" w:space="0" w:color="auto"/>
            <w:left w:val="none" w:sz="0" w:space="0" w:color="auto"/>
            <w:bottom w:val="none" w:sz="0" w:space="0" w:color="auto"/>
            <w:right w:val="none" w:sz="0" w:space="0" w:color="auto"/>
          </w:divBdr>
        </w:div>
        <w:div w:id="744373746">
          <w:marLeft w:val="640"/>
          <w:marRight w:val="0"/>
          <w:marTop w:val="0"/>
          <w:marBottom w:val="0"/>
          <w:divBdr>
            <w:top w:val="none" w:sz="0" w:space="0" w:color="auto"/>
            <w:left w:val="none" w:sz="0" w:space="0" w:color="auto"/>
            <w:bottom w:val="none" w:sz="0" w:space="0" w:color="auto"/>
            <w:right w:val="none" w:sz="0" w:space="0" w:color="auto"/>
          </w:divBdr>
        </w:div>
        <w:div w:id="1152405161">
          <w:marLeft w:val="640"/>
          <w:marRight w:val="0"/>
          <w:marTop w:val="0"/>
          <w:marBottom w:val="0"/>
          <w:divBdr>
            <w:top w:val="none" w:sz="0" w:space="0" w:color="auto"/>
            <w:left w:val="none" w:sz="0" w:space="0" w:color="auto"/>
            <w:bottom w:val="none" w:sz="0" w:space="0" w:color="auto"/>
            <w:right w:val="none" w:sz="0" w:space="0" w:color="auto"/>
          </w:divBdr>
        </w:div>
        <w:div w:id="472137059">
          <w:marLeft w:val="640"/>
          <w:marRight w:val="0"/>
          <w:marTop w:val="0"/>
          <w:marBottom w:val="0"/>
          <w:divBdr>
            <w:top w:val="none" w:sz="0" w:space="0" w:color="auto"/>
            <w:left w:val="none" w:sz="0" w:space="0" w:color="auto"/>
            <w:bottom w:val="none" w:sz="0" w:space="0" w:color="auto"/>
            <w:right w:val="none" w:sz="0" w:space="0" w:color="auto"/>
          </w:divBdr>
        </w:div>
        <w:div w:id="1517619857">
          <w:marLeft w:val="640"/>
          <w:marRight w:val="0"/>
          <w:marTop w:val="0"/>
          <w:marBottom w:val="0"/>
          <w:divBdr>
            <w:top w:val="none" w:sz="0" w:space="0" w:color="auto"/>
            <w:left w:val="none" w:sz="0" w:space="0" w:color="auto"/>
            <w:bottom w:val="none" w:sz="0" w:space="0" w:color="auto"/>
            <w:right w:val="none" w:sz="0" w:space="0" w:color="auto"/>
          </w:divBdr>
        </w:div>
        <w:div w:id="1626540098">
          <w:marLeft w:val="640"/>
          <w:marRight w:val="0"/>
          <w:marTop w:val="0"/>
          <w:marBottom w:val="0"/>
          <w:divBdr>
            <w:top w:val="none" w:sz="0" w:space="0" w:color="auto"/>
            <w:left w:val="none" w:sz="0" w:space="0" w:color="auto"/>
            <w:bottom w:val="none" w:sz="0" w:space="0" w:color="auto"/>
            <w:right w:val="none" w:sz="0" w:space="0" w:color="auto"/>
          </w:divBdr>
        </w:div>
        <w:div w:id="1715696967">
          <w:marLeft w:val="640"/>
          <w:marRight w:val="0"/>
          <w:marTop w:val="0"/>
          <w:marBottom w:val="0"/>
          <w:divBdr>
            <w:top w:val="none" w:sz="0" w:space="0" w:color="auto"/>
            <w:left w:val="none" w:sz="0" w:space="0" w:color="auto"/>
            <w:bottom w:val="none" w:sz="0" w:space="0" w:color="auto"/>
            <w:right w:val="none" w:sz="0" w:space="0" w:color="auto"/>
          </w:divBdr>
        </w:div>
        <w:div w:id="1494880568">
          <w:marLeft w:val="640"/>
          <w:marRight w:val="0"/>
          <w:marTop w:val="0"/>
          <w:marBottom w:val="0"/>
          <w:divBdr>
            <w:top w:val="none" w:sz="0" w:space="0" w:color="auto"/>
            <w:left w:val="none" w:sz="0" w:space="0" w:color="auto"/>
            <w:bottom w:val="none" w:sz="0" w:space="0" w:color="auto"/>
            <w:right w:val="none" w:sz="0" w:space="0" w:color="auto"/>
          </w:divBdr>
        </w:div>
        <w:div w:id="1432583353">
          <w:marLeft w:val="640"/>
          <w:marRight w:val="0"/>
          <w:marTop w:val="0"/>
          <w:marBottom w:val="0"/>
          <w:divBdr>
            <w:top w:val="none" w:sz="0" w:space="0" w:color="auto"/>
            <w:left w:val="none" w:sz="0" w:space="0" w:color="auto"/>
            <w:bottom w:val="none" w:sz="0" w:space="0" w:color="auto"/>
            <w:right w:val="none" w:sz="0" w:space="0" w:color="auto"/>
          </w:divBdr>
        </w:div>
        <w:div w:id="1124083345">
          <w:marLeft w:val="640"/>
          <w:marRight w:val="0"/>
          <w:marTop w:val="0"/>
          <w:marBottom w:val="0"/>
          <w:divBdr>
            <w:top w:val="none" w:sz="0" w:space="0" w:color="auto"/>
            <w:left w:val="none" w:sz="0" w:space="0" w:color="auto"/>
            <w:bottom w:val="none" w:sz="0" w:space="0" w:color="auto"/>
            <w:right w:val="none" w:sz="0" w:space="0" w:color="auto"/>
          </w:divBdr>
        </w:div>
        <w:div w:id="1192719843">
          <w:marLeft w:val="640"/>
          <w:marRight w:val="0"/>
          <w:marTop w:val="0"/>
          <w:marBottom w:val="0"/>
          <w:divBdr>
            <w:top w:val="none" w:sz="0" w:space="0" w:color="auto"/>
            <w:left w:val="none" w:sz="0" w:space="0" w:color="auto"/>
            <w:bottom w:val="none" w:sz="0" w:space="0" w:color="auto"/>
            <w:right w:val="none" w:sz="0" w:space="0" w:color="auto"/>
          </w:divBdr>
        </w:div>
        <w:div w:id="1445034930">
          <w:marLeft w:val="640"/>
          <w:marRight w:val="0"/>
          <w:marTop w:val="0"/>
          <w:marBottom w:val="0"/>
          <w:divBdr>
            <w:top w:val="none" w:sz="0" w:space="0" w:color="auto"/>
            <w:left w:val="none" w:sz="0" w:space="0" w:color="auto"/>
            <w:bottom w:val="none" w:sz="0" w:space="0" w:color="auto"/>
            <w:right w:val="none" w:sz="0" w:space="0" w:color="auto"/>
          </w:divBdr>
        </w:div>
        <w:div w:id="490799150">
          <w:marLeft w:val="640"/>
          <w:marRight w:val="0"/>
          <w:marTop w:val="0"/>
          <w:marBottom w:val="0"/>
          <w:divBdr>
            <w:top w:val="none" w:sz="0" w:space="0" w:color="auto"/>
            <w:left w:val="none" w:sz="0" w:space="0" w:color="auto"/>
            <w:bottom w:val="none" w:sz="0" w:space="0" w:color="auto"/>
            <w:right w:val="none" w:sz="0" w:space="0" w:color="auto"/>
          </w:divBdr>
        </w:div>
        <w:div w:id="1404522514">
          <w:marLeft w:val="640"/>
          <w:marRight w:val="0"/>
          <w:marTop w:val="0"/>
          <w:marBottom w:val="0"/>
          <w:divBdr>
            <w:top w:val="none" w:sz="0" w:space="0" w:color="auto"/>
            <w:left w:val="none" w:sz="0" w:space="0" w:color="auto"/>
            <w:bottom w:val="none" w:sz="0" w:space="0" w:color="auto"/>
            <w:right w:val="none" w:sz="0" w:space="0" w:color="auto"/>
          </w:divBdr>
        </w:div>
        <w:div w:id="1841037970">
          <w:marLeft w:val="640"/>
          <w:marRight w:val="0"/>
          <w:marTop w:val="0"/>
          <w:marBottom w:val="0"/>
          <w:divBdr>
            <w:top w:val="none" w:sz="0" w:space="0" w:color="auto"/>
            <w:left w:val="none" w:sz="0" w:space="0" w:color="auto"/>
            <w:bottom w:val="none" w:sz="0" w:space="0" w:color="auto"/>
            <w:right w:val="none" w:sz="0" w:space="0" w:color="auto"/>
          </w:divBdr>
        </w:div>
        <w:div w:id="799303732">
          <w:marLeft w:val="640"/>
          <w:marRight w:val="0"/>
          <w:marTop w:val="0"/>
          <w:marBottom w:val="0"/>
          <w:divBdr>
            <w:top w:val="none" w:sz="0" w:space="0" w:color="auto"/>
            <w:left w:val="none" w:sz="0" w:space="0" w:color="auto"/>
            <w:bottom w:val="none" w:sz="0" w:space="0" w:color="auto"/>
            <w:right w:val="none" w:sz="0" w:space="0" w:color="auto"/>
          </w:divBdr>
        </w:div>
        <w:div w:id="1525436083">
          <w:marLeft w:val="640"/>
          <w:marRight w:val="0"/>
          <w:marTop w:val="0"/>
          <w:marBottom w:val="0"/>
          <w:divBdr>
            <w:top w:val="none" w:sz="0" w:space="0" w:color="auto"/>
            <w:left w:val="none" w:sz="0" w:space="0" w:color="auto"/>
            <w:bottom w:val="none" w:sz="0" w:space="0" w:color="auto"/>
            <w:right w:val="none" w:sz="0" w:space="0" w:color="auto"/>
          </w:divBdr>
        </w:div>
        <w:div w:id="1628197088">
          <w:marLeft w:val="640"/>
          <w:marRight w:val="0"/>
          <w:marTop w:val="0"/>
          <w:marBottom w:val="0"/>
          <w:divBdr>
            <w:top w:val="none" w:sz="0" w:space="0" w:color="auto"/>
            <w:left w:val="none" w:sz="0" w:space="0" w:color="auto"/>
            <w:bottom w:val="none" w:sz="0" w:space="0" w:color="auto"/>
            <w:right w:val="none" w:sz="0" w:space="0" w:color="auto"/>
          </w:divBdr>
        </w:div>
        <w:div w:id="280889600">
          <w:marLeft w:val="640"/>
          <w:marRight w:val="0"/>
          <w:marTop w:val="0"/>
          <w:marBottom w:val="0"/>
          <w:divBdr>
            <w:top w:val="none" w:sz="0" w:space="0" w:color="auto"/>
            <w:left w:val="none" w:sz="0" w:space="0" w:color="auto"/>
            <w:bottom w:val="none" w:sz="0" w:space="0" w:color="auto"/>
            <w:right w:val="none" w:sz="0" w:space="0" w:color="auto"/>
          </w:divBdr>
        </w:div>
        <w:div w:id="776755909">
          <w:marLeft w:val="640"/>
          <w:marRight w:val="0"/>
          <w:marTop w:val="0"/>
          <w:marBottom w:val="0"/>
          <w:divBdr>
            <w:top w:val="none" w:sz="0" w:space="0" w:color="auto"/>
            <w:left w:val="none" w:sz="0" w:space="0" w:color="auto"/>
            <w:bottom w:val="none" w:sz="0" w:space="0" w:color="auto"/>
            <w:right w:val="none" w:sz="0" w:space="0" w:color="auto"/>
          </w:divBdr>
        </w:div>
        <w:div w:id="834690267">
          <w:marLeft w:val="640"/>
          <w:marRight w:val="0"/>
          <w:marTop w:val="0"/>
          <w:marBottom w:val="0"/>
          <w:divBdr>
            <w:top w:val="none" w:sz="0" w:space="0" w:color="auto"/>
            <w:left w:val="none" w:sz="0" w:space="0" w:color="auto"/>
            <w:bottom w:val="none" w:sz="0" w:space="0" w:color="auto"/>
            <w:right w:val="none" w:sz="0" w:space="0" w:color="auto"/>
          </w:divBdr>
        </w:div>
        <w:div w:id="1824346948">
          <w:marLeft w:val="640"/>
          <w:marRight w:val="0"/>
          <w:marTop w:val="0"/>
          <w:marBottom w:val="0"/>
          <w:divBdr>
            <w:top w:val="none" w:sz="0" w:space="0" w:color="auto"/>
            <w:left w:val="none" w:sz="0" w:space="0" w:color="auto"/>
            <w:bottom w:val="none" w:sz="0" w:space="0" w:color="auto"/>
            <w:right w:val="none" w:sz="0" w:space="0" w:color="auto"/>
          </w:divBdr>
        </w:div>
        <w:div w:id="1516655755">
          <w:marLeft w:val="640"/>
          <w:marRight w:val="0"/>
          <w:marTop w:val="0"/>
          <w:marBottom w:val="0"/>
          <w:divBdr>
            <w:top w:val="none" w:sz="0" w:space="0" w:color="auto"/>
            <w:left w:val="none" w:sz="0" w:space="0" w:color="auto"/>
            <w:bottom w:val="none" w:sz="0" w:space="0" w:color="auto"/>
            <w:right w:val="none" w:sz="0" w:space="0" w:color="auto"/>
          </w:divBdr>
        </w:div>
        <w:div w:id="101656796">
          <w:marLeft w:val="640"/>
          <w:marRight w:val="0"/>
          <w:marTop w:val="0"/>
          <w:marBottom w:val="0"/>
          <w:divBdr>
            <w:top w:val="none" w:sz="0" w:space="0" w:color="auto"/>
            <w:left w:val="none" w:sz="0" w:space="0" w:color="auto"/>
            <w:bottom w:val="none" w:sz="0" w:space="0" w:color="auto"/>
            <w:right w:val="none" w:sz="0" w:space="0" w:color="auto"/>
          </w:divBdr>
        </w:div>
        <w:div w:id="961376141">
          <w:marLeft w:val="640"/>
          <w:marRight w:val="0"/>
          <w:marTop w:val="0"/>
          <w:marBottom w:val="0"/>
          <w:divBdr>
            <w:top w:val="none" w:sz="0" w:space="0" w:color="auto"/>
            <w:left w:val="none" w:sz="0" w:space="0" w:color="auto"/>
            <w:bottom w:val="none" w:sz="0" w:space="0" w:color="auto"/>
            <w:right w:val="none" w:sz="0" w:space="0" w:color="auto"/>
          </w:divBdr>
        </w:div>
        <w:div w:id="277760578">
          <w:marLeft w:val="640"/>
          <w:marRight w:val="0"/>
          <w:marTop w:val="0"/>
          <w:marBottom w:val="0"/>
          <w:divBdr>
            <w:top w:val="none" w:sz="0" w:space="0" w:color="auto"/>
            <w:left w:val="none" w:sz="0" w:space="0" w:color="auto"/>
            <w:bottom w:val="none" w:sz="0" w:space="0" w:color="auto"/>
            <w:right w:val="none" w:sz="0" w:space="0" w:color="auto"/>
          </w:divBdr>
        </w:div>
        <w:div w:id="2007635291">
          <w:marLeft w:val="640"/>
          <w:marRight w:val="0"/>
          <w:marTop w:val="0"/>
          <w:marBottom w:val="0"/>
          <w:divBdr>
            <w:top w:val="none" w:sz="0" w:space="0" w:color="auto"/>
            <w:left w:val="none" w:sz="0" w:space="0" w:color="auto"/>
            <w:bottom w:val="none" w:sz="0" w:space="0" w:color="auto"/>
            <w:right w:val="none" w:sz="0" w:space="0" w:color="auto"/>
          </w:divBdr>
        </w:div>
        <w:div w:id="487207186">
          <w:marLeft w:val="640"/>
          <w:marRight w:val="0"/>
          <w:marTop w:val="0"/>
          <w:marBottom w:val="0"/>
          <w:divBdr>
            <w:top w:val="none" w:sz="0" w:space="0" w:color="auto"/>
            <w:left w:val="none" w:sz="0" w:space="0" w:color="auto"/>
            <w:bottom w:val="none" w:sz="0" w:space="0" w:color="auto"/>
            <w:right w:val="none" w:sz="0" w:space="0" w:color="auto"/>
          </w:divBdr>
        </w:div>
        <w:div w:id="590434988">
          <w:marLeft w:val="640"/>
          <w:marRight w:val="0"/>
          <w:marTop w:val="0"/>
          <w:marBottom w:val="0"/>
          <w:divBdr>
            <w:top w:val="none" w:sz="0" w:space="0" w:color="auto"/>
            <w:left w:val="none" w:sz="0" w:space="0" w:color="auto"/>
            <w:bottom w:val="none" w:sz="0" w:space="0" w:color="auto"/>
            <w:right w:val="none" w:sz="0" w:space="0" w:color="auto"/>
          </w:divBdr>
        </w:div>
        <w:div w:id="1956668530">
          <w:marLeft w:val="640"/>
          <w:marRight w:val="0"/>
          <w:marTop w:val="0"/>
          <w:marBottom w:val="0"/>
          <w:divBdr>
            <w:top w:val="none" w:sz="0" w:space="0" w:color="auto"/>
            <w:left w:val="none" w:sz="0" w:space="0" w:color="auto"/>
            <w:bottom w:val="none" w:sz="0" w:space="0" w:color="auto"/>
            <w:right w:val="none" w:sz="0" w:space="0" w:color="auto"/>
          </w:divBdr>
        </w:div>
        <w:div w:id="1178040431">
          <w:marLeft w:val="640"/>
          <w:marRight w:val="0"/>
          <w:marTop w:val="0"/>
          <w:marBottom w:val="0"/>
          <w:divBdr>
            <w:top w:val="none" w:sz="0" w:space="0" w:color="auto"/>
            <w:left w:val="none" w:sz="0" w:space="0" w:color="auto"/>
            <w:bottom w:val="none" w:sz="0" w:space="0" w:color="auto"/>
            <w:right w:val="none" w:sz="0" w:space="0" w:color="auto"/>
          </w:divBdr>
        </w:div>
        <w:div w:id="1861623313">
          <w:marLeft w:val="640"/>
          <w:marRight w:val="0"/>
          <w:marTop w:val="0"/>
          <w:marBottom w:val="0"/>
          <w:divBdr>
            <w:top w:val="none" w:sz="0" w:space="0" w:color="auto"/>
            <w:left w:val="none" w:sz="0" w:space="0" w:color="auto"/>
            <w:bottom w:val="none" w:sz="0" w:space="0" w:color="auto"/>
            <w:right w:val="none" w:sz="0" w:space="0" w:color="auto"/>
          </w:divBdr>
        </w:div>
        <w:div w:id="1372149833">
          <w:marLeft w:val="640"/>
          <w:marRight w:val="0"/>
          <w:marTop w:val="0"/>
          <w:marBottom w:val="0"/>
          <w:divBdr>
            <w:top w:val="none" w:sz="0" w:space="0" w:color="auto"/>
            <w:left w:val="none" w:sz="0" w:space="0" w:color="auto"/>
            <w:bottom w:val="none" w:sz="0" w:space="0" w:color="auto"/>
            <w:right w:val="none" w:sz="0" w:space="0" w:color="auto"/>
          </w:divBdr>
        </w:div>
        <w:div w:id="747264174">
          <w:marLeft w:val="640"/>
          <w:marRight w:val="0"/>
          <w:marTop w:val="0"/>
          <w:marBottom w:val="0"/>
          <w:divBdr>
            <w:top w:val="none" w:sz="0" w:space="0" w:color="auto"/>
            <w:left w:val="none" w:sz="0" w:space="0" w:color="auto"/>
            <w:bottom w:val="none" w:sz="0" w:space="0" w:color="auto"/>
            <w:right w:val="none" w:sz="0" w:space="0" w:color="auto"/>
          </w:divBdr>
        </w:div>
        <w:div w:id="1820729034">
          <w:marLeft w:val="640"/>
          <w:marRight w:val="0"/>
          <w:marTop w:val="0"/>
          <w:marBottom w:val="0"/>
          <w:divBdr>
            <w:top w:val="none" w:sz="0" w:space="0" w:color="auto"/>
            <w:left w:val="none" w:sz="0" w:space="0" w:color="auto"/>
            <w:bottom w:val="none" w:sz="0" w:space="0" w:color="auto"/>
            <w:right w:val="none" w:sz="0" w:space="0" w:color="auto"/>
          </w:divBdr>
        </w:div>
        <w:div w:id="643386282">
          <w:marLeft w:val="640"/>
          <w:marRight w:val="0"/>
          <w:marTop w:val="0"/>
          <w:marBottom w:val="0"/>
          <w:divBdr>
            <w:top w:val="none" w:sz="0" w:space="0" w:color="auto"/>
            <w:left w:val="none" w:sz="0" w:space="0" w:color="auto"/>
            <w:bottom w:val="none" w:sz="0" w:space="0" w:color="auto"/>
            <w:right w:val="none" w:sz="0" w:space="0" w:color="auto"/>
          </w:divBdr>
        </w:div>
        <w:div w:id="1372921972">
          <w:marLeft w:val="640"/>
          <w:marRight w:val="0"/>
          <w:marTop w:val="0"/>
          <w:marBottom w:val="0"/>
          <w:divBdr>
            <w:top w:val="none" w:sz="0" w:space="0" w:color="auto"/>
            <w:left w:val="none" w:sz="0" w:space="0" w:color="auto"/>
            <w:bottom w:val="none" w:sz="0" w:space="0" w:color="auto"/>
            <w:right w:val="none" w:sz="0" w:space="0" w:color="auto"/>
          </w:divBdr>
        </w:div>
        <w:div w:id="1022129834">
          <w:marLeft w:val="640"/>
          <w:marRight w:val="0"/>
          <w:marTop w:val="0"/>
          <w:marBottom w:val="0"/>
          <w:divBdr>
            <w:top w:val="none" w:sz="0" w:space="0" w:color="auto"/>
            <w:left w:val="none" w:sz="0" w:space="0" w:color="auto"/>
            <w:bottom w:val="none" w:sz="0" w:space="0" w:color="auto"/>
            <w:right w:val="none" w:sz="0" w:space="0" w:color="auto"/>
          </w:divBdr>
        </w:div>
        <w:div w:id="2009019337">
          <w:marLeft w:val="640"/>
          <w:marRight w:val="0"/>
          <w:marTop w:val="0"/>
          <w:marBottom w:val="0"/>
          <w:divBdr>
            <w:top w:val="none" w:sz="0" w:space="0" w:color="auto"/>
            <w:left w:val="none" w:sz="0" w:space="0" w:color="auto"/>
            <w:bottom w:val="none" w:sz="0" w:space="0" w:color="auto"/>
            <w:right w:val="none" w:sz="0" w:space="0" w:color="auto"/>
          </w:divBdr>
        </w:div>
        <w:div w:id="107697247">
          <w:marLeft w:val="640"/>
          <w:marRight w:val="0"/>
          <w:marTop w:val="0"/>
          <w:marBottom w:val="0"/>
          <w:divBdr>
            <w:top w:val="none" w:sz="0" w:space="0" w:color="auto"/>
            <w:left w:val="none" w:sz="0" w:space="0" w:color="auto"/>
            <w:bottom w:val="none" w:sz="0" w:space="0" w:color="auto"/>
            <w:right w:val="none" w:sz="0" w:space="0" w:color="auto"/>
          </w:divBdr>
        </w:div>
        <w:div w:id="20205038">
          <w:marLeft w:val="640"/>
          <w:marRight w:val="0"/>
          <w:marTop w:val="0"/>
          <w:marBottom w:val="0"/>
          <w:divBdr>
            <w:top w:val="none" w:sz="0" w:space="0" w:color="auto"/>
            <w:left w:val="none" w:sz="0" w:space="0" w:color="auto"/>
            <w:bottom w:val="none" w:sz="0" w:space="0" w:color="auto"/>
            <w:right w:val="none" w:sz="0" w:space="0" w:color="auto"/>
          </w:divBdr>
        </w:div>
        <w:div w:id="28141453">
          <w:marLeft w:val="640"/>
          <w:marRight w:val="0"/>
          <w:marTop w:val="0"/>
          <w:marBottom w:val="0"/>
          <w:divBdr>
            <w:top w:val="none" w:sz="0" w:space="0" w:color="auto"/>
            <w:left w:val="none" w:sz="0" w:space="0" w:color="auto"/>
            <w:bottom w:val="none" w:sz="0" w:space="0" w:color="auto"/>
            <w:right w:val="none" w:sz="0" w:space="0" w:color="auto"/>
          </w:divBdr>
        </w:div>
        <w:div w:id="482895832">
          <w:marLeft w:val="640"/>
          <w:marRight w:val="0"/>
          <w:marTop w:val="0"/>
          <w:marBottom w:val="0"/>
          <w:divBdr>
            <w:top w:val="none" w:sz="0" w:space="0" w:color="auto"/>
            <w:left w:val="none" w:sz="0" w:space="0" w:color="auto"/>
            <w:bottom w:val="none" w:sz="0" w:space="0" w:color="auto"/>
            <w:right w:val="none" w:sz="0" w:space="0" w:color="auto"/>
          </w:divBdr>
        </w:div>
        <w:div w:id="306589919">
          <w:marLeft w:val="640"/>
          <w:marRight w:val="0"/>
          <w:marTop w:val="0"/>
          <w:marBottom w:val="0"/>
          <w:divBdr>
            <w:top w:val="none" w:sz="0" w:space="0" w:color="auto"/>
            <w:left w:val="none" w:sz="0" w:space="0" w:color="auto"/>
            <w:bottom w:val="none" w:sz="0" w:space="0" w:color="auto"/>
            <w:right w:val="none" w:sz="0" w:space="0" w:color="auto"/>
          </w:divBdr>
        </w:div>
        <w:div w:id="48234630">
          <w:marLeft w:val="640"/>
          <w:marRight w:val="0"/>
          <w:marTop w:val="0"/>
          <w:marBottom w:val="0"/>
          <w:divBdr>
            <w:top w:val="none" w:sz="0" w:space="0" w:color="auto"/>
            <w:left w:val="none" w:sz="0" w:space="0" w:color="auto"/>
            <w:bottom w:val="none" w:sz="0" w:space="0" w:color="auto"/>
            <w:right w:val="none" w:sz="0" w:space="0" w:color="auto"/>
          </w:divBdr>
        </w:div>
        <w:div w:id="1466194077">
          <w:marLeft w:val="640"/>
          <w:marRight w:val="0"/>
          <w:marTop w:val="0"/>
          <w:marBottom w:val="0"/>
          <w:divBdr>
            <w:top w:val="none" w:sz="0" w:space="0" w:color="auto"/>
            <w:left w:val="none" w:sz="0" w:space="0" w:color="auto"/>
            <w:bottom w:val="none" w:sz="0" w:space="0" w:color="auto"/>
            <w:right w:val="none" w:sz="0" w:space="0" w:color="auto"/>
          </w:divBdr>
        </w:div>
        <w:div w:id="1040589473">
          <w:marLeft w:val="640"/>
          <w:marRight w:val="0"/>
          <w:marTop w:val="0"/>
          <w:marBottom w:val="0"/>
          <w:divBdr>
            <w:top w:val="none" w:sz="0" w:space="0" w:color="auto"/>
            <w:left w:val="none" w:sz="0" w:space="0" w:color="auto"/>
            <w:bottom w:val="none" w:sz="0" w:space="0" w:color="auto"/>
            <w:right w:val="none" w:sz="0" w:space="0" w:color="auto"/>
          </w:divBdr>
        </w:div>
        <w:div w:id="1973123942">
          <w:marLeft w:val="640"/>
          <w:marRight w:val="0"/>
          <w:marTop w:val="0"/>
          <w:marBottom w:val="0"/>
          <w:divBdr>
            <w:top w:val="none" w:sz="0" w:space="0" w:color="auto"/>
            <w:left w:val="none" w:sz="0" w:space="0" w:color="auto"/>
            <w:bottom w:val="none" w:sz="0" w:space="0" w:color="auto"/>
            <w:right w:val="none" w:sz="0" w:space="0" w:color="auto"/>
          </w:divBdr>
        </w:div>
        <w:div w:id="892233029">
          <w:marLeft w:val="640"/>
          <w:marRight w:val="0"/>
          <w:marTop w:val="0"/>
          <w:marBottom w:val="0"/>
          <w:divBdr>
            <w:top w:val="none" w:sz="0" w:space="0" w:color="auto"/>
            <w:left w:val="none" w:sz="0" w:space="0" w:color="auto"/>
            <w:bottom w:val="none" w:sz="0" w:space="0" w:color="auto"/>
            <w:right w:val="none" w:sz="0" w:space="0" w:color="auto"/>
          </w:divBdr>
        </w:div>
        <w:div w:id="61414846">
          <w:marLeft w:val="640"/>
          <w:marRight w:val="0"/>
          <w:marTop w:val="0"/>
          <w:marBottom w:val="0"/>
          <w:divBdr>
            <w:top w:val="none" w:sz="0" w:space="0" w:color="auto"/>
            <w:left w:val="none" w:sz="0" w:space="0" w:color="auto"/>
            <w:bottom w:val="none" w:sz="0" w:space="0" w:color="auto"/>
            <w:right w:val="none" w:sz="0" w:space="0" w:color="auto"/>
          </w:divBdr>
        </w:div>
        <w:div w:id="817306800">
          <w:marLeft w:val="640"/>
          <w:marRight w:val="0"/>
          <w:marTop w:val="0"/>
          <w:marBottom w:val="0"/>
          <w:divBdr>
            <w:top w:val="none" w:sz="0" w:space="0" w:color="auto"/>
            <w:left w:val="none" w:sz="0" w:space="0" w:color="auto"/>
            <w:bottom w:val="none" w:sz="0" w:space="0" w:color="auto"/>
            <w:right w:val="none" w:sz="0" w:space="0" w:color="auto"/>
          </w:divBdr>
        </w:div>
        <w:div w:id="109710689">
          <w:marLeft w:val="640"/>
          <w:marRight w:val="0"/>
          <w:marTop w:val="0"/>
          <w:marBottom w:val="0"/>
          <w:divBdr>
            <w:top w:val="none" w:sz="0" w:space="0" w:color="auto"/>
            <w:left w:val="none" w:sz="0" w:space="0" w:color="auto"/>
            <w:bottom w:val="none" w:sz="0" w:space="0" w:color="auto"/>
            <w:right w:val="none" w:sz="0" w:space="0" w:color="auto"/>
          </w:divBdr>
        </w:div>
        <w:div w:id="105735869">
          <w:marLeft w:val="640"/>
          <w:marRight w:val="0"/>
          <w:marTop w:val="0"/>
          <w:marBottom w:val="0"/>
          <w:divBdr>
            <w:top w:val="none" w:sz="0" w:space="0" w:color="auto"/>
            <w:left w:val="none" w:sz="0" w:space="0" w:color="auto"/>
            <w:bottom w:val="none" w:sz="0" w:space="0" w:color="auto"/>
            <w:right w:val="none" w:sz="0" w:space="0" w:color="auto"/>
          </w:divBdr>
        </w:div>
        <w:div w:id="1359502737">
          <w:marLeft w:val="640"/>
          <w:marRight w:val="0"/>
          <w:marTop w:val="0"/>
          <w:marBottom w:val="0"/>
          <w:divBdr>
            <w:top w:val="none" w:sz="0" w:space="0" w:color="auto"/>
            <w:left w:val="none" w:sz="0" w:space="0" w:color="auto"/>
            <w:bottom w:val="none" w:sz="0" w:space="0" w:color="auto"/>
            <w:right w:val="none" w:sz="0" w:space="0" w:color="auto"/>
          </w:divBdr>
        </w:div>
        <w:div w:id="1122068581">
          <w:marLeft w:val="640"/>
          <w:marRight w:val="0"/>
          <w:marTop w:val="0"/>
          <w:marBottom w:val="0"/>
          <w:divBdr>
            <w:top w:val="none" w:sz="0" w:space="0" w:color="auto"/>
            <w:left w:val="none" w:sz="0" w:space="0" w:color="auto"/>
            <w:bottom w:val="none" w:sz="0" w:space="0" w:color="auto"/>
            <w:right w:val="none" w:sz="0" w:space="0" w:color="auto"/>
          </w:divBdr>
        </w:div>
        <w:div w:id="898172219">
          <w:marLeft w:val="640"/>
          <w:marRight w:val="0"/>
          <w:marTop w:val="0"/>
          <w:marBottom w:val="0"/>
          <w:divBdr>
            <w:top w:val="none" w:sz="0" w:space="0" w:color="auto"/>
            <w:left w:val="none" w:sz="0" w:space="0" w:color="auto"/>
            <w:bottom w:val="none" w:sz="0" w:space="0" w:color="auto"/>
            <w:right w:val="none" w:sz="0" w:space="0" w:color="auto"/>
          </w:divBdr>
        </w:div>
        <w:div w:id="1536235248">
          <w:marLeft w:val="640"/>
          <w:marRight w:val="0"/>
          <w:marTop w:val="0"/>
          <w:marBottom w:val="0"/>
          <w:divBdr>
            <w:top w:val="none" w:sz="0" w:space="0" w:color="auto"/>
            <w:left w:val="none" w:sz="0" w:space="0" w:color="auto"/>
            <w:bottom w:val="none" w:sz="0" w:space="0" w:color="auto"/>
            <w:right w:val="none" w:sz="0" w:space="0" w:color="auto"/>
          </w:divBdr>
        </w:div>
        <w:div w:id="311712800">
          <w:marLeft w:val="640"/>
          <w:marRight w:val="0"/>
          <w:marTop w:val="0"/>
          <w:marBottom w:val="0"/>
          <w:divBdr>
            <w:top w:val="none" w:sz="0" w:space="0" w:color="auto"/>
            <w:left w:val="none" w:sz="0" w:space="0" w:color="auto"/>
            <w:bottom w:val="none" w:sz="0" w:space="0" w:color="auto"/>
            <w:right w:val="none" w:sz="0" w:space="0" w:color="auto"/>
          </w:divBdr>
        </w:div>
      </w:divsChild>
    </w:div>
    <w:div w:id="601575061">
      <w:bodyDiv w:val="1"/>
      <w:marLeft w:val="0"/>
      <w:marRight w:val="0"/>
      <w:marTop w:val="0"/>
      <w:marBottom w:val="0"/>
      <w:divBdr>
        <w:top w:val="none" w:sz="0" w:space="0" w:color="auto"/>
        <w:left w:val="none" w:sz="0" w:space="0" w:color="auto"/>
        <w:bottom w:val="none" w:sz="0" w:space="0" w:color="auto"/>
        <w:right w:val="none" w:sz="0" w:space="0" w:color="auto"/>
      </w:divBdr>
      <w:divsChild>
        <w:div w:id="1198348972">
          <w:marLeft w:val="640"/>
          <w:marRight w:val="0"/>
          <w:marTop w:val="0"/>
          <w:marBottom w:val="0"/>
          <w:divBdr>
            <w:top w:val="none" w:sz="0" w:space="0" w:color="auto"/>
            <w:left w:val="none" w:sz="0" w:space="0" w:color="auto"/>
            <w:bottom w:val="none" w:sz="0" w:space="0" w:color="auto"/>
            <w:right w:val="none" w:sz="0" w:space="0" w:color="auto"/>
          </w:divBdr>
        </w:div>
        <w:div w:id="1284849905">
          <w:marLeft w:val="640"/>
          <w:marRight w:val="0"/>
          <w:marTop w:val="0"/>
          <w:marBottom w:val="0"/>
          <w:divBdr>
            <w:top w:val="none" w:sz="0" w:space="0" w:color="auto"/>
            <w:left w:val="none" w:sz="0" w:space="0" w:color="auto"/>
            <w:bottom w:val="none" w:sz="0" w:space="0" w:color="auto"/>
            <w:right w:val="none" w:sz="0" w:space="0" w:color="auto"/>
          </w:divBdr>
        </w:div>
        <w:div w:id="1644695399">
          <w:marLeft w:val="640"/>
          <w:marRight w:val="0"/>
          <w:marTop w:val="0"/>
          <w:marBottom w:val="0"/>
          <w:divBdr>
            <w:top w:val="none" w:sz="0" w:space="0" w:color="auto"/>
            <w:left w:val="none" w:sz="0" w:space="0" w:color="auto"/>
            <w:bottom w:val="none" w:sz="0" w:space="0" w:color="auto"/>
            <w:right w:val="none" w:sz="0" w:space="0" w:color="auto"/>
          </w:divBdr>
        </w:div>
        <w:div w:id="581985682">
          <w:marLeft w:val="640"/>
          <w:marRight w:val="0"/>
          <w:marTop w:val="0"/>
          <w:marBottom w:val="0"/>
          <w:divBdr>
            <w:top w:val="none" w:sz="0" w:space="0" w:color="auto"/>
            <w:left w:val="none" w:sz="0" w:space="0" w:color="auto"/>
            <w:bottom w:val="none" w:sz="0" w:space="0" w:color="auto"/>
            <w:right w:val="none" w:sz="0" w:space="0" w:color="auto"/>
          </w:divBdr>
        </w:div>
        <w:div w:id="662121003">
          <w:marLeft w:val="640"/>
          <w:marRight w:val="0"/>
          <w:marTop w:val="0"/>
          <w:marBottom w:val="0"/>
          <w:divBdr>
            <w:top w:val="none" w:sz="0" w:space="0" w:color="auto"/>
            <w:left w:val="none" w:sz="0" w:space="0" w:color="auto"/>
            <w:bottom w:val="none" w:sz="0" w:space="0" w:color="auto"/>
            <w:right w:val="none" w:sz="0" w:space="0" w:color="auto"/>
          </w:divBdr>
        </w:div>
        <w:div w:id="448282332">
          <w:marLeft w:val="640"/>
          <w:marRight w:val="0"/>
          <w:marTop w:val="0"/>
          <w:marBottom w:val="0"/>
          <w:divBdr>
            <w:top w:val="none" w:sz="0" w:space="0" w:color="auto"/>
            <w:left w:val="none" w:sz="0" w:space="0" w:color="auto"/>
            <w:bottom w:val="none" w:sz="0" w:space="0" w:color="auto"/>
            <w:right w:val="none" w:sz="0" w:space="0" w:color="auto"/>
          </w:divBdr>
        </w:div>
        <w:div w:id="1994261658">
          <w:marLeft w:val="640"/>
          <w:marRight w:val="0"/>
          <w:marTop w:val="0"/>
          <w:marBottom w:val="0"/>
          <w:divBdr>
            <w:top w:val="none" w:sz="0" w:space="0" w:color="auto"/>
            <w:left w:val="none" w:sz="0" w:space="0" w:color="auto"/>
            <w:bottom w:val="none" w:sz="0" w:space="0" w:color="auto"/>
            <w:right w:val="none" w:sz="0" w:space="0" w:color="auto"/>
          </w:divBdr>
        </w:div>
        <w:div w:id="2047872506">
          <w:marLeft w:val="640"/>
          <w:marRight w:val="0"/>
          <w:marTop w:val="0"/>
          <w:marBottom w:val="0"/>
          <w:divBdr>
            <w:top w:val="none" w:sz="0" w:space="0" w:color="auto"/>
            <w:left w:val="none" w:sz="0" w:space="0" w:color="auto"/>
            <w:bottom w:val="none" w:sz="0" w:space="0" w:color="auto"/>
            <w:right w:val="none" w:sz="0" w:space="0" w:color="auto"/>
          </w:divBdr>
        </w:div>
        <w:div w:id="582378887">
          <w:marLeft w:val="640"/>
          <w:marRight w:val="0"/>
          <w:marTop w:val="0"/>
          <w:marBottom w:val="0"/>
          <w:divBdr>
            <w:top w:val="none" w:sz="0" w:space="0" w:color="auto"/>
            <w:left w:val="none" w:sz="0" w:space="0" w:color="auto"/>
            <w:bottom w:val="none" w:sz="0" w:space="0" w:color="auto"/>
            <w:right w:val="none" w:sz="0" w:space="0" w:color="auto"/>
          </w:divBdr>
        </w:div>
        <w:div w:id="259728432">
          <w:marLeft w:val="640"/>
          <w:marRight w:val="0"/>
          <w:marTop w:val="0"/>
          <w:marBottom w:val="0"/>
          <w:divBdr>
            <w:top w:val="none" w:sz="0" w:space="0" w:color="auto"/>
            <w:left w:val="none" w:sz="0" w:space="0" w:color="auto"/>
            <w:bottom w:val="none" w:sz="0" w:space="0" w:color="auto"/>
            <w:right w:val="none" w:sz="0" w:space="0" w:color="auto"/>
          </w:divBdr>
        </w:div>
        <w:div w:id="376900876">
          <w:marLeft w:val="640"/>
          <w:marRight w:val="0"/>
          <w:marTop w:val="0"/>
          <w:marBottom w:val="0"/>
          <w:divBdr>
            <w:top w:val="none" w:sz="0" w:space="0" w:color="auto"/>
            <w:left w:val="none" w:sz="0" w:space="0" w:color="auto"/>
            <w:bottom w:val="none" w:sz="0" w:space="0" w:color="auto"/>
            <w:right w:val="none" w:sz="0" w:space="0" w:color="auto"/>
          </w:divBdr>
        </w:div>
        <w:div w:id="1413699872">
          <w:marLeft w:val="640"/>
          <w:marRight w:val="0"/>
          <w:marTop w:val="0"/>
          <w:marBottom w:val="0"/>
          <w:divBdr>
            <w:top w:val="none" w:sz="0" w:space="0" w:color="auto"/>
            <w:left w:val="none" w:sz="0" w:space="0" w:color="auto"/>
            <w:bottom w:val="none" w:sz="0" w:space="0" w:color="auto"/>
            <w:right w:val="none" w:sz="0" w:space="0" w:color="auto"/>
          </w:divBdr>
        </w:div>
        <w:div w:id="355499165">
          <w:marLeft w:val="640"/>
          <w:marRight w:val="0"/>
          <w:marTop w:val="0"/>
          <w:marBottom w:val="0"/>
          <w:divBdr>
            <w:top w:val="none" w:sz="0" w:space="0" w:color="auto"/>
            <w:left w:val="none" w:sz="0" w:space="0" w:color="auto"/>
            <w:bottom w:val="none" w:sz="0" w:space="0" w:color="auto"/>
            <w:right w:val="none" w:sz="0" w:space="0" w:color="auto"/>
          </w:divBdr>
        </w:div>
        <w:div w:id="1814831689">
          <w:marLeft w:val="640"/>
          <w:marRight w:val="0"/>
          <w:marTop w:val="0"/>
          <w:marBottom w:val="0"/>
          <w:divBdr>
            <w:top w:val="none" w:sz="0" w:space="0" w:color="auto"/>
            <w:left w:val="none" w:sz="0" w:space="0" w:color="auto"/>
            <w:bottom w:val="none" w:sz="0" w:space="0" w:color="auto"/>
            <w:right w:val="none" w:sz="0" w:space="0" w:color="auto"/>
          </w:divBdr>
        </w:div>
        <w:div w:id="513108652">
          <w:marLeft w:val="640"/>
          <w:marRight w:val="0"/>
          <w:marTop w:val="0"/>
          <w:marBottom w:val="0"/>
          <w:divBdr>
            <w:top w:val="none" w:sz="0" w:space="0" w:color="auto"/>
            <w:left w:val="none" w:sz="0" w:space="0" w:color="auto"/>
            <w:bottom w:val="none" w:sz="0" w:space="0" w:color="auto"/>
            <w:right w:val="none" w:sz="0" w:space="0" w:color="auto"/>
          </w:divBdr>
        </w:div>
        <w:div w:id="1918317635">
          <w:marLeft w:val="640"/>
          <w:marRight w:val="0"/>
          <w:marTop w:val="0"/>
          <w:marBottom w:val="0"/>
          <w:divBdr>
            <w:top w:val="none" w:sz="0" w:space="0" w:color="auto"/>
            <w:left w:val="none" w:sz="0" w:space="0" w:color="auto"/>
            <w:bottom w:val="none" w:sz="0" w:space="0" w:color="auto"/>
            <w:right w:val="none" w:sz="0" w:space="0" w:color="auto"/>
          </w:divBdr>
        </w:div>
        <w:div w:id="1631862794">
          <w:marLeft w:val="640"/>
          <w:marRight w:val="0"/>
          <w:marTop w:val="0"/>
          <w:marBottom w:val="0"/>
          <w:divBdr>
            <w:top w:val="none" w:sz="0" w:space="0" w:color="auto"/>
            <w:left w:val="none" w:sz="0" w:space="0" w:color="auto"/>
            <w:bottom w:val="none" w:sz="0" w:space="0" w:color="auto"/>
            <w:right w:val="none" w:sz="0" w:space="0" w:color="auto"/>
          </w:divBdr>
        </w:div>
        <w:div w:id="1384868446">
          <w:marLeft w:val="640"/>
          <w:marRight w:val="0"/>
          <w:marTop w:val="0"/>
          <w:marBottom w:val="0"/>
          <w:divBdr>
            <w:top w:val="none" w:sz="0" w:space="0" w:color="auto"/>
            <w:left w:val="none" w:sz="0" w:space="0" w:color="auto"/>
            <w:bottom w:val="none" w:sz="0" w:space="0" w:color="auto"/>
            <w:right w:val="none" w:sz="0" w:space="0" w:color="auto"/>
          </w:divBdr>
        </w:div>
        <w:div w:id="1226254587">
          <w:marLeft w:val="640"/>
          <w:marRight w:val="0"/>
          <w:marTop w:val="0"/>
          <w:marBottom w:val="0"/>
          <w:divBdr>
            <w:top w:val="none" w:sz="0" w:space="0" w:color="auto"/>
            <w:left w:val="none" w:sz="0" w:space="0" w:color="auto"/>
            <w:bottom w:val="none" w:sz="0" w:space="0" w:color="auto"/>
            <w:right w:val="none" w:sz="0" w:space="0" w:color="auto"/>
          </w:divBdr>
        </w:div>
        <w:div w:id="875045981">
          <w:marLeft w:val="640"/>
          <w:marRight w:val="0"/>
          <w:marTop w:val="0"/>
          <w:marBottom w:val="0"/>
          <w:divBdr>
            <w:top w:val="none" w:sz="0" w:space="0" w:color="auto"/>
            <w:left w:val="none" w:sz="0" w:space="0" w:color="auto"/>
            <w:bottom w:val="none" w:sz="0" w:space="0" w:color="auto"/>
            <w:right w:val="none" w:sz="0" w:space="0" w:color="auto"/>
          </w:divBdr>
        </w:div>
        <w:div w:id="1070349651">
          <w:marLeft w:val="640"/>
          <w:marRight w:val="0"/>
          <w:marTop w:val="0"/>
          <w:marBottom w:val="0"/>
          <w:divBdr>
            <w:top w:val="none" w:sz="0" w:space="0" w:color="auto"/>
            <w:left w:val="none" w:sz="0" w:space="0" w:color="auto"/>
            <w:bottom w:val="none" w:sz="0" w:space="0" w:color="auto"/>
            <w:right w:val="none" w:sz="0" w:space="0" w:color="auto"/>
          </w:divBdr>
        </w:div>
        <w:div w:id="263224545">
          <w:marLeft w:val="640"/>
          <w:marRight w:val="0"/>
          <w:marTop w:val="0"/>
          <w:marBottom w:val="0"/>
          <w:divBdr>
            <w:top w:val="none" w:sz="0" w:space="0" w:color="auto"/>
            <w:left w:val="none" w:sz="0" w:space="0" w:color="auto"/>
            <w:bottom w:val="none" w:sz="0" w:space="0" w:color="auto"/>
            <w:right w:val="none" w:sz="0" w:space="0" w:color="auto"/>
          </w:divBdr>
        </w:div>
        <w:div w:id="1079903764">
          <w:marLeft w:val="640"/>
          <w:marRight w:val="0"/>
          <w:marTop w:val="0"/>
          <w:marBottom w:val="0"/>
          <w:divBdr>
            <w:top w:val="none" w:sz="0" w:space="0" w:color="auto"/>
            <w:left w:val="none" w:sz="0" w:space="0" w:color="auto"/>
            <w:bottom w:val="none" w:sz="0" w:space="0" w:color="auto"/>
            <w:right w:val="none" w:sz="0" w:space="0" w:color="auto"/>
          </w:divBdr>
        </w:div>
        <w:div w:id="153111801">
          <w:marLeft w:val="640"/>
          <w:marRight w:val="0"/>
          <w:marTop w:val="0"/>
          <w:marBottom w:val="0"/>
          <w:divBdr>
            <w:top w:val="none" w:sz="0" w:space="0" w:color="auto"/>
            <w:left w:val="none" w:sz="0" w:space="0" w:color="auto"/>
            <w:bottom w:val="none" w:sz="0" w:space="0" w:color="auto"/>
            <w:right w:val="none" w:sz="0" w:space="0" w:color="auto"/>
          </w:divBdr>
        </w:div>
        <w:div w:id="406534410">
          <w:marLeft w:val="640"/>
          <w:marRight w:val="0"/>
          <w:marTop w:val="0"/>
          <w:marBottom w:val="0"/>
          <w:divBdr>
            <w:top w:val="none" w:sz="0" w:space="0" w:color="auto"/>
            <w:left w:val="none" w:sz="0" w:space="0" w:color="auto"/>
            <w:bottom w:val="none" w:sz="0" w:space="0" w:color="auto"/>
            <w:right w:val="none" w:sz="0" w:space="0" w:color="auto"/>
          </w:divBdr>
        </w:div>
        <w:div w:id="1364597320">
          <w:marLeft w:val="640"/>
          <w:marRight w:val="0"/>
          <w:marTop w:val="0"/>
          <w:marBottom w:val="0"/>
          <w:divBdr>
            <w:top w:val="none" w:sz="0" w:space="0" w:color="auto"/>
            <w:left w:val="none" w:sz="0" w:space="0" w:color="auto"/>
            <w:bottom w:val="none" w:sz="0" w:space="0" w:color="auto"/>
            <w:right w:val="none" w:sz="0" w:space="0" w:color="auto"/>
          </w:divBdr>
        </w:div>
        <w:div w:id="669022376">
          <w:marLeft w:val="640"/>
          <w:marRight w:val="0"/>
          <w:marTop w:val="0"/>
          <w:marBottom w:val="0"/>
          <w:divBdr>
            <w:top w:val="none" w:sz="0" w:space="0" w:color="auto"/>
            <w:left w:val="none" w:sz="0" w:space="0" w:color="auto"/>
            <w:bottom w:val="none" w:sz="0" w:space="0" w:color="auto"/>
            <w:right w:val="none" w:sz="0" w:space="0" w:color="auto"/>
          </w:divBdr>
        </w:div>
        <w:div w:id="2055882606">
          <w:marLeft w:val="640"/>
          <w:marRight w:val="0"/>
          <w:marTop w:val="0"/>
          <w:marBottom w:val="0"/>
          <w:divBdr>
            <w:top w:val="none" w:sz="0" w:space="0" w:color="auto"/>
            <w:left w:val="none" w:sz="0" w:space="0" w:color="auto"/>
            <w:bottom w:val="none" w:sz="0" w:space="0" w:color="auto"/>
            <w:right w:val="none" w:sz="0" w:space="0" w:color="auto"/>
          </w:divBdr>
        </w:div>
        <w:div w:id="1856184918">
          <w:marLeft w:val="640"/>
          <w:marRight w:val="0"/>
          <w:marTop w:val="0"/>
          <w:marBottom w:val="0"/>
          <w:divBdr>
            <w:top w:val="none" w:sz="0" w:space="0" w:color="auto"/>
            <w:left w:val="none" w:sz="0" w:space="0" w:color="auto"/>
            <w:bottom w:val="none" w:sz="0" w:space="0" w:color="auto"/>
            <w:right w:val="none" w:sz="0" w:space="0" w:color="auto"/>
          </w:divBdr>
        </w:div>
        <w:div w:id="675499979">
          <w:marLeft w:val="640"/>
          <w:marRight w:val="0"/>
          <w:marTop w:val="0"/>
          <w:marBottom w:val="0"/>
          <w:divBdr>
            <w:top w:val="none" w:sz="0" w:space="0" w:color="auto"/>
            <w:left w:val="none" w:sz="0" w:space="0" w:color="auto"/>
            <w:bottom w:val="none" w:sz="0" w:space="0" w:color="auto"/>
            <w:right w:val="none" w:sz="0" w:space="0" w:color="auto"/>
          </w:divBdr>
        </w:div>
        <w:div w:id="699009827">
          <w:marLeft w:val="640"/>
          <w:marRight w:val="0"/>
          <w:marTop w:val="0"/>
          <w:marBottom w:val="0"/>
          <w:divBdr>
            <w:top w:val="none" w:sz="0" w:space="0" w:color="auto"/>
            <w:left w:val="none" w:sz="0" w:space="0" w:color="auto"/>
            <w:bottom w:val="none" w:sz="0" w:space="0" w:color="auto"/>
            <w:right w:val="none" w:sz="0" w:space="0" w:color="auto"/>
          </w:divBdr>
        </w:div>
        <w:div w:id="2065522399">
          <w:marLeft w:val="640"/>
          <w:marRight w:val="0"/>
          <w:marTop w:val="0"/>
          <w:marBottom w:val="0"/>
          <w:divBdr>
            <w:top w:val="none" w:sz="0" w:space="0" w:color="auto"/>
            <w:left w:val="none" w:sz="0" w:space="0" w:color="auto"/>
            <w:bottom w:val="none" w:sz="0" w:space="0" w:color="auto"/>
            <w:right w:val="none" w:sz="0" w:space="0" w:color="auto"/>
          </w:divBdr>
        </w:div>
        <w:div w:id="694038339">
          <w:marLeft w:val="640"/>
          <w:marRight w:val="0"/>
          <w:marTop w:val="0"/>
          <w:marBottom w:val="0"/>
          <w:divBdr>
            <w:top w:val="none" w:sz="0" w:space="0" w:color="auto"/>
            <w:left w:val="none" w:sz="0" w:space="0" w:color="auto"/>
            <w:bottom w:val="none" w:sz="0" w:space="0" w:color="auto"/>
            <w:right w:val="none" w:sz="0" w:space="0" w:color="auto"/>
          </w:divBdr>
        </w:div>
        <w:div w:id="1811091348">
          <w:marLeft w:val="640"/>
          <w:marRight w:val="0"/>
          <w:marTop w:val="0"/>
          <w:marBottom w:val="0"/>
          <w:divBdr>
            <w:top w:val="none" w:sz="0" w:space="0" w:color="auto"/>
            <w:left w:val="none" w:sz="0" w:space="0" w:color="auto"/>
            <w:bottom w:val="none" w:sz="0" w:space="0" w:color="auto"/>
            <w:right w:val="none" w:sz="0" w:space="0" w:color="auto"/>
          </w:divBdr>
        </w:div>
        <w:div w:id="1261991601">
          <w:marLeft w:val="640"/>
          <w:marRight w:val="0"/>
          <w:marTop w:val="0"/>
          <w:marBottom w:val="0"/>
          <w:divBdr>
            <w:top w:val="none" w:sz="0" w:space="0" w:color="auto"/>
            <w:left w:val="none" w:sz="0" w:space="0" w:color="auto"/>
            <w:bottom w:val="none" w:sz="0" w:space="0" w:color="auto"/>
            <w:right w:val="none" w:sz="0" w:space="0" w:color="auto"/>
          </w:divBdr>
        </w:div>
        <w:div w:id="620772338">
          <w:marLeft w:val="640"/>
          <w:marRight w:val="0"/>
          <w:marTop w:val="0"/>
          <w:marBottom w:val="0"/>
          <w:divBdr>
            <w:top w:val="none" w:sz="0" w:space="0" w:color="auto"/>
            <w:left w:val="none" w:sz="0" w:space="0" w:color="auto"/>
            <w:bottom w:val="none" w:sz="0" w:space="0" w:color="auto"/>
            <w:right w:val="none" w:sz="0" w:space="0" w:color="auto"/>
          </w:divBdr>
        </w:div>
        <w:div w:id="352540906">
          <w:marLeft w:val="640"/>
          <w:marRight w:val="0"/>
          <w:marTop w:val="0"/>
          <w:marBottom w:val="0"/>
          <w:divBdr>
            <w:top w:val="none" w:sz="0" w:space="0" w:color="auto"/>
            <w:left w:val="none" w:sz="0" w:space="0" w:color="auto"/>
            <w:bottom w:val="none" w:sz="0" w:space="0" w:color="auto"/>
            <w:right w:val="none" w:sz="0" w:space="0" w:color="auto"/>
          </w:divBdr>
        </w:div>
        <w:div w:id="1606887374">
          <w:marLeft w:val="640"/>
          <w:marRight w:val="0"/>
          <w:marTop w:val="0"/>
          <w:marBottom w:val="0"/>
          <w:divBdr>
            <w:top w:val="none" w:sz="0" w:space="0" w:color="auto"/>
            <w:left w:val="none" w:sz="0" w:space="0" w:color="auto"/>
            <w:bottom w:val="none" w:sz="0" w:space="0" w:color="auto"/>
            <w:right w:val="none" w:sz="0" w:space="0" w:color="auto"/>
          </w:divBdr>
        </w:div>
        <w:div w:id="716708950">
          <w:marLeft w:val="640"/>
          <w:marRight w:val="0"/>
          <w:marTop w:val="0"/>
          <w:marBottom w:val="0"/>
          <w:divBdr>
            <w:top w:val="none" w:sz="0" w:space="0" w:color="auto"/>
            <w:left w:val="none" w:sz="0" w:space="0" w:color="auto"/>
            <w:bottom w:val="none" w:sz="0" w:space="0" w:color="auto"/>
            <w:right w:val="none" w:sz="0" w:space="0" w:color="auto"/>
          </w:divBdr>
        </w:div>
        <w:div w:id="767313017">
          <w:marLeft w:val="640"/>
          <w:marRight w:val="0"/>
          <w:marTop w:val="0"/>
          <w:marBottom w:val="0"/>
          <w:divBdr>
            <w:top w:val="none" w:sz="0" w:space="0" w:color="auto"/>
            <w:left w:val="none" w:sz="0" w:space="0" w:color="auto"/>
            <w:bottom w:val="none" w:sz="0" w:space="0" w:color="auto"/>
            <w:right w:val="none" w:sz="0" w:space="0" w:color="auto"/>
          </w:divBdr>
        </w:div>
        <w:div w:id="1068769164">
          <w:marLeft w:val="640"/>
          <w:marRight w:val="0"/>
          <w:marTop w:val="0"/>
          <w:marBottom w:val="0"/>
          <w:divBdr>
            <w:top w:val="none" w:sz="0" w:space="0" w:color="auto"/>
            <w:left w:val="none" w:sz="0" w:space="0" w:color="auto"/>
            <w:bottom w:val="none" w:sz="0" w:space="0" w:color="auto"/>
            <w:right w:val="none" w:sz="0" w:space="0" w:color="auto"/>
          </w:divBdr>
        </w:div>
        <w:div w:id="443230802">
          <w:marLeft w:val="640"/>
          <w:marRight w:val="0"/>
          <w:marTop w:val="0"/>
          <w:marBottom w:val="0"/>
          <w:divBdr>
            <w:top w:val="none" w:sz="0" w:space="0" w:color="auto"/>
            <w:left w:val="none" w:sz="0" w:space="0" w:color="auto"/>
            <w:bottom w:val="none" w:sz="0" w:space="0" w:color="auto"/>
            <w:right w:val="none" w:sz="0" w:space="0" w:color="auto"/>
          </w:divBdr>
        </w:div>
        <w:div w:id="623930329">
          <w:marLeft w:val="640"/>
          <w:marRight w:val="0"/>
          <w:marTop w:val="0"/>
          <w:marBottom w:val="0"/>
          <w:divBdr>
            <w:top w:val="none" w:sz="0" w:space="0" w:color="auto"/>
            <w:left w:val="none" w:sz="0" w:space="0" w:color="auto"/>
            <w:bottom w:val="none" w:sz="0" w:space="0" w:color="auto"/>
            <w:right w:val="none" w:sz="0" w:space="0" w:color="auto"/>
          </w:divBdr>
        </w:div>
        <w:div w:id="2009870818">
          <w:marLeft w:val="640"/>
          <w:marRight w:val="0"/>
          <w:marTop w:val="0"/>
          <w:marBottom w:val="0"/>
          <w:divBdr>
            <w:top w:val="none" w:sz="0" w:space="0" w:color="auto"/>
            <w:left w:val="none" w:sz="0" w:space="0" w:color="auto"/>
            <w:bottom w:val="none" w:sz="0" w:space="0" w:color="auto"/>
            <w:right w:val="none" w:sz="0" w:space="0" w:color="auto"/>
          </w:divBdr>
        </w:div>
        <w:div w:id="2088916063">
          <w:marLeft w:val="640"/>
          <w:marRight w:val="0"/>
          <w:marTop w:val="0"/>
          <w:marBottom w:val="0"/>
          <w:divBdr>
            <w:top w:val="none" w:sz="0" w:space="0" w:color="auto"/>
            <w:left w:val="none" w:sz="0" w:space="0" w:color="auto"/>
            <w:bottom w:val="none" w:sz="0" w:space="0" w:color="auto"/>
            <w:right w:val="none" w:sz="0" w:space="0" w:color="auto"/>
          </w:divBdr>
        </w:div>
        <w:div w:id="1078408682">
          <w:marLeft w:val="640"/>
          <w:marRight w:val="0"/>
          <w:marTop w:val="0"/>
          <w:marBottom w:val="0"/>
          <w:divBdr>
            <w:top w:val="none" w:sz="0" w:space="0" w:color="auto"/>
            <w:left w:val="none" w:sz="0" w:space="0" w:color="auto"/>
            <w:bottom w:val="none" w:sz="0" w:space="0" w:color="auto"/>
            <w:right w:val="none" w:sz="0" w:space="0" w:color="auto"/>
          </w:divBdr>
        </w:div>
        <w:div w:id="183978753">
          <w:marLeft w:val="640"/>
          <w:marRight w:val="0"/>
          <w:marTop w:val="0"/>
          <w:marBottom w:val="0"/>
          <w:divBdr>
            <w:top w:val="none" w:sz="0" w:space="0" w:color="auto"/>
            <w:left w:val="none" w:sz="0" w:space="0" w:color="auto"/>
            <w:bottom w:val="none" w:sz="0" w:space="0" w:color="auto"/>
            <w:right w:val="none" w:sz="0" w:space="0" w:color="auto"/>
          </w:divBdr>
        </w:div>
        <w:div w:id="1363238687">
          <w:marLeft w:val="640"/>
          <w:marRight w:val="0"/>
          <w:marTop w:val="0"/>
          <w:marBottom w:val="0"/>
          <w:divBdr>
            <w:top w:val="none" w:sz="0" w:space="0" w:color="auto"/>
            <w:left w:val="none" w:sz="0" w:space="0" w:color="auto"/>
            <w:bottom w:val="none" w:sz="0" w:space="0" w:color="auto"/>
            <w:right w:val="none" w:sz="0" w:space="0" w:color="auto"/>
          </w:divBdr>
        </w:div>
        <w:div w:id="1796748370">
          <w:marLeft w:val="640"/>
          <w:marRight w:val="0"/>
          <w:marTop w:val="0"/>
          <w:marBottom w:val="0"/>
          <w:divBdr>
            <w:top w:val="none" w:sz="0" w:space="0" w:color="auto"/>
            <w:left w:val="none" w:sz="0" w:space="0" w:color="auto"/>
            <w:bottom w:val="none" w:sz="0" w:space="0" w:color="auto"/>
            <w:right w:val="none" w:sz="0" w:space="0" w:color="auto"/>
          </w:divBdr>
        </w:div>
        <w:div w:id="1512378569">
          <w:marLeft w:val="640"/>
          <w:marRight w:val="0"/>
          <w:marTop w:val="0"/>
          <w:marBottom w:val="0"/>
          <w:divBdr>
            <w:top w:val="none" w:sz="0" w:space="0" w:color="auto"/>
            <w:left w:val="none" w:sz="0" w:space="0" w:color="auto"/>
            <w:bottom w:val="none" w:sz="0" w:space="0" w:color="auto"/>
            <w:right w:val="none" w:sz="0" w:space="0" w:color="auto"/>
          </w:divBdr>
        </w:div>
        <w:div w:id="1875533877">
          <w:marLeft w:val="640"/>
          <w:marRight w:val="0"/>
          <w:marTop w:val="0"/>
          <w:marBottom w:val="0"/>
          <w:divBdr>
            <w:top w:val="none" w:sz="0" w:space="0" w:color="auto"/>
            <w:left w:val="none" w:sz="0" w:space="0" w:color="auto"/>
            <w:bottom w:val="none" w:sz="0" w:space="0" w:color="auto"/>
            <w:right w:val="none" w:sz="0" w:space="0" w:color="auto"/>
          </w:divBdr>
        </w:div>
        <w:div w:id="247352755">
          <w:marLeft w:val="640"/>
          <w:marRight w:val="0"/>
          <w:marTop w:val="0"/>
          <w:marBottom w:val="0"/>
          <w:divBdr>
            <w:top w:val="none" w:sz="0" w:space="0" w:color="auto"/>
            <w:left w:val="none" w:sz="0" w:space="0" w:color="auto"/>
            <w:bottom w:val="none" w:sz="0" w:space="0" w:color="auto"/>
            <w:right w:val="none" w:sz="0" w:space="0" w:color="auto"/>
          </w:divBdr>
        </w:div>
        <w:div w:id="426314136">
          <w:marLeft w:val="640"/>
          <w:marRight w:val="0"/>
          <w:marTop w:val="0"/>
          <w:marBottom w:val="0"/>
          <w:divBdr>
            <w:top w:val="none" w:sz="0" w:space="0" w:color="auto"/>
            <w:left w:val="none" w:sz="0" w:space="0" w:color="auto"/>
            <w:bottom w:val="none" w:sz="0" w:space="0" w:color="auto"/>
            <w:right w:val="none" w:sz="0" w:space="0" w:color="auto"/>
          </w:divBdr>
        </w:div>
        <w:div w:id="241912863">
          <w:marLeft w:val="640"/>
          <w:marRight w:val="0"/>
          <w:marTop w:val="0"/>
          <w:marBottom w:val="0"/>
          <w:divBdr>
            <w:top w:val="none" w:sz="0" w:space="0" w:color="auto"/>
            <w:left w:val="none" w:sz="0" w:space="0" w:color="auto"/>
            <w:bottom w:val="none" w:sz="0" w:space="0" w:color="auto"/>
            <w:right w:val="none" w:sz="0" w:space="0" w:color="auto"/>
          </w:divBdr>
        </w:div>
        <w:div w:id="72823597">
          <w:marLeft w:val="640"/>
          <w:marRight w:val="0"/>
          <w:marTop w:val="0"/>
          <w:marBottom w:val="0"/>
          <w:divBdr>
            <w:top w:val="none" w:sz="0" w:space="0" w:color="auto"/>
            <w:left w:val="none" w:sz="0" w:space="0" w:color="auto"/>
            <w:bottom w:val="none" w:sz="0" w:space="0" w:color="auto"/>
            <w:right w:val="none" w:sz="0" w:space="0" w:color="auto"/>
          </w:divBdr>
        </w:div>
        <w:div w:id="599603696">
          <w:marLeft w:val="640"/>
          <w:marRight w:val="0"/>
          <w:marTop w:val="0"/>
          <w:marBottom w:val="0"/>
          <w:divBdr>
            <w:top w:val="none" w:sz="0" w:space="0" w:color="auto"/>
            <w:left w:val="none" w:sz="0" w:space="0" w:color="auto"/>
            <w:bottom w:val="none" w:sz="0" w:space="0" w:color="auto"/>
            <w:right w:val="none" w:sz="0" w:space="0" w:color="auto"/>
          </w:divBdr>
        </w:div>
        <w:div w:id="601689952">
          <w:marLeft w:val="640"/>
          <w:marRight w:val="0"/>
          <w:marTop w:val="0"/>
          <w:marBottom w:val="0"/>
          <w:divBdr>
            <w:top w:val="none" w:sz="0" w:space="0" w:color="auto"/>
            <w:left w:val="none" w:sz="0" w:space="0" w:color="auto"/>
            <w:bottom w:val="none" w:sz="0" w:space="0" w:color="auto"/>
            <w:right w:val="none" w:sz="0" w:space="0" w:color="auto"/>
          </w:divBdr>
        </w:div>
        <w:div w:id="79833679">
          <w:marLeft w:val="640"/>
          <w:marRight w:val="0"/>
          <w:marTop w:val="0"/>
          <w:marBottom w:val="0"/>
          <w:divBdr>
            <w:top w:val="none" w:sz="0" w:space="0" w:color="auto"/>
            <w:left w:val="none" w:sz="0" w:space="0" w:color="auto"/>
            <w:bottom w:val="none" w:sz="0" w:space="0" w:color="auto"/>
            <w:right w:val="none" w:sz="0" w:space="0" w:color="auto"/>
          </w:divBdr>
        </w:div>
        <w:div w:id="1629507818">
          <w:marLeft w:val="640"/>
          <w:marRight w:val="0"/>
          <w:marTop w:val="0"/>
          <w:marBottom w:val="0"/>
          <w:divBdr>
            <w:top w:val="none" w:sz="0" w:space="0" w:color="auto"/>
            <w:left w:val="none" w:sz="0" w:space="0" w:color="auto"/>
            <w:bottom w:val="none" w:sz="0" w:space="0" w:color="auto"/>
            <w:right w:val="none" w:sz="0" w:space="0" w:color="auto"/>
          </w:divBdr>
        </w:div>
        <w:div w:id="1778675777">
          <w:marLeft w:val="640"/>
          <w:marRight w:val="0"/>
          <w:marTop w:val="0"/>
          <w:marBottom w:val="0"/>
          <w:divBdr>
            <w:top w:val="none" w:sz="0" w:space="0" w:color="auto"/>
            <w:left w:val="none" w:sz="0" w:space="0" w:color="auto"/>
            <w:bottom w:val="none" w:sz="0" w:space="0" w:color="auto"/>
            <w:right w:val="none" w:sz="0" w:space="0" w:color="auto"/>
          </w:divBdr>
        </w:div>
        <w:div w:id="1819491586">
          <w:marLeft w:val="640"/>
          <w:marRight w:val="0"/>
          <w:marTop w:val="0"/>
          <w:marBottom w:val="0"/>
          <w:divBdr>
            <w:top w:val="none" w:sz="0" w:space="0" w:color="auto"/>
            <w:left w:val="none" w:sz="0" w:space="0" w:color="auto"/>
            <w:bottom w:val="none" w:sz="0" w:space="0" w:color="auto"/>
            <w:right w:val="none" w:sz="0" w:space="0" w:color="auto"/>
          </w:divBdr>
        </w:div>
        <w:div w:id="95952589">
          <w:marLeft w:val="640"/>
          <w:marRight w:val="0"/>
          <w:marTop w:val="0"/>
          <w:marBottom w:val="0"/>
          <w:divBdr>
            <w:top w:val="none" w:sz="0" w:space="0" w:color="auto"/>
            <w:left w:val="none" w:sz="0" w:space="0" w:color="auto"/>
            <w:bottom w:val="none" w:sz="0" w:space="0" w:color="auto"/>
            <w:right w:val="none" w:sz="0" w:space="0" w:color="auto"/>
          </w:divBdr>
        </w:div>
        <w:div w:id="1950623860">
          <w:marLeft w:val="640"/>
          <w:marRight w:val="0"/>
          <w:marTop w:val="0"/>
          <w:marBottom w:val="0"/>
          <w:divBdr>
            <w:top w:val="none" w:sz="0" w:space="0" w:color="auto"/>
            <w:left w:val="none" w:sz="0" w:space="0" w:color="auto"/>
            <w:bottom w:val="none" w:sz="0" w:space="0" w:color="auto"/>
            <w:right w:val="none" w:sz="0" w:space="0" w:color="auto"/>
          </w:divBdr>
        </w:div>
        <w:div w:id="762923485">
          <w:marLeft w:val="640"/>
          <w:marRight w:val="0"/>
          <w:marTop w:val="0"/>
          <w:marBottom w:val="0"/>
          <w:divBdr>
            <w:top w:val="none" w:sz="0" w:space="0" w:color="auto"/>
            <w:left w:val="none" w:sz="0" w:space="0" w:color="auto"/>
            <w:bottom w:val="none" w:sz="0" w:space="0" w:color="auto"/>
            <w:right w:val="none" w:sz="0" w:space="0" w:color="auto"/>
          </w:divBdr>
        </w:div>
        <w:div w:id="159662717">
          <w:marLeft w:val="640"/>
          <w:marRight w:val="0"/>
          <w:marTop w:val="0"/>
          <w:marBottom w:val="0"/>
          <w:divBdr>
            <w:top w:val="none" w:sz="0" w:space="0" w:color="auto"/>
            <w:left w:val="none" w:sz="0" w:space="0" w:color="auto"/>
            <w:bottom w:val="none" w:sz="0" w:space="0" w:color="auto"/>
            <w:right w:val="none" w:sz="0" w:space="0" w:color="auto"/>
          </w:divBdr>
        </w:div>
        <w:div w:id="704057918">
          <w:marLeft w:val="640"/>
          <w:marRight w:val="0"/>
          <w:marTop w:val="0"/>
          <w:marBottom w:val="0"/>
          <w:divBdr>
            <w:top w:val="none" w:sz="0" w:space="0" w:color="auto"/>
            <w:left w:val="none" w:sz="0" w:space="0" w:color="auto"/>
            <w:bottom w:val="none" w:sz="0" w:space="0" w:color="auto"/>
            <w:right w:val="none" w:sz="0" w:space="0" w:color="auto"/>
          </w:divBdr>
        </w:div>
        <w:div w:id="1488595245">
          <w:marLeft w:val="640"/>
          <w:marRight w:val="0"/>
          <w:marTop w:val="0"/>
          <w:marBottom w:val="0"/>
          <w:divBdr>
            <w:top w:val="none" w:sz="0" w:space="0" w:color="auto"/>
            <w:left w:val="none" w:sz="0" w:space="0" w:color="auto"/>
            <w:bottom w:val="none" w:sz="0" w:space="0" w:color="auto"/>
            <w:right w:val="none" w:sz="0" w:space="0" w:color="auto"/>
          </w:divBdr>
        </w:div>
        <w:div w:id="1924560816">
          <w:marLeft w:val="640"/>
          <w:marRight w:val="0"/>
          <w:marTop w:val="0"/>
          <w:marBottom w:val="0"/>
          <w:divBdr>
            <w:top w:val="none" w:sz="0" w:space="0" w:color="auto"/>
            <w:left w:val="none" w:sz="0" w:space="0" w:color="auto"/>
            <w:bottom w:val="none" w:sz="0" w:space="0" w:color="auto"/>
            <w:right w:val="none" w:sz="0" w:space="0" w:color="auto"/>
          </w:divBdr>
        </w:div>
        <w:div w:id="805271675">
          <w:marLeft w:val="640"/>
          <w:marRight w:val="0"/>
          <w:marTop w:val="0"/>
          <w:marBottom w:val="0"/>
          <w:divBdr>
            <w:top w:val="none" w:sz="0" w:space="0" w:color="auto"/>
            <w:left w:val="none" w:sz="0" w:space="0" w:color="auto"/>
            <w:bottom w:val="none" w:sz="0" w:space="0" w:color="auto"/>
            <w:right w:val="none" w:sz="0" w:space="0" w:color="auto"/>
          </w:divBdr>
        </w:div>
        <w:div w:id="135270300">
          <w:marLeft w:val="640"/>
          <w:marRight w:val="0"/>
          <w:marTop w:val="0"/>
          <w:marBottom w:val="0"/>
          <w:divBdr>
            <w:top w:val="none" w:sz="0" w:space="0" w:color="auto"/>
            <w:left w:val="none" w:sz="0" w:space="0" w:color="auto"/>
            <w:bottom w:val="none" w:sz="0" w:space="0" w:color="auto"/>
            <w:right w:val="none" w:sz="0" w:space="0" w:color="auto"/>
          </w:divBdr>
        </w:div>
        <w:div w:id="45959606">
          <w:marLeft w:val="640"/>
          <w:marRight w:val="0"/>
          <w:marTop w:val="0"/>
          <w:marBottom w:val="0"/>
          <w:divBdr>
            <w:top w:val="none" w:sz="0" w:space="0" w:color="auto"/>
            <w:left w:val="none" w:sz="0" w:space="0" w:color="auto"/>
            <w:bottom w:val="none" w:sz="0" w:space="0" w:color="auto"/>
            <w:right w:val="none" w:sz="0" w:space="0" w:color="auto"/>
          </w:divBdr>
        </w:div>
        <w:div w:id="1194928947">
          <w:marLeft w:val="640"/>
          <w:marRight w:val="0"/>
          <w:marTop w:val="0"/>
          <w:marBottom w:val="0"/>
          <w:divBdr>
            <w:top w:val="none" w:sz="0" w:space="0" w:color="auto"/>
            <w:left w:val="none" w:sz="0" w:space="0" w:color="auto"/>
            <w:bottom w:val="none" w:sz="0" w:space="0" w:color="auto"/>
            <w:right w:val="none" w:sz="0" w:space="0" w:color="auto"/>
          </w:divBdr>
        </w:div>
        <w:div w:id="1568684634">
          <w:marLeft w:val="640"/>
          <w:marRight w:val="0"/>
          <w:marTop w:val="0"/>
          <w:marBottom w:val="0"/>
          <w:divBdr>
            <w:top w:val="none" w:sz="0" w:space="0" w:color="auto"/>
            <w:left w:val="none" w:sz="0" w:space="0" w:color="auto"/>
            <w:bottom w:val="none" w:sz="0" w:space="0" w:color="auto"/>
            <w:right w:val="none" w:sz="0" w:space="0" w:color="auto"/>
          </w:divBdr>
        </w:div>
        <w:div w:id="182206005">
          <w:marLeft w:val="640"/>
          <w:marRight w:val="0"/>
          <w:marTop w:val="0"/>
          <w:marBottom w:val="0"/>
          <w:divBdr>
            <w:top w:val="none" w:sz="0" w:space="0" w:color="auto"/>
            <w:left w:val="none" w:sz="0" w:space="0" w:color="auto"/>
            <w:bottom w:val="none" w:sz="0" w:space="0" w:color="auto"/>
            <w:right w:val="none" w:sz="0" w:space="0" w:color="auto"/>
          </w:divBdr>
        </w:div>
        <w:div w:id="862866619">
          <w:marLeft w:val="640"/>
          <w:marRight w:val="0"/>
          <w:marTop w:val="0"/>
          <w:marBottom w:val="0"/>
          <w:divBdr>
            <w:top w:val="none" w:sz="0" w:space="0" w:color="auto"/>
            <w:left w:val="none" w:sz="0" w:space="0" w:color="auto"/>
            <w:bottom w:val="none" w:sz="0" w:space="0" w:color="auto"/>
            <w:right w:val="none" w:sz="0" w:space="0" w:color="auto"/>
          </w:divBdr>
        </w:div>
        <w:div w:id="1280989358">
          <w:marLeft w:val="640"/>
          <w:marRight w:val="0"/>
          <w:marTop w:val="0"/>
          <w:marBottom w:val="0"/>
          <w:divBdr>
            <w:top w:val="none" w:sz="0" w:space="0" w:color="auto"/>
            <w:left w:val="none" w:sz="0" w:space="0" w:color="auto"/>
            <w:bottom w:val="none" w:sz="0" w:space="0" w:color="auto"/>
            <w:right w:val="none" w:sz="0" w:space="0" w:color="auto"/>
          </w:divBdr>
        </w:div>
        <w:div w:id="35206214">
          <w:marLeft w:val="640"/>
          <w:marRight w:val="0"/>
          <w:marTop w:val="0"/>
          <w:marBottom w:val="0"/>
          <w:divBdr>
            <w:top w:val="none" w:sz="0" w:space="0" w:color="auto"/>
            <w:left w:val="none" w:sz="0" w:space="0" w:color="auto"/>
            <w:bottom w:val="none" w:sz="0" w:space="0" w:color="auto"/>
            <w:right w:val="none" w:sz="0" w:space="0" w:color="auto"/>
          </w:divBdr>
        </w:div>
        <w:div w:id="1084643775">
          <w:marLeft w:val="640"/>
          <w:marRight w:val="0"/>
          <w:marTop w:val="0"/>
          <w:marBottom w:val="0"/>
          <w:divBdr>
            <w:top w:val="none" w:sz="0" w:space="0" w:color="auto"/>
            <w:left w:val="none" w:sz="0" w:space="0" w:color="auto"/>
            <w:bottom w:val="none" w:sz="0" w:space="0" w:color="auto"/>
            <w:right w:val="none" w:sz="0" w:space="0" w:color="auto"/>
          </w:divBdr>
        </w:div>
        <w:div w:id="283003037">
          <w:marLeft w:val="640"/>
          <w:marRight w:val="0"/>
          <w:marTop w:val="0"/>
          <w:marBottom w:val="0"/>
          <w:divBdr>
            <w:top w:val="none" w:sz="0" w:space="0" w:color="auto"/>
            <w:left w:val="none" w:sz="0" w:space="0" w:color="auto"/>
            <w:bottom w:val="none" w:sz="0" w:space="0" w:color="auto"/>
            <w:right w:val="none" w:sz="0" w:space="0" w:color="auto"/>
          </w:divBdr>
        </w:div>
        <w:div w:id="2121755595">
          <w:marLeft w:val="640"/>
          <w:marRight w:val="0"/>
          <w:marTop w:val="0"/>
          <w:marBottom w:val="0"/>
          <w:divBdr>
            <w:top w:val="none" w:sz="0" w:space="0" w:color="auto"/>
            <w:left w:val="none" w:sz="0" w:space="0" w:color="auto"/>
            <w:bottom w:val="none" w:sz="0" w:space="0" w:color="auto"/>
            <w:right w:val="none" w:sz="0" w:space="0" w:color="auto"/>
          </w:divBdr>
        </w:div>
        <w:div w:id="890385858">
          <w:marLeft w:val="640"/>
          <w:marRight w:val="0"/>
          <w:marTop w:val="0"/>
          <w:marBottom w:val="0"/>
          <w:divBdr>
            <w:top w:val="none" w:sz="0" w:space="0" w:color="auto"/>
            <w:left w:val="none" w:sz="0" w:space="0" w:color="auto"/>
            <w:bottom w:val="none" w:sz="0" w:space="0" w:color="auto"/>
            <w:right w:val="none" w:sz="0" w:space="0" w:color="auto"/>
          </w:divBdr>
        </w:div>
        <w:div w:id="2051567128">
          <w:marLeft w:val="640"/>
          <w:marRight w:val="0"/>
          <w:marTop w:val="0"/>
          <w:marBottom w:val="0"/>
          <w:divBdr>
            <w:top w:val="none" w:sz="0" w:space="0" w:color="auto"/>
            <w:left w:val="none" w:sz="0" w:space="0" w:color="auto"/>
            <w:bottom w:val="none" w:sz="0" w:space="0" w:color="auto"/>
            <w:right w:val="none" w:sz="0" w:space="0" w:color="auto"/>
          </w:divBdr>
        </w:div>
        <w:div w:id="1563980051">
          <w:marLeft w:val="640"/>
          <w:marRight w:val="0"/>
          <w:marTop w:val="0"/>
          <w:marBottom w:val="0"/>
          <w:divBdr>
            <w:top w:val="none" w:sz="0" w:space="0" w:color="auto"/>
            <w:left w:val="none" w:sz="0" w:space="0" w:color="auto"/>
            <w:bottom w:val="none" w:sz="0" w:space="0" w:color="auto"/>
            <w:right w:val="none" w:sz="0" w:space="0" w:color="auto"/>
          </w:divBdr>
        </w:div>
        <w:div w:id="680931381">
          <w:marLeft w:val="640"/>
          <w:marRight w:val="0"/>
          <w:marTop w:val="0"/>
          <w:marBottom w:val="0"/>
          <w:divBdr>
            <w:top w:val="none" w:sz="0" w:space="0" w:color="auto"/>
            <w:left w:val="none" w:sz="0" w:space="0" w:color="auto"/>
            <w:bottom w:val="none" w:sz="0" w:space="0" w:color="auto"/>
            <w:right w:val="none" w:sz="0" w:space="0" w:color="auto"/>
          </w:divBdr>
        </w:div>
        <w:div w:id="1878736338">
          <w:marLeft w:val="640"/>
          <w:marRight w:val="0"/>
          <w:marTop w:val="0"/>
          <w:marBottom w:val="0"/>
          <w:divBdr>
            <w:top w:val="none" w:sz="0" w:space="0" w:color="auto"/>
            <w:left w:val="none" w:sz="0" w:space="0" w:color="auto"/>
            <w:bottom w:val="none" w:sz="0" w:space="0" w:color="auto"/>
            <w:right w:val="none" w:sz="0" w:space="0" w:color="auto"/>
          </w:divBdr>
        </w:div>
        <w:div w:id="501892945">
          <w:marLeft w:val="640"/>
          <w:marRight w:val="0"/>
          <w:marTop w:val="0"/>
          <w:marBottom w:val="0"/>
          <w:divBdr>
            <w:top w:val="none" w:sz="0" w:space="0" w:color="auto"/>
            <w:left w:val="none" w:sz="0" w:space="0" w:color="auto"/>
            <w:bottom w:val="none" w:sz="0" w:space="0" w:color="auto"/>
            <w:right w:val="none" w:sz="0" w:space="0" w:color="auto"/>
          </w:divBdr>
        </w:div>
        <w:div w:id="2116708762">
          <w:marLeft w:val="640"/>
          <w:marRight w:val="0"/>
          <w:marTop w:val="0"/>
          <w:marBottom w:val="0"/>
          <w:divBdr>
            <w:top w:val="none" w:sz="0" w:space="0" w:color="auto"/>
            <w:left w:val="none" w:sz="0" w:space="0" w:color="auto"/>
            <w:bottom w:val="none" w:sz="0" w:space="0" w:color="auto"/>
            <w:right w:val="none" w:sz="0" w:space="0" w:color="auto"/>
          </w:divBdr>
        </w:div>
        <w:div w:id="167185697">
          <w:marLeft w:val="640"/>
          <w:marRight w:val="0"/>
          <w:marTop w:val="0"/>
          <w:marBottom w:val="0"/>
          <w:divBdr>
            <w:top w:val="none" w:sz="0" w:space="0" w:color="auto"/>
            <w:left w:val="none" w:sz="0" w:space="0" w:color="auto"/>
            <w:bottom w:val="none" w:sz="0" w:space="0" w:color="auto"/>
            <w:right w:val="none" w:sz="0" w:space="0" w:color="auto"/>
          </w:divBdr>
        </w:div>
        <w:div w:id="1105349541">
          <w:marLeft w:val="640"/>
          <w:marRight w:val="0"/>
          <w:marTop w:val="0"/>
          <w:marBottom w:val="0"/>
          <w:divBdr>
            <w:top w:val="none" w:sz="0" w:space="0" w:color="auto"/>
            <w:left w:val="none" w:sz="0" w:space="0" w:color="auto"/>
            <w:bottom w:val="none" w:sz="0" w:space="0" w:color="auto"/>
            <w:right w:val="none" w:sz="0" w:space="0" w:color="auto"/>
          </w:divBdr>
        </w:div>
        <w:div w:id="1365785668">
          <w:marLeft w:val="640"/>
          <w:marRight w:val="0"/>
          <w:marTop w:val="0"/>
          <w:marBottom w:val="0"/>
          <w:divBdr>
            <w:top w:val="none" w:sz="0" w:space="0" w:color="auto"/>
            <w:left w:val="none" w:sz="0" w:space="0" w:color="auto"/>
            <w:bottom w:val="none" w:sz="0" w:space="0" w:color="auto"/>
            <w:right w:val="none" w:sz="0" w:space="0" w:color="auto"/>
          </w:divBdr>
        </w:div>
        <w:div w:id="1152214596">
          <w:marLeft w:val="640"/>
          <w:marRight w:val="0"/>
          <w:marTop w:val="0"/>
          <w:marBottom w:val="0"/>
          <w:divBdr>
            <w:top w:val="none" w:sz="0" w:space="0" w:color="auto"/>
            <w:left w:val="none" w:sz="0" w:space="0" w:color="auto"/>
            <w:bottom w:val="none" w:sz="0" w:space="0" w:color="auto"/>
            <w:right w:val="none" w:sz="0" w:space="0" w:color="auto"/>
          </w:divBdr>
        </w:div>
        <w:div w:id="678654006">
          <w:marLeft w:val="640"/>
          <w:marRight w:val="0"/>
          <w:marTop w:val="0"/>
          <w:marBottom w:val="0"/>
          <w:divBdr>
            <w:top w:val="none" w:sz="0" w:space="0" w:color="auto"/>
            <w:left w:val="none" w:sz="0" w:space="0" w:color="auto"/>
            <w:bottom w:val="none" w:sz="0" w:space="0" w:color="auto"/>
            <w:right w:val="none" w:sz="0" w:space="0" w:color="auto"/>
          </w:divBdr>
        </w:div>
        <w:div w:id="1644700213">
          <w:marLeft w:val="640"/>
          <w:marRight w:val="0"/>
          <w:marTop w:val="0"/>
          <w:marBottom w:val="0"/>
          <w:divBdr>
            <w:top w:val="none" w:sz="0" w:space="0" w:color="auto"/>
            <w:left w:val="none" w:sz="0" w:space="0" w:color="auto"/>
            <w:bottom w:val="none" w:sz="0" w:space="0" w:color="auto"/>
            <w:right w:val="none" w:sz="0" w:space="0" w:color="auto"/>
          </w:divBdr>
        </w:div>
        <w:div w:id="761804401">
          <w:marLeft w:val="640"/>
          <w:marRight w:val="0"/>
          <w:marTop w:val="0"/>
          <w:marBottom w:val="0"/>
          <w:divBdr>
            <w:top w:val="none" w:sz="0" w:space="0" w:color="auto"/>
            <w:left w:val="none" w:sz="0" w:space="0" w:color="auto"/>
            <w:bottom w:val="none" w:sz="0" w:space="0" w:color="auto"/>
            <w:right w:val="none" w:sz="0" w:space="0" w:color="auto"/>
          </w:divBdr>
        </w:div>
        <w:div w:id="1876457565">
          <w:marLeft w:val="640"/>
          <w:marRight w:val="0"/>
          <w:marTop w:val="0"/>
          <w:marBottom w:val="0"/>
          <w:divBdr>
            <w:top w:val="none" w:sz="0" w:space="0" w:color="auto"/>
            <w:left w:val="none" w:sz="0" w:space="0" w:color="auto"/>
            <w:bottom w:val="none" w:sz="0" w:space="0" w:color="auto"/>
            <w:right w:val="none" w:sz="0" w:space="0" w:color="auto"/>
          </w:divBdr>
        </w:div>
        <w:div w:id="588394815">
          <w:marLeft w:val="640"/>
          <w:marRight w:val="0"/>
          <w:marTop w:val="0"/>
          <w:marBottom w:val="0"/>
          <w:divBdr>
            <w:top w:val="none" w:sz="0" w:space="0" w:color="auto"/>
            <w:left w:val="none" w:sz="0" w:space="0" w:color="auto"/>
            <w:bottom w:val="none" w:sz="0" w:space="0" w:color="auto"/>
            <w:right w:val="none" w:sz="0" w:space="0" w:color="auto"/>
          </w:divBdr>
        </w:div>
        <w:div w:id="2103993794">
          <w:marLeft w:val="640"/>
          <w:marRight w:val="0"/>
          <w:marTop w:val="0"/>
          <w:marBottom w:val="0"/>
          <w:divBdr>
            <w:top w:val="none" w:sz="0" w:space="0" w:color="auto"/>
            <w:left w:val="none" w:sz="0" w:space="0" w:color="auto"/>
            <w:bottom w:val="none" w:sz="0" w:space="0" w:color="auto"/>
            <w:right w:val="none" w:sz="0" w:space="0" w:color="auto"/>
          </w:divBdr>
        </w:div>
        <w:div w:id="1345521681">
          <w:marLeft w:val="640"/>
          <w:marRight w:val="0"/>
          <w:marTop w:val="0"/>
          <w:marBottom w:val="0"/>
          <w:divBdr>
            <w:top w:val="none" w:sz="0" w:space="0" w:color="auto"/>
            <w:left w:val="none" w:sz="0" w:space="0" w:color="auto"/>
            <w:bottom w:val="none" w:sz="0" w:space="0" w:color="auto"/>
            <w:right w:val="none" w:sz="0" w:space="0" w:color="auto"/>
          </w:divBdr>
        </w:div>
        <w:div w:id="1764569529">
          <w:marLeft w:val="640"/>
          <w:marRight w:val="0"/>
          <w:marTop w:val="0"/>
          <w:marBottom w:val="0"/>
          <w:divBdr>
            <w:top w:val="none" w:sz="0" w:space="0" w:color="auto"/>
            <w:left w:val="none" w:sz="0" w:space="0" w:color="auto"/>
            <w:bottom w:val="none" w:sz="0" w:space="0" w:color="auto"/>
            <w:right w:val="none" w:sz="0" w:space="0" w:color="auto"/>
          </w:divBdr>
        </w:div>
        <w:div w:id="1927182049">
          <w:marLeft w:val="640"/>
          <w:marRight w:val="0"/>
          <w:marTop w:val="0"/>
          <w:marBottom w:val="0"/>
          <w:divBdr>
            <w:top w:val="none" w:sz="0" w:space="0" w:color="auto"/>
            <w:left w:val="none" w:sz="0" w:space="0" w:color="auto"/>
            <w:bottom w:val="none" w:sz="0" w:space="0" w:color="auto"/>
            <w:right w:val="none" w:sz="0" w:space="0" w:color="auto"/>
          </w:divBdr>
        </w:div>
        <w:div w:id="386729297">
          <w:marLeft w:val="640"/>
          <w:marRight w:val="0"/>
          <w:marTop w:val="0"/>
          <w:marBottom w:val="0"/>
          <w:divBdr>
            <w:top w:val="none" w:sz="0" w:space="0" w:color="auto"/>
            <w:left w:val="none" w:sz="0" w:space="0" w:color="auto"/>
            <w:bottom w:val="none" w:sz="0" w:space="0" w:color="auto"/>
            <w:right w:val="none" w:sz="0" w:space="0" w:color="auto"/>
          </w:divBdr>
        </w:div>
        <w:div w:id="930696348">
          <w:marLeft w:val="640"/>
          <w:marRight w:val="0"/>
          <w:marTop w:val="0"/>
          <w:marBottom w:val="0"/>
          <w:divBdr>
            <w:top w:val="none" w:sz="0" w:space="0" w:color="auto"/>
            <w:left w:val="none" w:sz="0" w:space="0" w:color="auto"/>
            <w:bottom w:val="none" w:sz="0" w:space="0" w:color="auto"/>
            <w:right w:val="none" w:sz="0" w:space="0" w:color="auto"/>
          </w:divBdr>
        </w:div>
        <w:div w:id="9845714">
          <w:marLeft w:val="640"/>
          <w:marRight w:val="0"/>
          <w:marTop w:val="0"/>
          <w:marBottom w:val="0"/>
          <w:divBdr>
            <w:top w:val="none" w:sz="0" w:space="0" w:color="auto"/>
            <w:left w:val="none" w:sz="0" w:space="0" w:color="auto"/>
            <w:bottom w:val="none" w:sz="0" w:space="0" w:color="auto"/>
            <w:right w:val="none" w:sz="0" w:space="0" w:color="auto"/>
          </w:divBdr>
        </w:div>
        <w:div w:id="1002708947">
          <w:marLeft w:val="640"/>
          <w:marRight w:val="0"/>
          <w:marTop w:val="0"/>
          <w:marBottom w:val="0"/>
          <w:divBdr>
            <w:top w:val="none" w:sz="0" w:space="0" w:color="auto"/>
            <w:left w:val="none" w:sz="0" w:space="0" w:color="auto"/>
            <w:bottom w:val="none" w:sz="0" w:space="0" w:color="auto"/>
            <w:right w:val="none" w:sz="0" w:space="0" w:color="auto"/>
          </w:divBdr>
        </w:div>
        <w:div w:id="177895048">
          <w:marLeft w:val="640"/>
          <w:marRight w:val="0"/>
          <w:marTop w:val="0"/>
          <w:marBottom w:val="0"/>
          <w:divBdr>
            <w:top w:val="none" w:sz="0" w:space="0" w:color="auto"/>
            <w:left w:val="none" w:sz="0" w:space="0" w:color="auto"/>
            <w:bottom w:val="none" w:sz="0" w:space="0" w:color="auto"/>
            <w:right w:val="none" w:sz="0" w:space="0" w:color="auto"/>
          </w:divBdr>
        </w:div>
        <w:div w:id="1246912270">
          <w:marLeft w:val="640"/>
          <w:marRight w:val="0"/>
          <w:marTop w:val="0"/>
          <w:marBottom w:val="0"/>
          <w:divBdr>
            <w:top w:val="none" w:sz="0" w:space="0" w:color="auto"/>
            <w:left w:val="none" w:sz="0" w:space="0" w:color="auto"/>
            <w:bottom w:val="none" w:sz="0" w:space="0" w:color="auto"/>
            <w:right w:val="none" w:sz="0" w:space="0" w:color="auto"/>
          </w:divBdr>
        </w:div>
        <w:div w:id="1830898544">
          <w:marLeft w:val="640"/>
          <w:marRight w:val="0"/>
          <w:marTop w:val="0"/>
          <w:marBottom w:val="0"/>
          <w:divBdr>
            <w:top w:val="none" w:sz="0" w:space="0" w:color="auto"/>
            <w:left w:val="none" w:sz="0" w:space="0" w:color="auto"/>
            <w:bottom w:val="none" w:sz="0" w:space="0" w:color="auto"/>
            <w:right w:val="none" w:sz="0" w:space="0" w:color="auto"/>
          </w:divBdr>
        </w:div>
        <w:div w:id="1423718422">
          <w:marLeft w:val="640"/>
          <w:marRight w:val="0"/>
          <w:marTop w:val="0"/>
          <w:marBottom w:val="0"/>
          <w:divBdr>
            <w:top w:val="none" w:sz="0" w:space="0" w:color="auto"/>
            <w:left w:val="none" w:sz="0" w:space="0" w:color="auto"/>
            <w:bottom w:val="none" w:sz="0" w:space="0" w:color="auto"/>
            <w:right w:val="none" w:sz="0" w:space="0" w:color="auto"/>
          </w:divBdr>
        </w:div>
        <w:div w:id="208228747">
          <w:marLeft w:val="640"/>
          <w:marRight w:val="0"/>
          <w:marTop w:val="0"/>
          <w:marBottom w:val="0"/>
          <w:divBdr>
            <w:top w:val="none" w:sz="0" w:space="0" w:color="auto"/>
            <w:left w:val="none" w:sz="0" w:space="0" w:color="auto"/>
            <w:bottom w:val="none" w:sz="0" w:space="0" w:color="auto"/>
            <w:right w:val="none" w:sz="0" w:space="0" w:color="auto"/>
          </w:divBdr>
        </w:div>
        <w:div w:id="2060204752">
          <w:marLeft w:val="640"/>
          <w:marRight w:val="0"/>
          <w:marTop w:val="0"/>
          <w:marBottom w:val="0"/>
          <w:divBdr>
            <w:top w:val="none" w:sz="0" w:space="0" w:color="auto"/>
            <w:left w:val="none" w:sz="0" w:space="0" w:color="auto"/>
            <w:bottom w:val="none" w:sz="0" w:space="0" w:color="auto"/>
            <w:right w:val="none" w:sz="0" w:space="0" w:color="auto"/>
          </w:divBdr>
        </w:div>
        <w:div w:id="2058166587">
          <w:marLeft w:val="640"/>
          <w:marRight w:val="0"/>
          <w:marTop w:val="0"/>
          <w:marBottom w:val="0"/>
          <w:divBdr>
            <w:top w:val="none" w:sz="0" w:space="0" w:color="auto"/>
            <w:left w:val="none" w:sz="0" w:space="0" w:color="auto"/>
            <w:bottom w:val="none" w:sz="0" w:space="0" w:color="auto"/>
            <w:right w:val="none" w:sz="0" w:space="0" w:color="auto"/>
          </w:divBdr>
        </w:div>
        <w:div w:id="242766780">
          <w:marLeft w:val="640"/>
          <w:marRight w:val="0"/>
          <w:marTop w:val="0"/>
          <w:marBottom w:val="0"/>
          <w:divBdr>
            <w:top w:val="none" w:sz="0" w:space="0" w:color="auto"/>
            <w:left w:val="none" w:sz="0" w:space="0" w:color="auto"/>
            <w:bottom w:val="none" w:sz="0" w:space="0" w:color="auto"/>
            <w:right w:val="none" w:sz="0" w:space="0" w:color="auto"/>
          </w:divBdr>
        </w:div>
        <w:div w:id="1833981551">
          <w:marLeft w:val="640"/>
          <w:marRight w:val="0"/>
          <w:marTop w:val="0"/>
          <w:marBottom w:val="0"/>
          <w:divBdr>
            <w:top w:val="none" w:sz="0" w:space="0" w:color="auto"/>
            <w:left w:val="none" w:sz="0" w:space="0" w:color="auto"/>
            <w:bottom w:val="none" w:sz="0" w:space="0" w:color="auto"/>
            <w:right w:val="none" w:sz="0" w:space="0" w:color="auto"/>
          </w:divBdr>
        </w:div>
        <w:div w:id="553976890">
          <w:marLeft w:val="640"/>
          <w:marRight w:val="0"/>
          <w:marTop w:val="0"/>
          <w:marBottom w:val="0"/>
          <w:divBdr>
            <w:top w:val="none" w:sz="0" w:space="0" w:color="auto"/>
            <w:left w:val="none" w:sz="0" w:space="0" w:color="auto"/>
            <w:bottom w:val="none" w:sz="0" w:space="0" w:color="auto"/>
            <w:right w:val="none" w:sz="0" w:space="0" w:color="auto"/>
          </w:divBdr>
        </w:div>
        <w:div w:id="491604187">
          <w:marLeft w:val="640"/>
          <w:marRight w:val="0"/>
          <w:marTop w:val="0"/>
          <w:marBottom w:val="0"/>
          <w:divBdr>
            <w:top w:val="none" w:sz="0" w:space="0" w:color="auto"/>
            <w:left w:val="none" w:sz="0" w:space="0" w:color="auto"/>
            <w:bottom w:val="none" w:sz="0" w:space="0" w:color="auto"/>
            <w:right w:val="none" w:sz="0" w:space="0" w:color="auto"/>
          </w:divBdr>
        </w:div>
        <w:div w:id="1085494258">
          <w:marLeft w:val="640"/>
          <w:marRight w:val="0"/>
          <w:marTop w:val="0"/>
          <w:marBottom w:val="0"/>
          <w:divBdr>
            <w:top w:val="none" w:sz="0" w:space="0" w:color="auto"/>
            <w:left w:val="none" w:sz="0" w:space="0" w:color="auto"/>
            <w:bottom w:val="none" w:sz="0" w:space="0" w:color="auto"/>
            <w:right w:val="none" w:sz="0" w:space="0" w:color="auto"/>
          </w:divBdr>
        </w:div>
        <w:div w:id="1801680134">
          <w:marLeft w:val="640"/>
          <w:marRight w:val="0"/>
          <w:marTop w:val="0"/>
          <w:marBottom w:val="0"/>
          <w:divBdr>
            <w:top w:val="none" w:sz="0" w:space="0" w:color="auto"/>
            <w:left w:val="none" w:sz="0" w:space="0" w:color="auto"/>
            <w:bottom w:val="none" w:sz="0" w:space="0" w:color="auto"/>
            <w:right w:val="none" w:sz="0" w:space="0" w:color="auto"/>
          </w:divBdr>
        </w:div>
        <w:div w:id="2079208631">
          <w:marLeft w:val="640"/>
          <w:marRight w:val="0"/>
          <w:marTop w:val="0"/>
          <w:marBottom w:val="0"/>
          <w:divBdr>
            <w:top w:val="none" w:sz="0" w:space="0" w:color="auto"/>
            <w:left w:val="none" w:sz="0" w:space="0" w:color="auto"/>
            <w:bottom w:val="none" w:sz="0" w:space="0" w:color="auto"/>
            <w:right w:val="none" w:sz="0" w:space="0" w:color="auto"/>
          </w:divBdr>
        </w:div>
        <w:div w:id="655496959">
          <w:marLeft w:val="640"/>
          <w:marRight w:val="0"/>
          <w:marTop w:val="0"/>
          <w:marBottom w:val="0"/>
          <w:divBdr>
            <w:top w:val="none" w:sz="0" w:space="0" w:color="auto"/>
            <w:left w:val="none" w:sz="0" w:space="0" w:color="auto"/>
            <w:bottom w:val="none" w:sz="0" w:space="0" w:color="auto"/>
            <w:right w:val="none" w:sz="0" w:space="0" w:color="auto"/>
          </w:divBdr>
        </w:div>
        <w:div w:id="1263488932">
          <w:marLeft w:val="640"/>
          <w:marRight w:val="0"/>
          <w:marTop w:val="0"/>
          <w:marBottom w:val="0"/>
          <w:divBdr>
            <w:top w:val="none" w:sz="0" w:space="0" w:color="auto"/>
            <w:left w:val="none" w:sz="0" w:space="0" w:color="auto"/>
            <w:bottom w:val="none" w:sz="0" w:space="0" w:color="auto"/>
            <w:right w:val="none" w:sz="0" w:space="0" w:color="auto"/>
          </w:divBdr>
        </w:div>
        <w:div w:id="927664610">
          <w:marLeft w:val="640"/>
          <w:marRight w:val="0"/>
          <w:marTop w:val="0"/>
          <w:marBottom w:val="0"/>
          <w:divBdr>
            <w:top w:val="none" w:sz="0" w:space="0" w:color="auto"/>
            <w:left w:val="none" w:sz="0" w:space="0" w:color="auto"/>
            <w:bottom w:val="none" w:sz="0" w:space="0" w:color="auto"/>
            <w:right w:val="none" w:sz="0" w:space="0" w:color="auto"/>
          </w:divBdr>
        </w:div>
        <w:div w:id="1940025263">
          <w:marLeft w:val="640"/>
          <w:marRight w:val="0"/>
          <w:marTop w:val="0"/>
          <w:marBottom w:val="0"/>
          <w:divBdr>
            <w:top w:val="none" w:sz="0" w:space="0" w:color="auto"/>
            <w:left w:val="none" w:sz="0" w:space="0" w:color="auto"/>
            <w:bottom w:val="none" w:sz="0" w:space="0" w:color="auto"/>
            <w:right w:val="none" w:sz="0" w:space="0" w:color="auto"/>
          </w:divBdr>
        </w:div>
        <w:div w:id="1186209736">
          <w:marLeft w:val="640"/>
          <w:marRight w:val="0"/>
          <w:marTop w:val="0"/>
          <w:marBottom w:val="0"/>
          <w:divBdr>
            <w:top w:val="none" w:sz="0" w:space="0" w:color="auto"/>
            <w:left w:val="none" w:sz="0" w:space="0" w:color="auto"/>
            <w:bottom w:val="none" w:sz="0" w:space="0" w:color="auto"/>
            <w:right w:val="none" w:sz="0" w:space="0" w:color="auto"/>
          </w:divBdr>
        </w:div>
        <w:div w:id="2049717011">
          <w:marLeft w:val="640"/>
          <w:marRight w:val="0"/>
          <w:marTop w:val="0"/>
          <w:marBottom w:val="0"/>
          <w:divBdr>
            <w:top w:val="none" w:sz="0" w:space="0" w:color="auto"/>
            <w:left w:val="none" w:sz="0" w:space="0" w:color="auto"/>
            <w:bottom w:val="none" w:sz="0" w:space="0" w:color="auto"/>
            <w:right w:val="none" w:sz="0" w:space="0" w:color="auto"/>
          </w:divBdr>
        </w:div>
        <w:div w:id="880633542">
          <w:marLeft w:val="640"/>
          <w:marRight w:val="0"/>
          <w:marTop w:val="0"/>
          <w:marBottom w:val="0"/>
          <w:divBdr>
            <w:top w:val="none" w:sz="0" w:space="0" w:color="auto"/>
            <w:left w:val="none" w:sz="0" w:space="0" w:color="auto"/>
            <w:bottom w:val="none" w:sz="0" w:space="0" w:color="auto"/>
            <w:right w:val="none" w:sz="0" w:space="0" w:color="auto"/>
          </w:divBdr>
        </w:div>
        <w:div w:id="1696880119">
          <w:marLeft w:val="640"/>
          <w:marRight w:val="0"/>
          <w:marTop w:val="0"/>
          <w:marBottom w:val="0"/>
          <w:divBdr>
            <w:top w:val="none" w:sz="0" w:space="0" w:color="auto"/>
            <w:left w:val="none" w:sz="0" w:space="0" w:color="auto"/>
            <w:bottom w:val="none" w:sz="0" w:space="0" w:color="auto"/>
            <w:right w:val="none" w:sz="0" w:space="0" w:color="auto"/>
          </w:divBdr>
        </w:div>
        <w:div w:id="786581218">
          <w:marLeft w:val="640"/>
          <w:marRight w:val="0"/>
          <w:marTop w:val="0"/>
          <w:marBottom w:val="0"/>
          <w:divBdr>
            <w:top w:val="none" w:sz="0" w:space="0" w:color="auto"/>
            <w:left w:val="none" w:sz="0" w:space="0" w:color="auto"/>
            <w:bottom w:val="none" w:sz="0" w:space="0" w:color="auto"/>
            <w:right w:val="none" w:sz="0" w:space="0" w:color="auto"/>
          </w:divBdr>
        </w:div>
        <w:div w:id="947925774">
          <w:marLeft w:val="640"/>
          <w:marRight w:val="0"/>
          <w:marTop w:val="0"/>
          <w:marBottom w:val="0"/>
          <w:divBdr>
            <w:top w:val="none" w:sz="0" w:space="0" w:color="auto"/>
            <w:left w:val="none" w:sz="0" w:space="0" w:color="auto"/>
            <w:bottom w:val="none" w:sz="0" w:space="0" w:color="auto"/>
            <w:right w:val="none" w:sz="0" w:space="0" w:color="auto"/>
          </w:divBdr>
        </w:div>
        <w:div w:id="1502701907">
          <w:marLeft w:val="640"/>
          <w:marRight w:val="0"/>
          <w:marTop w:val="0"/>
          <w:marBottom w:val="0"/>
          <w:divBdr>
            <w:top w:val="none" w:sz="0" w:space="0" w:color="auto"/>
            <w:left w:val="none" w:sz="0" w:space="0" w:color="auto"/>
            <w:bottom w:val="none" w:sz="0" w:space="0" w:color="auto"/>
            <w:right w:val="none" w:sz="0" w:space="0" w:color="auto"/>
          </w:divBdr>
        </w:div>
        <w:div w:id="1411388819">
          <w:marLeft w:val="640"/>
          <w:marRight w:val="0"/>
          <w:marTop w:val="0"/>
          <w:marBottom w:val="0"/>
          <w:divBdr>
            <w:top w:val="none" w:sz="0" w:space="0" w:color="auto"/>
            <w:left w:val="none" w:sz="0" w:space="0" w:color="auto"/>
            <w:bottom w:val="none" w:sz="0" w:space="0" w:color="auto"/>
            <w:right w:val="none" w:sz="0" w:space="0" w:color="auto"/>
          </w:divBdr>
        </w:div>
        <w:div w:id="1511799080">
          <w:marLeft w:val="640"/>
          <w:marRight w:val="0"/>
          <w:marTop w:val="0"/>
          <w:marBottom w:val="0"/>
          <w:divBdr>
            <w:top w:val="none" w:sz="0" w:space="0" w:color="auto"/>
            <w:left w:val="none" w:sz="0" w:space="0" w:color="auto"/>
            <w:bottom w:val="none" w:sz="0" w:space="0" w:color="auto"/>
            <w:right w:val="none" w:sz="0" w:space="0" w:color="auto"/>
          </w:divBdr>
        </w:div>
        <w:div w:id="301422316">
          <w:marLeft w:val="640"/>
          <w:marRight w:val="0"/>
          <w:marTop w:val="0"/>
          <w:marBottom w:val="0"/>
          <w:divBdr>
            <w:top w:val="none" w:sz="0" w:space="0" w:color="auto"/>
            <w:left w:val="none" w:sz="0" w:space="0" w:color="auto"/>
            <w:bottom w:val="none" w:sz="0" w:space="0" w:color="auto"/>
            <w:right w:val="none" w:sz="0" w:space="0" w:color="auto"/>
          </w:divBdr>
        </w:div>
        <w:div w:id="1434672220">
          <w:marLeft w:val="640"/>
          <w:marRight w:val="0"/>
          <w:marTop w:val="0"/>
          <w:marBottom w:val="0"/>
          <w:divBdr>
            <w:top w:val="none" w:sz="0" w:space="0" w:color="auto"/>
            <w:left w:val="none" w:sz="0" w:space="0" w:color="auto"/>
            <w:bottom w:val="none" w:sz="0" w:space="0" w:color="auto"/>
            <w:right w:val="none" w:sz="0" w:space="0" w:color="auto"/>
          </w:divBdr>
        </w:div>
        <w:div w:id="231042739">
          <w:marLeft w:val="640"/>
          <w:marRight w:val="0"/>
          <w:marTop w:val="0"/>
          <w:marBottom w:val="0"/>
          <w:divBdr>
            <w:top w:val="none" w:sz="0" w:space="0" w:color="auto"/>
            <w:left w:val="none" w:sz="0" w:space="0" w:color="auto"/>
            <w:bottom w:val="none" w:sz="0" w:space="0" w:color="auto"/>
            <w:right w:val="none" w:sz="0" w:space="0" w:color="auto"/>
          </w:divBdr>
        </w:div>
        <w:div w:id="191456803">
          <w:marLeft w:val="640"/>
          <w:marRight w:val="0"/>
          <w:marTop w:val="0"/>
          <w:marBottom w:val="0"/>
          <w:divBdr>
            <w:top w:val="none" w:sz="0" w:space="0" w:color="auto"/>
            <w:left w:val="none" w:sz="0" w:space="0" w:color="auto"/>
            <w:bottom w:val="none" w:sz="0" w:space="0" w:color="auto"/>
            <w:right w:val="none" w:sz="0" w:space="0" w:color="auto"/>
          </w:divBdr>
        </w:div>
        <w:div w:id="854076642">
          <w:marLeft w:val="640"/>
          <w:marRight w:val="0"/>
          <w:marTop w:val="0"/>
          <w:marBottom w:val="0"/>
          <w:divBdr>
            <w:top w:val="none" w:sz="0" w:space="0" w:color="auto"/>
            <w:left w:val="none" w:sz="0" w:space="0" w:color="auto"/>
            <w:bottom w:val="none" w:sz="0" w:space="0" w:color="auto"/>
            <w:right w:val="none" w:sz="0" w:space="0" w:color="auto"/>
          </w:divBdr>
        </w:div>
        <w:div w:id="1878422260">
          <w:marLeft w:val="640"/>
          <w:marRight w:val="0"/>
          <w:marTop w:val="0"/>
          <w:marBottom w:val="0"/>
          <w:divBdr>
            <w:top w:val="none" w:sz="0" w:space="0" w:color="auto"/>
            <w:left w:val="none" w:sz="0" w:space="0" w:color="auto"/>
            <w:bottom w:val="none" w:sz="0" w:space="0" w:color="auto"/>
            <w:right w:val="none" w:sz="0" w:space="0" w:color="auto"/>
          </w:divBdr>
        </w:div>
        <w:div w:id="700977682">
          <w:marLeft w:val="640"/>
          <w:marRight w:val="0"/>
          <w:marTop w:val="0"/>
          <w:marBottom w:val="0"/>
          <w:divBdr>
            <w:top w:val="none" w:sz="0" w:space="0" w:color="auto"/>
            <w:left w:val="none" w:sz="0" w:space="0" w:color="auto"/>
            <w:bottom w:val="none" w:sz="0" w:space="0" w:color="auto"/>
            <w:right w:val="none" w:sz="0" w:space="0" w:color="auto"/>
          </w:divBdr>
        </w:div>
        <w:div w:id="1479683669">
          <w:marLeft w:val="640"/>
          <w:marRight w:val="0"/>
          <w:marTop w:val="0"/>
          <w:marBottom w:val="0"/>
          <w:divBdr>
            <w:top w:val="none" w:sz="0" w:space="0" w:color="auto"/>
            <w:left w:val="none" w:sz="0" w:space="0" w:color="auto"/>
            <w:bottom w:val="none" w:sz="0" w:space="0" w:color="auto"/>
            <w:right w:val="none" w:sz="0" w:space="0" w:color="auto"/>
          </w:divBdr>
        </w:div>
        <w:div w:id="617420885">
          <w:marLeft w:val="640"/>
          <w:marRight w:val="0"/>
          <w:marTop w:val="0"/>
          <w:marBottom w:val="0"/>
          <w:divBdr>
            <w:top w:val="none" w:sz="0" w:space="0" w:color="auto"/>
            <w:left w:val="none" w:sz="0" w:space="0" w:color="auto"/>
            <w:bottom w:val="none" w:sz="0" w:space="0" w:color="auto"/>
            <w:right w:val="none" w:sz="0" w:space="0" w:color="auto"/>
          </w:divBdr>
        </w:div>
        <w:div w:id="1775904570">
          <w:marLeft w:val="640"/>
          <w:marRight w:val="0"/>
          <w:marTop w:val="0"/>
          <w:marBottom w:val="0"/>
          <w:divBdr>
            <w:top w:val="none" w:sz="0" w:space="0" w:color="auto"/>
            <w:left w:val="none" w:sz="0" w:space="0" w:color="auto"/>
            <w:bottom w:val="none" w:sz="0" w:space="0" w:color="auto"/>
            <w:right w:val="none" w:sz="0" w:space="0" w:color="auto"/>
          </w:divBdr>
        </w:div>
      </w:divsChild>
    </w:div>
    <w:div w:id="622005955">
      <w:bodyDiv w:val="1"/>
      <w:marLeft w:val="0"/>
      <w:marRight w:val="0"/>
      <w:marTop w:val="0"/>
      <w:marBottom w:val="0"/>
      <w:divBdr>
        <w:top w:val="none" w:sz="0" w:space="0" w:color="auto"/>
        <w:left w:val="none" w:sz="0" w:space="0" w:color="auto"/>
        <w:bottom w:val="none" w:sz="0" w:space="0" w:color="auto"/>
        <w:right w:val="none" w:sz="0" w:space="0" w:color="auto"/>
      </w:divBdr>
      <w:divsChild>
        <w:div w:id="1233999847">
          <w:marLeft w:val="640"/>
          <w:marRight w:val="0"/>
          <w:marTop w:val="0"/>
          <w:marBottom w:val="0"/>
          <w:divBdr>
            <w:top w:val="none" w:sz="0" w:space="0" w:color="auto"/>
            <w:left w:val="none" w:sz="0" w:space="0" w:color="auto"/>
            <w:bottom w:val="none" w:sz="0" w:space="0" w:color="auto"/>
            <w:right w:val="none" w:sz="0" w:space="0" w:color="auto"/>
          </w:divBdr>
        </w:div>
        <w:div w:id="1419867304">
          <w:marLeft w:val="640"/>
          <w:marRight w:val="0"/>
          <w:marTop w:val="0"/>
          <w:marBottom w:val="0"/>
          <w:divBdr>
            <w:top w:val="none" w:sz="0" w:space="0" w:color="auto"/>
            <w:left w:val="none" w:sz="0" w:space="0" w:color="auto"/>
            <w:bottom w:val="none" w:sz="0" w:space="0" w:color="auto"/>
            <w:right w:val="none" w:sz="0" w:space="0" w:color="auto"/>
          </w:divBdr>
        </w:div>
        <w:div w:id="879517528">
          <w:marLeft w:val="640"/>
          <w:marRight w:val="0"/>
          <w:marTop w:val="0"/>
          <w:marBottom w:val="0"/>
          <w:divBdr>
            <w:top w:val="none" w:sz="0" w:space="0" w:color="auto"/>
            <w:left w:val="none" w:sz="0" w:space="0" w:color="auto"/>
            <w:bottom w:val="none" w:sz="0" w:space="0" w:color="auto"/>
            <w:right w:val="none" w:sz="0" w:space="0" w:color="auto"/>
          </w:divBdr>
        </w:div>
        <w:div w:id="5405787">
          <w:marLeft w:val="640"/>
          <w:marRight w:val="0"/>
          <w:marTop w:val="0"/>
          <w:marBottom w:val="0"/>
          <w:divBdr>
            <w:top w:val="none" w:sz="0" w:space="0" w:color="auto"/>
            <w:left w:val="none" w:sz="0" w:space="0" w:color="auto"/>
            <w:bottom w:val="none" w:sz="0" w:space="0" w:color="auto"/>
            <w:right w:val="none" w:sz="0" w:space="0" w:color="auto"/>
          </w:divBdr>
        </w:div>
        <w:div w:id="860240682">
          <w:marLeft w:val="640"/>
          <w:marRight w:val="0"/>
          <w:marTop w:val="0"/>
          <w:marBottom w:val="0"/>
          <w:divBdr>
            <w:top w:val="none" w:sz="0" w:space="0" w:color="auto"/>
            <w:left w:val="none" w:sz="0" w:space="0" w:color="auto"/>
            <w:bottom w:val="none" w:sz="0" w:space="0" w:color="auto"/>
            <w:right w:val="none" w:sz="0" w:space="0" w:color="auto"/>
          </w:divBdr>
        </w:div>
        <w:div w:id="253124602">
          <w:marLeft w:val="640"/>
          <w:marRight w:val="0"/>
          <w:marTop w:val="0"/>
          <w:marBottom w:val="0"/>
          <w:divBdr>
            <w:top w:val="none" w:sz="0" w:space="0" w:color="auto"/>
            <w:left w:val="none" w:sz="0" w:space="0" w:color="auto"/>
            <w:bottom w:val="none" w:sz="0" w:space="0" w:color="auto"/>
            <w:right w:val="none" w:sz="0" w:space="0" w:color="auto"/>
          </w:divBdr>
        </w:div>
        <w:div w:id="769474714">
          <w:marLeft w:val="640"/>
          <w:marRight w:val="0"/>
          <w:marTop w:val="0"/>
          <w:marBottom w:val="0"/>
          <w:divBdr>
            <w:top w:val="none" w:sz="0" w:space="0" w:color="auto"/>
            <w:left w:val="none" w:sz="0" w:space="0" w:color="auto"/>
            <w:bottom w:val="none" w:sz="0" w:space="0" w:color="auto"/>
            <w:right w:val="none" w:sz="0" w:space="0" w:color="auto"/>
          </w:divBdr>
        </w:div>
        <w:div w:id="1228222901">
          <w:marLeft w:val="640"/>
          <w:marRight w:val="0"/>
          <w:marTop w:val="0"/>
          <w:marBottom w:val="0"/>
          <w:divBdr>
            <w:top w:val="none" w:sz="0" w:space="0" w:color="auto"/>
            <w:left w:val="none" w:sz="0" w:space="0" w:color="auto"/>
            <w:bottom w:val="none" w:sz="0" w:space="0" w:color="auto"/>
            <w:right w:val="none" w:sz="0" w:space="0" w:color="auto"/>
          </w:divBdr>
        </w:div>
        <w:div w:id="948705635">
          <w:marLeft w:val="640"/>
          <w:marRight w:val="0"/>
          <w:marTop w:val="0"/>
          <w:marBottom w:val="0"/>
          <w:divBdr>
            <w:top w:val="none" w:sz="0" w:space="0" w:color="auto"/>
            <w:left w:val="none" w:sz="0" w:space="0" w:color="auto"/>
            <w:bottom w:val="none" w:sz="0" w:space="0" w:color="auto"/>
            <w:right w:val="none" w:sz="0" w:space="0" w:color="auto"/>
          </w:divBdr>
        </w:div>
        <w:div w:id="1396006083">
          <w:marLeft w:val="640"/>
          <w:marRight w:val="0"/>
          <w:marTop w:val="0"/>
          <w:marBottom w:val="0"/>
          <w:divBdr>
            <w:top w:val="none" w:sz="0" w:space="0" w:color="auto"/>
            <w:left w:val="none" w:sz="0" w:space="0" w:color="auto"/>
            <w:bottom w:val="none" w:sz="0" w:space="0" w:color="auto"/>
            <w:right w:val="none" w:sz="0" w:space="0" w:color="auto"/>
          </w:divBdr>
        </w:div>
        <w:div w:id="51780314">
          <w:marLeft w:val="640"/>
          <w:marRight w:val="0"/>
          <w:marTop w:val="0"/>
          <w:marBottom w:val="0"/>
          <w:divBdr>
            <w:top w:val="none" w:sz="0" w:space="0" w:color="auto"/>
            <w:left w:val="none" w:sz="0" w:space="0" w:color="auto"/>
            <w:bottom w:val="none" w:sz="0" w:space="0" w:color="auto"/>
            <w:right w:val="none" w:sz="0" w:space="0" w:color="auto"/>
          </w:divBdr>
        </w:div>
        <w:div w:id="1068265783">
          <w:marLeft w:val="640"/>
          <w:marRight w:val="0"/>
          <w:marTop w:val="0"/>
          <w:marBottom w:val="0"/>
          <w:divBdr>
            <w:top w:val="none" w:sz="0" w:space="0" w:color="auto"/>
            <w:left w:val="none" w:sz="0" w:space="0" w:color="auto"/>
            <w:bottom w:val="none" w:sz="0" w:space="0" w:color="auto"/>
            <w:right w:val="none" w:sz="0" w:space="0" w:color="auto"/>
          </w:divBdr>
        </w:div>
        <w:div w:id="537856292">
          <w:marLeft w:val="640"/>
          <w:marRight w:val="0"/>
          <w:marTop w:val="0"/>
          <w:marBottom w:val="0"/>
          <w:divBdr>
            <w:top w:val="none" w:sz="0" w:space="0" w:color="auto"/>
            <w:left w:val="none" w:sz="0" w:space="0" w:color="auto"/>
            <w:bottom w:val="none" w:sz="0" w:space="0" w:color="auto"/>
            <w:right w:val="none" w:sz="0" w:space="0" w:color="auto"/>
          </w:divBdr>
        </w:div>
        <w:div w:id="402797705">
          <w:marLeft w:val="640"/>
          <w:marRight w:val="0"/>
          <w:marTop w:val="0"/>
          <w:marBottom w:val="0"/>
          <w:divBdr>
            <w:top w:val="none" w:sz="0" w:space="0" w:color="auto"/>
            <w:left w:val="none" w:sz="0" w:space="0" w:color="auto"/>
            <w:bottom w:val="none" w:sz="0" w:space="0" w:color="auto"/>
            <w:right w:val="none" w:sz="0" w:space="0" w:color="auto"/>
          </w:divBdr>
        </w:div>
        <w:div w:id="1103960970">
          <w:marLeft w:val="640"/>
          <w:marRight w:val="0"/>
          <w:marTop w:val="0"/>
          <w:marBottom w:val="0"/>
          <w:divBdr>
            <w:top w:val="none" w:sz="0" w:space="0" w:color="auto"/>
            <w:left w:val="none" w:sz="0" w:space="0" w:color="auto"/>
            <w:bottom w:val="none" w:sz="0" w:space="0" w:color="auto"/>
            <w:right w:val="none" w:sz="0" w:space="0" w:color="auto"/>
          </w:divBdr>
        </w:div>
        <w:div w:id="743726998">
          <w:marLeft w:val="640"/>
          <w:marRight w:val="0"/>
          <w:marTop w:val="0"/>
          <w:marBottom w:val="0"/>
          <w:divBdr>
            <w:top w:val="none" w:sz="0" w:space="0" w:color="auto"/>
            <w:left w:val="none" w:sz="0" w:space="0" w:color="auto"/>
            <w:bottom w:val="none" w:sz="0" w:space="0" w:color="auto"/>
            <w:right w:val="none" w:sz="0" w:space="0" w:color="auto"/>
          </w:divBdr>
        </w:div>
        <w:div w:id="1638146758">
          <w:marLeft w:val="640"/>
          <w:marRight w:val="0"/>
          <w:marTop w:val="0"/>
          <w:marBottom w:val="0"/>
          <w:divBdr>
            <w:top w:val="none" w:sz="0" w:space="0" w:color="auto"/>
            <w:left w:val="none" w:sz="0" w:space="0" w:color="auto"/>
            <w:bottom w:val="none" w:sz="0" w:space="0" w:color="auto"/>
            <w:right w:val="none" w:sz="0" w:space="0" w:color="auto"/>
          </w:divBdr>
        </w:div>
        <w:div w:id="2019236305">
          <w:marLeft w:val="640"/>
          <w:marRight w:val="0"/>
          <w:marTop w:val="0"/>
          <w:marBottom w:val="0"/>
          <w:divBdr>
            <w:top w:val="none" w:sz="0" w:space="0" w:color="auto"/>
            <w:left w:val="none" w:sz="0" w:space="0" w:color="auto"/>
            <w:bottom w:val="none" w:sz="0" w:space="0" w:color="auto"/>
            <w:right w:val="none" w:sz="0" w:space="0" w:color="auto"/>
          </w:divBdr>
        </w:div>
        <w:div w:id="767390662">
          <w:marLeft w:val="640"/>
          <w:marRight w:val="0"/>
          <w:marTop w:val="0"/>
          <w:marBottom w:val="0"/>
          <w:divBdr>
            <w:top w:val="none" w:sz="0" w:space="0" w:color="auto"/>
            <w:left w:val="none" w:sz="0" w:space="0" w:color="auto"/>
            <w:bottom w:val="none" w:sz="0" w:space="0" w:color="auto"/>
            <w:right w:val="none" w:sz="0" w:space="0" w:color="auto"/>
          </w:divBdr>
        </w:div>
        <w:div w:id="560866966">
          <w:marLeft w:val="640"/>
          <w:marRight w:val="0"/>
          <w:marTop w:val="0"/>
          <w:marBottom w:val="0"/>
          <w:divBdr>
            <w:top w:val="none" w:sz="0" w:space="0" w:color="auto"/>
            <w:left w:val="none" w:sz="0" w:space="0" w:color="auto"/>
            <w:bottom w:val="none" w:sz="0" w:space="0" w:color="auto"/>
            <w:right w:val="none" w:sz="0" w:space="0" w:color="auto"/>
          </w:divBdr>
        </w:div>
        <w:div w:id="155612553">
          <w:marLeft w:val="640"/>
          <w:marRight w:val="0"/>
          <w:marTop w:val="0"/>
          <w:marBottom w:val="0"/>
          <w:divBdr>
            <w:top w:val="none" w:sz="0" w:space="0" w:color="auto"/>
            <w:left w:val="none" w:sz="0" w:space="0" w:color="auto"/>
            <w:bottom w:val="none" w:sz="0" w:space="0" w:color="auto"/>
            <w:right w:val="none" w:sz="0" w:space="0" w:color="auto"/>
          </w:divBdr>
        </w:div>
        <w:div w:id="1346127184">
          <w:marLeft w:val="640"/>
          <w:marRight w:val="0"/>
          <w:marTop w:val="0"/>
          <w:marBottom w:val="0"/>
          <w:divBdr>
            <w:top w:val="none" w:sz="0" w:space="0" w:color="auto"/>
            <w:left w:val="none" w:sz="0" w:space="0" w:color="auto"/>
            <w:bottom w:val="none" w:sz="0" w:space="0" w:color="auto"/>
            <w:right w:val="none" w:sz="0" w:space="0" w:color="auto"/>
          </w:divBdr>
        </w:div>
        <w:div w:id="2047246211">
          <w:marLeft w:val="640"/>
          <w:marRight w:val="0"/>
          <w:marTop w:val="0"/>
          <w:marBottom w:val="0"/>
          <w:divBdr>
            <w:top w:val="none" w:sz="0" w:space="0" w:color="auto"/>
            <w:left w:val="none" w:sz="0" w:space="0" w:color="auto"/>
            <w:bottom w:val="none" w:sz="0" w:space="0" w:color="auto"/>
            <w:right w:val="none" w:sz="0" w:space="0" w:color="auto"/>
          </w:divBdr>
        </w:div>
        <w:div w:id="443572457">
          <w:marLeft w:val="640"/>
          <w:marRight w:val="0"/>
          <w:marTop w:val="0"/>
          <w:marBottom w:val="0"/>
          <w:divBdr>
            <w:top w:val="none" w:sz="0" w:space="0" w:color="auto"/>
            <w:left w:val="none" w:sz="0" w:space="0" w:color="auto"/>
            <w:bottom w:val="none" w:sz="0" w:space="0" w:color="auto"/>
            <w:right w:val="none" w:sz="0" w:space="0" w:color="auto"/>
          </w:divBdr>
        </w:div>
        <w:div w:id="165757146">
          <w:marLeft w:val="640"/>
          <w:marRight w:val="0"/>
          <w:marTop w:val="0"/>
          <w:marBottom w:val="0"/>
          <w:divBdr>
            <w:top w:val="none" w:sz="0" w:space="0" w:color="auto"/>
            <w:left w:val="none" w:sz="0" w:space="0" w:color="auto"/>
            <w:bottom w:val="none" w:sz="0" w:space="0" w:color="auto"/>
            <w:right w:val="none" w:sz="0" w:space="0" w:color="auto"/>
          </w:divBdr>
        </w:div>
        <w:div w:id="1130705090">
          <w:marLeft w:val="640"/>
          <w:marRight w:val="0"/>
          <w:marTop w:val="0"/>
          <w:marBottom w:val="0"/>
          <w:divBdr>
            <w:top w:val="none" w:sz="0" w:space="0" w:color="auto"/>
            <w:left w:val="none" w:sz="0" w:space="0" w:color="auto"/>
            <w:bottom w:val="none" w:sz="0" w:space="0" w:color="auto"/>
            <w:right w:val="none" w:sz="0" w:space="0" w:color="auto"/>
          </w:divBdr>
        </w:div>
        <w:div w:id="208418470">
          <w:marLeft w:val="640"/>
          <w:marRight w:val="0"/>
          <w:marTop w:val="0"/>
          <w:marBottom w:val="0"/>
          <w:divBdr>
            <w:top w:val="none" w:sz="0" w:space="0" w:color="auto"/>
            <w:left w:val="none" w:sz="0" w:space="0" w:color="auto"/>
            <w:bottom w:val="none" w:sz="0" w:space="0" w:color="auto"/>
            <w:right w:val="none" w:sz="0" w:space="0" w:color="auto"/>
          </w:divBdr>
        </w:div>
        <w:div w:id="1883251609">
          <w:marLeft w:val="640"/>
          <w:marRight w:val="0"/>
          <w:marTop w:val="0"/>
          <w:marBottom w:val="0"/>
          <w:divBdr>
            <w:top w:val="none" w:sz="0" w:space="0" w:color="auto"/>
            <w:left w:val="none" w:sz="0" w:space="0" w:color="auto"/>
            <w:bottom w:val="none" w:sz="0" w:space="0" w:color="auto"/>
            <w:right w:val="none" w:sz="0" w:space="0" w:color="auto"/>
          </w:divBdr>
        </w:div>
        <w:div w:id="573318912">
          <w:marLeft w:val="640"/>
          <w:marRight w:val="0"/>
          <w:marTop w:val="0"/>
          <w:marBottom w:val="0"/>
          <w:divBdr>
            <w:top w:val="none" w:sz="0" w:space="0" w:color="auto"/>
            <w:left w:val="none" w:sz="0" w:space="0" w:color="auto"/>
            <w:bottom w:val="none" w:sz="0" w:space="0" w:color="auto"/>
            <w:right w:val="none" w:sz="0" w:space="0" w:color="auto"/>
          </w:divBdr>
        </w:div>
        <w:div w:id="689450195">
          <w:marLeft w:val="640"/>
          <w:marRight w:val="0"/>
          <w:marTop w:val="0"/>
          <w:marBottom w:val="0"/>
          <w:divBdr>
            <w:top w:val="none" w:sz="0" w:space="0" w:color="auto"/>
            <w:left w:val="none" w:sz="0" w:space="0" w:color="auto"/>
            <w:bottom w:val="none" w:sz="0" w:space="0" w:color="auto"/>
            <w:right w:val="none" w:sz="0" w:space="0" w:color="auto"/>
          </w:divBdr>
        </w:div>
        <w:div w:id="1748963935">
          <w:marLeft w:val="640"/>
          <w:marRight w:val="0"/>
          <w:marTop w:val="0"/>
          <w:marBottom w:val="0"/>
          <w:divBdr>
            <w:top w:val="none" w:sz="0" w:space="0" w:color="auto"/>
            <w:left w:val="none" w:sz="0" w:space="0" w:color="auto"/>
            <w:bottom w:val="none" w:sz="0" w:space="0" w:color="auto"/>
            <w:right w:val="none" w:sz="0" w:space="0" w:color="auto"/>
          </w:divBdr>
        </w:div>
        <w:div w:id="1854149421">
          <w:marLeft w:val="640"/>
          <w:marRight w:val="0"/>
          <w:marTop w:val="0"/>
          <w:marBottom w:val="0"/>
          <w:divBdr>
            <w:top w:val="none" w:sz="0" w:space="0" w:color="auto"/>
            <w:left w:val="none" w:sz="0" w:space="0" w:color="auto"/>
            <w:bottom w:val="none" w:sz="0" w:space="0" w:color="auto"/>
            <w:right w:val="none" w:sz="0" w:space="0" w:color="auto"/>
          </w:divBdr>
        </w:div>
        <w:div w:id="1917546133">
          <w:marLeft w:val="640"/>
          <w:marRight w:val="0"/>
          <w:marTop w:val="0"/>
          <w:marBottom w:val="0"/>
          <w:divBdr>
            <w:top w:val="none" w:sz="0" w:space="0" w:color="auto"/>
            <w:left w:val="none" w:sz="0" w:space="0" w:color="auto"/>
            <w:bottom w:val="none" w:sz="0" w:space="0" w:color="auto"/>
            <w:right w:val="none" w:sz="0" w:space="0" w:color="auto"/>
          </w:divBdr>
        </w:div>
        <w:div w:id="696387775">
          <w:marLeft w:val="640"/>
          <w:marRight w:val="0"/>
          <w:marTop w:val="0"/>
          <w:marBottom w:val="0"/>
          <w:divBdr>
            <w:top w:val="none" w:sz="0" w:space="0" w:color="auto"/>
            <w:left w:val="none" w:sz="0" w:space="0" w:color="auto"/>
            <w:bottom w:val="none" w:sz="0" w:space="0" w:color="auto"/>
            <w:right w:val="none" w:sz="0" w:space="0" w:color="auto"/>
          </w:divBdr>
        </w:div>
        <w:div w:id="1388408654">
          <w:marLeft w:val="640"/>
          <w:marRight w:val="0"/>
          <w:marTop w:val="0"/>
          <w:marBottom w:val="0"/>
          <w:divBdr>
            <w:top w:val="none" w:sz="0" w:space="0" w:color="auto"/>
            <w:left w:val="none" w:sz="0" w:space="0" w:color="auto"/>
            <w:bottom w:val="none" w:sz="0" w:space="0" w:color="auto"/>
            <w:right w:val="none" w:sz="0" w:space="0" w:color="auto"/>
          </w:divBdr>
        </w:div>
        <w:div w:id="1482036160">
          <w:marLeft w:val="640"/>
          <w:marRight w:val="0"/>
          <w:marTop w:val="0"/>
          <w:marBottom w:val="0"/>
          <w:divBdr>
            <w:top w:val="none" w:sz="0" w:space="0" w:color="auto"/>
            <w:left w:val="none" w:sz="0" w:space="0" w:color="auto"/>
            <w:bottom w:val="none" w:sz="0" w:space="0" w:color="auto"/>
            <w:right w:val="none" w:sz="0" w:space="0" w:color="auto"/>
          </w:divBdr>
        </w:div>
        <w:div w:id="1763526936">
          <w:marLeft w:val="640"/>
          <w:marRight w:val="0"/>
          <w:marTop w:val="0"/>
          <w:marBottom w:val="0"/>
          <w:divBdr>
            <w:top w:val="none" w:sz="0" w:space="0" w:color="auto"/>
            <w:left w:val="none" w:sz="0" w:space="0" w:color="auto"/>
            <w:bottom w:val="none" w:sz="0" w:space="0" w:color="auto"/>
            <w:right w:val="none" w:sz="0" w:space="0" w:color="auto"/>
          </w:divBdr>
        </w:div>
        <w:div w:id="975599174">
          <w:marLeft w:val="640"/>
          <w:marRight w:val="0"/>
          <w:marTop w:val="0"/>
          <w:marBottom w:val="0"/>
          <w:divBdr>
            <w:top w:val="none" w:sz="0" w:space="0" w:color="auto"/>
            <w:left w:val="none" w:sz="0" w:space="0" w:color="auto"/>
            <w:bottom w:val="none" w:sz="0" w:space="0" w:color="auto"/>
            <w:right w:val="none" w:sz="0" w:space="0" w:color="auto"/>
          </w:divBdr>
        </w:div>
        <w:div w:id="1406340471">
          <w:marLeft w:val="640"/>
          <w:marRight w:val="0"/>
          <w:marTop w:val="0"/>
          <w:marBottom w:val="0"/>
          <w:divBdr>
            <w:top w:val="none" w:sz="0" w:space="0" w:color="auto"/>
            <w:left w:val="none" w:sz="0" w:space="0" w:color="auto"/>
            <w:bottom w:val="none" w:sz="0" w:space="0" w:color="auto"/>
            <w:right w:val="none" w:sz="0" w:space="0" w:color="auto"/>
          </w:divBdr>
        </w:div>
        <w:div w:id="549994348">
          <w:marLeft w:val="640"/>
          <w:marRight w:val="0"/>
          <w:marTop w:val="0"/>
          <w:marBottom w:val="0"/>
          <w:divBdr>
            <w:top w:val="none" w:sz="0" w:space="0" w:color="auto"/>
            <w:left w:val="none" w:sz="0" w:space="0" w:color="auto"/>
            <w:bottom w:val="none" w:sz="0" w:space="0" w:color="auto"/>
            <w:right w:val="none" w:sz="0" w:space="0" w:color="auto"/>
          </w:divBdr>
        </w:div>
        <w:div w:id="662204573">
          <w:marLeft w:val="640"/>
          <w:marRight w:val="0"/>
          <w:marTop w:val="0"/>
          <w:marBottom w:val="0"/>
          <w:divBdr>
            <w:top w:val="none" w:sz="0" w:space="0" w:color="auto"/>
            <w:left w:val="none" w:sz="0" w:space="0" w:color="auto"/>
            <w:bottom w:val="none" w:sz="0" w:space="0" w:color="auto"/>
            <w:right w:val="none" w:sz="0" w:space="0" w:color="auto"/>
          </w:divBdr>
        </w:div>
        <w:div w:id="920873074">
          <w:marLeft w:val="640"/>
          <w:marRight w:val="0"/>
          <w:marTop w:val="0"/>
          <w:marBottom w:val="0"/>
          <w:divBdr>
            <w:top w:val="none" w:sz="0" w:space="0" w:color="auto"/>
            <w:left w:val="none" w:sz="0" w:space="0" w:color="auto"/>
            <w:bottom w:val="none" w:sz="0" w:space="0" w:color="auto"/>
            <w:right w:val="none" w:sz="0" w:space="0" w:color="auto"/>
          </w:divBdr>
        </w:div>
        <w:div w:id="586155656">
          <w:marLeft w:val="640"/>
          <w:marRight w:val="0"/>
          <w:marTop w:val="0"/>
          <w:marBottom w:val="0"/>
          <w:divBdr>
            <w:top w:val="none" w:sz="0" w:space="0" w:color="auto"/>
            <w:left w:val="none" w:sz="0" w:space="0" w:color="auto"/>
            <w:bottom w:val="none" w:sz="0" w:space="0" w:color="auto"/>
            <w:right w:val="none" w:sz="0" w:space="0" w:color="auto"/>
          </w:divBdr>
        </w:div>
        <w:div w:id="1074162674">
          <w:marLeft w:val="640"/>
          <w:marRight w:val="0"/>
          <w:marTop w:val="0"/>
          <w:marBottom w:val="0"/>
          <w:divBdr>
            <w:top w:val="none" w:sz="0" w:space="0" w:color="auto"/>
            <w:left w:val="none" w:sz="0" w:space="0" w:color="auto"/>
            <w:bottom w:val="none" w:sz="0" w:space="0" w:color="auto"/>
            <w:right w:val="none" w:sz="0" w:space="0" w:color="auto"/>
          </w:divBdr>
        </w:div>
        <w:div w:id="1416827381">
          <w:marLeft w:val="640"/>
          <w:marRight w:val="0"/>
          <w:marTop w:val="0"/>
          <w:marBottom w:val="0"/>
          <w:divBdr>
            <w:top w:val="none" w:sz="0" w:space="0" w:color="auto"/>
            <w:left w:val="none" w:sz="0" w:space="0" w:color="auto"/>
            <w:bottom w:val="none" w:sz="0" w:space="0" w:color="auto"/>
            <w:right w:val="none" w:sz="0" w:space="0" w:color="auto"/>
          </w:divBdr>
        </w:div>
        <w:div w:id="1105808797">
          <w:marLeft w:val="640"/>
          <w:marRight w:val="0"/>
          <w:marTop w:val="0"/>
          <w:marBottom w:val="0"/>
          <w:divBdr>
            <w:top w:val="none" w:sz="0" w:space="0" w:color="auto"/>
            <w:left w:val="none" w:sz="0" w:space="0" w:color="auto"/>
            <w:bottom w:val="none" w:sz="0" w:space="0" w:color="auto"/>
            <w:right w:val="none" w:sz="0" w:space="0" w:color="auto"/>
          </w:divBdr>
        </w:div>
        <w:div w:id="1859922724">
          <w:marLeft w:val="640"/>
          <w:marRight w:val="0"/>
          <w:marTop w:val="0"/>
          <w:marBottom w:val="0"/>
          <w:divBdr>
            <w:top w:val="none" w:sz="0" w:space="0" w:color="auto"/>
            <w:left w:val="none" w:sz="0" w:space="0" w:color="auto"/>
            <w:bottom w:val="none" w:sz="0" w:space="0" w:color="auto"/>
            <w:right w:val="none" w:sz="0" w:space="0" w:color="auto"/>
          </w:divBdr>
        </w:div>
        <w:div w:id="1686907471">
          <w:marLeft w:val="640"/>
          <w:marRight w:val="0"/>
          <w:marTop w:val="0"/>
          <w:marBottom w:val="0"/>
          <w:divBdr>
            <w:top w:val="none" w:sz="0" w:space="0" w:color="auto"/>
            <w:left w:val="none" w:sz="0" w:space="0" w:color="auto"/>
            <w:bottom w:val="none" w:sz="0" w:space="0" w:color="auto"/>
            <w:right w:val="none" w:sz="0" w:space="0" w:color="auto"/>
          </w:divBdr>
        </w:div>
        <w:div w:id="230773817">
          <w:marLeft w:val="640"/>
          <w:marRight w:val="0"/>
          <w:marTop w:val="0"/>
          <w:marBottom w:val="0"/>
          <w:divBdr>
            <w:top w:val="none" w:sz="0" w:space="0" w:color="auto"/>
            <w:left w:val="none" w:sz="0" w:space="0" w:color="auto"/>
            <w:bottom w:val="none" w:sz="0" w:space="0" w:color="auto"/>
            <w:right w:val="none" w:sz="0" w:space="0" w:color="auto"/>
          </w:divBdr>
        </w:div>
        <w:div w:id="1711415734">
          <w:marLeft w:val="640"/>
          <w:marRight w:val="0"/>
          <w:marTop w:val="0"/>
          <w:marBottom w:val="0"/>
          <w:divBdr>
            <w:top w:val="none" w:sz="0" w:space="0" w:color="auto"/>
            <w:left w:val="none" w:sz="0" w:space="0" w:color="auto"/>
            <w:bottom w:val="none" w:sz="0" w:space="0" w:color="auto"/>
            <w:right w:val="none" w:sz="0" w:space="0" w:color="auto"/>
          </w:divBdr>
        </w:div>
        <w:div w:id="380331542">
          <w:marLeft w:val="640"/>
          <w:marRight w:val="0"/>
          <w:marTop w:val="0"/>
          <w:marBottom w:val="0"/>
          <w:divBdr>
            <w:top w:val="none" w:sz="0" w:space="0" w:color="auto"/>
            <w:left w:val="none" w:sz="0" w:space="0" w:color="auto"/>
            <w:bottom w:val="none" w:sz="0" w:space="0" w:color="auto"/>
            <w:right w:val="none" w:sz="0" w:space="0" w:color="auto"/>
          </w:divBdr>
        </w:div>
        <w:div w:id="582032914">
          <w:marLeft w:val="640"/>
          <w:marRight w:val="0"/>
          <w:marTop w:val="0"/>
          <w:marBottom w:val="0"/>
          <w:divBdr>
            <w:top w:val="none" w:sz="0" w:space="0" w:color="auto"/>
            <w:left w:val="none" w:sz="0" w:space="0" w:color="auto"/>
            <w:bottom w:val="none" w:sz="0" w:space="0" w:color="auto"/>
            <w:right w:val="none" w:sz="0" w:space="0" w:color="auto"/>
          </w:divBdr>
        </w:div>
        <w:div w:id="2140295074">
          <w:marLeft w:val="640"/>
          <w:marRight w:val="0"/>
          <w:marTop w:val="0"/>
          <w:marBottom w:val="0"/>
          <w:divBdr>
            <w:top w:val="none" w:sz="0" w:space="0" w:color="auto"/>
            <w:left w:val="none" w:sz="0" w:space="0" w:color="auto"/>
            <w:bottom w:val="none" w:sz="0" w:space="0" w:color="auto"/>
            <w:right w:val="none" w:sz="0" w:space="0" w:color="auto"/>
          </w:divBdr>
        </w:div>
        <w:div w:id="875896318">
          <w:marLeft w:val="640"/>
          <w:marRight w:val="0"/>
          <w:marTop w:val="0"/>
          <w:marBottom w:val="0"/>
          <w:divBdr>
            <w:top w:val="none" w:sz="0" w:space="0" w:color="auto"/>
            <w:left w:val="none" w:sz="0" w:space="0" w:color="auto"/>
            <w:bottom w:val="none" w:sz="0" w:space="0" w:color="auto"/>
            <w:right w:val="none" w:sz="0" w:space="0" w:color="auto"/>
          </w:divBdr>
        </w:div>
        <w:div w:id="1857424328">
          <w:marLeft w:val="640"/>
          <w:marRight w:val="0"/>
          <w:marTop w:val="0"/>
          <w:marBottom w:val="0"/>
          <w:divBdr>
            <w:top w:val="none" w:sz="0" w:space="0" w:color="auto"/>
            <w:left w:val="none" w:sz="0" w:space="0" w:color="auto"/>
            <w:bottom w:val="none" w:sz="0" w:space="0" w:color="auto"/>
            <w:right w:val="none" w:sz="0" w:space="0" w:color="auto"/>
          </w:divBdr>
        </w:div>
        <w:div w:id="724642613">
          <w:marLeft w:val="640"/>
          <w:marRight w:val="0"/>
          <w:marTop w:val="0"/>
          <w:marBottom w:val="0"/>
          <w:divBdr>
            <w:top w:val="none" w:sz="0" w:space="0" w:color="auto"/>
            <w:left w:val="none" w:sz="0" w:space="0" w:color="auto"/>
            <w:bottom w:val="none" w:sz="0" w:space="0" w:color="auto"/>
            <w:right w:val="none" w:sz="0" w:space="0" w:color="auto"/>
          </w:divBdr>
        </w:div>
        <w:div w:id="1999113287">
          <w:marLeft w:val="640"/>
          <w:marRight w:val="0"/>
          <w:marTop w:val="0"/>
          <w:marBottom w:val="0"/>
          <w:divBdr>
            <w:top w:val="none" w:sz="0" w:space="0" w:color="auto"/>
            <w:left w:val="none" w:sz="0" w:space="0" w:color="auto"/>
            <w:bottom w:val="none" w:sz="0" w:space="0" w:color="auto"/>
            <w:right w:val="none" w:sz="0" w:space="0" w:color="auto"/>
          </w:divBdr>
        </w:div>
        <w:div w:id="733821903">
          <w:marLeft w:val="640"/>
          <w:marRight w:val="0"/>
          <w:marTop w:val="0"/>
          <w:marBottom w:val="0"/>
          <w:divBdr>
            <w:top w:val="none" w:sz="0" w:space="0" w:color="auto"/>
            <w:left w:val="none" w:sz="0" w:space="0" w:color="auto"/>
            <w:bottom w:val="none" w:sz="0" w:space="0" w:color="auto"/>
            <w:right w:val="none" w:sz="0" w:space="0" w:color="auto"/>
          </w:divBdr>
        </w:div>
        <w:div w:id="427849116">
          <w:marLeft w:val="640"/>
          <w:marRight w:val="0"/>
          <w:marTop w:val="0"/>
          <w:marBottom w:val="0"/>
          <w:divBdr>
            <w:top w:val="none" w:sz="0" w:space="0" w:color="auto"/>
            <w:left w:val="none" w:sz="0" w:space="0" w:color="auto"/>
            <w:bottom w:val="none" w:sz="0" w:space="0" w:color="auto"/>
            <w:right w:val="none" w:sz="0" w:space="0" w:color="auto"/>
          </w:divBdr>
        </w:div>
        <w:div w:id="559289306">
          <w:marLeft w:val="640"/>
          <w:marRight w:val="0"/>
          <w:marTop w:val="0"/>
          <w:marBottom w:val="0"/>
          <w:divBdr>
            <w:top w:val="none" w:sz="0" w:space="0" w:color="auto"/>
            <w:left w:val="none" w:sz="0" w:space="0" w:color="auto"/>
            <w:bottom w:val="none" w:sz="0" w:space="0" w:color="auto"/>
            <w:right w:val="none" w:sz="0" w:space="0" w:color="auto"/>
          </w:divBdr>
        </w:div>
        <w:div w:id="1075469833">
          <w:marLeft w:val="640"/>
          <w:marRight w:val="0"/>
          <w:marTop w:val="0"/>
          <w:marBottom w:val="0"/>
          <w:divBdr>
            <w:top w:val="none" w:sz="0" w:space="0" w:color="auto"/>
            <w:left w:val="none" w:sz="0" w:space="0" w:color="auto"/>
            <w:bottom w:val="none" w:sz="0" w:space="0" w:color="auto"/>
            <w:right w:val="none" w:sz="0" w:space="0" w:color="auto"/>
          </w:divBdr>
        </w:div>
        <w:div w:id="367415864">
          <w:marLeft w:val="640"/>
          <w:marRight w:val="0"/>
          <w:marTop w:val="0"/>
          <w:marBottom w:val="0"/>
          <w:divBdr>
            <w:top w:val="none" w:sz="0" w:space="0" w:color="auto"/>
            <w:left w:val="none" w:sz="0" w:space="0" w:color="auto"/>
            <w:bottom w:val="none" w:sz="0" w:space="0" w:color="auto"/>
            <w:right w:val="none" w:sz="0" w:space="0" w:color="auto"/>
          </w:divBdr>
        </w:div>
        <w:div w:id="1206213069">
          <w:marLeft w:val="640"/>
          <w:marRight w:val="0"/>
          <w:marTop w:val="0"/>
          <w:marBottom w:val="0"/>
          <w:divBdr>
            <w:top w:val="none" w:sz="0" w:space="0" w:color="auto"/>
            <w:left w:val="none" w:sz="0" w:space="0" w:color="auto"/>
            <w:bottom w:val="none" w:sz="0" w:space="0" w:color="auto"/>
            <w:right w:val="none" w:sz="0" w:space="0" w:color="auto"/>
          </w:divBdr>
        </w:div>
        <w:div w:id="1445540815">
          <w:marLeft w:val="640"/>
          <w:marRight w:val="0"/>
          <w:marTop w:val="0"/>
          <w:marBottom w:val="0"/>
          <w:divBdr>
            <w:top w:val="none" w:sz="0" w:space="0" w:color="auto"/>
            <w:left w:val="none" w:sz="0" w:space="0" w:color="auto"/>
            <w:bottom w:val="none" w:sz="0" w:space="0" w:color="auto"/>
            <w:right w:val="none" w:sz="0" w:space="0" w:color="auto"/>
          </w:divBdr>
        </w:div>
        <w:div w:id="1121070630">
          <w:marLeft w:val="640"/>
          <w:marRight w:val="0"/>
          <w:marTop w:val="0"/>
          <w:marBottom w:val="0"/>
          <w:divBdr>
            <w:top w:val="none" w:sz="0" w:space="0" w:color="auto"/>
            <w:left w:val="none" w:sz="0" w:space="0" w:color="auto"/>
            <w:bottom w:val="none" w:sz="0" w:space="0" w:color="auto"/>
            <w:right w:val="none" w:sz="0" w:space="0" w:color="auto"/>
          </w:divBdr>
        </w:div>
        <w:div w:id="1656453643">
          <w:marLeft w:val="640"/>
          <w:marRight w:val="0"/>
          <w:marTop w:val="0"/>
          <w:marBottom w:val="0"/>
          <w:divBdr>
            <w:top w:val="none" w:sz="0" w:space="0" w:color="auto"/>
            <w:left w:val="none" w:sz="0" w:space="0" w:color="auto"/>
            <w:bottom w:val="none" w:sz="0" w:space="0" w:color="auto"/>
            <w:right w:val="none" w:sz="0" w:space="0" w:color="auto"/>
          </w:divBdr>
        </w:div>
        <w:div w:id="444925494">
          <w:marLeft w:val="640"/>
          <w:marRight w:val="0"/>
          <w:marTop w:val="0"/>
          <w:marBottom w:val="0"/>
          <w:divBdr>
            <w:top w:val="none" w:sz="0" w:space="0" w:color="auto"/>
            <w:left w:val="none" w:sz="0" w:space="0" w:color="auto"/>
            <w:bottom w:val="none" w:sz="0" w:space="0" w:color="auto"/>
            <w:right w:val="none" w:sz="0" w:space="0" w:color="auto"/>
          </w:divBdr>
        </w:div>
        <w:div w:id="1545016980">
          <w:marLeft w:val="640"/>
          <w:marRight w:val="0"/>
          <w:marTop w:val="0"/>
          <w:marBottom w:val="0"/>
          <w:divBdr>
            <w:top w:val="none" w:sz="0" w:space="0" w:color="auto"/>
            <w:left w:val="none" w:sz="0" w:space="0" w:color="auto"/>
            <w:bottom w:val="none" w:sz="0" w:space="0" w:color="auto"/>
            <w:right w:val="none" w:sz="0" w:space="0" w:color="auto"/>
          </w:divBdr>
        </w:div>
        <w:div w:id="1169784831">
          <w:marLeft w:val="640"/>
          <w:marRight w:val="0"/>
          <w:marTop w:val="0"/>
          <w:marBottom w:val="0"/>
          <w:divBdr>
            <w:top w:val="none" w:sz="0" w:space="0" w:color="auto"/>
            <w:left w:val="none" w:sz="0" w:space="0" w:color="auto"/>
            <w:bottom w:val="none" w:sz="0" w:space="0" w:color="auto"/>
            <w:right w:val="none" w:sz="0" w:space="0" w:color="auto"/>
          </w:divBdr>
        </w:div>
        <w:div w:id="1199663695">
          <w:marLeft w:val="640"/>
          <w:marRight w:val="0"/>
          <w:marTop w:val="0"/>
          <w:marBottom w:val="0"/>
          <w:divBdr>
            <w:top w:val="none" w:sz="0" w:space="0" w:color="auto"/>
            <w:left w:val="none" w:sz="0" w:space="0" w:color="auto"/>
            <w:bottom w:val="none" w:sz="0" w:space="0" w:color="auto"/>
            <w:right w:val="none" w:sz="0" w:space="0" w:color="auto"/>
          </w:divBdr>
        </w:div>
        <w:div w:id="2032028366">
          <w:marLeft w:val="640"/>
          <w:marRight w:val="0"/>
          <w:marTop w:val="0"/>
          <w:marBottom w:val="0"/>
          <w:divBdr>
            <w:top w:val="none" w:sz="0" w:space="0" w:color="auto"/>
            <w:left w:val="none" w:sz="0" w:space="0" w:color="auto"/>
            <w:bottom w:val="none" w:sz="0" w:space="0" w:color="auto"/>
            <w:right w:val="none" w:sz="0" w:space="0" w:color="auto"/>
          </w:divBdr>
        </w:div>
        <w:div w:id="1058018056">
          <w:marLeft w:val="640"/>
          <w:marRight w:val="0"/>
          <w:marTop w:val="0"/>
          <w:marBottom w:val="0"/>
          <w:divBdr>
            <w:top w:val="none" w:sz="0" w:space="0" w:color="auto"/>
            <w:left w:val="none" w:sz="0" w:space="0" w:color="auto"/>
            <w:bottom w:val="none" w:sz="0" w:space="0" w:color="auto"/>
            <w:right w:val="none" w:sz="0" w:space="0" w:color="auto"/>
          </w:divBdr>
        </w:div>
        <w:div w:id="1475489955">
          <w:marLeft w:val="640"/>
          <w:marRight w:val="0"/>
          <w:marTop w:val="0"/>
          <w:marBottom w:val="0"/>
          <w:divBdr>
            <w:top w:val="none" w:sz="0" w:space="0" w:color="auto"/>
            <w:left w:val="none" w:sz="0" w:space="0" w:color="auto"/>
            <w:bottom w:val="none" w:sz="0" w:space="0" w:color="auto"/>
            <w:right w:val="none" w:sz="0" w:space="0" w:color="auto"/>
          </w:divBdr>
        </w:div>
        <w:div w:id="451825428">
          <w:marLeft w:val="640"/>
          <w:marRight w:val="0"/>
          <w:marTop w:val="0"/>
          <w:marBottom w:val="0"/>
          <w:divBdr>
            <w:top w:val="none" w:sz="0" w:space="0" w:color="auto"/>
            <w:left w:val="none" w:sz="0" w:space="0" w:color="auto"/>
            <w:bottom w:val="none" w:sz="0" w:space="0" w:color="auto"/>
            <w:right w:val="none" w:sz="0" w:space="0" w:color="auto"/>
          </w:divBdr>
        </w:div>
        <w:div w:id="128978559">
          <w:marLeft w:val="640"/>
          <w:marRight w:val="0"/>
          <w:marTop w:val="0"/>
          <w:marBottom w:val="0"/>
          <w:divBdr>
            <w:top w:val="none" w:sz="0" w:space="0" w:color="auto"/>
            <w:left w:val="none" w:sz="0" w:space="0" w:color="auto"/>
            <w:bottom w:val="none" w:sz="0" w:space="0" w:color="auto"/>
            <w:right w:val="none" w:sz="0" w:space="0" w:color="auto"/>
          </w:divBdr>
        </w:div>
        <w:div w:id="1628273497">
          <w:marLeft w:val="640"/>
          <w:marRight w:val="0"/>
          <w:marTop w:val="0"/>
          <w:marBottom w:val="0"/>
          <w:divBdr>
            <w:top w:val="none" w:sz="0" w:space="0" w:color="auto"/>
            <w:left w:val="none" w:sz="0" w:space="0" w:color="auto"/>
            <w:bottom w:val="none" w:sz="0" w:space="0" w:color="auto"/>
            <w:right w:val="none" w:sz="0" w:space="0" w:color="auto"/>
          </w:divBdr>
        </w:div>
        <w:div w:id="2056812815">
          <w:marLeft w:val="640"/>
          <w:marRight w:val="0"/>
          <w:marTop w:val="0"/>
          <w:marBottom w:val="0"/>
          <w:divBdr>
            <w:top w:val="none" w:sz="0" w:space="0" w:color="auto"/>
            <w:left w:val="none" w:sz="0" w:space="0" w:color="auto"/>
            <w:bottom w:val="none" w:sz="0" w:space="0" w:color="auto"/>
            <w:right w:val="none" w:sz="0" w:space="0" w:color="auto"/>
          </w:divBdr>
        </w:div>
        <w:div w:id="1476992777">
          <w:marLeft w:val="640"/>
          <w:marRight w:val="0"/>
          <w:marTop w:val="0"/>
          <w:marBottom w:val="0"/>
          <w:divBdr>
            <w:top w:val="none" w:sz="0" w:space="0" w:color="auto"/>
            <w:left w:val="none" w:sz="0" w:space="0" w:color="auto"/>
            <w:bottom w:val="none" w:sz="0" w:space="0" w:color="auto"/>
            <w:right w:val="none" w:sz="0" w:space="0" w:color="auto"/>
          </w:divBdr>
        </w:div>
        <w:div w:id="507328644">
          <w:marLeft w:val="640"/>
          <w:marRight w:val="0"/>
          <w:marTop w:val="0"/>
          <w:marBottom w:val="0"/>
          <w:divBdr>
            <w:top w:val="none" w:sz="0" w:space="0" w:color="auto"/>
            <w:left w:val="none" w:sz="0" w:space="0" w:color="auto"/>
            <w:bottom w:val="none" w:sz="0" w:space="0" w:color="auto"/>
            <w:right w:val="none" w:sz="0" w:space="0" w:color="auto"/>
          </w:divBdr>
        </w:div>
        <w:div w:id="2042627672">
          <w:marLeft w:val="640"/>
          <w:marRight w:val="0"/>
          <w:marTop w:val="0"/>
          <w:marBottom w:val="0"/>
          <w:divBdr>
            <w:top w:val="none" w:sz="0" w:space="0" w:color="auto"/>
            <w:left w:val="none" w:sz="0" w:space="0" w:color="auto"/>
            <w:bottom w:val="none" w:sz="0" w:space="0" w:color="auto"/>
            <w:right w:val="none" w:sz="0" w:space="0" w:color="auto"/>
          </w:divBdr>
        </w:div>
        <w:div w:id="1884292878">
          <w:marLeft w:val="640"/>
          <w:marRight w:val="0"/>
          <w:marTop w:val="0"/>
          <w:marBottom w:val="0"/>
          <w:divBdr>
            <w:top w:val="none" w:sz="0" w:space="0" w:color="auto"/>
            <w:left w:val="none" w:sz="0" w:space="0" w:color="auto"/>
            <w:bottom w:val="none" w:sz="0" w:space="0" w:color="auto"/>
            <w:right w:val="none" w:sz="0" w:space="0" w:color="auto"/>
          </w:divBdr>
        </w:div>
        <w:div w:id="1093547914">
          <w:marLeft w:val="640"/>
          <w:marRight w:val="0"/>
          <w:marTop w:val="0"/>
          <w:marBottom w:val="0"/>
          <w:divBdr>
            <w:top w:val="none" w:sz="0" w:space="0" w:color="auto"/>
            <w:left w:val="none" w:sz="0" w:space="0" w:color="auto"/>
            <w:bottom w:val="none" w:sz="0" w:space="0" w:color="auto"/>
            <w:right w:val="none" w:sz="0" w:space="0" w:color="auto"/>
          </w:divBdr>
        </w:div>
        <w:div w:id="1126895128">
          <w:marLeft w:val="640"/>
          <w:marRight w:val="0"/>
          <w:marTop w:val="0"/>
          <w:marBottom w:val="0"/>
          <w:divBdr>
            <w:top w:val="none" w:sz="0" w:space="0" w:color="auto"/>
            <w:left w:val="none" w:sz="0" w:space="0" w:color="auto"/>
            <w:bottom w:val="none" w:sz="0" w:space="0" w:color="auto"/>
            <w:right w:val="none" w:sz="0" w:space="0" w:color="auto"/>
          </w:divBdr>
        </w:div>
        <w:div w:id="1708993493">
          <w:marLeft w:val="640"/>
          <w:marRight w:val="0"/>
          <w:marTop w:val="0"/>
          <w:marBottom w:val="0"/>
          <w:divBdr>
            <w:top w:val="none" w:sz="0" w:space="0" w:color="auto"/>
            <w:left w:val="none" w:sz="0" w:space="0" w:color="auto"/>
            <w:bottom w:val="none" w:sz="0" w:space="0" w:color="auto"/>
            <w:right w:val="none" w:sz="0" w:space="0" w:color="auto"/>
          </w:divBdr>
        </w:div>
        <w:div w:id="968440447">
          <w:marLeft w:val="640"/>
          <w:marRight w:val="0"/>
          <w:marTop w:val="0"/>
          <w:marBottom w:val="0"/>
          <w:divBdr>
            <w:top w:val="none" w:sz="0" w:space="0" w:color="auto"/>
            <w:left w:val="none" w:sz="0" w:space="0" w:color="auto"/>
            <w:bottom w:val="none" w:sz="0" w:space="0" w:color="auto"/>
            <w:right w:val="none" w:sz="0" w:space="0" w:color="auto"/>
          </w:divBdr>
        </w:div>
        <w:div w:id="1307466134">
          <w:marLeft w:val="640"/>
          <w:marRight w:val="0"/>
          <w:marTop w:val="0"/>
          <w:marBottom w:val="0"/>
          <w:divBdr>
            <w:top w:val="none" w:sz="0" w:space="0" w:color="auto"/>
            <w:left w:val="none" w:sz="0" w:space="0" w:color="auto"/>
            <w:bottom w:val="none" w:sz="0" w:space="0" w:color="auto"/>
            <w:right w:val="none" w:sz="0" w:space="0" w:color="auto"/>
          </w:divBdr>
        </w:div>
        <w:div w:id="330107318">
          <w:marLeft w:val="640"/>
          <w:marRight w:val="0"/>
          <w:marTop w:val="0"/>
          <w:marBottom w:val="0"/>
          <w:divBdr>
            <w:top w:val="none" w:sz="0" w:space="0" w:color="auto"/>
            <w:left w:val="none" w:sz="0" w:space="0" w:color="auto"/>
            <w:bottom w:val="none" w:sz="0" w:space="0" w:color="auto"/>
            <w:right w:val="none" w:sz="0" w:space="0" w:color="auto"/>
          </w:divBdr>
        </w:div>
        <w:div w:id="97796402">
          <w:marLeft w:val="640"/>
          <w:marRight w:val="0"/>
          <w:marTop w:val="0"/>
          <w:marBottom w:val="0"/>
          <w:divBdr>
            <w:top w:val="none" w:sz="0" w:space="0" w:color="auto"/>
            <w:left w:val="none" w:sz="0" w:space="0" w:color="auto"/>
            <w:bottom w:val="none" w:sz="0" w:space="0" w:color="auto"/>
            <w:right w:val="none" w:sz="0" w:space="0" w:color="auto"/>
          </w:divBdr>
        </w:div>
        <w:div w:id="254242105">
          <w:marLeft w:val="640"/>
          <w:marRight w:val="0"/>
          <w:marTop w:val="0"/>
          <w:marBottom w:val="0"/>
          <w:divBdr>
            <w:top w:val="none" w:sz="0" w:space="0" w:color="auto"/>
            <w:left w:val="none" w:sz="0" w:space="0" w:color="auto"/>
            <w:bottom w:val="none" w:sz="0" w:space="0" w:color="auto"/>
            <w:right w:val="none" w:sz="0" w:space="0" w:color="auto"/>
          </w:divBdr>
        </w:div>
        <w:div w:id="586769572">
          <w:marLeft w:val="640"/>
          <w:marRight w:val="0"/>
          <w:marTop w:val="0"/>
          <w:marBottom w:val="0"/>
          <w:divBdr>
            <w:top w:val="none" w:sz="0" w:space="0" w:color="auto"/>
            <w:left w:val="none" w:sz="0" w:space="0" w:color="auto"/>
            <w:bottom w:val="none" w:sz="0" w:space="0" w:color="auto"/>
            <w:right w:val="none" w:sz="0" w:space="0" w:color="auto"/>
          </w:divBdr>
        </w:div>
        <w:div w:id="221674497">
          <w:marLeft w:val="640"/>
          <w:marRight w:val="0"/>
          <w:marTop w:val="0"/>
          <w:marBottom w:val="0"/>
          <w:divBdr>
            <w:top w:val="none" w:sz="0" w:space="0" w:color="auto"/>
            <w:left w:val="none" w:sz="0" w:space="0" w:color="auto"/>
            <w:bottom w:val="none" w:sz="0" w:space="0" w:color="auto"/>
            <w:right w:val="none" w:sz="0" w:space="0" w:color="auto"/>
          </w:divBdr>
        </w:div>
        <w:div w:id="1054038081">
          <w:marLeft w:val="640"/>
          <w:marRight w:val="0"/>
          <w:marTop w:val="0"/>
          <w:marBottom w:val="0"/>
          <w:divBdr>
            <w:top w:val="none" w:sz="0" w:space="0" w:color="auto"/>
            <w:left w:val="none" w:sz="0" w:space="0" w:color="auto"/>
            <w:bottom w:val="none" w:sz="0" w:space="0" w:color="auto"/>
            <w:right w:val="none" w:sz="0" w:space="0" w:color="auto"/>
          </w:divBdr>
        </w:div>
        <w:div w:id="1129980446">
          <w:marLeft w:val="640"/>
          <w:marRight w:val="0"/>
          <w:marTop w:val="0"/>
          <w:marBottom w:val="0"/>
          <w:divBdr>
            <w:top w:val="none" w:sz="0" w:space="0" w:color="auto"/>
            <w:left w:val="none" w:sz="0" w:space="0" w:color="auto"/>
            <w:bottom w:val="none" w:sz="0" w:space="0" w:color="auto"/>
            <w:right w:val="none" w:sz="0" w:space="0" w:color="auto"/>
          </w:divBdr>
        </w:div>
        <w:div w:id="265424784">
          <w:marLeft w:val="640"/>
          <w:marRight w:val="0"/>
          <w:marTop w:val="0"/>
          <w:marBottom w:val="0"/>
          <w:divBdr>
            <w:top w:val="none" w:sz="0" w:space="0" w:color="auto"/>
            <w:left w:val="none" w:sz="0" w:space="0" w:color="auto"/>
            <w:bottom w:val="none" w:sz="0" w:space="0" w:color="auto"/>
            <w:right w:val="none" w:sz="0" w:space="0" w:color="auto"/>
          </w:divBdr>
        </w:div>
        <w:div w:id="198669509">
          <w:marLeft w:val="640"/>
          <w:marRight w:val="0"/>
          <w:marTop w:val="0"/>
          <w:marBottom w:val="0"/>
          <w:divBdr>
            <w:top w:val="none" w:sz="0" w:space="0" w:color="auto"/>
            <w:left w:val="none" w:sz="0" w:space="0" w:color="auto"/>
            <w:bottom w:val="none" w:sz="0" w:space="0" w:color="auto"/>
            <w:right w:val="none" w:sz="0" w:space="0" w:color="auto"/>
          </w:divBdr>
        </w:div>
        <w:div w:id="625430358">
          <w:marLeft w:val="640"/>
          <w:marRight w:val="0"/>
          <w:marTop w:val="0"/>
          <w:marBottom w:val="0"/>
          <w:divBdr>
            <w:top w:val="none" w:sz="0" w:space="0" w:color="auto"/>
            <w:left w:val="none" w:sz="0" w:space="0" w:color="auto"/>
            <w:bottom w:val="none" w:sz="0" w:space="0" w:color="auto"/>
            <w:right w:val="none" w:sz="0" w:space="0" w:color="auto"/>
          </w:divBdr>
        </w:div>
        <w:div w:id="369915058">
          <w:marLeft w:val="640"/>
          <w:marRight w:val="0"/>
          <w:marTop w:val="0"/>
          <w:marBottom w:val="0"/>
          <w:divBdr>
            <w:top w:val="none" w:sz="0" w:space="0" w:color="auto"/>
            <w:left w:val="none" w:sz="0" w:space="0" w:color="auto"/>
            <w:bottom w:val="none" w:sz="0" w:space="0" w:color="auto"/>
            <w:right w:val="none" w:sz="0" w:space="0" w:color="auto"/>
          </w:divBdr>
        </w:div>
        <w:div w:id="754932703">
          <w:marLeft w:val="640"/>
          <w:marRight w:val="0"/>
          <w:marTop w:val="0"/>
          <w:marBottom w:val="0"/>
          <w:divBdr>
            <w:top w:val="none" w:sz="0" w:space="0" w:color="auto"/>
            <w:left w:val="none" w:sz="0" w:space="0" w:color="auto"/>
            <w:bottom w:val="none" w:sz="0" w:space="0" w:color="auto"/>
            <w:right w:val="none" w:sz="0" w:space="0" w:color="auto"/>
          </w:divBdr>
        </w:div>
        <w:div w:id="241571202">
          <w:marLeft w:val="640"/>
          <w:marRight w:val="0"/>
          <w:marTop w:val="0"/>
          <w:marBottom w:val="0"/>
          <w:divBdr>
            <w:top w:val="none" w:sz="0" w:space="0" w:color="auto"/>
            <w:left w:val="none" w:sz="0" w:space="0" w:color="auto"/>
            <w:bottom w:val="none" w:sz="0" w:space="0" w:color="auto"/>
            <w:right w:val="none" w:sz="0" w:space="0" w:color="auto"/>
          </w:divBdr>
        </w:div>
        <w:div w:id="1850871441">
          <w:marLeft w:val="640"/>
          <w:marRight w:val="0"/>
          <w:marTop w:val="0"/>
          <w:marBottom w:val="0"/>
          <w:divBdr>
            <w:top w:val="none" w:sz="0" w:space="0" w:color="auto"/>
            <w:left w:val="none" w:sz="0" w:space="0" w:color="auto"/>
            <w:bottom w:val="none" w:sz="0" w:space="0" w:color="auto"/>
            <w:right w:val="none" w:sz="0" w:space="0" w:color="auto"/>
          </w:divBdr>
        </w:div>
        <w:div w:id="1810857902">
          <w:marLeft w:val="640"/>
          <w:marRight w:val="0"/>
          <w:marTop w:val="0"/>
          <w:marBottom w:val="0"/>
          <w:divBdr>
            <w:top w:val="none" w:sz="0" w:space="0" w:color="auto"/>
            <w:left w:val="none" w:sz="0" w:space="0" w:color="auto"/>
            <w:bottom w:val="none" w:sz="0" w:space="0" w:color="auto"/>
            <w:right w:val="none" w:sz="0" w:space="0" w:color="auto"/>
          </w:divBdr>
        </w:div>
        <w:div w:id="1405179725">
          <w:marLeft w:val="640"/>
          <w:marRight w:val="0"/>
          <w:marTop w:val="0"/>
          <w:marBottom w:val="0"/>
          <w:divBdr>
            <w:top w:val="none" w:sz="0" w:space="0" w:color="auto"/>
            <w:left w:val="none" w:sz="0" w:space="0" w:color="auto"/>
            <w:bottom w:val="none" w:sz="0" w:space="0" w:color="auto"/>
            <w:right w:val="none" w:sz="0" w:space="0" w:color="auto"/>
          </w:divBdr>
        </w:div>
        <w:div w:id="76244438">
          <w:marLeft w:val="640"/>
          <w:marRight w:val="0"/>
          <w:marTop w:val="0"/>
          <w:marBottom w:val="0"/>
          <w:divBdr>
            <w:top w:val="none" w:sz="0" w:space="0" w:color="auto"/>
            <w:left w:val="none" w:sz="0" w:space="0" w:color="auto"/>
            <w:bottom w:val="none" w:sz="0" w:space="0" w:color="auto"/>
            <w:right w:val="none" w:sz="0" w:space="0" w:color="auto"/>
          </w:divBdr>
        </w:div>
        <w:div w:id="1035538790">
          <w:marLeft w:val="640"/>
          <w:marRight w:val="0"/>
          <w:marTop w:val="0"/>
          <w:marBottom w:val="0"/>
          <w:divBdr>
            <w:top w:val="none" w:sz="0" w:space="0" w:color="auto"/>
            <w:left w:val="none" w:sz="0" w:space="0" w:color="auto"/>
            <w:bottom w:val="none" w:sz="0" w:space="0" w:color="auto"/>
            <w:right w:val="none" w:sz="0" w:space="0" w:color="auto"/>
          </w:divBdr>
        </w:div>
        <w:div w:id="790437136">
          <w:marLeft w:val="640"/>
          <w:marRight w:val="0"/>
          <w:marTop w:val="0"/>
          <w:marBottom w:val="0"/>
          <w:divBdr>
            <w:top w:val="none" w:sz="0" w:space="0" w:color="auto"/>
            <w:left w:val="none" w:sz="0" w:space="0" w:color="auto"/>
            <w:bottom w:val="none" w:sz="0" w:space="0" w:color="auto"/>
            <w:right w:val="none" w:sz="0" w:space="0" w:color="auto"/>
          </w:divBdr>
        </w:div>
        <w:div w:id="1721006734">
          <w:marLeft w:val="640"/>
          <w:marRight w:val="0"/>
          <w:marTop w:val="0"/>
          <w:marBottom w:val="0"/>
          <w:divBdr>
            <w:top w:val="none" w:sz="0" w:space="0" w:color="auto"/>
            <w:left w:val="none" w:sz="0" w:space="0" w:color="auto"/>
            <w:bottom w:val="none" w:sz="0" w:space="0" w:color="auto"/>
            <w:right w:val="none" w:sz="0" w:space="0" w:color="auto"/>
          </w:divBdr>
        </w:div>
        <w:div w:id="1533304155">
          <w:marLeft w:val="640"/>
          <w:marRight w:val="0"/>
          <w:marTop w:val="0"/>
          <w:marBottom w:val="0"/>
          <w:divBdr>
            <w:top w:val="none" w:sz="0" w:space="0" w:color="auto"/>
            <w:left w:val="none" w:sz="0" w:space="0" w:color="auto"/>
            <w:bottom w:val="none" w:sz="0" w:space="0" w:color="auto"/>
            <w:right w:val="none" w:sz="0" w:space="0" w:color="auto"/>
          </w:divBdr>
        </w:div>
        <w:div w:id="1175919246">
          <w:marLeft w:val="640"/>
          <w:marRight w:val="0"/>
          <w:marTop w:val="0"/>
          <w:marBottom w:val="0"/>
          <w:divBdr>
            <w:top w:val="none" w:sz="0" w:space="0" w:color="auto"/>
            <w:left w:val="none" w:sz="0" w:space="0" w:color="auto"/>
            <w:bottom w:val="none" w:sz="0" w:space="0" w:color="auto"/>
            <w:right w:val="none" w:sz="0" w:space="0" w:color="auto"/>
          </w:divBdr>
        </w:div>
        <w:div w:id="699285389">
          <w:marLeft w:val="640"/>
          <w:marRight w:val="0"/>
          <w:marTop w:val="0"/>
          <w:marBottom w:val="0"/>
          <w:divBdr>
            <w:top w:val="none" w:sz="0" w:space="0" w:color="auto"/>
            <w:left w:val="none" w:sz="0" w:space="0" w:color="auto"/>
            <w:bottom w:val="none" w:sz="0" w:space="0" w:color="auto"/>
            <w:right w:val="none" w:sz="0" w:space="0" w:color="auto"/>
          </w:divBdr>
        </w:div>
        <w:div w:id="1574000742">
          <w:marLeft w:val="640"/>
          <w:marRight w:val="0"/>
          <w:marTop w:val="0"/>
          <w:marBottom w:val="0"/>
          <w:divBdr>
            <w:top w:val="none" w:sz="0" w:space="0" w:color="auto"/>
            <w:left w:val="none" w:sz="0" w:space="0" w:color="auto"/>
            <w:bottom w:val="none" w:sz="0" w:space="0" w:color="auto"/>
            <w:right w:val="none" w:sz="0" w:space="0" w:color="auto"/>
          </w:divBdr>
        </w:div>
        <w:div w:id="1235432463">
          <w:marLeft w:val="640"/>
          <w:marRight w:val="0"/>
          <w:marTop w:val="0"/>
          <w:marBottom w:val="0"/>
          <w:divBdr>
            <w:top w:val="none" w:sz="0" w:space="0" w:color="auto"/>
            <w:left w:val="none" w:sz="0" w:space="0" w:color="auto"/>
            <w:bottom w:val="none" w:sz="0" w:space="0" w:color="auto"/>
            <w:right w:val="none" w:sz="0" w:space="0" w:color="auto"/>
          </w:divBdr>
        </w:div>
        <w:div w:id="360472082">
          <w:marLeft w:val="640"/>
          <w:marRight w:val="0"/>
          <w:marTop w:val="0"/>
          <w:marBottom w:val="0"/>
          <w:divBdr>
            <w:top w:val="none" w:sz="0" w:space="0" w:color="auto"/>
            <w:left w:val="none" w:sz="0" w:space="0" w:color="auto"/>
            <w:bottom w:val="none" w:sz="0" w:space="0" w:color="auto"/>
            <w:right w:val="none" w:sz="0" w:space="0" w:color="auto"/>
          </w:divBdr>
        </w:div>
        <w:div w:id="614824498">
          <w:marLeft w:val="640"/>
          <w:marRight w:val="0"/>
          <w:marTop w:val="0"/>
          <w:marBottom w:val="0"/>
          <w:divBdr>
            <w:top w:val="none" w:sz="0" w:space="0" w:color="auto"/>
            <w:left w:val="none" w:sz="0" w:space="0" w:color="auto"/>
            <w:bottom w:val="none" w:sz="0" w:space="0" w:color="auto"/>
            <w:right w:val="none" w:sz="0" w:space="0" w:color="auto"/>
          </w:divBdr>
        </w:div>
        <w:div w:id="145242434">
          <w:marLeft w:val="640"/>
          <w:marRight w:val="0"/>
          <w:marTop w:val="0"/>
          <w:marBottom w:val="0"/>
          <w:divBdr>
            <w:top w:val="none" w:sz="0" w:space="0" w:color="auto"/>
            <w:left w:val="none" w:sz="0" w:space="0" w:color="auto"/>
            <w:bottom w:val="none" w:sz="0" w:space="0" w:color="auto"/>
            <w:right w:val="none" w:sz="0" w:space="0" w:color="auto"/>
          </w:divBdr>
        </w:div>
        <w:div w:id="430903279">
          <w:marLeft w:val="640"/>
          <w:marRight w:val="0"/>
          <w:marTop w:val="0"/>
          <w:marBottom w:val="0"/>
          <w:divBdr>
            <w:top w:val="none" w:sz="0" w:space="0" w:color="auto"/>
            <w:left w:val="none" w:sz="0" w:space="0" w:color="auto"/>
            <w:bottom w:val="none" w:sz="0" w:space="0" w:color="auto"/>
            <w:right w:val="none" w:sz="0" w:space="0" w:color="auto"/>
          </w:divBdr>
        </w:div>
        <w:div w:id="618879831">
          <w:marLeft w:val="640"/>
          <w:marRight w:val="0"/>
          <w:marTop w:val="0"/>
          <w:marBottom w:val="0"/>
          <w:divBdr>
            <w:top w:val="none" w:sz="0" w:space="0" w:color="auto"/>
            <w:left w:val="none" w:sz="0" w:space="0" w:color="auto"/>
            <w:bottom w:val="none" w:sz="0" w:space="0" w:color="auto"/>
            <w:right w:val="none" w:sz="0" w:space="0" w:color="auto"/>
          </w:divBdr>
        </w:div>
        <w:div w:id="1501001575">
          <w:marLeft w:val="640"/>
          <w:marRight w:val="0"/>
          <w:marTop w:val="0"/>
          <w:marBottom w:val="0"/>
          <w:divBdr>
            <w:top w:val="none" w:sz="0" w:space="0" w:color="auto"/>
            <w:left w:val="none" w:sz="0" w:space="0" w:color="auto"/>
            <w:bottom w:val="none" w:sz="0" w:space="0" w:color="auto"/>
            <w:right w:val="none" w:sz="0" w:space="0" w:color="auto"/>
          </w:divBdr>
        </w:div>
        <w:div w:id="2103409760">
          <w:marLeft w:val="640"/>
          <w:marRight w:val="0"/>
          <w:marTop w:val="0"/>
          <w:marBottom w:val="0"/>
          <w:divBdr>
            <w:top w:val="none" w:sz="0" w:space="0" w:color="auto"/>
            <w:left w:val="none" w:sz="0" w:space="0" w:color="auto"/>
            <w:bottom w:val="none" w:sz="0" w:space="0" w:color="auto"/>
            <w:right w:val="none" w:sz="0" w:space="0" w:color="auto"/>
          </w:divBdr>
        </w:div>
        <w:div w:id="1038555644">
          <w:marLeft w:val="640"/>
          <w:marRight w:val="0"/>
          <w:marTop w:val="0"/>
          <w:marBottom w:val="0"/>
          <w:divBdr>
            <w:top w:val="none" w:sz="0" w:space="0" w:color="auto"/>
            <w:left w:val="none" w:sz="0" w:space="0" w:color="auto"/>
            <w:bottom w:val="none" w:sz="0" w:space="0" w:color="auto"/>
            <w:right w:val="none" w:sz="0" w:space="0" w:color="auto"/>
          </w:divBdr>
        </w:div>
        <w:div w:id="544490700">
          <w:marLeft w:val="640"/>
          <w:marRight w:val="0"/>
          <w:marTop w:val="0"/>
          <w:marBottom w:val="0"/>
          <w:divBdr>
            <w:top w:val="none" w:sz="0" w:space="0" w:color="auto"/>
            <w:left w:val="none" w:sz="0" w:space="0" w:color="auto"/>
            <w:bottom w:val="none" w:sz="0" w:space="0" w:color="auto"/>
            <w:right w:val="none" w:sz="0" w:space="0" w:color="auto"/>
          </w:divBdr>
        </w:div>
        <w:div w:id="1970739145">
          <w:marLeft w:val="640"/>
          <w:marRight w:val="0"/>
          <w:marTop w:val="0"/>
          <w:marBottom w:val="0"/>
          <w:divBdr>
            <w:top w:val="none" w:sz="0" w:space="0" w:color="auto"/>
            <w:left w:val="none" w:sz="0" w:space="0" w:color="auto"/>
            <w:bottom w:val="none" w:sz="0" w:space="0" w:color="auto"/>
            <w:right w:val="none" w:sz="0" w:space="0" w:color="auto"/>
          </w:divBdr>
        </w:div>
        <w:div w:id="846135543">
          <w:marLeft w:val="640"/>
          <w:marRight w:val="0"/>
          <w:marTop w:val="0"/>
          <w:marBottom w:val="0"/>
          <w:divBdr>
            <w:top w:val="none" w:sz="0" w:space="0" w:color="auto"/>
            <w:left w:val="none" w:sz="0" w:space="0" w:color="auto"/>
            <w:bottom w:val="none" w:sz="0" w:space="0" w:color="auto"/>
            <w:right w:val="none" w:sz="0" w:space="0" w:color="auto"/>
          </w:divBdr>
        </w:div>
        <w:div w:id="47415215">
          <w:marLeft w:val="640"/>
          <w:marRight w:val="0"/>
          <w:marTop w:val="0"/>
          <w:marBottom w:val="0"/>
          <w:divBdr>
            <w:top w:val="none" w:sz="0" w:space="0" w:color="auto"/>
            <w:left w:val="none" w:sz="0" w:space="0" w:color="auto"/>
            <w:bottom w:val="none" w:sz="0" w:space="0" w:color="auto"/>
            <w:right w:val="none" w:sz="0" w:space="0" w:color="auto"/>
          </w:divBdr>
        </w:div>
        <w:div w:id="1115172849">
          <w:marLeft w:val="640"/>
          <w:marRight w:val="0"/>
          <w:marTop w:val="0"/>
          <w:marBottom w:val="0"/>
          <w:divBdr>
            <w:top w:val="none" w:sz="0" w:space="0" w:color="auto"/>
            <w:left w:val="none" w:sz="0" w:space="0" w:color="auto"/>
            <w:bottom w:val="none" w:sz="0" w:space="0" w:color="auto"/>
            <w:right w:val="none" w:sz="0" w:space="0" w:color="auto"/>
          </w:divBdr>
        </w:div>
        <w:div w:id="963315416">
          <w:marLeft w:val="640"/>
          <w:marRight w:val="0"/>
          <w:marTop w:val="0"/>
          <w:marBottom w:val="0"/>
          <w:divBdr>
            <w:top w:val="none" w:sz="0" w:space="0" w:color="auto"/>
            <w:left w:val="none" w:sz="0" w:space="0" w:color="auto"/>
            <w:bottom w:val="none" w:sz="0" w:space="0" w:color="auto"/>
            <w:right w:val="none" w:sz="0" w:space="0" w:color="auto"/>
          </w:divBdr>
        </w:div>
        <w:div w:id="242420284">
          <w:marLeft w:val="640"/>
          <w:marRight w:val="0"/>
          <w:marTop w:val="0"/>
          <w:marBottom w:val="0"/>
          <w:divBdr>
            <w:top w:val="none" w:sz="0" w:space="0" w:color="auto"/>
            <w:left w:val="none" w:sz="0" w:space="0" w:color="auto"/>
            <w:bottom w:val="none" w:sz="0" w:space="0" w:color="auto"/>
            <w:right w:val="none" w:sz="0" w:space="0" w:color="auto"/>
          </w:divBdr>
        </w:div>
        <w:div w:id="161044033">
          <w:marLeft w:val="640"/>
          <w:marRight w:val="0"/>
          <w:marTop w:val="0"/>
          <w:marBottom w:val="0"/>
          <w:divBdr>
            <w:top w:val="none" w:sz="0" w:space="0" w:color="auto"/>
            <w:left w:val="none" w:sz="0" w:space="0" w:color="auto"/>
            <w:bottom w:val="none" w:sz="0" w:space="0" w:color="auto"/>
            <w:right w:val="none" w:sz="0" w:space="0" w:color="auto"/>
          </w:divBdr>
        </w:div>
        <w:div w:id="430661496">
          <w:marLeft w:val="640"/>
          <w:marRight w:val="0"/>
          <w:marTop w:val="0"/>
          <w:marBottom w:val="0"/>
          <w:divBdr>
            <w:top w:val="none" w:sz="0" w:space="0" w:color="auto"/>
            <w:left w:val="none" w:sz="0" w:space="0" w:color="auto"/>
            <w:bottom w:val="none" w:sz="0" w:space="0" w:color="auto"/>
            <w:right w:val="none" w:sz="0" w:space="0" w:color="auto"/>
          </w:divBdr>
        </w:div>
        <w:div w:id="1191453292">
          <w:marLeft w:val="640"/>
          <w:marRight w:val="0"/>
          <w:marTop w:val="0"/>
          <w:marBottom w:val="0"/>
          <w:divBdr>
            <w:top w:val="none" w:sz="0" w:space="0" w:color="auto"/>
            <w:left w:val="none" w:sz="0" w:space="0" w:color="auto"/>
            <w:bottom w:val="none" w:sz="0" w:space="0" w:color="auto"/>
            <w:right w:val="none" w:sz="0" w:space="0" w:color="auto"/>
          </w:divBdr>
        </w:div>
        <w:div w:id="1079978984">
          <w:marLeft w:val="640"/>
          <w:marRight w:val="0"/>
          <w:marTop w:val="0"/>
          <w:marBottom w:val="0"/>
          <w:divBdr>
            <w:top w:val="none" w:sz="0" w:space="0" w:color="auto"/>
            <w:left w:val="none" w:sz="0" w:space="0" w:color="auto"/>
            <w:bottom w:val="none" w:sz="0" w:space="0" w:color="auto"/>
            <w:right w:val="none" w:sz="0" w:space="0" w:color="auto"/>
          </w:divBdr>
        </w:div>
        <w:div w:id="397704760">
          <w:marLeft w:val="640"/>
          <w:marRight w:val="0"/>
          <w:marTop w:val="0"/>
          <w:marBottom w:val="0"/>
          <w:divBdr>
            <w:top w:val="none" w:sz="0" w:space="0" w:color="auto"/>
            <w:left w:val="none" w:sz="0" w:space="0" w:color="auto"/>
            <w:bottom w:val="none" w:sz="0" w:space="0" w:color="auto"/>
            <w:right w:val="none" w:sz="0" w:space="0" w:color="auto"/>
          </w:divBdr>
        </w:div>
        <w:div w:id="521287503">
          <w:marLeft w:val="640"/>
          <w:marRight w:val="0"/>
          <w:marTop w:val="0"/>
          <w:marBottom w:val="0"/>
          <w:divBdr>
            <w:top w:val="none" w:sz="0" w:space="0" w:color="auto"/>
            <w:left w:val="none" w:sz="0" w:space="0" w:color="auto"/>
            <w:bottom w:val="none" w:sz="0" w:space="0" w:color="auto"/>
            <w:right w:val="none" w:sz="0" w:space="0" w:color="auto"/>
          </w:divBdr>
        </w:div>
      </w:divsChild>
    </w:div>
    <w:div w:id="624233904">
      <w:bodyDiv w:val="1"/>
      <w:marLeft w:val="0"/>
      <w:marRight w:val="0"/>
      <w:marTop w:val="0"/>
      <w:marBottom w:val="0"/>
      <w:divBdr>
        <w:top w:val="none" w:sz="0" w:space="0" w:color="auto"/>
        <w:left w:val="none" w:sz="0" w:space="0" w:color="auto"/>
        <w:bottom w:val="none" w:sz="0" w:space="0" w:color="auto"/>
        <w:right w:val="none" w:sz="0" w:space="0" w:color="auto"/>
      </w:divBdr>
      <w:divsChild>
        <w:div w:id="75446769">
          <w:marLeft w:val="640"/>
          <w:marRight w:val="0"/>
          <w:marTop w:val="0"/>
          <w:marBottom w:val="0"/>
          <w:divBdr>
            <w:top w:val="none" w:sz="0" w:space="0" w:color="auto"/>
            <w:left w:val="none" w:sz="0" w:space="0" w:color="auto"/>
            <w:bottom w:val="none" w:sz="0" w:space="0" w:color="auto"/>
            <w:right w:val="none" w:sz="0" w:space="0" w:color="auto"/>
          </w:divBdr>
        </w:div>
        <w:div w:id="1622225372">
          <w:marLeft w:val="640"/>
          <w:marRight w:val="0"/>
          <w:marTop w:val="0"/>
          <w:marBottom w:val="0"/>
          <w:divBdr>
            <w:top w:val="none" w:sz="0" w:space="0" w:color="auto"/>
            <w:left w:val="none" w:sz="0" w:space="0" w:color="auto"/>
            <w:bottom w:val="none" w:sz="0" w:space="0" w:color="auto"/>
            <w:right w:val="none" w:sz="0" w:space="0" w:color="auto"/>
          </w:divBdr>
        </w:div>
        <w:div w:id="900290325">
          <w:marLeft w:val="640"/>
          <w:marRight w:val="0"/>
          <w:marTop w:val="0"/>
          <w:marBottom w:val="0"/>
          <w:divBdr>
            <w:top w:val="none" w:sz="0" w:space="0" w:color="auto"/>
            <w:left w:val="none" w:sz="0" w:space="0" w:color="auto"/>
            <w:bottom w:val="none" w:sz="0" w:space="0" w:color="auto"/>
            <w:right w:val="none" w:sz="0" w:space="0" w:color="auto"/>
          </w:divBdr>
        </w:div>
        <w:div w:id="883446503">
          <w:marLeft w:val="640"/>
          <w:marRight w:val="0"/>
          <w:marTop w:val="0"/>
          <w:marBottom w:val="0"/>
          <w:divBdr>
            <w:top w:val="none" w:sz="0" w:space="0" w:color="auto"/>
            <w:left w:val="none" w:sz="0" w:space="0" w:color="auto"/>
            <w:bottom w:val="none" w:sz="0" w:space="0" w:color="auto"/>
            <w:right w:val="none" w:sz="0" w:space="0" w:color="auto"/>
          </w:divBdr>
        </w:div>
        <w:div w:id="1500542496">
          <w:marLeft w:val="640"/>
          <w:marRight w:val="0"/>
          <w:marTop w:val="0"/>
          <w:marBottom w:val="0"/>
          <w:divBdr>
            <w:top w:val="none" w:sz="0" w:space="0" w:color="auto"/>
            <w:left w:val="none" w:sz="0" w:space="0" w:color="auto"/>
            <w:bottom w:val="none" w:sz="0" w:space="0" w:color="auto"/>
            <w:right w:val="none" w:sz="0" w:space="0" w:color="auto"/>
          </w:divBdr>
        </w:div>
        <w:div w:id="1031957175">
          <w:marLeft w:val="640"/>
          <w:marRight w:val="0"/>
          <w:marTop w:val="0"/>
          <w:marBottom w:val="0"/>
          <w:divBdr>
            <w:top w:val="none" w:sz="0" w:space="0" w:color="auto"/>
            <w:left w:val="none" w:sz="0" w:space="0" w:color="auto"/>
            <w:bottom w:val="none" w:sz="0" w:space="0" w:color="auto"/>
            <w:right w:val="none" w:sz="0" w:space="0" w:color="auto"/>
          </w:divBdr>
        </w:div>
        <w:div w:id="1116370482">
          <w:marLeft w:val="640"/>
          <w:marRight w:val="0"/>
          <w:marTop w:val="0"/>
          <w:marBottom w:val="0"/>
          <w:divBdr>
            <w:top w:val="none" w:sz="0" w:space="0" w:color="auto"/>
            <w:left w:val="none" w:sz="0" w:space="0" w:color="auto"/>
            <w:bottom w:val="none" w:sz="0" w:space="0" w:color="auto"/>
            <w:right w:val="none" w:sz="0" w:space="0" w:color="auto"/>
          </w:divBdr>
        </w:div>
        <w:div w:id="1063529770">
          <w:marLeft w:val="640"/>
          <w:marRight w:val="0"/>
          <w:marTop w:val="0"/>
          <w:marBottom w:val="0"/>
          <w:divBdr>
            <w:top w:val="none" w:sz="0" w:space="0" w:color="auto"/>
            <w:left w:val="none" w:sz="0" w:space="0" w:color="auto"/>
            <w:bottom w:val="none" w:sz="0" w:space="0" w:color="auto"/>
            <w:right w:val="none" w:sz="0" w:space="0" w:color="auto"/>
          </w:divBdr>
        </w:div>
        <w:div w:id="1178033687">
          <w:marLeft w:val="640"/>
          <w:marRight w:val="0"/>
          <w:marTop w:val="0"/>
          <w:marBottom w:val="0"/>
          <w:divBdr>
            <w:top w:val="none" w:sz="0" w:space="0" w:color="auto"/>
            <w:left w:val="none" w:sz="0" w:space="0" w:color="auto"/>
            <w:bottom w:val="none" w:sz="0" w:space="0" w:color="auto"/>
            <w:right w:val="none" w:sz="0" w:space="0" w:color="auto"/>
          </w:divBdr>
        </w:div>
        <w:div w:id="1559240892">
          <w:marLeft w:val="640"/>
          <w:marRight w:val="0"/>
          <w:marTop w:val="0"/>
          <w:marBottom w:val="0"/>
          <w:divBdr>
            <w:top w:val="none" w:sz="0" w:space="0" w:color="auto"/>
            <w:left w:val="none" w:sz="0" w:space="0" w:color="auto"/>
            <w:bottom w:val="none" w:sz="0" w:space="0" w:color="auto"/>
            <w:right w:val="none" w:sz="0" w:space="0" w:color="auto"/>
          </w:divBdr>
        </w:div>
        <w:div w:id="1306860735">
          <w:marLeft w:val="640"/>
          <w:marRight w:val="0"/>
          <w:marTop w:val="0"/>
          <w:marBottom w:val="0"/>
          <w:divBdr>
            <w:top w:val="none" w:sz="0" w:space="0" w:color="auto"/>
            <w:left w:val="none" w:sz="0" w:space="0" w:color="auto"/>
            <w:bottom w:val="none" w:sz="0" w:space="0" w:color="auto"/>
            <w:right w:val="none" w:sz="0" w:space="0" w:color="auto"/>
          </w:divBdr>
        </w:div>
        <w:div w:id="1826697630">
          <w:marLeft w:val="640"/>
          <w:marRight w:val="0"/>
          <w:marTop w:val="0"/>
          <w:marBottom w:val="0"/>
          <w:divBdr>
            <w:top w:val="none" w:sz="0" w:space="0" w:color="auto"/>
            <w:left w:val="none" w:sz="0" w:space="0" w:color="auto"/>
            <w:bottom w:val="none" w:sz="0" w:space="0" w:color="auto"/>
            <w:right w:val="none" w:sz="0" w:space="0" w:color="auto"/>
          </w:divBdr>
        </w:div>
        <w:div w:id="1498226765">
          <w:marLeft w:val="640"/>
          <w:marRight w:val="0"/>
          <w:marTop w:val="0"/>
          <w:marBottom w:val="0"/>
          <w:divBdr>
            <w:top w:val="none" w:sz="0" w:space="0" w:color="auto"/>
            <w:left w:val="none" w:sz="0" w:space="0" w:color="auto"/>
            <w:bottom w:val="none" w:sz="0" w:space="0" w:color="auto"/>
            <w:right w:val="none" w:sz="0" w:space="0" w:color="auto"/>
          </w:divBdr>
        </w:div>
        <w:div w:id="1179270215">
          <w:marLeft w:val="640"/>
          <w:marRight w:val="0"/>
          <w:marTop w:val="0"/>
          <w:marBottom w:val="0"/>
          <w:divBdr>
            <w:top w:val="none" w:sz="0" w:space="0" w:color="auto"/>
            <w:left w:val="none" w:sz="0" w:space="0" w:color="auto"/>
            <w:bottom w:val="none" w:sz="0" w:space="0" w:color="auto"/>
            <w:right w:val="none" w:sz="0" w:space="0" w:color="auto"/>
          </w:divBdr>
        </w:div>
        <w:div w:id="677346562">
          <w:marLeft w:val="640"/>
          <w:marRight w:val="0"/>
          <w:marTop w:val="0"/>
          <w:marBottom w:val="0"/>
          <w:divBdr>
            <w:top w:val="none" w:sz="0" w:space="0" w:color="auto"/>
            <w:left w:val="none" w:sz="0" w:space="0" w:color="auto"/>
            <w:bottom w:val="none" w:sz="0" w:space="0" w:color="auto"/>
            <w:right w:val="none" w:sz="0" w:space="0" w:color="auto"/>
          </w:divBdr>
        </w:div>
        <w:div w:id="306588335">
          <w:marLeft w:val="640"/>
          <w:marRight w:val="0"/>
          <w:marTop w:val="0"/>
          <w:marBottom w:val="0"/>
          <w:divBdr>
            <w:top w:val="none" w:sz="0" w:space="0" w:color="auto"/>
            <w:left w:val="none" w:sz="0" w:space="0" w:color="auto"/>
            <w:bottom w:val="none" w:sz="0" w:space="0" w:color="auto"/>
            <w:right w:val="none" w:sz="0" w:space="0" w:color="auto"/>
          </w:divBdr>
        </w:div>
        <w:div w:id="861480535">
          <w:marLeft w:val="640"/>
          <w:marRight w:val="0"/>
          <w:marTop w:val="0"/>
          <w:marBottom w:val="0"/>
          <w:divBdr>
            <w:top w:val="none" w:sz="0" w:space="0" w:color="auto"/>
            <w:left w:val="none" w:sz="0" w:space="0" w:color="auto"/>
            <w:bottom w:val="none" w:sz="0" w:space="0" w:color="auto"/>
            <w:right w:val="none" w:sz="0" w:space="0" w:color="auto"/>
          </w:divBdr>
        </w:div>
        <w:div w:id="1069039111">
          <w:marLeft w:val="640"/>
          <w:marRight w:val="0"/>
          <w:marTop w:val="0"/>
          <w:marBottom w:val="0"/>
          <w:divBdr>
            <w:top w:val="none" w:sz="0" w:space="0" w:color="auto"/>
            <w:left w:val="none" w:sz="0" w:space="0" w:color="auto"/>
            <w:bottom w:val="none" w:sz="0" w:space="0" w:color="auto"/>
            <w:right w:val="none" w:sz="0" w:space="0" w:color="auto"/>
          </w:divBdr>
        </w:div>
        <w:div w:id="1088961071">
          <w:marLeft w:val="640"/>
          <w:marRight w:val="0"/>
          <w:marTop w:val="0"/>
          <w:marBottom w:val="0"/>
          <w:divBdr>
            <w:top w:val="none" w:sz="0" w:space="0" w:color="auto"/>
            <w:left w:val="none" w:sz="0" w:space="0" w:color="auto"/>
            <w:bottom w:val="none" w:sz="0" w:space="0" w:color="auto"/>
            <w:right w:val="none" w:sz="0" w:space="0" w:color="auto"/>
          </w:divBdr>
        </w:div>
        <w:div w:id="1624726598">
          <w:marLeft w:val="640"/>
          <w:marRight w:val="0"/>
          <w:marTop w:val="0"/>
          <w:marBottom w:val="0"/>
          <w:divBdr>
            <w:top w:val="none" w:sz="0" w:space="0" w:color="auto"/>
            <w:left w:val="none" w:sz="0" w:space="0" w:color="auto"/>
            <w:bottom w:val="none" w:sz="0" w:space="0" w:color="auto"/>
            <w:right w:val="none" w:sz="0" w:space="0" w:color="auto"/>
          </w:divBdr>
        </w:div>
        <w:div w:id="2103719855">
          <w:marLeft w:val="640"/>
          <w:marRight w:val="0"/>
          <w:marTop w:val="0"/>
          <w:marBottom w:val="0"/>
          <w:divBdr>
            <w:top w:val="none" w:sz="0" w:space="0" w:color="auto"/>
            <w:left w:val="none" w:sz="0" w:space="0" w:color="auto"/>
            <w:bottom w:val="none" w:sz="0" w:space="0" w:color="auto"/>
            <w:right w:val="none" w:sz="0" w:space="0" w:color="auto"/>
          </w:divBdr>
        </w:div>
        <w:div w:id="1968658164">
          <w:marLeft w:val="640"/>
          <w:marRight w:val="0"/>
          <w:marTop w:val="0"/>
          <w:marBottom w:val="0"/>
          <w:divBdr>
            <w:top w:val="none" w:sz="0" w:space="0" w:color="auto"/>
            <w:left w:val="none" w:sz="0" w:space="0" w:color="auto"/>
            <w:bottom w:val="none" w:sz="0" w:space="0" w:color="auto"/>
            <w:right w:val="none" w:sz="0" w:space="0" w:color="auto"/>
          </w:divBdr>
        </w:div>
        <w:div w:id="1238173684">
          <w:marLeft w:val="640"/>
          <w:marRight w:val="0"/>
          <w:marTop w:val="0"/>
          <w:marBottom w:val="0"/>
          <w:divBdr>
            <w:top w:val="none" w:sz="0" w:space="0" w:color="auto"/>
            <w:left w:val="none" w:sz="0" w:space="0" w:color="auto"/>
            <w:bottom w:val="none" w:sz="0" w:space="0" w:color="auto"/>
            <w:right w:val="none" w:sz="0" w:space="0" w:color="auto"/>
          </w:divBdr>
        </w:div>
        <w:div w:id="121852041">
          <w:marLeft w:val="640"/>
          <w:marRight w:val="0"/>
          <w:marTop w:val="0"/>
          <w:marBottom w:val="0"/>
          <w:divBdr>
            <w:top w:val="none" w:sz="0" w:space="0" w:color="auto"/>
            <w:left w:val="none" w:sz="0" w:space="0" w:color="auto"/>
            <w:bottom w:val="none" w:sz="0" w:space="0" w:color="auto"/>
            <w:right w:val="none" w:sz="0" w:space="0" w:color="auto"/>
          </w:divBdr>
        </w:div>
        <w:div w:id="11954151">
          <w:marLeft w:val="640"/>
          <w:marRight w:val="0"/>
          <w:marTop w:val="0"/>
          <w:marBottom w:val="0"/>
          <w:divBdr>
            <w:top w:val="none" w:sz="0" w:space="0" w:color="auto"/>
            <w:left w:val="none" w:sz="0" w:space="0" w:color="auto"/>
            <w:bottom w:val="none" w:sz="0" w:space="0" w:color="auto"/>
            <w:right w:val="none" w:sz="0" w:space="0" w:color="auto"/>
          </w:divBdr>
        </w:div>
        <w:div w:id="723333332">
          <w:marLeft w:val="640"/>
          <w:marRight w:val="0"/>
          <w:marTop w:val="0"/>
          <w:marBottom w:val="0"/>
          <w:divBdr>
            <w:top w:val="none" w:sz="0" w:space="0" w:color="auto"/>
            <w:left w:val="none" w:sz="0" w:space="0" w:color="auto"/>
            <w:bottom w:val="none" w:sz="0" w:space="0" w:color="auto"/>
            <w:right w:val="none" w:sz="0" w:space="0" w:color="auto"/>
          </w:divBdr>
        </w:div>
        <w:div w:id="2080245606">
          <w:marLeft w:val="640"/>
          <w:marRight w:val="0"/>
          <w:marTop w:val="0"/>
          <w:marBottom w:val="0"/>
          <w:divBdr>
            <w:top w:val="none" w:sz="0" w:space="0" w:color="auto"/>
            <w:left w:val="none" w:sz="0" w:space="0" w:color="auto"/>
            <w:bottom w:val="none" w:sz="0" w:space="0" w:color="auto"/>
            <w:right w:val="none" w:sz="0" w:space="0" w:color="auto"/>
          </w:divBdr>
        </w:div>
        <w:div w:id="330328056">
          <w:marLeft w:val="640"/>
          <w:marRight w:val="0"/>
          <w:marTop w:val="0"/>
          <w:marBottom w:val="0"/>
          <w:divBdr>
            <w:top w:val="none" w:sz="0" w:space="0" w:color="auto"/>
            <w:left w:val="none" w:sz="0" w:space="0" w:color="auto"/>
            <w:bottom w:val="none" w:sz="0" w:space="0" w:color="auto"/>
            <w:right w:val="none" w:sz="0" w:space="0" w:color="auto"/>
          </w:divBdr>
        </w:div>
        <w:div w:id="324089661">
          <w:marLeft w:val="640"/>
          <w:marRight w:val="0"/>
          <w:marTop w:val="0"/>
          <w:marBottom w:val="0"/>
          <w:divBdr>
            <w:top w:val="none" w:sz="0" w:space="0" w:color="auto"/>
            <w:left w:val="none" w:sz="0" w:space="0" w:color="auto"/>
            <w:bottom w:val="none" w:sz="0" w:space="0" w:color="auto"/>
            <w:right w:val="none" w:sz="0" w:space="0" w:color="auto"/>
          </w:divBdr>
        </w:div>
        <w:div w:id="690226954">
          <w:marLeft w:val="640"/>
          <w:marRight w:val="0"/>
          <w:marTop w:val="0"/>
          <w:marBottom w:val="0"/>
          <w:divBdr>
            <w:top w:val="none" w:sz="0" w:space="0" w:color="auto"/>
            <w:left w:val="none" w:sz="0" w:space="0" w:color="auto"/>
            <w:bottom w:val="none" w:sz="0" w:space="0" w:color="auto"/>
            <w:right w:val="none" w:sz="0" w:space="0" w:color="auto"/>
          </w:divBdr>
        </w:div>
        <w:div w:id="1844323302">
          <w:marLeft w:val="640"/>
          <w:marRight w:val="0"/>
          <w:marTop w:val="0"/>
          <w:marBottom w:val="0"/>
          <w:divBdr>
            <w:top w:val="none" w:sz="0" w:space="0" w:color="auto"/>
            <w:left w:val="none" w:sz="0" w:space="0" w:color="auto"/>
            <w:bottom w:val="none" w:sz="0" w:space="0" w:color="auto"/>
            <w:right w:val="none" w:sz="0" w:space="0" w:color="auto"/>
          </w:divBdr>
        </w:div>
        <w:div w:id="1570575144">
          <w:marLeft w:val="640"/>
          <w:marRight w:val="0"/>
          <w:marTop w:val="0"/>
          <w:marBottom w:val="0"/>
          <w:divBdr>
            <w:top w:val="none" w:sz="0" w:space="0" w:color="auto"/>
            <w:left w:val="none" w:sz="0" w:space="0" w:color="auto"/>
            <w:bottom w:val="none" w:sz="0" w:space="0" w:color="auto"/>
            <w:right w:val="none" w:sz="0" w:space="0" w:color="auto"/>
          </w:divBdr>
        </w:div>
        <w:div w:id="198124915">
          <w:marLeft w:val="640"/>
          <w:marRight w:val="0"/>
          <w:marTop w:val="0"/>
          <w:marBottom w:val="0"/>
          <w:divBdr>
            <w:top w:val="none" w:sz="0" w:space="0" w:color="auto"/>
            <w:left w:val="none" w:sz="0" w:space="0" w:color="auto"/>
            <w:bottom w:val="none" w:sz="0" w:space="0" w:color="auto"/>
            <w:right w:val="none" w:sz="0" w:space="0" w:color="auto"/>
          </w:divBdr>
        </w:div>
        <w:div w:id="938484831">
          <w:marLeft w:val="640"/>
          <w:marRight w:val="0"/>
          <w:marTop w:val="0"/>
          <w:marBottom w:val="0"/>
          <w:divBdr>
            <w:top w:val="none" w:sz="0" w:space="0" w:color="auto"/>
            <w:left w:val="none" w:sz="0" w:space="0" w:color="auto"/>
            <w:bottom w:val="none" w:sz="0" w:space="0" w:color="auto"/>
            <w:right w:val="none" w:sz="0" w:space="0" w:color="auto"/>
          </w:divBdr>
        </w:div>
        <w:div w:id="1482231838">
          <w:marLeft w:val="640"/>
          <w:marRight w:val="0"/>
          <w:marTop w:val="0"/>
          <w:marBottom w:val="0"/>
          <w:divBdr>
            <w:top w:val="none" w:sz="0" w:space="0" w:color="auto"/>
            <w:left w:val="none" w:sz="0" w:space="0" w:color="auto"/>
            <w:bottom w:val="none" w:sz="0" w:space="0" w:color="auto"/>
            <w:right w:val="none" w:sz="0" w:space="0" w:color="auto"/>
          </w:divBdr>
        </w:div>
        <w:div w:id="314115486">
          <w:marLeft w:val="640"/>
          <w:marRight w:val="0"/>
          <w:marTop w:val="0"/>
          <w:marBottom w:val="0"/>
          <w:divBdr>
            <w:top w:val="none" w:sz="0" w:space="0" w:color="auto"/>
            <w:left w:val="none" w:sz="0" w:space="0" w:color="auto"/>
            <w:bottom w:val="none" w:sz="0" w:space="0" w:color="auto"/>
            <w:right w:val="none" w:sz="0" w:space="0" w:color="auto"/>
          </w:divBdr>
        </w:div>
        <w:div w:id="1640917992">
          <w:marLeft w:val="640"/>
          <w:marRight w:val="0"/>
          <w:marTop w:val="0"/>
          <w:marBottom w:val="0"/>
          <w:divBdr>
            <w:top w:val="none" w:sz="0" w:space="0" w:color="auto"/>
            <w:left w:val="none" w:sz="0" w:space="0" w:color="auto"/>
            <w:bottom w:val="none" w:sz="0" w:space="0" w:color="auto"/>
            <w:right w:val="none" w:sz="0" w:space="0" w:color="auto"/>
          </w:divBdr>
        </w:div>
        <w:div w:id="1267692733">
          <w:marLeft w:val="640"/>
          <w:marRight w:val="0"/>
          <w:marTop w:val="0"/>
          <w:marBottom w:val="0"/>
          <w:divBdr>
            <w:top w:val="none" w:sz="0" w:space="0" w:color="auto"/>
            <w:left w:val="none" w:sz="0" w:space="0" w:color="auto"/>
            <w:bottom w:val="none" w:sz="0" w:space="0" w:color="auto"/>
            <w:right w:val="none" w:sz="0" w:space="0" w:color="auto"/>
          </w:divBdr>
        </w:div>
        <w:div w:id="1690520157">
          <w:marLeft w:val="640"/>
          <w:marRight w:val="0"/>
          <w:marTop w:val="0"/>
          <w:marBottom w:val="0"/>
          <w:divBdr>
            <w:top w:val="none" w:sz="0" w:space="0" w:color="auto"/>
            <w:left w:val="none" w:sz="0" w:space="0" w:color="auto"/>
            <w:bottom w:val="none" w:sz="0" w:space="0" w:color="auto"/>
            <w:right w:val="none" w:sz="0" w:space="0" w:color="auto"/>
          </w:divBdr>
        </w:div>
        <w:div w:id="800149392">
          <w:marLeft w:val="640"/>
          <w:marRight w:val="0"/>
          <w:marTop w:val="0"/>
          <w:marBottom w:val="0"/>
          <w:divBdr>
            <w:top w:val="none" w:sz="0" w:space="0" w:color="auto"/>
            <w:left w:val="none" w:sz="0" w:space="0" w:color="auto"/>
            <w:bottom w:val="none" w:sz="0" w:space="0" w:color="auto"/>
            <w:right w:val="none" w:sz="0" w:space="0" w:color="auto"/>
          </w:divBdr>
        </w:div>
        <w:div w:id="1035274637">
          <w:marLeft w:val="640"/>
          <w:marRight w:val="0"/>
          <w:marTop w:val="0"/>
          <w:marBottom w:val="0"/>
          <w:divBdr>
            <w:top w:val="none" w:sz="0" w:space="0" w:color="auto"/>
            <w:left w:val="none" w:sz="0" w:space="0" w:color="auto"/>
            <w:bottom w:val="none" w:sz="0" w:space="0" w:color="auto"/>
            <w:right w:val="none" w:sz="0" w:space="0" w:color="auto"/>
          </w:divBdr>
        </w:div>
        <w:div w:id="1911042041">
          <w:marLeft w:val="640"/>
          <w:marRight w:val="0"/>
          <w:marTop w:val="0"/>
          <w:marBottom w:val="0"/>
          <w:divBdr>
            <w:top w:val="none" w:sz="0" w:space="0" w:color="auto"/>
            <w:left w:val="none" w:sz="0" w:space="0" w:color="auto"/>
            <w:bottom w:val="none" w:sz="0" w:space="0" w:color="auto"/>
            <w:right w:val="none" w:sz="0" w:space="0" w:color="auto"/>
          </w:divBdr>
        </w:div>
        <w:div w:id="1214270212">
          <w:marLeft w:val="640"/>
          <w:marRight w:val="0"/>
          <w:marTop w:val="0"/>
          <w:marBottom w:val="0"/>
          <w:divBdr>
            <w:top w:val="none" w:sz="0" w:space="0" w:color="auto"/>
            <w:left w:val="none" w:sz="0" w:space="0" w:color="auto"/>
            <w:bottom w:val="none" w:sz="0" w:space="0" w:color="auto"/>
            <w:right w:val="none" w:sz="0" w:space="0" w:color="auto"/>
          </w:divBdr>
        </w:div>
        <w:div w:id="135223716">
          <w:marLeft w:val="640"/>
          <w:marRight w:val="0"/>
          <w:marTop w:val="0"/>
          <w:marBottom w:val="0"/>
          <w:divBdr>
            <w:top w:val="none" w:sz="0" w:space="0" w:color="auto"/>
            <w:left w:val="none" w:sz="0" w:space="0" w:color="auto"/>
            <w:bottom w:val="none" w:sz="0" w:space="0" w:color="auto"/>
            <w:right w:val="none" w:sz="0" w:space="0" w:color="auto"/>
          </w:divBdr>
        </w:div>
        <w:div w:id="9724122">
          <w:marLeft w:val="640"/>
          <w:marRight w:val="0"/>
          <w:marTop w:val="0"/>
          <w:marBottom w:val="0"/>
          <w:divBdr>
            <w:top w:val="none" w:sz="0" w:space="0" w:color="auto"/>
            <w:left w:val="none" w:sz="0" w:space="0" w:color="auto"/>
            <w:bottom w:val="none" w:sz="0" w:space="0" w:color="auto"/>
            <w:right w:val="none" w:sz="0" w:space="0" w:color="auto"/>
          </w:divBdr>
        </w:div>
        <w:div w:id="1536578970">
          <w:marLeft w:val="640"/>
          <w:marRight w:val="0"/>
          <w:marTop w:val="0"/>
          <w:marBottom w:val="0"/>
          <w:divBdr>
            <w:top w:val="none" w:sz="0" w:space="0" w:color="auto"/>
            <w:left w:val="none" w:sz="0" w:space="0" w:color="auto"/>
            <w:bottom w:val="none" w:sz="0" w:space="0" w:color="auto"/>
            <w:right w:val="none" w:sz="0" w:space="0" w:color="auto"/>
          </w:divBdr>
        </w:div>
        <w:div w:id="176816253">
          <w:marLeft w:val="640"/>
          <w:marRight w:val="0"/>
          <w:marTop w:val="0"/>
          <w:marBottom w:val="0"/>
          <w:divBdr>
            <w:top w:val="none" w:sz="0" w:space="0" w:color="auto"/>
            <w:left w:val="none" w:sz="0" w:space="0" w:color="auto"/>
            <w:bottom w:val="none" w:sz="0" w:space="0" w:color="auto"/>
            <w:right w:val="none" w:sz="0" w:space="0" w:color="auto"/>
          </w:divBdr>
        </w:div>
        <w:div w:id="2008627873">
          <w:marLeft w:val="640"/>
          <w:marRight w:val="0"/>
          <w:marTop w:val="0"/>
          <w:marBottom w:val="0"/>
          <w:divBdr>
            <w:top w:val="none" w:sz="0" w:space="0" w:color="auto"/>
            <w:left w:val="none" w:sz="0" w:space="0" w:color="auto"/>
            <w:bottom w:val="none" w:sz="0" w:space="0" w:color="auto"/>
            <w:right w:val="none" w:sz="0" w:space="0" w:color="auto"/>
          </w:divBdr>
        </w:div>
        <w:div w:id="147672280">
          <w:marLeft w:val="640"/>
          <w:marRight w:val="0"/>
          <w:marTop w:val="0"/>
          <w:marBottom w:val="0"/>
          <w:divBdr>
            <w:top w:val="none" w:sz="0" w:space="0" w:color="auto"/>
            <w:left w:val="none" w:sz="0" w:space="0" w:color="auto"/>
            <w:bottom w:val="none" w:sz="0" w:space="0" w:color="auto"/>
            <w:right w:val="none" w:sz="0" w:space="0" w:color="auto"/>
          </w:divBdr>
        </w:div>
        <w:div w:id="140313058">
          <w:marLeft w:val="640"/>
          <w:marRight w:val="0"/>
          <w:marTop w:val="0"/>
          <w:marBottom w:val="0"/>
          <w:divBdr>
            <w:top w:val="none" w:sz="0" w:space="0" w:color="auto"/>
            <w:left w:val="none" w:sz="0" w:space="0" w:color="auto"/>
            <w:bottom w:val="none" w:sz="0" w:space="0" w:color="auto"/>
            <w:right w:val="none" w:sz="0" w:space="0" w:color="auto"/>
          </w:divBdr>
        </w:div>
        <w:div w:id="1688671535">
          <w:marLeft w:val="640"/>
          <w:marRight w:val="0"/>
          <w:marTop w:val="0"/>
          <w:marBottom w:val="0"/>
          <w:divBdr>
            <w:top w:val="none" w:sz="0" w:space="0" w:color="auto"/>
            <w:left w:val="none" w:sz="0" w:space="0" w:color="auto"/>
            <w:bottom w:val="none" w:sz="0" w:space="0" w:color="auto"/>
            <w:right w:val="none" w:sz="0" w:space="0" w:color="auto"/>
          </w:divBdr>
        </w:div>
        <w:div w:id="259142375">
          <w:marLeft w:val="640"/>
          <w:marRight w:val="0"/>
          <w:marTop w:val="0"/>
          <w:marBottom w:val="0"/>
          <w:divBdr>
            <w:top w:val="none" w:sz="0" w:space="0" w:color="auto"/>
            <w:left w:val="none" w:sz="0" w:space="0" w:color="auto"/>
            <w:bottom w:val="none" w:sz="0" w:space="0" w:color="auto"/>
            <w:right w:val="none" w:sz="0" w:space="0" w:color="auto"/>
          </w:divBdr>
        </w:div>
        <w:div w:id="1923023487">
          <w:marLeft w:val="640"/>
          <w:marRight w:val="0"/>
          <w:marTop w:val="0"/>
          <w:marBottom w:val="0"/>
          <w:divBdr>
            <w:top w:val="none" w:sz="0" w:space="0" w:color="auto"/>
            <w:left w:val="none" w:sz="0" w:space="0" w:color="auto"/>
            <w:bottom w:val="none" w:sz="0" w:space="0" w:color="auto"/>
            <w:right w:val="none" w:sz="0" w:space="0" w:color="auto"/>
          </w:divBdr>
        </w:div>
        <w:div w:id="76683004">
          <w:marLeft w:val="640"/>
          <w:marRight w:val="0"/>
          <w:marTop w:val="0"/>
          <w:marBottom w:val="0"/>
          <w:divBdr>
            <w:top w:val="none" w:sz="0" w:space="0" w:color="auto"/>
            <w:left w:val="none" w:sz="0" w:space="0" w:color="auto"/>
            <w:bottom w:val="none" w:sz="0" w:space="0" w:color="auto"/>
            <w:right w:val="none" w:sz="0" w:space="0" w:color="auto"/>
          </w:divBdr>
        </w:div>
        <w:div w:id="855196279">
          <w:marLeft w:val="640"/>
          <w:marRight w:val="0"/>
          <w:marTop w:val="0"/>
          <w:marBottom w:val="0"/>
          <w:divBdr>
            <w:top w:val="none" w:sz="0" w:space="0" w:color="auto"/>
            <w:left w:val="none" w:sz="0" w:space="0" w:color="auto"/>
            <w:bottom w:val="none" w:sz="0" w:space="0" w:color="auto"/>
            <w:right w:val="none" w:sz="0" w:space="0" w:color="auto"/>
          </w:divBdr>
        </w:div>
        <w:div w:id="1425229305">
          <w:marLeft w:val="640"/>
          <w:marRight w:val="0"/>
          <w:marTop w:val="0"/>
          <w:marBottom w:val="0"/>
          <w:divBdr>
            <w:top w:val="none" w:sz="0" w:space="0" w:color="auto"/>
            <w:left w:val="none" w:sz="0" w:space="0" w:color="auto"/>
            <w:bottom w:val="none" w:sz="0" w:space="0" w:color="auto"/>
            <w:right w:val="none" w:sz="0" w:space="0" w:color="auto"/>
          </w:divBdr>
        </w:div>
        <w:div w:id="504366651">
          <w:marLeft w:val="640"/>
          <w:marRight w:val="0"/>
          <w:marTop w:val="0"/>
          <w:marBottom w:val="0"/>
          <w:divBdr>
            <w:top w:val="none" w:sz="0" w:space="0" w:color="auto"/>
            <w:left w:val="none" w:sz="0" w:space="0" w:color="auto"/>
            <w:bottom w:val="none" w:sz="0" w:space="0" w:color="auto"/>
            <w:right w:val="none" w:sz="0" w:space="0" w:color="auto"/>
          </w:divBdr>
        </w:div>
        <w:div w:id="2082825900">
          <w:marLeft w:val="640"/>
          <w:marRight w:val="0"/>
          <w:marTop w:val="0"/>
          <w:marBottom w:val="0"/>
          <w:divBdr>
            <w:top w:val="none" w:sz="0" w:space="0" w:color="auto"/>
            <w:left w:val="none" w:sz="0" w:space="0" w:color="auto"/>
            <w:bottom w:val="none" w:sz="0" w:space="0" w:color="auto"/>
            <w:right w:val="none" w:sz="0" w:space="0" w:color="auto"/>
          </w:divBdr>
        </w:div>
        <w:div w:id="1085222511">
          <w:marLeft w:val="640"/>
          <w:marRight w:val="0"/>
          <w:marTop w:val="0"/>
          <w:marBottom w:val="0"/>
          <w:divBdr>
            <w:top w:val="none" w:sz="0" w:space="0" w:color="auto"/>
            <w:left w:val="none" w:sz="0" w:space="0" w:color="auto"/>
            <w:bottom w:val="none" w:sz="0" w:space="0" w:color="auto"/>
            <w:right w:val="none" w:sz="0" w:space="0" w:color="auto"/>
          </w:divBdr>
        </w:div>
        <w:div w:id="864638792">
          <w:marLeft w:val="640"/>
          <w:marRight w:val="0"/>
          <w:marTop w:val="0"/>
          <w:marBottom w:val="0"/>
          <w:divBdr>
            <w:top w:val="none" w:sz="0" w:space="0" w:color="auto"/>
            <w:left w:val="none" w:sz="0" w:space="0" w:color="auto"/>
            <w:bottom w:val="none" w:sz="0" w:space="0" w:color="auto"/>
            <w:right w:val="none" w:sz="0" w:space="0" w:color="auto"/>
          </w:divBdr>
        </w:div>
        <w:div w:id="2115787162">
          <w:marLeft w:val="640"/>
          <w:marRight w:val="0"/>
          <w:marTop w:val="0"/>
          <w:marBottom w:val="0"/>
          <w:divBdr>
            <w:top w:val="none" w:sz="0" w:space="0" w:color="auto"/>
            <w:left w:val="none" w:sz="0" w:space="0" w:color="auto"/>
            <w:bottom w:val="none" w:sz="0" w:space="0" w:color="auto"/>
            <w:right w:val="none" w:sz="0" w:space="0" w:color="auto"/>
          </w:divBdr>
        </w:div>
        <w:div w:id="1541088183">
          <w:marLeft w:val="640"/>
          <w:marRight w:val="0"/>
          <w:marTop w:val="0"/>
          <w:marBottom w:val="0"/>
          <w:divBdr>
            <w:top w:val="none" w:sz="0" w:space="0" w:color="auto"/>
            <w:left w:val="none" w:sz="0" w:space="0" w:color="auto"/>
            <w:bottom w:val="none" w:sz="0" w:space="0" w:color="auto"/>
            <w:right w:val="none" w:sz="0" w:space="0" w:color="auto"/>
          </w:divBdr>
        </w:div>
        <w:div w:id="180700967">
          <w:marLeft w:val="640"/>
          <w:marRight w:val="0"/>
          <w:marTop w:val="0"/>
          <w:marBottom w:val="0"/>
          <w:divBdr>
            <w:top w:val="none" w:sz="0" w:space="0" w:color="auto"/>
            <w:left w:val="none" w:sz="0" w:space="0" w:color="auto"/>
            <w:bottom w:val="none" w:sz="0" w:space="0" w:color="auto"/>
            <w:right w:val="none" w:sz="0" w:space="0" w:color="auto"/>
          </w:divBdr>
        </w:div>
        <w:div w:id="1969970582">
          <w:marLeft w:val="640"/>
          <w:marRight w:val="0"/>
          <w:marTop w:val="0"/>
          <w:marBottom w:val="0"/>
          <w:divBdr>
            <w:top w:val="none" w:sz="0" w:space="0" w:color="auto"/>
            <w:left w:val="none" w:sz="0" w:space="0" w:color="auto"/>
            <w:bottom w:val="none" w:sz="0" w:space="0" w:color="auto"/>
            <w:right w:val="none" w:sz="0" w:space="0" w:color="auto"/>
          </w:divBdr>
        </w:div>
        <w:div w:id="935405874">
          <w:marLeft w:val="640"/>
          <w:marRight w:val="0"/>
          <w:marTop w:val="0"/>
          <w:marBottom w:val="0"/>
          <w:divBdr>
            <w:top w:val="none" w:sz="0" w:space="0" w:color="auto"/>
            <w:left w:val="none" w:sz="0" w:space="0" w:color="auto"/>
            <w:bottom w:val="none" w:sz="0" w:space="0" w:color="auto"/>
            <w:right w:val="none" w:sz="0" w:space="0" w:color="auto"/>
          </w:divBdr>
        </w:div>
        <w:div w:id="230702095">
          <w:marLeft w:val="640"/>
          <w:marRight w:val="0"/>
          <w:marTop w:val="0"/>
          <w:marBottom w:val="0"/>
          <w:divBdr>
            <w:top w:val="none" w:sz="0" w:space="0" w:color="auto"/>
            <w:left w:val="none" w:sz="0" w:space="0" w:color="auto"/>
            <w:bottom w:val="none" w:sz="0" w:space="0" w:color="auto"/>
            <w:right w:val="none" w:sz="0" w:space="0" w:color="auto"/>
          </w:divBdr>
        </w:div>
        <w:div w:id="1796018680">
          <w:marLeft w:val="640"/>
          <w:marRight w:val="0"/>
          <w:marTop w:val="0"/>
          <w:marBottom w:val="0"/>
          <w:divBdr>
            <w:top w:val="none" w:sz="0" w:space="0" w:color="auto"/>
            <w:left w:val="none" w:sz="0" w:space="0" w:color="auto"/>
            <w:bottom w:val="none" w:sz="0" w:space="0" w:color="auto"/>
            <w:right w:val="none" w:sz="0" w:space="0" w:color="auto"/>
          </w:divBdr>
        </w:div>
        <w:div w:id="463619079">
          <w:marLeft w:val="640"/>
          <w:marRight w:val="0"/>
          <w:marTop w:val="0"/>
          <w:marBottom w:val="0"/>
          <w:divBdr>
            <w:top w:val="none" w:sz="0" w:space="0" w:color="auto"/>
            <w:left w:val="none" w:sz="0" w:space="0" w:color="auto"/>
            <w:bottom w:val="none" w:sz="0" w:space="0" w:color="auto"/>
            <w:right w:val="none" w:sz="0" w:space="0" w:color="auto"/>
          </w:divBdr>
        </w:div>
        <w:div w:id="254631610">
          <w:marLeft w:val="640"/>
          <w:marRight w:val="0"/>
          <w:marTop w:val="0"/>
          <w:marBottom w:val="0"/>
          <w:divBdr>
            <w:top w:val="none" w:sz="0" w:space="0" w:color="auto"/>
            <w:left w:val="none" w:sz="0" w:space="0" w:color="auto"/>
            <w:bottom w:val="none" w:sz="0" w:space="0" w:color="auto"/>
            <w:right w:val="none" w:sz="0" w:space="0" w:color="auto"/>
          </w:divBdr>
        </w:div>
        <w:div w:id="991372310">
          <w:marLeft w:val="640"/>
          <w:marRight w:val="0"/>
          <w:marTop w:val="0"/>
          <w:marBottom w:val="0"/>
          <w:divBdr>
            <w:top w:val="none" w:sz="0" w:space="0" w:color="auto"/>
            <w:left w:val="none" w:sz="0" w:space="0" w:color="auto"/>
            <w:bottom w:val="none" w:sz="0" w:space="0" w:color="auto"/>
            <w:right w:val="none" w:sz="0" w:space="0" w:color="auto"/>
          </w:divBdr>
        </w:div>
        <w:div w:id="1359546408">
          <w:marLeft w:val="640"/>
          <w:marRight w:val="0"/>
          <w:marTop w:val="0"/>
          <w:marBottom w:val="0"/>
          <w:divBdr>
            <w:top w:val="none" w:sz="0" w:space="0" w:color="auto"/>
            <w:left w:val="none" w:sz="0" w:space="0" w:color="auto"/>
            <w:bottom w:val="none" w:sz="0" w:space="0" w:color="auto"/>
            <w:right w:val="none" w:sz="0" w:space="0" w:color="auto"/>
          </w:divBdr>
        </w:div>
        <w:div w:id="1823810213">
          <w:marLeft w:val="640"/>
          <w:marRight w:val="0"/>
          <w:marTop w:val="0"/>
          <w:marBottom w:val="0"/>
          <w:divBdr>
            <w:top w:val="none" w:sz="0" w:space="0" w:color="auto"/>
            <w:left w:val="none" w:sz="0" w:space="0" w:color="auto"/>
            <w:bottom w:val="none" w:sz="0" w:space="0" w:color="auto"/>
            <w:right w:val="none" w:sz="0" w:space="0" w:color="auto"/>
          </w:divBdr>
        </w:div>
        <w:div w:id="751852889">
          <w:marLeft w:val="640"/>
          <w:marRight w:val="0"/>
          <w:marTop w:val="0"/>
          <w:marBottom w:val="0"/>
          <w:divBdr>
            <w:top w:val="none" w:sz="0" w:space="0" w:color="auto"/>
            <w:left w:val="none" w:sz="0" w:space="0" w:color="auto"/>
            <w:bottom w:val="none" w:sz="0" w:space="0" w:color="auto"/>
            <w:right w:val="none" w:sz="0" w:space="0" w:color="auto"/>
          </w:divBdr>
        </w:div>
        <w:div w:id="1746142791">
          <w:marLeft w:val="640"/>
          <w:marRight w:val="0"/>
          <w:marTop w:val="0"/>
          <w:marBottom w:val="0"/>
          <w:divBdr>
            <w:top w:val="none" w:sz="0" w:space="0" w:color="auto"/>
            <w:left w:val="none" w:sz="0" w:space="0" w:color="auto"/>
            <w:bottom w:val="none" w:sz="0" w:space="0" w:color="auto"/>
            <w:right w:val="none" w:sz="0" w:space="0" w:color="auto"/>
          </w:divBdr>
        </w:div>
        <w:div w:id="41634259">
          <w:marLeft w:val="640"/>
          <w:marRight w:val="0"/>
          <w:marTop w:val="0"/>
          <w:marBottom w:val="0"/>
          <w:divBdr>
            <w:top w:val="none" w:sz="0" w:space="0" w:color="auto"/>
            <w:left w:val="none" w:sz="0" w:space="0" w:color="auto"/>
            <w:bottom w:val="none" w:sz="0" w:space="0" w:color="auto"/>
            <w:right w:val="none" w:sz="0" w:space="0" w:color="auto"/>
          </w:divBdr>
        </w:div>
        <w:div w:id="1905097874">
          <w:marLeft w:val="640"/>
          <w:marRight w:val="0"/>
          <w:marTop w:val="0"/>
          <w:marBottom w:val="0"/>
          <w:divBdr>
            <w:top w:val="none" w:sz="0" w:space="0" w:color="auto"/>
            <w:left w:val="none" w:sz="0" w:space="0" w:color="auto"/>
            <w:bottom w:val="none" w:sz="0" w:space="0" w:color="auto"/>
            <w:right w:val="none" w:sz="0" w:space="0" w:color="auto"/>
          </w:divBdr>
        </w:div>
        <w:div w:id="1488478841">
          <w:marLeft w:val="640"/>
          <w:marRight w:val="0"/>
          <w:marTop w:val="0"/>
          <w:marBottom w:val="0"/>
          <w:divBdr>
            <w:top w:val="none" w:sz="0" w:space="0" w:color="auto"/>
            <w:left w:val="none" w:sz="0" w:space="0" w:color="auto"/>
            <w:bottom w:val="none" w:sz="0" w:space="0" w:color="auto"/>
            <w:right w:val="none" w:sz="0" w:space="0" w:color="auto"/>
          </w:divBdr>
        </w:div>
        <w:div w:id="1827627731">
          <w:marLeft w:val="640"/>
          <w:marRight w:val="0"/>
          <w:marTop w:val="0"/>
          <w:marBottom w:val="0"/>
          <w:divBdr>
            <w:top w:val="none" w:sz="0" w:space="0" w:color="auto"/>
            <w:left w:val="none" w:sz="0" w:space="0" w:color="auto"/>
            <w:bottom w:val="none" w:sz="0" w:space="0" w:color="auto"/>
            <w:right w:val="none" w:sz="0" w:space="0" w:color="auto"/>
          </w:divBdr>
        </w:div>
        <w:div w:id="577054283">
          <w:marLeft w:val="640"/>
          <w:marRight w:val="0"/>
          <w:marTop w:val="0"/>
          <w:marBottom w:val="0"/>
          <w:divBdr>
            <w:top w:val="none" w:sz="0" w:space="0" w:color="auto"/>
            <w:left w:val="none" w:sz="0" w:space="0" w:color="auto"/>
            <w:bottom w:val="none" w:sz="0" w:space="0" w:color="auto"/>
            <w:right w:val="none" w:sz="0" w:space="0" w:color="auto"/>
          </w:divBdr>
        </w:div>
        <w:div w:id="361705915">
          <w:marLeft w:val="640"/>
          <w:marRight w:val="0"/>
          <w:marTop w:val="0"/>
          <w:marBottom w:val="0"/>
          <w:divBdr>
            <w:top w:val="none" w:sz="0" w:space="0" w:color="auto"/>
            <w:left w:val="none" w:sz="0" w:space="0" w:color="auto"/>
            <w:bottom w:val="none" w:sz="0" w:space="0" w:color="auto"/>
            <w:right w:val="none" w:sz="0" w:space="0" w:color="auto"/>
          </w:divBdr>
        </w:div>
        <w:div w:id="637345155">
          <w:marLeft w:val="640"/>
          <w:marRight w:val="0"/>
          <w:marTop w:val="0"/>
          <w:marBottom w:val="0"/>
          <w:divBdr>
            <w:top w:val="none" w:sz="0" w:space="0" w:color="auto"/>
            <w:left w:val="none" w:sz="0" w:space="0" w:color="auto"/>
            <w:bottom w:val="none" w:sz="0" w:space="0" w:color="auto"/>
            <w:right w:val="none" w:sz="0" w:space="0" w:color="auto"/>
          </w:divBdr>
        </w:div>
        <w:div w:id="300498445">
          <w:marLeft w:val="640"/>
          <w:marRight w:val="0"/>
          <w:marTop w:val="0"/>
          <w:marBottom w:val="0"/>
          <w:divBdr>
            <w:top w:val="none" w:sz="0" w:space="0" w:color="auto"/>
            <w:left w:val="none" w:sz="0" w:space="0" w:color="auto"/>
            <w:bottom w:val="none" w:sz="0" w:space="0" w:color="auto"/>
            <w:right w:val="none" w:sz="0" w:space="0" w:color="auto"/>
          </w:divBdr>
        </w:div>
        <w:div w:id="2093116673">
          <w:marLeft w:val="640"/>
          <w:marRight w:val="0"/>
          <w:marTop w:val="0"/>
          <w:marBottom w:val="0"/>
          <w:divBdr>
            <w:top w:val="none" w:sz="0" w:space="0" w:color="auto"/>
            <w:left w:val="none" w:sz="0" w:space="0" w:color="auto"/>
            <w:bottom w:val="none" w:sz="0" w:space="0" w:color="auto"/>
            <w:right w:val="none" w:sz="0" w:space="0" w:color="auto"/>
          </w:divBdr>
        </w:div>
        <w:div w:id="578946877">
          <w:marLeft w:val="640"/>
          <w:marRight w:val="0"/>
          <w:marTop w:val="0"/>
          <w:marBottom w:val="0"/>
          <w:divBdr>
            <w:top w:val="none" w:sz="0" w:space="0" w:color="auto"/>
            <w:left w:val="none" w:sz="0" w:space="0" w:color="auto"/>
            <w:bottom w:val="none" w:sz="0" w:space="0" w:color="auto"/>
            <w:right w:val="none" w:sz="0" w:space="0" w:color="auto"/>
          </w:divBdr>
        </w:div>
        <w:div w:id="1911958433">
          <w:marLeft w:val="640"/>
          <w:marRight w:val="0"/>
          <w:marTop w:val="0"/>
          <w:marBottom w:val="0"/>
          <w:divBdr>
            <w:top w:val="none" w:sz="0" w:space="0" w:color="auto"/>
            <w:left w:val="none" w:sz="0" w:space="0" w:color="auto"/>
            <w:bottom w:val="none" w:sz="0" w:space="0" w:color="auto"/>
            <w:right w:val="none" w:sz="0" w:space="0" w:color="auto"/>
          </w:divBdr>
        </w:div>
        <w:div w:id="623196605">
          <w:marLeft w:val="640"/>
          <w:marRight w:val="0"/>
          <w:marTop w:val="0"/>
          <w:marBottom w:val="0"/>
          <w:divBdr>
            <w:top w:val="none" w:sz="0" w:space="0" w:color="auto"/>
            <w:left w:val="none" w:sz="0" w:space="0" w:color="auto"/>
            <w:bottom w:val="none" w:sz="0" w:space="0" w:color="auto"/>
            <w:right w:val="none" w:sz="0" w:space="0" w:color="auto"/>
          </w:divBdr>
        </w:div>
        <w:div w:id="2115054900">
          <w:marLeft w:val="640"/>
          <w:marRight w:val="0"/>
          <w:marTop w:val="0"/>
          <w:marBottom w:val="0"/>
          <w:divBdr>
            <w:top w:val="none" w:sz="0" w:space="0" w:color="auto"/>
            <w:left w:val="none" w:sz="0" w:space="0" w:color="auto"/>
            <w:bottom w:val="none" w:sz="0" w:space="0" w:color="auto"/>
            <w:right w:val="none" w:sz="0" w:space="0" w:color="auto"/>
          </w:divBdr>
        </w:div>
        <w:div w:id="594091193">
          <w:marLeft w:val="640"/>
          <w:marRight w:val="0"/>
          <w:marTop w:val="0"/>
          <w:marBottom w:val="0"/>
          <w:divBdr>
            <w:top w:val="none" w:sz="0" w:space="0" w:color="auto"/>
            <w:left w:val="none" w:sz="0" w:space="0" w:color="auto"/>
            <w:bottom w:val="none" w:sz="0" w:space="0" w:color="auto"/>
            <w:right w:val="none" w:sz="0" w:space="0" w:color="auto"/>
          </w:divBdr>
        </w:div>
        <w:div w:id="286935712">
          <w:marLeft w:val="640"/>
          <w:marRight w:val="0"/>
          <w:marTop w:val="0"/>
          <w:marBottom w:val="0"/>
          <w:divBdr>
            <w:top w:val="none" w:sz="0" w:space="0" w:color="auto"/>
            <w:left w:val="none" w:sz="0" w:space="0" w:color="auto"/>
            <w:bottom w:val="none" w:sz="0" w:space="0" w:color="auto"/>
            <w:right w:val="none" w:sz="0" w:space="0" w:color="auto"/>
          </w:divBdr>
        </w:div>
        <w:div w:id="60521290">
          <w:marLeft w:val="640"/>
          <w:marRight w:val="0"/>
          <w:marTop w:val="0"/>
          <w:marBottom w:val="0"/>
          <w:divBdr>
            <w:top w:val="none" w:sz="0" w:space="0" w:color="auto"/>
            <w:left w:val="none" w:sz="0" w:space="0" w:color="auto"/>
            <w:bottom w:val="none" w:sz="0" w:space="0" w:color="auto"/>
            <w:right w:val="none" w:sz="0" w:space="0" w:color="auto"/>
          </w:divBdr>
        </w:div>
        <w:div w:id="1147086188">
          <w:marLeft w:val="640"/>
          <w:marRight w:val="0"/>
          <w:marTop w:val="0"/>
          <w:marBottom w:val="0"/>
          <w:divBdr>
            <w:top w:val="none" w:sz="0" w:space="0" w:color="auto"/>
            <w:left w:val="none" w:sz="0" w:space="0" w:color="auto"/>
            <w:bottom w:val="none" w:sz="0" w:space="0" w:color="auto"/>
            <w:right w:val="none" w:sz="0" w:space="0" w:color="auto"/>
          </w:divBdr>
        </w:div>
        <w:div w:id="1272788193">
          <w:marLeft w:val="640"/>
          <w:marRight w:val="0"/>
          <w:marTop w:val="0"/>
          <w:marBottom w:val="0"/>
          <w:divBdr>
            <w:top w:val="none" w:sz="0" w:space="0" w:color="auto"/>
            <w:left w:val="none" w:sz="0" w:space="0" w:color="auto"/>
            <w:bottom w:val="none" w:sz="0" w:space="0" w:color="auto"/>
            <w:right w:val="none" w:sz="0" w:space="0" w:color="auto"/>
          </w:divBdr>
        </w:div>
        <w:div w:id="817382586">
          <w:marLeft w:val="640"/>
          <w:marRight w:val="0"/>
          <w:marTop w:val="0"/>
          <w:marBottom w:val="0"/>
          <w:divBdr>
            <w:top w:val="none" w:sz="0" w:space="0" w:color="auto"/>
            <w:left w:val="none" w:sz="0" w:space="0" w:color="auto"/>
            <w:bottom w:val="none" w:sz="0" w:space="0" w:color="auto"/>
            <w:right w:val="none" w:sz="0" w:space="0" w:color="auto"/>
          </w:divBdr>
        </w:div>
        <w:div w:id="2105298271">
          <w:marLeft w:val="640"/>
          <w:marRight w:val="0"/>
          <w:marTop w:val="0"/>
          <w:marBottom w:val="0"/>
          <w:divBdr>
            <w:top w:val="none" w:sz="0" w:space="0" w:color="auto"/>
            <w:left w:val="none" w:sz="0" w:space="0" w:color="auto"/>
            <w:bottom w:val="none" w:sz="0" w:space="0" w:color="auto"/>
            <w:right w:val="none" w:sz="0" w:space="0" w:color="auto"/>
          </w:divBdr>
        </w:div>
        <w:div w:id="785079580">
          <w:marLeft w:val="640"/>
          <w:marRight w:val="0"/>
          <w:marTop w:val="0"/>
          <w:marBottom w:val="0"/>
          <w:divBdr>
            <w:top w:val="none" w:sz="0" w:space="0" w:color="auto"/>
            <w:left w:val="none" w:sz="0" w:space="0" w:color="auto"/>
            <w:bottom w:val="none" w:sz="0" w:space="0" w:color="auto"/>
            <w:right w:val="none" w:sz="0" w:space="0" w:color="auto"/>
          </w:divBdr>
        </w:div>
        <w:div w:id="1692877182">
          <w:marLeft w:val="640"/>
          <w:marRight w:val="0"/>
          <w:marTop w:val="0"/>
          <w:marBottom w:val="0"/>
          <w:divBdr>
            <w:top w:val="none" w:sz="0" w:space="0" w:color="auto"/>
            <w:left w:val="none" w:sz="0" w:space="0" w:color="auto"/>
            <w:bottom w:val="none" w:sz="0" w:space="0" w:color="auto"/>
            <w:right w:val="none" w:sz="0" w:space="0" w:color="auto"/>
          </w:divBdr>
        </w:div>
        <w:div w:id="1729184839">
          <w:marLeft w:val="640"/>
          <w:marRight w:val="0"/>
          <w:marTop w:val="0"/>
          <w:marBottom w:val="0"/>
          <w:divBdr>
            <w:top w:val="none" w:sz="0" w:space="0" w:color="auto"/>
            <w:left w:val="none" w:sz="0" w:space="0" w:color="auto"/>
            <w:bottom w:val="none" w:sz="0" w:space="0" w:color="auto"/>
            <w:right w:val="none" w:sz="0" w:space="0" w:color="auto"/>
          </w:divBdr>
        </w:div>
        <w:div w:id="1749768969">
          <w:marLeft w:val="640"/>
          <w:marRight w:val="0"/>
          <w:marTop w:val="0"/>
          <w:marBottom w:val="0"/>
          <w:divBdr>
            <w:top w:val="none" w:sz="0" w:space="0" w:color="auto"/>
            <w:left w:val="none" w:sz="0" w:space="0" w:color="auto"/>
            <w:bottom w:val="none" w:sz="0" w:space="0" w:color="auto"/>
            <w:right w:val="none" w:sz="0" w:space="0" w:color="auto"/>
          </w:divBdr>
        </w:div>
        <w:div w:id="883836542">
          <w:marLeft w:val="640"/>
          <w:marRight w:val="0"/>
          <w:marTop w:val="0"/>
          <w:marBottom w:val="0"/>
          <w:divBdr>
            <w:top w:val="none" w:sz="0" w:space="0" w:color="auto"/>
            <w:left w:val="none" w:sz="0" w:space="0" w:color="auto"/>
            <w:bottom w:val="none" w:sz="0" w:space="0" w:color="auto"/>
            <w:right w:val="none" w:sz="0" w:space="0" w:color="auto"/>
          </w:divBdr>
        </w:div>
        <w:div w:id="1729957220">
          <w:marLeft w:val="640"/>
          <w:marRight w:val="0"/>
          <w:marTop w:val="0"/>
          <w:marBottom w:val="0"/>
          <w:divBdr>
            <w:top w:val="none" w:sz="0" w:space="0" w:color="auto"/>
            <w:left w:val="none" w:sz="0" w:space="0" w:color="auto"/>
            <w:bottom w:val="none" w:sz="0" w:space="0" w:color="auto"/>
            <w:right w:val="none" w:sz="0" w:space="0" w:color="auto"/>
          </w:divBdr>
        </w:div>
        <w:div w:id="246043483">
          <w:marLeft w:val="640"/>
          <w:marRight w:val="0"/>
          <w:marTop w:val="0"/>
          <w:marBottom w:val="0"/>
          <w:divBdr>
            <w:top w:val="none" w:sz="0" w:space="0" w:color="auto"/>
            <w:left w:val="none" w:sz="0" w:space="0" w:color="auto"/>
            <w:bottom w:val="none" w:sz="0" w:space="0" w:color="auto"/>
            <w:right w:val="none" w:sz="0" w:space="0" w:color="auto"/>
          </w:divBdr>
        </w:div>
        <w:div w:id="2093774854">
          <w:marLeft w:val="640"/>
          <w:marRight w:val="0"/>
          <w:marTop w:val="0"/>
          <w:marBottom w:val="0"/>
          <w:divBdr>
            <w:top w:val="none" w:sz="0" w:space="0" w:color="auto"/>
            <w:left w:val="none" w:sz="0" w:space="0" w:color="auto"/>
            <w:bottom w:val="none" w:sz="0" w:space="0" w:color="auto"/>
            <w:right w:val="none" w:sz="0" w:space="0" w:color="auto"/>
          </w:divBdr>
        </w:div>
        <w:div w:id="233702447">
          <w:marLeft w:val="640"/>
          <w:marRight w:val="0"/>
          <w:marTop w:val="0"/>
          <w:marBottom w:val="0"/>
          <w:divBdr>
            <w:top w:val="none" w:sz="0" w:space="0" w:color="auto"/>
            <w:left w:val="none" w:sz="0" w:space="0" w:color="auto"/>
            <w:bottom w:val="none" w:sz="0" w:space="0" w:color="auto"/>
            <w:right w:val="none" w:sz="0" w:space="0" w:color="auto"/>
          </w:divBdr>
        </w:div>
        <w:div w:id="1101296134">
          <w:marLeft w:val="640"/>
          <w:marRight w:val="0"/>
          <w:marTop w:val="0"/>
          <w:marBottom w:val="0"/>
          <w:divBdr>
            <w:top w:val="none" w:sz="0" w:space="0" w:color="auto"/>
            <w:left w:val="none" w:sz="0" w:space="0" w:color="auto"/>
            <w:bottom w:val="none" w:sz="0" w:space="0" w:color="auto"/>
            <w:right w:val="none" w:sz="0" w:space="0" w:color="auto"/>
          </w:divBdr>
        </w:div>
        <w:div w:id="114492498">
          <w:marLeft w:val="640"/>
          <w:marRight w:val="0"/>
          <w:marTop w:val="0"/>
          <w:marBottom w:val="0"/>
          <w:divBdr>
            <w:top w:val="none" w:sz="0" w:space="0" w:color="auto"/>
            <w:left w:val="none" w:sz="0" w:space="0" w:color="auto"/>
            <w:bottom w:val="none" w:sz="0" w:space="0" w:color="auto"/>
            <w:right w:val="none" w:sz="0" w:space="0" w:color="auto"/>
          </w:divBdr>
        </w:div>
        <w:div w:id="514685074">
          <w:marLeft w:val="640"/>
          <w:marRight w:val="0"/>
          <w:marTop w:val="0"/>
          <w:marBottom w:val="0"/>
          <w:divBdr>
            <w:top w:val="none" w:sz="0" w:space="0" w:color="auto"/>
            <w:left w:val="none" w:sz="0" w:space="0" w:color="auto"/>
            <w:bottom w:val="none" w:sz="0" w:space="0" w:color="auto"/>
            <w:right w:val="none" w:sz="0" w:space="0" w:color="auto"/>
          </w:divBdr>
        </w:div>
        <w:div w:id="489756674">
          <w:marLeft w:val="640"/>
          <w:marRight w:val="0"/>
          <w:marTop w:val="0"/>
          <w:marBottom w:val="0"/>
          <w:divBdr>
            <w:top w:val="none" w:sz="0" w:space="0" w:color="auto"/>
            <w:left w:val="none" w:sz="0" w:space="0" w:color="auto"/>
            <w:bottom w:val="none" w:sz="0" w:space="0" w:color="auto"/>
            <w:right w:val="none" w:sz="0" w:space="0" w:color="auto"/>
          </w:divBdr>
        </w:div>
        <w:div w:id="699356519">
          <w:marLeft w:val="640"/>
          <w:marRight w:val="0"/>
          <w:marTop w:val="0"/>
          <w:marBottom w:val="0"/>
          <w:divBdr>
            <w:top w:val="none" w:sz="0" w:space="0" w:color="auto"/>
            <w:left w:val="none" w:sz="0" w:space="0" w:color="auto"/>
            <w:bottom w:val="none" w:sz="0" w:space="0" w:color="auto"/>
            <w:right w:val="none" w:sz="0" w:space="0" w:color="auto"/>
          </w:divBdr>
        </w:div>
        <w:div w:id="2041972707">
          <w:marLeft w:val="640"/>
          <w:marRight w:val="0"/>
          <w:marTop w:val="0"/>
          <w:marBottom w:val="0"/>
          <w:divBdr>
            <w:top w:val="none" w:sz="0" w:space="0" w:color="auto"/>
            <w:left w:val="none" w:sz="0" w:space="0" w:color="auto"/>
            <w:bottom w:val="none" w:sz="0" w:space="0" w:color="auto"/>
            <w:right w:val="none" w:sz="0" w:space="0" w:color="auto"/>
          </w:divBdr>
        </w:div>
        <w:div w:id="1941138647">
          <w:marLeft w:val="640"/>
          <w:marRight w:val="0"/>
          <w:marTop w:val="0"/>
          <w:marBottom w:val="0"/>
          <w:divBdr>
            <w:top w:val="none" w:sz="0" w:space="0" w:color="auto"/>
            <w:left w:val="none" w:sz="0" w:space="0" w:color="auto"/>
            <w:bottom w:val="none" w:sz="0" w:space="0" w:color="auto"/>
            <w:right w:val="none" w:sz="0" w:space="0" w:color="auto"/>
          </w:divBdr>
        </w:div>
        <w:div w:id="1612010508">
          <w:marLeft w:val="640"/>
          <w:marRight w:val="0"/>
          <w:marTop w:val="0"/>
          <w:marBottom w:val="0"/>
          <w:divBdr>
            <w:top w:val="none" w:sz="0" w:space="0" w:color="auto"/>
            <w:left w:val="none" w:sz="0" w:space="0" w:color="auto"/>
            <w:bottom w:val="none" w:sz="0" w:space="0" w:color="auto"/>
            <w:right w:val="none" w:sz="0" w:space="0" w:color="auto"/>
          </w:divBdr>
        </w:div>
        <w:div w:id="1839077288">
          <w:marLeft w:val="640"/>
          <w:marRight w:val="0"/>
          <w:marTop w:val="0"/>
          <w:marBottom w:val="0"/>
          <w:divBdr>
            <w:top w:val="none" w:sz="0" w:space="0" w:color="auto"/>
            <w:left w:val="none" w:sz="0" w:space="0" w:color="auto"/>
            <w:bottom w:val="none" w:sz="0" w:space="0" w:color="auto"/>
            <w:right w:val="none" w:sz="0" w:space="0" w:color="auto"/>
          </w:divBdr>
        </w:div>
        <w:div w:id="141893124">
          <w:marLeft w:val="640"/>
          <w:marRight w:val="0"/>
          <w:marTop w:val="0"/>
          <w:marBottom w:val="0"/>
          <w:divBdr>
            <w:top w:val="none" w:sz="0" w:space="0" w:color="auto"/>
            <w:left w:val="none" w:sz="0" w:space="0" w:color="auto"/>
            <w:bottom w:val="none" w:sz="0" w:space="0" w:color="auto"/>
            <w:right w:val="none" w:sz="0" w:space="0" w:color="auto"/>
          </w:divBdr>
        </w:div>
        <w:div w:id="1687440814">
          <w:marLeft w:val="640"/>
          <w:marRight w:val="0"/>
          <w:marTop w:val="0"/>
          <w:marBottom w:val="0"/>
          <w:divBdr>
            <w:top w:val="none" w:sz="0" w:space="0" w:color="auto"/>
            <w:left w:val="none" w:sz="0" w:space="0" w:color="auto"/>
            <w:bottom w:val="none" w:sz="0" w:space="0" w:color="auto"/>
            <w:right w:val="none" w:sz="0" w:space="0" w:color="auto"/>
          </w:divBdr>
        </w:div>
        <w:div w:id="1542329665">
          <w:marLeft w:val="640"/>
          <w:marRight w:val="0"/>
          <w:marTop w:val="0"/>
          <w:marBottom w:val="0"/>
          <w:divBdr>
            <w:top w:val="none" w:sz="0" w:space="0" w:color="auto"/>
            <w:left w:val="none" w:sz="0" w:space="0" w:color="auto"/>
            <w:bottom w:val="none" w:sz="0" w:space="0" w:color="auto"/>
            <w:right w:val="none" w:sz="0" w:space="0" w:color="auto"/>
          </w:divBdr>
        </w:div>
        <w:div w:id="735321740">
          <w:marLeft w:val="640"/>
          <w:marRight w:val="0"/>
          <w:marTop w:val="0"/>
          <w:marBottom w:val="0"/>
          <w:divBdr>
            <w:top w:val="none" w:sz="0" w:space="0" w:color="auto"/>
            <w:left w:val="none" w:sz="0" w:space="0" w:color="auto"/>
            <w:bottom w:val="none" w:sz="0" w:space="0" w:color="auto"/>
            <w:right w:val="none" w:sz="0" w:space="0" w:color="auto"/>
          </w:divBdr>
        </w:div>
        <w:div w:id="2135706666">
          <w:marLeft w:val="640"/>
          <w:marRight w:val="0"/>
          <w:marTop w:val="0"/>
          <w:marBottom w:val="0"/>
          <w:divBdr>
            <w:top w:val="none" w:sz="0" w:space="0" w:color="auto"/>
            <w:left w:val="none" w:sz="0" w:space="0" w:color="auto"/>
            <w:bottom w:val="none" w:sz="0" w:space="0" w:color="auto"/>
            <w:right w:val="none" w:sz="0" w:space="0" w:color="auto"/>
          </w:divBdr>
        </w:div>
        <w:div w:id="1280255452">
          <w:marLeft w:val="640"/>
          <w:marRight w:val="0"/>
          <w:marTop w:val="0"/>
          <w:marBottom w:val="0"/>
          <w:divBdr>
            <w:top w:val="none" w:sz="0" w:space="0" w:color="auto"/>
            <w:left w:val="none" w:sz="0" w:space="0" w:color="auto"/>
            <w:bottom w:val="none" w:sz="0" w:space="0" w:color="auto"/>
            <w:right w:val="none" w:sz="0" w:space="0" w:color="auto"/>
          </w:divBdr>
        </w:div>
        <w:div w:id="1069615125">
          <w:marLeft w:val="640"/>
          <w:marRight w:val="0"/>
          <w:marTop w:val="0"/>
          <w:marBottom w:val="0"/>
          <w:divBdr>
            <w:top w:val="none" w:sz="0" w:space="0" w:color="auto"/>
            <w:left w:val="none" w:sz="0" w:space="0" w:color="auto"/>
            <w:bottom w:val="none" w:sz="0" w:space="0" w:color="auto"/>
            <w:right w:val="none" w:sz="0" w:space="0" w:color="auto"/>
          </w:divBdr>
        </w:div>
        <w:div w:id="1330988728">
          <w:marLeft w:val="640"/>
          <w:marRight w:val="0"/>
          <w:marTop w:val="0"/>
          <w:marBottom w:val="0"/>
          <w:divBdr>
            <w:top w:val="none" w:sz="0" w:space="0" w:color="auto"/>
            <w:left w:val="none" w:sz="0" w:space="0" w:color="auto"/>
            <w:bottom w:val="none" w:sz="0" w:space="0" w:color="auto"/>
            <w:right w:val="none" w:sz="0" w:space="0" w:color="auto"/>
          </w:divBdr>
        </w:div>
        <w:div w:id="1070270456">
          <w:marLeft w:val="640"/>
          <w:marRight w:val="0"/>
          <w:marTop w:val="0"/>
          <w:marBottom w:val="0"/>
          <w:divBdr>
            <w:top w:val="none" w:sz="0" w:space="0" w:color="auto"/>
            <w:left w:val="none" w:sz="0" w:space="0" w:color="auto"/>
            <w:bottom w:val="none" w:sz="0" w:space="0" w:color="auto"/>
            <w:right w:val="none" w:sz="0" w:space="0" w:color="auto"/>
          </w:divBdr>
        </w:div>
        <w:div w:id="1743865061">
          <w:marLeft w:val="640"/>
          <w:marRight w:val="0"/>
          <w:marTop w:val="0"/>
          <w:marBottom w:val="0"/>
          <w:divBdr>
            <w:top w:val="none" w:sz="0" w:space="0" w:color="auto"/>
            <w:left w:val="none" w:sz="0" w:space="0" w:color="auto"/>
            <w:bottom w:val="none" w:sz="0" w:space="0" w:color="auto"/>
            <w:right w:val="none" w:sz="0" w:space="0" w:color="auto"/>
          </w:divBdr>
        </w:div>
        <w:div w:id="11032926">
          <w:marLeft w:val="640"/>
          <w:marRight w:val="0"/>
          <w:marTop w:val="0"/>
          <w:marBottom w:val="0"/>
          <w:divBdr>
            <w:top w:val="none" w:sz="0" w:space="0" w:color="auto"/>
            <w:left w:val="none" w:sz="0" w:space="0" w:color="auto"/>
            <w:bottom w:val="none" w:sz="0" w:space="0" w:color="auto"/>
            <w:right w:val="none" w:sz="0" w:space="0" w:color="auto"/>
          </w:divBdr>
        </w:div>
        <w:div w:id="293869208">
          <w:marLeft w:val="640"/>
          <w:marRight w:val="0"/>
          <w:marTop w:val="0"/>
          <w:marBottom w:val="0"/>
          <w:divBdr>
            <w:top w:val="none" w:sz="0" w:space="0" w:color="auto"/>
            <w:left w:val="none" w:sz="0" w:space="0" w:color="auto"/>
            <w:bottom w:val="none" w:sz="0" w:space="0" w:color="auto"/>
            <w:right w:val="none" w:sz="0" w:space="0" w:color="auto"/>
          </w:divBdr>
        </w:div>
        <w:div w:id="356925968">
          <w:marLeft w:val="640"/>
          <w:marRight w:val="0"/>
          <w:marTop w:val="0"/>
          <w:marBottom w:val="0"/>
          <w:divBdr>
            <w:top w:val="none" w:sz="0" w:space="0" w:color="auto"/>
            <w:left w:val="none" w:sz="0" w:space="0" w:color="auto"/>
            <w:bottom w:val="none" w:sz="0" w:space="0" w:color="auto"/>
            <w:right w:val="none" w:sz="0" w:space="0" w:color="auto"/>
          </w:divBdr>
        </w:div>
        <w:div w:id="280118014">
          <w:marLeft w:val="640"/>
          <w:marRight w:val="0"/>
          <w:marTop w:val="0"/>
          <w:marBottom w:val="0"/>
          <w:divBdr>
            <w:top w:val="none" w:sz="0" w:space="0" w:color="auto"/>
            <w:left w:val="none" w:sz="0" w:space="0" w:color="auto"/>
            <w:bottom w:val="none" w:sz="0" w:space="0" w:color="auto"/>
            <w:right w:val="none" w:sz="0" w:space="0" w:color="auto"/>
          </w:divBdr>
        </w:div>
        <w:div w:id="1108232614">
          <w:marLeft w:val="640"/>
          <w:marRight w:val="0"/>
          <w:marTop w:val="0"/>
          <w:marBottom w:val="0"/>
          <w:divBdr>
            <w:top w:val="none" w:sz="0" w:space="0" w:color="auto"/>
            <w:left w:val="none" w:sz="0" w:space="0" w:color="auto"/>
            <w:bottom w:val="none" w:sz="0" w:space="0" w:color="auto"/>
            <w:right w:val="none" w:sz="0" w:space="0" w:color="auto"/>
          </w:divBdr>
        </w:div>
        <w:div w:id="1802187666">
          <w:marLeft w:val="640"/>
          <w:marRight w:val="0"/>
          <w:marTop w:val="0"/>
          <w:marBottom w:val="0"/>
          <w:divBdr>
            <w:top w:val="none" w:sz="0" w:space="0" w:color="auto"/>
            <w:left w:val="none" w:sz="0" w:space="0" w:color="auto"/>
            <w:bottom w:val="none" w:sz="0" w:space="0" w:color="auto"/>
            <w:right w:val="none" w:sz="0" w:space="0" w:color="auto"/>
          </w:divBdr>
        </w:div>
        <w:div w:id="171527864">
          <w:marLeft w:val="640"/>
          <w:marRight w:val="0"/>
          <w:marTop w:val="0"/>
          <w:marBottom w:val="0"/>
          <w:divBdr>
            <w:top w:val="none" w:sz="0" w:space="0" w:color="auto"/>
            <w:left w:val="none" w:sz="0" w:space="0" w:color="auto"/>
            <w:bottom w:val="none" w:sz="0" w:space="0" w:color="auto"/>
            <w:right w:val="none" w:sz="0" w:space="0" w:color="auto"/>
          </w:divBdr>
        </w:div>
        <w:div w:id="2074305791">
          <w:marLeft w:val="640"/>
          <w:marRight w:val="0"/>
          <w:marTop w:val="0"/>
          <w:marBottom w:val="0"/>
          <w:divBdr>
            <w:top w:val="none" w:sz="0" w:space="0" w:color="auto"/>
            <w:left w:val="none" w:sz="0" w:space="0" w:color="auto"/>
            <w:bottom w:val="none" w:sz="0" w:space="0" w:color="auto"/>
            <w:right w:val="none" w:sz="0" w:space="0" w:color="auto"/>
          </w:divBdr>
        </w:div>
        <w:div w:id="1313023271">
          <w:marLeft w:val="640"/>
          <w:marRight w:val="0"/>
          <w:marTop w:val="0"/>
          <w:marBottom w:val="0"/>
          <w:divBdr>
            <w:top w:val="none" w:sz="0" w:space="0" w:color="auto"/>
            <w:left w:val="none" w:sz="0" w:space="0" w:color="auto"/>
            <w:bottom w:val="none" w:sz="0" w:space="0" w:color="auto"/>
            <w:right w:val="none" w:sz="0" w:space="0" w:color="auto"/>
          </w:divBdr>
        </w:div>
        <w:div w:id="713428603">
          <w:marLeft w:val="640"/>
          <w:marRight w:val="0"/>
          <w:marTop w:val="0"/>
          <w:marBottom w:val="0"/>
          <w:divBdr>
            <w:top w:val="none" w:sz="0" w:space="0" w:color="auto"/>
            <w:left w:val="none" w:sz="0" w:space="0" w:color="auto"/>
            <w:bottom w:val="none" w:sz="0" w:space="0" w:color="auto"/>
            <w:right w:val="none" w:sz="0" w:space="0" w:color="auto"/>
          </w:divBdr>
        </w:div>
        <w:div w:id="1180319997">
          <w:marLeft w:val="640"/>
          <w:marRight w:val="0"/>
          <w:marTop w:val="0"/>
          <w:marBottom w:val="0"/>
          <w:divBdr>
            <w:top w:val="none" w:sz="0" w:space="0" w:color="auto"/>
            <w:left w:val="none" w:sz="0" w:space="0" w:color="auto"/>
            <w:bottom w:val="none" w:sz="0" w:space="0" w:color="auto"/>
            <w:right w:val="none" w:sz="0" w:space="0" w:color="auto"/>
          </w:divBdr>
        </w:div>
        <w:div w:id="1765033586">
          <w:marLeft w:val="640"/>
          <w:marRight w:val="0"/>
          <w:marTop w:val="0"/>
          <w:marBottom w:val="0"/>
          <w:divBdr>
            <w:top w:val="none" w:sz="0" w:space="0" w:color="auto"/>
            <w:left w:val="none" w:sz="0" w:space="0" w:color="auto"/>
            <w:bottom w:val="none" w:sz="0" w:space="0" w:color="auto"/>
            <w:right w:val="none" w:sz="0" w:space="0" w:color="auto"/>
          </w:divBdr>
        </w:div>
        <w:div w:id="1419907161">
          <w:marLeft w:val="640"/>
          <w:marRight w:val="0"/>
          <w:marTop w:val="0"/>
          <w:marBottom w:val="0"/>
          <w:divBdr>
            <w:top w:val="none" w:sz="0" w:space="0" w:color="auto"/>
            <w:left w:val="none" w:sz="0" w:space="0" w:color="auto"/>
            <w:bottom w:val="none" w:sz="0" w:space="0" w:color="auto"/>
            <w:right w:val="none" w:sz="0" w:space="0" w:color="auto"/>
          </w:divBdr>
        </w:div>
        <w:div w:id="1170873132">
          <w:marLeft w:val="640"/>
          <w:marRight w:val="0"/>
          <w:marTop w:val="0"/>
          <w:marBottom w:val="0"/>
          <w:divBdr>
            <w:top w:val="none" w:sz="0" w:space="0" w:color="auto"/>
            <w:left w:val="none" w:sz="0" w:space="0" w:color="auto"/>
            <w:bottom w:val="none" w:sz="0" w:space="0" w:color="auto"/>
            <w:right w:val="none" w:sz="0" w:space="0" w:color="auto"/>
          </w:divBdr>
        </w:div>
        <w:div w:id="1779792662">
          <w:marLeft w:val="640"/>
          <w:marRight w:val="0"/>
          <w:marTop w:val="0"/>
          <w:marBottom w:val="0"/>
          <w:divBdr>
            <w:top w:val="none" w:sz="0" w:space="0" w:color="auto"/>
            <w:left w:val="none" w:sz="0" w:space="0" w:color="auto"/>
            <w:bottom w:val="none" w:sz="0" w:space="0" w:color="auto"/>
            <w:right w:val="none" w:sz="0" w:space="0" w:color="auto"/>
          </w:divBdr>
        </w:div>
        <w:div w:id="1131558243">
          <w:marLeft w:val="640"/>
          <w:marRight w:val="0"/>
          <w:marTop w:val="0"/>
          <w:marBottom w:val="0"/>
          <w:divBdr>
            <w:top w:val="none" w:sz="0" w:space="0" w:color="auto"/>
            <w:left w:val="none" w:sz="0" w:space="0" w:color="auto"/>
            <w:bottom w:val="none" w:sz="0" w:space="0" w:color="auto"/>
            <w:right w:val="none" w:sz="0" w:space="0" w:color="auto"/>
          </w:divBdr>
        </w:div>
        <w:div w:id="1895700524">
          <w:marLeft w:val="640"/>
          <w:marRight w:val="0"/>
          <w:marTop w:val="0"/>
          <w:marBottom w:val="0"/>
          <w:divBdr>
            <w:top w:val="none" w:sz="0" w:space="0" w:color="auto"/>
            <w:left w:val="none" w:sz="0" w:space="0" w:color="auto"/>
            <w:bottom w:val="none" w:sz="0" w:space="0" w:color="auto"/>
            <w:right w:val="none" w:sz="0" w:space="0" w:color="auto"/>
          </w:divBdr>
        </w:div>
        <w:div w:id="1431774933">
          <w:marLeft w:val="640"/>
          <w:marRight w:val="0"/>
          <w:marTop w:val="0"/>
          <w:marBottom w:val="0"/>
          <w:divBdr>
            <w:top w:val="none" w:sz="0" w:space="0" w:color="auto"/>
            <w:left w:val="none" w:sz="0" w:space="0" w:color="auto"/>
            <w:bottom w:val="none" w:sz="0" w:space="0" w:color="auto"/>
            <w:right w:val="none" w:sz="0" w:space="0" w:color="auto"/>
          </w:divBdr>
        </w:div>
        <w:div w:id="202446822">
          <w:marLeft w:val="640"/>
          <w:marRight w:val="0"/>
          <w:marTop w:val="0"/>
          <w:marBottom w:val="0"/>
          <w:divBdr>
            <w:top w:val="none" w:sz="0" w:space="0" w:color="auto"/>
            <w:left w:val="none" w:sz="0" w:space="0" w:color="auto"/>
            <w:bottom w:val="none" w:sz="0" w:space="0" w:color="auto"/>
            <w:right w:val="none" w:sz="0" w:space="0" w:color="auto"/>
          </w:divBdr>
        </w:div>
        <w:div w:id="610018201">
          <w:marLeft w:val="640"/>
          <w:marRight w:val="0"/>
          <w:marTop w:val="0"/>
          <w:marBottom w:val="0"/>
          <w:divBdr>
            <w:top w:val="none" w:sz="0" w:space="0" w:color="auto"/>
            <w:left w:val="none" w:sz="0" w:space="0" w:color="auto"/>
            <w:bottom w:val="none" w:sz="0" w:space="0" w:color="auto"/>
            <w:right w:val="none" w:sz="0" w:space="0" w:color="auto"/>
          </w:divBdr>
        </w:div>
        <w:div w:id="939335385">
          <w:marLeft w:val="640"/>
          <w:marRight w:val="0"/>
          <w:marTop w:val="0"/>
          <w:marBottom w:val="0"/>
          <w:divBdr>
            <w:top w:val="none" w:sz="0" w:space="0" w:color="auto"/>
            <w:left w:val="none" w:sz="0" w:space="0" w:color="auto"/>
            <w:bottom w:val="none" w:sz="0" w:space="0" w:color="auto"/>
            <w:right w:val="none" w:sz="0" w:space="0" w:color="auto"/>
          </w:divBdr>
        </w:div>
        <w:div w:id="1112165705">
          <w:marLeft w:val="640"/>
          <w:marRight w:val="0"/>
          <w:marTop w:val="0"/>
          <w:marBottom w:val="0"/>
          <w:divBdr>
            <w:top w:val="none" w:sz="0" w:space="0" w:color="auto"/>
            <w:left w:val="none" w:sz="0" w:space="0" w:color="auto"/>
            <w:bottom w:val="none" w:sz="0" w:space="0" w:color="auto"/>
            <w:right w:val="none" w:sz="0" w:space="0" w:color="auto"/>
          </w:divBdr>
        </w:div>
        <w:div w:id="1948810553">
          <w:marLeft w:val="640"/>
          <w:marRight w:val="0"/>
          <w:marTop w:val="0"/>
          <w:marBottom w:val="0"/>
          <w:divBdr>
            <w:top w:val="none" w:sz="0" w:space="0" w:color="auto"/>
            <w:left w:val="none" w:sz="0" w:space="0" w:color="auto"/>
            <w:bottom w:val="none" w:sz="0" w:space="0" w:color="auto"/>
            <w:right w:val="none" w:sz="0" w:space="0" w:color="auto"/>
          </w:divBdr>
        </w:div>
        <w:div w:id="1874226576">
          <w:marLeft w:val="640"/>
          <w:marRight w:val="0"/>
          <w:marTop w:val="0"/>
          <w:marBottom w:val="0"/>
          <w:divBdr>
            <w:top w:val="none" w:sz="0" w:space="0" w:color="auto"/>
            <w:left w:val="none" w:sz="0" w:space="0" w:color="auto"/>
            <w:bottom w:val="none" w:sz="0" w:space="0" w:color="auto"/>
            <w:right w:val="none" w:sz="0" w:space="0" w:color="auto"/>
          </w:divBdr>
        </w:div>
        <w:div w:id="149952175">
          <w:marLeft w:val="640"/>
          <w:marRight w:val="0"/>
          <w:marTop w:val="0"/>
          <w:marBottom w:val="0"/>
          <w:divBdr>
            <w:top w:val="none" w:sz="0" w:space="0" w:color="auto"/>
            <w:left w:val="none" w:sz="0" w:space="0" w:color="auto"/>
            <w:bottom w:val="none" w:sz="0" w:space="0" w:color="auto"/>
            <w:right w:val="none" w:sz="0" w:space="0" w:color="auto"/>
          </w:divBdr>
        </w:div>
        <w:div w:id="570821573">
          <w:marLeft w:val="640"/>
          <w:marRight w:val="0"/>
          <w:marTop w:val="0"/>
          <w:marBottom w:val="0"/>
          <w:divBdr>
            <w:top w:val="none" w:sz="0" w:space="0" w:color="auto"/>
            <w:left w:val="none" w:sz="0" w:space="0" w:color="auto"/>
            <w:bottom w:val="none" w:sz="0" w:space="0" w:color="auto"/>
            <w:right w:val="none" w:sz="0" w:space="0" w:color="auto"/>
          </w:divBdr>
        </w:div>
        <w:div w:id="1323465154">
          <w:marLeft w:val="640"/>
          <w:marRight w:val="0"/>
          <w:marTop w:val="0"/>
          <w:marBottom w:val="0"/>
          <w:divBdr>
            <w:top w:val="none" w:sz="0" w:space="0" w:color="auto"/>
            <w:left w:val="none" w:sz="0" w:space="0" w:color="auto"/>
            <w:bottom w:val="none" w:sz="0" w:space="0" w:color="auto"/>
            <w:right w:val="none" w:sz="0" w:space="0" w:color="auto"/>
          </w:divBdr>
        </w:div>
        <w:div w:id="945770595">
          <w:marLeft w:val="640"/>
          <w:marRight w:val="0"/>
          <w:marTop w:val="0"/>
          <w:marBottom w:val="0"/>
          <w:divBdr>
            <w:top w:val="none" w:sz="0" w:space="0" w:color="auto"/>
            <w:left w:val="none" w:sz="0" w:space="0" w:color="auto"/>
            <w:bottom w:val="none" w:sz="0" w:space="0" w:color="auto"/>
            <w:right w:val="none" w:sz="0" w:space="0" w:color="auto"/>
          </w:divBdr>
        </w:div>
        <w:div w:id="1654212624">
          <w:marLeft w:val="640"/>
          <w:marRight w:val="0"/>
          <w:marTop w:val="0"/>
          <w:marBottom w:val="0"/>
          <w:divBdr>
            <w:top w:val="none" w:sz="0" w:space="0" w:color="auto"/>
            <w:left w:val="none" w:sz="0" w:space="0" w:color="auto"/>
            <w:bottom w:val="none" w:sz="0" w:space="0" w:color="auto"/>
            <w:right w:val="none" w:sz="0" w:space="0" w:color="auto"/>
          </w:divBdr>
        </w:div>
        <w:div w:id="1790120762">
          <w:marLeft w:val="640"/>
          <w:marRight w:val="0"/>
          <w:marTop w:val="0"/>
          <w:marBottom w:val="0"/>
          <w:divBdr>
            <w:top w:val="none" w:sz="0" w:space="0" w:color="auto"/>
            <w:left w:val="none" w:sz="0" w:space="0" w:color="auto"/>
            <w:bottom w:val="none" w:sz="0" w:space="0" w:color="auto"/>
            <w:right w:val="none" w:sz="0" w:space="0" w:color="auto"/>
          </w:divBdr>
        </w:div>
        <w:div w:id="1358504332">
          <w:marLeft w:val="640"/>
          <w:marRight w:val="0"/>
          <w:marTop w:val="0"/>
          <w:marBottom w:val="0"/>
          <w:divBdr>
            <w:top w:val="none" w:sz="0" w:space="0" w:color="auto"/>
            <w:left w:val="none" w:sz="0" w:space="0" w:color="auto"/>
            <w:bottom w:val="none" w:sz="0" w:space="0" w:color="auto"/>
            <w:right w:val="none" w:sz="0" w:space="0" w:color="auto"/>
          </w:divBdr>
        </w:div>
        <w:div w:id="1523276800">
          <w:marLeft w:val="640"/>
          <w:marRight w:val="0"/>
          <w:marTop w:val="0"/>
          <w:marBottom w:val="0"/>
          <w:divBdr>
            <w:top w:val="none" w:sz="0" w:space="0" w:color="auto"/>
            <w:left w:val="none" w:sz="0" w:space="0" w:color="auto"/>
            <w:bottom w:val="none" w:sz="0" w:space="0" w:color="auto"/>
            <w:right w:val="none" w:sz="0" w:space="0" w:color="auto"/>
          </w:divBdr>
        </w:div>
        <w:div w:id="466750470">
          <w:marLeft w:val="640"/>
          <w:marRight w:val="0"/>
          <w:marTop w:val="0"/>
          <w:marBottom w:val="0"/>
          <w:divBdr>
            <w:top w:val="none" w:sz="0" w:space="0" w:color="auto"/>
            <w:left w:val="none" w:sz="0" w:space="0" w:color="auto"/>
            <w:bottom w:val="none" w:sz="0" w:space="0" w:color="auto"/>
            <w:right w:val="none" w:sz="0" w:space="0" w:color="auto"/>
          </w:divBdr>
        </w:div>
        <w:div w:id="1858694966">
          <w:marLeft w:val="640"/>
          <w:marRight w:val="0"/>
          <w:marTop w:val="0"/>
          <w:marBottom w:val="0"/>
          <w:divBdr>
            <w:top w:val="none" w:sz="0" w:space="0" w:color="auto"/>
            <w:left w:val="none" w:sz="0" w:space="0" w:color="auto"/>
            <w:bottom w:val="none" w:sz="0" w:space="0" w:color="auto"/>
            <w:right w:val="none" w:sz="0" w:space="0" w:color="auto"/>
          </w:divBdr>
        </w:div>
        <w:div w:id="264504892">
          <w:marLeft w:val="640"/>
          <w:marRight w:val="0"/>
          <w:marTop w:val="0"/>
          <w:marBottom w:val="0"/>
          <w:divBdr>
            <w:top w:val="none" w:sz="0" w:space="0" w:color="auto"/>
            <w:left w:val="none" w:sz="0" w:space="0" w:color="auto"/>
            <w:bottom w:val="none" w:sz="0" w:space="0" w:color="auto"/>
            <w:right w:val="none" w:sz="0" w:space="0" w:color="auto"/>
          </w:divBdr>
        </w:div>
        <w:div w:id="823545583">
          <w:marLeft w:val="640"/>
          <w:marRight w:val="0"/>
          <w:marTop w:val="0"/>
          <w:marBottom w:val="0"/>
          <w:divBdr>
            <w:top w:val="none" w:sz="0" w:space="0" w:color="auto"/>
            <w:left w:val="none" w:sz="0" w:space="0" w:color="auto"/>
            <w:bottom w:val="none" w:sz="0" w:space="0" w:color="auto"/>
            <w:right w:val="none" w:sz="0" w:space="0" w:color="auto"/>
          </w:divBdr>
        </w:div>
        <w:div w:id="73170502">
          <w:marLeft w:val="640"/>
          <w:marRight w:val="0"/>
          <w:marTop w:val="0"/>
          <w:marBottom w:val="0"/>
          <w:divBdr>
            <w:top w:val="none" w:sz="0" w:space="0" w:color="auto"/>
            <w:left w:val="none" w:sz="0" w:space="0" w:color="auto"/>
            <w:bottom w:val="none" w:sz="0" w:space="0" w:color="auto"/>
            <w:right w:val="none" w:sz="0" w:space="0" w:color="auto"/>
          </w:divBdr>
        </w:div>
        <w:div w:id="1824930000">
          <w:marLeft w:val="640"/>
          <w:marRight w:val="0"/>
          <w:marTop w:val="0"/>
          <w:marBottom w:val="0"/>
          <w:divBdr>
            <w:top w:val="none" w:sz="0" w:space="0" w:color="auto"/>
            <w:left w:val="none" w:sz="0" w:space="0" w:color="auto"/>
            <w:bottom w:val="none" w:sz="0" w:space="0" w:color="auto"/>
            <w:right w:val="none" w:sz="0" w:space="0" w:color="auto"/>
          </w:divBdr>
        </w:div>
        <w:div w:id="1973826802">
          <w:marLeft w:val="640"/>
          <w:marRight w:val="0"/>
          <w:marTop w:val="0"/>
          <w:marBottom w:val="0"/>
          <w:divBdr>
            <w:top w:val="none" w:sz="0" w:space="0" w:color="auto"/>
            <w:left w:val="none" w:sz="0" w:space="0" w:color="auto"/>
            <w:bottom w:val="none" w:sz="0" w:space="0" w:color="auto"/>
            <w:right w:val="none" w:sz="0" w:space="0" w:color="auto"/>
          </w:divBdr>
        </w:div>
        <w:div w:id="2133867125">
          <w:marLeft w:val="640"/>
          <w:marRight w:val="0"/>
          <w:marTop w:val="0"/>
          <w:marBottom w:val="0"/>
          <w:divBdr>
            <w:top w:val="none" w:sz="0" w:space="0" w:color="auto"/>
            <w:left w:val="none" w:sz="0" w:space="0" w:color="auto"/>
            <w:bottom w:val="none" w:sz="0" w:space="0" w:color="auto"/>
            <w:right w:val="none" w:sz="0" w:space="0" w:color="auto"/>
          </w:divBdr>
        </w:div>
        <w:div w:id="1687754986">
          <w:marLeft w:val="640"/>
          <w:marRight w:val="0"/>
          <w:marTop w:val="0"/>
          <w:marBottom w:val="0"/>
          <w:divBdr>
            <w:top w:val="none" w:sz="0" w:space="0" w:color="auto"/>
            <w:left w:val="none" w:sz="0" w:space="0" w:color="auto"/>
            <w:bottom w:val="none" w:sz="0" w:space="0" w:color="auto"/>
            <w:right w:val="none" w:sz="0" w:space="0" w:color="auto"/>
          </w:divBdr>
        </w:div>
        <w:div w:id="1636447947">
          <w:marLeft w:val="640"/>
          <w:marRight w:val="0"/>
          <w:marTop w:val="0"/>
          <w:marBottom w:val="0"/>
          <w:divBdr>
            <w:top w:val="none" w:sz="0" w:space="0" w:color="auto"/>
            <w:left w:val="none" w:sz="0" w:space="0" w:color="auto"/>
            <w:bottom w:val="none" w:sz="0" w:space="0" w:color="auto"/>
            <w:right w:val="none" w:sz="0" w:space="0" w:color="auto"/>
          </w:divBdr>
        </w:div>
        <w:div w:id="890844514">
          <w:marLeft w:val="640"/>
          <w:marRight w:val="0"/>
          <w:marTop w:val="0"/>
          <w:marBottom w:val="0"/>
          <w:divBdr>
            <w:top w:val="none" w:sz="0" w:space="0" w:color="auto"/>
            <w:left w:val="none" w:sz="0" w:space="0" w:color="auto"/>
            <w:bottom w:val="none" w:sz="0" w:space="0" w:color="auto"/>
            <w:right w:val="none" w:sz="0" w:space="0" w:color="auto"/>
          </w:divBdr>
        </w:div>
        <w:div w:id="2127386056">
          <w:marLeft w:val="640"/>
          <w:marRight w:val="0"/>
          <w:marTop w:val="0"/>
          <w:marBottom w:val="0"/>
          <w:divBdr>
            <w:top w:val="none" w:sz="0" w:space="0" w:color="auto"/>
            <w:left w:val="none" w:sz="0" w:space="0" w:color="auto"/>
            <w:bottom w:val="none" w:sz="0" w:space="0" w:color="auto"/>
            <w:right w:val="none" w:sz="0" w:space="0" w:color="auto"/>
          </w:divBdr>
        </w:div>
        <w:div w:id="1845394911">
          <w:marLeft w:val="640"/>
          <w:marRight w:val="0"/>
          <w:marTop w:val="0"/>
          <w:marBottom w:val="0"/>
          <w:divBdr>
            <w:top w:val="none" w:sz="0" w:space="0" w:color="auto"/>
            <w:left w:val="none" w:sz="0" w:space="0" w:color="auto"/>
            <w:bottom w:val="none" w:sz="0" w:space="0" w:color="auto"/>
            <w:right w:val="none" w:sz="0" w:space="0" w:color="auto"/>
          </w:divBdr>
        </w:div>
        <w:div w:id="2110814782">
          <w:marLeft w:val="640"/>
          <w:marRight w:val="0"/>
          <w:marTop w:val="0"/>
          <w:marBottom w:val="0"/>
          <w:divBdr>
            <w:top w:val="none" w:sz="0" w:space="0" w:color="auto"/>
            <w:left w:val="none" w:sz="0" w:space="0" w:color="auto"/>
            <w:bottom w:val="none" w:sz="0" w:space="0" w:color="auto"/>
            <w:right w:val="none" w:sz="0" w:space="0" w:color="auto"/>
          </w:divBdr>
        </w:div>
        <w:div w:id="2052920938">
          <w:marLeft w:val="640"/>
          <w:marRight w:val="0"/>
          <w:marTop w:val="0"/>
          <w:marBottom w:val="0"/>
          <w:divBdr>
            <w:top w:val="none" w:sz="0" w:space="0" w:color="auto"/>
            <w:left w:val="none" w:sz="0" w:space="0" w:color="auto"/>
            <w:bottom w:val="none" w:sz="0" w:space="0" w:color="auto"/>
            <w:right w:val="none" w:sz="0" w:space="0" w:color="auto"/>
          </w:divBdr>
        </w:div>
        <w:div w:id="958681428">
          <w:marLeft w:val="640"/>
          <w:marRight w:val="0"/>
          <w:marTop w:val="0"/>
          <w:marBottom w:val="0"/>
          <w:divBdr>
            <w:top w:val="none" w:sz="0" w:space="0" w:color="auto"/>
            <w:left w:val="none" w:sz="0" w:space="0" w:color="auto"/>
            <w:bottom w:val="none" w:sz="0" w:space="0" w:color="auto"/>
            <w:right w:val="none" w:sz="0" w:space="0" w:color="auto"/>
          </w:divBdr>
        </w:div>
        <w:div w:id="1964114700">
          <w:marLeft w:val="640"/>
          <w:marRight w:val="0"/>
          <w:marTop w:val="0"/>
          <w:marBottom w:val="0"/>
          <w:divBdr>
            <w:top w:val="none" w:sz="0" w:space="0" w:color="auto"/>
            <w:left w:val="none" w:sz="0" w:space="0" w:color="auto"/>
            <w:bottom w:val="none" w:sz="0" w:space="0" w:color="auto"/>
            <w:right w:val="none" w:sz="0" w:space="0" w:color="auto"/>
          </w:divBdr>
        </w:div>
        <w:div w:id="79525584">
          <w:marLeft w:val="640"/>
          <w:marRight w:val="0"/>
          <w:marTop w:val="0"/>
          <w:marBottom w:val="0"/>
          <w:divBdr>
            <w:top w:val="none" w:sz="0" w:space="0" w:color="auto"/>
            <w:left w:val="none" w:sz="0" w:space="0" w:color="auto"/>
            <w:bottom w:val="none" w:sz="0" w:space="0" w:color="auto"/>
            <w:right w:val="none" w:sz="0" w:space="0" w:color="auto"/>
          </w:divBdr>
        </w:div>
        <w:div w:id="2071540250">
          <w:marLeft w:val="640"/>
          <w:marRight w:val="0"/>
          <w:marTop w:val="0"/>
          <w:marBottom w:val="0"/>
          <w:divBdr>
            <w:top w:val="none" w:sz="0" w:space="0" w:color="auto"/>
            <w:left w:val="none" w:sz="0" w:space="0" w:color="auto"/>
            <w:bottom w:val="none" w:sz="0" w:space="0" w:color="auto"/>
            <w:right w:val="none" w:sz="0" w:space="0" w:color="auto"/>
          </w:divBdr>
        </w:div>
        <w:div w:id="1205093505">
          <w:marLeft w:val="640"/>
          <w:marRight w:val="0"/>
          <w:marTop w:val="0"/>
          <w:marBottom w:val="0"/>
          <w:divBdr>
            <w:top w:val="none" w:sz="0" w:space="0" w:color="auto"/>
            <w:left w:val="none" w:sz="0" w:space="0" w:color="auto"/>
            <w:bottom w:val="none" w:sz="0" w:space="0" w:color="auto"/>
            <w:right w:val="none" w:sz="0" w:space="0" w:color="auto"/>
          </w:divBdr>
        </w:div>
        <w:div w:id="613903680">
          <w:marLeft w:val="640"/>
          <w:marRight w:val="0"/>
          <w:marTop w:val="0"/>
          <w:marBottom w:val="0"/>
          <w:divBdr>
            <w:top w:val="none" w:sz="0" w:space="0" w:color="auto"/>
            <w:left w:val="none" w:sz="0" w:space="0" w:color="auto"/>
            <w:bottom w:val="none" w:sz="0" w:space="0" w:color="auto"/>
            <w:right w:val="none" w:sz="0" w:space="0" w:color="auto"/>
          </w:divBdr>
        </w:div>
        <w:div w:id="488399278">
          <w:marLeft w:val="640"/>
          <w:marRight w:val="0"/>
          <w:marTop w:val="0"/>
          <w:marBottom w:val="0"/>
          <w:divBdr>
            <w:top w:val="none" w:sz="0" w:space="0" w:color="auto"/>
            <w:left w:val="none" w:sz="0" w:space="0" w:color="auto"/>
            <w:bottom w:val="none" w:sz="0" w:space="0" w:color="auto"/>
            <w:right w:val="none" w:sz="0" w:space="0" w:color="auto"/>
          </w:divBdr>
        </w:div>
        <w:div w:id="170222873">
          <w:marLeft w:val="640"/>
          <w:marRight w:val="0"/>
          <w:marTop w:val="0"/>
          <w:marBottom w:val="0"/>
          <w:divBdr>
            <w:top w:val="none" w:sz="0" w:space="0" w:color="auto"/>
            <w:left w:val="none" w:sz="0" w:space="0" w:color="auto"/>
            <w:bottom w:val="none" w:sz="0" w:space="0" w:color="auto"/>
            <w:right w:val="none" w:sz="0" w:space="0" w:color="auto"/>
          </w:divBdr>
        </w:div>
        <w:div w:id="1806048054">
          <w:marLeft w:val="640"/>
          <w:marRight w:val="0"/>
          <w:marTop w:val="0"/>
          <w:marBottom w:val="0"/>
          <w:divBdr>
            <w:top w:val="none" w:sz="0" w:space="0" w:color="auto"/>
            <w:left w:val="none" w:sz="0" w:space="0" w:color="auto"/>
            <w:bottom w:val="none" w:sz="0" w:space="0" w:color="auto"/>
            <w:right w:val="none" w:sz="0" w:space="0" w:color="auto"/>
          </w:divBdr>
        </w:div>
        <w:div w:id="2091269384">
          <w:marLeft w:val="640"/>
          <w:marRight w:val="0"/>
          <w:marTop w:val="0"/>
          <w:marBottom w:val="0"/>
          <w:divBdr>
            <w:top w:val="none" w:sz="0" w:space="0" w:color="auto"/>
            <w:left w:val="none" w:sz="0" w:space="0" w:color="auto"/>
            <w:bottom w:val="none" w:sz="0" w:space="0" w:color="auto"/>
            <w:right w:val="none" w:sz="0" w:space="0" w:color="auto"/>
          </w:divBdr>
        </w:div>
        <w:div w:id="1223636117">
          <w:marLeft w:val="640"/>
          <w:marRight w:val="0"/>
          <w:marTop w:val="0"/>
          <w:marBottom w:val="0"/>
          <w:divBdr>
            <w:top w:val="none" w:sz="0" w:space="0" w:color="auto"/>
            <w:left w:val="none" w:sz="0" w:space="0" w:color="auto"/>
            <w:bottom w:val="none" w:sz="0" w:space="0" w:color="auto"/>
            <w:right w:val="none" w:sz="0" w:space="0" w:color="auto"/>
          </w:divBdr>
        </w:div>
        <w:div w:id="771777500">
          <w:marLeft w:val="640"/>
          <w:marRight w:val="0"/>
          <w:marTop w:val="0"/>
          <w:marBottom w:val="0"/>
          <w:divBdr>
            <w:top w:val="none" w:sz="0" w:space="0" w:color="auto"/>
            <w:left w:val="none" w:sz="0" w:space="0" w:color="auto"/>
            <w:bottom w:val="none" w:sz="0" w:space="0" w:color="auto"/>
            <w:right w:val="none" w:sz="0" w:space="0" w:color="auto"/>
          </w:divBdr>
        </w:div>
        <w:div w:id="1568958657">
          <w:marLeft w:val="640"/>
          <w:marRight w:val="0"/>
          <w:marTop w:val="0"/>
          <w:marBottom w:val="0"/>
          <w:divBdr>
            <w:top w:val="none" w:sz="0" w:space="0" w:color="auto"/>
            <w:left w:val="none" w:sz="0" w:space="0" w:color="auto"/>
            <w:bottom w:val="none" w:sz="0" w:space="0" w:color="auto"/>
            <w:right w:val="none" w:sz="0" w:space="0" w:color="auto"/>
          </w:divBdr>
        </w:div>
        <w:div w:id="120656551">
          <w:marLeft w:val="640"/>
          <w:marRight w:val="0"/>
          <w:marTop w:val="0"/>
          <w:marBottom w:val="0"/>
          <w:divBdr>
            <w:top w:val="none" w:sz="0" w:space="0" w:color="auto"/>
            <w:left w:val="none" w:sz="0" w:space="0" w:color="auto"/>
            <w:bottom w:val="none" w:sz="0" w:space="0" w:color="auto"/>
            <w:right w:val="none" w:sz="0" w:space="0" w:color="auto"/>
          </w:divBdr>
        </w:div>
        <w:div w:id="1854489588">
          <w:marLeft w:val="640"/>
          <w:marRight w:val="0"/>
          <w:marTop w:val="0"/>
          <w:marBottom w:val="0"/>
          <w:divBdr>
            <w:top w:val="none" w:sz="0" w:space="0" w:color="auto"/>
            <w:left w:val="none" w:sz="0" w:space="0" w:color="auto"/>
            <w:bottom w:val="none" w:sz="0" w:space="0" w:color="auto"/>
            <w:right w:val="none" w:sz="0" w:space="0" w:color="auto"/>
          </w:divBdr>
        </w:div>
        <w:div w:id="1955363307">
          <w:marLeft w:val="640"/>
          <w:marRight w:val="0"/>
          <w:marTop w:val="0"/>
          <w:marBottom w:val="0"/>
          <w:divBdr>
            <w:top w:val="none" w:sz="0" w:space="0" w:color="auto"/>
            <w:left w:val="none" w:sz="0" w:space="0" w:color="auto"/>
            <w:bottom w:val="none" w:sz="0" w:space="0" w:color="auto"/>
            <w:right w:val="none" w:sz="0" w:space="0" w:color="auto"/>
          </w:divBdr>
        </w:div>
        <w:div w:id="2123375866">
          <w:marLeft w:val="640"/>
          <w:marRight w:val="0"/>
          <w:marTop w:val="0"/>
          <w:marBottom w:val="0"/>
          <w:divBdr>
            <w:top w:val="none" w:sz="0" w:space="0" w:color="auto"/>
            <w:left w:val="none" w:sz="0" w:space="0" w:color="auto"/>
            <w:bottom w:val="none" w:sz="0" w:space="0" w:color="auto"/>
            <w:right w:val="none" w:sz="0" w:space="0" w:color="auto"/>
          </w:divBdr>
        </w:div>
        <w:div w:id="1947493786">
          <w:marLeft w:val="640"/>
          <w:marRight w:val="0"/>
          <w:marTop w:val="0"/>
          <w:marBottom w:val="0"/>
          <w:divBdr>
            <w:top w:val="none" w:sz="0" w:space="0" w:color="auto"/>
            <w:left w:val="none" w:sz="0" w:space="0" w:color="auto"/>
            <w:bottom w:val="none" w:sz="0" w:space="0" w:color="auto"/>
            <w:right w:val="none" w:sz="0" w:space="0" w:color="auto"/>
          </w:divBdr>
        </w:div>
        <w:div w:id="470752741">
          <w:marLeft w:val="640"/>
          <w:marRight w:val="0"/>
          <w:marTop w:val="0"/>
          <w:marBottom w:val="0"/>
          <w:divBdr>
            <w:top w:val="none" w:sz="0" w:space="0" w:color="auto"/>
            <w:left w:val="none" w:sz="0" w:space="0" w:color="auto"/>
            <w:bottom w:val="none" w:sz="0" w:space="0" w:color="auto"/>
            <w:right w:val="none" w:sz="0" w:space="0" w:color="auto"/>
          </w:divBdr>
        </w:div>
        <w:div w:id="551425177">
          <w:marLeft w:val="640"/>
          <w:marRight w:val="0"/>
          <w:marTop w:val="0"/>
          <w:marBottom w:val="0"/>
          <w:divBdr>
            <w:top w:val="none" w:sz="0" w:space="0" w:color="auto"/>
            <w:left w:val="none" w:sz="0" w:space="0" w:color="auto"/>
            <w:bottom w:val="none" w:sz="0" w:space="0" w:color="auto"/>
            <w:right w:val="none" w:sz="0" w:space="0" w:color="auto"/>
          </w:divBdr>
        </w:div>
        <w:div w:id="1635066130">
          <w:marLeft w:val="640"/>
          <w:marRight w:val="0"/>
          <w:marTop w:val="0"/>
          <w:marBottom w:val="0"/>
          <w:divBdr>
            <w:top w:val="none" w:sz="0" w:space="0" w:color="auto"/>
            <w:left w:val="none" w:sz="0" w:space="0" w:color="auto"/>
            <w:bottom w:val="none" w:sz="0" w:space="0" w:color="auto"/>
            <w:right w:val="none" w:sz="0" w:space="0" w:color="auto"/>
          </w:divBdr>
        </w:div>
        <w:div w:id="775101019">
          <w:marLeft w:val="640"/>
          <w:marRight w:val="0"/>
          <w:marTop w:val="0"/>
          <w:marBottom w:val="0"/>
          <w:divBdr>
            <w:top w:val="none" w:sz="0" w:space="0" w:color="auto"/>
            <w:left w:val="none" w:sz="0" w:space="0" w:color="auto"/>
            <w:bottom w:val="none" w:sz="0" w:space="0" w:color="auto"/>
            <w:right w:val="none" w:sz="0" w:space="0" w:color="auto"/>
          </w:divBdr>
        </w:div>
        <w:div w:id="1971591416">
          <w:marLeft w:val="640"/>
          <w:marRight w:val="0"/>
          <w:marTop w:val="0"/>
          <w:marBottom w:val="0"/>
          <w:divBdr>
            <w:top w:val="none" w:sz="0" w:space="0" w:color="auto"/>
            <w:left w:val="none" w:sz="0" w:space="0" w:color="auto"/>
            <w:bottom w:val="none" w:sz="0" w:space="0" w:color="auto"/>
            <w:right w:val="none" w:sz="0" w:space="0" w:color="auto"/>
          </w:divBdr>
        </w:div>
        <w:div w:id="2003776011">
          <w:marLeft w:val="640"/>
          <w:marRight w:val="0"/>
          <w:marTop w:val="0"/>
          <w:marBottom w:val="0"/>
          <w:divBdr>
            <w:top w:val="none" w:sz="0" w:space="0" w:color="auto"/>
            <w:left w:val="none" w:sz="0" w:space="0" w:color="auto"/>
            <w:bottom w:val="none" w:sz="0" w:space="0" w:color="auto"/>
            <w:right w:val="none" w:sz="0" w:space="0" w:color="auto"/>
          </w:divBdr>
        </w:div>
        <w:div w:id="1343777541">
          <w:marLeft w:val="640"/>
          <w:marRight w:val="0"/>
          <w:marTop w:val="0"/>
          <w:marBottom w:val="0"/>
          <w:divBdr>
            <w:top w:val="none" w:sz="0" w:space="0" w:color="auto"/>
            <w:left w:val="none" w:sz="0" w:space="0" w:color="auto"/>
            <w:bottom w:val="none" w:sz="0" w:space="0" w:color="auto"/>
            <w:right w:val="none" w:sz="0" w:space="0" w:color="auto"/>
          </w:divBdr>
        </w:div>
        <w:div w:id="784731863">
          <w:marLeft w:val="640"/>
          <w:marRight w:val="0"/>
          <w:marTop w:val="0"/>
          <w:marBottom w:val="0"/>
          <w:divBdr>
            <w:top w:val="none" w:sz="0" w:space="0" w:color="auto"/>
            <w:left w:val="none" w:sz="0" w:space="0" w:color="auto"/>
            <w:bottom w:val="none" w:sz="0" w:space="0" w:color="auto"/>
            <w:right w:val="none" w:sz="0" w:space="0" w:color="auto"/>
          </w:divBdr>
        </w:div>
        <w:div w:id="1611473939">
          <w:marLeft w:val="640"/>
          <w:marRight w:val="0"/>
          <w:marTop w:val="0"/>
          <w:marBottom w:val="0"/>
          <w:divBdr>
            <w:top w:val="none" w:sz="0" w:space="0" w:color="auto"/>
            <w:left w:val="none" w:sz="0" w:space="0" w:color="auto"/>
            <w:bottom w:val="none" w:sz="0" w:space="0" w:color="auto"/>
            <w:right w:val="none" w:sz="0" w:space="0" w:color="auto"/>
          </w:divBdr>
        </w:div>
        <w:div w:id="1263731363">
          <w:marLeft w:val="640"/>
          <w:marRight w:val="0"/>
          <w:marTop w:val="0"/>
          <w:marBottom w:val="0"/>
          <w:divBdr>
            <w:top w:val="none" w:sz="0" w:space="0" w:color="auto"/>
            <w:left w:val="none" w:sz="0" w:space="0" w:color="auto"/>
            <w:bottom w:val="none" w:sz="0" w:space="0" w:color="auto"/>
            <w:right w:val="none" w:sz="0" w:space="0" w:color="auto"/>
          </w:divBdr>
        </w:div>
        <w:div w:id="843403242">
          <w:marLeft w:val="640"/>
          <w:marRight w:val="0"/>
          <w:marTop w:val="0"/>
          <w:marBottom w:val="0"/>
          <w:divBdr>
            <w:top w:val="none" w:sz="0" w:space="0" w:color="auto"/>
            <w:left w:val="none" w:sz="0" w:space="0" w:color="auto"/>
            <w:bottom w:val="none" w:sz="0" w:space="0" w:color="auto"/>
            <w:right w:val="none" w:sz="0" w:space="0" w:color="auto"/>
          </w:divBdr>
        </w:div>
        <w:div w:id="306975868">
          <w:marLeft w:val="640"/>
          <w:marRight w:val="0"/>
          <w:marTop w:val="0"/>
          <w:marBottom w:val="0"/>
          <w:divBdr>
            <w:top w:val="none" w:sz="0" w:space="0" w:color="auto"/>
            <w:left w:val="none" w:sz="0" w:space="0" w:color="auto"/>
            <w:bottom w:val="none" w:sz="0" w:space="0" w:color="auto"/>
            <w:right w:val="none" w:sz="0" w:space="0" w:color="auto"/>
          </w:divBdr>
        </w:div>
        <w:div w:id="791823230">
          <w:marLeft w:val="640"/>
          <w:marRight w:val="0"/>
          <w:marTop w:val="0"/>
          <w:marBottom w:val="0"/>
          <w:divBdr>
            <w:top w:val="none" w:sz="0" w:space="0" w:color="auto"/>
            <w:left w:val="none" w:sz="0" w:space="0" w:color="auto"/>
            <w:bottom w:val="none" w:sz="0" w:space="0" w:color="auto"/>
            <w:right w:val="none" w:sz="0" w:space="0" w:color="auto"/>
          </w:divBdr>
        </w:div>
        <w:div w:id="1453011240">
          <w:marLeft w:val="640"/>
          <w:marRight w:val="0"/>
          <w:marTop w:val="0"/>
          <w:marBottom w:val="0"/>
          <w:divBdr>
            <w:top w:val="none" w:sz="0" w:space="0" w:color="auto"/>
            <w:left w:val="none" w:sz="0" w:space="0" w:color="auto"/>
            <w:bottom w:val="none" w:sz="0" w:space="0" w:color="auto"/>
            <w:right w:val="none" w:sz="0" w:space="0" w:color="auto"/>
          </w:divBdr>
        </w:div>
        <w:div w:id="1622541003">
          <w:marLeft w:val="640"/>
          <w:marRight w:val="0"/>
          <w:marTop w:val="0"/>
          <w:marBottom w:val="0"/>
          <w:divBdr>
            <w:top w:val="none" w:sz="0" w:space="0" w:color="auto"/>
            <w:left w:val="none" w:sz="0" w:space="0" w:color="auto"/>
            <w:bottom w:val="none" w:sz="0" w:space="0" w:color="auto"/>
            <w:right w:val="none" w:sz="0" w:space="0" w:color="auto"/>
          </w:divBdr>
        </w:div>
        <w:div w:id="25641643">
          <w:marLeft w:val="640"/>
          <w:marRight w:val="0"/>
          <w:marTop w:val="0"/>
          <w:marBottom w:val="0"/>
          <w:divBdr>
            <w:top w:val="none" w:sz="0" w:space="0" w:color="auto"/>
            <w:left w:val="none" w:sz="0" w:space="0" w:color="auto"/>
            <w:bottom w:val="none" w:sz="0" w:space="0" w:color="auto"/>
            <w:right w:val="none" w:sz="0" w:space="0" w:color="auto"/>
          </w:divBdr>
        </w:div>
        <w:div w:id="355275376">
          <w:marLeft w:val="640"/>
          <w:marRight w:val="0"/>
          <w:marTop w:val="0"/>
          <w:marBottom w:val="0"/>
          <w:divBdr>
            <w:top w:val="none" w:sz="0" w:space="0" w:color="auto"/>
            <w:left w:val="none" w:sz="0" w:space="0" w:color="auto"/>
            <w:bottom w:val="none" w:sz="0" w:space="0" w:color="auto"/>
            <w:right w:val="none" w:sz="0" w:space="0" w:color="auto"/>
          </w:divBdr>
        </w:div>
        <w:div w:id="576330276">
          <w:marLeft w:val="640"/>
          <w:marRight w:val="0"/>
          <w:marTop w:val="0"/>
          <w:marBottom w:val="0"/>
          <w:divBdr>
            <w:top w:val="none" w:sz="0" w:space="0" w:color="auto"/>
            <w:left w:val="none" w:sz="0" w:space="0" w:color="auto"/>
            <w:bottom w:val="none" w:sz="0" w:space="0" w:color="auto"/>
            <w:right w:val="none" w:sz="0" w:space="0" w:color="auto"/>
          </w:divBdr>
        </w:div>
        <w:div w:id="172186154">
          <w:marLeft w:val="640"/>
          <w:marRight w:val="0"/>
          <w:marTop w:val="0"/>
          <w:marBottom w:val="0"/>
          <w:divBdr>
            <w:top w:val="none" w:sz="0" w:space="0" w:color="auto"/>
            <w:left w:val="none" w:sz="0" w:space="0" w:color="auto"/>
            <w:bottom w:val="none" w:sz="0" w:space="0" w:color="auto"/>
            <w:right w:val="none" w:sz="0" w:space="0" w:color="auto"/>
          </w:divBdr>
        </w:div>
        <w:div w:id="1151286454">
          <w:marLeft w:val="640"/>
          <w:marRight w:val="0"/>
          <w:marTop w:val="0"/>
          <w:marBottom w:val="0"/>
          <w:divBdr>
            <w:top w:val="none" w:sz="0" w:space="0" w:color="auto"/>
            <w:left w:val="none" w:sz="0" w:space="0" w:color="auto"/>
            <w:bottom w:val="none" w:sz="0" w:space="0" w:color="auto"/>
            <w:right w:val="none" w:sz="0" w:space="0" w:color="auto"/>
          </w:divBdr>
        </w:div>
        <w:div w:id="2133866202">
          <w:marLeft w:val="640"/>
          <w:marRight w:val="0"/>
          <w:marTop w:val="0"/>
          <w:marBottom w:val="0"/>
          <w:divBdr>
            <w:top w:val="none" w:sz="0" w:space="0" w:color="auto"/>
            <w:left w:val="none" w:sz="0" w:space="0" w:color="auto"/>
            <w:bottom w:val="none" w:sz="0" w:space="0" w:color="auto"/>
            <w:right w:val="none" w:sz="0" w:space="0" w:color="auto"/>
          </w:divBdr>
        </w:div>
        <w:div w:id="517039594">
          <w:marLeft w:val="640"/>
          <w:marRight w:val="0"/>
          <w:marTop w:val="0"/>
          <w:marBottom w:val="0"/>
          <w:divBdr>
            <w:top w:val="none" w:sz="0" w:space="0" w:color="auto"/>
            <w:left w:val="none" w:sz="0" w:space="0" w:color="auto"/>
            <w:bottom w:val="none" w:sz="0" w:space="0" w:color="auto"/>
            <w:right w:val="none" w:sz="0" w:space="0" w:color="auto"/>
          </w:divBdr>
        </w:div>
        <w:div w:id="801188587">
          <w:marLeft w:val="640"/>
          <w:marRight w:val="0"/>
          <w:marTop w:val="0"/>
          <w:marBottom w:val="0"/>
          <w:divBdr>
            <w:top w:val="none" w:sz="0" w:space="0" w:color="auto"/>
            <w:left w:val="none" w:sz="0" w:space="0" w:color="auto"/>
            <w:bottom w:val="none" w:sz="0" w:space="0" w:color="auto"/>
            <w:right w:val="none" w:sz="0" w:space="0" w:color="auto"/>
          </w:divBdr>
        </w:div>
        <w:div w:id="1546287714">
          <w:marLeft w:val="640"/>
          <w:marRight w:val="0"/>
          <w:marTop w:val="0"/>
          <w:marBottom w:val="0"/>
          <w:divBdr>
            <w:top w:val="none" w:sz="0" w:space="0" w:color="auto"/>
            <w:left w:val="none" w:sz="0" w:space="0" w:color="auto"/>
            <w:bottom w:val="none" w:sz="0" w:space="0" w:color="auto"/>
            <w:right w:val="none" w:sz="0" w:space="0" w:color="auto"/>
          </w:divBdr>
        </w:div>
        <w:div w:id="1571958848">
          <w:marLeft w:val="640"/>
          <w:marRight w:val="0"/>
          <w:marTop w:val="0"/>
          <w:marBottom w:val="0"/>
          <w:divBdr>
            <w:top w:val="none" w:sz="0" w:space="0" w:color="auto"/>
            <w:left w:val="none" w:sz="0" w:space="0" w:color="auto"/>
            <w:bottom w:val="none" w:sz="0" w:space="0" w:color="auto"/>
            <w:right w:val="none" w:sz="0" w:space="0" w:color="auto"/>
          </w:divBdr>
        </w:div>
        <w:div w:id="774246606">
          <w:marLeft w:val="640"/>
          <w:marRight w:val="0"/>
          <w:marTop w:val="0"/>
          <w:marBottom w:val="0"/>
          <w:divBdr>
            <w:top w:val="none" w:sz="0" w:space="0" w:color="auto"/>
            <w:left w:val="none" w:sz="0" w:space="0" w:color="auto"/>
            <w:bottom w:val="none" w:sz="0" w:space="0" w:color="auto"/>
            <w:right w:val="none" w:sz="0" w:space="0" w:color="auto"/>
          </w:divBdr>
        </w:div>
        <w:div w:id="1603682441">
          <w:marLeft w:val="640"/>
          <w:marRight w:val="0"/>
          <w:marTop w:val="0"/>
          <w:marBottom w:val="0"/>
          <w:divBdr>
            <w:top w:val="none" w:sz="0" w:space="0" w:color="auto"/>
            <w:left w:val="none" w:sz="0" w:space="0" w:color="auto"/>
            <w:bottom w:val="none" w:sz="0" w:space="0" w:color="auto"/>
            <w:right w:val="none" w:sz="0" w:space="0" w:color="auto"/>
          </w:divBdr>
        </w:div>
        <w:div w:id="912396056">
          <w:marLeft w:val="640"/>
          <w:marRight w:val="0"/>
          <w:marTop w:val="0"/>
          <w:marBottom w:val="0"/>
          <w:divBdr>
            <w:top w:val="none" w:sz="0" w:space="0" w:color="auto"/>
            <w:left w:val="none" w:sz="0" w:space="0" w:color="auto"/>
            <w:bottom w:val="none" w:sz="0" w:space="0" w:color="auto"/>
            <w:right w:val="none" w:sz="0" w:space="0" w:color="auto"/>
          </w:divBdr>
        </w:div>
        <w:div w:id="1063605224">
          <w:marLeft w:val="640"/>
          <w:marRight w:val="0"/>
          <w:marTop w:val="0"/>
          <w:marBottom w:val="0"/>
          <w:divBdr>
            <w:top w:val="none" w:sz="0" w:space="0" w:color="auto"/>
            <w:left w:val="none" w:sz="0" w:space="0" w:color="auto"/>
            <w:bottom w:val="none" w:sz="0" w:space="0" w:color="auto"/>
            <w:right w:val="none" w:sz="0" w:space="0" w:color="auto"/>
          </w:divBdr>
        </w:div>
        <w:div w:id="288975891">
          <w:marLeft w:val="640"/>
          <w:marRight w:val="0"/>
          <w:marTop w:val="0"/>
          <w:marBottom w:val="0"/>
          <w:divBdr>
            <w:top w:val="none" w:sz="0" w:space="0" w:color="auto"/>
            <w:left w:val="none" w:sz="0" w:space="0" w:color="auto"/>
            <w:bottom w:val="none" w:sz="0" w:space="0" w:color="auto"/>
            <w:right w:val="none" w:sz="0" w:space="0" w:color="auto"/>
          </w:divBdr>
        </w:div>
        <w:div w:id="1363820901">
          <w:marLeft w:val="640"/>
          <w:marRight w:val="0"/>
          <w:marTop w:val="0"/>
          <w:marBottom w:val="0"/>
          <w:divBdr>
            <w:top w:val="none" w:sz="0" w:space="0" w:color="auto"/>
            <w:left w:val="none" w:sz="0" w:space="0" w:color="auto"/>
            <w:bottom w:val="none" w:sz="0" w:space="0" w:color="auto"/>
            <w:right w:val="none" w:sz="0" w:space="0" w:color="auto"/>
          </w:divBdr>
        </w:div>
        <w:div w:id="1022587125">
          <w:marLeft w:val="640"/>
          <w:marRight w:val="0"/>
          <w:marTop w:val="0"/>
          <w:marBottom w:val="0"/>
          <w:divBdr>
            <w:top w:val="none" w:sz="0" w:space="0" w:color="auto"/>
            <w:left w:val="none" w:sz="0" w:space="0" w:color="auto"/>
            <w:bottom w:val="none" w:sz="0" w:space="0" w:color="auto"/>
            <w:right w:val="none" w:sz="0" w:space="0" w:color="auto"/>
          </w:divBdr>
        </w:div>
        <w:div w:id="1275671720">
          <w:marLeft w:val="640"/>
          <w:marRight w:val="0"/>
          <w:marTop w:val="0"/>
          <w:marBottom w:val="0"/>
          <w:divBdr>
            <w:top w:val="none" w:sz="0" w:space="0" w:color="auto"/>
            <w:left w:val="none" w:sz="0" w:space="0" w:color="auto"/>
            <w:bottom w:val="none" w:sz="0" w:space="0" w:color="auto"/>
            <w:right w:val="none" w:sz="0" w:space="0" w:color="auto"/>
          </w:divBdr>
        </w:div>
        <w:div w:id="571425739">
          <w:marLeft w:val="640"/>
          <w:marRight w:val="0"/>
          <w:marTop w:val="0"/>
          <w:marBottom w:val="0"/>
          <w:divBdr>
            <w:top w:val="none" w:sz="0" w:space="0" w:color="auto"/>
            <w:left w:val="none" w:sz="0" w:space="0" w:color="auto"/>
            <w:bottom w:val="none" w:sz="0" w:space="0" w:color="auto"/>
            <w:right w:val="none" w:sz="0" w:space="0" w:color="auto"/>
          </w:divBdr>
        </w:div>
        <w:div w:id="1578517253">
          <w:marLeft w:val="640"/>
          <w:marRight w:val="0"/>
          <w:marTop w:val="0"/>
          <w:marBottom w:val="0"/>
          <w:divBdr>
            <w:top w:val="none" w:sz="0" w:space="0" w:color="auto"/>
            <w:left w:val="none" w:sz="0" w:space="0" w:color="auto"/>
            <w:bottom w:val="none" w:sz="0" w:space="0" w:color="auto"/>
            <w:right w:val="none" w:sz="0" w:space="0" w:color="auto"/>
          </w:divBdr>
        </w:div>
        <w:div w:id="960451256">
          <w:marLeft w:val="640"/>
          <w:marRight w:val="0"/>
          <w:marTop w:val="0"/>
          <w:marBottom w:val="0"/>
          <w:divBdr>
            <w:top w:val="none" w:sz="0" w:space="0" w:color="auto"/>
            <w:left w:val="none" w:sz="0" w:space="0" w:color="auto"/>
            <w:bottom w:val="none" w:sz="0" w:space="0" w:color="auto"/>
            <w:right w:val="none" w:sz="0" w:space="0" w:color="auto"/>
          </w:divBdr>
        </w:div>
        <w:div w:id="1445686426">
          <w:marLeft w:val="640"/>
          <w:marRight w:val="0"/>
          <w:marTop w:val="0"/>
          <w:marBottom w:val="0"/>
          <w:divBdr>
            <w:top w:val="none" w:sz="0" w:space="0" w:color="auto"/>
            <w:left w:val="none" w:sz="0" w:space="0" w:color="auto"/>
            <w:bottom w:val="none" w:sz="0" w:space="0" w:color="auto"/>
            <w:right w:val="none" w:sz="0" w:space="0" w:color="auto"/>
          </w:divBdr>
        </w:div>
        <w:div w:id="1921284302">
          <w:marLeft w:val="640"/>
          <w:marRight w:val="0"/>
          <w:marTop w:val="0"/>
          <w:marBottom w:val="0"/>
          <w:divBdr>
            <w:top w:val="none" w:sz="0" w:space="0" w:color="auto"/>
            <w:left w:val="none" w:sz="0" w:space="0" w:color="auto"/>
            <w:bottom w:val="none" w:sz="0" w:space="0" w:color="auto"/>
            <w:right w:val="none" w:sz="0" w:space="0" w:color="auto"/>
          </w:divBdr>
        </w:div>
        <w:div w:id="1071544930">
          <w:marLeft w:val="640"/>
          <w:marRight w:val="0"/>
          <w:marTop w:val="0"/>
          <w:marBottom w:val="0"/>
          <w:divBdr>
            <w:top w:val="none" w:sz="0" w:space="0" w:color="auto"/>
            <w:left w:val="none" w:sz="0" w:space="0" w:color="auto"/>
            <w:bottom w:val="none" w:sz="0" w:space="0" w:color="auto"/>
            <w:right w:val="none" w:sz="0" w:space="0" w:color="auto"/>
          </w:divBdr>
        </w:div>
        <w:div w:id="1959801440">
          <w:marLeft w:val="640"/>
          <w:marRight w:val="0"/>
          <w:marTop w:val="0"/>
          <w:marBottom w:val="0"/>
          <w:divBdr>
            <w:top w:val="none" w:sz="0" w:space="0" w:color="auto"/>
            <w:left w:val="none" w:sz="0" w:space="0" w:color="auto"/>
            <w:bottom w:val="none" w:sz="0" w:space="0" w:color="auto"/>
            <w:right w:val="none" w:sz="0" w:space="0" w:color="auto"/>
          </w:divBdr>
        </w:div>
        <w:div w:id="145706838">
          <w:marLeft w:val="640"/>
          <w:marRight w:val="0"/>
          <w:marTop w:val="0"/>
          <w:marBottom w:val="0"/>
          <w:divBdr>
            <w:top w:val="none" w:sz="0" w:space="0" w:color="auto"/>
            <w:left w:val="none" w:sz="0" w:space="0" w:color="auto"/>
            <w:bottom w:val="none" w:sz="0" w:space="0" w:color="auto"/>
            <w:right w:val="none" w:sz="0" w:space="0" w:color="auto"/>
          </w:divBdr>
        </w:div>
        <w:div w:id="1317762005">
          <w:marLeft w:val="640"/>
          <w:marRight w:val="0"/>
          <w:marTop w:val="0"/>
          <w:marBottom w:val="0"/>
          <w:divBdr>
            <w:top w:val="none" w:sz="0" w:space="0" w:color="auto"/>
            <w:left w:val="none" w:sz="0" w:space="0" w:color="auto"/>
            <w:bottom w:val="none" w:sz="0" w:space="0" w:color="auto"/>
            <w:right w:val="none" w:sz="0" w:space="0" w:color="auto"/>
          </w:divBdr>
        </w:div>
        <w:div w:id="1579513113">
          <w:marLeft w:val="640"/>
          <w:marRight w:val="0"/>
          <w:marTop w:val="0"/>
          <w:marBottom w:val="0"/>
          <w:divBdr>
            <w:top w:val="none" w:sz="0" w:space="0" w:color="auto"/>
            <w:left w:val="none" w:sz="0" w:space="0" w:color="auto"/>
            <w:bottom w:val="none" w:sz="0" w:space="0" w:color="auto"/>
            <w:right w:val="none" w:sz="0" w:space="0" w:color="auto"/>
          </w:divBdr>
        </w:div>
        <w:div w:id="522132543">
          <w:marLeft w:val="640"/>
          <w:marRight w:val="0"/>
          <w:marTop w:val="0"/>
          <w:marBottom w:val="0"/>
          <w:divBdr>
            <w:top w:val="none" w:sz="0" w:space="0" w:color="auto"/>
            <w:left w:val="none" w:sz="0" w:space="0" w:color="auto"/>
            <w:bottom w:val="none" w:sz="0" w:space="0" w:color="auto"/>
            <w:right w:val="none" w:sz="0" w:space="0" w:color="auto"/>
          </w:divBdr>
        </w:div>
        <w:div w:id="8802985">
          <w:marLeft w:val="640"/>
          <w:marRight w:val="0"/>
          <w:marTop w:val="0"/>
          <w:marBottom w:val="0"/>
          <w:divBdr>
            <w:top w:val="none" w:sz="0" w:space="0" w:color="auto"/>
            <w:left w:val="none" w:sz="0" w:space="0" w:color="auto"/>
            <w:bottom w:val="none" w:sz="0" w:space="0" w:color="auto"/>
            <w:right w:val="none" w:sz="0" w:space="0" w:color="auto"/>
          </w:divBdr>
        </w:div>
        <w:div w:id="662901952">
          <w:marLeft w:val="640"/>
          <w:marRight w:val="0"/>
          <w:marTop w:val="0"/>
          <w:marBottom w:val="0"/>
          <w:divBdr>
            <w:top w:val="none" w:sz="0" w:space="0" w:color="auto"/>
            <w:left w:val="none" w:sz="0" w:space="0" w:color="auto"/>
            <w:bottom w:val="none" w:sz="0" w:space="0" w:color="auto"/>
            <w:right w:val="none" w:sz="0" w:space="0" w:color="auto"/>
          </w:divBdr>
        </w:div>
        <w:div w:id="1264611959">
          <w:marLeft w:val="640"/>
          <w:marRight w:val="0"/>
          <w:marTop w:val="0"/>
          <w:marBottom w:val="0"/>
          <w:divBdr>
            <w:top w:val="none" w:sz="0" w:space="0" w:color="auto"/>
            <w:left w:val="none" w:sz="0" w:space="0" w:color="auto"/>
            <w:bottom w:val="none" w:sz="0" w:space="0" w:color="auto"/>
            <w:right w:val="none" w:sz="0" w:space="0" w:color="auto"/>
          </w:divBdr>
        </w:div>
        <w:div w:id="1747875842">
          <w:marLeft w:val="640"/>
          <w:marRight w:val="0"/>
          <w:marTop w:val="0"/>
          <w:marBottom w:val="0"/>
          <w:divBdr>
            <w:top w:val="none" w:sz="0" w:space="0" w:color="auto"/>
            <w:left w:val="none" w:sz="0" w:space="0" w:color="auto"/>
            <w:bottom w:val="none" w:sz="0" w:space="0" w:color="auto"/>
            <w:right w:val="none" w:sz="0" w:space="0" w:color="auto"/>
          </w:divBdr>
        </w:div>
      </w:divsChild>
    </w:div>
    <w:div w:id="650721703">
      <w:bodyDiv w:val="1"/>
      <w:marLeft w:val="0"/>
      <w:marRight w:val="0"/>
      <w:marTop w:val="0"/>
      <w:marBottom w:val="0"/>
      <w:divBdr>
        <w:top w:val="none" w:sz="0" w:space="0" w:color="auto"/>
        <w:left w:val="none" w:sz="0" w:space="0" w:color="auto"/>
        <w:bottom w:val="none" w:sz="0" w:space="0" w:color="auto"/>
        <w:right w:val="none" w:sz="0" w:space="0" w:color="auto"/>
      </w:divBdr>
      <w:divsChild>
        <w:div w:id="1987393991">
          <w:marLeft w:val="640"/>
          <w:marRight w:val="0"/>
          <w:marTop w:val="0"/>
          <w:marBottom w:val="0"/>
          <w:divBdr>
            <w:top w:val="none" w:sz="0" w:space="0" w:color="auto"/>
            <w:left w:val="none" w:sz="0" w:space="0" w:color="auto"/>
            <w:bottom w:val="none" w:sz="0" w:space="0" w:color="auto"/>
            <w:right w:val="none" w:sz="0" w:space="0" w:color="auto"/>
          </w:divBdr>
        </w:div>
        <w:div w:id="615449074">
          <w:marLeft w:val="640"/>
          <w:marRight w:val="0"/>
          <w:marTop w:val="0"/>
          <w:marBottom w:val="0"/>
          <w:divBdr>
            <w:top w:val="none" w:sz="0" w:space="0" w:color="auto"/>
            <w:left w:val="none" w:sz="0" w:space="0" w:color="auto"/>
            <w:bottom w:val="none" w:sz="0" w:space="0" w:color="auto"/>
            <w:right w:val="none" w:sz="0" w:space="0" w:color="auto"/>
          </w:divBdr>
        </w:div>
        <w:div w:id="1901674762">
          <w:marLeft w:val="640"/>
          <w:marRight w:val="0"/>
          <w:marTop w:val="0"/>
          <w:marBottom w:val="0"/>
          <w:divBdr>
            <w:top w:val="none" w:sz="0" w:space="0" w:color="auto"/>
            <w:left w:val="none" w:sz="0" w:space="0" w:color="auto"/>
            <w:bottom w:val="none" w:sz="0" w:space="0" w:color="auto"/>
            <w:right w:val="none" w:sz="0" w:space="0" w:color="auto"/>
          </w:divBdr>
        </w:div>
        <w:div w:id="727922917">
          <w:marLeft w:val="640"/>
          <w:marRight w:val="0"/>
          <w:marTop w:val="0"/>
          <w:marBottom w:val="0"/>
          <w:divBdr>
            <w:top w:val="none" w:sz="0" w:space="0" w:color="auto"/>
            <w:left w:val="none" w:sz="0" w:space="0" w:color="auto"/>
            <w:bottom w:val="none" w:sz="0" w:space="0" w:color="auto"/>
            <w:right w:val="none" w:sz="0" w:space="0" w:color="auto"/>
          </w:divBdr>
        </w:div>
        <w:div w:id="1671175432">
          <w:marLeft w:val="640"/>
          <w:marRight w:val="0"/>
          <w:marTop w:val="0"/>
          <w:marBottom w:val="0"/>
          <w:divBdr>
            <w:top w:val="none" w:sz="0" w:space="0" w:color="auto"/>
            <w:left w:val="none" w:sz="0" w:space="0" w:color="auto"/>
            <w:bottom w:val="none" w:sz="0" w:space="0" w:color="auto"/>
            <w:right w:val="none" w:sz="0" w:space="0" w:color="auto"/>
          </w:divBdr>
        </w:div>
        <w:div w:id="838927299">
          <w:marLeft w:val="640"/>
          <w:marRight w:val="0"/>
          <w:marTop w:val="0"/>
          <w:marBottom w:val="0"/>
          <w:divBdr>
            <w:top w:val="none" w:sz="0" w:space="0" w:color="auto"/>
            <w:left w:val="none" w:sz="0" w:space="0" w:color="auto"/>
            <w:bottom w:val="none" w:sz="0" w:space="0" w:color="auto"/>
            <w:right w:val="none" w:sz="0" w:space="0" w:color="auto"/>
          </w:divBdr>
        </w:div>
        <w:div w:id="200677176">
          <w:marLeft w:val="640"/>
          <w:marRight w:val="0"/>
          <w:marTop w:val="0"/>
          <w:marBottom w:val="0"/>
          <w:divBdr>
            <w:top w:val="none" w:sz="0" w:space="0" w:color="auto"/>
            <w:left w:val="none" w:sz="0" w:space="0" w:color="auto"/>
            <w:bottom w:val="none" w:sz="0" w:space="0" w:color="auto"/>
            <w:right w:val="none" w:sz="0" w:space="0" w:color="auto"/>
          </w:divBdr>
        </w:div>
        <w:div w:id="1403411117">
          <w:marLeft w:val="640"/>
          <w:marRight w:val="0"/>
          <w:marTop w:val="0"/>
          <w:marBottom w:val="0"/>
          <w:divBdr>
            <w:top w:val="none" w:sz="0" w:space="0" w:color="auto"/>
            <w:left w:val="none" w:sz="0" w:space="0" w:color="auto"/>
            <w:bottom w:val="none" w:sz="0" w:space="0" w:color="auto"/>
            <w:right w:val="none" w:sz="0" w:space="0" w:color="auto"/>
          </w:divBdr>
        </w:div>
        <w:div w:id="1836997879">
          <w:marLeft w:val="640"/>
          <w:marRight w:val="0"/>
          <w:marTop w:val="0"/>
          <w:marBottom w:val="0"/>
          <w:divBdr>
            <w:top w:val="none" w:sz="0" w:space="0" w:color="auto"/>
            <w:left w:val="none" w:sz="0" w:space="0" w:color="auto"/>
            <w:bottom w:val="none" w:sz="0" w:space="0" w:color="auto"/>
            <w:right w:val="none" w:sz="0" w:space="0" w:color="auto"/>
          </w:divBdr>
        </w:div>
        <w:div w:id="196432715">
          <w:marLeft w:val="640"/>
          <w:marRight w:val="0"/>
          <w:marTop w:val="0"/>
          <w:marBottom w:val="0"/>
          <w:divBdr>
            <w:top w:val="none" w:sz="0" w:space="0" w:color="auto"/>
            <w:left w:val="none" w:sz="0" w:space="0" w:color="auto"/>
            <w:bottom w:val="none" w:sz="0" w:space="0" w:color="auto"/>
            <w:right w:val="none" w:sz="0" w:space="0" w:color="auto"/>
          </w:divBdr>
        </w:div>
        <w:div w:id="1397163458">
          <w:marLeft w:val="640"/>
          <w:marRight w:val="0"/>
          <w:marTop w:val="0"/>
          <w:marBottom w:val="0"/>
          <w:divBdr>
            <w:top w:val="none" w:sz="0" w:space="0" w:color="auto"/>
            <w:left w:val="none" w:sz="0" w:space="0" w:color="auto"/>
            <w:bottom w:val="none" w:sz="0" w:space="0" w:color="auto"/>
            <w:right w:val="none" w:sz="0" w:space="0" w:color="auto"/>
          </w:divBdr>
        </w:div>
        <w:div w:id="2112434751">
          <w:marLeft w:val="640"/>
          <w:marRight w:val="0"/>
          <w:marTop w:val="0"/>
          <w:marBottom w:val="0"/>
          <w:divBdr>
            <w:top w:val="none" w:sz="0" w:space="0" w:color="auto"/>
            <w:left w:val="none" w:sz="0" w:space="0" w:color="auto"/>
            <w:bottom w:val="none" w:sz="0" w:space="0" w:color="auto"/>
            <w:right w:val="none" w:sz="0" w:space="0" w:color="auto"/>
          </w:divBdr>
        </w:div>
        <w:div w:id="1249922714">
          <w:marLeft w:val="640"/>
          <w:marRight w:val="0"/>
          <w:marTop w:val="0"/>
          <w:marBottom w:val="0"/>
          <w:divBdr>
            <w:top w:val="none" w:sz="0" w:space="0" w:color="auto"/>
            <w:left w:val="none" w:sz="0" w:space="0" w:color="auto"/>
            <w:bottom w:val="none" w:sz="0" w:space="0" w:color="auto"/>
            <w:right w:val="none" w:sz="0" w:space="0" w:color="auto"/>
          </w:divBdr>
        </w:div>
        <w:div w:id="635575088">
          <w:marLeft w:val="640"/>
          <w:marRight w:val="0"/>
          <w:marTop w:val="0"/>
          <w:marBottom w:val="0"/>
          <w:divBdr>
            <w:top w:val="none" w:sz="0" w:space="0" w:color="auto"/>
            <w:left w:val="none" w:sz="0" w:space="0" w:color="auto"/>
            <w:bottom w:val="none" w:sz="0" w:space="0" w:color="auto"/>
            <w:right w:val="none" w:sz="0" w:space="0" w:color="auto"/>
          </w:divBdr>
        </w:div>
        <w:div w:id="1689915748">
          <w:marLeft w:val="640"/>
          <w:marRight w:val="0"/>
          <w:marTop w:val="0"/>
          <w:marBottom w:val="0"/>
          <w:divBdr>
            <w:top w:val="none" w:sz="0" w:space="0" w:color="auto"/>
            <w:left w:val="none" w:sz="0" w:space="0" w:color="auto"/>
            <w:bottom w:val="none" w:sz="0" w:space="0" w:color="auto"/>
            <w:right w:val="none" w:sz="0" w:space="0" w:color="auto"/>
          </w:divBdr>
        </w:div>
        <w:div w:id="1614704109">
          <w:marLeft w:val="640"/>
          <w:marRight w:val="0"/>
          <w:marTop w:val="0"/>
          <w:marBottom w:val="0"/>
          <w:divBdr>
            <w:top w:val="none" w:sz="0" w:space="0" w:color="auto"/>
            <w:left w:val="none" w:sz="0" w:space="0" w:color="auto"/>
            <w:bottom w:val="none" w:sz="0" w:space="0" w:color="auto"/>
            <w:right w:val="none" w:sz="0" w:space="0" w:color="auto"/>
          </w:divBdr>
        </w:div>
        <w:div w:id="659234100">
          <w:marLeft w:val="640"/>
          <w:marRight w:val="0"/>
          <w:marTop w:val="0"/>
          <w:marBottom w:val="0"/>
          <w:divBdr>
            <w:top w:val="none" w:sz="0" w:space="0" w:color="auto"/>
            <w:left w:val="none" w:sz="0" w:space="0" w:color="auto"/>
            <w:bottom w:val="none" w:sz="0" w:space="0" w:color="auto"/>
            <w:right w:val="none" w:sz="0" w:space="0" w:color="auto"/>
          </w:divBdr>
        </w:div>
        <w:div w:id="1286888369">
          <w:marLeft w:val="640"/>
          <w:marRight w:val="0"/>
          <w:marTop w:val="0"/>
          <w:marBottom w:val="0"/>
          <w:divBdr>
            <w:top w:val="none" w:sz="0" w:space="0" w:color="auto"/>
            <w:left w:val="none" w:sz="0" w:space="0" w:color="auto"/>
            <w:bottom w:val="none" w:sz="0" w:space="0" w:color="auto"/>
            <w:right w:val="none" w:sz="0" w:space="0" w:color="auto"/>
          </w:divBdr>
        </w:div>
        <w:div w:id="428894878">
          <w:marLeft w:val="640"/>
          <w:marRight w:val="0"/>
          <w:marTop w:val="0"/>
          <w:marBottom w:val="0"/>
          <w:divBdr>
            <w:top w:val="none" w:sz="0" w:space="0" w:color="auto"/>
            <w:left w:val="none" w:sz="0" w:space="0" w:color="auto"/>
            <w:bottom w:val="none" w:sz="0" w:space="0" w:color="auto"/>
            <w:right w:val="none" w:sz="0" w:space="0" w:color="auto"/>
          </w:divBdr>
        </w:div>
        <w:div w:id="707099260">
          <w:marLeft w:val="640"/>
          <w:marRight w:val="0"/>
          <w:marTop w:val="0"/>
          <w:marBottom w:val="0"/>
          <w:divBdr>
            <w:top w:val="none" w:sz="0" w:space="0" w:color="auto"/>
            <w:left w:val="none" w:sz="0" w:space="0" w:color="auto"/>
            <w:bottom w:val="none" w:sz="0" w:space="0" w:color="auto"/>
            <w:right w:val="none" w:sz="0" w:space="0" w:color="auto"/>
          </w:divBdr>
        </w:div>
        <w:div w:id="1047951642">
          <w:marLeft w:val="640"/>
          <w:marRight w:val="0"/>
          <w:marTop w:val="0"/>
          <w:marBottom w:val="0"/>
          <w:divBdr>
            <w:top w:val="none" w:sz="0" w:space="0" w:color="auto"/>
            <w:left w:val="none" w:sz="0" w:space="0" w:color="auto"/>
            <w:bottom w:val="none" w:sz="0" w:space="0" w:color="auto"/>
            <w:right w:val="none" w:sz="0" w:space="0" w:color="auto"/>
          </w:divBdr>
        </w:div>
        <w:div w:id="183445425">
          <w:marLeft w:val="640"/>
          <w:marRight w:val="0"/>
          <w:marTop w:val="0"/>
          <w:marBottom w:val="0"/>
          <w:divBdr>
            <w:top w:val="none" w:sz="0" w:space="0" w:color="auto"/>
            <w:left w:val="none" w:sz="0" w:space="0" w:color="auto"/>
            <w:bottom w:val="none" w:sz="0" w:space="0" w:color="auto"/>
            <w:right w:val="none" w:sz="0" w:space="0" w:color="auto"/>
          </w:divBdr>
        </w:div>
        <w:div w:id="1635864730">
          <w:marLeft w:val="640"/>
          <w:marRight w:val="0"/>
          <w:marTop w:val="0"/>
          <w:marBottom w:val="0"/>
          <w:divBdr>
            <w:top w:val="none" w:sz="0" w:space="0" w:color="auto"/>
            <w:left w:val="none" w:sz="0" w:space="0" w:color="auto"/>
            <w:bottom w:val="none" w:sz="0" w:space="0" w:color="auto"/>
            <w:right w:val="none" w:sz="0" w:space="0" w:color="auto"/>
          </w:divBdr>
        </w:div>
        <w:div w:id="466627521">
          <w:marLeft w:val="640"/>
          <w:marRight w:val="0"/>
          <w:marTop w:val="0"/>
          <w:marBottom w:val="0"/>
          <w:divBdr>
            <w:top w:val="none" w:sz="0" w:space="0" w:color="auto"/>
            <w:left w:val="none" w:sz="0" w:space="0" w:color="auto"/>
            <w:bottom w:val="none" w:sz="0" w:space="0" w:color="auto"/>
            <w:right w:val="none" w:sz="0" w:space="0" w:color="auto"/>
          </w:divBdr>
        </w:div>
        <w:div w:id="1686203334">
          <w:marLeft w:val="640"/>
          <w:marRight w:val="0"/>
          <w:marTop w:val="0"/>
          <w:marBottom w:val="0"/>
          <w:divBdr>
            <w:top w:val="none" w:sz="0" w:space="0" w:color="auto"/>
            <w:left w:val="none" w:sz="0" w:space="0" w:color="auto"/>
            <w:bottom w:val="none" w:sz="0" w:space="0" w:color="auto"/>
            <w:right w:val="none" w:sz="0" w:space="0" w:color="auto"/>
          </w:divBdr>
        </w:div>
        <w:div w:id="833031464">
          <w:marLeft w:val="640"/>
          <w:marRight w:val="0"/>
          <w:marTop w:val="0"/>
          <w:marBottom w:val="0"/>
          <w:divBdr>
            <w:top w:val="none" w:sz="0" w:space="0" w:color="auto"/>
            <w:left w:val="none" w:sz="0" w:space="0" w:color="auto"/>
            <w:bottom w:val="none" w:sz="0" w:space="0" w:color="auto"/>
            <w:right w:val="none" w:sz="0" w:space="0" w:color="auto"/>
          </w:divBdr>
        </w:div>
        <w:div w:id="502941818">
          <w:marLeft w:val="640"/>
          <w:marRight w:val="0"/>
          <w:marTop w:val="0"/>
          <w:marBottom w:val="0"/>
          <w:divBdr>
            <w:top w:val="none" w:sz="0" w:space="0" w:color="auto"/>
            <w:left w:val="none" w:sz="0" w:space="0" w:color="auto"/>
            <w:bottom w:val="none" w:sz="0" w:space="0" w:color="auto"/>
            <w:right w:val="none" w:sz="0" w:space="0" w:color="auto"/>
          </w:divBdr>
        </w:div>
        <w:div w:id="673189780">
          <w:marLeft w:val="640"/>
          <w:marRight w:val="0"/>
          <w:marTop w:val="0"/>
          <w:marBottom w:val="0"/>
          <w:divBdr>
            <w:top w:val="none" w:sz="0" w:space="0" w:color="auto"/>
            <w:left w:val="none" w:sz="0" w:space="0" w:color="auto"/>
            <w:bottom w:val="none" w:sz="0" w:space="0" w:color="auto"/>
            <w:right w:val="none" w:sz="0" w:space="0" w:color="auto"/>
          </w:divBdr>
        </w:div>
        <w:div w:id="1454714505">
          <w:marLeft w:val="640"/>
          <w:marRight w:val="0"/>
          <w:marTop w:val="0"/>
          <w:marBottom w:val="0"/>
          <w:divBdr>
            <w:top w:val="none" w:sz="0" w:space="0" w:color="auto"/>
            <w:left w:val="none" w:sz="0" w:space="0" w:color="auto"/>
            <w:bottom w:val="none" w:sz="0" w:space="0" w:color="auto"/>
            <w:right w:val="none" w:sz="0" w:space="0" w:color="auto"/>
          </w:divBdr>
        </w:div>
        <w:div w:id="1990094348">
          <w:marLeft w:val="640"/>
          <w:marRight w:val="0"/>
          <w:marTop w:val="0"/>
          <w:marBottom w:val="0"/>
          <w:divBdr>
            <w:top w:val="none" w:sz="0" w:space="0" w:color="auto"/>
            <w:left w:val="none" w:sz="0" w:space="0" w:color="auto"/>
            <w:bottom w:val="none" w:sz="0" w:space="0" w:color="auto"/>
            <w:right w:val="none" w:sz="0" w:space="0" w:color="auto"/>
          </w:divBdr>
        </w:div>
        <w:div w:id="411701154">
          <w:marLeft w:val="640"/>
          <w:marRight w:val="0"/>
          <w:marTop w:val="0"/>
          <w:marBottom w:val="0"/>
          <w:divBdr>
            <w:top w:val="none" w:sz="0" w:space="0" w:color="auto"/>
            <w:left w:val="none" w:sz="0" w:space="0" w:color="auto"/>
            <w:bottom w:val="none" w:sz="0" w:space="0" w:color="auto"/>
            <w:right w:val="none" w:sz="0" w:space="0" w:color="auto"/>
          </w:divBdr>
        </w:div>
        <w:div w:id="606735824">
          <w:marLeft w:val="640"/>
          <w:marRight w:val="0"/>
          <w:marTop w:val="0"/>
          <w:marBottom w:val="0"/>
          <w:divBdr>
            <w:top w:val="none" w:sz="0" w:space="0" w:color="auto"/>
            <w:left w:val="none" w:sz="0" w:space="0" w:color="auto"/>
            <w:bottom w:val="none" w:sz="0" w:space="0" w:color="auto"/>
            <w:right w:val="none" w:sz="0" w:space="0" w:color="auto"/>
          </w:divBdr>
        </w:div>
        <w:div w:id="1250314206">
          <w:marLeft w:val="640"/>
          <w:marRight w:val="0"/>
          <w:marTop w:val="0"/>
          <w:marBottom w:val="0"/>
          <w:divBdr>
            <w:top w:val="none" w:sz="0" w:space="0" w:color="auto"/>
            <w:left w:val="none" w:sz="0" w:space="0" w:color="auto"/>
            <w:bottom w:val="none" w:sz="0" w:space="0" w:color="auto"/>
            <w:right w:val="none" w:sz="0" w:space="0" w:color="auto"/>
          </w:divBdr>
        </w:div>
        <w:div w:id="1703631509">
          <w:marLeft w:val="640"/>
          <w:marRight w:val="0"/>
          <w:marTop w:val="0"/>
          <w:marBottom w:val="0"/>
          <w:divBdr>
            <w:top w:val="none" w:sz="0" w:space="0" w:color="auto"/>
            <w:left w:val="none" w:sz="0" w:space="0" w:color="auto"/>
            <w:bottom w:val="none" w:sz="0" w:space="0" w:color="auto"/>
            <w:right w:val="none" w:sz="0" w:space="0" w:color="auto"/>
          </w:divBdr>
        </w:div>
        <w:div w:id="1327902416">
          <w:marLeft w:val="640"/>
          <w:marRight w:val="0"/>
          <w:marTop w:val="0"/>
          <w:marBottom w:val="0"/>
          <w:divBdr>
            <w:top w:val="none" w:sz="0" w:space="0" w:color="auto"/>
            <w:left w:val="none" w:sz="0" w:space="0" w:color="auto"/>
            <w:bottom w:val="none" w:sz="0" w:space="0" w:color="auto"/>
            <w:right w:val="none" w:sz="0" w:space="0" w:color="auto"/>
          </w:divBdr>
        </w:div>
        <w:div w:id="1929998008">
          <w:marLeft w:val="640"/>
          <w:marRight w:val="0"/>
          <w:marTop w:val="0"/>
          <w:marBottom w:val="0"/>
          <w:divBdr>
            <w:top w:val="none" w:sz="0" w:space="0" w:color="auto"/>
            <w:left w:val="none" w:sz="0" w:space="0" w:color="auto"/>
            <w:bottom w:val="none" w:sz="0" w:space="0" w:color="auto"/>
            <w:right w:val="none" w:sz="0" w:space="0" w:color="auto"/>
          </w:divBdr>
        </w:div>
        <w:div w:id="1404402934">
          <w:marLeft w:val="640"/>
          <w:marRight w:val="0"/>
          <w:marTop w:val="0"/>
          <w:marBottom w:val="0"/>
          <w:divBdr>
            <w:top w:val="none" w:sz="0" w:space="0" w:color="auto"/>
            <w:left w:val="none" w:sz="0" w:space="0" w:color="auto"/>
            <w:bottom w:val="none" w:sz="0" w:space="0" w:color="auto"/>
            <w:right w:val="none" w:sz="0" w:space="0" w:color="auto"/>
          </w:divBdr>
        </w:div>
        <w:div w:id="1113330061">
          <w:marLeft w:val="640"/>
          <w:marRight w:val="0"/>
          <w:marTop w:val="0"/>
          <w:marBottom w:val="0"/>
          <w:divBdr>
            <w:top w:val="none" w:sz="0" w:space="0" w:color="auto"/>
            <w:left w:val="none" w:sz="0" w:space="0" w:color="auto"/>
            <w:bottom w:val="none" w:sz="0" w:space="0" w:color="auto"/>
            <w:right w:val="none" w:sz="0" w:space="0" w:color="auto"/>
          </w:divBdr>
        </w:div>
        <w:div w:id="1438410416">
          <w:marLeft w:val="640"/>
          <w:marRight w:val="0"/>
          <w:marTop w:val="0"/>
          <w:marBottom w:val="0"/>
          <w:divBdr>
            <w:top w:val="none" w:sz="0" w:space="0" w:color="auto"/>
            <w:left w:val="none" w:sz="0" w:space="0" w:color="auto"/>
            <w:bottom w:val="none" w:sz="0" w:space="0" w:color="auto"/>
            <w:right w:val="none" w:sz="0" w:space="0" w:color="auto"/>
          </w:divBdr>
        </w:div>
        <w:div w:id="964047341">
          <w:marLeft w:val="640"/>
          <w:marRight w:val="0"/>
          <w:marTop w:val="0"/>
          <w:marBottom w:val="0"/>
          <w:divBdr>
            <w:top w:val="none" w:sz="0" w:space="0" w:color="auto"/>
            <w:left w:val="none" w:sz="0" w:space="0" w:color="auto"/>
            <w:bottom w:val="none" w:sz="0" w:space="0" w:color="auto"/>
            <w:right w:val="none" w:sz="0" w:space="0" w:color="auto"/>
          </w:divBdr>
        </w:div>
        <w:div w:id="1114251428">
          <w:marLeft w:val="640"/>
          <w:marRight w:val="0"/>
          <w:marTop w:val="0"/>
          <w:marBottom w:val="0"/>
          <w:divBdr>
            <w:top w:val="none" w:sz="0" w:space="0" w:color="auto"/>
            <w:left w:val="none" w:sz="0" w:space="0" w:color="auto"/>
            <w:bottom w:val="none" w:sz="0" w:space="0" w:color="auto"/>
            <w:right w:val="none" w:sz="0" w:space="0" w:color="auto"/>
          </w:divBdr>
        </w:div>
        <w:div w:id="1149901695">
          <w:marLeft w:val="640"/>
          <w:marRight w:val="0"/>
          <w:marTop w:val="0"/>
          <w:marBottom w:val="0"/>
          <w:divBdr>
            <w:top w:val="none" w:sz="0" w:space="0" w:color="auto"/>
            <w:left w:val="none" w:sz="0" w:space="0" w:color="auto"/>
            <w:bottom w:val="none" w:sz="0" w:space="0" w:color="auto"/>
            <w:right w:val="none" w:sz="0" w:space="0" w:color="auto"/>
          </w:divBdr>
        </w:div>
        <w:div w:id="170612411">
          <w:marLeft w:val="640"/>
          <w:marRight w:val="0"/>
          <w:marTop w:val="0"/>
          <w:marBottom w:val="0"/>
          <w:divBdr>
            <w:top w:val="none" w:sz="0" w:space="0" w:color="auto"/>
            <w:left w:val="none" w:sz="0" w:space="0" w:color="auto"/>
            <w:bottom w:val="none" w:sz="0" w:space="0" w:color="auto"/>
            <w:right w:val="none" w:sz="0" w:space="0" w:color="auto"/>
          </w:divBdr>
        </w:div>
        <w:div w:id="421756896">
          <w:marLeft w:val="640"/>
          <w:marRight w:val="0"/>
          <w:marTop w:val="0"/>
          <w:marBottom w:val="0"/>
          <w:divBdr>
            <w:top w:val="none" w:sz="0" w:space="0" w:color="auto"/>
            <w:left w:val="none" w:sz="0" w:space="0" w:color="auto"/>
            <w:bottom w:val="none" w:sz="0" w:space="0" w:color="auto"/>
            <w:right w:val="none" w:sz="0" w:space="0" w:color="auto"/>
          </w:divBdr>
        </w:div>
        <w:div w:id="327515318">
          <w:marLeft w:val="640"/>
          <w:marRight w:val="0"/>
          <w:marTop w:val="0"/>
          <w:marBottom w:val="0"/>
          <w:divBdr>
            <w:top w:val="none" w:sz="0" w:space="0" w:color="auto"/>
            <w:left w:val="none" w:sz="0" w:space="0" w:color="auto"/>
            <w:bottom w:val="none" w:sz="0" w:space="0" w:color="auto"/>
            <w:right w:val="none" w:sz="0" w:space="0" w:color="auto"/>
          </w:divBdr>
        </w:div>
        <w:div w:id="1397437277">
          <w:marLeft w:val="640"/>
          <w:marRight w:val="0"/>
          <w:marTop w:val="0"/>
          <w:marBottom w:val="0"/>
          <w:divBdr>
            <w:top w:val="none" w:sz="0" w:space="0" w:color="auto"/>
            <w:left w:val="none" w:sz="0" w:space="0" w:color="auto"/>
            <w:bottom w:val="none" w:sz="0" w:space="0" w:color="auto"/>
            <w:right w:val="none" w:sz="0" w:space="0" w:color="auto"/>
          </w:divBdr>
        </w:div>
        <w:div w:id="911934184">
          <w:marLeft w:val="640"/>
          <w:marRight w:val="0"/>
          <w:marTop w:val="0"/>
          <w:marBottom w:val="0"/>
          <w:divBdr>
            <w:top w:val="none" w:sz="0" w:space="0" w:color="auto"/>
            <w:left w:val="none" w:sz="0" w:space="0" w:color="auto"/>
            <w:bottom w:val="none" w:sz="0" w:space="0" w:color="auto"/>
            <w:right w:val="none" w:sz="0" w:space="0" w:color="auto"/>
          </w:divBdr>
        </w:div>
        <w:div w:id="517162905">
          <w:marLeft w:val="640"/>
          <w:marRight w:val="0"/>
          <w:marTop w:val="0"/>
          <w:marBottom w:val="0"/>
          <w:divBdr>
            <w:top w:val="none" w:sz="0" w:space="0" w:color="auto"/>
            <w:left w:val="none" w:sz="0" w:space="0" w:color="auto"/>
            <w:bottom w:val="none" w:sz="0" w:space="0" w:color="auto"/>
            <w:right w:val="none" w:sz="0" w:space="0" w:color="auto"/>
          </w:divBdr>
        </w:div>
        <w:div w:id="695808670">
          <w:marLeft w:val="640"/>
          <w:marRight w:val="0"/>
          <w:marTop w:val="0"/>
          <w:marBottom w:val="0"/>
          <w:divBdr>
            <w:top w:val="none" w:sz="0" w:space="0" w:color="auto"/>
            <w:left w:val="none" w:sz="0" w:space="0" w:color="auto"/>
            <w:bottom w:val="none" w:sz="0" w:space="0" w:color="auto"/>
            <w:right w:val="none" w:sz="0" w:space="0" w:color="auto"/>
          </w:divBdr>
        </w:div>
        <w:div w:id="795412903">
          <w:marLeft w:val="640"/>
          <w:marRight w:val="0"/>
          <w:marTop w:val="0"/>
          <w:marBottom w:val="0"/>
          <w:divBdr>
            <w:top w:val="none" w:sz="0" w:space="0" w:color="auto"/>
            <w:left w:val="none" w:sz="0" w:space="0" w:color="auto"/>
            <w:bottom w:val="none" w:sz="0" w:space="0" w:color="auto"/>
            <w:right w:val="none" w:sz="0" w:space="0" w:color="auto"/>
          </w:divBdr>
        </w:div>
        <w:div w:id="1300917116">
          <w:marLeft w:val="640"/>
          <w:marRight w:val="0"/>
          <w:marTop w:val="0"/>
          <w:marBottom w:val="0"/>
          <w:divBdr>
            <w:top w:val="none" w:sz="0" w:space="0" w:color="auto"/>
            <w:left w:val="none" w:sz="0" w:space="0" w:color="auto"/>
            <w:bottom w:val="none" w:sz="0" w:space="0" w:color="auto"/>
            <w:right w:val="none" w:sz="0" w:space="0" w:color="auto"/>
          </w:divBdr>
        </w:div>
        <w:div w:id="1186939106">
          <w:marLeft w:val="640"/>
          <w:marRight w:val="0"/>
          <w:marTop w:val="0"/>
          <w:marBottom w:val="0"/>
          <w:divBdr>
            <w:top w:val="none" w:sz="0" w:space="0" w:color="auto"/>
            <w:left w:val="none" w:sz="0" w:space="0" w:color="auto"/>
            <w:bottom w:val="none" w:sz="0" w:space="0" w:color="auto"/>
            <w:right w:val="none" w:sz="0" w:space="0" w:color="auto"/>
          </w:divBdr>
        </w:div>
        <w:div w:id="2043286761">
          <w:marLeft w:val="640"/>
          <w:marRight w:val="0"/>
          <w:marTop w:val="0"/>
          <w:marBottom w:val="0"/>
          <w:divBdr>
            <w:top w:val="none" w:sz="0" w:space="0" w:color="auto"/>
            <w:left w:val="none" w:sz="0" w:space="0" w:color="auto"/>
            <w:bottom w:val="none" w:sz="0" w:space="0" w:color="auto"/>
            <w:right w:val="none" w:sz="0" w:space="0" w:color="auto"/>
          </w:divBdr>
        </w:div>
        <w:div w:id="2042658311">
          <w:marLeft w:val="640"/>
          <w:marRight w:val="0"/>
          <w:marTop w:val="0"/>
          <w:marBottom w:val="0"/>
          <w:divBdr>
            <w:top w:val="none" w:sz="0" w:space="0" w:color="auto"/>
            <w:left w:val="none" w:sz="0" w:space="0" w:color="auto"/>
            <w:bottom w:val="none" w:sz="0" w:space="0" w:color="auto"/>
            <w:right w:val="none" w:sz="0" w:space="0" w:color="auto"/>
          </w:divBdr>
        </w:div>
        <w:div w:id="819347006">
          <w:marLeft w:val="640"/>
          <w:marRight w:val="0"/>
          <w:marTop w:val="0"/>
          <w:marBottom w:val="0"/>
          <w:divBdr>
            <w:top w:val="none" w:sz="0" w:space="0" w:color="auto"/>
            <w:left w:val="none" w:sz="0" w:space="0" w:color="auto"/>
            <w:bottom w:val="none" w:sz="0" w:space="0" w:color="auto"/>
            <w:right w:val="none" w:sz="0" w:space="0" w:color="auto"/>
          </w:divBdr>
        </w:div>
        <w:div w:id="1327128255">
          <w:marLeft w:val="640"/>
          <w:marRight w:val="0"/>
          <w:marTop w:val="0"/>
          <w:marBottom w:val="0"/>
          <w:divBdr>
            <w:top w:val="none" w:sz="0" w:space="0" w:color="auto"/>
            <w:left w:val="none" w:sz="0" w:space="0" w:color="auto"/>
            <w:bottom w:val="none" w:sz="0" w:space="0" w:color="auto"/>
            <w:right w:val="none" w:sz="0" w:space="0" w:color="auto"/>
          </w:divBdr>
        </w:div>
        <w:div w:id="1353267967">
          <w:marLeft w:val="640"/>
          <w:marRight w:val="0"/>
          <w:marTop w:val="0"/>
          <w:marBottom w:val="0"/>
          <w:divBdr>
            <w:top w:val="none" w:sz="0" w:space="0" w:color="auto"/>
            <w:left w:val="none" w:sz="0" w:space="0" w:color="auto"/>
            <w:bottom w:val="none" w:sz="0" w:space="0" w:color="auto"/>
            <w:right w:val="none" w:sz="0" w:space="0" w:color="auto"/>
          </w:divBdr>
        </w:div>
        <w:div w:id="1696417565">
          <w:marLeft w:val="640"/>
          <w:marRight w:val="0"/>
          <w:marTop w:val="0"/>
          <w:marBottom w:val="0"/>
          <w:divBdr>
            <w:top w:val="none" w:sz="0" w:space="0" w:color="auto"/>
            <w:left w:val="none" w:sz="0" w:space="0" w:color="auto"/>
            <w:bottom w:val="none" w:sz="0" w:space="0" w:color="auto"/>
            <w:right w:val="none" w:sz="0" w:space="0" w:color="auto"/>
          </w:divBdr>
        </w:div>
        <w:div w:id="813638992">
          <w:marLeft w:val="640"/>
          <w:marRight w:val="0"/>
          <w:marTop w:val="0"/>
          <w:marBottom w:val="0"/>
          <w:divBdr>
            <w:top w:val="none" w:sz="0" w:space="0" w:color="auto"/>
            <w:left w:val="none" w:sz="0" w:space="0" w:color="auto"/>
            <w:bottom w:val="none" w:sz="0" w:space="0" w:color="auto"/>
            <w:right w:val="none" w:sz="0" w:space="0" w:color="auto"/>
          </w:divBdr>
        </w:div>
        <w:div w:id="1649628172">
          <w:marLeft w:val="640"/>
          <w:marRight w:val="0"/>
          <w:marTop w:val="0"/>
          <w:marBottom w:val="0"/>
          <w:divBdr>
            <w:top w:val="none" w:sz="0" w:space="0" w:color="auto"/>
            <w:left w:val="none" w:sz="0" w:space="0" w:color="auto"/>
            <w:bottom w:val="none" w:sz="0" w:space="0" w:color="auto"/>
            <w:right w:val="none" w:sz="0" w:space="0" w:color="auto"/>
          </w:divBdr>
        </w:div>
        <w:div w:id="384184483">
          <w:marLeft w:val="640"/>
          <w:marRight w:val="0"/>
          <w:marTop w:val="0"/>
          <w:marBottom w:val="0"/>
          <w:divBdr>
            <w:top w:val="none" w:sz="0" w:space="0" w:color="auto"/>
            <w:left w:val="none" w:sz="0" w:space="0" w:color="auto"/>
            <w:bottom w:val="none" w:sz="0" w:space="0" w:color="auto"/>
            <w:right w:val="none" w:sz="0" w:space="0" w:color="auto"/>
          </w:divBdr>
        </w:div>
        <w:div w:id="187137414">
          <w:marLeft w:val="640"/>
          <w:marRight w:val="0"/>
          <w:marTop w:val="0"/>
          <w:marBottom w:val="0"/>
          <w:divBdr>
            <w:top w:val="none" w:sz="0" w:space="0" w:color="auto"/>
            <w:left w:val="none" w:sz="0" w:space="0" w:color="auto"/>
            <w:bottom w:val="none" w:sz="0" w:space="0" w:color="auto"/>
            <w:right w:val="none" w:sz="0" w:space="0" w:color="auto"/>
          </w:divBdr>
        </w:div>
        <w:div w:id="1198277092">
          <w:marLeft w:val="640"/>
          <w:marRight w:val="0"/>
          <w:marTop w:val="0"/>
          <w:marBottom w:val="0"/>
          <w:divBdr>
            <w:top w:val="none" w:sz="0" w:space="0" w:color="auto"/>
            <w:left w:val="none" w:sz="0" w:space="0" w:color="auto"/>
            <w:bottom w:val="none" w:sz="0" w:space="0" w:color="auto"/>
            <w:right w:val="none" w:sz="0" w:space="0" w:color="auto"/>
          </w:divBdr>
        </w:div>
        <w:div w:id="426390839">
          <w:marLeft w:val="640"/>
          <w:marRight w:val="0"/>
          <w:marTop w:val="0"/>
          <w:marBottom w:val="0"/>
          <w:divBdr>
            <w:top w:val="none" w:sz="0" w:space="0" w:color="auto"/>
            <w:left w:val="none" w:sz="0" w:space="0" w:color="auto"/>
            <w:bottom w:val="none" w:sz="0" w:space="0" w:color="auto"/>
            <w:right w:val="none" w:sz="0" w:space="0" w:color="auto"/>
          </w:divBdr>
        </w:div>
        <w:div w:id="647630890">
          <w:marLeft w:val="640"/>
          <w:marRight w:val="0"/>
          <w:marTop w:val="0"/>
          <w:marBottom w:val="0"/>
          <w:divBdr>
            <w:top w:val="none" w:sz="0" w:space="0" w:color="auto"/>
            <w:left w:val="none" w:sz="0" w:space="0" w:color="auto"/>
            <w:bottom w:val="none" w:sz="0" w:space="0" w:color="auto"/>
            <w:right w:val="none" w:sz="0" w:space="0" w:color="auto"/>
          </w:divBdr>
        </w:div>
        <w:div w:id="1450474272">
          <w:marLeft w:val="640"/>
          <w:marRight w:val="0"/>
          <w:marTop w:val="0"/>
          <w:marBottom w:val="0"/>
          <w:divBdr>
            <w:top w:val="none" w:sz="0" w:space="0" w:color="auto"/>
            <w:left w:val="none" w:sz="0" w:space="0" w:color="auto"/>
            <w:bottom w:val="none" w:sz="0" w:space="0" w:color="auto"/>
            <w:right w:val="none" w:sz="0" w:space="0" w:color="auto"/>
          </w:divBdr>
        </w:div>
        <w:div w:id="1131023762">
          <w:marLeft w:val="640"/>
          <w:marRight w:val="0"/>
          <w:marTop w:val="0"/>
          <w:marBottom w:val="0"/>
          <w:divBdr>
            <w:top w:val="none" w:sz="0" w:space="0" w:color="auto"/>
            <w:left w:val="none" w:sz="0" w:space="0" w:color="auto"/>
            <w:bottom w:val="none" w:sz="0" w:space="0" w:color="auto"/>
            <w:right w:val="none" w:sz="0" w:space="0" w:color="auto"/>
          </w:divBdr>
        </w:div>
        <w:div w:id="1616524069">
          <w:marLeft w:val="640"/>
          <w:marRight w:val="0"/>
          <w:marTop w:val="0"/>
          <w:marBottom w:val="0"/>
          <w:divBdr>
            <w:top w:val="none" w:sz="0" w:space="0" w:color="auto"/>
            <w:left w:val="none" w:sz="0" w:space="0" w:color="auto"/>
            <w:bottom w:val="none" w:sz="0" w:space="0" w:color="auto"/>
            <w:right w:val="none" w:sz="0" w:space="0" w:color="auto"/>
          </w:divBdr>
        </w:div>
        <w:div w:id="1282496417">
          <w:marLeft w:val="640"/>
          <w:marRight w:val="0"/>
          <w:marTop w:val="0"/>
          <w:marBottom w:val="0"/>
          <w:divBdr>
            <w:top w:val="none" w:sz="0" w:space="0" w:color="auto"/>
            <w:left w:val="none" w:sz="0" w:space="0" w:color="auto"/>
            <w:bottom w:val="none" w:sz="0" w:space="0" w:color="auto"/>
            <w:right w:val="none" w:sz="0" w:space="0" w:color="auto"/>
          </w:divBdr>
        </w:div>
        <w:div w:id="930360185">
          <w:marLeft w:val="640"/>
          <w:marRight w:val="0"/>
          <w:marTop w:val="0"/>
          <w:marBottom w:val="0"/>
          <w:divBdr>
            <w:top w:val="none" w:sz="0" w:space="0" w:color="auto"/>
            <w:left w:val="none" w:sz="0" w:space="0" w:color="auto"/>
            <w:bottom w:val="none" w:sz="0" w:space="0" w:color="auto"/>
            <w:right w:val="none" w:sz="0" w:space="0" w:color="auto"/>
          </w:divBdr>
        </w:div>
        <w:div w:id="769394952">
          <w:marLeft w:val="640"/>
          <w:marRight w:val="0"/>
          <w:marTop w:val="0"/>
          <w:marBottom w:val="0"/>
          <w:divBdr>
            <w:top w:val="none" w:sz="0" w:space="0" w:color="auto"/>
            <w:left w:val="none" w:sz="0" w:space="0" w:color="auto"/>
            <w:bottom w:val="none" w:sz="0" w:space="0" w:color="auto"/>
            <w:right w:val="none" w:sz="0" w:space="0" w:color="auto"/>
          </w:divBdr>
        </w:div>
        <w:div w:id="1210607345">
          <w:marLeft w:val="640"/>
          <w:marRight w:val="0"/>
          <w:marTop w:val="0"/>
          <w:marBottom w:val="0"/>
          <w:divBdr>
            <w:top w:val="none" w:sz="0" w:space="0" w:color="auto"/>
            <w:left w:val="none" w:sz="0" w:space="0" w:color="auto"/>
            <w:bottom w:val="none" w:sz="0" w:space="0" w:color="auto"/>
            <w:right w:val="none" w:sz="0" w:space="0" w:color="auto"/>
          </w:divBdr>
        </w:div>
        <w:div w:id="529222137">
          <w:marLeft w:val="640"/>
          <w:marRight w:val="0"/>
          <w:marTop w:val="0"/>
          <w:marBottom w:val="0"/>
          <w:divBdr>
            <w:top w:val="none" w:sz="0" w:space="0" w:color="auto"/>
            <w:left w:val="none" w:sz="0" w:space="0" w:color="auto"/>
            <w:bottom w:val="none" w:sz="0" w:space="0" w:color="auto"/>
            <w:right w:val="none" w:sz="0" w:space="0" w:color="auto"/>
          </w:divBdr>
        </w:div>
        <w:div w:id="1645741097">
          <w:marLeft w:val="640"/>
          <w:marRight w:val="0"/>
          <w:marTop w:val="0"/>
          <w:marBottom w:val="0"/>
          <w:divBdr>
            <w:top w:val="none" w:sz="0" w:space="0" w:color="auto"/>
            <w:left w:val="none" w:sz="0" w:space="0" w:color="auto"/>
            <w:bottom w:val="none" w:sz="0" w:space="0" w:color="auto"/>
            <w:right w:val="none" w:sz="0" w:space="0" w:color="auto"/>
          </w:divBdr>
        </w:div>
        <w:div w:id="1679304219">
          <w:marLeft w:val="640"/>
          <w:marRight w:val="0"/>
          <w:marTop w:val="0"/>
          <w:marBottom w:val="0"/>
          <w:divBdr>
            <w:top w:val="none" w:sz="0" w:space="0" w:color="auto"/>
            <w:left w:val="none" w:sz="0" w:space="0" w:color="auto"/>
            <w:bottom w:val="none" w:sz="0" w:space="0" w:color="auto"/>
            <w:right w:val="none" w:sz="0" w:space="0" w:color="auto"/>
          </w:divBdr>
        </w:div>
        <w:div w:id="2124615891">
          <w:marLeft w:val="640"/>
          <w:marRight w:val="0"/>
          <w:marTop w:val="0"/>
          <w:marBottom w:val="0"/>
          <w:divBdr>
            <w:top w:val="none" w:sz="0" w:space="0" w:color="auto"/>
            <w:left w:val="none" w:sz="0" w:space="0" w:color="auto"/>
            <w:bottom w:val="none" w:sz="0" w:space="0" w:color="auto"/>
            <w:right w:val="none" w:sz="0" w:space="0" w:color="auto"/>
          </w:divBdr>
        </w:div>
        <w:div w:id="1407533063">
          <w:marLeft w:val="640"/>
          <w:marRight w:val="0"/>
          <w:marTop w:val="0"/>
          <w:marBottom w:val="0"/>
          <w:divBdr>
            <w:top w:val="none" w:sz="0" w:space="0" w:color="auto"/>
            <w:left w:val="none" w:sz="0" w:space="0" w:color="auto"/>
            <w:bottom w:val="none" w:sz="0" w:space="0" w:color="auto"/>
            <w:right w:val="none" w:sz="0" w:space="0" w:color="auto"/>
          </w:divBdr>
        </w:div>
        <w:div w:id="1041780129">
          <w:marLeft w:val="640"/>
          <w:marRight w:val="0"/>
          <w:marTop w:val="0"/>
          <w:marBottom w:val="0"/>
          <w:divBdr>
            <w:top w:val="none" w:sz="0" w:space="0" w:color="auto"/>
            <w:left w:val="none" w:sz="0" w:space="0" w:color="auto"/>
            <w:bottom w:val="none" w:sz="0" w:space="0" w:color="auto"/>
            <w:right w:val="none" w:sz="0" w:space="0" w:color="auto"/>
          </w:divBdr>
        </w:div>
        <w:div w:id="914244751">
          <w:marLeft w:val="640"/>
          <w:marRight w:val="0"/>
          <w:marTop w:val="0"/>
          <w:marBottom w:val="0"/>
          <w:divBdr>
            <w:top w:val="none" w:sz="0" w:space="0" w:color="auto"/>
            <w:left w:val="none" w:sz="0" w:space="0" w:color="auto"/>
            <w:bottom w:val="none" w:sz="0" w:space="0" w:color="auto"/>
            <w:right w:val="none" w:sz="0" w:space="0" w:color="auto"/>
          </w:divBdr>
        </w:div>
        <w:div w:id="327632199">
          <w:marLeft w:val="640"/>
          <w:marRight w:val="0"/>
          <w:marTop w:val="0"/>
          <w:marBottom w:val="0"/>
          <w:divBdr>
            <w:top w:val="none" w:sz="0" w:space="0" w:color="auto"/>
            <w:left w:val="none" w:sz="0" w:space="0" w:color="auto"/>
            <w:bottom w:val="none" w:sz="0" w:space="0" w:color="auto"/>
            <w:right w:val="none" w:sz="0" w:space="0" w:color="auto"/>
          </w:divBdr>
        </w:div>
        <w:div w:id="90588195">
          <w:marLeft w:val="640"/>
          <w:marRight w:val="0"/>
          <w:marTop w:val="0"/>
          <w:marBottom w:val="0"/>
          <w:divBdr>
            <w:top w:val="none" w:sz="0" w:space="0" w:color="auto"/>
            <w:left w:val="none" w:sz="0" w:space="0" w:color="auto"/>
            <w:bottom w:val="none" w:sz="0" w:space="0" w:color="auto"/>
            <w:right w:val="none" w:sz="0" w:space="0" w:color="auto"/>
          </w:divBdr>
        </w:div>
        <w:div w:id="1724671901">
          <w:marLeft w:val="640"/>
          <w:marRight w:val="0"/>
          <w:marTop w:val="0"/>
          <w:marBottom w:val="0"/>
          <w:divBdr>
            <w:top w:val="none" w:sz="0" w:space="0" w:color="auto"/>
            <w:left w:val="none" w:sz="0" w:space="0" w:color="auto"/>
            <w:bottom w:val="none" w:sz="0" w:space="0" w:color="auto"/>
            <w:right w:val="none" w:sz="0" w:space="0" w:color="auto"/>
          </w:divBdr>
        </w:div>
        <w:div w:id="117072234">
          <w:marLeft w:val="640"/>
          <w:marRight w:val="0"/>
          <w:marTop w:val="0"/>
          <w:marBottom w:val="0"/>
          <w:divBdr>
            <w:top w:val="none" w:sz="0" w:space="0" w:color="auto"/>
            <w:left w:val="none" w:sz="0" w:space="0" w:color="auto"/>
            <w:bottom w:val="none" w:sz="0" w:space="0" w:color="auto"/>
            <w:right w:val="none" w:sz="0" w:space="0" w:color="auto"/>
          </w:divBdr>
        </w:div>
        <w:div w:id="1556044805">
          <w:marLeft w:val="640"/>
          <w:marRight w:val="0"/>
          <w:marTop w:val="0"/>
          <w:marBottom w:val="0"/>
          <w:divBdr>
            <w:top w:val="none" w:sz="0" w:space="0" w:color="auto"/>
            <w:left w:val="none" w:sz="0" w:space="0" w:color="auto"/>
            <w:bottom w:val="none" w:sz="0" w:space="0" w:color="auto"/>
            <w:right w:val="none" w:sz="0" w:space="0" w:color="auto"/>
          </w:divBdr>
        </w:div>
        <w:div w:id="1025208759">
          <w:marLeft w:val="640"/>
          <w:marRight w:val="0"/>
          <w:marTop w:val="0"/>
          <w:marBottom w:val="0"/>
          <w:divBdr>
            <w:top w:val="none" w:sz="0" w:space="0" w:color="auto"/>
            <w:left w:val="none" w:sz="0" w:space="0" w:color="auto"/>
            <w:bottom w:val="none" w:sz="0" w:space="0" w:color="auto"/>
            <w:right w:val="none" w:sz="0" w:space="0" w:color="auto"/>
          </w:divBdr>
        </w:div>
        <w:div w:id="1343824123">
          <w:marLeft w:val="640"/>
          <w:marRight w:val="0"/>
          <w:marTop w:val="0"/>
          <w:marBottom w:val="0"/>
          <w:divBdr>
            <w:top w:val="none" w:sz="0" w:space="0" w:color="auto"/>
            <w:left w:val="none" w:sz="0" w:space="0" w:color="auto"/>
            <w:bottom w:val="none" w:sz="0" w:space="0" w:color="auto"/>
            <w:right w:val="none" w:sz="0" w:space="0" w:color="auto"/>
          </w:divBdr>
        </w:div>
        <w:div w:id="562330928">
          <w:marLeft w:val="640"/>
          <w:marRight w:val="0"/>
          <w:marTop w:val="0"/>
          <w:marBottom w:val="0"/>
          <w:divBdr>
            <w:top w:val="none" w:sz="0" w:space="0" w:color="auto"/>
            <w:left w:val="none" w:sz="0" w:space="0" w:color="auto"/>
            <w:bottom w:val="none" w:sz="0" w:space="0" w:color="auto"/>
            <w:right w:val="none" w:sz="0" w:space="0" w:color="auto"/>
          </w:divBdr>
        </w:div>
        <w:div w:id="1534683656">
          <w:marLeft w:val="640"/>
          <w:marRight w:val="0"/>
          <w:marTop w:val="0"/>
          <w:marBottom w:val="0"/>
          <w:divBdr>
            <w:top w:val="none" w:sz="0" w:space="0" w:color="auto"/>
            <w:left w:val="none" w:sz="0" w:space="0" w:color="auto"/>
            <w:bottom w:val="none" w:sz="0" w:space="0" w:color="auto"/>
            <w:right w:val="none" w:sz="0" w:space="0" w:color="auto"/>
          </w:divBdr>
        </w:div>
        <w:div w:id="1172723277">
          <w:marLeft w:val="640"/>
          <w:marRight w:val="0"/>
          <w:marTop w:val="0"/>
          <w:marBottom w:val="0"/>
          <w:divBdr>
            <w:top w:val="none" w:sz="0" w:space="0" w:color="auto"/>
            <w:left w:val="none" w:sz="0" w:space="0" w:color="auto"/>
            <w:bottom w:val="none" w:sz="0" w:space="0" w:color="auto"/>
            <w:right w:val="none" w:sz="0" w:space="0" w:color="auto"/>
          </w:divBdr>
        </w:div>
        <w:div w:id="2141801360">
          <w:marLeft w:val="640"/>
          <w:marRight w:val="0"/>
          <w:marTop w:val="0"/>
          <w:marBottom w:val="0"/>
          <w:divBdr>
            <w:top w:val="none" w:sz="0" w:space="0" w:color="auto"/>
            <w:left w:val="none" w:sz="0" w:space="0" w:color="auto"/>
            <w:bottom w:val="none" w:sz="0" w:space="0" w:color="auto"/>
            <w:right w:val="none" w:sz="0" w:space="0" w:color="auto"/>
          </w:divBdr>
        </w:div>
        <w:div w:id="596136239">
          <w:marLeft w:val="640"/>
          <w:marRight w:val="0"/>
          <w:marTop w:val="0"/>
          <w:marBottom w:val="0"/>
          <w:divBdr>
            <w:top w:val="none" w:sz="0" w:space="0" w:color="auto"/>
            <w:left w:val="none" w:sz="0" w:space="0" w:color="auto"/>
            <w:bottom w:val="none" w:sz="0" w:space="0" w:color="auto"/>
            <w:right w:val="none" w:sz="0" w:space="0" w:color="auto"/>
          </w:divBdr>
        </w:div>
        <w:div w:id="1648514510">
          <w:marLeft w:val="640"/>
          <w:marRight w:val="0"/>
          <w:marTop w:val="0"/>
          <w:marBottom w:val="0"/>
          <w:divBdr>
            <w:top w:val="none" w:sz="0" w:space="0" w:color="auto"/>
            <w:left w:val="none" w:sz="0" w:space="0" w:color="auto"/>
            <w:bottom w:val="none" w:sz="0" w:space="0" w:color="auto"/>
            <w:right w:val="none" w:sz="0" w:space="0" w:color="auto"/>
          </w:divBdr>
        </w:div>
        <w:div w:id="1172454788">
          <w:marLeft w:val="640"/>
          <w:marRight w:val="0"/>
          <w:marTop w:val="0"/>
          <w:marBottom w:val="0"/>
          <w:divBdr>
            <w:top w:val="none" w:sz="0" w:space="0" w:color="auto"/>
            <w:left w:val="none" w:sz="0" w:space="0" w:color="auto"/>
            <w:bottom w:val="none" w:sz="0" w:space="0" w:color="auto"/>
            <w:right w:val="none" w:sz="0" w:space="0" w:color="auto"/>
          </w:divBdr>
        </w:div>
        <w:div w:id="630668039">
          <w:marLeft w:val="640"/>
          <w:marRight w:val="0"/>
          <w:marTop w:val="0"/>
          <w:marBottom w:val="0"/>
          <w:divBdr>
            <w:top w:val="none" w:sz="0" w:space="0" w:color="auto"/>
            <w:left w:val="none" w:sz="0" w:space="0" w:color="auto"/>
            <w:bottom w:val="none" w:sz="0" w:space="0" w:color="auto"/>
            <w:right w:val="none" w:sz="0" w:space="0" w:color="auto"/>
          </w:divBdr>
        </w:div>
        <w:div w:id="1922788601">
          <w:marLeft w:val="640"/>
          <w:marRight w:val="0"/>
          <w:marTop w:val="0"/>
          <w:marBottom w:val="0"/>
          <w:divBdr>
            <w:top w:val="none" w:sz="0" w:space="0" w:color="auto"/>
            <w:left w:val="none" w:sz="0" w:space="0" w:color="auto"/>
            <w:bottom w:val="none" w:sz="0" w:space="0" w:color="auto"/>
            <w:right w:val="none" w:sz="0" w:space="0" w:color="auto"/>
          </w:divBdr>
        </w:div>
        <w:div w:id="1580022783">
          <w:marLeft w:val="640"/>
          <w:marRight w:val="0"/>
          <w:marTop w:val="0"/>
          <w:marBottom w:val="0"/>
          <w:divBdr>
            <w:top w:val="none" w:sz="0" w:space="0" w:color="auto"/>
            <w:left w:val="none" w:sz="0" w:space="0" w:color="auto"/>
            <w:bottom w:val="none" w:sz="0" w:space="0" w:color="auto"/>
            <w:right w:val="none" w:sz="0" w:space="0" w:color="auto"/>
          </w:divBdr>
        </w:div>
        <w:div w:id="523980920">
          <w:marLeft w:val="640"/>
          <w:marRight w:val="0"/>
          <w:marTop w:val="0"/>
          <w:marBottom w:val="0"/>
          <w:divBdr>
            <w:top w:val="none" w:sz="0" w:space="0" w:color="auto"/>
            <w:left w:val="none" w:sz="0" w:space="0" w:color="auto"/>
            <w:bottom w:val="none" w:sz="0" w:space="0" w:color="auto"/>
            <w:right w:val="none" w:sz="0" w:space="0" w:color="auto"/>
          </w:divBdr>
        </w:div>
        <w:div w:id="321348851">
          <w:marLeft w:val="640"/>
          <w:marRight w:val="0"/>
          <w:marTop w:val="0"/>
          <w:marBottom w:val="0"/>
          <w:divBdr>
            <w:top w:val="none" w:sz="0" w:space="0" w:color="auto"/>
            <w:left w:val="none" w:sz="0" w:space="0" w:color="auto"/>
            <w:bottom w:val="none" w:sz="0" w:space="0" w:color="auto"/>
            <w:right w:val="none" w:sz="0" w:space="0" w:color="auto"/>
          </w:divBdr>
        </w:div>
        <w:div w:id="1440831285">
          <w:marLeft w:val="640"/>
          <w:marRight w:val="0"/>
          <w:marTop w:val="0"/>
          <w:marBottom w:val="0"/>
          <w:divBdr>
            <w:top w:val="none" w:sz="0" w:space="0" w:color="auto"/>
            <w:left w:val="none" w:sz="0" w:space="0" w:color="auto"/>
            <w:bottom w:val="none" w:sz="0" w:space="0" w:color="auto"/>
            <w:right w:val="none" w:sz="0" w:space="0" w:color="auto"/>
          </w:divBdr>
        </w:div>
        <w:div w:id="240413545">
          <w:marLeft w:val="640"/>
          <w:marRight w:val="0"/>
          <w:marTop w:val="0"/>
          <w:marBottom w:val="0"/>
          <w:divBdr>
            <w:top w:val="none" w:sz="0" w:space="0" w:color="auto"/>
            <w:left w:val="none" w:sz="0" w:space="0" w:color="auto"/>
            <w:bottom w:val="none" w:sz="0" w:space="0" w:color="auto"/>
            <w:right w:val="none" w:sz="0" w:space="0" w:color="auto"/>
          </w:divBdr>
        </w:div>
        <w:div w:id="1665622344">
          <w:marLeft w:val="640"/>
          <w:marRight w:val="0"/>
          <w:marTop w:val="0"/>
          <w:marBottom w:val="0"/>
          <w:divBdr>
            <w:top w:val="none" w:sz="0" w:space="0" w:color="auto"/>
            <w:left w:val="none" w:sz="0" w:space="0" w:color="auto"/>
            <w:bottom w:val="none" w:sz="0" w:space="0" w:color="auto"/>
            <w:right w:val="none" w:sz="0" w:space="0" w:color="auto"/>
          </w:divBdr>
        </w:div>
        <w:div w:id="145167232">
          <w:marLeft w:val="640"/>
          <w:marRight w:val="0"/>
          <w:marTop w:val="0"/>
          <w:marBottom w:val="0"/>
          <w:divBdr>
            <w:top w:val="none" w:sz="0" w:space="0" w:color="auto"/>
            <w:left w:val="none" w:sz="0" w:space="0" w:color="auto"/>
            <w:bottom w:val="none" w:sz="0" w:space="0" w:color="auto"/>
            <w:right w:val="none" w:sz="0" w:space="0" w:color="auto"/>
          </w:divBdr>
        </w:div>
        <w:div w:id="105926478">
          <w:marLeft w:val="640"/>
          <w:marRight w:val="0"/>
          <w:marTop w:val="0"/>
          <w:marBottom w:val="0"/>
          <w:divBdr>
            <w:top w:val="none" w:sz="0" w:space="0" w:color="auto"/>
            <w:left w:val="none" w:sz="0" w:space="0" w:color="auto"/>
            <w:bottom w:val="none" w:sz="0" w:space="0" w:color="auto"/>
            <w:right w:val="none" w:sz="0" w:space="0" w:color="auto"/>
          </w:divBdr>
        </w:div>
        <w:div w:id="2084522311">
          <w:marLeft w:val="640"/>
          <w:marRight w:val="0"/>
          <w:marTop w:val="0"/>
          <w:marBottom w:val="0"/>
          <w:divBdr>
            <w:top w:val="none" w:sz="0" w:space="0" w:color="auto"/>
            <w:left w:val="none" w:sz="0" w:space="0" w:color="auto"/>
            <w:bottom w:val="none" w:sz="0" w:space="0" w:color="auto"/>
            <w:right w:val="none" w:sz="0" w:space="0" w:color="auto"/>
          </w:divBdr>
        </w:div>
        <w:div w:id="1827471557">
          <w:marLeft w:val="640"/>
          <w:marRight w:val="0"/>
          <w:marTop w:val="0"/>
          <w:marBottom w:val="0"/>
          <w:divBdr>
            <w:top w:val="none" w:sz="0" w:space="0" w:color="auto"/>
            <w:left w:val="none" w:sz="0" w:space="0" w:color="auto"/>
            <w:bottom w:val="none" w:sz="0" w:space="0" w:color="auto"/>
            <w:right w:val="none" w:sz="0" w:space="0" w:color="auto"/>
          </w:divBdr>
        </w:div>
        <w:div w:id="26411884">
          <w:marLeft w:val="640"/>
          <w:marRight w:val="0"/>
          <w:marTop w:val="0"/>
          <w:marBottom w:val="0"/>
          <w:divBdr>
            <w:top w:val="none" w:sz="0" w:space="0" w:color="auto"/>
            <w:left w:val="none" w:sz="0" w:space="0" w:color="auto"/>
            <w:bottom w:val="none" w:sz="0" w:space="0" w:color="auto"/>
            <w:right w:val="none" w:sz="0" w:space="0" w:color="auto"/>
          </w:divBdr>
        </w:div>
        <w:div w:id="654842421">
          <w:marLeft w:val="640"/>
          <w:marRight w:val="0"/>
          <w:marTop w:val="0"/>
          <w:marBottom w:val="0"/>
          <w:divBdr>
            <w:top w:val="none" w:sz="0" w:space="0" w:color="auto"/>
            <w:left w:val="none" w:sz="0" w:space="0" w:color="auto"/>
            <w:bottom w:val="none" w:sz="0" w:space="0" w:color="auto"/>
            <w:right w:val="none" w:sz="0" w:space="0" w:color="auto"/>
          </w:divBdr>
        </w:div>
        <w:div w:id="1406952561">
          <w:marLeft w:val="640"/>
          <w:marRight w:val="0"/>
          <w:marTop w:val="0"/>
          <w:marBottom w:val="0"/>
          <w:divBdr>
            <w:top w:val="none" w:sz="0" w:space="0" w:color="auto"/>
            <w:left w:val="none" w:sz="0" w:space="0" w:color="auto"/>
            <w:bottom w:val="none" w:sz="0" w:space="0" w:color="auto"/>
            <w:right w:val="none" w:sz="0" w:space="0" w:color="auto"/>
          </w:divBdr>
        </w:div>
        <w:div w:id="2061049400">
          <w:marLeft w:val="640"/>
          <w:marRight w:val="0"/>
          <w:marTop w:val="0"/>
          <w:marBottom w:val="0"/>
          <w:divBdr>
            <w:top w:val="none" w:sz="0" w:space="0" w:color="auto"/>
            <w:left w:val="none" w:sz="0" w:space="0" w:color="auto"/>
            <w:bottom w:val="none" w:sz="0" w:space="0" w:color="auto"/>
            <w:right w:val="none" w:sz="0" w:space="0" w:color="auto"/>
          </w:divBdr>
        </w:div>
        <w:div w:id="1627472059">
          <w:marLeft w:val="640"/>
          <w:marRight w:val="0"/>
          <w:marTop w:val="0"/>
          <w:marBottom w:val="0"/>
          <w:divBdr>
            <w:top w:val="none" w:sz="0" w:space="0" w:color="auto"/>
            <w:left w:val="none" w:sz="0" w:space="0" w:color="auto"/>
            <w:bottom w:val="none" w:sz="0" w:space="0" w:color="auto"/>
            <w:right w:val="none" w:sz="0" w:space="0" w:color="auto"/>
          </w:divBdr>
        </w:div>
        <w:div w:id="1776975861">
          <w:marLeft w:val="640"/>
          <w:marRight w:val="0"/>
          <w:marTop w:val="0"/>
          <w:marBottom w:val="0"/>
          <w:divBdr>
            <w:top w:val="none" w:sz="0" w:space="0" w:color="auto"/>
            <w:left w:val="none" w:sz="0" w:space="0" w:color="auto"/>
            <w:bottom w:val="none" w:sz="0" w:space="0" w:color="auto"/>
            <w:right w:val="none" w:sz="0" w:space="0" w:color="auto"/>
          </w:divBdr>
        </w:div>
        <w:div w:id="664819278">
          <w:marLeft w:val="640"/>
          <w:marRight w:val="0"/>
          <w:marTop w:val="0"/>
          <w:marBottom w:val="0"/>
          <w:divBdr>
            <w:top w:val="none" w:sz="0" w:space="0" w:color="auto"/>
            <w:left w:val="none" w:sz="0" w:space="0" w:color="auto"/>
            <w:bottom w:val="none" w:sz="0" w:space="0" w:color="auto"/>
            <w:right w:val="none" w:sz="0" w:space="0" w:color="auto"/>
          </w:divBdr>
        </w:div>
        <w:div w:id="1702320163">
          <w:marLeft w:val="640"/>
          <w:marRight w:val="0"/>
          <w:marTop w:val="0"/>
          <w:marBottom w:val="0"/>
          <w:divBdr>
            <w:top w:val="none" w:sz="0" w:space="0" w:color="auto"/>
            <w:left w:val="none" w:sz="0" w:space="0" w:color="auto"/>
            <w:bottom w:val="none" w:sz="0" w:space="0" w:color="auto"/>
            <w:right w:val="none" w:sz="0" w:space="0" w:color="auto"/>
          </w:divBdr>
        </w:div>
        <w:div w:id="894121166">
          <w:marLeft w:val="640"/>
          <w:marRight w:val="0"/>
          <w:marTop w:val="0"/>
          <w:marBottom w:val="0"/>
          <w:divBdr>
            <w:top w:val="none" w:sz="0" w:space="0" w:color="auto"/>
            <w:left w:val="none" w:sz="0" w:space="0" w:color="auto"/>
            <w:bottom w:val="none" w:sz="0" w:space="0" w:color="auto"/>
            <w:right w:val="none" w:sz="0" w:space="0" w:color="auto"/>
          </w:divBdr>
        </w:div>
        <w:div w:id="745032851">
          <w:marLeft w:val="640"/>
          <w:marRight w:val="0"/>
          <w:marTop w:val="0"/>
          <w:marBottom w:val="0"/>
          <w:divBdr>
            <w:top w:val="none" w:sz="0" w:space="0" w:color="auto"/>
            <w:left w:val="none" w:sz="0" w:space="0" w:color="auto"/>
            <w:bottom w:val="none" w:sz="0" w:space="0" w:color="auto"/>
            <w:right w:val="none" w:sz="0" w:space="0" w:color="auto"/>
          </w:divBdr>
        </w:div>
        <w:div w:id="1798136137">
          <w:marLeft w:val="640"/>
          <w:marRight w:val="0"/>
          <w:marTop w:val="0"/>
          <w:marBottom w:val="0"/>
          <w:divBdr>
            <w:top w:val="none" w:sz="0" w:space="0" w:color="auto"/>
            <w:left w:val="none" w:sz="0" w:space="0" w:color="auto"/>
            <w:bottom w:val="none" w:sz="0" w:space="0" w:color="auto"/>
            <w:right w:val="none" w:sz="0" w:space="0" w:color="auto"/>
          </w:divBdr>
        </w:div>
        <w:div w:id="473913759">
          <w:marLeft w:val="640"/>
          <w:marRight w:val="0"/>
          <w:marTop w:val="0"/>
          <w:marBottom w:val="0"/>
          <w:divBdr>
            <w:top w:val="none" w:sz="0" w:space="0" w:color="auto"/>
            <w:left w:val="none" w:sz="0" w:space="0" w:color="auto"/>
            <w:bottom w:val="none" w:sz="0" w:space="0" w:color="auto"/>
            <w:right w:val="none" w:sz="0" w:space="0" w:color="auto"/>
          </w:divBdr>
        </w:div>
        <w:div w:id="478694256">
          <w:marLeft w:val="640"/>
          <w:marRight w:val="0"/>
          <w:marTop w:val="0"/>
          <w:marBottom w:val="0"/>
          <w:divBdr>
            <w:top w:val="none" w:sz="0" w:space="0" w:color="auto"/>
            <w:left w:val="none" w:sz="0" w:space="0" w:color="auto"/>
            <w:bottom w:val="none" w:sz="0" w:space="0" w:color="auto"/>
            <w:right w:val="none" w:sz="0" w:space="0" w:color="auto"/>
          </w:divBdr>
        </w:div>
        <w:div w:id="519003682">
          <w:marLeft w:val="640"/>
          <w:marRight w:val="0"/>
          <w:marTop w:val="0"/>
          <w:marBottom w:val="0"/>
          <w:divBdr>
            <w:top w:val="none" w:sz="0" w:space="0" w:color="auto"/>
            <w:left w:val="none" w:sz="0" w:space="0" w:color="auto"/>
            <w:bottom w:val="none" w:sz="0" w:space="0" w:color="auto"/>
            <w:right w:val="none" w:sz="0" w:space="0" w:color="auto"/>
          </w:divBdr>
        </w:div>
        <w:div w:id="1170295405">
          <w:marLeft w:val="640"/>
          <w:marRight w:val="0"/>
          <w:marTop w:val="0"/>
          <w:marBottom w:val="0"/>
          <w:divBdr>
            <w:top w:val="none" w:sz="0" w:space="0" w:color="auto"/>
            <w:left w:val="none" w:sz="0" w:space="0" w:color="auto"/>
            <w:bottom w:val="none" w:sz="0" w:space="0" w:color="auto"/>
            <w:right w:val="none" w:sz="0" w:space="0" w:color="auto"/>
          </w:divBdr>
        </w:div>
        <w:div w:id="1561476123">
          <w:marLeft w:val="640"/>
          <w:marRight w:val="0"/>
          <w:marTop w:val="0"/>
          <w:marBottom w:val="0"/>
          <w:divBdr>
            <w:top w:val="none" w:sz="0" w:space="0" w:color="auto"/>
            <w:left w:val="none" w:sz="0" w:space="0" w:color="auto"/>
            <w:bottom w:val="none" w:sz="0" w:space="0" w:color="auto"/>
            <w:right w:val="none" w:sz="0" w:space="0" w:color="auto"/>
          </w:divBdr>
        </w:div>
        <w:div w:id="1883251658">
          <w:marLeft w:val="640"/>
          <w:marRight w:val="0"/>
          <w:marTop w:val="0"/>
          <w:marBottom w:val="0"/>
          <w:divBdr>
            <w:top w:val="none" w:sz="0" w:space="0" w:color="auto"/>
            <w:left w:val="none" w:sz="0" w:space="0" w:color="auto"/>
            <w:bottom w:val="none" w:sz="0" w:space="0" w:color="auto"/>
            <w:right w:val="none" w:sz="0" w:space="0" w:color="auto"/>
          </w:divBdr>
        </w:div>
        <w:div w:id="1198930498">
          <w:marLeft w:val="640"/>
          <w:marRight w:val="0"/>
          <w:marTop w:val="0"/>
          <w:marBottom w:val="0"/>
          <w:divBdr>
            <w:top w:val="none" w:sz="0" w:space="0" w:color="auto"/>
            <w:left w:val="none" w:sz="0" w:space="0" w:color="auto"/>
            <w:bottom w:val="none" w:sz="0" w:space="0" w:color="auto"/>
            <w:right w:val="none" w:sz="0" w:space="0" w:color="auto"/>
          </w:divBdr>
        </w:div>
        <w:div w:id="463081578">
          <w:marLeft w:val="640"/>
          <w:marRight w:val="0"/>
          <w:marTop w:val="0"/>
          <w:marBottom w:val="0"/>
          <w:divBdr>
            <w:top w:val="none" w:sz="0" w:space="0" w:color="auto"/>
            <w:left w:val="none" w:sz="0" w:space="0" w:color="auto"/>
            <w:bottom w:val="none" w:sz="0" w:space="0" w:color="auto"/>
            <w:right w:val="none" w:sz="0" w:space="0" w:color="auto"/>
          </w:divBdr>
        </w:div>
        <w:div w:id="415522353">
          <w:marLeft w:val="640"/>
          <w:marRight w:val="0"/>
          <w:marTop w:val="0"/>
          <w:marBottom w:val="0"/>
          <w:divBdr>
            <w:top w:val="none" w:sz="0" w:space="0" w:color="auto"/>
            <w:left w:val="none" w:sz="0" w:space="0" w:color="auto"/>
            <w:bottom w:val="none" w:sz="0" w:space="0" w:color="auto"/>
            <w:right w:val="none" w:sz="0" w:space="0" w:color="auto"/>
          </w:divBdr>
        </w:div>
        <w:div w:id="392700244">
          <w:marLeft w:val="640"/>
          <w:marRight w:val="0"/>
          <w:marTop w:val="0"/>
          <w:marBottom w:val="0"/>
          <w:divBdr>
            <w:top w:val="none" w:sz="0" w:space="0" w:color="auto"/>
            <w:left w:val="none" w:sz="0" w:space="0" w:color="auto"/>
            <w:bottom w:val="none" w:sz="0" w:space="0" w:color="auto"/>
            <w:right w:val="none" w:sz="0" w:space="0" w:color="auto"/>
          </w:divBdr>
        </w:div>
        <w:div w:id="1327512781">
          <w:marLeft w:val="640"/>
          <w:marRight w:val="0"/>
          <w:marTop w:val="0"/>
          <w:marBottom w:val="0"/>
          <w:divBdr>
            <w:top w:val="none" w:sz="0" w:space="0" w:color="auto"/>
            <w:left w:val="none" w:sz="0" w:space="0" w:color="auto"/>
            <w:bottom w:val="none" w:sz="0" w:space="0" w:color="auto"/>
            <w:right w:val="none" w:sz="0" w:space="0" w:color="auto"/>
          </w:divBdr>
        </w:div>
        <w:div w:id="796684812">
          <w:marLeft w:val="640"/>
          <w:marRight w:val="0"/>
          <w:marTop w:val="0"/>
          <w:marBottom w:val="0"/>
          <w:divBdr>
            <w:top w:val="none" w:sz="0" w:space="0" w:color="auto"/>
            <w:left w:val="none" w:sz="0" w:space="0" w:color="auto"/>
            <w:bottom w:val="none" w:sz="0" w:space="0" w:color="auto"/>
            <w:right w:val="none" w:sz="0" w:space="0" w:color="auto"/>
          </w:divBdr>
        </w:div>
        <w:div w:id="1339969777">
          <w:marLeft w:val="640"/>
          <w:marRight w:val="0"/>
          <w:marTop w:val="0"/>
          <w:marBottom w:val="0"/>
          <w:divBdr>
            <w:top w:val="none" w:sz="0" w:space="0" w:color="auto"/>
            <w:left w:val="none" w:sz="0" w:space="0" w:color="auto"/>
            <w:bottom w:val="none" w:sz="0" w:space="0" w:color="auto"/>
            <w:right w:val="none" w:sz="0" w:space="0" w:color="auto"/>
          </w:divBdr>
        </w:div>
        <w:div w:id="770130083">
          <w:marLeft w:val="640"/>
          <w:marRight w:val="0"/>
          <w:marTop w:val="0"/>
          <w:marBottom w:val="0"/>
          <w:divBdr>
            <w:top w:val="none" w:sz="0" w:space="0" w:color="auto"/>
            <w:left w:val="none" w:sz="0" w:space="0" w:color="auto"/>
            <w:bottom w:val="none" w:sz="0" w:space="0" w:color="auto"/>
            <w:right w:val="none" w:sz="0" w:space="0" w:color="auto"/>
          </w:divBdr>
        </w:div>
        <w:div w:id="229118735">
          <w:marLeft w:val="640"/>
          <w:marRight w:val="0"/>
          <w:marTop w:val="0"/>
          <w:marBottom w:val="0"/>
          <w:divBdr>
            <w:top w:val="none" w:sz="0" w:space="0" w:color="auto"/>
            <w:left w:val="none" w:sz="0" w:space="0" w:color="auto"/>
            <w:bottom w:val="none" w:sz="0" w:space="0" w:color="auto"/>
            <w:right w:val="none" w:sz="0" w:space="0" w:color="auto"/>
          </w:divBdr>
        </w:div>
        <w:div w:id="1139345124">
          <w:marLeft w:val="640"/>
          <w:marRight w:val="0"/>
          <w:marTop w:val="0"/>
          <w:marBottom w:val="0"/>
          <w:divBdr>
            <w:top w:val="none" w:sz="0" w:space="0" w:color="auto"/>
            <w:left w:val="none" w:sz="0" w:space="0" w:color="auto"/>
            <w:bottom w:val="none" w:sz="0" w:space="0" w:color="auto"/>
            <w:right w:val="none" w:sz="0" w:space="0" w:color="auto"/>
          </w:divBdr>
        </w:div>
        <w:div w:id="1815751948">
          <w:marLeft w:val="640"/>
          <w:marRight w:val="0"/>
          <w:marTop w:val="0"/>
          <w:marBottom w:val="0"/>
          <w:divBdr>
            <w:top w:val="none" w:sz="0" w:space="0" w:color="auto"/>
            <w:left w:val="none" w:sz="0" w:space="0" w:color="auto"/>
            <w:bottom w:val="none" w:sz="0" w:space="0" w:color="auto"/>
            <w:right w:val="none" w:sz="0" w:space="0" w:color="auto"/>
          </w:divBdr>
        </w:div>
        <w:div w:id="547182754">
          <w:marLeft w:val="640"/>
          <w:marRight w:val="0"/>
          <w:marTop w:val="0"/>
          <w:marBottom w:val="0"/>
          <w:divBdr>
            <w:top w:val="none" w:sz="0" w:space="0" w:color="auto"/>
            <w:left w:val="none" w:sz="0" w:space="0" w:color="auto"/>
            <w:bottom w:val="none" w:sz="0" w:space="0" w:color="auto"/>
            <w:right w:val="none" w:sz="0" w:space="0" w:color="auto"/>
          </w:divBdr>
        </w:div>
        <w:div w:id="681126884">
          <w:marLeft w:val="640"/>
          <w:marRight w:val="0"/>
          <w:marTop w:val="0"/>
          <w:marBottom w:val="0"/>
          <w:divBdr>
            <w:top w:val="none" w:sz="0" w:space="0" w:color="auto"/>
            <w:left w:val="none" w:sz="0" w:space="0" w:color="auto"/>
            <w:bottom w:val="none" w:sz="0" w:space="0" w:color="auto"/>
            <w:right w:val="none" w:sz="0" w:space="0" w:color="auto"/>
          </w:divBdr>
        </w:div>
        <w:div w:id="574358514">
          <w:marLeft w:val="640"/>
          <w:marRight w:val="0"/>
          <w:marTop w:val="0"/>
          <w:marBottom w:val="0"/>
          <w:divBdr>
            <w:top w:val="none" w:sz="0" w:space="0" w:color="auto"/>
            <w:left w:val="none" w:sz="0" w:space="0" w:color="auto"/>
            <w:bottom w:val="none" w:sz="0" w:space="0" w:color="auto"/>
            <w:right w:val="none" w:sz="0" w:space="0" w:color="auto"/>
          </w:divBdr>
        </w:div>
        <w:div w:id="1686595707">
          <w:marLeft w:val="640"/>
          <w:marRight w:val="0"/>
          <w:marTop w:val="0"/>
          <w:marBottom w:val="0"/>
          <w:divBdr>
            <w:top w:val="none" w:sz="0" w:space="0" w:color="auto"/>
            <w:left w:val="none" w:sz="0" w:space="0" w:color="auto"/>
            <w:bottom w:val="none" w:sz="0" w:space="0" w:color="auto"/>
            <w:right w:val="none" w:sz="0" w:space="0" w:color="auto"/>
          </w:divBdr>
        </w:div>
        <w:div w:id="429130545">
          <w:marLeft w:val="640"/>
          <w:marRight w:val="0"/>
          <w:marTop w:val="0"/>
          <w:marBottom w:val="0"/>
          <w:divBdr>
            <w:top w:val="none" w:sz="0" w:space="0" w:color="auto"/>
            <w:left w:val="none" w:sz="0" w:space="0" w:color="auto"/>
            <w:bottom w:val="none" w:sz="0" w:space="0" w:color="auto"/>
            <w:right w:val="none" w:sz="0" w:space="0" w:color="auto"/>
          </w:divBdr>
        </w:div>
        <w:div w:id="1216969293">
          <w:marLeft w:val="640"/>
          <w:marRight w:val="0"/>
          <w:marTop w:val="0"/>
          <w:marBottom w:val="0"/>
          <w:divBdr>
            <w:top w:val="none" w:sz="0" w:space="0" w:color="auto"/>
            <w:left w:val="none" w:sz="0" w:space="0" w:color="auto"/>
            <w:bottom w:val="none" w:sz="0" w:space="0" w:color="auto"/>
            <w:right w:val="none" w:sz="0" w:space="0" w:color="auto"/>
          </w:divBdr>
        </w:div>
        <w:div w:id="1149591967">
          <w:marLeft w:val="640"/>
          <w:marRight w:val="0"/>
          <w:marTop w:val="0"/>
          <w:marBottom w:val="0"/>
          <w:divBdr>
            <w:top w:val="none" w:sz="0" w:space="0" w:color="auto"/>
            <w:left w:val="none" w:sz="0" w:space="0" w:color="auto"/>
            <w:bottom w:val="none" w:sz="0" w:space="0" w:color="auto"/>
            <w:right w:val="none" w:sz="0" w:space="0" w:color="auto"/>
          </w:divBdr>
        </w:div>
        <w:div w:id="1417510606">
          <w:marLeft w:val="640"/>
          <w:marRight w:val="0"/>
          <w:marTop w:val="0"/>
          <w:marBottom w:val="0"/>
          <w:divBdr>
            <w:top w:val="none" w:sz="0" w:space="0" w:color="auto"/>
            <w:left w:val="none" w:sz="0" w:space="0" w:color="auto"/>
            <w:bottom w:val="none" w:sz="0" w:space="0" w:color="auto"/>
            <w:right w:val="none" w:sz="0" w:space="0" w:color="auto"/>
          </w:divBdr>
        </w:div>
        <w:div w:id="409469526">
          <w:marLeft w:val="640"/>
          <w:marRight w:val="0"/>
          <w:marTop w:val="0"/>
          <w:marBottom w:val="0"/>
          <w:divBdr>
            <w:top w:val="none" w:sz="0" w:space="0" w:color="auto"/>
            <w:left w:val="none" w:sz="0" w:space="0" w:color="auto"/>
            <w:bottom w:val="none" w:sz="0" w:space="0" w:color="auto"/>
            <w:right w:val="none" w:sz="0" w:space="0" w:color="auto"/>
          </w:divBdr>
        </w:div>
        <w:div w:id="885676466">
          <w:marLeft w:val="640"/>
          <w:marRight w:val="0"/>
          <w:marTop w:val="0"/>
          <w:marBottom w:val="0"/>
          <w:divBdr>
            <w:top w:val="none" w:sz="0" w:space="0" w:color="auto"/>
            <w:left w:val="none" w:sz="0" w:space="0" w:color="auto"/>
            <w:bottom w:val="none" w:sz="0" w:space="0" w:color="auto"/>
            <w:right w:val="none" w:sz="0" w:space="0" w:color="auto"/>
          </w:divBdr>
        </w:div>
        <w:div w:id="77753265">
          <w:marLeft w:val="640"/>
          <w:marRight w:val="0"/>
          <w:marTop w:val="0"/>
          <w:marBottom w:val="0"/>
          <w:divBdr>
            <w:top w:val="none" w:sz="0" w:space="0" w:color="auto"/>
            <w:left w:val="none" w:sz="0" w:space="0" w:color="auto"/>
            <w:bottom w:val="none" w:sz="0" w:space="0" w:color="auto"/>
            <w:right w:val="none" w:sz="0" w:space="0" w:color="auto"/>
          </w:divBdr>
        </w:div>
      </w:divsChild>
    </w:div>
    <w:div w:id="651523182">
      <w:bodyDiv w:val="1"/>
      <w:marLeft w:val="0"/>
      <w:marRight w:val="0"/>
      <w:marTop w:val="0"/>
      <w:marBottom w:val="0"/>
      <w:divBdr>
        <w:top w:val="none" w:sz="0" w:space="0" w:color="auto"/>
        <w:left w:val="none" w:sz="0" w:space="0" w:color="auto"/>
        <w:bottom w:val="none" w:sz="0" w:space="0" w:color="auto"/>
        <w:right w:val="none" w:sz="0" w:space="0" w:color="auto"/>
      </w:divBdr>
      <w:divsChild>
        <w:div w:id="1059203610">
          <w:marLeft w:val="640"/>
          <w:marRight w:val="0"/>
          <w:marTop w:val="0"/>
          <w:marBottom w:val="0"/>
          <w:divBdr>
            <w:top w:val="none" w:sz="0" w:space="0" w:color="auto"/>
            <w:left w:val="none" w:sz="0" w:space="0" w:color="auto"/>
            <w:bottom w:val="none" w:sz="0" w:space="0" w:color="auto"/>
            <w:right w:val="none" w:sz="0" w:space="0" w:color="auto"/>
          </w:divBdr>
        </w:div>
        <w:div w:id="1196503304">
          <w:marLeft w:val="640"/>
          <w:marRight w:val="0"/>
          <w:marTop w:val="0"/>
          <w:marBottom w:val="0"/>
          <w:divBdr>
            <w:top w:val="none" w:sz="0" w:space="0" w:color="auto"/>
            <w:left w:val="none" w:sz="0" w:space="0" w:color="auto"/>
            <w:bottom w:val="none" w:sz="0" w:space="0" w:color="auto"/>
            <w:right w:val="none" w:sz="0" w:space="0" w:color="auto"/>
          </w:divBdr>
        </w:div>
        <w:div w:id="1931040576">
          <w:marLeft w:val="640"/>
          <w:marRight w:val="0"/>
          <w:marTop w:val="0"/>
          <w:marBottom w:val="0"/>
          <w:divBdr>
            <w:top w:val="none" w:sz="0" w:space="0" w:color="auto"/>
            <w:left w:val="none" w:sz="0" w:space="0" w:color="auto"/>
            <w:bottom w:val="none" w:sz="0" w:space="0" w:color="auto"/>
            <w:right w:val="none" w:sz="0" w:space="0" w:color="auto"/>
          </w:divBdr>
        </w:div>
        <w:div w:id="916786955">
          <w:marLeft w:val="640"/>
          <w:marRight w:val="0"/>
          <w:marTop w:val="0"/>
          <w:marBottom w:val="0"/>
          <w:divBdr>
            <w:top w:val="none" w:sz="0" w:space="0" w:color="auto"/>
            <w:left w:val="none" w:sz="0" w:space="0" w:color="auto"/>
            <w:bottom w:val="none" w:sz="0" w:space="0" w:color="auto"/>
            <w:right w:val="none" w:sz="0" w:space="0" w:color="auto"/>
          </w:divBdr>
        </w:div>
        <w:div w:id="974525517">
          <w:marLeft w:val="640"/>
          <w:marRight w:val="0"/>
          <w:marTop w:val="0"/>
          <w:marBottom w:val="0"/>
          <w:divBdr>
            <w:top w:val="none" w:sz="0" w:space="0" w:color="auto"/>
            <w:left w:val="none" w:sz="0" w:space="0" w:color="auto"/>
            <w:bottom w:val="none" w:sz="0" w:space="0" w:color="auto"/>
            <w:right w:val="none" w:sz="0" w:space="0" w:color="auto"/>
          </w:divBdr>
        </w:div>
        <w:div w:id="265191174">
          <w:marLeft w:val="640"/>
          <w:marRight w:val="0"/>
          <w:marTop w:val="0"/>
          <w:marBottom w:val="0"/>
          <w:divBdr>
            <w:top w:val="none" w:sz="0" w:space="0" w:color="auto"/>
            <w:left w:val="none" w:sz="0" w:space="0" w:color="auto"/>
            <w:bottom w:val="none" w:sz="0" w:space="0" w:color="auto"/>
            <w:right w:val="none" w:sz="0" w:space="0" w:color="auto"/>
          </w:divBdr>
        </w:div>
        <w:div w:id="1371878938">
          <w:marLeft w:val="640"/>
          <w:marRight w:val="0"/>
          <w:marTop w:val="0"/>
          <w:marBottom w:val="0"/>
          <w:divBdr>
            <w:top w:val="none" w:sz="0" w:space="0" w:color="auto"/>
            <w:left w:val="none" w:sz="0" w:space="0" w:color="auto"/>
            <w:bottom w:val="none" w:sz="0" w:space="0" w:color="auto"/>
            <w:right w:val="none" w:sz="0" w:space="0" w:color="auto"/>
          </w:divBdr>
        </w:div>
        <w:div w:id="785083886">
          <w:marLeft w:val="640"/>
          <w:marRight w:val="0"/>
          <w:marTop w:val="0"/>
          <w:marBottom w:val="0"/>
          <w:divBdr>
            <w:top w:val="none" w:sz="0" w:space="0" w:color="auto"/>
            <w:left w:val="none" w:sz="0" w:space="0" w:color="auto"/>
            <w:bottom w:val="none" w:sz="0" w:space="0" w:color="auto"/>
            <w:right w:val="none" w:sz="0" w:space="0" w:color="auto"/>
          </w:divBdr>
        </w:div>
        <w:div w:id="977536130">
          <w:marLeft w:val="640"/>
          <w:marRight w:val="0"/>
          <w:marTop w:val="0"/>
          <w:marBottom w:val="0"/>
          <w:divBdr>
            <w:top w:val="none" w:sz="0" w:space="0" w:color="auto"/>
            <w:left w:val="none" w:sz="0" w:space="0" w:color="auto"/>
            <w:bottom w:val="none" w:sz="0" w:space="0" w:color="auto"/>
            <w:right w:val="none" w:sz="0" w:space="0" w:color="auto"/>
          </w:divBdr>
        </w:div>
        <w:div w:id="10373446">
          <w:marLeft w:val="640"/>
          <w:marRight w:val="0"/>
          <w:marTop w:val="0"/>
          <w:marBottom w:val="0"/>
          <w:divBdr>
            <w:top w:val="none" w:sz="0" w:space="0" w:color="auto"/>
            <w:left w:val="none" w:sz="0" w:space="0" w:color="auto"/>
            <w:bottom w:val="none" w:sz="0" w:space="0" w:color="auto"/>
            <w:right w:val="none" w:sz="0" w:space="0" w:color="auto"/>
          </w:divBdr>
        </w:div>
        <w:div w:id="213467890">
          <w:marLeft w:val="640"/>
          <w:marRight w:val="0"/>
          <w:marTop w:val="0"/>
          <w:marBottom w:val="0"/>
          <w:divBdr>
            <w:top w:val="none" w:sz="0" w:space="0" w:color="auto"/>
            <w:left w:val="none" w:sz="0" w:space="0" w:color="auto"/>
            <w:bottom w:val="none" w:sz="0" w:space="0" w:color="auto"/>
            <w:right w:val="none" w:sz="0" w:space="0" w:color="auto"/>
          </w:divBdr>
        </w:div>
        <w:div w:id="44641368">
          <w:marLeft w:val="640"/>
          <w:marRight w:val="0"/>
          <w:marTop w:val="0"/>
          <w:marBottom w:val="0"/>
          <w:divBdr>
            <w:top w:val="none" w:sz="0" w:space="0" w:color="auto"/>
            <w:left w:val="none" w:sz="0" w:space="0" w:color="auto"/>
            <w:bottom w:val="none" w:sz="0" w:space="0" w:color="auto"/>
            <w:right w:val="none" w:sz="0" w:space="0" w:color="auto"/>
          </w:divBdr>
        </w:div>
        <w:div w:id="1936858130">
          <w:marLeft w:val="640"/>
          <w:marRight w:val="0"/>
          <w:marTop w:val="0"/>
          <w:marBottom w:val="0"/>
          <w:divBdr>
            <w:top w:val="none" w:sz="0" w:space="0" w:color="auto"/>
            <w:left w:val="none" w:sz="0" w:space="0" w:color="auto"/>
            <w:bottom w:val="none" w:sz="0" w:space="0" w:color="auto"/>
            <w:right w:val="none" w:sz="0" w:space="0" w:color="auto"/>
          </w:divBdr>
        </w:div>
        <w:div w:id="74594423">
          <w:marLeft w:val="640"/>
          <w:marRight w:val="0"/>
          <w:marTop w:val="0"/>
          <w:marBottom w:val="0"/>
          <w:divBdr>
            <w:top w:val="none" w:sz="0" w:space="0" w:color="auto"/>
            <w:left w:val="none" w:sz="0" w:space="0" w:color="auto"/>
            <w:bottom w:val="none" w:sz="0" w:space="0" w:color="auto"/>
            <w:right w:val="none" w:sz="0" w:space="0" w:color="auto"/>
          </w:divBdr>
        </w:div>
        <w:div w:id="1271545297">
          <w:marLeft w:val="640"/>
          <w:marRight w:val="0"/>
          <w:marTop w:val="0"/>
          <w:marBottom w:val="0"/>
          <w:divBdr>
            <w:top w:val="none" w:sz="0" w:space="0" w:color="auto"/>
            <w:left w:val="none" w:sz="0" w:space="0" w:color="auto"/>
            <w:bottom w:val="none" w:sz="0" w:space="0" w:color="auto"/>
            <w:right w:val="none" w:sz="0" w:space="0" w:color="auto"/>
          </w:divBdr>
        </w:div>
        <w:div w:id="1761175819">
          <w:marLeft w:val="640"/>
          <w:marRight w:val="0"/>
          <w:marTop w:val="0"/>
          <w:marBottom w:val="0"/>
          <w:divBdr>
            <w:top w:val="none" w:sz="0" w:space="0" w:color="auto"/>
            <w:left w:val="none" w:sz="0" w:space="0" w:color="auto"/>
            <w:bottom w:val="none" w:sz="0" w:space="0" w:color="auto"/>
            <w:right w:val="none" w:sz="0" w:space="0" w:color="auto"/>
          </w:divBdr>
        </w:div>
        <w:div w:id="1496991756">
          <w:marLeft w:val="640"/>
          <w:marRight w:val="0"/>
          <w:marTop w:val="0"/>
          <w:marBottom w:val="0"/>
          <w:divBdr>
            <w:top w:val="none" w:sz="0" w:space="0" w:color="auto"/>
            <w:left w:val="none" w:sz="0" w:space="0" w:color="auto"/>
            <w:bottom w:val="none" w:sz="0" w:space="0" w:color="auto"/>
            <w:right w:val="none" w:sz="0" w:space="0" w:color="auto"/>
          </w:divBdr>
        </w:div>
        <w:div w:id="569317304">
          <w:marLeft w:val="640"/>
          <w:marRight w:val="0"/>
          <w:marTop w:val="0"/>
          <w:marBottom w:val="0"/>
          <w:divBdr>
            <w:top w:val="none" w:sz="0" w:space="0" w:color="auto"/>
            <w:left w:val="none" w:sz="0" w:space="0" w:color="auto"/>
            <w:bottom w:val="none" w:sz="0" w:space="0" w:color="auto"/>
            <w:right w:val="none" w:sz="0" w:space="0" w:color="auto"/>
          </w:divBdr>
        </w:div>
        <w:div w:id="430440712">
          <w:marLeft w:val="640"/>
          <w:marRight w:val="0"/>
          <w:marTop w:val="0"/>
          <w:marBottom w:val="0"/>
          <w:divBdr>
            <w:top w:val="none" w:sz="0" w:space="0" w:color="auto"/>
            <w:left w:val="none" w:sz="0" w:space="0" w:color="auto"/>
            <w:bottom w:val="none" w:sz="0" w:space="0" w:color="auto"/>
            <w:right w:val="none" w:sz="0" w:space="0" w:color="auto"/>
          </w:divBdr>
        </w:div>
        <w:div w:id="294800904">
          <w:marLeft w:val="640"/>
          <w:marRight w:val="0"/>
          <w:marTop w:val="0"/>
          <w:marBottom w:val="0"/>
          <w:divBdr>
            <w:top w:val="none" w:sz="0" w:space="0" w:color="auto"/>
            <w:left w:val="none" w:sz="0" w:space="0" w:color="auto"/>
            <w:bottom w:val="none" w:sz="0" w:space="0" w:color="auto"/>
            <w:right w:val="none" w:sz="0" w:space="0" w:color="auto"/>
          </w:divBdr>
        </w:div>
        <w:div w:id="194660692">
          <w:marLeft w:val="640"/>
          <w:marRight w:val="0"/>
          <w:marTop w:val="0"/>
          <w:marBottom w:val="0"/>
          <w:divBdr>
            <w:top w:val="none" w:sz="0" w:space="0" w:color="auto"/>
            <w:left w:val="none" w:sz="0" w:space="0" w:color="auto"/>
            <w:bottom w:val="none" w:sz="0" w:space="0" w:color="auto"/>
            <w:right w:val="none" w:sz="0" w:space="0" w:color="auto"/>
          </w:divBdr>
        </w:div>
        <w:div w:id="101077247">
          <w:marLeft w:val="640"/>
          <w:marRight w:val="0"/>
          <w:marTop w:val="0"/>
          <w:marBottom w:val="0"/>
          <w:divBdr>
            <w:top w:val="none" w:sz="0" w:space="0" w:color="auto"/>
            <w:left w:val="none" w:sz="0" w:space="0" w:color="auto"/>
            <w:bottom w:val="none" w:sz="0" w:space="0" w:color="auto"/>
            <w:right w:val="none" w:sz="0" w:space="0" w:color="auto"/>
          </w:divBdr>
        </w:div>
        <w:div w:id="1671180757">
          <w:marLeft w:val="640"/>
          <w:marRight w:val="0"/>
          <w:marTop w:val="0"/>
          <w:marBottom w:val="0"/>
          <w:divBdr>
            <w:top w:val="none" w:sz="0" w:space="0" w:color="auto"/>
            <w:left w:val="none" w:sz="0" w:space="0" w:color="auto"/>
            <w:bottom w:val="none" w:sz="0" w:space="0" w:color="auto"/>
            <w:right w:val="none" w:sz="0" w:space="0" w:color="auto"/>
          </w:divBdr>
        </w:div>
        <w:div w:id="308823809">
          <w:marLeft w:val="640"/>
          <w:marRight w:val="0"/>
          <w:marTop w:val="0"/>
          <w:marBottom w:val="0"/>
          <w:divBdr>
            <w:top w:val="none" w:sz="0" w:space="0" w:color="auto"/>
            <w:left w:val="none" w:sz="0" w:space="0" w:color="auto"/>
            <w:bottom w:val="none" w:sz="0" w:space="0" w:color="auto"/>
            <w:right w:val="none" w:sz="0" w:space="0" w:color="auto"/>
          </w:divBdr>
        </w:div>
        <w:div w:id="1835562309">
          <w:marLeft w:val="640"/>
          <w:marRight w:val="0"/>
          <w:marTop w:val="0"/>
          <w:marBottom w:val="0"/>
          <w:divBdr>
            <w:top w:val="none" w:sz="0" w:space="0" w:color="auto"/>
            <w:left w:val="none" w:sz="0" w:space="0" w:color="auto"/>
            <w:bottom w:val="none" w:sz="0" w:space="0" w:color="auto"/>
            <w:right w:val="none" w:sz="0" w:space="0" w:color="auto"/>
          </w:divBdr>
        </w:div>
        <w:div w:id="817192150">
          <w:marLeft w:val="640"/>
          <w:marRight w:val="0"/>
          <w:marTop w:val="0"/>
          <w:marBottom w:val="0"/>
          <w:divBdr>
            <w:top w:val="none" w:sz="0" w:space="0" w:color="auto"/>
            <w:left w:val="none" w:sz="0" w:space="0" w:color="auto"/>
            <w:bottom w:val="none" w:sz="0" w:space="0" w:color="auto"/>
            <w:right w:val="none" w:sz="0" w:space="0" w:color="auto"/>
          </w:divBdr>
        </w:div>
        <w:div w:id="559170069">
          <w:marLeft w:val="640"/>
          <w:marRight w:val="0"/>
          <w:marTop w:val="0"/>
          <w:marBottom w:val="0"/>
          <w:divBdr>
            <w:top w:val="none" w:sz="0" w:space="0" w:color="auto"/>
            <w:left w:val="none" w:sz="0" w:space="0" w:color="auto"/>
            <w:bottom w:val="none" w:sz="0" w:space="0" w:color="auto"/>
            <w:right w:val="none" w:sz="0" w:space="0" w:color="auto"/>
          </w:divBdr>
        </w:div>
        <w:div w:id="1033308789">
          <w:marLeft w:val="640"/>
          <w:marRight w:val="0"/>
          <w:marTop w:val="0"/>
          <w:marBottom w:val="0"/>
          <w:divBdr>
            <w:top w:val="none" w:sz="0" w:space="0" w:color="auto"/>
            <w:left w:val="none" w:sz="0" w:space="0" w:color="auto"/>
            <w:bottom w:val="none" w:sz="0" w:space="0" w:color="auto"/>
            <w:right w:val="none" w:sz="0" w:space="0" w:color="auto"/>
          </w:divBdr>
        </w:div>
        <w:div w:id="594095018">
          <w:marLeft w:val="640"/>
          <w:marRight w:val="0"/>
          <w:marTop w:val="0"/>
          <w:marBottom w:val="0"/>
          <w:divBdr>
            <w:top w:val="none" w:sz="0" w:space="0" w:color="auto"/>
            <w:left w:val="none" w:sz="0" w:space="0" w:color="auto"/>
            <w:bottom w:val="none" w:sz="0" w:space="0" w:color="auto"/>
            <w:right w:val="none" w:sz="0" w:space="0" w:color="auto"/>
          </w:divBdr>
        </w:div>
        <w:div w:id="493305417">
          <w:marLeft w:val="640"/>
          <w:marRight w:val="0"/>
          <w:marTop w:val="0"/>
          <w:marBottom w:val="0"/>
          <w:divBdr>
            <w:top w:val="none" w:sz="0" w:space="0" w:color="auto"/>
            <w:left w:val="none" w:sz="0" w:space="0" w:color="auto"/>
            <w:bottom w:val="none" w:sz="0" w:space="0" w:color="auto"/>
            <w:right w:val="none" w:sz="0" w:space="0" w:color="auto"/>
          </w:divBdr>
        </w:div>
        <w:div w:id="235165771">
          <w:marLeft w:val="640"/>
          <w:marRight w:val="0"/>
          <w:marTop w:val="0"/>
          <w:marBottom w:val="0"/>
          <w:divBdr>
            <w:top w:val="none" w:sz="0" w:space="0" w:color="auto"/>
            <w:left w:val="none" w:sz="0" w:space="0" w:color="auto"/>
            <w:bottom w:val="none" w:sz="0" w:space="0" w:color="auto"/>
            <w:right w:val="none" w:sz="0" w:space="0" w:color="auto"/>
          </w:divBdr>
        </w:div>
        <w:div w:id="1201472297">
          <w:marLeft w:val="640"/>
          <w:marRight w:val="0"/>
          <w:marTop w:val="0"/>
          <w:marBottom w:val="0"/>
          <w:divBdr>
            <w:top w:val="none" w:sz="0" w:space="0" w:color="auto"/>
            <w:left w:val="none" w:sz="0" w:space="0" w:color="auto"/>
            <w:bottom w:val="none" w:sz="0" w:space="0" w:color="auto"/>
            <w:right w:val="none" w:sz="0" w:space="0" w:color="auto"/>
          </w:divBdr>
        </w:div>
        <w:div w:id="560873534">
          <w:marLeft w:val="640"/>
          <w:marRight w:val="0"/>
          <w:marTop w:val="0"/>
          <w:marBottom w:val="0"/>
          <w:divBdr>
            <w:top w:val="none" w:sz="0" w:space="0" w:color="auto"/>
            <w:left w:val="none" w:sz="0" w:space="0" w:color="auto"/>
            <w:bottom w:val="none" w:sz="0" w:space="0" w:color="auto"/>
            <w:right w:val="none" w:sz="0" w:space="0" w:color="auto"/>
          </w:divBdr>
        </w:div>
        <w:div w:id="1624001048">
          <w:marLeft w:val="640"/>
          <w:marRight w:val="0"/>
          <w:marTop w:val="0"/>
          <w:marBottom w:val="0"/>
          <w:divBdr>
            <w:top w:val="none" w:sz="0" w:space="0" w:color="auto"/>
            <w:left w:val="none" w:sz="0" w:space="0" w:color="auto"/>
            <w:bottom w:val="none" w:sz="0" w:space="0" w:color="auto"/>
            <w:right w:val="none" w:sz="0" w:space="0" w:color="auto"/>
          </w:divBdr>
        </w:div>
        <w:div w:id="832649052">
          <w:marLeft w:val="640"/>
          <w:marRight w:val="0"/>
          <w:marTop w:val="0"/>
          <w:marBottom w:val="0"/>
          <w:divBdr>
            <w:top w:val="none" w:sz="0" w:space="0" w:color="auto"/>
            <w:left w:val="none" w:sz="0" w:space="0" w:color="auto"/>
            <w:bottom w:val="none" w:sz="0" w:space="0" w:color="auto"/>
            <w:right w:val="none" w:sz="0" w:space="0" w:color="auto"/>
          </w:divBdr>
        </w:div>
        <w:div w:id="1816987874">
          <w:marLeft w:val="640"/>
          <w:marRight w:val="0"/>
          <w:marTop w:val="0"/>
          <w:marBottom w:val="0"/>
          <w:divBdr>
            <w:top w:val="none" w:sz="0" w:space="0" w:color="auto"/>
            <w:left w:val="none" w:sz="0" w:space="0" w:color="auto"/>
            <w:bottom w:val="none" w:sz="0" w:space="0" w:color="auto"/>
            <w:right w:val="none" w:sz="0" w:space="0" w:color="auto"/>
          </w:divBdr>
        </w:div>
        <w:div w:id="672803635">
          <w:marLeft w:val="640"/>
          <w:marRight w:val="0"/>
          <w:marTop w:val="0"/>
          <w:marBottom w:val="0"/>
          <w:divBdr>
            <w:top w:val="none" w:sz="0" w:space="0" w:color="auto"/>
            <w:left w:val="none" w:sz="0" w:space="0" w:color="auto"/>
            <w:bottom w:val="none" w:sz="0" w:space="0" w:color="auto"/>
            <w:right w:val="none" w:sz="0" w:space="0" w:color="auto"/>
          </w:divBdr>
        </w:div>
        <w:div w:id="1165323243">
          <w:marLeft w:val="640"/>
          <w:marRight w:val="0"/>
          <w:marTop w:val="0"/>
          <w:marBottom w:val="0"/>
          <w:divBdr>
            <w:top w:val="none" w:sz="0" w:space="0" w:color="auto"/>
            <w:left w:val="none" w:sz="0" w:space="0" w:color="auto"/>
            <w:bottom w:val="none" w:sz="0" w:space="0" w:color="auto"/>
            <w:right w:val="none" w:sz="0" w:space="0" w:color="auto"/>
          </w:divBdr>
        </w:div>
        <w:div w:id="949359292">
          <w:marLeft w:val="640"/>
          <w:marRight w:val="0"/>
          <w:marTop w:val="0"/>
          <w:marBottom w:val="0"/>
          <w:divBdr>
            <w:top w:val="none" w:sz="0" w:space="0" w:color="auto"/>
            <w:left w:val="none" w:sz="0" w:space="0" w:color="auto"/>
            <w:bottom w:val="none" w:sz="0" w:space="0" w:color="auto"/>
            <w:right w:val="none" w:sz="0" w:space="0" w:color="auto"/>
          </w:divBdr>
        </w:div>
        <w:div w:id="2041935446">
          <w:marLeft w:val="640"/>
          <w:marRight w:val="0"/>
          <w:marTop w:val="0"/>
          <w:marBottom w:val="0"/>
          <w:divBdr>
            <w:top w:val="none" w:sz="0" w:space="0" w:color="auto"/>
            <w:left w:val="none" w:sz="0" w:space="0" w:color="auto"/>
            <w:bottom w:val="none" w:sz="0" w:space="0" w:color="auto"/>
            <w:right w:val="none" w:sz="0" w:space="0" w:color="auto"/>
          </w:divBdr>
        </w:div>
        <w:div w:id="675152600">
          <w:marLeft w:val="640"/>
          <w:marRight w:val="0"/>
          <w:marTop w:val="0"/>
          <w:marBottom w:val="0"/>
          <w:divBdr>
            <w:top w:val="none" w:sz="0" w:space="0" w:color="auto"/>
            <w:left w:val="none" w:sz="0" w:space="0" w:color="auto"/>
            <w:bottom w:val="none" w:sz="0" w:space="0" w:color="auto"/>
            <w:right w:val="none" w:sz="0" w:space="0" w:color="auto"/>
          </w:divBdr>
        </w:div>
        <w:div w:id="669139229">
          <w:marLeft w:val="640"/>
          <w:marRight w:val="0"/>
          <w:marTop w:val="0"/>
          <w:marBottom w:val="0"/>
          <w:divBdr>
            <w:top w:val="none" w:sz="0" w:space="0" w:color="auto"/>
            <w:left w:val="none" w:sz="0" w:space="0" w:color="auto"/>
            <w:bottom w:val="none" w:sz="0" w:space="0" w:color="auto"/>
            <w:right w:val="none" w:sz="0" w:space="0" w:color="auto"/>
          </w:divBdr>
        </w:div>
        <w:div w:id="683170593">
          <w:marLeft w:val="640"/>
          <w:marRight w:val="0"/>
          <w:marTop w:val="0"/>
          <w:marBottom w:val="0"/>
          <w:divBdr>
            <w:top w:val="none" w:sz="0" w:space="0" w:color="auto"/>
            <w:left w:val="none" w:sz="0" w:space="0" w:color="auto"/>
            <w:bottom w:val="none" w:sz="0" w:space="0" w:color="auto"/>
            <w:right w:val="none" w:sz="0" w:space="0" w:color="auto"/>
          </w:divBdr>
        </w:div>
        <w:div w:id="1207064471">
          <w:marLeft w:val="640"/>
          <w:marRight w:val="0"/>
          <w:marTop w:val="0"/>
          <w:marBottom w:val="0"/>
          <w:divBdr>
            <w:top w:val="none" w:sz="0" w:space="0" w:color="auto"/>
            <w:left w:val="none" w:sz="0" w:space="0" w:color="auto"/>
            <w:bottom w:val="none" w:sz="0" w:space="0" w:color="auto"/>
            <w:right w:val="none" w:sz="0" w:space="0" w:color="auto"/>
          </w:divBdr>
        </w:div>
        <w:div w:id="1026559609">
          <w:marLeft w:val="640"/>
          <w:marRight w:val="0"/>
          <w:marTop w:val="0"/>
          <w:marBottom w:val="0"/>
          <w:divBdr>
            <w:top w:val="none" w:sz="0" w:space="0" w:color="auto"/>
            <w:left w:val="none" w:sz="0" w:space="0" w:color="auto"/>
            <w:bottom w:val="none" w:sz="0" w:space="0" w:color="auto"/>
            <w:right w:val="none" w:sz="0" w:space="0" w:color="auto"/>
          </w:divBdr>
        </w:div>
        <w:div w:id="1744260029">
          <w:marLeft w:val="640"/>
          <w:marRight w:val="0"/>
          <w:marTop w:val="0"/>
          <w:marBottom w:val="0"/>
          <w:divBdr>
            <w:top w:val="none" w:sz="0" w:space="0" w:color="auto"/>
            <w:left w:val="none" w:sz="0" w:space="0" w:color="auto"/>
            <w:bottom w:val="none" w:sz="0" w:space="0" w:color="auto"/>
            <w:right w:val="none" w:sz="0" w:space="0" w:color="auto"/>
          </w:divBdr>
        </w:div>
        <w:div w:id="223486745">
          <w:marLeft w:val="640"/>
          <w:marRight w:val="0"/>
          <w:marTop w:val="0"/>
          <w:marBottom w:val="0"/>
          <w:divBdr>
            <w:top w:val="none" w:sz="0" w:space="0" w:color="auto"/>
            <w:left w:val="none" w:sz="0" w:space="0" w:color="auto"/>
            <w:bottom w:val="none" w:sz="0" w:space="0" w:color="auto"/>
            <w:right w:val="none" w:sz="0" w:space="0" w:color="auto"/>
          </w:divBdr>
        </w:div>
        <w:div w:id="477840903">
          <w:marLeft w:val="640"/>
          <w:marRight w:val="0"/>
          <w:marTop w:val="0"/>
          <w:marBottom w:val="0"/>
          <w:divBdr>
            <w:top w:val="none" w:sz="0" w:space="0" w:color="auto"/>
            <w:left w:val="none" w:sz="0" w:space="0" w:color="auto"/>
            <w:bottom w:val="none" w:sz="0" w:space="0" w:color="auto"/>
            <w:right w:val="none" w:sz="0" w:space="0" w:color="auto"/>
          </w:divBdr>
        </w:div>
        <w:div w:id="907767051">
          <w:marLeft w:val="640"/>
          <w:marRight w:val="0"/>
          <w:marTop w:val="0"/>
          <w:marBottom w:val="0"/>
          <w:divBdr>
            <w:top w:val="none" w:sz="0" w:space="0" w:color="auto"/>
            <w:left w:val="none" w:sz="0" w:space="0" w:color="auto"/>
            <w:bottom w:val="none" w:sz="0" w:space="0" w:color="auto"/>
            <w:right w:val="none" w:sz="0" w:space="0" w:color="auto"/>
          </w:divBdr>
        </w:div>
        <w:div w:id="117651688">
          <w:marLeft w:val="640"/>
          <w:marRight w:val="0"/>
          <w:marTop w:val="0"/>
          <w:marBottom w:val="0"/>
          <w:divBdr>
            <w:top w:val="none" w:sz="0" w:space="0" w:color="auto"/>
            <w:left w:val="none" w:sz="0" w:space="0" w:color="auto"/>
            <w:bottom w:val="none" w:sz="0" w:space="0" w:color="auto"/>
            <w:right w:val="none" w:sz="0" w:space="0" w:color="auto"/>
          </w:divBdr>
        </w:div>
        <w:div w:id="357434906">
          <w:marLeft w:val="640"/>
          <w:marRight w:val="0"/>
          <w:marTop w:val="0"/>
          <w:marBottom w:val="0"/>
          <w:divBdr>
            <w:top w:val="none" w:sz="0" w:space="0" w:color="auto"/>
            <w:left w:val="none" w:sz="0" w:space="0" w:color="auto"/>
            <w:bottom w:val="none" w:sz="0" w:space="0" w:color="auto"/>
            <w:right w:val="none" w:sz="0" w:space="0" w:color="auto"/>
          </w:divBdr>
        </w:div>
        <w:div w:id="978416533">
          <w:marLeft w:val="640"/>
          <w:marRight w:val="0"/>
          <w:marTop w:val="0"/>
          <w:marBottom w:val="0"/>
          <w:divBdr>
            <w:top w:val="none" w:sz="0" w:space="0" w:color="auto"/>
            <w:left w:val="none" w:sz="0" w:space="0" w:color="auto"/>
            <w:bottom w:val="none" w:sz="0" w:space="0" w:color="auto"/>
            <w:right w:val="none" w:sz="0" w:space="0" w:color="auto"/>
          </w:divBdr>
        </w:div>
        <w:div w:id="575089596">
          <w:marLeft w:val="640"/>
          <w:marRight w:val="0"/>
          <w:marTop w:val="0"/>
          <w:marBottom w:val="0"/>
          <w:divBdr>
            <w:top w:val="none" w:sz="0" w:space="0" w:color="auto"/>
            <w:left w:val="none" w:sz="0" w:space="0" w:color="auto"/>
            <w:bottom w:val="none" w:sz="0" w:space="0" w:color="auto"/>
            <w:right w:val="none" w:sz="0" w:space="0" w:color="auto"/>
          </w:divBdr>
        </w:div>
        <w:div w:id="1272665778">
          <w:marLeft w:val="640"/>
          <w:marRight w:val="0"/>
          <w:marTop w:val="0"/>
          <w:marBottom w:val="0"/>
          <w:divBdr>
            <w:top w:val="none" w:sz="0" w:space="0" w:color="auto"/>
            <w:left w:val="none" w:sz="0" w:space="0" w:color="auto"/>
            <w:bottom w:val="none" w:sz="0" w:space="0" w:color="auto"/>
            <w:right w:val="none" w:sz="0" w:space="0" w:color="auto"/>
          </w:divBdr>
        </w:div>
        <w:div w:id="1949657847">
          <w:marLeft w:val="640"/>
          <w:marRight w:val="0"/>
          <w:marTop w:val="0"/>
          <w:marBottom w:val="0"/>
          <w:divBdr>
            <w:top w:val="none" w:sz="0" w:space="0" w:color="auto"/>
            <w:left w:val="none" w:sz="0" w:space="0" w:color="auto"/>
            <w:bottom w:val="none" w:sz="0" w:space="0" w:color="auto"/>
            <w:right w:val="none" w:sz="0" w:space="0" w:color="auto"/>
          </w:divBdr>
        </w:div>
        <w:div w:id="108941149">
          <w:marLeft w:val="640"/>
          <w:marRight w:val="0"/>
          <w:marTop w:val="0"/>
          <w:marBottom w:val="0"/>
          <w:divBdr>
            <w:top w:val="none" w:sz="0" w:space="0" w:color="auto"/>
            <w:left w:val="none" w:sz="0" w:space="0" w:color="auto"/>
            <w:bottom w:val="none" w:sz="0" w:space="0" w:color="auto"/>
            <w:right w:val="none" w:sz="0" w:space="0" w:color="auto"/>
          </w:divBdr>
        </w:div>
        <w:div w:id="989479911">
          <w:marLeft w:val="640"/>
          <w:marRight w:val="0"/>
          <w:marTop w:val="0"/>
          <w:marBottom w:val="0"/>
          <w:divBdr>
            <w:top w:val="none" w:sz="0" w:space="0" w:color="auto"/>
            <w:left w:val="none" w:sz="0" w:space="0" w:color="auto"/>
            <w:bottom w:val="none" w:sz="0" w:space="0" w:color="auto"/>
            <w:right w:val="none" w:sz="0" w:space="0" w:color="auto"/>
          </w:divBdr>
        </w:div>
        <w:div w:id="1831822726">
          <w:marLeft w:val="640"/>
          <w:marRight w:val="0"/>
          <w:marTop w:val="0"/>
          <w:marBottom w:val="0"/>
          <w:divBdr>
            <w:top w:val="none" w:sz="0" w:space="0" w:color="auto"/>
            <w:left w:val="none" w:sz="0" w:space="0" w:color="auto"/>
            <w:bottom w:val="none" w:sz="0" w:space="0" w:color="auto"/>
            <w:right w:val="none" w:sz="0" w:space="0" w:color="auto"/>
          </w:divBdr>
        </w:div>
        <w:div w:id="748576051">
          <w:marLeft w:val="640"/>
          <w:marRight w:val="0"/>
          <w:marTop w:val="0"/>
          <w:marBottom w:val="0"/>
          <w:divBdr>
            <w:top w:val="none" w:sz="0" w:space="0" w:color="auto"/>
            <w:left w:val="none" w:sz="0" w:space="0" w:color="auto"/>
            <w:bottom w:val="none" w:sz="0" w:space="0" w:color="auto"/>
            <w:right w:val="none" w:sz="0" w:space="0" w:color="auto"/>
          </w:divBdr>
        </w:div>
        <w:div w:id="366373996">
          <w:marLeft w:val="640"/>
          <w:marRight w:val="0"/>
          <w:marTop w:val="0"/>
          <w:marBottom w:val="0"/>
          <w:divBdr>
            <w:top w:val="none" w:sz="0" w:space="0" w:color="auto"/>
            <w:left w:val="none" w:sz="0" w:space="0" w:color="auto"/>
            <w:bottom w:val="none" w:sz="0" w:space="0" w:color="auto"/>
            <w:right w:val="none" w:sz="0" w:space="0" w:color="auto"/>
          </w:divBdr>
        </w:div>
        <w:div w:id="1509826929">
          <w:marLeft w:val="640"/>
          <w:marRight w:val="0"/>
          <w:marTop w:val="0"/>
          <w:marBottom w:val="0"/>
          <w:divBdr>
            <w:top w:val="none" w:sz="0" w:space="0" w:color="auto"/>
            <w:left w:val="none" w:sz="0" w:space="0" w:color="auto"/>
            <w:bottom w:val="none" w:sz="0" w:space="0" w:color="auto"/>
            <w:right w:val="none" w:sz="0" w:space="0" w:color="auto"/>
          </w:divBdr>
        </w:div>
        <w:div w:id="1950505685">
          <w:marLeft w:val="640"/>
          <w:marRight w:val="0"/>
          <w:marTop w:val="0"/>
          <w:marBottom w:val="0"/>
          <w:divBdr>
            <w:top w:val="none" w:sz="0" w:space="0" w:color="auto"/>
            <w:left w:val="none" w:sz="0" w:space="0" w:color="auto"/>
            <w:bottom w:val="none" w:sz="0" w:space="0" w:color="auto"/>
            <w:right w:val="none" w:sz="0" w:space="0" w:color="auto"/>
          </w:divBdr>
        </w:div>
        <w:div w:id="130290321">
          <w:marLeft w:val="640"/>
          <w:marRight w:val="0"/>
          <w:marTop w:val="0"/>
          <w:marBottom w:val="0"/>
          <w:divBdr>
            <w:top w:val="none" w:sz="0" w:space="0" w:color="auto"/>
            <w:left w:val="none" w:sz="0" w:space="0" w:color="auto"/>
            <w:bottom w:val="none" w:sz="0" w:space="0" w:color="auto"/>
            <w:right w:val="none" w:sz="0" w:space="0" w:color="auto"/>
          </w:divBdr>
        </w:div>
        <w:div w:id="365179935">
          <w:marLeft w:val="640"/>
          <w:marRight w:val="0"/>
          <w:marTop w:val="0"/>
          <w:marBottom w:val="0"/>
          <w:divBdr>
            <w:top w:val="none" w:sz="0" w:space="0" w:color="auto"/>
            <w:left w:val="none" w:sz="0" w:space="0" w:color="auto"/>
            <w:bottom w:val="none" w:sz="0" w:space="0" w:color="auto"/>
            <w:right w:val="none" w:sz="0" w:space="0" w:color="auto"/>
          </w:divBdr>
        </w:div>
        <w:div w:id="1123764766">
          <w:marLeft w:val="640"/>
          <w:marRight w:val="0"/>
          <w:marTop w:val="0"/>
          <w:marBottom w:val="0"/>
          <w:divBdr>
            <w:top w:val="none" w:sz="0" w:space="0" w:color="auto"/>
            <w:left w:val="none" w:sz="0" w:space="0" w:color="auto"/>
            <w:bottom w:val="none" w:sz="0" w:space="0" w:color="auto"/>
            <w:right w:val="none" w:sz="0" w:space="0" w:color="auto"/>
          </w:divBdr>
        </w:div>
        <w:div w:id="703940586">
          <w:marLeft w:val="640"/>
          <w:marRight w:val="0"/>
          <w:marTop w:val="0"/>
          <w:marBottom w:val="0"/>
          <w:divBdr>
            <w:top w:val="none" w:sz="0" w:space="0" w:color="auto"/>
            <w:left w:val="none" w:sz="0" w:space="0" w:color="auto"/>
            <w:bottom w:val="none" w:sz="0" w:space="0" w:color="auto"/>
            <w:right w:val="none" w:sz="0" w:space="0" w:color="auto"/>
          </w:divBdr>
        </w:div>
        <w:div w:id="218126331">
          <w:marLeft w:val="640"/>
          <w:marRight w:val="0"/>
          <w:marTop w:val="0"/>
          <w:marBottom w:val="0"/>
          <w:divBdr>
            <w:top w:val="none" w:sz="0" w:space="0" w:color="auto"/>
            <w:left w:val="none" w:sz="0" w:space="0" w:color="auto"/>
            <w:bottom w:val="none" w:sz="0" w:space="0" w:color="auto"/>
            <w:right w:val="none" w:sz="0" w:space="0" w:color="auto"/>
          </w:divBdr>
        </w:div>
        <w:div w:id="1480611967">
          <w:marLeft w:val="640"/>
          <w:marRight w:val="0"/>
          <w:marTop w:val="0"/>
          <w:marBottom w:val="0"/>
          <w:divBdr>
            <w:top w:val="none" w:sz="0" w:space="0" w:color="auto"/>
            <w:left w:val="none" w:sz="0" w:space="0" w:color="auto"/>
            <w:bottom w:val="none" w:sz="0" w:space="0" w:color="auto"/>
            <w:right w:val="none" w:sz="0" w:space="0" w:color="auto"/>
          </w:divBdr>
        </w:div>
        <w:div w:id="1707565632">
          <w:marLeft w:val="640"/>
          <w:marRight w:val="0"/>
          <w:marTop w:val="0"/>
          <w:marBottom w:val="0"/>
          <w:divBdr>
            <w:top w:val="none" w:sz="0" w:space="0" w:color="auto"/>
            <w:left w:val="none" w:sz="0" w:space="0" w:color="auto"/>
            <w:bottom w:val="none" w:sz="0" w:space="0" w:color="auto"/>
            <w:right w:val="none" w:sz="0" w:space="0" w:color="auto"/>
          </w:divBdr>
        </w:div>
        <w:div w:id="558521427">
          <w:marLeft w:val="640"/>
          <w:marRight w:val="0"/>
          <w:marTop w:val="0"/>
          <w:marBottom w:val="0"/>
          <w:divBdr>
            <w:top w:val="none" w:sz="0" w:space="0" w:color="auto"/>
            <w:left w:val="none" w:sz="0" w:space="0" w:color="auto"/>
            <w:bottom w:val="none" w:sz="0" w:space="0" w:color="auto"/>
            <w:right w:val="none" w:sz="0" w:space="0" w:color="auto"/>
          </w:divBdr>
        </w:div>
        <w:div w:id="1521511908">
          <w:marLeft w:val="640"/>
          <w:marRight w:val="0"/>
          <w:marTop w:val="0"/>
          <w:marBottom w:val="0"/>
          <w:divBdr>
            <w:top w:val="none" w:sz="0" w:space="0" w:color="auto"/>
            <w:left w:val="none" w:sz="0" w:space="0" w:color="auto"/>
            <w:bottom w:val="none" w:sz="0" w:space="0" w:color="auto"/>
            <w:right w:val="none" w:sz="0" w:space="0" w:color="auto"/>
          </w:divBdr>
        </w:div>
        <w:div w:id="205719815">
          <w:marLeft w:val="640"/>
          <w:marRight w:val="0"/>
          <w:marTop w:val="0"/>
          <w:marBottom w:val="0"/>
          <w:divBdr>
            <w:top w:val="none" w:sz="0" w:space="0" w:color="auto"/>
            <w:left w:val="none" w:sz="0" w:space="0" w:color="auto"/>
            <w:bottom w:val="none" w:sz="0" w:space="0" w:color="auto"/>
            <w:right w:val="none" w:sz="0" w:space="0" w:color="auto"/>
          </w:divBdr>
        </w:div>
        <w:div w:id="55666491">
          <w:marLeft w:val="640"/>
          <w:marRight w:val="0"/>
          <w:marTop w:val="0"/>
          <w:marBottom w:val="0"/>
          <w:divBdr>
            <w:top w:val="none" w:sz="0" w:space="0" w:color="auto"/>
            <w:left w:val="none" w:sz="0" w:space="0" w:color="auto"/>
            <w:bottom w:val="none" w:sz="0" w:space="0" w:color="auto"/>
            <w:right w:val="none" w:sz="0" w:space="0" w:color="auto"/>
          </w:divBdr>
        </w:div>
        <w:div w:id="1258519337">
          <w:marLeft w:val="640"/>
          <w:marRight w:val="0"/>
          <w:marTop w:val="0"/>
          <w:marBottom w:val="0"/>
          <w:divBdr>
            <w:top w:val="none" w:sz="0" w:space="0" w:color="auto"/>
            <w:left w:val="none" w:sz="0" w:space="0" w:color="auto"/>
            <w:bottom w:val="none" w:sz="0" w:space="0" w:color="auto"/>
            <w:right w:val="none" w:sz="0" w:space="0" w:color="auto"/>
          </w:divBdr>
        </w:div>
        <w:div w:id="619263004">
          <w:marLeft w:val="640"/>
          <w:marRight w:val="0"/>
          <w:marTop w:val="0"/>
          <w:marBottom w:val="0"/>
          <w:divBdr>
            <w:top w:val="none" w:sz="0" w:space="0" w:color="auto"/>
            <w:left w:val="none" w:sz="0" w:space="0" w:color="auto"/>
            <w:bottom w:val="none" w:sz="0" w:space="0" w:color="auto"/>
            <w:right w:val="none" w:sz="0" w:space="0" w:color="auto"/>
          </w:divBdr>
        </w:div>
        <w:div w:id="714350638">
          <w:marLeft w:val="640"/>
          <w:marRight w:val="0"/>
          <w:marTop w:val="0"/>
          <w:marBottom w:val="0"/>
          <w:divBdr>
            <w:top w:val="none" w:sz="0" w:space="0" w:color="auto"/>
            <w:left w:val="none" w:sz="0" w:space="0" w:color="auto"/>
            <w:bottom w:val="none" w:sz="0" w:space="0" w:color="auto"/>
            <w:right w:val="none" w:sz="0" w:space="0" w:color="auto"/>
          </w:divBdr>
        </w:div>
        <w:div w:id="63837218">
          <w:marLeft w:val="640"/>
          <w:marRight w:val="0"/>
          <w:marTop w:val="0"/>
          <w:marBottom w:val="0"/>
          <w:divBdr>
            <w:top w:val="none" w:sz="0" w:space="0" w:color="auto"/>
            <w:left w:val="none" w:sz="0" w:space="0" w:color="auto"/>
            <w:bottom w:val="none" w:sz="0" w:space="0" w:color="auto"/>
            <w:right w:val="none" w:sz="0" w:space="0" w:color="auto"/>
          </w:divBdr>
        </w:div>
        <w:div w:id="1022366195">
          <w:marLeft w:val="640"/>
          <w:marRight w:val="0"/>
          <w:marTop w:val="0"/>
          <w:marBottom w:val="0"/>
          <w:divBdr>
            <w:top w:val="none" w:sz="0" w:space="0" w:color="auto"/>
            <w:left w:val="none" w:sz="0" w:space="0" w:color="auto"/>
            <w:bottom w:val="none" w:sz="0" w:space="0" w:color="auto"/>
            <w:right w:val="none" w:sz="0" w:space="0" w:color="auto"/>
          </w:divBdr>
        </w:div>
        <w:div w:id="1555505508">
          <w:marLeft w:val="640"/>
          <w:marRight w:val="0"/>
          <w:marTop w:val="0"/>
          <w:marBottom w:val="0"/>
          <w:divBdr>
            <w:top w:val="none" w:sz="0" w:space="0" w:color="auto"/>
            <w:left w:val="none" w:sz="0" w:space="0" w:color="auto"/>
            <w:bottom w:val="none" w:sz="0" w:space="0" w:color="auto"/>
            <w:right w:val="none" w:sz="0" w:space="0" w:color="auto"/>
          </w:divBdr>
        </w:div>
        <w:div w:id="2034257350">
          <w:marLeft w:val="640"/>
          <w:marRight w:val="0"/>
          <w:marTop w:val="0"/>
          <w:marBottom w:val="0"/>
          <w:divBdr>
            <w:top w:val="none" w:sz="0" w:space="0" w:color="auto"/>
            <w:left w:val="none" w:sz="0" w:space="0" w:color="auto"/>
            <w:bottom w:val="none" w:sz="0" w:space="0" w:color="auto"/>
            <w:right w:val="none" w:sz="0" w:space="0" w:color="auto"/>
          </w:divBdr>
        </w:div>
        <w:div w:id="1255088892">
          <w:marLeft w:val="640"/>
          <w:marRight w:val="0"/>
          <w:marTop w:val="0"/>
          <w:marBottom w:val="0"/>
          <w:divBdr>
            <w:top w:val="none" w:sz="0" w:space="0" w:color="auto"/>
            <w:left w:val="none" w:sz="0" w:space="0" w:color="auto"/>
            <w:bottom w:val="none" w:sz="0" w:space="0" w:color="auto"/>
            <w:right w:val="none" w:sz="0" w:space="0" w:color="auto"/>
          </w:divBdr>
        </w:div>
        <w:div w:id="347025505">
          <w:marLeft w:val="640"/>
          <w:marRight w:val="0"/>
          <w:marTop w:val="0"/>
          <w:marBottom w:val="0"/>
          <w:divBdr>
            <w:top w:val="none" w:sz="0" w:space="0" w:color="auto"/>
            <w:left w:val="none" w:sz="0" w:space="0" w:color="auto"/>
            <w:bottom w:val="none" w:sz="0" w:space="0" w:color="auto"/>
            <w:right w:val="none" w:sz="0" w:space="0" w:color="auto"/>
          </w:divBdr>
        </w:div>
        <w:div w:id="1102608565">
          <w:marLeft w:val="640"/>
          <w:marRight w:val="0"/>
          <w:marTop w:val="0"/>
          <w:marBottom w:val="0"/>
          <w:divBdr>
            <w:top w:val="none" w:sz="0" w:space="0" w:color="auto"/>
            <w:left w:val="none" w:sz="0" w:space="0" w:color="auto"/>
            <w:bottom w:val="none" w:sz="0" w:space="0" w:color="auto"/>
            <w:right w:val="none" w:sz="0" w:space="0" w:color="auto"/>
          </w:divBdr>
        </w:div>
        <w:div w:id="204559352">
          <w:marLeft w:val="640"/>
          <w:marRight w:val="0"/>
          <w:marTop w:val="0"/>
          <w:marBottom w:val="0"/>
          <w:divBdr>
            <w:top w:val="none" w:sz="0" w:space="0" w:color="auto"/>
            <w:left w:val="none" w:sz="0" w:space="0" w:color="auto"/>
            <w:bottom w:val="none" w:sz="0" w:space="0" w:color="auto"/>
            <w:right w:val="none" w:sz="0" w:space="0" w:color="auto"/>
          </w:divBdr>
        </w:div>
        <w:div w:id="24599264">
          <w:marLeft w:val="640"/>
          <w:marRight w:val="0"/>
          <w:marTop w:val="0"/>
          <w:marBottom w:val="0"/>
          <w:divBdr>
            <w:top w:val="none" w:sz="0" w:space="0" w:color="auto"/>
            <w:left w:val="none" w:sz="0" w:space="0" w:color="auto"/>
            <w:bottom w:val="none" w:sz="0" w:space="0" w:color="auto"/>
            <w:right w:val="none" w:sz="0" w:space="0" w:color="auto"/>
          </w:divBdr>
        </w:div>
        <w:div w:id="152839505">
          <w:marLeft w:val="640"/>
          <w:marRight w:val="0"/>
          <w:marTop w:val="0"/>
          <w:marBottom w:val="0"/>
          <w:divBdr>
            <w:top w:val="none" w:sz="0" w:space="0" w:color="auto"/>
            <w:left w:val="none" w:sz="0" w:space="0" w:color="auto"/>
            <w:bottom w:val="none" w:sz="0" w:space="0" w:color="auto"/>
            <w:right w:val="none" w:sz="0" w:space="0" w:color="auto"/>
          </w:divBdr>
        </w:div>
        <w:div w:id="1255899101">
          <w:marLeft w:val="640"/>
          <w:marRight w:val="0"/>
          <w:marTop w:val="0"/>
          <w:marBottom w:val="0"/>
          <w:divBdr>
            <w:top w:val="none" w:sz="0" w:space="0" w:color="auto"/>
            <w:left w:val="none" w:sz="0" w:space="0" w:color="auto"/>
            <w:bottom w:val="none" w:sz="0" w:space="0" w:color="auto"/>
            <w:right w:val="none" w:sz="0" w:space="0" w:color="auto"/>
          </w:divBdr>
        </w:div>
        <w:div w:id="1215117408">
          <w:marLeft w:val="640"/>
          <w:marRight w:val="0"/>
          <w:marTop w:val="0"/>
          <w:marBottom w:val="0"/>
          <w:divBdr>
            <w:top w:val="none" w:sz="0" w:space="0" w:color="auto"/>
            <w:left w:val="none" w:sz="0" w:space="0" w:color="auto"/>
            <w:bottom w:val="none" w:sz="0" w:space="0" w:color="auto"/>
            <w:right w:val="none" w:sz="0" w:space="0" w:color="auto"/>
          </w:divBdr>
        </w:div>
        <w:div w:id="1101223766">
          <w:marLeft w:val="640"/>
          <w:marRight w:val="0"/>
          <w:marTop w:val="0"/>
          <w:marBottom w:val="0"/>
          <w:divBdr>
            <w:top w:val="none" w:sz="0" w:space="0" w:color="auto"/>
            <w:left w:val="none" w:sz="0" w:space="0" w:color="auto"/>
            <w:bottom w:val="none" w:sz="0" w:space="0" w:color="auto"/>
            <w:right w:val="none" w:sz="0" w:space="0" w:color="auto"/>
          </w:divBdr>
        </w:div>
        <w:div w:id="97800569">
          <w:marLeft w:val="640"/>
          <w:marRight w:val="0"/>
          <w:marTop w:val="0"/>
          <w:marBottom w:val="0"/>
          <w:divBdr>
            <w:top w:val="none" w:sz="0" w:space="0" w:color="auto"/>
            <w:left w:val="none" w:sz="0" w:space="0" w:color="auto"/>
            <w:bottom w:val="none" w:sz="0" w:space="0" w:color="auto"/>
            <w:right w:val="none" w:sz="0" w:space="0" w:color="auto"/>
          </w:divBdr>
        </w:div>
        <w:div w:id="1887640074">
          <w:marLeft w:val="640"/>
          <w:marRight w:val="0"/>
          <w:marTop w:val="0"/>
          <w:marBottom w:val="0"/>
          <w:divBdr>
            <w:top w:val="none" w:sz="0" w:space="0" w:color="auto"/>
            <w:left w:val="none" w:sz="0" w:space="0" w:color="auto"/>
            <w:bottom w:val="none" w:sz="0" w:space="0" w:color="auto"/>
            <w:right w:val="none" w:sz="0" w:space="0" w:color="auto"/>
          </w:divBdr>
        </w:div>
        <w:div w:id="950211401">
          <w:marLeft w:val="640"/>
          <w:marRight w:val="0"/>
          <w:marTop w:val="0"/>
          <w:marBottom w:val="0"/>
          <w:divBdr>
            <w:top w:val="none" w:sz="0" w:space="0" w:color="auto"/>
            <w:left w:val="none" w:sz="0" w:space="0" w:color="auto"/>
            <w:bottom w:val="none" w:sz="0" w:space="0" w:color="auto"/>
            <w:right w:val="none" w:sz="0" w:space="0" w:color="auto"/>
          </w:divBdr>
        </w:div>
        <w:div w:id="1430854233">
          <w:marLeft w:val="640"/>
          <w:marRight w:val="0"/>
          <w:marTop w:val="0"/>
          <w:marBottom w:val="0"/>
          <w:divBdr>
            <w:top w:val="none" w:sz="0" w:space="0" w:color="auto"/>
            <w:left w:val="none" w:sz="0" w:space="0" w:color="auto"/>
            <w:bottom w:val="none" w:sz="0" w:space="0" w:color="auto"/>
            <w:right w:val="none" w:sz="0" w:space="0" w:color="auto"/>
          </w:divBdr>
        </w:div>
        <w:div w:id="1348100134">
          <w:marLeft w:val="640"/>
          <w:marRight w:val="0"/>
          <w:marTop w:val="0"/>
          <w:marBottom w:val="0"/>
          <w:divBdr>
            <w:top w:val="none" w:sz="0" w:space="0" w:color="auto"/>
            <w:left w:val="none" w:sz="0" w:space="0" w:color="auto"/>
            <w:bottom w:val="none" w:sz="0" w:space="0" w:color="auto"/>
            <w:right w:val="none" w:sz="0" w:space="0" w:color="auto"/>
          </w:divBdr>
        </w:div>
        <w:div w:id="1664619569">
          <w:marLeft w:val="640"/>
          <w:marRight w:val="0"/>
          <w:marTop w:val="0"/>
          <w:marBottom w:val="0"/>
          <w:divBdr>
            <w:top w:val="none" w:sz="0" w:space="0" w:color="auto"/>
            <w:left w:val="none" w:sz="0" w:space="0" w:color="auto"/>
            <w:bottom w:val="none" w:sz="0" w:space="0" w:color="auto"/>
            <w:right w:val="none" w:sz="0" w:space="0" w:color="auto"/>
          </w:divBdr>
        </w:div>
        <w:div w:id="697581332">
          <w:marLeft w:val="640"/>
          <w:marRight w:val="0"/>
          <w:marTop w:val="0"/>
          <w:marBottom w:val="0"/>
          <w:divBdr>
            <w:top w:val="none" w:sz="0" w:space="0" w:color="auto"/>
            <w:left w:val="none" w:sz="0" w:space="0" w:color="auto"/>
            <w:bottom w:val="none" w:sz="0" w:space="0" w:color="auto"/>
            <w:right w:val="none" w:sz="0" w:space="0" w:color="auto"/>
          </w:divBdr>
        </w:div>
        <w:div w:id="2019580331">
          <w:marLeft w:val="640"/>
          <w:marRight w:val="0"/>
          <w:marTop w:val="0"/>
          <w:marBottom w:val="0"/>
          <w:divBdr>
            <w:top w:val="none" w:sz="0" w:space="0" w:color="auto"/>
            <w:left w:val="none" w:sz="0" w:space="0" w:color="auto"/>
            <w:bottom w:val="none" w:sz="0" w:space="0" w:color="auto"/>
            <w:right w:val="none" w:sz="0" w:space="0" w:color="auto"/>
          </w:divBdr>
        </w:div>
        <w:div w:id="597103010">
          <w:marLeft w:val="640"/>
          <w:marRight w:val="0"/>
          <w:marTop w:val="0"/>
          <w:marBottom w:val="0"/>
          <w:divBdr>
            <w:top w:val="none" w:sz="0" w:space="0" w:color="auto"/>
            <w:left w:val="none" w:sz="0" w:space="0" w:color="auto"/>
            <w:bottom w:val="none" w:sz="0" w:space="0" w:color="auto"/>
            <w:right w:val="none" w:sz="0" w:space="0" w:color="auto"/>
          </w:divBdr>
        </w:div>
        <w:div w:id="923297945">
          <w:marLeft w:val="640"/>
          <w:marRight w:val="0"/>
          <w:marTop w:val="0"/>
          <w:marBottom w:val="0"/>
          <w:divBdr>
            <w:top w:val="none" w:sz="0" w:space="0" w:color="auto"/>
            <w:left w:val="none" w:sz="0" w:space="0" w:color="auto"/>
            <w:bottom w:val="none" w:sz="0" w:space="0" w:color="auto"/>
            <w:right w:val="none" w:sz="0" w:space="0" w:color="auto"/>
          </w:divBdr>
        </w:div>
        <w:div w:id="717434600">
          <w:marLeft w:val="640"/>
          <w:marRight w:val="0"/>
          <w:marTop w:val="0"/>
          <w:marBottom w:val="0"/>
          <w:divBdr>
            <w:top w:val="none" w:sz="0" w:space="0" w:color="auto"/>
            <w:left w:val="none" w:sz="0" w:space="0" w:color="auto"/>
            <w:bottom w:val="none" w:sz="0" w:space="0" w:color="auto"/>
            <w:right w:val="none" w:sz="0" w:space="0" w:color="auto"/>
          </w:divBdr>
        </w:div>
        <w:div w:id="859123253">
          <w:marLeft w:val="640"/>
          <w:marRight w:val="0"/>
          <w:marTop w:val="0"/>
          <w:marBottom w:val="0"/>
          <w:divBdr>
            <w:top w:val="none" w:sz="0" w:space="0" w:color="auto"/>
            <w:left w:val="none" w:sz="0" w:space="0" w:color="auto"/>
            <w:bottom w:val="none" w:sz="0" w:space="0" w:color="auto"/>
            <w:right w:val="none" w:sz="0" w:space="0" w:color="auto"/>
          </w:divBdr>
        </w:div>
        <w:div w:id="1663269443">
          <w:marLeft w:val="640"/>
          <w:marRight w:val="0"/>
          <w:marTop w:val="0"/>
          <w:marBottom w:val="0"/>
          <w:divBdr>
            <w:top w:val="none" w:sz="0" w:space="0" w:color="auto"/>
            <w:left w:val="none" w:sz="0" w:space="0" w:color="auto"/>
            <w:bottom w:val="none" w:sz="0" w:space="0" w:color="auto"/>
            <w:right w:val="none" w:sz="0" w:space="0" w:color="auto"/>
          </w:divBdr>
        </w:div>
        <w:div w:id="166137180">
          <w:marLeft w:val="640"/>
          <w:marRight w:val="0"/>
          <w:marTop w:val="0"/>
          <w:marBottom w:val="0"/>
          <w:divBdr>
            <w:top w:val="none" w:sz="0" w:space="0" w:color="auto"/>
            <w:left w:val="none" w:sz="0" w:space="0" w:color="auto"/>
            <w:bottom w:val="none" w:sz="0" w:space="0" w:color="auto"/>
            <w:right w:val="none" w:sz="0" w:space="0" w:color="auto"/>
          </w:divBdr>
        </w:div>
        <w:div w:id="765689652">
          <w:marLeft w:val="640"/>
          <w:marRight w:val="0"/>
          <w:marTop w:val="0"/>
          <w:marBottom w:val="0"/>
          <w:divBdr>
            <w:top w:val="none" w:sz="0" w:space="0" w:color="auto"/>
            <w:left w:val="none" w:sz="0" w:space="0" w:color="auto"/>
            <w:bottom w:val="none" w:sz="0" w:space="0" w:color="auto"/>
            <w:right w:val="none" w:sz="0" w:space="0" w:color="auto"/>
          </w:divBdr>
        </w:div>
        <w:div w:id="681588481">
          <w:marLeft w:val="640"/>
          <w:marRight w:val="0"/>
          <w:marTop w:val="0"/>
          <w:marBottom w:val="0"/>
          <w:divBdr>
            <w:top w:val="none" w:sz="0" w:space="0" w:color="auto"/>
            <w:left w:val="none" w:sz="0" w:space="0" w:color="auto"/>
            <w:bottom w:val="none" w:sz="0" w:space="0" w:color="auto"/>
            <w:right w:val="none" w:sz="0" w:space="0" w:color="auto"/>
          </w:divBdr>
        </w:div>
        <w:div w:id="699432646">
          <w:marLeft w:val="640"/>
          <w:marRight w:val="0"/>
          <w:marTop w:val="0"/>
          <w:marBottom w:val="0"/>
          <w:divBdr>
            <w:top w:val="none" w:sz="0" w:space="0" w:color="auto"/>
            <w:left w:val="none" w:sz="0" w:space="0" w:color="auto"/>
            <w:bottom w:val="none" w:sz="0" w:space="0" w:color="auto"/>
            <w:right w:val="none" w:sz="0" w:space="0" w:color="auto"/>
          </w:divBdr>
        </w:div>
        <w:div w:id="661470480">
          <w:marLeft w:val="640"/>
          <w:marRight w:val="0"/>
          <w:marTop w:val="0"/>
          <w:marBottom w:val="0"/>
          <w:divBdr>
            <w:top w:val="none" w:sz="0" w:space="0" w:color="auto"/>
            <w:left w:val="none" w:sz="0" w:space="0" w:color="auto"/>
            <w:bottom w:val="none" w:sz="0" w:space="0" w:color="auto"/>
            <w:right w:val="none" w:sz="0" w:space="0" w:color="auto"/>
          </w:divBdr>
        </w:div>
        <w:div w:id="32003276">
          <w:marLeft w:val="640"/>
          <w:marRight w:val="0"/>
          <w:marTop w:val="0"/>
          <w:marBottom w:val="0"/>
          <w:divBdr>
            <w:top w:val="none" w:sz="0" w:space="0" w:color="auto"/>
            <w:left w:val="none" w:sz="0" w:space="0" w:color="auto"/>
            <w:bottom w:val="none" w:sz="0" w:space="0" w:color="auto"/>
            <w:right w:val="none" w:sz="0" w:space="0" w:color="auto"/>
          </w:divBdr>
        </w:div>
        <w:div w:id="1189297244">
          <w:marLeft w:val="640"/>
          <w:marRight w:val="0"/>
          <w:marTop w:val="0"/>
          <w:marBottom w:val="0"/>
          <w:divBdr>
            <w:top w:val="none" w:sz="0" w:space="0" w:color="auto"/>
            <w:left w:val="none" w:sz="0" w:space="0" w:color="auto"/>
            <w:bottom w:val="none" w:sz="0" w:space="0" w:color="auto"/>
            <w:right w:val="none" w:sz="0" w:space="0" w:color="auto"/>
          </w:divBdr>
        </w:div>
        <w:div w:id="628904045">
          <w:marLeft w:val="640"/>
          <w:marRight w:val="0"/>
          <w:marTop w:val="0"/>
          <w:marBottom w:val="0"/>
          <w:divBdr>
            <w:top w:val="none" w:sz="0" w:space="0" w:color="auto"/>
            <w:left w:val="none" w:sz="0" w:space="0" w:color="auto"/>
            <w:bottom w:val="none" w:sz="0" w:space="0" w:color="auto"/>
            <w:right w:val="none" w:sz="0" w:space="0" w:color="auto"/>
          </w:divBdr>
        </w:div>
        <w:div w:id="291131740">
          <w:marLeft w:val="640"/>
          <w:marRight w:val="0"/>
          <w:marTop w:val="0"/>
          <w:marBottom w:val="0"/>
          <w:divBdr>
            <w:top w:val="none" w:sz="0" w:space="0" w:color="auto"/>
            <w:left w:val="none" w:sz="0" w:space="0" w:color="auto"/>
            <w:bottom w:val="none" w:sz="0" w:space="0" w:color="auto"/>
            <w:right w:val="none" w:sz="0" w:space="0" w:color="auto"/>
          </w:divBdr>
        </w:div>
        <w:div w:id="1134375018">
          <w:marLeft w:val="640"/>
          <w:marRight w:val="0"/>
          <w:marTop w:val="0"/>
          <w:marBottom w:val="0"/>
          <w:divBdr>
            <w:top w:val="none" w:sz="0" w:space="0" w:color="auto"/>
            <w:left w:val="none" w:sz="0" w:space="0" w:color="auto"/>
            <w:bottom w:val="none" w:sz="0" w:space="0" w:color="auto"/>
            <w:right w:val="none" w:sz="0" w:space="0" w:color="auto"/>
          </w:divBdr>
        </w:div>
        <w:div w:id="1772117581">
          <w:marLeft w:val="640"/>
          <w:marRight w:val="0"/>
          <w:marTop w:val="0"/>
          <w:marBottom w:val="0"/>
          <w:divBdr>
            <w:top w:val="none" w:sz="0" w:space="0" w:color="auto"/>
            <w:left w:val="none" w:sz="0" w:space="0" w:color="auto"/>
            <w:bottom w:val="none" w:sz="0" w:space="0" w:color="auto"/>
            <w:right w:val="none" w:sz="0" w:space="0" w:color="auto"/>
          </w:divBdr>
        </w:div>
        <w:div w:id="289938593">
          <w:marLeft w:val="640"/>
          <w:marRight w:val="0"/>
          <w:marTop w:val="0"/>
          <w:marBottom w:val="0"/>
          <w:divBdr>
            <w:top w:val="none" w:sz="0" w:space="0" w:color="auto"/>
            <w:left w:val="none" w:sz="0" w:space="0" w:color="auto"/>
            <w:bottom w:val="none" w:sz="0" w:space="0" w:color="auto"/>
            <w:right w:val="none" w:sz="0" w:space="0" w:color="auto"/>
          </w:divBdr>
        </w:div>
        <w:div w:id="1461993437">
          <w:marLeft w:val="640"/>
          <w:marRight w:val="0"/>
          <w:marTop w:val="0"/>
          <w:marBottom w:val="0"/>
          <w:divBdr>
            <w:top w:val="none" w:sz="0" w:space="0" w:color="auto"/>
            <w:left w:val="none" w:sz="0" w:space="0" w:color="auto"/>
            <w:bottom w:val="none" w:sz="0" w:space="0" w:color="auto"/>
            <w:right w:val="none" w:sz="0" w:space="0" w:color="auto"/>
          </w:divBdr>
        </w:div>
        <w:div w:id="1661888457">
          <w:marLeft w:val="640"/>
          <w:marRight w:val="0"/>
          <w:marTop w:val="0"/>
          <w:marBottom w:val="0"/>
          <w:divBdr>
            <w:top w:val="none" w:sz="0" w:space="0" w:color="auto"/>
            <w:left w:val="none" w:sz="0" w:space="0" w:color="auto"/>
            <w:bottom w:val="none" w:sz="0" w:space="0" w:color="auto"/>
            <w:right w:val="none" w:sz="0" w:space="0" w:color="auto"/>
          </w:divBdr>
        </w:div>
        <w:div w:id="2049794675">
          <w:marLeft w:val="640"/>
          <w:marRight w:val="0"/>
          <w:marTop w:val="0"/>
          <w:marBottom w:val="0"/>
          <w:divBdr>
            <w:top w:val="none" w:sz="0" w:space="0" w:color="auto"/>
            <w:left w:val="none" w:sz="0" w:space="0" w:color="auto"/>
            <w:bottom w:val="none" w:sz="0" w:space="0" w:color="auto"/>
            <w:right w:val="none" w:sz="0" w:space="0" w:color="auto"/>
          </w:divBdr>
        </w:div>
        <w:div w:id="1087270817">
          <w:marLeft w:val="640"/>
          <w:marRight w:val="0"/>
          <w:marTop w:val="0"/>
          <w:marBottom w:val="0"/>
          <w:divBdr>
            <w:top w:val="none" w:sz="0" w:space="0" w:color="auto"/>
            <w:left w:val="none" w:sz="0" w:space="0" w:color="auto"/>
            <w:bottom w:val="none" w:sz="0" w:space="0" w:color="auto"/>
            <w:right w:val="none" w:sz="0" w:space="0" w:color="auto"/>
          </w:divBdr>
        </w:div>
        <w:div w:id="489559000">
          <w:marLeft w:val="640"/>
          <w:marRight w:val="0"/>
          <w:marTop w:val="0"/>
          <w:marBottom w:val="0"/>
          <w:divBdr>
            <w:top w:val="none" w:sz="0" w:space="0" w:color="auto"/>
            <w:left w:val="none" w:sz="0" w:space="0" w:color="auto"/>
            <w:bottom w:val="none" w:sz="0" w:space="0" w:color="auto"/>
            <w:right w:val="none" w:sz="0" w:space="0" w:color="auto"/>
          </w:divBdr>
        </w:div>
        <w:div w:id="1174563589">
          <w:marLeft w:val="640"/>
          <w:marRight w:val="0"/>
          <w:marTop w:val="0"/>
          <w:marBottom w:val="0"/>
          <w:divBdr>
            <w:top w:val="none" w:sz="0" w:space="0" w:color="auto"/>
            <w:left w:val="none" w:sz="0" w:space="0" w:color="auto"/>
            <w:bottom w:val="none" w:sz="0" w:space="0" w:color="auto"/>
            <w:right w:val="none" w:sz="0" w:space="0" w:color="auto"/>
          </w:divBdr>
        </w:div>
        <w:div w:id="1660772084">
          <w:marLeft w:val="640"/>
          <w:marRight w:val="0"/>
          <w:marTop w:val="0"/>
          <w:marBottom w:val="0"/>
          <w:divBdr>
            <w:top w:val="none" w:sz="0" w:space="0" w:color="auto"/>
            <w:left w:val="none" w:sz="0" w:space="0" w:color="auto"/>
            <w:bottom w:val="none" w:sz="0" w:space="0" w:color="auto"/>
            <w:right w:val="none" w:sz="0" w:space="0" w:color="auto"/>
          </w:divBdr>
        </w:div>
        <w:div w:id="1706103406">
          <w:marLeft w:val="640"/>
          <w:marRight w:val="0"/>
          <w:marTop w:val="0"/>
          <w:marBottom w:val="0"/>
          <w:divBdr>
            <w:top w:val="none" w:sz="0" w:space="0" w:color="auto"/>
            <w:left w:val="none" w:sz="0" w:space="0" w:color="auto"/>
            <w:bottom w:val="none" w:sz="0" w:space="0" w:color="auto"/>
            <w:right w:val="none" w:sz="0" w:space="0" w:color="auto"/>
          </w:divBdr>
        </w:div>
        <w:div w:id="609118929">
          <w:marLeft w:val="640"/>
          <w:marRight w:val="0"/>
          <w:marTop w:val="0"/>
          <w:marBottom w:val="0"/>
          <w:divBdr>
            <w:top w:val="none" w:sz="0" w:space="0" w:color="auto"/>
            <w:left w:val="none" w:sz="0" w:space="0" w:color="auto"/>
            <w:bottom w:val="none" w:sz="0" w:space="0" w:color="auto"/>
            <w:right w:val="none" w:sz="0" w:space="0" w:color="auto"/>
          </w:divBdr>
        </w:div>
        <w:div w:id="378672127">
          <w:marLeft w:val="640"/>
          <w:marRight w:val="0"/>
          <w:marTop w:val="0"/>
          <w:marBottom w:val="0"/>
          <w:divBdr>
            <w:top w:val="none" w:sz="0" w:space="0" w:color="auto"/>
            <w:left w:val="none" w:sz="0" w:space="0" w:color="auto"/>
            <w:bottom w:val="none" w:sz="0" w:space="0" w:color="auto"/>
            <w:right w:val="none" w:sz="0" w:space="0" w:color="auto"/>
          </w:divBdr>
        </w:div>
        <w:div w:id="464397115">
          <w:marLeft w:val="640"/>
          <w:marRight w:val="0"/>
          <w:marTop w:val="0"/>
          <w:marBottom w:val="0"/>
          <w:divBdr>
            <w:top w:val="none" w:sz="0" w:space="0" w:color="auto"/>
            <w:left w:val="none" w:sz="0" w:space="0" w:color="auto"/>
            <w:bottom w:val="none" w:sz="0" w:space="0" w:color="auto"/>
            <w:right w:val="none" w:sz="0" w:space="0" w:color="auto"/>
          </w:divBdr>
        </w:div>
        <w:div w:id="740712422">
          <w:marLeft w:val="640"/>
          <w:marRight w:val="0"/>
          <w:marTop w:val="0"/>
          <w:marBottom w:val="0"/>
          <w:divBdr>
            <w:top w:val="none" w:sz="0" w:space="0" w:color="auto"/>
            <w:left w:val="none" w:sz="0" w:space="0" w:color="auto"/>
            <w:bottom w:val="none" w:sz="0" w:space="0" w:color="auto"/>
            <w:right w:val="none" w:sz="0" w:space="0" w:color="auto"/>
          </w:divBdr>
        </w:div>
        <w:div w:id="217740884">
          <w:marLeft w:val="640"/>
          <w:marRight w:val="0"/>
          <w:marTop w:val="0"/>
          <w:marBottom w:val="0"/>
          <w:divBdr>
            <w:top w:val="none" w:sz="0" w:space="0" w:color="auto"/>
            <w:left w:val="none" w:sz="0" w:space="0" w:color="auto"/>
            <w:bottom w:val="none" w:sz="0" w:space="0" w:color="auto"/>
            <w:right w:val="none" w:sz="0" w:space="0" w:color="auto"/>
          </w:divBdr>
        </w:div>
        <w:div w:id="2056805449">
          <w:marLeft w:val="640"/>
          <w:marRight w:val="0"/>
          <w:marTop w:val="0"/>
          <w:marBottom w:val="0"/>
          <w:divBdr>
            <w:top w:val="none" w:sz="0" w:space="0" w:color="auto"/>
            <w:left w:val="none" w:sz="0" w:space="0" w:color="auto"/>
            <w:bottom w:val="none" w:sz="0" w:space="0" w:color="auto"/>
            <w:right w:val="none" w:sz="0" w:space="0" w:color="auto"/>
          </w:divBdr>
        </w:div>
        <w:div w:id="967778760">
          <w:marLeft w:val="640"/>
          <w:marRight w:val="0"/>
          <w:marTop w:val="0"/>
          <w:marBottom w:val="0"/>
          <w:divBdr>
            <w:top w:val="none" w:sz="0" w:space="0" w:color="auto"/>
            <w:left w:val="none" w:sz="0" w:space="0" w:color="auto"/>
            <w:bottom w:val="none" w:sz="0" w:space="0" w:color="auto"/>
            <w:right w:val="none" w:sz="0" w:space="0" w:color="auto"/>
          </w:divBdr>
        </w:div>
        <w:div w:id="1164708994">
          <w:marLeft w:val="640"/>
          <w:marRight w:val="0"/>
          <w:marTop w:val="0"/>
          <w:marBottom w:val="0"/>
          <w:divBdr>
            <w:top w:val="none" w:sz="0" w:space="0" w:color="auto"/>
            <w:left w:val="none" w:sz="0" w:space="0" w:color="auto"/>
            <w:bottom w:val="none" w:sz="0" w:space="0" w:color="auto"/>
            <w:right w:val="none" w:sz="0" w:space="0" w:color="auto"/>
          </w:divBdr>
        </w:div>
        <w:div w:id="30497190">
          <w:marLeft w:val="640"/>
          <w:marRight w:val="0"/>
          <w:marTop w:val="0"/>
          <w:marBottom w:val="0"/>
          <w:divBdr>
            <w:top w:val="none" w:sz="0" w:space="0" w:color="auto"/>
            <w:left w:val="none" w:sz="0" w:space="0" w:color="auto"/>
            <w:bottom w:val="none" w:sz="0" w:space="0" w:color="auto"/>
            <w:right w:val="none" w:sz="0" w:space="0" w:color="auto"/>
          </w:divBdr>
        </w:div>
        <w:div w:id="311906517">
          <w:marLeft w:val="640"/>
          <w:marRight w:val="0"/>
          <w:marTop w:val="0"/>
          <w:marBottom w:val="0"/>
          <w:divBdr>
            <w:top w:val="none" w:sz="0" w:space="0" w:color="auto"/>
            <w:left w:val="none" w:sz="0" w:space="0" w:color="auto"/>
            <w:bottom w:val="none" w:sz="0" w:space="0" w:color="auto"/>
            <w:right w:val="none" w:sz="0" w:space="0" w:color="auto"/>
          </w:divBdr>
        </w:div>
        <w:div w:id="837693004">
          <w:marLeft w:val="640"/>
          <w:marRight w:val="0"/>
          <w:marTop w:val="0"/>
          <w:marBottom w:val="0"/>
          <w:divBdr>
            <w:top w:val="none" w:sz="0" w:space="0" w:color="auto"/>
            <w:left w:val="none" w:sz="0" w:space="0" w:color="auto"/>
            <w:bottom w:val="none" w:sz="0" w:space="0" w:color="auto"/>
            <w:right w:val="none" w:sz="0" w:space="0" w:color="auto"/>
          </w:divBdr>
        </w:div>
        <w:div w:id="787352859">
          <w:marLeft w:val="640"/>
          <w:marRight w:val="0"/>
          <w:marTop w:val="0"/>
          <w:marBottom w:val="0"/>
          <w:divBdr>
            <w:top w:val="none" w:sz="0" w:space="0" w:color="auto"/>
            <w:left w:val="none" w:sz="0" w:space="0" w:color="auto"/>
            <w:bottom w:val="none" w:sz="0" w:space="0" w:color="auto"/>
            <w:right w:val="none" w:sz="0" w:space="0" w:color="auto"/>
          </w:divBdr>
        </w:div>
        <w:div w:id="1637565305">
          <w:marLeft w:val="640"/>
          <w:marRight w:val="0"/>
          <w:marTop w:val="0"/>
          <w:marBottom w:val="0"/>
          <w:divBdr>
            <w:top w:val="none" w:sz="0" w:space="0" w:color="auto"/>
            <w:left w:val="none" w:sz="0" w:space="0" w:color="auto"/>
            <w:bottom w:val="none" w:sz="0" w:space="0" w:color="auto"/>
            <w:right w:val="none" w:sz="0" w:space="0" w:color="auto"/>
          </w:divBdr>
        </w:div>
        <w:div w:id="451553179">
          <w:marLeft w:val="640"/>
          <w:marRight w:val="0"/>
          <w:marTop w:val="0"/>
          <w:marBottom w:val="0"/>
          <w:divBdr>
            <w:top w:val="none" w:sz="0" w:space="0" w:color="auto"/>
            <w:left w:val="none" w:sz="0" w:space="0" w:color="auto"/>
            <w:bottom w:val="none" w:sz="0" w:space="0" w:color="auto"/>
            <w:right w:val="none" w:sz="0" w:space="0" w:color="auto"/>
          </w:divBdr>
        </w:div>
        <w:div w:id="641425227">
          <w:marLeft w:val="640"/>
          <w:marRight w:val="0"/>
          <w:marTop w:val="0"/>
          <w:marBottom w:val="0"/>
          <w:divBdr>
            <w:top w:val="none" w:sz="0" w:space="0" w:color="auto"/>
            <w:left w:val="none" w:sz="0" w:space="0" w:color="auto"/>
            <w:bottom w:val="none" w:sz="0" w:space="0" w:color="auto"/>
            <w:right w:val="none" w:sz="0" w:space="0" w:color="auto"/>
          </w:divBdr>
        </w:div>
        <w:div w:id="428939210">
          <w:marLeft w:val="640"/>
          <w:marRight w:val="0"/>
          <w:marTop w:val="0"/>
          <w:marBottom w:val="0"/>
          <w:divBdr>
            <w:top w:val="none" w:sz="0" w:space="0" w:color="auto"/>
            <w:left w:val="none" w:sz="0" w:space="0" w:color="auto"/>
            <w:bottom w:val="none" w:sz="0" w:space="0" w:color="auto"/>
            <w:right w:val="none" w:sz="0" w:space="0" w:color="auto"/>
          </w:divBdr>
        </w:div>
        <w:div w:id="758526799">
          <w:marLeft w:val="640"/>
          <w:marRight w:val="0"/>
          <w:marTop w:val="0"/>
          <w:marBottom w:val="0"/>
          <w:divBdr>
            <w:top w:val="none" w:sz="0" w:space="0" w:color="auto"/>
            <w:left w:val="none" w:sz="0" w:space="0" w:color="auto"/>
            <w:bottom w:val="none" w:sz="0" w:space="0" w:color="auto"/>
            <w:right w:val="none" w:sz="0" w:space="0" w:color="auto"/>
          </w:divBdr>
        </w:div>
        <w:div w:id="793909590">
          <w:marLeft w:val="640"/>
          <w:marRight w:val="0"/>
          <w:marTop w:val="0"/>
          <w:marBottom w:val="0"/>
          <w:divBdr>
            <w:top w:val="none" w:sz="0" w:space="0" w:color="auto"/>
            <w:left w:val="none" w:sz="0" w:space="0" w:color="auto"/>
            <w:bottom w:val="none" w:sz="0" w:space="0" w:color="auto"/>
            <w:right w:val="none" w:sz="0" w:space="0" w:color="auto"/>
          </w:divBdr>
        </w:div>
        <w:div w:id="1824933356">
          <w:marLeft w:val="640"/>
          <w:marRight w:val="0"/>
          <w:marTop w:val="0"/>
          <w:marBottom w:val="0"/>
          <w:divBdr>
            <w:top w:val="none" w:sz="0" w:space="0" w:color="auto"/>
            <w:left w:val="none" w:sz="0" w:space="0" w:color="auto"/>
            <w:bottom w:val="none" w:sz="0" w:space="0" w:color="auto"/>
            <w:right w:val="none" w:sz="0" w:space="0" w:color="auto"/>
          </w:divBdr>
        </w:div>
        <w:div w:id="414716622">
          <w:marLeft w:val="640"/>
          <w:marRight w:val="0"/>
          <w:marTop w:val="0"/>
          <w:marBottom w:val="0"/>
          <w:divBdr>
            <w:top w:val="none" w:sz="0" w:space="0" w:color="auto"/>
            <w:left w:val="none" w:sz="0" w:space="0" w:color="auto"/>
            <w:bottom w:val="none" w:sz="0" w:space="0" w:color="auto"/>
            <w:right w:val="none" w:sz="0" w:space="0" w:color="auto"/>
          </w:divBdr>
        </w:div>
        <w:div w:id="2096851417">
          <w:marLeft w:val="640"/>
          <w:marRight w:val="0"/>
          <w:marTop w:val="0"/>
          <w:marBottom w:val="0"/>
          <w:divBdr>
            <w:top w:val="none" w:sz="0" w:space="0" w:color="auto"/>
            <w:left w:val="none" w:sz="0" w:space="0" w:color="auto"/>
            <w:bottom w:val="none" w:sz="0" w:space="0" w:color="auto"/>
            <w:right w:val="none" w:sz="0" w:space="0" w:color="auto"/>
          </w:divBdr>
        </w:div>
        <w:div w:id="728848266">
          <w:marLeft w:val="640"/>
          <w:marRight w:val="0"/>
          <w:marTop w:val="0"/>
          <w:marBottom w:val="0"/>
          <w:divBdr>
            <w:top w:val="none" w:sz="0" w:space="0" w:color="auto"/>
            <w:left w:val="none" w:sz="0" w:space="0" w:color="auto"/>
            <w:bottom w:val="none" w:sz="0" w:space="0" w:color="auto"/>
            <w:right w:val="none" w:sz="0" w:space="0" w:color="auto"/>
          </w:divBdr>
        </w:div>
        <w:div w:id="707150258">
          <w:marLeft w:val="640"/>
          <w:marRight w:val="0"/>
          <w:marTop w:val="0"/>
          <w:marBottom w:val="0"/>
          <w:divBdr>
            <w:top w:val="none" w:sz="0" w:space="0" w:color="auto"/>
            <w:left w:val="none" w:sz="0" w:space="0" w:color="auto"/>
            <w:bottom w:val="none" w:sz="0" w:space="0" w:color="auto"/>
            <w:right w:val="none" w:sz="0" w:space="0" w:color="auto"/>
          </w:divBdr>
        </w:div>
        <w:div w:id="510804891">
          <w:marLeft w:val="640"/>
          <w:marRight w:val="0"/>
          <w:marTop w:val="0"/>
          <w:marBottom w:val="0"/>
          <w:divBdr>
            <w:top w:val="none" w:sz="0" w:space="0" w:color="auto"/>
            <w:left w:val="none" w:sz="0" w:space="0" w:color="auto"/>
            <w:bottom w:val="none" w:sz="0" w:space="0" w:color="auto"/>
            <w:right w:val="none" w:sz="0" w:space="0" w:color="auto"/>
          </w:divBdr>
        </w:div>
        <w:div w:id="2069835775">
          <w:marLeft w:val="640"/>
          <w:marRight w:val="0"/>
          <w:marTop w:val="0"/>
          <w:marBottom w:val="0"/>
          <w:divBdr>
            <w:top w:val="none" w:sz="0" w:space="0" w:color="auto"/>
            <w:left w:val="none" w:sz="0" w:space="0" w:color="auto"/>
            <w:bottom w:val="none" w:sz="0" w:space="0" w:color="auto"/>
            <w:right w:val="none" w:sz="0" w:space="0" w:color="auto"/>
          </w:divBdr>
        </w:div>
        <w:div w:id="1697732153">
          <w:marLeft w:val="640"/>
          <w:marRight w:val="0"/>
          <w:marTop w:val="0"/>
          <w:marBottom w:val="0"/>
          <w:divBdr>
            <w:top w:val="none" w:sz="0" w:space="0" w:color="auto"/>
            <w:left w:val="none" w:sz="0" w:space="0" w:color="auto"/>
            <w:bottom w:val="none" w:sz="0" w:space="0" w:color="auto"/>
            <w:right w:val="none" w:sz="0" w:space="0" w:color="auto"/>
          </w:divBdr>
        </w:div>
        <w:div w:id="59639639">
          <w:marLeft w:val="640"/>
          <w:marRight w:val="0"/>
          <w:marTop w:val="0"/>
          <w:marBottom w:val="0"/>
          <w:divBdr>
            <w:top w:val="none" w:sz="0" w:space="0" w:color="auto"/>
            <w:left w:val="none" w:sz="0" w:space="0" w:color="auto"/>
            <w:bottom w:val="none" w:sz="0" w:space="0" w:color="auto"/>
            <w:right w:val="none" w:sz="0" w:space="0" w:color="auto"/>
          </w:divBdr>
        </w:div>
        <w:div w:id="573247505">
          <w:marLeft w:val="640"/>
          <w:marRight w:val="0"/>
          <w:marTop w:val="0"/>
          <w:marBottom w:val="0"/>
          <w:divBdr>
            <w:top w:val="none" w:sz="0" w:space="0" w:color="auto"/>
            <w:left w:val="none" w:sz="0" w:space="0" w:color="auto"/>
            <w:bottom w:val="none" w:sz="0" w:space="0" w:color="auto"/>
            <w:right w:val="none" w:sz="0" w:space="0" w:color="auto"/>
          </w:divBdr>
        </w:div>
        <w:div w:id="483281225">
          <w:marLeft w:val="640"/>
          <w:marRight w:val="0"/>
          <w:marTop w:val="0"/>
          <w:marBottom w:val="0"/>
          <w:divBdr>
            <w:top w:val="none" w:sz="0" w:space="0" w:color="auto"/>
            <w:left w:val="none" w:sz="0" w:space="0" w:color="auto"/>
            <w:bottom w:val="none" w:sz="0" w:space="0" w:color="auto"/>
            <w:right w:val="none" w:sz="0" w:space="0" w:color="auto"/>
          </w:divBdr>
        </w:div>
        <w:div w:id="1072580156">
          <w:marLeft w:val="640"/>
          <w:marRight w:val="0"/>
          <w:marTop w:val="0"/>
          <w:marBottom w:val="0"/>
          <w:divBdr>
            <w:top w:val="none" w:sz="0" w:space="0" w:color="auto"/>
            <w:left w:val="none" w:sz="0" w:space="0" w:color="auto"/>
            <w:bottom w:val="none" w:sz="0" w:space="0" w:color="auto"/>
            <w:right w:val="none" w:sz="0" w:space="0" w:color="auto"/>
          </w:divBdr>
        </w:div>
        <w:div w:id="1261642486">
          <w:marLeft w:val="640"/>
          <w:marRight w:val="0"/>
          <w:marTop w:val="0"/>
          <w:marBottom w:val="0"/>
          <w:divBdr>
            <w:top w:val="none" w:sz="0" w:space="0" w:color="auto"/>
            <w:left w:val="none" w:sz="0" w:space="0" w:color="auto"/>
            <w:bottom w:val="none" w:sz="0" w:space="0" w:color="auto"/>
            <w:right w:val="none" w:sz="0" w:space="0" w:color="auto"/>
          </w:divBdr>
        </w:div>
        <w:div w:id="292180046">
          <w:marLeft w:val="640"/>
          <w:marRight w:val="0"/>
          <w:marTop w:val="0"/>
          <w:marBottom w:val="0"/>
          <w:divBdr>
            <w:top w:val="none" w:sz="0" w:space="0" w:color="auto"/>
            <w:left w:val="none" w:sz="0" w:space="0" w:color="auto"/>
            <w:bottom w:val="none" w:sz="0" w:space="0" w:color="auto"/>
            <w:right w:val="none" w:sz="0" w:space="0" w:color="auto"/>
          </w:divBdr>
        </w:div>
        <w:div w:id="1231891876">
          <w:marLeft w:val="640"/>
          <w:marRight w:val="0"/>
          <w:marTop w:val="0"/>
          <w:marBottom w:val="0"/>
          <w:divBdr>
            <w:top w:val="none" w:sz="0" w:space="0" w:color="auto"/>
            <w:left w:val="none" w:sz="0" w:space="0" w:color="auto"/>
            <w:bottom w:val="none" w:sz="0" w:space="0" w:color="auto"/>
            <w:right w:val="none" w:sz="0" w:space="0" w:color="auto"/>
          </w:divBdr>
        </w:div>
        <w:div w:id="1243946751">
          <w:marLeft w:val="640"/>
          <w:marRight w:val="0"/>
          <w:marTop w:val="0"/>
          <w:marBottom w:val="0"/>
          <w:divBdr>
            <w:top w:val="none" w:sz="0" w:space="0" w:color="auto"/>
            <w:left w:val="none" w:sz="0" w:space="0" w:color="auto"/>
            <w:bottom w:val="none" w:sz="0" w:space="0" w:color="auto"/>
            <w:right w:val="none" w:sz="0" w:space="0" w:color="auto"/>
          </w:divBdr>
        </w:div>
        <w:div w:id="1417900310">
          <w:marLeft w:val="640"/>
          <w:marRight w:val="0"/>
          <w:marTop w:val="0"/>
          <w:marBottom w:val="0"/>
          <w:divBdr>
            <w:top w:val="none" w:sz="0" w:space="0" w:color="auto"/>
            <w:left w:val="none" w:sz="0" w:space="0" w:color="auto"/>
            <w:bottom w:val="none" w:sz="0" w:space="0" w:color="auto"/>
            <w:right w:val="none" w:sz="0" w:space="0" w:color="auto"/>
          </w:divBdr>
        </w:div>
        <w:div w:id="981807156">
          <w:marLeft w:val="640"/>
          <w:marRight w:val="0"/>
          <w:marTop w:val="0"/>
          <w:marBottom w:val="0"/>
          <w:divBdr>
            <w:top w:val="none" w:sz="0" w:space="0" w:color="auto"/>
            <w:left w:val="none" w:sz="0" w:space="0" w:color="auto"/>
            <w:bottom w:val="none" w:sz="0" w:space="0" w:color="auto"/>
            <w:right w:val="none" w:sz="0" w:space="0" w:color="auto"/>
          </w:divBdr>
        </w:div>
        <w:div w:id="539631884">
          <w:marLeft w:val="640"/>
          <w:marRight w:val="0"/>
          <w:marTop w:val="0"/>
          <w:marBottom w:val="0"/>
          <w:divBdr>
            <w:top w:val="none" w:sz="0" w:space="0" w:color="auto"/>
            <w:left w:val="none" w:sz="0" w:space="0" w:color="auto"/>
            <w:bottom w:val="none" w:sz="0" w:space="0" w:color="auto"/>
            <w:right w:val="none" w:sz="0" w:space="0" w:color="auto"/>
          </w:divBdr>
        </w:div>
        <w:div w:id="1909532363">
          <w:marLeft w:val="640"/>
          <w:marRight w:val="0"/>
          <w:marTop w:val="0"/>
          <w:marBottom w:val="0"/>
          <w:divBdr>
            <w:top w:val="none" w:sz="0" w:space="0" w:color="auto"/>
            <w:left w:val="none" w:sz="0" w:space="0" w:color="auto"/>
            <w:bottom w:val="none" w:sz="0" w:space="0" w:color="auto"/>
            <w:right w:val="none" w:sz="0" w:space="0" w:color="auto"/>
          </w:divBdr>
        </w:div>
        <w:div w:id="1312784324">
          <w:marLeft w:val="640"/>
          <w:marRight w:val="0"/>
          <w:marTop w:val="0"/>
          <w:marBottom w:val="0"/>
          <w:divBdr>
            <w:top w:val="none" w:sz="0" w:space="0" w:color="auto"/>
            <w:left w:val="none" w:sz="0" w:space="0" w:color="auto"/>
            <w:bottom w:val="none" w:sz="0" w:space="0" w:color="auto"/>
            <w:right w:val="none" w:sz="0" w:space="0" w:color="auto"/>
          </w:divBdr>
        </w:div>
        <w:div w:id="686369128">
          <w:marLeft w:val="640"/>
          <w:marRight w:val="0"/>
          <w:marTop w:val="0"/>
          <w:marBottom w:val="0"/>
          <w:divBdr>
            <w:top w:val="none" w:sz="0" w:space="0" w:color="auto"/>
            <w:left w:val="none" w:sz="0" w:space="0" w:color="auto"/>
            <w:bottom w:val="none" w:sz="0" w:space="0" w:color="auto"/>
            <w:right w:val="none" w:sz="0" w:space="0" w:color="auto"/>
          </w:divBdr>
        </w:div>
        <w:div w:id="1184782464">
          <w:marLeft w:val="640"/>
          <w:marRight w:val="0"/>
          <w:marTop w:val="0"/>
          <w:marBottom w:val="0"/>
          <w:divBdr>
            <w:top w:val="none" w:sz="0" w:space="0" w:color="auto"/>
            <w:left w:val="none" w:sz="0" w:space="0" w:color="auto"/>
            <w:bottom w:val="none" w:sz="0" w:space="0" w:color="auto"/>
            <w:right w:val="none" w:sz="0" w:space="0" w:color="auto"/>
          </w:divBdr>
        </w:div>
        <w:div w:id="1530292590">
          <w:marLeft w:val="640"/>
          <w:marRight w:val="0"/>
          <w:marTop w:val="0"/>
          <w:marBottom w:val="0"/>
          <w:divBdr>
            <w:top w:val="none" w:sz="0" w:space="0" w:color="auto"/>
            <w:left w:val="none" w:sz="0" w:space="0" w:color="auto"/>
            <w:bottom w:val="none" w:sz="0" w:space="0" w:color="auto"/>
            <w:right w:val="none" w:sz="0" w:space="0" w:color="auto"/>
          </w:divBdr>
        </w:div>
        <w:div w:id="36467978">
          <w:marLeft w:val="640"/>
          <w:marRight w:val="0"/>
          <w:marTop w:val="0"/>
          <w:marBottom w:val="0"/>
          <w:divBdr>
            <w:top w:val="none" w:sz="0" w:space="0" w:color="auto"/>
            <w:left w:val="none" w:sz="0" w:space="0" w:color="auto"/>
            <w:bottom w:val="none" w:sz="0" w:space="0" w:color="auto"/>
            <w:right w:val="none" w:sz="0" w:space="0" w:color="auto"/>
          </w:divBdr>
        </w:div>
        <w:div w:id="1025058209">
          <w:marLeft w:val="640"/>
          <w:marRight w:val="0"/>
          <w:marTop w:val="0"/>
          <w:marBottom w:val="0"/>
          <w:divBdr>
            <w:top w:val="none" w:sz="0" w:space="0" w:color="auto"/>
            <w:left w:val="none" w:sz="0" w:space="0" w:color="auto"/>
            <w:bottom w:val="none" w:sz="0" w:space="0" w:color="auto"/>
            <w:right w:val="none" w:sz="0" w:space="0" w:color="auto"/>
          </w:divBdr>
        </w:div>
        <w:div w:id="398485522">
          <w:marLeft w:val="640"/>
          <w:marRight w:val="0"/>
          <w:marTop w:val="0"/>
          <w:marBottom w:val="0"/>
          <w:divBdr>
            <w:top w:val="none" w:sz="0" w:space="0" w:color="auto"/>
            <w:left w:val="none" w:sz="0" w:space="0" w:color="auto"/>
            <w:bottom w:val="none" w:sz="0" w:space="0" w:color="auto"/>
            <w:right w:val="none" w:sz="0" w:space="0" w:color="auto"/>
          </w:divBdr>
        </w:div>
        <w:div w:id="1208758428">
          <w:marLeft w:val="640"/>
          <w:marRight w:val="0"/>
          <w:marTop w:val="0"/>
          <w:marBottom w:val="0"/>
          <w:divBdr>
            <w:top w:val="none" w:sz="0" w:space="0" w:color="auto"/>
            <w:left w:val="none" w:sz="0" w:space="0" w:color="auto"/>
            <w:bottom w:val="none" w:sz="0" w:space="0" w:color="auto"/>
            <w:right w:val="none" w:sz="0" w:space="0" w:color="auto"/>
          </w:divBdr>
        </w:div>
        <w:div w:id="1842234336">
          <w:marLeft w:val="640"/>
          <w:marRight w:val="0"/>
          <w:marTop w:val="0"/>
          <w:marBottom w:val="0"/>
          <w:divBdr>
            <w:top w:val="none" w:sz="0" w:space="0" w:color="auto"/>
            <w:left w:val="none" w:sz="0" w:space="0" w:color="auto"/>
            <w:bottom w:val="none" w:sz="0" w:space="0" w:color="auto"/>
            <w:right w:val="none" w:sz="0" w:space="0" w:color="auto"/>
          </w:divBdr>
        </w:div>
        <w:div w:id="1432629646">
          <w:marLeft w:val="640"/>
          <w:marRight w:val="0"/>
          <w:marTop w:val="0"/>
          <w:marBottom w:val="0"/>
          <w:divBdr>
            <w:top w:val="none" w:sz="0" w:space="0" w:color="auto"/>
            <w:left w:val="none" w:sz="0" w:space="0" w:color="auto"/>
            <w:bottom w:val="none" w:sz="0" w:space="0" w:color="auto"/>
            <w:right w:val="none" w:sz="0" w:space="0" w:color="auto"/>
          </w:divBdr>
        </w:div>
        <w:div w:id="660428916">
          <w:marLeft w:val="640"/>
          <w:marRight w:val="0"/>
          <w:marTop w:val="0"/>
          <w:marBottom w:val="0"/>
          <w:divBdr>
            <w:top w:val="none" w:sz="0" w:space="0" w:color="auto"/>
            <w:left w:val="none" w:sz="0" w:space="0" w:color="auto"/>
            <w:bottom w:val="none" w:sz="0" w:space="0" w:color="auto"/>
            <w:right w:val="none" w:sz="0" w:space="0" w:color="auto"/>
          </w:divBdr>
        </w:div>
        <w:div w:id="284426562">
          <w:marLeft w:val="640"/>
          <w:marRight w:val="0"/>
          <w:marTop w:val="0"/>
          <w:marBottom w:val="0"/>
          <w:divBdr>
            <w:top w:val="none" w:sz="0" w:space="0" w:color="auto"/>
            <w:left w:val="none" w:sz="0" w:space="0" w:color="auto"/>
            <w:bottom w:val="none" w:sz="0" w:space="0" w:color="auto"/>
            <w:right w:val="none" w:sz="0" w:space="0" w:color="auto"/>
          </w:divBdr>
        </w:div>
        <w:div w:id="1760757634">
          <w:marLeft w:val="640"/>
          <w:marRight w:val="0"/>
          <w:marTop w:val="0"/>
          <w:marBottom w:val="0"/>
          <w:divBdr>
            <w:top w:val="none" w:sz="0" w:space="0" w:color="auto"/>
            <w:left w:val="none" w:sz="0" w:space="0" w:color="auto"/>
            <w:bottom w:val="none" w:sz="0" w:space="0" w:color="auto"/>
            <w:right w:val="none" w:sz="0" w:space="0" w:color="auto"/>
          </w:divBdr>
        </w:div>
        <w:div w:id="977760454">
          <w:marLeft w:val="640"/>
          <w:marRight w:val="0"/>
          <w:marTop w:val="0"/>
          <w:marBottom w:val="0"/>
          <w:divBdr>
            <w:top w:val="none" w:sz="0" w:space="0" w:color="auto"/>
            <w:left w:val="none" w:sz="0" w:space="0" w:color="auto"/>
            <w:bottom w:val="none" w:sz="0" w:space="0" w:color="auto"/>
            <w:right w:val="none" w:sz="0" w:space="0" w:color="auto"/>
          </w:divBdr>
        </w:div>
        <w:div w:id="88698429">
          <w:marLeft w:val="640"/>
          <w:marRight w:val="0"/>
          <w:marTop w:val="0"/>
          <w:marBottom w:val="0"/>
          <w:divBdr>
            <w:top w:val="none" w:sz="0" w:space="0" w:color="auto"/>
            <w:left w:val="none" w:sz="0" w:space="0" w:color="auto"/>
            <w:bottom w:val="none" w:sz="0" w:space="0" w:color="auto"/>
            <w:right w:val="none" w:sz="0" w:space="0" w:color="auto"/>
          </w:divBdr>
        </w:div>
        <w:div w:id="2057582761">
          <w:marLeft w:val="640"/>
          <w:marRight w:val="0"/>
          <w:marTop w:val="0"/>
          <w:marBottom w:val="0"/>
          <w:divBdr>
            <w:top w:val="none" w:sz="0" w:space="0" w:color="auto"/>
            <w:left w:val="none" w:sz="0" w:space="0" w:color="auto"/>
            <w:bottom w:val="none" w:sz="0" w:space="0" w:color="auto"/>
            <w:right w:val="none" w:sz="0" w:space="0" w:color="auto"/>
          </w:divBdr>
        </w:div>
        <w:div w:id="1030571075">
          <w:marLeft w:val="640"/>
          <w:marRight w:val="0"/>
          <w:marTop w:val="0"/>
          <w:marBottom w:val="0"/>
          <w:divBdr>
            <w:top w:val="none" w:sz="0" w:space="0" w:color="auto"/>
            <w:left w:val="none" w:sz="0" w:space="0" w:color="auto"/>
            <w:bottom w:val="none" w:sz="0" w:space="0" w:color="auto"/>
            <w:right w:val="none" w:sz="0" w:space="0" w:color="auto"/>
          </w:divBdr>
        </w:div>
        <w:div w:id="2013490459">
          <w:marLeft w:val="640"/>
          <w:marRight w:val="0"/>
          <w:marTop w:val="0"/>
          <w:marBottom w:val="0"/>
          <w:divBdr>
            <w:top w:val="none" w:sz="0" w:space="0" w:color="auto"/>
            <w:left w:val="none" w:sz="0" w:space="0" w:color="auto"/>
            <w:bottom w:val="none" w:sz="0" w:space="0" w:color="auto"/>
            <w:right w:val="none" w:sz="0" w:space="0" w:color="auto"/>
          </w:divBdr>
        </w:div>
        <w:div w:id="1933270027">
          <w:marLeft w:val="640"/>
          <w:marRight w:val="0"/>
          <w:marTop w:val="0"/>
          <w:marBottom w:val="0"/>
          <w:divBdr>
            <w:top w:val="none" w:sz="0" w:space="0" w:color="auto"/>
            <w:left w:val="none" w:sz="0" w:space="0" w:color="auto"/>
            <w:bottom w:val="none" w:sz="0" w:space="0" w:color="auto"/>
            <w:right w:val="none" w:sz="0" w:space="0" w:color="auto"/>
          </w:divBdr>
        </w:div>
        <w:div w:id="1145008711">
          <w:marLeft w:val="640"/>
          <w:marRight w:val="0"/>
          <w:marTop w:val="0"/>
          <w:marBottom w:val="0"/>
          <w:divBdr>
            <w:top w:val="none" w:sz="0" w:space="0" w:color="auto"/>
            <w:left w:val="none" w:sz="0" w:space="0" w:color="auto"/>
            <w:bottom w:val="none" w:sz="0" w:space="0" w:color="auto"/>
            <w:right w:val="none" w:sz="0" w:space="0" w:color="auto"/>
          </w:divBdr>
        </w:div>
        <w:div w:id="1358770159">
          <w:marLeft w:val="640"/>
          <w:marRight w:val="0"/>
          <w:marTop w:val="0"/>
          <w:marBottom w:val="0"/>
          <w:divBdr>
            <w:top w:val="none" w:sz="0" w:space="0" w:color="auto"/>
            <w:left w:val="none" w:sz="0" w:space="0" w:color="auto"/>
            <w:bottom w:val="none" w:sz="0" w:space="0" w:color="auto"/>
            <w:right w:val="none" w:sz="0" w:space="0" w:color="auto"/>
          </w:divBdr>
        </w:div>
        <w:div w:id="1955744076">
          <w:marLeft w:val="640"/>
          <w:marRight w:val="0"/>
          <w:marTop w:val="0"/>
          <w:marBottom w:val="0"/>
          <w:divBdr>
            <w:top w:val="none" w:sz="0" w:space="0" w:color="auto"/>
            <w:left w:val="none" w:sz="0" w:space="0" w:color="auto"/>
            <w:bottom w:val="none" w:sz="0" w:space="0" w:color="auto"/>
            <w:right w:val="none" w:sz="0" w:space="0" w:color="auto"/>
          </w:divBdr>
        </w:div>
        <w:div w:id="829830885">
          <w:marLeft w:val="640"/>
          <w:marRight w:val="0"/>
          <w:marTop w:val="0"/>
          <w:marBottom w:val="0"/>
          <w:divBdr>
            <w:top w:val="none" w:sz="0" w:space="0" w:color="auto"/>
            <w:left w:val="none" w:sz="0" w:space="0" w:color="auto"/>
            <w:bottom w:val="none" w:sz="0" w:space="0" w:color="auto"/>
            <w:right w:val="none" w:sz="0" w:space="0" w:color="auto"/>
          </w:divBdr>
        </w:div>
        <w:div w:id="461075974">
          <w:marLeft w:val="640"/>
          <w:marRight w:val="0"/>
          <w:marTop w:val="0"/>
          <w:marBottom w:val="0"/>
          <w:divBdr>
            <w:top w:val="none" w:sz="0" w:space="0" w:color="auto"/>
            <w:left w:val="none" w:sz="0" w:space="0" w:color="auto"/>
            <w:bottom w:val="none" w:sz="0" w:space="0" w:color="auto"/>
            <w:right w:val="none" w:sz="0" w:space="0" w:color="auto"/>
          </w:divBdr>
        </w:div>
        <w:div w:id="1779837188">
          <w:marLeft w:val="640"/>
          <w:marRight w:val="0"/>
          <w:marTop w:val="0"/>
          <w:marBottom w:val="0"/>
          <w:divBdr>
            <w:top w:val="none" w:sz="0" w:space="0" w:color="auto"/>
            <w:left w:val="none" w:sz="0" w:space="0" w:color="auto"/>
            <w:bottom w:val="none" w:sz="0" w:space="0" w:color="auto"/>
            <w:right w:val="none" w:sz="0" w:space="0" w:color="auto"/>
          </w:divBdr>
        </w:div>
        <w:div w:id="533157233">
          <w:marLeft w:val="640"/>
          <w:marRight w:val="0"/>
          <w:marTop w:val="0"/>
          <w:marBottom w:val="0"/>
          <w:divBdr>
            <w:top w:val="none" w:sz="0" w:space="0" w:color="auto"/>
            <w:left w:val="none" w:sz="0" w:space="0" w:color="auto"/>
            <w:bottom w:val="none" w:sz="0" w:space="0" w:color="auto"/>
            <w:right w:val="none" w:sz="0" w:space="0" w:color="auto"/>
          </w:divBdr>
        </w:div>
        <w:div w:id="813330114">
          <w:marLeft w:val="640"/>
          <w:marRight w:val="0"/>
          <w:marTop w:val="0"/>
          <w:marBottom w:val="0"/>
          <w:divBdr>
            <w:top w:val="none" w:sz="0" w:space="0" w:color="auto"/>
            <w:left w:val="none" w:sz="0" w:space="0" w:color="auto"/>
            <w:bottom w:val="none" w:sz="0" w:space="0" w:color="auto"/>
            <w:right w:val="none" w:sz="0" w:space="0" w:color="auto"/>
          </w:divBdr>
        </w:div>
        <w:div w:id="803426449">
          <w:marLeft w:val="640"/>
          <w:marRight w:val="0"/>
          <w:marTop w:val="0"/>
          <w:marBottom w:val="0"/>
          <w:divBdr>
            <w:top w:val="none" w:sz="0" w:space="0" w:color="auto"/>
            <w:left w:val="none" w:sz="0" w:space="0" w:color="auto"/>
            <w:bottom w:val="none" w:sz="0" w:space="0" w:color="auto"/>
            <w:right w:val="none" w:sz="0" w:space="0" w:color="auto"/>
          </w:divBdr>
        </w:div>
        <w:div w:id="210776298">
          <w:marLeft w:val="640"/>
          <w:marRight w:val="0"/>
          <w:marTop w:val="0"/>
          <w:marBottom w:val="0"/>
          <w:divBdr>
            <w:top w:val="none" w:sz="0" w:space="0" w:color="auto"/>
            <w:left w:val="none" w:sz="0" w:space="0" w:color="auto"/>
            <w:bottom w:val="none" w:sz="0" w:space="0" w:color="auto"/>
            <w:right w:val="none" w:sz="0" w:space="0" w:color="auto"/>
          </w:divBdr>
        </w:div>
        <w:div w:id="1751846445">
          <w:marLeft w:val="640"/>
          <w:marRight w:val="0"/>
          <w:marTop w:val="0"/>
          <w:marBottom w:val="0"/>
          <w:divBdr>
            <w:top w:val="none" w:sz="0" w:space="0" w:color="auto"/>
            <w:left w:val="none" w:sz="0" w:space="0" w:color="auto"/>
            <w:bottom w:val="none" w:sz="0" w:space="0" w:color="auto"/>
            <w:right w:val="none" w:sz="0" w:space="0" w:color="auto"/>
          </w:divBdr>
        </w:div>
        <w:div w:id="155416161">
          <w:marLeft w:val="640"/>
          <w:marRight w:val="0"/>
          <w:marTop w:val="0"/>
          <w:marBottom w:val="0"/>
          <w:divBdr>
            <w:top w:val="none" w:sz="0" w:space="0" w:color="auto"/>
            <w:left w:val="none" w:sz="0" w:space="0" w:color="auto"/>
            <w:bottom w:val="none" w:sz="0" w:space="0" w:color="auto"/>
            <w:right w:val="none" w:sz="0" w:space="0" w:color="auto"/>
          </w:divBdr>
        </w:div>
        <w:div w:id="1515611094">
          <w:marLeft w:val="640"/>
          <w:marRight w:val="0"/>
          <w:marTop w:val="0"/>
          <w:marBottom w:val="0"/>
          <w:divBdr>
            <w:top w:val="none" w:sz="0" w:space="0" w:color="auto"/>
            <w:left w:val="none" w:sz="0" w:space="0" w:color="auto"/>
            <w:bottom w:val="none" w:sz="0" w:space="0" w:color="auto"/>
            <w:right w:val="none" w:sz="0" w:space="0" w:color="auto"/>
          </w:divBdr>
        </w:div>
        <w:div w:id="725642655">
          <w:marLeft w:val="640"/>
          <w:marRight w:val="0"/>
          <w:marTop w:val="0"/>
          <w:marBottom w:val="0"/>
          <w:divBdr>
            <w:top w:val="none" w:sz="0" w:space="0" w:color="auto"/>
            <w:left w:val="none" w:sz="0" w:space="0" w:color="auto"/>
            <w:bottom w:val="none" w:sz="0" w:space="0" w:color="auto"/>
            <w:right w:val="none" w:sz="0" w:space="0" w:color="auto"/>
          </w:divBdr>
        </w:div>
        <w:div w:id="1953437986">
          <w:marLeft w:val="640"/>
          <w:marRight w:val="0"/>
          <w:marTop w:val="0"/>
          <w:marBottom w:val="0"/>
          <w:divBdr>
            <w:top w:val="none" w:sz="0" w:space="0" w:color="auto"/>
            <w:left w:val="none" w:sz="0" w:space="0" w:color="auto"/>
            <w:bottom w:val="none" w:sz="0" w:space="0" w:color="auto"/>
            <w:right w:val="none" w:sz="0" w:space="0" w:color="auto"/>
          </w:divBdr>
        </w:div>
        <w:div w:id="1774472224">
          <w:marLeft w:val="640"/>
          <w:marRight w:val="0"/>
          <w:marTop w:val="0"/>
          <w:marBottom w:val="0"/>
          <w:divBdr>
            <w:top w:val="none" w:sz="0" w:space="0" w:color="auto"/>
            <w:left w:val="none" w:sz="0" w:space="0" w:color="auto"/>
            <w:bottom w:val="none" w:sz="0" w:space="0" w:color="auto"/>
            <w:right w:val="none" w:sz="0" w:space="0" w:color="auto"/>
          </w:divBdr>
        </w:div>
        <w:div w:id="1724795901">
          <w:marLeft w:val="640"/>
          <w:marRight w:val="0"/>
          <w:marTop w:val="0"/>
          <w:marBottom w:val="0"/>
          <w:divBdr>
            <w:top w:val="none" w:sz="0" w:space="0" w:color="auto"/>
            <w:left w:val="none" w:sz="0" w:space="0" w:color="auto"/>
            <w:bottom w:val="none" w:sz="0" w:space="0" w:color="auto"/>
            <w:right w:val="none" w:sz="0" w:space="0" w:color="auto"/>
          </w:divBdr>
        </w:div>
        <w:div w:id="105152060">
          <w:marLeft w:val="640"/>
          <w:marRight w:val="0"/>
          <w:marTop w:val="0"/>
          <w:marBottom w:val="0"/>
          <w:divBdr>
            <w:top w:val="none" w:sz="0" w:space="0" w:color="auto"/>
            <w:left w:val="none" w:sz="0" w:space="0" w:color="auto"/>
            <w:bottom w:val="none" w:sz="0" w:space="0" w:color="auto"/>
            <w:right w:val="none" w:sz="0" w:space="0" w:color="auto"/>
          </w:divBdr>
        </w:div>
        <w:div w:id="1218858316">
          <w:marLeft w:val="640"/>
          <w:marRight w:val="0"/>
          <w:marTop w:val="0"/>
          <w:marBottom w:val="0"/>
          <w:divBdr>
            <w:top w:val="none" w:sz="0" w:space="0" w:color="auto"/>
            <w:left w:val="none" w:sz="0" w:space="0" w:color="auto"/>
            <w:bottom w:val="none" w:sz="0" w:space="0" w:color="auto"/>
            <w:right w:val="none" w:sz="0" w:space="0" w:color="auto"/>
          </w:divBdr>
        </w:div>
        <w:div w:id="660697261">
          <w:marLeft w:val="640"/>
          <w:marRight w:val="0"/>
          <w:marTop w:val="0"/>
          <w:marBottom w:val="0"/>
          <w:divBdr>
            <w:top w:val="none" w:sz="0" w:space="0" w:color="auto"/>
            <w:left w:val="none" w:sz="0" w:space="0" w:color="auto"/>
            <w:bottom w:val="none" w:sz="0" w:space="0" w:color="auto"/>
            <w:right w:val="none" w:sz="0" w:space="0" w:color="auto"/>
          </w:divBdr>
        </w:div>
        <w:div w:id="1626810911">
          <w:marLeft w:val="640"/>
          <w:marRight w:val="0"/>
          <w:marTop w:val="0"/>
          <w:marBottom w:val="0"/>
          <w:divBdr>
            <w:top w:val="none" w:sz="0" w:space="0" w:color="auto"/>
            <w:left w:val="none" w:sz="0" w:space="0" w:color="auto"/>
            <w:bottom w:val="none" w:sz="0" w:space="0" w:color="auto"/>
            <w:right w:val="none" w:sz="0" w:space="0" w:color="auto"/>
          </w:divBdr>
        </w:div>
        <w:div w:id="1854613953">
          <w:marLeft w:val="640"/>
          <w:marRight w:val="0"/>
          <w:marTop w:val="0"/>
          <w:marBottom w:val="0"/>
          <w:divBdr>
            <w:top w:val="none" w:sz="0" w:space="0" w:color="auto"/>
            <w:left w:val="none" w:sz="0" w:space="0" w:color="auto"/>
            <w:bottom w:val="none" w:sz="0" w:space="0" w:color="auto"/>
            <w:right w:val="none" w:sz="0" w:space="0" w:color="auto"/>
          </w:divBdr>
        </w:div>
        <w:div w:id="193004652">
          <w:marLeft w:val="640"/>
          <w:marRight w:val="0"/>
          <w:marTop w:val="0"/>
          <w:marBottom w:val="0"/>
          <w:divBdr>
            <w:top w:val="none" w:sz="0" w:space="0" w:color="auto"/>
            <w:left w:val="none" w:sz="0" w:space="0" w:color="auto"/>
            <w:bottom w:val="none" w:sz="0" w:space="0" w:color="auto"/>
            <w:right w:val="none" w:sz="0" w:space="0" w:color="auto"/>
          </w:divBdr>
        </w:div>
        <w:div w:id="407964679">
          <w:marLeft w:val="640"/>
          <w:marRight w:val="0"/>
          <w:marTop w:val="0"/>
          <w:marBottom w:val="0"/>
          <w:divBdr>
            <w:top w:val="none" w:sz="0" w:space="0" w:color="auto"/>
            <w:left w:val="none" w:sz="0" w:space="0" w:color="auto"/>
            <w:bottom w:val="none" w:sz="0" w:space="0" w:color="auto"/>
            <w:right w:val="none" w:sz="0" w:space="0" w:color="auto"/>
          </w:divBdr>
        </w:div>
        <w:div w:id="347216035">
          <w:marLeft w:val="640"/>
          <w:marRight w:val="0"/>
          <w:marTop w:val="0"/>
          <w:marBottom w:val="0"/>
          <w:divBdr>
            <w:top w:val="none" w:sz="0" w:space="0" w:color="auto"/>
            <w:left w:val="none" w:sz="0" w:space="0" w:color="auto"/>
            <w:bottom w:val="none" w:sz="0" w:space="0" w:color="auto"/>
            <w:right w:val="none" w:sz="0" w:space="0" w:color="auto"/>
          </w:divBdr>
        </w:div>
        <w:div w:id="1164275441">
          <w:marLeft w:val="640"/>
          <w:marRight w:val="0"/>
          <w:marTop w:val="0"/>
          <w:marBottom w:val="0"/>
          <w:divBdr>
            <w:top w:val="none" w:sz="0" w:space="0" w:color="auto"/>
            <w:left w:val="none" w:sz="0" w:space="0" w:color="auto"/>
            <w:bottom w:val="none" w:sz="0" w:space="0" w:color="auto"/>
            <w:right w:val="none" w:sz="0" w:space="0" w:color="auto"/>
          </w:divBdr>
        </w:div>
        <w:div w:id="52242910">
          <w:marLeft w:val="640"/>
          <w:marRight w:val="0"/>
          <w:marTop w:val="0"/>
          <w:marBottom w:val="0"/>
          <w:divBdr>
            <w:top w:val="none" w:sz="0" w:space="0" w:color="auto"/>
            <w:left w:val="none" w:sz="0" w:space="0" w:color="auto"/>
            <w:bottom w:val="none" w:sz="0" w:space="0" w:color="auto"/>
            <w:right w:val="none" w:sz="0" w:space="0" w:color="auto"/>
          </w:divBdr>
        </w:div>
        <w:div w:id="1692031976">
          <w:marLeft w:val="640"/>
          <w:marRight w:val="0"/>
          <w:marTop w:val="0"/>
          <w:marBottom w:val="0"/>
          <w:divBdr>
            <w:top w:val="none" w:sz="0" w:space="0" w:color="auto"/>
            <w:left w:val="none" w:sz="0" w:space="0" w:color="auto"/>
            <w:bottom w:val="none" w:sz="0" w:space="0" w:color="auto"/>
            <w:right w:val="none" w:sz="0" w:space="0" w:color="auto"/>
          </w:divBdr>
        </w:div>
        <w:div w:id="625356497">
          <w:marLeft w:val="640"/>
          <w:marRight w:val="0"/>
          <w:marTop w:val="0"/>
          <w:marBottom w:val="0"/>
          <w:divBdr>
            <w:top w:val="none" w:sz="0" w:space="0" w:color="auto"/>
            <w:left w:val="none" w:sz="0" w:space="0" w:color="auto"/>
            <w:bottom w:val="none" w:sz="0" w:space="0" w:color="auto"/>
            <w:right w:val="none" w:sz="0" w:space="0" w:color="auto"/>
          </w:divBdr>
        </w:div>
        <w:div w:id="341513977">
          <w:marLeft w:val="640"/>
          <w:marRight w:val="0"/>
          <w:marTop w:val="0"/>
          <w:marBottom w:val="0"/>
          <w:divBdr>
            <w:top w:val="none" w:sz="0" w:space="0" w:color="auto"/>
            <w:left w:val="none" w:sz="0" w:space="0" w:color="auto"/>
            <w:bottom w:val="none" w:sz="0" w:space="0" w:color="auto"/>
            <w:right w:val="none" w:sz="0" w:space="0" w:color="auto"/>
          </w:divBdr>
        </w:div>
        <w:div w:id="1440486659">
          <w:marLeft w:val="640"/>
          <w:marRight w:val="0"/>
          <w:marTop w:val="0"/>
          <w:marBottom w:val="0"/>
          <w:divBdr>
            <w:top w:val="none" w:sz="0" w:space="0" w:color="auto"/>
            <w:left w:val="none" w:sz="0" w:space="0" w:color="auto"/>
            <w:bottom w:val="none" w:sz="0" w:space="0" w:color="auto"/>
            <w:right w:val="none" w:sz="0" w:space="0" w:color="auto"/>
          </w:divBdr>
        </w:div>
        <w:div w:id="829489825">
          <w:marLeft w:val="640"/>
          <w:marRight w:val="0"/>
          <w:marTop w:val="0"/>
          <w:marBottom w:val="0"/>
          <w:divBdr>
            <w:top w:val="none" w:sz="0" w:space="0" w:color="auto"/>
            <w:left w:val="none" w:sz="0" w:space="0" w:color="auto"/>
            <w:bottom w:val="none" w:sz="0" w:space="0" w:color="auto"/>
            <w:right w:val="none" w:sz="0" w:space="0" w:color="auto"/>
          </w:divBdr>
        </w:div>
        <w:div w:id="1446000822">
          <w:marLeft w:val="640"/>
          <w:marRight w:val="0"/>
          <w:marTop w:val="0"/>
          <w:marBottom w:val="0"/>
          <w:divBdr>
            <w:top w:val="none" w:sz="0" w:space="0" w:color="auto"/>
            <w:left w:val="none" w:sz="0" w:space="0" w:color="auto"/>
            <w:bottom w:val="none" w:sz="0" w:space="0" w:color="auto"/>
            <w:right w:val="none" w:sz="0" w:space="0" w:color="auto"/>
          </w:divBdr>
        </w:div>
        <w:div w:id="1082412277">
          <w:marLeft w:val="640"/>
          <w:marRight w:val="0"/>
          <w:marTop w:val="0"/>
          <w:marBottom w:val="0"/>
          <w:divBdr>
            <w:top w:val="none" w:sz="0" w:space="0" w:color="auto"/>
            <w:left w:val="none" w:sz="0" w:space="0" w:color="auto"/>
            <w:bottom w:val="none" w:sz="0" w:space="0" w:color="auto"/>
            <w:right w:val="none" w:sz="0" w:space="0" w:color="auto"/>
          </w:divBdr>
        </w:div>
        <w:div w:id="107240797">
          <w:marLeft w:val="640"/>
          <w:marRight w:val="0"/>
          <w:marTop w:val="0"/>
          <w:marBottom w:val="0"/>
          <w:divBdr>
            <w:top w:val="none" w:sz="0" w:space="0" w:color="auto"/>
            <w:left w:val="none" w:sz="0" w:space="0" w:color="auto"/>
            <w:bottom w:val="none" w:sz="0" w:space="0" w:color="auto"/>
            <w:right w:val="none" w:sz="0" w:space="0" w:color="auto"/>
          </w:divBdr>
        </w:div>
        <w:div w:id="1486387361">
          <w:marLeft w:val="640"/>
          <w:marRight w:val="0"/>
          <w:marTop w:val="0"/>
          <w:marBottom w:val="0"/>
          <w:divBdr>
            <w:top w:val="none" w:sz="0" w:space="0" w:color="auto"/>
            <w:left w:val="none" w:sz="0" w:space="0" w:color="auto"/>
            <w:bottom w:val="none" w:sz="0" w:space="0" w:color="auto"/>
            <w:right w:val="none" w:sz="0" w:space="0" w:color="auto"/>
          </w:divBdr>
        </w:div>
        <w:div w:id="969164117">
          <w:marLeft w:val="640"/>
          <w:marRight w:val="0"/>
          <w:marTop w:val="0"/>
          <w:marBottom w:val="0"/>
          <w:divBdr>
            <w:top w:val="none" w:sz="0" w:space="0" w:color="auto"/>
            <w:left w:val="none" w:sz="0" w:space="0" w:color="auto"/>
            <w:bottom w:val="none" w:sz="0" w:space="0" w:color="auto"/>
            <w:right w:val="none" w:sz="0" w:space="0" w:color="auto"/>
          </w:divBdr>
        </w:div>
        <w:div w:id="188613085">
          <w:marLeft w:val="640"/>
          <w:marRight w:val="0"/>
          <w:marTop w:val="0"/>
          <w:marBottom w:val="0"/>
          <w:divBdr>
            <w:top w:val="none" w:sz="0" w:space="0" w:color="auto"/>
            <w:left w:val="none" w:sz="0" w:space="0" w:color="auto"/>
            <w:bottom w:val="none" w:sz="0" w:space="0" w:color="auto"/>
            <w:right w:val="none" w:sz="0" w:space="0" w:color="auto"/>
          </w:divBdr>
        </w:div>
        <w:div w:id="1792868417">
          <w:marLeft w:val="640"/>
          <w:marRight w:val="0"/>
          <w:marTop w:val="0"/>
          <w:marBottom w:val="0"/>
          <w:divBdr>
            <w:top w:val="none" w:sz="0" w:space="0" w:color="auto"/>
            <w:left w:val="none" w:sz="0" w:space="0" w:color="auto"/>
            <w:bottom w:val="none" w:sz="0" w:space="0" w:color="auto"/>
            <w:right w:val="none" w:sz="0" w:space="0" w:color="auto"/>
          </w:divBdr>
        </w:div>
        <w:div w:id="150485890">
          <w:marLeft w:val="640"/>
          <w:marRight w:val="0"/>
          <w:marTop w:val="0"/>
          <w:marBottom w:val="0"/>
          <w:divBdr>
            <w:top w:val="none" w:sz="0" w:space="0" w:color="auto"/>
            <w:left w:val="none" w:sz="0" w:space="0" w:color="auto"/>
            <w:bottom w:val="none" w:sz="0" w:space="0" w:color="auto"/>
            <w:right w:val="none" w:sz="0" w:space="0" w:color="auto"/>
          </w:divBdr>
        </w:div>
        <w:div w:id="54596104">
          <w:marLeft w:val="640"/>
          <w:marRight w:val="0"/>
          <w:marTop w:val="0"/>
          <w:marBottom w:val="0"/>
          <w:divBdr>
            <w:top w:val="none" w:sz="0" w:space="0" w:color="auto"/>
            <w:left w:val="none" w:sz="0" w:space="0" w:color="auto"/>
            <w:bottom w:val="none" w:sz="0" w:space="0" w:color="auto"/>
            <w:right w:val="none" w:sz="0" w:space="0" w:color="auto"/>
          </w:divBdr>
        </w:div>
        <w:div w:id="1524199402">
          <w:marLeft w:val="640"/>
          <w:marRight w:val="0"/>
          <w:marTop w:val="0"/>
          <w:marBottom w:val="0"/>
          <w:divBdr>
            <w:top w:val="none" w:sz="0" w:space="0" w:color="auto"/>
            <w:left w:val="none" w:sz="0" w:space="0" w:color="auto"/>
            <w:bottom w:val="none" w:sz="0" w:space="0" w:color="auto"/>
            <w:right w:val="none" w:sz="0" w:space="0" w:color="auto"/>
          </w:divBdr>
        </w:div>
        <w:div w:id="390733838">
          <w:marLeft w:val="640"/>
          <w:marRight w:val="0"/>
          <w:marTop w:val="0"/>
          <w:marBottom w:val="0"/>
          <w:divBdr>
            <w:top w:val="none" w:sz="0" w:space="0" w:color="auto"/>
            <w:left w:val="none" w:sz="0" w:space="0" w:color="auto"/>
            <w:bottom w:val="none" w:sz="0" w:space="0" w:color="auto"/>
            <w:right w:val="none" w:sz="0" w:space="0" w:color="auto"/>
          </w:divBdr>
        </w:div>
        <w:div w:id="996149942">
          <w:marLeft w:val="640"/>
          <w:marRight w:val="0"/>
          <w:marTop w:val="0"/>
          <w:marBottom w:val="0"/>
          <w:divBdr>
            <w:top w:val="none" w:sz="0" w:space="0" w:color="auto"/>
            <w:left w:val="none" w:sz="0" w:space="0" w:color="auto"/>
            <w:bottom w:val="none" w:sz="0" w:space="0" w:color="auto"/>
            <w:right w:val="none" w:sz="0" w:space="0" w:color="auto"/>
          </w:divBdr>
        </w:div>
        <w:div w:id="1002389644">
          <w:marLeft w:val="640"/>
          <w:marRight w:val="0"/>
          <w:marTop w:val="0"/>
          <w:marBottom w:val="0"/>
          <w:divBdr>
            <w:top w:val="none" w:sz="0" w:space="0" w:color="auto"/>
            <w:left w:val="none" w:sz="0" w:space="0" w:color="auto"/>
            <w:bottom w:val="none" w:sz="0" w:space="0" w:color="auto"/>
            <w:right w:val="none" w:sz="0" w:space="0" w:color="auto"/>
          </w:divBdr>
        </w:div>
        <w:div w:id="174466786">
          <w:marLeft w:val="640"/>
          <w:marRight w:val="0"/>
          <w:marTop w:val="0"/>
          <w:marBottom w:val="0"/>
          <w:divBdr>
            <w:top w:val="none" w:sz="0" w:space="0" w:color="auto"/>
            <w:left w:val="none" w:sz="0" w:space="0" w:color="auto"/>
            <w:bottom w:val="none" w:sz="0" w:space="0" w:color="auto"/>
            <w:right w:val="none" w:sz="0" w:space="0" w:color="auto"/>
          </w:divBdr>
        </w:div>
        <w:div w:id="355934160">
          <w:marLeft w:val="640"/>
          <w:marRight w:val="0"/>
          <w:marTop w:val="0"/>
          <w:marBottom w:val="0"/>
          <w:divBdr>
            <w:top w:val="none" w:sz="0" w:space="0" w:color="auto"/>
            <w:left w:val="none" w:sz="0" w:space="0" w:color="auto"/>
            <w:bottom w:val="none" w:sz="0" w:space="0" w:color="auto"/>
            <w:right w:val="none" w:sz="0" w:space="0" w:color="auto"/>
          </w:divBdr>
        </w:div>
        <w:div w:id="317612101">
          <w:marLeft w:val="640"/>
          <w:marRight w:val="0"/>
          <w:marTop w:val="0"/>
          <w:marBottom w:val="0"/>
          <w:divBdr>
            <w:top w:val="none" w:sz="0" w:space="0" w:color="auto"/>
            <w:left w:val="none" w:sz="0" w:space="0" w:color="auto"/>
            <w:bottom w:val="none" w:sz="0" w:space="0" w:color="auto"/>
            <w:right w:val="none" w:sz="0" w:space="0" w:color="auto"/>
          </w:divBdr>
        </w:div>
        <w:div w:id="1192499826">
          <w:marLeft w:val="640"/>
          <w:marRight w:val="0"/>
          <w:marTop w:val="0"/>
          <w:marBottom w:val="0"/>
          <w:divBdr>
            <w:top w:val="none" w:sz="0" w:space="0" w:color="auto"/>
            <w:left w:val="none" w:sz="0" w:space="0" w:color="auto"/>
            <w:bottom w:val="none" w:sz="0" w:space="0" w:color="auto"/>
            <w:right w:val="none" w:sz="0" w:space="0" w:color="auto"/>
          </w:divBdr>
        </w:div>
        <w:div w:id="688530116">
          <w:marLeft w:val="640"/>
          <w:marRight w:val="0"/>
          <w:marTop w:val="0"/>
          <w:marBottom w:val="0"/>
          <w:divBdr>
            <w:top w:val="none" w:sz="0" w:space="0" w:color="auto"/>
            <w:left w:val="none" w:sz="0" w:space="0" w:color="auto"/>
            <w:bottom w:val="none" w:sz="0" w:space="0" w:color="auto"/>
            <w:right w:val="none" w:sz="0" w:space="0" w:color="auto"/>
          </w:divBdr>
        </w:div>
        <w:div w:id="366881914">
          <w:marLeft w:val="640"/>
          <w:marRight w:val="0"/>
          <w:marTop w:val="0"/>
          <w:marBottom w:val="0"/>
          <w:divBdr>
            <w:top w:val="none" w:sz="0" w:space="0" w:color="auto"/>
            <w:left w:val="none" w:sz="0" w:space="0" w:color="auto"/>
            <w:bottom w:val="none" w:sz="0" w:space="0" w:color="auto"/>
            <w:right w:val="none" w:sz="0" w:space="0" w:color="auto"/>
          </w:divBdr>
        </w:div>
        <w:div w:id="1991133313">
          <w:marLeft w:val="640"/>
          <w:marRight w:val="0"/>
          <w:marTop w:val="0"/>
          <w:marBottom w:val="0"/>
          <w:divBdr>
            <w:top w:val="none" w:sz="0" w:space="0" w:color="auto"/>
            <w:left w:val="none" w:sz="0" w:space="0" w:color="auto"/>
            <w:bottom w:val="none" w:sz="0" w:space="0" w:color="auto"/>
            <w:right w:val="none" w:sz="0" w:space="0" w:color="auto"/>
          </w:divBdr>
        </w:div>
        <w:div w:id="1664624583">
          <w:marLeft w:val="640"/>
          <w:marRight w:val="0"/>
          <w:marTop w:val="0"/>
          <w:marBottom w:val="0"/>
          <w:divBdr>
            <w:top w:val="none" w:sz="0" w:space="0" w:color="auto"/>
            <w:left w:val="none" w:sz="0" w:space="0" w:color="auto"/>
            <w:bottom w:val="none" w:sz="0" w:space="0" w:color="auto"/>
            <w:right w:val="none" w:sz="0" w:space="0" w:color="auto"/>
          </w:divBdr>
        </w:div>
        <w:div w:id="339964302">
          <w:marLeft w:val="640"/>
          <w:marRight w:val="0"/>
          <w:marTop w:val="0"/>
          <w:marBottom w:val="0"/>
          <w:divBdr>
            <w:top w:val="none" w:sz="0" w:space="0" w:color="auto"/>
            <w:left w:val="none" w:sz="0" w:space="0" w:color="auto"/>
            <w:bottom w:val="none" w:sz="0" w:space="0" w:color="auto"/>
            <w:right w:val="none" w:sz="0" w:space="0" w:color="auto"/>
          </w:divBdr>
        </w:div>
        <w:div w:id="335114291">
          <w:marLeft w:val="640"/>
          <w:marRight w:val="0"/>
          <w:marTop w:val="0"/>
          <w:marBottom w:val="0"/>
          <w:divBdr>
            <w:top w:val="none" w:sz="0" w:space="0" w:color="auto"/>
            <w:left w:val="none" w:sz="0" w:space="0" w:color="auto"/>
            <w:bottom w:val="none" w:sz="0" w:space="0" w:color="auto"/>
            <w:right w:val="none" w:sz="0" w:space="0" w:color="auto"/>
          </w:divBdr>
        </w:div>
        <w:div w:id="1333946606">
          <w:marLeft w:val="640"/>
          <w:marRight w:val="0"/>
          <w:marTop w:val="0"/>
          <w:marBottom w:val="0"/>
          <w:divBdr>
            <w:top w:val="none" w:sz="0" w:space="0" w:color="auto"/>
            <w:left w:val="none" w:sz="0" w:space="0" w:color="auto"/>
            <w:bottom w:val="none" w:sz="0" w:space="0" w:color="auto"/>
            <w:right w:val="none" w:sz="0" w:space="0" w:color="auto"/>
          </w:divBdr>
        </w:div>
      </w:divsChild>
    </w:div>
    <w:div w:id="672342277">
      <w:bodyDiv w:val="1"/>
      <w:marLeft w:val="0"/>
      <w:marRight w:val="0"/>
      <w:marTop w:val="0"/>
      <w:marBottom w:val="0"/>
      <w:divBdr>
        <w:top w:val="none" w:sz="0" w:space="0" w:color="auto"/>
        <w:left w:val="none" w:sz="0" w:space="0" w:color="auto"/>
        <w:bottom w:val="none" w:sz="0" w:space="0" w:color="auto"/>
        <w:right w:val="none" w:sz="0" w:space="0" w:color="auto"/>
      </w:divBdr>
      <w:divsChild>
        <w:div w:id="61030514">
          <w:marLeft w:val="640"/>
          <w:marRight w:val="0"/>
          <w:marTop w:val="0"/>
          <w:marBottom w:val="0"/>
          <w:divBdr>
            <w:top w:val="none" w:sz="0" w:space="0" w:color="auto"/>
            <w:left w:val="none" w:sz="0" w:space="0" w:color="auto"/>
            <w:bottom w:val="none" w:sz="0" w:space="0" w:color="auto"/>
            <w:right w:val="none" w:sz="0" w:space="0" w:color="auto"/>
          </w:divBdr>
        </w:div>
        <w:div w:id="232207131">
          <w:marLeft w:val="640"/>
          <w:marRight w:val="0"/>
          <w:marTop w:val="0"/>
          <w:marBottom w:val="0"/>
          <w:divBdr>
            <w:top w:val="none" w:sz="0" w:space="0" w:color="auto"/>
            <w:left w:val="none" w:sz="0" w:space="0" w:color="auto"/>
            <w:bottom w:val="none" w:sz="0" w:space="0" w:color="auto"/>
            <w:right w:val="none" w:sz="0" w:space="0" w:color="auto"/>
          </w:divBdr>
        </w:div>
        <w:div w:id="638653872">
          <w:marLeft w:val="640"/>
          <w:marRight w:val="0"/>
          <w:marTop w:val="0"/>
          <w:marBottom w:val="0"/>
          <w:divBdr>
            <w:top w:val="none" w:sz="0" w:space="0" w:color="auto"/>
            <w:left w:val="none" w:sz="0" w:space="0" w:color="auto"/>
            <w:bottom w:val="none" w:sz="0" w:space="0" w:color="auto"/>
            <w:right w:val="none" w:sz="0" w:space="0" w:color="auto"/>
          </w:divBdr>
        </w:div>
        <w:div w:id="173685987">
          <w:marLeft w:val="640"/>
          <w:marRight w:val="0"/>
          <w:marTop w:val="0"/>
          <w:marBottom w:val="0"/>
          <w:divBdr>
            <w:top w:val="none" w:sz="0" w:space="0" w:color="auto"/>
            <w:left w:val="none" w:sz="0" w:space="0" w:color="auto"/>
            <w:bottom w:val="none" w:sz="0" w:space="0" w:color="auto"/>
            <w:right w:val="none" w:sz="0" w:space="0" w:color="auto"/>
          </w:divBdr>
        </w:div>
        <w:div w:id="890726908">
          <w:marLeft w:val="640"/>
          <w:marRight w:val="0"/>
          <w:marTop w:val="0"/>
          <w:marBottom w:val="0"/>
          <w:divBdr>
            <w:top w:val="none" w:sz="0" w:space="0" w:color="auto"/>
            <w:left w:val="none" w:sz="0" w:space="0" w:color="auto"/>
            <w:bottom w:val="none" w:sz="0" w:space="0" w:color="auto"/>
            <w:right w:val="none" w:sz="0" w:space="0" w:color="auto"/>
          </w:divBdr>
        </w:div>
        <w:div w:id="92285845">
          <w:marLeft w:val="640"/>
          <w:marRight w:val="0"/>
          <w:marTop w:val="0"/>
          <w:marBottom w:val="0"/>
          <w:divBdr>
            <w:top w:val="none" w:sz="0" w:space="0" w:color="auto"/>
            <w:left w:val="none" w:sz="0" w:space="0" w:color="auto"/>
            <w:bottom w:val="none" w:sz="0" w:space="0" w:color="auto"/>
            <w:right w:val="none" w:sz="0" w:space="0" w:color="auto"/>
          </w:divBdr>
        </w:div>
        <w:div w:id="1056472557">
          <w:marLeft w:val="640"/>
          <w:marRight w:val="0"/>
          <w:marTop w:val="0"/>
          <w:marBottom w:val="0"/>
          <w:divBdr>
            <w:top w:val="none" w:sz="0" w:space="0" w:color="auto"/>
            <w:left w:val="none" w:sz="0" w:space="0" w:color="auto"/>
            <w:bottom w:val="none" w:sz="0" w:space="0" w:color="auto"/>
            <w:right w:val="none" w:sz="0" w:space="0" w:color="auto"/>
          </w:divBdr>
        </w:div>
        <w:div w:id="63380461">
          <w:marLeft w:val="640"/>
          <w:marRight w:val="0"/>
          <w:marTop w:val="0"/>
          <w:marBottom w:val="0"/>
          <w:divBdr>
            <w:top w:val="none" w:sz="0" w:space="0" w:color="auto"/>
            <w:left w:val="none" w:sz="0" w:space="0" w:color="auto"/>
            <w:bottom w:val="none" w:sz="0" w:space="0" w:color="auto"/>
            <w:right w:val="none" w:sz="0" w:space="0" w:color="auto"/>
          </w:divBdr>
        </w:div>
        <w:div w:id="1145857378">
          <w:marLeft w:val="640"/>
          <w:marRight w:val="0"/>
          <w:marTop w:val="0"/>
          <w:marBottom w:val="0"/>
          <w:divBdr>
            <w:top w:val="none" w:sz="0" w:space="0" w:color="auto"/>
            <w:left w:val="none" w:sz="0" w:space="0" w:color="auto"/>
            <w:bottom w:val="none" w:sz="0" w:space="0" w:color="auto"/>
            <w:right w:val="none" w:sz="0" w:space="0" w:color="auto"/>
          </w:divBdr>
        </w:div>
        <w:div w:id="1898397850">
          <w:marLeft w:val="640"/>
          <w:marRight w:val="0"/>
          <w:marTop w:val="0"/>
          <w:marBottom w:val="0"/>
          <w:divBdr>
            <w:top w:val="none" w:sz="0" w:space="0" w:color="auto"/>
            <w:left w:val="none" w:sz="0" w:space="0" w:color="auto"/>
            <w:bottom w:val="none" w:sz="0" w:space="0" w:color="auto"/>
            <w:right w:val="none" w:sz="0" w:space="0" w:color="auto"/>
          </w:divBdr>
        </w:div>
        <w:div w:id="2054957145">
          <w:marLeft w:val="640"/>
          <w:marRight w:val="0"/>
          <w:marTop w:val="0"/>
          <w:marBottom w:val="0"/>
          <w:divBdr>
            <w:top w:val="none" w:sz="0" w:space="0" w:color="auto"/>
            <w:left w:val="none" w:sz="0" w:space="0" w:color="auto"/>
            <w:bottom w:val="none" w:sz="0" w:space="0" w:color="auto"/>
            <w:right w:val="none" w:sz="0" w:space="0" w:color="auto"/>
          </w:divBdr>
        </w:div>
        <w:div w:id="1264723602">
          <w:marLeft w:val="640"/>
          <w:marRight w:val="0"/>
          <w:marTop w:val="0"/>
          <w:marBottom w:val="0"/>
          <w:divBdr>
            <w:top w:val="none" w:sz="0" w:space="0" w:color="auto"/>
            <w:left w:val="none" w:sz="0" w:space="0" w:color="auto"/>
            <w:bottom w:val="none" w:sz="0" w:space="0" w:color="auto"/>
            <w:right w:val="none" w:sz="0" w:space="0" w:color="auto"/>
          </w:divBdr>
        </w:div>
        <w:div w:id="493758781">
          <w:marLeft w:val="640"/>
          <w:marRight w:val="0"/>
          <w:marTop w:val="0"/>
          <w:marBottom w:val="0"/>
          <w:divBdr>
            <w:top w:val="none" w:sz="0" w:space="0" w:color="auto"/>
            <w:left w:val="none" w:sz="0" w:space="0" w:color="auto"/>
            <w:bottom w:val="none" w:sz="0" w:space="0" w:color="auto"/>
            <w:right w:val="none" w:sz="0" w:space="0" w:color="auto"/>
          </w:divBdr>
        </w:div>
        <w:div w:id="596134219">
          <w:marLeft w:val="640"/>
          <w:marRight w:val="0"/>
          <w:marTop w:val="0"/>
          <w:marBottom w:val="0"/>
          <w:divBdr>
            <w:top w:val="none" w:sz="0" w:space="0" w:color="auto"/>
            <w:left w:val="none" w:sz="0" w:space="0" w:color="auto"/>
            <w:bottom w:val="none" w:sz="0" w:space="0" w:color="auto"/>
            <w:right w:val="none" w:sz="0" w:space="0" w:color="auto"/>
          </w:divBdr>
        </w:div>
        <w:div w:id="332951355">
          <w:marLeft w:val="640"/>
          <w:marRight w:val="0"/>
          <w:marTop w:val="0"/>
          <w:marBottom w:val="0"/>
          <w:divBdr>
            <w:top w:val="none" w:sz="0" w:space="0" w:color="auto"/>
            <w:left w:val="none" w:sz="0" w:space="0" w:color="auto"/>
            <w:bottom w:val="none" w:sz="0" w:space="0" w:color="auto"/>
            <w:right w:val="none" w:sz="0" w:space="0" w:color="auto"/>
          </w:divBdr>
        </w:div>
        <w:div w:id="905260601">
          <w:marLeft w:val="640"/>
          <w:marRight w:val="0"/>
          <w:marTop w:val="0"/>
          <w:marBottom w:val="0"/>
          <w:divBdr>
            <w:top w:val="none" w:sz="0" w:space="0" w:color="auto"/>
            <w:left w:val="none" w:sz="0" w:space="0" w:color="auto"/>
            <w:bottom w:val="none" w:sz="0" w:space="0" w:color="auto"/>
            <w:right w:val="none" w:sz="0" w:space="0" w:color="auto"/>
          </w:divBdr>
        </w:div>
        <w:div w:id="2129619020">
          <w:marLeft w:val="640"/>
          <w:marRight w:val="0"/>
          <w:marTop w:val="0"/>
          <w:marBottom w:val="0"/>
          <w:divBdr>
            <w:top w:val="none" w:sz="0" w:space="0" w:color="auto"/>
            <w:left w:val="none" w:sz="0" w:space="0" w:color="auto"/>
            <w:bottom w:val="none" w:sz="0" w:space="0" w:color="auto"/>
            <w:right w:val="none" w:sz="0" w:space="0" w:color="auto"/>
          </w:divBdr>
        </w:div>
        <w:div w:id="765345357">
          <w:marLeft w:val="640"/>
          <w:marRight w:val="0"/>
          <w:marTop w:val="0"/>
          <w:marBottom w:val="0"/>
          <w:divBdr>
            <w:top w:val="none" w:sz="0" w:space="0" w:color="auto"/>
            <w:left w:val="none" w:sz="0" w:space="0" w:color="auto"/>
            <w:bottom w:val="none" w:sz="0" w:space="0" w:color="auto"/>
            <w:right w:val="none" w:sz="0" w:space="0" w:color="auto"/>
          </w:divBdr>
        </w:div>
        <w:div w:id="402601650">
          <w:marLeft w:val="640"/>
          <w:marRight w:val="0"/>
          <w:marTop w:val="0"/>
          <w:marBottom w:val="0"/>
          <w:divBdr>
            <w:top w:val="none" w:sz="0" w:space="0" w:color="auto"/>
            <w:left w:val="none" w:sz="0" w:space="0" w:color="auto"/>
            <w:bottom w:val="none" w:sz="0" w:space="0" w:color="auto"/>
            <w:right w:val="none" w:sz="0" w:space="0" w:color="auto"/>
          </w:divBdr>
        </w:div>
        <w:div w:id="563763789">
          <w:marLeft w:val="640"/>
          <w:marRight w:val="0"/>
          <w:marTop w:val="0"/>
          <w:marBottom w:val="0"/>
          <w:divBdr>
            <w:top w:val="none" w:sz="0" w:space="0" w:color="auto"/>
            <w:left w:val="none" w:sz="0" w:space="0" w:color="auto"/>
            <w:bottom w:val="none" w:sz="0" w:space="0" w:color="auto"/>
            <w:right w:val="none" w:sz="0" w:space="0" w:color="auto"/>
          </w:divBdr>
        </w:div>
        <w:div w:id="1310670028">
          <w:marLeft w:val="640"/>
          <w:marRight w:val="0"/>
          <w:marTop w:val="0"/>
          <w:marBottom w:val="0"/>
          <w:divBdr>
            <w:top w:val="none" w:sz="0" w:space="0" w:color="auto"/>
            <w:left w:val="none" w:sz="0" w:space="0" w:color="auto"/>
            <w:bottom w:val="none" w:sz="0" w:space="0" w:color="auto"/>
            <w:right w:val="none" w:sz="0" w:space="0" w:color="auto"/>
          </w:divBdr>
        </w:div>
        <w:div w:id="624388225">
          <w:marLeft w:val="640"/>
          <w:marRight w:val="0"/>
          <w:marTop w:val="0"/>
          <w:marBottom w:val="0"/>
          <w:divBdr>
            <w:top w:val="none" w:sz="0" w:space="0" w:color="auto"/>
            <w:left w:val="none" w:sz="0" w:space="0" w:color="auto"/>
            <w:bottom w:val="none" w:sz="0" w:space="0" w:color="auto"/>
            <w:right w:val="none" w:sz="0" w:space="0" w:color="auto"/>
          </w:divBdr>
        </w:div>
        <w:div w:id="1092092032">
          <w:marLeft w:val="640"/>
          <w:marRight w:val="0"/>
          <w:marTop w:val="0"/>
          <w:marBottom w:val="0"/>
          <w:divBdr>
            <w:top w:val="none" w:sz="0" w:space="0" w:color="auto"/>
            <w:left w:val="none" w:sz="0" w:space="0" w:color="auto"/>
            <w:bottom w:val="none" w:sz="0" w:space="0" w:color="auto"/>
            <w:right w:val="none" w:sz="0" w:space="0" w:color="auto"/>
          </w:divBdr>
        </w:div>
        <w:div w:id="1775393720">
          <w:marLeft w:val="640"/>
          <w:marRight w:val="0"/>
          <w:marTop w:val="0"/>
          <w:marBottom w:val="0"/>
          <w:divBdr>
            <w:top w:val="none" w:sz="0" w:space="0" w:color="auto"/>
            <w:left w:val="none" w:sz="0" w:space="0" w:color="auto"/>
            <w:bottom w:val="none" w:sz="0" w:space="0" w:color="auto"/>
            <w:right w:val="none" w:sz="0" w:space="0" w:color="auto"/>
          </w:divBdr>
        </w:div>
        <w:div w:id="1782722321">
          <w:marLeft w:val="640"/>
          <w:marRight w:val="0"/>
          <w:marTop w:val="0"/>
          <w:marBottom w:val="0"/>
          <w:divBdr>
            <w:top w:val="none" w:sz="0" w:space="0" w:color="auto"/>
            <w:left w:val="none" w:sz="0" w:space="0" w:color="auto"/>
            <w:bottom w:val="none" w:sz="0" w:space="0" w:color="auto"/>
            <w:right w:val="none" w:sz="0" w:space="0" w:color="auto"/>
          </w:divBdr>
        </w:div>
        <w:div w:id="1574310550">
          <w:marLeft w:val="640"/>
          <w:marRight w:val="0"/>
          <w:marTop w:val="0"/>
          <w:marBottom w:val="0"/>
          <w:divBdr>
            <w:top w:val="none" w:sz="0" w:space="0" w:color="auto"/>
            <w:left w:val="none" w:sz="0" w:space="0" w:color="auto"/>
            <w:bottom w:val="none" w:sz="0" w:space="0" w:color="auto"/>
            <w:right w:val="none" w:sz="0" w:space="0" w:color="auto"/>
          </w:divBdr>
        </w:div>
        <w:div w:id="1563637227">
          <w:marLeft w:val="640"/>
          <w:marRight w:val="0"/>
          <w:marTop w:val="0"/>
          <w:marBottom w:val="0"/>
          <w:divBdr>
            <w:top w:val="none" w:sz="0" w:space="0" w:color="auto"/>
            <w:left w:val="none" w:sz="0" w:space="0" w:color="auto"/>
            <w:bottom w:val="none" w:sz="0" w:space="0" w:color="auto"/>
            <w:right w:val="none" w:sz="0" w:space="0" w:color="auto"/>
          </w:divBdr>
        </w:div>
        <w:div w:id="1986354414">
          <w:marLeft w:val="640"/>
          <w:marRight w:val="0"/>
          <w:marTop w:val="0"/>
          <w:marBottom w:val="0"/>
          <w:divBdr>
            <w:top w:val="none" w:sz="0" w:space="0" w:color="auto"/>
            <w:left w:val="none" w:sz="0" w:space="0" w:color="auto"/>
            <w:bottom w:val="none" w:sz="0" w:space="0" w:color="auto"/>
            <w:right w:val="none" w:sz="0" w:space="0" w:color="auto"/>
          </w:divBdr>
        </w:div>
        <w:div w:id="1930429317">
          <w:marLeft w:val="640"/>
          <w:marRight w:val="0"/>
          <w:marTop w:val="0"/>
          <w:marBottom w:val="0"/>
          <w:divBdr>
            <w:top w:val="none" w:sz="0" w:space="0" w:color="auto"/>
            <w:left w:val="none" w:sz="0" w:space="0" w:color="auto"/>
            <w:bottom w:val="none" w:sz="0" w:space="0" w:color="auto"/>
            <w:right w:val="none" w:sz="0" w:space="0" w:color="auto"/>
          </w:divBdr>
        </w:div>
        <w:div w:id="971864889">
          <w:marLeft w:val="640"/>
          <w:marRight w:val="0"/>
          <w:marTop w:val="0"/>
          <w:marBottom w:val="0"/>
          <w:divBdr>
            <w:top w:val="none" w:sz="0" w:space="0" w:color="auto"/>
            <w:left w:val="none" w:sz="0" w:space="0" w:color="auto"/>
            <w:bottom w:val="none" w:sz="0" w:space="0" w:color="auto"/>
            <w:right w:val="none" w:sz="0" w:space="0" w:color="auto"/>
          </w:divBdr>
        </w:div>
        <w:div w:id="1881045277">
          <w:marLeft w:val="640"/>
          <w:marRight w:val="0"/>
          <w:marTop w:val="0"/>
          <w:marBottom w:val="0"/>
          <w:divBdr>
            <w:top w:val="none" w:sz="0" w:space="0" w:color="auto"/>
            <w:left w:val="none" w:sz="0" w:space="0" w:color="auto"/>
            <w:bottom w:val="none" w:sz="0" w:space="0" w:color="auto"/>
            <w:right w:val="none" w:sz="0" w:space="0" w:color="auto"/>
          </w:divBdr>
        </w:div>
        <w:div w:id="1148790828">
          <w:marLeft w:val="640"/>
          <w:marRight w:val="0"/>
          <w:marTop w:val="0"/>
          <w:marBottom w:val="0"/>
          <w:divBdr>
            <w:top w:val="none" w:sz="0" w:space="0" w:color="auto"/>
            <w:left w:val="none" w:sz="0" w:space="0" w:color="auto"/>
            <w:bottom w:val="none" w:sz="0" w:space="0" w:color="auto"/>
            <w:right w:val="none" w:sz="0" w:space="0" w:color="auto"/>
          </w:divBdr>
        </w:div>
        <w:div w:id="252250737">
          <w:marLeft w:val="640"/>
          <w:marRight w:val="0"/>
          <w:marTop w:val="0"/>
          <w:marBottom w:val="0"/>
          <w:divBdr>
            <w:top w:val="none" w:sz="0" w:space="0" w:color="auto"/>
            <w:left w:val="none" w:sz="0" w:space="0" w:color="auto"/>
            <w:bottom w:val="none" w:sz="0" w:space="0" w:color="auto"/>
            <w:right w:val="none" w:sz="0" w:space="0" w:color="auto"/>
          </w:divBdr>
        </w:div>
        <w:div w:id="448553458">
          <w:marLeft w:val="640"/>
          <w:marRight w:val="0"/>
          <w:marTop w:val="0"/>
          <w:marBottom w:val="0"/>
          <w:divBdr>
            <w:top w:val="none" w:sz="0" w:space="0" w:color="auto"/>
            <w:left w:val="none" w:sz="0" w:space="0" w:color="auto"/>
            <w:bottom w:val="none" w:sz="0" w:space="0" w:color="auto"/>
            <w:right w:val="none" w:sz="0" w:space="0" w:color="auto"/>
          </w:divBdr>
        </w:div>
        <w:div w:id="1464425623">
          <w:marLeft w:val="640"/>
          <w:marRight w:val="0"/>
          <w:marTop w:val="0"/>
          <w:marBottom w:val="0"/>
          <w:divBdr>
            <w:top w:val="none" w:sz="0" w:space="0" w:color="auto"/>
            <w:left w:val="none" w:sz="0" w:space="0" w:color="auto"/>
            <w:bottom w:val="none" w:sz="0" w:space="0" w:color="auto"/>
            <w:right w:val="none" w:sz="0" w:space="0" w:color="auto"/>
          </w:divBdr>
        </w:div>
        <w:div w:id="2001688149">
          <w:marLeft w:val="640"/>
          <w:marRight w:val="0"/>
          <w:marTop w:val="0"/>
          <w:marBottom w:val="0"/>
          <w:divBdr>
            <w:top w:val="none" w:sz="0" w:space="0" w:color="auto"/>
            <w:left w:val="none" w:sz="0" w:space="0" w:color="auto"/>
            <w:bottom w:val="none" w:sz="0" w:space="0" w:color="auto"/>
            <w:right w:val="none" w:sz="0" w:space="0" w:color="auto"/>
          </w:divBdr>
        </w:div>
        <w:div w:id="1948852157">
          <w:marLeft w:val="640"/>
          <w:marRight w:val="0"/>
          <w:marTop w:val="0"/>
          <w:marBottom w:val="0"/>
          <w:divBdr>
            <w:top w:val="none" w:sz="0" w:space="0" w:color="auto"/>
            <w:left w:val="none" w:sz="0" w:space="0" w:color="auto"/>
            <w:bottom w:val="none" w:sz="0" w:space="0" w:color="auto"/>
            <w:right w:val="none" w:sz="0" w:space="0" w:color="auto"/>
          </w:divBdr>
        </w:div>
        <w:div w:id="860087">
          <w:marLeft w:val="640"/>
          <w:marRight w:val="0"/>
          <w:marTop w:val="0"/>
          <w:marBottom w:val="0"/>
          <w:divBdr>
            <w:top w:val="none" w:sz="0" w:space="0" w:color="auto"/>
            <w:left w:val="none" w:sz="0" w:space="0" w:color="auto"/>
            <w:bottom w:val="none" w:sz="0" w:space="0" w:color="auto"/>
            <w:right w:val="none" w:sz="0" w:space="0" w:color="auto"/>
          </w:divBdr>
        </w:div>
        <w:div w:id="1225413269">
          <w:marLeft w:val="640"/>
          <w:marRight w:val="0"/>
          <w:marTop w:val="0"/>
          <w:marBottom w:val="0"/>
          <w:divBdr>
            <w:top w:val="none" w:sz="0" w:space="0" w:color="auto"/>
            <w:left w:val="none" w:sz="0" w:space="0" w:color="auto"/>
            <w:bottom w:val="none" w:sz="0" w:space="0" w:color="auto"/>
            <w:right w:val="none" w:sz="0" w:space="0" w:color="auto"/>
          </w:divBdr>
        </w:div>
        <w:div w:id="444739479">
          <w:marLeft w:val="640"/>
          <w:marRight w:val="0"/>
          <w:marTop w:val="0"/>
          <w:marBottom w:val="0"/>
          <w:divBdr>
            <w:top w:val="none" w:sz="0" w:space="0" w:color="auto"/>
            <w:left w:val="none" w:sz="0" w:space="0" w:color="auto"/>
            <w:bottom w:val="none" w:sz="0" w:space="0" w:color="auto"/>
            <w:right w:val="none" w:sz="0" w:space="0" w:color="auto"/>
          </w:divBdr>
        </w:div>
        <w:div w:id="342360712">
          <w:marLeft w:val="640"/>
          <w:marRight w:val="0"/>
          <w:marTop w:val="0"/>
          <w:marBottom w:val="0"/>
          <w:divBdr>
            <w:top w:val="none" w:sz="0" w:space="0" w:color="auto"/>
            <w:left w:val="none" w:sz="0" w:space="0" w:color="auto"/>
            <w:bottom w:val="none" w:sz="0" w:space="0" w:color="auto"/>
            <w:right w:val="none" w:sz="0" w:space="0" w:color="auto"/>
          </w:divBdr>
        </w:div>
        <w:div w:id="1687637705">
          <w:marLeft w:val="640"/>
          <w:marRight w:val="0"/>
          <w:marTop w:val="0"/>
          <w:marBottom w:val="0"/>
          <w:divBdr>
            <w:top w:val="none" w:sz="0" w:space="0" w:color="auto"/>
            <w:left w:val="none" w:sz="0" w:space="0" w:color="auto"/>
            <w:bottom w:val="none" w:sz="0" w:space="0" w:color="auto"/>
            <w:right w:val="none" w:sz="0" w:space="0" w:color="auto"/>
          </w:divBdr>
        </w:div>
        <w:div w:id="959995760">
          <w:marLeft w:val="640"/>
          <w:marRight w:val="0"/>
          <w:marTop w:val="0"/>
          <w:marBottom w:val="0"/>
          <w:divBdr>
            <w:top w:val="none" w:sz="0" w:space="0" w:color="auto"/>
            <w:left w:val="none" w:sz="0" w:space="0" w:color="auto"/>
            <w:bottom w:val="none" w:sz="0" w:space="0" w:color="auto"/>
            <w:right w:val="none" w:sz="0" w:space="0" w:color="auto"/>
          </w:divBdr>
        </w:div>
        <w:div w:id="407729887">
          <w:marLeft w:val="640"/>
          <w:marRight w:val="0"/>
          <w:marTop w:val="0"/>
          <w:marBottom w:val="0"/>
          <w:divBdr>
            <w:top w:val="none" w:sz="0" w:space="0" w:color="auto"/>
            <w:left w:val="none" w:sz="0" w:space="0" w:color="auto"/>
            <w:bottom w:val="none" w:sz="0" w:space="0" w:color="auto"/>
            <w:right w:val="none" w:sz="0" w:space="0" w:color="auto"/>
          </w:divBdr>
        </w:div>
        <w:div w:id="2001732500">
          <w:marLeft w:val="640"/>
          <w:marRight w:val="0"/>
          <w:marTop w:val="0"/>
          <w:marBottom w:val="0"/>
          <w:divBdr>
            <w:top w:val="none" w:sz="0" w:space="0" w:color="auto"/>
            <w:left w:val="none" w:sz="0" w:space="0" w:color="auto"/>
            <w:bottom w:val="none" w:sz="0" w:space="0" w:color="auto"/>
            <w:right w:val="none" w:sz="0" w:space="0" w:color="auto"/>
          </w:divBdr>
        </w:div>
        <w:div w:id="427697160">
          <w:marLeft w:val="640"/>
          <w:marRight w:val="0"/>
          <w:marTop w:val="0"/>
          <w:marBottom w:val="0"/>
          <w:divBdr>
            <w:top w:val="none" w:sz="0" w:space="0" w:color="auto"/>
            <w:left w:val="none" w:sz="0" w:space="0" w:color="auto"/>
            <w:bottom w:val="none" w:sz="0" w:space="0" w:color="auto"/>
            <w:right w:val="none" w:sz="0" w:space="0" w:color="auto"/>
          </w:divBdr>
        </w:div>
        <w:div w:id="400568913">
          <w:marLeft w:val="640"/>
          <w:marRight w:val="0"/>
          <w:marTop w:val="0"/>
          <w:marBottom w:val="0"/>
          <w:divBdr>
            <w:top w:val="none" w:sz="0" w:space="0" w:color="auto"/>
            <w:left w:val="none" w:sz="0" w:space="0" w:color="auto"/>
            <w:bottom w:val="none" w:sz="0" w:space="0" w:color="auto"/>
            <w:right w:val="none" w:sz="0" w:space="0" w:color="auto"/>
          </w:divBdr>
        </w:div>
        <w:div w:id="1214000790">
          <w:marLeft w:val="640"/>
          <w:marRight w:val="0"/>
          <w:marTop w:val="0"/>
          <w:marBottom w:val="0"/>
          <w:divBdr>
            <w:top w:val="none" w:sz="0" w:space="0" w:color="auto"/>
            <w:left w:val="none" w:sz="0" w:space="0" w:color="auto"/>
            <w:bottom w:val="none" w:sz="0" w:space="0" w:color="auto"/>
            <w:right w:val="none" w:sz="0" w:space="0" w:color="auto"/>
          </w:divBdr>
        </w:div>
        <w:div w:id="1501700728">
          <w:marLeft w:val="640"/>
          <w:marRight w:val="0"/>
          <w:marTop w:val="0"/>
          <w:marBottom w:val="0"/>
          <w:divBdr>
            <w:top w:val="none" w:sz="0" w:space="0" w:color="auto"/>
            <w:left w:val="none" w:sz="0" w:space="0" w:color="auto"/>
            <w:bottom w:val="none" w:sz="0" w:space="0" w:color="auto"/>
            <w:right w:val="none" w:sz="0" w:space="0" w:color="auto"/>
          </w:divBdr>
        </w:div>
        <w:div w:id="1476332683">
          <w:marLeft w:val="640"/>
          <w:marRight w:val="0"/>
          <w:marTop w:val="0"/>
          <w:marBottom w:val="0"/>
          <w:divBdr>
            <w:top w:val="none" w:sz="0" w:space="0" w:color="auto"/>
            <w:left w:val="none" w:sz="0" w:space="0" w:color="auto"/>
            <w:bottom w:val="none" w:sz="0" w:space="0" w:color="auto"/>
            <w:right w:val="none" w:sz="0" w:space="0" w:color="auto"/>
          </w:divBdr>
        </w:div>
        <w:div w:id="1297565808">
          <w:marLeft w:val="640"/>
          <w:marRight w:val="0"/>
          <w:marTop w:val="0"/>
          <w:marBottom w:val="0"/>
          <w:divBdr>
            <w:top w:val="none" w:sz="0" w:space="0" w:color="auto"/>
            <w:left w:val="none" w:sz="0" w:space="0" w:color="auto"/>
            <w:bottom w:val="none" w:sz="0" w:space="0" w:color="auto"/>
            <w:right w:val="none" w:sz="0" w:space="0" w:color="auto"/>
          </w:divBdr>
        </w:div>
        <w:div w:id="745496801">
          <w:marLeft w:val="640"/>
          <w:marRight w:val="0"/>
          <w:marTop w:val="0"/>
          <w:marBottom w:val="0"/>
          <w:divBdr>
            <w:top w:val="none" w:sz="0" w:space="0" w:color="auto"/>
            <w:left w:val="none" w:sz="0" w:space="0" w:color="auto"/>
            <w:bottom w:val="none" w:sz="0" w:space="0" w:color="auto"/>
            <w:right w:val="none" w:sz="0" w:space="0" w:color="auto"/>
          </w:divBdr>
        </w:div>
        <w:div w:id="1689326790">
          <w:marLeft w:val="640"/>
          <w:marRight w:val="0"/>
          <w:marTop w:val="0"/>
          <w:marBottom w:val="0"/>
          <w:divBdr>
            <w:top w:val="none" w:sz="0" w:space="0" w:color="auto"/>
            <w:left w:val="none" w:sz="0" w:space="0" w:color="auto"/>
            <w:bottom w:val="none" w:sz="0" w:space="0" w:color="auto"/>
            <w:right w:val="none" w:sz="0" w:space="0" w:color="auto"/>
          </w:divBdr>
        </w:div>
        <w:div w:id="571816906">
          <w:marLeft w:val="640"/>
          <w:marRight w:val="0"/>
          <w:marTop w:val="0"/>
          <w:marBottom w:val="0"/>
          <w:divBdr>
            <w:top w:val="none" w:sz="0" w:space="0" w:color="auto"/>
            <w:left w:val="none" w:sz="0" w:space="0" w:color="auto"/>
            <w:bottom w:val="none" w:sz="0" w:space="0" w:color="auto"/>
            <w:right w:val="none" w:sz="0" w:space="0" w:color="auto"/>
          </w:divBdr>
        </w:div>
        <w:div w:id="1421947357">
          <w:marLeft w:val="640"/>
          <w:marRight w:val="0"/>
          <w:marTop w:val="0"/>
          <w:marBottom w:val="0"/>
          <w:divBdr>
            <w:top w:val="none" w:sz="0" w:space="0" w:color="auto"/>
            <w:left w:val="none" w:sz="0" w:space="0" w:color="auto"/>
            <w:bottom w:val="none" w:sz="0" w:space="0" w:color="auto"/>
            <w:right w:val="none" w:sz="0" w:space="0" w:color="auto"/>
          </w:divBdr>
        </w:div>
        <w:div w:id="1090855852">
          <w:marLeft w:val="640"/>
          <w:marRight w:val="0"/>
          <w:marTop w:val="0"/>
          <w:marBottom w:val="0"/>
          <w:divBdr>
            <w:top w:val="none" w:sz="0" w:space="0" w:color="auto"/>
            <w:left w:val="none" w:sz="0" w:space="0" w:color="auto"/>
            <w:bottom w:val="none" w:sz="0" w:space="0" w:color="auto"/>
            <w:right w:val="none" w:sz="0" w:space="0" w:color="auto"/>
          </w:divBdr>
        </w:div>
        <w:div w:id="441269237">
          <w:marLeft w:val="640"/>
          <w:marRight w:val="0"/>
          <w:marTop w:val="0"/>
          <w:marBottom w:val="0"/>
          <w:divBdr>
            <w:top w:val="none" w:sz="0" w:space="0" w:color="auto"/>
            <w:left w:val="none" w:sz="0" w:space="0" w:color="auto"/>
            <w:bottom w:val="none" w:sz="0" w:space="0" w:color="auto"/>
            <w:right w:val="none" w:sz="0" w:space="0" w:color="auto"/>
          </w:divBdr>
        </w:div>
        <w:div w:id="109861879">
          <w:marLeft w:val="640"/>
          <w:marRight w:val="0"/>
          <w:marTop w:val="0"/>
          <w:marBottom w:val="0"/>
          <w:divBdr>
            <w:top w:val="none" w:sz="0" w:space="0" w:color="auto"/>
            <w:left w:val="none" w:sz="0" w:space="0" w:color="auto"/>
            <w:bottom w:val="none" w:sz="0" w:space="0" w:color="auto"/>
            <w:right w:val="none" w:sz="0" w:space="0" w:color="auto"/>
          </w:divBdr>
        </w:div>
        <w:div w:id="1340505954">
          <w:marLeft w:val="640"/>
          <w:marRight w:val="0"/>
          <w:marTop w:val="0"/>
          <w:marBottom w:val="0"/>
          <w:divBdr>
            <w:top w:val="none" w:sz="0" w:space="0" w:color="auto"/>
            <w:left w:val="none" w:sz="0" w:space="0" w:color="auto"/>
            <w:bottom w:val="none" w:sz="0" w:space="0" w:color="auto"/>
            <w:right w:val="none" w:sz="0" w:space="0" w:color="auto"/>
          </w:divBdr>
        </w:div>
        <w:div w:id="1431702428">
          <w:marLeft w:val="640"/>
          <w:marRight w:val="0"/>
          <w:marTop w:val="0"/>
          <w:marBottom w:val="0"/>
          <w:divBdr>
            <w:top w:val="none" w:sz="0" w:space="0" w:color="auto"/>
            <w:left w:val="none" w:sz="0" w:space="0" w:color="auto"/>
            <w:bottom w:val="none" w:sz="0" w:space="0" w:color="auto"/>
            <w:right w:val="none" w:sz="0" w:space="0" w:color="auto"/>
          </w:divBdr>
        </w:div>
        <w:div w:id="874732219">
          <w:marLeft w:val="640"/>
          <w:marRight w:val="0"/>
          <w:marTop w:val="0"/>
          <w:marBottom w:val="0"/>
          <w:divBdr>
            <w:top w:val="none" w:sz="0" w:space="0" w:color="auto"/>
            <w:left w:val="none" w:sz="0" w:space="0" w:color="auto"/>
            <w:bottom w:val="none" w:sz="0" w:space="0" w:color="auto"/>
            <w:right w:val="none" w:sz="0" w:space="0" w:color="auto"/>
          </w:divBdr>
        </w:div>
        <w:div w:id="228882951">
          <w:marLeft w:val="640"/>
          <w:marRight w:val="0"/>
          <w:marTop w:val="0"/>
          <w:marBottom w:val="0"/>
          <w:divBdr>
            <w:top w:val="none" w:sz="0" w:space="0" w:color="auto"/>
            <w:left w:val="none" w:sz="0" w:space="0" w:color="auto"/>
            <w:bottom w:val="none" w:sz="0" w:space="0" w:color="auto"/>
            <w:right w:val="none" w:sz="0" w:space="0" w:color="auto"/>
          </w:divBdr>
        </w:div>
        <w:div w:id="731343332">
          <w:marLeft w:val="640"/>
          <w:marRight w:val="0"/>
          <w:marTop w:val="0"/>
          <w:marBottom w:val="0"/>
          <w:divBdr>
            <w:top w:val="none" w:sz="0" w:space="0" w:color="auto"/>
            <w:left w:val="none" w:sz="0" w:space="0" w:color="auto"/>
            <w:bottom w:val="none" w:sz="0" w:space="0" w:color="auto"/>
            <w:right w:val="none" w:sz="0" w:space="0" w:color="auto"/>
          </w:divBdr>
        </w:div>
        <w:div w:id="1669361209">
          <w:marLeft w:val="640"/>
          <w:marRight w:val="0"/>
          <w:marTop w:val="0"/>
          <w:marBottom w:val="0"/>
          <w:divBdr>
            <w:top w:val="none" w:sz="0" w:space="0" w:color="auto"/>
            <w:left w:val="none" w:sz="0" w:space="0" w:color="auto"/>
            <w:bottom w:val="none" w:sz="0" w:space="0" w:color="auto"/>
            <w:right w:val="none" w:sz="0" w:space="0" w:color="auto"/>
          </w:divBdr>
        </w:div>
        <w:div w:id="266737718">
          <w:marLeft w:val="640"/>
          <w:marRight w:val="0"/>
          <w:marTop w:val="0"/>
          <w:marBottom w:val="0"/>
          <w:divBdr>
            <w:top w:val="none" w:sz="0" w:space="0" w:color="auto"/>
            <w:left w:val="none" w:sz="0" w:space="0" w:color="auto"/>
            <w:bottom w:val="none" w:sz="0" w:space="0" w:color="auto"/>
            <w:right w:val="none" w:sz="0" w:space="0" w:color="auto"/>
          </w:divBdr>
        </w:div>
        <w:div w:id="1622346231">
          <w:marLeft w:val="640"/>
          <w:marRight w:val="0"/>
          <w:marTop w:val="0"/>
          <w:marBottom w:val="0"/>
          <w:divBdr>
            <w:top w:val="none" w:sz="0" w:space="0" w:color="auto"/>
            <w:left w:val="none" w:sz="0" w:space="0" w:color="auto"/>
            <w:bottom w:val="none" w:sz="0" w:space="0" w:color="auto"/>
            <w:right w:val="none" w:sz="0" w:space="0" w:color="auto"/>
          </w:divBdr>
        </w:div>
        <w:div w:id="265890636">
          <w:marLeft w:val="640"/>
          <w:marRight w:val="0"/>
          <w:marTop w:val="0"/>
          <w:marBottom w:val="0"/>
          <w:divBdr>
            <w:top w:val="none" w:sz="0" w:space="0" w:color="auto"/>
            <w:left w:val="none" w:sz="0" w:space="0" w:color="auto"/>
            <w:bottom w:val="none" w:sz="0" w:space="0" w:color="auto"/>
            <w:right w:val="none" w:sz="0" w:space="0" w:color="auto"/>
          </w:divBdr>
        </w:div>
        <w:div w:id="2125419047">
          <w:marLeft w:val="640"/>
          <w:marRight w:val="0"/>
          <w:marTop w:val="0"/>
          <w:marBottom w:val="0"/>
          <w:divBdr>
            <w:top w:val="none" w:sz="0" w:space="0" w:color="auto"/>
            <w:left w:val="none" w:sz="0" w:space="0" w:color="auto"/>
            <w:bottom w:val="none" w:sz="0" w:space="0" w:color="auto"/>
            <w:right w:val="none" w:sz="0" w:space="0" w:color="auto"/>
          </w:divBdr>
        </w:div>
        <w:div w:id="1810050674">
          <w:marLeft w:val="640"/>
          <w:marRight w:val="0"/>
          <w:marTop w:val="0"/>
          <w:marBottom w:val="0"/>
          <w:divBdr>
            <w:top w:val="none" w:sz="0" w:space="0" w:color="auto"/>
            <w:left w:val="none" w:sz="0" w:space="0" w:color="auto"/>
            <w:bottom w:val="none" w:sz="0" w:space="0" w:color="auto"/>
            <w:right w:val="none" w:sz="0" w:space="0" w:color="auto"/>
          </w:divBdr>
        </w:div>
        <w:div w:id="64229828">
          <w:marLeft w:val="640"/>
          <w:marRight w:val="0"/>
          <w:marTop w:val="0"/>
          <w:marBottom w:val="0"/>
          <w:divBdr>
            <w:top w:val="none" w:sz="0" w:space="0" w:color="auto"/>
            <w:left w:val="none" w:sz="0" w:space="0" w:color="auto"/>
            <w:bottom w:val="none" w:sz="0" w:space="0" w:color="auto"/>
            <w:right w:val="none" w:sz="0" w:space="0" w:color="auto"/>
          </w:divBdr>
        </w:div>
        <w:div w:id="446197704">
          <w:marLeft w:val="640"/>
          <w:marRight w:val="0"/>
          <w:marTop w:val="0"/>
          <w:marBottom w:val="0"/>
          <w:divBdr>
            <w:top w:val="none" w:sz="0" w:space="0" w:color="auto"/>
            <w:left w:val="none" w:sz="0" w:space="0" w:color="auto"/>
            <w:bottom w:val="none" w:sz="0" w:space="0" w:color="auto"/>
            <w:right w:val="none" w:sz="0" w:space="0" w:color="auto"/>
          </w:divBdr>
        </w:div>
        <w:div w:id="1571695282">
          <w:marLeft w:val="640"/>
          <w:marRight w:val="0"/>
          <w:marTop w:val="0"/>
          <w:marBottom w:val="0"/>
          <w:divBdr>
            <w:top w:val="none" w:sz="0" w:space="0" w:color="auto"/>
            <w:left w:val="none" w:sz="0" w:space="0" w:color="auto"/>
            <w:bottom w:val="none" w:sz="0" w:space="0" w:color="auto"/>
            <w:right w:val="none" w:sz="0" w:space="0" w:color="auto"/>
          </w:divBdr>
        </w:div>
        <w:div w:id="1638484174">
          <w:marLeft w:val="640"/>
          <w:marRight w:val="0"/>
          <w:marTop w:val="0"/>
          <w:marBottom w:val="0"/>
          <w:divBdr>
            <w:top w:val="none" w:sz="0" w:space="0" w:color="auto"/>
            <w:left w:val="none" w:sz="0" w:space="0" w:color="auto"/>
            <w:bottom w:val="none" w:sz="0" w:space="0" w:color="auto"/>
            <w:right w:val="none" w:sz="0" w:space="0" w:color="auto"/>
          </w:divBdr>
        </w:div>
        <w:div w:id="1089502241">
          <w:marLeft w:val="640"/>
          <w:marRight w:val="0"/>
          <w:marTop w:val="0"/>
          <w:marBottom w:val="0"/>
          <w:divBdr>
            <w:top w:val="none" w:sz="0" w:space="0" w:color="auto"/>
            <w:left w:val="none" w:sz="0" w:space="0" w:color="auto"/>
            <w:bottom w:val="none" w:sz="0" w:space="0" w:color="auto"/>
            <w:right w:val="none" w:sz="0" w:space="0" w:color="auto"/>
          </w:divBdr>
        </w:div>
        <w:div w:id="1959680983">
          <w:marLeft w:val="640"/>
          <w:marRight w:val="0"/>
          <w:marTop w:val="0"/>
          <w:marBottom w:val="0"/>
          <w:divBdr>
            <w:top w:val="none" w:sz="0" w:space="0" w:color="auto"/>
            <w:left w:val="none" w:sz="0" w:space="0" w:color="auto"/>
            <w:bottom w:val="none" w:sz="0" w:space="0" w:color="auto"/>
            <w:right w:val="none" w:sz="0" w:space="0" w:color="auto"/>
          </w:divBdr>
        </w:div>
        <w:div w:id="503857424">
          <w:marLeft w:val="640"/>
          <w:marRight w:val="0"/>
          <w:marTop w:val="0"/>
          <w:marBottom w:val="0"/>
          <w:divBdr>
            <w:top w:val="none" w:sz="0" w:space="0" w:color="auto"/>
            <w:left w:val="none" w:sz="0" w:space="0" w:color="auto"/>
            <w:bottom w:val="none" w:sz="0" w:space="0" w:color="auto"/>
            <w:right w:val="none" w:sz="0" w:space="0" w:color="auto"/>
          </w:divBdr>
        </w:div>
        <w:div w:id="217785156">
          <w:marLeft w:val="640"/>
          <w:marRight w:val="0"/>
          <w:marTop w:val="0"/>
          <w:marBottom w:val="0"/>
          <w:divBdr>
            <w:top w:val="none" w:sz="0" w:space="0" w:color="auto"/>
            <w:left w:val="none" w:sz="0" w:space="0" w:color="auto"/>
            <w:bottom w:val="none" w:sz="0" w:space="0" w:color="auto"/>
            <w:right w:val="none" w:sz="0" w:space="0" w:color="auto"/>
          </w:divBdr>
        </w:div>
        <w:div w:id="404109940">
          <w:marLeft w:val="640"/>
          <w:marRight w:val="0"/>
          <w:marTop w:val="0"/>
          <w:marBottom w:val="0"/>
          <w:divBdr>
            <w:top w:val="none" w:sz="0" w:space="0" w:color="auto"/>
            <w:left w:val="none" w:sz="0" w:space="0" w:color="auto"/>
            <w:bottom w:val="none" w:sz="0" w:space="0" w:color="auto"/>
            <w:right w:val="none" w:sz="0" w:space="0" w:color="auto"/>
          </w:divBdr>
        </w:div>
        <w:div w:id="338581661">
          <w:marLeft w:val="640"/>
          <w:marRight w:val="0"/>
          <w:marTop w:val="0"/>
          <w:marBottom w:val="0"/>
          <w:divBdr>
            <w:top w:val="none" w:sz="0" w:space="0" w:color="auto"/>
            <w:left w:val="none" w:sz="0" w:space="0" w:color="auto"/>
            <w:bottom w:val="none" w:sz="0" w:space="0" w:color="auto"/>
            <w:right w:val="none" w:sz="0" w:space="0" w:color="auto"/>
          </w:divBdr>
        </w:div>
        <w:div w:id="2015835869">
          <w:marLeft w:val="640"/>
          <w:marRight w:val="0"/>
          <w:marTop w:val="0"/>
          <w:marBottom w:val="0"/>
          <w:divBdr>
            <w:top w:val="none" w:sz="0" w:space="0" w:color="auto"/>
            <w:left w:val="none" w:sz="0" w:space="0" w:color="auto"/>
            <w:bottom w:val="none" w:sz="0" w:space="0" w:color="auto"/>
            <w:right w:val="none" w:sz="0" w:space="0" w:color="auto"/>
          </w:divBdr>
        </w:div>
        <w:div w:id="1685128760">
          <w:marLeft w:val="640"/>
          <w:marRight w:val="0"/>
          <w:marTop w:val="0"/>
          <w:marBottom w:val="0"/>
          <w:divBdr>
            <w:top w:val="none" w:sz="0" w:space="0" w:color="auto"/>
            <w:left w:val="none" w:sz="0" w:space="0" w:color="auto"/>
            <w:bottom w:val="none" w:sz="0" w:space="0" w:color="auto"/>
            <w:right w:val="none" w:sz="0" w:space="0" w:color="auto"/>
          </w:divBdr>
        </w:div>
        <w:div w:id="270825335">
          <w:marLeft w:val="640"/>
          <w:marRight w:val="0"/>
          <w:marTop w:val="0"/>
          <w:marBottom w:val="0"/>
          <w:divBdr>
            <w:top w:val="none" w:sz="0" w:space="0" w:color="auto"/>
            <w:left w:val="none" w:sz="0" w:space="0" w:color="auto"/>
            <w:bottom w:val="none" w:sz="0" w:space="0" w:color="auto"/>
            <w:right w:val="none" w:sz="0" w:space="0" w:color="auto"/>
          </w:divBdr>
        </w:div>
        <w:div w:id="917323774">
          <w:marLeft w:val="640"/>
          <w:marRight w:val="0"/>
          <w:marTop w:val="0"/>
          <w:marBottom w:val="0"/>
          <w:divBdr>
            <w:top w:val="none" w:sz="0" w:space="0" w:color="auto"/>
            <w:left w:val="none" w:sz="0" w:space="0" w:color="auto"/>
            <w:bottom w:val="none" w:sz="0" w:space="0" w:color="auto"/>
            <w:right w:val="none" w:sz="0" w:space="0" w:color="auto"/>
          </w:divBdr>
        </w:div>
        <w:div w:id="229465412">
          <w:marLeft w:val="640"/>
          <w:marRight w:val="0"/>
          <w:marTop w:val="0"/>
          <w:marBottom w:val="0"/>
          <w:divBdr>
            <w:top w:val="none" w:sz="0" w:space="0" w:color="auto"/>
            <w:left w:val="none" w:sz="0" w:space="0" w:color="auto"/>
            <w:bottom w:val="none" w:sz="0" w:space="0" w:color="auto"/>
            <w:right w:val="none" w:sz="0" w:space="0" w:color="auto"/>
          </w:divBdr>
        </w:div>
        <w:div w:id="1017587143">
          <w:marLeft w:val="640"/>
          <w:marRight w:val="0"/>
          <w:marTop w:val="0"/>
          <w:marBottom w:val="0"/>
          <w:divBdr>
            <w:top w:val="none" w:sz="0" w:space="0" w:color="auto"/>
            <w:left w:val="none" w:sz="0" w:space="0" w:color="auto"/>
            <w:bottom w:val="none" w:sz="0" w:space="0" w:color="auto"/>
            <w:right w:val="none" w:sz="0" w:space="0" w:color="auto"/>
          </w:divBdr>
        </w:div>
        <w:div w:id="1565752821">
          <w:marLeft w:val="640"/>
          <w:marRight w:val="0"/>
          <w:marTop w:val="0"/>
          <w:marBottom w:val="0"/>
          <w:divBdr>
            <w:top w:val="none" w:sz="0" w:space="0" w:color="auto"/>
            <w:left w:val="none" w:sz="0" w:space="0" w:color="auto"/>
            <w:bottom w:val="none" w:sz="0" w:space="0" w:color="auto"/>
            <w:right w:val="none" w:sz="0" w:space="0" w:color="auto"/>
          </w:divBdr>
        </w:div>
        <w:div w:id="1797866712">
          <w:marLeft w:val="640"/>
          <w:marRight w:val="0"/>
          <w:marTop w:val="0"/>
          <w:marBottom w:val="0"/>
          <w:divBdr>
            <w:top w:val="none" w:sz="0" w:space="0" w:color="auto"/>
            <w:left w:val="none" w:sz="0" w:space="0" w:color="auto"/>
            <w:bottom w:val="none" w:sz="0" w:space="0" w:color="auto"/>
            <w:right w:val="none" w:sz="0" w:space="0" w:color="auto"/>
          </w:divBdr>
        </w:div>
        <w:div w:id="1060400315">
          <w:marLeft w:val="640"/>
          <w:marRight w:val="0"/>
          <w:marTop w:val="0"/>
          <w:marBottom w:val="0"/>
          <w:divBdr>
            <w:top w:val="none" w:sz="0" w:space="0" w:color="auto"/>
            <w:left w:val="none" w:sz="0" w:space="0" w:color="auto"/>
            <w:bottom w:val="none" w:sz="0" w:space="0" w:color="auto"/>
            <w:right w:val="none" w:sz="0" w:space="0" w:color="auto"/>
          </w:divBdr>
        </w:div>
        <w:div w:id="992492213">
          <w:marLeft w:val="640"/>
          <w:marRight w:val="0"/>
          <w:marTop w:val="0"/>
          <w:marBottom w:val="0"/>
          <w:divBdr>
            <w:top w:val="none" w:sz="0" w:space="0" w:color="auto"/>
            <w:left w:val="none" w:sz="0" w:space="0" w:color="auto"/>
            <w:bottom w:val="none" w:sz="0" w:space="0" w:color="auto"/>
            <w:right w:val="none" w:sz="0" w:space="0" w:color="auto"/>
          </w:divBdr>
        </w:div>
        <w:div w:id="833954988">
          <w:marLeft w:val="640"/>
          <w:marRight w:val="0"/>
          <w:marTop w:val="0"/>
          <w:marBottom w:val="0"/>
          <w:divBdr>
            <w:top w:val="none" w:sz="0" w:space="0" w:color="auto"/>
            <w:left w:val="none" w:sz="0" w:space="0" w:color="auto"/>
            <w:bottom w:val="none" w:sz="0" w:space="0" w:color="auto"/>
            <w:right w:val="none" w:sz="0" w:space="0" w:color="auto"/>
          </w:divBdr>
        </w:div>
        <w:div w:id="521237487">
          <w:marLeft w:val="640"/>
          <w:marRight w:val="0"/>
          <w:marTop w:val="0"/>
          <w:marBottom w:val="0"/>
          <w:divBdr>
            <w:top w:val="none" w:sz="0" w:space="0" w:color="auto"/>
            <w:left w:val="none" w:sz="0" w:space="0" w:color="auto"/>
            <w:bottom w:val="none" w:sz="0" w:space="0" w:color="auto"/>
            <w:right w:val="none" w:sz="0" w:space="0" w:color="auto"/>
          </w:divBdr>
        </w:div>
        <w:div w:id="348795077">
          <w:marLeft w:val="640"/>
          <w:marRight w:val="0"/>
          <w:marTop w:val="0"/>
          <w:marBottom w:val="0"/>
          <w:divBdr>
            <w:top w:val="none" w:sz="0" w:space="0" w:color="auto"/>
            <w:left w:val="none" w:sz="0" w:space="0" w:color="auto"/>
            <w:bottom w:val="none" w:sz="0" w:space="0" w:color="auto"/>
            <w:right w:val="none" w:sz="0" w:space="0" w:color="auto"/>
          </w:divBdr>
        </w:div>
        <w:div w:id="1482189597">
          <w:marLeft w:val="640"/>
          <w:marRight w:val="0"/>
          <w:marTop w:val="0"/>
          <w:marBottom w:val="0"/>
          <w:divBdr>
            <w:top w:val="none" w:sz="0" w:space="0" w:color="auto"/>
            <w:left w:val="none" w:sz="0" w:space="0" w:color="auto"/>
            <w:bottom w:val="none" w:sz="0" w:space="0" w:color="auto"/>
            <w:right w:val="none" w:sz="0" w:space="0" w:color="auto"/>
          </w:divBdr>
        </w:div>
        <w:div w:id="1539124971">
          <w:marLeft w:val="640"/>
          <w:marRight w:val="0"/>
          <w:marTop w:val="0"/>
          <w:marBottom w:val="0"/>
          <w:divBdr>
            <w:top w:val="none" w:sz="0" w:space="0" w:color="auto"/>
            <w:left w:val="none" w:sz="0" w:space="0" w:color="auto"/>
            <w:bottom w:val="none" w:sz="0" w:space="0" w:color="auto"/>
            <w:right w:val="none" w:sz="0" w:space="0" w:color="auto"/>
          </w:divBdr>
        </w:div>
        <w:div w:id="762184789">
          <w:marLeft w:val="640"/>
          <w:marRight w:val="0"/>
          <w:marTop w:val="0"/>
          <w:marBottom w:val="0"/>
          <w:divBdr>
            <w:top w:val="none" w:sz="0" w:space="0" w:color="auto"/>
            <w:left w:val="none" w:sz="0" w:space="0" w:color="auto"/>
            <w:bottom w:val="none" w:sz="0" w:space="0" w:color="auto"/>
            <w:right w:val="none" w:sz="0" w:space="0" w:color="auto"/>
          </w:divBdr>
        </w:div>
        <w:div w:id="2113352554">
          <w:marLeft w:val="640"/>
          <w:marRight w:val="0"/>
          <w:marTop w:val="0"/>
          <w:marBottom w:val="0"/>
          <w:divBdr>
            <w:top w:val="none" w:sz="0" w:space="0" w:color="auto"/>
            <w:left w:val="none" w:sz="0" w:space="0" w:color="auto"/>
            <w:bottom w:val="none" w:sz="0" w:space="0" w:color="auto"/>
            <w:right w:val="none" w:sz="0" w:space="0" w:color="auto"/>
          </w:divBdr>
        </w:div>
        <w:div w:id="1979534197">
          <w:marLeft w:val="640"/>
          <w:marRight w:val="0"/>
          <w:marTop w:val="0"/>
          <w:marBottom w:val="0"/>
          <w:divBdr>
            <w:top w:val="none" w:sz="0" w:space="0" w:color="auto"/>
            <w:left w:val="none" w:sz="0" w:space="0" w:color="auto"/>
            <w:bottom w:val="none" w:sz="0" w:space="0" w:color="auto"/>
            <w:right w:val="none" w:sz="0" w:space="0" w:color="auto"/>
          </w:divBdr>
        </w:div>
        <w:div w:id="543441796">
          <w:marLeft w:val="640"/>
          <w:marRight w:val="0"/>
          <w:marTop w:val="0"/>
          <w:marBottom w:val="0"/>
          <w:divBdr>
            <w:top w:val="none" w:sz="0" w:space="0" w:color="auto"/>
            <w:left w:val="none" w:sz="0" w:space="0" w:color="auto"/>
            <w:bottom w:val="none" w:sz="0" w:space="0" w:color="auto"/>
            <w:right w:val="none" w:sz="0" w:space="0" w:color="auto"/>
          </w:divBdr>
        </w:div>
        <w:div w:id="244924404">
          <w:marLeft w:val="640"/>
          <w:marRight w:val="0"/>
          <w:marTop w:val="0"/>
          <w:marBottom w:val="0"/>
          <w:divBdr>
            <w:top w:val="none" w:sz="0" w:space="0" w:color="auto"/>
            <w:left w:val="none" w:sz="0" w:space="0" w:color="auto"/>
            <w:bottom w:val="none" w:sz="0" w:space="0" w:color="auto"/>
            <w:right w:val="none" w:sz="0" w:space="0" w:color="auto"/>
          </w:divBdr>
        </w:div>
        <w:div w:id="1921871562">
          <w:marLeft w:val="640"/>
          <w:marRight w:val="0"/>
          <w:marTop w:val="0"/>
          <w:marBottom w:val="0"/>
          <w:divBdr>
            <w:top w:val="none" w:sz="0" w:space="0" w:color="auto"/>
            <w:left w:val="none" w:sz="0" w:space="0" w:color="auto"/>
            <w:bottom w:val="none" w:sz="0" w:space="0" w:color="auto"/>
            <w:right w:val="none" w:sz="0" w:space="0" w:color="auto"/>
          </w:divBdr>
        </w:div>
        <w:div w:id="1643851458">
          <w:marLeft w:val="640"/>
          <w:marRight w:val="0"/>
          <w:marTop w:val="0"/>
          <w:marBottom w:val="0"/>
          <w:divBdr>
            <w:top w:val="none" w:sz="0" w:space="0" w:color="auto"/>
            <w:left w:val="none" w:sz="0" w:space="0" w:color="auto"/>
            <w:bottom w:val="none" w:sz="0" w:space="0" w:color="auto"/>
            <w:right w:val="none" w:sz="0" w:space="0" w:color="auto"/>
          </w:divBdr>
        </w:div>
        <w:div w:id="1634946190">
          <w:marLeft w:val="640"/>
          <w:marRight w:val="0"/>
          <w:marTop w:val="0"/>
          <w:marBottom w:val="0"/>
          <w:divBdr>
            <w:top w:val="none" w:sz="0" w:space="0" w:color="auto"/>
            <w:left w:val="none" w:sz="0" w:space="0" w:color="auto"/>
            <w:bottom w:val="none" w:sz="0" w:space="0" w:color="auto"/>
            <w:right w:val="none" w:sz="0" w:space="0" w:color="auto"/>
          </w:divBdr>
        </w:div>
        <w:div w:id="209535903">
          <w:marLeft w:val="640"/>
          <w:marRight w:val="0"/>
          <w:marTop w:val="0"/>
          <w:marBottom w:val="0"/>
          <w:divBdr>
            <w:top w:val="none" w:sz="0" w:space="0" w:color="auto"/>
            <w:left w:val="none" w:sz="0" w:space="0" w:color="auto"/>
            <w:bottom w:val="none" w:sz="0" w:space="0" w:color="auto"/>
            <w:right w:val="none" w:sz="0" w:space="0" w:color="auto"/>
          </w:divBdr>
        </w:div>
        <w:div w:id="994408295">
          <w:marLeft w:val="640"/>
          <w:marRight w:val="0"/>
          <w:marTop w:val="0"/>
          <w:marBottom w:val="0"/>
          <w:divBdr>
            <w:top w:val="none" w:sz="0" w:space="0" w:color="auto"/>
            <w:left w:val="none" w:sz="0" w:space="0" w:color="auto"/>
            <w:bottom w:val="none" w:sz="0" w:space="0" w:color="auto"/>
            <w:right w:val="none" w:sz="0" w:space="0" w:color="auto"/>
          </w:divBdr>
        </w:div>
        <w:div w:id="1994140227">
          <w:marLeft w:val="640"/>
          <w:marRight w:val="0"/>
          <w:marTop w:val="0"/>
          <w:marBottom w:val="0"/>
          <w:divBdr>
            <w:top w:val="none" w:sz="0" w:space="0" w:color="auto"/>
            <w:left w:val="none" w:sz="0" w:space="0" w:color="auto"/>
            <w:bottom w:val="none" w:sz="0" w:space="0" w:color="auto"/>
            <w:right w:val="none" w:sz="0" w:space="0" w:color="auto"/>
          </w:divBdr>
        </w:div>
        <w:div w:id="1857234965">
          <w:marLeft w:val="640"/>
          <w:marRight w:val="0"/>
          <w:marTop w:val="0"/>
          <w:marBottom w:val="0"/>
          <w:divBdr>
            <w:top w:val="none" w:sz="0" w:space="0" w:color="auto"/>
            <w:left w:val="none" w:sz="0" w:space="0" w:color="auto"/>
            <w:bottom w:val="none" w:sz="0" w:space="0" w:color="auto"/>
            <w:right w:val="none" w:sz="0" w:space="0" w:color="auto"/>
          </w:divBdr>
        </w:div>
        <w:div w:id="132720406">
          <w:marLeft w:val="640"/>
          <w:marRight w:val="0"/>
          <w:marTop w:val="0"/>
          <w:marBottom w:val="0"/>
          <w:divBdr>
            <w:top w:val="none" w:sz="0" w:space="0" w:color="auto"/>
            <w:left w:val="none" w:sz="0" w:space="0" w:color="auto"/>
            <w:bottom w:val="none" w:sz="0" w:space="0" w:color="auto"/>
            <w:right w:val="none" w:sz="0" w:space="0" w:color="auto"/>
          </w:divBdr>
        </w:div>
      </w:divsChild>
    </w:div>
    <w:div w:id="681854872">
      <w:bodyDiv w:val="1"/>
      <w:marLeft w:val="0"/>
      <w:marRight w:val="0"/>
      <w:marTop w:val="0"/>
      <w:marBottom w:val="0"/>
      <w:divBdr>
        <w:top w:val="none" w:sz="0" w:space="0" w:color="auto"/>
        <w:left w:val="none" w:sz="0" w:space="0" w:color="auto"/>
        <w:bottom w:val="none" w:sz="0" w:space="0" w:color="auto"/>
        <w:right w:val="none" w:sz="0" w:space="0" w:color="auto"/>
      </w:divBdr>
      <w:divsChild>
        <w:div w:id="864444842">
          <w:marLeft w:val="640"/>
          <w:marRight w:val="0"/>
          <w:marTop w:val="0"/>
          <w:marBottom w:val="0"/>
          <w:divBdr>
            <w:top w:val="none" w:sz="0" w:space="0" w:color="auto"/>
            <w:left w:val="none" w:sz="0" w:space="0" w:color="auto"/>
            <w:bottom w:val="none" w:sz="0" w:space="0" w:color="auto"/>
            <w:right w:val="none" w:sz="0" w:space="0" w:color="auto"/>
          </w:divBdr>
        </w:div>
        <w:div w:id="773552266">
          <w:marLeft w:val="640"/>
          <w:marRight w:val="0"/>
          <w:marTop w:val="0"/>
          <w:marBottom w:val="0"/>
          <w:divBdr>
            <w:top w:val="none" w:sz="0" w:space="0" w:color="auto"/>
            <w:left w:val="none" w:sz="0" w:space="0" w:color="auto"/>
            <w:bottom w:val="none" w:sz="0" w:space="0" w:color="auto"/>
            <w:right w:val="none" w:sz="0" w:space="0" w:color="auto"/>
          </w:divBdr>
        </w:div>
        <w:div w:id="1143697351">
          <w:marLeft w:val="640"/>
          <w:marRight w:val="0"/>
          <w:marTop w:val="0"/>
          <w:marBottom w:val="0"/>
          <w:divBdr>
            <w:top w:val="none" w:sz="0" w:space="0" w:color="auto"/>
            <w:left w:val="none" w:sz="0" w:space="0" w:color="auto"/>
            <w:bottom w:val="none" w:sz="0" w:space="0" w:color="auto"/>
            <w:right w:val="none" w:sz="0" w:space="0" w:color="auto"/>
          </w:divBdr>
        </w:div>
        <w:div w:id="399912114">
          <w:marLeft w:val="640"/>
          <w:marRight w:val="0"/>
          <w:marTop w:val="0"/>
          <w:marBottom w:val="0"/>
          <w:divBdr>
            <w:top w:val="none" w:sz="0" w:space="0" w:color="auto"/>
            <w:left w:val="none" w:sz="0" w:space="0" w:color="auto"/>
            <w:bottom w:val="none" w:sz="0" w:space="0" w:color="auto"/>
            <w:right w:val="none" w:sz="0" w:space="0" w:color="auto"/>
          </w:divBdr>
        </w:div>
        <w:div w:id="1154758461">
          <w:marLeft w:val="640"/>
          <w:marRight w:val="0"/>
          <w:marTop w:val="0"/>
          <w:marBottom w:val="0"/>
          <w:divBdr>
            <w:top w:val="none" w:sz="0" w:space="0" w:color="auto"/>
            <w:left w:val="none" w:sz="0" w:space="0" w:color="auto"/>
            <w:bottom w:val="none" w:sz="0" w:space="0" w:color="auto"/>
            <w:right w:val="none" w:sz="0" w:space="0" w:color="auto"/>
          </w:divBdr>
        </w:div>
        <w:div w:id="1662469469">
          <w:marLeft w:val="640"/>
          <w:marRight w:val="0"/>
          <w:marTop w:val="0"/>
          <w:marBottom w:val="0"/>
          <w:divBdr>
            <w:top w:val="none" w:sz="0" w:space="0" w:color="auto"/>
            <w:left w:val="none" w:sz="0" w:space="0" w:color="auto"/>
            <w:bottom w:val="none" w:sz="0" w:space="0" w:color="auto"/>
            <w:right w:val="none" w:sz="0" w:space="0" w:color="auto"/>
          </w:divBdr>
        </w:div>
        <w:div w:id="1551112281">
          <w:marLeft w:val="640"/>
          <w:marRight w:val="0"/>
          <w:marTop w:val="0"/>
          <w:marBottom w:val="0"/>
          <w:divBdr>
            <w:top w:val="none" w:sz="0" w:space="0" w:color="auto"/>
            <w:left w:val="none" w:sz="0" w:space="0" w:color="auto"/>
            <w:bottom w:val="none" w:sz="0" w:space="0" w:color="auto"/>
            <w:right w:val="none" w:sz="0" w:space="0" w:color="auto"/>
          </w:divBdr>
        </w:div>
        <w:div w:id="1064332215">
          <w:marLeft w:val="640"/>
          <w:marRight w:val="0"/>
          <w:marTop w:val="0"/>
          <w:marBottom w:val="0"/>
          <w:divBdr>
            <w:top w:val="none" w:sz="0" w:space="0" w:color="auto"/>
            <w:left w:val="none" w:sz="0" w:space="0" w:color="auto"/>
            <w:bottom w:val="none" w:sz="0" w:space="0" w:color="auto"/>
            <w:right w:val="none" w:sz="0" w:space="0" w:color="auto"/>
          </w:divBdr>
        </w:div>
        <w:div w:id="1478759632">
          <w:marLeft w:val="640"/>
          <w:marRight w:val="0"/>
          <w:marTop w:val="0"/>
          <w:marBottom w:val="0"/>
          <w:divBdr>
            <w:top w:val="none" w:sz="0" w:space="0" w:color="auto"/>
            <w:left w:val="none" w:sz="0" w:space="0" w:color="auto"/>
            <w:bottom w:val="none" w:sz="0" w:space="0" w:color="auto"/>
            <w:right w:val="none" w:sz="0" w:space="0" w:color="auto"/>
          </w:divBdr>
        </w:div>
        <w:div w:id="614018638">
          <w:marLeft w:val="640"/>
          <w:marRight w:val="0"/>
          <w:marTop w:val="0"/>
          <w:marBottom w:val="0"/>
          <w:divBdr>
            <w:top w:val="none" w:sz="0" w:space="0" w:color="auto"/>
            <w:left w:val="none" w:sz="0" w:space="0" w:color="auto"/>
            <w:bottom w:val="none" w:sz="0" w:space="0" w:color="auto"/>
            <w:right w:val="none" w:sz="0" w:space="0" w:color="auto"/>
          </w:divBdr>
        </w:div>
        <w:div w:id="1039666110">
          <w:marLeft w:val="640"/>
          <w:marRight w:val="0"/>
          <w:marTop w:val="0"/>
          <w:marBottom w:val="0"/>
          <w:divBdr>
            <w:top w:val="none" w:sz="0" w:space="0" w:color="auto"/>
            <w:left w:val="none" w:sz="0" w:space="0" w:color="auto"/>
            <w:bottom w:val="none" w:sz="0" w:space="0" w:color="auto"/>
            <w:right w:val="none" w:sz="0" w:space="0" w:color="auto"/>
          </w:divBdr>
        </w:div>
        <w:div w:id="891231456">
          <w:marLeft w:val="640"/>
          <w:marRight w:val="0"/>
          <w:marTop w:val="0"/>
          <w:marBottom w:val="0"/>
          <w:divBdr>
            <w:top w:val="none" w:sz="0" w:space="0" w:color="auto"/>
            <w:left w:val="none" w:sz="0" w:space="0" w:color="auto"/>
            <w:bottom w:val="none" w:sz="0" w:space="0" w:color="auto"/>
            <w:right w:val="none" w:sz="0" w:space="0" w:color="auto"/>
          </w:divBdr>
        </w:div>
        <w:div w:id="1582909239">
          <w:marLeft w:val="640"/>
          <w:marRight w:val="0"/>
          <w:marTop w:val="0"/>
          <w:marBottom w:val="0"/>
          <w:divBdr>
            <w:top w:val="none" w:sz="0" w:space="0" w:color="auto"/>
            <w:left w:val="none" w:sz="0" w:space="0" w:color="auto"/>
            <w:bottom w:val="none" w:sz="0" w:space="0" w:color="auto"/>
            <w:right w:val="none" w:sz="0" w:space="0" w:color="auto"/>
          </w:divBdr>
        </w:div>
        <w:div w:id="432013532">
          <w:marLeft w:val="640"/>
          <w:marRight w:val="0"/>
          <w:marTop w:val="0"/>
          <w:marBottom w:val="0"/>
          <w:divBdr>
            <w:top w:val="none" w:sz="0" w:space="0" w:color="auto"/>
            <w:left w:val="none" w:sz="0" w:space="0" w:color="auto"/>
            <w:bottom w:val="none" w:sz="0" w:space="0" w:color="auto"/>
            <w:right w:val="none" w:sz="0" w:space="0" w:color="auto"/>
          </w:divBdr>
        </w:div>
        <w:div w:id="1009059168">
          <w:marLeft w:val="640"/>
          <w:marRight w:val="0"/>
          <w:marTop w:val="0"/>
          <w:marBottom w:val="0"/>
          <w:divBdr>
            <w:top w:val="none" w:sz="0" w:space="0" w:color="auto"/>
            <w:left w:val="none" w:sz="0" w:space="0" w:color="auto"/>
            <w:bottom w:val="none" w:sz="0" w:space="0" w:color="auto"/>
            <w:right w:val="none" w:sz="0" w:space="0" w:color="auto"/>
          </w:divBdr>
        </w:div>
        <w:div w:id="2039501512">
          <w:marLeft w:val="640"/>
          <w:marRight w:val="0"/>
          <w:marTop w:val="0"/>
          <w:marBottom w:val="0"/>
          <w:divBdr>
            <w:top w:val="none" w:sz="0" w:space="0" w:color="auto"/>
            <w:left w:val="none" w:sz="0" w:space="0" w:color="auto"/>
            <w:bottom w:val="none" w:sz="0" w:space="0" w:color="auto"/>
            <w:right w:val="none" w:sz="0" w:space="0" w:color="auto"/>
          </w:divBdr>
        </w:div>
        <w:div w:id="726224561">
          <w:marLeft w:val="640"/>
          <w:marRight w:val="0"/>
          <w:marTop w:val="0"/>
          <w:marBottom w:val="0"/>
          <w:divBdr>
            <w:top w:val="none" w:sz="0" w:space="0" w:color="auto"/>
            <w:left w:val="none" w:sz="0" w:space="0" w:color="auto"/>
            <w:bottom w:val="none" w:sz="0" w:space="0" w:color="auto"/>
            <w:right w:val="none" w:sz="0" w:space="0" w:color="auto"/>
          </w:divBdr>
        </w:div>
        <w:div w:id="1809349752">
          <w:marLeft w:val="640"/>
          <w:marRight w:val="0"/>
          <w:marTop w:val="0"/>
          <w:marBottom w:val="0"/>
          <w:divBdr>
            <w:top w:val="none" w:sz="0" w:space="0" w:color="auto"/>
            <w:left w:val="none" w:sz="0" w:space="0" w:color="auto"/>
            <w:bottom w:val="none" w:sz="0" w:space="0" w:color="auto"/>
            <w:right w:val="none" w:sz="0" w:space="0" w:color="auto"/>
          </w:divBdr>
        </w:div>
        <w:div w:id="1863392572">
          <w:marLeft w:val="640"/>
          <w:marRight w:val="0"/>
          <w:marTop w:val="0"/>
          <w:marBottom w:val="0"/>
          <w:divBdr>
            <w:top w:val="none" w:sz="0" w:space="0" w:color="auto"/>
            <w:left w:val="none" w:sz="0" w:space="0" w:color="auto"/>
            <w:bottom w:val="none" w:sz="0" w:space="0" w:color="auto"/>
            <w:right w:val="none" w:sz="0" w:space="0" w:color="auto"/>
          </w:divBdr>
        </w:div>
        <w:div w:id="994647466">
          <w:marLeft w:val="640"/>
          <w:marRight w:val="0"/>
          <w:marTop w:val="0"/>
          <w:marBottom w:val="0"/>
          <w:divBdr>
            <w:top w:val="none" w:sz="0" w:space="0" w:color="auto"/>
            <w:left w:val="none" w:sz="0" w:space="0" w:color="auto"/>
            <w:bottom w:val="none" w:sz="0" w:space="0" w:color="auto"/>
            <w:right w:val="none" w:sz="0" w:space="0" w:color="auto"/>
          </w:divBdr>
        </w:div>
        <w:div w:id="1107965597">
          <w:marLeft w:val="640"/>
          <w:marRight w:val="0"/>
          <w:marTop w:val="0"/>
          <w:marBottom w:val="0"/>
          <w:divBdr>
            <w:top w:val="none" w:sz="0" w:space="0" w:color="auto"/>
            <w:left w:val="none" w:sz="0" w:space="0" w:color="auto"/>
            <w:bottom w:val="none" w:sz="0" w:space="0" w:color="auto"/>
            <w:right w:val="none" w:sz="0" w:space="0" w:color="auto"/>
          </w:divBdr>
        </w:div>
        <w:div w:id="740952491">
          <w:marLeft w:val="640"/>
          <w:marRight w:val="0"/>
          <w:marTop w:val="0"/>
          <w:marBottom w:val="0"/>
          <w:divBdr>
            <w:top w:val="none" w:sz="0" w:space="0" w:color="auto"/>
            <w:left w:val="none" w:sz="0" w:space="0" w:color="auto"/>
            <w:bottom w:val="none" w:sz="0" w:space="0" w:color="auto"/>
            <w:right w:val="none" w:sz="0" w:space="0" w:color="auto"/>
          </w:divBdr>
        </w:div>
        <w:div w:id="591665978">
          <w:marLeft w:val="640"/>
          <w:marRight w:val="0"/>
          <w:marTop w:val="0"/>
          <w:marBottom w:val="0"/>
          <w:divBdr>
            <w:top w:val="none" w:sz="0" w:space="0" w:color="auto"/>
            <w:left w:val="none" w:sz="0" w:space="0" w:color="auto"/>
            <w:bottom w:val="none" w:sz="0" w:space="0" w:color="auto"/>
            <w:right w:val="none" w:sz="0" w:space="0" w:color="auto"/>
          </w:divBdr>
        </w:div>
        <w:div w:id="342826953">
          <w:marLeft w:val="640"/>
          <w:marRight w:val="0"/>
          <w:marTop w:val="0"/>
          <w:marBottom w:val="0"/>
          <w:divBdr>
            <w:top w:val="none" w:sz="0" w:space="0" w:color="auto"/>
            <w:left w:val="none" w:sz="0" w:space="0" w:color="auto"/>
            <w:bottom w:val="none" w:sz="0" w:space="0" w:color="auto"/>
            <w:right w:val="none" w:sz="0" w:space="0" w:color="auto"/>
          </w:divBdr>
        </w:div>
        <w:div w:id="348874537">
          <w:marLeft w:val="640"/>
          <w:marRight w:val="0"/>
          <w:marTop w:val="0"/>
          <w:marBottom w:val="0"/>
          <w:divBdr>
            <w:top w:val="none" w:sz="0" w:space="0" w:color="auto"/>
            <w:left w:val="none" w:sz="0" w:space="0" w:color="auto"/>
            <w:bottom w:val="none" w:sz="0" w:space="0" w:color="auto"/>
            <w:right w:val="none" w:sz="0" w:space="0" w:color="auto"/>
          </w:divBdr>
        </w:div>
        <w:div w:id="1267884497">
          <w:marLeft w:val="640"/>
          <w:marRight w:val="0"/>
          <w:marTop w:val="0"/>
          <w:marBottom w:val="0"/>
          <w:divBdr>
            <w:top w:val="none" w:sz="0" w:space="0" w:color="auto"/>
            <w:left w:val="none" w:sz="0" w:space="0" w:color="auto"/>
            <w:bottom w:val="none" w:sz="0" w:space="0" w:color="auto"/>
            <w:right w:val="none" w:sz="0" w:space="0" w:color="auto"/>
          </w:divBdr>
        </w:div>
        <w:div w:id="1236284229">
          <w:marLeft w:val="640"/>
          <w:marRight w:val="0"/>
          <w:marTop w:val="0"/>
          <w:marBottom w:val="0"/>
          <w:divBdr>
            <w:top w:val="none" w:sz="0" w:space="0" w:color="auto"/>
            <w:left w:val="none" w:sz="0" w:space="0" w:color="auto"/>
            <w:bottom w:val="none" w:sz="0" w:space="0" w:color="auto"/>
            <w:right w:val="none" w:sz="0" w:space="0" w:color="auto"/>
          </w:divBdr>
        </w:div>
        <w:div w:id="1495560172">
          <w:marLeft w:val="640"/>
          <w:marRight w:val="0"/>
          <w:marTop w:val="0"/>
          <w:marBottom w:val="0"/>
          <w:divBdr>
            <w:top w:val="none" w:sz="0" w:space="0" w:color="auto"/>
            <w:left w:val="none" w:sz="0" w:space="0" w:color="auto"/>
            <w:bottom w:val="none" w:sz="0" w:space="0" w:color="auto"/>
            <w:right w:val="none" w:sz="0" w:space="0" w:color="auto"/>
          </w:divBdr>
        </w:div>
        <w:div w:id="1333723258">
          <w:marLeft w:val="640"/>
          <w:marRight w:val="0"/>
          <w:marTop w:val="0"/>
          <w:marBottom w:val="0"/>
          <w:divBdr>
            <w:top w:val="none" w:sz="0" w:space="0" w:color="auto"/>
            <w:left w:val="none" w:sz="0" w:space="0" w:color="auto"/>
            <w:bottom w:val="none" w:sz="0" w:space="0" w:color="auto"/>
            <w:right w:val="none" w:sz="0" w:space="0" w:color="auto"/>
          </w:divBdr>
        </w:div>
        <w:div w:id="756289990">
          <w:marLeft w:val="640"/>
          <w:marRight w:val="0"/>
          <w:marTop w:val="0"/>
          <w:marBottom w:val="0"/>
          <w:divBdr>
            <w:top w:val="none" w:sz="0" w:space="0" w:color="auto"/>
            <w:left w:val="none" w:sz="0" w:space="0" w:color="auto"/>
            <w:bottom w:val="none" w:sz="0" w:space="0" w:color="auto"/>
            <w:right w:val="none" w:sz="0" w:space="0" w:color="auto"/>
          </w:divBdr>
        </w:div>
        <w:div w:id="2107844724">
          <w:marLeft w:val="640"/>
          <w:marRight w:val="0"/>
          <w:marTop w:val="0"/>
          <w:marBottom w:val="0"/>
          <w:divBdr>
            <w:top w:val="none" w:sz="0" w:space="0" w:color="auto"/>
            <w:left w:val="none" w:sz="0" w:space="0" w:color="auto"/>
            <w:bottom w:val="none" w:sz="0" w:space="0" w:color="auto"/>
            <w:right w:val="none" w:sz="0" w:space="0" w:color="auto"/>
          </w:divBdr>
        </w:div>
        <w:div w:id="1752696288">
          <w:marLeft w:val="640"/>
          <w:marRight w:val="0"/>
          <w:marTop w:val="0"/>
          <w:marBottom w:val="0"/>
          <w:divBdr>
            <w:top w:val="none" w:sz="0" w:space="0" w:color="auto"/>
            <w:left w:val="none" w:sz="0" w:space="0" w:color="auto"/>
            <w:bottom w:val="none" w:sz="0" w:space="0" w:color="auto"/>
            <w:right w:val="none" w:sz="0" w:space="0" w:color="auto"/>
          </w:divBdr>
        </w:div>
        <w:div w:id="283004945">
          <w:marLeft w:val="640"/>
          <w:marRight w:val="0"/>
          <w:marTop w:val="0"/>
          <w:marBottom w:val="0"/>
          <w:divBdr>
            <w:top w:val="none" w:sz="0" w:space="0" w:color="auto"/>
            <w:left w:val="none" w:sz="0" w:space="0" w:color="auto"/>
            <w:bottom w:val="none" w:sz="0" w:space="0" w:color="auto"/>
            <w:right w:val="none" w:sz="0" w:space="0" w:color="auto"/>
          </w:divBdr>
        </w:div>
        <w:div w:id="276644862">
          <w:marLeft w:val="640"/>
          <w:marRight w:val="0"/>
          <w:marTop w:val="0"/>
          <w:marBottom w:val="0"/>
          <w:divBdr>
            <w:top w:val="none" w:sz="0" w:space="0" w:color="auto"/>
            <w:left w:val="none" w:sz="0" w:space="0" w:color="auto"/>
            <w:bottom w:val="none" w:sz="0" w:space="0" w:color="auto"/>
            <w:right w:val="none" w:sz="0" w:space="0" w:color="auto"/>
          </w:divBdr>
        </w:div>
        <w:div w:id="1368219403">
          <w:marLeft w:val="640"/>
          <w:marRight w:val="0"/>
          <w:marTop w:val="0"/>
          <w:marBottom w:val="0"/>
          <w:divBdr>
            <w:top w:val="none" w:sz="0" w:space="0" w:color="auto"/>
            <w:left w:val="none" w:sz="0" w:space="0" w:color="auto"/>
            <w:bottom w:val="none" w:sz="0" w:space="0" w:color="auto"/>
            <w:right w:val="none" w:sz="0" w:space="0" w:color="auto"/>
          </w:divBdr>
        </w:div>
        <w:div w:id="411776791">
          <w:marLeft w:val="640"/>
          <w:marRight w:val="0"/>
          <w:marTop w:val="0"/>
          <w:marBottom w:val="0"/>
          <w:divBdr>
            <w:top w:val="none" w:sz="0" w:space="0" w:color="auto"/>
            <w:left w:val="none" w:sz="0" w:space="0" w:color="auto"/>
            <w:bottom w:val="none" w:sz="0" w:space="0" w:color="auto"/>
            <w:right w:val="none" w:sz="0" w:space="0" w:color="auto"/>
          </w:divBdr>
        </w:div>
        <w:div w:id="563221893">
          <w:marLeft w:val="640"/>
          <w:marRight w:val="0"/>
          <w:marTop w:val="0"/>
          <w:marBottom w:val="0"/>
          <w:divBdr>
            <w:top w:val="none" w:sz="0" w:space="0" w:color="auto"/>
            <w:left w:val="none" w:sz="0" w:space="0" w:color="auto"/>
            <w:bottom w:val="none" w:sz="0" w:space="0" w:color="auto"/>
            <w:right w:val="none" w:sz="0" w:space="0" w:color="auto"/>
          </w:divBdr>
        </w:div>
        <w:div w:id="672491831">
          <w:marLeft w:val="640"/>
          <w:marRight w:val="0"/>
          <w:marTop w:val="0"/>
          <w:marBottom w:val="0"/>
          <w:divBdr>
            <w:top w:val="none" w:sz="0" w:space="0" w:color="auto"/>
            <w:left w:val="none" w:sz="0" w:space="0" w:color="auto"/>
            <w:bottom w:val="none" w:sz="0" w:space="0" w:color="auto"/>
            <w:right w:val="none" w:sz="0" w:space="0" w:color="auto"/>
          </w:divBdr>
        </w:div>
        <w:div w:id="1721900086">
          <w:marLeft w:val="640"/>
          <w:marRight w:val="0"/>
          <w:marTop w:val="0"/>
          <w:marBottom w:val="0"/>
          <w:divBdr>
            <w:top w:val="none" w:sz="0" w:space="0" w:color="auto"/>
            <w:left w:val="none" w:sz="0" w:space="0" w:color="auto"/>
            <w:bottom w:val="none" w:sz="0" w:space="0" w:color="auto"/>
            <w:right w:val="none" w:sz="0" w:space="0" w:color="auto"/>
          </w:divBdr>
        </w:div>
        <w:div w:id="291525230">
          <w:marLeft w:val="640"/>
          <w:marRight w:val="0"/>
          <w:marTop w:val="0"/>
          <w:marBottom w:val="0"/>
          <w:divBdr>
            <w:top w:val="none" w:sz="0" w:space="0" w:color="auto"/>
            <w:left w:val="none" w:sz="0" w:space="0" w:color="auto"/>
            <w:bottom w:val="none" w:sz="0" w:space="0" w:color="auto"/>
            <w:right w:val="none" w:sz="0" w:space="0" w:color="auto"/>
          </w:divBdr>
        </w:div>
        <w:div w:id="1625578625">
          <w:marLeft w:val="640"/>
          <w:marRight w:val="0"/>
          <w:marTop w:val="0"/>
          <w:marBottom w:val="0"/>
          <w:divBdr>
            <w:top w:val="none" w:sz="0" w:space="0" w:color="auto"/>
            <w:left w:val="none" w:sz="0" w:space="0" w:color="auto"/>
            <w:bottom w:val="none" w:sz="0" w:space="0" w:color="auto"/>
            <w:right w:val="none" w:sz="0" w:space="0" w:color="auto"/>
          </w:divBdr>
        </w:div>
        <w:div w:id="1098018666">
          <w:marLeft w:val="640"/>
          <w:marRight w:val="0"/>
          <w:marTop w:val="0"/>
          <w:marBottom w:val="0"/>
          <w:divBdr>
            <w:top w:val="none" w:sz="0" w:space="0" w:color="auto"/>
            <w:left w:val="none" w:sz="0" w:space="0" w:color="auto"/>
            <w:bottom w:val="none" w:sz="0" w:space="0" w:color="auto"/>
            <w:right w:val="none" w:sz="0" w:space="0" w:color="auto"/>
          </w:divBdr>
        </w:div>
        <w:div w:id="1320234020">
          <w:marLeft w:val="640"/>
          <w:marRight w:val="0"/>
          <w:marTop w:val="0"/>
          <w:marBottom w:val="0"/>
          <w:divBdr>
            <w:top w:val="none" w:sz="0" w:space="0" w:color="auto"/>
            <w:left w:val="none" w:sz="0" w:space="0" w:color="auto"/>
            <w:bottom w:val="none" w:sz="0" w:space="0" w:color="auto"/>
            <w:right w:val="none" w:sz="0" w:space="0" w:color="auto"/>
          </w:divBdr>
        </w:div>
        <w:div w:id="635724640">
          <w:marLeft w:val="640"/>
          <w:marRight w:val="0"/>
          <w:marTop w:val="0"/>
          <w:marBottom w:val="0"/>
          <w:divBdr>
            <w:top w:val="none" w:sz="0" w:space="0" w:color="auto"/>
            <w:left w:val="none" w:sz="0" w:space="0" w:color="auto"/>
            <w:bottom w:val="none" w:sz="0" w:space="0" w:color="auto"/>
            <w:right w:val="none" w:sz="0" w:space="0" w:color="auto"/>
          </w:divBdr>
        </w:div>
        <w:div w:id="2112581436">
          <w:marLeft w:val="640"/>
          <w:marRight w:val="0"/>
          <w:marTop w:val="0"/>
          <w:marBottom w:val="0"/>
          <w:divBdr>
            <w:top w:val="none" w:sz="0" w:space="0" w:color="auto"/>
            <w:left w:val="none" w:sz="0" w:space="0" w:color="auto"/>
            <w:bottom w:val="none" w:sz="0" w:space="0" w:color="auto"/>
            <w:right w:val="none" w:sz="0" w:space="0" w:color="auto"/>
          </w:divBdr>
        </w:div>
        <w:div w:id="1031414389">
          <w:marLeft w:val="640"/>
          <w:marRight w:val="0"/>
          <w:marTop w:val="0"/>
          <w:marBottom w:val="0"/>
          <w:divBdr>
            <w:top w:val="none" w:sz="0" w:space="0" w:color="auto"/>
            <w:left w:val="none" w:sz="0" w:space="0" w:color="auto"/>
            <w:bottom w:val="none" w:sz="0" w:space="0" w:color="auto"/>
            <w:right w:val="none" w:sz="0" w:space="0" w:color="auto"/>
          </w:divBdr>
        </w:div>
        <w:div w:id="1269505106">
          <w:marLeft w:val="640"/>
          <w:marRight w:val="0"/>
          <w:marTop w:val="0"/>
          <w:marBottom w:val="0"/>
          <w:divBdr>
            <w:top w:val="none" w:sz="0" w:space="0" w:color="auto"/>
            <w:left w:val="none" w:sz="0" w:space="0" w:color="auto"/>
            <w:bottom w:val="none" w:sz="0" w:space="0" w:color="auto"/>
            <w:right w:val="none" w:sz="0" w:space="0" w:color="auto"/>
          </w:divBdr>
        </w:div>
        <w:div w:id="1436243613">
          <w:marLeft w:val="640"/>
          <w:marRight w:val="0"/>
          <w:marTop w:val="0"/>
          <w:marBottom w:val="0"/>
          <w:divBdr>
            <w:top w:val="none" w:sz="0" w:space="0" w:color="auto"/>
            <w:left w:val="none" w:sz="0" w:space="0" w:color="auto"/>
            <w:bottom w:val="none" w:sz="0" w:space="0" w:color="auto"/>
            <w:right w:val="none" w:sz="0" w:space="0" w:color="auto"/>
          </w:divBdr>
        </w:div>
        <w:div w:id="1790050832">
          <w:marLeft w:val="640"/>
          <w:marRight w:val="0"/>
          <w:marTop w:val="0"/>
          <w:marBottom w:val="0"/>
          <w:divBdr>
            <w:top w:val="none" w:sz="0" w:space="0" w:color="auto"/>
            <w:left w:val="none" w:sz="0" w:space="0" w:color="auto"/>
            <w:bottom w:val="none" w:sz="0" w:space="0" w:color="auto"/>
            <w:right w:val="none" w:sz="0" w:space="0" w:color="auto"/>
          </w:divBdr>
        </w:div>
        <w:div w:id="2092071806">
          <w:marLeft w:val="640"/>
          <w:marRight w:val="0"/>
          <w:marTop w:val="0"/>
          <w:marBottom w:val="0"/>
          <w:divBdr>
            <w:top w:val="none" w:sz="0" w:space="0" w:color="auto"/>
            <w:left w:val="none" w:sz="0" w:space="0" w:color="auto"/>
            <w:bottom w:val="none" w:sz="0" w:space="0" w:color="auto"/>
            <w:right w:val="none" w:sz="0" w:space="0" w:color="auto"/>
          </w:divBdr>
        </w:div>
        <w:div w:id="68384836">
          <w:marLeft w:val="640"/>
          <w:marRight w:val="0"/>
          <w:marTop w:val="0"/>
          <w:marBottom w:val="0"/>
          <w:divBdr>
            <w:top w:val="none" w:sz="0" w:space="0" w:color="auto"/>
            <w:left w:val="none" w:sz="0" w:space="0" w:color="auto"/>
            <w:bottom w:val="none" w:sz="0" w:space="0" w:color="auto"/>
            <w:right w:val="none" w:sz="0" w:space="0" w:color="auto"/>
          </w:divBdr>
        </w:div>
        <w:div w:id="113183758">
          <w:marLeft w:val="640"/>
          <w:marRight w:val="0"/>
          <w:marTop w:val="0"/>
          <w:marBottom w:val="0"/>
          <w:divBdr>
            <w:top w:val="none" w:sz="0" w:space="0" w:color="auto"/>
            <w:left w:val="none" w:sz="0" w:space="0" w:color="auto"/>
            <w:bottom w:val="none" w:sz="0" w:space="0" w:color="auto"/>
            <w:right w:val="none" w:sz="0" w:space="0" w:color="auto"/>
          </w:divBdr>
        </w:div>
        <w:div w:id="326330046">
          <w:marLeft w:val="640"/>
          <w:marRight w:val="0"/>
          <w:marTop w:val="0"/>
          <w:marBottom w:val="0"/>
          <w:divBdr>
            <w:top w:val="none" w:sz="0" w:space="0" w:color="auto"/>
            <w:left w:val="none" w:sz="0" w:space="0" w:color="auto"/>
            <w:bottom w:val="none" w:sz="0" w:space="0" w:color="auto"/>
            <w:right w:val="none" w:sz="0" w:space="0" w:color="auto"/>
          </w:divBdr>
        </w:div>
        <w:div w:id="1089815210">
          <w:marLeft w:val="640"/>
          <w:marRight w:val="0"/>
          <w:marTop w:val="0"/>
          <w:marBottom w:val="0"/>
          <w:divBdr>
            <w:top w:val="none" w:sz="0" w:space="0" w:color="auto"/>
            <w:left w:val="none" w:sz="0" w:space="0" w:color="auto"/>
            <w:bottom w:val="none" w:sz="0" w:space="0" w:color="auto"/>
            <w:right w:val="none" w:sz="0" w:space="0" w:color="auto"/>
          </w:divBdr>
        </w:div>
        <w:div w:id="161089613">
          <w:marLeft w:val="640"/>
          <w:marRight w:val="0"/>
          <w:marTop w:val="0"/>
          <w:marBottom w:val="0"/>
          <w:divBdr>
            <w:top w:val="none" w:sz="0" w:space="0" w:color="auto"/>
            <w:left w:val="none" w:sz="0" w:space="0" w:color="auto"/>
            <w:bottom w:val="none" w:sz="0" w:space="0" w:color="auto"/>
            <w:right w:val="none" w:sz="0" w:space="0" w:color="auto"/>
          </w:divBdr>
        </w:div>
        <w:div w:id="1940332797">
          <w:marLeft w:val="640"/>
          <w:marRight w:val="0"/>
          <w:marTop w:val="0"/>
          <w:marBottom w:val="0"/>
          <w:divBdr>
            <w:top w:val="none" w:sz="0" w:space="0" w:color="auto"/>
            <w:left w:val="none" w:sz="0" w:space="0" w:color="auto"/>
            <w:bottom w:val="none" w:sz="0" w:space="0" w:color="auto"/>
            <w:right w:val="none" w:sz="0" w:space="0" w:color="auto"/>
          </w:divBdr>
        </w:div>
        <w:div w:id="1294604286">
          <w:marLeft w:val="640"/>
          <w:marRight w:val="0"/>
          <w:marTop w:val="0"/>
          <w:marBottom w:val="0"/>
          <w:divBdr>
            <w:top w:val="none" w:sz="0" w:space="0" w:color="auto"/>
            <w:left w:val="none" w:sz="0" w:space="0" w:color="auto"/>
            <w:bottom w:val="none" w:sz="0" w:space="0" w:color="auto"/>
            <w:right w:val="none" w:sz="0" w:space="0" w:color="auto"/>
          </w:divBdr>
        </w:div>
        <w:div w:id="1221793821">
          <w:marLeft w:val="640"/>
          <w:marRight w:val="0"/>
          <w:marTop w:val="0"/>
          <w:marBottom w:val="0"/>
          <w:divBdr>
            <w:top w:val="none" w:sz="0" w:space="0" w:color="auto"/>
            <w:left w:val="none" w:sz="0" w:space="0" w:color="auto"/>
            <w:bottom w:val="none" w:sz="0" w:space="0" w:color="auto"/>
            <w:right w:val="none" w:sz="0" w:space="0" w:color="auto"/>
          </w:divBdr>
        </w:div>
        <w:div w:id="172380548">
          <w:marLeft w:val="640"/>
          <w:marRight w:val="0"/>
          <w:marTop w:val="0"/>
          <w:marBottom w:val="0"/>
          <w:divBdr>
            <w:top w:val="none" w:sz="0" w:space="0" w:color="auto"/>
            <w:left w:val="none" w:sz="0" w:space="0" w:color="auto"/>
            <w:bottom w:val="none" w:sz="0" w:space="0" w:color="auto"/>
            <w:right w:val="none" w:sz="0" w:space="0" w:color="auto"/>
          </w:divBdr>
        </w:div>
        <w:div w:id="646319232">
          <w:marLeft w:val="640"/>
          <w:marRight w:val="0"/>
          <w:marTop w:val="0"/>
          <w:marBottom w:val="0"/>
          <w:divBdr>
            <w:top w:val="none" w:sz="0" w:space="0" w:color="auto"/>
            <w:left w:val="none" w:sz="0" w:space="0" w:color="auto"/>
            <w:bottom w:val="none" w:sz="0" w:space="0" w:color="auto"/>
            <w:right w:val="none" w:sz="0" w:space="0" w:color="auto"/>
          </w:divBdr>
        </w:div>
        <w:div w:id="1161387060">
          <w:marLeft w:val="640"/>
          <w:marRight w:val="0"/>
          <w:marTop w:val="0"/>
          <w:marBottom w:val="0"/>
          <w:divBdr>
            <w:top w:val="none" w:sz="0" w:space="0" w:color="auto"/>
            <w:left w:val="none" w:sz="0" w:space="0" w:color="auto"/>
            <w:bottom w:val="none" w:sz="0" w:space="0" w:color="auto"/>
            <w:right w:val="none" w:sz="0" w:space="0" w:color="auto"/>
          </w:divBdr>
        </w:div>
        <w:div w:id="347290797">
          <w:marLeft w:val="640"/>
          <w:marRight w:val="0"/>
          <w:marTop w:val="0"/>
          <w:marBottom w:val="0"/>
          <w:divBdr>
            <w:top w:val="none" w:sz="0" w:space="0" w:color="auto"/>
            <w:left w:val="none" w:sz="0" w:space="0" w:color="auto"/>
            <w:bottom w:val="none" w:sz="0" w:space="0" w:color="auto"/>
            <w:right w:val="none" w:sz="0" w:space="0" w:color="auto"/>
          </w:divBdr>
        </w:div>
        <w:div w:id="1313944724">
          <w:marLeft w:val="640"/>
          <w:marRight w:val="0"/>
          <w:marTop w:val="0"/>
          <w:marBottom w:val="0"/>
          <w:divBdr>
            <w:top w:val="none" w:sz="0" w:space="0" w:color="auto"/>
            <w:left w:val="none" w:sz="0" w:space="0" w:color="auto"/>
            <w:bottom w:val="none" w:sz="0" w:space="0" w:color="auto"/>
            <w:right w:val="none" w:sz="0" w:space="0" w:color="auto"/>
          </w:divBdr>
        </w:div>
        <w:div w:id="1061294201">
          <w:marLeft w:val="640"/>
          <w:marRight w:val="0"/>
          <w:marTop w:val="0"/>
          <w:marBottom w:val="0"/>
          <w:divBdr>
            <w:top w:val="none" w:sz="0" w:space="0" w:color="auto"/>
            <w:left w:val="none" w:sz="0" w:space="0" w:color="auto"/>
            <w:bottom w:val="none" w:sz="0" w:space="0" w:color="auto"/>
            <w:right w:val="none" w:sz="0" w:space="0" w:color="auto"/>
          </w:divBdr>
        </w:div>
        <w:div w:id="1520705596">
          <w:marLeft w:val="640"/>
          <w:marRight w:val="0"/>
          <w:marTop w:val="0"/>
          <w:marBottom w:val="0"/>
          <w:divBdr>
            <w:top w:val="none" w:sz="0" w:space="0" w:color="auto"/>
            <w:left w:val="none" w:sz="0" w:space="0" w:color="auto"/>
            <w:bottom w:val="none" w:sz="0" w:space="0" w:color="auto"/>
            <w:right w:val="none" w:sz="0" w:space="0" w:color="auto"/>
          </w:divBdr>
        </w:div>
        <w:div w:id="1546214726">
          <w:marLeft w:val="640"/>
          <w:marRight w:val="0"/>
          <w:marTop w:val="0"/>
          <w:marBottom w:val="0"/>
          <w:divBdr>
            <w:top w:val="none" w:sz="0" w:space="0" w:color="auto"/>
            <w:left w:val="none" w:sz="0" w:space="0" w:color="auto"/>
            <w:bottom w:val="none" w:sz="0" w:space="0" w:color="auto"/>
            <w:right w:val="none" w:sz="0" w:space="0" w:color="auto"/>
          </w:divBdr>
        </w:div>
        <w:div w:id="833035081">
          <w:marLeft w:val="640"/>
          <w:marRight w:val="0"/>
          <w:marTop w:val="0"/>
          <w:marBottom w:val="0"/>
          <w:divBdr>
            <w:top w:val="none" w:sz="0" w:space="0" w:color="auto"/>
            <w:left w:val="none" w:sz="0" w:space="0" w:color="auto"/>
            <w:bottom w:val="none" w:sz="0" w:space="0" w:color="auto"/>
            <w:right w:val="none" w:sz="0" w:space="0" w:color="auto"/>
          </w:divBdr>
        </w:div>
        <w:div w:id="1423986386">
          <w:marLeft w:val="640"/>
          <w:marRight w:val="0"/>
          <w:marTop w:val="0"/>
          <w:marBottom w:val="0"/>
          <w:divBdr>
            <w:top w:val="none" w:sz="0" w:space="0" w:color="auto"/>
            <w:left w:val="none" w:sz="0" w:space="0" w:color="auto"/>
            <w:bottom w:val="none" w:sz="0" w:space="0" w:color="auto"/>
            <w:right w:val="none" w:sz="0" w:space="0" w:color="auto"/>
          </w:divBdr>
        </w:div>
        <w:div w:id="481779122">
          <w:marLeft w:val="640"/>
          <w:marRight w:val="0"/>
          <w:marTop w:val="0"/>
          <w:marBottom w:val="0"/>
          <w:divBdr>
            <w:top w:val="none" w:sz="0" w:space="0" w:color="auto"/>
            <w:left w:val="none" w:sz="0" w:space="0" w:color="auto"/>
            <w:bottom w:val="none" w:sz="0" w:space="0" w:color="auto"/>
            <w:right w:val="none" w:sz="0" w:space="0" w:color="auto"/>
          </w:divBdr>
        </w:div>
        <w:div w:id="1305702484">
          <w:marLeft w:val="640"/>
          <w:marRight w:val="0"/>
          <w:marTop w:val="0"/>
          <w:marBottom w:val="0"/>
          <w:divBdr>
            <w:top w:val="none" w:sz="0" w:space="0" w:color="auto"/>
            <w:left w:val="none" w:sz="0" w:space="0" w:color="auto"/>
            <w:bottom w:val="none" w:sz="0" w:space="0" w:color="auto"/>
            <w:right w:val="none" w:sz="0" w:space="0" w:color="auto"/>
          </w:divBdr>
        </w:div>
        <w:div w:id="1527019562">
          <w:marLeft w:val="640"/>
          <w:marRight w:val="0"/>
          <w:marTop w:val="0"/>
          <w:marBottom w:val="0"/>
          <w:divBdr>
            <w:top w:val="none" w:sz="0" w:space="0" w:color="auto"/>
            <w:left w:val="none" w:sz="0" w:space="0" w:color="auto"/>
            <w:bottom w:val="none" w:sz="0" w:space="0" w:color="auto"/>
            <w:right w:val="none" w:sz="0" w:space="0" w:color="auto"/>
          </w:divBdr>
        </w:div>
        <w:div w:id="676080410">
          <w:marLeft w:val="640"/>
          <w:marRight w:val="0"/>
          <w:marTop w:val="0"/>
          <w:marBottom w:val="0"/>
          <w:divBdr>
            <w:top w:val="none" w:sz="0" w:space="0" w:color="auto"/>
            <w:left w:val="none" w:sz="0" w:space="0" w:color="auto"/>
            <w:bottom w:val="none" w:sz="0" w:space="0" w:color="auto"/>
            <w:right w:val="none" w:sz="0" w:space="0" w:color="auto"/>
          </w:divBdr>
        </w:div>
        <w:div w:id="697894131">
          <w:marLeft w:val="640"/>
          <w:marRight w:val="0"/>
          <w:marTop w:val="0"/>
          <w:marBottom w:val="0"/>
          <w:divBdr>
            <w:top w:val="none" w:sz="0" w:space="0" w:color="auto"/>
            <w:left w:val="none" w:sz="0" w:space="0" w:color="auto"/>
            <w:bottom w:val="none" w:sz="0" w:space="0" w:color="auto"/>
            <w:right w:val="none" w:sz="0" w:space="0" w:color="auto"/>
          </w:divBdr>
        </w:div>
        <w:div w:id="1232347112">
          <w:marLeft w:val="640"/>
          <w:marRight w:val="0"/>
          <w:marTop w:val="0"/>
          <w:marBottom w:val="0"/>
          <w:divBdr>
            <w:top w:val="none" w:sz="0" w:space="0" w:color="auto"/>
            <w:left w:val="none" w:sz="0" w:space="0" w:color="auto"/>
            <w:bottom w:val="none" w:sz="0" w:space="0" w:color="auto"/>
            <w:right w:val="none" w:sz="0" w:space="0" w:color="auto"/>
          </w:divBdr>
        </w:div>
        <w:div w:id="936794858">
          <w:marLeft w:val="640"/>
          <w:marRight w:val="0"/>
          <w:marTop w:val="0"/>
          <w:marBottom w:val="0"/>
          <w:divBdr>
            <w:top w:val="none" w:sz="0" w:space="0" w:color="auto"/>
            <w:left w:val="none" w:sz="0" w:space="0" w:color="auto"/>
            <w:bottom w:val="none" w:sz="0" w:space="0" w:color="auto"/>
            <w:right w:val="none" w:sz="0" w:space="0" w:color="auto"/>
          </w:divBdr>
        </w:div>
        <w:div w:id="1795128285">
          <w:marLeft w:val="640"/>
          <w:marRight w:val="0"/>
          <w:marTop w:val="0"/>
          <w:marBottom w:val="0"/>
          <w:divBdr>
            <w:top w:val="none" w:sz="0" w:space="0" w:color="auto"/>
            <w:left w:val="none" w:sz="0" w:space="0" w:color="auto"/>
            <w:bottom w:val="none" w:sz="0" w:space="0" w:color="auto"/>
            <w:right w:val="none" w:sz="0" w:space="0" w:color="auto"/>
          </w:divBdr>
        </w:div>
        <w:div w:id="1125395280">
          <w:marLeft w:val="640"/>
          <w:marRight w:val="0"/>
          <w:marTop w:val="0"/>
          <w:marBottom w:val="0"/>
          <w:divBdr>
            <w:top w:val="none" w:sz="0" w:space="0" w:color="auto"/>
            <w:left w:val="none" w:sz="0" w:space="0" w:color="auto"/>
            <w:bottom w:val="none" w:sz="0" w:space="0" w:color="auto"/>
            <w:right w:val="none" w:sz="0" w:space="0" w:color="auto"/>
          </w:divBdr>
        </w:div>
        <w:div w:id="430589049">
          <w:marLeft w:val="640"/>
          <w:marRight w:val="0"/>
          <w:marTop w:val="0"/>
          <w:marBottom w:val="0"/>
          <w:divBdr>
            <w:top w:val="none" w:sz="0" w:space="0" w:color="auto"/>
            <w:left w:val="none" w:sz="0" w:space="0" w:color="auto"/>
            <w:bottom w:val="none" w:sz="0" w:space="0" w:color="auto"/>
            <w:right w:val="none" w:sz="0" w:space="0" w:color="auto"/>
          </w:divBdr>
        </w:div>
        <w:div w:id="310448981">
          <w:marLeft w:val="640"/>
          <w:marRight w:val="0"/>
          <w:marTop w:val="0"/>
          <w:marBottom w:val="0"/>
          <w:divBdr>
            <w:top w:val="none" w:sz="0" w:space="0" w:color="auto"/>
            <w:left w:val="none" w:sz="0" w:space="0" w:color="auto"/>
            <w:bottom w:val="none" w:sz="0" w:space="0" w:color="auto"/>
            <w:right w:val="none" w:sz="0" w:space="0" w:color="auto"/>
          </w:divBdr>
        </w:div>
        <w:div w:id="1325429335">
          <w:marLeft w:val="640"/>
          <w:marRight w:val="0"/>
          <w:marTop w:val="0"/>
          <w:marBottom w:val="0"/>
          <w:divBdr>
            <w:top w:val="none" w:sz="0" w:space="0" w:color="auto"/>
            <w:left w:val="none" w:sz="0" w:space="0" w:color="auto"/>
            <w:bottom w:val="none" w:sz="0" w:space="0" w:color="auto"/>
            <w:right w:val="none" w:sz="0" w:space="0" w:color="auto"/>
          </w:divBdr>
        </w:div>
        <w:div w:id="144592474">
          <w:marLeft w:val="640"/>
          <w:marRight w:val="0"/>
          <w:marTop w:val="0"/>
          <w:marBottom w:val="0"/>
          <w:divBdr>
            <w:top w:val="none" w:sz="0" w:space="0" w:color="auto"/>
            <w:left w:val="none" w:sz="0" w:space="0" w:color="auto"/>
            <w:bottom w:val="none" w:sz="0" w:space="0" w:color="auto"/>
            <w:right w:val="none" w:sz="0" w:space="0" w:color="auto"/>
          </w:divBdr>
        </w:div>
        <w:div w:id="355888520">
          <w:marLeft w:val="640"/>
          <w:marRight w:val="0"/>
          <w:marTop w:val="0"/>
          <w:marBottom w:val="0"/>
          <w:divBdr>
            <w:top w:val="none" w:sz="0" w:space="0" w:color="auto"/>
            <w:left w:val="none" w:sz="0" w:space="0" w:color="auto"/>
            <w:bottom w:val="none" w:sz="0" w:space="0" w:color="auto"/>
            <w:right w:val="none" w:sz="0" w:space="0" w:color="auto"/>
          </w:divBdr>
        </w:div>
        <w:div w:id="1167016962">
          <w:marLeft w:val="640"/>
          <w:marRight w:val="0"/>
          <w:marTop w:val="0"/>
          <w:marBottom w:val="0"/>
          <w:divBdr>
            <w:top w:val="none" w:sz="0" w:space="0" w:color="auto"/>
            <w:left w:val="none" w:sz="0" w:space="0" w:color="auto"/>
            <w:bottom w:val="none" w:sz="0" w:space="0" w:color="auto"/>
            <w:right w:val="none" w:sz="0" w:space="0" w:color="auto"/>
          </w:divBdr>
        </w:div>
        <w:div w:id="726608761">
          <w:marLeft w:val="640"/>
          <w:marRight w:val="0"/>
          <w:marTop w:val="0"/>
          <w:marBottom w:val="0"/>
          <w:divBdr>
            <w:top w:val="none" w:sz="0" w:space="0" w:color="auto"/>
            <w:left w:val="none" w:sz="0" w:space="0" w:color="auto"/>
            <w:bottom w:val="none" w:sz="0" w:space="0" w:color="auto"/>
            <w:right w:val="none" w:sz="0" w:space="0" w:color="auto"/>
          </w:divBdr>
        </w:div>
        <w:div w:id="1095250306">
          <w:marLeft w:val="640"/>
          <w:marRight w:val="0"/>
          <w:marTop w:val="0"/>
          <w:marBottom w:val="0"/>
          <w:divBdr>
            <w:top w:val="none" w:sz="0" w:space="0" w:color="auto"/>
            <w:left w:val="none" w:sz="0" w:space="0" w:color="auto"/>
            <w:bottom w:val="none" w:sz="0" w:space="0" w:color="auto"/>
            <w:right w:val="none" w:sz="0" w:space="0" w:color="auto"/>
          </w:divBdr>
        </w:div>
        <w:div w:id="83232865">
          <w:marLeft w:val="640"/>
          <w:marRight w:val="0"/>
          <w:marTop w:val="0"/>
          <w:marBottom w:val="0"/>
          <w:divBdr>
            <w:top w:val="none" w:sz="0" w:space="0" w:color="auto"/>
            <w:left w:val="none" w:sz="0" w:space="0" w:color="auto"/>
            <w:bottom w:val="none" w:sz="0" w:space="0" w:color="auto"/>
            <w:right w:val="none" w:sz="0" w:space="0" w:color="auto"/>
          </w:divBdr>
        </w:div>
        <w:div w:id="1815755223">
          <w:marLeft w:val="640"/>
          <w:marRight w:val="0"/>
          <w:marTop w:val="0"/>
          <w:marBottom w:val="0"/>
          <w:divBdr>
            <w:top w:val="none" w:sz="0" w:space="0" w:color="auto"/>
            <w:left w:val="none" w:sz="0" w:space="0" w:color="auto"/>
            <w:bottom w:val="none" w:sz="0" w:space="0" w:color="auto"/>
            <w:right w:val="none" w:sz="0" w:space="0" w:color="auto"/>
          </w:divBdr>
        </w:div>
        <w:div w:id="149634945">
          <w:marLeft w:val="640"/>
          <w:marRight w:val="0"/>
          <w:marTop w:val="0"/>
          <w:marBottom w:val="0"/>
          <w:divBdr>
            <w:top w:val="none" w:sz="0" w:space="0" w:color="auto"/>
            <w:left w:val="none" w:sz="0" w:space="0" w:color="auto"/>
            <w:bottom w:val="none" w:sz="0" w:space="0" w:color="auto"/>
            <w:right w:val="none" w:sz="0" w:space="0" w:color="auto"/>
          </w:divBdr>
        </w:div>
        <w:div w:id="1353722209">
          <w:marLeft w:val="640"/>
          <w:marRight w:val="0"/>
          <w:marTop w:val="0"/>
          <w:marBottom w:val="0"/>
          <w:divBdr>
            <w:top w:val="none" w:sz="0" w:space="0" w:color="auto"/>
            <w:left w:val="none" w:sz="0" w:space="0" w:color="auto"/>
            <w:bottom w:val="none" w:sz="0" w:space="0" w:color="auto"/>
            <w:right w:val="none" w:sz="0" w:space="0" w:color="auto"/>
          </w:divBdr>
        </w:div>
        <w:div w:id="460417663">
          <w:marLeft w:val="640"/>
          <w:marRight w:val="0"/>
          <w:marTop w:val="0"/>
          <w:marBottom w:val="0"/>
          <w:divBdr>
            <w:top w:val="none" w:sz="0" w:space="0" w:color="auto"/>
            <w:left w:val="none" w:sz="0" w:space="0" w:color="auto"/>
            <w:bottom w:val="none" w:sz="0" w:space="0" w:color="auto"/>
            <w:right w:val="none" w:sz="0" w:space="0" w:color="auto"/>
          </w:divBdr>
        </w:div>
        <w:div w:id="1244990265">
          <w:marLeft w:val="640"/>
          <w:marRight w:val="0"/>
          <w:marTop w:val="0"/>
          <w:marBottom w:val="0"/>
          <w:divBdr>
            <w:top w:val="none" w:sz="0" w:space="0" w:color="auto"/>
            <w:left w:val="none" w:sz="0" w:space="0" w:color="auto"/>
            <w:bottom w:val="none" w:sz="0" w:space="0" w:color="auto"/>
            <w:right w:val="none" w:sz="0" w:space="0" w:color="auto"/>
          </w:divBdr>
        </w:div>
        <w:div w:id="145056761">
          <w:marLeft w:val="640"/>
          <w:marRight w:val="0"/>
          <w:marTop w:val="0"/>
          <w:marBottom w:val="0"/>
          <w:divBdr>
            <w:top w:val="none" w:sz="0" w:space="0" w:color="auto"/>
            <w:left w:val="none" w:sz="0" w:space="0" w:color="auto"/>
            <w:bottom w:val="none" w:sz="0" w:space="0" w:color="auto"/>
            <w:right w:val="none" w:sz="0" w:space="0" w:color="auto"/>
          </w:divBdr>
        </w:div>
        <w:div w:id="1712533858">
          <w:marLeft w:val="640"/>
          <w:marRight w:val="0"/>
          <w:marTop w:val="0"/>
          <w:marBottom w:val="0"/>
          <w:divBdr>
            <w:top w:val="none" w:sz="0" w:space="0" w:color="auto"/>
            <w:left w:val="none" w:sz="0" w:space="0" w:color="auto"/>
            <w:bottom w:val="none" w:sz="0" w:space="0" w:color="auto"/>
            <w:right w:val="none" w:sz="0" w:space="0" w:color="auto"/>
          </w:divBdr>
        </w:div>
        <w:div w:id="2022076415">
          <w:marLeft w:val="640"/>
          <w:marRight w:val="0"/>
          <w:marTop w:val="0"/>
          <w:marBottom w:val="0"/>
          <w:divBdr>
            <w:top w:val="none" w:sz="0" w:space="0" w:color="auto"/>
            <w:left w:val="none" w:sz="0" w:space="0" w:color="auto"/>
            <w:bottom w:val="none" w:sz="0" w:space="0" w:color="auto"/>
            <w:right w:val="none" w:sz="0" w:space="0" w:color="auto"/>
          </w:divBdr>
        </w:div>
        <w:div w:id="978268670">
          <w:marLeft w:val="640"/>
          <w:marRight w:val="0"/>
          <w:marTop w:val="0"/>
          <w:marBottom w:val="0"/>
          <w:divBdr>
            <w:top w:val="none" w:sz="0" w:space="0" w:color="auto"/>
            <w:left w:val="none" w:sz="0" w:space="0" w:color="auto"/>
            <w:bottom w:val="none" w:sz="0" w:space="0" w:color="auto"/>
            <w:right w:val="none" w:sz="0" w:space="0" w:color="auto"/>
          </w:divBdr>
        </w:div>
        <w:div w:id="2087069331">
          <w:marLeft w:val="640"/>
          <w:marRight w:val="0"/>
          <w:marTop w:val="0"/>
          <w:marBottom w:val="0"/>
          <w:divBdr>
            <w:top w:val="none" w:sz="0" w:space="0" w:color="auto"/>
            <w:left w:val="none" w:sz="0" w:space="0" w:color="auto"/>
            <w:bottom w:val="none" w:sz="0" w:space="0" w:color="auto"/>
            <w:right w:val="none" w:sz="0" w:space="0" w:color="auto"/>
          </w:divBdr>
        </w:div>
        <w:div w:id="148330469">
          <w:marLeft w:val="640"/>
          <w:marRight w:val="0"/>
          <w:marTop w:val="0"/>
          <w:marBottom w:val="0"/>
          <w:divBdr>
            <w:top w:val="none" w:sz="0" w:space="0" w:color="auto"/>
            <w:left w:val="none" w:sz="0" w:space="0" w:color="auto"/>
            <w:bottom w:val="none" w:sz="0" w:space="0" w:color="auto"/>
            <w:right w:val="none" w:sz="0" w:space="0" w:color="auto"/>
          </w:divBdr>
        </w:div>
        <w:div w:id="1984769649">
          <w:marLeft w:val="640"/>
          <w:marRight w:val="0"/>
          <w:marTop w:val="0"/>
          <w:marBottom w:val="0"/>
          <w:divBdr>
            <w:top w:val="none" w:sz="0" w:space="0" w:color="auto"/>
            <w:left w:val="none" w:sz="0" w:space="0" w:color="auto"/>
            <w:bottom w:val="none" w:sz="0" w:space="0" w:color="auto"/>
            <w:right w:val="none" w:sz="0" w:space="0" w:color="auto"/>
          </w:divBdr>
        </w:div>
        <w:div w:id="342972849">
          <w:marLeft w:val="640"/>
          <w:marRight w:val="0"/>
          <w:marTop w:val="0"/>
          <w:marBottom w:val="0"/>
          <w:divBdr>
            <w:top w:val="none" w:sz="0" w:space="0" w:color="auto"/>
            <w:left w:val="none" w:sz="0" w:space="0" w:color="auto"/>
            <w:bottom w:val="none" w:sz="0" w:space="0" w:color="auto"/>
            <w:right w:val="none" w:sz="0" w:space="0" w:color="auto"/>
          </w:divBdr>
        </w:div>
        <w:div w:id="802696547">
          <w:marLeft w:val="640"/>
          <w:marRight w:val="0"/>
          <w:marTop w:val="0"/>
          <w:marBottom w:val="0"/>
          <w:divBdr>
            <w:top w:val="none" w:sz="0" w:space="0" w:color="auto"/>
            <w:left w:val="none" w:sz="0" w:space="0" w:color="auto"/>
            <w:bottom w:val="none" w:sz="0" w:space="0" w:color="auto"/>
            <w:right w:val="none" w:sz="0" w:space="0" w:color="auto"/>
          </w:divBdr>
        </w:div>
        <w:div w:id="1410276561">
          <w:marLeft w:val="640"/>
          <w:marRight w:val="0"/>
          <w:marTop w:val="0"/>
          <w:marBottom w:val="0"/>
          <w:divBdr>
            <w:top w:val="none" w:sz="0" w:space="0" w:color="auto"/>
            <w:left w:val="none" w:sz="0" w:space="0" w:color="auto"/>
            <w:bottom w:val="none" w:sz="0" w:space="0" w:color="auto"/>
            <w:right w:val="none" w:sz="0" w:space="0" w:color="auto"/>
          </w:divBdr>
        </w:div>
        <w:div w:id="60755222">
          <w:marLeft w:val="640"/>
          <w:marRight w:val="0"/>
          <w:marTop w:val="0"/>
          <w:marBottom w:val="0"/>
          <w:divBdr>
            <w:top w:val="none" w:sz="0" w:space="0" w:color="auto"/>
            <w:left w:val="none" w:sz="0" w:space="0" w:color="auto"/>
            <w:bottom w:val="none" w:sz="0" w:space="0" w:color="auto"/>
            <w:right w:val="none" w:sz="0" w:space="0" w:color="auto"/>
          </w:divBdr>
        </w:div>
        <w:div w:id="426391744">
          <w:marLeft w:val="640"/>
          <w:marRight w:val="0"/>
          <w:marTop w:val="0"/>
          <w:marBottom w:val="0"/>
          <w:divBdr>
            <w:top w:val="none" w:sz="0" w:space="0" w:color="auto"/>
            <w:left w:val="none" w:sz="0" w:space="0" w:color="auto"/>
            <w:bottom w:val="none" w:sz="0" w:space="0" w:color="auto"/>
            <w:right w:val="none" w:sz="0" w:space="0" w:color="auto"/>
          </w:divBdr>
        </w:div>
        <w:div w:id="1495099984">
          <w:marLeft w:val="640"/>
          <w:marRight w:val="0"/>
          <w:marTop w:val="0"/>
          <w:marBottom w:val="0"/>
          <w:divBdr>
            <w:top w:val="none" w:sz="0" w:space="0" w:color="auto"/>
            <w:left w:val="none" w:sz="0" w:space="0" w:color="auto"/>
            <w:bottom w:val="none" w:sz="0" w:space="0" w:color="auto"/>
            <w:right w:val="none" w:sz="0" w:space="0" w:color="auto"/>
          </w:divBdr>
        </w:div>
        <w:div w:id="1485314108">
          <w:marLeft w:val="640"/>
          <w:marRight w:val="0"/>
          <w:marTop w:val="0"/>
          <w:marBottom w:val="0"/>
          <w:divBdr>
            <w:top w:val="none" w:sz="0" w:space="0" w:color="auto"/>
            <w:left w:val="none" w:sz="0" w:space="0" w:color="auto"/>
            <w:bottom w:val="none" w:sz="0" w:space="0" w:color="auto"/>
            <w:right w:val="none" w:sz="0" w:space="0" w:color="auto"/>
          </w:divBdr>
        </w:div>
        <w:div w:id="785197988">
          <w:marLeft w:val="640"/>
          <w:marRight w:val="0"/>
          <w:marTop w:val="0"/>
          <w:marBottom w:val="0"/>
          <w:divBdr>
            <w:top w:val="none" w:sz="0" w:space="0" w:color="auto"/>
            <w:left w:val="none" w:sz="0" w:space="0" w:color="auto"/>
            <w:bottom w:val="none" w:sz="0" w:space="0" w:color="auto"/>
            <w:right w:val="none" w:sz="0" w:space="0" w:color="auto"/>
          </w:divBdr>
        </w:div>
        <w:div w:id="840700207">
          <w:marLeft w:val="640"/>
          <w:marRight w:val="0"/>
          <w:marTop w:val="0"/>
          <w:marBottom w:val="0"/>
          <w:divBdr>
            <w:top w:val="none" w:sz="0" w:space="0" w:color="auto"/>
            <w:left w:val="none" w:sz="0" w:space="0" w:color="auto"/>
            <w:bottom w:val="none" w:sz="0" w:space="0" w:color="auto"/>
            <w:right w:val="none" w:sz="0" w:space="0" w:color="auto"/>
          </w:divBdr>
        </w:div>
        <w:div w:id="70393315">
          <w:marLeft w:val="640"/>
          <w:marRight w:val="0"/>
          <w:marTop w:val="0"/>
          <w:marBottom w:val="0"/>
          <w:divBdr>
            <w:top w:val="none" w:sz="0" w:space="0" w:color="auto"/>
            <w:left w:val="none" w:sz="0" w:space="0" w:color="auto"/>
            <w:bottom w:val="none" w:sz="0" w:space="0" w:color="auto"/>
            <w:right w:val="none" w:sz="0" w:space="0" w:color="auto"/>
          </w:divBdr>
        </w:div>
        <w:div w:id="405539636">
          <w:marLeft w:val="640"/>
          <w:marRight w:val="0"/>
          <w:marTop w:val="0"/>
          <w:marBottom w:val="0"/>
          <w:divBdr>
            <w:top w:val="none" w:sz="0" w:space="0" w:color="auto"/>
            <w:left w:val="none" w:sz="0" w:space="0" w:color="auto"/>
            <w:bottom w:val="none" w:sz="0" w:space="0" w:color="auto"/>
            <w:right w:val="none" w:sz="0" w:space="0" w:color="auto"/>
          </w:divBdr>
        </w:div>
        <w:div w:id="1919057094">
          <w:marLeft w:val="640"/>
          <w:marRight w:val="0"/>
          <w:marTop w:val="0"/>
          <w:marBottom w:val="0"/>
          <w:divBdr>
            <w:top w:val="none" w:sz="0" w:space="0" w:color="auto"/>
            <w:left w:val="none" w:sz="0" w:space="0" w:color="auto"/>
            <w:bottom w:val="none" w:sz="0" w:space="0" w:color="auto"/>
            <w:right w:val="none" w:sz="0" w:space="0" w:color="auto"/>
          </w:divBdr>
        </w:div>
        <w:div w:id="1909607220">
          <w:marLeft w:val="640"/>
          <w:marRight w:val="0"/>
          <w:marTop w:val="0"/>
          <w:marBottom w:val="0"/>
          <w:divBdr>
            <w:top w:val="none" w:sz="0" w:space="0" w:color="auto"/>
            <w:left w:val="none" w:sz="0" w:space="0" w:color="auto"/>
            <w:bottom w:val="none" w:sz="0" w:space="0" w:color="auto"/>
            <w:right w:val="none" w:sz="0" w:space="0" w:color="auto"/>
          </w:divBdr>
        </w:div>
        <w:div w:id="1148475017">
          <w:marLeft w:val="640"/>
          <w:marRight w:val="0"/>
          <w:marTop w:val="0"/>
          <w:marBottom w:val="0"/>
          <w:divBdr>
            <w:top w:val="none" w:sz="0" w:space="0" w:color="auto"/>
            <w:left w:val="none" w:sz="0" w:space="0" w:color="auto"/>
            <w:bottom w:val="none" w:sz="0" w:space="0" w:color="auto"/>
            <w:right w:val="none" w:sz="0" w:space="0" w:color="auto"/>
          </w:divBdr>
        </w:div>
        <w:div w:id="2056931276">
          <w:marLeft w:val="640"/>
          <w:marRight w:val="0"/>
          <w:marTop w:val="0"/>
          <w:marBottom w:val="0"/>
          <w:divBdr>
            <w:top w:val="none" w:sz="0" w:space="0" w:color="auto"/>
            <w:left w:val="none" w:sz="0" w:space="0" w:color="auto"/>
            <w:bottom w:val="none" w:sz="0" w:space="0" w:color="auto"/>
            <w:right w:val="none" w:sz="0" w:space="0" w:color="auto"/>
          </w:divBdr>
        </w:div>
        <w:div w:id="586033692">
          <w:marLeft w:val="640"/>
          <w:marRight w:val="0"/>
          <w:marTop w:val="0"/>
          <w:marBottom w:val="0"/>
          <w:divBdr>
            <w:top w:val="none" w:sz="0" w:space="0" w:color="auto"/>
            <w:left w:val="none" w:sz="0" w:space="0" w:color="auto"/>
            <w:bottom w:val="none" w:sz="0" w:space="0" w:color="auto"/>
            <w:right w:val="none" w:sz="0" w:space="0" w:color="auto"/>
          </w:divBdr>
        </w:div>
        <w:div w:id="1267731892">
          <w:marLeft w:val="640"/>
          <w:marRight w:val="0"/>
          <w:marTop w:val="0"/>
          <w:marBottom w:val="0"/>
          <w:divBdr>
            <w:top w:val="none" w:sz="0" w:space="0" w:color="auto"/>
            <w:left w:val="none" w:sz="0" w:space="0" w:color="auto"/>
            <w:bottom w:val="none" w:sz="0" w:space="0" w:color="auto"/>
            <w:right w:val="none" w:sz="0" w:space="0" w:color="auto"/>
          </w:divBdr>
        </w:div>
        <w:div w:id="1532913181">
          <w:marLeft w:val="640"/>
          <w:marRight w:val="0"/>
          <w:marTop w:val="0"/>
          <w:marBottom w:val="0"/>
          <w:divBdr>
            <w:top w:val="none" w:sz="0" w:space="0" w:color="auto"/>
            <w:left w:val="none" w:sz="0" w:space="0" w:color="auto"/>
            <w:bottom w:val="none" w:sz="0" w:space="0" w:color="auto"/>
            <w:right w:val="none" w:sz="0" w:space="0" w:color="auto"/>
          </w:divBdr>
        </w:div>
        <w:div w:id="357120944">
          <w:marLeft w:val="640"/>
          <w:marRight w:val="0"/>
          <w:marTop w:val="0"/>
          <w:marBottom w:val="0"/>
          <w:divBdr>
            <w:top w:val="none" w:sz="0" w:space="0" w:color="auto"/>
            <w:left w:val="none" w:sz="0" w:space="0" w:color="auto"/>
            <w:bottom w:val="none" w:sz="0" w:space="0" w:color="auto"/>
            <w:right w:val="none" w:sz="0" w:space="0" w:color="auto"/>
          </w:divBdr>
        </w:div>
        <w:div w:id="1946959069">
          <w:marLeft w:val="640"/>
          <w:marRight w:val="0"/>
          <w:marTop w:val="0"/>
          <w:marBottom w:val="0"/>
          <w:divBdr>
            <w:top w:val="none" w:sz="0" w:space="0" w:color="auto"/>
            <w:left w:val="none" w:sz="0" w:space="0" w:color="auto"/>
            <w:bottom w:val="none" w:sz="0" w:space="0" w:color="auto"/>
            <w:right w:val="none" w:sz="0" w:space="0" w:color="auto"/>
          </w:divBdr>
        </w:div>
        <w:div w:id="958686237">
          <w:marLeft w:val="640"/>
          <w:marRight w:val="0"/>
          <w:marTop w:val="0"/>
          <w:marBottom w:val="0"/>
          <w:divBdr>
            <w:top w:val="none" w:sz="0" w:space="0" w:color="auto"/>
            <w:left w:val="none" w:sz="0" w:space="0" w:color="auto"/>
            <w:bottom w:val="none" w:sz="0" w:space="0" w:color="auto"/>
            <w:right w:val="none" w:sz="0" w:space="0" w:color="auto"/>
          </w:divBdr>
        </w:div>
        <w:div w:id="1550922256">
          <w:marLeft w:val="640"/>
          <w:marRight w:val="0"/>
          <w:marTop w:val="0"/>
          <w:marBottom w:val="0"/>
          <w:divBdr>
            <w:top w:val="none" w:sz="0" w:space="0" w:color="auto"/>
            <w:left w:val="none" w:sz="0" w:space="0" w:color="auto"/>
            <w:bottom w:val="none" w:sz="0" w:space="0" w:color="auto"/>
            <w:right w:val="none" w:sz="0" w:space="0" w:color="auto"/>
          </w:divBdr>
        </w:div>
        <w:div w:id="1707674623">
          <w:marLeft w:val="640"/>
          <w:marRight w:val="0"/>
          <w:marTop w:val="0"/>
          <w:marBottom w:val="0"/>
          <w:divBdr>
            <w:top w:val="none" w:sz="0" w:space="0" w:color="auto"/>
            <w:left w:val="none" w:sz="0" w:space="0" w:color="auto"/>
            <w:bottom w:val="none" w:sz="0" w:space="0" w:color="auto"/>
            <w:right w:val="none" w:sz="0" w:space="0" w:color="auto"/>
          </w:divBdr>
        </w:div>
        <w:div w:id="1890535197">
          <w:marLeft w:val="640"/>
          <w:marRight w:val="0"/>
          <w:marTop w:val="0"/>
          <w:marBottom w:val="0"/>
          <w:divBdr>
            <w:top w:val="none" w:sz="0" w:space="0" w:color="auto"/>
            <w:left w:val="none" w:sz="0" w:space="0" w:color="auto"/>
            <w:bottom w:val="none" w:sz="0" w:space="0" w:color="auto"/>
            <w:right w:val="none" w:sz="0" w:space="0" w:color="auto"/>
          </w:divBdr>
        </w:div>
      </w:divsChild>
    </w:div>
    <w:div w:id="684671433">
      <w:bodyDiv w:val="1"/>
      <w:marLeft w:val="0"/>
      <w:marRight w:val="0"/>
      <w:marTop w:val="0"/>
      <w:marBottom w:val="0"/>
      <w:divBdr>
        <w:top w:val="none" w:sz="0" w:space="0" w:color="auto"/>
        <w:left w:val="none" w:sz="0" w:space="0" w:color="auto"/>
        <w:bottom w:val="none" w:sz="0" w:space="0" w:color="auto"/>
        <w:right w:val="none" w:sz="0" w:space="0" w:color="auto"/>
      </w:divBdr>
      <w:divsChild>
        <w:div w:id="295108895">
          <w:marLeft w:val="640"/>
          <w:marRight w:val="0"/>
          <w:marTop w:val="0"/>
          <w:marBottom w:val="0"/>
          <w:divBdr>
            <w:top w:val="none" w:sz="0" w:space="0" w:color="auto"/>
            <w:left w:val="none" w:sz="0" w:space="0" w:color="auto"/>
            <w:bottom w:val="none" w:sz="0" w:space="0" w:color="auto"/>
            <w:right w:val="none" w:sz="0" w:space="0" w:color="auto"/>
          </w:divBdr>
        </w:div>
        <w:div w:id="368843925">
          <w:marLeft w:val="640"/>
          <w:marRight w:val="0"/>
          <w:marTop w:val="0"/>
          <w:marBottom w:val="0"/>
          <w:divBdr>
            <w:top w:val="none" w:sz="0" w:space="0" w:color="auto"/>
            <w:left w:val="none" w:sz="0" w:space="0" w:color="auto"/>
            <w:bottom w:val="none" w:sz="0" w:space="0" w:color="auto"/>
            <w:right w:val="none" w:sz="0" w:space="0" w:color="auto"/>
          </w:divBdr>
        </w:div>
        <w:div w:id="294869811">
          <w:marLeft w:val="640"/>
          <w:marRight w:val="0"/>
          <w:marTop w:val="0"/>
          <w:marBottom w:val="0"/>
          <w:divBdr>
            <w:top w:val="none" w:sz="0" w:space="0" w:color="auto"/>
            <w:left w:val="none" w:sz="0" w:space="0" w:color="auto"/>
            <w:bottom w:val="none" w:sz="0" w:space="0" w:color="auto"/>
            <w:right w:val="none" w:sz="0" w:space="0" w:color="auto"/>
          </w:divBdr>
        </w:div>
        <w:div w:id="619992488">
          <w:marLeft w:val="640"/>
          <w:marRight w:val="0"/>
          <w:marTop w:val="0"/>
          <w:marBottom w:val="0"/>
          <w:divBdr>
            <w:top w:val="none" w:sz="0" w:space="0" w:color="auto"/>
            <w:left w:val="none" w:sz="0" w:space="0" w:color="auto"/>
            <w:bottom w:val="none" w:sz="0" w:space="0" w:color="auto"/>
            <w:right w:val="none" w:sz="0" w:space="0" w:color="auto"/>
          </w:divBdr>
        </w:div>
        <w:div w:id="1922983299">
          <w:marLeft w:val="640"/>
          <w:marRight w:val="0"/>
          <w:marTop w:val="0"/>
          <w:marBottom w:val="0"/>
          <w:divBdr>
            <w:top w:val="none" w:sz="0" w:space="0" w:color="auto"/>
            <w:left w:val="none" w:sz="0" w:space="0" w:color="auto"/>
            <w:bottom w:val="none" w:sz="0" w:space="0" w:color="auto"/>
            <w:right w:val="none" w:sz="0" w:space="0" w:color="auto"/>
          </w:divBdr>
        </w:div>
        <w:div w:id="1662539790">
          <w:marLeft w:val="640"/>
          <w:marRight w:val="0"/>
          <w:marTop w:val="0"/>
          <w:marBottom w:val="0"/>
          <w:divBdr>
            <w:top w:val="none" w:sz="0" w:space="0" w:color="auto"/>
            <w:left w:val="none" w:sz="0" w:space="0" w:color="auto"/>
            <w:bottom w:val="none" w:sz="0" w:space="0" w:color="auto"/>
            <w:right w:val="none" w:sz="0" w:space="0" w:color="auto"/>
          </w:divBdr>
        </w:div>
        <w:div w:id="1884099429">
          <w:marLeft w:val="640"/>
          <w:marRight w:val="0"/>
          <w:marTop w:val="0"/>
          <w:marBottom w:val="0"/>
          <w:divBdr>
            <w:top w:val="none" w:sz="0" w:space="0" w:color="auto"/>
            <w:left w:val="none" w:sz="0" w:space="0" w:color="auto"/>
            <w:bottom w:val="none" w:sz="0" w:space="0" w:color="auto"/>
            <w:right w:val="none" w:sz="0" w:space="0" w:color="auto"/>
          </w:divBdr>
        </w:div>
        <w:div w:id="191576929">
          <w:marLeft w:val="640"/>
          <w:marRight w:val="0"/>
          <w:marTop w:val="0"/>
          <w:marBottom w:val="0"/>
          <w:divBdr>
            <w:top w:val="none" w:sz="0" w:space="0" w:color="auto"/>
            <w:left w:val="none" w:sz="0" w:space="0" w:color="auto"/>
            <w:bottom w:val="none" w:sz="0" w:space="0" w:color="auto"/>
            <w:right w:val="none" w:sz="0" w:space="0" w:color="auto"/>
          </w:divBdr>
        </w:div>
        <w:div w:id="621573879">
          <w:marLeft w:val="640"/>
          <w:marRight w:val="0"/>
          <w:marTop w:val="0"/>
          <w:marBottom w:val="0"/>
          <w:divBdr>
            <w:top w:val="none" w:sz="0" w:space="0" w:color="auto"/>
            <w:left w:val="none" w:sz="0" w:space="0" w:color="auto"/>
            <w:bottom w:val="none" w:sz="0" w:space="0" w:color="auto"/>
            <w:right w:val="none" w:sz="0" w:space="0" w:color="auto"/>
          </w:divBdr>
        </w:div>
        <w:div w:id="235676157">
          <w:marLeft w:val="640"/>
          <w:marRight w:val="0"/>
          <w:marTop w:val="0"/>
          <w:marBottom w:val="0"/>
          <w:divBdr>
            <w:top w:val="none" w:sz="0" w:space="0" w:color="auto"/>
            <w:left w:val="none" w:sz="0" w:space="0" w:color="auto"/>
            <w:bottom w:val="none" w:sz="0" w:space="0" w:color="auto"/>
            <w:right w:val="none" w:sz="0" w:space="0" w:color="auto"/>
          </w:divBdr>
        </w:div>
        <w:div w:id="1941525211">
          <w:marLeft w:val="640"/>
          <w:marRight w:val="0"/>
          <w:marTop w:val="0"/>
          <w:marBottom w:val="0"/>
          <w:divBdr>
            <w:top w:val="none" w:sz="0" w:space="0" w:color="auto"/>
            <w:left w:val="none" w:sz="0" w:space="0" w:color="auto"/>
            <w:bottom w:val="none" w:sz="0" w:space="0" w:color="auto"/>
            <w:right w:val="none" w:sz="0" w:space="0" w:color="auto"/>
          </w:divBdr>
        </w:div>
        <w:div w:id="1408767626">
          <w:marLeft w:val="640"/>
          <w:marRight w:val="0"/>
          <w:marTop w:val="0"/>
          <w:marBottom w:val="0"/>
          <w:divBdr>
            <w:top w:val="none" w:sz="0" w:space="0" w:color="auto"/>
            <w:left w:val="none" w:sz="0" w:space="0" w:color="auto"/>
            <w:bottom w:val="none" w:sz="0" w:space="0" w:color="auto"/>
            <w:right w:val="none" w:sz="0" w:space="0" w:color="auto"/>
          </w:divBdr>
        </w:div>
      </w:divsChild>
    </w:div>
    <w:div w:id="701324865">
      <w:bodyDiv w:val="1"/>
      <w:marLeft w:val="0"/>
      <w:marRight w:val="0"/>
      <w:marTop w:val="0"/>
      <w:marBottom w:val="0"/>
      <w:divBdr>
        <w:top w:val="none" w:sz="0" w:space="0" w:color="auto"/>
        <w:left w:val="none" w:sz="0" w:space="0" w:color="auto"/>
        <w:bottom w:val="none" w:sz="0" w:space="0" w:color="auto"/>
        <w:right w:val="none" w:sz="0" w:space="0" w:color="auto"/>
      </w:divBdr>
      <w:divsChild>
        <w:div w:id="1984458645">
          <w:marLeft w:val="640"/>
          <w:marRight w:val="0"/>
          <w:marTop w:val="0"/>
          <w:marBottom w:val="0"/>
          <w:divBdr>
            <w:top w:val="none" w:sz="0" w:space="0" w:color="auto"/>
            <w:left w:val="none" w:sz="0" w:space="0" w:color="auto"/>
            <w:bottom w:val="none" w:sz="0" w:space="0" w:color="auto"/>
            <w:right w:val="none" w:sz="0" w:space="0" w:color="auto"/>
          </w:divBdr>
        </w:div>
        <w:div w:id="223806619">
          <w:marLeft w:val="640"/>
          <w:marRight w:val="0"/>
          <w:marTop w:val="0"/>
          <w:marBottom w:val="0"/>
          <w:divBdr>
            <w:top w:val="none" w:sz="0" w:space="0" w:color="auto"/>
            <w:left w:val="none" w:sz="0" w:space="0" w:color="auto"/>
            <w:bottom w:val="none" w:sz="0" w:space="0" w:color="auto"/>
            <w:right w:val="none" w:sz="0" w:space="0" w:color="auto"/>
          </w:divBdr>
        </w:div>
        <w:div w:id="1614481803">
          <w:marLeft w:val="640"/>
          <w:marRight w:val="0"/>
          <w:marTop w:val="0"/>
          <w:marBottom w:val="0"/>
          <w:divBdr>
            <w:top w:val="none" w:sz="0" w:space="0" w:color="auto"/>
            <w:left w:val="none" w:sz="0" w:space="0" w:color="auto"/>
            <w:bottom w:val="none" w:sz="0" w:space="0" w:color="auto"/>
            <w:right w:val="none" w:sz="0" w:space="0" w:color="auto"/>
          </w:divBdr>
        </w:div>
        <w:div w:id="1803960758">
          <w:marLeft w:val="640"/>
          <w:marRight w:val="0"/>
          <w:marTop w:val="0"/>
          <w:marBottom w:val="0"/>
          <w:divBdr>
            <w:top w:val="none" w:sz="0" w:space="0" w:color="auto"/>
            <w:left w:val="none" w:sz="0" w:space="0" w:color="auto"/>
            <w:bottom w:val="none" w:sz="0" w:space="0" w:color="auto"/>
            <w:right w:val="none" w:sz="0" w:space="0" w:color="auto"/>
          </w:divBdr>
        </w:div>
        <w:div w:id="217210099">
          <w:marLeft w:val="640"/>
          <w:marRight w:val="0"/>
          <w:marTop w:val="0"/>
          <w:marBottom w:val="0"/>
          <w:divBdr>
            <w:top w:val="none" w:sz="0" w:space="0" w:color="auto"/>
            <w:left w:val="none" w:sz="0" w:space="0" w:color="auto"/>
            <w:bottom w:val="none" w:sz="0" w:space="0" w:color="auto"/>
            <w:right w:val="none" w:sz="0" w:space="0" w:color="auto"/>
          </w:divBdr>
        </w:div>
        <w:div w:id="1627274993">
          <w:marLeft w:val="640"/>
          <w:marRight w:val="0"/>
          <w:marTop w:val="0"/>
          <w:marBottom w:val="0"/>
          <w:divBdr>
            <w:top w:val="none" w:sz="0" w:space="0" w:color="auto"/>
            <w:left w:val="none" w:sz="0" w:space="0" w:color="auto"/>
            <w:bottom w:val="none" w:sz="0" w:space="0" w:color="auto"/>
            <w:right w:val="none" w:sz="0" w:space="0" w:color="auto"/>
          </w:divBdr>
        </w:div>
        <w:div w:id="580990348">
          <w:marLeft w:val="640"/>
          <w:marRight w:val="0"/>
          <w:marTop w:val="0"/>
          <w:marBottom w:val="0"/>
          <w:divBdr>
            <w:top w:val="none" w:sz="0" w:space="0" w:color="auto"/>
            <w:left w:val="none" w:sz="0" w:space="0" w:color="auto"/>
            <w:bottom w:val="none" w:sz="0" w:space="0" w:color="auto"/>
            <w:right w:val="none" w:sz="0" w:space="0" w:color="auto"/>
          </w:divBdr>
        </w:div>
        <w:div w:id="1852454766">
          <w:marLeft w:val="640"/>
          <w:marRight w:val="0"/>
          <w:marTop w:val="0"/>
          <w:marBottom w:val="0"/>
          <w:divBdr>
            <w:top w:val="none" w:sz="0" w:space="0" w:color="auto"/>
            <w:left w:val="none" w:sz="0" w:space="0" w:color="auto"/>
            <w:bottom w:val="none" w:sz="0" w:space="0" w:color="auto"/>
            <w:right w:val="none" w:sz="0" w:space="0" w:color="auto"/>
          </w:divBdr>
        </w:div>
        <w:div w:id="719666224">
          <w:marLeft w:val="640"/>
          <w:marRight w:val="0"/>
          <w:marTop w:val="0"/>
          <w:marBottom w:val="0"/>
          <w:divBdr>
            <w:top w:val="none" w:sz="0" w:space="0" w:color="auto"/>
            <w:left w:val="none" w:sz="0" w:space="0" w:color="auto"/>
            <w:bottom w:val="none" w:sz="0" w:space="0" w:color="auto"/>
            <w:right w:val="none" w:sz="0" w:space="0" w:color="auto"/>
          </w:divBdr>
        </w:div>
        <w:div w:id="1206870264">
          <w:marLeft w:val="640"/>
          <w:marRight w:val="0"/>
          <w:marTop w:val="0"/>
          <w:marBottom w:val="0"/>
          <w:divBdr>
            <w:top w:val="none" w:sz="0" w:space="0" w:color="auto"/>
            <w:left w:val="none" w:sz="0" w:space="0" w:color="auto"/>
            <w:bottom w:val="none" w:sz="0" w:space="0" w:color="auto"/>
            <w:right w:val="none" w:sz="0" w:space="0" w:color="auto"/>
          </w:divBdr>
        </w:div>
        <w:div w:id="2111048913">
          <w:marLeft w:val="640"/>
          <w:marRight w:val="0"/>
          <w:marTop w:val="0"/>
          <w:marBottom w:val="0"/>
          <w:divBdr>
            <w:top w:val="none" w:sz="0" w:space="0" w:color="auto"/>
            <w:left w:val="none" w:sz="0" w:space="0" w:color="auto"/>
            <w:bottom w:val="none" w:sz="0" w:space="0" w:color="auto"/>
            <w:right w:val="none" w:sz="0" w:space="0" w:color="auto"/>
          </w:divBdr>
        </w:div>
        <w:div w:id="327250364">
          <w:marLeft w:val="640"/>
          <w:marRight w:val="0"/>
          <w:marTop w:val="0"/>
          <w:marBottom w:val="0"/>
          <w:divBdr>
            <w:top w:val="none" w:sz="0" w:space="0" w:color="auto"/>
            <w:left w:val="none" w:sz="0" w:space="0" w:color="auto"/>
            <w:bottom w:val="none" w:sz="0" w:space="0" w:color="auto"/>
            <w:right w:val="none" w:sz="0" w:space="0" w:color="auto"/>
          </w:divBdr>
        </w:div>
        <w:div w:id="1945844320">
          <w:marLeft w:val="640"/>
          <w:marRight w:val="0"/>
          <w:marTop w:val="0"/>
          <w:marBottom w:val="0"/>
          <w:divBdr>
            <w:top w:val="none" w:sz="0" w:space="0" w:color="auto"/>
            <w:left w:val="none" w:sz="0" w:space="0" w:color="auto"/>
            <w:bottom w:val="none" w:sz="0" w:space="0" w:color="auto"/>
            <w:right w:val="none" w:sz="0" w:space="0" w:color="auto"/>
          </w:divBdr>
        </w:div>
        <w:div w:id="524713722">
          <w:marLeft w:val="640"/>
          <w:marRight w:val="0"/>
          <w:marTop w:val="0"/>
          <w:marBottom w:val="0"/>
          <w:divBdr>
            <w:top w:val="none" w:sz="0" w:space="0" w:color="auto"/>
            <w:left w:val="none" w:sz="0" w:space="0" w:color="auto"/>
            <w:bottom w:val="none" w:sz="0" w:space="0" w:color="auto"/>
            <w:right w:val="none" w:sz="0" w:space="0" w:color="auto"/>
          </w:divBdr>
        </w:div>
        <w:div w:id="165438752">
          <w:marLeft w:val="640"/>
          <w:marRight w:val="0"/>
          <w:marTop w:val="0"/>
          <w:marBottom w:val="0"/>
          <w:divBdr>
            <w:top w:val="none" w:sz="0" w:space="0" w:color="auto"/>
            <w:left w:val="none" w:sz="0" w:space="0" w:color="auto"/>
            <w:bottom w:val="none" w:sz="0" w:space="0" w:color="auto"/>
            <w:right w:val="none" w:sz="0" w:space="0" w:color="auto"/>
          </w:divBdr>
        </w:div>
        <w:div w:id="581572279">
          <w:marLeft w:val="640"/>
          <w:marRight w:val="0"/>
          <w:marTop w:val="0"/>
          <w:marBottom w:val="0"/>
          <w:divBdr>
            <w:top w:val="none" w:sz="0" w:space="0" w:color="auto"/>
            <w:left w:val="none" w:sz="0" w:space="0" w:color="auto"/>
            <w:bottom w:val="none" w:sz="0" w:space="0" w:color="auto"/>
            <w:right w:val="none" w:sz="0" w:space="0" w:color="auto"/>
          </w:divBdr>
        </w:div>
        <w:div w:id="1170946140">
          <w:marLeft w:val="640"/>
          <w:marRight w:val="0"/>
          <w:marTop w:val="0"/>
          <w:marBottom w:val="0"/>
          <w:divBdr>
            <w:top w:val="none" w:sz="0" w:space="0" w:color="auto"/>
            <w:left w:val="none" w:sz="0" w:space="0" w:color="auto"/>
            <w:bottom w:val="none" w:sz="0" w:space="0" w:color="auto"/>
            <w:right w:val="none" w:sz="0" w:space="0" w:color="auto"/>
          </w:divBdr>
        </w:div>
        <w:div w:id="1143472700">
          <w:marLeft w:val="640"/>
          <w:marRight w:val="0"/>
          <w:marTop w:val="0"/>
          <w:marBottom w:val="0"/>
          <w:divBdr>
            <w:top w:val="none" w:sz="0" w:space="0" w:color="auto"/>
            <w:left w:val="none" w:sz="0" w:space="0" w:color="auto"/>
            <w:bottom w:val="none" w:sz="0" w:space="0" w:color="auto"/>
            <w:right w:val="none" w:sz="0" w:space="0" w:color="auto"/>
          </w:divBdr>
        </w:div>
        <w:div w:id="1459493782">
          <w:marLeft w:val="640"/>
          <w:marRight w:val="0"/>
          <w:marTop w:val="0"/>
          <w:marBottom w:val="0"/>
          <w:divBdr>
            <w:top w:val="none" w:sz="0" w:space="0" w:color="auto"/>
            <w:left w:val="none" w:sz="0" w:space="0" w:color="auto"/>
            <w:bottom w:val="none" w:sz="0" w:space="0" w:color="auto"/>
            <w:right w:val="none" w:sz="0" w:space="0" w:color="auto"/>
          </w:divBdr>
        </w:div>
        <w:div w:id="1530685773">
          <w:marLeft w:val="640"/>
          <w:marRight w:val="0"/>
          <w:marTop w:val="0"/>
          <w:marBottom w:val="0"/>
          <w:divBdr>
            <w:top w:val="none" w:sz="0" w:space="0" w:color="auto"/>
            <w:left w:val="none" w:sz="0" w:space="0" w:color="auto"/>
            <w:bottom w:val="none" w:sz="0" w:space="0" w:color="auto"/>
            <w:right w:val="none" w:sz="0" w:space="0" w:color="auto"/>
          </w:divBdr>
        </w:div>
        <w:div w:id="1768843526">
          <w:marLeft w:val="640"/>
          <w:marRight w:val="0"/>
          <w:marTop w:val="0"/>
          <w:marBottom w:val="0"/>
          <w:divBdr>
            <w:top w:val="none" w:sz="0" w:space="0" w:color="auto"/>
            <w:left w:val="none" w:sz="0" w:space="0" w:color="auto"/>
            <w:bottom w:val="none" w:sz="0" w:space="0" w:color="auto"/>
            <w:right w:val="none" w:sz="0" w:space="0" w:color="auto"/>
          </w:divBdr>
        </w:div>
        <w:div w:id="1900675228">
          <w:marLeft w:val="640"/>
          <w:marRight w:val="0"/>
          <w:marTop w:val="0"/>
          <w:marBottom w:val="0"/>
          <w:divBdr>
            <w:top w:val="none" w:sz="0" w:space="0" w:color="auto"/>
            <w:left w:val="none" w:sz="0" w:space="0" w:color="auto"/>
            <w:bottom w:val="none" w:sz="0" w:space="0" w:color="auto"/>
            <w:right w:val="none" w:sz="0" w:space="0" w:color="auto"/>
          </w:divBdr>
        </w:div>
        <w:div w:id="156270277">
          <w:marLeft w:val="640"/>
          <w:marRight w:val="0"/>
          <w:marTop w:val="0"/>
          <w:marBottom w:val="0"/>
          <w:divBdr>
            <w:top w:val="none" w:sz="0" w:space="0" w:color="auto"/>
            <w:left w:val="none" w:sz="0" w:space="0" w:color="auto"/>
            <w:bottom w:val="none" w:sz="0" w:space="0" w:color="auto"/>
            <w:right w:val="none" w:sz="0" w:space="0" w:color="auto"/>
          </w:divBdr>
        </w:div>
        <w:div w:id="1502238371">
          <w:marLeft w:val="640"/>
          <w:marRight w:val="0"/>
          <w:marTop w:val="0"/>
          <w:marBottom w:val="0"/>
          <w:divBdr>
            <w:top w:val="none" w:sz="0" w:space="0" w:color="auto"/>
            <w:left w:val="none" w:sz="0" w:space="0" w:color="auto"/>
            <w:bottom w:val="none" w:sz="0" w:space="0" w:color="auto"/>
            <w:right w:val="none" w:sz="0" w:space="0" w:color="auto"/>
          </w:divBdr>
        </w:div>
        <w:div w:id="564031647">
          <w:marLeft w:val="640"/>
          <w:marRight w:val="0"/>
          <w:marTop w:val="0"/>
          <w:marBottom w:val="0"/>
          <w:divBdr>
            <w:top w:val="none" w:sz="0" w:space="0" w:color="auto"/>
            <w:left w:val="none" w:sz="0" w:space="0" w:color="auto"/>
            <w:bottom w:val="none" w:sz="0" w:space="0" w:color="auto"/>
            <w:right w:val="none" w:sz="0" w:space="0" w:color="auto"/>
          </w:divBdr>
        </w:div>
        <w:div w:id="1677733181">
          <w:marLeft w:val="640"/>
          <w:marRight w:val="0"/>
          <w:marTop w:val="0"/>
          <w:marBottom w:val="0"/>
          <w:divBdr>
            <w:top w:val="none" w:sz="0" w:space="0" w:color="auto"/>
            <w:left w:val="none" w:sz="0" w:space="0" w:color="auto"/>
            <w:bottom w:val="none" w:sz="0" w:space="0" w:color="auto"/>
            <w:right w:val="none" w:sz="0" w:space="0" w:color="auto"/>
          </w:divBdr>
        </w:div>
        <w:div w:id="1730499703">
          <w:marLeft w:val="640"/>
          <w:marRight w:val="0"/>
          <w:marTop w:val="0"/>
          <w:marBottom w:val="0"/>
          <w:divBdr>
            <w:top w:val="none" w:sz="0" w:space="0" w:color="auto"/>
            <w:left w:val="none" w:sz="0" w:space="0" w:color="auto"/>
            <w:bottom w:val="none" w:sz="0" w:space="0" w:color="auto"/>
            <w:right w:val="none" w:sz="0" w:space="0" w:color="auto"/>
          </w:divBdr>
        </w:div>
        <w:div w:id="1900900895">
          <w:marLeft w:val="640"/>
          <w:marRight w:val="0"/>
          <w:marTop w:val="0"/>
          <w:marBottom w:val="0"/>
          <w:divBdr>
            <w:top w:val="none" w:sz="0" w:space="0" w:color="auto"/>
            <w:left w:val="none" w:sz="0" w:space="0" w:color="auto"/>
            <w:bottom w:val="none" w:sz="0" w:space="0" w:color="auto"/>
            <w:right w:val="none" w:sz="0" w:space="0" w:color="auto"/>
          </w:divBdr>
        </w:div>
      </w:divsChild>
    </w:div>
    <w:div w:id="704527596">
      <w:bodyDiv w:val="1"/>
      <w:marLeft w:val="0"/>
      <w:marRight w:val="0"/>
      <w:marTop w:val="0"/>
      <w:marBottom w:val="0"/>
      <w:divBdr>
        <w:top w:val="none" w:sz="0" w:space="0" w:color="auto"/>
        <w:left w:val="none" w:sz="0" w:space="0" w:color="auto"/>
        <w:bottom w:val="none" w:sz="0" w:space="0" w:color="auto"/>
        <w:right w:val="none" w:sz="0" w:space="0" w:color="auto"/>
      </w:divBdr>
      <w:divsChild>
        <w:div w:id="1613127206">
          <w:marLeft w:val="640"/>
          <w:marRight w:val="0"/>
          <w:marTop w:val="0"/>
          <w:marBottom w:val="0"/>
          <w:divBdr>
            <w:top w:val="none" w:sz="0" w:space="0" w:color="auto"/>
            <w:left w:val="none" w:sz="0" w:space="0" w:color="auto"/>
            <w:bottom w:val="none" w:sz="0" w:space="0" w:color="auto"/>
            <w:right w:val="none" w:sz="0" w:space="0" w:color="auto"/>
          </w:divBdr>
        </w:div>
        <w:div w:id="823623152">
          <w:marLeft w:val="640"/>
          <w:marRight w:val="0"/>
          <w:marTop w:val="0"/>
          <w:marBottom w:val="0"/>
          <w:divBdr>
            <w:top w:val="none" w:sz="0" w:space="0" w:color="auto"/>
            <w:left w:val="none" w:sz="0" w:space="0" w:color="auto"/>
            <w:bottom w:val="none" w:sz="0" w:space="0" w:color="auto"/>
            <w:right w:val="none" w:sz="0" w:space="0" w:color="auto"/>
          </w:divBdr>
        </w:div>
        <w:div w:id="1152328193">
          <w:marLeft w:val="640"/>
          <w:marRight w:val="0"/>
          <w:marTop w:val="0"/>
          <w:marBottom w:val="0"/>
          <w:divBdr>
            <w:top w:val="none" w:sz="0" w:space="0" w:color="auto"/>
            <w:left w:val="none" w:sz="0" w:space="0" w:color="auto"/>
            <w:bottom w:val="none" w:sz="0" w:space="0" w:color="auto"/>
            <w:right w:val="none" w:sz="0" w:space="0" w:color="auto"/>
          </w:divBdr>
        </w:div>
        <w:div w:id="259072529">
          <w:marLeft w:val="640"/>
          <w:marRight w:val="0"/>
          <w:marTop w:val="0"/>
          <w:marBottom w:val="0"/>
          <w:divBdr>
            <w:top w:val="none" w:sz="0" w:space="0" w:color="auto"/>
            <w:left w:val="none" w:sz="0" w:space="0" w:color="auto"/>
            <w:bottom w:val="none" w:sz="0" w:space="0" w:color="auto"/>
            <w:right w:val="none" w:sz="0" w:space="0" w:color="auto"/>
          </w:divBdr>
        </w:div>
        <w:div w:id="1531986660">
          <w:marLeft w:val="640"/>
          <w:marRight w:val="0"/>
          <w:marTop w:val="0"/>
          <w:marBottom w:val="0"/>
          <w:divBdr>
            <w:top w:val="none" w:sz="0" w:space="0" w:color="auto"/>
            <w:left w:val="none" w:sz="0" w:space="0" w:color="auto"/>
            <w:bottom w:val="none" w:sz="0" w:space="0" w:color="auto"/>
            <w:right w:val="none" w:sz="0" w:space="0" w:color="auto"/>
          </w:divBdr>
        </w:div>
        <w:div w:id="1661225820">
          <w:marLeft w:val="640"/>
          <w:marRight w:val="0"/>
          <w:marTop w:val="0"/>
          <w:marBottom w:val="0"/>
          <w:divBdr>
            <w:top w:val="none" w:sz="0" w:space="0" w:color="auto"/>
            <w:left w:val="none" w:sz="0" w:space="0" w:color="auto"/>
            <w:bottom w:val="none" w:sz="0" w:space="0" w:color="auto"/>
            <w:right w:val="none" w:sz="0" w:space="0" w:color="auto"/>
          </w:divBdr>
        </w:div>
        <w:div w:id="1742634305">
          <w:marLeft w:val="640"/>
          <w:marRight w:val="0"/>
          <w:marTop w:val="0"/>
          <w:marBottom w:val="0"/>
          <w:divBdr>
            <w:top w:val="none" w:sz="0" w:space="0" w:color="auto"/>
            <w:left w:val="none" w:sz="0" w:space="0" w:color="auto"/>
            <w:bottom w:val="none" w:sz="0" w:space="0" w:color="auto"/>
            <w:right w:val="none" w:sz="0" w:space="0" w:color="auto"/>
          </w:divBdr>
        </w:div>
        <w:div w:id="749080539">
          <w:marLeft w:val="640"/>
          <w:marRight w:val="0"/>
          <w:marTop w:val="0"/>
          <w:marBottom w:val="0"/>
          <w:divBdr>
            <w:top w:val="none" w:sz="0" w:space="0" w:color="auto"/>
            <w:left w:val="none" w:sz="0" w:space="0" w:color="auto"/>
            <w:bottom w:val="none" w:sz="0" w:space="0" w:color="auto"/>
            <w:right w:val="none" w:sz="0" w:space="0" w:color="auto"/>
          </w:divBdr>
        </w:div>
        <w:div w:id="1289749450">
          <w:marLeft w:val="640"/>
          <w:marRight w:val="0"/>
          <w:marTop w:val="0"/>
          <w:marBottom w:val="0"/>
          <w:divBdr>
            <w:top w:val="none" w:sz="0" w:space="0" w:color="auto"/>
            <w:left w:val="none" w:sz="0" w:space="0" w:color="auto"/>
            <w:bottom w:val="none" w:sz="0" w:space="0" w:color="auto"/>
            <w:right w:val="none" w:sz="0" w:space="0" w:color="auto"/>
          </w:divBdr>
        </w:div>
        <w:div w:id="426117628">
          <w:marLeft w:val="640"/>
          <w:marRight w:val="0"/>
          <w:marTop w:val="0"/>
          <w:marBottom w:val="0"/>
          <w:divBdr>
            <w:top w:val="none" w:sz="0" w:space="0" w:color="auto"/>
            <w:left w:val="none" w:sz="0" w:space="0" w:color="auto"/>
            <w:bottom w:val="none" w:sz="0" w:space="0" w:color="auto"/>
            <w:right w:val="none" w:sz="0" w:space="0" w:color="auto"/>
          </w:divBdr>
        </w:div>
        <w:div w:id="1398674486">
          <w:marLeft w:val="640"/>
          <w:marRight w:val="0"/>
          <w:marTop w:val="0"/>
          <w:marBottom w:val="0"/>
          <w:divBdr>
            <w:top w:val="none" w:sz="0" w:space="0" w:color="auto"/>
            <w:left w:val="none" w:sz="0" w:space="0" w:color="auto"/>
            <w:bottom w:val="none" w:sz="0" w:space="0" w:color="auto"/>
            <w:right w:val="none" w:sz="0" w:space="0" w:color="auto"/>
          </w:divBdr>
        </w:div>
        <w:div w:id="204023244">
          <w:marLeft w:val="640"/>
          <w:marRight w:val="0"/>
          <w:marTop w:val="0"/>
          <w:marBottom w:val="0"/>
          <w:divBdr>
            <w:top w:val="none" w:sz="0" w:space="0" w:color="auto"/>
            <w:left w:val="none" w:sz="0" w:space="0" w:color="auto"/>
            <w:bottom w:val="none" w:sz="0" w:space="0" w:color="auto"/>
            <w:right w:val="none" w:sz="0" w:space="0" w:color="auto"/>
          </w:divBdr>
        </w:div>
        <w:div w:id="2128692907">
          <w:marLeft w:val="640"/>
          <w:marRight w:val="0"/>
          <w:marTop w:val="0"/>
          <w:marBottom w:val="0"/>
          <w:divBdr>
            <w:top w:val="none" w:sz="0" w:space="0" w:color="auto"/>
            <w:left w:val="none" w:sz="0" w:space="0" w:color="auto"/>
            <w:bottom w:val="none" w:sz="0" w:space="0" w:color="auto"/>
            <w:right w:val="none" w:sz="0" w:space="0" w:color="auto"/>
          </w:divBdr>
        </w:div>
        <w:div w:id="1951430621">
          <w:marLeft w:val="640"/>
          <w:marRight w:val="0"/>
          <w:marTop w:val="0"/>
          <w:marBottom w:val="0"/>
          <w:divBdr>
            <w:top w:val="none" w:sz="0" w:space="0" w:color="auto"/>
            <w:left w:val="none" w:sz="0" w:space="0" w:color="auto"/>
            <w:bottom w:val="none" w:sz="0" w:space="0" w:color="auto"/>
            <w:right w:val="none" w:sz="0" w:space="0" w:color="auto"/>
          </w:divBdr>
        </w:div>
        <w:div w:id="321004772">
          <w:marLeft w:val="640"/>
          <w:marRight w:val="0"/>
          <w:marTop w:val="0"/>
          <w:marBottom w:val="0"/>
          <w:divBdr>
            <w:top w:val="none" w:sz="0" w:space="0" w:color="auto"/>
            <w:left w:val="none" w:sz="0" w:space="0" w:color="auto"/>
            <w:bottom w:val="none" w:sz="0" w:space="0" w:color="auto"/>
            <w:right w:val="none" w:sz="0" w:space="0" w:color="auto"/>
          </w:divBdr>
        </w:div>
        <w:div w:id="1689797886">
          <w:marLeft w:val="640"/>
          <w:marRight w:val="0"/>
          <w:marTop w:val="0"/>
          <w:marBottom w:val="0"/>
          <w:divBdr>
            <w:top w:val="none" w:sz="0" w:space="0" w:color="auto"/>
            <w:left w:val="none" w:sz="0" w:space="0" w:color="auto"/>
            <w:bottom w:val="none" w:sz="0" w:space="0" w:color="auto"/>
            <w:right w:val="none" w:sz="0" w:space="0" w:color="auto"/>
          </w:divBdr>
        </w:div>
        <w:div w:id="320160723">
          <w:marLeft w:val="640"/>
          <w:marRight w:val="0"/>
          <w:marTop w:val="0"/>
          <w:marBottom w:val="0"/>
          <w:divBdr>
            <w:top w:val="none" w:sz="0" w:space="0" w:color="auto"/>
            <w:left w:val="none" w:sz="0" w:space="0" w:color="auto"/>
            <w:bottom w:val="none" w:sz="0" w:space="0" w:color="auto"/>
            <w:right w:val="none" w:sz="0" w:space="0" w:color="auto"/>
          </w:divBdr>
        </w:div>
        <w:div w:id="615909025">
          <w:marLeft w:val="640"/>
          <w:marRight w:val="0"/>
          <w:marTop w:val="0"/>
          <w:marBottom w:val="0"/>
          <w:divBdr>
            <w:top w:val="none" w:sz="0" w:space="0" w:color="auto"/>
            <w:left w:val="none" w:sz="0" w:space="0" w:color="auto"/>
            <w:bottom w:val="none" w:sz="0" w:space="0" w:color="auto"/>
            <w:right w:val="none" w:sz="0" w:space="0" w:color="auto"/>
          </w:divBdr>
        </w:div>
        <w:div w:id="1011176628">
          <w:marLeft w:val="640"/>
          <w:marRight w:val="0"/>
          <w:marTop w:val="0"/>
          <w:marBottom w:val="0"/>
          <w:divBdr>
            <w:top w:val="none" w:sz="0" w:space="0" w:color="auto"/>
            <w:left w:val="none" w:sz="0" w:space="0" w:color="auto"/>
            <w:bottom w:val="none" w:sz="0" w:space="0" w:color="auto"/>
            <w:right w:val="none" w:sz="0" w:space="0" w:color="auto"/>
          </w:divBdr>
        </w:div>
        <w:div w:id="81144230">
          <w:marLeft w:val="640"/>
          <w:marRight w:val="0"/>
          <w:marTop w:val="0"/>
          <w:marBottom w:val="0"/>
          <w:divBdr>
            <w:top w:val="none" w:sz="0" w:space="0" w:color="auto"/>
            <w:left w:val="none" w:sz="0" w:space="0" w:color="auto"/>
            <w:bottom w:val="none" w:sz="0" w:space="0" w:color="auto"/>
            <w:right w:val="none" w:sz="0" w:space="0" w:color="auto"/>
          </w:divBdr>
        </w:div>
        <w:div w:id="1767533803">
          <w:marLeft w:val="640"/>
          <w:marRight w:val="0"/>
          <w:marTop w:val="0"/>
          <w:marBottom w:val="0"/>
          <w:divBdr>
            <w:top w:val="none" w:sz="0" w:space="0" w:color="auto"/>
            <w:left w:val="none" w:sz="0" w:space="0" w:color="auto"/>
            <w:bottom w:val="none" w:sz="0" w:space="0" w:color="auto"/>
            <w:right w:val="none" w:sz="0" w:space="0" w:color="auto"/>
          </w:divBdr>
        </w:div>
        <w:div w:id="422386706">
          <w:marLeft w:val="640"/>
          <w:marRight w:val="0"/>
          <w:marTop w:val="0"/>
          <w:marBottom w:val="0"/>
          <w:divBdr>
            <w:top w:val="none" w:sz="0" w:space="0" w:color="auto"/>
            <w:left w:val="none" w:sz="0" w:space="0" w:color="auto"/>
            <w:bottom w:val="none" w:sz="0" w:space="0" w:color="auto"/>
            <w:right w:val="none" w:sz="0" w:space="0" w:color="auto"/>
          </w:divBdr>
        </w:div>
        <w:div w:id="1785223710">
          <w:marLeft w:val="640"/>
          <w:marRight w:val="0"/>
          <w:marTop w:val="0"/>
          <w:marBottom w:val="0"/>
          <w:divBdr>
            <w:top w:val="none" w:sz="0" w:space="0" w:color="auto"/>
            <w:left w:val="none" w:sz="0" w:space="0" w:color="auto"/>
            <w:bottom w:val="none" w:sz="0" w:space="0" w:color="auto"/>
            <w:right w:val="none" w:sz="0" w:space="0" w:color="auto"/>
          </w:divBdr>
        </w:div>
        <w:div w:id="2022245690">
          <w:marLeft w:val="640"/>
          <w:marRight w:val="0"/>
          <w:marTop w:val="0"/>
          <w:marBottom w:val="0"/>
          <w:divBdr>
            <w:top w:val="none" w:sz="0" w:space="0" w:color="auto"/>
            <w:left w:val="none" w:sz="0" w:space="0" w:color="auto"/>
            <w:bottom w:val="none" w:sz="0" w:space="0" w:color="auto"/>
            <w:right w:val="none" w:sz="0" w:space="0" w:color="auto"/>
          </w:divBdr>
        </w:div>
        <w:div w:id="847251430">
          <w:marLeft w:val="640"/>
          <w:marRight w:val="0"/>
          <w:marTop w:val="0"/>
          <w:marBottom w:val="0"/>
          <w:divBdr>
            <w:top w:val="none" w:sz="0" w:space="0" w:color="auto"/>
            <w:left w:val="none" w:sz="0" w:space="0" w:color="auto"/>
            <w:bottom w:val="none" w:sz="0" w:space="0" w:color="auto"/>
            <w:right w:val="none" w:sz="0" w:space="0" w:color="auto"/>
          </w:divBdr>
        </w:div>
        <w:div w:id="141432019">
          <w:marLeft w:val="640"/>
          <w:marRight w:val="0"/>
          <w:marTop w:val="0"/>
          <w:marBottom w:val="0"/>
          <w:divBdr>
            <w:top w:val="none" w:sz="0" w:space="0" w:color="auto"/>
            <w:left w:val="none" w:sz="0" w:space="0" w:color="auto"/>
            <w:bottom w:val="none" w:sz="0" w:space="0" w:color="auto"/>
            <w:right w:val="none" w:sz="0" w:space="0" w:color="auto"/>
          </w:divBdr>
        </w:div>
        <w:div w:id="1964072595">
          <w:marLeft w:val="640"/>
          <w:marRight w:val="0"/>
          <w:marTop w:val="0"/>
          <w:marBottom w:val="0"/>
          <w:divBdr>
            <w:top w:val="none" w:sz="0" w:space="0" w:color="auto"/>
            <w:left w:val="none" w:sz="0" w:space="0" w:color="auto"/>
            <w:bottom w:val="none" w:sz="0" w:space="0" w:color="auto"/>
            <w:right w:val="none" w:sz="0" w:space="0" w:color="auto"/>
          </w:divBdr>
        </w:div>
        <w:div w:id="1615359502">
          <w:marLeft w:val="640"/>
          <w:marRight w:val="0"/>
          <w:marTop w:val="0"/>
          <w:marBottom w:val="0"/>
          <w:divBdr>
            <w:top w:val="none" w:sz="0" w:space="0" w:color="auto"/>
            <w:left w:val="none" w:sz="0" w:space="0" w:color="auto"/>
            <w:bottom w:val="none" w:sz="0" w:space="0" w:color="auto"/>
            <w:right w:val="none" w:sz="0" w:space="0" w:color="auto"/>
          </w:divBdr>
        </w:div>
        <w:div w:id="1956790013">
          <w:marLeft w:val="640"/>
          <w:marRight w:val="0"/>
          <w:marTop w:val="0"/>
          <w:marBottom w:val="0"/>
          <w:divBdr>
            <w:top w:val="none" w:sz="0" w:space="0" w:color="auto"/>
            <w:left w:val="none" w:sz="0" w:space="0" w:color="auto"/>
            <w:bottom w:val="none" w:sz="0" w:space="0" w:color="auto"/>
            <w:right w:val="none" w:sz="0" w:space="0" w:color="auto"/>
          </w:divBdr>
        </w:div>
        <w:div w:id="881286338">
          <w:marLeft w:val="640"/>
          <w:marRight w:val="0"/>
          <w:marTop w:val="0"/>
          <w:marBottom w:val="0"/>
          <w:divBdr>
            <w:top w:val="none" w:sz="0" w:space="0" w:color="auto"/>
            <w:left w:val="none" w:sz="0" w:space="0" w:color="auto"/>
            <w:bottom w:val="none" w:sz="0" w:space="0" w:color="auto"/>
            <w:right w:val="none" w:sz="0" w:space="0" w:color="auto"/>
          </w:divBdr>
        </w:div>
        <w:div w:id="1448356026">
          <w:marLeft w:val="640"/>
          <w:marRight w:val="0"/>
          <w:marTop w:val="0"/>
          <w:marBottom w:val="0"/>
          <w:divBdr>
            <w:top w:val="none" w:sz="0" w:space="0" w:color="auto"/>
            <w:left w:val="none" w:sz="0" w:space="0" w:color="auto"/>
            <w:bottom w:val="none" w:sz="0" w:space="0" w:color="auto"/>
            <w:right w:val="none" w:sz="0" w:space="0" w:color="auto"/>
          </w:divBdr>
        </w:div>
        <w:div w:id="957834536">
          <w:marLeft w:val="640"/>
          <w:marRight w:val="0"/>
          <w:marTop w:val="0"/>
          <w:marBottom w:val="0"/>
          <w:divBdr>
            <w:top w:val="none" w:sz="0" w:space="0" w:color="auto"/>
            <w:left w:val="none" w:sz="0" w:space="0" w:color="auto"/>
            <w:bottom w:val="none" w:sz="0" w:space="0" w:color="auto"/>
            <w:right w:val="none" w:sz="0" w:space="0" w:color="auto"/>
          </w:divBdr>
        </w:div>
        <w:div w:id="1974863351">
          <w:marLeft w:val="640"/>
          <w:marRight w:val="0"/>
          <w:marTop w:val="0"/>
          <w:marBottom w:val="0"/>
          <w:divBdr>
            <w:top w:val="none" w:sz="0" w:space="0" w:color="auto"/>
            <w:left w:val="none" w:sz="0" w:space="0" w:color="auto"/>
            <w:bottom w:val="none" w:sz="0" w:space="0" w:color="auto"/>
            <w:right w:val="none" w:sz="0" w:space="0" w:color="auto"/>
          </w:divBdr>
        </w:div>
        <w:div w:id="335041673">
          <w:marLeft w:val="640"/>
          <w:marRight w:val="0"/>
          <w:marTop w:val="0"/>
          <w:marBottom w:val="0"/>
          <w:divBdr>
            <w:top w:val="none" w:sz="0" w:space="0" w:color="auto"/>
            <w:left w:val="none" w:sz="0" w:space="0" w:color="auto"/>
            <w:bottom w:val="none" w:sz="0" w:space="0" w:color="auto"/>
            <w:right w:val="none" w:sz="0" w:space="0" w:color="auto"/>
          </w:divBdr>
        </w:div>
        <w:div w:id="2126458872">
          <w:marLeft w:val="640"/>
          <w:marRight w:val="0"/>
          <w:marTop w:val="0"/>
          <w:marBottom w:val="0"/>
          <w:divBdr>
            <w:top w:val="none" w:sz="0" w:space="0" w:color="auto"/>
            <w:left w:val="none" w:sz="0" w:space="0" w:color="auto"/>
            <w:bottom w:val="none" w:sz="0" w:space="0" w:color="auto"/>
            <w:right w:val="none" w:sz="0" w:space="0" w:color="auto"/>
          </w:divBdr>
        </w:div>
        <w:div w:id="2052344355">
          <w:marLeft w:val="640"/>
          <w:marRight w:val="0"/>
          <w:marTop w:val="0"/>
          <w:marBottom w:val="0"/>
          <w:divBdr>
            <w:top w:val="none" w:sz="0" w:space="0" w:color="auto"/>
            <w:left w:val="none" w:sz="0" w:space="0" w:color="auto"/>
            <w:bottom w:val="none" w:sz="0" w:space="0" w:color="auto"/>
            <w:right w:val="none" w:sz="0" w:space="0" w:color="auto"/>
          </w:divBdr>
        </w:div>
        <w:div w:id="1953128494">
          <w:marLeft w:val="640"/>
          <w:marRight w:val="0"/>
          <w:marTop w:val="0"/>
          <w:marBottom w:val="0"/>
          <w:divBdr>
            <w:top w:val="none" w:sz="0" w:space="0" w:color="auto"/>
            <w:left w:val="none" w:sz="0" w:space="0" w:color="auto"/>
            <w:bottom w:val="none" w:sz="0" w:space="0" w:color="auto"/>
            <w:right w:val="none" w:sz="0" w:space="0" w:color="auto"/>
          </w:divBdr>
        </w:div>
        <w:div w:id="322123860">
          <w:marLeft w:val="640"/>
          <w:marRight w:val="0"/>
          <w:marTop w:val="0"/>
          <w:marBottom w:val="0"/>
          <w:divBdr>
            <w:top w:val="none" w:sz="0" w:space="0" w:color="auto"/>
            <w:left w:val="none" w:sz="0" w:space="0" w:color="auto"/>
            <w:bottom w:val="none" w:sz="0" w:space="0" w:color="auto"/>
            <w:right w:val="none" w:sz="0" w:space="0" w:color="auto"/>
          </w:divBdr>
        </w:div>
        <w:div w:id="1784492819">
          <w:marLeft w:val="640"/>
          <w:marRight w:val="0"/>
          <w:marTop w:val="0"/>
          <w:marBottom w:val="0"/>
          <w:divBdr>
            <w:top w:val="none" w:sz="0" w:space="0" w:color="auto"/>
            <w:left w:val="none" w:sz="0" w:space="0" w:color="auto"/>
            <w:bottom w:val="none" w:sz="0" w:space="0" w:color="auto"/>
            <w:right w:val="none" w:sz="0" w:space="0" w:color="auto"/>
          </w:divBdr>
        </w:div>
        <w:div w:id="647900668">
          <w:marLeft w:val="640"/>
          <w:marRight w:val="0"/>
          <w:marTop w:val="0"/>
          <w:marBottom w:val="0"/>
          <w:divBdr>
            <w:top w:val="none" w:sz="0" w:space="0" w:color="auto"/>
            <w:left w:val="none" w:sz="0" w:space="0" w:color="auto"/>
            <w:bottom w:val="none" w:sz="0" w:space="0" w:color="auto"/>
            <w:right w:val="none" w:sz="0" w:space="0" w:color="auto"/>
          </w:divBdr>
        </w:div>
        <w:div w:id="1995255239">
          <w:marLeft w:val="640"/>
          <w:marRight w:val="0"/>
          <w:marTop w:val="0"/>
          <w:marBottom w:val="0"/>
          <w:divBdr>
            <w:top w:val="none" w:sz="0" w:space="0" w:color="auto"/>
            <w:left w:val="none" w:sz="0" w:space="0" w:color="auto"/>
            <w:bottom w:val="none" w:sz="0" w:space="0" w:color="auto"/>
            <w:right w:val="none" w:sz="0" w:space="0" w:color="auto"/>
          </w:divBdr>
        </w:div>
        <w:div w:id="870995229">
          <w:marLeft w:val="640"/>
          <w:marRight w:val="0"/>
          <w:marTop w:val="0"/>
          <w:marBottom w:val="0"/>
          <w:divBdr>
            <w:top w:val="none" w:sz="0" w:space="0" w:color="auto"/>
            <w:left w:val="none" w:sz="0" w:space="0" w:color="auto"/>
            <w:bottom w:val="none" w:sz="0" w:space="0" w:color="auto"/>
            <w:right w:val="none" w:sz="0" w:space="0" w:color="auto"/>
          </w:divBdr>
        </w:div>
        <w:div w:id="581642637">
          <w:marLeft w:val="640"/>
          <w:marRight w:val="0"/>
          <w:marTop w:val="0"/>
          <w:marBottom w:val="0"/>
          <w:divBdr>
            <w:top w:val="none" w:sz="0" w:space="0" w:color="auto"/>
            <w:left w:val="none" w:sz="0" w:space="0" w:color="auto"/>
            <w:bottom w:val="none" w:sz="0" w:space="0" w:color="auto"/>
            <w:right w:val="none" w:sz="0" w:space="0" w:color="auto"/>
          </w:divBdr>
        </w:div>
        <w:div w:id="428353196">
          <w:marLeft w:val="640"/>
          <w:marRight w:val="0"/>
          <w:marTop w:val="0"/>
          <w:marBottom w:val="0"/>
          <w:divBdr>
            <w:top w:val="none" w:sz="0" w:space="0" w:color="auto"/>
            <w:left w:val="none" w:sz="0" w:space="0" w:color="auto"/>
            <w:bottom w:val="none" w:sz="0" w:space="0" w:color="auto"/>
            <w:right w:val="none" w:sz="0" w:space="0" w:color="auto"/>
          </w:divBdr>
        </w:div>
        <w:div w:id="1792626225">
          <w:marLeft w:val="640"/>
          <w:marRight w:val="0"/>
          <w:marTop w:val="0"/>
          <w:marBottom w:val="0"/>
          <w:divBdr>
            <w:top w:val="none" w:sz="0" w:space="0" w:color="auto"/>
            <w:left w:val="none" w:sz="0" w:space="0" w:color="auto"/>
            <w:bottom w:val="none" w:sz="0" w:space="0" w:color="auto"/>
            <w:right w:val="none" w:sz="0" w:space="0" w:color="auto"/>
          </w:divBdr>
        </w:div>
        <w:div w:id="2064056539">
          <w:marLeft w:val="640"/>
          <w:marRight w:val="0"/>
          <w:marTop w:val="0"/>
          <w:marBottom w:val="0"/>
          <w:divBdr>
            <w:top w:val="none" w:sz="0" w:space="0" w:color="auto"/>
            <w:left w:val="none" w:sz="0" w:space="0" w:color="auto"/>
            <w:bottom w:val="none" w:sz="0" w:space="0" w:color="auto"/>
            <w:right w:val="none" w:sz="0" w:space="0" w:color="auto"/>
          </w:divBdr>
        </w:div>
        <w:div w:id="551422948">
          <w:marLeft w:val="640"/>
          <w:marRight w:val="0"/>
          <w:marTop w:val="0"/>
          <w:marBottom w:val="0"/>
          <w:divBdr>
            <w:top w:val="none" w:sz="0" w:space="0" w:color="auto"/>
            <w:left w:val="none" w:sz="0" w:space="0" w:color="auto"/>
            <w:bottom w:val="none" w:sz="0" w:space="0" w:color="auto"/>
            <w:right w:val="none" w:sz="0" w:space="0" w:color="auto"/>
          </w:divBdr>
        </w:div>
        <w:div w:id="745415193">
          <w:marLeft w:val="640"/>
          <w:marRight w:val="0"/>
          <w:marTop w:val="0"/>
          <w:marBottom w:val="0"/>
          <w:divBdr>
            <w:top w:val="none" w:sz="0" w:space="0" w:color="auto"/>
            <w:left w:val="none" w:sz="0" w:space="0" w:color="auto"/>
            <w:bottom w:val="none" w:sz="0" w:space="0" w:color="auto"/>
            <w:right w:val="none" w:sz="0" w:space="0" w:color="auto"/>
          </w:divBdr>
        </w:div>
        <w:div w:id="294650774">
          <w:marLeft w:val="640"/>
          <w:marRight w:val="0"/>
          <w:marTop w:val="0"/>
          <w:marBottom w:val="0"/>
          <w:divBdr>
            <w:top w:val="none" w:sz="0" w:space="0" w:color="auto"/>
            <w:left w:val="none" w:sz="0" w:space="0" w:color="auto"/>
            <w:bottom w:val="none" w:sz="0" w:space="0" w:color="auto"/>
            <w:right w:val="none" w:sz="0" w:space="0" w:color="auto"/>
          </w:divBdr>
        </w:div>
        <w:div w:id="92240346">
          <w:marLeft w:val="640"/>
          <w:marRight w:val="0"/>
          <w:marTop w:val="0"/>
          <w:marBottom w:val="0"/>
          <w:divBdr>
            <w:top w:val="none" w:sz="0" w:space="0" w:color="auto"/>
            <w:left w:val="none" w:sz="0" w:space="0" w:color="auto"/>
            <w:bottom w:val="none" w:sz="0" w:space="0" w:color="auto"/>
            <w:right w:val="none" w:sz="0" w:space="0" w:color="auto"/>
          </w:divBdr>
        </w:div>
        <w:div w:id="1687294563">
          <w:marLeft w:val="640"/>
          <w:marRight w:val="0"/>
          <w:marTop w:val="0"/>
          <w:marBottom w:val="0"/>
          <w:divBdr>
            <w:top w:val="none" w:sz="0" w:space="0" w:color="auto"/>
            <w:left w:val="none" w:sz="0" w:space="0" w:color="auto"/>
            <w:bottom w:val="none" w:sz="0" w:space="0" w:color="auto"/>
            <w:right w:val="none" w:sz="0" w:space="0" w:color="auto"/>
          </w:divBdr>
        </w:div>
        <w:div w:id="519508746">
          <w:marLeft w:val="640"/>
          <w:marRight w:val="0"/>
          <w:marTop w:val="0"/>
          <w:marBottom w:val="0"/>
          <w:divBdr>
            <w:top w:val="none" w:sz="0" w:space="0" w:color="auto"/>
            <w:left w:val="none" w:sz="0" w:space="0" w:color="auto"/>
            <w:bottom w:val="none" w:sz="0" w:space="0" w:color="auto"/>
            <w:right w:val="none" w:sz="0" w:space="0" w:color="auto"/>
          </w:divBdr>
        </w:div>
        <w:div w:id="755173146">
          <w:marLeft w:val="640"/>
          <w:marRight w:val="0"/>
          <w:marTop w:val="0"/>
          <w:marBottom w:val="0"/>
          <w:divBdr>
            <w:top w:val="none" w:sz="0" w:space="0" w:color="auto"/>
            <w:left w:val="none" w:sz="0" w:space="0" w:color="auto"/>
            <w:bottom w:val="none" w:sz="0" w:space="0" w:color="auto"/>
            <w:right w:val="none" w:sz="0" w:space="0" w:color="auto"/>
          </w:divBdr>
        </w:div>
        <w:div w:id="498350677">
          <w:marLeft w:val="640"/>
          <w:marRight w:val="0"/>
          <w:marTop w:val="0"/>
          <w:marBottom w:val="0"/>
          <w:divBdr>
            <w:top w:val="none" w:sz="0" w:space="0" w:color="auto"/>
            <w:left w:val="none" w:sz="0" w:space="0" w:color="auto"/>
            <w:bottom w:val="none" w:sz="0" w:space="0" w:color="auto"/>
            <w:right w:val="none" w:sz="0" w:space="0" w:color="auto"/>
          </w:divBdr>
        </w:div>
        <w:div w:id="702830159">
          <w:marLeft w:val="640"/>
          <w:marRight w:val="0"/>
          <w:marTop w:val="0"/>
          <w:marBottom w:val="0"/>
          <w:divBdr>
            <w:top w:val="none" w:sz="0" w:space="0" w:color="auto"/>
            <w:left w:val="none" w:sz="0" w:space="0" w:color="auto"/>
            <w:bottom w:val="none" w:sz="0" w:space="0" w:color="auto"/>
            <w:right w:val="none" w:sz="0" w:space="0" w:color="auto"/>
          </w:divBdr>
        </w:div>
        <w:div w:id="1092776705">
          <w:marLeft w:val="640"/>
          <w:marRight w:val="0"/>
          <w:marTop w:val="0"/>
          <w:marBottom w:val="0"/>
          <w:divBdr>
            <w:top w:val="none" w:sz="0" w:space="0" w:color="auto"/>
            <w:left w:val="none" w:sz="0" w:space="0" w:color="auto"/>
            <w:bottom w:val="none" w:sz="0" w:space="0" w:color="auto"/>
            <w:right w:val="none" w:sz="0" w:space="0" w:color="auto"/>
          </w:divBdr>
        </w:div>
        <w:div w:id="1330251149">
          <w:marLeft w:val="640"/>
          <w:marRight w:val="0"/>
          <w:marTop w:val="0"/>
          <w:marBottom w:val="0"/>
          <w:divBdr>
            <w:top w:val="none" w:sz="0" w:space="0" w:color="auto"/>
            <w:left w:val="none" w:sz="0" w:space="0" w:color="auto"/>
            <w:bottom w:val="none" w:sz="0" w:space="0" w:color="auto"/>
            <w:right w:val="none" w:sz="0" w:space="0" w:color="auto"/>
          </w:divBdr>
        </w:div>
        <w:div w:id="505290861">
          <w:marLeft w:val="640"/>
          <w:marRight w:val="0"/>
          <w:marTop w:val="0"/>
          <w:marBottom w:val="0"/>
          <w:divBdr>
            <w:top w:val="none" w:sz="0" w:space="0" w:color="auto"/>
            <w:left w:val="none" w:sz="0" w:space="0" w:color="auto"/>
            <w:bottom w:val="none" w:sz="0" w:space="0" w:color="auto"/>
            <w:right w:val="none" w:sz="0" w:space="0" w:color="auto"/>
          </w:divBdr>
        </w:div>
        <w:div w:id="479227329">
          <w:marLeft w:val="640"/>
          <w:marRight w:val="0"/>
          <w:marTop w:val="0"/>
          <w:marBottom w:val="0"/>
          <w:divBdr>
            <w:top w:val="none" w:sz="0" w:space="0" w:color="auto"/>
            <w:left w:val="none" w:sz="0" w:space="0" w:color="auto"/>
            <w:bottom w:val="none" w:sz="0" w:space="0" w:color="auto"/>
            <w:right w:val="none" w:sz="0" w:space="0" w:color="auto"/>
          </w:divBdr>
        </w:div>
        <w:div w:id="762921575">
          <w:marLeft w:val="640"/>
          <w:marRight w:val="0"/>
          <w:marTop w:val="0"/>
          <w:marBottom w:val="0"/>
          <w:divBdr>
            <w:top w:val="none" w:sz="0" w:space="0" w:color="auto"/>
            <w:left w:val="none" w:sz="0" w:space="0" w:color="auto"/>
            <w:bottom w:val="none" w:sz="0" w:space="0" w:color="auto"/>
            <w:right w:val="none" w:sz="0" w:space="0" w:color="auto"/>
          </w:divBdr>
        </w:div>
        <w:div w:id="1864710134">
          <w:marLeft w:val="640"/>
          <w:marRight w:val="0"/>
          <w:marTop w:val="0"/>
          <w:marBottom w:val="0"/>
          <w:divBdr>
            <w:top w:val="none" w:sz="0" w:space="0" w:color="auto"/>
            <w:left w:val="none" w:sz="0" w:space="0" w:color="auto"/>
            <w:bottom w:val="none" w:sz="0" w:space="0" w:color="auto"/>
            <w:right w:val="none" w:sz="0" w:space="0" w:color="auto"/>
          </w:divBdr>
        </w:div>
        <w:div w:id="2016180608">
          <w:marLeft w:val="640"/>
          <w:marRight w:val="0"/>
          <w:marTop w:val="0"/>
          <w:marBottom w:val="0"/>
          <w:divBdr>
            <w:top w:val="none" w:sz="0" w:space="0" w:color="auto"/>
            <w:left w:val="none" w:sz="0" w:space="0" w:color="auto"/>
            <w:bottom w:val="none" w:sz="0" w:space="0" w:color="auto"/>
            <w:right w:val="none" w:sz="0" w:space="0" w:color="auto"/>
          </w:divBdr>
        </w:div>
        <w:div w:id="285695227">
          <w:marLeft w:val="640"/>
          <w:marRight w:val="0"/>
          <w:marTop w:val="0"/>
          <w:marBottom w:val="0"/>
          <w:divBdr>
            <w:top w:val="none" w:sz="0" w:space="0" w:color="auto"/>
            <w:left w:val="none" w:sz="0" w:space="0" w:color="auto"/>
            <w:bottom w:val="none" w:sz="0" w:space="0" w:color="auto"/>
            <w:right w:val="none" w:sz="0" w:space="0" w:color="auto"/>
          </w:divBdr>
        </w:div>
        <w:div w:id="1544098028">
          <w:marLeft w:val="640"/>
          <w:marRight w:val="0"/>
          <w:marTop w:val="0"/>
          <w:marBottom w:val="0"/>
          <w:divBdr>
            <w:top w:val="none" w:sz="0" w:space="0" w:color="auto"/>
            <w:left w:val="none" w:sz="0" w:space="0" w:color="auto"/>
            <w:bottom w:val="none" w:sz="0" w:space="0" w:color="auto"/>
            <w:right w:val="none" w:sz="0" w:space="0" w:color="auto"/>
          </w:divBdr>
        </w:div>
        <w:div w:id="539391924">
          <w:marLeft w:val="640"/>
          <w:marRight w:val="0"/>
          <w:marTop w:val="0"/>
          <w:marBottom w:val="0"/>
          <w:divBdr>
            <w:top w:val="none" w:sz="0" w:space="0" w:color="auto"/>
            <w:left w:val="none" w:sz="0" w:space="0" w:color="auto"/>
            <w:bottom w:val="none" w:sz="0" w:space="0" w:color="auto"/>
            <w:right w:val="none" w:sz="0" w:space="0" w:color="auto"/>
          </w:divBdr>
        </w:div>
        <w:div w:id="1992099389">
          <w:marLeft w:val="640"/>
          <w:marRight w:val="0"/>
          <w:marTop w:val="0"/>
          <w:marBottom w:val="0"/>
          <w:divBdr>
            <w:top w:val="none" w:sz="0" w:space="0" w:color="auto"/>
            <w:left w:val="none" w:sz="0" w:space="0" w:color="auto"/>
            <w:bottom w:val="none" w:sz="0" w:space="0" w:color="auto"/>
            <w:right w:val="none" w:sz="0" w:space="0" w:color="auto"/>
          </w:divBdr>
        </w:div>
        <w:div w:id="564073328">
          <w:marLeft w:val="640"/>
          <w:marRight w:val="0"/>
          <w:marTop w:val="0"/>
          <w:marBottom w:val="0"/>
          <w:divBdr>
            <w:top w:val="none" w:sz="0" w:space="0" w:color="auto"/>
            <w:left w:val="none" w:sz="0" w:space="0" w:color="auto"/>
            <w:bottom w:val="none" w:sz="0" w:space="0" w:color="auto"/>
            <w:right w:val="none" w:sz="0" w:space="0" w:color="auto"/>
          </w:divBdr>
        </w:div>
        <w:div w:id="1628704298">
          <w:marLeft w:val="640"/>
          <w:marRight w:val="0"/>
          <w:marTop w:val="0"/>
          <w:marBottom w:val="0"/>
          <w:divBdr>
            <w:top w:val="none" w:sz="0" w:space="0" w:color="auto"/>
            <w:left w:val="none" w:sz="0" w:space="0" w:color="auto"/>
            <w:bottom w:val="none" w:sz="0" w:space="0" w:color="auto"/>
            <w:right w:val="none" w:sz="0" w:space="0" w:color="auto"/>
          </w:divBdr>
        </w:div>
        <w:div w:id="1066488349">
          <w:marLeft w:val="640"/>
          <w:marRight w:val="0"/>
          <w:marTop w:val="0"/>
          <w:marBottom w:val="0"/>
          <w:divBdr>
            <w:top w:val="none" w:sz="0" w:space="0" w:color="auto"/>
            <w:left w:val="none" w:sz="0" w:space="0" w:color="auto"/>
            <w:bottom w:val="none" w:sz="0" w:space="0" w:color="auto"/>
            <w:right w:val="none" w:sz="0" w:space="0" w:color="auto"/>
          </w:divBdr>
        </w:div>
        <w:div w:id="921068767">
          <w:marLeft w:val="640"/>
          <w:marRight w:val="0"/>
          <w:marTop w:val="0"/>
          <w:marBottom w:val="0"/>
          <w:divBdr>
            <w:top w:val="none" w:sz="0" w:space="0" w:color="auto"/>
            <w:left w:val="none" w:sz="0" w:space="0" w:color="auto"/>
            <w:bottom w:val="none" w:sz="0" w:space="0" w:color="auto"/>
            <w:right w:val="none" w:sz="0" w:space="0" w:color="auto"/>
          </w:divBdr>
        </w:div>
        <w:div w:id="9645925">
          <w:marLeft w:val="640"/>
          <w:marRight w:val="0"/>
          <w:marTop w:val="0"/>
          <w:marBottom w:val="0"/>
          <w:divBdr>
            <w:top w:val="none" w:sz="0" w:space="0" w:color="auto"/>
            <w:left w:val="none" w:sz="0" w:space="0" w:color="auto"/>
            <w:bottom w:val="none" w:sz="0" w:space="0" w:color="auto"/>
            <w:right w:val="none" w:sz="0" w:space="0" w:color="auto"/>
          </w:divBdr>
        </w:div>
        <w:div w:id="19746969">
          <w:marLeft w:val="640"/>
          <w:marRight w:val="0"/>
          <w:marTop w:val="0"/>
          <w:marBottom w:val="0"/>
          <w:divBdr>
            <w:top w:val="none" w:sz="0" w:space="0" w:color="auto"/>
            <w:left w:val="none" w:sz="0" w:space="0" w:color="auto"/>
            <w:bottom w:val="none" w:sz="0" w:space="0" w:color="auto"/>
            <w:right w:val="none" w:sz="0" w:space="0" w:color="auto"/>
          </w:divBdr>
        </w:div>
        <w:div w:id="1573193842">
          <w:marLeft w:val="640"/>
          <w:marRight w:val="0"/>
          <w:marTop w:val="0"/>
          <w:marBottom w:val="0"/>
          <w:divBdr>
            <w:top w:val="none" w:sz="0" w:space="0" w:color="auto"/>
            <w:left w:val="none" w:sz="0" w:space="0" w:color="auto"/>
            <w:bottom w:val="none" w:sz="0" w:space="0" w:color="auto"/>
            <w:right w:val="none" w:sz="0" w:space="0" w:color="auto"/>
          </w:divBdr>
        </w:div>
        <w:div w:id="1455904886">
          <w:marLeft w:val="640"/>
          <w:marRight w:val="0"/>
          <w:marTop w:val="0"/>
          <w:marBottom w:val="0"/>
          <w:divBdr>
            <w:top w:val="none" w:sz="0" w:space="0" w:color="auto"/>
            <w:left w:val="none" w:sz="0" w:space="0" w:color="auto"/>
            <w:bottom w:val="none" w:sz="0" w:space="0" w:color="auto"/>
            <w:right w:val="none" w:sz="0" w:space="0" w:color="auto"/>
          </w:divBdr>
        </w:div>
        <w:div w:id="526329943">
          <w:marLeft w:val="640"/>
          <w:marRight w:val="0"/>
          <w:marTop w:val="0"/>
          <w:marBottom w:val="0"/>
          <w:divBdr>
            <w:top w:val="none" w:sz="0" w:space="0" w:color="auto"/>
            <w:left w:val="none" w:sz="0" w:space="0" w:color="auto"/>
            <w:bottom w:val="none" w:sz="0" w:space="0" w:color="auto"/>
            <w:right w:val="none" w:sz="0" w:space="0" w:color="auto"/>
          </w:divBdr>
        </w:div>
        <w:div w:id="117768823">
          <w:marLeft w:val="640"/>
          <w:marRight w:val="0"/>
          <w:marTop w:val="0"/>
          <w:marBottom w:val="0"/>
          <w:divBdr>
            <w:top w:val="none" w:sz="0" w:space="0" w:color="auto"/>
            <w:left w:val="none" w:sz="0" w:space="0" w:color="auto"/>
            <w:bottom w:val="none" w:sz="0" w:space="0" w:color="auto"/>
            <w:right w:val="none" w:sz="0" w:space="0" w:color="auto"/>
          </w:divBdr>
        </w:div>
        <w:div w:id="199050897">
          <w:marLeft w:val="640"/>
          <w:marRight w:val="0"/>
          <w:marTop w:val="0"/>
          <w:marBottom w:val="0"/>
          <w:divBdr>
            <w:top w:val="none" w:sz="0" w:space="0" w:color="auto"/>
            <w:left w:val="none" w:sz="0" w:space="0" w:color="auto"/>
            <w:bottom w:val="none" w:sz="0" w:space="0" w:color="auto"/>
            <w:right w:val="none" w:sz="0" w:space="0" w:color="auto"/>
          </w:divBdr>
        </w:div>
        <w:div w:id="1647199878">
          <w:marLeft w:val="640"/>
          <w:marRight w:val="0"/>
          <w:marTop w:val="0"/>
          <w:marBottom w:val="0"/>
          <w:divBdr>
            <w:top w:val="none" w:sz="0" w:space="0" w:color="auto"/>
            <w:left w:val="none" w:sz="0" w:space="0" w:color="auto"/>
            <w:bottom w:val="none" w:sz="0" w:space="0" w:color="auto"/>
            <w:right w:val="none" w:sz="0" w:space="0" w:color="auto"/>
          </w:divBdr>
        </w:div>
        <w:div w:id="1064567731">
          <w:marLeft w:val="640"/>
          <w:marRight w:val="0"/>
          <w:marTop w:val="0"/>
          <w:marBottom w:val="0"/>
          <w:divBdr>
            <w:top w:val="none" w:sz="0" w:space="0" w:color="auto"/>
            <w:left w:val="none" w:sz="0" w:space="0" w:color="auto"/>
            <w:bottom w:val="none" w:sz="0" w:space="0" w:color="auto"/>
            <w:right w:val="none" w:sz="0" w:space="0" w:color="auto"/>
          </w:divBdr>
        </w:div>
        <w:div w:id="26571284">
          <w:marLeft w:val="640"/>
          <w:marRight w:val="0"/>
          <w:marTop w:val="0"/>
          <w:marBottom w:val="0"/>
          <w:divBdr>
            <w:top w:val="none" w:sz="0" w:space="0" w:color="auto"/>
            <w:left w:val="none" w:sz="0" w:space="0" w:color="auto"/>
            <w:bottom w:val="none" w:sz="0" w:space="0" w:color="auto"/>
            <w:right w:val="none" w:sz="0" w:space="0" w:color="auto"/>
          </w:divBdr>
        </w:div>
        <w:div w:id="1844395412">
          <w:marLeft w:val="640"/>
          <w:marRight w:val="0"/>
          <w:marTop w:val="0"/>
          <w:marBottom w:val="0"/>
          <w:divBdr>
            <w:top w:val="none" w:sz="0" w:space="0" w:color="auto"/>
            <w:left w:val="none" w:sz="0" w:space="0" w:color="auto"/>
            <w:bottom w:val="none" w:sz="0" w:space="0" w:color="auto"/>
            <w:right w:val="none" w:sz="0" w:space="0" w:color="auto"/>
          </w:divBdr>
        </w:div>
        <w:div w:id="1325160274">
          <w:marLeft w:val="640"/>
          <w:marRight w:val="0"/>
          <w:marTop w:val="0"/>
          <w:marBottom w:val="0"/>
          <w:divBdr>
            <w:top w:val="none" w:sz="0" w:space="0" w:color="auto"/>
            <w:left w:val="none" w:sz="0" w:space="0" w:color="auto"/>
            <w:bottom w:val="none" w:sz="0" w:space="0" w:color="auto"/>
            <w:right w:val="none" w:sz="0" w:space="0" w:color="auto"/>
          </w:divBdr>
        </w:div>
        <w:div w:id="1736468098">
          <w:marLeft w:val="640"/>
          <w:marRight w:val="0"/>
          <w:marTop w:val="0"/>
          <w:marBottom w:val="0"/>
          <w:divBdr>
            <w:top w:val="none" w:sz="0" w:space="0" w:color="auto"/>
            <w:left w:val="none" w:sz="0" w:space="0" w:color="auto"/>
            <w:bottom w:val="none" w:sz="0" w:space="0" w:color="auto"/>
            <w:right w:val="none" w:sz="0" w:space="0" w:color="auto"/>
          </w:divBdr>
        </w:div>
        <w:div w:id="446197612">
          <w:marLeft w:val="640"/>
          <w:marRight w:val="0"/>
          <w:marTop w:val="0"/>
          <w:marBottom w:val="0"/>
          <w:divBdr>
            <w:top w:val="none" w:sz="0" w:space="0" w:color="auto"/>
            <w:left w:val="none" w:sz="0" w:space="0" w:color="auto"/>
            <w:bottom w:val="none" w:sz="0" w:space="0" w:color="auto"/>
            <w:right w:val="none" w:sz="0" w:space="0" w:color="auto"/>
          </w:divBdr>
        </w:div>
        <w:div w:id="2076076827">
          <w:marLeft w:val="640"/>
          <w:marRight w:val="0"/>
          <w:marTop w:val="0"/>
          <w:marBottom w:val="0"/>
          <w:divBdr>
            <w:top w:val="none" w:sz="0" w:space="0" w:color="auto"/>
            <w:left w:val="none" w:sz="0" w:space="0" w:color="auto"/>
            <w:bottom w:val="none" w:sz="0" w:space="0" w:color="auto"/>
            <w:right w:val="none" w:sz="0" w:space="0" w:color="auto"/>
          </w:divBdr>
        </w:div>
        <w:div w:id="1572277353">
          <w:marLeft w:val="640"/>
          <w:marRight w:val="0"/>
          <w:marTop w:val="0"/>
          <w:marBottom w:val="0"/>
          <w:divBdr>
            <w:top w:val="none" w:sz="0" w:space="0" w:color="auto"/>
            <w:left w:val="none" w:sz="0" w:space="0" w:color="auto"/>
            <w:bottom w:val="none" w:sz="0" w:space="0" w:color="auto"/>
            <w:right w:val="none" w:sz="0" w:space="0" w:color="auto"/>
          </w:divBdr>
        </w:div>
        <w:div w:id="39479110">
          <w:marLeft w:val="640"/>
          <w:marRight w:val="0"/>
          <w:marTop w:val="0"/>
          <w:marBottom w:val="0"/>
          <w:divBdr>
            <w:top w:val="none" w:sz="0" w:space="0" w:color="auto"/>
            <w:left w:val="none" w:sz="0" w:space="0" w:color="auto"/>
            <w:bottom w:val="none" w:sz="0" w:space="0" w:color="auto"/>
            <w:right w:val="none" w:sz="0" w:space="0" w:color="auto"/>
          </w:divBdr>
        </w:div>
        <w:div w:id="1254318525">
          <w:marLeft w:val="640"/>
          <w:marRight w:val="0"/>
          <w:marTop w:val="0"/>
          <w:marBottom w:val="0"/>
          <w:divBdr>
            <w:top w:val="none" w:sz="0" w:space="0" w:color="auto"/>
            <w:left w:val="none" w:sz="0" w:space="0" w:color="auto"/>
            <w:bottom w:val="none" w:sz="0" w:space="0" w:color="auto"/>
            <w:right w:val="none" w:sz="0" w:space="0" w:color="auto"/>
          </w:divBdr>
        </w:div>
        <w:div w:id="1856458464">
          <w:marLeft w:val="640"/>
          <w:marRight w:val="0"/>
          <w:marTop w:val="0"/>
          <w:marBottom w:val="0"/>
          <w:divBdr>
            <w:top w:val="none" w:sz="0" w:space="0" w:color="auto"/>
            <w:left w:val="none" w:sz="0" w:space="0" w:color="auto"/>
            <w:bottom w:val="none" w:sz="0" w:space="0" w:color="auto"/>
            <w:right w:val="none" w:sz="0" w:space="0" w:color="auto"/>
          </w:divBdr>
        </w:div>
        <w:div w:id="1612055386">
          <w:marLeft w:val="640"/>
          <w:marRight w:val="0"/>
          <w:marTop w:val="0"/>
          <w:marBottom w:val="0"/>
          <w:divBdr>
            <w:top w:val="none" w:sz="0" w:space="0" w:color="auto"/>
            <w:left w:val="none" w:sz="0" w:space="0" w:color="auto"/>
            <w:bottom w:val="none" w:sz="0" w:space="0" w:color="auto"/>
            <w:right w:val="none" w:sz="0" w:space="0" w:color="auto"/>
          </w:divBdr>
        </w:div>
        <w:div w:id="251742291">
          <w:marLeft w:val="640"/>
          <w:marRight w:val="0"/>
          <w:marTop w:val="0"/>
          <w:marBottom w:val="0"/>
          <w:divBdr>
            <w:top w:val="none" w:sz="0" w:space="0" w:color="auto"/>
            <w:left w:val="none" w:sz="0" w:space="0" w:color="auto"/>
            <w:bottom w:val="none" w:sz="0" w:space="0" w:color="auto"/>
            <w:right w:val="none" w:sz="0" w:space="0" w:color="auto"/>
          </w:divBdr>
        </w:div>
        <w:div w:id="2110157077">
          <w:marLeft w:val="640"/>
          <w:marRight w:val="0"/>
          <w:marTop w:val="0"/>
          <w:marBottom w:val="0"/>
          <w:divBdr>
            <w:top w:val="none" w:sz="0" w:space="0" w:color="auto"/>
            <w:left w:val="none" w:sz="0" w:space="0" w:color="auto"/>
            <w:bottom w:val="none" w:sz="0" w:space="0" w:color="auto"/>
            <w:right w:val="none" w:sz="0" w:space="0" w:color="auto"/>
          </w:divBdr>
        </w:div>
        <w:div w:id="1301038384">
          <w:marLeft w:val="640"/>
          <w:marRight w:val="0"/>
          <w:marTop w:val="0"/>
          <w:marBottom w:val="0"/>
          <w:divBdr>
            <w:top w:val="none" w:sz="0" w:space="0" w:color="auto"/>
            <w:left w:val="none" w:sz="0" w:space="0" w:color="auto"/>
            <w:bottom w:val="none" w:sz="0" w:space="0" w:color="auto"/>
            <w:right w:val="none" w:sz="0" w:space="0" w:color="auto"/>
          </w:divBdr>
        </w:div>
        <w:div w:id="1608392994">
          <w:marLeft w:val="640"/>
          <w:marRight w:val="0"/>
          <w:marTop w:val="0"/>
          <w:marBottom w:val="0"/>
          <w:divBdr>
            <w:top w:val="none" w:sz="0" w:space="0" w:color="auto"/>
            <w:left w:val="none" w:sz="0" w:space="0" w:color="auto"/>
            <w:bottom w:val="none" w:sz="0" w:space="0" w:color="auto"/>
            <w:right w:val="none" w:sz="0" w:space="0" w:color="auto"/>
          </w:divBdr>
        </w:div>
        <w:div w:id="1585992747">
          <w:marLeft w:val="640"/>
          <w:marRight w:val="0"/>
          <w:marTop w:val="0"/>
          <w:marBottom w:val="0"/>
          <w:divBdr>
            <w:top w:val="none" w:sz="0" w:space="0" w:color="auto"/>
            <w:left w:val="none" w:sz="0" w:space="0" w:color="auto"/>
            <w:bottom w:val="none" w:sz="0" w:space="0" w:color="auto"/>
            <w:right w:val="none" w:sz="0" w:space="0" w:color="auto"/>
          </w:divBdr>
        </w:div>
        <w:div w:id="1148476752">
          <w:marLeft w:val="640"/>
          <w:marRight w:val="0"/>
          <w:marTop w:val="0"/>
          <w:marBottom w:val="0"/>
          <w:divBdr>
            <w:top w:val="none" w:sz="0" w:space="0" w:color="auto"/>
            <w:left w:val="none" w:sz="0" w:space="0" w:color="auto"/>
            <w:bottom w:val="none" w:sz="0" w:space="0" w:color="auto"/>
            <w:right w:val="none" w:sz="0" w:space="0" w:color="auto"/>
          </w:divBdr>
        </w:div>
        <w:div w:id="918756314">
          <w:marLeft w:val="640"/>
          <w:marRight w:val="0"/>
          <w:marTop w:val="0"/>
          <w:marBottom w:val="0"/>
          <w:divBdr>
            <w:top w:val="none" w:sz="0" w:space="0" w:color="auto"/>
            <w:left w:val="none" w:sz="0" w:space="0" w:color="auto"/>
            <w:bottom w:val="none" w:sz="0" w:space="0" w:color="auto"/>
            <w:right w:val="none" w:sz="0" w:space="0" w:color="auto"/>
          </w:divBdr>
        </w:div>
        <w:div w:id="86314066">
          <w:marLeft w:val="640"/>
          <w:marRight w:val="0"/>
          <w:marTop w:val="0"/>
          <w:marBottom w:val="0"/>
          <w:divBdr>
            <w:top w:val="none" w:sz="0" w:space="0" w:color="auto"/>
            <w:left w:val="none" w:sz="0" w:space="0" w:color="auto"/>
            <w:bottom w:val="none" w:sz="0" w:space="0" w:color="auto"/>
            <w:right w:val="none" w:sz="0" w:space="0" w:color="auto"/>
          </w:divBdr>
        </w:div>
        <w:div w:id="714082654">
          <w:marLeft w:val="640"/>
          <w:marRight w:val="0"/>
          <w:marTop w:val="0"/>
          <w:marBottom w:val="0"/>
          <w:divBdr>
            <w:top w:val="none" w:sz="0" w:space="0" w:color="auto"/>
            <w:left w:val="none" w:sz="0" w:space="0" w:color="auto"/>
            <w:bottom w:val="none" w:sz="0" w:space="0" w:color="auto"/>
            <w:right w:val="none" w:sz="0" w:space="0" w:color="auto"/>
          </w:divBdr>
        </w:div>
        <w:div w:id="1138255810">
          <w:marLeft w:val="640"/>
          <w:marRight w:val="0"/>
          <w:marTop w:val="0"/>
          <w:marBottom w:val="0"/>
          <w:divBdr>
            <w:top w:val="none" w:sz="0" w:space="0" w:color="auto"/>
            <w:left w:val="none" w:sz="0" w:space="0" w:color="auto"/>
            <w:bottom w:val="none" w:sz="0" w:space="0" w:color="auto"/>
            <w:right w:val="none" w:sz="0" w:space="0" w:color="auto"/>
          </w:divBdr>
        </w:div>
        <w:div w:id="244805062">
          <w:marLeft w:val="640"/>
          <w:marRight w:val="0"/>
          <w:marTop w:val="0"/>
          <w:marBottom w:val="0"/>
          <w:divBdr>
            <w:top w:val="none" w:sz="0" w:space="0" w:color="auto"/>
            <w:left w:val="none" w:sz="0" w:space="0" w:color="auto"/>
            <w:bottom w:val="none" w:sz="0" w:space="0" w:color="auto"/>
            <w:right w:val="none" w:sz="0" w:space="0" w:color="auto"/>
          </w:divBdr>
        </w:div>
        <w:div w:id="372122134">
          <w:marLeft w:val="640"/>
          <w:marRight w:val="0"/>
          <w:marTop w:val="0"/>
          <w:marBottom w:val="0"/>
          <w:divBdr>
            <w:top w:val="none" w:sz="0" w:space="0" w:color="auto"/>
            <w:left w:val="none" w:sz="0" w:space="0" w:color="auto"/>
            <w:bottom w:val="none" w:sz="0" w:space="0" w:color="auto"/>
            <w:right w:val="none" w:sz="0" w:space="0" w:color="auto"/>
          </w:divBdr>
        </w:div>
        <w:div w:id="1689284429">
          <w:marLeft w:val="640"/>
          <w:marRight w:val="0"/>
          <w:marTop w:val="0"/>
          <w:marBottom w:val="0"/>
          <w:divBdr>
            <w:top w:val="none" w:sz="0" w:space="0" w:color="auto"/>
            <w:left w:val="none" w:sz="0" w:space="0" w:color="auto"/>
            <w:bottom w:val="none" w:sz="0" w:space="0" w:color="auto"/>
            <w:right w:val="none" w:sz="0" w:space="0" w:color="auto"/>
          </w:divBdr>
        </w:div>
        <w:div w:id="1888565090">
          <w:marLeft w:val="640"/>
          <w:marRight w:val="0"/>
          <w:marTop w:val="0"/>
          <w:marBottom w:val="0"/>
          <w:divBdr>
            <w:top w:val="none" w:sz="0" w:space="0" w:color="auto"/>
            <w:left w:val="none" w:sz="0" w:space="0" w:color="auto"/>
            <w:bottom w:val="none" w:sz="0" w:space="0" w:color="auto"/>
            <w:right w:val="none" w:sz="0" w:space="0" w:color="auto"/>
          </w:divBdr>
        </w:div>
        <w:div w:id="1575243065">
          <w:marLeft w:val="640"/>
          <w:marRight w:val="0"/>
          <w:marTop w:val="0"/>
          <w:marBottom w:val="0"/>
          <w:divBdr>
            <w:top w:val="none" w:sz="0" w:space="0" w:color="auto"/>
            <w:left w:val="none" w:sz="0" w:space="0" w:color="auto"/>
            <w:bottom w:val="none" w:sz="0" w:space="0" w:color="auto"/>
            <w:right w:val="none" w:sz="0" w:space="0" w:color="auto"/>
          </w:divBdr>
        </w:div>
        <w:div w:id="1682733796">
          <w:marLeft w:val="640"/>
          <w:marRight w:val="0"/>
          <w:marTop w:val="0"/>
          <w:marBottom w:val="0"/>
          <w:divBdr>
            <w:top w:val="none" w:sz="0" w:space="0" w:color="auto"/>
            <w:left w:val="none" w:sz="0" w:space="0" w:color="auto"/>
            <w:bottom w:val="none" w:sz="0" w:space="0" w:color="auto"/>
            <w:right w:val="none" w:sz="0" w:space="0" w:color="auto"/>
          </w:divBdr>
        </w:div>
        <w:div w:id="1449158832">
          <w:marLeft w:val="640"/>
          <w:marRight w:val="0"/>
          <w:marTop w:val="0"/>
          <w:marBottom w:val="0"/>
          <w:divBdr>
            <w:top w:val="none" w:sz="0" w:space="0" w:color="auto"/>
            <w:left w:val="none" w:sz="0" w:space="0" w:color="auto"/>
            <w:bottom w:val="none" w:sz="0" w:space="0" w:color="auto"/>
            <w:right w:val="none" w:sz="0" w:space="0" w:color="auto"/>
          </w:divBdr>
        </w:div>
        <w:div w:id="1567063042">
          <w:marLeft w:val="640"/>
          <w:marRight w:val="0"/>
          <w:marTop w:val="0"/>
          <w:marBottom w:val="0"/>
          <w:divBdr>
            <w:top w:val="none" w:sz="0" w:space="0" w:color="auto"/>
            <w:left w:val="none" w:sz="0" w:space="0" w:color="auto"/>
            <w:bottom w:val="none" w:sz="0" w:space="0" w:color="auto"/>
            <w:right w:val="none" w:sz="0" w:space="0" w:color="auto"/>
          </w:divBdr>
        </w:div>
        <w:div w:id="1571580280">
          <w:marLeft w:val="640"/>
          <w:marRight w:val="0"/>
          <w:marTop w:val="0"/>
          <w:marBottom w:val="0"/>
          <w:divBdr>
            <w:top w:val="none" w:sz="0" w:space="0" w:color="auto"/>
            <w:left w:val="none" w:sz="0" w:space="0" w:color="auto"/>
            <w:bottom w:val="none" w:sz="0" w:space="0" w:color="auto"/>
            <w:right w:val="none" w:sz="0" w:space="0" w:color="auto"/>
          </w:divBdr>
        </w:div>
        <w:div w:id="1680237546">
          <w:marLeft w:val="640"/>
          <w:marRight w:val="0"/>
          <w:marTop w:val="0"/>
          <w:marBottom w:val="0"/>
          <w:divBdr>
            <w:top w:val="none" w:sz="0" w:space="0" w:color="auto"/>
            <w:left w:val="none" w:sz="0" w:space="0" w:color="auto"/>
            <w:bottom w:val="none" w:sz="0" w:space="0" w:color="auto"/>
            <w:right w:val="none" w:sz="0" w:space="0" w:color="auto"/>
          </w:divBdr>
        </w:div>
        <w:div w:id="297303369">
          <w:marLeft w:val="640"/>
          <w:marRight w:val="0"/>
          <w:marTop w:val="0"/>
          <w:marBottom w:val="0"/>
          <w:divBdr>
            <w:top w:val="none" w:sz="0" w:space="0" w:color="auto"/>
            <w:left w:val="none" w:sz="0" w:space="0" w:color="auto"/>
            <w:bottom w:val="none" w:sz="0" w:space="0" w:color="auto"/>
            <w:right w:val="none" w:sz="0" w:space="0" w:color="auto"/>
          </w:divBdr>
        </w:div>
        <w:div w:id="1618677264">
          <w:marLeft w:val="640"/>
          <w:marRight w:val="0"/>
          <w:marTop w:val="0"/>
          <w:marBottom w:val="0"/>
          <w:divBdr>
            <w:top w:val="none" w:sz="0" w:space="0" w:color="auto"/>
            <w:left w:val="none" w:sz="0" w:space="0" w:color="auto"/>
            <w:bottom w:val="none" w:sz="0" w:space="0" w:color="auto"/>
            <w:right w:val="none" w:sz="0" w:space="0" w:color="auto"/>
          </w:divBdr>
        </w:div>
        <w:div w:id="811290488">
          <w:marLeft w:val="640"/>
          <w:marRight w:val="0"/>
          <w:marTop w:val="0"/>
          <w:marBottom w:val="0"/>
          <w:divBdr>
            <w:top w:val="none" w:sz="0" w:space="0" w:color="auto"/>
            <w:left w:val="none" w:sz="0" w:space="0" w:color="auto"/>
            <w:bottom w:val="none" w:sz="0" w:space="0" w:color="auto"/>
            <w:right w:val="none" w:sz="0" w:space="0" w:color="auto"/>
          </w:divBdr>
        </w:div>
        <w:div w:id="1108040150">
          <w:marLeft w:val="640"/>
          <w:marRight w:val="0"/>
          <w:marTop w:val="0"/>
          <w:marBottom w:val="0"/>
          <w:divBdr>
            <w:top w:val="none" w:sz="0" w:space="0" w:color="auto"/>
            <w:left w:val="none" w:sz="0" w:space="0" w:color="auto"/>
            <w:bottom w:val="none" w:sz="0" w:space="0" w:color="auto"/>
            <w:right w:val="none" w:sz="0" w:space="0" w:color="auto"/>
          </w:divBdr>
        </w:div>
        <w:div w:id="488667767">
          <w:marLeft w:val="640"/>
          <w:marRight w:val="0"/>
          <w:marTop w:val="0"/>
          <w:marBottom w:val="0"/>
          <w:divBdr>
            <w:top w:val="none" w:sz="0" w:space="0" w:color="auto"/>
            <w:left w:val="none" w:sz="0" w:space="0" w:color="auto"/>
            <w:bottom w:val="none" w:sz="0" w:space="0" w:color="auto"/>
            <w:right w:val="none" w:sz="0" w:space="0" w:color="auto"/>
          </w:divBdr>
        </w:div>
        <w:div w:id="628167603">
          <w:marLeft w:val="640"/>
          <w:marRight w:val="0"/>
          <w:marTop w:val="0"/>
          <w:marBottom w:val="0"/>
          <w:divBdr>
            <w:top w:val="none" w:sz="0" w:space="0" w:color="auto"/>
            <w:left w:val="none" w:sz="0" w:space="0" w:color="auto"/>
            <w:bottom w:val="none" w:sz="0" w:space="0" w:color="auto"/>
            <w:right w:val="none" w:sz="0" w:space="0" w:color="auto"/>
          </w:divBdr>
        </w:div>
        <w:div w:id="1266695716">
          <w:marLeft w:val="640"/>
          <w:marRight w:val="0"/>
          <w:marTop w:val="0"/>
          <w:marBottom w:val="0"/>
          <w:divBdr>
            <w:top w:val="none" w:sz="0" w:space="0" w:color="auto"/>
            <w:left w:val="none" w:sz="0" w:space="0" w:color="auto"/>
            <w:bottom w:val="none" w:sz="0" w:space="0" w:color="auto"/>
            <w:right w:val="none" w:sz="0" w:space="0" w:color="auto"/>
          </w:divBdr>
        </w:div>
        <w:div w:id="1799454241">
          <w:marLeft w:val="640"/>
          <w:marRight w:val="0"/>
          <w:marTop w:val="0"/>
          <w:marBottom w:val="0"/>
          <w:divBdr>
            <w:top w:val="none" w:sz="0" w:space="0" w:color="auto"/>
            <w:left w:val="none" w:sz="0" w:space="0" w:color="auto"/>
            <w:bottom w:val="none" w:sz="0" w:space="0" w:color="auto"/>
            <w:right w:val="none" w:sz="0" w:space="0" w:color="auto"/>
          </w:divBdr>
        </w:div>
        <w:div w:id="25060423">
          <w:marLeft w:val="640"/>
          <w:marRight w:val="0"/>
          <w:marTop w:val="0"/>
          <w:marBottom w:val="0"/>
          <w:divBdr>
            <w:top w:val="none" w:sz="0" w:space="0" w:color="auto"/>
            <w:left w:val="none" w:sz="0" w:space="0" w:color="auto"/>
            <w:bottom w:val="none" w:sz="0" w:space="0" w:color="auto"/>
            <w:right w:val="none" w:sz="0" w:space="0" w:color="auto"/>
          </w:divBdr>
        </w:div>
        <w:div w:id="180123696">
          <w:marLeft w:val="640"/>
          <w:marRight w:val="0"/>
          <w:marTop w:val="0"/>
          <w:marBottom w:val="0"/>
          <w:divBdr>
            <w:top w:val="none" w:sz="0" w:space="0" w:color="auto"/>
            <w:left w:val="none" w:sz="0" w:space="0" w:color="auto"/>
            <w:bottom w:val="none" w:sz="0" w:space="0" w:color="auto"/>
            <w:right w:val="none" w:sz="0" w:space="0" w:color="auto"/>
          </w:divBdr>
        </w:div>
        <w:div w:id="338627403">
          <w:marLeft w:val="640"/>
          <w:marRight w:val="0"/>
          <w:marTop w:val="0"/>
          <w:marBottom w:val="0"/>
          <w:divBdr>
            <w:top w:val="none" w:sz="0" w:space="0" w:color="auto"/>
            <w:left w:val="none" w:sz="0" w:space="0" w:color="auto"/>
            <w:bottom w:val="none" w:sz="0" w:space="0" w:color="auto"/>
            <w:right w:val="none" w:sz="0" w:space="0" w:color="auto"/>
          </w:divBdr>
        </w:div>
        <w:div w:id="1182622847">
          <w:marLeft w:val="640"/>
          <w:marRight w:val="0"/>
          <w:marTop w:val="0"/>
          <w:marBottom w:val="0"/>
          <w:divBdr>
            <w:top w:val="none" w:sz="0" w:space="0" w:color="auto"/>
            <w:left w:val="none" w:sz="0" w:space="0" w:color="auto"/>
            <w:bottom w:val="none" w:sz="0" w:space="0" w:color="auto"/>
            <w:right w:val="none" w:sz="0" w:space="0" w:color="auto"/>
          </w:divBdr>
        </w:div>
        <w:div w:id="1006791287">
          <w:marLeft w:val="640"/>
          <w:marRight w:val="0"/>
          <w:marTop w:val="0"/>
          <w:marBottom w:val="0"/>
          <w:divBdr>
            <w:top w:val="none" w:sz="0" w:space="0" w:color="auto"/>
            <w:left w:val="none" w:sz="0" w:space="0" w:color="auto"/>
            <w:bottom w:val="none" w:sz="0" w:space="0" w:color="auto"/>
            <w:right w:val="none" w:sz="0" w:space="0" w:color="auto"/>
          </w:divBdr>
        </w:div>
        <w:div w:id="1296059674">
          <w:marLeft w:val="640"/>
          <w:marRight w:val="0"/>
          <w:marTop w:val="0"/>
          <w:marBottom w:val="0"/>
          <w:divBdr>
            <w:top w:val="none" w:sz="0" w:space="0" w:color="auto"/>
            <w:left w:val="none" w:sz="0" w:space="0" w:color="auto"/>
            <w:bottom w:val="none" w:sz="0" w:space="0" w:color="auto"/>
            <w:right w:val="none" w:sz="0" w:space="0" w:color="auto"/>
          </w:divBdr>
        </w:div>
        <w:div w:id="2122070314">
          <w:marLeft w:val="640"/>
          <w:marRight w:val="0"/>
          <w:marTop w:val="0"/>
          <w:marBottom w:val="0"/>
          <w:divBdr>
            <w:top w:val="none" w:sz="0" w:space="0" w:color="auto"/>
            <w:left w:val="none" w:sz="0" w:space="0" w:color="auto"/>
            <w:bottom w:val="none" w:sz="0" w:space="0" w:color="auto"/>
            <w:right w:val="none" w:sz="0" w:space="0" w:color="auto"/>
          </w:divBdr>
        </w:div>
        <w:div w:id="431973816">
          <w:marLeft w:val="640"/>
          <w:marRight w:val="0"/>
          <w:marTop w:val="0"/>
          <w:marBottom w:val="0"/>
          <w:divBdr>
            <w:top w:val="none" w:sz="0" w:space="0" w:color="auto"/>
            <w:left w:val="none" w:sz="0" w:space="0" w:color="auto"/>
            <w:bottom w:val="none" w:sz="0" w:space="0" w:color="auto"/>
            <w:right w:val="none" w:sz="0" w:space="0" w:color="auto"/>
          </w:divBdr>
        </w:div>
        <w:div w:id="1817381232">
          <w:marLeft w:val="640"/>
          <w:marRight w:val="0"/>
          <w:marTop w:val="0"/>
          <w:marBottom w:val="0"/>
          <w:divBdr>
            <w:top w:val="none" w:sz="0" w:space="0" w:color="auto"/>
            <w:left w:val="none" w:sz="0" w:space="0" w:color="auto"/>
            <w:bottom w:val="none" w:sz="0" w:space="0" w:color="auto"/>
            <w:right w:val="none" w:sz="0" w:space="0" w:color="auto"/>
          </w:divBdr>
        </w:div>
        <w:div w:id="1571889347">
          <w:marLeft w:val="640"/>
          <w:marRight w:val="0"/>
          <w:marTop w:val="0"/>
          <w:marBottom w:val="0"/>
          <w:divBdr>
            <w:top w:val="none" w:sz="0" w:space="0" w:color="auto"/>
            <w:left w:val="none" w:sz="0" w:space="0" w:color="auto"/>
            <w:bottom w:val="none" w:sz="0" w:space="0" w:color="auto"/>
            <w:right w:val="none" w:sz="0" w:space="0" w:color="auto"/>
          </w:divBdr>
        </w:div>
        <w:div w:id="119760663">
          <w:marLeft w:val="640"/>
          <w:marRight w:val="0"/>
          <w:marTop w:val="0"/>
          <w:marBottom w:val="0"/>
          <w:divBdr>
            <w:top w:val="none" w:sz="0" w:space="0" w:color="auto"/>
            <w:left w:val="none" w:sz="0" w:space="0" w:color="auto"/>
            <w:bottom w:val="none" w:sz="0" w:space="0" w:color="auto"/>
            <w:right w:val="none" w:sz="0" w:space="0" w:color="auto"/>
          </w:divBdr>
        </w:div>
        <w:div w:id="2018998484">
          <w:marLeft w:val="640"/>
          <w:marRight w:val="0"/>
          <w:marTop w:val="0"/>
          <w:marBottom w:val="0"/>
          <w:divBdr>
            <w:top w:val="none" w:sz="0" w:space="0" w:color="auto"/>
            <w:left w:val="none" w:sz="0" w:space="0" w:color="auto"/>
            <w:bottom w:val="none" w:sz="0" w:space="0" w:color="auto"/>
            <w:right w:val="none" w:sz="0" w:space="0" w:color="auto"/>
          </w:divBdr>
        </w:div>
        <w:div w:id="134959064">
          <w:marLeft w:val="640"/>
          <w:marRight w:val="0"/>
          <w:marTop w:val="0"/>
          <w:marBottom w:val="0"/>
          <w:divBdr>
            <w:top w:val="none" w:sz="0" w:space="0" w:color="auto"/>
            <w:left w:val="none" w:sz="0" w:space="0" w:color="auto"/>
            <w:bottom w:val="none" w:sz="0" w:space="0" w:color="auto"/>
            <w:right w:val="none" w:sz="0" w:space="0" w:color="auto"/>
          </w:divBdr>
        </w:div>
        <w:div w:id="1187644323">
          <w:marLeft w:val="640"/>
          <w:marRight w:val="0"/>
          <w:marTop w:val="0"/>
          <w:marBottom w:val="0"/>
          <w:divBdr>
            <w:top w:val="none" w:sz="0" w:space="0" w:color="auto"/>
            <w:left w:val="none" w:sz="0" w:space="0" w:color="auto"/>
            <w:bottom w:val="none" w:sz="0" w:space="0" w:color="auto"/>
            <w:right w:val="none" w:sz="0" w:space="0" w:color="auto"/>
          </w:divBdr>
        </w:div>
        <w:div w:id="813107958">
          <w:marLeft w:val="640"/>
          <w:marRight w:val="0"/>
          <w:marTop w:val="0"/>
          <w:marBottom w:val="0"/>
          <w:divBdr>
            <w:top w:val="none" w:sz="0" w:space="0" w:color="auto"/>
            <w:left w:val="none" w:sz="0" w:space="0" w:color="auto"/>
            <w:bottom w:val="none" w:sz="0" w:space="0" w:color="auto"/>
            <w:right w:val="none" w:sz="0" w:space="0" w:color="auto"/>
          </w:divBdr>
        </w:div>
        <w:div w:id="109865530">
          <w:marLeft w:val="640"/>
          <w:marRight w:val="0"/>
          <w:marTop w:val="0"/>
          <w:marBottom w:val="0"/>
          <w:divBdr>
            <w:top w:val="none" w:sz="0" w:space="0" w:color="auto"/>
            <w:left w:val="none" w:sz="0" w:space="0" w:color="auto"/>
            <w:bottom w:val="none" w:sz="0" w:space="0" w:color="auto"/>
            <w:right w:val="none" w:sz="0" w:space="0" w:color="auto"/>
          </w:divBdr>
        </w:div>
        <w:div w:id="2040738533">
          <w:marLeft w:val="640"/>
          <w:marRight w:val="0"/>
          <w:marTop w:val="0"/>
          <w:marBottom w:val="0"/>
          <w:divBdr>
            <w:top w:val="none" w:sz="0" w:space="0" w:color="auto"/>
            <w:left w:val="none" w:sz="0" w:space="0" w:color="auto"/>
            <w:bottom w:val="none" w:sz="0" w:space="0" w:color="auto"/>
            <w:right w:val="none" w:sz="0" w:space="0" w:color="auto"/>
          </w:divBdr>
        </w:div>
        <w:div w:id="1585187830">
          <w:marLeft w:val="640"/>
          <w:marRight w:val="0"/>
          <w:marTop w:val="0"/>
          <w:marBottom w:val="0"/>
          <w:divBdr>
            <w:top w:val="none" w:sz="0" w:space="0" w:color="auto"/>
            <w:left w:val="none" w:sz="0" w:space="0" w:color="auto"/>
            <w:bottom w:val="none" w:sz="0" w:space="0" w:color="auto"/>
            <w:right w:val="none" w:sz="0" w:space="0" w:color="auto"/>
          </w:divBdr>
        </w:div>
        <w:div w:id="1747803557">
          <w:marLeft w:val="640"/>
          <w:marRight w:val="0"/>
          <w:marTop w:val="0"/>
          <w:marBottom w:val="0"/>
          <w:divBdr>
            <w:top w:val="none" w:sz="0" w:space="0" w:color="auto"/>
            <w:left w:val="none" w:sz="0" w:space="0" w:color="auto"/>
            <w:bottom w:val="none" w:sz="0" w:space="0" w:color="auto"/>
            <w:right w:val="none" w:sz="0" w:space="0" w:color="auto"/>
          </w:divBdr>
        </w:div>
        <w:div w:id="1251308488">
          <w:marLeft w:val="640"/>
          <w:marRight w:val="0"/>
          <w:marTop w:val="0"/>
          <w:marBottom w:val="0"/>
          <w:divBdr>
            <w:top w:val="none" w:sz="0" w:space="0" w:color="auto"/>
            <w:left w:val="none" w:sz="0" w:space="0" w:color="auto"/>
            <w:bottom w:val="none" w:sz="0" w:space="0" w:color="auto"/>
            <w:right w:val="none" w:sz="0" w:space="0" w:color="auto"/>
          </w:divBdr>
        </w:div>
        <w:div w:id="125778714">
          <w:marLeft w:val="640"/>
          <w:marRight w:val="0"/>
          <w:marTop w:val="0"/>
          <w:marBottom w:val="0"/>
          <w:divBdr>
            <w:top w:val="none" w:sz="0" w:space="0" w:color="auto"/>
            <w:left w:val="none" w:sz="0" w:space="0" w:color="auto"/>
            <w:bottom w:val="none" w:sz="0" w:space="0" w:color="auto"/>
            <w:right w:val="none" w:sz="0" w:space="0" w:color="auto"/>
          </w:divBdr>
        </w:div>
        <w:div w:id="973218218">
          <w:marLeft w:val="640"/>
          <w:marRight w:val="0"/>
          <w:marTop w:val="0"/>
          <w:marBottom w:val="0"/>
          <w:divBdr>
            <w:top w:val="none" w:sz="0" w:space="0" w:color="auto"/>
            <w:left w:val="none" w:sz="0" w:space="0" w:color="auto"/>
            <w:bottom w:val="none" w:sz="0" w:space="0" w:color="auto"/>
            <w:right w:val="none" w:sz="0" w:space="0" w:color="auto"/>
          </w:divBdr>
        </w:div>
        <w:div w:id="794518676">
          <w:marLeft w:val="640"/>
          <w:marRight w:val="0"/>
          <w:marTop w:val="0"/>
          <w:marBottom w:val="0"/>
          <w:divBdr>
            <w:top w:val="none" w:sz="0" w:space="0" w:color="auto"/>
            <w:left w:val="none" w:sz="0" w:space="0" w:color="auto"/>
            <w:bottom w:val="none" w:sz="0" w:space="0" w:color="auto"/>
            <w:right w:val="none" w:sz="0" w:space="0" w:color="auto"/>
          </w:divBdr>
        </w:div>
        <w:div w:id="1707482557">
          <w:marLeft w:val="640"/>
          <w:marRight w:val="0"/>
          <w:marTop w:val="0"/>
          <w:marBottom w:val="0"/>
          <w:divBdr>
            <w:top w:val="none" w:sz="0" w:space="0" w:color="auto"/>
            <w:left w:val="none" w:sz="0" w:space="0" w:color="auto"/>
            <w:bottom w:val="none" w:sz="0" w:space="0" w:color="auto"/>
            <w:right w:val="none" w:sz="0" w:space="0" w:color="auto"/>
          </w:divBdr>
        </w:div>
        <w:div w:id="529732811">
          <w:marLeft w:val="640"/>
          <w:marRight w:val="0"/>
          <w:marTop w:val="0"/>
          <w:marBottom w:val="0"/>
          <w:divBdr>
            <w:top w:val="none" w:sz="0" w:space="0" w:color="auto"/>
            <w:left w:val="none" w:sz="0" w:space="0" w:color="auto"/>
            <w:bottom w:val="none" w:sz="0" w:space="0" w:color="auto"/>
            <w:right w:val="none" w:sz="0" w:space="0" w:color="auto"/>
          </w:divBdr>
        </w:div>
        <w:div w:id="1628779853">
          <w:marLeft w:val="640"/>
          <w:marRight w:val="0"/>
          <w:marTop w:val="0"/>
          <w:marBottom w:val="0"/>
          <w:divBdr>
            <w:top w:val="none" w:sz="0" w:space="0" w:color="auto"/>
            <w:left w:val="none" w:sz="0" w:space="0" w:color="auto"/>
            <w:bottom w:val="none" w:sz="0" w:space="0" w:color="auto"/>
            <w:right w:val="none" w:sz="0" w:space="0" w:color="auto"/>
          </w:divBdr>
        </w:div>
        <w:div w:id="397898324">
          <w:marLeft w:val="640"/>
          <w:marRight w:val="0"/>
          <w:marTop w:val="0"/>
          <w:marBottom w:val="0"/>
          <w:divBdr>
            <w:top w:val="none" w:sz="0" w:space="0" w:color="auto"/>
            <w:left w:val="none" w:sz="0" w:space="0" w:color="auto"/>
            <w:bottom w:val="none" w:sz="0" w:space="0" w:color="auto"/>
            <w:right w:val="none" w:sz="0" w:space="0" w:color="auto"/>
          </w:divBdr>
        </w:div>
        <w:div w:id="1836068796">
          <w:marLeft w:val="640"/>
          <w:marRight w:val="0"/>
          <w:marTop w:val="0"/>
          <w:marBottom w:val="0"/>
          <w:divBdr>
            <w:top w:val="none" w:sz="0" w:space="0" w:color="auto"/>
            <w:left w:val="none" w:sz="0" w:space="0" w:color="auto"/>
            <w:bottom w:val="none" w:sz="0" w:space="0" w:color="auto"/>
            <w:right w:val="none" w:sz="0" w:space="0" w:color="auto"/>
          </w:divBdr>
        </w:div>
        <w:div w:id="1466041815">
          <w:marLeft w:val="640"/>
          <w:marRight w:val="0"/>
          <w:marTop w:val="0"/>
          <w:marBottom w:val="0"/>
          <w:divBdr>
            <w:top w:val="none" w:sz="0" w:space="0" w:color="auto"/>
            <w:left w:val="none" w:sz="0" w:space="0" w:color="auto"/>
            <w:bottom w:val="none" w:sz="0" w:space="0" w:color="auto"/>
            <w:right w:val="none" w:sz="0" w:space="0" w:color="auto"/>
          </w:divBdr>
        </w:div>
        <w:div w:id="1223442642">
          <w:marLeft w:val="640"/>
          <w:marRight w:val="0"/>
          <w:marTop w:val="0"/>
          <w:marBottom w:val="0"/>
          <w:divBdr>
            <w:top w:val="none" w:sz="0" w:space="0" w:color="auto"/>
            <w:left w:val="none" w:sz="0" w:space="0" w:color="auto"/>
            <w:bottom w:val="none" w:sz="0" w:space="0" w:color="auto"/>
            <w:right w:val="none" w:sz="0" w:space="0" w:color="auto"/>
          </w:divBdr>
        </w:div>
        <w:div w:id="1902670998">
          <w:marLeft w:val="640"/>
          <w:marRight w:val="0"/>
          <w:marTop w:val="0"/>
          <w:marBottom w:val="0"/>
          <w:divBdr>
            <w:top w:val="none" w:sz="0" w:space="0" w:color="auto"/>
            <w:left w:val="none" w:sz="0" w:space="0" w:color="auto"/>
            <w:bottom w:val="none" w:sz="0" w:space="0" w:color="auto"/>
            <w:right w:val="none" w:sz="0" w:space="0" w:color="auto"/>
          </w:divBdr>
        </w:div>
        <w:div w:id="1522668403">
          <w:marLeft w:val="640"/>
          <w:marRight w:val="0"/>
          <w:marTop w:val="0"/>
          <w:marBottom w:val="0"/>
          <w:divBdr>
            <w:top w:val="none" w:sz="0" w:space="0" w:color="auto"/>
            <w:left w:val="none" w:sz="0" w:space="0" w:color="auto"/>
            <w:bottom w:val="none" w:sz="0" w:space="0" w:color="auto"/>
            <w:right w:val="none" w:sz="0" w:space="0" w:color="auto"/>
          </w:divBdr>
        </w:div>
        <w:div w:id="1757286018">
          <w:marLeft w:val="640"/>
          <w:marRight w:val="0"/>
          <w:marTop w:val="0"/>
          <w:marBottom w:val="0"/>
          <w:divBdr>
            <w:top w:val="none" w:sz="0" w:space="0" w:color="auto"/>
            <w:left w:val="none" w:sz="0" w:space="0" w:color="auto"/>
            <w:bottom w:val="none" w:sz="0" w:space="0" w:color="auto"/>
            <w:right w:val="none" w:sz="0" w:space="0" w:color="auto"/>
          </w:divBdr>
        </w:div>
        <w:div w:id="1996951961">
          <w:marLeft w:val="640"/>
          <w:marRight w:val="0"/>
          <w:marTop w:val="0"/>
          <w:marBottom w:val="0"/>
          <w:divBdr>
            <w:top w:val="none" w:sz="0" w:space="0" w:color="auto"/>
            <w:left w:val="none" w:sz="0" w:space="0" w:color="auto"/>
            <w:bottom w:val="none" w:sz="0" w:space="0" w:color="auto"/>
            <w:right w:val="none" w:sz="0" w:space="0" w:color="auto"/>
          </w:divBdr>
        </w:div>
        <w:div w:id="496310399">
          <w:marLeft w:val="640"/>
          <w:marRight w:val="0"/>
          <w:marTop w:val="0"/>
          <w:marBottom w:val="0"/>
          <w:divBdr>
            <w:top w:val="none" w:sz="0" w:space="0" w:color="auto"/>
            <w:left w:val="none" w:sz="0" w:space="0" w:color="auto"/>
            <w:bottom w:val="none" w:sz="0" w:space="0" w:color="auto"/>
            <w:right w:val="none" w:sz="0" w:space="0" w:color="auto"/>
          </w:divBdr>
        </w:div>
        <w:div w:id="1491362401">
          <w:marLeft w:val="640"/>
          <w:marRight w:val="0"/>
          <w:marTop w:val="0"/>
          <w:marBottom w:val="0"/>
          <w:divBdr>
            <w:top w:val="none" w:sz="0" w:space="0" w:color="auto"/>
            <w:left w:val="none" w:sz="0" w:space="0" w:color="auto"/>
            <w:bottom w:val="none" w:sz="0" w:space="0" w:color="auto"/>
            <w:right w:val="none" w:sz="0" w:space="0" w:color="auto"/>
          </w:divBdr>
        </w:div>
        <w:div w:id="116683140">
          <w:marLeft w:val="640"/>
          <w:marRight w:val="0"/>
          <w:marTop w:val="0"/>
          <w:marBottom w:val="0"/>
          <w:divBdr>
            <w:top w:val="none" w:sz="0" w:space="0" w:color="auto"/>
            <w:left w:val="none" w:sz="0" w:space="0" w:color="auto"/>
            <w:bottom w:val="none" w:sz="0" w:space="0" w:color="auto"/>
            <w:right w:val="none" w:sz="0" w:space="0" w:color="auto"/>
          </w:divBdr>
        </w:div>
        <w:div w:id="43602775">
          <w:marLeft w:val="640"/>
          <w:marRight w:val="0"/>
          <w:marTop w:val="0"/>
          <w:marBottom w:val="0"/>
          <w:divBdr>
            <w:top w:val="none" w:sz="0" w:space="0" w:color="auto"/>
            <w:left w:val="none" w:sz="0" w:space="0" w:color="auto"/>
            <w:bottom w:val="none" w:sz="0" w:space="0" w:color="auto"/>
            <w:right w:val="none" w:sz="0" w:space="0" w:color="auto"/>
          </w:divBdr>
        </w:div>
        <w:div w:id="321853481">
          <w:marLeft w:val="640"/>
          <w:marRight w:val="0"/>
          <w:marTop w:val="0"/>
          <w:marBottom w:val="0"/>
          <w:divBdr>
            <w:top w:val="none" w:sz="0" w:space="0" w:color="auto"/>
            <w:left w:val="none" w:sz="0" w:space="0" w:color="auto"/>
            <w:bottom w:val="none" w:sz="0" w:space="0" w:color="auto"/>
            <w:right w:val="none" w:sz="0" w:space="0" w:color="auto"/>
          </w:divBdr>
        </w:div>
        <w:div w:id="1677270513">
          <w:marLeft w:val="640"/>
          <w:marRight w:val="0"/>
          <w:marTop w:val="0"/>
          <w:marBottom w:val="0"/>
          <w:divBdr>
            <w:top w:val="none" w:sz="0" w:space="0" w:color="auto"/>
            <w:left w:val="none" w:sz="0" w:space="0" w:color="auto"/>
            <w:bottom w:val="none" w:sz="0" w:space="0" w:color="auto"/>
            <w:right w:val="none" w:sz="0" w:space="0" w:color="auto"/>
          </w:divBdr>
        </w:div>
        <w:div w:id="1105658509">
          <w:marLeft w:val="640"/>
          <w:marRight w:val="0"/>
          <w:marTop w:val="0"/>
          <w:marBottom w:val="0"/>
          <w:divBdr>
            <w:top w:val="none" w:sz="0" w:space="0" w:color="auto"/>
            <w:left w:val="none" w:sz="0" w:space="0" w:color="auto"/>
            <w:bottom w:val="none" w:sz="0" w:space="0" w:color="auto"/>
            <w:right w:val="none" w:sz="0" w:space="0" w:color="auto"/>
          </w:divBdr>
        </w:div>
        <w:div w:id="1071580376">
          <w:marLeft w:val="640"/>
          <w:marRight w:val="0"/>
          <w:marTop w:val="0"/>
          <w:marBottom w:val="0"/>
          <w:divBdr>
            <w:top w:val="none" w:sz="0" w:space="0" w:color="auto"/>
            <w:left w:val="none" w:sz="0" w:space="0" w:color="auto"/>
            <w:bottom w:val="none" w:sz="0" w:space="0" w:color="auto"/>
            <w:right w:val="none" w:sz="0" w:space="0" w:color="auto"/>
          </w:divBdr>
        </w:div>
        <w:div w:id="939949913">
          <w:marLeft w:val="640"/>
          <w:marRight w:val="0"/>
          <w:marTop w:val="0"/>
          <w:marBottom w:val="0"/>
          <w:divBdr>
            <w:top w:val="none" w:sz="0" w:space="0" w:color="auto"/>
            <w:left w:val="none" w:sz="0" w:space="0" w:color="auto"/>
            <w:bottom w:val="none" w:sz="0" w:space="0" w:color="auto"/>
            <w:right w:val="none" w:sz="0" w:space="0" w:color="auto"/>
          </w:divBdr>
        </w:div>
        <w:div w:id="1959795605">
          <w:marLeft w:val="640"/>
          <w:marRight w:val="0"/>
          <w:marTop w:val="0"/>
          <w:marBottom w:val="0"/>
          <w:divBdr>
            <w:top w:val="none" w:sz="0" w:space="0" w:color="auto"/>
            <w:left w:val="none" w:sz="0" w:space="0" w:color="auto"/>
            <w:bottom w:val="none" w:sz="0" w:space="0" w:color="auto"/>
            <w:right w:val="none" w:sz="0" w:space="0" w:color="auto"/>
          </w:divBdr>
        </w:div>
        <w:div w:id="562522053">
          <w:marLeft w:val="640"/>
          <w:marRight w:val="0"/>
          <w:marTop w:val="0"/>
          <w:marBottom w:val="0"/>
          <w:divBdr>
            <w:top w:val="none" w:sz="0" w:space="0" w:color="auto"/>
            <w:left w:val="none" w:sz="0" w:space="0" w:color="auto"/>
            <w:bottom w:val="none" w:sz="0" w:space="0" w:color="auto"/>
            <w:right w:val="none" w:sz="0" w:space="0" w:color="auto"/>
          </w:divBdr>
        </w:div>
        <w:div w:id="117264209">
          <w:marLeft w:val="640"/>
          <w:marRight w:val="0"/>
          <w:marTop w:val="0"/>
          <w:marBottom w:val="0"/>
          <w:divBdr>
            <w:top w:val="none" w:sz="0" w:space="0" w:color="auto"/>
            <w:left w:val="none" w:sz="0" w:space="0" w:color="auto"/>
            <w:bottom w:val="none" w:sz="0" w:space="0" w:color="auto"/>
            <w:right w:val="none" w:sz="0" w:space="0" w:color="auto"/>
          </w:divBdr>
        </w:div>
        <w:div w:id="2034450161">
          <w:marLeft w:val="640"/>
          <w:marRight w:val="0"/>
          <w:marTop w:val="0"/>
          <w:marBottom w:val="0"/>
          <w:divBdr>
            <w:top w:val="none" w:sz="0" w:space="0" w:color="auto"/>
            <w:left w:val="none" w:sz="0" w:space="0" w:color="auto"/>
            <w:bottom w:val="none" w:sz="0" w:space="0" w:color="auto"/>
            <w:right w:val="none" w:sz="0" w:space="0" w:color="auto"/>
          </w:divBdr>
        </w:div>
        <w:div w:id="783498948">
          <w:marLeft w:val="640"/>
          <w:marRight w:val="0"/>
          <w:marTop w:val="0"/>
          <w:marBottom w:val="0"/>
          <w:divBdr>
            <w:top w:val="none" w:sz="0" w:space="0" w:color="auto"/>
            <w:left w:val="none" w:sz="0" w:space="0" w:color="auto"/>
            <w:bottom w:val="none" w:sz="0" w:space="0" w:color="auto"/>
            <w:right w:val="none" w:sz="0" w:space="0" w:color="auto"/>
          </w:divBdr>
        </w:div>
        <w:div w:id="1248732158">
          <w:marLeft w:val="640"/>
          <w:marRight w:val="0"/>
          <w:marTop w:val="0"/>
          <w:marBottom w:val="0"/>
          <w:divBdr>
            <w:top w:val="none" w:sz="0" w:space="0" w:color="auto"/>
            <w:left w:val="none" w:sz="0" w:space="0" w:color="auto"/>
            <w:bottom w:val="none" w:sz="0" w:space="0" w:color="auto"/>
            <w:right w:val="none" w:sz="0" w:space="0" w:color="auto"/>
          </w:divBdr>
        </w:div>
        <w:div w:id="1637101688">
          <w:marLeft w:val="640"/>
          <w:marRight w:val="0"/>
          <w:marTop w:val="0"/>
          <w:marBottom w:val="0"/>
          <w:divBdr>
            <w:top w:val="none" w:sz="0" w:space="0" w:color="auto"/>
            <w:left w:val="none" w:sz="0" w:space="0" w:color="auto"/>
            <w:bottom w:val="none" w:sz="0" w:space="0" w:color="auto"/>
            <w:right w:val="none" w:sz="0" w:space="0" w:color="auto"/>
          </w:divBdr>
        </w:div>
        <w:div w:id="1699430580">
          <w:marLeft w:val="640"/>
          <w:marRight w:val="0"/>
          <w:marTop w:val="0"/>
          <w:marBottom w:val="0"/>
          <w:divBdr>
            <w:top w:val="none" w:sz="0" w:space="0" w:color="auto"/>
            <w:left w:val="none" w:sz="0" w:space="0" w:color="auto"/>
            <w:bottom w:val="none" w:sz="0" w:space="0" w:color="auto"/>
            <w:right w:val="none" w:sz="0" w:space="0" w:color="auto"/>
          </w:divBdr>
        </w:div>
        <w:div w:id="540290678">
          <w:marLeft w:val="640"/>
          <w:marRight w:val="0"/>
          <w:marTop w:val="0"/>
          <w:marBottom w:val="0"/>
          <w:divBdr>
            <w:top w:val="none" w:sz="0" w:space="0" w:color="auto"/>
            <w:left w:val="none" w:sz="0" w:space="0" w:color="auto"/>
            <w:bottom w:val="none" w:sz="0" w:space="0" w:color="auto"/>
            <w:right w:val="none" w:sz="0" w:space="0" w:color="auto"/>
          </w:divBdr>
        </w:div>
        <w:div w:id="1211303035">
          <w:marLeft w:val="640"/>
          <w:marRight w:val="0"/>
          <w:marTop w:val="0"/>
          <w:marBottom w:val="0"/>
          <w:divBdr>
            <w:top w:val="none" w:sz="0" w:space="0" w:color="auto"/>
            <w:left w:val="none" w:sz="0" w:space="0" w:color="auto"/>
            <w:bottom w:val="none" w:sz="0" w:space="0" w:color="auto"/>
            <w:right w:val="none" w:sz="0" w:space="0" w:color="auto"/>
          </w:divBdr>
        </w:div>
        <w:div w:id="461732257">
          <w:marLeft w:val="640"/>
          <w:marRight w:val="0"/>
          <w:marTop w:val="0"/>
          <w:marBottom w:val="0"/>
          <w:divBdr>
            <w:top w:val="none" w:sz="0" w:space="0" w:color="auto"/>
            <w:left w:val="none" w:sz="0" w:space="0" w:color="auto"/>
            <w:bottom w:val="none" w:sz="0" w:space="0" w:color="auto"/>
            <w:right w:val="none" w:sz="0" w:space="0" w:color="auto"/>
          </w:divBdr>
        </w:div>
        <w:div w:id="1581675010">
          <w:marLeft w:val="640"/>
          <w:marRight w:val="0"/>
          <w:marTop w:val="0"/>
          <w:marBottom w:val="0"/>
          <w:divBdr>
            <w:top w:val="none" w:sz="0" w:space="0" w:color="auto"/>
            <w:left w:val="none" w:sz="0" w:space="0" w:color="auto"/>
            <w:bottom w:val="none" w:sz="0" w:space="0" w:color="auto"/>
            <w:right w:val="none" w:sz="0" w:space="0" w:color="auto"/>
          </w:divBdr>
        </w:div>
        <w:div w:id="1698117480">
          <w:marLeft w:val="640"/>
          <w:marRight w:val="0"/>
          <w:marTop w:val="0"/>
          <w:marBottom w:val="0"/>
          <w:divBdr>
            <w:top w:val="none" w:sz="0" w:space="0" w:color="auto"/>
            <w:left w:val="none" w:sz="0" w:space="0" w:color="auto"/>
            <w:bottom w:val="none" w:sz="0" w:space="0" w:color="auto"/>
            <w:right w:val="none" w:sz="0" w:space="0" w:color="auto"/>
          </w:divBdr>
        </w:div>
        <w:div w:id="1468862496">
          <w:marLeft w:val="640"/>
          <w:marRight w:val="0"/>
          <w:marTop w:val="0"/>
          <w:marBottom w:val="0"/>
          <w:divBdr>
            <w:top w:val="none" w:sz="0" w:space="0" w:color="auto"/>
            <w:left w:val="none" w:sz="0" w:space="0" w:color="auto"/>
            <w:bottom w:val="none" w:sz="0" w:space="0" w:color="auto"/>
            <w:right w:val="none" w:sz="0" w:space="0" w:color="auto"/>
          </w:divBdr>
        </w:div>
        <w:div w:id="638802832">
          <w:marLeft w:val="640"/>
          <w:marRight w:val="0"/>
          <w:marTop w:val="0"/>
          <w:marBottom w:val="0"/>
          <w:divBdr>
            <w:top w:val="none" w:sz="0" w:space="0" w:color="auto"/>
            <w:left w:val="none" w:sz="0" w:space="0" w:color="auto"/>
            <w:bottom w:val="none" w:sz="0" w:space="0" w:color="auto"/>
            <w:right w:val="none" w:sz="0" w:space="0" w:color="auto"/>
          </w:divBdr>
        </w:div>
        <w:div w:id="1726174311">
          <w:marLeft w:val="640"/>
          <w:marRight w:val="0"/>
          <w:marTop w:val="0"/>
          <w:marBottom w:val="0"/>
          <w:divBdr>
            <w:top w:val="none" w:sz="0" w:space="0" w:color="auto"/>
            <w:left w:val="none" w:sz="0" w:space="0" w:color="auto"/>
            <w:bottom w:val="none" w:sz="0" w:space="0" w:color="auto"/>
            <w:right w:val="none" w:sz="0" w:space="0" w:color="auto"/>
          </w:divBdr>
        </w:div>
        <w:div w:id="145126957">
          <w:marLeft w:val="640"/>
          <w:marRight w:val="0"/>
          <w:marTop w:val="0"/>
          <w:marBottom w:val="0"/>
          <w:divBdr>
            <w:top w:val="none" w:sz="0" w:space="0" w:color="auto"/>
            <w:left w:val="none" w:sz="0" w:space="0" w:color="auto"/>
            <w:bottom w:val="none" w:sz="0" w:space="0" w:color="auto"/>
            <w:right w:val="none" w:sz="0" w:space="0" w:color="auto"/>
          </w:divBdr>
        </w:div>
        <w:div w:id="537427913">
          <w:marLeft w:val="640"/>
          <w:marRight w:val="0"/>
          <w:marTop w:val="0"/>
          <w:marBottom w:val="0"/>
          <w:divBdr>
            <w:top w:val="none" w:sz="0" w:space="0" w:color="auto"/>
            <w:left w:val="none" w:sz="0" w:space="0" w:color="auto"/>
            <w:bottom w:val="none" w:sz="0" w:space="0" w:color="auto"/>
            <w:right w:val="none" w:sz="0" w:space="0" w:color="auto"/>
          </w:divBdr>
        </w:div>
        <w:div w:id="1632517453">
          <w:marLeft w:val="640"/>
          <w:marRight w:val="0"/>
          <w:marTop w:val="0"/>
          <w:marBottom w:val="0"/>
          <w:divBdr>
            <w:top w:val="none" w:sz="0" w:space="0" w:color="auto"/>
            <w:left w:val="none" w:sz="0" w:space="0" w:color="auto"/>
            <w:bottom w:val="none" w:sz="0" w:space="0" w:color="auto"/>
            <w:right w:val="none" w:sz="0" w:space="0" w:color="auto"/>
          </w:divBdr>
        </w:div>
        <w:div w:id="1757630765">
          <w:marLeft w:val="640"/>
          <w:marRight w:val="0"/>
          <w:marTop w:val="0"/>
          <w:marBottom w:val="0"/>
          <w:divBdr>
            <w:top w:val="none" w:sz="0" w:space="0" w:color="auto"/>
            <w:left w:val="none" w:sz="0" w:space="0" w:color="auto"/>
            <w:bottom w:val="none" w:sz="0" w:space="0" w:color="auto"/>
            <w:right w:val="none" w:sz="0" w:space="0" w:color="auto"/>
          </w:divBdr>
        </w:div>
        <w:div w:id="1765764873">
          <w:marLeft w:val="640"/>
          <w:marRight w:val="0"/>
          <w:marTop w:val="0"/>
          <w:marBottom w:val="0"/>
          <w:divBdr>
            <w:top w:val="none" w:sz="0" w:space="0" w:color="auto"/>
            <w:left w:val="none" w:sz="0" w:space="0" w:color="auto"/>
            <w:bottom w:val="none" w:sz="0" w:space="0" w:color="auto"/>
            <w:right w:val="none" w:sz="0" w:space="0" w:color="auto"/>
          </w:divBdr>
        </w:div>
        <w:div w:id="1146817383">
          <w:marLeft w:val="640"/>
          <w:marRight w:val="0"/>
          <w:marTop w:val="0"/>
          <w:marBottom w:val="0"/>
          <w:divBdr>
            <w:top w:val="none" w:sz="0" w:space="0" w:color="auto"/>
            <w:left w:val="none" w:sz="0" w:space="0" w:color="auto"/>
            <w:bottom w:val="none" w:sz="0" w:space="0" w:color="auto"/>
            <w:right w:val="none" w:sz="0" w:space="0" w:color="auto"/>
          </w:divBdr>
        </w:div>
        <w:div w:id="1292515197">
          <w:marLeft w:val="640"/>
          <w:marRight w:val="0"/>
          <w:marTop w:val="0"/>
          <w:marBottom w:val="0"/>
          <w:divBdr>
            <w:top w:val="none" w:sz="0" w:space="0" w:color="auto"/>
            <w:left w:val="none" w:sz="0" w:space="0" w:color="auto"/>
            <w:bottom w:val="none" w:sz="0" w:space="0" w:color="auto"/>
            <w:right w:val="none" w:sz="0" w:space="0" w:color="auto"/>
          </w:divBdr>
        </w:div>
        <w:div w:id="517743407">
          <w:marLeft w:val="640"/>
          <w:marRight w:val="0"/>
          <w:marTop w:val="0"/>
          <w:marBottom w:val="0"/>
          <w:divBdr>
            <w:top w:val="none" w:sz="0" w:space="0" w:color="auto"/>
            <w:left w:val="none" w:sz="0" w:space="0" w:color="auto"/>
            <w:bottom w:val="none" w:sz="0" w:space="0" w:color="auto"/>
            <w:right w:val="none" w:sz="0" w:space="0" w:color="auto"/>
          </w:divBdr>
        </w:div>
        <w:div w:id="892277549">
          <w:marLeft w:val="640"/>
          <w:marRight w:val="0"/>
          <w:marTop w:val="0"/>
          <w:marBottom w:val="0"/>
          <w:divBdr>
            <w:top w:val="none" w:sz="0" w:space="0" w:color="auto"/>
            <w:left w:val="none" w:sz="0" w:space="0" w:color="auto"/>
            <w:bottom w:val="none" w:sz="0" w:space="0" w:color="auto"/>
            <w:right w:val="none" w:sz="0" w:space="0" w:color="auto"/>
          </w:divBdr>
        </w:div>
        <w:div w:id="580914536">
          <w:marLeft w:val="640"/>
          <w:marRight w:val="0"/>
          <w:marTop w:val="0"/>
          <w:marBottom w:val="0"/>
          <w:divBdr>
            <w:top w:val="none" w:sz="0" w:space="0" w:color="auto"/>
            <w:left w:val="none" w:sz="0" w:space="0" w:color="auto"/>
            <w:bottom w:val="none" w:sz="0" w:space="0" w:color="auto"/>
            <w:right w:val="none" w:sz="0" w:space="0" w:color="auto"/>
          </w:divBdr>
        </w:div>
        <w:div w:id="1027298262">
          <w:marLeft w:val="640"/>
          <w:marRight w:val="0"/>
          <w:marTop w:val="0"/>
          <w:marBottom w:val="0"/>
          <w:divBdr>
            <w:top w:val="none" w:sz="0" w:space="0" w:color="auto"/>
            <w:left w:val="none" w:sz="0" w:space="0" w:color="auto"/>
            <w:bottom w:val="none" w:sz="0" w:space="0" w:color="auto"/>
            <w:right w:val="none" w:sz="0" w:space="0" w:color="auto"/>
          </w:divBdr>
        </w:div>
        <w:div w:id="1859267822">
          <w:marLeft w:val="640"/>
          <w:marRight w:val="0"/>
          <w:marTop w:val="0"/>
          <w:marBottom w:val="0"/>
          <w:divBdr>
            <w:top w:val="none" w:sz="0" w:space="0" w:color="auto"/>
            <w:left w:val="none" w:sz="0" w:space="0" w:color="auto"/>
            <w:bottom w:val="none" w:sz="0" w:space="0" w:color="auto"/>
            <w:right w:val="none" w:sz="0" w:space="0" w:color="auto"/>
          </w:divBdr>
        </w:div>
        <w:div w:id="502093342">
          <w:marLeft w:val="640"/>
          <w:marRight w:val="0"/>
          <w:marTop w:val="0"/>
          <w:marBottom w:val="0"/>
          <w:divBdr>
            <w:top w:val="none" w:sz="0" w:space="0" w:color="auto"/>
            <w:left w:val="none" w:sz="0" w:space="0" w:color="auto"/>
            <w:bottom w:val="none" w:sz="0" w:space="0" w:color="auto"/>
            <w:right w:val="none" w:sz="0" w:space="0" w:color="auto"/>
          </w:divBdr>
        </w:div>
        <w:div w:id="523448898">
          <w:marLeft w:val="640"/>
          <w:marRight w:val="0"/>
          <w:marTop w:val="0"/>
          <w:marBottom w:val="0"/>
          <w:divBdr>
            <w:top w:val="none" w:sz="0" w:space="0" w:color="auto"/>
            <w:left w:val="none" w:sz="0" w:space="0" w:color="auto"/>
            <w:bottom w:val="none" w:sz="0" w:space="0" w:color="auto"/>
            <w:right w:val="none" w:sz="0" w:space="0" w:color="auto"/>
          </w:divBdr>
        </w:div>
        <w:div w:id="1607038241">
          <w:marLeft w:val="640"/>
          <w:marRight w:val="0"/>
          <w:marTop w:val="0"/>
          <w:marBottom w:val="0"/>
          <w:divBdr>
            <w:top w:val="none" w:sz="0" w:space="0" w:color="auto"/>
            <w:left w:val="none" w:sz="0" w:space="0" w:color="auto"/>
            <w:bottom w:val="none" w:sz="0" w:space="0" w:color="auto"/>
            <w:right w:val="none" w:sz="0" w:space="0" w:color="auto"/>
          </w:divBdr>
        </w:div>
        <w:div w:id="780102575">
          <w:marLeft w:val="640"/>
          <w:marRight w:val="0"/>
          <w:marTop w:val="0"/>
          <w:marBottom w:val="0"/>
          <w:divBdr>
            <w:top w:val="none" w:sz="0" w:space="0" w:color="auto"/>
            <w:left w:val="none" w:sz="0" w:space="0" w:color="auto"/>
            <w:bottom w:val="none" w:sz="0" w:space="0" w:color="auto"/>
            <w:right w:val="none" w:sz="0" w:space="0" w:color="auto"/>
          </w:divBdr>
        </w:div>
        <w:div w:id="56830872">
          <w:marLeft w:val="640"/>
          <w:marRight w:val="0"/>
          <w:marTop w:val="0"/>
          <w:marBottom w:val="0"/>
          <w:divBdr>
            <w:top w:val="none" w:sz="0" w:space="0" w:color="auto"/>
            <w:left w:val="none" w:sz="0" w:space="0" w:color="auto"/>
            <w:bottom w:val="none" w:sz="0" w:space="0" w:color="auto"/>
            <w:right w:val="none" w:sz="0" w:space="0" w:color="auto"/>
          </w:divBdr>
        </w:div>
        <w:div w:id="173572048">
          <w:marLeft w:val="640"/>
          <w:marRight w:val="0"/>
          <w:marTop w:val="0"/>
          <w:marBottom w:val="0"/>
          <w:divBdr>
            <w:top w:val="none" w:sz="0" w:space="0" w:color="auto"/>
            <w:left w:val="none" w:sz="0" w:space="0" w:color="auto"/>
            <w:bottom w:val="none" w:sz="0" w:space="0" w:color="auto"/>
            <w:right w:val="none" w:sz="0" w:space="0" w:color="auto"/>
          </w:divBdr>
        </w:div>
        <w:div w:id="669409736">
          <w:marLeft w:val="640"/>
          <w:marRight w:val="0"/>
          <w:marTop w:val="0"/>
          <w:marBottom w:val="0"/>
          <w:divBdr>
            <w:top w:val="none" w:sz="0" w:space="0" w:color="auto"/>
            <w:left w:val="none" w:sz="0" w:space="0" w:color="auto"/>
            <w:bottom w:val="none" w:sz="0" w:space="0" w:color="auto"/>
            <w:right w:val="none" w:sz="0" w:space="0" w:color="auto"/>
          </w:divBdr>
        </w:div>
        <w:div w:id="304894469">
          <w:marLeft w:val="640"/>
          <w:marRight w:val="0"/>
          <w:marTop w:val="0"/>
          <w:marBottom w:val="0"/>
          <w:divBdr>
            <w:top w:val="none" w:sz="0" w:space="0" w:color="auto"/>
            <w:left w:val="none" w:sz="0" w:space="0" w:color="auto"/>
            <w:bottom w:val="none" w:sz="0" w:space="0" w:color="auto"/>
            <w:right w:val="none" w:sz="0" w:space="0" w:color="auto"/>
          </w:divBdr>
        </w:div>
        <w:div w:id="704019490">
          <w:marLeft w:val="640"/>
          <w:marRight w:val="0"/>
          <w:marTop w:val="0"/>
          <w:marBottom w:val="0"/>
          <w:divBdr>
            <w:top w:val="none" w:sz="0" w:space="0" w:color="auto"/>
            <w:left w:val="none" w:sz="0" w:space="0" w:color="auto"/>
            <w:bottom w:val="none" w:sz="0" w:space="0" w:color="auto"/>
            <w:right w:val="none" w:sz="0" w:space="0" w:color="auto"/>
          </w:divBdr>
        </w:div>
        <w:div w:id="1779061784">
          <w:marLeft w:val="640"/>
          <w:marRight w:val="0"/>
          <w:marTop w:val="0"/>
          <w:marBottom w:val="0"/>
          <w:divBdr>
            <w:top w:val="none" w:sz="0" w:space="0" w:color="auto"/>
            <w:left w:val="none" w:sz="0" w:space="0" w:color="auto"/>
            <w:bottom w:val="none" w:sz="0" w:space="0" w:color="auto"/>
            <w:right w:val="none" w:sz="0" w:space="0" w:color="auto"/>
          </w:divBdr>
        </w:div>
        <w:div w:id="435440222">
          <w:marLeft w:val="640"/>
          <w:marRight w:val="0"/>
          <w:marTop w:val="0"/>
          <w:marBottom w:val="0"/>
          <w:divBdr>
            <w:top w:val="none" w:sz="0" w:space="0" w:color="auto"/>
            <w:left w:val="none" w:sz="0" w:space="0" w:color="auto"/>
            <w:bottom w:val="none" w:sz="0" w:space="0" w:color="auto"/>
            <w:right w:val="none" w:sz="0" w:space="0" w:color="auto"/>
          </w:divBdr>
        </w:div>
        <w:div w:id="1063061983">
          <w:marLeft w:val="640"/>
          <w:marRight w:val="0"/>
          <w:marTop w:val="0"/>
          <w:marBottom w:val="0"/>
          <w:divBdr>
            <w:top w:val="none" w:sz="0" w:space="0" w:color="auto"/>
            <w:left w:val="none" w:sz="0" w:space="0" w:color="auto"/>
            <w:bottom w:val="none" w:sz="0" w:space="0" w:color="auto"/>
            <w:right w:val="none" w:sz="0" w:space="0" w:color="auto"/>
          </w:divBdr>
        </w:div>
        <w:div w:id="2018725715">
          <w:marLeft w:val="640"/>
          <w:marRight w:val="0"/>
          <w:marTop w:val="0"/>
          <w:marBottom w:val="0"/>
          <w:divBdr>
            <w:top w:val="none" w:sz="0" w:space="0" w:color="auto"/>
            <w:left w:val="none" w:sz="0" w:space="0" w:color="auto"/>
            <w:bottom w:val="none" w:sz="0" w:space="0" w:color="auto"/>
            <w:right w:val="none" w:sz="0" w:space="0" w:color="auto"/>
          </w:divBdr>
        </w:div>
        <w:div w:id="450831269">
          <w:marLeft w:val="640"/>
          <w:marRight w:val="0"/>
          <w:marTop w:val="0"/>
          <w:marBottom w:val="0"/>
          <w:divBdr>
            <w:top w:val="none" w:sz="0" w:space="0" w:color="auto"/>
            <w:left w:val="none" w:sz="0" w:space="0" w:color="auto"/>
            <w:bottom w:val="none" w:sz="0" w:space="0" w:color="auto"/>
            <w:right w:val="none" w:sz="0" w:space="0" w:color="auto"/>
          </w:divBdr>
        </w:div>
        <w:div w:id="2126345612">
          <w:marLeft w:val="640"/>
          <w:marRight w:val="0"/>
          <w:marTop w:val="0"/>
          <w:marBottom w:val="0"/>
          <w:divBdr>
            <w:top w:val="none" w:sz="0" w:space="0" w:color="auto"/>
            <w:left w:val="none" w:sz="0" w:space="0" w:color="auto"/>
            <w:bottom w:val="none" w:sz="0" w:space="0" w:color="auto"/>
            <w:right w:val="none" w:sz="0" w:space="0" w:color="auto"/>
          </w:divBdr>
        </w:div>
        <w:div w:id="1669479748">
          <w:marLeft w:val="640"/>
          <w:marRight w:val="0"/>
          <w:marTop w:val="0"/>
          <w:marBottom w:val="0"/>
          <w:divBdr>
            <w:top w:val="none" w:sz="0" w:space="0" w:color="auto"/>
            <w:left w:val="none" w:sz="0" w:space="0" w:color="auto"/>
            <w:bottom w:val="none" w:sz="0" w:space="0" w:color="auto"/>
            <w:right w:val="none" w:sz="0" w:space="0" w:color="auto"/>
          </w:divBdr>
        </w:div>
        <w:div w:id="1041783878">
          <w:marLeft w:val="640"/>
          <w:marRight w:val="0"/>
          <w:marTop w:val="0"/>
          <w:marBottom w:val="0"/>
          <w:divBdr>
            <w:top w:val="none" w:sz="0" w:space="0" w:color="auto"/>
            <w:left w:val="none" w:sz="0" w:space="0" w:color="auto"/>
            <w:bottom w:val="none" w:sz="0" w:space="0" w:color="auto"/>
            <w:right w:val="none" w:sz="0" w:space="0" w:color="auto"/>
          </w:divBdr>
        </w:div>
        <w:div w:id="1062171020">
          <w:marLeft w:val="640"/>
          <w:marRight w:val="0"/>
          <w:marTop w:val="0"/>
          <w:marBottom w:val="0"/>
          <w:divBdr>
            <w:top w:val="none" w:sz="0" w:space="0" w:color="auto"/>
            <w:left w:val="none" w:sz="0" w:space="0" w:color="auto"/>
            <w:bottom w:val="none" w:sz="0" w:space="0" w:color="auto"/>
            <w:right w:val="none" w:sz="0" w:space="0" w:color="auto"/>
          </w:divBdr>
        </w:div>
        <w:div w:id="513039758">
          <w:marLeft w:val="640"/>
          <w:marRight w:val="0"/>
          <w:marTop w:val="0"/>
          <w:marBottom w:val="0"/>
          <w:divBdr>
            <w:top w:val="none" w:sz="0" w:space="0" w:color="auto"/>
            <w:left w:val="none" w:sz="0" w:space="0" w:color="auto"/>
            <w:bottom w:val="none" w:sz="0" w:space="0" w:color="auto"/>
            <w:right w:val="none" w:sz="0" w:space="0" w:color="auto"/>
          </w:divBdr>
        </w:div>
        <w:div w:id="1441146069">
          <w:marLeft w:val="640"/>
          <w:marRight w:val="0"/>
          <w:marTop w:val="0"/>
          <w:marBottom w:val="0"/>
          <w:divBdr>
            <w:top w:val="none" w:sz="0" w:space="0" w:color="auto"/>
            <w:left w:val="none" w:sz="0" w:space="0" w:color="auto"/>
            <w:bottom w:val="none" w:sz="0" w:space="0" w:color="auto"/>
            <w:right w:val="none" w:sz="0" w:space="0" w:color="auto"/>
          </w:divBdr>
        </w:div>
        <w:div w:id="2102994088">
          <w:marLeft w:val="640"/>
          <w:marRight w:val="0"/>
          <w:marTop w:val="0"/>
          <w:marBottom w:val="0"/>
          <w:divBdr>
            <w:top w:val="none" w:sz="0" w:space="0" w:color="auto"/>
            <w:left w:val="none" w:sz="0" w:space="0" w:color="auto"/>
            <w:bottom w:val="none" w:sz="0" w:space="0" w:color="auto"/>
            <w:right w:val="none" w:sz="0" w:space="0" w:color="auto"/>
          </w:divBdr>
        </w:div>
        <w:div w:id="1819028891">
          <w:marLeft w:val="640"/>
          <w:marRight w:val="0"/>
          <w:marTop w:val="0"/>
          <w:marBottom w:val="0"/>
          <w:divBdr>
            <w:top w:val="none" w:sz="0" w:space="0" w:color="auto"/>
            <w:left w:val="none" w:sz="0" w:space="0" w:color="auto"/>
            <w:bottom w:val="none" w:sz="0" w:space="0" w:color="auto"/>
            <w:right w:val="none" w:sz="0" w:space="0" w:color="auto"/>
          </w:divBdr>
        </w:div>
        <w:div w:id="1775126015">
          <w:marLeft w:val="640"/>
          <w:marRight w:val="0"/>
          <w:marTop w:val="0"/>
          <w:marBottom w:val="0"/>
          <w:divBdr>
            <w:top w:val="none" w:sz="0" w:space="0" w:color="auto"/>
            <w:left w:val="none" w:sz="0" w:space="0" w:color="auto"/>
            <w:bottom w:val="none" w:sz="0" w:space="0" w:color="auto"/>
            <w:right w:val="none" w:sz="0" w:space="0" w:color="auto"/>
          </w:divBdr>
        </w:div>
        <w:div w:id="608700906">
          <w:marLeft w:val="640"/>
          <w:marRight w:val="0"/>
          <w:marTop w:val="0"/>
          <w:marBottom w:val="0"/>
          <w:divBdr>
            <w:top w:val="none" w:sz="0" w:space="0" w:color="auto"/>
            <w:left w:val="none" w:sz="0" w:space="0" w:color="auto"/>
            <w:bottom w:val="none" w:sz="0" w:space="0" w:color="auto"/>
            <w:right w:val="none" w:sz="0" w:space="0" w:color="auto"/>
          </w:divBdr>
        </w:div>
        <w:div w:id="2014642607">
          <w:marLeft w:val="640"/>
          <w:marRight w:val="0"/>
          <w:marTop w:val="0"/>
          <w:marBottom w:val="0"/>
          <w:divBdr>
            <w:top w:val="none" w:sz="0" w:space="0" w:color="auto"/>
            <w:left w:val="none" w:sz="0" w:space="0" w:color="auto"/>
            <w:bottom w:val="none" w:sz="0" w:space="0" w:color="auto"/>
            <w:right w:val="none" w:sz="0" w:space="0" w:color="auto"/>
          </w:divBdr>
        </w:div>
        <w:div w:id="2083481140">
          <w:marLeft w:val="640"/>
          <w:marRight w:val="0"/>
          <w:marTop w:val="0"/>
          <w:marBottom w:val="0"/>
          <w:divBdr>
            <w:top w:val="none" w:sz="0" w:space="0" w:color="auto"/>
            <w:left w:val="none" w:sz="0" w:space="0" w:color="auto"/>
            <w:bottom w:val="none" w:sz="0" w:space="0" w:color="auto"/>
            <w:right w:val="none" w:sz="0" w:space="0" w:color="auto"/>
          </w:divBdr>
        </w:div>
        <w:div w:id="374044731">
          <w:marLeft w:val="640"/>
          <w:marRight w:val="0"/>
          <w:marTop w:val="0"/>
          <w:marBottom w:val="0"/>
          <w:divBdr>
            <w:top w:val="none" w:sz="0" w:space="0" w:color="auto"/>
            <w:left w:val="none" w:sz="0" w:space="0" w:color="auto"/>
            <w:bottom w:val="none" w:sz="0" w:space="0" w:color="auto"/>
            <w:right w:val="none" w:sz="0" w:space="0" w:color="auto"/>
          </w:divBdr>
        </w:div>
        <w:div w:id="1796484440">
          <w:marLeft w:val="640"/>
          <w:marRight w:val="0"/>
          <w:marTop w:val="0"/>
          <w:marBottom w:val="0"/>
          <w:divBdr>
            <w:top w:val="none" w:sz="0" w:space="0" w:color="auto"/>
            <w:left w:val="none" w:sz="0" w:space="0" w:color="auto"/>
            <w:bottom w:val="none" w:sz="0" w:space="0" w:color="auto"/>
            <w:right w:val="none" w:sz="0" w:space="0" w:color="auto"/>
          </w:divBdr>
        </w:div>
        <w:div w:id="106242858">
          <w:marLeft w:val="640"/>
          <w:marRight w:val="0"/>
          <w:marTop w:val="0"/>
          <w:marBottom w:val="0"/>
          <w:divBdr>
            <w:top w:val="none" w:sz="0" w:space="0" w:color="auto"/>
            <w:left w:val="none" w:sz="0" w:space="0" w:color="auto"/>
            <w:bottom w:val="none" w:sz="0" w:space="0" w:color="auto"/>
            <w:right w:val="none" w:sz="0" w:space="0" w:color="auto"/>
          </w:divBdr>
        </w:div>
        <w:div w:id="1745755269">
          <w:marLeft w:val="640"/>
          <w:marRight w:val="0"/>
          <w:marTop w:val="0"/>
          <w:marBottom w:val="0"/>
          <w:divBdr>
            <w:top w:val="none" w:sz="0" w:space="0" w:color="auto"/>
            <w:left w:val="none" w:sz="0" w:space="0" w:color="auto"/>
            <w:bottom w:val="none" w:sz="0" w:space="0" w:color="auto"/>
            <w:right w:val="none" w:sz="0" w:space="0" w:color="auto"/>
          </w:divBdr>
        </w:div>
        <w:div w:id="2060324747">
          <w:marLeft w:val="640"/>
          <w:marRight w:val="0"/>
          <w:marTop w:val="0"/>
          <w:marBottom w:val="0"/>
          <w:divBdr>
            <w:top w:val="none" w:sz="0" w:space="0" w:color="auto"/>
            <w:left w:val="none" w:sz="0" w:space="0" w:color="auto"/>
            <w:bottom w:val="none" w:sz="0" w:space="0" w:color="auto"/>
            <w:right w:val="none" w:sz="0" w:space="0" w:color="auto"/>
          </w:divBdr>
        </w:div>
        <w:div w:id="2110083606">
          <w:marLeft w:val="640"/>
          <w:marRight w:val="0"/>
          <w:marTop w:val="0"/>
          <w:marBottom w:val="0"/>
          <w:divBdr>
            <w:top w:val="none" w:sz="0" w:space="0" w:color="auto"/>
            <w:left w:val="none" w:sz="0" w:space="0" w:color="auto"/>
            <w:bottom w:val="none" w:sz="0" w:space="0" w:color="auto"/>
            <w:right w:val="none" w:sz="0" w:space="0" w:color="auto"/>
          </w:divBdr>
        </w:div>
        <w:div w:id="1166632570">
          <w:marLeft w:val="640"/>
          <w:marRight w:val="0"/>
          <w:marTop w:val="0"/>
          <w:marBottom w:val="0"/>
          <w:divBdr>
            <w:top w:val="none" w:sz="0" w:space="0" w:color="auto"/>
            <w:left w:val="none" w:sz="0" w:space="0" w:color="auto"/>
            <w:bottom w:val="none" w:sz="0" w:space="0" w:color="auto"/>
            <w:right w:val="none" w:sz="0" w:space="0" w:color="auto"/>
          </w:divBdr>
        </w:div>
        <w:div w:id="509222760">
          <w:marLeft w:val="640"/>
          <w:marRight w:val="0"/>
          <w:marTop w:val="0"/>
          <w:marBottom w:val="0"/>
          <w:divBdr>
            <w:top w:val="none" w:sz="0" w:space="0" w:color="auto"/>
            <w:left w:val="none" w:sz="0" w:space="0" w:color="auto"/>
            <w:bottom w:val="none" w:sz="0" w:space="0" w:color="auto"/>
            <w:right w:val="none" w:sz="0" w:space="0" w:color="auto"/>
          </w:divBdr>
        </w:div>
        <w:div w:id="601186149">
          <w:marLeft w:val="640"/>
          <w:marRight w:val="0"/>
          <w:marTop w:val="0"/>
          <w:marBottom w:val="0"/>
          <w:divBdr>
            <w:top w:val="none" w:sz="0" w:space="0" w:color="auto"/>
            <w:left w:val="none" w:sz="0" w:space="0" w:color="auto"/>
            <w:bottom w:val="none" w:sz="0" w:space="0" w:color="auto"/>
            <w:right w:val="none" w:sz="0" w:space="0" w:color="auto"/>
          </w:divBdr>
        </w:div>
        <w:div w:id="752895452">
          <w:marLeft w:val="640"/>
          <w:marRight w:val="0"/>
          <w:marTop w:val="0"/>
          <w:marBottom w:val="0"/>
          <w:divBdr>
            <w:top w:val="none" w:sz="0" w:space="0" w:color="auto"/>
            <w:left w:val="none" w:sz="0" w:space="0" w:color="auto"/>
            <w:bottom w:val="none" w:sz="0" w:space="0" w:color="auto"/>
            <w:right w:val="none" w:sz="0" w:space="0" w:color="auto"/>
          </w:divBdr>
        </w:div>
        <w:div w:id="344328688">
          <w:marLeft w:val="640"/>
          <w:marRight w:val="0"/>
          <w:marTop w:val="0"/>
          <w:marBottom w:val="0"/>
          <w:divBdr>
            <w:top w:val="none" w:sz="0" w:space="0" w:color="auto"/>
            <w:left w:val="none" w:sz="0" w:space="0" w:color="auto"/>
            <w:bottom w:val="none" w:sz="0" w:space="0" w:color="auto"/>
            <w:right w:val="none" w:sz="0" w:space="0" w:color="auto"/>
          </w:divBdr>
        </w:div>
        <w:div w:id="854684287">
          <w:marLeft w:val="640"/>
          <w:marRight w:val="0"/>
          <w:marTop w:val="0"/>
          <w:marBottom w:val="0"/>
          <w:divBdr>
            <w:top w:val="none" w:sz="0" w:space="0" w:color="auto"/>
            <w:left w:val="none" w:sz="0" w:space="0" w:color="auto"/>
            <w:bottom w:val="none" w:sz="0" w:space="0" w:color="auto"/>
            <w:right w:val="none" w:sz="0" w:space="0" w:color="auto"/>
          </w:divBdr>
        </w:div>
        <w:div w:id="162934835">
          <w:marLeft w:val="640"/>
          <w:marRight w:val="0"/>
          <w:marTop w:val="0"/>
          <w:marBottom w:val="0"/>
          <w:divBdr>
            <w:top w:val="none" w:sz="0" w:space="0" w:color="auto"/>
            <w:left w:val="none" w:sz="0" w:space="0" w:color="auto"/>
            <w:bottom w:val="none" w:sz="0" w:space="0" w:color="auto"/>
            <w:right w:val="none" w:sz="0" w:space="0" w:color="auto"/>
          </w:divBdr>
        </w:div>
        <w:div w:id="1591236848">
          <w:marLeft w:val="640"/>
          <w:marRight w:val="0"/>
          <w:marTop w:val="0"/>
          <w:marBottom w:val="0"/>
          <w:divBdr>
            <w:top w:val="none" w:sz="0" w:space="0" w:color="auto"/>
            <w:left w:val="none" w:sz="0" w:space="0" w:color="auto"/>
            <w:bottom w:val="none" w:sz="0" w:space="0" w:color="auto"/>
            <w:right w:val="none" w:sz="0" w:space="0" w:color="auto"/>
          </w:divBdr>
        </w:div>
        <w:div w:id="1689019912">
          <w:marLeft w:val="640"/>
          <w:marRight w:val="0"/>
          <w:marTop w:val="0"/>
          <w:marBottom w:val="0"/>
          <w:divBdr>
            <w:top w:val="none" w:sz="0" w:space="0" w:color="auto"/>
            <w:left w:val="none" w:sz="0" w:space="0" w:color="auto"/>
            <w:bottom w:val="none" w:sz="0" w:space="0" w:color="auto"/>
            <w:right w:val="none" w:sz="0" w:space="0" w:color="auto"/>
          </w:divBdr>
        </w:div>
        <w:div w:id="2093113094">
          <w:marLeft w:val="640"/>
          <w:marRight w:val="0"/>
          <w:marTop w:val="0"/>
          <w:marBottom w:val="0"/>
          <w:divBdr>
            <w:top w:val="none" w:sz="0" w:space="0" w:color="auto"/>
            <w:left w:val="none" w:sz="0" w:space="0" w:color="auto"/>
            <w:bottom w:val="none" w:sz="0" w:space="0" w:color="auto"/>
            <w:right w:val="none" w:sz="0" w:space="0" w:color="auto"/>
          </w:divBdr>
        </w:div>
      </w:divsChild>
    </w:div>
    <w:div w:id="720904700">
      <w:bodyDiv w:val="1"/>
      <w:marLeft w:val="0"/>
      <w:marRight w:val="0"/>
      <w:marTop w:val="0"/>
      <w:marBottom w:val="0"/>
      <w:divBdr>
        <w:top w:val="none" w:sz="0" w:space="0" w:color="auto"/>
        <w:left w:val="none" w:sz="0" w:space="0" w:color="auto"/>
        <w:bottom w:val="none" w:sz="0" w:space="0" w:color="auto"/>
        <w:right w:val="none" w:sz="0" w:space="0" w:color="auto"/>
      </w:divBdr>
      <w:divsChild>
        <w:div w:id="2130858930">
          <w:marLeft w:val="640"/>
          <w:marRight w:val="0"/>
          <w:marTop w:val="0"/>
          <w:marBottom w:val="0"/>
          <w:divBdr>
            <w:top w:val="none" w:sz="0" w:space="0" w:color="auto"/>
            <w:left w:val="none" w:sz="0" w:space="0" w:color="auto"/>
            <w:bottom w:val="none" w:sz="0" w:space="0" w:color="auto"/>
            <w:right w:val="none" w:sz="0" w:space="0" w:color="auto"/>
          </w:divBdr>
        </w:div>
        <w:div w:id="541867105">
          <w:marLeft w:val="640"/>
          <w:marRight w:val="0"/>
          <w:marTop w:val="0"/>
          <w:marBottom w:val="0"/>
          <w:divBdr>
            <w:top w:val="none" w:sz="0" w:space="0" w:color="auto"/>
            <w:left w:val="none" w:sz="0" w:space="0" w:color="auto"/>
            <w:bottom w:val="none" w:sz="0" w:space="0" w:color="auto"/>
            <w:right w:val="none" w:sz="0" w:space="0" w:color="auto"/>
          </w:divBdr>
        </w:div>
        <w:div w:id="1616137050">
          <w:marLeft w:val="640"/>
          <w:marRight w:val="0"/>
          <w:marTop w:val="0"/>
          <w:marBottom w:val="0"/>
          <w:divBdr>
            <w:top w:val="none" w:sz="0" w:space="0" w:color="auto"/>
            <w:left w:val="none" w:sz="0" w:space="0" w:color="auto"/>
            <w:bottom w:val="none" w:sz="0" w:space="0" w:color="auto"/>
            <w:right w:val="none" w:sz="0" w:space="0" w:color="auto"/>
          </w:divBdr>
        </w:div>
        <w:div w:id="1045982363">
          <w:marLeft w:val="640"/>
          <w:marRight w:val="0"/>
          <w:marTop w:val="0"/>
          <w:marBottom w:val="0"/>
          <w:divBdr>
            <w:top w:val="none" w:sz="0" w:space="0" w:color="auto"/>
            <w:left w:val="none" w:sz="0" w:space="0" w:color="auto"/>
            <w:bottom w:val="none" w:sz="0" w:space="0" w:color="auto"/>
            <w:right w:val="none" w:sz="0" w:space="0" w:color="auto"/>
          </w:divBdr>
        </w:div>
        <w:div w:id="1846937579">
          <w:marLeft w:val="640"/>
          <w:marRight w:val="0"/>
          <w:marTop w:val="0"/>
          <w:marBottom w:val="0"/>
          <w:divBdr>
            <w:top w:val="none" w:sz="0" w:space="0" w:color="auto"/>
            <w:left w:val="none" w:sz="0" w:space="0" w:color="auto"/>
            <w:bottom w:val="none" w:sz="0" w:space="0" w:color="auto"/>
            <w:right w:val="none" w:sz="0" w:space="0" w:color="auto"/>
          </w:divBdr>
        </w:div>
        <w:div w:id="264003996">
          <w:marLeft w:val="640"/>
          <w:marRight w:val="0"/>
          <w:marTop w:val="0"/>
          <w:marBottom w:val="0"/>
          <w:divBdr>
            <w:top w:val="none" w:sz="0" w:space="0" w:color="auto"/>
            <w:left w:val="none" w:sz="0" w:space="0" w:color="auto"/>
            <w:bottom w:val="none" w:sz="0" w:space="0" w:color="auto"/>
            <w:right w:val="none" w:sz="0" w:space="0" w:color="auto"/>
          </w:divBdr>
        </w:div>
        <w:div w:id="1443719236">
          <w:marLeft w:val="640"/>
          <w:marRight w:val="0"/>
          <w:marTop w:val="0"/>
          <w:marBottom w:val="0"/>
          <w:divBdr>
            <w:top w:val="none" w:sz="0" w:space="0" w:color="auto"/>
            <w:left w:val="none" w:sz="0" w:space="0" w:color="auto"/>
            <w:bottom w:val="none" w:sz="0" w:space="0" w:color="auto"/>
            <w:right w:val="none" w:sz="0" w:space="0" w:color="auto"/>
          </w:divBdr>
        </w:div>
        <w:div w:id="56712811">
          <w:marLeft w:val="640"/>
          <w:marRight w:val="0"/>
          <w:marTop w:val="0"/>
          <w:marBottom w:val="0"/>
          <w:divBdr>
            <w:top w:val="none" w:sz="0" w:space="0" w:color="auto"/>
            <w:left w:val="none" w:sz="0" w:space="0" w:color="auto"/>
            <w:bottom w:val="none" w:sz="0" w:space="0" w:color="auto"/>
            <w:right w:val="none" w:sz="0" w:space="0" w:color="auto"/>
          </w:divBdr>
        </w:div>
        <w:div w:id="202401691">
          <w:marLeft w:val="640"/>
          <w:marRight w:val="0"/>
          <w:marTop w:val="0"/>
          <w:marBottom w:val="0"/>
          <w:divBdr>
            <w:top w:val="none" w:sz="0" w:space="0" w:color="auto"/>
            <w:left w:val="none" w:sz="0" w:space="0" w:color="auto"/>
            <w:bottom w:val="none" w:sz="0" w:space="0" w:color="auto"/>
            <w:right w:val="none" w:sz="0" w:space="0" w:color="auto"/>
          </w:divBdr>
        </w:div>
        <w:div w:id="531307284">
          <w:marLeft w:val="640"/>
          <w:marRight w:val="0"/>
          <w:marTop w:val="0"/>
          <w:marBottom w:val="0"/>
          <w:divBdr>
            <w:top w:val="none" w:sz="0" w:space="0" w:color="auto"/>
            <w:left w:val="none" w:sz="0" w:space="0" w:color="auto"/>
            <w:bottom w:val="none" w:sz="0" w:space="0" w:color="auto"/>
            <w:right w:val="none" w:sz="0" w:space="0" w:color="auto"/>
          </w:divBdr>
        </w:div>
        <w:div w:id="1487672636">
          <w:marLeft w:val="640"/>
          <w:marRight w:val="0"/>
          <w:marTop w:val="0"/>
          <w:marBottom w:val="0"/>
          <w:divBdr>
            <w:top w:val="none" w:sz="0" w:space="0" w:color="auto"/>
            <w:left w:val="none" w:sz="0" w:space="0" w:color="auto"/>
            <w:bottom w:val="none" w:sz="0" w:space="0" w:color="auto"/>
            <w:right w:val="none" w:sz="0" w:space="0" w:color="auto"/>
          </w:divBdr>
        </w:div>
        <w:div w:id="1261716482">
          <w:marLeft w:val="640"/>
          <w:marRight w:val="0"/>
          <w:marTop w:val="0"/>
          <w:marBottom w:val="0"/>
          <w:divBdr>
            <w:top w:val="none" w:sz="0" w:space="0" w:color="auto"/>
            <w:left w:val="none" w:sz="0" w:space="0" w:color="auto"/>
            <w:bottom w:val="none" w:sz="0" w:space="0" w:color="auto"/>
            <w:right w:val="none" w:sz="0" w:space="0" w:color="auto"/>
          </w:divBdr>
        </w:div>
        <w:div w:id="1585529178">
          <w:marLeft w:val="640"/>
          <w:marRight w:val="0"/>
          <w:marTop w:val="0"/>
          <w:marBottom w:val="0"/>
          <w:divBdr>
            <w:top w:val="none" w:sz="0" w:space="0" w:color="auto"/>
            <w:left w:val="none" w:sz="0" w:space="0" w:color="auto"/>
            <w:bottom w:val="none" w:sz="0" w:space="0" w:color="auto"/>
            <w:right w:val="none" w:sz="0" w:space="0" w:color="auto"/>
          </w:divBdr>
        </w:div>
        <w:div w:id="792552263">
          <w:marLeft w:val="640"/>
          <w:marRight w:val="0"/>
          <w:marTop w:val="0"/>
          <w:marBottom w:val="0"/>
          <w:divBdr>
            <w:top w:val="none" w:sz="0" w:space="0" w:color="auto"/>
            <w:left w:val="none" w:sz="0" w:space="0" w:color="auto"/>
            <w:bottom w:val="none" w:sz="0" w:space="0" w:color="auto"/>
            <w:right w:val="none" w:sz="0" w:space="0" w:color="auto"/>
          </w:divBdr>
        </w:div>
        <w:div w:id="480536764">
          <w:marLeft w:val="640"/>
          <w:marRight w:val="0"/>
          <w:marTop w:val="0"/>
          <w:marBottom w:val="0"/>
          <w:divBdr>
            <w:top w:val="none" w:sz="0" w:space="0" w:color="auto"/>
            <w:left w:val="none" w:sz="0" w:space="0" w:color="auto"/>
            <w:bottom w:val="none" w:sz="0" w:space="0" w:color="auto"/>
            <w:right w:val="none" w:sz="0" w:space="0" w:color="auto"/>
          </w:divBdr>
        </w:div>
        <w:div w:id="2019311233">
          <w:marLeft w:val="640"/>
          <w:marRight w:val="0"/>
          <w:marTop w:val="0"/>
          <w:marBottom w:val="0"/>
          <w:divBdr>
            <w:top w:val="none" w:sz="0" w:space="0" w:color="auto"/>
            <w:left w:val="none" w:sz="0" w:space="0" w:color="auto"/>
            <w:bottom w:val="none" w:sz="0" w:space="0" w:color="auto"/>
            <w:right w:val="none" w:sz="0" w:space="0" w:color="auto"/>
          </w:divBdr>
        </w:div>
        <w:div w:id="46686951">
          <w:marLeft w:val="640"/>
          <w:marRight w:val="0"/>
          <w:marTop w:val="0"/>
          <w:marBottom w:val="0"/>
          <w:divBdr>
            <w:top w:val="none" w:sz="0" w:space="0" w:color="auto"/>
            <w:left w:val="none" w:sz="0" w:space="0" w:color="auto"/>
            <w:bottom w:val="none" w:sz="0" w:space="0" w:color="auto"/>
            <w:right w:val="none" w:sz="0" w:space="0" w:color="auto"/>
          </w:divBdr>
        </w:div>
        <w:div w:id="1247954047">
          <w:marLeft w:val="640"/>
          <w:marRight w:val="0"/>
          <w:marTop w:val="0"/>
          <w:marBottom w:val="0"/>
          <w:divBdr>
            <w:top w:val="none" w:sz="0" w:space="0" w:color="auto"/>
            <w:left w:val="none" w:sz="0" w:space="0" w:color="auto"/>
            <w:bottom w:val="none" w:sz="0" w:space="0" w:color="auto"/>
            <w:right w:val="none" w:sz="0" w:space="0" w:color="auto"/>
          </w:divBdr>
        </w:div>
        <w:div w:id="317349700">
          <w:marLeft w:val="640"/>
          <w:marRight w:val="0"/>
          <w:marTop w:val="0"/>
          <w:marBottom w:val="0"/>
          <w:divBdr>
            <w:top w:val="none" w:sz="0" w:space="0" w:color="auto"/>
            <w:left w:val="none" w:sz="0" w:space="0" w:color="auto"/>
            <w:bottom w:val="none" w:sz="0" w:space="0" w:color="auto"/>
            <w:right w:val="none" w:sz="0" w:space="0" w:color="auto"/>
          </w:divBdr>
        </w:div>
        <w:div w:id="1004429566">
          <w:marLeft w:val="640"/>
          <w:marRight w:val="0"/>
          <w:marTop w:val="0"/>
          <w:marBottom w:val="0"/>
          <w:divBdr>
            <w:top w:val="none" w:sz="0" w:space="0" w:color="auto"/>
            <w:left w:val="none" w:sz="0" w:space="0" w:color="auto"/>
            <w:bottom w:val="none" w:sz="0" w:space="0" w:color="auto"/>
            <w:right w:val="none" w:sz="0" w:space="0" w:color="auto"/>
          </w:divBdr>
        </w:div>
        <w:div w:id="824592358">
          <w:marLeft w:val="640"/>
          <w:marRight w:val="0"/>
          <w:marTop w:val="0"/>
          <w:marBottom w:val="0"/>
          <w:divBdr>
            <w:top w:val="none" w:sz="0" w:space="0" w:color="auto"/>
            <w:left w:val="none" w:sz="0" w:space="0" w:color="auto"/>
            <w:bottom w:val="none" w:sz="0" w:space="0" w:color="auto"/>
            <w:right w:val="none" w:sz="0" w:space="0" w:color="auto"/>
          </w:divBdr>
        </w:div>
        <w:div w:id="1790660108">
          <w:marLeft w:val="640"/>
          <w:marRight w:val="0"/>
          <w:marTop w:val="0"/>
          <w:marBottom w:val="0"/>
          <w:divBdr>
            <w:top w:val="none" w:sz="0" w:space="0" w:color="auto"/>
            <w:left w:val="none" w:sz="0" w:space="0" w:color="auto"/>
            <w:bottom w:val="none" w:sz="0" w:space="0" w:color="auto"/>
            <w:right w:val="none" w:sz="0" w:space="0" w:color="auto"/>
          </w:divBdr>
        </w:div>
        <w:div w:id="638806528">
          <w:marLeft w:val="640"/>
          <w:marRight w:val="0"/>
          <w:marTop w:val="0"/>
          <w:marBottom w:val="0"/>
          <w:divBdr>
            <w:top w:val="none" w:sz="0" w:space="0" w:color="auto"/>
            <w:left w:val="none" w:sz="0" w:space="0" w:color="auto"/>
            <w:bottom w:val="none" w:sz="0" w:space="0" w:color="auto"/>
            <w:right w:val="none" w:sz="0" w:space="0" w:color="auto"/>
          </w:divBdr>
        </w:div>
        <w:div w:id="1296762747">
          <w:marLeft w:val="640"/>
          <w:marRight w:val="0"/>
          <w:marTop w:val="0"/>
          <w:marBottom w:val="0"/>
          <w:divBdr>
            <w:top w:val="none" w:sz="0" w:space="0" w:color="auto"/>
            <w:left w:val="none" w:sz="0" w:space="0" w:color="auto"/>
            <w:bottom w:val="none" w:sz="0" w:space="0" w:color="auto"/>
            <w:right w:val="none" w:sz="0" w:space="0" w:color="auto"/>
          </w:divBdr>
        </w:div>
        <w:div w:id="8071368">
          <w:marLeft w:val="640"/>
          <w:marRight w:val="0"/>
          <w:marTop w:val="0"/>
          <w:marBottom w:val="0"/>
          <w:divBdr>
            <w:top w:val="none" w:sz="0" w:space="0" w:color="auto"/>
            <w:left w:val="none" w:sz="0" w:space="0" w:color="auto"/>
            <w:bottom w:val="none" w:sz="0" w:space="0" w:color="auto"/>
            <w:right w:val="none" w:sz="0" w:space="0" w:color="auto"/>
          </w:divBdr>
        </w:div>
        <w:div w:id="1959558364">
          <w:marLeft w:val="640"/>
          <w:marRight w:val="0"/>
          <w:marTop w:val="0"/>
          <w:marBottom w:val="0"/>
          <w:divBdr>
            <w:top w:val="none" w:sz="0" w:space="0" w:color="auto"/>
            <w:left w:val="none" w:sz="0" w:space="0" w:color="auto"/>
            <w:bottom w:val="none" w:sz="0" w:space="0" w:color="auto"/>
            <w:right w:val="none" w:sz="0" w:space="0" w:color="auto"/>
          </w:divBdr>
        </w:div>
        <w:div w:id="616567112">
          <w:marLeft w:val="640"/>
          <w:marRight w:val="0"/>
          <w:marTop w:val="0"/>
          <w:marBottom w:val="0"/>
          <w:divBdr>
            <w:top w:val="none" w:sz="0" w:space="0" w:color="auto"/>
            <w:left w:val="none" w:sz="0" w:space="0" w:color="auto"/>
            <w:bottom w:val="none" w:sz="0" w:space="0" w:color="auto"/>
            <w:right w:val="none" w:sz="0" w:space="0" w:color="auto"/>
          </w:divBdr>
        </w:div>
        <w:div w:id="131946165">
          <w:marLeft w:val="640"/>
          <w:marRight w:val="0"/>
          <w:marTop w:val="0"/>
          <w:marBottom w:val="0"/>
          <w:divBdr>
            <w:top w:val="none" w:sz="0" w:space="0" w:color="auto"/>
            <w:left w:val="none" w:sz="0" w:space="0" w:color="auto"/>
            <w:bottom w:val="none" w:sz="0" w:space="0" w:color="auto"/>
            <w:right w:val="none" w:sz="0" w:space="0" w:color="auto"/>
          </w:divBdr>
        </w:div>
        <w:div w:id="825168546">
          <w:marLeft w:val="640"/>
          <w:marRight w:val="0"/>
          <w:marTop w:val="0"/>
          <w:marBottom w:val="0"/>
          <w:divBdr>
            <w:top w:val="none" w:sz="0" w:space="0" w:color="auto"/>
            <w:left w:val="none" w:sz="0" w:space="0" w:color="auto"/>
            <w:bottom w:val="none" w:sz="0" w:space="0" w:color="auto"/>
            <w:right w:val="none" w:sz="0" w:space="0" w:color="auto"/>
          </w:divBdr>
        </w:div>
        <w:div w:id="382992624">
          <w:marLeft w:val="640"/>
          <w:marRight w:val="0"/>
          <w:marTop w:val="0"/>
          <w:marBottom w:val="0"/>
          <w:divBdr>
            <w:top w:val="none" w:sz="0" w:space="0" w:color="auto"/>
            <w:left w:val="none" w:sz="0" w:space="0" w:color="auto"/>
            <w:bottom w:val="none" w:sz="0" w:space="0" w:color="auto"/>
            <w:right w:val="none" w:sz="0" w:space="0" w:color="auto"/>
          </w:divBdr>
        </w:div>
        <w:div w:id="1749184784">
          <w:marLeft w:val="640"/>
          <w:marRight w:val="0"/>
          <w:marTop w:val="0"/>
          <w:marBottom w:val="0"/>
          <w:divBdr>
            <w:top w:val="none" w:sz="0" w:space="0" w:color="auto"/>
            <w:left w:val="none" w:sz="0" w:space="0" w:color="auto"/>
            <w:bottom w:val="none" w:sz="0" w:space="0" w:color="auto"/>
            <w:right w:val="none" w:sz="0" w:space="0" w:color="auto"/>
          </w:divBdr>
        </w:div>
        <w:div w:id="1240676818">
          <w:marLeft w:val="640"/>
          <w:marRight w:val="0"/>
          <w:marTop w:val="0"/>
          <w:marBottom w:val="0"/>
          <w:divBdr>
            <w:top w:val="none" w:sz="0" w:space="0" w:color="auto"/>
            <w:left w:val="none" w:sz="0" w:space="0" w:color="auto"/>
            <w:bottom w:val="none" w:sz="0" w:space="0" w:color="auto"/>
            <w:right w:val="none" w:sz="0" w:space="0" w:color="auto"/>
          </w:divBdr>
        </w:div>
        <w:div w:id="1476411007">
          <w:marLeft w:val="640"/>
          <w:marRight w:val="0"/>
          <w:marTop w:val="0"/>
          <w:marBottom w:val="0"/>
          <w:divBdr>
            <w:top w:val="none" w:sz="0" w:space="0" w:color="auto"/>
            <w:left w:val="none" w:sz="0" w:space="0" w:color="auto"/>
            <w:bottom w:val="none" w:sz="0" w:space="0" w:color="auto"/>
            <w:right w:val="none" w:sz="0" w:space="0" w:color="auto"/>
          </w:divBdr>
        </w:div>
        <w:div w:id="1105417463">
          <w:marLeft w:val="640"/>
          <w:marRight w:val="0"/>
          <w:marTop w:val="0"/>
          <w:marBottom w:val="0"/>
          <w:divBdr>
            <w:top w:val="none" w:sz="0" w:space="0" w:color="auto"/>
            <w:left w:val="none" w:sz="0" w:space="0" w:color="auto"/>
            <w:bottom w:val="none" w:sz="0" w:space="0" w:color="auto"/>
            <w:right w:val="none" w:sz="0" w:space="0" w:color="auto"/>
          </w:divBdr>
        </w:div>
        <w:div w:id="867109980">
          <w:marLeft w:val="640"/>
          <w:marRight w:val="0"/>
          <w:marTop w:val="0"/>
          <w:marBottom w:val="0"/>
          <w:divBdr>
            <w:top w:val="none" w:sz="0" w:space="0" w:color="auto"/>
            <w:left w:val="none" w:sz="0" w:space="0" w:color="auto"/>
            <w:bottom w:val="none" w:sz="0" w:space="0" w:color="auto"/>
            <w:right w:val="none" w:sz="0" w:space="0" w:color="auto"/>
          </w:divBdr>
        </w:div>
        <w:div w:id="845485539">
          <w:marLeft w:val="640"/>
          <w:marRight w:val="0"/>
          <w:marTop w:val="0"/>
          <w:marBottom w:val="0"/>
          <w:divBdr>
            <w:top w:val="none" w:sz="0" w:space="0" w:color="auto"/>
            <w:left w:val="none" w:sz="0" w:space="0" w:color="auto"/>
            <w:bottom w:val="none" w:sz="0" w:space="0" w:color="auto"/>
            <w:right w:val="none" w:sz="0" w:space="0" w:color="auto"/>
          </w:divBdr>
        </w:div>
        <w:div w:id="843545113">
          <w:marLeft w:val="640"/>
          <w:marRight w:val="0"/>
          <w:marTop w:val="0"/>
          <w:marBottom w:val="0"/>
          <w:divBdr>
            <w:top w:val="none" w:sz="0" w:space="0" w:color="auto"/>
            <w:left w:val="none" w:sz="0" w:space="0" w:color="auto"/>
            <w:bottom w:val="none" w:sz="0" w:space="0" w:color="auto"/>
            <w:right w:val="none" w:sz="0" w:space="0" w:color="auto"/>
          </w:divBdr>
        </w:div>
        <w:div w:id="1857502424">
          <w:marLeft w:val="640"/>
          <w:marRight w:val="0"/>
          <w:marTop w:val="0"/>
          <w:marBottom w:val="0"/>
          <w:divBdr>
            <w:top w:val="none" w:sz="0" w:space="0" w:color="auto"/>
            <w:left w:val="none" w:sz="0" w:space="0" w:color="auto"/>
            <w:bottom w:val="none" w:sz="0" w:space="0" w:color="auto"/>
            <w:right w:val="none" w:sz="0" w:space="0" w:color="auto"/>
          </w:divBdr>
        </w:div>
        <w:div w:id="1165634809">
          <w:marLeft w:val="640"/>
          <w:marRight w:val="0"/>
          <w:marTop w:val="0"/>
          <w:marBottom w:val="0"/>
          <w:divBdr>
            <w:top w:val="none" w:sz="0" w:space="0" w:color="auto"/>
            <w:left w:val="none" w:sz="0" w:space="0" w:color="auto"/>
            <w:bottom w:val="none" w:sz="0" w:space="0" w:color="auto"/>
            <w:right w:val="none" w:sz="0" w:space="0" w:color="auto"/>
          </w:divBdr>
        </w:div>
        <w:div w:id="1856336390">
          <w:marLeft w:val="640"/>
          <w:marRight w:val="0"/>
          <w:marTop w:val="0"/>
          <w:marBottom w:val="0"/>
          <w:divBdr>
            <w:top w:val="none" w:sz="0" w:space="0" w:color="auto"/>
            <w:left w:val="none" w:sz="0" w:space="0" w:color="auto"/>
            <w:bottom w:val="none" w:sz="0" w:space="0" w:color="auto"/>
            <w:right w:val="none" w:sz="0" w:space="0" w:color="auto"/>
          </w:divBdr>
        </w:div>
        <w:div w:id="250286538">
          <w:marLeft w:val="640"/>
          <w:marRight w:val="0"/>
          <w:marTop w:val="0"/>
          <w:marBottom w:val="0"/>
          <w:divBdr>
            <w:top w:val="none" w:sz="0" w:space="0" w:color="auto"/>
            <w:left w:val="none" w:sz="0" w:space="0" w:color="auto"/>
            <w:bottom w:val="none" w:sz="0" w:space="0" w:color="auto"/>
            <w:right w:val="none" w:sz="0" w:space="0" w:color="auto"/>
          </w:divBdr>
        </w:div>
        <w:div w:id="1141114936">
          <w:marLeft w:val="640"/>
          <w:marRight w:val="0"/>
          <w:marTop w:val="0"/>
          <w:marBottom w:val="0"/>
          <w:divBdr>
            <w:top w:val="none" w:sz="0" w:space="0" w:color="auto"/>
            <w:left w:val="none" w:sz="0" w:space="0" w:color="auto"/>
            <w:bottom w:val="none" w:sz="0" w:space="0" w:color="auto"/>
            <w:right w:val="none" w:sz="0" w:space="0" w:color="auto"/>
          </w:divBdr>
        </w:div>
        <w:div w:id="84033983">
          <w:marLeft w:val="640"/>
          <w:marRight w:val="0"/>
          <w:marTop w:val="0"/>
          <w:marBottom w:val="0"/>
          <w:divBdr>
            <w:top w:val="none" w:sz="0" w:space="0" w:color="auto"/>
            <w:left w:val="none" w:sz="0" w:space="0" w:color="auto"/>
            <w:bottom w:val="none" w:sz="0" w:space="0" w:color="auto"/>
            <w:right w:val="none" w:sz="0" w:space="0" w:color="auto"/>
          </w:divBdr>
        </w:div>
        <w:div w:id="855774264">
          <w:marLeft w:val="640"/>
          <w:marRight w:val="0"/>
          <w:marTop w:val="0"/>
          <w:marBottom w:val="0"/>
          <w:divBdr>
            <w:top w:val="none" w:sz="0" w:space="0" w:color="auto"/>
            <w:left w:val="none" w:sz="0" w:space="0" w:color="auto"/>
            <w:bottom w:val="none" w:sz="0" w:space="0" w:color="auto"/>
            <w:right w:val="none" w:sz="0" w:space="0" w:color="auto"/>
          </w:divBdr>
        </w:div>
        <w:div w:id="334575126">
          <w:marLeft w:val="640"/>
          <w:marRight w:val="0"/>
          <w:marTop w:val="0"/>
          <w:marBottom w:val="0"/>
          <w:divBdr>
            <w:top w:val="none" w:sz="0" w:space="0" w:color="auto"/>
            <w:left w:val="none" w:sz="0" w:space="0" w:color="auto"/>
            <w:bottom w:val="none" w:sz="0" w:space="0" w:color="auto"/>
            <w:right w:val="none" w:sz="0" w:space="0" w:color="auto"/>
          </w:divBdr>
        </w:div>
        <w:div w:id="1918321117">
          <w:marLeft w:val="640"/>
          <w:marRight w:val="0"/>
          <w:marTop w:val="0"/>
          <w:marBottom w:val="0"/>
          <w:divBdr>
            <w:top w:val="none" w:sz="0" w:space="0" w:color="auto"/>
            <w:left w:val="none" w:sz="0" w:space="0" w:color="auto"/>
            <w:bottom w:val="none" w:sz="0" w:space="0" w:color="auto"/>
            <w:right w:val="none" w:sz="0" w:space="0" w:color="auto"/>
          </w:divBdr>
        </w:div>
        <w:div w:id="563301997">
          <w:marLeft w:val="640"/>
          <w:marRight w:val="0"/>
          <w:marTop w:val="0"/>
          <w:marBottom w:val="0"/>
          <w:divBdr>
            <w:top w:val="none" w:sz="0" w:space="0" w:color="auto"/>
            <w:left w:val="none" w:sz="0" w:space="0" w:color="auto"/>
            <w:bottom w:val="none" w:sz="0" w:space="0" w:color="auto"/>
            <w:right w:val="none" w:sz="0" w:space="0" w:color="auto"/>
          </w:divBdr>
        </w:div>
        <w:div w:id="1856766846">
          <w:marLeft w:val="640"/>
          <w:marRight w:val="0"/>
          <w:marTop w:val="0"/>
          <w:marBottom w:val="0"/>
          <w:divBdr>
            <w:top w:val="none" w:sz="0" w:space="0" w:color="auto"/>
            <w:left w:val="none" w:sz="0" w:space="0" w:color="auto"/>
            <w:bottom w:val="none" w:sz="0" w:space="0" w:color="auto"/>
            <w:right w:val="none" w:sz="0" w:space="0" w:color="auto"/>
          </w:divBdr>
        </w:div>
        <w:div w:id="421948428">
          <w:marLeft w:val="640"/>
          <w:marRight w:val="0"/>
          <w:marTop w:val="0"/>
          <w:marBottom w:val="0"/>
          <w:divBdr>
            <w:top w:val="none" w:sz="0" w:space="0" w:color="auto"/>
            <w:left w:val="none" w:sz="0" w:space="0" w:color="auto"/>
            <w:bottom w:val="none" w:sz="0" w:space="0" w:color="auto"/>
            <w:right w:val="none" w:sz="0" w:space="0" w:color="auto"/>
          </w:divBdr>
        </w:div>
        <w:div w:id="399210819">
          <w:marLeft w:val="640"/>
          <w:marRight w:val="0"/>
          <w:marTop w:val="0"/>
          <w:marBottom w:val="0"/>
          <w:divBdr>
            <w:top w:val="none" w:sz="0" w:space="0" w:color="auto"/>
            <w:left w:val="none" w:sz="0" w:space="0" w:color="auto"/>
            <w:bottom w:val="none" w:sz="0" w:space="0" w:color="auto"/>
            <w:right w:val="none" w:sz="0" w:space="0" w:color="auto"/>
          </w:divBdr>
        </w:div>
        <w:div w:id="1355620407">
          <w:marLeft w:val="640"/>
          <w:marRight w:val="0"/>
          <w:marTop w:val="0"/>
          <w:marBottom w:val="0"/>
          <w:divBdr>
            <w:top w:val="none" w:sz="0" w:space="0" w:color="auto"/>
            <w:left w:val="none" w:sz="0" w:space="0" w:color="auto"/>
            <w:bottom w:val="none" w:sz="0" w:space="0" w:color="auto"/>
            <w:right w:val="none" w:sz="0" w:space="0" w:color="auto"/>
          </w:divBdr>
        </w:div>
        <w:div w:id="1394281550">
          <w:marLeft w:val="640"/>
          <w:marRight w:val="0"/>
          <w:marTop w:val="0"/>
          <w:marBottom w:val="0"/>
          <w:divBdr>
            <w:top w:val="none" w:sz="0" w:space="0" w:color="auto"/>
            <w:left w:val="none" w:sz="0" w:space="0" w:color="auto"/>
            <w:bottom w:val="none" w:sz="0" w:space="0" w:color="auto"/>
            <w:right w:val="none" w:sz="0" w:space="0" w:color="auto"/>
          </w:divBdr>
        </w:div>
        <w:div w:id="359432137">
          <w:marLeft w:val="640"/>
          <w:marRight w:val="0"/>
          <w:marTop w:val="0"/>
          <w:marBottom w:val="0"/>
          <w:divBdr>
            <w:top w:val="none" w:sz="0" w:space="0" w:color="auto"/>
            <w:left w:val="none" w:sz="0" w:space="0" w:color="auto"/>
            <w:bottom w:val="none" w:sz="0" w:space="0" w:color="auto"/>
            <w:right w:val="none" w:sz="0" w:space="0" w:color="auto"/>
          </w:divBdr>
        </w:div>
        <w:div w:id="1803688021">
          <w:marLeft w:val="640"/>
          <w:marRight w:val="0"/>
          <w:marTop w:val="0"/>
          <w:marBottom w:val="0"/>
          <w:divBdr>
            <w:top w:val="none" w:sz="0" w:space="0" w:color="auto"/>
            <w:left w:val="none" w:sz="0" w:space="0" w:color="auto"/>
            <w:bottom w:val="none" w:sz="0" w:space="0" w:color="auto"/>
            <w:right w:val="none" w:sz="0" w:space="0" w:color="auto"/>
          </w:divBdr>
        </w:div>
        <w:div w:id="1372655500">
          <w:marLeft w:val="640"/>
          <w:marRight w:val="0"/>
          <w:marTop w:val="0"/>
          <w:marBottom w:val="0"/>
          <w:divBdr>
            <w:top w:val="none" w:sz="0" w:space="0" w:color="auto"/>
            <w:left w:val="none" w:sz="0" w:space="0" w:color="auto"/>
            <w:bottom w:val="none" w:sz="0" w:space="0" w:color="auto"/>
            <w:right w:val="none" w:sz="0" w:space="0" w:color="auto"/>
          </w:divBdr>
        </w:div>
        <w:div w:id="1043167342">
          <w:marLeft w:val="640"/>
          <w:marRight w:val="0"/>
          <w:marTop w:val="0"/>
          <w:marBottom w:val="0"/>
          <w:divBdr>
            <w:top w:val="none" w:sz="0" w:space="0" w:color="auto"/>
            <w:left w:val="none" w:sz="0" w:space="0" w:color="auto"/>
            <w:bottom w:val="none" w:sz="0" w:space="0" w:color="auto"/>
            <w:right w:val="none" w:sz="0" w:space="0" w:color="auto"/>
          </w:divBdr>
        </w:div>
        <w:div w:id="990601837">
          <w:marLeft w:val="640"/>
          <w:marRight w:val="0"/>
          <w:marTop w:val="0"/>
          <w:marBottom w:val="0"/>
          <w:divBdr>
            <w:top w:val="none" w:sz="0" w:space="0" w:color="auto"/>
            <w:left w:val="none" w:sz="0" w:space="0" w:color="auto"/>
            <w:bottom w:val="none" w:sz="0" w:space="0" w:color="auto"/>
            <w:right w:val="none" w:sz="0" w:space="0" w:color="auto"/>
          </w:divBdr>
        </w:div>
        <w:div w:id="249781664">
          <w:marLeft w:val="640"/>
          <w:marRight w:val="0"/>
          <w:marTop w:val="0"/>
          <w:marBottom w:val="0"/>
          <w:divBdr>
            <w:top w:val="none" w:sz="0" w:space="0" w:color="auto"/>
            <w:left w:val="none" w:sz="0" w:space="0" w:color="auto"/>
            <w:bottom w:val="none" w:sz="0" w:space="0" w:color="auto"/>
            <w:right w:val="none" w:sz="0" w:space="0" w:color="auto"/>
          </w:divBdr>
        </w:div>
        <w:div w:id="250699818">
          <w:marLeft w:val="640"/>
          <w:marRight w:val="0"/>
          <w:marTop w:val="0"/>
          <w:marBottom w:val="0"/>
          <w:divBdr>
            <w:top w:val="none" w:sz="0" w:space="0" w:color="auto"/>
            <w:left w:val="none" w:sz="0" w:space="0" w:color="auto"/>
            <w:bottom w:val="none" w:sz="0" w:space="0" w:color="auto"/>
            <w:right w:val="none" w:sz="0" w:space="0" w:color="auto"/>
          </w:divBdr>
        </w:div>
        <w:div w:id="462190513">
          <w:marLeft w:val="640"/>
          <w:marRight w:val="0"/>
          <w:marTop w:val="0"/>
          <w:marBottom w:val="0"/>
          <w:divBdr>
            <w:top w:val="none" w:sz="0" w:space="0" w:color="auto"/>
            <w:left w:val="none" w:sz="0" w:space="0" w:color="auto"/>
            <w:bottom w:val="none" w:sz="0" w:space="0" w:color="auto"/>
            <w:right w:val="none" w:sz="0" w:space="0" w:color="auto"/>
          </w:divBdr>
        </w:div>
        <w:div w:id="2054385577">
          <w:marLeft w:val="640"/>
          <w:marRight w:val="0"/>
          <w:marTop w:val="0"/>
          <w:marBottom w:val="0"/>
          <w:divBdr>
            <w:top w:val="none" w:sz="0" w:space="0" w:color="auto"/>
            <w:left w:val="none" w:sz="0" w:space="0" w:color="auto"/>
            <w:bottom w:val="none" w:sz="0" w:space="0" w:color="auto"/>
            <w:right w:val="none" w:sz="0" w:space="0" w:color="auto"/>
          </w:divBdr>
        </w:div>
        <w:div w:id="412748073">
          <w:marLeft w:val="640"/>
          <w:marRight w:val="0"/>
          <w:marTop w:val="0"/>
          <w:marBottom w:val="0"/>
          <w:divBdr>
            <w:top w:val="none" w:sz="0" w:space="0" w:color="auto"/>
            <w:left w:val="none" w:sz="0" w:space="0" w:color="auto"/>
            <w:bottom w:val="none" w:sz="0" w:space="0" w:color="auto"/>
            <w:right w:val="none" w:sz="0" w:space="0" w:color="auto"/>
          </w:divBdr>
        </w:div>
        <w:div w:id="1473674131">
          <w:marLeft w:val="640"/>
          <w:marRight w:val="0"/>
          <w:marTop w:val="0"/>
          <w:marBottom w:val="0"/>
          <w:divBdr>
            <w:top w:val="none" w:sz="0" w:space="0" w:color="auto"/>
            <w:left w:val="none" w:sz="0" w:space="0" w:color="auto"/>
            <w:bottom w:val="none" w:sz="0" w:space="0" w:color="auto"/>
            <w:right w:val="none" w:sz="0" w:space="0" w:color="auto"/>
          </w:divBdr>
        </w:div>
        <w:div w:id="1722514540">
          <w:marLeft w:val="640"/>
          <w:marRight w:val="0"/>
          <w:marTop w:val="0"/>
          <w:marBottom w:val="0"/>
          <w:divBdr>
            <w:top w:val="none" w:sz="0" w:space="0" w:color="auto"/>
            <w:left w:val="none" w:sz="0" w:space="0" w:color="auto"/>
            <w:bottom w:val="none" w:sz="0" w:space="0" w:color="auto"/>
            <w:right w:val="none" w:sz="0" w:space="0" w:color="auto"/>
          </w:divBdr>
        </w:div>
        <w:div w:id="2050376165">
          <w:marLeft w:val="640"/>
          <w:marRight w:val="0"/>
          <w:marTop w:val="0"/>
          <w:marBottom w:val="0"/>
          <w:divBdr>
            <w:top w:val="none" w:sz="0" w:space="0" w:color="auto"/>
            <w:left w:val="none" w:sz="0" w:space="0" w:color="auto"/>
            <w:bottom w:val="none" w:sz="0" w:space="0" w:color="auto"/>
            <w:right w:val="none" w:sz="0" w:space="0" w:color="auto"/>
          </w:divBdr>
        </w:div>
        <w:div w:id="337998311">
          <w:marLeft w:val="640"/>
          <w:marRight w:val="0"/>
          <w:marTop w:val="0"/>
          <w:marBottom w:val="0"/>
          <w:divBdr>
            <w:top w:val="none" w:sz="0" w:space="0" w:color="auto"/>
            <w:left w:val="none" w:sz="0" w:space="0" w:color="auto"/>
            <w:bottom w:val="none" w:sz="0" w:space="0" w:color="auto"/>
            <w:right w:val="none" w:sz="0" w:space="0" w:color="auto"/>
          </w:divBdr>
        </w:div>
        <w:div w:id="218828283">
          <w:marLeft w:val="640"/>
          <w:marRight w:val="0"/>
          <w:marTop w:val="0"/>
          <w:marBottom w:val="0"/>
          <w:divBdr>
            <w:top w:val="none" w:sz="0" w:space="0" w:color="auto"/>
            <w:left w:val="none" w:sz="0" w:space="0" w:color="auto"/>
            <w:bottom w:val="none" w:sz="0" w:space="0" w:color="auto"/>
            <w:right w:val="none" w:sz="0" w:space="0" w:color="auto"/>
          </w:divBdr>
        </w:div>
        <w:div w:id="288517731">
          <w:marLeft w:val="640"/>
          <w:marRight w:val="0"/>
          <w:marTop w:val="0"/>
          <w:marBottom w:val="0"/>
          <w:divBdr>
            <w:top w:val="none" w:sz="0" w:space="0" w:color="auto"/>
            <w:left w:val="none" w:sz="0" w:space="0" w:color="auto"/>
            <w:bottom w:val="none" w:sz="0" w:space="0" w:color="auto"/>
            <w:right w:val="none" w:sz="0" w:space="0" w:color="auto"/>
          </w:divBdr>
        </w:div>
        <w:div w:id="1346832431">
          <w:marLeft w:val="640"/>
          <w:marRight w:val="0"/>
          <w:marTop w:val="0"/>
          <w:marBottom w:val="0"/>
          <w:divBdr>
            <w:top w:val="none" w:sz="0" w:space="0" w:color="auto"/>
            <w:left w:val="none" w:sz="0" w:space="0" w:color="auto"/>
            <w:bottom w:val="none" w:sz="0" w:space="0" w:color="auto"/>
            <w:right w:val="none" w:sz="0" w:space="0" w:color="auto"/>
          </w:divBdr>
        </w:div>
        <w:div w:id="362247330">
          <w:marLeft w:val="640"/>
          <w:marRight w:val="0"/>
          <w:marTop w:val="0"/>
          <w:marBottom w:val="0"/>
          <w:divBdr>
            <w:top w:val="none" w:sz="0" w:space="0" w:color="auto"/>
            <w:left w:val="none" w:sz="0" w:space="0" w:color="auto"/>
            <w:bottom w:val="none" w:sz="0" w:space="0" w:color="auto"/>
            <w:right w:val="none" w:sz="0" w:space="0" w:color="auto"/>
          </w:divBdr>
        </w:div>
        <w:div w:id="1428454488">
          <w:marLeft w:val="640"/>
          <w:marRight w:val="0"/>
          <w:marTop w:val="0"/>
          <w:marBottom w:val="0"/>
          <w:divBdr>
            <w:top w:val="none" w:sz="0" w:space="0" w:color="auto"/>
            <w:left w:val="none" w:sz="0" w:space="0" w:color="auto"/>
            <w:bottom w:val="none" w:sz="0" w:space="0" w:color="auto"/>
            <w:right w:val="none" w:sz="0" w:space="0" w:color="auto"/>
          </w:divBdr>
        </w:div>
        <w:div w:id="1384789668">
          <w:marLeft w:val="640"/>
          <w:marRight w:val="0"/>
          <w:marTop w:val="0"/>
          <w:marBottom w:val="0"/>
          <w:divBdr>
            <w:top w:val="none" w:sz="0" w:space="0" w:color="auto"/>
            <w:left w:val="none" w:sz="0" w:space="0" w:color="auto"/>
            <w:bottom w:val="none" w:sz="0" w:space="0" w:color="auto"/>
            <w:right w:val="none" w:sz="0" w:space="0" w:color="auto"/>
          </w:divBdr>
        </w:div>
        <w:div w:id="706417358">
          <w:marLeft w:val="640"/>
          <w:marRight w:val="0"/>
          <w:marTop w:val="0"/>
          <w:marBottom w:val="0"/>
          <w:divBdr>
            <w:top w:val="none" w:sz="0" w:space="0" w:color="auto"/>
            <w:left w:val="none" w:sz="0" w:space="0" w:color="auto"/>
            <w:bottom w:val="none" w:sz="0" w:space="0" w:color="auto"/>
            <w:right w:val="none" w:sz="0" w:space="0" w:color="auto"/>
          </w:divBdr>
        </w:div>
        <w:div w:id="950473858">
          <w:marLeft w:val="640"/>
          <w:marRight w:val="0"/>
          <w:marTop w:val="0"/>
          <w:marBottom w:val="0"/>
          <w:divBdr>
            <w:top w:val="none" w:sz="0" w:space="0" w:color="auto"/>
            <w:left w:val="none" w:sz="0" w:space="0" w:color="auto"/>
            <w:bottom w:val="none" w:sz="0" w:space="0" w:color="auto"/>
            <w:right w:val="none" w:sz="0" w:space="0" w:color="auto"/>
          </w:divBdr>
        </w:div>
        <w:div w:id="440609046">
          <w:marLeft w:val="640"/>
          <w:marRight w:val="0"/>
          <w:marTop w:val="0"/>
          <w:marBottom w:val="0"/>
          <w:divBdr>
            <w:top w:val="none" w:sz="0" w:space="0" w:color="auto"/>
            <w:left w:val="none" w:sz="0" w:space="0" w:color="auto"/>
            <w:bottom w:val="none" w:sz="0" w:space="0" w:color="auto"/>
            <w:right w:val="none" w:sz="0" w:space="0" w:color="auto"/>
          </w:divBdr>
        </w:div>
        <w:div w:id="418913254">
          <w:marLeft w:val="640"/>
          <w:marRight w:val="0"/>
          <w:marTop w:val="0"/>
          <w:marBottom w:val="0"/>
          <w:divBdr>
            <w:top w:val="none" w:sz="0" w:space="0" w:color="auto"/>
            <w:left w:val="none" w:sz="0" w:space="0" w:color="auto"/>
            <w:bottom w:val="none" w:sz="0" w:space="0" w:color="auto"/>
            <w:right w:val="none" w:sz="0" w:space="0" w:color="auto"/>
          </w:divBdr>
        </w:div>
        <w:div w:id="1389526597">
          <w:marLeft w:val="640"/>
          <w:marRight w:val="0"/>
          <w:marTop w:val="0"/>
          <w:marBottom w:val="0"/>
          <w:divBdr>
            <w:top w:val="none" w:sz="0" w:space="0" w:color="auto"/>
            <w:left w:val="none" w:sz="0" w:space="0" w:color="auto"/>
            <w:bottom w:val="none" w:sz="0" w:space="0" w:color="auto"/>
            <w:right w:val="none" w:sz="0" w:space="0" w:color="auto"/>
          </w:divBdr>
        </w:div>
        <w:div w:id="1631938459">
          <w:marLeft w:val="640"/>
          <w:marRight w:val="0"/>
          <w:marTop w:val="0"/>
          <w:marBottom w:val="0"/>
          <w:divBdr>
            <w:top w:val="none" w:sz="0" w:space="0" w:color="auto"/>
            <w:left w:val="none" w:sz="0" w:space="0" w:color="auto"/>
            <w:bottom w:val="none" w:sz="0" w:space="0" w:color="auto"/>
            <w:right w:val="none" w:sz="0" w:space="0" w:color="auto"/>
          </w:divBdr>
        </w:div>
        <w:div w:id="386686252">
          <w:marLeft w:val="640"/>
          <w:marRight w:val="0"/>
          <w:marTop w:val="0"/>
          <w:marBottom w:val="0"/>
          <w:divBdr>
            <w:top w:val="none" w:sz="0" w:space="0" w:color="auto"/>
            <w:left w:val="none" w:sz="0" w:space="0" w:color="auto"/>
            <w:bottom w:val="none" w:sz="0" w:space="0" w:color="auto"/>
            <w:right w:val="none" w:sz="0" w:space="0" w:color="auto"/>
          </w:divBdr>
        </w:div>
        <w:div w:id="548689385">
          <w:marLeft w:val="640"/>
          <w:marRight w:val="0"/>
          <w:marTop w:val="0"/>
          <w:marBottom w:val="0"/>
          <w:divBdr>
            <w:top w:val="none" w:sz="0" w:space="0" w:color="auto"/>
            <w:left w:val="none" w:sz="0" w:space="0" w:color="auto"/>
            <w:bottom w:val="none" w:sz="0" w:space="0" w:color="auto"/>
            <w:right w:val="none" w:sz="0" w:space="0" w:color="auto"/>
          </w:divBdr>
        </w:div>
        <w:div w:id="1016351198">
          <w:marLeft w:val="640"/>
          <w:marRight w:val="0"/>
          <w:marTop w:val="0"/>
          <w:marBottom w:val="0"/>
          <w:divBdr>
            <w:top w:val="none" w:sz="0" w:space="0" w:color="auto"/>
            <w:left w:val="none" w:sz="0" w:space="0" w:color="auto"/>
            <w:bottom w:val="none" w:sz="0" w:space="0" w:color="auto"/>
            <w:right w:val="none" w:sz="0" w:space="0" w:color="auto"/>
          </w:divBdr>
        </w:div>
        <w:div w:id="2098522">
          <w:marLeft w:val="640"/>
          <w:marRight w:val="0"/>
          <w:marTop w:val="0"/>
          <w:marBottom w:val="0"/>
          <w:divBdr>
            <w:top w:val="none" w:sz="0" w:space="0" w:color="auto"/>
            <w:left w:val="none" w:sz="0" w:space="0" w:color="auto"/>
            <w:bottom w:val="none" w:sz="0" w:space="0" w:color="auto"/>
            <w:right w:val="none" w:sz="0" w:space="0" w:color="auto"/>
          </w:divBdr>
        </w:div>
        <w:div w:id="1661468929">
          <w:marLeft w:val="640"/>
          <w:marRight w:val="0"/>
          <w:marTop w:val="0"/>
          <w:marBottom w:val="0"/>
          <w:divBdr>
            <w:top w:val="none" w:sz="0" w:space="0" w:color="auto"/>
            <w:left w:val="none" w:sz="0" w:space="0" w:color="auto"/>
            <w:bottom w:val="none" w:sz="0" w:space="0" w:color="auto"/>
            <w:right w:val="none" w:sz="0" w:space="0" w:color="auto"/>
          </w:divBdr>
        </w:div>
        <w:div w:id="424687311">
          <w:marLeft w:val="640"/>
          <w:marRight w:val="0"/>
          <w:marTop w:val="0"/>
          <w:marBottom w:val="0"/>
          <w:divBdr>
            <w:top w:val="none" w:sz="0" w:space="0" w:color="auto"/>
            <w:left w:val="none" w:sz="0" w:space="0" w:color="auto"/>
            <w:bottom w:val="none" w:sz="0" w:space="0" w:color="auto"/>
            <w:right w:val="none" w:sz="0" w:space="0" w:color="auto"/>
          </w:divBdr>
        </w:div>
        <w:div w:id="701436602">
          <w:marLeft w:val="640"/>
          <w:marRight w:val="0"/>
          <w:marTop w:val="0"/>
          <w:marBottom w:val="0"/>
          <w:divBdr>
            <w:top w:val="none" w:sz="0" w:space="0" w:color="auto"/>
            <w:left w:val="none" w:sz="0" w:space="0" w:color="auto"/>
            <w:bottom w:val="none" w:sz="0" w:space="0" w:color="auto"/>
            <w:right w:val="none" w:sz="0" w:space="0" w:color="auto"/>
          </w:divBdr>
        </w:div>
        <w:div w:id="835609275">
          <w:marLeft w:val="640"/>
          <w:marRight w:val="0"/>
          <w:marTop w:val="0"/>
          <w:marBottom w:val="0"/>
          <w:divBdr>
            <w:top w:val="none" w:sz="0" w:space="0" w:color="auto"/>
            <w:left w:val="none" w:sz="0" w:space="0" w:color="auto"/>
            <w:bottom w:val="none" w:sz="0" w:space="0" w:color="auto"/>
            <w:right w:val="none" w:sz="0" w:space="0" w:color="auto"/>
          </w:divBdr>
        </w:div>
        <w:div w:id="315032322">
          <w:marLeft w:val="640"/>
          <w:marRight w:val="0"/>
          <w:marTop w:val="0"/>
          <w:marBottom w:val="0"/>
          <w:divBdr>
            <w:top w:val="none" w:sz="0" w:space="0" w:color="auto"/>
            <w:left w:val="none" w:sz="0" w:space="0" w:color="auto"/>
            <w:bottom w:val="none" w:sz="0" w:space="0" w:color="auto"/>
            <w:right w:val="none" w:sz="0" w:space="0" w:color="auto"/>
          </w:divBdr>
        </w:div>
        <w:div w:id="538249391">
          <w:marLeft w:val="640"/>
          <w:marRight w:val="0"/>
          <w:marTop w:val="0"/>
          <w:marBottom w:val="0"/>
          <w:divBdr>
            <w:top w:val="none" w:sz="0" w:space="0" w:color="auto"/>
            <w:left w:val="none" w:sz="0" w:space="0" w:color="auto"/>
            <w:bottom w:val="none" w:sz="0" w:space="0" w:color="auto"/>
            <w:right w:val="none" w:sz="0" w:space="0" w:color="auto"/>
          </w:divBdr>
        </w:div>
        <w:div w:id="1974407484">
          <w:marLeft w:val="640"/>
          <w:marRight w:val="0"/>
          <w:marTop w:val="0"/>
          <w:marBottom w:val="0"/>
          <w:divBdr>
            <w:top w:val="none" w:sz="0" w:space="0" w:color="auto"/>
            <w:left w:val="none" w:sz="0" w:space="0" w:color="auto"/>
            <w:bottom w:val="none" w:sz="0" w:space="0" w:color="auto"/>
            <w:right w:val="none" w:sz="0" w:space="0" w:color="auto"/>
          </w:divBdr>
        </w:div>
        <w:div w:id="664168923">
          <w:marLeft w:val="640"/>
          <w:marRight w:val="0"/>
          <w:marTop w:val="0"/>
          <w:marBottom w:val="0"/>
          <w:divBdr>
            <w:top w:val="none" w:sz="0" w:space="0" w:color="auto"/>
            <w:left w:val="none" w:sz="0" w:space="0" w:color="auto"/>
            <w:bottom w:val="none" w:sz="0" w:space="0" w:color="auto"/>
            <w:right w:val="none" w:sz="0" w:space="0" w:color="auto"/>
          </w:divBdr>
        </w:div>
        <w:div w:id="486943330">
          <w:marLeft w:val="640"/>
          <w:marRight w:val="0"/>
          <w:marTop w:val="0"/>
          <w:marBottom w:val="0"/>
          <w:divBdr>
            <w:top w:val="none" w:sz="0" w:space="0" w:color="auto"/>
            <w:left w:val="none" w:sz="0" w:space="0" w:color="auto"/>
            <w:bottom w:val="none" w:sz="0" w:space="0" w:color="auto"/>
            <w:right w:val="none" w:sz="0" w:space="0" w:color="auto"/>
          </w:divBdr>
        </w:div>
        <w:div w:id="1153528473">
          <w:marLeft w:val="640"/>
          <w:marRight w:val="0"/>
          <w:marTop w:val="0"/>
          <w:marBottom w:val="0"/>
          <w:divBdr>
            <w:top w:val="none" w:sz="0" w:space="0" w:color="auto"/>
            <w:left w:val="none" w:sz="0" w:space="0" w:color="auto"/>
            <w:bottom w:val="none" w:sz="0" w:space="0" w:color="auto"/>
            <w:right w:val="none" w:sz="0" w:space="0" w:color="auto"/>
          </w:divBdr>
        </w:div>
        <w:div w:id="1099910916">
          <w:marLeft w:val="640"/>
          <w:marRight w:val="0"/>
          <w:marTop w:val="0"/>
          <w:marBottom w:val="0"/>
          <w:divBdr>
            <w:top w:val="none" w:sz="0" w:space="0" w:color="auto"/>
            <w:left w:val="none" w:sz="0" w:space="0" w:color="auto"/>
            <w:bottom w:val="none" w:sz="0" w:space="0" w:color="auto"/>
            <w:right w:val="none" w:sz="0" w:space="0" w:color="auto"/>
          </w:divBdr>
        </w:div>
        <w:div w:id="1948467948">
          <w:marLeft w:val="640"/>
          <w:marRight w:val="0"/>
          <w:marTop w:val="0"/>
          <w:marBottom w:val="0"/>
          <w:divBdr>
            <w:top w:val="none" w:sz="0" w:space="0" w:color="auto"/>
            <w:left w:val="none" w:sz="0" w:space="0" w:color="auto"/>
            <w:bottom w:val="none" w:sz="0" w:space="0" w:color="auto"/>
            <w:right w:val="none" w:sz="0" w:space="0" w:color="auto"/>
          </w:divBdr>
        </w:div>
        <w:div w:id="1406489978">
          <w:marLeft w:val="640"/>
          <w:marRight w:val="0"/>
          <w:marTop w:val="0"/>
          <w:marBottom w:val="0"/>
          <w:divBdr>
            <w:top w:val="none" w:sz="0" w:space="0" w:color="auto"/>
            <w:left w:val="none" w:sz="0" w:space="0" w:color="auto"/>
            <w:bottom w:val="none" w:sz="0" w:space="0" w:color="auto"/>
            <w:right w:val="none" w:sz="0" w:space="0" w:color="auto"/>
          </w:divBdr>
        </w:div>
        <w:div w:id="1856530587">
          <w:marLeft w:val="640"/>
          <w:marRight w:val="0"/>
          <w:marTop w:val="0"/>
          <w:marBottom w:val="0"/>
          <w:divBdr>
            <w:top w:val="none" w:sz="0" w:space="0" w:color="auto"/>
            <w:left w:val="none" w:sz="0" w:space="0" w:color="auto"/>
            <w:bottom w:val="none" w:sz="0" w:space="0" w:color="auto"/>
            <w:right w:val="none" w:sz="0" w:space="0" w:color="auto"/>
          </w:divBdr>
        </w:div>
        <w:div w:id="144131156">
          <w:marLeft w:val="640"/>
          <w:marRight w:val="0"/>
          <w:marTop w:val="0"/>
          <w:marBottom w:val="0"/>
          <w:divBdr>
            <w:top w:val="none" w:sz="0" w:space="0" w:color="auto"/>
            <w:left w:val="none" w:sz="0" w:space="0" w:color="auto"/>
            <w:bottom w:val="none" w:sz="0" w:space="0" w:color="auto"/>
            <w:right w:val="none" w:sz="0" w:space="0" w:color="auto"/>
          </w:divBdr>
        </w:div>
        <w:div w:id="443423202">
          <w:marLeft w:val="640"/>
          <w:marRight w:val="0"/>
          <w:marTop w:val="0"/>
          <w:marBottom w:val="0"/>
          <w:divBdr>
            <w:top w:val="none" w:sz="0" w:space="0" w:color="auto"/>
            <w:left w:val="none" w:sz="0" w:space="0" w:color="auto"/>
            <w:bottom w:val="none" w:sz="0" w:space="0" w:color="auto"/>
            <w:right w:val="none" w:sz="0" w:space="0" w:color="auto"/>
          </w:divBdr>
        </w:div>
        <w:div w:id="1241520448">
          <w:marLeft w:val="640"/>
          <w:marRight w:val="0"/>
          <w:marTop w:val="0"/>
          <w:marBottom w:val="0"/>
          <w:divBdr>
            <w:top w:val="none" w:sz="0" w:space="0" w:color="auto"/>
            <w:left w:val="none" w:sz="0" w:space="0" w:color="auto"/>
            <w:bottom w:val="none" w:sz="0" w:space="0" w:color="auto"/>
            <w:right w:val="none" w:sz="0" w:space="0" w:color="auto"/>
          </w:divBdr>
        </w:div>
        <w:div w:id="1334650834">
          <w:marLeft w:val="640"/>
          <w:marRight w:val="0"/>
          <w:marTop w:val="0"/>
          <w:marBottom w:val="0"/>
          <w:divBdr>
            <w:top w:val="none" w:sz="0" w:space="0" w:color="auto"/>
            <w:left w:val="none" w:sz="0" w:space="0" w:color="auto"/>
            <w:bottom w:val="none" w:sz="0" w:space="0" w:color="auto"/>
            <w:right w:val="none" w:sz="0" w:space="0" w:color="auto"/>
          </w:divBdr>
        </w:div>
        <w:div w:id="65567308">
          <w:marLeft w:val="640"/>
          <w:marRight w:val="0"/>
          <w:marTop w:val="0"/>
          <w:marBottom w:val="0"/>
          <w:divBdr>
            <w:top w:val="none" w:sz="0" w:space="0" w:color="auto"/>
            <w:left w:val="none" w:sz="0" w:space="0" w:color="auto"/>
            <w:bottom w:val="none" w:sz="0" w:space="0" w:color="auto"/>
            <w:right w:val="none" w:sz="0" w:space="0" w:color="auto"/>
          </w:divBdr>
        </w:div>
        <w:div w:id="359016880">
          <w:marLeft w:val="640"/>
          <w:marRight w:val="0"/>
          <w:marTop w:val="0"/>
          <w:marBottom w:val="0"/>
          <w:divBdr>
            <w:top w:val="none" w:sz="0" w:space="0" w:color="auto"/>
            <w:left w:val="none" w:sz="0" w:space="0" w:color="auto"/>
            <w:bottom w:val="none" w:sz="0" w:space="0" w:color="auto"/>
            <w:right w:val="none" w:sz="0" w:space="0" w:color="auto"/>
          </w:divBdr>
        </w:div>
        <w:div w:id="1429542575">
          <w:marLeft w:val="640"/>
          <w:marRight w:val="0"/>
          <w:marTop w:val="0"/>
          <w:marBottom w:val="0"/>
          <w:divBdr>
            <w:top w:val="none" w:sz="0" w:space="0" w:color="auto"/>
            <w:left w:val="none" w:sz="0" w:space="0" w:color="auto"/>
            <w:bottom w:val="none" w:sz="0" w:space="0" w:color="auto"/>
            <w:right w:val="none" w:sz="0" w:space="0" w:color="auto"/>
          </w:divBdr>
        </w:div>
        <w:div w:id="2133204608">
          <w:marLeft w:val="640"/>
          <w:marRight w:val="0"/>
          <w:marTop w:val="0"/>
          <w:marBottom w:val="0"/>
          <w:divBdr>
            <w:top w:val="none" w:sz="0" w:space="0" w:color="auto"/>
            <w:left w:val="none" w:sz="0" w:space="0" w:color="auto"/>
            <w:bottom w:val="none" w:sz="0" w:space="0" w:color="auto"/>
            <w:right w:val="none" w:sz="0" w:space="0" w:color="auto"/>
          </w:divBdr>
        </w:div>
        <w:div w:id="2131625447">
          <w:marLeft w:val="640"/>
          <w:marRight w:val="0"/>
          <w:marTop w:val="0"/>
          <w:marBottom w:val="0"/>
          <w:divBdr>
            <w:top w:val="none" w:sz="0" w:space="0" w:color="auto"/>
            <w:left w:val="none" w:sz="0" w:space="0" w:color="auto"/>
            <w:bottom w:val="none" w:sz="0" w:space="0" w:color="auto"/>
            <w:right w:val="none" w:sz="0" w:space="0" w:color="auto"/>
          </w:divBdr>
        </w:div>
        <w:div w:id="1671132536">
          <w:marLeft w:val="640"/>
          <w:marRight w:val="0"/>
          <w:marTop w:val="0"/>
          <w:marBottom w:val="0"/>
          <w:divBdr>
            <w:top w:val="none" w:sz="0" w:space="0" w:color="auto"/>
            <w:left w:val="none" w:sz="0" w:space="0" w:color="auto"/>
            <w:bottom w:val="none" w:sz="0" w:space="0" w:color="auto"/>
            <w:right w:val="none" w:sz="0" w:space="0" w:color="auto"/>
          </w:divBdr>
        </w:div>
        <w:div w:id="1775664088">
          <w:marLeft w:val="640"/>
          <w:marRight w:val="0"/>
          <w:marTop w:val="0"/>
          <w:marBottom w:val="0"/>
          <w:divBdr>
            <w:top w:val="none" w:sz="0" w:space="0" w:color="auto"/>
            <w:left w:val="none" w:sz="0" w:space="0" w:color="auto"/>
            <w:bottom w:val="none" w:sz="0" w:space="0" w:color="auto"/>
            <w:right w:val="none" w:sz="0" w:space="0" w:color="auto"/>
          </w:divBdr>
        </w:div>
        <w:div w:id="380784354">
          <w:marLeft w:val="640"/>
          <w:marRight w:val="0"/>
          <w:marTop w:val="0"/>
          <w:marBottom w:val="0"/>
          <w:divBdr>
            <w:top w:val="none" w:sz="0" w:space="0" w:color="auto"/>
            <w:left w:val="none" w:sz="0" w:space="0" w:color="auto"/>
            <w:bottom w:val="none" w:sz="0" w:space="0" w:color="auto"/>
            <w:right w:val="none" w:sz="0" w:space="0" w:color="auto"/>
          </w:divBdr>
        </w:div>
        <w:div w:id="663824999">
          <w:marLeft w:val="640"/>
          <w:marRight w:val="0"/>
          <w:marTop w:val="0"/>
          <w:marBottom w:val="0"/>
          <w:divBdr>
            <w:top w:val="none" w:sz="0" w:space="0" w:color="auto"/>
            <w:left w:val="none" w:sz="0" w:space="0" w:color="auto"/>
            <w:bottom w:val="none" w:sz="0" w:space="0" w:color="auto"/>
            <w:right w:val="none" w:sz="0" w:space="0" w:color="auto"/>
          </w:divBdr>
        </w:div>
        <w:div w:id="646324262">
          <w:marLeft w:val="640"/>
          <w:marRight w:val="0"/>
          <w:marTop w:val="0"/>
          <w:marBottom w:val="0"/>
          <w:divBdr>
            <w:top w:val="none" w:sz="0" w:space="0" w:color="auto"/>
            <w:left w:val="none" w:sz="0" w:space="0" w:color="auto"/>
            <w:bottom w:val="none" w:sz="0" w:space="0" w:color="auto"/>
            <w:right w:val="none" w:sz="0" w:space="0" w:color="auto"/>
          </w:divBdr>
        </w:div>
        <w:div w:id="1931620916">
          <w:marLeft w:val="640"/>
          <w:marRight w:val="0"/>
          <w:marTop w:val="0"/>
          <w:marBottom w:val="0"/>
          <w:divBdr>
            <w:top w:val="none" w:sz="0" w:space="0" w:color="auto"/>
            <w:left w:val="none" w:sz="0" w:space="0" w:color="auto"/>
            <w:bottom w:val="none" w:sz="0" w:space="0" w:color="auto"/>
            <w:right w:val="none" w:sz="0" w:space="0" w:color="auto"/>
          </w:divBdr>
        </w:div>
        <w:div w:id="1623263600">
          <w:marLeft w:val="640"/>
          <w:marRight w:val="0"/>
          <w:marTop w:val="0"/>
          <w:marBottom w:val="0"/>
          <w:divBdr>
            <w:top w:val="none" w:sz="0" w:space="0" w:color="auto"/>
            <w:left w:val="none" w:sz="0" w:space="0" w:color="auto"/>
            <w:bottom w:val="none" w:sz="0" w:space="0" w:color="auto"/>
            <w:right w:val="none" w:sz="0" w:space="0" w:color="auto"/>
          </w:divBdr>
        </w:div>
        <w:div w:id="1126973332">
          <w:marLeft w:val="640"/>
          <w:marRight w:val="0"/>
          <w:marTop w:val="0"/>
          <w:marBottom w:val="0"/>
          <w:divBdr>
            <w:top w:val="none" w:sz="0" w:space="0" w:color="auto"/>
            <w:left w:val="none" w:sz="0" w:space="0" w:color="auto"/>
            <w:bottom w:val="none" w:sz="0" w:space="0" w:color="auto"/>
            <w:right w:val="none" w:sz="0" w:space="0" w:color="auto"/>
          </w:divBdr>
        </w:div>
      </w:divsChild>
    </w:div>
    <w:div w:id="743066311">
      <w:bodyDiv w:val="1"/>
      <w:marLeft w:val="0"/>
      <w:marRight w:val="0"/>
      <w:marTop w:val="0"/>
      <w:marBottom w:val="0"/>
      <w:divBdr>
        <w:top w:val="none" w:sz="0" w:space="0" w:color="auto"/>
        <w:left w:val="none" w:sz="0" w:space="0" w:color="auto"/>
        <w:bottom w:val="none" w:sz="0" w:space="0" w:color="auto"/>
        <w:right w:val="none" w:sz="0" w:space="0" w:color="auto"/>
      </w:divBdr>
      <w:divsChild>
        <w:div w:id="1288387848">
          <w:marLeft w:val="640"/>
          <w:marRight w:val="0"/>
          <w:marTop w:val="0"/>
          <w:marBottom w:val="0"/>
          <w:divBdr>
            <w:top w:val="none" w:sz="0" w:space="0" w:color="auto"/>
            <w:left w:val="none" w:sz="0" w:space="0" w:color="auto"/>
            <w:bottom w:val="none" w:sz="0" w:space="0" w:color="auto"/>
            <w:right w:val="none" w:sz="0" w:space="0" w:color="auto"/>
          </w:divBdr>
        </w:div>
        <w:div w:id="1948417929">
          <w:marLeft w:val="640"/>
          <w:marRight w:val="0"/>
          <w:marTop w:val="0"/>
          <w:marBottom w:val="0"/>
          <w:divBdr>
            <w:top w:val="none" w:sz="0" w:space="0" w:color="auto"/>
            <w:left w:val="none" w:sz="0" w:space="0" w:color="auto"/>
            <w:bottom w:val="none" w:sz="0" w:space="0" w:color="auto"/>
            <w:right w:val="none" w:sz="0" w:space="0" w:color="auto"/>
          </w:divBdr>
        </w:div>
        <w:div w:id="2092579008">
          <w:marLeft w:val="640"/>
          <w:marRight w:val="0"/>
          <w:marTop w:val="0"/>
          <w:marBottom w:val="0"/>
          <w:divBdr>
            <w:top w:val="none" w:sz="0" w:space="0" w:color="auto"/>
            <w:left w:val="none" w:sz="0" w:space="0" w:color="auto"/>
            <w:bottom w:val="none" w:sz="0" w:space="0" w:color="auto"/>
            <w:right w:val="none" w:sz="0" w:space="0" w:color="auto"/>
          </w:divBdr>
        </w:div>
        <w:div w:id="399251034">
          <w:marLeft w:val="640"/>
          <w:marRight w:val="0"/>
          <w:marTop w:val="0"/>
          <w:marBottom w:val="0"/>
          <w:divBdr>
            <w:top w:val="none" w:sz="0" w:space="0" w:color="auto"/>
            <w:left w:val="none" w:sz="0" w:space="0" w:color="auto"/>
            <w:bottom w:val="none" w:sz="0" w:space="0" w:color="auto"/>
            <w:right w:val="none" w:sz="0" w:space="0" w:color="auto"/>
          </w:divBdr>
        </w:div>
        <w:div w:id="624048121">
          <w:marLeft w:val="640"/>
          <w:marRight w:val="0"/>
          <w:marTop w:val="0"/>
          <w:marBottom w:val="0"/>
          <w:divBdr>
            <w:top w:val="none" w:sz="0" w:space="0" w:color="auto"/>
            <w:left w:val="none" w:sz="0" w:space="0" w:color="auto"/>
            <w:bottom w:val="none" w:sz="0" w:space="0" w:color="auto"/>
            <w:right w:val="none" w:sz="0" w:space="0" w:color="auto"/>
          </w:divBdr>
        </w:div>
        <w:div w:id="1530529967">
          <w:marLeft w:val="640"/>
          <w:marRight w:val="0"/>
          <w:marTop w:val="0"/>
          <w:marBottom w:val="0"/>
          <w:divBdr>
            <w:top w:val="none" w:sz="0" w:space="0" w:color="auto"/>
            <w:left w:val="none" w:sz="0" w:space="0" w:color="auto"/>
            <w:bottom w:val="none" w:sz="0" w:space="0" w:color="auto"/>
            <w:right w:val="none" w:sz="0" w:space="0" w:color="auto"/>
          </w:divBdr>
        </w:div>
        <w:div w:id="1065764063">
          <w:marLeft w:val="640"/>
          <w:marRight w:val="0"/>
          <w:marTop w:val="0"/>
          <w:marBottom w:val="0"/>
          <w:divBdr>
            <w:top w:val="none" w:sz="0" w:space="0" w:color="auto"/>
            <w:left w:val="none" w:sz="0" w:space="0" w:color="auto"/>
            <w:bottom w:val="none" w:sz="0" w:space="0" w:color="auto"/>
            <w:right w:val="none" w:sz="0" w:space="0" w:color="auto"/>
          </w:divBdr>
        </w:div>
        <w:div w:id="1357542005">
          <w:marLeft w:val="640"/>
          <w:marRight w:val="0"/>
          <w:marTop w:val="0"/>
          <w:marBottom w:val="0"/>
          <w:divBdr>
            <w:top w:val="none" w:sz="0" w:space="0" w:color="auto"/>
            <w:left w:val="none" w:sz="0" w:space="0" w:color="auto"/>
            <w:bottom w:val="none" w:sz="0" w:space="0" w:color="auto"/>
            <w:right w:val="none" w:sz="0" w:space="0" w:color="auto"/>
          </w:divBdr>
        </w:div>
        <w:div w:id="585765350">
          <w:marLeft w:val="640"/>
          <w:marRight w:val="0"/>
          <w:marTop w:val="0"/>
          <w:marBottom w:val="0"/>
          <w:divBdr>
            <w:top w:val="none" w:sz="0" w:space="0" w:color="auto"/>
            <w:left w:val="none" w:sz="0" w:space="0" w:color="auto"/>
            <w:bottom w:val="none" w:sz="0" w:space="0" w:color="auto"/>
            <w:right w:val="none" w:sz="0" w:space="0" w:color="auto"/>
          </w:divBdr>
        </w:div>
        <w:div w:id="608126111">
          <w:marLeft w:val="640"/>
          <w:marRight w:val="0"/>
          <w:marTop w:val="0"/>
          <w:marBottom w:val="0"/>
          <w:divBdr>
            <w:top w:val="none" w:sz="0" w:space="0" w:color="auto"/>
            <w:left w:val="none" w:sz="0" w:space="0" w:color="auto"/>
            <w:bottom w:val="none" w:sz="0" w:space="0" w:color="auto"/>
            <w:right w:val="none" w:sz="0" w:space="0" w:color="auto"/>
          </w:divBdr>
        </w:div>
        <w:div w:id="1672482789">
          <w:marLeft w:val="640"/>
          <w:marRight w:val="0"/>
          <w:marTop w:val="0"/>
          <w:marBottom w:val="0"/>
          <w:divBdr>
            <w:top w:val="none" w:sz="0" w:space="0" w:color="auto"/>
            <w:left w:val="none" w:sz="0" w:space="0" w:color="auto"/>
            <w:bottom w:val="none" w:sz="0" w:space="0" w:color="auto"/>
            <w:right w:val="none" w:sz="0" w:space="0" w:color="auto"/>
          </w:divBdr>
        </w:div>
        <w:div w:id="143861336">
          <w:marLeft w:val="640"/>
          <w:marRight w:val="0"/>
          <w:marTop w:val="0"/>
          <w:marBottom w:val="0"/>
          <w:divBdr>
            <w:top w:val="none" w:sz="0" w:space="0" w:color="auto"/>
            <w:left w:val="none" w:sz="0" w:space="0" w:color="auto"/>
            <w:bottom w:val="none" w:sz="0" w:space="0" w:color="auto"/>
            <w:right w:val="none" w:sz="0" w:space="0" w:color="auto"/>
          </w:divBdr>
        </w:div>
        <w:div w:id="1912957221">
          <w:marLeft w:val="640"/>
          <w:marRight w:val="0"/>
          <w:marTop w:val="0"/>
          <w:marBottom w:val="0"/>
          <w:divBdr>
            <w:top w:val="none" w:sz="0" w:space="0" w:color="auto"/>
            <w:left w:val="none" w:sz="0" w:space="0" w:color="auto"/>
            <w:bottom w:val="none" w:sz="0" w:space="0" w:color="auto"/>
            <w:right w:val="none" w:sz="0" w:space="0" w:color="auto"/>
          </w:divBdr>
        </w:div>
        <w:div w:id="1451314466">
          <w:marLeft w:val="640"/>
          <w:marRight w:val="0"/>
          <w:marTop w:val="0"/>
          <w:marBottom w:val="0"/>
          <w:divBdr>
            <w:top w:val="none" w:sz="0" w:space="0" w:color="auto"/>
            <w:left w:val="none" w:sz="0" w:space="0" w:color="auto"/>
            <w:bottom w:val="none" w:sz="0" w:space="0" w:color="auto"/>
            <w:right w:val="none" w:sz="0" w:space="0" w:color="auto"/>
          </w:divBdr>
        </w:div>
        <w:div w:id="642932271">
          <w:marLeft w:val="640"/>
          <w:marRight w:val="0"/>
          <w:marTop w:val="0"/>
          <w:marBottom w:val="0"/>
          <w:divBdr>
            <w:top w:val="none" w:sz="0" w:space="0" w:color="auto"/>
            <w:left w:val="none" w:sz="0" w:space="0" w:color="auto"/>
            <w:bottom w:val="none" w:sz="0" w:space="0" w:color="auto"/>
            <w:right w:val="none" w:sz="0" w:space="0" w:color="auto"/>
          </w:divBdr>
        </w:div>
        <w:div w:id="682241378">
          <w:marLeft w:val="640"/>
          <w:marRight w:val="0"/>
          <w:marTop w:val="0"/>
          <w:marBottom w:val="0"/>
          <w:divBdr>
            <w:top w:val="none" w:sz="0" w:space="0" w:color="auto"/>
            <w:left w:val="none" w:sz="0" w:space="0" w:color="auto"/>
            <w:bottom w:val="none" w:sz="0" w:space="0" w:color="auto"/>
            <w:right w:val="none" w:sz="0" w:space="0" w:color="auto"/>
          </w:divBdr>
        </w:div>
        <w:div w:id="2017804949">
          <w:marLeft w:val="640"/>
          <w:marRight w:val="0"/>
          <w:marTop w:val="0"/>
          <w:marBottom w:val="0"/>
          <w:divBdr>
            <w:top w:val="none" w:sz="0" w:space="0" w:color="auto"/>
            <w:left w:val="none" w:sz="0" w:space="0" w:color="auto"/>
            <w:bottom w:val="none" w:sz="0" w:space="0" w:color="auto"/>
            <w:right w:val="none" w:sz="0" w:space="0" w:color="auto"/>
          </w:divBdr>
        </w:div>
        <w:div w:id="936405096">
          <w:marLeft w:val="640"/>
          <w:marRight w:val="0"/>
          <w:marTop w:val="0"/>
          <w:marBottom w:val="0"/>
          <w:divBdr>
            <w:top w:val="none" w:sz="0" w:space="0" w:color="auto"/>
            <w:left w:val="none" w:sz="0" w:space="0" w:color="auto"/>
            <w:bottom w:val="none" w:sz="0" w:space="0" w:color="auto"/>
            <w:right w:val="none" w:sz="0" w:space="0" w:color="auto"/>
          </w:divBdr>
        </w:div>
        <w:div w:id="1937858158">
          <w:marLeft w:val="640"/>
          <w:marRight w:val="0"/>
          <w:marTop w:val="0"/>
          <w:marBottom w:val="0"/>
          <w:divBdr>
            <w:top w:val="none" w:sz="0" w:space="0" w:color="auto"/>
            <w:left w:val="none" w:sz="0" w:space="0" w:color="auto"/>
            <w:bottom w:val="none" w:sz="0" w:space="0" w:color="auto"/>
            <w:right w:val="none" w:sz="0" w:space="0" w:color="auto"/>
          </w:divBdr>
        </w:div>
        <w:div w:id="641035067">
          <w:marLeft w:val="640"/>
          <w:marRight w:val="0"/>
          <w:marTop w:val="0"/>
          <w:marBottom w:val="0"/>
          <w:divBdr>
            <w:top w:val="none" w:sz="0" w:space="0" w:color="auto"/>
            <w:left w:val="none" w:sz="0" w:space="0" w:color="auto"/>
            <w:bottom w:val="none" w:sz="0" w:space="0" w:color="auto"/>
            <w:right w:val="none" w:sz="0" w:space="0" w:color="auto"/>
          </w:divBdr>
        </w:div>
        <w:div w:id="1630276953">
          <w:marLeft w:val="640"/>
          <w:marRight w:val="0"/>
          <w:marTop w:val="0"/>
          <w:marBottom w:val="0"/>
          <w:divBdr>
            <w:top w:val="none" w:sz="0" w:space="0" w:color="auto"/>
            <w:left w:val="none" w:sz="0" w:space="0" w:color="auto"/>
            <w:bottom w:val="none" w:sz="0" w:space="0" w:color="auto"/>
            <w:right w:val="none" w:sz="0" w:space="0" w:color="auto"/>
          </w:divBdr>
        </w:div>
        <w:div w:id="1361321765">
          <w:marLeft w:val="640"/>
          <w:marRight w:val="0"/>
          <w:marTop w:val="0"/>
          <w:marBottom w:val="0"/>
          <w:divBdr>
            <w:top w:val="none" w:sz="0" w:space="0" w:color="auto"/>
            <w:left w:val="none" w:sz="0" w:space="0" w:color="auto"/>
            <w:bottom w:val="none" w:sz="0" w:space="0" w:color="auto"/>
            <w:right w:val="none" w:sz="0" w:space="0" w:color="auto"/>
          </w:divBdr>
        </w:div>
        <w:div w:id="1454860083">
          <w:marLeft w:val="640"/>
          <w:marRight w:val="0"/>
          <w:marTop w:val="0"/>
          <w:marBottom w:val="0"/>
          <w:divBdr>
            <w:top w:val="none" w:sz="0" w:space="0" w:color="auto"/>
            <w:left w:val="none" w:sz="0" w:space="0" w:color="auto"/>
            <w:bottom w:val="none" w:sz="0" w:space="0" w:color="auto"/>
            <w:right w:val="none" w:sz="0" w:space="0" w:color="auto"/>
          </w:divBdr>
        </w:div>
        <w:div w:id="2040005990">
          <w:marLeft w:val="640"/>
          <w:marRight w:val="0"/>
          <w:marTop w:val="0"/>
          <w:marBottom w:val="0"/>
          <w:divBdr>
            <w:top w:val="none" w:sz="0" w:space="0" w:color="auto"/>
            <w:left w:val="none" w:sz="0" w:space="0" w:color="auto"/>
            <w:bottom w:val="none" w:sz="0" w:space="0" w:color="auto"/>
            <w:right w:val="none" w:sz="0" w:space="0" w:color="auto"/>
          </w:divBdr>
        </w:div>
        <w:div w:id="1951476258">
          <w:marLeft w:val="640"/>
          <w:marRight w:val="0"/>
          <w:marTop w:val="0"/>
          <w:marBottom w:val="0"/>
          <w:divBdr>
            <w:top w:val="none" w:sz="0" w:space="0" w:color="auto"/>
            <w:left w:val="none" w:sz="0" w:space="0" w:color="auto"/>
            <w:bottom w:val="none" w:sz="0" w:space="0" w:color="auto"/>
            <w:right w:val="none" w:sz="0" w:space="0" w:color="auto"/>
          </w:divBdr>
        </w:div>
        <w:div w:id="1082095813">
          <w:marLeft w:val="640"/>
          <w:marRight w:val="0"/>
          <w:marTop w:val="0"/>
          <w:marBottom w:val="0"/>
          <w:divBdr>
            <w:top w:val="none" w:sz="0" w:space="0" w:color="auto"/>
            <w:left w:val="none" w:sz="0" w:space="0" w:color="auto"/>
            <w:bottom w:val="none" w:sz="0" w:space="0" w:color="auto"/>
            <w:right w:val="none" w:sz="0" w:space="0" w:color="auto"/>
          </w:divBdr>
        </w:div>
        <w:div w:id="1238439665">
          <w:marLeft w:val="640"/>
          <w:marRight w:val="0"/>
          <w:marTop w:val="0"/>
          <w:marBottom w:val="0"/>
          <w:divBdr>
            <w:top w:val="none" w:sz="0" w:space="0" w:color="auto"/>
            <w:left w:val="none" w:sz="0" w:space="0" w:color="auto"/>
            <w:bottom w:val="none" w:sz="0" w:space="0" w:color="auto"/>
            <w:right w:val="none" w:sz="0" w:space="0" w:color="auto"/>
          </w:divBdr>
        </w:div>
        <w:div w:id="1344668698">
          <w:marLeft w:val="640"/>
          <w:marRight w:val="0"/>
          <w:marTop w:val="0"/>
          <w:marBottom w:val="0"/>
          <w:divBdr>
            <w:top w:val="none" w:sz="0" w:space="0" w:color="auto"/>
            <w:left w:val="none" w:sz="0" w:space="0" w:color="auto"/>
            <w:bottom w:val="none" w:sz="0" w:space="0" w:color="auto"/>
            <w:right w:val="none" w:sz="0" w:space="0" w:color="auto"/>
          </w:divBdr>
        </w:div>
        <w:div w:id="1302265984">
          <w:marLeft w:val="640"/>
          <w:marRight w:val="0"/>
          <w:marTop w:val="0"/>
          <w:marBottom w:val="0"/>
          <w:divBdr>
            <w:top w:val="none" w:sz="0" w:space="0" w:color="auto"/>
            <w:left w:val="none" w:sz="0" w:space="0" w:color="auto"/>
            <w:bottom w:val="none" w:sz="0" w:space="0" w:color="auto"/>
            <w:right w:val="none" w:sz="0" w:space="0" w:color="auto"/>
          </w:divBdr>
        </w:div>
        <w:div w:id="1311864625">
          <w:marLeft w:val="640"/>
          <w:marRight w:val="0"/>
          <w:marTop w:val="0"/>
          <w:marBottom w:val="0"/>
          <w:divBdr>
            <w:top w:val="none" w:sz="0" w:space="0" w:color="auto"/>
            <w:left w:val="none" w:sz="0" w:space="0" w:color="auto"/>
            <w:bottom w:val="none" w:sz="0" w:space="0" w:color="auto"/>
            <w:right w:val="none" w:sz="0" w:space="0" w:color="auto"/>
          </w:divBdr>
        </w:div>
        <w:div w:id="2046059788">
          <w:marLeft w:val="640"/>
          <w:marRight w:val="0"/>
          <w:marTop w:val="0"/>
          <w:marBottom w:val="0"/>
          <w:divBdr>
            <w:top w:val="none" w:sz="0" w:space="0" w:color="auto"/>
            <w:left w:val="none" w:sz="0" w:space="0" w:color="auto"/>
            <w:bottom w:val="none" w:sz="0" w:space="0" w:color="auto"/>
            <w:right w:val="none" w:sz="0" w:space="0" w:color="auto"/>
          </w:divBdr>
        </w:div>
        <w:div w:id="1997682195">
          <w:marLeft w:val="640"/>
          <w:marRight w:val="0"/>
          <w:marTop w:val="0"/>
          <w:marBottom w:val="0"/>
          <w:divBdr>
            <w:top w:val="none" w:sz="0" w:space="0" w:color="auto"/>
            <w:left w:val="none" w:sz="0" w:space="0" w:color="auto"/>
            <w:bottom w:val="none" w:sz="0" w:space="0" w:color="auto"/>
            <w:right w:val="none" w:sz="0" w:space="0" w:color="auto"/>
          </w:divBdr>
        </w:div>
        <w:div w:id="2050957963">
          <w:marLeft w:val="640"/>
          <w:marRight w:val="0"/>
          <w:marTop w:val="0"/>
          <w:marBottom w:val="0"/>
          <w:divBdr>
            <w:top w:val="none" w:sz="0" w:space="0" w:color="auto"/>
            <w:left w:val="none" w:sz="0" w:space="0" w:color="auto"/>
            <w:bottom w:val="none" w:sz="0" w:space="0" w:color="auto"/>
            <w:right w:val="none" w:sz="0" w:space="0" w:color="auto"/>
          </w:divBdr>
        </w:div>
        <w:div w:id="2065256029">
          <w:marLeft w:val="640"/>
          <w:marRight w:val="0"/>
          <w:marTop w:val="0"/>
          <w:marBottom w:val="0"/>
          <w:divBdr>
            <w:top w:val="none" w:sz="0" w:space="0" w:color="auto"/>
            <w:left w:val="none" w:sz="0" w:space="0" w:color="auto"/>
            <w:bottom w:val="none" w:sz="0" w:space="0" w:color="auto"/>
            <w:right w:val="none" w:sz="0" w:space="0" w:color="auto"/>
          </w:divBdr>
        </w:div>
        <w:div w:id="1942764461">
          <w:marLeft w:val="640"/>
          <w:marRight w:val="0"/>
          <w:marTop w:val="0"/>
          <w:marBottom w:val="0"/>
          <w:divBdr>
            <w:top w:val="none" w:sz="0" w:space="0" w:color="auto"/>
            <w:left w:val="none" w:sz="0" w:space="0" w:color="auto"/>
            <w:bottom w:val="none" w:sz="0" w:space="0" w:color="auto"/>
            <w:right w:val="none" w:sz="0" w:space="0" w:color="auto"/>
          </w:divBdr>
        </w:div>
        <w:div w:id="47152261">
          <w:marLeft w:val="640"/>
          <w:marRight w:val="0"/>
          <w:marTop w:val="0"/>
          <w:marBottom w:val="0"/>
          <w:divBdr>
            <w:top w:val="none" w:sz="0" w:space="0" w:color="auto"/>
            <w:left w:val="none" w:sz="0" w:space="0" w:color="auto"/>
            <w:bottom w:val="none" w:sz="0" w:space="0" w:color="auto"/>
            <w:right w:val="none" w:sz="0" w:space="0" w:color="auto"/>
          </w:divBdr>
        </w:div>
        <w:div w:id="349184465">
          <w:marLeft w:val="640"/>
          <w:marRight w:val="0"/>
          <w:marTop w:val="0"/>
          <w:marBottom w:val="0"/>
          <w:divBdr>
            <w:top w:val="none" w:sz="0" w:space="0" w:color="auto"/>
            <w:left w:val="none" w:sz="0" w:space="0" w:color="auto"/>
            <w:bottom w:val="none" w:sz="0" w:space="0" w:color="auto"/>
            <w:right w:val="none" w:sz="0" w:space="0" w:color="auto"/>
          </w:divBdr>
        </w:div>
        <w:div w:id="1307398186">
          <w:marLeft w:val="640"/>
          <w:marRight w:val="0"/>
          <w:marTop w:val="0"/>
          <w:marBottom w:val="0"/>
          <w:divBdr>
            <w:top w:val="none" w:sz="0" w:space="0" w:color="auto"/>
            <w:left w:val="none" w:sz="0" w:space="0" w:color="auto"/>
            <w:bottom w:val="none" w:sz="0" w:space="0" w:color="auto"/>
            <w:right w:val="none" w:sz="0" w:space="0" w:color="auto"/>
          </w:divBdr>
        </w:div>
        <w:div w:id="13192838">
          <w:marLeft w:val="640"/>
          <w:marRight w:val="0"/>
          <w:marTop w:val="0"/>
          <w:marBottom w:val="0"/>
          <w:divBdr>
            <w:top w:val="none" w:sz="0" w:space="0" w:color="auto"/>
            <w:left w:val="none" w:sz="0" w:space="0" w:color="auto"/>
            <w:bottom w:val="none" w:sz="0" w:space="0" w:color="auto"/>
            <w:right w:val="none" w:sz="0" w:space="0" w:color="auto"/>
          </w:divBdr>
        </w:div>
        <w:div w:id="1814106042">
          <w:marLeft w:val="640"/>
          <w:marRight w:val="0"/>
          <w:marTop w:val="0"/>
          <w:marBottom w:val="0"/>
          <w:divBdr>
            <w:top w:val="none" w:sz="0" w:space="0" w:color="auto"/>
            <w:left w:val="none" w:sz="0" w:space="0" w:color="auto"/>
            <w:bottom w:val="none" w:sz="0" w:space="0" w:color="auto"/>
            <w:right w:val="none" w:sz="0" w:space="0" w:color="auto"/>
          </w:divBdr>
        </w:div>
        <w:div w:id="1297295371">
          <w:marLeft w:val="640"/>
          <w:marRight w:val="0"/>
          <w:marTop w:val="0"/>
          <w:marBottom w:val="0"/>
          <w:divBdr>
            <w:top w:val="none" w:sz="0" w:space="0" w:color="auto"/>
            <w:left w:val="none" w:sz="0" w:space="0" w:color="auto"/>
            <w:bottom w:val="none" w:sz="0" w:space="0" w:color="auto"/>
            <w:right w:val="none" w:sz="0" w:space="0" w:color="auto"/>
          </w:divBdr>
        </w:div>
        <w:div w:id="1453282624">
          <w:marLeft w:val="640"/>
          <w:marRight w:val="0"/>
          <w:marTop w:val="0"/>
          <w:marBottom w:val="0"/>
          <w:divBdr>
            <w:top w:val="none" w:sz="0" w:space="0" w:color="auto"/>
            <w:left w:val="none" w:sz="0" w:space="0" w:color="auto"/>
            <w:bottom w:val="none" w:sz="0" w:space="0" w:color="auto"/>
            <w:right w:val="none" w:sz="0" w:space="0" w:color="auto"/>
          </w:divBdr>
        </w:div>
        <w:div w:id="2057855800">
          <w:marLeft w:val="640"/>
          <w:marRight w:val="0"/>
          <w:marTop w:val="0"/>
          <w:marBottom w:val="0"/>
          <w:divBdr>
            <w:top w:val="none" w:sz="0" w:space="0" w:color="auto"/>
            <w:left w:val="none" w:sz="0" w:space="0" w:color="auto"/>
            <w:bottom w:val="none" w:sz="0" w:space="0" w:color="auto"/>
            <w:right w:val="none" w:sz="0" w:space="0" w:color="auto"/>
          </w:divBdr>
        </w:div>
        <w:div w:id="1391610622">
          <w:marLeft w:val="640"/>
          <w:marRight w:val="0"/>
          <w:marTop w:val="0"/>
          <w:marBottom w:val="0"/>
          <w:divBdr>
            <w:top w:val="none" w:sz="0" w:space="0" w:color="auto"/>
            <w:left w:val="none" w:sz="0" w:space="0" w:color="auto"/>
            <w:bottom w:val="none" w:sz="0" w:space="0" w:color="auto"/>
            <w:right w:val="none" w:sz="0" w:space="0" w:color="auto"/>
          </w:divBdr>
        </w:div>
        <w:div w:id="1262253345">
          <w:marLeft w:val="640"/>
          <w:marRight w:val="0"/>
          <w:marTop w:val="0"/>
          <w:marBottom w:val="0"/>
          <w:divBdr>
            <w:top w:val="none" w:sz="0" w:space="0" w:color="auto"/>
            <w:left w:val="none" w:sz="0" w:space="0" w:color="auto"/>
            <w:bottom w:val="none" w:sz="0" w:space="0" w:color="auto"/>
            <w:right w:val="none" w:sz="0" w:space="0" w:color="auto"/>
          </w:divBdr>
        </w:div>
        <w:div w:id="481502048">
          <w:marLeft w:val="640"/>
          <w:marRight w:val="0"/>
          <w:marTop w:val="0"/>
          <w:marBottom w:val="0"/>
          <w:divBdr>
            <w:top w:val="none" w:sz="0" w:space="0" w:color="auto"/>
            <w:left w:val="none" w:sz="0" w:space="0" w:color="auto"/>
            <w:bottom w:val="none" w:sz="0" w:space="0" w:color="auto"/>
            <w:right w:val="none" w:sz="0" w:space="0" w:color="auto"/>
          </w:divBdr>
        </w:div>
        <w:div w:id="1073889566">
          <w:marLeft w:val="640"/>
          <w:marRight w:val="0"/>
          <w:marTop w:val="0"/>
          <w:marBottom w:val="0"/>
          <w:divBdr>
            <w:top w:val="none" w:sz="0" w:space="0" w:color="auto"/>
            <w:left w:val="none" w:sz="0" w:space="0" w:color="auto"/>
            <w:bottom w:val="none" w:sz="0" w:space="0" w:color="auto"/>
            <w:right w:val="none" w:sz="0" w:space="0" w:color="auto"/>
          </w:divBdr>
        </w:div>
        <w:div w:id="1574581257">
          <w:marLeft w:val="640"/>
          <w:marRight w:val="0"/>
          <w:marTop w:val="0"/>
          <w:marBottom w:val="0"/>
          <w:divBdr>
            <w:top w:val="none" w:sz="0" w:space="0" w:color="auto"/>
            <w:left w:val="none" w:sz="0" w:space="0" w:color="auto"/>
            <w:bottom w:val="none" w:sz="0" w:space="0" w:color="auto"/>
            <w:right w:val="none" w:sz="0" w:space="0" w:color="auto"/>
          </w:divBdr>
        </w:div>
        <w:div w:id="1182206661">
          <w:marLeft w:val="640"/>
          <w:marRight w:val="0"/>
          <w:marTop w:val="0"/>
          <w:marBottom w:val="0"/>
          <w:divBdr>
            <w:top w:val="none" w:sz="0" w:space="0" w:color="auto"/>
            <w:left w:val="none" w:sz="0" w:space="0" w:color="auto"/>
            <w:bottom w:val="none" w:sz="0" w:space="0" w:color="auto"/>
            <w:right w:val="none" w:sz="0" w:space="0" w:color="auto"/>
          </w:divBdr>
        </w:div>
        <w:div w:id="29503801">
          <w:marLeft w:val="640"/>
          <w:marRight w:val="0"/>
          <w:marTop w:val="0"/>
          <w:marBottom w:val="0"/>
          <w:divBdr>
            <w:top w:val="none" w:sz="0" w:space="0" w:color="auto"/>
            <w:left w:val="none" w:sz="0" w:space="0" w:color="auto"/>
            <w:bottom w:val="none" w:sz="0" w:space="0" w:color="auto"/>
            <w:right w:val="none" w:sz="0" w:space="0" w:color="auto"/>
          </w:divBdr>
        </w:div>
        <w:div w:id="1972511593">
          <w:marLeft w:val="640"/>
          <w:marRight w:val="0"/>
          <w:marTop w:val="0"/>
          <w:marBottom w:val="0"/>
          <w:divBdr>
            <w:top w:val="none" w:sz="0" w:space="0" w:color="auto"/>
            <w:left w:val="none" w:sz="0" w:space="0" w:color="auto"/>
            <w:bottom w:val="none" w:sz="0" w:space="0" w:color="auto"/>
            <w:right w:val="none" w:sz="0" w:space="0" w:color="auto"/>
          </w:divBdr>
        </w:div>
        <w:div w:id="474686761">
          <w:marLeft w:val="640"/>
          <w:marRight w:val="0"/>
          <w:marTop w:val="0"/>
          <w:marBottom w:val="0"/>
          <w:divBdr>
            <w:top w:val="none" w:sz="0" w:space="0" w:color="auto"/>
            <w:left w:val="none" w:sz="0" w:space="0" w:color="auto"/>
            <w:bottom w:val="none" w:sz="0" w:space="0" w:color="auto"/>
            <w:right w:val="none" w:sz="0" w:space="0" w:color="auto"/>
          </w:divBdr>
        </w:div>
        <w:div w:id="14842672">
          <w:marLeft w:val="640"/>
          <w:marRight w:val="0"/>
          <w:marTop w:val="0"/>
          <w:marBottom w:val="0"/>
          <w:divBdr>
            <w:top w:val="none" w:sz="0" w:space="0" w:color="auto"/>
            <w:left w:val="none" w:sz="0" w:space="0" w:color="auto"/>
            <w:bottom w:val="none" w:sz="0" w:space="0" w:color="auto"/>
            <w:right w:val="none" w:sz="0" w:space="0" w:color="auto"/>
          </w:divBdr>
        </w:div>
        <w:div w:id="1032533977">
          <w:marLeft w:val="640"/>
          <w:marRight w:val="0"/>
          <w:marTop w:val="0"/>
          <w:marBottom w:val="0"/>
          <w:divBdr>
            <w:top w:val="none" w:sz="0" w:space="0" w:color="auto"/>
            <w:left w:val="none" w:sz="0" w:space="0" w:color="auto"/>
            <w:bottom w:val="none" w:sz="0" w:space="0" w:color="auto"/>
            <w:right w:val="none" w:sz="0" w:space="0" w:color="auto"/>
          </w:divBdr>
        </w:div>
        <w:div w:id="193736752">
          <w:marLeft w:val="640"/>
          <w:marRight w:val="0"/>
          <w:marTop w:val="0"/>
          <w:marBottom w:val="0"/>
          <w:divBdr>
            <w:top w:val="none" w:sz="0" w:space="0" w:color="auto"/>
            <w:left w:val="none" w:sz="0" w:space="0" w:color="auto"/>
            <w:bottom w:val="none" w:sz="0" w:space="0" w:color="auto"/>
            <w:right w:val="none" w:sz="0" w:space="0" w:color="auto"/>
          </w:divBdr>
        </w:div>
        <w:div w:id="836187160">
          <w:marLeft w:val="640"/>
          <w:marRight w:val="0"/>
          <w:marTop w:val="0"/>
          <w:marBottom w:val="0"/>
          <w:divBdr>
            <w:top w:val="none" w:sz="0" w:space="0" w:color="auto"/>
            <w:left w:val="none" w:sz="0" w:space="0" w:color="auto"/>
            <w:bottom w:val="none" w:sz="0" w:space="0" w:color="auto"/>
            <w:right w:val="none" w:sz="0" w:space="0" w:color="auto"/>
          </w:divBdr>
        </w:div>
        <w:div w:id="1841773903">
          <w:marLeft w:val="640"/>
          <w:marRight w:val="0"/>
          <w:marTop w:val="0"/>
          <w:marBottom w:val="0"/>
          <w:divBdr>
            <w:top w:val="none" w:sz="0" w:space="0" w:color="auto"/>
            <w:left w:val="none" w:sz="0" w:space="0" w:color="auto"/>
            <w:bottom w:val="none" w:sz="0" w:space="0" w:color="auto"/>
            <w:right w:val="none" w:sz="0" w:space="0" w:color="auto"/>
          </w:divBdr>
        </w:div>
        <w:div w:id="899054600">
          <w:marLeft w:val="640"/>
          <w:marRight w:val="0"/>
          <w:marTop w:val="0"/>
          <w:marBottom w:val="0"/>
          <w:divBdr>
            <w:top w:val="none" w:sz="0" w:space="0" w:color="auto"/>
            <w:left w:val="none" w:sz="0" w:space="0" w:color="auto"/>
            <w:bottom w:val="none" w:sz="0" w:space="0" w:color="auto"/>
            <w:right w:val="none" w:sz="0" w:space="0" w:color="auto"/>
          </w:divBdr>
        </w:div>
        <w:div w:id="2072120450">
          <w:marLeft w:val="640"/>
          <w:marRight w:val="0"/>
          <w:marTop w:val="0"/>
          <w:marBottom w:val="0"/>
          <w:divBdr>
            <w:top w:val="none" w:sz="0" w:space="0" w:color="auto"/>
            <w:left w:val="none" w:sz="0" w:space="0" w:color="auto"/>
            <w:bottom w:val="none" w:sz="0" w:space="0" w:color="auto"/>
            <w:right w:val="none" w:sz="0" w:space="0" w:color="auto"/>
          </w:divBdr>
        </w:div>
        <w:div w:id="2027364588">
          <w:marLeft w:val="640"/>
          <w:marRight w:val="0"/>
          <w:marTop w:val="0"/>
          <w:marBottom w:val="0"/>
          <w:divBdr>
            <w:top w:val="none" w:sz="0" w:space="0" w:color="auto"/>
            <w:left w:val="none" w:sz="0" w:space="0" w:color="auto"/>
            <w:bottom w:val="none" w:sz="0" w:space="0" w:color="auto"/>
            <w:right w:val="none" w:sz="0" w:space="0" w:color="auto"/>
          </w:divBdr>
        </w:div>
        <w:div w:id="975641378">
          <w:marLeft w:val="640"/>
          <w:marRight w:val="0"/>
          <w:marTop w:val="0"/>
          <w:marBottom w:val="0"/>
          <w:divBdr>
            <w:top w:val="none" w:sz="0" w:space="0" w:color="auto"/>
            <w:left w:val="none" w:sz="0" w:space="0" w:color="auto"/>
            <w:bottom w:val="none" w:sz="0" w:space="0" w:color="auto"/>
            <w:right w:val="none" w:sz="0" w:space="0" w:color="auto"/>
          </w:divBdr>
        </w:div>
        <w:div w:id="1291473751">
          <w:marLeft w:val="640"/>
          <w:marRight w:val="0"/>
          <w:marTop w:val="0"/>
          <w:marBottom w:val="0"/>
          <w:divBdr>
            <w:top w:val="none" w:sz="0" w:space="0" w:color="auto"/>
            <w:left w:val="none" w:sz="0" w:space="0" w:color="auto"/>
            <w:bottom w:val="none" w:sz="0" w:space="0" w:color="auto"/>
            <w:right w:val="none" w:sz="0" w:space="0" w:color="auto"/>
          </w:divBdr>
        </w:div>
        <w:div w:id="2047829660">
          <w:marLeft w:val="640"/>
          <w:marRight w:val="0"/>
          <w:marTop w:val="0"/>
          <w:marBottom w:val="0"/>
          <w:divBdr>
            <w:top w:val="none" w:sz="0" w:space="0" w:color="auto"/>
            <w:left w:val="none" w:sz="0" w:space="0" w:color="auto"/>
            <w:bottom w:val="none" w:sz="0" w:space="0" w:color="auto"/>
            <w:right w:val="none" w:sz="0" w:space="0" w:color="auto"/>
          </w:divBdr>
        </w:div>
        <w:div w:id="1993365867">
          <w:marLeft w:val="640"/>
          <w:marRight w:val="0"/>
          <w:marTop w:val="0"/>
          <w:marBottom w:val="0"/>
          <w:divBdr>
            <w:top w:val="none" w:sz="0" w:space="0" w:color="auto"/>
            <w:left w:val="none" w:sz="0" w:space="0" w:color="auto"/>
            <w:bottom w:val="none" w:sz="0" w:space="0" w:color="auto"/>
            <w:right w:val="none" w:sz="0" w:space="0" w:color="auto"/>
          </w:divBdr>
        </w:div>
        <w:div w:id="604848331">
          <w:marLeft w:val="640"/>
          <w:marRight w:val="0"/>
          <w:marTop w:val="0"/>
          <w:marBottom w:val="0"/>
          <w:divBdr>
            <w:top w:val="none" w:sz="0" w:space="0" w:color="auto"/>
            <w:left w:val="none" w:sz="0" w:space="0" w:color="auto"/>
            <w:bottom w:val="none" w:sz="0" w:space="0" w:color="auto"/>
            <w:right w:val="none" w:sz="0" w:space="0" w:color="auto"/>
          </w:divBdr>
        </w:div>
        <w:div w:id="2061199866">
          <w:marLeft w:val="640"/>
          <w:marRight w:val="0"/>
          <w:marTop w:val="0"/>
          <w:marBottom w:val="0"/>
          <w:divBdr>
            <w:top w:val="none" w:sz="0" w:space="0" w:color="auto"/>
            <w:left w:val="none" w:sz="0" w:space="0" w:color="auto"/>
            <w:bottom w:val="none" w:sz="0" w:space="0" w:color="auto"/>
            <w:right w:val="none" w:sz="0" w:space="0" w:color="auto"/>
          </w:divBdr>
        </w:div>
        <w:div w:id="569391685">
          <w:marLeft w:val="640"/>
          <w:marRight w:val="0"/>
          <w:marTop w:val="0"/>
          <w:marBottom w:val="0"/>
          <w:divBdr>
            <w:top w:val="none" w:sz="0" w:space="0" w:color="auto"/>
            <w:left w:val="none" w:sz="0" w:space="0" w:color="auto"/>
            <w:bottom w:val="none" w:sz="0" w:space="0" w:color="auto"/>
            <w:right w:val="none" w:sz="0" w:space="0" w:color="auto"/>
          </w:divBdr>
        </w:div>
        <w:div w:id="227153389">
          <w:marLeft w:val="640"/>
          <w:marRight w:val="0"/>
          <w:marTop w:val="0"/>
          <w:marBottom w:val="0"/>
          <w:divBdr>
            <w:top w:val="none" w:sz="0" w:space="0" w:color="auto"/>
            <w:left w:val="none" w:sz="0" w:space="0" w:color="auto"/>
            <w:bottom w:val="none" w:sz="0" w:space="0" w:color="auto"/>
            <w:right w:val="none" w:sz="0" w:space="0" w:color="auto"/>
          </w:divBdr>
        </w:div>
        <w:div w:id="694309742">
          <w:marLeft w:val="640"/>
          <w:marRight w:val="0"/>
          <w:marTop w:val="0"/>
          <w:marBottom w:val="0"/>
          <w:divBdr>
            <w:top w:val="none" w:sz="0" w:space="0" w:color="auto"/>
            <w:left w:val="none" w:sz="0" w:space="0" w:color="auto"/>
            <w:bottom w:val="none" w:sz="0" w:space="0" w:color="auto"/>
            <w:right w:val="none" w:sz="0" w:space="0" w:color="auto"/>
          </w:divBdr>
        </w:div>
        <w:div w:id="1089890696">
          <w:marLeft w:val="640"/>
          <w:marRight w:val="0"/>
          <w:marTop w:val="0"/>
          <w:marBottom w:val="0"/>
          <w:divBdr>
            <w:top w:val="none" w:sz="0" w:space="0" w:color="auto"/>
            <w:left w:val="none" w:sz="0" w:space="0" w:color="auto"/>
            <w:bottom w:val="none" w:sz="0" w:space="0" w:color="auto"/>
            <w:right w:val="none" w:sz="0" w:space="0" w:color="auto"/>
          </w:divBdr>
        </w:div>
        <w:div w:id="451168571">
          <w:marLeft w:val="640"/>
          <w:marRight w:val="0"/>
          <w:marTop w:val="0"/>
          <w:marBottom w:val="0"/>
          <w:divBdr>
            <w:top w:val="none" w:sz="0" w:space="0" w:color="auto"/>
            <w:left w:val="none" w:sz="0" w:space="0" w:color="auto"/>
            <w:bottom w:val="none" w:sz="0" w:space="0" w:color="auto"/>
            <w:right w:val="none" w:sz="0" w:space="0" w:color="auto"/>
          </w:divBdr>
        </w:div>
        <w:div w:id="631133781">
          <w:marLeft w:val="640"/>
          <w:marRight w:val="0"/>
          <w:marTop w:val="0"/>
          <w:marBottom w:val="0"/>
          <w:divBdr>
            <w:top w:val="none" w:sz="0" w:space="0" w:color="auto"/>
            <w:left w:val="none" w:sz="0" w:space="0" w:color="auto"/>
            <w:bottom w:val="none" w:sz="0" w:space="0" w:color="auto"/>
            <w:right w:val="none" w:sz="0" w:space="0" w:color="auto"/>
          </w:divBdr>
        </w:div>
        <w:div w:id="919557051">
          <w:marLeft w:val="640"/>
          <w:marRight w:val="0"/>
          <w:marTop w:val="0"/>
          <w:marBottom w:val="0"/>
          <w:divBdr>
            <w:top w:val="none" w:sz="0" w:space="0" w:color="auto"/>
            <w:left w:val="none" w:sz="0" w:space="0" w:color="auto"/>
            <w:bottom w:val="none" w:sz="0" w:space="0" w:color="auto"/>
            <w:right w:val="none" w:sz="0" w:space="0" w:color="auto"/>
          </w:divBdr>
        </w:div>
        <w:div w:id="2139294274">
          <w:marLeft w:val="640"/>
          <w:marRight w:val="0"/>
          <w:marTop w:val="0"/>
          <w:marBottom w:val="0"/>
          <w:divBdr>
            <w:top w:val="none" w:sz="0" w:space="0" w:color="auto"/>
            <w:left w:val="none" w:sz="0" w:space="0" w:color="auto"/>
            <w:bottom w:val="none" w:sz="0" w:space="0" w:color="auto"/>
            <w:right w:val="none" w:sz="0" w:space="0" w:color="auto"/>
          </w:divBdr>
        </w:div>
        <w:div w:id="1852330629">
          <w:marLeft w:val="640"/>
          <w:marRight w:val="0"/>
          <w:marTop w:val="0"/>
          <w:marBottom w:val="0"/>
          <w:divBdr>
            <w:top w:val="none" w:sz="0" w:space="0" w:color="auto"/>
            <w:left w:val="none" w:sz="0" w:space="0" w:color="auto"/>
            <w:bottom w:val="none" w:sz="0" w:space="0" w:color="auto"/>
            <w:right w:val="none" w:sz="0" w:space="0" w:color="auto"/>
          </w:divBdr>
        </w:div>
        <w:div w:id="23336611">
          <w:marLeft w:val="640"/>
          <w:marRight w:val="0"/>
          <w:marTop w:val="0"/>
          <w:marBottom w:val="0"/>
          <w:divBdr>
            <w:top w:val="none" w:sz="0" w:space="0" w:color="auto"/>
            <w:left w:val="none" w:sz="0" w:space="0" w:color="auto"/>
            <w:bottom w:val="none" w:sz="0" w:space="0" w:color="auto"/>
            <w:right w:val="none" w:sz="0" w:space="0" w:color="auto"/>
          </w:divBdr>
        </w:div>
        <w:div w:id="1270701044">
          <w:marLeft w:val="640"/>
          <w:marRight w:val="0"/>
          <w:marTop w:val="0"/>
          <w:marBottom w:val="0"/>
          <w:divBdr>
            <w:top w:val="none" w:sz="0" w:space="0" w:color="auto"/>
            <w:left w:val="none" w:sz="0" w:space="0" w:color="auto"/>
            <w:bottom w:val="none" w:sz="0" w:space="0" w:color="auto"/>
            <w:right w:val="none" w:sz="0" w:space="0" w:color="auto"/>
          </w:divBdr>
        </w:div>
        <w:div w:id="1504782268">
          <w:marLeft w:val="640"/>
          <w:marRight w:val="0"/>
          <w:marTop w:val="0"/>
          <w:marBottom w:val="0"/>
          <w:divBdr>
            <w:top w:val="none" w:sz="0" w:space="0" w:color="auto"/>
            <w:left w:val="none" w:sz="0" w:space="0" w:color="auto"/>
            <w:bottom w:val="none" w:sz="0" w:space="0" w:color="auto"/>
            <w:right w:val="none" w:sz="0" w:space="0" w:color="auto"/>
          </w:divBdr>
        </w:div>
        <w:div w:id="242836105">
          <w:marLeft w:val="640"/>
          <w:marRight w:val="0"/>
          <w:marTop w:val="0"/>
          <w:marBottom w:val="0"/>
          <w:divBdr>
            <w:top w:val="none" w:sz="0" w:space="0" w:color="auto"/>
            <w:left w:val="none" w:sz="0" w:space="0" w:color="auto"/>
            <w:bottom w:val="none" w:sz="0" w:space="0" w:color="auto"/>
            <w:right w:val="none" w:sz="0" w:space="0" w:color="auto"/>
          </w:divBdr>
        </w:div>
        <w:div w:id="408624602">
          <w:marLeft w:val="640"/>
          <w:marRight w:val="0"/>
          <w:marTop w:val="0"/>
          <w:marBottom w:val="0"/>
          <w:divBdr>
            <w:top w:val="none" w:sz="0" w:space="0" w:color="auto"/>
            <w:left w:val="none" w:sz="0" w:space="0" w:color="auto"/>
            <w:bottom w:val="none" w:sz="0" w:space="0" w:color="auto"/>
            <w:right w:val="none" w:sz="0" w:space="0" w:color="auto"/>
          </w:divBdr>
        </w:div>
        <w:div w:id="226186696">
          <w:marLeft w:val="640"/>
          <w:marRight w:val="0"/>
          <w:marTop w:val="0"/>
          <w:marBottom w:val="0"/>
          <w:divBdr>
            <w:top w:val="none" w:sz="0" w:space="0" w:color="auto"/>
            <w:left w:val="none" w:sz="0" w:space="0" w:color="auto"/>
            <w:bottom w:val="none" w:sz="0" w:space="0" w:color="auto"/>
            <w:right w:val="none" w:sz="0" w:space="0" w:color="auto"/>
          </w:divBdr>
        </w:div>
        <w:div w:id="405424152">
          <w:marLeft w:val="640"/>
          <w:marRight w:val="0"/>
          <w:marTop w:val="0"/>
          <w:marBottom w:val="0"/>
          <w:divBdr>
            <w:top w:val="none" w:sz="0" w:space="0" w:color="auto"/>
            <w:left w:val="none" w:sz="0" w:space="0" w:color="auto"/>
            <w:bottom w:val="none" w:sz="0" w:space="0" w:color="auto"/>
            <w:right w:val="none" w:sz="0" w:space="0" w:color="auto"/>
          </w:divBdr>
        </w:div>
        <w:div w:id="663319926">
          <w:marLeft w:val="640"/>
          <w:marRight w:val="0"/>
          <w:marTop w:val="0"/>
          <w:marBottom w:val="0"/>
          <w:divBdr>
            <w:top w:val="none" w:sz="0" w:space="0" w:color="auto"/>
            <w:left w:val="none" w:sz="0" w:space="0" w:color="auto"/>
            <w:bottom w:val="none" w:sz="0" w:space="0" w:color="auto"/>
            <w:right w:val="none" w:sz="0" w:space="0" w:color="auto"/>
          </w:divBdr>
        </w:div>
        <w:div w:id="74858383">
          <w:marLeft w:val="640"/>
          <w:marRight w:val="0"/>
          <w:marTop w:val="0"/>
          <w:marBottom w:val="0"/>
          <w:divBdr>
            <w:top w:val="none" w:sz="0" w:space="0" w:color="auto"/>
            <w:left w:val="none" w:sz="0" w:space="0" w:color="auto"/>
            <w:bottom w:val="none" w:sz="0" w:space="0" w:color="auto"/>
            <w:right w:val="none" w:sz="0" w:space="0" w:color="auto"/>
          </w:divBdr>
        </w:div>
        <w:div w:id="1671832522">
          <w:marLeft w:val="640"/>
          <w:marRight w:val="0"/>
          <w:marTop w:val="0"/>
          <w:marBottom w:val="0"/>
          <w:divBdr>
            <w:top w:val="none" w:sz="0" w:space="0" w:color="auto"/>
            <w:left w:val="none" w:sz="0" w:space="0" w:color="auto"/>
            <w:bottom w:val="none" w:sz="0" w:space="0" w:color="auto"/>
            <w:right w:val="none" w:sz="0" w:space="0" w:color="auto"/>
          </w:divBdr>
        </w:div>
        <w:div w:id="1971090209">
          <w:marLeft w:val="640"/>
          <w:marRight w:val="0"/>
          <w:marTop w:val="0"/>
          <w:marBottom w:val="0"/>
          <w:divBdr>
            <w:top w:val="none" w:sz="0" w:space="0" w:color="auto"/>
            <w:left w:val="none" w:sz="0" w:space="0" w:color="auto"/>
            <w:bottom w:val="none" w:sz="0" w:space="0" w:color="auto"/>
            <w:right w:val="none" w:sz="0" w:space="0" w:color="auto"/>
          </w:divBdr>
        </w:div>
        <w:div w:id="2078476120">
          <w:marLeft w:val="640"/>
          <w:marRight w:val="0"/>
          <w:marTop w:val="0"/>
          <w:marBottom w:val="0"/>
          <w:divBdr>
            <w:top w:val="none" w:sz="0" w:space="0" w:color="auto"/>
            <w:left w:val="none" w:sz="0" w:space="0" w:color="auto"/>
            <w:bottom w:val="none" w:sz="0" w:space="0" w:color="auto"/>
            <w:right w:val="none" w:sz="0" w:space="0" w:color="auto"/>
          </w:divBdr>
        </w:div>
        <w:div w:id="306014516">
          <w:marLeft w:val="640"/>
          <w:marRight w:val="0"/>
          <w:marTop w:val="0"/>
          <w:marBottom w:val="0"/>
          <w:divBdr>
            <w:top w:val="none" w:sz="0" w:space="0" w:color="auto"/>
            <w:left w:val="none" w:sz="0" w:space="0" w:color="auto"/>
            <w:bottom w:val="none" w:sz="0" w:space="0" w:color="auto"/>
            <w:right w:val="none" w:sz="0" w:space="0" w:color="auto"/>
          </w:divBdr>
        </w:div>
        <w:div w:id="1243027150">
          <w:marLeft w:val="640"/>
          <w:marRight w:val="0"/>
          <w:marTop w:val="0"/>
          <w:marBottom w:val="0"/>
          <w:divBdr>
            <w:top w:val="none" w:sz="0" w:space="0" w:color="auto"/>
            <w:left w:val="none" w:sz="0" w:space="0" w:color="auto"/>
            <w:bottom w:val="none" w:sz="0" w:space="0" w:color="auto"/>
            <w:right w:val="none" w:sz="0" w:space="0" w:color="auto"/>
          </w:divBdr>
        </w:div>
        <w:div w:id="1047265822">
          <w:marLeft w:val="640"/>
          <w:marRight w:val="0"/>
          <w:marTop w:val="0"/>
          <w:marBottom w:val="0"/>
          <w:divBdr>
            <w:top w:val="none" w:sz="0" w:space="0" w:color="auto"/>
            <w:left w:val="none" w:sz="0" w:space="0" w:color="auto"/>
            <w:bottom w:val="none" w:sz="0" w:space="0" w:color="auto"/>
            <w:right w:val="none" w:sz="0" w:space="0" w:color="auto"/>
          </w:divBdr>
        </w:div>
        <w:div w:id="47343062">
          <w:marLeft w:val="640"/>
          <w:marRight w:val="0"/>
          <w:marTop w:val="0"/>
          <w:marBottom w:val="0"/>
          <w:divBdr>
            <w:top w:val="none" w:sz="0" w:space="0" w:color="auto"/>
            <w:left w:val="none" w:sz="0" w:space="0" w:color="auto"/>
            <w:bottom w:val="none" w:sz="0" w:space="0" w:color="auto"/>
            <w:right w:val="none" w:sz="0" w:space="0" w:color="auto"/>
          </w:divBdr>
        </w:div>
        <w:div w:id="1042285678">
          <w:marLeft w:val="640"/>
          <w:marRight w:val="0"/>
          <w:marTop w:val="0"/>
          <w:marBottom w:val="0"/>
          <w:divBdr>
            <w:top w:val="none" w:sz="0" w:space="0" w:color="auto"/>
            <w:left w:val="none" w:sz="0" w:space="0" w:color="auto"/>
            <w:bottom w:val="none" w:sz="0" w:space="0" w:color="auto"/>
            <w:right w:val="none" w:sz="0" w:space="0" w:color="auto"/>
          </w:divBdr>
        </w:div>
        <w:div w:id="1469980284">
          <w:marLeft w:val="640"/>
          <w:marRight w:val="0"/>
          <w:marTop w:val="0"/>
          <w:marBottom w:val="0"/>
          <w:divBdr>
            <w:top w:val="none" w:sz="0" w:space="0" w:color="auto"/>
            <w:left w:val="none" w:sz="0" w:space="0" w:color="auto"/>
            <w:bottom w:val="none" w:sz="0" w:space="0" w:color="auto"/>
            <w:right w:val="none" w:sz="0" w:space="0" w:color="auto"/>
          </w:divBdr>
        </w:div>
        <w:div w:id="445975633">
          <w:marLeft w:val="640"/>
          <w:marRight w:val="0"/>
          <w:marTop w:val="0"/>
          <w:marBottom w:val="0"/>
          <w:divBdr>
            <w:top w:val="none" w:sz="0" w:space="0" w:color="auto"/>
            <w:left w:val="none" w:sz="0" w:space="0" w:color="auto"/>
            <w:bottom w:val="none" w:sz="0" w:space="0" w:color="auto"/>
            <w:right w:val="none" w:sz="0" w:space="0" w:color="auto"/>
          </w:divBdr>
        </w:div>
        <w:div w:id="1324626990">
          <w:marLeft w:val="640"/>
          <w:marRight w:val="0"/>
          <w:marTop w:val="0"/>
          <w:marBottom w:val="0"/>
          <w:divBdr>
            <w:top w:val="none" w:sz="0" w:space="0" w:color="auto"/>
            <w:left w:val="none" w:sz="0" w:space="0" w:color="auto"/>
            <w:bottom w:val="none" w:sz="0" w:space="0" w:color="auto"/>
            <w:right w:val="none" w:sz="0" w:space="0" w:color="auto"/>
          </w:divBdr>
        </w:div>
        <w:div w:id="1130325203">
          <w:marLeft w:val="640"/>
          <w:marRight w:val="0"/>
          <w:marTop w:val="0"/>
          <w:marBottom w:val="0"/>
          <w:divBdr>
            <w:top w:val="none" w:sz="0" w:space="0" w:color="auto"/>
            <w:left w:val="none" w:sz="0" w:space="0" w:color="auto"/>
            <w:bottom w:val="none" w:sz="0" w:space="0" w:color="auto"/>
            <w:right w:val="none" w:sz="0" w:space="0" w:color="auto"/>
          </w:divBdr>
        </w:div>
        <w:div w:id="562253211">
          <w:marLeft w:val="640"/>
          <w:marRight w:val="0"/>
          <w:marTop w:val="0"/>
          <w:marBottom w:val="0"/>
          <w:divBdr>
            <w:top w:val="none" w:sz="0" w:space="0" w:color="auto"/>
            <w:left w:val="none" w:sz="0" w:space="0" w:color="auto"/>
            <w:bottom w:val="none" w:sz="0" w:space="0" w:color="auto"/>
            <w:right w:val="none" w:sz="0" w:space="0" w:color="auto"/>
          </w:divBdr>
        </w:div>
        <w:div w:id="719549555">
          <w:marLeft w:val="640"/>
          <w:marRight w:val="0"/>
          <w:marTop w:val="0"/>
          <w:marBottom w:val="0"/>
          <w:divBdr>
            <w:top w:val="none" w:sz="0" w:space="0" w:color="auto"/>
            <w:left w:val="none" w:sz="0" w:space="0" w:color="auto"/>
            <w:bottom w:val="none" w:sz="0" w:space="0" w:color="auto"/>
            <w:right w:val="none" w:sz="0" w:space="0" w:color="auto"/>
          </w:divBdr>
        </w:div>
        <w:div w:id="1946888503">
          <w:marLeft w:val="640"/>
          <w:marRight w:val="0"/>
          <w:marTop w:val="0"/>
          <w:marBottom w:val="0"/>
          <w:divBdr>
            <w:top w:val="none" w:sz="0" w:space="0" w:color="auto"/>
            <w:left w:val="none" w:sz="0" w:space="0" w:color="auto"/>
            <w:bottom w:val="none" w:sz="0" w:space="0" w:color="auto"/>
            <w:right w:val="none" w:sz="0" w:space="0" w:color="auto"/>
          </w:divBdr>
        </w:div>
        <w:div w:id="675815006">
          <w:marLeft w:val="640"/>
          <w:marRight w:val="0"/>
          <w:marTop w:val="0"/>
          <w:marBottom w:val="0"/>
          <w:divBdr>
            <w:top w:val="none" w:sz="0" w:space="0" w:color="auto"/>
            <w:left w:val="none" w:sz="0" w:space="0" w:color="auto"/>
            <w:bottom w:val="none" w:sz="0" w:space="0" w:color="auto"/>
            <w:right w:val="none" w:sz="0" w:space="0" w:color="auto"/>
          </w:divBdr>
        </w:div>
        <w:div w:id="1284581558">
          <w:marLeft w:val="640"/>
          <w:marRight w:val="0"/>
          <w:marTop w:val="0"/>
          <w:marBottom w:val="0"/>
          <w:divBdr>
            <w:top w:val="none" w:sz="0" w:space="0" w:color="auto"/>
            <w:left w:val="none" w:sz="0" w:space="0" w:color="auto"/>
            <w:bottom w:val="none" w:sz="0" w:space="0" w:color="auto"/>
            <w:right w:val="none" w:sz="0" w:space="0" w:color="auto"/>
          </w:divBdr>
        </w:div>
        <w:div w:id="1669291020">
          <w:marLeft w:val="640"/>
          <w:marRight w:val="0"/>
          <w:marTop w:val="0"/>
          <w:marBottom w:val="0"/>
          <w:divBdr>
            <w:top w:val="none" w:sz="0" w:space="0" w:color="auto"/>
            <w:left w:val="none" w:sz="0" w:space="0" w:color="auto"/>
            <w:bottom w:val="none" w:sz="0" w:space="0" w:color="auto"/>
            <w:right w:val="none" w:sz="0" w:space="0" w:color="auto"/>
          </w:divBdr>
        </w:div>
        <w:div w:id="805244803">
          <w:marLeft w:val="640"/>
          <w:marRight w:val="0"/>
          <w:marTop w:val="0"/>
          <w:marBottom w:val="0"/>
          <w:divBdr>
            <w:top w:val="none" w:sz="0" w:space="0" w:color="auto"/>
            <w:left w:val="none" w:sz="0" w:space="0" w:color="auto"/>
            <w:bottom w:val="none" w:sz="0" w:space="0" w:color="auto"/>
            <w:right w:val="none" w:sz="0" w:space="0" w:color="auto"/>
          </w:divBdr>
        </w:div>
        <w:div w:id="1271860743">
          <w:marLeft w:val="640"/>
          <w:marRight w:val="0"/>
          <w:marTop w:val="0"/>
          <w:marBottom w:val="0"/>
          <w:divBdr>
            <w:top w:val="none" w:sz="0" w:space="0" w:color="auto"/>
            <w:left w:val="none" w:sz="0" w:space="0" w:color="auto"/>
            <w:bottom w:val="none" w:sz="0" w:space="0" w:color="auto"/>
            <w:right w:val="none" w:sz="0" w:space="0" w:color="auto"/>
          </w:divBdr>
        </w:div>
        <w:div w:id="1174950744">
          <w:marLeft w:val="640"/>
          <w:marRight w:val="0"/>
          <w:marTop w:val="0"/>
          <w:marBottom w:val="0"/>
          <w:divBdr>
            <w:top w:val="none" w:sz="0" w:space="0" w:color="auto"/>
            <w:left w:val="none" w:sz="0" w:space="0" w:color="auto"/>
            <w:bottom w:val="none" w:sz="0" w:space="0" w:color="auto"/>
            <w:right w:val="none" w:sz="0" w:space="0" w:color="auto"/>
          </w:divBdr>
        </w:div>
        <w:div w:id="194512979">
          <w:marLeft w:val="640"/>
          <w:marRight w:val="0"/>
          <w:marTop w:val="0"/>
          <w:marBottom w:val="0"/>
          <w:divBdr>
            <w:top w:val="none" w:sz="0" w:space="0" w:color="auto"/>
            <w:left w:val="none" w:sz="0" w:space="0" w:color="auto"/>
            <w:bottom w:val="none" w:sz="0" w:space="0" w:color="auto"/>
            <w:right w:val="none" w:sz="0" w:space="0" w:color="auto"/>
          </w:divBdr>
        </w:div>
        <w:div w:id="1189829693">
          <w:marLeft w:val="640"/>
          <w:marRight w:val="0"/>
          <w:marTop w:val="0"/>
          <w:marBottom w:val="0"/>
          <w:divBdr>
            <w:top w:val="none" w:sz="0" w:space="0" w:color="auto"/>
            <w:left w:val="none" w:sz="0" w:space="0" w:color="auto"/>
            <w:bottom w:val="none" w:sz="0" w:space="0" w:color="auto"/>
            <w:right w:val="none" w:sz="0" w:space="0" w:color="auto"/>
          </w:divBdr>
        </w:div>
        <w:div w:id="924995902">
          <w:marLeft w:val="640"/>
          <w:marRight w:val="0"/>
          <w:marTop w:val="0"/>
          <w:marBottom w:val="0"/>
          <w:divBdr>
            <w:top w:val="none" w:sz="0" w:space="0" w:color="auto"/>
            <w:left w:val="none" w:sz="0" w:space="0" w:color="auto"/>
            <w:bottom w:val="none" w:sz="0" w:space="0" w:color="auto"/>
            <w:right w:val="none" w:sz="0" w:space="0" w:color="auto"/>
          </w:divBdr>
        </w:div>
        <w:div w:id="1636522615">
          <w:marLeft w:val="640"/>
          <w:marRight w:val="0"/>
          <w:marTop w:val="0"/>
          <w:marBottom w:val="0"/>
          <w:divBdr>
            <w:top w:val="none" w:sz="0" w:space="0" w:color="auto"/>
            <w:left w:val="none" w:sz="0" w:space="0" w:color="auto"/>
            <w:bottom w:val="none" w:sz="0" w:space="0" w:color="auto"/>
            <w:right w:val="none" w:sz="0" w:space="0" w:color="auto"/>
          </w:divBdr>
        </w:div>
        <w:div w:id="479931123">
          <w:marLeft w:val="640"/>
          <w:marRight w:val="0"/>
          <w:marTop w:val="0"/>
          <w:marBottom w:val="0"/>
          <w:divBdr>
            <w:top w:val="none" w:sz="0" w:space="0" w:color="auto"/>
            <w:left w:val="none" w:sz="0" w:space="0" w:color="auto"/>
            <w:bottom w:val="none" w:sz="0" w:space="0" w:color="auto"/>
            <w:right w:val="none" w:sz="0" w:space="0" w:color="auto"/>
          </w:divBdr>
        </w:div>
        <w:div w:id="334460321">
          <w:marLeft w:val="640"/>
          <w:marRight w:val="0"/>
          <w:marTop w:val="0"/>
          <w:marBottom w:val="0"/>
          <w:divBdr>
            <w:top w:val="none" w:sz="0" w:space="0" w:color="auto"/>
            <w:left w:val="none" w:sz="0" w:space="0" w:color="auto"/>
            <w:bottom w:val="none" w:sz="0" w:space="0" w:color="auto"/>
            <w:right w:val="none" w:sz="0" w:space="0" w:color="auto"/>
          </w:divBdr>
        </w:div>
        <w:div w:id="1936789271">
          <w:marLeft w:val="640"/>
          <w:marRight w:val="0"/>
          <w:marTop w:val="0"/>
          <w:marBottom w:val="0"/>
          <w:divBdr>
            <w:top w:val="none" w:sz="0" w:space="0" w:color="auto"/>
            <w:left w:val="none" w:sz="0" w:space="0" w:color="auto"/>
            <w:bottom w:val="none" w:sz="0" w:space="0" w:color="auto"/>
            <w:right w:val="none" w:sz="0" w:space="0" w:color="auto"/>
          </w:divBdr>
        </w:div>
        <w:div w:id="514422565">
          <w:marLeft w:val="640"/>
          <w:marRight w:val="0"/>
          <w:marTop w:val="0"/>
          <w:marBottom w:val="0"/>
          <w:divBdr>
            <w:top w:val="none" w:sz="0" w:space="0" w:color="auto"/>
            <w:left w:val="none" w:sz="0" w:space="0" w:color="auto"/>
            <w:bottom w:val="none" w:sz="0" w:space="0" w:color="auto"/>
            <w:right w:val="none" w:sz="0" w:space="0" w:color="auto"/>
          </w:divBdr>
        </w:div>
        <w:div w:id="572013579">
          <w:marLeft w:val="640"/>
          <w:marRight w:val="0"/>
          <w:marTop w:val="0"/>
          <w:marBottom w:val="0"/>
          <w:divBdr>
            <w:top w:val="none" w:sz="0" w:space="0" w:color="auto"/>
            <w:left w:val="none" w:sz="0" w:space="0" w:color="auto"/>
            <w:bottom w:val="none" w:sz="0" w:space="0" w:color="auto"/>
            <w:right w:val="none" w:sz="0" w:space="0" w:color="auto"/>
          </w:divBdr>
        </w:div>
        <w:div w:id="1824932563">
          <w:marLeft w:val="640"/>
          <w:marRight w:val="0"/>
          <w:marTop w:val="0"/>
          <w:marBottom w:val="0"/>
          <w:divBdr>
            <w:top w:val="none" w:sz="0" w:space="0" w:color="auto"/>
            <w:left w:val="none" w:sz="0" w:space="0" w:color="auto"/>
            <w:bottom w:val="none" w:sz="0" w:space="0" w:color="auto"/>
            <w:right w:val="none" w:sz="0" w:space="0" w:color="auto"/>
          </w:divBdr>
        </w:div>
        <w:div w:id="603459077">
          <w:marLeft w:val="640"/>
          <w:marRight w:val="0"/>
          <w:marTop w:val="0"/>
          <w:marBottom w:val="0"/>
          <w:divBdr>
            <w:top w:val="none" w:sz="0" w:space="0" w:color="auto"/>
            <w:left w:val="none" w:sz="0" w:space="0" w:color="auto"/>
            <w:bottom w:val="none" w:sz="0" w:space="0" w:color="auto"/>
            <w:right w:val="none" w:sz="0" w:space="0" w:color="auto"/>
          </w:divBdr>
        </w:div>
        <w:div w:id="1116367717">
          <w:marLeft w:val="640"/>
          <w:marRight w:val="0"/>
          <w:marTop w:val="0"/>
          <w:marBottom w:val="0"/>
          <w:divBdr>
            <w:top w:val="none" w:sz="0" w:space="0" w:color="auto"/>
            <w:left w:val="none" w:sz="0" w:space="0" w:color="auto"/>
            <w:bottom w:val="none" w:sz="0" w:space="0" w:color="auto"/>
            <w:right w:val="none" w:sz="0" w:space="0" w:color="auto"/>
          </w:divBdr>
        </w:div>
        <w:div w:id="2014604873">
          <w:marLeft w:val="640"/>
          <w:marRight w:val="0"/>
          <w:marTop w:val="0"/>
          <w:marBottom w:val="0"/>
          <w:divBdr>
            <w:top w:val="none" w:sz="0" w:space="0" w:color="auto"/>
            <w:left w:val="none" w:sz="0" w:space="0" w:color="auto"/>
            <w:bottom w:val="none" w:sz="0" w:space="0" w:color="auto"/>
            <w:right w:val="none" w:sz="0" w:space="0" w:color="auto"/>
          </w:divBdr>
        </w:div>
        <w:div w:id="1291281597">
          <w:marLeft w:val="640"/>
          <w:marRight w:val="0"/>
          <w:marTop w:val="0"/>
          <w:marBottom w:val="0"/>
          <w:divBdr>
            <w:top w:val="none" w:sz="0" w:space="0" w:color="auto"/>
            <w:left w:val="none" w:sz="0" w:space="0" w:color="auto"/>
            <w:bottom w:val="none" w:sz="0" w:space="0" w:color="auto"/>
            <w:right w:val="none" w:sz="0" w:space="0" w:color="auto"/>
          </w:divBdr>
        </w:div>
        <w:div w:id="1694384753">
          <w:marLeft w:val="640"/>
          <w:marRight w:val="0"/>
          <w:marTop w:val="0"/>
          <w:marBottom w:val="0"/>
          <w:divBdr>
            <w:top w:val="none" w:sz="0" w:space="0" w:color="auto"/>
            <w:left w:val="none" w:sz="0" w:space="0" w:color="auto"/>
            <w:bottom w:val="none" w:sz="0" w:space="0" w:color="auto"/>
            <w:right w:val="none" w:sz="0" w:space="0" w:color="auto"/>
          </w:divBdr>
        </w:div>
        <w:div w:id="1207642311">
          <w:marLeft w:val="640"/>
          <w:marRight w:val="0"/>
          <w:marTop w:val="0"/>
          <w:marBottom w:val="0"/>
          <w:divBdr>
            <w:top w:val="none" w:sz="0" w:space="0" w:color="auto"/>
            <w:left w:val="none" w:sz="0" w:space="0" w:color="auto"/>
            <w:bottom w:val="none" w:sz="0" w:space="0" w:color="auto"/>
            <w:right w:val="none" w:sz="0" w:space="0" w:color="auto"/>
          </w:divBdr>
        </w:div>
        <w:div w:id="1739745153">
          <w:marLeft w:val="640"/>
          <w:marRight w:val="0"/>
          <w:marTop w:val="0"/>
          <w:marBottom w:val="0"/>
          <w:divBdr>
            <w:top w:val="none" w:sz="0" w:space="0" w:color="auto"/>
            <w:left w:val="none" w:sz="0" w:space="0" w:color="auto"/>
            <w:bottom w:val="none" w:sz="0" w:space="0" w:color="auto"/>
            <w:right w:val="none" w:sz="0" w:space="0" w:color="auto"/>
          </w:divBdr>
        </w:div>
        <w:div w:id="1437866127">
          <w:marLeft w:val="640"/>
          <w:marRight w:val="0"/>
          <w:marTop w:val="0"/>
          <w:marBottom w:val="0"/>
          <w:divBdr>
            <w:top w:val="none" w:sz="0" w:space="0" w:color="auto"/>
            <w:left w:val="none" w:sz="0" w:space="0" w:color="auto"/>
            <w:bottom w:val="none" w:sz="0" w:space="0" w:color="auto"/>
            <w:right w:val="none" w:sz="0" w:space="0" w:color="auto"/>
          </w:divBdr>
        </w:div>
        <w:div w:id="48920601">
          <w:marLeft w:val="640"/>
          <w:marRight w:val="0"/>
          <w:marTop w:val="0"/>
          <w:marBottom w:val="0"/>
          <w:divBdr>
            <w:top w:val="none" w:sz="0" w:space="0" w:color="auto"/>
            <w:left w:val="none" w:sz="0" w:space="0" w:color="auto"/>
            <w:bottom w:val="none" w:sz="0" w:space="0" w:color="auto"/>
            <w:right w:val="none" w:sz="0" w:space="0" w:color="auto"/>
          </w:divBdr>
        </w:div>
        <w:div w:id="1425763640">
          <w:marLeft w:val="640"/>
          <w:marRight w:val="0"/>
          <w:marTop w:val="0"/>
          <w:marBottom w:val="0"/>
          <w:divBdr>
            <w:top w:val="none" w:sz="0" w:space="0" w:color="auto"/>
            <w:left w:val="none" w:sz="0" w:space="0" w:color="auto"/>
            <w:bottom w:val="none" w:sz="0" w:space="0" w:color="auto"/>
            <w:right w:val="none" w:sz="0" w:space="0" w:color="auto"/>
          </w:divBdr>
        </w:div>
        <w:div w:id="752821331">
          <w:marLeft w:val="640"/>
          <w:marRight w:val="0"/>
          <w:marTop w:val="0"/>
          <w:marBottom w:val="0"/>
          <w:divBdr>
            <w:top w:val="none" w:sz="0" w:space="0" w:color="auto"/>
            <w:left w:val="none" w:sz="0" w:space="0" w:color="auto"/>
            <w:bottom w:val="none" w:sz="0" w:space="0" w:color="auto"/>
            <w:right w:val="none" w:sz="0" w:space="0" w:color="auto"/>
          </w:divBdr>
        </w:div>
        <w:div w:id="710305076">
          <w:marLeft w:val="640"/>
          <w:marRight w:val="0"/>
          <w:marTop w:val="0"/>
          <w:marBottom w:val="0"/>
          <w:divBdr>
            <w:top w:val="none" w:sz="0" w:space="0" w:color="auto"/>
            <w:left w:val="none" w:sz="0" w:space="0" w:color="auto"/>
            <w:bottom w:val="none" w:sz="0" w:space="0" w:color="auto"/>
            <w:right w:val="none" w:sz="0" w:space="0" w:color="auto"/>
          </w:divBdr>
        </w:div>
        <w:div w:id="1231190350">
          <w:marLeft w:val="640"/>
          <w:marRight w:val="0"/>
          <w:marTop w:val="0"/>
          <w:marBottom w:val="0"/>
          <w:divBdr>
            <w:top w:val="none" w:sz="0" w:space="0" w:color="auto"/>
            <w:left w:val="none" w:sz="0" w:space="0" w:color="auto"/>
            <w:bottom w:val="none" w:sz="0" w:space="0" w:color="auto"/>
            <w:right w:val="none" w:sz="0" w:space="0" w:color="auto"/>
          </w:divBdr>
        </w:div>
        <w:div w:id="1976718891">
          <w:marLeft w:val="640"/>
          <w:marRight w:val="0"/>
          <w:marTop w:val="0"/>
          <w:marBottom w:val="0"/>
          <w:divBdr>
            <w:top w:val="none" w:sz="0" w:space="0" w:color="auto"/>
            <w:left w:val="none" w:sz="0" w:space="0" w:color="auto"/>
            <w:bottom w:val="none" w:sz="0" w:space="0" w:color="auto"/>
            <w:right w:val="none" w:sz="0" w:space="0" w:color="auto"/>
          </w:divBdr>
        </w:div>
        <w:div w:id="296421694">
          <w:marLeft w:val="640"/>
          <w:marRight w:val="0"/>
          <w:marTop w:val="0"/>
          <w:marBottom w:val="0"/>
          <w:divBdr>
            <w:top w:val="none" w:sz="0" w:space="0" w:color="auto"/>
            <w:left w:val="none" w:sz="0" w:space="0" w:color="auto"/>
            <w:bottom w:val="none" w:sz="0" w:space="0" w:color="auto"/>
            <w:right w:val="none" w:sz="0" w:space="0" w:color="auto"/>
          </w:divBdr>
        </w:div>
        <w:div w:id="1093167810">
          <w:marLeft w:val="640"/>
          <w:marRight w:val="0"/>
          <w:marTop w:val="0"/>
          <w:marBottom w:val="0"/>
          <w:divBdr>
            <w:top w:val="none" w:sz="0" w:space="0" w:color="auto"/>
            <w:left w:val="none" w:sz="0" w:space="0" w:color="auto"/>
            <w:bottom w:val="none" w:sz="0" w:space="0" w:color="auto"/>
            <w:right w:val="none" w:sz="0" w:space="0" w:color="auto"/>
          </w:divBdr>
        </w:div>
        <w:div w:id="1255892879">
          <w:marLeft w:val="640"/>
          <w:marRight w:val="0"/>
          <w:marTop w:val="0"/>
          <w:marBottom w:val="0"/>
          <w:divBdr>
            <w:top w:val="none" w:sz="0" w:space="0" w:color="auto"/>
            <w:left w:val="none" w:sz="0" w:space="0" w:color="auto"/>
            <w:bottom w:val="none" w:sz="0" w:space="0" w:color="auto"/>
            <w:right w:val="none" w:sz="0" w:space="0" w:color="auto"/>
          </w:divBdr>
        </w:div>
        <w:div w:id="1416242991">
          <w:marLeft w:val="640"/>
          <w:marRight w:val="0"/>
          <w:marTop w:val="0"/>
          <w:marBottom w:val="0"/>
          <w:divBdr>
            <w:top w:val="none" w:sz="0" w:space="0" w:color="auto"/>
            <w:left w:val="none" w:sz="0" w:space="0" w:color="auto"/>
            <w:bottom w:val="none" w:sz="0" w:space="0" w:color="auto"/>
            <w:right w:val="none" w:sz="0" w:space="0" w:color="auto"/>
          </w:divBdr>
        </w:div>
        <w:div w:id="1405956677">
          <w:marLeft w:val="640"/>
          <w:marRight w:val="0"/>
          <w:marTop w:val="0"/>
          <w:marBottom w:val="0"/>
          <w:divBdr>
            <w:top w:val="none" w:sz="0" w:space="0" w:color="auto"/>
            <w:left w:val="none" w:sz="0" w:space="0" w:color="auto"/>
            <w:bottom w:val="none" w:sz="0" w:space="0" w:color="auto"/>
            <w:right w:val="none" w:sz="0" w:space="0" w:color="auto"/>
          </w:divBdr>
        </w:div>
        <w:div w:id="193156476">
          <w:marLeft w:val="640"/>
          <w:marRight w:val="0"/>
          <w:marTop w:val="0"/>
          <w:marBottom w:val="0"/>
          <w:divBdr>
            <w:top w:val="none" w:sz="0" w:space="0" w:color="auto"/>
            <w:left w:val="none" w:sz="0" w:space="0" w:color="auto"/>
            <w:bottom w:val="none" w:sz="0" w:space="0" w:color="auto"/>
            <w:right w:val="none" w:sz="0" w:space="0" w:color="auto"/>
          </w:divBdr>
        </w:div>
        <w:div w:id="963852381">
          <w:marLeft w:val="640"/>
          <w:marRight w:val="0"/>
          <w:marTop w:val="0"/>
          <w:marBottom w:val="0"/>
          <w:divBdr>
            <w:top w:val="none" w:sz="0" w:space="0" w:color="auto"/>
            <w:left w:val="none" w:sz="0" w:space="0" w:color="auto"/>
            <w:bottom w:val="none" w:sz="0" w:space="0" w:color="auto"/>
            <w:right w:val="none" w:sz="0" w:space="0" w:color="auto"/>
          </w:divBdr>
        </w:div>
        <w:div w:id="113641438">
          <w:marLeft w:val="640"/>
          <w:marRight w:val="0"/>
          <w:marTop w:val="0"/>
          <w:marBottom w:val="0"/>
          <w:divBdr>
            <w:top w:val="none" w:sz="0" w:space="0" w:color="auto"/>
            <w:left w:val="none" w:sz="0" w:space="0" w:color="auto"/>
            <w:bottom w:val="none" w:sz="0" w:space="0" w:color="auto"/>
            <w:right w:val="none" w:sz="0" w:space="0" w:color="auto"/>
          </w:divBdr>
        </w:div>
        <w:div w:id="300118753">
          <w:marLeft w:val="640"/>
          <w:marRight w:val="0"/>
          <w:marTop w:val="0"/>
          <w:marBottom w:val="0"/>
          <w:divBdr>
            <w:top w:val="none" w:sz="0" w:space="0" w:color="auto"/>
            <w:left w:val="none" w:sz="0" w:space="0" w:color="auto"/>
            <w:bottom w:val="none" w:sz="0" w:space="0" w:color="auto"/>
            <w:right w:val="none" w:sz="0" w:space="0" w:color="auto"/>
          </w:divBdr>
        </w:div>
        <w:div w:id="1655914670">
          <w:marLeft w:val="640"/>
          <w:marRight w:val="0"/>
          <w:marTop w:val="0"/>
          <w:marBottom w:val="0"/>
          <w:divBdr>
            <w:top w:val="none" w:sz="0" w:space="0" w:color="auto"/>
            <w:left w:val="none" w:sz="0" w:space="0" w:color="auto"/>
            <w:bottom w:val="none" w:sz="0" w:space="0" w:color="auto"/>
            <w:right w:val="none" w:sz="0" w:space="0" w:color="auto"/>
          </w:divBdr>
        </w:div>
        <w:div w:id="1996645916">
          <w:marLeft w:val="640"/>
          <w:marRight w:val="0"/>
          <w:marTop w:val="0"/>
          <w:marBottom w:val="0"/>
          <w:divBdr>
            <w:top w:val="none" w:sz="0" w:space="0" w:color="auto"/>
            <w:left w:val="none" w:sz="0" w:space="0" w:color="auto"/>
            <w:bottom w:val="none" w:sz="0" w:space="0" w:color="auto"/>
            <w:right w:val="none" w:sz="0" w:space="0" w:color="auto"/>
          </w:divBdr>
        </w:div>
        <w:div w:id="1001005672">
          <w:marLeft w:val="640"/>
          <w:marRight w:val="0"/>
          <w:marTop w:val="0"/>
          <w:marBottom w:val="0"/>
          <w:divBdr>
            <w:top w:val="none" w:sz="0" w:space="0" w:color="auto"/>
            <w:left w:val="none" w:sz="0" w:space="0" w:color="auto"/>
            <w:bottom w:val="none" w:sz="0" w:space="0" w:color="auto"/>
            <w:right w:val="none" w:sz="0" w:space="0" w:color="auto"/>
          </w:divBdr>
        </w:div>
        <w:div w:id="2023240339">
          <w:marLeft w:val="640"/>
          <w:marRight w:val="0"/>
          <w:marTop w:val="0"/>
          <w:marBottom w:val="0"/>
          <w:divBdr>
            <w:top w:val="none" w:sz="0" w:space="0" w:color="auto"/>
            <w:left w:val="none" w:sz="0" w:space="0" w:color="auto"/>
            <w:bottom w:val="none" w:sz="0" w:space="0" w:color="auto"/>
            <w:right w:val="none" w:sz="0" w:space="0" w:color="auto"/>
          </w:divBdr>
        </w:div>
        <w:div w:id="199172646">
          <w:marLeft w:val="640"/>
          <w:marRight w:val="0"/>
          <w:marTop w:val="0"/>
          <w:marBottom w:val="0"/>
          <w:divBdr>
            <w:top w:val="none" w:sz="0" w:space="0" w:color="auto"/>
            <w:left w:val="none" w:sz="0" w:space="0" w:color="auto"/>
            <w:bottom w:val="none" w:sz="0" w:space="0" w:color="auto"/>
            <w:right w:val="none" w:sz="0" w:space="0" w:color="auto"/>
          </w:divBdr>
        </w:div>
        <w:div w:id="941036177">
          <w:marLeft w:val="640"/>
          <w:marRight w:val="0"/>
          <w:marTop w:val="0"/>
          <w:marBottom w:val="0"/>
          <w:divBdr>
            <w:top w:val="none" w:sz="0" w:space="0" w:color="auto"/>
            <w:left w:val="none" w:sz="0" w:space="0" w:color="auto"/>
            <w:bottom w:val="none" w:sz="0" w:space="0" w:color="auto"/>
            <w:right w:val="none" w:sz="0" w:space="0" w:color="auto"/>
          </w:divBdr>
        </w:div>
        <w:div w:id="255747653">
          <w:marLeft w:val="640"/>
          <w:marRight w:val="0"/>
          <w:marTop w:val="0"/>
          <w:marBottom w:val="0"/>
          <w:divBdr>
            <w:top w:val="none" w:sz="0" w:space="0" w:color="auto"/>
            <w:left w:val="none" w:sz="0" w:space="0" w:color="auto"/>
            <w:bottom w:val="none" w:sz="0" w:space="0" w:color="auto"/>
            <w:right w:val="none" w:sz="0" w:space="0" w:color="auto"/>
          </w:divBdr>
        </w:div>
        <w:div w:id="767968913">
          <w:marLeft w:val="640"/>
          <w:marRight w:val="0"/>
          <w:marTop w:val="0"/>
          <w:marBottom w:val="0"/>
          <w:divBdr>
            <w:top w:val="none" w:sz="0" w:space="0" w:color="auto"/>
            <w:left w:val="none" w:sz="0" w:space="0" w:color="auto"/>
            <w:bottom w:val="none" w:sz="0" w:space="0" w:color="auto"/>
            <w:right w:val="none" w:sz="0" w:space="0" w:color="auto"/>
          </w:divBdr>
        </w:div>
        <w:div w:id="728723488">
          <w:marLeft w:val="640"/>
          <w:marRight w:val="0"/>
          <w:marTop w:val="0"/>
          <w:marBottom w:val="0"/>
          <w:divBdr>
            <w:top w:val="none" w:sz="0" w:space="0" w:color="auto"/>
            <w:left w:val="none" w:sz="0" w:space="0" w:color="auto"/>
            <w:bottom w:val="none" w:sz="0" w:space="0" w:color="auto"/>
            <w:right w:val="none" w:sz="0" w:space="0" w:color="auto"/>
          </w:divBdr>
        </w:div>
        <w:div w:id="1802991862">
          <w:marLeft w:val="640"/>
          <w:marRight w:val="0"/>
          <w:marTop w:val="0"/>
          <w:marBottom w:val="0"/>
          <w:divBdr>
            <w:top w:val="none" w:sz="0" w:space="0" w:color="auto"/>
            <w:left w:val="none" w:sz="0" w:space="0" w:color="auto"/>
            <w:bottom w:val="none" w:sz="0" w:space="0" w:color="auto"/>
            <w:right w:val="none" w:sz="0" w:space="0" w:color="auto"/>
          </w:divBdr>
        </w:div>
        <w:div w:id="484401145">
          <w:marLeft w:val="640"/>
          <w:marRight w:val="0"/>
          <w:marTop w:val="0"/>
          <w:marBottom w:val="0"/>
          <w:divBdr>
            <w:top w:val="none" w:sz="0" w:space="0" w:color="auto"/>
            <w:left w:val="none" w:sz="0" w:space="0" w:color="auto"/>
            <w:bottom w:val="none" w:sz="0" w:space="0" w:color="auto"/>
            <w:right w:val="none" w:sz="0" w:space="0" w:color="auto"/>
          </w:divBdr>
        </w:div>
        <w:div w:id="948392224">
          <w:marLeft w:val="640"/>
          <w:marRight w:val="0"/>
          <w:marTop w:val="0"/>
          <w:marBottom w:val="0"/>
          <w:divBdr>
            <w:top w:val="none" w:sz="0" w:space="0" w:color="auto"/>
            <w:left w:val="none" w:sz="0" w:space="0" w:color="auto"/>
            <w:bottom w:val="none" w:sz="0" w:space="0" w:color="auto"/>
            <w:right w:val="none" w:sz="0" w:space="0" w:color="auto"/>
          </w:divBdr>
        </w:div>
        <w:div w:id="381054020">
          <w:marLeft w:val="640"/>
          <w:marRight w:val="0"/>
          <w:marTop w:val="0"/>
          <w:marBottom w:val="0"/>
          <w:divBdr>
            <w:top w:val="none" w:sz="0" w:space="0" w:color="auto"/>
            <w:left w:val="none" w:sz="0" w:space="0" w:color="auto"/>
            <w:bottom w:val="none" w:sz="0" w:space="0" w:color="auto"/>
            <w:right w:val="none" w:sz="0" w:space="0" w:color="auto"/>
          </w:divBdr>
        </w:div>
        <w:div w:id="340544987">
          <w:marLeft w:val="640"/>
          <w:marRight w:val="0"/>
          <w:marTop w:val="0"/>
          <w:marBottom w:val="0"/>
          <w:divBdr>
            <w:top w:val="none" w:sz="0" w:space="0" w:color="auto"/>
            <w:left w:val="none" w:sz="0" w:space="0" w:color="auto"/>
            <w:bottom w:val="none" w:sz="0" w:space="0" w:color="auto"/>
            <w:right w:val="none" w:sz="0" w:space="0" w:color="auto"/>
          </w:divBdr>
        </w:div>
        <w:div w:id="802424516">
          <w:marLeft w:val="640"/>
          <w:marRight w:val="0"/>
          <w:marTop w:val="0"/>
          <w:marBottom w:val="0"/>
          <w:divBdr>
            <w:top w:val="none" w:sz="0" w:space="0" w:color="auto"/>
            <w:left w:val="none" w:sz="0" w:space="0" w:color="auto"/>
            <w:bottom w:val="none" w:sz="0" w:space="0" w:color="auto"/>
            <w:right w:val="none" w:sz="0" w:space="0" w:color="auto"/>
          </w:divBdr>
        </w:div>
        <w:div w:id="270551310">
          <w:marLeft w:val="640"/>
          <w:marRight w:val="0"/>
          <w:marTop w:val="0"/>
          <w:marBottom w:val="0"/>
          <w:divBdr>
            <w:top w:val="none" w:sz="0" w:space="0" w:color="auto"/>
            <w:left w:val="none" w:sz="0" w:space="0" w:color="auto"/>
            <w:bottom w:val="none" w:sz="0" w:space="0" w:color="auto"/>
            <w:right w:val="none" w:sz="0" w:space="0" w:color="auto"/>
          </w:divBdr>
        </w:div>
        <w:div w:id="1829983223">
          <w:marLeft w:val="640"/>
          <w:marRight w:val="0"/>
          <w:marTop w:val="0"/>
          <w:marBottom w:val="0"/>
          <w:divBdr>
            <w:top w:val="none" w:sz="0" w:space="0" w:color="auto"/>
            <w:left w:val="none" w:sz="0" w:space="0" w:color="auto"/>
            <w:bottom w:val="none" w:sz="0" w:space="0" w:color="auto"/>
            <w:right w:val="none" w:sz="0" w:space="0" w:color="auto"/>
          </w:divBdr>
        </w:div>
        <w:div w:id="1725830449">
          <w:marLeft w:val="640"/>
          <w:marRight w:val="0"/>
          <w:marTop w:val="0"/>
          <w:marBottom w:val="0"/>
          <w:divBdr>
            <w:top w:val="none" w:sz="0" w:space="0" w:color="auto"/>
            <w:left w:val="none" w:sz="0" w:space="0" w:color="auto"/>
            <w:bottom w:val="none" w:sz="0" w:space="0" w:color="auto"/>
            <w:right w:val="none" w:sz="0" w:space="0" w:color="auto"/>
          </w:divBdr>
        </w:div>
        <w:div w:id="1190527740">
          <w:marLeft w:val="640"/>
          <w:marRight w:val="0"/>
          <w:marTop w:val="0"/>
          <w:marBottom w:val="0"/>
          <w:divBdr>
            <w:top w:val="none" w:sz="0" w:space="0" w:color="auto"/>
            <w:left w:val="none" w:sz="0" w:space="0" w:color="auto"/>
            <w:bottom w:val="none" w:sz="0" w:space="0" w:color="auto"/>
            <w:right w:val="none" w:sz="0" w:space="0" w:color="auto"/>
          </w:divBdr>
        </w:div>
        <w:div w:id="249236641">
          <w:marLeft w:val="640"/>
          <w:marRight w:val="0"/>
          <w:marTop w:val="0"/>
          <w:marBottom w:val="0"/>
          <w:divBdr>
            <w:top w:val="none" w:sz="0" w:space="0" w:color="auto"/>
            <w:left w:val="none" w:sz="0" w:space="0" w:color="auto"/>
            <w:bottom w:val="none" w:sz="0" w:space="0" w:color="auto"/>
            <w:right w:val="none" w:sz="0" w:space="0" w:color="auto"/>
          </w:divBdr>
        </w:div>
        <w:div w:id="2106027077">
          <w:marLeft w:val="640"/>
          <w:marRight w:val="0"/>
          <w:marTop w:val="0"/>
          <w:marBottom w:val="0"/>
          <w:divBdr>
            <w:top w:val="none" w:sz="0" w:space="0" w:color="auto"/>
            <w:left w:val="none" w:sz="0" w:space="0" w:color="auto"/>
            <w:bottom w:val="none" w:sz="0" w:space="0" w:color="auto"/>
            <w:right w:val="none" w:sz="0" w:space="0" w:color="auto"/>
          </w:divBdr>
        </w:div>
        <w:div w:id="317078835">
          <w:marLeft w:val="640"/>
          <w:marRight w:val="0"/>
          <w:marTop w:val="0"/>
          <w:marBottom w:val="0"/>
          <w:divBdr>
            <w:top w:val="none" w:sz="0" w:space="0" w:color="auto"/>
            <w:left w:val="none" w:sz="0" w:space="0" w:color="auto"/>
            <w:bottom w:val="none" w:sz="0" w:space="0" w:color="auto"/>
            <w:right w:val="none" w:sz="0" w:space="0" w:color="auto"/>
          </w:divBdr>
        </w:div>
        <w:div w:id="2034569075">
          <w:marLeft w:val="640"/>
          <w:marRight w:val="0"/>
          <w:marTop w:val="0"/>
          <w:marBottom w:val="0"/>
          <w:divBdr>
            <w:top w:val="none" w:sz="0" w:space="0" w:color="auto"/>
            <w:left w:val="none" w:sz="0" w:space="0" w:color="auto"/>
            <w:bottom w:val="none" w:sz="0" w:space="0" w:color="auto"/>
            <w:right w:val="none" w:sz="0" w:space="0" w:color="auto"/>
          </w:divBdr>
        </w:div>
        <w:div w:id="2054113018">
          <w:marLeft w:val="640"/>
          <w:marRight w:val="0"/>
          <w:marTop w:val="0"/>
          <w:marBottom w:val="0"/>
          <w:divBdr>
            <w:top w:val="none" w:sz="0" w:space="0" w:color="auto"/>
            <w:left w:val="none" w:sz="0" w:space="0" w:color="auto"/>
            <w:bottom w:val="none" w:sz="0" w:space="0" w:color="auto"/>
            <w:right w:val="none" w:sz="0" w:space="0" w:color="auto"/>
          </w:divBdr>
        </w:div>
        <w:div w:id="1232547427">
          <w:marLeft w:val="640"/>
          <w:marRight w:val="0"/>
          <w:marTop w:val="0"/>
          <w:marBottom w:val="0"/>
          <w:divBdr>
            <w:top w:val="none" w:sz="0" w:space="0" w:color="auto"/>
            <w:left w:val="none" w:sz="0" w:space="0" w:color="auto"/>
            <w:bottom w:val="none" w:sz="0" w:space="0" w:color="auto"/>
            <w:right w:val="none" w:sz="0" w:space="0" w:color="auto"/>
          </w:divBdr>
        </w:div>
        <w:div w:id="1317536312">
          <w:marLeft w:val="640"/>
          <w:marRight w:val="0"/>
          <w:marTop w:val="0"/>
          <w:marBottom w:val="0"/>
          <w:divBdr>
            <w:top w:val="none" w:sz="0" w:space="0" w:color="auto"/>
            <w:left w:val="none" w:sz="0" w:space="0" w:color="auto"/>
            <w:bottom w:val="none" w:sz="0" w:space="0" w:color="auto"/>
            <w:right w:val="none" w:sz="0" w:space="0" w:color="auto"/>
          </w:divBdr>
        </w:div>
        <w:div w:id="1644696491">
          <w:marLeft w:val="640"/>
          <w:marRight w:val="0"/>
          <w:marTop w:val="0"/>
          <w:marBottom w:val="0"/>
          <w:divBdr>
            <w:top w:val="none" w:sz="0" w:space="0" w:color="auto"/>
            <w:left w:val="none" w:sz="0" w:space="0" w:color="auto"/>
            <w:bottom w:val="none" w:sz="0" w:space="0" w:color="auto"/>
            <w:right w:val="none" w:sz="0" w:space="0" w:color="auto"/>
          </w:divBdr>
        </w:div>
        <w:div w:id="17973275">
          <w:marLeft w:val="640"/>
          <w:marRight w:val="0"/>
          <w:marTop w:val="0"/>
          <w:marBottom w:val="0"/>
          <w:divBdr>
            <w:top w:val="none" w:sz="0" w:space="0" w:color="auto"/>
            <w:left w:val="none" w:sz="0" w:space="0" w:color="auto"/>
            <w:bottom w:val="none" w:sz="0" w:space="0" w:color="auto"/>
            <w:right w:val="none" w:sz="0" w:space="0" w:color="auto"/>
          </w:divBdr>
        </w:div>
        <w:div w:id="361442155">
          <w:marLeft w:val="640"/>
          <w:marRight w:val="0"/>
          <w:marTop w:val="0"/>
          <w:marBottom w:val="0"/>
          <w:divBdr>
            <w:top w:val="none" w:sz="0" w:space="0" w:color="auto"/>
            <w:left w:val="none" w:sz="0" w:space="0" w:color="auto"/>
            <w:bottom w:val="none" w:sz="0" w:space="0" w:color="auto"/>
            <w:right w:val="none" w:sz="0" w:space="0" w:color="auto"/>
          </w:divBdr>
        </w:div>
        <w:div w:id="733771967">
          <w:marLeft w:val="640"/>
          <w:marRight w:val="0"/>
          <w:marTop w:val="0"/>
          <w:marBottom w:val="0"/>
          <w:divBdr>
            <w:top w:val="none" w:sz="0" w:space="0" w:color="auto"/>
            <w:left w:val="none" w:sz="0" w:space="0" w:color="auto"/>
            <w:bottom w:val="none" w:sz="0" w:space="0" w:color="auto"/>
            <w:right w:val="none" w:sz="0" w:space="0" w:color="auto"/>
          </w:divBdr>
        </w:div>
        <w:div w:id="828835310">
          <w:marLeft w:val="640"/>
          <w:marRight w:val="0"/>
          <w:marTop w:val="0"/>
          <w:marBottom w:val="0"/>
          <w:divBdr>
            <w:top w:val="none" w:sz="0" w:space="0" w:color="auto"/>
            <w:left w:val="none" w:sz="0" w:space="0" w:color="auto"/>
            <w:bottom w:val="none" w:sz="0" w:space="0" w:color="auto"/>
            <w:right w:val="none" w:sz="0" w:space="0" w:color="auto"/>
          </w:divBdr>
        </w:div>
        <w:div w:id="1095057945">
          <w:marLeft w:val="640"/>
          <w:marRight w:val="0"/>
          <w:marTop w:val="0"/>
          <w:marBottom w:val="0"/>
          <w:divBdr>
            <w:top w:val="none" w:sz="0" w:space="0" w:color="auto"/>
            <w:left w:val="none" w:sz="0" w:space="0" w:color="auto"/>
            <w:bottom w:val="none" w:sz="0" w:space="0" w:color="auto"/>
            <w:right w:val="none" w:sz="0" w:space="0" w:color="auto"/>
          </w:divBdr>
        </w:div>
        <w:div w:id="295843934">
          <w:marLeft w:val="640"/>
          <w:marRight w:val="0"/>
          <w:marTop w:val="0"/>
          <w:marBottom w:val="0"/>
          <w:divBdr>
            <w:top w:val="none" w:sz="0" w:space="0" w:color="auto"/>
            <w:left w:val="none" w:sz="0" w:space="0" w:color="auto"/>
            <w:bottom w:val="none" w:sz="0" w:space="0" w:color="auto"/>
            <w:right w:val="none" w:sz="0" w:space="0" w:color="auto"/>
          </w:divBdr>
        </w:div>
        <w:div w:id="1166940469">
          <w:marLeft w:val="640"/>
          <w:marRight w:val="0"/>
          <w:marTop w:val="0"/>
          <w:marBottom w:val="0"/>
          <w:divBdr>
            <w:top w:val="none" w:sz="0" w:space="0" w:color="auto"/>
            <w:left w:val="none" w:sz="0" w:space="0" w:color="auto"/>
            <w:bottom w:val="none" w:sz="0" w:space="0" w:color="auto"/>
            <w:right w:val="none" w:sz="0" w:space="0" w:color="auto"/>
          </w:divBdr>
        </w:div>
        <w:div w:id="334963831">
          <w:marLeft w:val="640"/>
          <w:marRight w:val="0"/>
          <w:marTop w:val="0"/>
          <w:marBottom w:val="0"/>
          <w:divBdr>
            <w:top w:val="none" w:sz="0" w:space="0" w:color="auto"/>
            <w:left w:val="none" w:sz="0" w:space="0" w:color="auto"/>
            <w:bottom w:val="none" w:sz="0" w:space="0" w:color="auto"/>
            <w:right w:val="none" w:sz="0" w:space="0" w:color="auto"/>
          </w:divBdr>
        </w:div>
        <w:div w:id="26294515">
          <w:marLeft w:val="640"/>
          <w:marRight w:val="0"/>
          <w:marTop w:val="0"/>
          <w:marBottom w:val="0"/>
          <w:divBdr>
            <w:top w:val="none" w:sz="0" w:space="0" w:color="auto"/>
            <w:left w:val="none" w:sz="0" w:space="0" w:color="auto"/>
            <w:bottom w:val="none" w:sz="0" w:space="0" w:color="auto"/>
            <w:right w:val="none" w:sz="0" w:space="0" w:color="auto"/>
          </w:divBdr>
        </w:div>
        <w:div w:id="1965690577">
          <w:marLeft w:val="640"/>
          <w:marRight w:val="0"/>
          <w:marTop w:val="0"/>
          <w:marBottom w:val="0"/>
          <w:divBdr>
            <w:top w:val="none" w:sz="0" w:space="0" w:color="auto"/>
            <w:left w:val="none" w:sz="0" w:space="0" w:color="auto"/>
            <w:bottom w:val="none" w:sz="0" w:space="0" w:color="auto"/>
            <w:right w:val="none" w:sz="0" w:space="0" w:color="auto"/>
          </w:divBdr>
        </w:div>
        <w:div w:id="100538875">
          <w:marLeft w:val="640"/>
          <w:marRight w:val="0"/>
          <w:marTop w:val="0"/>
          <w:marBottom w:val="0"/>
          <w:divBdr>
            <w:top w:val="none" w:sz="0" w:space="0" w:color="auto"/>
            <w:left w:val="none" w:sz="0" w:space="0" w:color="auto"/>
            <w:bottom w:val="none" w:sz="0" w:space="0" w:color="auto"/>
            <w:right w:val="none" w:sz="0" w:space="0" w:color="auto"/>
          </w:divBdr>
        </w:div>
        <w:div w:id="398939208">
          <w:marLeft w:val="640"/>
          <w:marRight w:val="0"/>
          <w:marTop w:val="0"/>
          <w:marBottom w:val="0"/>
          <w:divBdr>
            <w:top w:val="none" w:sz="0" w:space="0" w:color="auto"/>
            <w:left w:val="none" w:sz="0" w:space="0" w:color="auto"/>
            <w:bottom w:val="none" w:sz="0" w:space="0" w:color="auto"/>
            <w:right w:val="none" w:sz="0" w:space="0" w:color="auto"/>
          </w:divBdr>
        </w:div>
        <w:div w:id="2061006177">
          <w:marLeft w:val="640"/>
          <w:marRight w:val="0"/>
          <w:marTop w:val="0"/>
          <w:marBottom w:val="0"/>
          <w:divBdr>
            <w:top w:val="none" w:sz="0" w:space="0" w:color="auto"/>
            <w:left w:val="none" w:sz="0" w:space="0" w:color="auto"/>
            <w:bottom w:val="none" w:sz="0" w:space="0" w:color="auto"/>
            <w:right w:val="none" w:sz="0" w:space="0" w:color="auto"/>
          </w:divBdr>
        </w:div>
        <w:div w:id="1405568650">
          <w:marLeft w:val="640"/>
          <w:marRight w:val="0"/>
          <w:marTop w:val="0"/>
          <w:marBottom w:val="0"/>
          <w:divBdr>
            <w:top w:val="none" w:sz="0" w:space="0" w:color="auto"/>
            <w:left w:val="none" w:sz="0" w:space="0" w:color="auto"/>
            <w:bottom w:val="none" w:sz="0" w:space="0" w:color="auto"/>
            <w:right w:val="none" w:sz="0" w:space="0" w:color="auto"/>
          </w:divBdr>
        </w:div>
        <w:div w:id="794561754">
          <w:marLeft w:val="640"/>
          <w:marRight w:val="0"/>
          <w:marTop w:val="0"/>
          <w:marBottom w:val="0"/>
          <w:divBdr>
            <w:top w:val="none" w:sz="0" w:space="0" w:color="auto"/>
            <w:left w:val="none" w:sz="0" w:space="0" w:color="auto"/>
            <w:bottom w:val="none" w:sz="0" w:space="0" w:color="auto"/>
            <w:right w:val="none" w:sz="0" w:space="0" w:color="auto"/>
          </w:divBdr>
        </w:div>
        <w:div w:id="1718627387">
          <w:marLeft w:val="640"/>
          <w:marRight w:val="0"/>
          <w:marTop w:val="0"/>
          <w:marBottom w:val="0"/>
          <w:divBdr>
            <w:top w:val="none" w:sz="0" w:space="0" w:color="auto"/>
            <w:left w:val="none" w:sz="0" w:space="0" w:color="auto"/>
            <w:bottom w:val="none" w:sz="0" w:space="0" w:color="auto"/>
            <w:right w:val="none" w:sz="0" w:space="0" w:color="auto"/>
          </w:divBdr>
        </w:div>
        <w:div w:id="2084178499">
          <w:marLeft w:val="640"/>
          <w:marRight w:val="0"/>
          <w:marTop w:val="0"/>
          <w:marBottom w:val="0"/>
          <w:divBdr>
            <w:top w:val="none" w:sz="0" w:space="0" w:color="auto"/>
            <w:left w:val="none" w:sz="0" w:space="0" w:color="auto"/>
            <w:bottom w:val="none" w:sz="0" w:space="0" w:color="auto"/>
            <w:right w:val="none" w:sz="0" w:space="0" w:color="auto"/>
          </w:divBdr>
        </w:div>
        <w:div w:id="1699308535">
          <w:marLeft w:val="640"/>
          <w:marRight w:val="0"/>
          <w:marTop w:val="0"/>
          <w:marBottom w:val="0"/>
          <w:divBdr>
            <w:top w:val="none" w:sz="0" w:space="0" w:color="auto"/>
            <w:left w:val="none" w:sz="0" w:space="0" w:color="auto"/>
            <w:bottom w:val="none" w:sz="0" w:space="0" w:color="auto"/>
            <w:right w:val="none" w:sz="0" w:space="0" w:color="auto"/>
          </w:divBdr>
        </w:div>
        <w:div w:id="1831019700">
          <w:marLeft w:val="640"/>
          <w:marRight w:val="0"/>
          <w:marTop w:val="0"/>
          <w:marBottom w:val="0"/>
          <w:divBdr>
            <w:top w:val="none" w:sz="0" w:space="0" w:color="auto"/>
            <w:left w:val="none" w:sz="0" w:space="0" w:color="auto"/>
            <w:bottom w:val="none" w:sz="0" w:space="0" w:color="auto"/>
            <w:right w:val="none" w:sz="0" w:space="0" w:color="auto"/>
          </w:divBdr>
        </w:div>
        <w:div w:id="941952860">
          <w:marLeft w:val="640"/>
          <w:marRight w:val="0"/>
          <w:marTop w:val="0"/>
          <w:marBottom w:val="0"/>
          <w:divBdr>
            <w:top w:val="none" w:sz="0" w:space="0" w:color="auto"/>
            <w:left w:val="none" w:sz="0" w:space="0" w:color="auto"/>
            <w:bottom w:val="none" w:sz="0" w:space="0" w:color="auto"/>
            <w:right w:val="none" w:sz="0" w:space="0" w:color="auto"/>
          </w:divBdr>
        </w:div>
        <w:div w:id="1405639024">
          <w:marLeft w:val="640"/>
          <w:marRight w:val="0"/>
          <w:marTop w:val="0"/>
          <w:marBottom w:val="0"/>
          <w:divBdr>
            <w:top w:val="none" w:sz="0" w:space="0" w:color="auto"/>
            <w:left w:val="none" w:sz="0" w:space="0" w:color="auto"/>
            <w:bottom w:val="none" w:sz="0" w:space="0" w:color="auto"/>
            <w:right w:val="none" w:sz="0" w:space="0" w:color="auto"/>
          </w:divBdr>
        </w:div>
        <w:div w:id="1469283744">
          <w:marLeft w:val="640"/>
          <w:marRight w:val="0"/>
          <w:marTop w:val="0"/>
          <w:marBottom w:val="0"/>
          <w:divBdr>
            <w:top w:val="none" w:sz="0" w:space="0" w:color="auto"/>
            <w:left w:val="none" w:sz="0" w:space="0" w:color="auto"/>
            <w:bottom w:val="none" w:sz="0" w:space="0" w:color="auto"/>
            <w:right w:val="none" w:sz="0" w:space="0" w:color="auto"/>
          </w:divBdr>
        </w:div>
        <w:div w:id="761951368">
          <w:marLeft w:val="640"/>
          <w:marRight w:val="0"/>
          <w:marTop w:val="0"/>
          <w:marBottom w:val="0"/>
          <w:divBdr>
            <w:top w:val="none" w:sz="0" w:space="0" w:color="auto"/>
            <w:left w:val="none" w:sz="0" w:space="0" w:color="auto"/>
            <w:bottom w:val="none" w:sz="0" w:space="0" w:color="auto"/>
            <w:right w:val="none" w:sz="0" w:space="0" w:color="auto"/>
          </w:divBdr>
        </w:div>
        <w:div w:id="375471753">
          <w:marLeft w:val="640"/>
          <w:marRight w:val="0"/>
          <w:marTop w:val="0"/>
          <w:marBottom w:val="0"/>
          <w:divBdr>
            <w:top w:val="none" w:sz="0" w:space="0" w:color="auto"/>
            <w:left w:val="none" w:sz="0" w:space="0" w:color="auto"/>
            <w:bottom w:val="none" w:sz="0" w:space="0" w:color="auto"/>
            <w:right w:val="none" w:sz="0" w:space="0" w:color="auto"/>
          </w:divBdr>
        </w:div>
        <w:div w:id="947615270">
          <w:marLeft w:val="640"/>
          <w:marRight w:val="0"/>
          <w:marTop w:val="0"/>
          <w:marBottom w:val="0"/>
          <w:divBdr>
            <w:top w:val="none" w:sz="0" w:space="0" w:color="auto"/>
            <w:left w:val="none" w:sz="0" w:space="0" w:color="auto"/>
            <w:bottom w:val="none" w:sz="0" w:space="0" w:color="auto"/>
            <w:right w:val="none" w:sz="0" w:space="0" w:color="auto"/>
          </w:divBdr>
        </w:div>
        <w:div w:id="1958098047">
          <w:marLeft w:val="640"/>
          <w:marRight w:val="0"/>
          <w:marTop w:val="0"/>
          <w:marBottom w:val="0"/>
          <w:divBdr>
            <w:top w:val="none" w:sz="0" w:space="0" w:color="auto"/>
            <w:left w:val="none" w:sz="0" w:space="0" w:color="auto"/>
            <w:bottom w:val="none" w:sz="0" w:space="0" w:color="auto"/>
            <w:right w:val="none" w:sz="0" w:space="0" w:color="auto"/>
          </w:divBdr>
        </w:div>
        <w:div w:id="1814369400">
          <w:marLeft w:val="640"/>
          <w:marRight w:val="0"/>
          <w:marTop w:val="0"/>
          <w:marBottom w:val="0"/>
          <w:divBdr>
            <w:top w:val="none" w:sz="0" w:space="0" w:color="auto"/>
            <w:left w:val="none" w:sz="0" w:space="0" w:color="auto"/>
            <w:bottom w:val="none" w:sz="0" w:space="0" w:color="auto"/>
            <w:right w:val="none" w:sz="0" w:space="0" w:color="auto"/>
          </w:divBdr>
        </w:div>
        <w:div w:id="1228687016">
          <w:marLeft w:val="640"/>
          <w:marRight w:val="0"/>
          <w:marTop w:val="0"/>
          <w:marBottom w:val="0"/>
          <w:divBdr>
            <w:top w:val="none" w:sz="0" w:space="0" w:color="auto"/>
            <w:left w:val="none" w:sz="0" w:space="0" w:color="auto"/>
            <w:bottom w:val="none" w:sz="0" w:space="0" w:color="auto"/>
            <w:right w:val="none" w:sz="0" w:space="0" w:color="auto"/>
          </w:divBdr>
        </w:div>
        <w:div w:id="1642030634">
          <w:marLeft w:val="640"/>
          <w:marRight w:val="0"/>
          <w:marTop w:val="0"/>
          <w:marBottom w:val="0"/>
          <w:divBdr>
            <w:top w:val="none" w:sz="0" w:space="0" w:color="auto"/>
            <w:left w:val="none" w:sz="0" w:space="0" w:color="auto"/>
            <w:bottom w:val="none" w:sz="0" w:space="0" w:color="auto"/>
            <w:right w:val="none" w:sz="0" w:space="0" w:color="auto"/>
          </w:divBdr>
        </w:div>
        <w:div w:id="863909780">
          <w:marLeft w:val="640"/>
          <w:marRight w:val="0"/>
          <w:marTop w:val="0"/>
          <w:marBottom w:val="0"/>
          <w:divBdr>
            <w:top w:val="none" w:sz="0" w:space="0" w:color="auto"/>
            <w:left w:val="none" w:sz="0" w:space="0" w:color="auto"/>
            <w:bottom w:val="none" w:sz="0" w:space="0" w:color="auto"/>
            <w:right w:val="none" w:sz="0" w:space="0" w:color="auto"/>
          </w:divBdr>
        </w:div>
        <w:div w:id="178783965">
          <w:marLeft w:val="640"/>
          <w:marRight w:val="0"/>
          <w:marTop w:val="0"/>
          <w:marBottom w:val="0"/>
          <w:divBdr>
            <w:top w:val="none" w:sz="0" w:space="0" w:color="auto"/>
            <w:left w:val="none" w:sz="0" w:space="0" w:color="auto"/>
            <w:bottom w:val="none" w:sz="0" w:space="0" w:color="auto"/>
            <w:right w:val="none" w:sz="0" w:space="0" w:color="auto"/>
          </w:divBdr>
        </w:div>
        <w:div w:id="1312903644">
          <w:marLeft w:val="640"/>
          <w:marRight w:val="0"/>
          <w:marTop w:val="0"/>
          <w:marBottom w:val="0"/>
          <w:divBdr>
            <w:top w:val="none" w:sz="0" w:space="0" w:color="auto"/>
            <w:left w:val="none" w:sz="0" w:space="0" w:color="auto"/>
            <w:bottom w:val="none" w:sz="0" w:space="0" w:color="auto"/>
            <w:right w:val="none" w:sz="0" w:space="0" w:color="auto"/>
          </w:divBdr>
        </w:div>
        <w:div w:id="268589891">
          <w:marLeft w:val="640"/>
          <w:marRight w:val="0"/>
          <w:marTop w:val="0"/>
          <w:marBottom w:val="0"/>
          <w:divBdr>
            <w:top w:val="none" w:sz="0" w:space="0" w:color="auto"/>
            <w:left w:val="none" w:sz="0" w:space="0" w:color="auto"/>
            <w:bottom w:val="none" w:sz="0" w:space="0" w:color="auto"/>
            <w:right w:val="none" w:sz="0" w:space="0" w:color="auto"/>
          </w:divBdr>
        </w:div>
        <w:div w:id="1882325427">
          <w:marLeft w:val="640"/>
          <w:marRight w:val="0"/>
          <w:marTop w:val="0"/>
          <w:marBottom w:val="0"/>
          <w:divBdr>
            <w:top w:val="none" w:sz="0" w:space="0" w:color="auto"/>
            <w:left w:val="none" w:sz="0" w:space="0" w:color="auto"/>
            <w:bottom w:val="none" w:sz="0" w:space="0" w:color="auto"/>
            <w:right w:val="none" w:sz="0" w:space="0" w:color="auto"/>
          </w:divBdr>
        </w:div>
        <w:div w:id="203448485">
          <w:marLeft w:val="640"/>
          <w:marRight w:val="0"/>
          <w:marTop w:val="0"/>
          <w:marBottom w:val="0"/>
          <w:divBdr>
            <w:top w:val="none" w:sz="0" w:space="0" w:color="auto"/>
            <w:left w:val="none" w:sz="0" w:space="0" w:color="auto"/>
            <w:bottom w:val="none" w:sz="0" w:space="0" w:color="auto"/>
            <w:right w:val="none" w:sz="0" w:space="0" w:color="auto"/>
          </w:divBdr>
        </w:div>
        <w:div w:id="850220628">
          <w:marLeft w:val="640"/>
          <w:marRight w:val="0"/>
          <w:marTop w:val="0"/>
          <w:marBottom w:val="0"/>
          <w:divBdr>
            <w:top w:val="none" w:sz="0" w:space="0" w:color="auto"/>
            <w:left w:val="none" w:sz="0" w:space="0" w:color="auto"/>
            <w:bottom w:val="none" w:sz="0" w:space="0" w:color="auto"/>
            <w:right w:val="none" w:sz="0" w:space="0" w:color="auto"/>
          </w:divBdr>
        </w:div>
        <w:div w:id="880361963">
          <w:marLeft w:val="640"/>
          <w:marRight w:val="0"/>
          <w:marTop w:val="0"/>
          <w:marBottom w:val="0"/>
          <w:divBdr>
            <w:top w:val="none" w:sz="0" w:space="0" w:color="auto"/>
            <w:left w:val="none" w:sz="0" w:space="0" w:color="auto"/>
            <w:bottom w:val="none" w:sz="0" w:space="0" w:color="auto"/>
            <w:right w:val="none" w:sz="0" w:space="0" w:color="auto"/>
          </w:divBdr>
        </w:div>
        <w:div w:id="483858033">
          <w:marLeft w:val="640"/>
          <w:marRight w:val="0"/>
          <w:marTop w:val="0"/>
          <w:marBottom w:val="0"/>
          <w:divBdr>
            <w:top w:val="none" w:sz="0" w:space="0" w:color="auto"/>
            <w:left w:val="none" w:sz="0" w:space="0" w:color="auto"/>
            <w:bottom w:val="none" w:sz="0" w:space="0" w:color="auto"/>
            <w:right w:val="none" w:sz="0" w:space="0" w:color="auto"/>
          </w:divBdr>
        </w:div>
        <w:div w:id="444691695">
          <w:marLeft w:val="640"/>
          <w:marRight w:val="0"/>
          <w:marTop w:val="0"/>
          <w:marBottom w:val="0"/>
          <w:divBdr>
            <w:top w:val="none" w:sz="0" w:space="0" w:color="auto"/>
            <w:left w:val="none" w:sz="0" w:space="0" w:color="auto"/>
            <w:bottom w:val="none" w:sz="0" w:space="0" w:color="auto"/>
            <w:right w:val="none" w:sz="0" w:space="0" w:color="auto"/>
          </w:divBdr>
        </w:div>
        <w:div w:id="747768176">
          <w:marLeft w:val="640"/>
          <w:marRight w:val="0"/>
          <w:marTop w:val="0"/>
          <w:marBottom w:val="0"/>
          <w:divBdr>
            <w:top w:val="none" w:sz="0" w:space="0" w:color="auto"/>
            <w:left w:val="none" w:sz="0" w:space="0" w:color="auto"/>
            <w:bottom w:val="none" w:sz="0" w:space="0" w:color="auto"/>
            <w:right w:val="none" w:sz="0" w:space="0" w:color="auto"/>
          </w:divBdr>
        </w:div>
        <w:div w:id="1831142218">
          <w:marLeft w:val="640"/>
          <w:marRight w:val="0"/>
          <w:marTop w:val="0"/>
          <w:marBottom w:val="0"/>
          <w:divBdr>
            <w:top w:val="none" w:sz="0" w:space="0" w:color="auto"/>
            <w:left w:val="none" w:sz="0" w:space="0" w:color="auto"/>
            <w:bottom w:val="none" w:sz="0" w:space="0" w:color="auto"/>
            <w:right w:val="none" w:sz="0" w:space="0" w:color="auto"/>
          </w:divBdr>
        </w:div>
        <w:div w:id="905185013">
          <w:marLeft w:val="640"/>
          <w:marRight w:val="0"/>
          <w:marTop w:val="0"/>
          <w:marBottom w:val="0"/>
          <w:divBdr>
            <w:top w:val="none" w:sz="0" w:space="0" w:color="auto"/>
            <w:left w:val="none" w:sz="0" w:space="0" w:color="auto"/>
            <w:bottom w:val="none" w:sz="0" w:space="0" w:color="auto"/>
            <w:right w:val="none" w:sz="0" w:space="0" w:color="auto"/>
          </w:divBdr>
        </w:div>
        <w:div w:id="300812147">
          <w:marLeft w:val="640"/>
          <w:marRight w:val="0"/>
          <w:marTop w:val="0"/>
          <w:marBottom w:val="0"/>
          <w:divBdr>
            <w:top w:val="none" w:sz="0" w:space="0" w:color="auto"/>
            <w:left w:val="none" w:sz="0" w:space="0" w:color="auto"/>
            <w:bottom w:val="none" w:sz="0" w:space="0" w:color="auto"/>
            <w:right w:val="none" w:sz="0" w:space="0" w:color="auto"/>
          </w:divBdr>
        </w:div>
        <w:div w:id="903100339">
          <w:marLeft w:val="640"/>
          <w:marRight w:val="0"/>
          <w:marTop w:val="0"/>
          <w:marBottom w:val="0"/>
          <w:divBdr>
            <w:top w:val="none" w:sz="0" w:space="0" w:color="auto"/>
            <w:left w:val="none" w:sz="0" w:space="0" w:color="auto"/>
            <w:bottom w:val="none" w:sz="0" w:space="0" w:color="auto"/>
            <w:right w:val="none" w:sz="0" w:space="0" w:color="auto"/>
          </w:divBdr>
        </w:div>
        <w:div w:id="2075620555">
          <w:marLeft w:val="640"/>
          <w:marRight w:val="0"/>
          <w:marTop w:val="0"/>
          <w:marBottom w:val="0"/>
          <w:divBdr>
            <w:top w:val="none" w:sz="0" w:space="0" w:color="auto"/>
            <w:left w:val="none" w:sz="0" w:space="0" w:color="auto"/>
            <w:bottom w:val="none" w:sz="0" w:space="0" w:color="auto"/>
            <w:right w:val="none" w:sz="0" w:space="0" w:color="auto"/>
          </w:divBdr>
        </w:div>
        <w:div w:id="2019427824">
          <w:marLeft w:val="640"/>
          <w:marRight w:val="0"/>
          <w:marTop w:val="0"/>
          <w:marBottom w:val="0"/>
          <w:divBdr>
            <w:top w:val="none" w:sz="0" w:space="0" w:color="auto"/>
            <w:left w:val="none" w:sz="0" w:space="0" w:color="auto"/>
            <w:bottom w:val="none" w:sz="0" w:space="0" w:color="auto"/>
            <w:right w:val="none" w:sz="0" w:space="0" w:color="auto"/>
          </w:divBdr>
        </w:div>
        <w:div w:id="1866751634">
          <w:marLeft w:val="640"/>
          <w:marRight w:val="0"/>
          <w:marTop w:val="0"/>
          <w:marBottom w:val="0"/>
          <w:divBdr>
            <w:top w:val="none" w:sz="0" w:space="0" w:color="auto"/>
            <w:left w:val="none" w:sz="0" w:space="0" w:color="auto"/>
            <w:bottom w:val="none" w:sz="0" w:space="0" w:color="auto"/>
            <w:right w:val="none" w:sz="0" w:space="0" w:color="auto"/>
          </w:divBdr>
        </w:div>
        <w:div w:id="1024748574">
          <w:marLeft w:val="640"/>
          <w:marRight w:val="0"/>
          <w:marTop w:val="0"/>
          <w:marBottom w:val="0"/>
          <w:divBdr>
            <w:top w:val="none" w:sz="0" w:space="0" w:color="auto"/>
            <w:left w:val="none" w:sz="0" w:space="0" w:color="auto"/>
            <w:bottom w:val="none" w:sz="0" w:space="0" w:color="auto"/>
            <w:right w:val="none" w:sz="0" w:space="0" w:color="auto"/>
          </w:divBdr>
        </w:div>
        <w:div w:id="1769813628">
          <w:marLeft w:val="640"/>
          <w:marRight w:val="0"/>
          <w:marTop w:val="0"/>
          <w:marBottom w:val="0"/>
          <w:divBdr>
            <w:top w:val="none" w:sz="0" w:space="0" w:color="auto"/>
            <w:left w:val="none" w:sz="0" w:space="0" w:color="auto"/>
            <w:bottom w:val="none" w:sz="0" w:space="0" w:color="auto"/>
            <w:right w:val="none" w:sz="0" w:space="0" w:color="auto"/>
          </w:divBdr>
        </w:div>
        <w:div w:id="1508442425">
          <w:marLeft w:val="640"/>
          <w:marRight w:val="0"/>
          <w:marTop w:val="0"/>
          <w:marBottom w:val="0"/>
          <w:divBdr>
            <w:top w:val="none" w:sz="0" w:space="0" w:color="auto"/>
            <w:left w:val="none" w:sz="0" w:space="0" w:color="auto"/>
            <w:bottom w:val="none" w:sz="0" w:space="0" w:color="auto"/>
            <w:right w:val="none" w:sz="0" w:space="0" w:color="auto"/>
          </w:divBdr>
        </w:div>
        <w:div w:id="1159661777">
          <w:marLeft w:val="640"/>
          <w:marRight w:val="0"/>
          <w:marTop w:val="0"/>
          <w:marBottom w:val="0"/>
          <w:divBdr>
            <w:top w:val="none" w:sz="0" w:space="0" w:color="auto"/>
            <w:left w:val="none" w:sz="0" w:space="0" w:color="auto"/>
            <w:bottom w:val="none" w:sz="0" w:space="0" w:color="auto"/>
            <w:right w:val="none" w:sz="0" w:space="0" w:color="auto"/>
          </w:divBdr>
        </w:div>
        <w:div w:id="1886865381">
          <w:marLeft w:val="640"/>
          <w:marRight w:val="0"/>
          <w:marTop w:val="0"/>
          <w:marBottom w:val="0"/>
          <w:divBdr>
            <w:top w:val="none" w:sz="0" w:space="0" w:color="auto"/>
            <w:left w:val="none" w:sz="0" w:space="0" w:color="auto"/>
            <w:bottom w:val="none" w:sz="0" w:space="0" w:color="auto"/>
            <w:right w:val="none" w:sz="0" w:space="0" w:color="auto"/>
          </w:divBdr>
        </w:div>
        <w:div w:id="438113117">
          <w:marLeft w:val="640"/>
          <w:marRight w:val="0"/>
          <w:marTop w:val="0"/>
          <w:marBottom w:val="0"/>
          <w:divBdr>
            <w:top w:val="none" w:sz="0" w:space="0" w:color="auto"/>
            <w:left w:val="none" w:sz="0" w:space="0" w:color="auto"/>
            <w:bottom w:val="none" w:sz="0" w:space="0" w:color="auto"/>
            <w:right w:val="none" w:sz="0" w:space="0" w:color="auto"/>
          </w:divBdr>
        </w:div>
        <w:div w:id="50275842">
          <w:marLeft w:val="640"/>
          <w:marRight w:val="0"/>
          <w:marTop w:val="0"/>
          <w:marBottom w:val="0"/>
          <w:divBdr>
            <w:top w:val="none" w:sz="0" w:space="0" w:color="auto"/>
            <w:left w:val="none" w:sz="0" w:space="0" w:color="auto"/>
            <w:bottom w:val="none" w:sz="0" w:space="0" w:color="auto"/>
            <w:right w:val="none" w:sz="0" w:space="0" w:color="auto"/>
          </w:divBdr>
        </w:div>
        <w:div w:id="808400397">
          <w:marLeft w:val="640"/>
          <w:marRight w:val="0"/>
          <w:marTop w:val="0"/>
          <w:marBottom w:val="0"/>
          <w:divBdr>
            <w:top w:val="none" w:sz="0" w:space="0" w:color="auto"/>
            <w:left w:val="none" w:sz="0" w:space="0" w:color="auto"/>
            <w:bottom w:val="none" w:sz="0" w:space="0" w:color="auto"/>
            <w:right w:val="none" w:sz="0" w:space="0" w:color="auto"/>
          </w:divBdr>
        </w:div>
        <w:div w:id="357855968">
          <w:marLeft w:val="640"/>
          <w:marRight w:val="0"/>
          <w:marTop w:val="0"/>
          <w:marBottom w:val="0"/>
          <w:divBdr>
            <w:top w:val="none" w:sz="0" w:space="0" w:color="auto"/>
            <w:left w:val="none" w:sz="0" w:space="0" w:color="auto"/>
            <w:bottom w:val="none" w:sz="0" w:space="0" w:color="auto"/>
            <w:right w:val="none" w:sz="0" w:space="0" w:color="auto"/>
          </w:divBdr>
        </w:div>
        <w:div w:id="2143036009">
          <w:marLeft w:val="640"/>
          <w:marRight w:val="0"/>
          <w:marTop w:val="0"/>
          <w:marBottom w:val="0"/>
          <w:divBdr>
            <w:top w:val="none" w:sz="0" w:space="0" w:color="auto"/>
            <w:left w:val="none" w:sz="0" w:space="0" w:color="auto"/>
            <w:bottom w:val="none" w:sz="0" w:space="0" w:color="auto"/>
            <w:right w:val="none" w:sz="0" w:space="0" w:color="auto"/>
          </w:divBdr>
        </w:div>
        <w:div w:id="1998225162">
          <w:marLeft w:val="640"/>
          <w:marRight w:val="0"/>
          <w:marTop w:val="0"/>
          <w:marBottom w:val="0"/>
          <w:divBdr>
            <w:top w:val="none" w:sz="0" w:space="0" w:color="auto"/>
            <w:left w:val="none" w:sz="0" w:space="0" w:color="auto"/>
            <w:bottom w:val="none" w:sz="0" w:space="0" w:color="auto"/>
            <w:right w:val="none" w:sz="0" w:space="0" w:color="auto"/>
          </w:divBdr>
        </w:div>
        <w:div w:id="247546668">
          <w:marLeft w:val="640"/>
          <w:marRight w:val="0"/>
          <w:marTop w:val="0"/>
          <w:marBottom w:val="0"/>
          <w:divBdr>
            <w:top w:val="none" w:sz="0" w:space="0" w:color="auto"/>
            <w:left w:val="none" w:sz="0" w:space="0" w:color="auto"/>
            <w:bottom w:val="none" w:sz="0" w:space="0" w:color="auto"/>
            <w:right w:val="none" w:sz="0" w:space="0" w:color="auto"/>
          </w:divBdr>
        </w:div>
        <w:div w:id="1208495564">
          <w:marLeft w:val="640"/>
          <w:marRight w:val="0"/>
          <w:marTop w:val="0"/>
          <w:marBottom w:val="0"/>
          <w:divBdr>
            <w:top w:val="none" w:sz="0" w:space="0" w:color="auto"/>
            <w:left w:val="none" w:sz="0" w:space="0" w:color="auto"/>
            <w:bottom w:val="none" w:sz="0" w:space="0" w:color="auto"/>
            <w:right w:val="none" w:sz="0" w:space="0" w:color="auto"/>
          </w:divBdr>
        </w:div>
        <w:div w:id="1086683197">
          <w:marLeft w:val="640"/>
          <w:marRight w:val="0"/>
          <w:marTop w:val="0"/>
          <w:marBottom w:val="0"/>
          <w:divBdr>
            <w:top w:val="none" w:sz="0" w:space="0" w:color="auto"/>
            <w:left w:val="none" w:sz="0" w:space="0" w:color="auto"/>
            <w:bottom w:val="none" w:sz="0" w:space="0" w:color="auto"/>
            <w:right w:val="none" w:sz="0" w:space="0" w:color="auto"/>
          </w:divBdr>
        </w:div>
        <w:div w:id="1562904027">
          <w:marLeft w:val="640"/>
          <w:marRight w:val="0"/>
          <w:marTop w:val="0"/>
          <w:marBottom w:val="0"/>
          <w:divBdr>
            <w:top w:val="none" w:sz="0" w:space="0" w:color="auto"/>
            <w:left w:val="none" w:sz="0" w:space="0" w:color="auto"/>
            <w:bottom w:val="none" w:sz="0" w:space="0" w:color="auto"/>
            <w:right w:val="none" w:sz="0" w:space="0" w:color="auto"/>
          </w:divBdr>
        </w:div>
        <w:div w:id="491064313">
          <w:marLeft w:val="640"/>
          <w:marRight w:val="0"/>
          <w:marTop w:val="0"/>
          <w:marBottom w:val="0"/>
          <w:divBdr>
            <w:top w:val="none" w:sz="0" w:space="0" w:color="auto"/>
            <w:left w:val="none" w:sz="0" w:space="0" w:color="auto"/>
            <w:bottom w:val="none" w:sz="0" w:space="0" w:color="auto"/>
            <w:right w:val="none" w:sz="0" w:space="0" w:color="auto"/>
          </w:divBdr>
        </w:div>
        <w:div w:id="220791113">
          <w:marLeft w:val="640"/>
          <w:marRight w:val="0"/>
          <w:marTop w:val="0"/>
          <w:marBottom w:val="0"/>
          <w:divBdr>
            <w:top w:val="none" w:sz="0" w:space="0" w:color="auto"/>
            <w:left w:val="none" w:sz="0" w:space="0" w:color="auto"/>
            <w:bottom w:val="none" w:sz="0" w:space="0" w:color="auto"/>
            <w:right w:val="none" w:sz="0" w:space="0" w:color="auto"/>
          </w:divBdr>
        </w:div>
        <w:div w:id="195002111">
          <w:marLeft w:val="640"/>
          <w:marRight w:val="0"/>
          <w:marTop w:val="0"/>
          <w:marBottom w:val="0"/>
          <w:divBdr>
            <w:top w:val="none" w:sz="0" w:space="0" w:color="auto"/>
            <w:left w:val="none" w:sz="0" w:space="0" w:color="auto"/>
            <w:bottom w:val="none" w:sz="0" w:space="0" w:color="auto"/>
            <w:right w:val="none" w:sz="0" w:space="0" w:color="auto"/>
          </w:divBdr>
        </w:div>
        <w:div w:id="1896812400">
          <w:marLeft w:val="640"/>
          <w:marRight w:val="0"/>
          <w:marTop w:val="0"/>
          <w:marBottom w:val="0"/>
          <w:divBdr>
            <w:top w:val="none" w:sz="0" w:space="0" w:color="auto"/>
            <w:left w:val="none" w:sz="0" w:space="0" w:color="auto"/>
            <w:bottom w:val="none" w:sz="0" w:space="0" w:color="auto"/>
            <w:right w:val="none" w:sz="0" w:space="0" w:color="auto"/>
          </w:divBdr>
        </w:div>
      </w:divsChild>
    </w:div>
    <w:div w:id="767699828">
      <w:bodyDiv w:val="1"/>
      <w:marLeft w:val="0"/>
      <w:marRight w:val="0"/>
      <w:marTop w:val="0"/>
      <w:marBottom w:val="0"/>
      <w:divBdr>
        <w:top w:val="none" w:sz="0" w:space="0" w:color="auto"/>
        <w:left w:val="none" w:sz="0" w:space="0" w:color="auto"/>
        <w:bottom w:val="none" w:sz="0" w:space="0" w:color="auto"/>
        <w:right w:val="none" w:sz="0" w:space="0" w:color="auto"/>
      </w:divBdr>
      <w:divsChild>
        <w:div w:id="42490831">
          <w:marLeft w:val="640"/>
          <w:marRight w:val="0"/>
          <w:marTop w:val="0"/>
          <w:marBottom w:val="0"/>
          <w:divBdr>
            <w:top w:val="none" w:sz="0" w:space="0" w:color="auto"/>
            <w:left w:val="none" w:sz="0" w:space="0" w:color="auto"/>
            <w:bottom w:val="none" w:sz="0" w:space="0" w:color="auto"/>
            <w:right w:val="none" w:sz="0" w:space="0" w:color="auto"/>
          </w:divBdr>
        </w:div>
        <w:div w:id="276370053">
          <w:marLeft w:val="640"/>
          <w:marRight w:val="0"/>
          <w:marTop w:val="0"/>
          <w:marBottom w:val="0"/>
          <w:divBdr>
            <w:top w:val="none" w:sz="0" w:space="0" w:color="auto"/>
            <w:left w:val="none" w:sz="0" w:space="0" w:color="auto"/>
            <w:bottom w:val="none" w:sz="0" w:space="0" w:color="auto"/>
            <w:right w:val="none" w:sz="0" w:space="0" w:color="auto"/>
          </w:divBdr>
        </w:div>
        <w:div w:id="1619876773">
          <w:marLeft w:val="640"/>
          <w:marRight w:val="0"/>
          <w:marTop w:val="0"/>
          <w:marBottom w:val="0"/>
          <w:divBdr>
            <w:top w:val="none" w:sz="0" w:space="0" w:color="auto"/>
            <w:left w:val="none" w:sz="0" w:space="0" w:color="auto"/>
            <w:bottom w:val="none" w:sz="0" w:space="0" w:color="auto"/>
            <w:right w:val="none" w:sz="0" w:space="0" w:color="auto"/>
          </w:divBdr>
        </w:div>
        <w:div w:id="117140430">
          <w:marLeft w:val="640"/>
          <w:marRight w:val="0"/>
          <w:marTop w:val="0"/>
          <w:marBottom w:val="0"/>
          <w:divBdr>
            <w:top w:val="none" w:sz="0" w:space="0" w:color="auto"/>
            <w:left w:val="none" w:sz="0" w:space="0" w:color="auto"/>
            <w:bottom w:val="none" w:sz="0" w:space="0" w:color="auto"/>
            <w:right w:val="none" w:sz="0" w:space="0" w:color="auto"/>
          </w:divBdr>
        </w:div>
        <w:div w:id="1815564309">
          <w:marLeft w:val="640"/>
          <w:marRight w:val="0"/>
          <w:marTop w:val="0"/>
          <w:marBottom w:val="0"/>
          <w:divBdr>
            <w:top w:val="none" w:sz="0" w:space="0" w:color="auto"/>
            <w:left w:val="none" w:sz="0" w:space="0" w:color="auto"/>
            <w:bottom w:val="none" w:sz="0" w:space="0" w:color="auto"/>
            <w:right w:val="none" w:sz="0" w:space="0" w:color="auto"/>
          </w:divBdr>
        </w:div>
        <w:div w:id="194736150">
          <w:marLeft w:val="640"/>
          <w:marRight w:val="0"/>
          <w:marTop w:val="0"/>
          <w:marBottom w:val="0"/>
          <w:divBdr>
            <w:top w:val="none" w:sz="0" w:space="0" w:color="auto"/>
            <w:left w:val="none" w:sz="0" w:space="0" w:color="auto"/>
            <w:bottom w:val="none" w:sz="0" w:space="0" w:color="auto"/>
            <w:right w:val="none" w:sz="0" w:space="0" w:color="auto"/>
          </w:divBdr>
        </w:div>
        <w:div w:id="253130385">
          <w:marLeft w:val="640"/>
          <w:marRight w:val="0"/>
          <w:marTop w:val="0"/>
          <w:marBottom w:val="0"/>
          <w:divBdr>
            <w:top w:val="none" w:sz="0" w:space="0" w:color="auto"/>
            <w:left w:val="none" w:sz="0" w:space="0" w:color="auto"/>
            <w:bottom w:val="none" w:sz="0" w:space="0" w:color="auto"/>
            <w:right w:val="none" w:sz="0" w:space="0" w:color="auto"/>
          </w:divBdr>
        </w:div>
        <w:div w:id="1016883862">
          <w:marLeft w:val="640"/>
          <w:marRight w:val="0"/>
          <w:marTop w:val="0"/>
          <w:marBottom w:val="0"/>
          <w:divBdr>
            <w:top w:val="none" w:sz="0" w:space="0" w:color="auto"/>
            <w:left w:val="none" w:sz="0" w:space="0" w:color="auto"/>
            <w:bottom w:val="none" w:sz="0" w:space="0" w:color="auto"/>
            <w:right w:val="none" w:sz="0" w:space="0" w:color="auto"/>
          </w:divBdr>
        </w:div>
        <w:div w:id="5060048">
          <w:marLeft w:val="640"/>
          <w:marRight w:val="0"/>
          <w:marTop w:val="0"/>
          <w:marBottom w:val="0"/>
          <w:divBdr>
            <w:top w:val="none" w:sz="0" w:space="0" w:color="auto"/>
            <w:left w:val="none" w:sz="0" w:space="0" w:color="auto"/>
            <w:bottom w:val="none" w:sz="0" w:space="0" w:color="auto"/>
            <w:right w:val="none" w:sz="0" w:space="0" w:color="auto"/>
          </w:divBdr>
        </w:div>
        <w:div w:id="1126505615">
          <w:marLeft w:val="640"/>
          <w:marRight w:val="0"/>
          <w:marTop w:val="0"/>
          <w:marBottom w:val="0"/>
          <w:divBdr>
            <w:top w:val="none" w:sz="0" w:space="0" w:color="auto"/>
            <w:left w:val="none" w:sz="0" w:space="0" w:color="auto"/>
            <w:bottom w:val="none" w:sz="0" w:space="0" w:color="auto"/>
            <w:right w:val="none" w:sz="0" w:space="0" w:color="auto"/>
          </w:divBdr>
        </w:div>
        <w:div w:id="1628118600">
          <w:marLeft w:val="640"/>
          <w:marRight w:val="0"/>
          <w:marTop w:val="0"/>
          <w:marBottom w:val="0"/>
          <w:divBdr>
            <w:top w:val="none" w:sz="0" w:space="0" w:color="auto"/>
            <w:left w:val="none" w:sz="0" w:space="0" w:color="auto"/>
            <w:bottom w:val="none" w:sz="0" w:space="0" w:color="auto"/>
            <w:right w:val="none" w:sz="0" w:space="0" w:color="auto"/>
          </w:divBdr>
        </w:div>
        <w:div w:id="2057655955">
          <w:marLeft w:val="640"/>
          <w:marRight w:val="0"/>
          <w:marTop w:val="0"/>
          <w:marBottom w:val="0"/>
          <w:divBdr>
            <w:top w:val="none" w:sz="0" w:space="0" w:color="auto"/>
            <w:left w:val="none" w:sz="0" w:space="0" w:color="auto"/>
            <w:bottom w:val="none" w:sz="0" w:space="0" w:color="auto"/>
            <w:right w:val="none" w:sz="0" w:space="0" w:color="auto"/>
          </w:divBdr>
        </w:div>
        <w:div w:id="437337594">
          <w:marLeft w:val="640"/>
          <w:marRight w:val="0"/>
          <w:marTop w:val="0"/>
          <w:marBottom w:val="0"/>
          <w:divBdr>
            <w:top w:val="none" w:sz="0" w:space="0" w:color="auto"/>
            <w:left w:val="none" w:sz="0" w:space="0" w:color="auto"/>
            <w:bottom w:val="none" w:sz="0" w:space="0" w:color="auto"/>
            <w:right w:val="none" w:sz="0" w:space="0" w:color="auto"/>
          </w:divBdr>
        </w:div>
        <w:div w:id="556744736">
          <w:marLeft w:val="640"/>
          <w:marRight w:val="0"/>
          <w:marTop w:val="0"/>
          <w:marBottom w:val="0"/>
          <w:divBdr>
            <w:top w:val="none" w:sz="0" w:space="0" w:color="auto"/>
            <w:left w:val="none" w:sz="0" w:space="0" w:color="auto"/>
            <w:bottom w:val="none" w:sz="0" w:space="0" w:color="auto"/>
            <w:right w:val="none" w:sz="0" w:space="0" w:color="auto"/>
          </w:divBdr>
        </w:div>
        <w:div w:id="500584817">
          <w:marLeft w:val="640"/>
          <w:marRight w:val="0"/>
          <w:marTop w:val="0"/>
          <w:marBottom w:val="0"/>
          <w:divBdr>
            <w:top w:val="none" w:sz="0" w:space="0" w:color="auto"/>
            <w:left w:val="none" w:sz="0" w:space="0" w:color="auto"/>
            <w:bottom w:val="none" w:sz="0" w:space="0" w:color="auto"/>
            <w:right w:val="none" w:sz="0" w:space="0" w:color="auto"/>
          </w:divBdr>
        </w:div>
        <w:div w:id="32006078">
          <w:marLeft w:val="640"/>
          <w:marRight w:val="0"/>
          <w:marTop w:val="0"/>
          <w:marBottom w:val="0"/>
          <w:divBdr>
            <w:top w:val="none" w:sz="0" w:space="0" w:color="auto"/>
            <w:left w:val="none" w:sz="0" w:space="0" w:color="auto"/>
            <w:bottom w:val="none" w:sz="0" w:space="0" w:color="auto"/>
            <w:right w:val="none" w:sz="0" w:space="0" w:color="auto"/>
          </w:divBdr>
        </w:div>
        <w:div w:id="1652834341">
          <w:marLeft w:val="640"/>
          <w:marRight w:val="0"/>
          <w:marTop w:val="0"/>
          <w:marBottom w:val="0"/>
          <w:divBdr>
            <w:top w:val="none" w:sz="0" w:space="0" w:color="auto"/>
            <w:left w:val="none" w:sz="0" w:space="0" w:color="auto"/>
            <w:bottom w:val="none" w:sz="0" w:space="0" w:color="auto"/>
            <w:right w:val="none" w:sz="0" w:space="0" w:color="auto"/>
          </w:divBdr>
        </w:div>
        <w:div w:id="36049231">
          <w:marLeft w:val="640"/>
          <w:marRight w:val="0"/>
          <w:marTop w:val="0"/>
          <w:marBottom w:val="0"/>
          <w:divBdr>
            <w:top w:val="none" w:sz="0" w:space="0" w:color="auto"/>
            <w:left w:val="none" w:sz="0" w:space="0" w:color="auto"/>
            <w:bottom w:val="none" w:sz="0" w:space="0" w:color="auto"/>
            <w:right w:val="none" w:sz="0" w:space="0" w:color="auto"/>
          </w:divBdr>
        </w:div>
        <w:div w:id="982075808">
          <w:marLeft w:val="640"/>
          <w:marRight w:val="0"/>
          <w:marTop w:val="0"/>
          <w:marBottom w:val="0"/>
          <w:divBdr>
            <w:top w:val="none" w:sz="0" w:space="0" w:color="auto"/>
            <w:left w:val="none" w:sz="0" w:space="0" w:color="auto"/>
            <w:bottom w:val="none" w:sz="0" w:space="0" w:color="auto"/>
            <w:right w:val="none" w:sz="0" w:space="0" w:color="auto"/>
          </w:divBdr>
        </w:div>
        <w:div w:id="1207110303">
          <w:marLeft w:val="640"/>
          <w:marRight w:val="0"/>
          <w:marTop w:val="0"/>
          <w:marBottom w:val="0"/>
          <w:divBdr>
            <w:top w:val="none" w:sz="0" w:space="0" w:color="auto"/>
            <w:left w:val="none" w:sz="0" w:space="0" w:color="auto"/>
            <w:bottom w:val="none" w:sz="0" w:space="0" w:color="auto"/>
            <w:right w:val="none" w:sz="0" w:space="0" w:color="auto"/>
          </w:divBdr>
        </w:div>
        <w:div w:id="823669904">
          <w:marLeft w:val="640"/>
          <w:marRight w:val="0"/>
          <w:marTop w:val="0"/>
          <w:marBottom w:val="0"/>
          <w:divBdr>
            <w:top w:val="none" w:sz="0" w:space="0" w:color="auto"/>
            <w:left w:val="none" w:sz="0" w:space="0" w:color="auto"/>
            <w:bottom w:val="none" w:sz="0" w:space="0" w:color="auto"/>
            <w:right w:val="none" w:sz="0" w:space="0" w:color="auto"/>
          </w:divBdr>
        </w:div>
        <w:div w:id="1720394115">
          <w:marLeft w:val="640"/>
          <w:marRight w:val="0"/>
          <w:marTop w:val="0"/>
          <w:marBottom w:val="0"/>
          <w:divBdr>
            <w:top w:val="none" w:sz="0" w:space="0" w:color="auto"/>
            <w:left w:val="none" w:sz="0" w:space="0" w:color="auto"/>
            <w:bottom w:val="none" w:sz="0" w:space="0" w:color="auto"/>
            <w:right w:val="none" w:sz="0" w:space="0" w:color="auto"/>
          </w:divBdr>
        </w:div>
        <w:div w:id="1366754706">
          <w:marLeft w:val="640"/>
          <w:marRight w:val="0"/>
          <w:marTop w:val="0"/>
          <w:marBottom w:val="0"/>
          <w:divBdr>
            <w:top w:val="none" w:sz="0" w:space="0" w:color="auto"/>
            <w:left w:val="none" w:sz="0" w:space="0" w:color="auto"/>
            <w:bottom w:val="none" w:sz="0" w:space="0" w:color="auto"/>
            <w:right w:val="none" w:sz="0" w:space="0" w:color="auto"/>
          </w:divBdr>
        </w:div>
        <w:div w:id="1782603106">
          <w:marLeft w:val="640"/>
          <w:marRight w:val="0"/>
          <w:marTop w:val="0"/>
          <w:marBottom w:val="0"/>
          <w:divBdr>
            <w:top w:val="none" w:sz="0" w:space="0" w:color="auto"/>
            <w:left w:val="none" w:sz="0" w:space="0" w:color="auto"/>
            <w:bottom w:val="none" w:sz="0" w:space="0" w:color="auto"/>
            <w:right w:val="none" w:sz="0" w:space="0" w:color="auto"/>
          </w:divBdr>
        </w:div>
        <w:div w:id="1389961829">
          <w:marLeft w:val="640"/>
          <w:marRight w:val="0"/>
          <w:marTop w:val="0"/>
          <w:marBottom w:val="0"/>
          <w:divBdr>
            <w:top w:val="none" w:sz="0" w:space="0" w:color="auto"/>
            <w:left w:val="none" w:sz="0" w:space="0" w:color="auto"/>
            <w:bottom w:val="none" w:sz="0" w:space="0" w:color="auto"/>
            <w:right w:val="none" w:sz="0" w:space="0" w:color="auto"/>
          </w:divBdr>
        </w:div>
        <w:div w:id="394134768">
          <w:marLeft w:val="640"/>
          <w:marRight w:val="0"/>
          <w:marTop w:val="0"/>
          <w:marBottom w:val="0"/>
          <w:divBdr>
            <w:top w:val="none" w:sz="0" w:space="0" w:color="auto"/>
            <w:left w:val="none" w:sz="0" w:space="0" w:color="auto"/>
            <w:bottom w:val="none" w:sz="0" w:space="0" w:color="auto"/>
            <w:right w:val="none" w:sz="0" w:space="0" w:color="auto"/>
          </w:divBdr>
        </w:div>
        <w:div w:id="567570062">
          <w:marLeft w:val="640"/>
          <w:marRight w:val="0"/>
          <w:marTop w:val="0"/>
          <w:marBottom w:val="0"/>
          <w:divBdr>
            <w:top w:val="none" w:sz="0" w:space="0" w:color="auto"/>
            <w:left w:val="none" w:sz="0" w:space="0" w:color="auto"/>
            <w:bottom w:val="none" w:sz="0" w:space="0" w:color="auto"/>
            <w:right w:val="none" w:sz="0" w:space="0" w:color="auto"/>
          </w:divBdr>
        </w:div>
        <w:div w:id="1259024604">
          <w:marLeft w:val="640"/>
          <w:marRight w:val="0"/>
          <w:marTop w:val="0"/>
          <w:marBottom w:val="0"/>
          <w:divBdr>
            <w:top w:val="none" w:sz="0" w:space="0" w:color="auto"/>
            <w:left w:val="none" w:sz="0" w:space="0" w:color="auto"/>
            <w:bottom w:val="none" w:sz="0" w:space="0" w:color="auto"/>
            <w:right w:val="none" w:sz="0" w:space="0" w:color="auto"/>
          </w:divBdr>
        </w:div>
        <w:div w:id="988098363">
          <w:marLeft w:val="640"/>
          <w:marRight w:val="0"/>
          <w:marTop w:val="0"/>
          <w:marBottom w:val="0"/>
          <w:divBdr>
            <w:top w:val="none" w:sz="0" w:space="0" w:color="auto"/>
            <w:left w:val="none" w:sz="0" w:space="0" w:color="auto"/>
            <w:bottom w:val="none" w:sz="0" w:space="0" w:color="auto"/>
            <w:right w:val="none" w:sz="0" w:space="0" w:color="auto"/>
          </w:divBdr>
        </w:div>
        <w:div w:id="1733698207">
          <w:marLeft w:val="640"/>
          <w:marRight w:val="0"/>
          <w:marTop w:val="0"/>
          <w:marBottom w:val="0"/>
          <w:divBdr>
            <w:top w:val="none" w:sz="0" w:space="0" w:color="auto"/>
            <w:left w:val="none" w:sz="0" w:space="0" w:color="auto"/>
            <w:bottom w:val="none" w:sz="0" w:space="0" w:color="auto"/>
            <w:right w:val="none" w:sz="0" w:space="0" w:color="auto"/>
          </w:divBdr>
        </w:div>
        <w:div w:id="868369884">
          <w:marLeft w:val="640"/>
          <w:marRight w:val="0"/>
          <w:marTop w:val="0"/>
          <w:marBottom w:val="0"/>
          <w:divBdr>
            <w:top w:val="none" w:sz="0" w:space="0" w:color="auto"/>
            <w:left w:val="none" w:sz="0" w:space="0" w:color="auto"/>
            <w:bottom w:val="none" w:sz="0" w:space="0" w:color="auto"/>
            <w:right w:val="none" w:sz="0" w:space="0" w:color="auto"/>
          </w:divBdr>
        </w:div>
        <w:div w:id="1700475248">
          <w:marLeft w:val="640"/>
          <w:marRight w:val="0"/>
          <w:marTop w:val="0"/>
          <w:marBottom w:val="0"/>
          <w:divBdr>
            <w:top w:val="none" w:sz="0" w:space="0" w:color="auto"/>
            <w:left w:val="none" w:sz="0" w:space="0" w:color="auto"/>
            <w:bottom w:val="none" w:sz="0" w:space="0" w:color="auto"/>
            <w:right w:val="none" w:sz="0" w:space="0" w:color="auto"/>
          </w:divBdr>
        </w:div>
        <w:div w:id="1380781238">
          <w:marLeft w:val="640"/>
          <w:marRight w:val="0"/>
          <w:marTop w:val="0"/>
          <w:marBottom w:val="0"/>
          <w:divBdr>
            <w:top w:val="none" w:sz="0" w:space="0" w:color="auto"/>
            <w:left w:val="none" w:sz="0" w:space="0" w:color="auto"/>
            <w:bottom w:val="none" w:sz="0" w:space="0" w:color="auto"/>
            <w:right w:val="none" w:sz="0" w:space="0" w:color="auto"/>
          </w:divBdr>
        </w:div>
        <w:div w:id="921375697">
          <w:marLeft w:val="640"/>
          <w:marRight w:val="0"/>
          <w:marTop w:val="0"/>
          <w:marBottom w:val="0"/>
          <w:divBdr>
            <w:top w:val="none" w:sz="0" w:space="0" w:color="auto"/>
            <w:left w:val="none" w:sz="0" w:space="0" w:color="auto"/>
            <w:bottom w:val="none" w:sz="0" w:space="0" w:color="auto"/>
            <w:right w:val="none" w:sz="0" w:space="0" w:color="auto"/>
          </w:divBdr>
        </w:div>
        <w:div w:id="800264602">
          <w:marLeft w:val="640"/>
          <w:marRight w:val="0"/>
          <w:marTop w:val="0"/>
          <w:marBottom w:val="0"/>
          <w:divBdr>
            <w:top w:val="none" w:sz="0" w:space="0" w:color="auto"/>
            <w:left w:val="none" w:sz="0" w:space="0" w:color="auto"/>
            <w:bottom w:val="none" w:sz="0" w:space="0" w:color="auto"/>
            <w:right w:val="none" w:sz="0" w:space="0" w:color="auto"/>
          </w:divBdr>
        </w:div>
        <w:div w:id="739013138">
          <w:marLeft w:val="640"/>
          <w:marRight w:val="0"/>
          <w:marTop w:val="0"/>
          <w:marBottom w:val="0"/>
          <w:divBdr>
            <w:top w:val="none" w:sz="0" w:space="0" w:color="auto"/>
            <w:left w:val="none" w:sz="0" w:space="0" w:color="auto"/>
            <w:bottom w:val="none" w:sz="0" w:space="0" w:color="auto"/>
            <w:right w:val="none" w:sz="0" w:space="0" w:color="auto"/>
          </w:divBdr>
        </w:div>
        <w:div w:id="745110363">
          <w:marLeft w:val="640"/>
          <w:marRight w:val="0"/>
          <w:marTop w:val="0"/>
          <w:marBottom w:val="0"/>
          <w:divBdr>
            <w:top w:val="none" w:sz="0" w:space="0" w:color="auto"/>
            <w:left w:val="none" w:sz="0" w:space="0" w:color="auto"/>
            <w:bottom w:val="none" w:sz="0" w:space="0" w:color="auto"/>
            <w:right w:val="none" w:sz="0" w:space="0" w:color="auto"/>
          </w:divBdr>
        </w:div>
        <w:div w:id="1601450175">
          <w:marLeft w:val="640"/>
          <w:marRight w:val="0"/>
          <w:marTop w:val="0"/>
          <w:marBottom w:val="0"/>
          <w:divBdr>
            <w:top w:val="none" w:sz="0" w:space="0" w:color="auto"/>
            <w:left w:val="none" w:sz="0" w:space="0" w:color="auto"/>
            <w:bottom w:val="none" w:sz="0" w:space="0" w:color="auto"/>
            <w:right w:val="none" w:sz="0" w:space="0" w:color="auto"/>
          </w:divBdr>
        </w:div>
        <w:div w:id="292519421">
          <w:marLeft w:val="640"/>
          <w:marRight w:val="0"/>
          <w:marTop w:val="0"/>
          <w:marBottom w:val="0"/>
          <w:divBdr>
            <w:top w:val="none" w:sz="0" w:space="0" w:color="auto"/>
            <w:left w:val="none" w:sz="0" w:space="0" w:color="auto"/>
            <w:bottom w:val="none" w:sz="0" w:space="0" w:color="auto"/>
            <w:right w:val="none" w:sz="0" w:space="0" w:color="auto"/>
          </w:divBdr>
        </w:div>
        <w:div w:id="504898986">
          <w:marLeft w:val="640"/>
          <w:marRight w:val="0"/>
          <w:marTop w:val="0"/>
          <w:marBottom w:val="0"/>
          <w:divBdr>
            <w:top w:val="none" w:sz="0" w:space="0" w:color="auto"/>
            <w:left w:val="none" w:sz="0" w:space="0" w:color="auto"/>
            <w:bottom w:val="none" w:sz="0" w:space="0" w:color="auto"/>
            <w:right w:val="none" w:sz="0" w:space="0" w:color="auto"/>
          </w:divBdr>
        </w:div>
        <w:div w:id="2026714318">
          <w:marLeft w:val="640"/>
          <w:marRight w:val="0"/>
          <w:marTop w:val="0"/>
          <w:marBottom w:val="0"/>
          <w:divBdr>
            <w:top w:val="none" w:sz="0" w:space="0" w:color="auto"/>
            <w:left w:val="none" w:sz="0" w:space="0" w:color="auto"/>
            <w:bottom w:val="none" w:sz="0" w:space="0" w:color="auto"/>
            <w:right w:val="none" w:sz="0" w:space="0" w:color="auto"/>
          </w:divBdr>
        </w:div>
        <w:div w:id="1133718429">
          <w:marLeft w:val="640"/>
          <w:marRight w:val="0"/>
          <w:marTop w:val="0"/>
          <w:marBottom w:val="0"/>
          <w:divBdr>
            <w:top w:val="none" w:sz="0" w:space="0" w:color="auto"/>
            <w:left w:val="none" w:sz="0" w:space="0" w:color="auto"/>
            <w:bottom w:val="none" w:sz="0" w:space="0" w:color="auto"/>
            <w:right w:val="none" w:sz="0" w:space="0" w:color="auto"/>
          </w:divBdr>
        </w:div>
        <w:div w:id="1459181037">
          <w:marLeft w:val="640"/>
          <w:marRight w:val="0"/>
          <w:marTop w:val="0"/>
          <w:marBottom w:val="0"/>
          <w:divBdr>
            <w:top w:val="none" w:sz="0" w:space="0" w:color="auto"/>
            <w:left w:val="none" w:sz="0" w:space="0" w:color="auto"/>
            <w:bottom w:val="none" w:sz="0" w:space="0" w:color="auto"/>
            <w:right w:val="none" w:sz="0" w:space="0" w:color="auto"/>
          </w:divBdr>
        </w:div>
        <w:div w:id="524640568">
          <w:marLeft w:val="640"/>
          <w:marRight w:val="0"/>
          <w:marTop w:val="0"/>
          <w:marBottom w:val="0"/>
          <w:divBdr>
            <w:top w:val="none" w:sz="0" w:space="0" w:color="auto"/>
            <w:left w:val="none" w:sz="0" w:space="0" w:color="auto"/>
            <w:bottom w:val="none" w:sz="0" w:space="0" w:color="auto"/>
            <w:right w:val="none" w:sz="0" w:space="0" w:color="auto"/>
          </w:divBdr>
        </w:div>
        <w:div w:id="859927849">
          <w:marLeft w:val="640"/>
          <w:marRight w:val="0"/>
          <w:marTop w:val="0"/>
          <w:marBottom w:val="0"/>
          <w:divBdr>
            <w:top w:val="none" w:sz="0" w:space="0" w:color="auto"/>
            <w:left w:val="none" w:sz="0" w:space="0" w:color="auto"/>
            <w:bottom w:val="none" w:sz="0" w:space="0" w:color="auto"/>
            <w:right w:val="none" w:sz="0" w:space="0" w:color="auto"/>
          </w:divBdr>
        </w:div>
        <w:div w:id="1141195148">
          <w:marLeft w:val="640"/>
          <w:marRight w:val="0"/>
          <w:marTop w:val="0"/>
          <w:marBottom w:val="0"/>
          <w:divBdr>
            <w:top w:val="none" w:sz="0" w:space="0" w:color="auto"/>
            <w:left w:val="none" w:sz="0" w:space="0" w:color="auto"/>
            <w:bottom w:val="none" w:sz="0" w:space="0" w:color="auto"/>
            <w:right w:val="none" w:sz="0" w:space="0" w:color="auto"/>
          </w:divBdr>
        </w:div>
        <w:div w:id="1623732509">
          <w:marLeft w:val="640"/>
          <w:marRight w:val="0"/>
          <w:marTop w:val="0"/>
          <w:marBottom w:val="0"/>
          <w:divBdr>
            <w:top w:val="none" w:sz="0" w:space="0" w:color="auto"/>
            <w:left w:val="none" w:sz="0" w:space="0" w:color="auto"/>
            <w:bottom w:val="none" w:sz="0" w:space="0" w:color="auto"/>
            <w:right w:val="none" w:sz="0" w:space="0" w:color="auto"/>
          </w:divBdr>
        </w:div>
        <w:div w:id="621959626">
          <w:marLeft w:val="640"/>
          <w:marRight w:val="0"/>
          <w:marTop w:val="0"/>
          <w:marBottom w:val="0"/>
          <w:divBdr>
            <w:top w:val="none" w:sz="0" w:space="0" w:color="auto"/>
            <w:left w:val="none" w:sz="0" w:space="0" w:color="auto"/>
            <w:bottom w:val="none" w:sz="0" w:space="0" w:color="auto"/>
            <w:right w:val="none" w:sz="0" w:space="0" w:color="auto"/>
          </w:divBdr>
        </w:div>
        <w:div w:id="1945140620">
          <w:marLeft w:val="640"/>
          <w:marRight w:val="0"/>
          <w:marTop w:val="0"/>
          <w:marBottom w:val="0"/>
          <w:divBdr>
            <w:top w:val="none" w:sz="0" w:space="0" w:color="auto"/>
            <w:left w:val="none" w:sz="0" w:space="0" w:color="auto"/>
            <w:bottom w:val="none" w:sz="0" w:space="0" w:color="auto"/>
            <w:right w:val="none" w:sz="0" w:space="0" w:color="auto"/>
          </w:divBdr>
        </w:div>
        <w:div w:id="810560759">
          <w:marLeft w:val="640"/>
          <w:marRight w:val="0"/>
          <w:marTop w:val="0"/>
          <w:marBottom w:val="0"/>
          <w:divBdr>
            <w:top w:val="none" w:sz="0" w:space="0" w:color="auto"/>
            <w:left w:val="none" w:sz="0" w:space="0" w:color="auto"/>
            <w:bottom w:val="none" w:sz="0" w:space="0" w:color="auto"/>
            <w:right w:val="none" w:sz="0" w:space="0" w:color="auto"/>
          </w:divBdr>
        </w:div>
        <w:div w:id="2118713781">
          <w:marLeft w:val="640"/>
          <w:marRight w:val="0"/>
          <w:marTop w:val="0"/>
          <w:marBottom w:val="0"/>
          <w:divBdr>
            <w:top w:val="none" w:sz="0" w:space="0" w:color="auto"/>
            <w:left w:val="none" w:sz="0" w:space="0" w:color="auto"/>
            <w:bottom w:val="none" w:sz="0" w:space="0" w:color="auto"/>
            <w:right w:val="none" w:sz="0" w:space="0" w:color="auto"/>
          </w:divBdr>
        </w:div>
        <w:div w:id="665670387">
          <w:marLeft w:val="640"/>
          <w:marRight w:val="0"/>
          <w:marTop w:val="0"/>
          <w:marBottom w:val="0"/>
          <w:divBdr>
            <w:top w:val="none" w:sz="0" w:space="0" w:color="auto"/>
            <w:left w:val="none" w:sz="0" w:space="0" w:color="auto"/>
            <w:bottom w:val="none" w:sz="0" w:space="0" w:color="auto"/>
            <w:right w:val="none" w:sz="0" w:space="0" w:color="auto"/>
          </w:divBdr>
        </w:div>
        <w:div w:id="1284269732">
          <w:marLeft w:val="640"/>
          <w:marRight w:val="0"/>
          <w:marTop w:val="0"/>
          <w:marBottom w:val="0"/>
          <w:divBdr>
            <w:top w:val="none" w:sz="0" w:space="0" w:color="auto"/>
            <w:left w:val="none" w:sz="0" w:space="0" w:color="auto"/>
            <w:bottom w:val="none" w:sz="0" w:space="0" w:color="auto"/>
            <w:right w:val="none" w:sz="0" w:space="0" w:color="auto"/>
          </w:divBdr>
        </w:div>
        <w:div w:id="1935625491">
          <w:marLeft w:val="640"/>
          <w:marRight w:val="0"/>
          <w:marTop w:val="0"/>
          <w:marBottom w:val="0"/>
          <w:divBdr>
            <w:top w:val="none" w:sz="0" w:space="0" w:color="auto"/>
            <w:left w:val="none" w:sz="0" w:space="0" w:color="auto"/>
            <w:bottom w:val="none" w:sz="0" w:space="0" w:color="auto"/>
            <w:right w:val="none" w:sz="0" w:space="0" w:color="auto"/>
          </w:divBdr>
        </w:div>
        <w:div w:id="641737444">
          <w:marLeft w:val="640"/>
          <w:marRight w:val="0"/>
          <w:marTop w:val="0"/>
          <w:marBottom w:val="0"/>
          <w:divBdr>
            <w:top w:val="none" w:sz="0" w:space="0" w:color="auto"/>
            <w:left w:val="none" w:sz="0" w:space="0" w:color="auto"/>
            <w:bottom w:val="none" w:sz="0" w:space="0" w:color="auto"/>
            <w:right w:val="none" w:sz="0" w:space="0" w:color="auto"/>
          </w:divBdr>
        </w:div>
        <w:div w:id="286159873">
          <w:marLeft w:val="640"/>
          <w:marRight w:val="0"/>
          <w:marTop w:val="0"/>
          <w:marBottom w:val="0"/>
          <w:divBdr>
            <w:top w:val="none" w:sz="0" w:space="0" w:color="auto"/>
            <w:left w:val="none" w:sz="0" w:space="0" w:color="auto"/>
            <w:bottom w:val="none" w:sz="0" w:space="0" w:color="auto"/>
            <w:right w:val="none" w:sz="0" w:space="0" w:color="auto"/>
          </w:divBdr>
        </w:div>
        <w:div w:id="397754273">
          <w:marLeft w:val="640"/>
          <w:marRight w:val="0"/>
          <w:marTop w:val="0"/>
          <w:marBottom w:val="0"/>
          <w:divBdr>
            <w:top w:val="none" w:sz="0" w:space="0" w:color="auto"/>
            <w:left w:val="none" w:sz="0" w:space="0" w:color="auto"/>
            <w:bottom w:val="none" w:sz="0" w:space="0" w:color="auto"/>
            <w:right w:val="none" w:sz="0" w:space="0" w:color="auto"/>
          </w:divBdr>
        </w:div>
        <w:div w:id="1134836976">
          <w:marLeft w:val="640"/>
          <w:marRight w:val="0"/>
          <w:marTop w:val="0"/>
          <w:marBottom w:val="0"/>
          <w:divBdr>
            <w:top w:val="none" w:sz="0" w:space="0" w:color="auto"/>
            <w:left w:val="none" w:sz="0" w:space="0" w:color="auto"/>
            <w:bottom w:val="none" w:sz="0" w:space="0" w:color="auto"/>
            <w:right w:val="none" w:sz="0" w:space="0" w:color="auto"/>
          </w:divBdr>
        </w:div>
        <w:div w:id="194853683">
          <w:marLeft w:val="640"/>
          <w:marRight w:val="0"/>
          <w:marTop w:val="0"/>
          <w:marBottom w:val="0"/>
          <w:divBdr>
            <w:top w:val="none" w:sz="0" w:space="0" w:color="auto"/>
            <w:left w:val="none" w:sz="0" w:space="0" w:color="auto"/>
            <w:bottom w:val="none" w:sz="0" w:space="0" w:color="auto"/>
            <w:right w:val="none" w:sz="0" w:space="0" w:color="auto"/>
          </w:divBdr>
        </w:div>
        <w:div w:id="580221158">
          <w:marLeft w:val="640"/>
          <w:marRight w:val="0"/>
          <w:marTop w:val="0"/>
          <w:marBottom w:val="0"/>
          <w:divBdr>
            <w:top w:val="none" w:sz="0" w:space="0" w:color="auto"/>
            <w:left w:val="none" w:sz="0" w:space="0" w:color="auto"/>
            <w:bottom w:val="none" w:sz="0" w:space="0" w:color="auto"/>
            <w:right w:val="none" w:sz="0" w:space="0" w:color="auto"/>
          </w:divBdr>
        </w:div>
        <w:div w:id="2107730841">
          <w:marLeft w:val="640"/>
          <w:marRight w:val="0"/>
          <w:marTop w:val="0"/>
          <w:marBottom w:val="0"/>
          <w:divBdr>
            <w:top w:val="none" w:sz="0" w:space="0" w:color="auto"/>
            <w:left w:val="none" w:sz="0" w:space="0" w:color="auto"/>
            <w:bottom w:val="none" w:sz="0" w:space="0" w:color="auto"/>
            <w:right w:val="none" w:sz="0" w:space="0" w:color="auto"/>
          </w:divBdr>
        </w:div>
        <w:div w:id="892544195">
          <w:marLeft w:val="640"/>
          <w:marRight w:val="0"/>
          <w:marTop w:val="0"/>
          <w:marBottom w:val="0"/>
          <w:divBdr>
            <w:top w:val="none" w:sz="0" w:space="0" w:color="auto"/>
            <w:left w:val="none" w:sz="0" w:space="0" w:color="auto"/>
            <w:bottom w:val="none" w:sz="0" w:space="0" w:color="auto"/>
            <w:right w:val="none" w:sz="0" w:space="0" w:color="auto"/>
          </w:divBdr>
        </w:div>
        <w:div w:id="1860048990">
          <w:marLeft w:val="640"/>
          <w:marRight w:val="0"/>
          <w:marTop w:val="0"/>
          <w:marBottom w:val="0"/>
          <w:divBdr>
            <w:top w:val="none" w:sz="0" w:space="0" w:color="auto"/>
            <w:left w:val="none" w:sz="0" w:space="0" w:color="auto"/>
            <w:bottom w:val="none" w:sz="0" w:space="0" w:color="auto"/>
            <w:right w:val="none" w:sz="0" w:space="0" w:color="auto"/>
          </w:divBdr>
        </w:div>
        <w:div w:id="156963434">
          <w:marLeft w:val="640"/>
          <w:marRight w:val="0"/>
          <w:marTop w:val="0"/>
          <w:marBottom w:val="0"/>
          <w:divBdr>
            <w:top w:val="none" w:sz="0" w:space="0" w:color="auto"/>
            <w:left w:val="none" w:sz="0" w:space="0" w:color="auto"/>
            <w:bottom w:val="none" w:sz="0" w:space="0" w:color="auto"/>
            <w:right w:val="none" w:sz="0" w:space="0" w:color="auto"/>
          </w:divBdr>
        </w:div>
        <w:div w:id="2072344457">
          <w:marLeft w:val="640"/>
          <w:marRight w:val="0"/>
          <w:marTop w:val="0"/>
          <w:marBottom w:val="0"/>
          <w:divBdr>
            <w:top w:val="none" w:sz="0" w:space="0" w:color="auto"/>
            <w:left w:val="none" w:sz="0" w:space="0" w:color="auto"/>
            <w:bottom w:val="none" w:sz="0" w:space="0" w:color="auto"/>
            <w:right w:val="none" w:sz="0" w:space="0" w:color="auto"/>
          </w:divBdr>
        </w:div>
        <w:div w:id="934675741">
          <w:marLeft w:val="640"/>
          <w:marRight w:val="0"/>
          <w:marTop w:val="0"/>
          <w:marBottom w:val="0"/>
          <w:divBdr>
            <w:top w:val="none" w:sz="0" w:space="0" w:color="auto"/>
            <w:left w:val="none" w:sz="0" w:space="0" w:color="auto"/>
            <w:bottom w:val="none" w:sz="0" w:space="0" w:color="auto"/>
            <w:right w:val="none" w:sz="0" w:space="0" w:color="auto"/>
          </w:divBdr>
        </w:div>
        <w:div w:id="245117843">
          <w:marLeft w:val="640"/>
          <w:marRight w:val="0"/>
          <w:marTop w:val="0"/>
          <w:marBottom w:val="0"/>
          <w:divBdr>
            <w:top w:val="none" w:sz="0" w:space="0" w:color="auto"/>
            <w:left w:val="none" w:sz="0" w:space="0" w:color="auto"/>
            <w:bottom w:val="none" w:sz="0" w:space="0" w:color="auto"/>
            <w:right w:val="none" w:sz="0" w:space="0" w:color="auto"/>
          </w:divBdr>
        </w:div>
        <w:div w:id="412364062">
          <w:marLeft w:val="640"/>
          <w:marRight w:val="0"/>
          <w:marTop w:val="0"/>
          <w:marBottom w:val="0"/>
          <w:divBdr>
            <w:top w:val="none" w:sz="0" w:space="0" w:color="auto"/>
            <w:left w:val="none" w:sz="0" w:space="0" w:color="auto"/>
            <w:bottom w:val="none" w:sz="0" w:space="0" w:color="auto"/>
            <w:right w:val="none" w:sz="0" w:space="0" w:color="auto"/>
          </w:divBdr>
        </w:div>
        <w:div w:id="1951011680">
          <w:marLeft w:val="640"/>
          <w:marRight w:val="0"/>
          <w:marTop w:val="0"/>
          <w:marBottom w:val="0"/>
          <w:divBdr>
            <w:top w:val="none" w:sz="0" w:space="0" w:color="auto"/>
            <w:left w:val="none" w:sz="0" w:space="0" w:color="auto"/>
            <w:bottom w:val="none" w:sz="0" w:space="0" w:color="auto"/>
            <w:right w:val="none" w:sz="0" w:space="0" w:color="auto"/>
          </w:divBdr>
        </w:div>
        <w:div w:id="1806969362">
          <w:marLeft w:val="640"/>
          <w:marRight w:val="0"/>
          <w:marTop w:val="0"/>
          <w:marBottom w:val="0"/>
          <w:divBdr>
            <w:top w:val="none" w:sz="0" w:space="0" w:color="auto"/>
            <w:left w:val="none" w:sz="0" w:space="0" w:color="auto"/>
            <w:bottom w:val="none" w:sz="0" w:space="0" w:color="auto"/>
            <w:right w:val="none" w:sz="0" w:space="0" w:color="auto"/>
          </w:divBdr>
        </w:div>
        <w:div w:id="2086798749">
          <w:marLeft w:val="640"/>
          <w:marRight w:val="0"/>
          <w:marTop w:val="0"/>
          <w:marBottom w:val="0"/>
          <w:divBdr>
            <w:top w:val="none" w:sz="0" w:space="0" w:color="auto"/>
            <w:left w:val="none" w:sz="0" w:space="0" w:color="auto"/>
            <w:bottom w:val="none" w:sz="0" w:space="0" w:color="auto"/>
            <w:right w:val="none" w:sz="0" w:space="0" w:color="auto"/>
          </w:divBdr>
        </w:div>
        <w:div w:id="630088504">
          <w:marLeft w:val="640"/>
          <w:marRight w:val="0"/>
          <w:marTop w:val="0"/>
          <w:marBottom w:val="0"/>
          <w:divBdr>
            <w:top w:val="none" w:sz="0" w:space="0" w:color="auto"/>
            <w:left w:val="none" w:sz="0" w:space="0" w:color="auto"/>
            <w:bottom w:val="none" w:sz="0" w:space="0" w:color="auto"/>
            <w:right w:val="none" w:sz="0" w:space="0" w:color="auto"/>
          </w:divBdr>
        </w:div>
        <w:div w:id="358551411">
          <w:marLeft w:val="640"/>
          <w:marRight w:val="0"/>
          <w:marTop w:val="0"/>
          <w:marBottom w:val="0"/>
          <w:divBdr>
            <w:top w:val="none" w:sz="0" w:space="0" w:color="auto"/>
            <w:left w:val="none" w:sz="0" w:space="0" w:color="auto"/>
            <w:bottom w:val="none" w:sz="0" w:space="0" w:color="auto"/>
            <w:right w:val="none" w:sz="0" w:space="0" w:color="auto"/>
          </w:divBdr>
        </w:div>
        <w:div w:id="90007326">
          <w:marLeft w:val="640"/>
          <w:marRight w:val="0"/>
          <w:marTop w:val="0"/>
          <w:marBottom w:val="0"/>
          <w:divBdr>
            <w:top w:val="none" w:sz="0" w:space="0" w:color="auto"/>
            <w:left w:val="none" w:sz="0" w:space="0" w:color="auto"/>
            <w:bottom w:val="none" w:sz="0" w:space="0" w:color="auto"/>
            <w:right w:val="none" w:sz="0" w:space="0" w:color="auto"/>
          </w:divBdr>
        </w:div>
        <w:div w:id="563371451">
          <w:marLeft w:val="640"/>
          <w:marRight w:val="0"/>
          <w:marTop w:val="0"/>
          <w:marBottom w:val="0"/>
          <w:divBdr>
            <w:top w:val="none" w:sz="0" w:space="0" w:color="auto"/>
            <w:left w:val="none" w:sz="0" w:space="0" w:color="auto"/>
            <w:bottom w:val="none" w:sz="0" w:space="0" w:color="auto"/>
            <w:right w:val="none" w:sz="0" w:space="0" w:color="auto"/>
          </w:divBdr>
        </w:div>
        <w:div w:id="1103383954">
          <w:marLeft w:val="640"/>
          <w:marRight w:val="0"/>
          <w:marTop w:val="0"/>
          <w:marBottom w:val="0"/>
          <w:divBdr>
            <w:top w:val="none" w:sz="0" w:space="0" w:color="auto"/>
            <w:left w:val="none" w:sz="0" w:space="0" w:color="auto"/>
            <w:bottom w:val="none" w:sz="0" w:space="0" w:color="auto"/>
            <w:right w:val="none" w:sz="0" w:space="0" w:color="auto"/>
          </w:divBdr>
        </w:div>
        <w:div w:id="778991396">
          <w:marLeft w:val="640"/>
          <w:marRight w:val="0"/>
          <w:marTop w:val="0"/>
          <w:marBottom w:val="0"/>
          <w:divBdr>
            <w:top w:val="none" w:sz="0" w:space="0" w:color="auto"/>
            <w:left w:val="none" w:sz="0" w:space="0" w:color="auto"/>
            <w:bottom w:val="none" w:sz="0" w:space="0" w:color="auto"/>
            <w:right w:val="none" w:sz="0" w:space="0" w:color="auto"/>
          </w:divBdr>
        </w:div>
        <w:div w:id="1435126816">
          <w:marLeft w:val="640"/>
          <w:marRight w:val="0"/>
          <w:marTop w:val="0"/>
          <w:marBottom w:val="0"/>
          <w:divBdr>
            <w:top w:val="none" w:sz="0" w:space="0" w:color="auto"/>
            <w:left w:val="none" w:sz="0" w:space="0" w:color="auto"/>
            <w:bottom w:val="none" w:sz="0" w:space="0" w:color="auto"/>
            <w:right w:val="none" w:sz="0" w:space="0" w:color="auto"/>
          </w:divBdr>
        </w:div>
        <w:div w:id="965546738">
          <w:marLeft w:val="640"/>
          <w:marRight w:val="0"/>
          <w:marTop w:val="0"/>
          <w:marBottom w:val="0"/>
          <w:divBdr>
            <w:top w:val="none" w:sz="0" w:space="0" w:color="auto"/>
            <w:left w:val="none" w:sz="0" w:space="0" w:color="auto"/>
            <w:bottom w:val="none" w:sz="0" w:space="0" w:color="auto"/>
            <w:right w:val="none" w:sz="0" w:space="0" w:color="auto"/>
          </w:divBdr>
        </w:div>
        <w:div w:id="1090809453">
          <w:marLeft w:val="640"/>
          <w:marRight w:val="0"/>
          <w:marTop w:val="0"/>
          <w:marBottom w:val="0"/>
          <w:divBdr>
            <w:top w:val="none" w:sz="0" w:space="0" w:color="auto"/>
            <w:left w:val="none" w:sz="0" w:space="0" w:color="auto"/>
            <w:bottom w:val="none" w:sz="0" w:space="0" w:color="auto"/>
            <w:right w:val="none" w:sz="0" w:space="0" w:color="auto"/>
          </w:divBdr>
        </w:div>
        <w:div w:id="697125180">
          <w:marLeft w:val="640"/>
          <w:marRight w:val="0"/>
          <w:marTop w:val="0"/>
          <w:marBottom w:val="0"/>
          <w:divBdr>
            <w:top w:val="none" w:sz="0" w:space="0" w:color="auto"/>
            <w:left w:val="none" w:sz="0" w:space="0" w:color="auto"/>
            <w:bottom w:val="none" w:sz="0" w:space="0" w:color="auto"/>
            <w:right w:val="none" w:sz="0" w:space="0" w:color="auto"/>
          </w:divBdr>
        </w:div>
        <w:div w:id="1436444553">
          <w:marLeft w:val="640"/>
          <w:marRight w:val="0"/>
          <w:marTop w:val="0"/>
          <w:marBottom w:val="0"/>
          <w:divBdr>
            <w:top w:val="none" w:sz="0" w:space="0" w:color="auto"/>
            <w:left w:val="none" w:sz="0" w:space="0" w:color="auto"/>
            <w:bottom w:val="none" w:sz="0" w:space="0" w:color="auto"/>
            <w:right w:val="none" w:sz="0" w:space="0" w:color="auto"/>
          </w:divBdr>
        </w:div>
        <w:div w:id="402680370">
          <w:marLeft w:val="640"/>
          <w:marRight w:val="0"/>
          <w:marTop w:val="0"/>
          <w:marBottom w:val="0"/>
          <w:divBdr>
            <w:top w:val="none" w:sz="0" w:space="0" w:color="auto"/>
            <w:left w:val="none" w:sz="0" w:space="0" w:color="auto"/>
            <w:bottom w:val="none" w:sz="0" w:space="0" w:color="auto"/>
            <w:right w:val="none" w:sz="0" w:space="0" w:color="auto"/>
          </w:divBdr>
        </w:div>
        <w:div w:id="1612783744">
          <w:marLeft w:val="640"/>
          <w:marRight w:val="0"/>
          <w:marTop w:val="0"/>
          <w:marBottom w:val="0"/>
          <w:divBdr>
            <w:top w:val="none" w:sz="0" w:space="0" w:color="auto"/>
            <w:left w:val="none" w:sz="0" w:space="0" w:color="auto"/>
            <w:bottom w:val="none" w:sz="0" w:space="0" w:color="auto"/>
            <w:right w:val="none" w:sz="0" w:space="0" w:color="auto"/>
          </w:divBdr>
        </w:div>
        <w:div w:id="1511607141">
          <w:marLeft w:val="640"/>
          <w:marRight w:val="0"/>
          <w:marTop w:val="0"/>
          <w:marBottom w:val="0"/>
          <w:divBdr>
            <w:top w:val="none" w:sz="0" w:space="0" w:color="auto"/>
            <w:left w:val="none" w:sz="0" w:space="0" w:color="auto"/>
            <w:bottom w:val="none" w:sz="0" w:space="0" w:color="auto"/>
            <w:right w:val="none" w:sz="0" w:space="0" w:color="auto"/>
          </w:divBdr>
        </w:div>
        <w:div w:id="122698787">
          <w:marLeft w:val="640"/>
          <w:marRight w:val="0"/>
          <w:marTop w:val="0"/>
          <w:marBottom w:val="0"/>
          <w:divBdr>
            <w:top w:val="none" w:sz="0" w:space="0" w:color="auto"/>
            <w:left w:val="none" w:sz="0" w:space="0" w:color="auto"/>
            <w:bottom w:val="none" w:sz="0" w:space="0" w:color="auto"/>
            <w:right w:val="none" w:sz="0" w:space="0" w:color="auto"/>
          </w:divBdr>
        </w:div>
        <w:div w:id="434448012">
          <w:marLeft w:val="640"/>
          <w:marRight w:val="0"/>
          <w:marTop w:val="0"/>
          <w:marBottom w:val="0"/>
          <w:divBdr>
            <w:top w:val="none" w:sz="0" w:space="0" w:color="auto"/>
            <w:left w:val="none" w:sz="0" w:space="0" w:color="auto"/>
            <w:bottom w:val="none" w:sz="0" w:space="0" w:color="auto"/>
            <w:right w:val="none" w:sz="0" w:space="0" w:color="auto"/>
          </w:divBdr>
        </w:div>
        <w:div w:id="1334524876">
          <w:marLeft w:val="640"/>
          <w:marRight w:val="0"/>
          <w:marTop w:val="0"/>
          <w:marBottom w:val="0"/>
          <w:divBdr>
            <w:top w:val="none" w:sz="0" w:space="0" w:color="auto"/>
            <w:left w:val="none" w:sz="0" w:space="0" w:color="auto"/>
            <w:bottom w:val="none" w:sz="0" w:space="0" w:color="auto"/>
            <w:right w:val="none" w:sz="0" w:space="0" w:color="auto"/>
          </w:divBdr>
        </w:div>
        <w:div w:id="258951560">
          <w:marLeft w:val="640"/>
          <w:marRight w:val="0"/>
          <w:marTop w:val="0"/>
          <w:marBottom w:val="0"/>
          <w:divBdr>
            <w:top w:val="none" w:sz="0" w:space="0" w:color="auto"/>
            <w:left w:val="none" w:sz="0" w:space="0" w:color="auto"/>
            <w:bottom w:val="none" w:sz="0" w:space="0" w:color="auto"/>
            <w:right w:val="none" w:sz="0" w:space="0" w:color="auto"/>
          </w:divBdr>
        </w:div>
        <w:div w:id="16003424">
          <w:marLeft w:val="640"/>
          <w:marRight w:val="0"/>
          <w:marTop w:val="0"/>
          <w:marBottom w:val="0"/>
          <w:divBdr>
            <w:top w:val="none" w:sz="0" w:space="0" w:color="auto"/>
            <w:left w:val="none" w:sz="0" w:space="0" w:color="auto"/>
            <w:bottom w:val="none" w:sz="0" w:space="0" w:color="auto"/>
            <w:right w:val="none" w:sz="0" w:space="0" w:color="auto"/>
          </w:divBdr>
        </w:div>
        <w:div w:id="1646201268">
          <w:marLeft w:val="640"/>
          <w:marRight w:val="0"/>
          <w:marTop w:val="0"/>
          <w:marBottom w:val="0"/>
          <w:divBdr>
            <w:top w:val="none" w:sz="0" w:space="0" w:color="auto"/>
            <w:left w:val="none" w:sz="0" w:space="0" w:color="auto"/>
            <w:bottom w:val="none" w:sz="0" w:space="0" w:color="auto"/>
            <w:right w:val="none" w:sz="0" w:space="0" w:color="auto"/>
          </w:divBdr>
        </w:div>
        <w:div w:id="1113013620">
          <w:marLeft w:val="640"/>
          <w:marRight w:val="0"/>
          <w:marTop w:val="0"/>
          <w:marBottom w:val="0"/>
          <w:divBdr>
            <w:top w:val="none" w:sz="0" w:space="0" w:color="auto"/>
            <w:left w:val="none" w:sz="0" w:space="0" w:color="auto"/>
            <w:bottom w:val="none" w:sz="0" w:space="0" w:color="auto"/>
            <w:right w:val="none" w:sz="0" w:space="0" w:color="auto"/>
          </w:divBdr>
        </w:div>
        <w:div w:id="1394155493">
          <w:marLeft w:val="640"/>
          <w:marRight w:val="0"/>
          <w:marTop w:val="0"/>
          <w:marBottom w:val="0"/>
          <w:divBdr>
            <w:top w:val="none" w:sz="0" w:space="0" w:color="auto"/>
            <w:left w:val="none" w:sz="0" w:space="0" w:color="auto"/>
            <w:bottom w:val="none" w:sz="0" w:space="0" w:color="auto"/>
            <w:right w:val="none" w:sz="0" w:space="0" w:color="auto"/>
          </w:divBdr>
        </w:div>
        <w:div w:id="1527912691">
          <w:marLeft w:val="640"/>
          <w:marRight w:val="0"/>
          <w:marTop w:val="0"/>
          <w:marBottom w:val="0"/>
          <w:divBdr>
            <w:top w:val="none" w:sz="0" w:space="0" w:color="auto"/>
            <w:left w:val="none" w:sz="0" w:space="0" w:color="auto"/>
            <w:bottom w:val="none" w:sz="0" w:space="0" w:color="auto"/>
            <w:right w:val="none" w:sz="0" w:space="0" w:color="auto"/>
          </w:divBdr>
        </w:div>
        <w:div w:id="522523791">
          <w:marLeft w:val="640"/>
          <w:marRight w:val="0"/>
          <w:marTop w:val="0"/>
          <w:marBottom w:val="0"/>
          <w:divBdr>
            <w:top w:val="none" w:sz="0" w:space="0" w:color="auto"/>
            <w:left w:val="none" w:sz="0" w:space="0" w:color="auto"/>
            <w:bottom w:val="none" w:sz="0" w:space="0" w:color="auto"/>
            <w:right w:val="none" w:sz="0" w:space="0" w:color="auto"/>
          </w:divBdr>
        </w:div>
        <w:div w:id="503863666">
          <w:marLeft w:val="640"/>
          <w:marRight w:val="0"/>
          <w:marTop w:val="0"/>
          <w:marBottom w:val="0"/>
          <w:divBdr>
            <w:top w:val="none" w:sz="0" w:space="0" w:color="auto"/>
            <w:left w:val="none" w:sz="0" w:space="0" w:color="auto"/>
            <w:bottom w:val="none" w:sz="0" w:space="0" w:color="auto"/>
            <w:right w:val="none" w:sz="0" w:space="0" w:color="auto"/>
          </w:divBdr>
        </w:div>
        <w:div w:id="1826702023">
          <w:marLeft w:val="640"/>
          <w:marRight w:val="0"/>
          <w:marTop w:val="0"/>
          <w:marBottom w:val="0"/>
          <w:divBdr>
            <w:top w:val="none" w:sz="0" w:space="0" w:color="auto"/>
            <w:left w:val="none" w:sz="0" w:space="0" w:color="auto"/>
            <w:bottom w:val="none" w:sz="0" w:space="0" w:color="auto"/>
            <w:right w:val="none" w:sz="0" w:space="0" w:color="auto"/>
          </w:divBdr>
        </w:div>
        <w:div w:id="491717529">
          <w:marLeft w:val="640"/>
          <w:marRight w:val="0"/>
          <w:marTop w:val="0"/>
          <w:marBottom w:val="0"/>
          <w:divBdr>
            <w:top w:val="none" w:sz="0" w:space="0" w:color="auto"/>
            <w:left w:val="none" w:sz="0" w:space="0" w:color="auto"/>
            <w:bottom w:val="none" w:sz="0" w:space="0" w:color="auto"/>
            <w:right w:val="none" w:sz="0" w:space="0" w:color="auto"/>
          </w:divBdr>
        </w:div>
        <w:div w:id="1945109064">
          <w:marLeft w:val="640"/>
          <w:marRight w:val="0"/>
          <w:marTop w:val="0"/>
          <w:marBottom w:val="0"/>
          <w:divBdr>
            <w:top w:val="none" w:sz="0" w:space="0" w:color="auto"/>
            <w:left w:val="none" w:sz="0" w:space="0" w:color="auto"/>
            <w:bottom w:val="none" w:sz="0" w:space="0" w:color="auto"/>
            <w:right w:val="none" w:sz="0" w:space="0" w:color="auto"/>
          </w:divBdr>
        </w:div>
        <w:div w:id="571893583">
          <w:marLeft w:val="640"/>
          <w:marRight w:val="0"/>
          <w:marTop w:val="0"/>
          <w:marBottom w:val="0"/>
          <w:divBdr>
            <w:top w:val="none" w:sz="0" w:space="0" w:color="auto"/>
            <w:left w:val="none" w:sz="0" w:space="0" w:color="auto"/>
            <w:bottom w:val="none" w:sz="0" w:space="0" w:color="auto"/>
            <w:right w:val="none" w:sz="0" w:space="0" w:color="auto"/>
          </w:divBdr>
        </w:div>
        <w:div w:id="1836914200">
          <w:marLeft w:val="640"/>
          <w:marRight w:val="0"/>
          <w:marTop w:val="0"/>
          <w:marBottom w:val="0"/>
          <w:divBdr>
            <w:top w:val="none" w:sz="0" w:space="0" w:color="auto"/>
            <w:left w:val="none" w:sz="0" w:space="0" w:color="auto"/>
            <w:bottom w:val="none" w:sz="0" w:space="0" w:color="auto"/>
            <w:right w:val="none" w:sz="0" w:space="0" w:color="auto"/>
          </w:divBdr>
        </w:div>
        <w:div w:id="170992051">
          <w:marLeft w:val="640"/>
          <w:marRight w:val="0"/>
          <w:marTop w:val="0"/>
          <w:marBottom w:val="0"/>
          <w:divBdr>
            <w:top w:val="none" w:sz="0" w:space="0" w:color="auto"/>
            <w:left w:val="none" w:sz="0" w:space="0" w:color="auto"/>
            <w:bottom w:val="none" w:sz="0" w:space="0" w:color="auto"/>
            <w:right w:val="none" w:sz="0" w:space="0" w:color="auto"/>
          </w:divBdr>
        </w:div>
        <w:div w:id="51931858">
          <w:marLeft w:val="640"/>
          <w:marRight w:val="0"/>
          <w:marTop w:val="0"/>
          <w:marBottom w:val="0"/>
          <w:divBdr>
            <w:top w:val="none" w:sz="0" w:space="0" w:color="auto"/>
            <w:left w:val="none" w:sz="0" w:space="0" w:color="auto"/>
            <w:bottom w:val="none" w:sz="0" w:space="0" w:color="auto"/>
            <w:right w:val="none" w:sz="0" w:space="0" w:color="auto"/>
          </w:divBdr>
        </w:div>
        <w:div w:id="130907110">
          <w:marLeft w:val="640"/>
          <w:marRight w:val="0"/>
          <w:marTop w:val="0"/>
          <w:marBottom w:val="0"/>
          <w:divBdr>
            <w:top w:val="none" w:sz="0" w:space="0" w:color="auto"/>
            <w:left w:val="none" w:sz="0" w:space="0" w:color="auto"/>
            <w:bottom w:val="none" w:sz="0" w:space="0" w:color="auto"/>
            <w:right w:val="none" w:sz="0" w:space="0" w:color="auto"/>
          </w:divBdr>
        </w:div>
        <w:div w:id="1518739982">
          <w:marLeft w:val="640"/>
          <w:marRight w:val="0"/>
          <w:marTop w:val="0"/>
          <w:marBottom w:val="0"/>
          <w:divBdr>
            <w:top w:val="none" w:sz="0" w:space="0" w:color="auto"/>
            <w:left w:val="none" w:sz="0" w:space="0" w:color="auto"/>
            <w:bottom w:val="none" w:sz="0" w:space="0" w:color="auto"/>
            <w:right w:val="none" w:sz="0" w:space="0" w:color="auto"/>
          </w:divBdr>
        </w:div>
        <w:div w:id="604845314">
          <w:marLeft w:val="640"/>
          <w:marRight w:val="0"/>
          <w:marTop w:val="0"/>
          <w:marBottom w:val="0"/>
          <w:divBdr>
            <w:top w:val="none" w:sz="0" w:space="0" w:color="auto"/>
            <w:left w:val="none" w:sz="0" w:space="0" w:color="auto"/>
            <w:bottom w:val="none" w:sz="0" w:space="0" w:color="auto"/>
            <w:right w:val="none" w:sz="0" w:space="0" w:color="auto"/>
          </w:divBdr>
        </w:div>
        <w:div w:id="292561410">
          <w:marLeft w:val="640"/>
          <w:marRight w:val="0"/>
          <w:marTop w:val="0"/>
          <w:marBottom w:val="0"/>
          <w:divBdr>
            <w:top w:val="none" w:sz="0" w:space="0" w:color="auto"/>
            <w:left w:val="none" w:sz="0" w:space="0" w:color="auto"/>
            <w:bottom w:val="none" w:sz="0" w:space="0" w:color="auto"/>
            <w:right w:val="none" w:sz="0" w:space="0" w:color="auto"/>
          </w:divBdr>
        </w:div>
        <w:div w:id="1839268339">
          <w:marLeft w:val="640"/>
          <w:marRight w:val="0"/>
          <w:marTop w:val="0"/>
          <w:marBottom w:val="0"/>
          <w:divBdr>
            <w:top w:val="none" w:sz="0" w:space="0" w:color="auto"/>
            <w:left w:val="none" w:sz="0" w:space="0" w:color="auto"/>
            <w:bottom w:val="none" w:sz="0" w:space="0" w:color="auto"/>
            <w:right w:val="none" w:sz="0" w:space="0" w:color="auto"/>
          </w:divBdr>
        </w:div>
        <w:div w:id="1604143085">
          <w:marLeft w:val="640"/>
          <w:marRight w:val="0"/>
          <w:marTop w:val="0"/>
          <w:marBottom w:val="0"/>
          <w:divBdr>
            <w:top w:val="none" w:sz="0" w:space="0" w:color="auto"/>
            <w:left w:val="none" w:sz="0" w:space="0" w:color="auto"/>
            <w:bottom w:val="none" w:sz="0" w:space="0" w:color="auto"/>
            <w:right w:val="none" w:sz="0" w:space="0" w:color="auto"/>
          </w:divBdr>
        </w:div>
        <w:div w:id="1376780969">
          <w:marLeft w:val="640"/>
          <w:marRight w:val="0"/>
          <w:marTop w:val="0"/>
          <w:marBottom w:val="0"/>
          <w:divBdr>
            <w:top w:val="none" w:sz="0" w:space="0" w:color="auto"/>
            <w:left w:val="none" w:sz="0" w:space="0" w:color="auto"/>
            <w:bottom w:val="none" w:sz="0" w:space="0" w:color="auto"/>
            <w:right w:val="none" w:sz="0" w:space="0" w:color="auto"/>
          </w:divBdr>
        </w:div>
        <w:div w:id="423041768">
          <w:marLeft w:val="640"/>
          <w:marRight w:val="0"/>
          <w:marTop w:val="0"/>
          <w:marBottom w:val="0"/>
          <w:divBdr>
            <w:top w:val="none" w:sz="0" w:space="0" w:color="auto"/>
            <w:left w:val="none" w:sz="0" w:space="0" w:color="auto"/>
            <w:bottom w:val="none" w:sz="0" w:space="0" w:color="auto"/>
            <w:right w:val="none" w:sz="0" w:space="0" w:color="auto"/>
          </w:divBdr>
        </w:div>
        <w:div w:id="794953568">
          <w:marLeft w:val="640"/>
          <w:marRight w:val="0"/>
          <w:marTop w:val="0"/>
          <w:marBottom w:val="0"/>
          <w:divBdr>
            <w:top w:val="none" w:sz="0" w:space="0" w:color="auto"/>
            <w:left w:val="none" w:sz="0" w:space="0" w:color="auto"/>
            <w:bottom w:val="none" w:sz="0" w:space="0" w:color="auto"/>
            <w:right w:val="none" w:sz="0" w:space="0" w:color="auto"/>
          </w:divBdr>
        </w:div>
        <w:div w:id="1737362550">
          <w:marLeft w:val="640"/>
          <w:marRight w:val="0"/>
          <w:marTop w:val="0"/>
          <w:marBottom w:val="0"/>
          <w:divBdr>
            <w:top w:val="none" w:sz="0" w:space="0" w:color="auto"/>
            <w:left w:val="none" w:sz="0" w:space="0" w:color="auto"/>
            <w:bottom w:val="none" w:sz="0" w:space="0" w:color="auto"/>
            <w:right w:val="none" w:sz="0" w:space="0" w:color="auto"/>
          </w:divBdr>
        </w:div>
        <w:div w:id="434373451">
          <w:marLeft w:val="640"/>
          <w:marRight w:val="0"/>
          <w:marTop w:val="0"/>
          <w:marBottom w:val="0"/>
          <w:divBdr>
            <w:top w:val="none" w:sz="0" w:space="0" w:color="auto"/>
            <w:left w:val="none" w:sz="0" w:space="0" w:color="auto"/>
            <w:bottom w:val="none" w:sz="0" w:space="0" w:color="auto"/>
            <w:right w:val="none" w:sz="0" w:space="0" w:color="auto"/>
          </w:divBdr>
        </w:div>
        <w:div w:id="1510675318">
          <w:marLeft w:val="640"/>
          <w:marRight w:val="0"/>
          <w:marTop w:val="0"/>
          <w:marBottom w:val="0"/>
          <w:divBdr>
            <w:top w:val="none" w:sz="0" w:space="0" w:color="auto"/>
            <w:left w:val="none" w:sz="0" w:space="0" w:color="auto"/>
            <w:bottom w:val="none" w:sz="0" w:space="0" w:color="auto"/>
            <w:right w:val="none" w:sz="0" w:space="0" w:color="auto"/>
          </w:divBdr>
        </w:div>
        <w:div w:id="1486975058">
          <w:marLeft w:val="640"/>
          <w:marRight w:val="0"/>
          <w:marTop w:val="0"/>
          <w:marBottom w:val="0"/>
          <w:divBdr>
            <w:top w:val="none" w:sz="0" w:space="0" w:color="auto"/>
            <w:left w:val="none" w:sz="0" w:space="0" w:color="auto"/>
            <w:bottom w:val="none" w:sz="0" w:space="0" w:color="auto"/>
            <w:right w:val="none" w:sz="0" w:space="0" w:color="auto"/>
          </w:divBdr>
        </w:div>
        <w:div w:id="680862676">
          <w:marLeft w:val="640"/>
          <w:marRight w:val="0"/>
          <w:marTop w:val="0"/>
          <w:marBottom w:val="0"/>
          <w:divBdr>
            <w:top w:val="none" w:sz="0" w:space="0" w:color="auto"/>
            <w:left w:val="none" w:sz="0" w:space="0" w:color="auto"/>
            <w:bottom w:val="none" w:sz="0" w:space="0" w:color="auto"/>
            <w:right w:val="none" w:sz="0" w:space="0" w:color="auto"/>
          </w:divBdr>
        </w:div>
        <w:div w:id="437677212">
          <w:marLeft w:val="640"/>
          <w:marRight w:val="0"/>
          <w:marTop w:val="0"/>
          <w:marBottom w:val="0"/>
          <w:divBdr>
            <w:top w:val="none" w:sz="0" w:space="0" w:color="auto"/>
            <w:left w:val="none" w:sz="0" w:space="0" w:color="auto"/>
            <w:bottom w:val="none" w:sz="0" w:space="0" w:color="auto"/>
            <w:right w:val="none" w:sz="0" w:space="0" w:color="auto"/>
          </w:divBdr>
        </w:div>
        <w:div w:id="1929464074">
          <w:marLeft w:val="640"/>
          <w:marRight w:val="0"/>
          <w:marTop w:val="0"/>
          <w:marBottom w:val="0"/>
          <w:divBdr>
            <w:top w:val="none" w:sz="0" w:space="0" w:color="auto"/>
            <w:left w:val="none" w:sz="0" w:space="0" w:color="auto"/>
            <w:bottom w:val="none" w:sz="0" w:space="0" w:color="auto"/>
            <w:right w:val="none" w:sz="0" w:space="0" w:color="auto"/>
          </w:divBdr>
        </w:div>
        <w:div w:id="1435134142">
          <w:marLeft w:val="640"/>
          <w:marRight w:val="0"/>
          <w:marTop w:val="0"/>
          <w:marBottom w:val="0"/>
          <w:divBdr>
            <w:top w:val="none" w:sz="0" w:space="0" w:color="auto"/>
            <w:left w:val="none" w:sz="0" w:space="0" w:color="auto"/>
            <w:bottom w:val="none" w:sz="0" w:space="0" w:color="auto"/>
            <w:right w:val="none" w:sz="0" w:space="0" w:color="auto"/>
          </w:divBdr>
        </w:div>
        <w:div w:id="487744693">
          <w:marLeft w:val="640"/>
          <w:marRight w:val="0"/>
          <w:marTop w:val="0"/>
          <w:marBottom w:val="0"/>
          <w:divBdr>
            <w:top w:val="none" w:sz="0" w:space="0" w:color="auto"/>
            <w:left w:val="none" w:sz="0" w:space="0" w:color="auto"/>
            <w:bottom w:val="none" w:sz="0" w:space="0" w:color="auto"/>
            <w:right w:val="none" w:sz="0" w:space="0" w:color="auto"/>
          </w:divBdr>
        </w:div>
        <w:div w:id="1485582087">
          <w:marLeft w:val="640"/>
          <w:marRight w:val="0"/>
          <w:marTop w:val="0"/>
          <w:marBottom w:val="0"/>
          <w:divBdr>
            <w:top w:val="none" w:sz="0" w:space="0" w:color="auto"/>
            <w:left w:val="none" w:sz="0" w:space="0" w:color="auto"/>
            <w:bottom w:val="none" w:sz="0" w:space="0" w:color="auto"/>
            <w:right w:val="none" w:sz="0" w:space="0" w:color="auto"/>
          </w:divBdr>
        </w:div>
        <w:div w:id="86387945">
          <w:marLeft w:val="640"/>
          <w:marRight w:val="0"/>
          <w:marTop w:val="0"/>
          <w:marBottom w:val="0"/>
          <w:divBdr>
            <w:top w:val="none" w:sz="0" w:space="0" w:color="auto"/>
            <w:left w:val="none" w:sz="0" w:space="0" w:color="auto"/>
            <w:bottom w:val="none" w:sz="0" w:space="0" w:color="auto"/>
            <w:right w:val="none" w:sz="0" w:space="0" w:color="auto"/>
          </w:divBdr>
        </w:div>
        <w:div w:id="1093630768">
          <w:marLeft w:val="640"/>
          <w:marRight w:val="0"/>
          <w:marTop w:val="0"/>
          <w:marBottom w:val="0"/>
          <w:divBdr>
            <w:top w:val="none" w:sz="0" w:space="0" w:color="auto"/>
            <w:left w:val="none" w:sz="0" w:space="0" w:color="auto"/>
            <w:bottom w:val="none" w:sz="0" w:space="0" w:color="auto"/>
            <w:right w:val="none" w:sz="0" w:space="0" w:color="auto"/>
          </w:divBdr>
        </w:div>
        <w:div w:id="1984582315">
          <w:marLeft w:val="640"/>
          <w:marRight w:val="0"/>
          <w:marTop w:val="0"/>
          <w:marBottom w:val="0"/>
          <w:divBdr>
            <w:top w:val="none" w:sz="0" w:space="0" w:color="auto"/>
            <w:left w:val="none" w:sz="0" w:space="0" w:color="auto"/>
            <w:bottom w:val="none" w:sz="0" w:space="0" w:color="auto"/>
            <w:right w:val="none" w:sz="0" w:space="0" w:color="auto"/>
          </w:divBdr>
        </w:div>
      </w:divsChild>
    </w:div>
    <w:div w:id="789781936">
      <w:bodyDiv w:val="1"/>
      <w:marLeft w:val="0"/>
      <w:marRight w:val="0"/>
      <w:marTop w:val="0"/>
      <w:marBottom w:val="0"/>
      <w:divBdr>
        <w:top w:val="none" w:sz="0" w:space="0" w:color="auto"/>
        <w:left w:val="none" w:sz="0" w:space="0" w:color="auto"/>
        <w:bottom w:val="none" w:sz="0" w:space="0" w:color="auto"/>
        <w:right w:val="none" w:sz="0" w:space="0" w:color="auto"/>
      </w:divBdr>
      <w:divsChild>
        <w:div w:id="1649939353">
          <w:marLeft w:val="640"/>
          <w:marRight w:val="0"/>
          <w:marTop w:val="0"/>
          <w:marBottom w:val="0"/>
          <w:divBdr>
            <w:top w:val="none" w:sz="0" w:space="0" w:color="auto"/>
            <w:left w:val="none" w:sz="0" w:space="0" w:color="auto"/>
            <w:bottom w:val="none" w:sz="0" w:space="0" w:color="auto"/>
            <w:right w:val="none" w:sz="0" w:space="0" w:color="auto"/>
          </w:divBdr>
        </w:div>
        <w:div w:id="1754234626">
          <w:marLeft w:val="640"/>
          <w:marRight w:val="0"/>
          <w:marTop w:val="0"/>
          <w:marBottom w:val="0"/>
          <w:divBdr>
            <w:top w:val="none" w:sz="0" w:space="0" w:color="auto"/>
            <w:left w:val="none" w:sz="0" w:space="0" w:color="auto"/>
            <w:bottom w:val="none" w:sz="0" w:space="0" w:color="auto"/>
            <w:right w:val="none" w:sz="0" w:space="0" w:color="auto"/>
          </w:divBdr>
        </w:div>
        <w:div w:id="330184353">
          <w:marLeft w:val="640"/>
          <w:marRight w:val="0"/>
          <w:marTop w:val="0"/>
          <w:marBottom w:val="0"/>
          <w:divBdr>
            <w:top w:val="none" w:sz="0" w:space="0" w:color="auto"/>
            <w:left w:val="none" w:sz="0" w:space="0" w:color="auto"/>
            <w:bottom w:val="none" w:sz="0" w:space="0" w:color="auto"/>
            <w:right w:val="none" w:sz="0" w:space="0" w:color="auto"/>
          </w:divBdr>
        </w:div>
        <w:div w:id="2034727135">
          <w:marLeft w:val="640"/>
          <w:marRight w:val="0"/>
          <w:marTop w:val="0"/>
          <w:marBottom w:val="0"/>
          <w:divBdr>
            <w:top w:val="none" w:sz="0" w:space="0" w:color="auto"/>
            <w:left w:val="none" w:sz="0" w:space="0" w:color="auto"/>
            <w:bottom w:val="none" w:sz="0" w:space="0" w:color="auto"/>
            <w:right w:val="none" w:sz="0" w:space="0" w:color="auto"/>
          </w:divBdr>
        </w:div>
        <w:div w:id="1627539887">
          <w:marLeft w:val="640"/>
          <w:marRight w:val="0"/>
          <w:marTop w:val="0"/>
          <w:marBottom w:val="0"/>
          <w:divBdr>
            <w:top w:val="none" w:sz="0" w:space="0" w:color="auto"/>
            <w:left w:val="none" w:sz="0" w:space="0" w:color="auto"/>
            <w:bottom w:val="none" w:sz="0" w:space="0" w:color="auto"/>
            <w:right w:val="none" w:sz="0" w:space="0" w:color="auto"/>
          </w:divBdr>
        </w:div>
        <w:div w:id="167016713">
          <w:marLeft w:val="640"/>
          <w:marRight w:val="0"/>
          <w:marTop w:val="0"/>
          <w:marBottom w:val="0"/>
          <w:divBdr>
            <w:top w:val="none" w:sz="0" w:space="0" w:color="auto"/>
            <w:left w:val="none" w:sz="0" w:space="0" w:color="auto"/>
            <w:bottom w:val="none" w:sz="0" w:space="0" w:color="auto"/>
            <w:right w:val="none" w:sz="0" w:space="0" w:color="auto"/>
          </w:divBdr>
        </w:div>
        <w:div w:id="708839074">
          <w:marLeft w:val="640"/>
          <w:marRight w:val="0"/>
          <w:marTop w:val="0"/>
          <w:marBottom w:val="0"/>
          <w:divBdr>
            <w:top w:val="none" w:sz="0" w:space="0" w:color="auto"/>
            <w:left w:val="none" w:sz="0" w:space="0" w:color="auto"/>
            <w:bottom w:val="none" w:sz="0" w:space="0" w:color="auto"/>
            <w:right w:val="none" w:sz="0" w:space="0" w:color="auto"/>
          </w:divBdr>
        </w:div>
        <w:div w:id="934901538">
          <w:marLeft w:val="640"/>
          <w:marRight w:val="0"/>
          <w:marTop w:val="0"/>
          <w:marBottom w:val="0"/>
          <w:divBdr>
            <w:top w:val="none" w:sz="0" w:space="0" w:color="auto"/>
            <w:left w:val="none" w:sz="0" w:space="0" w:color="auto"/>
            <w:bottom w:val="none" w:sz="0" w:space="0" w:color="auto"/>
            <w:right w:val="none" w:sz="0" w:space="0" w:color="auto"/>
          </w:divBdr>
        </w:div>
        <w:div w:id="1458333107">
          <w:marLeft w:val="640"/>
          <w:marRight w:val="0"/>
          <w:marTop w:val="0"/>
          <w:marBottom w:val="0"/>
          <w:divBdr>
            <w:top w:val="none" w:sz="0" w:space="0" w:color="auto"/>
            <w:left w:val="none" w:sz="0" w:space="0" w:color="auto"/>
            <w:bottom w:val="none" w:sz="0" w:space="0" w:color="auto"/>
            <w:right w:val="none" w:sz="0" w:space="0" w:color="auto"/>
          </w:divBdr>
        </w:div>
        <w:div w:id="4522963">
          <w:marLeft w:val="640"/>
          <w:marRight w:val="0"/>
          <w:marTop w:val="0"/>
          <w:marBottom w:val="0"/>
          <w:divBdr>
            <w:top w:val="none" w:sz="0" w:space="0" w:color="auto"/>
            <w:left w:val="none" w:sz="0" w:space="0" w:color="auto"/>
            <w:bottom w:val="none" w:sz="0" w:space="0" w:color="auto"/>
            <w:right w:val="none" w:sz="0" w:space="0" w:color="auto"/>
          </w:divBdr>
        </w:div>
        <w:div w:id="1139029890">
          <w:marLeft w:val="640"/>
          <w:marRight w:val="0"/>
          <w:marTop w:val="0"/>
          <w:marBottom w:val="0"/>
          <w:divBdr>
            <w:top w:val="none" w:sz="0" w:space="0" w:color="auto"/>
            <w:left w:val="none" w:sz="0" w:space="0" w:color="auto"/>
            <w:bottom w:val="none" w:sz="0" w:space="0" w:color="auto"/>
            <w:right w:val="none" w:sz="0" w:space="0" w:color="auto"/>
          </w:divBdr>
        </w:div>
        <w:div w:id="1422601125">
          <w:marLeft w:val="640"/>
          <w:marRight w:val="0"/>
          <w:marTop w:val="0"/>
          <w:marBottom w:val="0"/>
          <w:divBdr>
            <w:top w:val="none" w:sz="0" w:space="0" w:color="auto"/>
            <w:left w:val="none" w:sz="0" w:space="0" w:color="auto"/>
            <w:bottom w:val="none" w:sz="0" w:space="0" w:color="auto"/>
            <w:right w:val="none" w:sz="0" w:space="0" w:color="auto"/>
          </w:divBdr>
        </w:div>
        <w:div w:id="293874135">
          <w:marLeft w:val="640"/>
          <w:marRight w:val="0"/>
          <w:marTop w:val="0"/>
          <w:marBottom w:val="0"/>
          <w:divBdr>
            <w:top w:val="none" w:sz="0" w:space="0" w:color="auto"/>
            <w:left w:val="none" w:sz="0" w:space="0" w:color="auto"/>
            <w:bottom w:val="none" w:sz="0" w:space="0" w:color="auto"/>
            <w:right w:val="none" w:sz="0" w:space="0" w:color="auto"/>
          </w:divBdr>
        </w:div>
        <w:div w:id="1912277768">
          <w:marLeft w:val="640"/>
          <w:marRight w:val="0"/>
          <w:marTop w:val="0"/>
          <w:marBottom w:val="0"/>
          <w:divBdr>
            <w:top w:val="none" w:sz="0" w:space="0" w:color="auto"/>
            <w:left w:val="none" w:sz="0" w:space="0" w:color="auto"/>
            <w:bottom w:val="none" w:sz="0" w:space="0" w:color="auto"/>
            <w:right w:val="none" w:sz="0" w:space="0" w:color="auto"/>
          </w:divBdr>
        </w:div>
        <w:div w:id="988174549">
          <w:marLeft w:val="640"/>
          <w:marRight w:val="0"/>
          <w:marTop w:val="0"/>
          <w:marBottom w:val="0"/>
          <w:divBdr>
            <w:top w:val="none" w:sz="0" w:space="0" w:color="auto"/>
            <w:left w:val="none" w:sz="0" w:space="0" w:color="auto"/>
            <w:bottom w:val="none" w:sz="0" w:space="0" w:color="auto"/>
            <w:right w:val="none" w:sz="0" w:space="0" w:color="auto"/>
          </w:divBdr>
        </w:div>
        <w:div w:id="518542234">
          <w:marLeft w:val="640"/>
          <w:marRight w:val="0"/>
          <w:marTop w:val="0"/>
          <w:marBottom w:val="0"/>
          <w:divBdr>
            <w:top w:val="none" w:sz="0" w:space="0" w:color="auto"/>
            <w:left w:val="none" w:sz="0" w:space="0" w:color="auto"/>
            <w:bottom w:val="none" w:sz="0" w:space="0" w:color="auto"/>
            <w:right w:val="none" w:sz="0" w:space="0" w:color="auto"/>
          </w:divBdr>
        </w:div>
        <w:div w:id="2100127964">
          <w:marLeft w:val="640"/>
          <w:marRight w:val="0"/>
          <w:marTop w:val="0"/>
          <w:marBottom w:val="0"/>
          <w:divBdr>
            <w:top w:val="none" w:sz="0" w:space="0" w:color="auto"/>
            <w:left w:val="none" w:sz="0" w:space="0" w:color="auto"/>
            <w:bottom w:val="none" w:sz="0" w:space="0" w:color="auto"/>
            <w:right w:val="none" w:sz="0" w:space="0" w:color="auto"/>
          </w:divBdr>
        </w:div>
        <w:div w:id="45222097">
          <w:marLeft w:val="640"/>
          <w:marRight w:val="0"/>
          <w:marTop w:val="0"/>
          <w:marBottom w:val="0"/>
          <w:divBdr>
            <w:top w:val="none" w:sz="0" w:space="0" w:color="auto"/>
            <w:left w:val="none" w:sz="0" w:space="0" w:color="auto"/>
            <w:bottom w:val="none" w:sz="0" w:space="0" w:color="auto"/>
            <w:right w:val="none" w:sz="0" w:space="0" w:color="auto"/>
          </w:divBdr>
        </w:div>
        <w:div w:id="410584500">
          <w:marLeft w:val="640"/>
          <w:marRight w:val="0"/>
          <w:marTop w:val="0"/>
          <w:marBottom w:val="0"/>
          <w:divBdr>
            <w:top w:val="none" w:sz="0" w:space="0" w:color="auto"/>
            <w:left w:val="none" w:sz="0" w:space="0" w:color="auto"/>
            <w:bottom w:val="none" w:sz="0" w:space="0" w:color="auto"/>
            <w:right w:val="none" w:sz="0" w:space="0" w:color="auto"/>
          </w:divBdr>
        </w:div>
        <w:div w:id="656034021">
          <w:marLeft w:val="640"/>
          <w:marRight w:val="0"/>
          <w:marTop w:val="0"/>
          <w:marBottom w:val="0"/>
          <w:divBdr>
            <w:top w:val="none" w:sz="0" w:space="0" w:color="auto"/>
            <w:left w:val="none" w:sz="0" w:space="0" w:color="auto"/>
            <w:bottom w:val="none" w:sz="0" w:space="0" w:color="auto"/>
            <w:right w:val="none" w:sz="0" w:space="0" w:color="auto"/>
          </w:divBdr>
        </w:div>
        <w:div w:id="653067424">
          <w:marLeft w:val="640"/>
          <w:marRight w:val="0"/>
          <w:marTop w:val="0"/>
          <w:marBottom w:val="0"/>
          <w:divBdr>
            <w:top w:val="none" w:sz="0" w:space="0" w:color="auto"/>
            <w:left w:val="none" w:sz="0" w:space="0" w:color="auto"/>
            <w:bottom w:val="none" w:sz="0" w:space="0" w:color="auto"/>
            <w:right w:val="none" w:sz="0" w:space="0" w:color="auto"/>
          </w:divBdr>
        </w:div>
        <w:div w:id="909734038">
          <w:marLeft w:val="640"/>
          <w:marRight w:val="0"/>
          <w:marTop w:val="0"/>
          <w:marBottom w:val="0"/>
          <w:divBdr>
            <w:top w:val="none" w:sz="0" w:space="0" w:color="auto"/>
            <w:left w:val="none" w:sz="0" w:space="0" w:color="auto"/>
            <w:bottom w:val="none" w:sz="0" w:space="0" w:color="auto"/>
            <w:right w:val="none" w:sz="0" w:space="0" w:color="auto"/>
          </w:divBdr>
        </w:div>
        <w:div w:id="167989474">
          <w:marLeft w:val="640"/>
          <w:marRight w:val="0"/>
          <w:marTop w:val="0"/>
          <w:marBottom w:val="0"/>
          <w:divBdr>
            <w:top w:val="none" w:sz="0" w:space="0" w:color="auto"/>
            <w:left w:val="none" w:sz="0" w:space="0" w:color="auto"/>
            <w:bottom w:val="none" w:sz="0" w:space="0" w:color="auto"/>
            <w:right w:val="none" w:sz="0" w:space="0" w:color="auto"/>
          </w:divBdr>
        </w:div>
        <w:div w:id="508250933">
          <w:marLeft w:val="640"/>
          <w:marRight w:val="0"/>
          <w:marTop w:val="0"/>
          <w:marBottom w:val="0"/>
          <w:divBdr>
            <w:top w:val="none" w:sz="0" w:space="0" w:color="auto"/>
            <w:left w:val="none" w:sz="0" w:space="0" w:color="auto"/>
            <w:bottom w:val="none" w:sz="0" w:space="0" w:color="auto"/>
            <w:right w:val="none" w:sz="0" w:space="0" w:color="auto"/>
          </w:divBdr>
        </w:div>
        <w:div w:id="1994486960">
          <w:marLeft w:val="640"/>
          <w:marRight w:val="0"/>
          <w:marTop w:val="0"/>
          <w:marBottom w:val="0"/>
          <w:divBdr>
            <w:top w:val="none" w:sz="0" w:space="0" w:color="auto"/>
            <w:left w:val="none" w:sz="0" w:space="0" w:color="auto"/>
            <w:bottom w:val="none" w:sz="0" w:space="0" w:color="auto"/>
            <w:right w:val="none" w:sz="0" w:space="0" w:color="auto"/>
          </w:divBdr>
        </w:div>
        <w:div w:id="135270175">
          <w:marLeft w:val="640"/>
          <w:marRight w:val="0"/>
          <w:marTop w:val="0"/>
          <w:marBottom w:val="0"/>
          <w:divBdr>
            <w:top w:val="none" w:sz="0" w:space="0" w:color="auto"/>
            <w:left w:val="none" w:sz="0" w:space="0" w:color="auto"/>
            <w:bottom w:val="none" w:sz="0" w:space="0" w:color="auto"/>
            <w:right w:val="none" w:sz="0" w:space="0" w:color="auto"/>
          </w:divBdr>
        </w:div>
        <w:div w:id="1207722963">
          <w:marLeft w:val="640"/>
          <w:marRight w:val="0"/>
          <w:marTop w:val="0"/>
          <w:marBottom w:val="0"/>
          <w:divBdr>
            <w:top w:val="none" w:sz="0" w:space="0" w:color="auto"/>
            <w:left w:val="none" w:sz="0" w:space="0" w:color="auto"/>
            <w:bottom w:val="none" w:sz="0" w:space="0" w:color="auto"/>
            <w:right w:val="none" w:sz="0" w:space="0" w:color="auto"/>
          </w:divBdr>
        </w:div>
        <w:div w:id="410007294">
          <w:marLeft w:val="640"/>
          <w:marRight w:val="0"/>
          <w:marTop w:val="0"/>
          <w:marBottom w:val="0"/>
          <w:divBdr>
            <w:top w:val="none" w:sz="0" w:space="0" w:color="auto"/>
            <w:left w:val="none" w:sz="0" w:space="0" w:color="auto"/>
            <w:bottom w:val="none" w:sz="0" w:space="0" w:color="auto"/>
            <w:right w:val="none" w:sz="0" w:space="0" w:color="auto"/>
          </w:divBdr>
        </w:div>
        <w:div w:id="1795177642">
          <w:marLeft w:val="640"/>
          <w:marRight w:val="0"/>
          <w:marTop w:val="0"/>
          <w:marBottom w:val="0"/>
          <w:divBdr>
            <w:top w:val="none" w:sz="0" w:space="0" w:color="auto"/>
            <w:left w:val="none" w:sz="0" w:space="0" w:color="auto"/>
            <w:bottom w:val="none" w:sz="0" w:space="0" w:color="auto"/>
            <w:right w:val="none" w:sz="0" w:space="0" w:color="auto"/>
          </w:divBdr>
        </w:div>
        <w:div w:id="538125054">
          <w:marLeft w:val="640"/>
          <w:marRight w:val="0"/>
          <w:marTop w:val="0"/>
          <w:marBottom w:val="0"/>
          <w:divBdr>
            <w:top w:val="none" w:sz="0" w:space="0" w:color="auto"/>
            <w:left w:val="none" w:sz="0" w:space="0" w:color="auto"/>
            <w:bottom w:val="none" w:sz="0" w:space="0" w:color="auto"/>
            <w:right w:val="none" w:sz="0" w:space="0" w:color="auto"/>
          </w:divBdr>
        </w:div>
        <w:div w:id="344140692">
          <w:marLeft w:val="640"/>
          <w:marRight w:val="0"/>
          <w:marTop w:val="0"/>
          <w:marBottom w:val="0"/>
          <w:divBdr>
            <w:top w:val="none" w:sz="0" w:space="0" w:color="auto"/>
            <w:left w:val="none" w:sz="0" w:space="0" w:color="auto"/>
            <w:bottom w:val="none" w:sz="0" w:space="0" w:color="auto"/>
            <w:right w:val="none" w:sz="0" w:space="0" w:color="auto"/>
          </w:divBdr>
        </w:div>
        <w:div w:id="1721321864">
          <w:marLeft w:val="640"/>
          <w:marRight w:val="0"/>
          <w:marTop w:val="0"/>
          <w:marBottom w:val="0"/>
          <w:divBdr>
            <w:top w:val="none" w:sz="0" w:space="0" w:color="auto"/>
            <w:left w:val="none" w:sz="0" w:space="0" w:color="auto"/>
            <w:bottom w:val="none" w:sz="0" w:space="0" w:color="auto"/>
            <w:right w:val="none" w:sz="0" w:space="0" w:color="auto"/>
          </w:divBdr>
        </w:div>
        <w:div w:id="453602685">
          <w:marLeft w:val="640"/>
          <w:marRight w:val="0"/>
          <w:marTop w:val="0"/>
          <w:marBottom w:val="0"/>
          <w:divBdr>
            <w:top w:val="none" w:sz="0" w:space="0" w:color="auto"/>
            <w:left w:val="none" w:sz="0" w:space="0" w:color="auto"/>
            <w:bottom w:val="none" w:sz="0" w:space="0" w:color="auto"/>
            <w:right w:val="none" w:sz="0" w:space="0" w:color="auto"/>
          </w:divBdr>
        </w:div>
        <w:div w:id="1101533073">
          <w:marLeft w:val="640"/>
          <w:marRight w:val="0"/>
          <w:marTop w:val="0"/>
          <w:marBottom w:val="0"/>
          <w:divBdr>
            <w:top w:val="none" w:sz="0" w:space="0" w:color="auto"/>
            <w:left w:val="none" w:sz="0" w:space="0" w:color="auto"/>
            <w:bottom w:val="none" w:sz="0" w:space="0" w:color="auto"/>
            <w:right w:val="none" w:sz="0" w:space="0" w:color="auto"/>
          </w:divBdr>
        </w:div>
        <w:div w:id="1375882607">
          <w:marLeft w:val="640"/>
          <w:marRight w:val="0"/>
          <w:marTop w:val="0"/>
          <w:marBottom w:val="0"/>
          <w:divBdr>
            <w:top w:val="none" w:sz="0" w:space="0" w:color="auto"/>
            <w:left w:val="none" w:sz="0" w:space="0" w:color="auto"/>
            <w:bottom w:val="none" w:sz="0" w:space="0" w:color="auto"/>
            <w:right w:val="none" w:sz="0" w:space="0" w:color="auto"/>
          </w:divBdr>
        </w:div>
        <w:div w:id="1320843748">
          <w:marLeft w:val="640"/>
          <w:marRight w:val="0"/>
          <w:marTop w:val="0"/>
          <w:marBottom w:val="0"/>
          <w:divBdr>
            <w:top w:val="none" w:sz="0" w:space="0" w:color="auto"/>
            <w:left w:val="none" w:sz="0" w:space="0" w:color="auto"/>
            <w:bottom w:val="none" w:sz="0" w:space="0" w:color="auto"/>
            <w:right w:val="none" w:sz="0" w:space="0" w:color="auto"/>
          </w:divBdr>
        </w:div>
        <w:div w:id="407533729">
          <w:marLeft w:val="640"/>
          <w:marRight w:val="0"/>
          <w:marTop w:val="0"/>
          <w:marBottom w:val="0"/>
          <w:divBdr>
            <w:top w:val="none" w:sz="0" w:space="0" w:color="auto"/>
            <w:left w:val="none" w:sz="0" w:space="0" w:color="auto"/>
            <w:bottom w:val="none" w:sz="0" w:space="0" w:color="auto"/>
            <w:right w:val="none" w:sz="0" w:space="0" w:color="auto"/>
          </w:divBdr>
        </w:div>
        <w:div w:id="781068907">
          <w:marLeft w:val="640"/>
          <w:marRight w:val="0"/>
          <w:marTop w:val="0"/>
          <w:marBottom w:val="0"/>
          <w:divBdr>
            <w:top w:val="none" w:sz="0" w:space="0" w:color="auto"/>
            <w:left w:val="none" w:sz="0" w:space="0" w:color="auto"/>
            <w:bottom w:val="none" w:sz="0" w:space="0" w:color="auto"/>
            <w:right w:val="none" w:sz="0" w:space="0" w:color="auto"/>
          </w:divBdr>
        </w:div>
        <w:div w:id="904218119">
          <w:marLeft w:val="640"/>
          <w:marRight w:val="0"/>
          <w:marTop w:val="0"/>
          <w:marBottom w:val="0"/>
          <w:divBdr>
            <w:top w:val="none" w:sz="0" w:space="0" w:color="auto"/>
            <w:left w:val="none" w:sz="0" w:space="0" w:color="auto"/>
            <w:bottom w:val="none" w:sz="0" w:space="0" w:color="auto"/>
            <w:right w:val="none" w:sz="0" w:space="0" w:color="auto"/>
          </w:divBdr>
        </w:div>
        <w:div w:id="724834203">
          <w:marLeft w:val="640"/>
          <w:marRight w:val="0"/>
          <w:marTop w:val="0"/>
          <w:marBottom w:val="0"/>
          <w:divBdr>
            <w:top w:val="none" w:sz="0" w:space="0" w:color="auto"/>
            <w:left w:val="none" w:sz="0" w:space="0" w:color="auto"/>
            <w:bottom w:val="none" w:sz="0" w:space="0" w:color="auto"/>
            <w:right w:val="none" w:sz="0" w:space="0" w:color="auto"/>
          </w:divBdr>
        </w:div>
        <w:div w:id="885877381">
          <w:marLeft w:val="640"/>
          <w:marRight w:val="0"/>
          <w:marTop w:val="0"/>
          <w:marBottom w:val="0"/>
          <w:divBdr>
            <w:top w:val="none" w:sz="0" w:space="0" w:color="auto"/>
            <w:left w:val="none" w:sz="0" w:space="0" w:color="auto"/>
            <w:bottom w:val="none" w:sz="0" w:space="0" w:color="auto"/>
            <w:right w:val="none" w:sz="0" w:space="0" w:color="auto"/>
          </w:divBdr>
        </w:div>
        <w:div w:id="1207831873">
          <w:marLeft w:val="640"/>
          <w:marRight w:val="0"/>
          <w:marTop w:val="0"/>
          <w:marBottom w:val="0"/>
          <w:divBdr>
            <w:top w:val="none" w:sz="0" w:space="0" w:color="auto"/>
            <w:left w:val="none" w:sz="0" w:space="0" w:color="auto"/>
            <w:bottom w:val="none" w:sz="0" w:space="0" w:color="auto"/>
            <w:right w:val="none" w:sz="0" w:space="0" w:color="auto"/>
          </w:divBdr>
        </w:div>
        <w:div w:id="1956475238">
          <w:marLeft w:val="640"/>
          <w:marRight w:val="0"/>
          <w:marTop w:val="0"/>
          <w:marBottom w:val="0"/>
          <w:divBdr>
            <w:top w:val="none" w:sz="0" w:space="0" w:color="auto"/>
            <w:left w:val="none" w:sz="0" w:space="0" w:color="auto"/>
            <w:bottom w:val="none" w:sz="0" w:space="0" w:color="auto"/>
            <w:right w:val="none" w:sz="0" w:space="0" w:color="auto"/>
          </w:divBdr>
        </w:div>
        <w:div w:id="590820437">
          <w:marLeft w:val="640"/>
          <w:marRight w:val="0"/>
          <w:marTop w:val="0"/>
          <w:marBottom w:val="0"/>
          <w:divBdr>
            <w:top w:val="none" w:sz="0" w:space="0" w:color="auto"/>
            <w:left w:val="none" w:sz="0" w:space="0" w:color="auto"/>
            <w:bottom w:val="none" w:sz="0" w:space="0" w:color="auto"/>
            <w:right w:val="none" w:sz="0" w:space="0" w:color="auto"/>
          </w:divBdr>
        </w:div>
        <w:div w:id="282003403">
          <w:marLeft w:val="640"/>
          <w:marRight w:val="0"/>
          <w:marTop w:val="0"/>
          <w:marBottom w:val="0"/>
          <w:divBdr>
            <w:top w:val="none" w:sz="0" w:space="0" w:color="auto"/>
            <w:left w:val="none" w:sz="0" w:space="0" w:color="auto"/>
            <w:bottom w:val="none" w:sz="0" w:space="0" w:color="auto"/>
            <w:right w:val="none" w:sz="0" w:space="0" w:color="auto"/>
          </w:divBdr>
        </w:div>
        <w:div w:id="158425616">
          <w:marLeft w:val="640"/>
          <w:marRight w:val="0"/>
          <w:marTop w:val="0"/>
          <w:marBottom w:val="0"/>
          <w:divBdr>
            <w:top w:val="none" w:sz="0" w:space="0" w:color="auto"/>
            <w:left w:val="none" w:sz="0" w:space="0" w:color="auto"/>
            <w:bottom w:val="none" w:sz="0" w:space="0" w:color="auto"/>
            <w:right w:val="none" w:sz="0" w:space="0" w:color="auto"/>
          </w:divBdr>
        </w:div>
        <w:div w:id="1652128490">
          <w:marLeft w:val="640"/>
          <w:marRight w:val="0"/>
          <w:marTop w:val="0"/>
          <w:marBottom w:val="0"/>
          <w:divBdr>
            <w:top w:val="none" w:sz="0" w:space="0" w:color="auto"/>
            <w:left w:val="none" w:sz="0" w:space="0" w:color="auto"/>
            <w:bottom w:val="none" w:sz="0" w:space="0" w:color="auto"/>
            <w:right w:val="none" w:sz="0" w:space="0" w:color="auto"/>
          </w:divBdr>
        </w:div>
        <w:div w:id="1404445642">
          <w:marLeft w:val="640"/>
          <w:marRight w:val="0"/>
          <w:marTop w:val="0"/>
          <w:marBottom w:val="0"/>
          <w:divBdr>
            <w:top w:val="none" w:sz="0" w:space="0" w:color="auto"/>
            <w:left w:val="none" w:sz="0" w:space="0" w:color="auto"/>
            <w:bottom w:val="none" w:sz="0" w:space="0" w:color="auto"/>
            <w:right w:val="none" w:sz="0" w:space="0" w:color="auto"/>
          </w:divBdr>
        </w:div>
        <w:div w:id="1078408074">
          <w:marLeft w:val="640"/>
          <w:marRight w:val="0"/>
          <w:marTop w:val="0"/>
          <w:marBottom w:val="0"/>
          <w:divBdr>
            <w:top w:val="none" w:sz="0" w:space="0" w:color="auto"/>
            <w:left w:val="none" w:sz="0" w:space="0" w:color="auto"/>
            <w:bottom w:val="none" w:sz="0" w:space="0" w:color="auto"/>
            <w:right w:val="none" w:sz="0" w:space="0" w:color="auto"/>
          </w:divBdr>
        </w:div>
        <w:div w:id="1579711940">
          <w:marLeft w:val="640"/>
          <w:marRight w:val="0"/>
          <w:marTop w:val="0"/>
          <w:marBottom w:val="0"/>
          <w:divBdr>
            <w:top w:val="none" w:sz="0" w:space="0" w:color="auto"/>
            <w:left w:val="none" w:sz="0" w:space="0" w:color="auto"/>
            <w:bottom w:val="none" w:sz="0" w:space="0" w:color="auto"/>
            <w:right w:val="none" w:sz="0" w:space="0" w:color="auto"/>
          </w:divBdr>
        </w:div>
        <w:div w:id="1331107170">
          <w:marLeft w:val="640"/>
          <w:marRight w:val="0"/>
          <w:marTop w:val="0"/>
          <w:marBottom w:val="0"/>
          <w:divBdr>
            <w:top w:val="none" w:sz="0" w:space="0" w:color="auto"/>
            <w:left w:val="none" w:sz="0" w:space="0" w:color="auto"/>
            <w:bottom w:val="none" w:sz="0" w:space="0" w:color="auto"/>
            <w:right w:val="none" w:sz="0" w:space="0" w:color="auto"/>
          </w:divBdr>
        </w:div>
        <w:div w:id="689069069">
          <w:marLeft w:val="640"/>
          <w:marRight w:val="0"/>
          <w:marTop w:val="0"/>
          <w:marBottom w:val="0"/>
          <w:divBdr>
            <w:top w:val="none" w:sz="0" w:space="0" w:color="auto"/>
            <w:left w:val="none" w:sz="0" w:space="0" w:color="auto"/>
            <w:bottom w:val="none" w:sz="0" w:space="0" w:color="auto"/>
            <w:right w:val="none" w:sz="0" w:space="0" w:color="auto"/>
          </w:divBdr>
        </w:div>
        <w:div w:id="1032725069">
          <w:marLeft w:val="640"/>
          <w:marRight w:val="0"/>
          <w:marTop w:val="0"/>
          <w:marBottom w:val="0"/>
          <w:divBdr>
            <w:top w:val="none" w:sz="0" w:space="0" w:color="auto"/>
            <w:left w:val="none" w:sz="0" w:space="0" w:color="auto"/>
            <w:bottom w:val="none" w:sz="0" w:space="0" w:color="auto"/>
            <w:right w:val="none" w:sz="0" w:space="0" w:color="auto"/>
          </w:divBdr>
        </w:div>
        <w:div w:id="1516572363">
          <w:marLeft w:val="640"/>
          <w:marRight w:val="0"/>
          <w:marTop w:val="0"/>
          <w:marBottom w:val="0"/>
          <w:divBdr>
            <w:top w:val="none" w:sz="0" w:space="0" w:color="auto"/>
            <w:left w:val="none" w:sz="0" w:space="0" w:color="auto"/>
            <w:bottom w:val="none" w:sz="0" w:space="0" w:color="auto"/>
            <w:right w:val="none" w:sz="0" w:space="0" w:color="auto"/>
          </w:divBdr>
        </w:div>
        <w:div w:id="1200780089">
          <w:marLeft w:val="640"/>
          <w:marRight w:val="0"/>
          <w:marTop w:val="0"/>
          <w:marBottom w:val="0"/>
          <w:divBdr>
            <w:top w:val="none" w:sz="0" w:space="0" w:color="auto"/>
            <w:left w:val="none" w:sz="0" w:space="0" w:color="auto"/>
            <w:bottom w:val="none" w:sz="0" w:space="0" w:color="auto"/>
            <w:right w:val="none" w:sz="0" w:space="0" w:color="auto"/>
          </w:divBdr>
        </w:div>
        <w:div w:id="760026214">
          <w:marLeft w:val="640"/>
          <w:marRight w:val="0"/>
          <w:marTop w:val="0"/>
          <w:marBottom w:val="0"/>
          <w:divBdr>
            <w:top w:val="none" w:sz="0" w:space="0" w:color="auto"/>
            <w:left w:val="none" w:sz="0" w:space="0" w:color="auto"/>
            <w:bottom w:val="none" w:sz="0" w:space="0" w:color="auto"/>
            <w:right w:val="none" w:sz="0" w:space="0" w:color="auto"/>
          </w:divBdr>
        </w:div>
        <w:div w:id="284044051">
          <w:marLeft w:val="640"/>
          <w:marRight w:val="0"/>
          <w:marTop w:val="0"/>
          <w:marBottom w:val="0"/>
          <w:divBdr>
            <w:top w:val="none" w:sz="0" w:space="0" w:color="auto"/>
            <w:left w:val="none" w:sz="0" w:space="0" w:color="auto"/>
            <w:bottom w:val="none" w:sz="0" w:space="0" w:color="auto"/>
            <w:right w:val="none" w:sz="0" w:space="0" w:color="auto"/>
          </w:divBdr>
        </w:div>
        <w:div w:id="588588390">
          <w:marLeft w:val="640"/>
          <w:marRight w:val="0"/>
          <w:marTop w:val="0"/>
          <w:marBottom w:val="0"/>
          <w:divBdr>
            <w:top w:val="none" w:sz="0" w:space="0" w:color="auto"/>
            <w:left w:val="none" w:sz="0" w:space="0" w:color="auto"/>
            <w:bottom w:val="none" w:sz="0" w:space="0" w:color="auto"/>
            <w:right w:val="none" w:sz="0" w:space="0" w:color="auto"/>
          </w:divBdr>
        </w:div>
        <w:div w:id="1214392643">
          <w:marLeft w:val="640"/>
          <w:marRight w:val="0"/>
          <w:marTop w:val="0"/>
          <w:marBottom w:val="0"/>
          <w:divBdr>
            <w:top w:val="none" w:sz="0" w:space="0" w:color="auto"/>
            <w:left w:val="none" w:sz="0" w:space="0" w:color="auto"/>
            <w:bottom w:val="none" w:sz="0" w:space="0" w:color="auto"/>
            <w:right w:val="none" w:sz="0" w:space="0" w:color="auto"/>
          </w:divBdr>
        </w:div>
        <w:div w:id="1402293717">
          <w:marLeft w:val="640"/>
          <w:marRight w:val="0"/>
          <w:marTop w:val="0"/>
          <w:marBottom w:val="0"/>
          <w:divBdr>
            <w:top w:val="none" w:sz="0" w:space="0" w:color="auto"/>
            <w:left w:val="none" w:sz="0" w:space="0" w:color="auto"/>
            <w:bottom w:val="none" w:sz="0" w:space="0" w:color="auto"/>
            <w:right w:val="none" w:sz="0" w:space="0" w:color="auto"/>
          </w:divBdr>
        </w:div>
        <w:div w:id="105733897">
          <w:marLeft w:val="640"/>
          <w:marRight w:val="0"/>
          <w:marTop w:val="0"/>
          <w:marBottom w:val="0"/>
          <w:divBdr>
            <w:top w:val="none" w:sz="0" w:space="0" w:color="auto"/>
            <w:left w:val="none" w:sz="0" w:space="0" w:color="auto"/>
            <w:bottom w:val="none" w:sz="0" w:space="0" w:color="auto"/>
            <w:right w:val="none" w:sz="0" w:space="0" w:color="auto"/>
          </w:divBdr>
        </w:div>
        <w:div w:id="1530994641">
          <w:marLeft w:val="640"/>
          <w:marRight w:val="0"/>
          <w:marTop w:val="0"/>
          <w:marBottom w:val="0"/>
          <w:divBdr>
            <w:top w:val="none" w:sz="0" w:space="0" w:color="auto"/>
            <w:left w:val="none" w:sz="0" w:space="0" w:color="auto"/>
            <w:bottom w:val="none" w:sz="0" w:space="0" w:color="auto"/>
            <w:right w:val="none" w:sz="0" w:space="0" w:color="auto"/>
          </w:divBdr>
        </w:div>
        <w:div w:id="1482843167">
          <w:marLeft w:val="640"/>
          <w:marRight w:val="0"/>
          <w:marTop w:val="0"/>
          <w:marBottom w:val="0"/>
          <w:divBdr>
            <w:top w:val="none" w:sz="0" w:space="0" w:color="auto"/>
            <w:left w:val="none" w:sz="0" w:space="0" w:color="auto"/>
            <w:bottom w:val="none" w:sz="0" w:space="0" w:color="auto"/>
            <w:right w:val="none" w:sz="0" w:space="0" w:color="auto"/>
          </w:divBdr>
        </w:div>
        <w:div w:id="1717461545">
          <w:marLeft w:val="640"/>
          <w:marRight w:val="0"/>
          <w:marTop w:val="0"/>
          <w:marBottom w:val="0"/>
          <w:divBdr>
            <w:top w:val="none" w:sz="0" w:space="0" w:color="auto"/>
            <w:left w:val="none" w:sz="0" w:space="0" w:color="auto"/>
            <w:bottom w:val="none" w:sz="0" w:space="0" w:color="auto"/>
            <w:right w:val="none" w:sz="0" w:space="0" w:color="auto"/>
          </w:divBdr>
        </w:div>
        <w:div w:id="2023435360">
          <w:marLeft w:val="640"/>
          <w:marRight w:val="0"/>
          <w:marTop w:val="0"/>
          <w:marBottom w:val="0"/>
          <w:divBdr>
            <w:top w:val="none" w:sz="0" w:space="0" w:color="auto"/>
            <w:left w:val="none" w:sz="0" w:space="0" w:color="auto"/>
            <w:bottom w:val="none" w:sz="0" w:space="0" w:color="auto"/>
            <w:right w:val="none" w:sz="0" w:space="0" w:color="auto"/>
          </w:divBdr>
        </w:div>
        <w:div w:id="1404525984">
          <w:marLeft w:val="640"/>
          <w:marRight w:val="0"/>
          <w:marTop w:val="0"/>
          <w:marBottom w:val="0"/>
          <w:divBdr>
            <w:top w:val="none" w:sz="0" w:space="0" w:color="auto"/>
            <w:left w:val="none" w:sz="0" w:space="0" w:color="auto"/>
            <w:bottom w:val="none" w:sz="0" w:space="0" w:color="auto"/>
            <w:right w:val="none" w:sz="0" w:space="0" w:color="auto"/>
          </w:divBdr>
        </w:div>
        <w:div w:id="1402213098">
          <w:marLeft w:val="640"/>
          <w:marRight w:val="0"/>
          <w:marTop w:val="0"/>
          <w:marBottom w:val="0"/>
          <w:divBdr>
            <w:top w:val="none" w:sz="0" w:space="0" w:color="auto"/>
            <w:left w:val="none" w:sz="0" w:space="0" w:color="auto"/>
            <w:bottom w:val="none" w:sz="0" w:space="0" w:color="auto"/>
            <w:right w:val="none" w:sz="0" w:space="0" w:color="auto"/>
          </w:divBdr>
        </w:div>
        <w:div w:id="1734810749">
          <w:marLeft w:val="640"/>
          <w:marRight w:val="0"/>
          <w:marTop w:val="0"/>
          <w:marBottom w:val="0"/>
          <w:divBdr>
            <w:top w:val="none" w:sz="0" w:space="0" w:color="auto"/>
            <w:left w:val="none" w:sz="0" w:space="0" w:color="auto"/>
            <w:bottom w:val="none" w:sz="0" w:space="0" w:color="auto"/>
            <w:right w:val="none" w:sz="0" w:space="0" w:color="auto"/>
          </w:divBdr>
        </w:div>
        <w:div w:id="798105118">
          <w:marLeft w:val="640"/>
          <w:marRight w:val="0"/>
          <w:marTop w:val="0"/>
          <w:marBottom w:val="0"/>
          <w:divBdr>
            <w:top w:val="none" w:sz="0" w:space="0" w:color="auto"/>
            <w:left w:val="none" w:sz="0" w:space="0" w:color="auto"/>
            <w:bottom w:val="none" w:sz="0" w:space="0" w:color="auto"/>
            <w:right w:val="none" w:sz="0" w:space="0" w:color="auto"/>
          </w:divBdr>
        </w:div>
        <w:div w:id="1523279203">
          <w:marLeft w:val="640"/>
          <w:marRight w:val="0"/>
          <w:marTop w:val="0"/>
          <w:marBottom w:val="0"/>
          <w:divBdr>
            <w:top w:val="none" w:sz="0" w:space="0" w:color="auto"/>
            <w:left w:val="none" w:sz="0" w:space="0" w:color="auto"/>
            <w:bottom w:val="none" w:sz="0" w:space="0" w:color="auto"/>
            <w:right w:val="none" w:sz="0" w:space="0" w:color="auto"/>
          </w:divBdr>
        </w:div>
        <w:div w:id="1669213651">
          <w:marLeft w:val="640"/>
          <w:marRight w:val="0"/>
          <w:marTop w:val="0"/>
          <w:marBottom w:val="0"/>
          <w:divBdr>
            <w:top w:val="none" w:sz="0" w:space="0" w:color="auto"/>
            <w:left w:val="none" w:sz="0" w:space="0" w:color="auto"/>
            <w:bottom w:val="none" w:sz="0" w:space="0" w:color="auto"/>
            <w:right w:val="none" w:sz="0" w:space="0" w:color="auto"/>
          </w:divBdr>
        </w:div>
        <w:div w:id="418992294">
          <w:marLeft w:val="640"/>
          <w:marRight w:val="0"/>
          <w:marTop w:val="0"/>
          <w:marBottom w:val="0"/>
          <w:divBdr>
            <w:top w:val="none" w:sz="0" w:space="0" w:color="auto"/>
            <w:left w:val="none" w:sz="0" w:space="0" w:color="auto"/>
            <w:bottom w:val="none" w:sz="0" w:space="0" w:color="auto"/>
            <w:right w:val="none" w:sz="0" w:space="0" w:color="auto"/>
          </w:divBdr>
        </w:div>
        <w:div w:id="1104615390">
          <w:marLeft w:val="640"/>
          <w:marRight w:val="0"/>
          <w:marTop w:val="0"/>
          <w:marBottom w:val="0"/>
          <w:divBdr>
            <w:top w:val="none" w:sz="0" w:space="0" w:color="auto"/>
            <w:left w:val="none" w:sz="0" w:space="0" w:color="auto"/>
            <w:bottom w:val="none" w:sz="0" w:space="0" w:color="auto"/>
            <w:right w:val="none" w:sz="0" w:space="0" w:color="auto"/>
          </w:divBdr>
        </w:div>
        <w:div w:id="756485960">
          <w:marLeft w:val="640"/>
          <w:marRight w:val="0"/>
          <w:marTop w:val="0"/>
          <w:marBottom w:val="0"/>
          <w:divBdr>
            <w:top w:val="none" w:sz="0" w:space="0" w:color="auto"/>
            <w:left w:val="none" w:sz="0" w:space="0" w:color="auto"/>
            <w:bottom w:val="none" w:sz="0" w:space="0" w:color="auto"/>
            <w:right w:val="none" w:sz="0" w:space="0" w:color="auto"/>
          </w:divBdr>
        </w:div>
        <w:div w:id="1801604311">
          <w:marLeft w:val="640"/>
          <w:marRight w:val="0"/>
          <w:marTop w:val="0"/>
          <w:marBottom w:val="0"/>
          <w:divBdr>
            <w:top w:val="none" w:sz="0" w:space="0" w:color="auto"/>
            <w:left w:val="none" w:sz="0" w:space="0" w:color="auto"/>
            <w:bottom w:val="none" w:sz="0" w:space="0" w:color="auto"/>
            <w:right w:val="none" w:sz="0" w:space="0" w:color="auto"/>
          </w:divBdr>
        </w:div>
        <w:div w:id="1009910520">
          <w:marLeft w:val="640"/>
          <w:marRight w:val="0"/>
          <w:marTop w:val="0"/>
          <w:marBottom w:val="0"/>
          <w:divBdr>
            <w:top w:val="none" w:sz="0" w:space="0" w:color="auto"/>
            <w:left w:val="none" w:sz="0" w:space="0" w:color="auto"/>
            <w:bottom w:val="none" w:sz="0" w:space="0" w:color="auto"/>
            <w:right w:val="none" w:sz="0" w:space="0" w:color="auto"/>
          </w:divBdr>
        </w:div>
        <w:div w:id="385758893">
          <w:marLeft w:val="640"/>
          <w:marRight w:val="0"/>
          <w:marTop w:val="0"/>
          <w:marBottom w:val="0"/>
          <w:divBdr>
            <w:top w:val="none" w:sz="0" w:space="0" w:color="auto"/>
            <w:left w:val="none" w:sz="0" w:space="0" w:color="auto"/>
            <w:bottom w:val="none" w:sz="0" w:space="0" w:color="auto"/>
            <w:right w:val="none" w:sz="0" w:space="0" w:color="auto"/>
          </w:divBdr>
        </w:div>
        <w:div w:id="170024805">
          <w:marLeft w:val="640"/>
          <w:marRight w:val="0"/>
          <w:marTop w:val="0"/>
          <w:marBottom w:val="0"/>
          <w:divBdr>
            <w:top w:val="none" w:sz="0" w:space="0" w:color="auto"/>
            <w:left w:val="none" w:sz="0" w:space="0" w:color="auto"/>
            <w:bottom w:val="none" w:sz="0" w:space="0" w:color="auto"/>
            <w:right w:val="none" w:sz="0" w:space="0" w:color="auto"/>
          </w:divBdr>
        </w:div>
        <w:div w:id="1612129452">
          <w:marLeft w:val="640"/>
          <w:marRight w:val="0"/>
          <w:marTop w:val="0"/>
          <w:marBottom w:val="0"/>
          <w:divBdr>
            <w:top w:val="none" w:sz="0" w:space="0" w:color="auto"/>
            <w:left w:val="none" w:sz="0" w:space="0" w:color="auto"/>
            <w:bottom w:val="none" w:sz="0" w:space="0" w:color="auto"/>
            <w:right w:val="none" w:sz="0" w:space="0" w:color="auto"/>
          </w:divBdr>
        </w:div>
        <w:div w:id="1507208076">
          <w:marLeft w:val="640"/>
          <w:marRight w:val="0"/>
          <w:marTop w:val="0"/>
          <w:marBottom w:val="0"/>
          <w:divBdr>
            <w:top w:val="none" w:sz="0" w:space="0" w:color="auto"/>
            <w:left w:val="none" w:sz="0" w:space="0" w:color="auto"/>
            <w:bottom w:val="none" w:sz="0" w:space="0" w:color="auto"/>
            <w:right w:val="none" w:sz="0" w:space="0" w:color="auto"/>
          </w:divBdr>
        </w:div>
        <w:div w:id="1720397540">
          <w:marLeft w:val="640"/>
          <w:marRight w:val="0"/>
          <w:marTop w:val="0"/>
          <w:marBottom w:val="0"/>
          <w:divBdr>
            <w:top w:val="none" w:sz="0" w:space="0" w:color="auto"/>
            <w:left w:val="none" w:sz="0" w:space="0" w:color="auto"/>
            <w:bottom w:val="none" w:sz="0" w:space="0" w:color="auto"/>
            <w:right w:val="none" w:sz="0" w:space="0" w:color="auto"/>
          </w:divBdr>
        </w:div>
        <w:div w:id="66004278">
          <w:marLeft w:val="640"/>
          <w:marRight w:val="0"/>
          <w:marTop w:val="0"/>
          <w:marBottom w:val="0"/>
          <w:divBdr>
            <w:top w:val="none" w:sz="0" w:space="0" w:color="auto"/>
            <w:left w:val="none" w:sz="0" w:space="0" w:color="auto"/>
            <w:bottom w:val="none" w:sz="0" w:space="0" w:color="auto"/>
            <w:right w:val="none" w:sz="0" w:space="0" w:color="auto"/>
          </w:divBdr>
        </w:div>
        <w:div w:id="113334043">
          <w:marLeft w:val="640"/>
          <w:marRight w:val="0"/>
          <w:marTop w:val="0"/>
          <w:marBottom w:val="0"/>
          <w:divBdr>
            <w:top w:val="none" w:sz="0" w:space="0" w:color="auto"/>
            <w:left w:val="none" w:sz="0" w:space="0" w:color="auto"/>
            <w:bottom w:val="none" w:sz="0" w:space="0" w:color="auto"/>
            <w:right w:val="none" w:sz="0" w:space="0" w:color="auto"/>
          </w:divBdr>
        </w:div>
        <w:div w:id="1926109316">
          <w:marLeft w:val="640"/>
          <w:marRight w:val="0"/>
          <w:marTop w:val="0"/>
          <w:marBottom w:val="0"/>
          <w:divBdr>
            <w:top w:val="none" w:sz="0" w:space="0" w:color="auto"/>
            <w:left w:val="none" w:sz="0" w:space="0" w:color="auto"/>
            <w:bottom w:val="none" w:sz="0" w:space="0" w:color="auto"/>
            <w:right w:val="none" w:sz="0" w:space="0" w:color="auto"/>
          </w:divBdr>
        </w:div>
        <w:div w:id="1040739464">
          <w:marLeft w:val="640"/>
          <w:marRight w:val="0"/>
          <w:marTop w:val="0"/>
          <w:marBottom w:val="0"/>
          <w:divBdr>
            <w:top w:val="none" w:sz="0" w:space="0" w:color="auto"/>
            <w:left w:val="none" w:sz="0" w:space="0" w:color="auto"/>
            <w:bottom w:val="none" w:sz="0" w:space="0" w:color="auto"/>
            <w:right w:val="none" w:sz="0" w:space="0" w:color="auto"/>
          </w:divBdr>
        </w:div>
        <w:div w:id="1144738694">
          <w:marLeft w:val="640"/>
          <w:marRight w:val="0"/>
          <w:marTop w:val="0"/>
          <w:marBottom w:val="0"/>
          <w:divBdr>
            <w:top w:val="none" w:sz="0" w:space="0" w:color="auto"/>
            <w:left w:val="none" w:sz="0" w:space="0" w:color="auto"/>
            <w:bottom w:val="none" w:sz="0" w:space="0" w:color="auto"/>
            <w:right w:val="none" w:sz="0" w:space="0" w:color="auto"/>
          </w:divBdr>
        </w:div>
        <w:div w:id="1399742265">
          <w:marLeft w:val="640"/>
          <w:marRight w:val="0"/>
          <w:marTop w:val="0"/>
          <w:marBottom w:val="0"/>
          <w:divBdr>
            <w:top w:val="none" w:sz="0" w:space="0" w:color="auto"/>
            <w:left w:val="none" w:sz="0" w:space="0" w:color="auto"/>
            <w:bottom w:val="none" w:sz="0" w:space="0" w:color="auto"/>
            <w:right w:val="none" w:sz="0" w:space="0" w:color="auto"/>
          </w:divBdr>
        </w:div>
        <w:div w:id="1286959345">
          <w:marLeft w:val="640"/>
          <w:marRight w:val="0"/>
          <w:marTop w:val="0"/>
          <w:marBottom w:val="0"/>
          <w:divBdr>
            <w:top w:val="none" w:sz="0" w:space="0" w:color="auto"/>
            <w:left w:val="none" w:sz="0" w:space="0" w:color="auto"/>
            <w:bottom w:val="none" w:sz="0" w:space="0" w:color="auto"/>
            <w:right w:val="none" w:sz="0" w:space="0" w:color="auto"/>
          </w:divBdr>
        </w:div>
        <w:div w:id="925458557">
          <w:marLeft w:val="640"/>
          <w:marRight w:val="0"/>
          <w:marTop w:val="0"/>
          <w:marBottom w:val="0"/>
          <w:divBdr>
            <w:top w:val="none" w:sz="0" w:space="0" w:color="auto"/>
            <w:left w:val="none" w:sz="0" w:space="0" w:color="auto"/>
            <w:bottom w:val="none" w:sz="0" w:space="0" w:color="auto"/>
            <w:right w:val="none" w:sz="0" w:space="0" w:color="auto"/>
          </w:divBdr>
        </w:div>
        <w:div w:id="327296454">
          <w:marLeft w:val="640"/>
          <w:marRight w:val="0"/>
          <w:marTop w:val="0"/>
          <w:marBottom w:val="0"/>
          <w:divBdr>
            <w:top w:val="none" w:sz="0" w:space="0" w:color="auto"/>
            <w:left w:val="none" w:sz="0" w:space="0" w:color="auto"/>
            <w:bottom w:val="none" w:sz="0" w:space="0" w:color="auto"/>
            <w:right w:val="none" w:sz="0" w:space="0" w:color="auto"/>
          </w:divBdr>
        </w:div>
        <w:div w:id="439304625">
          <w:marLeft w:val="640"/>
          <w:marRight w:val="0"/>
          <w:marTop w:val="0"/>
          <w:marBottom w:val="0"/>
          <w:divBdr>
            <w:top w:val="none" w:sz="0" w:space="0" w:color="auto"/>
            <w:left w:val="none" w:sz="0" w:space="0" w:color="auto"/>
            <w:bottom w:val="none" w:sz="0" w:space="0" w:color="auto"/>
            <w:right w:val="none" w:sz="0" w:space="0" w:color="auto"/>
          </w:divBdr>
        </w:div>
        <w:div w:id="913397893">
          <w:marLeft w:val="640"/>
          <w:marRight w:val="0"/>
          <w:marTop w:val="0"/>
          <w:marBottom w:val="0"/>
          <w:divBdr>
            <w:top w:val="none" w:sz="0" w:space="0" w:color="auto"/>
            <w:left w:val="none" w:sz="0" w:space="0" w:color="auto"/>
            <w:bottom w:val="none" w:sz="0" w:space="0" w:color="auto"/>
            <w:right w:val="none" w:sz="0" w:space="0" w:color="auto"/>
          </w:divBdr>
        </w:div>
        <w:div w:id="1718821246">
          <w:marLeft w:val="640"/>
          <w:marRight w:val="0"/>
          <w:marTop w:val="0"/>
          <w:marBottom w:val="0"/>
          <w:divBdr>
            <w:top w:val="none" w:sz="0" w:space="0" w:color="auto"/>
            <w:left w:val="none" w:sz="0" w:space="0" w:color="auto"/>
            <w:bottom w:val="none" w:sz="0" w:space="0" w:color="auto"/>
            <w:right w:val="none" w:sz="0" w:space="0" w:color="auto"/>
          </w:divBdr>
        </w:div>
        <w:div w:id="644503908">
          <w:marLeft w:val="640"/>
          <w:marRight w:val="0"/>
          <w:marTop w:val="0"/>
          <w:marBottom w:val="0"/>
          <w:divBdr>
            <w:top w:val="none" w:sz="0" w:space="0" w:color="auto"/>
            <w:left w:val="none" w:sz="0" w:space="0" w:color="auto"/>
            <w:bottom w:val="none" w:sz="0" w:space="0" w:color="auto"/>
            <w:right w:val="none" w:sz="0" w:space="0" w:color="auto"/>
          </w:divBdr>
        </w:div>
        <w:div w:id="1431438256">
          <w:marLeft w:val="640"/>
          <w:marRight w:val="0"/>
          <w:marTop w:val="0"/>
          <w:marBottom w:val="0"/>
          <w:divBdr>
            <w:top w:val="none" w:sz="0" w:space="0" w:color="auto"/>
            <w:left w:val="none" w:sz="0" w:space="0" w:color="auto"/>
            <w:bottom w:val="none" w:sz="0" w:space="0" w:color="auto"/>
            <w:right w:val="none" w:sz="0" w:space="0" w:color="auto"/>
          </w:divBdr>
        </w:div>
        <w:div w:id="1298489071">
          <w:marLeft w:val="640"/>
          <w:marRight w:val="0"/>
          <w:marTop w:val="0"/>
          <w:marBottom w:val="0"/>
          <w:divBdr>
            <w:top w:val="none" w:sz="0" w:space="0" w:color="auto"/>
            <w:left w:val="none" w:sz="0" w:space="0" w:color="auto"/>
            <w:bottom w:val="none" w:sz="0" w:space="0" w:color="auto"/>
            <w:right w:val="none" w:sz="0" w:space="0" w:color="auto"/>
          </w:divBdr>
        </w:div>
        <w:div w:id="753480364">
          <w:marLeft w:val="640"/>
          <w:marRight w:val="0"/>
          <w:marTop w:val="0"/>
          <w:marBottom w:val="0"/>
          <w:divBdr>
            <w:top w:val="none" w:sz="0" w:space="0" w:color="auto"/>
            <w:left w:val="none" w:sz="0" w:space="0" w:color="auto"/>
            <w:bottom w:val="none" w:sz="0" w:space="0" w:color="auto"/>
            <w:right w:val="none" w:sz="0" w:space="0" w:color="auto"/>
          </w:divBdr>
        </w:div>
        <w:div w:id="1502357562">
          <w:marLeft w:val="640"/>
          <w:marRight w:val="0"/>
          <w:marTop w:val="0"/>
          <w:marBottom w:val="0"/>
          <w:divBdr>
            <w:top w:val="none" w:sz="0" w:space="0" w:color="auto"/>
            <w:left w:val="none" w:sz="0" w:space="0" w:color="auto"/>
            <w:bottom w:val="none" w:sz="0" w:space="0" w:color="auto"/>
            <w:right w:val="none" w:sz="0" w:space="0" w:color="auto"/>
          </w:divBdr>
        </w:div>
        <w:div w:id="244803318">
          <w:marLeft w:val="640"/>
          <w:marRight w:val="0"/>
          <w:marTop w:val="0"/>
          <w:marBottom w:val="0"/>
          <w:divBdr>
            <w:top w:val="none" w:sz="0" w:space="0" w:color="auto"/>
            <w:left w:val="none" w:sz="0" w:space="0" w:color="auto"/>
            <w:bottom w:val="none" w:sz="0" w:space="0" w:color="auto"/>
            <w:right w:val="none" w:sz="0" w:space="0" w:color="auto"/>
          </w:divBdr>
        </w:div>
        <w:div w:id="1124733004">
          <w:marLeft w:val="640"/>
          <w:marRight w:val="0"/>
          <w:marTop w:val="0"/>
          <w:marBottom w:val="0"/>
          <w:divBdr>
            <w:top w:val="none" w:sz="0" w:space="0" w:color="auto"/>
            <w:left w:val="none" w:sz="0" w:space="0" w:color="auto"/>
            <w:bottom w:val="none" w:sz="0" w:space="0" w:color="auto"/>
            <w:right w:val="none" w:sz="0" w:space="0" w:color="auto"/>
          </w:divBdr>
        </w:div>
        <w:div w:id="1202127465">
          <w:marLeft w:val="640"/>
          <w:marRight w:val="0"/>
          <w:marTop w:val="0"/>
          <w:marBottom w:val="0"/>
          <w:divBdr>
            <w:top w:val="none" w:sz="0" w:space="0" w:color="auto"/>
            <w:left w:val="none" w:sz="0" w:space="0" w:color="auto"/>
            <w:bottom w:val="none" w:sz="0" w:space="0" w:color="auto"/>
            <w:right w:val="none" w:sz="0" w:space="0" w:color="auto"/>
          </w:divBdr>
        </w:div>
        <w:div w:id="1321344990">
          <w:marLeft w:val="640"/>
          <w:marRight w:val="0"/>
          <w:marTop w:val="0"/>
          <w:marBottom w:val="0"/>
          <w:divBdr>
            <w:top w:val="none" w:sz="0" w:space="0" w:color="auto"/>
            <w:left w:val="none" w:sz="0" w:space="0" w:color="auto"/>
            <w:bottom w:val="none" w:sz="0" w:space="0" w:color="auto"/>
            <w:right w:val="none" w:sz="0" w:space="0" w:color="auto"/>
          </w:divBdr>
        </w:div>
        <w:div w:id="142621307">
          <w:marLeft w:val="640"/>
          <w:marRight w:val="0"/>
          <w:marTop w:val="0"/>
          <w:marBottom w:val="0"/>
          <w:divBdr>
            <w:top w:val="none" w:sz="0" w:space="0" w:color="auto"/>
            <w:left w:val="none" w:sz="0" w:space="0" w:color="auto"/>
            <w:bottom w:val="none" w:sz="0" w:space="0" w:color="auto"/>
            <w:right w:val="none" w:sz="0" w:space="0" w:color="auto"/>
          </w:divBdr>
        </w:div>
        <w:div w:id="1591087655">
          <w:marLeft w:val="640"/>
          <w:marRight w:val="0"/>
          <w:marTop w:val="0"/>
          <w:marBottom w:val="0"/>
          <w:divBdr>
            <w:top w:val="none" w:sz="0" w:space="0" w:color="auto"/>
            <w:left w:val="none" w:sz="0" w:space="0" w:color="auto"/>
            <w:bottom w:val="none" w:sz="0" w:space="0" w:color="auto"/>
            <w:right w:val="none" w:sz="0" w:space="0" w:color="auto"/>
          </w:divBdr>
        </w:div>
        <w:div w:id="1148475394">
          <w:marLeft w:val="640"/>
          <w:marRight w:val="0"/>
          <w:marTop w:val="0"/>
          <w:marBottom w:val="0"/>
          <w:divBdr>
            <w:top w:val="none" w:sz="0" w:space="0" w:color="auto"/>
            <w:left w:val="none" w:sz="0" w:space="0" w:color="auto"/>
            <w:bottom w:val="none" w:sz="0" w:space="0" w:color="auto"/>
            <w:right w:val="none" w:sz="0" w:space="0" w:color="auto"/>
          </w:divBdr>
        </w:div>
        <w:div w:id="609167570">
          <w:marLeft w:val="640"/>
          <w:marRight w:val="0"/>
          <w:marTop w:val="0"/>
          <w:marBottom w:val="0"/>
          <w:divBdr>
            <w:top w:val="none" w:sz="0" w:space="0" w:color="auto"/>
            <w:left w:val="none" w:sz="0" w:space="0" w:color="auto"/>
            <w:bottom w:val="none" w:sz="0" w:space="0" w:color="auto"/>
            <w:right w:val="none" w:sz="0" w:space="0" w:color="auto"/>
          </w:divBdr>
        </w:div>
        <w:div w:id="1257443600">
          <w:marLeft w:val="640"/>
          <w:marRight w:val="0"/>
          <w:marTop w:val="0"/>
          <w:marBottom w:val="0"/>
          <w:divBdr>
            <w:top w:val="none" w:sz="0" w:space="0" w:color="auto"/>
            <w:left w:val="none" w:sz="0" w:space="0" w:color="auto"/>
            <w:bottom w:val="none" w:sz="0" w:space="0" w:color="auto"/>
            <w:right w:val="none" w:sz="0" w:space="0" w:color="auto"/>
          </w:divBdr>
        </w:div>
        <w:div w:id="1238444418">
          <w:marLeft w:val="640"/>
          <w:marRight w:val="0"/>
          <w:marTop w:val="0"/>
          <w:marBottom w:val="0"/>
          <w:divBdr>
            <w:top w:val="none" w:sz="0" w:space="0" w:color="auto"/>
            <w:left w:val="none" w:sz="0" w:space="0" w:color="auto"/>
            <w:bottom w:val="none" w:sz="0" w:space="0" w:color="auto"/>
            <w:right w:val="none" w:sz="0" w:space="0" w:color="auto"/>
          </w:divBdr>
        </w:div>
        <w:div w:id="1212225241">
          <w:marLeft w:val="640"/>
          <w:marRight w:val="0"/>
          <w:marTop w:val="0"/>
          <w:marBottom w:val="0"/>
          <w:divBdr>
            <w:top w:val="none" w:sz="0" w:space="0" w:color="auto"/>
            <w:left w:val="none" w:sz="0" w:space="0" w:color="auto"/>
            <w:bottom w:val="none" w:sz="0" w:space="0" w:color="auto"/>
            <w:right w:val="none" w:sz="0" w:space="0" w:color="auto"/>
          </w:divBdr>
        </w:div>
        <w:div w:id="1391072858">
          <w:marLeft w:val="640"/>
          <w:marRight w:val="0"/>
          <w:marTop w:val="0"/>
          <w:marBottom w:val="0"/>
          <w:divBdr>
            <w:top w:val="none" w:sz="0" w:space="0" w:color="auto"/>
            <w:left w:val="none" w:sz="0" w:space="0" w:color="auto"/>
            <w:bottom w:val="none" w:sz="0" w:space="0" w:color="auto"/>
            <w:right w:val="none" w:sz="0" w:space="0" w:color="auto"/>
          </w:divBdr>
        </w:div>
        <w:div w:id="35276819">
          <w:marLeft w:val="640"/>
          <w:marRight w:val="0"/>
          <w:marTop w:val="0"/>
          <w:marBottom w:val="0"/>
          <w:divBdr>
            <w:top w:val="none" w:sz="0" w:space="0" w:color="auto"/>
            <w:left w:val="none" w:sz="0" w:space="0" w:color="auto"/>
            <w:bottom w:val="none" w:sz="0" w:space="0" w:color="auto"/>
            <w:right w:val="none" w:sz="0" w:space="0" w:color="auto"/>
          </w:divBdr>
        </w:div>
        <w:div w:id="474107410">
          <w:marLeft w:val="640"/>
          <w:marRight w:val="0"/>
          <w:marTop w:val="0"/>
          <w:marBottom w:val="0"/>
          <w:divBdr>
            <w:top w:val="none" w:sz="0" w:space="0" w:color="auto"/>
            <w:left w:val="none" w:sz="0" w:space="0" w:color="auto"/>
            <w:bottom w:val="none" w:sz="0" w:space="0" w:color="auto"/>
            <w:right w:val="none" w:sz="0" w:space="0" w:color="auto"/>
          </w:divBdr>
        </w:div>
        <w:div w:id="217865972">
          <w:marLeft w:val="640"/>
          <w:marRight w:val="0"/>
          <w:marTop w:val="0"/>
          <w:marBottom w:val="0"/>
          <w:divBdr>
            <w:top w:val="none" w:sz="0" w:space="0" w:color="auto"/>
            <w:left w:val="none" w:sz="0" w:space="0" w:color="auto"/>
            <w:bottom w:val="none" w:sz="0" w:space="0" w:color="auto"/>
            <w:right w:val="none" w:sz="0" w:space="0" w:color="auto"/>
          </w:divBdr>
        </w:div>
        <w:div w:id="376660270">
          <w:marLeft w:val="640"/>
          <w:marRight w:val="0"/>
          <w:marTop w:val="0"/>
          <w:marBottom w:val="0"/>
          <w:divBdr>
            <w:top w:val="none" w:sz="0" w:space="0" w:color="auto"/>
            <w:left w:val="none" w:sz="0" w:space="0" w:color="auto"/>
            <w:bottom w:val="none" w:sz="0" w:space="0" w:color="auto"/>
            <w:right w:val="none" w:sz="0" w:space="0" w:color="auto"/>
          </w:divBdr>
        </w:div>
        <w:div w:id="1281952738">
          <w:marLeft w:val="640"/>
          <w:marRight w:val="0"/>
          <w:marTop w:val="0"/>
          <w:marBottom w:val="0"/>
          <w:divBdr>
            <w:top w:val="none" w:sz="0" w:space="0" w:color="auto"/>
            <w:left w:val="none" w:sz="0" w:space="0" w:color="auto"/>
            <w:bottom w:val="none" w:sz="0" w:space="0" w:color="auto"/>
            <w:right w:val="none" w:sz="0" w:space="0" w:color="auto"/>
          </w:divBdr>
        </w:div>
        <w:div w:id="1643997196">
          <w:marLeft w:val="640"/>
          <w:marRight w:val="0"/>
          <w:marTop w:val="0"/>
          <w:marBottom w:val="0"/>
          <w:divBdr>
            <w:top w:val="none" w:sz="0" w:space="0" w:color="auto"/>
            <w:left w:val="none" w:sz="0" w:space="0" w:color="auto"/>
            <w:bottom w:val="none" w:sz="0" w:space="0" w:color="auto"/>
            <w:right w:val="none" w:sz="0" w:space="0" w:color="auto"/>
          </w:divBdr>
        </w:div>
      </w:divsChild>
    </w:div>
    <w:div w:id="804158942">
      <w:bodyDiv w:val="1"/>
      <w:marLeft w:val="0"/>
      <w:marRight w:val="0"/>
      <w:marTop w:val="0"/>
      <w:marBottom w:val="0"/>
      <w:divBdr>
        <w:top w:val="none" w:sz="0" w:space="0" w:color="auto"/>
        <w:left w:val="none" w:sz="0" w:space="0" w:color="auto"/>
        <w:bottom w:val="none" w:sz="0" w:space="0" w:color="auto"/>
        <w:right w:val="none" w:sz="0" w:space="0" w:color="auto"/>
      </w:divBdr>
      <w:divsChild>
        <w:div w:id="1626422262">
          <w:marLeft w:val="640"/>
          <w:marRight w:val="0"/>
          <w:marTop w:val="0"/>
          <w:marBottom w:val="0"/>
          <w:divBdr>
            <w:top w:val="none" w:sz="0" w:space="0" w:color="auto"/>
            <w:left w:val="none" w:sz="0" w:space="0" w:color="auto"/>
            <w:bottom w:val="none" w:sz="0" w:space="0" w:color="auto"/>
            <w:right w:val="none" w:sz="0" w:space="0" w:color="auto"/>
          </w:divBdr>
        </w:div>
        <w:div w:id="1780683692">
          <w:marLeft w:val="640"/>
          <w:marRight w:val="0"/>
          <w:marTop w:val="0"/>
          <w:marBottom w:val="0"/>
          <w:divBdr>
            <w:top w:val="none" w:sz="0" w:space="0" w:color="auto"/>
            <w:left w:val="none" w:sz="0" w:space="0" w:color="auto"/>
            <w:bottom w:val="none" w:sz="0" w:space="0" w:color="auto"/>
            <w:right w:val="none" w:sz="0" w:space="0" w:color="auto"/>
          </w:divBdr>
        </w:div>
        <w:div w:id="1443845724">
          <w:marLeft w:val="640"/>
          <w:marRight w:val="0"/>
          <w:marTop w:val="0"/>
          <w:marBottom w:val="0"/>
          <w:divBdr>
            <w:top w:val="none" w:sz="0" w:space="0" w:color="auto"/>
            <w:left w:val="none" w:sz="0" w:space="0" w:color="auto"/>
            <w:bottom w:val="none" w:sz="0" w:space="0" w:color="auto"/>
            <w:right w:val="none" w:sz="0" w:space="0" w:color="auto"/>
          </w:divBdr>
        </w:div>
        <w:div w:id="79303473">
          <w:marLeft w:val="640"/>
          <w:marRight w:val="0"/>
          <w:marTop w:val="0"/>
          <w:marBottom w:val="0"/>
          <w:divBdr>
            <w:top w:val="none" w:sz="0" w:space="0" w:color="auto"/>
            <w:left w:val="none" w:sz="0" w:space="0" w:color="auto"/>
            <w:bottom w:val="none" w:sz="0" w:space="0" w:color="auto"/>
            <w:right w:val="none" w:sz="0" w:space="0" w:color="auto"/>
          </w:divBdr>
        </w:div>
        <w:div w:id="1940991802">
          <w:marLeft w:val="640"/>
          <w:marRight w:val="0"/>
          <w:marTop w:val="0"/>
          <w:marBottom w:val="0"/>
          <w:divBdr>
            <w:top w:val="none" w:sz="0" w:space="0" w:color="auto"/>
            <w:left w:val="none" w:sz="0" w:space="0" w:color="auto"/>
            <w:bottom w:val="none" w:sz="0" w:space="0" w:color="auto"/>
            <w:right w:val="none" w:sz="0" w:space="0" w:color="auto"/>
          </w:divBdr>
        </w:div>
        <w:div w:id="1394229930">
          <w:marLeft w:val="640"/>
          <w:marRight w:val="0"/>
          <w:marTop w:val="0"/>
          <w:marBottom w:val="0"/>
          <w:divBdr>
            <w:top w:val="none" w:sz="0" w:space="0" w:color="auto"/>
            <w:left w:val="none" w:sz="0" w:space="0" w:color="auto"/>
            <w:bottom w:val="none" w:sz="0" w:space="0" w:color="auto"/>
            <w:right w:val="none" w:sz="0" w:space="0" w:color="auto"/>
          </w:divBdr>
        </w:div>
        <w:div w:id="817066013">
          <w:marLeft w:val="640"/>
          <w:marRight w:val="0"/>
          <w:marTop w:val="0"/>
          <w:marBottom w:val="0"/>
          <w:divBdr>
            <w:top w:val="none" w:sz="0" w:space="0" w:color="auto"/>
            <w:left w:val="none" w:sz="0" w:space="0" w:color="auto"/>
            <w:bottom w:val="none" w:sz="0" w:space="0" w:color="auto"/>
            <w:right w:val="none" w:sz="0" w:space="0" w:color="auto"/>
          </w:divBdr>
        </w:div>
        <w:div w:id="333647765">
          <w:marLeft w:val="640"/>
          <w:marRight w:val="0"/>
          <w:marTop w:val="0"/>
          <w:marBottom w:val="0"/>
          <w:divBdr>
            <w:top w:val="none" w:sz="0" w:space="0" w:color="auto"/>
            <w:left w:val="none" w:sz="0" w:space="0" w:color="auto"/>
            <w:bottom w:val="none" w:sz="0" w:space="0" w:color="auto"/>
            <w:right w:val="none" w:sz="0" w:space="0" w:color="auto"/>
          </w:divBdr>
        </w:div>
        <w:div w:id="1826631426">
          <w:marLeft w:val="640"/>
          <w:marRight w:val="0"/>
          <w:marTop w:val="0"/>
          <w:marBottom w:val="0"/>
          <w:divBdr>
            <w:top w:val="none" w:sz="0" w:space="0" w:color="auto"/>
            <w:left w:val="none" w:sz="0" w:space="0" w:color="auto"/>
            <w:bottom w:val="none" w:sz="0" w:space="0" w:color="auto"/>
            <w:right w:val="none" w:sz="0" w:space="0" w:color="auto"/>
          </w:divBdr>
        </w:div>
        <w:div w:id="1901359207">
          <w:marLeft w:val="640"/>
          <w:marRight w:val="0"/>
          <w:marTop w:val="0"/>
          <w:marBottom w:val="0"/>
          <w:divBdr>
            <w:top w:val="none" w:sz="0" w:space="0" w:color="auto"/>
            <w:left w:val="none" w:sz="0" w:space="0" w:color="auto"/>
            <w:bottom w:val="none" w:sz="0" w:space="0" w:color="auto"/>
            <w:right w:val="none" w:sz="0" w:space="0" w:color="auto"/>
          </w:divBdr>
        </w:div>
        <w:div w:id="290602303">
          <w:marLeft w:val="640"/>
          <w:marRight w:val="0"/>
          <w:marTop w:val="0"/>
          <w:marBottom w:val="0"/>
          <w:divBdr>
            <w:top w:val="none" w:sz="0" w:space="0" w:color="auto"/>
            <w:left w:val="none" w:sz="0" w:space="0" w:color="auto"/>
            <w:bottom w:val="none" w:sz="0" w:space="0" w:color="auto"/>
            <w:right w:val="none" w:sz="0" w:space="0" w:color="auto"/>
          </w:divBdr>
        </w:div>
        <w:div w:id="168645167">
          <w:marLeft w:val="640"/>
          <w:marRight w:val="0"/>
          <w:marTop w:val="0"/>
          <w:marBottom w:val="0"/>
          <w:divBdr>
            <w:top w:val="none" w:sz="0" w:space="0" w:color="auto"/>
            <w:left w:val="none" w:sz="0" w:space="0" w:color="auto"/>
            <w:bottom w:val="none" w:sz="0" w:space="0" w:color="auto"/>
            <w:right w:val="none" w:sz="0" w:space="0" w:color="auto"/>
          </w:divBdr>
        </w:div>
        <w:div w:id="881328638">
          <w:marLeft w:val="640"/>
          <w:marRight w:val="0"/>
          <w:marTop w:val="0"/>
          <w:marBottom w:val="0"/>
          <w:divBdr>
            <w:top w:val="none" w:sz="0" w:space="0" w:color="auto"/>
            <w:left w:val="none" w:sz="0" w:space="0" w:color="auto"/>
            <w:bottom w:val="none" w:sz="0" w:space="0" w:color="auto"/>
            <w:right w:val="none" w:sz="0" w:space="0" w:color="auto"/>
          </w:divBdr>
        </w:div>
        <w:div w:id="1884369664">
          <w:marLeft w:val="640"/>
          <w:marRight w:val="0"/>
          <w:marTop w:val="0"/>
          <w:marBottom w:val="0"/>
          <w:divBdr>
            <w:top w:val="none" w:sz="0" w:space="0" w:color="auto"/>
            <w:left w:val="none" w:sz="0" w:space="0" w:color="auto"/>
            <w:bottom w:val="none" w:sz="0" w:space="0" w:color="auto"/>
            <w:right w:val="none" w:sz="0" w:space="0" w:color="auto"/>
          </w:divBdr>
        </w:div>
        <w:div w:id="1338920180">
          <w:marLeft w:val="640"/>
          <w:marRight w:val="0"/>
          <w:marTop w:val="0"/>
          <w:marBottom w:val="0"/>
          <w:divBdr>
            <w:top w:val="none" w:sz="0" w:space="0" w:color="auto"/>
            <w:left w:val="none" w:sz="0" w:space="0" w:color="auto"/>
            <w:bottom w:val="none" w:sz="0" w:space="0" w:color="auto"/>
            <w:right w:val="none" w:sz="0" w:space="0" w:color="auto"/>
          </w:divBdr>
        </w:div>
        <w:div w:id="1393693848">
          <w:marLeft w:val="640"/>
          <w:marRight w:val="0"/>
          <w:marTop w:val="0"/>
          <w:marBottom w:val="0"/>
          <w:divBdr>
            <w:top w:val="none" w:sz="0" w:space="0" w:color="auto"/>
            <w:left w:val="none" w:sz="0" w:space="0" w:color="auto"/>
            <w:bottom w:val="none" w:sz="0" w:space="0" w:color="auto"/>
            <w:right w:val="none" w:sz="0" w:space="0" w:color="auto"/>
          </w:divBdr>
        </w:div>
        <w:div w:id="1863350613">
          <w:marLeft w:val="640"/>
          <w:marRight w:val="0"/>
          <w:marTop w:val="0"/>
          <w:marBottom w:val="0"/>
          <w:divBdr>
            <w:top w:val="none" w:sz="0" w:space="0" w:color="auto"/>
            <w:left w:val="none" w:sz="0" w:space="0" w:color="auto"/>
            <w:bottom w:val="none" w:sz="0" w:space="0" w:color="auto"/>
            <w:right w:val="none" w:sz="0" w:space="0" w:color="auto"/>
          </w:divBdr>
        </w:div>
        <w:div w:id="142091908">
          <w:marLeft w:val="640"/>
          <w:marRight w:val="0"/>
          <w:marTop w:val="0"/>
          <w:marBottom w:val="0"/>
          <w:divBdr>
            <w:top w:val="none" w:sz="0" w:space="0" w:color="auto"/>
            <w:left w:val="none" w:sz="0" w:space="0" w:color="auto"/>
            <w:bottom w:val="none" w:sz="0" w:space="0" w:color="auto"/>
            <w:right w:val="none" w:sz="0" w:space="0" w:color="auto"/>
          </w:divBdr>
        </w:div>
        <w:div w:id="856886327">
          <w:marLeft w:val="640"/>
          <w:marRight w:val="0"/>
          <w:marTop w:val="0"/>
          <w:marBottom w:val="0"/>
          <w:divBdr>
            <w:top w:val="none" w:sz="0" w:space="0" w:color="auto"/>
            <w:left w:val="none" w:sz="0" w:space="0" w:color="auto"/>
            <w:bottom w:val="none" w:sz="0" w:space="0" w:color="auto"/>
            <w:right w:val="none" w:sz="0" w:space="0" w:color="auto"/>
          </w:divBdr>
        </w:div>
        <w:div w:id="963081863">
          <w:marLeft w:val="640"/>
          <w:marRight w:val="0"/>
          <w:marTop w:val="0"/>
          <w:marBottom w:val="0"/>
          <w:divBdr>
            <w:top w:val="none" w:sz="0" w:space="0" w:color="auto"/>
            <w:left w:val="none" w:sz="0" w:space="0" w:color="auto"/>
            <w:bottom w:val="none" w:sz="0" w:space="0" w:color="auto"/>
            <w:right w:val="none" w:sz="0" w:space="0" w:color="auto"/>
          </w:divBdr>
        </w:div>
        <w:div w:id="1788547324">
          <w:marLeft w:val="640"/>
          <w:marRight w:val="0"/>
          <w:marTop w:val="0"/>
          <w:marBottom w:val="0"/>
          <w:divBdr>
            <w:top w:val="none" w:sz="0" w:space="0" w:color="auto"/>
            <w:left w:val="none" w:sz="0" w:space="0" w:color="auto"/>
            <w:bottom w:val="none" w:sz="0" w:space="0" w:color="auto"/>
            <w:right w:val="none" w:sz="0" w:space="0" w:color="auto"/>
          </w:divBdr>
        </w:div>
        <w:div w:id="275917709">
          <w:marLeft w:val="640"/>
          <w:marRight w:val="0"/>
          <w:marTop w:val="0"/>
          <w:marBottom w:val="0"/>
          <w:divBdr>
            <w:top w:val="none" w:sz="0" w:space="0" w:color="auto"/>
            <w:left w:val="none" w:sz="0" w:space="0" w:color="auto"/>
            <w:bottom w:val="none" w:sz="0" w:space="0" w:color="auto"/>
            <w:right w:val="none" w:sz="0" w:space="0" w:color="auto"/>
          </w:divBdr>
        </w:div>
        <w:div w:id="1071275973">
          <w:marLeft w:val="640"/>
          <w:marRight w:val="0"/>
          <w:marTop w:val="0"/>
          <w:marBottom w:val="0"/>
          <w:divBdr>
            <w:top w:val="none" w:sz="0" w:space="0" w:color="auto"/>
            <w:left w:val="none" w:sz="0" w:space="0" w:color="auto"/>
            <w:bottom w:val="none" w:sz="0" w:space="0" w:color="auto"/>
            <w:right w:val="none" w:sz="0" w:space="0" w:color="auto"/>
          </w:divBdr>
        </w:div>
        <w:div w:id="2001539747">
          <w:marLeft w:val="640"/>
          <w:marRight w:val="0"/>
          <w:marTop w:val="0"/>
          <w:marBottom w:val="0"/>
          <w:divBdr>
            <w:top w:val="none" w:sz="0" w:space="0" w:color="auto"/>
            <w:left w:val="none" w:sz="0" w:space="0" w:color="auto"/>
            <w:bottom w:val="none" w:sz="0" w:space="0" w:color="auto"/>
            <w:right w:val="none" w:sz="0" w:space="0" w:color="auto"/>
          </w:divBdr>
        </w:div>
        <w:div w:id="489902644">
          <w:marLeft w:val="640"/>
          <w:marRight w:val="0"/>
          <w:marTop w:val="0"/>
          <w:marBottom w:val="0"/>
          <w:divBdr>
            <w:top w:val="none" w:sz="0" w:space="0" w:color="auto"/>
            <w:left w:val="none" w:sz="0" w:space="0" w:color="auto"/>
            <w:bottom w:val="none" w:sz="0" w:space="0" w:color="auto"/>
            <w:right w:val="none" w:sz="0" w:space="0" w:color="auto"/>
          </w:divBdr>
        </w:div>
        <w:div w:id="630941027">
          <w:marLeft w:val="640"/>
          <w:marRight w:val="0"/>
          <w:marTop w:val="0"/>
          <w:marBottom w:val="0"/>
          <w:divBdr>
            <w:top w:val="none" w:sz="0" w:space="0" w:color="auto"/>
            <w:left w:val="none" w:sz="0" w:space="0" w:color="auto"/>
            <w:bottom w:val="none" w:sz="0" w:space="0" w:color="auto"/>
            <w:right w:val="none" w:sz="0" w:space="0" w:color="auto"/>
          </w:divBdr>
        </w:div>
        <w:div w:id="790784215">
          <w:marLeft w:val="640"/>
          <w:marRight w:val="0"/>
          <w:marTop w:val="0"/>
          <w:marBottom w:val="0"/>
          <w:divBdr>
            <w:top w:val="none" w:sz="0" w:space="0" w:color="auto"/>
            <w:left w:val="none" w:sz="0" w:space="0" w:color="auto"/>
            <w:bottom w:val="none" w:sz="0" w:space="0" w:color="auto"/>
            <w:right w:val="none" w:sz="0" w:space="0" w:color="auto"/>
          </w:divBdr>
        </w:div>
        <w:div w:id="547497122">
          <w:marLeft w:val="640"/>
          <w:marRight w:val="0"/>
          <w:marTop w:val="0"/>
          <w:marBottom w:val="0"/>
          <w:divBdr>
            <w:top w:val="none" w:sz="0" w:space="0" w:color="auto"/>
            <w:left w:val="none" w:sz="0" w:space="0" w:color="auto"/>
            <w:bottom w:val="none" w:sz="0" w:space="0" w:color="auto"/>
            <w:right w:val="none" w:sz="0" w:space="0" w:color="auto"/>
          </w:divBdr>
        </w:div>
        <w:div w:id="611475011">
          <w:marLeft w:val="640"/>
          <w:marRight w:val="0"/>
          <w:marTop w:val="0"/>
          <w:marBottom w:val="0"/>
          <w:divBdr>
            <w:top w:val="none" w:sz="0" w:space="0" w:color="auto"/>
            <w:left w:val="none" w:sz="0" w:space="0" w:color="auto"/>
            <w:bottom w:val="none" w:sz="0" w:space="0" w:color="auto"/>
            <w:right w:val="none" w:sz="0" w:space="0" w:color="auto"/>
          </w:divBdr>
        </w:div>
        <w:div w:id="540900269">
          <w:marLeft w:val="640"/>
          <w:marRight w:val="0"/>
          <w:marTop w:val="0"/>
          <w:marBottom w:val="0"/>
          <w:divBdr>
            <w:top w:val="none" w:sz="0" w:space="0" w:color="auto"/>
            <w:left w:val="none" w:sz="0" w:space="0" w:color="auto"/>
            <w:bottom w:val="none" w:sz="0" w:space="0" w:color="auto"/>
            <w:right w:val="none" w:sz="0" w:space="0" w:color="auto"/>
          </w:divBdr>
        </w:div>
        <w:div w:id="285428368">
          <w:marLeft w:val="640"/>
          <w:marRight w:val="0"/>
          <w:marTop w:val="0"/>
          <w:marBottom w:val="0"/>
          <w:divBdr>
            <w:top w:val="none" w:sz="0" w:space="0" w:color="auto"/>
            <w:left w:val="none" w:sz="0" w:space="0" w:color="auto"/>
            <w:bottom w:val="none" w:sz="0" w:space="0" w:color="auto"/>
            <w:right w:val="none" w:sz="0" w:space="0" w:color="auto"/>
          </w:divBdr>
        </w:div>
        <w:div w:id="1350109744">
          <w:marLeft w:val="640"/>
          <w:marRight w:val="0"/>
          <w:marTop w:val="0"/>
          <w:marBottom w:val="0"/>
          <w:divBdr>
            <w:top w:val="none" w:sz="0" w:space="0" w:color="auto"/>
            <w:left w:val="none" w:sz="0" w:space="0" w:color="auto"/>
            <w:bottom w:val="none" w:sz="0" w:space="0" w:color="auto"/>
            <w:right w:val="none" w:sz="0" w:space="0" w:color="auto"/>
          </w:divBdr>
        </w:div>
        <w:div w:id="642780249">
          <w:marLeft w:val="640"/>
          <w:marRight w:val="0"/>
          <w:marTop w:val="0"/>
          <w:marBottom w:val="0"/>
          <w:divBdr>
            <w:top w:val="none" w:sz="0" w:space="0" w:color="auto"/>
            <w:left w:val="none" w:sz="0" w:space="0" w:color="auto"/>
            <w:bottom w:val="none" w:sz="0" w:space="0" w:color="auto"/>
            <w:right w:val="none" w:sz="0" w:space="0" w:color="auto"/>
          </w:divBdr>
        </w:div>
        <w:div w:id="361051497">
          <w:marLeft w:val="640"/>
          <w:marRight w:val="0"/>
          <w:marTop w:val="0"/>
          <w:marBottom w:val="0"/>
          <w:divBdr>
            <w:top w:val="none" w:sz="0" w:space="0" w:color="auto"/>
            <w:left w:val="none" w:sz="0" w:space="0" w:color="auto"/>
            <w:bottom w:val="none" w:sz="0" w:space="0" w:color="auto"/>
            <w:right w:val="none" w:sz="0" w:space="0" w:color="auto"/>
          </w:divBdr>
        </w:div>
        <w:div w:id="191235188">
          <w:marLeft w:val="640"/>
          <w:marRight w:val="0"/>
          <w:marTop w:val="0"/>
          <w:marBottom w:val="0"/>
          <w:divBdr>
            <w:top w:val="none" w:sz="0" w:space="0" w:color="auto"/>
            <w:left w:val="none" w:sz="0" w:space="0" w:color="auto"/>
            <w:bottom w:val="none" w:sz="0" w:space="0" w:color="auto"/>
            <w:right w:val="none" w:sz="0" w:space="0" w:color="auto"/>
          </w:divBdr>
        </w:div>
        <w:div w:id="343097562">
          <w:marLeft w:val="640"/>
          <w:marRight w:val="0"/>
          <w:marTop w:val="0"/>
          <w:marBottom w:val="0"/>
          <w:divBdr>
            <w:top w:val="none" w:sz="0" w:space="0" w:color="auto"/>
            <w:left w:val="none" w:sz="0" w:space="0" w:color="auto"/>
            <w:bottom w:val="none" w:sz="0" w:space="0" w:color="auto"/>
            <w:right w:val="none" w:sz="0" w:space="0" w:color="auto"/>
          </w:divBdr>
        </w:div>
        <w:div w:id="1218470485">
          <w:marLeft w:val="640"/>
          <w:marRight w:val="0"/>
          <w:marTop w:val="0"/>
          <w:marBottom w:val="0"/>
          <w:divBdr>
            <w:top w:val="none" w:sz="0" w:space="0" w:color="auto"/>
            <w:left w:val="none" w:sz="0" w:space="0" w:color="auto"/>
            <w:bottom w:val="none" w:sz="0" w:space="0" w:color="auto"/>
            <w:right w:val="none" w:sz="0" w:space="0" w:color="auto"/>
          </w:divBdr>
        </w:div>
        <w:div w:id="116025219">
          <w:marLeft w:val="640"/>
          <w:marRight w:val="0"/>
          <w:marTop w:val="0"/>
          <w:marBottom w:val="0"/>
          <w:divBdr>
            <w:top w:val="none" w:sz="0" w:space="0" w:color="auto"/>
            <w:left w:val="none" w:sz="0" w:space="0" w:color="auto"/>
            <w:bottom w:val="none" w:sz="0" w:space="0" w:color="auto"/>
            <w:right w:val="none" w:sz="0" w:space="0" w:color="auto"/>
          </w:divBdr>
        </w:div>
        <w:div w:id="623732032">
          <w:marLeft w:val="640"/>
          <w:marRight w:val="0"/>
          <w:marTop w:val="0"/>
          <w:marBottom w:val="0"/>
          <w:divBdr>
            <w:top w:val="none" w:sz="0" w:space="0" w:color="auto"/>
            <w:left w:val="none" w:sz="0" w:space="0" w:color="auto"/>
            <w:bottom w:val="none" w:sz="0" w:space="0" w:color="auto"/>
            <w:right w:val="none" w:sz="0" w:space="0" w:color="auto"/>
          </w:divBdr>
        </w:div>
        <w:div w:id="2141455056">
          <w:marLeft w:val="640"/>
          <w:marRight w:val="0"/>
          <w:marTop w:val="0"/>
          <w:marBottom w:val="0"/>
          <w:divBdr>
            <w:top w:val="none" w:sz="0" w:space="0" w:color="auto"/>
            <w:left w:val="none" w:sz="0" w:space="0" w:color="auto"/>
            <w:bottom w:val="none" w:sz="0" w:space="0" w:color="auto"/>
            <w:right w:val="none" w:sz="0" w:space="0" w:color="auto"/>
          </w:divBdr>
        </w:div>
        <w:div w:id="2040660258">
          <w:marLeft w:val="640"/>
          <w:marRight w:val="0"/>
          <w:marTop w:val="0"/>
          <w:marBottom w:val="0"/>
          <w:divBdr>
            <w:top w:val="none" w:sz="0" w:space="0" w:color="auto"/>
            <w:left w:val="none" w:sz="0" w:space="0" w:color="auto"/>
            <w:bottom w:val="none" w:sz="0" w:space="0" w:color="auto"/>
            <w:right w:val="none" w:sz="0" w:space="0" w:color="auto"/>
          </w:divBdr>
        </w:div>
        <w:div w:id="387388720">
          <w:marLeft w:val="640"/>
          <w:marRight w:val="0"/>
          <w:marTop w:val="0"/>
          <w:marBottom w:val="0"/>
          <w:divBdr>
            <w:top w:val="none" w:sz="0" w:space="0" w:color="auto"/>
            <w:left w:val="none" w:sz="0" w:space="0" w:color="auto"/>
            <w:bottom w:val="none" w:sz="0" w:space="0" w:color="auto"/>
            <w:right w:val="none" w:sz="0" w:space="0" w:color="auto"/>
          </w:divBdr>
        </w:div>
        <w:div w:id="708070143">
          <w:marLeft w:val="640"/>
          <w:marRight w:val="0"/>
          <w:marTop w:val="0"/>
          <w:marBottom w:val="0"/>
          <w:divBdr>
            <w:top w:val="none" w:sz="0" w:space="0" w:color="auto"/>
            <w:left w:val="none" w:sz="0" w:space="0" w:color="auto"/>
            <w:bottom w:val="none" w:sz="0" w:space="0" w:color="auto"/>
            <w:right w:val="none" w:sz="0" w:space="0" w:color="auto"/>
          </w:divBdr>
        </w:div>
        <w:div w:id="1867862857">
          <w:marLeft w:val="640"/>
          <w:marRight w:val="0"/>
          <w:marTop w:val="0"/>
          <w:marBottom w:val="0"/>
          <w:divBdr>
            <w:top w:val="none" w:sz="0" w:space="0" w:color="auto"/>
            <w:left w:val="none" w:sz="0" w:space="0" w:color="auto"/>
            <w:bottom w:val="none" w:sz="0" w:space="0" w:color="auto"/>
            <w:right w:val="none" w:sz="0" w:space="0" w:color="auto"/>
          </w:divBdr>
        </w:div>
        <w:div w:id="224296415">
          <w:marLeft w:val="640"/>
          <w:marRight w:val="0"/>
          <w:marTop w:val="0"/>
          <w:marBottom w:val="0"/>
          <w:divBdr>
            <w:top w:val="none" w:sz="0" w:space="0" w:color="auto"/>
            <w:left w:val="none" w:sz="0" w:space="0" w:color="auto"/>
            <w:bottom w:val="none" w:sz="0" w:space="0" w:color="auto"/>
            <w:right w:val="none" w:sz="0" w:space="0" w:color="auto"/>
          </w:divBdr>
        </w:div>
        <w:div w:id="1249391090">
          <w:marLeft w:val="640"/>
          <w:marRight w:val="0"/>
          <w:marTop w:val="0"/>
          <w:marBottom w:val="0"/>
          <w:divBdr>
            <w:top w:val="none" w:sz="0" w:space="0" w:color="auto"/>
            <w:left w:val="none" w:sz="0" w:space="0" w:color="auto"/>
            <w:bottom w:val="none" w:sz="0" w:space="0" w:color="auto"/>
            <w:right w:val="none" w:sz="0" w:space="0" w:color="auto"/>
          </w:divBdr>
        </w:div>
        <w:div w:id="1574117384">
          <w:marLeft w:val="640"/>
          <w:marRight w:val="0"/>
          <w:marTop w:val="0"/>
          <w:marBottom w:val="0"/>
          <w:divBdr>
            <w:top w:val="none" w:sz="0" w:space="0" w:color="auto"/>
            <w:left w:val="none" w:sz="0" w:space="0" w:color="auto"/>
            <w:bottom w:val="none" w:sz="0" w:space="0" w:color="auto"/>
            <w:right w:val="none" w:sz="0" w:space="0" w:color="auto"/>
          </w:divBdr>
        </w:div>
        <w:div w:id="1811903575">
          <w:marLeft w:val="640"/>
          <w:marRight w:val="0"/>
          <w:marTop w:val="0"/>
          <w:marBottom w:val="0"/>
          <w:divBdr>
            <w:top w:val="none" w:sz="0" w:space="0" w:color="auto"/>
            <w:left w:val="none" w:sz="0" w:space="0" w:color="auto"/>
            <w:bottom w:val="none" w:sz="0" w:space="0" w:color="auto"/>
            <w:right w:val="none" w:sz="0" w:space="0" w:color="auto"/>
          </w:divBdr>
        </w:div>
        <w:div w:id="1390377441">
          <w:marLeft w:val="640"/>
          <w:marRight w:val="0"/>
          <w:marTop w:val="0"/>
          <w:marBottom w:val="0"/>
          <w:divBdr>
            <w:top w:val="none" w:sz="0" w:space="0" w:color="auto"/>
            <w:left w:val="none" w:sz="0" w:space="0" w:color="auto"/>
            <w:bottom w:val="none" w:sz="0" w:space="0" w:color="auto"/>
            <w:right w:val="none" w:sz="0" w:space="0" w:color="auto"/>
          </w:divBdr>
        </w:div>
        <w:div w:id="913784001">
          <w:marLeft w:val="640"/>
          <w:marRight w:val="0"/>
          <w:marTop w:val="0"/>
          <w:marBottom w:val="0"/>
          <w:divBdr>
            <w:top w:val="none" w:sz="0" w:space="0" w:color="auto"/>
            <w:left w:val="none" w:sz="0" w:space="0" w:color="auto"/>
            <w:bottom w:val="none" w:sz="0" w:space="0" w:color="auto"/>
            <w:right w:val="none" w:sz="0" w:space="0" w:color="auto"/>
          </w:divBdr>
        </w:div>
        <w:div w:id="750079612">
          <w:marLeft w:val="640"/>
          <w:marRight w:val="0"/>
          <w:marTop w:val="0"/>
          <w:marBottom w:val="0"/>
          <w:divBdr>
            <w:top w:val="none" w:sz="0" w:space="0" w:color="auto"/>
            <w:left w:val="none" w:sz="0" w:space="0" w:color="auto"/>
            <w:bottom w:val="none" w:sz="0" w:space="0" w:color="auto"/>
            <w:right w:val="none" w:sz="0" w:space="0" w:color="auto"/>
          </w:divBdr>
        </w:div>
        <w:div w:id="513106159">
          <w:marLeft w:val="640"/>
          <w:marRight w:val="0"/>
          <w:marTop w:val="0"/>
          <w:marBottom w:val="0"/>
          <w:divBdr>
            <w:top w:val="none" w:sz="0" w:space="0" w:color="auto"/>
            <w:left w:val="none" w:sz="0" w:space="0" w:color="auto"/>
            <w:bottom w:val="none" w:sz="0" w:space="0" w:color="auto"/>
            <w:right w:val="none" w:sz="0" w:space="0" w:color="auto"/>
          </w:divBdr>
        </w:div>
        <w:div w:id="418522100">
          <w:marLeft w:val="640"/>
          <w:marRight w:val="0"/>
          <w:marTop w:val="0"/>
          <w:marBottom w:val="0"/>
          <w:divBdr>
            <w:top w:val="none" w:sz="0" w:space="0" w:color="auto"/>
            <w:left w:val="none" w:sz="0" w:space="0" w:color="auto"/>
            <w:bottom w:val="none" w:sz="0" w:space="0" w:color="auto"/>
            <w:right w:val="none" w:sz="0" w:space="0" w:color="auto"/>
          </w:divBdr>
        </w:div>
        <w:div w:id="268465951">
          <w:marLeft w:val="640"/>
          <w:marRight w:val="0"/>
          <w:marTop w:val="0"/>
          <w:marBottom w:val="0"/>
          <w:divBdr>
            <w:top w:val="none" w:sz="0" w:space="0" w:color="auto"/>
            <w:left w:val="none" w:sz="0" w:space="0" w:color="auto"/>
            <w:bottom w:val="none" w:sz="0" w:space="0" w:color="auto"/>
            <w:right w:val="none" w:sz="0" w:space="0" w:color="auto"/>
          </w:divBdr>
        </w:div>
        <w:div w:id="1837762756">
          <w:marLeft w:val="640"/>
          <w:marRight w:val="0"/>
          <w:marTop w:val="0"/>
          <w:marBottom w:val="0"/>
          <w:divBdr>
            <w:top w:val="none" w:sz="0" w:space="0" w:color="auto"/>
            <w:left w:val="none" w:sz="0" w:space="0" w:color="auto"/>
            <w:bottom w:val="none" w:sz="0" w:space="0" w:color="auto"/>
            <w:right w:val="none" w:sz="0" w:space="0" w:color="auto"/>
          </w:divBdr>
        </w:div>
        <w:div w:id="1368989520">
          <w:marLeft w:val="640"/>
          <w:marRight w:val="0"/>
          <w:marTop w:val="0"/>
          <w:marBottom w:val="0"/>
          <w:divBdr>
            <w:top w:val="none" w:sz="0" w:space="0" w:color="auto"/>
            <w:left w:val="none" w:sz="0" w:space="0" w:color="auto"/>
            <w:bottom w:val="none" w:sz="0" w:space="0" w:color="auto"/>
            <w:right w:val="none" w:sz="0" w:space="0" w:color="auto"/>
          </w:divBdr>
        </w:div>
        <w:div w:id="222640354">
          <w:marLeft w:val="640"/>
          <w:marRight w:val="0"/>
          <w:marTop w:val="0"/>
          <w:marBottom w:val="0"/>
          <w:divBdr>
            <w:top w:val="none" w:sz="0" w:space="0" w:color="auto"/>
            <w:left w:val="none" w:sz="0" w:space="0" w:color="auto"/>
            <w:bottom w:val="none" w:sz="0" w:space="0" w:color="auto"/>
            <w:right w:val="none" w:sz="0" w:space="0" w:color="auto"/>
          </w:divBdr>
        </w:div>
        <w:div w:id="535892979">
          <w:marLeft w:val="640"/>
          <w:marRight w:val="0"/>
          <w:marTop w:val="0"/>
          <w:marBottom w:val="0"/>
          <w:divBdr>
            <w:top w:val="none" w:sz="0" w:space="0" w:color="auto"/>
            <w:left w:val="none" w:sz="0" w:space="0" w:color="auto"/>
            <w:bottom w:val="none" w:sz="0" w:space="0" w:color="auto"/>
            <w:right w:val="none" w:sz="0" w:space="0" w:color="auto"/>
          </w:divBdr>
        </w:div>
        <w:div w:id="356085681">
          <w:marLeft w:val="640"/>
          <w:marRight w:val="0"/>
          <w:marTop w:val="0"/>
          <w:marBottom w:val="0"/>
          <w:divBdr>
            <w:top w:val="none" w:sz="0" w:space="0" w:color="auto"/>
            <w:left w:val="none" w:sz="0" w:space="0" w:color="auto"/>
            <w:bottom w:val="none" w:sz="0" w:space="0" w:color="auto"/>
            <w:right w:val="none" w:sz="0" w:space="0" w:color="auto"/>
          </w:divBdr>
        </w:div>
        <w:div w:id="1098133150">
          <w:marLeft w:val="640"/>
          <w:marRight w:val="0"/>
          <w:marTop w:val="0"/>
          <w:marBottom w:val="0"/>
          <w:divBdr>
            <w:top w:val="none" w:sz="0" w:space="0" w:color="auto"/>
            <w:left w:val="none" w:sz="0" w:space="0" w:color="auto"/>
            <w:bottom w:val="none" w:sz="0" w:space="0" w:color="auto"/>
            <w:right w:val="none" w:sz="0" w:space="0" w:color="auto"/>
          </w:divBdr>
        </w:div>
        <w:div w:id="669406421">
          <w:marLeft w:val="640"/>
          <w:marRight w:val="0"/>
          <w:marTop w:val="0"/>
          <w:marBottom w:val="0"/>
          <w:divBdr>
            <w:top w:val="none" w:sz="0" w:space="0" w:color="auto"/>
            <w:left w:val="none" w:sz="0" w:space="0" w:color="auto"/>
            <w:bottom w:val="none" w:sz="0" w:space="0" w:color="auto"/>
            <w:right w:val="none" w:sz="0" w:space="0" w:color="auto"/>
          </w:divBdr>
        </w:div>
        <w:div w:id="500702668">
          <w:marLeft w:val="640"/>
          <w:marRight w:val="0"/>
          <w:marTop w:val="0"/>
          <w:marBottom w:val="0"/>
          <w:divBdr>
            <w:top w:val="none" w:sz="0" w:space="0" w:color="auto"/>
            <w:left w:val="none" w:sz="0" w:space="0" w:color="auto"/>
            <w:bottom w:val="none" w:sz="0" w:space="0" w:color="auto"/>
            <w:right w:val="none" w:sz="0" w:space="0" w:color="auto"/>
          </w:divBdr>
        </w:div>
        <w:div w:id="267201413">
          <w:marLeft w:val="640"/>
          <w:marRight w:val="0"/>
          <w:marTop w:val="0"/>
          <w:marBottom w:val="0"/>
          <w:divBdr>
            <w:top w:val="none" w:sz="0" w:space="0" w:color="auto"/>
            <w:left w:val="none" w:sz="0" w:space="0" w:color="auto"/>
            <w:bottom w:val="none" w:sz="0" w:space="0" w:color="auto"/>
            <w:right w:val="none" w:sz="0" w:space="0" w:color="auto"/>
          </w:divBdr>
        </w:div>
        <w:div w:id="388967288">
          <w:marLeft w:val="640"/>
          <w:marRight w:val="0"/>
          <w:marTop w:val="0"/>
          <w:marBottom w:val="0"/>
          <w:divBdr>
            <w:top w:val="none" w:sz="0" w:space="0" w:color="auto"/>
            <w:left w:val="none" w:sz="0" w:space="0" w:color="auto"/>
            <w:bottom w:val="none" w:sz="0" w:space="0" w:color="auto"/>
            <w:right w:val="none" w:sz="0" w:space="0" w:color="auto"/>
          </w:divBdr>
        </w:div>
        <w:div w:id="1317996823">
          <w:marLeft w:val="640"/>
          <w:marRight w:val="0"/>
          <w:marTop w:val="0"/>
          <w:marBottom w:val="0"/>
          <w:divBdr>
            <w:top w:val="none" w:sz="0" w:space="0" w:color="auto"/>
            <w:left w:val="none" w:sz="0" w:space="0" w:color="auto"/>
            <w:bottom w:val="none" w:sz="0" w:space="0" w:color="auto"/>
            <w:right w:val="none" w:sz="0" w:space="0" w:color="auto"/>
          </w:divBdr>
        </w:div>
        <w:div w:id="942566025">
          <w:marLeft w:val="640"/>
          <w:marRight w:val="0"/>
          <w:marTop w:val="0"/>
          <w:marBottom w:val="0"/>
          <w:divBdr>
            <w:top w:val="none" w:sz="0" w:space="0" w:color="auto"/>
            <w:left w:val="none" w:sz="0" w:space="0" w:color="auto"/>
            <w:bottom w:val="none" w:sz="0" w:space="0" w:color="auto"/>
            <w:right w:val="none" w:sz="0" w:space="0" w:color="auto"/>
          </w:divBdr>
        </w:div>
        <w:div w:id="221911564">
          <w:marLeft w:val="640"/>
          <w:marRight w:val="0"/>
          <w:marTop w:val="0"/>
          <w:marBottom w:val="0"/>
          <w:divBdr>
            <w:top w:val="none" w:sz="0" w:space="0" w:color="auto"/>
            <w:left w:val="none" w:sz="0" w:space="0" w:color="auto"/>
            <w:bottom w:val="none" w:sz="0" w:space="0" w:color="auto"/>
            <w:right w:val="none" w:sz="0" w:space="0" w:color="auto"/>
          </w:divBdr>
        </w:div>
        <w:div w:id="1147430208">
          <w:marLeft w:val="640"/>
          <w:marRight w:val="0"/>
          <w:marTop w:val="0"/>
          <w:marBottom w:val="0"/>
          <w:divBdr>
            <w:top w:val="none" w:sz="0" w:space="0" w:color="auto"/>
            <w:left w:val="none" w:sz="0" w:space="0" w:color="auto"/>
            <w:bottom w:val="none" w:sz="0" w:space="0" w:color="auto"/>
            <w:right w:val="none" w:sz="0" w:space="0" w:color="auto"/>
          </w:divBdr>
        </w:div>
        <w:div w:id="656959345">
          <w:marLeft w:val="640"/>
          <w:marRight w:val="0"/>
          <w:marTop w:val="0"/>
          <w:marBottom w:val="0"/>
          <w:divBdr>
            <w:top w:val="none" w:sz="0" w:space="0" w:color="auto"/>
            <w:left w:val="none" w:sz="0" w:space="0" w:color="auto"/>
            <w:bottom w:val="none" w:sz="0" w:space="0" w:color="auto"/>
            <w:right w:val="none" w:sz="0" w:space="0" w:color="auto"/>
          </w:divBdr>
        </w:div>
        <w:div w:id="357127318">
          <w:marLeft w:val="640"/>
          <w:marRight w:val="0"/>
          <w:marTop w:val="0"/>
          <w:marBottom w:val="0"/>
          <w:divBdr>
            <w:top w:val="none" w:sz="0" w:space="0" w:color="auto"/>
            <w:left w:val="none" w:sz="0" w:space="0" w:color="auto"/>
            <w:bottom w:val="none" w:sz="0" w:space="0" w:color="auto"/>
            <w:right w:val="none" w:sz="0" w:space="0" w:color="auto"/>
          </w:divBdr>
        </w:div>
        <w:div w:id="663357818">
          <w:marLeft w:val="640"/>
          <w:marRight w:val="0"/>
          <w:marTop w:val="0"/>
          <w:marBottom w:val="0"/>
          <w:divBdr>
            <w:top w:val="none" w:sz="0" w:space="0" w:color="auto"/>
            <w:left w:val="none" w:sz="0" w:space="0" w:color="auto"/>
            <w:bottom w:val="none" w:sz="0" w:space="0" w:color="auto"/>
            <w:right w:val="none" w:sz="0" w:space="0" w:color="auto"/>
          </w:divBdr>
        </w:div>
        <w:div w:id="1498155273">
          <w:marLeft w:val="640"/>
          <w:marRight w:val="0"/>
          <w:marTop w:val="0"/>
          <w:marBottom w:val="0"/>
          <w:divBdr>
            <w:top w:val="none" w:sz="0" w:space="0" w:color="auto"/>
            <w:left w:val="none" w:sz="0" w:space="0" w:color="auto"/>
            <w:bottom w:val="none" w:sz="0" w:space="0" w:color="auto"/>
            <w:right w:val="none" w:sz="0" w:space="0" w:color="auto"/>
          </w:divBdr>
        </w:div>
        <w:div w:id="20010408">
          <w:marLeft w:val="640"/>
          <w:marRight w:val="0"/>
          <w:marTop w:val="0"/>
          <w:marBottom w:val="0"/>
          <w:divBdr>
            <w:top w:val="none" w:sz="0" w:space="0" w:color="auto"/>
            <w:left w:val="none" w:sz="0" w:space="0" w:color="auto"/>
            <w:bottom w:val="none" w:sz="0" w:space="0" w:color="auto"/>
            <w:right w:val="none" w:sz="0" w:space="0" w:color="auto"/>
          </w:divBdr>
        </w:div>
        <w:div w:id="657345988">
          <w:marLeft w:val="640"/>
          <w:marRight w:val="0"/>
          <w:marTop w:val="0"/>
          <w:marBottom w:val="0"/>
          <w:divBdr>
            <w:top w:val="none" w:sz="0" w:space="0" w:color="auto"/>
            <w:left w:val="none" w:sz="0" w:space="0" w:color="auto"/>
            <w:bottom w:val="none" w:sz="0" w:space="0" w:color="auto"/>
            <w:right w:val="none" w:sz="0" w:space="0" w:color="auto"/>
          </w:divBdr>
        </w:div>
        <w:div w:id="247807286">
          <w:marLeft w:val="640"/>
          <w:marRight w:val="0"/>
          <w:marTop w:val="0"/>
          <w:marBottom w:val="0"/>
          <w:divBdr>
            <w:top w:val="none" w:sz="0" w:space="0" w:color="auto"/>
            <w:left w:val="none" w:sz="0" w:space="0" w:color="auto"/>
            <w:bottom w:val="none" w:sz="0" w:space="0" w:color="auto"/>
            <w:right w:val="none" w:sz="0" w:space="0" w:color="auto"/>
          </w:divBdr>
        </w:div>
        <w:div w:id="425885332">
          <w:marLeft w:val="640"/>
          <w:marRight w:val="0"/>
          <w:marTop w:val="0"/>
          <w:marBottom w:val="0"/>
          <w:divBdr>
            <w:top w:val="none" w:sz="0" w:space="0" w:color="auto"/>
            <w:left w:val="none" w:sz="0" w:space="0" w:color="auto"/>
            <w:bottom w:val="none" w:sz="0" w:space="0" w:color="auto"/>
            <w:right w:val="none" w:sz="0" w:space="0" w:color="auto"/>
          </w:divBdr>
        </w:div>
        <w:div w:id="994991298">
          <w:marLeft w:val="640"/>
          <w:marRight w:val="0"/>
          <w:marTop w:val="0"/>
          <w:marBottom w:val="0"/>
          <w:divBdr>
            <w:top w:val="none" w:sz="0" w:space="0" w:color="auto"/>
            <w:left w:val="none" w:sz="0" w:space="0" w:color="auto"/>
            <w:bottom w:val="none" w:sz="0" w:space="0" w:color="auto"/>
            <w:right w:val="none" w:sz="0" w:space="0" w:color="auto"/>
          </w:divBdr>
        </w:div>
        <w:div w:id="1541235995">
          <w:marLeft w:val="640"/>
          <w:marRight w:val="0"/>
          <w:marTop w:val="0"/>
          <w:marBottom w:val="0"/>
          <w:divBdr>
            <w:top w:val="none" w:sz="0" w:space="0" w:color="auto"/>
            <w:left w:val="none" w:sz="0" w:space="0" w:color="auto"/>
            <w:bottom w:val="none" w:sz="0" w:space="0" w:color="auto"/>
            <w:right w:val="none" w:sz="0" w:space="0" w:color="auto"/>
          </w:divBdr>
        </w:div>
        <w:div w:id="574364125">
          <w:marLeft w:val="640"/>
          <w:marRight w:val="0"/>
          <w:marTop w:val="0"/>
          <w:marBottom w:val="0"/>
          <w:divBdr>
            <w:top w:val="none" w:sz="0" w:space="0" w:color="auto"/>
            <w:left w:val="none" w:sz="0" w:space="0" w:color="auto"/>
            <w:bottom w:val="none" w:sz="0" w:space="0" w:color="auto"/>
            <w:right w:val="none" w:sz="0" w:space="0" w:color="auto"/>
          </w:divBdr>
        </w:div>
        <w:div w:id="1572347491">
          <w:marLeft w:val="640"/>
          <w:marRight w:val="0"/>
          <w:marTop w:val="0"/>
          <w:marBottom w:val="0"/>
          <w:divBdr>
            <w:top w:val="none" w:sz="0" w:space="0" w:color="auto"/>
            <w:left w:val="none" w:sz="0" w:space="0" w:color="auto"/>
            <w:bottom w:val="none" w:sz="0" w:space="0" w:color="auto"/>
            <w:right w:val="none" w:sz="0" w:space="0" w:color="auto"/>
          </w:divBdr>
        </w:div>
        <w:div w:id="460807489">
          <w:marLeft w:val="640"/>
          <w:marRight w:val="0"/>
          <w:marTop w:val="0"/>
          <w:marBottom w:val="0"/>
          <w:divBdr>
            <w:top w:val="none" w:sz="0" w:space="0" w:color="auto"/>
            <w:left w:val="none" w:sz="0" w:space="0" w:color="auto"/>
            <w:bottom w:val="none" w:sz="0" w:space="0" w:color="auto"/>
            <w:right w:val="none" w:sz="0" w:space="0" w:color="auto"/>
          </w:divBdr>
        </w:div>
        <w:div w:id="733814858">
          <w:marLeft w:val="640"/>
          <w:marRight w:val="0"/>
          <w:marTop w:val="0"/>
          <w:marBottom w:val="0"/>
          <w:divBdr>
            <w:top w:val="none" w:sz="0" w:space="0" w:color="auto"/>
            <w:left w:val="none" w:sz="0" w:space="0" w:color="auto"/>
            <w:bottom w:val="none" w:sz="0" w:space="0" w:color="auto"/>
            <w:right w:val="none" w:sz="0" w:space="0" w:color="auto"/>
          </w:divBdr>
        </w:div>
        <w:div w:id="280964538">
          <w:marLeft w:val="640"/>
          <w:marRight w:val="0"/>
          <w:marTop w:val="0"/>
          <w:marBottom w:val="0"/>
          <w:divBdr>
            <w:top w:val="none" w:sz="0" w:space="0" w:color="auto"/>
            <w:left w:val="none" w:sz="0" w:space="0" w:color="auto"/>
            <w:bottom w:val="none" w:sz="0" w:space="0" w:color="auto"/>
            <w:right w:val="none" w:sz="0" w:space="0" w:color="auto"/>
          </w:divBdr>
        </w:div>
        <w:div w:id="972710814">
          <w:marLeft w:val="640"/>
          <w:marRight w:val="0"/>
          <w:marTop w:val="0"/>
          <w:marBottom w:val="0"/>
          <w:divBdr>
            <w:top w:val="none" w:sz="0" w:space="0" w:color="auto"/>
            <w:left w:val="none" w:sz="0" w:space="0" w:color="auto"/>
            <w:bottom w:val="none" w:sz="0" w:space="0" w:color="auto"/>
            <w:right w:val="none" w:sz="0" w:space="0" w:color="auto"/>
          </w:divBdr>
        </w:div>
        <w:div w:id="1757089092">
          <w:marLeft w:val="640"/>
          <w:marRight w:val="0"/>
          <w:marTop w:val="0"/>
          <w:marBottom w:val="0"/>
          <w:divBdr>
            <w:top w:val="none" w:sz="0" w:space="0" w:color="auto"/>
            <w:left w:val="none" w:sz="0" w:space="0" w:color="auto"/>
            <w:bottom w:val="none" w:sz="0" w:space="0" w:color="auto"/>
            <w:right w:val="none" w:sz="0" w:space="0" w:color="auto"/>
          </w:divBdr>
        </w:div>
        <w:div w:id="1362828723">
          <w:marLeft w:val="640"/>
          <w:marRight w:val="0"/>
          <w:marTop w:val="0"/>
          <w:marBottom w:val="0"/>
          <w:divBdr>
            <w:top w:val="none" w:sz="0" w:space="0" w:color="auto"/>
            <w:left w:val="none" w:sz="0" w:space="0" w:color="auto"/>
            <w:bottom w:val="none" w:sz="0" w:space="0" w:color="auto"/>
            <w:right w:val="none" w:sz="0" w:space="0" w:color="auto"/>
          </w:divBdr>
        </w:div>
        <w:div w:id="1146435841">
          <w:marLeft w:val="640"/>
          <w:marRight w:val="0"/>
          <w:marTop w:val="0"/>
          <w:marBottom w:val="0"/>
          <w:divBdr>
            <w:top w:val="none" w:sz="0" w:space="0" w:color="auto"/>
            <w:left w:val="none" w:sz="0" w:space="0" w:color="auto"/>
            <w:bottom w:val="none" w:sz="0" w:space="0" w:color="auto"/>
            <w:right w:val="none" w:sz="0" w:space="0" w:color="auto"/>
          </w:divBdr>
        </w:div>
        <w:div w:id="378212340">
          <w:marLeft w:val="640"/>
          <w:marRight w:val="0"/>
          <w:marTop w:val="0"/>
          <w:marBottom w:val="0"/>
          <w:divBdr>
            <w:top w:val="none" w:sz="0" w:space="0" w:color="auto"/>
            <w:left w:val="none" w:sz="0" w:space="0" w:color="auto"/>
            <w:bottom w:val="none" w:sz="0" w:space="0" w:color="auto"/>
            <w:right w:val="none" w:sz="0" w:space="0" w:color="auto"/>
          </w:divBdr>
        </w:div>
        <w:div w:id="204028367">
          <w:marLeft w:val="640"/>
          <w:marRight w:val="0"/>
          <w:marTop w:val="0"/>
          <w:marBottom w:val="0"/>
          <w:divBdr>
            <w:top w:val="none" w:sz="0" w:space="0" w:color="auto"/>
            <w:left w:val="none" w:sz="0" w:space="0" w:color="auto"/>
            <w:bottom w:val="none" w:sz="0" w:space="0" w:color="auto"/>
            <w:right w:val="none" w:sz="0" w:space="0" w:color="auto"/>
          </w:divBdr>
        </w:div>
        <w:div w:id="1031685818">
          <w:marLeft w:val="640"/>
          <w:marRight w:val="0"/>
          <w:marTop w:val="0"/>
          <w:marBottom w:val="0"/>
          <w:divBdr>
            <w:top w:val="none" w:sz="0" w:space="0" w:color="auto"/>
            <w:left w:val="none" w:sz="0" w:space="0" w:color="auto"/>
            <w:bottom w:val="none" w:sz="0" w:space="0" w:color="auto"/>
            <w:right w:val="none" w:sz="0" w:space="0" w:color="auto"/>
          </w:divBdr>
        </w:div>
        <w:div w:id="876549756">
          <w:marLeft w:val="640"/>
          <w:marRight w:val="0"/>
          <w:marTop w:val="0"/>
          <w:marBottom w:val="0"/>
          <w:divBdr>
            <w:top w:val="none" w:sz="0" w:space="0" w:color="auto"/>
            <w:left w:val="none" w:sz="0" w:space="0" w:color="auto"/>
            <w:bottom w:val="none" w:sz="0" w:space="0" w:color="auto"/>
            <w:right w:val="none" w:sz="0" w:space="0" w:color="auto"/>
          </w:divBdr>
        </w:div>
        <w:div w:id="273293408">
          <w:marLeft w:val="640"/>
          <w:marRight w:val="0"/>
          <w:marTop w:val="0"/>
          <w:marBottom w:val="0"/>
          <w:divBdr>
            <w:top w:val="none" w:sz="0" w:space="0" w:color="auto"/>
            <w:left w:val="none" w:sz="0" w:space="0" w:color="auto"/>
            <w:bottom w:val="none" w:sz="0" w:space="0" w:color="auto"/>
            <w:right w:val="none" w:sz="0" w:space="0" w:color="auto"/>
          </w:divBdr>
        </w:div>
        <w:div w:id="20782768">
          <w:marLeft w:val="640"/>
          <w:marRight w:val="0"/>
          <w:marTop w:val="0"/>
          <w:marBottom w:val="0"/>
          <w:divBdr>
            <w:top w:val="none" w:sz="0" w:space="0" w:color="auto"/>
            <w:left w:val="none" w:sz="0" w:space="0" w:color="auto"/>
            <w:bottom w:val="none" w:sz="0" w:space="0" w:color="auto"/>
            <w:right w:val="none" w:sz="0" w:space="0" w:color="auto"/>
          </w:divBdr>
        </w:div>
        <w:div w:id="1898081050">
          <w:marLeft w:val="640"/>
          <w:marRight w:val="0"/>
          <w:marTop w:val="0"/>
          <w:marBottom w:val="0"/>
          <w:divBdr>
            <w:top w:val="none" w:sz="0" w:space="0" w:color="auto"/>
            <w:left w:val="none" w:sz="0" w:space="0" w:color="auto"/>
            <w:bottom w:val="none" w:sz="0" w:space="0" w:color="auto"/>
            <w:right w:val="none" w:sz="0" w:space="0" w:color="auto"/>
          </w:divBdr>
        </w:div>
        <w:div w:id="1506702826">
          <w:marLeft w:val="640"/>
          <w:marRight w:val="0"/>
          <w:marTop w:val="0"/>
          <w:marBottom w:val="0"/>
          <w:divBdr>
            <w:top w:val="none" w:sz="0" w:space="0" w:color="auto"/>
            <w:left w:val="none" w:sz="0" w:space="0" w:color="auto"/>
            <w:bottom w:val="none" w:sz="0" w:space="0" w:color="auto"/>
            <w:right w:val="none" w:sz="0" w:space="0" w:color="auto"/>
          </w:divBdr>
        </w:div>
        <w:div w:id="1553543702">
          <w:marLeft w:val="640"/>
          <w:marRight w:val="0"/>
          <w:marTop w:val="0"/>
          <w:marBottom w:val="0"/>
          <w:divBdr>
            <w:top w:val="none" w:sz="0" w:space="0" w:color="auto"/>
            <w:left w:val="none" w:sz="0" w:space="0" w:color="auto"/>
            <w:bottom w:val="none" w:sz="0" w:space="0" w:color="auto"/>
            <w:right w:val="none" w:sz="0" w:space="0" w:color="auto"/>
          </w:divBdr>
        </w:div>
        <w:div w:id="786462819">
          <w:marLeft w:val="640"/>
          <w:marRight w:val="0"/>
          <w:marTop w:val="0"/>
          <w:marBottom w:val="0"/>
          <w:divBdr>
            <w:top w:val="none" w:sz="0" w:space="0" w:color="auto"/>
            <w:left w:val="none" w:sz="0" w:space="0" w:color="auto"/>
            <w:bottom w:val="none" w:sz="0" w:space="0" w:color="auto"/>
            <w:right w:val="none" w:sz="0" w:space="0" w:color="auto"/>
          </w:divBdr>
        </w:div>
        <w:div w:id="2084793316">
          <w:marLeft w:val="640"/>
          <w:marRight w:val="0"/>
          <w:marTop w:val="0"/>
          <w:marBottom w:val="0"/>
          <w:divBdr>
            <w:top w:val="none" w:sz="0" w:space="0" w:color="auto"/>
            <w:left w:val="none" w:sz="0" w:space="0" w:color="auto"/>
            <w:bottom w:val="none" w:sz="0" w:space="0" w:color="auto"/>
            <w:right w:val="none" w:sz="0" w:space="0" w:color="auto"/>
          </w:divBdr>
        </w:div>
        <w:div w:id="1571690429">
          <w:marLeft w:val="640"/>
          <w:marRight w:val="0"/>
          <w:marTop w:val="0"/>
          <w:marBottom w:val="0"/>
          <w:divBdr>
            <w:top w:val="none" w:sz="0" w:space="0" w:color="auto"/>
            <w:left w:val="none" w:sz="0" w:space="0" w:color="auto"/>
            <w:bottom w:val="none" w:sz="0" w:space="0" w:color="auto"/>
            <w:right w:val="none" w:sz="0" w:space="0" w:color="auto"/>
          </w:divBdr>
        </w:div>
        <w:div w:id="608586112">
          <w:marLeft w:val="640"/>
          <w:marRight w:val="0"/>
          <w:marTop w:val="0"/>
          <w:marBottom w:val="0"/>
          <w:divBdr>
            <w:top w:val="none" w:sz="0" w:space="0" w:color="auto"/>
            <w:left w:val="none" w:sz="0" w:space="0" w:color="auto"/>
            <w:bottom w:val="none" w:sz="0" w:space="0" w:color="auto"/>
            <w:right w:val="none" w:sz="0" w:space="0" w:color="auto"/>
          </w:divBdr>
        </w:div>
        <w:div w:id="1996912962">
          <w:marLeft w:val="640"/>
          <w:marRight w:val="0"/>
          <w:marTop w:val="0"/>
          <w:marBottom w:val="0"/>
          <w:divBdr>
            <w:top w:val="none" w:sz="0" w:space="0" w:color="auto"/>
            <w:left w:val="none" w:sz="0" w:space="0" w:color="auto"/>
            <w:bottom w:val="none" w:sz="0" w:space="0" w:color="auto"/>
            <w:right w:val="none" w:sz="0" w:space="0" w:color="auto"/>
          </w:divBdr>
        </w:div>
        <w:div w:id="1595016409">
          <w:marLeft w:val="640"/>
          <w:marRight w:val="0"/>
          <w:marTop w:val="0"/>
          <w:marBottom w:val="0"/>
          <w:divBdr>
            <w:top w:val="none" w:sz="0" w:space="0" w:color="auto"/>
            <w:left w:val="none" w:sz="0" w:space="0" w:color="auto"/>
            <w:bottom w:val="none" w:sz="0" w:space="0" w:color="auto"/>
            <w:right w:val="none" w:sz="0" w:space="0" w:color="auto"/>
          </w:divBdr>
        </w:div>
        <w:div w:id="1920367640">
          <w:marLeft w:val="640"/>
          <w:marRight w:val="0"/>
          <w:marTop w:val="0"/>
          <w:marBottom w:val="0"/>
          <w:divBdr>
            <w:top w:val="none" w:sz="0" w:space="0" w:color="auto"/>
            <w:left w:val="none" w:sz="0" w:space="0" w:color="auto"/>
            <w:bottom w:val="none" w:sz="0" w:space="0" w:color="auto"/>
            <w:right w:val="none" w:sz="0" w:space="0" w:color="auto"/>
          </w:divBdr>
        </w:div>
        <w:div w:id="1031495693">
          <w:marLeft w:val="640"/>
          <w:marRight w:val="0"/>
          <w:marTop w:val="0"/>
          <w:marBottom w:val="0"/>
          <w:divBdr>
            <w:top w:val="none" w:sz="0" w:space="0" w:color="auto"/>
            <w:left w:val="none" w:sz="0" w:space="0" w:color="auto"/>
            <w:bottom w:val="none" w:sz="0" w:space="0" w:color="auto"/>
            <w:right w:val="none" w:sz="0" w:space="0" w:color="auto"/>
          </w:divBdr>
        </w:div>
        <w:div w:id="1675180566">
          <w:marLeft w:val="640"/>
          <w:marRight w:val="0"/>
          <w:marTop w:val="0"/>
          <w:marBottom w:val="0"/>
          <w:divBdr>
            <w:top w:val="none" w:sz="0" w:space="0" w:color="auto"/>
            <w:left w:val="none" w:sz="0" w:space="0" w:color="auto"/>
            <w:bottom w:val="none" w:sz="0" w:space="0" w:color="auto"/>
            <w:right w:val="none" w:sz="0" w:space="0" w:color="auto"/>
          </w:divBdr>
        </w:div>
        <w:div w:id="582491263">
          <w:marLeft w:val="640"/>
          <w:marRight w:val="0"/>
          <w:marTop w:val="0"/>
          <w:marBottom w:val="0"/>
          <w:divBdr>
            <w:top w:val="none" w:sz="0" w:space="0" w:color="auto"/>
            <w:left w:val="none" w:sz="0" w:space="0" w:color="auto"/>
            <w:bottom w:val="none" w:sz="0" w:space="0" w:color="auto"/>
            <w:right w:val="none" w:sz="0" w:space="0" w:color="auto"/>
          </w:divBdr>
        </w:div>
        <w:div w:id="1263103304">
          <w:marLeft w:val="640"/>
          <w:marRight w:val="0"/>
          <w:marTop w:val="0"/>
          <w:marBottom w:val="0"/>
          <w:divBdr>
            <w:top w:val="none" w:sz="0" w:space="0" w:color="auto"/>
            <w:left w:val="none" w:sz="0" w:space="0" w:color="auto"/>
            <w:bottom w:val="none" w:sz="0" w:space="0" w:color="auto"/>
            <w:right w:val="none" w:sz="0" w:space="0" w:color="auto"/>
          </w:divBdr>
        </w:div>
        <w:div w:id="68233648">
          <w:marLeft w:val="640"/>
          <w:marRight w:val="0"/>
          <w:marTop w:val="0"/>
          <w:marBottom w:val="0"/>
          <w:divBdr>
            <w:top w:val="none" w:sz="0" w:space="0" w:color="auto"/>
            <w:left w:val="none" w:sz="0" w:space="0" w:color="auto"/>
            <w:bottom w:val="none" w:sz="0" w:space="0" w:color="auto"/>
            <w:right w:val="none" w:sz="0" w:space="0" w:color="auto"/>
          </w:divBdr>
        </w:div>
        <w:div w:id="181943510">
          <w:marLeft w:val="640"/>
          <w:marRight w:val="0"/>
          <w:marTop w:val="0"/>
          <w:marBottom w:val="0"/>
          <w:divBdr>
            <w:top w:val="none" w:sz="0" w:space="0" w:color="auto"/>
            <w:left w:val="none" w:sz="0" w:space="0" w:color="auto"/>
            <w:bottom w:val="none" w:sz="0" w:space="0" w:color="auto"/>
            <w:right w:val="none" w:sz="0" w:space="0" w:color="auto"/>
          </w:divBdr>
        </w:div>
        <w:div w:id="2015765487">
          <w:marLeft w:val="640"/>
          <w:marRight w:val="0"/>
          <w:marTop w:val="0"/>
          <w:marBottom w:val="0"/>
          <w:divBdr>
            <w:top w:val="none" w:sz="0" w:space="0" w:color="auto"/>
            <w:left w:val="none" w:sz="0" w:space="0" w:color="auto"/>
            <w:bottom w:val="none" w:sz="0" w:space="0" w:color="auto"/>
            <w:right w:val="none" w:sz="0" w:space="0" w:color="auto"/>
          </w:divBdr>
        </w:div>
        <w:div w:id="1428112478">
          <w:marLeft w:val="640"/>
          <w:marRight w:val="0"/>
          <w:marTop w:val="0"/>
          <w:marBottom w:val="0"/>
          <w:divBdr>
            <w:top w:val="none" w:sz="0" w:space="0" w:color="auto"/>
            <w:left w:val="none" w:sz="0" w:space="0" w:color="auto"/>
            <w:bottom w:val="none" w:sz="0" w:space="0" w:color="auto"/>
            <w:right w:val="none" w:sz="0" w:space="0" w:color="auto"/>
          </w:divBdr>
        </w:div>
        <w:div w:id="1350446312">
          <w:marLeft w:val="640"/>
          <w:marRight w:val="0"/>
          <w:marTop w:val="0"/>
          <w:marBottom w:val="0"/>
          <w:divBdr>
            <w:top w:val="none" w:sz="0" w:space="0" w:color="auto"/>
            <w:left w:val="none" w:sz="0" w:space="0" w:color="auto"/>
            <w:bottom w:val="none" w:sz="0" w:space="0" w:color="auto"/>
            <w:right w:val="none" w:sz="0" w:space="0" w:color="auto"/>
          </w:divBdr>
        </w:div>
        <w:div w:id="892617964">
          <w:marLeft w:val="640"/>
          <w:marRight w:val="0"/>
          <w:marTop w:val="0"/>
          <w:marBottom w:val="0"/>
          <w:divBdr>
            <w:top w:val="none" w:sz="0" w:space="0" w:color="auto"/>
            <w:left w:val="none" w:sz="0" w:space="0" w:color="auto"/>
            <w:bottom w:val="none" w:sz="0" w:space="0" w:color="auto"/>
            <w:right w:val="none" w:sz="0" w:space="0" w:color="auto"/>
          </w:divBdr>
        </w:div>
        <w:div w:id="1840849607">
          <w:marLeft w:val="640"/>
          <w:marRight w:val="0"/>
          <w:marTop w:val="0"/>
          <w:marBottom w:val="0"/>
          <w:divBdr>
            <w:top w:val="none" w:sz="0" w:space="0" w:color="auto"/>
            <w:left w:val="none" w:sz="0" w:space="0" w:color="auto"/>
            <w:bottom w:val="none" w:sz="0" w:space="0" w:color="auto"/>
            <w:right w:val="none" w:sz="0" w:space="0" w:color="auto"/>
          </w:divBdr>
        </w:div>
        <w:div w:id="842597135">
          <w:marLeft w:val="640"/>
          <w:marRight w:val="0"/>
          <w:marTop w:val="0"/>
          <w:marBottom w:val="0"/>
          <w:divBdr>
            <w:top w:val="none" w:sz="0" w:space="0" w:color="auto"/>
            <w:left w:val="none" w:sz="0" w:space="0" w:color="auto"/>
            <w:bottom w:val="none" w:sz="0" w:space="0" w:color="auto"/>
            <w:right w:val="none" w:sz="0" w:space="0" w:color="auto"/>
          </w:divBdr>
        </w:div>
        <w:div w:id="144782234">
          <w:marLeft w:val="640"/>
          <w:marRight w:val="0"/>
          <w:marTop w:val="0"/>
          <w:marBottom w:val="0"/>
          <w:divBdr>
            <w:top w:val="none" w:sz="0" w:space="0" w:color="auto"/>
            <w:left w:val="none" w:sz="0" w:space="0" w:color="auto"/>
            <w:bottom w:val="none" w:sz="0" w:space="0" w:color="auto"/>
            <w:right w:val="none" w:sz="0" w:space="0" w:color="auto"/>
          </w:divBdr>
        </w:div>
        <w:div w:id="882714063">
          <w:marLeft w:val="640"/>
          <w:marRight w:val="0"/>
          <w:marTop w:val="0"/>
          <w:marBottom w:val="0"/>
          <w:divBdr>
            <w:top w:val="none" w:sz="0" w:space="0" w:color="auto"/>
            <w:left w:val="none" w:sz="0" w:space="0" w:color="auto"/>
            <w:bottom w:val="none" w:sz="0" w:space="0" w:color="auto"/>
            <w:right w:val="none" w:sz="0" w:space="0" w:color="auto"/>
          </w:divBdr>
        </w:div>
        <w:div w:id="785465867">
          <w:marLeft w:val="640"/>
          <w:marRight w:val="0"/>
          <w:marTop w:val="0"/>
          <w:marBottom w:val="0"/>
          <w:divBdr>
            <w:top w:val="none" w:sz="0" w:space="0" w:color="auto"/>
            <w:left w:val="none" w:sz="0" w:space="0" w:color="auto"/>
            <w:bottom w:val="none" w:sz="0" w:space="0" w:color="auto"/>
            <w:right w:val="none" w:sz="0" w:space="0" w:color="auto"/>
          </w:divBdr>
        </w:div>
        <w:div w:id="1112356045">
          <w:marLeft w:val="640"/>
          <w:marRight w:val="0"/>
          <w:marTop w:val="0"/>
          <w:marBottom w:val="0"/>
          <w:divBdr>
            <w:top w:val="none" w:sz="0" w:space="0" w:color="auto"/>
            <w:left w:val="none" w:sz="0" w:space="0" w:color="auto"/>
            <w:bottom w:val="none" w:sz="0" w:space="0" w:color="auto"/>
            <w:right w:val="none" w:sz="0" w:space="0" w:color="auto"/>
          </w:divBdr>
        </w:div>
        <w:div w:id="509367965">
          <w:marLeft w:val="640"/>
          <w:marRight w:val="0"/>
          <w:marTop w:val="0"/>
          <w:marBottom w:val="0"/>
          <w:divBdr>
            <w:top w:val="none" w:sz="0" w:space="0" w:color="auto"/>
            <w:left w:val="none" w:sz="0" w:space="0" w:color="auto"/>
            <w:bottom w:val="none" w:sz="0" w:space="0" w:color="auto"/>
            <w:right w:val="none" w:sz="0" w:space="0" w:color="auto"/>
          </w:divBdr>
        </w:div>
        <w:div w:id="1572232680">
          <w:marLeft w:val="640"/>
          <w:marRight w:val="0"/>
          <w:marTop w:val="0"/>
          <w:marBottom w:val="0"/>
          <w:divBdr>
            <w:top w:val="none" w:sz="0" w:space="0" w:color="auto"/>
            <w:left w:val="none" w:sz="0" w:space="0" w:color="auto"/>
            <w:bottom w:val="none" w:sz="0" w:space="0" w:color="auto"/>
            <w:right w:val="none" w:sz="0" w:space="0" w:color="auto"/>
          </w:divBdr>
        </w:div>
        <w:div w:id="1613046944">
          <w:marLeft w:val="640"/>
          <w:marRight w:val="0"/>
          <w:marTop w:val="0"/>
          <w:marBottom w:val="0"/>
          <w:divBdr>
            <w:top w:val="none" w:sz="0" w:space="0" w:color="auto"/>
            <w:left w:val="none" w:sz="0" w:space="0" w:color="auto"/>
            <w:bottom w:val="none" w:sz="0" w:space="0" w:color="auto"/>
            <w:right w:val="none" w:sz="0" w:space="0" w:color="auto"/>
          </w:divBdr>
        </w:div>
        <w:div w:id="1387681022">
          <w:marLeft w:val="640"/>
          <w:marRight w:val="0"/>
          <w:marTop w:val="0"/>
          <w:marBottom w:val="0"/>
          <w:divBdr>
            <w:top w:val="none" w:sz="0" w:space="0" w:color="auto"/>
            <w:left w:val="none" w:sz="0" w:space="0" w:color="auto"/>
            <w:bottom w:val="none" w:sz="0" w:space="0" w:color="auto"/>
            <w:right w:val="none" w:sz="0" w:space="0" w:color="auto"/>
          </w:divBdr>
        </w:div>
        <w:div w:id="582374293">
          <w:marLeft w:val="640"/>
          <w:marRight w:val="0"/>
          <w:marTop w:val="0"/>
          <w:marBottom w:val="0"/>
          <w:divBdr>
            <w:top w:val="none" w:sz="0" w:space="0" w:color="auto"/>
            <w:left w:val="none" w:sz="0" w:space="0" w:color="auto"/>
            <w:bottom w:val="none" w:sz="0" w:space="0" w:color="auto"/>
            <w:right w:val="none" w:sz="0" w:space="0" w:color="auto"/>
          </w:divBdr>
        </w:div>
        <w:div w:id="1050572000">
          <w:marLeft w:val="640"/>
          <w:marRight w:val="0"/>
          <w:marTop w:val="0"/>
          <w:marBottom w:val="0"/>
          <w:divBdr>
            <w:top w:val="none" w:sz="0" w:space="0" w:color="auto"/>
            <w:left w:val="none" w:sz="0" w:space="0" w:color="auto"/>
            <w:bottom w:val="none" w:sz="0" w:space="0" w:color="auto"/>
            <w:right w:val="none" w:sz="0" w:space="0" w:color="auto"/>
          </w:divBdr>
        </w:div>
      </w:divsChild>
    </w:div>
    <w:div w:id="836922917">
      <w:bodyDiv w:val="1"/>
      <w:marLeft w:val="0"/>
      <w:marRight w:val="0"/>
      <w:marTop w:val="0"/>
      <w:marBottom w:val="0"/>
      <w:divBdr>
        <w:top w:val="none" w:sz="0" w:space="0" w:color="auto"/>
        <w:left w:val="none" w:sz="0" w:space="0" w:color="auto"/>
        <w:bottom w:val="none" w:sz="0" w:space="0" w:color="auto"/>
        <w:right w:val="none" w:sz="0" w:space="0" w:color="auto"/>
      </w:divBdr>
      <w:divsChild>
        <w:div w:id="803735859">
          <w:marLeft w:val="640"/>
          <w:marRight w:val="0"/>
          <w:marTop w:val="0"/>
          <w:marBottom w:val="0"/>
          <w:divBdr>
            <w:top w:val="none" w:sz="0" w:space="0" w:color="auto"/>
            <w:left w:val="none" w:sz="0" w:space="0" w:color="auto"/>
            <w:bottom w:val="none" w:sz="0" w:space="0" w:color="auto"/>
            <w:right w:val="none" w:sz="0" w:space="0" w:color="auto"/>
          </w:divBdr>
        </w:div>
        <w:div w:id="115949257">
          <w:marLeft w:val="640"/>
          <w:marRight w:val="0"/>
          <w:marTop w:val="0"/>
          <w:marBottom w:val="0"/>
          <w:divBdr>
            <w:top w:val="none" w:sz="0" w:space="0" w:color="auto"/>
            <w:left w:val="none" w:sz="0" w:space="0" w:color="auto"/>
            <w:bottom w:val="none" w:sz="0" w:space="0" w:color="auto"/>
            <w:right w:val="none" w:sz="0" w:space="0" w:color="auto"/>
          </w:divBdr>
        </w:div>
        <w:div w:id="423917701">
          <w:marLeft w:val="640"/>
          <w:marRight w:val="0"/>
          <w:marTop w:val="0"/>
          <w:marBottom w:val="0"/>
          <w:divBdr>
            <w:top w:val="none" w:sz="0" w:space="0" w:color="auto"/>
            <w:left w:val="none" w:sz="0" w:space="0" w:color="auto"/>
            <w:bottom w:val="none" w:sz="0" w:space="0" w:color="auto"/>
            <w:right w:val="none" w:sz="0" w:space="0" w:color="auto"/>
          </w:divBdr>
        </w:div>
        <w:div w:id="830868841">
          <w:marLeft w:val="640"/>
          <w:marRight w:val="0"/>
          <w:marTop w:val="0"/>
          <w:marBottom w:val="0"/>
          <w:divBdr>
            <w:top w:val="none" w:sz="0" w:space="0" w:color="auto"/>
            <w:left w:val="none" w:sz="0" w:space="0" w:color="auto"/>
            <w:bottom w:val="none" w:sz="0" w:space="0" w:color="auto"/>
            <w:right w:val="none" w:sz="0" w:space="0" w:color="auto"/>
          </w:divBdr>
        </w:div>
        <w:div w:id="390076096">
          <w:marLeft w:val="640"/>
          <w:marRight w:val="0"/>
          <w:marTop w:val="0"/>
          <w:marBottom w:val="0"/>
          <w:divBdr>
            <w:top w:val="none" w:sz="0" w:space="0" w:color="auto"/>
            <w:left w:val="none" w:sz="0" w:space="0" w:color="auto"/>
            <w:bottom w:val="none" w:sz="0" w:space="0" w:color="auto"/>
            <w:right w:val="none" w:sz="0" w:space="0" w:color="auto"/>
          </w:divBdr>
        </w:div>
        <w:div w:id="1337733299">
          <w:marLeft w:val="640"/>
          <w:marRight w:val="0"/>
          <w:marTop w:val="0"/>
          <w:marBottom w:val="0"/>
          <w:divBdr>
            <w:top w:val="none" w:sz="0" w:space="0" w:color="auto"/>
            <w:left w:val="none" w:sz="0" w:space="0" w:color="auto"/>
            <w:bottom w:val="none" w:sz="0" w:space="0" w:color="auto"/>
            <w:right w:val="none" w:sz="0" w:space="0" w:color="auto"/>
          </w:divBdr>
        </w:div>
        <w:div w:id="1398548488">
          <w:marLeft w:val="640"/>
          <w:marRight w:val="0"/>
          <w:marTop w:val="0"/>
          <w:marBottom w:val="0"/>
          <w:divBdr>
            <w:top w:val="none" w:sz="0" w:space="0" w:color="auto"/>
            <w:left w:val="none" w:sz="0" w:space="0" w:color="auto"/>
            <w:bottom w:val="none" w:sz="0" w:space="0" w:color="auto"/>
            <w:right w:val="none" w:sz="0" w:space="0" w:color="auto"/>
          </w:divBdr>
        </w:div>
        <w:div w:id="983048606">
          <w:marLeft w:val="640"/>
          <w:marRight w:val="0"/>
          <w:marTop w:val="0"/>
          <w:marBottom w:val="0"/>
          <w:divBdr>
            <w:top w:val="none" w:sz="0" w:space="0" w:color="auto"/>
            <w:left w:val="none" w:sz="0" w:space="0" w:color="auto"/>
            <w:bottom w:val="none" w:sz="0" w:space="0" w:color="auto"/>
            <w:right w:val="none" w:sz="0" w:space="0" w:color="auto"/>
          </w:divBdr>
        </w:div>
        <w:div w:id="1298336963">
          <w:marLeft w:val="640"/>
          <w:marRight w:val="0"/>
          <w:marTop w:val="0"/>
          <w:marBottom w:val="0"/>
          <w:divBdr>
            <w:top w:val="none" w:sz="0" w:space="0" w:color="auto"/>
            <w:left w:val="none" w:sz="0" w:space="0" w:color="auto"/>
            <w:bottom w:val="none" w:sz="0" w:space="0" w:color="auto"/>
            <w:right w:val="none" w:sz="0" w:space="0" w:color="auto"/>
          </w:divBdr>
        </w:div>
        <w:div w:id="1543784648">
          <w:marLeft w:val="640"/>
          <w:marRight w:val="0"/>
          <w:marTop w:val="0"/>
          <w:marBottom w:val="0"/>
          <w:divBdr>
            <w:top w:val="none" w:sz="0" w:space="0" w:color="auto"/>
            <w:left w:val="none" w:sz="0" w:space="0" w:color="auto"/>
            <w:bottom w:val="none" w:sz="0" w:space="0" w:color="auto"/>
            <w:right w:val="none" w:sz="0" w:space="0" w:color="auto"/>
          </w:divBdr>
        </w:div>
        <w:div w:id="1432975211">
          <w:marLeft w:val="640"/>
          <w:marRight w:val="0"/>
          <w:marTop w:val="0"/>
          <w:marBottom w:val="0"/>
          <w:divBdr>
            <w:top w:val="none" w:sz="0" w:space="0" w:color="auto"/>
            <w:left w:val="none" w:sz="0" w:space="0" w:color="auto"/>
            <w:bottom w:val="none" w:sz="0" w:space="0" w:color="auto"/>
            <w:right w:val="none" w:sz="0" w:space="0" w:color="auto"/>
          </w:divBdr>
        </w:div>
        <w:div w:id="1633822568">
          <w:marLeft w:val="640"/>
          <w:marRight w:val="0"/>
          <w:marTop w:val="0"/>
          <w:marBottom w:val="0"/>
          <w:divBdr>
            <w:top w:val="none" w:sz="0" w:space="0" w:color="auto"/>
            <w:left w:val="none" w:sz="0" w:space="0" w:color="auto"/>
            <w:bottom w:val="none" w:sz="0" w:space="0" w:color="auto"/>
            <w:right w:val="none" w:sz="0" w:space="0" w:color="auto"/>
          </w:divBdr>
        </w:div>
        <w:div w:id="1567569849">
          <w:marLeft w:val="640"/>
          <w:marRight w:val="0"/>
          <w:marTop w:val="0"/>
          <w:marBottom w:val="0"/>
          <w:divBdr>
            <w:top w:val="none" w:sz="0" w:space="0" w:color="auto"/>
            <w:left w:val="none" w:sz="0" w:space="0" w:color="auto"/>
            <w:bottom w:val="none" w:sz="0" w:space="0" w:color="auto"/>
            <w:right w:val="none" w:sz="0" w:space="0" w:color="auto"/>
          </w:divBdr>
        </w:div>
        <w:div w:id="522670277">
          <w:marLeft w:val="640"/>
          <w:marRight w:val="0"/>
          <w:marTop w:val="0"/>
          <w:marBottom w:val="0"/>
          <w:divBdr>
            <w:top w:val="none" w:sz="0" w:space="0" w:color="auto"/>
            <w:left w:val="none" w:sz="0" w:space="0" w:color="auto"/>
            <w:bottom w:val="none" w:sz="0" w:space="0" w:color="auto"/>
            <w:right w:val="none" w:sz="0" w:space="0" w:color="auto"/>
          </w:divBdr>
        </w:div>
        <w:div w:id="2100982096">
          <w:marLeft w:val="640"/>
          <w:marRight w:val="0"/>
          <w:marTop w:val="0"/>
          <w:marBottom w:val="0"/>
          <w:divBdr>
            <w:top w:val="none" w:sz="0" w:space="0" w:color="auto"/>
            <w:left w:val="none" w:sz="0" w:space="0" w:color="auto"/>
            <w:bottom w:val="none" w:sz="0" w:space="0" w:color="auto"/>
            <w:right w:val="none" w:sz="0" w:space="0" w:color="auto"/>
          </w:divBdr>
        </w:div>
        <w:div w:id="1758675046">
          <w:marLeft w:val="640"/>
          <w:marRight w:val="0"/>
          <w:marTop w:val="0"/>
          <w:marBottom w:val="0"/>
          <w:divBdr>
            <w:top w:val="none" w:sz="0" w:space="0" w:color="auto"/>
            <w:left w:val="none" w:sz="0" w:space="0" w:color="auto"/>
            <w:bottom w:val="none" w:sz="0" w:space="0" w:color="auto"/>
            <w:right w:val="none" w:sz="0" w:space="0" w:color="auto"/>
          </w:divBdr>
        </w:div>
        <w:div w:id="167185248">
          <w:marLeft w:val="640"/>
          <w:marRight w:val="0"/>
          <w:marTop w:val="0"/>
          <w:marBottom w:val="0"/>
          <w:divBdr>
            <w:top w:val="none" w:sz="0" w:space="0" w:color="auto"/>
            <w:left w:val="none" w:sz="0" w:space="0" w:color="auto"/>
            <w:bottom w:val="none" w:sz="0" w:space="0" w:color="auto"/>
            <w:right w:val="none" w:sz="0" w:space="0" w:color="auto"/>
          </w:divBdr>
        </w:div>
        <w:div w:id="1322198334">
          <w:marLeft w:val="640"/>
          <w:marRight w:val="0"/>
          <w:marTop w:val="0"/>
          <w:marBottom w:val="0"/>
          <w:divBdr>
            <w:top w:val="none" w:sz="0" w:space="0" w:color="auto"/>
            <w:left w:val="none" w:sz="0" w:space="0" w:color="auto"/>
            <w:bottom w:val="none" w:sz="0" w:space="0" w:color="auto"/>
            <w:right w:val="none" w:sz="0" w:space="0" w:color="auto"/>
          </w:divBdr>
        </w:div>
        <w:div w:id="144979797">
          <w:marLeft w:val="640"/>
          <w:marRight w:val="0"/>
          <w:marTop w:val="0"/>
          <w:marBottom w:val="0"/>
          <w:divBdr>
            <w:top w:val="none" w:sz="0" w:space="0" w:color="auto"/>
            <w:left w:val="none" w:sz="0" w:space="0" w:color="auto"/>
            <w:bottom w:val="none" w:sz="0" w:space="0" w:color="auto"/>
            <w:right w:val="none" w:sz="0" w:space="0" w:color="auto"/>
          </w:divBdr>
        </w:div>
        <w:div w:id="1096755485">
          <w:marLeft w:val="640"/>
          <w:marRight w:val="0"/>
          <w:marTop w:val="0"/>
          <w:marBottom w:val="0"/>
          <w:divBdr>
            <w:top w:val="none" w:sz="0" w:space="0" w:color="auto"/>
            <w:left w:val="none" w:sz="0" w:space="0" w:color="auto"/>
            <w:bottom w:val="none" w:sz="0" w:space="0" w:color="auto"/>
            <w:right w:val="none" w:sz="0" w:space="0" w:color="auto"/>
          </w:divBdr>
        </w:div>
        <w:div w:id="594215613">
          <w:marLeft w:val="640"/>
          <w:marRight w:val="0"/>
          <w:marTop w:val="0"/>
          <w:marBottom w:val="0"/>
          <w:divBdr>
            <w:top w:val="none" w:sz="0" w:space="0" w:color="auto"/>
            <w:left w:val="none" w:sz="0" w:space="0" w:color="auto"/>
            <w:bottom w:val="none" w:sz="0" w:space="0" w:color="auto"/>
            <w:right w:val="none" w:sz="0" w:space="0" w:color="auto"/>
          </w:divBdr>
        </w:div>
        <w:div w:id="776096838">
          <w:marLeft w:val="640"/>
          <w:marRight w:val="0"/>
          <w:marTop w:val="0"/>
          <w:marBottom w:val="0"/>
          <w:divBdr>
            <w:top w:val="none" w:sz="0" w:space="0" w:color="auto"/>
            <w:left w:val="none" w:sz="0" w:space="0" w:color="auto"/>
            <w:bottom w:val="none" w:sz="0" w:space="0" w:color="auto"/>
            <w:right w:val="none" w:sz="0" w:space="0" w:color="auto"/>
          </w:divBdr>
        </w:div>
        <w:div w:id="1414277361">
          <w:marLeft w:val="640"/>
          <w:marRight w:val="0"/>
          <w:marTop w:val="0"/>
          <w:marBottom w:val="0"/>
          <w:divBdr>
            <w:top w:val="none" w:sz="0" w:space="0" w:color="auto"/>
            <w:left w:val="none" w:sz="0" w:space="0" w:color="auto"/>
            <w:bottom w:val="none" w:sz="0" w:space="0" w:color="auto"/>
            <w:right w:val="none" w:sz="0" w:space="0" w:color="auto"/>
          </w:divBdr>
        </w:div>
        <w:div w:id="1354376873">
          <w:marLeft w:val="640"/>
          <w:marRight w:val="0"/>
          <w:marTop w:val="0"/>
          <w:marBottom w:val="0"/>
          <w:divBdr>
            <w:top w:val="none" w:sz="0" w:space="0" w:color="auto"/>
            <w:left w:val="none" w:sz="0" w:space="0" w:color="auto"/>
            <w:bottom w:val="none" w:sz="0" w:space="0" w:color="auto"/>
            <w:right w:val="none" w:sz="0" w:space="0" w:color="auto"/>
          </w:divBdr>
        </w:div>
        <w:div w:id="1640529682">
          <w:marLeft w:val="640"/>
          <w:marRight w:val="0"/>
          <w:marTop w:val="0"/>
          <w:marBottom w:val="0"/>
          <w:divBdr>
            <w:top w:val="none" w:sz="0" w:space="0" w:color="auto"/>
            <w:left w:val="none" w:sz="0" w:space="0" w:color="auto"/>
            <w:bottom w:val="none" w:sz="0" w:space="0" w:color="auto"/>
            <w:right w:val="none" w:sz="0" w:space="0" w:color="auto"/>
          </w:divBdr>
        </w:div>
        <w:div w:id="1967009480">
          <w:marLeft w:val="640"/>
          <w:marRight w:val="0"/>
          <w:marTop w:val="0"/>
          <w:marBottom w:val="0"/>
          <w:divBdr>
            <w:top w:val="none" w:sz="0" w:space="0" w:color="auto"/>
            <w:left w:val="none" w:sz="0" w:space="0" w:color="auto"/>
            <w:bottom w:val="none" w:sz="0" w:space="0" w:color="auto"/>
            <w:right w:val="none" w:sz="0" w:space="0" w:color="auto"/>
          </w:divBdr>
        </w:div>
        <w:div w:id="624624079">
          <w:marLeft w:val="640"/>
          <w:marRight w:val="0"/>
          <w:marTop w:val="0"/>
          <w:marBottom w:val="0"/>
          <w:divBdr>
            <w:top w:val="none" w:sz="0" w:space="0" w:color="auto"/>
            <w:left w:val="none" w:sz="0" w:space="0" w:color="auto"/>
            <w:bottom w:val="none" w:sz="0" w:space="0" w:color="auto"/>
            <w:right w:val="none" w:sz="0" w:space="0" w:color="auto"/>
          </w:divBdr>
        </w:div>
        <w:div w:id="90013391">
          <w:marLeft w:val="640"/>
          <w:marRight w:val="0"/>
          <w:marTop w:val="0"/>
          <w:marBottom w:val="0"/>
          <w:divBdr>
            <w:top w:val="none" w:sz="0" w:space="0" w:color="auto"/>
            <w:left w:val="none" w:sz="0" w:space="0" w:color="auto"/>
            <w:bottom w:val="none" w:sz="0" w:space="0" w:color="auto"/>
            <w:right w:val="none" w:sz="0" w:space="0" w:color="auto"/>
          </w:divBdr>
        </w:div>
        <w:div w:id="1930576947">
          <w:marLeft w:val="640"/>
          <w:marRight w:val="0"/>
          <w:marTop w:val="0"/>
          <w:marBottom w:val="0"/>
          <w:divBdr>
            <w:top w:val="none" w:sz="0" w:space="0" w:color="auto"/>
            <w:left w:val="none" w:sz="0" w:space="0" w:color="auto"/>
            <w:bottom w:val="none" w:sz="0" w:space="0" w:color="auto"/>
            <w:right w:val="none" w:sz="0" w:space="0" w:color="auto"/>
          </w:divBdr>
        </w:div>
        <w:div w:id="1985810737">
          <w:marLeft w:val="640"/>
          <w:marRight w:val="0"/>
          <w:marTop w:val="0"/>
          <w:marBottom w:val="0"/>
          <w:divBdr>
            <w:top w:val="none" w:sz="0" w:space="0" w:color="auto"/>
            <w:left w:val="none" w:sz="0" w:space="0" w:color="auto"/>
            <w:bottom w:val="none" w:sz="0" w:space="0" w:color="auto"/>
            <w:right w:val="none" w:sz="0" w:space="0" w:color="auto"/>
          </w:divBdr>
        </w:div>
        <w:div w:id="368726607">
          <w:marLeft w:val="640"/>
          <w:marRight w:val="0"/>
          <w:marTop w:val="0"/>
          <w:marBottom w:val="0"/>
          <w:divBdr>
            <w:top w:val="none" w:sz="0" w:space="0" w:color="auto"/>
            <w:left w:val="none" w:sz="0" w:space="0" w:color="auto"/>
            <w:bottom w:val="none" w:sz="0" w:space="0" w:color="auto"/>
            <w:right w:val="none" w:sz="0" w:space="0" w:color="auto"/>
          </w:divBdr>
        </w:div>
        <w:div w:id="1700885650">
          <w:marLeft w:val="640"/>
          <w:marRight w:val="0"/>
          <w:marTop w:val="0"/>
          <w:marBottom w:val="0"/>
          <w:divBdr>
            <w:top w:val="none" w:sz="0" w:space="0" w:color="auto"/>
            <w:left w:val="none" w:sz="0" w:space="0" w:color="auto"/>
            <w:bottom w:val="none" w:sz="0" w:space="0" w:color="auto"/>
            <w:right w:val="none" w:sz="0" w:space="0" w:color="auto"/>
          </w:divBdr>
        </w:div>
        <w:div w:id="713192241">
          <w:marLeft w:val="640"/>
          <w:marRight w:val="0"/>
          <w:marTop w:val="0"/>
          <w:marBottom w:val="0"/>
          <w:divBdr>
            <w:top w:val="none" w:sz="0" w:space="0" w:color="auto"/>
            <w:left w:val="none" w:sz="0" w:space="0" w:color="auto"/>
            <w:bottom w:val="none" w:sz="0" w:space="0" w:color="auto"/>
            <w:right w:val="none" w:sz="0" w:space="0" w:color="auto"/>
          </w:divBdr>
        </w:div>
        <w:div w:id="491220146">
          <w:marLeft w:val="640"/>
          <w:marRight w:val="0"/>
          <w:marTop w:val="0"/>
          <w:marBottom w:val="0"/>
          <w:divBdr>
            <w:top w:val="none" w:sz="0" w:space="0" w:color="auto"/>
            <w:left w:val="none" w:sz="0" w:space="0" w:color="auto"/>
            <w:bottom w:val="none" w:sz="0" w:space="0" w:color="auto"/>
            <w:right w:val="none" w:sz="0" w:space="0" w:color="auto"/>
          </w:divBdr>
        </w:div>
        <w:div w:id="146211224">
          <w:marLeft w:val="640"/>
          <w:marRight w:val="0"/>
          <w:marTop w:val="0"/>
          <w:marBottom w:val="0"/>
          <w:divBdr>
            <w:top w:val="none" w:sz="0" w:space="0" w:color="auto"/>
            <w:left w:val="none" w:sz="0" w:space="0" w:color="auto"/>
            <w:bottom w:val="none" w:sz="0" w:space="0" w:color="auto"/>
            <w:right w:val="none" w:sz="0" w:space="0" w:color="auto"/>
          </w:divBdr>
        </w:div>
        <w:div w:id="255484533">
          <w:marLeft w:val="640"/>
          <w:marRight w:val="0"/>
          <w:marTop w:val="0"/>
          <w:marBottom w:val="0"/>
          <w:divBdr>
            <w:top w:val="none" w:sz="0" w:space="0" w:color="auto"/>
            <w:left w:val="none" w:sz="0" w:space="0" w:color="auto"/>
            <w:bottom w:val="none" w:sz="0" w:space="0" w:color="auto"/>
            <w:right w:val="none" w:sz="0" w:space="0" w:color="auto"/>
          </w:divBdr>
        </w:div>
        <w:div w:id="1820416392">
          <w:marLeft w:val="640"/>
          <w:marRight w:val="0"/>
          <w:marTop w:val="0"/>
          <w:marBottom w:val="0"/>
          <w:divBdr>
            <w:top w:val="none" w:sz="0" w:space="0" w:color="auto"/>
            <w:left w:val="none" w:sz="0" w:space="0" w:color="auto"/>
            <w:bottom w:val="none" w:sz="0" w:space="0" w:color="auto"/>
            <w:right w:val="none" w:sz="0" w:space="0" w:color="auto"/>
          </w:divBdr>
        </w:div>
        <w:div w:id="1015889809">
          <w:marLeft w:val="640"/>
          <w:marRight w:val="0"/>
          <w:marTop w:val="0"/>
          <w:marBottom w:val="0"/>
          <w:divBdr>
            <w:top w:val="none" w:sz="0" w:space="0" w:color="auto"/>
            <w:left w:val="none" w:sz="0" w:space="0" w:color="auto"/>
            <w:bottom w:val="none" w:sz="0" w:space="0" w:color="auto"/>
            <w:right w:val="none" w:sz="0" w:space="0" w:color="auto"/>
          </w:divBdr>
        </w:div>
        <w:div w:id="1656841082">
          <w:marLeft w:val="640"/>
          <w:marRight w:val="0"/>
          <w:marTop w:val="0"/>
          <w:marBottom w:val="0"/>
          <w:divBdr>
            <w:top w:val="none" w:sz="0" w:space="0" w:color="auto"/>
            <w:left w:val="none" w:sz="0" w:space="0" w:color="auto"/>
            <w:bottom w:val="none" w:sz="0" w:space="0" w:color="auto"/>
            <w:right w:val="none" w:sz="0" w:space="0" w:color="auto"/>
          </w:divBdr>
        </w:div>
        <w:div w:id="1369255785">
          <w:marLeft w:val="640"/>
          <w:marRight w:val="0"/>
          <w:marTop w:val="0"/>
          <w:marBottom w:val="0"/>
          <w:divBdr>
            <w:top w:val="none" w:sz="0" w:space="0" w:color="auto"/>
            <w:left w:val="none" w:sz="0" w:space="0" w:color="auto"/>
            <w:bottom w:val="none" w:sz="0" w:space="0" w:color="auto"/>
            <w:right w:val="none" w:sz="0" w:space="0" w:color="auto"/>
          </w:divBdr>
        </w:div>
        <w:div w:id="1485967084">
          <w:marLeft w:val="640"/>
          <w:marRight w:val="0"/>
          <w:marTop w:val="0"/>
          <w:marBottom w:val="0"/>
          <w:divBdr>
            <w:top w:val="none" w:sz="0" w:space="0" w:color="auto"/>
            <w:left w:val="none" w:sz="0" w:space="0" w:color="auto"/>
            <w:bottom w:val="none" w:sz="0" w:space="0" w:color="auto"/>
            <w:right w:val="none" w:sz="0" w:space="0" w:color="auto"/>
          </w:divBdr>
        </w:div>
        <w:div w:id="98961477">
          <w:marLeft w:val="640"/>
          <w:marRight w:val="0"/>
          <w:marTop w:val="0"/>
          <w:marBottom w:val="0"/>
          <w:divBdr>
            <w:top w:val="none" w:sz="0" w:space="0" w:color="auto"/>
            <w:left w:val="none" w:sz="0" w:space="0" w:color="auto"/>
            <w:bottom w:val="none" w:sz="0" w:space="0" w:color="auto"/>
            <w:right w:val="none" w:sz="0" w:space="0" w:color="auto"/>
          </w:divBdr>
        </w:div>
        <w:div w:id="437868142">
          <w:marLeft w:val="640"/>
          <w:marRight w:val="0"/>
          <w:marTop w:val="0"/>
          <w:marBottom w:val="0"/>
          <w:divBdr>
            <w:top w:val="none" w:sz="0" w:space="0" w:color="auto"/>
            <w:left w:val="none" w:sz="0" w:space="0" w:color="auto"/>
            <w:bottom w:val="none" w:sz="0" w:space="0" w:color="auto"/>
            <w:right w:val="none" w:sz="0" w:space="0" w:color="auto"/>
          </w:divBdr>
        </w:div>
        <w:div w:id="655305507">
          <w:marLeft w:val="640"/>
          <w:marRight w:val="0"/>
          <w:marTop w:val="0"/>
          <w:marBottom w:val="0"/>
          <w:divBdr>
            <w:top w:val="none" w:sz="0" w:space="0" w:color="auto"/>
            <w:left w:val="none" w:sz="0" w:space="0" w:color="auto"/>
            <w:bottom w:val="none" w:sz="0" w:space="0" w:color="auto"/>
            <w:right w:val="none" w:sz="0" w:space="0" w:color="auto"/>
          </w:divBdr>
        </w:div>
        <w:div w:id="990906814">
          <w:marLeft w:val="640"/>
          <w:marRight w:val="0"/>
          <w:marTop w:val="0"/>
          <w:marBottom w:val="0"/>
          <w:divBdr>
            <w:top w:val="none" w:sz="0" w:space="0" w:color="auto"/>
            <w:left w:val="none" w:sz="0" w:space="0" w:color="auto"/>
            <w:bottom w:val="none" w:sz="0" w:space="0" w:color="auto"/>
            <w:right w:val="none" w:sz="0" w:space="0" w:color="auto"/>
          </w:divBdr>
        </w:div>
        <w:div w:id="830800180">
          <w:marLeft w:val="640"/>
          <w:marRight w:val="0"/>
          <w:marTop w:val="0"/>
          <w:marBottom w:val="0"/>
          <w:divBdr>
            <w:top w:val="none" w:sz="0" w:space="0" w:color="auto"/>
            <w:left w:val="none" w:sz="0" w:space="0" w:color="auto"/>
            <w:bottom w:val="none" w:sz="0" w:space="0" w:color="auto"/>
            <w:right w:val="none" w:sz="0" w:space="0" w:color="auto"/>
          </w:divBdr>
        </w:div>
        <w:div w:id="545215214">
          <w:marLeft w:val="640"/>
          <w:marRight w:val="0"/>
          <w:marTop w:val="0"/>
          <w:marBottom w:val="0"/>
          <w:divBdr>
            <w:top w:val="none" w:sz="0" w:space="0" w:color="auto"/>
            <w:left w:val="none" w:sz="0" w:space="0" w:color="auto"/>
            <w:bottom w:val="none" w:sz="0" w:space="0" w:color="auto"/>
            <w:right w:val="none" w:sz="0" w:space="0" w:color="auto"/>
          </w:divBdr>
        </w:div>
        <w:div w:id="236474396">
          <w:marLeft w:val="640"/>
          <w:marRight w:val="0"/>
          <w:marTop w:val="0"/>
          <w:marBottom w:val="0"/>
          <w:divBdr>
            <w:top w:val="none" w:sz="0" w:space="0" w:color="auto"/>
            <w:left w:val="none" w:sz="0" w:space="0" w:color="auto"/>
            <w:bottom w:val="none" w:sz="0" w:space="0" w:color="auto"/>
            <w:right w:val="none" w:sz="0" w:space="0" w:color="auto"/>
          </w:divBdr>
        </w:div>
        <w:div w:id="1712725592">
          <w:marLeft w:val="640"/>
          <w:marRight w:val="0"/>
          <w:marTop w:val="0"/>
          <w:marBottom w:val="0"/>
          <w:divBdr>
            <w:top w:val="none" w:sz="0" w:space="0" w:color="auto"/>
            <w:left w:val="none" w:sz="0" w:space="0" w:color="auto"/>
            <w:bottom w:val="none" w:sz="0" w:space="0" w:color="auto"/>
            <w:right w:val="none" w:sz="0" w:space="0" w:color="auto"/>
          </w:divBdr>
        </w:div>
        <w:div w:id="30963829">
          <w:marLeft w:val="640"/>
          <w:marRight w:val="0"/>
          <w:marTop w:val="0"/>
          <w:marBottom w:val="0"/>
          <w:divBdr>
            <w:top w:val="none" w:sz="0" w:space="0" w:color="auto"/>
            <w:left w:val="none" w:sz="0" w:space="0" w:color="auto"/>
            <w:bottom w:val="none" w:sz="0" w:space="0" w:color="auto"/>
            <w:right w:val="none" w:sz="0" w:space="0" w:color="auto"/>
          </w:divBdr>
        </w:div>
        <w:div w:id="1006635707">
          <w:marLeft w:val="640"/>
          <w:marRight w:val="0"/>
          <w:marTop w:val="0"/>
          <w:marBottom w:val="0"/>
          <w:divBdr>
            <w:top w:val="none" w:sz="0" w:space="0" w:color="auto"/>
            <w:left w:val="none" w:sz="0" w:space="0" w:color="auto"/>
            <w:bottom w:val="none" w:sz="0" w:space="0" w:color="auto"/>
            <w:right w:val="none" w:sz="0" w:space="0" w:color="auto"/>
          </w:divBdr>
        </w:div>
        <w:div w:id="711879841">
          <w:marLeft w:val="640"/>
          <w:marRight w:val="0"/>
          <w:marTop w:val="0"/>
          <w:marBottom w:val="0"/>
          <w:divBdr>
            <w:top w:val="none" w:sz="0" w:space="0" w:color="auto"/>
            <w:left w:val="none" w:sz="0" w:space="0" w:color="auto"/>
            <w:bottom w:val="none" w:sz="0" w:space="0" w:color="auto"/>
            <w:right w:val="none" w:sz="0" w:space="0" w:color="auto"/>
          </w:divBdr>
        </w:div>
        <w:div w:id="1983777738">
          <w:marLeft w:val="640"/>
          <w:marRight w:val="0"/>
          <w:marTop w:val="0"/>
          <w:marBottom w:val="0"/>
          <w:divBdr>
            <w:top w:val="none" w:sz="0" w:space="0" w:color="auto"/>
            <w:left w:val="none" w:sz="0" w:space="0" w:color="auto"/>
            <w:bottom w:val="none" w:sz="0" w:space="0" w:color="auto"/>
            <w:right w:val="none" w:sz="0" w:space="0" w:color="auto"/>
          </w:divBdr>
        </w:div>
        <w:div w:id="1496528020">
          <w:marLeft w:val="640"/>
          <w:marRight w:val="0"/>
          <w:marTop w:val="0"/>
          <w:marBottom w:val="0"/>
          <w:divBdr>
            <w:top w:val="none" w:sz="0" w:space="0" w:color="auto"/>
            <w:left w:val="none" w:sz="0" w:space="0" w:color="auto"/>
            <w:bottom w:val="none" w:sz="0" w:space="0" w:color="auto"/>
            <w:right w:val="none" w:sz="0" w:space="0" w:color="auto"/>
          </w:divBdr>
        </w:div>
        <w:div w:id="166021388">
          <w:marLeft w:val="640"/>
          <w:marRight w:val="0"/>
          <w:marTop w:val="0"/>
          <w:marBottom w:val="0"/>
          <w:divBdr>
            <w:top w:val="none" w:sz="0" w:space="0" w:color="auto"/>
            <w:left w:val="none" w:sz="0" w:space="0" w:color="auto"/>
            <w:bottom w:val="none" w:sz="0" w:space="0" w:color="auto"/>
            <w:right w:val="none" w:sz="0" w:space="0" w:color="auto"/>
          </w:divBdr>
        </w:div>
        <w:div w:id="1597858717">
          <w:marLeft w:val="640"/>
          <w:marRight w:val="0"/>
          <w:marTop w:val="0"/>
          <w:marBottom w:val="0"/>
          <w:divBdr>
            <w:top w:val="none" w:sz="0" w:space="0" w:color="auto"/>
            <w:left w:val="none" w:sz="0" w:space="0" w:color="auto"/>
            <w:bottom w:val="none" w:sz="0" w:space="0" w:color="auto"/>
            <w:right w:val="none" w:sz="0" w:space="0" w:color="auto"/>
          </w:divBdr>
        </w:div>
        <w:div w:id="1859538238">
          <w:marLeft w:val="640"/>
          <w:marRight w:val="0"/>
          <w:marTop w:val="0"/>
          <w:marBottom w:val="0"/>
          <w:divBdr>
            <w:top w:val="none" w:sz="0" w:space="0" w:color="auto"/>
            <w:left w:val="none" w:sz="0" w:space="0" w:color="auto"/>
            <w:bottom w:val="none" w:sz="0" w:space="0" w:color="auto"/>
            <w:right w:val="none" w:sz="0" w:space="0" w:color="auto"/>
          </w:divBdr>
        </w:div>
        <w:div w:id="1846626156">
          <w:marLeft w:val="640"/>
          <w:marRight w:val="0"/>
          <w:marTop w:val="0"/>
          <w:marBottom w:val="0"/>
          <w:divBdr>
            <w:top w:val="none" w:sz="0" w:space="0" w:color="auto"/>
            <w:left w:val="none" w:sz="0" w:space="0" w:color="auto"/>
            <w:bottom w:val="none" w:sz="0" w:space="0" w:color="auto"/>
            <w:right w:val="none" w:sz="0" w:space="0" w:color="auto"/>
          </w:divBdr>
        </w:div>
        <w:div w:id="84376577">
          <w:marLeft w:val="640"/>
          <w:marRight w:val="0"/>
          <w:marTop w:val="0"/>
          <w:marBottom w:val="0"/>
          <w:divBdr>
            <w:top w:val="none" w:sz="0" w:space="0" w:color="auto"/>
            <w:left w:val="none" w:sz="0" w:space="0" w:color="auto"/>
            <w:bottom w:val="none" w:sz="0" w:space="0" w:color="auto"/>
            <w:right w:val="none" w:sz="0" w:space="0" w:color="auto"/>
          </w:divBdr>
        </w:div>
        <w:div w:id="1819570171">
          <w:marLeft w:val="640"/>
          <w:marRight w:val="0"/>
          <w:marTop w:val="0"/>
          <w:marBottom w:val="0"/>
          <w:divBdr>
            <w:top w:val="none" w:sz="0" w:space="0" w:color="auto"/>
            <w:left w:val="none" w:sz="0" w:space="0" w:color="auto"/>
            <w:bottom w:val="none" w:sz="0" w:space="0" w:color="auto"/>
            <w:right w:val="none" w:sz="0" w:space="0" w:color="auto"/>
          </w:divBdr>
        </w:div>
        <w:div w:id="1653367865">
          <w:marLeft w:val="640"/>
          <w:marRight w:val="0"/>
          <w:marTop w:val="0"/>
          <w:marBottom w:val="0"/>
          <w:divBdr>
            <w:top w:val="none" w:sz="0" w:space="0" w:color="auto"/>
            <w:left w:val="none" w:sz="0" w:space="0" w:color="auto"/>
            <w:bottom w:val="none" w:sz="0" w:space="0" w:color="auto"/>
            <w:right w:val="none" w:sz="0" w:space="0" w:color="auto"/>
          </w:divBdr>
        </w:div>
        <w:div w:id="857237940">
          <w:marLeft w:val="640"/>
          <w:marRight w:val="0"/>
          <w:marTop w:val="0"/>
          <w:marBottom w:val="0"/>
          <w:divBdr>
            <w:top w:val="none" w:sz="0" w:space="0" w:color="auto"/>
            <w:left w:val="none" w:sz="0" w:space="0" w:color="auto"/>
            <w:bottom w:val="none" w:sz="0" w:space="0" w:color="auto"/>
            <w:right w:val="none" w:sz="0" w:space="0" w:color="auto"/>
          </w:divBdr>
        </w:div>
        <w:div w:id="70393072">
          <w:marLeft w:val="640"/>
          <w:marRight w:val="0"/>
          <w:marTop w:val="0"/>
          <w:marBottom w:val="0"/>
          <w:divBdr>
            <w:top w:val="none" w:sz="0" w:space="0" w:color="auto"/>
            <w:left w:val="none" w:sz="0" w:space="0" w:color="auto"/>
            <w:bottom w:val="none" w:sz="0" w:space="0" w:color="auto"/>
            <w:right w:val="none" w:sz="0" w:space="0" w:color="auto"/>
          </w:divBdr>
        </w:div>
        <w:div w:id="956181177">
          <w:marLeft w:val="640"/>
          <w:marRight w:val="0"/>
          <w:marTop w:val="0"/>
          <w:marBottom w:val="0"/>
          <w:divBdr>
            <w:top w:val="none" w:sz="0" w:space="0" w:color="auto"/>
            <w:left w:val="none" w:sz="0" w:space="0" w:color="auto"/>
            <w:bottom w:val="none" w:sz="0" w:space="0" w:color="auto"/>
            <w:right w:val="none" w:sz="0" w:space="0" w:color="auto"/>
          </w:divBdr>
        </w:div>
        <w:div w:id="1204056596">
          <w:marLeft w:val="640"/>
          <w:marRight w:val="0"/>
          <w:marTop w:val="0"/>
          <w:marBottom w:val="0"/>
          <w:divBdr>
            <w:top w:val="none" w:sz="0" w:space="0" w:color="auto"/>
            <w:left w:val="none" w:sz="0" w:space="0" w:color="auto"/>
            <w:bottom w:val="none" w:sz="0" w:space="0" w:color="auto"/>
            <w:right w:val="none" w:sz="0" w:space="0" w:color="auto"/>
          </w:divBdr>
        </w:div>
        <w:div w:id="1326319752">
          <w:marLeft w:val="640"/>
          <w:marRight w:val="0"/>
          <w:marTop w:val="0"/>
          <w:marBottom w:val="0"/>
          <w:divBdr>
            <w:top w:val="none" w:sz="0" w:space="0" w:color="auto"/>
            <w:left w:val="none" w:sz="0" w:space="0" w:color="auto"/>
            <w:bottom w:val="none" w:sz="0" w:space="0" w:color="auto"/>
            <w:right w:val="none" w:sz="0" w:space="0" w:color="auto"/>
          </w:divBdr>
        </w:div>
        <w:div w:id="1083719391">
          <w:marLeft w:val="640"/>
          <w:marRight w:val="0"/>
          <w:marTop w:val="0"/>
          <w:marBottom w:val="0"/>
          <w:divBdr>
            <w:top w:val="none" w:sz="0" w:space="0" w:color="auto"/>
            <w:left w:val="none" w:sz="0" w:space="0" w:color="auto"/>
            <w:bottom w:val="none" w:sz="0" w:space="0" w:color="auto"/>
            <w:right w:val="none" w:sz="0" w:space="0" w:color="auto"/>
          </w:divBdr>
        </w:div>
        <w:div w:id="893734600">
          <w:marLeft w:val="640"/>
          <w:marRight w:val="0"/>
          <w:marTop w:val="0"/>
          <w:marBottom w:val="0"/>
          <w:divBdr>
            <w:top w:val="none" w:sz="0" w:space="0" w:color="auto"/>
            <w:left w:val="none" w:sz="0" w:space="0" w:color="auto"/>
            <w:bottom w:val="none" w:sz="0" w:space="0" w:color="auto"/>
            <w:right w:val="none" w:sz="0" w:space="0" w:color="auto"/>
          </w:divBdr>
        </w:div>
        <w:div w:id="975915231">
          <w:marLeft w:val="640"/>
          <w:marRight w:val="0"/>
          <w:marTop w:val="0"/>
          <w:marBottom w:val="0"/>
          <w:divBdr>
            <w:top w:val="none" w:sz="0" w:space="0" w:color="auto"/>
            <w:left w:val="none" w:sz="0" w:space="0" w:color="auto"/>
            <w:bottom w:val="none" w:sz="0" w:space="0" w:color="auto"/>
            <w:right w:val="none" w:sz="0" w:space="0" w:color="auto"/>
          </w:divBdr>
        </w:div>
        <w:div w:id="685985872">
          <w:marLeft w:val="640"/>
          <w:marRight w:val="0"/>
          <w:marTop w:val="0"/>
          <w:marBottom w:val="0"/>
          <w:divBdr>
            <w:top w:val="none" w:sz="0" w:space="0" w:color="auto"/>
            <w:left w:val="none" w:sz="0" w:space="0" w:color="auto"/>
            <w:bottom w:val="none" w:sz="0" w:space="0" w:color="auto"/>
            <w:right w:val="none" w:sz="0" w:space="0" w:color="auto"/>
          </w:divBdr>
        </w:div>
        <w:div w:id="1247305578">
          <w:marLeft w:val="640"/>
          <w:marRight w:val="0"/>
          <w:marTop w:val="0"/>
          <w:marBottom w:val="0"/>
          <w:divBdr>
            <w:top w:val="none" w:sz="0" w:space="0" w:color="auto"/>
            <w:left w:val="none" w:sz="0" w:space="0" w:color="auto"/>
            <w:bottom w:val="none" w:sz="0" w:space="0" w:color="auto"/>
            <w:right w:val="none" w:sz="0" w:space="0" w:color="auto"/>
          </w:divBdr>
        </w:div>
        <w:div w:id="443233779">
          <w:marLeft w:val="640"/>
          <w:marRight w:val="0"/>
          <w:marTop w:val="0"/>
          <w:marBottom w:val="0"/>
          <w:divBdr>
            <w:top w:val="none" w:sz="0" w:space="0" w:color="auto"/>
            <w:left w:val="none" w:sz="0" w:space="0" w:color="auto"/>
            <w:bottom w:val="none" w:sz="0" w:space="0" w:color="auto"/>
            <w:right w:val="none" w:sz="0" w:space="0" w:color="auto"/>
          </w:divBdr>
        </w:div>
        <w:div w:id="1232305072">
          <w:marLeft w:val="640"/>
          <w:marRight w:val="0"/>
          <w:marTop w:val="0"/>
          <w:marBottom w:val="0"/>
          <w:divBdr>
            <w:top w:val="none" w:sz="0" w:space="0" w:color="auto"/>
            <w:left w:val="none" w:sz="0" w:space="0" w:color="auto"/>
            <w:bottom w:val="none" w:sz="0" w:space="0" w:color="auto"/>
            <w:right w:val="none" w:sz="0" w:space="0" w:color="auto"/>
          </w:divBdr>
        </w:div>
        <w:div w:id="690641579">
          <w:marLeft w:val="640"/>
          <w:marRight w:val="0"/>
          <w:marTop w:val="0"/>
          <w:marBottom w:val="0"/>
          <w:divBdr>
            <w:top w:val="none" w:sz="0" w:space="0" w:color="auto"/>
            <w:left w:val="none" w:sz="0" w:space="0" w:color="auto"/>
            <w:bottom w:val="none" w:sz="0" w:space="0" w:color="auto"/>
            <w:right w:val="none" w:sz="0" w:space="0" w:color="auto"/>
          </w:divBdr>
        </w:div>
        <w:div w:id="934903472">
          <w:marLeft w:val="640"/>
          <w:marRight w:val="0"/>
          <w:marTop w:val="0"/>
          <w:marBottom w:val="0"/>
          <w:divBdr>
            <w:top w:val="none" w:sz="0" w:space="0" w:color="auto"/>
            <w:left w:val="none" w:sz="0" w:space="0" w:color="auto"/>
            <w:bottom w:val="none" w:sz="0" w:space="0" w:color="auto"/>
            <w:right w:val="none" w:sz="0" w:space="0" w:color="auto"/>
          </w:divBdr>
        </w:div>
        <w:div w:id="311258463">
          <w:marLeft w:val="640"/>
          <w:marRight w:val="0"/>
          <w:marTop w:val="0"/>
          <w:marBottom w:val="0"/>
          <w:divBdr>
            <w:top w:val="none" w:sz="0" w:space="0" w:color="auto"/>
            <w:left w:val="none" w:sz="0" w:space="0" w:color="auto"/>
            <w:bottom w:val="none" w:sz="0" w:space="0" w:color="auto"/>
            <w:right w:val="none" w:sz="0" w:space="0" w:color="auto"/>
          </w:divBdr>
        </w:div>
        <w:div w:id="64497682">
          <w:marLeft w:val="640"/>
          <w:marRight w:val="0"/>
          <w:marTop w:val="0"/>
          <w:marBottom w:val="0"/>
          <w:divBdr>
            <w:top w:val="none" w:sz="0" w:space="0" w:color="auto"/>
            <w:left w:val="none" w:sz="0" w:space="0" w:color="auto"/>
            <w:bottom w:val="none" w:sz="0" w:space="0" w:color="auto"/>
            <w:right w:val="none" w:sz="0" w:space="0" w:color="auto"/>
          </w:divBdr>
        </w:div>
        <w:div w:id="1249726823">
          <w:marLeft w:val="640"/>
          <w:marRight w:val="0"/>
          <w:marTop w:val="0"/>
          <w:marBottom w:val="0"/>
          <w:divBdr>
            <w:top w:val="none" w:sz="0" w:space="0" w:color="auto"/>
            <w:left w:val="none" w:sz="0" w:space="0" w:color="auto"/>
            <w:bottom w:val="none" w:sz="0" w:space="0" w:color="auto"/>
            <w:right w:val="none" w:sz="0" w:space="0" w:color="auto"/>
          </w:divBdr>
        </w:div>
        <w:div w:id="1385182939">
          <w:marLeft w:val="640"/>
          <w:marRight w:val="0"/>
          <w:marTop w:val="0"/>
          <w:marBottom w:val="0"/>
          <w:divBdr>
            <w:top w:val="none" w:sz="0" w:space="0" w:color="auto"/>
            <w:left w:val="none" w:sz="0" w:space="0" w:color="auto"/>
            <w:bottom w:val="none" w:sz="0" w:space="0" w:color="auto"/>
            <w:right w:val="none" w:sz="0" w:space="0" w:color="auto"/>
          </w:divBdr>
        </w:div>
        <w:div w:id="1341271711">
          <w:marLeft w:val="640"/>
          <w:marRight w:val="0"/>
          <w:marTop w:val="0"/>
          <w:marBottom w:val="0"/>
          <w:divBdr>
            <w:top w:val="none" w:sz="0" w:space="0" w:color="auto"/>
            <w:left w:val="none" w:sz="0" w:space="0" w:color="auto"/>
            <w:bottom w:val="none" w:sz="0" w:space="0" w:color="auto"/>
            <w:right w:val="none" w:sz="0" w:space="0" w:color="auto"/>
          </w:divBdr>
        </w:div>
        <w:div w:id="1325544087">
          <w:marLeft w:val="640"/>
          <w:marRight w:val="0"/>
          <w:marTop w:val="0"/>
          <w:marBottom w:val="0"/>
          <w:divBdr>
            <w:top w:val="none" w:sz="0" w:space="0" w:color="auto"/>
            <w:left w:val="none" w:sz="0" w:space="0" w:color="auto"/>
            <w:bottom w:val="none" w:sz="0" w:space="0" w:color="auto"/>
            <w:right w:val="none" w:sz="0" w:space="0" w:color="auto"/>
          </w:divBdr>
        </w:div>
        <w:div w:id="1100300861">
          <w:marLeft w:val="640"/>
          <w:marRight w:val="0"/>
          <w:marTop w:val="0"/>
          <w:marBottom w:val="0"/>
          <w:divBdr>
            <w:top w:val="none" w:sz="0" w:space="0" w:color="auto"/>
            <w:left w:val="none" w:sz="0" w:space="0" w:color="auto"/>
            <w:bottom w:val="none" w:sz="0" w:space="0" w:color="auto"/>
            <w:right w:val="none" w:sz="0" w:space="0" w:color="auto"/>
          </w:divBdr>
        </w:div>
        <w:div w:id="1821726821">
          <w:marLeft w:val="640"/>
          <w:marRight w:val="0"/>
          <w:marTop w:val="0"/>
          <w:marBottom w:val="0"/>
          <w:divBdr>
            <w:top w:val="none" w:sz="0" w:space="0" w:color="auto"/>
            <w:left w:val="none" w:sz="0" w:space="0" w:color="auto"/>
            <w:bottom w:val="none" w:sz="0" w:space="0" w:color="auto"/>
            <w:right w:val="none" w:sz="0" w:space="0" w:color="auto"/>
          </w:divBdr>
        </w:div>
        <w:div w:id="847863838">
          <w:marLeft w:val="640"/>
          <w:marRight w:val="0"/>
          <w:marTop w:val="0"/>
          <w:marBottom w:val="0"/>
          <w:divBdr>
            <w:top w:val="none" w:sz="0" w:space="0" w:color="auto"/>
            <w:left w:val="none" w:sz="0" w:space="0" w:color="auto"/>
            <w:bottom w:val="none" w:sz="0" w:space="0" w:color="auto"/>
            <w:right w:val="none" w:sz="0" w:space="0" w:color="auto"/>
          </w:divBdr>
        </w:div>
        <w:div w:id="2128347622">
          <w:marLeft w:val="640"/>
          <w:marRight w:val="0"/>
          <w:marTop w:val="0"/>
          <w:marBottom w:val="0"/>
          <w:divBdr>
            <w:top w:val="none" w:sz="0" w:space="0" w:color="auto"/>
            <w:left w:val="none" w:sz="0" w:space="0" w:color="auto"/>
            <w:bottom w:val="none" w:sz="0" w:space="0" w:color="auto"/>
            <w:right w:val="none" w:sz="0" w:space="0" w:color="auto"/>
          </w:divBdr>
        </w:div>
        <w:div w:id="380447760">
          <w:marLeft w:val="640"/>
          <w:marRight w:val="0"/>
          <w:marTop w:val="0"/>
          <w:marBottom w:val="0"/>
          <w:divBdr>
            <w:top w:val="none" w:sz="0" w:space="0" w:color="auto"/>
            <w:left w:val="none" w:sz="0" w:space="0" w:color="auto"/>
            <w:bottom w:val="none" w:sz="0" w:space="0" w:color="auto"/>
            <w:right w:val="none" w:sz="0" w:space="0" w:color="auto"/>
          </w:divBdr>
        </w:div>
        <w:div w:id="1240361736">
          <w:marLeft w:val="640"/>
          <w:marRight w:val="0"/>
          <w:marTop w:val="0"/>
          <w:marBottom w:val="0"/>
          <w:divBdr>
            <w:top w:val="none" w:sz="0" w:space="0" w:color="auto"/>
            <w:left w:val="none" w:sz="0" w:space="0" w:color="auto"/>
            <w:bottom w:val="none" w:sz="0" w:space="0" w:color="auto"/>
            <w:right w:val="none" w:sz="0" w:space="0" w:color="auto"/>
          </w:divBdr>
        </w:div>
        <w:div w:id="723597785">
          <w:marLeft w:val="640"/>
          <w:marRight w:val="0"/>
          <w:marTop w:val="0"/>
          <w:marBottom w:val="0"/>
          <w:divBdr>
            <w:top w:val="none" w:sz="0" w:space="0" w:color="auto"/>
            <w:left w:val="none" w:sz="0" w:space="0" w:color="auto"/>
            <w:bottom w:val="none" w:sz="0" w:space="0" w:color="auto"/>
            <w:right w:val="none" w:sz="0" w:space="0" w:color="auto"/>
          </w:divBdr>
        </w:div>
        <w:div w:id="2130852039">
          <w:marLeft w:val="640"/>
          <w:marRight w:val="0"/>
          <w:marTop w:val="0"/>
          <w:marBottom w:val="0"/>
          <w:divBdr>
            <w:top w:val="none" w:sz="0" w:space="0" w:color="auto"/>
            <w:left w:val="none" w:sz="0" w:space="0" w:color="auto"/>
            <w:bottom w:val="none" w:sz="0" w:space="0" w:color="auto"/>
            <w:right w:val="none" w:sz="0" w:space="0" w:color="auto"/>
          </w:divBdr>
        </w:div>
        <w:div w:id="504249939">
          <w:marLeft w:val="640"/>
          <w:marRight w:val="0"/>
          <w:marTop w:val="0"/>
          <w:marBottom w:val="0"/>
          <w:divBdr>
            <w:top w:val="none" w:sz="0" w:space="0" w:color="auto"/>
            <w:left w:val="none" w:sz="0" w:space="0" w:color="auto"/>
            <w:bottom w:val="none" w:sz="0" w:space="0" w:color="auto"/>
            <w:right w:val="none" w:sz="0" w:space="0" w:color="auto"/>
          </w:divBdr>
        </w:div>
        <w:div w:id="2105030181">
          <w:marLeft w:val="640"/>
          <w:marRight w:val="0"/>
          <w:marTop w:val="0"/>
          <w:marBottom w:val="0"/>
          <w:divBdr>
            <w:top w:val="none" w:sz="0" w:space="0" w:color="auto"/>
            <w:left w:val="none" w:sz="0" w:space="0" w:color="auto"/>
            <w:bottom w:val="none" w:sz="0" w:space="0" w:color="auto"/>
            <w:right w:val="none" w:sz="0" w:space="0" w:color="auto"/>
          </w:divBdr>
        </w:div>
        <w:div w:id="1241602904">
          <w:marLeft w:val="640"/>
          <w:marRight w:val="0"/>
          <w:marTop w:val="0"/>
          <w:marBottom w:val="0"/>
          <w:divBdr>
            <w:top w:val="none" w:sz="0" w:space="0" w:color="auto"/>
            <w:left w:val="none" w:sz="0" w:space="0" w:color="auto"/>
            <w:bottom w:val="none" w:sz="0" w:space="0" w:color="auto"/>
            <w:right w:val="none" w:sz="0" w:space="0" w:color="auto"/>
          </w:divBdr>
        </w:div>
        <w:div w:id="1009719237">
          <w:marLeft w:val="640"/>
          <w:marRight w:val="0"/>
          <w:marTop w:val="0"/>
          <w:marBottom w:val="0"/>
          <w:divBdr>
            <w:top w:val="none" w:sz="0" w:space="0" w:color="auto"/>
            <w:left w:val="none" w:sz="0" w:space="0" w:color="auto"/>
            <w:bottom w:val="none" w:sz="0" w:space="0" w:color="auto"/>
            <w:right w:val="none" w:sz="0" w:space="0" w:color="auto"/>
          </w:divBdr>
        </w:div>
        <w:div w:id="869104654">
          <w:marLeft w:val="640"/>
          <w:marRight w:val="0"/>
          <w:marTop w:val="0"/>
          <w:marBottom w:val="0"/>
          <w:divBdr>
            <w:top w:val="none" w:sz="0" w:space="0" w:color="auto"/>
            <w:left w:val="none" w:sz="0" w:space="0" w:color="auto"/>
            <w:bottom w:val="none" w:sz="0" w:space="0" w:color="auto"/>
            <w:right w:val="none" w:sz="0" w:space="0" w:color="auto"/>
          </w:divBdr>
        </w:div>
        <w:div w:id="1030303502">
          <w:marLeft w:val="640"/>
          <w:marRight w:val="0"/>
          <w:marTop w:val="0"/>
          <w:marBottom w:val="0"/>
          <w:divBdr>
            <w:top w:val="none" w:sz="0" w:space="0" w:color="auto"/>
            <w:left w:val="none" w:sz="0" w:space="0" w:color="auto"/>
            <w:bottom w:val="none" w:sz="0" w:space="0" w:color="auto"/>
            <w:right w:val="none" w:sz="0" w:space="0" w:color="auto"/>
          </w:divBdr>
        </w:div>
        <w:div w:id="524566104">
          <w:marLeft w:val="640"/>
          <w:marRight w:val="0"/>
          <w:marTop w:val="0"/>
          <w:marBottom w:val="0"/>
          <w:divBdr>
            <w:top w:val="none" w:sz="0" w:space="0" w:color="auto"/>
            <w:left w:val="none" w:sz="0" w:space="0" w:color="auto"/>
            <w:bottom w:val="none" w:sz="0" w:space="0" w:color="auto"/>
            <w:right w:val="none" w:sz="0" w:space="0" w:color="auto"/>
          </w:divBdr>
        </w:div>
        <w:div w:id="1413890969">
          <w:marLeft w:val="640"/>
          <w:marRight w:val="0"/>
          <w:marTop w:val="0"/>
          <w:marBottom w:val="0"/>
          <w:divBdr>
            <w:top w:val="none" w:sz="0" w:space="0" w:color="auto"/>
            <w:left w:val="none" w:sz="0" w:space="0" w:color="auto"/>
            <w:bottom w:val="none" w:sz="0" w:space="0" w:color="auto"/>
            <w:right w:val="none" w:sz="0" w:space="0" w:color="auto"/>
          </w:divBdr>
        </w:div>
        <w:div w:id="222133637">
          <w:marLeft w:val="640"/>
          <w:marRight w:val="0"/>
          <w:marTop w:val="0"/>
          <w:marBottom w:val="0"/>
          <w:divBdr>
            <w:top w:val="none" w:sz="0" w:space="0" w:color="auto"/>
            <w:left w:val="none" w:sz="0" w:space="0" w:color="auto"/>
            <w:bottom w:val="none" w:sz="0" w:space="0" w:color="auto"/>
            <w:right w:val="none" w:sz="0" w:space="0" w:color="auto"/>
          </w:divBdr>
        </w:div>
        <w:div w:id="847788735">
          <w:marLeft w:val="640"/>
          <w:marRight w:val="0"/>
          <w:marTop w:val="0"/>
          <w:marBottom w:val="0"/>
          <w:divBdr>
            <w:top w:val="none" w:sz="0" w:space="0" w:color="auto"/>
            <w:left w:val="none" w:sz="0" w:space="0" w:color="auto"/>
            <w:bottom w:val="none" w:sz="0" w:space="0" w:color="auto"/>
            <w:right w:val="none" w:sz="0" w:space="0" w:color="auto"/>
          </w:divBdr>
        </w:div>
        <w:div w:id="2063358631">
          <w:marLeft w:val="640"/>
          <w:marRight w:val="0"/>
          <w:marTop w:val="0"/>
          <w:marBottom w:val="0"/>
          <w:divBdr>
            <w:top w:val="none" w:sz="0" w:space="0" w:color="auto"/>
            <w:left w:val="none" w:sz="0" w:space="0" w:color="auto"/>
            <w:bottom w:val="none" w:sz="0" w:space="0" w:color="auto"/>
            <w:right w:val="none" w:sz="0" w:space="0" w:color="auto"/>
          </w:divBdr>
        </w:div>
        <w:div w:id="1298485831">
          <w:marLeft w:val="640"/>
          <w:marRight w:val="0"/>
          <w:marTop w:val="0"/>
          <w:marBottom w:val="0"/>
          <w:divBdr>
            <w:top w:val="none" w:sz="0" w:space="0" w:color="auto"/>
            <w:left w:val="none" w:sz="0" w:space="0" w:color="auto"/>
            <w:bottom w:val="none" w:sz="0" w:space="0" w:color="auto"/>
            <w:right w:val="none" w:sz="0" w:space="0" w:color="auto"/>
          </w:divBdr>
        </w:div>
        <w:div w:id="205024676">
          <w:marLeft w:val="640"/>
          <w:marRight w:val="0"/>
          <w:marTop w:val="0"/>
          <w:marBottom w:val="0"/>
          <w:divBdr>
            <w:top w:val="none" w:sz="0" w:space="0" w:color="auto"/>
            <w:left w:val="none" w:sz="0" w:space="0" w:color="auto"/>
            <w:bottom w:val="none" w:sz="0" w:space="0" w:color="auto"/>
            <w:right w:val="none" w:sz="0" w:space="0" w:color="auto"/>
          </w:divBdr>
        </w:div>
        <w:div w:id="876090401">
          <w:marLeft w:val="640"/>
          <w:marRight w:val="0"/>
          <w:marTop w:val="0"/>
          <w:marBottom w:val="0"/>
          <w:divBdr>
            <w:top w:val="none" w:sz="0" w:space="0" w:color="auto"/>
            <w:left w:val="none" w:sz="0" w:space="0" w:color="auto"/>
            <w:bottom w:val="none" w:sz="0" w:space="0" w:color="auto"/>
            <w:right w:val="none" w:sz="0" w:space="0" w:color="auto"/>
          </w:divBdr>
        </w:div>
        <w:div w:id="2103646821">
          <w:marLeft w:val="640"/>
          <w:marRight w:val="0"/>
          <w:marTop w:val="0"/>
          <w:marBottom w:val="0"/>
          <w:divBdr>
            <w:top w:val="none" w:sz="0" w:space="0" w:color="auto"/>
            <w:left w:val="none" w:sz="0" w:space="0" w:color="auto"/>
            <w:bottom w:val="none" w:sz="0" w:space="0" w:color="auto"/>
            <w:right w:val="none" w:sz="0" w:space="0" w:color="auto"/>
          </w:divBdr>
        </w:div>
        <w:div w:id="483742557">
          <w:marLeft w:val="640"/>
          <w:marRight w:val="0"/>
          <w:marTop w:val="0"/>
          <w:marBottom w:val="0"/>
          <w:divBdr>
            <w:top w:val="none" w:sz="0" w:space="0" w:color="auto"/>
            <w:left w:val="none" w:sz="0" w:space="0" w:color="auto"/>
            <w:bottom w:val="none" w:sz="0" w:space="0" w:color="auto"/>
            <w:right w:val="none" w:sz="0" w:space="0" w:color="auto"/>
          </w:divBdr>
        </w:div>
        <w:div w:id="701320616">
          <w:marLeft w:val="640"/>
          <w:marRight w:val="0"/>
          <w:marTop w:val="0"/>
          <w:marBottom w:val="0"/>
          <w:divBdr>
            <w:top w:val="none" w:sz="0" w:space="0" w:color="auto"/>
            <w:left w:val="none" w:sz="0" w:space="0" w:color="auto"/>
            <w:bottom w:val="none" w:sz="0" w:space="0" w:color="auto"/>
            <w:right w:val="none" w:sz="0" w:space="0" w:color="auto"/>
          </w:divBdr>
        </w:div>
        <w:div w:id="1189291457">
          <w:marLeft w:val="640"/>
          <w:marRight w:val="0"/>
          <w:marTop w:val="0"/>
          <w:marBottom w:val="0"/>
          <w:divBdr>
            <w:top w:val="none" w:sz="0" w:space="0" w:color="auto"/>
            <w:left w:val="none" w:sz="0" w:space="0" w:color="auto"/>
            <w:bottom w:val="none" w:sz="0" w:space="0" w:color="auto"/>
            <w:right w:val="none" w:sz="0" w:space="0" w:color="auto"/>
          </w:divBdr>
        </w:div>
        <w:div w:id="1206914317">
          <w:marLeft w:val="640"/>
          <w:marRight w:val="0"/>
          <w:marTop w:val="0"/>
          <w:marBottom w:val="0"/>
          <w:divBdr>
            <w:top w:val="none" w:sz="0" w:space="0" w:color="auto"/>
            <w:left w:val="none" w:sz="0" w:space="0" w:color="auto"/>
            <w:bottom w:val="none" w:sz="0" w:space="0" w:color="auto"/>
            <w:right w:val="none" w:sz="0" w:space="0" w:color="auto"/>
          </w:divBdr>
        </w:div>
        <w:div w:id="1811168931">
          <w:marLeft w:val="640"/>
          <w:marRight w:val="0"/>
          <w:marTop w:val="0"/>
          <w:marBottom w:val="0"/>
          <w:divBdr>
            <w:top w:val="none" w:sz="0" w:space="0" w:color="auto"/>
            <w:left w:val="none" w:sz="0" w:space="0" w:color="auto"/>
            <w:bottom w:val="none" w:sz="0" w:space="0" w:color="auto"/>
            <w:right w:val="none" w:sz="0" w:space="0" w:color="auto"/>
          </w:divBdr>
        </w:div>
        <w:div w:id="687221616">
          <w:marLeft w:val="640"/>
          <w:marRight w:val="0"/>
          <w:marTop w:val="0"/>
          <w:marBottom w:val="0"/>
          <w:divBdr>
            <w:top w:val="none" w:sz="0" w:space="0" w:color="auto"/>
            <w:left w:val="none" w:sz="0" w:space="0" w:color="auto"/>
            <w:bottom w:val="none" w:sz="0" w:space="0" w:color="auto"/>
            <w:right w:val="none" w:sz="0" w:space="0" w:color="auto"/>
          </w:divBdr>
        </w:div>
        <w:div w:id="779838663">
          <w:marLeft w:val="640"/>
          <w:marRight w:val="0"/>
          <w:marTop w:val="0"/>
          <w:marBottom w:val="0"/>
          <w:divBdr>
            <w:top w:val="none" w:sz="0" w:space="0" w:color="auto"/>
            <w:left w:val="none" w:sz="0" w:space="0" w:color="auto"/>
            <w:bottom w:val="none" w:sz="0" w:space="0" w:color="auto"/>
            <w:right w:val="none" w:sz="0" w:space="0" w:color="auto"/>
          </w:divBdr>
        </w:div>
        <w:div w:id="929629121">
          <w:marLeft w:val="640"/>
          <w:marRight w:val="0"/>
          <w:marTop w:val="0"/>
          <w:marBottom w:val="0"/>
          <w:divBdr>
            <w:top w:val="none" w:sz="0" w:space="0" w:color="auto"/>
            <w:left w:val="none" w:sz="0" w:space="0" w:color="auto"/>
            <w:bottom w:val="none" w:sz="0" w:space="0" w:color="auto"/>
            <w:right w:val="none" w:sz="0" w:space="0" w:color="auto"/>
          </w:divBdr>
        </w:div>
        <w:div w:id="1365868216">
          <w:marLeft w:val="640"/>
          <w:marRight w:val="0"/>
          <w:marTop w:val="0"/>
          <w:marBottom w:val="0"/>
          <w:divBdr>
            <w:top w:val="none" w:sz="0" w:space="0" w:color="auto"/>
            <w:left w:val="none" w:sz="0" w:space="0" w:color="auto"/>
            <w:bottom w:val="none" w:sz="0" w:space="0" w:color="auto"/>
            <w:right w:val="none" w:sz="0" w:space="0" w:color="auto"/>
          </w:divBdr>
        </w:div>
        <w:div w:id="288779770">
          <w:marLeft w:val="640"/>
          <w:marRight w:val="0"/>
          <w:marTop w:val="0"/>
          <w:marBottom w:val="0"/>
          <w:divBdr>
            <w:top w:val="none" w:sz="0" w:space="0" w:color="auto"/>
            <w:left w:val="none" w:sz="0" w:space="0" w:color="auto"/>
            <w:bottom w:val="none" w:sz="0" w:space="0" w:color="auto"/>
            <w:right w:val="none" w:sz="0" w:space="0" w:color="auto"/>
          </w:divBdr>
        </w:div>
        <w:div w:id="855919620">
          <w:marLeft w:val="640"/>
          <w:marRight w:val="0"/>
          <w:marTop w:val="0"/>
          <w:marBottom w:val="0"/>
          <w:divBdr>
            <w:top w:val="none" w:sz="0" w:space="0" w:color="auto"/>
            <w:left w:val="none" w:sz="0" w:space="0" w:color="auto"/>
            <w:bottom w:val="none" w:sz="0" w:space="0" w:color="auto"/>
            <w:right w:val="none" w:sz="0" w:space="0" w:color="auto"/>
          </w:divBdr>
        </w:div>
        <w:div w:id="819270162">
          <w:marLeft w:val="640"/>
          <w:marRight w:val="0"/>
          <w:marTop w:val="0"/>
          <w:marBottom w:val="0"/>
          <w:divBdr>
            <w:top w:val="none" w:sz="0" w:space="0" w:color="auto"/>
            <w:left w:val="none" w:sz="0" w:space="0" w:color="auto"/>
            <w:bottom w:val="none" w:sz="0" w:space="0" w:color="auto"/>
            <w:right w:val="none" w:sz="0" w:space="0" w:color="auto"/>
          </w:divBdr>
        </w:div>
      </w:divsChild>
    </w:div>
    <w:div w:id="842478845">
      <w:bodyDiv w:val="1"/>
      <w:marLeft w:val="0"/>
      <w:marRight w:val="0"/>
      <w:marTop w:val="0"/>
      <w:marBottom w:val="0"/>
      <w:divBdr>
        <w:top w:val="none" w:sz="0" w:space="0" w:color="auto"/>
        <w:left w:val="none" w:sz="0" w:space="0" w:color="auto"/>
        <w:bottom w:val="none" w:sz="0" w:space="0" w:color="auto"/>
        <w:right w:val="none" w:sz="0" w:space="0" w:color="auto"/>
      </w:divBdr>
      <w:divsChild>
        <w:div w:id="110826376">
          <w:marLeft w:val="640"/>
          <w:marRight w:val="0"/>
          <w:marTop w:val="0"/>
          <w:marBottom w:val="0"/>
          <w:divBdr>
            <w:top w:val="none" w:sz="0" w:space="0" w:color="auto"/>
            <w:left w:val="none" w:sz="0" w:space="0" w:color="auto"/>
            <w:bottom w:val="none" w:sz="0" w:space="0" w:color="auto"/>
            <w:right w:val="none" w:sz="0" w:space="0" w:color="auto"/>
          </w:divBdr>
        </w:div>
        <w:div w:id="191497575">
          <w:marLeft w:val="640"/>
          <w:marRight w:val="0"/>
          <w:marTop w:val="0"/>
          <w:marBottom w:val="0"/>
          <w:divBdr>
            <w:top w:val="none" w:sz="0" w:space="0" w:color="auto"/>
            <w:left w:val="none" w:sz="0" w:space="0" w:color="auto"/>
            <w:bottom w:val="none" w:sz="0" w:space="0" w:color="auto"/>
            <w:right w:val="none" w:sz="0" w:space="0" w:color="auto"/>
          </w:divBdr>
        </w:div>
        <w:div w:id="1710447014">
          <w:marLeft w:val="640"/>
          <w:marRight w:val="0"/>
          <w:marTop w:val="0"/>
          <w:marBottom w:val="0"/>
          <w:divBdr>
            <w:top w:val="none" w:sz="0" w:space="0" w:color="auto"/>
            <w:left w:val="none" w:sz="0" w:space="0" w:color="auto"/>
            <w:bottom w:val="none" w:sz="0" w:space="0" w:color="auto"/>
            <w:right w:val="none" w:sz="0" w:space="0" w:color="auto"/>
          </w:divBdr>
        </w:div>
        <w:div w:id="2026781018">
          <w:marLeft w:val="640"/>
          <w:marRight w:val="0"/>
          <w:marTop w:val="0"/>
          <w:marBottom w:val="0"/>
          <w:divBdr>
            <w:top w:val="none" w:sz="0" w:space="0" w:color="auto"/>
            <w:left w:val="none" w:sz="0" w:space="0" w:color="auto"/>
            <w:bottom w:val="none" w:sz="0" w:space="0" w:color="auto"/>
            <w:right w:val="none" w:sz="0" w:space="0" w:color="auto"/>
          </w:divBdr>
        </w:div>
        <w:div w:id="1576236792">
          <w:marLeft w:val="640"/>
          <w:marRight w:val="0"/>
          <w:marTop w:val="0"/>
          <w:marBottom w:val="0"/>
          <w:divBdr>
            <w:top w:val="none" w:sz="0" w:space="0" w:color="auto"/>
            <w:left w:val="none" w:sz="0" w:space="0" w:color="auto"/>
            <w:bottom w:val="none" w:sz="0" w:space="0" w:color="auto"/>
            <w:right w:val="none" w:sz="0" w:space="0" w:color="auto"/>
          </w:divBdr>
        </w:div>
        <w:div w:id="411006573">
          <w:marLeft w:val="640"/>
          <w:marRight w:val="0"/>
          <w:marTop w:val="0"/>
          <w:marBottom w:val="0"/>
          <w:divBdr>
            <w:top w:val="none" w:sz="0" w:space="0" w:color="auto"/>
            <w:left w:val="none" w:sz="0" w:space="0" w:color="auto"/>
            <w:bottom w:val="none" w:sz="0" w:space="0" w:color="auto"/>
            <w:right w:val="none" w:sz="0" w:space="0" w:color="auto"/>
          </w:divBdr>
        </w:div>
        <w:div w:id="1623682382">
          <w:marLeft w:val="640"/>
          <w:marRight w:val="0"/>
          <w:marTop w:val="0"/>
          <w:marBottom w:val="0"/>
          <w:divBdr>
            <w:top w:val="none" w:sz="0" w:space="0" w:color="auto"/>
            <w:left w:val="none" w:sz="0" w:space="0" w:color="auto"/>
            <w:bottom w:val="none" w:sz="0" w:space="0" w:color="auto"/>
            <w:right w:val="none" w:sz="0" w:space="0" w:color="auto"/>
          </w:divBdr>
        </w:div>
        <w:div w:id="1466042336">
          <w:marLeft w:val="640"/>
          <w:marRight w:val="0"/>
          <w:marTop w:val="0"/>
          <w:marBottom w:val="0"/>
          <w:divBdr>
            <w:top w:val="none" w:sz="0" w:space="0" w:color="auto"/>
            <w:left w:val="none" w:sz="0" w:space="0" w:color="auto"/>
            <w:bottom w:val="none" w:sz="0" w:space="0" w:color="auto"/>
            <w:right w:val="none" w:sz="0" w:space="0" w:color="auto"/>
          </w:divBdr>
        </w:div>
        <w:div w:id="1012683250">
          <w:marLeft w:val="640"/>
          <w:marRight w:val="0"/>
          <w:marTop w:val="0"/>
          <w:marBottom w:val="0"/>
          <w:divBdr>
            <w:top w:val="none" w:sz="0" w:space="0" w:color="auto"/>
            <w:left w:val="none" w:sz="0" w:space="0" w:color="auto"/>
            <w:bottom w:val="none" w:sz="0" w:space="0" w:color="auto"/>
            <w:right w:val="none" w:sz="0" w:space="0" w:color="auto"/>
          </w:divBdr>
        </w:div>
        <w:div w:id="1519657553">
          <w:marLeft w:val="640"/>
          <w:marRight w:val="0"/>
          <w:marTop w:val="0"/>
          <w:marBottom w:val="0"/>
          <w:divBdr>
            <w:top w:val="none" w:sz="0" w:space="0" w:color="auto"/>
            <w:left w:val="none" w:sz="0" w:space="0" w:color="auto"/>
            <w:bottom w:val="none" w:sz="0" w:space="0" w:color="auto"/>
            <w:right w:val="none" w:sz="0" w:space="0" w:color="auto"/>
          </w:divBdr>
        </w:div>
      </w:divsChild>
    </w:div>
    <w:div w:id="844393208">
      <w:bodyDiv w:val="1"/>
      <w:marLeft w:val="0"/>
      <w:marRight w:val="0"/>
      <w:marTop w:val="0"/>
      <w:marBottom w:val="0"/>
      <w:divBdr>
        <w:top w:val="none" w:sz="0" w:space="0" w:color="auto"/>
        <w:left w:val="none" w:sz="0" w:space="0" w:color="auto"/>
        <w:bottom w:val="none" w:sz="0" w:space="0" w:color="auto"/>
        <w:right w:val="none" w:sz="0" w:space="0" w:color="auto"/>
      </w:divBdr>
      <w:divsChild>
        <w:div w:id="628976350">
          <w:marLeft w:val="640"/>
          <w:marRight w:val="0"/>
          <w:marTop w:val="0"/>
          <w:marBottom w:val="0"/>
          <w:divBdr>
            <w:top w:val="none" w:sz="0" w:space="0" w:color="auto"/>
            <w:left w:val="none" w:sz="0" w:space="0" w:color="auto"/>
            <w:bottom w:val="none" w:sz="0" w:space="0" w:color="auto"/>
            <w:right w:val="none" w:sz="0" w:space="0" w:color="auto"/>
          </w:divBdr>
        </w:div>
        <w:div w:id="1907376430">
          <w:marLeft w:val="640"/>
          <w:marRight w:val="0"/>
          <w:marTop w:val="0"/>
          <w:marBottom w:val="0"/>
          <w:divBdr>
            <w:top w:val="none" w:sz="0" w:space="0" w:color="auto"/>
            <w:left w:val="none" w:sz="0" w:space="0" w:color="auto"/>
            <w:bottom w:val="none" w:sz="0" w:space="0" w:color="auto"/>
            <w:right w:val="none" w:sz="0" w:space="0" w:color="auto"/>
          </w:divBdr>
        </w:div>
        <w:div w:id="1045642600">
          <w:marLeft w:val="640"/>
          <w:marRight w:val="0"/>
          <w:marTop w:val="0"/>
          <w:marBottom w:val="0"/>
          <w:divBdr>
            <w:top w:val="none" w:sz="0" w:space="0" w:color="auto"/>
            <w:left w:val="none" w:sz="0" w:space="0" w:color="auto"/>
            <w:bottom w:val="none" w:sz="0" w:space="0" w:color="auto"/>
            <w:right w:val="none" w:sz="0" w:space="0" w:color="auto"/>
          </w:divBdr>
        </w:div>
        <w:div w:id="853694385">
          <w:marLeft w:val="640"/>
          <w:marRight w:val="0"/>
          <w:marTop w:val="0"/>
          <w:marBottom w:val="0"/>
          <w:divBdr>
            <w:top w:val="none" w:sz="0" w:space="0" w:color="auto"/>
            <w:left w:val="none" w:sz="0" w:space="0" w:color="auto"/>
            <w:bottom w:val="none" w:sz="0" w:space="0" w:color="auto"/>
            <w:right w:val="none" w:sz="0" w:space="0" w:color="auto"/>
          </w:divBdr>
        </w:div>
        <w:div w:id="1989358845">
          <w:marLeft w:val="640"/>
          <w:marRight w:val="0"/>
          <w:marTop w:val="0"/>
          <w:marBottom w:val="0"/>
          <w:divBdr>
            <w:top w:val="none" w:sz="0" w:space="0" w:color="auto"/>
            <w:left w:val="none" w:sz="0" w:space="0" w:color="auto"/>
            <w:bottom w:val="none" w:sz="0" w:space="0" w:color="auto"/>
            <w:right w:val="none" w:sz="0" w:space="0" w:color="auto"/>
          </w:divBdr>
        </w:div>
        <w:div w:id="768887310">
          <w:marLeft w:val="640"/>
          <w:marRight w:val="0"/>
          <w:marTop w:val="0"/>
          <w:marBottom w:val="0"/>
          <w:divBdr>
            <w:top w:val="none" w:sz="0" w:space="0" w:color="auto"/>
            <w:left w:val="none" w:sz="0" w:space="0" w:color="auto"/>
            <w:bottom w:val="none" w:sz="0" w:space="0" w:color="auto"/>
            <w:right w:val="none" w:sz="0" w:space="0" w:color="auto"/>
          </w:divBdr>
        </w:div>
        <w:div w:id="2052724443">
          <w:marLeft w:val="640"/>
          <w:marRight w:val="0"/>
          <w:marTop w:val="0"/>
          <w:marBottom w:val="0"/>
          <w:divBdr>
            <w:top w:val="none" w:sz="0" w:space="0" w:color="auto"/>
            <w:left w:val="none" w:sz="0" w:space="0" w:color="auto"/>
            <w:bottom w:val="none" w:sz="0" w:space="0" w:color="auto"/>
            <w:right w:val="none" w:sz="0" w:space="0" w:color="auto"/>
          </w:divBdr>
        </w:div>
        <w:div w:id="804930893">
          <w:marLeft w:val="640"/>
          <w:marRight w:val="0"/>
          <w:marTop w:val="0"/>
          <w:marBottom w:val="0"/>
          <w:divBdr>
            <w:top w:val="none" w:sz="0" w:space="0" w:color="auto"/>
            <w:left w:val="none" w:sz="0" w:space="0" w:color="auto"/>
            <w:bottom w:val="none" w:sz="0" w:space="0" w:color="auto"/>
            <w:right w:val="none" w:sz="0" w:space="0" w:color="auto"/>
          </w:divBdr>
        </w:div>
        <w:div w:id="878395892">
          <w:marLeft w:val="640"/>
          <w:marRight w:val="0"/>
          <w:marTop w:val="0"/>
          <w:marBottom w:val="0"/>
          <w:divBdr>
            <w:top w:val="none" w:sz="0" w:space="0" w:color="auto"/>
            <w:left w:val="none" w:sz="0" w:space="0" w:color="auto"/>
            <w:bottom w:val="none" w:sz="0" w:space="0" w:color="auto"/>
            <w:right w:val="none" w:sz="0" w:space="0" w:color="auto"/>
          </w:divBdr>
        </w:div>
        <w:div w:id="1856461816">
          <w:marLeft w:val="640"/>
          <w:marRight w:val="0"/>
          <w:marTop w:val="0"/>
          <w:marBottom w:val="0"/>
          <w:divBdr>
            <w:top w:val="none" w:sz="0" w:space="0" w:color="auto"/>
            <w:left w:val="none" w:sz="0" w:space="0" w:color="auto"/>
            <w:bottom w:val="none" w:sz="0" w:space="0" w:color="auto"/>
            <w:right w:val="none" w:sz="0" w:space="0" w:color="auto"/>
          </w:divBdr>
        </w:div>
        <w:div w:id="1369911445">
          <w:marLeft w:val="640"/>
          <w:marRight w:val="0"/>
          <w:marTop w:val="0"/>
          <w:marBottom w:val="0"/>
          <w:divBdr>
            <w:top w:val="none" w:sz="0" w:space="0" w:color="auto"/>
            <w:left w:val="none" w:sz="0" w:space="0" w:color="auto"/>
            <w:bottom w:val="none" w:sz="0" w:space="0" w:color="auto"/>
            <w:right w:val="none" w:sz="0" w:space="0" w:color="auto"/>
          </w:divBdr>
        </w:div>
        <w:div w:id="352418046">
          <w:marLeft w:val="640"/>
          <w:marRight w:val="0"/>
          <w:marTop w:val="0"/>
          <w:marBottom w:val="0"/>
          <w:divBdr>
            <w:top w:val="none" w:sz="0" w:space="0" w:color="auto"/>
            <w:left w:val="none" w:sz="0" w:space="0" w:color="auto"/>
            <w:bottom w:val="none" w:sz="0" w:space="0" w:color="auto"/>
            <w:right w:val="none" w:sz="0" w:space="0" w:color="auto"/>
          </w:divBdr>
        </w:div>
        <w:div w:id="722872108">
          <w:marLeft w:val="640"/>
          <w:marRight w:val="0"/>
          <w:marTop w:val="0"/>
          <w:marBottom w:val="0"/>
          <w:divBdr>
            <w:top w:val="none" w:sz="0" w:space="0" w:color="auto"/>
            <w:left w:val="none" w:sz="0" w:space="0" w:color="auto"/>
            <w:bottom w:val="none" w:sz="0" w:space="0" w:color="auto"/>
            <w:right w:val="none" w:sz="0" w:space="0" w:color="auto"/>
          </w:divBdr>
        </w:div>
        <w:div w:id="1052998349">
          <w:marLeft w:val="640"/>
          <w:marRight w:val="0"/>
          <w:marTop w:val="0"/>
          <w:marBottom w:val="0"/>
          <w:divBdr>
            <w:top w:val="none" w:sz="0" w:space="0" w:color="auto"/>
            <w:left w:val="none" w:sz="0" w:space="0" w:color="auto"/>
            <w:bottom w:val="none" w:sz="0" w:space="0" w:color="auto"/>
            <w:right w:val="none" w:sz="0" w:space="0" w:color="auto"/>
          </w:divBdr>
        </w:div>
        <w:div w:id="1894734431">
          <w:marLeft w:val="640"/>
          <w:marRight w:val="0"/>
          <w:marTop w:val="0"/>
          <w:marBottom w:val="0"/>
          <w:divBdr>
            <w:top w:val="none" w:sz="0" w:space="0" w:color="auto"/>
            <w:left w:val="none" w:sz="0" w:space="0" w:color="auto"/>
            <w:bottom w:val="none" w:sz="0" w:space="0" w:color="auto"/>
            <w:right w:val="none" w:sz="0" w:space="0" w:color="auto"/>
          </w:divBdr>
        </w:div>
        <w:div w:id="1713535440">
          <w:marLeft w:val="640"/>
          <w:marRight w:val="0"/>
          <w:marTop w:val="0"/>
          <w:marBottom w:val="0"/>
          <w:divBdr>
            <w:top w:val="none" w:sz="0" w:space="0" w:color="auto"/>
            <w:left w:val="none" w:sz="0" w:space="0" w:color="auto"/>
            <w:bottom w:val="none" w:sz="0" w:space="0" w:color="auto"/>
            <w:right w:val="none" w:sz="0" w:space="0" w:color="auto"/>
          </w:divBdr>
        </w:div>
        <w:div w:id="870001006">
          <w:marLeft w:val="640"/>
          <w:marRight w:val="0"/>
          <w:marTop w:val="0"/>
          <w:marBottom w:val="0"/>
          <w:divBdr>
            <w:top w:val="none" w:sz="0" w:space="0" w:color="auto"/>
            <w:left w:val="none" w:sz="0" w:space="0" w:color="auto"/>
            <w:bottom w:val="none" w:sz="0" w:space="0" w:color="auto"/>
            <w:right w:val="none" w:sz="0" w:space="0" w:color="auto"/>
          </w:divBdr>
        </w:div>
        <w:div w:id="1911579958">
          <w:marLeft w:val="640"/>
          <w:marRight w:val="0"/>
          <w:marTop w:val="0"/>
          <w:marBottom w:val="0"/>
          <w:divBdr>
            <w:top w:val="none" w:sz="0" w:space="0" w:color="auto"/>
            <w:left w:val="none" w:sz="0" w:space="0" w:color="auto"/>
            <w:bottom w:val="none" w:sz="0" w:space="0" w:color="auto"/>
            <w:right w:val="none" w:sz="0" w:space="0" w:color="auto"/>
          </w:divBdr>
        </w:div>
        <w:div w:id="275604724">
          <w:marLeft w:val="640"/>
          <w:marRight w:val="0"/>
          <w:marTop w:val="0"/>
          <w:marBottom w:val="0"/>
          <w:divBdr>
            <w:top w:val="none" w:sz="0" w:space="0" w:color="auto"/>
            <w:left w:val="none" w:sz="0" w:space="0" w:color="auto"/>
            <w:bottom w:val="none" w:sz="0" w:space="0" w:color="auto"/>
            <w:right w:val="none" w:sz="0" w:space="0" w:color="auto"/>
          </w:divBdr>
        </w:div>
        <w:div w:id="668412355">
          <w:marLeft w:val="640"/>
          <w:marRight w:val="0"/>
          <w:marTop w:val="0"/>
          <w:marBottom w:val="0"/>
          <w:divBdr>
            <w:top w:val="none" w:sz="0" w:space="0" w:color="auto"/>
            <w:left w:val="none" w:sz="0" w:space="0" w:color="auto"/>
            <w:bottom w:val="none" w:sz="0" w:space="0" w:color="auto"/>
            <w:right w:val="none" w:sz="0" w:space="0" w:color="auto"/>
          </w:divBdr>
        </w:div>
        <w:div w:id="1925989340">
          <w:marLeft w:val="640"/>
          <w:marRight w:val="0"/>
          <w:marTop w:val="0"/>
          <w:marBottom w:val="0"/>
          <w:divBdr>
            <w:top w:val="none" w:sz="0" w:space="0" w:color="auto"/>
            <w:left w:val="none" w:sz="0" w:space="0" w:color="auto"/>
            <w:bottom w:val="none" w:sz="0" w:space="0" w:color="auto"/>
            <w:right w:val="none" w:sz="0" w:space="0" w:color="auto"/>
          </w:divBdr>
        </w:div>
        <w:div w:id="2056201123">
          <w:marLeft w:val="640"/>
          <w:marRight w:val="0"/>
          <w:marTop w:val="0"/>
          <w:marBottom w:val="0"/>
          <w:divBdr>
            <w:top w:val="none" w:sz="0" w:space="0" w:color="auto"/>
            <w:left w:val="none" w:sz="0" w:space="0" w:color="auto"/>
            <w:bottom w:val="none" w:sz="0" w:space="0" w:color="auto"/>
            <w:right w:val="none" w:sz="0" w:space="0" w:color="auto"/>
          </w:divBdr>
        </w:div>
        <w:div w:id="1744908744">
          <w:marLeft w:val="640"/>
          <w:marRight w:val="0"/>
          <w:marTop w:val="0"/>
          <w:marBottom w:val="0"/>
          <w:divBdr>
            <w:top w:val="none" w:sz="0" w:space="0" w:color="auto"/>
            <w:left w:val="none" w:sz="0" w:space="0" w:color="auto"/>
            <w:bottom w:val="none" w:sz="0" w:space="0" w:color="auto"/>
            <w:right w:val="none" w:sz="0" w:space="0" w:color="auto"/>
          </w:divBdr>
        </w:div>
        <w:div w:id="385570045">
          <w:marLeft w:val="640"/>
          <w:marRight w:val="0"/>
          <w:marTop w:val="0"/>
          <w:marBottom w:val="0"/>
          <w:divBdr>
            <w:top w:val="none" w:sz="0" w:space="0" w:color="auto"/>
            <w:left w:val="none" w:sz="0" w:space="0" w:color="auto"/>
            <w:bottom w:val="none" w:sz="0" w:space="0" w:color="auto"/>
            <w:right w:val="none" w:sz="0" w:space="0" w:color="auto"/>
          </w:divBdr>
        </w:div>
        <w:div w:id="2036925764">
          <w:marLeft w:val="640"/>
          <w:marRight w:val="0"/>
          <w:marTop w:val="0"/>
          <w:marBottom w:val="0"/>
          <w:divBdr>
            <w:top w:val="none" w:sz="0" w:space="0" w:color="auto"/>
            <w:left w:val="none" w:sz="0" w:space="0" w:color="auto"/>
            <w:bottom w:val="none" w:sz="0" w:space="0" w:color="auto"/>
            <w:right w:val="none" w:sz="0" w:space="0" w:color="auto"/>
          </w:divBdr>
        </w:div>
        <w:div w:id="287589793">
          <w:marLeft w:val="640"/>
          <w:marRight w:val="0"/>
          <w:marTop w:val="0"/>
          <w:marBottom w:val="0"/>
          <w:divBdr>
            <w:top w:val="none" w:sz="0" w:space="0" w:color="auto"/>
            <w:left w:val="none" w:sz="0" w:space="0" w:color="auto"/>
            <w:bottom w:val="none" w:sz="0" w:space="0" w:color="auto"/>
            <w:right w:val="none" w:sz="0" w:space="0" w:color="auto"/>
          </w:divBdr>
        </w:div>
        <w:div w:id="1334145224">
          <w:marLeft w:val="640"/>
          <w:marRight w:val="0"/>
          <w:marTop w:val="0"/>
          <w:marBottom w:val="0"/>
          <w:divBdr>
            <w:top w:val="none" w:sz="0" w:space="0" w:color="auto"/>
            <w:left w:val="none" w:sz="0" w:space="0" w:color="auto"/>
            <w:bottom w:val="none" w:sz="0" w:space="0" w:color="auto"/>
            <w:right w:val="none" w:sz="0" w:space="0" w:color="auto"/>
          </w:divBdr>
        </w:div>
        <w:div w:id="1346639896">
          <w:marLeft w:val="640"/>
          <w:marRight w:val="0"/>
          <w:marTop w:val="0"/>
          <w:marBottom w:val="0"/>
          <w:divBdr>
            <w:top w:val="none" w:sz="0" w:space="0" w:color="auto"/>
            <w:left w:val="none" w:sz="0" w:space="0" w:color="auto"/>
            <w:bottom w:val="none" w:sz="0" w:space="0" w:color="auto"/>
            <w:right w:val="none" w:sz="0" w:space="0" w:color="auto"/>
          </w:divBdr>
        </w:div>
        <w:div w:id="540677880">
          <w:marLeft w:val="640"/>
          <w:marRight w:val="0"/>
          <w:marTop w:val="0"/>
          <w:marBottom w:val="0"/>
          <w:divBdr>
            <w:top w:val="none" w:sz="0" w:space="0" w:color="auto"/>
            <w:left w:val="none" w:sz="0" w:space="0" w:color="auto"/>
            <w:bottom w:val="none" w:sz="0" w:space="0" w:color="auto"/>
            <w:right w:val="none" w:sz="0" w:space="0" w:color="auto"/>
          </w:divBdr>
        </w:div>
        <w:div w:id="2057044030">
          <w:marLeft w:val="640"/>
          <w:marRight w:val="0"/>
          <w:marTop w:val="0"/>
          <w:marBottom w:val="0"/>
          <w:divBdr>
            <w:top w:val="none" w:sz="0" w:space="0" w:color="auto"/>
            <w:left w:val="none" w:sz="0" w:space="0" w:color="auto"/>
            <w:bottom w:val="none" w:sz="0" w:space="0" w:color="auto"/>
            <w:right w:val="none" w:sz="0" w:space="0" w:color="auto"/>
          </w:divBdr>
        </w:div>
        <w:div w:id="553202759">
          <w:marLeft w:val="640"/>
          <w:marRight w:val="0"/>
          <w:marTop w:val="0"/>
          <w:marBottom w:val="0"/>
          <w:divBdr>
            <w:top w:val="none" w:sz="0" w:space="0" w:color="auto"/>
            <w:left w:val="none" w:sz="0" w:space="0" w:color="auto"/>
            <w:bottom w:val="none" w:sz="0" w:space="0" w:color="auto"/>
            <w:right w:val="none" w:sz="0" w:space="0" w:color="auto"/>
          </w:divBdr>
        </w:div>
        <w:div w:id="1180463293">
          <w:marLeft w:val="640"/>
          <w:marRight w:val="0"/>
          <w:marTop w:val="0"/>
          <w:marBottom w:val="0"/>
          <w:divBdr>
            <w:top w:val="none" w:sz="0" w:space="0" w:color="auto"/>
            <w:left w:val="none" w:sz="0" w:space="0" w:color="auto"/>
            <w:bottom w:val="none" w:sz="0" w:space="0" w:color="auto"/>
            <w:right w:val="none" w:sz="0" w:space="0" w:color="auto"/>
          </w:divBdr>
        </w:div>
        <w:div w:id="1588417102">
          <w:marLeft w:val="640"/>
          <w:marRight w:val="0"/>
          <w:marTop w:val="0"/>
          <w:marBottom w:val="0"/>
          <w:divBdr>
            <w:top w:val="none" w:sz="0" w:space="0" w:color="auto"/>
            <w:left w:val="none" w:sz="0" w:space="0" w:color="auto"/>
            <w:bottom w:val="none" w:sz="0" w:space="0" w:color="auto"/>
            <w:right w:val="none" w:sz="0" w:space="0" w:color="auto"/>
          </w:divBdr>
        </w:div>
        <w:div w:id="439687363">
          <w:marLeft w:val="640"/>
          <w:marRight w:val="0"/>
          <w:marTop w:val="0"/>
          <w:marBottom w:val="0"/>
          <w:divBdr>
            <w:top w:val="none" w:sz="0" w:space="0" w:color="auto"/>
            <w:left w:val="none" w:sz="0" w:space="0" w:color="auto"/>
            <w:bottom w:val="none" w:sz="0" w:space="0" w:color="auto"/>
            <w:right w:val="none" w:sz="0" w:space="0" w:color="auto"/>
          </w:divBdr>
        </w:div>
        <w:div w:id="1259481774">
          <w:marLeft w:val="640"/>
          <w:marRight w:val="0"/>
          <w:marTop w:val="0"/>
          <w:marBottom w:val="0"/>
          <w:divBdr>
            <w:top w:val="none" w:sz="0" w:space="0" w:color="auto"/>
            <w:left w:val="none" w:sz="0" w:space="0" w:color="auto"/>
            <w:bottom w:val="none" w:sz="0" w:space="0" w:color="auto"/>
            <w:right w:val="none" w:sz="0" w:space="0" w:color="auto"/>
          </w:divBdr>
        </w:div>
        <w:div w:id="595097817">
          <w:marLeft w:val="640"/>
          <w:marRight w:val="0"/>
          <w:marTop w:val="0"/>
          <w:marBottom w:val="0"/>
          <w:divBdr>
            <w:top w:val="none" w:sz="0" w:space="0" w:color="auto"/>
            <w:left w:val="none" w:sz="0" w:space="0" w:color="auto"/>
            <w:bottom w:val="none" w:sz="0" w:space="0" w:color="auto"/>
            <w:right w:val="none" w:sz="0" w:space="0" w:color="auto"/>
          </w:divBdr>
        </w:div>
        <w:div w:id="1521550479">
          <w:marLeft w:val="640"/>
          <w:marRight w:val="0"/>
          <w:marTop w:val="0"/>
          <w:marBottom w:val="0"/>
          <w:divBdr>
            <w:top w:val="none" w:sz="0" w:space="0" w:color="auto"/>
            <w:left w:val="none" w:sz="0" w:space="0" w:color="auto"/>
            <w:bottom w:val="none" w:sz="0" w:space="0" w:color="auto"/>
            <w:right w:val="none" w:sz="0" w:space="0" w:color="auto"/>
          </w:divBdr>
        </w:div>
        <w:div w:id="291600770">
          <w:marLeft w:val="640"/>
          <w:marRight w:val="0"/>
          <w:marTop w:val="0"/>
          <w:marBottom w:val="0"/>
          <w:divBdr>
            <w:top w:val="none" w:sz="0" w:space="0" w:color="auto"/>
            <w:left w:val="none" w:sz="0" w:space="0" w:color="auto"/>
            <w:bottom w:val="none" w:sz="0" w:space="0" w:color="auto"/>
            <w:right w:val="none" w:sz="0" w:space="0" w:color="auto"/>
          </w:divBdr>
        </w:div>
        <w:div w:id="315033915">
          <w:marLeft w:val="640"/>
          <w:marRight w:val="0"/>
          <w:marTop w:val="0"/>
          <w:marBottom w:val="0"/>
          <w:divBdr>
            <w:top w:val="none" w:sz="0" w:space="0" w:color="auto"/>
            <w:left w:val="none" w:sz="0" w:space="0" w:color="auto"/>
            <w:bottom w:val="none" w:sz="0" w:space="0" w:color="auto"/>
            <w:right w:val="none" w:sz="0" w:space="0" w:color="auto"/>
          </w:divBdr>
        </w:div>
        <w:div w:id="180246112">
          <w:marLeft w:val="640"/>
          <w:marRight w:val="0"/>
          <w:marTop w:val="0"/>
          <w:marBottom w:val="0"/>
          <w:divBdr>
            <w:top w:val="none" w:sz="0" w:space="0" w:color="auto"/>
            <w:left w:val="none" w:sz="0" w:space="0" w:color="auto"/>
            <w:bottom w:val="none" w:sz="0" w:space="0" w:color="auto"/>
            <w:right w:val="none" w:sz="0" w:space="0" w:color="auto"/>
          </w:divBdr>
        </w:div>
        <w:div w:id="1456020775">
          <w:marLeft w:val="640"/>
          <w:marRight w:val="0"/>
          <w:marTop w:val="0"/>
          <w:marBottom w:val="0"/>
          <w:divBdr>
            <w:top w:val="none" w:sz="0" w:space="0" w:color="auto"/>
            <w:left w:val="none" w:sz="0" w:space="0" w:color="auto"/>
            <w:bottom w:val="none" w:sz="0" w:space="0" w:color="auto"/>
            <w:right w:val="none" w:sz="0" w:space="0" w:color="auto"/>
          </w:divBdr>
        </w:div>
        <w:div w:id="1346253750">
          <w:marLeft w:val="640"/>
          <w:marRight w:val="0"/>
          <w:marTop w:val="0"/>
          <w:marBottom w:val="0"/>
          <w:divBdr>
            <w:top w:val="none" w:sz="0" w:space="0" w:color="auto"/>
            <w:left w:val="none" w:sz="0" w:space="0" w:color="auto"/>
            <w:bottom w:val="none" w:sz="0" w:space="0" w:color="auto"/>
            <w:right w:val="none" w:sz="0" w:space="0" w:color="auto"/>
          </w:divBdr>
        </w:div>
        <w:div w:id="1406495240">
          <w:marLeft w:val="640"/>
          <w:marRight w:val="0"/>
          <w:marTop w:val="0"/>
          <w:marBottom w:val="0"/>
          <w:divBdr>
            <w:top w:val="none" w:sz="0" w:space="0" w:color="auto"/>
            <w:left w:val="none" w:sz="0" w:space="0" w:color="auto"/>
            <w:bottom w:val="none" w:sz="0" w:space="0" w:color="auto"/>
            <w:right w:val="none" w:sz="0" w:space="0" w:color="auto"/>
          </w:divBdr>
        </w:div>
        <w:div w:id="1506746732">
          <w:marLeft w:val="640"/>
          <w:marRight w:val="0"/>
          <w:marTop w:val="0"/>
          <w:marBottom w:val="0"/>
          <w:divBdr>
            <w:top w:val="none" w:sz="0" w:space="0" w:color="auto"/>
            <w:left w:val="none" w:sz="0" w:space="0" w:color="auto"/>
            <w:bottom w:val="none" w:sz="0" w:space="0" w:color="auto"/>
            <w:right w:val="none" w:sz="0" w:space="0" w:color="auto"/>
          </w:divBdr>
        </w:div>
        <w:div w:id="109252086">
          <w:marLeft w:val="640"/>
          <w:marRight w:val="0"/>
          <w:marTop w:val="0"/>
          <w:marBottom w:val="0"/>
          <w:divBdr>
            <w:top w:val="none" w:sz="0" w:space="0" w:color="auto"/>
            <w:left w:val="none" w:sz="0" w:space="0" w:color="auto"/>
            <w:bottom w:val="none" w:sz="0" w:space="0" w:color="auto"/>
            <w:right w:val="none" w:sz="0" w:space="0" w:color="auto"/>
          </w:divBdr>
        </w:div>
        <w:div w:id="901794662">
          <w:marLeft w:val="640"/>
          <w:marRight w:val="0"/>
          <w:marTop w:val="0"/>
          <w:marBottom w:val="0"/>
          <w:divBdr>
            <w:top w:val="none" w:sz="0" w:space="0" w:color="auto"/>
            <w:left w:val="none" w:sz="0" w:space="0" w:color="auto"/>
            <w:bottom w:val="none" w:sz="0" w:space="0" w:color="auto"/>
            <w:right w:val="none" w:sz="0" w:space="0" w:color="auto"/>
          </w:divBdr>
        </w:div>
        <w:div w:id="2122913738">
          <w:marLeft w:val="640"/>
          <w:marRight w:val="0"/>
          <w:marTop w:val="0"/>
          <w:marBottom w:val="0"/>
          <w:divBdr>
            <w:top w:val="none" w:sz="0" w:space="0" w:color="auto"/>
            <w:left w:val="none" w:sz="0" w:space="0" w:color="auto"/>
            <w:bottom w:val="none" w:sz="0" w:space="0" w:color="auto"/>
            <w:right w:val="none" w:sz="0" w:space="0" w:color="auto"/>
          </w:divBdr>
        </w:div>
        <w:div w:id="1348286869">
          <w:marLeft w:val="640"/>
          <w:marRight w:val="0"/>
          <w:marTop w:val="0"/>
          <w:marBottom w:val="0"/>
          <w:divBdr>
            <w:top w:val="none" w:sz="0" w:space="0" w:color="auto"/>
            <w:left w:val="none" w:sz="0" w:space="0" w:color="auto"/>
            <w:bottom w:val="none" w:sz="0" w:space="0" w:color="auto"/>
            <w:right w:val="none" w:sz="0" w:space="0" w:color="auto"/>
          </w:divBdr>
        </w:div>
        <w:div w:id="6444020">
          <w:marLeft w:val="640"/>
          <w:marRight w:val="0"/>
          <w:marTop w:val="0"/>
          <w:marBottom w:val="0"/>
          <w:divBdr>
            <w:top w:val="none" w:sz="0" w:space="0" w:color="auto"/>
            <w:left w:val="none" w:sz="0" w:space="0" w:color="auto"/>
            <w:bottom w:val="none" w:sz="0" w:space="0" w:color="auto"/>
            <w:right w:val="none" w:sz="0" w:space="0" w:color="auto"/>
          </w:divBdr>
        </w:div>
        <w:div w:id="1120220037">
          <w:marLeft w:val="640"/>
          <w:marRight w:val="0"/>
          <w:marTop w:val="0"/>
          <w:marBottom w:val="0"/>
          <w:divBdr>
            <w:top w:val="none" w:sz="0" w:space="0" w:color="auto"/>
            <w:left w:val="none" w:sz="0" w:space="0" w:color="auto"/>
            <w:bottom w:val="none" w:sz="0" w:space="0" w:color="auto"/>
            <w:right w:val="none" w:sz="0" w:space="0" w:color="auto"/>
          </w:divBdr>
        </w:div>
        <w:div w:id="104034718">
          <w:marLeft w:val="640"/>
          <w:marRight w:val="0"/>
          <w:marTop w:val="0"/>
          <w:marBottom w:val="0"/>
          <w:divBdr>
            <w:top w:val="none" w:sz="0" w:space="0" w:color="auto"/>
            <w:left w:val="none" w:sz="0" w:space="0" w:color="auto"/>
            <w:bottom w:val="none" w:sz="0" w:space="0" w:color="auto"/>
            <w:right w:val="none" w:sz="0" w:space="0" w:color="auto"/>
          </w:divBdr>
        </w:div>
        <w:div w:id="1386367371">
          <w:marLeft w:val="640"/>
          <w:marRight w:val="0"/>
          <w:marTop w:val="0"/>
          <w:marBottom w:val="0"/>
          <w:divBdr>
            <w:top w:val="none" w:sz="0" w:space="0" w:color="auto"/>
            <w:left w:val="none" w:sz="0" w:space="0" w:color="auto"/>
            <w:bottom w:val="none" w:sz="0" w:space="0" w:color="auto"/>
            <w:right w:val="none" w:sz="0" w:space="0" w:color="auto"/>
          </w:divBdr>
        </w:div>
        <w:div w:id="1542282406">
          <w:marLeft w:val="640"/>
          <w:marRight w:val="0"/>
          <w:marTop w:val="0"/>
          <w:marBottom w:val="0"/>
          <w:divBdr>
            <w:top w:val="none" w:sz="0" w:space="0" w:color="auto"/>
            <w:left w:val="none" w:sz="0" w:space="0" w:color="auto"/>
            <w:bottom w:val="none" w:sz="0" w:space="0" w:color="auto"/>
            <w:right w:val="none" w:sz="0" w:space="0" w:color="auto"/>
          </w:divBdr>
        </w:div>
        <w:div w:id="1908219611">
          <w:marLeft w:val="640"/>
          <w:marRight w:val="0"/>
          <w:marTop w:val="0"/>
          <w:marBottom w:val="0"/>
          <w:divBdr>
            <w:top w:val="none" w:sz="0" w:space="0" w:color="auto"/>
            <w:left w:val="none" w:sz="0" w:space="0" w:color="auto"/>
            <w:bottom w:val="none" w:sz="0" w:space="0" w:color="auto"/>
            <w:right w:val="none" w:sz="0" w:space="0" w:color="auto"/>
          </w:divBdr>
        </w:div>
        <w:div w:id="333265789">
          <w:marLeft w:val="640"/>
          <w:marRight w:val="0"/>
          <w:marTop w:val="0"/>
          <w:marBottom w:val="0"/>
          <w:divBdr>
            <w:top w:val="none" w:sz="0" w:space="0" w:color="auto"/>
            <w:left w:val="none" w:sz="0" w:space="0" w:color="auto"/>
            <w:bottom w:val="none" w:sz="0" w:space="0" w:color="auto"/>
            <w:right w:val="none" w:sz="0" w:space="0" w:color="auto"/>
          </w:divBdr>
        </w:div>
        <w:div w:id="1188565739">
          <w:marLeft w:val="640"/>
          <w:marRight w:val="0"/>
          <w:marTop w:val="0"/>
          <w:marBottom w:val="0"/>
          <w:divBdr>
            <w:top w:val="none" w:sz="0" w:space="0" w:color="auto"/>
            <w:left w:val="none" w:sz="0" w:space="0" w:color="auto"/>
            <w:bottom w:val="none" w:sz="0" w:space="0" w:color="auto"/>
            <w:right w:val="none" w:sz="0" w:space="0" w:color="auto"/>
          </w:divBdr>
        </w:div>
        <w:div w:id="1665012026">
          <w:marLeft w:val="640"/>
          <w:marRight w:val="0"/>
          <w:marTop w:val="0"/>
          <w:marBottom w:val="0"/>
          <w:divBdr>
            <w:top w:val="none" w:sz="0" w:space="0" w:color="auto"/>
            <w:left w:val="none" w:sz="0" w:space="0" w:color="auto"/>
            <w:bottom w:val="none" w:sz="0" w:space="0" w:color="auto"/>
            <w:right w:val="none" w:sz="0" w:space="0" w:color="auto"/>
          </w:divBdr>
        </w:div>
        <w:div w:id="803085859">
          <w:marLeft w:val="640"/>
          <w:marRight w:val="0"/>
          <w:marTop w:val="0"/>
          <w:marBottom w:val="0"/>
          <w:divBdr>
            <w:top w:val="none" w:sz="0" w:space="0" w:color="auto"/>
            <w:left w:val="none" w:sz="0" w:space="0" w:color="auto"/>
            <w:bottom w:val="none" w:sz="0" w:space="0" w:color="auto"/>
            <w:right w:val="none" w:sz="0" w:space="0" w:color="auto"/>
          </w:divBdr>
        </w:div>
        <w:div w:id="1081483693">
          <w:marLeft w:val="640"/>
          <w:marRight w:val="0"/>
          <w:marTop w:val="0"/>
          <w:marBottom w:val="0"/>
          <w:divBdr>
            <w:top w:val="none" w:sz="0" w:space="0" w:color="auto"/>
            <w:left w:val="none" w:sz="0" w:space="0" w:color="auto"/>
            <w:bottom w:val="none" w:sz="0" w:space="0" w:color="auto"/>
            <w:right w:val="none" w:sz="0" w:space="0" w:color="auto"/>
          </w:divBdr>
        </w:div>
        <w:div w:id="1550649842">
          <w:marLeft w:val="640"/>
          <w:marRight w:val="0"/>
          <w:marTop w:val="0"/>
          <w:marBottom w:val="0"/>
          <w:divBdr>
            <w:top w:val="none" w:sz="0" w:space="0" w:color="auto"/>
            <w:left w:val="none" w:sz="0" w:space="0" w:color="auto"/>
            <w:bottom w:val="none" w:sz="0" w:space="0" w:color="auto"/>
            <w:right w:val="none" w:sz="0" w:space="0" w:color="auto"/>
          </w:divBdr>
        </w:div>
        <w:div w:id="277378689">
          <w:marLeft w:val="640"/>
          <w:marRight w:val="0"/>
          <w:marTop w:val="0"/>
          <w:marBottom w:val="0"/>
          <w:divBdr>
            <w:top w:val="none" w:sz="0" w:space="0" w:color="auto"/>
            <w:left w:val="none" w:sz="0" w:space="0" w:color="auto"/>
            <w:bottom w:val="none" w:sz="0" w:space="0" w:color="auto"/>
            <w:right w:val="none" w:sz="0" w:space="0" w:color="auto"/>
          </w:divBdr>
        </w:div>
        <w:div w:id="1143082529">
          <w:marLeft w:val="640"/>
          <w:marRight w:val="0"/>
          <w:marTop w:val="0"/>
          <w:marBottom w:val="0"/>
          <w:divBdr>
            <w:top w:val="none" w:sz="0" w:space="0" w:color="auto"/>
            <w:left w:val="none" w:sz="0" w:space="0" w:color="auto"/>
            <w:bottom w:val="none" w:sz="0" w:space="0" w:color="auto"/>
            <w:right w:val="none" w:sz="0" w:space="0" w:color="auto"/>
          </w:divBdr>
        </w:div>
        <w:div w:id="718281050">
          <w:marLeft w:val="640"/>
          <w:marRight w:val="0"/>
          <w:marTop w:val="0"/>
          <w:marBottom w:val="0"/>
          <w:divBdr>
            <w:top w:val="none" w:sz="0" w:space="0" w:color="auto"/>
            <w:left w:val="none" w:sz="0" w:space="0" w:color="auto"/>
            <w:bottom w:val="none" w:sz="0" w:space="0" w:color="auto"/>
            <w:right w:val="none" w:sz="0" w:space="0" w:color="auto"/>
          </w:divBdr>
        </w:div>
        <w:div w:id="2090498604">
          <w:marLeft w:val="640"/>
          <w:marRight w:val="0"/>
          <w:marTop w:val="0"/>
          <w:marBottom w:val="0"/>
          <w:divBdr>
            <w:top w:val="none" w:sz="0" w:space="0" w:color="auto"/>
            <w:left w:val="none" w:sz="0" w:space="0" w:color="auto"/>
            <w:bottom w:val="none" w:sz="0" w:space="0" w:color="auto"/>
            <w:right w:val="none" w:sz="0" w:space="0" w:color="auto"/>
          </w:divBdr>
        </w:div>
        <w:div w:id="1986931581">
          <w:marLeft w:val="640"/>
          <w:marRight w:val="0"/>
          <w:marTop w:val="0"/>
          <w:marBottom w:val="0"/>
          <w:divBdr>
            <w:top w:val="none" w:sz="0" w:space="0" w:color="auto"/>
            <w:left w:val="none" w:sz="0" w:space="0" w:color="auto"/>
            <w:bottom w:val="none" w:sz="0" w:space="0" w:color="auto"/>
            <w:right w:val="none" w:sz="0" w:space="0" w:color="auto"/>
          </w:divBdr>
        </w:div>
        <w:div w:id="677733796">
          <w:marLeft w:val="640"/>
          <w:marRight w:val="0"/>
          <w:marTop w:val="0"/>
          <w:marBottom w:val="0"/>
          <w:divBdr>
            <w:top w:val="none" w:sz="0" w:space="0" w:color="auto"/>
            <w:left w:val="none" w:sz="0" w:space="0" w:color="auto"/>
            <w:bottom w:val="none" w:sz="0" w:space="0" w:color="auto"/>
            <w:right w:val="none" w:sz="0" w:space="0" w:color="auto"/>
          </w:divBdr>
        </w:div>
        <w:div w:id="1889024470">
          <w:marLeft w:val="640"/>
          <w:marRight w:val="0"/>
          <w:marTop w:val="0"/>
          <w:marBottom w:val="0"/>
          <w:divBdr>
            <w:top w:val="none" w:sz="0" w:space="0" w:color="auto"/>
            <w:left w:val="none" w:sz="0" w:space="0" w:color="auto"/>
            <w:bottom w:val="none" w:sz="0" w:space="0" w:color="auto"/>
            <w:right w:val="none" w:sz="0" w:space="0" w:color="auto"/>
          </w:divBdr>
        </w:div>
        <w:div w:id="1153064382">
          <w:marLeft w:val="640"/>
          <w:marRight w:val="0"/>
          <w:marTop w:val="0"/>
          <w:marBottom w:val="0"/>
          <w:divBdr>
            <w:top w:val="none" w:sz="0" w:space="0" w:color="auto"/>
            <w:left w:val="none" w:sz="0" w:space="0" w:color="auto"/>
            <w:bottom w:val="none" w:sz="0" w:space="0" w:color="auto"/>
            <w:right w:val="none" w:sz="0" w:space="0" w:color="auto"/>
          </w:divBdr>
        </w:div>
        <w:div w:id="1531265190">
          <w:marLeft w:val="640"/>
          <w:marRight w:val="0"/>
          <w:marTop w:val="0"/>
          <w:marBottom w:val="0"/>
          <w:divBdr>
            <w:top w:val="none" w:sz="0" w:space="0" w:color="auto"/>
            <w:left w:val="none" w:sz="0" w:space="0" w:color="auto"/>
            <w:bottom w:val="none" w:sz="0" w:space="0" w:color="auto"/>
            <w:right w:val="none" w:sz="0" w:space="0" w:color="auto"/>
          </w:divBdr>
        </w:div>
        <w:div w:id="1975207675">
          <w:marLeft w:val="640"/>
          <w:marRight w:val="0"/>
          <w:marTop w:val="0"/>
          <w:marBottom w:val="0"/>
          <w:divBdr>
            <w:top w:val="none" w:sz="0" w:space="0" w:color="auto"/>
            <w:left w:val="none" w:sz="0" w:space="0" w:color="auto"/>
            <w:bottom w:val="none" w:sz="0" w:space="0" w:color="auto"/>
            <w:right w:val="none" w:sz="0" w:space="0" w:color="auto"/>
          </w:divBdr>
        </w:div>
        <w:div w:id="1530289729">
          <w:marLeft w:val="640"/>
          <w:marRight w:val="0"/>
          <w:marTop w:val="0"/>
          <w:marBottom w:val="0"/>
          <w:divBdr>
            <w:top w:val="none" w:sz="0" w:space="0" w:color="auto"/>
            <w:left w:val="none" w:sz="0" w:space="0" w:color="auto"/>
            <w:bottom w:val="none" w:sz="0" w:space="0" w:color="auto"/>
            <w:right w:val="none" w:sz="0" w:space="0" w:color="auto"/>
          </w:divBdr>
        </w:div>
        <w:div w:id="1541673630">
          <w:marLeft w:val="640"/>
          <w:marRight w:val="0"/>
          <w:marTop w:val="0"/>
          <w:marBottom w:val="0"/>
          <w:divBdr>
            <w:top w:val="none" w:sz="0" w:space="0" w:color="auto"/>
            <w:left w:val="none" w:sz="0" w:space="0" w:color="auto"/>
            <w:bottom w:val="none" w:sz="0" w:space="0" w:color="auto"/>
            <w:right w:val="none" w:sz="0" w:space="0" w:color="auto"/>
          </w:divBdr>
        </w:div>
        <w:div w:id="1546598201">
          <w:marLeft w:val="640"/>
          <w:marRight w:val="0"/>
          <w:marTop w:val="0"/>
          <w:marBottom w:val="0"/>
          <w:divBdr>
            <w:top w:val="none" w:sz="0" w:space="0" w:color="auto"/>
            <w:left w:val="none" w:sz="0" w:space="0" w:color="auto"/>
            <w:bottom w:val="none" w:sz="0" w:space="0" w:color="auto"/>
            <w:right w:val="none" w:sz="0" w:space="0" w:color="auto"/>
          </w:divBdr>
        </w:div>
        <w:div w:id="1251818548">
          <w:marLeft w:val="640"/>
          <w:marRight w:val="0"/>
          <w:marTop w:val="0"/>
          <w:marBottom w:val="0"/>
          <w:divBdr>
            <w:top w:val="none" w:sz="0" w:space="0" w:color="auto"/>
            <w:left w:val="none" w:sz="0" w:space="0" w:color="auto"/>
            <w:bottom w:val="none" w:sz="0" w:space="0" w:color="auto"/>
            <w:right w:val="none" w:sz="0" w:space="0" w:color="auto"/>
          </w:divBdr>
        </w:div>
        <w:div w:id="917321702">
          <w:marLeft w:val="640"/>
          <w:marRight w:val="0"/>
          <w:marTop w:val="0"/>
          <w:marBottom w:val="0"/>
          <w:divBdr>
            <w:top w:val="none" w:sz="0" w:space="0" w:color="auto"/>
            <w:left w:val="none" w:sz="0" w:space="0" w:color="auto"/>
            <w:bottom w:val="none" w:sz="0" w:space="0" w:color="auto"/>
            <w:right w:val="none" w:sz="0" w:space="0" w:color="auto"/>
          </w:divBdr>
        </w:div>
        <w:div w:id="172114102">
          <w:marLeft w:val="640"/>
          <w:marRight w:val="0"/>
          <w:marTop w:val="0"/>
          <w:marBottom w:val="0"/>
          <w:divBdr>
            <w:top w:val="none" w:sz="0" w:space="0" w:color="auto"/>
            <w:left w:val="none" w:sz="0" w:space="0" w:color="auto"/>
            <w:bottom w:val="none" w:sz="0" w:space="0" w:color="auto"/>
            <w:right w:val="none" w:sz="0" w:space="0" w:color="auto"/>
          </w:divBdr>
        </w:div>
        <w:div w:id="1174340359">
          <w:marLeft w:val="640"/>
          <w:marRight w:val="0"/>
          <w:marTop w:val="0"/>
          <w:marBottom w:val="0"/>
          <w:divBdr>
            <w:top w:val="none" w:sz="0" w:space="0" w:color="auto"/>
            <w:left w:val="none" w:sz="0" w:space="0" w:color="auto"/>
            <w:bottom w:val="none" w:sz="0" w:space="0" w:color="auto"/>
            <w:right w:val="none" w:sz="0" w:space="0" w:color="auto"/>
          </w:divBdr>
        </w:div>
        <w:div w:id="1913808024">
          <w:marLeft w:val="640"/>
          <w:marRight w:val="0"/>
          <w:marTop w:val="0"/>
          <w:marBottom w:val="0"/>
          <w:divBdr>
            <w:top w:val="none" w:sz="0" w:space="0" w:color="auto"/>
            <w:left w:val="none" w:sz="0" w:space="0" w:color="auto"/>
            <w:bottom w:val="none" w:sz="0" w:space="0" w:color="auto"/>
            <w:right w:val="none" w:sz="0" w:space="0" w:color="auto"/>
          </w:divBdr>
        </w:div>
        <w:div w:id="1256864459">
          <w:marLeft w:val="640"/>
          <w:marRight w:val="0"/>
          <w:marTop w:val="0"/>
          <w:marBottom w:val="0"/>
          <w:divBdr>
            <w:top w:val="none" w:sz="0" w:space="0" w:color="auto"/>
            <w:left w:val="none" w:sz="0" w:space="0" w:color="auto"/>
            <w:bottom w:val="none" w:sz="0" w:space="0" w:color="auto"/>
            <w:right w:val="none" w:sz="0" w:space="0" w:color="auto"/>
          </w:divBdr>
        </w:div>
        <w:div w:id="1419903244">
          <w:marLeft w:val="640"/>
          <w:marRight w:val="0"/>
          <w:marTop w:val="0"/>
          <w:marBottom w:val="0"/>
          <w:divBdr>
            <w:top w:val="none" w:sz="0" w:space="0" w:color="auto"/>
            <w:left w:val="none" w:sz="0" w:space="0" w:color="auto"/>
            <w:bottom w:val="none" w:sz="0" w:space="0" w:color="auto"/>
            <w:right w:val="none" w:sz="0" w:space="0" w:color="auto"/>
          </w:divBdr>
        </w:div>
        <w:div w:id="1832016612">
          <w:marLeft w:val="640"/>
          <w:marRight w:val="0"/>
          <w:marTop w:val="0"/>
          <w:marBottom w:val="0"/>
          <w:divBdr>
            <w:top w:val="none" w:sz="0" w:space="0" w:color="auto"/>
            <w:left w:val="none" w:sz="0" w:space="0" w:color="auto"/>
            <w:bottom w:val="none" w:sz="0" w:space="0" w:color="auto"/>
            <w:right w:val="none" w:sz="0" w:space="0" w:color="auto"/>
          </w:divBdr>
        </w:div>
        <w:div w:id="1752313028">
          <w:marLeft w:val="640"/>
          <w:marRight w:val="0"/>
          <w:marTop w:val="0"/>
          <w:marBottom w:val="0"/>
          <w:divBdr>
            <w:top w:val="none" w:sz="0" w:space="0" w:color="auto"/>
            <w:left w:val="none" w:sz="0" w:space="0" w:color="auto"/>
            <w:bottom w:val="none" w:sz="0" w:space="0" w:color="auto"/>
            <w:right w:val="none" w:sz="0" w:space="0" w:color="auto"/>
          </w:divBdr>
        </w:div>
        <w:div w:id="1014958975">
          <w:marLeft w:val="640"/>
          <w:marRight w:val="0"/>
          <w:marTop w:val="0"/>
          <w:marBottom w:val="0"/>
          <w:divBdr>
            <w:top w:val="none" w:sz="0" w:space="0" w:color="auto"/>
            <w:left w:val="none" w:sz="0" w:space="0" w:color="auto"/>
            <w:bottom w:val="none" w:sz="0" w:space="0" w:color="auto"/>
            <w:right w:val="none" w:sz="0" w:space="0" w:color="auto"/>
          </w:divBdr>
        </w:div>
        <w:div w:id="77211681">
          <w:marLeft w:val="640"/>
          <w:marRight w:val="0"/>
          <w:marTop w:val="0"/>
          <w:marBottom w:val="0"/>
          <w:divBdr>
            <w:top w:val="none" w:sz="0" w:space="0" w:color="auto"/>
            <w:left w:val="none" w:sz="0" w:space="0" w:color="auto"/>
            <w:bottom w:val="none" w:sz="0" w:space="0" w:color="auto"/>
            <w:right w:val="none" w:sz="0" w:space="0" w:color="auto"/>
          </w:divBdr>
        </w:div>
        <w:div w:id="383414045">
          <w:marLeft w:val="640"/>
          <w:marRight w:val="0"/>
          <w:marTop w:val="0"/>
          <w:marBottom w:val="0"/>
          <w:divBdr>
            <w:top w:val="none" w:sz="0" w:space="0" w:color="auto"/>
            <w:left w:val="none" w:sz="0" w:space="0" w:color="auto"/>
            <w:bottom w:val="none" w:sz="0" w:space="0" w:color="auto"/>
            <w:right w:val="none" w:sz="0" w:space="0" w:color="auto"/>
          </w:divBdr>
        </w:div>
        <w:div w:id="1679500223">
          <w:marLeft w:val="640"/>
          <w:marRight w:val="0"/>
          <w:marTop w:val="0"/>
          <w:marBottom w:val="0"/>
          <w:divBdr>
            <w:top w:val="none" w:sz="0" w:space="0" w:color="auto"/>
            <w:left w:val="none" w:sz="0" w:space="0" w:color="auto"/>
            <w:bottom w:val="none" w:sz="0" w:space="0" w:color="auto"/>
            <w:right w:val="none" w:sz="0" w:space="0" w:color="auto"/>
          </w:divBdr>
        </w:div>
        <w:div w:id="747533987">
          <w:marLeft w:val="640"/>
          <w:marRight w:val="0"/>
          <w:marTop w:val="0"/>
          <w:marBottom w:val="0"/>
          <w:divBdr>
            <w:top w:val="none" w:sz="0" w:space="0" w:color="auto"/>
            <w:left w:val="none" w:sz="0" w:space="0" w:color="auto"/>
            <w:bottom w:val="none" w:sz="0" w:space="0" w:color="auto"/>
            <w:right w:val="none" w:sz="0" w:space="0" w:color="auto"/>
          </w:divBdr>
        </w:div>
        <w:div w:id="487719013">
          <w:marLeft w:val="640"/>
          <w:marRight w:val="0"/>
          <w:marTop w:val="0"/>
          <w:marBottom w:val="0"/>
          <w:divBdr>
            <w:top w:val="none" w:sz="0" w:space="0" w:color="auto"/>
            <w:left w:val="none" w:sz="0" w:space="0" w:color="auto"/>
            <w:bottom w:val="none" w:sz="0" w:space="0" w:color="auto"/>
            <w:right w:val="none" w:sz="0" w:space="0" w:color="auto"/>
          </w:divBdr>
        </w:div>
        <w:div w:id="2075004240">
          <w:marLeft w:val="640"/>
          <w:marRight w:val="0"/>
          <w:marTop w:val="0"/>
          <w:marBottom w:val="0"/>
          <w:divBdr>
            <w:top w:val="none" w:sz="0" w:space="0" w:color="auto"/>
            <w:left w:val="none" w:sz="0" w:space="0" w:color="auto"/>
            <w:bottom w:val="none" w:sz="0" w:space="0" w:color="auto"/>
            <w:right w:val="none" w:sz="0" w:space="0" w:color="auto"/>
          </w:divBdr>
        </w:div>
        <w:div w:id="231545695">
          <w:marLeft w:val="640"/>
          <w:marRight w:val="0"/>
          <w:marTop w:val="0"/>
          <w:marBottom w:val="0"/>
          <w:divBdr>
            <w:top w:val="none" w:sz="0" w:space="0" w:color="auto"/>
            <w:left w:val="none" w:sz="0" w:space="0" w:color="auto"/>
            <w:bottom w:val="none" w:sz="0" w:space="0" w:color="auto"/>
            <w:right w:val="none" w:sz="0" w:space="0" w:color="auto"/>
          </w:divBdr>
        </w:div>
        <w:div w:id="1342929176">
          <w:marLeft w:val="640"/>
          <w:marRight w:val="0"/>
          <w:marTop w:val="0"/>
          <w:marBottom w:val="0"/>
          <w:divBdr>
            <w:top w:val="none" w:sz="0" w:space="0" w:color="auto"/>
            <w:left w:val="none" w:sz="0" w:space="0" w:color="auto"/>
            <w:bottom w:val="none" w:sz="0" w:space="0" w:color="auto"/>
            <w:right w:val="none" w:sz="0" w:space="0" w:color="auto"/>
          </w:divBdr>
        </w:div>
        <w:div w:id="1504398962">
          <w:marLeft w:val="640"/>
          <w:marRight w:val="0"/>
          <w:marTop w:val="0"/>
          <w:marBottom w:val="0"/>
          <w:divBdr>
            <w:top w:val="none" w:sz="0" w:space="0" w:color="auto"/>
            <w:left w:val="none" w:sz="0" w:space="0" w:color="auto"/>
            <w:bottom w:val="none" w:sz="0" w:space="0" w:color="auto"/>
            <w:right w:val="none" w:sz="0" w:space="0" w:color="auto"/>
          </w:divBdr>
        </w:div>
        <w:div w:id="1986741873">
          <w:marLeft w:val="640"/>
          <w:marRight w:val="0"/>
          <w:marTop w:val="0"/>
          <w:marBottom w:val="0"/>
          <w:divBdr>
            <w:top w:val="none" w:sz="0" w:space="0" w:color="auto"/>
            <w:left w:val="none" w:sz="0" w:space="0" w:color="auto"/>
            <w:bottom w:val="none" w:sz="0" w:space="0" w:color="auto"/>
            <w:right w:val="none" w:sz="0" w:space="0" w:color="auto"/>
          </w:divBdr>
        </w:div>
        <w:div w:id="1520772525">
          <w:marLeft w:val="640"/>
          <w:marRight w:val="0"/>
          <w:marTop w:val="0"/>
          <w:marBottom w:val="0"/>
          <w:divBdr>
            <w:top w:val="none" w:sz="0" w:space="0" w:color="auto"/>
            <w:left w:val="none" w:sz="0" w:space="0" w:color="auto"/>
            <w:bottom w:val="none" w:sz="0" w:space="0" w:color="auto"/>
            <w:right w:val="none" w:sz="0" w:space="0" w:color="auto"/>
          </w:divBdr>
        </w:div>
        <w:div w:id="958488127">
          <w:marLeft w:val="640"/>
          <w:marRight w:val="0"/>
          <w:marTop w:val="0"/>
          <w:marBottom w:val="0"/>
          <w:divBdr>
            <w:top w:val="none" w:sz="0" w:space="0" w:color="auto"/>
            <w:left w:val="none" w:sz="0" w:space="0" w:color="auto"/>
            <w:bottom w:val="none" w:sz="0" w:space="0" w:color="auto"/>
            <w:right w:val="none" w:sz="0" w:space="0" w:color="auto"/>
          </w:divBdr>
        </w:div>
        <w:div w:id="141969353">
          <w:marLeft w:val="640"/>
          <w:marRight w:val="0"/>
          <w:marTop w:val="0"/>
          <w:marBottom w:val="0"/>
          <w:divBdr>
            <w:top w:val="none" w:sz="0" w:space="0" w:color="auto"/>
            <w:left w:val="none" w:sz="0" w:space="0" w:color="auto"/>
            <w:bottom w:val="none" w:sz="0" w:space="0" w:color="auto"/>
            <w:right w:val="none" w:sz="0" w:space="0" w:color="auto"/>
          </w:divBdr>
        </w:div>
        <w:div w:id="283850371">
          <w:marLeft w:val="640"/>
          <w:marRight w:val="0"/>
          <w:marTop w:val="0"/>
          <w:marBottom w:val="0"/>
          <w:divBdr>
            <w:top w:val="none" w:sz="0" w:space="0" w:color="auto"/>
            <w:left w:val="none" w:sz="0" w:space="0" w:color="auto"/>
            <w:bottom w:val="none" w:sz="0" w:space="0" w:color="auto"/>
            <w:right w:val="none" w:sz="0" w:space="0" w:color="auto"/>
          </w:divBdr>
        </w:div>
        <w:div w:id="1008749693">
          <w:marLeft w:val="640"/>
          <w:marRight w:val="0"/>
          <w:marTop w:val="0"/>
          <w:marBottom w:val="0"/>
          <w:divBdr>
            <w:top w:val="none" w:sz="0" w:space="0" w:color="auto"/>
            <w:left w:val="none" w:sz="0" w:space="0" w:color="auto"/>
            <w:bottom w:val="none" w:sz="0" w:space="0" w:color="auto"/>
            <w:right w:val="none" w:sz="0" w:space="0" w:color="auto"/>
          </w:divBdr>
        </w:div>
        <w:div w:id="1547981890">
          <w:marLeft w:val="640"/>
          <w:marRight w:val="0"/>
          <w:marTop w:val="0"/>
          <w:marBottom w:val="0"/>
          <w:divBdr>
            <w:top w:val="none" w:sz="0" w:space="0" w:color="auto"/>
            <w:left w:val="none" w:sz="0" w:space="0" w:color="auto"/>
            <w:bottom w:val="none" w:sz="0" w:space="0" w:color="auto"/>
            <w:right w:val="none" w:sz="0" w:space="0" w:color="auto"/>
          </w:divBdr>
        </w:div>
        <w:div w:id="2122993372">
          <w:marLeft w:val="640"/>
          <w:marRight w:val="0"/>
          <w:marTop w:val="0"/>
          <w:marBottom w:val="0"/>
          <w:divBdr>
            <w:top w:val="none" w:sz="0" w:space="0" w:color="auto"/>
            <w:left w:val="none" w:sz="0" w:space="0" w:color="auto"/>
            <w:bottom w:val="none" w:sz="0" w:space="0" w:color="auto"/>
            <w:right w:val="none" w:sz="0" w:space="0" w:color="auto"/>
          </w:divBdr>
        </w:div>
        <w:div w:id="2121752451">
          <w:marLeft w:val="640"/>
          <w:marRight w:val="0"/>
          <w:marTop w:val="0"/>
          <w:marBottom w:val="0"/>
          <w:divBdr>
            <w:top w:val="none" w:sz="0" w:space="0" w:color="auto"/>
            <w:left w:val="none" w:sz="0" w:space="0" w:color="auto"/>
            <w:bottom w:val="none" w:sz="0" w:space="0" w:color="auto"/>
            <w:right w:val="none" w:sz="0" w:space="0" w:color="auto"/>
          </w:divBdr>
        </w:div>
        <w:div w:id="1072658151">
          <w:marLeft w:val="640"/>
          <w:marRight w:val="0"/>
          <w:marTop w:val="0"/>
          <w:marBottom w:val="0"/>
          <w:divBdr>
            <w:top w:val="none" w:sz="0" w:space="0" w:color="auto"/>
            <w:left w:val="none" w:sz="0" w:space="0" w:color="auto"/>
            <w:bottom w:val="none" w:sz="0" w:space="0" w:color="auto"/>
            <w:right w:val="none" w:sz="0" w:space="0" w:color="auto"/>
          </w:divBdr>
        </w:div>
        <w:div w:id="1525090382">
          <w:marLeft w:val="640"/>
          <w:marRight w:val="0"/>
          <w:marTop w:val="0"/>
          <w:marBottom w:val="0"/>
          <w:divBdr>
            <w:top w:val="none" w:sz="0" w:space="0" w:color="auto"/>
            <w:left w:val="none" w:sz="0" w:space="0" w:color="auto"/>
            <w:bottom w:val="none" w:sz="0" w:space="0" w:color="auto"/>
            <w:right w:val="none" w:sz="0" w:space="0" w:color="auto"/>
          </w:divBdr>
        </w:div>
        <w:div w:id="1879901449">
          <w:marLeft w:val="640"/>
          <w:marRight w:val="0"/>
          <w:marTop w:val="0"/>
          <w:marBottom w:val="0"/>
          <w:divBdr>
            <w:top w:val="none" w:sz="0" w:space="0" w:color="auto"/>
            <w:left w:val="none" w:sz="0" w:space="0" w:color="auto"/>
            <w:bottom w:val="none" w:sz="0" w:space="0" w:color="auto"/>
            <w:right w:val="none" w:sz="0" w:space="0" w:color="auto"/>
          </w:divBdr>
        </w:div>
        <w:div w:id="10616895">
          <w:marLeft w:val="640"/>
          <w:marRight w:val="0"/>
          <w:marTop w:val="0"/>
          <w:marBottom w:val="0"/>
          <w:divBdr>
            <w:top w:val="none" w:sz="0" w:space="0" w:color="auto"/>
            <w:left w:val="none" w:sz="0" w:space="0" w:color="auto"/>
            <w:bottom w:val="none" w:sz="0" w:space="0" w:color="auto"/>
            <w:right w:val="none" w:sz="0" w:space="0" w:color="auto"/>
          </w:divBdr>
        </w:div>
        <w:div w:id="991329022">
          <w:marLeft w:val="640"/>
          <w:marRight w:val="0"/>
          <w:marTop w:val="0"/>
          <w:marBottom w:val="0"/>
          <w:divBdr>
            <w:top w:val="none" w:sz="0" w:space="0" w:color="auto"/>
            <w:left w:val="none" w:sz="0" w:space="0" w:color="auto"/>
            <w:bottom w:val="none" w:sz="0" w:space="0" w:color="auto"/>
            <w:right w:val="none" w:sz="0" w:space="0" w:color="auto"/>
          </w:divBdr>
        </w:div>
        <w:div w:id="1361853842">
          <w:marLeft w:val="640"/>
          <w:marRight w:val="0"/>
          <w:marTop w:val="0"/>
          <w:marBottom w:val="0"/>
          <w:divBdr>
            <w:top w:val="none" w:sz="0" w:space="0" w:color="auto"/>
            <w:left w:val="none" w:sz="0" w:space="0" w:color="auto"/>
            <w:bottom w:val="none" w:sz="0" w:space="0" w:color="auto"/>
            <w:right w:val="none" w:sz="0" w:space="0" w:color="auto"/>
          </w:divBdr>
        </w:div>
        <w:div w:id="2038847202">
          <w:marLeft w:val="640"/>
          <w:marRight w:val="0"/>
          <w:marTop w:val="0"/>
          <w:marBottom w:val="0"/>
          <w:divBdr>
            <w:top w:val="none" w:sz="0" w:space="0" w:color="auto"/>
            <w:left w:val="none" w:sz="0" w:space="0" w:color="auto"/>
            <w:bottom w:val="none" w:sz="0" w:space="0" w:color="auto"/>
            <w:right w:val="none" w:sz="0" w:space="0" w:color="auto"/>
          </w:divBdr>
        </w:div>
        <w:div w:id="388454664">
          <w:marLeft w:val="640"/>
          <w:marRight w:val="0"/>
          <w:marTop w:val="0"/>
          <w:marBottom w:val="0"/>
          <w:divBdr>
            <w:top w:val="none" w:sz="0" w:space="0" w:color="auto"/>
            <w:left w:val="none" w:sz="0" w:space="0" w:color="auto"/>
            <w:bottom w:val="none" w:sz="0" w:space="0" w:color="auto"/>
            <w:right w:val="none" w:sz="0" w:space="0" w:color="auto"/>
          </w:divBdr>
        </w:div>
        <w:div w:id="2056005644">
          <w:marLeft w:val="640"/>
          <w:marRight w:val="0"/>
          <w:marTop w:val="0"/>
          <w:marBottom w:val="0"/>
          <w:divBdr>
            <w:top w:val="none" w:sz="0" w:space="0" w:color="auto"/>
            <w:left w:val="none" w:sz="0" w:space="0" w:color="auto"/>
            <w:bottom w:val="none" w:sz="0" w:space="0" w:color="auto"/>
            <w:right w:val="none" w:sz="0" w:space="0" w:color="auto"/>
          </w:divBdr>
        </w:div>
        <w:div w:id="1603100930">
          <w:marLeft w:val="640"/>
          <w:marRight w:val="0"/>
          <w:marTop w:val="0"/>
          <w:marBottom w:val="0"/>
          <w:divBdr>
            <w:top w:val="none" w:sz="0" w:space="0" w:color="auto"/>
            <w:left w:val="none" w:sz="0" w:space="0" w:color="auto"/>
            <w:bottom w:val="none" w:sz="0" w:space="0" w:color="auto"/>
            <w:right w:val="none" w:sz="0" w:space="0" w:color="auto"/>
          </w:divBdr>
        </w:div>
        <w:div w:id="525799003">
          <w:marLeft w:val="640"/>
          <w:marRight w:val="0"/>
          <w:marTop w:val="0"/>
          <w:marBottom w:val="0"/>
          <w:divBdr>
            <w:top w:val="none" w:sz="0" w:space="0" w:color="auto"/>
            <w:left w:val="none" w:sz="0" w:space="0" w:color="auto"/>
            <w:bottom w:val="none" w:sz="0" w:space="0" w:color="auto"/>
            <w:right w:val="none" w:sz="0" w:space="0" w:color="auto"/>
          </w:divBdr>
        </w:div>
        <w:div w:id="562450704">
          <w:marLeft w:val="640"/>
          <w:marRight w:val="0"/>
          <w:marTop w:val="0"/>
          <w:marBottom w:val="0"/>
          <w:divBdr>
            <w:top w:val="none" w:sz="0" w:space="0" w:color="auto"/>
            <w:left w:val="none" w:sz="0" w:space="0" w:color="auto"/>
            <w:bottom w:val="none" w:sz="0" w:space="0" w:color="auto"/>
            <w:right w:val="none" w:sz="0" w:space="0" w:color="auto"/>
          </w:divBdr>
        </w:div>
        <w:div w:id="124199098">
          <w:marLeft w:val="640"/>
          <w:marRight w:val="0"/>
          <w:marTop w:val="0"/>
          <w:marBottom w:val="0"/>
          <w:divBdr>
            <w:top w:val="none" w:sz="0" w:space="0" w:color="auto"/>
            <w:left w:val="none" w:sz="0" w:space="0" w:color="auto"/>
            <w:bottom w:val="none" w:sz="0" w:space="0" w:color="auto"/>
            <w:right w:val="none" w:sz="0" w:space="0" w:color="auto"/>
          </w:divBdr>
        </w:div>
        <w:div w:id="388264954">
          <w:marLeft w:val="640"/>
          <w:marRight w:val="0"/>
          <w:marTop w:val="0"/>
          <w:marBottom w:val="0"/>
          <w:divBdr>
            <w:top w:val="none" w:sz="0" w:space="0" w:color="auto"/>
            <w:left w:val="none" w:sz="0" w:space="0" w:color="auto"/>
            <w:bottom w:val="none" w:sz="0" w:space="0" w:color="auto"/>
            <w:right w:val="none" w:sz="0" w:space="0" w:color="auto"/>
          </w:divBdr>
        </w:div>
        <w:div w:id="1558054265">
          <w:marLeft w:val="640"/>
          <w:marRight w:val="0"/>
          <w:marTop w:val="0"/>
          <w:marBottom w:val="0"/>
          <w:divBdr>
            <w:top w:val="none" w:sz="0" w:space="0" w:color="auto"/>
            <w:left w:val="none" w:sz="0" w:space="0" w:color="auto"/>
            <w:bottom w:val="none" w:sz="0" w:space="0" w:color="auto"/>
            <w:right w:val="none" w:sz="0" w:space="0" w:color="auto"/>
          </w:divBdr>
        </w:div>
        <w:div w:id="1901473884">
          <w:marLeft w:val="640"/>
          <w:marRight w:val="0"/>
          <w:marTop w:val="0"/>
          <w:marBottom w:val="0"/>
          <w:divBdr>
            <w:top w:val="none" w:sz="0" w:space="0" w:color="auto"/>
            <w:left w:val="none" w:sz="0" w:space="0" w:color="auto"/>
            <w:bottom w:val="none" w:sz="0" w:space="0" w:color="auto"/>
            <w:right w:val="none" w:sz="0" w:space="0" w:color="auto"/>
          </w:divBdr>
        </w:div>
        <w:div w:id="1432356501">
          <w:marLeft w:val="640"/>
          <w:marRight w:val="0"/>
          <w:marTop w:val="0"/>
          <w:marBottom w:val="0"/>
          <w:divBdr>
            <w:top w:val="none" w:sz="0" w:space="0" w:color="auto"/>
            <w:left w:val="none" w:sz="0" w:space="0" w:color="auto"/>
            <w:bottom w:val="none" w:sz="0" w:space="0" w:color="auto"/>
            <w:right w:val="none" w:sz="0" w:space="0" w:color="auto"/>
          </w:divBdr>
        </w:div>
        <w:div w:id="795417097">
          <w:marLeft w:val="640"/>
          <w:marRight w:val="0"/>
          <w:marTop w:val="0"/>
          <w:marBottom w:val="0"/>
          <w:divBdr>
            <w:top w:val="none" w:sz="0" w:space="0" w:color="auto"/>
            <w:left w:val="none" w:sz="0" w:space="0" w:color="auto"/>
            <w:bottom w:val="none" w:sz="0" w:space="0" w:color="auto"/>
            <w:right w:val="none" w:sz="0" w:space="0" w:color="auto"/>
          </w:divBdr>
        </w:div>
        <w:div w:id="1397314569">
          <w:marLeft w:val="640"/>
          <w:marRight w:val="0"/>
          <w:marTop w:val="0"/>
          <w:marBottom w:val="0"/>
          <w:divBdr>
            <w:top w:val="none" w:sz="0" w:space="0" w:color="auto"/>
            <w:left w:val="none" w:sz="0" w:space="0" w:color="auto"/>
            <w:bottom w:val="none" w:sz="0" w:space="0" w:color="auto"/>
            <w:right w:val="none" w:sz="0" w:space="0" w:color="auto"/>
          </w:divBdr>
        </w:div>
        <w:div w:id="1438910587">
          <w:marLeft w:val="640"/>
          <w:marRight w:val="0"/>
          <w:marTop w:val="0"/>
          <w:marBottom w:val="0"/>
          <w:divBdr>
            <w:top w:val="none" w:sz="0" w:space="0" w:color="auto"/>
            <w:left w:val="none" w:sz="0" w:space="0" w:color="auto"/>
            <w:bottom w:val="none" w:sz="0" w:space="0" w:color="auto"/>
            <w:right w:val="none" w:sz="0" w:space="0" w:color="auto"/>
          </w:divBdr>
        </w:div>
        <w:div w:id="1073702009">
          <w:marLeft w:val="640"/>
          <w:marRight w:val="0"/>
          <w:marTop w:val="0"/>
          <w:marBottom w:val="0"/>
          <w:divBdr>
            <w:top w:val="none" w:sz="0" w:space="0" w:color="auto"/>
            <w:left w:val="none" w:sz="0" w:space="0" w:color="auto"/>
            <w:bottom w:val="none" w:sz="0" w:space="0" w:color="auto"/>
            <w:right w:val="none" w:sz="0" w:space="0" w:color="auto"/>
          </w:divBdr>
        </w:div>
        <w:div w:id="2090467835">
          <w:marLeft w:val="640"/>
          <w:marRight w:val="0"/>
          <w:marTop w:val="0"/>
          <w:marBottom w:val="0"/>
          <w:divBdr>
            <w:top w:val="none" w:sz="0" w:space="0" w:color="auto"/>
            <w:left w:val="none" w:sz="0" w:space="0" w:color="auto"/>
            <w:bottom w:val="none" w:sz="0" w:space="0" w:color="auto"/>
            <w:right w:val="none" w:sz="0" w:space="0" w:color="auto"/>
          </w:divBdr>
        </w:div>
        <w:div w:id="1528562376">
          <w:marLeft w:val="640"/>
          <w:marRight w:val="0"/>
          <w:marTop w:val="0"/>
          <w:marBottom w:val="0"/>
          <w:divBdr>
            <w:top w:val="none" w:sz="0" w:space="0" w:color="auto"/>
            <w:left w:val="none" w:sz="0" w:space="0" w:color="auto"/>
            <w:bottom w:val="none" w:sz="0" w:space="0" w:color="auto"/>
            <w:right w:val="none" w:sz="0" w:space="0" w:color="auto"/>
          </w:divBdr>
        </w:div>
        <w:div w:id="1158614652">
          <w:marLeft w:val="640"/>
          <w:marRight w:val="0"/>
          <w:marTop w:val="0"/>
          <w:marBottom w:val="0"/>
          <w:divBdr>
            <w:top w:val="none" w:sz="0" w:space="0" w:color="auto"/>
            <w:left w:val="none" w:sz="0" w:space="0" w:color="auto"/>
            <w:bottom w:val="none" w:sz="0" w:space="0" w:color="auto"/>
            <w:right w:val="none" w:sz="0" w:space="0" w:color="auto"/>
          </w:divBdr>
        </w:div>
        <w:div w:id="346635441">
          <w:marLeft w:val="640"/>
          <w:marRight w:val="0"/>
          <w:marTop w:val="0"/>
          <w:marBottom w:val="0"/>
          <w:divBdr>
            <w:top w:val="none" w:sz="0" w:space="0" w:color="auto"/>
            <w:left w:val="none" w:sz="0" w:space="0" w:color="auto"/>
            <w:bottom w:val="none" w:sz="0" w:space="0" w:color="auto"/>
            <w:right w:val="none" w:sz="0" w:space="0" w:color="auto"/>
          </w:divBdr>
        </w:div>
        <w:div w:id="1006639718">
          <w:marLeft w:val="640"/>
          <w:marRight w:val="0"/>
          <w:marTop w:val="0"/>
          <w:marBottom w:val="0"/>
          <w:divBdr>
            <w:top w:val="none" w:sz="0" w:space="0" w:color="auto"/>
            <w:left w:val="none" w:sz="0" w:space="0" w:color="auto"/>
            <w:bottom w:val="none" w:sz="0" w:space="0" w:color="auto"/>
            <w:right w:val="none" w:sz="0" w:space="0" w:color="auto"/>
          </w:divBdr>
        </w:div>
        <w:div w:id="1170753283">
          <w:marLeft w:val="640"/>
          <w:marRight w:val="0"/>
          <w:marTop w:val="0"/>
          <w:marBottom w:val="0"/>
          <w:divBdr>
            <w:top w:val="none" w:sz="0" w:space="0" w:color="auto"/>
            <w:left w:val="none" w:sz="0" w:space="0" w:color="auto"/>
            <w:bottom w:val="none" w:sz="0" w:space="0" w:color="auto"/>
            <w:right w:val="none" w:sz="0" w:space="0" w:color="auto"/>
          </w:divBdr>
        </w:div>
        <w:div w:id="2000960034">
          <w:marLeft w:val="640"/>
          <w:marRight w:val="0"/>
          <w:marTop w:val="0"/>
          <w:marBottom w:val="0"/>
          <w:divBdr>
            <w:top w:val="none" w:sz="0" w:space="0" w:color="auto"/>
            <w:left w:val="none" w:sz="0" w:space="0" w:color="auto"/>
            <w:bottom w:val="none" w:sz="0" w:space="0" w:color="auto"/>
            <w:right w:val="none" w:sz="0" w:space="0" w:color="auto"/>
          </w:divBdr>
        </w:div>
        <w:div w:id="1299191397">
          <w:marLeft w:val="640"/>
          <w:marRight w:val="0"/>
          <w:marTop w:val="0"/>
          <w:marBottom w:val="0"/>
          <w:divBdr>
            <w:top w:val="none" w:sz="0" w:space="0" w:color="auto"/>
            <w:left w:val="none" w:sz="0" w:space="0" w:color="auto"/>
            <w:bottom w:val="none" w:sz="0" w:space="0" w:color="auto"/>
            <w:right w:val="none" w:sz="0" w:space="0" w:color="auto"/>
          </w:divBdr>
        </w:div>
        <w:div w:id="1647589397">
          <w:marLeft w:val="640"/>
          <w:marRight w:val="0"/>
          <w:marTop w:val="0"/>
          <w:marBottom w:val="0"/>
          <w:divBdr>
            <w:top w:val="none" w:sz="0" w:space="0" w:color="auto"/>
            <w:left w:val="none" w:sz="0" w:space="0" w:color="auto"/>
            <w:bottom w:val="none" w:sz="0" w:space="0" w:color="auto"/>
            <w:right w:val="none" w:sz="0" w:space="0" w:color="auto"/>
          </w:divBdr>
        </w:div>
        <w:div w:id="1981812235">
          <w:marLeft w:val="640"/>
          <w:marRight w:val="0"/>
          <w:marTop w:val="0"/>
          <w:marBottom w:val="0"/>
          <w:divBdr>
            <w:top w:val="none" w:sz="0" w:space="0" w:color="auto"/>
            <w:left w:val="none" w:sz="0" w:space="0" w:color="auto"/>
            <w:bottom w:val="none" w:sz="0" w:space="0" w:color="auto"/>
            <w:right w:val="none" w:sz="0" w:space="0" w:color="auto"/>
          </w:divBdr>
        </w:div>
        <w:div w:id="1297880513">
          <w:marLeft w:val="640"/>
          <w:marRight w:val="0"/>
          <w:marTop w:val="0"/>
          <w:marBottom w:val="0"/>
          <w:divBdr>
            <w:top w:val="none" w:sz="0" w:space="0" w:color="auto"/>
            <w:left w:val="none" w:sz="0" w:space="0" w:color="auto"/>
            <w:bottom w:val="none" w:sz="0" w:space="0" w:color="auto"/>
            <w:right w:val="none" w:sz="0" w:space="0" w:color="auto"/>
          </w:divBdr>
        </w:div>
        <w:div w:id="69889728">
          <w:marLeft w:val="640"/>
          <w:marRight w:val="0"/>
          <w:marTop w:val="0"/>
          <w:marBottom w:val="0"/>
          <w:divBdr>
            <w:top w:val="none" w:sz="0" w:space="0" w:color="auto"/>
            <w:left w:val="none" w:sz="0" w:space="0" w:color="auto"/>
            <w:bottom w:val="none" w:sz="0" w:space="0" w:color="auto"/>
            <w:right w:val="none" w:sz="0" w:space="0" w:color="auto"/>
          </w:divBdr>
        </w:div>
        <w:div w:id="922908333">
          <w:marLeft w:val="640"/>
          <w:marRight w:val="0"/>
          <w:marTop w:val="0"/>
          <w:marBottom w:val="0"/>
          <w:divBdr>
            <w:top w:val="none" w:sz="0" w:space="0" w:color="auto"/>
            <w:left w:val="none" w:sz="0" w:space="0" w:color="auto"/>
            <w:bottom w:val="none" w:sz="0" w:space="0" w:color="auto"/>
            <w:right w:val="none" w:sz="0" w:space="0" w:color="auto"/>
          </w:divBdr>
        </w:div>
        <w:div w:id="1042095096">
          <w:marLeft w:val="640"/>
          <w:marRight w:val="0"/>
          <w:marTop w:val="0"/>
          <w:marBottom w:val="0"/>
          <w:divBdr>
            <w:top w:val="none" w:sz="0" w:space="0" w:color="auto"/>
            <w:left w:val="none" w:sz="0" w:space="0" w:color="auto"/>
            <w:bottom w:val="none" w:sz="0" w:space="0" w:color="auto"/>
            <w:right w:val="none" w:sz="0" w:space="0" w:color="auto"/>
          </w:divBdr>
        </w:div>
        <w:div w:id="109083500">
          <w:marLeft w:val="640"/>
          <w:marRight w:val="0"/>
          <w:marTop w:val="0"/>
          <w:marBottom w:val="0"/>
          <w:divBdr>
            <w:top w:val="none" w:sz="0" w:space="0" w:color="auto"/>
            <w:left w:val="none" w:sz="0" w:space="0" w:color="auto"/>
            <w:bottom w:val="none" w:sz="0" w:space="0" w:color="auto"/>
            <w:right w:val="none" w:sz="0" w:space="0" w:color="auto"/>
          </w:divBdr>
        </w:div>
        <w:div w:id="159004622">
          <w:marLeft w:val="640"/>
          <w:marRight w:val="0"/>
          <w:marTop w:val="0"/>
          <w:marBottom w:val="0"/>
          <w:divBdr>
            <w:top w:val="none" w:sz="0" w:space="0" w:color="auto"/>
            <w:left w:val="none" w:sz="0" w:space="0" w:color="auto"/>
            <w:bottom w:val="none" w:sz="0" w:space="0" w:color="auto"/>
            <w:right w:val="none" w:sz="0" w:space="0" w:color="auto"/>
          </w:divBdr>
        </w:div>
        <w:div w:id="952052662">
          <w:marLeft w:val="640"/>
          <w:marRight w:val="0"/>
          <w:marTop w:val="0"/>
          <w:marBottom w:val="0"/>
          <w:divBdr>
            <w:top w:val="none" w:sz="0" w:space="0" w:color="auto"/>
            <w:left w:val="none" w:sz="0" w:space="0" w:color="auto"/>
            <w:bottom w:val="none" w:sz="0" w:space="0" w:color="auto"/>
            <w:right w:val="none" w:sz="0" w:space="0" w:color="auto"/>
          </w:divBdr>
        </w:div>
        <w:div w:id="1430006676">
          <w:marLeft w:val="640"/>
          <w:marRight w:val="0"/>
          <w:marTop w:val="0"/>
          <w:marBottom w:val="0"/>
          <w:divBdr>
            <w:top w:val="none" w:sz="0" w:space="0" w:color="auto"/>
            <w:left w:val="none" w:sz="0" w:space="0" w:color="auto"/>
            <w:bottom w:val="none" w:sz="0" w:space="0" w:color="auto"/>
            <w:right w:val="none" w:sz="0" w:space="0" w:color="auto"/>
          </w:divBdr>
        </w:div>
        <w:div w:id="1692221449">
          <w:marLeft w:val="640"/>
          <w:marRight w:val="0"/>
          <w:marTop w:val="0"/>
          <w:marBottom w:val="0"/>
          <w:divBdr>
            <w:top w:val="none" w:sz="0" w:space="0" w:color="auto"/>
            <w:left w:val="none" w:sz="0" w:space="0" w:color="auto"/>
            <w:bottom w:val="none" w:sz="0" w:space="0" w:color="auto"/>
            <w:right w:val="none" w:sz="0" w:space="0" w:color="auto"/>
          </w:divBdr>
        </w:div>
        <w:div w:id="1341395926">
          <w:marLeft w:val="640"/>
          <w:marRight w:val="0"/>
          <w:marTop w:val="0"/>
          <w:marBottom w:val="0"/>
          <w:divBdr>
            <w:top w:val="none" w:sz="0" w:space="0" w:color="auto"/>
            <w:left w:val="none" w:sz="0" w:space="0" w:color="auto"/>
            <w:bottom w:val="none" w:sz="0" w:space="0" w:color="auto"/>
            <w:right w:val="none" w:sz="0" w:space="0" w:color="auto"/>
          </w:divBdr>
        </w:div>
        <w:div w:id="356348135">
          <w:marLeft w:val="640"/>
          <w:marRight w:val="0"/>
          <w:marTop w:val="0"/>
          <w:marBottom w:val="0"/>
          <w:divBdr>
            <w:top w:val="none" w:sz="0" w:space="0" w:color="auto"/>
            <w:left w:val="none" w:sz="0" w:space="0" w:color="auto"/>
            <w:bottom w:val="none" w:sz="0" w:space="0" w:color="auto"/>
            <w:right w:val="none" w:sz="0" w:space="0" w:color="auto"/>
          </w:divBdr>
        </w:div>
        <w:div w:id="1930239147">
          <w:marLeft w:val="640"/>
          <w:marRight w:val="0"/>
          <w:marTop w:val="0"/>
          <w:marBottom w:val="0"/>
          <w:divBdr>
            <w:top w:val="none" w:sz="0" w:space="0" w:color="auto"/>
            <w:left w:val="none" w:sz="0" w:space="0" w:color="auto"/>
            <w:bottom w:val="none" w:sz="0" w:space="0" w:color="auto"/>
            <w:right w:val="none" w:sz="0" w:space="0" w:color="auto"/>
          </w:divBdr>
        </w:div>
        <w:div w:id="1082801252">
          <w:marLeft w:val="640"/>
          <w:marRight w:val="0"/>
          <w:marTop w:val="0"/>
          <w:marBottom w:val="0"/>
          <w:divBdr>
            <w:top w:val="none" w:sz="0" w:space="0" w:color="auto"/>
            <w:left w:val="none" w:sz="0" w:space="0" w:color="auto"/>
            <w:bottom w:val="none" w:sz="0" w:space="0" w:color="auto"/>
            <w:right w:val="none" w:sz="0" w:space="0" w:color="auto"/>
          </w:divBdr>
        </w:div>
        <w:div w:id="1861046402">
          <w:marLeft w:val="640"/>
          <w:marRight w:val="0"/>
          <w:marTop w:val="0"/>
          <w:marBottom w:val="0"/>
          <w:divBdr>
            <w:top w:val="none" w:sz="0" w:space="0" w:color="auto"/>
            <w:left w:val="none" w:sz="0" w:space="0" w:color="auto"/>
            <w:bottom w:val="none" w:sz="0" w:space="0" w:color="auto"/>
            <w:right w:val="none" w:sz="0" w:space="0" w:color="auto"/>
          </w:divBdr>
        </w:div>
        <w:div w:id="2010060846">
          <w:marLeft w:val="640"/>
          <w:marRight w:val="0"/>
          <w:marTop w:val="0"/>
          <w:marBottom w:val="0"/>
          <w:divBdr>
            <w:top w:val="none" w:sz="0" w:space="0" w:color="auto"/>
            <w:left w:val="none" w:sz="0" w:space="0" w:color="auto"/>
            <w:bottom w:val="none" w:sz="0" w:space="0" w:color="auto"/>
            <w:right w:val="none" w:sz="0" w:space="0" w:color="auto"/>
          </w:divBdr>
        </w:div>
        <w:div w:id="120926404">
          <w:marLeft w:val="640"/>
          <w:marRight w:val="0"/>
          <w:marTop w:val="0"/>
          <w:marBottom w:val="0"/>
          <w:divBdr>
            <w:top w:val="none" w:sz="0" w:space="0" w:color="auto"/>
            <w:left w:val="none" w:sz="0" w:space="0" w:color="auto"/>
            <w:bottom w:val="none" w:sz="0" w:space="0" w:color="auto"/>
            <w:right w:val="none" w:sz="0" w:space="0" w:color="auto"/>
          </w:divBdr>
        </w:div>
        <w:div w:id="2016616771">
          <w:marLeft w:val="640"/>
          <w:marRight w:val="0"/>
          <w:marTop w:val="0"/>
          <w:marBottom w:val="0"/>
          <w:divBdr>
            <w:top w:val="none" w:sz="0" w:space="0" w:color="auto"/>
            <w:left w:val="none" w:sz="0" w:space="0" w:color="auto"/>
            <w:bottom w:val="none" w:sz="0" w:space="0" w:color="auto"/>
            <w:right w:val="none" w:sz="0" w:space="0" w:color="auto"/>
          </w:divBdr>
        </w:div>
        <w:div w:id="410272940">
          <w:marLeft w:val="640"/>
          <w:marRight w:val="0"/>
          <w:marTop w:val="0"/>
          <w:marBottom w:val="0"/>
          <w:divBdr>
            <w:top w:val="none" w:sz="0" w:space="0" w:color="auto"/>
            <w:left w:val="none" w:sz="0" w:space="0" w:color="auto"/>
            <w:bottom w:val="none" w:sz="0" w:space="0" w:color="auto"/>
            <w:right w:val="none" w:sz="0" w:space="0" w:color="auto"/>
          </w:divBdr>
        </w:div>
        <w:div w:id="1126037">
          <w:marLeft w:val="640"/>
          <w:marRight w:val="0"/>
          <w:marTop w:val="0"/>
          <w:marBottom w:val="0"/>
          <w:divBdr>
            <w:top w:val="none" w:sz="0" w:space="0" w:color="auto"/>
            <w:left w:val="none" w:sz="0" w:space="0" w:color="auto"/>
            <w:bottom w:val="none" w:sz="0" w:space="0" w:color="auto"/>
            <w:right w:val="none" w:sz="0" w:space="0" w:color="auto"/>
          </w:divBdr>
        </w:div>
        <w:div w:id="118645646">
          <w:marLeft w:val="640"/>
          <w:marRight w:val="0"/>
          <w:marTop w:val="0"/>
          <w:marBottom w:val="0"/>
          <w:divBdr>
            <w:top w:val="none" w:sz="0" w:space="0" w:color="auto"/>
            <w:left w:val="none" w:sz="0" w:space="0" w:color="auto"/>
            <w:bottom w:val="none" w:sz="0" w:space="0" w:color="auto"/>
            <w:right w:val="none" w:sz="0" w:space="0" w:color="auto"/>
          </w:divBdr>
        </w:div>
        <w:div w:id="1770616657">
          <w:marLeft w:val="640"/>
          <w:marRight w:val="0"/>
          <w:marTop w:val="0"/>
          <w:marBottom w:val="0"/>
          <w:divBdr>
            <w:top w:val="none" w:sz="0" w:space="0" w:color="auto"/>
            <w:left w:val="none" w:sz="0" w:space="0" w:color="auto"/>
            <w:bottom w:val="none" w:sz="0" w:space="0" w:color="auto"/>
            <w:right w:val="none" w:sz="0" w:space="0" w:color="auto"/>
          </w:divBdr>
        </w:div>
        <w:div w:id="864903248">
          <w:marLeft w:val="640"/>
          <w:marRight w:val="0"/>
          <w:marTop w:val="0"/>
          <w:marBottom w:val="0"/>
          <w:divBdr>
            <w:top w:val="none" w:sz="0" w:space="0" w:color="auto"/>
            <w:left w:val="none" w:sz="0" w:space="0" w:color="auto"/>
            <w:bottom w:val="none" w:sz="0" w:space="0" w:color="auto"/>
            <w:right w:val="none" w:sz="0" w:space="0" w:color="auto"/>
          </w:divBdr>
        </w:div>
        <w:div w:id="706560966">
          <w:marLeft w:val="640"/>
          <w:marRight w:val="0"/>
          <w:marTop w:val="0"/>
          <w:marBottom w:val="0"/>
          <w:divBdr>
            <w:top w:val="none" w:sz="0" w:space="0" w:color="auto"/>
            <w:left w:val="none" w:sz="0" w:space="0" w:color="auto"/>
            <w:bottom w:val="none" w:sz="0" w:space="0" w:color="auto"/>
            <w:right w:val="none" w:sz="0" w:space="0" w:color="auto"/>
          </w:divBdr>
        </w:div>
        <w:div w:id="1469517720">
          <w:marLeft w:val="640"/>
          <w:marRight w:val="0"/>
          <w:marTop w:val="0"/>
          <w:marBottom w:val="0"/>
          <w:divBdr>
            <w:top w:val="none" w:sz="0" w:space="0" w:color="auto"/>
            <w:left w:val="none" w:sz="0" w:space="0" w:color="auto"/>
            <w:bottom w:val="none" w:sz="0" w:space="0" w:color="auto"/>
            <w:right w:val="none" w:sz="0" w:space="0" w:color="auto"/>
          </w:divBdr>
        </w:div>
        <w:div w:id="416369422">
          <w:marLeft w:val="640"/>
          <w:marRight w:val="0"/>
          <w:marTop w:val="0"/>
          <w:marBottom w:val="0"/>
          <w:divBdr>
            <w:top w:val="none" w:sz="0" w:space="0" w:color="auto"/>
            <w:left w:val="none" w:sz="0" w:space="0" w:color="auto"/>
            <w:bottom w:val="none" w:sz="0" w:space="0" w:color="auto"/>
            <w:right w:val="none" w:sz="0" w:space="0" w:color="auto"/>
          </w:divBdr>
        </w:div>
        <w:div w:id="1235166496">
          <w:marLeft w:val="640"/>
          <w:marRight w:val="0"/>
          <w:marTop w:val="0"/>
          <w:marBottom w:val="0"/>
          <w:divBdr>
            <w:top w:val="none" w:sz="0" w:space="0" w:color="auto"/>
            <w:left w:val="none" w:sz="0" w:space="0" w:color="auto"/>
            <w:bottom w:val="none" w:sz="0" w:space="0" w:color="auto"/>
            <w:right w:val="none" w:sz="0" w:space="0" w:color="auto"/>
          </w:divBdr>
        </w:div>
        <w:div w:id="1193494796">
          <w:marLeft w:val="640"/>
          <w:marRight w:val="0"/>
          <w:marTop w:val="0"/>
          <w:marBottom w:val="0"/>
          <w:divBdr>
            <w:top w:val="none" w:sz="0" w:space="0" w:color="auto"/>
            <w:left w:val="none" w:sz="0" w:space="0" w:color="auto"/>
            <w:bottom w:val="none" w:sz="0" w:space="0" w:color="auto"/>
            <w:right w:val="none" w:sz="0" w:space="0" w:color="auto"/>
          </w:divBdr>
        </w:div>
        <w:div w:id="1417243744">
          <w:marLeft w:val="640"/>
          <w:marRight w:val="0"/>
          <w:marTop w:val="0"/>
          <w:marBottom w:val="0"/>
          <w:divBdr>
            <w:top w:val="none" w:sz="0" w:space="0" w:color="auto"/>
            <w:left w:val="none" w:sz="0" w:space="0" w:color="auto"/>
            <w:bottom w:val="none" w:sz="0" w:space="0" w:color="auto"/>
            <w:right w:val="none" w:sz="0" w:space="0" w:color="auto"/>
          </w:divBdr>
        </w:div>
        <w:div w:id="1470786840">
          <w:marLeft w:val="640"/>
          <w:marRight w:val="0"/>
          <w:marTop w:val="0"/>
          <w:marBottom w:val="0"/>
          <w:divBdr>
            <w:top w:val="none" w:sz="0" w:space="0" w:color="auto"/>
            <w:left w:val="none" w:sz="0" w:space="0" w:color="auto"/>
            <w:bottom w:val="none" w:sz="0" w:space="0" w:color="auto"/>
            <w:right w:val="none" w:sz="0" w:space="0" w:color="auto"/>
          </w:divBdr>
        </w:div>
        <w:div w:id="1013606616">
          <w:marLeft w:val="640"/>
          <w:marRight w:val="0"/>
          <w:marTop w:val="0"/>
          <w:marBottom w:val="0"/>
          <w:divBdr>
            <w:top w:val="none" w:sz="0" w:space="0" w:color="auto"/>
            <w:left w:val="none" w:sz="0" w:space="0" w:color="auto"/>
            <w:bottom w:val="none" w:sz="0" w:space="0" w:color="auto"/>
            <w:right w:val="none" w:sz="0" w:space="0" w:color="auto"/>
          </w:divBdr>
        </w:div>
        <w:div w:id="1007253514">
          <w:marLeft w:val="640"/>
          <w:marRight w:val="0"/>
          <w:marTop w:val="0"/>
          <w:marBottom w:val="0"/>
          <w:divBdr>
            <w:top w:val="none" w:sz="0" w:space="0" w:color="auto"/>
            <w:left w:val="none" w:sz="0" w:space="0" w:color="auto"/>
            <w:bottom w:val="none" w:sz="0" w:space="0" w:color="auto"/>
            <w:right w:val="none" w:sz="0" w:space="0" w:color="auto"/>
          </w:divBdr>
        </w:div>
        <w:div w:id="1336375857">
          <w:marLeft w:val="640"/>
          <w:marRight w:val="0"/>
          <w:marTop w:val="0"/>
          <w:marBottom w:val="0"/>
          <w:divBdr>
            <w:top w:val="none" w:sz="0" w:space="0" w:color="auto"/>
            <w:left w:val="none" w:sz="0" w:space="0" w:color="auto"/>
            <w:bottom w:val="none" w:sz="0" w:space="0" w:color="auto"/>
            <w:right w:val="none" w:sz="0" w:space="0" w:color="auto"/>
          </w:divBdr>
        </w:div>
        <w:div w:id="255984164">
          <w:marLeft w:val="640"/>
          <w:marRight w:val="0"/>
          <w:marTop w:val="0"/>
          <w:marBottom w:val="0"/>
          <w:divBdr>
            <w:top w:val="none" w:sz="0" w:space="0" w:color="auto"/>
            <w:left w:val="none" w:sz="0" w:space="0" w:color="auto"/>
            <w:bottom w:val="none" w:sz="0" w:space="0" w:color="auto"/>
            <w:right w:val="none" w:sz="0" w:space="0" w:color="auto"/>
          </w:divBdr>
        </w:div>
        <w:div w:id="1093359218">
          <w:marLeft w:val="640"/>
          <w:marRight w:val="0"/>
          <w:marTop w:val="0"/>
          <w:marBottom w:val="0"/>
          <w:divBdr>
            <w:top w:val="none" w:sz="0" w:space="0" w:color="auto"/>
            <w:left w:val="none" w:sz="0" w:space="0" w:color="auto"/>
            <w:bottom w:val="none" w:sz="0" w:space="0" w:color="auto"/>
            <w:right w:val="none" w:sz="0" w:space="0" w:color="auto"/>
          </w:divBdr>
        </w:div>
        <w:div w:id="1173454385">
          <w:marLeft w:val="640"/>
          <w:marRight w:val="0"/>
          <w:marTop w:val="0"/>
          <w:marBottom w:val="0"/>
          <w:divBdr>
            <w:top w:val="none" w:sz="0" w:space="0" w:color="auto"/>
            <w:left w:val="none" w:sz="0" w:space="0" w:color="auto"/>
            <w:bottom w:val="none" w:sz="0" w:space="0" w:color="auto"/>
            <w:right w:val="none" w:sz="0" w:space="0" w:color="auto"/>
          </w:divBdr>
        </w:div>
        <w:div w:id="83504564">
          <w:marLeft w:val="640"/>
          <w:marRight w:val="0"/>
          <w:marTop w:val="0"/>
          <w:marBottom w:val="0"/>
          <w:divBdr>
            <w:top w:val="none" w:sz="0" w:space="0" w:color="auto"/>
            <w:left w:val="none" w:sz="0" w:space="0" w:color="auto"/>
            <w:bottom w:val="none" w:sz="0" w:space="0" w:color="auto"/>
            <w:right w:val="none" w:sz="0" w:space="0" w:color="auto"/>
          </w:divBdr>
        </w:div>
        <w:div w:id="848711940">
          <w:marLeft w:val="640"/>
          <w:marRight w:val="0"/>
          <w:marTop w:val="0"/>
          <w:marBottom w:val="0"/>
          <w:divBdr>
            <w:top w:val="none" w:sz="0" w:space="0" w:color="auto"/>
            <w:left w:val="none" w:sz="0" w:space="0" w:color="auto"/>
            <w:bottom w:val="none" w:sz="0" w:space="0" w:color="auto"/>
            <w:right w:val="none" w:sz="0" w:space="0" w:color="auto"/>
          </w:divBdr>
        </w:div>
        <w:div w:id="43871001">
          <w:marLeft w:val="640"/>
          <w:marRight w:val="0"/>
          <w:marTop w:val="0"/>
          <w:marBottom w:val="0"/>
          <w:divBdr>
            <w:top w:val="none" w:sz="0" w:space="0" w:color="auto"/>
            <w:left w:val="none" w:sz="0" w:space="0" w:color="auto"/>
            <w:bottom w:val="none" w:sz="0" w:space="0" w:color="auto"/>
            <w:right w:val="none" w:sz="0" w:space="0" w:color="auto"/>
          </w:divBdr>
        </w:div>
        <w:div w:id="1352104704">
          <w:marLeft w:val="640"/>
          <w:marRight w:val="0"/>
          <w:marTop w:val="0"/>
          <w:marBottom w:val="0"/>
          <w:divBdr>
            <w:top w:val="none" w:sz="0" w:space="0" w:color="auto"/>
            <w:left w:val="none" w:sz="0" w:space="0" w:color="auto"/>
            <w:bottom w:val="none" w:sz="0" w:space="0" w:color="auto"/>
            <w:right w:val="none" w:sz="0" w:space="0" w:color="auto"/>
          </w:divBdr>
        </w:div>
        <w:div w:id="1025255342">
          <w:marLeft w:val="640"/>
          <w:marRight w:val="0"/>
          <w:marTop w:val="0"/>
          <w:marBottom w:val="0"/>
          <w:divBdr>
            <w:top w:val="none" w:sz="0" w:space="0" w:color="auto"/>
            <w:left w:val="none" w:sz="0" w:space="0" w:color="auto"/>
            <w:bottom w:val="none" w:sz="0" w:space="0" w:color="auto"/>
            <w:right w:val="none" w:sz="0" w:space="0" w:color="auto"/>
          </w:divBdr>
        </w:div>
        <w:div w:id="1136070656">
          <w:marLeft w:val="640"/>
          <w:marRight w:val="0"/>
          <w:marTop w:val="0"/>
          <w:marBottom w:val="0"/>
          <w:divBdr>
            <w:top w:val="none" w:sz="0" w:space="0" w:color="auto"/>
            <w:left w:val="none" w:sz="0" w:space="0" w:color="auto"/>
            <w:bottom w:val="none" w:sz="0" w:space="0" w:color="auto"/>
            <w:right w:val="none" w:sz="0" w:space="0" w:color="auto"/>
          </w:divBdr>
        </w:div>
        <w:div w:id="935595074">
          <w:marLeft w:val="640"/>
          <w:marRight w:val="0"/>
          <w:marTop w:val="0"/>
          <w:marBottom w:val="0"/>
          <w:divBdr>
            <w:top w:val="none" w:sz="0" w:space="0" w:color="auto"/>
            <w:left w:val="none" w:sz="0" w:space="0" w:color="auto"/>
            <w:bottom w:val="none" w:sz="0" w:space="0" w:color="auto"/>
            <w:right w:val="none" w:sz="0" w:space="0" w:color="auto"/>
          </w:divBdr>
        </w:div>
        <w:div w:id="1998999850">
          <w:marLeft w:val="640"/>
          <w:marRight w:val="0"/>
          <w:marTop w:val="0"/>
          <w:marBottom w:val="0"/>
          <w:divBdr>
            <w:top w:val="none" w:sz="0" w:space="0" w:color="auto"/>
            <w:left w:val="none" w:sz="0" w:space="0" w:color="auto"/>
            <w:bottom w:val="none" w:sz="0" w:space="0" w:color="auto"/>
            <w:right w:val="none" w:sz="0" w:space="0" w:color="auto"/>
          </w:divBdr>
        </w:div>
        <w:div w:id="1755937766">
          <w:marLeft w:val="640"/>
          <w:marRight w:val="0"/>
          <w:marTop w:val="0"/>
          <w:marBottom w:val="0"/>
          <w:divBdr>
            <w:top w:val="none" w:sz="0" w:space="0" w:color="auto"/>
            <w:left w:val="none" w:sz="0" w:space="0" w:color="auto"/>
            <w:bottom w:val="none" w:sz="0" w:space="0" w:color="auto"/>
            <w:right w:val="none" w:sz="0" w:space="0" w:color="auto"/>
          </w:divBdr>
        </w:div>
        <w:div w:id="1805074310">
          <w:marLeft w:val="640"/>
          <w:marRight w:val="0"/>
          <w:marTop w:val="0"/>
          <w:marBottom w:val="0"/>
          <w:divBdr>
            <w:top w:val="none" w:sz="0" w:space="0" w:color="auto"/>
            <w:left w:val="none" w:sz="0" w:space="0" w:color="auto"/>
            <w:bottom w:val="none" w:sz="0" w:space="0" w:color="auto"/>
            <w:right w:val="none" w:sz="0" w:space="0" w:color="auto"/>
          </w:divBdr>
        </w:div>
        <w:div w:id="1443961124">
          <w:marLeft w:val="640"/>
          <w:marRight w:val="0"/>
          <w:marTop w:val="0"/>
          <w:marBottom w:val="0"/>
          <w:divBdr>
            <w:top w:val="none" w:sz="0" w:space="0" w:color="auto"/>
            <w:left w:val="none" w:sz="0" w:space="0" w:color="auto"/>
            <w:bottom w:val="none" w:sz="0" w:space="0" w:color="auto"/>
            <w:right w:val="none" w:sz="0" w:space="0" w:color="auto"/>
          </w:divBdr>
        </w:div>
        <w:div w:id="2143451982">
          <w:marLeft w:val="640"/>
          <w:marRight w:val="0"/>
          <w:marTop w:val="0"/>
          <w:marBottom w:val="0"/>
          <w:divBdr>
            <w:top w:val="none" w:sz="0" w:space="0" w:color="auto"/>
            <w:left w:val="none" w:sz="0" w:space="0" w:color="auto"/>
            <w:bottom w:val="none" w:sz="0" w:space="0" w:color="auto"/>
            <w:right w:val="none" w:sz="0" w:space="0" w:color="auto"/>
          </w:divBdr>
        </w:div>
        <w:div w:id="1877155003">
          <w:marLeft w:val="640"/>
          <w:marRight w:val="0"/>
          <w:marTop w:val="0"/>
          <w:marBottom w:val="0"/>
          <w:divBdr>
            <w:top w:val="none" w:sz="0" w:space="0" w:color="auto"/>
            <w:left w:val="none" w:sz="0" w:space="0" w:color="auto"/>
            <w:bottom w:val="none" w:sz="0" w:space="0" w:color="auto"/>
            <w:right w:val="none" w:sz="0" w:space="0" w:color="auto"/>
          </w:divBdr>
        </w:div>
        <w:div w:id="755177763">
          <w:marLeft w:val="640"/>
          <w:marRight w:val="0"/>
          <w:marTop w:val="0"/>
          <w:marBottom w:val="0"/>
          <w:divBdr>
            <w:top w:val="none" w:sz="0" w:space="0" w:color="auto"/>
            <w:left w:val="none" w:sz="0" w:space="0" w:color="auto"/>
            <w:bottom w:val="none" w:sz="0" w:space="0" w:color="auto"/>
            <w:right w:val="none" w:sz="0" w:space="0" w:color="auto"/>
          </w:divBdr>
        </w:div>
        <w:div w:id="547493295">
          <w:marLeft w:val="640"/>
          <w:marRight w:val="0"/>
          <w:marTop w:val="0"/>
          <w:marBottom w:val="0"/>
          <w:divBdr>
            <w:top w:val="none" w:sz="0" w:space="0" w:color="auto"/>
            <w:left w:val="none" w:sz="0" w:space="0" w:color="auto"/>
            <w:bottom w:val="none" w:sz="0" w:space="0" w:color="auto"/>
            <w:right w:val="none" w:sz="0" w:space="0" w:color="auto"/>
          </w:divBdr>
        </w:div>
        <w:div w:id="706872912">
          <w:marLeft w:val="640"/>
          <w:marRight w:val="0"/>
          <w:marTop w:val="0"/>
          <w:marBottom w:val="0"/>
          <w:divBdr>
            <w:top w:val="none" w:sz="0" w:space="0" w:color="auto"/>
            <w:left w:val="none" w:sz="0" w:space="0" w:color="auto"/>
            <w:bottom w:val="none" w:sz="0" w:space="0" w:color="auto"/>
            <w:right w:val="none" w:sz="0" w:space="0" w:color="auto"/>
          </w:divBdr>
        </w:div>
        <w:div w:id="1940522830">
          <w:marLeft w:val="640"/>
          <w:marRight w:val="0"/>
          <w:marTop w:val="0"/>
          <w:marBottom w:val="0"/>
          <w:divBdr>
            <w:top w:val="none" w:sz="0" w:space="0" w:color="auto"/>
            <w:left w:val="none" w:sz="0" w:space="0" w:color="auto"/>
            <w:bottom w:val="none" w:sz="0" w:space="0" w:color="auto"/>
            <w:right w:val="none" w:sz="0" w:space="0" w:color="auto"/>
          </w:divBdr>
        </w:div>
        <w:div w:id="165678380">
          <w:marLeft w:val="640"/>
          <w:marRight w:val="0"/>
          <w:marTop w:val="0"/>
          <w:marBottom w:val="0"/>
          <w:divBdr>
            <w:top w:val="none" w:sz="0" w:space="0" w:color="auto"/>
            <w:left w:val="none" w:sz="0" w:space="0" w:color="auto"/>
            <w:bottom w:val="none" w:sz="0" w:space="0" w:color="auto"/>
            <w:right w:val="none" w:sz="0" w:space="0" w:color="auto"/>
          </w:divBdr>
        </w:div>
        <w:div w:id="322927912">
          <w:marLeft w:val="640"/>
          <w:marRight w:val="0"/>
          <w:marTop w:val="0"/>
          <w:marBottom w:val="0"/>
          <w:divBdr>
            <w:top w:val="none" w:sz="0" w:space="0" w:color="auto"/>
            <w:left w:val="none" w:sz="0" w:space="0" w:color="auto"/>
            <w:bottom w:val="none" w:sz="0" w:space="0" w:color="auto"/>
            <w:right w:val="none" w:sz="0" w:space="0" w:color="auto"/>
          </w:divBdr>
        </w:div>
        <w:div w:id="1130126350">
          <w:marLeft w:val="640"/>
          <w:marRight w:val="0"/>
          <w:marTop w:val="0"/>
          <w:marBottom w:val="0"/>
          <w:divBdr>
            <w:top w:val="none" w:sz="0" w:space="0" w:color="auto"/>
            <w:left w:val="none" w:sz="0" w:space="0" w:color="auto"/>
            <w:bottom w:val="none" w:sz="0" w:space="0" w:color="auto"/>
            <w:right w:val="none" w:sz="0" w:space="0" w:color="auto"/>
          </w:divBdr>
        </w:div>
        <w:div w:id="1814787678">
          <w:marLeft w:val="640"/>
          <w:marRight w:val="0"/>
          <w:marTop w:val="0"/>
          <w:marBottom w:val="0"/>
          <w:divBdr>
            <w:top w:val="none" w:sz="0" w:space="0" w:color="auto"/>
            <w:left w:val="none" w:sz="0" w:space="0" w:color="auto"/>
            <w:bottom w:val="none" w:sz="0" w:space="0" w:color="auto"/>
            <w:right w:val="none" w:sz="0" w:space="0" w:color="auto"/>
          </w:divBdr>
        </w:div>
        <w:div w:id="84349667">
          <w:marLeft w:val="640"/>
          <w:marRight w:val="0"/>
          <w:marTop w:val="0"/>
          <w:marBottom w:val="0"/>
          <w:divBdr>
            <w:top w:val="none" w:sz="0" w:space="0" w:color="auto"/>
            <w:left w:val="none" w:sz="0" w:space="0" w:color="auto"/>
            <w:bottom w:val="none" w:sz="0" w:space="0" w:color="auto"/>
            <w:right w:val="none" w:sz="0" w:space="0" w:color="auto"/>
          </w:divBdr>
        </w:div>
        <w:div w:id="2089838866">
          <w:marLeft w:val="640"/>
          <w:marRight w:val="0"/>
          <w:marTop w:val="0"/>
          <w:marBottom w:val="0"/>
          <w:divBdr>
            <w:top w:val="none" w:sz="0" w:space="0" w:color="auto"/>
            <w:left w:val="none" w:sz="0" w:space="0" w:color="auto"/>
            <w:bottom w:val="none" w:sz="0" w:space="0" w:color="auto"/>
            <w:right w:val="none" w:sz="0" w:space="0" w:color="auto"/>
          </w:divBdr>
        </w:div>
        <w:div w:id="1457404814">
          <w:marLeft w:val="640"/>
          <w:marRight w:val="0"/>
          <w:marTop w:val="0"/>
          <w:marBottom w:val="0"/>
          <w:divBdr>
            <w:top w:val="none" w:sz="0" w:space="0" w:color="auto"/>
            <w:left w:val="none" w:sz="0" w:space="0" w:color="auto"/>
            <w:bottom w:val="none" w:sz="0" w:space="0" w:color="auto"/>
            <w:right w:val="none" w:sz="0" w:space="0" w:color="auto"/>
          </w:divBdr>
        </w:div>
        <w:div w:id="806434175">
          <w:marLeft w:val="640"/>
          <w:marRight w:val="0"/>
          <w:marTop w:val="0"/>
          <w:marBottom w:val="0"/>
          <w:divBdr>
            <w:top w:val="none" w:sz="0" w:space="0" w:color="auto"/>
            <w:left w:val="none" w:sz="0" w:space="0" w:color="auto"/>
            <w:bottom w:val="none" w:sz="0" w:space="0" w:color="auto"/>
            <w:right w:val="none" w:sz="0" w:space="0" w:color="auto"/>
          </w:divBdr>
        </w:div>
        <w:div w:id="2118984297">
          <w:marLeft w:val="640"/>
          <w:marRight w:val="0"/>
          <w:marTop w:val="0"/>
          <w:marBottom w:val="0"/>
          <w:divBdr>
            <w:top w:val="none" w:sz="0" w:space="0" w:color="auto"/>
            <w:left w:val="none" w:sz="0" w:space="0" w:color="auto"/>
            <w:bottom w:val="none" w:sz="0" w:space="0" w:color="auto"/>
            <w:right w:val="none" w:sz="0" w:space="0" w:color="auto"/>
          </w:divBdr>
        </w:div>
        <w:div w:id="1949190287">
          <w:marLeft w:val="640"/>
          <w:marRight w:val="0"/>
          <w:marTop w:val="0"/>
          <w:marBottom w:val="0"/>
          <w:divBdr>
            <w:top w:val="none" w:sz="0" w:space="0" w:color="auto"/>
            <w:left w:val="none" w:sz="0" w:space="0" w:color="auto"/>
            <w:bottom w:val="none" w:sz="0" w:space="0" w:color="auto"/>
            <w:right w:val="none" w:sz="0" w:space="0" w:color="auto"/>
          </w:divBdr>
        </w:div>
        <w:div w:id="1761294873">
          <w:marLeft w:val="640"/>
          <w:marRight w:val="0"/>
          <w:marTop w:val="0"/>
          <w:marBottom w:val="0"/>
          <w:divBdr>
            <w:top w:val="none" w:sz="0" w:space="0" w:color="auto"/>
            <w:left w:val="none" w:sz="0" w:space="0" w:color="auto"/>
            <w:bottom w:val="none" w:sz="0" w:space="0" w:color="auto"/>
            <w:right w:val="none" w:sz="0" w:space="0" w:color="auto"/>
          </w:divBdr>
        </w:div>
        <w:div w:id="59180763">
          <w:marLeft w:val="640"/>
          <w:marRight w:val="0"/>
          <w:marTop w:val="0"/>
          <w:marBottom w:val="0"/>
          <w:divBdr>
            <w:top w:val="none" w:sz="0" w:space="0" w:color="auto"/>
            <w:left w:val="none" w:sz="0" w:space="0" w:color="auto"/>
            <w:bottom w:val="none" w:sz="0" w:space="0" w:color="auto"/>
            <w:right w:val="none" w:sz="0" w:space="0" w:color="auto"/>
          </w:divBdr>
        </w:div>
        <w:div w:id="1086683207">
          <w:marLeft w:val="640"/>
          <w:marRight w:val="0"/>
          <w:marTop w:val="0"/>
          <w:marBottom w:val="0"/>
          <w:divBdr>
            <w:top w:val="none" w:sz="0" w:space="0" w:color="auto"/>
            <w:left w:val="none" w:sz="0" w:space="0" w:color="auto"/>
            <w:bottom w:val="none" w:sz="0" w:space="0" w:color="auto"/>
            <w:right w:val="none" w:sz="0" w:space="0" w:color="auto"/>
          </w:divBdr>
        </w:div>
        <w:div w:id="1804542796">
          <w:marLeft w:val="640"/>
          <w:marRight w:val="0"/>
          <w:marTop w:val="0"/>
          <w:marBottom w:val="0"/>
          <w:divBdr>
            <w:top w:val="none" w:sz="0" w:space="0" w:color="auto"/>
            <w:left w:val="none" w:sz="0" w:space="0" w:color="auto"/>
            <w:bottom w:val="none" w:sz="0" w:space="0" w:color="auto"/>
            <w:right w:val="none" w:sz="0" w:space="0" w:color="auto"/>
          </w:divBdr>
        </w:div>
        <w:div w:id="1631126128">
          <w:marLeft w:val="640"/>
          <w:marRight w:val="0"/>
          <w:marTop w:val="0"/>
          <w:marBottom w:val="0"/>
          <w:divBdr>
            <w:top w:val="none" w:sz="0" w:space="0" w:color="auto"/>
            <w:left w:val="none" w:sz="0" w:space="0" w:color="auto"/>
            <w:bottom w:val="none" w:sz="0" w:space="0" w:color="auto"/>
            <w:right w:val="none" w:sz="0" w:space="0" w:color="auto"/>
          </w:divBdr>
        </w:div>
        <w:div w:id="432163839">
          <w:marLeft w:val="640"/>
          <w:marRight w:val="0"/>
          <w:marTop w:val="0"/>
          <w:marBottom w:val="0"/>
          <w:divBdr>
            <w:top w:val="none" w:sz="0" w:space="0" w:color="auto"/>
            <w:left w:val="none" w:sz="0" w:space="0" w:color="auto"/>
            <w:bottom w:val="none" w:sz="0" w:space="0" w:color="auto"/>
            <w:right w:val="none" w:sz="0" w:space="0" w:color="auto"/>
          </w:divBdr>
        </w:div>
        <w:div w:id="1556040261">
          <w:marLeft w:val="640"/>
          <w:marRight w:val="0"/>
          <w:marTop w:val="0"/>
          <w:marBottom w:val="0"/>
          <w:divBdr>
            <w:top w:val="none" w:sz="0" w:space="0" w:color="auto"/>
            <w:left w:val="none" w:sz="0" w:space="0" w:color="auto"/>
            <w:bottom w:val="none" w:sz="0" w:space="0" w:color="auto"/>
            <w:right w:val="none" w:sz="0" w:space="0" w:color="auto"/>
          </w:divBdr>
        </w:div>
        <w:div w:id="84420801">
          <w:marLeft w:val="640"/>
          <w:marRight w:val="0"/>
          <w:marTop w:val="0"/>
          <w:marBottom w:val="0"/>
          <w:divBdr>
            <w:top w:val="none" w:sz="0" w:space="0" w:color="auto"/>
            <w:left w:val="none" w:sz="0" w:space="0" w:color="auto"/>
            <w:bottom w:val="none" w:sz="0" w:space="0" w:color="auto"/>
            <w:right w:val="none" w:sz="0" w:space="0" w:color="auto"/>
          </w:divBdr>
        </w:div>
        <w:div w:id="936602439">
          <w:marLeft w:val="640"/>
          <w:marRight w:val="0"/>
          <w:marTop w:val="0"/>
          <w:marBottom w:val="0"/>
          <w:divBdr>
            <w:top w:val="none" w:sz="0" w:space="0" w:color="auto"/>
            <w:left w:val="none" w:sz="0" w:space="0" w:color="auto"/>
            <w:bottom w:val="none" w:sz="0" w:space="0" w:color="auto"/>
            <w:right w:val="none" w:sz="0" w:space="0" w:color="auto"/>
          </w:divBdr>
        </w:div>
        <w:div w:id="1906406836">
          <w:marLeft w:val="640"/>
          <w:marRight w:val="0"/>
          <w:marTop w:val="0"/>
          <w:marBottom w:val="0"/>
          <w:divBdr>
            <w:top w:val="none" w:sz="0" w:space="0" w:color="auto"/>
            <w:left w:val="none" w:sz="0" w:space="0" w:color="auto"/>
            <w:bottom w:val="none" w:sz="0" w:space="0" w:color="auto"/>
            <w:right w:val="none" w:sz="0" w:space="0" w:color="auto"/>
          </w:divBdr>
        </w:div>
        <w:div w:id="656618703">
          <w:marLeft w:val="640"/>
          <w:marRight w:val="0"/>
          <w:marTop w:val="0"/>
          <w:marBottom w:val="0"/>
          <w:divBdr>
            <w:top w:val="none" w:sz="0" w:space="0" w:color="auto"/>
            <w:left w:val="none" w:sz="0" w:space="0" w:color="auto"/>
            <w:bottom w:val="none" w:sz="0" w:space="0" w:color="auto"/>
            <w:right w:val="none" w:sz="0" w:space="0" w:color="auto"/>
          </w:divBdr>
        </w:div>
        <w:div w:id="677578126">
          <w:marLeft w:val="640"/>
          <w:marRight w:val="0"/>
          <w:marTop w:val="0"/>
          <w:marBottom w:val="0"/>
          <w:divBdr>
            <w:top w:val="none" w:sz="0" w:space="0" w:color="auto"/>
            <w:left w:val="none" w:sz="0" w:space="0" w:color="auto"/>
            <w:bottom w:val="none" w:sz="0" w:space="0" w:color="auto"/>
            <w:right w:val="none" w:sz="0" w:space="0" w:color="auto"/>
          </w:divBdr>
        </w:div>
        <w:div w:id="1255287481">
          <w:marLeft w:val="640"/>
          <w:marRight w:val="0"/>
          <w:marTop w:val="0"/>
          <w:marBottom w:val="0"/>
          <w:divBdr>
            <w:top w:val="none" w:sz="0" w:space="0" w:color="auto"/>
            <w:left w:val="none" w:sz="0" w:space="0" w:color="auto"/>
            <w:bottom w:val="none" w:sz="0" w:space="0" w:color="auto"/>
            <w:right w:val="none" w:sz="0" w:space="0" w:color="auto"/>
          </w:divBdr>
        </w:div>
        <w:div w:id="610666450">
          <w:marLeft w:val="640"/>
          <w:marRight w:val="0"/>
          <w:marTop w:val="0"/>
          <w:marBottom w:val="0"/>
          <w:divBdr>
            <w:top w:val="none" w:sz="0" w:space="0" w:color="auto"/>
            <w:left w:val="none" w:sz="0" w:space="0" w:color="auto"/>
            <w:bottom w:val="none" w:sz="0" w:space="0" w:color="auto"/>
            <w:right w:val="none" w:sz="0" w:space="0" w:color="auto"/>
          </w:divBdr>
        </w:div>
        <w:div w:id="1434521469">
          <w:marLeft w:val="640"/>
          <w:marRight w:val="0"/>
          <w:marTop w:val="0"/>
          <w:marBottom w:val="0"/>
          <w:divBdr>
            <w:top w:val="none" w:sz="0" w:space="0" w:color="auto"/>
            <w:left w:val="none" w:sz="0" w:space="0" w:color="auto"/>
            <w:bottom w:val="none" w:sz="0" w:space="0" w:color="auto"/>
            <w:right w:val="none" w:sz="0" w:space="0" w:color="auto"/>
          </w:divBdr>
        </w:div>
        <w:div w:id="2044624371">
          <w:marLeft w:val="640"/>
          <w:marRight w:val="0"/>
          <w:marTop w:val="0"/>
          <w:marBottom w:val="0"/>
          <w:divBdr>
            <w:top w:val="none" w:sz="0" w:space="0" w:color="auto"/>
            <w:left w:val="none" w:sz="0" w:space="0" w:color="auto"/>
            <w:bottom w:val="none" w:sz="0" w:space="0" w:color="auto"/>
            <w:right w:val="none" w:sz="0" w:space="0" w:color="auto"/>
          </w:divBdr>
        </w:div>
        <w:div w:id="2071003179">
          <w:marLeft w:val="640"/>
          <w:marRight w:val="0"/>
          <w:marTop w:val="0"/>
          <w:marBottom w:val="0"/>
          <w:divBdr>
            <w:top w:val="none" w:sz="0" w:space="0" w:color="auto"/>
            <w:left w:val="none" w:sz="0" w:space="0" w:color="auto"/>
            <w:bottom w:val="none" w:sz="0" w:space="0" w:color="auto"/>
            <w:right w:val="none" w:sz="0" w:space="0" w:color="auto"/>
          </w:divBdr>
        </w:div>
        <w:div w:id="1199049776">
          <w:marLeft w:val="640"/>
          <w:marRight w:val="0"/>
          <w:marTop w:val="0"/>
          <w:marBottom w:val="0"/>
          <w:divBdr>
            <w:top w:val="none" w:sz="0" w:space="0" w:color="auto"/>
            <w:left w:val="none" w:sz="0" w:space="0" w:color="auto"/>
            <w:bottom w:val="none" w:sz="0" w:space="0" w:color="auto"/>
            <w:right w:val="none" w:sz="0" w:space="0" w:color="auto"/>
          </w:divBdr>
        </w:div>
        <w:div w:id="790630601">
          <w:marLeft w:val="640"/>
          <w:marRight w:val="0"/>
          <w:marTop w:val="0"/>
          <w:marBottom w:val="0"/>
          <w:divBdr>
            <w:top w:val="none" w:sz="0" w:space="0" w:color="auto"/>
            <w:left w:val="none" w:sz="0" w:space="0" w:color="auto"/>
            <w:bottom w:val="none" w:sz="0" w:space="0" w:color="auto"/>
            <w:right w:val="none" w:sz="0" w:space="0" w:color="auto"/>
          </w:divBdr>
        </w:div>
        <w:div w:id="1535266276">
          <w:marLeft w:val="640"/>
          <w:marRight w:val="0"/>
          <w:marTop w:val="0"/>
          <w:marBottom w:val="0"/>
          <w:divBdr>
            <w:top w:val="none" w:sz="0" w:space="0" w:color="auto"/>
            <w:left w:val="none" w:sz="0" w:space="0" w:color="auto"/>
            <w:bottom w:val="none" w:sz="0" w:space="0" w:color="auto"/>
            <w:right w:val="none" w:sz="0" w:space="0" w:color="auto"/>
          </w:divBdr>
        </w:div>
        <w:div w:id="609895723">
          <w:marLeft w:val="640"/>
          <w:marRight w:val="0"/>
          <w:marTop w:val="0"/>
          <w:marBottom w:val="0"/>
          <w:divBdr>
            <w:top w:val="none" w:sz="0" w:space="0" w:color="auto"/>
            <w:left w:val="none" w:sz="0" w:space="0" w:color="auto"/>
            <w:bottom w:val="none" w:sz="0" w:space="0" w:color="auto"/>
            <w:right w:val="none" w:sz="0" w:space="0" w:color="auto"/>
          </w:divBdr>
        </w:div>
        <w:div w:id="1568608311">
          <w:marLeft w:val="640"/>
          <w:marRight w:val="0"/>
          <w:marTop w:val="0"/>
          <w:marBottom w:val="0"/>
          <w:divBdr>
            <w:top w:val="none" w:sz="0" w:space="0" w:color="auto"/>
            <w:left w:val="none" w:sz="0" w:space="0" w:color="auto"/>
            <w:bottom w:val="none" w:sz="0" w:space="0" w:color="auto"/>
            <w:right w:val="none" w:sz="0" w:space="0" w:color="auto"/>
          </w:divBdr>
        </w:div>
        <w:div w:id="321396531">
          <w:marLeft w:val="640"/>
          <w:marRight w:val="0"/>
          <w:marTop w:val="0"/>
          <w:marBottom w:val="0"/>
          <w:divBdr>
            <w:top w:val="none" w:sz="0" w:space="0" w:color="auto"/>
            <w:left w:val="none" w:sz="0" w:space="0" w:color="auto"/>
            <w:bottom w:val="none" w:sz="0" w:space="0" w:color="auto"/>
            <w:right w:val="none" w:sz="0" w:space="0" w:color="auto"/>
          </w:divBdr>
        </w:div>
        <w:div w:id="1757744438">
          <w:marLeft w:val="640"/>
          <w:marRight w:val="0"/>
          <w:marTop w:val="0"/>
          <w:marBottom w:val="0"/>
          <w:divBdr>
            <w:top w:val="none" w:sz="0" w:space="0" w:color="auto"/>
            <w:left w:val="none" w:sz="0" w:space="0" w:color="auto"/>
            <w:bottom w:val="none" w:sz="0" w:space="0" w:color="auto"/>
            <w:right w:val="none" w:sz="0" w:space="0" w:color="auto"/>
          </w:divBdr>
        </w:div>
        <w:div w:id="2070493128">
          <w:marLeft w:val="640"/>
          <w:marRight w:val="0"/>
          <w:marTop w:val="0"/>
          <w:marBottom w:val="0"/>
          <w:divBdr>
            <w:top w:val="none" w:sz="0" w:space="0" w:color="auto"/>
            <w:left w:val="none" w:sz="0" w:space="0" w:color="auto"/>
            <w:bottom w:val="none" w:sz="0" w:space="0" w:color="auto"/>
            <w:right w:val="none" w:sz="0" w:space="0" w:color="auto"/>
          </w:divBdr>
        </w:div>
        <w:div w:id="609315646">
          <w:marLeft w:val="640"/>
          <w:marRight w:val="0"/>
          <w:marTop w:val="0"/>
          <w:marBottom w:val="0"/>
          <w:divBdr>
            <w:top w:val="none" w:sz="0" w:space="0" w:color="auto"/>
            <w:left w:val="none" w:sz="0" w:space="0" w:color="auto"/>
            <w:bottom w:val="none" w:sz="0" w:space="0" w:color="auto"/>
            <w:right w:val="none" w:sz="0" w:space="0" w:color="auto"/>
          </w:divBdr>
        </w:div>
        <w:div w:id="855197680">
          <w:marLeft w:val="640"/>
          <w:marRight w:val="0"/>
          <w:marTop w:val="0"/>
          <w:marBottom w:val="0"/>
          <w:divBdr>
            <w:top w:val="none" w:sz="0" w:space="0" w:color="auto"/>
            <w:left w:val="none" w:sz="0" w:space="0" w:color="auto"/>
            <w:bottom w:val="none" w:sz="0" w:space="0" w:color="auto"/>
            <w:right w:val="none" w:sz="0" w:space="0" w:color="auto"/>
          </w:divBdr>
        </w:div>
        <w:div w:id="1084956742">
          <w:marLeft w:val="640"/>
          <w:marRight w:val="0"/>
          <w:marTop w:val="0"/>
          <w:marBottom w:val="0"/>
          <w:divBdr>
            <w:top w:val="none" w:sz="0" w:space="0" w:color="auto"/>
            <w:left w:val="none" w:sz="0" w:space="0" w:color="auto"/>
            <w:bottom w:val="none" w:sz="0" w:space="0" w:color="auto"/>
            <w:right w:val="none" w:sz="0" w:space="0" w:color="auto"/>
          </w:divBdr>
        </w:div>
        <w:div w:id="1884705628">
          <w:marLeft w:val="640"/>
          <w:marRight w:val="0"/>
          <w:marTop w:val="0"/>
          <w:marBottom w:val="0"/>
          <w:divBdr>
            <w:top w:val="none" w:sz="0" w:space="0" w:color="auto"/>
            <w:left w:val="none" w:sz="0" w:space="0" w:color="auto"/>
            <w:bottom w:val="none" w:sz="0" w:space="0" w:color="auto"/>
            <w:right w:val="none" w:sz="0" w:space="0" w:color="auto"/>
          </w:divBdr>
        </w:div>
        <w:div w:id="572932019">
          <w:marLeft w:val="640"/>
          <w:marRight w:val="0"/>
          <w:marTop w:val="0"/>
          <w:marBottom w:val="0"/>
          <w:divBdr>
            <w:top w:val="none" w:sz="0" w:space="0" w:color="auto"/>
            <w:left w:val="none" w:sz="0" w:space="0" w:color="auto"/>
            <w:bottom w:val="none" w:sz="0" w:space="0" w:color="auto"/>
            <w:right w:val="none" w:sz="0" w:space="0" w:color="auto"/>
          </w:divBdr>
        </w:div>
        <w:div w:id="112217596">
          <w:marLeft w:val="640"/>
          <w:marRight w:val="0"/>
          <w:marTop w:val="0"/>
          <w:marBottom w:val="0"/>
          <w:divBdr>
            <w:top w:val="none" w:sz="0" w:space="0" w:color="auto"/>
            <w:left w:val="none" w:sz="0" w:space="0" w:color="auto"/>
            <w:bottom w:val="none" w:sz="0" w:space="0" w:color="auto"/>
            <w:right w:val="none" w:sz="0" w:space="0" w:color="auto"/>
          </w:divBdr>
        </w:div>
        <w:div w:id="613828315">
          <w:marLeft w:val="640"/>
          <w:marRight w:val="0"/>
          <w:marTop w:val="0"/>
          <w:marBottom w:val="0"/>
          <w:divBdr>
            <w:top w:val="none" w:sz="0" w:space="0" w:color="auto"/>
            <w:left w:val="none" w:sz="0" w:space="0" w:color="auto"/>
            <w:bottom w:val="none" w:sz="0" w:space="0" w:color="auto"/>
            <w:right w:val="none" w:sz="0" w:space="0" w:color="auto"/>
          </w:divBdr>
        </w:div>
        <w:div w:id="1402606652">
          <w:marLeft w:val="640"/>
          <w:marRight w:val="0"/>
          <w:marTop w:val="0"/>
          <w:marBottom w:val="0"/>
          <w:divBdr>
            <w:top w:val="none" w:sz="0" w:space="0" w:color="auto"/>
            <w:left w:val="none" w:sz="0" w:space="0" w:color="auto"/>
            <w:bottom w:val="none" w:sz="0" w:space="0" w:color="auto"/>
            <w:right w:val="none" w:sz="0" w:space="0" w:color="auto"/>
          </w:divBdr>
        </w:div>
        <w:div w:id="980580337">
          <w:marLeft w:val="640"/>
          <w:marRight w:val="0"/>
          <w:marTop w:val="0"/>
          <w:marBottom w:val="0"/>
          <w:divBdr>
            <w:top w:val="none" w:sz="0" w:space="0" w:color="auto"/>
            <w:left w:val="none" w:sz="0" w:space="0" w:color="auto"/>
            <w:bottom w:val="none" w:sz="0" w:space="0" w:color="auto"/>
            <w:right w:val="none" w:sz="0" w:space="0" w:color="auto"/>
          </w:divBdr>
        </w:div>
        <w:div w:id="530917665">
          <w:marLeft w:val="640"/>
          <w:marRight w:val="0"/>
          <w:marTop w:val="0"/>
          <w:marBottom w:val="0"/>
          <w:divBdr>
            <w:top w:val="none" w:sz="0" w:space="0" w:color="auto"/>
            <w:left w:val="none" w:sz="0" w:space="0" w:color="auto"/>
            <w:bottom w:val="none" w:sz="0" w:space="0" w:color="auto"/>
            <w:right w:val="none" w:sz="0" w:space="0" w:color="auto"/>
          </w:divBdr>
        </w:div>
        <w:div w:id="1797021162">
          <w:marLeft w:val="640"/>
          <w:marRight w:val="0"/>
          <w:marTop w:val="0"/>
          <w:marBottom w:val="0"/>
          <w:divBdr>
            <w:top w:val="none" w:sz="0" w:space="0" w:color="auto"/>
            <w:left w:val="none" w:sz="0" w:space="0" w:color="auto"/>
            <w:bottom w:val="none" w:sz="0" w:space="0" w:color="auto"/>
            <w:right w:val="none" w:sz="0" w:space="0" w:color="auto"/>
          </w:divBdr>
        </w:div>
        <w:div w:id="987635204">
          <w:marLeft w:val="640"/>
          <w:marRight w:val="0"/>
          <w:marTop w:val="0"/>
          <w:marBottom w:val="0"/>
          <w:divBdr>
            <w:top w:val="none" w:sz="0" w:space="0" w:color="auto"/>
            <w:left w:val="none" w:sz="0" w:space="0" w:color="auto"/>
            <w:bottom w:val="none" w:sz="0" w:space="0" w:color="auto"/>
            <w:right w:val="none" w:sz="0" w:space="0" w:color="auto"/>
          </w:divBdr>
        </w:div>
        <w:div w:id="1523668840">
          <w:marLeft w:val="640"/>
          <w:marRight w:val="0"/>
          <w:marTop w:val="0"/>
          <w:marBottom w:val="0"/>
          <w:divBdr>
            <w:top w:val="none" w:sz="0" w:space="0" w:color="auto"/>
            <w:left w:val="none" w:sz="0" w:space="0" w:color="auto"/>
            <w:bottom w:val="none" w:sz="0" w:space="0" w:color="auto"/>
            <w:right w:val="none" w:sz="0" w:space="0" w:color="auto"/>
          </w:divBdr>
        </w:div>
        <w:div w:id="310793597">
          <w:marLeft w:val="640"/>
          <w:marRight w:val="0"/>
          <w:marTop w:val="0"/>
          <w:marBottom w:val="0"/>
          <w:divBdr>
            <w:top w:val="none" w:sz="0" w:space="0" w:color="auto"/>
            <w:left w:val="none" w:sz="0" w:space="0" w:color="auto"/>
            <w:bottom w:val="none" w:sz="0" w:space="0" w:color="auto"/>
            <w:right w:val="none" w:sz="0" w:space="0" w:color="auto"/>
          </w:divBdr>
        </w:div>
        <w:div w:id="679817494">
          <w:marLeft w:val="640"/>
          <w:marRight w:val="0"/>
          <w:marTop w:val="0"/>
          <w:marBottom w:val="0"/>
          <w:divBdr>
            <w:top w:val="none" w:sz="0" w:space="0" w:color="auto"/>
            <w:left w:val="none" w:sz="0" w:space="0" w:color="auto"/>
            <w:bottom w:val="none" w:sz="0" w:space="0" w:color="auto"/>
            <w:right w:val="none" w:sz="0" w:space="0" w:color="auto"/>
          </w:divBdr>
        </w:div>
        <w:div w:id="1445928275">
          <w:marLeft w:val="640"/>
          <w:marRight w:val="0"/>
          <w:marTop w:val="0"/>
          <w:marBottom w:val="0"/>
          <w:divBdr>
            <w:top w:val="none" w:sz="0" w:space="0" w:color="auto"/>
            <w:left w:val="none" w:sz="0" w:space="0" w:color="auto"/>
            <w:bottom w:val="none" w:sz="0" w:space="0" w:color="auto"/>
            <w:right w:val="none" w:sz="0" w:space="0" w:color="auto"/>
          </w:divBdr>
        </w:div>
      </w:divsChild>
    </w:div>
    <w:div w:id="851535392">
      <w:bodyDiv w:val="1"/>
      <w:marLeft w:val="0"/>
      <w:marRight w:val="0"/>
      <w:marTop w:val="0"/>
      <w:marBottom w:val="0"/>
      <w:divBdr>
        <w:top w:val="none" w:sz="0" w:space="0" w:color="auto"/>
        <w:left w:val="none" w:sz="0" w:space="0" w:color="auto"/>
        <w:bottom w:val="none" w:sz="0" w:space="0" w:color="auto"/>
        <w:right w:val="none" w:sz="0" w:space="0" w:color="auto"/>
      </w:divBdr>
      <w:divsChild>
        <w:div w:id="725034967">
          <w:marLeft w:val="640"/>
          <w:marRight w:val="0"/>
          <w:marTop w:val="0"/>
          <w:marBottom w:val="0"/>
          <w:divBdr>
            <w:top w:val="none" w:sz="0" w:space="0" w:color="auto"/>
            <w:left w:val="none" w:sz="0" w:space="0" w:color="auto"/>
            <w:bottom w:val="none" w:sz="0" w:space="0" w:color="auto"/>
            <w:right w:val="none" w:sz="0" w:space="0" w:color="auto"/>
          </w:divBdr>
        </w:div>
        <w:div w:id="634794894">
          <w:marLeft w:val="640"/>
          <w:marRight w:val="0"/>
          <w:marTop w:val="0"/>
          <w:marBottom w:val="0"/>
          <w:divBdr>
            <w:top w:val="none" w:sz="0" w:space="0" w:color="auto"/>
            <w:left w:val="none" w:sz="0" w:space="0" w:color="auto"/>
            <w:bottom w:val="none" w:sz="0" w:space="0" w:color="auto"/>
            <w:right w:val="none" w:sz="0" w:space="0" w:color="auto"/>
          </w:divBdr>
        </w:div>
        <w:div w:id="52312553">
          <w:marLeft w:val="640"/>
          <w:marRight w:val="0"/>
          <w:marTop w:val="0"/>
          <w:marBottom w:val="0"/>
          <w:divBdr>
            <w:top w:val="none" w:sz="0" w:space="0" w:color="auto"/>
            <w:left w:val="none" w:sz="0" w:space="0" w:color="auto"/>
            <w:bottom w:val="none" w:sz="0" w:space="0" w:color="auto"/>
            <w:right w:val="none" w:sz="0" w:space="0" w:color="auto"/>
          </w:divBdr>
        </w:div>
        <w:div w:id="611323440">
          <w:marLeft w:val="640"/>
          <w:marRight w:val="0"/>
          <w:marTop w:val="0"/>
          <w:marBottom w:val="0"/>
          <w:divBdr>
            <w:top w:val="none" w:sz="0" w:space="0" w:color="auto"/>
            <w:left w:val="none" w:sz="0" w:space="0" w:color="auto"/>
            <w:bottom w:val="none" w:sz="0" w:space="0" w:color="auto"/>
            <w:right w:val="none" w:sz="0" w:space="0" w:color="auto"/>
          </w:divBdr>
        </w:div>
        <w:div w:id="740298038">
          <w:marLeft w:val="640"/>
          <w:marRight w:val="0"/>
          <w:marTop w:val="0"/>
          <w:marBottom w:val="0"/>
          <w:divBdr>
            <w:top w:val="none" w:sz="0" w:space="0" w:color="auto"/>
            <w:left w:val="none" w:sz="0" w:space="0" w:color="auto"/>
            <w:bottom w:val="none" w:sz="0" w:space="0" w:color="auto"/>
            <w:right w:val="none" w:sz="0" w:space="0" w:color="auto"/>
          </w:divBdr>
        </w:div>
        <w:div w:id="1391733758">
          <w:marLeft w:val="640"/>
          <w:marRight w:val="0"/>
          <w:marTop w:val="0"/>
          <w:marBottom w:val="0"/>
          <w:divBdr>
            <w:top w:val="none" w:sz="0" w:space="0" w:color="auto"/>
            <w:left w:val="none" w:sz="0" w:space="0" w:color="auto"/>
            <w:bottom w:val="none" w:sz="0" w:space="0" w:color="auto"/>
            <w:right w:val="none" w:sz="0" w:space="0" w:color="auto"/>
          </w:divBdr>
        </w:div>
        <w:div w:id="1975914389">
          <w:marLeft w:val="640"/>
          <w:marRight w:val="0"/>
          <w:marTop w:val="0"/>
          <w:marBottom w:val="0"/>
          <w:divBdr>
            <w:top w:val="none" w:sz="0" w:space="0" w:color="auto"/>
            <w:left w:val="none" w:sz="0" w:space="0" w:color="auto"/>
            <w:bottom w:val="none" w:sz="0" w:space="0" w:color="auto"/>
            <w:right w:val="none" w:sz="0" w:space="0" w:color="auto"/>
          </w:divBdr>
        </w:div>
        <w:div w:id="2090929985">
          <w:marLeft w:val="640"/>
          <w:marRight w:val="0"/>
          <w:marTop w:val="0"/>
          <w:marBottom w:val="0"/>
          <w:divBdr>
            <w:top w:val="none" w:sz="0" w:space="0" w:color="auto"/>
            <w:left w:val="none" w:sz="0" w:space="0" w:color="auto"/>
            <w:bottom w:val="none" w:sz="0" w:space="0" w:color="auto"/>
            <w:right w:val="none" w:sz="0" w:space="0" w:color="auto"/>
          </w:divBdr>
        </w:div>
        <w:div w:id="235938501">
          <w:marLeft w:val="640"/>
          <w:marRight w:val="0"/>
          <w:marTop w:val="0"/>
          <w:marBottom w:val="0"/>
          <w:divBdr>
            <w:top w:val="none" w:sz="0" w:space="0" w:color="auto"/>
            <w:left w:val="none" w:sz="0" w:space="0" w:color="auto"/>
            <w:bottom w:val="none" w:sz="0" w:space="0" w:color="auto"/>
            <w:right w:val="none" w:sz="0" w:space="0" w:color="auto"/>
          </w:divBdr>
        </w:div>
        <w:div w:id="976183187">
          <w:marLeft w:val="640"/>
          <w:marRight w:val="0"/>
          <w:marTop w:val="0"/>
          <w:marBottom w:val="0"/>
          <w:divBdr>
            <w:top w:val="none" w:sz="0" w:space="0" w:color="auto"/>
            <w:left w:val="none" w:sz="0" w:space="0" w:color="auto"/>
            <w:bottom w:val="none" w:sz="0" w:space="0" w:color="auto"/>
            <w:right w:val="none" w:sz="0" w:space="0" w:color="auto"/>
          </w:divBdr>
        </w:div>
        <w:div w:id="670528694">
          <w:marLeft w:val="640"/>
          <w:marRight w:val="0"/>
          <w:marTop w:val="0"/>
          <w:marBottom w:val="0"/>
          <w:divBdr>
            <w:top w:val="none" w:sz="0" w:space="0" w:color="auto"/>
            <w:left w:val="none" w:sz="0" w:space="0" w:color="auto"/>
            <w:bottom w:val="none" w:sz="0" w:space="0" w:color="auto"/>
            <w:right w:val="none" w:sz="0" w:space="0" w:color="auto"/>
          </w:divBdr>
        </w:div>
        <w:div w:id="389427998">
          <w:marLeft w:val="640"/>
          <w:marRight w:val="0"/>
          <w:marTop w:val="0"/>
          <w:marBottom w:val="0"/>
          <w:divBdr>
            <w:top w:val="none" w:sz="0" w:space="0" w:color="auto"/>
            <w:left w:val="none" w:sz="0" w:space="0" w:color="auto"/>
            <w:bottom w:val="none" w:sz="0" w:space="0" w:color="auto"/>
            <w:right w:val="none" w:sz="0" w:space="0" w:color="auto"/>
          </w:divBdr>
        </w:div>
        <w:div w:id="1318001183">
          <w:marLeft w:val="640"/>
          <w:marRight w:val="0"/>
          <w:marTop w:val="0"/>
          <w:marBottom w:val="0"/>
          <w:divBdr>
            <w:top w:val="none" w:sz="0" w:space="0" w:color="auto"/>
            <w:left w:val="none" w:sz="0" w:space="0" w:color="auto"/>
            <w:bottom w:val="none" w:sz="0" w:space="0" w:color="auto"/>
            <w:right w:val="none" w:sz="0" w:space="0" w:color="auto"/>
          </w:divBdr>
        </w:div>
        <w:div w:id="1971473916">
          <w:marLeft w:val="640"/>
          <w:marRight w:val="0"/>
          <w:marTop w:val="0"/>
          <w:marBottom w:val="0"/>
          <w:divBdr>
            <w:top w:val="none" w:sz="0" w:space="0" w:color="auto"/>
            <w:left w:val="none" w:sz="0" w:space="0" w:color="auto"/>
            <w:bottom w:val="none" w:sz="0" w:space="0" w:color="auto"/>
            <w:right w:val="none" w:sz="0" w:space="0" w:color="auto"/>
          </w:divBdr>
        </w:div>
        <w:div w:id="1948850923">
          <w:marLeft w:val="640"/>
          <w:marRight w:val="0"/>
          <w:marTop w:val="0"/>
          <w:marBottom w:val="0"/>
          <w:divBdr>
            <w:top w:val="none" w:sz="0" w:space="0" w:color="auto"/>
            <w:left w:val="none" w:sz="0" w:space="0" w:color="auto"/>
            <w:bottom w:val="none" w:sz="0" w:space="0" w:color="auto"/>
            <w:right w:val="none" w:sz="0" w:space="0" w:color="auto"/>
          </w:divBdr>
        </w:div>
        <w:div w:id="365299987">
          <w:marLeft w:val="640"/>
          <w:marRight w:val="0"/>
          <w:marTop w:val="0"/>
          <w:marBottom w:val="0"/>
          <w:divBdr>
            <w:top w:val="none" w:sz="0" w:space="0" w:color="auto"/>
            <w:left w:val="none" w:sz="0" w:space="0" w:color="auto"/>
            <w:bottom w:val="none" w:sz="0" w:space="0" w:color="auto"/>
            <w:right w:val="none" w:sz="0" w:space="0" w:color="auto"/>
          </w:divBdr>
        </w:div>
        <w:div w:id="2068920367">
          <w:marLeft w:val="640"/>
          <w:marRight w:val="0"/>
          <w:marTop w:val="0"/>
          <w:marBottom w:val="0"/>
          <w:divBdr>
            <w:top w:val="none" w:sz="0" w:space="0" w:color="auto"/>
            <w:left w:val="none" w:sz="0" w:space="0" w:color="auto"/>
            <w:bottom w:val="none" w:sz="0" w:space="0" w:color="auto"/>
            <w:right w:val="none" w:sz="0" w:space="0" w:color="auto"/>
          </w:divBdr>
        </w:div>
        <w:div w:id="1838106571">
          <w:marLeft w:val="640"/>
          <w:marRight w:val="0"/>
          <w:marTop w:val="0"/>
          <w:marBottom w:val="0"/>
          <w:divBdr>
            <w:top w:val="none" w:sz="0" w:space="0" w:color="auto"/>
            <w:left w:val="none" w:sz="0" w:space="0" w:color="auto"/>
            <w:bottom w:val="none" w:sz="0" w:space="0" w:color="auto"/>
            <w:right w:val="none" w:sz="0" w:space="0" w:color="auto"/>
          </w:divBdr>
        </w:div>
        <w:div w:id="478304243">
          <w:marLeft w:val="640"/>
          <w:marRight w:val="0"/>
          <w:marTop w:val="0"/>
          <w:marBottom w:val="0"/>
          <w:divBdr>
            <w:top w:val="none" w:sz="0" w:space="0" w:color="auto"/>
            <w:left w:val="none" w:sz="0" w:space="0" w:color="auto"/>
            <w:bottom w:val="none" w:sz="0" w:space="0" w:color="auto"/>
            <w:right w:val="none" w:sz="0" w:space="0" w:color="auto"/>
          </w:divBdr>
        </w:div>
        <w:div w:id="150097393">
          <w:marLeft w:val="640"/>
          <w:marRight w:val="0"/>
          <w:marTop w:val="0"/>
          <w:marBottom w:val="0"/>
          <w:divBdr>
            <w:top w:val="none" w:sz="0" w:space="0" w:color="auto"/>
            <w:left w:val="none" w:sz="0" w:space="0" w:color="auto"/>
            <w:bottom w:val="none" w:sz="0" w:space="0" w:color="auto"/>
            <w:right w:val="none" w:sz="0" w:space="0" w:color="auto"/>
          </w:divBdr>
        </w:div>
        <w:div w:id="1224750780">
          <w:marLeft w:val="640"/>
          <w:marRight w:val="0"/>
          <w:marTop w:val="0"/>
          <w:marBottom w:val="0"/>
          <w:divBdr>
            <w:top w:val="none" w:sz="0" w:space="0" w:color="auto"/>
            <w:left w:val="none" w:sz="0" w:space="0" w:color="auto"/>
            <w:bottom w:val="none" w:sz="0" w:space="0" w:color="auto"/>
            <w:right w:val="none" w:sz="0" w:space="0" w:color="auto"/>
          </w:divBdr>
        </w:div>
        <w:div w:id="1621573515">
          <w:marLeft w:val="640"/>
          <w:marRight w:val="0"/>
          <w:marTop w:val="0"/>
          <w:marBottom w:val="0"/>
          <w:divBdr>
            <w:top w:val="none" w:sz="0" w:space="0" w:color="auto"/>
            <w:left w:val="none" w:sz="0" w:space="0" w:color="auto"/>
            <w:bottom w:val="none" w:sz="0" w:space="0" w:color="auto"/>
            <w:right w:val="none" w:sz="0" w:space="0" w:color="auto"/>
          </w:divBdr>
        </w:div>
        <w:div w:id="791675893">
          <w:marLeft w:val="640"/>
          <w:marRight w:val="0"/>
          <w:marTop w:val="0"/>
          <w:marBottom w:val="0"/>
          <w:divBdr>
            <w:top w:val="none" w:sz="0" w:space="0" w:color="auto"/>
            <w:left w:val="none" w:sz="0" w:space="0" w:color="auto"/>
            <w:bottom w:val="none" w:sz="0" w:space="0" w:color="auto"/>
            <w:right w:val="none" w:sz="0" w:space="0" w:color="auto"/>
          </w:divBdr>
        </w:div>
        <w:div w:id="1220480707">
          <w:marLeft w:val="640"/>
          <w:marRight w:val="0"/>
          <w:marTop w:val="0"/>
          <w:marBottom w:val="0"/>
          <w:divBdr>
            <w:top w:val="none" w:sz="0" w:space="0" w:color="auto"/>
            <w:left w:val="none" w:sz="0" w:space="0" w:color="auto"/>
            <w:bottom w:val="none" w:sz="0" w:space="0" w:color="auto"/>
            <w:right w:val="none" w:sz="0" w:space="0" w:color="auto"/>
          </w:divBdr>
        </w:div>
        <w:div w:id="493451587">
          <w:marLeft w:val="640"/>
          <w:marRight w:val="0"/>
          <w:marTop w:val="0"/>
          <w:marBottom w:val="0"/>
          <w:divBdr>
            <w:top w:val="none" w:sz="0" w:space="0" w:color="auto"/>
            <w:left w:val="none" w:sz="0" w:space="0" w:color="auto"/>
            <w:bottom w:val="none" w:sz="0" w:space="0" w:color="auto"/>
            <w:right w:val="none" w:sz="0" w:space="0" w:color="auto"/>
          </w:divBdr>
        </w:div>
        <w:div w:id="1411073619">
          <w:marLeft w:val="640"/>
          <w:marRight w:val="0"/>
          <w:marTop w:val="0"/>
          <w:marBottom w:val="0"/>
          <w:divBdr>
            <w:top w:val="none" w:sz="0" w:space="0" w:color="auto"/>
            <w:left w:val="none" w:sz="0" w:space="0" w:color="auto"/>
            <w:bottom w:val="none" w:sz="0" w:space="0" w:color="auto"/>
            <w:right w:val="none" w:sz="0" w:space="0" w:color="auto"/>
          </w:divBdr>
        </w:div>
        <w:div w:id="33317303">
          <w:marLeft w:val="640"/>
          <w:marRight w:val="0"/>
          <w:marTop w:val="0"/>
          <w:marBottom w:val="0"/>
          <w:divBdr>
            <w:top w:val="none" w:sz="0" w:space="0" w:color="auto"/>
            <w:left w:val="none" w:sz="0" w:space="0" w:color="auto"/>
            <w:bottom w:val="none" w:sz="0" w:space="0" w:color="auto"/>
            <w:right w:val="none" w:sz="0" w:space="0" w:color="auto"/>
          </w:divBdr>
        </w:div>
        <w:div w:id="1368994596">
          <w:marLeft w:val="640"/>
          <w:marRight w:val="0"/>
          <w:marTop w:val="0"/>
          <w:marBottom w:val="0"/>
          <w:divBdr>
            <w:top w:val="none" w:sz="0" w:space="0" w:color="auto"/>
            <w:left w:val="none" w:sz="0" w:space="0" w:color="auto"/>
            <w:bottom w:val="none" w:sz="0" w:space="0" w:color="auto"/>
            <w:right w:val="none" w:sz="0" w:space="0" w:color="auto"/>
          </w:divBdr>
        </w:div>
        <w:div w:id="1551990258">
          <w:marLeft w:val="640"/>
          <w:marRight w:val="0"/>
          <w:marTop w:val="0"/>
          <w:marBottom w:val="0"/>
          <w:divBdr>
            <w:top w:val="none" w:sz="0" w:space="0" w:color="auto"/>
            <w:left w:val="none" w:sz="0" w:space="0" w:color="auto"/>
            <w:bottom w:val="none" w:sz="0" w:space="0" w:color="auto"/>
            <w:right w:val="none" w:sz="0" w:space="0" w:color="auto"/>
          </w:divBdr>
        </w:div>
        <w:div w:id="385185804">
          <w:marLeft w:val="640"/>
          <w:marRight w:val="0"/>
          <w:marTop w:val="0"/>
          <w:marBottom w:val="0"/>
          <w:divBdr>
            <w:top w:val="none" w:sz="0" w:space="0" w:color="auto"/>
            <w:left w:val="none" w:sz="0" w:space="0" w:color="auto"/>
            <w:bottom w:val="none" w:sz="0" w:space="0" w:color="auto"/>
            <w:right w:val="none" w:sz="0" w:space="0" w:color="auto"/>
          </w:divBdr>
        </w:div>
        <w:div w:id="1762751627">
          <w:marLeft w:val="640"/>
          <w:marRight w:val="0"/>
          <w:marTop w:val="0"/>
          <w:marBottom w:val="0"/>
          <w:divBdr>
            <w:top w:val="none" w:sz="0" w:space="0" w:color="auto"/>
            <w:left w:val="none" w:sz="0" w:space="0" w:color="auto"/>
            <w:bottom w:val="none" w:sz="0" w:space="0" w:color="auto"/>
            <w:right w:val="none" w:sz="0" w:space="0" w:color="auto"/>
          </w:divBdr>
        </w:div>
        <w:div w:id="1991515070">
          <w:marLeft w:val="640"/>
          <w:marRight w:val="0"/>
          <w:marTop w:val="0"/>
          <w:marBottom w:val="0"/>
          <w:divBdr>
            <w:top w:val="none" w:sz="0" w:space="0" w:color="auto"/>
            <w:left w:val="none" w:sz="0" w:space="0" w:color="auto"/>
            <w:bottom w:val="none" w:sz="0" w:space="0" w:color="auto"/>
            <w:right w:val="none" w:sz="0" w:space="0" w:color="auto"/>
          </w:divBdr>
        </w:div>
        <w:div w:id="1141847617">
          <w:marLeft w:val="640"/>
          <w:marRight w:val="0"/>
          <w:marTop w:val="0"/>
          <w:marBottom w:val="0"/>
          <w:divBdr>
            <w:top w:val="none" w:sz="0" w:space="0" w:color="auto"/>
            <w:left w:val="none" w:sz="0" w:space="0" w:color="auto"/>
            <w:bottom w:val="none" w:sz="0" w:space="0" w:color="auto"/>
            <w:right w:val="none" w:sz="0" w:space="0" w:color="auto"/>
          </w:divBdr>
        </w:div>
        <w:div w:id="2130853914">
          <w:marLeft w:val="640"/>
          <w:marRight w:val="0"/>
          <w:marTop w:val="0"/>
          <w:marBottom w:val="0"/>
          <w:divBdr>
            <w:top w:val="none" w:sz="0" w:space="0" w:color="auto"/>
            <w:left w:val="none" w:sz="0" w:space="0" w:color="auto"/>
            <w:bottom w:val="none" w:sz="0" w:space="0" w:color="auto"/>
            <w:right w:val="none" w:sz="0" w:space="0" w:color="auto"/>
          </w:divBdr>
        </w:div>
        <w:div w:id="1234583923">
          <w:marLeft w:val="640"/>
          <w:marRight w:val="0"/>
          <w:marTop w:val="0"/>
          <w:marBottom w:val="0"/>
          <w:divBdr>
            <w:top w:val="none" w:sz="0" w:space="0" w:color="auto"/>
            <w:left w:val="none" w:sz="0" w:space="0" w:color="auto"/>
            <w:bottom w:val="none" w:sz="0" w:space="0" w:color="auto"/>
            <w:right w:val="none" w:sz="0" w:space="0" w:color="auto"/>
          </w:divBdr>
        </w:div>
        <w:div w:id="858550155">
          <w:marLeft w:val="640"/>
          <w:marRight w:val="0"/>
          <w:marTop w:val="0"/>
          <w:marBottom w:val="0"/>
          <w:divBdr>
            <w:top w:val="none" w:sz="0" w:space="0" w:color="auto"/>
            <w:left w:val="none" w:sz="0" w:space="0" w:color="auto"/>
            <w:bottom w:val="none" w:sz="0" w:space="0" w:color="auto"/>
            <w:right w:val="none" w:sz="0" w:space="0" w:color="auto"/>
          </w:divBdr>
        </w:div>
        <w:div w:id="1989166793">
          <w:marLeft w:val="640"/>
          <w:marRight w:val="0"/>
          <w:marTop w:val="0"/>
          <w:marBottom w:val="0"/>
          <w:divBdr>
            <w:top w:val="none" w:sz="0" w:space="0" w:color="auto"/>
            <w:left w:val="none" w:sz="0" w:space="0" w:color="auto"/>
            <w:bottom w:val="none" w:sz="0" w:space="0" w:color="auto"/>
            <w:right w:val="none" w:sz="0" w:space="0" w:color="auto"/>
          </w:divBdr>
        </w:div>
        <w:div w:id="766972171">
          <w:marLeft w:val="640"/>
          <w:marRight w:val="0"/>
          <w:marTop w:val="0"/>
          <w:marBottom w:val="0"/>
          <w:divBdr>
            <w:top w:val="none" w:sz="0" w:space="0" w:color="auto"/>
            <w:left w:val="none" w:sz="0" w:space="0" w:color="auto"/>
            <w:bottom w:val="none" w:sz="0" w:space="0" w:color="auto"/>
            <w:right w:val="none" w:sz="0" w:space="0" w:color="auto"/>
          </w:divBdr>
        </w:div>
        <w:div w:id="1594315996">
          <w:marLeft w:val="640"/>
          <w:marRight w:val="0"/>
          <w:marTop w:val="0"/>
          <w:marBottom w:val="0"/>
          <w:divBdr>
            <w:top w:val="none" w:sz="0" w:space="0" w:color="auto"/>
            <w:left w:val="none" w:sz="0" w:space="0" w:color="auto"/>
            <w:bottom w:val="none" w:sz="0" w:space="0" w:color="auto"/>
            <w:right w:val="none" w:sz="0" w:space="0" w:color="auto"/>
          </w:divBdr>
        </w:div>
        <w:div w:id="359555953">
          <w:marLeft w:val="640"/>
          <w:marRight w:val="0"/>
          <w:marTop w:val="0"/>
          <w:marBottom w:val="0"/>
          <w:divBdr>
            <w:top w:val="none" w:sz="0" w:space="0" w:color="auto"/>
            <w:left w:val="none" w:sz="0" w:space="0" w:color="auto"/>
            <w:bottom w:val="none" w:sz="0" w:space="0" w:color="auto"/>
            <w:right w:val="none" w:sz="0" w:space="0" w:color="auto"/>
          </w:divBdr>
        </w:div>
        <w:div w:id="1079715855">
          <w:marLeft w:val="640"/>
          <w:marRight w:val="0"/>
          <w:marTop w:val="0"/>
          <w:marBottom w:val="0"/>
          <w:divBdr>
            <w:top w:val="none" w:sz="0" w:space="0" w:color="auto"/>
            <w:left w:val="none" w:sz="0" w:space="0" w:color="auto"/>
            <w:bottom w:val="none" w:sz="0" w:space="0" w:color="auto"/>
            <w:right w:val="none" w:sz="0" w:space="0" w:color="auto"/>
          </w:divBdr>
        </w:div>
        <w:div w:id="479998946">
          <w:marLeft w:val="640"/>
          <w:marRight w:val="0"/>
          <w:marTop w:val="0"/>
          <w:marBottom w:val="0"/>
          <w:divBdr>
            <w:top w:val="none" w:sz="0" w:space="0" w:color="auto"/>
            <w:left w:val="none" w:sz="0" w:space="0" w:color="auto"/>
            <w:bottom w:val="none" w:sz="0" w:space="0" w:color="auto"/>
            <w:right w:val="none" w:sz="0" w:space="0" w:color="auto"/>
          </w:divBdr>
        </w:div>
        <w:div w:id="2071994671">
          <w:marLeft w:val="640"/>
          <w:marRight w:val="0"/>
          <w:marTop w:val="0"/>
          <w:marBottom w:val="0"/>
          <w:divBdr>
            <w:top w:val="none" w:sz="0" w:space="0" w:color="auto"/>
            <w:left w:val="none" w:sz="0" w:space="0" w:color="auto"/>
            <w:bottom w:val="none" w:sz="0" w:space="0" w:color="auto"/>
            <w:right w:val="none" w:sz="0" w:space="0" w:color="auto"/>
          </w:divBdr>
        </w:div>
        <w:div w:id="519004480">
          <w:marLeft w:val="640"/>
          <w:marRight w:val="0"/>
          <w:marTop w:val="0"/>
          <w:marBottom w:val="0"/>
          <w:divBdr>
            <w:top w:val="none" w:sz="0" w:space="0" w:color="auto"/>
            <w:left w:val="none" w:sz="0" w:space="0" w:color="auto"/>
            <w:bottom w:val="none" w:sz="0" w:space="0" w:color="auto"/>
            <w:right w:val="none" w:sz="0" w:space="0" w:color="auto"/>
          </w:divBdr>
        </w:div>
        <w:div w:id="1925720685">
          <w:marLeft w:val="640"/>
          <w:marRight w:val="0"/>
          <w:marTop w:val="0"/>
          <w:marBottom w:val="0"/>
          <w:divBdr>
            <w:top w:val="none" w:sz="0" w:space="0" w:color="auto"/>
            <w:left w:val="none" w:sz="0" w:space="0" w:color="auto"/>
            <w:bottom w:val="none" w:sz="0" w:space="0" w:color="auto"/>
            <w:right w:val="none" w:sz="0" w:space="0" w:color="auto"/>
          </w:divBdr>
        </w:div>
        <w:div w:id="204102668">
          <w:marLeft w:val="640"/>
          <w:marRight w:val="0"/>
          <w:marTop w:val="0"/>
          <w:marBottom w:val="0"/>
          <w:divBdr>
            <w:top w:val="none" w:sz="0" w:space="0" w:color="auto"/>
            <w:left w:val="none" w:sz="0" w:space="0" w:color="auto"/>
            <w:bottom w:val="none" w:sz="0" w:space="0" w:color="auto"/>
            <w:right w:val="none" w:sz="0" w:space="0" w:color="auto"/>
          </w:divBdr>
        </w:div>
        <w:div w:id="1966809959">
          <w:marLeft w:val="640"/>
          <w:marRight w:val="0"/>
          <w:marTop w:val="0"/>
          <w:marBottom w:val="0"/>
          <w:divBdr>
            <w:top w:val="none" w:sz="0" w:space="0" w:color="auto"/>
            <w:left w:val="none" w:sz="0" w:space="0" w:color="auto"/>
            <w:bottom w:val="none" w:sz="0" w:space="0" w:color="auto"/>
            <w:right w:val="none" w:sz="0" w:space="0" w:color="auto"/>
          </w:divBdr>
        </w:div>
        <w:div w:id="1171336741">
          <w:marLeft w:val="640"/>
          <w:marRight w:val="0"/>
          <w:marTop w:val="0"/>
          <w:marBottom w:val="0"/>
          <w:divBdr>
            <w:top w:val="none" w:sz="0" w:space="0" w:color="auto"/>
            <w:left w:val="none" w:sz="0" w:space="0" w:color="auto"/>
            <w:bottom w:val="none" w:sz="0" w:space="0" w:color="auto"/>
            <w:right w:val="none" w:sz="0" w:space="0" w:color="auto"/>
          </w:divBdr>
        </w:div>
        <w:div w:id="724335689">
          <w:marLeft w:val="640"/>
          <w:marRight w:val="0"/>
          <w:marTop w:val="0"/>
          <w:marBottom w:val="0"/>
          <w:divBdr>
            <w:top w:val="none" w:sz="0" w:space="0" w:color="auto"/>
            <w:left w:val="none" w:sz="0" w:space="0" w:color="auto"/>
            <w:bottom w:val="none" w:sz="0" w:space="0" w:color="auto"/>
            <w:right w:val="none" w:sz="0" w:space="0" w:color="auto"/>
          </w:divBdr>
        </w:div>
        <w:div w:id="1275291109">
          <w:marLeft w:val="640"/>
          <w:marRight w:val="0"/>
          <w:marTop w:val="0"/>
          <w:marBottom w:val="0"/>
          <w:divBdr>
            <w:top w:val="none" w:sz="0" w:space="0" w:color="auto"/>
            <w:left w:val="none" w:sz="0" w:space="0" w:color="auto"/>
            <w:bottom w:val="none" w:sz="0" w:space="0" w:color="auto"/>
            <w:right w:val="none" w:sz="0" w:space="0" w:color="auto"/>
          </w:divBdr>
        </w:div>
        <w:div w:id="519512851">
          <w:marLeft w:val="640"/>
          <w:marRight w:val="0"/>
          <w:marTop w:val="0"/>
          <w:marBottom w:val="0"/>
          <w:divBdr>
            <w:top w:val="none" w:sz="0" w:space="0" w:color="auto"/>
            <w:left w:val="none" w:sz="0" w:space="0" w:color="auto"/>
            <w:bottom w:val="none" w:sz="0" w:space="0" w:color="auto"/>
            <w:right w:val="none" w:sz="0" w:space="0" w:color="auto"/>
          </w:divBdr>
        </w:div>
        <w:div w:id="1681541385">
          <w:marLeft w:val="640"/>
          <w:marRight w:val="0"/>
          <w:marTop w:val="0"/>
          <w:marBottom w:val="0"/>
          <w:divBdr>
            <w:top w:val="none" w:sz="0" w:space="0" w:color="auto"/>
            <w:left w:val="none" w:sz="0" w:space="0" w:color="auto"/>
            <w:bottom w:val="none" w:sz="0" w:space="0" w:color="auto"/>
            <w:right w:val="none" w:sz="0" w:space="0" w:color="auto"/>
          </w:divBdr>
        </w:div>
        <w:div w:id="339237873">
          <w:marLeft w:val="640"/>
          <w:marRight w:val="0"/>
          <w:marTop w:val="0"/>
          <w:marBottom w:val="0"/>
          <w:divBdr>
            <w:top w:val="none" w:sz="0" w:space="0" w:color="auto"/>
            <w:left w:val="none" w:sz="0" w:space="0" w:color="auto"/>
            <w:bottom w:val="none" w:sz="0" w:space="0" w:color="auto"/>
            <w:right w:val="none" w:sz="0" w:space="0" w:color="auto"/>
          </w:divBdr>
        </w:div>
        <w:div w:id="871186280">
          <w:marLeft w:val="640"/>
          <w:marRight w:val="0"/>
          <w:marTop w:val="0"/>
          <w:marBottom w:val="0"/>
          <w:divBdr>
            <w:top w:val="none" w:sz="0" w:space="0" w:color="auto"/>
            <w:left w:val="none" w:sz="0" w:space="0" w:color="auto"/>
            <w:bottom w:val="none" w:sz="0" w:space="0" w:color="auto"/>
            <w:right w:val="none" w:sz="0" w:space="0" w:color="auto"/>
          </w:divBdr>
        </w:div>
        <w:div w:id="601456580">
          <w:marLeft w:val="640"/>
          <w:marRight w:val="0"/>
          <w:marTop w:val="0"/>
          <w:marBottom w:val="0"/>
          <w:divBdr>
            <w:top w:val="none" w:sz="0" w:space="0" w:color="auto"/>
            <w:left w:val="none" w:sz="0" w:space="0" w:color="auto"/>
            <w:bottom w:val="none" w:sz="0" w:space="0" w:color="auto"/>
            <w:right w:val="none" w:sz="0" w:space="0" w:color="auto"/>
          </w:divBdr>
        </w:div>
        <w:div w:id="186406081">
          <w:marLeft w:val="640"/>
          <w:marRight w:val="0"/>
          <w:marTop w:val="0"/>
          <w:marBottom w:val="0"/>
          <w:divBdr>
            <w:top w:val="none" w:sz="0" w:space="0" w:color="auto"/>
            <w:left w:val="none" w:sz="0" w:space="0" w:color="auto"/>
            <w:bottom w:val="none" w:sz="0" w:space="0" w:color="auto"/>
            <w:right w:val="none" w:sz="0" w:space="0" w:color="auto"/>
          </w:divBdr>
        </w:div>
        <w:div w:id="24135907">
          <w:marLeft w:val="640"/>
          <w:marRight w:val="0"/>
          <w:marTop w:val="0"/>
          <w:marBottom w:val="0"/>
          <w:divBdr>
            <w:top w:val="none" w:sz="0" w:space="0" w:color="auto"/>
            <w:left w:val="none" w:sz="0" w:space="0" w:color="auto"/>
            <w:bottom w:val="none" w:sz="0" w:space="0" w:color="auto"/>
            <w:right w:val="none" w:sz="0" w:space="0" w:color="auto"/>
          </w:divBdr>
        </w:div>
        <w:div w:id="1409615556">
          <w:marLeft w:val="640"/>
          <w:marRight w:val="0"/>
          <w:marTop w:val="0"/>
          <w:marBottom w:val="0"/>
          <w:divBdr>
            <w:top w:val="none" w:sz="0" w:space="0" w:color="auto"/>
            <w:left w:val="none" w:sz="0" w:space="0" w:color="auto"/>
            <w:bottom w:val="none" w:sz="0" w:space="0" w:color="auto"/>
            <w:right w:val="none" w:sz="0" w:space="0" w:color="auto"/>
          </w:divBdr>
        </w:div>
        <w:div w:id="1897737307">
          <w:marLeft w:val="640"/>
          <w:marRight w:val="0"/>
          <w:marTop w:val="0"/>
          <w:marBottom w:val="0"/>
          <w:divBdr>
            <w:top w:val="none" w:sz="0" w:space="0" w:color="auto"/>
            <w:left w:val="none" w:sz="0" w:space="0" w:color="auto"/>
            <w:bottom w:val="none" w:sz="0" w:space="0" w:color="auto"/>
            <w:right w:val="none" w:sz="0" w:space="0" w:color="auto"/>
          </w:divBdr>
        </w:div>
        <w:div w:id="614941150">
          <w:marLeft w:val="640"/>
          <w:marRight w:val="0"/>
          <w:marTop w:val="0"/>
          <w:marBottom w:val="0"/>
          <w:divBdr>
            <w:top w:val="none" w:sz="0" w:space="0" w:color="auto"/>
            <w:left w:val="none" w:sz="0" w:space="0" w:color="auto"/>
            <w:bottom w:val="none" w:sz="0" w:space="0" w:color="auto"/>
            <w:right w:val="none" w:sz="0" w:space="0" w:color="auto"/>
          </w:divBdr>
        </w:div>
        <w:div w:id="1446266094">
          <w:marLeft w:val="640"/>
          <w:marRight w:val="0"/>
          <w:marTop w:val="0"/>
          <w:marBottom w:val="0"/>
          <w:divBdr>
            <w:top w:val="none" w:sz="0" w:space="0" w:color="auto"/>
            <w:left w:val="none" w:sz="0" w:space="0" w:color="auto"/>
            <w:bottom w:val="none" w:sz="0" w:space="0" w:color="auto"/>
            <w:right w:val="none" w:sz="0" w:space="0" w:color="auto"/>
          </w:divBdr>
        </w:div>
        <w:div w:id="997146289">
          <w:marLeft w:val="640"/>
          <w:marRight w:val="0"/>
          <w:marTop w:val="0"/>
          <w:marBottom w:val="0"/>
          <w:divBdr>
            <w:top w:val="none" w:sz="0" w:space="0" w:color="auto"/>
            <w:left w:val="none" w:sz="0" w:space="0" w:color="auto"/>
            <w:bottom w:val="none" w:sz="0" w:space="0" w:color="auto"/>
            <w:right w:val="none" w:sz="0" w:space="0" w:color="auto"/>
          </w:divBdr>
        </w:div>
        <w:div w:id="622811881">
          <w:marLeft w:val="640"/>
          <w:marRight w:val="0"/>
          <w:marTop w:val="0"/>
          <w:marBottom w:val="0"/>
          <w:divBdr>
            <w:top w:val="none" w:sz="0" w:space="0" w:color="auto"/>
            <w:left w:val="none" w:sz="0" w:space="0" w:color="auto"/>
            <w:bottom w:val="none" w:sz="0" w:space="0" w:color="auto"/>
            <w:right w:val="none" w:sz="0" w:space="0" w:color="auto"/>
          </w:divBdr>
        </w:div>
        <w:div w:id="1542009338">
          <w:marLeft w:val="640"/>
          <w:marRight w:val="0"/>
          <w:marTop w:val="0"/>
          <w:marBottom w:val="0"/>
          <w:divBdr>
            <w:top w:val="none" w:sz="0" w:space="0" w:color="auto"/>
            <w:left w:val="none" w:sz="0" w:space="0" w:color="auto"/>
            <w:bottom w:val="none" w:sz="0" w:space="0" w:color="auto"/>
            <w:right w:val="none" w:sz="0" w:space="0" w:color="auto"/>
          </w:divBdr>
        </w:div>
        <w:div w:id="1509563465">
          <w:marLeft w:val="640"/>
          <w:marRight w:val="0"/>
          <w:marTop w:val="0"/>
          <w:marBottom w:val="0"/>
          <w:divBdr>
            <w:top w:val="none" w:sz="0" w:space="0" w:color="auto"/>
            <w:left w:val="none" w:sz="0" w:space="0" w:color="auto"/>
            <w:bottom w:val="none" w:sz="0" w:space="0" w:color="auto"/>
            <w:right w:val="none" w:sz="0" w:space="0" w:color="auto"/>
          </w:divBdr>
        </w:div>
        <w:div w:id="1051614694">
          <w:marLeft w:val="640"/>
          <w:marRight w:val="0"/>
          <w:marTop w:val="0"/>
          <w:marBottom w:val="0"/>
          <w:divBdr>
            <w:top w:val="none" w:sz="0" w:space="0" w:color="auto"/>
            <w:left w:val="none" w:sz="0" w:space="0" w:color="auto"/>
            <w:bottom w:val="none" w:sz="0" w:space="0" w:color="auto"/>
            <w:right w:val="none" w:sz="0" w:space="0" w:color="auto"/>
          </w:divBdr>
        </w:div>
        <w:div w:id="757366040">
          <w:marLeft w:val="640"/>
          <w:marRight w:val="0"/>
          <w:marTop w:val="0"/>
          <w:marBottom w:val="0"/>
          <w:divBdr>
            <w:top w:val="none" w:sz="0" w:space="0" w:color="auto"/>
            <w:left w:val="none" w:sz="0" w:space="0" w:color="auto"/>
            <w:bottom w:val="none" w:sz="0" w:space="0" w:color="auto"/>
            <w:right w:val="none" w:sz="0" w:space="0" w:color="auto"/>
          </w:divBdr>
        </w:div>
        <w:div w:id="1592735204">
          <w:marLeft w:val="640"/>
          <w:marRight w:val="0"/>
          <w:marTop w:val="0"/>
          <w:marBottom w:val="0"/>
          <w:divBdr>
            <w:top w:val="none" w:sz="0" w:space="0" w:color="auto"/>
            <w:left w:val="none" w:sz="0" w:space="0" w:color="auto"/>
            <w:bottom w:val="none" w:sz="0" w:space="0" w:color="auto"/>
            <w:right w:val="none" w:sz="0" w:space="0" w:color="auto"/>
          </w:divBdr>
        </w:div>
        <w:div w:id="600799513">
          <w:marLeft w:val="640"/>
          <w:marRight w:val="0"/>
          <w:marTop w:val="0"/>
          <w:marBottom w:val="0"/>
          <w:divBdr>
            <w:top w:val="none" w:sz="0" w:space="0" w:color="auto"/>
            <w:left w:val="none" w:sz="0" w:space="0" w:color="auto"/>
            <w:bottom w:val="none" w:sz="0" w:space="0" w:color="auto"/>
            <w:right w:val="none" w:sz="0" w:space="0" w:color="auto"/>
          </w:divBdr>
        </w:div>
        <w:div w:id="314645480">
          <w:marLeft w:val="640"/>
          <w:marRight w:val="0"/>
          <w:marTop w:val="0"/>
          <w:marBottom w:val="0"/>
          <w:divBdr>
            <w:top w:val="none" w:sz="0" w:space="0" w:color="auto"/>
            <w:left w:val="none" w:sz="0" w:space="0" w:color="auto"/>
            <w:bottom w:val="none" w:sz="0" w:space="0" w:color="auto"/>
            <w:right w:val="none" w:sz="0" w:space="0" w:color="auto"/>
          </w:divBdr>
        </w:div>
        <w:div w:id="2137410758">
          <w:marLeft w:val="640"/>
          <w:marRight w:val="0"/>
          <w:marTop w:val="0"/>
          <w:marBottom w:val="0"/>
          <w:divBdr>
            <w:top w:val="none" w:sz="0" w:space="0" w:color="auto"/>
            <w:left w:val="none" w:sz="0" w:space="0" w:color="auto"/>
            <w:bottom w:val="none" w:sz="0" w:space="0" w:color="auto"/>
            <w:right w:val="none" w:sz="0" w:space="0" w:color="auto"/>
          </w:divBdr>
        </w:div>
        <w:div w:id="1289822151">
          <w:marLeft w:val="640"/>
          <w:marRight w:val="0"/>
          <w:marTop w:val="0"/>
          <w:marBottom w:val="0"/>
          <w:divBdr>
            <w:top w:val="none" w:sz="0" w:space="0" w:color="auto"/>
            <w:left w:val="none" w:sz="0" w:space="0" w:color="auto"/>
            <w:bottom w:val="none" w:sz="0" w:space="0" w:color="auto"/>
            <w:right w:val="none" w:sz="0" w:space="0" w:color="auto"/>
          </w:divBdr>
        </w:div>
        <w:div w:id="697659384">
          <w:marLeft w:val="640"/>
          <w:marRight w:val="0"/>
          <w:marTop w:val="0"/>
          <w:marBottom w:val="0"/>
          <w:divBdr>
            <w:top w:val="none" w:sz="0" w:space="0" w:color="auto"/>
            <w:left w:val="none" w:sz="0" w:space="0" w:color="auto"/>
            <w:bottom w:val="none" w:sz="0" w:space="0" w:color="auto"/>
            <w:right w:val="none" w:sz="0" w:space="0" w:color="auto"/>
          </w:divBdr>
        </w:div>
        <w:div w:id="989361113">
          <w:marLeft w:val="640"/>
          <w:marRight w:val="0"/>
          <w:marTop w:val="0"/>
          <w:marBottom w:val="0"/>
          <w:divBdr>
            <w:top w:val="none" w:sz="0" w:space="0" w:color="auto"/>
            <w:left w:val="none" w:sz="0" w:space="0" w:color="auto"/>
            <w:bottom w:val="none" w:sz="0" w:space="0" w:color="auto"/>
            <w:right w:val="none" w:sz="0" w:space="0" w:color="auto"/>
          </w:divBdr>
        </w:div>
        <w:div w:id="1672218604">
          <w:marLeft w:val="640"/>
          <w:marRight w:val="0"/>
          <w:marTop w:val="0"/>
          <w:marBottom w:val="0"/>
          <w:divBdr>
            <w:top w:val="none" w:sz="0" w:space="0" w:color="auto"/>
            <w:left w:val="none" w:sz="0" w:space="0" w:color="auto"/>
            <w:bottom w:val="none" w:sz="0" w:space="0" w:color="auto"/>
            <w:right w:val="none" w:sz="0" w:space="0" w:color="auto"/>
          </w:divBdr>
        </w:div>
        <w:div w:id="454178282">
          <w:marLeft w:val="640"/>
          <w:marRight w:val="0"/>
          <w:marTop w:val="0"/>
          <w:marBottom w:val="0"/>
          <w:divBdr>
            <w:top w:val="none" w:sz="0" w:space="0" w:color="auto"/>
            <w:left w:val="none" w:sz="0" w:space="0" w:color="auto"/>
            <w:bottom w:val="none" w:sz="0" w:space="0" w:color="auto"/>
            <w:right w:val="none" w:sz="0" w:space="0" w:color="auto"/>
          </w:divBdr>
        </w:div>
        <w:div w:id="810905712">
          <w:marLeft w:val="640"/>
          <w:marRight w:val="0"/>
          <w:marTop w:val="0"/>
          <w:marBottom w:val="0"/>
          <w:divBdr>
            <w:top w:val="none" w:sz="0" w:space="0" w:color="auto"/>
            <w:left w:val="none" w:sz="0" w:space="0" w:color="auto"/>
            <w:bottom w:val="none" w:sz="0" w:space="0" w:color="auto"/>
            <w:right w:val="none" w:sz="0" w:space="0" w:color="auto"/>
          </w:divBdr>
        </w:div>
        <w:div w:id="1855797864">
          <w:marLeft w:val="640"/>
          <w:marRight w:val="0"/>
          <w:marTop w:val="0"/>
          <w:marBottom w:val="0"/>
          <w:divBdr>
            <w:top w:val="none" w:sz="0" w:space="0" w:color="auto"/>
            <w:left w:val="none" w:sz="0" w:space="0" w:color="auto"/>
            <w:bottom w:val="none" w:sz="0" w:space="0" w:color="auto"/>
            <w:right w:val="none" w:sz="0" w:space="0" w:color="auto"/>
          </w:divBdr>
        </w:div>
        <w:div w:id="1887795230">
          <w:marLeft w:val="640"/>
          <w:marRight w:val="0"/>
          <w:marTop w:val="0"/>
          <w:marBottom w:val="0"/>
          <w:divBdr>
            <w:top w:val="none" w:sz="0" w:space="0" w:color="auto"/>
            <w:left w:val="none" w:sz="0" w:space="0" w:color="auto"/>
            <w:bottom w:val="none" w:sz="0" w:space="0" w:color="auto"/>
            <w:right w:val="none" w:sz="0" w:space="0" w:color="auto"/>
          </w:divBdr>
        </w:div>
        <w:div w:id="1843470106">
          <w:marLeft w:val="640"/>
          <w:marRight w:val="0"/>
          <w:marTop w:val="0"/>
          <w:marBottom w:val="0"/>
          <w:divBdr>
            <w:top w:val="none" w:sz="0" w:space="0" w:color="auto"/>
            <w:left w:val="none" w:sz="0" w:space="0" w:color="auto"/>
            <w:bottom w:val="none" w:sz="0" w:space="0" w:color="auto"/>
            <w:right w:val="none" w:sz="0" w:space="0" w:color="auto"/>
          </w:divBdr>
        </w:div>
        <w:div w:id="430591665">
          <w:marLeft w:val="640"/>
          <w:marRight w:val="0"/>
          <w:marTop w:val="0"/>
          <w:marBottom w:val="0"/>
          <w:divBdr>
            <w:top w:val="none" w:sz="0" w:space="0" w:color="auto"/>
            <w:left w:val="none" w:sz="0" w:space="0" w:color="auto"/>
            <w:bottom w:val="none" w:sz="0" w:space="0" w:color="auto"/>
            <w:right w:val="none" w:sz="0" w:space="0" w:color="auto"/>
          </w:divBdr>
        </w:div>
        <w:div w:id="1276908498">
          <w:marLeft w:val="640"/>
          <w:marRight w:val="0"/>
          <w:marTop w:val="0"/>
          <w:marBottom w:val="0"/>
          <w:divBdr>
            <w:top w:val="none" w:sz="0" w:space="0" w:color="auto"/>
            <w:left w:val="none" w:sz="0" w:space="0" w:color="auto"/>
            <w:bottom w:val="none" w:sz="0" w:space="0" w:color="auto"/>
            <w:right w:val="none" w:sz="0" w:space="0" w:color="auto"/>
          </w:divBdr>
        </w:div>
        <w:div w:id="1331447021">
          <w:marLeft w:val="640"/>
          <w:marRight w:val="0"/>
          <w:marTop w:val="0"/>
          <w:marBottom w:val="0"/>
          <w:divBdr>
            <w:top w:val="none" w:sz="0" w:space="0" w:color="auto"/>
            <w:left w:val="none" w:sz="0" w:space="0" w:color="auto"/>
            <w:bottom w:val="none" w:sz="0" w:space="0" w:color="auto"/>
            <w:right w:val="none" w:sz="0" w:space="0" w:color="auto"/>
          </w:divBdr>
        </w:div>
        <w:div w:id="1429544665">
          <w:marLeft w:val="640"/>
          <w:marRight w:val="0"/>
          <w:marTop w:val="0"/>
          <w:marBottom w:val="0"/>
          <w:divBdr>
            <w:top w:val="none" w:sz="0" w:space="0" w:color="auto"/>
            <w:left w:val="none" w:sz="0" w:space="0" w:color="auto"/>
            <w:bottom w:val="none" w:sz="0" w:space="0" w:color="auto"/>
            <w:right w:val="none" w:sz="0" w:space="0" w:color="auto"/>
          </w:divBdr>
        </w:div>
        <w:div w:id="1815903151">
          <w:marLeft w:val="640"/>
          <w:marRight w:val="0"/>
          <w:marTop w:val="0"/>
          <w:marBottom w:val="0"/>
          <w:divBdr>
            <w:top w:val="none" w:sz="0" w:space="0" w:color="auto"/>
            <w:left w:val="none" w:sz="0" w:space="0" w:color="auto"/>
            <w:bottom w:val="none" w:sz="0" w:space="0" w:color="auto"/>
            <w:right w:val="none" w:sz="0" w:space="0" w:color="auto"/>
          </w:divBdr>
        </w:div>
        <w:div w:id="491070364">
          <w:marLeft w:val="640"/>
          <w:marRight w:val="0"/>
          <w:marTop w:val="0"/>
          <w:marBottom w:val="0"/>
          <w:divBdr>
            <w:top w:val="none" w:sz="0" w:space="0" w:color="auto"/>
            <w:left w:val="none" w:sz="0" w:space="0" w:color="auto"/>
            <w:bottom w:val="none" w:sz="0" w:space="0" w:color="auto"/>
            <w:right w:val="none" w:sz="0" w:space="0" w:color="auto"/>
          </w:divBdr>
        </w:div>
        <w:div w:id="140540057">
          <w:marLeft w:val="640"/>
          <w:marRight w:val="0"/>
          <w:marTop w:val="0"/>
          <w:marBottom w:val="0"/>
          <w:divBdr>
            <w:top w:val="none" w:sz="0" w:space="0" w:color="auto"/>
            <w:left w:val="none" w:sz="0" w:space="0" w:color="auto"/>
            <w:bottom w:val="none" w:sz="0" w:space="0" w:color="auto"/>
            <w:right w:val="none" w:sz="0" w:space="0" w:color="auto"/>
          </w:divBdr>
        </w:div>
        <w:div w:id="868184451">
          <w:marLeft w:val="640"/>
          <w:marRight w:val="0"/>
          <w:marTop w:val="0"/>
          <w:marBottom w:val="0"/>
          <w:divBdr>
            <w:top w:val="none" w:sz="0" w:space="0" w:color="auto"/>
            <w:left w:val="none" w:sz="0" w:space="0" w:color="auto"/>
            <w:bottom w:val="none" w:sz="0" w:space="0" w:color="auto"/>
            <w:right w:val="none" w:sz="0" w:space="0" w:color="auto"/>
          </w:divBdr>
        </w:div>
        <w:div w:id="175265631">
          <w:marLeft w:val="640"/>
          <w:marRight w:val="0"/>
          <w:marTop w:val="0"/>
          <w:marBottom w:val="0"/>
          <w:divBdr>
            <w:top w:val="none" w:sz="0" w:space="0" w:color="auto"/>
            <w:left w:val="none" w:sz="0" w:space="0" w:color="auto"/>
            <w:bottom w:val="none" w:sz="0" w:space="0" w:color="auto"/>
            <w:right w:val="none" w:sz="0" w:space="0" w:color="auto"/>
          </w:divBdr>
        </w:div>
        <w:div w:id="21170531">
          <w:marLeft w:val="640"/>
          <w:marRight w:val="0"/>
          <w:marTop w:val="0"/>
          <w:marBottom w:val="0"/>
          <w:divBdr>
            <w:top w:val="none" w:sz="0" w:space="0" w:color="auto"/>
            <w:left w:val="none" w:sz="0" w:space="0" w:color="auto"/>
            <w:bottom w:val="none" w:sz="0" w:space="0" w:color="auto"/>
            <w:right w:val="none" w:sz="0" w:space="0" w:color="auto"/>
          </w:divBdr>
        </w:div>
        <w:div w:id="164709259">
          <w:marLeft w:val="640"/>
          <w:marRight w:val="0"/>
          <w:marTop w:val="0"/>
          <w:marBottom w:val="0"/>
          <w:divBdr>
            <w:top w:val="none" w:sz="0" w:space="0" w:color="auto"/>
            <w:left w:val="none" w:sz="0" w:space="0" w:color="auto"/>
            <w:bottom w:val="none" w:sz="0" w:space="0" w:color="auto"/>
            <w:right w:val="none" w:sz="0" w:space="0" w:color="auto"/>
          </w:divBdr>
        </w:div>
        <w:div w:id="1373337401">
          <w:marLeft w:val="640"/>
          <w:marRight w:val="0"/>
          <w:marTop w:val="0"/>
          <w:marBottom w:val="0"/>
          <w:divBdr>
            <w:top w:val="none" w:sz="0" w:space="0" w:color="auto"/>
            <w:left w:val="none" w:sz="0" w:space="0" w:color="auto"/>
            <w:bottom w:val="none" w:sz="0" w:space="0" w:color="auto"/>
            <w:right w:val="none" w:sz="0" w:space="0" w:color="auto"/>
          </w:divBdr>
        </w:div>
        <w:div w:id="898202155">
          <w:marLeft w:val="640"/>
          <w:marRight w:val="0"/>
          <w:marTop w:val="0"/>
          <w:marBottom w:val="0"/>
          <w:divBdr>
            <w:top w:val="none" w:sz="0" w:space="0" w:color="auto"/>
            <w:left w:val="none" w:sz="0" w:space="0" w:color="auto"/>
            <w:bottom w:val="none" w:sz="0" w:space="0" w:color="auto"/>
            <w:right w:val="none" w:sz="0" w:space="0" w:color="auto"/>
          </w:divBdr>
        </w:div>
        <w:div w:id="858737819">
          <w:marLeft w:val="640"/>
          <w:marRight w:val="0"/>
          <w:marTop w:val="0"/>
          <w:marBottom w:val="0"/>
          <w:divBdr>
            <w:top w:val="none" w:sz="0" w:space="0" w:color="auto"/>
            <w:left w:val="none" w:sz="0" w:space="0" w:color="auto"/>
            <w:bottom w:val="none" w:sz="0" w:space="0" w:color="auto"/>
            <w:right w:val="none" w:sz="0" w:space="0" w:color="auto"/>
          </w:divBdr>
        </w:div>
        <w:div w:id="1291547801">
          <w:marLeft w:val="640"/>
          <w:marRight w:val="0"/>
          <w:marTop w:val="0"/>
          <w:marBottom w:val="0"/>
          <w:divBdr>
            <w:top w:val="none" w:sz="0" w:space="0" w:color="auto"/>
            <w:left w:val="none" w:sz="0" w:space="0" w:color="auto"/>
            <w:bottom w:val="none" w:sz="0" w:space="0" w:color="auto"/>
            <w:right w:val="none" w:sz="0" w:space="0" w:color="auto"/>
          </w:divBdr>
        </w:div>
        <w:div w:id="1819027598">
          <w:marLeft w:val="640"/>
          <w:marRight w:val="0"/>
          <w:marTop w:val="0"/>
          <w:marBottom w:val="0"/>
          <w:divBdr>
            <w:top w:val="none" w:sz="0" w:space="0" w:color="auto"/>
            <w:left w:val="none" w:sz="0" w:space="0" w:color="auto"/>
            <w:bottom w:val="none" w:sz="0" w:space="0" w:color="auto"/>
            <w:right w:val="none" w:sz="0" w:space="0" w:color="auto"/>
          </w:divBdr>
        </w:div>
        <w:div w:id="769743639">
          <w:marLeft w:val="640"/>
          <w:marRight w:val="0"/>
          <w:marTop w:val="0"/>
          <w:marBottom w:val="0"/>
          <w:divBdr>
            <w:top w:val="none" w:sz="0" w:space="0" w:color="auto"/>
            <w:left w:val="none" w:sz="0" w:space="0" w:color="auto"/>
            <w:bottom w:val="none" w:sz="0" w:space="0" w:color="auto"/>
            <w:right w:val="none" w:sz="0" w:space="0" w:color="auto"/>
          </w:divBdr>
        </w:div>
        <w:div w:id="489716350">
          <w:marLeft w:val="640"/>
          <w:marRight w:val="0"/>
          <w:marTop w:val="0"/>
          <w:marBottom w:val="0"/>
          <w:divBdr>
            <w:top w:val="none" w:sz="0" w:space="0" w:color="auto"/>
            <w:left w:val="none" w:sz="0" w:space="0" w:color="auto"/>
            <w:bottom w:val="none" w:sz="0" w:space="0" w:color="auto"/>
            <w:right w:val="none" w:sz="0" w:space="0" w:color="auto"/>
          </w:divBdr>
        </w:div>
        <w:div w:id="278531508">
          <w:marLeft w:val="640"/>
          <w:marRight w:val="0"/>
          <w:marTop w:val="0"/>
          <w:marBottom w:val="0"/>
          <w:divBdr>
            <w:top w:val="none" w:sz="0" w:space="0" w:color="auto"/>
            <w:left w:val="none" w:sz="0" w:space="0" w:color="auto"/>
            <w:bottom w:val="none" w:sz="0" w:space="0" w:color="auto"/>
            <w:right w:val="none" w:sz="0" w:space="0" w:color="auto"/>
          </w:divBdr>
        </w:div>
        <w:div w:id="669527889">
          <w:marLeft w:val="640"/>
          <w:marRight w:val="0"/>
          <w:marTop w:val="0"/>
          <w:marBottom w:val="0"/>
          <w:divBdr>
            <w:top w:val="none" w:sz="0" w:space="0" w:color="auto"/>
            <w:left w:val="none" w:sz="0" w:space="0" w:color="auto"/>
            <w:bottom w:val="none" w:sz="0" w:space="0" w:color="auto"/>
            <w:right w:val="none" w:sz="0" w:space="0" w:color="auto"/>
          </w:divBdr>
        </w:div>
        <w:div w:id="1601569564">
          <w:marLeft w:val="640"/>
          <w:marRight w:val="0"/>
          <w:marTop w:val="0"/>
          <w:marBottom w:val="0"/>
          <w:divBdr>
            <w:top w:val="none" w:sz="0" w:space="0" w:color="auto"/>
            <w:left w:val="none" w:sz="0" w:space="0" w:color="auto"/>
            <w:bottom w:val="none" w:sz="0" w:space="0" w:color="auto"/>
            <w:right w:val="none" w:sz="0" w:space="0" w:color="auto"/>
          </w:divBdr>
        </w:div>
        <w:div w:id="2019966079">
          <w:marLeft w:val="640"/>
          <w:marRight w:val="0"/>
          <w:marTop w:val="0"/>
          <w:marBottom w:val="0"/>
          <w:divBdr>
            <w:top w:val="none" w:sz="0" w:space="0" w:color="auto"/>
            <w:left w:val="none" w:sz="0" w:space="0" w:color="auto"/>
            <w:bottom w:val="none" w:sz="0" w:space="0" w:color="auto"/>
            <w:right w:val="none" w:sz="0" w:space="0" w:color="auto"/>
          </w:divBdr>
        </w:div>
        <w:div w:id="535628493">
          <w:marLeft w:val="640"/>
          <w:marRight w:val="0"/>
          <w:marTop w:val="0"/>
          <w:marBottom w:val="0"/>
          <w:divBdr>
            <w:top w:val="none" w:sz="0" w:space="0" w:color="auto"/>
            <w:left w:val="none" w:sz="0" w:space="0" w:color="auto"/>
            <w:bottom w:val="none" w:sz="0" w:space="0" w:color="auto"/>
            <w:right w:val="none" w:sz="0" w:space="0" w:color="auto"/>
          </w:divBdr>
        </w:div>
        <w:div w:id="894394719">
          <w:marLeft w:val="640"/>
          <w:marRight w:val="0"/>
          <w:marTop w:val="0"/>
          <w:marBottom w:val="0"/>
          <w:divBdr>
            <w:top w:val="none" w:sz="0" w:space="0" w:color="auto"/>
            <w:left w:val="none" w:sz="0" w:space="0" w:color="auto"/>
            <w:bottom w:val="none" w:sz="0" w:space="0" w:color="auto"/>
            <w:right w:val="none" w:sz="0" w:space="0" w:color="auto"/>
          </w:divBdr>
        </w:div>
        <w:div w:id="121388754">
          <w:marLeft w:val="640"/>
          <w:marRight w:val="0"/>
          <w:marTop w:val="0"/>
          <w:marBottom w:val="0"/>
          <w:divBdr>
            <w:top w:val="none" w:sz="0" w:space="0" w:color="auto"/>
            <w:left w:val="none" w:sz="0" w:space="0" w:color="auto"/>
            <w:bottom w:val="none" w:sz="0" w:space="0" w:color="auto"/>
            <w:right w:val="none" w:sz="0" w:space="0" w:color="auto"/>
          </w:divBdr>
        </w:div>
        <w:div w:id="2120489346">
          <w:marLeft w:val="640"/>
          <w:marRight w:val="0"/>
          <w:marTop w:val="0"/>
          <w:marBottom w:val="0"/>
          <w:divBdr>
            <w:top w:val="none" w:sz="0" w:space="0" w:color="auto"/>
            <w:left w:val="none" w:sz="0" w:space="0" w:color="auto"/>
            <w:bottom w:val="none" w:sz="0" w:space="0" w:color="auto"/>
            <w:right w:val="none" w:sz="0" w:space="0" w:color="auto"/>
          </w:divBdr>
        </w:div>
        <w:div w:id="1930770936">
          <w:marLeft w:val="640"/>
          <w:marRight w:val="0"/>
          <w:marTop w:val="0"/>
          <w:marBottom w:val="0"/>
          <w:divBdr>
            <w:top w:val="none" w:sz="0" w:space="0" w:color="auto"/>
            <w:left w:val="none" w:sz="0" w:space="0" w:color="auto"/>
            <w:bottom w:val="none" w:sz="0" w:space="0" w:color="auto"/>
            <w:right w:val="none" w:sz="0" w:space="0" w:color="auto"/>
          </w:divBdr>
        </w:div>
        <w:div w:id="285501770">
          <w:marLeft w:val="640"/>
          <w:marRight w:val="0"/>
          <w:marTop w:val="0"/>
          <w:marBottom w:val="0"/>
          <w:divBdr>
            <w:top w:val="none" w:sz="0" w:space="0" w:color="auto"/>
            <w:left w:val="none" w:sz="0" w:space="0" w:color="auto"/>
            <w:bottom w:val="none" w:sz="0" w:space="0" w:color="auto"/>
            <w:right w:val="none" w:sz="0" w:space="0" w:color="auto"/>
          </w:divBdr>
        </w:div>
        <w:div w:id="167714238">
          <w:marLeft w:val="640"/>
          <w:marRight w:val="0"/>
          <w:marTop w:val="0"/>
          <w:marBottom w:val="0"/>
          <w:divBdr>
            <w:top w:val="none" w:sz="0" w:space="0" w:color="auto"/>
            <w:left w:val="none" w:sz="0" w:space="0" w:color="auto"/>
            <w:bottom w:val="none" w:sz="0" w:space="0" w:color="auto"/>
            <w:right w:val="none" w:sz="0" w:space="0" w:color="auto"/>
          </w:divBdr>
        </w:div>
        <w:div w:id="1064328188">
          <w:marLeft w:val="640"/>
          <w:marRight w:val="0"/>
          <w:marTop w:val="0"/>
          <w:marBottom w:val="0"/>
          <w:divBdr>
            <w:top w:val="none" w:sz="0" w:space="0" w:color="auto"/>
            <w:left w:val="none" w:sz="0" w:space="0" w:color="auto"/>
            <w:bottom w:val="none" w:sz="0" w:space="0" w:color="auto"/>
            <w:right w:val="none" w:sz="0" w:space="0" w:color="auto"/>
          </w:divBdr>
        </w:div>
        <w:div w:id="470370870">
          <w:marLeft w:val="640"/>
          <w:marRight w:val="0"/>
          <w:marTop w:val="0"/>
          <w:marBottom w:val="0"/>
          <w:divBdr>
            <w:top w:val="none" w:sz="0" w:space="0" w:color="auto"/>
            <w:left w:val="none" w:sz="0" w:space="0" w:color="auto"/>
            <w:bottom w:val="none" w:sz="0" w:space="0" w:color="auto"/>
            <w:right w:val="none" w:sz="0" w:space="0" w:color="auto"/>
          </w:divBdr>
        </w:div>
        <w:div w:id="471295061">
          <w:marLeft w:val="640"/>
          <w:marRight w:val="0"/>
          <w:marTop w:val="0"/>
          <w:marBottom w:val="0"/>
          <w:divBdr>
            <w:top w:val="none" w:sz="0" w:space="0" w:color="auto"/>
            <w:left w:val="none" w:sz="0" w:space="0" w:color="auto"/>
            <w:bottom w:val="none" w:sz="0" w:space="0" w:color="auto"/>
            <w:right w:val="none" w:sz="0" w:space="0" w:color="auto"/>
          </w:divBdr>
        </w:div>
        <w:div w:id="627466988">
          <w:marLeft w:val="640"/>
          <w:marRight w:val="0"/>
          <w:marTop w:val="0"/>
          <w:marBottom w:val="0"/>
          <w:divBdr>
            <w:top w:val="none" w:sz="0" w:space="0" w:color="auto"/>
            <w:left w:val="none" w:sz="0" w:space="0" w:color="auto"/>
            <w:bottom w:val="none" w:sz="0" w:space="0" w:color="auto"/>
            <w:right w:val="none" w:sz="0" w:space="0" w:color="auto"/>
          </w:divBdr>
        </w:div>
        <w:div w:id="585311779">
          <w:marLeft w:val="640"/>
          <w:marRight w:val="0"/>
          <w:marTop w:val="0"/>
          <w:marBottom w:val="0"/>
          <w:divBdr>
            <w:top w:val="none" w:sz="0" w:space="0" w:color="auto"/>
            <w:left w:val="none" w:sz="0" w:space="0" w:color="auto"/>
            <w:bottom w:val="none" w:sz="0" w:space="0" w:color="auto"/>
            <w:right w:val="none" w:sz="0" w:space="0" w:color="auto"/>
          </w:divBdr>
        </w:div>
        <w:div w:id="1447656916">
          <w:marLeft w:val="640"/>
          <w:marRight w:val="0"/>
          <w:marTop w:val="0"/>
          <w:marBottom w:val="0"/>
          <w:divBdr>
            <w:top w:val="none" w:sz="0" w:space="0" w:color="auto"/>
            <w:left w:val="none" w:sz="0" w:space="0" w:color="auto"/>
            <w:bottom w:val="none" w:sz="0" w:space="0" w:color="auto"/>
            <w:right w:val="none" w:sz="0" w:space="0" w:color="auto"/>
          </w:divBdr>
        </w:div>
        <w:div w:id="1058281910">
          <w:marLeft w:val="640"/>
          <w:marRight w:val="0"/>
          <w:marTop w:val="0"/>
          <w:marBottom w:val="0"/>
          <w:divBdr>
            <w:top w:val="none" w:sz="0" w:space="0" w:color="auto"/>
            <w:left w:val="none" w:sz="0" w:space="0" w:color="auto"/>
            <w:bottom w:val="none" w:sz="0" w:space="0" w:color="auto"/>
            <w:right w:val="none" w:sz="0" w:space="0" w:color="auto"/>
          </w:divBdr>
        </w:div>
        <w:div w:id="2090034701">
          <w:marLeft w:val="640"/>
          <w:marRight w:val="0"/>
          <w:marTop w:val="0"/>
          <w:marBottom w:val="0"/>
          <w:divBdr>
            <w:top w:val="none" w:sz="0" w:space="0" w:color="auto"/>
            <w:left w:val="none" w:sz="0" w:space="0" w:color="auto"/>
            <w:bottom w:val="none" w:sz="0" w:space="0" w:color="auto"/>
            <w:right w:val="none" w:sz="0" w:space="0" w:color="auto"/>
          </w:divBdr>
        </w:div>
        <w:div w:id="490408179">
          <w:marLeft w:val="640"/>
          <w:marRight w:val="0"/>
          <w:marTop w:val="0"/>
          <w:marBottom w:val="0"/>
          <w:divBdr>
            <w:top w:val="none" w:sz="0" w:space="0" w:color="auto"/>
            <w:left w:val="none" w:sz="0" w:space="0" w:color="auto"/>
            <w:bottom w:val="none" w:sz="0" w:space="0" w:color="auto"/>
            <w:right w:val="none" w:sz="0" w:space="0" w:color="auto"/>
          </w:divBdr>
        </w:div>
        <w:div w:id="1978291819">
          <w:marLeft w:val="640"/>
          <w:marRight w:val="0"/>
          <w:marTop w:val="0"/>
          <w:marBottom w:val="0"/>
          <w:divBdr>
            <w:top w:val="none" w:sz="0" w:space="0" w:color="auto"/>
            <w:left w:val="none" w:sz="0" w:space="0" w:color="auto"/>
            <w:bottom w:val="none" w:sz="0" w:space="0" w:color="auto"/>
            <w:right w:val="none" w:sz="0" w:space="0" w:color="auto"/>
          </w:divBdr>
        </w:div>
        <w:div w:id="146287756">
          <w:marLeft w:val="640"/>
          <w:marRight w:val="0"/>
          <w:marTop w:val="0"/>
          <w:marBottom w:val="0"/>
          <w:divBdr>
            <w:top w:val="none" w:sz="0" w:space="0" w:color="auto"/>
            <w:left w:val="none" w:sz="0" w:space="0" w:color="auto"/>
            <w:bottom w:val="none" w:sz="0" w:space="0" w:color="auto"/>
            <w:right w:val="none" w:sz="0" w:space="0" w:color="auto"/>
          </w:divBdr>
        </w:div>
        <w:div w:id="557665333">
          <w:marLeft w:val="640"/>
          <w:marRight w:val="0"/>
          <w:marTop w:val="0"/>
          <w:marBottom w:val="0"/>
          <w:divBdr>
            <w:top w:val="none" w:sz="0" w:space="0" w:color="auto"/>
            <w:left w:val="none" w:sz="0" w:space="0" w:color="auto"/>
            <w:bottom w:val="none" w:sz="0" w:space="0" w:color="auto"/>
            <w:right w:val="none" w:sz="0" w:space="0" w:color="auto"/>
          </w:divBdr>
        </w:div>
        <w:div w:id="193035026">
          <w:marLeft w:val="640"/>
          <w:marRight w:val="0"/>
          <w:marTop w:val="0"/>
          <w:marBottom w:val="0"/>
          <w:divBdr>
            <w:top w:val="none" w:sz="0" w:space="0" w:color="auto"/>
            <w:left w:val="none" w:sz="0" w:space="0" w:color="auto"/>
            <w:bottom w:val="none" w:sz="0" w:space="0" w:color="auto"/>
            <w:right w:val="none" w:sz="0" w:space="0" w:color="auto"/>
          </w:divBdr>
        </w:div>
        <w:div w:id="386804540">
          <w:marLeft w:val="640"/>
          <w:marRight w:val="0"/>
          <w:marTop w:val="0"/>
          <w:marBottom w:val="0"/>
          <w:divBdr>
            <w:top w:val="none" w:sz="0" w:space="0" w:color="auto"/>
            <w:left w:val="none" w:sz="0" w:space="0" w:color="auto"/>
            <w:bottom w:val="none" w:sz="0" w:space="0" w:color="auto"/>
            <w:right w:val="none" w:sz="0" w:space="0" w:color="auto"/>
          </w:divBdr>
        </w:div>
        <w:div w:id="554852897">
          <w:marLeft w:val="640"/>
          <w:marRight w:val="0"/>
          <w:marTop w:val="0"/>
          <w:marBottom w:val="0"/>
          <w:divBdr>
            <w:top w:val="none" w:sz="0" w:space="0" w:color="auto"/>
            <w:left w:val="none" w:sz="0" w:space="0" w:color="auto"/>
            <w:bottom w:val="none" w:sz="0" w:space="0" w:color="auto"/>
            <w:right w:val="none" w:sz="0" w:space="0" w:color="auto"/>
          </w:divBdr>
        </w:div>
        <w:div w:id="2001351710">
          <w:marLeft w:val="640"/>
          <w:marRight w:val="0"/>
          <w:marTop w:val="0"/>
          <w:marBottom w:val="0"/>
          <w:divBdr>
            <w:top w:val="none" w:sz="0" w:space="0" w:color="auto"/>
            <w:left w:val="none" w:sz="0" w:space="0" w:color="auto"/>
            <w:bottom w:val="none" w:sz="0" w:space="0" w:color="auto"/>
            <w:right w:val="none" w:sz="0" w:space="0" w:color="auto"/>
          </w:divBdr>
        </w:div>
        <w:div w:id="2096855485">
          <w:marLeft w:val="640"/>
          <w:marRight w:val="0"/>
          <w:marTop w:val="0"/>
          <w:marBottom w:val="0"/>
          <w:divBdr>
            <w:top w:val="none" w:sz="0" w:space="0" w:color="auto"/>
            <w:left w:val="none" w:sz="0" w:space="0" w:color="auto"/>
            <w:bottom w:val="none" w:sz="0" w:space="0" w:color="auto"/>
            <w:right w:val="none" w:sz="0" w:space="0" w:color="auto"/>
          </w:divBdr>
        </w:div>
        <w:div w:id="1641491912">
          <w:marLeft w:val="640"/>
          <w:marRight w:val="0"/>
          <w:marTop w:val="0"/>
          <w:marBottom w:val="0"/>
          <w:divBdr>
            <w:top w:val="none" w:sz="0" w:space="0" w:color="auto"/>
            <w:left w:val="none" w:sz="0" w:space="0" w:color="auto"/>
            <w:bottom w:val="none" w:sz="0" w:space="0" w:color="auto"/>
            <w:right w:val="none" w:sz="0" w:space="0" w:color="auto"/>
          </w:divBdr>
        </w:div>
        <w:div w:id="1412971053">
          <w:marLeft w:val="640"/>
          <w:marRight w:val="0"/>
          <w:marTop w:val="0"/>
          <w:marBottom w:val="0"/>
          <w:divBdr>
            <w:top w:val="none" w:sz="0" w:space="0" w:color="auto"/>
            <w:left w:val="none" w:sz="0" w:space="0" w:color="auto"/>
            <w:bottom w:val="none" w:sz="0" w:space="0" w:color="auto"/>
            <w:right w:val="none" w:sz="0" w:space="0" w:color="auto"/>
          </w:divBdr>
        </w:div>
        <w:div w:id="757756667">
          <w:marLeft w:val="640"/>
          <w:marRight w:val="0"/>
          <w:marTop w:val="0"/>
          <w:marBottom w:val="0"/>
          <w:divBdr>
            <w:top w:val="none" w:sz="0" w:space="0" w:color="auto"/>
            <w:left w:val="none" w:sz="0" w:space="0" w:color="auto"/>
            <w:bottom w:val="none" w:sz="0" w:space="0" w:color="auto"/>
            <w:right w:val="none" w:sz="0" w:space="0" w:color="auto"/>
          </w:divBdr>
        </w:div>
        <w:div w:id="1810517341">
          <w:marLeft w:val="640"/>
          <w:marRight w:val="0"/>
          <w:marTop w:val="0"/>
          <w:marBottom w:val="0"/>
          <w:divBdr>
            <w:top w:val="none" w:sz="0" w:space="0" w:color="auto"/>
            <w:left w:val="none" w:sz="0" w:space="0" w:color="auto"/>
            <w:bottom w:val="none" w:sz="0" w:space="0" w:color="auto"/>
            <w:right w:val="none" w:sz="0" w:space="0" w:color="auto"/>
          </w:divBdr>
        </w:div>
        <w:div w:id="1508251249">
          <w:marLeft w:val="640"/>
          <w:marRight w:val="0"/>
          <w:marTop w:val="0"/>
          <w:marBottom w:val="0"/>
          <w:divBdr>
            <w:top w:val="none" w:sz="0" w:space="0" w:color="auto"/>
            <w:left w:val="none" w:sz="0" w:space="0" w:color="auto"/>
            <w:bottom w:val="none" w:sz="0" w:space="0" w:color="auto"/>
            <w:right w:val="none" w:sz="0" w:space="0" w:color="auto"/>
          </w:divBdr>
        </w:div>
        <w:div w:id="221521210">
          <w:marLeft w:val="640"/>
          <w:marRight w:val="0"/>
          <w:marTop w:val="0"/>
          <w:marBottom w:val="0"/>
          <w:divBdr>
            <w:top w:val="none" w:sz="0" w:space="0" w:color="auto"/>
            <w:left w:val="none" w:sz="0" w:space="0" w:color="auto"/>
            <w:bottom w:val="none" w:sz="0" w:space="0" w:color="auto"/>
            <w:right w:val="none" w:sz="0" w:space="0" w:color="auto"/>
          </w:divBdr>
        </w:div>
        <w:div w:id="1571185000">
          <w:marLeft w:val="640"/>
          <w:marRight w:val="0"/>
          <w:marTop w:val="0"/>
          <w:marBottom w:val="0"/>
          <w:divBdr>
            <w:top w:val="none" w:sz="0" w:space="0" w:color="auto"/>
            <w:left w:val="none" w:sz="0" w:space="0" w:color="auto"/>
            <w:bottom w:val="none" w:sz="0" w:space="0" w:color="auto"/>
            <w:right w:val="none" w:sz="0" w:space="0" w:color="auto"/>
          </w:divBdr>
        </w:div>
        <w:div w:id="1098595302">
          <w:marLeft w:val="640"/>
          <w:marRight w:val="0"/>
          <w:marTop w:val="0"/>
          <w:marBottom w:val="0"/>
          <w:divBdr>
            <w:top w:val="none" w:sz="0" w:space="0" w:color="auto"/>
            <w:left w:val="none" w:sz="0" w:space="0" w:color="auto"/>
            <w:bottom w:val="none" w:sz="0" w:space="0" w:color="auto"/>
            <w:right w:val="none" w:sz="0" w:space="0" w:color="auto"/>
          </w:divBdr>
        </w:div>
        <w:div w:id="716585843">
          <w:marLeft w:val="640"/>
          <w:marRight w:val="0"/>
          <w:marTop w:val="0"/>
          <w:marBottom w:val="0"/>
          <w:divBdr>
            <w:top w:val="none" w:sz="0" w:space="0" w:color="auto"/>
            <w:left w:val="none" w:sz="0" w:space="0" w:color="auto"/>
            <w:bottom w:val="none" w:sz="0" w:space="0" w:color="auto"/>
            <w:right w:val="none" w:sz="0" w:space="0" w:color="auto"/>
          </w:divBdr>
        </w:div>
        <w:div w:id="1570920814">
          <w:marLeft w:val="640"/>
          <w:marRight w:val="0"/>
          <w:marTop w:val="0"/>
          <w:marBottom w:val="0"/>
          <w:divBdr>
            <w:top w:val="none" w:sz="0" w:space="0" w:color="auto"/>
            <w:left w:val="none" w:sz="0" w:space="0" w:color="auto"/>
            <w:bottom w:val="none" w:sz="0" w:space="0" w:color="auto"/>
            <w:right w:val="none" w:sz="0" w:space="0" w:color="auto"/>
          </w:divBdr>
        </w:div>
        <w:div w:id="673341908">
          <w:marLeft w:val="640"/>
          <w:marRight w:val="0"/>
          <w:marTop w:val="0"/>
          <w:marBottom w:val="0"/>
          <w:divBdr>
            <w:top w:val="none" w:sz="0" w:space="0" w:color="auto"/>
            <w:left w:val="none" w:sz="0" w:space="0" w:color="auto"/>
            <w:bottom w:val="none" w:sz="0" w:space="0" w:color="auto"/>
            <w:right w:val="none" w:sz="0" w:space="0" w:color="auto"/>
          </w:divBdr>
        </w:div>
        <w:div w:id="1680278480">
          <w:marLeft w:val="640"/>
          <w:marRight w:val="0"/>
          <w:marTop w:val="0"/>
          <w:marBottom w:val="0"/>
          <w:divBdr>
            <w:top w:val="none" w:sz="0" w:space="0" w:color="auto"/>
            <w:left w:val="none" w:sz="0" w:space="0" w:color="auto"/>
            <w:bottom w:val="none" w:sz="0" w:space="0" w:color="auto"/>
            <w:right w:val="none" w:sz="0" w:space="0" w:color="auto"/>
          </w:divBdr>
        </w:div>
        <w:div w:id="840196590">
          <w:marLeft w:val="640"/>
          <w:marRight w:val="0"/>
          <w:marTop w:val="0"/>
          <w:marBottom w:val="0"/>
          <w:divBdr>
            <w:top w:val="none" w:sz="0" w:space="0" w:color="auto"/>
            <w:left w:val="none" w:sz="0" w:space="0" w:color="auto"/>
            <w:bottom w:val="none" w:sz="0" w:space="0" w:color="auto"/>
            <w:right w:val="none" w:sz="0" w:space="0" w:color="auto"/>
          </w:divBdr>
        </w:div>
        <w:div w:id="952128102">
          <w:marLeft w:val="640"/>
          <w:marRight w:val="0"/>
          <w:marTop w:val="0"/>
          <w:marBottom w:val="0"/>
          <w:divBdr>
            <w:top w:val="none" w:sz="0" w:space="0" w:color="auto"/>
            <w:left w:val="none" w:sz="0" w:space="0" w:color="auto"/>
            <w:bottom w:val="none" w:sz="0" w:space="0" w:color="auto"/>
            <w:right w:val="none" w:sz="0" w:space="0" w:color="auto"/>
          </w:divBdr>
        </w:div>
        <w:div w:id="1253970730">
          <w:marLeft w:val="640"/>
          <w:marRight w:val="0"/>
          <w:marTop w:val="0"/>
          <w:marBottom w:val="0"/>
          <w:divBdr>
            <w:top w:val="none" w:sz="0" w:space="0" w:color="auto"/>
            <w:left w:val="none" w:sz="0" w:space="0" w:color="auto"/>
            <w:bottom w:val="none" w:sz="0" w:space="0" w:color="auto"/>
            <w:right w:val="none" w:sz="0" w:space="0" w:color="auto"/>
          </w:divBdr>
        </w:div>
      </w:divsChild>
    </w:div>
    <w:div w:id="852261681">
      <w:bodyDiv w:val="1"/>
      <w:marLeft w:val="0"/>
      <w:marRight w:val="0"/>
      <w:marTop w:val="0"/>
      <w:marBottom w:val="0"/>
      <w:divBdr>
        <w:top w:val="none" w:sz="0" w:space="0" w:color="auto"/>
        <w:left w:val="none" w:sz="0" w:space="0" w:color="auto"/>
        <w:bottom w:val="none" w:sz="0" w:space="0" w:color="auto"/>
        <w:right w:val="none" w:sz="0" w:space="0" w:color="auto"/>
      </w:divBdr>
      <w:divsChild>
        <w:div w:id="342897949">
          <w:marLeft w:val="640"/>
          <w:marRight w:val="0"/>
          <w:marTop w:val="0"/>
          <w:marBottom w:val="0"/>
          <w:divBdr>
            <w:top w:val="none" w:sz="0" w:space="0" w:color="auto"/>
            <w:left w:val="none" w:sz="0" w:space="0" w:color="auto"/>
            <w:bottom w:val="none" w:sz="0" w:space="0" w:color="auto"/>
            <w:right w:val="none" w:sz="0" w:space="0" w:color="auto"/>
          </w:divBdr>
        </w:div>
        <w:div w:id="1560939416">
          <w:marLeft w:val="640"/>
          <w:marRight w:val="0"/>
          <w:marTop w:val="0"/>
          <w:marBottom w:val="0"/>
          <w:divBdr>
            <w:top w:val="none" w:sz="0" w:space="0" w:color="auto"/>
            <w:left w:val="none" w:sz="0" w:space="0" w:color="auto"/>
            <w:bottom w:val="none" w:sz="0" w:space="0" w:color="auto"/>
            <w:right w:val="none" w:sz="0" w:space="0" w:color="auto"/>
          </w:divBdr>
        </w:div>
        <w:div w:id="1552494122">
          <w:marLeft w:val="640"/>
          <w:marRight w:val="0"/>
          <w:marTop w:val="0"/>
          <w:marBottom w:val="0"/>
          <w:divBdr>
            <w:top w:val="none" w:sz="0" w:space="0" w:color="auto"/>
            <w:left w:val="none" w:sz="0" w:space="0" w:color="auto"/>
            <w:bottom w:val="none" w:sz="0" w:space="0" w:color="auto"/>
            <w:right w:val="none" w:sz="0" w:space="0" w:color="auto"/>
          </w:divBdr>
        </w:div>
        <w:div w:id="1529097162">
          <w:marLeft w:val="640"/>
          <w:marRight w:val="0"/>
          <w:marTop w:val="0"/>
          <w:marBottom w:val="0"/>
          <w:divBdr>
            <w:top w:val="none" w:sz="0" w:space="0" w:color="auto"/>
            <w:left w:val="none" w:sz="0" w:space="0" w:color="auto"/>
            <w:bottom w:val="none" w:sz="0" w:space="0" w:color="auto"/>
            <w:right w:val="none" w:sz="0" w:space="0" w:color="auto"/>
          </w:divBdr>
        </w:div>
        <w:div w:id="1278878304">
          <w:marLeft w:val="640"/>
          <w:marRight w:val="0"/>
          <w:marTop w:val="0"/>
          <w:marBottom w:val="0"/>
          <w:divBdr>
            <w:top w:val="none" w:sz="0" w:space="0" w:color="auto"/>
            <w:left w:val="none" w:sz="0" w:space="0" w:color="auto"/>
            <w:bottom w:val="none" w:sz="0" w:space="0" w:color="auto"/>
            <w:right w:val="none" w:sz="0" w:space="0" w:color="auto"/>
          </w:divBdr>
        </w:div>
        <w:div w:id="1752965199">
          <w:marLeft w:val="640"/>
          <w:marRight w:val="0"/>
          <w:marTop w:val="0"/>
          <w:marBottom w:val="0"/>
          <w:divBdr>
            <w:top w:val="none" w:sz="0" w:space="0" w:color="auto"/>
            <w:left w:val="none" w:sz="0" w:space="0" w:color="auto"/>
            <w:bottom w:val="none" w:sz="0" w:space="0" w:color="auto"/>
            <w:right w:val="none" w:sz="0" w:space="0" w:color="auto"/>
          </w:divBdr>
        </w:div>
        <w:div w:id="814223500">
          <w:marLeft w:val="640"/>
          <w:marRight w:val="0"/>
          <w:marTop w:val="0"/>
          <w:marBottom w:val="0"/>
          <w:divBdr>
            <w:top w:val="none" w:sz="0" w:space="0" w:color="auto"/>
            <w:left w:val="none" w:sz="0" w:space="0" w:color="auto"/>
            <w:bottom w:val="none" w:sz="0" w:space="0" w:color="auto"/>
            <w:right w:val="none" w:sz="0" w:space="0" w:color="auto"/>
          </w:divBdr>
        </w:div>
        <w:div w:id="586161415">
          <w:marLeft w:val="640"/>
          <w:marRight w:val="0"/>
          <w:marTop w:val="0"/>
          <w:marBottom w:val="0"/>
          <w:divBdr>
            <w:top w:val="none" w:sz="0" w:space="0" w:color="auto"/>
            <w:left w:val="none" w:sz="0" w:space="0" w:color="auto"/>
            <w:bottom w:val="none" w:sz="0" w:space="0" w:color="auto"/>
            <w:right w:val="none" w:sz="0" w:space="0" w:color="auto"/>
          </w:divBdr>
        </w:div>
        <w:div w:id="742289200">
          <w:marLeft w:val="640"/>
          <w:marRight w:val="0"/>
          <w:marTop w:val="0"/>
          <w:marBottom w:val="0"/>
          <w:divBdr>
            <w:top w:val="none" w:sz="0" w:space="0" w:color="auto"/>
            <w:left w:val="none" w:sz="0" w:space="0" w:color="auto"/>
            <w:bottom w:val="none" w:sz="0" w:space="0" w:color="auto"/>
            <w:right w:val="none" w:sz="0" w:space="0" w:color="auto"/>
          </w:divBdr>
        </w:div>
        <w:div w:id="1321078478">
          <w:marLeft w:val="640"/>
          <w:marRight w:val="0"/>
          <w:marTop w:val="0"/>
          <w:marBottom w:val="0"/>
          <w:divBdr>
            <w:top w:val="none" w:sz="0" w:space="0" w:color="auto"/>
            <w:left w:val="none" w:sz="0" w:space="0" w:color="auto"/>
            <w:bottom w:val="none" w:sz="0" w:space="0" w:color="auto"/>
            <w:right w:val="none" w:sz="0" w:space="0" w:color="auto"/>
          </w:divBdr>
        </w:div>
        <w:div w:id="895164620">
          <w:marLeft w:val="640"/>
          <w:marRight w:val="0"/>
          <w:marTop w:val="0"/>
          <w:marBottom w:val="0"/>
          <w:divBdr>
            <w:top w:val="none" w:sz="0" w:space="0" w:color="auto"/>
            <w:left w:val="none" w:sz="0" w:space="0" w:color="auto"/>
            <w:bottom w:val="none" w:sz="0" w:space="0" w:color="auto"/>
            <w:right w:val="none" w:sz="0" w:space="0" w:color="auto"/>
          </w:divBdr>
        </w:div>
        <w:div w:id="257493233">
          <w:marLeft w:val="640"/>
          <w:marRight w:val="0"/>
          <w:marTop w:val="0"/>
          <w:marBottom w:val="0"/>
          <w:divBdr>
            <w:top w:val="none" w:sz="0" w:space="0" w:color="auto"/>
            <w:left w:val="none" w:sz="0" w:space="0" w:color="auto"/>
            <w:bottom w:val="none" w:sz="0" w:space="0" w:color="auto"/>
            <w:right w:val="none" w:sz="0" w:space="0" w:color="auto"/>
          </w:divBdr>
        </w:div>
        <w:div w:id="969239262">
          <w:marLeft w:val="640"/>
          <w:marRight w:val="0"/>
          <w:marTop w:val="0"/>
          <w:marBottom w:val="0"/>
          <w:divBdr>
            <w:top w:val="none" w:sz="0" w:space="0" w:color="auto"/>
            <w:left w:val="none" w:sz="0" w:space="0" w:color="auto"/>
            <w:bottom w:val="none" w:sz="0" w:space="0" w:color="auto"/>
            <w:right w:val="none" w:sz="0" w:space="0" w:color="auto"/>
          </w:divBdr>
        </w:div>
        <w:div w:id="349186567">
          <w:marLeft w:val="640"/>
          <w:marRight w:val="0"/>
          <w:marTop w:val="0"/>
          <w:marBottom w:val="0"/>
          <w:divBdr>
            <w:top w:val="none" w:sz="0" w:space="0" w:color="auto"/>
            <w:left w:val="none" w:sz="0" w:space="0" w:color="auto"/>
            <w:bottom w:val="none" w:sz="0" w:space="0" w:color="auto"/>
            <w:right w:val="none" w:sz="0" w:space="0" w:color="auto"/>
          </w:divBdr>
        </w:div>
        <w:div w:id="802113199">
          <w:marLeft w:val="640"/>
          <w:marRight w:val="0"/>
          <w:marTop w:val="0"/>
          <w:marBottom w:val="0"/>
          <w:divBdr>
            <w:top w:val="none" w:sz="0" w:space="0" w:color="auto"/>
            <w:left w:val="none" w:sz="0" w:space="0" w:color="auto"/>
            <w:bottom w:val="none" w:sz="0" w:space="0" w:color="auto"/>
            <w:right w:val="none" w:sz="0" w:space="0" w:color="auto"/>
          </w:divBdr>
        </w:div>
        <w:div w:id="1724863972">
          <w:marLeft w:val="640"/>
          <w:marRight w:val="0"/>
          <w:marTop w:val="0"/>
          <w:marBottom w:val="0"/>
          <w:divBdr>
            <w:top w:val="none" w:sz="0" w:space="0" w:color="auto"/>
            <w:left w:val="none" w:sz="0" w:space="0" w:color="auto"/>
            <w:bottom w:val="none" w:sz="0" w:space="0" w:color="auto"/>
            <w:right w:val="none" w:sz="0" w:space="0" w:color="auto"/>
          </w:divBdr>
        </w:div>
        <w:div w:id="2114668859">
          <w:marLeft w:val="640"/>
          <w:marRight w:val="0"/>
          <w:marTop w:val="0"/>
          <w:marBottom w:val="0"/>
          <w:divBdr>
            <w:top w:val="none" w:sz="0" w:space="0" w:color="auto"/>
            <w:left w:val="none" w:sz="0" w:space="0" w:color="auto"/>
            <w:bottom w:val="none" w:sz="0" w:space="0" w:color="auto"/>
            <w:right w:val="none" w:sz="0" w:space="0" w:color="auto"/>
          </w:divBdr>
        </w:div>
        <w:div w:id="937519540">
          <w:marLeft w:val="640"/>
          <w:marRight w:val="0"/>
          <w:marTop w:val="0"/>
          <w:marBottom w:val="0"/>
          <w:divBdr>
            <w:top w:val="none" w:sz="0" w:space="0" w:color="auto"/>
            <w:left w:val="none" w:sz="0" w:space="0" w:color="auto"/>
            <w:bottom w:val="none" w:sz="0" w:space="0" w:color="auto"/>
            <w:right w:val="none" w:sz="0" w:space="0" w:color="auto"/>
          </w:divBdr>
        </w:div>
        <w:div w:id="1344820961">
          <w:marLeft w:val="640"/>
          <w:marRight w:val="0"/>
          <w:marTop w:val="0"/>
          <w:marBottom w:val="0"/>
          <w:divBdr>
            <w:top w:val="none" w:sz="0" w:space="0" w:color="auto"/>
            <w:left w:val="none" w:sz="0" w:space="0" w:color="auto"/>
            <w:bottom w:val="none" w:sz="0" w:space="0" w:color="auto"/>
            <w:right w:val="none" w:sz="0" w:space="0" w:color="auto"/>
          </w:divBdr>
        </w:div>
        <w:div w:id="939682888">
          <w:marLeft w:val="640"/>
          <w:marRight w:val="0"/>
          <w:marTop w:val="0"/>
          <w:marBottom w:val="0"/>
          <w:divBdr>
            <w:top w:val="none" w:sz="0" w:space="0" w:color="auto"/>
            <w:left w:val="none" w:sz="0" w:space="0" w:color="auto"/>
            <w:bottom w:val="none" w:sz="0" w:space="0" w:color="auto"/>
            <w:right w:val="none" w:sz="0" w:space="0" w:color="auto"/>
          </w:divBdr>
        </w:div>
        <w:div w:id="249584494">
          <w:marLeft w:val="640"/>
          <w:marRight w:val="0"/>
          <w:marTop w:val="0"/>
          <w:marBottom w:val="0"/>
          <w:divBdr>
            <w:top w:val="none" w:sz="0" w:space="0" w:color="auto"/>
            <w:left w:val="none" w:sz="0" w:space="0" w:color="auto"/>
            <w:bottom w:val="none" w:sz="0" w:space="0" w:color="auto"/>
            <w:right w:val="none" w:sz="0" w:space="0" w:color="auto"/>
          </w:divBdr>
        </w:div>
        <w:div w:id="203761131">
          <w:marLeft w:val="640"/>
          <w:marRight w:val="0"/>
          <w:marTop w:val="0"/>
          <w:marBottom w:val="0"/>
          <w:divBdr>
            <w:top w:val="none" w:sz="0" w:space="0" w:color="auto"/>
            <w:left w:val="none" w:sz="0" w:space="0" w:color="auto"/>
            <w:bottom w:val="none" w:sz="0" w:space="0" w:color="auto"/>
            <w:right w:val="none" w:sz="0" w:space="0" w:color="auto"/>
          </w:divBdr>
        </w:div>
        <w:div w:id="577449621">
          <w:marLeft w:val="640"/>
          <w:marRight w:val="0"/>
          <w:marTop w:val="0"/>
          <w:marBottom w:val="0"/>
          <w:divBdr>
            <w:top w:val="none" w:sz="0" w:space="0" w:color="auto"/>
            <w:left w:val="none" w:sz="0" w:space="0" w:color="auto"/>
            <w:bottom w:val="none" w:sz="0" w:space="0" w:color="auto"/>
            <w:right w:val="none" w:sz="0" w:space="0" w:color="auto"/>
          </w:divBdr>
        </w:div>
        <w:div w:id="1545174965">
          <w:marLeft w:val="640"/>
          <w:marRight w:val="0"/>
          <w:marTop w:val="0"/>
          <w:marBottom w:val="0"/>
          <w:divBdr>
            <w:top w:val="none" w:sz="0" w:space="0" w:color="auto"/>
            <w:left w:val="none" w:sz="0" w:space="0" w:color="auto"/>
            <w:bottom w:val="none" w:sz="0" w:space="0" w:color="auto"/>
            <w:right w:val="none" w:sz="0" w:space="0" w:color="auto"/>
          </w:divBdr>
        </w:div>
        <w:div w:id="59908515">
          <w:marLeft w:val="640"/>
          <w:marRight w:val="0"/>
          <w:marTop w:val="0"/>
          <w:marBottom w:val="0"/>
          <w:divBdr>
            <w:top w:val="none" w:sz="0" w:space="0" w:color="auto"/>
            <w:left w:val="none" w:sz="0" w:space="0" w:color="auto"/>
            <w:bottom w:val="none" w:sz="0" w:space="0" w:color="auto"/>
            <w:right w:val="none" w:sz="0" w:space="0" w:color="auto"/>
          </w:divBdr>
        </w:div>
        <w:div w:id="1788036717">
          <w:marLeft w:val="640"/>
          <w:marRight w:val="0"/>
          <w:marTop w:val="0"/>
          <w:marBottom w:val="0"/>
          <w:divBdr>
            <w:top w:val="none" w:sz="0" w:space="0" w:color="auto"/>
            <w:left w:val="none" w:sz="0" w:space="0" w:color="auto"/>
            <w:bottom w:val="none" w:sz="0" w:space="0" w:color="auto"/>
            <w:right w:val="none" w:sz="0" w:space="0" w:color="auto"/>
          </w:divBdr>
        </w:div>
        <w:div w:id="2004434131">
          <w:marLeft w:val="640"/>
          <w:marRight w:val="0"/>
          <w:marTop w:val="0"/>
          <w:marBottom w:val="0"/>
          <w:divBdr>
            <w:top w:val="none" w:sz="0" w:space="0" w:color="auto"/>
            <w:left w:val="none" w:sz="0" w:space="0" w:color="auto"/>
            <w:bottom w:val="none" w:sz="0" w:space="0" w:color="auto"/>
            <w:right w:val="none" w:sz="0" w:space="0" w:color="auto"/>
          </w:divBdr>
        </w:div>
        <w:div w:id="1765153602">
          <w:marLeft w:val="640"/>
          <w:marRight w:val="0"/>
          <w:marTop w:val="0"/>
          <w:marBottom w:val="0"/>
          <w:divBdr>
            <w:top w:val="none" w:sz="0" w:space="0" w:color="auto"/>
            <w:left w:val="none" w:sz="0" w:space="0" w:color="auto"/>
            <w:bottom w:val="none" w:sz="0" w:space="0" w:color="auto"/>
            <w:right w:val="none" w:sz="0" w:space="0" w:color="auto"/>
          </w:divBdr>
        </w:div>
        <w:div w:id="104816159">
          <w:marLeft w:val="640"/>
          <w:marRight w:val="0"/>
          <w:marTop w:val="0"/>
          <w:marBottom w:val="0"/>
          <w:divBdr>
            <w:top w:val="none" w:sz="0" w:space="0" w:color="auto"/>
            <w:left w:val="none" w:sz="0" w:space="0" w:color="auto"/>
            <w:bottom w:val="none" w:sz="0" w:space="0" w:color="auto"/>
            <w:right w:val="none" w:sz="0" w:space="0" w:color="auto"/>
          </w:divBdr>
        </w:div>
        <w:div w:id="136650655">
          <w:marLeft w:val="640"/>
          <w:marRight w:val="0"/>
          <w:marTop w:val="0"/>
          <w:marBottom w:val="0"/>
          <w:divBdr>
            <w:top w:val="none" w:sz="0" w:space="0" w:color="auto"/>
            <w:left w:val="none" w:sz="0" w:space="0" w:color="auto"/>
            <w:bottom w:val="none" w:sz="0" w:space="0" w:color="auto"/>
            <w:right w:val="none" w:sz="0" w:space="0" w:color="auto"/>
          </w:divBdr>
        </w:div>
        <w:div w:id="681394541">
          <w:marLeft w:val="640"/>
          <w:marRight w:val="0"/>
          <w:marTop w:val="0"/>
          <w:marBottom w:val="0"/>
          <w:divBdr>
            <w:top w:val="none" w:sz="0" w:space="0" w:color="auto"/>
            <w:left w:val="none" w:sz="0" w:space="0" w:color="auto"/>
            <w:bottom w:val="none" w:sz="0" w:space="0" w:color="auto"/>
            <w:right w:val="none" w:sz="0" w:space="0" w:color="auto"/>
          </w:divBdr>
        </w:div>
        <w:div w:id="1597905714">
          <w:marLeft w:val="640"/>
          <w:marRight w:val="0"/>
          <w:marTop w:val="0"/>
          <w:marBottom w:val="0"/>
          <w:divBdr>
            <w:top w:val="none" w:sz="0" w:space="0" w:color="auto"/>
            <w:left w:val="none" w:sz="0" w:space="0" w:color="auto"/>
            <w:bottom w:val="none" w:sz="0" w:space="0" w:color="auto"/>
            <w:right w:val="none" w:sz="0" w:space="0" w:color="auto"/>
          </w:divBdr>
        </w:div>
        <w:div w:id="1645544107">
          <w:marLeft w:val="640"/>
          <w:marRight w:val="0"/>
          <w:marTop w:val="0"/>
          <w:marBottom w:val="0"/>
          <w:divBdr>
            <w:top w:val="none" w:sz="0" w:space="0" w:color="auto"/>
            <w:left w:val="none" w:sz="0" w:space="0" w:color="auto"/>
            <w:bottom w:val="none" w:sz="0" w:space="0" w:color="auto"/>
            <w:right w:val="none" w:sz="0" w:space="0" w:color="auto"/>
          </w:divBdr>
        </w:div>
        <w:div w:id="1426998731">
          <w:marLeft w:val="640"/>
          <w:marRight w:val="0"/>
          <w:marTop w:val="0"/>
          <w:marBottom w:val="0"/>
          <w:divBdr>
            <w:top w:val="none" w:sz="0" w:space="0" w:color="auto"/>
            <w:left w:val="none" w:sz="0" w:space="0" w:color="auto"/>
            <w:bottom w:val="none" w:sz="0" w:space="0" w:color="auto"/>
            <w:right w:val="none" w:sz="0" w:space="0" w:color="auto"/>
          </w:divBdr>
        </w:div>
        <w:div w:id="959646039">
          <w:marLeft w:val="640"/>
          <w:marRight w:val="0"/>
          <w:marTop w:val="0"/>
          <w:marBottom w:val="0"/>
          <w:divBdr>
            <w:top w:val="none" w:sz="0" w:space="0" w:color="auto"/>
            <w:left w:val="none" w:sz="0" w:space="0" w:color="auto"/>
            <w:bottom w:val="none" w:sz="0" w:space="0" w:color="auto"/>
            <w:right w:val="none" w:sz="0" w:space="0" w:color="auto"/>
          </w:divBdr>
        </w:div>
        <w:div w:id="2084713376">
          <w:marLeft w:val="640"/>
          <w:marRight w:val="0"/>
          <w:marTop w:val="0"/>
          <w:marBottom w:val="0"/>
          <w:divBdr>
            <w:top w:val="none" w:sz="0" w:space="0" w:color="auto"/>
            <w:left w:val="none" w:sz="0" w:space="0" w:color="auto"/>
            <w:bottom w:val="none" w:sz="0" w:space="0" w:color="auto"/>
            <w:right w:val="none" w:sz="0" w:space="0" w:color="auto"/>
          </w:divBdr>
        </w:div>
        <w:div w:id="364133373">
          <w:marLeft w:val="640"/>
          <w:marRight w:val="0"/>
          <w:marTop w:val="0"/>
          <w:marBottom w:val="0"/>
          <w:divBdr>
            <w:top w:val="none" w:sz="0" w:space="0" w:color="auto"/>
            <w:left w:val="none" w:sz="0" w:space="0" w:color="auto"/>
            <w:bottom w:val="none" w:sz="0" w:space="0" w:color="auto"/>
            <w:right w:val="none" w:sz="0" w:space="0" w:color="auto"/>
          </w:divBdr>
        </w:div>
        <w:div w:id="1823228021">
          <w:marLeft w:val="640"/>
          <w:marRight w:val="0"/>
          <w:marTop w:val="0"/>
          <w:marBottom w:val="0"/>
          <w:divBdr>
            <w:top w:val="none" w:sz="0" w:space="0" w:color="auto"/>
            <w:left w:val="none" w:sz="0" w:space="0" w:color="auto"/>
            <w:bottom w:val="none" w:sz="0" w:space="0" w:color="auto"/>
            <w:right w:val="none" w:sz="0" w:space="0" w:color="auto"/>
          </w:divBdr>
        </w:div>
        <w:div w:id="1357387769">
          <w:marLeft w:val="640"/>
          <w:marRight w:val="0"/>
          <w:marTop w:val="0"/>
          <w:marBottom w:val="0"/>
          <w:divBdr>
            <w:top w:val="none" w:sz="0" w:space="0" w:color="auto"/>
            <w:left w:val="none" w:sz="0" w:space="0" w:color="auto"/>
            <w:bottom w:val="none" w:sz="0" w:space="0" w:color="auto"/>
            <w:right w:val="none" w:sz="0" w:space="0" w:color="auto"/>
          </w:divBdr>
        </w:div>
        <w:div w:id="10956786">
          <w:marLeft w:val="640"/>
          <w:marRight w:val="0"/>
          <w:marTop w:val="0"/>
          <w:marBottom w:val="0"/>
          <w:divBdr>
            <w:top w:val="none" w:sz="0" w:space="0" w:color="auto"/>
            <w:left w:val="none" w:sz="0" w:space="0" w:color="auto"/>
            <w:bottom w:val="none" w:sz="0" w:space="0" w:color="auto"/>
            <w:right w:val="none" w:sz="0" w:space="0" w:color="auto"/>
          </w:divBdr>
        </w:div>
        <w:div w:id="1027290645">
          <w:marLeft w:val="640"/>
          <w:marRight w:val="0"/>
          <w:marTop w:val="0"/>
          <w:marBottom w:val="0"/>
          <w:divBdr>
            <w:top w:val="none" w:sz="0" w:space="0" w:color="auto"/>
            <w:left w:val="none" w:sz="0" w:space="0" w:color="auto"/>
            <w:bottom w:val="none" w:sz="0" w:space="0" w:color="auto"/>
            <w:right w:val="none" w:sz="0" w:space="0" w:color="auto"/>
          </w:divBdr>
        </w:div>
        <w:div w:id="1028602599">
          <w:marLeft w:val="640"/>
          <w:marRight w:val="0"/>
          <w:marTop w:val="0"/>
          <w:marBottom w:val="0"/>
          <w:divBdr>
            <w:top w:val="none" w:sz="0" w:space="0" w:color="auto"/>
            <w:left w:val="none" w:sz="0" w:space="0" w:color="auto"/>
            <w:bottom w:val="none" w:sz="0" w:space="0" w:color="auto"/>
            <w:right w:val="none" w:sz="0" w:space="0" w:color="auto"/>
          </w:divBdr>
        </w:div>
        <w:div w:id="1334256927">
          <w:marLeft w:val="640"/>
          <w:marRight w:val="0"/>
          <w:marTop w:val="0"/>
          <w:marBottom w:val="0"/>
          <w:divBdr>
            <w:top w:val="none" w:sz="0" w:space="0" w:color="auto"/>
            <w:left w:val="none" w:sz="0" w:space="0" w:color="auto"/>
            <w:bottom w:val="none" w:sz="0" w:space="0" w:color="auto"/>
            <w:right w:val="none" w:sz="0" w:space="0" w:color="auto"/>
          </w:divBdr>
        </w:div>
        <w:div w:id="2080400068">
          <w:marLeft w:val="640"/>
          <w:marRight w:val="0"/>
          <w:marTop w:val="0"/>
          <w:marBottom w:val="0"/>
          <w:divBdr>
            <w:top w:val="none" w:sz="0" w:space="0" w:color="auto"/>
            <w:left w:val="none" w:sz="0" w:space="0" w:color="auto"/>
            <w:bottom w:val="none" w:sz="0" w:space="0" w:color="auto"/>
            <w:right w:val="none" w:sz="0" w:space="0" w:color="auto"/>
          </w:divBdr>
        </w:div>
        <w:div w:id="1560433716">
          <w:marLeft w:val="640"/>
          <w:marRight w:val="0"/>
          <w:marTop w:val="0"/>
          <w:marBottom w:val="0"/>
          <w:divBdr>
            <w:top w:val="none" w:sz="0" w:space="0" w:color="auto"/>
            <w:left w:val="none" w:sz="0" w:space="0" w:color="auto"/>
            <w:bottom w:val="none" w:sz="0" w:space="0" w:color="auto"/>
            <w:right w:val="none" w:sz="0" w:space="0" w:color="auto"/>
          </w:divBdr>
        </w:div>
        <w:div w:id="287667027">
          <w:marLeft w:val="640"/>
          <w:marRight w:val="0"/>
          <w:marTop w:val="0"/>
          <w:marBottom w:val="0"/>
          <w:divBdr>
            <w:top w:val="none" w:sz="0" w:space="0" w:color="auto"/>
            <w:left w:val="none" w:sz="0" w:space="0" w:color="auto"/>
            <w:bottom w:val="none" w:sz="0" w:space="0" w:color="auto"/>
            <w:right w:val="none" w:sz="0" w:space="0" w:color="auto"/>
          </w:divBdr>
        </w:div>
        <w:div w:id="1412193801">
          <w:marLeft w:val="640"/>
          <w:marRight w:val="0"/>
          <w:marTop w:val="0"/>
          <w:marBottom w:val="0"/>
          <w:divBdr>
            <w:top w:val="none" w:sz="0" w:space="0" w:color="auto"/>
            <w:left w:val="none" w:sz="0" w:space="0" w:color="auto"/>
            <w:bottom w:val="none" w:sz="0" w:space="0" w:color="auto"/>
            <w:right w:val="none" w:sz="0" w:space="0" w:color="auto"/>
          </w:divBdr>
        </w:div>
        <w:div w:id="1888567106">
          <w:marLeft w:val="640"/>
          <w:marRight w:val="0"/>
          <w:marTop w:val="0"/>
          <w:marBottom w:val="0"/>
          <w:divBdr>
            <w:top w:val="none" w:sz="0" w:space="0" w:color="auto"/>
            <w:left w:val="none" w:sz="0" w:space="0" w:color="auto"/>
            <w:bottom w:val="none" w:sz="0" w:space="0" w:color="auto"/>
            <w:right w:val="none" w:sz="0" w:space="0" w:color="auto"/>
          </w:divBdr>
        </w:div>
        <w:div w:id="1562869122">
          <w:marLeft w:val="640"/>
          <w:marRight w:val="0"/>
          <w:marTop w:val="0"/>
          <w:marBottom w:val="0"/>
          <w:divBdr>
            <w:top w:val="none" w:sz="0" w:space="0" w:color="auto"/>
            <w:left w:val="none" w:sz="0" w:space="0" w:color="auto"/>
            <w:bottom w:val="none" w:sz="0" w:space="0" w:color="auto"/>
            <w:right w:val="none" w:sz="0" w:space="0" w:color="auto"/>
          </w:divBdr>
        </w:div>
        <w:div w:id="1895309009">
          <w:marLeft w:val="640"/>
          <w:marRight w:val="0"/>
          <w:marTop w:val="0"/>
          <w:marBottom w:val="0"/>
          <w:divBdr>
            <w:top w:val="none" w:sz="0" w:space="0" w:color="auto"/>
            <w:left w:val="none" w:sz="0" w:space="0" w:color="auto"/>
            <w:bottom w:val="none" w:sz="0" w:space="0" w:color="auto"/>
            <w:right w:val="none" w:sz="0" w:space="0" w:color="auto"/>
          </w:divBdr>
        </w:div>
        <w:div w:id="1385105122">
          <w:marLeft w:val="640"/>
          <w:marRight w:val="0"/>
          <w:marTop w:val="0"/>
          <w:marBottom w:val="0"/>
          <w:divBdr>
            <w:top w:val="none" w:sz="0" w:space="0" w:color="auto"/>
            <w:left w:val="none" w:sz="0" w:space="0" w:color="auto"/>
            <w:bottom w:val="none" w:sz="0" w:space="0" w:color="auto"/>
            <w:right w:val="none" w:sz="0" w:space="0" w:color="auto"/>
          </w:divBdr>
        </w:div>
        <w:div w:id="1542860825">
          <w:marLeft w:val="640"/>
          <w:marRight w:val="0"/>
          <w:marTop w:val="0"/>
          <w:marBottom w:val="0"/>
          <w:divBdr>
            <w:top w:val="none" w:sz="0" w:space="0" w:color="auto"/>
            <w:left w:val="none" w:sz="0" w:space="0" w:color="auto"/>
            <w:bottom w:val="none" w:sz="0" w:space="0" w:color="auto"/>
            <w:right w:val="none" w:sz="0" w:space="0" w:color="auto"/>
          </w:divBdr>
        </w:div>
        <w:div w:id="562328149">
          <w:marLeft w:val="640"/>
          <w:marRight w:val="0"/>
          <w:marTop w:val="0"/>
          <w:marBottom w:val="0"/>
          <w:divBdr>
            <w:top w:val="none" w:sz="0" w:space="0" w:color="auto"/>
            <w:left w:val="none" w:sz="0" w:space="0" w:color="auto"/>
            <w:bottom w:val="none" w:sz="0" w:space="0" w:color="auto"/>
            <w:right w:val="none" w:sz="0" w:space="0" w:color="auto"/>
          </w:divBdr>
        </w:div>
        <w:div w:id="946234407">
          <w:marLeft w:val="640"/>
          <w:marRight w:val="0"/>
          <w:marTop w:val="0"/>
          <w:marBottom w:val="0"/>
          <w:divBdr>
            <w:top w:val="none" w:sz="0" w:space="0" w:color="auto"/>
            <w:left w:val="none" w:sz="0" w:space="0" w:color="auto"/>
            <w:bottom w:val="none" w:sz="0" w:space="0" w:color="auto"/>
            <w:right w:val="none" w:sz="0" w:space="0" w:color="auto"/>
          </w:divBdr>
        </w:div>
        <w:div w:id="1681081162">
          <w:marLeft w:val="640"/>
          <w:marRight w:val="0"/>
          <w:marTop w:val="0"/>
          <w:marBottom w:val="0"/>
          <w:divBdr>
            <w:top w:val="none" w:sz="0" w:space="0" w:color="auto"/>
            <w:left w:val="none" w:sz="0" w:space="0" w:color="auto"/>
            <w:bottom w:val="none" w:sz="0" w:space="0" w:color="auto"/>
            <w:right w:val="none" w:sz="0" w:space="0" w:color="auto"/>
          </w:divBdr>
        </w:div>
        <w:div w:id="1082602207">
          <w:marLeft w:val="640"/>
          <w:marRight w:val="0"/>
          <w:marTop w:val="0"/>
          <w:marBottom w:val="0"/>
          <w:divBdr>
            <w:top w:val="none" w:sz="0" w:space="0" w:color="auto"/>
            <w:left w:val="none" w:sz="0" w:space="0" w:color="auto"/>
            <w:bottom w:val="none" w:sz="0" w:space="0" w:color="auto"/>
            <w:right w:val="none" w:sz="0" w:space="0" w:color="auto"/>
          </w:divBdr>
        </w:div>
        <w:div w:id="42682549">
          <w:marLeft w:val="640"/>
          <w:marRight w:val="0"/>
          <w:marTop w:val="0"/>
          <w:marBottom w:val="0"/>
          <w:divBdr>
            <w:top w:val="none" w:sz="0" w:space="0" w:color="auto"/>
            <w:left w:val="none" w:sz="0" w:space="0" w:color="auto"/>
            <w:bottom w:val="none" w:sz="0" w:space="0" w:color="auto"/>
            <w:right w:val="none" w:sz="0" w:space="0" w:color="auto"/>
          </w:divBdr>
        </w:div>
        <w:div w:id="1765959730">
          <w:marLeft w:val="640"/>
          <w:marRight w:val="0"/>
          <w:marTop w:val="0"/>
          <w:marBottom w:val="0"/>
          <w:divBdr>
            <w:top w:val="none" w:sz="0" w:space="0" w:color="auto"/>
            <w:left w:val="none" w:sz="0" w:space="0" w:color="auto"/>
            <w:bottom w:val="none" w:sz="0" w:space="0" w:color="auto"/>
            <w:right w:val="none" w:sz="0" w:space="0" w:color="auto"/>
          </w:divBdr>
        </w:div>
        <w:div w:id="3366473">
          <w:marLeft w:val="640"/>
          <w:marRight w:val="0"/>
          <w:marTop w:val="0"/>
          <w:marBottom w:val="0"/>
          <w:divBdr>
            <w:top w:val="none" w:sz="0" w:space="0" w:color="auto"/>
            <w:left w:val="none" w:sz="0" w:space="0" w:color="auto"/>
            <w:bottom w:val="none" w:sz="0" w:space="0" w:color="auto"/>
            <w:right w:val="none" w:sz="0" w:space="0" w:color="auto"/>
          </w:divBdr>
        </w:div>
        <w:div w:id="1926182549">
          <w:marLeft w:val="640"/>
          <w:marRight w:val="0"/>
          <w:marTop w:val="0"/>
          <w:marBottom w:val="0"/>
          <w:divBdr>
            <w:top w:val="none" w:sz="0" w:space="0" w:color="auto"/>
            <w:left w:val="none" w:sz="0" w:space="0" w:color="auto"/>
            <w:bottom w:val="none" w:sz="0" w:space="0" w:color="auto"/>
            <w:right w:val="none" w:sz="0" w:space="0" w:color="auto"/>
          </w:divBdr>
        </w:div>
        <w:div w:id="535702274">
          <w:marLeft w:val="640"/>
          <w:marRight w:val="0"/>
          <w:marTop w:val="0"/>
          <w:marBottom w:val="0"/>
          <w:divBdr>
            <w:top w:val="none" w:sz="0" w:space="0" w:color="auto"/>
            <w:left w:val="none" w:sz="0" w:space="0" w:color="auto"/>
            <w:bottom w:val="none" w:sz="0" w:space="0" w:color="auto"/>
            <w:right w:val="none" w:sz="0" w:space="0" w:color="auto"/>
          </w:divBdr>
        </w:div>
        <w:div w:id="84617280">
          <w:marLeft w:val="640"/>
          <w:marRight w:val="0"/>
          <w:marTop w:val="0"/>
          <w:marBottom w:val="0"/>
          <w:divBdr>
            <w:top w:val="none" w:sz="0" w:space="0" w:color="auto"/>
            <w:left w:val="none" w:sz="0" w:space="0" w:color="auto"/>
            <w:bottom w:val="none" w:sz="0" w:space="0" w:color="auto"/>
            <w:right w:val="none" w:sz="0" w:space="0" w:color="auto"/>
          </w:divBdr>
        </w:div>
        <w:div w:id="1159927175">
          <w:marLeft w:val="640"/>
          <w:marRight w:val="0"/>
          <w:marTop w:val="0"/>
          <w:marBottom w:val="0"/>
          <w:divBdr>
            <w:top w:val="none" w:sz="0" w:space="0" w:color="auto"/>
            <w:left w:val="none" w:sz="0" w:space="0" w:color="auto"/>
            <w:bottom w:val="none" w:sz="0" w:space="0" w:color="auto"/>
            <w:right w:val="none" w:sz="0" w:space="0" w:color="auto"/>
          </w:divBdr>
        </w:div>
        <w:div w:id="1682780376">
          <w:marLeft w:val="640"/>
          <w:marRight w:val="0"/>
          <w:marTop w:val="0"/>
          <w:marBottom w:val="0"/>
          <w:divBdr>
            <w:top w:val="none" w:sz="0" w:space="0" w:color="auto"/>
            <w:left w:val="none" w:sz="0" w:space="0" w:color="auto"/>
            <w:bottom w:val="none" w:sz="0" w:space="0" w:color="auto"/>
            <w:right w:val="none" w:sz="0" w:space="0" w:color="auto"/>
          </w:divBdr>
        </w:div>
        <w:div w:id="861822686">
          <w:marLeft w:val="640"/>
          <w:marRight w:val="0"/>
          <w:marTop w:val="0"/>
          <w:marBottom w:val="0"/>
          <w:divBdr>
            <w:top w:val="none" w:sz="0" w:space="0" w:color="auto"/>
            <w:left w:val="none" w:sz="0" w:space="0" w:color="auto"/>
            <w:bottom w:val="none" w:sz="0" w:space="0" w:color="auto"/>
            <w:right w:val="none" w:sz="0" w:space="0" w:color="auto"/>
          </w:divBdr>
        </w:div>
        <w:div w:id="526986645">
          <w:marLeft w:val="640"/>
          <w:marRight w:val="0"/>
          <w:marTop w:val="0"/>
          <w:marBottom w:val="0"/>
          <w:divBdr>
            <w:top w:val="none" w:sz="0" w:space="0" w:color="auto"/>
            <w:left w:val="none" w:sz="0" w:space="0" w:color="auto"/>
            <w:bottom w:val="none" w:sz="0" w:space="0" w:color="auto"/>
            <w:right w:val="none" w:sz="0" w:space="0" w:color="auto"/>
          </w:divBdr>
        </w:div>
        <w:div w:id="1491291519">
          <w:marLeft w:val="640"/>
          <w:marRight w:val="0"/>
          <w:marTop w:val="0"/>
          <w:marBottom w:val="0"/>
          <w:divBdr>
            <w:top w:val="none" w:sz="0" w:space="0" w:color="auto"/>
            <w:left w:val="none" w:sz="0" w:space="0" w:color="auto"/>
            <w:bottom w:val="none" w:sz="0" w:space="0" w:color="auto"/>
            <w:right w:val="none" w:sz="0" w:space="0" w:color="auto"/>
          </w:divBdr>
        </w:div>
        <w:div w:id="1869834893">
          <w:marLeft w:val="640"/>
          <w:marRight w:val="0"/>
          <w:marTop w:val="0"/>
          <w:marBottom w:val="0"/>
          <w:divBdr>
            <w:top w:val="none" w:sz="0" w:space="0" w:color="auto"/>
            <w:left w:val="none" w:sz="0" w:space="0" w:color="auto"/>
            <w:bottom w:val="none" w:sz="0" w:space="0" w:color="auto"/>
            <w:right w:val="none" w:sz="0" w:space="0" w:color="auto"/>
          </w:divBdr>
        </w:div>
        <w:div w:id="1200511939">
          <w:marLeft w:val="640"/>
          <w:marRight w:val="0"/>
          <w:marTop w:val="0"/>
          <w:marBottom w:val="0"/>
          <w:divBdr>
            <w:top w:val="none" w:sz="0" w:space="0" w:color="auto"/>
            <w:left w:val="none" w:sz="0" w:space="0" w:color="auto"/>
            <w:bottom w:val="none" w:sz="0" w:space="0" w:color="auto"/>
            <w:right w:val="none" w:sz="0" w:space="0" w:color="auto"/>
          </w:divBdr>
        </w:div>
        <w:div w:id="2019237292">
          <w:marLeft w:val="640"/>
          <w:marRight w:val="0"/>
          <w:marTop w:val="0"/>
          <w:marBottom w:val="0"/>
          <w:divBdr>
            <w:top w:val="none" w:sz="0" w:space="0" w:color="auto"/>
            <w:left w:val="none" w:sz="0" w:space="0" w:color="auto"/>
            <w:bottom w:val="none" w:sz="0" w:space="0" w:color="auto"/>
            <w:right w:val="none" w:sz="0" w:space="0" w:color="auto"/>
          </w:divBdr>
        </w:div>
        <w:div w:id="529800496">
          <w:marLeft w:val="640"/>
          <w:marRight w:val="0"/>
          <w:marTop w:val="0"/>
          <w:marBottom w:val="0"/>
          <w:divBdr>
            <w:top w:val="none" w:sz="0" w:space="0" w:color="auto"/>
            <w:left w:val="none" w:sz="0" w:space="0" w:color="auto"/>
            <w:bottom w:val="none" w:sz="0" w:space="0" w:color="auto"/>
            <w:right w:val="none" w:sz="0" w:space="0" w:color="auto"/>
          </w:divBdr>
        </w:div>
        <w:div w:id="603077998">
          <w:marLeft w:val="640"/>
          <w:marRight w:val="0"/>
          <w:marTop w:val="0"/>
          <w:marBottom w:val="0"/>
          <w:divBdr>
            <w:top w:val="none" w:sz="0" w:space="0" w:color="auto"/>
            <w:left w:val="none" w:sz="0" w:space="0" w:color="auto"/>
            <w:bottom w:val="none" w:sz="0" w:space="0" w:color="auto"/>
            <w:right w:val="none" w:sz="0" w:space="0" w:color="auto"/>
          </w:divBdr>
        </w:div>
        <w:div w:id="1688944374">
          <w:marLeft w:val="640"/>
          <w:marRight w:val="0"/>
          <w:marTop w:val="0"/>
          <w:marBottom w:val="0"/>
          <w:divBdr>
            <w:top w:val="none" w:sz="0" w:space="0" w:color="auto"/>
            <w:left w:val="none" w:sz="0" w:space="0" w:color="auto"/>
            <w:bottom w:val="none" w:sz="0" w:space="0" w:color="auto"/>
            <w:right w:val="none" w:sz="0" w:space="0" w:color="auto"/>
          </w:divBdr>
        </w:div>
        <w:div w:id="967516934">
          <w:marLeft w:val="640"/>
          <w:marRight w:val="0"/>
          <w:marTop w:val="0"/>
          <w:marBottom w:val="0"/>
          <w:divBdr>
            <w:top w:val="none" w:sz="0" w:space="0" w:color="auto"/>
            <w:left w:val="none" w:sz="0" w:space="0" w:color="auto"/>
            <w:bottom w:val="none" w:sz="0" w:space="0" w:color="auto"/>
            <w:right w:val="none" w:sz="0" w:space="0" w:color="auto"/>
          </w:divBdr>
        </w:div>
        <w:div w:id="1251039881">
          <w:marLeft w:val="640"/>
          <w:marRight w:val="0"/>
          <w:marTop w:val="0"/>
          <w:marBottom w:val="0"/>
          <w:divBdr>
            <w:top w:val="none" w:sz="0" w:space="0" w:color="auto"/>
            <w:left w:val="none" w:sz="0" w:space="0" w:color="auto"/>
            <w:bottom w:val="none" w:sz="0" w:space="0" w:color="auto"/>
            <w:right w:val="none" w:sz="0" w:space="0" w:color="auto"/>
          </w:divBdr>
        </w:div>
        <w:div w:id="1105003572">
          <w:marLeft w:val="640"/>
          <w:marRight w:val="0"/>
          <w:marTop w:val="0"/>
          <w:marBottom w:val="0"/>
          <w:divBdr>
            <w:top w:val="none" w:sz="0" w:space="0" w:color="auto"/>
            <w:left w:val="none" w:sz="0" w:space="0" w:color="auto"/>
            <w:bottom w:val="none" w:sz="0" w:space="0" w:color="auto"/>
            <w:right w:val="none" w:sz="0" w:space="0" w:color="auto"/>
          </w:divBdr>
        </w:div>
        <w:div w:id="973490213">
          <w:marLeft w:val="640"/>
          <w:marRight w:val="0"/>
          <w:marTop w:val="0"/>
          <w:marBottom w:val="0"/>
          <w:divBdr>
            <w:top w:val="none" w:sz="0" w:space="0" w:color="auto"/>
            <w:left w:val="none" w:sz="0" w:space="0" w:color="auto"/>
            <w:bottom w:val="none" w:sz="0" w:space="0" w:color="auto"/>
            <w:right w:val="none" w:sz="0" w:space="0" w:color="auto"/>
          </w:divBdr>
        </w:div>
        <w:div w:id="763962590">
          <w:marLeft w:val="640"/>
          <w:marRight w:val="0"/>
          <w:marTop w:val="0"/>
          <w:marBottom w:val="0"/>
          <w:divBdr>
            <w:top w:val="none" w:sz="0" w:space="0" w:color="auto"/>
            <w:left w:val="none" w:sz="0" w:space="0" w:color="auto"/>
            <w:bottom w:val="none" w:sz="0" w:space="0" w:color="auto"/>
            <w:right w:val="none" w:sz="0" w:space="0" w:color="auto"/>
          </w:divBdr>
        </w:div>
        <w:div w:id="1647927049">
          <w:marLeft w:val="640"/>
          <w:marRight w:val="0"/>
          <w:marTop w:val="0"/>
          <w:marBottom w:val="0"/>
          <w:divBdr>
            <w:top w:val="none" w:sz="0" w:space="0" w:color="auto"/>
            <w:left w:val="none" w:sz="0" w:space="0" w:color="auto"/>
            <w:bottom w:val="none" w:sz="0" w:space="0" w:color="auto"/>
            <w:right w:val="none" w:sz="0" w:space="0" w:color="auto"/>
          </w:divBdr>
        </w:div>
        <w:div w:id="623577386">
          <w:marLeft w:val="640"/>
          <w:marRight w:val="0"/>
          <w:marTop w:val="0"/>
          <w:marBottom w:val="0"/>
          <w:divBdr>
            <w:top w:val="none" w:sz="0" w:space="0" w:color="auto"/>
            <w:left w:val="none" w:sz="0" w:space="0" w:color="auto"/>
            <w:bottom w:val="none" w:sz="0" w:space="0" w:color="auto"/>
            <w:right w:val="none" w:sz="0" w:space="0" w:color="auto"/>
          </w:divBdr>
        </w:div>
        <w:div w:id="561600563">
          <w:marLeft w:val="640"/>
          <w:marRight w:val="0"/>
          <w:marTop w:val="0"/>
          <w:marBottom w:val="0"/>
          <w:divBdr>
            <w:top w:val="none" w:sz="0" w:space="0" w:color="auto"/>
            <w:left w:val="none" w:sz="0" w:space="0" w:color="auto"/>
            <w:bottom w:val="none" w:sz="0" w:space="0" w:color="auto"/>
            <w:right w:val="none" w:sz="0" w:space="0" w:color="auto"/>
          </w:divBdr>
        </w:div>
        <w:div w:id="1143354659">
          <w:marLeft w:val="640"/>
          <w:marRight w:val="0"/>
          <w:marTop w:val="0"/>
          <w:marBottom w:val="0"/>
          <w:divBdr>
            <w:top w:val="none" w:sz="0" w:space="0" w:color="auto"/>
            <w:left w:val="none" w:sz="0" w:space="0" w:color="auto"/>
            <w:bottom w:val="none" w:sz="0" w:space="0" w:color="auto"/>
            <w:right w:val="none" w:sz="0" w:space="0" w:color="auto"/>
          </w:divBdr>
        </w:div>
        <w:div w:id="81807009">
          <w:marLeft w:val="640"/>
          <w:marRight w:val="0"/>
          <w:marTop w:val="0"/>
          <w:marBottom w:val="0"/>
          <w:divBdr>
            <w:top w:val="none" w:sz="0" w:space="0" w:color="auto"/>
            <w:left w:val="none" w:sz="0" w:space="0" w:color="auto"/>
            <w:bottom w:val="none" w:sz="0" w:space="0" w:color="auto"/>
            <w:right w:val="none" w:sz="0" w:space="0" w:color="auto"/>
          </w:divBdr>
        </w:div>
        <w:div w:id="275601836">
          <w:marLeft w:val="640"/>
          <w:marRight w:val="0"/>
          <w:marTop w:val="0"/>
          <w:marBottom w:val="0"/>
          <w:divBdr>
            <w:top w:val="none" w:sz="0" w:space="0" w:color="auto"/>
            <w:left w:val="none" w:sz="0" w:space="0" w:color="auto"/>
            <w:bottom w:val="none" w:sz="0" w:space="0" w:color="auto"/>
            <w:right w:val="none" w:sz="0" w:space="0" w:color="auto"/>
          </w:divBdr>
        </w:div>
        <w:div w:id="2090694772">
          <w:marLeft w:val="640"/>
          <w:marRight w:val="0"/>
          <w:marTop w:val="0"/>
          <w:marBottom w:val="0"/>
          <w:divBdr>
            <w:top w:val="none" w:sz="0" w:space="0" w:color="auto"/>
            <w:left w:val="none" w:sz="0" w:space="0" w:color="auto"/>
            <w:bottom w:val="none" w:sz="0" w:space="0" w:color="auto"/>
            <w:right w:val="none" w:sz="0" w:space="0" w:color="auto"/>
          </w:divBdr>
        </w:div>
        <w:div w:id="1960254381">
          <w:marLeft w:val="640"/>
          <w:marRight w:val="0"/>
          <w:marTop w:val="0"/>
          <w:marBottom w:val="0"/>
          <w:divBdr>
            <w:top w:val="none" w:sz="0" w:space="0" w:color="auto"/>
            <w:left w:val="none" w:sz="0" w:space="0" w:color="auto"/>
            <w:bottom w:val="none" w:sz="0" w:space="0" w:color="auto"/>
            <w:right w:val="none" w:sz="0" w:space="0" w:color="auto"/>
          </w:divBdr>
        </w:div>
        <w:div w:id="2062711587">
          <w:marLeft w:val="640"/>
          <w:marRight w:val="0"/>
          <w:marTop w:val="0"/>
          <w:marBottom w:val="0"/>
          <w:divBdr>
            <w:top w:val="none" w:sz="0" w:space="0" w:color="auto"/>
            <w:left w:val="none" w:sz="0" w:space="0" w:color="auto"/>
            <w:bottom w:val="none" w:sz="0" w:space="0" w:color="auto"/>
            <w:right w:val="none" w:sz="0" w:space="0" w:color="auto"/>
          </w:divBdr>
        </w:div>
        <w:div w:id="1977098820">
          <w:marLeft w:val="640"/>
          <w:marRight w:val="0"/>
          <w:marTop w:val="0"/>
          <w:marBottom w:val="0"/>
          <w:divBdr>
            <w:top w:val="none" w:sz="0" w:space="0" w:color="auto"/>
            <w:left w:val="none" w:sz="0" w:space="0" w:color="auto"/>
            <w:bottom w:val="none" w:sz="0" w:space="0" w:color="auto"/>
            <w:right w:val="none" w:sz="0" w:space="0" w:color="auto"/>
          </w:divBdr>
        </w:div>
        <w:div w:id="902133400">
          <w:marLeft w:val="640"/>
          <w:marRight w:val="0"/>
          <w:marTop w:val="0"/>
          <w:marBottom w:val="0"/>
          <w:divBdr>
            <w:top w:val="none" w:sz="0" w:space="0" w:color="auto"/>
            <w:left w:val="none" w:sz="0" w:space="0" w:color="auto"/>
            <w:bottom w:val="none" w:sz="0" w:space="0" w:color="auto"/>
            <w:right w:val="none" w:sz="0" w:space="0" w:color="auto"/>
          </w:divBdr>
        </w:div>
        <w:div w:id="97601866">
          <w:marLeft w:val="640"/>
          <w:marRight w:val="0"/>
          <w:marTop w:val="0"/>
          <w:marBottom w:val="0"/>
          <w:divBdr>
            <w:top w:val="none" w:sz="0" w:space="0" w:color="auto"/>
            <w:left w:val="none" w:sz="0" w:space="0" w:color="auto"/>
            <w:bottom w:val="none" w:sz="0" w:space="0" w:color="auto"/>
            <w:right w:val="none" w:sz="0" w:space="0" w:color="auto"/>
          </w:divBdr>
        </w:div>
        <w:div w:id="621307910">
          <w:marLeft w:val="640"/>
          <w:marRight w:val="0"/>
          <w:marTop w:val="0"/>
          <w:marBottom w:val="0"/>
          <w:divBdr>
            <w:top w:val="none" w:sz="0" w:space="0" w:color="auto"/>
            <w:left w:val="none" w:sz="0" w:space="0" w:color="auto"/>
            <w:bottom w:val="none" w:sz="0" w:space="0" w:color="auto"/>
            <w:right w:val="none" w:sz="0" w:space="0" w:color="auto"/>
          </w:divBdr>
        </w:div>
        <w:div w:id="1294092844">
          <w:marLeft w:val="640"/>
          <w:marRight w:val="0"/>
          <w:marTop w:val="0"/>
          <w:marBottom w:val="0"/>
          <w:divBdr>
            <w:top w:val="none" w:sz="0" w:space="0" w:color="auto"/>
            <w:left w:val="none" w:sz="0" w:space="0" w:color="auto"/>
            <w:bottom w:val="none" w:sz="0" w:space="0" w:color="auto"/>
            <w:right w:val="none" w:sz="0" w:space="0" w:color="auto"/>
          </w:divBdr>
        </w:div>
        <w:div w:id="1446316366">
          <w:marLeft w:val="640"/>
          <w:marRight w:val="0"/>
          <w:marTop w:val="0"/>
          <w:marBottom w:val="0"/>
          <w:divBdr>
            <w:top w:val="none" w:sz="0" w:space="0" w:color="auto"/>
            <w:left w:val="none" w:sz="0" w:space="0" w:color="auto"/>
            <w:bottom w:val="none" w:sz="0" w:space="0" w:color="auto"/>
            <w:right w:val="none" w:sz="0" w:space="0" w:color="auto"/>
          </w:divBdr>
        </w:div>
        <w:div w:id="221911150">
          <w:marLeft w:val="640"/>
          <w:marRight w:val="0"/>
          <w:marTop w:val="0"/>
          <w:marBottom w:val="0"/>
          <w:divBdr>
            <w:top w:val="none" w:sz="0" w:space="0" w:color="auto"/>
            <w:left w:val="none" w:sz="0" w:space="0" w:color="auto"/>
            <w:bottom w:val="none" w:sz="0" w:space="0" w:color="auto"/>
            <w:right w:val="none" w:sz="0" w:space="0" w:color="auto"/>
          </w:divBdr>
        </w:div>
        <w:div w:id="317274771">
          <w:marLeft w:val="640"/>
          <w:marRight w:val="0"/>
          <w:marTop w:val="0"/>
          <w:marBottom w:val="0"/>
          <w:divBdr>
            <w:top w:val="none" w:sz="0" w:space="0" w:color="auto"/>
            <w:left w:val="none" w:sz="0" w:space="0" w:color="auto"/>
            <w:bottom w:val="none" w:sz="0" w:space="0" w:color="auto"/>
            <w:right w:val="none" w:sz="0" w:space="0" w:color="auto"/>
          </w:divBdr>
        </w:div>
        <w:div w:id="862092798">
          <w:marLeft w:val="640"/>
          <w:marRight w:val="0"/>
          <w:marTop w:val="0"/>
          <w:marBottom w:val="0"/>
          <w:divBdr>
            <w:top w:val="none" w:sz="0" w:space="0" w:color="auto"/>
            <w:left w:val="none" w:sz="0" w:space="0" w:color="auto"/>
            <w:bottom w:val="none" w:sz="0" w:space="0" w:color="auto"/>
            <w:right w:val="none" w:sz="0" w:space="0" w:color="auto"/>
          </w:divBdr>
        </w:div>
        <w:div w:id="1288242159">
          <w:marLeft w:val="640"/>
          <w:marRight w:val="0"/>
          <w:marTop w:val="0"/>
          <w:marBottom w:val="0"/>
          <w:divBdr>
            <w:top w:val="none" w:sz="0" w:space="0" w:color="auto"/>
            <w:left w:val="none" w:sz="0" w:space="0" w:color="auto"/>
            <w:bottom w:val="none" w:sz="0" w:space="0" w:color="auto"/>
            <w:right w:val="none" w:sz="0" w:space="0" w:color="auto"/>
          </w:divBdr>
        </w:div>
        <w:div w:id="604845711">
          <w:marLeft w:val="640"/>
          <w:marRight w:val="0"/>
          <w:marTop w:val="0"/>
          <w:marBottom w:val="0"/>
          <w:divBdr>
            <w:top w:val="none" w:sz="0" w:space="0" w:color="auto"/>
            <w:left w:val="none" w:sz="0" w:space="0" w:color="auto"/>
            <w:bottom w:val="none" w:sz="0" w:space="0" w:color="auto"/>
            <w:right w:val="none" w:sz="0" w:space="0" w:color="auto"/>
          </w:divBdr>
        </w:div>
        <w:div w:id="663433500">
          <w:marLeft w:val="640"/>
          <w:marRight w:val="0"/>
          <w:marTop w:val="0"/>
          <w:marBottom w:val="0"/>
          <w:divBdr>
            <w:top w:val="none" w:sz="0" w:space="0" w:color="auto"/>
            <w:left w:val="none" w:sz="0" w:space="0" w:color="auto"/>
            <w:bottom w:val="none" w:sz="0" w:space="0" w:color="auto"/>
            <w:right w:val="none" w:sz="0" w:space="0" w:color="auto"/>
          </w:divBdr>
        </w:div>
        <w:div w:id="913246212">
          <w:marLeft w:val="640"/>
          <w:marRight w:val="0"/>
          <w:marTop w:val="0"/>
          <w:marBottom w:val="0"/>
          <w:divBdr>
            <w:top w:val="none" w:sz="0" w:space="0" w:color="auto"/>
            <w:left w:val="none" w:sz="0" w:space="0" w:color="auto"/>
            <w:bottom w:val="none" w:sz="0" w:space="0" w:color="auto"/>
            <w:right w:val="none" w:sz="0" w:space="0" w:color="auto"/>
          </w:divBdr>
        </w:div>
        <w:div w:id="1839803544">
          <w:marLeft w:val="640"/>
          <w:marRight w:val="0"/>
          <w:marTop w:val="0"/>
          <w:marBottom w:val="0"/>
          <w:divBdr>
            <w:top w:val="none" w:sz="0" w:space="0" w:color="auto"/>
            <w:left w:val="none" w:sz="0" w:space="0" w:color="auto"/>
            <w:bottom w:val="none" w:sz="0" w:space="0" w:color="auto"/>
            <w:right w:val="none" w:sz="0" w:space="0" w:color="auto"/>
          </w:divBdr>
        </w:div>
        <w:div w:id="227038682">
          <w:marLeft w:val="640"/>
          <w:marRight w:val="0"/>
          <w:marTop w:val="0"/>
          <w:marBottom w:val="0"/>
          <w:divBdr>
            <w:top w:val="none" w:sz="0" w:space="0" w:color="auto"/>
            <w:left w:val="none" w:sz="0" w:space="0" w:color="auto"/>
            <w:bottom w:val="none" w:sz="0" w:space="0" w:color="auto"/>
            <w:right w:val="none" w:sz="0" w:space="0" w:color="auto"/>
          </w:divBdr>
        </w:div>
        <w:div w:id="424612151">
          <w:marLeft w:val="640"/>
          <w:marRight w:val="0"/>
          <w:marTop w:val="0"/>
          <w:marBottom w:val="0"/>
          <w:divBdr>
            <w:top w:val="none" w:sz="0" w:space="0" w:color="auto"/>
            <w:left w:val="none" w:sz="0" w:space="0" w:color="auto"/>
            <w:bottom w:val="none" w:sz="0" w:space="0" w:color="auto"/>
            <w:right w:val="none" w:sz="0" w:space="0" w:color="auto"/>
          </w:divBdr>
        </w:div>
        <w:div w:id="1854343349">
          <w:marLeft w:val="640"/>
          <w:marRight w:val="0"/>
          <w:marTop w:val="0"/>
          <w:marBottom w:val="0"/>
          <w:divBdr>
            <w:top w:val="none" w:sz="0" w:space="0" w:color="auto"/>
            <w:left w:val="none" w:sz="0" w:space="0" w:color="auto"/>
            <w:bottom w:val="none" w:sz="0" w:space="0" w:color="auto"/>
            <w:right w:val="none" w:sz="0" w:space="0" w:color="auto"/>
          </w:divBdr>
        </w:div>
        <w:div w:id="1426997783">
          <w:marLeft w:val="640"/>
          <w:marRight w:val="0"/>
          <w:marTop w:val="0"/>
          <w:marBottom w:val="0"/>
          <w:divBdr>
            <w:top w:val="none" w:sz="0" w:space="0" w:color="auto"/>
            <w:left w:val="none" w:sz="0" w:space="0" w:color="auto"/>
            <w:bottom w:val="none" w:sz="0" w:space="0" w:color="auto"/>
            <w:right w:val="none" w:sz="0" w:space="0" w:color="auto"/>
          </w:divBdr>
        </w:div>
        <w:div w:id="1263881211">
          <w:marLeft w:val="640"/>
          <w:marRight w:val="0"/>
          <w:marTop w:val="0"/>
          <w:marBottom w:val="0"/>
          <w:divBdr>
            <w:top w:val="none" w:sz="0" w:space="0" w:color="auto"/>
            <w:left w:val="none" w:sz="0" w:space="0" w:color="auto"/>
            <w:bottom w:val="none" w:sz="0" w:space="0" w:color="auto"/>
            <w:right w:val="none" w:sz="0" w:space="0" w:color="auto"/>
          </w:divBdr>
        </w:div>
        <w:div w:id="734858206">
          <w:marLeft w:val="640"/>
          <w:marRight w:val="0"/>
          <w:marTop w:val="0"/>
          <w:marBottom w:val="0"/>
          <w:divBdr>
            <w:top w:val="none" w:sz="0" w:space="0" w:color="auto"/>
            <w:left w:val="none" w:sz="0" w:space="0" w:color="auto"/>
            <w:bottom w:val="none" w:sz="0" w:space="0" w:color="auto"/>
            <w:right w:val="none" w:sz="0" w:space="0" w:color="auto"/>
          </w:divBdr>
        </w:div>
        <w:div w:id="1063336036">
          <w:marLeft w:val="640"/>
          <w:marRight w:val="0"/>
          <w:marTop w:val="0"/>
          <w:marBottom w:val="0"/>
          <w:divBdr>
            <w:top w:val="none" w:sz="0" w:space="0" w:color="auto"/>
            <w:left w:val="none" w:sz="0" w:space="0" w:color="auto"/>
            <w:bottom w:val="none" w:sz="0" w:space="0" w:color="auto"/>
            <w:right w:val="none" w:sz="0" w:space="0" w:color="auto"/>
          </w:divBdr>
        </w:div>
        <w:div w:id="504321491">
          <w:marLeft w:val="640"/>
          <w:marRight w:val="0"/>
          <w:marTop w:val="0"/>
          <w:marBottom w:val="0"/>
          <w:divBdr>
            <w:top w:val="none" w:sz="0" w:space="0" w:color="auto"/>
            <w:left w:val="none" w:sz="0" w:space="0" w:color="auto"/>
            <w:bottom w:val="none" w:sz="0" w:space="0" w:color="auto"/>
            <w:right w:val="none" w:sz="0" w:space="0" w:color="auto"/>
          </w:divBdr>
        </w:div>
        <w:div w:id="1671371502">
          <w:marLeft w:val="640"/>
          <w:marRight w:val="0"/>
          <w:marTop w:val="0"/>
          <w:marBottom w:val="0"/>
          <w:divBdr>
            <w:top w:val="none" w:sz="0" w:space="0" w:color="auto"/>
            <w:left w:val="none" w:sz="0" w:space="0" w:color="auto"/>
            <w:bottom w:val="none" w:sz="0" w:space="0" w:color="auto"/>
            <w:right w:val="none" w:sz="0" w:space="0" w:color="auto"/>
          </w:divBdr>
        </w:div>
        <w:div w:id="1989356227">
          <w:marLeft w:val="640"/>
          <w:marRight w:val="0"/>
          <w:marTop w:val="0"/>
          <w:marBottom w:val="0"/>
          <w:divBdr>
            <w:top w:val="none" w:sz="0" w:space="0" w:color="auto"/>
            <w:left w:val="none" w:sz="0" w:space="0" w:color="auto"/>
            <w:bottom w:val="none" w:sz="0" w:space="0" w:color="auto"/>
            <w:right w:val="none" w:sz="0" w:space="0" w:color="auto"/>
          </w:divBdr>
        </w:div>
        <w:div w:id="670570310">
          <w:marLeft w:val="640"/>
          <w:marRight w:val="0"/>
          <w:marTop w:val="0"/>
          <w:marBottom w:val="0"/>
          <w:divBdr>
            <w:top w:val="none" w:sz="0" w:space="0" w:color="auto"/>
            <w:left w:val="none" w:sz="0" w:space="0" w:color="auto"/>
            <w:bottom w:val="none" w:sz="0" w:space="0" w:color="auto"/>
            <w:right w:val="none" w:sz="0" w:space="0" w:color="auto"/>
          </w:divBdr>
        </w:div>
        <w:div w:id="2082361030">
          <w:marLeft w:val="640"/>
          <w:marRight w:val="0"/>
          <w:marTop w:val="0"/>
          <w:marBottom w:val="0"/>
          <w:divBdr>
            <w:top w:val="none" w:sz="0" w:space="0" w:color="auto"/>
            <w:left w:val="none" w:sz="0" w:space="0" w:color="auto"/>
            <w:bottom w:val="none" w:sz="0" w:space="0" w:color="auto"/>
            <w:right w:val="none" w:sz="0" w:space="0" w:color="auto"/>
          </w:divBdr>
        </w:div>
        <w:div w:id="1752849092">
          <w:marLeft w:val="640"/>
          <w:marRight w:val="0"/>
          <w:marTop w:val="0"/>
          <w:marBottom w:val="0"/>
          <w:divBdr>
            <w:top w:val="none" w:sz="0" w:space="0" w:color="auto"/>
            <w:left w:val="none" w:sz="0" w:space="0" w:color="auto"/>
            <w:bottom w:val="none" w:sz="0" w:space="0" w:color="auto"/>
            <w:right w:val="none" w:sz="0" w:space="0" w:color="auto"/>
          </w:divBdr>
        </w:div>
        <w:div w:id="471215842">
          <w:marLeft w:val="640"/>
          <w:marRight w:val="0"/>
          <w:marTop w:val="0"/>
          <w:marBottom w:val="0"/>
          <w:divBdr>
            <w:top w:val="none" w:sz="0" w:space="0" w:color="auto"/>
            <w:left w:val="none" w:sz="0" w:space="0" w:color="auto"/>
            <w:bottom w:val="none" w:sz="0" w:space="0" w:color="auto"/>
            <w:right w:val="none" w:sz="0" w:space="0" w:color="auto"/>
          </w:divBdr>
        </w:div>
        <w:div w:id="902640760">
          <w:marLeft w:val="640"/>
          <w:marRight w:val="0"/>
          <w:marTop w:val="0"/>
          <w:marBottom w:val="0"/>
          <w:divBdr>
            <w:top w:val="none" w:sz="0" w:space="0" w:color="auto"/>
            <w:left w:val="none" w:sz="0" w:space="0" w:color="auto"/>
            <w:bottom w:val="none" w:sz="0" w:space="0" w:color="auto"/>
            <w:right w:val="none" w:sz="0" w:space="0" w:color="auto"/>
          </w:divBdr>
        </w:div>
        <w:div w:id="640230771">
          <w:marLeft w:val="640"/>
          <w:marRight w:val="0"/>
          <w:marTop w:val="0"/>
          <w:marBottom w:val="0"/>
          <w:divBdr>
            <w:top w:val="none" w:sz="0" w:space="0" w:color="auto"/>
            <w:left w:val="none" w:sz="0" w:space="0" w:color="auto"/>
            <w:bottom w:val="none" w:sz="0" w:space="0" w:color="auto"/>
            <w:right w:val="none" w:sz="0" w:space="0" w:color="auto"/>
          </w:divBdr>
        </w:div>
        <w:div w:id="1411348858">
          <w:marLeft w:val="640"/>
          <w:marRight w:val="0"/>
          <w:marTop w:val="0"/>
          <w:marBottom w:val="0"/>
          <w:divBdr>
            <w:top w:val="none" w:sz="0" w:space="0" w:color="auto"/>
            <w:left w:val="none" w:sz="0" w:space="0" w:color="auto"/>
            <w:bottom w:val="none" w:sz="0" w:space="0" w:color="auto"/>
            <w:right w:val="none" w:sz="0" w:space="0" w:color="auto"/>
          </w:divBdr>
        </w:div>
        <w:div w:id="1901166255">
          <w:marLeft w:val="640"/>
          <w:marRight w:val="0"/>
          <w:marTop w:val="0"/>
          <w:marBottom w:val="0"/>
          <w:divBdr>
            <w:top w:val="none" w:sz="0" w:space="0" w:color="auto"/>
            <w:left w:val="none" w:sz="0" w:space="0" w:color="auto"/>
            <w:bottom w:val="none" w:sz="0" w:space="0" w:color="auto"/>
            <w:right w:val="none" w:sz="0" w:space="0" w:color="auto"/>
          </w:divBdr>
        </w:div>
        <w:div w:id="109248782">
          <w:marLeft w:val="640"/>
          <w:marRight w:val="0"/>
          <w:marTop w:val="0"/>
          <w:marBottom w:val="0"/>
          <w:divBdr>
            <w:top w:val="none" w:sz="0" w:space="0" w:color="auto"/>
            <w:left w:val="none" w:sz="0" w:space="0" w:color="auto"/>
            <w:bottom w:val="none" w:sz="0" w:space="0" w:color="auto"/>
            <w:right w:val="none" w:sz="0" w:space="0" w:color="auto"/>
          </w:divBdr>
        </w:div>
        <w:div w:id="139347253">
          <w:marLeft w:val="640"/>
          <w:marRight w:val="0"/>
          <w:marTop w:val="0"/>
          <w:marBottom w:val="0"/>
          <w:divBdr>
            <w:top w:val="none" w:sz="0" w:space="0" w:color="auto"/>
            <w:left w:val="none" w:sz="0" w:space="0" w:color="auto"/>
            <w:bottom w:val="none" w:sz="0" w:space="0" w:color="auto"/>
            <w:right w:val="none" w:sz="0" w:space="0" w:color="auto"/>
          </w:divBdr>
        </w:div>
        <w:div w:id="1116217483">
          <w:marLeft w:val="640"/>
          <w:marRight w:val="0"/>
          <w:marTop w:val="0"/>
          <w:marBottom w:val="0"/>
          <w:divBdr>
            <w:top w:val="none" w:sz="0" w:space="0" w:color="auto"/>
            <w:left w:val="none" w:sz="0" w:space="0" w:color="auto"/>
            <w:bottom w:val="none" w:sz="0" w:space="0" w:color="auto"/>
            <w:right w:val="none" w:sz="0" w:space="0" w:color="auto"/>
          </w:divBdr>
        </w:div>
        <w:div w:id="56974509">
          <w:marLeft w:val="640"/>
          <w:marRight w:val="0"/>
          <w:marTop w:val="0"/>
          <w:marBottom w:val="0"/>
          <w:divBdr>
            <w:top w:val="none" w:sz="0" w:space="0" w:color="auto"/>
            <w:left w:val="none" w:sz="0" w:space="0" w:color="auto"/>
            <w:bottom w:val="none" w:sz="0" w:space="0" w:color="auto"/>
            <w:right w:val="none" w:sz="0" w:space="0" w:color="auto"/>
          </w:divBdr>
        </w:div>
        <w:div w:id="1872306943">
          <w:marLeft w:val="640"/>
          <w:marRight w:val="0"/>
          <w:marTop w:val="0"/>
          <w:marBottom w:val="0"/>
          <w:divBdr>
            <w:top w:val="none" w:sz="0" w:space="0" w:color="auto"/>
            <w:left w:val="none" w:sz="0" w:space="0" w:color="auto"/>
            <w:bottom w:val="none" w:sz="0" w:space="0" w:color="auto"/>
            <w:right w:val="none" w:sz="0" w:space="0" w:color="auto"/>
          </w:divBdr>
        </w:div>
        <w:div w:id="1189443206">
          <w:marLeft w:val="640"/>
          <w:marRight w:val="0"/>
          <w:marTop w:val="0"/>
          <w:marBottom w:val="0"/>
          <w:divBdr>
            <w:top w:val="none" w:sz="0" w:space="0" w:color="auto"/>
            <w:left w:val="none" w:sz="0" w:space="0" w:color="auto"/>
            <w:bottom w:val="none" w:sz="0" w:space="0" w:color="auto"/>
            <w:right w:val="none" w:sz="0" w:space="0" w:color="auto"/>
          </w:divBdr>
        </w:div>
        <w:div w:id="1709068566">
          <w:marLeft w:val="640"/>
          <w:marRight w:val="0"/>
          <w:marTop w:val="0"/>
          <w:marBottom w:val="0"/>
          <w:divBdr>
            <w:top w:val="none" w:sz="0" w:space="0" w:color="auto"/>
            <w:left w:val="none" w:sz="0" w:space="0" w:color="auto"/>
            <w:bottom w:val="none" w:sz="0" w:space="0" w:color="auto"/>
            <w:right w:val="none" w:sz="0" w:space="0" w:color="auto"/>
          </w:divBdr>
        </w:div>
        <w:div w:id="601185687">
          <w:marLeft w:val="640"/>
          <w:marRight w:val="0"/>
          <w:marTop w:val="0"/>
          <w:marBottom w:val="0"/>
          <w:divBdr>
            <w:top w:val="none" w:sz="0" w:space="0" w:color="auto"/>
            <w:left w:val="none" w:sz="0" w:space="0" w:color="auto"/>
            <w:bottom w:val="none" w:sz="0" w:space="0" w:color="auto"/>
            <w:right w:val="none" w:sz="0" w:space="0" w:color="auto"/>
          </w:divBdr>
        </w:div>
        <w:div w:id="1202137105">
          <w:marLeft w:val="640"/>
          <w:marRight w:val="0"/>
          <w:marTop w:val="0"/>
          <w:marBottom w:val="0"/>
          <w:divBdr>
            <w:top w:val="none" w:sz="0" w:space="0" w:color="auto"/>
            <w:left w:val="none" w:sz="0" w:space="0" w:color="auto"/>
            <w:bottom w:val="none" w:sz="0" w:space="0" w:color="auto"/>
            <w:right w:val="none" w:sz="0" w:space="0" w:color="auto"/>
          </w:divBdr>
        </w:div>
        <w:div w:id="2071030430">
          <w:marLeft w:val="640"/>
          <w:marRight w:val="0"/>
          <w:marTop w:val="0"/>
          <w:marBottom w:val="0"/>
          <w:divBdr>
            <w:top w:val="none" w:sz="0" w:space="0" w:color="auto"/>
            <w:left w:val="none" w:sz="0" w:space="0" w:color="auto"/>
            <w:bottom w:val="none" w:sz="0" w:space="0" w:color="auto"/>
            <w:right w:val="none" w:sz="0" w:space="0" w:color="auto"/>
          </w:divBdr>
        </w:div>
        <w:div w:id="1298296900">
          <w:marLeft w:val="640"/>
          <w:marRight w:val="0"/>
          <w:marTop w:val="0"/>
          <w:marBottom w:val="0"/>
          <w:divBdr>
            <w:top w:val="none" w:sz="0" w:space="0" w:color="auto"/>
            <w:left w:val="none" w:sz="0" w:space="0" w:color="auto"/>
            <w:bottom w:val="none" w:sz="0" w:space="0" w:color="auto"/>
            <w:right w:val="none" w:sz="0" w:space="0" w:color="auto"/>
          </w:divBdr>
        </w:div>
        <w:div w:id="1146817216">
          <w:marLeft w:val="640"/>
          <w:marRight w:val="0"/>
          <w:marTop w:val="0"/>
          <w:marBottom w:val="0"/>
          <w:divBdr>
            <w:top w:val="none" w:sz="0" w:space="0" w:color="auto"/>
            <w:left w:val="none" w:sz="0" w:space="0" w:color="auto"/>
            <w:bottom w:val="none" w:sz="0" w:space="0" w:color="auto"/>
            <w:right w:val="none" w:sz="0" w:space="0" w:color="auto"/>
          </w:divBdr>
        </w:div>
        <w:div w:id="1629243254">
          <w:marLeft w:val="640"/>
          <w:marRight w:val="0"/>
          <w:marTop w:val="0"/>
          <w:marBottom w:val="0"/>
          <w:divBdr>
            <w:top w:val="none" w:sz="0" w:space="0" w:color="auto"/>
            <w:left w:val="none" w:sz="0" w:space="0" w:color="auto"/>
            <w:bottom w:val="none" w:sz="0" w:space="0" w:color="auto"/>
            <w:right w:val="none" w:sz="0" w:space="0" w:color="auto"/>
          </w:divBdr>
        </w:div>
        <w:div w:id="862940096">
          <w:marLeft w:val="640"/>
          <w:marRight w:val="0"/>
          <w:marTop w:val="0"/>
          <w:marBottom w:val="0"/>
          <w:divBdr>
            <w:top w:val="none" w:sz="0" w:space="0" w:color="auto"/>
            <w:left w:val="none" w:sz="0" w:space="0" w:color="auto"/>
            <w:bottom w:val="none" w:sz="0" w:space="0" w:color="auto"/>
            <w:right w:val="none" w:sz="0" w:space="0" w:color="auto"/>
          </w:divBdr>
        </w:div>
        <w:div w:id="130288139">
          <w:marLeft w:val="640"/>
          <w:marRight w:val="0"/>
          <w:marTop w:val="0"/>
          <w:marBottom w:val="0"/>
          <w:divBdr>
            <w:top w:val="none" w:sz="0" w:space="0" w:color="auto"/>
            <w:left w:val="none" w:sz="0" w:space="0" w:color="auto"/>
            <w:bottom w:val="none" w:sz="0" w:space="0" w:color="auto"/>
            <w:right w:val="none" w:sz="0" w:space="0" w:color="auto"/>
          </w:divBdr>
        </w:div>
        <w:div w:id="1297025315">
          <w:marLeft w:val="640"/>
          <w:marRight w:val="0"/>
          <w:marTop w:val="0"/>
          <w:marBottom w:val="0"/>
          <w:divBdr>
            <w:top w:val="none" w:sz="0" w:space="0" w:color="auto"/>
            <w:left w:val="none" w:sz="0" w:space="0" w:color="auto"/>
            <w:bottom w:val="none" w:sz="0" w:space="0" w:color="auto"/>
            <w:right w:val="none" w:sz="0" w:space="0" w:color="auto"/>
          </w:divBdr>
        </w:div>
        <w:div w:id="1052776712">
          <w:marLeft w:val="640"/>
          <w:marRight w:val="0"/>
          <w:marTop w:val="0"/>
          <w:marBottom w:val="0"/>
          <w:divBdr>
            <w:top w:val="none" w:sz="0" w:space="0" w:color="auto"/>
            <w:left w:val="none" w:sz="0" w:space="0" w:color="auto"/>
            <w:bottom w:val="none" w:sz="0" w:space="0" w:color="auto"/>
            <w:right w:val="none" w:sz="0" w:space="0" w:color="auto"/>
          </w:divBdr>
        </w:div>
      </w:divsChild>
    </w:div>
    <w:div w:id="855312271">
      <w:bodyDiv w:val="1"/>
      <w:marLeft w:val="0"/>
      <w:marRight w:val="0"/>
      <w:marTop w:val="0"/>
      <w:marBottom w:val="0"/>
      <w:divBdr>
        <w:top w:val="none" w:sz="0" w:space="0" w:color="auto"/>
        <w:left w:val="none" w:sz="0" w:space="0" w:color="auto"/>
        <w:bottom w:val="none" w:sz="0" w:space="0" w:color="auto"/>
        <w:right w:val="none" w:sz="0" w:space="0" w:color="auto"/>
      </w:divBdr>
      <w:divsChild>
        <w:div w:id="566451965">
          <w:marLeft w:val="640"/>
          <w:marRight w:val="0"/>
          <w:marTop w:val="0"/>
          <w:marBottom w:val="0"/>
          <w:divBdr>
            <w:top w:val="none" w:sz="0" w:space="0" w:color="auto"/>
            <w:left w:val="none" w:sz="0" w:space="0" w:color="auto"/>
            <w:bottom w:val="none" w:sz="0" w:space="0" w:color="auto"/>
            <w:right w:val="none" w:sz="0" w:space="0" w:color="auto"/>
          </w:divBdr>
        </w:div>
        <w:div w:id="1826624590">
          <w:marLeft w:val="640"/>
          <w:marRight w:val="0"/>
          <w:marTop w:val="0"/>
          <w:marBottom w:val="0"/>
          <w:divBdr>
            <w:top w:val="none" w:sz="0" w:space="0" w:color="auto"/>
            <w:left w:val="none" w:sz="0" w:space="0" w:color="auto"/>
            <w:bottom w:val="none" w:sz="0" w:space="0" w:color="auto"/>
            <w:right w:val="none" w:sz="0" w:space="0" w:color="auto"/>
          </w:divBdr>
        </w:div>
        <w:div w:id="1772431095">
          <w:marLeft w:val="640"/>
          <w:marRight w:val="0"/>
          <w:marTop w:val="0"/>
          <w:marBottom w:val="0"/>
          <w:divBdr>
            <w:top w:val="none" w:sz="0" w:space="0" w:color="auto"/>
            <w:left w:val="none" w:sz="0" w:space="0" w:color="auto"/>
            <w:bottom w:val="none" w:sz="0" w:space="0" w:color="auto"/>
            <w:right w:val="none" w:sz="0" w:space="0" w:color="auto"/>
          </w:divBdr>
        </w:div>
        <w:div w:id="448015362">
          <w:marLeft w:val="640"/>
          <w:marRight w:val="0"/>
          <w:marTop w:val="0"/>
          <w:marBottom w:val="0"/>
          <w:divBdr>
            <w:top w:val="none" w:sz="0" w:space="0" w:color="auto"/>
            <w:left w:val="none" w:sz="0" w:space="0" w:color="auto"/>
            <w:bottom w:val="none" w:sz="0" w:space="0" w:color="auto"/>
            <w:right w:val="none" w:sz="0" w:space="0" w:color="auto"/>
          </w:divBdr>
        </w:div>
        <w:div w:id="382560034">
          <w:marLeft w:val="640"/>
          <w:marRight w:val="0"/>
          <w:marTop w:val="0"/>
          <w:marBottom w:val="0"/>
          <w:divBdr>
            <w:top w:val="none" w:sz="0" w:space="0" w:color="auto"/>
            <w:left w:val="none" w:sz="0" w:space="0" w:color="auto"/>
            <w:bottom w:val="none" w:sz="0" w:space="0" w:color="auto"/>
            <w:right w:val="none" w:sz="0" w:space="0" w:color="auto"/>
          </w:divBdr>
        </w:div>
        <w:div w:id="902108072">
          <w:marLeft w:val="640"/>
          <w:marRight w:val="0"/>
          <w:marTop w:val="0"/>
          <w:marBottom w:val="0"/>
          <w:divBdr>
            <w:top w:val="none" w:sz="0" w:space="0" w:color="auto"/>
            <w:left w:val="none" w:sz="0" w:space="0" w:color="auto"/>
            <w:bottom w:val="none" w:sz="0" w:space="0" w:color="auto"/>
            <w:right w:val="none" w:sz="0" w:space="0" w:color="auto"/>
          </w:divBdr>
        </w:div>
        <w:div w:id="2117869885">
          <w:marLeft w:val="640"/>
          <w:marRight w:val="0"/>
          <w:marTop w:val="0"/>
          <w:marBottom w:val="0"/>
          <w:divBdr>
            <w:top w:val="none" w:sz="0" w:space="0" w:color="auto"/>
            <w:left w:val="none" w:sz="0" w:space="0" w:color="auto"/>
            <w:bottom w:val="none" w:sz="0" w:space="0" w:color="auto"/>
            <w:right w:val="none" w:sz="0" w:space="0" w:color="auto"/>
          </w:divBdr>
        </w:div>
        <w:div w:id="1342470489">
          <w:marLeft w:val="640"/>
          <w:marRight w:val="0"/>
          <w:marTop w:val="0"/>
          <w:marBottom w:val="0"/>
          <w:divBdr>
            <w:top w:val="none" w:sz="0" w:space="0" w:color="auto"/>
            <w:left w:val="none" w:sz="0" w:space="0" w:color="auto"/>
            <w:bottom w:val="none" w:sz="0" w:space="0" w:color="auto"/>
            <w:right w:val="none" w:sz="0" w:space="0" w:color="auto"/>
          </w:divBdr>
        </w:div>
        <w:div w:id="738404342">
          <w:marLeft w:val="640"/>
          <w:marRight w:val="0"/>
          <w:marTop w:val="0"/>
          <w:marBottom w:val="0"/>
          <w:divBdr>
            <w:top w:val="none" w:sz="0" w:space="0" w:color="auto"/>
            <w:left w:val="none" w:sz="0" w:space="0" w:color="auto"/>
            <w:bottom w:val="none" w:sz="0" w:space="0" w:color="auto"/>
            <w:right w:val="none" w:sz="0" w:space="0" w:color="auto"/>
          </w:divBdr>
        </w:div>
        <w:div w:id="785202648">
          <w:marLeft w:val="640"/>
          <w:marRight w:val="0"/>
          <w:marTop w:val="0"/>
          <w:marBottom w:val="0"/>
          <w:divBdr>
            <w:top w:val="none" w:sz="0" w:space="0" w:color="auto"/>
            <w:left w:val="none" w:sz="0" w:space="0" w:color="auto"/>
            <w:bottom w:val="none" w:sz="0" w:space="0" w:color="auto"/>
            <w:right w:val="none" w:sz="0" w:space="0" w:color="auto"/>
          </w:divBdr>
        </w:div>
        <w:div w:id="1055393241">
          <w:marLeft w:val="640"/>
          <w:marRight w:val="0"/>
          <w:marTop w:val="0"/>
          <w:marBottom w:val="0"/>
          <w:divBdr>
            <w:top w:val="none" w:sz="0" w:space="0" w:color="auto"/>
            <w:left w:val="none" w:sz="0" w:space="0" w:color="auto"/>
            <w:bottom w:val="none" w:sz="0" w:space="0" w:color="auto"/>
            <w:right w:val="none" w:sz="0" w:space="0" w:color="auto"/>
          </w:divBdr>
        </w:div>
        <w:div w:id="1234857058">
          <w:marLeft w:val="640"/>
          <w:marRight w:val="0"/>
          <w:marTop w:val="0"/>
          <w:marBottom w:val="0"/>
          <w:divBdr>
            <w:top w:val="none" w:sz="0" w:space="0" w:color="auto"/>
            <w:left w:val="none" w:sz="0" w:space="0" w:color="auto"/>
            <w:bottom w:val="none" w:sz="0" w:space="0" w:color="auto"/>
            <w:right w:val="none" w:sz="0" w:space="0" w:color="auto"/>
          </w:divBdr>
        </w:div>
        <w:div w:id="1859537307">
          <w:marLeft w:val="640"/>
          <w:marRight w:val="0"/>
          <w:marTop w:val="0"/>
          <w:marBottom w:val="0"/>
          <w:divBdr>
            <w:top w:val="none" w:sz="0" w:space="0" w:color="auto"/>
            <w:left w:val="none" w:sz="0" w:space="0" w:color="auto"/>
            <w:bottom w:val="none" w:sz="0" w:space="0" w:color="auto"/>
            <w:right w:val="none" w:sz="0" w:space="0" w:color="auto"/>
          </w:divBdr>
        </w:div>
        <w:div w:id="768283487">
          <w:marLeft w:val="640"/>
          <w:marRight w:val="0"/>
          <w:marTop w:val="0"/>
          <w:marBottom w:val="0"/>
          <w:divBdr>
            <w:top w:val="none" w:sz="0" w:space="0" w:color="auto"/>
            <w:left w:val="none" w:sz="0" w:space="0" w:color="auto"/>
            <w:bottom w:val="none" w:sz="0" w:space="0" w:color="auto"/>
            <w:right w:val="none" w:sz="0" w:space="0" w:color="auto"/>
          </w:divBdr>
        </w:div>
        <w:div w:id="450365723">
          <w:marLeft w:val="640"/>
          <w:marRight w:val="0"/>
          <w:marTop w:val="0"/>
          <w:marBottom w:val="0"/>
          <w:divBdr>
            <w:top w:val="none" w:sz="0" w:space="0" w:color="auto"/>
            <w:left w:val="none" w:sz="0" w:space="0" w:color="auto"/>
            <w:bottom w:val="none" w:sz="0" w:space="0" w:color="auto"/>
            <w:right w:val="none" w:sz="0" w:space="0" w:color="auto"/>
          </w:divBdr>
        </w:div>
        <w:div w:id="196819942">
          <w:marLeft w:val="640"/>
          <w:marRight w:val="0"/>
          <w:marTop w:val="0"/>
          <w:marBottom w:val="0"/>
          <w:divBdr>
            <w:top w:val="none" w:sz="0" w:space="0" w:color="auto"/>
            <w:left w:val="none" w:sz="0" w:space="0" w:color="auto"/>
            <w:bottom w:val="none" w:sz="0" w:space="0" w:color="auto"/>
            <w:right w:val="none" w:sz="0" w:space="0" w:color="auto"/>
          </w:divBdr>
        </w:div>
        <w:div w:id="1371877367">
          <w:marLeft w:val="640"/>
          <w:marRight w:val="0"/>
          <w:marTop w:val="0"/>
          <w:marBottom w:val="0"/>
          <w:divBdr>
            <w:top w:val="none" w:sz="0" w:space="0" w:color="auto"/>
            <w:left w:val="none" w:sz="0" w:space="0" w:color="auto"/>
            <w:bottom w:val="none" w:sz="0" w:space="0" w:color="auto"/>
            <w:right w:val="none" w:sz="0" w:space="0" w:color="auto"/>
          </w:divBdr>
        </w:div>
        <w:div w:id="408236998">
          <w:marLeft w:val="640"/>
          <w:marRight w:val="0"/>
          <w:marTop w:val="0"/>
          <w:marBottom w:val="0"/>
          <w:divBdr>
            <w:top w:val="none" w:sz="0" w:space="0" w:color="auto"/>
            <w:left w:val="none" w:sz="0" w:space="0" w:color="auto"/>
            <w:bottom w:val="none" w:sz="0" w:space="0" w:color="auto"/>
            <w:right w:val="none" w:sz="0" w:space="0" w:color="auto"/>
          </w:divBdr>
        </w:div>
        <w:div w:id="1501853476">
          <w:marLeft w:val="640"/>
          <w:marRight w:val="0"/>
          <w:marTop w:val="0"/>
          <w:marBottom w:val="0"/>
          <w:divBdr>
            <w:top w:val="none" w:sz="0" w:space="0" w:color="auto"/>
            <w:left w:val="none" w:sz="0" w:space="0" w:color="auto"/>
            <w:bottom w:val="none" w:sz="0" w:space="0" w:color="auto"/>
            <w:right w:val="none" w:sz="0" w:space="0" w:color="auto"/>
          </w:divBdr>
        </w:div>
        <w:div w:id="1653172645">
          <w:marLeft w:val="640"/>
          <w:marRight w:val="0"/>
          <w:marTop w:val="0"/>
          <w:marBottom w:val="0"/>
          <w:divBdr>
            <w:top w:val="none" w:sz="0" w:space="0" w:color="auto"/>
            <w:left w:val="none" w:sz="0" w:space="0" w:color="auto"/>
            <w:bottom w:val="none" w:sz="0" w:space="0" w:color="auto"/>
            <w:right w:val="none" w:sz="0" w:space="0" w:color="auto"/>
          </w:divBdr>
        </w:div>
        <w:div w:id="139003736">
          <w:marLeft w:val="640"/>
          <w:marRight w:val="0"/>
          <w:marTop w:val="0"/>
          <w:marBottom w:val="0"/>
          <w:divBdr>
            <w:top w:val="none" w:sz="0" w:space="0" w:color="auto"/>
            <w:left w:val="none" w:sz="0" w:space="0" w:color="auto"/>
            <w:bottom w:val="none" w:sz="0" w:space="0" w:color="auto"/>
            <w:right w:val="none" w:sz="0" w:space="0" w:color="auto"/>
          </w:divBdr>
        </w:div>
        <w:div w:id="813762918">
          <w:marLeft w:val="640"/>
          <w:marRight w:val="0"/>
          <w:marTop w:val="0"/>
          <w:marBottom w:val="0"/>
          <w:divBdr>
            <w:top w:val="none" w:sz="0" w:space="0" w:color="auto"/>
            <w:left w:val="none" w:sz="0" w:space="0" w:color="auto"/>
            <w:bottom w:val="none" w:sz="0" w:space="0" w:color="auto"/>
            <w:right w:val="none" w:sz="0" w:space="0" w:color="auto"/>
          </w:divBdr>
        </w:div>
        <w:div w:id="126777008">
          <w:marLeft w:val="640"/>
          <w:marRight w:val="0"/>
          <w:marTop w:val="0"/>
          <w:marBottom w:val="0"/>
          <w:divBdr>
            <w:top w:val="none" w:sz="0" w:space="0" w:color="auto"/>
            <w:left w:val="none" w:sz="0" w:space="0" w:color="auto"/>
            <w:bottom w:val="none" w:sz="0" w:space="0" w:color="auto"/>
            <w:right w:val="none" w:sz="0" w:space="0" w:color="auto"/>
          </w:divBdr>
        </w:div>
        <w:div w:id="2013337396">
          <w:marLeft w:val="640"/>
          <w:marRight w:val="0"/>
          <w:marTop w:val="0"/>
          <w:marBottom w:val="0"/>
          <w:divBdr>
            <w:top w:val="none" w:sz="0" w:space="0" w:color="auto"/>
            <w:left w:val="none" w:sz="0" w:space="0" w:color="auto"/>
            <w:bottom w:val="none" w:sz="0" w:space="0" w:color="auto"/>
            <w:right w:val="none" w:sz="0" w:space="0" w:color="auto"/>
          </w:divBdr>
        </w:div>
        <w:div w:id="1467312691">
          <w:marLeft w:val="640"/>
          <w:marRight w:val="0"/>
          <w:marTop w:val="0"/>
          <w:marBottom w:val="0"/>
          <w:divBdr>
            <w:top w:val="none" w:sz="0" w:space="0" w:color="auto"/>
            <w:left w:val="none" w:sz="0" w:space="0" w:color="auto"/>
            <w:bottom w:val="none" w:sz="0" w:space="0" w:color="auto"/>
            <w:right w:val="none" w:sz="0" w:space="0" w:color="auto"/>
          </w:divBdr>
        </w:div>
        <w:div w:id="1327854421">
          <w:marLeft w:val="640"/>
          <w:marRight w:val="0"/>
          <w:marTop w:val="0"/>
          <w:marBottom w:val="0"/>
          <w:divBdr>
            <w:top w:val="none" w:sz="0" w:space="0" w:color="auto"/>
            <w:left w:val="none" w:sz="0" w:space="0" w:color="auto"/>
            <w:bottom w:val="none" w:sz="0" w:space="0" w:color="auto"/>
            <w:right w:val="none" w:sz="0" w:space="0" w:color="auto"/>
          </w:divBdr>
        </w:div>
        <w:div w:id="1597057817">
          <w:marLeft w:val="640"/>
          <w:marRight w:val="0"/>
          <w:marTop w:val="0"/>
          <w:marBottom w:val="0"/>
          <w:divBdr>
            <w:top w:val="none" w:sz="0" w:space="0" w:color="auto"/>
            <w:left w:val="none" w:sz="0" w:space="0" w:color="auto"/>
            <w:bottom w:val="none" w:sz="0" w:space="0" w:color="auto"/>
            <w:right w:val="none" w:sz="0" w:space="0" w:color="auto"/>
          </w:divBdr>
        </w:div>
        <w:div w:id="1391345441">
          <w:marLeft w:val="640"/>
          <w:marRight w:val="0"/>
          <w:marTop w:val="0"/>
          <w:marBottom w:val="0"/>
          <w:divBdr>
            <w:top w:val="none" w:sz="0" w:space="0" w:color="auto"/>
            <w:left w:val="none" w:sz="0" w:space="0" w:color="auto"/>
            <w:bottom w:val="none" w:sz="0" w:space="0" w:color="auto"/>
            <w:right w:val="none" w:sz="0" w:space="0" w:color="auto"/>
          </w:divBdr>
        </w:div>
        <w:div w:id="1726447289">
          <w:marLeft w:val="640"/>
          <w:marRight w:val="0"/>
          <w:marTop w:val="0"/>
          <w:marBottom w:val="0"/>
          <w:divBdr>
            <w:top w:val="none" w:sz="0" w:space="0" w:color="auto"/>
            <w:left w:val="none" w:sz="0" w:space="0" w:color="auto"/>
            <w:bottom w:val="none" w:sz="0" w:space="0" w:color="auto"/>
            <w:right w:val="none" w:sz="0" w:space="0" w:color="auto"/>
          </w:divBdr>
        </w:div>
        <w:div w:id="1753156663">
          <w:marLeft w:val="640"/>
          <w:marRight w:val="0"/>
          <w:marTop w:val="0"/>
          <w:marBottom w:val="0"/>
          <w:divBdr>
            <w:top w:val="none" w:sz="0" w:space="0" w:color="auto"/>
            <w:left w:val="none" w:sz="0" w:space="0" w:color="auto"/>
            <w:bottom w:val="none" w:sz="0" w:space="0" w:color="auto"/>
            <w:right w:val="none" w:sz="0" w:space="0" w:color="auto"/>
          </w:divBdr>
        </w:div>
        <w:div w:id="850487648">
          <w:marLeft w:val="640"/>
          <w:marRight w:val="0"/>
          <w:marTop w:val="0"/>
          <w:marBottom w:val="0"/>
          <w:divBdr>
            <w:top w:val="none" w:sz="0" w:space="0" w:color="auto"/>
            <w:left w:val="none" w:sz="0" w:space="0" w:color="auto"/>
            <w:bottom w:val="none" w:sz="0" w:space="0" w:color="auto"/>
            <w:right w:val="none" w:sz="0" w:space="0" w:color="auto"/>
          </w:divBdr>
        </w:div>
        <w:div w:id="1057897561">
          <w:marLeft w:val="640"/>
          <w:marRight w:val="0"/>
          <w:marTop w:val="0"/>
          <w:marBottom w:val="0"/>
          <w:divBdr>
            <w:top w:val="none" w:sz="0" w:space="0" w:color="auto"/>
            <w:left w:val="none" w:sz="0" w:space="0" w:color="auto"/>
            <w:bottom w:val="none" w:sz="0" w:space="0" w:color="auto"/>
            <w:right w:val="none" w:sz="0" w:space="0" w:color="auto"/>
          </w:divBdr>
        </w:div>
        <w:div w:id="1816029170">
          <w:marLeft w:val="640"/>
          <w:marRight w:val="0"/>
          <w:marTop w:val="0"/>
          <w:marBottom w:val="0"/>
          <w:divBdr>
            <w:top w:val="none" w:sz="0" w:space="0" w:color="auto"/>
            <w:left w:val="none" w:sz="0" w:space="0" w:color="auto"/>
            <w:bottom w:val="none" w:sz="0" w:space="0" w:color="auto"/>
            <w:right w:val="none" w:sz="0" w:space="0" w:color="auto"/>
          </w:divBdr>
        </w:div>
        <w:div w:id="1574391547">
          <w:marLeft w:val="640"/>
          <w:marRight w:val="0"/>
          <w:marTop w:val="0"/>
          <w:marBottom w:val="0"/>
          <w:divBdr>
            <w:top w:val="none" w:sz="0" w:space="0" w:color="auto"/>
            <w:left w:val="none" w:sz="0" w:space="0" w:color="auto"/>
            <w:bottom w:val="none" w:sz="0" w:space="0" w:color="auto"/>
            <w:right w:val="none" w:sz="0" w:space="0" w:color="auto"/>
          </w:divBdr>
        </w:div>
        <w:div w:id="1523667576">
          <w:marLeft w:val="640"/>
          <w:marRight w:val="0"/>
          <w:marTop w:val="0"/>
          <w:marBottom w:val="0"/>
          <w:divBdr>
            <w:top w:val="none" w:sz="0" w:space="0" w:color="auto"/>
            <w:left w:val="none" w:sz="0" w:space="0" w:color="auto"/>
            <w:bottom w:val="none" w:sz="0" w:space="0" w:color="auto"/>
            <w:right w:val="none" w:sz="0" w:space="0" w:color="auto"/>
          </w:divBdr>
        </w:div>
        <w:div w:id="679427657">
          <w:marLeft w:val="640"/>
          <w:marRight w:val="0"/>
          <w:marTop w:val="0"/>
          <w:marBottom w:val="0"/>
          <w:divBdr>
            <w:top w:val="none" w:sz="0" w:space="0" w:color="auto"/>
            <w:left w:val="none" w:sz="0" w:space="0" w:color="auto"/>
            <w:bottom w:val="none" w:sz="0" w:space="0" w:color="auto"/>
            <w:right w:val="none" w:sz="0" w:space="0" w:color="auto"/>
          </w:divBdr>
        </w:div>
        <w:div w:id="677198084">
          <w:marLeft w:val="640"/>
          <w:marRight w:val="0"/>
          <w:marTop w:val="0"/>
          <w:marBottom w:val="0"/>
          <w:divBdr>
            <w:top w:val="none" w:sz="0" w:space="0" w:color="auto"/>
            <w:left w:val="none" w:sz="0" w:space="0" w:color="auto"/>
            <w:bottom w:val="none" w:sz="0" w:space="0" w:color="auto"/>
            <w:right w:val="none" w:sz="0" w:space="0" w:color="auto"/>
          </w:divBdr>
        </w:div>
        <w:div w:id="1554850423">
          <w:marLeft w:val="640"/>
          <w:marRight w:val="0"/>
          <w:marTop w:val="0"/>
          <w:marBottom w:val="0"/>
          <w:divBdr>
            <w:top w:val="none" w:sz="0" w:space="0" w:color="auto"/>
            <w:left w:val="none" w:sz="0" w:space="0" w:color="auto"/>
            <w:bottom w:val="none" w:sz="0" w:space="0" w:color="auto"/>
            <w:right w:val="none" w:sz="0" w:space="0" w:color="auto"/>
          </w:divBdr>
        </w:div>
        <w:div w:id="519586875">
          <w:marLeft w:val="640"/>
          <w:marRight w:val="0"/>
          <w:marTop w:val="0"/>
          <w:marBottom w:val="0"/>
          <w:divBdr>
            <w:top w:val="none" w:sz="0" w:space="0" w:color="auto"/>
            <w:left w:val="none" w:sz="0" w:space="0" w:color="auto"/>
            <w:bottom w:val="none" w:sz="0" w:space="0" w:color="auto"/>
            <w:right w:val="none" w:sz="0" w:space="0" w:color="auto"/>
          </w:divBdr>
        </w:div>
        <w:div w:id="921455142">
          <w:marLeft w:val="640"/>
          <w:marRight w:val="0"/>
          <w:marTop w:val="0"/>
          <w:marBottom w:val="0"/>
          <w:divBdr>
            <w:top w:val="none" w:sz="0" w:space="0" w:color="auto"/>
            <w:left w:val="none" w:sz="0" w:space="0" w:color="auto"/>
            <w:bottom w:val="none" w:sz="0" w:space="0" w:color="auto"/>
            <w:right w:val="none" w:sz="0" w:space="0" w:color="auto"/>
          </w:divBdr>
        </w:div>
        <w:div w:id="689068628">
          <w:marLeft w:val="640"/>
          <w:marRight w:val="0"/>
          <w:marTop w:val="0"/>
          <w:marBottom w:val="0"/>
          <w:divBdr>
            <w:top w:val="none" w:sz="0" w:space="0" w:color="auto"/>
            <w:left w:val="none" w:sz="0" w:space="0" w:color="auto"/>
            <w:bottom w:val="none" w:sz="0" w:space="0" w:color="auto"/>
            <w:right w:val="none" w:sz="0" w:space="0" w:color="auto"/>
          </w:divBdr>
        </w:div>
        <w:div w:id="756706001">
          <w:marLeft w:val="640"/>
          <w:marRight w:val="0"/>
          <w:marTop w:val="0"/>
          <w:marBottom w:val="0"/>
          <w:divBdr>
            <w:top w:val="none" w:sz="0" w:space="0" w:color="auto"/>
            <w:left w:val="none" w:sz="0" w:space="0" w:color="auto"/>
            <w:bottom w:val="none" w:sz="0" w:space="0" w:color="auto"/>
            <w:right w:val="none" w:sz="0" w:space="0" w:color="auto"/>
          </w:divBdr>
        </w:div>
        <w:div w:id="499736749">
          <w:marLeft w:val="640"/>
          <w:marRight w:val="0"/>
          <w:marTop w:val="0"/>
          <w:marBottom w:val="0"/>
          <w:divBdr>
            <w:top w:val="none" w:sz="0" w:space="0" w:color="auto"/>
            <w:left w:val="none" w:sz="0" w:space="0" w:color="auto"/>
            <w:bottom w:val="none" w:sz="0" w:space="0" w:color="auto"/>
            <w:right w:val="none" w:sz="0" w:space="0" w:color="auto"/>
          </w:divBdr>
        </w:div>
        <w:div w:id="717507971">
          <w:marLeft w:val="640"/>
          <w:marRight w:val="0"/>
          <w:marTop w:val="0"/>
          <w:marBottom w:val="0"/>
          <w:divBdr>
            <w:top w:val="none" w:sz="0" w:space="0" w:color="auto"/>
            <w:left w:val="none" w:sz="0" w:space="0" w:color="auto"/>
            <w:bottom w:val="none" w:sz="0" w:space="0" w:color="auto"/>
            <w:right w:val="none" w:sz="0" w:space="0" w:color="auto"/>
          </w:divBdr>
        </w:div>
        <w:div w:id="1704210243">
          <w:marLeft w:val="640"/>
          <w:marRight w:val="0"/>
          <w:marTop w:val="0"/>
          <w:marBottom w:val="0"/>
          <w:divBdr>
            <w:top w:val="none" w:sz="0" w:space="0" w:color="auto"/>
            <w:left w:val="none" w:sz="0" w:space="0" w:color="auto"/>
            <w:bottom w:val="none" w:sz="0" w:space="0" w:color="auto"/>
            <w:right w:val="none" w:sz="0" w:space="0" w:color="auto"/>
          </w:divBdr>
        </w:div>
        <w:div w:id="950166154">
          <w:marLeft w:val="640"/>
          <w:marRight w:val="0"/>
          <w:marTop w:val="0"/>
          <w:marBottom w:val="0"/>
          <w:divBdr>
            <w:top w:val="none" w:sz="0" w:space="0" w:color="auto"/>
            <w:left w:val="none" w:sz="0" w:space="0" w:color="auto"/>
            <w:bottom w:val="none" w:sz="0" w:space="0" w:color="auto"/>
            <w:right w:val="none" w:sz="0" w:space="0" w:color="auto"/>
          </w:divBdr>
        </w:div>
        <w:div w:id="1590847010">
          <w:marLeft w:val="640"/>
          <w:marRight w:val="0"/>
          <w:marTop w:val="0"/>
          <w:marBottom w:val="0"/>
          <w:divBdr>
            <w:top w:val="none" w:sz="0" w:space="0" w:color="auto"/>
            <w:left w:val="none" w:sz="0" w:space="0" w:color="auto"/>
            <w:bottom w:val="none" w:sz="0" w:space="0" w:color="auto"/>
            <w:right w:val="none" w:sz="0" w:space="0" w:color="auto"/>
          </w:divBdr>
        </w:div>
        <w:div w:id="1119880883">
          <w:marLeft w:val="640"/>
          <w:marRight w:val="0"/>
          <w:marTop w:val="0"/>
          <w:marBottom w:val="0"/>
          <w:divBdr>
            <w:top w:val="none" w:sz="0" w:space="0" w:color="auto"/>
            <w:left w:val="none" w:sz="0" w:space="0" w:color="auto"/>
            <w:bottom w:val="none" w:sz="0" w:space="0" w:color="auto"/>
            <w:right w:val="none" w:sz="0" w:space="0" w:color="auto"/>
          </w:divBdr>
        </w:div>
        <w:div w:id="889802918">
          <w:marLeft w:val="640"/>
          <w:marRight w:val="0"/>
          <w:marTop w:val="0"/>
          <w:marBottom w:val="0"/>
          <w:divBdr>
            <w:top w:val="none" w:sz="0" w:space="0" w:color="auto"/>
            <w:left w:val="none" w:sz="0" w:space="0" w:color="auto"/>
            <w:bottom w:val="none" w:sz="0" w:space="0" w:color="auto"/>
            <w:right w:val="none" w:sz="0" w:space="0" w:color="auto"/>
          </w:divBdr>
        </w:div>
        <w:div w:id="51075559">
          <w:marLeft w:val="640"/>
          <w:marRight w:val="0"/>
          <w:marTop w:val="0"/>
          <w:marBottom w:val="0"/>
          <w:divBdr>
            <w:top w:val="none" w:sz="0" w:space="0" w:color="auto"/>
            <w:left w:val="none" w:sz="0" w:space="0" w:color="auto"/>
            <w:bottom w:val="none" w:sz="0" w:space="0" w:color="auto"/>
            <w:right w:val="none" w:sz="0" w:space="0" w:color="auto"/>
          </w:divBdr>
        </w:div>
        <w:div w:id="1434549723">
          <w:marLeft w:val="640"/>
          <w:marRight w:val="0"/>
          <w:marTop w:val="0"/>
          <w:marBottom w:val="0"/>
          <w:divBdr>
            <w:top w:val="none" w:sz="0" w:space="0" w:color="auto"/>
            <w:left w:val="none" w:sz="0" w:space="0" w:color="auto"/>
            <w:bottom w:val="none" w:sz="0" w:space="0" w:color="auto"/>
            <w:right w:val="none" w:sz="0" w:space="0" w:color="auto"/>
          </w:divBdr>
        </w:div>
        <w:div w:id="632902581">
          <w:marLeft w:val="640"/>
          <w:marRight w:val="0"/>
          <w:marTop w:val="0"/>
          <w:marBottom w:val="0"/>
          <w:divBdr>
            <w:top w:val="none" w:sz="0" w:space="0" w:color="auto"/>
            <w:left w:val="none" w:sz="0" w:space="0" w:color="auto"/>
            <w:bottom w:val="none" w:sz="0" w:space="0" w:color="auto"/>
            <w:right w:val="none" w:sz="0" w:space="0" w:color="auto"/>
          </w:divBdr>
        </w:div>
        <w:div w:id="2083260307">
          <w:marLeft w:val="640"/>
          <w:marRight w:val="0"/>
          <w:marTop w:val="0"/>
          <w:marBottom w:val="0"/>
          <w:divBdr>
            <w:top w:val="none" w:sz="0" w:space="0" w:color="auto"/>
            <w:left w:val="none" w:sz="0" w:space="0" w:color="auto"/>
            <w:bottom w:val="none" w:sz="0" w:space="0" w:color="auto"/>
            <w:right w:val="none" w:sz="0" w:space="0" w:color="auto"/>
          </w:divBdr>
        </w:div>
        <w:div w:id="1913272851">
          <w:marLeft w:val="640"/>
          <w:marRight w:val="0"/>
          <w:marTop w:val="0"/>
          <w:marBottom w:val="0"/>
          <w:divBdr>
            <w:top w:val="none" w:sz="0" w:space="0" w:color="auto"/>
            <w:left w:val="none" w:sz="0" w:space="0" w:color="auto"/>
            <w:bottom w:val="none" w:sz="0" w:space="0" w:color="auto"/>
            <w:right w:val="none" w:sz="0" w:space="0" w:color="auto"/>
          </w:divBdr>
        </w:div>
        <w:div w:id="1041587663">
          <w:marLeft w:val="640"/>
          <w:marRight w:val="0"/>
          <w:marTop w:val="0"/>
          <w:marBottom w:val="0"/>
          <w:divBdr>
            <w:top w:val="none" w:sz="0" w:space="0" w:color="auto"/>
            <w:left w:val="none" w:sz="0" w:space="0" w:color="auto"/>
            <w:bottom w:val="none" w:sz="0" w:space="0" w:color="auto"/>
            <w:right w:val="none" w:sz="0" w:space="0" w:color="auto"/>
          </w:divBdr>
        </w:div>
        <w:div w:id="1002782183">
          <w:marLeft w:val="640"/>
          <w:marRight w:val="0"/>
          <w:marTop w:val="0"/>
          <w:marBottom w:val="0"/>
          <w:divBdr>
            <w:top w:val="none" w:sz="0" w:space="0" w:color="auto"/>
            <w:left w:val="none" w:sz="0" w:space="0" w:color="auto"/>
            <w:bottom w:val="none" w:sz="0" w:space="0" w:color="auto"/>
            <w:right w:val="none" w:sz="0" w:space="0" w:color="auto"/>
          </w:divBdr>
        </w:div>
        <w:div w:id="2022580954">
          <w:marLeft w:val="640"/>
          <w:marRight w:val="0"/>
          <w:marTop w:val="0"/>
          <w:marBottom w:val="0"/>
          <w:divBdr>
            <w:top w:val="none" w:sz="0" w:space="0" w:color="auto"/>
            <w:left w:val="none" w:sz="0" w:space="0" w:color="auto"/>
            <w:bottom w:val="none" w:sz="0" w:space="0" w:color="auto"/>
            <w:right w:val="none" w:sz="0" w:space="0" w:color="auto"/>
          </w:divBdr>
        </w:div>
        <w:div w:id="823470012">
          <w:marLeft w:val="640"/>
          <w:marRight w:val="0"/>
          <w:marTop w:val="0"/>
          <w:marBottom w:val="0"/>
          <w:divBdr>
            <w:top w:val="none" w:sz="0" w:space="0" w:color="auto"/>
            <w:left w:val="none" w:sz="0" w:space="0" w:color="auto"/>
            <w:bottom w:val="none" w:sz="0" w:space="0" w:color="auto"/>
            <w:right w:val="none" w:sz="0" w:space="0" w:color="auto"/>
          </w:divBdr>
        </w:div>
        <w:div w:id="2052538555">
          <w:marLeft w:val="640"/>
          <w:marRight w:val="0"/>
          <w:marTop w:val="0"/>
          <w:marBottom w:val="0"/>
          <w:divBdr>
            <w:top w:val="none" w:sz="0" w:space="0" w:color="auto"/>
            <w:left w:val="none" w:sz="0" w:space="0" w:color="auto"/>
            <w:bottom w:val="none" w:sz="0" w:space="0" w:color="auto"/>
            <w:right w:val="none" w:sz="0" w:space="0" w:color="auto"/>
          </w:divBdr>
        </w:div>
        <w:div w:id="405343469">
          <w:marLeft w:val="640"/>
          <w:marRight w:val="0"/>
          <w:marTop w:val="0"/>
          <w:marBottom w:val="0"/>
          <w:divBdr>
            <w:top w:val="none" w:sz="0" w:space="0" w:color="auto"/>
            <w:left w:val="none" w:sz="0" w:space="0" w:color="auto"/>
            <w:bottom w:val="none" w:sz="0" w:space="0" w:color="auto"/>
            <w:right w:val="none" w:sz="0" w:space="0" w:color="auto"/>
          </w:divBdr>
        </w:div>
        <w:div w:id="1832797159">
          <w:marLeft w:val="640"/>
          <w:marRight w:val="0"/>
          <w:marTop w:val="0"/>
          <w:marBottom w:val="0"/>
          <w:divBdr>
            <w:top w:val="none" w:sz="0" w:space="0" w:color="auto"/>
            <w:left w:val="none" w:sz="0" w:space="0" w:color="auto"/>
            <w:bottom w:val="none" w:sz="0" w:space="0" w:color="auto"/>
            <w:right w:val="none" w:sz="0" w:space="0" w:color="auto"/>
          </w:divBdr>
        </w:div>
        <w:div w:id="790246905">
          <w:marLeft w:val="640"/>
          <w:marRight w:val="0"/>
          <w:marTop w:val="0"/>
          <w:marBottom w:val="0"/>
          <w:divBdr>
            <w:top w:val="none" w:sz="0" w:space="0" w:color="auto"/>
            <w:left w:val="none" w:sz="0" w:space="0" w:color="auto"/>
            <w:bottom w:val="none" w:sz="0" w:space="0" w:color="auto"/>
            <w:right w:val="none" w:sz="0" w:space="0" w:color="auto"/>
          </w:divBdr>
        </w:div>
        <w:div w:id="1396859686">
          <w:marLeft w:val="640"/>
          <w:marRight w:val="0"/>
          <w:marTop w:val="0"/>
          <w:marBottom w:val="0"/>
          <w:divBdr>
            <w:top w:val="none" w:sz="0" w:space="0" w:color="auto"/>
            <w:left w:val="none" w:sz="0" w:space="0" w:color="auto"/>
            <w:bottom w:val="none" w:sz="0" w:space="0" w:color="auto"/>
            <w:right w:val="none" w:sz="0" w:space="0" w:color="auto"/>
          </w:divBdr>
        </w:div>
        <w:div w:id="1172642515">
          <w:marLeft w:val="640"/>
          <w:marRight w:val="0"/>
          <w:marTop w:val="0"/>
          <w:marBottom w:val="0"/>
          <w:divBdr>
            <w:top w:val="none" w:sz="0" w:space="0" w:color="auto"/>
            <w:left w:val="none" w:sz="0" w:space="0" w:color="auto"/>
            <w:bottom w:val="none" w:sz="0" w:space="0" w:color="auto"/>
            <w:right w:val="none" w:sz="0" w:space="0" w:color="auto"/>
          </w:divBdr>
        </w:div>
        <w:div w:id="595334489">
          <w:marLeft w:val="640"/>
          <w:marRight w:val="0"/>
          <w:marTop w:val="0"/>
          <w:marBottom w:val="0"/>
          <w:divBdr>
            <w:top w:val="none" w:sz="0" w:space="0" w:color="auto"/>
            <w:left w:val="none" w:sz="0" w:space="0" w:color="auto"/>
            <w:bottom w:val="none" w:sz="0" w:space="0" w:color="auto"/>
            <w:right w:val="none" w:sz="0" w:space="0" w:color="auto"/>
          </w:divBdr>
        </w:div>
        <w:div w:id="110363207">
          <w:marLeft w:val="640"/>
          <w:marRight w:val="0"/>
          <w:marTop w:val="0"/>
          <w:marBottom w:val="0"/>
          <w:divBdr>
            <w:top w:val="none" w:sz="0" w:space="0" w:color="auto"/>
            <w:left w:val="none" w:sz="0" w:space="0" w:color="auto"/>
            <w:bottom w:val="none" w:sz="0" w:space="0" w:color="auto"/>
            <w:right w:val="none" w:sz="0" w:space="0" w:color="auto"/>
          </w:divBdr>
        </w:div>
        <w:div w:id="283342919">
          <w:marLeft w:val="640"/>
          <w:marRight w:val="0"/>
          <w:marTop w:val="0"/>
          <w:marBottom w:val="0"/>
          <w:divBdr>
            <w:top w:val="none" w:sz="0" w:space="0" w:color="auto"/>
            <w:left w:val="none" w:sz="0" w:space="0" w:color="auto"/>
            <w:bottom w:val="none" w:sz="0" w:space="0" w:color="auto"/>
            <w:right w:val="none" w:sz="0" w:space="0" w:color="auto"/>
          </w:divBdr>
        </w:div>
        <w:div w:id="753169719">
          <w:marLeft w:val="640"/>
          <w:marRight w:val="0"/>
          <w:marTop w:val="0"/>
          <w:marBottom w:val="0"/>
          <w:divBdr>
            <w:top w:val="none" w:sz="0" w:space="0" w:color="auto"/>
            <w:left w:val="none" w:sz="0" w:space="0" w:color="auto"/>
            <w:bottom w:val="none" w:sz="0" w:space="0" w:color="auto"/>
            <w:right w:val="none" w:sz="0" w:space="0" w:color="auto"/>
          </w:divBdr>
        </w:div>
        <w:div w:id="1252740572">
          <w:marLeft w:val="640"/>
          <w:marRight w:val="0"/>
          <w:marTop w:val="0"/>
          <w:marBottom w:val="0"/>
          <w:divBdr>
            <w:top w:val="none" w:sz="0" w:space="0" w:color="auto"/>
            <w:left w:val="none" w:sz="0" w:space="0" w:color="auto"/>
            <w:bottom w:val="none" w:sz="0" w:space="0" w:color="auto"/>
            <w:right w:val="none" w:sz="0" w:space="0" w:color="auto"/>
          </w:divBdr>
        </w:div>
        <w:div w:id="1265073854">
          <w:marLeft w:val="640"/>
          <w:marRight w:val="0"/>
          <w:marTop w:val="0"/>
          <w:marBottom w:val="0"/>
          <w:divBdr>
            <w:top w:val="none" w:sz="0" w:space="0" w:color="auto"/>
            <w:left w:val="none" w:sz="0" w:space="0" w:color="auto"/>
            <w:bottom w:val="none" w:sz="0" w:space="0" w:color="auto"/>
            <w:right w:val="none" w:sz="0" w:space="0" w:color="auto"/>
          </w:divBdr>
        </w:div>
        <w:div w:id="1485731879">
          <w:marLeft w:val="640"/>
          <w:marRight w:val="0"/>
          <w:marTop w:val="0"/>
          <w:marBottom w:val="0"/>
          <w:divBdr>
            <w:top w:val="none" w:sz="0" w:space="0" w:color="auto"/>
            <w:left w:val="none" w:sz="0" w:space="0" w:color="auto"/>
            <w:bottom w:val="none" w:sz="0" w:space="0" w:color="auto"/>
            <w:right w:val="none" w:sz="0" w:space="0" w:color="auto"/>
          </w:divBdr>
        </w:div>
        <w:div w:id="342782292">
          <w:marLeft w:val="640"/>
          <w:marRight w:val="0"/>
          <w:marTop w:val="0"/>
          <w:marBottom w:val="0"/>
          <w:divBdr>
            <w:top w:val="none" w:sz="0" w:space="0" w:color="auto"/>
            <w:left w:val="none" w:sz="0" w:space="0" w:color="auto"/>
            <w:bottom w:val="none" w:sz="0" w:space="0" w:color="auto"/>
            <w:right w:val="none" w:sz="0" w:space="0" w:color="auto"/>
          </w:divBdr>
        </w:div>
        <w:div w:id="1222790586">
          <w:marLeft w:val="640"/>
          <w:marRight w:val="0"/>
          <w:marTop w:val="0"/>
          <w:marBottom w:val="0"/>
          <w:divBdr>
            <w:top w:val="none" w:sz="0" w:space="0" w:color="auto"/>
            <w:left w:val="none" w:sz="0" w:space="0" w:color="auto"/>
            <w:bottom w:val="none" w:sz="0" w:space="0" w:color="auto"/>
            <w:right w:val="none" w:sz="0" w:space="0" w:color="auto"/>
          </w:divBdr>
        </w:div>
        <w:div w:id="1460026997">
          <w:marLeft w:val="640"/>
          <w:marRight w:val="0"/>
          <w:marTop w:val="0"/>
          <w:marBottom w:val="0"/>
          <w:divBdr>
            <w:top w:val="none" w:sz="0" w:space="0" w:color="auto"/>
            <w:left w:val="none" w:sz="0" w:space="0" w:color="auto"/>
            <w:bottom w:val="none" w:sz="0" w:space="0" w:color="auto"/>
            <w:right w:val="none" w:sz="0" w:space="0" w:color="auto"/>
          </w:divBdr>
        </w:div>
        <w:div w:id="1437213662">
          <w:marLeft w:val="640"/>
          <w:marRight w:val="0"/>
          <w:marTop w:val="0"/>
          <w:marBottom w:val="0"/>
          <w:divBdr>
            <w:top w:val="none" w:sz="0" w:space="0" w:color="auto"/>
            <w:left w:val="none" w:sz="0" w:space="0" w:color="auto"/>
            <w:bottom w:val="none" w:sz="0" w:space="0" w:color="auto"/>
            <w:right w:val="none" w:sz="0" w:space="0" w:color="auto"/>
          </w:divBdr>
        </w:div>
        <w:div w:id="1445349002">
          <w:marLeft w:val="640"/>
          <w:marRight w:val="0"/>
          <w:marTop w:val="0"/>
          <w:marBottom w:val="0"/>
          <w:divBdr>
            <w:top w:val="none" w:sz="0" w:space="0" w:color="auto"/>
            <w:left w:val="none" w:sz="0" w:space="0" w:color="auto"/>
            <w:bottom w:val="none" w:sz="0" w:space="0" w:color="auto"/>
            <w:right w:val="none" w:sz="0" w:space="0" w:color="auto"/>
          </w:divBdr>
        </w:div>
        <w:div w:id="719211251">
          <w:marLeft w:val="640"/>
          <w:marRight w:val="0"/>
          <w:marTop w:val="0"/>
          <w:marBottom w:val="0"/>
          <w:divBdr>
            <w:top w:val="none" w:sz="0" w:space="0" w:color="auto"/>
            <w:left w:val="none" w:sz="0" w:space="0" w:color="auto"/>
            <w:bottom w:val="none" w:sz="0" w:space="0" w:color="auto"/>
            <w:right w:val="none" w:sz="0" w:space="0" w:color="auto"/>
          </w:divBdr>
        </w:div>
        <w:div w:id="340862180">
          <w:marLeft w:val="640"/>
          <w:marRight w:val="0"/>
          <w:marTop w:val="0"/>
          <w:marBottom w:val="0"/>
          <w:divBdr>
            <w:top w:val="none" w:sz="0" w:space="0" w:color="auto"/>
            <w:left w:val="none" w:sz="0" w:space="0" w:color="auto"/>
            <w:bottom w:val="none" w:sz="0" w:space="0" w:color="auto"/>
            <w:right w:val="none" w:sz="0" w:space="0" w:color="auto"/>
          </w:divBdr>
        </w:div>
        <w:div w:id="2111661813">
          <w:marLeft w:val="640"/>
          <w:marRight w:val="0"/>
          <w:marTop w:val="0"/>
          <w:marBottom w:val="0"/>
          <w:divBdr>
            <w:top w:val="none" w:sz="0" w:space="0" w:color="auto"/>
            <w:left w:val="none" w:sz="0" w:space="0" w:color="auto"/>
            <w:bottom w:val="none" w:sz="0" w:space="0" w:color="auto"/>
            <w:right w:val="none" w:sz="0" w:space="0" w:color="auto"/>
          </w:divBdr>
        </w:div>
        <w:div w:id="1829250602">
          <w:marLeft w:val="640"/>
          <w:marRight w:val="0"/>
          <w:marTop w:val="0"/>
          <w:marBottom w:val="0"/>
          <w:divBdr>
            <w:top w:val="none" w:sz="0" w:space="0" w:color="auto"/>
            <w:left w:val="none" w:sz="0" w:space="0" w:color="auto"/>
            <w:bottom w:val="none" w:sz="0" w:space="0" w:color="auto"/>
            <w:right w:val="none" w:sz="0" w:space="0" w:color="auto"/>
          </w:divBdr>
        </w:div>
        <w:div w:id="1179660398">
          <w:marLeft w:val="640"/>
          <w:marRight w:val="0"/>
          <w:marTop w:val="0"/>
          <w:marBottom w:val="0"/>
          <w:divBdr>
            <w:top w:val="none" w:sz="0" w:space="0" w:color="auto"/>
            <w:left w:val="none" w:sz="0" w:space="0" w:color="auto"/>
            <w:bottom w:val="none" w:sz="0" w:space="0" w:color="auto"/>
            <w:right w:val="none" w:sz="0" w:space="0" w:color="auto"/>
          </w:divBdr>
        </w:div>
        <w:div w:id="521894480">
          <w:marLeft w:val="640"/>
          <w:marRight w:val="0"/>
          <w:marTop w:val="0"/>
          <w:marBottom w:val="0"/>
          <w:divBdr>
            <w:top w:val="none" w:sz="0" w:space="0" w:color="auto"/>
            <w:left w:val="none" w:sz="0" w:space="0" w:color="auto"/>
            <w:bottom w:val="none" w:sz="0" w:space="0" w:color="auto"/>
            <w:right w:val="none" w:sz="0" w:space="0" w:color="auto"/>
          </w:divBdr>
        </w:div>
        <w:div w:id="742020839">
          <w:marLeft w:val="640"/>
          <w:marRight w:val="0"/>
          <w:marTop w:val="0"/>
          <w:marBottom w:val="0"/>
          <w:divBdr>
            <w:top w:val="none" w:sz="0" w:space="0" w:color="auto"/>
            <w:left w:val="none" w:sz="0" w:space="0" w:color="auto"/>
            <w:bottom w:val="none" w:sz="0" w:space="0" w:color="auto"/>
            <w:right w:val="none" w:sz="0" w:space="0" w:color="auto"/>
          </w:divBdr>
        </w:div>
        <w:div w:id="622227889">
          <w:marLeft w:val="640"/>
          <w:marRight w:val="0"/>
          <w:marTop w:val="0"/>
          <w:marBottom w:val="0"/>
          <w:divBdr>
            <w:top w:val="none" w:sz="0" w:space="0" w:color="auto"/>
            <w:left w:val="none" w:sz="0" w:space="0" w:color="auto"/>
            <w:bottom w:val="none" w:sz="0" w:space="0" w:color="auto"/>
            <w:right w:val="none" w:sz="0" w:space="0" w:color="auto"/>
          </w:divBdr>
        </w:div>
        <w:div w:id="1882131581">
          <w:marLeft w:val="640"/>
          <w:marRight w:val="0"/>
          <w:marTop w:val="0"/>
          <w:marBottom w:val="0"/>
          <w:divBdr>
            <w:top w:val="none" w:sz="0" w:space="0" w:color="auto"/>
            <w:left w:val="none" w:sz="0" w:space="0" w:color="auto"/>
            <w:bottom w:val="none" w:sz="0" w:space="0" w:color="auto"/>
            <w:right w:val="none" w:sz="0" w:space="0" w:color="auto"/>
          </w:divBdr>
        </w:div>
        <w:div w:id="511460334">
          <w:marLeft w:val="640"/>
          <w:marRight w:val="0"/>
          <w:marTop w:val="0"/>
          <w:marBottom w:val="0"/>
          <w:divBdr>
            <w:top w:val="none" w:sz="0" w:space="0" w:color="auto"/>
            <w:left w:val="none" w:sz="0" w:space="0" w:color="auto"/>
            <w:bottom w:val="none" w:sz="0" w:space="0" w:color="auto"/>
            <w:right w:val="none" w:sz="0" w:space="0" w:color="auto"/>
          </w:divBdr>
        </w:div>
        <w:div w:id="2051760534">
          <w:marLeft w:val="640"/>
          <w:marRight w:val="0"/>
          <w:marTop w:val="0"/>
          <w:marBottom w:val="0"/>
          <w:divBdr>
            <w:top w:val="none" w:sz="0" w:space="0" w:color="auto"/>
            <w:left w:val="none" w:sz="0" w:space="0" w:color="auto"/>
            <w:bottom w:val="none" w:sz="0" w:space="0" w:color="auto"/>
            <w:right w:val="none" w:sz="0" w:space="0" w:color="auto"/>
          </w:divBdr>
        </w:div>
        <w:div w:id="1134254463">
          <w:marLeft w:val="640"/>
          <w:marRight w:val="0"/>
          <w:marTop w:val="0"/>
          <w:marBottom w:val="0"/>
          <w:divBdr>
            <w:top w:val="none" w:sz="0" w:space="0" w:color="auto"/>
            <w:left w:val="none" w:sz="0" w:space="0" w:color="auto"/>
            <w:bottom w:val="none" w:sz="0" w:space="0" w:color="auto"/>
            <w:right w:val="none" w:sz="0" w:space="0" w:color="auto"/>
          </w:divBdr>
        </w:div>
        <w:div w:id="340622074">
          <w:marLeft w:val="640"/>
          <w:marRight w:val="0"/>
          <w:marTop w:val="0"/>
          <w:marBottom w:val="0"/>
          <w:divBdr>
            <w:top w:val="none" w:sz="0" w:space="0" w:color="auto"/>
            <w:left w:val="none" w:sz="0" w:space="0" w:color="auto"/>
            <w:bottom w:val="none" w:sz="0" w:space="0" w:color="auto"/>
            <w:right w:val="none" w:sz="0" w:space="0" w:color="auto"/>
          </w:divBdr>
        </w:div>
        <w:div w:id="552929715">
          <w:marLeft w:val="640"/>
          <w:marRight w:val="0"/>
          <w:marTop w:val="0"/>
          <w:marBottom w:val="0"/>
          <w:divBdr>
            <w:top w:val="none" w:sz="0" w:space="0" w:color="auto"/>
            <w:left w:val="none" w:sz="0" w:space="0" w:color="auto"/>
            <w:bottom w:val="none" w:sz="0" w:space="0" w:color="auto"/>
            <w:right w:val="none" w:sz="0" w:space="0" w:color="auto"/>
          </w:divBdr>
        </w:div>
        <w:div w:id="1778518915">
          <w:marLeft w:val="640"/>
          <w:marRight w:val="0"/>
          <w:marTop w:val="0"/>
          <w:marBottom w:val="0"/>
          <w:divBdr>
            <w:top w:val="none" w:sz="0" w:space="0" w:color="auto"/>
            <w:left w:val="none" w:sz="0" w:space="0" w:color="auto"/>
            <w:bottom w:val="none" w:sz="0" w:space="0" w:color="auto"/>
            <w:right w:val="none" w:sz="0" w:space="0" w:color="auto"/>
          </w:divBdr>
        </w:div>
        <w:div w:id="603152411">
          <w:marLeft w:val="640"/>
          <w:marRight w:val="0"/>
          <w:marTop w:val="0"/>
          <w:marBottom w:val="0"/>
          <w:divBdr>
            <w:top w:val="none" w:sz="0" w:space="0" w:color="auto"/>
            <w:left w:val="none" w:sz="0" w:space="0" w:color="auto"/>
            <w:bottom w:val="none" w:sz="0" w:space="0" w:color="auto"/>
            <w:right w:val="none" w:sz="0" w:space="0" w:color="auto"/>
          </w:divBdr>
        </w:div>
        <w:div w:id="1165971362">
          <w:marLeft w:val="640"/>
          <w:marRight w:val="0"/>
          <w:marTop w:val="0"/>
          <w:marBottom w:val="0"/>
          <w:divBdr>
            <w:top w:val="none" w:sz="0" w:space="0" w:color="auto"/>
            <w:left w:val="none" w:sz="0" w:space="0" w:color="auto"/>
            <w:bottom w:val="none" w:sz="0" w:space="0" w:color="auto"/>
            <w:right w:val="none" w:sz="0" w:space="0" w:color="auto"/>
          </w:divBdr>
        </w:div>
        <w:div w:id="1246382129">
          <w:marLeft w:val="640"/>
          <w:marRight w:val="0"/>
          <w:marTop w:val="0"/>
          <w:marBottom w:val="0"/>
          <w:divBdr>
            <w:top w:val="none" w:sz="0" w:space="0" w:color="auto"/>
            <w:left w:val="none" w:sz="0" w:space="0" w:color="auto"/>
            <w:bottom w:val="none" w:sz="0" w:space="0" w:color="auto"/>
            <w:right w:val="none" w:sz="0" w:space="0" w:color="auto"/>
          </w:divBdr>
        </w:div>
        <w:div w:id="1167288983">
          <w:marLeft w:val="640"/>
          <w:marRight w:val="0"/>
          <w:marTop w:val="0"/>
          <w:marBottom w:val="0"/>
          <w:divBdr>
            <w:top w:val="none" w:sz="0" w:space="0" w:color="auto"/>
            <w:left w:val="none" w:sz="0" w:space="0" w:color="auto"/>
            <w:bottom w:val="none" w:sz="0" w:space="0" w:color="auto"/>
            <w:right w:val="none" w:sz="0" w:space="0" w:color="auto"/>
          </w:divBdr>
        </w:div>
        <w:div w:id="1072115689">
          <w:marLeft w:val="640"/>
          <w:marRight w:val="0"/>
          <w:marTop w:val="0"/>
          <w:marBottom w:val="0"/>
          <w:divBdr>
            <w:top w:val="none" w:sz="0" w:space="0" w:color="auto"/>
            <w:left w:val="none" w:sz="0" w:space="0" w:color="auto"/>
            <w:bottom w:val="none" w:sz="0" w:space="0" w:color="auto"/>
            <w:right w:val="none" w:sz="0" w:space="0" w:color="auto"/>
          </w:divBdr>
        </w:div>
        <w:div w:id="665054">
          <w:marLeft w:val="640"/>
          <w:marRight w:val="0"/>
          <w:marTop w:val="0"/>
          <w:marBottom w:val="0"/>
          <w:divBdr>
            <w:top w:val="none" w:sz="0" w:space="0" w:color="auto"/>
            <w:left w:val="none" w:sz="0" w:space="0" w:color="auto"/>
            <w:bottom w:val="none" w:sz="0" w:space="0" w:color="auto"/>
            <w:right w:val="none" w:sz="0" w:space="0" w:color="auto"/>
          </w:divBdr>
        </w:div>
        <w:div w:id="362559989">
          <w:marLeft w:val="640"/>
          <w:marRight w:val="0"/>
          <w:marTop w:val="0"/>
          <w:marBottom w:val="0"/>
          <w:divBdr>
            <w:top w:val="none" w:sz="0" w:space="0" w:color="auto"/>
            <w:left w:val="none" w:sz="0" w:space="0" w:color="auto"/>
            <w:bottom w:val="none" w:sz="0" w:space="0" w:color="auto"/>
            <w:right w:val="none" w:sz="0" w:space="0" w:color="auto"/>
          </w:divBdr>
        </w:div>
        <w:div w:id="1209149834">
          <w:marLeft w:val="640"/>
          <w:marRight w:val="0"/>
          <w:marTop w:val="0"/>
          <w:marBottom w:val="0"/>
          <w:divBdr>
            <w:top w:val="none" w:sz="0" w:space="0" w:color="auto"/>
            <w:left w:val="none" w:sz="0" w:space="0" w:color="auto"/>
            <w:bottom w:val="none" w:sz="0" w:space="0" w:color="auto"/>
            <w:right w:val="none" w:sz="0" w:space="0" w:color="auto"/>
          </w:divBdr>
        </w:div>
        <w:div w:id="1847552838">
          <w:marLeft w:val="640"/>
          <w:marRight w:val="0"/>
          <w:marTop w:val="0"/>
          <w:marBottom w:val="0"/>
          <w:divBdr>
            <w:top w:val="none" w:sz="0" w:space="0" w:color="auto"/>
            <w:left w:val="none" w:sz="0" w:space="0" w:color="auto"/>
            <w:bottom w:val="none" w:sz="0" w:space="0" w:color="auto"/>
            <w:right w:val="none" w:sz="0" w:space="0" w:color="auto"/>
          </w:divBdr>
        </w:div>
        <w:div w:id="2087485153">
          <w:marLeft w:val="640"/>
          <w:marRight w:val="0"/>
          <w:marTop w:val="0"/>
          <w:marBottom w:val="0"/>
          <w:divBdr>
            <w:top w:val="none" w:sz="0" w:space="0" w:color="auto"/>
            <w:left w:val="none" w:sz="0" w:space="0" w:color="auto"/>
            <w:bottom w:val="none" w:sz="0" w:space="0" w:color="auto"/>
            <w:right w:val="none" w:sz="0" w:space="0" w:color="auto"/>
          </w:divBdr>
        </w:div>
        <w:div w:id="1171682221">
          <w:marLeft w:val="640"/>
          <w:marRight w:val="0"/>
          <w:marTop w:val="0"/>
          <w:marBottom w:val="0"/>
          <w:divBdr>
            <w:top w:val="none" w:sz="0" w:space="0" w:color="auto"/>
            <w:left w:val="none" w:sz="0" w:space="0" w:color="auto"/>
            <w:bottom w:val="none" w:sz="0" w:space="0" w:color="auto"/>
            <w:right w:val="none" w:sz="0" w:space="0" w:color="auto"/>
          </w:divBdr>
        </w:div>
        <w:div w:id="1952391840">
          <w:marLeft w:val="640"/>
          <w:marRight w:val="0"/>
          <w:marTop w:val="0"/>
          <w:marBottom w:val="0"/>
          <w:divBdr>
            <w:top w:val="none" w:sz="0" w:space="0" w:color="auto"/>
            <w:left w:val="none" w:sz="0" w:space="0" w:color="auto"/>
            <w:bottom w:val="none" w:sz="0" w:space="0" w:color="auto"/>
            <w:right w:val="none" w:sz="0" w:space="0" w:color="auto"/>
          </w:divBdr>
        </w:div>
        <w:div w:id="1717316477">
          <w:marLeft w:val="640"/>
          <w:marRight w:val="0"/>
          <w:marTop w:val="0"/>
          <w:marBottom w:val="0"/>
          <w:divBdr>
            <w:top w:val="none" w:sz="0" w:space="0" w:color="auto"/>
            <w:left w:val="none" w:sz="0" w:space="0" w:color="auto"/>
            <w:bottom w:val="none" w:sz="0" w:space="0" w:color="auto"/>
            <w:right w:val="none" w:sz="0" w:space="0" w:color="auto"/>
          </w:divBdr>
        </w:div>
        <w:div w:id="2046565136">
          <w:marLeft w:val="640"/>
          <w:marRight w:val="0"/>
          <w:marTop w:val="0"/>
          <w:marBottom w:val="0"/>
          <w:divBdr>
            <w:top w:val="none" w:sz="0" w:space="0" w:color="auto"/>
            <w:left w:val="none" w:sz="0" w:space="0" w:color="auto"/>
            <w:bottom w:val="none" w:sz="0" w:space="0" w:color="auto"/>
            <w:right w:val="none" w:sz="0" w:space="0" w:color="auto"/>
          </w:divBdr>
        </w:div>
        <w:div w:id="712774499">
          <w:marLeft w:val="640"/>
          <w:marRight w:val="0"/>
          <w:marTop w:val="0"/>
          <w:marBottom w:val="0"/>
          <w:divBdr>
            <w:top w:val="none" w:sz="0" w:space="0" w:color="auto"/>
            <w:left w:val="none" w:sz="0" w:space="0" w:color="auto"/>
            <w:bottom w:val="none" w:sz="0" w:space="0" w:color="auto"/>
            <w:right w:val="none" w:sz="0" w:space="0" w:color="auto"/>
          </w:divBdr>
        </w:div>
        <w:div w:id="1229220098">
          <w:marLeft w:val="640"/>
          <w:marRight w:val="0"/>
          <w:marTop w:val="0"/>
          <w:marBottom w:val="0"/>
          <w:divBdr>
            <w:top w:val="none" w:sz="0" w:space="0" w:color="auto"/>
            <w:left w:val="none" w:sz="0" w:space="0" w:color="auto"/>
            <w:bottom w:val="none" w:sz="0" w:space="0" w:color="auto"/>
            <w:right w:val="none" w:sz="0" w:space="0" w:color="auto"/>
          </w:divBdr>
        </w:div>
        <w:div w:id="1712143544">
          <w:marLeft w:val="640"/>
          <w:marRight w:val="0"/>
          <w:marTop w:val="0"/>
          <w:marBottom w:val="0"/>
          <w:divBdr>
            <w:top w:val="none" w:sz="0" w:space="0" w:color="auto"/>
            <w:left w:val="none" w:sz="0" w:space="0" w:color="auto"/>
            <w:bottom w:val="none" w:sz="0" w:space="0" w:color="auto"/>
            <w:right w:val="none" w:sz="0" w:space="0" w:color="auto"/>
          </w:divBdr>
        </w:div>
        <w:div w:id="323362703">
          <w:marLeft w:val="640"/>
          <w:marRight w:val="0"/>
          <w:marTop w:val="0"/>
          <w:marBottom w:val="0"/>
          <w:divBdr>
            <w:top w:val="none" w:sz="0" w:space="0" w:color="auto"/>
            <w:left w:val="none" w:sz="0" w:space="0" w:color="auto"/>
            <w:bottom w:val="none" w:sz="0" w:space="0" w:color="auto"/>
            <w:right w:val="none" w:sz="0" w:space="0" w:color="auto"/>
          </w:divBdr>
        </w:div>
        <w:div w:id="1276328493">
          <w:marLeft w:val="640"/>
          <w:marRight w:val="0"/>
          <w:marTop w:val="0"/>
          <w:marBottom w:val="0"/>
          <w:divBdr>
            <w:top w:val="none" w:sz="0" w:space="0" w:color="auto"/>
            <w:left w:val="none" w:sz="0" w:space="0" w:color="auto"/>
            <w:bottom w:val="none" w:sz="0" w:space="0" w:color="auto"/>
            <w:right w:val="none" w:sz="0" w:space="0" w:color="auto"/>
          </w:divBdr>
        </w:div>
        <w:div w:id="1535146525">
          <w:marLeft w:val="640"/>
          <w:marRight w:val="0"/>
          <w:marTop w:val="0"/>
          <w:marBottom w:val="0"/>
          <w:divBdr>
            <w:top w:val="none" w:sz="0" w:space="0" w:color="auto"/>
            <w:left w:val="none" w:sz="0" w:space="0" w:color="auto"/>
            <w:bottom w:val="none" w:sz="0" w:space="0" w:color="auto"/>
            <w:right w:val="none" w:sz="0" w:space="0" w:color="auto"/>
          </w:divBdr>
        </w:div>
        <w:div w:id="1980187527">
          <w:marLeft w:val="640"/>
          <w:marRight w:val="0"/>
          <w:marTop w:val="0"/>
          <w:marBottom w:val="0"/>
          <w:divBdr>
            <w:top w:val="none" w:sz="0" w:space="0" w:color="auto"/>
            <w:left w:val="none" w:sz="0" w:space="0" w:color="auto"/>
            <w:bottom w:val="none" w:sz="0" w:space="0" w:color="auto"/>
            <w:right w:val="none" w:sz="0" w:space="0" w:color="auto"/>
          </w:divBdr>
        </w:div>
        <w:div w:id="1707366594">
          <w:marLeft w:val="640"/>
          <w:marRight w:val="0"/>
          <w:marTop w:val="0"/>
          <w:marBottom w:val="0"/>
          <w:divBdr>
            <w:top w:val="none" w:sz="0" w:space="0" w:color="auto"/>
            <w:left w:val="none" w:sz="0" w:space="0" w:color="auto"/>
            <w:bottom w:val="none" w:sz="0" w:space="0" w:color="auto"/>
            <w:right w:val="none" w:sz="0" w:space="0" w:color="auto"/>
          </w:divBdr>
        </w:div>
        <w:div w:id="593906129">
          <w:marLeft w:val="640"/>
          <w:marRight w:val="0"/>
          <w:marTop w:val="0"/>
          <w:marBottom w:val="0"/>
          <w:divBdr>
            <w:top w:val="none" w:sz="0" w:space="0" w:color="auto"/>
            <w:left w:val="none" w:sz="0" w:space="0" w:color="auto"/>
            <w:bottom w:val="none" w:sz="0" w:space="0" w:color="auto"/>
            <w:right w:val="none" w:sz="0" w:space="0" w:color="auto"/>
          </w:divBdr>
        </w:div>
        <w:div w:id="1265186603">
          <w:marLeft w:val="640"/>
          <w:marRight w:val="0"/>
          <w:marTop w:val="0"/>
          <w:marBottom w:val="0"/>
          <w:divBdr>
            <w:top w:val="none" w:sz="0" w:space="0" w:color="auto"/>
            <w:left w:val="none" w:sz="0" w:space="0" w:color="auto"/>
            <w:bottom w:val="none" w:sz="0" w:space="0" w:color="auto"/>
            <w:right w:val="none" w:sz="0" w:space="0" w:color="auto"/>
          </w:divBdr>
        </w:div>
        <w:div w:id="2133131687">
          <w:marLeft w:val="640"/>
          <w:marRight w:val="0"/>
          <w:marTop w:val="0"/>
          <w:marBottom w:val="0"/>
          <w:divBdr>
            <w:top w:val="none" w:sz="0" w:space="0" w:color="auto"/>
            <w:left w:val="none" w:sz="0" w:space="0" w:color="auto"/>
            <w:bottom w:val="none" w:sz="0" w:space="0" w:color="auto"/>
            <w:right w:val="none" w:sz="0" w:space="0" w:color="auto"/>
          </w:divBdr>
        </w:div>
        <w:div w:id="1994487095">
          <w:marLeft w:val="640"/>
          <w:marRight w:val="0"/>
          <w:marTop w:val="0"/>
          <w:marBottom w:val="0"/>
          <w:divBdr>
            <w:top w:val="none" w:sz="0" w:space="0" w:color="auto"/>
            <w:left w:val="none" w:sz="0" w:space="0" w:color="auto"/>
            <w:bottom w:val="none" w:sz="0" w:space="0" w:color="auto"/>
            <w:right w:val="none" w:sz="0" w:space="0" w:color="auto"/>
          </w:divBdr>
        </w:div>
        <w:div w:id="867328563">
          <w:marLeft w:val="640"/>
          <w:marRight w:val="0"/>
          <w:marTop w:val="0"/>
          <w:marBottom w:val="0"/>
          <w:divBdr>
            <w:top w:val="none" w:sz="0" w:space="0" w:color="auto"/>
            <w:left w:val="none" w:sz="0" w:space="0" w:color="auto"/>
            <w:bottom w:val="none" w:sz="0" w:space="0" w:color="auto"/>
            <w:right w:val="none" w:sz="0" w:space="0" w:color="auto"/>
          </w:divBdr>
        </w:div>
        <w:div w:id="1988165718">
          <w:marLeft w:val="640"/>
          <w:marRight w:val="0"/>
          <w:marTop w:val="0"/>
          <w:marBottom w:val="0"/>
          <w:divBdr>
            <w:top w:val="none" w:sz="0" w:space="0" w:color="auto"/>
            <w:left w:val="none" w:sz="0" w:space="0" w:color="auto"/>
            <w:bottom w:val="none" w:sz="0" w:space="0" w:color="auto"/>
            <w:right w:val="none" w:sz="0" w:space="0" w:color="auto"/>
          </w:divBdr>
        </w:div>
        <w:div w:id="1107888233">
          <w:marLeft w:val="640"/>
          <w:marRight w:val="0"/>
          <w:marTop w:val="0"/>
          <w:marBottom w:val="0"/>
          <w:divBdr>
            <w:top w:val="none" w:sz="0" w:space="0" w:color="auto"/>
            <w:left w:val="none" w:sz="0" w:space="0" w:color="auto"/>
            <w:bottom w:val="none" w:sz="0" w:space="0" w:color="auto"/>
            <w:right w:val="none" w:sz="0" w:space="0" w:color="auto"/>
          </w:divBdr>
        </w:div>
        <w:div w:id="1878853272">
          <w:marLeft w:val="640"/>
          <w:marRight w:val="0"/>
          <w:marTop w:val="0"/>
          <w:marBottom w:val="0"/>
          <w:divBdr>
            <w:top w:val="none" w:sz="0" w:space="0" w:color="auto"/>
            <w:left w:val="none" w:sz="0" w:space="0" w:color="auto"/>
            <w:bottom w:val="none" w:sz="0" w:space="0" w:color="auto"/>
            <w:right w:val="none" w:sz="0" w:space="0" w:color="auto"/>
          </w:divBdr>
        </w:div>
        <w:div w:id="394545163">
          <w:marLeft w:val="640"/>
          <w:marRight w:val="0"/>
          <w:marTop w:val="0"/>
          <w:marBottom w:val="0"/>
          <w:divBdr>
            <w:top w:val="none" w:sz="0" w:space="0" w:color="auto"/>
            <w:left w:val="none" w:sz="0" w:space="0" w:color="auto"/>
            <w:bottom w:val="none" w:sz="0" w:space="0" w:color="auto"/>
            <w:right w:val="none" w:sz="0" w:space="0" w:color="auto"/>
          </w:divBdr>
        </w:div>
        <w:div w:id="865413649">
          <w:marLeft w:val="640"/>
          <w:marRight w:val="0"/>
          <w:marTop w:val="0"/>
          <w:marBottom w:val="0"/>
          <w:divBdr>
            <w:top w:val="none" w:sz="0" w:space="0" w:color="auto"/>
            <w:left w:val="none" w:sz="0" w:space="0" w:color="auto"/>
            <w:bottom w:val="none" w:sz="0" w:space="0" w:color="auto"/>
            <w:right w:val="none" w:sz="0" w:space="0" w:color="auto"/>
          </w:divBdr>
        </w:div>
        <w:div w:id="660231271">
          <w:marLeft w:val="640"/>
          <w:marRight w:val="0"/>
          <w:marTop w:val="0"/>
          <w:marBottom w:val="0"/>
          <w:divBdr>
            <w:top w:val="none" w:sz="0" w:space="0" w:color="auto"/>
            <w:left w:val="none" w:sz="0" w:space="0" w:color="auto"/>
            <w:bottom w:val="none" w:sz="0" w:space="0" w:color="auto"/>
            <w:right w:val="none" w:sz="0" w:space="0" w:color="auto"/>
          </w:divBdr>
        </w:div>
        <w:div w:id="1399279134">
          <w:marLeft w:val="640"/>
          <w:marRight w:val="0"/>
          <w:marTop w:val="0"/>
          <w:marBottom w:val="0"/>
          <w:divBdr>
            <w:top w:val="none" w:sz="0" w:space="0" w:color="auto"/>
            <w:left w:val="none" w:sz="0" w:space="0" w:color="auto"/>
            <w:bottom w:val="none" w:sz="0" w:space="0" w:color="auto"/>
            <w:right w:val="none" w:sz="0" w:space="0" w:color="auto"/>
          </w:divBdr>
        </w:div>
        <w:div w:id="717052695">
          <w:marLeft w:val="640"/>
          <w:marRight w:val="0"/>
          <w:marTop w:val="0"/>
          <w:marBottom w:val="0"/>
          <w:divBdr>
            <w:top w:val="none" w:sz="0" w:space="0" w:color="auto"/>
            <w:left w:val="none" w:sz="0" w:space="0" w:color="auto"/>
            <w:bottom w:val="none" w:sz="0" w:space="0" w:color="auto"/>
            <w:right w:val="none" w:sz="0" w:space="0" w:color="auto"/>
          </w:divBdr>
        </w:div>
        <w:div w:id="1137258723">
          <w:marLeft w:val="640"/>
          <w:marRight w:val="0"/>
          <w:marTop w:val="0"/>
          <w:marBottom w:val="0"/>
          <w:divBdr>
            <w:top w:val="none" w:sz="0" w:space="0" w:color="auto"/>
            <w:left w:val="none" w:sz="0" w:space="0" w:color="auto"/>
            <w:bottom w:val="none" w:sz="0" w:space="0" w:color="auto"/>
            <w:right w:val="none" w:sz="0" w:space="0" w:color="auto"/>
          </w:divBdr>
        </w:div>
        <w:div w:id="2078283952">
          <w:marLeft w:val="640"/>
          <w:marRight w:val="0"/>
          <w:marTop w:val="0"/>
          <w:marBottom w:val="0"/>
          <w:divBdr>
            <w:top w:val="none" w:sz="0" w:space="0" w:color="auto"/>
            <w:left w:val="none" w:sz="0" w:space="0" w:color="auto"/>
            <w:bottom w:val="none" w:sz="0" w:space="0" w:color="auto"/>
            <w:right w:val="none" w:sz="0" w:space="0" w:color="auto"/>
          </w:divBdr>
        </w:div>
        <w:div w:id="403380194">
          <w:marLeft w:val="640"/>
          <w:marRight w:val="0"/>
          <w:marTop w:val="0"/>
          <w:marBottom w:val="0"/>
          <w:divBdr>
            <w:top w:val="none" w:sz="0" w:space="0" w:color="auto"/>
            <w:left w:val="none" w:sz="0" w:space="0" w:color="auto"/>
            <w:bottom w:val="none" w:sz="0" w:space="0" w:color="auto"/>
            <w:right w:val="none" w:sz="0" w:space="0" w:color="auto"/>
          </w:divBdr>
        </w:div>
        <w:div w:id="1248685150">
          <w:marLeft w:val="640"/>
          <w:marRight w:val="0"/>
          <w:marTop w:val="0"/>
          <w:marBottom w:val="0"/>
          <w:divBdr>
            <w:top w:val="none" w:sz="0" w:space="0" w:color="auto"/>
            <w:left w:val="none" w:sz="0" w:space="0" w:color="auto"/>
            <w:bottom w:val="none" w:sz="0" w:space="0" w:color="auto"/>
            <w:right w:val="none" w:sz="0" w:space="0" w:color="auto"/>
          </w:divBdr>
        </w:div>
        <w:div w:id="955873247">
          <w:marLeft w:val="640"/>
          <w:marRight w:val="0"/>
          <w:marTop w:val="0"/>
          <w:marBottom w:val="0"/>
          <w:divBdr>
            <w:top w:val="none" w:sz="0" w:space="0" w:color="auto"/>
            <w:left w:val="none" w:sz="0" w:space="0" w:color="auto"/>
            <w:bottom w:val="none" w:sz="0" w:space="0" w:color="auto"/>
            <w:right w:val="none" w:sz="0" w:space="0" w:color="auto"/>
          </w:divBdr>
        </w:div>
        <w:div w:id="1183276880">
          <w:marLeft w:val="640"/>
          <w:marRight w:val="0"/>
          <w:marTop w:val="0"/>
          <w:marBottom w:val="0"/>
          <w:divBdr>
            <w:top w:val="none" w:sz="0" w:space="0" w:color="auto"/>
            <w:left w:val="none" w:sz="0" w:space="0" w:color="auto"/>
            <w:bottom w:val="none" w:sz="0" w:space="0" w:color="auto"/>
            <w:right w:val="none" w:sz="0" w:space="0" w:color="auto"/>
          </w:divBdr>
        </w:div>
        <w:div w:id="1755130812">
          <w:marLeft w:val="640"/>
          <w:marRight w:val="0"/>
          <w:marTop w:val="0"/>
          <w:marBottom w:val="0"/>
          <w:divBdr>
            <w:top w:val="none" w:sz="0" w:space="0" w:color="auto"/>
            <w:left w:val="none" w:sz="0" w:space="0" w:color="auto"/>
            <w:bottom w:val="none" w:sz="0" w:space="0" w:color="auto"/>
            <w:right w:val="none" w:sz="0" w:space="0" w:color="auto"/>
          </w:divBdr>
        </w:div>
        <w:div w:id="1293092371">
          <w:marLeft w:val="640"/>
          <w:marRight w:val="0"/>
          <w:marTop w:val="0"/>
          <w:marBottom w:val="0"/>
          <w:divBdr>
            <w:top w:val="none" w:sz="0" w:space="0" w:color="auto"/>
            <w:left w:val="none" w:sz="0" w:space="0" w:color="auto"/>
            <w:bottom w:val="none" w:sz="0" w:space="0" w:color="auto"/>
            <w:right w:val="none" w:sz="0" w:space="0" w:color="auto"/>
          </w:divBdr>
        </w:div>
        <w:div w:id="1523397703">
          <w:marLeft w:val="640"/>
          <w:marRight w:val="0"/>
          <w:marTop w:val="0"/>
          <w:marBottom w:val="0"/>
          <w:divBdr>
            <w:top w:val="none" w:sz="0" w:space="0" w:color="auto"/>
            <w:left w:val="none" w:sz="0" w:space="0" w:color="auto"/>
            <w:bottom w:val="none" w:sz="0" w:space="0" w:color="auto"/>
            <w:right w:val="none" w:sz="0" w:space="0" w:color="auto"/>
          </w:divBdr>
        </w:div>
        <w:div w:id="1849059001">
          <w:marLeft w:val="640"/>
          <w:marRight w:val="0"/>
          <w:marTop w:val="0"/>
          <w:marBottom w:val="0"/>
          <w:divBdr>
            <w:top w:val="none" w:sz="0" w:space="0" w:color="auto"/>
            <w:left w:val="none" w:sz="0" w:space="0" w:color="auto"/>
            <w:bottom w:val="none" w:sz="0" w:space="0" w:color="auto"/>
            <w:right w:val="none" w:sz="0" w:space="0" w:color="auto"/>
          </w:divBdr>
        </w:div>
        <w:div w:id="1989169559">
          <w:marLeft w:val="640"/>
          <w:marRight w:val="0"/>
          <w:marTop w:val="0"/>
          <w:marBottom w:val="0"/>
          <w:divBdr>
            <w:top w:val="none" w:sz="0" w:space="0" w:color="auto"/>
            <w:left w:val="none" w:sz="0" w:space="0" w:color="auto"/>
            <w:bottom w:val="none" w:sz="0" w:space="0" w:color="auto"/>
            <w:right w:val="none" w:sz="0" w:space="0" w:color="auto"/>
          </w:divBdr>
        </w:div>
        <w:div w:id="971712843">
          <w:marLeft w:val="640"/>
          <w:marRight w:val="0"/>
          <w:marTop w:val="0"/>
          <w:marBottom w:val="0"/>
          <w:divBdr>
            <w:top w:val="none" w:sz="0" w:space="0" w:color="auto"/>
            <w:left w:val="none" w:sz="0" w:space="0" w:color="auto"/>
            <w:bottom w:val="none" w:sz="0" w:space="0" w:color="auto"/>
            <w:right w:val="none" w:sz="0" w:space="0" w:color="auto"/>
          </w:divBdr>
        </w:div>
        <w:div w:id="990912423">
          <w:marLeft w:val="640"/>
          <w:marRight w:val="0"/>
          <w:marTop w:val="0"/>
          <w:marBottom w:val="0"/>
          <w:divBdr>
            <w:top w:val="none" w:sz="0" w:space="0" w:color="auto"/>
            <w:left w:val="none" w:sz="0" w:space="0" w:color="auto"/>
            <w:bottom w:val="none" w:sz="0" w:space="0" w:color="auto"/>
            <w:right w:val="none" w:sz="0" w:space="0" w:color="auto"/>
          </w:divBdr>
        </w:div>
        <w:div w:id="1324430447">
          <w:marLeft w:val="640"/>
          <w:marRight w:val="0"/>
          <w:marTop w:val="0"/>
          <w:marBottom w:val="0"/>
          <w:divBdr>
            <w:top w:val="none" w:sz="0" w:space="0" w:color="auto"/>
            <w:left w:val="none" w:sz="0" w:space="0" w:color="auto"/>
            <w:bottom w:val="none" w:sz="0" w:space="0" w:color="auto"/>
            <w:right w:val="none" w:sz="0" w:space="0" w:color="auto"/>
          </w:divBdr>
        </w:div>
        <w:div w:id="1196230147">
          <w:marLeft w:val="640"/>
          <w:marRight w:val="0"/>
          <w:marTop w:val="0"/>
          <w:marBottom w:val="0"/>
          <w:divBdr>
            <w:top w:val="none" w:sz="0" w:space="0" w:color="auto"/>
            <w:left w:val="none" w:sz="0" w:space="0" w:color="auto"/>
            <w:bottom w:val="none" w:sz="0" w:space="0" w:color="auto"/>
            <w:right w:val="none" w:sz="0" w:space="0" w:color="auto"/>
          </w:divBdr>
        </w:div>
        <w:div w:id="2104450192">
          <w:marLeft w:val="640"/>
          <w:marRight w:val="0"/>
          <w:marTop w:val="0"/>
          <w:marBottom w:val="0"/>
          <w:divBdr>
            <w:top w:val="none" w:sz="0" w:space="0" w:color="auto"/>
            <w:left w:val="none" w:sz="0" w:space="0" w:color="auto"/>
            <w:bottom w:val="none" w:sz="0" w:space="0" w:color="auto"/>
            <w:right w:val="none" w:sz="0" w:space="0" w:color="auto"/>
          </w:divBdr>
        </w:div>
        <w:div w:id="1059745288">
          <w:marLeft w:val="640"/>
          <w:marRight w:val="0"/>
          <w:marTop w:val="0"/>
          <w:marBottom w:val="0"/>
          <w:divBdr>
            <w:top w:val="none" w:sz="0" w:space="0" w:color="auto"/>
            <w:left w:val="none" w:sz="0" w:space="0" w:color="auto"/>
            <w:bottom w:val="none" w:sz="0" w:space="0" w:color="auto"/>
            <w:right w:val="none" w:sz="0" w:space="0" w:color="auto"/>
          </w:divBdr>
        </w:div>
        <w:div w:id="719013483">
          <w:marLeft w:val="640"/>
          <w:marRight w:val="0"/>
          <w:marTop w:val="0"/>
          <w:marBottom w:val="0"/>
          <w:divBdr>
            <w:top w:val="none" w:sz="0" w:space="0" w:color="auto"/>
            <w:left w:val="none" w:sz="0" w:space="0" w:color="auto"/>
            <w:bottom w:val="none" w:sz="0" w:space="0" w:color="auto"/>
            <w:right w:val="none" w:sz="0" w:space="0" w:color="auto"/>
          </w:divBdr>
        </w:div>
        <w:div w:id="311833791">
          <w:marLeft w:val="640"/>
          <w:marRight w:val="0"/>
          <w:marTop w:val="0"/>
          <w:marBottom w:val="0"/>
          <w:divBdr>
            <w:top w:val="none" w:sz="0" w:space="0" w:color="auto"/>
            <w:left w:val="none" w:sz="0" w:space="0" w:color="auto"/>
            <w:bottom w:val="none" w:sz="0" w:space="0" w:color="auto"/>
            <w:right w:val="none" w:sz="0" w:space="0" w:color="auto"/>
          </w:divBdr>
        </w:div>
        <w:div w:id="163135083">
          <w:marLeft w:val="640"/>
          <w:marRight w:val="0"/>
          <w:marTop w:val="0"/>
          <w:marBottom w:val="0"/>
          <w:divBdr>
            <w:top w:val="none" w:sz="0" w:space="0" w:color="auto"/>
            <w:left w:val="none" w:sz="0" w:space="0" w:color="auto"/>
            <w:bottom w:val="none" w:sz="0" w:space="0" w:color="auto"/>
            <w:right w:val="none" w:sz="0" w:space="0" w:color="auto"/>
          </w:divBdr>
        </w:div>
        <w:div w:id="1972398732">
          <w:marLeft w:val="640"/>
          <w:marRight w:val="0"/>
          <w:marTop w:val="0"/>
          <w:marBottom w:val="0"/>
          <w:divBdr>
            <w:top w:val="none" w:sz="0" w:space="0" w:color="auto"/>
            <w:left w:val="none" w:sz="0" w:space="0" w:color="auto"/>
            <w:bottom w:val="none" w:sz="0" w:space="0" w:color="auto"/>
            <w:right w:val="none" w:sz="0" w:space="0" w:color="auto"/>
          </w:divBdr>
        </w:div>
        <w:div w:id="287976234">
          <w:marLeft w:val="640"/>
          <w:marRight w:val="0"/>
          <w:marTop w:val="0"/>
          <w:marBottom w:val="0"/>
          <w:divBdr>
            <w:top w:val="none" w:sz="0" w:space="0" w:color="auto"/>
            <w:left w:val="none" w:sz="0" w:space="0" w:color="auto"/>
            <w:bottom w:val="none" w:sz="0" w:space="0" w:color="auto"/>
            <w:right w:val="none" w:sz="0" w:space="0" w:color="auto"/>
          </w:divBdr>
        </w:div>
        <w:div w:id="1923637454">
          <w:marLeft w:val="640"/>
          <w:marRight w:val="0"/>
          <w:marTop w:val="0"/>
          <w:marBottom w:val="0"/>
          <w:divBdr>
            <w:top w:val="none" w:sz="0" w:space="0" w:color="auto"/>
            <w:left w:val="none" w:sz="0" w:space="0" w:color="auto"/>
            <w:bottom w:val="none" w:sz="0" w:space="0" w:color="auto"/>
            <w:right w:val="none" w:sz="0" w:space="0" w:color="auto"/>
          </w:divBdr>
        </w:div>
        <w:div w:id="1398742211">
          <w:marLeft w:val="640"/>
          <w:marRight w:val="0"/>
          <w:marTop w:val="0"/>
          <w:marBottom w:val="0"/>
          <w:divBdr>
            <w:top w:val="none" w:sz="0" w:space="0" w:color="auto"/>
            <w:left w:val="none" w:sz="0" w:space="0" w:color="auto"/>
            <w:bottom w:val="none" w:sz="0" w:space="0" w:color="auto"/>
            <w:right w:val="none" w:sz="0" w:space="0" w:color="auto"/>
          </w:divBdr>
        </w:div>
        <w:div w:id="1663509209">
          <w:marLeft w:val="640"/>
          <w:marRight w:val="0"/>
          <w:marTop w:val="0"/>
          <w:marBottom w:val="0"/>
          <w:divBdr>
            <w:top w:val="none" w:sz="0" w:space="0" w:color="auto"/>
            <w:left w:val="none" w:sz="0" w:space="0" w:color="auto"/>
            <w:bottom w:val="none" w:sz="0" w:space="0" w:color="auto"/>
            <w:right w:val="none" w:sz="0" w:space="0" w:color="auto"/>
          </w:divBdr>
        </w:div>
        <w:div w:id="265163080">
          <w:marLeft w:val="640"/>
          <w:marRight w:val="0"/>
          <w:marTop w:val="0"/>
          <w:marBottom w:val="0"/>
          <w:divBdr>
            <w:top w:val="none" w:sz="0" w:space="0" w:color="auto"/>
            <w:left w:val="none" w:sz="0" w:space="0" w:color="auto"/>
            <w:bottom w:val="none" w:sz="0" w:space="0" w:color="auto"/>
            <w:right w:val="none" w:sz="0" w:space="0" w:color="auto"/>
          </w:divBdr>
        </w:div>
        <w:div w:id="695236658">
          <w:marLeft w:val="640"/>
          <w:marRight w:val="0"/>
          <w:marTop w:val="0"/>
          <w:marBottom w:val="0"/>
          <w:divBdr>
            <w:top w:val="none" w:sz="0" w:space="0" w:color="auto"/>
            <w:left w:val="none" w:sz="0" w:space="0" w:color="auto"/>
            <w:bottom w:val="none" w:sz="0" w:space="0" w:color="auto"/>
            <w:right w:val="none" w:sz="0" w:space="0" w:color="auto"/>
          </w:divBdr>
        </w:div>
        <w:div w:id="220559421">
          <w:marLeft w:val="640"/>
          <w:marRight w:val="0"/>
          <w:marTop w:val="0"/>
          <w:marBottom w:val="0"/>
          <w:divBdr>
            <w:top w:val="none" w:sz="0" w:space="0" w:color="auto"/>
            <w:left w:val="none" w:sz="0" w:space="0" w:color="auto"/>
            <w:bottom w:val="none" w:sz="0" w:space="0" w:color="auto"/>
            <w:right w:val="none" w:sz="0" w:space="0" w:color="auto"/>
          </w:divBdr>
        </w:div>
        <w:div w:id="452990141">
          <w:marLeft w:val="640"/>
          <w:marRight w:val="0"/>
          <w:marTop w:val="0"/>
          <w:marBottom w:val="0"/>
          <w:divBdr>
            <w:top w:val="none" w:sz="0" w:space="0" w:color="auto"/>
            <w:left w:val="none" w:sz="0" w:space="0" w:color="auto"/>
            <w:bottom w:val="none" w:sz="0" w:space="0" w:color="auto"/>
            <w:right w:val="none" w:sz="0" w:space="0" w:color="auto"/>
          </w:divBdr>
        </w:div>
        <w:div w:id="2037190799">
          <w:marLeft w:val="640"/>
          <w:marRight w:val="0"/>
          <w:marTop w:val="0"/>
          <w:marBottom w:val="0"/>
          <w:divBdr>
            <w:top w:val="none" w:sz="0" w:space="0" w:color="auto"/>
            <w:left w:val="none" w:sz="0" w:space="0" w:color="auto"/>
            <w:bottom w:val="none" w:sz="0" w:space="0" w:color="auto"/>
            <w:right w:val="none" w:sz="0" w:space="0" w:color="auto"/>
          </w:divBdr>
        </w:div>
        <w:div w:id="565266930">
          <w:marLeft w:val="640"/>
          <w:marRight w:val="0"/>
          <w:marTop w:val="0"/>
          <w:marBottom w:val="0"/>
          <w:divBdr>
            <w:top w:val="none" w:sz="0" w:space="0" w:color="auto"/>
            <w:left w:val="none" w:sz="0" w:space="0" w:color="auto"/>
            <w:bottom w:val="none" w:sz="0" w:space="0" w:color="auto"/>
            <w:right w:val="none" w:sz="0" w:space="0" w:color="auto"/>
          </w:divBdr>
        </w:div>
        <w:div w:id="596641886">
          <w:marLeft w:val="640"/>
          <w:marRight w:val="0"/>
          <w:marTop w:val="0"/>
          <w:marBottom w:val="0"/>
          <w:divBdr>
            <w:top w:val="none" w:sz="0" w:space="0" w:color="auto"/>
            <w:left w:val="none" w:sz="0" w:space="0" w:color="auto"/>
            <w:bottom w:val="none" w:sz="0" w:space="0" w:color="auto"/>
            <w:right w:val="none" w:sz="0" w:space="0" w:color="auto"/>
          </w:divBdr>
        </w:div>
        <w:div w:id="503208539">
          <w:marLeft w:val="640"/>
          <w:marRight w:val="0"/>
          <w:marTop w:val="0"/>
          <w:marBottom w:val="0"/>
          <w:divBdr>
            <w:top w:val="none" w:sz="0" w:space="0" w:color="auto"/>
            <w:left w:val="none" w:sz="0" w:space="0" w:color="auto"/>
            <w:bottom w:val="none" w:sz="0" w:space="0" w:color="auto"/>
            <w:right w:val="none" w:sz="0" w:space="0" w:color="auto"/>
          </w:divBdr>
        </w:div>
        <w:div w:id="230040370">
          <w:marLeft w:val="640"/>
          <w:marRight w:val="0"/>
          <w:marTop w:val="0"/>
          <w:marBottom w:val="0"/>
          <w:divBdr>
            <w:top w:val="none" w:sz="0" w:space="0" w:color="auto"/>
            <w:left w:val="none" w:sz="0" w:space="0" w:color="auto"/>
            <w:bottom w:val="none" w:sz="0" w:space="0" w:color="auto"/>
            <w:right w:val="none" w:sz="0" w:space="0" w:color="auto"/>
          </w:divBdr>
        </w:div>
        <w:div w:id="1067727179">
          <w:marLeft w:val="640"/>
          <w:marRight w:val="0"/>
          <w:marTop w:val="0"/>
          <w:marBottom w:val="0"/>
          <w:divBdr>
            <w:top w:val="none" w:sz="0" w:space="0" w:color="auto"/>
            <w:left w:val="none" w:sz="0" w:space="0" w:color="auto"/>
            <w:bottom w:val="none" w:sz="0" w:space="0" w:color="auto"/>
            <w:right w:val="none" w:sz="0" w:space="0" w:color="auto"/>
          </w:divBdr>
        </w:div>
        <w:div w:id="809320009">
          <w:marLeft w:val="640"/>
          <w:marRight w:val="0"/>
          <w:marTop w:val="0"/>
          <w:marBottom w:val="0"/>
          <w:divBdr>
            <w:top w:val="none" w:sz="0" w:space="0" w:color="auto"/>
            <w:left w:val="none" w:sz="0" w:space="0" w:color="auto"/>
            <w:bottom w:val="none" w:sz="0" w:space="0" w:color="auto"/>
            <w:right w:val="none" w:sz="0" w:space="0" w:color="auto"/>
          </w:divBdr>
        </w:div>
        <w:div w:id="1018504653">
          <w:marLeft w:val="640"/>
          <w:marRight w:val="0"/>
          <w:marTop w:val="0"/>
          <w:marBottom w:val="0"/>
          <w:divBdr>
            <w:top w:val="none" w:sz="0" w:space="0" w:color="auto"/>
            <w:left w:val="none" w:sz="0" w:space="0" w:color="auto"/>
            <w:bottom w:val="none" w:sz="0" w:space="0" w:color="auto"/>
            <w:right w:val="none" w:sz="0" w:space="0" w:color="auto"/>
          </w:divBdr>
        </w:div>
        <w:div w:id="381174223">
          <w:marLeft w:val="640"/>
          <w:marRight w:val="0"/>
          <w:marTop w:val="0"/>
          <w:marBottom w:val="0"/>
          <w:divBdr>
            <w:top w:val="none" w:sz="0" w:space="0" w:color="auto"/>
            <w:left w:val="none" w:sz="0" w:space="0" w:color="auto"/>
            <w:bottom w:val="none" w:sz="0" w:space="0" w:color="auto"/>
            <w:right w:val="none" w:sz="0" w:space="0" w:color="auto"/>
          </w:divBdr>
        </w:div>
        <w:div w:id="2012684738">
          <w:marLeft w:val="640"/>
          <w:marRight w:val="0"/>
          <w:marTop w:val="0"/>
          <w:marBottom w:val="0"/>
          <w:divBdr>
            <w:top w:val="none" w:sz="0" w:space="0" w:color="auto"/>
            <w:left w:val="none" w:sz="0" w:space="0" w:color="auto"/>
            <w:bottom w:val="none" w:sz="0" w:space="0" w:color="auto"/>
            <w:right w:val="none" w:sz="0" w:space="0" w:color="auto"/>
          </w:divBdr>
        </w:div>
        <w:div w:id="1965846513">
          <w:marLeft w:val="640"/>
          <w:marRight w:val="0"/>
          <w:marTop w:val="0"/>
          <w:marBottom w:val="0"/>
          <w:divBdr>
            <w:top w:val="none" w:sz="0" w:space="0" w:color="auto"/>
            <w:left w:val="none" w:sz="0" w:space="0" w:color="auto"/>
            <w:bottom w:val="none" w:sz="0" w:space="0" w:color="auto"/>
            <w:right w:val="none" w:sz="0" w:space="0" w:color="auto"/>
          </w:divBdr>
        </w:div>
        <w:div w:id="344554700">
          <w:marLeft w:val="640"/>
          <w:marRight w:val="0"/>
          <w:marTop w:val="0"/>
          <w:marBottom w:val="0"/>
          <w:divBdr>
            <w:top w:val="none" w:sz="0" w:space="0" w:color="auto"/>
            <w:left w:val="none" w:sz="0" w:space="0" w:color="auto"/>
            <w:bottom w:val="none" w:sz="0" w:space="0" w:color="auto"/>
            <w:right w:val="none" w:sz="0" w:space="0" w:color="auto"/>
          </w:divBdr>
        </w:div>
        <w:div w:id="820117864">
          <w:marLeft w:val="640"/>
          <w:marRight w:val="0"/>
          <w:marTop w:val="0"/>
          <w:marBottom w:val="0"/>
          <w:divBdr>
            <w:top w:val="none" w:sz="0" w:space="0" w:color="auto"/>
            <w:left w:val="none" w:sz="0" w:space="0" w:color="auto"/>
            <w:bottom w:val="none" w:sz="0" w:space="0" w:color="auto"/>
            <w:right w:val="none" w:sz="0" w:space="0" w:color="auto"/>
          </w:divBdr>
        </w:div>
        <w:div w:id="1873303334">
          <w:marLeft w:val="640"/>
          <w:marRight w:val="0"/>
          <w:marTop w:val="0"/>
          <w:marBottom w:val="0"/>
          <w:divBdr>
            <w:top w:val="none" w:sz="0" w:space="0" w:color="auto"/>
            <w:left w:val="none" w:sz="0" w:space="0" w:color="auto"/>
            <w:bottom w:val="none" w:sz="0" w:space="0" w:color="auto"/>
            <w:right w:val="none" w:sz="0" w:space="0" w:color="auto"/>
          </w:divBdr>
        </w:div>
        <w:div w:id="1209074908">
          <w:marLeft w:val="640"/>
          <w:marRight w:val="0"/>
          <w:marTop w:val="0"/>
          <w:marBottom w:val="0"/>
          <w:divBdr>
            <w:top w:val="none" w:sz="0" w:space="0" w:color="auto"/>
            <w:left w:val="none" w:sz="0" w:space="0" w:color="auto"/>
            <w:bottom w:val="none" w:sz="0" w:space="0" w:color="auto"/>
            <w:right w:val="none" w:sz="0" w:space="0" w:color="auto"/>
          </w:divBdr>
        </w:div>
        <w:div w:id="1487094001">
          <w:marLeft w:val="640"/>
          <w:marRight w:val="0"/>
          <w:marTop w:val="0"/>
          <w:marBottom w:val="0"/>
          <w:divBdr>
            <w:top w:val="none" w:sz="0" w:space="0" w:color="auto"/>
            <w:left w:val="none" w:sz="0" w:space="0" w:color="auto"/>
            <w:bottom w:val="none" w:sz="0" w:space="0" w:color="auto"/>
            <w:right w:val="none" w:sz="0" w:space="0" w:color="auto"/>
          </w:divBdr>
        </w:div>
        <w:div w:id="1490898904">
          <w:marLeft w:val="640"/>
          <w:marRight w:val="0"/>
          <w:marTop w:val="0"/>
          <w:marBottom w:val="0"/>
          <w:divBdr>
            <w:top w:val="none" w:sz="0" w:space="0" w:color="auto"/>
            <w:left w:val="none" w:sz="0" w:space="0" w:color="auto"/>
            <w:bottom w:val="none" w:sz="0" w:space="0" w:color="auto"/>
            <w:right w:val="none" w:sz="0" w:space="0" w:color="auto"/>
          </w:divBdr>
        </w:div>
        <w:div w:id="1277517061">
          <w:marLeft w:val="640"/>
          <w:marRight w:val="0"/>
          <w:marTop w:val="0"/>
          <w:marBottom w:val="0"/>
          <w:divBdr>
            <w:top w:val="none" w:sz="0" w:space="0" w:color="auto"/>
            <w:left w:val="none" w:sz="0" w:space="0" w:color="auto"/>
            <w:bottom w:val="none" w:sz="0" w:space="0" w:color="auto"/>
            <w:right w:val="none" w:sz="0" w:space="0" w:color="auto"/>
          </w:divBdr>
        </w:div>
        <w:div w:id="222836198">
          <w:marLeft w:val="640"/>
          <w:marRight w:val="0"/>
          <w:marTop w:val="0"/>
          <w:marBottom w:val="0"/>
          <w:divBdr>
            <w:top w:val="none" w:sz="0" w:space="0" w:color="auto"/>
            <w:left w:val="none" w:sz="0" w:space="0" w:color="auto"/>
            <w:bottom w:val="none" w:sz="0" w:space="0" w:color="auto"/>
            <w:right w:val="none" w:sz="0" w:space="0" w:color="auto"/>
          </w:divBdr>
        </w:div>
        <w:div w:id="247884495">
          <w:marLeft w:val="640"/>
          <w:marRight w:val="0"/>
          <w:marTop w:val="0"/>
          <w:marBottom w:val="0"/>
          <w:divBdr>
            <w:top w:val="none" w:sz="0" w:space="0" w:color="auto"/>
            <w:left w:val="none" w:sz="0" w:space="0" w:color="auto"/>
            <w:bottom w:val="none" w:sz="0" w:space="0" w:color="auto"/>
            <w:right w:val="none" w:sz="0" w:space="0" w:color="auto"/>
          </w:divBdr>
        </w:div>
        <w:div w:id="478350870">
          <w:marLeft w:val="640"/>
          <w:marRight w:val="0"/>
          <w:marTop w:val="0"/>
          <w:marBottom w:val="0"/>
          <w:divBdr>
            <w:top w:val="none" w:sz="0" w:space="0" w:color="auto"/>
            <w:left w:val="none" w:sz="0" w:space="0" w:color="auto"/>
            <w:bottom w:val="none" w:sz="0" w:space="0" w:color="auto"/>
            <w:right w:val="none" w:sz="0" w:space="0" w:color="auto"/>
          </w:divBdr>
        </w:div>
        <w:div w:id="248127796">
          <w:marLeft w:val="640"/>
          <w:marRight w:val="0"/>
          <w:marTop w:val="0"/>
          <w:marBottom w:val="0"/>
          <w:divBdr>
            <w:top w:val="none" w:sz="0" w:space="0" w:color="auto"/>
            <w:left w:val="none" w:sz="0" w:space="0" w:color="auto"/>
            <w:bottom w:val="none" w:sz="0" w:space="0" w:color="auto"/>
            <w:right w:val="none" w:sz="0" w:space="0" w:color="auto"/>
          </w:divBdr>
        </w:div>
        <w:div w:id="660356102">
          <w:marLeft w:val="640"/>
          <w:marRight w:val="0"/>
          <w:marTop w:val="0"/>
          <w:marBottom w:val="0"/>
          <w:divBdr>
            <w:top w:val="none" w:sz="0" w:space="0" w:color="auto"/>
            <w:left w:val="none" w:sz="0" w:space="0" w:color="auto"/>
            <w:bottom w:val="none" w:sz="0" w:space="0" w:color="auto"/>
            <w:right w:val="none" w:sz="0" w:space="0" w:color="auto"/>
          </w:divBdr>
        </w:div>
        <w:div w:id="145557018">
          <w:marLeft w:val="640"/>
          <w:marRight w:val="0"/>
          <w:marTop w:val="0"/>
          <w:marBottom w:val="0"/>
          <w:divBdr>
            <w:top w:val="none" w:sz="0" w:space="0" w:color="auto"/>
            <w:left w:val="none" w:sz="0" w:space="0" w:color="auto"/>
            <w:bottom w:val="none" w:sz="0" w:space="0" w:color="auto"/>
            <w:right w:val="none" w:sz="0" w:space="0" w:color="auto"/>
          </w:divBdr>
        </w:div>
        <w:div w:id="717554102">
          <w:marLeft w:val="640"/>
          <w:marRight w:val="0"/>
          <w:marTop w:val="0"/>
          <w:marBottom w:val="0"/>
          <w:divBdr>
            <w:top w:val="none" w:sz="0" w:space="0" w:color="auto"/>
            <w:left w:val="none" w:sz="0" w:space="0" w:color="auto"/>
            <w:bottom w:val="none" w:sz="0" w:space="0" w:color="auto"/>
            <w:right w:val="none" w:sz="0" w:space="0" w:color="auto"/>
          </w:divBdr>
        </w:div>
        <w:div w:id="961035915">
          <w:marLeft w:val="640"/>
          <w:marRight w:val="0"/>
          <w:marTop w:val="0"/>
          <w:marBottom w:val="0"/>
          <w:divBdr>
            <w:top w:val="none" w:sz="0" w:space="0" w:color="auto"/>
            <w:left w:val="none" w:sz="0" w:space="0" w:color="auto"/>
            <w:bottom w:val="none" w:sz="0" w:space="0" w:color="auto"/>
            <w:right w:val="none" w:sz="0" w:space="0" w:color="auto"/>
          </w:divBdr>
        </w:div>
        <w:div w:id="922301541">
          <w:marLeft w:val="640"/>
          <w:marRight w:val="0"/>
          <w:marTop w:val="0"/>
          <w:marBottom w:val="0"/>
          <w:divBdr>
            <w:top w:val="none" w:sz="0" w:space="0" w:color="auto"/>
            <w:left w:val="none" w:sz="0" w:space="0" w:color="auto"/>
            <w:bottom w:val="none" w:sz="0" w:space="0" w:color="auto"/>
            <w:right w:val="none" w:sz="0" w:space="0" w:color="auto"/>
          </w:divBdr>
        </w:div>
        <w:div w:id="1222325175">
          <w:marLeft w:val="640"/>
          <w:marRight w:val="0"/>
          <w:marTop w:val="0"/>
          <w:marBottom w:val="0"/>
          <w:divBdr>
            <w:top w:val="none" w:sz="0" w:space="0" w:color="auto"/>
            <w:left w:val="none" w:sz="0" w:space="0" w:color="auto"/>
            <w:bottom w:val="none" w:sz="0" w:space="0" w:color="auto"/>
            <w:right w:val="none" w:sz="0" w:space="0" w:color="auto"/>
          </w:divBdr>
        </w:div>
        <w:div w:id="771359905">
          <w:marLeft w:val="640"/>
          <w:marRight w:val="0"/>
          <w:marTop w:val="0"/>
          <w:marBottom w:val="0"/>
          <w:divBdr>
            <w:top w:val="none" w:sz="0" w:space="0" w:color="auto"/>
            <w:left w:val="none" w:sz="0" w:space="0" w:color="auto"/>
            <w:bottom w:val="none" w:sz="0" w:space="0" w:color="auto"/>
            <w:right w:val="none" w:sz="0" w:space="0" w:color="auto"/>
          </w:divBdr>
        </w:div>
        <w:div w:id="1938053727">
          <w:marLeft w:val="640"/>
          <w:marRight w:val="0"/>
          <w:marTop w:val="0"/>
          <w:marBottom w:val="0"/>
          <w:divBdr>
            <w:top w:val="none" w:sz="0" w:space="0" w:color="auto"/>
            <w:left w:val="none" w:sz="0" w:space="0" w:color="auto"/>
            <w:bottom w:val="none" w:sz="0" w:space="0" w:color="auto"/>
            <w:right w:val="none" w:sz="0" w:space="0" w:color="auto"/>
          </w:divBdr>
        </w:div>
        <w:div w:id="1296523792">
          <w:marLeft w:val="640"/>
          <w:marRight w:val="0"/>
          <w:marTop w:val="0"/>
          <w:marBottom w:val="0"/>
          <w:divBdr>
            <w:top w:val="none" w:sz="0" w:space="0" w:color="auto"/>
            <w:left w:val="none" w:sz="0" w:space="0" w:color="auto"/>
            <w:bottom w:val="none" w:sz="0" w:space="0" w:color="auto"/>
            <w:right w:val="none" w:sz="0" w:space="0" w:color="auto"/>
          </w:divBdr>
        </w:div>
        <w:div w:id="625895951">
          <w:marLeft w:val="640"/>
          <w:marRight w:val="0"/>
          <w:marTop w:val="0"/>
          <w:marBottom w:val="0"/>
          <w:divBdr>
            <w:top w:val="none" w:sz="0" w:space="0" w:color="auto"/>
            <w:left w:val="none" w:sz="0" w:space="0" w:color="auto"/>
            <w:bottom w:val="none" w:sz="0" w:space="0" w:color="auto"/>
            <w:right w:val="none" w:sz="0" w:space="0" w:color="auto"/>
          </w:divBdr>
        </w:div>
        <w:div w:id="1855070955">
          <w:marLeft w:val="640"/>
          <w:marRight w:val="0"/>
          <w:marTop w:val="0"/>
          <w:marBottom w:val="0"/>
          <w:divBdr>
            <w:top w:val="none" w:sz="0" w:space="0" w:color="auto"/>
            <w:left w:val="none" w:sz="0" w:space="0" w:color="auto"/>
            <w:bottom w:val="none" w:sz="0" w:space="0" w:color="auto"/>
            <w:right w:val="none" w:sz="0" w:space="0" w:color="auto"/>
          </w:divBdr>
        </w:div>
        <w:div w:id="1918049674">
          <w:marLeft w:val="640"/>
          <w:marRight w:val="0"/>
          <w:marTop w:val="0"/>
          <w:marBottom w:val="0"/>
          <w:divBdr>
            <w:top w:val="none" w:sz="0" w:space="0" w:color="auto"/>
            <w:left w:val="none" w:sz="0" w:space="0" w:color="auto"/>
            <w:bottom w:val="none" w:sz="0" w:space="0" w:color="auto"/>
            <w:right w:val="none" w:sz="0" w:space="0" w:color="auto"/>
          </w:divBdr>
        </w:div>
        <w:div w:id="1042287846">
          <w:marLeft w:val="640"/>
          <w:marRight w:val="0"/>
          <w:marTop w:val="0"/>
          <w:marBottom w:val="0"/>
          <w:divBdr>
            <w:top w:val="none" w:sz="0" w:space="0" w:color="auto"/>
            <w:left w:val="none" w:sz="0" w:space="0" w:color="auto"/>
            <w:bottom w:val="none" w:sz="0" w:space="0" w:color="auto"/>
            <w:right w:val="none" w:sz="0" w:space="0" w:color="auto"/>
          </w:divBdr>
        </w:div>
        <w:div w:id="1898516730">
          <w:marLeft w:val="640"/>
          <w:marRight w:val="0"/>
          <w:marTop w:val="0"/>
          <w:marBottom w:val="0"/>
          <w:divBdr>
            <w:top w:val="none" w:sz="0" w:space="0" w:color="auto"/>
            <w:left w:val="none" w:sz="0" w:space="0" w:color="auto"/>
            <w:bottom w:val="none" w:sz="0" w:space="0" w:color="auto"/>
            <w:right w:val="none" w:sz="0" w:space="0" w:color="auto"/>
          </w:divBdr>
        </w:div>
        <w:div w:id="1633051557">
          <w:marLeft w:val="640"/>
          <w:marRight w:val="0"/>
          <w:marTop w:val="0"/>
          <w:marBottom w:val="0"/>
          <w:divBdr>
            <w:top w:val="none" w:sz="0" w:space="0" w:color="auto"/>
            <w:left w:val="none" w:sz="0" w:space="0" w:color="auto"/>
            <w:bottom w:val="none" w:sz="0" w:space="0" w:color="auto"/>
            <w:right w:val="none" w:sz="0" w:space="0" w:color="auto"/>
          </w:divBdr>
        </w:div>
        <w:div w:id="1747801206">
          <w:marLeft w:val="640"/>
          <w:marRight w:val="0"/>
          <w:marTop w:val="0"/>
          <w:marBottom w:val="0"/>
          <w:divBdr>
            <w:top w:val="none" w:sz="0" w:space="0" w:color="auto"/>
            <w:left w:val="none" w:sz="0" w:space="0" w:color="auto"/>
            <w:bottom w:val="none" w:sz="0" w:space="0" w:color="auto"/>
            <w:right w:val="none" w:sz="0" w:space="0" w:color="auto"/>
          </w:divBdr>
        </w:div>
        <w:div w:id="1978992176">
          <w:marLeft w:val="640"/>
          <w:marRight w:val="0"/>
          <w:marTop w:val="0"/>
          <w:marBottom w:val="0"/>
          <w:divBdr>
            <w:top w:val="none" w:sz="0" w:space="0" w:color="auto"/>
            <w:left w:val="none" w:sz="0" w:space="0" w:color="auto"/>
            <w:bottom w:val="none" w:sz="0" w:space="0" w:color="auto"/>
            <w:right w:val="none" w:sz="0" w:space="0" w:color="auto"/>
          </w:divBdr>
        </w:div>
        <w:div w:id="1842116628">
          <w:marLeft w:val="640"/>
          <w:marRight w:val="0"/>
          <w:marTop w:val="0"/>
          <w:marBottom w:val="0"/>
          <w:divBdr>
            <w:top w:val="none" w:sz="0" w:space="0" w:color="auto"/>
            <w:left w:val="none" w:sz="0" w:space="0" w:color="auto"/>
            <w:bottom w:val="none" w:sz="0" w:space="0" w:color="auto"/>
            <w:right w:val="none" w:sz="0" w:space="0" w:color="auto"/>
          </w:divBdr>
        </w:div>
        <w:div w:id="1999188716">
          <w:marLeft w:val="640"/>
          <w:marRight w:val="0"/>
          <w:marTop w:val="0"/>
          <w:marBottom w:val="0"/>
          <w:divBdr>
            <w:top w:val="none" w:sz="0" w:space="0" w:color="auto"/>
            <w:left w:val="none" w:sz="0" w:space="0" w:color="auto"/>
            <w:bottom w:val="none" w:sz="0" w:space="0" w:color="auto"/>
            <w:right w:val="none" w:sz="0" w:space="0" w:color="auto"/>
          </w:divBdr>
        </w:div>
        <w:div w:id="61486800">
          <w:marLeft w:val="640"/>
          <w:marRight w:val="0"/>
          <w:marTop w:val="0"/>
          <w:marBottom w:val="0"/>
          <w:divBdr>
            <w:top w:val="none" w:sz="0" w:space="0" w:color="auto"/>
            <w:left w:val="none" w:sz="0" w:space="0" w:color="auto"/>
            <w:bottom w:val="none" w:sz="0" w:space="0" w:color="auto"/>
            <w:right w:val="none" w:sz="0" w:space="0" w:color="auto"/>
          </w:divBdr>
        </w:div>
        <w:div w:id="1572421216">
          <w:marLeft w:val="640"/>
          <w:marRight w:val="0"/>
          <w:marTop w:val="0"/>
          <w:marBottom w:val="0"/>
          <w:divBdr>
            <w:top w:val="none" w:sz="0" w:space="0" w:color="auto"/>
            <w:left w:val="none" w:sz="0" w:space="0" w:color="auto"/>
            <w:bottom w:val="none" w:sz="0" w:space="0" w:color="auto"/>
            <w:right w:val="none" w:sz="0" w:space="0" w:color="auto"/>
          </w:divBdr>
        </w:div>
        <w:div w:id="219024816">
          <w:marLeft w:val="640"/>
          <w:marRight w:val="0"/>
          <w:marTop w:val="0"/>
          <w:marBottom w:val="0"/>
          <w:divBdr>
            <w:top w:val="none" w:sz="0" w:space="0" w:color="auto"/>
            <w:left w:val="none" w:sz="0" w:space="0" w:color="auto"/>
            <w:bottom w:val="none" w:sz="0" w:space="0" w:color="auto"/>
            <w:right w:val="none" w:sz="0" w:space="0" w:color="auto"/>
          </w:divBdr>
        </w:div>
        <w:div w:id="1263222394">
          <w:marLeft w:val="640"/>
          <w:marRight w:val="0"/>
          <w:marTop w:val="0"/>
          <w:marBottom w:val="0"/>
          <w:divBdr>
            <w:top w:val="none" w:sz="0" w:space="0" w:color="auto"/>
            <w:left w:val="none" w:sz="0" w:space="0" w:color="auto"/>
            <w:bottom w:val="none" w:sz="0" w:space="0" w:color="auto"/>
            <w:right w:val="none" w:sz="0" w:space="0" w:color="auto"/>
          </w:divBdr>
        </w:div>
        <w:div w:id="247539609">
          <w:marLeft w:val="640"/>
          <w:marRight w:val="0"/>
          <w:marTop w:val="0"/>
          <w:marBottom w:val="0"/>
          <w:divBdr>
            <w:top w:val="none" w:sz="0" w:space="0" w:color="auto"/>
            <w:left w:val="none" w:sz="0" w:space="0" w:color="auto"/>
            <w:bottom w:val="none" w:sz="0" w:space="0" w:color="auto"/>
            <w:right w:val="none" w:sz="0" w:space="0" w:color="auto"/>
          </w:divBdr>
        </w:div>
        <w:div w:id="2104449828">
          <w:marLeft w:val="640"/>
          <w:marRight w:val="0"/>
          <w:marTop w:val="0"/>
          <w:marBottom w:val="0"/>
          <w:divBdr>
            <w:top w:val="none" w:sz="0" w:space="0" w:color="auto"/>
            <w:left w:val="none" w:sz="0" w:space="0" w:color="auto"/>
            <w:bottom w:val="none" w:sz="0" w:space="0" w:color="auto"/>
            <w:right w:val="none" w:sz="0" w:space="0" w:color="auto"/>
          </w:divBdr>
        </w:div>
        <w:div w:id="849880924">
          <w:marLeft w:val="640"/>
          <w:marRight w:val="0"/>
          <w:marTop w:val="0"/>
          <w:marBottom w:val="0"/>
          <w:divBdr>
            <w:top w:val="none" w:sz="0" w:space="0" w:color="auto"/>
            <w:left w:val="none" w:sz="0" w:space="0" w:color="auto"/>
            <w:bottom w:val="none" w:sz="0" w:space="0" w:color="auto"/>
            <w:right w:val="none" w:sz="0" w:space="0" w:color="auto"/>
          </w:divBdr>
        </w:div>
        <w:div w:id="470443983">
          <w:marLeft w:val="640"/>
          <w:marRight w:val="0"/>
          <w:marTop w:val="0"/>
          <w:marBottom w:val="0"/>
          <w:divBdr>
            <w:top w:val="none" w:sz="0" w:space="0" w:color="auto"/>
            <w:left w:val="none" w:sz="0" w:space="0" w:color="auto"/>
            <w:bottom w:val="none" w:sz="0" w:space="0" w:color="auto"/>
            <w:right w:val="none" w:sz="0" w:space="0" w:color="auto"/>
          </w:divBdr>
        </w:div>
        <w:div w:id="1380058767">
          <w:marLeft w:val="640"/>
          <w:marRight w:val="0"/>
          <w:marTop w:val="0"/>
          <w:marBottom w:val="0"/>
          <w:divBdr>
            <w:top w:val="none" w:sz="0" w:space="0" w:color="auto"/>
            <w:left w:val="none" w:sz="0" w:space="0" w:color="auto"/>
            <w:bottom w:val="none" w:sz="0" w:space="0" w:color="auto"/>
            <w:right w:val="none" w:sz="0" w:space="0" w:color="auto"/>
          </w:divBdr>
        </w:div>
        <w:div w:id="1246308170">
          <w:marLeft w:val="640"/>
          <w:marRight w:val="0"/>
          <w:marTop w:val="0"/>
          <w:marBottom w:val="0"/>
          <w:divBdr>
            <w:top w:val="none" w:sz="0" w:space="0" w:color="auto"/>
            <w:left w:val="none" w:sz="0" w:space="0" w:color="auto"/>
            <w:bottom w:val="none" w:sz="0" w:space="0" w:color="auto"/>
            <w:right w:val="none" w:sz="0" w:space="0" w:color="auto"/>
          </w:divBdr>
        </w:div>
        <w:div w:id="973170817">
          <w:marLeft w:val="640"/>
          <w:marRight w:val="0"/>
          <w:marTop w:val="0"/>
          <w:marBottom w:val="0"/>
          <w:divBdr>
            <w:top w:val="none" w:sz="0" w:space="0" w:color="auto"/>
            <w:left w:val="none" w:sz="0" w:space="0" w:color="auto"/>
            <w:bottom w:val="none" w:sz="0" w:space="0" w:color="auto"/>
            <w:right w:val="none" w:sz="0" w:space="0" w:color="auto"/>
          </w:divBdr>
        </w:div>
        <w:div w:id="968515272">
          <w:marLeft w:val="640"/>
          <w:marRight w:val="0"/>
          <w:marTop w:val="0"/>
          <w:marBottom w:val="0"/>
          <w:divBdr>
            <w:top w:val="none" w:sz="0" w:space="0" w:color="auto"/>
            <w:left w:val="none" w:sz="0" w:space="0" w:color="auto"/>
            <w:bottom w:val="none" w:sz="0" w:space="0" w:color="auto"/>
            <w:right w:val="none" w:sz="0" w:space="0" w:color="auto"/>
          </w:divBdr>
        </w:div>
        <w:div w:id="1352998761">
          <w:marLeft w:val="640"/>
          <w:marRight w:val="0"/>
          <w:marTop w:val="0"/>
          <w:marBottom w:val="0"/>
          <w:divBdr>
            <w:top w:val="none" w:sz="0" w:space="0" w:color="auto"/>
            <w:left w:val="none" w:sz="0" w:space="0" w:color="auto"/>
            <w:bottom w:val="none" w:sz="0" w:space="0" w:color="auto"/>
            <w:right w:val="none" w:sz="0" w:space="0" w:color="auto"/>
          </w:divBdr>
        </w:div>
        <w:div w:id="43336488">
          <w:marLeft w:val="640"/>
          <w:marRight w:val="0"/>
          <w:marTop w:val="0"/>
          <w:marBottom w:val="0"/>
          <w:divBdr>
            <w:top w:val="none" w:sz="0" w:space="0" w:color="auto"/>
            <w:left w:val="none" w:sz="0" w:space="0" w:color="auto"/>
            <w:bottom w:val="none" w:sz="0" w:space="0" w:color="auto"/>
            <w:right w:val="none" w:sz="0" w:space="0" w:color="auto"/>
          </w:divBdr>
        </w:div>
        <w:div w:id="2011331876">
          <w:marLeft w:val="640"/>
          <w:marRight w:val="0"/>
          <w:marTop w:val="0"/>
          <w:marBottom w:val="0"/>
          <w:divBdr>
            <w:top w:val="none" w:sz="0" w:space="0" w:color="auto"/>
            <w:left w:val="none" w:sz="0" w:space="0" w:color="auto"/>
            <w:bottom w:val="none" w:sz="0" w:space="0" w:color="auto"/>
            <w:right w:val="none" w:sz="0" w:space="0" w:color="auto"/>
          </w:divBdr>
        </w:div>
        <w:div w:id="300042992">
          <w:marLeft w:val="640"/>
          <w:marRight w:val="0"/>
          <w:marTop w:val="0"/>
          <w:marBottom w:val="0"/>
          <w:divBdr>
            <w:top w:val="none" w:sz="0" w:space="0" w:color="auto"/>
            <w:left w:val="none" w:sz="0" w:space="0" w:color="auto"/>
            <w:bottom w:val="none" w:sz="0" w:space="0" w:color="auto"/>
            <w:right w:val="none" w:sz="0" w:space="0" w:color="auto"/>
          </w:divBdr>
        </w:div>
        <w:div w:id="941692393">
          <w:marLeft w:val="640"/>
          <w:marRight w:val="0"/>
          <w:marTop w:val="0"/>
          <w:marBottom w:val="0"/>
          <w:divBdr>
            <w:top w:val="none" w:sz="0" w:space="0" w:color="auto"/>
            <w:left w:val="none" w:sz="0" w:space="0" w:color="auto"/>
            <w:bottom w:val="none" w:sz="0" w:space="0" w:color="auto"/>
            <w:right w:val="none" w:sz="0" w:space="0" w:color="auto"/>
          </w:divBdr>
        </w:div>
        <w:div w:id="1595557025">
          <w:marLeft w:val="640"/>
          <w:marRight w:val="0"/>
          <w:marTop w:val="0"/>
          <w:marBottom w:val="0"/>
          <w:divBdr>
            <w:top w:val="none" w:sz="0" w:space="0" w:color="auto"/>
            <w:left w:val="none" w:sz="0" w:space="0" w:color="auto"/>
            <w:bottom w:val="none" w:sz="0" w:space="0" w:color="auto"/>
            <w:right w:val="none" w:sz="0" w:space="0" w:color="auto"/>
          </w:divBdr>
        </w:div>
        <w:div w:id="2056998116">
          <w:marLeft w:val="640"/>
          <w:marRight w:val="0"/>
          <w:marTop w:val="0"/>
          <w:marBottom w:val="0"/>
          <w:divBdr>
            <w:top w:val="none" w:sz="0" w:space="0" w:color="auto"/>
            <w:left w:val="none" w:sz="0" w:space="0" w:color="auto"/>
            <w:bottom w:val="none" w:sz="0" w:space="0" w:color="auto"/>
            <w:right w:val="none" w:sz="0" w:space="0" w:color="auto"/>
          </w:divBdr>
        </w:div>
        <w:div w:id="446001067">
          <w:marLeft w:val="640"/>
          <w:marRight w:val="0"/>
          <w:marTop w:val="0"/>
          <w:marBottom w:val="0"/>
          <w:divBdr>
            <w:top w:val="none" w:sz="0" w:space="0" w:color="auto"/>
            <w:left w:val="none" w:sz="0" w:space="0" w:color="auto"/>
            <w:bottom w:val="none" w:sz="0" w:space="0" w:color="auto"/>
            <w:right w:val="none" w:sz="0" w:space="0" w:color="auto"/>
          </w:divBdr>
        </w:div>
        <w:div w:id="273682037">
          <w:marLeft w:val="640"/>
          <w:marRight w:val="0"/>
          <w:marTop w:val="0"/>
          <w:marBottom w:val="0"/>
          <w:divBdr>
            <w:top w:val="none" w:sz="0" w:space="0" w:color="auto"/>
            <w:left w:val="none" w:sz="0" w:space="0" w:color="auto"/>
            <w:bottom w:val="none" w:sz="0" w:space="0" w:color="auto"/>
            <w:right w:val="none" w:sz="0" w:space="0" w:color="auto"/>
          </w:divBdr>
        </w:div>
        <w:div w:id="1630470600">
          <w:marLeft w:val="640"/>
          <w:marRight w:val="0"/>
          <w:marTop w:val="0"/>
          <w:marBottom w:val="0"/>
          <w:divBdr>
            <w:top w:val="none" w:sz="0" w:space="0" w:color="auto"/>
            <w:left w:val="none" w:sz="0" w:space="0" w:color="auto"/>
            <w:bottom w:val="none" w:sz="0" w:space="0" w:color="auto"/>
            <w:right w:val="none" w:sz="0" w:space="0" w:color="auto"/>
          </w:divBdr>
        </w:div>
        <w:div w:id="1622224291">
          <w:marLeft w:val="640"/>
          <w:marRight w:val="0"/>
          <w:marTop w:val="0"/>
          <w:marBottom w:val="0"/>
          <w:divBdr>
            <w:top w:val="none" w:sz="0" w:space="0" w:color="auto"/>
            <w:left w:val="none" w:sz="0" w:space="0" w:color="auto"/>
            <w:bottom w:val="none" w:sz="0" w:space="0" w:color="auto"/>
            <w:right w:val="none" w:sz="0" w:space="0" w:color="auto"/>
          </w:divBdr>
        </w:div>
        <w:div w:id="1612974528">
          <w:marLeft w:val="640"/>
          <w:marRight w:val="0"/>
          <w:marTop w:val="0"/>
          <w:marBottom w:val="0"/>
          <w:divBdr>
            <w:top w:val="none" w:sz="0" w:space="0" w:color="auto"/>
            <w:left w:val="none" w:sz="0" w:space="0" w:color="auto"/>
            <w:bottom w:val="none" w:sz="0" w:space="0" w:color="auto"/>
            <w:right w:val="none" w:sz="0" w:space="0" w:color="auto"/>
          </w:divBdr>
        </w:div>
        <w:div w:id="1435706312">
          <w:marLeft w:val="640"/>
          <w:marRight w:val="0"/>
          <w:marTop w:val="0"/>
          <w:marBottom w:val="0"/>
          <w:divBdr>
            <w:top w:val="none" w:sz="0" w:space="0" w:color="auto"/>
            <w:left w:val="none" w:sz="0" w:space="0" w:color="auto"/>
            <w:bottom w:val="none" w:sz="0" w:space="0" w:color="auto"/>
            <w:right w:val="none" w:sz="0" w:space="0" w:color="auto"/>
          </w:divBdr>
        </w:div>
        <w:div w:id="1429617462">
          <w:marLeft w:val="640"/>
          <w:marRight w:val="0"/>
          <w:marTop w:val="0"/>
          <w:marBottom w:val="0"/>
          <w:divBdr>
            <w:top w:val="none" w:sz="0" w:space="0" w:color="auto"/>
            <w:left w:val="none" w:sz="0" w:space="0" w:color="auto"/>
            <w:bottom w:val="none" w:sz="0" w:space="0" w:color="auto"/>
            <w:right w:val="none" w:sz="0" w:space="0" w:color="auto"/>
          </w:divBdr>
        </w:div>
        <w:div w:id="1884556201">
          <w:marLeft w:val="640"/>
          <w:marRight w:val="0"/>
          <w:marTop w:val="0"/>
          <w:marBottom w:val="0"/>
          <w:divBdr>
            <w:top w:val="none" w:sz="0" w:space="0" w:color="auto"/>
            <w:left w:val="none" w:sz="0" w:space="0" w:color="auto"/>
            <w:bottom w:val="none" w:sz="0" w:space="0" w:color="auto"/>
            <w:right w:val="none" w:sz="0" w:space="0" w:color="auto"/>
          </w:divBdr>
        </w:div>
        <w:div w:id="247811946">
          <w:marLeft w:val="640"/>
          <w:marRight w:val="0"/>
          <w:marTop w:val="0"/>
          <w:marBottom w:val="0"/>
          <w:divBdr>
            <w:top w:val="none" w:sz="0" w:space="0" w:color="auto"/>
            <w:left w:val="none" w:sz="0" w:space="0" w:color="auto"/>
            <w:bottom w:val="none" w:sz="0" w:space="0" w:color="auto"/>
            <w:right w:val="none" w:sz="0" w:space="0" w:color="auto"/>
          </w:divBdr>
        </w:div>
        <w:div w:id="1212304213">
          <w:marLeft w:val="640"/>
          <w:marRight w:val="0"/>
          <w:marTop w:val="0"/>
          <w:marBottom w:val="0"/>
          <w:divBdr>
            <w:top w:val="none" w:sz="0" w:space="0" w:color="auto"/>
            <w:left w:val="none" w:sz="0" w:space="0" w:color="auto"/>
            <w:bottom w:val="none" w:sz="0" w:space="0" w:color="auto"/>
            <w:right w:val="none" w:sz="0" w:space="0" w:color="auto"/>
          </w:divBdr>
        </w:div>
        <w:div w:id="1048191044">
          <w:marLeft w:val="640"/>
          <w:marRight w:val="0"/>
          <w:marTop w:val="0"/>
          <w:marBottom w:val="0"/>
          <w:divBdr>
            <w:top w:val="none" w:sz="0" w:space="0" w:color="auto"/>
            <w:left w:val="none" w:sz="0" w:space="0" w:color="auto"/>
            <w:bottom w:val="none" w:sz="0" w:space="0" w:color="auto"/>
            <w:right w:val="none" w:sz="0" w:space="0" w:color="auto"/>
          </w:divBdr>
        </w:div>
        <w:div w:id="599607680">
          <w:marLeft w:val="640"/>
          <w:marRight w:val="0"/>
          <w:marTop w:val="0"/>
          <w:marBottom w:val="0"/>
          <w:divBdr>
            <w:top w:val="none" w:sz="0" w:space="0" w:color="auto"/>
            <w:left w:val="none" w:sz="0" w:space="0" w:color="auto"/>
            <w:bottom w:val="none" w:sz="0" w:space="0" w:color="auto"/>
            <w:right w:val="none" w:sz="0" w:space="0" w:color="auto"/>
          </w:divBdr>
        </w:div>
        <w:div w:id="2133591167">
          <w:marLeft w:val="640"/>
          <w:marRight w:val="0"/>
          <w:marTop w:val="0"/>
          <w:marBottom w:val="0"/>
          <w:divBdr>
            <w:top w:val="none" w:sz="0" w:space="0" w:color="auto"/>
            <w:left w:val="none" w:sz="0" w:space="0" w:color="auto"/>
            <w:bottom w:val="none" w:sz="0" w:space="0" w:color="auto"/>
            <w:right w:val="none" w:sz="0" w:space="0" w:color="auto"/>
          </w:divBdr>
        </w:div>
        <w:div w:id="609701603">
          <w:marLeft w:val="640"/>
          <w:marRight w:val="0"/>
          <w:marTop w:val="0"/>
          <w:marBottom w:val="0"/>
          <w:divBdr>
            <w:top w:val="none" w:sz="0" w:space="0" w:color="auto"/>
            <w:left w:val="none" w:sz="0" w:space="0" w:color="auto"/>
            <w:bottom w:val="none" w:sz="0" w:space="0" w:color="auto"/>
            <w:right w:val="none" w:sz="0" w:space="0" w:color="auto"/>
          </w:divBdr>
        </w:div>
        <w:div w:id="43725926">
          <w:marLeft w:val="640"/>
          <w:marRight w:val="0"/>
          <w:marTop w:val="0"/>
          <w:marBottom w:val="0"/>
          <w:divBdr>
            <w:top w:val="none" w:sz="0" w:space="0" w:color="auto"/>
            <w:left w:val="none" w:sz="0" w:space="0" w:color="auto"/>
            <w:bottom w:val="none" w:sz="0" w:space="0" w:color="auto"/>
            <w:right w:val="none" w:sz="0" w:space="0" w:color="auto"/>
          </w:divBdr>
        </w:div>
        <w:div w:id="1056314905">
          <w:marLeft w:val="640"/>
          <w:marRight w:val="0"/>
          <w:marTop w:val="0"/>
          <w:marBottom w:val="0"/>
          <w:divBdr>
            <w:top w:val="none" w:sz="0" w:space="0" w:color="auto"/>
            <w:left w:val="none" w:sz="0" w:space="0" w:color="auto"/>
            <w:bottom w:val="none" w:sz="0" w:space="0" w:color="auto"/>
            <w:right w:val="none" w:sz="0" w:space="0" w:color="auto"/>
          </w:divBdr>
        </w:div>
        <w:div w:id="8066832">
          <w:marLeft w:val="640"/>
          <w:marRight w:val="0"/>
          <w:marTop w:val="0"/>
          <w:marBottom w:val="0"/>
          <w:divBdr>
            <w:top w:val="none" w:sz="0" w:space="0" w:color="auto"/>
            <w:left w:val="none" w:sz="0" w:space="0" w:color="auto"/>
            <w:bottom w:val="none" w:sz="0" w:space="0" w:color="auto"/>
            <w:right w:val="none" w:sz="0" w:space="0" w:color="auto"/>
          </w:divBdr>
        </w:div>
        <w:div w:id="227542518">
          <w:marLeft w:val="640"/>
          <w:marRight w:val="0"/>
          <w:marTop w:val="0"/>
          <w:marBottom w:val="0"/>
          <w:divBdr>
            <w:top w:val="none" w:sz="0" w:space="0" w:color="auto"/>
            <w:left w:val="none" w:sz="0" w:space="0" w:color="auto"/>
            <w:bottom w:val="none" w:sz="0" w:space="0" w:color="auto"/>
            <w:right w:val="none" w:sz="0" w:space="0" w:color="auto"/>
          </w:divBdr>
        </w:div>
        <w:div w:id="1165896567">
          <w:marLeft w:val="640"/>
          <w:marRight w:val="0"/>
          <w:marTop w:val="0"/>
          <w:marBottom w:val="0"/>
          <w:divBdr>
            <w:top w:val="none" w:sz="0" w:space="0" w:color="auto"/>
            <w:left w:val="none" w:sz="0" w:space="0" w:color="auto"/>
            <w:bottom w:val="none" w:sz="0" w:space="0" w:color="auto"/>
            <w:right w:val="none" w:sz="0" w:space="0" w:color="auto"/>
          </w:divBdr>
        </w:div>
        <w:div w:id="305550522">
          <w:marLeft w:val="640"/>
          <w:marRight w:val="0"/>
          <w:marTop w:val="0"/>
          <w:marBottom w:val="0"/>
          <w:divBdr>
            <w:top w:val="none" w:sz="0" w:space="0" w:color="auto"/>
            <w:left w:val="none" w:sz="0" w:space="0" w:color="auto"/>
            <w:bottom w:val="none" w:sz="0" w:space="0" w:color="auto"/>
            <w:right w:val="none" w:sz="0" w:space="0" w:color="auto"/>
          </w:divBdr>
        </w:div>
      </w:divsChild>
    </w:div>
    <w:div w:id="859247730">
      <w:bodyDiv w:val="1"/>
      <w:marLeft w:val="0"/>
      <w:marRight w:val="0"/>
      <w:marTop w:val="0"/>
      <w:marBottom w:val="0"/>
      <w:divBdr>
        <w:top w:val="none" w:sz="0" w:space="0" w:color="auto"/>
        <w:left w:val="none" w:sz="0" w:space="0" w:color="auto"/>
        <w:bottom w:val="none" w:sz="0" w:space="0" w:color="auto"/>
        <w:right w:val="none" w:sz="0" w:space="0" w:color="auto"/>
      </w:divBdr>
      <w:divsChild>
        <w:div w:id="1136022305">
          <w:marLeft w:val="640"/>
          <w:marRight w:val="0"/>
          <w:marTop w:val="0"/>
          <w:marBottom w:val="0"/>
          <w:divBdr>
            <w:top w:val="none" w:sz="0" w:space="0" w:color="auto"/>
            <w:left w:val="none" w:sz="0" w:space="0" w:color="auto"/>
            <w:bottom w:val="none" w:sz="0" w:space="0" w:color="auto"/>
            <w:right w:val="none" w:sz="0" w:space="0" w:color="auto"/>
          </w:divBdr>
        </w:div>
        <w:div w:id="407314749">
          <w:marLeft w:val="640"/>
          <w:marRight w:val="0"/>
          <w:marTop w:val="0"/>
          <w:marBottom w:val="0"/>
          <w:divBdr>
            <w:top w:val="none" w:sz="0" w:space="0" w:color="auto"/>
            <w:left w:val="none" w:sz="0" w:space="0" w:color="auto"/>
            <w:bottom w:val="none" w:sz="0" w:space="0" w:color="auto"/>
            <w:right w:val="none" w:sz="0" w:space="0" w:color="auto"/>
          </w:divBdr>
        </w:div>
        <w:div w:id="621153937">
          <w:marLeft w:val="640"/>
          <w:marRight w:val="0"/>
          <w:marTop w:val="0"/>
          <w:marBottom w:val="0"/>
          <w:divBdr>
            <w:top w:val="none" w:sz="0" w:space="0" w:color="auto"/>
            <w:left w:val="none" w:sz="0" w:space="0" w:color="auto"/>
            <w:bottom w:val="none" w:sz="0" w:space="0" w:color="auto"/>
            <w:right w:val="none" w:sz="0" w:space="0" w:color="auto"/>
          </w:divBdr>
        </w:div>
        <w:div w:id="290289971">
          <w:marLeft w:val="640"/>
          <w:marRight w:val="0"/>
          <w:marTop w:val="0"/>
          <w:marBottom w:val="0"/>
          <w:divBdr>
            <w:top w:val="none" w:sz="0" w:space="0" w:color="auto"/>
            <w:left w:val="none" w:sz="0" w:space="0" w:color="auto"/>
            <w:bottom w:val="none" w:sz="0" w:space="0" w:color="auto"/>
            <w:right w:val="none" w:sz="0" w:space="0" w:color="auto"/>
          </w:divBdr>
        </w:div>
        <w:div w:id="262805468">
          <w:marLeft w:val="640"/>
          <w:marRight w:val="0"/>
          <w:marTop w:val="0"/>
          <w:marBottom w:val="0"/>
          <w:divBdr>
            <w:top w:val="none" w:sz="0" w:space="0" w:color="auto"/>
            <w:left w:val="none" w:sz="0" w:space="0" w:color="auto"/>
            <w:bottom w:val="none" w:sz="0" w:space="0" w:color="auto"/>
            <w:right w:val="none" w:sz="0" w:space="0" w:color="auto"/>
          </w:divBdr>
        </w:div>
        <w:div w:id="1520925608">
          <w:marLeft w:val="640"/>
          <w:marRight w:val="0"/>
          <w:marTop w:val="0"/>
          <w:marBottom w:val="0"/>
          <w:divBdr>
            <w:top w:val="none" w:sz="0" w:space="0" w:color="auto"/>
            <w:left w:val="none" w:sz="0" w:space="0" w:color="auto"/>
            <w:bottom w:val="none" w:sz="0" w:space="0" w:color="auto"/>
            <w:right w:val="none" w:sz="0" w:space="0" w:color="auto"/>
          </w:divBdr>
        </w:div>
        <w:div w:id="954218850">
          <w:marLeft w:val="640"/>
          <w:marRight w:val="0"/>
          <w:marTop w:val="0"/>
          <w:marBottom w:val="0"/>
          <w:divBdr>
            <w:top w:val="none" w:sz="0" w:space="0" w:color="auto"/>
            <w:left w:val="none" w:sz="0" w:space="0" w:color="auto"/>
            <w:bottom w:val="none" w:sz="0" w:space="0" w:color="auto"/>
            <w:right w:val="none" w:sz="0" w:space="0" w:color="auto"/>
          </w:divBdr>
        </w:div>
        <w:div w:id="110327313">
          <w:marLeft w:val="640"/>
          <w:marRight w:val="0"/>
          <w:marTop w:val="0"/>
          <w:marBottom w:val="0"/>
          <w:divBdr>
            <w:top w:val="none" w:sz="0" w:space="0" w:color="auto"/>
            <w:left w:val="none" w:sz="0" w:space="0" w:color="auto"/>
            <w:bottom w:val="none" w:sz="0" w:space="0" w:color="auto"/>
            <w:right w:val="none" w:sz="0" w:space="0" w:color="auto"/>
          </w:divBdr>
        </w:div>
        <w:div w:id="303394482">
          <w:marLeft w:val="640"/>
          <w:marRight w:val="0"/>
          <w:marTop w:val="0"/>
          <w:marBottom w:val="0"/>
          <w:divBdr>
            <w:top w:val="none" w:sz="0" w:space="0" w:color="auto"/>
            <w:left w:val="none" w:sz="0" w:space="0" w:color="auto"/>
            <w:bottom w:val="none" w:sz="0" w:space="0" w:color="auto"/>
            <w:right w:val="none" w:sz="0" w:space="0" w:color="auto"/>
          </w:divBdr>
        </w:div>
        <w:div w:id="509226063">
          <w:marLeft w:val="640"/>
          <w:marRight w:val="0"/>
          <w:marTop w:val="0"/>
          <w:marBottom w:val="0"/>
          <w:divBdr>
            <w:top w:val="none" w:sz="0" w:space="0" w:color="auto"/>
            <w:left w:val="none" w:sz="0" w:space="0" w:color="auto"/>
            <w:bottom w:val="none" w:sz="0" w:space="0" w:color="auto"/>
            <w:right w:val="none" w:sz="0" w:space="0" w:color="auto"/>
          </w:divBdr>
        </w:div>
        <w:div w:id="995887601">
          <w:marLeft w:val="640"/>
          <w:marRight w:val="0"/>
          <w:marTop w:val="0"/>
          <w:marBottom w:val="0"/>
          <w:divBdr>
            <w:top w:val="none" w:sz="0" w:space="0" w:color="auto"/>
            <w:left w:val="none" w:sz="0" w:space="0" w:color="auto"/>
            <w:bottom w:val="none" w:sz="0" w:space="0" w:color="auto"/>
            <w:right w:val="none" w:sz="0" w:space="0" w:color="auto"/>
          </w:divBdr>
        </w:div>
        <w:div w:id="1870794985">
          <w:marLeft w:val="640"/>
          <w:marRight w:val="0"/>
          <w:marTop w:val="0"/>
          <w:marBottom w:val="0"/>
          <w:divBdr>
            <w:top w:val="none" w:sz="0" w:space="0" w:color="auto"/>
            <w:left w:val="none" w:sz="0" w:space="0" w:color="auto"/>
            <w:bottom w:val="none" w:sz="0" w:space="0" w:color="auto"/>
            <w:right w:val="none" w:sz="0" w:space="0" w:color="auto"/>
          </w:divBdr>
        </w:div>
        <w:div w:id="1071929260">
          <w:marLeft w:val="640"/>
          <w:marRight w:val="0"/>
          <w:marTop w:val="0"/>
          <w:marBottom w:val="0"/>
          <w:divBdr>
            <w:top w:val="none" w:sz="0" w:space="0" w:color="auto"/>
            <w:left w:val="none" w:sz="0" w:space="0" w:color="auto"/>
            <w:bottom w:val="none" w:sz="0" w:space="0" w:color="auto"/>
            <w:right w:val="none" w:sz="0" w:space="0" w:color="auto"/>
          </w:divBdr>
        </w:div>
        <w:div w:id="115561070">
          <w:marLeft w:val="640"/>
          <w:marRight w:val="0"/>
          <w:marTop w:val="0"/>
          <w:marBottom w:val="0"/>
          <w:divBdr>
            <w:top w:val="none" w:sz="0" w:space="0" w:color="auto"/>
            <w:left w:val="none" w:sz="0" w:space="0" w:color="auto"/>
            <w:bottom w:val="none" w:sz="0" w:space="0" w:color="auto"/>
            <w:right w:val="none" w:sz="0" w:space="0" w:color="auto"/>
          </w:divBdr>
        </w:div>
        <w:div w:id="188299777">
          <w:marLeft w:val="640"/>
          <w:marRight w:val="0"/>
          <w:marTop w:val="0"/>
          <w:marBottom w:val="0"/>
          <w:divBdr>
            <w:top w:val="none" w:sz="0" w:space="0" w:color="auto"/>
            <w:left w:val="none" w:sz="0" w:space="0" w:color="auto"/>
            <w:bottom w:val="none" w:sz="0" w:space="0" w:color="auto"/>
            <w:right w:val="none" w:sz="0" w:space="0" w:color="auto"/>
          </w:divBdr>
        </w:div>
        <w:div w:id="45497087">
          <w:marLeft w:val="640"/>
          <w:marRight w:val="0"/>
          <w:marTop w:val="0"/>
          <w:marBottom w:val="0"/>
          <w:divBdr>
            <w:top w:val="none" w:sz="0" w:space="0" w:color="auto"/>
            <w:left w:val="none" w:sz="0" w:space="0" w:color="auto"/>
            <w:bottom w:val="none" w:sz="0" w:space="0" w:color="auto"/>
            <w:right w:val="none" w:sz="0" w:space="0" w:color="auto"/>
          </w:divBdr>
        </w:div>
        <w:div w:id="1661732947">
          <w:marLeft w:val="640"/>
          <w:marRight w:val="0"/>
          <w:marTop w:val="0"/>
          <w:marBottom w:val="0"/>
          <w:divBdr>
            <w:top w:val="none" w:sz="0" w:space="0" w:color="auto"/>
            <w:left w:val="none" w:sz="0" w:space="0" w:color="auto"/>
            <w:bottom w:val="none" w:sz="0" w:space="0" w:color="auto"/>
            <w:right w:val="none" w:sz="0" w:space="0" w:color="auto"/>
          </w:divBdr>
        </w:div>
        <w:div w:id="879515165">
          <w:marLeft w:val="640"/>
          <w:marRight w:val="0"/>
          <w:marTop w:val="0"/>
          <w:marBottom w:val="0"/>
          <w:divBdr>
            <w:top w:val="none" w:sz="0" w:space="0" w:color="auto"/>
            <w:left w:val="none" w:sz="0" w:space="0" w:color="auto"/>
            <w:bottom w:val="none" w:sz="0" w:space="0" w:color="auto"/>
            <w:right w:val="none" w:sz="0" w:space="0" w:color="auto"/>
          </w:divBdr>
        </w:div>
        <w:div w:id="250165422">
          <w:marLeft w:val="640"/>
          <w:marRight w:val="0"/>
          <w:marTop w:val="0"/>
          <w:marBottom w:val="0"/>
          <w:divBdr>
            <w:top w:val="none" w:sz="0" w:space="0" w:color="auto"/>
            <w:left w:val="none" w:sz="0" w:space="0" w:color="auto"/>
            <w:bottom w:val="none" w:sz="0" w:space="0" w:color="auto"/>
            <w:right w:val="none" w:sz="0" w:space="0" w:color="auto"/>
          </w:divBdr>
        </w:div>
        <w:div w:id="356666019">
          <w:marLeft w:val="640"/>
          <w:marRight w:val="0"/>
          <w:marTop w:val="0"/>
          <w:marBottom w:val="0"/>
          <w:divBdr>
            <w:top w:val="none" w:sz="0" w:space="0" w:color="auto"/>
            <w:left w:val="none" w:sz="0" w:space="0" w:color="auto"/>
            <w:bottom w:val="none" w:sz="0" w:space="0" w:color="auto"/>
            <w:right w:val="none" w:sz="0" w:space="0" w:color="auto"/>
          </w:divBdr>
        </w:div>
        <w:div w:id="1348677609">
          <w:marLeft w:val="640"/>
          <w:marRight w:val="0"/>
          <w:marTop w:val="0"/>
          <w:marBottom w:val="0"/>
          <w:divBdr>
            <w:top w:val="none" w:sz="0" w:space="0" w:color="auto"/>
            <w:left w:val="none" w:sz="0" w:space="0" w:color="auto"/>
            <w:bottom w:val="none" w:sz="0" w:space="0" w:color="auto"/>
            <w:right w:val="none" w:sz="0" w:space="0" w:color="auto"/>
          </w:divBdr>
        </w:div>
        <w:div w:id="1906837064">
          <w:marLeft w:val="640"/>
          <w:marRight w:val="0"/>
          <w:marTop w:val="0"/>
          <w:marBottom w:val="0"/>
          <w:divBdr>
            <w:top w:val="none" w:sz="0" w:space="0" w:color="auto"/>
            <w:left w:val="none" w:sz="0" w:space="0" w:color="auto"/>
            <w:bottom w:val="none" w:sz="0" w:space="0" w:color="auto"/>
            <w:right w:val="none" w:sz="0" w:space="0" w:color="auto"/>
          </w:divBdr>
        </w:div>
        <w:div w:id="981075902">
          <w:marLeft w:val="640"/>
          <w:marRight w:val="0"/>
          <w:marTop w:val="0"/>
          <w:marBottom w:val="0"/>
          <w:divBdr>
            <w:top w:val="none" w:sz="0" w:space="0" w:color="auto"/>
            <w:left w:val="none" w:sz="0" w:space="0" w:color="auto"/>
            <w:bottom w:val="none" w:sz="0" w:space="0" w:color="auto"/>
            <w:right w:val="none" w:sz="0" w:space="0" w:color="auto"/>
          </w:divBdr>
        </w:div>
        <w:div w:id="882332619">
          <w:marLeft w:val="640"/>
          <w:marRight w:val="0"/>
          <w:marTop w:val="0"/>
          <w:marBottom w:val="0"/>
          <w:divBdr>
            <w:top w:val="none" w:sz="0" w:space="0" w:color="auto"/>
            <w:left w:val="none" w:sz="0" w:space="0" w:color="auto"/>
            <w:bottom w:val="none" w:sz="0" w:space="0" w:color="auto"/>
            <w:right w:val="none" w:sz="0" w:space="0" w:color="auto"/>
          </w:divBdr>
        </w:div>
        <w:div w:id="607590770">
          <w:marLeft w:val="640"/>
          <w:marRight w:val="0"/>
          <w:marTop w:val="0"/>
          <w:marBottom w:val="0"/>
          <w:divBdr>
            <w:top w:val="none" w:sz="0" w:space="0" w:color="auto"/>
            <w:left w:val="none" w:sz="0" w:space="0" w:color="auto"/>
            <w:bottom w:val="none" w:sz="0" w:space="0" w:color="auto"/>
            <w:right w:val="none" w:sz="0" w:space="0" w:color="auto"/>
          </w:divBdr>
        </w:div>
        <w:div w:id="1146897644">
          <w:marLeft w:val="640"/>
          <w:marRight w:val="0"/>
          <w:marTop w:val="0"/>
          <w:marBottom w:val="0"/>
          <w:divBdr>
            <w:top w:val="none" w:sz="0" w:space="0" w:color="auto"/>
            <w:left w:val="none" w:sz="0" w:space="0" w:color="auto"/>
            <w:bottom w:val="none" w:sz="0" w:space="0" w:color="auto"/>
            <w:right w:val="none" w:sz="0" w:space="0" w:color="auto"/>
          </w:divBdr>
        </w:div>
        <w:div w:id="1824394506">
          <w:marLeft w:val="640"/>
          <w:marRight w:val="0"/>
          <w:marTop w:val="0"/>
          <w:marBottom w:val="0"/>
          <w:divBdr>
            <w:top w:val="none" w:sz="0" w:space="0" w:color="auto"/>
            <w:left w:val="none" w:sz="0" w:space="0" w:color="auto"/>
            <w:bottom w:val="none" w:sz="0" w:space="0" w:color="auto"/>
            <w:right w:val="none" w:sz="0" w:space="0" w:color="auto"/>
          </w:divBdr>
        </w:div>
        <w:div w:id="88816804">
          <w:marLeft w:val="640"/>
          <w:marRight w:val="0"/>
          <w:marTop w:val="0"/>
          <w:marBottom w:val="0"/>
          <w:divBdr>
            <w:top w:val="none" w:sz="0" w:space="0" w:color="auto"/>
            <w:left w:val="none" w:sz="0" w:space="0" w:color="auto"/>
            <w:bottom w:val="none" w:sz="0" w:space="0" w:color="auto"/>
            <w:right w:val="none" w:sz="0" w:space="0" w:color="auto"/>
          </w:divBdr>
        </w:div>
        <w:div w:id="1742143975">
          <w:marLeft w:val="640"/>
          <w:marRight w:val="0"/>
          <w:marTop w:val="0"/>
          <w:marBottom w:val="0"/>
          <w:divBdr>
            <w:top w:val="none" w:sz="0" w:space="0" w:color="auto"/>
            <w:left w:val="none" w:sz="0" w:space="0" w:color="auto"/>
            <w:bottom w:val="none" w:sz="0" w:space="0" w:color="auto"/>
            <w:right w:val="none" w:sz="0" w:space="0" w:color="auto"/>
          </w:divBdr>
        </w:div>
        <w:div w:id="1698046916">
          <w:marLeft w:val="640"/>
          <w:marRight w:val="0"/>
          <w:marTop w:val="0"/>
          <w:marBottom w:val="0"/>
          <w:divBdr>
            <w:top w:val="none" w:sz="0" w:space="0" w:color="auto"/>
            <w:left w:val="none" w:sz="0" w:space="0" w:color="auto"/>
            <w:bottom w:val="none" w:sz="0" w:space="0" w:color="auto"/>
            <w:right w:val="none" w:sz="0" w:space="0" w:color="auto"/>
          </w:divBdr>
        </w:div>
        <w:div w:id="930046061">
          <w:marLeft w:val="640"/>
          <w:marRight w:val="0"/>
          <w:marTop w:val="0"/>
          <w:marBottom w:val="0"/>
          <w:divBdr>
            <w:top w:val="none" w:sz="0" w:space="0" w:color="auto"/>
            <w:left w:val="none" w:sz="0" w:space="0" w:color="auto"/>
            <w:bottom w:val="none" w:sz="0" w:space="0" w:color="auto"/>
            <w:right w:val="none" w:sz="0" w:space="0" w:color="auto"/>
          </w:divBdr>
        </w:div>
        <w:div w:id="1333993083">
          <w:marLeft w:val="640"/>
          <w:marRight w:val="0"/>
          <w:marTop w:val="0"/>
          <w:marBottom w:val="0"/>
          <w:divBdr>
            <w:top w:val="none" w:sz="0" w:space="0" w:color="auto"/>
            <w:left w:val="none" w:sz="0" w:space="0" w:color="auto"/>
            <w:bottom w:val="none" w:sz="0" w:space="0" w:color="auto"/>
            <w:right w:val="none" w:sz="0" w:space="0" w:color="auto"/>
          </w:divBdr>
        </w:div>
        <w:div w:id="280848449">
          <w:marLeft w:val="640"/>
          <w:marRight w:val="0"/>
          <w:marTop w:val="0"/>
          <w:marBottom w:val="0"/>
          <w:divBdr>
            <w:top w:val="none" w:sz="0" w:space="0" w:color="auto"/>
            <w:left w:val="none" w:sz="0" w:space="0" w:color="auto"/>
            <w:bottom w:val="none" w:sz="0" w:space="0" w:color="auto"/>
            <w:right w:val="none" w:sz="0" w:space="0" w:color="auto"/>
          </w:divBdr>
        </w:div>
        <w:div w:id="883829242">
          <w:marLeft w:val="640"/>
          <w:marRight w:val="0"/>
          <w:marTop w:val="0"/>
          <w:marBottom w:val="0"/>
          <w:divBdr>
            <w:top w:val="none" w:sz="0" w:space="0" w:color="auto"/>
            <w:left w:val="none" w:sz="0" w:space="0" w:color="auto"/>
            <w:bottom w:val="none" w:sz="0" w:space="0" w:color="auto"/>
            <w:right w:val="none" w:sz="0" w:space="0" w:color="auto"/>
          </w:divBdr>
        </w:div>
        <w:div w:id="1879975286">
          <w:marLeft w:val="640"/>
          <w:marRight w:val="0"/>
          <w:marTop w:val="0"/>
          <w:marBottom w:val="0"/>
          <w:divBdr>
            <w:top w:val="none" w:sz="0" w:space="0" w:color="auto"/>
            <w:left w:val="none" w:sz="0" w:space="0" w:color="auto"/>
            <w:bottom w:val="none" w:sz="0" w:space="0" w:color="auto"/>
            <w:right w:val="none" w:sz="0" w:space="0" w:color="auto"/>
          </w:divBdr>
        </w:div>
        <w:div w:id="61830909">
          <w:marLeft w:val="640"/>
          <w:marRight w:val="0"/>
          <w:marTop w:val="0"/>
          <w:marBottom w:val="0"/>
          <w:divBdr>
            <w:top w:val="none" w:sz="0" w:space="0" w:color="auto"/>
            <w:left w:val="none" w:sz="0" w:space="0" w:color="auto"/>
            <w:bottom w:val="none" w:sz="0" w:space="0" w:color="auto"/>
            <w:right w:val="none" w:sz="0" w:space="0" w:color="auto"/>
          </w:divBdr>
        </w:div>
        <w:div w:id="1678389941">
          <w:marLeft w:val="640"/>
          <w:marRight w:val="0"/>
          <w:marTop w:val="0"/>
          <w:marBottom w:val="0"/>
          <w:divBdr>
            <w:top w:val="none" w:sz="0" w:space="0" w:color="auto"/>
            <w:left w:val="none" w:sz="0" w:space="0" w:color="auto"/>
            <w:bottom w:val="none" w:sz="0" w:space="0" w:color="auto"/>
            <w:right w:val="none" w:sz="0" w:space="0" w:color="auto"/>
          </w:divBdr>
        </w:div>
        <w:div w:id="1544823804">
          <w:marLeft w:val="640"/>
          <w:marRight w:val="0"/>
          <w:marTop w:val="0"/>
          <w:marBottom w:val="0"/>
          <w:divBdr>
            <w:top w:val="none" w:sz="0" w:space="0" w:color="auto"/>
            <w:left w:val="none" w:sz="0" w:space="0" w:color="auto"/>
            <w:bottom w:val="none" w:sz="0" w:space="0" w:color="auto"/>
            <w:right w:val="none" w:sz="0" w:space="0" w:color="auto"/>
          </w:divBdr>
        </w:div>
        <w:div w:id="2102095124">
          <w:marLeft w:val="640"/>
          <w:marRight w:val="0"/>
          <w:marTop w:val="0"/>
          <w:marBottom w:val="0"/>
          <w:divBdr>
            <w:top w:val="none" w:sz="0" w:space="0" w:color="auto"/>
            <w:left w:val="none" w:sz="0" w:space="0" w:color="auto"/>
            <w:bottom w:val="none" w:sz="0" w:space="0" w:color="auto"/>
            <w:right w:val="none" w:sz="0" w:space="0" w:color="auto"/>
          </w:divBdr>
        </w:div>
        <w:div w:id="1794515136">
          <w:marLeft w:val="640"/>
          <w:marRight w:val="0"/>
          <w:marTop w:val="0"/>
          <w:marBottom w:val="0"/>
          <w:divBdr>
            <w:top w:val="none" w:sz="0" w:space="0" w:color="auto"/>
            <w:left w:val="none" w:sz="0" w:space="0" w:color="auto"/>
            <w:bottom w:val="none" w:sz="0" w:space="0" w:color="auto"/>
            <w:right w:val="none" w:sz="0" w:space="0" w:color="auto"/>
          </w:divBdr>
        </w:div>
        <w:div w:id="751505669">
          <w:marLeft w:val="640"/>
          <w:marRight w:val="0"/>
          <w:marTop w:val="0"/>
          <w:marBottom w:val="0"/>
          <w:divBdr>
            <w:top w:val="none" w:sz="0" w:space="0" w:color="auto"/>
            <w:left w:val="none" w:sz="0" w:space="0" w:color="auto"/>
            <w:bottom w:val="none" w:sz="0" w:space="0" w:color="auto"/>
            <w:right w:val="none" w:sz="0" w:space="0" w:color="auto"/>
          </w:divBdr>
        </w:div>
        <w:div w:id="671834090">
          <w:marLeft w:val="640"/>
          <w:marRight w:val="0"/>
          <w:marTop w:val="0"/>
          <w:marBottom w:val="0"/>
          <w:divBdr>
            <w:top w:val="none" w:sz="0" w:space="0" w:color="auto"/>
            <w:left w:val="none" w:sz="0" w:space="0" w:color="auto"/>
            <w:bottom w:val="none" w:sz="0" w:space="0" w:color="auto"/>
            <w:right w:val="none" w:sz="0" w:space="0" w:color="auto"/>
          </w:divBdr>
        </w:div>
        <w:div w:id="233008096">
          <w:marLeft w:val="640"/>
          <w:marRight w:val="0"/>
          <w:marTop w:val="0"/>
          <w:marBottom w:val="0"/>
          <w:divBdr>
            <w:top w:val="none" w:sz="0" w:space="0" w:color="auto"/>
            <w:left w:val="none" w:sz="0" w:space="0" w:color="auto"/>
            <w:bottom w:val="none" w:sz="0" w:space="0" w:color="auto"/>
            <w:right w:val="none" w:sz="0" w:space="0" w:color="auto"/>
          </w:divBdr>
        </w:div>
        <w:div w:id="583996658">
          <w:marLeft w:val="640"/>
          <w:marRight w:val="0"/>
          <w:marTop w:val="0"/>
          <w:marBottom w:val="0"/>
          <w:divBdr>
            <w:top w:val="none" w:sz="0" w:space="0" w:color="auto"/>
            <w:left w:val="none" w:sz="0" w:space="0" w:color="auto"/>
            <w:bottom w:val="none" w:sz="0" w:space="0" w:color="auto"/>
            <w:right w:val="none" w:sz="0" w:space="0" w:color="auto"/>
          </w:divBdr>
        </w:div>
        <w:div w:id="1210452776">
          <w:marLeft w:val="640"/>
          <w:marRight w:val="0"/>
          <w:marTop w:val="0"/>
          <w:marBottom w:val="0"/>
          <w:divBdr>
            <w:top w:val="none" w:sz="0" w:space="0" w:color="auto"/>
            <w:left w:val="none" w:sz="0" w:space="0" w:color="auto"/>
            <w:bottom w:val="none" w:sz="0" w:space="0" w:color="auto"/>
            <w:right w:val="none" w:sz="0" w:space="0" w:color="auto"/>
          </w:divBdr>
        </w:div>
        <w:div w:id="731197056">
          <w:marLeft w:val="640"/>
          <w:marRight w:val="0"/>
          <w:marTop w:val="0"/>
          <w:marBottom w:val="0"/>
          <w:divBdr>
            <w:top w:val="none" w:sz="0" w:space="0" w:color="auto"/>
            <w:left w:val="none" w:sz="0" w:space="0" w:color="auto"/>
            <w:bottom w:val="none" w:sz="0" w:space="0" w:color="auto"/>
            <w:right w:val="none" w:sz="0" w:space="0" w:color="auto"/>
          </w:divBdr>
        </w:div>
        <w:div w:id="1186793238">
          <w:marLeft w:val="640"/>
          <w:marRight w:val="0"/>
          <w:marTop w:val="0"/>
          <w:marBottom w:val="0"/>
          <w:divBdr>
            <w:top w:val="none" w:sz="0" w:space="0" w:color="auto"/>
            <w:left w:val="none" w:sz="0" w:space="0" w:color="auto"/>
            <w:bottom w:val="none" w:sz="0" w:space="0" w:color="auto"/>
            <w:right w:val="none" w:sz="0" w:space="0" w:color="auto"/>
          </w:divBdr>
        </w:div>
        <w:div w:id="230848395">
          <w:marLeft w:val="640"/>
          <w:marRight w:val="0"/>
          <w:marTop w:val="0"/>
          <w:marBottom w:val="0"/>
          <w:divBdr>
            <w:top w:val="none" w:sz="0" w:space="0" w:color="auto"/>
            <w:left w:val="none" w:sz="0" w:space="0" w:color="auto"/>
            <w:bottom w:val="none" w:sz="0" w:space="0" w:color="auto"/>
            <w:right w:val="none" w:sz="0" w:space="0" w:color="auto"/>
          </w:divBdr>
        </w:div>
        <w:div w:id="1709604038">
          <w:marLeft w:val="640"/>
          <w:marRight w:val="0"/>
          <w:marTop w:val="0"/>
          <w:marBottom w:val="0"/>
          <w:divBdr>
            <w:top w:val="none" w:sz="0" w:space="0" w:color="auto"/>
            <w:left w:val="none" w:sz="0" w:space="0" w:color="auto"/>
            <w:bottom w:val="none" w:sz="0" w:space="0" w:color="auto"/>
            <w:right w:val="none" w:sz="0" w:space="0" w:color="auto"/>
          </w:divBdr>
        </w:div>
        <w:div w:id="1500997996">
          <w:marLeft w:val="640"/>
          <w:marRight w:val="0"/>
          <w:marTop w:val="0"/>
          <w:marBottom w:val="0"/>
          <w:divBdr>
            <w:top w:val="none" w:sz="0" w:space="0" w:color="auto"/>
            <w:left w:val="none" w:sz="0" w:space="0" w:color="auto"/>
            <w:bottom w:val="none" w:sz="0" w:space="0" w:color="auto"/>
            <w:right w:val="none" w:sz="0" w:space="0" w:color="auto"/>
          </w:divBdr>
        </w:div>
        <w:div w:id="1961380301">
          <w:marLeft w:val="640"/>
          <w:marRight w:val="0"/>
          <w:marTop w:val="0"/>
          <w:marBottom w:val="0"/>
          <w:divBdr>
            <w:top w:val="none" w:sz="0" w:space="0" w:color="auto"/>
            <w:left w:val="none" w:sz="0" w:space="0" w:color="auto"/>
            <w:bottom w:val="none" w:sz="0" w:space="0" w:color="auto"/>
            <w:right w:val="none" w:sz="0" w:space="0" w:color="auto"/>
          </w:divBdr>
        </w:div>
        <w:div w:id="1704593854">
          <w:marLeft w:val="640"/>
          <w:marRight w:val="0"/>
          <w:marTop w:val="0"/>
          <w:marBottom w:val="0"/>
          <w:divBdr>
            <w:top w:val="none" w:sz="0" w:space="0" w:color="auto"/>
            <w:left w:val="none" w:sz="0" w:space="0" w:color="auto"/>
            <w:bottom w:val="none" w:sz="0" w:space="0" w:color="auto"/>
            <w:right w:val="none" w:sz="0" w:space="0" w:color="auto"/>
          </w:divBdr>
        </w:div>
        <w:div w:id="1577977136">
          <w:marLeft w:val="640"/>
          <w:marRight w:val="0"/>
          <w:marTop w:val="0"/>
          <w:marBottom w:val="0"/>
          <w:divBdr>
            <w:top w:val="none" w:sz="0" w:space="0" w:color="auto"/>
            <w:left w:val="none" w:sz="0" w:space="0" w:color="auto"/>
            <w:bottom w:val="none" w:sz="0" w:space="0" w:color="auto"/>
            <w:right w:val="none" w:sz="0" w:space="0" w:color="auto"/>
          </w:divBdr>
        </w:div>
        <w:div w:id="1384792663">
          <w:marLeft w:val="640"/>
          <w:marRight w:val="0"/>
          <w:marTop w:val="0"/>
          <w:marBottom w:val="0"/>
          <w:divBdr>
            <w:top w:val="none" w:sz="0" w:space="0" w:color="auto"/>
            <w:left w:val="none" w:sz="0" w:space="0" w:color="auto"/>
            <w:bottom w:val="none" w:sz="0" w:space="0" w:color="auto"/>
            <w:right w:val="none" w:sz="0" w:space="0" w:color="auto"/>
          </w:divBdr>
        </w:div>
        <w:div w:id="1764447423">
          <w:marLeft w:val="640"/>
          <w:marRight w:val="0"/>
          <w:marTop w:val="0"/>
          <w:marBottom w:val="0"/>
          <w:divBdr>
            <w:top w:val="none" w:sz="0" w:space="0" w:color="auto"/>
            <w:left w:val="none" w:sz="0" w:space="0" w:color="auto"/>
            <w:bottom w:val="none" w:sz="0" w:space="0" w:color="auto"/>
            <w:right w:val="none" w:sz="0" w:space="0" w:color="auto"/>
          </w:divBdr>
        </w:div>
        <w:div w:id="1519268736">
          <w:marLeft w:val="640"/>
          <w:marRight w:val="0"/>
          <w:marTop w:val="0"/>
          <w:marBottom w:val="0"/>
          <w:divBdr>
            <w:top w:val="none" w:sz="0" w:space="0" w:color="auto"/>
            <w:left w:val="none" w:sz="0" w:space="0" w:color="auto"/>
            <w:bottom w:val="none" w:sz="0" w:space="0" w:color="auto"/>
            <w:right w:val="none" w:sz="0" w:space="0" w:color="auto"/>
          </w:divBdr>
        </w:div>
        <w:div w:id="1394430394">
          <w:marLeft w:val="640"/>
          <w:marRight w:val="0"/>
          <w:marTop w:val="0"/>
          <w:marBottom w:val="0"/>
          <w:divBdr>
            <w:top w:val="none" w:sz="0" w:space="0" w:color="auto"/>
            <w:left w:val="none" w:sz="0" w:space="0" w:color="auto"/>
            <w:bottom w:val="none" w:sz="0" w:space="0" w:color="auto"/>
            <w:right w:val="none" w:sz="0" w:space="0" w:color="auto"/>
          </w:divBdr>
        </w:div>
        <w:div w:id="2062358575">
          <w:marLeft w:val="640"/>
          <w:marRight w:val="0"/>
          <w:marTop w:val="0"/>
          <w:marBottom w:val="0"/>
          <w:divBdr>
            <w:top w:val="none" w:sz="0" w:space="0" w:color="auto"/>
            <w:left w:val="none" w:sz="0" w:space="0" w:color="auto"/>
            <w:bottom w:val="none" w:sz="0" w:space="0" w:color="auto"/>
            <w:right w:val="none" w:sz="0" w:space="0" w:color="auto"/>
          </w:divBdr>
        </w:div>
        <w:div w:id="653267185">
          <w:marLeft w:val="640"/>
          <w:marRight w:val="0"/>
          <w:marTop w:val="0"/>
          <w:marBottom w:val="0"/>
          <w:divBdr>
            <w:top w:val="none" w:sz="0" w:space="0" w:color="auto"/>
            <w:left w:val="none" w:sz="0" w:space="0" w:color="auto"/>
            <w:bottom w:val="none" w:sz="0" w:space="0" w:color="auto"/>
            <w:right w:val="none" w:sz="0" w:space="0" w:color="auto"/>
          </w:divBdr>
        </w:div>
        <w:div w:id="1328751349">
          <w:marLeft w:val="640"/>
          <w:marRight w:val="0"/>
          <w:marTop w:val="0"/>
          <w:marBottom w:val="0"/>
          <w:divBdr>
            <w:top w:val="none" w:sz="0" w:space="0" w:color="auto"/>
            <w:left w:val="none" w:sz="0" w:space="0" w:color="auto"/>
            <w:bottom w:val="none" w:sz="0" w:space="0" w:color="auto"/>
            <w:right w:val="none" w:sz="0" w:space="0" w:color="auto"/>
          </w:divBdr>
        </w:div>
        <w:div w:id="12387935">
          <w:marLeft w:val="640"/>
          <w:marRight w:val="0"/>
          <w:marTop w:val="0"/>
          <w:marBottom w:val="0"/>
          <w:divBdr>
            <w:top w:val="none" w:sz="0" w:space="0" w:color="auto"/>
            <w:left w:val="none" w:sz="0" w:space="0" w:color="auto"/>
            <w:bottom w:val="none" w:sz="0" w:space="0" w:color="auto"/>
            <w:right w:val="none" w:sz="0" w:space="0" w:color="auto"/>
          </w:divBdr>
        </w:div>
        <w:div w:id="962224138">
          <w:marLeft w:val="640"/>
          <w:marRight w:val="0"/>
          <w:marTop w:val="0"/>
          <w:marBottom w:val="0"/>
          <w:divBdr>
            <w:top w:val="none" w:sz="0" w:space="0" w:color="auto"/>
            <w:left w:val="none" w:sz="0" w:space="0" w:color="auto"/>
            <w:bottom w:val="none" w:sz="0" w:space="0" w:color="auto"/>
            <w:right w:val="none" w:sz="0" w:space="0" w:color="auto"/>
          </w:divBdr>
        </w:div>
        <w:div w:id="1074594947">
          <w:marLeft w:val="640"/>
          <w:marRight w:val="0"/>
          <w:marTop w:val="0"/>
          <w:marBottom w:val="0"/>
          <w:divBdr>
            <w:top w:val="none" w:sz="0" w:space="0" w:color="auto"/>
            <w:left w:val="none" w:sz="0" w:space="0" w:color="auto"/>
            <w:bottom w:val="none" w:sz="0" w:space="0" w:color="auto"/>
            <w:right w:val="none" w:sz="0" w:space="0" w:color="auto"/>
          </w:divBdr>
        </w:div>
        <w:div w:id="114254331">
          <w:marLeft w:val="640"/>
          <w:marRight w:val="0"/>
          <w:marTop w:val="0"/>
          <w:marBottom w:val="0"/>
          <w:divBdr>
            <w:top w:val="none" w:sz="0" w:space="0" w:color="auto"/>
            <w:left w:val="none" w:sz="0" w:space="0" w:color="auto"/>
            <w:bottom w:val="none" w:sz="0" w:space="0" w:color="auto"/>
            <w:right w:val="none" w:sz="0" w:space="0" w:color="auto"/>
          </w:divBdr>
        </w:div>
        <w:div w:id="2073844927">
          <w:marLeft w:val="640"/>
          <w:marRight w:val="0"/>
          <w:marTop w:val="0"/>
          <w:marBottom w:val="0"/>
          <w:divBdr>
            <w:top w:val="none" w:sz="0" w:space="0" w:color="auto"/>
            <w:left w:val="none" w:sz="0" w:space="0" w:color="auto"/>
            <w:bottom w:val="none" w:sz="0" w:space="0" w:color="auto"/>
            <w:right w:val="none" w:sz="0" w:space="0" w:color="auto"/>
          </w:divBdr>
        </w:div>
        <w:div w:id="1735280299">
          <w:marLeft w:val="640"/>
          <w:marRight w:val="0"/>
          <w:marTop w:val="0"/>
          <w:marBottom w:val="0"/>
          <w:divBdr>
            <w:top w:val="none" w:sz="0" w:space="0" w:color="auto"/>
            <w:left w:val="none" w:sz="0" w:space="0" w:color="auto"/>
            <w:bottom w:val="none" w:sz="0" w:space="0" w:color="auto"/>
            <w:right w:val="none" w:sz="0" w:space="0" w:color="auto"/>
          </w:divBdr>
        </w:div>
        <w:div w:id="364645814">
          <w:marLeft w:val="640"/>
          <w:marRight w:val="0"/>
          <w:marTop w:val="0"/>
          <w:marBottom w:val="0"/>
          <w:divBdr>
            <w:top w:val="none" w:sz="0" w:space="0" w:color="auto"/>
            <w:left w:val="none" w:sz="0" w:space="0" w:color="auto"/>
            <w:bottom w:val="none" w:sz="0" w:space="0" w:color="auto"/>
            <w:right w:val="none" w:sz="0" w:space="0" w:color="auto"/>
          </w:divBdr>
        </w:div>
        <w:div w:id="2131508074">
          <w:marLeft w:val="640"/>
          <w:marRight w:val="0"/>
          <w:marTop w:val="0"/>
          <w:marBottom w:val="0"/>
          <w:divBdr>
            <w:top w:val="none" w:sz="0" w:space="0" w:color="auto"/>
            <w:left w:val="none" w:sz="0" w:space="0" w:color="auto"/>
            <w:bottom w:val="none" w:sz="0" w:space="0" w:color="auto"/>
            <w:right w:val="none" w:sz="0" w:space="0" w:color="auto"/>
          </w:divBdr>
        </w:div>
        <w:div w:id="1024675127">
          <w:marLeft w:val="640"/>
          <w:marRight w:val="0"/>
          <w:marTop w:val="0"/>
          <w:marBottom w:val="0"/>
          <w:divBdr>
            <w:top w:val="none" w:sz="0" w:space="0" w:color="auto"/>
            <w:left w:val="none" w:sz="0" w:space="0" w:color="auto"/>
            <w:bottom w:val="none" w:sz="0" w:space="0" w:color="auto"/>
            <w:right w:val="none" w:sz="0" w:space="0" w:color="auto"/>
          </w:divBdr>
        </w:div>
        <w:div w:id="1032340956">
          <w:marLeft w:val="640"/>
          <w:marRight w:val="0"/>
          <w:marTop w:val="0"/>
          <w:marBottom w:val="0"/>
          <w:divBdr>
            <w:top w:val="none" w:sz="0" w:space="0" w:color="auto"/>
            <w:left w:val="none" w:sz="0" w:space="0" w:color="auto"/>
            <w:bottom w:val="none" w:sz="0" w:space="0" w:color="auto"/>
            <w:right w:val="none" w:sz="0" w:space="0" w:color="auto"/>
          </w:divBdr>
        </w:div>
        <w:div w:id="2134131469">
          <w:marLeft w:val="640"/>
          <w:marRight w:val="0"/>
          <w:marTop w:val="0"/>
          <w:marBottom w:val="0"/>
          <w:divBdr>
            <w:top w:val="none" w:sz="0" w:space="0" w:color="auto"/>
            <w:left w:val="none" w:sz="0" w:space="0" w:color="auto"/>
            <w:bottom w:val="none" w:sz="0" w:space="0" w:color="auto"/>
            <w:right w:val="none" w:sz="0" w:space="0" w:color="auto"/>
          </w:divBdr>
        </w:div>
        <w:div w:id="1402211807">
          <w:marLeft w:val="640"/>
          <w:marRight w:val="0"/>
          <w:marTop w:val="0"/>
          <w:marBottom w:val="0"/>
          <w:divBdr>
            <w:top w:val="none" w:sz="0" w:space="0" w:color="auto"/>
            <w:left w:val="none" w:sz="0" w:space="0" w:color="auto"/>
            <w:bottom w:val="none" w:sz="0" w:space="0" w:color="auto"/>
            <w:right w:val="none" w:sz="0" w:space="0" w:color="auto"/>
          </w:divBdr>
        </w:div>
        <w:div w:id="117988155">
          <w:marLeft w:val="640"/>
          <w:marRight w:val="0"/>
          <w:marTop w:val="0"/>
          <w:marBottom w:val="0"/>
          <w:divBdr>
            <w:top w:val="none" w:sz="0" w:space="0" w:color="auto"/>
            <w:left w:val="none" w:sz="0" w:space="0" w:color="auto"/>
            <w:bottom w:val="none" w:sz="0" w:space="0" w:color="auto"/>
            <w:right w:val="none" w:sz="0" w:space="0" w:color="auto"/>
          </w:divBdr>
        </w:div>
        <w:div w:id="585304863">
          <w:marLeft w:val="640"/>
          <w:marRight w:val="0"/>
          <w:marTop w:val="0"/>
          <w:marBottom w:val="0"/>
          <w:divBdr>
            <w:top w:val="none" w:sz="0" w:space="0" w:color="auto"/>
            <w:left w:val="none" w:sz="0" w:space="0" w:color="auto"/>
            <w:bottom w:val="none" w:sz="0" w:space="0" w:color="auto"/>
            <w:right w:val="none" w:sz="0" w:space="0" w:color="auto"/>
          </w:divBdr>
        </w:div>
        <w:div w:id="389577539">
          <w:marLeft w:val="640"/>
          <w:marRight w:val="0"/>
          <w:marTop w:val="0"/>
          <w:marBottom w:val="0"/>
          <w:divBdr>
            <w:top w:val="none" w:sz="0" w:space="0" w:color="auto"/>
            <w:left w:val="none" w:sz="0" w:space="0" w:color="auto"/>
            <w:bottom w:val="none" w:sz="0" w:space="0" w:color="auto"/>
            <w:right w:val="none" w:sz="0" w:space="0" w:color="auto"/>
          </w:divBdr>
        </w:div>
        <w:div w:id="1925526322">
          <w:marLeft w:val="640"/>
          <w:marRight w:val="0"/>
          <w:marTop w:val="0"/>
          <w:marBottom w:val="0"/>
          <w:divBdr>
            <w:top w:val="none" w:sz="0" w:space="0" w:color="auto"/>
            <w:left w:val="none" w:sz="0" w:space="0" w:color="auto"/>
            <w:bottom w:val="none" w:sz="0" w:space="0" w:color="auto"/>
            <w:right w:val="none" w:sz="0" w:space="0" w:color="auto"/>
          </w:divBdr>
        </w:div>
        <w:div w:id="1431051195">
          <w:marLeft w:val="640"/>
          <w:marRight w:val="0"/>
          <w:marTop w:val="0"/>
          <w:marBottom w:val="0"/>
          <w:divBdr>
            <w:top w:val="none" w:sz="0" w:space="0" w:color="auto"/>
            <w:left w:val="none" w:sz="0" w:space="0" w:color="auto"/>
            <w:bottom w:val="none" w:sz="0" w:space="0" w:color="auto"/>
            <w:right w:val="none" w:sz="0" w:space="0" w:color="auto"/>
          </w:divBdr>
        </w:div>
        <w:div w:id="2070959543">
          <w:marLeft w:val="640"/>
          <w:marRight w:val="0"/>
          <w:marTop w:val="0"/>
          <w:marBottom w:val="0"/>
          <w:divBdr>
            <w:top w:val="none" w:sz="0" w:space="0" w:color="auto"/>
            <w:left w:val="none" w:sz="0" w:space="0" w:color="auto"/>
            <w:bottom w:val="none" w:sz="0" w:space="0" w:color="auto"/>
            <w:right w:val="none" w:sz="0" w:space="0" w:color="auto"/>
          </w:divBdr>
        </w:div>
        <w:div w:id="908539433">
          <w:marLeft w:val="640"/>
          <w:marRight w:val="0"/>
          <w:marTop w:val="0"/>
          <w:marBottom w:val="0"/>
          <w:divBdr>
            <w:top w:val="none" w:sz="0" w:space="0" w:color="auto"/>
            <w:left w:val="none" w:sz="0" w:space="0" w:color="auto"/>
            <w:bottom w:val="none" w:sz="0" w:space="0" w:color="auto"/>
            <w:right w:val="none" w:sz="0" w:space="0" w:color="auto"/>
          </w:divBdr>
        </w:div>
        <w:div w:id="1785494515">
          <w:marLeft w:val="640"/>
          <w:marRight w:val="0"/>
          <w:marTop w:val="0"/>
          <w:marBottom w:val="0"/>
          <w:divBdr>
            <w:top w:val="none" w:sz="0" w:space="0" w:color="auto"/>
            <w:left w:val="none" w:sz="0" w:space="0" w:color="auto"/>
            <w:bottom w:val="none" w:sz="0" w:space="0" w:color="auto"/>
            <w:right w:val="none" w:sz="0" w:space="0" w:color="auto"/>
          </w:divBdr>
        </w:div>
        <w:div w:id="1679043552">
          <w:marLeft w:val="640"/>
          <w:marRight w:val="0"/>
          <w:marTop w:val="0"/>
          <w:marBottom w:val="0"/>
          <w:divBdr>
            <w:top w:val="none" w:sz="0" w:space="0" w:color="auto"/>
            <w:left w:val="none" w:sz="0" w:space="0" w:color="auto"/>
            <w:bottom w:val="none" w:sz="0" w:space="0" w:color="auto"/>
            <w:right w:val="none" w:sz="0" w:space="0" w:color="auto"/>
          </w:divBdr>
        </w:div>
        <w:div w:id="68695079">
          <w:marLeft w:val="640"/>
          <w:marRight w:val="0"/>
          <w:marTop w:val="0"/>
          <w:marBottom w:val="0"/>
          <w:divBdr>
            <w:top w:val="none" w:sz="0" w:space="0" w:color="auto"/>
            <w:left w:val="none" w:sz="0" w:space="0" w:color="auto"/>
            <w:bottom w:val="none" w:sz="0" w:space="0" w:color="auto"/>
            <w:right w:val="none" w:sz="0" w:space="0" w:color="auto"/>
          </w:divBdr>
        </w:div>
        <w:div w:id="1688559298">
          <w:marLeft w:val="640"/>
          <w:marRight w:val="0"/>
          <w:marTop w:val="0"/>
          <w:marBottom w:val="0"/>
          <w:divBdr>
            <w:top w:val="none" w:sz="0" w:space="0" w:color="auto"/>
            <w:left w:val="none" w:sz="0" w:space="0" w:color="auto"/>
            <w:bottom w:val="none" w:sz="0" w:space="0" w:color="auto"/>
            <w:right w:val="none" w:sz="0" w:space="0" w:color="auto"/>
          </w:divBdr>
        </w:div>
        <w:div w:id="82535175">
          <w:marLeft w:val="640"/>
          <w:marRight w:val="0"/>
          <w:marTop w:val="0"/>
          <w:marBottom w:val="0"/>
          <w:divBdr>
            <w:top w:val="none" w:sz="0" w:space="0" w:color="auto"/>
            <w:left w:val="none" w:sz="0" w:space="0" w:color="auto"/>
            <w:bottom w:val="none" w:sz="0" w:space="0" w:color="auto"/>
            <w:right w:val="none" w:sz="0" w:space="0" w:color="auto"/>
          </w:divBdr>
        </w:div>
        <w:div w:id="656568193">
          <w:marLeft w:val="640"/>
          <w:marRight w:val="0"/>
          <w:marTop w:val="0"/>
          <w:marBottom w:val="0"/>
          <w:divBdr>
            <w:top w:val="none" w:sz="0" w:space="0" w:color="auto"/>
            <w:left w:val="none" w:sz="0" w:space="0" w:color="auto"/>
            <w:bottom w:val="none" w:sz="0" w:space="0" w:color="auto"/>
            <w:right w:val="none" w:sz="0" w:space="0" w:color="auto"/>
          </w:divBdr>
        </w:div>
        <w:div w:id="1617102703">
          <w:marLeft w:val="640"/>
          <w:marRight w:val="0"/>
          <w:marTop w:val="0"/>
          <w:marBottom w:val="0"/>
          <w:divBdr>
            <w:top w:val="none" w:sz="0" w:space="0" w:color="auto"/>
            <w:left w:val="none" w:sz="0" w:space="0" w:color="auto"/>
            <w:bottom w:val="none" w:sz="0" w:space="0" w:color="auto"/>
            <w:right w:val="none" w:sz="0" w:space="0" w:color="auto"/>
          </w:divBdr>
        </w:div>
        <w:div w:id="1355838479">
          <w:marLeft w:val="640"/>
          <w:marRight w:val="0"/>
          <w:marTop w:val="0"/>
          <w:marBottom w:val="0"/>
          <w:divBdr>
            <w:top w:val="none" w:sz="0" w:space="0" w:color="auto"/>
            <w:left w:val="none" w:sz="0" w:space="0" w:color="auto"/>
            <w:bottom w:val="none" w:sz="0" w:space="0" w:color="auto"/>
            <w:right w:val="none" w:sz="0" w:space="0" w:color="auto"/>
          </w:divBdr>
        </w:div>
        <w:div w:id="1757941920">
          <w:marLeft w:val="640"/>
          <w:marRight w:val="0"/>
          <w:marTop w:val="0"/>
          <w:marBottom w:val="0"/>
          <w:divBdr>
            <w:top w:val="none" w:sz="0" w:space="0" w:color="auto"/>
            <w:left w:val="none" w:sz="0" w:space="0" w:color="auto"/>
            <w:bottom w:val="none" w:sz="0" w:space="0" w:color="auto"/>
            <w:right w:val="none" w:sz="0" w:space="0" w:color="auto"/>
          </w:divBdr>
        </w:div>
        <w:div w:id="730202301">
          <w:marLeft w:val="640"/>
          <w:marRight w:val="0"/>
          <w:marTop w:val="0"/>
          <w:marBottom w:val="0"/>
          <w:divBdr>
            <w:top w:val="none" w:sz="0" w:space="0" w:color="auto"/>
            <w:left w:val="none" w:sz="0" w:space="0" w:color="auto"/>
            <w:bottom w:val="none" w:sz="0" w:space="0" w:color="auto"/>
            <w:right w:val="none" w:sz="0" w:space="0" w:color="auto"/>
          </w:divBdr>
        </w:div>
        <w:div w:id="1143037911">
          <w:marLeft w:val="640"/>
          <w:marRight w:val="0"/>
          <w:marTop w:val="0"/>
          <w:marBottom w:val="0"/>
          <w:divBdr>
            <w:top w:val="none" w:sz="0" w:space="0" w:color="auto"/>
            <w:left w:val="none" w:sz="0" w:space="0" w:color="auto"/>
            <w:bottom w:val="none" w:sz="0" w:space="0" w:color="auto"/>
            <w:right w:val="none" w:sz="0" w:space="0" w:color="auto"/>
          </w:divBdr>
        </w:div>
        <w:div w:id="1580479295">
          <w:marLeft w:val="640"/>
          <w:marRight w:val="0"/>
          <w:marTop w:val="0"/>
          <w:marBottom w:val="0"/>
          <w:divBdr>
            <w:top w:val="none" w:sz="0" w:space="0" w:color="auto"/>
            <w:left w:val="none" w:sz="0" w:space="0" w:color="auto"/>
            <w:bottom w:val="none" w:sz="0" w:space="0" w:color="auto"/>
            <w:right w:val="none" w:sz="0" w:space="0" w:color="auto"/>
          </w:divBdr>
        </w:div>
        <w:div w:id="495193643">
          <w:marLeft w:val="640"/>
          <w:marRight w:val="0"/>
          <w:marTop w:val="0"/>
          <w:marBottom w:val="0"/>
          <w:divBdr>
            <w:top w:val="none" w:sz="0" w:space="0" w:color="auto"/>
            <w:left w:val="none" w:sz="0" w:space="0" w:color="auto"/>
            <w:bottom w:val="none" w:sz="0" w:space="0" w:color="auto"/>
            <w:right w:val="none" w:sz="0" w:space="0" w:color="auto"/>
          </w:divBdr>
        </w:div>
        <w:div w:id="563956063">
          <w:marLeft w:val="640"/>
          <w:marRight w:val="0"/>
          <w:marTop w:val="0"/>
          <w:marBottom w:val="0"/>
          <w:divBdr>
            <w:top w:val="none" w:sz="0" w:space="0" w:color="auto"/>
            <w:left w:val="none" w:sz="0" w:space="0" w:color="auto"/>
            <w:bottom w:val="none" w:sz="0" w:space="0" w:color="auto"/>
            <w:right w:val="none" w:sz="0" w:space="0" w:color="auto"/>
          </w:divBdr>
        </w:div>
        <w:div w:id="421341688">
          <w:marLeft w:val="640"/>
          <w:marRight w:val="0"/>
          <w:marTop w:val="0"/>
          <w:marBottom w:val="0"/>
          <w:divBdr>
            <w:top w:val="none" w:sz="0" w:space="0" w:color="auto"/>
            <w:left w:val="none" w:sz="0" w:space="0" w:color="auto"/>
            <w:bottom w:val="none" w:sz="0" w:space="0" w:color="auto"/>
            <w:right w:val="none" w:sz="0" w:space="0" w:color="auto"/>
          </w:divBdr>
        </w:div>
        <w:div w:id="1382483084">
          <w:marLeft w:val="640"/>
          <w:marRight w:val="0"/>
          <w:marTop w:val="0"/>
          <w:marBottom w:val="0"/>
          <w:divBdr>
            <w:top w:val="none" w:sz="0" w:space="0" w:color="auto"/>
            <w:left w:val="none" w:sz="0" w:space="0" w:color="auto"/>
            <w:bottom w:val="none" w:sz="0" w:space="0" w:color="auto"/>
            <w:right w:val="none" w:sz="0" w:space="0" w:color="auto"/>
          </w:divBdr>
        </w:div>
        <w:div w:id="735519057">
          <w:marLeft w:val="640"/>
          <w:marRight w:val="0"/>
          <w:marTop w:val="0"/>
          <w:marBottom w:val="0"/>
          <w:divBdr>
            <w:top w:val="none" w:sz="0" w:space="0" w:color="auto"/>
            <w:left w:val="none" w:sz="0" w:space="0" w:color="auto"/>
            <w:bottom w:val="none" w:sz="0" w:space="0" w:color="auto"/>
            <w:right w:val="none" w:sz="0" w:space="0" w:color="auto"/>
          </w:divBdr>
        </w:div>
        <w:div w:id="892229031">
          <w:marLeft w:val="640"/>
          <w:marRight w:val="0"/>
          <w:marTop w:val="0"/>
          <w:marBottom w:val="0"/>
          <w:divBdr>
            <w:top w:val="none" w:sz="0" w:space="0" w:color="auto"/>
            <w:left w:val="none" w:sz="0" w:space="0" w:color="auto"/>
            <w:bottom w:val="none" w:sz="0" w:space="0" w:color="auto"/>
            <w:right w:val="none" w:sz="0" w:space="0" w:color="auto"/>
          </w:divBdr>
        </w:div>
        <w:div w:id="1855656406">
          <w:marLeft w:val="640"/>
          <w:marRight w:val="0"/>
          <w:marTop w:val="0"/>
          <w:marBottom w:val="0"/>
          <w:divBdr>
            <w:top w:val="none" w:sz="0" w:space="0" w:color="auto"/>
            <w:left w:val="none" w:sz="0" w:space="0" w:color="auto"/>
            <w:bottom w:val="none" w:sz="0" w:space="0" w:color="auto"/>
            <w:right w:val="none" w:sz="0" w:space="0" w:color="auto"/>
          </w:divBdr>
        </w:div>
        <w:div w:id="2054573116">
          <w:marLeft w:val="640"/>
          <w:marRight w:val="0"/>
          <w:marTop w:val="0"/>
          <w:marBottom w:val="0"/>
          <w:divBdr>
            <w:top w:val="none" w:sz="0" w:space="0" w:color="auto"/>
            <w:left w:val="none" w:sz="0" w:space="0" w:color="auto"/>
            <w:bottom w:val="none" w:sz="0" w:space="0" w:color="auto"/>
            <w:right w:val="none" w:sz="0" w:space="0" w:color="auto"/>
          </w:divBdr>
        </w:div>
        <w:div w:id="815492063">
          <w:marLeft w:val="640"/>
          <w:marRight w:val="0"/>
          <w:marTop w:val="0"/>
          <w:marBottom w:val="0"/>
          <w:divBdr>
            <w:top w:val="none" w:sz="0" w:space="0" w:color="auto"/>
            <w:left w:val="none" w:sz="0" w:space="0" w:color="auto"/>
            <w:bottom w:val="none" w:sz="0" w:space="0" w:color="auto"/>
            <w:right w:val="none" w:sz="0" w:space="0" w:color="auto"/>
          </w:divBdr>
        </w:div>
        <w:div w:id="1384597276">
          <w:marLeft w:val="640"/>
          <w:marRight w:val="0"/>
          <w:marTop w:val="0"/>
          <w:marBottom w:val="0"/>
          <w:divBdr>
            <w:top w:val="none" w:sz="0" w:space="0" w:color="auto"/>
            <w:left w:val="none" w:sz="0" w:space="0" w:color="auto"/>
            <w:bottom w:val="none" w:sz="0" w:space="0" w:color="auto"/>
            <w:right w:val="none" w:sz="0" w:space="0" w:color="auto"/>
          </w:divBdr>
        </w:div>
        <w:div w:id="1094130808">
          <w:marLeft w:val="640"/>
          <w:marRight w:val="0"/>
          <w:marTop w:val="0"/>
          <w:marBottom w:val="0"/>
          <w:divBdr>
            <w:top w:val="none" w:sz="0" w:space="0" w:color="auto"/>
            <w:left w:val="none" w:sz="0" w:space="0" w:color="auto"/>
            <w:bottom w:val="none" w:sz="0" w:space="0" w:color="auto"/>
            <w:right w:val="none" w:sz="0" w:space="0" w:color="auto"/>
          </w:divBdr>
        </w:div>
        <w:div w:id="1579942082">
          <w:marLeft w:val="640"/>
          <w:marRight w:val="0"/>
          <w:marTop w:val="0"/>
          <w:marBottom w:val="0"/>
          <w:divBdr>
            <w:top w:val="none" w:sz="0" w:space="0" w:color="auto"/>
            <w:left w:val="none" w:sz="0" w:space="0" w:color="auto"/>
            <w:bottom w:val="none" w:sz="0" w:space="0" w:color="auto"/>
            <w:right w:val="none" w:sz="0" w:space="0" w:color="auto"/>
          </w:divBdr>
        </w:div>
        <w:div w:id="1942254686">
          <w:marLeft w:val="640"/>
          <w:marRight w:val="0"/>
          <w:marTop w:val="0"/>
          <w:marBottom w:val="0"/>
          <w:divBdr>
            <w:top w:val="none" w:sz="0" w:space="0" w:color="auto"/>
            <w:left w:val="none" w:sz="0" w:space="0" w:color="auto"/>
            <w:bottom w:val="none" w:sz="0" w:space="0" w:color="auto"/>
            <w:right w:val="none" w:sz="0" w:space="0" w:color="auto"/>
          </w:divBdr>
        </w:div>
        <w:div w:id="1785884820">
          <w:marLeft w:val="640"/>
          <w:marRight w:val="0"/>
          <w:marTop w:val="0"/>
          <w:marBottom w:val="0"/>
          <w:divBdr>
            <w:top w:val="none" w:sz="0" w:space="0" w:color="auto"/>
            <w:left w:val="none" w:sz="0" w:space="0" w:color="auto"/>
            <w:bottom w:val="none" w:sz="0" w:space="0" w:color="auto"/>
            <w:right w:val="none" w:sz="0" w:space="0" w:color="auto"/>
          </w:divBdr>
        </w:div>
        <w:div w:id="1024793455">
          <w:marLeft w:val="640"/>
          <w:marRight w:val="0"/>
          <w:marTop w:val="0"/>
          <w:marBottom w:val="0"/>
          <w:divBdr>
            <w:top w:val="none" w:sz="0" w:space="0" w:color="auto"/>
            <w:left w:val="none" w:sz="0" w:space="0" w:color="auto"/>
            <w:bottom w:val="none" w:sz="0" w:space="0" w:color="auto"/>
            <w:right w:val="none" w:sz="0" w:space="0" w:color="auto"/>
          </w:divBdr>
        </w:div>
        <w:div w:id="1859082653">
          <w:marLeft w:val="640"/>
          <w:marRight w:val="0"/>
          <w:marTop w:val="0"/>
          <w:marBottom w:val="0"/>
          <w:divBdr>
            <w:top w:val="none" w:sz="0" w:space="0" w:color="auto"/>
            <w:left w:val="none" w:sz="0" w:space="0" w:color="auto"/>
            <w:bottom w:val="none" w:sz="0" w:space="0" w:color="auto"/>
            <w:right w:val="none" w:sz="0" w:space="0" w:color="auto"/>
          </w:divBdr>
        </w:div>
        <w:div w:id="299769749">
          <w:marLeft w:val="640"/>
          <w:marRight w:val="0"/>
          <w:marTop w:val="0"/>
          <w:marBottom w:val="0"/>
          <w:divBdr>
            <w:top w:val="none" w:sz="0" w:space="0" w:color="auto"/>
            <w:left w:val="none" w:sz="0" w:space="0" w:color="auto"/>
            <w:bottom w:val="none" w:sz="0" w:space="0" w:color="auto"/>
            <w:right w:val="none" w:sz="0" w:space="0" w:color="auto"/>
          </w:divBdr>
        </w:div>
        <w:div w:id="1241208348">
          <w:marLeft w:val="640"/>
          <w:marRight w:val="0"/>
          <w:marTop w:val="0"/>
          <w:marBottom w:val="0"/>
          <w:divBdr>
            <w:top w:val="none" w:sz="0" w:space="0" w:color="auto"/>
            <w:left w:val="none" w:sz="0" w:space="0" w:color="auto"/>
            <w:bottom w:val="none" w:sz="0" w:space="0" w:color="auto"/>
            <w:right w:val="none" w:sz="0" w:space="0" w:color="auto"/>
          </w:divBdr>
        </w:div>
        <w:div w:id="619460983">
          <w:marLeft w:val="640"/>
          <w:marRight w:val="0"/>
          <w:marTop w:val="0"/>
          <w:marBottom w:val="0"/>
          <w:divBdr>
            <w:top w:val="none" w:sz="0" w:space="0" w:color="auto"/>
            <w:left w:val="none" w:sz="0" w:space="0" w:color="auto"/>
            <w:bottom w:val="none" w:sz="0" w:space="0" w:color="auto"/>
            <w:right w:val="none" w:sz="0" w:space="0" w:color="auto"/>
          </w:divBdr>
        </w:div>
        <w:div w:id="1728064889">
          <w:marLeft w:val="640"/>
          <w:marRight w:val="0"/>
          <w:marTop w:val="0"/>
          <w:marBottom w:val="0"/>
          <w:divBdr>
            <w:top w:val="none" w:sz="0" w:space="0" w:color="auto"/>
            <w:left w:val="none" w:sz="0" w:space="0" w:color="auto"/>
            <w:bottom w:val="none" w:sz="0" w:space="0" w:color="auto"/>
            <w:right w:val="none" w:sz="0" w:space="0" w:color="auto"/>
          </w:divBdr>
        </w:div>
        <w:div w:id="184178292">
          <w:marLeft w:val="640"/>
          <w:marRight w:val="0"/>
          <w:marTop w:val="0"/>
          <w:marBottom w:val="0"/>
          <w:divBdr>
            <w:top w:val="none" w:sz="0" w:space="0" w:color="auto"/>
            <w:left w:val="none" w:sz="0" w:space="0" w:color="auto"/>
            <w:bottom w:val="none" w:sz="0" w:space="0" w:color="auto"/>
            <w:right w:val="none" w:sz="0" w:space="0" w:color="auto"/>
          </w:divBdr>
        </w:div>
        <w:div w:id="798914226">
          <w:marLeft w:val="640"/>
          <w:marRight w:val="0"/>
          <w:marTop w:val="0"/>
          <w:marBottom w:val="0"/>
          <w:divBdr>
            <w:top w:val="none" w:sz="0" w:space="0" w:color="auto"/>
            <w:left w:val="none" w:sz="0" w:space="0" w:color="auto"/>
            <w:bottom w:val="none" w:sz="0" w:space="0" w:color="auto"/>
            <w:right w:val="none" w:sz="0" w:space="0" w:color="auto"/>
          </w:divBdr>
        </w:div>
        <w:div w:id="430391524">
          <w:marLeft w:val="640"/>
          <w:marRight w:val="0"/>
          <w:marTop w:val="0"/>
          <w:marBottom w:val="0"/>
          <w:divBdr>
            <w:top w:val="none" w:sz="0" w:space="0" w:color="auto"/>
            <w:left w:val="none" w:sz="0" w:space="0" w:color="auto"/>
            <w:bottom w:val="none" w:sz="0" w:space="0" w:color="auto"/>
            <w:right w:val="none" w:sz="0" w:space="0" w:color="auto"/>
          </w:divBdr>
        </w:div>
        <w:div w:id="700473152">
          <w:marLeft w:val="640"/>
          <w:marRight w:val="0"/>
          <w:marTop w:val="0"/>
          <w:marBottom w:val="0"/>
          <w:divBdr>
            <w:top w:val="none" w:sz="0" w:space="0" w:color="auto"/>
            <w:left w:val="none" w:sz="0" w:space="0" w:color="auto"/>
            <w:bottom w:val="none" w:sz="0" w:space="0" w:color="auto"/>
            <w:right w:val="none" w:sz="0" w:space="0" w:color="auto"/>
          </w:divBdr>
        </w:div>
        <w:div w:id="1337340722">
          <w:marLeft w:val="640"/>
          <w:marRight w:val="0"/>
          <w:marTop w:val="0"/>
          <w:marBottom w:val="0"/>
          <w:divBdr>
            <w:top w:val="none" w:sz="0" w:space="0" w:color="auto"/>
            <w:left w:val="none" w:sz="0" w:space="0" w:color="auto"/>
            <w:bottom w:val="none" w:sz="0" w:space="0" w:color="auto"/>
            <w:right w:val="none" w:sz="0" w:space="0" w:color="auto"/>
          </w:divBdr>
        </w:div>
        <w:div w:id="2045792743">
          <w:marLeft w:val="640"/>
          <w:marRight w:val="0"/>
          <w:marTop w:val="0"/>
          <w:marBottom w:val="0"/>
          <w:divBdr>
            <w:top w:val="none" w:sz="0" w:space="0" w:color="auto"/>
            <w:left w:val="none" w:sz="0" w:space="0" w:color="auto"/>
            <w:bottom w:val="none" w:sz="0" w:space="0" w:color="auto"/>
            <w:right w:val="none" w:sz="0" w:space="0" w:color="auto"/>
          </w:divBdr>
        </w:div>
        <w:div w:id="1884249699">
          <w:marLeft w:val="640"/>
          <w:marRight w:val="0"/>
          <w:marTop w:val="0"/>
          <w:marBottom w:val="0"/>
          <w:divBdr>
            <w:top w:val="none" w:sz="0" w:space="0" w:color="auto"/>
            <w:left w:val="none" w:sz="0" w:space="0" w:color="auto"/>
            <w:bottom w:val="none" w:sz="0" w:space="0" w:color="auto"/>
            <w:right w:val="none" w:sz="0" w:space="0" w:color="auto"/>
          </w:divBdr>
        </w:div>
        <w:div w:id="1473208147">
          <w:marLeft w:val="640"/>
          <w:marRight w:val="0"/>
          <w:marTop w:val="0"/>
          <w:marBottom w:val="0"/>
          <w:divBdr>
            <w:top w:val="none" w:sz="0" w:space="0" w:color="auto"/>
            <w:left w:val="none" w:sz="0" w:space="0" w:color="auto"/>
            <w:bottom w:val="none" w:sz="0" w:space="0" w:color="auto"/>
            <w:right w:val="none" w:sz="0" w:space="0" w:color="auto"/>
          </w:divBdr>
        </w:div>
        <w:div w:id="726415303">
          <w:marLeft w:val="640"/>
          <w:marRight w:val="0"/>
          <w:marTop w:val="0"/>
          <w:marBottom w:val="0"/>
          <w:divBdr>
            <w:top w:val="none" w:sz="0" w:space="0" w:color="auto"/>
            <w:left w:val="none" w:sz="0" w:space="0" w:color="auto"/>
            <w:bottom w:val="none" w:sz="0" w:space="0" w:color="auto"/>
            <w:right w:val="none" w:sz="0" w:space="0" w:color="auto"/>
          </w:divBdr>
        </w:div>
      </w:divsChild>
    </w:div>
    <w:div w:id="881331204">
      <w:bodyDiv w:val="1"/>
      <w:marLeft w:val="0"/>
      <w:marRight w:val="0"/>
      <w:marTop w:val="0"/>
      <w:marBottom w:val="0"/>
      <w:divBdr>
        <w:top w:val="none" w:sz="0" w:space="0" w:color="auto"/>
        <w:left w:val="none" w:sz="0" w:space="0" w:color="auto"/>
        <w:bottom w:val="none" w:sz="0" w:space="0" w:color="auto"/>
        <w:right w:val="none" w:sz="0" w:space="0" w:color="auto"/>
      </w:divBdr>
      <w:divsChild>
        <w:div w:id="819076029">
          <w:marLeft w:val="640"/>
          <w:marRight w:val="0"/>
          <w:marTop w:val="0"/>
          <w:marBottom w:val="0"/>
          <w:divBdr>
            <w:top w:val="none" w:sz="0" w:space="0" w:color="auto"/>
            <w:left w:val="none" w:sz="0" w:space="0" w:color="auto"/>
            <w:bottom w:val="none" w:sz="0" w:space="0" w:color="auto"/>
            <w:right w:val="none" w:sz="0" w:space="0" w:color="auto"/>
          </w:divBdr>
        </w:div>
        <w:div w:id="1997755261">
          <w:marLeft w:val="640"/>
          <w:marRight w:val="0"/>
          <w:marTop w:val="0"/>
          <w:marBottom w:val="0"/>
          <w:divBdr>
            <w:top w:val="none" w:sz="0" w:space="0" w:color="auto"/>
            <w:left w:val="none" w:sz="0" w:space="0" w:color="auto"/>
            <w:bottom w:val="none" w:sz="0" w:space="0" w:color="auto"/>
            <w:right w:val="none" w:sz="0" w:space="0" w:color="auto"/>
          </w:divBdr>
        </w:div>
        <w:div w:id="1608000650">
          <w:marLeft w:val="640"/>
          <w:marRight w:val="0"/>
          <w:marTop w:val="0"/>
          <w:marBottom w:val="0"/>
          <w:divBdr>
            <w:top w:val="none" w:sz="0" w:space="0" w:color="auto"/>
            <w:left w:val="none" w:sz="0" w:space="0" w:color="auto"/>
            <w:bottom w:val="none" w:sz="0" w:space="0" w:color="auto"/>
            <w:right w:val="none" w:sz="0" w:space="0" w:color="auto"/>
          </w:divBdr>
        </w:div>
        <w:div w:id="939411272">
          <w:marLeft w:val="640"/>
          <w:marRight w:val="0"/>
          <w:marTop w:val="0"/>
          <w:marBottom w:val="0"/>
          <w:divBdr>
            <w:top w:val="none" w:sz="0" w:space="0" w:color="auto"/>
            <w:left w:val="none" w:sz="0" w:space="0" w:color="auto"/>
            <w:bottom w:val="none" w:sz="0" w:space="0" w:color="auto"/>
            <w:right w:val="none" w:sz="0" w:space="0" w:color="auto"/>
          </w:divBdr>
        </w:div>
        <w:div w:id="701831666">
          <w:marLeft w:val="640"/>
          <w:marRight w:val="0"/>
          <w:marTop w:val="0"/>
          <w:marBottom w:val="0"/>
          <w:divBdr>
            <w:top w:val="none" w:sz="0" w:space="0" w:color="auto"/>
            <w:left w:val="none" w:sz="0" w:space="0" w:color="auto"/>
            <w:bottom w:val="none" w:sz="0" w:space="0" w:color="auto"/>
            <w:right w:val="none" w:sz="0" w:space="0" w:color="auto"/>
          </w:divBdr>
        </w:div>
        <w:div w:id="1541819937">
          <w:marLeft w:val="640"/>
          <w:marRight w:val="0"/>
          <w:marTop w:val="0"/>
          <w:marBottom w:val="0"/>
          <w:divBdr>
            <w:top w:val="none" w:sz="0" w:space="0" w:color="auto"/>
            <w:left w:val="none" w:sz="0" w:space="0" w:color="auto"/>
            <w:bottom w:val="none" w:sz="0" w:space="0" w:color="auto"/>
            <w:right w:val="none" w:sz="0" w:space="0" w:color="auto"/>
          </w:divBdr>
        </w:div>
        <w:div w:id="430980273">
          <w:marLeft w:val="640"/>
          <w:marRight w:val="0"/>
          <w:marTop w:val="0"/>
          <w:marBottom w:val="0"/>
          <w:divBdr>
            <w:top w:val="none" w:sz="0" w:space="0" w:color="auto"/>
            <w:left w:val="none" w:sz="0" w:space="0" w:color="auto"/>
            <w:bottom w:val="none" w:sz="0" w:space="0" w:color="auto"/>
            <w:right w:val="none" w:sz="0" w:space="0" w:color="auto"/>
          </w:divBdr>
        </w:div>
        <w:div w:id="1569000878">
          <w:marLeft w:val="640"/>
          <w:marRight w:val="0"/>
          <w:marTop w:val="0"/>
          <w:marBottom w:val="0"/>
          <w:divBdr>
            <w:top w:val="none" w:sz="0" w:space="0" w:color="auto"/>
            <w:left w:val="none" w:sz="0" w:space="0" w:color="auto"/>
            <w:bottom w:val="none" w:sz="0" w:space="0" w:color="auto"/>
            <w:right w:val="none" w:sz="0" w:space="0" w:color="auto"/>
          </w:divBdr>
        </w:div>
        <w:div w:id="1779442846">
          <w:marLeft w:val="640"/>
          <w:marRight w:val="0"/>
          <w:marTop w:val="0"/>
          <w:marBottom w:val="0"/>
          <w:divBdr>
            <w:top w:val="none" w:sz="0" w:space="0" w:color="auto"/>
            <w:left w:val="none" w:sz="0" w:space="0" w:color="auto"/>
            <w:bottom w:val="none" w:sz="0" w:space="0" w:color="auto"/>
            <w:right w:val="none" w:sz="0" w:space="0" w:color="auto"/>
          </w:divBdr>
        </w:div>
        <w:div w:id="889535540">
          <w:marLeft w:val="640"/>
          <w:marRight w:val="0"/>
          <w:marTop w:val="0"/>
          <w:marBottom w:val="0"/>
          <w:divBdr>
            <w:top w:val="none" w:sz="0" w:space="0" w:color="auto"/>
            <w:left w:val="none" w:sz="0" w:space="0" w:color="auto"/>
            <w:bottom w:val="none" w:sz="0" w:space="0" w:color="auto"/>
            <w:right w:val="none" w:sz="0" w:space="0" w:color="auto"/>
          </w:divBdr>
        </w:div>
        <w:div w:id="540435111">
          <w:marLeft w:val="640"/>
          <w:marRight w:val="0"/>
          <w:marTop w:val="0"/>
          <w:marBottom w:val="0"/>
          <w:divBdr>
            <w:top w:val="none" w:sz="0" w:space="0" w:color="auto"/>
            <w:left w:val="none" w:sz="0" w:space="0" w:color="auto"/>
            <w:bottom w:val="none" w:sz="0" w:space="0" w:color="auto"/>
            <w:right w:val="none" w:sz="0" w:space="0" w:color="auto"/>
          </w:divBdr>
        </w:div>
        <w:div w:id="433135731">
          <w:marLeft w:val="640"/>
          <w:marRight w:val="0"/>
          <w:marTop w:val="0"/>
          <w:marBottom w:val="0"/>
          <w:divBdr>
            <w:top w:val="none" w:sz="0" w:space="0" w:color="auto"/>
            <w:left w:val="none" w:sz="0" w:space="0" w:color="auto"/>
            <w:bottom w:val="none" w:sz="0" w:space="0" w:color="auto"/>
            <w:right w:val="none" w:sz="0" w:space="0" w:color="auto"/>
          </w:divBdr>
        </w:div>
        <w:div w:id="91361548">
          <w:marLeft w:val="640"/>
          <w:marRight w:val="0"/>
          <w:marTop w:val="0"/>
          <w:marBottom w:val="0"/>
          <w:divBdr>
            <w:top w:val="none" w:sz="0" w:space="0" w:color="auto"/>
            <w:left w:val="none" w:sz="0" w:space="0" w:color="auto"/>
            <w:bottom w:val="none" w:sz="0" w:space="0" w:color="auto"/>
            <w:right w:val="none" w:sz="0" w:space="0" w:color="auto"/>
          </w:divBdr>
        </w:div>
        <w:div w:id="547844478">
          <w:marLeft w:val="640"/>
          <w:marRight w:val="0"/>
          <w:marTop w:val="0"/>
          <w:marBottom w:val="0"/>
          <w:divBdr>
            <w:top w:val="none" w:sz="0" w:space="0" w:color="auto"/>
            <w:left w:val="none" w:sz="0" w:space="0" w:color="auto"/>
            <w:bottom w:val="none" w:sz="0" w:space="0" w:color="auto"/>
            <w:right w:val="none" w:sz="0" w:space="0" w:color="auto"/>
          </w:divBdr>
        </w:div>
        <w:div w:id="1828477823">
          <w:marLeft w:val="640"/>
          <w:marRight w:val="0"/>
          <w:marTop w:val="0"/>
          <w:marBottom w:val="0"/>
          <w:divBdr>
            <w:top w:val="none" w:sz="0" w:space="0" w:color="auto"/>
            <w:left w:val="none" w:sz="0" w:space="0" w:color="auto"/>
            <w:bottom w:val="none" w:sz="0" w:space="0" w:color="auto"/>
            <w:right w:val="none" w:sz="0" w:space="0" w:color="auto"/>
          </w:divBdr>
        </w:div>
        <w:div w:id="2628888">
          <w:marLeft w:val="640"/>
          <w:marRight w:val="0"/>
          <w:marTop w:val="0"/>
          <w:marBottom w:val="0"/>
          <w:divBdr>
            <w:top w:val="none" w:sz="0" w:space="0" w:color="auto"/>
            <w:left w:val="none" w:sz="0" w:space="0" w:color="auto"/>
            <w:bottom w:val="none" w:sz="0" w:space="0" w:color="auto"/>
            <w:right w:val="none" w:sz="0" w:space="0" w:color="auto"/>
          </w:divBdr>
        </w:div>
        <w:div w:id="1523469808">
          <w:marLeft w:val="640"/>
          <w:marRight w:val="0"/>
          <w:marTop w:val="0"/>
          <w:marBottom w:val="0"/>
          <w:divBdr>
            <w:top w:val="none" w:sz="0" w:space="0" w:color="auto"/>
            <w:left w:val="none" w:sz="0" w:space="0" w:color="auto"/>
            <w:bottom w:val="none" w:sz="0" w:space="0" w:color="auto"/>
            <w:right w:val="none" w:sz="0" w:space="0" w:color="auto"/>
          </w:divBdr>
        </w:div>
        <w:div w:id="1846701996">
          <w:marLeft w:val="640"/>
          <w:marRight w:val="0"/>
          <w:marTop w:val="0"/>
          <w:marBottom w:val="0"/>
          <w:divBdr>
            <w:top w:val="none" w:sz="0" w:space="0" w:color="auto"/>
            <w:left w:val="none" w:sz="0" w:space="0" w:color="auto"/>
            <w:bottom w:val="none" w:sz="0" w:space="0" w:color="auto"/>
            <w:right w:val="none" w:sz="0" w:space="0" w:color="auto"/>
          </w:divBdr>
        </w:div>
        <w:div w:id="865098188">
          <w:marLeft w:val="640"/>
          <w:marRight w:val="0"/>
          <w:marTop w:val="0"/>
          <w:marBottom w:val="0"/>
          <w:divBdr>
            <w:top w:val="none" w:sz="0" w:space="0" w:color="auto"/>
            <w:left w:val="none" w:sz="0" w:space="0" w:color="auto"/>
            <w:bottom w:val="none" w:sz="0" w:space="0" w:color="auto"/>
            <w:right w:val="none" w:sz="0" w:space="0" w:color="auto"/>
          </w:divBdr>
        </w:div>
        <w:div w:id="349260916">
          <w:marLeft w:val="640"/>
          <w:marRight w:val="0"/>
          <w:marTop w:val="0"/>
          <w:marBottom w:val="0"/>
          <w:divBdr>
            <w:top w:val="none" w:sz="0" w:space="0" w:color="auto"/>
            <w:left w:val="none" w:sz="0" w:space="0" w:color="auto"/>
            <w:bottom w:val="none" w:sz="0" w:space="0" w:color="auto"/>
            <w:right w:val="none" w:sz="0" w:space="0" w:color="auto"/>
          </w:divBdr>
        </w:div>
        <w:div w:id="520239315">
          <w:marLeft w:val="640"/>
          <w:marRight w:val="0"/>
          <w:marTop w:val="0"/>
          <w:marBottom w:val="0"/>
          <w:divBdr>
            <w:top w:val="none" w:sz="0" w:space="0" w:color="auto"/>
            <w:left w:val="none" w:sz="0" w:space="0" w:color="auto"/>
            <w:bottom w:val="none" w:sz="0" w:space="0" w:color="auto"/>
            <w:right w:val="none" w:sz="0" w:space="0" w:color="auto"/>
          </w:divBdr>
        </w:div>
        <w:div w:id="1384331388">
          <w:marLeft w:val="640"/>
          <w:marRight w:val="0"/>
          <w:marTop w:val="0"/>
          <w:marBottom w:val="0"/>
          <w:divBdr>
            <w:top w:val="none" w:sz="0" w:space="0" w:color="auto"/>
            <w:left w:val="none" w:sz="0" w:space="0" w:color="auto"/>
            <w:bottom w:val="none" w:sz="0" w:space="0" w:color="auto"/>
            <w:right w:val="none" w:sz="0" w:space="0" w:color="auto"/>
          </w:divBdr>
        </w:div>
        <w:div w:id="1293944447">
          <w:marLeft w:val="640"/>
          <w:marRight w:val="0"/>
          <w:marTop w:val="0"/>
          <w:marBottom w:val="0"/>
          <w:divBdr>
            <w:top w:val="none" w:sz="0" w:space="0" w:color="auto"/>
            <w:left w:val="none" w:sz="0" w:space="0" w:color="auto"/>
            <w:bottom w:val="none" w:sz="0" w:space="0" w:color="auto"/>
            <w:right w:val="none" w:sz="0" w:space="0" w:color="auto"/>
          </w:divBdr>
        </w:div>
        <w:div w:id="155607860">
          <w:marLeft w:val="640"/>
          <w:marRight w:val="0"/>
          <w:marTop w:val="0"/>
          <w:marBottom w:val="0"/>
          <w:divBdr>
            <w:top w:val="none" w:sz="0" w:space="0" w:color="auto"/>
            <w:left w:val="none" w:sz="0" w:space="0" w:color="auto"/>
            <w:bottom w:val="none" w:sz="0" w:space="0" w:color="auto"/>
            <w:right w:val="none" w:sz="0" w:space="0" w:color="auto"/>
          </w:divBdr>
        </w:div>
        <w:div w:id="859393094">
          <w:marLeft w:val="640"/>
          <w:marRight w:val="0"/>
          <w:marTop w:val="0"/>
          <w:marBottom w:val="0"/>
          <w:divBdr>
            <w:top w:val="none" w:sz="0" w:space="0" w:color="auto"/>
            <w:left w:val="none" w:sz="0" w:space="0" w:color="auto"/>
            <w:bottom w:val="none" w:sz="0" w:space="0" w:color="auto"/>
            <w:right w:val="none" w:sz="0" w:space="0" w:color="auto"/>
          </w:divBdr>
        </w:div>
        <w:div w:id="188691409">
          <w:marLeft w:val="640"/>
          <w:marRight w:val="0"/>
          <w:marTop w:val="0"/>
          <w:marBottom w:val="0"/>
          <w:divBdr>
            <w:top w:val="none" w:sz="0" w:space="0" w:color="auto"/>
            <w:left w:val="none" w:sz="0" w:space="0" w:color="auto"/>
            <w:bottom w:val="none" w:sz="0" w:space="0" w:color="auto"/>
            <w:right w:val="none" w:sz="0" w:space="0" w:color="auto"/>
          </w:divBdr>
        </w:div>
        <w:div w:id="830829233">
          <w:marLeft w:val="640"/>
          <w:marRight w:val="0"/>
          <w:marTop w:val="0"/>
          <w:marBottom w:val="0"/>
          <w:divBdr>
            <w:top w:val="none" w:sz="0" w:space="0" w:color="auto"/>
            <w:left w:val="none" w:sz="0" w:space="0" w:color="auto"/>
            <w:bottom w:val="none" w:sz="0" w:space="0" w:color="auto"/>
            <w:right w:val="none" w:sz="0" w:space="0" w:color="auto"/>
          </w:divBdr>
        </w:div>
        <w:div w:id="2135295644">
          <w:marLeft w:val="640"/>
          <w:marRight w:val="0"/>
          <w:marTop w:val="0"/>
          <w:marBottom w:val="0"/>
          <w:divBdr>
            <w:top w:val="none" w:sz="0" w:space="0" w:color="auto"/>
            <w:left w:val="none" w:sz="0" w:space="0" w:color="auto"/>
            <w:bottom w:val="none" w:sz="0" w:space="0" w:color="auto"/>
            <w:right w:val="none" w:sz="0" w:space="0" w:color="auto"/>
          </w:divBdr>
        </w:div>
        <w:div w:id="1718896702">
          <w:marLeft w:val="640"/>
          <w:marRight w:val="0"/>
          <w:marTop w:val="0"/>
          <w:marBottom w:val="0"/>
          <w:divBdr>
            <w:top w:val="none" w:sz="0" w:space="0" w:color="auto"/>
            <w:left w:val="none" w:sz="0" w:space="0" w:color="auto"/>
            <w:bottom w:val="none" w:sz="0" w:space="0" w:color="auto"/>
            <w:right w:val="none" w:sz="0" w:space="0" w:color="auto"/>
          </w:divBdr>
        </w:div>
        <w:div w:id="1008024454">
          <w:marLeft w:val="640"/>
          <w:marRight w:val="0"/>
          <w:marTop w:val="0"/>
          <w:marBottom w:val="0"/>
          <w:divBdr>
            <w:top w:val="none" w:sz="0" w:space="0" w:color="auto"/>
            <w:left w:val="none" w:sz="0" w:space="0" w:color="auto"/>
            <w:bottom w:val="none" w:sz="0" w:space="0" w:color="auto"/>
            <w:right w:val="none" w:sz="0" w:space="0" w:color="auto"/>
          </w:divBdr>
        </w:div>
        <w:div w:id="411703348">
          <w:marLeft w:val="640"/>
          <w:marRight w:val="0"/>
          <w:marTop w:val="0"/>
          <w:marBottom w:val="0"/>
          <w:divBdr>
            <w:top w:val="none" w:sz="0" w:space="0" w:color="auto"/>
            <w:left w:val="none" w:sz="0" w:space="0" w:color="auto"/>
            <w:bottom w:val="none" w:sz="0" w:space="0" w:color="auto"/>
            <w:right w:val="none" w:sz="0" w:space="0" w:color="auto"/>
          </w:divBdr>
        </w:div>
        <w:div w:id="1789660488">
          <w:marLeft w:val="640"/>
          <w:marRight w:val="0"/>
          <w:marTop w:val="0"/>
          <w:marBottom w:val="0"/>
          <w:divBdr>
            <w:top w:val="none" w:sz="0" w:space="0" w:color="auto"/>
            <w:left w:val="none" w:sz="0" w:space="0" w:color="auto"/>
            <w:bottom w:val="none" w:sz="0" w:space="0" w:color="auto"/>
            <w:right w:val="none" w:sz="0" w:space="0" w:color="auto"/>
          </w:divBdr>
        </w:div>
        <w:div w:id="790173363">
          <w:marLeft w:val="640"/>
          <w:marRight w:val="0"/>
          <w:marTop w:val="0"/>
          <w:marBottom w:val="0"/>
          <w:divBdr>
            <w:top w:val="none" w:sz="0" w:space="0" w:color="auto"/>
            <w:left w:val="none" w:sz="0" w:space="0" w:color="auto"/>
            <w:bottom w:val="none" w:sz="0" w:space="0" w:color="auto"/>
            <w:right w:val="none" w:sz="0" w:space="0" w:color="auto"/>
          </w:divBdr>
        </w:div>
        <w:div w:id="625241454">
          <w:marLeft w:val="640"/>
          <w:marRight w:val="0"/>
          <w:marTop w:val="0"/>
          <w:marBottom w:val="0"/>
          <w:divBdr>
            <w:top w:val="none" w:sz="0" w:space="0" w:color="auto"/>
            <w:left w:val="none" w:sz="0" w:space="0" w:color="auto"/>
            <w:bottom w:val="none" w:sz="0" w:space="0" w:color="auto"/>
            <w:right w:val="none" w:sz="0" w:space="0" w:color="auto"/>
          </w:divBdr>
        </w:div>
        <w:div w:id="299000448">
          <w:marLeft w:val="640"/>
          <w:marRight w:val="0"/>
          <w:marTop w:val="0"/>
          <w:marBottom w:val="0"/>
          <w:divBdr>
            <w:top w:val="none" w:sz="0" w:space="0" w:color="auto"/>
            <w:left w:val="none" w:sz="0" w:space="0" w:color="auto"/>
            <w:bottom w:val="none" w:sz="0" w:space="0" w:color="auto"/>
            <w:right w:val="none" w:sz="0" w:space="0" w:color="auto"/>
          </w:divBdr>
        </w:div>
        <w:div w:id="15541289">
          <w:marLeft w:val="640"/>
          <w:marRight w:val="0"/>
          <w:marTop w:val="0"/>
          <w:marBottom w:val="0"/>
          <w:divBdr>
            <w:top w:val="none" w:sz="0" w:space="0" w:color="auto"/>
            <w:left w:val="none" w:sz="0" w:space="0" w:color="auto"/>
            <w:bottom w:val="none" w:sz="0" w:space="0" w:color="auto"/>
            <w:right w:val="none" w:sz="0" w:space="0" w:color="auto"/>
          </w:divBdr>
        </w:div>
        <w:div w:id="690567449">
          <w:marLeft w:val="640"/>
          <w:marRight w:val="0"/>
          <w:marTop w:val="0"/>
          <w:marBottom w:val="0"/>
          <w:divBdr>
            <w:top w:val="none" w:sz="0" w:space="0" w:color="auto"/>
            <w:left w:val="none" w:sz="0" w:space="0" w:color="auto"/>
            <w:bottom w:val="none" w:sz="0" w:space="0" w:color="auto"/>
            <w:right w:val="none" w:sz="0" w:space="0" w:color="auto"/>
          </w:divBdr>
        </w:div>
        <w:div w:id="2047674224">
          <w:marLeft w:val="640"/>
          <w:marRight w:val="0"/>
          <w:marTop w:val="0"/>
          <w:marBottom w:val="0"/>
          <w:divBdr>
            <w:top w:val="none" w:sz="0" w:space="0" w:color="auto"/>
            <w:left w:val="none" w:sz="0" w:space="0" w:color="auto"/>
            <w:bottom w:val="none" w:sz="0" w:space="0" w:color="auto"/>
            <w:right w:val="none" w:sz="0" w:space="0" w:color="auto"/>
          </w:divBdr>
        </w:div>
        <w:div w:id="1317294339">
          <w:marLeft w:val="640"/>
          <w:marRight w:val="0"/>
          <w:marTop w:val="0"/>
          <w:marBottom w:val="0"/>
          <w:divBdr>
            <w:top w:val="none" w:sz="0" w:space="0" w:color="auto"/>
            <w:left w:val="none" w:sz="0" w:space="0" w:color="auto"/>
            <w:bottom w:val="none" w:sz="0" w:space="0" w:color="auto"/>
            <w:right w:val="none" w:sz="0" w:space="0" w:color="auto"/>
          </w:divBdr>
        </w:div>
        <w:div w:id="1725133005">
          <w:marLeft w:val="640"/>
          <w:marRight w:val="0"/>
          <w:marTop w:val="0"/>
          <w:marBottom w:val="0"/>
          <w:divBdr>
            <w:top w:val="none" w:sz="0" w:space="0" w:color="auto"/>
            <w:left w:val="none" w:sz="0" w:space="0" w:color="auto"/>
            <w:bottom w:val="none" w:sz="0" w:space="0" w:color="auto"/>
            <w:right w:val="none" w:sz="0" w:space="0" w:color="auto"/>
          </w:divBdr>
        </w:div>
        <w:div w:id="939482521">
          <w:marLeft w:val="640"/>
          <w:marRight w:val="0"/>
          <w:marTop w:val="0"/>
          <w:marBottom w:val="0"/>
          <w:divBdr>
            <w:top w:val="none" w:sz="0" w:space="0" w:color="auto"/>
            <w:left w:val="none" w:sz="0" w:space="0" w:color="auto"/>
            <w:bottom w:val="none" w:sz="0" w:space="0" w:color="auto"/>
            <w:right w:val="none" w:sz="0" w:space="0" w:color="auto"/>
          </w:divBdr>
        </w:div>
        <w:div w:id="1574003233">
          <w:marLeft w:val="640"/>
          <w:marRight w:val="0"/>
          <w:marTop w:val="0"/>
          <w:marBottom w:val="0"/>
          <w:divBdr>
            <w:top w:val="none" w:sz="0" w:space="0" w:color="auto"/>
            <w:left w:val="none" w:sz="0" w:space="0" w:color="auto"/>
            <w:bottom w:val="none" w:sz="0" w:space="0" w:color="auto"/>
            <w:right w:val="none" w:sz="0" w:space="0" w:color="auto"/>
          </w:divBdr>
        </w:div>
        <w:div w:id="1470511181">
          <w:marLeft w:val="640"/>
          <w:marRight w:val="0"/>
          <w:marTop w:val="0"/>
          <w:marBottom w:val="0"/>
          <w:divBdr>
            <w:top w:val="none" w:sz="0" w:space="0" w:color="auto"/>
            <w:left w:val="none" w:sz="0" w:space="0" w:color="auto"/>
            <w:bottom w:val="none" w:sz="0" w:space="0" w:color="auto"/>
            <w:right w:val="none" w:sz="0" w:space="0" w:color="auto"/>
          </w:divBdr>
        </w:div>
        <w:div w:id="2137982965">
          <w:marLeft w:val="640"/>
          <w:marRight w:val="0"/>
          <w:marTop w:val="0"/>
          <w:marBottom w:val="0"/>
          <w:divBdr>
            <w:top w:val="none" w:sz="0" w:space="0" w:color="auto"/>
            <w:left w:val="none" w:sz="0" w:space="0" w:color="auto"/>
            <w:bottom w:val="none" w:sz="0" w:space="0" w:color="auto"/>
            <w:right w:val="none" w:sz="0" w:space="0" w:color="auto"/>
          </w:divBdr>
        </w:div>
        <w:div w:id="259485098">
          <w:marLeft w:val="640"/>
          <w:marRight w:val="0"/>
          <w:marTop w:val="0"/>
          <w:marBottom w:val="0"/>
          <w:divBdr>
            <w:top w:val="none" w:sz="0" w:space="0" w:color="auto"/>
            <w:left w:val="none" w:sz="0" w:space="0" w:color="auto"/>
            <w:bottom w:val="none" w:sz="0" w:space="0" w:color="auto"/>
            <w:right w:val="none" w:sz="0" w:space="0" w:color="auto"/>
          </w:divBdr>
        </w:div>
        <w:div w:id="1924992491">
          <w:marLeft w:val="640"/>
          <w:marRight w:val="0"/>
          <w:marTop w:val="0"/>
          <w:marBottom w:val="0"/>
          <w:divBdr>
            <w:top w:val="none" w:sz="0" w:space="0" w:color="auto"/>
            <w:left w:val="none" w:sz="0" w:space="0" w:color="auto"/>
            <w:bottom w:val="none" w:sz="0" w:space="0" w:color="auto"/>
            <w:right w:val="none" w:sz="0" w:space="0" w:color="auto"/>
          </w:divBdr>
        </w:div>
        <w:div w:id="1965034774">
          <w:marLeft w:val="640"/>
          <w:marRight w:val="0"/>
          <w:marTop w:val="0"/>
          <w:marBottom w:val="0"/>
          <w:divBdr>
            <w:top w:val="none" w:sz="0" w:space="0" w:color="auto"/>
            <w:left w:val="none" w:sz="0" w:space="0" w:color="auto"/>
            <w:bottom w:val="none" w:sz="0" w:space="0" w:color="auto"/>
            <w:right w:val="none" w:sz="0" w:space="0" w:color="auto"/>
          </w:divBdr>
        </w:div>
        <w:div w:id="1530801190">
          <w:marLeft w:val="640"/>
          <w:marRight w:val="0"/>
          <w:marTop w:val="0"/>
          <w:marBottom w:val="0"/>
          <w:divBdr>
            <w:top w:val="none" w:sz="0" w:space="0" w:color="auto"/>
            <w:left w:val="none" w:sz="0" w:space="0" w:color="auto"/>
            <w:bottom w:val="none" w:sz="0" w:space="0" w:color="auto"/>
            <w:right w:val="none" w:sz="0" w:space="0" w:color="auto"/>
          </w:divBdr>
        </w:div>
        <w:div w:id="431122475">
          <w:marLeft w:val="640"/>
          <w:marRight w:val="0"/>
          <w:marTop w:val="0"/>
          <w:marBottom w:val="0"/>
          <w:divBdr>
            <w:top w:val="none" w:sz="0" w:space="0" w:color="auto"/>
            <w:left w:val="none" w:sz="0" w:space="0" w:color="auto"/>
            <w:bottom w:val="none" w:sz="0" w:space="0" w:color="auto"/>
            <w:right w:val="none" w:sz="0" w:space="0" w:color="auto"/>
          </w:divBdr>
        </w:div>
        <w:div w:id="1380713224">
          <w:marLeft w:val="640"/>
          <w:marRight w:val="0"/>
          <w:marTop w:val="0"/>
          <w:marBottom w:val="0"/>
          <w:divBdr>
            <w:top w:val="none" w:sz="0" w:space="0" w:color="auto"/>
            <w:left w:val="none" w:sz="0" w:space="0" w:color="auto"/>
            <w:bottom w:val="none" w:sz="0" w:space="0" w:color="auto"/>
            <w:right w:val="none" w:sz="0" w:space="0" w:color="auto"/>
          </w:divBdr>
        </w:div>
        <w:div w:id="447939276">
          <w:marLeft w:val="640"/>
          <w:marRight w:val="0"/>
          <w:marTop w:val="0"/>
          <w:marBottom w:val="0"/>
          <w:divBdr>
            <w:top w:val="none" w:sz="0" w:space="0" w:color="auto"/>
            <w:left w:val="none" w:sz="0" w:space="0" w:color="auto"/>
            <w:bottom w:val="none" w:sz="0" w:space="0" w:color="auto"/>
            <w:right w:val="none" w:sz="0" w:space="0" w:color="auto"/>
          </w:divBdr>
        </w:div>
        <w:div w:id="38676578">
          <w:marLeft w:val="640"/>
          <w:marRight w:val="0"/>
          <w:marTop w:val="0"/>
          <w:marBottom w:val="0"/>
          <w:divBdr>
            <w:top w:val="none" w:sz="0" w:space="0" w:color="auto"/>
            <w:left w:val="none" w:sz="0" w:space="0" w:color="auto"/>
            <w:bottom w:val="none" w:sz="0" w:space="0" w:color="auto"/>
            <w:right w:val="none" w:sz="0" w:space="0" w:color="auto"/>
          </w:divBdr>
        </w:div>
        <w:div w:id="1644191934">
          <w:marLeft w:val="640"/>
          <w:marRight w:val="0"/>
          <w:marTop w:val="0"/>
          <w:marBottom w:val="0"/>
          <w:divBdr>
            <w:top w:val="none" w:sz="0" w:space="0" w:color="auto"/>
            <w:left w:val="none" w:sz="0" w:space="0" w:color="auto"/>
            <w:bottom w:val="none" w:sz="0" w:space="0" w:color="auto"/>
            <w:right w:val="none" w:sz="0" w:space="0" w:color="auto"/>
          </w:divBdr>
        </w:div>
        <w:div w:id="890193324">
          <w:marLeft w:val="640"/>
          <w:marRight w:val="0"/>
          <w:marTop w:val="0"/>
          <w:marBottom w:val="0"/>
          <w:divBdr>
            <w:top w:val="none" w:sz="0" w:space="0" w:color="auto"/>
            <w:left w:val="none" w:sz="0" w:space="0" w:color="auto"/>
            <w:bottom w:val="none" w:sz="0" w:space="0" w:color="auto"/>
            <w:right w:val="none" w:sz="0" w:space="0" w:color="auto"/>
          </w:divBdr>
        </w:div>
        <w:div w:id="432096144">
          <w:marLeft w:val="640"/>
          <w:marRight w:val="0"/>
          <w:marTop w:val="0"/>
          <w:marBottom w:val="0"/>
          <w:divBdr>
            <w:top w:val="none" w:sz="0" w:space="0" w:color="auto"/>
            <w:left w:val="none" w:sz="0" w:space="0" w:color="auto"/>
            <w:bottom w:val="none" w:sz="0" w:space="0" w:color="auto"/>
            <w:right w:val="none" w:sz="0" w:space="0" w:color="auto"/>
          </w:divBdr>
        </w:div>
        <w:div w:id="416948051">
          <w:marLeft w:val="640"/>
          <w:marRight w:val="0"/>
          <w:marTop w:val="0"/>
          <w:marBottom w:val="0"/>
          <w:divBdr>
            <w:top w:val="none" w:sz="0" w:space="0" w:color="auto"/>
            <w:left w:val="none" w:sz="0" w:space="0" w:color="auto"/>
            <w:bottom w:val="none" w:sz="0" w:space="0" w:color="auto"/>
            <w:right w:val="none" w:sz="0" w:space="0" w:color="auto"/>
          </w:divBdr>
        </w:div>
        <w:div w:id="1773893954">
          <w:marLeft w:val="640"/>
          <w:marRight w:val="0"/>
          <w:marTop w:val="0"/>
          <w:marBottom w:val="0"/>
          <w:divBdr>
            <w:top w:val="none" w:sz="0" w:space="0" w:color="auto"/>
            <w:left w:val="none" w:sz="0" w:space="0" w:color="auto"/>
            <w:bottom w:val="none" w:sz="0" w:space="0" w:color="auto"/>
            <w:right w:val="none" w:sz="0" w:space="0" w:color="auto"/>
          </w:divBdr>
        </w:div>
        <w:div w:id="306253274">
          <w:marLeft w:val="640"/>
          <w:marRight w:val="0"/>
          <w:marTop w:val="0"/>
          <w:marBottom w:val="0"/>
          <w:divBdr>
            <w:top w:val="none" w:sz="0" w:space="0" w:color="auto"/>
            <w:left w:val="none" w:sz="0" w:space="0" w:color="auto"/>
            <w:bottom w:val="none" w:sz="0" w:space="0" w:color="auto"/>
            <w:right w:val="none" w:sz="0" w:space="0" w:color="auto"/>
          </w:divBdr>
        </w:div>
        <w:div w:id="351762392">
          <w:marLeft w:val="640"/>
          <w:marRight w:val="0"/>
          <w:marTop w:val="0"/>
          <w:marBottom w:val="0"/>
          <w:divBdr>
            <w:top w:val="none" w:sz="0" w:space="0" w:color="auto"/>
            <w:left w:val="none" w:sz="0" w:space="0" w:color="auto"/>
            <w:bottom w:val="none" w:sz="0" w:space="0" w:color="auto"/>
            <w:right w:val="none" w:sz="0" w:space="0" w:color="auto"/>
          </w:divBdr>
        </w:div>
        <w:div w:id="576288308">
          <w:marLeft w:val="640"/>
          <w:marRight w:val="0"/>
          <w:marTop w:val="0"/>
          <w:marBottom w:val="0"/>
          <w:divBdr>
            <w:top w:val="none" w:sz="0" w:space="0" w:color="auto"/>
            <w:left w:val="none" w:sz="0" w:space="0" w:color="auto"/>
            <w:bottom w:val="none" w:sz="0" w:space="0" w:color="auto"/>
            <w:right w:val="none" w:sz="0" w:space="0" w:color="auto"/>
          </w:divBdr>
        </w:div>
        <w:div w:id="247345998">
          <w:marLeft w:val="640"/>
          <w:marRight w:val="0"/>
          <w:marTop w:val="0"/>
          <w:marBottom w:val="0"/>
          <w:divBdr>
            <w:top w:val="none" w:sz="0" w:space="0" w:color="auto"/>
            <w:left w:val="none" w:sz="0" w:space="0" w:color="auto"/>
            <w:bottom w:val="none" w:sz="0" w:space="0" w:color="auto"/>
            <w:right w:val="none" w:sz="0" w:space="0" w:color="auto"/>
          </w:divBdr>
        </w:div>
        <w:div w:id="520169190">
          <w:marLeft w:val="640"/>
          <w:marRight w:val="0"/>
          <w:marTop w:val="0"/>
          <w:marBottom w:val="0"/>
          <w:divBdr>
            <w:top w:val="none" w:sz="0" w:space="0" w:color="auto"/>
            <w:left w:val="none" w:sz="0" w:space="0" w:color="auto"/>
            <w:bottom w:val="none" w:sz="0" w:space="0" w:color="auto"/>
            <w:right w:val="none" w:sz="0" w:space="0" w:color="auto"/>
          </w:divBdr>
        </w:div>
        <w:div w:id="166330745">
          <w:marLeft w:val="640"/>
          <w:marRight w:val="0"/>
          <w:marTop w:val="0"/>
          <w:marBottom w:val="0"/>
          <w:divBdr>
            <w:top w:val="none" w:sz="0" w:space="0" w:color="auto"/>
            <w:left w:val="none" w:sz="0" w:space="0" w:color="auto"/>
            <w:bottom w:val="none" w:sz="0" w:space="0" w:color="auto"/>
            <w:right w:val="none" w:sz="0" w:space="0" w:color="auto"/>
          </w:divBdr>
        </w:div>
        <w:div w:id="1642348857">
          <w:marLeft w:val="640"/>
          <w:marRight w:val="0"/>
          <w:marTop w:val="0"/>
          <w:marBottom w:val="0"/>
          <w:divBdr>
            <w:top w:val="none" w:sz="0" w:space="0" w:color="auto"/>
            <w:left w:val="none" w:sz="0" w:space="0" w:color="auto"/>
            <w:bottom w:val="none" w:sz="0" w:space="0" w:color="auto"/>
            <w:right w:val="none" w:sz="0" w:space="0" w:color="auto"/>
          </w:divBdr>
        </w:div>
        <w:div w:id="1359162407">
          <w:marLeft w:val="640"/>
          <w:marRight w:val="0"/>
          <w:marTop w:val="0"/>
          <w:marBottom w:val="0"/>
          <w:divBdr>
            <w:top w:val="none" w:sz="0" w:space="0" w:color="auto"/>
            <w:left w:val="none" w:sz="0" w:space="0" w:color="auto"/>
            <w:bottom w:val="none" w:sz="0" w:space="0" w:color="auto"/>
            <w:right w:val="none" w:sz="0" w:space="0" w:color="auto"/>
          </w:divBdr>
        </w:div>
        <w:div w:id="2105295609">
          <w:marLeft w:val="640"/>
          <w:marRight w:val="0"/>
          <w:marTop w:val="0"/>
          <w:marBottom w:val="0"/>
          <w:divBdr>
            <w:top w:val="none" w:sz="0" w:space="0" w:color="auto"/>
            <w:left w:val="none" w:sz="0" w:space="0" w:color="auto"/>
            <w:bottom w:val="none" w:sz="0" w:space="0" w:color="auto"/>
            <w:right w:val="none" w:sz="0" w:space="0" w:color="auto"/>
          </w:divBdr>
        </w:div>
        <w:div w:id="1114060303">
          <w:marLeft w:val="640"/>
          <w:marRight w:val="0"/>
          <w:marTop w:val="0"/>
          <w:marBottom w:val="0"/>
          <w:divBdr>
            <w:top w:val="none" w:sz="0" w:space="0" w:color="auto"/>
            <w:left w:val="none" w:sz="0" w:space="0" w:color="auto"/>
            <w:bottom w:val="none" w:sz="0" w:space="0" w:color="auto"/>
            <w:right w:val="none" w:sz="0" w:space="0" w:color="auto"/>
          </w:divBdr>
        </w:div>
        <w:div w:id="1458523993">
          <w:marLeft w:val="640"/>
          <w:marRight w:val="0"/>
          <w:marTop w:val="0"/>
          <w:marBottom w:val="0"/>
          <w:divBdr>
            <w:top w:val="none" w:sz="0" w:space="0" w:color="auto"/>
            <w:left w:val="none" w:sz="0" w:space="0" w:color="auto"/>
            <w:bottom w:val="none" w:sz="0" w:space="0" w:color="auto"/>
            <w:right w:val="none" w:sz="0" w:space="0" w:color="auto"/>
          </w:divBdr>
        </w:div>
        <w:div w:id="2040154519">
          <w:marLeft w:val="640"/>
          <w:marRight w:val="0"/>
          <w:marTop w:val="0"/>
          <w:marBottom w:val="0"/>
          <w:divBdr>
            <w:top w:val="none" w:sz="0" w:space="0" w:color="auto"/>
            <w:left w:val="none" w:sz="0" w:space="0" w:color="auto"/>
            <w:bottom w:val="none" w:sz="0" w:space="0" w:color="auto"/>
            <w:right w:val="none" w:sz="0" w:space="0" w:color="auto"/>
          </w:divBdr>
        </w:div>
        <w:div w:id="1837531074">
          <w:marLeft w:val="640"/>
          <w:marRight w:val="0"/>
          <w:marTop w:val="0"/>
          <w:marBottom w:val="0"/>
          <w:divBdr>
            <w:top w:val="none" w:sz="0" w:space="0" w:color="auto"/>
            <w:left w:val="none" w:sz="0" w:space="0" w:color="auto"/>
            <w:bottom w:val="none" w:sz="0" w:space="0" w:color="auto"/>
            <w:right w:val="none" w:sz="0" w:space="0" w:color="auto"/>
          </w:divBdr>
        </w:div>
        <w:div w:id="1778208285">
          <w:marLeft w:val="640"/>
          <w:marRight w:val="0"/>
          <w:marTop w:val="0"/>
          <w:marBottom w:val="0"/>
          <w:divBdr>
            <w:top w:val="none" w:sz="0" w:space="0" w:color="auto"/>
            <w:left w:val="none" w:sz="0" w:space="0" w:color="auto"/>
            <w:bottom w:val="none" w:sz="0" w:space="0" w:color="auto"/>
            <w:right w:val="none" w:sz="0" w:space="0" w:color="auto"/>
          </w:divBdr>
        </w:div>
        <w:div w:id="1418986656">
          <w:marLeft w:val="640"/>
          <w:marRight w:val="0"/>
          <w:marTop w:val="0"/>
          <w:marBottom w:val="0"/>
          <w:divBdr>
            <w:top w:val="none" w:sz="0" w:space="0" w:color="auto"/>
            <w:left w:val="none" w:sz="0" w:space="0" w:color="auto"/>
            <w:bottom w:val="none" w:sz="0" w:space="0" w:color="auto"/>
            <w:right w:val="none" w:sz="0" w:space="0" w:color="auto"/>
          </w:divBdr>
        </w:div>
        <w:div w:id="488988068">
          <w:marLeft w:val="640"/>
          <w:marRight w:val="0"/>
          <w:marTop w:val="0"/>
          <w:marBottom w:val="0"/>
          <w:divBdr>
            <w:top w:val="none" w:sz="0" w:space="0" w:color="auto"/>
            <w:left w:val="none" w:sz="0" w:space="0" w:color="auto"/>
            <w:bottom w:val="none" w:sz="0" w:space="0" w:color="auto"/>
            <w:right w:val="none" w:sz="0" w:space="0" w:color="auto"/>
          </w:divBdr>
        </w:div>
        <w:div w:id="959726374">
          <w:marLeft w:val="640"/>
          <w:marRight w:val="0"/>
          <w:marTop w:val="0"/>
          <w:marBottom w:val="0"/>
          <w:divBdr>
            <w:top w:val="none" w:sz="0" w:space="0" w:color="auto"/>
            <w:left w:val="none" w:sz="0" w:space="0" w:color="auto"/>
            <w:bottom w:val="none" w:sz="0" w:space="0" w:color="auto"/>
            <w:right w:val="none" w:sz="0" w:space="0" w:color="auto"/>
          </w:divBdr>
        </w:div>
        <w:div w:id="653918220">
          <w:marLeft w:val="640"/>
          <w:marRight w:val="0"/>
          <w:marTop w:val="0"/>
          <w:marBottom w:val="0"/>
          <w:divBdr>
            <w:top w:val="none" w:sz="0" w:space="0" w:color="auto"/>
            <w:left w:val="none" w:sz="0" w:space="0" w:color="auto"/>
            <w:bottom w:val="none" w:sz="0" w:space="0" w:color="auto"/>
            <w:right w:val="none" w:sz="0" w:space="0" w:color="auto"/>
          </w:divBdr>
        </w:div>
        <w:div w:id="1135879103">
          <w:marLeft w:val="640"/>
          <w:marRight w:val="0"/>
          <w:marTop w:val="0"/>
          <w:marBottom w:val="0"/>
          <w:divBdr>
            <w:top w:val="none" w:sz="0" w:space="0" w:color="auto"/>
            <w:left w:val="none" w:sz="0" w:space="0" w:color="auto"/>
            <w:bottom w:val="none" w:sz="0" w:space="0" w:color="auto"/>
            <w:right w:val="none" w:sz="0" w:space="0" w:color="auto"/>
          </w:divBdr>
        </w:div>
        <w:div w:id="951396375">
          <w:marLeft w:val="640"/>
          <w:marRight w:val="0"/>
          <w:marTop w:val="0"/>
          <w:marBottom w:val="0"/>
          <w:divBdr>
            <w:top w:val="none" w:sz="0" w:space="0" w:color="auto"/>
            <w:left w:val="none" w:sz="0" w:space="0" w:color="auto"/>
            <w:bottom w:val="none" w:sz="0" w:space="0" w:color="auto"/>
            <w:right w:val="none" w:sz="0" w:space="0" w:color="auto"/>
          </w:divBdr>
        </w:div>
        <w:div w:id="735202294">
          <w:marLeft w:val="640"/>
          <w:marRight w:val="0"/>
          <w:marTop w:val="0"/>
          <w:marBottom w:val="0"/>
          <w:divBdr>
            <w:top w:val="none" w:sz="0" w:space="0" w:color="auto"/>
            <w:left w:val="none" w:sz="0" w:space="0" w:color="auto"/>
            <w:bottom w:val="none" w:sz="0" w:space="0" w:color="auto"/>
            <w:right w:val="none" w:sz="0" w:space="0" w:color="auto"/>
          </w:divBdr>
        </w:div>
        <w:div w:id="462357225">
          <w:marLeft w:val="640"/>
          <w:marRight w:val="0"/>
          <w:marTop w:val="0"/>
          <w:marBottom w:val="0"/>
          <w:divBdr>
            <w:top w:val="none" w:sz="0" w:space="0" w:color="auto"/>
            <w:left w:val="none" w:sz="0" w:space="0" w:color="auto"/>
            <w:bottom w:val="none" w:sz="0" w:space="0" w:color="auto"/>
            <w:right w:val="none" w:sz="0" w:space="0" w:color="auto"/>
          </w:divBdr>
        </w:div>
        <w:div w:id="979378804">
          <w:marLeft w:val="640"/>
          <w:marRight w:val="0"/>
          <w:marTop w:val="0"/>
          <w:marBottom w:val="0"/>
          <w:divBdr>
            <w:top w:val="none" w:sz="0" w:space="0" w:color="auto"/>
            <w:left w:val="none" w:sz="0" w:space="0" w:color="auto"/>
            <w:bottom w:val="none" w:sz="0" w:space="0" w:color="auto"/>
            <w:right w:val="none" w:sz="0" w:space="0" w:color="auto"/>
          </w:divBdr>
        </w:div>
        <w:div w:id="2060321641">
          <w:marLeft w:val="640"/>
          <w:marRight w:val="0"/>
          <w:marTop w:val="0"/>
          <w:marBottom w:val="0"/>
          <w:divBdr>
            <w:top w:val="none" w:sz="0" w:space="0" w:color="auto"/>
            <w:left w:val="none" w:sz="0" w:space="0" w:color="auto"/>
            <w:bottom w:val="none" w:sz="0" w:space="0" w:color="auto"/>
            <w:right w:val="none" w:sz="0" w:space="0" w:color="auto"/>
          </w:divBdr>
        </w:div>
        <w:div w:id="572741740">
          <w:marLeft w:val="640"/>
          <w:marRight w:val="0"/>
          <w:marTop w:val="0"/>
          <w:marBottom w:val="0"/>
          <w:divBdr>
            <w:top w:val="none" w:sz="0" w:space="0" w:color="auto"/>
            <w:left w:val="none" w:sz="0" w:space="0" w:color="auto"/>
            <w:bottom w:val="none" w:sz="0" w:space="0" w:color="auto"/>
            <w:right w:val="none" w:sz="0" w:space="0" w:color="auto"/>
          </w:divBdr>
        </w:div>
        <w:div w:id="844899575">
          <w:marLeft w:val="640"/>
          <w:marRight w:val="0"/>
          <w:marTop w:val="0"/>
          <w:marBottom w:val="0"/>
          <w:divBdr>
            <w:top w:val="none" w:sz="0" w:space="0" w:color="auto"/>
            <w:left w:val="none" w:sz="0" w:space="0" w:color="auto"/>
            <w:bottom w:val="none" w:sz="0" w:space="0" w:color="auto"/>
            <w:right w:val="none" w:sz="0" w:space="0" w:color="auto"/>
          </w:divBdr>
        </w:div>
        <w:div w:id="433869495">
          <w:marLeft w:val="640"/>
          <w:marRight w:val="0"/>
          <w:marTop w:val="0"/>
          <w:marBottom w:val="0"/>
          <w:divBdr>
            <w:top w:val="none" w:sz="0" w:space="0" w:color="auto"/>
            <w:left w:val="none" w:sz="0" w:space="0" w:color="auto"/>
            <w:bottom w:val="none" w:sz="0" w:space="0" w:color="auto"/>
            <w:right w:val="none" w:sz="0" w:space="0" w:color="auto"/>
          </w:divBdr>
        </w:div>
        <w:div w:id="759983888">
          <w:marLeft w:val="640"/>
          <w:marRight w:val="0"/>
          <w:marTop w:val="0"/>
          <w:marBottom w:val="0"/>
          <w:divBdr>
            <w:top w:val="none" w:sz="0" w:space="0" w:color="auto"/>
            <w:left w:val="none" w:sz="0" w:space="0" w:color="auto"/>
            <w:bottom w:val="none" w:sz="0" w:space="0" w:color="auto"/>
            <w:right w:val="none" w:sz="0" w:space="0" w:color="auto"/>
          </w:divBdr>
        </w:div>
        <w:div w:id="1941722628">
          <w:marLeft w:val="640"/>
          <w:marRight w:val="0"/>
          <w:marTop w:val="0"/>
          <w:marBottom w:val="0"/>
          <w:divBdr>
            <w:top w:val="none" w:sz="0" w:space="0" w:color="auto"/>
            <w:left w:val="none" w:sz="0" w:space="0" w:color="auto"/>
            <w:bottom w:val="none" w:sz="0" w:space="0" w:color="auto"/>
            <w:right w:val="none" w:sz="0" w:space="0" w:color="auto"/>
          </w:divBdr>
        </w:div>
        <w:div w:id="1151754283">
          <w:marLeft w:val="640"/>
          <w:marRight w:val="0"/>
          <w:marTop w:val="0"/>
          <w:marBottom w:val="0"/>
          <w:divBdr>
            <w:top w:val="none" w:sz="0" w:space="0" w:color="auto"/>
            <w:left w:val="none" w:sz="0" w:space="0" w:color="auto"/>
            <w:bottom w:val="none" w:sz="0" w:space="0" w:color="auto"/>
            <w:right w:val="none" w:sz="0" w:space="0" w:color="auto"/>
          </w:divBdr>
        </w:div>
        <w:div w:id="478158603">
          <w:marLeft w:val="640"/>
          <w:marRight w:val="0"/>
          <w:marTop w:val="0"/>
          <w:marBottom w:val="0"/>
          <w:divBdr>
            <w:top w:val="none" w:sz="0" w:space="0" w:color="auto"/>
            <w:left w:val="none" w:sz="0" w:space="0" w:color="auto"/>
            <w:bottom w:val="none" w:sz="0" w:space="0" w:color="auto"/>
            <w:right w:val="none" w:sz="0" w:space="0" w:color="auto"/>
          </w:divBdr>
        </w:div>
        <w:div w:id="1214929843">
          <w:marLeft w:val="640"/>
          <w:marRight w:val="0"/>
          <w:marTop w:val="0"/>
          <w:marBottom w:val="0"/>
          <w:divBdr>
            <w:top w:val="none" w:sz="0" w:space="0" w:color="auto"/>
            <w:left w:val="none" w:sz="0" w:space="0" w:color="auto"/>
            <w:bottom w:val="none" w:sz="0" w:space="0" w:color="auto"/>
            <w:right w:val="none" w:sz="0" w:space="0" w:color="auto"/>
          </w:divBdr>
        </w:div>
        <w:div w:id="110827424">
          <w:marLeft w:val="640"/>
          <w:marRight w:val="0"/>
          <w:marTop w:val="0"/>
          <w:marBottom w:val="0"/>
          <w:divBdr>
            <w:top w:val="none" w:sz="0" w:space="0" w:color="auto"/>
            <w:left w:val="none" w:sz="0" w:space="0" w:color="auto"/>
            <w:bottom w:val="none" w:sz="0" w:space="0" w:color="auto"/>
            <w:right w:val="none" w:sz="0" w:space="0" w:color="auto"/>
          </w:divBdr>
        </w:div>
        <w:div w:id="1114179662">
          <w:marLeft w:val="640"/>
          <w:marRight w:val="0"/>
          <w:marTop w:val="0"/>
          <w:marBottom w:val="0"/>
          <w:divBdr>
            <w:top w:val="none" w:sz="0" w:space="0" w:color="auto"/>
            <w:left w:val="none" w:sz="0" w:space="0" w:color="auto"/>
            <w:bottom w:val="none" w:sz="0" w:space="0" w:color="auto"/>
            <w:right w:val="none" w:sz="0" w:space="0" w:color="auto"/>
          </w:divBdr>
        </w:div>
        <w:div w:id="1513296173">
          <w:marLeft w:val="640"/>
          <w:marRight w:val="0"/>
          <w:marTop w:val="0"/>
          <w:marBottom w:val="0"/>
          <w:divBdr>
            <w:top w:val="none" w:sz="0" w:space="0" w:color="auto"/>
            <w:left w:val="none" w:sz="0" w:space="0" w:color="auto"/>
            <w:bottom w:val="none" w:sz="0" w:space="0" w:color="auto"/>
            <w:right w:val="none" w:sz="0" w:space="0" w:color="auto"/>
          </w:divBdr>
        </w:div>
        <w:div w:id="1591306629">
          <w:marLeft w:val="640"/>
          <w:marRight w:val="0"/>
          <w:marTop w:val="0"/>
          <w:marBottom w:val="0"/>
          <w:divBdr>
            <w:top w:val="none" w:sz="0" w:space="0" w:color="auto"/>
            <w:left w:val="none" w:sz="0" w:space="0" w:color="auto"/>
            <w:bottom w:val="none" w:sz="0" w:space="0" w:color="auto"/>
            <w:right w:val="none" w:sz="0" w:space="0" w:color="auto"/>
          </w:divBdr>
        </w:div>
        <w:div w:id="479658601">
          <w:marLeft w:val="640"/>
          <w:marRight w:val="0"/>
          <w:marTop w:val="0"/>
          <w:marBottom w:val="0"/>
          <w:divBdr>
            <w:top w:val="none" w:sz="0" w:space="0" w:color="auto"/>
            <w:left w:val="none" w:sz="0" w:space="0" w:color="auto"/>
            <w:bottom w:val="none" w:sz="0" w:space="0" w:color="auto"/>
            <w:right w:val="none" w:sz="0" w:space="0" w:color="auto"/>
          </w:divBdr>
        </w:div>
        <w:div w:id="713306860">
          <w:marLeft w:val="640"/>
          <w:marRight w:val="0"/>
          <w:marTop w:val="0"/>
          <w:marBottom w:val="0"/>
          <w:divBdr>
            <w:top w:val="none" w:sz="0" w:space="0" w:color="auto"/>
            <w:left w:val="none" w:sz="0" w:space="0" w:color="auto"/>
            <w:bottom w:val="none" w:sz="0" w:space="0" w:color="auto"/>
            <w:right w:val="none" w:sz="0" w:space="0" w:color="auto"/>
          </w:divBdr>
        </w:div>
        <w:div w:id="95056785">
          <w:marLeft w:val="640"/>
          <w:marRight w:val="0"/>
          <w:marTop w:val="0"/>
          <w:marBottom w:val="0"/>
          <w:divBdr>
            <w:top w:val="none" w:sz="0" w:space="0" w:color="auto"/>
            <w:left w:val="none" w:sz="0" w:space="0" w:color="auto"/>
            <w:bottom w:val="none" w:sz="0" w:space="0" w:color="auto"/>
            <w:right w:val="none" w:sz="0" w:space="0" w:color="auto"/>
          </w:divBdr>
        </w:div>
        <w:div w:id="1112093179">
          <w:marLeft w:val="640"/>
          <w:marRight w:val="0"/>
          <w:marTop w:val="0"/>
          <w:marBottom w:val="0"/>
          <w:divBdr>
            <w:top w:val="none" w:sz="0" w:space="0" w:color="auto"/>
            <w:left w:val="none" w:sz="0" w:space="0" w:color="auto"/>
            <w:bottom w:val="none" w:sz="0" w:space="0" w:color="auto"/>
            <w:right w:val="none" w:sz="0" w:space="0" w:color="auto"/>
          </w:divBdr>
        </w:div>
        <w:div w:id="671879989">
          <w:marLeft w:val="640"/>
          <w:marRight w:val="0"/>
          <w:marTop w:val="0"/>
          <w:marBottom w:val="0"/>
          <w:divBdr>
            <w:top w:val="none" w:sz="0" w:space="0" w:color="auto"/>
            <w:left w:val="none" w:sz="0" w:space="0" w:color="auto"/>
            <w:bottom w:val="none" w:sz="0" w:space="0" w:color="auto"/>
            <w:right w:val="none" w:sz="0" w:space="0" w:color="auto"/>
          </w:divBdr>
        </w:div>
        <w:div w:id="1994482004">
          <w:marLeft w:val="640"/>
          <w:marRight w:val="0"/>
          <w:marTop w:val="0"/>
          <w:marBottom w:val="0"/>
          <w:divBdr>
            <w:top w:val="none" w:sz="0" w:space="0" w:color="auto"/>
            <w:left w:val="none" w:sz="0" w:space="0" w:color="auto"/>
            <w:bottom w:val="none" w:sz="0" w:space="0" w:color="auto"/>
            <w:right w:val="none" w:sz="0" w:space="0" w:color="auto"/>
          </w:divBdr>
        </w:div>
        <w:div w:id="903757651">
          <w:marLeft w:val="640"/>
          <w:marRight w:val="0"/>
          <w:marTop w:val="0"/>
          <w:marBottom w:val="0"/>
          <w:divBdr>
            <w:top w:val="none" w:sz="0" w:space="0" w:color="auto"/>
            <w:left w:val="none" w:sz="0" w:space="0" w:color="auto"/>
            <w:bottom w:val="none" w:sz="0" w:space="0" w:color="auto"/>
            <w:right w:val="none" w:sz="0" w:space="0" w:color="auto"/>
          </w:divBdr>
        </w:div>
        <w:div w:id="48967570">
          <w:marLeft w:val="640"/>
          <w:marRight w:val="0"/>
          <w:marTop w:val="0"/>
          <w:marBottom w:val="0"/>
          <w:divBdr>
            <w:top w:val="none" w:sz="0" w:space="0" w:color="auto"/>
            <w:left w:val="none" w:sz="0" w:space="0" w:color="auto"/>
            <w:bottom w:val="none" w:sz="0" w:space="0" w:color="auto"/>
            <w:right w:val="none" w:sz="0" w:space="0" w:color="auto"/>
          </w:divBdr>
        </w:div>
        <w:div w:id="1554072552">
          <w:marLeft w:val="640"/>
          <w:marRight w:val="0"/>
          <w:marTop w:val="0"/>
          <w:marBottom w:val="0"/>
          <w:divBdr>
            <w:top w:val="none" w:sz="0" w:space="0" w:color="auto"/>
            <w:left w:val="none" w:sz="0" w:space="0" w:color="auto"/>
            <w:bottom w:val="none" w:sz="0" w:space="0" w:color="auto"/>
            <w:right w:val="none" w:sz="0" w:space="0" w:color="auto"/>
          </w:divBdr>
        </w:div>
        <w:div w:id="1483546371">
          <w:marLeft w:val="640"/>
          <w:marRight w:val="0"/>
          <w:marTop w:val="0"/>
          <w:marBottom w:val="0"/>
          <w:divBdr>
            <w:top w:val="none" w:sz="0" w:space="0" w:color="auto"/>
            <w:left w:val="none" w:sz="0" w:space="0" w:color="auto"/>
            <w:bottom w:val="none" w:sz="0" w:space="0" w:color="auto"/>
            <w:right w:val="none" w:sz="0" w:space="0" w:color="auto"/>
          </w:divBdr>
        </w:div>
        <w:div w:id="896746206">
          <w:marLeft w:val="640"/>
          <w:marRight w:val="0"/>
          <w:marTop w:val="0"/>
          <w:marBottom w:val="0"/>
          <w:divBdr>
            <w:top w:val="none" w:sz="0" w:space="0" w:color="auto"/>
            <w:left w:val="none" w:sz="0" w:space="0" w:color="auto"/>
            <w:bottom w:val="none" w:sz="0" w:space="0" w:color="auto"/>
            <w:right w:val="none" w:sz="0" w:space="0" w:color="auto"/>
          </w:divBdr>
        </w:div>
        <w:div w:id="356467002">
          <w:marLeft w:val="640"/>
          <w:marRight w:val="0"/>
          <w:marTop w:val="0"/>
          <w:marBottom w:val="0"/>
          <w:divBdr>
            <w:top w:val="none" w:sz="0" w:space="0" w:color="auto"/>
            <w:left w:val="none" w:sz="0" w:space="0" w:color="auto"/>
            <w:bottom w:val="none" w:sz="0" w:space="0" w:color="auto"/>
            <w:right w:val="none" w:sz="0" w:space="0" w:color="auto"/>
          </w:divBdr>
        </w:div>
        <w:div w:id="646783710">
          <w:marLeft w:val="640"/>
          <w:marRight w:val="0"/>
          <w:marTop w:val="0"/>
          <w:marBottom w:val="0"/>
          <w:divBdr>
            <w:top w:val="none" w:sz="0" w:space="0" w:color="auto"/>
            <w:left w:val="none" w:sz="0" w:space="0" w:color="auto"/>
            <w:bottom w:val="none" w:sz="0" w:space="0" w:color="auto"/>
            <w:right w:val="none" w:sz="0" w:space="0" w:color="auto"/>
          </w:divBdr>
        </w:div>
        <w:div w:id="1346975554">
          <w:marLeft w:val="640"/>
          <w:marRight w:val="0"/>
          <w:marTop w:val="0"/>
          <w:marBottom w:val="0"/>
          <w:divBdr>
            <w:top w:val="none" w:sz="0" w:space="0" w:color="auto"/>
            <w:left w:val="none" w:sz="0" w:space="0" w:color="auto"/>
            <w:bottom w:val="none" w:sz="0" w:space="0" w:color="auto"/>
            <w:right w:val="none" w:sz="0" w:space="0" w:color="auto"/>
          </w:divBdr>
        </w:div>
        <w:div w:id="2060325391">
          <w:marLeft w:val="640"/>
          <w:marRight w:val="0"/>
          <w:marTop w:val="0"/>
          <w:marBottom w:val="0"/>
          <w:divBdr>
            <w:top w:val="none" w:sz="0" w:space="0" w:color="auto"/>
            <w:left w:val="none" w:sz="0" w:space="0" w:color="auto"/>
            <w:bottom w:val="none" w:sz="0" w:space="0" w:color="auto"/>
            <w:right w:val="none" w:sz="0" w:space="0" w:color="auto"/>
          </w:divBdr>
        </w:div>
        <w:div w:id="1186286419">
          <w:marLeft w:val="640"/>
          <w:marRight w:val="0"/>
          <w:marTop w:val="0"/>
          <w:marBottom w:val="0"/>
          <w:divBdr>
            <w:top w:val="none" w:sz="0" w:space="0" w:color="auto"/>
            <w:left w:val="none" w:sz="0" w:space="0" w:color="auto"/>
            <w:bottom w:val="none" w:sz="0" w:space="0" w:color="auto"/>
            <w:right w:val="none" w:sz="0" w:space="0" w:color="auto"/>
          </w:divBdr>
        </w:div>
        <w:div w:id="1785463685">
          <w:marLeft w:val="640"/>
          <w:marRight w:val="0"/>
          <w:marTop w:val="0"/>
          <w:marBottom w:val="0"/>
          <w:divBdr>
            <w:top w:val="none" w:sz="0" w:space="0" w:color="auto"/>
            <w:left w:val="none" w:sz="0" w:space="0" w:color="auto"/>
            <w:bottom w:val="none" w:sz="0" w:space="0" w:color="auto"/>
            <w:right w:val="none" w:sz="0" w:space="0" w:color="auto"/>
          </w:divBdr>
        </w:div>
        <w:div w:id="228007015">
          <w:marLeft w:val="640"/>
          <w:marRight w:val="0"/>
          <w:marTop w:val="0"/>
          <w:marBottom w:val="0"/>
          <w:divBdr>
            <w:top w:val="none" w:sz="0" w:space="0" w:color="auto"/>
            <w:left w:val="none" w:sz="0" w:space="0" w:color="auto"/>
            <w:bottom w:val="none" w:sz="0" w:space="0" w:color="auto"/>
            <w:right w:val="none" w:sz="0" w:space="0" w:color="auto"/>
          </w:divBdr>
        </w:div>
        <w:div w:id="1380477491">
          <w:marLeft w:val="640"/>
          <w:marRight w:val="0"/>
          <w:marTop w:val="0"/>
          <w:marBottom w:val="0"/>
          <w:divBdr>
            <w:top w:val="none" w:sz="0" w:space="0" w:color="auto"/>
            <w:left w:val="none" w:sz="0" w:space="0" w:color="auto"/>
            <w:bottom w:val="none" w:sz="0" w:space="0" w:color="auto"/>
            <w:right w:val="none" w:sz="0" w:space="0" w:color="auto"/>
          </w:divBdr>
        </w:div>
        <w:div w:id="1300963095">
          <w:marLeft w:val="640"/>
          <w:marRight w:val="0"/>
          <w:marTop w:val="0"/>
          <w:marBottom w:val="0"/>
          <w:divBdr>
            <w:top w:val="none" w:sz="0" w:space="0" w:color="auto"/>
            <w:left w:val="none" w:sz="0" w:space="0" w:color="auto"/>
            <w:bottom w:val="none" w:sz="0" w:space="0" w:color="auto"/>
            <w:right w:val="none" w:sz="0" w:space="0" w:color="auto"/>
          </w:divBdr>
        </w:div>
        <w:div w:id="1333754576">
          <w:marLeft w:val="640"/>
          <w:marRight w:val="0"/>
          <w:marTop w:val="0"/>
          <w:marBottom w:val="0"/>
          <w:divBdr>
            <w:top w:val="none" w:sz="0" w:space="0" w:color="auto"/>
            <w:left w:val="none" w:sz="0" w:space="0" w:color="auto"/>
            <w:bottom w:val="none" w:sz="0" w:space="0" w:color="auto"/>
            <w:right w:val="none" w:sz="0" w:space="0" w:color="auto"/>
          </w:divBdr>
        </w:div>
        <w:div w:id="1924870877">
          <w:marLeft w:val="640"/>
          <w:marRight w:val="0"/>
          <w:marTop w:val="0"/>
          <w:marBottom w:val="0"/>
          <w:divBdr>
            <w:top w:val="none" w:sz="0" w:space="0" w:color="auto"/>
            <w:left w:val="none" w:sz="0" w:space="0" w:color="auto"/>
            <w:bottom w:val="none" w:sz="0" w:space="0" w:color="auto"/>
            <w:right w:val="none" w:sz="0" w:space="0" w:color="auto"/>
          </w:divBdr>
        </w:div>
        <w:div w:id="1972127045">
          <w:marLeft w:val="640"/>
          <w:marRight w:val="0"/>
          <w:marTop w:val="0"/>
          <w:marBottom w:val="0"/>
          <w:divBdr>
            <w:top w:val="none" w:sz="0" w:space="0" w:color="auto"/>
            <w:left w:val="none" w:sz="0" w:space="0" w:color="auto"/>
            <w:bottom w:val="none" w:sz="0" w:space="0" w:color="auto"/>
            <w:right w:val="none" w:sz="0" w:space="0" w:color="auto"/>
          </w:divBdr>
        </w:div>
        <w:div w:id="112990802">
          <w:marLeft w:val="640"/>
          <w:marRight w:val="0"/>
          <w:marTop w:val="0"/>
          <w:marBottom w:val="0"/>
          <w:divBdr>
            <w:top w:val="none" w:sz="0" w:space="0" w:color="auto"/>
            <w:left w:val="none" w:sz="0" w:space="0" w:color="auto"/>
            <w:bottom w:val="none" w:sz="0" w:space="0" w:color="auto"/>
            <w:right w:val="none" w:sz="0" w:space="0" w:color="auto"/>
          </w:divBdr>
        </w:div>
        <w:div w:id="349766961">
          <w:marLeft w:val="640"/>
          <w:marRight w:val="0"/>
          <w:marTop w:val="0"/>
          <w:marBottom w:val="0"/>
          <w:divBdr>
            <w:top w:val="none" w:sz="0" w:space="0" w:color="auto"/>
            <w:left w:val="none" w:sz="0" w:space="0" w:color="auto"/>
            <w:bottom w:val="none" w:sz="0" w:space="0" w:color="auto"/>
            <w:right w:val="none" w:sz="0" w:space="0" w:color="auto"/>
          </w:divBdr>
        </w:div>
        <w:div w:id="944386529">
          <w:marLeft w:val="640"/>
          <w:marRight w:val="0"/>
          <w:marTop w:val="0"/>
          <w:marBottom w:val="0"/>
          <w:divBdr>
            <w:top w:val="none" w:sz="0" w:space="0" w:color="auto"/>
            <w:left w:val="none" w:sz="0" w:space="0" w:color="auto"/>
            <w:bottom w:val="none" w:sz="0" w:space="0" w:color="auto"/>
            <w:right w:val="none" w:sz="0" w:space="0" w:color="auto"/>
          </w:divBdr>
        </w:div>
        <w:div w:id="1113135994">
          <w:marLeft w:val="640"/>
          <w:marRight w:val="0"/>
          <w:marTop w:val="0"/>
          <w:marBottom w:val="0"/>
          <w:divBdr>
            <w:top w:val="none" w:sz="0" w:space="0" w:color="auto"/>
            <w:left w:val="none" w:sz="0" w:space="0" w:color="auto"/>
            <w:bottom w:val="none" w:sz="0" w:space="0" w:color="auto"/>
            <w:right w:val="none" w:sz="0" w:space="0" w:color="auto"/>
          </w:divBdr>
        </w:div>
        <w:div w:id="853999998">
          <w:marLeft w:val="640"/>
          <w:marRight w:val="0"/>
          <w:marTop w:val="0"/>
          <w:marBottom w:val="0"/>
          <w:divBdr>
            <w:top w:val="none" w:sz="0" w:space="0" w:color="auto"/>
            <w:left w:val="none" w:sz="0" w:space="0" w:color="auto"/>
            <w:bottom w:val="none" w:sz="0" w:space="0" w:color="auto"/>
            <w:right w:val="none" w:sz="0" w:space="0" w:color="auto"/>
          </w:divBdr>
        </w:div>
        <w:div w:id="1074812791">
          <w:marLeft w:val="640"/>
          <w:marRight w:val="0"/>
          <w:marTop w:val="0"/>
          <w:marBottom w:val="0"/>
          <w:divBdr>
            <w:top w:val="none" w:sz="0" w:space="0" w:color="auto"/>
            <w:left w:val="none" w:sz="0" w:space="0" w:color="auto"/>
            <w:bottom w:val="none" w:sz="0" w:space="0" w:color="auto"/>
            <w:right w:val="none" w:sz="0" w:space="0" w:color="auto"/>
          </w:divBdr>
        </w:div>
        <w:div w:id="332073348">
          <w:marLeft w:val="640"/>
          <w:marRight w:val="0"/>
          <w:marTop w:val="0"/>
          <w:marBottom w:val="0"/>
          <w:divBdr>
            <w:top w:val="none" w:sz="0" w:space="0" w:color="auto"/>
            <w:left w:val="none" w:sz="0" w:space="0" w:color="auto"/>
            <w:bottom w:val="none" w:sz="0" w:space="0" w:color="auto"/>
            <w:right w:val="none" w:sz="0" w:space="0" w:color="auto"/>
          </w:divBdr>
        </w:div>
        <w:div w:id="269435351">
          <w:marLeft w:val="640"/>
          <w:marRight w:val="0"/>
          <w:marTop w:val="0"/>
          <w:marBottom w:val="0"/>
          <w:divBdr>
            <w:top w:val="none" w:sz="0" w:space="0" w:color="auto"/>
            <w:left w:val="none" w:sz="0" w:space="0" w:color="auto"/>
            <w:bottom w:val="none" w:sz="0" w:space="0" w:color="auto"/>
            <w:right w:val="none" w:sz="0" w:space="0" w:color="auto"/>
          </w:divBdr>
        </w:div>
        <w:div w:id="275142373">
          <w:marLeft w:val="640"/>
          <w:marRight w:val="0"/>
          <w:marTop w:val="0"/>
          <w:marBottom w:val="0"/>
          <w:divBdr>
            <w:top w:val="none" w:sz="0" w:space="0" w:color="auto"/>
            <w:left w:val="none" w:sz="0" w:space="0" w:color="auto"/>
            <w:bottom w:val="none" w:sz="0" w:space="0" w:color="auto"/>
            <w:right w:val="none" w:sz="0" w:space="0" w:color="auto"/>
          </w:divBdr>
        </w:div>
        <w:div w:id="48193059">
          <w:marLeft w:val="640"/>
          <w:marRight w:val="0"/>
          <w:marTop w:val="0"/>
          <w:marBottom w:val="0"/>
          <w:divBdr>
            <w:top w:val="none" w:sz="0" w:space="0" w:color="auto"/>
            <w:left w:val="none" w:sz="0" w:space="0" w:color="auto"/>
            <w:bottom w:val="none" w:sz="0" w:space="0" w:color="auto"/>
            <w:right w:val="none" w:sz="0" w:space="0" w:color="auto"/>
          </w:divBdr>
        </w:div>
        <w:div w:id="393895901">
          <w:marLeft w:val="640"/>
          <w:marRight w:val="0"/>
          <w:marTop w:val="0"/>
          <w:marBottom w:val="0"/>
          <w:divBdr>
            <w:top w:val="none" w:sz="0" w:space="0" w:color="auto"/>
            <w:left w:val="none" w:sz="0" w:space="0" w:color="auto"/>
            <w:bottom w:val="none" w:sz="0" w:space="0" w:color="auto"/>
            <w:right w:val="none" w:sz="0" w:space="0" w:color="auto"/>
          </w:divBdr>
        </w:div>
        <w:div w:id="128861728">
          <w:marLeft w:val="640"/>
          <w:marRight w:val="0"/>
          <w:marTop w:val="0"/>
          <w:marBottom w:val="0"/>
          <w:divBdr>
            <w:top w:val="none" w:sz="0" w:space="0" w:color="auto"/>
            <w:left w:val="none" w:sz="0" w:space="0" w:color="auto"/>
            <w:bottom w:val="none" w:sz="0" w:space="0" w:color="auto"/>
            <w:right w:val="none" w:sz="0" w:space="0" w:color="auto"/>
          </w:divBdr>
        </w:div>
        <w:div w:id="302273367">
          <w:marLeft w:val="640"/>
          <w:marRight w:val="0"/>
          <w:marTop w:val="0"/>
          <w:marBottom w:val="0"/>
          <w:divBdr>
            <w:top w:val="none" w:sz="0" w:space="0" w:color="auto"/>
            <w:left w:val="none" w:sz="0" w:space="0" w:color="auto"/>
            <w:bottom w:val="none" w:sz="0" w:space="0" w:color="auto"/>
            <w:right w:val="none" w:sz="0" w:space="0" w:color="auto"/>
          </w:divBdr>
        </w:div>
        <w:div w:id="416295626">
          <w:marLeft w:val="640"/>
          <w:marRight w:val="0"/>
          <w:marTop w:val="0"/>
          <w:marBottom w:val="0"/>
          <w:divBdr>
            <w:top w:val="none" w:sz="0" w:space="0" w:color="auto"/>
            <w:left w:val="none" w:sz="0" w:space="0" w:color="auto"/>
            <w:bottom w:val="none" w:sz="0" w:space="0" w:color="auto"/>
            <w:right w:val="none" w:sz="0" w:space="0" w:color="auto"/>
          </w:divBdr>
        </w:div>
        <w:div w:id="1558055327">
          <w:marLeft w:val="640"/>
          <w:marRight w:val="0"/>
          <w:marTop w:val="0"/>
          <w:marBottom w:val="0"/>
          <w:divBdr>
            <w:top w:val="none" w:sz="0" w:space="0" w:color="auto"/>
            <w:left w:val="none" w:sz="0" w:space="0" w:color="auto"/>
            <w:bottom w:val="none" w:sz="0" w:space="0" w:color="auto"/>
            <w:right w:val="none" w:sz="0" w:space="0" w:color="auto"/>
          </w:divBdr>
        </w:div>
        <w:div w:id="1862359412">
          <w:marLeft w:val="640"/>
          <w:marRight w:val="0"/>
          <w:marTop w:val="0"/>
          <w:marBottom w:val="0"/>
          <w:divBdr>
            <w:top w:val="none" w:sz="0" w:space="0" w:color="auto"/>
            <w:left w:val="none" w:sz="0" w:space="0" w:color="auto"/>
            <w:bottom w:val="none" w:sz="0" w:space="0" w:color="auto"/>
            <w:right w:val="none" w:sz="0" w:space="0" w:color="auto"/>
          </w:divBdr>
        </w:div>
        <w:div w:id="1739206820">
          <w:marLeft w:val="640"/>
          <w:marRight w:val="0"/>
          <w:marTop w:val="0"/>
          <w:marBottom w:val="0"/>
          <w:divBdr>
            <w:top w:val="none" w:sz="0" w:space="0" w:color="auto"/>
            <w:left w:val="none" w:sz="0" w:space="0" w:color="auto"/>
            <w:bottom w:val="none" w:sz="0" w:space="0" w:color="auto"/>
            <w:right w:val="none" w:sz="0" w:space="0" w:color="auto"/>
          </w:divBdr>
        </w:div>
        <w:div w:id="1070539444">
          <w:marLeft w:val="640"/>
          <w:marRight w:val="0"/>
          <w:marTop w:val="0"/>
          <w:marBottom w:val="0"/>
          <w:divBdr>
            <w:top w:val="none" w:sz="0" w:space="0" w:color="auto"/>
            <w:left w:val="none" w:sz="0" w:space="0" w:color="auto"/>
            <w:bottom w:val="none" w:sz="0" w:space="0" w:color="auto"/>
            <w:right w:val="none" w:sz="0" w:space="0" w:color="auto"/>
          </w:divBdr>
        </w:div>
        <w:div w:id="1638880075">
          <w:marLeft w:val="640"/>
          <w:marRight w:val="0"/>
          <w:marTop w:val="0"/>
          <w:marBottom w:val="0"/>
          <w:divBdr>
            <w:top w:val="none" w:sz="0" w:space="0" w:color="auto"/>
            <w:left w:val="none" w:sz="0" w:space="0" w:color="auto"/>
            <w:bottom w:val="none" w:sz="0" w:space="0" w:color="auto"/>
            <w:right w:val="none" w:sz="0" w:space="0" w:color="auto"/>
          </w:divBdr>
        </w:div>
        <w:div w:id="1089540130">
          <w:marLeft w:val="640"/>
          <w:marRight w:val="0"/>
          <w:marTop w:val="0"/>
          <w:marBottom w:val="0"/>
          <w:divBdr>
            <w:top w:val="none" w:sz="0" w:space="0" w:color="auto"/>
            <w:left w:val="none" w:sz="0" w:space="0" w:color="auto"/>
            <w:bottom w:val="none" w:sz="0" w:space="0" w:color="auto"/>
            <w:right w:val="none" w:sz="0" w:space="0" w:color="auto"/>
          </w:divBdr>
        </w:div>
      </w:divsChild>
    </w:div>
    <w:div w:id="890700693">
      <w:bodyDiv w:val="1"/>
      <w:marLeft w:val="0"/>
      <w:marRight w:val="0"/>
      <w:marTop w:val="0"/>
      <w:marBottom w:val="0"/>
      <w:divBdr>
        <w:top w:val="none" w:sz="0" w:space="0" w:color="auto"/>
        <w:left w:val="none" w:sz="0" w:space="0" w:color="auto"/>
        <w:bottom w:val="none" w:sz="0" w:space="0" w:color="auto"/>
        <w:right w:val="none" w:sz="0" w:space="0" w:color="auto"/>
      </w:divBdr>
      <w:divsChild>
        <w:div w:id="2089031068">
          <w:marLeft w:val="640"/>
          <w:marRight w:val="0"/>
          <w:marTop w:val="0"/>
          <w:marBottom w:val="0"/>
          <w:divBdr>
            <w:top w:val="none" w:sz="0" w:space="0" w:color="auto"/>
            <w:left w:val="none" w:sz="0" w:space="0" w:color="auto"/>
            <w:bottom w:val="none" w:sz="0" w:space="0" w:color="auto"/>
            <w:right w:val="none" w:sz="0" w:space="0" w:color="auto"/>
          </w:divBdr>
        </w:div>
        <w:div w:id="1373774970">
          <w:marLeft w:val="640"/>
          <w:marRight w:val="0"/>
          <w:marTop w:val="0"/>
          <w:marBottom w:val="0"/>
          <w:divBdr>
            <w:top w:val="none" w:sz="0" w:space="0" w:color="auto"/>
            <w:left w:val="none" w:sz="0" w:space="0" w:color="auto"/>
            <w:bottom w:val="none" w:sz="0" w:space="0" w:color="auto"/>
            <w:right w:val="none" w:sz="0" w:space="0" w:color="auto"/>
          </w:divBdr>
        </w:div>
        <w:div w:id="1418868301">
          <w:marLeft w:val="640"/>
          <w:marRight w:val="0"/>
          <w:marTop w:val="0"/>
          <w:marBottom w:val="0"/>
          <w:divBdr>
            <w:top w:val="none" w:sz="0" w:space="0" w:color="auto"/>
            <w:left w:val="none" w:sz="0" w:space="0" w:color="auto"/>
            <w:bottom w:val="none" w:sz="0" w:space="0" w:color="auto"/>
            <w:right w:val="none" w:sz="0" w:space="0" w:color="auto"/>
          </w:divBdr>
        </w:div>
        <w:div w:id="127868847">
          <w:marLeft w:val="640"/>
          <w:marRight w:val="0"/>
          <w:marTop w:val="0"/>
          <w:marBottom w:val="0"/>
          <w:divBdr>
            <w:top w:val="none" w:sz="0" w:space="0" w:color="auto"/>
            <w:left w:val="none" w:sz="0" w:space="0" w:color="auto"/>
            <w:bottom w:val="none" w:sz="0" w:space="0" w:color="auto"/>
            <w:right w:val="none" w:sz="0" w:space="0" w:color="auto"/>
          </w:divBdr>
        </w:div>
        <w:div w:id="1833595275">
          <w:marLeft w:val="640"/>
          <w:marRight w:val="0"/>
          <w:marTop w:val="0"/>
          <w:marBottom w:val="0"/>
          <w:divBdr>
            <w:top w:val="none" w:sz="0" w:space="0" w:color="auto"/>
            <w:left w:val="none" w:sz="0" w:space="0" w:color="auto"/>
            <w:bottom w:val="none" w:sz="0" w:space="0" w:color="auto"/>
            <w:right w:val="none" w:sz="0" w:space="0" w:color="auto"/>
          </w:divBdr>
        </w:div>
        <w:div w:id="924265286">
          <w:marLeft w:val="640"/>
          <w:marRight w:val="0"/>
          <w:marTop w:val="0"/>
          <w:marBottom w:val="0"/>
          <w:divBdr>
            <w:top w:val="none" w:sz="0" w:space="0" w:color="auto"/>
            <w:left w:val="none" w:sz="0" w:space="0" w:color="auto"/>
            <w:bottom w:val="none" w:sz="0" w:space="0" w:color="auto"/>
            <w:right w:val="none" w:sz="0" w:space="0" w:color="auto"/>
          </w:divBdr>
        </w:div>
        <w:div w:id="1233201854">
          <w:marLeft w:val="640"/>
          <w:marRight w:val="0"/>
          <w:marTop w:val="0"/>
          <w:marBottom w:val="0"/>
          <w:divBdr>
            <w:top w:val="none" w:sz="0" w:space="0" w:color="auto"/>
            <w:left w:val="none" w:sz="0" w:space="0" w:color="auto"/>
            <w:bottom w:val="none" w:sz="0" w:space="0" w:color="auto"/>
            <w:right w:val="none" w:sz="0" w:space="0" w:color="auto"/>
          </w:divBdr>
        </w:div>
        <w:div w:id="1058630906">
          <w:marLeft w:val="640"/>
          <w:marRight w:val="0"/>
          <w:marTop w:val="0"/>
          <w:marBottom w:val="0"/>
          <w:divBdr>
            <w:top w:val="none" w:sz="0" w:space="0" w:color="auto"/>
            <w:left w:val="none" w:sz="0" w:space="0" w:color="auto"/>
            <w:bottom w:val="none" w:sz="0" w:space="0" w:color="auto"/>
            <w:right w:val="none" w:sz="0" w:space="0" w:color="auto"/>
          </w:divBdr>
        </w:div>
        <w:div w:id="1288271318">
          <w:marLeft w:val="640"/>
          <w:marRight w:val="0"/>
          <w:marTop w:val="0"/>
          <w:marBottom w:val="0"/>
          <w:divBdr>
            <w:top w:val="none" w:sz="0" w:space="0" w:color="auto"/>
            <w:left w:val="none" w:sz="0" w:space="0" w:color="auto"/>
            <w:bottom w:val="none" w:sz="0" w:space="0" w:color="auto"/>
            <w:right w:val="none" w:sz="0" w:space="0" w:color="auto"/>
          </w:divBdr>
        </w:div>
        <w:div w:id="633566542">
          <w:marLeft w:val="640"/>
          <w:marRight w:val="0"/>
          <w:marTop w:val="0"/>
          <w:marBottom w:val="0"/>
          <w:divBdr>
            <w:top w:val="none" w:sz="0" w:space="0" w:color="auto"/>
            <w:left w:val="none" w:sz="0" w:space="0" w:color="auto"/>
            <w:bottom w:val="none" w:sz="0" w:space="0" w:color="auto"/>
            <w:right w:val="none" w:sz="0" w:space="0" w:color="auto"/>
          </w:divBdr>
        </w:div>
        <w:div w:id="2031644225">
          <w:marLeft w:val="640"/>
          <w:marRight w:val="0"/>
          <w:marTop w:val="0"/>
          <w:marBottom w:val="0"/>
          <w:divBdr>
            <w:top w:val="none" w:sz="0" w:space="0" w:color="auto"/>
            <w:left w:val="none" w:sz="0" w:space="0" w:color="auto"/>
            <w:bottom w:val="none" w:sz="0" w:space="0" w:color="auto"/>
            <w:right w:val="none" w:sz="0" w:space="0" w:color="auto"/>
          </w:divBdr>
        </w:div>
        <w:div w:id="105544065">
          <w:marLeft w:val="640"/>
          <w:marRight w:val="0"/>
          <w:marTop w:val="0"/>
          <w:marBottom w:val="0"/>
          <w:divBdr>
            <w:top w:val="none" w:sz="0" w:space="0" w:color="auto"/>
            <w:left w:val="none" w:sz="0" w:space="0" w:color="auto"/>
            <w:bottom w:val="none" w:sz="0" w:space="0" w:color="auto"/>
            <w:right w:val="none" w:sz="0" w:space="0" w:color="auto"/>
          </w:divBdr>
        </w:div>
        <w:div w:id="593706905">
          <w:marLeft w:val="640"/>
          <w:marRight w:val="0"/>
          <w:marTop w:val="0"/>
          <w:marBottom w:val="0"/>
          <w:divBdr>
            <w:top w:val="none" w:sz="0" w:space="0" w:color="auto"/>
            <w:left w:val="none" w:sz="0" w:space="0" w:color="auto"/>
            <w:bottom w:val="none" w:sz="0" w:space="0" w:color="auto"/>
            <w:right w:val="none" w:sz="0" w:space="0" w:color="auto"/>
          </w:divBdr>
        </w:div>
        <w:div w:id="2137408879">
          <w:marLeft w:val="640"/>
          <w:marRight w:val="0"/>
          <w:marTop w:val="0"/>
          <w:marBottom w:val="0"/>
          <w:divBdr>
            <w:top w:val="none" w:sz="0" w:space="0" w:color="auto"/>
            <w:left w:val="none" w:sz="0" w:space="0" w:color="auto"/>
            <w:bottom w:val="none" w:sz="0" w:space="0" w:color="auto"/>
            <w:right w:val="none" w:sz="0" w:space="0" w:color="auto"/>
          </w:divBdr>
        </w:div>
        <w:div w:id="1108500648">
          <w:marLeft w:val="640"/>
          <w:marRight w:val="0"/>
          <w:marTop w:val="0"/>
          <w:marBottom w:val="0"/>
          <w:divBdr>
            <w:top w:val="none" w:sz="0" w:space="0" w:color="auto"/>
            <w:left w:val="none" w:sz="0" w:space="0" w:color="auto"/>
            <w:bottom w:val="none" w:sz="0" w:space="0" w:color="auto"/>
            <w:right w:val="none" w:sz="0" w:space="0" w:color="auto"/>
          </w:divBdr>
        </w:div>
        <w:div w:id="1827160168">
          <w:marLeft w:val="640"/>
          <w:marRight w:val="0"/>
          <w:marTop w:val="0"/>
          <w:marBottom w:val="0"/>
          <w:divBdr>
            <w:top w:val="none" w:sz="0" w:space="0" w:color="auto"/>
            <w:left w:val="none" w:sz="0" w:space="0" w:color="auto"/>
            <w:bottom w:val="none" w:sz="0" w:space="0" w:color="auto"/>
            <w:right w:val="none" w:sz="0" w:space="0" w:color="auto"/>
          </w:divBdr>
        </w:div>
        <w:div w:id="776799091">
          <w:marLeft w:val="640"/>
          <w:marRight w:val="0"/>
          <w:marTop w:val="0"/>
          <w:marBottom w:val="0"/>
          <w:divBdr>
            <w:top w:val="none" w:sz="0" w:space="0" w:color="auto"/>
            <w:left w:val="none" w:sz="0" w:space="0" w:color="auto"/>
            <w:bottom w:val="none" w:sz="0" w:space="0" w:color="auto"/>
            <w:right w:val="none" w:sz="0" w:space="0" w:color="auto"/>
          </w:divBdr>
        </w:div>
        <w:div w:id="705712153">
          <w:marLeft w:val="640"/>
          <w:marRight w:val="0"/>
          <w:marTop w:val="0"/>
          <w:marBottom w:val="0"/>
          <w:divBdr>
            <w:top w:val="none" w:sz="0" w:space="0" w:color="auto"/>
            <w:left w:val="none" w:sz="0" w:space="0" w:color="auto"/>
            <w:bottom w:val="none" w:sz="0" w:space="0" w:color="auto"/>
            <w:right w:val="none" w:sz="0" w:space="0" w:color="auto"/>
          </w:divBdr>
        </w:div>
        <w:div w:id="339938060">
          <w:marLeft w:val="640"/>
          <w:marRight w:val="0"/>
          <w:marTop w:val="0"/>
          <w:marBottom w:val="0"/>
          <w:divBdr>
            <w:top w:val="none" w:sz="0" w:space="0" w:color="auto"/>
            <w:left w:val="none" w:sz="0" w:space="0" w:color="auto"/>
            <w:bottom w:val="none" w:sz="0" w:space="0" w:color="auto"/>
            <w:right w:val="none" w:sz="0" w:space="0" w:color="auto"/>
          </w:divBdr>
        </w:div>
        <w:div w:id="814562972">
          <w:marLeft w:val="640"/>
          <w:marRight w:val="0"/>
          <w:marTop w:val="0"/>
          <w:marBottom w:val="0"/>
          <w:divBdr>
            <w:top w:val="none" w:sz="0" w:space="0" w:color="auto"/>
            <w:left w:val="none" w:sz="0" w:space="0" w:color="auto"/>
            <w:bottom w:val="none" w:sz="0" w:space="0" w:color="auto"/>
            <w:right w:val="none" w:sz="0" w:space="0" w:color="auto"/>
          </w:divBdr>
        </w:div>
        <w:div w:id="1539125789">
          <w:marLeft w:val="640"/>
          <w:marRight w:val="0"/>
          <w:marTop w:val="0"/>
          <w:marBottom w:val="0"/>
          <w:divBdr>
            <w:top w:val="none" w:sz="0" w:space="0" w:color="auto"/>
            <w:left w:val="none" w:sz="0" w:space="0" w:color="auto"/>
            <w:bottom w:val="none" w:sz="0" w:space="0" w:color="auto"/>
            <w:right w:val="none" w:sz="0" w:space="0" w:color="auto"/>
          </w:divBdr>
        </w:div>
        <w:div w:id="917977435">
          <w:marLeft w:val="640"/>
          <w:marRight w:val="0"/>
          <w:marTop w:val="0"/>
          <w:marBottom w:val="0"/>
          <w:divBdr>
            <w:top w:val="none" w:sz="0" w:space="0" w:color="auto"/>
            <w:left w:val="none" w:sz="0" w:space="0" w:color="auto"/>
            <w:bottom w:val="none" w:sz="0" w:space="0" w:color="auto"/>
            <w:right w:val="none" w:sz="0" w:space="0" w:color="auto"/>
          </w:divBdr>
        </w:div>
        <w:div w:id="241254722">
          <w:marLeft w:val="640"/>
          <w:marRight w:val="0"/>
          <w:marTop w:val="0"/>
          <w:marBottom w:val="0"/>
          <w:divBdr>
            <w:top w:val="none" w:sz="0" w:space="0" w:color="auto"/>
            <w:left w:val="none" w:sz="0" w:space="0" w:color="auto"/>
            <w:bottom w:val="none" w:sz="0" w:space="0" w:color="auto"/>
            <w:right w:val="none" w:sz="0" w:space="0" w:color="auto"/>
          </w:divBdr>
        </w:div>
        <w:div w:id="958996886">
          <w:marLeft w:val="640"/>
          <w:marRight w:val="0"/>
          <w:marTop w:val="0"/>
          <w:marBottom w:val="0"/>
          <w:divBdr>
            <w:top w:val="none" w:sz="0" w:space="0" w:color="auto"/>
            <w:left w:val="none" w:sz="0" w:space="0" w:color="auto"/>
            <w:bottom w:val="none" w:sz="0" w:space="0" w:color="auto"/>
            <w:right w:val="none" w:sz="0" w:space="0" w:color="auto"/>
          </w:divBdr>
        </w:div>
        <w:div w:id="649821062">
          <w:marLeft w:val="640"/>
          <w:marRight w:val="0"/>
          <w:marTop w:val="0"/>
          <w:marBottom w:val="0"/>
          <w:divBdr>
            <w:top w:val="none" w:sz="0" w:space="0" w:color="auto"/>
            <w:left w:val="none" w:sz="0" w:space="0" w:color="auto"/>
            <w:bottom w:val="none" w:sz="0" w:space="0" w:color="auto"/>
            <w:right w:val="none" w:sz="0" w:space="0" w:color="auto"/>
          </w:divBdr>
        </w:div>
        <w:div w:id="1742288514">
          <w:marLeft w:val="640"/>
          <w:marRight w:val="0"/>
          <w:marTop w:val="0"/>
          <w:marBottom w:val="0"/>
          <w:divBdr>
            <w:top w:val="none" w:sz="0" w:space="0" w:color="auto"/>
            <w:left w:val="none" w:sz="0" w:space="0" w:color="auto"/>
            <w:bottom w:val="none" w:sz="0" w:space="0" w:color="auto"/>
            <w:right w:val="none" w:sz="0" w:space="0" w:color="auto"/>
          </w:divBdr>
        </w:div>
        <w:div w:id="1925844421">
          <w:marLeft w:val="640"/>
          <w:marRight w:val="0"/>
          <w:marTop w:val="0"/>
          <w:marBottom w:val="0"/>
          <w:divBdr>
            <w:top w:val="none" w:sz="0" w:space="0" w:color="auto"/>
            <w:left w:val="none" w:sz="0" w:space="0" w:color="auto"/>
            <w:bottom w:val="none" w:sz="0" w:space="0" w:color="auto"/>
            <w:right w:val="none" w:sz="0" w:space="0" w:color="auto"/>
          </w:divBdr>
        </w:div>
        <w:div w:id="700206051">
          <w:marLeft w:val="640"/>
          <w:marRight w:val="0"/>
          <w:marTop w:val="0"/>
          <w:marBottom w:val="0"/>
          <w:divBdr>
            <w:top w:val="none" w:sz="0" w:space="0" w:color="auto"/>
            <w:left w:val="none" w:sz="0" w:space="0" w:color="auto"/>
            <w:bottom w:val="none" w:sz="0" w:space="0" w:color="auto"/>
            <w:right w:val="none" w:sz="0" w:space="0" w:color="auto"/>
          </w:divBdr>
        </w:div>
        <w:div w:id="755706430">
          <w:marLeft w:val="640"/>
          <w:marRight w:val="0"/>
          <w:marTop w:val="0"/>
          <w:marBottom w:val="0"/>
          <w:divBdr>
            <w:top w:val="none" w:sz="0" w:space="0" w:color="auto"/>
            <w:left w:val="none" w:sz="0" w:space="0" w:color="auto"/>
            <w:bottom w:val="none" w:sz="0" w:space="0" w:color="auto"/>
            <w:right w:val="none" w:sz="0" w:space="0" w:color="auto"/>
          </w:divBdr>
        </w:div>
        <w:div w:id="1573269345">
          <w:marLeft w:val="640"/>
          <w:marRight w:val="0"/>
          <w:marTop w:val="0"/>
          <w:marBottom w:val="0"/>
          <w:divBdr>
            <w:top w:val="none" w:sz="0" w:space="0" w:color="auto"/>
            <w:left w:val="none" w:sz="0" w:space="0" w:color="auto"/>
            <w:bottom w:val="none" w:sz="0" w:space="0" w:color="auto"/>
            <w:right w:val="none" w:sz="0" w:space="0" w:color="auto"/>
          </w:divBdr>
        </w:div>
        <w:div w:id="1793135049">
          <w:marLeft w:val="640"/>
          <w:marRight w:val="0"/>
          <w:marTop w:val="0"/>
          <w:marBottom w:val="0"/>
          <w:divBdr>
            <w:top w:val="none" w:sz="0" w:space="0" w:color="auto"/>
            <w:left w:val="none" w:sz="0" w:space="0" w:color="auto"/>
            <w:bottom w:val="none" w:sz="0" w:space="0" w:color="auto"/>
            <w:right w:val="none" w:sz="0" w:space="0" w:color="auto"/>
          </w:divBdr>
        </w:div>
        <w:div w:id="758525373">
          <w:marLeft w:val="640"/>
          <w:marRight w:val="0"/>
          <w:marTop w:val="0"/>
          <w:marBottom w:val="0"/>
          <w:divBdr>
            <w:top w:val="none" w:sz="0" w:space="0" w:color="auto"/>
            <w:left w:val="none" w:sz="0" w:space="0" w:color="auto"/>
            <w:bottom w:val="none" w:sz="0" w:space="0" w:color="auto"/>
            <w:right w:val="none" w:sz="0" w:space="0" w:color="auto"/>
          </w:divBdr>
        </w:div>
        <w:div w:id="487475635">
          <w:marLeft w:val="640"/>
          <w:marRight w:val="0"/>
          <w:marTop w:val="0"/>
          <w:marBottom w:val="0"/>
          <w:divBdr>
            <w:top w:val="none" w:sz="0" w:space="0" w:color="auto"/>
            <w:left w:val="none" w:sz="0" w:space="0" w:color="auto"/>
            <w:bottom w:val="none" w:sz="0" w:space="0" w:color="auto"/>
            <w:right w:val="none" w:sz="0" w:space="0" w:color="auto"/>
          </w:divBdr>
        </w:div>
        <w:div w:id="1065104282">
          <w:marLeft w:val="640"/>
          <w:marRight w:val="0"/>
          <w:marTop w:val="0"/>
          <w:marBottom w:val="0"/>
          <w:divBdr>
            <w:top w:val="none" w:sz="0" w:space="0" w:color="auto"/>
            <w:left w:val="none" w:sz="0" w:space="0" w:color="auto"/>
            <w:bottom w:val="none" w:sz="0" w:space="0" w:color="auto"/>
            <w:right w:val="none" w:sz="0" w:space="0" w:color="auto"/>
          </w:divBdr>
        </w:div>
        <w:div w:id="979188614">
          <w:marLeft w:val="640"/>
          <w:marRight w:val="0"/>
          <w:marTop w:val="0"/>
          <w:marBottom w:val="0"/>
          <w:divBdr>
            <w:top w:val="none" w:sz="0" w:space="0" w:color="auto"/>
            <w:left w:val="none" w:sz="0" w:space="0" w:color="auto"/>
            <w:bottom w:val="none" w:sz="0" w:space="0" w:color="auto"/>
            <w:right w:val="none" w:sz="0" w:space="0" w:color="auto"/>
          </w:divBdr>
        </w:div>
        <w:div w:id="995570810">
          <w:marLeft w:val="640"/>
          <w:marRight w:val="0"/>
          <w:marTop w:val="0"/>
          <w:marBottom w:val="0"/>
          <w:divBdr>
            <w:top w:val="none" w:sz="0" w:space="0" w:color="auto"/>
            <w:left w:val="none" w:sz="0" w:space="0" w:color="auto"/>
            <w:bottom w:val="none" w:sz="0" w:space="0" w:color="auto"/>
            <w:right w:val="none" w:sz="0" w:space="0" w:color="auto"/>
          </w:divBdr>
        </w:div>
        <w:div w:id="1740908577">
          <w:marLeft w:val="640"/>
          <w:marRight w:val="0"/>
          <w:marTop w:val="0"/>
          <w:marBottom w:val="0"/>
          <w:divBdr>
            <w:top w:val="none" w:sz="0" w:space="0" w:color="auto"/>
            <w:left w:val="none" w:sz="0" w:space="0" w:color="auto"/>
            <w:bottom w:val="none" w:sz="0" w:space="0" w:color="auto"/>
            <w:right w:val="none" w:sz="0" w:space="0" w:color="auto"/>
          </w:divBdr>
        </w:div>
        <w:div w:id="1808089233">
          <w:marLeft w:val="640"/>
          <w:marRight w:val="0"/>
          <w:marTop w:val="0"/>
          <w:marBottom w:val="0"/>
          <w:divBdr>
            <w:top w:val="none" w:sz="0" w:space="0" w:color="auto"/>
            <w:left w:val="none" w:sz="0" w:space="0" w:color="auto"/>
            <w:bottom w:val="none" w:sz="0" w:space="0" w:color="auto"/>
            <w:right w:val="none" w:sz="0" w:space="0" w:color="auto"/>
          </w:divBdr>
        </w:div>
        <w:div w:id="2115326050">
          <w:marLeft w:val="640"/>
          <w:marRight w:val="0"/>
          <w:marTop w:val="0"/>
          <w:marBottom w:val="0"/>
          <w:divBdr>
            <w:top w:val="none" w:sz="0" w:space="0" w:color="auto"/>
            <w:left w:val="none" w:sz="0" w:space="0" w:color="auto"/>
            <w:bottom w:val="none" w:sz="0" w:space="0" w:color="auto"/>
            <w:right w:val="none" w:sz="0" w:space="0" w:color="auto"/>
          </w:divBdr>
        </w:div>
        <w:div w:id="1361198616">
          <w:marLeft w:val="640"/>
          <w:marRight w:val="0"/>
          <w:marTop w:val="0"/>
          <w:marBottom w:val="0"/>
          <w:divBdr>
            <w:top w:val="none" w:sz="0" w:space="0" w:color="auto"/>
            <w:left w:val="none" w:sz="0" w:space="0" w:color="auto"/>
            <w:bottom w:val="none" w:sz="0" w:space="0" w:color="auto"/>
            <w:right w:val="none" w:sz="0" w:space="0" w:color="auto"/>
          </w:divBdr>
        </w:div>
        <w:div w:id="586884232">
          <w:marLeft w:val="640"/>
          <w:marRight w:val="0"/>
          <w:marTop w:val="0"/>
          <w:marBottom w:val="0"/>
          <w:divBdr>
            <w:top w:val="none" w:sz="0" w:space="0" w:color="auto"/>
            <w:left w:val="none" w:sz="0" w:space="0" w:color="auto"/>
            <w:bottom w:val="none" w:sz="0" w:space="0" w:color="auto"/>
            <w:right w:val="none" w:sz="0" w:space="0" w:color="auto"/>
          </w:divBdr>
        </w:div>
        <w:div w:id="811100366">
          <w:marLeft w:val="640"/>
          <w:marRight w:val="0"/>
          <w:marTop w:val="0"/>
          <w:marBottom w:val="0"/>
          <w:divBdr>
            <w:top w:val="none" w:sz="0" w:space="0" w:color="auto"/>
            <w:left w:val="none" w:sz="0" w:space="0" w:color="auto"/>
            <w:bottom w:val="none" w:sz="0" w:space="0" w:color="auto"/>
            <w:right w:val="none" w:sz="0" w:space="0" w:color="auto"/>
          </w:divBdr>
        </w:div>
        <w:div w:id="930048567">
          <w:marLeft w:val="640"/>
          <w:marRight w:val="0"/>
          <w:marTop w:val="0"/>
          <w:marBottom w:val="0"/>
          <w:divBdr>
            <w:top w:val="none" w:sz="0" w:space="0" w:color="auto"/>
            <w:left w:val="none" w:sz="0" w:space="0" w:color="auto"/>
            <w:bottom w:val="none" w:sz="0" w:space="0" w:color="auto"/>
            <w:right w:val="none" w:sz="0" w:space="0" w:color="auto"/>
          </w:divBdr>
        </w:div>
        <w:div w:id="623972874">
          <w:marLeft w:val="640"/>
          <w:marRight w:val="0"/>
          <w:marTop w:val="0"/>
          <w:marBottom w:val="0"/>
          <w:divBdr>
            <w:top w:val="none" w:sz="0" w:space="0" w:color="auto"/>
            <w:left w:val="none" w:sz="0" w:space="0" w:color="auto"/>
            <w:bottom w:val="none" w:sz="0" w:space="0" w:color="auto"/>
            <w:right w:val="none" w:sz="0" w:space="0" w:color="auto"/>
          </w:divBdr>
        </w:div>
        <w:div w:id="1806434852">
          <w:marLeft w:val="640"/>
          <w:marRight w:val="0"/>
          <w:marTop w:val="0"/>
          <w:marBottom w:val="0"/>
          <w:divBdr>
            <w:top w:val="none" w:sz="0" w:space="0" w:color="auto"/>
            <w:left w:val="none" w:sz="0" w:space="0" w:color="auto"/>
            <w:bottom w:val="none" w:sz="0" w:space="0" w:color="auto"/>
            <w:right w:val="none" w:sz="0" w:space="0" w:color="auto"/>
          </w:divBdr>
        </w:div>
        <w:div w:id="750077727">
          <w:marLeft w:val="640"/>
          <w:marRight w:val="0"/>
          <w:marTop w:val="0"/>
          <w:marBottom w:val="0"/>
          <w:divBdr>
            <w:top w:val="none" w:sz="0" w:space="0" w:color="auto"/>
            <w:left w:val="none" w:sz="0" w:space="0" w:color="auto"/>
            <w:bottom w:val="none" w:sz="0" w:space="0" w:color="auto"/>
            <w:right w:val="none" w:sz="0" w:space="0" w:color="auto"/>
          </w:divBdr>
        </w:div>
        <w:div w:id="515702987">
          <w:marLeft w:val="640"/>
          <w:marRight w:val="0"/>
          <w:marTop w:val="0"/>
          <w:marBottom w:val="0"/>
          <w:divBdr>
            <w:top w:val="none" w:sz="0" w:space="0" w:color="auto"/>
            <w:left w:val="none" w:sz="0" w:space="0" w:color="auto"/>
            <w:bottom w:val="none" w:sz="0" w:space="0" w:color="auto"/>
            <w:right w:val="none" w:sz="0" w:space="0" w:color="auto"/>
          </w:divBdr>
        </w:div>
        <w:div w:id="836506274">
          <w:marLeft w:val="640"/>
          <w:marRight w:val="0"/>
          <w:marTop w:val="0"/>
          <w:marBottom w:val="0"/>
          <w:divBdr>
            <w:top w:val="none" w:sz="0" w:space="0" w:color="auto"/>
            <w:left w:val="none" w:sz="0" w:space="0" w:color="auto"/>
            <w:bottom w:val="none" w:sz="0" w:space="0" w:color="auto"/>
            <w:right w:val="none" w:sz="0" w:space="0" w:color="auto"/>
          </w:divBdr>
        </w:div>
        <w:div w:id="255600254">
          <w:marLeft w:val="640"/>
          <w:marRight w:val="0"/>
          <w:marTop w:val="0"/>
          <w:marBottom w:val="0"/>
          <w:divBdr>
            <w:top w:val="none" w:sz="0" w:space="0" w:color="auto"/>
            <w:left w:val="none" w:sz="0" w:space="0" w:color="auto"/>
            <w:bottom w:val="none" w:sz="0" w:space="0" w:color="auto"/>
            <w:right w:val="none" w:sz="0" w:space="0" w:color="auto"/>
          </w:divBdr>
        </w:div>
        <w:div w:id="1722947035">
          <w:marLeft w:val="640"/>
          <w:marRight w:val="0"/>
          <w:marTop w:val="0"/>
          <w:marBottom w:val="0"/>
          <w:divBdr>
            <w:top w:val="none" w:sz="0" w:space="0" w:color="auto"/>
            <w:left w:val="none" w:sz="0" w:space="0" w:color="auto"/>
            <w:bottom w:val="none" w:sz="0" w:space="0" w:color="auto"/>
            <w:right w:val="none" w:sz="0" w:space="0" w:color="auto"/>
          </w:divBdr>
        </w:div>
        <w:div w:id="2059545872">
          <w:marLeft w:val="640"/>
          <w:marRight w:val="0"/>
          <w:marTop w:val="0"/>
          <w:marBottom w:val="0"/>
          <w:divBdr>
            <w:top w:val="none" w:sz="0" w:space="0" w:color="auto"/>
            <w:left w:val="none" w:sz="0" w:space="0" w:color="auto"/>
            <w:bottom w:val="none" w:sz="0" w:space="0" w:color="auto"/>
            <w:right w:val="none" w:sz="0" w:space="0" w:color="auto"/>
          </w:divBdr>
        </w:div>
        <w:div w:id="930351591">
          <w:marLeft w:val="640"/>
          <w:marRight w:val="0"/>
          <w:marTop w:val="0"/>
          <w:marBottom w:val="0"/>
          <w:divBdr>
            <w:top w:val="none" w:sz="0" w:space="0" w:color="auto"/>
            <w:left w:val="none" w:sz="0" w:space="0" w:color="auto"/>
            <w:bottom w:val="none" w:sz="0" w:space="0" w:color="auto"/>
            <w:right w:val="none" w:sz="0" w:space="0" w:color="auto"/>
          </w:divBdr>
        </w:div>
        <w:div w:id="1914581391">
          <w:marLeft w:val="640"/>
          <w:marRight w:val="0"/>
          <w:marTop w:val="0"/>
          <w:marBottom w:val="0"/>
          <w:divBdr>
            <w:top w:val="none" w:sz="0" w:space="0" w:color="auto"/>
            <w:left w:val="none" w:sz="0" w:space="0" w:color="auto"/>
            <w:bottom w:val="none" w:sz="0" w:space="0" w:color="auto"/>
            <w:right w:val="none" w:sz="0" w:space="0" w:color="auto"/>
          </w:divBdr>
        </w:div>
        <w:div w:id="1605306319">
          <w:marLeft w:val="640"/>
          <w:marRight w:val="0"/>
          <w:marTop w:val="0"/>
          <w:marBottom w:val="0"/>
          <w:divBdr>
            <w:top w:val="none" w:sz="0" w:space="0" w:color="auto"/>
            <w:left w:val="none" w:sz="0" w:space="0" w:color="auto"/>
            <w:bottom w:val="none" w:sz="0" w:space="0" w:color="auto"/>
            <w:right w:val="none" w:sz="0" w:space="0" w:color="auto"/>
          </w:divBdr>
        </w:div>
        <w:div w:id="1384910188">
          <w:marLeft w:val="640"/>
          <w:marRight w:val="0"/>
          <w:marTop w:val="0"/>
          <w:marBottom w:val="0"/>
          <w:divBdr>
            <w:top w:val="none" w:sz="0" w:space="0" w:color="auto"/>
            <w:left w:val="none" w:sz="0" w:space="0" w:color="auto"/>
            <w:bottom w:val="none" w:sz="0" w:space="0" w:color="auto"/>
            <w:right w:val="none" w:sz="0" w:space="0" w:color="auto"/>
          </w:divBdr>
        </w:div>
        <w:div w:id="522329529">
          <w:marLeft w:val="640"/>
          <w:marRight w:val="0"/>
          <w:marTop w:val="0"/>
          <w:marBottom w:val="0"/>
          <w:divBdr>
            <w:top w:val="none" w:sz="0" w:space="0" w:color="auto"/>
            <w:left w:val="none" w:sz="0" w:space="0" w:color="auto"/>
            <w:bottom w:val="none" w:sz="0" w:space="0" w:color="auto"/>
            <w:right w:val="none" w:sz="0" w:space="0" w:color="auto"/>
          </w:divBdr>
        </w:div>
        <w:div w:id="1762294813">
          <w:marLeft w:val="640"/>
          <w:marRight w:val="0"/>
          <w:marTop w:val="0"/>
          <w:marBottom w:val="0"/>
          <w:divBdr>
            <w:top w:val="none" w:sz="0" w:space="0" w:color="auto"/>
            <w:left w:val="none" w:sz="0" w:space="0" w:color="auto"/>
            <w:bottom w:val="none" w:sz="0" w:space="0" w:color="auto"/>
            <w:right w:val="none" w:sz="0" w:space="0" w:color="auto"/>
          </w:divBdr>
        </w:div>
        <w:div w:id="966395742">
          <w:marLeft w:val="640"/>
          <w:marRight w:val="0"/>
          <w:marTop w:val="0"/>
          <w:marBottom w:val="0"/>
          <w:divBdr>
            <w:top w:val="none" w:sz="0" w:space="0" w:color="auto"/>
            <w:left w:val="none" w:sz="0" w:space="0" w:color="auto"/>
            <w:bottom w:val="none" w:sz="0" w:space="0" w:color="auto"/>
            <w:right w:val="none" w:sz="0" w:space="0" w:color="auto"/>
          </w:divBdr>
        </w:div>
        <w:div w:id="269824958">
          <w:marLeft w:val="640"/>
          <w:marRight w:val="0"/>
          <w:marTop w:val="0"/>
          <w:marBottom w:val="0"/>
          <w:divBdr>
            <w:top w:val="none" w:sz="0" w:space="0" w:color="auto"/>
            <w:left w:val="none" w:sz="0" w:space="0" w:color="auto"/>
            <w:bottom w:val="none" w:sz="0" w:space="0" w:color="auto"/>
            <w:right w:val="none" w:sz="0" w:space="0" w:color="auto"/>
          </w:divBdr>
        </w:div>
        <w:div w:id="393092859">
          <w:marLeft w:val="640"/>
          <w:marRight w:val="0"/>
          <w:marTop w:val="0"/>
          <w:marBottom w:val="0"/>
          <w:divBdr>
            <w:top w:val="none" w:sz="0" w:space="0" w:color="auto"/>
            <w:left w:val="none" w:sz="0" w:space="0" w:color="auto"/>
            <w:bottom w:val="none" w:sz="0" w:space="0" w:color="auto"/>
            <w:right w:val="none" w:sz="0" w:space="0" w:color="auto"/>
          </w:divBdr>
        </w:div>
        <w:div w:id="1726484327">
          <w:marLeft w:val="640"/>
          <w:marRight w:val="0"/>
          <w:marTop w:val="0"/>
          <w:marBottom w:val="0"/>
          <w:divBdr>
            <w:top w:val="none" w:sz="0" w:space="0" w:color="auto"/>
            <w:left w:val="none" w:sz="0" w:space="0" w:color="auto"/>
            <w:bottom w:val="none" w:sz="0" w:space="0" w:color="auto"/>
            <w:right w:val="none" w:sz="0" w:space="0" w:color="auto"/>
          </w:divBdr>
        </w:div>
        <w:div w:id="1831869991">
          <w:marLeft w:val="640"/>
          <w:marRight w:val="0"/>
          <w:marTop w:val="0"/>
          <w:marBottom w:val="0"/>
          <w:divBdr>
            <w:top w:val="none" w:sz="0" w:space="0" w:color="auto"/>
            <w:left w:val="none" w:sz="0" w:space="0" w:color="auto"/>
            <w:bottom w:val="none" w:sz="0" w:space="0" w:color="auto"/>
            <w:right w:val="none" w:sz="0" w:space="0" w:color="auto"/>
          </w:divBdr>
        </w:div>
        <w:div w:id="1834568463">
          <w:marLeft w:val="640"/>
          <w:marRight w:val="0"/>
          <w:marTop w:val="0"/>
          <w:marBottom w:val="0"/>
          <w:divBdr>
            <w:top w:val="none" w:sz="0" w:space="0" w:color="auto"/>
            <w:left w:val="none" w:sz="0" w:space="0" w:color="auto"/>
            <w:bottom w:val="none" w:sz="0" w:space="0" w:color="auto"/>
            <w:right w:val="none" w:sz="0" w:space="0" w:color="auto"/>
          </w:divBdr>
        </w:div>
        <w:div w:id="502092902">
          <w:marLeft w:val="640"/>
          <w:marRight w:val="0"/>
          <w:marTop w:val="0"/>
          <w:marBottom w:val="0"/>
          <w:divBdr>
            <w:top w:val="none" w:sz="0" w:space="0" w:color="auto"/>
            <w:left w:val="none" w:sz="0" w:space="0" w:color="auto"/>
            <w:bottom w:val="none" w:sz="0" w:space="0" w:color="auto"/>
            <w:right w:val="none" w:sz="0" w:space="0" w:color="auto"/>
          </w:divBdr>
        </w:div>
        <w:div w:id="351497320">
          <w:marLeft w:val="640"/>
          <w:marRight w:val="0"/>
          <w:marTop w:val="0"/>
          <w:marBottom w:val="0"/>
          <w:divBdr>
            <w:top w:val="none" w:sz="0" w:space="0" w:color="auto"/>
            <w:left w:val="none" w:sz="0" w:space="0" w:color="auto"/>
            <w:bottom w:val="none" w:sz="0" w:space="0" w:color="auto"/>
            <w:right w:val="none" w:sz="0" w:space="0" w:color="auto"/>
          </w:divBdr>
        </w:div>
        <w:div w:id="233009399">
          <w:marLeft w:val="640"/>
          <w:marRight w:val="0"/>
          <w:marTop w:val="0"/>
          <w:marBottom w:val="0"/>
          <w:divBdr>
            <w:top w:val="none" w:sz="0" w:space="0" w:color="auto"/>
            <w:left w:val="none" w:sz="0" w:space="0" w:color="auto"/>
            <w:bottom w:val="none" w:sz="0" w:space="0" w:color="auto"/>
            <w:right w:val="none" w:sz="0" w:space="0" w:color="auto"/>
          </w:divBdr>
        </w:div>
        <w:div w:id="1174804143">
          <w:marLeft w:val="640"/>
          <w:marRight w:val="0"/>
          <w:marTop w:val="0"/>
          <w:marBottom w:val="0"/>
          <w:divBdr>
            <w:top w:val="none" w:sz="0" w:space="0" w:color="auto"/>
            <w:left w:val="none" w:sz="0" w:space="0" w:color="auto"/>
            <w:bottom w:val="none" w:sz="0" w:space="0" w:color="auto"/>
            <w:right w:val="none" w:sz="0" w:space="0" w:color="auto"/>
          </w:divBdr>
        </w:div>
        <w:div w:id="1803310334">
          <w:marLeft w:val="640"/>
          <w:marRight w:val="0"/>
          <w:marTop w:val="0"/>
          <w:marBottom w:val="0"/>
          <w:divBdr>
            <w:top w:val="none" w:sz="0" w:space="0" w:color="auto"/>
            <w:left w:val="none" w:sz="0" w:space="0" w:color="auto"/>
            <w:bottom w:val="none" w:sz="0" w:space="0" w:color="auto"/>
            <w:right w:val="none" w:sz="0" w:space="0" w:color="auto"/>
          </w:divBdr>
        </w:div>
        <w:div w:id="503015384">
          <w:marLeft w:val="640"/>
          <w:marRight w:val="0"/>
          <w:marTop w:val="0"/>
          <w:marBottom w:val="0"/>
          <w:divBdr>
            <w:top w:val="none" w:sz="0" w:space="0" w:color="auto"/>
            <w:left w:val="none" w:sz="0" w:space="0" w:color="auto"/>
            <w:bottom w:val="none" w:sz="0" w:space="0" w:color="auto"/>
            <w:right w:val="none" w:sz="0" w:space="0" w:color="auto"/>
          </w:divBdr>
        </w:div>
        <w:div w:id="497041362">
          <w:marLeft w:val="640"/>
          <w:marRight w:val="0"/>
          <w:marTop w:val="0"/>
          <w:marBottom w:val="0"/>
          <w:divBdr>
            <w:top w:val="none" w:sz="0" w:space="0" w:color="auto"/>
            <w:left w:val="none" w:sz="0" w:space="0" w:color="auto"/>
            <w:bottom w:val="none" w:sz="0" w:space="0" w:color="auto"/>
            <w:right w:val="none" w:sz="0" w:space="0" w:color="auto"/>
          </w:divBdr>
        </w:div>
        <w:div w:id="792093247">
          <w:marLeft w:val="640"/>
          <w:marRight w:val="0"/>
          <w:marTop w:val="0"/>
          <w:marBottom w:val="0"/>
          <w:divBdr>
            <w:top w:val="none" w:sz="0" w:space="0" w:color="auto"/>
            <w:left w:val="none" w:sz="0" w:space="0" w:color="auto"/>
            <w:bottom w:val="none" w:sz="0" w:space="0" w:color="auto"/>
            <w:right w:val="none" w:sz="0" w:space="0" w:color="auto"/>
          </w:divBdr>
        </w:div>
        <w:div w:id="614554359">
          <w:marLeft w:val="640"/>
          <w:marRight w:val="0"/>
          <w:marTop w:val="0"/>
          <w:marBottom w:val="0"/>
          <w:divBdr>
            <w:top w:val="none" w:sz="0" w:space="0" w:color="auto"/>
            <w:left w:val="none" w:sz="0" w:space="0" w:color="auto"/>
            <w:bottom w:val="none" w:sz="0" w:space="0" w:color="auto"/>
            <w:right w:val="none" w:sz="0" w:space="0" w:color="auto"/>
          </w:divBdr>
        </w:div>
        <w:div w:id="1677346827">
          <w:marLeft w:val="640"/>
          <w:marRight w:val="0"/>
          <w:marTop w:val="0"/>
          <w:marBottom w:val="0"/>
          <w:divBdr>
            <w:top w:val="none" w:sz="0" w:space="0" w:color="auto"/>
            <w:left w:val="none" w:sz="0" w:space="0" w:color="auto"/>
            <w:bottom w:val="none" w:sz="0" w:space="0" w:color="auto"/>
            <w:right w:val="none" w:sz="0" w:space="0" w:color="auto"/>
          </w:divBdr>
        </w:div>
        <w:div w:id="2059163397">
          <w:marLeft w:val="640"/>
          <w:marRight w:val="0"/>
          <w:marTop w:val="0"/>
          <w:marBottom w:val="0"/>
          <w:divBdr>
            <w:top w:val="none" w:sz="0" w:space="0" w:color="auto"/>
            <w:left w:val="none" w:sz="0" w:space="0" w:color="auto"/>
            <w:bottom w:val="none" w:sz="0" w:space="0" w:color="auto"/>
            <w:right w:val="none" w:sz="0" w:space="0" w:color="auto"/>
          </w:divBdr>
        </w:div>
        <w:div w:id="2143881486">
          <w:marLeft w:val="640"/>
          <w:marRight w:val="0"/>
          <w:marTop w:val="0"/>
          <w:marBottom w:val="0"/>
          <w:divBdr>
            <w:top w:val="none" w:sz="0" w:space="0" w:color="auto"/>
            <w:left w:val="none" w:sz="0" w:space="0" w:color="auto"/>
            <w:bottom w:val="none" w:sz="0" w:space="0" w:color="auto"/>
            <w:right w:val="none" w:sz="0" w:space="0" w:color="auto"/>
          </w:divBdr>
        </w:div>
        <w:div w:id="269238470">
          <w:marLeft w:val="640"/>
          <w:marRight w:val="0"/>
          <w:marTop w:val="0"/>
          <w:marBottom w:val="0"/>
          <w:divBdr>
            <w:top w:val="none" w:sz="0" w:space="0" w:color="auto"/>
            <w:left w:val="none" w:sz="0" w:space="0" w:color="auto"/>
            <w:bottom w:val="none" w:sz="0" w:space="0" w:color="auto"/>
            <w:right w:val="none" w:sz="0" w:space="0" w:color="auto"/>
          </w:divBdr>
        </w:div>
        <w:div w:id="1558321036">
          <w:marLeft w:val="640"/>
          <w:marRight w:val="0"/>
          <w:marTop w:val="0"/>
          <w:marBottom w:val="0"/>
          <w:divBdr>
            <w:top w:val="none" w:sz="0" w:space="0" w:color="auto"/>
            <w:left w:val="none" w:sz="0" w:space="0" w:color="auto"/>
            <w:bottom w:val="none" w:sz="0" w:space="0" w:color="auto"/>
            <w:right w:val="none" w:sz="0" w:space="0" w:color="auto"/>
          </w:divBdr>
        </w:div>
        <w:div w:id="1220439011">
          <w:marLeft w:val="640"/>
          <w:marRight w:val="0"/>
          <w:marTop w:val="0"/>
          <w:marBottom w:val="0"/>
          <w:divBdr>
            <w:top w:val="none" w:sz="0" w:space="0" w:color="auto"/>
            <w:left w:val="none" w:sz="0" w:space="0" w:color="auto"/>
            <w:bottom w:val="none" w:sz="0" w:space="0" w:color="auto"/>
            <w:right w:val="none" w:sz="0" w:space="0" w:color="auto"/>
          </w:divBdr>
        </w:div>
        <w:div w:id="1544251010">
          <w:marLeft w:val="640"/>
          <w:marRight w:val="0"/>
          <w:marTop w:val="0"/>
          <w:marBottom w:val="0"/>
          <w:divBdr>
            <w:top w:val="none" w:sz="0" w:space="0" w:color="auto"/>
            <w:left w:val="none" w:sz="0" w:space="0" w:color="auto"/>
            <w:bottom w:val="none" w:sz="0" w:space="0" w:color="auto"/>
            <w:right w:val="none" w:sz="0" w:space="0" w:color="auto"/>
          </w:divBdr>
        </w:div>
        <w:div w:id="867982946">
          <w:marLeft w:val="640"/>
          <w:marRight w:val="0"/>
          <w:marTop w:val="0"/>
          <w:marBottom w:val="0"/>
          <w:divBdr>
            <w:top w:val="none" w:sz="0" w:space="0" w:color="auto"/>
            <w:left w:val="none" w:sz="0" w:space="0" w:color="auto"/>
            <w:bottom w:val="none" w:sz="0" w:space="0" w:color="auto"/>
            <w:right w:val="none" w:sz="0" w:space="0" w:color="auto"/>
          </w:divBdr>
        </w:div>
        <w:div w:id="1084381333">
          <w:marLeft w:val="640"/>
          <w:marRight w:val="0"/>
          <w:marTop w:val="0"/>
          <w:marBottom w:val="0"/>
          <w:divBdr>
            <w:top w:val="none" w:sz="0" w:space="0" w:color="auto"/>
            <w:left w:val="none" w:sz="0" w:space="0" w:color="auto"/>
            <w:bottom w:val="none" w:sz="0" w:space="0" w:color="auto"/>
            <w:right w:val="none" w:sz="0" w:space="0" w:color="auto"/>
          </w:divBdr>
        </w:div>
        <w:div w:id="1206521667">
          <w:marLeft w:val="640"/>
          <w:marRight w:val="0"/>
          <w:marTop w:val="0"/>
          <w:marBottom w:val="0"/>
          <w:divBdr>
            <w:top w:val="none" w:sz="0" w:space="0" w:color="auto"/>
            <w:left w:val="none" w:sz="0" w:space="0" w:color="auto"/>
            <w:bottom w:val="none" w:sz="0" w:space="0" w:color="auto"/>
            <w:right w:val="none" w:sz="0" w:space="0" w:color="auto"/>
          </w:divBdr>
        </w:div>
        <w:div w:id="1543058857">
          <w:marLeft w:val="640"/>
          <w:marRight w:val="0"/>
          <w:marTop w:val="0"/>
          <w:marBottom w:val="0"/>
          <w:divBdr>
            <w:top w:val="none" w:sz="0" w:space="0" w:color="auto"/>
            <w:left w:val="none" w:sz="0" w:space="0" w:color="auto"/>
            <w:bottom w:val="none" w:sz="0" w:space="0" w:color="auto"/>
            <w:right w:val="none" w:sz="0" w:space="0" w:color="auto"/>
          </w:divBdr>
        </w:div>
        <w:div w:id="993024135">
          <w:marLeft w:val="640"/>
          <w:marRight w:val="0"/>
          <w:marTop w:val="0"/>
          <w:marBottom w:val="0"/>
          <w:divBdr>
            <w:top w:val="none" w:sz="0" w:space="0" w:color="auto"/>
            <w:left w:val="none" w:sz="0" w:space="0" w:color="auto"/>
            <w:bottom w:val="none" w:sz="0" w:space="0" w:color="auto"/>
            <w:right w:val="none" w:sz="0" w:space="0" w:color="auto"/>
          </w:divBdr>
        </w:div>
        <w:div w:id="904728042">
          <w:marLeft w:val="640"/>
          <w:marRight w:val="0"/>
          <w:marTop w:val="0"/>
          <w:marBottom w:val="0"/>
          <w:divBdr>
            <w:top w:val="none" w:sz="0" w:space="0" w:color="auto"/>
            <w:left w:val="none" w:sz="0" w:space="0" w:color="auto"/>
            <w:bottom w:val="none" w:sz="0" w:space="0" w:color="auto"/>
            <w:right w:val="none" w:sz="0" w:space="0" w:color="auto"/>
          </w:divBdr>
        </w:div>
        <w:div w:id="1429083974">
          <w:marLeft w:val="640"/>
          <w:marRight w:val="0"/>
          <w:marTop w:val="0"/>
          <w:marBottom w:val="0"/>
          <w:divBdr>
            <w:top w:val="none" w:sz="0" w:space="0" w:color="auto"/>
            <w:left w:val="none" w:sz="0" w:space="0" w:color="auto"/>
            <w:bottom w:val="none" w:sz="0" w:space="0" w:color="auto"/>
            <w:right w:val="none" w:sz="0" w:space="0" w:color="auto"/>
          </w:divBdr>
        </w:div>
        <w:div w:id="83690958">
          <w:marLeft w:val="640"/>
          <w:marRight w:val="0"/>
          <w:marTop w:val="0"/>
          <w:marBottom w:val="0"/>
          <w:divBdr>
            <w:top w:val="none" w:sz="0" w:space="0" w:color="auto"/>
            <w:left w:val="none" w:sz="0" w:space="0" w:color="auto"/>
            <w:bottom w:val="none" w:sz="0" w:space="0" w:color="auto"/>
            <w:right w:val="none" w:sz="0" w:space="0" w:color="auto"/>
          </w:divBdr>
        </w:div>
        <w:div w:id="1614551298">
          <w:marLeft w:val="640"/>
          <w:marRight w:val="0"/>
          <w:marTop w:val="0"/>
          <w:marBottom w:val="0"/>
          <w:divBdr>
            <w:top w:val="none" w:sz="0" w:space="0" w:color="auto"/>
            <w:left w:val="none" w:sz="0" w:space="0" w:color="auto"/>
            <w:bottom w:val="none" w:sz="0" w:space="0" w:color="auto"/>
            <w:right w:val="none" w:sz="0" w:space="0" w:color="auto"/>
          </w:divBdr>
        </w:div>
        <w:div w:id="1131826784">
          <w:marLeft w:val="640"/>
          <w:marRight w:val="0"/>
          <w:marTop w:val="0"/>
          <w:marBottom w:val="0"/>
          <w:divBdr>
            <w:top w:val="none" w:sz="0" w:space="0" w:color="auto"/>
            <w:left w:val="none" w:sz="0" w:space="0" w:color="auto"/>
            <w:bottom w:val="none" w:sz="0" w:space="0" w:color="auto"/>
            <w:right w:val="none" w:sz="0" w:space="0" w:color="auto"/>
          </w:divBdr>
        </w:div>
        <w:div w:id="1643387403">
          <w:marLeft w:val="640"/>
          <w:marRight w:val="0"/>
          <w:marTop w:val="0"/>
          <w:marBottom w:val="0"/>
          <w:divBdr>
            <w:top w:val="none" w:sz="0" w:space="0" w:color="auto"/>
            <w:left w:val="none" w:sz="0" w:space="0" w:color="auto"/>
            <w:bottom w:val="none" w:sz="0" w:space="0" w:color="auto"/>
            <w:right w:val="none" w:sz="0" w:space="0" w:color="auto"/>
          </w:divBdr>
        </w:div>
        <w:div w:id="724790401">
          <w:marLeft w:val="640"/>
          <w:marRight w:val="0"/>
          <w:marTop w:val="0"/>
          <w:marBottom w:val="0"/>
          <w:divBdr>
            <w:top w:val="none" w:sz="0" w:space="0" w:color="auto"/>
            <w:left w:val="none" w:sz="0" w:space="0" w:color="auto"/>
            <w:bottom w:val="none" w:sz="0" w:space="0" w:color="auto"/>
            <w:right w:val="none" w:sz="0" w:space="0" w:color="auto"/>
          </w:divBdr>
        </w:div>
        <w:div w:id="1593470406">
          <w:marLeft w:val="640"/>
          <w:marRight w:val="0"/>
          <w:marTop w:val="0"/>
          <w:marBottom w:val="0"/>
          <w:divBdr>
            <w:top w:val="none" w:sz="0" w:space="0" w:color="auto"/>
            <w:left w:val="none" w:sz="0" w:space="0" w:color="auto"/>
            <w:bottom w:val="none" w:sz="0" w:space="0" w:color="auto"/>
            <w:right w:val="none" w:sz="0" w:space="0" w:color="auto"/>
          </w:divBdr>
        </w:div>
        <w:div w:id="140465640">
          <w:marLeft w:val="640"/>
          <w:marRight w:val="0"/>
          <w:marTop w:val="0"/>
          <w:marBottom w:val="0"/>
          <w:divBdr>
            <w:top w:val="none" w:sz="0" w:space="0" w:color="auto"/>
            <w:left w:val="none" w:sz="0" w:space="0" w:color="auto"/>
            <w:bottom w:val="none" w:sz="0" w:space="0" w:color="auto"/>
            <w:right w:val="none" w:sz="0" w:space="0" w:color="auto"/>
          </w:divBdr>
        </w:div>
        <w:div w:id="2082945781">
          <w:marLeft w:val="640"/>
          <w:marRight w:val="0"/>
          <w:marTop w:val="0"/>
          <w:marBottom w:val="0"/>
          <w:divBdr>
            <w:top w:val="none" w:sz="0" w:space="0" w:color="auto"/>
            <w:left w:val="none" w:sz="0" w:space="0" w:color="auto"/>
            <w:bottom w:val="none" w:sz="0" w:space="0" w:color="auto"/>
            <w:right w:val="none" w:sz="0" w:space="0" w:color="auto"/>
          </w:divBdr>
        </w:div>
        <w:div w:id="225915355">
          <w:marLeft w:val="640"/>
          <w:marRight w:val="0"/>
          <w:marTop w:val="0"/>
          <w:marBottom w:val="0"/>
          <w:divBdr>
            <w:top w:val="none" w:sz="0" w:space="0" w:color="auto"/>
            <w:left w:val="none" w:sz="0" w:space="0" w:color="auto"/>
            <w:bottom w:val="none" w:sz="0" w:space="0" w:color="auto"/>
            <w:right w:val="none" w:sz="0" w:space="0" w:color="auto"/>
          </w:divBdr>
        </w:div>
        <w:div w:id="580263802">
          <w:marLeft w:val="640"/>
          <w:marRight w:val="0"/>
          <w:marTop w:val="0"/>
          <w:marBottom w:val="0"/>
          <w:divBdr>
            <w:top w:val="none" w:sz="0" w:space="0" w:color="auto"/>
            <w:left w:val="none" w:sz="0" w:space="0" w:color="auto"/>
            <w:bottom w:val="none" w:sz="0" w:space="0" w:color="auto"/>
            <w:right w:val="none" w:sz="0" w:space="0" w:color="auto"/>
          </w:divBdr>
        </w:div>
        <w:div w:id="492070602">
          <w:marLeft w:val="640"/>
          <w:marRight w:val="0"/>
          <w:marTop w:val="0"/>
          <w:marBottom w:val="0"/>
          <w:divBdr>
            <w:top w:val="none" w:sz="0" w:space="0" w:color="auto"/>
            <w:left w:val="none" w:sz="0" w:space="0" w:color="auto"/>
            <w:bottom w:val="none" w:sz="0" w:space="0" w:color="auto"/>
            <w:right w:val="none" w:sz="0" w:space="0" w:color="auto"/>
          </w:divBdr>
        </w:div>
        <w:div w:id="2069189038">
          <w:marLeft w:val="640"/>
          <w:marRight w:val="0"/>
          <w:marTop w:val="0"/>
          <w:marBottom w:val="0"/>
          <w:divBdr>
            <w:top w:val="none" w:sz="0" w:space="0" w:color="auto"/>
            <w:left w:val="none" w:sz="0" w:space="0" w:color="auto"/>
            <w:bottom w:val="none" w:sz="0" w:space="0" w:color="auto"/>
            <w:right w:val="none" w:sz="0" w:space="0" w:color="auto"/>
          </w:divBdr>
        </w:div>
        <w:div w:id="849834359">
          <w:marLeft w:val="640"/>
          <w:marRight w:val="0"/>
          <w:marTop w:val="0"/>
          <w:marBottom w:val="0"/>
          <w:divBdr>
            <w:top w:val="none" w:sz="0" w:space="0" w:color="auto"/>
            <w:left w:val="none" w:sz="0" w:space="0" w:color="auto"/>
            <w:bottom w:val="none" w:sz="0" w:space="0" w:color="auto"/>
            <w:right w:val="none" w:sz="0" w:space="0" w:color="auto"/>
          </w:divBdr>
        </w:div>
        <w:div w:id="1393890619">
          <w:marLeft w:val="640"/>
          <w:marRight w:val="0"/>
          <w:marTop w:val="0"/>
          <w:marBottom w:val="0"/>
          <w:divBdr>
            <w:top w:val="none" w:sz="0" w:space="0" w:color="auto"/>
            <w:left w:val="none" w:sz="0" w:space="0" w:color="auto"/>
            <w:bottom w:val="none" w:sz="0" w:space="0" w:color="auto"/>
            <w:right w:val="none" w:sz="0" w:space="0" w:color="auto"/>
          </w:divBdr>
        </w:div>
        <w:div w:id="856849061">
          <w:marLeft w:val="640"/>
          <w:marRight w:val="0"/>
          <w:marTop w:val="0"/>
          <w:marBottom w:val="0"/>
          <w:divBdr>
            <w:top w:val="none" w:sz="0" w:space="0" w:color="auto"/>
            <w:left w:val="none" w:sz="0" w:space="0" w:color="auto"/>
            <w:bottom w:val="none" w:sz="0" w:space="0" w:color="auto"/>
            <w:right w:val="none" w:sz="0" w:space="0" w:color="auto"/>
          </w:divBdr>
        </w:div>
        <w:div w:id="2034921640">
          <w:marLeft w:val="640"/>
          <w:marRight w:val="0"/>
          <w:marTop w:val="0"/>
          <w:marBottom w:val="0"/>
          <w:divBdr>
            <w:top w:val="none" w:sz="0" w:space="0" w:color="auto"/>
            <w:left w:val="none" w:sz="0" w:space="0" w:color="auto"/>
            <w:bottom w:val="none" w:sz="0" w:space="0" w:color="auto"/>
            <w:right w:val="none" w:sz="0" w:space="0" w:color="auto"/>
          </w:divBdr>
        </w:div>
        <w:div w:id="128673471">
          <w:marLeft w:val="640"/>
          <w:marRight w:val="0"/>
          <w:marTop w:val="0"/>
          <w:marBottom w:val="0"/>
          <w:divBdr>
            <w:top w:val="none" w:sz="0" w:space="0" w:color="auto"/>
            <w:left w:val="none" w:sz="0" w:space="0" w:color="auto"/>
            <w:bottom w:val="none" w:sz="0" w:space="0" w:color="auto"/>
            <w:right w:val="none" w:sz="0" w:space="0" w:color="auto"/>
          </w:divBdr>
        </w:div>
        <w:div w:id="1319336838">
          <w:marLeft w:val="640"/>
          <w:marRight w:val="0"/>
          <w:marTop w:val="0"/>
          <w:marBottom w:val="0"/>
          <w:divBdr>
            <w:top w:val="none" w:sz="0" w:space="0" w:color="auto"/>
            <w:left w:val="none" w:sz="0" w:space="0" w:color="auto"/>
            <w:bottom w:val="none" w:sz="0" w:space="0" w:color="auto"/>
            <w:right w:val="none" w:sz="0" w:space="0" w:color="auto"/>
          </w:divBdr>
        </w:div>
        <w:div w:id="26493084">
          <w:marLeft w:val="640"/>
          <w:marRight w:val="0"/>
          <w:marTop w:val="0"/>
          <w:marBottom w:val="0"/>
          <w:divBdr>
            <w:top w:val="none" w:sz="0" w:space="0" w:color="auto"/>
            <w:left w:val="none" w:sz="0" w:space="0" w:color="auto"/>
            <w:bottom w:val="none" w:sz="0" w:space="0" w:color="auto"/>
            <w:right w:val="none" w:sz="0" w:space="0" w:color="auto"/>
          </w:divBdr>
        </w:div>
        <w:div w:id="1104421568">
          <w:marLeft w:val="640"/>
          <w:marRight w:val="0"/>
          <w:marTop w:val="0"/>
          <w:marBottom w:val="0"/>
          <w:divBdr>
            <w:top w:val="none" w:sz="0" w:space="0" w:color="auto"/>
            <w:left w:val="none" w:sz="0" w:space="0" w:color="auto"/>
            <w:bottom w:val="none" w:sz="0" w:space="0" w:color="auto"/>
            <w:right w:val="none" w:sz="0" w:space="0" w:color="auto"/>
          </w:divBdr>
        </w:div>
        <w:div w:id="1331059976">
          <w:marLeft w:val="640"/>
          <w:marRight w:val="0"/>
          <w:marTop w:val="0"/>
          <w:marBottom w:val="0"/>
          <w:divBdr>
            <w:top w:val="none" w:sz="0" w:space="0" w:color="auto"/>
            <w:left w:val="none" w:sz="0" w:space="0" w:color="auto"/>
            <w:bottom w:val="none" w:sz="0" w:space="0" w:color="auto"/>
            <w:right w:val="none" w:sz="0" w:space="0" w:color="auto"/>
          </w:divBdr>
        </w:div>
        <w:div w:id="1871843784">
          <w:marLeft w:val="640"/>
          <w:marRight w:val="0"/>
          <w:marTop w:val="0"/>
          <w:marBottom w:val="0"/>
          <w:divBdr>
            <w:top w:val="none" w:sz="0" w:space="0" w:color="auto"/>
            <w:left w:val="none" w:sz="0" w:space="0" w:color="auto"/>
            <w:bottom w:val="none" w:sz="0" w:space="0" w:color="auto"/>
            <w:right w:val="none" w:sz="0" w:space="0" w:color="auto"/>
          </w:divBdr>
        </w:div>
        <w:div w:id="1261530374">
          <w:marLeft w:val="640"/>
          <w:marRight w:val="0"/>
          <w:marTop w:val="0"/>
          <w:marBottom w:val="0"/>
          <w:divBdr>
            <w:top w:val="none" w:sz="0" w:space="0" w:color="auto"/>
            <w:left w:val="none" w:sz="0" w:space="0" w:color="auto"/>
            <w:bottom w:val="none" w:sz="0" w:space="0" w:color="auto"/>
            <w:right w:val="none" w:sz="0" w:space="0" w:color="auto"/>
          </w:divBdr>
        </w:div>
        <w:div w:id="642275229">
          <w:marLeft w:val="640"/>
          <w:marRight w:val="0"/>
          <w:marTop w:val="0"/>
          <w:marBottom w:val="0"/>
          <w:divBdr>
            <w:top w:val="none" w:sz="0" w:space="0" w:color="auto"/>
            <w:left w:val="none" w:sz="0" w:space="0" w:color="auto"/>
            <w:bottom w:val="none" w:sz="0" w:space="0" w:color="auto"/>
            <w:right w:val="none" w:sz="0" w:space="0" w:color="auto"/>
          </w:divBdr>
        </w:div>
        <w:div w:id="1421415222">
          <w:marLeft w:val="640"/>
          <w:marRight w:val="0"/>
          <w:marTop w:val="0"/>
          <w:marBottom w:val="0"/>
          <w:divBdr>
            <w:top w:val="none" w:sz="0" w:space="0" w:color="auto"/>
            <w:left w:val="none" w:sz="0" w:space="0" w:color="auto"/>
            <w:bottom w:val="none" w:sz="0" w:space="0" w:color="auto"/>
            <w:right w:val="none" w:sz="0" w:space="0" w:color="auto"/>
          </w:divBdr>
        </w:div>
        <w:div w:id="1349019668">
          <w:marLeft w:val="640"/>
          <w:marRight w:val="0"/>
          <w:marTop w:val="0"/>
          <w:marBottom w:val="0"/>
          <w:divBdr>
            <w:top w:val="none" w:sz="0" w:space="0" w:color="auto"/>
            <w:left w:val="none" w:sz="0" w:space="0" w:color="auto"/>
            <w:bottom w:val="none" w:sz="0" w:space="0" w:color="auto"/>
            <w:right w:val="none" w:sz="0" w:space="0" w:color="auto"/>
          </w:divBdr>
        </w:div>
        <w:div w:id="578641610">
          <w:marLeft w:val="640"/>
          <w:marRight w:val="0"/>
          <w:marTop w:val="0"/>
          <w:marBottom w:val="0"/>
          <w:divBdr>
            <w:top w:val="none" w:sz="0" w:space="0" w:color="auto"/>
            <w:left w:val="none" w:sz="0" w:space="0" w:color="auto"/>
            <w:bottom w:val="none" w:sz="0" w:space="0" w:color="auto"/>
            <w:right w:val="none" w:sz="0" w:space="0" w:color="auto"/>
          </w:divBdr>
        </w:div>
        <w:div w:id="574586192">
          <w:marLeft w:val="640"/>
          <w:marRight w:val="0"/>
          <w:marTop w:val="0"/>
          <w:marBottom w:val="0"/>
          <w:divBdr>
            <w:top w:val="none" w:sz="0" w:space="0" w:color="auto"/>
            <w:left w:val="none" w:sz="0" w:space="0" w:color="auto"/>
            <w:bottom w:val="none" w:sz="0" w:space="0" w:color="auto"/>
            <w:right w:val="none" w:sz="0" w:space="0" w:color="auto"/>
          </w:divBdr>
        </w:div>
        <w:div w:id="1732118725">
          <w:marLeft w:val="640"/>
          <w:marRight w:val="0"/>
          <w:marTop w:val="0"/>
          <w:marBottom w:val="0"/>
          <w:divBdr>
            <w:top w:val="none" w:sz="0" w:space="0" w:color="auto"/>
            <w:left w:val="none" w:sz="0" w:space="0" w:color="auto"/>
            <w:bottom w:val="none" w:sz="0" w:space="0" w:color="auto"/>
            <w:right w:val="none" w:sz="0" w:space="0" w:color="auto"/>
          </w:divBdr>
        </w:div>
        <w:div w:id="1527793208">
          <w:marLeft w:val="640"/>
          <w:marRight w:val="0"/>
          <w:marTop w:val="0"/>
          <w:marBottom w:val="0"/>
          <w:divBdr>
            <w:top w:val="none" w:sz="0" w:space="0" w:color="auto"/>
            <w:left w:val="none" w:sz="0" w:space="0" w:color="auto"/>
            <w:bottom w:val="none" w:sz="0" w:space="0" w:color="auto"/>
            <w:right w:val="none" w:sz="0" w:space="0" w:color="auto"/>
          </w:divBdr>
        </w:div>
        <w:div w:id="1139224325">
          <w:marLeft w:val="640"/>
          <w:marRight w:val="0"/>
          <w:marTop w:val="0"/>
          <w:marBottom w:val="0"/>
          <w:divBdr>
            <w:top w:val="none" w:sz="0" w:space="0" w:color="auto"/>
            <w:left w:val="none" w:sz="0" w:space="0" w:color="auto"/>
            <w:bottom w:val="none" w:sz="0" w:space="0" w:color="auto"/>
            <w:right w:val="none" w:sz="0" w:space="0" w:color="auto"/>
          </w:divBdr>
        </w:div>
        <w:div w:id="309599586">
          <w:marLeft w:val="640"/>
          <w:marRight w:val="0"/>
          <w:marTop w:val="0"/>
          <w:marBottom w:val="0"/>
          <w:divBdr>
            <w:top w:val="none" w:sz="0" w:space="0" w:color="auto"/>
            <w:left w:val="none" w:sz="0" w:space="0" w:color="auto"/>
            <w:bottom w:val="none" w:sz="0" w:space="0" w:color="auto"/>
            <w:right w:val="none" w:sz="0" w:space="0" w:color="auto"/>
          </w:divBdr>
        </w:div>
        <w:div w:id="1284968111">
          <w:marLeft w:val="640"/>
          <w:marRight w:val="0"/>
          <w:marTop w:val="0"/>
          <w:marBottom w:val="0"/>
          <w:divBdr>
            <w:top w:val="none" w:sz="0" w:space="0" w:color="auto"/>
            <w:left w:val="none" w:sz="0" w:space="0" w:color="auto"/>
            <w:bottom w:val="none" w:sz="0" w:space="0" w:color="auto"/>
            <w:right w:val="none" w:sz="0" w:space="0" w:color="auto"/>
          </w:divBdr>
        </w:div>
        <w:div w:id="160324">
          <w:marLeft w:val="640"/>
          <w:marRight w:val="0"/>
          <w:marTop w:val="0"/>
          <w:marBottom w:val="0"/>
          <w:divBdr>
            <w:top w:val="none" w:sz="0" w:space="0" w:color="auto"/>
            <w:left w:val="none" w:sz="0" w:space="0" w:color="auto"/>
            <w:bottom w:val="none" w:sz="0" w:space="0" w:color="auto"/>
            <w:right w:val="none" w:sz="0" w:space="0" w:color="auto"/>
          </w:divBdr>
        </w:div>
        <w:div w:id="55130842">
          <w:marLeft w:val="640"/>
          <w:marRight w:val="0"/>
          <w:marTop w:val="0"/>
          <w:marBottom w:val="0"/>
          <w:divBdr>
            <w:top w:val="none" w:sz="0" w:space="0" w:color="auto"/>
            <w:left w:val="none" w:sz="0" w:space="0" w:color="auto"/>
            <w:bottom w:val="none" w:sz="0" w:space="0" w:color="auto"/>
            <w:right w:val="none" w:sz="0" w:space="0" w:color="auto"/>
          </w:divBdr>
        </w:div>
        <w:div w:id="742069354">
          <w:marLeft w:val="640"/>
          <w:marRight w:val="0"/>
          <w:marTop w:val="0"/>
          <w:marBottom w:val="0"/>
          <w:divBdr>
            <w:top w:val="none" w:sz="0" w:space="0" w:color="auto"/>
            <w:left w:val="none" w:sz="0" w:space="0" w:color="auto"/>
            <w:bottom w:val="none" w:sz="0" w:space="0" w:color="auto"/>
            <w:right w:val="none" w:sz="0" w:space="0" w:color="auto"/>
          </w:divBdr>
        </w:div>
        <w:div w:id="1606645543">
          <w:marLeft w:val="640"/>
          <w:marRight w:val="0"/>
          <w:marTop w:val="0"/>
          <w:marBottom w:val="0"/>
          <w:divBdr>
            <w:top w:val="none" w:sz="0" w:space="0" w:color="auto"/>
            <w:left w:val="none" w:sz="0" w:space="0" w:color="auto"/>
            <w:bottom w:val="none" w:sz="0" w:space="0" w:color="auto"/>
            <w:right w:val="none" w:sz="0" w:space="0" w:color="auto"/>
          </w:divBdr>
        </w:div>
        <w:div w:id="401099143">
          <w:marLeft w:val="640"/>
          <w:marRight w:val="0"/>
          <w:marTop w:val="0"/>
          <w:marBottom w:val="0"/>
          <w:divBdr>
            <w:top w:val="none" w:sz="0" w:space="0" w:color="auto"/>
            <w:left w:val="none" w:sz="0" w:space="0" w:color="auto"/>
            <w:bottom w:val="none" w:sz="0" w:space="0" w:color="auto"/>
            <w:right w:val="none" w:sz="0" w:space="0" w:color="auto"/>
          </w:divBdr>
        </w:div>
        <w:div w:id="308678259">
          <w:marLeft w:val="640"/>
          <w:marRight w:val="0"/>
          <w:marTop w:val="0"/>
          <w:marBottom w:val="0"/>
          <w:divBdr>
            <w:top w:val="none" w:sz="0" w:space="0" w:color="auto"/>
            <w:left w:val="none" w:sz="0" w:space="0" w:color="auto"/>
            <w:bottom w:val="none" w:sz="0" w:space="0" w:color="auto"/>
            <w:right w:val="none" w:sz="0" w:space="0" w:color="auto"/>
          </w:divBdr>
        </w:div>
        <w:div w:id="387002210">
          <w:marLeft w:val="640"/>
          <w:marRight w:val="0"/>
          <w:marTop w:val="0"/>
          <w:marBottom w:val="0"/>
          <w:divBdr>
            <w:top w:val="none" w:sz="0" w:space="0" w:color="auto"/>
            <w:left w:val="none" w:sz="0" w:space="0" w:color="auto"/>
            <w:bottom w:val="none" w:sz="0" w:space="0" w:color="auto"/>
            <w:right w:val="none" w:sz="0" w:space="0" w:color="auto"/>
          </w:divBdr>
        </w:div>
        <w:div w:id="355276137">
          <w:marLeft w:val="640"/>
          <w:marRight w:val="0"/>
          <w:marTop w:val="0"/>
          <w:marBottom w:val="0"/>
          <w:divBdr>
            <w:top w:val="none" w:sz="0" w:space="0" w:color="auto"/>
            <w:left w:val="none" w:sz="0" w:space="0" w:color="auto"/>
            <w:bottom w:val="none" w:sz="0" w:space="0" w:color="auto"/>
            <w:right w:val="none" w:sz="0" w:space="0" w:color="auto"/>
          </w:divBdr>
        </w:div>
        <w:div w:id="1514299027">
          <w:marLeft w:val="640"/>
          <w:marRight w:val="0"/>
          <w:marTop w:val="0"/>
          <w:marBottom w:val="0"/>
          <w:divBdr>
            <w:top w:val="none" w:sz="0" w:space="0" w:color="auto"/>
            <w:left w:val="none" w:sz="0" w:space="0" w:color="auto"/>
            <w:bottom w:val="none" w:sz="0" w:space="0" w:color="auto"/>
            <w:right w:val="none" w:sz="0" w:space="0" w:color="auto"/>
          </w:divBdr>
        </w:div>
        <w:div w:id="1243875114">
          <w:marLeft w:val="640"/>
          <w:marRight w:val="0"/>
          <w:marTop w:val="0"/>
          <w:marBottom w:val="0"/>
          <w:divBdr>
            <w:top w:val="none" w:sz="0" w:space="0" w:color="auto"/>
            <w:left w:val="none" w:sz="0" w:space="0" w:color="auto"/>
            <w:bottom w:val="none" w:sz="0" w:space="0" w:color="auto"/>
            <w:right w:val="none" w:sz="0" w:space="0" w:color="auto"/>
          </w:divBdr>
        </w:div>
        <w:div w:id="434330705">
          <w:marLeft w:val="640"/>
          <w:marRight w:val="0"/>
          <w:marTop w:val="0"/>
          <w:marBottom w:val="0"/>
          <w:divBdr>
            <w:top w:val="none" w:sz="0" w:space="0" w:color="auto"/>
            <w:left w:val="none" w:sz="0" w:space="0" w:color="auto"/>
            <w:bottom w:val="none" w:sz="0" w:space="0" w:color="auto"/>
            <w:right w:val="none" w:sz="0" w:space="0" w:color="auto"/>
          </w:divBdr>
        </w:div>
        <w:div w:id="1886596117">
          <w:marLeft w:val="640"/>
          <w:marRight w:val="0"/>
          <w:marTop w:val="0"/>
          <w:marBottom w:val="0"/>
          <w:divBdr>
            <w:top w:val="none" w:sz="0" w:space="0" w:color="auto"/>
            <w:left w:val="none" w:sz="0" w:space="0" w:color="auto"/>
            <w:bottom w:val="none" w:sz="0" w:space="0" w:color="auto"/>
            <w:right w:val="none" w:sz="0" w:space="0" w:color="auto"/>
          </w:divBdr>
        </w:div>
        <w:div w:id="429200147">
          <w:marLeft w:val="640"/>
          <w:marRight w:val="0"/>
          <w:marTop w:val="0"/>
          <w:marBottom w:val="0"/>
          <w:divBdr>
            <w:top w:val="none" w:sz="0" w:space="0" w:color="auto"/>
            <w:left w:val="none" w:sz="0" w:space="0" w:color="auto"/>
            <w:bottom w:val="none" w:sz="0" w:space="0" w:color="auto"/>
            <w:right w:val="none" w:sz="0" w:space="0" w:color="auto"/>
          </w:divBdr>
        </w:div>
        <w:div w:id="669481702">
          <w:marLeft w:val="640"/>
          <w:marRight w:val="0"/>
          <w:marTop w:val="0"/>
          <w:marBottom w:val="0"/>
          <w:divBdr>
            <w:top w:val="none" w:sz="0" w:space="0" w:color="auto"/>
            <w:left w:val="none" w:sz="0" w:space="0" w:color="auto"/>
            <w:bottom w:val="none" w:sz="0" w:space="0" w:color="auto"/>
            <w:right w:val="none" w:sz="0" w:space="0" w:color="auto"/>
          </w:divBdr>
        </w:div>
        <w:div w:id="42146697">
          <w:marLeft w:val="640"/>
          <w:marRight w:val="0"/>
          <w:marTop w:val="0"/>
          <w:marBottom w:val="0"/>
          <w:divBdr>
            <w:top w:val="none" w:sz="0" w:space="0" w:color="auto"/>
            <w:left w:val="none" w:sz="0" w:space="0" w:color="auto"/>
            <w:bottom w:val="none" w:sz="0" w:space="0" w:color="auto"/>
            <w:right w:val="none" w:sz="0" w:space="0" w:color="auto"/>
          </w:divBdr>
        </w:div>
        <w:div w:id="404956355">
          <w:marLeft w:val="640"/>
          <w:marRight w:val="0"/>
          <w:marTop w:val="0"/>
          <w:marBottom w:val="0"/>
          <w:divBdr>
            <w:top w:val="none" w:sz="0" w:space="0" w:color="auto"/>
            <w:left w:val="none" w:sz="0" w:space="0" w:color="auto"/>
            <w:bottom w:val="none" w:sz="0" w:space="0" w:color="auto"/>
            <w:right w:val="none" w:sz="0" w:space="0" w:color="auto"/>
          </w:divBdr>
        </w:div>
        <w:div w:id="1988435822">
          <w:marLeft w:val="640"/>
          <w:marRight w:val="0"/>
          <w:marTop w:val="0"/>
          <w:marBottom w:val="0"/>
          <w:divBdr>
            <w:top w:val="none" w:sz="0" w:space="0" w:color="auto"/>
            <w:left w:val="none" w:sz="0" w:space="0" w:color="auto"/>
            <w:bottom w:val="none" w:sz="0" w:space="0" w:color="auto"/>
            <w:right w:val="none" w:sz="0" w:space="0" w:color="auto"/>
          </w:divBdr>
        </w:div>
        <w:div w:id="178741342">
          <w:marLeft w:val="640"/>
          <w:marRight w:val="0"/>
          <w:marTop w:val="0"/>
          <w:marBottom w:val="0"/>
          <w:divBdr>
            <w:top w:val="none" w:sz="0" w:space="0" w:color="auto"/>
            <w:left w:val="none" w:sz="0" w:space="0" w:color="auto"/>
            <w:bottom w:val="none" w:sz="0" w:space="0" w:color="auto"/>
            <w:right w:val="none" w:sz="0" w:space="0" w:color="auto"/>
          </w:divBdr>
        </w:div>
        <w:div w:id="302582410">
          <w:marLeft w:val="640"/>
          <w:marRight w:val="0"/>
          <w:marTop w:val="0"/>
          <w:marBottom w:val="0"/>
          <w:divBdr>
            <w:top w:val="none" w:sz="0" w:space="0" w:color="auto"/>
            <w:left w:val="none" w:sz="0" w:space="0" w:color="auto"/>
            <w:bottom w:val="none" w:sz="0" w:space="0" w:color="auto"/>
            <w:right w:val="none" w:sz="0" w:space="0" w:color="auto"/>
          </w:divBdr>
        </w:div>
        <w:div w:id="273295065">
          <w:marLeft w:val="640"/>
          <w:marRight w:val="0"/>
          <w:marTop w:val="0"/>
          <w:marBottom w:val="0"/>
          <w:divBdr>
            <w:top w:val="none" w:sz="0" w:space="0" w:color="auto"/>
            <w:left w:val="none" w:sz="0" w:space="0" w:color="auto"/>
            <w:bottom w:val="none" w:sz="0" w:space="0" w:color="auto"/>
            <w:right w:val="none" w:sz="0" w:space="0" w:color="auto"/>
          </w:divBdr>
        </w:div>
        <w:div w:id="1455054360">
          <w:marLeft w:val="640"/>
          <w:marRight w:val="0"/>
          <w:marTop w:val="0"/>
          <w:marBottom w:val="0"/>
          <w:divBdr>
            <w:top w:val="none" w:sz="0" w:space="0" w:color="auto"/>
            <w:left w:val="none" w:sz="0" w:space="0" w:color="auto"/>
            <w:bottom w:val="none" w:sz="0" w:space="0" w:color="auto"/>
            <w:right w:val="none" w:sz="0" w:space="0" w:color="auto"/>
          </w:divBdr>
        </w:div>
        <w:div w:id="897396409">
          <w:marLeft w:val="640"/>
          <w:marRight w:val="0"/>
          <w:marTop w:val="0"/>
          <w:marBottom w:val="0"/>
          <w:divBdr>
            <w:top w:val="none" w:sz="0" w:space="0" w:color="auto"/>
            <w:left w:val="none" w:sz="0" w:space="0" w:color="auto"/>
            <w:bottom w:val="none" w:sz="0" w:space="0" w:color="auto"/>
            <w:right w:val="none" w:sz="0" w:space="0" w:color="auto"/>
          </w:divBdr>
        </w:div>
      </w:divsChild>
    </w:div>
    <w:div w:id="924267967">
      <w:bodyDiv w:val="1"/>
      <w:marLeft w:val="0"/>
      <w:marRight w:val="0"/>
      <w:marTop w:val="0"/>
      <w:marBottom w:val="0"/>
      <w:divBdr>
        <w:top w:val="none" w:sz="0" w:space="0" w:color="auto"/>
        <w:left w:val="none" w:sz="0" w:space="0" w:color="auto"/>
        <w:bottom w:val="none" w:sz="0" w:space="0" w:color="auto"/>
        <w:right w:val="none" w:sz="0" w:space="0" w:color="auto"/>
      </w:divBdr>
      <w:divsChild>
        <w:div w:id="612858614">
          <w:marLeft w:val="640"/>
          <w:marRight w:val="0"/>
          <w:marTop w:val="0"/>
          <w:marBottom w:val="0"/>
          <w:divBdr>
            <w:top w:val="none" w:sz="0" w:space="0" w:color="auto"/>
            <w:left w:val="none" w:sz="0" w:space="0" w:color="auto"/>
            <w:bottom w:val="none" w:sz="0" w:space="0" w:color="auto"/>
            <w:right w:val="none" w:sz="0" w:space="0" w:color="auto"/>
          </w:divBdr>
        </w:div>
        <w:div w:id="1013921345">
          <w:marLeft w:val="640"/>
          <w:marRight w:val="0"/>
          <w:marTop w:val="0"/>
          <w:marBottom w:val="0"/>
          <w:divBdr>
            <w:top w:val="none" w:sz="0" w:space="0" w:color="auto"/>
            <w:left w:val="none" w:sz="0" w:space="0" w:color="auto"/>
            <w:bottom w:val="none" w:sz="0" w:space="0" w:color="auto"/>
            <w:right w:val="none" w:sz="0" w:space="0" w:color="auto"/>
          </w:divBdr>
        </w:div>
        <w:div w:id="331883423">
          <w:marLeft w:val="640"/>
          <w:marRight w:val="0"/>
          <w:marTop w:val="0"/>
          <w:marBottom w:val="0"/>
          <w:divBdr>
            <w:top w:val="none" w:sz="0" w:space="0" w:color="auto"/>
            <w:left w:val="none" w:sz="0" w:space="0" w:color="auto"/>
            <w:bottom w:val="none" w:sz="0" w:space="0" w:color="auto"/>
            <w:right w:val="none" w:sz="0" w:space="0" w:color="auto"/>
          </w:divBdr>
        </w:div>
        <w:div w:id="1296182675">
          <w:marLeft w:val="640"/>
          <w:marRight w:val="0"/>
          <w:marTop w:val="0"/>
          <w:marBottom w:val="0"/>
          <w:divBdr>
            <w:top w:val="none" w:sz="0" w:space="0" w:color="auto"/>
            <w:left w:val="none" w:sz="0" w:space="0" w:color="auto"/>
            <w:bottom w:val="none" w:sz="0" w:space="0" w:color="auto"/>
            <w:right w:val="none" w:sz="0" w:space="0" w:color="auto"/>
          </w:divBdr>
        </w:div>
        <w:div w:id="1129326265">
          <w:marLeft w:val="640"/>
          <w:marRight w:val="0"/>
          <w:marTop w:val="0"/>
          <w:marBottom w:val="0"/>
          <w:divBdr>
            <w:top w:val="none" w:sz="0" w:space="0" w:color="auto"/>
            <w:left w:val="none" w:sz="0" w:space="0" w:color="auto"/>
            <w:bottom w:val="none" w:sz="0" w:space="0" w:color="auto"/>
            <w:right w:val="none" w:sz="0" w:space="0" w:color="auto"/>
          </w:divBdr>
        </w:div>
        <w:div w:id="1813211389">
          <w:marLeft w:val="640"/>
          <w:marRight w:val="0"/>
          <w:marTop w:val="0"/>
          <w:marBottom w:val="0"/>
          <w:divBdr>
            <w:top w:val="none" w:sz="0" w:space="0" w:color="auto"/>
            <w:left w:val="none" w:sz="0" w:space="0" w:color="auto"/>
            <w:bottom w:val="none" w:sz="0" w:space="0" w:color="auto"/>
            <w:right w:val="none" w:sz="0" w:space="0" w:color="auto"/>
          </w:divBdr>
        </w:div>
        <w:div w:id="2072456551">
          <w:marLeft w:val="640"/>
          <w:marRight w:val="0"/>
          <w:marTop w:val="0"/>
          <w:marBottom w:val="0"/>
          <w:divBdr>
            <w:top w:val="none" w:sz="0" w:space="0" w:color="auto"/>
            <w:left w:val="none" w:sz="0" w:space="0" w:color="auto"/>
            <w:bottom w:val="none" w:sz="0" w:space="0" w:color="auto"/>
            <w:right w:val="none" w:sz="0" w:space="0" w:color="auto"/>
          </w:divBdr>
        </w:div>
        <w:div w:id="858540824">
          <w:marLeft w:val="640"/>
          <w:marRight w:val="0"/>
          <w:marTop w:val="0"/>
          <w:marBottom w:val="0"/>
          <w:divBdr>
            <w:top w:val="none" w:sz="0" w:space="0" w:color="auto"/>
            <w:left w:val="none" w:sz="0" w:space="0" w:color="auto"/>
            <w:bottom w:val="none" w:sz="0" w:space="0" w:color="auto"/>
            <w:right w:val="none" w:sz="0" w:space="0" w:color="auto"/>
          </w:divBdr>
        </w:div>
        <w:div w:id="525172181">
          <w:marLeft w:val="640"/>
          <w:marRight w:val="0"/>
          <w:marTop w:val="0"/>
          <w:marBottom w:val="0"/>
          <w:divBdr>
            <w:top w:val="none" w:sz="0" w:space="0" w:color="auto"/>
            <w:left w:val="none" w:sz="0" w:space="0" w:color="auto"/>
            <w:bottom w:val="none" w:sz="0" w:space="0" w:color="auto"/>
            <w:right w:val="none" w:sz="0" w:space="0" w:color="auto"/>
          </w:divBdr>
        </w:div>
        <w:div w:id="1114446635">
          <w:marLeft w:val="640"/>
          <w:marRight w:val="0"/>
          <w:marTop w:val="0"/>
          <w:marBottom w:val="0"/>
          <w:divBdr>
            <w:top w:val="none" w:sz="0" w:space="0" w:color="auto"/>
            <w:left w:val="none" w:sz="0" w:space="0" w:color="auto"/>
            <w:bottom w:val="none" w:sz="0" w:space="0" w:color="auto"/>
            <w:right w:val="none" w:sz="0" w:space="0" w:color="auto"/>
          </w:divBdr>
        </w:div>
        <w:div w:id="1265529392">
          <w:marLeft w:val="640"/>
          <w:marRight w:val="0"/>
          <w:marTop w:val="0"/>
          <w:marBottom w:val="0"/>
          <w:divBdr>
            <w:top w:val="none" w:sz="0" w:space="0" w:color="auto"/>
            <w:left w:val="none" w:sz="0" w:space="0" w:color="auto"/>
            <w:bottom w:val="none" w:sz="0" w:space="0" w:color="auto"/>
            <w:right w:val="none" w:sz="0" w:space="0" w:color="auto"/>
          </w:divBdr>
        </w:div>
        <w:div w:id="729965865">
          <w:marLeft w:val="640"/>
          <w:marRight w:val="0"/>
          <w:marTop w:val="0"/>
          <w:marBottom w:val="0"/>
          <w:divBdr>
            <w:top w:val="none" w:sz="0" w:space="0" w:color="auto"/>
            <w:left w:val="none" w:sz="0" w:space="0" w:color="auto"/>
            <w:bottom w:val="none" w:sz="0" w:space="0" w:color="auto"/>
            <w:right w:val="none" w:sz="0" w:space="0" w:color="auto"/>
          </w:divBdr>
        </w:div>
        <w:div w:id="1343896887">
          <w:marLeft w:val="640"/>
          <w:marRight w:val="0"/>
          <w:marTop w:val="0"/>
          <w:marBottom w:val="0"/>
          <w:divBdr>
            <w:top w:val="none" w:sz="0" w:space="0" w:color="auto"/>
            <w:left w:val="none" w:sz="0" w:space="0" w:color="auto"/>
            <w:bottom w:val="none" w:sz="0" w:space="0" w:color="auto"/>
            <w:right w:val="none" w:sz="0" w:space="0" w:color="auto"/>
          </w:divBdr>
        </w:div>
        <w:div w:id="2007974279">
          <w:marLeft w:val="640"/>
          <w:marRight w:val="0"/>
          <w:marTop w:val="0"/>
          <w:marBottom w:val="0"/>
          <w:divBdr>
            <w:top w:val="none" w:sz="0" w:space="0" w:color="auto"/>
            <w:left w:val="none" w:sz="0" w:space="0" w:color="auto"/>
            <w:bottom w:val="none" w:sz="0" w:space="0" w:color="auto"/>
            <w:right w:val="none" w:sz="0" w:space="0" w:color="auto"/>
          </w:divBdr>
        </w:div>
        <w:div w:id="950211847">
          <w:marLeft w:val="640"/>
          <w:marRight w:val="0"/>
          <w:marTop w:val="0"/>
          <w:marBottom w:val="0"/>
          <w:divBdr>
            <w:top w:val="none" w:sz="0" w:space="0" w:color="auto"/>
            <w:left w:val="none" w:sz="0" w:space="0" w:color="auto"/>
            <w:bottom w:val="none" w:sz="0" w:space="0" w:color="auto"/>
            <w:right w:val="none" w:sz="0" w:space="0" w:color="auto"/>
          </w:divBdr>
        </w:div>
        <w:div w:id="483670400">
          <w:marLeft w:val="640"/>
          <w:marRight w:val="0"/>
          <w:marTop w:val="0"/>
          <w:marBottom w:val="0"/>
          <w:divBdr>
            <w:top w:val="none" w:sz="0" w:space="0" w:color="auto"/>
            <w:left w:val="none" w:sz="0" w:space="0" w:color="auto"/>
            <w:bottom w:val="none" w:sz="0" w:space="0" w:color="auto"/>
            <w:right w:val="none" w:sz="0" w:space="0" w:color="auto"/>
          </w:divBdr>
        </w:div>
        <w:div w:id="646277202">
          <w:marLeft w:val="640"/>
          <w:marRight w:val="0"/>
          <w:marTop w:val="0"/>
          <w:marBottom w:val="0"/>
          <w:divBdr>
            <w:top w:val="none" w:sz="0" w:space="0" w:color="auto"/>
            <w:left w:val="none" w:sz="0" w:space="0" w:color="auto"/>
            <w:bottom w:val="none" w:sz="0" w:space="0" w:color="auto"/>
            <w:right w:val="none" w:sz="0" w:space="0" w:color="auto"/>
          </w:divBdr>
        </w:div>
        <w:div w:id="1118640728">
          <w:marLeft w:val="640"/>
          <w:marRight w:val="0"/>
          <w:marTop w:val="0"/>
          <w:marBottom w:val="0"/>
          <w:divBdr>
            <w:top w:val="none" w:sz="0" w:space="0" w:color="auto"/>
            <w:left w:val="none" w:sz="0" w:space="0" w:color="auto"/>
            <w:bottom w:val="none" w:sz="0" w:space="0" w:color="auto"/>
            <w:right w:val="none" w:sz="0" w:space="0" w:color="auto"/>
          </w:divBdr>
        </w:div>
        <w:div w:id="1688290797">
          <w:marLeft w:val="640"/>
          <w:marRight w:val="0"/>
          <w:marTop w:val="0"/>
          <w:marBottom w:val="0"/>
          <w:divBdr>
            <w:top w:val="none" w:sz="0" w:space="0" w:color="auto"/>
            <w:left w:val="none" w:sz="0" w:space="0" w:color="auto"/>
            <w:bottom w:val="none" w:sz="0" w:space="0" w:color="auto"/>
            <w:right w:val="none" w:sz="0" w:space="0" w:color="auto"/>
          </w:divBdr>
        </w:div>
        <w:div w:id="769424464">
          <w:marLeft w:val="640"/>
          <w:marRight w:val="0"/>
          <w:marTop w:val="0"/>
          <w:marBottom w:val="0"/>
          <w:divBdr>
            <w:top w:val="none" w:sz="0" w:space="0" w:color="auto"/>
            <w:left w:val="none" w:sz="0" w:space="0" w:color="auto"/>
            <w:bottom w:val="none" w:sz="0" w:space="0" w:color="auto"/>
            <w:right w:val="none" w:sz="0" w:space="0" w:color="auto"/>
          </w:divBdr>
        </w:div>
        <w:div w:id="1424956065">
          <w:marLeft w:val="640"/>
          <w:marRight w:val="0"/>
          <w:marTop w:val="0"/>
          <w:marBottom w:val="0"/>
          <w:divBdr>
            <w:top w:val="none" w:sz="0" w:space="0" w:color="auto"/>
            <w:left w:val="none" w:sz="0" w:space="0" w:color="auto"/>
            <w:bottom w:val="none" w:sz="0" w:space="0" w:color="auto"/>
            <w:right w:val="none" w:sz="0" w:space="0" w:color="auto"/>
          </w:divBdr>
        </w:div>
        <w:div w:id="1482846740">
          <w:marLeft w:val="640"/>
          <w:marRight w:val="0"/>
          <w:marTop w:val="0"/>
          <w:marBottom w:val="0"/>
          <w:divBdr>
            <w:top w:val="none" w:sz="0" w:space="0" w:color="auto"/>
            <w:left w:val="none" w:sz="0" w:space="0" w:color="auto"/>
            <w:bottom w:val="none" w:sz="0" w:space="0" w:color="auto"/>
            <w:right w:val="none" w:sz="0" w:space="0" w:color="auto"/>
          </w:divBdr>
        </w:div>
        <w:div w:id="1139374111">
          <w:marLeft w:val="640"/>
          <w:marRight w:val="0"/>
          <w:marTop w:val="0"/>
          <w:marBottom w:val="0"/>
          <w:divBdr>
            <w:top w:val="none" w:sz="0" w:space="0" w:color="auto"/>
            <w:left w:val="none" w:sz="0" w:space="0" w:color="auto"/>
            <w:bottom w:val="none" w:sz="0" w:space="0" w:color="auto"/>
            <w:right w:val="none" w:sz="0" w:space="0" w:color="auto"/>
          </w:divBdr>
        </w:div>
        <w:div w:id="155920203">
          <w:marLeft w:val="640"/>
          <w:marRight w:val="0"/>
          <w:marTop w:val="0"/>
          <w:marBottom w:val="0"/>
          <w:divBdr>
            <w:top w:val="none" w:sz="0" w:space="0" w:color="auto"/>
            <w:left w:val="none" w:sz="0" w:space="0" w:color="auto"/>
            <w:bottom w:val="none" w:sz="0" w:space="0" w:color="auto"/>
            <w:right w:val="none" w:sz="0" w:space="0" w:color="auto"/>
          </w:divBdr>
        </w:div>
        <w:div w:id="495387499">
          <w:marLeft w:val="640"/>
          <w:marRight w:val="0"/>
          <w:marTop w:val="0"/>
          <w:marBottom w:val="0"/>
          <w:divBdr>
            <w:top w:val="none" w:sz="0" w:space="0" w:color="auto"/>
            <w:left w:val="none" w:sz="0" w:space="0" w:color="auto"/>
            <w:bottom w:val="none" w:sz="0" w:space="0" w:color="auto"/>
            <w:right w:val="none" w:sz="0" w:space="0" w:color="auto"/>
          </w:divBdr>
        </w:div>
        <w:div w:id="1769886733">
          <w:marLeft w:val="640"/>
          <w:marRight w:val="0"/>
          <w:marTop w:val="0"/>
          <w:marBottom w:val="0"/>
          <w:divBdr>
            <w:top w:val="none" w:sz="0" w:space="0" w:color="auto"/>
            <w:left w:val="none" w:sz="0" w:space="0" w:color="auto"/>
            <w:bottom w:val="none" w:sz="0" w:space="0" w:color="auto"/>
            <w:right w:val="none" w:sz="0" w:space="0" w:color="auto"/>
          </w:divBdr>
        </w:div>
        <w:div w:id="2136023769">
          <w:marLeft w:val="640"/>
          <w:marRight w:val="0"/>
          <w:marTop w:val="0"/>
          <w:marBottom w:val="0"/>
          <w:divBdr>
            <w:top w:val="none" w:sz="0" w:space="0" w:color="auto"/>
            <w:left w:val="none" w:sz="0" w:space="0" w:color="auto"/>
            <w:bottom w:val="none" w:sz="0" w:space="0" w:color="auto"/>
            <w:right w:val="none" w:sz="0" w:space="0" w:color="auto"/>
          </w:divBdr>
        </w:div>
        <w:div w:id="1939096885">
          <w:marLeft w:val="640"/>
          <w:marRight w:val="0"/>
          <w:marTop w:val="0"/>
          <w:marBottom w:val="0"/>
          <w:divBdr>
            <w:top w:val="none" w:sz="0" w:space="0" w:color="auto"/>
            <w:left w:val="none" w:sz="0" w:space="0" w:color="auto"/>
            <w:bottom w:val="none" w:sz="0" w:space="0" w:color="auto"/>
            <w:right w:val="none" w:sz="0" w:space="0" w:color="auto"/>
          </w:divBdr>
        </w:div>
        <w:div w:id="1002901027">
          <w:marLeft w:val="640"/>
          <w:marRight w:val="0"/>
          <w:marTop w:val="0"/>
          <w:marBottom w:val="0"/>
          <w:divBdr>
            <w:top w:val="none" w:sz="0" w:space="0" w:color="auto"/>
            <w:left w:val="none" w:sz="0" w:space="0" w:color="auto"/>
            <w:bottom w:val="none" w:sz="0" w:space="0" w:color="auto"/>
            <w:right w:val="none" w:sz="0" w:space="0" w:color="auto"/>
          </w:divBdr>
        </w:div>
        <w:div w:id="985474230">
          <w:marLeft w:val="640"/>
          <w:marRight w:val="0"/>
          <w:marTop w:val="0"/>
          <w:marBottom w:val="0"/>
          <w:divBdr>
            <w:top w:val="none" w:sz="0" w:space="0" w:color="auto"/>
            <w:left w:val="none" w:sz="0" w:space="0" w:color="auto"/>
            <w:bottom w:val="none" w:sz="0" w:space="0" w:color="auto"/>
            <w:right w:val="none" w:sz="0" w:space="0" w:color="auto"/>
          </w:divBdr>
        </w:div>
        <w:div w:id="2018917778">
          <w:marLeft w:val="640"/>
          <w:marRight w:val="0"/>
          <w:marTop w:val="0"/>
          <w:marBottom w:val="0"/>
          <w:divBdr>
            <w:top w:val="none" w:sz="0" w:space="0" w:color="auto"/>
            <w:left w:val="none" w:sz="0" w:space="0" w:color="auto"/>
            <w:bottom w:val="none" w:sz="0" w:space="0" w:color="auto"/>
            <w:right w:val="none" w:sz="0" w:space="0" w:color="auto"/>
          </w:divBdr>
        </w:div>
        <w:div w:id="1509368052">
          <w:marLeft w:val="640"/>
          <w:marRight w:val="0"/>
          <w:marTop w:val="0"/>
          <w:marBottom w:val="0"/>
          <w:divBdr>
            <w:top w:val="none" w:sz="0" w:space="0" w:color="auto"/>
            <w:left w:val="none" w:sz="0" w:space="0" w:color="auto"/>
            <w:bottom w:val="none" w:sz="0" w:space="0" w:color="auto"/>
            <w:right w:val="none" w:sz="0" w:space="0" w:color="auto"/>
          </w:divBdr>
        </w:div>
        <w:div w:id="2049055">
          <w:marLeft w:val="640"/>
          <w:marRight w:val="0"/>
          <w:marTop w:val="0"/>
          <w:marBottom w:val="0"/>
          <w:divBdr>
            <w:top w:val="none" w:sz="0" w:space="0" w:color="auto"/>
            <w:left w:val="none" w:sz="0" w:space="0" w:color="auto"/>
            <w:bottom w:val="none" w:sz="0" w:space="0" w:color="auto"/>
            <w:right w:val="none" w:sz="0" w:space="0" w:color="auto"/>
          </w:divBdr>
        </w:div>
        <w:div w:id="1002511334">
          <w:marLeft w:val="640"/>
          <w:marRight w:val="0"/>
          <w:marTop w:val="0"/>
          <w:marBottom w:val="0"/>
          <w:divBdr>
            <w:top w:val="none" w:sz="0" w:space="0" w:color="auto"/>
            <w:left w:val="none" w:sz="0" w:space="0" w:color="auto"/>
            <w:bottom w:val="none" w:sz="0" w:space="0" w:color="auto"/>
            <w:right w:val="none" w:sz="0" w:space="0" w:color="auto"/>
          </w:divBdr>
        </w:div>
        <w:div w:id="1811970988">
          <w:marLeft w:val="640"/>
          <w:marRight w:val="0"/>
          <w:marTop w:val="0"/>
          <w:marBottom w:val="0"/>
          <w:divBdr>
            <w:top w:val="none" w:sz="0" w:space="0" w:color="auto"/>
            <w:left w:val="none" w:sz="0" w:space="0" w:color="auto"/>
            <w:bottom w:val="none" w:sz="0" w:space="0" w:color="auto"/>
            <w:right w:val="none" w:sz="0" w:space="0" w:color="auto"/>
          </w:divBdr>
        </w:div>
        <w:div w:id="558246484">
          <w:marLeft w:val="640"/>
          <w:marRight w:val="0"/>
          <w:marTop w:val="0"/>
          <w:marBottom w:val="0"/>
          <w:divBdr>
            <w:top w:val="none" w:sz="0" w:space="0" w:color="auto"/>
            <w:left w:val="none" w:sz="0" w:space="0" w:color="auto"/>
            <w:bottom w:val="none" w:sz="0" w:space="0" w:color="auto"/>
            <w:right w:val="none" w:sz="0" w:space="0" w:color="auto"/>
          </w:divBdr>
        </w:div>
        <w:div w:id="1393650082">
          <w:marLeft w:val="640"/>
          <w:marRight w:val="0"/>
          <w:marTop w:val="0"/>
          <w:marBottom w:val="0"/>
          <w:divBdr>
            <w:top w:val="none" w:sz="0" w:space="0" w:color="auto"/>
            <w:left w:val="none" w:sz="0" w:space="0" w:color="auto"/>
            <w:bottom w:val="none" w:sz="0" w:space="0" w:color="auto"/>
            <w:right w:val="none" w:sz="0" w:space="0" w:color="auto"/>
          </w:divBdr>
        </w:div>
        <w:div w:id="1612785626">
          <w:marLeft w:val="640"/>
          <w:marRight w:val="0"/>
          <w:marTop w:val="0"/>
          <w:marBottom w:val="0"/>
          <w:divBdr>
            <w:top w:val="none" w:sz="0" w:space="0" w:color="auto"/>
            <w:left w:val="none" w:sz="0" w:space="0" w:color="auto"/>
            <w:bottom w:val="none" w:sz="0" w:space="0" w:color="auto"/>
            <w:right w:val="none" w:sz="0" w:space="0" w:color="auto"/>
          </w:divBdr>
        </w:div>
        <w:div w:id="1124739842">
          <w:marLeft w:val="640"/>
          <w:marRight w:val="0"/>
          <w:marTop w:val="0"/>
          <w:marBottom w:val="0"/>
          <w:divBdr>
            <w:top w:val="none" w:sz="0" w:space="0" w:color="auto"/>
            <w:left w:val="none" w:sz="0" w:space="0" w:color="auto"/>
            <w:bottom w:val="none" w:sz="0" w:space="0" w:color="auto"/>
            <w:right w:val="none" w:sz="0" w:space="0" w:color="auto"/>
          </w:divBdr>
        </w:div>
        <w:div w:id="1212041305">
          <w:marLeft w:val="640"/>
          <w:marRight w:val="0"/>
          <w:marTop w:val="0"/>
          <w:marBottom w:val="0"/>
          <w:divBdr>
            <w:top w:val="none" w:sz="0" w:space="0" w:color="auto"/>
            <w:left w:val="none" w:sz="0" w:space="0" w:color="auto"/>
            <w:bottom w:val="none" w:sz="0" w:space="0" w:color="auto"/>
            <w:right w:val="none" w:sz="0" w:space="0" w:color="auto"/>
          </w:divBdr>
        </w:div>
        <w:div w:id="1278871139">
          <w:marLeft w:val="640"/>
          <w:marRight w:val="0"/>
          <w:marTop w:val="0"/>
          <w:marBottom w:val="0"/>
          <w:divBdr>
            <w:top w:val="none" w:sz="0" w:space="0" w:color="auto"/>
            <w:left w:val="none" w:sz="0" w:space="0" w:color="auto"/>
            <w:bottom w:val="none" w:sz="0" w:space="0" w:color="auto"/>
            <w:right w:val="none" w:sz="0" w:space="0" w:color="auto"/>
          </w:divBdr>
        </w:div>
        <w:div w:id="1447236074">
          <w:marLeft w:val="640"/>
          <w:marRight w:val="0"/>
          <w:marTop w:val="0"/>
          <w:marBottom w:val="0"/>
          <w:divBdr>
            <w:top w:val="none" w:sz="0" w:space="0" w:color="auto"/>
            <w:left w:val="none" w:sz="0" w:space="0" w:color="auto"/>
            <w:bottom w:val="none" w:sz="0" w:space="0" w:color="auto"/>
            <w:right w:val="none" w:sz="0" w:space="0" w:color="auto"/>
          </w:divBdr>
        </w:div>
        <w:div w:id="2012178186">
          <w:marLeft w:val="640"/>
          <w:marRight w:val="0"/>
          <w:marTop w:val="0"/>
          <w:marBottom w:val="0"/>
          <w:divBdr>
            <w:top w:val="none" w:sz="0" w:space="0" w:color="auto"/>
            <w:left w:val="none" w:sz="0" w:space="0" w:color="auto"/>
            <w:bottom w:val="none" w:sz="0" w:space="0" w:color="auto"/>
            <w:right w:val="none" w:sz="0" w:space="0" w:color="auto"/>
          </w:divBdr>
        </w:div>
        <w:div w:id="869799861">
          <w:marLeft w:val="640"/>
          <w:marRight w:val="0"/>
          <w:marTop w:val="0"/>
          <w:marBottom w:val="0"/>
          <w:divBdr>
            <w:top w:val="none" w:sz="0" w:space="0" w:color="auto"/>
            <w:left w:val="none" w:sz="0" w:space="0" w:color="auto"/>
            <w:bottom w:val="none" w:sz="0" w:space="0" w:color="auto"/>
            <w:right w:val="none" w:sz="0" w:space="0" w:color="auto"/>
          </w:divBdr>
        </w:div>
        <w:div w:id="575045510">
          <w:marLeft w:val="640"/>
          <w:marRight w:val="0"/>
          <w:marTop w:val="0"/>
          <w:marBottom w:val="0"/>
          <w:divBdr>
            <w:top w:val="none" w:sz="0" w:space="0" w:color="auto"/>
            <w:left w:val="none" w:sz="0" w:space="0" w:color="auto"/>
            <w:bottom w:val="none" w:sz="0" w:space="0" w:color="auto"/>
            <w:right w:val="none" w:sz="0" w:space="0" w:color="auto"/>
          </w:divBdr>
        </w:div>
        <w:div w:id="716976630">
          <w:marLeft w:val="640"/>
          <w:marRight w:val="0"/>
          <w:marTop w:val="0"/>
          <w:marBottom w:val="0"/>
          <w:divBdr>
            <w:top w:val="none" w:sz="0" w:space="0" w:color="auto"/>
            <w:left w:val="none" w:sz="0" w:space="0" w:color="auto"/>
            <w:bottom w:val="none" w:sz="0" w:space="0" w:color="auto"/>
            <w:right w:val="none" w:sz="0" w:space="0" w:color="auto"/>
          </w:divBdr>
        </w:div>
        <w:div w:id="1549494980">
          <w:marLeft w:val="640"/>
          <w:marRight w:val="0"/>
          <w:marTop w:val="0"/>
          <w:marBottom w:val="0"/>
          <w:divBdr>
            <w:top w:val="none" w:sz="0" w:space="0" w:color="auto"/>
            <w:left w:val="none" w:sz="0" w:space="0" w:color="auto"/>
            <w:bottom w:val="none" w:sz="0" w:space="0" w:color="auto"/>
            <w:right w:val="none" w:sz="0" w:space="0" w:color="auto"/>
          </w:divBdr>
        </w:div>
        <w:div w:id="1279525827">
          <w:marLeft w:val="640"/>
          <w:marRight w:val="0"/>
          <w:marTop w:val="0"/>
          <w:marBottom w:val="0"/>
          <w:divBdr>
            <w:top w:val="none" w:sz="0" w:space="0" w:color="auto"/>
            <w:left w:val="none" w:sz="0" w:space="0" w:color="auto"/>
            <w:bottom w:val="none" w:sz="0" w:space="0" w:color="auto"/>
            <w:right w:val="none" w:sz="0" w:space="0" w:color="auto"/>
          </w:divBdr>
        </w:div>
        <w:div w:id="1708487113">
          <w:marLeft w:val="640"/>
          <w:marRight w:val="0"/>
          <w:marTop w:val="0"/>
          <w:marBottom w:val="0"/>
          <w:divBdr>
            <w:top w:val="none" w:sz="0" w:space="0" w:color="auto"/>
            <w:left w:val="none" w:sz="0" w:space="0" w:color="auto"/>
            <w:bottom w:val="none" w:sz="0" w:space="0" w:color="auto"/>
            <w:right w:val="none" w:sz="0" w:space="0" w:color="auto"/>
          </w:divBdr>
        </w:div>
        <w:div w:id="847448274">
          <w:marLeft w:val="640"/>
          <w:marRight w:val="0"/>
          <w:marTop w:val="0"/>
          <w:marBottom w:val="0"/>
          <w:divBdr>
            <w:top w:val="none" w:sz="0" w:space="0" w:color="auto"/>
            <w:left w:val="none" w:sz="0" w:space="0" w:color="auto"/>
            <w:bottom w:val="none" w:sz="0" w:space="0" w:color="auto"/>
            <w:right w:val="none" w:sz="0" w:space="0" w:color="auto"/>
          </w:divBdr>
        </w:div>
        <w:div w:id="1890802948">
          <w:marLeft w:val="640"/>
          <w:marRight w:val="0"/>
          <w:marTop w:val="0"/>
          <w:marBottom w:val="0"/>
          <w:divBdr>
            <w:top w:val="none" w:sz="0" w:space="0" w:color="auto"/>
            <w:left w:val="none" w:sz="0" w:space="0" w:color="auto"/>
            <w:bottom w:val="none" w:sz="0" w:space="0" w:color="auto"/>
            <w:right w:val="none" w:sz="0" w:space="0" w:color="auto"/>
          </w:divBdr>
        </w:div>
        <w:div w:id="913706825">
          <w:marLeft w:val="640"/>
          <w:marRight w:val="0"/>
          <w:marTop w:val="0"/>
          <w:marBottom w:val="0"/>
          <w:divBdr>
            <w:top w:val="none" w:sz="0" w:space="0" w:color="auto"/>
            <w:left w:val="none" w:sz="0" w:space="0" w:color="auto"/>
            <w:bottom w:val="none" w:sz="0" w:space="0" w:color="auto"/>
            <w:right w:val="none" w:sz="0" w:space="0" w:color="auto"/>
          </w:divBdr>
        </w:div>
        <w:div w:id="357239110">
          <w:marLeft w:val="640"/>
          <w:marRight w:val="0"/>
          <w:marTop w:val="0"/>
          <w:marBottom w:val="0"/>
          <w:divBdr>
            <w:top w:val="none" w:sz="0" w:space="0" w:color="auto"/>
            <w:left w:val="none" w:sz="0" w:space="0" w:color="auto"/>
            <w:bottom w:val="none" w:sz="0" w:space="0" w:color="auto"/>
            <w:right w:val="none" w:sz="0" w:space="0" w:color="auto"/>
          </w:divBdr>
        </w:div>
        <w:div w:id="1407340675">
          <w:marLeft w:val="640"/>
          <w:marRight w:val="0"/>
          <w:marTop w:val="0"/>
          <w:marBottom w:val="0"/>
          <w:divBdr>
            <w:top w:val="none" w:sz="0" w:space="0" w:color="auto"/>
            <w:left w:val="none" w:sz="0" w:space="0" w:color="auto"/>
            <w:bottom w:val="none" w:sz="0" w:space="0" w:color="auto"/>
            <w:right w:val="none" w:sz="0" w:space="0" w:color="auto"/>
          </w:divBdr>
        </w:div>
        <w:div w:id="72775558">
          <w:marLeft w:val="640"/>
          <w:marRight w:val="0"/>
          <w:marTop w:val="0"/>
          <w:marBottom w:val="0"/>
          <w:divBdr>
            <w:top w:val="none" w:sz="0" w:space="0" w:color="auto"/>
            <w:left w:val="none" w:sz="0" w:space="0" w:color="auto"/>
            <w:bottom w:val="none" w:sz="0" w:space="0" w:color="auto"/>
            <w:right w:val="none" w:sz="0" w:space="0" w:color="auto"/>
          </w:divBdr>
        </w:div>
        <w:div w:id="1803229234">
          <w:marLeft w:val="640"/>
          <w:marRight w:val="0"/>
          <w:marTop w:val="0"/>
          <w:marBottom w:val="0"/>
          <w:divBdr>
            <w:top w:val="none" w:sz="0" w:space="0" w:color="auto"/>
            <w:left w:val="none" w:sz="0" w:space="0" w:color="auto"/>
            <w:bottom w:val="none" w:sz="0" w:space="0" w:color="auto"/>
            <w:right w:val="none" w:sz="0" w:space="0" w:color="auto"/>
          </w:divBdr>
        </w:div>
        <w:div w:id="155611725">
          <w:marLeft w:val="640"/>
          <w:marRight w:val="0"/>
          <w:marTop w:val="0"/>
          <w:marBottom w:val="0"/>
          <w:divBdr>
            <w:top w:val="none" w:sz="0" w:space="0" w:color="auto"/>
            <w:left w:val="none" w:sz="0" w:space="0" w:color="auto"/>
            <w:bottom w:val="none" w:sz="0" w:space="0" w:color="auto"/>
            <w:right w:val="none" w:sz="0" w:space="0" w:color="auto"/>
          </w:divBdr>
        </w:div>
        <w:div w:id="322053514">
          <w:marLeft w:val="640"/>
          <w:marRight w:val="0"/>
          <w:marTop w:val="0"/>
          <w:marBottom w:val="0"/>
          <w:divBdr>
            <w:top w:val="none" w:sz="0" w:space="0" w:color="auto"/>
            <w:left w:val="none" w:sz="0" w:space="0" w:color="auto"/>
            <w:bottom w:val="none" w:sz="0" w:space="0" w:color="auto"/>
            <w:right w:val="none" w:sz="0" w:space="0" w:color="auto"/>
          </w:divBdr>
        </w:div>
        <w:div w:id="206913593">
          <w:marLeft w:val="640"/>
          <w:marRight w:val="0"/>
          <w:marTop w:val="0"/>
          <w:marBottom w:val="0"/>
          <w:divBdr>
            <w:top w:val="none" w:sz="0" w:space="0" w:color="auto"/>
            <w:left w:val="none" w:sz="0" w:space="0" w:color="auto"/>
            <w:bottom w:val="none" w:sz="0" w:space="0" w:color="auto"/>
            <w:right w:val="none" w:sz="0" w:space="0" w:color="auto"/>
          </w:divBdr>
        </w:div>
        <w:div w:id="650135823">
          <w:marLeft w:val="640"/>
          <w:marRight w:val="0"/>
          <w:marTop w:val="0"/>
          <w:marBottom w:val="0"/>
          <w:divBdr>
            <w:top w:val="none" w:sz="0" w:space="0" w:color="auto"/>
            <w:left w:val="none" w:sz="0" w:space="0" w:color="auto"/>
            <w:bottom w:val="none" w:sz="0" w:space="0" w:color="auto"/>
            <w:right w:val="none" w:sz="0" w:space="0" w:color="auto"/>
          </w:divBdr>
        </w:div>
        <w:div w:id="457843304">
          <w:marLeft w:val="640"/>
          <w:marRight w:val="0"/>
          <w:marTop w:val="0"/>
          <w:marBottom w:val="0"/>
          <w:divBdr>
            <w:top w:val="none" w:sz="0" w:space="0" w:color="auto"/>
            <w:left w:val="none" w:sz="0" w:space="0" w:color="auto"/>
            <w:bottom w:val="none" w:sz="0" w:space="0" w:color="auto"/>
            <w:right w:val="none" w:sz="0" w:space="0" w:color="auto"/>
          </w:divBdr>
        </w:div>
        <w:div w:id="426460399">
          <w:marLeft w:val="640"/>
          <w:marRight w:val="0"/>
          <w:marTop w:val="0"/>
          <w:marBottom w:val="0"/>
          <w:divBdr>
            <w:top w:val="none" w:sz="0" w:space="0" w:color="auto"/>
            <w:left w:val="none" w:sz="0" w:space="0" w:color="auto"/>
            <w:bottom w:val="none" w:sz="0" w:space="0" w:color="auto"/>
            <w:right w:val="none" w:sz="0" w:space="0" w:color="auto"/>
          </w:divBdr>
        </w:div>
        <w:div w:id="1998343095">
          <w:marLeft w:val="640"/>
          <w:marRight w:val="0"/>
          <w:marTop w:val="0"/>
          <w:marBottom w:val="0"/>
          <w:divBdr>
            <w:top w:val="none" w:sz="0" w:space="0" w:color="auto"/>
            <w:left w:val="none" w:sz="0" w:space="0" w:color="auto"/>
            <w:bottom w:val="none" w:sz="0" w:space="0" w:color="auto"/>
            <w:right w:val="none" w:sz="0" w:space="0" w:color="auto"/>
          </w:divBdr>
        </w:div>
        <w:div w:id="155345202">
          <w:marLeft w:val="640"/>
          <w:marRight w:val="0"/>
          <w:marTop w:val="0"/>
          <w:marBottom w:val="0"/>
          <w:divBdr>
            <w:top w:val="none" w:sz="0" w:space="0" w:color="auto"/>
            <w:left w:val="none" w:sz="0" w:space="0" w:color="auto"/>
            <w:bottom w:val="none" w:sz="0" w:space="0" w:color="auto"/>
            <w:right w:val="none" w:sz="0" w:space="0" w:color="auto"/>
          </w:divBdr>
        </w:div>
        <w:div w:id="2360391">
          <w:marLeft w:val="640"/>
          <w:marRight w:val="0"/>
          <w:marTop w:val="0"/>
          <w:marBottom w:val="0"/>
          <w:divBdr>
            <w:top w:val="none" w:sz="0" w:space="0" w:color="auto"/>
            <w:left w:val="none" w:sz="0" w:space="0" w:color="auto"/>
            <w:bottom w:val="none" w:sz="0" w:space="0" w:color="auto"/>
            <w:right w:val="none" w:sz="0" w:space="0" w:color="auto"/>
          </w:divBdr>
        </w:div>
        <w:div w:id="164050710">
          <w:marLeft w:val="640"/>
          <w:marRight w:val="0"/>
          <w:marTop w:val="0"/>
          <w:marBottom w:val="0"/>
          <w:divBdr>
            <w:top w:val="none" w:sz="0" w:space="0" w:color="auto"/>
            <w:left w:val="none" w:sz="0" w:space="0" w:color="auto"/>
            <w:bottom w:val="none" w:sz="0" w:space="0" w:color="auto"/>
            <w:right w:val="none" w:sz="0" w:space="0" w:color="auto"/>
          </w:divBdr>
        </w:div>
        <w:div w:id="76246009">
          <w:marLeft w:val="640"/>
          <w:marRight w:val="0"/>
          <w:marTop w:val="0"/>
          <w:marBottom w:val="0"/>
          <w:divBdr>
            <w:top w:val="none" w:sz="0" w:space="0" w:color="auto"/>
            <w:left w:val="none" w:sz="0" w:space="0" w:color="auto"/>
            <w:bottom w:val="none" w:sz="0" w:space="0" w:color="auto"/>
            <w:right w:val="none" w:sz="0" w:space="0" w:color="auto"/>
          </w:divBdr>
        </w:div>
        <w:div w:id="534346956">
          <w:marLeft w:val="640"/>
          <w:marRight w:val="0"/>
          <w:marTop w:val="0"/>
          <w:marBottom w:val="0"/>
          <w:divBdr>
            <w:top w:val="none" w:sz="0" w:space="0" w:color="auto"/>
            <w:left w:val="none" w:sz="0" w:space="0" w:color="auto"/>
            <w:bottom w:val="none" w:sz="0" w:space="0" w:color="auto"/>
            <w:right w:val="none" w:sz="0" w:space="0" w:color="auto"/>
          </w:divBdr>
        </w:div>
        <w:div w:id="1491480130">
          <w:marLeft w:val="640"/>
          <w:marRight w:val="0"/>
          <w:marTop w:val="0"/>
          <w:marBottom w:val="0"/>
          <w:divBdr>
            <w:top w:val="none" w:sz="0" w:space="0" w:color="auto"/>
            <w:left w:val="none" w:sz="0" w:space="0" w:color="auto"/>
            <w:bottom w:val="none" w:sz="0" w:space="0" w:color="auto"/>
            <w:right w:val="none" w:sz="0" w:space="0" w:color="auto"/>
          </w:divBdr>
        </w:div>
        <w:div w:id="543760541">
          <w:marLeft w:val="640"/>
          <w:marRight w:val="0"/>
          <w:marTop w:val="0"/>
          <w:marBottom w:val="0"/>
          <w:divBdr>
            <w:top w:val="none" w:sz="0" w:space="0" w:color="auto"/>
            <w:left w:val="none" w:sz="0" w:space="0" w:color="auto"/>
            <w:bottom w:val="none" w:sz="0" w:space="0" w:color="auto"/>
            <w:right w:val="none" w:sz="0" w:space="0" w:color="auto"/>
          </w:divBdr>
        </w:div>
        <w:div w:id="738135420">
          <w:marLeft w:val="640"/>
          <w:marRight w:val="0"/>
          <w:marTop w:val="0"/>
          <w:marBottom w:val="0"/>
          <w:divBdr>
            <w:top w:val="none" w:sz="0" w:space="0" w:color="auto"/>
            <w:left w:val="none" w:sz="0" w:space="0" w:color="auto"/>
            <w:bottom w:val="none" w:sz="0" w:space="0" w:color="auto"/>
            <w:right w:val="none" w:sz="0" w:space="0" w:color="auto"/>
          </w:divBdr>
        </w:div>
        <w:div w:id="1243298182">
          <w:marLeft w:val="640"/>
          <w:marRight w:val="0"/>
          <w:marTop w:val="0"/>
          <w:marBottom w:val="0"/>
          <w:divBdr>
            <w:top w:val="none" w:sz="0" w:space="0" w:color="auto"/>
            <w:left w:val="none" w:sz="0" w:space="0" w:color="auto"/>
            <w:bottom w:val="none" w:sz="0" w:space="0" w:color="auto"/>
            <w:right w:val="none" w:sz="0" w:space="0" w:color="auto"/>
          </w:divBdr>
        </w:div>
        <w:div w:id="303589107">
          <w:marLeft w:val="640"/>
          <w:marRight w:val="0"/>
          <w:marTop w:val="0"/>
          <w:marBottom w:val="0"/>
          <w:divBdr>
            <w:top w:val="none" w:sz="0" w:space="0" w:color="auto"/>
            <w:left w:val="none" w:sz="0" w:space="0" w:color="auto"/>
            <w:bottom w:val="none" w:sz="0" w:space="0" w:color="auto"/>
            <w:right w:val="none" w:sz="0" w:space="0" w:color="auto"/>
          </w:divBdr>
        </w:div>
        <w:div w:id="791557702">
          <w:marLeft w:val="640"/>
          <w:marRight w:val="0"/>
          <w:marTop w:val="0"/>
          <w:marBottom w:val="0"/>
          <w:divBdr>
            <w:top w:val="none" w:sz="0" w:space="0" w:color="auto"/>
            <w:left w:val="none" w:sz="0" w:space="0" w:color="auto"/>
            <w:bottom w:val="none" w:sz="0" w:space="0" w:color="auto"/>
            <w:right w:val="none" w:sz="0" w:space="0" w:color="auto"/>
          </w:divBdr>
        </w:div>
        <w:div w:id="1237663725">
          <w:marLeft w:val="640"/>
          <w:marRight w:val="0"/>
          <w:marTop w:val="0"/>
          <w:marBottom w:val="0"/>
          <w:divBdr>
            <w:top w:val="none" w:sz="0" w:space="0" w:color="auto"/>
            <w:left w:val="none" w:sz="0" w:space="0" w:color="auto"/>
            <w:bottom w:val="none" w:sz="0" w:space="0" w:color="auto"/>
            <w:right w:val="none" w:sz="0" w:space="0" w:color="auto"/>
          </w:divBdr>
        </w:div>
        <w:div w:id="2127234761">
          <w:marLeft w:val="640"/>
          <w:marRight w:val="0"/>
          <w:marTop w:val="0"/>
          <w:marBottom w:val="0"/>
          <w:divBdr>
            <w:top w:val="none" w:sz="0" w:space="0" w:color="auto"/>
            <w:left w:val="none" w:sz="0" w:space="0" w:color="auto"/>
            <w:bottom w:val="none" w:sz="0" w:space="0" w:color="auto"/>
            <w:right w:val="none" w:sz="0" w:space="0" w:color="auto"/>
          </w:divBdr>
        </w:div>
        <w:div w:id="272129551">
          <w:marLeft w:val="640"/>
          <w:marRight w:val="0"/>
          <w:marTop w:val="0"/>
          <w:marBottom w:val="0"/>
          <w:divBdr>
            <w:top w:val="none" w:sz="0" w:space="0" w:color="auto"/>
            <w:left w:val="none" w:sz="0" w:space="0" w:color="auto"/>
            <w:bottom w:val="none" w:sz="0" w:space="0" w:color="auto"/>
            <w:right w:val="none" w:sz="0" w:space="0" w:color="auto"/>
          </w:divBdr>
        </w:div>
        <w:div w:id="802968172">
          <w:marLeft w:val="640"/>
          <w:marRight w:val="0"/>
          <w:marTop w:val="0"/>
          <w:marBottom w:val="0"/>
          <w:divBdr>
            <w:top w:val="none" w:sz="0" w:space="0" w:color="auto"/>
            <w:left w:val="none" w:sz="0" w:space="0" w:color="auto"/>
            <w:bottom w:val="none" w:sz="0" w:space="0" w:color="auto"/>
            <w:right w:val="none" w:sz="0" w:space="0" w:color="auto"/>
          </w:divBdr>
        </w:div>
        <w:div w:id="1287859100">
          <w:marLeft w:val="640"/>
          <w:marRight w:val="0"/>
          <w:marTop w:val="0"/>
          <w:marBottom w:val="0"/>
          <w:divBdr>
            <w:top w:val="none" w:sz="0" w:space="0" w:color="auto"/>
            <w:left w:val="none" w:sz="0" w:space="0" w:color="auto"/>
            <w:bottom w:val="none" w:sz="0" w:space="0" w:color="auto"/>
            <w:right w:val="none" w:sz="0" w:space="0" w:color="auto"/>
          </w:divBdr>
        </w:div>
        <w:div w:id="1769426616">
          <w:marLeft w:val="640"/>
          <w:marRight w:val="0"/>
          <w:marTop w:val="0"/>
          <w:marBottom w:val="0"/>
          <w:divBdr>
            <w:top w:val="none" w:sz="0" w:space="0" w:color="auto"/>
            <w:left w:val="none" w:sz="0" w:space="0" w:color="auto"/>
            <w:bottom w:val="none" w:sz="0" w:space="0" w:color="auto"/>
            <w:right w:val="none" w:sz="0" w:space="0" w:color="auto"/>
          </w:divBdr>
        </w:div>
        <w:div w:id="643200766">
          <w:marLeft w:val="640"/>
          <w:marRight w:val="0"/>
          <w:marTop w:val="0"/>
          <w:marBottom w:val="0"/>
          <w:divBdr>
            <w:top w:val="none" w:sz="0" w:space="0" w:color="auto"/>
            <w:left w:val="none" w:sz="0" w:space="0" w:color="auto"/>
            <w:bottom w:val="none" w:sz="0" w:space="0" w:color="auto"/>
            <w:right w:val="none" w:sz="0" w:space="0" w:color="auto"/>
          </w:divBdr>
        </w:div>
        <w:div w:id="382096811">
          <w:marLeft w:val="640"/>
          <w:marRight w:val="0"/>
          <w:marTop w:val="0"/>
          <w:marBottom w:val="0"/>
          <w:divBdr>
            <w:top w:val="none" w:sz="0" w:space="0" w:color="auto"/>
            <w:left w:val="none" w:sz="0" w:space="0" w:color="auto"/>
            <w:bottom w:val="none" w:sz="0" w:space="0" w:color="auto"/>
            <w:right w:val="none" w:sz="0" w:space="0" w:color="auto"/>
          </w:divBdr>
        </w:div>
        <w:div w:id="646906649">
          <w:marLeft w:val="640"/>
          <w:marRight w:val="0"/>
          <w:marTop w:val="0"/>
          <w:marBottom w:val="0"/>
          <w:divBdr>
            <w:top w:val="none" w:sz="0" w:space="0" w:color="auto"/>
            <w:left w:val="none" w:sz="0" w:space="0" w:color="auto"/>
            <w:bottom w:val="none" w:sz="0" w:space="0" w:color="auto"/>
            <w:right w:val="none" w:sz="0" w:space="0" w:color="auto"/>
          </w:divBdr>
        </w:div>
        <w:div w:id="757478657">
          <w:marLeft w:val="640"/>
          <w:marRight w:val="0"/>
          <w:marTop w:val="0"/>
          <w:marBottom w:val="0"/>
          <w:divBdr>
            <w:top w:val="none" w:sz="0" w:space="0" w:color="auto"/>
            <w:left w:val="none" w:sz="0" w:space="0" w:color="auto"/>
            <w:bottom w:val="none" w:sz="0" w:space="0" w:color="auto"/>
            <w:right w:val="none" w:sz="0" w:space="0" w:color="auto"/>
          </w:divBdr>
        </w:div>
        <w:div w:id="1780757416">
          <w:marLeft w:val="640"/>
          <w:marRight w:val="0"/>
          <w:marTop w:val="0"/>
          <w:marBottom w:val="0"/>
          <w:divBdr>
            <w:top w:val="none" w:sz="0" w:space="0" w:color="auto"/>
            <w:left w:val="none" w:sz="0" w:space="0" w:color="auto"/>
            <w:bottom w:val="none" w:sz="0" w:space="0" w:color="auto"/>
            <w:right w:val="none" w:sz="0" w:space="0" w:color="auto"/>
          </w:divBdr>
        </w:div>
        <w:div w:id="1012341958">
          <w:marLeft w:val="640"/>
          <w:marRight w:val="0"/>
          <w:marTop w:val="0"/>
          <w:marBottom w:val="0"/>
          <w:divBdr>
            <w:top w:val="none" w:sz="0" w:space="0" w:color="auto"/>
            <w:left w:val="none" w:sz="0" w:space="0" w:color="auto"/>
            <w:bottom w:val="none" w:sz="0" w:space="0" w:color="auto"/>
            <w:right w:val="none" w:sz="0" w:space="0" w:color="auto"/>
          </w:divBdr>
        </w:div>
        <w:div w:id="427425974">
          <w:marLeft w:val="640"/>
          <w:marRight w:val="0"/>
          <w:marTop w:val="0"/>
          <w:marBottom w:val="0"/>
          <w:divBdr>
            <w:top w:val="none" w:sz="0" w:space="0" w:color="auto"/>
            <w:left w:val="none" w:sz="0" w:space="0" w:color="auto"/>
            <w:bottom w:val="none" w:sz="0" w:space="0" w:color="auto"/>
            <w:right w:val="none" w:sz="0" w:space="0" w:color="auto"/>
          </w:divBdr>
        </w:div>
        <w:div w:id="438456562">
          <w:marLeft w:val="640"/>
          <w:marRight w:val="0"/>
          <w:marTop w:val="0"/>
          <w:marBottom w:val="0"/>
          <w:divBdr>
            <w:top w:val="none" w:sz="0" w:space="0" w:color="auto"/>
            <w:left w:val="none" w:sz="0" w:space="0" w:color="auto"/>
            <w:bottom w:val="none" w:sz="0" w:space="0" w:color="auto"/>
            <w:right w:val="none" w:sz="0" w:space="0" w:color="auto"/>
          </w:divBdr>
        </w:div>
        <w:div w:id="487283216">
          <w:marLeft w:val="640"/>
          <w:marRight w:val="0"/>
          <w:marTop w:val="0"/>
          <w:marBottom w:val="0"/>
          <w:divBdr>
            <w:top w:val="none" w:sz="0" w:space="0" w:color="auto"/>
            <w:left w:val="none" w:sz="0" w:space="0" w:color="auto"/>
            <w:bottom w:val="none" w:sz="0" w:space="0" w:color="auto"/>
            <w:right w:val="none" w:sz="0" w:space="0" w:color="auto"/>
          </w:divBdr>
        </w:div>
        <w:div w:id="588126570">
          <w:marLeft w:val="640"/>
          <w:marRight w:val="0"/>
          <w:marTop w:val="0"/>
          <w:marBottom w:val="0"/>
          <w:divBdr>
            <w:top w:val="none" w:sz="0" w:space="0" w:color="auto"/>
            <w:left w:val="none" w:sz="0" w:space="0" w:color="auto"/>
            <w:bottom w:val="none" w:sz="0" w:space="0" w:color="auto"/>
            <w:right w:val="none" w:sz="0" w:space="0" w:color="auto"/>
          </w:divBdr>
        </w:div>
        <w:div w:id="1927299743">
          <w:marLeft w:val="640"/>
          <w:marRight w:val="0"/>
          <w:marTop w:val="0"/>
          <w:marBottom w:val="0"/>
          <w:divBdr>
            <w:top w:val="none" w:sz="0" w:space="0" w:color="auto"/>
            <w:left w:val="none" w:sz="0" w:space="0" w:color="auto"/>
            <w:bottom w:val="none" w:sz="0" w:space="0" w:color="auto"/>
            <w:right w:val="none" w:sz="0" w:space="0" w:color="auto"/>
          </w:divBdr>
        </w:div>
        <w:div w:id="751703331">
          <w:marLeft w:val="640"/>
          <w:marRight w:val="0"/>
          <w:marTop w:val="0"/>
          <w:marBottom w:val="0"/>
          <w:divBdr>
            <w:top w:val="none" w:sz="0" w:space="0" w:color="auto"/>
            <w:left w:val="none" w:sz="0" w:space="0" w:color="auto"/>
            <w:bottom w:val="none" w:sz="0" w:space="0" w:color="auto"/>
            <w:right w:val="none" w:sz="0" w:space="0" w:color="auto"/>
          </w:divBdr>
        </w:div>
        <w:div w:id="1640844279">
          <w:marLeft w:val="640"/>
          <w:marRight w:val="0"/>
          <w:marTop w:val="0"/>
          <w:marBottom w:val="0"/>
          <w:divBdr>
            <w:top w:val="none" w:sz="0" w:space="0" w:color="auto"/>
            <w:left w:val="none" w:sz="0" w:space="0" w:color="auto"/>
            <w:bottom w:val="none" w:sz="0" w:space="0" w:color="auto"/>
            <w:right w:val="none" w:sz="0" w:space="0" w:color="auto"/>
          </w:divBdr>
        </w:div>
        <w:div w:id="763457919">
          <w:marLeft w:val="640"/>
          <w:marRight w:val="0"/>
          <w:marTop w:val="0"/>
          <w:marBottom w:val="0"/>
          <w:divBdr>
            <w:top w:val="none" w:sz="0" w:space="0" w:color="auto"/>
            <w:left w:val="none" w:sz="0" w:space="0" w:color="auto"/>
            <w:bottom w:val="none" w:sz="0" w:space="0" w:color="auto"/>
            <w:right w:val="none" w:sz="0" w:space="0" w:color="auto"/>
          </w:divBdr>
        </w:div>
        <w:div w:id="1248886345">
          <w:marLeft w:val="640"/>
          <w:marRight w:val="0"/>
          <w:marTop w:val="0"/>
          <w:marBottom w:val="0"/>
          <w:divBdr>
            <w:top w:val="none" w:sz="0" w:space="0" w:color="auto"/>
            <w:left w:val="none" w:sz="0" w:space="0" w:color="auto"/>
            <w:bottom w:val="none" w:sz="0" w:space="0" w:color="auto"/>
            <w:right w:val="none" w:sz="0" w:space="0" w:color="auto"/>
          </w:divBdr>
        </w:div>
        <w:div w:id="750472596">
          <w:marLeft w:val="640"/>
          <w:marRight w:val="0"/>
          <w:marTop w:val="0"/>
          <w:marBottom w:val="0"/>
          <w:divBdr>
            <w:top w:val="none" w:sz="0" w:space="0" w:color="auto"/>
            <w:left w:val="none" w:sz="0" w:space="0" w:color="auto"/>
            <w:bottom w:val="none" w:sz="0" w:space="0" w:color="auto"/>
            <w:right w:val="none" w:sz="0" w:space="0" w:color="auto"/>
          </w:divBdr>
        </w:div>
        <w:div w:id="1939674536">
          <w:marLeft w:val="640"/>
          <w:marRight w:val="0"/>
          <w:marTop w:val="0"/>
          <w:marBottom w:val="0"/>
          <w:divBdr>
            <w:top w:val="none" w:sz="0" w:space="0" w:color="auto"/>
            <w:left w:val="none" w:sz="0" w:space="0" w:color="auto"/>
            <w:bottom w:val="none" w:sz="0" w:space="0" w:color="auto"/>
            <w:right w:val="none" w:sz="0" w:space="0" w:color="auto"/>
          </w:divBdr>
        </w:div>
        <w:div w:id="1298072261">
          <w:marLeft w:val="640"/>
          <w:marRight w:val="0"/>
          <w:marTop w:val="0"/>
          <w:marBottom w:val="0"/>
          <w:divBdr>
            <w:top w:val="none" w:sz="0" w:space="0" w:color="auto"/>
            <w:left w:val="none" w:sz="0" w:space="0" w:color="auto"/>
            <w:bottom w:val="none" w:sz="0" w:space="0" w:color="auto"/>
            <w:right w:val="none" w:sz="0" w:space="0" w:color="auto"/>
          </w:divBdr>
        </w:div>
        <w:div w:id="1778062359">
          <w:marLeft w:val="640"/>
          <w:marRight w:val="0"/>
          <w:marTop w:val="0"/>
          <w:marBottom w:val="0"/>
          <w:divBdr>
            <w:top w:val="none" w:sz="0" w:space="0" w:color="auto"/>
            <w:left w:val="none" w:sz="0" w:space="0" w:color="auto"/>
            <w:bottom w:val="none" w:sz="0" w:space="0" w:color="auto"/>
            <w:right w:val="none" w:sz="0" w:space="0" w:color="auto"/>
          </w:divBdr>
        </w:div>
        <w:div w:id="921064002">
          <w:marLeft w:val="640"/>
          <w:marRight w:val="0"/>
          <w:marTop w:val="0"/>
          <w:marBottom w:val="0"/>
          <w:divBdr>
            <w:top w:val="none" w:sz="0" w:space="0" w:color="auto"/>
            <w:left w:val="none" w:sz="0" w:space="0" w:color="auto"/>
            <w:bottom w:val="none" w:sz="0" w:space="0" w:color="auto"/>
            <w:right w:val="none" w:sz="0" w:space="0" w:color="auto"/>
          </w:divBdr>
        </w:div>
        <w:div w:id="1770663606">
          <w:marLeft w:val="640"/>
          <w:marRight w:val="0"/>
          <w:marTop w:val="0"/>
          <w:marBottom w:val="0"/>
          <w:divBdr>
            <w:top w:val="none" w:sz="0" w:space="0" w:color="auto"/>
            <w:left w:val="none" w:sz="0" w:space="0" w:color="auto"/>
            <w:bottom w:val="none" w:sz="0" w:space="0" w:color="auto"/>
            <w:right w:val="none" w:sz="0" w:space="0" w:color="auto"/>
          </w:divBdr>
        </w:div>
        <w:div w:id="941912645">
          <w:marLeft w:val="640"/>
          <w:marRight w:val="0"/>
          <w:marTop w:val="0"/>
          <w:marBottom w:val="0"/>
          <w:divBdr>
            <w:top w:val="none" w:sz="0" w:space="0" w:color="auto"/>
            <w:left w:val="none" w:sz="0" w:space="0" w:color="auto"/>
            <w:bottom w:val="none" w:sz="0" w:space="0" w:color="auto"/>
            <w:right w:val="none" w:sz="0" w:space="0" w:color="auto"/>
          </w:divBdr>
        </w:div>
        <w:div w:id="1536116222">
          <w:marLeft w:val="640"/>
          <w:marRight w:val="0"/>
          <w:marTop w:val="0"/>
          <w:marBottom w:val="0"/>
          <w:divBdr>
            <w:top w:val="none" w:sz="0" w:space="0" w:color="auto"/>
            <w:left w:val="none" w:sz="0" w:space="0" w:color="auto"/>
            <w:bottom w:val="none" w:sz="0" w:space="0" w:color="auto"/>
            <w:right w:val="none" w:sz="0" w:space="0" w:color="auto"/>
          </w:divBdr>
        </w:div>
        <w:div w:id="160976686">
          <w:marLeft w:val="640"/>
          <w:marRight w:val="0"/>
          <w:marTop w:val="0"/>
          <w:marBottom w:val="0"/>
          <w:divBdr>
            <w:top w:val="none" w:sz="0" w:space="0" w:color="auto"/>
            <w:left w:val="none" w:sz="0" w:space="0" w:color="auto"/>
            <w:bottom w:val="none" w:sz="0" w:space="0" w:color="auto"/>
            <w:right w:val="none" w:sz="0" w:space="0" w:color="auto"/>
          </w:divBdr>
        </w:div>
        <w:div w:id="1706979336">
          <w:marLeft w:val="640"/>
          <w:marRight w:val="0"/>
          <w:marTop w:val="0"/>
          <w:marBottom w:val="0"/>
          <w:divBdr>
            <w:top w:val="none" w:sz="0" w:space="0" w:color="auto"/>
            <w:left w:val="none" w:sz="0" w:space="0" w:color="auto"/>
            <w:bottom w:val="none" w:sz="0" w:space="0" w:color="auto"/>
            <w:right w:val="none" w:sz="0" w:space="0" w:color="auto"/>
          </w:divBdr>
        </w:div>
        <w:div w:id="1794786743">
          <w:marLeft w:val="640"/>
          <w:marRight w:val="0"/>
          <w:marTop w:val="0"/>
          <w:marBottom w:val="0"/>
          <w:divBdr>
            <w:top w:val="none" w:sz="0" w:space="0" w:color="auto"/>
            <w:left w:val="none" w:sz="0" w:space="0" w:color="auto"/>
            <w:bottom w:val="none" w:sz="0" w:space="0" w:color="auto"/>
            <w:right w:val="none" w:sz="0" w:space="0" w:color="auto"/>
          </w:divBdr>
        </w:div>
        <w:div w:id="1499611813">
          <w:marLeft w:val="640"/>
          <w:marRight w:val="0"/>
          <w:marTop w:val="0"/>
          <w:marBottom w:val="0"/>
          <w:divBdr>
            <w:top w:val="none" w:sz="0" w:space="0" w:color="auto"/>
            <w:left w:val="none" w:sz="0" w:space="0" w:color="auto"/>
            <w:bottom w:val="none" w:sz="0" w:space="0" w:color="auto"/>
            <w:right w:val="none" w:sz="0" w:space="0" w:color="auto"/>
          </w:divBdr>
        </w:div>
      </w:divsChild>
    </w:div>
    <w:div w:id="949356421">
      <w:bodyDiv w:val="1"/>
      <w:marLeft w:val="0"/>
      <w:marRight w:val="0"/>
      <w:marTop w:val="0"/>
      <w:marBottom w:val="0"/>
      <w:divBdr>
        <w:top w:val="none" w:sz="0" w:space="0" w:color="auto"/>
        <w:left w:val="none" w:sz="0" w:space="0" w:color="auto"/>
        <w:bottom w:val="none" w:sz="0" w:space="0" w:color="auto"/>
        <w:right w:val="none" w:sz="0" w:space="0" w:color="auto"/>
      </w:divBdr>
      <w:divsChild>
        <w:div w:id="1076049038">
          <w:marLeft w:val="640"/>
          <w:marRight w:val="0"/>
          <w:marTop w:val="0"/>
          <w:marBottom w:val="0"/>
          <w:divBdr>
            <w:top w:val="none" w:sz="0" w:space="0" w:color="auto"/>
            <w:left w:val="none" w:sz="0" w:space="0" w:color="auto"/>
            <w:bottom w:val="none" w:sz="0" w:space="0" w:color="auto"/>
            <w:right w:val="none" w:sz="0" w:space="0" w:color="auto"/>
          </w:divBdr>
        </w:div>
        <w:div w:id="1443265918">
          <w:marLeft w:val="640"/>
          <w:marRight w:val="0"/>
          <w:marTop w:val="0"/>
          <w:marBottom w:val="0"/>
          <w:divBdr>
            <w:top w:val="none" w:sz="0" w:space="0" w:color="auto"/>
            <w:left w:val="none" w:sz="0" w:space="0" w:color="auto"/>
            <w:bottom w:val="none" w:sz="0" w:space="0" w:color="auto"/>
            <w:right w:val="none" w:sz="0" w:space="0" w:color="auto"/>
          </w:divBdr>
        </w:div>
        <w:div w:id="768627482">
          <w:marLeft w:val="640"/>
          <w:marRight w:val="0"/>
          <w:marTop w:val="0"/>
          <w:marBottom w:val="0"/>
          <w:divBdr>
            <w:top w:val="none" w:sz="0" w:space="0" w:color="auto"/>
            <w:left w:val="none" w:sz="0" w:space="0" w:color="auto"/>
            <w:bottom w:val="none" w:sz="0" w:space="0" w:color="auto"/>
            <w:right w:val="none" w:sz="0" w:space="0" w:color="auto"/>
          </w:divBdr>
        </w:div>
        <w:div w:id="1567758210">
          <w:marLeft w:val="640"/>
          <w:marRight w:val="0"/>
          <w:marTop w:val="0"/>
          <w:marBottom w:val="0"/>
          <w:divBdr>
            <w:top w:val="none" w:sz="0" w:space="0" w:color="auto"/>
            <w:left w:val="none" w:sz="0" w:space="0" w:color="auto"/>
            <w:bottom w:val="none" w:sz="0" w:space="0" w:color="auto"/>
            <w:right w:val="none" w:sz="0" w:space="0" w:color="auto"/>
          </w:divBdr>
        </w:div>
        <w:div w:id="1423063337">
          <w:marLeft w:val="640"/>
          <w:marRight w:val="0"/>
          <w:marTop w:val="0"/>
          <w:marBottom w:val="0"/>
          <w:divBdr>
            <w:top w:val="none" w:sz="0" w:space="0" w:color="auto"/>
            <w:left w:val="none" w:sz="0" w:space="0" w:color="auto"/>
            <w:bottom w:val="none" w:sz="0" w:space="0" w:color="auto"/>
            <w:right w:val="none" w:sz="0" w:space="0" w:color="auto"/>
          </w:divBdr>
        </w:div>
        <w:div w:id="343631306">
          <w:marLeft w:val="640"/>
          <w:marRight w:val="0"/>
          <w:marTop w:val="0"/>
          <w:marBottom w:val="0"/>
          <w:divBdr>
            <w:top w:val="none" w:sz="0" w:space="0" w:color="auto"/>
            <w:left w:val="none" w:sz="0" w:space="0" w:color="auto"/>
            <w:bottom w:val="none" w:sz="0" w:space="0" w:color="auto"/>
            <w:right w:val="none" w:sz="0" w:space="0" w:color="auto"/>
          </w:divBdr>
        </w:div>
        <w:div w:id="1288665160">
          <w:marLeft w:val="640"/>
          <w:marRight w:val="0"/>
          <w:marTop w:val="0"/>
          <w:marBottom w:val="0"/>
          <w:divBdr>
            <w:top w:val="none" w:sz="0" w:space="0" w:color="auto"/>
            <w:left w:val="none" w:sz="0" w:space="0" w:color="auto"/>
            <w:bottom w:val="none" w:sz="0" w:space="0" w:color="auto"/>
            <w:right w:val="none" w:sz="0" w:space="0" w:color="auto"/>
          </w:divBdr>
        </w:div>
        <w:div w:id="904687485">
          <w:marLeft w:val="640"/>
          <w:marRight w:val="0"/>
          <w:marTop w:val="0"/>
          <w:marBottom w:val="0"/>
          <w:divBdr>
            <w:top w:val="none" w:sz="0" w:space="0" w:color="auto"/>
            <w:left w:val="none" w:sz="0" w:space="0" w:color="auto"/>
            <w:bottom w:val="none" w:sz="0" w:space="0" w:color="auto"/>
            <w:right w:val="none" w:sz="0" w:space="0" w:color="auto"/>
          </w:divBdr>
        </w:div>
        <w:div w:id="864371126">
          <w:marLeft w:val="640"/>
          <w:marRight w:val="0"/>
          <w:marTop w:val="0"/>
          <w:marBottom w:val="0"/>
          <w:divBdr>
            <w:top w:val="none" w:sz="0" w:space="0" w:color="auto"/>
            <w:left w:val="none" w:sz="0" w:space="0" w:color="auto"/>
            <w:bottom w:val="none" w:sz="0" w:space="0" w:color="auto"/>
            <w:right w:val="none" w:sz="0" w:space="0" w:color="auto"/>
          </w:divBdr>
        </w:div>
        <w:div w:id="1619944571">
          <w:marLeft w:val="640"/>
          <w:marRight w:val="0"/>
          <w:marTop w:val="0"/>
          <w:marBottom w:val="0"/>
          <w:divBdr>
            <w:top w:val="none" w:sz="0" w:space="0" w:color="auto"/>
            <w:left w:val="none" w:sz="0" w:space="0" w:color="auto"/>
            <w:bottom w:val="none" w:sz="0" w:space="0" w:color="auto"/>
            <w:right w:val="none" w:sz="0" w:space="0" w:color="auto"/>
          </w:divBdr>
        </w:div>
        <w:div w:id="1769427701">
          <w:marLeft w:val="640"/>
          <w:marRight w:val="0"/>
          <w:marTop w:val="0"/>
          <w:marBottom w:val="0"/>
          <w:divBdr>
            <w:top w:val="none" w:sz="0" w:space="0" w:color="auto"/>
            <w:left w:val="none" w:sz="0" w:space="0" w:color="auto"/>
            <w:bottom w:val="none" w:sz="0" w:space="0" w:color="auto"/>
            <w:right w:val="none" w:sz="0" w:space="0" w:color="auto"/>
          </w:divBdr>
        </w:div>
        <w:div w:id="1850439948">
          <w:marLeft w:val="640"/>
          <w:marRight w:val="0"/>
          <w:marTop w:val="0"/>
          <w:marBottom w:val="0"/>
          <w:divBdr>
            <w:top w:val="none" w:sz="0" w:space="0" w:color="auto"/>
            <w:left w:val="none" w:sz="0" w:space="0" w:color="auto"/>
            <w:bottom w:val="none" w:sz="0" w:space="0" w:color="auto"/>
            <w:right w:val="none" w:sz="0" w:space="0" w:color="auto"/>
          </w:divBdr>
        </w:div>
        <w:div w:id="1860312827">
          <w:marLeft w:val="640"/>
          <w:marRight w:val="0"/>
          <w:marTop w:val="0"/>
          <w:marBottom w:val="0"/>
          <w:divBdr>
            <w:top w:val="none" w:sz="0" w:space="0" w:color="auto"/>
            <w:left w:val="none" w:sz="0" w:space="0" w:color="auto"/>
            <w:bottom w:val="none" w:sz="0" w:space="0" w:color="auto"/>
            <w:right w:val="none" w:sz="0" w:space="0" w:color="auto"/>
          </w:divBdr>
        </w:div>
        <w:div w:id="978413585">
          <w:marLeft w:val="640"/>
          <w:marRight w:val="0"/>
          <w:marTop w:val="0"/>
          <w:marBottom w:val="0"/>
          <w:divBdr>
            <w:top w:val="none" w:sz="0" w:space="0" w:color="auto"/>
            <w:left w:val="none" w:sz="0" w:space="0" w:color="auto"/>
            <w:bottom w:val="none" w:sz="0" w:space="0" w:color="auto"/>
            <w:right w:val="none" w:sz="0" w:space="0" w:color="auto"/>
          </w:divBdr>
        </w:div>
        <w:div w:id="758869660">
          <w:marLeft w:val="640"/>
          <w:marRight w:val="0"/>
          <w:marTop w:val="0"/>
          <w:marBottom w:val="0"/>
          <w:divBdr>
            <w:top w:val="none" w:sz="0" w:space="0" w:color="auto"/>
            <w:left w:val="none" w:sz="0" w:space="0" w:color="auto"/>
            <w:bottom w:val="none" w:sz="0" w:space="0" w:color="auto"/>
            <w:right w:val="none" w:sz="0" w:space="0" w:color="auto"/>
          </w:divBdr>
        </w:div>
        <w:div w:id="1824852930">
          <w:marLeft w:val="640"/>
          <w:marRight w:val="0"/>
          <w:marTop w:val="0"/>
          <w:marBottom w:val="0"/>
          <w:divBdr>
            <w:top w:val="none" w:sz="0" w:space="0" w:color="auto"/>
            <w:left w:val="none" w:sz="0" w:space="0" w:color="auto"/>
            <w:bottom w:val="none" w:sz="0" w:space="0" w:color="auto"/>
            <w:right w:val="none" w:sz="0" w:space="0" w:color="auto"/>
          </w:divBdr>
        </w:div>
        <w:div w:id="1808084587">
          <w:marLeft w:val="640"/>
          <w:marRight w:val="0"/>
          <w:marTop w:val="0"/>
          <w:marBottom w:val="0"/>
          <w:divBdr>
            <w:top w:val="none" w:sz="0" w:space="0" w:color="auto"/>
            <w:left w:val="none" w:sz="0" w:space="0" w:color="auto"/>
            <w:bottom w:val="none" w:sz="0" w:space="0" w:color="auto"/>
            <w:right w:val="none" w:sz="0" w:space="0" w:color="auto"/>
          </w:divBdr>
        </w:div>
        <w:div w:id="363098443">
          <w:marLeft w:val="640"/>
          <w:marRight w:val="0"/>
          <w:marTop w:val="0"/>
          <w:marBottom w:val="0"/>
          <w:divBdr>
            <w:top w:val="none" w:sz="0" w:space="0" w:color="auto"/>
            <w:left w:val="none" w:sz="0" w:space="0" w:color="auto"/>
            <w:bottom w:val="none" w:sz="0" w:space="0" w:color="auto"/>
            <w:right w:val="none" w:sz="0" w:space="0" w:color="auto"/>
          </w:divBdr>
        </w:div>
        <w:div w:id="154032842">
          <w:marLeft w:val="640"/>
          <w:marRight w:val="0"/>
          <w:marTop w:val="0"/>
          <w:marBottom w:val="0"/>
          <w:divBdr>
            <w:top w:val="none" w:sz="0" w:space="0" w:color="auto"/>
            <w:left w:val="none" w:sz="0" w:space="0" w:color="auto"/>
            <w:bottom w:val="none" w:sz="0" w:space="0" w:color="auto"/>
            <w:right w:val="none" w:sz="0" w:space="0" w:color="auto"/>
          </w:divBdr>
        </w:div>
        <w:div w:id="133449619">
          <w:marLeft w:val="640"/>
          <w:marRight w:val="0"/>
          <w:marTop w:val="0"/>
          <w:marBottom w:val="0"/>
          <w:divBdr>
            <w:top w:val="none" w:sz="0" w:space="0" w:color="auto"/>
            <w:left w:val="none" w:sz="0" w:space="0" w:color="auto"/>
            <w:bottom w:val="none" w:sz="0" w:space="0" w:color="auto"/>
            <w:right w:val="none" w:sz="0" w:space="0" w:color="auto"/>
          </w:divBdr>
        </w:div>
        <w:div w:id="88357158">
          <w:marLeft w:val="640"/>
          <w:marRight w:val="0"/>
          <w:marTop w:val="0"/>
          <w:marBottom w:val="0"/>
          <w:divBdr>
            <w:top w:val="none" w:sz="0" w:space="0" w:color="auto"/>
            <w:left w:val="none" w:sz="0" w:space="0" w:color="auto"/>
            <w:bottom w:val="none" w:sz="0" w:space="0" w:color="auto"/>
            <w:right w:val="none" w:sz="0" w:space="0" w:color="auto"/>
          </w:divBdr>
        </w:div>
        <w:div w:id="1539198184">
          <w:marLeft w:val="640"/>
          <w:marRight w:val="0"/>
          <w:marTop w:val="0"/>
          <w:marBottom w:val="0"/>
          <w:divBdr>
            <w:top w:val="none" w:sz="0" w:space="0" w:color="auto"/>
            <w:left w:val="none" w:sz="0" w:space="0" w:color="auto"/>
            <w:bottom w:val="none" w:sz="0" w:space="0" w:color="auto"/>
            <w:right w:val="none" w:sz="0" w:space="0" w:color="auto"/>
          </w:divBdr>
        </w:div>
        <w:div w:id="1293899750">
          <w:marLeft w:val="640"/>
          <w:marRight w:val="0"/>
          <w:marTop w:val="0"/>
          <w:marBottom w:val="0"/>
          <w:divBdr>
            <w:top w:val="none" w:sz="0" w:space="0" w:color="auto"/>
            <w:left w:val="none" w:sz="0" w:space="0" w:color="auto"/>
            <w:bottom w:val="none" w:sz="0" w:space="0" w:color="auto"/>
            <w:right w:val="none" w:sz="0" w:space="0" w:color="auto"/>
          </w:divBdr>
        </w:div>
        <w:div w:id="187258579">
          <w:marLeft w:val="640"/>
          <w:marRight w:val="0"/>
          <w:marTop w:val="0"/>
          <w:marBottom w:val="0"/>
          <w:divBdr>
            <w:top w:val="none" w:sz="0" w:space="0" w:color="auto"/>
            <w:left w:val="none" w:sz="0" w:space="0" w:color="auto"/>
            <w:bottom w:val="none" w:sz="0" w:space="0" w:color="auto"/>
            <w:right w:val="none" w:sz="0" w:space="0" w:color="auto"/>
          </w:divBdr>
        </w:div>
        <w:div w:id="1422683472">
          <w:marLeft w:val="640"/>
          <w:marRight w:val="0"/>
          <w:marTop w:val="0"/>
          <w:marBottom w:val="0"/>
          <w:divBdr>
            <w:top w:val="none" w:sz="0" w:space="0" w:color="auto"/>
            <w:left w:val="none" w:sz="0" w:space="0" w:color="auto"/>
            <w:bottom w:val="none" w:sz="0" w:space="0" w:color="auto"/>
            <w:right w:val="none" w:sz="0" w:space="0" w:color="auto"/>
          </w:divBdr>
        </w:div>
        <w:div w:id="1526140599">
          <w:marLeft w:val="640"/>
          <w:marRight w:val="0"/>
          <w:marTop w:val="0"/>
          <w:marBottom w:val="0"/>
          <w:divBdr>
            <w:top w:val="none" w:sz="0" w:space="0" w:color="auto"/>
            <w:left w:val="none" w:sz="0" w:space="0" w:color="auto"/>
            <w:bottom w:val="none" w:sz="0" w:space="0" w:color="auto"/>
            <w:right w:val="none" w:sz="0" w:space="0" w:color="auto"/>
          </w:divBdr>
        </w:div>
        <w:div w:id="2090928452">
          <w:marLeft w:val="640"/>
          <w:marRight w:val="0"/>
          <w:marTop w:val="0"/>
          <w:marBottom w:val="0"/>
          <w:divBdr>
            <w:top w:val="none" w:sz="0" w:space="0" w:color="auto"/>
            <w:left w:val="none" w:sz="0" w:space="0" w:color="auto"/>
            <w:bottom w:val="none" w:sz="0" w:space="0" w:color="auto"/>
            <w:right w:val="none" w:sz="0" w:space="0" w:color="auto"/>
          </w:divBdr>
        </w:div>
        <w:div w:id="1795058001">
          <w:marLeft w:val="640"/>
          <w:marRight w:val="0"/>
          <w:marTop w:val="0"/>
          <w:marBottom w:val="0"/>
          <w:divBdr>
            <w:top w:val="none" w:sz="0" w:space="0" w:color="auto"/>
            <w:left w:val="none" w:sz="0" w:space="0" w:color="auto"/>
            <w:bottom w:val="none" w:sz="0" w:space="0" w:color="auto"/>
            <w:right w:val="none" w:sz="0" w:space="0" w:color="auto"/>
          </w:divBdr>
        </w:div>
        <w:div w:id="1044329446">
          <w:marLeft w:val="640"/>
          <w:marRight w:val="0"/>
          <w:marTop w:val="0"/>
          <w:marBottom w:val="0"/>
          <w:divBdr>
            <w:top w:val="none" w:sz="0" w:space="0" w:color="auto"/>
            <w:left w:val="none" w:sz="0" w:space="0" w:color="auto"/>
            <w:bottom w:val="none" w:sz="0" w:space="0" w:color="auto"/>
            <w:right w:val="none" w:sz="0" w:space="0" w:color="auto"/>
          </w:divBdr>
        </w:div>
        <w:div w:id="1560703383">
          <w:marLeft w:val="640"/>
          <w:marRight w:val="0"/>
          <w:marTop w:val="0"/>
          <w:marBottom w:val="0"/>
          <w:divBdr>
            <w:top w:val="none" w:sz="0" w:space="0" w:color="auto"/>
            <w:left w:val="none" w:sz="0" w:space="0" w:color="auto"/>
            <w:bottom w:val="none" w:sz="0" w:space="0" w:color="auto"/>
            <w:right w:val="none" w:sz="0" w:space="0" w:color="auto"/>
          </w:divBdr>
        </w:div>
        <w:div w:id="1511947712">
          <w:marLeft w:val="640"/>
          <w:marRight w:val="0"/>
          <w:marTop w:val="0"/>
          <w:marBottom w:val="0"/>
          <w:divBdr>
            <w:top w:val="none" w:sz="0" w:space="0" w:color="auto"/>
            <w:left w:val="none" w:sz="0" w:space="0" w:color="auto"/>
            <w:bottom w:val="none" w:sz="0" w:space="0" w:color="auto"/>
            <w:right w:val="none" w:sz="0" w:space="0" w:color="auto"/>
          </w:divBdr>
        </w:div>
        <w:div w:id="997001912">
          <w:marLeft w:val="640"/>
          <w:marRight w:val="0"/>
          <w:marTop w:val="0"/>
          <w:marBottom w:val="0"/>
          <w:divBdr>
            <w:top w:val="none" w:sz="0" w:space="0" w:color="auto"/>
            <w:left w:val="none" w:sz="0" w:space="0" w:color="auto"/>
            <w:bottom w:val="none" w:sz="0" w:space="0" w:color="auto"/>
            <w:right w:val="none" w:sz="0" w:space="0" w:color="auto"/>
          </w:divBdr>
        </w:div>
        <w:div w:id="772211880">
          <w:marLeft w:val="640"/>
          <w:marRight w:val="0"/>
          <w:marTop w:val="0"/>
          <w:marBottom w:val="0"/>
          <w:divBdr>
            <w:top w:val="none" w:sz="0" w:space="0" w:color="auto"/>
            <w:left w:val="none" w:sz="0" w:space="0" w:color="auto"/>
            <w:bottom w:val="none" w:sz="0" w:space="0" w:color="auto"/>
            <w:right w:val="none" w:sz="0" w:space="0" w:color="auto"/>
          </w:divBdr>
        </w:div>
        <w:div w:id="1377467162">
          <w:marLeft w:val="640"/>
          <w:marRight w:val="0"/>
          <w:marTop w:val="0"/>
          <w:marBottom w:val="0"/>
          <w:divBdr>
            <w:top w:val="none" w:sz="0" w:space="0" w:color="auto"/>
            <w:left w:val="none" w:sz="0" w:space="0" w:color="auto"/>
            <w:bottom w:val="none" w:sz="0" w:space="0" w:color="auto"/>
            <w:right w:val="none" w:sz="0" w:space="0" w:color="auto"/>
          </w:divBdr>
        </w:div>
        <w:div w:id="206377888">
          <w:marLeft w:val="640"/>
          <w:marRight w:val="0"/>
          <w:marTop w:val="0"/>
          <w:marBottom w:val="0"/>
          <w:divBdr>
            <w:top w:val="none" w:sz="0" w:space="0" w:color="auto"/>
            <w:left w:val="none" w:sz="0" w:space="0" w:color="auto"/>
            <w:bottom w:val="none" w:sz="0" w:space="0" w:color="auto"/>
            <w:right w:val="none" w:sz="0" w:space="0" w:color="auto"/>
          </w:divBdr>
        </w:div>
        <w:div w:id="1741101017">
          <w:marLeft w:val="640"/>
          <w:marRight w:val="0"/>
          <w:marTop w:val="0"/>
          <w:marBottom w:val="0"/>
          <w:divBdr>
            <w:top w:val="none" w:sz="0" w:space="0" w:color="auto"/>
            <w:left w:val="none" w:sz="0" w:space="0" w:color="auto"/>
            <w:bottom w:val="none" w:sz="0" w:space="0" w:color="auto"/>
            <w:right w:val="none" w:sz="0" w:space="0" w:color="auto"/>
          </w:divBdr>
        </w:div>
        <w:div w:id="1885094736">
          <w:marLeft w:val="640"/>
          <w:marRight w:val="0"/>
          <w:marTop w:val="0"/>
          <w:marBottom w:val="0"/>
          <w:divBdr>
            <w:top w:val="none" w:sz="0" w:space="0" w:color="auto"/>
            <w:left w:val="none" w:sz="0" w:space="0" w:color="auto"/>
            <w:bottom w:val="none" w:sz="0" w:space="0" w:color="auto"/>
            <w:right w:val="none" w:sz="0" w:space="0" w:color="auto"/>
          </w:divBdr>
        </w:div>
        <w:div w:id="1755131519">
          <w:marLeft w:val="640"/>
          <w:marRight w:val="0"/>
          <w:marTop w:val="0"/>
          <w:marBottom w:val="0"/>
          <w:divBdr>
            <w:top w:val="none" w:sz="0" w:space="0" w:color="auto"/>
            <w:left w:val="none" w:sz="0" w:space="0" w:color="auto"/>
            <w:bottom w:val="none" w:sz="0" w:space="0" w:color="auto"/>
            <w:right w:val="none" w:sz="0" w:space="0" w:color="auto"/>
          </w:divBdr>
        </w:div>
        <w:div w:id="144974664">
          <w:marLeft w:val="640"/>
          <w:marRight w:val="0"/>
          <w:marTop w:val="0"/>
          <w:marBottom w:val="0"/>
          <w:divBdr>
            <w:top w:val="none" w:sz="0" w:space="0" w:color="auto"/>
            <w:left w:val="none" w:sz="0" w:space="0" w:color="auto"/>
            <w:bottom w:val="none" w:sz="0" w:space="0" w:color="auto"/>
            <w:right w:val="none" w:sz="0" w:space="0" w:color="auto"/>
          </w:divBdr>
        </w:div>
        <w:div w:id="133839009">
          <w:marLeft w:val="640"/>
          <w:marRight w:val="0"/>
          <w:marTop w:val="0"/>
          <w:marBottom w:val="0"/>
          <w:divBdr>
            <w:top w:val="none" w:sz="0" w:space="0" w:color="auto"/>
            <w:left w:val="none" w:sz="0" w:space="0" w:color="auto"/>
            <w:bottom w:val="none" w:sz="0" w:space="0" w:color="auto"/>
            <w:right w:val="none" w:sz="0" w:space="0" w:color="auto"/>
          </w:divBdr>
        </w:div>
        <w:div w:id="1636136006">
          <w:marLeft w:val="640"/>
          <w:marRight w:val="0"/>
          <w:marTop w:val="0"/>
          <w:marBottom w:val="0"/>
          <w:divBdr>
            <w:top w:val="none" w:sz="0" w:space="0" w:color="auto"/>
            <w:left w:val="none" w:sz="0" w:space="0" w:color="auto"/>
            <w:bottom w:val="none" w:sz="0" w:space="0" w:color="auto"/>
            <w:right w:val="none" w:sz="0" w:space="0" w:color="auto"/>
          </w:divBdr>
        </w:div>
        <w:div w:id="700402301">
          <w:marLeft w:val="640"/>
          <w:marRight w:val="0"/>
          <w:marTop w:val="0"/>
          <w:marBottom w:val="0"/>
          <w:divBdr>
            <w:top w:val="none" w:sz="0" w:space="0" w:color="auto"/>
            <w:left w:val="none" w:sz="0" w:space="0" w:color="auto"/>
            <w:bottom w:val="none" w:sz="0" w:space="0" w:color="auto"/>
            <w:right w:val="none" w:sz="0" w:space="0" w:color="auto"/>
          </w:divBdr>
        </w:div>
        <w:div w:id="199831053">
          <w:marLeft w:val="640"/>
          <w:marRight w:val="0"/>
          <w:marTop w:val="0"/>
          <w:marBottom w:val="0"/>
          <w:divBdr>
            <w:top w:val="none" w:sz="0" w:space="0" w:color="auto"/>
            <w:left w:val="none" w:sz="0" w:space="0" w:color="auto"/>
            <w:bottom w:val="none" w:sz="0" w:space="0" w:color="auto"/>
            <w:right w:val="none" w:sz="0" w:space="0" w:color="auto"/>
          </w:divBdr>
        </w:div>
        <w:div w:id="2053647526">
          <w:marLeft w:val="640"/>
          <w:marRight w:val="0"/>
          <w:marTop w:val="0"/>
          <w:marBottom w:val="0"/>
          <w:divBdr>
            <w:top w:val="none" w:sz="0" w:space="0" w:color="auto"/>
            <w:left w:val="none" w:sz="0" w:space="0" w:color="auto"/>
            <w:bottom w:val="none" w:sz="0" w:space="0" w:color="auto"/>
            <w:right w:val="none" w:sz="0" w:space="0" w:color="auto"/>
          </w:divBdr>
        </w:div>
        <w:div w:id="1964799151">
          <w:marLeft w:val="640"/>
          <w:marRight w:val="0"/>
          <w:marTop w:val="0"/>
          <w:marBottom w:val="0"/>
          <w:divBdr>
            <w:top w:val="none" w:sz="0" w:space="0" w:color="auto"/>
            <w:left w:val="none" w:sz="0" w:space="0" w:color="auto"/>
            <w:bottom w:val="none" w:sz="0" w:space="0" w:color="auto"/>
            <w:right w:val="none" w:sz="0" w:space="0" w:color="auto"/>
          </w:divBdr>
        </w:div>
        <w:div w:id="1628660678">
          <w:marLeft w:val="640"/>
          <w:marRight w:val="0"/>
          <w:marTop w:val="0"/>
          <w:marBottom w:val="0"/>
          <w:divBdr>
            <w:top w:val="none" w:sz="0" w:space="0" w:color="auto"/>
            <w:left w:val="none" w:sz="0" w:space="0" w:color="auto"/>
            <w:bottom w:val="none" w:sz="0" w:space="0" w:color="auto"/>
            <w:right w:val="none" w:sz="0" w:space="0" w:color="auto"/>
          </w:divBdr>
        </w:div>
        <w:div w:id="1572275676">
          <w:marLeft w:val="640"/>
          <w:marRight w:val="0"/>
          <w:marTop w:val="0"/>
          <w:marBottom w:val="0"/>
          <w:divBdr>
            <w:top w:val="none" w:sz="0" w:space="0" w:color="auto"/>
            <w:left w:val="none" w:sz="0" w:space="0" w:color="auto"/>
            <w:bottom w:val="none" w:sz="0" w:space="0" w:color="auto"/>
            <w:right w:val="none" w:sz="0" w:space="0" w:color="auto"/>
          </w:divBdr>
        </w:div>
        <w:div w:id="1401557757">
          <w:marLeft w:val="640"/>
          <w:marRight w:val="0"/>
          <w:marTop w:val="0"/>
          <w:marBottom w:val="0"/>
          <w:divBdr>
            <w:top w:val="none" w:sz="0" w:space="0" w:color="auto"/>
            <w:left w:val="none" w:sz="0" w:space="0" w:color="auto"/>
            <w:bottom w:val="none" w:sz="0" w:space="0" w:color="auto"/>
            <w:right w:val="none" w:sz="0" w:space="0" w:color="auto"/>
          </w:divBdr>
        </w:div>
        <w:div w:id="2000502356">
          <w:marLeft w:val="640"/>
          <w:marRight w:val="0"/>
          <w:marTop w:val="0"/>
          <w:marBottom w:val="0"/>
          <w:divBdr>
            <w:top w:val="none" w:sz="0" w:space="0" w:color="auto"/>
            <w:left w:val="none" w:sz="0" w:space="0" w:color="auto"/>
            <w:bottom w:val="none" w:sz="0" w:space="0" w:color="auto"/>
            <w:right w:val="none" w:sz="0" w:space="0" w:color="auto"/>
          </w:divBdr>
        </w:div>
        <w:div w:id="888617116">
          <w:marLeft w:val="640"/>
          <w:marRight w:val="0"/>
          <w:marTop w:val="0"/>
          <w:marBottom w:val="0"/>
          <w:divBdr>
            <w:top w:val="none" w:sz="0" w:space="0" w:color="auto"/>
            <w:left w:val="none" w:sz="0" w:space="0" w:color="auto"/>
            <w:bottom w:val="none" w:sz="0" w:space="0" w:color="auto"/>
            <w:right w:val="none" w:sz="0" w:space="0" w:color="auto"/>
          </w:divBdr>
        </w:div>
        <w:div w:id="1914388105">
          <w:marLeft w:val="640"/>
          <w:marRight w:val="0"/>
          <w:marTop w:val="0"/>
          <w:marBottom w:val="0"/>
          <w:divBdr>
            <w:top w:val="none" w:sz="0" w:space="0" w:color="auto"/>
            <w:left w:val="none" w:sz="0" w:space="0" w:color="auto"/>
            <w:bottom w:val="none" w:sz="0" w:space="0" w:color="auto"/>
            <w:right w:val="none" w:sz="0" w:space="0" w:color="auto"/>
          </w:divBdr>
        </w:div>
        <w:div w:id="1620646230">
          <w:marLeft w:val="640"/>
          <w:marRight w:val="0"/>
          <w:marTop w:val="0"/>
          <w:marBottom w:val="0"/>
          <w:divBdr>
            <w:top w:val="none" w:sz="0" w:space="0" w:color="auto"/>
            <w:left w:val="none" w:sz="0" w:space="0" w:color="auto"/>
            <w:bottom w:val="none" w:sz="0" w:space="0" w:color="auto"/>
            <w:right w:val="none" w:sz="0" w:space="0" w:color="auto"/>
          </w:divBdr>
        </w:div>
        <w:div w:id="1951282451">
          <w:marLeft w:val="640"/>
          <w:marRight w:val="0"/>
          <w:marTop w:val="0"/>
          <w:marBottom w:val="0"/>
          <w:divBdr>
            <w:top w:val="none" w:sz="0" w:space="0" w:color="auto"/>
            <w:left w:val="none" w:sz="0" w:space="0" w:color="auto"/>
            <w:bottom w:val="none" w:sz="0" w:space="0" w:color="auto"/>
            <w:right w:val="none" w:sz="0" w:space="0" w:color="auto"/>
          </w:divBdr>
        </w:div>
        <w:div w:id="425420350">
          <w:marLeft w:val="640"/>
          <w:marRight w:val="0"/>
          <w:marTop w:val="0"/>
          <w:marBottom w:val="0"/>
          <w:divBdr>
            <w:top w:val="none" w:sz="0" w:space="0" w:color="auto"/>
            <w:left w:val="none" w:sz="0" w:space="0" w:color="auto"/>
            <w:bottom w:val="none" w:sz="0" w:space="0" w:color="auto"/>
            <w:right w:val="none" w:sz="0" w:space="0" w:color="auto"/>
          </w:divBdr>
        </w:div>
        <w:div w:id="642926805">
          <w:marLeft w:val="640"/>
          <w:marRight w:val="0"/>
          <w:marTop w:val="0"/>
          <w:marBottom w:val="0"/>
          <w:divBdr>
            <w:top w:val="none" w:sz="0" w:space="0" w:color="auto"/>
            <w:left w:val="none" w:sz="0" w:space="0" w:color="auto"/>
            <w:bottom w:val="none" w:sz="0" w:space="0" w:color="auto"/>
            <w:right w:val="none" w:sz="0" w:space="0" w:color="auto"/>
          </w:divBdr>
        </w:div>
        <w:div w:id="407730013">
          <w:marLeft w:val="640"/>
          <w:marRight w:val="0"/>
          <w:marTop w:val="0"/>
          <w:marBottom w:val="0"/>
          <w:divBdr>
            <w:top w:val="none" w:sz="0" w:space="0" w:color="auto"/>
            <w:left w:val="none" w:sz="0" w:space="0" w:color="auto"/>
            <w:bottom w:val="none" w:sz="0" w:space="0" w:color="auto"/>
            <w:right w:val="none" w:sz="0" w:space="0" w:color="auto"/>
          </w:divBdr>
        </w:div>
        <w:div w:id="1395660203">
          <w:marLeft w:val="640"/>
          <w:marRight w:val="0"/>
          <w:marTop w:val="0"/>
          <w:marBottom w:val="0"/>
          <w:divBdr>
            <w:top w:val="none" w:sz="0" w:space="0" w:color="auto"/>
            <w:left w:val="none" w:sz="0" w:space="0" w:color="auto"/>
            <w:bottom w:val="none" w:sz="0" w:space="0" w:color="auto"/>
            <w:right w:val="none" w:sz="0" w:space="0" w:color="auto"/>
          </w:divBdr>
        </w:div>
        <w:div w:id="423692808">
          <w:marLeft w:val="640"/>
          <w:marRight w:val="0"/>
          <w:marTop w:val="0"/>
          <w:marBottom w:val="0"/>
          <w:divBdr>
            <w:top w:val="none" w:sz="0" w:space="0" w:color="auto"/>
            <w:left w:val="none" w:sz="0" w:space="0" w:color="auto"/>
            <w:bottom w:val="none" w:sz="0" w:space="0" w:color="auto"/>
            <w:right w:val="none" w:sz="0" w:space="0" w:color="auto"/>
          </w:divBdr>
        </w:div>
        <w:div w:id="1678073306">
          <w:marLeft w:val="640"/>
          <w:marRight w:val="0"/>
          <w:marTop w:val="0"/>
          <w:marBottom w:val="0"/>
          <w:divBdr>
            <w:top w:val="none" w:sz="0" w:space="0" w:color="auto"/>
            <w:left w:val="none" w:sz="0" w:space="0" w:color="auto"/>
            <w:bottom w:val="none" w:sz="0" w:space="0" w:color="auto"/>
            <w:right w:val="none" w:sz="0" w:space="0" w:color="auto"/>
          </w:divBdr>
        </w:div>
        <w:div w:id="565653396">
          <w:marLeft w:val="640"/>
          <w:marRight w:val="0"/>
          <w:marTop w:val="0"/>
          <w:marBottom w:val="0"/>
          <w:divBdr>
            <w:top w:val="none" w:sz="0" w:space="0" w:color="auto"/>
            <w:left w:val="none" w:sz="0" w:space="0" w:color="auto"/>
            <w:bottom w:val="none" w:sz="0" w:space="0" w:color="auto"/>
            <w:right w:val="none" w:sz="0" w:space="0" w:color="auto"/>
          </w:divBdr>
        </w:div>
        <w:div w:id="980573545">
          <w:marLeft w:val="640"/>
          <w:marRight w:val="0"/>
          <w:marTop w:val="0"/>
          <w:marBottom w:val="0"/>
          <w:divBdr>
            <w:top w:val="none" w:sz="0" w:space="0" w:color="auto"/>
            <w:left w:val="none" w:sz="0" w:space="0" w:color="auto"/>
            <w:bottom w:val="none" w:sz="0" w:space="0" w:color="auto"/>
            <w:right w:val="none" w:sz="0" w:space="0" w:color="auto"/>
          </w:divBdr>
        </w:div>
        <w:div w:id="1396469032">
          <w:marLeft w:val="640"/>
          <w:marRight w:val="0"/>
          <w:marTop w:val="0"/>
          <w:marBottom w:val="0"/>
          <w:divBdr>
            <w:top w:val="none" w:sz="0" w:space="0" w:color="auto"/>
            <w:left w:val="none" w:sz="0" w:space="0" w:color="auto"/>
            <w:bottom w:val="none" w:sz="0" w:space="0" w:color="auto"/>
            <w:right w:val="none" w:sz="0" w:space="0" w:color="auto"/>
          </w:divBdr>
        </w:div>
        <w:div w:id="1299144251">
          <w:marLeft w:val="640"/>
          <w:marRight w:val="0"/>
          <w:marTop w:val="0"/>
          <w:marBottom w:val="0"/>
          <w:divBdr>
            <w:top w:val="none" w:sz="0" w:space="0" w:color="auto"/>
            <w:left w:val="none" w:sz="0" w:space="0" w:color="auto"/>
            <w:bottom w:val="none" w:sz="0" w:space="0" w:color="auto"/>
            <w:right w:val="none" w:sz="0" w:space="0" w:color="auto"/>
          </w:divBdr>
        </w:div>
        <w:div w:id="670063445">
          <w:marLeft w:val="640"/>
          <w:marRight w:val="0"/>
          <w:marTop w:val="0"/>
          <w:marBottom w:val="0"/>
          <w:divBdr>
            <w:top w:val="none" w:sz="0" w:space="0" w:color="auto"/>
            <w:left w:val="none" w:sz="0" w:space="0" w:color="auto"/>
            <w:bottom w:val="none" w:sz="0" w:space="0" w:color="auto"/>
            <w:right w:val="none" w:sz="0" w:space="0" w:color="auto"/>
          </w:divBdr>
        </w:div>
        <w:div w:id="277838960">
          <w:marLeft w:val="640"/>
          <w:marRight w:val="0"/>
          <w:marTop w:val="0"/>
          <w:marBottom w:val="0"/>
          <w:divBdr>
            <w:top w:val="none" w:sz="0" w:space="0" w:color="auto"/>
            <w:left w:val="none" w:sz="0" w:space="0" w:color="auto"/>
            <w:bottom w:val="none" w:sz="0" w:space="0" w:color="auto"/>
            <w:right w:val="none" w:sz="0" w:space="0" w:color="auto"/>
          </w:divBdr>
        </w:div>
        <w:div w:id="741566415">
          <w:marLeft w:val="640"/>
          <w:marRight w:val="0"/>
          <w:marTop w:val="0"/>
          <w:marBottom w:val="0"/>
          <w:divBdr>
            <w:top w:val="none" w:sz="0" w:space="0" w:color="auto"/>
            <w:left w:val="none" w:sz="0" w:space="0" w:color="auto"/>
            <w:bottom w:val="none" w:sz="0" w:space="0" w:color="auto"/>
            <w:right w:val="none" w:sz="0" w:space="0" w:color="auto"/>
          </w:divBdr>
        </w:div>
        <w:div w:id="578057090">
          <w:marLeft w:val="640"/>
          <w:marRight w:val="0"/>
          <w:marTop w:val="0"/>
          <w:marBottom w:val="0"/>
          <w:divBdr>
            <w:top w:val="none" w:sz="0" w:space="0" w:color="auto"/>
            <w:left w:val="none" w:sz="0" w:space="0" w:color="auto"/>
            <w:bottom w:val="none" w:sz="0" w:space="0" w:color="auto"/>
            <w:right w:val="none" w:sz="0" w:space="0" w:color="auto"/>
          </w:divBdr>
        </w:div>
        <w:div w:id="348072698">
          <w:marLeft w:val="640"/>
          <w:marRight w:val="0"/>
          <w:marTop w:val="0"/>
          <w:marBottom w:val="0"/>
          <w:divBdr>
            <w:top w:val="none" w:sz="0" w:space="0" w:color="auto"/>
            <w:left w:val="none" w:sz="0" w:space="0" w:color="auto"/>
            <w:bottom w:val="none" w:sz="0" w:space="0" w:color="auto"/>
            <w:right w:val="none" w:sz="0" w:space="0" w:color="auto"/>
          </w:divBdr>
        </w:div>
        <w:div w:id="1340696546">
          <w:marLeft w:val="640"/>
          <w:marRight w:val="0"/>
          <w:marTop w:val="0"/>
          <w:marBottom w:val="0"/>
          <w:divBdr>
            <w:top w:val="none" w:sz="0" w:space="0" w:color="auto"/>
            <w:left w:val="none" w:sz="0" w:space="0" w:color="auto"/>
            <w:bottom w:val="none" w:sz="0" w:space="0" w:color="auto"/>
            <w:right w:val="none" w:sz="0" w:space="0" w:color="auto"/>
          </w:divBdr>
        </w:div>
        <w:div w:id="1875843816">
          <w:marLeft w:val="640"/>
          <w:marRight w:val="0"/>
          <w:marTop w:val="0"/>
          <w:marBottom w:val="0"/>
          <w:divBdr>
            <w:top w:val="none" w:sz="0" w:space="0" w:color="auto"/>
            <w:left w:val="none" w:sz="0" w:space="0" w:color="auto"/>
            <w:bottom w:val="none" w:sz="0" w:space="0" w:color="auto"/>
            <w:right w:val="none" w:sz="0" w:space="0" w:color="auto"/>
          </w:divBdr>
        </w:div>
        <w:div w:id="1367868486">
          <w:marLeft w:val="640"/>
          <w:marRight w:val="0"/>
          <w:marTop w:val="0"/>
          <w:marBottom w:val="0"/>
          <w:divBdr>
            <w:top w:val="none" w:sz="0" w:space="0" w:color="auto"/>
            <w:left w:val="none" w:sz="0" w:space="0" w:color="auto"/>
            <w:bottom w:val="none" w:sz="0" w:space="0" w:color="auto"/>
            <w:right w:val="none" w:sz="0" w:space="0" w:color="auto"/>
          </w:divBdr>
        </w:div>
        <w:div w:id="1504053666">
          <w:marLeft w:val="640"/>
          <w:marRight w:val="0"/>
          <w:marTop w:val="0"/>
          <w:marBottom w:val="0"/>
          <w:divBdr>
            <w:top w:val="none" w:sz="0" w:space="0" w:color="auto"/>
            <w:left w:val="none" w:sz="0" w:space="0" w:color="auto"/>
            <w:bottom w:val="none" w:sz="0" w:space="0" w:color="auto"/>
            <w:right w:val="none" w:sz="0" w:space="0" w:color="auto"/>
          </w:divBdr>
        </w:div>
        <w:div w:id="1630545633">
          <w:marLeft w:val="640"/>
          <w:marRight w:val="0"/>
          <w:marTop w:val="0"/>
          <w:marBottom w:val="0"/>
          <w:divBdr>
            <w:top w:val="none" w:sz="0" w:space="0" w:color="auto"/>
            <w:left w:val="none" w:sz="0" w:space="0" w:color="auto"/>
            <w:bottom w:val="none" w:sz="0" w:space="0" w:color="auto"/>
            <w:right w:val="none" w:sz="0" w:space="0" w:color="auto"/>
          </w:divBdr>
        </w:div>
        <w:div w:id="1278947162">
          <w:marLeft w:val="640"/>
          <w:marRight w:val="0"/>
          <w:marTop w:val="0"/>
          <w:marBottom w:val="0"/>
          <w:divBdr>
            <w:top w:val="none" w:sz="0" w:space="0" w:color="auto"/>
            <w:left w:val="none" w:sz="0" w:space="0" w:color="auto"/>
            <w:bottom w:val="none" w:sz="0" w:space="0" w:color="auto"/>
            <w:right w:val="none" w:sz="0" w:space="0" w:color="auto"/>
          </w:divBdr>
        </w:div>
        <w:div w:id="155922536">
          <w:marLeft w:val="640"/>
          <w:marRight w:val="0"/>
          <w:marTop w:val="0"/>
          <w:marBottom w:val="0"/>
          <w:divBdr>
            <w:top w:val="none" w:sz="0" w:space="0" w:color="auto"/>
            <w:left w:val="none" w:sz="0" w:space="0" w:color="auto"/>
            <w:bottom w:val="none" w:sz="0" w:space="0" w:color="auto"/>
            <w:right w:val="none" w:sz="0" w:space="0" w:color="auto"/>
          </w:divBdr>
        </w:div>
        <w:div w:id="2040473577">
          <w:marLeft w:val="640"/>
          <w:marRight w:val="0"/>
          <w:marTop w:val="0"/>
          <w:marBottom w:val="0"/>
          <w:divBdr>
            <w:top w:val="none" w:sz="0" w:space="0" w:color="auto"/>
            <w:left w:val="none" w:sz="0" w:space="0" w:color="auto"/>
            <w:bottom w:val="none" w:sz="0" w:space="0" w:color="auto"/>
            <w:right w:val="none" w:sz="0" w:space="0" w:color="auto"/>
          </w:divBdr>
        </w:div>
        <w:div w:id="1029381679">
          <w:marLeft w:val="640"/>
          <w:marRight w:val="0"/>
          <w:marTop w:val="0"/>
          <w:marBottom w:val="0"/>
          <w:divBdr>
            <w:top w:val="none" w:sz="0" w:space="0" w:color="auto"/>
            <w:left w:val="none" w:sz="0" w:space="0" w:color="auto"/>
            <w:bottom w:val="none" w:sz="0" w:space="0" w:color="auto"/>
            <w:right w:val="none" w:sz="0" w:space="0" w:color="auto"/>
          </w:divBdr>
        </w:div>
        <w:div w:id="635183917">
          <w:marLeft w:val="640"/>
          <w:marRight w:val="0"/>
          <w:marTop w:val="0"/>
          <w:marBottom w:val="0"/>
          <w:divBdr>
            <w:top w:val="none" w:sz="0" w:space="0" w:color="auto"/>
            <w:left w:val="none" w:sz="0" w:space="0" w:color="auto"/>
            <w:bottom w:val="none" w:sz="0" w:space="0" w:color="auto"/>
            <w:right w:val="none" w:sz="0" w:space="0" w:color="auto"/>
          </w:divBdr>
        </w:div>
        <w:div w:id="1265764447">
          <w:marLeft w:val="640"/>
          <w:marRight w:val="0"/>
          <w:marTop w:val="0"/>
          <w:marBottom w:val="0"/>
          <w:divBdr>
            <w:top w:val="none" w:sz="0" w:space="0" w:color="auto"/>
            <w:left w:val="none" w:sz="0" w:space="0" w:color="auto"/>
            <w:bottom w:val="none" w:sz="0" w:space="0" w:color="auto"/>
            <w:right w:val="none" w:sz="0" w:space="0" w:color="auto"/>
          </w:divBdr>
        </w:div>
        <w:div w:id="510797315">
          <w:marLeft w:val="640"/>
          <w:marRight w:val="0"/>
          <w:marTop w:val="0"/>
          <w:marBottom w:val="0"/>
          <w:divBdr>
            <w:top w:val="none" w:sz="0" w:space="0" w:color="auto"/>
            <w:left w:val="none" w:sz="0" w:space="0" w:color="auto"/>
            <w:bottom w:val="none" w:sz="0" w:space="0" w:color="auto"/>
            <w:right w:val="none" w:sz="0" w:space="0" w:color="auto"/>
          </w:divBdr>
        </w:div>
        <w:div w:id="2010794194">
          <w:marLeft w:val="640"/>
          <w:marRight w:val="0"/>
          <w:marTop w:val="0"/>
          <w:marBottom w:val="0"/>
          <w:divBdr>
            <w:top w:val="none" w:sz="0" w:space="0" w:color="auto"/>
            <w:left w:val="none" w:sz="0" w:space="0" w:color="auto"/>
            <w:bottom w:val="none" w:sz="0" w:space="0" w:color="auto"/>
            <w:right w:val="none" w:sz="0" w:space="0" w:color="auto"/>
          </w:divBdr>
        </w:div>
        <w:div w:id="1088575030">
          <w:marLeft w:val="640"/>
          <w:marRight w:val="0"/>
          <w:marTop w:val="0"/>
          <w:marBottom w:val="0"/>
          <w:divBdr>
            <w:top w:val="none" w:sz="0" w:space="0" w:color="auto"/>
            <w:left w:val="none" w:sz="0" w:space="0" w:color="auto"/>
            <w:bottom w:val="none" w:sz="0" w:space="0" w:color="auto"/>
            <w:right w:val="none" w:sz="0" w:space="0" w:color="auto"/>
          </w:divBdr>
        </w:div>
        <w:div w:id="68037086">
          <w:marLeft w:val="640"/>
          <w:marRight w:val="0"/>
          <w:marTop w:val="0"/>
          <w:marBottom w:val="0"/>
          <w:divBdr>
            <w:top w:val="none" w:sz="0" w:space="0" w:color="auto"/>
            <w:left w:val="none" w:sz="0" w:space="0" w:color="auto"/>
            <w:bottom w:val="none" w:sz="0" w:space="0" w:color="auto"/>
            <w:right w:val="none" w:sz="0" w:space="0" w:color="auto"/>
          </w:divBdr>
        </w:div>
        <w:div w:id="1236622025">
          <w:marLeft w:val="640"/>
          <w:marRight w:val="0"/>
          <w:marTop w:val="0"/>
          <w:marBottom w:val="0"/>
          <w:divBdr>
            <w:top w:val="none" w:sz="0" w:space="0" w:color="auto"/>
            <w:left w:val="none" w:sz="0" w:space="0" w:color="auto"/>
            <w:bottom w:val="none" w:sz="0" w:space="0" w:color="auto"/>
            <w:right w:val="none" w:sz="0" w:space="0" w:color="auto"/>
          </w:divBdr>
        </w:div>
        <w:div w:id="282540463">
          <w:marLeft w:val="640"/>
          <w:marRight w:val="0"/>
          <w:marTop w:val="0"/>
          <w:marBottom w:val="0"/>
          <w:divBdr>
            <w:top w:val="none" w:sz="0" w:space="0" w:color="auto"/>
            <w:left w:val="none" w:sz="0" w:space="0" w:color="auto"/>
            <w:bottom w:val="none" w:sz="0" w:space="0" w:color="auto"/>
            <w:right w:val="none" w:sz="0" w:space="0" w:color="auto"/>
          </w:divBdr>
        </w:div>
        <w:div w:id="800924412">
          <w:marLeft w:val="640"/>
          <w:marRight w:val="0"/>
          <w:marTop w:val="0"/>
          <w:marBottom w:val="0"/>
          <w:divBdr>
            <w:top w:val="none" w:sz="0" w:space="0" w:color="auto"/>
            <w:left w:val="none" w:sz="0" w:space="0" w:color="auto"/>
            <w:bottom w:val="none" w:sz="0" w:space="0" w:color="auto"/>
            <w:right w:val="none" w:sz="0" w:space="0" w:color="auto"/>
          </w:divBdr>
        </w:div>
        <w:div w:id="1927228944">
          <w:marLeft w:val="640"/>
          <w:marRight w:val="0"/>
          <w:marTop w:val="0"/>
          <w:marBottom w:val="0"/>
          <w:divBdr>
            <w:top w:val="none" w:sz="0" w:space="0" w:color="auto"/>
            <w:left w:val="none" w:sz="0" w:space="0" w:color="auto"/>
            <w:bottom w:val="none" w:sz="0" w:space="0" w:color="auto"/>
            <w:right w:val="none" w:sz="0" w:space="0" w:color="auto"/>
          </w:divBdr>
        </w:div>
        <w:div w:id="1253246354">
          <w:marLeft w:val="640"/>
          <w:marRight w:val="0"/>
          <w:marTop w:val="0"/>
          <w:marBottom w:val="0"/>
          <w:divBdr>
            <w:top w:val="none" w:sz="0" w:space="0" w:color="auto"/>
            <w:left w:val="none" w:sz="0" w:space="0" w:color="auto"/>
            <w:bottom w:val="none" w:sz="0" w:space="0" w:color="auto"/>
            <w:right w:val="none" w:sz="0" w:space="0" w:color="auto"/>
          </w:divBdr>
        </w:div>
        <w:div w:id="170416885">
          <w:marLeft w:val="640"/>
          <w:marRight w:val="0"/>
          <w:marTop w:val="0"/>
          <w:marBottom w:val="0"/>
          <w:divBdr>
            <w:top w:val="none" w:sz="0" w:space="0" w:color="auto"/>
            <w:left w:val="none" w:sz="0" w:space="0" w:color="auto"/>
            <w:bottom w:val="none" w:sz="0" w:space="0" w:color="auto"/>
            <w:right w:val="none" w:sz="0" w:space="0" w:color="auto"/>
          </w:divBdr>
        </w:div>
        <w:div w:id="1017268464">
          <w:marLeft w:val="640"/>
          <w:marRight w:val="0"/>
          <w:marTop w:val="0"/>
          <w:marBottom w:val="0"/>
          <w:divBdr>
            <w:top w:val="none" w:sz="0" w:space="0" w:color="auto"/>
            <w:left w:val="none" w:sz="0" w:space="0" w:color="auto"/>
            <w:bottom w:val="none" w:sz="0" w:space="0" w:color="auto"/>
            <w:right w:val="none" w:sz="0" w:space="0" w:color="auto"/>
          </w:divBdr>
        </w:div>
        <w:div w:id="1988197625">
          <w:marLeft w:val="640"/>
          <w:marRight w:val="0"/>
          <w:marTop w:val="0"/>
          <w:marBottom w:val="0"/>
          <w:divBdr>
            <w:top w:val="none" w:sz="0" w:space="0" w:color="auto"/>
            <w:left w:val="none" w:sz="0" w:space="0" w:color="auto"/>
            <w:bottom w:val="none" w:sz="0" w:space="0" w:color="auto"/>
            <w:right w:val="none" w:sz="0" w:space="0" w:color="auto"/>
          </w:divBdr>
        </w:div>
        <w:div w:id="262996361">
          <w:marLeft w:val="640"/>
          <w:marRight w:val="0"/>
          <w:marTop w:val="0"/>
          <w:marBottom w:val="0"/>
          <w:divBdr>
            <w:top w:val="none" w:sz="0" w:space="0" w:color="auto"/>
            <w:left w:val="none" w:sz="0" w:space="0" w:color="auto"/>
            <w:bottom w:val="none" w:sz="0" w:space="0" w:color="auto"/>
            <w:right w:val="none" w:sz="0" w:space="0" w:color="auto"/>
          </w:divBdr>
        </w:div>
        <w:div w:id="1884751216">
          <w:marLeft w:val="640"/>
          <w:marRight w:val="0"/>
          <w:marTop w:val="0"/>
          <w:marBottom w:val="0"/>
          <w:divBdr>
            <w:top w:val="none" w:sz="0" w:space="0" w:color="auto"/>
            <w:left w:val="none" w:sz="0" w:space="0" w:color="auto"/>
            <w:bottom w:val="none" w:sz="0" w:space="0" w:color="auto"/>
            <w:right w:val="none" w:sz="0" w:space="0" w:color="auto"/>
          </w:divBdr>
        </w:div>
        <w:div w:id="575670569">
          <w:marLeft w:val="640"/>
          <w:marRight w:val="0"/>
          <w:marTop w:val="0"/>
          <w:marBottom w:val="0"/>
          <w:divBdr>
            <w:top w:val="none" w:sz="0" w:space="0" w:color="auto"/>
            <w:left w:val="none" w:sz="0" w:space="0" w:color="auto"/>
            <w:bottom w:val="none" w:sz="0" w:space="0" w:color="auto"/>
            <w:right w:val="none" w:sz="0" w:space="0" w:color="auto"/>
          </w:divBdr>
        </w:div>
        <w:div w:id="1794202885">
          <w:marLeft w:val="640"/>
          <w:marRight w:val="0"/>
          <w:marTop w:val="0"/>
          <w:marBottom w:val="0"/>
          <w:divBdr>
            <w:top w:val="none" w:sz="0" w:space="0" w:color="auto"/>
            <w:left w:val="none" w:sz="0" w:space="0" w:color="auto"/>
            <w:bottom w:val="none" w:sz="0" w:space="0" w:color="auto"/>
            <w:right w:val="none" w:sz="0" w:space="0" w:color="auto"/>
          </w:divBdr>
        </w:div>
        <w:div w:id="154733923">
          <w:marLeft w:val="640"/>
          <w:marRight w:val="0"/>
          <w:marTop w:val="0"/>
          <w:marBottom w:val="0"/>
          <w:divBdr>
            <w:top w:val="none" w:sz="0" w:space="0" w:color="auto"/>
            <w:left w:val="none" w:sz="0" w:space="0" w:color="auto"/>
            <w:bottom w:val="none" w:sz="0" w:space="0" w:color="auto"/>
            <w:right w:val="none" w:sz="0" w:space="0" w:color="auto"/>
          </w:divBdr>
        </w:div>
        <w:div w:id="1940134120">
          <w:marLeft w:val="640"/>
          <w:marRight w:val="0"/>
          <w:marTop w:val="0"/>
          <w:marBottom w:val="0"/>
          <w:divBdr>
            <w:top w:val="none" w:sz="0" w:space="0" w:color="auto"/>
            <w:left w:val="none" w:sz="0" w:space="0" w:color="auto"/>
            <w:bottom w:val="none" w:sz="0" w:space="0" w:color="auto"/>
            <w:right w:val="none" w:sz="0" w:space="0" w:color="auto"/>
          </w:divBdr>
        </w:div>
        <w:div w:id="1805074005">
          <w:marLeft w:val="640"/>
          <w:marRight w:val="0"/>
          <w:marTop w:val="0"/>
          <w:marBottom w:val="0"/>
          <w:divBdr>
            <w:top w:val="none" w:sz="0" w:space="0" w:color="auto"/>
            <w:left w:val="none" w:sz="0" w:space="0" w:color="auto"/>
            <w:bottom w:val="none" w:sz="0" w:space="0" w:color="auto"/>
            <w:right w:val="none" w:sz="0" w:space="0" w:color="auto"/>
          </w:divBdr>
        </w:div>
        <w:div w:id="192233408">
          <w:marLeft w:val="640"/>
          <w:marRight w:val="0"/>
          <w:marTop w:val="0"/>
          <w:marBottom w:val="0"/>
          <w:divBdr>
            <w:top w:val="none" w:sz="0" w:space="0" w:color="auto"/>
            <w:left w:val="none" w:sz="0" w:space="0" w:color="auto"/>
            <w:bottom w:val="none" w:sz="0" w:space="0" w:color="auto"/>
            <w:right w:val="none" w:sz="0" w:space="0" w:color="auto"/>
          </w:divBdr>
        </w:div>
        <w:div w:id="2006281412">
          <w:marLeft w:val="640"/>
          <w:marRight w:val="0"/>
          <w:marTop w:val="0"/>
          <w:marBottom w:val="0"/>
          <w:divBdr>
            <w:top w:val="none" w:sz="0" w:space="0" w:color="auto"/>
            <w:left w:val="none" w:sz="0" w:space="0" w:color="auto"/>
            <w:bottom w:val="none" w:sz="0" w:space="0" w:color="auto"/>
            <w:right w:val="none" w:sz="0" w:space="0" w:color="auto"/>
          </w:divBdr>
        </w:div>
        <w:div w:id="1678771946">
          <w:marLeft w:val="640"/>
          <w:marRight w:val="0"/>
          <w:marTop w:val="0"/>
          <w:marBottom w:val="0"/>
          <w:divBdr>
            <w:top w:val="none" w:sz="0" w:space="0" w:color="auto"/>
            <w:left w:val="none" w:sz="0" w:space="0" w:color="auto"/>
            <w:bottom w:val="none" w:sz="0" w:space="0" w:color="auto"/>
            <w:right w:val="none" w:sz="0" w:space="0" w:color="auto"/>
          </w:divBdr>
        </w:div>
        <w:div w:id="345715084">
          <w:marLeft w:val="640"/>
          <w:marRight w:val="0"/>
          <w:marTop w:val="0"/>
          <w:marBottom w:val="0"/>
          <w:divBdr>
            <w:top w:val="none" w:sz="0" w:space="0" w:color="auto"/>
            <w:left w:val="none" w:sz="0" w:space="0" w:color="auto"/>
            <w:bottom w:val="none" w:sz="0" w:space="0" w:color="auto"/>
            <w:right w:val="none" w:sz="0" w:space="0" w:color="auto"/>
          </w:divBdr>
        </w:div>
        <w:div w:id="258761149">
          <w:marLeft w:val="640"/>
          <w:marRight w:val="0"/>
          <w:marTop w:val="0"/>
          <w:marBottom w:val="0"/>
          <w:divBdr>
            <w:top w:val="none" w:sz="0" w:space="0" w:color="auto"/>
            <w:left w:val="none" w:sz="0" w:space="0" w:color="auto"/>
            <w:bottom w:val="none" w:sz="0" w:space="0" w:color="auto"/>
            <w:right w:val="none" w:sz="0" w:space="0" w:color="auto"/>
          </w:divBdr>
        </w:div>
        <w:div w:id="805395667">
          <w:marLeft w:val="640"/>
          <w:marRight w:val="0"/>
          <w:marTop w:val="0"/>
          <w:marBottom w:val="0"/>
          <w:divBdr>
            <w:top w:val="none" w:sz="0" w:space="0" w:color="auto"/>
            <w:left w:val="none" w:sz="0" w:space="0" w:color="auto"/>
            <w:bottom w:val="none" w:sz="0" w:space="0" w:color="auto"/>
            <w:right w:val="none" w:sz="0" w:space="0" w:color="auto"/>
          </w:divBdr>
        </w:div>
        <w:div w:id="758789623">
          <w:marLeft w:val="640"/>
          <w:marRight w:val="0"/>
          <w:marTop w:val="0"/>
          <w:marBottom w:val="0"/>
          <w:divBdr>
            <w:top w:val="none" w:sz="0" w:space="0" w:color="auto"/>
            <w:left w:val="none" w:sz="0" w:space="0" w:color="auto"/>
            <w:bottom w:val="none" w:sz="0" w:space="0" w:color="auto"/>
            <w:right w:val="none" w:sz="0" w:space="0" w:color="auto"/>
          </w:divBdr>
        </w:div>
        <w:div w:id="1217625270">
          <w:marLeft w:val="640"/>
          <w:marRight w:val="0"/>
          <w:marTop w:val="0"/>
          <w:marBottom w:val="0"/>
          <w:divBdr>
            <w:top w:val="none" w:sz="0" w:space="0" w:color="auto"/>
            <w:left w:val="none" w:sz="0" w:space="0" w:color="auto"/>
            <w:bottom w:val="none" w:sz="0" w:space="0" w:color="auto"/>
            <w:right w:val="none" w:sz="0" w:space="0" w:color="auto"/>
          </w:divBdr>
        </w:div>
        <w:div w:id="898592372">
          <w:marLeft w:val="640"/>
          <w:marRight w:val="0"/>
          <w:marTop w:val="0"/>
          <w:marBottom w:val="0"/>
          <w:divBdr>
            <w:top w:val="none" w:sz="0" w:space="0" w:color="auto"/>
            <w:left w:val="none" w:sz="0" w:space="0" w:color="auto"/>
            <w:bottom w:val="none" w:sz="0" w:space="0" w:color="auto"/>
            <w:right w:val="none" w:sz="0" w:space="0" w:color="auto"/>
          </w:divBdr>
        </w:div>
        <w:div w:id="540171485">
          <w:marLeft w:val="640"/>
          <w:marRight w:val="0"/>
          <w:marTop w:val="0"/>
          <w:marBottom w:val="0"/>
          <w:divBdr>
            <w:top w:val="none" w:sz="0" w:space="0" w:color="auto"/>
            <w:left w:val="none" w:sz="0" w:space="0" w:color="auto"/>
            <w:bottom w:val="none" w:sz="0" w:space="0" w:color="auto"/>
            <w:right w:val="none" w:sz="0" w:space="0" w:color="auto"/>
          </w:divBdr>
        </w:div>
        <w:div w:id="2092506457">
          <w:marLeft w:val="640"/>
          <w:marRight w:val="0"/>
          <w:marTop w:val="0"/>
          <w:marBottom w:val="0"/>
          <w:divBdr>
            <w:top w:val="none" w:sz="0" w:space="0" w:color="auto"/>
            <w:left w:val="none" w:sz="0" w:space="0" w:color="auto"/>
            <w:bottom w:val="none" w:sz="0" w:space="0" w:color="auto"/>
            <w:right w:val="none" w:sz="0" w:space="0" w:color="auto"/>
          </w:divBdr>
        </w:div>
        <w:div w:id="301153607">
          <w:marLeft w:val="640"/>
          <w:marRight w:val="0"/>
          <w:marTop w:val="0"/>
          <w:marBottom w:val="0"/>
          <w:divBdr>
            <w:top w:val="none" w:sz="0" w:space="0" w:color="auto"/>
            <w:left w:val="none" w:sz="0" w:space="0" w:color="auto"/>
            <w:bottom w:val="none" w:sz="0" w:space="0" w:color="auto"/>
            <w:right w:val="none" w:sz="0" w:space="0" w:color="auto"/>
          </w:divBdr>
        </w:div>
        <w:div w:id="1814176487">
          <w:marLeft w:val="640"/>
          <w:marRight w:val="0"/>
          <w:marTop w:val="0"/>
          <w:marBottom w:val="0"/>
          <w:divBdr>
            <w:top w:val="none" w:sz="0" w:space="0" w:color="auto"/>
            <w:left w:val="none" w:sz="0" w:space="0" w:color="auto"/>
            <w:bottom w:val="none" w:sz="0" w:space="0" w:color="auto"/>
            <w:right w:val="none" w:sz="0" w:space="0" w:color="auto"/>
          </w:divBdr>
        </w:div>
        <w:div w:id="1553150094">
          <w:marLeft w:val="640"/>
          <w:marRight w:val="0"/>
          <w:marTop w:val="0"/>
          <w:marBottom w:val="0"/>
          <w:divBdr>
            <w:top w:val="none" w:sz="0" w:space="0" w:color="auto"/>
            <w:left w:val="none" w:sz="0" w:space="0" w:color="auto"/>
            <w:bottom w:val="none" w:sz="0" w:space="0" w:color="auto"/>
            <w:right w:val="none" w:sz="0" w:space="0" w:color="auto"/>
          </w:divBdr>
        </w:div>
        <w:div w:id="1401244658">
          <w:marLeft w:val="640"/>
          <w:marRight w:val="0"/>
          <w:marTop w:val="0"/>
          <w:marBottom w:val="0"/>
          <w:divBdr>
            <w:top w:val="none" w:sz="0" w:space="0" w:color="auto"/>
            <w:left w:val="none" w:sz="0" w:space="0" w:color="auto"/>
            <w:bottom w:val="none" w:sz="0" w:space="0" w:color="auto"/>
            <w:right w:val="none" w:sz="0" w:space="0" w:color="auto"/>
          </w:divBdr>
        </w:div>
        <w:div w:id="571160412">
          <w:marLeft w:val="640"/>
          <w:marRight w:val="0"/>
          <w:marTop w:val="0"/>
          <w:marBottom w:val="0"/>
          <w:divBdr>
            <w:top w:val="none" w:sz="0" w:space="0" w:color="auto"/>
            <w:left w:val="none" w:sz="0" w:space="0" w:color="auto"/>
            <w:bottom w:val="none" w:sz="0" w:space="0" w:color="auto"/>
            <w:right w:val="none" w:sz="0" w:space="0" w:color="auto"/>
          </w:divBdr>
        </w:div>
        <w:div w:id="721365630">
          <w:marLeft w:val="640"/>
          <w:marRight w:val="0"/>
          <w:marTop w:val="0"/>
          <w:marBottom w:val="0"/>
          <w:divBdr>
            <w:top w:val="none" w:sz="0" w:space="0" w:color="auto"/>
            <w:left w:val="none" w:sz="0" w:space="0" w:color="auto"/>
            <w:bottom w:val="none" w:sz="0" w:space="0" w:color="auto"/>
            <w:right w:val="none" w:sz="0" w:space="0" w:color="auto"/>
          </w:divBdr>
        </w:div>
        <w:div w:id="10880922">
          <w:marLeft w:val="640"/>
          <w:marRight w:val="0"/>
          <w:marTop w:val="0"/>
          <w:marBottom w:val="0"/>
          <w:divBdr>
            <w:top w:val="none" w:sz="0" w:space="0" w:color="auto"/>
            <w:left w:val="none" w:sz="0" w:space="0" w:color="auto"/>
            <w:bottom w:val="none" w:sz="0" w:space="0" w:color="auto"/>
            <w:right w:val="none" w:sz="0" w:space="0" w:color="auto"/>
          </w:divBdr>
        </w:div>
        <w:div w:id="497115932">
          <w:marLeft w:val="640"/>
          <w:marRight w:val="0"/>
          <w:marTop w:val="0"/>
          <w:marBottom w:val="0"/>
          <w:divBdr>
            <w:top w:val="none" w:sz="0" w:space="0" w:color="auto"/>
            <w:left w:val="none" w:sz="0" w:space="0" w:color="auto"/>
            <w:bottom w:val="none" w:sz="0" w:space="0" w:color="auto"/>
            <w:right w:val="none" w:sz="0" w:space="0" w:color="auto"/>
          </w:divBdr>
        </w:div>
        <w:div w:id="1684670111">
          <w:marLeft w:val="640"/>
          <w:marRight w:val="0"/>
          <w:marTop w:val="0"/>
          <w:marBottom w:val="0"/>
          <w:divBdr>
            <w:top w:val="none" w:sz="0" w:space="0" w:color="auto"/>
            <w:left w:val="none" w:sz="0" w:space="0" w:color="auto"/>
            <w:bottom w:val="none" w:sz="0" w:space="0" w:color="auto"/>
            <w:right w:val="none" w:sz="0" w:space="0" w:color="auto"/>
          </w:divBdr>
        </w:div>
        <w:div w:id="258031951">
          <w:marLeft w:val="640"/>
          <w:marRight w:val="0"/>
          <w:marTop w:val="0"/>
          <w:marBottom w:val="0"/>
          <w:divBdr>
            <w:top w:val="none" w:sz="0" w:space="0" w:color="auto"/>
            <w:left w:val="none" w:sz="0" w:space="0" w:color="auto"/>
            <w:bottom w:val="none" w:sz="0" w:space="0" w:color="auto"/>
            <w:right w:val="none" w:sz="0" w:space="0" w:color="auto"/>
          </w:divBdr>
        </w:div>
        <w:div w:id="469328210">
          <w:marLeft w:val="640"/>
          <w:marRight w:val="0"/>
          <w:marTop w:val="0"/>
          <w:marBottom w:val="0"/>
          <w:divBdr>
            <w:top w:val="none" w:sz="0" w:space="0" w:color="auto"/>
            <w:left w:val="none" w:sz="0" w:space="0" w:color="auto"/>
            <w:bottom w:val="none" w:sz="0" w:space="0" w:color="auto"/>
            <w:right w:val="none" w:sz="0" w:space="0" w:color="auto"/>
          </w:divBdr>
        </w:div>
        <w:div w:id="517620466">
          <w:marLeft w:val="640"/>
          <w:marRight w:val="0"/>
          <w:marTop w:val="0"/>
          <w:marBottom w:val="0"/>
          <w:divBdr>
            <w:top w:val="none" w:sz="0" w:space="0" w:color="auto"/>
            <w:left w:val="none" w:sz="0" w:space="0" w:color="auto"/>
            <w:bottom w:val="none" w:sz="0" w:space="0" w:color="auto"/>
            <w:right w:val="none" w:sz="0" w:space="0" w:color="auto"/>
          </w:divBdr>
        </w:div>
        <w:div w:id="1915966726">
          <w:marLeft w:val="640"/>
          <w:marRight w:val="0"/>
          <w:marTop w:val="0"/>
          <w:marBottom w:val="0"/>
          <w:divBdr>
            <w:top w:val="none" w:sz="0" w:space="0" w:color="auto"/>
            <w:left w:val="none" w:sz="0" w:space="0" w:color="auto"/>
            <w:bottom w:val="none" w:sz="0" w:space="0" w:color="auto"/>
            <w:right w:val="none" w:sz="0" w:space="0" w:color="auto"/>
          </w:divBdr>
        </w:div>
        <w:div w:id="220295112">
          <w:marLeft w:val="640"/>
          <w:marRight w:val="0"/>
          <w:marTop w:val="0"/>
          <w:marBottom w:val="0"/>
          <w:divBdr>
            <w:top w:val="none" w:sz="0" w:space="0" w:color="auto"/>
            <w:left w:val="none" w:sz="0" w:space="0" w:color="auto"/>
            <w:bottom w:val="none" w:sz="0" w:space="0" w:color="auto"/>
            <w:right w:val="none" w:sz="0" w:space="0" w:color="auto"/>
          </w:divBdr>
        </w:div>
        <w:div w:id="759375167">
          <w:marLeft w:val="640"/>
          <w:marRight w:val="0"/>
          <w:marTop w:val="0"/>
          <w:marBottom w:val="0"/>
          <w:divBdr>
            <w:top w:val="none" w:sz="0" w:space="0" w:color="auto"/>
            <w:left w:val="none" w:sz="0" w:space="0" w:color="auto"/>
            <w:bottom w:val="none" w:sz="0" w:space="0" w:color="auto"/>
            <w:right w:val="none" w:sz="0" w:space="0" w:color="auto"/>
          </w:divBdr>
        </w:div>
        <w:div w:id="1419208750">
          <w:marLeft w:val="640"/>
          <w:marRight w:val="0"/>
          <w:marTop w:val="0"/>
          <w:marBottom w:val="0"/>
          <w:divBdr>
            <w:top w:val="none" w:sz="0" w:space="0" w:color="auto"/>
            <w:left w:val="none" w:sz="0" w:space="0" w:color="auto"/>
            <w:bottom w:val="none" w:sz="0" w:space="0" w:color="auto"/>
            <w:right w:val="none" w:sz="0" w:space="0" w:color="auto"/>
          </w:divBdr>
        </w:div>
        <w:div w:id="815875543">
          <w:marLeft w:val="640"/>
          <w:marRight w:val="0"/>
          <w:marTop w:val="0"/>
          <w:marBottom w:val="0"/>
          <w:divBdr>
            <w:top w:val="none" w:sz="0" w:space="0" w:color="auto"/>
            <w:left w:val="none" w:sz="0" w:space="0" w:color="auto"/>
            <w:bottom w:val="none" w:sz="0" w:space="0" w:color="auto"/>
            <w:right w:val="none" w:sz="0" w:space="0" w:color="auto"/>
          </w:divBdr>
        </w:div>
        <w:div w:id="1733653873">
          <w:marLeft w:val="640"/>
          <w:marRight w:val="0"/>
          <w:marTop w:val="0"/>
          <w:marBottom w:val="0"/>
          <w:divBdr>
            <w:top w:val="none" w:sz="0" w:space="0" w:color="auto"/>
            <w:left w:val="none" w:sz="0" w:space="0" w:color="auto"/>
            <w:bottom w:val="none" w:sz="0" w:space="0" w:color="auto"/>
            <w:right w:val="none" w:sz="0" w:space="0" w:color="auto"/>
          </w:divBdr>
        </w:div>
        <w:div w:id="956569822">
          <w:marLeft w:val="640"/>
          <w:marRight w:val="0"/>
          <w:marTop w:val="0"/>
          <w:marBottom w:val="0"/>
          <w:divBdr>
            <w:top w:val="none" w:sz="0" w:space="0" w:color="auto"/>
            <w:left w:val="none" w:sz="0" w:space="0" w:color="auto"/>
            <w:bottom w:val="none" w:sz="0" w:space="0" w:color="auto"/>
            <w:right w:val="none" w:sz="0" w:space="0" w:color="auto"/>
          </w:divBdr>
        </w:div>
        <w:div w:id="822812928">
          <w:marLeft w:val="640"/>
          <w:marRight w:val="0"/>
          <w:marTop w:val="0"/>
          <w:marBottom w:val="0"/>
          <w:divBdr>
            <w:top w:val="none" w:sz="0" w:space="0" w:color="auto"/>
            <w:left w:val="none" w:sz="0" w:space="0" w:color="auto"/>
            <w:bottom w:val="none" w:sz="0" w:space="0" w:color="auto"/>
            <w:right w:val="none" w:sz="0" w:space="0" w:color="auto"/>
          </w:divBdr>
        </w:div>
        <w:div w:id="425807659">
          <w:marLeft w:val="640"/>
          <w:marRight w:val="0"/>
          <w:marTop w:val="0"/>
          <w:marBottom w:val="0"/>
          <w:divBdr>
            <w:top w:val="none" w:sz="0" w:space="0" w:color="auto"/>
            <w:left w:val="none" w:sz="0" w:space="0" w:color="auto"/>
            <w:bottom w:val="none" w:sz="0" w:space="0" w:color="auto"/>
            <w:right w:val="none" w:sz="0" w:space="0" w:color="auto"/>
          </w:divBdr>
        </w:div>
        <w:div w:id="592516122">
          <w:marLeft w:val="640"/>
          <w:marRight w:val="0"/>
          <w:marTop w:val="0"/>
          <w:marBottom w:val="0"/>
          <w:divBdr>
            <w:top w:val="none" w:sz="0" w:space="0" w:color="auto"/>
            <w:left w:val="none" w:sz="0" w:space="0" w:color="auto"/>
            <w:bottom w:val="none" w:sz="0" w:space="0" w:color="auto"/>
            <w:right w:val="none" w:sz="0" w:space="0" w:color="auto"/>
          </w:divBdr>
        </w:div>
        <w:div w:id="1718312395">
          <w:marLeft w:val="640"/>
          <w:marRight w:val="0"/>
          <w:marTop w:val="0"/>
          <w:marBottom w:val="0"/>
          <w:divBdr>
            <w:top w:val="none" w:sz="0" w:space="0" w:color="auto"/>
            <w:left w:val="none" w:sz="0" w:space="0" w:color="auto"/>
            <w:bottom w:val="none" w:sz="0" w:space="0" w:color="auto"/>
            <w:right w:val="none" w:sz="0" w:space="0" w:color="auto"/>
          </w:divBdr>
        </w:div>
        <w:div w:id="945816699">
          <w:marLeft w:val="640"/>
          <w:marRight w:val="0"/>
          <w:marTop w:val="0"/>
          <w:marBottom w:val="0"/>
          <w:divBdr>
            <w:top w:val="none" w:sz="0" w:space="0" w:color="auto"/>
            <w:left w:val="none" w:sz="0" w:space="0" w:color="auto"/>
            <w:bottom w:val="none" w:sz="0" w:space="0" w:color="auto"/>
            <w:right w:val="none" w:sz="0" w:space="0" w:color="auto"/>
          </w:divBdr>
        </w:div>
        <w:div w:id="455368898">
          <w:marLeft w:val="640"/>
          <w:marRight w:val="0"/>
          <w:marTop w:val="0"/>
          <w:marBottom w:val="0"/>
          <w:divBdr>
            <w:top w:val="none" w:sz="0" w:space="0" w:color="auto"/>
            <w:left w:val="none" w:sz="0" w:space="0" w:color="auto"/>
            <w:bottom w:val="none" w:sz="0" w:space="0" w:color="auto"/>
            <w:right w:val="none" w:sz="0" w:space="0" w:color="auto"/>
          </w:divBdr>
        </w:div>
        <w:div w:id="787356620">
          <w:marLeft w:val="640"/>
          <w:marRight w:val="0"/>
          <w:marTop w:val="0"/>
          <w:marBottom w:val="0"/>
          <w:divBdr>
            <w:top w:val="none" w:sz="0" w:space="0" w:color="auto"/>
            <w:left w:val="none" w:sz="0" w:space="0" w:color="auto"/>
            <w:bottom w:val="none" w:sz="0" w:space="0" w:color="auto"/>
            <w:right w:val="none" w:sz="0" w:space="0" w:color="auto"/>
          </w:divBdr>
        </w:div>
        <w:div w:id="557127340">
          <w:marLeft w:val="640"/>
          <w:marRight w:val="0"/>
          <w:marTop w:val="0"/>
          <w:marBottom w:val="0"/>
          <w:divBdr>
            <w:top w:val="none" w:sz="0" w:space="0" w:color="auto"/>
            <w:left w:val="none" w:sz="0" w:space="0" w:color="auto"/>
            <w:bottom w:val="none" w:sz="0" w:space="0" w:color="auto"/>
            <w:right w:val="none" w:sz="0" w:space="0" w:color="auto"/>
          </w:divBdr>
        </w:div>
        <w:div w:id="141510938">
          <w:marLeft w:val="640"/>
          <w:marRight w:val="0"/>
          <w:marTop w:val="0"/>
          <w:marBottom w:val="0"/>
          <w:divBdr>
            <w:top w:val="none" w:sz="0" w:space="0" w:color="auto"/>
            <w:left w:val="none" w:sz="0" w:space="0" w:color="auto"/>
            <w:bottom w:val="none" w:sz="0" w:space="0" w:color="auto"/>
            <w:right w:val="none" w:sz="0" w:space="0" w:color="auto"/>
          </w:divBdr>
        </w:div>
        <w:div w:id="1578124437">
          <w:marLeft w:val="640"/>
          <w:marRight w:val="0"/>
          <w:marTop w:val="0"/>
          <w:marBottom w:val="0"/>
          <w:divBdr>
            <w:top w:val="none" w:sz="0" w:space="0" w:color="auto"/>
            <w:left w:val="none" w:sz="0" w:space="0" w:color="auto"/>
            <w:bottom w:val="none" w:sz="0" w:space="0" w:color="auto"/>
            <w:right w:val="none" w:sz="0" w:space="0" w:color="auto"/>
          </w:divBdr>
        </w:div>
        <w:div w:id="789713779">
          <w:marLeft w:val="640"/>
          <w:marRight w:val="0"/>
          <w:marTop w:val="0"/>
          <w:marBottom w:val="0"/>
          <w:divBdr>
            <w:top w:val="none" w:sz="0" w:space="0" w:color="auto"/>
            <w:left w:val="none" w:sz="0" w:space="0" w:color="auto"/>
            <w:bottom w:val="none" w:sz="0" w:space="0" w:color="auto"/>
            <w:right w:val="none" w:sz="0" w:space="0" w:color="auto"/>
          </w:divBdr>
        </w:div>
        <w:div w:id="1020816862">
          <w:marLeft w:val="640"/>
          <w:marRight w:val="0"/>
          <w:marTop w:val="0"/>
          <w:marBottom w:val="0"/>
          <w:divBdr>
            <w:top w:val="none" w:sz="0" w:space="0" w:color="auto"/>
            <w:left w:val="none" w:sz="0" w:space="0" w:color="auto"/>
            <w:bottom w:val="none" w:sz="0" w:space="0" w:color="auto"/>
            <w:right w:val="none" w:sz="0" w:space="0" w:color="auto"/>
          </w:divBdr>
        </w:div>
        <w:div w:id="553127649">
          <w:marLeft w:val="640"/>
          <w:marRight w:val="0"/>
          <w:marTop w:val="0"/>
          <w:marBottom w:val="0"/>
          <w:divBdr>
            <w:top w:val="none" w:sz="0" w:space="0" w:color="auto"/>
            <w:left w:val="none" w:sz="0" w:space="0" w:color="auto"/>
            <w:bottom w:val="none" w:sz="0" w:space="0" w:color="auto"/>
            <w:right w:val="none" w:sz="0" w:space="0" w:color="auto"/>
          </w:divBdr>
        </w:div>
      </w:divsChild>
    </w:div>
    <w:div w:id="960839360">
      <w:bodyDiv w:val="1"/>
      <w:marLeft w:val="0"/>
      <w:marRight w:val="0"/>
      <w:marTop w:val="0"/>
      <w:marBottom w:val="0"/>
      <w:divBdr>
        <w:top w:val="none" w:sz="0" w:space="0" w:color="auto"/>
        <w:left w:val="none" w:sz="0" w:space="0" w:color="auto"/>
        <w:bottom w:val="none" w:sz="0" w:space="0" w:color="auto"/>
        <w:right w:val="none" w:sz="0" w:space="0" w:color="auto"/>
      </w:divBdr>
      <w:divsChild>
        <w:div w:id="304361973">
          <w:marLeft w:val="640"/>
          <w:marRight w:val="0"/>
          <w:marTop w:val="0"/>
          <w:marBottom w:val="0"/>
          <w:divBdr>
            <w:top w:val="none" w:sz="0" w:space="0" w:color="auto"/>
            <w:left w:val="none" w:sz="0" w:space="0" w:color="auto"/>
            <w:bottom w:val="none" w:sz="0" w:space="0" w:color="auto"/>
            <w:right w:val="none" w:sz="0" w:space="0" w:color="auto"/>
          </w:divBdr>
        </w:div>
        <w:div w:id="258295805">
          <w:marLeft w:val="640"/>
          <w:marRight w:val="0"/>
          <w:marTop w:val="0"/>
          <w:marBottom w:val="0"/>
          <w:divBdr>
            <w:top w:val="none" w:sz="0" w:space="0" w:color="auto"/>
            <w:left w:val="none" w:sz="0" w:space="0" w:color="auto"/>
            <w:bottom w:val="none" w:sz="0" w:space="0" w:color="auto"/>
            <w:right w:val="none" w:sz="0" w:space="0" w:color="auto"/>
          </w:divBdr>
        </w:div>
        <w:div w:id="1517185934">
          <w:marLeft w:val="640"/>
          <w:marRight w:val="0"/>
          <w:marTop w:val="0"/>
          <w:marBottom w:val="0"/>
          <w:divBdr>
            <w:top w:val="none" w:sz="0" w:space="0" w:color="auto"/>
            <w:left w:val="none" w:sz="0" w:space="0" w:color="auto"/>
            <w:bottom w:val="none" w:sz="0" w:space="0" w:color="auto"/>
            <w:right w:val="none" w:sz="0" w:space="0" w:color="auto"/>
          </w:divBdr>
        </w:div>
        <w:div w:id="115031171">
          <w:marLeft w:val="640"/>
          <w:marRight w:val="0"/>
          <w:marTop w:val="0"/>
          <w:marBottom w:val="0"/>
          <w:divBdr>
            <w:top w:val="none" w:sz="0" w:space="0" w:color="auto"/>
            <w:left w:val="none" w:sz="0" w:space="0" w:color="auto"/>
            <w:bottom w:val="none" w:sz="0" w:space="0" w:color="auto"/>
            <w:right w:val="none" w:sz="0" w:space="0" w:color="auto"/>
          </w:divBdr>
        </w:div>
        <w:div w:id="1188103157">
          <w:marLeft w:val="640"/>
          <w:marRight w:val="0"/>
          <w:marTop w:val="0"/>
          <w:marBottom w:val="0"/>
          <w:divBdr>
            <w:top w:val="none" w:sz="0" w:space="0" w:color="auto"/>
            <w:left w:val="none" w:sz="0" w:space="0" w:color="auto"/>
            <w:bottom w:val="none" w:sz="0" w:space="0" w:color="auto"/>
            <w:right w:val="none" w:sz="0" w:space="0" w:color="auto"/>
          </w:divBdr>
        </w:div>
        <w:div w:id="641538451">
          <w:marLeft w:val="640"/>
          <w:marRight w:val="0"/>
          <w:marTop w:val="0"/>
          <w:marBottom w:val="0"/>
          <w:divBdr>
            <w:top w:val="none" w:sz="0" w:space="0" w:color="auto"/>
            <w:left w:val="none" w:sz="0" w:space="0" w:color="auto"/>
            <w:bottom w:val="none" w:sz="0" w:space="0" w:color="auto"/>
            <w:right w:val="none" w:sz="0" w:space="0" w:color="auto"/>
          </w:divBdr>
        </w:div>
        <w:div w:id="1162695212">
          <w:marLeft w:val="640"/>
          <w:marRight w:val="0"/>
          <w:marTop w:val="0"/>
          <w:marBottom w:val="0"/>
          <w:divBdr>
            <w:top w:val="none" w:sz="0" w:space="0" w:color="auto"/>
            <w:left w:val="none" w:sz="0" w:space="0" w:color="auto"/>
            <w:bottom w:val="none" w:sz="0" w:space="0" w:color="auto"/>
            <w:right w:val="none" w:sz="0" w:space="0" w:color="auto"/>
          </w:divBdr>
        </w:div>
        <w:div w:id="1775128296">
          <w:marLeft w:val="640"/>
          <w:marRight w:val="0"/>
          <w:marTop w:val="0"/>
          <w:marBottom w:val="0"/>
          <w:divBdr>
            <w:top w:val="none" w:sz="0" w:space="0" w:color="auto"/>
            <w:left w:val="none" w:sz="0" w:space="0" w:color="auto"/>
            <w:bottom w:val="none" w:sz="0" w:space="0" w:color="auto"/>
            <w:right w:val="none" w:sz="0" w:space="0" w:color="auto"/>
          </w:divBdr>
        </w:div>
        <w:div w:id="589776338">
          <w:marLeft w:val="640"/>
          <w:marRight w:val="0"/>
          <w:marTop w:val="0"/>
          <w:marBottom w:val="0"/>
          <w:divBdr>
            <w:top w:val="none" w:sz="0" w:space="0" w:color="auto"/>
            <w:left w:val="none" w:sz="0" w:space="0" w:color="auto"/>
            <w:bottom w:val="none" w:sz="0" w:space="0" w:color="auto"/>
            <w:right w:val="none" w:sz="0" w:space="0" w:color="auto"/>
          </w:divBdr>
        </w:div>
        <w:div w:id="163016639">
          <w:marLeft w:val="640"/>
          <w:marRight w:val="0"/>
          <w:marTop w:val="0"/>
          <w:marBottom w:val="0"/>
          <w:divBdr>
            <w:top w:val="none" w:sz="0" w:space="0" w:color="auto"/>
            <w:left w:val="none" w:sz="0" w:space="0" w:color="auto"/>
            <w:bottom w:val="none" w:sz="0" w:space="0" w:color="auto"/>
            <w:right w:val="none" w:sz="0" w:space="0" w:color="auto"/>
          </w:divBdr>
        </w:div>
        <w:div w:id="1114834992">
          <w:marLeft w:val="640"/>
          <w:marRight w:val="0"/>
          <w:marTop w:val="0"/>
          <w:marBottom w:val="0"/>
          <w:divBdr>
            <w:top w:val="none" w:sz="0" w:space="0" w:color="auto"/>
            <w:left w:val="none" w:sz="0" w:space="0" w:color="auto"/>
            <w:bottom w:val="none" w:sz="0" w:space="0" w:color="auto"/>
            <w:right w:val="none" w:sz="0" w:space="0" w:color="auto"/>
          </w:divBdr>
        </w:div>
        <w:div w:id="1176534263">
          <w:marLeft w:val="640"/>
          <w:marRight w:val="0"/>
          <w:marTop w:val="0"/>
          <w:marBottom w:val="0"/>
          <w:divBdr>
            <w:top w:val="none" w:sz="0" w:space="0" w:color="auto"/>
            <w:left w:val="none" w:sz="0" w:space="0" w:color="auto"/>
            <w:bottom w:val="none" w:sz="0" w:space="0" w:color="auto"/>
            <w:right w:val="none" w:sz="0" w:space="0" w:color="auto"/>
          </w:divBdr>
        </w:div>
        <w:div w:id="845486428">
          <w:marLeft w:val="640"/>
          <w:marRight w:val="0"/>
          <w:marTop w:val="0"/>
          <w:marBottom w:val="0"/>
          <w:divBdr>
            <w:top w:val="none" w:sz="0" w:space="0" w:color="auto"/>
            <w:left w:val="none" w:sz="0" w:space="0" w:color="auto"/>
            <w:bottom w:val="none" w:sz="0" w:space="0" w:color="auto"/>
            <w:right w:val="none" w:sz="0" w:space="0" w:color="auto"/>
          </w:divBdr>
        </w:div>
        <w:div w:id="1900707292">
          <w:marLeft w:val="640"/>
          <w:marRight w:val="0"/>
          <w:marTop w:val="0"/>
          <w:marBottom w:val="0"/>
          <w:divBdr>
            <w:top w:val="none" w:sz="0" w:space="0" w:color="auto"/>
            <w:left w:val="none" w:sz="0" w:space="0" w:color="auto"/>
            <w:bottom w:val="none" w:sz="0" w:space="0" w:color="auto"/>
            <w:right w:val="none" w:sz="0" w:space="0" w:color="auto"/>
          </w:divBdr>
        </w:div>
        <w:div w:id="1259286590">
          <w:marLeft w:val="640"/>
          <w:marRight w:val="0"/>
          <w:marTop w:val="0"/>
          <w:marBottom w:val="0"/>
          <w:divBdr>
            <w:top w:val="none" w:sz="0" w:space="0" w:color="auto"/>
            <w:left w:val="none" w:sz="0" w:space="0" w:color="auto"/>
            <w:bottom w:val="none" w:sz="0" w:space="0" w:color="auto"/>
            <w:right w:val="none" w:sz="0" w:space="0" w:color="auto"/>
          </w:divBdr>
        </w:div>
        <w:div w:id="1146168958">
          <w:marLeft w:val="640"/>
          <w:marRight w:val="0"/>
          <w:marTop w:val="0"/>
          <w:marBottom w:val="0"/>
          <w:divBdr>
            <w:top w:val="none" w:sz="0" w:space="0" w:color="auto"/>
            <w:left w:val="none" w:sz="0" w:space="0" w:color="auto"/>
            <w:bottom w:val="none" w:sz="0" w:space="0" w:color="auto"/>
            <w:right w:val="none" w:sz="0" w:space="0" w:color="auto"/>
          </w:divBdr>
        </w:div>
        <w:div w:id="1955013988">
          <w:marLeft w:val="640"/>
          <w:marRight w:val="0"/>
          <w:marTop w:val="0"/>
          <w:marBottom w:val="0"/>
          <w:divBdr>
            <w:top w:val="none" w:sz="0" w:space="0" w:color="auto"/>
            <w:left w:val="none" w:sz="0" w:space="0" w:color="auto"/>
            <w:bottom w:val="none" w:sz="0" w:space="0" w:color="auto"/>
            <w:right w:val="none" w:sz="0" w:space="0" w:color="auto"/>
          </w:divBdr>
        </w:div>
        <w:div w:id="1153568071">
          <w:marLeft w:val="640"/>
          <w:marRight w:val="0"/>
          <w:marTop w:val="0"/>
          <w:marBottom w:val="0"/>
          <w:divBdr>
            <w:top w:val="none" w:sz="0" w:space="0" w:color="auto"/>
            <w:left w:val="none" w:sz="0" w:space="0" w:color="auto"/>
            <w:bottom w:val="none" w:sz="0" w:space="0" w:color="auto"/>
            <w:right w:val="none" w:sz="0" w:space="0" w:color="auto"/>
          </w:divBdr>
        </w:div>
        <w:div w:id="860902173">
          <w:marLeft w:val="640"/>
          <w:marRight w:val="0"/>
          <w:marTop w:val="0"/>
          <w:marBottom w:val="0"/>
          <w:divBdr>
            <w:top w:val="none" w:sz="0" w:space="0" w:color="auto"/>
            <w:left w:val="none" w:sz="0" w:space="0" w:color="auto"/>
            <w:bottom w:val="none" w:sz="0" w:space="0" w:color="auto"/>
            <w:right w:val="none" w:sz="0" w:space="0" w:color="auto"/>
          </w:divBdr>
        </w:div>
        <w:div w:id="266236605">
          <w:marLeft w:val="640"/>
          <w:marRight w:val="0"/>
          <w:marTop w:val="0"/>
          <w:marBottom w:val="0"/>
          <w:divBdr>
            <w:top w:val="none" w:sz="0" w:space="0" w:color="auto"/>
            <w:left w:val="none" w:sz="0" w:space="0" w:color="auto"/>
            <w:bottom w:val="none" w:sz="0" w:space="0" w:color="auto"/>
            <w:right w:val="none" w:sz="0" w:space="0" w:color="auto"/>
          </w:divBdr>
        </w:div>
        <w:div w:id="339622084">
          <w:marLeft w:val="640"/>
          <w:marRight w:val="0"/>
          <w:marTop w:val="0"/>
          <w:marBottom w:val="0"/>
          <w:divBdr>
            <w:top w:val="none" w:sz="0" w:space="0" w:color="auto"/>
            <w:left w:val="none" w:sz="0" w:space="0" w:color="auto"/>
            <w:bottom w:val="none" w:sz="0" w:space="0" w:color="auto"/>
            <w:right w:val="none" w:sz="0" w:space="0" w:color="auto"/>
          </w:divBdr>
        </w:div>
        <w:div w:id="393283491">
          <w:marLeft w:val="640"/>
          <w:marRight w:val="0"/>
          <w:marTop w:val="0"/>
          <w:marBottom w:val="0"/>
          <w:divBdr>
            <w:top w:val="none" w:sz="0" w:space="0" w:color="auto"/>
            <w:left w:val="none" w:sz="0" w:space="0" w:color="auto"/>
            <w:bottom w:val="none" w:sz="0" w:space="0" w:color="auto"/>
            <w:right w:val="none" w:sz="0" w:space="0" w:color="auto"/>
          </w:divBdr>
        </w:div>
        <w:div w:id="1529761189">
          <w:marLeft w:val="640"/>
          <w:marRight w:val="0"/>
          <w:marTop w:val="0"/>
          <w:marBottom w:val="0"/>
          <w:divBdr>
            <w:top w:val="none" w:sz="0" w:space="0" w:color="auto"/>
            <w:left w:val="none" w:sz="0" w:space="0" w:color="auto"/>
            <w:bottom w:val="none" w:sz="0" w:space="0" w:color="auto"/>
            <w:right w:val="none" w:sz="0" w:space="0" w:color="auto"/>
          </w:divBdr>
        </w:div>
        <w:div w:id="1779909257">
          <w:marLeft w:val="640"/>
          <w:marRight w:val="0"/>
          <w:marTop w:val="0"/>
          <w:marBottom w:val="0"/>
          <w:divBdr>
            <w:top w:val="none" w:sz="0" w:space="0" w:color="auto"/>
            <w:left w:val="none" w:sz="0" w:space="0" w:color="auto"/>
            <w:bottom w:val="none" w:sz="0" w:space="0" w:color="auto"/>
            <w:right w:val="none" w:sz="0" w:space="0" w:color="auto"/>
          </w:divBdr>
        </w:div>
        <w:div w:id="1248729708">
          <w:marLeft w:val="640"/>
          <w:marRight w:val="0"/>
          <w:marTop w:val="0"/>
          <w:marBottom w:val="0"/>
          <w:divBdr>
            <w:top w:val="none" w:sz="0" w:space="0" w:color="auto"/>
            <w:left w:val="none" w:sz="0" w:space="0" w:color="auto"/>
            <w:bottom w:val="none" w:sz="0" w:space="0" w:color="auto"/>
            <w:right w:val="none" w:sz="0" w:space="0" w:color="auto"/>
          </w:divBdr>
        </w:div>
        <w:div w:id="1607034247">
          <w:marLeft w:val="640"/>
          <w:marRight w:val="0"/>
          <w:marTop w:val="0"/>
          <w:marBottom w:val="0"/>
          <w:divBdr>
            <w:top w:val="none" w:sz="0" w:space="0" w:color="auto"/>
            <w:left w:val="none" w:sz="0" w:space="0" w:color="auto"/>
            <w:bottom w:val="none" w:sz="0" w:space="0" w:color="auto"/>
            <w:right w:val="none" w:sz="0" w:space="0" w:color="auto"/>
          </w:divBdr>
        </w:div>
        <w:div w:id="332877194">
          <w:marLeft w:val="640"/>
          <w:marRight w:val="0"/>
          <w:marTop w:val="0"/>
          <w:marBottom w:val="0"/>
          <w:divBdr>
            <w:top w:val="none" w:sz="0" w:space="0" w:color="auto"/>
            <w:left w:val="none" w:sz="0" w:space="0" w:color="auto"/>
            <w:bottom w:val="none" w:sz="0" w:space="0" w:color="auto"/>
            <w:right w:val="none" w:sz="0" w:space="0" w:color="auto"/>
          </w:divBdr>
        </w:div>
        <w:div w:id="1331834966">
          <w:marLeft w:val="640"/>
          <w:marRight w:val="0"/>
          <w:marTop w:val="0"/>
          <w:marBottom w:val="0"/>
          <w:divBdr>
            <w:top w:val="none" w:sz="0" w:space="0" w:color="auto"/>
            <w:left w:val="none" w:sz="0" w:space="0" w:color="auto"/>
            <w:bottom w:val="none" w:sz="0" w:space="0" w:color="auto"/>
            <w:right w:val="none" w:sz="0" w:space="0" w:color="auto"/>
          </w:divBdr>
        </w:div>
        <w:div w:id="96022463">
          <w:marLeft w:val="640"/>
          <w:marRight w:val="0"/>
          <w:marTop w:val="0"/>
          <w:marBottom w:val="0"/>
          <w:divBdr>
            <w:top w:val="none" w:sz="0" w:space="0" w:color="auto"/>
            <w:left w:val="none" w:sz="0" w:space="0" w:color="auto"/>
            <w:bottom w:val="none" w:sz="0" w:space="0" w:color="auto"/>
            <w:right w:val="none" w:sz="0" w:space="0" w:color="auto"/>
          </w:divBdr>
        </w:div>
        <w:div w:id="2143843391">
          <w:marLeft w:val="640"/>
          <w:marRight w:val="0"/>
          <w:marTop w:val="0"/>
          <w:marBottom w:val="0"/>
          <w:divBdr>
            <w:top w:val="none" w:sz="0" w:space="0" w:color="auto"/>
            <w:left w:val="none" w:sz="0" w:space="0" w:color="auto"/>
            <w:bottom w:val="none" w:sz="0" w:space="0" w:color="auto"/>
            <w:right w:val="none" w:sz="0" w:space="0" w:color="auto"/>
          </w:divBdr>
        </w:div>
        <w:div w:id="667175625">
          <w:marLeft w:val="640"/>
          <w:marRight w:val="0"/>
          <w:marTop w:val="0"/>
          <w:marBottom w:val="0"/>
          <w:divBdr>
            <w:top w:val="none" w:sz="0" w:space="0" w:color="auto"/>
            <w:left w:val="none" w:sz="0" w:space="0" w:color="auto"/>
            <w:bottom w:val="none" w:sz="0" w:space="0" w:color="auto"/>
            <w:right w:val="none" w:sz="0" w:space="0" w:color="auto"/>
          </w:divBdr>
        </w:div>
        <w:div w:id="2127501877">
          <w:marLeft w:val="640"/>
          <w:marRight w:val="0"/>
          <w:marTop w:val="0"/>
          <w:marBottom w:val="0"/>
          <w:divBdr>
            <w:top w:val="none" w:sz="0" w:space="0" w:color="auto"/>
            <w:left w:val="none" w:sz="0" w:space="0" w:color="auto"/>
            <w:bottom w:val="none" w:sz="0" w:space="0" w:color="auto"/>
            <w:right w:val="none" w:sz="0" w:space="0" w:color="auto"/>
          </w:divBdr>
        </w:div>
        <w:div w:id="1133593192">
          <w:marLeft w:val="640"/>
          <w:marRight w:val="0"/>
          <w:marTop w:val="0"/>
          <w:marBottom w:val="0"/>
          <w:divBdr>
            <w:top w:val="none" w:sz="0" w:space="0" w:color="auto"/>
            <w:left w:val="none" w:sz="0" w:space="0" w:color="auto"/>
            <w:bottom w:val="none" w:sz="0" w:space="0" w:color="auto"/>
            <w:right w:val="none" w:sz="0" w:space="0" w:color="auto"/>
          </w:divBdr>
        </w:div>
        <w:div w:id="2038971251">
          <w:marLeft w:val="640"/>
          <w:marRight w:val="0"/>
          <w:marTop w:val="0"/>
          <w:marBottom w:val="0"/>
          <w:divBdr>
            <w:top w:val="none" w:sz="0" w:space="0" w:color="auto"/>
            <w:left w:val="none" w:sz="0" w:space="0" w:color="auto"/>
            <w:bottom w:val="none" w:sz="0" w:space="0" w:color="auto"/>
            <w:right w:val="none" w:sz="0" w:space="0" w:color="auto"/>
          </w:divBdr>
        </w:div>
        <w:div w:id="1976716223">
          <w:marLeft w:val="640"/>
          <w:marRight w:val="0"/>
          <w:marTop w:val="0"/>
          <w:marBottom w:val="0"/>
          <w:divBdr>
            <w:top w:val="none" w:sz="0" w:space="0" w:color="auto"/>
            <w:left w:val="none" w:sz="0" w:space="0" w:color="auto"/>
            <w:bottom w:val="none" w:sz="0" w:space="0" w:color="auto"/>
            <w:right w:val="none" w:sz="0" w:space="0" w:color="auto"/>
          </w:divBdr>
        </w:div>
        <w:div w:id="619537055">
          <w:marLeft w:val="640"/>
          <w:marRight w:val="0"/>
          <w:marTop w:val="0"/>
          <w:marBottom w:val="0"/>
          <w:divBdr>
            <w:top w:val="none" w:sz="0" w:space="0" w:color="auto"/>
            <w:left w:val="none" w:sz="0" w:space="0" w:color="auto"/>
            <w:bottom w:val="none" w:sz="0" w:space="0" w:color="auto"/>
            <w:right w:val="none" w:sz="0" w:space="0" w:color="auto"/>
          </w:divBdr>
        </w:div>
        <w:div w:id="877350603">
          <w:marLeft w:val="640"/>
          <w:marRight w:val="0"/>
          <w:marTop w:val="0"/>
          <w:marBottom w:val="0"/>
          <w:divBdr>
            <w:top w:val="none" w:sz="0" w:space="0" w:color="auto"/>
            <w:left w:val="none" w:sz="0" w:space="0" w:color="auto"/>
            <w:bottom w:val="none" w:sz="0" w:space="0" w:color="auto"/>
            <w:right w:val="none" w:sz="0" w:space="0" w:color="auto"/>
          </w:divBdr>
        </w:div>
        <w:div w:id="2058434265">
          <w:marLeft w:val="640"/>
          <w:marRight w:val="0"/>
          <w:marTop w:val="0"/>
          <w:marBottom w:val="0"/>
          <w:divBdr>
            <w:top w:val="none" w:sz="0" w:space="0" w:color="auto"/>
            <w:left w:val="none" w:sz="0" w:space="0" w:color="auto"/>
            <w:bottom w:val="none" w:sz="0" w:space="0" w:color="auto"/>
            <w:right w:val="none" w:sz="0" w:space="0" w:color="auto"/>
          </w:divBdr>
        </w:div>
        <w:div w:id="1227451812">
          <w:marLeft w:val="640"/>
          <w:marRight w:val="0"/>
          <w:marTop w:val="0"/>
          <w:marBottom w:val="0"/>
          <w:divBdr>
            <w:top w:val="none" w:sz="0" w:space="0" w:color="auto"/>
            <w:left w:val="none" w:sz="0" w:space="0" w:color="auto"/>
            <w:bottom w:val="none" w:sz="0" w:space="0" w:color="auto"/>
            <w:right w:val="none" w:sz="0" w:space="0" w:color="auto"/>
          </w:divBdr>
        </w:div>
        <w:div w:id="1142579580">
          <w:marLeft w:val="640"/>
          <w:marRight w:val="0"/>
          <w:marTop w:val="0"/>
          <w:marBottom w:val="0"/>
          <w:divBdr>
            <w:top w:val="none" w:sz="0" w:space="0" w:color="auto"/>
            <w:left w:val="none" w:sz="0" w:space="0" w:color="auto"/>
            <w:bottom w:val="none" w:sz="0" w:space="0" w:color="auto"/>
            <w:right w:val="none" w:sz="0" w:space="0" w:color="auto"/>
          </w:divBdr>
        </w:div>
        <w:div w:id="1104956926">
          <w:marLeft w:val="640"/>
          <w:marRight w:val="0"/>
          <w:marTop w:val="0"/>
          <w:marBottom w:val="0"/>
          <w:divBdr>
            <w:top w:val="none" w:sz="0" w:space="0" w:color="auto"/>
            <w:left w:val="none" w:sz="0" w:space="0" w:color="auto"/>
            <w:bottom w:val="none" w:sz="0" w:space="0" w:color="auto"/>
            <w:right w:val="none" w:sz="0" w:space="0" w:color="auto"/>
          </w:divBdr>
        </w:div>
        <w:div w:id="1043169053">
          <w:marLeft w:val="640"/>
          <w:marRight w:val="0"/>
          <w:marTop w:val="0"/>
          <w:marBottom w:val="0"/>
          <w:divBdr>
            <w:top w:val="none" w:sz="0" w:space="0" w:color="auto"/>
            <w:left w:val="none" w:sz="0" w:space="0" w:color="auto"/>
            <w:bottom w:val="none" w:sz="0" w:space="0" w:color="auto"/>
            <w:right w:val="none" w:sz="0" w:space="0" w:color="auto"/>
          </w:divBdr>
        </w:div>
        <w:div w:id="1169950292">
          <w:marLeft w:val="640"/>
          <w:marRight w:val="0"/>
          <w:marTop w:val="0"/>
          <w:marBottom w:val="0"/>
          <w:divBdr>
            <w:top w:val="none" w:sz="0" w:space="0" w:color="auto"/>
            <w:left w:val="none" w:sz="0" w:space="0" w:color="auto"/>
            <w:bottom w:val="none" w:sz="0" w:space="0" w:color="auto"/>
            <w:right w:val="none" w:sz="0" w:space="0" w:color="auto"/>
          </w:divBdr>
        </w:div>
        <w:div w:id="1019698377">
          <w:marLeft w:val="640"/>
          <w:marRight w:val="0"/>
          <w:marTop w:val="0"/>
          <w:marBottom w:val="0"/>
          <w:divBdr>
            <w:top w:val="none" w:sz="0" w:space="0" w:color="auto"/>
            <w:left w:val="none" w:sz="0" w:space="0" w:color="auto"/>
            <w:bottom w:val="none" w:sz="0" w:space="0" w:color="auto"/>
            <w:right w:val="none" w:sz="0" w:space="0" w:color="auto"/>
          </w:divBdr>
        </w:div>
        <w:div w:id="677271956">
          <w:marLeft w:val="640"/>
          <w:marRight w:val="0"/>
          <w:marTop w:val="0"/>
          <w:marBottom w:val="0"/>
          <w:divBdr>
            <w:top w:val="none" w:sz="0" w:space="0" w:color="auto"/>
            <w:left w:val="none" w:sz="0" w:space="0" w:color="auto"/>
            <w:bottom w:val="none" w:sz="0" w:space="0" w:color="auto"/>
            <w:right w:val="none" w:sz="0" w:space="0" w:color="auto"/>
          </w:divBdr>
        </w:div>
        <w:div w:id="1717657480">
          <w:marLeft w:val="640"/>
          <w:marRight w:val="0"/>
          <w:marTop w:val="0"/>
          <w:marBottom w:val="0"/>
          <w:divBdr>
            <w:top w:val="none" w:sz="0" w:space="0" w:color="auto"/>
            <w:left w:val="none" w:sz="0" w:space="0" w:color="auto"/>
            <w:bottom w:val="none" w:sz="0" w:space="0" w:color="auto"/>
            <w:right w:val="none" w:sz="0" w:space="0" w:color="auto"/>
          </w:divBdr>
        </w:div>
        <w:div w:id="1114440764">
          <w:marLeft w:val="640"/>
          <w:marRight w:val="0"/>
          <w:marTop w:val="0"/>
          <w:marBottom w:val="0"/>
          <w:divBdr>
            <w:top w:val="none" w:sz="0" w:space="0" w:color="auto"/>
            <w:left w:val="none" w:sz="0" w:space="0" w:color="auto"/>
            <w:bottom w:val="none" w:sz="0" w:space="0" w:color="auto"/>
            <w:right w:val="none" w:sz="0" w:space="0" w:color="auto"/>
          </w:divBdr>
        </w:div>
        <w:div w:id="2055276308">
          <w:marLeft w:val="640"/>
          <w:marRight w:val="0"/>
          <w:marTop w:val="0"/>
          <w:marBottom w:val="0"/>
          <w:divBdr>
            <w:top w:val="none" w:sz="0" w:space="0" w:color="auto"/>
            <w:left w:val="none" w:sz="0" w:space="0" w:color="auto"/>
            <w:bottom w:val="none" w:sz="0" w:space="0" w:color="auto"/>
            <w:right w:val="none" w:sz="0" w:space="0" w:color="auto"/>
          </w:divBdr>
        </w:div>
        <w:div w:id="1806387451">
          <w:marLeft w:val="640"/>
          <w:marRight w:val="0"/>
          <w:marTop w:val="0"/>
          <w:marBottom w:val="0"/>
          <w:divBdr>
            <w:top w:val="none" w:sz="0" w:space="0" w:color="auto"/>
            <w:left w:val="none" w:sz="0" w:space="0" w:color="auto"/>
            <w:bottom w:val="none" w:sz="0" w:space="0" w:color="auto"/>
            <w:right w:val="none" w:sz="0" w:space="0" w:color="auto"/>
          </w:divBdr>
        </w:div>
        <w:div w:id="114570157">
          <w:marLeft w:val="640"/>
          <w:marRight w:val="0"/>
          <w:marTop w:val="0"/>
          <w:marBottom w:val="0"/>
          <w:divBdr>
            <w:top w:val="none" w:sz="0" w:space="0" w:color="auto"/>
            <w:left w:val="none" w:sz="0" w:space="0" w:color="auto"/>
            <w:bottom w:val="none" w:sz="0" w:space="0" w:color="auto"/>
            <w:right w:val="none" w:sz="0" w:space="0" w:color="auto"/>
          </w:divBdr>
        </w:div>
        <w:div w:id="108357059">
          <w:marLeft w:val="640"/>
          <w:marRight w:val="0"/>
          <w:marTop w:val="0"/>
          <w:marBottom w:val="0"/>
          <w:divBdr>
            <w:top w:val="none" w:sz="0" w:space="0" w:color="auto"/>
            <w:left w:val="none" w:sz="0" w:space="0" w:color="auto"/>
            <w:bottom w:val="none" w:sz="0" w:space="0" w:color="auto"/>
            <w:right w:val="none" w:sz="0" w:space="0" w:color="auto"/>
          </w:divBdr>
        </w:div>
        <w:div w:id="458844854">
          <w:marLeft w:val="640"/>
          <w:marRight w:val="0"/>
          <w:marTop w:val="0"/>
          <w:marBottom w:val="0"/>
          <w:divBdr>
            <w:top w:val="none" w:sz="0" w:space="0" w:color="auto"/>
            <w:left w:val="none" w:sz="0" w:space="0" w:color="auto"/>
            <w:bottom w:val="none" w:sz="0" w:space="0" w:color="auto"/>
            <w:right w:val="none" w:sz="0" w:space="0" w:color="auto"/>
          </w:divBdr>
        </w:div>
        <w:div w:id="1338536739">
          <w:marLeft w:val="640"/>
          <w:marRight w:val="0"/>
          <w:marTop w:val="0"/>
          <w:marBottom w:val="0"/>
          <w:divBdr>
            <w:top w:val="none" w:sz="0" w:space="0" w:color="auto"/>
            <w:left w:val="none" w:sz="0" w:space="0" w:color="auto"/>
            <w:bottom w:val="none" w:sz="0" w:space="0" w:color="auto"/>
            <w:right w:val="none" w:sz="0" w:space="0" w:color="auto"/>
          </w:divBdr>
        </w:div>
        <w:div w:id="504587285">
          <w:marLeft w:val="640"/>
          <w:marRight w:val="0"/>
          <w:marTop w:val="0"/>
          <w:marBottom w:val="0"/>
          <w:divBdr>
            <w:top w:val="none" w:sz="0" w:space="0" w:color="auto"/>
            <w:left w:val="none" w:sz="0" w:space="0" w:color="auto"/>
            <w:bottom w:val="none" w:sz="0" w:space="0" w:color="auto"/>
            <w:right w:val="none" w:sz="0" w:space="0" w:color="auto"/>
          </w:divBdr>
        </w:div>
        <w:div w:id="635993659">
          <w:marLeft w:val="640"/>
          <w:marRight w:val="0"/>
          <w:marTop w:val="0"/>
          <w:marBottom w:val="0"/>
          <w:divBdr>
            <w:top w:val="none" w:sz="0" w:space="0" w:color="auto"/>
            <w:left w:val="none" w:sz="0" w:space="0" w:color="auto"/>
            <w:bottom w:val="none" w:sz="0" w:space="0" w:color="auto"/>
            <w:right w:val="none" w:sz="0" w:space="0" w:color="auto"/>
          </w:divBdr>
        </w:div>
        <w:div w:id="443155111">
          <w:marLeft w:val="640"/>
          <w:marRight w:val="0"/>
          <w:marTop w:val="0"/>
          <w:marBottom w:val="0"/>
          <w:divBdr>
            <w:top w:val="none" w:sz="0" w:space="0" w:color="auto"/>
            <w:left w:val="none" w:sz="0" w:space="0" w:color="auto"/>
            <w:bottom w:val="none" w:sz="0" w:space="0" w:color="auto"/>
            <w:right w:val="none" w:sz="0" w:space="0" w:color="auto"/>
          </w:divBdr>
        </w:div>
        <w:div w:id="1008600272">
          <w:marLeft w:val="640"/>
          <w:marRight w:val="0"/>
          <w:marTop w:val="0"/>
          <w:marBottom w:val="0"/>
          <w:divBdr>
            <w:top w:val="none" w:sz="0" w:space="0" w:color="auto"/>
            <w:left w:val="none" w:sz="0" w:space="0" w:color="auto"/>
            <w:bottom w:val="none" w:sz="0" w:space="0" w:color="auto"/>
            <w:right w:val="none" w:sz="0" w:space="0" w:color="auto"/>
          </w:divBdr>
        </w:div>
        <w:div w:id="724137482">
          <w:marLeft w:val="640"/>
          <w:marRight w:val="0"/>
          <w:marTop w:val="0"/>
          <w:marBottom w:val="0"/>
          <w:divBdr>
            <w:top w:val="none" w:sz="0" w:space="0" w:color="auto"/>
            <w:left w:val="none" w:sz="0" w:space="0" w:color="auto"/>
            <w:bottom w:val="none" w:sz="0" w:space="0" w:color="auto"/>
            <w:right w:val="none" w:sz="0" w:space="0" w:color="auto"/>
          </w:divBdr>
        </w:div>
        <w:div w:id="1351445883">
          <w:marLeft w:val="640"/>
          <w:marRight w:val="0"/>
          <w:marTop w:val="0"/>
          <w:marBottom w:val="0"/>
          <w:divBdr>
            <w:top w:val="none" w:sz="0" w:space="0" w:color="auto"/>
            <w:left w:val="none" w:sz="0" w:space="0" w:color="auto"/>
            <w:bottom w:val="none" w:sz="0" w:space="0" w:color="auto"/>
            <w:right w:val="none" w:sz="0" w:space="0" w:color="auto"/>
          </w:divBdr>
        </w:div>
        <w:div w:id="678046134">
          <w:marLeft w:val="640"/>
          <w:marRight w:val="0"/>
          <w:marTop w:val="0"/>
          <w:marBottom w:val="0"/>
          <w:divBdr>
            <w:top w:val="none" w:sz="0" w:space="0" w:color="auto"/>
            <w:left w:val="none" w:sz="0" w:space="0" w:color="auto"/>
            <w:bottom w:val="none" w:sz="0" w:space="0" w:color="auto"/>
            <w:right w:val="none" w:sz="0" w:space="0" w:color="auto"/>
          </w:divBdr>
        </w:div>
        <w:div w:id="1661808499">
          <w:marLeft w:val="640"/>
          <w:marRight w:val="0"/>
          <w:marTop w:val="0"/>
          <w:marBottom w:val="0"/>
          <w:divBdr>
            <w:top w:val="none" w:sz="0" w:space="0" w:color="auto"/>
            <w:left w:val="none" w:sz="0" w:space="0" w:color="auto"/>
            <w:bottom w:val="none" w:sz="0" w:space="0" w:color="auto"/>
            <w:right w:val="none" w:sz="0" w:space="0" w:color="auto"/>
          </w:divBdr>
        </w:div>
        <w:div w:id="345595825">
          <w:marLeft w:val="640"/>
          <w:marRight w:val="0"/>
          <w:marTop w:val="0"/>
          <w:marBottom w:val="0"/>
          <w:divBdr>
            <w:top w:val="none" w:sz="0" w:space="0" w:color="auto"/>
            <w:left w:val="none" w:sz="0" w:space="0" w:color="auto"/>
            <w:bottom w:val="none" w:sz="0" w:space="0" w:color="auto"/>
            <w:right w:val="none" w:sz="0" w:space="0" w:color="auto"/>
          </w:divBdr>
        </w:div>
        <w:div w:id="484661924">
          <w:marLeft w:val="640"/>
          <w:marRight w:val="0"/>
          <w:marTop w:val="0"/>
          <w:marBottom w:val="0"/>
          <w:divBdr>
            <w:top w:val="none" w:sz="0" w:space="0" w:color="auto"/>
            <w:left w:val="none" w:sz="0" w:space="0" w:color="auto"/>
            <w:bottom w:val="none" w:sz="0" w:space="0" w:color="auto"/>
            <w:right w:val="none" w:sz="0" w:space="0" w:color="auto"/>
          </w:divBdr>
        </w:div>
        <w:div w:id="643238007">
          <w:marLeft w:val="640"/>
          <w:marRight w:val="0"/>
          <w:marTop w:val="0"/>
          <w:marBottom w:val="0"/>
          <w:divBdr>
            <w:top w:val="none" w:sz="0" w:space="0" w:color="auto"/>
            <w:left w:val="none" w:sz="0" w:space="0" w:color="auto"/>
            <w:bottom w:val="none" w:sz="0" w:space="0" w:color="auto"/>
            <w:right w:val="none" w:sz="0" w:space="0" w:color="auto"/>
          </w:divBdr>
        </w:div>
        <w:div w:id="303774236">
          <w:marLeft w:val="640"/>
          <w:marRight w:val="0"/>
          <w:marTop w:val="0"/>
          <w:marBottom w:val="0"/>
          <w:divBdr>
            <w:top w:val="none" w:sz="0" w:space="0" w:color="auto"/>
            <w:left w:val="none" w:sz="0" w:space="0" w:color="auto"/>
            <w:bottom w:val="none" w:sz="0" w:space="0" w:color="auto"/>
            <w:right w:val="none" w:sz="0" w:space="0" w:color="auto"/>
          </w:divBdr>
        </w:div>
        <w:div w:id="85083470">
          <w:marLeft w:val="640"/>
          <w:marRight w:val="0"/>
          <w:marTop w:val="0"/>
          <w:marBottom w:val="0"/>
          <w:divBdr>
            <w:top w:val="none" w:sz="0" w:space="0" w:color="auto"/>
            <w:left w:val="none" w:sz="0" w:space="0" w:color="auto"/>
            <w:bottom w:val="none" w:sz="0" w:space="0" w:color="auto"/>
            <w:right w:val="none" w:sz="0" w:space="0" w:color="auto"/>
          </w:divBdr>
        </w:div>
        <w:div w:id="1623803639">
          <w:marLeft w:val="640"/>
          <w:marRight w:val="0"/>
          <w:marTop w:val="0"/>
          <w:marBottom w:val="0"/>
          <w:divBdr>
            <w:top w:val="none" w:sz="0" w:space="0" w:color="auto"/>
            <w:left w:val="none" w:sz="0" w:space="0" w:color="auto"/>
            <w:bottom w:val="none" w:sz="0" w:space="0" w:color="auto"/>
            <w:right w:val="none" w:sz="0" w:space="0" w:color="auto"/>
          </w:divBdr>
        </w:div>
        <w:div w:id="1713924929">
          <w:marLeft w:val="640"/>
          <w:marRight w:val="0"/>
          <w:marTop w:val="0"/>
          <w:marBottom w:val="0"/>
          <w:divBdr>
            <w:top w:val="none" w:sz="0" w:space="0" w:color="auto"/>
            <w:left w:val="none" w:sz="0" w:space="0" w:color="auto"/>
            <w:bottom w:val="none" w:sz="0" w:space="0" w:color="auto"/>
            <w:right w:val="none" w:sz="0" w:space="0" w:color="auto"/>
          </w:divBdr>
        </w:div>
        <w:div w:id="1030452723">
          <w:marLeft w:val="640"/>
          <w:marRight w:val="0"/>
          <w:marTop w:val="0"/>
          <w:marBottom w:val="0"/>
          <w:divBdr>
            <w:top w:val="none" w:sz="0" w:space="0" w:color="auto"/>
            <w:left w:val="none" w:sz="0" w:space="0" w:color="auto"/>
            <w:bottom w:val="none" w:sz="0" w:space="0" w:color="auto"/>
            <w:right w:val="none" w:sz="0" w:space="0" w:color="auto"/>
          </w:divBdr>
        </w:div>
        <w:div w:id="788355889">
          <w:marLeft w:val="640"/>
          <w:marRight w:val="0"/>
          <w:marTop w:val="0"/>
          <w:marBottom w:val="0"/>
          <w:divBdr>
            <w:top w:val="none" w:sz="0" w:space="0" w:color="auto"/>
            <w:left w:val="none" w:sz="0" w:space="0" w:color="auto"/>
            <w:bottom w:val="none" w:sz="0" w:space="0" w:color="auto"/>
            <w:right w:val="none" w:sz="0" w:space="0" w:color="auto"/>
          </w:divBdr>
        </w:div>
        <w:div w:id="2147311272">
          <w:marLeft w:val="640"/>
          <w:marRight w:val="0"/>
          <w:marTop w:val="0"/>
          <w:marBottom w:val="0"/>
          <w:divBdr>
            <w:top w:val="none" w:sz="0" w:space="0" w:color="auto"/>
            <w:left w:val="none" w:sz="0" w:space="0" w:color="auto"/>
            <w:bottom w:val="none" w:sz="0" w:space="0" w:color="auto"/>
            <w:right w:val="none" w:sz="0" w:space="0" w:color="auto"/>
          </w:divBdr>
        </w:div>
        <w:div w:id="303170139">
          <w:marLeft w:val="640"/>
          <w:marRight w:val="0"/>
          <w:marTop w:val="0"/>
          <w:marBottom w:val="0"/>
          <w:divBdr>
            <w:top w:val="none" w:sz="0" w:space="0" w:color="auto"/>
            <w:left w:val="none" w:sz="0" w:space="0" w:color="auto"/>
            <w:bottom w:val="none" w:sz="0" w:space="0" w:color="auto"/>
            <w:right w:val="none" w:sz="0" w:space="0" w:color="auto"/>
          </w:divBdr>
        </w:div>
        <w:div w:id="1446340655">
          <w:marLeft w:val="640"/>
          <w:marRight w:val="0"/>
          <w:marTop w:val="0"/>
          <w:marBottom w:val="0"/>
          <w:divBdr>
            <w:top w:val="none" w:sz="0" w:space="0" w:color="auto"/>
            <w:left w:val="none" w:sz="0" w:space="0" w:color="auto"/>
            <w:bottom w:val="none" w:sz="0" w:space="0" w:color="auto"/>
            <w:right w:val="none" w:sz="0" w:space="0" w:color="auto"/>
          </w:divBdr>
        </w:div>
        <w:div w:id="1976138523">
          <w:marLeft w:val="640"/>
          <w:marRight w:val="0"/>
          <w:marTop w:val="0"/>
          <w:marBottom w:val="0"/>
          <w:divBdr>
            <w:top w:val="none" w:sz="0" w:space="0" w:color="auto"/>
            <w:left w:val="none" w:sz="0" w:space="0" w:color="auto"/>
            <w:bottom w:val="none" w:sz="0" w:space="0" w:color="auto"/>
            <w:right w:val="none" w:sz="0" w:space="0" w:color="auto"/>
          </w:divBdr>
        </w:div>
        <w:div w:id="1784303812">
          <w:marLeft w:val="640"/>
          <w:marRight w:val="0"/>
          <w:marTop w:val="0"/>
          <w:marBottom w:val="0"/>
          <w:divBdr>
            <w:top w:val="none" w:sz="0" w:space="0" w:color="auto"/>
            <w:left w:val="none" w:sz="0" w:space="0" w:color="auto"/>
            <w:bottom w:val="none" w:sz="0" w:space="0" w:color="auto"/>
            <w:right w:val="none" w:sz="0" w:space="0" w:color="auto"/>
          </w:divBdr>
        </w:div>
        <w:div w:id="48112569">
          <w:marLeft w:val="640"/>
          <w:marRight w:val="0"/>
          <w:marTop w:val="0"/>
          <w:marBottom w:val="0"/>
          <w:divBdr>
            <w:top w:val="none" w:sz="0" w:space="0" w:color="auto"/>
            <w:left w:val="none" w:sz="0" w:space="0" w:color="auto"/>
            <w:bottom w:val="none" w:sz="0" w:space="0" w:color="auto"/>
            <w:right w:val="none" w:sz="0" w:space="0" w:color="auto"/>
          </w:divBdr>
        </w:div>
        <w:div w:id="1629700786">
          <w:marLeft w:val="640"/>
          <w:marRight w:val="0"/>
          <w:marTop w:val="0"/>
          <w:marBottom w:val="0"/>
          <w:divBdr>
            <w:top w:val="none" w:sz="0" w:space="0" w:color="auto"/>
            <w:left w:val="none" w:sz="0" w:space="0" w:color="auto"/>
            <w:bottom w:val="none" w:sz="0" w:space="0" w:color="auto"/>
            <w:right w:val="none" w:sz="0" w:space="0" w:color="auto"/>
          </w:divBdr>
        </w:div>
        <w:div w:id="1039664794">
          <w:marLeft w:val="640"/>
          <w:marRight w:val="0"/>
          <w:marTop w:val="0"/>
          <w:marBottom w:val="0"/>
          <w:divBdr>
            <w:top w:val="none" w:sz="0" w:space="0" w:color="auto"/>
            <w:left w:val="none" w:sz="0" w:space="0" w:color="auto"/>
            <w:bottom w:val="none" w:sz="0" w:space="0" w:color="auto"/>
            <w:right w:val="none" w:sz="0" w:space="0" w:color="auto"/>
          </w:divBdr>
        </w:div>
        <w:div w:id="1054305795">
          <w:marLeft w:val="640"/>
          <w:marRight w:val="0"/>
          <w:marTop w:val="0"/>
          <w:marBottom w:val="0"/>
          <w:divBdr>
            <w:top w:val="none" w:sz="0" w:space="0" w:color="auto"/>
            <w:left w:val="none" w:sz="0" w:space="0" w:color="auto"/>
            <w:bottom w:val="none" w:sz="0" w:space="0" w:color="auto"/>
            <w:right w:val="none" w:sz="0" w:space="0" w:color="auto"/>
          </w:divBdr>
        </w:div>
        <w:div w:id="806508902">
          <w:marLeft w:val="640"/>
          <w:marRight w:val="0"/>
          <w:marTop w:val="0"/>
          <w:marBottom w:val="0"/>
          <w:divBdr>
            <w:top w:val="none" w:sz="0" w:space="0" w:color="auto"/>
            <w:left w:val="none" w:sz="0" w:space="0" w:color="auto"/>
            <w:bottom w:val="none" w:sz="0" w:space="0" w:color="auto"/>
            <w:right w:val="none" w:sz="0" w:space="0" w:color="auto"/>
          </w:divBdr>
        </w:div>
        <w:div w:id="1906069335">
          <w:marLeft w:val="640"/>
          <w:marRight w:val="0"/>
          <w:marTop w:val="0"/>
          <w:marBottom w:val="0"/>
          <w:divBdr>
            <w:top w:val="none" w:sz="0" w:space="0" w:color="auto"/>
            <w:left w:val="none" w:sz="0" w:space="0" w:color="auto"/>
            <w:bottom w:val="none" w:sz="0" w:space="0" w:color="auto"/>
            <w:right w:val="none" w:sz="0" w:space="0" w:color="auto"/>
          </w:divBdr>
        </w:div>
        <w:div w:id="1767847152">
          <w:marLeft w:val="640"/>
          <w:marRight w:val="0"/>
          <w:marTop w:val="0"/>
          <w:marBottom w:val="0"/>
          <w:divBdr>
            <w:top w:val="none" w:sz="0" w:space="0" w:color="auto"/>
            <w:left w:val="none" w:sz="0" w:space="0" w:color="auto"/>
            <w:bottom w:val="none" w:sz="0" w:space="0" w:color="auto"/>
            <w:right w:val="none" w:sz="0" w:space="0" w:color="auto"/>
          </w:divBdr>
        </w:div>
        <w:div w:id="1730955897">
          <w:marLeft w:val="640"/>
          <w:marRight w:val="0"/>
          <w:marTop w:val="0"/>
          <w:marBottom w:val="0"/>
          <w:divBdr>
            <w:top w:val="none" w:sz="0" w:space="0" w:color="auto"/>
            <w:left w:val="none" w:sz="0" w:space="0" w:color="auto"/>
            <w:bottom w:val="none" w:sz="0" w:space="0" w:color="auto"/>
            <w:right w:val="none" w:sz="0" w:space="0" w:color="auto"/>
          </w:divBdr>
        </w:div>
        <w:div w:id="397215430">
          <w:marLeft w:val="640"/>
          <w:marRight w:val="0"/>
          <w:marTop w:val="0"/>
          <w:marBottom w:val="0"/>
          <w:divBdr>
            <w:top w:val="none" w:sz="0" w:space="0" w:color="auto"/>
            <w:left w:val="none" w:sz="0" w:space="0" w:color="auto"/>
            <w:bottom w:val="none" w:sz="0" w:space="0" w:color="auto"/>
            <w:right w:val="none" w:sz="0" w:space="0" w:color="auto"/>
          </w:divBdr>
        </w:div>
        <w:div w:id="1316647623">
          <w:marLeft w:val="640"/>
          <w:marRight w:val="0"/>
          <w:marTop w:val="0"/>
          <w:marBottom w:val="0"/>
          <w:divBdr>
            <w:top w:val="none" w:sz="0" w:space="0" w:color="auto"/>
            <w:left w:val="none" w:sz="0" w:space="0" w:color="auto"/>
            <w:bottom w:val="none" w:sz="0" w:space="0" w:color="auto"/>
            <w:right w:val="none" w:sz="0" w:space="0" w:color="auto"/>
          </w:divBdr>
        </w:div>
        <w:div w:id="153575530">
          <w:marLeft w:val="640"/>
          <w:marRight w:val="0"/>
          <w:marTop w:val="0"/>
          <w:marBottom w:val="0"/>
          <w:divBdr>
            <w:top w:val="none" w:sz="0" w:space="0" w:color="auto"/>
            <w:left w:val="none" w:sz="0" w:space="0" w:color="auto"/>
            <w:bottom w:val="none" w:sz="0" w:space="0" w:color="auto"/>
            <w:right w:val="none" w:sz="0" w:space="0" w:color="auto"/>
          </w:divBdr>
        </w:div>
        <w:div w:id="498351189">
          <w:marLeft w:val="640"/>
          <w:marRight w:val="0"/>
          <w:marTop w:val="0"/>
          <w:marBottom w:val="0"/>
          <w:divBdr>
            <w:top w:val="none" w:sz="0" w:space="0" w:color="auto"/>
            <w:left w:val="none" w:sz="0" w:space="0" w:color="auto"/>
            <w:bottom w:val="none" w:sz="0" w:space="0" w:color="auto"/>
            <w:right w:val="none" w:sz="0" w:space="0" w:color="auto"/>
          </w:divBdr>
        </w:div>
        <w:div w:id="46882401">
          <w:marLeft w:val="640"/>
          <w:marRight w:val="0"/>
          <w:marTop w:val="0"/>
          <w:marBottom w:val="0"/>
          <w:divBdr>
            <w:top w:val="none" w:sz="0" w:space="0" w:color="auto"/>
            <w:left w:val="none" w:sz="0" w:space="0" w:color="auto"/>
            <w:bottom w:val="none" w:sz="0" w:space="0" w:color="auto"/>
            <w:right w:val="none" w:sz="0" w:space="0" w:color="auto"/>
          </w:divBdr>
        </w:div>
        <w:div w:id="1174953779">
          <w:marLeft w:val="640"/>
          <w:marRight w:val="0"/>
          <w:marTop w:val="0"/>
          <w:marBottom w:val="0"/>
          <w:divBdr>
            <w:top w:val="none" w:sz="0" w:space="0" w:color="auto"/>
            <w:left w:val="none" w:sz="0" w:space="0" w:color="auto"/>
            <w:bottom w:val="none" w:sz="0" w:space="0" w:color="auto"/>
            <w:right w:val="none" w:sz="0" w:space="0" w:color="auto"/>
          </w:divBdr>
        </w:div>
        <w:div w:id="243035077">
          <w:marLeft w:val="640"/>
          <w:marRight w:val="0"/>
          <w:marTop w:val="0"/>
          <w:marBottom w:val="0"/>
          <w:divBdr>
            <w:top w:val="none" w:sz="0" w:space="0" w:color="auto"/>
            <w:left w:val="none" w:sz="0" w:space="0" w:color="auto"/>
            <w:bottom w:val="none" w:sz="0" w:space="0" w:color="auto"/>
            <w:right w:val="none" w:sz="0" w:space="0" w:color="auto"/>
          </w:divBdr>
        </w:div>
        <w:div w:id="1692875879">
          <w:marLeft w:val="640"/>
          <w:marRight w:val="0"/>
          <w:marTop w:val="0"/>
          <w:marBottom w:val="0"/>
          <w:divBdr>
            <w:top w:val="none" w:sz="0" w:space="0" w:color="auto"/>
            <w:left w:val="none" w:sz="0" w:space="0" w:color="auto"/>
            <w:bottom w:val="none" w:sz="0" w:space="0" w:color="auto"/>
            <w:right w:val="none" w:sz="0" w:space="0" w:color="auto"/>
          </w:divBdr>
        </w:div>
        <w:div w:id="1422067064">
          <w:marLeft w:val="640"/>
          <w:marRight w:val="0"/>
          <w:marTop w:val="0"/>
          <w:marBottom w:val="0"/>
          <w:divBdr>
            <w:top w:val="none" w:sz="0" w:space="0" w:color="auto"/>
            <w:left w:val="none" w:sz="0" w:space="0" w:color="auto"/>
            <w:bottom w:val="none" w:sz="0" w:space="0" w:color="auto"/>
            <w:right w:val="none" w:sz="0" w:space="0" w:color="auto"/>
          </w:divBdr>
        </w:div>
        <w:div w:id="543643770">
          <w:marLeft w:val="640"/>
          <w:marRight w:val="0"/>
          <w:marTop w:val="0"/>
          <w:marBottom w:val="0"/>
          <w:divBdr>
            <w:top w:val="none" w:sz="0" w:space="0" w:color="auto"/>
            <w:left w:val="none" w:sz="0" w:space="0" w:color="auto"/>
            <w:bottom w:val="none" w:sz="0" w:space="0" w:color="auto"/>
            <w:right w:val="none" w:sz="0" w:space="0" w:color="auto"/>
          </w:divBdr>
        </w:div>
        <w:div w:id="1464812455">
          <w:marLeft w:val="640"/>
          <w:marRight w:val="0"/>
          <w:marTop w:val="0"/>
          <w:marBottom w:val="0"/>
          <w:divBdr>
            <w:top w:val="none" w:sz="0" w:space="0" w:color="auto"/>
            <w:left w:val="none" w:sz="0" w:space="0" w:color="auto"/>
            <w:bottom w:val="none" w:sz="0" w:space="0" w:color="auto"/>
            <w:right w:val="none" w:sz="0" w:space="0" w:color="auto"/>
          </w:divBdr>
        </w:div>
        <w:div w:id="6299584">
          <w:marLeft w:val="640"/>
          <w:marRight w:val="0"/>
          <w:marTop w:val="0"/>
          <w:marBottom w:val="0"/>
          <w:divBdr>
            <w:top w:val="none" w:sz="0" w:space="0" w:color="auto"/>
            <w:left w:val="none" w:sz="0" w:space="0" w:color="auto"/>
            <w:bottom w:val="none" w:sz="0" w:space="0" w:color="auto"/>
            <w:right w:val="none" w:sz="0" w:space="0" w:color="auto"/>
          </w:divBdr>
        </w:div>
        <w:div w:id="1488354676">
          <w:marLeft w:val="640"/>
          <w:marRight w:val="0"/>
          <w:marTop w:val="0"/>
          <w:marBottom w:val="0"/>
          <w:divBdr>
            <w:top w:val="none" w:sz="0" w:space="0" w:color="auto"/>
            <w:left w:val="none" w:sz="0" w:space="0" w:color="auto"/>
            <w:bottom w:val="none" w:sz="0" w:space="0" w:color="auto"/>
            <w:right w:val="none" w:sz="0" w:space="0" w:color="auto"/>
          </w:divBdr>
        </w:div>
        <w:div w:id="1633906045">
          <w:marLeft w:val="640"/>
          <w:marRight w:val="0"/>
          <w:marTop w:val="0"/>
          <w:marBottom w:val="0"/>
          <w:divBdr>
            <w:top w:val="none" w:sz="0" w:space="0" w:color="auto"/>
            <w:left w:val="none" w:sz="0" w:space="0" w:color="auto"/>
            <w:bottom w:val="none" w:sz="0" w:space="0" w:color="auto"/>
            <w:right w:val="none" w:sz="0" w:space="0" w:color="auto"/>
          </w:divBdr>
        </w:div>
        <w:div w:id="2059161566">
          <w:marLeft w:val="640"/>
          <w:marRight w:val="0"/>
          <w:marTop w:val="0"/>
          <w:marBottom w:val="0"/>
          <w:divBdr>
            <w:top w:val="none" w:sz="0" w:space="0" w:color="auto"/>
            <w:left w:val="none" w:sz="0" w:space="0" w:color="auto"/>
            <w:bottom w:val="none" w:sz="0" w:space="0" w:color="auto"/>
            <w:right w:val="none" w:sz="0" w:space="0" w:color="auto"/>
          </w:divBdr>
        </w:div>
        <w:div w:id="172576743">
          <w:marLeft w:val="640"/>
          <w:marRight w:val="0"/>
          <w:marTop w:val="0"/>
          <w:marBottom w:val="0"/>
          <w:divBdr>
            <w:top w:val="none" w:sz="0" w:space="0" w:color="auto"/>
            <w:left w:val="none" w:sz="0" w:space="0" w:color="auto"/>
            <w:bottom w:val="none" w:sz="0" w:space="0" w:color="auto"/>
            <w:right w:val="none" w:sz="0" w:space="0" w:color="auto"/>
          </w:divBdr>
        </w:div>
        <w:div w:id="645210262">
          <w:marLeft w:val="640"/>
          <w:marRight w:val="0"/>
          <w:marTop w:val="0"/>
          <w:marBottom w:val="0"/>
          <w:divBdr>
            <w:top w:val="none" w:sz="0" w:space="0" w:color="auto"/>
            <w:left w:val="none" w:sz="0" w:space="0" w:color="auto"/>
            <w:bottom w:val="none" w:sz="0" w:space="0" w:color="auto"/>
            <w:right w:val="none" w:sz="0" w:space="0" w:color="auto"/>
          </w:divBdr>
        </w:div>
        <w:div w:id="600798790">
          <w:marLeft w:val="640"/>
          <w:marRight w:val="0"/>
          <w:marTop w:val="0"/>
          <w:marBottom w:val="0"/>
          <w:divBdr>
            <w:top w:val="none" w:sz="0" w:space="0" w:color="auto"/>
            <w:left w:val="none" w:sz="0" w:space="0" w:color="auto"/>
            <w:bottom w:val="none" w:sz="0" w:space="0" w:color="auto"/>
            <w:right w:val="none" w:sz="0" w:space="0" w:color="auto"/>
          </w:divBdr>
        </w:div>
        <w:div w:id="1996570526">
          <w:marLeft w:val="640"/>
          <w:marRight w:val="0"/>
          <w:marTop w:val="0"/>
          <w:marBottom w:val="0"/>
          <w:divBdr>
            <w:top w:val="none" w:sz="0" w:space="0" w:color="auto"/>
            <w:left w:val="none" w:sz="0" w:space="0" w:color="auto"/>
            <w:bottom w:val="none" w:sz="0" w:space="0" w:color="auto"/>
            <w:right w:val="none" w:sz="0" w:space="0" w:color="auto"/>
          </w:divBdr>
        </w:div>
        <w:div w:id="2040817777">
          <w:marLeft w:val="640"/>
          <w:marRight w:val="0"/>
          <w:marTop w:val="0"/>
          <w:marBottom w:val="0"/>
          <w:divBdr>
            <w:top w:val="none" w:sz="0" w:space="0" w:color="auto"/>
            <w:left w:val="none" w:sz="0" w:space="0" w:color="auto"/>
            <w:bottom w:val="none" w:sz="0" w:space="0" w:color="auto"/>
            <w:right w:val="none" w:sz="0" w:space="0" w:color="auto"/>
          </w:divBdr>
        </w:div>
        <w:div w:id="1699231168">
          <w:marLeft w:val="640"/>
          <w:marRight w:val="0"/>
          <w:marTop w:val="0"/>
          <w:marBottom w:val="0"/>
          <w:divBdr>
            <w:top w:val="none" w:sz="0" w:space="0" w:color="auto"/>
            <w:left w:val="none" w:sz="0" w:space="0" w:color="auto"/>
            <w:bottom w:val="none" w:sz="0" w:space="0" w:color="auto"/>
            <w:right w:val="none" w:sz="0" w:space="0" w:color="auto"/>
          </w:divBdr>
        </w:div>
        <w:div w:id="1884094718">
          <w:marLeft w:val="640"/>
          <w:marRight w:val="0"/>
          <w:marTop w:val="0"/>
          <w:marBottom w:val="0"/>
          <w:divBdr>
            <w:top w:val="none" w:sz="0" w:space="0" w:color="auto"/>
            <w:left w:val="none" w:sz="0" w:space="0" w:color="auto"/>
            <w:bottom w:val="none" w:sz="0" w:space="0" w:color="auto"/>
            <w:right w:val="none" w:sz="0" w:space="0" w:color="auto"/>
          </w:divBdr>
        </w:div>
        <w:div w:id="337390371">
          <w:marLeft w:val="640"/>
          <w:marRight w:val="0"/>
          <w:marTop w:val="0"/>
          <w:marBottom w:val="0"/>
          <w:divBdr>
            <w:top w:val="none" w:sz="0" w:space="0" w:color="auto"/>
            <w:left w:val="none" w:sz="0" w:space="0" w:color="auto"/>
            <w:bottom w:val="none" w:sz="0" w:space="0" w:color="auto"/>
            <w:right w:val="none" w:sz="0" w:space="0" w:color="auto"/>
          </w:divBdr>
        </w:div>
        <w:div w:id="371273835">
          <w:marLeft w:val="640"/>
          <w:marRight w:val="0"/>
          <w:marTop w:val="0"/>
          <w:marBottom w:val="0"/>
          <w:divBdr>
            <w:top w:val="none" w:sz="0" w:space="0" w:color="auto"/>
            <w:left w:val="none" w:sz="0" w:space="0" w:color="auto"/>
            <w:bottom w:val="none" w:sz="0" w:space="0" w:color="auto"/>
            <w:right w:val="none" w:sz="0" w:space="0" w:color="auto"/>
          </w:divBdr>
        </w:div>
        <w:div w:id="1934312466">
          <w:marLeft w:val="640"/>
          <w:marRight w:val="0"/>
          <w:marTop w:val="0"/>
          <w:marBottom w:val="0"/>
          <w:divBdr>
            <w:top w:val="none" w:sz="0" w:space="0" w:color="auto"/>
            <w:left w:val="none" w:sz="0" w:space="0" w:color="auto"/>
            <w:bottom w:val="none" w:sz="0" w:space="0" w:color="auto"/>
            <w:right w:val="none" w:sz="0" w:space="0" w:color="auto"/>
          </w:divBdr>
        </w:div>
        <w:div w:id="662584800">
          <w:marLeft w:val="640"/>
          <w:marRight w:val="0"/>
          <w:marTop w:val="0"/>
          <w:marBottom w:val="0"/>
          <w:divBdr>
            <w:top w:val="none" w:sz="0" w:space="0" w:color="auto"/>
            <w:left w:val="none" w:sz="0" w:space="0" w:color="auto"/>
            <w:bottom w:val="none" w:sz="0" w:space="0" w:color="auto"/>
            <w:right w:val="none" w:sz="0" w:space="0" w:color="auto"/>
          </w:divBdr>
        </w:div>
        <w:div w:id="1768232865">
          <w:marLeft w:val="640"/>
          <w:marRight w:val="0"/>
          <w:marTop w:val="0"/>
          <w:marBottom w:val="0"/>
          <w:divBdr>
            <w:top w:val="none" w:sz="0" w:space="0" w:color="auto"/>
            <w:left w:val="none" w:sz="0" w:space="0" w:color="auto"/>
            <w:bottom w:val="none" w:sz="0" w:space="0" w:color="auto"/>
            <w:right w:val="none" w:sz="0" w:space="0" w:color="auto"/>
          </w:divBdr>
        </w:div>
        <w:div w:id="1719277364">
          <w:marLeft w:val="640"/>
          <w:marRight w:val="0"/>
          <w:marTop w:val="0"/>
          <w:marBottom w:val="0"/>
          <w:divBdr>
            <w:top w:val="none" w:sz="0" w:space="0" w:color="auto"/>
            <w:left w:val="none" w:sz="0" w:space="0" w:color="auto"/>
            <w:bottom w:val="none" w:sz="0" w:space="0" w:color="auto"/>
            <w:right w:val="none" w:sz="0" w:space="0" w:color="auto"/>
          </w:divBdr>
        </w:div>
        <w:div w:id="1219244609">
          <w:marLeft w:val="640"/>
          <w:marRight w:val="0"/>
          <w:marTop w:val="0"/>
          <w:marBottom w:val="0"/>
          <w:divBdr>
            <w:top w:val="none" w:sz="0" w:space="0" w:color="auto"/>
            <w:left w:val="none" w:sz="0" w:space="0" w:color="auto"/>
            <w:bottom w:val="none" w:sz="0" w:space="0" w:color="auto"/>
            <w:right w:val="none" w:sz="0" w:space="0" w:color="auto"/>
          </w:divBdr>
        </w:div>
        <w:div w:id="1402682106">
          <w:marLeft w:val="640"/>
          <w:marRight w:val="0"/>
          <w:marTop w:val="0"/>
          <w:marBottom w:val="0"/>
          <w:divBdr>
            <w:top w:val="none" w:sz="0" w:space="0" w:color="auto"/>
            <w:left w:val="none" w:sz="0" w:space="0" w:color="auto"/>
            <w:bottom w:val="none" w:sz="0" w:space="0" w:color="auto"/>
            <w:right w:val="none" w:sz="0" w:space="0" w:color="auto"/>
          </w:divBdr>
        </w:div>
        <w:div w:id="176389319">
          <w:marLeft w:val="640"/>
          <w:marRight w:val="0"/>
          <w:marTop w:val="0"/>
          <w:marBottom w:val="0"/>
          <w:divBdr>
            <w:top w:val="none" w:sz="0" w:space="0" w:color="auto"/>
            <w:left w:val="none" w:sz="0" w:space="0" w:color="auto"/>
            <w:bottom w:val="none" w:sz="0" w:space="0" w:color="auto"/>
            <w:right w:val="none" w:sz="0" w:space="0" w:color="auto"/>
          </w:divBdr>
        </w:div>
        <w:div w:id="1690567458">
          <w:marLeft w:val="640"/>
          <w:marRight w:val="0"/>
          <w:marTop w:val="0"/>
          <w:marBottom w:val="0"/>
          <w:divBdr>
            <w:top w:val="none" w:sz="0" w:space="0" w:color="auto"/>
            <w:left w:val="none" w:sz="0" w:space="0" w:color="auto"/>
            <w:bottom w:val="none" w:sz="0" w:space="0" w:color="auto"/>
            <w:right w:val="none" w:sz="0" w:space="0" w:color="auto"/>
          </w:divBdr>
        </w:div>
        <w:div w:id="1362977142">
          <w:marLeft w:val="640"/>
          <w:marRight w:val="0"/>
          <w:marTop w:val="0"/>
          <w:marBottom w:val="0"/>
          <w:divBdr>
            <w:top w:val="none" w:sz="0" w:space="0" w:color="auto"/>
            <w:left w:val="none" w:sz="0" w:space="0" w:color="auto"/>
            <w:bottom w:val="none" w:sz="0" w:space="0" w:color="auto"/>
            <w:right w:val="none" w:sz="0" w:space="0" w:color="auto"/>
          </w:divBdr>
        </w:div>
        <w:div w:id="1920600583">
          <w:marLeft w:val="640"/>
          <w:marRight w:val="0"/>
          <w:marTop w:val="0"/>
          <w:marBottom w:val="0"/>
          <w:divBdr>
            <w:top w:val="none" w:sz="0" w:space="0" w:color="auto"/>
            <w:left w:val="none" w:sz="0" w:space="0" w:color="auto"/>
            <w:bottom w:val="none" w:sz="0" w:space="0" w:color="auto"/>
            <w:right w:val="none" w:sz="0" w:space="0" w:color="auto"/>
          </w:divBdr>
        </w:div>
        <w:div w:id="816382239">
          <w:marLeft w:val="640"/>
          <w:marRight w:val="0"/>
          <w:marTop w:val="0"/>
          <w:marBottom w:val="0"/>
          <w:divBdr>
            <w:top w:val="none" w:sz="0" w:space="0" w:color="auto"/>
            <w:left w:val="none" w:sz="0" w:space="0" w:color="auto"/>
            <w:bottom w:val="none" w:sz="0" w:space="0" w:color="auto"/>
            <w:right w:val="none" w:sz="0" w:space="0" w:color="auto"/>
          </w:divBdr>
        </w:div>
        <w:div w:id="1385639752">
          <w:marLeft w:val="640"/>
          <w:marRight w:val="0"/>
          <w:marTop w:val="0"/>
          <w:marBottom w:val="0"/>
          <w:divBdr>
            <w:top w:val="none" w:sz="0" w:space="0" w:color="auto"/>
            <w:left w:val="none" w:sz="0" w:space="0" w:color="auto"/>
            <w:bottom w:val="none" w:sz="0" w:space="0" w:color="auto"/>
            <w:right w:val="none" w:sz="0" w:space="0" w:color="auto"/>
          </w:divBdr>
        </w:div>
        <w:div w:id="1124469004">
          <w:marLeft w:val="640"/>
          <w:marRight w:val="0"/>
          <w:marTop w:val="0"/>
          <w:marBottom w:val="0"/>
          <w:divBdr>
            <w:top w:val="none" w:sz="0" w:space="0" w:color="auto"/>
            <w:left w:val="none" w:sz="0" w:space="0" w:color="auto"/>
            <w:bottom w:val="none" w:sz="0" w:space="0" w:color="auto"/>
            <w:right w:val="none" w:sz="0" w:space="0" w:color="auto"/>
          </w:divBdr>
        </w:div>
        <w:div w:id="1387338025">
          <w:marLeft w:val="640"/>
          <w:marRight w:val="0"/>
          <w:marTop w:val="0"/>
          <w:marBottom w:val="0"/>
          <w:divBdr>
            <w:top w:val="none" w:sz="0" w:space="0" w:color="auto"/>
            <w:left w:val="none" w:sz="0" w:space="0" w:color="auto"/>
            <w:bottom w:val="none" w:sz="0" w:space="0" w:color="auto"/>
            <w:right w:val="none" w:sz="0" w:space="0" w:color="auto"/>
          </w:divBdr>
        </w:div>
        <w:div w:id="2143771537">
          <w:marLeft w:val="640"/>
          <w:marRight w:val="0"/>
          <w:marTop w:val="0"/>
          <w:marBottom w:val="0"/>
          <w:divBdr>
            <w:top w:val="none" w:sz="0" w:space="0" w:color="auto"/>
            <w:left w:val="none" w:sz="0" w:space="0" w:color="auto"/>
            <w:bottom w:val="none" w:sz="0" w:space="0" w:color="auto"/>
            <w:right w:val="none" w:sz="0" w:space="0" w:color="auto"/>
          </w:divBdr>
        </w:div>
        <w:div w:id="694043081">
          <w:marLeft w:val="640"/>
          <w:marRight w:val="0"/>
          <w:marTop w:val="0"/>
          <w:marBottom w:val="0"/>
          <w:divBdr>
            <w:top w:val="none" w:sz="0" w:space="0" w:color="auto"/>
            <w:left w:val="none" w:sz="0" w:space="0" w:color="auto"/>
            <w:bottom w:val="none" w:sz="0" w:space="0" w:color="auto"/>
            <w:right w:val="none" w:sz="0" w:space="0" w:color="auto"/>
          </w:divBdr>
        </w:div>
        <w:div w:id="213934660">
          <w:marLeft w:val="640"/>
          <w:marRight w:val="0"/>
          <w:marTop w:val="0"/>
          <w:marBottom w:val="0"/>
          <w:divBdr>
            <w:top w:val="none" w:sz="0" w:space="0" w:color="auto"/>
            <w:left w:val="none" w:sz="0" w:space="0" w:color="auto"/>
            <w:bottom w:val="none" w:sz="0" w:space="0" w:color="auto"/>
            <w:right w:val="none" w:sz="0" w:space="0" w:color="auto"/>
          </w:divBdr>
        </w:div>
        <w:div w:id="1175682516">
          <w:marLeft w:val="640"/>
          <w:marRight w:val="0"/>
          <w:marTop w:val="0"/>
          <w:marBottom w:val="0"/>
          <w:divBdr>
            <w:top w:val="none" w:sz="0" w:space="0" w:color="auto"/>
            <w:left w:val="none" w:sz="0" w:space="0" w:color="auto"/>
            <w:bottom w:val="none" w:sz="0" w:space="0" w:color="auto"/>
            <w:right w:val="none" w:sz="0" w:space="0" w:color="auto"/>
          </w:divBdr>
        </w:div>
        <w:div w:id="1628855819">
          <w:marLeft w:val="640"/>
          <w:marRight w:val="0"/>
          <w:marTop w:val="0"/>
          <w:marBottom w:val="0"/>
          <w:divBdr>
            <w:top w:val="none" w:sz="0" w:space="0" w:color="auto"/>
            <w:left w:val="none" w:sz="0" w:space="0" w:color="auto"/>
            <w:bottom w:val="none" w:sz="0" w:space="0" w:color="auto"/>
            <w:right w:val="none" w:sz="0" w:space="0" w:color="auto"/>
          </w:divBdr>
        </w:div>
        <w:div w:id="1168058925">
          <w:marLeft w:val="640"/>
          <w:marRight w:val="0"/>
          <w:marTop w:val="0"/>
          <w:marBottom w:val="0"/>
          <w:divBdr>
            <w:top w:val="none" w:sz="0" w:space="0" w:color="auto"/>
            <w:left w:val="none" w:sz="0" w:space="0" w:color="auto"/>
            <w:bottom w:val="none" w:sz="0" w:space="0" w:color="auto"/>
            <w:right w:val="none" w:sz="0" w:space="0" w:color="auto"/>
          </w:divBdr>
        </w:div>
        <w:div w:id="1398086768">
          <w:marLeft w:val="640"/>
          <w:marRight w:val="0"/>
          <w:marTop w:val="0"/>
          <w:marBottom w:val="0"/>
          <w:divBdr>
            <w:top w:val="none" w:sz="0" w:space="0" w:color="auto"/>
            <w:left w:val="none" w:sz="0" w:space="0" w:color="auto"/>
            <w:bottom w:val="none" w:sz="0" w:space="0" w:color="auto"/>
            <w:right w:val="none" w:sz="0" w:space="0" w:color="auto"/>
          </w:divBdr>
        </w:div>
        <w:div w:id="1129859472">
          <w:marLeft w:val="640"/>
          <w:marRight w:val="0"/>
          <w:marTop w:val="0"/>
          <w:marBottom w:val="0"/>
          <w:divBdr>
            <w:top w:val="none" w:sz="0" w:space="0" w:color="auto"/>
            <w:left w:val="none" w:sz="0" w:space="0" w:color="auto"/>
            <w:bottom w:val="none" w:sz="0" w:space="0" w:color="auto"/>
            <w:right w:val="none" w:sz="0" w:space="0" w:color="auto"/>
          </w:divBdr>
        </w:div>
      </w:divsChild>
    </w:div>
    <w:div w:id="975260512">
      <w:bodyDiv w:val="1"/>
      <w:marLeft w:val="0"/>
      <w:marRight w:val="0"/>
      <w:marTop w:val="0"/>
      <w:marBottom w:val="0"/>
      <w:divBdr>
        <w:top w:val="none" w:sz="0" w:space="0" w:color="auto"/>
        <w:left w:val="none" w:sz="0" w:space="0" w:color="auto"/>
        <w:bottom w:val="none" w:sz="0" w:space="0" w:color="auto"/>
        <w:right w:val="none" w:sz="0" w:space="0" w:color="auto"/>
      </w:divBdr>
      <w:divsChild>
        <w:div w:id="368534384">
          <w:marLeft w:val="640"/>
          <w:marRight w:val="0"/>
          <w:marTop w:val="0"/>
          <w:marBottom w:val="0"/>
          <w:divBdr>
            <w:top w:val="none" w:sz="0" w:space="0" w:color="auto"/>
            <w:left w:val="none" w:sz="0" w:space="0" w:color="auto"/>
            <w:bottom w:val="none" w:sz="0" w:space="0" w:color="auto"/>
            <w:right w:val="none" w:sz="0" w:space="0" w:color="auto"/>
          </w:divBdr>
        </w:div>
        <w:div w:id="2091270658">
          <w:marLeft w:val="640"/>
          <w:marRight w:val="0"/>
          <w:marTop w:val="0"/>
          <w:marBottom w:val="0"/>
          <w:divBdr>
            <w:top w:val="none" w:sz="0" w:space="0" w:color="auto"/>
            <w:left w:val="none" w:sz="0" w:space="0" w:color="auto"/>
            <w:bottom w:val="none" w:sz="0" w:space="0" w:color="auto"/>
            <w:right w:val="none" w:sz="0" w:space="0" w:color="auto"/>
          </w:divBdr>
        </w:div>
        <w:div w:id="2072532189">
          <w:marLeft w:val="640"/>
          <w:marRight w:val="0"/>
          <w:marTop w:val="0"/>
          <w:marBottom w:val="0"/>
          <w:divBdr>
            <w:top w:val="none" w:sz="0" w:space="0" w:color="auto"/>
            <w:left w:val="none" w:sz="0" w:space="0" w:color="auto"/>
            <w:bottom w:val="none" w:sz="0" w:space="0" w:color="auto"/>
            <w:right w:val="none" w:sz="0" w:space="0" w:color="auto"/>
          </w:divBdr>
        </w:div>
        <w:div w:id="1056975099">
          <w:marLeft w:val="640"/>
          <w:marRight w:val="0"/>
          <w:marTop w:val="0"/>
          <w:marBottom w:val="0"/>
          <w:divBdr>
            <w:top w:val="none" w:sz="0" w:space="0" w:color="auto"/>
            <w:left w:val="none" w:sz="0" w:space="0" w:color="auto"/>
            <w:bottom w:val="none" w:sz="0" w:space="0" w:color="auto"/>
            <w:right w:val="none" w:sz="0" w:space="0" w:color="auto"/>
          </w:divBdr>
        </w:div>
        <w:div w:id="473837349">
          <w:marLeft w:val="640"/>
          <w:marRight w:val="0"/>
          <w:marTop w:val="0"/>
          <w:marBottom w:val="0"/>
          <w:divBdr>
            <w:top w:val="none" w:sz="0" w:space="0" w:color="auto"/>
            <w:left w:val="none" w:sz="0" w:space="0" w:color="auto"/>
            <w:bottom w:val="none" w:sz="0" w:space="0" w:color="auto"/>
            <w:right w:val="none" w:sz="0" w:space="0" w:color="auto"/>
          </w:divBdr>
        </w:div>
        <w:div w:id="1827894003">
          <w:marLeft w:val="640"/>
          <w:marRight w:val="0"/>
          <w:marTop w:val="0"/>
          <w:marBottom w:val="0"/>
          <w:divBdr>
            <w:top w:val="none" w:sz="0" w:space="0" w:color="auto"/>
            <w:left w:val="none" w:sz="0" w:space="0" w:color="auto"/>
            <w:bottom w:val="none" w:sz="0" w:space="0" w:color="auto"/>
            <w:right w:val="none" w:sz="0" w:space="0" w:color="auto"/>
          </w:divBdr>
        </w:div>
        <w:div w:id="628557069">
          <w:marLeft w:val="640"/>
          <w:marRight w:val="0"/>
          <w:marTop w:val="0"/>
          <w:marBottom w:val="0"/>
          <w:divBdr>
            <w:top w:val="none" w:sz="0" w:space="0" w:color="auto"/>
            <w:left w:val="none" w:sz="0" w:space="0" w:color="auto"/>
            <w:bottom w:val="none" w:sz="0" w:space="0" w:color="auto"/>
            <w:right w:val="none" w:sz="0" w:space="0" w:color="auto"/>
          </w:divBdr>
        </w:div>
        <w:div w:id="457377873">
          <w:marLeft w:val="640"/>
          <w:marRight w:val="0"/>
          <w:marTop w:val="0"/>
          <w:marBottom w:val="0"/>
          <w:divBdr>
            <w:top w:val="none" w:sz="0" w:space="0" w:color="auto"/>
            <w:left w:val="none" w:sz="0" w:space="0" w:color="auto"/>
            <w:bottom w:val="none" w:sz="0" w:space="0" w:color="auto"/>
            <w:right w:val="none" w:sz="0" w:space="0" w:color="auto"/>
          </w:divBdr>
        </w:div>
        <w:div w:id="1245530847">
          <w:marLeft w:val="640"/>
          <w:marRight w:val="0"/>
          <w:marTop w:val="0"/>
          <w:marBottom w:val="0"/>
          <w:divBdr>
            <w:top w:val="none" w:sz="0" w:space="0" w:color="auto"/>
            <w:left w:val="none" w:sz="0" w:space="0" w:color="auto"/>
            <w:bottom w:val="none" w:sz="0" w:space="0" w:color="auto"/>
            <w:right w:val="none" w:sz="0" w:space="0" w:color="auto"/>
          </w:divBdr>
        </w:div>
        <w:div w:id="524712594">
          <w:marLeft w:val="640"/>
          <w:marRight w:val="0"/>
          <w:marTop w:val="0"/>
          <w:marBottom w:val="0"/>
          <w:divBdr>
            <w:top w:val="none" w:sz="0" w:space="0" w:color="auto"/>
            <w:left w:val="none" w:sz="0" w:space="0" w:color="auto"/>
            <w:bottom w:val="none" w:sz="0" w:space="0" w:color="auto"/>
            <w:right w:val="none" w:sz="0" w:space="0" w:color="auto"/>
          </w:divBdr>
        </w:div>
        <w:div w:id="848911335">
          <w:marLeft w:val="640"/>
          <w:marRight w:val="0"/>
          <w:marTop w:val="0"/>
          <w:marBottom w:val="0"/>
          <w:divBdr>
            <w:top w:val="none" w:sz="0" w:space="0" w:color="auto"/>
            <w:left w:val="none" w:sz="0" w:space="0" w:color="auto"/>
            <w:bottom w:val="none" w:sz="0" w:space="0" w:color="auto"/>
            <w:right w:val="none" w:sz="0" w:space="0" w:color="auto"/>
          </w:divBdr>
        </w:div>
        <w:div w:id="1566142578">
          <w:marLeft w:val="640"/>
          <w:marRight w:val="0"/>
          <w:marTop w:val="0"/>
          <w:marBottom w:val="0"/>
          <w:divBdr>
            <w:top w:val="none" w:sz="0" w:space="0" w:color="auto"/>
            <w:left w:val="none" w:sz="0" w:space="0" w:color="auto"/>
            <w:bottom w:val="none" w:sz="0" w:space="0" w:color="auto"/>
            <w:right w:val="none" w:sz="0" w:space="0" w:color="auto"/>
          </w:divBdr>
        </w:div>
        <w:div w:id="953488494">
          <w:marLeft w:val="640"/>
          <w:marRight w:val="0"/>
          <w:marTop w:val="0"/>
          <w:marBottom w:val="0"/>
          <w:divBdr>
            <w:top w:val="none" w:sz="0" w:space="0" w:color="auto"/>
            <w:left w:val="none" w:sz="0" w:space="0" w:color="auto"/>
            <w:bottom w:val="none" w:sz="0" w:space="0" w:color="auto"/>
            <w:right w:val="none" w:sz="0" w:space="0" w:color="auto"/>
          </w:divBdr>
        </w:div>
        <w:div w:id="772438502">
          <w:marLeft w:val="640"/>
          <w:marRight w:val="0"/>
          <w:marTop w:val="0"/>
          <w:marBottom w:val="0"/>
          <w:divBdr>
            <w:top w:val="none" w:sz="0" w:space="0" w:color="auto"/>
            <w:left w:val="none" w:sz="0" w:space="0" w:color="auto"/>
            <w:bottom w:val="none" w:sz="0" w:space="0" w:color="auto"/>
            <w:right w:val="none" w:sz="0" w:space="0" w:color="auto"/>
          </w:divBdr>
        </w:div>
        <w:div w:id="978535703">
          <w:marLeft w:val="640"/>
          <w:marRight w:val="0"/>
          <w:marTop w:val="0"/>
          <w:marBottom w:val="0"/>
          <w:divBdr>
            <w:top w:val="none" w:sz="0" w:space="0" w:color="auto"/>
            <w:left w:val="none" w:sz="0" w:space="0" w:color="auto"/>
            <w:bottom w:val="none" w:sz="0" w:space="0" w:color="auto"/>
            <w:right w:val="none" w:sz="0" w:space="0" w:color="auto"/>
          </w:divBdr>
        </w:div>
        <w:div w:id="764106701">
          <w:marLeft w:val="640"/>
          <w:marRight w:val="0"/>
          <w:marTop w:val="0"/>
          <w:marBottom w:val="0"/>
          <w:divBdr>
            <w:top w:val="none" w:sz="0" w:space="0" w:color="auto"/>
            <w:left w:val="none" w:sz="0" w:space="0" w:color="auto"/>
            <w:bottom w:val="none" w:sz="0" w:space="0" w:color="auto"/>
            <w:right w:val="none" w:sz="0" w:space="0" w:color="auto"/>
          </w:divBdr>
        </w:div>
        <w:div w:id="1948004314">
          <w:marLeft w:val="640"/>
          <w:marRight w:val="0"/>
          <w:marTop w:val="0"/>
          <w:marBottom w:val="0"/>
          <w:divBdr>
            <w:top w:val="none" w:sz="0" w:space="0" w:color="auto"/>
            <w:left w:val="none" w:sz="0" w:space="0" w:color="auto"/>
            <w:bottom w:val="none" w:sz="0" w:space="0" w:color="auto"/>
            <w:right w:val="none" w:sz="0" w:space="0" w:color="auto"/>
          </w:divBdr>
        </w:div>
        <w:div w:id="2112583676">
          <w:marLeft w:val="640"/>
          <w:marRight w:val="0"/>
          <w:marTop w:val="0"/>
          <w:marBottom w:val="0"/>
          <w:divBdr>
            <w:top w:val="none" w:sz="0" w:space="0" w:color="auto"/>
            <w:left w:val="none" w:sz="0" w:space="0" w:color="auto"/>
            <w:bottom w:val="none" w:sz="0" w:space="0" w:color="auto"/>
            <w:right w:val="none" w:sz="0" w:space="0" w:color="auto"/>
          </w:divBdr>
        </w:div>
        <w:div w:id="1314019823">
          <w:marLeft w:val="640"/>
          <w:marRight w:val="0"/>
          <w:marTop w:val="0"/>
          <w:marBottom w:val="0"/>
          <w:divBdr>
            <w:top w:val="none" w:sz="0" w:space="0" w:color="auto"/>
            <w:left w:val="none" w:sz="0" w:space="0" w:color="auto"/>
            <w:bottom w:val="none" w:sz="0" w:space="0" w:color="auto"/>
            <w:right w:val="none" w:sz="0" w:space="0" w:color="auto"/>
          </w:divBdr>
        </w:div>
        <w:div w:id="2057506097">
          <w:marLeft w:val="640"/>
          <w:marRight w:val="0"/>
          <w:marTop w:val="0"/>
          <w:marBottom w:val="0"/>
          <w:divBdr>
            <w:top w:val="none" w:sz="0" w:space="0" w:color="auto"/>
            <w:left w:val="none" w:sz="0" w:space="0" w:color="auto"/>
            <w:bottom w:val="none" w:sz="0" w:space="0" w:color="auto"/>
            <w:right w:val="none" w:sz="0" w:space="0" w:color="auto"/>
          </w:divBdr>
        </w:div>
        <w:div w:id="533007304">
          <w:marLeft w:val="640"/>
          <w:marRight w:val="0"/>
          <w:marTop w:val="0"/>
          <w:marBottom w:val="0"/>
          <w:divBdr>
            <w:top w:val="none" w:sz="0" w:space="0" w:color="auto"/>
            <w:left w:val="none" w:sz="0" w:space="0" w:color="auto"/>
            <w:bottom w:val="none" w:sz="0" w:space="0" w:color="auto"/>
            <w:right w:val="none" w:sz="0" w:space="0" w:color="auto"/>
          </w:divBdr>
        </w:div>
        <w:div w:id="966619575">
          <w:marLeft w:val="640"/>
          <w:marRight w:val="0"/>
          <w:marTop w:val="0"/>
          <w:marBottom w:val="0"/>
          <w:divBdr>
            <w:top w:val="none" w:sz="0" w:space="0" w:color="auto"/>
            <w:left w:val="none" w:sz="0" w:space="0" w:color="auto"/>
            <w:bottom w:val="none" w:sz="0" w:space="0" w:color="auto"/>
            <w:right w:val="none" w:sz="0" w:space="0" w:color="auto"/>
          </w:divBdr>
        </w:div>
        <w:div w:id="2050832627">
          <w:marLeft w:val="640"/>
          <w:marRight w:val="0"/>
          <w:marTop w:val="0"/>
          <w:marBottom w:val="0"/>
          <w:divBdr>
            <w:top w:val="none" w:sz="0" w:space="0" w:color="auto"/>
            <w:left w:val="none" w:sz="0" w:space="0" w:color="auto"/>
            <w:bottom w:val="none" w:sz="0" w:space="0" w:color="auto"/>
            <w:right w:val="none" w:sz="0" w:space="0" w:color="auto"/>
          </w:divBdr>
        </w:div>
        <w:div w:id="2123646623">
          <w:marLeft w:val="640"/>
          <w:marRight w:val="0"/>
          <w:marTop w:val="0"/>
          <w:marBottom w:val="0"/>
          <w:divBdr>
            <w:top w:val="none" w:sz="0" w:space="0" w:color="auto"/>
            <w:left w:val="none" w:sz="0" w:space="0" w:color="auto"/>
            <w:bottom w:val="none" w:sz="0" w:space="0" w:color="auto"/>
            <w:right w:val="none" w:sz="0" w:space="0" w:color="auto"/>
          </w:divBdr>
        </w:div>
        <w:div w:id="1794786113">
          <w:marLeft w:val="640"/>
          <w:marRight w:val="0"/>
          <w:marTop w:val="0"/>
          <w:marBottom w:val="0"/>
          <w:divBdr>
            <w:top w:val="none" w:sz="0" w:space="0" w:color="auto"/>
            <w:left w:val="none" w:sz="0" w:space="0" w:color="auto"/>
            <w:bottom w:val="none" w:sz="0" w:space="0" w:color="auto"/>
            <w:right w:val="none" w:sz="0" w:space="0" w:color="auto"/>
          </w:divBdr>
        </w:div>
        <w:div w:id="627665107">
          <w:marLeft w:val="640"/>
          <w:marRight w:val="0"/>
          <w:marTop w:val="0"/>
          <w:marBottom w:val="0"/>
          <w:divBdr>
            <w:top w:val="none" w:sz="0" w:space="0" w:color="auto"/>
            <w:left w:val="none" w:sz="0" w:space="0" w:color="auto"/>
            <w:bottom w:val="none" w:sz="0" w:space="0" w:color="auto"/>
            <w:right w:val="none" w:sz="0" w:space="0" w:color="auto"/>
          </w:divBdr>
        </w:div>
        <w:div w:id="494299986">
          <w:marLeft w:val="640"/>
          <w:marRight w:val="0"/>
          <w:marTop w:val="0"/>
          <w:marBottom w:val="0"/>
          <w:divBdr>
            <w:top w:val="none" w:sz="0" w:space="0" w:color="auto"/>
            <w:left w:val="none" w:sz="0" w:space="0" w:color="auto"/>
            <w:bottom w:val="none" w:sz="0" w:space="0" w:color="auto"/>
            <w:right w:val="none" w:sz="0" w:space="0" w:color="auto"/>
          </w:divBdr>
        </w:div>
        <w:div w:id="529032019">
          <w:marLeft w:val="640"/>
          <w:marRight w:val="0"/>
          <w:marTop w:val="0"/>
          <w:marBottom w:val="0"/>
          <w:divBdr>
            <w:top w:val="none" w:sz="0" w:space="0" w:color="auto"/>
            <w:left w:val="none" w:sz="0" w:space="0" w:color="auto"/>
            <w:bottom w:val="none" w:sz="0" w:space="0" w:color="auto"/>
            <w:right w:val="none" w:sz="0" w:space="0" w:color="auto"/>
          </w:divBdr>
        </w:div>
        <w:div w:id="1823158216">
          <w:marLeft w:val="640"/>
          <w:marRight w:val="0"/>
          <w:marTop w:val="0"/>
          <w:marBottom w:val="0"/>
          <w:divBdr>
            <w:top w:val="none" w:sz="0" w:space="0" w:color="auto"/>
            <w:left w:val="none" w:sz="0" w:space="0" w:color="auto"/>
            <w:bottom w:val="none" w:sz="0" w:space="0" w:color="auto"/>
            <w:right w:val="none" w:sz="0" w:space="0" w:color="auto"/>
          </w:divBdr>
        </w:div>
        <w:div w:id="842822328">
          <w:marLeft w:val="640"/>
          <w:marRight w:val="0"/>
          <w:marTop w:val="0"/>
          <w:marBottom w:val="0"/>
          <w:divBdr>
            <w:top w:val="none" w:sz="0" w:space="0" w:color="auto"/>
            <w:left w:val="none" w:sz="0" w:space="0" w:color="auto"/>
            <w:bottom w:val="none" w:sz="0" w:space="0" w:color="auto"/>
            <w:right w:val="none" w:sz="0" w:space="0" w:color="auto"/>
          </w:divBdr>
        </w:div>
        <w:div w:id="1681538635">
          <w:marLeft w:val="640"/>
          <w:marRight w:val="0"/>
          <w:marTop w:val="0"/>
          <w:marBottom w:val="0"/>
          <w:divBdr>
            <w:top w:val="none" w:sz="0" w:space="0" w:color="auto"/>
            <w:left w:val="none" w:sz="0" w:space="0" w:color="auto"/>
            <w:bottom w:val="none" w:sz="0" w:space="0" w:color="auto"/>
            <w:right w:val="none" w:sz="0" w:space="0" w:color="auto"/>
          </w:divBdr>
        </w:div>
        <w:div w:id="1057046656">
          <w:marLeft w:val="640"/>
          <w:marRight w:val="0"/>
          <w:marTop w:val="0"/>
          <w:marBottom w:val="0"/>
          <w:divBdr>
            <w:top w:val="none" w:sz="0" w:space="0" w:color="auto"/>
            <w:left w:val="none" w:sz="0" w:space="0" w:color="auto"/>
            <w:bottom w:val="none" w:sz="0" w:space="0" w:color="auto"/>
            <w:right w:val="none" w:sz="0" w:space="0" w:color="auto"/>
          </w:divBdr>
        </w:div>
        <w:div w:id="1302417890">
          <w:marLeft w:val="640"/>
          <w:marRight w:val="0"/>
          <w:marTop w:val="0"/>
          <w:marBottom w:val="0"/>
          <w:divBdr>
            <w:top w:val="none" w:sz="0" w:space="0" w:color="auto"/>
            <w:left w:val="none" w:sz="0" w:space="0" w:color="auto"/>
            <w:bottom w:val="none" w:sz="0" w:space="0" w:color="auto"/>
            <w:right w:val="none" w:sz="0" w:space="0" w:color="auto"/>
          </w:divBdr>
        </w:div>
        <w:div w:id="107357048">
          <w:marLeft w:val="640"/>
          <w:marRight w:val="0"/>
          <w:marTop w:val="0"/>
          <w:marBottom w:val="0"/>
          <w:divBdr>
            <w:top w:val="none" w:sz="0" w:space="0" w:color="auto"/>
            <w:left w:val="none" w:sz="0" w:space="0" w:color="auto"/>
            <w:bottom w:val="none" w:sz="0" w:space="0" w:color="auto"/>
            <w:right w:val="none" w:sz="0" w:space="0" w:color="auto"/>
          </w:divBdr>
        </w:div>
        <w:div w:id="1837265724">
          <w:marLeft w:val="640"/>
          <w:marRight w:val="0"/>
          <w:marTop w:val="0"/>
          <w:marBottom w:val="0"/>
          <w:divBdr>
            <w:top w:val="none" w:sz="0" w:space="0" w:color="auto"/>
            <w:left w:val="none" w:sz="0" w:space="0" w:color="auto"/>
            <w:bottom w:val="none" w:sz="0" w:space="0" w:color="auto"/>
            <w:right w:val="none" w:sz="0" w:space="0" w:color="auto"/>
          </w:divBdr>
        </w:div>
        <w:div w:id="431970466">
          <w:marLeft w:val="640"/>
          <w:marRight w:val="0"/>
          <w:marTop w:val="0"/>
          <w:marBottom w:val="0"/>
          <w:divBdr>
            <w:top w:val="none" w:sz="0" w:space="0" w:color="auto"/>
            <w:left w:val="none" w:sz="0" w:space="0" w:color="auto"/>
            <w:bottom w:val="none" w:sz="0" w:space="0" w:color="auto"/>
            <w:right w:val="none" w:sz="0" w:space="0" w:color="auto"/>
          </w:divBdr>
        </w:div>
        <w:div w:id="1660881608">
          <w:marLeft w:val="640"/>
          <w:marRight w:val="0"/>
          <w:marTop w:val="0"/>
          <w:marBottom w:val="0"/>
          <w:divBdr>
            <w:top w:val="none" w:sz="0" w:space="0" w:color="auto"/>
            <w:left w:val="none" w:sz="0" w:space="0" w:color="auto"/>
            <w:bottom w:val="none" w:sz="0" w:space="0" w:color="auto"/>
            <w:right w:val="none" w:sz="0" w:space="0" w:color="auto"/>
          </w:divBdr>
        </w:div>
        <w:div w:id="1710957658">
          <w:marLeft w:val="640"/>
          <w:marRight w:val="0"/>
          <w:marTop w:val="0"/>
          <w:marBottom w:val="0"/>
          <w:divBdr>
            <w:top w:val="none" w:sz="0" w:space="0" w:color="auto"/>
            <w:left w:val="none" w:sz="0" w:space="0" w:color="auto"/>
            <w:bottom w:val="none" w:sz="0" w:space="0" w:color="auto"/>
            <w:right w:val="none" w:sz="0" w:space="0" w:color="auto"/>
          </w:divBdr>
        </w:div>
        <w:div w:id="102261748">
          <w:marLeft w:val="640"/>
          <w:marRight w:val="0"/>
          <w:marTop w:val="0"/>
          <w:marBottom w:val="0"/>
          <w:divBdr>
            <w:top w:val="none" w:sz="0" w:space="0" w:color="auto"/>
            <w:left w:val="none" w:sz="0" w:space="0" w:color="auto"/>
            <w:bottom w:val="none" w:sz="0" w:space="0" w:color="auto"/>
            <w:right w:val="none" w:sz="0" w:space="0" w:color="auto"/>
          </w:divBdr>
        </w:div>
        <w:div w:id="1166164260">
          <w:marLeft w:val="640"/>
          <w:marRight w:val="0"/>
          <w:marTop w:val="0"/>
          <w:marBottom w:val="0"/>
          <w:divBdr>
            <w:top w:val="none" w:sz="0" w:space="0" w:color="auto"/>
            <w:left w:val="none" w:sz="0" w:space="0" w:color="auto"/>
            <w:bottom w:val="none" w:sz="0" w:space="0" w:color="auto"/>
            <w:right w:val="none" w:sz="0" w:space="0" w:color="auto"/>
          </w:divBdr>
        </w:div>
        <w:div w:id="1216166331">
          <w:marLeft w:val="640"/>
          <w:marRight w:val="0"/>
          <w:marTop w:val="0"/>
          <w:marBottom w:val="0"/>
          <w:divBdr>
            <w:top w:val="none" w:sz="0" w:space="0" w:color="auto"/>
            <w:left w:val="none" w:sz="0" w:space="0" w:color="auto"/>
            <w:bottom w:val="none" w:sz="0" w:space="0" w:color="auto"/>
            <w:right w:val="none" w:sz="0" w:space="0" w:color="auto"/>
          </w:divBdr>
        </w:div>
        <w:div w:id="876895116">
          <w:marLeft w:val="640"/>
          <w:marRight w:val="0"/>
          <w:marTop w:val="0"/>
          <w:marBottom w:val="0"/>
          <w:divBdr>
            <w:top w:val="none" w:sz="0" w:space="0" w:color="auto"/>
            <w:left w:val="none" w:sz="0" w:space="0" w:color="auto"/>
            <w:bottom w:val="none" w:sz="0" w:space="0" w:color="auto"/>
            <w:right w:val="none" w:sz="0" w:space="0" w:color="auto"/>
          </w:divBdr>
        </w:div>
        <w:div w:id="77875156">
          <w:marLeft w:val="640"/>
          <w:marRight w:val="0"/>
          <w:marTop w:val="0"/>
          <w:marBottom w:val="0"/>
          <w:divBdr>
            <w:top w:val="none" w:sz="0" w:space="0" w:color="auto"/>
            <w:left w:val="none" w:sz="0" w:space="0" w:color="auto"/>
            <w:bottom w:val="none" w:sz="0" w:space="0" w:color="auto"/>
            <w:right w:val="none" w:sz="0" w:space="0" w:color="auto"/>
          </w:divBdr>
        </w:div>
        <w:div w:id="695496566">
          <w:marLeft w:val="640"/>
          <w:marRight w:val="0"/>
          <w:marTop w:val="0"/>
          <w:marBottom w:val="0"/>
          <w:divBdr>
            <w:top w:val="none" w:sz="0" w:space="0" w:color="auto"/>
            <w:left w:val="none" w:sz="0" w:space="0" w:color="auto"/>
            <w:bottom w:val="none" w:sz="0" w:space="0" w:color="auto"/>
            <w:right w:val="none" w:sz="0" w:space="0" w:color="auto"/>
          </w:divBdr>
        </w:div>
        <w:div w:id="474373890">
          <w:marLeft w:val="640"/>
          <w:marRight w:val="0"/>
          <w:marTop w:val="0"/>
          <w:marBottom w:val="0"/>
          <w:divBdr>
            <w:top w:val="none" w:sz="0" w:space="0" w:color="auto"/>
            <w:left w:val="none" w:sz="0" w:space="0" w:color="auto"/>
            <w:bottom w:val="none" w:sz="0" w:space="0" w:color="auto"/>
            <w:right w:val="none" w:sz="0" w:space="0" w:color="auto"/>
          </w:divBdr>
        </w:div>
        <w:div w:id="713235688">
          <w:marLeft w:val="640"/>
          <w:marRight w:val="0"/>
          <w:marTop w:val="0"/>
          <w:marBottom w:val="0"/>
          <w:divBdr>
            <w:top w:val="none" w:sz="0" w:space="0" w:color="auto"/>
            <w:left w:val="none" w:sz="0" w:space="0" w:color="auto"/>
            <w:bottom w:val="none" w:sz="0" w:space="0" w:color="auto"/>
            <w:right w:val="none" w:sz="0" w:space="0" w:color="auto"/>
          </w:divBdr>
        </w:div>
        <w:div w:id="1855726571">
          <w:marLeft w:val="640"/>
          <w:marRight w:val="0"/>
          <w:marTop w:val="0"/>
          <w:marBottom w:val="0"/>
          <w:divBdr>
            <w:top w:val="none" w:sz="0" w:space="0" w:color="auto"/>
            <w:left w:val="none" w:sz="0" w:space="0" w:color="auto"/>
            <w:bottom w:val="none" w:sz="0" w:space="0" w:color="auto"/>
            <w:right w:val="none" w:sz="0" w:space="0" w:color="auto"/>
          </w:divBdr>
        </w:div>
        <w:div w:id="737285459">
          <w:marLeft w:val="640"/>
          <w:marRight w:val="0"/>
          <w:marTop w:val="0"/>
          <w:marBottom w:val="0"/>
          <w:divBdr>
            <w:top w:val="none" w:sz="0" w:space="0" w:color="auto"/>
            <w:left w:val="none" w:sz="0" w:space="0" w:color="auto"/>
            <w:bottom w:val="none" w:sz="0" w:space="0" w:color="auto"/>
            <w:right w:val="none" w:sz="0" w:space="0" w:color="auto"/>
          </w:divBdr>
        </w:div>
        <w:div w:id="783302721">
          <w:marLeft w:val="640"/>
          <w:marRight w:val="0"/>
          <w:marTop w:val="0"/>
          <w:marBottom w:val="0"/>
          <w:divBdr>
            <w:top w:val="none" w:sz="0" w:space="0" w:color="auto"/>
            <w:left w:val="none" w:sz="0" w:space="0" w:color="auto"/>
            <w:bottom w:val="none" w:sz="0" w:space="0" w:color="auto"/>
            <w:right w:val="none" w:sz="0" w:space="0" w:color="auto"/>
          </w:divBdr>
        </w:div>
        <w:div w:id="375737659">
          <w:marLeft w:val="640"/>
          <w:marRight w:val="0"/>
          <w:marTop w:val="0"/>
          <w:marBottom w:val="0"/>
          <w:divBdr>
            <w:top w:val="none" w:sz="0" w:space="0" w:color="auto"/>
            <w:left w:val="none" w:sz="0" w:space="0" w:color="auto"/>
            <w:bottom w:val="none" w:sz="0" w:space="0" w:color="auto"/>
            <w:right w:val="none" w:sz="0" w:space="0" w:color="auto"/>
          </w:divBdr>
        </w:div>
        <w:div w:id="1296175400">
          <w:marLeft w:val="640"/>
          <w:marRight w:val="0"/>
          <w:marTop w:val="0"/>
          <w:marBottom w:val="0"/>
          <w:divBdr>
            <w:top w:val="none" w:sz="0" w:space="0" w:color="auto"/>
            <w:left w:val="none" w:sz="0" w:space="0" w:color="auto"/>
            <w:bottom w:val="none" w:sz="0" w:space="0" w:color="auto"/>
            <w:right w:val="none" w:sz="0" w:space="0" w:color="auto"/>
          </w:divBdr>
        </w:div>
        <w:div w:id="237520651">
          <w:marLeft w:val="640"/>
          <w:marRight w:val="0"/>
          <w:marTop w:val="0"/>
          <w:marBottom w:val="0"/>
          <w:divBdr>
            <w:top w:val="none" w:sz="0" w:space="0" w:color="auto"/>
            <w:left w:val="none" w:sz="0" w:space="0" w:color="auto"/>
            <w:bottom w:val="none" w:sz="0" w:space="0" w:color="auto"/>
            <w:right w:val="none" w:sz="0" w:space="0" w:color="auto"/>
          </w:divBdr>
        </w:div>
        <w:div w:id="945847275">
          <w:marLeft w:val="640"/>
          <w:marRight w:val="0"/>
          <w:marTop w:val="0"/>
          <w:marBottom w:val="0"/>
          <w:divBdr>
            <w:top w:val="none" w:sz="0" w:space="0" w:color="auto"/>
            <w:left w:val="none" w:sz="0" w:space="0" w:color="auto"/>
            <w:bottom w:val="none" w:sz="0" w:space="0" w:color="auto"/>
            <w:right w:val="none" w:sz="0" w:space="0" w:color="auto"/>
          </w:divBdr>
        </w:div>
        <w:div w:id="1818301104">
          <w:marLeft w:val="640"/>
          <w:marRight w:val="0"/>
          <w:marTop w:val="0"/>
          <w:marBottom w:val="0"/>
          <w:divBdr>
            <w:top w:val="none" w:sz="0" w:space="0" w:color="auto"/>
            <w:left w:val="none" w:sz="0" w:space="0" w:color="auto"/>
            <w:bottom w:val="none" w:sz="0" w:space="0" w:color="auto"/>
            <w:right w:val="none" w:sz="0" w:space="0" w:color="auto"/>
          </w:divBdr>
        </w:div>
        <w:div w:id="922687275">
          <w:marLeft w:val="640"/>
          <w:marRight w:val="0"/>
          <w:marTop w:val="0"/>
          <w:marBottom w:val="0"/>
          <w:divBdr>
            <w:top w:val="none" w:sz="0" w:space="0" w:color="auto"/>
            <w:left w:val="none" w:sz="0" w:space="0" w:color="auto"/>
            <w:bottom w:val="none" w:sz="0" w:space="0" w:color="auto"/>
            <w:right w:val="none" w:sz="0" w:space="0" w:color="auto"/>
          </w:divBdr>
        </w:div>
        <w:div w:id="232742831">
          <w:marLeft w:val="640"/>
          <w:marRight w:val="0"/>
          <w:marTop w:val="0"/>
          <w:marBottom w:val="0"/>
          <w:divBdr>
            <w:top w:val="none" w:sz="0" w:space="0" w:color="auto"/>
            <w:left w:val="none" w:sz="0" w:space="0" w:color="auto"/>
            <w:bottom w:val="none" w:sz="0" w:space="0" w:color="auto"/>
            <w:right w:val="none" w:sz="0" w:space="0" w:color="auto"/>
          </w:divBdr>
        </w:div>
        <w:div w:id="485128353">
          <w:marLeft w:val="640"/>
          <w:marRight w:val="0"/>
          <w:marTop w:val="0"/>
          <w:marBottom w:val="0"/>
          <w:divBdr>
            <w:top w:val="none" w:sz="0" w:space="0" w:color="auto"/>
            <w:left w:val="none" w:sz="0" w:space="0" w:color="auto"/>
            <w:bottom w:val="none" w:sz="0" w:space="0" w:color="auto"/>
            <w:right w:val="none" w:sz="0" w:space="0" w:color="auto"/>
          </w:divBdr>
        </w:div>
        <w:div w:id="442579668">
          <w:marLeft w:val="640"/>
          <w:marRight w:val="0"/>
          <w:marTop w:val="0"/>
          <w:marBottom w:val="0"/>
          <w:divBdr>
            <w:top w:val="none" w:sz="0" w:space="0" w:color="auto"/>
            <w:left w:val="none" w:sz="0" w:space="0" w:color="auto"/>
            <w:bottom w:val="none" w:sz="0" w:space="0" w:color="auto"/>
            <w:right w:val="none" w:sz="0" w:space="0" w:color="auto"/>
          </w:divBdr>
        </w:div>
        <w:div w:id="1008603227">
          <w:marLeft w:val="640"/>
          <w:marRight w:val="0"/>
          <w:marTop w:val="0"/>
          <w:marBottom w:val="0"/>
          <w:divBdr>
            <w:top w:val="none" w:sz="0" w:space="0" w:color="auto"/>
            <w:left w:val="none" w:sz="0" w:space="0" w:color="auto"/>
            <w:bottom w:val="none" w:sz="0" w:space="0" w:color="auto"/>
            <w:right w:val="none" w:sz="0" w:space="0" w:color="auto"/>
          </w:divBdr>
        </w:div>
        <w:div w:id="1193152771">
          <w:marLeft w:val="640"/>
          <w:marRight w:val="0"/>
          <w:marTop w:val="0"/>
          <w:marBottom w:val="0"/>
          <w:divBdr>
            <w:top w:val="none" w:sz="0" w:space="0" w:color="auto"/>
            <w:left w:val="none" w:sz="0" w:space="0" w:color="auto"/>
            <w:bottom w:val="none" w:sz="0" w:space="0" w:color="auto"/>
            <w:right w:val="none" w:sz="0" w:space="0" w:color="auto"/>
          </w:divBdr>
        </w:div>
        <w:div w:id="1452936837">
          <w:marLeft w:val="640"/>
          <w:marRight w:val="0"/>
          <w:marTop w:val="0"/>
          <w:marBottom w:val="0"/>
          <w:divBdr>
            <w:top w:val="none" w:sz="0" w:space="0" w:color="auto"/>
            <w:left w:val="none" w:sz="0" w:space="0" w:color="auto"/>
            <w:bottom w:val="none" w:sz="0" w:space="0" w:color="auto"/>
            <w:right w:val="none" w:sz="0" w:space="0" w:color="auto"/>
          </w:divBdr>
        </w:div>
        <w:div w:id="1600598253">
          <w:marLeft w:val="640"/>
          <w:marRight w:val="0"/>
          <w:marTop w:val="0"/>
          <w:marBottom w:val="0"/>
          <w:divBdr>
            <w:top w:val="none" w:sz="0" w:space="0" w:color="auto"/>
            <w:left w:val="none" w:sz="0" w:space="0" w:color="auto"/>
            <w:bottom w:val="none" w:sz="0" w:space="0" w:color="auto"/>
            <w:right w:val="none" w:sz="0" w:space="0" w:color="auto"/>
          </w:divBdr>
        </w:div>
        <w:div w:id="978876130">
          <w:marLeft w:val="640"/>
          <w:marRight w:val="0"/>
          <w:marTop w:val="0"/>
          <w:marBottom w:val="0"/>
          <w:divBdr>
            <w:top w:val="none" w:sz="0" w:space="0" w:color="auto"/>
            <w:left w:val="none" w:sz="0" w:space="0" w:color="auto"/>
            <w:bottom w:val="none" w:sz="0" w:space="0" w:color="auto"/>
            <w:right w:val="none" w:sz="0" w:space="0" w:color="auto"/>
          </w:divBdr>
        </w:div>
        <w:div w:id="2122915226">
          <w:marLeft w:val="640"/>
          <w:marRight w:val="0"/>
          <w:marTop w:val="0"/>
          <w:marBottom w:val="0"/>
          <w:divBdr>
            <w:top w:val="none" w:sz="0" w:space="0" w:color="auto"/>
            <w:left w:val="none" w:sz="0" w:space="0" w:color="auto"/>
            <w:bottom w:val="none" w:sz="0" w:space="0" w:color="auto"/>
            <w:right w:val="none" w:sz="0" w:space="0" w:color="auto"/>
          </w:divBdr>
        </w:div>
        <w:div w:id="913588898">
          <w:marLeft w:val="640"/>
          <w:marRight w:val="0"/>
          <w:marTop w:val="0"/>
          <w:marBottom w:val="0"/>
          <w:divBdr>
            <w:top w:val="none" w:sz="0" w:space="0" w:color="auto"/>
            <w:left w:val="none" w:sz="0" w:space="0" w:color="auto"/>
            <w:bottom w:val="none" w:sz="0" w:space="0" w:color="auto"/>
            <w:right w:val="none" w:sz="0" w:space="0" w:color="auto"/>
          </w:divBdr>
        </w:div>
        <w:div w:id="1418209488">
          <w:marLeft w:val="640"/>
          <w:marRight w:val="0"/>
          <w:marTop w:val="0"/>
          <w:marBottom w:val="0"/>
          <w:divBdr>
            <w:top w:val="none" w:sz="0" w:space="0" w:color="auto"/>
            <w:left w:val="none" w:sz="0" w:space="0" w:color="auto"/>
            <w:bottom w:val="none" w:sz="0" w:space="0" w:color="auto"/>
            <w:right w:val="none" w:sz="0" w:space="0" w:color="auto"/>
          </w:divBdr>
        </w:div>
        <w:div w:id="702249194">
          <w:marLeft w:val="640"/>
          <w:marRight w:val="0"/>
          <w:marTop w:val="0"/>
          <w:marBottom w:val="0"/>
          <w:divBdr>
            <w:top w:val="none" w:sz="0" w:space="0" w:color="auto"/>
            <w:left w:val="none" w:sz="0" w:space="0" w:color="auto"/>
            <w:bottom w:val="none" w:sz="0" w:space="0" w:color="auto"/>
            <w:right w:val="none" w:sz="0" w:space="0" w:color="auto"/>
          </w:divBdr>
        </w:div>
        <w:div w:id="1339314006">
          <w:marLeft w:val="640"/>
          <w:marRight w:val="0"/>
          <w:marTop w:val="0"/>
          <w:marBottom w:val="0"/>
          <w:divBdr>
            <w:top w:val="none" w:sz="0" w:space="0" w:color="auto"/>
            <w:left w:val="none" w:sz="0" w:space="0" w:color="auto"/>
            <w:bottom w:val="none" w:sz="0" w:space="0" w:color="auto"/>
            <w:right w:val="none" w:sz="0" w:space="0" w:color="auto"/>
          </w:divBdr>
        </w:div>
        <w:div w:id="1282801801">
          <w:marLeft w:val="640"/>
          <w:marRight w:val="0"/>
          <w:marTop w:val="0"/>
          <w:marBottom w:val="0"/>
          <w:divBdr>
            <w:top w:val="none" w:sz="0" w:space="0" w:color="auto"/>
            <w:left w:val="none" w:sz="0" w:space="0" w:color="auto"/>
            <w:bottom w:val="none" w:sz="0" w:space="0" w:color="auto"/>
            <w:right w:val="none" w:sz="0" w:space="0" w:color="auto"/>
          </w:divBdr>
        </w:div>
        <w:div w:id="1024283952">
          <w:marLeft w:val="640"/>
          <w:marRight w:val="0"/>
          <w:marTop w:val="0"/>
          <w:marBottom w:val="0"/>
          <w:divBdr>
            <w:top w:val="none" w:sz="0" w:space="0" w:color="auto"/>
            <w:left w:val="none" w:sz="0" w:space="0" w:color="auto"/>
            <w:bottom w:val="none" w:sz="0" w:space="0" w:color="auto"/>
            <w:right w:val="none" w:sz="0" w:space="0" w:color="auto"/>
          </w:divBdr>
        </w:div>
        <w:div w:id="87385859">
          <w:marLeft w:val="640"/>
          <w:marRight w:val="0"/>
          <w:marTop w:val="0"/>
          <w:marBottom w:val="0"/>
          <w:divBdr>
            <w:top w:val="none" w:sz="0" w:space="0" w:color="auto"/>
            <w:left w:val="none" w:sz="0" w:space="0" w:color="auto"/>
            <w:bottom w:val="none" w:sz="0" w:space="0" w:color="auto"/>
            <w:right w:val="none" w:sz="0" w:space="0" w:color="auto"/>
          </w:divBdr>
        </w:div>
        <w:div w:id="829060354">
          <w:marLeft w:val="640"/>
          <w:marRight w:val="0"/>
          <w:marTop w:val="0"/>
          <w:marBottom w:val="0"/>
          <w:divBdr>
            <w:top w:val="none" w:sz="0" w:space="0" w:color="auto"/>
            <w:left w:val="none" w:sz="0" w:space="0" w:color="auto"/>
            <w:bottom w:val="none" w:sz="0" w:space="0" w:color="auto"/>
            <w:right w:val="none" w:sz="0" w:space="0" w:color="auto"/>
          </w:divBdr>
        </w:div>
        <w:div w:id="1714379641">
          <w:marLeft w:val="640"/>
          <w:marRight w:val="0"/>
          <w:marTop w:val="0"/>
          <w:marBottom w:val="0"/>
          <w:divBdr>
            <w:top w:val="none" w:sz="0" w:space="0" w:color="auto"/>
            <w:left w:val="none" w:sz="0" w:space="0" w:color="auto"/>
            <w:bottom w:val="none" w:sz="0" w:space="0" w:color="auto"/>
            <w:right w:val="none" w:sz="0" w:space="0" w:color="auto"/>
          </w:divBdr>
        </w:div>
        <w:div w:id="1993213569">
          <w:marLeft w:val="640"/>
          <w:marRight w:val="0"/>
          <w:marTop w:val="0"/>
          <w:marBottom w:val="0"/>
          <w:divBdr>
            <w:top w:val="none" w:sz="0" w:space="0" w:color="auto"/>
            <w:left w:val="none" w:sz="0" w:space="0" w:color="auto"/>
            <w:bottom w:val="none" w:sz="0" w:space="0" w:color="auto"/>
            <w:right w:val="none" w:sz="0" w:space="0" w:color="auto"/>
          </w:divBdr>
        </w:div>
        <w:div w:id="24916847">
          <w:marLeft w:val="640"/>
          <w:marRight w:val="0"/>
          <w:marTop w:val="0"/>
          <w:marBottom w:val="0"/>
          <w:divBdr>
            <w:top w:val="none" w:sz="0" w:space="0" w:color="auto"/>
            <w:left w:val="none" w:sz="0" w:space="0" w:color="auto"/>
            <w:bottom w:val="none" w:sz="0" w:space="0" w:color="auto"/>
            <w:right w:val="none" w:sz="0" w:space="0" w:color="auto"/>
          </w:divBdr>
        </w:div>
        <w:div w:id="1371105475">
          <w:marLeft w:val="640"/>
          <w:marRight w:val="0"/>
          <w:marTop w:val="0"/>
          <w:marBottom w:val="0"/>
          <w:divBdr>
            <w:top w:val="none" w:sz="0" w:space="0" w:color="auto"/>
            <w:left w:val="none" w:sz="0" w:space="0" w:color="auto"/>
            <w:bottom w:val="none" w:sz="0" w:space="0" w:color="auto"/>
            <w:right w:val="none" w:sz="0" w:space="0" w:color="auto"/>
          </w:divBdr>
        </w:div>
        <w:div w:id="2066759982">
          <w:marLeft w:val="640"/>
          <w:marRight w:val="0"/>
          <w:marTop w:val="0"/>
          <w:marBottom w:val="0"/>
          <w:divBdr>
            <w:top w:val="none" w:sz="0" w:space="0" w:color="auto"/>
            <w:left w:val="none" w:sz="0" w:space="0" w:color="auto"/>
            <w:bottom w:val="none" w:sz="0" w:space="0" w:color="auto"/>
            <w:right w:val="none" w:sz="0" w:space="0" w:color="auto"/>
          </w:divBdr>
        </w:div>
        <w:div w:id="423259532">
          <w:marLeft w:val="640"/>
          <w:marRight w:val="0"/>
          <w:marTop w:val="0"/>
          <w:marBottom w:val="0"/>
          <w:divBdr>
            <w:top w:val="none" w:sz="0" w:space="0" w:color="auto"/>
            <w:left w:val="none" w:sz="0" w:space="0" w:color="auto"/>
            <w:bottom w:val="none" w:sz="0" w:space="0" w:color="auto"/>
            <w:right w:val="none" w:sz="0" w:space="0" w:color="auto"/>
          </w:divBdr>
        </w:div>
        <w:div w:id="1766341476">
          <w:marLeft w:val="640"/>
          <w:marRight w:val="0"/>
          <w:marTop w:val="0"/>
          <w:marBottom w:val="0"/>
          <w:divBdr>
            <w:top w:val="none" w:sz="0" w:space="0" w:color="auto"/>
            <w:left w:val="none" w:sz="0" w:space="0" w:color="auto"/>
            <w:bottom w:val="none" w:sz="0" w:space="0" w:color="auto"/>
            <w:right w:val="none" w:sz="0" w:space="0" w:color="auto"/>
          </w:divBdr>
        </w:div>
        <w:div w:id="260455006">
          <w:marLeft w:val="640"/>
          <w:marRight w:val="0"/>
          <w:marTop w:val="0"/>
          <w:marBottom w:val="0"/>
          <w:divBdr>
            <w:top w:val="none" w:sz="0" w:space="0" w:color="auto"/>
            <w:left w:val="none" w:sz="0" w:space="0" w:color="auto"/>
            <w:bottom w:val="none" w:sz="0" w:space="0" w:color="auto"/>
            <w:right w:val="none" w:sz="0" w:space="0" w:color="auto"/>
          </w:divBdr>
        </w:div>
        <w:div w:id="564880606">
          <w:marLeft w:val="640"/>
          <w:marRight w:val="0"/>
          <w:marTop w:val="0"/>
          <w:marBottom w:val="0"/>
          <w:divBdr>
            <w:top w:val="none" w:sz="0" w:space="0" w:color="auto"/>
            <w:left w:val="none" w:sz="0" w:space="0" w:color="auto"/>
            <w:bottom w:val="none" w:sz="0" w:space="0" w:color="auto"/>
            <w:right w:val="none" w:sz="0" w:space="0" w:color="auto"/>
          </w:divBdr>
        </w:div>
        <w:div w:id="2080975875">
          <w:marLeft w:val="640"/>
          <w:marRight w:val="0"/>
          <w:marTop w:val="0"/>
          <w:marBottom w:val="0"/>
          <w:divBdr>
            <w:top w:val="none" w:sz="0" w:space="0" w:color="auto"/>
            <w:left w:val="none" w:sz="0" w:space="0" w:color="auto"/>
            <w:bottom w:val="none" w:sz="0" w:space="0" w:color="auto"/>
            <w:right w:val="none" w:sz="0" w:space="0" w:color="auto"/>
          </w:divBdr>
        </w:div>
        <w:div w:id="2033531844">
          <w:marLeft w:val="640"/>
          <w:marRight w:val="0"/>
          <w:marTop w:val="0"/>
          <w:marBottom w:val="0"/>
          <w:divBdr>
            <w:top w:val="none" w:sz="0" w:space="0" w:color="auto"/>
            <w:left w:val="none" w:sz="0" w:space="0" w:color="auto"/>
            <w:bottom w:val="none" w:sz="0" w:space="0" w:color="auto"/>
            <w:right w:val="none" w:sz="0" w:space="0" w:color="auto"/>
          </w:divBdr>
        </w:div>
        <w:div w:id="1490051019">
          <w:marLeft w:val="640"/>
          <w:marRight w:val="0"/>
          <w:marTop w:val="0"/>
          <w:marBottom w:val="0"/>
          <w:divBdr>
            <w:top w:val="none" w:sz="0" w:space="0" w:color="auto"/>
            <w:left w:val="none" w:sz="0" w:space="0" w:color="auto"/>
            <w:bottom w:val="none" w:sz="0" w:space="0" w:color="auto"/>
            <w:right w:val="none" w:sz="0" w:space="0" w:color="auto"/>
          </w:divBdr>
        </w:div>
        <w:div w:id="1428840745">
          <w:marLeft w:val="640"/>
          <w:marRight w:val="0"/>
          <w:marTop w:val="0"/>
          <w:marBottom w:val="0"/>
          <w:divBdr>
            <w:top w:val="none" w:sz="0" w:space="0" w:color="auto"/>
            <w:left w:val="none" w:sz="0" w:space="0" w:color="auto"/>
            <w:bottom w:val="none" w:sz="0" w:space="0" w:color="auto"/>
            <w:right w:val="none" w:sz="0" w:space="0" w:color="auto"/>
          </w:divBdr>
        </w:div>
        <w:div w:id="1819491828">
          <w:marLeft w:val="640"/>
          <w:marRight w:val="0"/>
          <w:marTop w:val="0"/>
          <w:marBottom w:val="0"/>
          <w:divBdr>
            <w:top w:val="none" w:sz="0" w:space="0" w:color="auto"/>
            <w:left w:val="none" w:sz="0" w:space="0" w:color="auto"/>
            <w:bottom w:val="none" w:sz="0" w:space="0" w:color="auto"/>
            <w:right w:val="none" w:sz="0" w:space="0" w:color="auto"/>
          </w:divBdr>
        </w:div>
        <w:div w:id="268633252">
          <w:marLeft w:val="640"/>
          <w:marRight w:val="0"/>
          <w:marTop w:val="0"/>
          <w:marBottom w:val="0"/>
          <w:divBdr>
            <w:top w:val="none" w:sz="0" w:space="0" w:color="auto"/>
            <w:left w:val="none" w:sz="0" w:space="0" w:color="auto"/>
            <w:bottom w:val="none" w:sz="0" w:space="0" w:color="auto"/>
            <w:right w:val="none" w:sz="0" w:space="0" w:color="auto"/>
          </w:divBdr>
        </w:div>
        <w:div w:id="2019232009">
          <w:marLeft w:val="640"/>
          <w:marRight w:val="0"/>
          <w:marTop w:val="0"/>
          <w:marBottom w:val="0"/>
          <w:divBdr>
            <w:top w:val="none" w:sz="0" w:space="0" w:color="auto"/>
            <w:left w:val="none" w:sz="0" w:space="0" w:color="auto"/>
            <w:bottom w:val="none" w:sz="0" w:space="0" w:color="auto"/>
            <w:right w:val="none" w:sz="0" w:space="0" w:color="auto"/>
          </w:divBdr>
        </w:div>
        <w:div w:id="677541003">
          <w:marLeft w:val="640"/>
          <w:marRight w:val="0"/>
          <w:marTop w:val="0"/>
          <w:marBottom w:val="0"/>
          <w:divBdr>
            <w:top w:val="none" w:sz="0" w:space="0" w:color="auto"/>
            <w:left w:val="none" w:sz="0" w:space="0" w:color="auto"/>
            <w:bottom w:val="none" w:sz="0" w:space="0" w:color="auto"/>
            <w:right w:val="none" w:sz="0" w:space="0" w:color="auto"/>
          </w:divBdr>
        </w:div>
        <w:div w:id="1436510729">
          <w:marLeft w:val="640"/>
          <w:marRight w:val="0"/>
          <w:marTop w:val="0"/>
          <w:marBottom w:val="0"/>
          <w:divBdr>
            <w:top w:val="none" w:sz="0" w:space="0" w:color="auto"/>
            <w:left w:val="none" w:sz="0" w:space="0" w:color="auto"/>
            <w:bottom w:val="none" w:sz="0" w:space="0" w:color="auto"/>
            <w:right w:val="none" w:sz="0" w:space="0" w:color="auto"/>
          </w:divBdr>
        </w:div>
        <w:div w:id="1047686031">
          <w:marLeft w:val="640"/>
          <w:marRight w:val="0"/>
          <w:marTop w:val="0"/>
          <w:marBottom w:val="0"/>
          <w:divBdr>
            <w:top w:val="none" w:sz="0" w:space="0" w:color="auto"/>
            <w:left w:val="none" w:sz="0" w:space="0" w:color="auto"/>
            <w:bottom w:val="none" w:sz="0" w:space="0" w:color="auto"/>
            <w:right w:val="none" w:sz="0" w:space="0" w:color="auto"/>
          </w:divBdr>
        </w:div>
        <w:div w:id="547302370">
          <w:marLeft w:val="640"/>
          <w:marRight w:val="0"/>
          <w:marTop w:val="0"/>
          <w:marBottom w:val="0"/>
          <w:divBdr>
            <w:top w:val="none" w:sz="0" w:space="0" w:color="auto"/>
            <w:left w:val="none" w:sz="0" w:space="0" w:color="auto"/>
            <w:bottom w:val="none" w:sz="0" w:space="0" w:color="auto"/>
            <w:right w:val="none" w:sz="0" w:space="0" w:color="auto"/>
          </w:divBdr>
        </w:div>
        <w:div w:id="1130440531">
          <w:marLeft w:val="640"/>
          <w:marRight w:val="0"/>
          <w:marTop w:val="0"/>
          <w:marBottom w:val="0"/>
          <w:divBdr>
            <w:top w:val="none" w:sz="0" w:space="0" w:color="auto"/>
            <w:left w:val="none" w:sz="0" w:space="0" w:color="auto"/>
            <w:bottom w:val="none" w:sz="0" w:space="0" w:color="auto"/>
            <w:right w:val="none" w:sz="0" w:space="0" w:color="auto"/>
          </w:divBdr>
        </w:div>
        <w:div w:id="138961820">
          <w:marLeft w:val="640"/>
          <w:marRight w:val="0"/>
          <w:marTop w:val="0"/>
          <w:marBottom w:val="0"/>
          <w:divBdr>
            <w:top w:val="none" w:sz="0" w:space="0" w:color="auto"/>
            <w:left w:val="none" w:sz="0" w:space="0" w:color="auto"/>
            <w:bottom w:val="none" w:sz="0" w:space="0" w:color="auto"/>
            <w:right w:val="none" w:sz="0" w:space="0" w:color="auto"/>
          </w:divBdr>
        </w:div>
        <w:div w:id="2135976583">
          <w:marLeft w:val="640"/>
          <w:marRight w:val="0"/>
          <w:marTop w:val="0"/>
          <w:marBottom w:val="0"/>
          <w:divBdr>
            <w:top w:val="none" w:sz="0" w:space="0" w:color="auto"/>
            <w:left w:val="none" w:sz="0" w:space="0" w:color="auto"/>
            <w:bottom w:val="none" w:sz="0" w:space="0" w:color="auto"/>
            <w:right w:val="none" w:sz="0" w:space="0" w:color="auto"/>
          </w:divBdr>
        </w:div>
        <w:div w:id="262422835">
          <w:marLeft w:val="640"/>
          <w:marRight w:val="0"/>
          <w:marTop w:val="0"/>
          <w:marBottom w:val="0"/>
          <w:divBdr>
            <w:top w:val="none" w:sz="0" w:space="0" w:color="auto"/>
            <w:left w:val="none" w:sz="0" w:space="0" w:color="auto"/>
            <w:bottom w:val="none" w:sz="0" w:space="0" w:color="auto"/>
            <w:right w:val="none" w:sz="0" w:space="0" w:color="auto"/>
          </w:divBdr>
        </w:div>
        <w:div w:id="2028017007">
          <w:marLeft w:val="640"/>
          <w:marRight w:val="0"/>
          <w:marTop w:val="0"/>
          <w:marBottom w:val="0"/>
          <w:divBdr>
            <w:top w:val="none" w:sz="0" w:space="0" w:color="auto"/>
            <w:left w:val="none" w:sz="0" w:space="0" w:color="auto"/>
            <w:bottom w:val="none" w:sz="0" w:space="0" w:color="auto"/>
            <w:right w:val="none" w:sz="0" w:space="0" w:color="auto"/>
          </w:divBdr>
        </w:div>
        <w:div w:id="1059284502">
          <w:marLeft w:val="640"/>
          <w:marRight w:val="0"/>
          <w:marTop w:val="0"/>
          <w:marBottom w:val="0"/>
          <w:divBdr>
            <w:top w:val="none" w:sz="0" w:space="0" w:color="auto"/>
            <w:left w:val="none" w:sz="0" w:space="0" w:color="auto"/>
            <w:bottom w:val="none" w:sz="0" w:space="0" w:color="auto"/>
            <w:right w:val="none" w:sz="0" w:space="0" w:color="auto"/>
          </w:divBdr>
        </w:div>
        <w:div w:id="676465407">
          <w:marLeft w:val="640"/>
          <w:marRight w:val="0"/>
          <w:marTop w:val="0"/>
          <w:marBottom w:val="0"/>
          <w:divBdr>
            <w:top w:val="none" w:sz="0" w:space="0" w:color="auto"/>
            <w:left w:val="none" w:sz="0" w:space="0" w:color="auto"/>
            <w:bottom w:val="none" w:sz="0" w:space="0" w:color="auto"/>
            <w:right w:val="none" w:sz="0" w:space="0" w:color="auto"/>
          </w:divBdr>
        </w:div>
        <w:div w:id="883565938">
          <w:marLeft w:val="640"/>
          <w:marRight w:val="0"/>
          <w:marTop w:val="0"/>
          <w:marBottom w:val="0"/>
          <w:divBdr>
            <w:top w:val="none" w:sz="0" w:space="0" w:color="auto"/>
            <w:left w:val="none" w:sz="0" w:space="0" w:color="auto"/>
            <w:bottom w:val="none" w:sz="0" w:space="0" w:color="auto"/>
            <w:right w:val="none" w:sz="0" w:space="0" w:color="auto"/>
          </w:divBdr>
        </w:div>
        <w:div w:id="2095663403">
          <w:marLeft w:val="640"/>
          <w:marRight w:val="0"/>
          <w:marTop w:val="0"/>
          <w:marBottom w:val="0"/>
          <w:divBdr>
            <w:top w:val="none" w:sz="0" w:space="0" w:color="auto"/>
            <w:left w:val="none" w:sz="0" w:space="0" w:color="auto"/>
            <w:bottom w:val="none" w:sz="0" w:space="0" w:color="auto"/>
            <w:right w:val="none" w:sz="0" w:space="0" w:color="auto"/>
          </w:divBdr>
        </w:div>
        <w:div w:id="1396053887">
          <w:marLeft w:val="640"/>
          <w:marRight w:val="0"/>
          <w:marTop w:val="0"/>
          <w:marBottom w:val="0"/>
          <w:divBdr>
            <w:top w:val="none" w:sz="0" w:space="0" w:color="auto"/>
            <w:left w:val="none" w:sz="0" w:space="0" w:color="auto"/>
            <w:bottom w:val="none" w:sz="0" w:space="0" w:color="auto"/>
            <w:right w:val="none" w:sz="0" w:space="0" w:color="auto"/>
          </w:divBdr>
        </w:div>
        <w:div w:id="681592734">
          <w:marLeft w:val="640"/>
          <w:marRight w:val="0"/>
          <w:marTop w:val="0"/>
          <w:marBottom w:val="0"/>
          <w:divBdr>
            <w:top w:val="none" w:sz="0" w:space="0" w:color="auto"/>
            <w:left w:val="none" w:sz="0" w:space="0" w:color="auto"/>
            <w:bottom w:val="none" w:sz="0" w:space="0" w:color="auto"/>
            <w:right w:val="none" w:sz="0" w:space="0" w:color="auto"/>
          </w:divBdr>
        </w:div>
        <w:div w:id="1334986612">
          <w:marLeft w:val="640"/>
          <w:marRight w:val="0"/>
          <w:marTop w:val="0"/>
          <w:marBottom w:val="0"/>
          <w:divBdr>
            <w:top w:val="none" w:sz="0" w:space="0" w:color="auto"/>
            <w:left w:val="none" w:sz="0" w:space="0" w:color="auto"/>
            <w:bottom w:val="none" w:sz="0" w:space="0" w:color="auto"/>
            <w:right w:val="none" w:sz="0" w:space="0" w:color="auto"/>
          </w:divBdr>
        </w:div>
        <w:div w:id="219294215">
          <w:marLeft w:val="640"/>
          <w:marRight w:val="0"/>
          <w:marTop w:val="0"/>
          <w:marBottom w:val="0"/>
          <w:divBdr>
            <w:top w:val="none" w:sz="0" w:space="0" w:color="auto"/>
            <w:left w:val="none" w:sz="0" w:space="0" w:color="auto"/>
            <w:bottom w:val="none" w:sz="0" w:space="0" w:color="auto"/>
            <w:right w:val="none" w:sz="0" w:space="0" w:color="auto"/>
          </w:divBdr>
        </w:div>
        <w:div w:id="686978267">
          <w:marLeft w:val="640"/>
          <w:marRight w:val="0"/>
          <w:marTop w:val="0"/>
          <w:marBottom w:val="0"/>
          <w:divBdr>
            <w:top w:val="none" w:sz="0" w:space="0" w:color="auto"/>
            <w:left w:val="none" w:sz="0" w:space="0" w:color="auto"/>
            <w:bottom w:val="none" w:sz="0" w:space="0" w:color="auto"/>
            <w:right w:val="none" w:sz="0" w:space="0" w:color="auto"/>
          </w:divBdr>
        </w:div>
        <w:div w:id="1903759776">
          <w:marLeft w:val="640"/>
          <w:marRight w:val="0"/>
          <w:marTop w:val="0"/>
          <w:marBottom w:val="0"/>
          <w:divBdr>
            <w:top w:val="none" w:sz="0" w:space="0" w:color="auto"/>
            <w:left w:val="none" w:sz="0" w:space="0" w:color="auto"/>
            <w:bottom w:val="none" w:sz="0" w:space="0" w:color="auto"/>
            <w:right w:val="none" w:sz="0" w:space="0" w:color="auto"/>
          </w:divBdr>
        </w:div>
        <w:div w:id="1630628698">
          <w:marLeft w:val="640"/>
          <w:marRight w:val="0"/>
          <w:marTop w:val="0"/>
          <w:marBottom w:val="0"/>
          <w:divBdr>
            <w:top w:val="none" w:sz="0" w:space="0" w:color="auto"/>
            <w:left w:val="none" w:sz="0" w:space="0" w:color="auto"/>
            <w:bottom w:val="none" w:sz="0" w:space="0" w:color="auto"/>
            <w:right w:val="none" w:sz="0" w:space="0" w:color="auto"/>
          </w:divBdr>
        </w:div>
        <w:div w:id="486439405">
          <w:marLeft w:val="640"/>
          <w:marRight w:val="0"/>
          <w:marTop w:val="0"/>
          <w:marBottom w:val="0"/>
          <w:divBdr>
            <w:top w:val="none" w:sz="0" w:space="0" w:color="auto"/>
            <w:left w:val="none" w:sz="0" w:space="0" w:color="auto"/>
            <w:bottom w:val="none" w:sz="0" w:space="0" w:color="auto"/>
            <w:right w:val="none" w:sz="0" w:space="0" w:color="auto"/>
          </w:divBdr>
        </w:div>
        <w:div w:id="1019282244">
          <w:marLeft w:val="640"/>
          <w:marRight w:val="0"/>
          <w:marTop w:val="0"/>
          <w:marBottom w:val="0"/>
          <w:divBdr>
            <w:top w:val="none" w:sz="0" w:space="0" w:color="auto"/>
            <w:left w:val="none" w:sz="0" w:space="0" w:color="auto"/>
            <w:bottom w:val="none" w:sz="0" w:space="0" w:color="auto"/>
            <w:right w:val="none" w:sz="0" w:space="0" w:color="auto"/>
          </w:divBdr>
        </w:div>
        <w:div w:id="1466895709">
          <w:marLeft w:val="640"/>
          <w:marRight w:val="0"/>
          <w:marTop w:val="0"/>
          <w:marBottom w:val="0"/>
          <w:divBdr>
            <w:top w:val="none" w:sz="0" w:space="0" w:color="auto"/>
            <w:left w:val="none" w:sz="0" w:space="0" w:color="auto"/>
            <w:bottom w:val="none" w:sz="0" w:space="0" w:color="auto"/>
            <w:right w:val="none" w:sz="0" w:space="0" w:color="auto"/>
          </w:divBdr>
        </w:div>
        <w:div w:id="601572381">
          <w:marLeft w:val="640"/>
          <w:marRight w:val="0"/>
          <w:marTop w:val="0"/>
          <w:marBottom w:val="0"/>
          <w:divBdr>
            <w:top w:val="none" w:sz="0" w:space="0" w:color="auto"/>
            <w:left w:val="none" w:sz="0" w:space="0" w:color="auto"/>
            <w:bottom w:val="none" w:sz="0" w:space="0" w:color="auto"/>
            <w:right w:val="none" w:sz="0" w:space="0" w:color="auto"/>
          </w:divBdr>
        </w:div>
        <w:div w:id="2073650399">
          <w:marLeft w:val="640"/>
          <w:marRight w:val="0"/>
          <w:marTop w:val="0"/>
          <w:marBottom w:val="0"/>
          <w:divBdr>
            <w:top w:val="none" w:sz="0" w:space="0" w:color="auto"/>
            <w:left w:val="none" w:sz="0" w:space="0" w:color="auto"/>
            <w:bottom w:val="none" w:sz="0" w:space="0" w:color="auto"/>
            <w:right w:val="none" w:sz="0" w:space="0" w:color="auto"/>
          </w:divBdr>
        </w:div>
        <w:div w:id="1398212491">
          <w:marLeft w:val="640"/>
          <w:marRight w:val="0"/>
          <w:marTop w:val="0"/>
          <w:marBottom w:val="0"/>
          <w:divBdr>
            <w:top w:val="none" w:sz="0" w:space="0" w:color="auto"/>
            <w:left w:val="none" w:sz="0" w:space="0" w:color="auto"/>
            <w:bottom w:val="none" w:sz="0" w:space="0" w:color="auto"/>
            <w:right w:val="none" w:sz="0" w:space="0" w:color="auto"/>
          </w:divBdr>
        </w:div>
        <w:div w:id="1053501440">
          <w:marLeft w:val="640"/>
          <w:marRight w:val="0"/>
          <w:marTop w:val="0"/>
          <w:marBottom w:val="0"/>
          <w:divBdr>
            <w:top w:val="none" w:sz="0" w:space="0" w:color="auto"/>
            <w:left w:val="none" w:sz="0" w:space="0" w:color="auto"/>
            <w:bottom w:val="none" w:sz="0" w:space="0" w:color="auto"/>
            <w:right w:val="none" w:sz="0" w:space="0" w:color="auto"/>
          </w:divBdr>
        </w:div>
        <w:div w:id="1375960305">
          <w:marLeft w:val="640"/>
          <w:marRight w:val="0"/>
          <w:marTop w:val="0"/>
          <w:marBottom w:val="0"/>
          <w:divBdr>
            <w:top w:val="none" w:sz="0" w:space="0" w:color="auto"/>
            <w:left w:val="none" w:sz="0" w:space="0" w:color="auto"/>
            <w:bottom w:val="none" w:sz="0" w:space="0" w:color="auto"/>
            <w:right w:val="none" w:sz="0" w:space="0" w:color="auto"/>
          </w:divBdr>
        </w:div>
        <w:div w:id="1311716008">
          <w:marLeft w:val="640"/>
          <w:marRight w:val="0"/>
          <w:marTop w:val="0"/>
          <w:marBottom w:val="0"/>
          <w:divBdr>
            <w:top w:val="none" w:sz="0" w:space="0" w:color="auto"/>
            <w:left w:val="none" w:sz="0" w:space="0" w:color="auto"/>
            <w:bottom w:val="none" w:sz="0" w:space="0" w:color="auto"/>
            <w:right w:val="none" w:sz="0" w:space="0" w:color="auto"/>
          </w:divBdr>
        </w:div>
        <w:div w:id="86271843">
          <w:marLeft w:val="640"/>
          <w:marRight w:val="0"/>
          <w:marTop w:val="0"/>
          <w:marBottom w:val="0"/>
          <w:divBdr>
            <w:top w:val="none" w:sz="0" w:space="0" w:color="auto"/>
            <w:left w:val="none" w:sz="0" w:space="0" w:color="auto"/>
            <w:bottom w:val="none" w:sz="0" w:space="0" w:color="auto"/>
            <w:right w:val="none" w:sz="0" w:space="0" w:color="auto"/>
          </w:divBdr>
        </w:div>
        <w:div w:id="96604203">
          <w:marLeft w:val="640"/>
          <w:marRight w:val="0"/>
          <w:marTop w:val="0"/>
          <w:marBottom w:val="0"/>
          <w:divBdr>
            <w:top w:val="none" w:sz="0" w:space="0" w:color="auto"/>
            <w:left w:val="none" w:sz="0" w:space="0" w:color="auto"/>
            <w:bottom w:val="none" w:sz="0" w:space="0" w:color="auto"/>
            <w:right w:val="none" w:sz="0" w:space="0" w:color="auto"/>
          </w:divBdr>
        </w:div>
        <w:div w:id="174660838">
          <w:marLeft w:val="640"/>
          <w:marRight w:val="0"/>
          <w:marTop w:val="0"/>
          <w:marBottom w:val="0"/>
          <w:divBdr>
            <w:top w:val="none" w:sz="0" w:space="0" w:color="auto"/>
            <w:left w:val="none" w:sz="0" w:space="0" w:color="auto"/>
            <w:bottom w:val="none" w:sz="0" w:space="0" w:color="auto"/>
            <w:right w:val="none" w:sz="0" w:space="0" w:color="auto"/>
          </w:divBdr>
        </w:div>
        <w:div w:id="625045826">
          <w:marLeft w:val="640"/>
          <w:marRight w:val="0"/>
          <w:marTop w:val="0"/>
          <w:marBottom w:val="0"/>
          <w:divBdr>
            <w:top w:val="none" w:sz="0" w:space="0" w:color="auto"/>
            <w:left w:val="none" w:sz="0" w:space="0" w:color="auto"/>
            <w:bottom w:val="none" w:sz="0" w:space="0" w:color="auto"/>
            <w:right w:val="none" w:sz="0" w:space="0" w:color="auto"/>
          </w:divBdr>
        </w:div>
        <w:div w:id="218249398">
          <w:marLeft w:val="640"/>
          <w:marRight w:val="0"/>
          <w:marTop w:val="0"/>
          <w:marBottom w:val="0"/>
          <w:divBdr>
            <w:top w:val="none" w:sz="0" w:space="0" w:color="auto"/>
            <w:left w:val="none" w:sz="0" w:space="0" w:color="auto"/>
            <w:bottom w:val="none" w:sz="0" w:space="0" w:color="auto"/>
            <w:right w:val="none" w:sz="0" w:space="0" w:color="auto"/>
          </w:divBdr>
        </w:div>
        <w:div w:id="260333144">
          <w:marLeft w:val="640"/>
          <w:marRight w:val="0"/>
          <w:marTop w:val="0"/>
          <w:marBottom w:val="0"/>
          <w:divBdr>
            <w:top w:val="none" w:sz="0" w:space="0" w:color="auto"/>
            <w:left w:val="none" w:sz="0" w:space="0" w:color="auto"/>
            <w:bottom w:val="none" w:sz="0" w:space="0" w:color="auto"/>
            <w:right w:val="none" w:sz="0" w:space="0" w:color="auto"/>
          </w:divBdr>
        </w:div>
        <w:div w:id="224605581">
          <w:marLeft w:val="640"/>
          <w:marRight w:val="0"/>
          <w:marTop w:val="0"/>
          <w:marBottom w:val="0"/>
          <w:divBdr>
            <w:top w:val="none" w:sz="0" w:space="0" w:color="auto"/>
            <w:left w:val="none" w:sz="0" w:space="0" w:color="auto"/>
            <w:bottom w:val="none" w:sz="0" w:space="0" w:color="auto"/>
            <w:right w:val="none" w:sz="0" w:space="0" w:color="auto"/>
          </w:divBdr>
        </w:div>
        <w:div w:id="879900254">
          <w:marLeft w:val="640"/>
          <w:marRight w:val="0"/>
          <w:marTop w:val="0"/>
          <w:marBottom w:val="0"/>
          <w:divBdr>
            <w:top w:val="none" w:sz="0" w:space="0" w:color="auto"/>
            <w:left w:val="none" w:sz="0" w:space="0" w:color="auto"/>
            <w:bottom w:val="none" w:sz="0" w:space="0" w:color="auto"/>
            <w:right w:val="none" w:sz="0" w:space="0" w:color="auto"/>
          </w:divBdr>
        </w:div>
        <w:div w:id="1621491736">
          <w:marLeft w:val="640"/>
          <w:marRight w:val="0"/>
          <w:marTop w:val="0"/>
          <w:marBottom w:val="0"/>
          <w:divBdr>
            <w:top w:val="none" w:sz="0" w:space="0" w:color="auto"/>
            <w:left w:val="none" w:sz="0" w:space="0" w:color="auto"/>
            <w:bottom w:val="none" w:sz="0" w:space="0" w:color="auto"/>
            <w:right w:val="none" w:sz="0" w:space="0" w:color="auto"/>
          </w:divBdr>
        </w:div>
        <w:div w:id="2017268686">
          <w:marLeft w:val="640"/>
          <w:marRight w:val="0"/>
          <w:marTop w:val="0"/>
          <w:marBottom w:val="0"/>
          <w:divBdr>
            <w:top w:val="none" w:sz="0" w:space="0" w:color="auto"/>
            <w:left w:val="none" w:sz="0" w:space="0" w:color="auto"/>
            <w:bottom w:val="none" w:sz="0" w:space="0" w:color="auto"/>
            <w:right w:val="none" w:sz="0" w:space="0" w:color="auto"/>
          </w:divBdr>
        </w:div>
        <w:div w:id="1015378894">
          <w:marLeft w:val="640"/>
          <w:marRight w:val="0"/>
          <w:marTop w:val="0"/>
          <w:marBottom w:val="0"/>
          <w:divBdr>
            <w:top w:val="none" w:sz="0" w:space="0" w:color="auto"/>
            <w:left w:val="none" w:sz="0" w:space="0" w:color="auto"/>
            <w:bottom w:val="none" w:sz="0" w:space="0" w:color="auto"/>
            <w:right w:val="none" w:sz="0" w:space="0" w:color="auto"/>
          </w:divBdr>
        </w:div>
        <w:div w:id="920527216">
          <w:marLeft w:val="640"/>
          <w:marRight w:val="0"/>
          <w:marTop w:val="0"/>
          <w:marBottom w:val="0"/>
          <w:divBdr>
            <w:top w:val="none" w:sz="0" w:space="0" w:color="auto"/>
            <w:left w:val="none" w:sz="0" w:space="0" w:color="auto"/>
            <w:bottom w:val="none" w:sz="0" w:space="0" w:color="auto"/>
            <w:right w:val="none" w:sz="0" w:space="0" w:color="auto"/>
          </w:divBdr>
        </w:div>
        <w:div w:id="484400727">
          <w:marLeft w:val="640"/>
          <w:marRight w:val="0"/>
          <w:marTop w:val="0"/>
          <w:marBottom w:val="0"/>
          <w:divBdr>
            <w:top w:val="none" w:sz="0" w:space="0" w:color="auto"/>
            <w:left w:val="none" w:sz="0" w:space="0" w:color="auto"/>
            <w:bottom w:val="none" w:sz="0" w:space="0" w:color="auto"/>
            <w:right w:val="none" w:sz="0" w:space="0" w:color="auto"/>
          </w:divBdr>
        </w:div>
      </w:divsChild>
    </w:div>
    <w:div w:id="994453765">
      <w:bodyDiv w:val="1"/>
      <w:marLeft w:val="0"/>
      <w:marRight w:val="0"/>
      <w:marTop w:val="0"/>
      <w:marBottom w:val="0"/>
      <w:divBdr>
        <w:top w:val="none" w:sz="0" w:space="0" w:color="auto"/>
        <w:left w:val="none" w:sz="0" w:space="0" w:color="auto"/>
        <w:bottom w:val="none" w:sz="0" w:space="0" w:color="auto"/>
        <w:right w:val="none" w:sz="0" w:space="0" w:color="auto"/>
      </w:divBdr>
      <w:divsChild>
        <w:div w:id="788548267">
          <w:marLeft w:val="640"/>
          <w:marRight w:val="0"/>
          <w:marTop w:val="0"/>
          <w:marBottom w:val="0"/>
          <w:divBdr>
            <w:top w:val="none" w:sz="0" w:space="0" w:color="auto"/>
            <w:left w:val="none" w:sz="0" w:space="0" w:color="auto"/>
            <w:bottom w:val="none" w:sz="0" w:space="0" w:color="auto"/>
            <w:right w:val="none" w:sz="0" w:space="0" w:color="auto"/>
          </w:divBdr>
        </w:div>
        <w:div w:id="1020818004">
          <w:marLeft w:val="640"/>
          <w:marRight w:val="0"/>
          <w:marTop w:val="0"/>
          <w:marBottom w:val="0"/>
          <w:divBdr>
            <w:top w:val="none" w:sz="0" w:space="0" w:color="auto"/>
            <w:left w:val="none" w:sz="0" w:space="0" w:color="auto"/>
            <w:bottom w:val="none" w:sz="0" w:space="0" w:color="auto"/>
            <w:right w:val="none" w:sz="0" w:space="0" w:color="auto"/>
          </w:divBdr>
        </w:div>
        <w:div w:id="2054496037">
          <w:marLeft w:val="640"/>
          <w:marRight w:val="0"/>
          <w:marTop w:val="0"/>
          <w:marBottom w:val="0"/>
          <w:divBdr>
            <w:top w:val="none" w:sz="0" w:space="0" w:color="auto"/>
            <w:left w:val="none" w:sz="0" w:space="0" w:color="auto"/>
            <w:bottom w:val="none" w:sz="0" w:space="0" w:color="auto"/>
            <w:right w:val="none" w:sz="0" w:space="0" w:color="auto"/>
          </w:divBdr>
        </w:div>
        <w:div w:id="976685098">
          <w:marLeft w:val="640"/>
          <w:marRight w:val="0"/>
          <w:marTop w:val="0"/>
          <w:marBottom w:val="0"/>
          <w:divBdr>
            <w:top w:val="none" w:sz="0" w:space="0" w:color="auto"/>
            <w:left w:val="none" w:sz="0" w:space="0" w:color="auto"/>
            <w:bottom w:val="none" w:sz="0" w:space="0" w:color="auto"/>
            <w:right w:val="none" w:sz="0" w:space="0" w:color="auto"/>
          </w:divBdr>
        </w:div>
        <w:div w:id="2054115565">
          <w:marLeft w:val="640"/>
          <w:marRight w:val="0"/>
          <w:marTop w:val="0"/>
          <w:marBottom w:val="0"/>
          <w:divBdr>
            <w:top w:val="none" w:sz="0" w:space="0" w:color="auto"/>
            <w:left w:val="none" w:sz="0" w:space="0" w:color="auto"/>
            <w:bottom w:val="none" w:sz="0" w:space="0" w:color="auto"/>
            <w:right w:val="none" w:sz="0" w:space="0" w:color="auto"/>
          </w:divBdr>
        </w:div>
        <w:div w:id="1588802240">
          <w:marLeft w:val="640"/>
          <w:marRight w:val="0"/>
          <w:marTop w:val="0"/>
          <w:marBottom w:val="0"/>
          <w:divBdr>
            <w:top w:val="none" w:sz="0" w:space="0" w:color="auto"/>
            <w:left w:val="none" w:sz="0" w:space="0" w:color="auto"/>
            <w:bottom w:val="none" w:sz="0" w:space="0" w:color="auto"/>
            <w:right w:val="none" w:sz="0" w:space="0" w:color="auto"/>
          </w:divBdr>
        </w:div>
        <w:div w:id="1200625483">
          <w:marLeft w:val="640"/>
          <w:marRight w:val="0"/>
          <w:marTop w:val="0"/>
          <w:marBottom w:val="0"/>
          <w:divBdr>
            <w:top w:val="none" w:sz="0" w:space="0" w:color="auto"/>
            <w:left w:val="none" w:sz="0" w:space="0" w:color="auto"/>
            <w:bottom w:val="none" w:sz="0" w:space="0" w:color="auto"/>
            <w:right w:val="none" w:sz="0" w:space="0" w:color="auto"/>
          </w:divBdr>
        </w:div>
        <w:div w:id="922035748">
          <w:marLeft w:val="640"/>
          <w:marRight w:val="0"/>
          <w:marTop w:val="0"/>
          <w:marBottom w:val="0"/>
          <w:divBdr>
            <w:top w:val="none" w:sz="0" w:space="0" w:color="auto"/>
            <w:left w:val="none" w:sz="0" w:space="0" w:color="auto"/>
            <w:bottom w:val="none" w:sz="0" w:space="0" w:color="auto"/>
            <w:right w:val="none" w:sz="0" w:space="0" w:color="auto"/>
          </w:divBdr>
        </w:div>
        <w:div w:id="1874532726">
          <w:marLeft w:val="640"/>
          <w:marRight w:val="0"/>
          <w:marTop w:val="0"/>
          <w:marBottom w:val="0"/>
          <w:divBdr>
            <w:top w:val="none" w:sz="0" w:space="0" w:color="auto"/>
            <w:left w:val="none" w:sz="0" w:space="0" w:color="auto"/>
            <w:bottom w:val="none" w:sz="0" w:space="0" w:color="auto"/>
            <w:right w:val="none" w:sz="0" w:space="0" w:color="auto"/>
          </w:divBdr>
        </w:div>
        <w:div w:id="1717897097">
          <w:marLeft w:val="640"/>
          <w:marRight w:val="0"/>
          <w:marTop w:val="0"/>
          <w:marBottom w:val="0"/>
          <w:divBdr>
            <w:top w:val="none" w:sz="0" w:space="0" w:color="auto"/>
            <w:left w:val="none" w:sz="0" w:space="0" w:color="auto"/>
            <w:bottom w:val="none" w:sz="0" w:space="0" w:color="auto"/>
            <w:right w:val="none" w:sz="0" w:space="0" w:color="auto"/>
          </w:divBdr>
        </w:div>
        <w:div w:id="329145256">
          <w:marLeft w:val="640"/>
          <w:marRight w:val="0"/>
          <w:marTop w:val="0"/>
          <w:marBottom w:val="0"/>
          <w:divBdr>
            <w:top w:val="none" w:sz="0" w:space="0" w:color="auto"/>
            <w:left w:val="none" w:sz="0" w:space="0" w:color="auto"/>
            <w:bottom w:val="none" w:sz="0" w:space="0" w:color="auto"/>
            <w:right w:val="none" w:sz="0" w:space="0" w:color="auto"/>
          </w:divBdr>
        </w:div>
        <w:div w:id="421876059">
          <w:marLeft w:val="640"/>
          <w:marRight w:val="0"/>
          <w:marTop w:val="0"/>
          <w:marBottom w:val="0"/>
          <w:divBdr>
            <w:top w:val="none" w:sz="0" w:space="0" w:color="auto"/>
            <w:left w:val="none" w:sz="0" w:space="0" w:color="auto"/>
            <w:bottom w:val="none" w:sz="0" w:space="0" w:color="auto"/>
            <w:right w:val="none" w:sz="0" w:space="0" w:color="auto"/>
          </w:divBdr>
        </w:div>
        <w:div w:id="1837068895">
          <w:marLeft w:val="640"/>
          <w:marRight w:val="0"/>
          <w:marTop w:val="0"/>
          <w:marBottom w:val="0"/>
          <w:divBdr>
            <w:top w:val="none" w:sz="0" w:space="0" w:color="auto"/>
            <w:left w:val="none" w:sz="0" w:space="0" w:color="auto"/>
            <w:bottom w:val="none" w:sz="0" w:space="0" w:color="auto"/>
            <w:right w:val="none" w:sz="0" w:space="0" w:color="auto"/>
          </w:divBdr>
        </w:div>
        <w:div w:id="2119838166">
          <w:marLeft w:val="640"/>
          <w:marRight w:val="0"/>
          <w:marTop w:val="0"/>
          <w:marBottom w:val="0"/>
          <w:divBdr>
            <w:top w:val="none" w:sz="0" w:space="0" w:color="auto"/>
            <w:left w:val="none" w:sz="0" w:space="0" w:color="auto"/>
            <w:bottom w:val="none" w:sz="0" w:space="0" w:color="auto"/>
            <w:right w:val="none" w:sz="0" w:space="0" w:color="auto"/>
          </w:divBdr>
        </w:div>
        <w:div w:id="1509103825">
          <w:marLeft w:val="640"/>
          <w:marRight w:val="0"/>
          <w:marTop w:val="0"/>
          <w:marBottom w:val="0"/>
          <w:divBdr>
            <w:top w:val="none" w:sz="0" w:space="0" w:color="auto"/>
            <w:left w:val="none" w:sz="0" w:space="0" w:color="auto"/>
            <w:bottom w:val="none" w:sz="0" w:space="0" w:color="auto"/>
            <w:right w:val="none" w:sz="0" w:space="0" w:color="auto"/>
          </w:divBdr>
        </w:div>
        <w:div w:id="642126026">
          <w:marLeft w:val="640"/>
          <w:marRight w:val="0"/>
          <w:marTop w:val="0"/>
          <w:marBottom w:val="0"/>
          <w:divBdr>
            <w:top w:val="none" w:sz="0" w:space="0" w:color="auto"/>
            <w:left w:val="none" w:sz="0" w:space="0" w:color="auto"/>
            <w:bottom w:val="none" w:sz="0" w:space="0" w:color="auto"/>
            <w:right w:val="none" w:sz="0" w:space="0" w:color="auto"/>
          </w:divBdr>
        </w:div>
        <w:div w:id="1884827874">
          <w:marLeft w:val="640"/>
          <w:marRight w:val="0"/>
          <w:marTop w:val="0"/>
          <w:marBottom w:val="0"/>
          <w:divBdr>
            <w:top w:val="none" w:sz="0" w:space="0" w:color="auto"/>
            <w:left w:val="none" w:sz="0" w:space="0" w:color="auto"/>
            <w:bottom w:val="none" w:sz="0" w:space="0" w:color="auto"/>
            <w:right w:val="none" w:sz="0" w:space="0" w:color="auto"/>
          </w:divBdr>
        </w:div>
        <w:div w:id="1770278345">
          <w:marLeft w:val="640"/>
          <w:marRight w:val="0"/>
          <w:marTop w:val="0"/>
          <w:marBottom w:val="0"/>
          <w:divBdr>
            <w:top w:val="none" w:sz="0" w:space="0" w:color="auto"/>
            <w:left w:val="none" w:sz="0" w:space="0" w:color="auto"/>
            <w:bottom w:val="none" w:sz="0" w:space="0" w:color="auto"/>
            <w:right w:val="none" w:sz="0" w:space="0" w:color="auto"/>
          </w:divBdr>
        </w:div>
        <w:div w:id="548733361">
          <w:marLeft w:val="640"/>
          <w:marRight w:val="0"/>
          <w:marTop w:val="0"/>
          <w:marBottom w:val="0"/>
          <w:divBdr>
            <w:top w:val="none" w:sz="0" w:space="0" w:color="auto"/>
            <w:left w:val="none" w:sz="0" w:space="0" w:color="auto"/>
            <w:bottom w:val="none" w:sz="0" w:space="0" w:color="auto"/>
            <w:right w:val="none" w:sz="0" w:space="0" w:color="auto"/>
          </w:divBdr>
        </w:div>
        <w:div w:id="2091347101">
          <w:marLeft w:val="640"/>
          <w:marRight w:val="0"/>
          <w:marTop w:val="0"/>
          <w:marBottom w:val="0"/>
          <w:divBdr>
            <w:top w:val="none" w:sz="0" w:space="0" w:color="auto"/>
            <w:left w:val="none" w:sz="0" w:space="0" w:color="auto"/>
            <w:bottom w:val="none" w:sz="0" w:space="0" w:color="auto"/>
            <w:right w:val="none" w:sz="0" w:space="0" w:color="auto"/>
          </w:divBdr>
        </w:div>
        <w:div w:id="765880373">
          <w:marLeft w:val="640"/>
          <w:marRight w:val="0"/>
          <w:marTop w:val="0"/>
          <w:marBottom w:val="0"/>
          <w:divBdr>
            <w:top w:val="none" w:sz="0" w:space="0" w:color="auto"/>
            <w:left w:val="none" w:sz="0" w:space="0" w:color="auto"/>
            <w:bottom w:val="none" w:sz="0" w:space="0" w:color="auto"/>
            <w:right w:val="none" w:sz="0" w:space="0" w:color="auto"/>
          </w:divBdr>
        </w:div>
        <w:div w:id="439690846">
          <w:marLeft w:val="640"/>
          <w:marRight w:val="0"/>
          <w:marTop w:val="0"/>
          <w:marBottom w:val="0"/>
          <w:divBdr>
            <w:top w:val="none" w:sz="0" w:space="0" w:color="auto"/>
            <w:left w:val="none" w:sz="0" w:space="0" w:color="auto"/>
            <w:bottom w:val="none" w:sz="0" w:space="0" w:color="auto"/>
            <w:right w:val="none" w:sz="0" w:space="0" w:color="auto"/>
          </w:divBdr>
        </w:div>
        <w:div w:id="1063143343">
          <w:marLeft w:val="640"/>
          <w:marRight w:val="0"/>
          <w:marTop w:val="0"/>
          <w:marBottom w:val="0"/>
          <w:divBdr>
            <w:top w:val="none" w:sz="0" w:space="0" w:color="auto"/>
            <w:left w:val="none" w:sz="0" w:space="0" w:color="auto"/>
            <w:bottom w:val="none" w:sz="0" w:space="0" w:color="auto"/>
            <w:right w:val="none" w:sz="0" w:space="0" w:color="auto"/>
          </w:divBdr>
        </w:div>
        <w:div w:id="1331757377">
          <w:marLeft w:val="640"/>
          <w:marRight w:val="0"/>
          <w:marTop w:val="0"/>
          <w:marBottom w:val="0"/>
          <w:divBdr>
            <w:top w:val="none" w:sz="0" w:space="0" w:color="auto"/>
            <w:left w:val="none" w:sz="0" w:space="0" w:color="auto"/>
            <w:bottom w:val="none" w:sz="0" w:space="0" w:color="auto"/>
            <w:right w:val="none" w:sz="0" w:space="0" w:color="auto"/>
          </w:divBdr>
        </w:div>
        <w:div w:id="992293756">
          <w:marLeft w:val="640"/>
          <w:marRight w:val="0"/>
          <w:marTop w:val="0"/>
          <w:marBottom w:val="0"/>
          <w:divBdr>
            <w:top w:val="none" w:sz="0" w:space="0" w:color="auto"/>
            <w:left w:val="none" w:sz="0" w:space="0" w:color="auto"/>
            <w:bottom w:val="none" w:sz="0" w:space="0" w:color="auto"/>
            <w:right w:val="none" w:sz="0" w:space="0" w:color="auto"/>
          </w:divBdr>
        </w:div>
        <w:div w:id="1252203965">
          <w:marLeft w:val="640"/>
          <w:marRight w:val="0"/>
          <w:marTop w:val="0"/>
          <w:marBottom w:val="0"/>
          <w:divBdr>
            <w:top w:val="none" w:sz="0" w:space="0" w:color="auto"/>
            <w:left w:val="none" w:sz="0" w:space="0" w:color="auto"/>
            <w:bottom w:val="none" w:sz="0" w:space="0" w:color="auto"/>
            <w:right w:val="none" w:sz="0" w:space="0" w:color="auto"/>
          </w:divBdr>
        </w:div>
        <w:div w:id="487133755">
          <w:marLeft w:val="640"/>
          <w:marRight w:val="0"/>
          <w:marTop w:val="0"/>
          <w:marBottom w:val="0"/>
          <w:divBdr>
            <w:top w:val="none" w:sz="0" w:space="0" w:color="auto"/>
            <w:left w:val="none" w:sz="0" w:space="0" w:color="auto"/>
            <w:bottom w:val="none" w:sz="0" w:space="0" w:color="auto"/>
            <w:right w:val="none" w:sz="0" w:space="0" w:color="auto"/>
          </w:divBdr>
        </w:div>
        <w:div w:id="785849084">
          <w:marLeft w:val="640"/>
          <w:marRight w:val="0"/>
          <w:marTop w:val="0"/>
          <w:marBottom w:val="0"/>
          <w:divBdr>
            <w:top w:val="none" w:sz="0" w:space="0" w:color="auto"/>
            <w:left w:val="none" w:sz="0" w:space="0" w:color="auto"/>
            <w:bottom w:val="none" w:sz="0" w:space="0" w:color="auto"/>
            <w:right w:val="none" w:sz="0" w:space="0" w:color="auto"/>
          </w:divBdr>
        </w:div>
        <w:div w:id="1582446570">
          <w:marLeft w:val="640"/>
          <w:marRight w:val="0"/>
          <w:marTop w:val="0"/>
          <w:marBottom w:val="0"/>
          <w:divBdr>
            <w:top w:val="none" w:sz="0" w:space="0" w:color="auto"/>
            <w:left w:val="none" w:sz="0" w:space="0" w:color="auto"/>
            <w:bottom w:val="none" w:sz="0" w:space="0" w:color="auto"/>
            <w:right w:val="none" w:sz="0" w:space="0" w:color="auto"/>
          </w:divBdr>
        </w:div>
        <w:div w:id="617222506">
          <w:marLeft w:val="640"/>
          <w:marRight w:val="0"/>
          <w:marTop w:val="0"/>
          <w:marBottom w:val="0"/>
          <w:divBdr>
            <w:top w:val="none" w:sz="0" w:space="0" w:color="auto"/>
            <w:left w:val="none" w:sz="0" w:space="0" w:color="auto"/>
            <w:bottom w:val="none" w:sz="0" w:space="0" w:color="auto"/>
            <w:right w:val="none" w:sz="0" w:space="0" w:color="auto"/>
          </w:divBdr>
        </w:div>
        <w:div w:id="969752374">
          <w:marLeft w:val="640"/>
          <w:marRight w:val="0"/>
          <w:marTop w:val="0"/>
          <w:marBottom w:val="0"/>
          <w:divBdr>
            <w:top w:val="none" w:sz="0" w:space="0" w:color="auto"/>
            <w:left w:val="none" w:sz="0" w:space="0" w:color="auto"/>
            <w:bottom w:val="none" w:sz="0" w:space="0" w:color="auto"/>
            <w:right w:val="none" w:sz="0" w:space="0" w:color="auto"/>
          </w:divBdr>
        </w:div>
        <w:div w:id="299190038">
          <w:marLeft w:val="640"/>
          <w:marRight w:val="0"/>
          <w:marTop w:val="0"/>
          <w:marBottom w:val="0"/>
          <w:divBdr>
            <w:top w:val="none" w:sz="0" w:space="0" w:color="auto"/>
            <w:left w:val="none" w:sz="0" w:space="0" w:color="auto"/>
            <w:bottom w:val="none" w:sz="0" w:space="0" w:color="auto"/>
            <w:right w:val="none" w:sz="0" w:space="0" w:color="auto"/>
          </w:divBdr>
        </w:div>
        <w:div w:id="1357342147">
          <w:marLeft w:val="640"/>
          <w:marRight w:val="0"/>
          <w:marTop w:val="0"/>
          <w:marBottom w:val="0"/>
          <w:divBdr>
            <w:top w:val="none" w:sz="0" w:space="0" w:color="auto"/>
            <w:left w:val="none" w:sz="0" w:space="0" w:color="auto"/>
            <w:bottom w:val="none" w:sz="0" w:space="0" w:color="auto"/>
            <w:right w:val="none" w:sz="0" w:space="0" w:color="auto"/>
          </w:divBdr>
        </w:div>
        <w:div w:id="599918376">
          <w:marLeft w:val="640"/>
          <w:marRight w:val="0"/>
          <w:marTop w:val="0"/>
          <w:marBottom w:val="0"/>
          <w:divBdr>
            <w:top w:val="none" w:sz="0" w:space="0" w:color="auto"/>
            <w:left w:val="none" w:sz="0" w:space="0" w:color="auto"/>
            <w:bottom w:val="none" w:sz="0" w:space="0" w:color="auto"/>
            <w:right w:val="none" w:sz="0" w:space="0" w:color="auto"/>
          </w:divBdr>
        </w:div>
        <w:div w:id="1545481422">
          <w:marLeft w:val="640"/>
          <w:marRight w:val="0"/>
          <w:marTop w:val="0"/>
          <w:marBottom w:val="0"/>
          <w:divBdr>
            <w:top w:val="none" w:sz="0" w:space="0" w:color="auto"/>
            <w:left w:val="none" w:sz="0" w:space="0" w:color="auto"/>
            <w:bottom w:val="none" w:sz="0" w:space="0" w:color="auto"/>
            <w:right w:val="none" w:sz="0" w:space="0" w:color="auto"/>
          </w:divBdr>
        </w:div>
        <w:div w:id="438334323">
          <w:marLeft w:val="640"/>
          <w:marRight w:val="0"/>
          <w:marTop w:val="0"/>
          <w:marBottom w:val="0"/>
          <w:divBdr>
            <w:top w:val="none" w:sz="0" w:space="0" w:color="auto"/>
            <w:left w:val="none" w:sz="0" w:space="0" w:color="auto"/>
            <w:bottom w:val="none" w:sz="0" w:space="0" w:color="auto"/>
            <w:right w:val="none" w:sz="0" w:space="0" w:color="auto"/>
          </w:divBdr>
        </w:div>
        <w:div w:id="742919422">
          <w:marLeft w:val="640"/>
          <w:marRight w:val="0"/>
          <w:marTop w:val="0"/>
          <w:marBottom w:val="0"/>
          <w:divBdr>
            <w:top w:val="none" w:sz="0" w:space="0" w:color="auto"/>
            <w:left w:val="none" w:sz="0" w:space="0" w:color="auto"/>
            <w:bottom w:val="none" w:sz="0" w:space="0" w:color="auto"/>
            <w:right w:val="none" w:sz="0" w:space="0" w:color="auto"/>
          </w:divBdr>
        </w:div>
        <w:div w:id="483426269">
          <w:marLeft w:val="640"/>
          <w:marRight w:val="0"/>
          <w:marTop w:val="0"/>
          <w:marBottom w:val="0"/>
          <w:divBdr>
            <w:top w:val="none" w:sz="0" w:space="0" w:color="auto"/>
            <w:left w:val="none" w:sz="0" w:space="0" w:color="auto"/>
            <w:bottom w:val="none" w:sz="0" w:space="0" w:color="auto"/>
            <w:right w:val="none" w:sz="0" w:space="0" w:color="auto"/>
          </w:divBdr>
        </w:div>
        <w:div w:id="722291029">
          <w:marLeft w:val="640"/>
          <w:marRight w:val="0"/>
          <w:marTop w:val="0"/>
          <w:marBottom w:val="0"/>
          <w:divBdr>
            <w:top w:val="none" w:sz="0" w:space="0" w:color="auto"/>
            <w:left w:val="none" w:sz="0" w:space="0" w:color="auto"/>
            <w:bottom w:val="none" w:sz="0" w:space="0" w:color="auto"/>
            <w:right w:val="none" w:sz="0" w:space="0" w:color="auto"/>
          </w:divBdr>
        </w:div>
        <w:div w:id="1006783188">
          <w:marLeft w:val="640"/>
          <w:marRight w:val="0"/>
          <w:marTop w:val="0"/>
          <w:marBottom w:val="0"/>
          <w:divBdr>
            <w:top w:val="none" w:sz="0" w:space="0" w:color="auto"/>
            <w:left w:val="none" w:sz="0" w:space="0" w:color="auto"/>
            <w:bottom w:val="none" w:sz="0" w:space="0" w:color="auto"/>
            <w:right w:val="none" w:sz="0" w:space="0" w:color="auto"/>
          </w:divBdr>
        </w:div>
        <w:div w:id="1929649890">
          <w:marLeft w:val="640"/>
          <w:marRight w:val="0"/>
          <w:marTop w:val="0"/>
          <w:marBottom w:val="0"/>
          <w:divBdr>
            <w:top w:val="none" w:sz="0" w:space="0" w:color="auto"/>
            <w:left w:val="none" w:sz="0" w:space="0" w:color="auto"/>
            <w:bottom w:val="none" w:sz="0" w:space="0" w:color="auto"/>
            <w:right w:val="none" w:sz="0" w:space="0" w:color="auto"/>
          </w:divBdr>
        </w:div>
        <w:div w:id="656812316">
          <w:marLeft w:val="640"/>
          <w:marRight w:val="0"/>
          <w:marTop w:val="0"/>
          <w:marBottom w:val="0"/>
          <w:divBdr>
            <w:top w:val="none" w:sz="0" w:space="0" w:color="auto"/>
            <w:left w:val="none" w:sz="0" w:space="0" w:color="auto"/>
            <w:bottom w:val="none" w:sz="0" w:space="0" w:color="auto"/>
            <w:right w:val="none" w:sz="0" w:space="0" w:color="auto"/>
          </w:divBdr>
        </w:div>
        <w:div w:id="643193481">
          <w:marLeft w:val="640"/>
          <w:marRight w:val="0"/>
          <w:marTop w:val="0"/>
          <w:marBottom w:val="0"/>
          <w:divBdr>
            <w:top w:val="none" w:sz="0" w:space="0" w:color="auto"/>
            <w:left w:val="none" w:sz="0" w:space="0" w:color="auto"/>
            <w:bottom w:val="none" w:sz="0" w:space="0" w:color="auto"/>
            <w:right w:val="none" w:sz="0" w:space="0" w:color="auto"/>
          </w:divBdr>
        </w:div>
        <w:div w:id="2070299232">
          <w:marLeft w:val="640"/>
          <w:marRight w:val="0"/>
          <w:marTop w:val="0"/>
          <w:marBottom w:val="0"/>
          <w:divBdr>
            <w:top w:val="none" w:sz="0" w:space="0" w:color="auto"/>
            <w:left w:val="none" w:sz="0" w:space="0" w:color="auto"/>
            <w:bottom w:val="none" w:sz="0" w:space="0" w:color="auto"/>
            <w:right w:val="none" w:sz="0" w:space="0" w:color="auto"/>
          </w:divBdr>
        </w:div>
        <w:div w:id="1941908328">
          <w:marLeft w:val="640"/>
          <w:marRight w:val="0"/>
          <w:marTop w:val="0"/>
          <w:marBottom w:val="0"/>
          <w:divBdr>
            <w:top w:val="none" w:sz="0" w:space="0" w:color="auto"/>
            <w:left w:val="none" w:sz="0" w:space="0" w:color="auto"/>
            <w:bottom w:val="none" w:sz="0" w:space="0" w:color="auto"/>
            <w:right w:val="none" w:sz="0" w:space="0" w:color="auto"/>
          </w:divBdr>
        </w:div>
        <w:div w:id="2141266372">
          <w:marLeft w:val="640"/>
          <w:marRight w:val="0"/>
          <w:marTop w:val="0"/>
          <w:marBottom w:val="0"/>
          <w:divBdr>
            <w:top w:val="none" w:sz="0" w:space="0" w:color="auto"/>
            <w:left w:val="none" w:sz="0" w:space="0" w:color="auto"/>
            <w:bottom w:val="none" w:sz="0" w:space="0" w:color="auto"/>
            <w:right w:val="none" w:sz="0" w:space="0" w:color="auto"/>
          </w:divBdr>
        </w:div>
        <w:div w:id="239557396">
          <w:marLeft w:val="640"/>
          <w:marRight w:val="0"/>
          <w:marTop w:val="0"/>
          <w:marBottom w:val="0"/>
          <w:divBdr>
            <w:top w:val="none" w:sz="0" w:space="0" w:color="auto"/>
            <w:left w:val="none" w:sz="0" w:space="0" w:color="auto"/>
            <w:bottom w:val="none" w:sz="0" w:space="0" w:color="auto"/>
            <w:right w:val="none" w:sz="0" w:space="0" w:color="auto"/>
          </w:divBdr>
        </w:div>
        <w:div w:id="334068823">
          <w:marLeft w:val="640"/>
          <w:marRight w:val="0"/>
          <w:marTop w:val="0"/>
          <w:marBottom w:val="0"/>
          <w:divBdr>
            <w:top w:val="none" w:sz="0" w:space="0" w:color="auto"/>
            <w:left w:val="none" w:sz="0" w:space="0" w:color="auto"/>
            <w:bottom w:val="none" w:sz="0" w:space="0" w:color="auto"/>
            <w:right w:val="none" w:sz="0" w:space="0" w:color="auto"/>
          </w:divBdr>
        </w:div>
        <w:div w:id="1550609252">
          <w:marLeft w:val="640"/>
          <w:marRight w:val="0"/>
          <w:marTop w:val="0"/>
          <w:marBottom w:val="0"/>
          <w:divBdr>
            <w:top w:val="none" w:sz="0" w:space="0" w:color="auto"/>
            <w:left w:val="none" w:sz="0" w:space="0" w:color="auto"/>
            <w:bottom w:val="none" w:sz="0" w:space="0" w:color="auto"/>
            <w:right w:val="none" w:sz="0" w:space="0" w:color="auto"/>
          </w:divBdr>
        </w:div>
        <w:div w:id="42364343">
          <w:marLeft w:val="640"/>
          <w:marRight w:val="0"/>
          <w:marTop w:val="0"/>
          <w:marBottom w:val="0"/>
          <w:divBdr>
            <w:top w:val="none" w:sz="0" w:space="0" w:color="auto"/>
            <w:left w:val="none" w:sz="0" w:space="0" w:color="auto"/>
            <w:bottom w:val="none" w:sz="0" w:space="0" w:color="auto"/>
            <w:right w:val="none" w:sz="0" w:space="0" w:color="auto"/>
          </w:divBdr>
        </w:div>
        <w:div w:id="1114137090">
          <w:marLeft w:val="640"/>
          <w:marRight w:val="0"/>
          <w:marTop w:val="0"/>
          <w:marBottom w:val="0"/>
          <w:divBdr>
            <w:top w:val="none" w:sz="0" w:space="0" w:color="auto"/>
            <w:left w:val="none" w:sz="0" w:space="0" w:color="auto"/>
            <w:bottom w:val="none" w:sz="0" w:space="0" w:color="auto"/>
            <w:right w:val="none" w:sz="0" w:space="0" w:color="auto"/>
          </w:divBdr>
        </w:div>
        <w:div w:id="1191643404">
          <w:marLeft w:val="640"/>
          <w:marRight w:val="0"/>
          <w:marTop w:val="0"/>
          <w:marBottom w:val="0"/>
          <w:divBdr>
            <w:top w:val="none" w:sz="0" w:space="0" w:color="auto"/>
            <w:left w:val="none" w:sz="0" w:space="0" w:color="auto"/>
            <w:bottom w:val="none" w:sz="0" w:space="0" w:color="auto"/>
            <w:right w:val="none" w:sz="0" w:space="0" w:color="auto"/>
          </w:divBdr>
        </w:div>
        <w:div w:id="735281118">
          <w:marLeft w:val="640"/>
          <w:marRight w:val="0"/>
          <w:marTop w:val="0"/>
          <w:marBottom w:val="0"/>
          <w:divBdr>
            <w:top w:val="none" w:sz="0" w:space="0" w:color="auto"/>
            <w:left w:val="none" w:sz="0" w:space="0" w:color="auto"/>
            <w:bottom w:val="none" w:sz="0" w:space="0" w:color="auto"/>
            <w:right w:val="none" w:sz="0" w:space="0" w:color="auto"/>
          </w:divBdr>
        </w:div>
        <w:div w:id="2102755174">
          <w:marLeft w:val="640"/>
          <w:marRight w:val="0"/>
          <w:marTop w:val="0"/>
          <w:marBottom w:val="0"/>
          <w:divBdr>
            <w:top w:val="none" w:sz="0" w:space="0" w:color="auto"/>
            <w:left w:val="none" w:sz="0" w:space="0" w:color="auto"/>
            <w:bottom w:val="none" w:sz="0" w:space="0" w:color="auto"/>
            <w:right w:val="none" w:sz="0" w:space="0" w:color="auto"/>
          </w:divBdr>
        </w:div>
        <w:div w:id="1593780838">
          <w:marLeft w:val="640"/>
          <w:marRight w:val="0"/>
          <w:marTop w:val="0"/>
          <w:marBottom w:val="0"/>
          <w:divBdr>
            <w:top w:val="none" w:sz="0" w:space="0" w:color="auto"/>
            <w:left w:val="none" w:sz="0" w:space="0" w:color="auto"/>
            <w:bottom w:val="none" w:sz="0" w:space="0" w:color="auto"/>
            <w:right w:val="none" w:sz="0" w:space="0" w:color="auto"/>
          </w:divBdr>
        </w:div>
        <w:div w:id="783696445">
          <w:marLeft w:val="640"/>
          <w:marRight w:val="0"/>
          <w:marTop w:val="0"/>
          <w:marBottom w:val="0"/>
          <w:divBdr>
            <w:top w:val="none" w:sz="0" w:space="0" w:color="auto"/>
            <w:left w:val="none" w:sz="0" w:space="0" w:color="auto"/>
            <w:bottom w:val="none" w:sz="0" w:space="0" w:color="auto"/>
            <w:right w:val="none" w:sz="0" w:space="0" w:color="auto"/>
          </w:divBdr>
        </w:div>
        <w:div w:id="839123210">
          <w:marLeft w:val="640"/>
          <w:marRight w:val="0"/>
          <w:marTop w:val="0"/>
          <w:marBottom w:val="0"/>
          <w:divBdr>
            <w:top w:val="none" w:sz="0" w:space="0" w:color="auto"/>
            <w:left w:val="none" w:sz="0" w:space="0" w:color="auto"/>
            <w:bottom w:val="none" w:sz="0" w:space="0" w:color="auto"/>
            <w:right w:val="none" w:sz="0" w:space="0" w:color="auto"/>
          </w:divBdr>
        </w:div>
        <w:div w:id="2032107245">
          <w:marLeft w:val="640"/>
          <w:marRight w:val="0"/>
          <w:marTop w:val="0"/>
          <w:marBottom w:val="0"/>
          <w:divBdr>
            <w:top w:val="none" w:sz="0" w:space="0" w:color="auto"/>
            <w:left w:val="none" w:sz="0" w:space="0" w:color="auto"/>
            <w:bottom w:val="none" w:sz="0" w:space="0" w:color="auto"/>
            <w:right w:val="none" w:sz="0" w:space="0" w:color="auto"/>
          </w:divBdr>
        </w:div>
        <w:div w:id="1378822955">
          <w:marLeft w:val="640"/>
          <w:marRight w:val="0"/>
          <w:marTop w:val="0"/>
          <w:marBottom w:val="0"/>
          <w:divBdr>
            <w:top w:val="none" w:sz="0" w:space="0" w:color="auto"/>
            <w:left w:val="none" w:sz="0" w:space="0" w:color="auto"/>
            <w:bottom w:val="none" w:sz="0" w:space="0" w:color="auto"/>
            <w:right w:val="none" w:sz="0" w:space="0" w:color="auto"/>
          </w:divBdr>
        </w:div>
        <w:div w:id="1123621419">
          <w:marLeft w:val="640"/>
          <w:marRight w:val="0"/>
          <w:marTop w:val="0"/>
          <w:marBottom w:val="0"/>
          <w:divBdr>
            <w:top w:val="none" w:sz="0" w:space="0" w:color="auto"/>
            <w:left w:val="none" w:sz="0" w:space="0" w:color="auto"/>
            <w:bottom w:val="none" w:sz="0" w:space="0" w:color="auto"/>
            <w:right w:val="none" w:sz="0" w:space="0" w:color="auto"/>
          </w:divBdr>
        </w:div>
        <w:div w:id="1844776063">
          <w:marLeft w:val="640"/>
          <w:marRight w:val="0"/>
          <w:marTop w:val="0"/>
          <w:marBottom w:val="0"/>
          <w:divBdr>
            <w:top w:val="none" w:sz="0" w:space="0" w:color="auto"/>
            <w:left w:val="none" w:sz="0" w:space="0" w:color="auto"/>
            <w:bottom w:val="none" w:sz="0" w:space="0" w:color="auto"/>
            <w:right w:val="none" w:sz="0" w:space="0" w:color="auto"/>
          </w:divBdr>
        </w:div>
        <w:div w:id="243297102">
          <w:marLeft w:val="640"/>
          <w:marRight w:val="0"/>
          <w:marTop w:val="0"/>
          <w:marBottom w:val="0"/>
          <w:divBdr>
            <w:top w:val="none" w:sz="0" w:space="0" w:color="auto"/>
            <w:left w:val="none" w:sz="0" w:space="0" w:color="auto"/>
            <w:bottom w:val="none" w:sz="0" w:space="0" w:color="auto"/>
            <w:right w:val="none" w:sz="0" w:space="0" w:color="auto"/>
          </w:divBdr>
        </w:div>
        <w:div w:id="71777922">
          <w:marLeft w:val="640"/>
          <w:marRight w:val="0"/>
          <w:marTop w:val="0"/>
          <w:marBottom w:val="0"/>
          <w:divBdr>
            <w:top w:val="none" w:sz="0" w:space="0" w:color="auto"/>
            <w:left w:val="none" w:sz="0" w:space="0" w:color="auto"/>
            <w:bottom w:val="none" w:sz="0" w:space="0" w:color="auto"/>
            <w:right w:val="none" w:sz="0" w:space="0" w:color="auto"/>
          </w:divBdr>
        </w:div>
        <w:div w:id="1047796339">
          <w:marLeft w:val="640"/>
          <w:marRight w:val="0"/>
          <w:marTop w:val="0"/>
          <w:marBottom w:val="0"/>
          <w:divBdr>
            <w:top w:val="none" w:sz="0" w:space="0" w:color="auto"/>
            <w:left w:val="none" w:sz="0" w:space="0" w:color="auto"/>
            <w:bottom w:val="none" w:sz="0" w:space="0" w:color="auto"/>
            <w:right w:val="none" w:sz="0" w:space="0" w:color="auto"/>
          </w:divBdr>
        </w:div>
        <w:div w:id="1364092733">
          <w:marLeft w:val="640"/>
          <w:marRight w:val="0"/>
          <w:marTop w:val="0"/>
          <w:marBottom w:val="0"/>
          <w:divBdr>
            <w:top w:val="none" w:sz="0" w:space="0" w:color="auto"/>
            <w:left w:val="none" w:sz="0" w:space="0" w:color="auto"/>
            <w:bottom w:val="none" w:sz="0" w:space="0" w:color="auto"/>
            <w:right w:val="none" w:sz="0" w:space="0" w:color="auto"/>
          </w:divBdr>
        </w:div>
        <w:div w:id="1396969029">
          <w:marLeft w:val="640"/>
          <w:marRight w:val="0"/>
          <w:marTop w:val="0"/>
          <w:marBottom w:val="0"/>
          <w:divBdr>
            <w:top w:val="none" w:sz="0" w:space="0" w:color="auto"/>
            <w:left w:val="none" w:sz="0" w:space="0" w:color="auto"/>
            <w:bottom w:val="none" w:sz="0" w:space="0" w:color="auto"/>
            <w:right w:val="none" w:sz="0" w:space="0" w:color="auto"/>
          </w:divBdr>
        </w:div>
        <w:div w:id="854461131">
          <w:marLeft w:val="640"/>
          <w:marRight w:val="0"/>
          <w:marTop w:val="0"/>
          <w:marBottom w:val="0"/>
          <w:divBdr>
            <w:top w:val="none" w:sz="0" w:space="0" w:color="auto"/>
            <w:left w:val="none" w:sz="0" w:space="0" w:color="auto"/>
            <w:bottom w:val="none" w:sz="0" w:space="0" w:color="auto"/>
            <w:right w:val="none" w:sz="0" w:space="0" w:color="auto"/>
          </w:divBdr>
        </w:div>
        <w:div w:id="1562446509">
          <w:marLeft w:val="640"/>
          <w:marRight w:val="0"/>
          <w:marTop w:val="0"/>
          <w:marBottom w:val="0"/>
          <w:divBdr>
            <w:top w:val="none" w:sz="0" w:space="0" w:color="auto"/>
            <w:left w:val="none" w:sz="0" w:space="0" w:color="auto"/>
            <w:bottom w:val="none" w:sz="0" w:space="0" w:color="auto"/>
            <w:right w:val="none" w:sz="0" w:space="0" w:color="auto"/>
          </w:divBdr>
        </w:div>
        <w:div w:id="2064131675">
          <w:marLeft w:val="640"/>
          <w:marRight w:val="0"/>
          <w:marTop w:val="0"/>
          <w:marBottom w:val="0"/>
          <w:divBdr>
            <w:top w:val="none" w:sz="0" w:space="0" w:color="auto"/>
            <w:left w:val="none" w:sz="0" w:space="0" w:color="auto"/>
            <w:bottom w:val="none" w:sz="0" w:space="0" w:color="auto"/>
            <w:right w:val="none" w:sz="0" w:space="0" w:color="auto"/>
          </w:divBdr>
        </w:div>
        <w:div w:id="1736465203">
          <w:marLeft w:val="640"/>
          <w:marRight w:val="0"/>
          <w:marTop w:val="0"/>
          <w:marBottom w:val="0"/>
          <w:divBdr>
            <w:top w:val="none" w:sz="0" w:space="0" w:color="auto"/>
            <w:left w:val="none" w:sz="0" w:space="0" w:color="auto"/>
            <w:bottom w:val="none" w:sz="0" w:space="0" w:color="auto"/>
            <w:right w:val="none" w:sz="0" w:space="0" w:color="auto"/>
          </w:divBdr>
        </w:div>
        <w:div w:id="992835564">
          <w:marLeft w:val="640"/>
          <w:marRight w:val="0"/>
          <w:marTop w:val="0"/>
          <w:marBottom w:val="0"/>
          <w:divBdr>
            <w:top w:val="none" w:sz="0" w:space="0" w:color="auto"/>
            <w:left w:val="none" w:sz="0" w:space="0" w:color="auto"/>
            <w:bottom w:val="none" w:sz="0" w:space="0" w:color="auto"/>
            <w:right w:val="none" w:sz="0" w:space="0" w:color="auto"/>
          </w:divBdr>
        </w:div>
        <w:div w:id="1179585944">
          <w:marLeft w:val="640"/>
          <w:marRight w:val="0"/>
          <w:marTop w:val="0"/>
          <w:marBottom w:val="0"/>
          <w:divBdr>
            <w:top w:val="none" w:sz="0" w:space="0" w:color="auto"/>
            <w:left w:val="none" w:sz="0" w:space="0" w:color="auto"/>
            <w:bottom w:val="none" w:sz="0" w:space="0" w:color="auto"/>
            <w:right w:val="none" w:sz="0" w:space="0" w:color="auto"/>
          </w:divBdr>
        </w:div>
        <w:div w:id="1158687308">
          <w:marLeft w:val="640"/>
          <w:marRight w:val="0"/>
          <w:marTop w:val="0"/>
          <w:marBottom w:val="0"/>
          <w:divBdr>
            <w:top w:val="none" w:sz="0" w:space="0" w:color="auto"/>
            <w:left w:val="none" w:sz="0" w:space="0" w:color="auto"/>
            <w:bottom w:val="none" w:sz="0" w:space="0" w:color="auto"/>
            <w:right w:val="none" w:sz="0" w:space="0" w:color="auto"/>
          </w:divBdr>
        </w:div>
        <w:div w:id="909537069">
          <w:marLeft w:val="640"/>
          <w:marRight w:val="0"/>
          <w:marTop w:val="0"/>
          <w:marBottom w:val="0"/>
          <w:divBdr>
            <w:top w:val="none" w:sz="0" w:space="0" w:color="auto"/>
            <w:left w:val="none" w:sz="0" w:space="0" w:color="auto"/>
            <w:bottom w:val="none" w:sz="0" w:space="0" w:color="auto"/>
            <w:right w:val="none" w:sz="0" w:space="0" w:color="auto"/>
          </w:divBdr>
        </w:div>
        <w:div w:id="658119690">
          <w:marLeft w:val="640"/>
          <w:marRight w:val="0"/>
          <w:marTop w:val="0"/>
          <w:marBottom w:val="0"/>
          <w:divBdr>
            <w:top w:val="none" w:sz="0" w:space="0" w:color="auto"/>
            <w:left w:val="none" w:sz="0" w:space="0" w:color="auto"/>
            <w:bottom w:val="none" w:sz="0" w:space="0" w:color="auto"/>
            <w:right w:val="none" w:sz="0" w:space="0" w:color="auto"/>
          </w:divBdr>
        </w:div>
        <w:div w:id="1102996970">
          <w:marLeft w:val="640"/>
          <w:marRight w:val="0"/>
          <w:marTop w:val="0"/>
          <w:marBottom w:val="0"/>
          <w:divBdr>
            <w:top w:val="none" w:sz="0" w:space="0" w:color="auto"/>
            <w:left w:val="none" w:sz="0" w:space="0" w:color="auto"/>
            <w:bottom w:val="none" w:sz="0" w:space="0" w:color="auto"/>
            <w:right w:val="none" w:sz="0" w:space="0" w:color="auto"/>
          </w:divBdr>
        </w:div>
        <w:div w:id="1170370520">
          <w:marLeft w:val="640"/>
          <w:marRight w:val="0"/>
          <w:marTop w:val="0"/>
          <w:marBottom w:val="0"/>
          <w:divBdr>
            <w:top w:val="none" w:sz="0" w:space="0" w:color="auto"/>
            <w:left w:val="none" w:sz="0" w:space="0" w:color="auto"/>
            <w:bottom w:val="none" w:sz="0" w:space="0" w:color="auto"/>
            <w:right w:val="none" w:sz="0" w:space="0" w:color="auto"/>
          </w:divBdr>
        </w:div>
        <w:div w:id="792478613">
          <w:marLeft w:val="640"/>
          <w:marRight w:val="0"/>
          <w:marTop w:val="0"/>
          <w:marBottom w:val="0"/>
          <w:divBdr>
            <w:top w:val="none" w:sz="0" w:space="0" w:color="auto"/>
            <w:left w:val="none" w:sz="0" w:space="0" w:color="auto"/>
            <w:bottom w:val="none" w:sz="0" w:space="0" w:color="auto"/>
            <w:right w:val="none" w:sz="0" w:space="0" w:color="auto"/>
          </w:divBdr>
        </w:div>
        <w:div w:id="581139899">
          <w:marLeft w:val="640"/>
          <w:marRight w:val="0"/>
          <w:marTop w:val="0"/>
          <w:marBottom w:val="0"/>
          <w:divBdr>
            <w:top w:val="none" w:sz="0" w:space="0" w:color="auto"/>
            <w:left w:val="none" w:sz="0" w:space="0" w:color="auto"/>
            <w:bottom w:val="none" w:sz="0" w:space="0" w:color="auto"/>
            <w:right w:val="none" w:sz="0" w:space="0" w:color="auto"/>
          </w:divBdr>
        </w:div>
        <w:div w:id="2129200918">
          <w:marLeft w:val="640"/>
          <w:marRight w:val="0"/>
          <w:marTop w:val="0"/>
          <w:marBottom w:val="0"/>
          <w:divBdr>
            <w:top w:val="none" w:sz="0" w:space="0" w:color="auto"/>
            <w:left w:val="none" w:sz="0" w:space="0" w:color="auto"/>
            <w:bottom w:val="none" w:sz="0" w:space="0" w:color="auto"/>
            <w:right w:val="none" w:sz="0" w:space="0" w:color="auto"/>
          </w:divBdr>
        </w:div>
        <w:div w:id="1531382051">
          <w:marLeft w:val="640"/>
          <w:marRight w:val="0"/>
          <w:marTop w:val="0"/>
          <w:marBottom w:val="0"/>
          <w:divBdr>
            <w:top w:val="none" w:sz="0" w:space="0" w:color="auto"/>
            <w:left w:val="none" w:sz="0" w:space="0" w:color="auto"/>
            <w:bottom w:val="none" w:sz="0" w:space="0" w:color="auto"/>
            <w:right w:val="none" w:sz="0" w:space="0" w:color="auto"/>
          </w:divBdr>
        </w:div>
        <w:div w:id="901719736">
          <w:marLeft w:val="640"/>
          <w:marRight w:val="0"/>
          <w:marTop w:val="0"/>
          <w:marBottom w:val="0"/>
          <w:divBdr>
            <w:top w:val="none" w:sz="0" w:space="0" w:color="auto"/>
            <w:left w:val="none" w:sz="0" w:space="0" w:color="auto"/>
            <w:bottom w:val="none" w:sz="0" w:space="0" w:color="auto"/>
            <w:right w:val="none" w:sz="0" w:space="0" w:color="auto"/>
          </w:divBdr>
        </w:div>
        <w:div w:id="1571303435">
          <w:marLeft w:val="640"/>
          <w:marRight w:val="0"/>
          <w:marTop w:val="0"/>
          <w:marBottom w:val="0"/>
          <w:divBdr>
            <w:top w:val="none" w:sz="0" w:space="0" w:color="auto"/>
            <w:left w:val="none" w:sz="0" w:space="0" w:color="auto"/>
            <w:bottom w:val="none" w:sz="0" w:space="0" w:color="auto"/>
            <w:right w:val="none" w:sz="0" w:space="0" w:color="auto"/>
          </w:divBdr>
        </w:div>
        <w:div w:id="1414474265">
          <w:marLeft w:val="640"/>
          <w:marRight w:val="0"/>
          <w:marTop w:val="0"/>
          <w:marBottom w:val="0"/>
          <w:divBdr>
            <w:top w:val="none" w:sz="0" w:space="0" w:color="auto"/>
            <w:left w:val="none" w:sz="0" w:space="0" w:color="auto"/>
            <w:bottom w:val="none" w:sz="0" w:space="0" w:color="auto"/>
            <w:right w:val="none" w:sz="0" w:space="0" w:color="auto"/>
          </w:divBdr>
        </w:div>
        <w:div w:id="782847219">
          <w:marLeft w:val="640"/>
          <w:marRight w:val="0"/>
          <w:marTop w:val="0"/>
          <w:marBottom w:val="0"/>
          <w:divBdr>
            <w:top w:val="none" w:sz="0" w:space="0" w:color="auto"/>
            <w:left w:val="none" w:sz="0" w:space="0" w:color="auto"/>
            <w:bottom w:val="none" w:sz="0" w:space="0" w:color="auto"/>
            <w:right w:val="none" w:sz="0" w:space="0" w:color="auto"/>
          </w:divBdr>
        </w:div>
        <w:div w:id="880633421">
          <w:marLeft w:val="640"/>
          <w:marRight w:val="0"/>
          <w:marTop w:val="0"/>
          <w:marBottom w:val="0"/>
          <w:divBdr>
            <w:top w:val="none" w:sz="0" w:space="0" w:color="auto"/>
            <w:left w:val="none" w:sz="0" w:space="0" w:color="auto"/>
            <w:bottom w:val="none" w:sz="0" w:space="0" w:color="auto"/>
            <w:right w:val="none" w:sz="0" w:space="0" w:color="auto"/>
          </w:divBdr>
        </w:div>
        <w:div w:id="2014993592">
          <w:marLeft w:val="640"/>
          <w:marRight w:val="0"/>
          <w:marTop w:val="0"/>
          <w:marBottom w:val="0"/>
          <w:divBdr>
            <w:top w:val="none" w:sz="0" w:space="0" w:color="auto"/>
            <w:left w:val="none" w:sz="0" w:space="0" w:color="auto"/>
            <w:bottom w:val="none" w:sz="0" w:space="0" w:color="auto"/>
            <w:right w:val="none" w:sz="0" w:space="0" w:color="auto"/>
          </w:divBdr>
        </w:div>
        <w:div w:id="139931189">
          <w:marLeft w:val="640"/>
          <w:marRight w:val="0"/>
          <w:marTop w:val="0"/>
          <w:marBottom w:val="0"/>
          <w:divBdr>
            <w:top w:val="none" w:sz="0" w:space="0" w:color="auto"/>
            <w:left w:val="none" w:sz="0" w:space="0" w:color="auto"/>
            <w:bottom w:val="none" w:sz="0" w:space="0" w:color="auto"/>
            <w:right w:val="none" w:sz="0" w:space="0" w:color="auto"/>
          </w:divBdr>
        </w:div>
        <w:div w:id="2018994577">
          <w:marLeft w:val="640"/>
          <w:marRight w:val="0"/>
          <w:marTop w:val="0"/>
          <w:marBottom w:val="0"/>
          <w:divBdr>
            <w:top w:val="none" w:sz="0" w:space="0" w:color="auto"/>
            <w:left w:val="none" w:sz="0" w:space="0" w:color="auto"/>
            <w:bottom w:val="none" w:sz="0" w:space="0" w:color="auto"/>
            <w:right w:val="none" w:sz="0" w:space="0" w:color="auto"/>
          </w:divBdr>
        </w:div>
        <w:div w:id="1975716923">
          <w:marLeft w:val="640"/>
          <w:marRight w:val="0"/>
          <w:marTop w:val="0"/>
          <w:marBottom w:val="0"/>
          <w:divBdr>
            <w:top w:val="none" w:sz="0" w:space="0" w:color="auto"/>
            <w:left w:val="none" w:sz="0" w:space="0" w:color="auto"/>
            <w:bottom w:val="none" w:sz="0" w:space="0" w:color="auto"/>
            <w:right w:val="none" w:sz="0" w:space="0" w:color="auto"/>
          </w:divBdr>
        </w:div>
        <w:div w:id="1535340521">
          <w:marLeft w:val="640"/>
          <w:marRight w:val="0"/>
          <w:marTop w:val="0"/>
          <w:marBottom w:val="0"/>
          <w:divBdr>
            <w:top w:val="none" w:sz="0" w:space="0" w:color="auto"/>
            <w:left w:val="none" w:sz="0" w:space="0" w:color="auto"/>
            <w:bottom w:val="none" w:sz="0" w:space="0" w:color="auto"/>
            <w:right w:val="none" w:sz="0" w:space="0" w:color="auto"/>
          </w:divBdr>
        </w:div>
        <w:div w:id="803932693">
          <w:marLeft w:val="640"/>
          <w:marRight w:val="0"/>
          <w:marTop w:val="0"/>
          <w:marBottom w:val="0"/>
          <w:divBdr>
            <w:top w:val="none" w:sz="0" w:space="0" w:color="auto"/>
            <w:left w:val="none" w:sz="0" w:space="0" w:color="auto"/>
            <w:bottom w:val="none" w:sz="0" w:space="0" w:color="auto"/>
            <w:right w:val="none" w:sz="0" w:space="0" w:color="auto"/>
          </w:divBdr>
        </w:div>
        <w:div w:id="905843698">
          <w:marLeft w:val="640"/>
          <w:marRight w:val="0"/>
          <w:marTop w:val="0"/>
          <w:marBottom w:val="0"/>
          <w:divBdr>
            <w:top w:val="none" w:sz="0" w:space="0" w:color="auto"/>
            <w:left w:val="none" w:sz="0" w:space="0" w:color="auto"/>
            <w:bottom w:val="none" w:sz="0" w:space="0" w:color="auto"/>
            <w:right w:val="none" w:sz="0" w:space="0" w:color="auto"/>
          </w:divBdr>
        </w:div>
        <w:div w:id="826364516">
          <w:marLeft w:val="640"/>
          <w:marRight w:val="0"/>
          <w:marTop w:val="0"/>
          <w:marBottom w:val="0"/>
          <w:divBdr>
            <w:top w:val="none" w:sz="0" w:space="0" w:color="auto"/>
            <w:left w:val="none" w:sz="0" w:space="0" w:color="auto"/>
            <w:bottom w:val="none" w:sz="0" w:space="0" w:color="auto"/>
            <w:right w:val="none" w:sz="0" w:space="0" w:color="auto"/>
          </w:divBdr>
        </w:div>
        <w:div w:id="1279218831">
          <w:marLeft w:val="640"/>
          <w:marRight w:val="0"/>
          <w:marTop w:val="0"/>
          <w:marBottom w:val="0"/>
          <w:divBdr>
            <w:top w:val="none" w:sz="0" w:space="0" w:color="auto"/>
            <w:left w:val="none" w:sz="0" w:space="0" w:color="auto"/>
            <w:bottom w:val="none" w:sz="0" w:space="0" w:color="auto"/>
            <w:right w:val="none" w:sz="0" w:space="0" w:color="auto"/>
          </w:divBdr>
        </w:div>
        <w:div w:id="1139348063">
          <w:marLeft w:val="640"/>
          <w:marRight w:val="0"/>
          <w:marTop w:val="0"/>
          <w:marBottom w:val="0"/>
          <w:divBdr>
            <w:top w:val="none" w:sz="0" w:space="0" w:color="auto"/>
            <w:left w:val="none" w:sz="0" w:space="0" w:color="auto"/>
            <w:bottom w:val="none" w:sz="0" w:space="0" w:color="auto"/>
            <w:right w:val="none" w:sz="0" w:space="0" w:color="auto"/>
          </w:divBdr>
        </w:div>
        <w:div w:id="1045445550">
          <w:marLeft w:val="640"/>
          <w:marRight w:val="0"/>
          <w:marTop w:val="0"/>
          <w:marBottom w:val="0"/>
          <w:divBdr>
            <w:top w:val="none" w:sz="0" w:space="0" w:color="auto"/>
            <w:left w:val="none" w:sz="0" w:space="0" w:color="auto"/>
            <w:bottom w:val="none" w:sz="0" w:space="0" w:color="auto"/>
            <w:right w:val="none" w:sz="0" w:space="0" w:color="auto"/>
          </w:divBdr>
        </w:div>
        <w:div w:id="1773747710">
          <w:marLeft w:val="640"/>
          <w:marRight w:val="0"/>
          <w:marTop w:val="0"/>
          <w:marBottom w:val="0"/>
          <w:divBdr>
            <w:top w:val="none" w:sz="0" w:space="0" w:color="auto"/>
            <w:left w:val="none" w:sz="0" w:space="0" w:color="auto"/>
            <w:bottom w:val="none" w:sz="0" w:space="0" w:color="auto"/>
            <w:right w:val="none" w:sz="0" w:space="0" w:color="auto"/>
          </w:divBdr>
        </w:div>
        <w:div w:id="1371952653">
          <w:marLeft w:val="640"/>
          <w:marRight w:val="0"/>
          <w:marTop w:val="0"/>
          <w:marBottom w:val="0"/>
          <w:divBdr>
            <w:top w:val="none" w:sz="0" w:space="0" w:color="auto"/>
            <w:left w:val="none" w:sz="0" w:space="0" w:color="auto"/>
            <w:bottom w:val="none" w:sz="0" w:space="0" w:color="auto"/>
            <w:right w:val="none" w:sz="0" w:space="0" w:color="auto"/>
          </w:divBdr>
        </w:div>
        <w:div w:id="1373269866">
          <w:marLeft w:val="640"/>
          <w:marRight w:val="0"/>
          <w:marTop w:val="0"/>
          <w:marBottom w:val="0"/>
          <w:divBdr>
            <w:top w:val="none" w:sz="0" w:space="0" w:color="auto"/>
            <w:left w:val="none" w:sz="0" w:space="0" w:color="auto"/>
            <w:bottom w:val="none" w:sz="0" w:space="0" w:color="auto"/>
            <w:right w:val="none" w:sz="0" w:space="0" w:color="auto"/>
          </w:divBdr>
        </w:div>
        <w:div w:id="564488906">
          <w:marLeft w:val="640"/>
          <w:marRight w:val="0"/>
          <w:marTop w:val="0"/>
          <w:marBottom w:val="0"/>
          <w:divBdr>
            <w:top w:val="none" w:sz="0" w:space="0" w:color="auto"/>
            <w:left w:val="none" w:sz="0" w:space="0" w:color="auto"/>
            <w:bottom w:val="none" w:sz="0" w:space="0" w:color="auto"/>
            <w:right w:val="none" w:sz="0" w:space="0" w:color="auto"/>
          </w:divBdr>
        </w:div>
        <w:div w:id="421075200">
          <w:marLeft w:val="640"/>
          <w:marRight w:val="0"/>
          <w:marTop w:val="0"/>
          <w:marBottom w:val="0"/>
          <w:divBdr>
            <w:top w:val="none" w:sz="0" w:space="0" w:color="auto"/>
            <w:left w:val="none" w:sz="0" w:space="0" w:color="auto"/>
            <w:bottom w:val="none" w:sz="0" w:space="0" w:color="auto"/>
            <w:right w:val="none" w:sz="0" w:space="0" w:color="auto"/>
          </w:divBdr>
        </w:div>
        <w:div w:id="893392985">
          <w:marLeft w:val="640"/>
          <w:marRight w:val="0"/>
          <w:marTop w:val="0"/>
          <w:marBottom w:val="0"/>
          <w:divBdr>
            <w:top w:val="none" w:sz="0" w:space="0" w:color="auto"/>
            <w:left w:val="none" w:sz="0" w:space="0" w:color="auto"/>
            <w:bottom w:val="none" w:sz="0" w:space="0" w:color="auto"/>
            <w:right w:val="none" w:sz="0" w:space="0" w:color="auto"/>
          </w:divBdr>
        </w:div>
        <w:div w:id="586960536">
          <w:marLeft w:val="640"/>
          <w:marRight w:val="0"/>
          <w:marTop w:val="0"/>
          <w:marBottom w:val="0"/>
          <w:divBdr>
            <w:top w:val="none" w:sz="0" w:space="0" w:color="auto"/>
            <w:left w:val="none" w:sz="0" w:space="0" w:color="auto"/>
            <w:bottom w:val="none" w:sz="0" w:space="0" w:color="auto"/>
            <w:right w:val="none" w:sz="0" w:space="0" w:color="auto"/>
          </w:divBdr>
        </w:div>
        <w:div w:id="214318166">
          <w:marLeft w:val="640"/>
          <w:marRight w:val="0"/>
          <w:marTop w:val="0"/>
          <w:marBottom w:val="0"/>
          <w:divBdr>
            <w:top w:val="none" w:sz="0" w:space="0" w:color="auto"/>
            <w:left w:val="none" w:sz="0" w:space="0" w:color="auto"/>
            <w:bottom w:val="none" w:sz="0" w:space="0" w:color="auto"/>
            <w:right w:val="none" w:sz="0" w:space="0" w:color="auto"/>
          </w:divBdr>
        </w:div>
        <w:div w:id="1412195372">
          <w:marLeft w:val="640"/>
          <w:marRight w:val="0"/>
          <w:marTop w:val="0"/>
          <w:marBottom w:val="0"/>
          <w:divBdr>
            <w:top w:val="none" w:sz="0" w:space="0" w:color="auto"/>
            <w:left w:val="none" w:sz="0" w:space="0" w:color="auto"/>
            <w:bottom w:val="none" w:sz="0" w:space="0" w:color="auto"/>
            <w:right w:val="none" w:sz="0" w:space="0" w:color="auto"/>
          </w:divBdr>
        </w:div>
        <w:div w:id="170225367">
          <w:marLeft w:val="640"/>
          <w:marRight w:val="0"/>
          <w:marTop w:val="0"/>
          <w:marBottom w:val="0"/>
          <w:divBdr>
            <w:top w:val="none" w:sz="0" w:space="0" w:color="auto"/>
            <w:left w:val="none" w:sz="0" w:space="0" w:color="auto"/>
            <w:bottom w:val="none" w:sz="0" w:space="0" w:color="auto"/>
            <w:right w:val="none" w:sz="0" w:space="0" w:color="auto"/>
          </w:divBdr>
        </w:div>
        <w:div w:id="1268611687">
          <w:marLeft w:val="640"/>
          <w:marRight w:val="0"/>
          <w:marTop w:val="0"/>
          <w:marBottom w:val="0"/>
          <w:divBdr>
            <w:top w:val="none" w:sz="0" w:space="0" w:color="auto"/>
            <w:left w:val="none" w:sz="0" w:space="0" w:color="auto"/>
            <w:bottom w:val="none" w:sz="0" w:space="0" w:color="auto"/>
            <w:right w:val="none" w:sz="0" w:space="0" w:color="auto"/>
          </w:divBdr>
        </w:div>
        <w:div w:id="684602488">
          <w:marLeft w:val="640"/>
          <w:marRight w:val="0"/>
          <w:marTop w:val="0"/>
          <w:marBottom w:val="0"/>
          <w:divBdr>
            <w:top w:val="none" w:sz="0" w:space="0" w:color="auto"/>
            <w:left w:val="none" w:sz="0" w:space="0" w:color="auto"/>
            <w:bottom w:val="none" w:sz="0" w:space="0" w:color="auto"/>
            <w:right w:val="none" w:sz="0" w:space="0" w:color="auto"/>
          </w:divBdr>
        </w:div>
        <w:div w:id="663976341">
          <w:marLeft w:val="640"/>
          <w:marRight w:val="0"/>
          <w:marTop w:val="0"/>
          <w:marBottom w:val="0"/>
          <w:divBdr>
            <w:top w:val="none" w:sz="0" w:space="0" w:color="auto"/>
            <w:left w:val="none" w:sz="0" w:space="0" w:color="auto"/>
            <w:bottom w:val="none" w:sz="0" w:space="0" w:color="auto"/>
            <w:right w:val="none" w:sz="0" w:space="0" w:color="auto"/>
          </w:divBdr>
        </w:div>
        <w:div w:id="9333118">
          <w:marLeft w:val="640"/>
          <w:marRight w:val="0"/>
          <w:marTop w:val="0"/>
          <w:marBottom w:val="0"/>
          <w:divBdr>
            <w:top w:val="none" w:sz="0" w:space="0" w:color="auto"/>
            <w:left w:val="none" w:sz="0" w:space="0" w:color="auto"/>
            <w:bottom w:val="none" w:sz="0" w:space="0" w:color="auto"/>
            <w:right w:val="none" w:sz="0" w:space="0" w:color="auto"/>
          </w:divBdr>
        </w:div>
        <w:div w:id="1191917503">
          <w:marLeft w:val="640"/>
          <w:marRight w:val="0"/>
          <w:marTop w:val="0"/>
          <w:marBottom w:val="0"/>
          <w:divBdr>
            <w:top w:val="none" w:sz="0" w:space="0" w:color="auto"/>
            <w:left w:val="none" w:sz="0" w:space="0" w:color="auto"/>
            <w:bottom w:val="none" w:sz="0" w:space="0" w:color="auto"/>
            <w:right w:val="none" w:sz="0" w:space="0" w:color="auto"/>
          </w:divBdr>
        </w:div>
        <w:div w:id="353698022">
          <w:marLeft w:val="640"/>
          <w:marRight w:val="0"/>
          <w:marTop w:val="0"/>
          <w:marBottom w:val="0"/>
          <w:divBdr>
            <w:top w:val="none" w:sz="0" w:space="0" w:color="auto"/>
            <w:left w:val="none" w:sz="0" w:space="0" w:color="auto"/>
            <w:bottom w:val="none" w:sz="0" w:space="0" w:color="auto"/>
            <w:right w:val="none" w:sz="0" w:space="0" w:color="auto"/>
          </w:divBdr>
        </w:div>
        <w:div w:id="1350260403">
          <w:marLeft w:val="640"/>
          <w:marRight w:val="0"/>
          <w:marTop w:val="0"/>
          <w:marBottom w:val="0"/>
          <w:divBdr>
            <w:top w:val="none" w:sz="0" w:space="0" w:color="auto"/>
            <w:left w:val="none" w:sz="0" w:space="0" w:color="auto"/>
            <w:bottom w:val="none" w:sz="0" w:space="0" w:color="auto"/>
            <w:right w:val="none" w:sz="0" w:space="0" w:color="auto"/>
          </w:divBdr>
        </w:div>
        <w:div w:id="84770211">
          <w:marLeft w:val="640"/>
          <w:marRight w:val="0"/>
          <w:marTop w:val="0"/>
          <w:marBottom w:val="0"/>
          <w:divBdr>
            <w:top w:val="none" w:sz="0" w:space="0" w:color="auto"/>
            <w:left w:val="none" w:sz="0" w:space="0" w:color="auto"/>
            <w:bottom w:val="none" w:sz="0" w:space="0" w:color="auto"/>
            <w:right w:val="none" w:sz="0" w:space="0" w:color="auto"/>
          </w:divBdr>
        </w:div>
        <w:div w:id="820928049">
          <w:marLeft w:val="640"/>
          <w:marRight w:val="0"/>
          <w:marTop w:val="0"/>
          <w:marBottom w:val="0"/>
          <w:divBdr>
            <w:top w:val="none" w:sz="0" w:space="0" w:color="auto"/>
            <w:left w:val="none" w:sz="0" w:space="0" w:color="auto"/>
            <w:bottom w:val="none" w:sz="0" w:space="0" w:color="auto"/>
            <w:right w:val="none" w:sz="0" w:space="0" w:color="auto"/>
          </w:divBdr>
        </w:div>
        <w:div w:id="402458626">
          <w:marLeft w:val="640"/>
          <w:marRight w:val="0"/>
          <w:marTop w:val="0"/>
          <w:marBottom w:val="0"/>
          <w:divBdr>
            <w:top w:val="none" w:sz="0" w:space="0" w:color="auto"/>
            <w:left w:val="none" w:sz="0" w:space="0" w:color="auto"/>
            <w:bottom w:val="none" w:sz="0" w:space="0" w:color="auto"/>
            <w:right w:val="none" w:sz="0" w:space="0" w:color="auto"/>
          </w:divBdr>
        </w:div>
        <w:div w:id="1289707244">
          <w:marLeft w:val="640"/>
          <w:marRight w:val="0"/>
          <w:marTop w:val="0"/>
          <w:marBottom w:val="0"/>
          <w:divBdr>
            <w:top w:val="none" w:sz="0" w:space="0" w:color="auto"/>
            <w:left w:val="none" w:sz="0" w:space="0" w:color="auto"/>
            <w:bottom w:val="none" w:sz="0" w:space="0" w:color="auto"/>
            <w:right w:val="none" w:sz="0" w:space="0" w:color="auto"/>
          </w:divBdr>
        </w:div>
        <w:div w:id="638196103">
          <w:marLeft w:val="640"/>
          <w:marRight w:val="0"/>
          <w:marTop w:val="0"/>
          <w:marBottom w:val="0"/>
          <w:divBdr>
            <w:top w:val="none" w:sz="0" w:space="0" w:color="auto"/>
            <w:left w:val="none" w:sz="0" w:space="0" w:color="auto"/>
            <w:bottom w:val="none" w:sz="0" w:space="0" w:color="auto"/>
            <w:right w:val="none" w:sz="0" w:space="0" w:color="auto"/>
          </w:divBdr>
        </w:div>
        <w:div w:id="1110861470">
          <w:marLeft w:val="640"/>
          <w:marRight w:val="0"/>
          <w:marTop w:val="0"/>
          <w:marBottom w:val="0"/>
          <w:divBdr>
            <w:top w:val="none" w:sz="0" w:space="0" w:color="auto"/>
            <w:left w:val="none" w:sz="0" w:space="0" w:color="auto"/>
            <w:bottom w:val="none" w:sz="0" w:space="0" w:color="auto"/>
            <w:right w:val="none" w:sz="0" w:space="0" w:color="auto"/>
          </w:divBdr>
        </w:div>
        <w:div w:id="1322126526">
          <w:marLeft w:val="640"/>
          <w:marRight w:val="0"/>
          <w:marTop w:val="0"/>
          <w:marBottom w:val="0"/>
          <w:divBdr>
            <w:top w:val="none" w:sz="0" w:space="0" w:color="auto"/>
            <w:left w:val="none" w:sz="0" w:space="0" w:color="auto"/>
            <w:bottom w:val="none" w:sz="0" w:space="0" w:color="auto"/>
            <w:right w:val="none" w:sz="0" w:space="0" w:color="auto"/>
          </w:divBdr>
        </w:div>
        <w:div w:id="2137798346">
          <w:marLeft w:val="640"/>
          <w:marRight w:val="0"/>
          <w:marTop w:val="0"/>
          <w:marBottom w:val="0"/>
          <w:divBdr>
            <w:top w:val="none" w:sz="0" w:space="0" w:color="auto"/>
            <w:left w:val="none" w:sz="0" w:space="0" w:color="auto"/>
            <w:bottom w:val="none" w:sz="0" w:space="0" w:color="auto"/>
            <w:right w:val="none" w:sz="0" w:space="0" w:color="auto"/>
          </w:divBdr>
        </w:div>
        <w:div w:id="1037268549">
          <w:marLeft w:val="640"/>
          <w:marRight w:val="0"/>
          <w:marTop w:val="0"/>
          <w:marBottom w:val="0"/>
          <w:divBdr>
            <w:top w:val="none" w:sz="0" w:space="0" w:color="auto"/>
            <w:left w:val="none" w:sz="0" w:space="0" w:color="auto"/>
            <w:bottom w:val="none" w:sz="0" w:space="0" w:color="auto"/>
            <w:right w:val="none" w:sz="0" w:space="0" w:color="auto"/>
          </w:divBdr>
        </w:div>
        <w:div w:id="172645052">
          <w:marLeft w:val="640"/>
          <w:marRight w:val="0"/>
          <w:marTop w:val="0"/>
          <w:marBottom w:val="0"/>
          <w:divBdr>
            <w:top w:val="none" w:sz="0" w:space="0" w:color="auto"/>
            <w:left w:val="none" w:sz="0" w:space="0" w:color="auto"/>
            <w:bottom w:val="none" w:sz="0" w:space="0" w:color="auto"/>
            <w:right w:val="none" w:sz="0" w:space="0" w:color="auto"/>
          </w:divBdr>
        </w:div>
        <w:div w:id="936716105">
          <w:marLeft w:val="640"/>
          <w:marRight w:val="0"/>
          <w:marTop w:val="0"/>
          <w:marBottom w:val="0"/>
          <w:divBdr>
            <w:top w:val="none" w:sz="0" w:space="0" w:color="auto"/>
            <w:left w:val="none" w:sz="0" w:space="0" w:color="auto"/>
            <w:bottom w:val="none" w:sz="0" w:space="0" w:color="auto"/>
            <w:right w:val="none" w:sz="0" w:space="0" w:color="auto"/>
          </w:divBdr>
        </w:div>
        <w:div w:id="776413421">
          <w:marLeft w:val="640"/>
          <w:marRight w:val="0"/>
          <w:marTop w:val="0"/>
          <w:marBottom w:val="0"/>
          <w:divBdr>
            <w:top w:val="none" w:sz="0" w:space="0" w:color="auto"/>
            <w:left w:val="none" w:sz="0" w:space="0" w:color="auto"/>
            <w:bottom w:val="none" w:sz="0" w:space="0" w:color="auto"/>
            <w:right w:val="none" w:sz="0" w:space="0" w:color="auto"/>
          </w:divBdr>
        </w:div>
        <w:div w:id="467624891">
          <w:marLeft w:val="640"/>
          <w:marRight w:val="0"/>
          <w:marTop w:val="0"/>
          <w:marBottom w:val="0"/>
          <w:divBdr>
            <w:top w:val="none" w:sz="0" w:space="0" w:color="auto"/>
            <w:left w:val="none" w:sz="0" w:space="0" w:color="auto"/>
            <w:bottom w:val="none" w:sz="0" w:space="0" w:color="auto"/>
            <w:right w:val="none" w:sz="0" w:space="0" w:color="auto"/>
          </w:divBdr>
        </w:div>
        <w:div w:id="1539586451">
          <w:marLeft w:val="640"/>
          <w:marRight w:val="0"/>
          <w:marTop w:val="0"/>
          <w:marBottom w:val="0"/>
          <w:divBdr>
            <w:top w:val="none" w:sz="0" w:space="0" w:color="auto"/>
            <w:left w:val="none" w:sz="0" w:space="0" w:color="auto"/>
            <w:bottom w:val="none" w:sz="0" w:space="0" w:color="auto"/>
            <w:right w:val="none" w:sz="0" w:space="0" w:color="auto"/>
          </w:divBdr>
        </w:div>
        <w:div w:id="1249264800">
          <w:marLeft w:val="640"/>
          <w:marRight w:val="0"/>
          <w:marTop w:val="0"/>
          <w:marBottom w:val="0"/>
          <w:divBdr>
            <w:top w:val="none" w:sz="0" w:space="0" w:color="auto"/>
            <w:left w:val="none" w:sz="0" w:space="0" w:color="auto"/>
            <w:bottom w:val="none" w:sz="0" w:space="0" w:color="auto"/>
            <w:right w:val="none" w:sz="0" w:space="0" w:color="auto"/>
          </w:divBdr>
        </w:div>
        <w:div w:id="299505915">
          <w:marLeft w:val="640"/>
          <w:marRight w:val="0"/>
          <w:marTop w:val="0"/>
          <w:marBottom w:val="0"/>
          <w:divBdr>
            <w:top w:val="none" w:sz="0" w:space="0" w:color="auto"/>
            <w:left w:val="none" w:sz="0" w:space="0" w:color="auto"/>
            <w:bottom w:val="none" w:sz="0" w:space="0" w:color="auto"/>
            <w:right w:val="none" w:sz="0" w:space="0" w:color="auto"/>
          </w:divBdr>
        </w:div>
        <w:div w:id="696926894">
          <w:marLeft w:val="640"/>
          <w:marRight w:val="0"/>
          <w:marTop w:val="0"/>
          <w:marBottom w:val="0"/>
          <w:divBdr>
            <w:top w:val="none" w:sz="0" w:space="0" w:color="auto"/>
            <w:left w:val="none" w:sz="0" w:space="0" w:color="auto"/>
            <w:bottom w:val="none" w:sz="0" w:space="0" w:color="auto"/>
            <w:right w:val="none" w:sz="0" w:space="0" w:color="auto"/>
          </w:divBdr>
        </w:div>
        <w:div w:id="582572920">
          <w:marLeft w:val="640"/>
          <w:marRight w:val="0"/>
          <w:marTop w:val="0"/>
          <w:marBottom w:val="0"/>
          <w:divBdr>
            <w:top w:val="none" w:sz="0" w:space="0" w:color="auto"/>
            <w:left w:val="none" w:sz="0" w:space="0" w:color="auto"/>
            <w:bottom w:val="none" w:sz="0" w:space="0" w:color="auto"/>
            <w:right w:val="none" w:sz="0" w:space="0" w:color="auto"/>
          </w:divBdr>
        </w:div>
        <w:div w:id="742222412">
          <w:marLeft w:val="640"/>
          <w:marRight w:val="0"/>
          <w:marTop w:val="0"/>
          <w:marBottom w:val="0"/>
          <w:divBdr>
            <w:top w:val="none" w:sz="0" w:space="0" w:color="auto"/>
            <w:left w:val="none" w:sz="0" w:space="0" w:color="auto"/>
            <w:bottom w:val="none" w:sz="0" w:space="0" w:color="auto"/>
            <w:right w:val="none" w:sz="0" w:space="0" w:color="auto"/>
          </w:divBdr>
        </w:div>
        <w:div w:id="755395212">
          <w:marLeft w:val="640"/>
          <w:marRight w:val="0"/>
          <w:marTop w:val="0"/>
          <w:marBottom w:val="0"/>
          <w:divBdr>
            <w:top w:val="none" w:sz="0" w:space="0" w:color="auto"/>
            <w:left w:val="none" w:sz="0" w:space="0" w:color="auto"/>
            <w:bottom w:val="none" w:sz="0" w:space="0" w:color="auto"/>
            <w:right w:val="none" w:sz="0" w:space="0" w:color="auto"/>
          </w:divBdr>
        </w:div>
        <w:div w:id="200171682">
          <w:marLeft w:val="640"/>
          <w:marRight w:val="0"/>
          <w:marTop w:val="0"/>
          <w:marBottom w:val="0"/>
          <w:divBdr>
            <w:top w:val="none" w:sz="0" w:space="0" w:color="auto"/>
            <w:left w:val="none" w:sz="0" w:space="0" w:color="auto"/>
            <w:bottom w:val="none" w:sz="0" w:space="0" w:color="auto"/>
            <w:right w:val="none" w:sz="0" w:space="0" w:color="auto"/>
          </w:divBdr>
        </w:div>
        <w:div w:id="77605743">
          <w:marLeft w:val="640"/>
          <w:marRight w:val="0"/>
          <w:marTop w:val="0"/>
          <w:marBottom w:val="0"/>
          <w:divBdr>
            <w:top w:val="none" w:sz="0" w:space="0" w:color="auto"/>
            <w:left w:val="none" w:sz="0" w:space="0" w:color="auto"/>
            <w:bottom w:val="none" w:sz="0" w:space="0" w:color="auto"/>
            <w:right w:val="none" w:sz="0" w:space="0" w:color="auto"/>
          </w:divBdr>
        </w:div>
        <w:div w:id="1243373497">
          <w:marLeft w:val="640"/>
          <w:marRight w:val="0"/>
          <w:marTop w:val="0"/>
          <w:marBottom w:val="0"/>
          <w:divBdr>
            <w:top w:val="none" w:sz="0" w:space="0" w:color="auto"/>
            <w:left w:val="none" w:sz="0" w:space="0" w:color="auto"/>
            <w:bottom w:val="none" w:sz="0" w:space="0" w:color="auto"/>
            <w:right w:val="none" w:sz="0" w:space="0" w:color="auto"/>
          </w:divBdr>
        </w:div>
        <w:div w:id="1193958855">
          <w:marLeft w:val="640"/>
          <w:marRight w:val="0"/>
          <w:marTop w:val="0"/>
          <w:marBottom w:val="0"/>
          <w:divBdr>
            <w:top w:val="none" w:sz="0" w:space="0" w:color="auto"/>
            <w:left w:val="none" w:sz="0" w:space="0" w:color="auto"/>
            <w:bottom w:val="none" w:sz="0" w:space="0" w:color="auto"/>
            <w:right w:val="none" w:sz="0" w:space="0" w:color="auto"/>
          </w:divBdr>
        </w:div>
        <w:div w:id="619536898">
          <w:marLeft w:val="640"/>
          <w:marRight w:val="0"/>
          <w:marTop w:val="0"/>
          <w:marBottom w:val="0"/>
          <w:divBdr>
            <w:top w:val="none" w:sz="0" w:space="0" w:color="auto"/>
            <w:left w:val="none" w:sz="0" w:space="0" w:color="auto"/>
            <w:bottom w:val="none" w:sz="0" w:space="0" w:color="auto"/>
            <w:right w:val="none" w:sz="0" w:space="0" w:color="auto"/>
          </w:divBdr>
        </w:div>
        <w:div w:id="845555431">
          <w:marLeft w:val="640"/>
          <w:marRight w:val="0"/>
          <w:marTop w:val="0"/>
          <w:marBottom w:val="0"/>
          <w:divBdr>
            <w:top w:val="none" w:sz="0" w:space="0" w:color="auto"/>
            <w:left w:val="none" w:sz="0" w:space="0" w:color="auto"/>
            <w:bottom w:val="none" w:sz="0" w:space="0" w:color="auto"/>
            <w:right w:val="none" w:sz="0" w:space="0" w:color="auto"/>
          </w:divBdr>
        </w:div>
        <w:div w:id="1874265875">
          <w:marLeft w:val="640"/>
          <w:marRight w:val="0"/>
          <w:marTop w:val="0"/>
          <w:marBottom w:val="0"/>
          <w:divBdr>
            <w:top w:val="none" w:sz="0" w:space="0" w:color="auto"/>
            <w:left w:val="none" w:sz="0" w:space="0" w:color="auto"/>
            <w:bottom w:val="none" w:sz="0" w:space="0" w:color="auto"/>
            <w:right w:val="none" w:sz="0" w:space="0" w:color="auto"/>
          </w:divBdr>
        </w:div>
      </w:divsChild>
    </w:div>
    <w:div w:id="1005665429">
      <w:bodyDiv w:val="1"/>
      <w:marLeft w:val="0"/>
      <w:marRight w:val="0"/>
      <w:marTop w:val="0"/>
      <w:marBottom w:val="0"/>
      <w:divBdr>
        <w:top w:val="none" w:sz="0" w:space="0" w:color="auto"/>
        <w:left w:val="none" w:sz="0" w:space="0" w:color="auto"/>
        <w:bottom w:val="none" w:sz="0" w:space="0" w:color="auto"/>
        <w:right w:val="none" w:sz="0" w:space="0" w:color="auto"/>
      </w:divBdr>
      <w:divsChild>
        <w:div w:id="238638564">
          <w:marLeft w:val="640"/>
          <w:marRight w:val="0"/>
          <w:marTop w:val="0"/>
          <w:marBottom w:val="0"/>
          <w:divBdr>
            <w:top w:val="none" w:sz="0" w:space="0" w:color="auto"/>
            <w:left w:val="none" w:sz="0" w:space="0" w:color="auto"/>
            <w:bottom w:val="none" w:sz="0" w:space="0" w:color="auto"/>
            <w:right w:val="none" w:sz="0" w:space="0" w:color="auto"/>
          </w:divBdr>
        </w:div>
        <w:div w:id="767701969">
          <w:marLeft w:val="640"/>
          <w:marRight w:val="0"/>
          <w:marTop w:val="0"/>
          <w:marBottom w:val="0"/>
          <w:divBdr>
            <w:top w:val="none" w:sz="0" w:space="0" w:color="auto"/>
            <w:left w:val="none" w:sz="0" w:space="0" w:color="auto"/>
            <w:bottom w:val="none" w:sz="0" w:space="0" w:color="auto"/>
            <w:right w:val="none" w:sz="0" w:space="0" w:color="auto"/>
          </w:divBdr>
        </w:div>
        <w:div w:id="434593619">
          <w:marLeft w:val="640"/>
          <w:marRight w:val="0"/>
          <w:marTop w:val="0"/>
          <w:marBottom w:val="0"/>
          <w:divBdr>
            <w:top w:val="none" w:sz="0" w:space="0" w:color="auto"/>
            <w:left w:val="none" w:sz="0" w:space="0" w:color="auto"/>
            <w:bottom w:val="none" w:sz="0" w:space="0" w:color="auto"/>
            <w:right w:val="none" w:sz="0" w:space="0" w:color="auto"/>
          </w:divBdr>
        </w:div>
        <w:div w:id="710497568">
          <w:marLeft w:val="640"/>
          <w:marRight w:val="0"/>
          <w:marTop w:val="0"/>
          <w:marBottom w:val="0"/>
          <w:divBdr>
            <w:top w:val="none" w:sz="0" w:space="0" w:color="auto"/>
            <w:left w:val="none" w:sz="0" w:space="0" w:color="auto"/>
            <w:bottom w:val="none" w:sz="0" w:space="0" w:color="auto"/>
            <w:right w:val="none" w:sz="0" w:space="0" w:color="auto"/>
          </w:divBdr>
        </w:div>
        <w:div w:id="1411274197">
          <w:marLeft w:val="640"/>
          <w:marRight w:val="0"/>
          <w:marTop w:val="0"/>
          <w:marBottom w:val="0"/>
          <w:divBdr>
            <w:top w:val="none" w:sz="0" w:space="0" w:color="auto"/>
            <w:left w:val="none" w:sz="0" w:space="0" w:color="auto"/>
            <w:bottom w:val="none" w:sz="0" w:space="0" w:color="auto"/>
            <w:right w:val="none" w:sz="0" w:space="0" w:color="auto"/>
          </w:divBdr>
        </w:div>
        <w:div w:id="410583812">
          <w:marLeft w:val="640"/>
          <w:marRight w:val="0"/>
          <w:marTop w:val="0"/>
          <w:marBottom w:val="0"/>
          <w:divBdr>
            <w:top w:val="none" w:sz="0" w:space="0" w:color="auto"/>
            <w:left w:val="none" w:sz="0" w:space="0" w:color="auto"/>
            <w:bottom w:val="none" w:sz="0" w:space="0" w:color="auto"/>
            <w:right w:val="none" w:sz="0" w:space="0" w:color="auto"/>
          </w:divBdr>
        </w:div>
        <w:div w:id="401295236">
          <w:marLeft w:val="640"/>
          <w:marRight w:val="0"/>
          <w:marTop w:val="0"/>
          <w:marBottom w:val="0"/>
          <w:divBdr>
            <w:top w:val="none" w:sz="0" w:space="0" w:color="auto"/>
            <w:left w:val="none" w:sz="0" w:space="0" w:color="auto"/>
            <w:bottom w:val="none" w:sz="0" w:space="0" w:color="auto"/>
            <w:right w:val="none" w:sz="0" w:space="0" w:color="auto"/>
          </w:divBdr>
        </w:div>
        <w:div w:id="1763259090">
          <w:marLeft w:val="640"/>
          <w:marRight w:val="0"/>
          <w:marTop w:val="0"/>
          <w:marBottom w:val="0"/>
          <w:divBdr>
            <w:top w:val="none" w:sz="0" w:space="0" w:color="auto"/>
            <w:left w:val="none" w:sz="0" w:space="0" w:color="auto"/>
            <w:bottom w:val="none" w:sz="0" w:space="0" w:color="auto"/>
            <w:right w:val="none" w:sz="0" w:space="0" w:color="auto"/>
          </w:divBdr>
        </w:div>
        <w:div w:id="1211184918">
          <w:marLeft w:val="640"/>
          <w:marRight w:val="0"/>
          <w:marTop w:val="0"/>
          <w:marBottom w:val="0"/>
          <w:divBdr>
            <w:top w:val="none" w:sz="0" w:space="0" w:color="auto"/>
            <w:left w:val="none" w:sz="0" w:space="0" w:color="auto"/>
            <w:bottom w:val="none" w:sz="0" w:space="0" w:color="auto"/>
            <w:right w:val="none" w:sz="0" w:space="0" w:color="auto"/>
          </w:divBdr>
        </w:div>
        <w:div w:id="553734571">
          <w:marLeft w:val="640"/>
          <w:marRight w:val="0"/>
          <w:marTop w:val="0"/>
          <w:marBottom w:val="0"/>
          <w:divBdr>
            <w:top w:val="none" w:sz="0" w:space="0" w:color="auto"/>
            <w:left w:val="none" w:sz="0" w:space="0" w:color="auto"/>
            <w:bottom w:val="none" w:sz="0" w:space="0" w:color="auto"/>
            <w:right w:val="none" w:sz="0" w:space="0" w:color="auto"/>
          </w:divBdr>
        </w:div>
        <w:div w:id="2060470423">
          <w:marLeft w:val="640"/>
          <w:marRight w:val="0"/>
          <w:marTop w:val="0"/>
          <w:marBottom w:val="0"/>
          <w:divBdr>
            <w:top w:val="none" w:sz="0" w:space="0" w:color="auto"/>
            <w:left w:val="none" w:sz="0" w:space="0" w:color="auto"/>
            <w:bottom w:val="none" w:sz="0" w:space="0" w:color="auto"/>
            <w:right w:val="none" w:sz="0" w:space="0" w:color="auto"/>
          </w:divBdr>
        </w:div>
        <w:div w:id="20055497">
          <w:marLeft w:val="640"/>
          <w:marRight w:val="0"/>
          <w:marTop w:val="0"/>
          <w:marBottom w:val="0"/>
          <w:divBdr>
            <w:top w:val="none" w:sz="0" w:space="0" w:color="auto"/>
            <w:left w:val="none" w:sz="0" w:space="0" w:color="auto"/>
            <w:bottom w:val="none" w:sz="0" w:space="0" w:color="auto"/>
            <w:right w:val="none" w:sz="0" w:space="0" w:color="auto"/>
          </w:divBdr>
        </w:div>
        <w:div w:id="497385453">
          <w:marLeft w:val="640"/>
          <w:marRight w:val="0"/>
          <w:marTop w:val="0"/>
          <w:marBottom w:val="0"/>
          <w:divBdr>
            <w:top w:val="none" w:sz="0" w:space="0" w:color="auto"/>
            <w:left w:val="none" w:sz="0" w:space="0" w:color="auto"/>
            <w:bottom w:val="none" w:sz="0" w:space="0" w:color="auto"/>
            <w:right w:val="none" w:sz="0" w:space="0" w:color="auto"/>
          </w:divBdr>
        </w:div>
        <w:div w:id="1652905124">
          <w:marLeft w:val="640"/>
          <w:marRight w:val="0"/>
          <w:marTop w:val="0"/>
          <w:marBottom w:val="0"/>
          <w:divBdr>
            <w:top w:val="none" w:sz="0" w:space="0" w:color="auto"/>
            <w:left w:val="none" w:sz="0" w:space="0" w:color="auto"/>
            <w:bottom w:val="none" w:sz="0" w:space="0" w:color="auto"/>
            <w:right w:val="none" w:sz="0" w:space="0" w:color="auto"/>
          </w:divBdr>
        </w:div>
        <w:div w:id="251747163">
          <w:marLeft w:val="640"/>
          <w:marRight w:val="0"/>
          <w:marTop w:val="0"/>
          <w:marBottom w:val="0"/>
          <w:divBdr>
            <w:top w:val="none" w:sz="0" w:space="0" w:color="auto"/>
            <w:left w:val="none" w:sz="0" w:space="0" w:color="auto"/>
            <w:bottom w:val="none" w:sz="0" w:space="0" w:color="auto"/>
            <w:right w:val="none" w:sz="0" w:space="0" w:color="auto"/>
          </w:divBdr>
        </w:div>
        <w:div w:id="1213272386">
          <w:marLeft w:val="640"/>
          <w:marRight w:val="0"/>
          <w:marTop w:val="0"/>
          <w:marBottom w:val="0"/>
          <w:divBdr>
            <w:top w:val="none" w:sz="0" w:space="0" w:color="auto"/>
            <w:left w:val="none" w:sz="0" w:space="0" w:color="auto"/>
            <w:bottom w:val="none" w:sz="0" w:space="0" w:color="auto"/>
            <w:right w:val="none" w:sz="0" w:space="0" w:color="auto"/>
          </w:divBdr>
        </w:div>
        <w:div w:id="1945310105">
          <w:marLeft w:val="640"/>
          <w:marRight w:val="0"/>
          <w:marTop w:val="0"/>
          <w:marBottom w:val="0"/>
          <w:divBdr>
            <w:top w:val="none" w:sz="0" w:space="0" w:color="auto"/>
            <w:left w:val="none" w:sz="0" w:space="0" w:color="auto"/>
            <w:bottom w:val="none" w:sz="0" w:space="0" w:color="auto"/>
            <w:right w:val="none" w:sz="0" w:space="0" w:color="auto"/>
          </w:divBdr>
        </w:div>
        <w:div w:id="38672782">
          <w:marLeft w:val="640"/>
          <w:marRight w:val="0"/>
          <w:marTop w:val="0"/>
          <w:marBottom w:val="0"/>
          <w:divBdr>
            <w:top w:val="none" w:sz="0" w:space="0" w:color="auto"/>
            <w:left w:val="none" w:sz="0" w:space="0" w:color="auto"/>
            <w:bottom w:val="none" w:sz="0" w:space="0" w:color="auto"/>
            <w:right w:val="none" w:sz="0" w:space="0" w:color="auto"/>
          </w:divBdr>
        </w:div>
        <w:div w:id="515923642">
          <w:marLeft w:val="640"/>
          <w:marRight w:val="0"/>
          <w:marTop w:val="0"/>
          <w:marBottom w:val="0"/>
          <w:divBdr>
            <w:top w:val="none" w:sz="0" w:space="0" w:color="auto"/>
            <w:left w:val="none" w:sz="0" w:space="0" w:color="auto"/>
            <w:bottom w:val="none" w:sz="0" w:space="0" w:color="auto"/>
            <w:right w:val="none" w:sz="0" w:space="0" w:color="auto"/>
          </w:divBdr>
        </w:div>
        <w:div w:id="1303581463">
          <w:marLeft w:val="640"/>
          <w:marRight w:val="0"/>
          <w:marTop w:val="0"/>
          <w:marBottom w:val="0"/>
          <w:divBdr>
            <w:top w:val="none" w:sz="0" w:space="0" w:color="auto"/>
            <w:left w:val="none" w:sz="0" w:space="0" w:color="auto"/>
            <w:bottom w:val="none" w:sz="0" w:space="0" w:color="auto"/>
            <w:right w:val="none" w:sz="0" w:space="0" w:color="auto"/>
          </w:divBdr>
        </w:div>
        <w:div w:id="1318607465">
          <w:marLeft w:val="640"/>
          <w:marRight w:val="0"/>
          <w:marTop w:val="0"/>
          <w:marBottom w:val="0"/>
          <w:divBdr>
            <w:top w:val="none" w:sz="0" w:space="0" w:color="auto"/>
            <w:left w:val="none" w:sz="0" w:space="0" w:color="auto"/>
            <w:bottom w:val="none" w:sz="0" w:space="0" w:color="auto"/>
            <w:right w:val="none" w:sz="0" w:space="0" w:color="auto"/>
          </w:divBdr>
        </w:div>
        <w:div w:id="1065031622">
          <w:marLeft w:val="640"/>
          <w:marRight w:val="0"/>
          <w:marTop w:val="0"/>
          <w:marBottom w:val="0"/>
          <w:divBdr>
            <w:top w:val="none" w:sz="0" w:space="0" w:color="auto"/>
            <w:left w:val="none" w:sz="0" w:space="0" w:color="auto"/>
            <w:bottom w:val="none" w:sz="0" w:space="0" w:color="auto"/>
            <w:right w:val="none" w:sz="0" w:space="0" w:color="auto"/>
          </w:divBdr>
        </w:div>
        <w:div w:id="1252162829">
          <w:marLeft w:val="640"/>
          <w:marRight w:val="0"/>
          <w:marTop w:val="0"/>
          <w:marBottom w:val="0"/>
          <w:divBdr>
            <w:top w:val="none" w:sz="0" w:space="0" w:color="auto"/>
            <w:left w:val="none" w:sz="0" w:space="0" w:color="auto"/>
            <w:bottom w:val="none" w:sz="0" w:space="0" w:color="auto"/>
            <w:right w:val="none" w:sz="0" w:space="0" w:color="auto"/>
          </w:divBdr>
        </w:div>
        <w:div w:id="1159810098">
          <w:marLeft w:val="640"/>
          <w:marRight w:val="0"/>
          <w:marTop w:val="0"/>
          <w:marBottom w:val="0"/>
          <w:divBdr>
            <w:top w:val="none" w:sz="0" w:space="0" w:color="auto"/>
            <w:left w:val="none" w:sz="0" w:space="0" w:color="auto"/>
            <w:bottom w:val="none" w:sz="0" w:space="0" w:color="auto"/>
            <w:right w:val="none" w:sz="0" w:space="0" w:color="auto"/>
          </w:divBdr>
        </w:div>
        <w:div w:id="1665889582">
          <w:marLeft w:val="640"/>
          <w:marRight w:val="0"/>
          <w:marTop w:val="0"/>
          <w:marBottom w:val="0"/>
          <w:divBdr>
            <w:top w:val="none" w:sz="0" w:space="0" w:color="auto"/>
            <w:left w:val="none" w:sz="0" w:space="0" w:color="auto"/>
            <w:bottom w:val="none" w:sz="0" w:space="0" w:color="auto"/>
            <w:right w:val="none" w:sz="0" w:space="0" w:color="auto"/>
          </w:divBdr>
        </w:div>
        <w:div w:id="1547521241">
          <w:marLeft w:val="640"/>
          <w:marRight w:val="0"/>
          <w:marTop w:val="0"/>
          <w:marBottom w:val="0"/>
          <w:divBdr>
            <w:top w:val="none" w:sz="0" w:space="0" w:color="auto"/>
            <w:left w:val="none" w:sz="0" w:space="0" w:color="auto"/>
            <w:bottom w:val="none" w:sz="0" w:space="0" w:color="auto"/>
            <w:right w:val="none" w:sz="0" w:space="0" w:color="auto"/>
          </w:divBdr>
        </w:div>
        <w:div w:id="905340279">
          <w:marLeft w:val="640"/>
          <w:marRight w:val="0"/>
          <w:marTop w:val="0"/>
          <w:marBottom w:val="0"/>
          <w:divBdr>
            <w:top w:val="none" w:sz="0" w:space="0" w:color="auto"/>
            <w:left w:val="none" w:sz="0" w:space="0" w:color="auto"/>
            <w:bottom w:val="none" w:sz="0" w:space="0" w:color="auto"/>
            <w:right w:val="none" w:sz="0" w:space="0" w:color="auto"/>
          </w:divBdr>
        </w:div>
        <w:div w:id="1880583838">
          <w:marLeft w:val="640"/>
          <w:marRight w:val="0"/>
          <w:marTop w:val="0"/>
          <w:marBottom w:val="0"/>
          <w:divBdr>
            <w:top w:val="none" w:sz="0" w:space="0" w:color="auto"/>
            <w:left w:val="none" w:sz="0" w:space="0" w:color="auto"/>
            <w:bottom w:val="none" w:sz="0" w:space="0" w:color="auto"/>
            <w:right w:val="none" w:sz="0" w:space="0" w:color="auto"/>
          </w:divBdr>
        </w:div>
        <w:div w:id="1572546485">
          <w:marLeft w:val="640"/>
          <w:marRight w:val="0"/>
          <w:marTop w:val="0"/>
          <w:marBottom w:val="0"/>
          <w:divBdr>
            <w:top w:val="none" w:sz="0" w:space="0" w:color="auto"/>
            <w:left w:val="none" w:sz="0" w:space="0" w:color="auto"/>
            <w:bottom w:val="none" w:sz="0" w:space="0" w:color="auto"/>
            <w:right w:val="none" w:sz="0" w:space="0" w:color="auto"/>
          </w:divBdr>
        </w:div>
        <w:div w:id="18286384">
          <w:marLeft w:val="640"/>
          <w:marRight w:val="0"/>
          <w:marTop w:val="0"/>
          <w:marBottom w:val="0"/>
          <w:divBdr>
            <w:top w:val="none" w:sz="0" w:space="0" w:color="auto"/>
            <w:left w:val="none" w:sz="0" w:space="0" w:color="auto"/>
            <w:bottom w:val="none" w:sz="0" w:space="0" w:color="auto"/>
            <w:right w:val="none" w:sz="0" w:space="0" w:color="auto"/>
          </w:divBdr>
        </w:div>
        <w:div w:id="155802240">
          <w:marLeft w:val="640"/>
          <w:marRight w:val="0"/>
          <w:marTop w:val="0"/>
          <w:marBottom w:val="0"/>
          <w:divBdr>
            <w:top w:val="none" w:sz="0" w:space="0" w:color="auto"/>
            <w:left w:val="none" w:sz="0" w:space="0" w:color="auto"/>
            <w:bottom w:val="none" w:sz="0" w:space="0" w:color="auto"/>
            <w:right w:val="none" w:sz="0" w:space="0" w:color="auto"/>
          </w:divBdr>
        </w:div>
        <w:div w:id="704213948">
          <w:marLeft w:val="640"/>
          <w:marRight w:val="0"/>
          <w:marTop w:val="0"/>
          <w:marBottom w:val="0"/>
          <w:divBdr>
            <w:top w:val="none" w:sz="0" w:space="0" w:color="auto"/>
            <w:left w:val="none" w:sz="0" w:space="0" w:color="auto"/>
            <w:bottom w:val="none" w:sz="0" w:space="0" w:color="auto"/>
            <w:right w:val="none" w:sz="0" w:space="0" w:color="auto"/>
          </w:divBdr>
        </w:div>
        <w:div w:id="99037355">
          <w:marLeft w:val="640"/>
          <w:marRight w:val="0"/>
          <w:marTop w:val="0"/>
          <w:marBottom w:val="0"/>
          <w:divBdr>
            <w:top w:val="none" w:sz="0" w:space="0" w:color="auto"/>
            <w:left w:val="none" w:sz="0" w:space="0" w:color="auto"/>
            <w:bottom w:val="none" w:sz="0" w:space="0" w:color="auto"/>
            <w:right w:val="none" w:sz="0" w:space="0" w:color="auto"/>
          </w:divBdr>
        </w:div>
        <w:div w:id="699480166">
          <w:marLeft w:val="640"/>
          <w:marRight w:val="0"/>
          <w:marTop w:val="0"/>
          <w:marBottom w:val="0"/>
          <w:divBdr>
            <w:top w:val="none" w:sz="0" w:space="0" w:color="auto"/>
            <w:left w:val="none" w:sz="0" w:space="0" w:color="auto"/>
            <w:bottom w:val="none" w:sz="0" w:space="0" w:color="auto"/>
            <w:right w:val="none" w:sz="0" w:space="0" w:color="auto"/>
          </w:divBdr>
        </w:div>
        <w:div w:id="720598169">
          <w:marLeft w:val="640"/>
          <w:marRight w:val="0"/>
          <w:marTop w:val="0"/>
          <w:marBottom w:val="0"/>
          <w:divBdr>
            <w:top w:val="none" w:sz="0" w:space="0" w:color="auto"/>
            <w:left w:val="none" w:sz="0" w:space="0" w:color="auto"/>
            <w:bottom w:val="none" w:sz="0" w:space="0" w:color="auto"/>
            <w:right w:val="none" w:sz="0" w:space="0" w:color="auto"/>
          </w:divBdr>
        </w:div>
        <w:div w:id="73666676">
          <w:marLeft w:val="640"/>
          <w:marRight w:val="0"/>
          <w:marTop w:val="0"/>
          <w:marBottom w:val="0"/>
          <w:divBdr>
            <w:top w:val="none" w:sz="0" w:space="0" w:color="auto"/>
            <w:left w:val="none" w:sz="0" w:space="0" w:color="auto"/>
            <w:bottom w:val="none" w:sz="0" w:space="0" w:color="auto"/>
            <w:right w:val="none" w:sz="0" w:space="0" w:color="auto"/>
          </w:divBdr>
        </w:div>
        <w:div w:id="811363200">
          <w:marLeft w:val="640"/>
          <w:marRight w:val="0"/>
          <w:marTop w:val="0"/>
          <w:marBottom w:val="0"/>
          <w:divBdr>
            <w:top w:val="none" w:sz="0" w:space="0" w:color="auto"/>
            <w:left w:val="none" w:sz="0" w:space="0" w:color="auto"/>
            <w:bottom w:val="none" w:sz="0" w:space="0" w:color="auto"/>
            <w:right w:val="none" w:sz="0" w:space="0" w:color="auto"/>
          </w:divBdr>
        </w:div>
        <w:div w:id="1183469223">
          <w:marLeft w:val="640"/>
          <w:marRight w:val="0"/>
          <w:marTop w:val="0"/>
          <w:marBottom w:val="0"/>
          <w:divBdr>
            <w:top w:val="none" w:sz="0" w:space="0" w:color="auto"/>
            <w:left w:val="none" w:sz="0" w:space="0" w:color="auto"/>
            <w:bottom w:val="none" w:sz="0" w:space="0" w:color="auto"/>
            <w:right w:val="none" w:sz="0" w:space="0" w:color="auto"/>
          </w:divBdr>
        </w:div>
        <w:div w:id="1504854527">
          <w:marLeft w:val="640"/>
          <w:marRight w:val="0"/>
          <w:marTop w:val="0"/>
          <w:marBottom w:val="0"/>
          <w:divBdr>
            <w:top w:val="none" w:sz="0" w:space="0" w:color="auto"/>
            <w:left w:val="none" w:sz="0" w:space="0" w:color="auto"/>
            <w:bottom w:val="none" w:sz="0" w:space="0" w:color="auto"/>
            <w:right w:val="none" w:sz="0" w:space="0" w:color="auto"/>
          </w:divBdr>
        </w:div>
        <w:div w:id="1761490436">
          <w:marLeft w:val="640"/>
          <w:marRight w:val="0"/>
          <w:marTop w:val="0"/>
          <w:marBottom w:val="0"/>
          <w:divBdr>
            <w:top w:val="none" w:sz="0" w:space="0" w:color="auto"/>
            <w:left w:val="none" w:sz="0" w:space="0" w:color="auto"/>
            <w:bottom w:val="none" w:sz="0" w:space="0" w:color="auto"/>
            <w:right w:val="none" w:sz="0" w:space="0" w:color="auto"/>
          </w:divBdr>
        </w:div>
        <w:div w:id="483938362">
          <w:marLeft w:val="640"/>
          <w:marRight w:val="0"/>
          <w:marTop w:val="0"/>
          <w:marBottom w:val="0"/>
          <w:divBdr>
            <w:top w:val="none" w:sz="0" w:space="0" w:color="auto"/>
            <w:left w:val="none" w:sz="0" w:space="0" w:color="auto"/>
            <w:bottom w:val="none" w:sz="0" w:space="0" w:color="auto"/>
            <w:right w:val="none" w:sz="0" w:space="0" w:color="auto"/>
          </w:divBdr>
        </w:div>
        <w:div w:id="615137754">
          <w:marLeft w:val="640"/>
          <w:marRight w:val="0"/>
          <w:marTop w:val="0"/>
          <w:marBottom w:val="0"/>
          <w:divBdr>
            <w:top w:val="none" w:sz="0" w:space="0" w:color="auto"/>
            <w:left w:val="none" w:sz="0" w:space="0" w:color="auto"/>
            <w:bottom w:val="none" w:sz="0" w:space="0" w:color="auto"/>
            <w:right w:val="none" w:sz="0" w:space="0" w:color="auto"/>
          </w:divBdr>
        </w:div>
        <w:div w:id="1428500911">
          <w:marLeft w:val="640"/>
          <w:marRight w:val="0"/>
          <w:marTop w:val="0"/>
          <w:marBottom w:val="0"/>
          <w:divBdr>
            <w:top w:val="none" w:sz="0" w:space="0" w:color="auto"/>
            <w:left w:val="none" w:sz="0" w:space="0" w:color="auto"/>
            <w:bottom w:val="none" w:sz="0" w:space="0" w:color="auto"/>
            <w:right w:val="none" w:sz="0" w:space="0" w:color="auto"/>
          </w:divBdr>
        </w:div>
        <w:div w:id="2146116780">
          <w:marLeft w:val="640"/>
          <w:marRight w:val="0"/>
          <w:marTop w:val="0"/>
          <w:marBottom w:val="0"/>
          <w:divBdr>
            <w:top w:val="none" w:sz="0" w:space="0" w:color="auto"/>
            <w:left w:val="none" w:sz="0" w:space="0" w:color="auto"/>
            <w:bottom w:val="none" w:sz="0" w:space="0" w:color="auto"/>
            <w:right w:val="none" w:sz="0" w:space="0" w:color="auto"/>
          </w:divBdr>
        </w:div>
        <w:div w:id="861624784">
          <w:marLeft w:val="640"/>
          <w:marRight w:val="0"/>
          <w:marTop w:val="0"/>
          <w:marBottom w:val="0"/>
          <w:divBdr>
            <w:top w:val="none" w:sz="0" w:space="0" w:color="auto"/>
            <w:left w:val="none" w:sz="0" w:space="0" w:color="auto"/>
            <w:bottom w:val="none" w:sz="0" w:space="0" w:color="auto"/>
            <w:right w:val="none" w:sz="0" w:space="0" w:color="auto"/>
          </w:divBdr>
        </w:div>
        <w:div w:id="660819221">
          <w:marLeft w:val="640"/>
          <w:marRight w:val="0"/>
          <w:marTop w:val="0"/>
          <w:marBottom w:val="0"/>
          <w:divBdr>
            <w:top w:val="none" w:sz="0" w:space="0" w:color="auto"/>
            <w:left w:val="none" w:sz="0" w:space="0" w:color="auto"/>
            <w:bottom w:val="none" w:sz="0" w:space="0" w:color="auto"/>
            <w:right w:val="none" w:sz="0" w:space="0" w:color="auto"/>
          </w:divBdr>
        </w:div>
        <w:div w:id="311755289">
          <w:marLeft w:val="640"/>
          <w:marRight w:val="0"/>
          <w:marTop w:val="0"/>
          <w:marBottom w:val="0"/>
          <w:divBdr>
            <w:top w:val="none" w:sz="0" w:space="0" w:color="auto"/>
            <w:left w:val="none" w:sz="0" w:space="0" w:color="auto"/>
            <w:bottom w:val="none" w:sz="0" w:space="0" w:color="auto"/>
            <w:right w:val="none" w:sz="0" w:space="0" w:color="auto"/>
          </w:divBdr>
        </w:div>
        <w:div w:id="644314269">
          <w:marLeft w:val="640"/>
          <w:marRight w:val="0"/>
          <w:marTop w:val="0"/>
          <w:marBottom w:val="0"/>
          <w:divBdr>
            <w:top w:val="none" w:sz="0" w:space="0" w:color="auto"/>
            <w:left w:val="none" w:sz="0" w:space="0" w:color="auto"/>
            <w:bottom w:val="none" w:sz="0" w:space="0" w:color="auto"/>
            <w:right w:val="none" w:sz="0" w:space="0" w:color="auto"/>
          </w:divBdr>
        </w:div>
        <w:div w:id="2011759866">
          <w:marLeft w:val="640"/>
          <w:marRight w:val="0"/>
          <w:marTop w:val="0"/>
          <w:marBottom w:val="0"/>
          <w:divBdr>
            <w:top w:val="none" w:sz="0" w:space="0" w:color="auto"/>
            <w:left w:val="none" w:sz="0" w:space="0" w:color="auto"/>
            <w:bottom w:val="none" w:sz="0" w:space="0" w:color="auto"/>
            <w:right w:val="none" w:sz="0" w:space="0" w:color="auto"/>
          </w:divBdr>
        </w:div>
        <w:div w:id="1973093622">
          <w:marLeft w:val="640"/>
          <w:marRight w:val="0"/>
          <w:marTop w:val="0"/>
          <w:marBottom w:val="0"/>
          <w:divBdr>
            <w:top w:val="none" w:sz="0" w:space="0" w:color="auto"/>
            <w:left w:val="none" w:sz="0" w:space="0" w:color="auto"/>
            <w:bottom w:val="none" w:sz="0" w:space="0" w:color="auto"/>
            <w:right w:val="none" w:sz="0" w:space="0" w:color="auto"/>
          </w:divBdr>
        </w:div>
        <w:div w:id="982202053">
          <w:marLeft w:val="640"/>
          <w:marRight w:val="0"/>
          <w:marTop w:val="0"/>
          <w:marBottom w:val="0"/>
          <w:divBdr>
            <w:top w:val="none" w:sz="0" w:space="0" w:color="auto"/>
            <w:left w:val="none" w:sz="0" w:space="0" w:color="auto"/>
            <w:bottom w:val="none" w:sz="0" w:space="0" w:color="auto"/>
            <w:right w:val="none" w:sz="0" w:space="0" w:color="auto"/>
          </w:divBdr>
        </w:div>
        <w:div w:id="36470401">
          <w:marLeft w:val="640"/>
          <w:marRight w:val="0"/>
          <w:marTop w:val="0"/>
          <w:marBottom w:val="0"/>
          <w:divBdr>
            <w:top w:val="none" w:sz="0" w:space="0" w:color="auto"/>
            <w:left w:val="none" w:sz="0" w:space="0" w:color="auto"/>
            <w:bottom w:val="none" w:sz="0" w:space="0" w:color="auto"/>
            <w:right w:val="none" w:sz="0" w:space="0" w:color="auto"/>
          </w:divBdr>
        </w:div>
        <w:div w:id="1651405714">
          <w:marLeft w:val="640"/>
          <w:marRight w:val="0"/>
          <w:marTop w:val="0"/>
          <w:marBottom w:val="0"/>
          <w:divBdr>
            <w:top w:val="none" w:sz="0" w:space="0" w:color="auto"/>
            <w:left w:val="none" w:sz="0" w:space="0" w:color="auto"/>
            <w:bottom w:val="none" w:sz="0" w:space="0" w:color="auto"/>
            <w:right w:val="none" w:sz="0" w:space="0" w:color="auto"/>
          </w:divBdr>
        </w:div>
        <w:div w:id="1052968080">
          <w:marLeft w:val="640"/>
          <w:marRight w:val="0"/>
          <w:marTop w:val="0"/>
          <w:marBottom w:val="0"/>
          <w:divBdr>
            <w:top w:val="none" w:sz="0" w:space="0" w:color="auto"/>
            <w:left w:val="none" w:sz="0" w:space="0" w:color="auto"/>
            <w:bottom w:val="none" w:sz="0" w:space="0" w:color="auto"/>
            <w:right w:val="none" w:sz="0" w:space="0" w:color="auto"/>
          </w:divBdr>
        </w:div>
        <w:div w:id="1909534442">
          <w:marLeft w:val="640"/>
          <w:marRight w:val="0"/>
          <w:marTop w:val="0"/>
          <w:marBottom w:val="0"/>
          <w:divBdr>
            <w:top w:val="none" w:sz="0" w:space="0" w:color="auto"/>
            <w:left w:val="none" w:sz="0" w:space="0" w:color="auto"/>
            <w:bottom w:val="none" w:sz="0" w:space="0" w:color="auto"/>
            <w:right w:val="none" w:sz="0" w:space="0" w:color="auto"/>
          </w:divBdr>
        </w:div>
        <w:div w:id="325596028">
          <w:marLeft w:val="640"/>
          <w:marRight w:val="0"/>
          <w:marTop w:val="0"/>
          <w:marBottom w:val="0"/>
          <w:divBdr>
            <w:top w:val="none" w:sz="0" w:space="0" w:color="auto"/>
            <w:left w:val="none" w:sz="0" w:space="0" w:color="auto"/>
            <w:bottom w:val="none" w:sz="0" w:space="0" w:color="auto"/>
            <w:right w:val="none" w:sz="0" w:space="0" w:color="auto"/>
          </w:divBdr>
        </w:div>
        <w:div w:id="600185088">
          <w:marLeft w:val="640"/>
          <w:marRight w:val="0"/>
          <w:marTop w:val="0"/>
          <w:marBottom w:val="0"/>
          <w:divBdr>
            <w:top w:val="none" w:sz="0" w:space="0" w:color="auto"/>
            <w:left w:val="none" w:sz="0" w:space="0" w:color="auto"/>
            <w:bottom w:val="none" w:sz="0" w:space="0" w:color="auto"/>
            <w:right w:val="none" w:sz="0" w:space="0" w:color="auto"/>
          </w:divBdr>
        </w:div>
        <w:div w:id="44911579">
          <w:marLeft w:val="640"/>
          <w:marRight w:val="0"/>
          <w:marTop w:val="0"/>
          <w:marBottom w:val="0"/>
          <w:divBdr>
            <w:top w:val="none" w:sz="0" w:space="0" w:color="auto"/>
            <w:left w:val="none" w:sz="0" w:space="0" w:color="auto"/>
            <w:bottom w:val="none" w:sz="0" w:space="0" w:color="auto"/>
            <w:right w:val="none" w:sz="0" w:space="0" w:color="auto"/>
          </w:divBdr>
        </w:div>
        <w:div w:id="778838810">
          <w:marLeft w:val="640"/>
          <w:marRight w:val="0"/>
          <w:marTop w:val="0"/>
          <w:marBottom w:val="0"/>
          <w:divBdr>
            <w:top w:val="none" w:sz="0" w:space="0" w:color="auto"/>
            <w:left w:val="none" w:sz="0" w:space="0" w:color="auto"/>
            <w:bottom w:val="none" w:sz="0" w:space="0" w:color="auto"/>
            <w:right w:val="none" w:sz="0" w:space="0" w:color="auto"/>
          </w:divBdr>
        </w:div>
        <w:div w:id="2099400142">
          <w:marLeft w:val="640"/>
          <w:marRight w:val="0"/>
          <w:marTop w:val="0"/>
          <w:marBottom w:val="0"/>
          <w:divBdr>
            <w:top w:val="none" w:sz="0" w:space="0" w:color="auto"/>
            <w:left w:val="none" w:sz="0" w:space="0" w:color="auto"/>
            <w:bottom w:val="none" w:sz="0" w:space="0" w:color="auto"/>
            <w:right w:val="none" w:sz="0" w:space="0" w:color="auto"/>
          </w:divBdr>
        </w:div>
        <w:div w:id="1639067270">
          <w:marLeft w:val="640"/>
          <w:marRight w:val="0"/>
          <w:marTop w:val="0"/>
          <w:marBottom w:val="0"/>
          <w:divBdr>
            <w:top w:val="none" w:sz="0" w:space="0" w:color="auto"/>
            <w:left w:val="none" w:sz="0" w:space="0" w:color="auto"/>
            <w:bottom w:val="none" w:sz="0" w:space="0" w:color="auto"/>
            <w:right w:val="none" w:sz="0" w:space="0" w:color="auto"/>
          </w:divBdr>
        </w:div>
        <w:div w:id="450368561">
          <w:marLeft w:val="640"/>
          <w:marRight w:val="0"/>
          <w:marTop w:val="0"/>
          <w:marBottom w:val="0"/>
          <w:divBdr>
            <w:top w:val="none" w:sz="0" w:space="0" w:color="auto"/>
            <w:left w:val="none" w:sz="0" w:space="0" w:color="auto"/>
            <w:bottom w:val="none" w:sz="0" w:space="0" w:color="auto"/>
            <w:right w:val="none" w:sz="0" w:space="0" w:color="auto"/>
          </w:divBdr>
        </w:div>
        <w:div w:id="841045451">
          <w:marLeft w:val="640"/>
          <w:marRight w:val="0"/>
          <w:marTop w:val="0"/>
          <w:marBottom w:val="0"/>
          <w:divBdr>
            <w:top w:val="none" w:sz="0" w:space="0" w:color="auto"/>
            <w:left w:val="none" w:sz="0" w:space="0" w:color="auto"/>
            <w:bottom w:val="none" w:sz="0" w:space="0" w:color="auto"/>
            <w:right w:val="none" w:sz="0" w:space="0" w:color="auto"/>
          </w:divBdr>
        </w:div>
        <w:div w:id="1391266172">
          <w:marLeft w:val="640"/>
          <w:marRight w:val="0"/>
          <w:marTop w:val="0"/>
          <w:marBottom w:val="0"/>
          <w:divBdr>
            <w:top w:val="none" w:sz="0" w:space="0" w:color="auto"/>
            <w:left w:val="none" w:sz="0" w:space="0" w:color="auto"/>
            <w:bottom w:val="none" w:sz="0" w:space="0" w:color="auto"/>
            <w:right w:val="none" w:sz="0" w:space="0" w:color="auto"/>
          </w:divBdr>
        </w:div>
        <w:div w:id="960503452">
          <w:marLeft w:val="640"/>
          <w:marRight w:val="0"/>
          <w:marTop w:val="0"/>
          <w:marBottom w:val="0"/>
          <w:divBdr>
            <w:top w:val="none" w:sz="0" w:space="0" w:color="auto"/>
            <w:left w:val="none" w:sz="0" w:space="0" w:color="auto"/>
            <w:bottom w:val="none" w:sz="0" w:space="0" w:color="auto"/>
            <w:right w:val="none" w:sz="0" w:space="0" w:color="auto"/>
          </w:divBdr>
        </w:div>
        <w:div w:id="1662612012">
          <w:marLeft w:val="640"/>
          <w:marRight w:val="0"/>
          <w:marTop w:val="0"/>
          <w:marBottom w:val="0"/>
          <w:divBdr>
            <w:top w:val="none" w:sz="0" w:space="0" w:color="auto"/>
            <w:left w:val="none" w:sz="0" w:space="0" w:color="auto"/>
            <w:bottom w:val="none" w:sz="0" w:space="0" w:color="auto"/>
            <w:right w:val="none" w:sz="0" w:space="0" w:color="auto"/>
          </w:divBdr>
        </w:div>
        <w:div w:id="508518798">
          <w:marLeft w:val="640"/>
          <w:marRight w:val="0"/>
          <w:marTop w:val="0"/>
          <w:marBottom w:val="0"/>
          <w:divBdr>
            <w:top w:val="none" w:sz="0" w:space="0" w:color="auto"/>
            <w:left w:val="none" w:sz="0" w:space="0" w:color="auto"/>
            <w:bottom w:val="none" w:sz="0" w:space="0" w:color="auto"/>
            <w:right w:val="none" w:sz="0" w:space="0" w:color="auto"/>
          </w:divBdr>
        </w:div>
        <w:div w:id="108624985">
          <w:marLeft w:val="640"/>
          <w:marRight w:val="0"/>
          <w:marTop w:val="0"/>
          <w:marBottom w:val="0"/>
          <w:divBdr>
            <w:top w:val="none" w:sz="0" w:space="0" w:color="auto"/>
            <w:left w:val="none" w:sz="0" w:space="0" w:color="auto"/>
            <w:bottom w:val="none" w:sz="0" w:space="0" w:color="auto"/>
            <w:right w:val="none" w:sz="0" w:space="0" w:color="auto"/>
          </w:divBdr>
        </w:div>
        <w:div w:id="1399281909">
          <w:marLeft w:val="640"/>
          <w:marRight w:val="0"/>
          <w:marTop w:val="0"/>
          <w:marBottom w:val="0"/>
          <w:divBdr>
            <w:top w:val="none" w:sz="0" w:space="0" w:color="auto"/>
            <w:left w:val="none" w:sz="0" w:space="0" w:color="auto"/>
            <w:bottom w:val="none" w:sz="0" w:space="0" w:color="auto"/>
            <w:right w:val="none" w:sz="0" w:space="0" w:color="auto"/>
          </w:divBdr>
        </w:div>
        <w:div w:id="424692576">
          <w:marLeft w:val="640"/>
          <w:marRight w:val="0"/>
          <w:marTop w:val="0"/>
          <w:marBottom w:val="0"/>
          <w:divBdr>
            <w:top w:val="none" w:sz="0" w:space="0" w:color="auto"/>
            <w:left w:val="none" w:sz="0" w:space="0" w:color="auto"/>
            <w:bottom w:val="none" w:sz="0" w:space="0" w:color="auto"/>
            <w:right w:val="none" w:sz="0" w:space="0" w:color="auto"/>
          </w:divBdr>
        </w:div>
        <w:div w:id="131334676">
          <w:marLeft w:val="640"/>
          <w:marRight w:val="0"/>
          <w:marTop w:val="0"/>
          <w:marBottom w:val="0"/>
          <w:divBdr>
            <w:top w:val="none" w:sz="0" w:space="0" w:color="auto"/>
            <w:left w:val="none" w:sz="0" w:space="0" w:color="auto"/>
            <w:bottom w:val="none" w:sz="0" w:space="0" w:color="auto"/>
            <w:right w:val="none" w:sz="0" w:space="0" w:color="auto"/>
          </w:divBdr>
        </w:div>
        <w:div w:id="1965580049">
          <w:marLeft w:val="640"/>
          <w:marRight w:val="0"/>
          <w:marTop w:val="0"/>
          <w:marBottom w:val="0"/>
          <w:divBdr>
            <w:top w:val="none" w:sz="0" w:space="0" w:color="auto"/>
            <w:left w:val="none" w:sz="0" w:space="0" w:color="auto"/>
            <w:bottom w:val="none" w:sz="0" w:space="0" w:color="auto"/>
            <w:right w:val="none" w:sz="0" w:space="0" w:color="auto"/>
          </w:divBdr>
        </w:div>
        <w:div w:id="1250237760">
          <w:marLeft w:val="640"/>
          <w:marRight w:val="0"/>
          <w:marTop w:val="0"/>
          <w:marBottom w:val="0"/>
          <w:divBdr>
            <w:top w:val="none" w:sz="0" w:space="0" w:color="auto"/>
            <w:left w:val="none" w:sz="0" w:space="0" w:color="auto"/>
            <w:bottom w:val="none" w:sz="0" w:space="0" w:color="auto"/>
            <w:right w:val="none" w:sz="0" w:space="0" w:color="auto"/>
          </w:divBdr>
        </w:div>
        <w:div w:id="798187645">
          <w:marLeft w:val="640"/>
          <w:marRight w:val="0"/>
          <w:marTop w:val="0"/>
          <w:marBottom w:val="0"/>
          <w:divBdr>
            <w:top w:val="none" w:sz="0" w:space="0" w:color="auto"/>
            <w:left w:val="none" w:sz="0" w:space="0" w:color="auto"/>
            <w:bottom w:val="none" w:sz="0" w:space="0" w:color="auto"/>
            <w:right w:val="none" w:sz="0" w:space="0" w:color="auto"/>
          </w:divBdr>
        </w:div>
        <w:div w:id="1132794252">
          <w:marLeft w:val="640"/>
          <w:marRight w:val="0"/>
          <w:marTop w:val="0"/>
          <w:marBottom w:val="0"/>
          <w:divBdr>
            <w:top w:val="none" w:sz="0" w:space="0" w:color="auto"/>
            <w:left w:val="none" w:sz="0" w:space="0" w:color="auto"/>
            <w:bottom w:val="none" w:sz="0" w:space="0" w:color="auto"/>
            <w:right w:val="none" w:sz="0" w:space="0" w:color="auto"/>
          </w:divBdr>
        </w:div>
        <w:div w:id="1759787576">
          <w:marLeft w:val="640"/>
          <w:marRight w:val="0"/>
          <w:marTop w:val="0"/>
          <w:marBottom w:val="0"/>
          <w:divBdr>
            <w:top w:val="none" w:sz="0" w:space="0" w:color="auto"/>
            <w:left w:val="none" w:sz="0" w:space="0" w:color="auto"/>
            <w:bottom w:val="none" w:sz="0" w:space="0" w:color="auto"/>
            <w:right w:val="none" w:sz="0" w:space="0" w:color="auto"/>
          </w:divBdr>
        </w:div>
        <w:div w:id="2004703003">
          <w:marLeft w:val="640"/>
          <w:marRight w:val="0"/>
          <w:marTop w:val="0"/>
          <w:marBottom w:val="0"/>
          <w:divBdr>
            <w:top w:val="none" w:sz="0" w:space="0" w:color="auto"/>
            <w:left w:val="none" w:sz="0" w:space="0" w:color="auto"/>
            <w:bottom w:val="none" w:sz="0" w:space="0" w:color="auto"/>
            <w:right w:val="none" w:sz="0" w:space="0" w:color="auto"/>
          </w:divBdr>
        </w:div>
        <w:div w:id="985092063">
          <w:marLeft w:val="640"/>
          <w:marRight w:val="0"/>
          <w:marTop w:val="0"/>
          <w:marBottom w:val="0"/>
          <w:divBdr>
            <w:top w:val="none" w:sz="0" w:space="0" w:color="auto"/>
            <w:left w:val="none" w:sz="0" w:space="0" w:color="auto"/>
            <w:bottom w:val="none" w:sz="0" w:space="0" w:color="auto"/>
            <w:right w:val="none" w:sz="0" w:space="0" w:color="auto"/>
          </w:divBdr>
        </w:div>
        <w:div w:id="1624117298">
          <w:marLeft w:val="640"/>
          <w:marRight w:val="0"/>
          <w:marTop w:val="0"/>
          <w:marBottom w:val="0"/>
          <w:divBdr>
            <w:top w:val="none" w:sz="0" w:space="0" w:color="auto"/>
            <w:left w:val="none" w:sz="0" w:space="0" w:color="auto"/>
            <w:bottom w:val="none" w:sz="0" w:space="0" w:color="auto"/>
            <w:right w:val="none" w:sz="0" w:space="0" w:color="auto"/>
          </w:divBdr>
        </w:div>
        <w:div w:id="590087512">
          <w:marLeft w:val="640"/>
          <w:marRight w:val="0"/>
          <w:marTop w:val="0"/>
          <w:marBottom w:val="0"/>
          <w:divBdr>
            <w:top w:val="none" w:sz="0" w:space="0" w:color="auto"/>
            <w:left w:val="none" w:sz="0" w:space="0" w:color="auto"/>
            <w:bottom w:val="none" w:sz="0" w:space="0" w:color="auto"/>
            <w:right w:val="none" w:sz="0" w:space="0" w:color="auto"/>
          </w:divBdr>
        </w:div>
        <w:div w:id="1630545883">
          <w:marLeft w:val="640"/>
          <w:marRight w:val="0"/>
          <w:marTop w:val="0"/>
          <w:marBottom w:val="0"/>
          <w:divBdr>
            <w:top w:val="none" w:sz="0" w:space="0" w:color="auto"/>
            <w:left w:val="none" w:sz="0" w:space="0" w:color="auto"/>
            <w:bottom w:val="none" w:sz="0" w:space="0" w:color="auto"/>
            <w:right w:val="none" w:sz="0" w:space="0" w:color="auto"/>
          </w:divBdr>
        </w:div>
        <w:div w:id="367032643">
          <w:marLeft w:val="640"/>
          <w:marRight w:val="0"/>
          <w:marTop w:val="0"/>
          <w:marBottom w:val="0"/>
          <w:divBdr>
            <w:top w:val="none" w:sz="0" w:space="0" w:color="auto"/>
            <w:left w:val="none" w:sz="0" w:space="0" w:color="auto"/>
            <w:bottom w:val="none" w:sz="0" w:space="0" w:color="auto"/>
            <w:right w:val="none" w:sz="0" w:space="0" w:color="auto"/>
          </w:divBdr>
        </w:div>
        <w:div w:id="1525170243">
          <w:marLeft w:val="640"/>
          <w:marRight w:val="0"/>
          <w:marTop w:val="0"/>
          <w:marBottom w:val="0"/>
          <w:divBdr>
            <w:top w:val="none" w:sz="0" w:space="0" w:color="auto"/>
            <w:left w:val="none" w:sz="0" w:space="0" w:color="auto"/>
            <w:bottom w:val="none" w:sz="0" w:space="0" w:color="auto"/>
            <w:right w:val="none" w:sz="0" w:space="0" w:color="auto"/>
          </w:divBdr>
        </w:div>
        <w:div w:id="155343948">
          <w:marLeft w:val="640"/>
          <w:marRight w:val="0"/>
          <w:marTop w:val="0"/>
          <w:marBottom w:val="0"/>
          <w:divBdr>
            <w:top w:val="none" w:sz="0" w:space="0" w:color="auto"/>
            <w:left w:val="none" w:sz="0" w:space="0" w:color="auto"/>
            <w:bottom w:val="none" w:sz="0" w:space="0" w:color="auto"/>
            <w:right w:val="none" w:sz="0" w:space="0" w:color="auto"/>
          </w:divBdr>
        </w:div>
        <w:div w:id="1609779199">
          <w:marLeft w:val="640"/>
          <w:marRight w:val="0"/>
          <w:marTop w:val="0"/>
          <w:marBottom w:val="0"/>
          <w:divBdr>
            <w:top w:val="none" w:sz="0" w:space="0" w:color="auto"/>
            <w:left w:val="none" w:sz="0" w:space="0" w:color="auto"/>
            <w:bottom w:val="none" w:sz="0" w:space="0" w:color="auto"/>
            <w:right w:val="none" w:sz="0" w:space="0" w:color="auto"/>
          </w:divBdr>
        </w:div>
        <w:div w:id="1084035686">
          <w:marLeft w:val="640"/>
          <w:marRight w:val="0"/>
          <w:marTop w:val="0"/>
          <w:marBottom w:val="0"/>
          <w:divBdr>
            <w:top w:val="none" w:sz="0" w:space="0" w:color="auto"/>
            <w:left w:val="none" w:sz="0" w:space="0" w:color="auto"/>
            <w:bottom w:val="none" w:sz="0" w:space="0" w:color="auto"/>
            <w:right w:val="none" w:sz="0" w:space="0" w:color="auto"/>
          </w:divBdr>
        </w:div>
        <w:div w:id="39016591">
          <w:marLeft w:val="640"/>
          <w:marRight w:val="0"/>
          <w:marTop w:val="0"/>
          <w:marBottom w:val="0"/>
          <w:divBdr>
            <w:top w:val="none" w:sz="0" w:space="0" w:color="auto"/>
            <w:left w:val="none" w:sz="0" w:space="0" w:color="auto"/>
            <w:bottom w:val="none" w:sz="0" w:space="0" w:color="auto"/>
            <w:right w:val="none" w:sz="0" w:space="0" w:color="auto"/>
          </w:divBdr>
        </w:div>
        <w:div w:id="102456915">
          <w:marLeft w:val="640"/>
          <w:marRight w:val="0"/>
          <w:marTop w:val="0"/>
          <w:marBottom w:val="0"/>
          <w:divBdr>
            <w:top w:val="none" w:sz="0" w:space="0" w:color="auto"/>
            <w:left w:val="none" w:sz="0" w:space="0" w:color="auto"/>
            <w:bottom w:val="none" w:sz="0" w:space="0" w:color="auto"/>
            <w:right w:val="none" w:sz="0" w:space="0" w:color="auto"/>
          </w:divBdr>
        </w:div>
        <w:div w:id="1455321702">
          <w:marLeft w:val="640"/>
          <w:marRight w:val="0"/>
          <w:marTop w:val="0"/>
          <w:marBottom w:val="0"/>
          <w:divBdr>
            <w:top w:val="none" w:sz="0" w:space="0" w:color="auto"/>
            <w:left w:val="none" w:sz="0" w:space="0" w:color="auto"/>
            <w:bottom w:val="none" w:sz="0" w:space="0" w:color="auto"/>
            <w:right w:val="none" w:sz="0" w:space="0" w:color="auto"/>
          </w:divBdr>
        </w:div>
        <w:div w:id="211573842">
          <w:marLeft w:val="640"/>
          <w:marRight w:val="0"/>
          <w:marTop w:val="0"/>
          <w:marBottom w:val="0"/>
          <w:divBdr>
            <w:top w:val="none" w:sz="0" w:space="0" w:color="auto"/>
            <w:left w:val="none" w:sz="0" w:space="0" w:color="auto"/>
            <w:bottom w:val="none" w:sz="0" w:space="0" w:color="auto"/>
            <w:right w:val="none" w:sz="0" w:space="0" w:color="auto"/>
          </w:divBdr>
        </w:div>
        <w:div w:id="1746149782">
          <w:marLeft w:val="640"/>
          <w:marRight w:val="0"/>
          <w:marTop w:val="0"/>
          <w:marBottom w:val="0"/>
          <w:divBdr>
            <w:top w:val="none" w:sz="0" w:space="0" w:color="auto"/>
            <w:left w:val="none" w:sz="0" w:space="0" w:color="auto"/>
            <w:bottom w:val="none" w:sz="0" w:space="0" w:color="auto"/>
            <w:right w:val="none" w:sz="0" w:space="0" w:color="auto"/>
          </w:divBdr>
        </w:div>
        <w:div w:id="659848538">
          <w:marLeft w:val="640"/>
          <w:marRight w:val="0"/>
          <w:marTop w:val="0"/>
          <w:marBottom w:val="0"/>
          <w:divBdr>
            <w:top w:val="none" w:sz="0" w:space="0" w:color="auto"/>
            <w:left w:val="none" w:sz="0" w:space="0" w:color="auto"/>
            <w:bottom w:val="none" w:sz="0" w:space="0" w:color="auto"/>
            <w:right w:val="none" w:sz="0" w:space="0" w:color="auto"/>
          </w:divBdr>
        </w:div>
        <w:div w:id="1242179013">
          <w:marLeft w:val="640"/>
          <w:marRight w:val="0"/>
          <w:marTop w:val="0"/>
          <w:marBottom w:val="0"/>
          <w:divBdr>
            <w:top w:val="none" w:sz="0" w:space="0" w:color="auto"/>
            <w:left w:val="none" w:sz="0" w:space="0" w:color="auto"/>
            <w:bottom w:val="none" w:sz="0" w:space="0" w:color="auto"/>
            <w:right w:val="none" w:sz="0" w:space="0" w:color="auto"/>
          </w:divBdr>
        </w:div>
        <w:div w:id="1664233900">
          <w:marLeft w:val="640"/>
          <w:marRight w:val="0"/>
          <w:marTop w:val="0"/>
          <w:marBottom w:val="0"/>
          <w:divBdr>
            <w:top w:val="none" w:sz="0" w:space="0" w:color="auto"/>
            <w:left w:val="none" w:sz="0" w:space="0" w:color="auto"/>
            <w:bottom w:val="none" w:sz="0" w:space="0" w:color="auto"/>
            <w:right w:val="none" w:sz="0" w:space="0" w:color="auto"/>
          </w:divBdr>
        </w:div>
        <w:div w:id="148523526">
          <w:marLeft w:val="640"/>
          <w:marRight w:val="0"/>
          <w:marTop w:val="0"/>
          <w:marBottom w:val="0"/>
          <w:divBdr>
            <w:top w:val="none" w:sz="0" w:space="0" w:color="auto"/>
            <w:left w:val="none" w:sz="0" w:space="0" w:color="auto"/>
            <w:bottom w:val="none" w:sz="0" w:space="0" w:color="auto"/>
            <w:right w:val="none" w:sz="0" w:space="0" w:color="auto"/>
          </w:divBdr>
        </w:div>
        <w:div w:id="371731714">
          <w:marLeft w:val="640"/>
          <w:marRight w:val="0"/>
          <w:marTop w:val="0"/>
          <w:marBottom w:val="0"/>
          <w:divBdr>
            <w:top w:val="none" w:sz="0" w:space="0" w:color="auto"/>
            <w:left w:val="none" w:sz="0" w:space="0" w:color="auto"/>
            <w:bottom w:val="none" w:sz="0" w:space="0" w:color="auto"/>
            <w:right w:val="none" w:sz="0" w:space="0" w:color="auto"/>
          </w:divBdr>
        </w:div>
        <w:div w:id="598954488">
          <w:marLeft w:val="640"/>
          <w:marRight w:val="0"/>
          <w:marTop w:val="0"/>
          <w:marBottom w:val="0"/>
          <w:divBdr>
            <w:top w:val="none" w:sz="0" w:space="0" w:color="auto"/>
            <w:left w:val="none" w:sz="0" w:space="0" w:color="auto"/>
            <w:bottom w:val="none" w:sz="0" w:space="0" w:color="auto"/>
            <w:right w:val="none" w:sz="0" w:space="0" w:color="auto"/>
          </w:divBdr>
        </w:div>
        <w:div w:id="114256850">
          <w:marLeft w:val="640"/>
          <w:marRight w:val="0"/>
          <w:marTop w:val="0"/>
          <w:marBottom w:val="0"/>
          <w:divBdr>
            <w:top w:val="none" w:sz="0" w:space="0" w:color="auto"/>
            <w:left w:val="none" w:sz="0" w:space="0" w:color="auto"/>
            <w:bottom w:val="none" w:sz="0" w:space="0" w:color="auto"/>
            <w:right w:val="none" w:sz="0" w:space="0" w:color="auto"/>
          </w:divBdr>
        </w:div>
        <w:div w:id="281158875">
          <w:marLeft w:val="640"/>
          <w:marRight w:val="0"/>
          <w:marTop w:val="0"/>
          <w:marBottom w:val="0"/>
          <w:divBdr>
            <w:top w:val="none" w:sz="0" w:space="0" w:color="auto"/>
            <w:left w:val="none" w:sz="0" w:space="0" w:color="auto"/>
            <w:bottom w:val="none" w:sz="0" w:space="0" w:color="auto"/>
            <w:right w:val="none" w:sz="0" w:space="0" w:color="auto"/>
          </w:divBdr>
        </w:div>
        <w:div w:id="2105419024">
          <w:marLeft w:val="640"/>
          <w:marRight w:val="0"/>
          <w:marTop w:val="0"/>
          <w:marBottom w:val="0"/>
          <w:divBdr>
            <w:top w:val="none" w:sz="0" w:space="0" w:color="auto"/>
            <w:left w:val="none" w:sz="0" w:space="0" w:color="auto"/>
            <w:bottom w:val="none" w:sz="0" w:space="0" w:color="auto"/>
            <w:right w:val="none" w:sz="0" w:space="0" w:color="auto"/>
          </w:divBdr>
        </w:div>
        <w:div w:id="1785268730">
          <w:marLeft w:val="640"/>
          <w:marRight w:val="0"/>
          <w:marTop w:val="0"/>
          <w:marBottom w:val="0"/>
          <w:divBdr>
            <w:top w:val="none" w:sz="0" w:space="0" w:color="auto"/>
            <w:left w:val="none" w:sz="0" w:space="0" w:color="auto"/>
            <w:bottom w:val="none" w:sz="0" w:space="0" w:color="auto"/>
            <w:right w:val="none" w:sz="0" w:space="0" w:color="auto"/>
          </w:divBdr>
        </w:div>
        <w:div w:id="1529483483">
          <w:marLeft w:val="640"/>
          <w:marRight w:val="0"/>
          <w:marTop w:val="0"/>
          <w:marBottom w:val="0"/>
          <w:divBdr>
            <w:top w:val="none" w:sz="0" w:space="0" w:color="auto"/>
            <w:left w:val="none" w:sz="0" w:space="0" w:color="auto"/>
            <w:bottom w:val="none" w:sz="0" w:space="0" w:color="auto"/>
            <w:right w:val="none" w:sz="0" w:space="0" w:color="auto"/>
          </w:divBdr>
        </w:div>
        <w:div w:id="382483222">
          <w:marLeft w:val="640"/>
          <w:marRight w:val="0"/>
          <w:marTop w:val="0"/>
          <w:marBottom w:val="0"/>
          <w:divBdr>
            <w:top w:val="none" w:sz="0" w:space="0" w:color="auto"/>
            <w:left w:val="none" w:sz="0" w:space="0" w:color="auto"/>
            <w:bottom w:val="none" w:sz="0" w:space="0" w:color="auto"/>
            <w:right w:val="none" w:sz="0" w:space="0" w:color="auto"/>
          </w:divBdr>
        </w:div>
        <w:div w:id="1390030426">
          <w:marLeft w:val="640"/>
          <w:marRight w:val="0"/>
          <w:marTop w:val="0"/>
          <w:marBottom w:val="0"/>
          <w:divBdr>
            <w:top w:val="none" w:sz="0" w:space="0" w:color="auto"/>
            <w:left w:val="none" w:sz="0" w:space="0" w:color="auto"/>
            <w:bottom w:val="none" w:sz="0" w:space="0" w:color="auto"/>
            <w:right w:val="none" w:sz="0" w:space="0" w:color="auto"/>
          </w:divBdr>
        </w:div>
        <w:div w:id="111366184">
          <w:marLeft w:val="640"/>
          <w:marRight w:val="0"/>
          <w:marTop w:val="0"/>
          <w:marBottom w:val="0"/>
          <w:divBdr>
            <w:top w:val="none" w:sz="0" w:space="0" w:color="auto"/>
            <w:left w:val="none" w:sz="0" w:space="0" w:color="auto"/>
            <w:bottom w:val="none" w:sz="0" w:space="0" w:color="auto"/>
            <w:right w:val="none" w:sz="0" w:space="0" w:color="auto"/>
          </w:divBdr>
        </w:div>
        <w:div w:id="1949577345">
          <w:marLeft w:val="640"/>
          <w:marRight w:val="0"/>
          <w:marTop w:val="0"/>
          <w:marBottom w:val="0"/>
          <w:divBdr>
            <w:top w:val="none" w:sz="0" w:space="0" w:color="auto"/>
            <w:left w:val="none" w:sz="0" w:space="0" w:color="auto"/>
            <w:bottom w:val="none" w:sz="0" w:space="0" w:color="auto"/>
            <w:right w:val="none" w:sz="0" w:space="0" w:color="auto"/>
          </w:divBdr>
        </w:div>
        <w:div w:id="383219009">
          <w:marLeft w:val="640"/>
          <w:marRight w:val="0"/>
          <w:marTop w:val="0"/>
          <w:marBottom w:val="0"/>
          <w:divBdr>
            <w:top w:val="none" w:sz="0" w:space="0" w:color="auto"/>
            <w:left w:val="none" w:sz="0" w:space="0" w:color="auto"/>
            <w:bottom w:val="none" w:sz="0" w:space="0" w:color="auto"/>
            <w:right w:val="none" w:sz="0" w:space="0" w:color="auto"/>
          </w:divBdr>
        </w:div>
        <w:div w:id="1191257323">
          <w:marLeft w:val="640"/>
          <w:marRight w:val="0"/>
          <w:marTop w:val="0"/>
          <w:marBottom w:val="0"/>
          <w:divBdr>
            <w:top w:val="none" w:sz="0" w:space="0" w:color="auto"/>
            <w:left w:val="none" w:sz="0" w:space="0" w:color="auto"/>
            <w:bottom w:val="none" w:sz="0" w:space="0" w:color="auto"/>
            <w:right w:val="none" w:sz="0" w:space="0" w:color="auto"/>
          </w:divBdr>
        </w:div>
        <w:div w:id="427391532">
          <w:marLeft w:val="640"/>
          <w:marRight w:val="0"/>
          <w:marTop w:val="0"/>
          <w:marBottom w:val="0"/>
          <w:divBdr>
            <w:top w:val="none" w:sz="0" w:space="0" w:color="auto"/>
            <w:left w:val="none" w:sz="0" w:space="0" w:color="auto"/>
            <w:bottom w:val="none" w:sz="0" w:space="0" w:color="auto"/>
            <w:right w:val="none" w:sz="0" w:space="0" w:color="auto"/>
          </w:divBdr>
        </w:div>
      </w:divsChild>
    </w:div>
    <w:div w:id="1017972383">
      <w:bodyDiv w:val="1"/>
      <w:marLeft w:val="0"/>
      <w:marRight w:val="0"/>
      <w:marTop w:val="0"/>
      <w:marBottom w:val="0"/>
      <w:divBdr>
        <w:top w:val="none" w:sz="0" w:space="0" w:color="auto"/>
        <w:left w:val="none" w:sz="0" w:space="0" w:color="auto"/>
        <w:bottom w:val="none" w:sz="0" w:space="0" w:color="auto"/>
        <w:right w:val="none" w:sz="0" w:space="0" w:color="auto"/>
      </w:divBdr>
      <w:divsChild>
        <w:div w:id="2133327906">
          <w:marLeft w:val="640"/>
          <w:marRight w:val="0"/>
          <w:marTop w:val="0"/>
          <w:marBottom w:val="0"/>
          <w:divBdr>
            <w:top w:val="none" w:sz="0" w:space="0" w:color="auto"/>
            <w:left w:val="none" w:sz="0" w:space="0" w:color="auto"/>
            <w:bottom w:val="none" w:sz="0" w:space="0" w:color="auto"/>
            <w:right w:val="none" w:sz="0" w:space="0" w:color="auto"/>
          </w:divBdr>
        </w:div>
        <w:div w:id="1502820270">
          <w:marLeft w:val="640"/>
          <w:marRight w:val="0"/>
          <w:marTop w:val="0"/>
          <w:marBottom w:val="0"/>
          <w:divBdr>
            <w:top w:val="none" w:sz="0" w:space="0" w:color="auto"/>
            <w:left w:val="none" w:sz="0" w:space="0" w:color="auto"/>
            <w:bottom w:val="none" w:sz="0" w:space="0" w:color="auto"/>
            <w:right w:val="none" w:sz="0" w:space="0" w:color="auto"/>
          </w:divBdr>
        </w:div>
        <w:div w:id="1012293050">
          <w:marLeft w:val="640"/>
          <w:marRight w:val="0"/>
          <w:marTop w:val="0"/>
          <w:marBottom w:val="0"/>
          <w:divBdr>
            <w:top w:val="none" w:sz="0" w:space="0" w:color="auto"/>
            <w:left w:val="none" w:sz="0" w:space="0" w:color="auto"/>
            <w:bottom w:val="none" w:sz="0" w:space="0" w:color="auto"/>
            <w:right w:val="none" w:sz="0" w:space="0" w:color="auto"/>
          </w:divBdr>
        </w:div>
        <w:div w:id="1898084164">
          <w:marLeft w:val="640"/>
          <w:marRight w:val="0"/>
          <w:marTop w:val="0"/>
          <w:marBottom w:val="0"/>
          <w:divBdr>
            <w:top w:val="none" w:sz="0" w:space="0" w:color="auto"/>
            <w:left w:val="none" w:sz="0" w:space="0" w:color="auto"/>
            <w:bottom w:val="none" w:sz="0" w:space="0" w:color="auto"/>
            <w:right w:val="none" w:sz="0" w:space="0" w:color="auto"/>
          </w:divBdr>
        </w:div>
        <w:div w:id="897128522">
          <w:marLeft w:val="640"/>
          <w:marRight w:val="0"/>
          <w:marTop w:val="0"/>
          <w:marBottom w:val="0"/>
          <w:divBdr>
            <w:top w:val="none" w:sz="0" w:space="0" w:color="auto"/>
            <w:left w:val="none" w:sz="0" w:space="0" w:color="auto"/>
            <w:bottom w:val="none" w:sz="0" w:space="0" w:color="auto"/>
            <w:right w:val="none" w:sz="0" w:space="0" w:color="auto"/>
          </w:divBdr>
        </w:div>
        <w:div w:id="1061444377">
          <w:marLeft w:val="640"/>
          <w:marRight w:val="0"/>
          <w:marTop w:val="0"/>
          <w:marBottom w:val="0"/>
          <w:divBdr>
            <w:top w:val="none" w:sz="0" w:space="0" w:color="auto"/>
            <w:left w:val="none" w:sz="0" w:space="0" w:color="auto"/>
            <w:bottom w:val="none" w:sz="0" w:space="0" w:color="auto"/>
            <w:right w:val="none" w:sz="0" w:space="0" w:color="auto"/>
          </w:divBdr>
        </w:div>
        <w:div w:id="751315960">
          <w:marLeft w:val="640"/>
          <w:marRight w:val="0"/>
          <w:marTop w:val="0"/>
          <w:marBottom w:val="0"/>
          <w:divBdr>
            <w:top w:val="none" w:sz="0" w:space="0" w:color="auto"/>
            <w:left w:val="none" w:sz="0" w:space="0" w:color="auto"/>
            <w:bottom w:val="none" w:sz="0" w:space="0" w:color="auto"/>
            <w:right w:val="none" w:sz="0" w:space="0" w:color="auto"/>
          </w:divBdr>
        </w:div>
        <w:div w:id="355429479">
          <w:marLeft w:val="640"/>
          <w:marRight w:val="0"/>
          <w:marTop w:val="0"/>
          <w:marBottom w:val="0"/>
          <w:divBdr>
            <w:top w:val="none" w:sz="0" w:space="0" w:color="auto"/>
            <w:left w:val="none" w:sz="0" w:space="0" w:color="auto"/>
            <w:bottom w:val="none" w:sz="0" w:space="0" w:color="auto"/>
            <w:right w:val="none" w:sz="0" w:space="0" w:color="auto"/>
          </w:divBdr>
        </w:div>
        <w:div w:id="97065639">
          <w:marLeft w:val="640"/>
          <w:marRight w:val="0"/>
          <w:marTop w:val="0"/>
          <w:marBottom w:val="0"/>
          <w:divBdr>
            <w:top w:val="none" w:sz="0" w:space="0" w:color="auto"/>
            <w:left w:val="none" w:sz="0" w:space="0" w:color="auto"/>
            <w:bottom w:val="none" w:sz="0" w:space="0" w:color="auto"/>
            <w:right w:val="none" w:sz="0" w:space="0" w:color="auto"/>
          </w:divBdr>
        </w:div>
        <w:div w:id="668366678">
          <w:marLeft w:val="640"/>
          <w:marRight w:val="0"/>
          <w:marTop w:val="0"/>
          <w:marBottom w:val="0"/>
          <w:divBdr>
            <w:top w:val="none" w:sz="0" w:space="0" w:color="auto"/>
            <w:left w:val="none" w:sz="0" w:space="0" w:color="auto"/>
            <w:bottom w:val="none" w:sz="0" w:space="0" w:color="auto"/>
            <w:right w:val="none" w:sz="0" w:space="0" w:color="auto"/>
          </w:divBdr>
        </w:div>
        <w:div w:id="936326267">
          <w:marLeft w:val="640"/>
          <w:marRight w:val="0"/>
          <w:marTop w:val="0"/>
          <w:marBottom w:val="0"/>
          <w:divBdr>
            <w:top w:val="none" w:sz="0" w:space="0" w:color="auto"/>
            <w:left w:val="none" w:sz="0" w:space="0" w:color="auto"/>
            <w:bottom w:val="none" w:sz="0" w:space="0" w:color="auto"/>
            <w:right w:val="none" w:sz="0" w:space="0" w:color="auto"/>
          </w:divBdr>
        </w:div>
        <w:div w:id="1605260437">
          <w:marLeft w:val="640"/>
          <w:marRight w:val="0"/>
          <w:marTop w:val="0"/>
          <w:marBottom w:val="0"/>
          <w:divBdr>
            <w:top w:val="none" w:sz="0" w:space="0" w:color="auto"/>
            <w:left w:val="none" w:sz="0" w:space="0" w:color="auto"/>
            <w:bottom w:val="none" w:sz="0" w:space="0" w:color="auto"/>
            <w:right w:val="none" w:sz="0" w:space="0" w:color="auto"/>
          </w:divBdr>
        </w:div>
        <w:div w:id="889993891">
          <w:marLeft w:val="640"/>
          <w:marRight w:val="0"/>
          <w:marTop w:val="0"/>
          <w:marBottom w:val="0"/>
          <w:divBdr>
            <w:top w:val="none" w:sz="0" w:space="0" w:color="auto"/>
            <w:left w:val="none" w:sz="0" w:space="0" w:color="auto"/>
            <w:bottom w:val="none" w:sz="0" w:space="0" w:color="auto"/>
            <w:right w:val="none" w:sz="0" w:space="0" w:color="auto"/>
          </w:divBdr>
        </w:div>
        <w:div w:id="37707898">
          <w:marLeft w:val="640"/>
          <w:marRight w:val="0"/>
          <w:marTop w:val="0"/>
          <w:marBottom w:val="0"/>
          <w:divBdr>
            <w:top w:val="none" w:sz="0" w:space="0" w:color="auto"/>
            <w:left w:val="none" w:sz="0" w:space="0" w:color="auto"/>
            <w:bottom w:val="none" w:sz="0" w:space="0" w:color="auto"/>
            <w:right w:val="none" w:sz="0" w:space="0" w:color="auto"/>
          </w:divBdr>
        </w:div>
        <w:div w:id="989477823">
          <w:marLeft w:val="640"/>
          <w:marRight w:val="0"/>
          <w:marTop w:val="0"/>
          <w:marBottom w:val="0"/>
          <w:divBdr>
            <w:top w:val="none" w:sz="0" w:space="0" w:color="auto"/>
            <w:left w:val="none" w:sz="0" w:space="0" w:color="auto"/>
            <w:bottom w:val="none" w:sz="0" w:space="0" w:color="auto"/>
            <w:right w:val="none" w:sz="0" w:space="0" w:color="auto"/>
          </w:divBdr>
        </w:div>
        <w:div w:id="1019695871">
          <w:marLeft w:val="640"/>
          <w:marRight w:val="0"/>
          <w:marTop w:val="0"/>
          <w:marBottom w:val="0"/>
          <w:divBdr>
            <w:top w:val="none" w:sz="0" w:space="0" w:color="auto"/>
            <w:left w:val="none" w:sz="0" w:space="0" w:color="auto"/>
            <w:bottom w:val="none" w:sz="0" w:space="0" w:color="auto"/>
            <w:right w:val="none" w:sz="0" w:space="0" w:color="auto"/>
          </w:divBdr>
        </w:div>
        <w:div w:id="433136335">
          <w:marLeft w:val="640"/>
          <w:marRight w:val="0"/>
          <w:marTop w:val="0"/>
          <w:marBottom w:val="0"/>
          <w:divBdr>
            <w:top w:val="none" w:sz="0" w:space="0" w:color="auto"/>
            <w:left w:val="none" w:sz="0" w:space="0" w:color="auto"/>
            <w:bottom w:val="none" w:sz="0" w:space="0" w:color="auto"/>
            <w:right w:val="none" w:sz="0" w:space="0" w:color="auto"/>
          </w:divBdr>
        </w:div>
        <w:div w:id="528569945">
          <w:marLeft w:val="640"/>
          <w:marRight w:val="0"/>
          <w:marTop w:val="0"/>
          <w:marBottom w:val="0"/>
          <w:divBdr>
            <w:top w:val="none" w:sz="0" w:space="0" w:color="auto"/>
            <w:left w:val="none" w:sz="0" w:space="0" w:color="auto"/>
            <w:bottom w:val="none" w:sz="0" w:space="0" w:color="auto"/>
            <w:right w:val="none" w:sz="0" w:space="0" w:color="auto"/>
          </w:divBdr>
        </w:div>
        <w:div w:id="1433549030">
          <w:marLeft w:val="640"/>
          <w:marRight w:val="0"/>
          <w:marTop w:val="0"/>
          <w:marBottom w:val="0"/>
          <w:divBdr>
            <w:top w:val="none" w:sz="0" w:space="0" w:color="auto"/>
            <w:left w:val="none" w:sz="0" w:space="0" w:color="auto"/>
            <w:bottom w:val="none" w:sz="0" w:space="0" w:color="auto"/>
            <w:right w:val="none" w:sz="0" w:space="0" w:color="auto"/>
          </w:divBdr>
        </w:div>
        <w:div w:id="1200781358">
          <w:marLeft w:val="640"/>
          <w:marRight w:val="0"/>
          <w:marTop w:val="0"/>
          <w:marBottom w:val="0"/>
          <w:divBdr>
            <w:top w:val="none" w:sz="0" w:space="0" w:color="auto"/>
            <w:left w:val="none" w:sz="0" w:space="0" w:color="auto"/>
            <w:bottom w:val="none" w:sz="0" w:space="0" w:color="auto"/>
            <w:right w:val="none" w:sz="0" w:space="0" w:color="auto"/>
          </w:divBdr>
        </w:div>
        <w:div w:id="1349520632">
          <w:marLeft w:val="640"/>
          <w:marRight w:val="0"/>
          <w:marTop w:val="0"/>
          <w:marBottom w:val="0"/>
          <w:divBdr>
            <w:top w:val="none" w:sz="0" w:space="0" w:color="auto"/>
            <w:left w:val="none" w:sz="0" w:space="0" w:color="auto"/>
            <w:bottom w:val="none" w:sz="0" w:space="0" w:color="auto"/>
            <w:right w:val="none" w:sz="0" w:space="0" w:color="auto"/>
          </w:divBdr>
        </w:div>
        <w:div w:id="220411855">
          <w:marLeft w:val="640"/>
          <w:marRight w:val="0"/>
          <w:marTop w:val="0"/>
          <w:marBottom w:val="0"/>
          <w:divBdr>
            <w:top w:val="none" w:sz="0" w:space="0" w:color="auto"/>
            <w:left w:val="none" w:sz="0" w:space="0" w:color="auto"/>
            <w:bottom w:val="none" w:sz="0" w:space="0" w:color="auto"/>
            <w:right w:val="none" w:sz="0" w:space="0" w:color="auto"/>
          </w:divBdr>
        </w:div>
        <w:div w:id="438376074">
          <w:marLeft w:val="640"/>
          <w:marRight w:val="0"/>
          <w:marTop w:val="0"/>
          <w:marBottom w:val="0"/>
          <w:divBdr>
            <w:top w:val="none" w:sz="0" w:space="0" w:color="auto"/>
            <w:left w:val="none" w:sz="0" w:space="0" w:color="auto"/>
            <w:bottom w:val="none" w:sz="0" w:space="0" w:color="auto"/>
            <w:right w:val="none" w:sz="0" w:space="0" w:color="auto"/>
          </w:divBdr>
        </w:div>
        <w:div w:id="207690705">
          <w:marLeft w:val="640"/>
          <w:marRight w:val="0"/>
          <w:marTop w:val="0"/>
          <w:marBottom w:val="0"/>
          <w:divBdr>
            <w:top w:val="none" w:sz="0" w:space="0" w:color="auto"/>
            <w:left w:val="none" w:sz="0" w:space="0" w:color="auto"/>
            <w:bottom w:val="none" w:sz="0" w:space="0" w:color="auto"/>
            <w:right w:val="none" w:sz="0" w:space="0" w:color="auto"/>
          </w:divBdr>
        </w:div>
        <w:div w:id="978270513">
          <w:marLeft w:val="640"/>
          <w:marRight w:val="0"/>
          <w:marTop w:val="0"/>
          <w:marBottom w:val="0"/>
          <w:divBdr>
            <w:top w:val="none" w:sz="0" w:space="0" w:color="auto"/>
            <w:left w:val="none" w:sz="0" w:space="0" w:color="auto"/>
            <w:bottom w:val="none" w:sz="0" w:space="0" w:color="auto"/>
            <w:right w:val="none" w:sz="0" w:space="0" w:color="auto"/>
          </w:divBdr>
        </w:div>
        <w:div w:id="631057365">
          <w:marLeft w:val="640"/>
          <w:marRight w:val="0"/>
          <w:marTop w:val="0"/>
          <w:marBottom w:val="0"/>
          <w:divBdr>
            <w:top w:val="none" w:sz="0" w:space="0" w:color="auto"/>
            <w:left w:val="none" w:sz="0" w:space="0" w:color="auto"/>
            <w:bottom w:val="none" w:sz="0" w:space="0" w:color="auto"/>
            <w:right w:val="none" w:sz="0" w:space="0" w:color="auto"/>
          </w:divBdr>
        </w:div>
        <w:div w:id="1853228096">
          <w:marLeft w:val="640"/>
          <w:marRight w:val="0"/>
          <w:marTop w:val="0"/>
          <w:marBottom w:val="0"/>
          <w:divBdr>
            <w:top w:val="none" w:sz="0" w:space="0" w:color="auto"/>
            <w:left w:val="none" w:sz="0" w:space="0" w:color="auto"/>
            <w:bottom w:val="none" w:sz="0" w:space="0" w:color="auto"/>
            <w:right w:val="none" w:sz="0" w:space="0" w:color="auto"/>
          </w:divBdr>
        </w:div>
        <w:div w:id="1340500490">
          <w:marLeft w:val="640"/>
          <w:marRight w:val="0"/>
          <w:marTop w:val="0"/>
          <w:marBottom w:val="0"/>
          <w:divBdr>
            <w:top w:val="none" w:sz="0" w:space="0" w:color="auto"/>
            <w:left w:val="none" w:sz="0" w:space="0" w:color="auto"/>
            <w:bottom w:val="none" w:sz="0" w:space="0" w:color="auto"/>
            <w:right w:val="none" w:sz="0" w:space="0" w:color="auto"/>
          </w:divBdr>
        </w:div>
        <w:div w:id="1453136438">
          <w:marLeft w:val="640"/>
          <w:marRight w:val="0"/>
          <w:marTop w:val="0"/>
          <w:marBottom w:val="0"/>
          <w:divBdr>
            <w:top w:val="none" w:sz="0" w:space="0" w:color="auto"/>
            <w:left w:val="none" w:sz="0" w:space="0" w:color="auto"/>
            <w:bottom w:val="none" w:sz="0" w:space="0" w:color="auto"/>
            <w:right w:val="none" w:sz="0" w:space="0" w:color="auto"/>
          </w:divBdr>
        </w:div>
        <w:div w:id="2110150820">
          <w:marLeft w:val="640"/>
          <w:marRight w:val="0"/>
          <w:marTop w:val="0"/>
          <w:marBottom w:val="0"/>
          <w:divBdr>
            <w:top w:val="none" w:sz="0" w:space="0" w:color="auto"/>
            <w:left w:val="none" w:sz="0" w:space="0" w:color="auto"/>
            <w:bottom w:val="none" w:sz="0" w:space="0" w:color="auto"/>
            <w:right w:val="none" w:sz="0" w:space="0" w:color="auto"/>
          </w:divBdr>
        </w:div>
        <w:div w:id="2030984380">
          <w:marLeft w:val="640"/>
          <w:marRight w:val="0"/>
          <w:marTop w:val="0"/>
          <w:marBottom w:val="0"/>
          <w:divBdr>
            <w:top w:val="none" w:sz="0" w:space="0" w:color="auto"/>
            <w:left w:val="none" w:sz="0" w:space="0" w:color="auto"/>
            <w:bottom w:val="none" w:sz="0" w:space="0" w:color="auto"/>
            <w:right w:val="none" w:sz="0" w:space="0" w:color="auto"/>
          </w:divBdr>
        </w:div>
        <w:div w:id="1146703209">
          <w:marLeft w:val="640"/>
          <w:marRight w:val="0"/>
          <w:marTop w:val="0"/>
          <w:marBottom w:val="0"/>
          <w:divBdr>
            <w:top w:val="none" w:sz="0" w:space="0" w:color="auto"/>
            <w:left w:val="none" w:sz="0" w:space="0" w:color="auto"/>
            <w:bottom w:val="none" w:sz="0" w:space="0" w:color="auto"/>
            <w:right w:val="none" w:sz="0" w:space="0" w:color="auto"/>
          </w:divBdr>
        </w:div>
        <w:div w:id="1961451938">
          <w:marLeft w:val="640"/>
          <w:marRight w:val="0"/>
          <w:marTop w:val="0"/>
          <w:marBottom w:val="0"/>
          <w:divBdr>
            <w:top w:val="none" w:sz="0" w:space="0" w:color="auto"/>
            <w:left w:val="none" w:sz="0" w:space="0" w:color="auto"/>
            <w:bottom w:val="none" w:sz="0" w:space="0" w:color="auto"/>
            <w:right w:val="none" w:sz="0" w:space="0" w:color="auto"/>
          </w:divBdr>
        </w:div>
        <w:div w:id="1985313574">
          <w:marLeft w:val="640"/>
          <w:marRight w:val="0"/>
          <w:marTop w:val="0"/>
          <w:marBottom w:val="0"/>
          <w:divBdr>
            <w:top w:val="none" w:sz="0" w:space="0" w:color="auto"/>
            <w:left w:val="none" w:sz="0" w:space="0" w:color="auto"/>
            <w:bottom w:val="none" w:sz="0" w:space="0" w:color="auto"/>
            <w:right w:val="none" w:sz="0" w:space="0" w:color="auto"/>
          </w:divBdr>
        </w:div>
        <w:div w:id="886062000">
          <w:marLeft w:val="640"/>
          <w:marRight w:val="0"/>
          <w:marTop w:val="0"/>
          <w:marBottom w:val="0"/>
          <w:divBdr>
            <w:top w:val="none" w:sz="0" w:space="0" w:color="auto"/>
            <w:left w:val="none" w:sz="0" w:space="0" w:color="auto"/>
            <w:bottom w:val="none" w:sz="0" w:space="0" w:color="auto"/>
            <w:right w:val="none" w:sz="0" w:space="0" w:color="auto"/>
          </w:divBdr>
        </w:div>
        <w:div w:id="71662692">
          <w:marLeft w:val="640"/>
          <w:marRight w:val="0"/>
          <w:marTop w:val="0"/>
          <w:marBottom w:val="0"/>
          <w:divBdr>
            <w:top w:val="none" w:sz="0" w:space="0" w:color="auto"/>
            <w:left w:val="none" w:sz="0" w:space="0" w:color="auto"/>
            <w:bottom w:val="none" w:sz="0" w:space="0" w:color="auto"/>
            <w:right w:val="none" w:sz="0" w:space="0" w:color="auto"/>
          </w:divBdr>
        </w:div>
        <w:div w:id="1301810601">
          <w:marLeft w:val="640"/>
          <w:marRight w:val="0"/>
          <w:marTop w:val="0"/>
          <w:marBottom w:val="0"/>
          <w:divBdr>
            <w:top w:val="none" w:sz="0" w:space="0" w:color="auto"/>
            <w:left w:val="none" w:sz="0" w:space="0" w:color="auto"/>
            <w:bottom w:val="none" w:sz="0" w:space="0" w:color="auto"/>
            <w:right w:val="none" w:sz="0" w:space="0" w:color="auto"/>
          </w:divBdr>
        </w:div>
        <w:div w:id="944851756">
          <w:marLeft w:val="640"/>
          <w:marRight w:val="0"/>
          <w:marTop w:val="0"/>
          <w:marBottom w:val="0"/>
          <w:divBdr>
            <w:top w:val="none" w:sz="0" w:space="0" w:color="auto"/>
            <w:left w:val="none" w:sz="0" w:space="0" w:color="auto"/>
            <w:bottom w:val="none" w:sz="0" w:space="0" w:color="auto"/>
            <w:right w:val="none" w:sz="0" w:space="0" w:color="auto"/>
          </w:divBdr>
        </w:div>
        <w:div w:id="976035599">
          <w:marLeft w:val="640"/>
          <w:marRight w:val="0"/>
          <w:marTop w:val="0"/>
          <w:marBottom w:val="0"/>
          <w:divBdr>
            <w:top w:val="none" w:sz="0" w:space="0" w:color="auto"/>
            <w:left w:val="none" w:sz="0" w:space="0" w:color="auto"/>
            <w:bottom w:val="none" w:sz="0" w:space="0" w:color="auto"/>
            <w:right w:val="none" w:sz="0" w:space="0" w:color="auto"/>
          </w:divBdr>
        </w:div>
        <w:div w:id="1505900877">
          <w:marLeft w:val="640"/>
          <w:marRight w:val="0"/>
          <w:marTop w:val="0"/>
          <w:marBottom w:val="0"/>
          <w:divBdr>
            <w:top w:val="none" w:sz="0" w:space="0" w:color="auto"/>
            <w:left w:val="none" w:sz="0" w:space="0" w:color="auto"/>
            <w:bottom w:val="none" w:sz="0" w:space="0" w:color="auto"/>
            <w:right w:val="none" w:sz="0" w:space="0" w:color="auto"/>
          </w:divBdr>
        </w:div>
        <w:div w:id="1320961278">
          <w:marLeft w:val="640"/>
          <w:marRight w:val="0"/>
          <w:marTop w:val="0"/>
          <w:marBottom w:val="0"/>
          <w:divBdr>
            <w:top w:val="none" w:sz="0" w:space="0" w:color="auto"/>
            <w:left w:val="none" w:sz="0" w:space="0" w:color="auto"/>
            <w:bottom w:val="none" w:sz="0" w:space="0" w:color="auto"/>
            <w:right w:val="none" w:sz="0" w:space="0" w:color="auto"/>
          </w:divBdr>
        </w:div>
        <w:div w:id="292953222">
          <w:marLeft w:val="640"/>
          <w:marRight w:val="0"/>
          <w:marTop w:val="0"/>
          <w:marBottom w:val="0"/>
          <w:divBdr>
            <w:top w:val="none" w:sz="0" w:space="0" w:color="auto"/>
            <w:left w:val="none" w:sz="0" w:space="0" w:color="auto"/>
            <w:bottom w:val="none" w:sz="0" w:space="0" w:color="auto"/>
            <w:right w:val="none" w:sz="0" w:space="0" w:color="auto"/>
          </w:divBdr>
        </w:div>
        <w:div w:id="2037919765">
          <w:marLeft w:val="640"/>
          <w:marRight w:val="0"/>
          <w:marTop w:val="0"/>
          <w:marBottom w:val="0"/>
          <w:divBdr>
            <w:top w:val="none" w:sz="0" w:space="0" w:color="auto"/>
            <w:left w:val="none" w:sz="0" w:space="0" w:color="auto"/>
            <w:bottom w:val="none" w:sz="0" w:space="0" w:color="auto"/>
            <w:right w:val="none" w:sz="0" w:space="0" w:color="auto"/>
          </w:divBdr>
        </w:div>
        <w:div w:id="207225961">
          <w:marLeft w:val="640"/>
          <w:marRight w:val="0"/>
          <w:marTop w:val="0"/>
          <w:marBottom w:val="0"/>
          <w:divBdr>
            <w:top w:val="none" w:sz="0" w:space="0" w:color="auto"/>
            <w:left w:val="none" w:sz="0" w:space="0" w:color="auto"/>
            <w:bottom w:val="none" w:sz="0" w:space="0" w:color="auto"/>
            <w:right w:val="none" w:sz="0" w:space="0" w:color="auto"/>
          </w:divBdr>
        </w:div>
        <w:div w:id="1741488430">
          <w:marLeft w:val="640"/>
          <w:marRight w:val="0"/>
          <w:marTop w:val="0"/>
          <w:marBottom w:val="0"/>
          <w:divBdr>
            <w:top w:val="none" w:sz="0" w:space="0" w:color="auto"/>
            <w:left w:val="none" w:sz="0" w:space="0" w:color="auto"/>
            <w:bottom w:val="none" w:sz="0" w:space="0" w:color="auto"/>
            <w:right w:val="none" w:sz="0" w:space="0" w:color="auto"/>
          </w:divBdr>
        </w:div>
        <w:div w:id="1049912573">
          <w:marLeft w:val="640"/>
          <w:marRight w:val="0"/>
          <w:marTop w:val="0"/>
          <w:marBottom w:val="0"/>
          <w:divBdr>
            <w:top w:val="none" w:sz="0" w:space="0" w:color="auto"/>
            <w:left w:val="none" w:sz="0" w:space="0" w:color="auto"/>
            <w:bottom w:val="none" w:sz="0" w:space="0" w:color="auto"/>
            <w:right w:val="none" w:sz="0" w:space="0" w:color="auto"/>
          </w:divBdr>
        </w:div>
        <w:div w:id="1251429502">
          <w:marLeft w:val="640"/>
          <w:marRight w:val="0"/>
          <w:marTop w:val="0"/>
          <w:marBottom w:val="0"/>
          <w:divBdr>
            <w:top w:val="none" w:sz="0" w:space="0" w:color="auto"/>
            <w:left w:val="none" w:sz="0" w:space="0" w:color="auto"/>
            <w:bottom w:val="none" w:sz="0" w:space="0" w:color="auto"/>
            <w:right w:val="none" w:sz="0" w:space="0" w:color="auto"/>
          </w:divBdr>
        </w:div>
        <w:div w:id="739249783">
          <w:marLeft w:val="640"/>
          <w:marRight w:val="0"/>
          <w:marTop w:val="0"/>
          <w:marBottom w:val="0"/>
          <w:divBdr>
            <w:top w:val="none" w:sz="0" w:space="0" w:color="auto"/>
            <w:left w:val="none" w:sz="0" w:space="0" w:color="auto"/>
            <w:bottom w:val="none" w:sz="0" w:space="0" w:color="auto"/>
            <w:right w:val="none" w:sz="0" w:space="0" w:color="auto"/>
          </w:divBdr>
        </w:div>
        <w:div w:id="2100977207">
          <w:marLeft w:val="640"/>
          <w:marRight w:val="0"/>
          <w:marTop w:val="0"/>
          <w:marBottom w:val="0"/>
          <w:divBdr>
            <w:top w:val="none" w:sz="0" w:space="0" w:color="auto"/>
            <w:left w:val="none" w:sz="0" w:space="0" w:color="auto"/>
            <w:bottom w:val="none" w:sz="0" w:space="0" w:color="auto"/>
            <w:right w:val="none" w:sz="0" w:space="0" w:color="auto"/>
          </w:divBdr>
        </w:div>
        <w:div w:id="335882806">
          <w:marLeft w:val="640"/>
          <w:marRight w:val="0"/>
          <w:marTop w:val="0"/>
          <w:marBottom w:val="0"/>
          <w:divBdr>
            <w:top w:val="none" w:sz="0" w:space="0" w:color="auto"/>
            <w:left w:val="none" w:sz="0" w:space="0" w:color="auto"/>
            <w:bottom w:val="none" w:sz="0" w:space="0" w:color="auto"/>
            <w:right w:val="none" w:sz="0" w:space="0" w:color="auto"/>
          </w:divBdr>
        </w:div>
        <w:div w:id="949165062">
          <w:marLeft w:val="640"/>
          <w:marRight w:val="0"/>
          <w:marTop w:val="0"/>
          <w:marBottom w:val="0"/>
          <w:divBdr>
            <w:top w:val="none" w:sz="0" w:space="0" w:color="auto"/>
            <w:left w:val="none" w:sz="0" w:space="0" w:color="auto"/>
            <w:bottom w:val="none" w:sz="0" w:space="0" w:color="auto"/>
            <w:right w:val="none" w:sz="0" w:space="0" w:color="auto"/>
          </w:divBdr>
        </w:div>
        <w:div w:id="476454813">
          <w:marLeft w:val="640"/>
          <w:marRight w:val="0"/>
          <w:marTop w:val="0"/>
          <w:marBottom w:val="0"/>
          <w:divBdr>
            <w:top w:val="none" w:sz="0" w:space="0" w:color="auto"/>
            <w:left w:val="none" w:sz="0" w:space="0" w:color="auto"/>
            <w:bottom w:val="none" w:sz="0" w:space="0" w:color="auto"/>
            <w:right w:val="none" w:sz="0" w:space="0" w:color="auto"/>
          </w:divBdr>
        </w:div>
        <w:div w:id="545677029">
          <w:marLeft w:val="640"/>
          <w:marRight w:val="0"/>
          <w:marTop w:val="0"/>
          <w:marBottom w:val="0"/>
          <w:divBdr>
            <w:top w:val="none" w:sz="0" w:space="0" w:color="auto"/>
            <w:left w:val="none" w:sz="0" w:space="0" w:color="auto"/>
            <w:bottom w:val="none" w:sz="0" w:space="0" w:color="auto"/>
            <w:right w:val="none" w:sz="0" w:space="0" w:color="auto"/>
          </w:divBdr>
        </w:div>
        <w:div w:id="1388068250">
          <w:marLeft w:val="640"/>
          <w:marRight w:val="0"/>
          <w:marTop w:val="0"/>
          <w:marBottom w:val="0"/>
          <w:divBdr>
            <w:top w:val="none" w:sz="0" w:space="0" w:color="auto"/>
            <w:left w:val="none" w:sz="0" w:space="0" w:color="auto"/>
            <w:bottom w:val="none" w:sz="0" w:space="0" w:color="auto"/>
            <w:right w:val="none" w:sz="0" w:space="0" w:color="auto"/>
          </w:divBdr>
        </w:div>
        <w:div w:id="1771580680">
          <w:marLeft w:val="640"/>
          <w:marRight w:val="0"/>
          <w:marTop w:val="0"/>
          <w:marBottom w:val="0"/>
          <w:divBdr>
            <w:top w:val="none" w:sz="0" w:space="0" w:color="auto"/>
            <w:left w:val="none" w:sz="0" w:space="0" w:color="auto"/>
            <w:bottom w:val="none" w:sz="0" w:space="0" w:color="auto"/>
            <w:right w:val="none" w:sz="0" w:space="0" w:color="auto"/>
          </w:divBdr>
        </w:div>
        <w:div w:id="634140623">
          <w:marLeft w:val="640"/>
          <w:marRight w:val="0"/>
          <w:marTop w:val="0"/>
          <w:marBottom w:val="0"/>
          <w:divBdr>
            <w:top w:val="none" w:sz="0" w:space="0" w:color="auto"/>
            <w:left w:val="none" w:sz="0" w:space="0" w:color="auto"/>
            <w:bottom w:val="none" w:sz="0" w:space="0" w:color="auto"/>
            <w:right w:val="none" w:sz="0" w:space="0" w:color="auto"/>
          </w:divBdr>
        </w:div>
        <w:div w:id="877936539">
          <w:marLeft w:val="640"/>
          <w:marRight w:val="0"/>
          <w:marTop w:val="0"/>
          <w:marBottom w:val="0"/>
          <w:divBdr>
            <w:top w:val="none" w:sz="0" w:space="0" w:color="auto"/>
            <w:left w:val="none" w:sz="0" w:space="0" w:color="auto"/>
            <w:bottom w:val="none" w:sz="0" w:space="0" w:color="auto"/>
            <w:right w:val="none" w:sz="0" w:space="0" w:color="auto"/>
          </w:divBdr>
        </w:div>
        <w:div w:id="1376470423">
          <w:marLeft w:val="640"/>
          <w:marRight w:val="0"/>
          <w:marTop w:val="0"/>
          <w:marBottom w:val="0"/>
          <w:divBdr>
            <w:top w:val="none" w:sz="0" w:space="0" w:color="auto"/>
            <w:left w:val="none" w:sz="0" w:space="0" w:color="auto"/>
            <w:bottom w:val="none" w:sz="0" w:space="0" w:color="auto"/>
            <w:right w:val="none" w:sz="0" w:space="0" w:color="auto"/>
          </w:divBdr>
        </w:div>
        <w:div w:id="16932102">
          <w:marLeft w:val="640"/>
          <w:marRight w:val="0"/>
          <w:marTop w:val="0"/>
          <w:marBottom w:val="0"/>
          <w:divBdr>
            <w:top w:val="none" w:sz="0" w:space="0" w:color="auto"/>
            <w:left w:val="none" w:sz="0" w:space="0" w:color="auto"/>
            <w:bottom w:val="none" w:sz="0" w:space="0" w:color="auto"/>
            <w:right w:val="none" w:sz="0" w:space="0" w:color="auto"/>
          </w:divBdr>
        </w:div>
        <w:div w:id="1835220102">
          <w:marLeft w:val="640"/>
          <w:marRight w:val="0"/>
          <w:marTop w:val="0"/>
          <w:marBottom w:val="0"/>
          <w:divBdr>
            <w:top w:val="none" w:sz="0" w:space="0" w:color="auto"/>
            <w:left w:val="none" w:sz="0" w:space="0" w:color="auto"/>
            <w:bottom w:val="none" w:sz="0" w:space="0" w:color="auto"/>
            <w:right w:val="none" w:sz="0" w:space="0" w:color="auto"/>
          </w:divBdr>
        </w:div>
        <w:div w:id="1545291850">
          <w:marLeft w:val="640"/>
          <w:marRight w:val="0"/>
          <w:marTop w:val="0"/>
          <w:marBottom w:val="0"/>
          <w:divBdr>
            <w:top w:val="none" w:sz="0" w:space="0" w:color="auto"/>
            <w:left w:val="none" w:sz="0" w:space="0" w:color="auto"/>
            <w:bottom w:val="none" w:sz="0" w:space="0" w:color="auto"/>
            <w:right w:val="none" w:sz="0" w:space="0" w:color="auto"/>
          </w:divBdr>
        </w:div>
        <w:div w:id="973097497">
          <w:marLeft w:val="640"/>
          <w:marRight w:val="0"/>
          <w:marTop w:val="0"/>
          <w:marBottom w:val="0"/>
          <w:divBdr>
            <w:top w:val="none" w:sz="0" w:space="0" w:color="auto"/>
            <w:left w:val="none" w:sz="0" w:space="0" w:color="auto"/>
            <w:bottom w:val="none" w:sz="0" w:space="0" w:color="auto"/>
            <w:right w:val="none" w:sz="0" w:space="0" w:color="auto"/>
          </w:divBdr>
        </w:div>
        <w:div w:id="1387989875">
          <w:marLeft w:val="640"/>
          <w:marRight w:val="0"/>
          <w:marTop w:val="0"/>
          <w:marBottom w:val="0"/>
          <w:divBdr>
            <w:top w:val="none" w:sz="0" w:space="0" w:color="auto"/>
            <w:left w:val="none" w:sz="0" w:space="0" w:color="auto"/>
            <w:bottom w:val="none" w:sz="0" w:space="0" w:color="auto"/>
            <w:right w:val="none" w:sz="0" w:space="0" w:color="auto"/>
          </w:divBdr>
        </w:div>
        <w:div w:id="1307974230">
          <w:marLeft w:val="640"/>
          <w:marRight w:val="0"/>
          <w:marTop w:val="0"/>
          <w:marBottom w:val="0"/>
          <w:divBdr>
            <w:top w:val="none" w:sz="0" w:space="0" w:color="auto"/>
            <w:left w:val="none" w:sz="0" w:space="0" w:color="auto"/>
            <w:bottom w:val="none" w:sz="0" w:space="0" w:color="auto"/>
            <w:right w:val="none" w:sz="0" w:space="0" w:color="auto"/>
          </w:divBdr>
        </w:div>
        <w:div w:id="2119250557">
          <w:marLeft w:val="640"/>
          <w:marRight w:val="0"/>
          <w:marTop w:val="0"/>
          <w:marBottom w:val="0"/>
          <w:divBdr>
            <w:top w:val="none" w:sz="0" w:space="0" w:color="auto"/>
            <w:left w:val="none" w:sz="0" w:space="0" w:color="auto"/>
            <w:bottom w:val="none" w:sz="0" w:space="0" w:color="auto"/>
            <w:right w:val="none" w:sz="0" w:space="0" w:color="auto"/>
          </w:divBdr>
        </w:div>
        <w:div w:id="1249844109">
          <w:marLeft w:val="640"/>
          <w:marRight w:val="0"/>
          <w:marTop w:val="0"/>
          <w:marBottom w:val="0"/>
          <w:divBdr>
            <w:top w:val="none" w:sz="0" w:space="0" w:color="auto"/>
            <w:left w:val="none" w:sz="0" w:space="0" w:color="auto"/>
            <w:bottom w:val="none" w:sz="0" w:space="0" w:color="auto"/>
            <w:right w:val="none" w:sz="0" w:space="0" w:color="auto"/>
          </w:divBdr>
        </w:div>
        <w:div w:id="739905493">
          <w:marLeft w:val="640"/>
          <w:marRight w:val="0"/>
          <w:marTop w:val="0"/>
          <w:marBottom w:val="0"/>
          <w:divBdr>
            <w:top w:val="none" w:sz="0" w:space="0" w:color="auto"/>
            <w:left w:val="none" w:sz="0" w:space="0" w:color="auto"/>
            <w:bottom w:val="none" w:sz="0" w:space="0" w:color="auto"/>
            <w:right w:val="none" w:sz="0" w:space="0" w:color="auto"/>
          </w:divBdr>
        </w:div>
        <w:div w:id="201065603">
          <w:marLeft w:val="640"/>
          <w:marRight w:val="0"/>
          <w:marTop w:val="0"/>
          <w:marBottom w:val="0"/>
          <w:divBdr>
            <w:top w:val="none" w:sz="0" w:space="0" w:color="auto"/>
            <w:left w:val="none" w:sz="0" w:space="0" w:color="auto"/>
            <w:bottom w:val="none" w:sz="0" w:space="0" w:color="auto"/>
            <w:right w:val="none" w:sz="0" w:space="0" w:color="auto"/>
          </w:divBdr>
        </w:div>
        <w:div w:id="53630770">
          <w:marLeft w:val="640"/>
          <w:marRight w:val="0"/>
          <w:marTop w:val="0"/>
          <w:marBottom w:val="0"/>
          <w:divBdr>
            <w:top w:val="none" w:sz="0" w:space="0" w:color="auto"/>
            <w:left w:val="none" w:sz="0" w:space="0" w:color="auto"/>
            <w:bottom w:val="none" w:sz="0" w:space="0" w:color="auto"/>
            <w:right w:val="none" w:sz="0" w:space="0" w:color="auto"/>
          </w:divBdr>
        </w:div>
        <w:div w:id="1517424921">
          <w:marLeft w:val="640"/>
          <w:marRight w:val="0"/>
          <w:marTop w:val="0"/>
          <w:marBottom w:val="0"/>
          <w:divBdr>
            <w:top w:val="none" w:sz="0" w:space="0" w:color="auto"/>
            <w:left w:val="none" w:sz="0" w:space="0" w:color="auto"/>
            <w:bottom w:val="none" w:sz="0" w:space="0" w:color="auto"/>
            <w:right w:val="none" w:sz="0" w:space="0" w:color="auto"/>
          </w:divBdr>
        </w:div>
        <w:div w:id="1208107515">
          <w:marLeft w:val="640"/>
          <w:marRight w:val="0"/>
          <w:marTop w:val="0"/>
          <w:marBottom w:val="0"/>
          <w:divBdr>
            <w:top w:val="none" w:sz="0" w:space="0" w:color="auto"/>
            <w:left w:val="none" w:sz="0" w:space="0" w:color="auto"/>
            <w:bottom w:val="none" w:sz="0" w:space="0" w:color="auto"/>
            <w:right w:val="none" w:sz="0" w:space="0" w:color="auto"/>
          </w:divBdr>
        </w:div>
        <w:div w:id="60100960">
          <w:marLeft w:val="640"/>
          <w:marRight w:val="0"/>
          <w:marTop w:val="0"/>
          <w:marBottom w:val="0"/>
          <w:divBdr>
            <w:top w:val="none" w:sz="0" w:space="0" w:color="auto"/>
            <w:left w:val="none" w:sz="0" w:space="0" w:color="auto"/>
            <w:bottom w:val="none" w:sz="0" w:space="0" w:color="auto"/>
            <w:right w:val="none" w:sz="0" w:space="0" w:color="auto"/>
          </w:divBdr>
        </w:div>
        <w:div w:id="65538917">
          <w:marLeft w:val="640"/>
          <w:marRight w:val="0"/>
          <w:marTop w:val="0"/>
          <w:marBottom w:val="0"/>
          <w:divBdr>
            <w:top w:val="none" w:sz="0" w:space="0" w:color="auto"/>
            <w:left w:val="none" w:sz="0" w:space="0" w:color="auto"/>
            <w:bottom w:val="none" w:sz="0" w:space="0" w:color="auto"/>
            <w:right w:val="none" w:sz="0" w:space="0" w:color="auto"/>
          </w:divBdr>
        </w:div>
        <w:div w:id="948855731">
          <w:marLeft w:val="640"/>
          <w:marRight w:val="0"/>
          <w:marTop w:val="0"/>
          <w:marBottom w:val="0"/>
          <w:divBdr>
            <w:top w:val="none" w:sz="0" w:space="0" w:color="auto"/>
            <w:left w:val="none" w:sz="0" w:space="0" w:color="auto"/>
            <w:bottom w:val="none" w:sz="0" w:space="0" w:color="auto"/>
            <w:right w:val="none" w:sz="0" w:space="0" w:color="auto"/>
          </w:divBdr>
        </w:div>
        <w:div w:id="1244877896">
          <w:marLeft w:val="640"/>
          <w:marRight w:val="0"/>
          <w:marTop w:val="0"/>
          <w:marBottom w:val="0"/>
          <w:divBdr>
            <w:top w:val="none" w:sz="0" w:space="0" w:color="auto"/>
            <w:left w:val="none" w:sz="0" w:space="0" w:color="auto"/>
            <w:bottom w:val="none" w:sz="0" w:space="0" w:color="auto"/>
            <w:right w:val="none" w:sz="0" w:space="0" w:color="auto"/>
          </w:divBdr>
        </w:div>
        <w:div w:id="1118328884">
          <w:marLeft w:val="640"/>
          <w:marRight w:val="0"/>
          <w:marTop w:val="0"/>
          <w:marBottom w:val="0"/>
          <w:divBdr>
            <w:top w:val="none" w:sz="0" w:space="0" w:color="auto"/>
            <w:left w:val="none" w:sz="0" w:space="0" w:color="auto"/>
            <w:bottom w:val="none" w:sz="0" w:space="0" w:color="auto"/>
            <w:right w:val="none" w:sz="0" w:space="0" w:color="auto"/>
          </w:divBdr>
        </w:div>
        <w:div w:id="800609580">
          <w:marLeft w:val="640"/>
          <w:marRight w:val="0"/>
          <w:marTop w:val="0"/>
          <w:marBottom w:val="0"/>
          <w:divBdr>
            <w:top w:val="none" w:sz="0" w:space="0" w:color="auto"/>
            <w:left w:val="none" w:sz="0" w:space="0" w:color="auto"/>
            <w:bottom w:val="none" w:sz="0" w:space="0" w:color="auto"/>
            <w:right w:val="none" w:sz="0" w:space="0" w:color="auto"/>
          </w:divBdr>
        </w:div>
        <w:div w:id="2020230628">
          <w:marLeft w:val="640"/>
          <w:marRight w:val="0"/>
          <w:marTop w:val="0"/>
          <w:marBottom w:val="0"/>
          <w:divBdr>
            <w:top w:val="none" w:sz="0" w:space="0" w:color="auto"/>
            <w:left w:val="none" w:sz="0" w:space="0" w:color="auto"/>
            <w:bottom w:val="none" w:sz="0" w:space="0" w:color="auto"/>
            <w:right w:val="none" w:sz="0" w:space="0" w:color="auto"/>
          </w:divBdr>
        </w:div>
        <w:div w:id="151258400">
          <w:marLeft w:val="640"/>
          <w:marRight w:val="0"/>
          <w:marTop w:val="0"/>
          <w:marBottom w:val="0"/>
          <w:divBdr>
            <w:top w:val="none" w:sz="0" w:space="0" w:color="auto"/>
            <w:left w:val="none" w:sz="0" w:space="0" w:color="auto"/>
            <w:bottom w:val="none" w:sz="0" w:space="0" w:color="auto"/>
            <w:right w:val="none" w:sz="0" w:space="0" w:color="auto"/>
          </w:divBdr>
        </w:div>
        <w:div w:id="841697001">
          <w:marLeft w:val="640"/>
          <w:marRight w:val="0"/>
          <w:marTop w:val="0"/>
          <w:marBottom w:val="0"/>
          <w:divBdr>
            <w:top w:val="none" w:sz="0" w:space="0" w:color="auto"/>
            <w:left w:val="none" w:sz="0" w:space="0" w:color="auto"/>
            <w:bottom w:val="none" w:sz="0" w:space="0" w:color="auto"/>
            <w:right w:val="none" w:sz="0" w:space="0" w:color="auto"/>
          </w:divBdr>
        </w:div>
        <w:div w:id="1086801474">
          <w:marLeft w:val="640"/>
          <w:marRight w:val="0"/>
          <w:marTop w:val="0"/>
          <w:marBottom w:val="0"/>
          <w:divBdr>
            <w:top w:val="none" w:sz="0" w:space="0" w:color="auto"/>
            <w:left w:val="none" w:sz="0" w:space="0" w:color="auto"/>
            <w:bottom w:val="none" w:sz="0" w:space="0" w:color="auto"/>
            <w:right w:val="none" w:sz="0" w:space="0" w:color="auto"/>
          </w:divBdr>
        </w:div>
        <w:div w:id="1932622745">
          <w:marLeft w:val="640"/>
          <w:marRight w:val="0"/>
          <w:marTop w:val="0"/>
          <w:marBottom w:val="0"/>
          <w:divBdr>
            <w:top w:val="none" w:sz="0" w:space="0" w:color="auto"/>
            <w:left w:val="none" w:sz="0" w:space="0" w:color="auto"/>
            <w:bottom w:val="none" w:sz="0" w:space="0" w:color="auto"/>
            <w:right w:val="none" w:sz="0" w:space="0" w:color="auto"/>
          </w:divBdr>
        </w:div>
        <w:div w:id="1851069258">
          <w:marLeft w:val="640"/>
          <w:marRight w:val="0"/>
          <w:marTop w:val="0"/>
          <w:marBottom w:val="0"/>
          <w:divBdr>
            <w:top w:val="none" w:sz="0" w:space="0" w:color="auto"/>
            <w:left w:val="none" w:sz="0" w:space="0" w:color="auto"/>
            <w:bottom w:val="none" w:sz="0" w:space="0" w:color="auto"/>
            <w:right w:val="none" w:sz="0" w:space="0" w:color="auto"/>
          </w:divBdr>
        </w:div>
        <w:div w:id="11541578">
          <w:marLeft w:val="640"/>
          <w:marRight w:val="0"/>
          <w:marTop w:val="0"/>
          <w:marBottom w:val="0"/>
          <w:divBdr>
            <w:top w:val="none" w:sz="0" w:space="0" w:color="auto"/>
            <w:left w:val="none" w:sz="0" w:space="0" w:color="auto"/>
            <w:bottom w:val="none" w:sz="0" w:space="0" w:color="auto"/>
            <w:right w:val="none" w:sz="0" w:space="0" w:color="auto"/>
          </w:divBdr>
        </w:div>
        <w:div w:id="2143226302">
          <w:marLeft w:val="640"/>
          <w:marRight w:val="0"/>
          <w:marTop w:val="0"/>
          <w:marBottom w:val="0"/>
          <w:divBdr>
            <w:top w:val="none" w:sz="0" w:space="0" w:color="auto"/>
            <w:left w:val="none" w:sz="0" w:space="0" w:color="auto"/>
            <w:bottom w:val="none" w:sz="0" w:space="0" w:color="auto"/>
            <w:right w:val="none" w:sz="0" w:space="0" w:color="auto"/>
          </w:divBdr>
        </w:div>
        <w:div w:id="1453209659">
          <w:marLeft w:val="640"/>
          <w:marRight w:val="0"/>
          <w:marTop w:val="0"/>
          <w:marBottom w:val="0"/>
          <w:divBdr>
            <w:top w:val="none" w:sz="0" w:space="0" w:color="auto"/>
            <w:left w:val="none" w:sz="0" w:space="0" w:color="auto"/>
            <w:bottom w:val="none" w:sz="0" w:space="0" w:color="auto"/>
            <w:right w:val="none" w:sz="0" w:space="0" w:color="auto"/>
          </w:divBdr>
        </w:div>
        <w:div w:id="361059090">
          <w:marLeft w:val="640"/>
          <w:marRight w:val="0"/>
          <w:marTop w:val="0"/>
          <w:marBottom w:val="0"/>
          <w:divBdr>
            <w:top w:val="none" w:sz="0" w:space="0" w:color="auto"/>
            <w:left w:val="none" w:sz="0" w:space="0" w:color="auto"/>
            <w:bottom w:val="none" w:sz="0" w:space="0" w:color="auto"/>
            <w:right w:val="none" w:sz="0" w:space="0" w:color="auto"/>
          </w:divBdr>
        </w:div>
        <w:div w:id="1300453283">
          <w:marLeft w:val="640"/>
          <w:marRight w:val="0"/>
          <w:marTop w:val="0"/>
          <w:marBottom w:val="0"/>
          <w:divBdr>
            <w:top w:val="none" w:sz="0" w:space="0" w:color="auto"/>
            <w:left w:val="none" w:sz="0" w:space="0" w:color="auto"/>
            <w:bottom w:val="none" w:sz="0" w:space="0" w:color="auto"/>
            <w:right w:val="none" w:sz="0" w:space="0" w:color="auto"/>
          </w:divBdr>
        </w:div>
        <w:div w:id="2138640874">
          <w:marLeft w:val="640"/>
          <w:marRight w:val="0"/>
          <w:marTop w:val="0"/>
          <w:marBottom w:val="0"/>
          <w:divBdr>
            <w:top w:val="none" w:sz="0" w:space="0" w:color="auto"/>
            <w:left w:val="none" w:sz="0" w:space="0" w:color="auto"/>
            <w:bottom w:val="none" w:sz="0" w:space="0" w:color="auto"/>
            <w:right w:val="none" w:sz="0" w:space="0" w:color="auto"/>
          </w:divBdr>
        </w:div>
        <w:div w:id="2053840706">
          <w:marLeft w:val="640"/>
          <w:marRight w:val="0"/>
          <w:marTop w:val="0"/>
          <w:marBottom w:val="0"/>
          <w:divBdr>
            <w:top w:val="none" w:sz="0" w:space="0" w:color="auto"/>
            <w:left w:val="none" w:sz="0" w:space="0" w:color="auto"/>
            <w:bottom w:val="none" w:sz="0" w:space="0" w:color="auto"/>
            <w:right w:val="none" w:sz="0" w:space="0" w:color="auto"/>
          </w:divBdr>
        </w:div>
        <w:div w:id="1851409435">
          <w:marLeft w:val="640"/>
          <w:marRight w:val="0"/>
          <w:marTop w:val="0"/>
          <w:marBottom w:val="0"/>
          <w:divBdr>
            <w:top w:val="none" w:sz="0" w:space="0" w:color="auto"/>
            <w:left w:val="none" w:sz="0" w:space="0" w:color="auto"/>
            <w:bottom w:val="none" w:sz="0" w:space="0" w:color="auto"/>
            <w:right w:val="none" w:sz="0" w:space="0" w:color="auto"/>
          </w:divBdr>
        </w:div>
        <w:div w:id="866715076">
          <w:marLeft w:val="640"/>
          <w:marRight w:val="0"/>
          <w:marTop w:val="0"/>
          <w:marBottom w:val="0"/>
          <w:divBdr>
            <w:top w:val="none" w:sz="0" w:space="0" w:color="auto"/>
            <w:left w:val="none" w:sz="0" w:space="0" w:color="auto"/>
            <w:bottom w:val="none" w:sz="0" w:space="0" w:color="auto"/>
            <w:right w:val="none" w:sz="0" w:space="0" w:color="auto"/>
          </w:divBdr>
        </w:div>
        <w:div w:id="1538422622">
          <w:marLeft w:val="640"/>
          <w:marRight w:val="0"/>
          <w:marTop w:val="0"/>
          <w:marBottom w:val="0"/>
          <w:divBdr>
            <w:top w:val="none" w:sz="0" w:space="0" w:color="auto"/>
            <w:left w:val="none" w:sz="0" w:space="0" w:color="auto"/>
            <w:bottom w:val="none" w:sz="0" w:space="0" w:color="auto"/>
            <w:right w:val="none" w:sz="0" w:space="0" w:color="auto"/>
          </w:divBdr>
        </w:div>
        <w:div w:id="458690920">
          <w:marLeft w:val="640"/>
          <w:marRight w:val="0"/>
          <w:marTop w:val="0"/>
          <w:marBottom w:val="0"/>
          <w:divBdr>
            <w:top w:val="none" w:sz="0" w:space="0" w:color="auto"/>
            <w:left w:val="none" w:sz="0" w:space="0" w:color="auto"/>
            <w:bottom w:val="none" w:sz="0" w:space="0" w:color="auto"/>
            <w:right w:val="none" w:sz="0" w:space="0" w:color="auto"/>
          </w:divBdr>
        </w:div>
        <w:div w:id="1114209753">
          <w:marLeft w:val="640"/>
          <w:marRight w:val="0"/>
          <w:marTop w:val="0"/>
          <w:marBottom w:val="0"/>
          <w:divBdr>
            <w:top w:val="none" w:sz="0" w:space="0" w:color="auto"/>
            <w:left w:val="none" w:sz="0" w:space="0" w:color="auto"/>
            <w:bottom w:val="none" w:sz="0" w:space="0" w:color="auto"/>
            <w:right w:val="none" w:sz="0" w:space="0" w:color="auto"/>
          </w:divBdr>
        </w:div>
        <w:div w:id="90592070">
          <w:marLeft w:val="640"/>
          <w:marRight w:val="0"/>
          <w:marTop w:val="0"/>
          <w:marBottom w:val="0"/>
          <w:divBdr>
            <w:top w:val="none" w:sz="0" w:space="0" w:color="auto"/>
            <w:left w:val="none" w:sz="0" w:space="0" w:color="auto"/>
            <w:bottom w:val="none" w:sz="0" w:space="0" w:color="auto"/>
            <w:right w:val="none" w:sz="0" w:space="0" w:color="auto"/>
          </w:divBdr>
        </w:div>
        <w:div w:id="619730170">
          <w:marLeft w:val="640"/>
          <w:marRight w:val="0"/>
          <w:marTop w:val="0"/>
          <w:marBottom w:val="0"/>
          <w:divBdr>
            <w:top w:val="none" w:sz="0" w:space="0" w:color="auto"/>
            <w:left w:val="none" w:sz="0" w:space="0" w:color="auto"/>
            <w:bottom w:val="none" w:sz="0" w:space="0" w:color="auto"/>
            <w:right w:val="none" w:sz="0" w:space="0" w:color="auto"/>
          </w:divBdr>
        </w:div>
        <w:div w:id="1859466575">
          <w:marLeft w:val="640"/>
          <w:marRight w:val="0"/>
          <w:marTop w:val="0"/>
          <w:marBottom w:val="0"/>
          <w:divBdr>
            <w:top w:val="none" w:sz="0" w:space="0" w:color="auto"/>
            <w:left w:val="none" w:sz="0" w:space="0" w:color="auto"/>
            <w:bottom w:val="none" w:sz="0" w:space="0" w:color="auto"/>
            <w:right w:val="none" w:sz="0" w:space="0" w:color="auto"/>
          </w:divBdr>
        </w:div>
        <w:div w:id="1663661742">
          <w:marLeft w:val="640"/>
          <w:marRight w:val="0"/>
          <w:marTop w:val="0"/>
          <w:marBottom w:val="0"/>
          <w:divBdr>
            <w:top w:val="none" w:sz="0" w:space="0" w:color="auto"/>
            <w:left w:val="none" w:sz="0" w:space="0" w:color="auto"/>
            <w:bottom w:val="none" w:sz="0" w:space="0" w:color="auto"/>
            <w:right w:val="none" w:sz="0" w:space="0" w:color="auto"/>
          </w:divBdr>
        </w:div>
        <w:div w:id="92435111">
          <w:marLeft w:val="640"/>
          <w:marRight w:val="0"/>
          <w:marTop w:val="0"/>
          <w:marBottom w:val="0"/>
          <w:divBdr>
            <w:top w:val="none" w:sz="0" w:space="0" w:color="auto"/>
            <w:left w:val="none" w:sz="0" w:space="0" w:color="auto"/>
            <w:bottom w:val="none" w:sz="0" w:space="0" w:color="auto"/>
            <w:right w:val="none" w:sz="0" w:space="0" w:color="auto"/>
          </w:divBdr>
        </w:div>
        <w:div w:id="1002706038">
          <w:marLeft w:val="640"/>
          <w:marRight w:val="0"/>
          <w:marTop w:val="0"/>
          <w:marBottom w:val="0"/>
          <w:divBdr>
            <w:top w:val="none" w:sz="0" w:space="0" w:color="auto"/>
            <w:left w:val="none" w:sz="0" w:space="0" w:color="auto"/>
            <w:bottom w:val="none" w:sz="0" w:space="0" w:color="auto"/>
            <w:right w:val="none" w:sz="0" w:space="0" w:color="auto"/>
          </w:divBdr>
        </w:div>
        <w:div w:id="1524128372">
          <w:marLeft w:val="640"/>
          <w:marRight w:val="0"/>
          <w:marTop w:val="0"/>
          <w:marBottom w:val="0"/>
          <w:divBdr>
            <w:top w:val="none" w:sz="0" w:space="0" w:color="auto"/>
            <w:left w:val="none" w:sz="0" w:space="0" w:color="auto"/>
            <w:bottom w:val="none" w:sz="0" w:space="0" w:color="auto"/>
            <w:right w:val="none" w:sz="0" w:space="0" w:color="auto"/>
          </w:divBdr>
        </w:div>
        <w:div w:id="484317599">
          <w:marLeft w:val="640"/>
          <w:marRight w:val="0"/>
          <w:marTop w:val="0"/>
          <w:marBottom w:val="0"/>
          <w:divBdr>
            <w:top w:val="none" w:sz="0" w:space="0" w:color="auto"/>
            <w:left w:val="none" w:sz="0" w:space="0" w:color="auto"/>
            <w:bottom w:val="none" w:sz="0" w:space="0" w:color="auto"/>
            <w:right w:val="none" w:sz="0" w:space="0" w:color="auto"/>
          </w:divBdr>
        </w:div>
        <w:div w:id="22245290">
          <w:marLeft w:val="640"/>
          <w:marRight w:val="0"/>
          <w:marTop w:val="0"/>
          <w:marBottom w:val="0"/>
          <w:divBdr>
            <w:top w:val="none" w:sz="0" w:space="0" w:color="auto"/>
            <w:left w:val="none" w:sz="0" w:space="0" w:color="auto"/>
            <w:bottom w:val="none" w:sz="0" w:space="0" w:color="auto"/>
            <w:right w:val="none" w:sz="0" w:space="0" w:color="auto"/>
          </w:divBdr>
        </w:div>
        <w:div w:id="2133132043">
          <w:marLeft w:val="640"/>
          <w:marRight w:val="0"/>
          <w:marTop w:val="0"/>
          <w:marBottom w:val="0"/>
          <w:divBdr>
            <w:top w:val="none" w:sz="0" w:space="0" w:color="auto"/>
            <w:left w:val="none" w:sz="0" w:space="0" w:color="auto"/>
            <w:bottom w:val="none" w:sz="0" w:space="0" w:color="auto"/>
            <w:right w:val="none" w:sz="0" w:space="0" w:color="auto"/>
          </w:divBdr>
        </w:div>
        <w:div w:id="1717659442">
          <w:marLeft w:val="640"/>
          <w:marRight w:val="0"/>
          <w:marTop w:val="0"/>
          <w:marBottom w:val="0"/>
          <w:divBdr>
            <w:top w:val="none" w:sz="0" w:space="0" w:color="auto"/>
            <w:left w:val="none" w:sz="0" w:space="0" w:color="auto"/>
            <w:bottom w:val="none" w:sz="0" w:space="0" w:color="auto"/>
            <w:right w:val="none" w:sz="0" w:space="0" w:color="auto"/>
          </w:divBdr>
        </w:div>
        <w:div w:id="2028943238">
          <w:marLeft w:val="640"/>
          <w:marRight w:val="0"/>
          <w:marTop w:val="0"/>
          <w:marBottom w:val="0"/>
          <w:divBdr>
            <w:top w:val="none" w:sz="0" w:space="0" w:color="auto"/>
            <w:left w:val="none" w:sz="0" w:space="0" w:color="auto"/>
            <w:bottom w:val="none" w:sz="0" w:space="0" w:color="auto"/>
            <w:right w:val="none" w:sz="0" w:space="0" w:color="auto"/>
          </w:divBdr>
        </w:div>
        <w:div w:id="1692297080">
          <w:marLeft w:val="640"/>
          <w:marRight w:val="0"/>
          <w:marTop w:val="0"/>
          <w:marBottom w:val="0"/>
          <w:divBdr>
            <w:top w:val="none" w:sz="0" w:space="0" w:color="auto"/>
            <w:left w:val="none" w:sz="0" w:space="0" w:color="auto"/>
            <w:bottom w:val="none" w:sz="0" w:space="0" w:color="auto"/>
            <w:right w:val="none" w:sz="0" w:space="0" w:color="auto"/>
          </w:divBdr>
        </w:div>
        <w:div w:id="1685285708">
          <w:marLeft w:val="640"/>
          <w:marRight w:val="0"/>
          <w:marTop w:val="0"/>
          <w:marBottom w:val="0"/>
          <w:divBdr>
            <w:top w:val="none" w:sz="0" w:space="0" w:color="auto"/>
            <w:left w:val="none" w:sz="0" w:space="0" w:color="auto"/>
            <w:bottom w:val="none" w:sz="0" w:space="0" w:color="auto"/>
            <w:right w:val="none" w:sz="0" w:space="0" w:color="auto"/>
          </w:divBdr>
        </w:div>
        <w:div w:id="947663366">
          <w:marLeft w:val="640"/>
          <w:marRight w:val="0"/>
          <w:marTop w:val="0"/>
          <w:marBottom w:val="0"/>
          <w:divBdr>
            <w:top w:val="none" w:sz="0" w:space="0" w:color="auto"/>
            <w:left w:val="none" w:sz="0" w:space="0" w:color="auto"/>
            <w:bottom w:val="none" w:sz="0" w:space="0" w:color="auto"/>
            <w:right w:val="none" w:sz="0" w:space="0" w:color="auto"/>
          </w:divBdr>
        </w:div>
        <w:div w:id="122622040">
          <w:marLeft w:val="640"/>
          <w:marRight w:val="0"/>
          <w:marTop w:val="0"/>
          <w:marBottom w:val="0"/>
          <w:divBdr>
            <w:top w:val="none" w:sz="0" w:space="0" w:color="auto"/>
            <w:left w:val="none" w:sz="0" w:space="0" w:color="auto"/>
            <w:bottom w:val="none" w:sz="0" w:space="0" w:color="auto"/>
            <w:right w:val="none" w:sz="0" w:space="0" w:color="auto"/>
          </w:divBdr>
        </w:div>
        <w:div w:id="815336675">
          <w:marLeft w:val="640"/>
          <w:marRight w:val="0"/>
          <w:marTop w:val="0"/>
          <w:marBottom w:val="0"/>
          <w:divBdr>
            <w:top w:val="none" w:sz="0" w:space="0" w:color="auto"/>
            <w:left w:val="none" w:sz="0" w:space="0" w:color="auto"/>
            <w:bottom w:val="none" w:sz="0" w:space="0" w:color="auto"/>
            <w:right w:val="none" w:sz="0" w:space="0" w:color="auto"/>
          </w:divBdr>
        </w:div>
        <w:div w:id="1726291991">
          <w:marLeft w:val="640"/>
          <w:marRight w:val="0"/>
          <w:marTop w:val="0"/>
          <w:marBottom w:val="0"/>
          <w:divBdr>
            <w:top w:val="none" w:sz="0" w:space="0" w:color="auto"/>
            <w:left w:val="none" w:sz="0" w:space="0" w:color="auto"/>
            <w:bottom w:val="none" w:sz="0" w:space="0" w:color="auto"/>
            <w:right w:val="none" w:sz="0" w:space="0" w:color="auto"/>
          </w:divBdr>
        </w:div>
        <w:div w:id="156116638">
          <w:marLeft w:val="640"/>
          <w:marRight w:val="0"/>
          <w:marTop w:val="0"/>
          <w:marBottom w:val="0"/>
          <w:divBdr>
            <w:top w:val="none" w:sz="0" w:space="0" w:color="auto"/>
            <w:left w:val="none" w:sz="0" w:space="0" w:color="auto"/>
            <w:bottom w:val="none" w:sz="0" w:space="0" w:color="auto"/>
            <w:right w:val="none" w:sz="0" w:space="0" w:color="auto"/>
          </w:divBdr>
        </w:div>
        <w:div w:id="451749858">
          <w:marLeft w:val="640"/>
          <w:marRight w:val="0"/>
          <w:marTop w:val="0"/>
          <w:marBottom w:val="0"/>
          <w:divBdr>
            <w:top w:val="none" w:sz="0" w:space="0" w:color="auto"/>
            <w:left w:val="none" w:sz="0" w:space="0" w:color="auto"/>
            <w:bottom w:val="none" w:sz="0" w:space="0" w:color="auto"/>
            <w:right w:val="none" w:sz="0" w:space="0" w:color="auto"/>
          </w:divBdr>
        </w:div>
        <w:div w:id="347222519">
          <w:marLeft w:val="640"/>
          <w:marRight w:val="0"/>
          <w:marTop w:val="0"/>
          <w:marBottom w:val="0"/>
          <w:divBdr>
            <w:top w:val="none" w:sz="0" w:space="0" w:color="auto"/>
            <w:left w:val="none" w:sz="0" w:space="0" w:color="auto"/>
            <w:bottom w:val="none" w:sz="0" w:space="0" w:color="auto"/>
            <w:right w:val="none" w:sz="0" w:space="0" w:color="auto"/>
          </w:divBdr>
        </w:div>
        <w:div w:id="200675054">
          <w:marLeft w:val="640"/>
          <w:marRight w:val="0"/>
          <w:marTop w:val="0"/>
          <w:marBottom w:val="0"/>
          <w:divBdr>
            <w:top w:val="none" w:sz="0" w:space="0" w:color="auto"/>
            <w:left w:val="none" w:sz="0" w:space="0" w:color="auto"/>
            <w:bottom w:val="none" w:sz="0" w:space="0" w:color="auto"/>
            <w:right w:val="none" w:sz="0" w:space="0" w:color="auto"/>
          </w:divBdr>
        </w:div>
        <w:div w:id="1008404666">
          <w:marLeft w:val="640"/>
          <w:marRight w:val="0"/>
          <w:marTop w:val="0"/>
          <w:marBottom w:val="0"/>
          <w:divBdr>
            <w:top w:val="none" w:sz="0" w:space="0" w:color="auto"/>
            <w:left w:val="none" w:sz="0" w:space="0" w:color="auto"/>
            <w:bottom w:val="none" w:sz="0" w:space="0" w:color="auto"/>
            <w:right w:val="none" w:sz="0" w:space="0" w:color="auto"/>
          </w:divBdr>
        </w:div>
        <w:div w:id="487020797">
          <w:marLeft w:val="640"/>
          <w:marRight w:val="0"/>
          <w:marTop w:val="0"/>
          <w:marBottom w:val="0"/>
          <w:divBdr>
            <w:top w:val="none" w:sz="0" w:space="0" w:color="auto"/>
            <w:left w:val="none" w:sz="0" w:space="0" w:color="auto"/>
            <w:bottom w:val="none" w:sz="0" w:space="0" w:color="auto"/>
            <w:right w:val="none" w:sz="0" w:space="0" w:color="auto"/>
          </w:divBdr>
        </w:div>
        <w:div w:id="1139147080">
          <w:marLeft w:val="640"/>
          <w:marRight w:val="0"/>
          <w:marTop w:val="0"/>
          <w:marBottom w:val="0"/>
          <w:divBdr>
            <w:top w:val="none" w:sz="0" w:space="0" w:color="auto"/>
            <w:left w:val="none" w:sz="0" w:space="0" w:color="auto"/>
            <w:bottom w:val="none" w:sz="0" w:space="0" w:color="auto"/>
            <w:right w:val="none" w:sz="0" w:space="0" w:color="auto"/>
          </w:divBdr>
        </w:div>
        <w:div w:id="1179075289">
          <w:marLeft w:val="640"/>
          <w:marRight w:val="0"/>
          <w:marTop w:val="0"/>
          <w:marBottom w:val="0"/>
          <w:divBdr>
            <w:top w:val="none" w:sz="0" w:space="0" w:color="auto"/>
            <w:left w:val="none" w:sz="0" w:space="0" w:color="auto"/>
            <w:bottom w:val="none" w:sz="0" w:space="0" w:color="auto"/>
            <w:right w:val="none" w:sz="0" w:space="0" w:color="auto"/>
          </w:divBdr>
        </w:div>
        <w:div w:id="85659548">
          <w:marLeft w:val="640"/>
          <w:marRight w:val="0"/>
          <w:marTop w:val="0"/>
          <w:marBottom w:val="0"/>
          <w:divBdr>
            <w:top w:val="none" w:sz="0" w:space="0" w:color="auto"/>
            <w:left w:val="none" w:sz="0" w:space="0" w:color="auto"/>
            <w:bottom w:val="none" w:sz="0" w:space="0" w:color="auto"/>
            <w:right w:val="none" w:sz="0" w:space="0" w:color="auto"/>
          </w:divBdr>
        </w:div>
        <w:div w:id="1362166787">
          <w:marLeft w:val="640"/>
          <w:marRight w:val="0"/>
          <w:marTop w:val="0"/>
          <w:marBottom w:val="0"/>
          <w:divBdr>
            <w:top w:val="none" w:sz="0" w:space="0" w:color="auto"/>
            <w:left w:val="none" w:sz="0" w:space="0" w:color="auto"/>
            <w:bottom w:val="none" w:sz="0" w:space="0" w:color="auto"/>
            <w:right w:val="none" w:sz="0" w:space="0" w:color="auto"/>
          </w:divBdr>
        </w:div>
        <w:div w:id="559679901">
          <w:marLeft w:val="640"/>
          <w:marRight w:val="0"/>
          <w:marTop w:val="0"/>
          <w:marBottom w:val="0"/>
          <w:divBdr>
            <w:top w:val="none" w:sz="0" w:space="0" w:color="auto"/>
            <w:left w:val="none" w:sz="0" w:space="0" w:color="auto"/>
            <w:bottom w:val="none" w:sz="0" w:space="0" w:color="auto"/>
            <w:right w:val="none" w:sz="0" w:space="0" w:color="auto"/>
          </w:divBdr>
        </w:div>
        <w:div w:id="1272008534">
          <w:marLeft w:val="640"/>
          <w:marRight w:val="0"/>
          <w:marTop w:val="0"/>
          <w:marBottom w:val="0"/>
          <w:divBdr>
            <w:top w:val="none" w:sz="0" w:space="0" w:color="auto"/>
            <w:left w:val="none" w:sz="0" w:space="0" w:color="auto"/>
            <w:bottom w:val="none" w:sz="0" w:space="0" w:color="auto"/>
            <w:right w:val="none" w:sz="0" w:space="0" w:color="auto"/>
          </w:divBdr>
        </w:div>
        <w:div w:id="1932278529">
          <w:marLeft w:val="640"/>
          <w:marRight w:val="0"/>
          <w:marTop w:val="0"/>
          <w:marBottom w:val="0"/>
          <w:divBdr>
            <w:top w:val="none" w:sz="0" w:space="0" w:color="auto"/>
            <w:left w:val="none" w:sz="0" w:space="0" w:color="auto"/>
            <w:bottom w:val="none" w:sz="0" w:space="0" w:color="auto"/>
            <w:right w:val="none" w:sz="0" w:space="0" w:color="auto"/>
          </w:divBdr>
        </w:div>
        <w:div w:id="1471243420">
          <w:marLeft w:val="640"/>
          <w:marRight w:val="0"/>
          <w:marTop w:val="0"/>
          <w:marBottom w:val="0"/>
          <w:divBdr>
            <w:top w:val="none" w:sz="0" w:space="0" w:color="auto"/>
            <w:left w:val="none" w:sz="0" w:space="0" w:color="auto"/>
            <w:bottom w:val="none" w:sz="0" w:space="0" w:color="auto"/>
            <w:right w:val="none" w:sz="0" w:space="0" w:color="auto"/>
          </w:divBdr>
        </w:div>
        <w:div w:id="1053507945">
          <w:marLeft w:val="640"/>
          <w:marRight w:val="0"/>
          <w:marTop w:val="0"/>
          <w:marBottom w:val="0"/>
          <w:divBdr>
            <w:top w:val="none" w:sz="0" w:space="0" w:color="auto"/>
            <w:left w:val="none" w:sz="0" w:space="0" w:color="auto"/>
            <w:bottom w:val="none" w:sz="0" w:space="0" w:color="auto"/>
            <w:right w:val="none" w:sz="0" w:space="0" w:color="auto"/>
          </w:divBdr>
        </w:div>
        <w:div w:id="1321957325">
          <w:marLeft w:val="640"/>
          <w:marRight w:val="0"/>
          <w:marTop w:val="0"/>
          <w:marBottom w:val="0"/>
          <w:divBdr>
            <w:top w:val="none" w:sz="0" w:space="0" w:color="auto"/>
            <w:left w:val="none" w:sz="0" w:space="0" w:color="auto"/>
            <w:bottom w:val="none" w:sz="0" w:space="0" w:color="auto"/>
            <w:right w:val="none" w:sz="0" w:space="0" w:color="auto"/>
          </w:divBdr>
        </w:div>
        <w:div w:id="1387023498">
          <w:marLeft w:val="640"/>
          <w:marRight w:val="0"/>
          <w:marTop w:val="0"/>
          <w:marBottom w:val="0"/>
          <w:divBdr>
            <w:top w:val="none" w:sz="0" w:space="0" w:color="auto"/>
            <w:left w:val="none" w:sz="0" w:space="0" w:color="auto"/>
            <w:bottom w:val="none" w:sz="0" w:space="0" w:color="auto"/>
            <w:right w:val="none" w:sz="0" w:space="0" w:color="auto"/>
          </w:divBdr>
        </w:div>
        <w:div w:id="872887917">
          <w:marLeft w:val="640"/>
          <w:marRight w:val="0"/>
          <w:marTop w:val="0"/>
          <w:marBottom w:val="0"/>
          <w:divBdr>
            <w:top w:val="none" w:sz="0" w:space="0" w:color="auto"/>
            <w:left w:val="none" w:sz="0" w:space="0" w:color="auto"/>
            <w:bottom w:val="none" w:sz="0" w:space="0" w:color="auto"/>
            <w:right w:val="none" w:sz="0" w:space="0" w:color="auto"/>
          </w:divBdr>
        </w:div>
        <w:div w:id="1227111527">
          <w:marLeft w:val="640"/>
          <w:marRight w:val="0"/>
          <w:marTop w:val="0"/>
          <w:marBottom w:val="0"/>
          <w:divBdr>
            <w:top w:val="none" w:sz="0" w:space="0" w:color="auto"/>
            <w:left w:val="none" w:sz="0" w:space="0" w:color="auto"/>
            <w:bottom w:val="none" w:sz="0" w:space="0" w:color="auto"/>
            <w:right w:val="none" w:sz="0" w:space="0" w:color="auto"/>
          </w:divBdr>
        </w:div>
        <w:div w:id="1411074870">
          <w:marLeft w:val="640"/>
          <w:marRight w:val="0"/>
          <w:marTop w:val="0"/>
          <w:marBottom w:val="0"/>
          <w:divBdr>
            <w:top w:val="none" w:sz="0" w:space="0" w:color="auto"/>
            <w:left w:val="none" w:sz="0" w:space="0" w:color="auto"/>
            <w:bottom w:val="none" w:sz="0" w:space="0" w:color="auto"/>
            <w:right w:val="none" w:sz="0" w:space="0" w:color="auto"/>
          </w:divBdr>
        </w:div>
        <w:div w:id="827286219">
          <w:marLeft w:val="640"/>
          <w:marRight w:val="0"/>
          <w:marTop w:val="0"/>
          <w:marBottom w:val="0"/>
          <w:divBdr>
            <w:top w:val="none" w:sz="0" w:space="0" w:color="auto"/>
            <w:left w:val="none" w:sz="0" w:space="0" w:color="auto"/>
            <w:bottom w:val="none" w:sz="0" w:space="0" w:color="auto"/>
            <w:right w:val="none" w:sz="0" w:space="0" w:color="auto"/>
          </w:divBdr>
        </w:div>
        <w:div w:id="924457726">
          <w:marLeft w:val="640"/>
          <w:marRight w:val="0"/>
          <w:marTop w:val="0"/>
          <w:marBottom w:val="0"/>
          <w:divBdr>
            <w:top w:val="none" w:sz="0" w:space="0" w:color="auto"/>
            <w:left w:val="none" w:sz="0" w:space="0" w:color="auto"/>
            <w:bottom w:val="none" w:sz="0" w:space="0" w:color="auto"/>
            <w:right w:val="none" w:sz="0" w:space="0" w:color="auto"/>
          </w:divBdr>
        </w:div>
        <w:div w:id="1248461099">
          <w:marLeft w:val="640"/>
          <w:marRight w:val="0"/>
          <w:marTop w:val="0"/>
          <w:marBottom w:val="0"/>
          <w:divBdr>
            <w:top w:val="none" w:sz="0" w:space="0" w:color="auto"/>
            <w:left w:val="none" w:sz="0" w:space="0" w:color="auto"/>
            <w:bottom w:val="none" w:sz="0" w:space="0" w:color="auto"/>
            <w:right w:val="none" w:sz="0" w:space="0" w:color="auto"/>
          </w:divBdr>
        </w:div>
        <w:div w:id="1361276033">
          <w:marLeft w:val="640"/>
          <w:marRight w:val="0"/>
          <w:marTop w:val="0"/>
          <w:marBottom w:val="0"/>
          <w:divBdr>
            <w:top w:val="none" w:sz="0" w:space="0" w:color="auto"/>
            <w:left w:val="none" w:sz="0" w:space="0" w:color="auto"/>
            <w:bottom w:val="none" w:sz="0" w:space="0" w:color="auto"/>
            <w:right w:val="none" w:sz="0" w:space="0" w:color="auto"/>
          </w:divBdr>
        </w:div>
        <w:div w:id="614823024">
          <w:marLeft w:val="640"/>
          <w:marRight w:val="0"/>
          <w:marTop w:val="0"/>
          <w:marBottom w:val="0"/>
          <w:divBdr>
            <w:top w:val="none" w:sz="0" w:space="0" w:color="auto"/>
            <w:left w:val="none" w:sz="0" w:space="0" w:color="auto"/>
            <w:bottom w:val="none" w:sz="0" w:space="0" w:color="auto"/>
            <w:right w:val="none" w:sz="0" w:space="0" w:color="auto"/>
          </w:divBdr>
        </w:div>
        <w:div w:id="567886325">
          <w:marLeft w:val="640"/>
          <w:marRight w:val="0"/>
          <w:marTop w:val="0"/>
          <w:marBottom w:val="0"/>
          <w:divBdr>
            <w:top w:val="none" w:sz="0" w:space="0" w:color="auto"/>
            <w:left w:val="none" w:sz="0" w:space="0" w:color="auto"/>
            <w:bottom w:val="none" w:sz="0" w:space="0" w:color="auto"/>
            <w:right w:val="none" w:sz="0" w:space="0" w:color="auto"/>
          </w:divBdr>
        </w:div>
        <w:div w:id="1934045605">
          <w:marLeft w:val="640"/>
          <w:marRight w:val="0"/>
          <w:marTop w:val="0"/>
          <w:marBottom w:val="0"/>
          <w:divBdr>
            <w:top w:val="none" w:sz="0" w:space="0" w:color="auto"/>
            <w:left w:val="none" w:sz="0" w:space="0" w:color="auto"/>
            <w:bottom w:val="none" w:sz="0" w:space="0" w:color="auto"/>
            <w:right w:val="none" w:sz="0" w:space="0" w:color="auto"/>
          </w:divBdr>
        </w:div>
        <w:div w:id="32122567">
          <w:marLeft w:val="640"/>
          <w:marRight w:val="0"/>
          <w:marTop w:val="0"/>
          <w:marBottom w:val="0"/>
          <w:divBdr>
            <w:top w:val="none" w:sz="0" w:space="0" w:color="auto"/>
            <w:left w:val="none" w:sz="0" w:space="0" w:color="auto"/>
            <w:bottom w:val="none" w:sz="0" w:space="0" w:color="auto"/>
            <w:right w:val="none" w:sz="0" w:space="0" w:color="auto"/>
          </w:divBdr>
        </w:div>
        <w:div w:id="2003700700">
          <w:marLeft w:val="640"/>
          <w:marRight w:val="0"/>
          <w:marTop w:val="0"/>
          <w:marBottom w:val="0"/>
          <w:divBdr>
            <w:top w:val="none" w:sz="0" w:space="0" w:color="auto"/>
            <w:left w:val="none" w:sz="0" w:space="0" w:color="auto"/>
            <w:bottom w:val="none" w:sz="0" w:space="0" w:color="auto"/>
            <w:right w:val="none" w:sz="0" w:space="0" w:color="auto"/>
          </w:divBdr>
        </w:div>
        <w:div w:id="1461872799">
          <w:marLeft w:val="640"/>
          <w:marRight w:val="0"/>
          <w:marTop w:val="0"/>
          <w:marBottom w:val="0"/>
          <w:divBdr>
            <w:top w:val="none" w:sz="0" w:space="0" w:color="auto"/>
            <w:left w:val="none" w:sz="0" w:space="0" w:color="auto"/>
            <w:bottom w:val="none" w:sz="0" w:space="0" w:color="auto"/>
            <w:right w:val="none" w:sz="0" w:space="0" w:color="auto"/>
          </w:divBdr>
        </w:div>
        <w:div w:id="173883830">
          <w:marLeft w:val="640"/>
          <w:marRight w:val="0"/>
          <w:marTop w:val="0"/>
          <w:marBottom w:val="0"/>
          <w:divBdr>
            <w:top w:val="none" w:sz="0" w:space="0" w:color="auto"/>
            <w:left w:val="none" w:sz="0" w:space="0" w:color="auto"/>
            <w:bottom w:val="none" w:sz="0" w:space="0" w:color="auto"/>
            <w:right w:val="none" w:sz="0" w:space="0" w:color="auto"/>
          </w:divBdr>
        </w:div>
      </w:divsChild>
    </w:div>
    <w:div w:id="1056078767">
      <w:bodyDiv w:val="1"/>
      <w:marLeft w:val="0"/>
      <w:marRight w:val="0"/>
      <w:marTop w:val="0"/>
      <w:marBottom w:val="0"/>
      <w:divBdr>
        <w:top w:val="none" w:sz="0" w:space="0" w:color="auto"/>
        <w:left w:val="none" w:sz="0" w:space="0" w:color="auto"/>
        <w:bottom w:val="none" w:sz="0" w:space="0" w:color="auto"/>
        <w:right w:val="none" w:sz="0" w:space="0" w:color="auto"/>
      </w:divBdr>
      <w:divsChild>
        <w:div w:id="1583948311">
          <w:marLeft w:val="640"/>
          <w:marRight w:val="0"/>
          <w:marTop w:val="0"/>
          <w:marBottom w:val="0"/>
          <w:divBdr>
            <w:top w:val="none" w:sz="0" w:space="0" w:color="auto"/>
            <w:left w:val="none" w:sz="0" w:space="0" w:color="auto"/>
            <w:bottom w:val="none" w:sz="0" w:space="0" w:color="auto"/>
            <w:right w:val="none" w:sz="0" w:space="0" w:color="auto"/>
          </w:divBdr>
        </w:div>
        <w:div w:id="364909807">
          <w:marLeft w:val="640"/>
          <w:marRight w:val="0"/>
          <w:marTop w:val="0"/>
          <w:marBottom w:val="0"/>
          <w:divBdr>
            <w:top w:val="none" w:sz="0" w:space="0" w:color="auto"/>
            <w:left w:val="none" w:sz="0" w:space="0" w:color="auto"/>
            <w:bottom w:val="none" w:sz="0" w:space="0" w:color="auto"/>
            <w:right w:val="none" w:sz="0" w:space="0" w:color="auto"/>
          </w:divBdr>
        </w:div>
        <w:div w:id="814296347">
          <w:marLeft w:val="640"/>
          <w:marRight w:val="0"/>
          <w:marTop w:val="0"/>
          <w:marBottom w:val="0"/>
          <w:divBdr>
            <w:top w:val="none" w:sz="0" w:space="0" w:color="auto"/>
            <w:left w:val="none" w:sz="0" w:space="0" w:color="auto"/>
            <w:bottom w:val="none" w:sz="0" w:space="0" w:color="auto"/>
            <w:right w:val="none" w:sz="0" w:space="0" w:color="auto"/>
          </w:divBdr>
        </w:div>
        <w:div w:id="2032953506">
          <w:marLeft w:val="640"/>
          <w:marRight w:val="0"/>
          <w:marTop w:val="0"/>
          <w:marBottom w:val="0"/>
          <w:divBdr>
            <w:top w:val="none" w:sz="0" w:space="0" w:color="auto"/>
            <w:left w:val="none" w:sz="0" w:space="0" w:color="auto"/>
            <w:bottom w:val="none" w:sz="0" w:space="0" w:color="auto"/>
            <w:right w:val="none" w:sz="0" w:space="0" w:color="auto"/>
          </w:divBdr>
        </w:div>
        <w:div w:id="1106004998">
          <w:marLeft w:val="640"/>
          <w:marRight w:val="0"/>
          <w:marTop w:val="0"/>
          <w:marBottom w:val="0"/>
          <w:divBdr>
            <w:top w:val="none" w:sz="0" w:space="0" w:color="auto"/>
            <w:left w:val="none" w:sz="0" w:space="0" w:color="auto"/>
            <w:bottom w:val="none" w:sz="0" w:space="0" w:color="auto"/>
            <w:right w:val="none" w:sz="0" w:space="0" w:color="auto"/>
          </w:divBdr>
        </w:div>
        <w:div w:id="607464916">
          <w:marLeft w:val="640"/>
          <w:marRight w:val="0"/>
          <w:marTop w:val="0"/>
          <w:marBottom w:val="0"/>
          <w:divBdr>
            <w:top w:val="none" w:sz="0" w:space="0" w:color="auto"/>
            <w:left w:val="none" w:sz="0" w:space="0" w:color="auto"/>
            <w:bottom w:val="none" w:sz="0" w:space="0" w:color="auto"/>
            <w:right w:val="none" w:sz="0" w:space="0" w:color="auto"/>
          </w:divBdr>
        </w:div>
        <w:div w:id="1601529141">
          <w:marLeft w:val="640"/>
          <w:marRight w:val="0"/>
          <w:marTop w:val="0"/>
          <w:marBottom w:val="0"/>
          <w:divBdr>
            <w:top w:val="none" w:sz="0" w:space="0" w:color="auto"/>
            <w:left w:val="none" w:sz="0" w:space="0" w:color="auto"/>
            <w:bottom w:val="none" w:sz="0" w:space="0" w:color="auto"/>
            <w:right w:val="none" w:sz="0" w:space="0" w:color="auto"/>
          </w:divBdr>
        </w:div>
        <w:div w:id="961417748">
          <w:marLeft w:val="640"/>
          <w:marRight w:val="0"/>
          <w:marTop w:val="0"/>
          <w:marBottom w:val="0"/>
          <w:divBdr>
            <w:top w:val="none" w:sz="0" w:space="0" w:color="auto"/>
            <w:left w:val="none" w:sz="0" w:space="0" w:color="auto"/>
            <w:bottom w:val="none" w:sz="0" w:space="0" w:color="auto"/>
            <w:right w:val="none" w:sz="0" w:space="0" w:color="auto"/>
          </w:divBdr>
        </w:div>
        <w:div w:id="221673509">
          <w:marLeft w:val="640"/>
          <w:marRight w:val="0"/>
          <w:marTop w:val="0"/>
          <w:marBottom w:val="0"/>
          <w:divBdr>
            <w:top w:val="none" w:sz="0" w:space="0" w:color="auto"/>
            <w:left w:val="none" w:sz="0" w:space="0" w:color="auto"/>
            <w:bottom w:val="none" w:sz="0" w:space="0" w:color="auto"/>
            <w:right w:val="none" w:sz="0" w:space="0" w:color="auto"/>
          </w:divBdr>
        </w:div>
        <w:div w:id="1405175709">
          <w:marLeft w:val="640"/>
          <w:marRight w:val="0"/>
          <w:marTop w:val="0"/>
          <w:marBottom w:val="0"/>
          <w:divBdr>
            <w:top w:val="none" w:sz="0" w:space="0" w:color="auto"/>
            <w:left w:val="none" w:sz="0" w:space="0" w:color="auto"/>
            <w:bottom w:val="none" w:sz="0" w:space="0" w:color="auto"/>
            <w:right w:val="none" w:sz="0" w:space="0" w:color="auto"/>
          </w:divBdr>
        </w:div>
        <w:div w:id="1303656744">
          <w:marLeft w:val="640"/>
          <w:marRight w:val="0"/>
          <w:marTop w:val="0"/>
          <w:marBottom w:val="0"/>
          <w:divBdr>
            <w:top w:val="none" w:sz="0" w:space="0" w:color="auto"/>
            <w:left w:val="none" w:sz="0" w:space="0" w:color="auto"/>
            <w:bottom w:val="none" w:sz="0" w:space="0" w:color="auto"/>
            <w:right w:val="none" w:sz="0" w:space="0" w:color="auto"/>
          </w:divBdr>
        </w:div>
        <w:div w:id="1277056892">
          <w:marLeft w:val="640"/>
          <w:marRight w:val="0"/>
          <w:marTop w:val="0"/>
          <w:marBottom w:val="0"/>
          <w:divBdr>
            <w:top w:val="none" w:sz="0" w:space="0" w:color="auto"/>
            <w:left w:val="none" w:sz="0" w:space="0" w:color="auto"/>
            <w:bottom w:val="none" w:sz="0" w:space="0" w:color="auto"/>
            <w:right w:val="none" w:sz="0" w:space="0" w:color="auto"/>
          </w:divBdr>
        </w:div>
        <w:div w:id="96338713">
          <w:marLeft w:val="640"/>
          <w:marRight w:val="0"/>
          <w:marTop w:val="0"/>
          <w:marBottom w:val="0"/>
          <w:divBdr>
            <w:top w:val="none" w:sz="0" w:space="0" w:color="auto"/>
            <w:left w:val="none" w:sz="0" w:space="0" w:color="auto"/>
            <w:bottom w:val="none" w:sz="0" w:space="0" w:color="auto"/>
            <w:right w:val="none" w:sz="0" w:space="0" w:color="auto"/>
          </w:divBdr>
        </w:div>
        <w:div w:id="1653677481">
          <w:marLeft w:val="640"/>
          <w:marRight w:val="0"/>
          <w:marTop w:val="0"/>
          <w:marBottom w:val="0"/>
          <w:divBdr>
            <w:top w:val="none" w:sz="0" w:space="0" w:color="auto"/>
            <w:left w:val="none" w:sz="0" w:space="0" w:color="auto"/>
            <w:bottom w:val="none" w:sz="0" w:space="0" w:color="auto"/>
            <w:right w:val="none" w:sz="0" w:space="0" w:color="auto"/>
          </w:divBdr>
        </w:div>
        <w:div w:id="1297494547">
          <w:marLeft w:val="640"/>
          <w:marRight w:val="0"/>
          <w:marTop w:val="0"/>
          <w:marBottom w:val="0"/>
          <w:divBdr>
            <w:top w:val="none" w:sz="0" w:space="0" w:color="auto"/>
            <w:left w:val="none" w:sz="0" w:space="0" w:color="auto"/>
            <w:bottom w:val="none" w:sz="0" w:space="0" w:color="auto"/>
            <w:right w:val="none" w:sz="0" w:space="0" w:color="auto"/>
          </w:divBdr>
        </w:div>
        <w:div w:id="517889355">
          <w:marLeft w:val="640"/>
          <w:marRight w:val="0"/>
          <w:marTop w:val="0"/>
          <w:marBottom w:val="0"/>
          <w:divBdr>
            <w:top w:val="none" w:sz="0" w:space="0" w:color="auto"/>
            <w:left w:val="none" w:sz="0" w:space="0" w:color="auto"/>
            <w:bottom w:val="none" w:sz="0" w:space="0" w:color="auto"/>
            <w:right w:val="none" w:sz="0" w:space="0" w:color="auto"/>
          </w:divBdr>
        </w:div>
        <w:div w:id="717827192">
          <w:marLeft w:val="640"/>
          <w:marRight w:val="0"/>
          <w:marTop w:val="0"/>
          <w:marBottom w:val="0"/>
          <w:divBdr>
            <w:top w:val="none" w:sz="0" w:space="0" w:color="auto"/>
            <w:left w:val="none" w:sz="0" w:space="0" w:color="auto"/>
            <w:bottom w:val="none" w:sz="0" w:space="0" w:color="auto"/>
            <w:right w:val="none" w:sz="0" w:space="0" w:color="auto"/>
          </w:divBdr>
        </w:div>
        <w:div w:id="934872454">
          <w:marLeft w:val="640"/>
          <w:marRight w:val="0"/>
          <w:marTop w:val="0"/>
          <w:marBottom w:val="0"/>
          <w:divBdr>
            <w:top w:val="none" w:sz="0" w:space="0" w:color="auto"/>
            <w:left w:val="none" w:sz="0" w:space="0" w:color="auto"/>
            <w:bottom w:val="none" w:sz="0" w:space="0" w:color="auto"/>
            <w:right w:val="none" w:sz="0" w:space="0" w:color="auto"/>
          </w:divBdr>
        </w:div>
        <w:div w:id="198862476">
          <w:marLeft w:val="640"/>
          <w:marRight w:val="0"/>
          <w:marTop w:val="0"/>
          <w:marBottom w:val="0"/>
          <w:divBdr>
            <w:top w:val="none" w:sz="0" w:space="0" w:color="auto"/>
            <w:left w:val="none" w:sz="0" w:space="0" w:color="auto"/>
            <w:bottom w:val="none" w:sz="0" w:space="0" w:color="auto"/>
            <w:right w:val="none" w:sz="0" w:space="0" w:color="auto"/>
          </w:divBdr>
        </w:div>
        <w:div w:id="1985310861">
          <w:marLeft w:val="640"/>
          <w:marRight w:val="0"/>
          <w:marTop w:val="0"/>
          <w:marBottom w:val="0"/>
          <w:divBdr>
            <w:top w:val="none" w:sz="0" w:space="0" w:color="auto"/>
            <w:left w:val="none" w:sz="0" w:space="0" w:color="auto"/>
            <w:bottom w:val="none" w:sz="0" w:space="0" w:color="auto"/>
            <w:right w:val="none" w:sz="0" w:space="0" w:color="auto"/>
          </w:divBdr>
        </w:div>
        <w:div w:id="1469468261">
          <w:marLeft w:val="640"/>
          <w:marRight w:val="0"/>
          <w:marTop w:val="0"/>
          <w:marBottom w:val="0"/>
          <w:divBdr>
            <w:top w:val="none" w:sz="0" w:space="0" w:color="auto"/>
            <w:left w:val="none" w:sz="0" w:space="0" w:color="auto"/>
            <w:bottom w:val="none" w:sz="0" w:space="0" w:color="auto"/>
            <w:right w:val="none" w:sz="0" w:space="0" w:color="auto"/>
          </w:divBdr>
        </w:div>
        <w:div w:id="1243486881">
          <w:marLeft w:val="640"/>
          <w:marRight w:val="0"/>
          <w:marTop w:val="0"/>
          <w:marBottom w:val="0"/>
          <w:divBdr>
            <w:top w:val="none" w:sz="0" w:space="0" w:color="auto"/>
            <w:left w:val="none" w:sz="0" w:space="0" w:color="auto"/>
            <w:bottom w:val="none" w:sz="0" w:space="0" w:color="auto"/>
            <w:right w:val="none" w:sz="0" w:space="0" w:color="auto"/>
          </w:divBdr>
        </w:div>
        <w:div w:id="1294827394">
          <w:marLeft w:val="640"/>
          <w:marRight w:val="0"/>
          <w:marTop w:val="0"/>
          <w:marBottom w:val="0"/>
          <w:divBdr>
            <w:top w:val="none" w:sz="0" w:space="0" w:color="auto"/>
            <w:left w:val="none" w:sz="0" w:space="0" w:color="auto"/>
            <w:bottom w:val="none" w:sz="0" w:space="0" w:color="auto"/>
            <w:right w:val="none" w:sz="0" w:space="0" w:color="auto"/>
          </w:divBdr>
        </w:div>
        <w:div w:id="2065135106">
          <w:marLeft w:val="640"/>
          <w:marRight w:val="0"/>
          <w:marTop w:val="0"/>
          <w:marBottom w:val="0"/>
          <w:divBdr>
            <w:top w:val="none" w:sz="0" w:space="0" w:color="auto"/>
            <w:left w:val="none" w:sz="0" w:space="0" w:color="auto"/>
            <w:bottom w:val="none" w:sz="0" w:space="0" w:color="auto"/>
            <w:right w:val="none" w:sz="0" w:space="0" w:color="auto"/>
          </w:divBdr>
        </w:div>
        <w:div w:id="1791195888">
          <w:marLeft w:val="640"/>
          <w:marRight w:val="0"/>
          <w:marTop w:val="0"/>
          <w:marBottom w:val="0"/>
          <w:divBdr>
            <w:top w:val="none" w:sz="0" w:space="0" w:color="auto"/>
            <w:left w:val="none" w:sz="0" w:space="0" w:color="auto"/>
            <w:bottom w:val="none" w:sz="0" w:space="0" w:color="auto"/>
            <w:right w:val="none" w:sz="0" w:space="0" w:color="auto"/>
          </w:divBdr>
        </w:div>
        <w:div w:id="9533036">
          <w:marLeft w:val="640"/>
          <w:marRight w:val="0"/>
          <w:marTop w:val="0"/>
          <w:marBottom w:val="0"/>
          <w:divBdr>
            <w:top w:val="none" w:sz="0" w:space="0" w:color="auto"/>
            <w:left w:val="none" w:sz="0" w:space="0" w:color="auto"/>
            <w:bottom w:val="none" w:sz="0" w:space="0" w:color="auto"/>
            <w:right w:val="none" w:sz="0" w:space="0" w:color="auto"/>
          </w:divBdr>
        </w:div>
        <w:div w:id="610935629">
          <w:marLeft w:val="640"/>
          <w:marRight w:val="0"/>
          <w:marTop w:val="0"/>
          <w:marBottom w:val="0"/>
          <w:divBdr>
            <w:top w:val="none" w:sz="0" w:space="0" w:color="auto"/>
            <w:left w:val="none" w:sz="0" w:space="0" w:color="auto"/>
            <w:bottom w:val="none" w:sz="0" w:space="0" w:color="auto"/>
            <w:right w:val="none" w:sz="0" w:space="0" w:color="auto"/>
          </w:divBdr>
        </w:div>
        <w:div w:id="75981926">
          <w:marLeft w:val="640"/>
          <w:marRight w:val="0"/>
          <w:marTop w:val="0"/>
          <w:marBottom w:val="0"/>
          <w:divBdr>
            <w:top w:val="none" w:sz="0" w:space="0" w:color="auto"/>
            <w:left w:val="none" w:sz="0" w:space="0" w:color="auto"/>
            <w:bottom w:val="none" w:sz="0" w:space="0" w:color="auto"/>
            <w:right w:val="none" w:sz="0" w:space="0" w:color="auto"/>
          </w:divBdr>
        </w:div>
        <w:div w:id="654800679">
          <w:marLeft w:val="640"/>
          <w:marRight w:val="0"/>
          <w:marTop w:val="0"/>
          <w:marBottom w:val="0"/>
          <w:divBdr>
            <w:top w:val="none" w:sz="0" w:space="0" w:color="auto"/>
            <w:left w:val="none" w:sz="0" w:space="0" w:color="auto"/>
            <w:bottom w:val="none" w:sz="0" w:space="0" w:color="auto"/>
            <w:right w:val="none" w:sz="0" w:space="0" w:color="auto"/>
          </w:divBdr>
        </w:div>
        <w:div w:id="1150175487">
          <w:marLeft w:val="640"/>
          <w:marRight w:val="0"/>
          <w:marTop w:val="0"/>
          <w:marBottom w:val="0"/>
          <w:divBdr>
            <w:top w:val="none" w:sz="0" w:space="0" w:color="auto"/>
            <w:left w:val="none" w:sz="0" w:space="0" w:color="auto"/>
            <w:bottom w:val="none" w:sz="0" w:space="0" w:color="auto"/>
            <w:right w:val="none" w:sz="0" w:space="0" w:color="auto"/>
          </w:divBdr>
        </w:div>
        <w:div w:id="1273129643">
          <w:marLeft w:val="640"/>
          <w:marRight w:val="0"/>
          <w:marTop w:val="0"/>
          <w:marBottom w:val="0"/>
          <w:divBdr>
            <w:top w:val="none" w:sz="0" w:space="0" w:color="auto"/>
            <w:left w:val="none" w:sz="0" w:space="0" w:color="auto"/>
            <w:bottom w:val="none" w:sz="0" w:space="0" w:color="auto"/>
            <w:right w:val="none" w:sz="0" w:space="0" w:color="auto"/>
          </w:divBdr>
        </w:div>
        <w:div w:id="1078409173">
          <w:marLeft w:val="640"/>
          <w:marRight w:val="0"/>
          <w:marTop w:val="0"/>
          <w:marBottom w:val="0"/>
          <w:divBdr>
            <w:top w:val="none" w:sz="0" w:space="0" w:color="auto"/>
            <w:left w:val="none" w:sz="0" w:space="0" w:color="auto"/>
            <w:bottom w:val="none" w:sz="0" w:space="0" w:color="auto"/>
            <w:right w:val="none" w:sz="0" w:space="0" w:color="auto"/>
          </w:divBdr>
        </w:div>
        <w:div w:id="421729274">
          <w:marLeft w:val="640"/>
          <w:marRight w:val="0"/>
          <w:marTop w:val="0"/>
          <w:marBottom w:val="0"/>
          <w:divBdr>
            <w:top w:val="none" w:sz="0" w:space="0" w:color="auto"/>
            <w:left w:val="none" w:sz="0" w:space="0" w:color="auto"/>
            <w:bottom w:val="none" w:sz="0" w:space="0" w:color="auto"/>
            <w:right w:val="none" w:sz="0" w:space="0" w:color="auto"/>
          </w:divBdr>
        </w:div>
        <w:div w:id="1544441925">
          <w:marLeft w:val="640"/>
          <w:marRight w:val="0"/>
          <w:marTop w:val="0"/>
          <w:marBottom w:val="0"/>
          <w:divBdr>
            <w:top w:val="none" w:sz="0" w:space="0" w:color="auto"/>
            <w:left w:val="none" w:sz="0" w:space="0" w:color="auto"/>
            <w:bottom w:val="none" w:sz="0" w:space="0" w:color="auto"/>
            <w:right w:val="none" w:sz="0" w:space="0" w:color="auto"/>
          </w:divBdr>
        </w:div>
        <w:div w:id="442188710">
          <w:marLeft w:val="640"/>
          <w:marRight w:val="0"/>
          <w:marTop w:val="0"/>
          <w:marBottom w:val="0"/>
          <w:divBdr>
            <w:top w:val="none" w:sz="0" w:space="0" w:color="auto"/>
            <w:left w:val="none" w:sz="0" w:space="0" w:color="auto"/>
            <w:bottom w:val="none" w:sz="0" w:space="0" w:color="auto"/>
            <w:right w:val="none" w:sz="0" w:space="0" w:color="auto"/>
          </w:divBdr>
        </w:div>
        <w:div w:id="254872006">
          <w:marLeft w:val="640"/>
          <w:marRight w:val="0"/>
          <w:marTop w:val="0"/>
          <w:marBottom w:val="0"/>
          <w:divBdr>
            <w:top w:val="none" w:sz="0" w:space="0" w:color="auto"/>
            <w:left w:val="none" w:sz="0" w:space="0" w:color="auto"/>
            <w:bottom w:val="none" w:sz="0" w:space="0" w:color="auto"/>
            <w:right w:val="none" w:sz="0" w:space="0" w:color="auto"/>
          </w:divBdr>
        </w:div>
        <w:div w:id="1307736800">
          <w:marLeft w:val="640"/>
          <w:marRight w:val="0"/>
          <w:marTop w:val="0"/>
          <w:marBottom w:val="0"/>
          <w:divBdr>
            <w:top w:val="none" w:sz="0" w:space="0" w:color="auto"/>
            <w:left w:val="none" w:sz="0" w:space="0" w:color="auto"/>
            <w:bottom w:val="none" w:sz="0" w:space="0" w:color="auto"/>
            <w:right w:val="none" w:sz="0" w:space="0" w:color="auto"/>
          </w:divBdr>
        </w:div>
        <w:div w:id="1052584782">
          <w:marLeft w:val="640"/>
          <w:marRight w:val="0"/>
          <w:marTop w:val="0"/>
          <w:marBottom w:val="0"/>
          <w:divBdr>
            <w:top w:val="none" w:sz="0" w:space="0" w:color="auto"/>
            <w:left w:val="none" w:sz="0" w:space="0" w:color="auto"/>
            <w:bottom w:val="none" w:sz="0" w:space="0" w:color="auto"/>
            <w:right w:val="none" w:sz="0" w:space="0" w:color="auto"/>
          </w:divBdr>
        </w:div>
        <w:div w:id="1101679591">
          <w:marLeft w:val="640"/>
          <w:marRight w:val="0"/>
          <w:marTop w:val="0"/>
          <w:marBottom w:val="0"/>
          <w:divBdr>
            <w:top w:val="none" w:sz="0" w:space="0" w:color="auto"/>
            <w:left w:val="none" w:sz="0" w:space="0" w:color="auto"/>
            <w:bottom w:val="none" w:sz="0" w:space="0" w:color="auto"/>
            <w:right w:val="none" w:sz="0" w:space="0" w:color="auto"/>
          </w:divBdr>
        </w:div>
        <w:div w:id="1494762903">
          <w:marLeft w:val="640"/>
          <w:marRight w:val="0"/>
          <w:marTop w:val="0"/>
          <w:marBottom w:val="0"/>
          <w:divBdr>
            <w:top w:val="none" w:sz="0" w:space="0" w:color="auto"/>
            <w:left w:val="none" w:sz="0" w:space="0" w:color="auto"/>
            <w:bottom w:val="none" w:sz="0" w:space="0" w:color="auto"/>
            <w:right w:val="none" w:sz="0" w:space="0" w:color="auto"/>
          </w:divBdr>
        </w:div>
        <w:div w:id="827093024">
          <w:marLeft w:val="640"/>
          <w:marRight w:val="0"/>
          <w:marTop w:val="0"/>
          <w:marBottom w:val="0"/>
          <w:divBdr>
            <w:top w:val="none" w:sz="0" w:space="0" w:color="auto"/>
            <w:left w:val="none" w:sz="0" w:space="0" w:color="auto"/>
            <w:bottom w:val="none" w:sz="0" w:space="0" w:color="auto"/>
            <w:right w:val="none" w:sz="0" w:space="0" w:color="auto"/>
          </w:divBdr>
        </w:div>
        <w:div w:id="452217601">
          <w:marLeft w:val="640"/>
          <w:marRight w:val="0"/>
          <w:marTop w:val="0"/>
          <w:marBottom w:val="0"/>
          <w:divBdr>
            <w:top w:val="none" w:sz="0" w:space="0" w:color="auto"/>
            <w:left w:val="none" w:sz="0" w:space="0" w:color="auto"/>
            <w:bottom w:val="none" w:sz="0" w:space="0" w:color="auto"/>
            <w:right w:val="none" w:sz="0" w:space="0" w:color="auto"/>
          </w:divBdr>
        </w:div>
        <w:div w:id="434790687">
          <w:marLeft w:val="640"/>
          <w:marRight w:val="0"/>
          <w:marTop w:val="0"/>
          <w:marBottom w:val="0"/>
          <w:divBdr>
            <w:top w:val="none" w:sz="0" w:space="0" w:color="auto"/>
            <w:left w:val="none" w:sz="0" w:space="0" w:color="auto"/>
            <w:bottom w:val="none" w:sz="0" w:space="0" w:color="auto"/>
            <w:right w:val="none" w:sz="0" w:space="0" w:color="auto"/>
          </w:divBdr>
        </w:div>
        <w:div w:id="1272739974">
          <w:marLeft w:val="640"/>
          <w:marRight w:val="0"/>
          <w:marTop w:val="0"/>
          <w:marBottom w:val="0"/>
          <w:divBdr>
            <w:top w:val="none" w:sz="0" w:space="0" w:color="auto"/>
            <w:left w:val="none" w:sz="0" w:space="0" w:color="auto"/>
            <w:bottom w:val="none" w:sz="0" w:space="0" w:color="auto"/>
            <w:right w:val="none" w:sz="0" w:space="0" w:color="auto"/>
          </w:divBdr>
        </w:div>
        <w:div w:id="55320881">
          <w:marLeft w:val="640"/>
          <w:marRight w:val="0"/>
          <w:marTop w:val="0"/>
          <w:marBottom w:val="0"/>
          <w:divBdr>
            <w:top w:val="none" w:sz="0" w:space="0" w:color="auto"/>
            <w:left w:val="none" w:sz="0" w:space="0" w:color="auto"/>
            <w:bottom w:val="none" w:sz="0" w:space="0" w:color="auto"/>
            <w:right w:val="none" w:sz="0" w:space="0" w:color="auto"/>
          </w:divBdr>
        </w:div>
        <w:div w:id="1896969303">
          <w:marLeft w:val="640"/>
          <w:marRight w:val="0"/>
          <w:marTop w:val="0"/>
          <w:marBottom w:val="0"/>
          <w:divBdr>
            <w:top w:val="none" w:sz="0" w:space="0" w:color="auto"/>
            <w:left w:val="none" w:sz="0" w:space="0" w:color="auto"/>
            <w:bottom w:val="none" w:sz="0" w:space="0" w:color="auto"/>
            <w:right w:val="none" w:sz="0" w:space="0" w:color="auto"/>
          </w:divBdr>
        </w:div>
        <w:div w:id="65883307">
          <w:marLeft w:val="640"/>
          <w:marRight w:val="0"/>
          <w:marTop w:val="0"/>
          <w:marBottom w:val="0"/>
          <w:divBdr>
            <w:top w:val="none" w:sz="0" w:space="0" w:color="auto"/>
            <w:left w:val="none" w:sz="0" w:space="0" w:color="auto"/>
            <w:bottom w:val="none" w:sz="0" w:space="0" w:color="auto"/>
            <w:right w:val="none" w:sz="0" w:space="0" w:color="auto"/>
          </w:divBdr>
        </w:div>
        <w:div w:id="1222864787">
          <w:marLeft w:val="640"/>
          <w:marRight w:val="0"/>
          <w:marTop w:val="0"/>
          <w:marBottom w:val="0"/>
          <w:divBdr>
            <w:top w:val="none" w:sz="0" w:space="0" w:color="auto"/>
            <w:left w:val="none" w:sz="0" w:space="0" w:color="auto"/>
            <w:bottom w:val="none" w:sz="0" w:space="0" w:color="auto"/>
            <w:right w:val="none" w:sz="0" w:space="0" w:color="auto"/>
          </w:divBdr>
        </w:div>
        <w:div w:id="2047674621">
          <w:marLeft w:val="640"/>
          <w:marRight w:val="0"/>
          <w:marTop w:val="0"/>
          <w:marBottom w:val="0"/>
          <w:divBdr>
            <w:top w:val="none" w:sz="0" w:space="0" w:color="auto"/>
            <w:left w:val="none" w:sz="0" w:space="0" w:color="auto"/>
            <w:bottom w:val="none" w:sz="0" w:space="0" w:color="auto"/>
            <w:right w:val="none" w:sz="0" w:space="0" w:color="auto"/>
          </w:divBdr>
        </w:div>
        <w:div w:id="111098936">
          <w:marLeft w:val="640"/>
          <w:marRight w:val="0"/>
          <w:marTop w:val="0"/>
          <w:marBottom w:val="0"/>
          <w:divBdr>
            <w:top w:val="none" w:sz="0" w:space="0" w:color="auto"/>
            <w:left w:val="none" w:sz="0" w:space="0" w:color="auto"/>
            <w:bottom w:val="none" w:sz="0" w:space="0" w:color="auto"/>
            <w:right w:val="none" w:sz="0" w:space="0" w:color="auto"/>
          </w:divBdr>
        </w:div>
        <w:div w:id="614868895">
          <w:marLeft w:val="640"/>
          <w:marRight w:val="0"/>
          <w:marTop w:val="0"/>
          <w:marBottom w:val="0"/>
          <w:divBdr>
            <w:top w:val="none" w:sz="0" w:space="0" w:color="auto"/>
            <w:left w:val="none" w:sz="0" w:space="0" w:color="auto"/>
            <w:bottom w:val="none" w:sz="0" w:space="0" w:color="auto"/>
            <w:right w:val="none" w:sz="0" w:space="0" w:color="auto"/>
          </w:divBdr>
        </w:div>
        <w:div w:id="1022391303">
          <w:marLeft w:val="640"/>
          <w:marRight w:val="0"/>
          <w:marTop w:val="0"/>
          <w:marBottom w:val="0"/>
          <w:divBdr>
            <w:top w:val="none" w:sz="0" w:space="0" w:color="auto"/>
            <w:left w:val="none" w:sz="0" w:space="0" w:color="auto"/>
            <w:bottom w:val="none" w:sz="0" w:space="0" w:color="auto"/>
            <w:right w:val="none" w:sz="0" w:space="0" w:color="auto"/>
          </w:divBdr>
        </w:div>
        <w:div w:id="214584917">
          <w:marLeft w:val="640"/>
          <w:marRight w:val="0"/>
          <w:marTop w:val="0"/>
          <w:marBottom w:val="0"/>
          <w:divBdr>
            <w:top w:val="none" w:sz="0" w:space="0" w:color="auto"/>
            <w:left w:val="none" w:sz="0" w:space="0" w:color="auto"/>
            <w:bottom w:val="none" w:sz="0" w:space="0" w:color="auto"/>
            <w:right w:val="none" w:sz="0" w:space="0" w:color="auto"/>
          </w:divBdr>
        </w:div>
        <w:div w:id="46804473">
          <w:marLeft w:val="640"/>
          <w:marRight w:val="0"/>
          <w:marTop w:val="0"/>
          <w:marBottom w:val="0"/>
          <w:divBdr>
            <w:top w:val="none" w:sz="0" w:space="0" w:color="auto"/>
            <w:left w:val="none" w:sz="0" w:space="0" w:color="auto"/>
            <w:bottom w:val="none" w:sz="0" w:space="0" w:color="auto"/>
            <w:right w:val="none" w:sz="0" w:space="0" w:color="auto"/>
          </w:divBdr>
        </w:div>
        <w:div w:id="2139758935">
          <w:marLeft w:val="640"/>
          <w:marRight w:val="0"/>
          <w:marTop w:val="0"/>
          <w:marBottom w:val="0"/>
          <w:divBdr>
            <w:top w:val="none" w:sz="0" w:space="0" w:color="auto"/>
            <w:left w:val="none" w:sz="0" w:space="0" w:color="auto"/>
            <w:bottom w:val="none" w:sz="0" w:space="0" w:color="auto"/>
            <w:right w:val="none" w:sz="0" w:space="0" w:color="auto"/>
          </w:divBdr>
        </w:div>
        <w:div w:id="1395928865">
          <w:marLeft w:val="640"/>
          <w:marRight w:val="0"/>
          <w:marTop w:val="0"/>
          <w:marBottom w:val="0"/>
          <w:divBdr>
            <w:top w:val="none" w:sz="0" w:space="0" w:color="auto"/>
            <w:left w:val="none" w:sz="0" w:space="0" w:color="auto"/>
            <w:bottom w:val="none" w:sz="0" w:space="0" w:color="auto"/>
            <w:right w:val="none" w:sz="0" w:space="0" w:color="auto"/>
          </w:divBdr>
        </w:div>
        <w:div w:id="1012148602">
          <w:marLeft w:val="640"/>
          <w:marRight w:val="0"/>
          <w:marTop w:val="0"/>
          <w:marBottom w:val="0"/>
          <w:divBdr>
            <w:top w:val="none" w:sz="0" w:space="0" w:color="auto"/>
            <w:left w:val="none" w:sz="0" w:space="0" w:color="auto"/>
            <w:bottom w:val="none" w:sz="0" w:space="0" w:color="auto"/>
            <w:right w:val="none" w:sz="0" w:space="0" w:color="auto"/>
          </w:divBdr>
        </w:div>
        <w:div w:id="2083526247">
          <w:marLeft w:val="640"/>
          <w:marRight w:val="0"/>
          <w:marTop w:val="0"/>
          <w:marBottom w:val="0"/>
          <w:divBdr>
            <w:top w:val="none" w:sz="0" w:space="0" w:color="auto"/>
            <w:left w:val="none" w:sz="0" w:space="0" w:color="auto"/>
            <w:bottom w:val="none" w:sz="0" w:space="0" w:color="auto"/>
            <w:right w:val="none" w:sz="0" w:space="0" w:color="auto"/>
          </w:divBdr>
        </w:div>
        <w:div w:id="1816481537">
          <w:marLeft w:val="640"/>
          <w:marRight w:val="0"/>
          <w:marTop w:val="0"/>
          <w:marBottom w:val="0"/>
          <w:divBdr>
            <w:top w:val="none" w:sz="0" w:space="0" w:color="auto"/>
            <w:left w:val="none" w:sz="0" w:space="0" w:color="auto"/>
            <w:bottom w:val="none" w:sz="0" w:space="0" w:color="auto"/>
            <w:right w:val="none" w:sz="0" w:space="0" w:color="auto"/>
          </w:divBdr>
        </w:div>
        <w:div w:id="32314330">
          <w:marLeft w:val="640"/>
          <w:marRight w:val="0"/>
          <w:marTop w:val="0"/>
          <w:marBottom w:val="0"/>
          <w:divBdr>
            <w:top w:val="none" w:sz="0" w:space="0" w:color="auto"/>
            <w:left w:val="none" w:sz="0" w:space="0" w:color="auto"/>
            <w:bottom w:val="none" w:sz="0" w:space="0" w:color="auto"/>
            <w:right w:val="none" w:sz="0" w:space="0" w:color="auto"/>
          </w:divBdr>
        </w:div>
        <w:div w:id="1271818103">
          <w:marLeft w:val="640"/>
          <w:marRight w:val="0"/>
          <w:marTop w:val="0"/>
          <w:marBottom w:val="0"/>
          <w:divBdr>
            <w:top w:val="none" w:sz="0" w:space="0" w:color="auto"/>
            <w:left w:val="none" w:sz="0" w:space="0" w:color="auto"/>
            <w:bottom w:val="none" w:sz="0" w:space="0" w:color="auto"/>
            <w:right w:val="none" w:sz="0" w:space="0" w:color="auto"/>
          </w:divBdr>
        </w:div>
        <w:div w:id="561914526">
          <w:marLeft w:val="640"/>
          <w:marRight w:val="0"/>
          <w:marTop w:val="0"/>
          <w:marBottom w:val="0"/>
          <w:divBdr>
            <w:top w:val="none" w:sz="0" w:space="0" w:color="auto"/>
            <w:left w:val="none" w:sz="0" w:space="0" w:color="auto"/>
            <w:bottom w:val="none" w:sz="0" w:space="0" w:color="auto"/>
            <w:right w:val="none" w:sz="0" w:space="0" w:color="auto"/>
          </w:divBdr>
        </w:div>
        <w:div w:id="1187447443">
          <w:marLeft w:val="640"/>
          <w:marRight w:val="0"/>
          <w:marTop w:val="0"/>
          <w:marBottom w:val="0"/>
          <w:divBdr>
            <w:top w:val="none" w:sz="0" w:space="0" w:color="auto"/>
            <w:left w:val="none" w:sz="0" w:space="0" w:color="auto"/>
            <w:bottom w:val="none" w:sz="0" w:space="0" w:color="auto"/>
            <w:right w:val="none" w:sz="0" w:space="0" w:color="auto"/>
          </w:divBdr>
        </w:div>
        <w:div w:id="728921634">
          <w:marLeft w:val="640"/>
          <w:marRight w:val="0"/>
          <w:marTop w:val="0"/>
          <w:marBottom w:val="0"/>
          <w:divBdr>
            <w:top w:val="none" w:sz="0" w:space="0" w:color="auto"/>
            <w:left w:val="none" w:sz="0" w:space="0" w:color="auto"/>
            <w:bottom w:val="none" w:sz="0" w:space="0" w:color="auto"/>
            <w:right w:val="none" w:sz="0" w:space="0" w:color="auto"/>
          </w:divBdr>
        </w:div>
        <w:div w:id="878202608">
          <w:marLeft w:val="640"/>
          <w:marRight w:val="0"/>
          <w:marTop w:val="0"/>
          <w:marBottom w:val="0"/>
          <w:divBdr>
            <w:top w:val="none" w:sz="0" w:space="0" w:color="auto"/>
            <w:left w:val="none" w:sz="0" w:space="0" w:color="auto"/>
            <w:bottom w:val="none" w:sz="0" w:space="0" w:color="auto"/>
            <w:right w:val="none" w:sz="0" w:space="0" w:color="auto"/>
          </w:divBdr>
        </w:div>
        <w:div w:id="1698846884">
          <w:marLeft w:val="640"/>
          <w:marRight w:val="0"/>
          <w:marTop w:val="0"/>
          <w:marBottom w:val="0"/>
          <w:divBdr>
            <w:top w:val="none" w:sz="0" w:space="0" w:color="auto"/>
            <w:left w:val="none" w:sz="0" w:space="0" w:color="auto"/>
            <w:bottom w:val="none" w:sz="0" w:space="0" w:color="auto"/>
            <w:right w:val="none" w:sz="0" w:space="0" w:color="auto"/>
          </w:divBdr>
        </w:div>
        <w:div w:id="913398880">
          <w:marLeft w:val="640"/>
          <w:marRight w:val="0"/>
          <w:marTop w:val="0"/>
          <w:marBottom w:val="0"/>
          <w:divBdr>
            <w:top w:val="none" w:sz="0" w:space="0" w:color="auto"/>
            <w:left w:val="none" w:sz="0" w:space="0" w:color="auto"/>
            <w:bottom w:val="none" w:sz="0" w:space="0" w:color="auto"/>
            <w:right w:val="none" w:sz="0" w:space="0" w:color="auto"/>
          </w:divBdr>
        </w:div>
        <w:div w:id="482239906">
          <w:marLeft w:val="640"/>
          <w:marRight w:val="0"/>
          <w:marTop w:val="0"/>
          <w:marBottom w:val="0"/>
          <w:divBdr>
            <w:top w:val="none" w:sz="0" w:space="0" w:color="auto"/>
            <w:left w:val="none" w:sz="0" w:space="0" w:color="auto"/>
            <w:bottom w:val="none" w:sz="0" w:space="0" w:color="auto"/>
            <w:right w:val="none" w:sz="0" w:space="0" w:color="auto"/>
          </w:divBdr>
        </w:div>
        <w:div w:id="259333539">
          <w:marLeft w:val="640"/>
          <w:marRight w:val="0"/>
          <w:marTop w:val="0"/>
          <w:marBottom w:val="0"/>
          <w:divBdr>
            <w:top w:val="none" w:sz="0" w:space="0" w:color="auto"/>
            <w:left w:val="none" w:sz="0" w:space="0" w:color="auto"/>
            <w:bottom w:val="none" w:sz="0" w:space="0" w:color="auto"/>
            <w:right w:val="none" w:sz="0" w:space="0" w:color="auto"/>
          </w:divBdr>
        </w:div>
        <w:div w:id="776869677">
          <w:marLeft w:val="640"/>
          <w:marRight w:val="0"/>
          <w:marTop w:val="0"/>
          <w:marBottom w:val="0"/>
          <w:divBdr>
            <w:top w:val="none" w:sz="0" w:space="0" w:color="auto"/>
            <w:left w:val="none" w:sz="0" w:space="0" w:color="auto"/>
            <w:bottom w:val="none" w:sz="0" w:space="0" w:color="auto"/>
            <w:right w:val="none" w:sz="0" w:space="0" w:color="auto"/>
          </w:divBdr>
        </w:div>
        <w:div w:id="158346182">
          <w:marLeft w:val="640"/>
          <w:marRight w:val="0"/>
          <w:marTop w:val="0"/>
          <w:marBottom w:val="0"/>
          <w:divBdr>
            <w:top w:val="none" w:sz="0" w:space="0" w:color="auto"/>
            <w:left w:val="none" w:sz="0" w:space="0" w:color="auto"/>
            <w:bottom w:val="none" w:sz="0" w:space="0" w:color="auto"/>
            <w:right w:val="none" w:sz="0" w:space="0" w:color="auto"/>
          </w:divBdr>
        </w:div>
        <w:div w:id="1645967840">
          <w:marLeft w:val="640"/>
          <w:marRight w:val="0"/>
          <w:marTop w:val="0"/>
          <w:marBottom w:val="0"/>
          <w:divBdr>
            <w:top w:val="none" w:sz="0" w:space="0" w:color="auto"/>
            <w:left w:val="none" w:sz="0" w:space="0" w:color="auto"/>
            <w:bottom w:val="none" w:sz="0" w:space="0" w:color="auto"/>
            <w:right w:val="none" w:sz="0" w:space="0" w:color="auto"/>
          </w:divBdr>
        </w:div>
        <w:div w:id="123356043">
          <w:marLeft w:val="640"/>
          <w:marRight w:val="0"/>
          <w:marTop w:val="0"/>
          <w:marBottom w:val="0"/>
          <w:divBdr>
            <w:top w:val="none" w:sz="0" w:space="0" w:color="auto"/>
            <w:left w:val="none" w:sz="0" w:space="0" w:color="auto"/>
            <w:bottom w:val="none" w:sz="0" w:space="0" w:color="auto"/>
            <w:right w:val="none" w:sz="0" w:space="0" w:color="auto"/>
          </w:divBdr>
        </w:div>
        <w:div w:id="735711656">
          <w:marLeft w:val="640"/>
          <w:marRight w:val="0"/>
          <w:marTop w:val="0"/>
          <w:marBottom w:val="0"/>
          <w:divBdr>
            <w:top w:val="none" w:sz="0" w:space="0" w:color="auto"/>
            <w:left w:val="none" w:sz="0" w:space="0" w:color="auto"/>
            <w:bottom w:val="none" w:sz="0" w:space="0" w:color="auto"/>
            <w:right w:val="none" w:sz="0" w:space="0" w:color="auto"/>
          </w:divBdr>
        </w:div>
        <w:div w:id="1254625913">
          <w:marLeft w:val="640"/>
          <w:marRight w:val="0"/>
          <w:marTop w:val="0"/>
          <w:marBottom w:val="0"/>
          <w:divBdr>
            <w:top w:val="none" w:sz="0" w:space="0" w:color="auto"/>
            <w:left w:val="none" w:sz="0" w:space="0" w:color="auto"/>
            <w:bottom w:val="none" w:sz="0" w:space="0" w:color="auto"/>
            <w:right w:val="none" w:sz="0" w:space="0" w:color="auto"/>
          </w:divBdr>
        </w:div>
        <w:div w:id="222570985">
          <w:marLeft w:val="640"/>
          <w:marRight w:val="0"/>
          <w:marTop w:val="0"/>
          <w:marBottom w:val="0"/>
          <w:divBdr>
            <w:top w:val="none" w:sz="0" w:space="0" w:color="auto"/>
            <w:left w:val="none" w:sz="0" w:space="0" w:color="auto"/>
            <w:bottom w:val="none" w:sz="0" w:space="0" w:color="auto"/>
            <w:right w:val="none" w:sz="0" w:space="0" w:color="auto"/>
          </w:divBdr>
        </w:div>
        <w:div w:id="1693417327">
          <w:marLeft w:val="640"/>
          <w:marRight w:val="0"/>
          <w:marTop w:val="0"/>
          <w:marBottom w:val="0"/>
          <w:divBdr>
            <w:top w:val="none" w:sz="0" w:space="0" w:color="auto"/>
            <w:left w:val="none" w:sz="0" w:space="0" w:color="auto"/>
            <w:bottom w:val="none" w:sz="0" w:space="0" w:color="auto"/>
            <w:right w:val="none" w:sz="0" w:space="0" w:color="auto"/>
          </w:divBdr>
        </w:div>
        <w:div w:id="791024631">
          <w:marLeft w:val="640"/>
          <w:marRight w:val="0"/>
          <w:marTop w:val="0"/>
          <w:marBottom w:val="0"/>
          <w:divBdr>
            <w:top w:val="none" w:sz="0" w:space="0" w:color="auto"/>
            <w:left w:val="none" w:sz="0" w:space="0" w:color="auto"/>
            <w:bottom w:val="none" w:sz="0" w:space="0" w:color="auto"/>
            <w:right w:val="none" w:sz="0" w:space="0" w:color="auto"/>
          </w:divBdr>
        </w:div>
        <w:div w:id="761415079">
          <w:marLeft w:val="640"/>
          <w:marRight w:val="0"/>
          <w:marTop w:val="0"/>
          <w:marBottom w:val="0"/>
          <w:divBdr>
            <w:top w:val="none" w:sz="0" w:space="0" w:color="auto"/>
            <w:left w:val="none" w:sz="0" w:space="0" w:color="auto"/>
            <w:bottom w:val="none" w:sz="0" w:space="0" w:color="auto"/>
            <w:right w:val="none" w:sz="0" w:space="0" w:color="auto"/>
          </w:divBdr>
        </w:div>
        <w:div w:id="27531898">
          <w:marLeft w:val="640"/>
          <w:marRight w:val="0"/>
          <w:marTop w:val="0"/>
          <w:marBottom w:val="0"/>
          <w:divBdr>
            <w:top w:val="none" w:sz="0" w:space="0" w:color="auto"/>
            <w:left w:val="none" w:sz="0" w:space="0" w:color="auto"/>
            <w:bottom w:val="none" w:sz="0" w:space="0" w:color="auto"/>
            <w:right w:val="none" w:sz="0" w:space="0" w:color="auto"/>
          </w:divBdr>
        </w:div>
        <w:div w:id="1328553603">
          <w:marLeft w:val="640"/>
          <w:marRight w:val="0"/>
          <w:marTop w:val="0"/>
          <w:marBottom w:val="0"/>
          <w:divBdr>
            <w:top w:val="none" w:sz="0" w:space="0" w:color="auto"/>
            <w:left w:val="none" w:sz="0" w:space="0" w:color="auto"/>
            <w:bottom w:val="none" w:sz="0" w:space="0" w:color="auto"/>
            <w:right w:val="none" w:sz="0" w:space="0" w:color="auto"/>
          </w:divBdr>
        </w:div>
        <w:div w:id="455677847">
          <w:marLeft w:val="640"/>
          <w:marRight w:val="0"/>
          <w:marTop w:val="0"/>
          <w:marBottom w:val="0"/>
          <w:divBdr>
            <w:top w:val="none" w:sz="0" w:space="0" w:color="auto"/>
            <w:left w:val="none" w:sz="0" w:space="0" w:color="auto"/>
            <w:bottom w:val="none" w:sz="0" w:space="0" w:color="auto"/>
            <w:right w:val="none" w:sz="0" w:space="0" w:color="auto"/>
          </w:divBdr>
        </w:div>
        <w:div w:id="722367187">
          <w:marLeft w:val="640"/>
          <w:marRight w:val="0"/>
          <w:marTop w:val="0"/>
          <w:marBottom w:val="0"/>
          <w:divBdr>
            <w:top w:val="none" w:sz="0" w:space="0" w:color="auto"/>
            <w:left w:val="none" w:sz="0" w:space="0" w:color="auto"/>
            <w:bottom w:val="none" w:sz="0" w:space="0" w:color="auto"/>
            <w:right w:val="none" w:sz="0" w:space="0" w:color="auto"/>
          </w:divBdr>
        </w:div>
        <w:div w:id="1152721279">
          <w:marLeft w:val="640"/>
          <w:marRight w:val="0"/>
          <w:marTop w:val="0"/>
          <w:marBottom w:val="0"/>
          <w:divBdr>
            <w:top w:val="none" w:sz="0" w:space="0" w:color="auto"/>
            <w:left w:val="none" w:sz="0" w:space="0" w:color="auto"/>
            <w:bottom w:val="none" w:sz="0" w:space="0" w:color="auto"/>
            <w:right w:val="none" w:sz="0" w:space="0" w:color="auto"/>
          </w:divBdr>
        </w:div>
        <w:div w:id="2020572537">
          <w:marLeft w:val="640"/>
          <w:marRight w:val="0"/>
          <w:marTop w:val="0"/>
          <w:marBottom w:val="0"/>
          <w:divBdr>
            <w:top w:val="none" w:sz="0" w:space="0" w:color="auto"/>
            <w:left w:val="none" w:sz="0" w:space="0" w:color="auto"/>
            <w:bottom w:val="none" w:sz="0" w:space="0" w:color="auto"/>
            <w:right w:val="none" w:sz="0" w:space="0" w:color="auto"/>
          </w:divBdr>
        </w:div>
        <w:div w:id="1155220040">
          <w:marLeft w:val="640"/>
          <w:marRight w:val="0"/>
          <w:marTop w:val="0"/>
          <w:marBottom w:val="0"/>
          <w:divBdr>
            <w:top w:val="none" w:sz="0" w:space="0" w:color="auto"/>
            <w:left w:val="none" w:sz="0" w:space="0" w:color="auto"/>
            <w:bottom w:val="none" w:sz="0" w:space="0" w:color="auto"/>
            <w:right w:val="none" w:sz="0" w:space="0" w:color="auto"/>
          </w:divBdr>
        </w:div>
        <w:div w:id="1929805532">
          <w:marLeft w:val="640"/>
          <w:marRight w:val="0"/>
          <w:marTop w:val="0"/>
          <w:marBottom w:val="0"/>
          <w:divBdr>
            <w:top w:val="none" w:sz="0" w:space="0" w:color="auto"/>
            <w:left w:val="none" w:sz="0" w:space="0" w:color="auto"/>
            <w:bottom w:val="none" w:sz="0" w:space="0" w:color="auto"/>
            <w:right w:val="none" w:sz="0" w:space="0" w:color="auto"/>
          </w:divBdr>
        </w:div>
        <w:div w:id="316038741">
          <w:marLeft w:val="640"/>
          <w:marRight w:val="0"/>
          <w:marTop w:val="0"/>
          <w:marBottom w:val="0"/>
          <w:divBdr>
            <w:top w:val="none" w:sz="0" w:space="0" w:color="auto"/>
            <w:left w:val="none" w:sz="0" w:space="0" w:color="auto"/>
            <w:bottom w:val="none" w:sz="0" w:space="0" w:color="auto"/>
            <w:right w:val="none" w:sz="0" w:space="0" w:color="auto"/>
          </w:divBdr>
        </w:div>
        <w:div w:id="2038114887">
          <w:marLeft w:val="640"/>
          <w:marRight w:val="0"/>
          <w:marTop w:val="0"/>
          <w:marBottom w:val="0"/>
          <w:divBdr>
            <w:top w:val="none" w:sz="0" w:space="0" w:color="auto"/>
            <w:left w:val="none" w:sz="0" w:space="0" w:color="auto"/>
            <w:bottom w:val="none" w:sz="0" w:space="0" w:color="auto"/>
            <w:right w:val="none" w:sz="0" w:space="0" w:color="auto"/>
          </w:divBdr>
        </w:div>
        <w:div w:id="964311779">
          <w:marLeft w:val="640"/>
          <w:marRight w:val="0"/>
          <w:marTop w:val="0"/>
          <w:marBottom w:val="0"/>
          <w:divBdr>
            <w:top w:val="none" w:sz="0" w:space="0" w:color="auto"/>
            <w:left w:val="none" w:sz="0" w:space="0" w:color="auto"/>
            <w:bottom w:val="none" w:sz="0" w:space="0" w:color="auto"/>
            <w:right w:val="none" w:sz="0" w:space="0" w:color="auto"/>
          </w:divBdr>
        </w:div>
        <w:div w:id="254562413">
          <w:marLeft w:val="640"/>
          <w:marRight w:val="0"/>
          <w:marTop w:val="0"/>
          <w:marBottom w:val="0"/>
          <w:divBdr>
            <w:top w:val="none" w:sz="0" w:space="0" w:color="auto"/>
            <w:left w:val="none" w:sz="0" w:space="0" w:color="auto"/>
            <w:bottom w:val="none" w:sz="0" w:space="0" w:color="auto"/>
            <w:right w:val="none" w:sz="0" w:space="0" w:color="auto"/>
          </w:divBdr>
        </w:div>
        <w:div w:id="1495225077">
          <w:marLeft w:val="640"/>
          <w:marRight w:val="0"/>
          <w:marTop w:val="0"/>
          <w:marBottom w:val="0"/>
          <w:divBdr>
            <w:top w:val="none" w:sz="0" w:space="0" w:color="auto"/>
            <w:left w:val="none" w:sz="0" w:space="0" w:color="auto"/>
            <w:bottom w:val="none" w:sz="0" w:space="0" w:color="auto"/>
            <w:right w:val="none" w:sz="0" w:space="0" w:color="auto"/>
          </w:divBdr>
        </w:div>
        <w:div w:id="439765272">
          <w:marLeft w:val="640"/>
          <w:marRight w:val="0"/>
          <w:marTop w:val="0"/>
          <w:marBottom w:val="0"/>
          <w:divBdr>
            <w:top w:val="none" w:sz="0" w:space="0" w:color="auto"/>
            <w:left w:val="none" w:sz="0" w:space="0" w:color="auto"/>
            <w:bottom w:val="none" w:sz="0" w:space="0" w:color="auto"/>
            <w:right w:val="none" w:sz="0" w:space="0" w:color="auto"/>
          </w:divBdr>
        </w:div>
        <w:div w:id="1983121801">
          <w:marLeft w:val="640"/>
          <w:marRight w:val="0"/>
          <w:marTop w:val="0"/>
          <w:marBottom w:val="0"/>
          <w:divBdr>
            <w:top w:val="none" w:sz="0" w:space="0" w:color="auto"/>
            <w:left w:val="none" w:sz="0" w:space="0" w:color="auto"/>
            <w:bottom w:val="none" w:sz="0" w:space="0" w:color="auto"/>
            <w:right w:val="none" w:sz="0" w:space="0" w:color="auto"/>
          </w:divBdr>
        </w:div>
        <w:div w:id="1968120101">
          <w:marLeft w:val="640"/>
          <w:marRight w:val="0"/>
          <w:marTop w:val="0"/>
          <w:marBottom w:val="0"/>
          <w:divBdr>
            <w:top w:val="none" w:sz="0" w:space="0" w:color="auto"/>
            <w:left w:val="none" w:sz="0" w:space="0" w:color="auto"/>
            <w:bottom w:val="none" w:sz="0" w:space="0" w:color="auto"/>
            <w:right w:val="none" w:sz="0" w:space="0" w:color="auto"/>
          </w:divBdr>
        </w:div>
        <w:div w:id="434597800">
          <w:marLeft w:val="640"/>
          <w:marRight w:val="0"/>
          <w:marTop w:val="0"/>
          <w:marBottom w:val="0"/>
          <w:divBdr>
            <w:top w:val="none" w:sz="0" w:space="0" w:color="auto"/>
            <w:left w:val="none" w:sz="0" w:space="0" w:color="auto"/>
            <w:bottom w:val="none" w:sz="0" w:space="0" w:color="auto"/>
            <w:right w:val="none" w:sz="0" w:space="0" w:color="auto"/>
          </w:divBdr>
        </w:div>
        <w:div w:id="640958497">
          <w:marLeft w:val="640"/>
          <w:marRight w:val="0"/>
          <w:marTop w:val="0"/>
          <w:marBottom w:val="0"/>
          <w:divBdr>
            <w:top w:val="none" w:sz="0" w:space="0" w:color="auto"/>
            <w:left w:val="none" w:sz="0" w:space="0" w:color="auto"/>
            <w:bottom w:val="none" w:sz="0" w:space="0" w:color="auto"/>
            <w:right w:val="none" w:sz="0" w:space="0" w:color="auto"/>
          </w:divBdr>
        </w:div>
        <w:div w:id="2003193483">
          <w:marLeft w:val="640"/>
          <w:marRight w:val="0"/>
          <w:marTop w:val="0"/>
          <w:marBottom w:val="0"/>
          <w:divBdr>
            <w:top w:val="none" w:sz="0" w:space="0" w:color="auto"/>
            <w:left w:val="none" w:sz="0" w:space="0" w:color="auto"/>
            <w:bottom w:val="none" w:sz="0" w:space="0" w:color="auto"/>
            <w:right w:val="none" w:sz="0" w:space="0" w:color="auto"/>
          </w:divBdr>
        </w:div>
        <w:div w:id="1123185858">
          <w:marLeft w:val="640"/>
          <w:marRight w:val="0"/>
          <w:marTop w:val="0"/>
          <w:marBottom w:val="0"/>
          <w:divBdr>
            <w:top w:val="none" w:sz="0" w:space="0" w:color="auto"/>
            <w:left w:val="none" w:sz="0" w:space="0" w:color="auto"/>
            <w:bottom w:val="none" w:sz="0" w:space="0" w:color="auto"/>
            <w:right w:val="none" w:sz="0" w:space="0" w:color="auto"/>
          </w:divBdr>
        </w:div>
        <w:div w:id="1849171720">
          <w:marLeft w:val="640"/>
          <w:marRight w:val="0"/>
          <w:marTop w:val="0"/>
          <w:marBottom w:val="0"/>
          <w:divBdr>
            <w:top w:val="none" w:sz="0" w:space="0" w:color="auto"/>
            <w:left w:val="none" w:sz="0" w:space="0" w:color="auto"/>
            <w:bottom w:val="none" w:sz="0" w:space="0" w:color="auto"/>
            <w:right w:val="none" w:sz="0" w:space="0" w:color="auto"/>
          </w:divBdr>
        </w:div>
        <w:div w:id="1094476821">
          <w:marLeft w:val="640"/>
          <w:marRight w:val="0"/>
          <w:marTop w:val="0"/>
          <w:marBottom w:val="0"/>
          <w:divBdr>
            <w:top w:val="none" w:sz="0" w:space="0" w:color="auto"/>
            <w:left w:val="none" w:sz="0" w:space="0" w:color="auto"/>
            <w:bottom w:val="none" w:sz="0" w:space="0" w:color="auto"/>
            <w:right w:val="none" w:sz="0" w:space="0" w:color="auto"/>
          </w:divBdr>
        </w:div>
        <w:div w:id="1544638684">
          <w:marLeft w:val="640"/>
          <w:marRight w:val="0"/>
          <w:marTop w:val="0"/>
          <w:marBottom w:val="0"/>
          <w:divBdr>
            <w:top w:val="none" w:sz="0" w:space="0" w:color="auto"/>
            <w:left w:val="none" w:sz="0" w:space="0" w:color="auto"/>
            <w:bottom w:val="none" w:sz="0" w:space="0" w:color="auto"/>
            <w:right w:val="none" w:sz="0" w:space="0" w:color="auto"/>
          </w:divBdr>
        </w:div>
        <w:div w:id="729839566">
          <w:marLeft w:val="640"/>
          <w:marRight w:val="0"/>
          <w:marTop w:val="0"/>
          <w:marBottom w:val="0"/>
          <w:divBdr>
            <w:top w:val="none" w:sz="0" w:space="0" w:color="auto"/>
            <w:left w:val="none" w:sz="0" w:space="0" w:color="auto"/>
            <w:bottom w:val="none" w:sz="0" w:space="0" w:color="auto"/>
            <w:right w:val="none" w:sz="0" w:space="0" w:color="auto"/>
          </w:divBdr>
        </w:div>
        <w:div w:id="1832062151">
          <w:marLeft w:val="640"/>
          <w:marRight w:val="0"/>
          <w:marTop w:val="0"/>
          <w:marBottom w:val="0"/>
          <w:divBdr>
            <w:top w:val="none" w:sz="0" w:space="0" w:color="auto"/>
            <w:left w:val="none" w:sz="0" w:space="0" w:color="auto"/>
            <w:bottom w:val="none" w:sz="0" w:space="0" w:color="auto"/>
            <w:right w:val="none" w:sz="0" w:space="0" w:color="auto"/>
          </w:divBdr>
        </w:div>
        <w:div w:id="348678692">
          <w:marLeft w:val="640"/>
          <w:marRight w:val="0"/>
          <w:marTop w:val="0"/>
          <w:marBottom w:val="0"/>
          <w:divBdr>
            <w:top w:val="none" w:sz="0" w:space="0" w:color="auto"/>
            <w:left w:val="none" w:sz="0" w:space="0" w:color="auto"/>
            <w:bottom w:val="none" w:sz="0" w:space="0" w:color="auto"/>
            <w:right w:val="none" w:sz="0" w:space="0" w:color="auto"/>
          </w:divBdr>
        </w:div>
        <w:div w:id="1696231304">
          <w:marLeft w:val="640"/>
          <w:marRight w:val="0"/>
          <w:marTop w:val="0"/>
          <w:marBottom w:val="0"/>
          <w:divBdr>
            <w:top w:val="none" w:sz="0" w:space="0" w:color="auto"/>
            <w:left w:val="none" w:sz="0" w:space="0" w:color="auto"/>
            <w:bottom w:val="none" w:sz="0" w:space="0" w:color="auto"/>
            <w:right w:val="none" w:sz="0" w:space="0" w:color="auto"/>
          </w:divBdr>
        </w:div>
        <w:div w:id="832911136">
          <w:marLeft w:val="640"/>
          <w:marRight w:val="0"/>
          <w:marTop w:val="0"/>
          <w:marBottom w:val="0"/>
          <w:divBdr>
            <w:top w:val="none" w:sz="0" w:space="0" w:color="auto"/>
            <w:left w:val="none" w:sz="0" w:space="0" w:color="auto"/>
            <w:bottom w:val="none" w:sz="0" w:space="0" w:color="auto"/>
            <w:right w:val="none" w:sz="0" w:space="0" w:color="auto"/>
          </w:divBdr>
        </w:div>
        <w:div w:id="1763720965">
          <w:marLeft w:val="640"/>
          <w:marRight w:val="0"/>
          <w:marTop w:val="0"/>
          <w:marBottom w:val="0"/>
          <w:divBdr>
            <w:top w:val="none" w:sz="0" w:space="0" w:color="auto"/>
            <w:left w:val="none" w:sz="0" w:space="0" w:color="auto"/>
            <w:bottom w:val="none" w:sz="0" w:space="0" w:color="auto"/>
            <w:right w:val="none" w:sz="0" w:space="0" w:color="auto"/>
          </w:divBdr>
        </w:div>
      </w:divsChild>
    </w:div>
    <w:div w:id="1060518851">
      <w:bodyDiv w:val="1"/>
      <w:marLeft w:val="0"/>
      <w:marRight w:val="0"/>
      <w:marTop w:val="0"/>
      <w:marBottom w:val="0"/>
      <w:divBdr>
        <w:top w:val="none" w:sz="0" w:space="0" w:color="auto"/>
        <w:left w:val="none" w:sz="0" w:space="0" w:color="auto"/>
        <w:bottom w:val="none" w:sz="0" w:space="0" w:color="auto"/>
        <w:right w:val="none" w:sz="0" w:space="0" w:color="auto"/>
      </w:divBdr>
      <w:divsChild>
        <w:div w:id="1536698231">
          <w:marLeft w:val="640"/>
          <w:marRight w:val="0"/>
          <w:marTop w:val="0"/>
          <w:marBottom w:val="0"/>
          <w:divBdr>
            <w:top w:val="none" w:sz="0" w:space="0" w:color="auto"/>
            <w:left w:val="none" w:sz="0" w:space="0" w:color="auto"/>
            <w:bottom w:val="none" w:sz="0" w:space="0" w:color="auto"/>
            <w:right w:val="none" w:sz="0" w:space="0" w:color="auto"/>
          </w:divBdr>
        </w:div>
        <w:div w:id="72969003">
          <w:marLeft w:val="640"/>
          <w:marRight w:val="0"/>
          <w:marTop w:val="0"/>
          <w:marBottom w:val="0"/>
          <w:divBdr>
            <w:top w:val="none" w:sz="0" w:space="0" w:color="auto"/>
            <w:left w:val="none" w:sz="0" w:space="0" w:color="auto"/>
            <w:bottom w:val="none" w:sz="0" w:space="0" w:color="auto"/>
            <w:right w:val="none" w:sz="0" w:space="0" w:color="auto"/>
          </w:divBdr>
        </w:div>
        <w:div w:id="1004554199">
          <w:marLeft w:val="640"/>
          <w:marRight w:val="0"/>
          <w:marTop w:val="0"/>
          <w:marBottom w:val="0"/>
          <w:divBdr>
            <w:top w:val="none" w:sz="0" w:space="0" w:color="auto"/>
            <w:left w:val="none" w:sz="0" w:space="0" w:color="auto"/>
            <w:bottom w:val="none" w:sz="0" w:space="0" w:color="auto"/>
            <w:right w:val="none" w:sz="0" w:space="0" w:color="auto"/>
          </w:divBdr>
        </w:div>
        <w:div w:id="1731155096">
          <w:marLeft w:val="640"/>
          <w:marRight w:val="0"/>
          <w:marTop w:val="0"/>
          <w:marBottom w:val="0"/>
          <w:divBdr>
            <w:top w:val="none" w:sz="0" w:space="0" w:color="auto"/>
            <w:left w:val="none" w:sz="0" w:space="0" w:color="auto"/>
            <w:bottom w:val="none" w:sz="0" w:space="0" w:color="auto"/>
            <w:right w:val="none" w:sz="0" w:space="0" w:color="auto"/>
          </w:divBdr>
        </w:div>
        <w:div w:id="1506437928">
          <w:marLeft w:val="640"/>
          <w:marRight w:val="0"/>
          <w:marTop w:val="0"/>
          <w:marBottom w:val="0"/>
          <w:divBdr>
            <w:top w:val="none" w:sz="0" w:space="0" w:color="auto"/>
            <w:left w:val="none" w:sz="0" w:space="0" w:color="auto"/>
            <w:bottom w:val="none" w:sz="0" w:space="0" w:color="auto"/>
            <w:right w:val="none" w:sz="0" w:space="0" w:color="auto"/>
          </w:divBdr>
        </w:div>
        <w:div w:id="1432118439">
          <w:marLeft w:val="640"/>
          <w:marRight w:val="0"/>
          <w:marTop w:val="0"/>
          <w:marBottom w:val="0"/>
          <w:divBdr>
            <w:top w:val="none" w:sz="0" w:space="0" w:color="auto"/>
            <w:left w:val="none" w:sz="0" w:space="0" w:color="auto"/>
            <w:bottom w:val="none" w:sz="0" w:space="0" w:color="auto"/>
            <w:right w:val="none" w:sz="0" w:space="0" w:color="auto"/>
          </w:divBdr>
        </w:div>
        <w:div w:id="2128238586">
          <w:marLeft w:val="640"/>
          <w:marRight w:val="0"/>
          <w:marTop w:val="0"/>
          <w:marBottom w:val="0"/>
          <w:divBdr>
            <w:top w:val="none" w:sz="0" w:space="0" w:color="auto"/>
            <w:left w:val="none" w:sz="0" w:space="0" w:color="auto"/>
            <w:bottom w:val="none" w:sz="0" w:space="0" w:color="auto"/>
            <w:right w:val="none" w:sz="0" w:space="0" w:color="auto"/>
          </w:divBdr>
        </w:div>
        <w:div w:id="1292974565">
          <w:marLeft w:val="640"/>
          <w:marRight w:val="0"/>
          <w:marTop w:val="0"/>
          <w:marBottom w:val="0"/>
          <w:divBdr>
            <w:top w:val="none" w:sz="0" w:space="0" w:color="auto"/>
            <w:left w:val="none" w:sz="0" w:space="0" w:color="auto"/>
            <w:bottom w:val="none" w:sz="0" w:space="0" w:color="auto"/>
            <w:right w:val="none" w:sz="0" w:space="0" w:color="auto"/>
          </w:divBdr>
        </w:div>
        <w:div w:id="254558001">
          <w:marLeft w:val="640"/>
          <w:marRight w:val="0"/>
          <w:marTop w:val="0"/>
          <w:marBottom w:val="0"/>
          <w:divBdr>
            <w:top w:val="none" w:sz="0" w:space="0" w:color="auto"/>
            <w:left w:val="none" w:sz="0" w:space="0" w:color="auto"/>
            <w:bottom w:val="none" w:sz="0" w:space="0" w:color="auto"/>
            <w:right w:val="none" w:sz="0" w:space="0" w:color="auto"/>
          </w:divBdr>
        </w:div>
        <w:div w:id="1791125776">
          <w:marLeft w:val="640"/>
          <w:marRight w:val="0"/>
          <w:marTop w:val="0"/>
          <w:marBottom w:val="0"/>
          <w:divBdr>
            <w:top w:val="none" w:sz="0" w:space="0" w:color="auto"/>
            <w:left w:val="none" w:sz="0" w:space="0" w:color="auto"/>
            <w:bottom w:val="none" w:sz="0" w:space="0" w:color="auto"/>
            <w:right w:val="none" w:sz="0" w:space="0" w:color="auto"/>
          </w:divBdr>
        </w:div>
        <w:div w:id="420640621">
          <w:marLeft w:val="640"/>
          <w:marRight w:val="0"/>
          <w:marTop w:val="0"/>
          <w:marBottom w:val="0"/>
          <w:divBdr>
            <w:top w:val="none" w:sz="0" w:space="0" w:color="auto"/>
            <w:left w:val="none" w:sz="0" w:space="0" w:color="auto"/>
            <w:bottom w:val="none" w:sz="0" w:space="0" w:color="auto"/>
            <w:right w:val="none" w:sz="0" w:space="0" w:color="auto"/>
          </w:divBdr>
        </w:div>
        <w:div w:id="710767268">
          <w:marLeft w:val="640"/>
          <w:marRight w:val="0"/>
          <w:marTop w:val="0"/>
          <w:marBottom w:val="0"/>
          <w:divBdr>
            <w:top w:val="none" w:sz="0" w:space="0" w:color="auto"/>
            <w:left w:val="none" w:sz="0" w:space="0" w:color="auto"/>
            <w:bottom w:val="none" w:sz="0" w:space="0" w:color="auto"/>
            <w:right w:val="none" w:sz="0" w:space="0" w:color="auto"/>
          </w:divBdr>
        </w:div>
        <w:div w:id="1476215377">
          <w:marLeft w:val="640"/>
          <w:marRight w:val="0"/>
          <w:marTop w:val="0"/>
          <w:marBottom w:val="0"/>
          <w:divBdr>
            <w:top w:val="none" w:sz="0" w:space="0" w:color="auto"/>
            <w:left w:val="none" w:sz="0" w:space="0" w:color="auto"/>
            <w:bottom w:val="none" w:sz="0" w:space="0" w:color="auto"/>
            <w:right w:val="none" w:sz="0" w:space="0" w:color="auto"/>
          </w:divBdr>
        </w:div>
        <w:div w:id="555435189">
          <w:marLeft w:val="640"/>
          <w:marRight w:val="0"/>
          <w:marTop w:val="0"/>
          <w:marBottom w:val="0"/>
          <w:divBdr>
            <w:top w:val="none" w:sz="0" w:space="0" w:color="auto"/>
            <w:left w:val="none" w:sz="0" w:space="0" w:color="auto"/>
            <w:bottom w:val="none" w:sz="0" w:space="0" w:color="auto"/>
            <w:right w:val="none" w:sz="0" w:space="0" w:color="auto"/>
          </w:divBdr>
        </w:div>
        <w:div w:id="105543190">
          <w:marLeft w:val="640"/>
          <w:marRight w:val="0"/>
          <w:marTop w:val="0"/>
          <w:marBottom w:val="0"/>
          <w:divBdr>
            <w:top w:val="none" w:sz="0" w:space="0" w:color="auto"/>
            <w:left w:val="none" w:sz="0" w:space="0" w:color="auto"/>
            <w:bottom w:val="none" w:sz="0" w:space="0" w:color="auto"/>
            <w:right w:val="none" w:sz="0" w:space="0" w:color="auto"/>
          </w:divBdr>
        </w:div>
        <w:div w:id="525601512">
          <w:marLeft w:val="640"/>
          <w:marRight w:val="0"/>
          <w:marTop w:val="0"/>
          <w:marBottom w:val="0"/>
          <w:divBdr>
            <w:top w:val="none" w:sz="0" w:space="0" w:color="auto"/>
            <w:left w:val="none" w:sz="0" w:space="0" w:color="auto"/>
            <w:bottom w:val="none" w:sz="0" w:space="0" w:color="auto"/>
            <w:right w:val="none" w:sz="0" w:space="0" w:color="auto"/>
          </w:divBdr>
        </w:div>
        <w:div w:id="689836323">
          <w:marLeft w:val="640"/>
          <w:marRight w:val="0"/>
          <w:marTop w:val="0"/>
          <w:marBottom w:val="0"/>
          <w:divBdr>
            <w:top w:val="none" w:sz="0" w:space="0" w:color="auto"/>
            <w:left w:val="none" w:sz="0" w:space="0" w:color="auto"/>
            <w:bottom w:val="none" w:sz="0" w:space="0" w:color="auto"/>
            <w:right w:val="none" w:sz="0" w:space="0" w:color="auto"/>
          </w:divBdr>
        </w:div>
        <w:div w:id="451679650">
          <w:marLeft w:val="640"/>
          <w:marRight w:val="0"/>
          <w:marTop w:val="0"/>
          <w:marBottom w:val="0"/>
          <w:divBdr>
            <w:top w:val="none" w:sz="0" w:space="0" w:color="auto"/>
            <w:left w:val="none" w:sz="0" w:space="0" w:color="auto"/>
            <w:bottom w:val="none" w:sz="0" w:space="0" w:color="auto"/>
            <w:right w:val="none" w:sz="0" w:space="0" w:color="auto"/>
          </w:divBdr>
        </w:div>
        <w:div w:id="2038041078">
          <w:marLeft w:val="640"/>
          <w:marRight w:val="0"/>
          <w:marTop w:val="0"/>
          <w:marBottom w:val="0"/>
          <w:divBdr>
            <w:top w:val="none" w:sz="0" w:space="0" w:color="auto"/>
            <w:left w:val="none" w:sz="0" w:space="0" w:color="auto"/>
            <w:bottom w:val="none" w:sz="0" w:space="0" w:color="auto"/>
            <w:right w:val="none" w:sz="0" w:space="0" w:color="auto"/>
          </w:divBdr>
        </w:div>
        <w:div w:id="617877844">
          <w:marLeft w:val="640"/>
          <w:marRight w:val="0"/>
          <w:marTop w:val="0"/>
          <w:marBottom w:val="0"/>
          <w:divBdr>
            <w:top w:val="none" w:sz="0" w:space="0" w:color="auto"/>
            <w:left w:val="none" w:sz="0" w:space="0" w:color="auto"/>
            <w:bottom w:val="none" w:sz="0" w:space="0" w:color="auto"/>
            <w:right w:val="none" w:sz="0" w:space="0" w:color="auto"/>
          </w:divBdr>
        </w:div>
        <w:div w:id="162669219">
          <w:marLeft w:val="640"/>
          <w:marRight w:val="0"/>
          <w:marTop w:val="0"/>
          <w:marBottom w:val="0"/>
          <w:divBdr>
            <w:top w:val="none" w:sz="0" w:space="0" w:color="auto"/>
            <w:left w:val="none" w:sz="0" w:space="0" w:color="auto"/>
            <w:bottom w:val="none" w:sz="0" w:space="0" w:color="auto"/>
            <w:right w:val="none" w:sz="0" w:space="0" w:color="auto"/>
          </w:divBdr>
        </w:div>
        <w:div w:id="180822374">
          <w:marLeft w:val="640"/>
          <w:marRight w:val="0"/>
          <w:marTop w:val="0"/>
          <w:marBottom w:val="0"/>
          <w:divBdr>
            <w:top w:val="none" w:sz="0" w:space="0" w:color="auto"/>
            <w:left w:val="none" w:sz="0" w:space="0" w:color="auto"/>
            <w:bottom w:val="none" w:sz="0" w:space="0" w:color="auto"/>
            <w:right w:val="none" w:sz="0" w:space="0" w:color="auto"/>
          </w:divBdr>
        </w:div>
        <w:div w:id="936787575">
          <w:marLeft w:val="640"/>
          <w:marRight w:val="0"/>
          <w:marTop w:val="0"/>
          <w:marBottom w:val="0"/>
          <w:divBdr>
            <w:top w:val="none" w:sz="0" w:space="0" w:color="auto"/>
            <w:left w:val="none" w:sz="0" w:space="0" w:color="auto"/>
            <w:bottom w:val="none" w:sz="0" w:space="0" w:color="auto"/>
            <w:right w:val="none" w:sz="0" w:space="0" w:color="auto"/>
          </w:divBdr>
        </w:div>
        <w:div w:id="792942394">
          <w:marLeft w:val="640"/>
          <w:marRight w:val="0"/>
          <w:marTop w:val="0"/>
          <w:marBottom w:val="0"/>
          <w:divBdr>
            <w:top w:val="none" w:sz="0" w:space="0" w:color="auto"/>
            <w:left w:val="none" w:sz="0" w:space="0" w:color="auto"/>
            <w:bottom w:val="none" w:sz="0" w:space="0" w:color="auto"/>
            <w:right w:val="none" w:sz="0" w:space="0" w:color="auto"/>
          </w:divBdr>
        </w:div>
        <w:div w:id="1457602508">
          <w:marLeft w:val="640"/>
          <w:marRight w:val="0"/>
          <w:marTop w:val="0"/>
          <w:marBottom w:val="0"/>
          <w:divBdr>
            <w:top w:val="none" w:sz="0" w:space="0" w:color="auto"/>
            <w:left w:val="none" w:sz="0" w:space="0" w:color="auto"/>
            <w:bottom w:val="none" w:sz="0" w:space="0" w:color="auto"/>
            <w:right w:val="none" w:sz="0" w:space="0" w:color="auto"/>
          </w:divBdr>
        </w:div>
        <w:div w:id="241959081">
          <w:marLeft w:val="640"/>
          <w:marRight w:val="0"/>
          <w:marTop w:val="0"/>
          <w:marBottom w:val="0"/>
          <w:divBdr>
            <w:top w:val="none" w:sz="0" w:space="0" w:color="auto"/>
            <w:left w:val="none" w:sz="0" w:space="0" w:color="auto"/>
            <w:bottom w:val="none" w:sz="0" w:space="0" w:color="auto"/>
            <w:right w:val="none" w:sz="0" w:space="0" w:color="auto"/>
          </w:divBdr>
        </w:div>
        <w:div w:id="1380590846">
          <w:marLeft w:val="640"/>
          <w:marRight w:val="0"/>
          <w:marTop w:val="0"/>
          <w:marBottom w:val="0"/>
          <w:divBdr>
            <w:top w:val="none" w:sz="0" w:space="0" w:color="auto"/>
            <w:left w:val="none" w:sz="0" w:space="0" w:color="auto"/>
            <w:bottom w:val="none" w:sz="0" w:space="0" w:color="auto"/>
            <w:right w:val="none" w:sz="0" w:space="0" w:color="auto"/>
          </w:divBdr>
        </w:div>
        <w:div w:id="750466050">
          <w:marLeft w:val="640"/>
          <w:marRight w:val="0"/>
          <w:marTop w:val="0"/>
          <w:marBottom w:val="0"/>
          <w:divBdr>
            <w:top w:val="none" w:sz="0" w:space="0" w:color="auto"/>
            <w:left w:val="none" w:sz="0" w:space="0" w:color="auto"/>
            <w:bottom w:val="none" w:sz="0" w:space="0" w:color="auto"/>
            <w:right w:val="none" w:sz="0" w:space="0" w:color="auto"/>
          </w:divBdr>
        </w:div>
        <w:div w:id="1676305208">
          <w:marLeft w:val="640"/>
          <w:marRight w:val="0"/>
          <w:marTop w:val="0"/>
          <w:marBottom w:val="0"/>
          <w:divBdr>
            <w:top w:val="none" w:sz="0" w:space="0" w:color="auto"/>
            <w:left w:val="none" w:sz="0" w:space="0" w:color="auto"/>
            <w:bottom w:val="none" w:sz="0" w:space="0" w:color="auto"/>
            <w:right w:val="none" w:sz="0" w:space="0" w:color="auto"/>
          </w:divBdr>
        </w:div>
        <w:div w:id="805272300">
          <w:marLeft w:val="640"/>
          <w:marRight w:val="0"/>
          <w:marTop w:val="0"/>
          <w:marBottom w:val="0"/>
          <w:divBdr>
            <w:top w:val="none" w:sz="0" w:space="0" w:color="auto"/>
            <w:left w:val="none" w:sz="0" w:space="0" w:color="auto"/>
            <w:bottom w:val="none" w:sz="0" w:space="0" w:color="auto"/>
            <w:right w:val="none" w:sz="0" w:space="0" w:color="auto"/>
          </w:divBdr>
        </w:div>
        <w:div w:id="1971470891">
          <w:marLeft w:val="640"/>
          <w:marRight w:val="0"/>
          <w:marTop w:val="0"/>
          <w:marBottom w:val="0"/>
          <w:divBdr>
            <w:top w:val="none" w:sz="0" w:space="0" w:color="auto"/>
            <w:left w:val="none" w:sz="0" w:space="0" w:color="auto"/>
            <w:bottom w:val="none" w:sz="0" w:space="0" w:color="auto"/>
            <w:right w:val="none" w:sz="0" w:space="0" w:color="auto"/>
          </w:divBdr>
        </w:div>
        <w:div w:id="117572118">
          <w:marLeft w:val="640"/>
          <w:marRight w:val="0"/>
          <w:marTop w:val="0"/>
          <w:marBottom w:val="0"/>
          <w:divBdr>
            <w:top w:val="none" w:sz="0" w:space="0" w:color="auto"/>
            <w:left w:val="none" w:sz="0" w:space="0" w:color="auto"/>
            <w:bottom w:val="none" w:sz="0" w:space="0" w:color="auto"/>
            <w:right w:val="none" w:sz="0" w:space="0" w:color="auto"/>
          </w:divBdr>
        </w:div>
        <w:div w:id="1484467273">
          <w:marLeft w:val="640"/>
          <w:marRight w:val="0"/>
          <w:marTop w:val="0"/>
          <w:marBottom w:val="0"/>
          <w:divBdr>
            <w:top w:val="none" w:sz="0" w:space="0" w:color="auto"/>
            <w:left w:val="none" w:sz="0" w:space="0" w:color="auto"/>
            <w:bottom w:val="none" w:sz="0" w:space="0" w:color="auto"/>
            <w:right w:val="none" w:sz="0" w:space="0" w:color="auto"/>
          </w:divBdr>
        </w:div>
        <w:div w:id="615019034">
          <w:marLeft w:val="640"/>
          <w:marRight w:val="0"/>
          <w:marTop w:val="0"/>
          <w:marBottom w:val="0"/>
          <w:divBdr>
            <w:top w:val="none" w:sz="0" w:space="0" w:color="auto"/>
            <w:left w:val="none" w:sz="0" w:space="0" w:color="auto"/>
            <w:bottom w:val="none" w:sz="0" w:space="0" w:color="auto"/>
            <w:right w:val="none" w:sz="0" w:space="0" w:color="auto"/>
          </w:divBdr>
        </w:div>
        <w:div w:id="1256406189">
          <w:marLeft w:val="640"/>
          <w:marRight w:val="0"/>
          <w:marTop w:val="0"/>
          <w:marBottom w:val="0"/>
          <w:divBdr>
            <w:top w:val="none" w:sz="0" w:space="0" w:color="auto"/>
            <w:left w:val="none" w:sz="0" w:space="0" w:color="auto"/>
            <w:bottom w:val="none" w:sz="0" w:space="0" w:color="auto"/>
            <w:right w:val="none" w:sz="0" w:space="0" w:color="auto"/>
          </w:divBdr>
        </w:div>
        <w:div w:id="2095083741">
          <w:marLeft w:val="640"/>
          <w:marRight w:val="0"/>
          <w:marTop w:val="0"/>
          <w:marBottom w:val="0"/>
          <w:divBdr>
            <w:top w:val="none" w:sz="0" w:space="0" w:color="auto"/>
            <w:left w:val="none" w:sz="0" w:space="0" w:color="auto"/>
            <w:bottom w:val="none" w:sz="0" w:space="0" w:color="auto"/>
            <w:right w:val="none" w:sz="0" w:space="0" w:color="auto"/>
          </w:divBdr>
        </w:div>
        <w:div w:id="2147045465">
          <w:marLeft w:val="640"/>
          <w:marRight w:val="0"/>
          <w:marTop w:val="0"/>
          <w:marBottom w:val="0"/>
          <w:divBdr>
            <w:top w:val="none" w:sz="0" w:space="0" w:color="auto"/>
            <w:left w:val="none" w:sz="0" w:space="0" w:color="auto"/>
            <w:bottom w:val="none" w:sz="0" w:space="0" w:color="auto"/>
            <w:right w:val="none" w:sz="0" w:space="0" w:color="auto"/>
          </w:divBdr>
        </w:div>
        <w:div w:id="264970587">
          <w:marLeft w:val="640"/>
          <w:marRight w:val="0"/>
          <w:marTop w:val="0"/>
          <w:marBottom w:val="0"/>
          <w:divBdr>
            <w:top w:val="none" w:sz="0" w:space="0" w:color="auto"/>
            <w:left w:val="none" w:sz="0" w:space="0" w:color="auto"/>
            <w:bottom w:val="none" w:sz="0" w:space="0" w:color="auto"/>
            <w:right w:val="none" w:sz="0" w:space="0" w:color="auto"/>
          </w:divBdr>
        </w:div>
        <w:div w:id="1339843357">
          <w:marLeft w:val="640"/>
          <w:marRight w:val="0"/>
          <w:marTop w:val="0"/>
          <w:marBottom w:val="0"/>
          <w:divBdr>
            <w:top w:val="none" w:sz="0" w:space="0" w:color="auto"/>
            <w:left w:val="none" w:sz="0" w:space="0" w:color="auto"/>
            <w:bottom w:val="none" w:sz="0" w:space="0" w:color="auto"/>
            <w:right w:val="none" w:sz="0" w:space="0" w:color="auto"/>
          </w:divBdr>
        </w:div>
        <w:div w:id="622466806">
          <w:marLeft w:val="640"/>
          <w:marRight w:val="0"/>
          <w:marTop w:val="0"/>
          <w:marBottom w:val="0"/>
          <w:divBdr>
            <w:top w:val="none" w:sz="0" w:space="0" w:color="auto"/>
            <w:left w:val="none" w:sz="0" w:space="0" w:color="auto"/>
            <w:bottom w:val="none" w:sz="0" w:space="0" w:color="auto"/>
            <w:right w:val="none" w:sz="0" w:space="0" w:color="auto"/>
          </w:divBdr>
        </w:div>
        <w:div w:id="727151337">
          <w:marLeft w:val="640"/>
          <w:marRight w:val="0"/>
          <w:marTop w:val="0"/>
          <w:marBottom w:val="0"/>
          <w:divBdr>
            <w:top w:val="none" w:sz="0" w:space="0" w:color="auto"/>
            <w:left w:val="none" w:sz="0" w:space="0" w:color="auto"/>
            <w:bottom w:val="none" w:sz="0" w:space="0" w:color="auto"/>
            <w:right w:val="none" w:sz="0" w:space="0" w:color="auto"/>
          </w:divBdr>
        </w:div>
        <w:div w:id="1731003475">
          <w:marLeft w:val="640"/>
          <w:marRight w:val="0"/>
          <w:marTop w:val="0"/>
          <w:marBottom w:val="0"/>
          <w:divBdr>
            <w:top w:val="none" w:sz="0" w:space="0" w:color="auto"/>
            <w:left w:val="none" w:sz="0" w:space="0" w:color="auto"/>
            <w:bottom w:val="none" w:sz="0" w:space="0" w:color="auto"/>
            <w:right w:val="none" w:sz="0" w:space="0" w:color="auto"/>
          </w:divBdr>
        </w:div>
        <w:div w:id="1325744075">
          <w:marLeft w:val="640"/>
          <w:marRight w:val="0"/>
          <w:marTop w:val="0"/>
          <w:marBottom w:val="0"/>
          <w:divBdr>
            <w:top w:val="none" w:sz="0" w:space="0" w:color="auto"/>
            <w:left w:val="none" w:sz="0" w:space="0" w:color="auto"/>
            <w:bottom w:val="none" w:sz="0" w:space="0" w:color="auto"/>
            <w:right w:val="none" w:sz="0" w:space="0" w:color="auto"/>
          </w:divBdr>
        </w:div>
        <w:div w:id="1595285230">
          <w:marLeft w:val="640"/>
          <w:marRight w:val="0"/>
          <w:marTop w:val="0"/>
          <w:marBottom w:val="0"/>
          <w:divBdr>
            <w:top w:val="none" w:sz="0" w:space="0" w:color="auto"/>
            <w:left w:val="none" w:sz="0" w:space="0" w:color="auto"/>
            <w:bottom w:val="none" w:sz="0" w:space="0" w:color="auto"/>
            <w:right w:val="none" w:sz="0" w:space="0" w:color="auto"/>
          </w:divBdr>
        </w:div>
        <w:div w:id="895899944">
          <w:marLeft w:val="640"/>
          <w:marRight w:val="0"/>
          <w:marTop w:val="0"/>
          <w:marBottom w:val="0"/>
          <w:divBdr>
            <w:top w:val="none" w:sz="0" w:space="0" w:color="auto"/>
            <w:left w:val="none" w:sz="0" w:space="0" w:color="auto"/>
            <w:bottom w:val="none" w:sz="0" w:space="0" w:color="auto"/>
            <w:right w:val="none" w:sz="0" w:space="0" w:color="auto"/>
          </w:divBdr>
        </w:div>
        <w:div w:id="936518667">
          <w:marLeft w:val="640"/>
          <w:marRight w:val="0"/>
          <w:marTop w:val="0"/>
          <w:marBottom w:val="0"/>
          <w:divBdr>
            <w:top w:val="none" w:sz="0" w:space="0" w:color="auto"/>
            <w:left w:val="none" w:sz="0" w:space="0" w:color="auto"/>
            <w:bottom w:val="none" w:sz="0" w:space="0" w:color="auto"/>
            <w:right w:val="none" w:sz="0" w:space="0" w:color="auto"/>
          </w:divBdr>
        </w:div>
        <w:div w:id="493230597">
          <w:marLeft w:val="640"/>
          <w:marRight w:val="0"/>
          <w:marTop w:val="0"/>
          <w:marBottom w:val="0"/>
          <w:divBdr>
            <w:top w:val="none" w:sz="0" w:space="0" w:color="auto"/>
            <w:left w:val="none" w:sz="0" w:space="0" w:color="auto"/>
            <w:bottom w:val="none" w:sz="0" w:space="0" w:color="auto"/>
            <w:right w:val="none" w:sz="0" w:space="0" w:color="auto"/>
          </w:divBdr>
        </w:div>
        <w:div w:id="1068457645">
          <w:marLeft w:val="640"/>
          <w:marRight w:val="0"/>
          <w:marTop w:val="0"/>
          <w:marBottom w:val="0"/>
          <w:divBdr>
            <w:top w:val="none" w:sz="0" w:space="0" w:color="auto"/>
            <w:left w:val="none" w:sz="0" w:space="0" w:color="auto"/>
            <w:bottom w:val="none" w:sz="0" w:space="0" w:color="auto"/>
            <w:right w:val="none" w:sz="0" w:space="0" w:color="auto"/>
          </w:divBdr>
        </w:div>
        <w:div w:id="906916232">
          <w:marLeft w:val="640"/>
          <w:marRight w:val="0"/>
          <w:marTop w:val="0"/>
          <w:marBottom w:val="0"/>
          <w:divBdr>
            <w:top w:val="none" w:sz="0" w:space="0" w:color="auto"/>
            <w:left w:val="none" w:sz="0" w:space="0" w:color="auto"/>
            <w:bottom w:val="none" w:sz="0" w:space="0" w:color="auto"/>
            <w:right w:val="none" w:sz="0" w:space="0" w:color="auto"/>
          </w:divBdr>
        </w:div>
        <w:div w:id="1661884439">
          <w:marLeft w:val="640"/>
          <w:marRight w:val="0"/>
          <w:marTop w:val="0"/>
          <w:marBottom w:val="0"/>
          <w:divBdr>
            <w:top w:val="none" w:sz="0" w:space="0" w:color="auto"/>
            <w:left w:val="none" w:sz="0" w:space="0" w:color="auto"/>
            <w:bottom w:val="none" w:sz="0" w:space="0" w:color="auto"/>
            <w:right w:val="none" w:sz="0" w:space="0" w:color="auto"/>
          </w:divBdr>
        </w:div>
        <w:div w:id="1813057017">
          <w:marLeft w:val="640"/>
          <w:marRight w:val="0"/>
          <w:marTop w:val="0"/>
          <w:marBottom w:val="0"/>
          <w:divBdr>
            <w:top w:val="none" w:sz="0" w:space="0" w:color="auto"/>
            <w:left w:val="none" w:sz="0" w:space="0" w:color="auto"/>
            <w:bottom w:val="none" w:sz="0" w:space="0" w:color="auto"/>
            <w:right w:val="none" w:sz="0" w:space="0" w:color="auto"/>
          </w:divBdr>
        </w:div>
        <w:div w:id="1925798974">
          <w:marLeft w:val="640"/>
          <w:marRight w:val="0"/>
          <w:marTop w:val="0"/>
          <w:marBottom w:val="0"/>
          <w:divBdr>
            <w:top w:val="none" w:sz="0" w:space="0" w:color="auto"/>
            <w:left w:val="none" w:sz="0" w:space="0" w:color="auto"/>
            <w:bottom w:val="none" w:sz="0" w:space="0" w:color="auto"/>
            <w:right w:val="none" w:sz="0" w:space="0" w:color="auto"/>
          </w:divBdr>
        </w:div>
        <w:div w:id="1441800160">
          <w:marLeft w:val="640"/>
          <w:marRight w:val="0"/>
          <w:marTop w:val="0"/>
          <w:marBottom w:val="0"/>
          <w:divBdr>
            <w:top w:val="none" w:sz="0" w:space="0" w:color="auto"/>
            <w:left w:val="none" w:sz="0" w:space="0" w:color="auto"/>
            <w:bottom w:val="none" w:sz="0" w:space="0" w:color="auto"/>
            <w:right w:val="none" w:sz="0" w:space="0" w:color="auto"/>
          </w:divBdr>
        </w:div>
        <w:div w:id="1797095242">
          <w:marLeft w:val="640"/>
          <w:marRight w:val="0"/>
          <w:marTop w:val="0"/>
          <w:marBottom w:val="0"/>
          <w:divBdr>
            <w:top w:val="none" w:sz="0" w:space="0" w:color="auto"/>
            <w:left w:val="none" w:sz="0" w:space="0" w:color="auto"/>
            <w:bottom w:val="none" w:sz="0" w:space="0" w:color="auto"/>
            <w:right w:val="none" w:sz="0" w:space="0" w:color="auto"/>
          </w:divBdr>
        </w:div>
        <w:div w:id="915671204">
          <w:marLeft w:val="640"/>
          <w:marRight w:val="0"/>
          <w:marTop w:val="0"/>
          <w:marBottom w:val="0"/>
          <w:divBdr>
            <w:top w:val="none" w:sz="0" w:space="0" w:color="auto"/>
            <w:left w:val="none" w:sz="0" w:space="0" w:color="auto"/>
            <w:bottom w:val="none" w:sz="0" w:space="0" w:color="auto"/>
            <w:right w:val="none" w:sz="0" w:space="0" w:color="auto"/>
          </w:divBdr>
        </w:div>
        <w:div w:id="1671328225">
          <w:marLeft w:val="640"/>
          <w:marRight w:val="0"/>
          <w:marTop w:val="0"/>
          <w:marBottom w:val="0"/>
          <w:divBdr>
            <w:top w:val="none" w:sz="0" w:space="0" w:color="auto"/>
            <w:left w:val="none" w:sz="0" w:space="0" w:color="auto"/>
            <w:bottom w:val="none" w:sz="0" w:space="0" w:color="auto"/>
            <w:right w:val="none" w:sz="0" w:space="0" w:color="auto"/>
          </w:divBdr>
        </w:div>
        <w:div w:id="654645590">
          <w:marLeft w:val="640"/>
          <w:marRight w:val="0"/>
          <w:marTop w:val="0"/>
          <w:marBottom w:val="0"/>
          <w:divBdr>
            <w:top w:val="none" w:sz="0" w:space="0" w:color="auto"/>
            <w:left w:val="none" w:sz="0" w:space="0" w:color="auto"/>
            <w:bottom w:val="none" w:sz="0" w:space="0" w:color="auto"/>
            <w:right w:val="none" w:sz="0" w:space="0" w:color="auto"/>
          </w:divBdr>
        </w:div>
        <w:div w:id="674847092">
          <w:marLeft w:val="640"/>
          <w:marRight w:val="0"/>
          <w:marTop w:val="0"/>
          <w:marBottom w:val="0"/>
          <w:divBdr>
            <w:top w:val="none" w:sz="0" w:space="0" w:color="auto"/>
            <w:left w:val="none" w:sz="0" w:space="0" w:color="auto"/>
            <w:bottom w:val="none" w:sz="0" w:space="0" w:color="auto"/>
            <w:right w:val="none" w:sz="0" w:space="0" w:color="auto"/>
          </w:divBdr>
        </w:div>
        <w:div w:id="1318457037">
          <w:marLeft w:val="640"/>
          <w:marRight w:val="0"/>
          <w:marTop w:val="0"/>
          <w:marBottom w:val="0"/>
          <w:divBdr>
            <w:top w:val="none" w:sz="0" w:space="0" w:color="auto"/>
            <w:left w:val="none" w:sz="0" w:space="0" w:color="auto"/>
            <w:bottom w:val="none" w:sz="0" w:space="0" w:color="auto"/>
            <w:right w:val="none" w:sz="0" w:space="0" w:color="auto"/>
          </w:divBdr>
        </w:div>
        <w:div w:id="1818454772">
          <w:marLeft w:val="640"/>
          <w:marRight w:val="0"/>
          <w:marTop w:val="0"/>
          <w:marBottom w:val="0"/>
          <w:divBdr>
            <w:top w:val="none" w:sz="0" w:space="0" w:color="auto"/>
            <w:left w:val="none" w:sz="0" w:space="0" w:color="auto"/>
            <w:bottom w:val="none" w:sz="0" w:space="0" w:color="auto"/>
            <w:right w:val="none" w:sz="0" w:space="0" w:color="auto"/>
          </w:divBdr>
        </w:div>
        <w:div w:id="176695039">
          <w:marLeft w:val="640"/>
          <w:marRight w:val="0"/>
          <w:marTop w:val="0"/>
          <w:marBottom w:val="0"/>
          <w:divBdr>
            <w:top w:val="none" w:sz="0" w:space="0" w:color="auto"/>
            <w:left w:val="none" w:sz="0" w:space="0" w:color="auto"/>
            <w:bottom w:val="none" w:sz="0" w:space="0" w:color="auto"/>
            <w:right w:val="none" w:sz="0" w:space="0" w:color="auto"/>
          </w:divBdr>
        </w:div>
        <w:div w:id="2131778518">
          <w:marLeft w:val="640"/>
          <w:marRight w:val="0"/>
          <w:marTop w:val="0"/>
          <w:marBottom w:val="0"/>
          <w:divBdr>
            <w:top w:val="none" w:sz="0" w:space="0" w:color="auto"/>
            <w:left w:val="none" w:sz="0" w:space="0" w:color="auto"/>
            <w:bottom w:val="none" w:sz="0" w:space="0" w:color="auto"/>
            <w:right w:val="none" w:sz="0" w:space="0" w:color="auto"/>
          </w:divBdr>
        </w:div>
        <w:div w:id="120854165">
          <w:marLeft w:val="640"/>
          <w:marRight w:val="0"/>
          <w:marTop w:val="0"/>
          <w:marBottom w:val="0"/>
          <w:divBdr>
            <w:top w:val="none" w:sz="0" w:space="0" w:color="auto"/>
            <w:left w:val="none" w:sz="0" w:space="0" w:color="auto"/>
            <w:bottom w:val="none" w:sz="0" w:space="0" w:color="auto"/>
            <w:right w:val="none" w:sz="0" w:space="0" w:color="auto"/>
          </w:divBdr>
        </w:div>
        <w:div w:id="2146729644">
          <w:marLeft w:val="640"/>
          <w:marRight w:val="0"/>
          <w:marTop w:val="0"/>
          <w:marBottom w:val="0"/>
          <w:divBdr>
            <w:top w:val="none" w:sz="0" w:space="0" w:color="auto"/>
            <w:left w:val="none" w:sz="0" w:space="0" w:color="auto"/>
            <w:bottom w:val="none" w:sz="0" w:space="0" w:color="auto"/>
            <w:right w:val="none" w:sz="0" w:space="0" w:color="auto"/>
          </w:divBdr>
        </w:div>
        <w:div w:id="230432448">
          <w:marLeft w:val="640"/>
          <w:marRight w:val="0"/>
          <w:marTop w:val="0"/>
          <w:marBottom w:val="0"/>
          <w:divBdr>
            <w:top w:val="none" w:sz="0" w:space="0" w:color="auto"/>
            <w:left w:val="none" w:sz="0" w:space="0" w:color="auto"/>
            <w:bottom w:val="none" w:sz="0" w:space="0" w:color="auto"/>
            <w:right w:val="none" w:sz="0" w:space="0" w:color="auto"/>
          </w:divBdr>
        </w:div>
        <w:div w:id="112213221">
          <w:marLeft w:val="640"/>
          <w:marRight w:val="0"/>
          <w:marTop w:val="0"/>
          <w:marBottom w:val="0"/>
          <w:divBdr>
            <w:top w:val="none" w:sz="0" w:space="0" w:color="auto"/>
            <w:left w:val="none" w:sz="0" w:space="0" w:color="auto"/>
            <w:bottom w:val="none" w:sz="0" w:space="0" w:color="auto"/>
            <w:right w:val="none" w:sz="0" w:space="0" w:color="auto"/>
          </w:divBdr>
        </w:div>
        <w:div w:id="105274157">
          <w:marLeft w:val="640"/>
          <w:marRight w:val="0"/>
          <w:marTop w:val="0"/>
          <w:marBottom w:val="0"/>
          <w:divBdr>
            <w:top w:val="none" w:sz="0" w:space="0" w:color="auto"/>
            <w:left w:val="none" w:sz="0" w:space="0" w:color="auto"/>
            <w:bottom w:val="none" w:sz="0" w:space="0" w:color="auto"/>
            <w:right w:val="none" w:sz="0" w:space="0" w:color="auto"/>
          </w:divBdr>
        </w:div>
        <w:div w:id="1335302867">
          <w:marLeft w:val="640"/>
          <w:marRight w:val="0"/>
          <w:marTop w:val="0"/>
          <w:marBottom w:val="0"/>
          <w:divBdr>
            <w:top w:val="none" w:sz="0" w:space="0" w:color="auto"/>
            <w:left w:val="none" w:sz="0" w:space="0" w:color="auto"/>
            <w:bottom w:val="none" w:sz="0" w:space="0" w:color="auto"/>
            <w:right w:val="none" w:sz="0" w:space="0" w:color="auto"/>
          </w:divBdr>
        </w:div>
        <w:div w:id="2011326139">
          <w:marLeft w:val="640"/>
          <w:marRight w:val="0"/>
          <w:marTop w:val="0"/>
          <w:marBottom w:val="0"/>
          <w:divBdr>
            <w:top w:val="none" w:sz="0" w:space="0" w:color="auto"/>
            <w:left w:val="none" w:sz="0" w:space="0" w:color="auto"/>
            <w:bottom w:val="none" w:sz="0" w:space="0" w:color="auto"/>
            <w:right w:val="none" w:sz="0" w:space="0" w:color="auto"/>
          </w:divBdr>
        </w:div>
        <w:div w:id="1475949030">
          <w:marLeft w:val="640"/>
          <w:marRight w:val="0"/>
          <w:marTop w:val="0"/>
          <w:marBottom w:val="0"/>
          <w:divBdr>
            <w:top w:val="none" w:sz="0" w:space="0" w:color="auto"/>
            <w:left w:val="none" w:sz="0" w:space="0" w:color="auto"/>
            <w:bottom w:val="none" w:sz="0" w:space="0" w:color="auto"/>
            <w:right w:val="none" w:sz="0" w:space="0" w:color="auto"/>
          </w:divBdr>
        </w:div>
        <w:div w:id="376708630">
          <w:marLeft w:val="640"/>
          <w:marRight w:val="0"/>
          <w:marTop w:val="0"/>
          <w:marBottom w:val="0"/>
          <w:divBdr>
            <w:top w:val="none" w:sz="0" w:space="0" w:color="auto"/>
            <w:left w:val="none" w:sz="0" w:space="0" w:color="auto"/>
            <w:bottom w:val="none" w:sz="0" w:space="0" w:color="auto"/>
            <w:right w:val="none" w:sz="0" w:space="0" w:color="auto"/>
          </w:divBdr>
        </w:div>
        <w:div w:id="881139163">
          <w:marLeft w:val="640"/>
          <w:marRight w:val="0"/>
          <w:marTop w:val="0"/>
          <w:marBottom w:val="0"/>
          <w:divBdr>
            <w:top w:val="none" w:sz="0" w:space="0" w:color="auto"/>
            <w:left w:val="none" w:sz="0" w:space="0" w:color="auto"/>
            <w:bottom w:val="none" w:sz="0" w:space="0" w:color="auto"/>
            <w:right w:val="none" w:sz="0" w:space="0" w:color="auto"/>
          </w:divBdr>
        </w:div>
        <w:div w:id="1407415393">
          <w:marLeft w:val="640"/>
          <w:marRight w:val="0"/>
          <w:marTop w:val="0"/>
          <w:marBottom w:val="0"/>
          <w:divBdr>
            <w:top w:val="none" w:sz="0" w:space="0" w:color="auto"/>
            <w:left w:val="none" w:sz="0" w:space="0" w:color="auto"/>
            <w:bottom w:val="none" w:sz="0" w:space="0" w:color="auto"/>
            <w:right w:val="none" w:sz="0" w:space="0" w:color="auto"/>
          </w:divBdr>
        </w:div>
        <w:div w:id="932708659">
          <w:marLeft w:val="640"/>
          <w:marRight w:val="0"/>
          <w:marTop w:val="0"/>
          <w:marBottom w:val="0"/>
          <w:divBdr>
            <w:top w:val="none" w:sz="0" w:space="0" w:color="auto"/>
            <w:left w:val="none" w:sz="0" w:space="0" w:color="auto"/>
            <w:bottom w:val="none" w:sz="0" w:space="0" w:color="auto"/>
            <w:right w:val="none" w:sz="0" w:space="0" w:color="auto"/>
          </w:divBdr>
        </w:div>
        <w:div w:id="1238973933">
          <w:marLeft w:val="640"/>
          <w:marRight w:val="0"/>
          <w:marTop w:val="0"/>
          <w:marBottom w:val="0"/>
          <w:divBdr>
            <w:top w:val="none" w:sz="0" w:space="0" w:color="auto"/>
            <w:left w:val="none" w:sz="0" w:space="0" w:color="auto"/>
            <w:bottom w:val="none" w:sz="0" w:space="0" w:color="auto"/>
            <w:right w:val="none" w:sz="0" w:space="0" w:color="auto"/>
          </w:divBdr>
        </w:div>
        <w:div w:id="659817325">
          <w:marLeft w:val="640"/>
          <w:marRight w:val="0"/>
          <w:marTop w:val="0"/>
          <w:marBottom w:val="0"/>
          <w:divBdr>
            <w:top w:val="none" w:sz="0" w:space="0" w:color="auto"/>
            <w:left w:val="none" w:sz="0" w:space="0" w:color="auto"/>
            <w:bottom w:val="none" w:sz="0" w:space="0" w:color="auto"/>
            <w:right w:val="none" w:sz="0" w:space="0" w:color="auto"/>
          </w:divBdr>
        </w:div>
        <w:div w:id="1164200972">
          <w:marLeft w:val="640"/>
          <w:marRight w:val="0"/>
          <w:marTop w:val="0"/>
          <w:marBottom w:val="0"/>
          <w:divBdr>
            <w:top w:val="none" w:sz="0" w:space="0" w:color="auto"/>
            <w:left w:val="none" w:sz="0" w:space="0" w:color="auto"/>
            <w:bottom w:val="none" w:sz="0" w:space="0" w:color="auto"/>
            <w:right w:val="none" w:sz="0" w:space="0" w:color="auto"/>
          </w:divBdr>
        </w:div>
        <w:div w:id="1947733266">
          <w:marLeft w:val="640"/>
          <w:marRight w:val="0"/>
          <w:marTop w:val="0"/>
          <w:marBottom w:val="0"/>
          <w:divBdr>
            <w:top w:val="none" w:sz="0" w:space="0" w:color="auto"/>
            <w:left w:val="none" w:sz="0" w:space="0" w:color="auto"/>
            <w:bottom w:val="none" w:sz="0" w:space="0" w:color="auto"/>
            <w:right w:val="none" w:sz="0" w:space="0" w:color="auto"/>
          </w:divBdr>
        </w:div>
        <w:div w:id="1748113135">
          <w:marLeft w:val="640"/>
          <w:marRight w:val="0"/>
          <w:marTop w:val="0"/>
          <w:marBottom w:val="0"/>
          <w:divBdr>
            <w:top w:val="none" w:sz="0" w:space="0" w:color="auto"/>
            <w:left w:val="none" w:sz="0" w:space="0" w:color="auto"/>
            <w:bottom w:val="none" w:sz="0" w:space="0" w:color="auto"/>
            <w:right w:val="none" w:sz="0" w:space="0" w:color="auto"/>
          </w:divBdr>
        </w:div>
        <w:div w:id="1746340618">
          <w:marLeft w:val="640"/>
          <w:marRight w:val="0"/>
          <w:marTop w:val="0"/>
          <w:marBottom w:val="0"/>
          <w:divBdr>
            <w:top w:val="none" w:sz="0" w:space="0" w:color="auto"/>
            <w:left w:val="none" w:sz="0" w:space="0" w:color="auto"/>
            <w:bottom w:val="none" w:sz="0" w:space="0" w:color="auto"/>
            <w:right w:val="none" w:sz="0" w:space="0" w:color="auto"/>
          </w:divBdr>
        </w:div>
        <w:div w:id="309753194">
          <w:marLeft w:val="640"/>
          <w:marRight w:val="0"/>
          <w:marTop w:val="0"/>
          <w:marBottom w:val="0"/>
          <w:divBdr>
            <w:top w:val="none" w:sz="0" w:space="0" w:color="auto"/>
            <w:left w:val="none" w:sz="0" w:space="0" w:color="auto"/>
            <w:bottom w:val="none" w:sz="0" w:space="0" w:color="auto"/>
            <w:right w:val="none" w:sz="0" w:space="0" w:color="auto"/>
          </w:divBdr>
        </w:div>
        <w:div w:id="552809543">
          <w:marLeft w:val="640"/>
          <w:marRight w:val="0"/>
          <w:marTop w:val="0"/>
          <w:marBottom w:val="0"/>
          <w:divBdr>
            <w:top w:val="none" w:sz="0" w:space="0" w:color="auto"/>
            <w:left w:val="none" w:sz="0" w:space="0" w:color="auto"/>
            <w:bottom w:val="none" w:sz="0" w:space="0" w:color="auto"/>
            <w:right w:val="none" w:sz="0" w:space="0" w:color="auto"/>
          </w:divBdr>
        </w:div>
        <w:div w:id="233248926">
          <w:marLeft w:val="640"/>
          <w:marRight w:val="0"/>
          <w:marTop w:val="0"/>
          <w:marBottom w:val="0"/>
          <w:divBdr>
            <w:top w:val="none" w:sz="0" w:space="0" w:color="auto"/>
            <w:left w:val="none" w:sz="0" w:space="0" w:color="auto"/>
            <w:bottom w:val="none" w:sz="0" w:space="0" w:color="auto"/>
            <w:right w:val="none" w:sz="0" w:space="0" w:color="auto"/>
          </w:divBdr>
        </w:div>
        <w:div w:id="424573387">
          <w:marLeft w:val="640"/>
          <w:marRight w:val="0"/>
          <w:marTop w:val="0"/>
          <w:marBottom w:val="0"/>
          <w:divBdr>
            <w:top w:val="none" w:sz="0" w:space="0" w:color="auto"/>
            <w:left w:val="none" w:sz="0" w:space="0" w:color="auto"/>
            <w:bottom w:val="none" w:sz="0" w:space="0" w:color="auto"/>
            <w:right w:val="none" w:sz="0" w:space="0" w:color="auto"/>
          </w:divBdr>
        </w:div>
        <w:div w:id="1142192231">
          <w:marLeft w:val="640"/>
          <w:marRight w:val="0"/>
          <w:marTop w:val="0"/>
          <w:marBottom w:val="0"/>
          <w:divBdr>
            <w:top w:val="none" w:sz="0" w:space="0" w:color="auto"/>
            <w:left w:val="none" w:sz="0" w:space="0" w:color="auto"/>
            <w:bottom w:val="none" w:sz="0" w:space="0" w:color="auto"/>
            <w:right w:val="none" w:sz="0" w:space="0" w:color="auto"/>
          </w:divBdr>
        </w:div>
        <w:div w:id="1856534428">
          <w:marLeft w:val="640"/>
          <w:marRight w:val="0"/>
          <w:marTop w:val="0"/>
          <w:marBottom w:val="0"/>
          <w:divBdr>
            <w:top w:val="none" w:sz="0" w:space="0" w:color="auto"/>
            <w:left w:val="none" w:sz="0" w:space="0" w:color="auto"/>
            <w:bottom w:val="none" w:sz="0" w:space="0" w:color="auto"/>
            <w:right w:val="none" w:sz="0" w:space="0" w:color="auto"/>
          </w:divBdr>
        </w:div>
        <w:div w:id="999819471">
          <w:marLeft w:val="640"/>
          <w:marRight w:val="0"/>
          <w:marTop w:val="0"/>
          <w:marBottom w:val="0"/>
          <w:divBdr>
            <w:top w:val="none" w:sz="0" w:space="0" w:color="auto"/>
            <w:left w:val="none" w:sz="0" w:space="0" w:color="auto"/>
            <w:bottom w:val="none" w:sz="0" w:space="0" w:color="auto"/>
            <w:right w:val="none" w:sz="0" w:space="0" w:color="auto"/>
          </w:divBdr>
        </w:div>
        <w:div w:id="416636617">
          <w:marLeft w:val="640"/>
          <w:marRight w:val="0"/>
          <w:marTop w:val="0"/>
          <w:marBottom w:val="0"/>
          <w:divBdr>
            <w:top w:val="none" w:sz="0" w:space="0" w:color="auto"/>
            <w:left w:val="none" w:sz="0" w:space="0" w:color="auto"/>
            <w:bottom w:val="none" w:sz="0" w:space="0" w:color="auto"/>
            <w:right w:val="none" w:sz="0" w:space="0" w:color="auto"/>
          </w:divBdr>
        </w:div>
        <w:div w:id="2043549372">
          <w:marLeft w:val="640"/>
          <w:marRight w:val="0"/>
          <w:marTop w:val="0"/>
          <w:marBottom w:val="0"/>
          <w:divBdr>
            <w:top w:val="none" w:sz="0" w:space="0" w:color="auto"/>
            <w:left w:val="none" w:sz="0" w:space="0" w:color="auto"/>
            <w:bottom w:val="none" w:sz="0" w:space="0" w:color="auto"/>
            <w:right w:val="none" w:sz="0" w:space="0" w:color="auto"/>
          </w:divBdr>
        </w:div>
        <w:div w:id="1793092644">
          <w:marLeft w:val="640"/>
          <w:marRight w:val="0"/>
          <w:marTop w:val="0"/>
          <w:marBottom w:val="0"/>
          <w:divBdr>
            <w:top w:val="none" w:sz="0" w:space="0" w:color="auto"/>
            <w:left w:val="none" w:sz="0" w:space="0" w:color="auto"/>
            <w:bottom w:val="none" w:sz="0" w:space="0" w:color="auto"/>
            <w:right w:val="none" w:sz="0" w:space="0" w:color="auto"/>
          </w:divBdr>
        </w:div>
        <w:div w:id="1249535577">
          <w:marLeft w:val="640"/>
          <w:marRight w:val="0"/>
          <w:marTop w:val="0"/>
          <w:marBottom w:val="0"/>
          <w:divBdr>
            <w:top w:val="none" w:sz="0" w:space="0" w:color="auto"/>
            <w:left w:val="none" w:sz="0" w:space="0" w:color="auto"/>
            <w:bottom w:val="none" w:sz="0" w:space="0" w:color="auto"/>
            <w:right w:val="none" w:sz="0" w:space="0" w:color="auto"/>
          </w:divBdr>
        </w:div>
        <w:div w:id="295574902">
          <w:marLeft w:val="640"/>
          <w:marRight w:val="0"/>
          <w:marTop w:val="0"/>
          <w:marBottom w:val="0"/>
          <w:divBdr>
            <w:top w:val="none" w:sz="0" w:space="0" w:color="auto"/>
            <w:left w:val="none" w:sz="0" w:space="0" w:color="auto"/>
            <w:bottom w:val="none" w:sz="0" w:space="0" w:color="auto"/>
            <w:right w:val="none" w:sz="0" w:space="0" w:color="auto"/>
          </w:divBdr>
        </w:div>
        <w:div w:id="1781753652">
          <w:marLeft w:val="640"/>
          <w:marRight w:val="0"/>
          <w:marTop w:val="0"/>
          <w:marBottom w:val="0"/>
          <w:divBdr>
            <w:top w:val="none" w:sz="0" w:space="0" w:color="auto"/>
            <w:left w:val="none" w:sz="0" w:space="0" w:color="auto"/>
            <w:bottom w:val="none" w:sz="0" w:space="0" w:color="auto"/>
            <w:right w:val="none" w:sz="0" w:space="0" w:color="auto"/>
          </w:divBdr>
        </w:div>
        <w:div w:id="1617179870">
          <w:marLeft w:val="640"/>
          <w:marRight w:val="0"/>
          <w:marTop w:val="0"/>
          <w:marBottom w:val="0"/>
          <w:divBdr>
            <w:top w:val="none" w:sz="0" w:space="0" w:color="auto"/>
            <w:left w:val="none" w:sz="0" w:space="0" w:color="auto"/>
            <w:bottom w:val="none" w:sz="0" w:space="0" w:color="auto"/>
            <w:right w:val="none" w:sz="0" w:space="0" w:color="auto"/>
          </w:divBdr>
        </w:div>
        <w:div w:id="1776436305">
          <w:marLeft w:val="640"/>
          <w:marRight w:val="0"/>
          <w:marTop w:val="0"/>
          <w:marBottom w:val="0"/>
          <w:divBdr>
            <w:top w:val="none" w:sz="0" w:space="0" w:color="auto"/>
            <w:left w:val="none" w:sz="0" w:space="0" w:color="auto"/>
            <w:bottom w:val="none" w:sz="0" w:space="0" w:color="auto"/>
            <w:right w:val="none" w:sz="0" w:space="0" w:color="auto"/>
          </w:divBdr>
        </w:div>
        <w:div w:id="1868252217">
          <w:marLeft w:val="640"/>
          <w:marRight w:val="0"/>
          <w:marTop w:val="0"/>
          <w:marBottom w:val="0"/>
          <w:divBdr>
            <w:top w:val="none" w:sz="0" w:space="0" w:color="auto"/>
            <w:left w:val="none" w:sz="0" w:space="0" w:color="auto"/>
            <w:bottom w:val="none" w:sz="0" w:space="0" w:color="auto"/>
            <w:right w:val="none" w:sz="0" w:space="0" w:color="auto"/>
          </w:divBdr>
        </w:div>
        <w:div w:id="2108500510">
          <w:marLeft w:val="640"/>
          <w:marRight w:val="0"/>
          <w:marTop w:val="0"/>
          <w:marBottom w:val="0"/>
          <w:divBdr>
            <w:top w:val="none" w:sz="0" w:space="0" w:color="auto"/>
            <w:left w:val="none" w:sz="0" w:space="0" w:color="auto"/>
            <w:bottom w:val="none" w:sz="0" w:space="0" w:color="auto"/>
            <w:right w:val="none" w:sz="0" w:space="0" w:color="auto"/>
          </w:divBdr>
        </w:div>
        <w:div w:id="1987053368">
          <w:marLeft w:val="640"/>
          <w:marRight w:val="0"/>
          <w:marTop w:val="0"/>
          <w:marBottom w:val="0"/>
          <w:divBdr>
            <w:top w:val="none" w:sz="0" w:space="0" w:color="auto"/>
            <w:left w:val="none" w:sz="0" w:space="0" w:color="auto"/>
            <w:bottom w:val="none" w:sz="0" w:space="0" w:color="auto"/>
            <w:right w:val="none" w:sz="0" w:space="0" w:color="auto"/>
          </w:divBdr>
        </w:div>
        <w:div w:id="2056420400">
          <w:marLeft w:val="640"/>
          <w:marRight w:val="0"/>
          <w:marTop w:val="0"/>
          <w:marBottom w:val="0"/>
          <w:divBdr>
            <w:top w:val="none" w:sz="0" w:space="0" w:color="auto"/>
            <w:left w:val="none" w:sz="0" w:space="0" w:color="auto"/>
            <w:bottom w:val="none" w:sz="0" w:space="0" w:color="auto"/>
            <w:right w:val="none" w:sz="0" w:space="0" w:color="auto"/>
          </w:divBdr>
        </w:div>
        <w:div w:id="1194339814">
          <w:marLeft w:val="640"/>
          <w:marRight w:val="0"/>
          <w:marTop w:val="0"/>
          <w:marBottom w:val="0"/>
          <w:divBdr>
            <w:top w:val="none" w:sz="0" w:space="0" w:color="auto"/>
            <w:left w:val="none" w:sz="0" w:space="0" w:color="auto"/>
            <w:bottom w:val="none" w:sz="0" w:space="0" w:color="auto"/>
            <w:right w:val="none" w:sz="0" w:space="0" w:color="auto"/>
          </w:divBdr>
        </w:div>
        <w:div w:id="1463379236">
          <w:marLeft w:val="640"/>
          <w:marRight w:val="0"/>
          <w:marTop w:val="0"/>
          <w:marBottom w:val="0"/>
          <w:divBdr>
            <w:top w:val="none" w:sz="0" w:space="0" w:color="auto"/>
            <w:left w:val="none" w:sz="0" w:space="0" w:color="auto"/>
            <w:bottom w:val="none" w:sz="0" w:space="0" w:color="auto"/>
            <w:right w:val="none" w:sz="0" w:space="0" w:color="auto"/>
          </w:divBdr>
        </w:div>
        <w:div w:id="225801937">
          <w:marLeft w:val="640"/>
          <w:marRight w:val="0"/>
          <w:marTop w:val="0"/>
          <w:marBottom w:val="0"/>
          <w:divBdr>
            <w:top w:val="none" w:sz="0" w:space="0" w:color="auto"/>
            <w:left w:val="none" w:sz="0" w:space="0" w:color="auto"/>
            <w:bottom w:val="none" w:sz="0" w:space="0" w:color="auto"/>
            <w:right w:val="none" w:sz="0" w:space="0" w:color="auto"/>
          </w:divBdr>
        </w:div>
        <w:div w:id="51999689">
          <w:marLeft w:val="640"/>
          <w:marRight w:val="0"/>
          <w:marTop w:val="0"/>
          <w:marBottom w:val="0"/>
          <w:divBdr>
            <w:top w:val="none" w:sz="0" w:space="0" w:color="auto"/>
            <w:left w:val="none" w:sz="0" w:space="0" w:color="auto"/>
            <w:bottom w:val="none" w:sz="0" w:space="0" w:color="auto"/>
            <w:right w:val="none" w:sz="0" w:space="0" w:color="auto"/>
          </w:divBdr>
        </w:div>
        <w:div w:id="1011418973">
          <w:marLeft w:val="640"/>
          <w:marRight w:val="0"/>
          <w:marTop w:val="0"/>
          <w:marBottom w:val="0"/>
          <w:divBdr>
            <w:top w:val="none" w:sz="0" w:space="0" w:color="auto"/>
            <w:left w:val="none" w:sz="0" w:space="0" w:color="auto"/>
            <w:bottom w:val="none" w:sz="0" w:space="0" w:color="auto"/>
            <w:right w:val="none" w:sz="0" w:space="0" w:color="auto"/>
          </w:divBdr>
        </w:div>
        <w:div w:id="159542207">
          <w:marLeft w:val="640"/>
          <w:marRight w:val="0"/>
          <w:marTop w:val="0"/>
          <w:marBottom w:val="0"/>
          <w:divBdr>
            <w:top w:val="none" w:sz="0" w:space="0" w:color="auto"/>
            <w:left w:val="none" w:sz="0" w:space="0" w:color="auto"/>
            <w:bottom w:val="none" w:sz="0" w:space="0" w:color="auto"/>
            <w:right w:val="none" w:sz="0" w:space="0" w:color="auto"/>
          </w:divBdr>
        </w:div>
        <w:div w:id="395207605">
          <w:marLeft w:val="640"/>
          <w:marRight w:val="0"/>
          <w:marTop w:val="0"/>
          <w:marBottom w:val="0"/>
          <w:divBdr>
            <w:top w:val="none" w:sz="0" w:space="0" w:color="auto"/>
            <w:left w:val="none" w:sz="0" w:space="0" w:color="auto"/>
            <w:bottom w:val="none" w:sz="0" w:space="0" w:color="auto"/>
            <w:right w:val="none" w:sz="0" w:space="0" w:color="auto"/>
          </w:divBdr>
        </w:div>
        <w:div w:id="1034423669">
          <w:marLeft w:val="640"/>
          <w:marRight w:val="0"/>
          <w:marTop w:val="0"/>
          <w:marBottom w:val="0"/>
          <w:divBdr>
            <w:top w:val="none" w:sz="0" w:space="0" w:color="auto"/>
            <w:left w:val="none" w:sz="0" w:space="0" w:color="auto"/>
            <w:bottom w:val="none" w:sz="0" w:space="0" w:color="auto"/>
            <w:right w:val="none" w:sz="0" w:space="0" w:color="auto"/>
          </w:divBdr>
        </w:div>
        <w:div w:id="720905858">
          <w:marLeft w:val="640"/>
          <w:marRight w:val="0"/>
          <w:marTop w:val="0"/>
          <w:marBottom w:val="0"/>
          <w:divBdr>
            <w:top w:val="none" w:sz="0" w:space="0" w:color="auto"/>
            <w:left w:val="none" w:sz="0" w:space="0" w:color="auto"/>
            <w:bottom w:val="none" w:sz="0" w:space="0" w:color="auto"/>
            <w:right w:val="none" w:sz="0" w:space="0" w:color="auto"/>
          </w:divBdr>
        </w:div>
        <w:div w:id="1401439345">
          <w:marLeft w:val="640"/>
          <w:marRight w:val="0"/>
          <w:marTop w:val="0"/>
          <w:marBottom w:val="0"/>
          <w:divBdr>
            <w:top w:val="none" w:sz="0" w:space="0" w:color="auto"/>
            <w:left w:val="none" w:sz="0" w:space="0" w:color="auto"/>
            <w:bottom w:val="none" w:sz="0" w:space="0" w:color="auto"/>
            <w:right w:val="none" w:sz="0" w:space="0" w:color="auto"/>
          </w:divBdr>
        </w:div>
        <w:div w:id="1938639807">
          <w:marLeft w:val="640"/>
          <w:marRight w:val="0"/>
          <w:marTop w:val="0"/>
          <w:marBottom w:val="0"/>
          <w:divBdr>
            <w:top w:val="none" w:sz="0" w:space="0" w:color="auto"/>
            <w:left w:val="none" w:sz="0" w:space="0" w:color="auto"/>
            <w:bottom w:val="none" w:sz="0" w:space="0" w:color="auto"/>
            <w:right w:val="none" w:sz="0" w:space="0" w:color="auto"/>
          </w:divBdr>
        </w:div>
        <w:div w:id="1077168803">
          <w:marLeft w:val="640"/>
          <w:marRight w:val="0"/>
          <w:marTop w:val="0"/>
          <w:marBottom w:val="0"/>
          <w:divBdr>
            <w:top w:val="none" w:sz="0" w:space="0" w:color="auto"/>
            <w:left w:val="none" w:sz="0" w:space="0" w:color="auto"/>
            <w:bottom w:val="none" w:sz="0" w:space="0" w:color="auto"/>
            <w:right w:val="none" w:sz="0" w:space="0" w:color="auto"/>
          </w:divBdr>
        </w:div>
        <w:div w:id="179317935">
          <w:marLeft w:val="640"/>
          <w:marRight w:val="0"/>
          <w:marTop w:val="0"/>
          <w:marBottom w:val="0"/>
          <w:divBdr>
            <w:top w:val="none" w:sz="0" w:space="0" w:color="auto"/>
            <w:left w:val="none" w:sz="0" w:space="0" w:color="auto"/>
            <w:bottom w:val="none" w:sz="0" w:space="0" w:color="auto"/>
            <w:right w:val="none" w:sz="0" w:space="0" w:color="auto"/>
          </w:divBdr>
        </w:div>
        <w:div w:id="1274557602">
          <w:marLeft w:val="640"/>
          <w:marRight w:val="0"/>
          <w:marTop w:val="0"/>
          <w:marBottom w:val="0"/>
          <w:divBdr>
            <w:top w:val="none" w:sz="0" w:space="0" w:color="auto"/>
            <w:left w:val="none" w:sz="0" w:space="0" w:color="auto"/>
            <w:bottom w:val="none" w:sz="0" w:space="0" w:color="auto"/>
            <w:right w:val="none" w:sz="0" w:space="0" w:color="auto"/>
          </w:divBdr>
        </w:div>
        <w:div w:id="1604026264">
          <w:marLeft w:val="640"/>
          <w:marRight w:val="0"/>
          <w:marTop w:val="0"/>
          <w:marBottom w:val="0"/>
          <w:divBdr>
            <w:top w:val="none" w:sz="0" w:space="0" w:color="auto"/>
            <w:left w:val="none" w:sz="0" w:space="0" w:color="auto"/>
            <w:bottom w:val="none" w:sz="0" w:space="0" w:color="auto"/>
            <w:right w:val="none" w:sz="0" w:space="0" w:color="auto"/>
          </w:divBdr>
        </w:div>
        <w:div w:id="668599268">
          <w:marLeft w:val="640"/>
          <w:marRight w:val="0"/>
          <w:marTop w:val="0"/>
          <w:marBottom w:val="0"/>
          <w:divBdr>
            <w:top w:val="none" w:sz="0" w:space="0" w:color="auto"/>
            <w:left w:val="none" w:sz="0" w:space="0" w:color="auto"/>
            <w:bottom w:val="none" w:sz="0" w:space="0" w:color="auto"/>
            <w:right w:val="none" w:sz="0" w:space="0" w:color="auto"/>
          </w:divBdr>
        </w:div>
        <w:div w:id="201133677">
          <w:marLeft w:val="640"/>
          <w:marRight w:val="0"/>
          <w:marTop w:val="0"/>
          <w:marBottom w:val="0"/>
          <w:divBdr>
            <w:top w:val="none" w:sz="0" w:space="0" w:color="auto"/>
            <w:left w:val="none" w:sz="0" w:space="0" w:color="auto"/>
            <w:bottom w:val="none" w:sz="0" w:space="0" w:color="auto"/>
            <w:right w:val="none" w:sz="0" w:space="0" w:color="auto"/>
          </w:divBdr>
        </w:div>
        <w:div w:id="2022705094">
          <w:marLeft w:val="640"/>
          <w:marRight w:val="0"/>
          <w:marTop w:val="0"/>
          <w:marBottom w:val="0"/>
          <w:divBdr>
            <w:top w:val="none" w:sz="0" w:space="0" w:color="auto"/>
            <w:left w:val="none" w:sz="0" w:space="0" w:color="auto"/>
            <w:bottom w:val="none" w:sz="0" w:space="0" w:color="auto"/>
            <w:right w:val="none" w:sz="0" w:space="0" w:color="auto"/>
          </w:divBdr>
        </w:div>
        <w:div w:id="400449816">
          <w:marLeft w:val="640"/>
          <w:marRight w:val="0"/>
          <w:marTop w:val="0"/>
          <w:marBottom w:val="0"/>
          <w:divBdr>
            <w:top w:val="none" w:sz="0" w:space="0" w:color="auto"/>
            <w:left w:val="none" w:sz="0" w:space="0" w:color="auto"/>
            <w:bottom w:val="none" w:sz="0" w:space="0" w:color="auto"/>
            <w:right w:val="none" w:sz="0" w:space="0" w:color="auto"/>
          </w:divBdr>
        </w:div>
        <w:div w:id="1617716499">
          <w:marLeft w:val="640"/>
          <w:marRight w:val="0"/>
          <w:marTop w:val="0"/>
          <w:marBottom w:val="0"/>
          <w:divBdr>
            <w:top w:val="none" w:sz="0" w:space="0" w:color="auto"/>
            <w:left w:val="none" w:sz="0" w:space="0" w:color="auto"/>
            <w:bottom w:val="none" w:sz="0" w:space="0" w:color="auto"/>
            <w:right w:val="none" w:sz="0" w:space="0" w:color="auto"/>
          </w:divBdr>
        </w:div>
        <w:div w:id="146241178">
          <w:marLeft w:val="640"/>
          <w:marRight w:val="0"/>
          <w:marTop w:val="0"/>
          <w:marBottom w:val="0"/>
          <w:divBdr>
            <w:top w:val="none" w:sz="0" w:space="0" w:color="auto"/>
            <w:left w:val="none" w:sz="0" w:space="0" w:color="auto"/>
            <w:bottom w:val="none" w:sz="0" w:space="0" w:color="auto"/>
            <w:right w:val="none" w:sz="0" w:space="0" w:color="auto"/>
          </w:divBdr>
        </w:div>
        <w:div w:id="2131168069">
          <w:marLeft w:val="640"/>
          <w:marRight w:val="0"/>
          <w:marTop w:val="0"/>
          <w:marBottom w:val="0"/>
          <w:divBdr>
            <w:top w:val="none" w:sz="0" w:space="0" w:color="auto"/>
            <w:left w:val="none" w:sz="0" w:space="0" w:color="auto"/>
            <w:bottom w:val="none" w:sz="0" w:space="0" w:color="auto"/>
            <w:right w:val="none" w:sz="0" w:space="0" w:color="auto"/>
          </w:divBdr>
        </w:div>
        <w:div w:id="609360596">
          <w:marLeft w:val="640"/>
          <w:marRight w:val="0"/>
          <w:marTop w:val="0"/>
          <w:marBottom w:val="0"/>
          <w:divBdr>
            <w:top w:val="none" w:sz="0" w:space="0" w:color="auto"/>
            <w:left w:val="none" w:sz="0" w:space="0" w:color="auto"/>
            <w:bottom w:val="none" w:sz="0" w:space="0" w:color="auto"/>
            <w:right w:val="none" w:sz="0" w:space="0" w:color="auto"/>
          </w:divBdr>
        </w:div>
        <w:div w:id="279457188">
          <w:marLeft w:val="640"/>
          <w:marRight w:val="0"/>
          <w:marTop w:val="0"/>
          <w:marBottom w:val="0"/>
          <w:divBdr>
            <w:top w:val="none" w:sz="0" w:space="0" w:color="auto"/>
            <w:left w:val="none" w:sz="0" w:space="0" w:color="auto"/>
            <w:bottom w:val="none" w:sz="0" w:space="0" w:color="auto"/>
            <w:right w:val="none" w:sz="0" w:space="0" w:color="auto"/>
          </w:divBdr>
        </w:div>
        <w:div w:id="1993364394">
          <w:marLeft w:val="640"/>
          <w:marRight w:val="0"/>
          <w:marTop w:val="0"/>
          <w:marBottom w:val="0"/>
          <w:divBdr>
            <w:top w:val="none" w:sz="0" w:space="0" w:color="auto"/>
            <w:left w:val="none" w:sz="0" w:space="0" w:color="auto"/>
            <w:bottom w:val="none" w:sz="0" w:space="0" w:color="auto"/>
            <w:right w:val="none" w:sz="0" w:space="0" w:color="auto"/>
          </w:divBdr>
        </w:div>
        <w:div w:id="556939190">
          <w:marLeft w:val="640"/>
          <w:marRight w:val="0"/>
          <w:marTop w:val="0"/>
          <w:marBottom w:val="0"/>
          <w:divBdr>
            <w:top w:val="none" w:sz="0" w:space="0" w:color="auto"/>
            <w:left w:val="none" w:sz="0" w:space="0" w:color="auto"/>
            <w:bottom w:val="none" w:sz="0" w:space="0" w:color="auto"/>
            <w:right w:val="none" w:sz="0" w:space="0" w:color="auto"/>
          </w:divBdr>
        </w:div>
        <w:div w:id="429816291">
          <w:marLeft w:val="640"/>
          <w:marRight w:val="0"/>
          <w:marTop w:val="0"/>
          <w:marBottom w:val="0"/>
          <w:divBdr>
            <w:top w:val="none" w:sz="0" w:space="0" w:color="auto"/>
            <w:left w:val="none" w:sz="0" w:space="0" w:color="auto"/>
            <w:bottom w:val="none" w:sz="0" w:space="0" w:color="auto"/>
            <w:right w:val="none" w:sz="0" w:space="0" w:color="auto"/>
          </w:divBdr>
        </w:div>
        <w:div w:id="95947040">
          <w:marLeft w:val="640"/>
          <w:marRight w:val="0"/>
          <w:marTop w:val="0"/>
          <w:marBottom w:val="0"/>
          <w:divBdr>
            <w:top w:val="none" w:sz="0" w:space="0" w:color="auto"/>
            <w:left w:val="none" w:sz="0" w:space="0" w:color="auto"/>
            <w:bottom w:val="none" w:sz="0" w:space="0" w:color="auto"/>
            <w:right w:val="none" w:sz="0" w:space="0" w:color="auto"/>
          </w:divBdr>
        </w:div>
        <w:div w:id="777867517">
          <w:marLeft w:val="640"/>
          <w:marRight w:val="0"/>
          <w:marTop w:val="0"/>
          <w:marBottom w:val="0"/>
          <w:divBdr>
            <w:top w:val="none" w:sz="0" w:space="0" w:color="auto"/>
            <w:left w:val="none" w:sz="0" w:space="0" w:color="auto"/>
            <w:bottom w:val="none" w:sz="0" w:space="0" w:color="auto"/>
            <w:right w:val="none" w:sz="0" w:space="0" w:color="auto"/>
          </w:divBdr>
        </w:div>
        <w:div w:id="2105296147">
          <w:marLeft w:val="640"/>
          <w:marRight w:val="0"/>
          <w:marTop w:val="0"/>
          <w:marBottom w:val="0"/>
          <w:divBdr>
            <w:top w:val="none" w:sz="0" w:space="0" w:color="auto"/>
            <w:left w:val="none" w:sz="0" w:space="0" w:color="auto"/>
            <w:bottom w:val="none" w:sz="0" w:space="0" w:color="auto"/>
            <w:right w:val="none" w:sz="0" w:space="0" w:color="auto"/>
          </w:divBdr>
        </w:div>
        <w:div w:id="1062680758">
          <w:marLeft w:val="640"/>
          <w:marRight w:val="0"/>
          <w:marTop w:val="0"/>
          <w:marBottom w:val="0"/>
          <w:divBdr>
            <w:top w:val="none" w:sz="0" w:space="0" w:color="auto"/>
            <w:left w:val="none" w:sz="0" w:space="0" w:color="auto"/>
            <w:bottom w:val="none" w:sz="0" w:space="0" w:color="auto"/>
            <w:right w:val="none" w:sz="0" w:space="0" w:color="auto"/>
          </w:divBdr>
        </w:div>
        <w:div w:id="1461613236">
          <w:marLeft w:val="640"/>
          <w:marRight w:val="0"/>
          <w:marTop w:val="0"/>
          <w:marBottom w:val="0"/>
          <w:divBdr>
            <w:top w:val="none" w:sz="0" w:space="0" w:color="auto"/>
            <w:left w:val="none" w:sz="0" w:space="0" w:color="auto"/>
            <w:bottom w:val="none" w:sz="0" w:space="0" w:color="auto"/>
            <w:right w:val="none" w:sz="0" w:space="0" w:color="auto"/>
          </w:divBdr>
        </w:div>
        <w:div w:id="1055856669">
          <w:marLeft w:val="640"/>
          <w:marRight w:val="0"/>
          <w:marTop w:val="0"/>
          <w:marBottom w:val="0"/>
          <w:divBdr>
            <w:top w:val="none" w:sz="0" w:space="0" w:color="auto"/>
            <w:left w:val="none" w:sz="0" w:space="0" w:color="auto"/>
            <w:bottom w:val="none" w:sz="0" w:space="0" w:color="auto"/>
            <w:right w:val="none" w:sz="0" w:space="0" w:color="auto"/>
          </w:divBdr>
        </w:div>
        <w:div w:id="533737259">
          <w:marLeft w:val="640"/>
          <w:marRight w:val="0"/>
          <w:marTop w:val="0"/>
          <w:marBottom w:val="0"/>
          <w:divBdr>
            <w:top w:val="none" w:sz="0" w:space="0" w:color="auto"/>
            <w:left w:val="none" w:sz="0" w:space="0" w:color="auto"/>
            <w:bottom w:val="none" w:sz="0" w:space="0" w:color="auto"/>
            <w:right w:val="none" w:sz="0" w:space="0" w:color="auto"/>
          </w:divBdr>
        </w:div>
        <w:div w:id="473522201">
          <w:marLeft w:val="640"/>
          <w:marRight w:val="0"/>
          <w:marTop w:val="0"/>
          <w:marBottom w:val="0"/>
          <w:divBdr>
            <w:top w:val="none" w:sz="0" w:space="0" w:color="auto"/>
            <w:left w:val="none" w:sz="0" w:space="0" w:color="auto"/>
            <w:bottom w:val="none" w:sz="0" w:space="0" w:color="auto"/>
            <w:right w:val="none" w:sz="0" w:space="0" w:color="auto"/>
          </w:divBdr>
        </w:div>
        <w:div w:id="634217028">
          <w:marLeft w:val="640"/>
          <w:marRight w:val="0"/>
          <w:marTop w:val="0"/>
          <w:marBottom w:val="0"/>
          <w:divBdr>
            <w:top w:val="none" w:sz="0" w:space="0" w:color="auto"/>
            <w:left w:val="none" w:sz="0" w:space="0" w:color="auto"/>
            <w:bottom w:val="none" w:sz="0" w:space="0" w:color="auto"/>
            <w:right w:val="none" w:sz="0" w:space="0" w:color="auto"/>
          </w:divBdr>
        </w:div>
        <w:div w:id="1739356524">
          <w:marLeft w:val="640"/>
          <w:marRight w:val="0"/>
          <w:marTop w:val="0"/>
          <w:marBottom w:val="0"/>
          <w:divBdr>
            <w:top w:val="none" w:sz="0" w:space="0" w:color="auto"/>
            <w:left w:val="none" w:sz="0" w:space="0" w:color="auto"/>
            <w:bottom w:val="none" w:sz="0" w:space="0" w:color="auto"/>
            <w:right w:val="none" w:sz="0" w:space="0" w:color="auto"/>
          </w:divBdr>
        </w:div>
        <w:div w:id="2133941380">
          <w:marLeft w:val="640"/>
          <w:marRight w:val="0"/>
          <w:marTop w:val="0"/>
          <w:marBottom w:val="0"/>
          <w:divBdr>
            <w:top w:val="none" w:sz="0" w:space="0" w:color="auto"/>
            <w:left w:val="none" w:sz="0" w:space="0" w:color="auto"/>
            <w:bottom w:val="none" w:sz="0" w:space="0" w:color="auto"/>
            <w:right w:val="none" w:sz="0" w:space="0" w:color="auto"/>
          </w:divBdr>
        </w:div>
        <w:div w:id="904533557">
          <w:marLeft w:val="640"/>
          <w:marRight w:val="0"/>
          <w:marTop w:val="0"/>
          <w:marBottom w:val="0"/>
          <w:divBdr>
            <w:top w:val="none" w:sz="0" w:space="0" w:color="auto"/>
            <w:left w:val="none" w:sz="0" w:space="0" w:color="auto"/>
            <w:bottom w:val="none" w:sz="0" w:space="0" w:color="auto"/>
            <w:right w:val="none" w:sz="0" w:space="0" w:color="auto"/>
          </w:divBdr>
        </w:div>
        <w:div w:id="1156453680">
          <w:marLeft w:val="640"/>
          <w:marRight w:val="0"/>
          <w:marTop w:val="0"/>
          <w:marBottom w:val="0"/>
          <w:divBdr>
            <w:top w:val="none" w:sz="0" w:space="0" w:color="auto"/>
            <w:left w:val="none" w:sz="0" w:space="0" w:color="auto"/>
            <w:bottom w:val="none" w:sz="0" w:space="0" w:color="auto"/>
            <w:right w:val="none" w:sz="0" w:space="0" w:color="auto"/>
          </w:divBdr>
        </w:div>
        <w:div w:id="1659191490">
          <w:marLeft w:val="640"/>
          <w:marRight w:val="0"/>
          <w:marTop w:val="0"/>
          <w:marBottom w:val="0"/>
          <w:divBdr>
            <w:top w:val="none" w:sz="0" w:space="0" w:color="auto"/>
            <w:left w:val="none" w:sz="0" w:space="0" w:color="auto"/>
            <w:bottom w:val="none" w:sz="0" w:space="0" w:color="auto"/>
            <w:right w:val="none" w:sz="0" w:space="0" w:color="auto"/>
          </w:divBdr>
        </w:div>
        <w:div w:id="156844704">
          <w:marLeft w:val="640"/>
          <w:marRight w:val="0"/>
          <w:marTop w:val="0"/>
          <w:marBottom w:val="0"/>
          <w:divBdr>
            <w:top w:val="none" w:sz="0" w:space="0" w:color="auto"/>
            <w:left w:val="none" w:sz="0" w:space="0" w:color="auto"/>
            <w:bottom w:val="none" w:sz="0" w:space="0" w:color="auto"/>
            <w:right w:val="none" w:sz="0" w:space="0" w:color="auto"/>
          </w:divBdr>
        </w:div>
        <w:div w:id="1594392436">
          <w:marLeft w:val="640"/>
          <w:marRight w:val="0"/>
          <w:marTop w:val="0"/>
          <w:marBottom w:val="0"/>
          <w:divBdr>
            <w:top w:val="none" w:sz="0" w:space="0" w:color="auto"/>
            <w:left w:val="none" w:sz="0" w:space="0" w:color="auto"/>
            <w:bottom w:val="none" w:sz="0" w:space="0" w:color="auto"/>
            <w:right w:val="none" w:sz="0" w:space="0" w:color="auto"/>
          </w:divBdr>
        </w:div>
        <w:div w:id="1506483357">
          <w:marLeft w:val="640"/>
          <w:marRight w:val="0"/>
          <w:marTop w:val="0"/>
          <w:marBottom w:val="0"/>
          <w:divBdr>
            <w:top w:val="none" w:sz="0" w:space="0" w:color="auto"/>
            <w:left w:val="none" w:sz="0" w:space="0" w:color="auto"/>
            <w:bottom w:val="none" w:sz="0" w:space="0" w:color="auto"/>
            <w:right w:val="none" w:sz="0" w:space="0" w:color="auto"/>
          </w:divBdr>
        </w:div>
        <w:div w:id="648444174">
          <w:marLeft w:val="640"/>
          <w:marRight w:val="0"/>
          <w:marTop w:val="0"/>
          <w:marBottom w:val="0"/>
          <w:divBdr>
            <w:top w:val="none" w:sz="0" w:space="0" w:color="auto"/>
            <w:left w:val="none" w:sz="0" w:space="0" w:color="auto"/>
            <w:bottom w:val="none" w:sz="0" w:space="0" w:color="auto"/>
            <w:right w:val="none" w:sz="0" w:space="0" w:color="auto"/>
          </w:divBdr>
        </w:div>
        <w:div w:id="2104449596">
          <w:marLeft w:val="640"/>
          <w:marRight w:val="0"/>
          <w:marTop w:val="0"/>
          <w:marBottom w:val="0"/>
          <w:divBdr>
            <w:top w:val="none" w:sz="0" w:space="0" w:color="auto"/>
            <w:left w:val="none" w:sz="0" w:space="0" w:color="auto"/>
            <w:bottom w:val="none" w:sz="0" w:space="0" w:color="auto"/>
            <w:right w:val="none" w:sz="0" w:space="0" w:color="auto"/>
          </w:divBdr>
        </w:div>
        <w:div w:id="566454297">
          <w:marLeft w:val="640"/>
          <w:marRight w:val="0"/>
          <w:marTop w:val="0"/>
          <w:marBottom w:val="0"/>
          <w:divBdr>
            <w:top w:val="none" w:sz="0" w:space="0" w:color="auto"/>
            <w:left w:val="none" w:sz="0" w:space="0" w:color="auto"/>
            <w:bottom w:val="none" w:sz="0" w:space="0" w:color="auto"/>
            <w:right w:val="none" w:sz="0" w:space="0" w:color="auto"/>
          </w:divBdr>
        </w:div>
        <w:div w:id="1814253222">
          <w:marLeft w:val="640"/>
          <w:marRight w:val="0"/>
          <w:marTop w:val="0"/>
          <w:marBottom w:val="0"/>
          <w:divBdr>
            <w:top w:val="none" w:sz="0" w:space="0" w:color="auto"/>
            <w:left w:val="none" w:sz="0" w:space="0" w:color="auto"/>
            <w:bottom w:val="none" w:sz="0" w:space="0" w:color="auto"/>
            <w:right w:val="none" w:sz="0" w:space="0" w:color="auto"/>
          </w:divBdr>
        </w:div>
        <w:div w:id="259292328">
          <w:marLeft w:val="640"/>
          <w:marRight w:val="0"/>
          <w:marTop w:val="0"/>
          <w:marBottom w:val="0"/>
          <w:divBdr>
            <w:top w:val="none" w:sz="0" w:space="0" w:color="auto"/>
            <w:left w:val="none" w:sz="0" w:space="0" w:color="auto"/>
            <w:bottom w:val="none" w:sz="0" w:space="0" w:color="auto"/>
            <w:right w:val="none" w:sz="0" w:space="0" w:color="auto"/>
          </w:divBdr>
        </w:div>
        <w:div w:id="314920897">
          <w:marLeft w:val="640"/>
          <w:marRight w:val="0"/>
          <w:marTop w:val="0"/>
          <w:marBottom w:val="0"/>
          <w:divBdr>
            <w:top w:val="none" w:sz="0" w:space="0" w:color="auto"/>
            <w:left w:val="none" w:sz="0" w:space="0" w:color="auto"/>
            <w:bottom w:val="none" w:sz="0" w:space="0" w:color="auto"/>
            <w:right w:val="none" w:sz="0" w:space="0" w:color="auto"/>
          </w:divBdr>
        </w:div>
        <w:div w:id="1255436963">
          <w:marLeft w:val="640"/>
          <w:marRight w:val="0"/>
          <w:marTop w:val="0"/>
          <w:marBottom w:val="0"/>
          <w:divBdr>
            <w:top w:val="none" w:sz="0" w:space="0" w:color="auto"/>
            <w:left w:val="none" w:sz="0" w:space="0" w:color="auto"/>
            <w:bottom w:val="none" w:sz="0" w:space="0" w:color="auto"/>
            <w:right w:val="none" w:sz="0" w:space="0" w:color="auto"/>
          </w:divBdr>
        </w:div>
        <w:div w:id="545029160">
          <w:marLeft w:val="640"/>
          <w:marRight w:val="0"/>
          <w:marTop w:val="0"/>
          <w:marBottom w:val="0"/>
          <w:divBdr>
            <w:top w:val="none" w:sz="0" w:space="0" w:color="auto"/>
            <w:left w:val="none" w:sz="0" w:space="0" w:color="auto"/>
            <w:bottom w:val="none" w:sz="0" w:space="0" w:color="auto"/>
            <w:right w:val="none" w:sz="0" w:space="0" w:color="auto"/>
          </w:divBdr>
        </w:div>
        <w:div w:id="626622130">
          <w:marLeft w:val="640"/>
          <w:marRight w:val="0"/>
          <w:marTop w:val="0"/>
          <w:marBottom w:val="0"/>
          <w:divBdr>
            <w:top w:val="none" w:sz="0" w:space="0" w:color="auto"/>
            <w:left w:val="none" w:sz="0" w:space="0" w:color="auto"/>
            <w:bottom w:val="none" w:sz="0" w:space="0" w:color="auto"/>
            <w:right w:val="none" w:sz="0" w:space="0" w:color="auto"/>
          </w:divBdr>
        </w:div>
        <w:div w:id="947271714">
          <w:marLeft w:val="640"/>
          <w:marRight w:val="0"/>
          <w:marTop w:val="0"/>
          <w:marBottom w:val="0"/>
          <w:divBdr>
            <w:top w:val="none" w:sz="0" w:space="0" w:color="auto"/>
            <w:left w:val="none" w:sz="0" w:space="0" w:color="auto"/>
            <w:bottom w:val="none" w:sz="0" w:space="0" w:color="auto"/>
            <w:right w:val="none" w:sz="0" w:space="0" w:color="auto"/>
          </w:divBdr>
        </w:div>
        <w:div w:id="1821268571">
          <w:marLeft w:val="640"/>
          <w:marRight w:val="0"/>
          <w:marTop w:val="0"/>
          <w:marBottom w:val="0"/>
          <w:divBdr>
            <w:top w:val="none" w:sz="0" w:space="0" w:color="auto"/>
            <w:left w:val="none" w:sz="0" w:space="0" w:color="auto"/>
            <w:bottom w:val="none" w:sz="0" w:space="0" w:color="auto"/>
            <w:right w:val="none" w:sz="0" w:space="0" w:color="auto"/>
          </w:divBdr>
        </w:div>
        <w:div w:id="533811556">
          <w:marLeft w:val="640"/>
          <w:marRight w:val="0"/>
          <w:marTop w:val="0"/>
          <w:marBottom w:val="0"/>
          <w:divBdr>
            <w:top w:val="none" w:sz="0" w:space="0" w:color="auto"/>
            <w:left w:val="none" w:sz="0" w:space="0" w:color="auto"/>
            <w:bottom w:val="none" w:sz="0" w:space="0" w:color="auto"/>
            <w:right w:val="none" w:sz="0" w:space="0" w:color="auto"/>
          </w:divBdr>
        </w:div>
        <w:div w:id="1413160388">
          <w:marLeft w:val="640"/>
          <w:marRight w:val="0"/>
          <w:marTop w:val="0"/>
          <w:marBottom w:val="0"/>
          <w:divBdr>
            <w:top w:val="none" w:sz="0" w:space="0" w:color="auto"/>
            <w:left w:val="none" w:sz="0" w:space="0" w:color="auto"/>
            <w:bottom w:val="none" w:sz="0" w:space="0" w:color="auto"/>
            <w:right w:val="none" w:sz="0" w:space="0" w:color="auto"/>
          </w:divBdr>
        </w:div>
        <w:div w:id="93138852">
          <w:marLeft w:val="640"/>
          <w:marRight w:val="0"/>
          <w:marTop w:val="0"/>
          <w:marBottom w:val="0"/>
          <w:divBdr>
            <w:top w:val="none" w:sz="0" w:space="0" w:color="auto"/>
            <w:left w:val="none" w:sz="0" w:space="0" w:color="auto"/>
            <w:bottom w:val="none" w:sz="0" w:space="0" w:color="auto"/>
            <w:right w:val="none" w:sz="0" w:space="0" w:color="auto"/>
          </w:divBdr>
        </w:div>
        <w:div w:id="511795310">
          <w:marLeft w:val="640"/>
          <w:marRight w:val="0"/>
          <w:marTop w:val="0"/>
          <w:marBottom w:val="0"/>
          <w:divBdr>
            <w:top w:val="none" w:sz="0" w:space="0" w:color="auto"/>
            <w:left w:val="none" w:sz="0" w:space="0" w:color="auto"/>
            <w:bottom w:val="none" w:sz="0" w:space="0" w:color="auto"/>
            <w:right w:val="none" w:sz="0" w:space="0" w:color="auto"/>
          </w:divBdr>
        </w:div>
        <w:div w:id="32310992">
          <w:marLeft w:val="640"/>
          <w:marRight w:val="0"/>
          <w:marTop w:val="0"/>
          <w:marBottom w:val="0"/>
          <w:divBdr>
            <w:top w:val="none" w:sz="0" w:space="0" w:color="auto"/>
            <w:left w:val="none" w:sz="0" w:space="0" w:color="auto"/>
            <w:bottom w:val="none" w:sz="0" w:space="0" w:color="auto"/>
            <w:right w:val="none" w:sz="0" w:space="0" w:color="auto"/>
          </w:divBdr>
        </w:div>
        <w:div w:id="562643895">
          <w:marLeft w:val="640"/>
          <w:marRight w:val="0"/>
          <w:marTop w:val="0"/>
          <w:marBottom w:val="0"/>
          <w:divBdr>
            <w:top w:val="none" w:sz="0" w:space="0" w:color="auto"/>
            <w:left w:val="none" w:sz="0" w:space="0" w:color="auto"/>
            <w:bottom w:val="none" w:sz="0" w:space="0" w:color="auto"/>
            <w:right w:val="none" w:sz="0" w:space="0" w:color="auto"/>
          </w:divBdr>
        </w:div>
        <w:div w:id="449858499">
          <w:marLeft w:val="640"/>
          <w:marRight w:val="0"/>
          <w:marTop w:val="0"/>
          <w:marBottom w:val="0"/>
          <w:divBdr>
            <w:top w:val="none" w:sz="0" w:space="0" w:color="auto"/>
            <w:left w:val="none" w:sz="0" w:space="0" w:color="auto"/>
            <w:bottom w:val="none" w:sz="0" w:space="0" w:color="auto"/>
            <w:right w:val="none" w:sz="0" w:space="0" w:color="auto"/>
          </w:divBdr>
        </w:div>
        <w:div w:id="1662153561">
          <w:marLeft w:val="640"/>
          <w:marRight w:val="0"/>
          <w:marTop w:val="0"/>
          <w:marBottom w:val="0"/>
          <w:divBdr>
            <w:top w:val="none" w:sz="0" w:space="0" w:color="auto"/>
            <w:left w:val="none" w:sz="0" w:space="0" w:color="auto"/>
            <w:bottom w:val="none" w:sz="0" w:space="0" w:color="auto"/>
            <w:right w:val="none" w:sz="0" w:space="0" w:color="auto"/>
          </w:divBdr>
        </w:div>
        <w:div w:id="905993535">
          <w:marLeft w:val="640"/>
          <w:marRight w:val="0"/>
          <w:marTop w:val="0"/>
          <w:marBottom w:val="0"/>
          <w:divBdr>
            <w:top w:val="none" w:sz="0" w:space="0" w:color="auto"/>
            <w:left w:val="none" w:sz="0" w:space="0" w:color="auto"/>
            <w:bottom w:val="none" w:sz="0" w:space="0" w:color="auto"/>
            <w:right w:val="none" w:sz="0" w:space="0" w:color="auto"/>
          </w:divBdr>
        </w:div>
        <w:div w:id="1165706442">
          <w:marLeft w:val="640"/>
          <w:marRight w:val="0"/>
          <w:marTop w:val="0"/>
          <w:marBottom w:val="0"/>
          <w:divBdr>
            <w:top w:val="none" w:sz="0" w:space="0" w:color="auto"/>
            <w:left w:val="none" w:sz="0" w:space="0" w:color="auto"/>
            <w:bottom w:val="none" w:sz="0" w:space="0" w:color="auto"/>
            <w:right w:val="none" w:sz="0" w:space="0" w:color="auto"/>
          </w:divBdr>
        </w:div>
        <w:div w:id="165562752">
          <w:marLeft w:val="640"/>
          <w:marRight w:val="0"/>
          <w:marTop w:val="0"/>
          <w:marBottom w:val="0"/>
          <w:divBdr>
            <w:top w:val="none" w:sz="0" w:space="0" w:color="auto"/>
            <w:left w:val="none" w:sz="0" w:space="0" w:color="auto"/>
            <w:bottom w:val="none" w:sz="0" w:space="0" w:color="auto"/>
            <w:right w:val="none" w:sz="0" w:space="0" w:color="auto"/>
          </w:divBdr>
        </w:div>
        <w:div w:id="552162710">
          <w:marLeft w:val="640"/>
          <w:marRight w:val="0"/>
          <w:marTop w:val="0"/>
          <w:marBottom w:val="0"/>
          <w:divBdr>
            <w:top w:val="none" w:sz="0" w:space="0" w:color="auto"/>
            <w:left w:val="none" w:sz="0" w:space="0" w:color="auto"/>
            <w:bottom w:val="none" w:sz="0" w:space="0" w:color="auto"/>
            <w:right w:val="none" w:sz="0" w:space="0" w:color="auto"/>
          </w:divBdr>
        </w:div>
        <w:div w:id="369183951">
          <w:marLeft w:val="640"/>
          <w:marRight w:val="0"/>
          <w:marTop w:val="0"/>
          <w:marBottom w:val="0"/>
          <w:divBdr>
            <w:top w:val="none" w:sz="0" w:space="0" w:color="auto"/>
            <w:left w:val="none" w:sz="0" w:space="0" w:color="auto"/>
            <w:bottom w:val="none" w:sz="0" w:space="0" w:color="auto"/>
            <w:right w:val="none" w:sz="0" w:space="0" w:color="auto"/>
          </w:divBdr>
        </w:div>
        <w:div w:id="789010177">
          <w:marLeft w:val="640"/>
          <w:marRight w:val="0"/>
          <w:marTop w:val="0"/>
          <w:marBottom w:val="0"/>
          <w:divBdr>
            <w:top w:val="none" w:sz="0" w:space="0" w:color="auto"/>
            <w:left w:val="none" w:sz="0" w:space="0" w:color="auto"/>
            <w:bottom w:val="none" w:sz="0" w:space="0" w:color="auto"/>
            <w:right w:val="none" w:sz="0" w:space="0" w:color="auto"/>
          </w:divBdr>
        </w:div>
        <w:div w:id="1124881481">
          <w:marLeft w:val="640"/>
          <w:marRight w:val="0"/>
          <w:marTop w:val="0"/>
          <w:marBottom w:val="0"/>
          <w:divBdr>
            <w:top w:val="none" w:sz="0" w:space="0" w:color="auto"/>
            <w:left w:val="none" w:sz="0" w:space="0" w:color="auto"/>
            <w:bottom w:val="none" w:sz="0" w:space="0" w:color="auto"/>
            <w:right w:val="none" w:sz="0" w:space="0" w:color="auto"/>
          </w:divBdr>
        </w:div>
        <w:div w:id="859008054">
          <w:marLeft w:val="640"/>
          <w:marRight w:val="0"/>
          <w:marTop w:val="0"/>
          <w:marBottom w:val="0"/>
          <w:divBdr>
            <w:top w:val="none" w:sz="0" w:space="0" w:color="auto"/>
            <w:left w:val="none" w:sz="0" w:space="0" w:color="auto"/>
            <w:bottom w:val="none" w:sz="0" w:space="0" w:color="auto"/>
            <w:right w:val="none" w:sz="0" w:space="0" w:color="auto"/>
          </w:divBdr>
        </w:div>
        <w:div w:id="444036164">
          <w:marLeft w:val="640"/>
          <w:marRight w:val="0"/>
          <w:marTop w:val="0"/>
          <w:marBottom w:val="0"/>
          <w:divBdr>
            <w:top w:val="none" w:sz="0" w:space="0" w:color="auto"/>
            <w:left w:val="none" w:sz="0" w:space="0" w:color="auto"/>
            <w:bottom w:val="none" w:sz="0" w:space="0" w:color="auto"/>
            <w:right w:val="none" w:sz="0" w:space="0" w:color="auto"/>
          </w:divBdr>
        </w:div>
        <w:div w:id="2044791832">
          <w:marLeft w:val="640"/>
          <w:marRight w:val="0"/>
          <w:marTop w:val="0"/>
          <w:marBottom w:val="0"/>
          <w:divBdr>
            <w:top w:val="none" w:sz="0" w:space="0" w:color="auto"/>
            <w:left w:val="none" w:sz="0" w:space="0" w:color="auto"/>
            <w:bottom w:val="none" w:sz="0" w:space="0" w:color="auto"/>
            <w:right w:val="none" w:sz="0" w:space="0" w:color="auto"/>
          </w:divBdr>
        </w:div>
        <w:div w:id="1797530985">
          <w:marLeft w:val="640"/>
          <w:marRight w:val="0"/>
          <w:marTop w:val="0"/>
          <w:marBottom w:val="0"/>
          <w:divBdr>
            <w:top w:val="none" w:sz="0" w:space="0" w:color="auto"/>
            <w:left w:val="none" w:sz="0" w:space="0" w:color="auto"/>
            <w:bottom w:val="none" w:sz="0" w:space="0" w:color="auto"/>
            <w:right w:val="none" w:sz="0" w:space="0" w:color="auto"/>
          </w:divBdr>
        </w:div>
        <w:div w:id="1128933697">
          <w:marLeft w:val="640"/>
          <w:marRight w:val="0"/>
          <w:marTop w:val="0"/>
          <w:marBottom w:val="0"/>
          <w:divBdr>
            <w:top w:val="none" w:sz="0" w:space="0" w:color="auto"/>
            <w:left w:val="none" w:sz="0" w:space="0" w:color="auto"/>
            <w:bottom w:val="none" w:sz="0" w:space="0" w:color="auto"/>
            <w:right w:val="none" w:sz="0" w:space="0" w:color="auto"/>
          </w:divBdr>
        </w:div>
        <w:div w:id="1331905774">
          <w:marLeft w:val="640"/>
          <w:marRight w:val="0"/>
          <w:marTop w:val="0"/>
          <w:marBottom w:val="0"/>
          <w:divBdr>
            <w:top w:val="none" w:sz="0" w:space="0" w:color="auto"/>
            <w:left w:val="none" w:sz="0" w:space="0" w:color="auto"/>
            <w:bottom w:val="none" w:sz="0" w:space="0" w:color="auto"/>
            <w:right w:val="none" w:sz="0" w:space="0" w:color="auto"/>
          </w:divBdr>
        </w:div>
        <w:div w:id="1122260302">
          <w:marLeft w:val="640"/>
          <w:marRight w:val="0"/>
          <w:marTop w:val="0"/>
          <w:marBottom w:val="0"/>
          <w:divBdr>
            <w:top w:val="none" w:sz="0" w:space="0" w:color="auto"/>
            <w:left w:val="none" w:sz="0" w:space="0" w:color="auto"/>
            <w:bottom w:val="none" w:sz="0" w:space="0" w:color="auto"/>
            <w:right w:val="none" w:sz="0" w:space="0" w:color="auto"/>
          </w:divBdr>
        </w:div>
        <w:div w:id="838540477">
          <w:marLeft w:val="640"/>
          <w:marRight w:val="0"/>
          <w:marTop w:val="0"/>
          <w:marBottom w:val="0"/>
          <w:divBdr>
            <w:top w:val="none" w:sz="0" w:space="0" w:color="auto"/>
            <w:left w:val="none" w:sz="0" w:space="0" w:color="auto"/>
            <w:bottom w:val="none" w:sz="0" w:space="0" w:color="auto"/>
            <w:right w:val="none" w:sz="0" w:space="0" w:color="auto"/>
          </w:divBdr>
        </w:div>
        <w:div w:id="629357943">
          <w:marLeft w:val="640"/>
          <w:marRight w:val="0"/>
          <w:marTop w:val="0"/>
          <w:marBottom w:val="0"/>
          <w:divBdr>
            <w:top w:val="none" w:sz="0" w:space="0" w:color="auto"/>
            <w:left w:val="none" w:sz="0" w:space="0" w:color="auto"/>
            <w:bottom w:val="none" w:sz="0" w:space="0" w:color="auto"/>
            <w:right w:val="none" w:sz="0" w:space="0" w:color="auto"/>
          </w:divBdr>
        </w:div>
        <w:div w:id="603147105">
          <w:marLeft w:val="640"/>
          <w:marRight w:val="0"/>
          <w:marTop w:val="0"/>
          <w:marBottom w:val="0"/>
          <w:divBdr>
            <w:top w:val="none" w:sz="0" w:space="0" w:color="auto"/>
            <w:left w:val="none" w:sz="0" w:space="0" w:color="auto"/>
            <w:bottom w:val="none" w:sz="0" w:space="0" w:color="auto"/>
            <w:right w:val="none" w:sz="0" w:space="0" w:color="auto"/>
          </w:divBdr>
        </w:div>
        <w:div w:id="1164976918">
          <w:marLeft w:val="640"/>
          <w:marRight w:val="0"/>
          <w:marTop w:val="0"/>
          <w:marBottom w:val="0"/>
          <w:divBdr>
            <w:top w:val="none" w:sz="0" w:space="0" w:color="auto"/>
            <w:left w:val="none" w:sz="0" w:space="0" w:color="auto"/>
            <w:bottom w:val="none" w:sz="0" w:space="0" w:color="auto"/>
            <w:right w:val="none" w:sz="0" w:space="0" w:color="auto"/>
          </w:divBdr>
        </w:div>
        <w:div w:id="1428161402">
          <w:marLeft w:val="640"/>
          <w:marRight w:val="0"/>
          <w:marTop w:val="0"/>
          <w:marBottom w:val="0"/>
          <w:divBdr>
            <w:top w:val="none" w:sz="0" w:space="0" w:color="auto"/>
            <w:left w:val="none" w:sz="0" w:space="0" w:color="auto"/>
            <w:bottom w:val="none" w:sz="0" w:space="0" w:color="auto"/>
            <w:right w:val="none" w:sz="0" w:space="0" w:color="auto"/>
          </w:divBdr>
        </w:div>
        <w:div w:id="385103332">
          <w:marLeft w:val="640"/>
          <w:marRight w:val="0"/>
          <w:marTop w:val="0"/>
          <w:marBottom w:val="0"/>
          <w:divBdr>
            <w:top w:val="none" w:sz="0" w:space="0" w:color="auto"/>
            <w:left w:val="none" w:sz="0" w:space="0" w:color="auto"/>
            <w:bottom w:val="none" w:sz="0" w:space="0" w:color="auto"/>
            <w:right w:val="none" w:sz="0" w:space="0" w:color="auto"/>
          </w:divBdr>
        </w:div>
        <w:div w:id="1832599572">
          <w:marLeft w:val="640"/>
          <w:marRight w:val="0"/>
          <w:marTop w:val="0"/>
          <w:marBottom w:val="0"/>
          <w:divBdr>
            <w:top w:val="none" w:sz="0" w:space="0" w:color="auto"/>
            <w:left w:val="none" w:sz="0" w:space="0" w:color="auto"/>
            <w:bottom w:val="none" w:sz="0" w:space="0" w:color="auto"/>
            <w:right w:val="none" w:sz="0" w:space="0" w:color="auto"/>
          </w:divBdr>
        </w:div>
        <w:div w:id="322464916">
          <w:marLeft w:val="640"/>
          <w:marRight w:val="0"/>
          <w:marTop w:val="0"/>
          <w:marBottom w:val="0"/>
          <w:divBdr>
            <w:top w:val="none" w:sz="0" w:space="0" w:color="auto"/>
            <w:left w:val="none" w:sz="0" w:space="0" w:color="auto"/>
            <w:bottom w:val="none" w:sz="0" w:space="0" w:color="auto"/>
            <w:right w:val="none" w:sz="0" w:space="0" w:color="auto"/>
          </w:divBdr>
        </w:div>
        <w:div w:id="994067648">
          <w:marLeft w:val="640"/>
          <w:marRight w:val="0"/>
          <w:marTop w:val="0"/>
          <w:marBottom w:val="0"/>
          <w:divBdr>
            <w:top w:val="none" w:sz="0" w:space="0" w:color="auto"/>
            <w:left w:val="none" w:sz="0" w:space="0" w:color="auto"/>
            <w:bottom w:val="none" w:sz="0" w:space="0" w:color="auto"/>
            <w:right w:val="none" w:sz="0" w:space="0" w:color="auto"/>
          </w:divBdr>
        </w:div>
        <w:div w:id="898513564">
          <w:marLeft w:val="640"/>
          <w:marRight w:val="0"/>
          <w:marTop w:val="0"/>
          <w:marBottom w:val="0"/>
          <w:divBdr>
            <w:top w:val="none" w:sz="0" w:space="0" w:color="auto"/>
            <w:left w:val="none" w:sz="0" w:space="0" w:color="auto"/>
            <w:bottom w:val="none" w:sz="0" w:space="0" w:color="auto"/>
            <w:right w:val="none" w:sz="0" w:space="0" w:color="auto"/>
          </w:divBdr>
        </w:div>
        <w:div w:id="395712561">
          <w:marLeft w:val="640"/>
          <w:marRight w:val="0"/>
          <w:marTop w:val="0"/>
          <w:marBottom w:val="0"/>
          <w:divBdr>
            <w:top w:val="none" w:sz="0" w:space="0" w:color="auto"/>
            <w:left w:val="none" w:sz="0" w:space="0" w:color="auto"/>
            <w:bottom w:val="none" w:sz="0" w:space="0" w:color="auto"/>
            <w:right w:val="none" w:sz="0" w:space="0" w:color="auto"/>
          </w:divBdr>
        </w:div>
        <w:div w:id="613831636">
          <w:marLeft w:val="640"/>
          <w:marRight w:val="0"/>
          <w:marTop w:val="0"/>
          <w:marBottom w:val="0"/>
          <w:divBdr>
            <w:top w:val="none" w:sz="0" w:space="0" w:color="auto"/>
            <w:left w:val="none" w:sz="0" w:space="0" w:color="auto"/>
            <w:bottom w:val="none" w:sz="0" w:space="0" w:color="auto"/>
            <w:right w:val="none" w:sz="0" w:space="0" w:color="auto"/>
          </w:divBdr>
        </w:div>
        <w:div w:id="1295792764">
          <w:marLeft w:val="640"/>
          <w:marRight w:val="0"/>
          <w:marTop w:val="0"/>
          <w:marBottom w:val="0"/>
          <w:divBdr>
            <w:top w:val="none" w:sz="0" w:space="0" w:color="auto"/>
            <w:left w:val="none" w:sz="0" w:space="0" w:color="auto"/>
            <w:bottom w:val="none" w:sz="0" w:space="0" w:color="auto"/>
            <w:right w:val="none" w:sz="0" w:space="0" w:color="auto"/>
          </w:divBdr>
        </w:div>
        <w:div w:id="1705137800">
          <w:marLeft w:val="640"/>
          <w:marRight w:val="0"/>
          <w:marTop w:val="0"/>
          <w:marBottom w:val="0"/>
          <w:divBdr>
            <w:top w:val="none" w:sz="0" w:space="0" w:color="auto"/>
            <w:left w:val="none" w:sz="0" w:space="0" w:color="auto"/>
            <w:bottom w:val="none" w:sz="0" w:space="0" w:color="auto"/>
            <w:right w:val="none" w:sz="0" w:space="0" w:color="auto"/>
          </w:divBdr>
        </w:div>
        <w:div w:id="1145857146">
          <w:marLeft w:val="640"/>
          <w:marRight w:val="0"/>
          <w:marTop w:val="0"/>
          <w:marBottom w:val="0"/>
          <w:divBdr>
            <w:top w:val="none" w:sz="0" w:space="0" w:color="auto"/>
            <w:left w:val="none" w:sz="0" w:space="0" w:color="auto"/>
            <w:bottom w:val="none" w:sz="0" w:space="0" w:color="auto"/>
            <w:right w:val="none" w:sz="0" w:space="0" w:color="auto"/>
          </w:divBdr>
        </w:div>
        <w:div w:id="2082099661">
          <w:marLeft w:val="640"/>
          <w:marRight w:val="0"/>
          <w:marTop w:val="0"/>
          <w:marBottom w:val="0"/>
          <w:divBdr>
            <w:top w:val="none" w:sz="0" w:space="0" w:color="auto"/>
            <w:left w:val="none" w:sz="0" w:space="0" w:color="auto"/>
            <w:bottom w:val="none" w:sz="0" w:space="0" w:color="auto"/>
            <w:right w:val="none" w:sz="0" w:space="0" w:color="auto"/>
          </w:divBdr>
        </w:div>
        <w:div w:id="651369482">
          <w:marLeft w:val="640"/>
          <w:marRight w:val="0"/>
          <w:marTop w:val="0"/>
          <w:marBottom w:val="0"/>
          <w:divBdr>
            <w:top w:val="none" w:sz="0" w:space="0" w:color="auto"/>
            <w:left w:val="none" w:sz="0" w:space="0" w:color="auto"/>
            <w:bottom w:val="none" w:sz="0" w:space="0" w:color="auto"/>
            <w:right w:val="none" w:sz="0" w:space="0" w:color="auto"/>
          </w:divBdr>
        </w:div>
        <w:div w:id="339358844">
          <w:marLeft w:val="640"/>
          <w:marRight w:val="0"/>
          <w:marTop w:val="0"/>
          <w:marBottom w:val="0"/>
          <w:divBdr>
            <w:top w:val="none" w:sz="0" w:space="0" w:color="auto"/>
            <w:left w:val="none" w:sz="0" w:space="0" w:color="auto"/>
            <w:bottom w:val="none" w:sz="0" w:space="0" w:color="auto"/>
            <w:right w:val="none" w:sz="0" w:space="0" w:color="auto"/>
          </w:divBdr>
        </w:div>
        <w:div w:id="1983189231">
          <w:marLeft w:val="640"/>
          <w:marRight w:val="0"/>
          <w:marTop w:val="0"/>
          <w:marBottom w:val="0"/>
          <w:divBdr>
            <w:top w:val="none" w:sz="0" w:space="0" w:color="auto"/>
            <w:left w:val="none" w:sz="0" w:space="0" w:color="auto"/>
            <w:bottom w:val="none" w:sz="0" w:space="0" w:color="auto"/>
            <w:right w:val="none" w:sz="0" w:space="0" w:color="auto"/>
          </w:divBdr>
        </w:div>
        <w:div w:id="559246913">
          <w:marLeft w:val="640"/>
          <w:marRight w:val="0"/>
          <w:marTop w:val="0"/>
          <w:marBottom w:val="0"/>
          <w:divBdr>
            <w:top w:val="none" w:sz="0" w:space="0" w:color="auto"/>
            <w:left w:val="none" w:sz="0" w:space="0" w:color="auto"/>
            <w:bottom w:val="none" w:sz="0" w:space="0" w:color="auto"/>
            <w:right w:val="none" w:sz="0" w:space="0" w:color="auto"/>
          </w:divBdr>
        </w:div>
        <w:div w:id="1246181410">
          <w:marLeft w:val="640"/>
          <w:marRight w:val="0"/>
          <w:marTop w:val="0"/>
          <w:marBottom w:val="0"/>
          <w:divBdr>
            <w:top w:val="none" w:sz="0" w:space="0" w:color="auto"/>
            <w:left w:val="none" w:sz="0" w:space="0" w:color="auto"/>
            <w:bottom w:val="none" w:sz="0" w:space="0" w:color="auto"/>
            <w:right w:val="none" w:sz="0" w:space="0" w:color="auto"/>
          </w:divBdr>
        </w:div>
        <w:div w:id="1558781626">
          <w:marLeft w:val="640"/>
          <w:marRight w:val="0"/>
          <w:marTop w:val="0"/>
          <w:marBottom w:val="0"/>
          <w:divBdr>
            <w:top w:val="none" w:sz="0" w:space="0" w:color="auto"/>
            <w:left w:val="none" w:sz="0" w:space="0" w:color="auto"/>
            <w:bottom w:val="none" w:sz="0" w:space="0" w:color="auto"/>
            <w:right w:val="none" w:sz="0" w:space="0" w:color="auto"/>
          </w:divBdr>
        </w:div>
        <w:div w:id="1151409020">
          <w:marLeft w:val="640"/>
          <w:marRight w:val="0"/>
          <w:marTop w:val="0"/>
          <w:marBottom w:val="0"/>
          <w:divBdr>
            <w:top w:val="none" w:sz="0" w:space="0" w:color="auto"/>
            <w:left w:val="none" w:sz="0" w:space="0" w:color="auto"/>
            <w:bottom w:val="none" w:sz="0" w:space="0" w:color="auto"/>
            <w:right w:val="none" w:sz="0" w:space="0" w:color="auto"/>
          </w:divBdr>
        </w:div>
        <w:div w:id="582952607">
          <w:marLeft w:val="640"/>
          <w:marRight w:val="0"/>
          <w:marTop w:val="0"/>
          <w:marBottom w:val="0"/>
          <w:divBdr>
            <w:top w:val="none" w:sz="0" w:space="0" w:color="auto"/>
            <w:left w:val="none" w:sz="0" w:space="0" w:color="auto"/>
            <w:bottom w:val="none" w:sz="0" w:space="0" w:color="auto"/>
            <w:right w:val="none" w:sz="0" w:space="0" w:color="auto"/>
          </w:divBdr>
        </w:div>
        <w:div w:id="2058699050">
          <w:marLeft w:val="640"/>
          <w:marRight w:val="0"/>
          <w:marTop w:val="0"/>
          <w:marBottom w:val="0"/>
          <w:divBdr>
            <w:top w:val="none" w:sz="0" w:space="0" w:color="auto"/>
            <w:left w:val="none" w:sz="0" w:space="0" w:color="auto"/>
            <w:bottom w:val="none" w:sz="0" w:space="0" w:color="auto"/>
            <w:right w:val="none" w:sz="0" w:space="0" w:color="auto"/>
          </w:divBdr>
        </w:div>
        <w:div w:id="366638797">
          <w:marLeft w:val="640"/>
          <w:marRight w:val="0"/>
          <w:marTop w:val="0"/>
          <w:marBottom w:val="0"/>
          <w:divBdr>
            <w:top w:val="none" w:sz="0" w:space="0" w:color="auto"/>
            <w:left w:val="none" w:sz="0" w:space="0" w:color="auto"/>
            <w:bottom w:val="none" w:sz="0" w:space="0" w:color="auto"/>
            <w:right w:val="none" w:sz="0" w:space="0" w:color="auto"/>
          </w:divBdr>
        </w:div>
        <w:div w:id="1849558187">
          <w:marLeft w:val="640"/>
          <w:marRight w:val="0"/>
          <w:marTop w:val="0"/>
          <w:marBottom w:val="0"/>
          <w:divBdr>
            <w:top w:val="none" w:sz="0" w:space="0" w:color="auto"/>
            <w:left w:val="none" w:sz="0" w:space="0" w:color="auto"/>
            <w:bottom w:val="none" w:sz="0" w:space="0" w:color="auto"/>
            <w:right w:val="none" w:sz="0" w:space="0" w:color="auto"/>
          </w:divBdr>
        </w:div>
        <w:div w:id="1191333308">
          <w:marLeft w:val="640"/>
          <w:marRight w:val="0"/>
          <w:marTop w:val="0"/>
          <w:marBottom w:val="0"/>
          <w:divBdr>
            <w:top w:val="none" w:sz="0" w:space="0" w:color="auto"/>
            <w:left w:val="none" w:sz="0" w:space="0" w:color="auto"/>
            <w:bottom w:val="none" w:sz="0" w:space="0" w:color="auto"/>
            <w:right w:val="none" w:sz="0" w:space="0" w:color="auto"/>
          </w:divBdr>
        </w:div>
        <w:div w:id="772239723">
          <w:marLeft w:val="640"/>
          <w:marRight w:val="0"/>
          <w:marTop w:val="0"/>
          <w:marBottom w:val="0"/>
          <w:divBdr>
            <w:top w:val="none" w:sz="0" w:space="0" w:color="auto"/>
            <w:left w:val="none" w:sz="0" w:space="0" w:color="auto"/>
            <w:bottom w:val="none" w:sz="0" w:space="0" w:color="auto"/>
            <w:right w:val="none" w:sz="0" w:space="0" w:color="auto"/>
          </w:divBdr>
        </w:div>
        <w:div w:id="2107262288">
          <w:marLeft w:val="640"/>
          <w:marRight w:val="0"/>
          <w:marTop w:val="0"/>
          <w:marBottom w:val="0"/>
          <w:divBdr>
            <w:top w:val="none" w:sz="0" w:space="0" w:color="auto"/>
            <w:left w:val="none" w:sz="0" w:space="0" w:color="auto"/>
            <w:bottom w:val="none" w:sz="0" w:space="0" w:color="auto"/>
            <w:right w:val="none" w:sz="0" w:space="0" w:color="auto"/>
          </w:divBdr>
        </w:div>
        <w:div w:id="159852342">
          <w:marLeft w:val="640"/>
          <w:marRight w:val="0"/>
          <w:marTop w:val="0"/>
          <w:marBottom w:val="0"/>
          <w:divBdr>
            <w:top w:val="none" w:sz="0" w:space="0" w:color="auto"/>
            <w:left w:val="none" w:sz="0" w:space="0" w:color="auto"/>
            <w:bottom w:val="none" w:sz="0" w:space="0" w:color="auto"/>
            <w:right w:val="none" w:sz="0" w:space="0" w:color="auto"/>
          </w:divBdr>
        </w:div>
        <w:div w:id="987129938">
          <w:marLeft w:val="640"/>
          <w:marRight w:val="0"/>
          <w:marTop w:val="0"/>
          <w:marBottom w:val="0"/>
          <w:divBdr>
            <w:top w:val="none" w:sz="0" w:space="0" w:color="auto"/>
            <w:left w:val="none" w:sz="0" w:space="0" w:color="auto"/>
            <w:bottom w:val="none" w:sz="0" w:space="0" w:color="auto"/>
            <w:right w:val="none" w:sz="0" w:space="0" w:color="auto"/>
          </w:divBdr>
        </w:div>
        <w:div w:id="899706471">
          <w:marLeft w:val="640"/>
          <w:marRight w:val="0"/>
          <w:marTop w:val="0"/>
          <w:marBottom w:val="0"/>
          <w:divBdr>
            <w:top w:val="none" w:sz="0" w:space="0" w:color="auto"/>
            <w:left w:val="none" w:sz="0" w:space="0" w:color="auto"/>
            <w:bottom w:val="none" w:sz="0" w:space="0" w:color="auto"/>
            <w:right w:val="none" w:sz="0" w:space="0" w:color="auto"/>
          </w:divBdr>
        </w:div>
        <w:div w:id="21129949">
          <w:marLeft w:val="640"/>
          <w:marRight w:val="0"/>
          <w:marTop w:val="0"/>
          <w:marBottom w:val="0"/>
          <w:divBdr>
            <w:top w:val="none" w:sz="0" w:space="0" w:color="auto"/>
            <w:left w:val="none" w:sz="0" w:space="0" w:color="auto"/>
            <w:bottom w:val="none" w:sz="0" w:space="0" w:color="auto"/>
            <w:right w:val="none" w:sz="0" w:space="0" w:color="auto"/>
          </w:divBdr>
        </w:div>
        <w:div w:id="1109008518">
          <w:marLeft w:val="640"/>
          <w:marRight w:val="0"/>
          <w:marTop w:val="0"/>
          <w:marBottom w:val="0"/>
          <w:divBdr>
            <w:top w:val="none" w:sz="0" w:space="0" w:color="auto"/>
            <w:left w:val="none" w:sz="0" w:space="0" w:color="auto"/>
            <w:bottom w:val="none" w:sz="0" w:space="0" w:color="auto"/>
            <w:right w:val="none" w:sz="0" w:space="0" w:color="auto"/>
          </w:divBdr>
        </w:div>
        <w:div w:id="1340306288">
          <w:marLeft w:val="640"/>
          <w:marRight w:val="0"/>
          <w:marTop w:val="0"/>
          <w:marBottom w:val="0"/>
          <w:divBdr>
            <w:top w:val="none" w:sz="0" w:space="0" w:color="auto"/>
            <w:left w:val="none" w:sz="0" w:space="0" w:color="auto"/>
            <w:bottom w:val="none" w:sz="0" w:space="0" w:color="auto"/>
            <w:right w:val="none" w:sz="0" w:space="0" w:color="auto"/>
          </w:divBdr>
        </w:div>
        <w:div w:id="1617642605">
          <w:marLeft w:val="640"/>
          <w:marRight w:val="0"/>
          <w:marTop w:val="0"/>
          <w:marBottom w:val="0"/>
          <w:divBdr>
            <w:top w:val="none" w:sz="0" w:space="0" w:color="auto"/>
            <w:left w:val="none" w:sz="0" w:space="0" w:color="auto"/>
            <w:bottom w:val="none" w:sz="0" w:space="0" w:color="auto"/>
            <w:right w:val="none" w:sz="0" w:space="0" w:color="auto"/>
          </w:divBdr>
        </w:div>
        <w:div w:id="666321756">
          <w:marLeft w:val="640"/>
          <w:marRight w:val="0"/>
          <w:marTop w:val="0"/>
          <w:marBottom w:val="0"/>
          <w:divBdr>
            <w:top w:val="none" w:sz="0" w:space="0" w:color="auto"/>
            <w:left w:val="none" w:sz="0" w:space="0" w:color="auto"/>
            <w:bottom w:val="none" w:sz="0" w:space="0" w:color="auto"/>
            <w:right w:val="none" w:sz="0" w:space="0" w:color="auto"/>
          </w:divBdr>
        </w:div>
        <w:div w:id="827939440">
          <w:marLeft w:val="640"/>
          <w:marRight w:val="0"/>
          <w:marTop w:val="0"/>
          <w:marBottom w:val="0"/>
          <w:divBdr>
            <w:top w:val="none" w:sz="0" w:space="0" w:color="auto"/>
            <w:left w:val="none" w:sz="0" w:space="0" w:color="auto"/>
            <w:bottom w:val="none" w:sz="0" w:space="0" w:color="auto"/>
            <w:right w:val="none" w:sz="0" w:space="0" w:color="auto"/>
          </w:divBdr>
        </w:div>
        <w:div w:id="549923678">
          <w:marLeft w:val="640"/>
          <w:marRight w:val="0"/>
          <w:marTop w:val="0"/>
          <w:marBottom w:val="0"/>
          <w:divBdr>
            <w:top w:val="none" w:sz="0" w:space="0" w:color="auto"/>
            <w:left w:val="none" w:sz="0" w:space="0" w:color="auto"/>
            <w:bottom w:val="none" w:sz="0" w:space="0" w:color="auto"/>
            <w:right w:val="none" w:sz="0" w:space="0" w:color="auto"/>
          </w:divBdr>
        </w:div>
        <w:div w:id="1111320204">
          <w:marLeft w:val="640"/>
          <w:marRight w:val="0"/>
          <w:marTop w:val="0"/>
          <w:marBottom w:val="0"/>
          <w:divBdr>
            <w:top w:val="none" w:sz="0" w:space="0" w:color="auto"/>
            <w:left w:val="none" w:sz="0" w:space="0" w:color="auto"/>
            <w:bottom w:val="none" w:sz="0" w:space="0" w:color="auto"/>
            <w:right w:val="none" w:sz="0" w:space="0" w:color="auto"/>
          </w:divBdr>
        </w:div>
        <w:div w:id="897714473">
          <w:marLeft w:val="640"/>
          <w:marRight w:val="0"/>
          <w:marTop w:val="0"/>
          <w:marBottom w:val="0"/>
          <w:divBdr>
            <w:top w:val="none" w:sz="0" w:space="0" w:color="auto"/>
            <w:left w:val="none" w:sz="0" w:space="0" w:color="auto"/>
            <w:bottom w:val="none" w:sz="0" w:space="0" w:color="auto"/>
            <w:right w:val="none" w:sz="0" w:space="0" w:color="auto"/>
          </w:divBdr>
        </w:div>
        <w:div w:id="636879885">
          <w:marLeft w:val="640"/>
          <w:marRight w:val="0"/>
          <w:marTop w:val="0"/>
          <w:marBottom w:val="0"/>
          <w:divBdr>
            <w:top w:val="none" w:sz="0" w:space="0" w:color="auto"/>
            <w:left w:val="none" w:sz="0" w:space="0" w:color="auto"/>
            <w:bottom w:val="none" w:sz="0" w:space="0" w:color="auto"/>
            <w:right w:val="none" w:sz="0" w:space="0" w:color="auto"/>
          </w:divBdr>
        </w:div>
        <w:div w:id="1354763521">
          <w:marLeft w:val="640"/>
          <w:marRight w:val="0"/>
          <w:marTop w:val="0"/>
          <w:marBottom w:val="0"/>
          <w:divBdr>
            <w:top w:val="none" w:sz="0" w:space="0" w:color="auto"/>
            <w:left w:val="none" w:sz="0" w:space="0" w:color="auto"/>
            <w:bottom w:val="none" w:sz="0" w:space="0" w:color="auto"/>
            <w:right w:val="none" w:sz="0" w:space="0" w:color="auto"/>
          </w:divBdr>
        </w:div>
        <w:div w:id="700520669">
          <w:marLeft w:val="640"/>
          <w:marRight w:val="0"/>
          <w:marTop w:val="0"/>
          <w:marBottom w:val="0"/>
          <w:divBdr>
            <w:top w:val="none" w:sz="0" w:space="0" w:color="auto"/>
            <w:left w:val="none" w:sz="0" w:space="0" w:color="auto"/>
            <w:bottom w:val="none" w:sz="0" w:space="0" w:color="auto"/>
            <w:right w:val="none" w:sz="0" w:space="0" w:color="auto"/>
          </w:divBdr>
        </w:div>
        <w:div w:id="694422303">
          <w:marLeft w:val="640"/>
          <w:marRight w:val="0"/>
          <w:marTop w:val="0"/>
          <w:marBottom w:val="0"/>
          <w:divBdr>
            <w:top w:val="none" w:sz="0" w:space="0" w:color="auto"/>
            <w:left w:val="none" w:sz="0" w:space="0" w:color="auto"/>
            <w:bottom w:val="none" w:sz="0" w:space="0" w:color="auto"/>
            <w:right w:val="none" w:sz="0" w:space="0" w:color="auto"/>
          </w:divBdr>
        </w:div>
        <w:div w:id="1391030652">
          <w:marLeft w:val="640"/>
          <w:marRight w:val="0"/>
          <w:marTop w:val="0"/>
          <w:marBottom w:val="0"/>
          <w:divBdr>
            <w:top w:val="none" w:sz="0" w:space="0" w:color="auto"/>
            <w:left w:val="none" w:sz="0" w:space="0" w:color="auto"/>
            <w:bottom w:val="none" w:sz="0" w:space="0" w:color="auto"/>
            <w:right w:val="none" w:sz="0" w:space="0" w:color="auto"/>
          </w:divBdr>
        </w:div>
        <w:div w:id="305011792">
          <w:marLeft w:val="640"/>
          <w:marRight w:val="0"/>
          <w:marTop w:val="0"/>
          <w:marBottom w:val="0"/>
          <w:divBdr>
            <w:top w:val="none" w:sz="0" w:space="0" w:color="auto"/>
            <w:left w:val="none" w:sz="0" w:space="0" w:color="auto"/>
            <w:bottom w:val="none" w:sz="0" w:space="0" w:color="auto"/>
            <w:right w:val="none" w:sz="0" w:space="0" w:color="auto"/>
          </w:divBdr>
        </w:div>
        <w:div w:id="218715935">
          <w:marLeft w:val="640"/>
          <w:marRight w:val="0"/>
          <w:marTop w:val="0"/>
          <w:marBottom w:val="0"/>
          <w:divBdr>
            <w:top w:val="none" w:sz="0" w:space="0" w:color="auto"/>
            <w:left w:val="none" w:sz="0" w:space="0" w:color="auto"/>
            <w:bottom w:val="none" w:sz="0" w:space="0" w:color="auto"/>
            <w:right w:val="none" w:sz="0" w:space="0" w:color="auto"/>
          </w:divBdr>
        </w:div>
        <w:div w:id="1275284960">
          <w:marLeft w:val="640"/>
          <w:marRight w:val="0"/>
          <w:marTop w:val="0"/>
          <w:marBottom w:val="0"/>
          <w:divBdr>
            <w:top w:val="none" w:sz="0" w:space="0" w:color="auto"/>
            <w:left w:val="none" w:sz="0" w:space="0" w:color="auto"/>
            <w:bottom w:val="none" w:sz="0" w:space="0" w:color="auto"/>
            <w:right w:val="none" w:sz="0" w:space="0" w:color="auto"/>
          </w:divBdr>
        </w:div>
        <w:div w:id="479813652">
          <w:marLeft w:val="640"/>
          <w:marRight w:val="0"/>
          <w:marTop w:val="0"/>
          <w:marBottom w:val="0"/>
          <w:divBdr>
            <w:top w:val="none" w:sz="0" w:space="0" w:color="auto"/>
            <w:left w:val="none" w:sz="0" w:space="0" w:color="auto"/>
            <w:bottom w:val="none" w:sz="0" w:space="0" w:color="auto"/>
            <w:right w:val="none" w:sz="0" w:space="0" w:color="auto"/>
          </w:divBdr>
        </w:div>
        <w:div w:id="1748258524">
          <w:marLeft w:val="640"/>
          <w:marRight w:val="0"/>
          <w:marTop w:val="0"/>
          <w:marBottom w:val="0"/>
          <w:divBdr>
            <w:top w:val="none" w:sz="0" w:space="0" w:color="auto"/>
            <w:left w:val="none" w:sz="0" w:space="0" w:color="auto"/>
            <w:bottom w:val="none" w:sz="0" w:space="0" w:color="auto"/>
            <w:right w:val="none" w:sz="0" w:space="0" w:color="auto"/>
          </w:divBdr>
        </w:div>
        <w:div w:id="911433269">
          <w:marLeft w:val="640"/>
          <w:marRight w:val="0"/>
          <w:marTop w:val="0"/>
          <w:marBottom w:val="0"/>
          <w:divBdr>
            <w:top w:val="none" w:sz="0" w:space="0" w:color="auto"/>
            <w:left w:val="none" w:sz="0" w:space="0" w:color="auto"/>
            <w:bottom w:val="none" w:sz="0" w:space="0" w:color="auto"/>
            <w:right w:val="none" w:sz="0" w:space="0" w:color="auto"/>
          </w:divBdr>
        </w:div>
        <w:div w:id="836849889">
          <w:marLeft w:val="640"/>
          <w:marRight w:val="0"/>
          <w:marTop w:val="0"/>
          <w:marBottom w:val="0"/>
          <w:divBdr>
            <w:top w:val="none" w:sz="0" w:space="0" w:color="auto"/>
            <w:left w:val="none" w:sz="0" w:space="0" w:color="auto"/>
            <w:bottom w:val="none" w:sz="0" w:space="0" w:color="auto"/>
            <w:right w:val="none" w:sz="0" w:space="0" w:color="auto"/>
          </w:divBdr>
        </w:div>
        <w:div w:id="1937514107">
          <w:marLeft w:val="640"/>
          <w:marRight w:val="0"/>
          <w:marTop w:val="0"/>
          <w:marBottom w:val="0"/>
          <w:divBdr>
            <w:top w:val="none" w:sz="0" w:space="0" w:color="auto"/>
            <w:left w:val="none" w:sz="0" w:space="0" w:color="auto"/>
            <w:bottom w:val="none" w:sz="0" w:space="0" w:color="auto"/>
            <w:right w:val="none" w:sz="0" w:space="0" w:color="auto"/>
          </w:divBdr>
        </w:div>
      </w:divsChild>
    </w:div>
    <w:div w:id="1062603337">
      <w:bodyDiv w:val="1"/>
      <w:marLeft w:val="0"/>
      <w:marRight w:val="0"/>
      <w:marTop w:val="0"/>
      <w:marBottom w:val="0"/>
      <w:divBdr>
        <w:top w:val="none" w:sz="0" w:space="0" w:color="auto"/>
        <w:left w:val="none" w:sz="0" w:space="0" w:color="auto"/>
        <w:bottom w:val="none" w:sz="0" w:space="0" w:color="auto"/>
        <w:right w:val="none" w:sz="0" w:space="0" w:color="auto"/>
      </w:divBdr>
      <w:divsChild>
        <w:div w:id="1089496732">
          <w:marLeft w:val="640"/>
          <w:marRight w:val="0"/>
          <w:marTop w:val="0"/>
          <w:marBottom w:val="0"/>
          <w:divBdr>
            <w:top w:val="none" w:sz="0" w:space="0" w:color="auto"/>
            <w:left w:val="none" w:sz="0" w:space="0" w:color="auto"/>
            <w:bottom w:val="none" w:sz="0" w:space="0" w:color="auto"/>
            <w:right w:val="none" w:sz="0" w:space="0" w:color="auto"/>
          </w:divBdr>
        </w:div>
        <w:div w:id="738669737">
          <w:marLeft w:val="640"/>
          <w:marRight w:val="0"/>
          <w:marTop w:val="0"/>
          <w:marBottom w:val="0"/>
          <w:divBdr>
            <w:top w:val="none" w:sz="0" w:space="0" w:color="auto"/>
            <w:left w:val="none" w:sz="0" w:space="0" w:color="auto"/>
            <w:bottom w:val="none" w:sz="0" w:space="0" w:color="auto"/>
            <w:right w:val="none" w:sz="0" w:space="0" w:color="auto"/>
          </w:divBdr>
        </w:div>
        <w:div w:id="1815828861">
          <w:marLeft w:val="640"/>
          <w:marRight w:val="0"/>
          <w:marTop w:val="0"/>
          <w:marBottom w:val="0"/>
          <w:divBdr>
            <w:top w:val="none" w:sz="0" w:space="0" w:color="auto"/>
            <w:left w:val="none" w:sz="0" w:space="0" w:color="auto"/>
            <w:bottom w:val="none" w:sz="0" w:space="0" w:color="auto"/>
            <w:right w:val="none" w:sz="0" w:space="0" w:color="auto"/>
          </w:divBdr>
        </w:div>
        <w:div w:id="2096896910">
          <w:marLeft w:val="640"/>
          <w:marRight w:val="0"/>
          <w:marTop w:val="0"/>
          <w:marBottom w:val="0"/>
          <w:divBdr>
            <w:top w:val="none" w:sz="0" w:space="0" w:color="auto"/>
            <w:left w:val="none" w:sz="0" w:space="0" w:color="auto"/>
            <w:bottom w:val="none" w:sz="0" w:space="0" w:color="auto"/>
            <w:right w:val="none" w:sz="0" w:space="0" w:color="auto"/>
          </w:divBdr>
        </w:div>
        <w:div w:id="1095054236">
          <w:marLeft w:val="640"/>
          <w:marRight w:val="0"/>
          <w:marTop w:val="0"/>
          <w:marBottom w:val="0"/>
          <w:divBdr>
            <w:top w:val="none" w:sz="0" w:space="0" w:color="auto"/>
            <w:left w:val="none" w:sz="0" w:space="0" w:color="auto"/>
            <w:bottom w:val="none" w:sz="0" w:space="0" w:color="auto"/>
            <w:right w:val="none" w:sz="0" w:space="0" w:color="auto"/>
          </w:divBdr>
        </w:div>
        <w:div w:id="1596086807">
          <w:marLeft w:val="640"/>
          <w:marRight w:val="0"/>
          <w:marTop w:val="0"/>
          <w:marBottom w:val="0"/>
          <w:divBdr>
            <w:top w:val="none" w:sz="0" w:space="0" w:color="auto"/>
            <w:left w:val="none" w:sz="0" w:space="0" w:color="auto"/>
            <w:bottom w:val="none" w:sz="0" w:space="0" w:color="auto"/>
            <w:right w:val="none" w:sz="0" w:space="0" w:color="auto"/>
          </w:divBdr>
        </w:div>
        <w:div w:id="224492383">
          <w:marLeft w:val="640"/>
          <w:marRight w:val="0"/>
          <w:marTop w:val="0"/>
          <w:marBottom w:val="0"/>
          <w:divBdr>
            <w:top w:val="none" w:sz="0" w:space="0" w:color="auto"/>
            <w:left w:val="none" w:sz="0" w:space="0" w:color="auto"/>
            <w:bottom w:val="none" w:sz="0" w:space="0" w:color="auto"/>
            <w:right w:val="none" w:sz="0" w:space="0" w:color="auto"/>
          </w:divBdr>
        </w:div>
        <w:div w:id="842472388">
          <w:marLeft w:val="640"/>
          <w:marRight w:val="0"/>
          <w:marTop w:val="0"/>
          <w:marBottom w:val="0"/>
          <w:divBdr>
            <w:top w:val="none" w:sz="0" w:space="0" w:color="auto"/>
            <w:left w:val="none" w:sz="0" w:space="0" w:color="auto"/>
            <w:bottom w:val="none" w:sz="0" w:space="0" w:color="auto"/>
            <w:right w:val="none" w:sz="0" w:space="0" w:color="auto"/>
          </w:divBdr>
        </w:div>
        <w:div w:id="1379279841">
          <w:marLeft w:val="640"/>
          <w:marRight w:val="0"/>
          <w:marTop w:val="0"/>
          <w:marBottom w:val="0"/>
          <w:divBdr>
            <w:top w:val="none" w:sz="0" w:space="0" w:color="auto"/>
            <w:left w:val="none" w:sz="0" w:space="0" w:color="auto"/>
            <w:bottom w:val="none" w:sz="0" w:space="0" w:color="auto"/>
            <w:right w:val="none" w:sz="0" w:space="0" w:color="auto"/>
          </w:divBdr>
        </w:div>
        <w:div w:id="1068266160">
          <w:marLeft w:val="640"/>
          <w:marRight w:val="0"/>
          <w:marTop w:val="0"/>
          <w:marBottom w:val="0"/>
          <w:divBdr>
            <w:top w:val="none" w:sz="0" w:space="0" w:color="auto"/>
            <w:left w:val="none" w:sz="0" w:space="0" w:color="auto"/>
            <w:bottom w:val="none" w:sz="0" w:space="0" w:color="auto"/>
            <w:right w:val="none" w:sz="0" w:space="0" w:color="auto"/>
          </w:divBdr>
        </w:div>
        <w:div w:id="993414166">
          <w:marLeft w:val="640"/>
          <w:marRight w:val="0"/>
          <w:marTop w:val="0"/>
          <w:marBottom w:val="0"/>
          <w:divBdr>
            <w:top w:val="none" w:sz="0" w:space="0" w:color="auto"/>
            <w:left w:val="none" w:sz="0" w:space="0" w:color="auto"/>
            <w:bottom w:val="none" w:sz="0" w:space="0" w:color="auto"/>
            <w:right w:val="none" w:sz="0" w:space="0" w:color="auto"/>
          </w:divBdr>
        </w:div>
        <w:div w:id="1191799240">
          <w:marLeft w:val="640"/>
          <w:marRight w:val="0"/>
          <w:marTop w:val="0"/>
          <w:marBottom w:val="0"/>
          <w:divBdr>
            <w:top w:val="none" w:sz="0" w:space="0" w:color="auto"/>
            <w:left w:val="none" w:sz="0" w:space="0" w:color="auto"/>
            <w:bottom w:val="none" w:sz="0" w:space="0" w:color="auto"/>
            <w:right w:val="none" w:sz="0" w:space="0" w:color="auto"/>
          </w:divBdr>
        </w:div>
        <w:div w:id="1703743879">
          <w:marLeft w:val="640"/>
          <w:marRight w:val="0"/>
          <w:marTop w:val="0"/>
          <w:marBottom w:val="0"/>
          <w:divBdr>
            <w:top w:val="none" w:sz="0" w:space="0" w:color="auto"/>
            <w:left w:val="none" w:sz="0" w:space="0" w:color="auto"/>
            <w:bottom w:val="none" w:sz="0" w:space="0" w:color="auto"/>
            <w:right w:val="none" w:sz="0" w:space="0" w:color="auto"/>
          </w:divBdr>
        </w:div>
        <w:div w:id="1182477319">
          <w:marLeft w:val="640"/>
          <w:marRight w:val="0"/>
          <w:marTop w:val="0"/>
          <w:marBottom w:val="0"/>
          <w:divBdr>
            <w:top w:val="none" w:sz="0" w:space="0" w:color="auto"/>
            <w:left w:val="none" w:sz="0" w:space="0" w:color="auto"/>
            <w:bottom w:val="none" w:sz="0" w:space="0" w:color="auto"/>
            <w:right w:val="none" w:sz="0" w:space="0" w:color="auto"/>
          </w:divBdr>
        </w:div>
        <w:div w:id="1089887046">
          <w:marLeft w:val="640"/>
          <w:marRight w:val="0"/>
          <w:marTop w:val="0"/>
          <w:marBottom w:val="0"/>
          <w:divBdr>
            <w:top w:val="none" w:sz="0" w:space="0" w:color="auto"/>
            <w:left w:val="none" w:sz="0" w:space="0" w:color="auto"/>
            <w:bottom w:val="none" w:sz="0" w:space="0" w:color="auto"/>
            <w:right w:val="none" w:sz="0" w:space="0" w:color="auto"/>
          </w:divBdr>
        </w:div>
        <w:div w:id="738209293">
          <w:marLeft w:val="640"/>
          <w:marRight w:val="0"/>
          <w:marTop w:val="0"/>
          <w:marBottom w:val="0"/>
          <w:divBdr>
            <w:top w:val="none" w:sz="0" w:space="0" w:color="auto"/>
            <w:left w:val="none" w:sz="0" w:space="0" w:color="auto"/>
            <w:bottom w:val="none" w:sz="0" w:space="0" w:color="auto"/>
            <w:right w:val="none" w:sz="0" w:space="0" w:color="auto"/>
          </w:divBdr>
        </w:div>
        <w:div w:id="1534924617">
          <w:marLeft w:val="640"/>
          <w:marRight w:val="0"/>
          <w:marTop w:val="0"/>
          <w:marBottom w:val="0"/>
          <w:divBdr>
            <w:top w:val="none" w:sz="0" w:space="0" w:color="auto"/>
            <w:left w:val="none" w:sz="0" w:space="0" w:color="auto"/>
            <w:bottom w:val="none" w:sz="0" w:space="0" w:color="auto"/>
            <w:right w:val="none" w:sz="0" w:space="0" w:color="auto"/>
          </w:divBdr>
        </w:div>
        <w:div w:id="997423947">
          <w:marLeft w:val="640"/>
          <w:marRight w:val="0"/>
          <w:marTop w:val="0"/>
          <w:marBottom w:val="0"/>
          <w:divBdr>
            <w:top w:val="none" w:sz="0" w:space="0" w:color="auto"/>
            <w:left w:val="none" w:sz="0" w:space="0" w:color="auto"/>
            <w:bottom w:val="none" w:sz="0" w:space="0" w:color="auto"/>
            <w:right w:val="none" w:sz="0" w:space="0" w:color="auto"/>
          </w:divBdr>
        </w:div>
        <w:div w:id="1170832139">
          <w:marLeft w:val="640"/>
          <w:marRight w:val="0"/>
          <w:marTop w:val="0"/>
          <w:marBottom w:val="0"/>
          <w:divBdr>
            <w:top w:val="none" w:sz="0" w:space="0" w:color="auto"/>
            <w:left w:val="none" w:sz="0" w:space="0" w:color="auto"/>
            <w:bottom w:val="none" w:sz="0" w:space="0" w:color="auto"/>
            <w:right w:val="none" w:sz="0" w:space="0" w:color="auto"/>
          </w:divBdr>
        </w:div>
        <w:div w:id="1695154568">
          <w:marLeft w:val="640"/>
          <w:marRight w:val="0"/>
          <w:marTop w:val="0"/>
          <w:marBottom w:val="0"/>
          <w:divBdr>
            <w:top w:val="none" w:sz="0" w:space="0" w:color="auto"/>
            <w:left w:val="none" w:sz="0" w:space="0" w:color="auto"/>
            <w:bottom w:val="none" w:sz="0" w:space="0" w:color="auto"/>
            <w:right w:val="none" w:sz="0" w:space="0" w:color="auto"/>
          </w:divBdr>
        </w:div>
        <w:div w:id="121382797">
          <w:marLeft w:val="640"/>
          <w:marRight w:val="0"/>
          <w:marTop w:val="0"/>
          <w:marBottom w:val="0"/>
          <w:divBdr>
            <w:top w:val="none" w:sz="0" w:space="0" w:color="auto"/>
            <w:left w:val="none" w:sz="0" w:space="0" w:color="auto"/>
            <w:bottom w:val="none" w:sz="0" w:space="0" w:color="auto"/>
            <w:right w:val="none" w:sz="0" w:space="0" w:color="auto"/>
          </w:divBdr>
        </w:div>
        <w:div w:id="1074160323">
          <w:marLeft w:val="640"/>
          <w:marRight w:val="0"/>
          <w:marTop w:val="0"/>
          <w:marBottom w:val="0"/>
          <w:divBdr>
            <w:top w:val="none" w:sz="0" w:space="0" w:color="auto"/>
            <w:left w:val="none" w:sz="0" w:space="0" w:color="auto"/>
            <w:bottom w:val="none" w:sz="0" w:space="0" w:color="auto"/>
            <w:right w:val="none" w:sz="0" w:space="0" w:color="auto"/>
          </w:divBdr>
        </w:div>
        <w:div w:id="404690616">
          <w:marLeft w:val="640"/>
          <w:marRight w:val="0"/>
          <w:marTop w:val="0"/>
          <w:marBottom w:val="0"/>
          <w:divBdr>
            <w:top w:val="none" w:sz="0" w:space="0" w:color="auto"/>
            <w:left w:val="none" w:sz="0" w:space="0" w:color="auto"/>
            <w:bottom w:val="none" w:sz="0" w:space="0" w:color="auto"/>
            <w:right w:val="none" w:sz="0" w:space="0" w:color="auto"/>
          </w:divBdr>
        </w:div>
        <w:div w:id="279261680">
          <w:marLeft w:val="640"/>
          <w:marRight w:val="0"/>
          <w:marTop w:val="0"/>
          <w:marBottom w:val="0"/>
          <w:divBdr>
            <w:top w:val="none" w:sz="0" w:space="0" w:color="auto"/>
            <w:left w:val="none" w:sz="0" w:space="0" w:color="auto"/>
            <w:bottom w:val="none" w:sz="0" w:space="0" w:color="auto"/>
            <w:right w:val="none" w:sz="0" w:space="0" w:color="auto"/>
          </w:divBdr>
        </w:div>
        <w:div w:id="342825737">
          <w:marLeft w:val="640"/>
          <w:marRight w:val="0"/>
          <w:marTop w:val="0"/>
          <w:marBottom w:val="0"/>
          <w:divBdr>
            <w:top w:val="none" w:sz="0" w:space="0" w:color="auto"/>
            <w:left w:val="none" w:sz="0" w:space="0" w:color="auto"/>
            <w:bottom w:val="none" w:sz="0" w:space="0" w:color="auto"/>
            <w:right w:val="none" w:sz="0" w:space="0" w:color="auto"/>
          </w:divBdr>
        </w:div>
        <w:div w:id="385495208">
          <w:marLeft w:val="640"/>
          <w:marRight w:val="0"/>
          <w:marTop w:val="0"/>
          <w:marBottom w:val="0"/>
          <w:divBdr>
            <w:top w:val="none" w:sz="0" w:space="0" w:color="auto"/>
            <w:left w:val="none" w:sz="0" w:space="0" w:color="auto"/>
            <w:bottom w:val="none" w:sz="0" w:space="0" w:color="auto"/>
            <w:right w:val="none" w:sz="0" w:space="0" w:color="auto"/>
          </w:divBdr>
        </w:div>
        <w:div w:id="576672342">
          <w:marLeft w:val="640"/>
          <w:marRight w:val="0"/>
          <w:marTop w:val="0"/>
          <w:marBottom w:val="0"/>
          <w:divBdr>
            <w:top w:val="none" w:sz="0" w:space="0" w:color="auto"/>
            <w:left w:val="none" w:sz="0" w:space="0" w:color="auto"/>
            <w:bottom w:val="none" w:sz="0" w:space="0" w:color="auto"/>
            <w:right w:val="none" w:sz="0" w:space="0" w:color="auto"/>
          </w:divBdr>
        </w:div>
        <w:div w:id="441999027">
          <w:marLeft w:val="640"/>
          <w:marRight w:val="0"/>
          <w:marTop w:val="0"/>
          <w:marBottom w:val="0"/>
          <w:divBdr>
            <w:top w:val="none" w:sz="0" w:space="0" w:color="auto"/>
            <w:left w:val="none" w:sz="0" w:space="0" w:color="auto"/>
            <w:bottom w:val="none" w:sz="0" w:space="0" w:color="auto"/>
            <w:right w:val="none" w:sz="0" w:space="0" w:color="auto"/>
          </w:divBdr>
        </w:div>
        <w:div w:id="2131894990">
          <w:marLeft w:val="640"/>
          <w:marRight w:val="0"/>
          <w:marTop w:val="0"/>
          <w:marBottom w:val="0"/>
          <w:divBdr>
            <w:top w:val="none" w:sz="0" w:space="0" w:color="auto"/>
            <w:left w:val="none" w:sz="0" w:space="0" w:color="auto"/>
            <w:bottom w:val="none" w:sz="0" w:space="0" w:color="auto"/>
            <w:right w:val="none" w:sz="0" w:space="0" w:color="auto"/>
          </w:divBdr>
        </w:div>
        <w:div w:id="1369261936">
          <w:marLeft w:val="640"/>
          <w:marRight w:val="0"/>
          <w:marTop w:val="0"/>
          <w:marBottom w:val="0"/>
          <w:divBdr>
            <w:top w:val="none" w:sz="0" w:space="0" w:color="auto"/>
            <w:left w:val="none" w:sz="0" w:space="0" w:color="auto"/>
            <w:bottom w:val="none" w:sz="0" w:space="0" w:color="auto"/>
            <w:right w:val="none" w:sz="0" w:space="0" w:color="auto"/>
          </w:divBdr>
        </w:div>
        <w:div w:id="422993743">
          <w:marLeft w:val="640"/>
          <w:marRight w:val="0"/>
          <w:marTop w:val="0"/>
          <w:marBottom w:val="0"/>
          <w:divBdr>
            <w:top w:val="none" w:sz="0" w:space="0" w:color="auto"/>
            <w:left w:val="none" w:sz="0" w:space="0" w:color="auto"/>
            <w:bottom w:val="none" w:sz="0" w:space="0" w:color="auto"/>
            <w:right w:val="none" w:sz="0" w:space="0" w:color="auto"/>
          </w:divBdr>
        </w:div>
        <w:div w:id="962659102">
          <w:marLeft w:val="640"/>
          <w:marRight w:val="0"/>
          <w:marTop w:val="0"/>
          <w:marBottom w:val="0"/>
          <w:divBdr>
            <w:top w:val="none" w:sz="0" w:space="0" w:color="auto"/>
            <w:left w:val="none" w:sz="0" w:space="0" w:color="auto"/>
            <w:bottom w:val="none" w:sz="0" w:space="0" w:color="auto"/>
            <w:right w:val="none" w:sz="0" w:space="0" w:color="auto"/>
          </w:divBdr>
        </w:div>
        <w:div w:id="555119272">
          <w:marLeft w:val="640"/>
          <w:marRight w:val="0"/>
          <w:marTop w:val="0"/>
          <w:marBottom w:val="0"/>
          <w:divBdr>
            <w:top w:val="none" w:sz="0" w:space="0" w:color="auto"/>
            <w:left w:val="none" w:sz="0" w:space="0" w:color="auto"/>
            <w:bottom w:val="none" w:sz="0" w:space="0" w:color="auto"/>
            <w:right w:val="none" w:sz="0" w:space="0" w:color="auto"/>
          </w:divBdr>
        </w:div>
        <w:div w:id="1810782308">
          <w:marLeft w:val="640"/>
          <w:marRight w:val="0"/>
          <w:marTop w:val="0"/>
          <w:marBottom w:val="0"/>
          <w:divBdr>
            <w:top w:val="none" w:sz="0" w:space="0" w:color="auto"/>
            <w:left w:val="none" w:sz="0" w:space="0" w:color="auto"/>
            <w:bottom w:val="none" w:sz="0" w:space="0" w:color="auto"/>
            <w:right w:val="none" w:sz="0" w:space="0" w:color="auto"/>
          </w:divBdr>
        </w:div>
        <w:div w:id="1745031791">
          <w:marLeft w:val="640"/>
          <w:marRight w:val="0"/>
          <w:marTop w:val="0"/>
          <w:marBottom w:val="0"/>
          <w:divBdr>
            <w:top w:val="none" w:sz="0" w:space="0" w:color="auto"/>
            <w:left w:val="none" w:sz="0" w:space="0" w:color="auto"/>
            <w:bottom w:val="none" w:sz="0" w:space="0" w:color="auto"/>
            <w:right w:val="none" w:sz="0" w:space="0" w:color="auto"/>
          </w:divBdr>
        </w:div>
        <w:div w:id="1187475606">
          <w:marLeft w:val="640"/>
          <w:marRight w:val="0"/>
          <w:marTop w:val="0"/>
          <w:marBottom w:val="0"/>
          <w:divBdr>
            <w:top w:val="none" w:sz="0" w:space="0" w:color="auto"/>
            <w:left w:val="none" w:sz="0" w:space="0" w:color="auto"/>
            <w:bottom w:val="none" w:sz="0" w:space="0" w:color="auto"/>
            <w:right w:val="none" w:sz="0" w:space="0" w:color="auto"/>
          </w:divBdr>
        </w:div>
        <w:div w:id="1693916262">
          <w:marLeft w:val="640"/>
          <w:marRight w:val="0"/>
          <w:marTop w:val="0"/>
          <w:marBottom w:val="0"/>
          <w:divBdr>
            <w:top w:val="none" w:sz="0" w:space="0" w:color="auto"/>
            <w:left w:val="none" w:sz="0" w:space="0" w:color="auto"/>
            <w:bottom w:val="none" w:sz="0" w:space="0" w:color="auto"/>
            <w:right w:val="none" w:sz="0" w:space="0" w:color="auto"/>
          </w:divBdr>
        </w:div>
        <w:div w:id="1217429349">
          <w:marLeft w:val="640"/>
          <w:marRight w:val="0"/>
          <w:marTop w:val="0"/>
          <w:marBottom w:val="0"/>
          <w:divBdr>
            <w:top w:val="none" w:sz="0" w:space="0" w:color="auto"/>
            <w:left w:val="none" w:sz="0" w:space="0" w:color="auto"/>
            <w:bottom w:val="none" w:sz="0" w:space="0" w:color="auto"/>
            <w:right w:val="none" w:sz="0" w:space="0" w:color="auto"/>
          </w:divBdr>
        </w:div>
        <w:div w:id="1585259691">
          <w:marLeft w:val="640"/>
          <w:marRight w:val="0"/>
          <w:marTop w:val="0"/>
          <w:marBottom w:val="0"/>
          <w:divBdr>
            <w:top w:val="none" w:sz="0" w:space="0" w:color="auto"/>
            <w:left w:val="none" w:sz="0" w:space="0" w:color="auto"/>
            <w:bottom w:val="none" w:sz="0" w:space="0" w:color="auto"/>
            <w:right w:val="none" w:sz="0" w:space="0" w:color="auto"/>
          </w:divBdr>
        </w:div>
        <w:div w:id="1455563247">
          <w:marLeft w:val="640"/>
          <w:marRight w:val="0"/>
          <w:marTop w:val="0"/>
          <w:marBottom w:val="0"/>
          <w:divBdr>
            <w:top w:val="none" w:sz="0" w:space="0" w:color="auto"/>
            <w:left w:val="none" w:sz="0" w:space="0" w:color="auto"/>
            <w:bottom w:val="none" w:sz="0" w:space="0" w:color="auto"/>
            <w:right w:val="none" w:sz="0" w:space="0" w:color="auto"/>
          </w:divBdr>
        </w:div>
        <w:div w:id="240942877">
          <w:marLeft w:val="640"/>
          <w:marRight w:val="0"/>
          <w:marTop w:val="0"/>
          <w:marBottom w:val="0"/>
          <w:divBdr>
            <w:top w:val="none" w:sz="0" w:space="0" w:color="auto"/>
            <w:left w:val="none" w:sz="0" w:space="0" w:color="auto"/>
            <w:bottom w:val="none" w:sz="0" w:space="0" w:color="auto"/>
            <w:right w:val="none" w:sz="0" w:space="0" w:color="auto"/>
          </w:divBdr>
        </w:div>
        <w:div w:id="1734162045">
          <w:marLeft w:val="640"/>
          <w:marRight w:val="0"/>
          <w:marTop w:val="0"/>
          <w:marBottom w:val="0"/>
          <w:divBdr>
            <w:top w:val="none" w:sz="0" w:space="0" w:color="auto"/>
            <w:left w:val="none" w:sz="0" w:space="0" w:color="auto"/>
            <w:bottom w:val="none" w:sz="0" w:space="0" w:color="auto"/>
            <w:right w:val="none" w:sz="0" w:space="0" w:color="auto"/>
          </w:divBdr>
        </w:div>
        <w:div w:id="369644902">
          <w:marLeft w:val="640"/>
          <w:marRight w:val="0"/>
          <w:marTop w:val="0"/>
          <w:marBottom w:val="0"/>
          <w:divBdr>
            <w:top w:val="none" w:sz="0" w:space="0" w:color="auto"/>
            <w:left w:val="none" w:sz="0" w:space="0" w:color="auto"/>
            <w:bottom w:val="none" w:sz="0" w:space="0" w:color="auto"/>
            <w:right w:val="none" w:sz="0" w:space="0" w:color="auto"/>
          </w:divBdr>
        </w:div>
        <w:div w:id="1871215505">
          <w:marLeft w:val="640"/>
          <w:marRight w:val="0"/>
          <w:marTop w:val="0"/>
          <w:marBottom w:val="0"/>
          <w:divBdr>
            <w:top w:val="none" w:sz="0" w:space="0" w:color="auto"/>
            <w:left w:val="none" w:sz="0" w:space="0" w:color="auto"/>
            <w:bottom w:val="none" w:sz="0" w:space="0" w:color="auto"/>
            <w:right w:val="none" w:sz="0" w:space="0" w:color="auto"/>
          </w:divBdr>
        </w:div>
        <w:div w:id="1594314633">
          <w:marLeft w:val="640"/>
          <w:marRight w:val="0"/>
          <w:marTop w:val="0"/>
          <w:marBottom w:val="0"/>
          <w:divBdr>
            <w:top w:val="none" w:sz="0" w:space="0" w:color="auto"/>
            <w:left w:val="none" w:sz="0" w:space="0" w:color="auto"/>
            <w:bottom w:val="none" w:sz="0" w:space="0" w:color="auto"/>
            <w:right w:val="none" w:sz="0" w:space="0" w:color="auto"/>
          </w:divBdr>
        </w:div>
        <w:div w:id="1790856485">
          <w:marLeft w:val="640"/>
          <w:marRight w:val="0"/>
          <w:marTop w:val="0"/>
          <w:marBottom w:val="0"/>
          <w:divBdr>
            <w:top w:val="none" w:sz="0" w:space="0" w:color="auto"/>
            <w:left w:val="none" w:sz="0" w:space="0" w:color="auto"/>
            <w:bottom w:val="none" w:sz="0" w:space="0" w:color="auto"/>
            <w:right w:val="none" w:sz="0" w:space="0" w:color="auto"/>
          </w:divBdr>
        </w:div>
        <w:div w:id="28142557">
          <w:marLeft w:val="640"/>
          <w:marRight w:val="0"/>
          <w:marTop w:val="0"/>
          <w:marBottom w:val="0"/>
          <w:divBdr>
            <w:top w:val="none" w:sz="0" w:space="0" w:color="auto"/>
            <w:left w:val="none" w:sz="0" w:space="0" w:color="auto"/>
            <w:bottom w:val="none" w:sz="0" w:space="0" w:color="auto"/>
            <w:right w:val="none" w:sz="0" w:space="0" w:color="auto"/>
          </w:divBdr>
        </w:div>
        <w:div w:id="564338816">
          <w:marLeft w:val="640"/>
          <w:marRight w:val="0"/>
          <w:marTop w:val="0"/>
          <w:marBottom w:val="0"/>
          <w:divBdr>
            <w:top w:val="none" w:sz="0" w:space="0" w:color="auto"/>
            <w:left w:val="none" w:sz="0" w:space="0" w:color="auto"/>
            <w:bottom w:val="none" w:sz="0" w:space="0" w:color="auto"/>
            <w:right w:val="none" w:sz="0" w:space="0" w:color="auto"/>
          </w:divBdr>
        </w:div>
        <w:div w:id="135804088">
          <w:marLeft w:val="640"/>
          <w:marRight w:val="0"/>
          <w:marTop w:val="0"/>
          <w:marBottom w:val="0"/>
          <w:divBdr>
            <w:top w:val="none" w:sz="0" w:space="0" w:color="auto"/>
            <w:left w:val="none" w:sz="0" w:space="0" w:color="auto"/>
            <w:bottom w:val="none" w:sz="0" w:space="0" w:color="auto"/>
            <w:right w:val="none" w:sz="0" w:space="0" w:color="auto"/>
          </w:divBdr>
        </w:div>
        <w:div w:id="1958021495">
          <w:marLeft w:val="640"/>
          <w:marRight w:val="0"/>
          <w:marTop w:val="0"/>
          <w:marBottom w:val="0"/>
          <w:divBdr>
            <w:top w:val="none" w:sz="0" w:space="0" w:color="auto"/>
            <w:left w:val="none" w:sz="0" w:space="0" w:color="auto"/>
            <w:bottom w:val="none" w:sz="0" w:space="0" w:color="auto"/>
            <w:right w:val="none" w:sz="0" w:space="0" w:color="auto"/>
          </w:divBdr>
        </w:div>
        <w:div w:id="537857546">
          <w:marLeft w:val="640"/>
          <w:marRight w:val="0"/>
          <w:marTop w:val="0"/>
          <w:marBottom w:val="0"/>
          <w:divBdr>
            <w:top w:val="none" w:sz="0" w:space="0" w:color="auto"/>
            <w:left w:val="none" w:sz="0" w:space="0" w:color="auto"/>
            <w:bottom w:val="none" w:sz="0" w:space="0" w:color="auto"/>
            <w:right w:val="none" w:sz="0" w:space="0" w:color="auto"/>
          </w:divBdr>
        </w:div>
        <w:div w:id="351104860">
          <w:marLeft w:val="640"/>
          <w:marRight w:val="0"/>
          <w:marTop w:val="0"/>
          <w:marBottom w:val="0"/>
          <w:divBdr>
            <w:top w:val="none" w:sz="0" w:space="0" w:color="auto"/>
            <w:left w:val="none" w:sz="0" w:space="0" w:color="auto"/>
            <w:bottom w:val="none" w:sz="0" w:space="0" w:color="auto"/>
            <w:right w:val="none" w:sz="0" w:space="0" w:color="auto"/>
          </w:divBdr>
        </w:div>
        <w:div w:id="200630780">
          <w:marLeft w:val="640"/>
          <w:marRight w:val="0"/>
          <w:marTop w:val="0"/>
          <w:marBottom w:val="0"/>
          <w:divBdr>
            <w:top w:val="none" w:sz="0" w:space="0" w:color="auto"/>
            <w:left w:val="none" w:sz="0" w:space="0" w:color="auto"/>
            <w:bottom w:val="none" w:sz="0" w:space="0" w:color="auto"/>
            <w:right w:val="none" w:sz="0" w:space="0" w:color="auto"/>
          </w:divBdr>
        </w:div>
        <w:div w:id="1556161673">
          <w:marLeft w:val="640"/>
          <w:marRight w:val="0"/>
          <w:marTop w:val="0"/>
          <w:marBottom w:val="0"/>
          <w:divBdr>
            <w:top w:val="none" w:sz="0" w:space="0" w:color="auto"/>
            <w:left w:val="none" w:sz="0" w:space="0" w:color="auto"/>
            <w:bottom w:val="none" w:sz="0" w:space="0" w:color="auto"/>
            <w:right w:val="none" w:sz="0" w:space="0" w:color="auto"/>
          </w:divBdr>
        </w:div>
        <w:div w:id="1660425183">
          <w:marLeft w:val="640"/>
          <w:marRight w:val="0"/>
          <w:marTop w:val="0"/>
          <w:marBottom w:val="0"/>
          <w:divBdr>
            <w:top w:val="none" w:sz="0" w:space="0" w:color="auto"/>
            <w:left w:val="none" w:sz="0" w:space="0" w:color="auto"/>
            <w:bottom w:val="none" w:sz="0" w:space="0" w:color="auto"/>
            <w:right w:val="none" w:sz="0" w:space="0" w:color="auto"/>
          </w:divBdr>
        </w:div>
        <w:div w:id="631251160">
          <w:marLeft w:val="640"/>
          <w:marRight w:val="0"/>
          <w:marTop w:val="0"/>
          <w:marBottom w:val="0"/>
          <w:divBdr>
            <w:top w:val="none" w:sz="0" w:space="0" w:color="auto"/>
            <w:left w:val="none" w:sz="0" w:space="0" w:color="auto"/>
            <w:bottom w:val="none" w:sz="0" w:space="0" w:color="auto"/>
            <w:right w:val="none" w:sz="0" w:space="0" w:color="auto"/>
          </w:divBdr>
        </w:div>
        <w:div w:id="872814517">
          <w:marLeft w:val="640"/>
          <w:marRight w:val="0"/>
          <w:marTop w:val="0"/>
          <w:marBottom w:val="0"/>
          <w:divBdr>
            <w:top w:val="none" w:sz="0" w:space="0" w:color="auto"/>
            <w:left w:val="none" w:sz="0" w:space="0" w:color="auto"/>
            <w:bottom w:val="none" w:sz="0" w:space="0" w:color="auto"/>
            <w:right w:val="none" w:sz="0" w:space="0" w:color="auto"/>
          </w:divBdr>
        </w:div>
        <w:div w:id="99447784">
          <w:marLeft w:val="640"/>
          <w:marRight w:val="0"/>
          <w:marTop w:val="0"/>
          <w:marBottom w:val="0"/>
          <w:divBdr>
            <w:top w:val="none" w:sz="0" w:space="0" w:color="auto"/>
            <w:left w:val="none" w:sz="0" w:space="0" w:color="auto"/>
            <w:bottom w:val="none" w:sz="0" w:space="0" w:color="auto"/>
            <w:right w:val="none" w:sz="0" w:space="0" w:color="auto"/>
          </w:divBdr>
        </w:div>
        <w:div w:id="1122385222">
          <w:marLeft w:val="640"/>
          <w:marRight w:val="0"/>
          <w:marTop w:val="0"/>
          <w:marBottom w:val="0"/>
          <w:divBdr>
            <w:top w:val="none" w:sz="0" w:space="0" w:color="auto"/>
            <w:left w:val="none" w:sz="0" w:space="0" w:color="auto"/>
            <w:bottom w:val="none" w:sz="0" w:space="0" w:color="auto"/>
            <w:right w:val="none" w:sz="0" w:space="0" w:color="auto"/>
          </w:divBdr>
        </w:div>
        <w:div w:id="11223513">
          <w:marLeft w:val="640"/>
          <w:marRight w:val="0"/>
          <w:marTop w:val="0"/>
          <w:marBottom w:val="0"/>
          <w:divBdr>
            <w:top w:val="none" w:sz="0" w:space="0" w:color="auto"/>
            <w:left w:val="none" w:sz="0" w:space="0" w:color="auto"/>
            <w:bottom w:val="none" w:sz="0" w:space="0" w:color="auto"/>
            <w:right w:val="none" w:sz="0" w:space="0" w:color="auto"/>
          </w:divBdr>
        </w:div>
        <w:div w:id="2013336274">
          <w:marLeft w:val="640"/>
          <w:marRight w:val="0"/>
          <w:marTop w:val="0"/>
          <w:marBottom w:val="0"/>
          <w:divBdr>
            <w:top w:val="none" w:sz="0" w:space="0" w:color="auto"/>
            <w:left w:val="none" w:sz="0" w:space="0" w:color="auto"/>
            <w:bottom w:val="none" w:sz="0" w:space="0" w:color="auto"/>
            <w:right w:val="none" w:sz="0" w:space="0" w:color="auto"/>
          </w:divBdr>
        </w:div>
        <w:div w:id="272177105">
          <w:marLeft w:val="640"/>
          <w:marRight w:val="0"/>
          <w:marTop w:val="0"/>
          <w:marBottom w:val="0"/>
          <w:divBdr>
            <w:top w:val="none" w:sz="0" w:space="0" w:color="auto"/>
            <w:left w:val="none" w:sz="0" w:space="0" w:color="auto"/>
            <w:bottom w:val="none" w:sz="0" w:space="0" w:color="auto"/>
            <w:right w:val="none" w:sz="0" w:space="0" w:color="auto"/>
          </w:divBdr>
        </w:div>
        <w:div w:id="1690180546">
          <w:marLeft w:val="640"/>
          <w:marRight w:val="0"/>
          <w:marTop w:val="0"/>
          <w:marBottom w:val="0"/>
          <w:divBdr>
            <w:top w:val="none" w:sz="0" w:space="0" w:color="auto"/>
            <w:left w:val="none" w:sz="0" w:space="0" w:color="auto"/>
            <w:bottom w:val="none" w:sz="0" w:space="0" w:color="auto"/>
            <w:right w:val="none" w:sz="0" w:space="0" w:color="auto"/>
          </w:divBdr>
        </w:div>
        <w:div w:id="621812963">
          <w:marLeft w:val="640"/>
          <w:marRight w:val="0"/>
          <w:marTop w:val="0"/>
          <w:marBottom w:val="0"/>
          <w:divBdr>
            <w:top w:val="none" w:sz="0" w:space="0" w:color="auto"/>
            <w:left w:val="none" w:sz="0" w:space="0" w:color="auto"/>
            <w:bottom w:val="none" w:sz="0" w:space="0" w:color="auto"/>
            <w:right w:val="none" w:sz="0" w:space="0" w:color="auto"/>
          </w:divBdr>
        </w:div>
        <w:div w:id="1783763713">
          <w:marLeft w:val="640"/>
          <w:marRight w:val="0"/>
          <w:marTop w:val="0"/>
          <w:marBottom w:val="0"/>
          <w:divBdr>
            <w:top w:val="none" w:sz="0" w:space="0" w:color="auto"/>
            <w:left w:val="none" w:sz="0" w:space="0" w:color="auto"/>
            <w:bottom w:val="none" w:sz="0" w:space="0" w:color="auto"/>
            <w:right w:val="none" w:sz="0" w:space="0" w:color="auto"/>
          </w:divBdr>
        </w:div>
        <w:div w:id="742022139">
          <w:marLeft w:val="640"/>
          <w:marRight w:val="0"/>
          <w:marTop w:val="0"/>
          <w:marBottom w:val="0"/>
          <w:divBdr>
            <w:top w:val="none" w:sz="0" w:space="0" w:color="auto"/>
            <w:left w:val="none" w:sz="0" w:space="0" w:color="auto"/>
            <w:bottom w:val="none" w:sz="0" w:space="0" w:color="auto"/>
            <w:right w:val="none" w:sz="0" w:space="0" w:color="auto"/>
          </w:divBdr>
        </w:div>
        <w:div w:id="80151528">
          <w:marLeft w:val="640"/>
          <w:marRight w:val="0"/>
          <w:marTop w:val="0"/>
          <w:marBottom w:val="0"/>
          <w:divBdr>
            <w:top w:val="none" w:sz="0" w:space="0" w:color="auto"/>
            <w:left w:val="none" w:sz="0" w:space="0" w:color="auto"/>
            <w:bottom w:val="none" w:sz="0" w:space="0" w:color="auto"/>
            <w:right w:val="none" w:sz="0" w:space="0" w:color="auto"/>
          </w:divBdr>
        </w:div>
        <w:div w:id="2114862555">
          <w:marLeft w:val="640"/>
          <w:marRight w:val="0"/>
          <w:marTop w:val="0"/>
          <w:marBottom w:val="0"/>
          <w:divBdr>
            <w:top w:val="none" w:sz="0" w:space="0" w:color="auto"/>
            <w:left w:val="none" w:sz="0" w:space="0" w:color="auto"/>
            <w:bottom w:val="none" w:sz="0" w:space="0" w:color="auto"/>
            <w:right w:val="none" w:sz="0" w:space="0" w:color="auto"/>
          </w:divBdr>
        </w:div>
        <w:div w:id="1191646394">
          <w:marLeft w:val="640"/>
          <w:marRight w:val="0"/>
          <w:marTop w:val="0"/>
          <w:marBottom w:val="0"/>
          <w:divBdr>
            <w:top w:val="none" w:sz="0" w:space="0" w:color="auto"/>
            <w:left w:val="none" w:sz="0" w:space="0" w:color="auto"/>
            <w:bottom w:val="none" w:sz="0" w:space="0" w:color="auto"/>
            <w:right w:val="none" w:sz="0" w:space="0" w:color="auto"/>
          </w:divBdr>
        </w:div>
        <w:div w:id="1581602601">
          <w:marLeft w:val="640"/>
          <w:marRight w:val="0"/>
          <w:marTop w:val="0"/>
          <w:marBottom w:val="0"/>
          <w:divBdr>
            <w:top w:val="none" w:sz="0" w:space="0" w:color="auto"/>
            <w:left w:val="none" w:sz="0" w:space="0" w:color="auto"/>
            <w:bottom w:val="none" w:sz="0" w:space="0" w:color="auto"/>
            <w:right w:val="none" w:sz="0" w:space="0" w:color="auto"/>
          </w:divBdr>
        </w:div>
        <w:div w:id="1947299766">
          <w:marLeft w:val="640"/>
          <w:marRight w:val="0"/>
          <w:marTop w:val="0"/>
          <w:marBottom w:val="0"/>
          <w:divBdr>
            <w:top w:val="none" w:sz="0" w:space="0" w:color="auto"/>
            <w:left w:val="none" w:sz="0" w:space="0" w:color="auto"/>
            <w:bottom w:val="none" w:sz="0" w:space="0" w:color="auto"/>
            <w:right w:val="none" w:sz="0" w:space="0" w:color="auto"/>
          </w:divBdr>
        </w:div>
        <w:div w:id="406878140">
          <w:marLeft w:val="640"/>
          <w:marRight w:val="0"/>
          <w:marTop w:val="0"/>
          <w:marBottom w:val="0"/>
          <w:divBdr>
            <w:top w:val="none" w:sz="0" w:space="0" w:color="auto"/>
            <w:left w:val="none" w:sz="0" w:space="0" w:color="auto"/>
            <w:bottom w:val="none" w:sz="0" w:space="0" w:color="auto"/>
            <w:right w:val="none" w:sz="0" w:space="0" w:color="auto"/>
          </w:divBdr>
        </w:div>
        <w:div w:id="375008089">
          <w:marLeft w:val="640"/>
          <w:marRight w:val="0"/>
          <w:marTop w:val="0"/>
          <w:marBottom w:val="0"/>
          <w:divBdr>
            <w:top w:val="none" w:sz="0" w:space="0" w:color="auto"/>
            <w:left w:val="none" w:sz="0" w:space="0" w:color="auto"/>
            <w:bottom w:val="none" w:sz="0" w:space="0" w:color="auto"/>
            <w:right w:val="none" w:sz="0" w:space="0" w:color="auto"/>
          </w:divBdr>
        </w:div>
        <w:div w:id="204564668">
          <w:marLeft w:val="640"/>
          <w:marRight w:val="0"/>
          <w:marTop w:val="0"/>
          <w:marBottom w:val="0"/>
          <w:divBdr>
            <w:top w:val="none" w:sz="0" w:space="0" w:color="auto"/>
            <w:left w:val="none" w:sz="0" w:space="0" w:color="auto"/>
            <w:bottom w:val="none" w:sz="0" w:space="0" w:color="auto"/>
            <w:right w:val="none" w:sz="0" w:space="0" w:color="auto"/>
          </w:divBdr>
        </w:div>
        <w:div w:id="1393458752">
          <w:marLeft w:val="640"/>
          <w:marRight w:val="0"/>
          <w:marTop w:val="0"/>
          <w:marBottom w:val="0"/>
          <w:divBdr>
            <w:top w:val="none" w:sz="0" w:space="0" w:color="auto"/>
            <w:left w:val="none" w:sz="0" w:space="0" w:color="auto"/>
            <w:bottom w:val="none" w:sz="0" w:space="0" w:color="auto"/>
            <w:right w:val="none" w:sz="0" w:space="0" w:color="auto"/>
          </w:divBdr>
        </w:div>
        <w:div w:id="1759985880">
          <w:marLeft w:val="640"/>
          <w:marRight w:val="0"/>
          <w:marTop w:val="0"/>
          <w:marBottom w:val="0"/>
          <w:divBdr>
            <w:top w:val="none" w:sz="0" w:space="0" w:color="auto"/>
            <w:left w:val="none" w:sz="0" w:space="0" w:color="auto"/>
            <w:bottom w:val="none" w:sz="0" w:space="0" w:color="auto"/>
            <w:right w:val="none" w:sz="0" w:space="0" w:color="auto"/>
          </w:divBdr>
        </w:div>
        <w:div w:id="847862835">
          <w:marLeft w:val="640"/>
          <w:marRight w:val="0"/>
          <w:marTop w:val="0"/>
          <w:marBottom w:val="0"/>
          <w:divBdr>
            <w:top w:val="none" w:sz="0" w:space="0" w:color="auto"/>
            <w:left w:val="none" w:sz="0" w:space="0" w:color="auto"/>
            <w:bottom w:val="none" w:sz="0" w:space="0" w:color="auto"/>
            <w:right w:val="none" w:sz="0" w:space="0" w:color="auto"/>
          </w:divBdr>
        </w:div>
        <w:div w:id="552814555">
          <w:marLeft w:val="640"/>
          <w:marRight w:val="0"/>
          <w:marTop w:val="0"/>
          <w:marBottom w:val="0"/>
          <w:divBdr>
            <w:top w:val="none" w:sz="0" w:space="0" w:color="auto"/>
            <w:left w:val="none" w:sz="0" w:space="0" w:color="auto"/>
            <w:bottom w:val="none" w:sz="0" w:space="0" w:color="auto"/>
            <w:right w:val="none" w:sz="0" w:space="0" w:color="auto"/>
          </w:divBdr>
        </w:div>
        <w:div w:id="963269845">
          <w:marLeft w:val="640"/>
          <w:marRight w:val="0"/>
          <w:marTop w:val="0"/>
          <w:marBottom w:val="0"/>
          <w:divBdr>
            <w:top w:val="none" w:sz="0" w:space="0" w:color="auto"/>
            <w:left w:val="none" w:sz="0" w:space="0" w:color="auto"/>
            <w:bottom w:val="none" w:sz="0" w:space="0" w:color="auto"/>
            <w:right w:val="none" w:sz="0" w:space="0" w:color="auto"/>
          </w:divBdr>
        </w:div>
        <w:div w:id="122312622">
          <w:marLeft w:val="640"/>
          <w:marRight w:val="0"/>
          <w:marTop w:val="0"/>
          <w:marBottom w:val="0"/>
          <w:divBdr>
            <w:top w:val="none" w:sz="0" w:space="0" w:color="auto"/>
            <w:left w:val="none" w:sz="0" w:space="0" w:color="auto"/>
            <w:bottom w:val="none" w:sz="0" w:space="0" w:color="auto"/>
            <w:right w:val="none" w:sz="0" w:space="0" w:color="auto"/>
          </w:divBdr>
        </w:div>
        <w:div w:id="250508211">
          <w:marLeft w:val="640"/>
          <w:marRight w:val="0"/>
          <w:marTop w:val="0"/>
          <w:marBottom w:val="0"/>
          <w:divBdr>
            <w:top w:val="none" w:sz="0" w:space="0" w:color="auto"/>
            <w:left w:val="none" w:sz="0" w:space="0" w:color="auto"/>
            <w:bottom w:val="none" w:sz="0" w:space="0" w:color="auto"/>
            <w:right w:val="none" w:sz="0" w:space="0" w:color="auto"/>
          </w:divBdr>
        </w:div>
        <w:div w:id="717782331">
          <w:marLeft w:val="640"/>
          <w:marRight w:val="0"/>
          <w:marTop w:val="0"/>
          <w:marBottom w:val="0"/>
          <w:divBdr>
            <w:top w:val="none" w:sz="0" w:space="0" w:color="auto"/>
            <w:left w:val="none" w:sz="0" w:space="0" w:color="auto"/>
            <w:bottom w:val="none" w:sz="0" w:space="0" w:color="auto"/>
            <w:right w:val="none" w:sz="0" w:space="0" w:color="auto"/>
          </w:divBdr>
        </w:div>
        <w:div w:id="182746703">
          <w:marLeft w:val="640"/>
          <w:marRight w:val="0"/>
          <w:marTop w:val="0"/>
          <w:marBottom w:val="0"/>
          <w:divBdr>
            <w:top w:val="none" w:sz="0" w:space="0" w:color="auto"/>
            <w:left w:val="none" w:sz="0" w:space="0" w:color="auto"/>
            <w:bottom w:val="none" w:sz="0" w:space="0" w:color="auto"/>
            <w:right w:val="none" w:sz="0" w:space="0" w:color="auto"/>
          </w:divBdr>
        </w:div>
        <w:div w:id="1641036675">
          <w:marLeft w:val="640"/>
          <w:marRight w:val="0"/>
          <w:marTop w:val="0"/>
          <w:marBottom w:val="0"/>
          <w:divBdr>
            <w:top w:val="none" w:sz="0" w:space="0" w:color="auto"/>
            <w:left w:val="none" w:sz="0" w:space="0" w:color="auto"/>
            <w:bottom w:val="none" w:sz="0" w:space="0" w:color="auto"/>
            <w:right w:val="none" w:sz="0" w:space="0" w:color="auto"/>
          </w:divBdr>
        </w:div>
        <w:div w:id="2103181701">
          <w:marLeft w:val="640"/>
          <w:marRight w:val="0"/>
          <w:marTop w:val="0"/>
          <w:marBottom w:val="0"/>
          <w:divBdr>
            <w:top w:val="none" w:sz="0" w:space="0" w:color="auto"/>
            <w:left w:val="none" w:sz="0" w:space="0" w:color="auto"/>
            <w:bottom w:val="none" w:sz="0" w:space="0" w:color="auto"/>
            <w:right w:val="none" w:sz="0" w:space="0" w:color="auto"/>
          </w:divBdr>
        </w:div>
        <w:div w:id="1542746672">
          <w:marLeft w:val="640"/>
          <w:marRight w:val="0"/>
          <w:marTop w:val="0"/>
          <w:marBottom w:val="0"/>
          <w:divBdr>
            <w:top w:val="none" w:sz="0" w:space="0" w:color="auto"/>
            <w:left w:val="none" w:sz="0" w:space="0" w:color="auto"/>
            <w:bottom w:val="none" w:sz="0" w:space="0" w:color="auto"/>
            <w:right w:val="none" w:sz="0" w:space="0" w:color="auto"/>
          </w:divBdr>
        </w:div>
        <w:div w:id="1421608942">
          <w:marLeft w:val="640"/>
          <w:marRight w:val="0"/>
          <w:marTop w:val="0"/>
          <w:marBottom w:val="0"/>
          <w:divBdr>
            <w:top w:val="none" w:sz="0" w:space="0" w:color="auto"/>
            <w:left w:val="none" w:sz="0" w:space="0" w:color="auto"/>
            <w:bottom w:val="none" w:sz="0" w:space="0" w:color="auto"/>
            <w:right w:val="none" w:sz="0" w:space="0" w:color="auto"/>
          </w:divBdr>
        </w:div>
        <w:div w:id="1678465139">
          <w:marLeft w:val="640"/>
          <w:marRight w:val="0"/>
          <w:marTop w:val="0"/>
          <w:marBottom w:val="0"/>
          <w:divBdr>
            <w:top w:val="none" w:sz="0" w:space="0" w:color="auto"/>
            <w:left w:val="none" w:sz="0" w:space="0" w:color="auto"/>
            <w:bottom w:val="none" w:sz="0" w:space="0" w:color="auto"/>
            <w:right w:val="none" w:sz="0" w:space="0" w:color="auto"/>
          </w:divBdr>
        </w:div>
        <w:div w:id="17856091">
          <w:marLeft w:val="640"/>
          <w:marRight w:val="0"/>
          <w:marTop w:val="0"/>
          <w:marBottom w:val="0"/>
          <w:divBdr>
            <w:top w:val="none" w:sz="0" w:space="0" w:color="auto"/>
            <w:left w:val="none" w:sz="0" w:space="0" w:color="auto"/>
            <w:bottom w:val="none" w:sz="0" w:space="0" w:color="auto"/>
            <w:right w:val="none" w:sz="0" w:space="0" w:color="auto"/>
          </w:divBdr>
        </w:div>
        <w:div w:id="1920627048">
          <w:marLeft w:val="640"/>
          <w:marRight w:val="0"/>
          <w:marTop w:val="0"/>
          <w:marBottom w:val="0"/>
          <w:divBdr>
            <w:top w:val="none" w:sz="0" w:space="0" w:color="auto"/>
            <w:left w:val="none" w:sz="0" w:space="0" w:color="auto"/>
            <w:bottom w:val="none" w:sz="0" w:space="0" w:color="auto"/>
            <w:right w:val="none" w:sz="0" w:space="0" w:color="auto"/>
          </w:divBdr>
        </w:div>
        <w:div w:id="1401556285">
          <w:marLeft w:val="640"/>
          <w:marRight w:val="0"/>
          <w:marTop w:val="0"/>
          <w:marBottom w:val="0"/>
          <w:divBdr>
            <w:top w:val="none" w:sz="0" w:space="0" w:color="auto"/>
            <w:left w:val="none" w:sz="0" w:space="0" w:color="auto"/>
            <w:bottom w:val="none" w:sz="0" w:space="0" w:color="auto"/>
            <w:right w:val="none" w:sz="0" w:space="0" w:color="auto"/>
          </w:divBdr>
        </w:div>
        <w:div w:id="1703702306">
          <w:marLeft w:val="640"/>
          <w:marRight w:val="0"/>
          <w:marTop w:val="0"/>
          <w:marBottom w:val="0"/>
          <w:divBdr>
            <w:top w:val="none" w:sz="0" w:space="0" w:color="auto"/>
            <w:left w:val="none" w:sz="0" w:space="0" w:color="auto"/>
            <w:bottom w:val="none" w:sz="0" w:space="0" w:color="auto"/>
            <w:right w:val="none" w:sz="0" w:space="0" w:color="auto"/>
          </w:divBdr>
        </w:div>
        <w:div w:id="1310555779">
          <w:marLeft w:val="640"/>
          <w:marRight w:val="0"/>
          <w:marTop w:val="0"/>
          <w:marBottom w:val="0"/>
          <w:divBdr>
            <w:top w:val="none" w:sz="0" w:space="0" w:color="auto"/>
            <w:left w:val="none" w:sz="0" w:space="0" w:color="auto"/>
            <w:bottom w:val="none" w:sz="0" w:space="0" w:color="auto"/>
            <w:right w:val="none" w:sz="0" w:space="0" w:color="auto"/>
          </w:divBdr>
        </w:div>
        <w:div w:id="163984337">
          <w:marLeft w:val="640"/>
          <w:marRight w:val="0"/>
          <w:marTop w:val="0"/>
          <w:marBottom w:val="0"/>
          <w:divBdr>
            <w:top w:val="none" w:sz="0" w:space="0" w:color="auto"/>
            <w:left w:val="none" w:sz="0" w:space="0" w:color="auto"/>
            <w:bottom w:val="none" w:sz="0" w:space="0" w:color="auto"/>
            <w:right w:val="none" w:sz="0" w:space="0" w:color="auto"/>
          </w:divBdr>
        </w:div>
        <w:div w:id="100298872">
          <w:marLeft w:val="640"/>
          <w:marRight w:val="0"/>
          <w:marTop w:val="0"/>
          <w:marBottom w:val="0"/>
          <w:divBdr>
            <w:top w:val="none" w:sz="0" w:space="0" w:color="auto"/>
            <w:left w:val="none" w:sz="0" w:space="0" w:color="auto"/>
            <w:bottom w:val="none" w:sz="0" w:space="0" w:color="auto"/>
            <w:right w:val="none" w:sz="0" w:space="0" w:color="auto"/>
          </w:divBdr>
        </w:div>
        <w:div w:id="371883642">
          <w:marLeft w:val="640"/>
          <w:marRight w:val="0"/>
          <w:marTop w:val="0"/>
          <w:marBottom w:val="0"/>
          <w:divBdr>
            <w:top w:val="none" w:sz="0" w:space="0" w:color="auto"/>
            <w:left w:val="none" w:sz="0" w:space="0" w:color="auto"/>
            <w:bottom w:val="none" w:sz="0" w:space="0" w:color="auto"/>
            <w:right w:val="none" w:sz="0" w:space="0" w:color="auto"/>
          </w:divBdr>
        </w:div>
        <w:div w:id="1694652403">
          <w:marLeft w:val="640"/>
          <w:marRight w:val="0"/>
          <w:marTop w:val="0"/>
          <w:marBottom w:val="0"/>
          <w:divBdr>
            <w:top w:val="none" w:sz="0" w:space="0" w:color="auto"/>
            <w:left w:val="none" w:sz="0" w:space="0" w:color="auto"/>
            <w:bottom w:val="none" w:sz="0" w:space="0" w:color="auto"/>
            <w:right w:val="none" w:sz="0" w:space="0" w:color="auto"/>
          </w:divBdr>
        </w:div>
        <w:div w:id="1328241942">
          <w:marLeft w:val="640"/>
          <w:marRight w:val="0"/>
          <w:marTop w:val="0"/>
          <w:marBottom w:val="0"/>
          <w:divBdr>
            <w:top w:val="none" w:sz="0" w:space="0" w:color="auto"/>
            <w:left w:val="none" w:sz="0" w:space="0" w:color="auto"/>
            <w:bottom w:val="none" w:sz="0" w:space="0" w:color="auto"/>
            <w:right w:val="none" w:sz="0" w:space="0" w:color="auto"/>
          </w:divBdr>
        </w:div>
        <w:div w:id="530069333">
          <w:marLeft w:val="640"/>
          <w:marRight w:val="0"/>
          <w:marTop w:val="0"/>
          <w:marBottom w:val="0"/>
          <w:divBdr>
            <w:top w:val="none" w:sz="0" w:space="0" w:color="auto"/>
            <w:left w:val="none" w:sz="0" w:space="0" w:color="auto"/>
            <w:bottom w:val="none" w:sz="0" w:space="0" w:color="auto"/>
            <w:right w:val="none" w:sz="0" w:space="0" w:color="auto"/>
          </w:divBdr>
        </w:div>
        <w:div w:id="586118175">
          <w:marLeft w:val="640"/>
          <w:marRight w:val="0"/>
          <w:marTop w:val="0"/>
          <w:marBottom w:val="0"/>
          <w:divBdr>
            <w:top w:val="none" w:sz="0" w:space="0" w:color="auto"/>
            <w:left w:val="none" w:sz="0" w:space="0" w:color="auto"/>
            <w:bottom w:val="none" w:sz="0" w:space="0" w:color="auto"/>
            <w:right w:val="none" w:sz="0" w:space="0" w:color="auto"/>
          </w:divBdr>
        </w:div>
        <w:div w:id="877595027">
          <w:marLeft w:val="640"/>
          <w:marRight w:val="0"/>
          <w:marTop w:val="0"/>
          <w:marBottom w:val="0"/>
          <w:divBdr>
            <w:top w:val="none" w:sz="0" w:space="0" w:color="auto"/>
            <w:left w:val="none" w:sz="0" w:space="0" w:color="auto"/>
            <w:bottom w:val="none" w:sz="0" w:space="0" w:color="auto"/>
            <w:right w:val="none" w:sz="0" w:space="0" w:color="auto"/>
          </w:divBdr>
        </w:div>
        <w:div w:id="1297104024">
          <w:marLeft w:val="640"/>
          <w:marRight w:val="0"/>
          <w:marTop w:val="0"/>
          <w:marBottom w:val="0"/>
          <w:divBdr>
            <w:top w:val="none" w:sz="0" w:space="0" w:color="auto"/>
            <w:left w:val="none" w:sz="0" w:space="0" w:color="auto"/>
            <w:bottom w:val="none" w:sz="0" w:space="0" w:color="auto"/>
            <w:right w:val="none" w:sz="0" w:space="0" w:color="auto"/>
          </w:divBdr>
        </w:div>
        <w:div w:id="50617376">
          <w:marLeft w:val="640"/>
          <w:marRight w:val="0"/>
          <w:marTop w:val="0"/>
          <w:marBottom w:val="0"/>
          <w:divBdr>
            <w:top w:val="none" w:sz="0" w:space="0" w:color="auto"/>
            <w:left w:val="none" w:sz="0" w:space="0" w:color="auto"/>
            <w:bottom w:val="none" w:sz="0" w:space="0" w:color="auto"/>
            <w:right w:val="none" w:sz="0" w:space="0" w:color="auto"/>
          </w:divBdr>
        </w:div>
        <w:div w:id="1209609387">
          <w:marLeft w:val="640"/>
          <w:marRight w:val="0"/>
          <w:marTop w:val="0"/>
          <w:marBottom w:val="0"/>
          <w:divBdr>
            <w:top w:val="none" w:sz="0" w:space="0" w:color="auto"/>
            <w:left w:val="none" w:sz="0" w:space="0" w:color="auto"/>
            <w:bottom w:val="none" w:sz="0" w:space="0" w:color="auto"/>
            <w:right w:val="none" w:sz="0" w:space="0" w:color="auto"/>
          </w:divBdr>
        </w:div>
        <w:div w:id="1188905371">
          <w:marLeft w:val="640"/>
          <w:marRight w:val="0"/>
          <w:marTop w:val="0"/>
          <w:marBottom w:val="0"/>
          <w:divBdr>
            <w:top w:val="none" w:sz="0" w:space="0" w:color="auto"/>
            <w:left w:val="none" w:sz="0" w:space="0" w:color="auto"/>
            <w:bottom w:val="none" w:sz="0" w:space="0" w:color="auto"/>
            <w:right w:val="none" w:sz="0" w:space="0" w:color="auto"/>
          </w:divBdr>
        </w:div>
        <w:div w:id="294288857">
          <w:marLeft w:val="640"/>
          <w:marRight w:val="0"/>
          <w:marTop w:val="0"/>
          <w:marBottom w:val="0"/>
          <w:divBdr>
            <w:top w:val="none" w:sz="0" w:space="0" w:color="auto"/>
            <w:left w:val="none" w:sz="0" w:space="0" w:color="auto"/>
            <w:bottom w:val="none" w:sz="0" w:space="0" w:color="auto"/>
            <w:right w:val="none" w:sz="0" w:space="0" w:color="auto"/>
          </w:divBdr>
        </w:div>
        <w:div w:id="737168695">
          <w:marLeft w:val="640"/>
          <w:marRight w:val="0"/>
          <w:marTop w:val="0"/>
          <w:marBottom w:val="0"/>
          <w:divBdr>
            <w:top w:val="none" w:sz="0" w:space="0" w:color="auto"/>
            <w:left w:val="none" w:sz="0" w:space="0" w:color="auto"/>
            <w:bottom w:val="none" w:sz="0" w:space="0" w:color="auto"/>
            <w:right w:val="none" w:sz="0" w:space="0" w:color="auto"/>
          </w:divBdr>
        </w:div>
        <w:div w:id="335112405">
          <w:marLeft w:val="640"/>
          <w:marRight w:val="0"/>
          <w:marTop w:val="0"/>
          <w:marBottom w:val="0"/>
          <w:divBdr>
            <w:top w:val="none" w:sz="0" w:space="0" w:color="auto"/>
            <w:left w:val="none" w:sz="0" w:space="0" w:color="auto"/>
            <w:bottom w:val="none" w:sz="0" w:space="0" w:color="auto"/>
            <w:right w:val="none" w:sz="0" w:space="0" w:color="auto"/>
          </w:divBdr>
        </w:div>
        <w:div w:id="475529677">
          <w:marLeft w:val="640"/>
          <w:marRight w:val="0"/>
          <w:marTop w:val="0"/>
          <w:marBottom w:val="0"/>
          <w:divBdr>
            <w:top w:val="none" w:sz="0" w:space="0" w:color="auto"/>
            <w:left w:val="none" w:sz="0" w:space="0" w:color="auto"/>
            <w:bottom w:val="none" w:sz="0" w:space="0" w:color="auto"/>
            <w:right w:val="none" w:sz="0" w:space="0" w:color="auto"/>
          </w:divBdr>
        </w:div>
        <w:div w:id="1322930373">
          <w:marLeft w:val="640"/>
          <w:marRight w:val="0"/>
          <w:marTop w:val="0"/>
          <w:marBottom w:val="0"/>
          <w:divBdr>
            <w:top w:val="none" w:sz="0" w:space="0" w:color="auto"/>
            <w:left w:val="none" w:sz="0" w:space="0" w:color="auto"/>
            <w:bottom w:val="none" w:sz="0" w:space="0" w:color="auto"/>
            <w:right w:val="none" w:sz="0" w:space="0" w:color="auto"/>
          </w:divBdr>
        </w:div>
        <w:div w:id="1967198555">
          <w:marLeft w:val="640"/>
          <w:marRight w:val="0"/>
          <w:marTop w:val="0"/>
          <w:marBottom w:val="0"/>
          <w:divBdr>
            <w:top w:val="none" w:sz="0" w:space="0" w:color="auto"/>
            <w:left w:val="none" w:sz="0" w:space="0" w:color="auto"/>
            <w:bottom w:val="none" w:sz="0" w:space="0" w:color="auto"/>
            <w:right w:val="none" w:sz="0" w:space="0" w:color="auto"/>
          </w:divBdr>
        </w:div>
        <w:div w:id="1941332406">
          <w:marLeft w:val="640"/>
          <w:marRight w:val="0"/>
          <w:marTop w:val="0"/>
          <w:marBottom w:val="0"/>
          <w:divBdr>
            <w:top w:val="none" w:sz="0" w:space="0" w:color="auto"/>
            <w:left w:val="none" w:sz="0" w:space="0" w:color="auto"/>
            <w:bottom w:val="none" w:sz="0" w:space="0" w:color="auto"/>
            <w:right w:val="none" w:sz="0" w:space="0" w:color="auto"/>
          </w:divBdr>
        </w:div>
        <w:div w:id="762603769">
          <w:marLeft w:val="640"/>
          <w:marRight w:val="0"/>
          <w:marTop w:val="0"/>
          <w:marBottom w:val="0"/>
          <w:divBdr>
            <w:top w:val="none" w:sz="0" w:space="0" w:color="auto"/>
            <w:left w:val="none" w:sz="0" w:space="0" w:color="auto"/>
            <w:bottom w:val="none" w:sz="0" w:space="0" w:color="auto"/>
            <w:right w:val="none" w:sz="0" w:space="0" w:color="auto"/>
          </w:divBdr>
        </w:div>
        <w:div w:id="1064066922">
          <w:marLeft w:val="640"/>
          <w:marRight w:val="0"/>
          <w:marTop w:val="0"/>
          <w:marBottom w:val="0"/>
          <w:divBdr>
            <w:top w:val="none" w:sz="0" w:space="0" w:color="auto"/>
            <w:left w:val="none" w:sz="0" w:space="0" w:color="auto"/>
            <w:bottom w:val="none" w:sz="0" w:space="0" w:color="auto"/>
            <w:right w:val="none" w:sz="0" w:space="0" w:color="auto"/>
          </w:divBdr>
        </w:div>
        <w:div w:id="292833202">
          <w:marLeft w:val="640"/>
          <w:marRight w:val="0"/>
          <w:marTop w:val="0"/>
          <w:marBottom w:val="0"/>
          <w:divBdr>
            <w:top w:val="none" w:sz="0" w:space="0" w:color="auto"/>
            <w:left w:val="none" w:sz="0" w:space="0" w:color="auto"/>
            <w:bottom w:val="none" w:sz="0" w:space="0" w:color="auto"/>
            <w:right w:val="none" w:sz="0" w:space="0" w:color="auto"/>
          </w:divBdr>
        </w:div>
        <w:div w:id="408893742">
          <w:marLeft w:val="640"/>
          <w:marRight w:val="0"/>
          <w:marTop w:val="0"/>
          <w:marBottom w:val="0"/>
          <w:divBdr>
            <w:top w:val="none" w:sz="0" w:space="0" w:color="auto"/>
            <w:left w:val="none" w:sz="0" w:space="0" w:color="auto"/>
            <w:bottom w:val="none" w:sz="0" w:space="0" w:color="auto"/>
            <w:right w:val="none" w:sz="0" w:space="0" w:color="auto"/>
          </w:divBdr>
        </w:div>
        <w:div w:id="234242930">
          <w:marLeft w:val="640"/>
          <w:marRight w:val="0"/>
          <w:marTop w:val="0"/>
          <w:marBottom w:val="0"/>
          <w:divBdr>
            <w:top w:val="none" w:sz="0" w:space="0" w:color="auto"/>
            <w:left w:val="none" w:sz="0" w:space="0" w:color="auto"/>
            <w:bottom w:val="none" w:sz="0" w:space="0" w:color="auto"/>
            <w:right w:val="none" w:sz="0" w:space="0" w:color="auto"/>
          </w:divBdr>
        </w:div>
        <w:div w:id="596065596">
          <w:marLeft w:val="640"/>
          <w:marRight w:val="0"/>
          <w:marTop w:val="0"/>
          <w:marBottom w:val="0"/>
          <w:divBdr>
            <w:top w:val="none" w:sz="0" w:space="0" w:color="auto"/>
            <w:left w:val="none" w:sz="0" w:space="0" w:color="auto"/>
            <w:bottom w:val="none" w:sz="0" w:space="0" w:color="auto"/>
            <w:right w:val="none" w:sz="0" w:space="0" w:color="auto"/>
          </w:divBdr>
        </w:div>
        <w:div w:id="1960986874">
          <w:marLeft w:val="640"/>
          <w:marRight w:val="0"/>
          <w:marTop w:val="0"/>
          <w:marBottom w:val="0"/>
          <w:divBdr>
            <w:top w:val="none" w:sz="0" w:space="0" w:color="auto"/>
            <w:left w:val="none" w:sz="0" w:space="0" w:color="auto"/>
            <w:bottom w:val="none" w:sz="0" w:space="0" w:color="auto"/>
            <w:right w:val="none" w:sz="0" w:space="0" w:color="auto"/>
          </w:divBdr>
        </w:div>
        <w:div w:id="2046632729">
          <w:marLeft w:val="640"/>
          <w:marRight w:val="0"/>
          <w:marTop w:val="0"/>
          <w:marBottom w:val="0"/>
          <w:divBdr>
            <w:top w:val="none" w:sz="0" w:space="0" w:color="auto"/>
            <w:left w:val="none" w:sz="0" w:space="0" w:color="auto"/>
            <w:bottom w:val="none" w:sz="0" w:space="0" w:color="auto"/>
            <w:right w:val="none" w:sz="0" w:space="0" w:color="auto"/>
          </w:divBdr>
        </w:div>
      </w:divsChild>
    </w:div>
    <w:div w:id="1071394608">
      <w:bodyDiv w:val="1"/>
      <w:marLeft w:val="0"/>
      <w:marRight w:val="0"/>
      <w:marTop w:val="0"/>
      <w:marBottom w:val="0"/>
      <w:divBdr>
        <w:top w:val="none" w:sz="0" w:space="0" w:color="auto"/>
        <w:left w:val="none" w:sz="0" w:space="0" w:color="auto"/>
        <w:bottom w:val="none" w:sz="0" w:space="0" w:color="auto"/>
        <w:right w:val="none" w:sz="0" w:space="0" w:color="auto"/>
      </w:divBdr>
      <w:divsChild>
        <w:div w:id="127094801">
          <w:marLeft w:val="640"/>
          <w:marRight w:val="0"/>
          <w:marTop w:val="0"/>
          <w:marBottom w:val="0"/>
          <w:divBdr>
            <w:top w:val="none" w:sz="0" w:space="0" w:color="auto"/>
            <w:left w:val="none" w:sz="0" w:space="0" w:color="auto"/>
            <w:bottom w:val="none" w:sz="0" w:space="0" w:color="auto"/>
            <w:right w:val="none" w:sz="0" w:space="0" w:color="auto"/>
          </w:divBdr>
        </w:div>
        <w:div w:id="53745765">
          <w:marLeft w:val="640"/>
          <w:marRight w:val="0"/>
          <w:marTop w:val="0"/>
          <w:marBottom w:val="0"/>
          <w:divBdr>
            <w:top w:val="none" w:sz="0" w:space="0" w:color="auto"/>
            <w:left w:val="none" w:sz="0" w:space="0" w:color="auto"/>
            <w:bottom w:val="none" w:sz="0" w:space="0" w:color="auto"/>
            <w:right w:val="none" w:sz="0" w:space="0" w:color="auto"/>
          </w:divBdr>
        </w:div>
        <w:div w:id="800347464">
          <w:marLeft w:val="640"/>
          <w:marRight w:val="0"/>
          <w:marTop w:val="0"/>
          <w:marBottom w:val="0"/>
          <w:divBdr>
            <w:top w:val="none" w:sz="0" w:space="0" w:color="auto"/>
            <w:left w:val="none" w:sz="0" w:space="0" w:color="auto"/>
            <w:bottom w:val="none" w:sz="0" w:space="0" w:color="auto"/>
            <w:right w:val="none" w:sz="0" w:space="0" w:color="auto"/>
          </w:divBdr>
        </w:div>
        <w:div w:id="229770625">
          <w:marLeft w:val="640"/>
          <w:marRight w:val="0"/>
          <w:marTop w:val="0"/>
          <w:marBottom w:val="0"/>
          <w:divBdr>
            <w:top w:val="none" w:sz="0" w:space="0" w:color="auto"/>
            <w:left w:val="none" w:sz="0" w:space="0" w:color="auto"/>
            <w:bottom w:val="none" w:sz="0" w:space="0" w:color="auto"/>
            <w:right w:val="none" w:sz="0" w:space="0" w:color="auto"/>
          </w:divBdr>
        </w:div>
        <w:div w:id="1816414226">
          <w:marLeft w:val="640"/>
          <w:marRight w:val="0"/>
          <w:marTop w:val="0"/>
          <w:marBottom w:val="0"/>
          <w:divBdr>
            <w:top w:val="none" w:sz="0" w:space="0" w:color="auto"/>
            <w:left w:val="none" w:sz="0" w:space="0" w:color="auto"/>
            <w:bottom w:val="none" w:sz="0" w:space="0" w:color="auto"/>
            <w:right w:val="none" w:sz="0" w:space="0" w:color="auto"/>
          </w:divBdr>
        </w:div>
        <w:div w:id="359284976">
          <w:marLeft w:val="640"/>
          <w:marRight w:val="0"/>
          <w:marTop w:val="0"/>
          <w:marBottom w:val="0"/>
          <w:divBdr>
            <w:top w:val="none" w:sz="0" w:space="0" w:color="auto"/>
            <w:left w:val="none" w:sz="0" w:space="0" w:color="auto"/>
            <w:bottom w:val="none" w:sz="0" w:space="0" w:color="auto"/>
            <w:right w:val="none" w:sz="0" w:space="0" w:color="auto"/>
          </w:divBdr>
        </w:div>
        <w:div w:id="412626445">
          <w:marLeft w:val="640"/>
          <w:marRight w:val="0"/>
          <w:marTop w:val="0"/>
          <w:marBottom w:val="0"/>
          <w:divBdr>
            <w:top w:val="none" w:sz="0" w:space="0" w:color="auto"/>
            <w:left w:val="none" w:sz="0" w:space="0" w:color="auto"/>
            <w:bottom w:val="none" w:sz="0" w:space="0" w:color="auto"/>
            <w:right w:val="none" w:sz="0" w:space="0" w:color="auto"/>
          </w:divBdr>
        </w:div>
        <w:div w:id="1672218260">
          <w:marLeft w:val="640"/>
          <w:marRight w:val="0"/>
          <w:marTop w:val="0"/>
          <w:marBottom w:val="0"/>
          <w:divBdr>
            <w:top w:val="none" w:sz="0" w:space="0" w:color="auto"/>
            <w:left w:val="none" w:sz="0" w:space="0" w:color="auto"/>
            <w:bottom w:val="none" w:sz="0" w:space="0" w:color="auto"/>
            <w:right w:val="none" w:sz="0" w:space="0" w:color="auto"/>
          </w:divBdr>
        </w:div>
        <w:div w:id="1921018512">
          <w:marLeft w:val="640"/>
          <w:marRight w:val="0"/>
          <w:marTop w:val="0"/>
          <w:marBottom w:val="0"/>
          <w:divBdr>
            <w:top w:val="none" w:sz="0" w:space="0" w:color="auto"/>
            <w:left w:val="none" w:sz="0" w:space="0" w:color="auto"/>
            <w:bottom w:val="none" w:sz="0" w:space="0" w:color="auto"/>
            <w:right w:val="none" w:sz="0" w:space="0" w:color="auto"/>
          </w:divBdr>
        </w:div>
        <w:div w:id="1508859844">
          <w:marLeft w:val="640"/>
          <w:marRight w:val="0"/>
          <w:marTop w:val="0"/>
          <w:marBottom w:val="0"/>
          <w:divBdr>
            <w:top w:val="none" w:sz="0" w:space="0" w:color="auto"/>
            <w:left w:val="none" w:sz="0" w:space="0" w:color="auto"/>
            <w:bottom w:val="none" w:sz="0" w:space="0" w:color="auto"/>
            <w:right w:val="none" w:sz="0" w:space="0" w:color="auto"/>
          </w:divBdr>
        </w:div>
        <w:div w:id="1190335195">
          <w:marLeft w:val="640"/>
          <w:marRight w:val="0"/>
          <w:marTop w:val="0"/>
          <w:marBottom w:val="0"/>
          <w:divBdr>
            <w:top w:val="none" w:sz="0" w:space="0" w:color="auto"/>
            <w:left w:val="none" w:sz="0" w:space="0" w:color="auto"/>
            <w:bottom w:val="none" w:sz="0" w:space="0" w:color="auto"/>
            <w:right w:val="none" w:sz="0" w:space="0" w:color="auto"/>
          </w:divBdr>
        </w:div>
        <w:div w:id="1646158482">
          <w:marLeft w:val="640"/>
          <w:marRight w:val="0"/>
          <w:marTop w:val="0"/>
          <w:marBottom w:val="0"/>
          <w:divBdr>
            <w:top w:val="none" w:sz="0" w:space="0" w:color="auto"/>
            <w:left w:val="none" w:sz="0" w:space="0" w:color="auto"/>
            <w:bottom w:val="none" w:sz="0" w:space="0" w:color="auto"/>
            <w:right w:val="none" w:sz="0" w:space="0" w:color="auto"/>
          </w:divBdr>
        </w:div>
        <w:div w:id="1093743456">
          <w:marLeft w:val="640"/>
          <w:marRight w:val="0"/>
          <w:marTop w:val="0"/>
          <w:marBottom w:val="0"/>
          <w:divBdr>
            <w:top w:val="none" w:sz="0" w:space="0" w:color="auto"/>
            <w:left w:val="none" w:sz="0" w:space="0" w:color="auto"/>
            <w:bottom w:val="none" w:sz="0" w:space="0" w:color="auto"/>
            <w:right w:val="none" w:sz="0" w:space="0" w:color="auto"/>
          </w:divBdr>
        </w:div>
        <w:div w:id="934820946">
          <w:marLeft w:val="640"/>
          <w:marRight w:val="0"/>
          <w:marTop w:val="0"/>
          <w:marBottom w:val="0"/>
          <w:divBdr>
            <w:top w:val="none" w:sz="0" w:space="0" w:color="auto"/>
            <w:left w:val="none" w:sz="0" w:space="0" w:color="auto"/>
            <w:bottom w:val="none" w:sz="0" w:space="0" w:color="auto"/>
            <w:right w:val="none" w:sz="0" w:space="0" w:color="auto"/>
          </w:divBdr>
        </w:div>
        <w:div w:id="1545482495">
          <w:marLeft w:val="640"/>
          <w:marRight w:val="0"/>
          <w:marTop w:val="0"/>
          <w:marBottom w:val="0"/>
          <w:divBdr>
            <w:top w:val="none" w:sz="0" w:space="0" w:color="auto"/>
            <w:left w:val="none" w:sz="0" w:space="0" w:color="auto"/>
            <w:bottom w:val="none" w:sz="0" w:space="0" w:color="auto"/>
            <w:right w:val="none" w:sz="0" w:space="0" w:color="auto"/>
          </w:divBdr>
        </w:div>
        <w:div w:id="1777017326">
          <w:marLeft w:val="640"/>
          <w:marRight w:val="0"/>
          <w:marTop w:val="0"/>
          <w:marBottom w:val="0"/>
          <w:divBdr>
            <w:top w:val="none" w:sz="0" w:space="0" w:color="auto"/>
            <w:left w:val="none" w:sz="0" w:space="0" w:color="auto"/>
            <w:bottom w:val="none" w:sz="0" w:space="0" w:color="auto"/>
            <w:right w:val="none" w:sz="0" w:space="0" w:color="auto"/>
          </w:divBdr>
        </w:div>
        <w:div w:id="1054159257">
          <w:marLeft w:val="640"/>
          <w:marRight w:val="0"/>
          <w:marTop w:val="0"/>
          <w:marBottom w:val="0"/>
          <w:divBdr>
            <w:top w:val="none" w:sz="0" w:space="0" w:color="auto"/>
            <w:left w:val="none" w:sz="0" w:space="0" w:color="auto"/>
            <w:bottom w:val="none" w:sz="0" w:space="0" w:color="auto"/>
            <w:right w:val="none" w:sz="0" w:space="0" w:color="auto"/>
          </w:divBdr>
        </w:div>
        <w:div w:id="1116405826">
          <w:marLeft w:val="640"/>
          <w:marRight w:val="0"/>
          <w:marTop w:val="0"/>
          <w:marBottom w:val="0"/>
          <w:divBdr>
            <w:top w:val="none" w:sz="0" w:space="0" w:color="auto"/>
            <w:left w:val="none" w:sz="0" w:space="0" w:color="auto"/>
            <w:bottom w:val="none" w:sz="0" w:space="0" w:color="auto"/>
            <w:right w:val="none" w:sz="0" w:space="0" w:color="auto"/>
          </w:divBdr>
        </w:div>
        <w:div w:id="1832987441">
          <w:marLeft w:val="640"/>
          <w:marRight w:val="0"/>
          <w:marTop w:val="0"/>
          <w:marBottom w:val="0"/>
          <w:divBdr>
            <w:top w:val="none" w:sz="0" w:space="0" w:color="auto"/>
            <w:left w:val="none" w:sz="0" w:space="0" w:color="auto"/>
            <w:bottom w:val="none" w:sz="0" w:space="0" w:color="auto"/>
            <w:right w:val="none" w:sz="0" w:space="0" w:color="auto"/>
          </w:divBdr>
        </w:div>
        <w:div w:id="107359681">
          <w:marLeft w:val="640"/>
          <w:marRight w:val="0"/>
          <w:marTop w:val="0"/>
          <w:marBottom w:val="0"/>
          <w:divBdr>
            <w:top w:val="none" w:sz="0" w:space="0" w:color="auto"/>
            <w:left w:val="none" w:sz="0" w:space="0" w:color="auto"/>
            <w:bottom w:val="none" w:sz="0" w:space="0" w:color="auto"/>
            <w:right w:val="none" w:sz="0" w:space="0" w:color="auto"/>
          </w:divBdr>
        </w:div>
        <w:div w:id="891505057">
          <w:marLeft w:val="640"/>
          <w:marRight w:val="0"/>
          <w:marTop w:val="0"/>
          <w:marBottom w:val="0"/>
          <w:divBdr>
            <w:top w:val="none" w:sz="0" w:space="0" w:color="auto"/>
            <w:left w:val="none" w:sz="0" w:space="0" w:color="auto"/>
            <w:bottom w:val="none" w:sz="0" w:space="0" w:color="auto"/>
            <w:right w:val="none" w:sz="0" w:space="0" w:color="auto"/>
          </w:divBdr>
        </w:div>
        <w:div w:id="539318167">
          <w:marLeft w:val="640"/>
          <w:marRight w:val="0"/>
          <w:marTop w:val="0"/>
          <w:marBottom w:val="0"/>
          <w:divBdr>
            <w:top w:val="none" w:sz="0" w:space="0" w:color="auto"/>
            <w:left w:val="none" w:sz="0" w:space="0" w:color="auto"/>
            <w:bottom w:val="none" w:sz="0" w:space="0" w:color="auto"/>
            <w:right w:val="none" w:sz="0" w:space="0" w:color="auto"/>
          </w:divBdr>
        </w:div>
        <w:div w:id="1903908460">
          <w:marLeft w:val="640"/>
          <w:marRight w:val="0"/>
          <w:marTop w:val="0"/>
          <w:marBottom w:val="0"/>
          <w:divBdr>
            <w:top w:val="none" w:sz="0" w:space="0" w:color="auto"/>
            <w:left w:val="none" w:sz="0" w:space="0" w:color="auto"/>
            <w:bottom w:val="none" w:sz="0" w:space="0" w:color="auto"/>
            <w:right w:val="none" w:sz="0" w:space="0" w:color="auto"/>
          </w:divBdr>
        </w:div>
        <w:div w:id="61492922">
          <w:marLeft w:val="640"/>
          <w:marRight w:val="0"/>
          <w:marTop w:val="0"/>
          <w:marBottom w:val="0"/>
          <w:divBdr>
            <w:top w:val="none" w:sz="0" w:space="0" w:color="auto"/>
            <w:left w:val="none" w:sz="0" w:space="0" w:color="auto"/>
            <w:bottom w:val="none" w:sz="0" w:space="0" w:color="auto"/>
            <w:right w:val="none" w:sz="0" w:space="0" w:color="auto"/>
          </w:divBdr>
        </w:div>
        <w:div w:id="1842161807">
          <w:marLeft w:val="640"/>
          <w:marRight w:val="0"/>
          <w:marTop w:val="0"/>
          <w:marBottom w:val="0"/>
          <w:divBdr>
            <w:top w:val="none" w:sz="0" w:space="0" w:color="auto"/>
            <w:left w:val="none" w:sz="0" w:space="0" w:color="auto"/>
            <w:bottom w:val="none" w:sz="0" w:space="0" w:color="auto"/>
            <w:right w:val="none" w:sz="0" w:space="0" w:color="auto"/>
          </w:divBdr>
        </w:div>
        <w:div w:id="287665119">
          <w:marLeft w:val="640"/>
          <w:marRight w:val="0"/>
          <w:marTop w:val="0"/>
          <w:marBottom w:val="0"/>
          <w:divBdr>
            <w:top w:val="none" w:sz="0" w:space="0" w:color="auto"/>
            <w:left w:val="none" w:sz="0" w:space="0" w:color="auto"/>
            <w:bottom w:val="none" w:sz="0" w:space="0" w:color="auto"/>
            <w:right w:val="none" w:sz="0" w:space="0" w:color="auto"/>
          </w:divBdr>
        </w:div>
        <w:div w:id="973020222">
          <w:marLeft w:val="640"/>
          <w:marRight w:val="0"/>
          <w:marTop w:val="0"/>
          <w:marBottom w:val="0"/>
          <w:divBdr>
            <w:top w:val="none" w:sz="0" w:space="0" w:color="auto"/>
            <w:left w:val="none" w:sz="0" w:space="0" w:color="auto"/>
            <w:bottom w:val="none" w:sz="0" w:space="0" w:color="auto"/>
            <w:right w:val="none" w:sz="0" w:space="0" w:color="auto"/>
          </w:divBdr>
        </w:div>
        <w:div w:id="1335835669">
          <w:marLeft w:val="640"/>
          <w:marRight w:val="0"/>
          <w:marTop w:val="0"/>
          <w:marBottom w:val="0"/>
          <w:divBdr>
            <w:top w:val="none" w:sz="0" w:space="0" w:color="auto"/>
            <w:left w:val="none" w:sz="0" w:space="0" w:color="auto"/>
            <w:bottom w:val="none" w:sz="0" w:space="0" w:color="auto"/>
            <w:right w:val="none" w:sz="0" w:space="0" w:color="auto"/>
          </w:divBdr>
        </w:div>
        <w:div w:id="1383214996">
          <w:marLeft w:val="640"/>
          <w:marRight w:val="0"/>
          <w:marTop w:val="0"/>
          <w:marBottom w:val="0"/>
          <w:divBdr>
            <w:top w:val="none" w:sz="0" w:space="0" w:color="auto"/>
            <w:left w:val="none" w:sz="0" w:space="0" w:color="auto"/>
            <w:bottom w:val="none" w:sz="0" w:space="0" w:color="auto"/>
            <w:right w:val="none" w:sz="0" w:space="0" w:color="auto"/>
          </w:divBdr>
        </w:div>
        <w:div w:id="1965958453">
          <w:marLeft w:val="640"/>
          <w:marRight w:val="0"/>
          <w:marTop w:val="0"/>
          <w:marBottom w:val="0"/>
          <w:divBdr>
            <w:top w:val="none" w:sz="0" w:space="0" w:color="auto"/>
            <w:left w:val="none" w:sz="0" w:space="0" w:color="auto"/>
            <w:bottom w:val="none" w:sz="0" w:space="0" w:color="auto"/>
            <w:right w:val="none" w:sz="0" w:space="0" w:color="auto"/>
          </w:divBdr>
        </w:div>
        <w:div w:id="1801877643">
          <w:marLeft w:val="640"/>
          <w:marRight w:val="0"/>
          <w:marTop w:val="0"/>
          <w:marBottom w:val="0"/>
          <w:divBdr>
            <w:top w:val="none" w:sz="0" w:space="0" w:color="auto"/>
            <w:left w:val="none" w:sz="0" w:space="0" w:color="auto"/>
            <w:bottom w:val="none" w:sz="0" w:space="0" w:color="auto"/>
            <w:right w:val="none" w:sz="0" w:space="0" w:color="auto"/>
          </w:divBdr>
        </w:div>
        <w:div w:id="93785980">
          <w:marLeft w:val="640"/>
          <w:marRight w:val="0"/>
          <w:marTop w:val="0"/>
          <w:marBottom w:val="0"/>
          <w:divBdr>
            <w:top w:val="none" w:sz="0" w:space="0" w:color="auto"/>
            <w:left w:val="none" w:sz="0" w:space="0" w:color="auto"/>
            <w:bottom w:val="none" w:sz="0" w:space="0" w:color="auto"/>
            <w:right w:val="none" w:sz="0" w:space="0" w:color="auto"/>
          </w:divBdr>
        </w:div>
        <w:div w:id="1131556102">
          <w:marLeft w:val="640"/>
          <w:marRight w:val="0"/>
          <w:marTop w:val="0"/>
          <w:marBottom w:val="0"/>
          <w:divBdr>
            <w:top w:val="none" w:sz="0" w:space="0" w:color="auto"/>
            <w:left w:val="none" w:sz="0" w:space="0" w:color="auto"/>
            <w:bottom w:val="none" w:sz="0" w:space="0" w:color="auto"/>
            <w:right w:val="none" w:sz="0" w:space="0" w:color="auto"/>
          </w:divBdr>
        </w:div>
        <w:div w:id="1863324952">
          <w:marLeft w:val="640"/>
          <w:marRight w:val="0"/>
          <w:marTop w:val="0"/>
          <w:marBottom w:val="0"/>
          <w:divBdr>
            <w:top w:val="none" w:sz="0" w:space="0" w:color="auto"/>
            <w:left w:val="none" w:sz="0" w:space="0" w:color="auto"/>
            <w:bottom w:val="none" w:sz="0" w:space="0" w:color="auto"/>
            <w:right w:val="none" w:sz="0" w:space="0" w:color="auto"/>
          </w:divBdr>
        </w:div>
        <w:div w:id="1863283692">
          <w:marLeft w:val="640"/>
          <w:marRight w:val="0"/>
          <w:marTop w:val="0"/>
          <w:marBottom w:val="0"/>
          <w:divBdr>
            <w:top w:val="none" w:sz="0" w:space="0" w:color="auto"/>
            <w:left w:val="none" w:sz="0" w:space="0" w:color="auto"/>
            <w:bottom w:val="none" w:sz="0" w:space="0" w:color="auto"/>
            <w:right w:val="none" w:sz="0" w:space="0" w:color="auto"/>
          </w:divBdr>
        </w:div>
        <w:div w:id="36593733">
          <w:marLeft w:val="640"/>
          <w:marRight w:val="0"/>
          <w:marTop w:val="0"/>
          <w:marBottom w:val="0"/>
          <w:divBdr>
            <w:top w:val="none" w:sz="0" w:space="0" w:color="auto"/>
            <w:left w:val="none" w:sz="0" w:space="0" w:color="auto"/>
            <w:bottom w:val="none" w:sz="0" w:space="0" w:color="auto"/>
            <w:right w:val="none" w:sz="0" w:space="0" w:color="auto"/>
          </w:divBdr>
        </w:div>
        <w:div w:id="477503094">
          <w:marLeft w:val="640"/>
          <w:marRight w:val="0"/>
          <w:marTop w:val="0"/>
          <w:marBottom w:val="0"/>
          <w:divBdr>
            <w:top w:val="none" w:sz="0" w:space="0" w:color="auto"/>
            <w:left w:val="none" w:sz="0" w:space="0" w:color="auto"/>
            <w:bottom w:val="none" w:sz="0" w:space="0" w:color="auto"/>
            <w:right w:val="none" w:sz="0" w:space="0" w:color="auto"/>
          </w:divBdr>
        </w:div>
        <w:div w:id="679352264">
          <w:marLeft w:val="640"/>
          <w:marRight w:val="0"/>
          <w:marTop w:val="0"/>
          <w:marBottom w:val="0"/>
          <w:divBdr>
            <w:top w:val="none" w:sz="0" w:space="0" w:color="auto"/>
            <w:left w:val="none" w:sz="0" w:space="0" w:color="auto"/>
            <w:bottom w:val="none" w:sz="0" w:space="0" w:color="auto"/>
            <w:right w:val="none" w:sz="0" w:space="0" w:color="auto"/>
          </w:divBdr>
        </w:div>
        <w:div w:id="754326386">
          <w:marLeft w:val="640"/>
          <w:marRight w:val="0"/>
          <w:marTop w:val="0"/>
          <w:marBottom w:val="0"/>
          <w:divBdr>
            <w:top w:val="none" w:sz="0" w:space="0" w:color="auto"/>
            <w:left w:val="none" w:sz="0" w:space="0" w:color="auto"/>
            <w:bottom w:val="none" w:sz="0" w:space="0" w:color="auto"/>
            <w:right w:val="none" w:sz="0" w:space="0" w:color="auto"/>
          </w:divBdr>
        </w:div>
        <w:div w:id="1230577573">
          <w:marLeft w:val="640"/>
          <w:marRight w:val="0"/>
          <w:marTop w:val="0"/>
          <w:marBottom w:val="0"/>
          <w:divBdr>
            <w:top w:val="none" w:sz="0" w:space="0" w:color="auto"/>
            <w:left w:val="none" w:sz="0" w:space="0" w:color="auto"/>
            <w:bottom w:val="none" w:sz="0" w:space="0" w:color="auto"/>
            <w:right w:val="none" w:sz="0" w:space="0" w:color="auto"/>
          </w:divBdr>
        </w:div>
        <w:div w:id="415444297">
          <w:marLeft w:val="640"/>
          <w:marRight w:val="0"/>
          <w:marTop w:val="0"/>
          <w:marBottom w:val="0"/>
          <w:divBdr>
            <w:top w:val="none" w:sz="0" w:space="0" w:color="auto"/>
            <w:left w:val="none" w:sz="0" w:space="0" w:color="auto"/>
            <w:bottom w:val="none" w:sz="0" w:space="0" w:color="auto"/>
            <w:right w:val="none" w:sz="0" w:space="0" w:color="auto"/>
          </w:divBdr>
        </w:div>
        <w:div w:id="459229357">
          <w:marLeft w:val="640"/>
          <w:marRight w:val="0"/>
          <w:marTop w:val="0"/>
          <w:marBottom w:val="0"/>
          <w:divBdr>
            <w:top w:val="none" w:sz="0" w:space="0" w:color="auto"/>
            <w:left w:val="none" w:sz="0" w:space="0" w:color="auto"/>
            <w:bottom w:val="none" w:sz="0" w:space="0" w:color="auto"/>
            <w:right w:val="none" w:sz="0" w:space="0" w:color="auto"/>
          </w:divBdr>
        </w:div>
        <w:div w:id="750852144">
          <w:marLeft w:val="640"/>
          <w:marRight w:val="0"/>
          <w:marTop w:val="0"/>
          <w:marBottom w:val="0"/>
          <w:divBdr>
            <w:top w:val="none" w:sz="0" w:space="0" w:color="auto"/>
            <w:left w:val="none" w:sz="0" w:space="0" w:color="auto"/>
            <w:bottom w:val="none" w:sz="0" w:space="0" w:color="auto"/>
            <w:right w:val="none" w:sz="0" w:space="0" w:color="auto"/>
          </w:divBdr>
        </w:div>
        <w:div w:id="32047590">
          <w:marLeft w:val="640"/>
          <w:marRight w:val="0"/>
          <w:marTop w:val="0"/>
          <w:marBottom w:val="0"/>
          <w:divBdr>
            <w:top w:val="none" w:sz="0" w:space="0" w:color="auto"/>
            <w:left w:val="none" w:sz="0" w:space="0" w:color="auto"/>
            <w:bottom w:val="none" w:sz="0" w:space="0" w:color="auto"/>
            <w:right w:val="none" w:sz="0" w:space="0" w:color="auto"/>
          </w:divBdr>
        </w:div>
        <w:div w:id="1817452781">
          <w:marLeft w:val="640"/>
          <w:marRight w:val="0"/>
          <w:marTop w:val="0"/>
          <w:marBottom w:val="0"/>
          <w:divBdr>
            <w:top w:val="none" w:sz="0" w:space="0" w:color="auto"/>
            <w:left w:val="none" w:sz="0" w:space="0" w:color="auto"/>
            <w:bottom w:val="none" w:sz="0" w:space="0" w:color="auto"/>
            <w:right w:val="none" w:sz="0" w:space="0" w:color="auto"/>
          </w:divBdr>
        </w:div>
        <w:div w:id="1380208115">
          <w:marLeft w:val="640"/>
          <w:marRight w:val="0"/>
          <w:marTop w:val="0"/>
          <w:marBottom w:val="0"/>
          <w:divBdr>
            <w:top w:val="none" w:sz="0" w:space="0" w:color="auto"/>
            <w:left w:val="none" w:sz="0" w:space="0" w:color="auto"/>
            <w:bottom w:val="none" w:sz="0" w:space="0" w:color="auto"/>
            <w:right w:val="none" w:sz="0" w:space="0" w:color="auto"/>
          </w:divBdr>
        </w:div>
        <w:div w:id="1129668294">
          <w:marLeft w:val="640"/>
          <w:marRight w:val="0"/>
          <w:marTop w:val="0"/>
          <w:marBottom w:val="0"/>
          <w:divBdr>
            <w:top w:val="none" w:sz="0" w:space="0" w:color="auto"/>
            <w:left w:val="none" w:sz="0" w:space="0" w:color="auto"/>
            <w:bottom w:val="none" w:sz="0" w:space="0" w:color="auto"/>
            <w:right w:val="none" w:sz="0" w:space="0" w:color="auto"/>
          </w:divBdr>
        </w:div>
        <w:div w:id="791360931">
          <w:marLeft w:val="640"/>
          <w:marRight w:val="0"/>
          <w:marTop w:val="0"/>
          <w:marBottom w:val="0"/>
          <w:divBdr>
            <w:top w:val="none" w:sz="0" w:space="0" w:color="auto"/>
            <w:left w:val="none" w:sz="0" w:space="0" w:color="auto"/>
            <w:bottom w:val="none" w:sz="0" w:space="0" w:color="auto"/>
            <w:right w:val="none" w:sz="0" w:space="0" w:color="auto"/>
          </w:divBdr>
        </w:div>
        <w:div w:id="1402830675">
          <w:marLeft w:val="640"/>
          <w:marRight w:val="0"/>
          <w:marTop w:val="0"/>
          <w:marBottom w:val="0"/>
          <w:divBdr>
            <w:top w:val="none" w:sz="0" w:space="0" w:color="auto"/>
            <w:left w:val="none" w:sz="0" w:space="0" w:color="auto"/>
            <w:bottom w:val="none" w:sz="0" w:space="0" w:color="auto"/>
            <w:right w:val="none" w:sz="0" w:space="0" w:color="auto"/>
          </w:divBdr>
        </w:div>
        <w:div w:id="1562865300">
          <w:marLeft w:val="640"/>
          <w:marRight w:val="0"/>
          <w:marTop w:val="0"/>
          <w:marBottom w:val="0"/>
          <w:divBdr>
            <w:top w:val="none" w:sz="0" w:space="0" w:color="auto"/>
            <w:left w:val="none" w:sz="0" w:space="0" w:color="auto"/>
            <w:bottom w:val="none" w:sz="0" w:space="0" w:color="auto"/>
            <w:right w:val="none" w:sz="0" w:space="0" w:color="auto"/>
          </w:divBdr>
        </w:div>
        <w:div w:id="264266888">
          <w:marLeft w:val="640"/>
          <w:marRight w:val="0"/>
          <w:marTop w:val="0"/>
          <w:marBottom w:val="0"/>
          <w:divBdr>
            <w:top w:val="none" w:sz="0" w:space="0" w:color="auto"/>
            <w:left w:val="none" w:sz="0" w:space="0" w:color="auto"/>
            <w:bottom w:val="none" w:sz="0" w:space="0" w:color="auto"/>
            <w:right w:val="none" w:sz="0" w:space="0" w:color="auto"/>
          </w:divBdr>
        </w:div>
        <w:div w:id="102770833">
          <w:marLeft w:val="640"/>
          <w:marRight w:val="0"/>
          <w:marTop w:val="0"/>
          <w:marBottom w:val="0"/>
          <w:divBdr>
            <w:top w:val="none" w:sz="0" w:space="0" w:color="auto"/>
            <w:left w:val="none" w:sz="0" w:space="0" w:color="auto"/>
            <w:bottom w:val="none" w:sz="0" w:space="0" w:color="auto"/>
            <w:right w:val="none" w:sz="0" w:space="0" w:color="auto"/>
          </w:divBdr>
        </w:div>
        <w:div w:id="837422288">
          <w:marLeft w:val="640"/>
          <w:marRight w:val="0"/>
          <w:marTop w:val="0"/>
          <w:marBottom w:val="0"/>
          <w:divBdr>
            <w:top w:val="none" w:sz="0" w:space="0" w:color="auto"/>
            <w:left w:val="none" w:sz="0" w:space="0" w:color="auto"/>
            <w:bottom w:val="none" w:sz="0" w:space="0" w:color="auto"/>
            <w:right w:val="none" w:sz="0" w:space="0" w:color="auto"/>
          </w:divBdr>
        </w:div>
        <w:div w:id="584538227">
          <w:marLeft w:val="640"/>
          <w:marRight w:val="0"/>
          <w:marTop w:val="0"/>
          <w:marBottom w:val="0"/>
          <w:divBdr>
            <w:top w:val="none" w:sz="0" w:space="0" w:color="auto"/>
            <w:left w:val="none" w:sz="0" w:space="0" w:color="auto"/>
            <w:bottom w:val="none" w:sz="0" w:space="0" w:color="auto"/>
            <w:right w:val="none" w:sz="0" w:space="0" w:color="auto"/>
          </w:divBdr>
        </w:div>
        <w:div w:id="517089069">
          <w:marLeft w:val="640"/>
          <w:marRight w:val="0"/>
          <w:marTop w:val="0"/>
          <w:marBottom w:val="0"/>
          <w:divBdr>
            <w:top w:val="none" w:sz="0" w:space="0" w:color="auto"/>
            <w:left w:val="none" w:sz="0" w:space="0" w:color="auto"/>
            <w:bottom w:val="none" w:sz="0" w:space="0" w:color="auto"/>
            <w:right w:val="none" w:sz="0" w:space="0" w:color="auto"/>
          </w:divBdr>
        </w:div>
        <w:div w:id="610824453">
          <w:marLeft w:val="640"/>
          <w:marRight w:val="0"/>
          <w:marTop w:val="0"/>
          <w:marBottom w:val="0"/>
          <w:divBdr>
            <w:top w:val="none" w:sz="0" w:space="0" w:color="auto"/>
            <w:left w:val="none" w:sz="0" w:space="0" w:color="auto"/>
            <w:bottom w:val="none" w:sz="0" w:space="0" w:color="auto"/>
            <w:right w:val="none" w:sz="0" w:space="0" w:color="auto"/>
          </w:divBdr>
        </w:div>
        <w:div w:id="239877685">
          <w:marLeft w:val="640"/>
          <w:marRight w:val="0"/>
          <w:marTop w:val="0"/>
          <w:marBottom w:val="0"/>
          <w:divBdr>
            <w:top w:val="none" w:sz="0" w:space="0" w:color="auto"/>
            <w:left w:val="none" w:sz="0" w:space="0" w:color="auto"/>
            <w:bottom w:val="none" w:sz="0" w:space="0" w:color="auto"/>
            <w:right w:val="none" w:sz="0" w:space="0" w:color="auto"/>
          </w:divBdr>
        </w:div>
        <w:div w:id="1107503990">
          <w:marLeft w:val="640"/>
          <w:marRight w:val="0"/>
          <w:marTop w:val="0"/>
          <w:marBottom w:val="0"/>
          <w:divBdr>
            <w:top w:val="none" w:sz="0" w:space="0" w:color="auto"/>
            <w:left w:val="none" w:sz="0" w:space="0" w:color="auto"/>
            <w:bottom w:val="none" w:sz="0" w:space="0" w:color="auto"/>
            <w:right w:val="none" w:sz="0" w:space="0" w:color="auto"/>
          </w:divBdr>
        </w:div>
        <w:div w:id="272060889">
          <w:marLeft w:val="640"/>
          <w:marRight w:val="0"/>
          <w:marTop w:val="0"/>
          <w:marBottom w:val="0"/>
          <w:divBdr>
            <w:top w:val="none" w:sz="0" w:space="0" w:color="auto"/>
            <w:left w:val="none" w:sz="0" w:space="0" w:color="auto"/>
            <w:bottom w:val="none" w:sz="0" w:space="0" w:color="auto"/>
            <w:right w:val="none" w:sz="0" w:space="0" w:color="auto"/>
          </w:divBdr>
        </w:div>
        <w:div w:id="1290668907">
          <w:marLeft w:val="640"/>
          <w:marRight w:val="0"/>
          <w:marTop w:val="0"/>
          <w:marBottom w:val="0"/>
          <w:divBdr>
            <w:top w:val="none" w:sz="0" w:space="0" w:color="auto"/>
            <w:left w:val="none" w:sz="0" w:space="0" w:color="auto"/>
            <w:bottom w:val="none" w:sz="0" w:space="0" w:color="auto"/>
            <w:right w:val="none" w:sz="0" w:space="0" w:color="auto"/>
          </w:divBdr>
        </w:div>
        <w:div w:id="531574829">
          <w:marLeft w:val="640"/>
          <w:marRight w:val="0"/>
          <w:marTop w:val="0"/>
          <w:marBottom w:val="0"/>
          <w:divBdr>
            <w:top w:val="none" w:sz="0" w:space="0" w:color="auto"/>
            <w:left w:val="none" w:sz="0" w:space="0" w:color="auto"/>
            <w:bottom w:val="none" w:sz="0" w:space="0" w:color="auto"/>
            <w:right w:val="none" w:sz="0" w:space="0" w:color="auto"/>
          </w:divBdr>
        </w:div>
        <w:div w:id="1260675207">
          <w:marLeft w:val="640"/>
          <w:marRight w:val="0"/>
          <w:marTop w:val="0"/>
          <w:marBottom w:val="0"/>
          <w:divBdr>
            <w:top w:val="none" w:sz="0" w:space="0" w:color="auto"/>
            <w:left w:val="none" w:sz="0" w:space="0" w:color="auto"/>
            <w:bottom w:val="none" w:sz="0" w:space="0" w:color="auto"/>
            <w:right w:val="none" w:sz="0" w:space="0" w:color="auto"/>
          </w:divBdr>
        </w:div>
        <w:div w:id="1906144456">
          <w:marLeft w:val="640"/>
          <w:marRight w:val="0"/>
          <w:marTop w:val="0"/>
          <w:marBottom w:val="0"/>
          <w:divBdr>
            <w:top w:val="none" w:sz="0" w:space="0" w:color="auto"/>
            <w:left w:val="none" w:sz="0" w:space="0" w:color="auto"/>
            <w:bottom w:val="none" w:sz="0" w:space="0" w:color="auto"/>
            <w:right w:val="none" w:sz="0" w:space="0" w:color="auto"/>
          </w:divBdr>
        </w:div>
        <w:div w:id="1599754029">
          <w:marLeft w:val="640"/>
          <w:marRight w:val="0"/>
          <w:marTop w:val="0"/>
          <w:marBottom w:val="0"/>
          <w:divBdr>
            <w:top w:val="none" w:sz="0" w:space="0" w:color="auto"/>
            <w:left w:val="none" w:sz="0" w:space="0" w:color="auto"/>
            <w:bottom w:val="none" w:sz="0" w:space="0" w:color="auto"/>
            <w:right w:val="none" w:sz="0" w:space="0" w:color="auto"/>
          </w:divBdr>
        </w:div>
        <w:div w:id="233784183">
          <w:marLeft w:val="640"/>
          <w:marRight w:val="0"/>
          <w:marTop w:val="0"/>
          <w:marBottom w:val="0"/>
          <w:divBdr>
            <w:top w:val="none" w:sz="0" w:space="0" w:color="auto"/>
            <w:left w:val="none" w:sz="0" w:space="0" w:color="auto"/>
            <w:bottom w:val="none" w:sz="0" w:space="0" w:color="auto"/>
            <w:right w:val="none" w:sz="0" w:space="0" w:color="auto"/>
          </w:divBdr>
        </w:div>
        <w:div w:id="1330020214">
          <w:marLeft w:val="640"/>
          <w:marRight w:val="0"/>
          <w:marTop w:val="0"/>
          <w:marBottom w:val="0"/>
          <w:divBdr>
            <w:top w:val="none" w:sz="0" w:space="0" w:color="auto"/>
            <w:left w:val="none" w:sz="0" w:space="0" w:color="auto"/>
            <w:bottom w:val="none" w:sz="0" w:space="0" w:color="auto"/>
            <w:right w:val="none" w:sz="0" w:space="0" w:color="auto"/>
          </w:divBdr>
        </w:div>
        <w:div w:id="767890890">
          <w:marLeft w:val="640"/>
          <w:marRight w:val="0"/>
          <w:marTop w:val="0"/>
          <w:marBottom w:val="0"/>
          <w:divBdr>
            <w:top w:val="none" w:sz="0" w:space="0" w:color="auto"/>
            <w:left w:val="none" w:sz="0" w:space="0" w:color="auto"/>
            <w:bottom w:val="none" w:sz="0" w:space="0" w:color="auto"/>
            <w:right w:val="none" w:sz="0" w:space="0" w:color="auto"/>
          </w:divBdr>
        </w:div>
        <w:div w:id="958492372">
          <w:marLeft w:val="640"/>
          <w:marRight w:val="0"/>
          <w:marTop w:val="0"/>
          <w:marBottom w:val="0"/>
          <w:divBdr>
            <w:top w:val="none" w:sz="0" w:space="0" w:color="auto"/>
            <w:left w:val="none" w:sz="0" w:space="0" w:color="auto"/>
            <w:bottom w:val="none" w:sz="0" w:space="0" w:color="auto"/>
            <w:right w:val="none" w:sz="0" w:space="0" w:color="auto"/>
          </w:divBdr>
        </w:div>
        <w:div w:id="1846895280">
          <w:marLeft w:val="640"/>
          <w:marRight w:val="0"/>
          <w:marTop w:val="0"/>
          <w:marBottom w:val="0"/>
          <w:divBdr>
            <w:top w:val="none" w:sz="0" w:space="0" w:color="auto"/>
            <w:left w:val="none" w:sz="0" w:space="0" w:color="auto"/>
            <w:bottom w:val="none" w:sz="0" w:space="0" w:color="auto"/>
            <w:right w:val="none" w:sz="0" w:space="0" w:color="auto"/>
          </w:divBdr>
        </w:div>
        <w:div w:id="1352416093">
          <w:marLeft w:val="640"/>
          <w:marRight w:val="0"/>
          <w:marTop w:val="0"/>
          <w:marBottom w:val="0"/>
          <w:divBdr>
            <w:top w:val="none" w:sz="0" w:space="0" w:color="auto"/>
            <w:left w:val="none" w:sz="0" w:space="0" w:color="auto"/>
            <w:bottom w:val="none" w:sz="0" w:space="0" w:color="auto"/>
            <w:right w:val="none" w:sz="0" w:space="0" w:color="auto"/>
          </w:divBdr>
        </w:div>
        <w:div w:id="1107580749">
          <w:marLeft w:val="640"/>
          <w:marRight w:val="0"/>
          <w:marTop w:val="0"/>
          <w:marBottom w:val="0"/>
          <w:divBdr>
            <w:top w:val="none" w:sz="0" w:space="0" w:color="auto"/>
            <w:left w:val="none" w:sz="0" w:space="0" w:color="auto"/>
            <w:bottom w:val="none" w:sz="0" w:space="0" w:color="auto"/>
            <w:right w:val="none" w:sz="0" w:space="0" w:color="auto"/>
          </w:divBdr>
        </w:div>
        <w:div w:id="585919122">
          <w:marLeft w:val="640"/>
          <w:marRight w:val="0"/>
          <w:marTop w:val="0"/>
          <w:marBottom w:val="0"/>
          <w:divBdr>
            <w:top w:val="none" w:sz="0" w:space="0" w:color="auto"/>
            <w:left w:val="none" w:sz="0" w:space="0" w:color="auto"/>
            <w:bottom w:val="none" w:sz="0" w:space="0" w:color="auto"/>
            <w:right w:val="none" w:sz="0" w:space="0" w:color="auto"/>
          </w:divBdr>
        </w:div>
        <w:div w:id="422454639">
          <w:marLeft w:val="640"/>
          <w:marRight w:val="0"/>
          <w:marTop w:val="0"/>
          <w:marBottom w:val="0"/>
          <w:divBdr>
            <w:top w:val="none" w:sz="0" w:space="0" w:color="auto"/>
            <w:left w:val="none" w:sz="0" w:space="0" w:color="auto"/>
            <w:bottom w:val="none" w:sz="0" w:space="0" w:color="auto"/>
            <w:right w:val="none" w:sz="0" w:space="0" w:color="auto"/>
          </w:divBdr>
        </w:div>
        <w:div w:id="207181155">
          <w:marLeft w:val="640"/>
          <w:marRight w:val="0"/>
          <w:marTop w:val="0"/>
          <w:marBottom w:val="0"/>
          <w:divBdr>
            <w:top w:val="none" w:sz="0" w:space="0" w:color="auto"/>
            <w:left w:val="none" w:sz="0" w:space="0" w:color="auto"/>
            <w:bottom w:val="none" w:sz="0" w:space="0" w:color="auto"/>
            <w:right w:val="none" w:sz="0" w:space="0" w:color="auto"/>
          </w:divBdr>
        </w:div>
        <w:div w:id="1766921210">
          <w:marLeft w:val="640"/>
          <w:marRight w:val="0"/>
          <w:marTop w:val="0"/>
          <w:marBottom w:val="0"/>
          <w:divBdr>
            <w:top w:val="none" w:sz="0" w:space="0" w:color="auto"/>
            <w:left w:val="none" w:sz="0" w:space="0" w:color="auto"/>
            <w:bottom w:val="none" w:sz="0" w:space="0" w:color="auto"/>
            <w:right w:val="none" w:sz="0" w:space="0" w:color="auto"/>
          </w:divBdr>
        </w:div>
        <w:div w:id="898714113">
          <w:marLeft w:val="640"/>
          <w:marRight w:val="0"/>
          <w:marTop w:val="0"/>
          <w:marBottom w:val="0"/>
          <w:divBdr>
            <w:top w:val="none" w:sz="0" w:space="0" w:color="auto"/>
            <w:left w:val="none" w:sz="0" w:space="0" w:color="auto"/>
            <w:bottom w:val="none" w:sz="0" w:space="0" w:color="auto"/>
            <w:right w:val="none" w:sz="0" w:space="0" w:color="auto"/>
          </w:divBdr>
        </w:div>
        <w:div w:id="366485907">
          <w:marLeft w:val="640"/>
          <w:marRight w:val="0"/>
          <w:marTop w:val="0"/>
          <w:marBottom w:val="0"/>
          <w:divBdr>
            <w:top w:val="none" w:sz="0" w:space="0" w:color="auto"/>
            <w:left w:val="none" w:sz="0" w:space="0" w:color="auto"/>
            <w:bottom w:val="none" w:sz="0" w:space="0" w:color="auto"/>
            <w:right w:val="none" w:sz="0" w:space="0" w:color="auto"/>
          </w:divBdr>
        </w:div>
        <w:div w:id="1610089007">
          <w:marLeft w:val="640"/>
          <w:marRight w:val="0"/>
          <w:marTop w:val="0"/>
          <w:marBottom w:val="0"/>
          <w:divBdr>
            <w:top w:val="none" w:sz="0" w:space="0" w:color="auto"/>
            <w:left w:val="none" w:sz="0" w:space="0" w:color="auto"/>
            <w:bottom w:val="none" w:sz="0" w:space="0" w:color="auto"/>
            <w:right w:val="none" w:sz="0" w:space="0" w:color="auto"/>
          </w:divBdr>
        </w:div>
        <w:div w:id="1044912400">
          <w:marLeft w:val="640"/>
          <w:marRight w:val="0"/>
          <w:marTop w:val="0"/>
          <w:marBottom w:val="0"/>
          <w:divBdr>
            <w:top w:val="none" w:sz="0" w:space="0" w:color="auto"/>
            <w:left w:val="none" w:sz="0" w:space="0" w:color="auto"/>
            <w:bottom w:val="none" w:sz="0" w:space="0" w:color="auto"/>
            <w:right w:val="none" w:sz="0" w:space="0" w:color="auto"/>
          </w:divBdr>
        </w:div>
        <w:div w:id="596325367">
          <w:marLeft w:val="640"/>
          <w:marRight w:val="0"/>
          <w:marTop w:val="0"/>
          <w:marBottom w:val="0"/>
          <w:divBdr>
            <w:top w:val="none" w:sz="0" w:space="0" w:color="auto"/>
            <w:left w:val="none" w:sz="0" w:space="0" w:color="auto"/>
            <w:bottom w:val="none" w:sz="0" w:space="0" w:color="auto"/>
            <w:right w:val="none" w:sz="0" w:space="0" w:color="auto"/>
          </w:divBdr>
        </w:div>
        <w:div w:id="1711029166">
          <w:marLeft w:val="640"/>
          <w:marRight w:val="0"/>
          <w:marTop w:val="0"/>
          <w:marBottom w:val="0"/>
          <w:divBdr>
            <w:top w:val="none" w:sz="0" w:space="0" w:color="auto"/>
            <w:left w:val="none" w:sz="0" w:space="0" w:color="auto"/>
            <w:bottom w:val="none" w:sz="0" w:space="0" w:color="auto"/>
            <w:right w:val="none" w:sz="0" w:space="0" w:color="auto"/>
          </w:divBdr>
        </w:div>
        <w:div w:id="1713113472">
          <w:marLeft w:val="640"/>
          <w:marRight w:val="0"/>
          <w:marTop w:val="0"/>
          <w:marBottom w:val="0"/>
          <w:divBdr>
            <w:top w:val="none" w:sz="0" w:space="0" w:color="auto"/>
            <w:left w:val="none" w:sz="0" w:space="0" w:color="auto"/>
            <w:bottom w:val="none" w:sz="0" w:space="0" w:color="auto"/>
            <w:right w:val="none" w:sz="0" w:space="0" w:color="auto"/>
          </w:divBdr>
        </w:div>
        <w:div w:id="1137379416">
          <w:marLeft w:val="640"/>
          <w:marRight w:val="0"/>
          <w:marTop w:val="0"/>
          <w:marBottom w:val="0"/>
          <w:divBdr>
            <w:top w:val="none" w:sz="0" w:space="0" w:color="auto"/>
            <w:left w:val="none" w:sz="0" w:space="0" w:color="auto"/>
            <w:bottom w:val="none" w:sz="0" w:space="0" w:color="auto"/>
            <w:right w:val="none" w:sz="0" w:space="0" w:color="auto"/>
          </w:divBdr>
        </w:div>
        <w:div w:id="1553153862">
          <w:marLeft w:val="640"/>
          <w:marRight w:val="0"/>
          <w:marTop w:val="0"/>
          <w:marBottom w:val="0"/>
          <w:divBdr>
            <w:top w:val="none" w:sz="0" w:space="0" w:color="auto"/>
            <w:left w:val="none" w:sz="0" w:space="0" w:color="auto"/>
            <w:bottom w:val="none" w:sz="0" w:space="0" w:color="auto"/>
            <w:right w:val="none" w:sz="0" w:space="0" w:color="auto"/>
          </w:divBdr>
        </w:div>
        <w:div w:id="1485194643">
          <w:marLeft w:val="640"/>
          <w:marRight w:val="0"/>
          <w:marTop w:val="0"/>
          <w:marBottom w:val="0"/>
          <w:divBdr>
            <w:top w:val="none" w:sz="0" w:space="0" w:color="auto"/>
            <w:left w:val="none" w:sz="0" w:space="0" w:color="auto"/>
            <w:bottom w:val="none" w:sz="0" w:space="0" w:color="auto"/>
            <w:right w:val="none" w:sz="0" w:space="0" w:color="auto"/>
          </w:divBdr>
        </w:div>
        <w:div w:id="2008289431">
          <w:marLeft w:val="640"/>
          <w:marRight w:val="0"/>
          <w:marTop w:val="0"/>
          <w:marBottom w:val="0"/>
          <w:divBdr>
            <w:top w:val="none" w:sz="0" w:space="0" w:color="auto"/>
            <w:left w:val="none" w:sz="0" w:space="0" w:color="auto"/>
            <w:bottom w:val="none" w:sz="0" w:space="0" w:color="auto"/>
            <w:right w:val="none" w:sz="0" w:space="0" w:color="auto"/>
          </w:divBdr>
        </w:div>
        <w:div w:id="513761839">
          <w:marLeft w:val="640"/>
          <w:marRight w:val="0"/>
          <w:marTop w:val="0"/>
          <w:marBottom w:val="0"/>
          <w:divBdr>
            <w:top w:val="none" w:sz="0" w:space="0" w:color="auto"/>
            <w:left w:val="none" w:sz="0" w:space="0" w:color="auto"/>
            <w:bottom w:val="none" w:sz="0" w:space="0" w:color="auto"/>
            <w:right w:val="none" w:sz="0" w:space="0" w:color="auto"/>
          </w:divBdr>
        </w:div>
        <w:div w:id="967707453">
          <w:marLeft w:val="640"/>
          <w:marRight w:val="0"/>
          <w:marTop w:val="0"/>
          <w:marBottom w:val="0"/>
          <w:divBdr>
            <w:top w:val="none" w:sz="0" w:space="0" w:color="auto"/>
            <w:left w:val="none" w:sz="0" w:space="0" w:color="auto"/>
            <w:bottom w:val="none" w:sz="0" w:space="0" w:color="auto"/>
            <w:right w:val="none" w:sz="0" w:space="0" w:color="auto"/>
          </w:divBdr>
        </w:div>
        <w:div w:id="1813475184">
          <w:marLeft w:val="640"/>
          <w:marRight w:val="0"/>
          <w:marTop w:val="0"/>
          <w:marBottom w:val="0"/>
          <w:divBdr>
            <w:top w:val="none" w:sz="0" w:space="0" w:color="auto"/>
            <w:left w:val="none" w:sz="0" w:space="0" w:color="auto"/>
            <w:bottom w:val="none" w:sz="0" w:space="0" w:color="auto"/>
            <w:right w:val="none" w:sz="0" w:space="0" w:color="auto"/>
          </w:divBdr>
        </w:div>
        <w:div w:id="1461260901">
          <w:marLeft w:val="640"/>
          <w:marRight w:val="0"/>
          <w:marTop w:val="0"/>
          <w:marBottom w:val="0"/>
          <w:divBdr>
            <w:top w:val="none" w:sz="0" w:space="0" w:color="auto"/>
            <w:left w:val="none" w:sz="0" w:space="0" w:color="auto"/>
            <w:bottom w:val="none" w:sz="0" w:space="0" w:color="auto"/>
            <w:right w:val="none" w:sz="0" w:space="0" w:color="auto"/>
          </w:divBdr>
        </w:div>
        <w:div w:id="1785228943">
          <w:marLeft w:val="640"/>
          <w:marRight w:val="0"/>
          <w:marTop w:val="0"/>
          <w:marBottom w:val="0"/>
          <w:divBdr>
            <w:top w:val="none" w:sz="0" w:space="0" w:color="auto"/>
            <w:left w:val="none" w:sz="0" w:space="0" w:color="auto"/>
            <w:bottom w:val="none" w:sz="0" w:space="0" w:color="auto"/>
            <w:right w:val="none" w:sz="0" w:space="0" w:color="auto"/>
          </w:divBdr>
        </w:div>
        <w:div w:id="2037073238">
          <w:marLeft w:val="640"/>
          <w:marRight w:val="0"/>
          <w:marTop w:val="0"/>
          <w:marBottom w:val="0"/>
          <w:divBdr>
            <w:top w:val="none" w:sz="0" w:space="0" w:color="auto"/>
            <w:left w:val="none" w:sz="0" w:space="0" w:color="auto"/>
            <w:bottom w:val="none" w:sz="0" w:space="0" w:color="auto"/>
            <w:right w:val="none" w:sz="0" w:space="0" w:color="auto"/>
          </w:divBdr>
        </w:div>
        <w:div w:id="770318516">
          <w:marLeft w:val="640"/>
          <w:marRight w:val="0"/>
          <w:marTop w:val="0"/>
          <w:marBottom w:val="0"/>
          <w:divBdr>
            <w:top w:val="none" w:sz="0" w:space="0" w:color="auto"/>
            <w:left w:val="none" w:sz="0" w:space="0" w:color="auto"/>
            <w:bottom w:val="none" w:sz="0" w:space="0" w:color="auto"/>
            <w:right w:val="none" w:sz="0" w:space="0" w:color="auto"/>
          </w:divBdr>
        </w:div>
        <w:div w:id="1419864169">
          <w:marLeft w:val="640"/>
          <w:marRight w:val="0"/>
          <w:marTop w:val="0"/>
          <w:marBottom w:val="0"/>
          <w:divBdr>
            <w:top w:val="none" w:sz="0" w:space="0" w:color="auto"/>
            <w:left w:val="none" w:sz="0" w:space="0" w:color="auto"/>
            <w:bottom w:val="none" w:sz="0" w:space="0" w:color="auto"/>
            <w:right w:val="none" w:sz="0" w:space="0" w:color="auto"/>
          </w:divBdr>
        </w:div>
        <w:div w:id="1104810616">
          <w:marLeft w:val="640"/>
          <w:marRight w:val="0"/>
          <w:marTop w:val="0"/>
          <w:marBottom w:val="0"/>
          <w:divBdr>
            <w:top w:val="none" w:sz="0" w:space="0" w:color="auto"/>
            <w:left w:val="none" w:sz="0" w:space="0" w:color="auto"/>
            <w:bottom w:val="none" w:sz="0" w:space="0" w:color="auto"/>
            <w:right w:val="none" w:sz="0" w:space="0" w:color="auto"/>
          </w:divBdr>
        </w:div>
        <w:div w:id="328362692">
          <w:marLeft w:val="640"/>
          <w:marRight w:val="0"/>
          <w:marTop w:val="0"/>
          <w:marBottom w:val="0"/>
          <w:divBdr>
            <w:top w:val="none" w:sz="0" w:space="0" w:color="auto"/>
            <w:left w:val="none" w:sz="0" w:space="0" w:color="auto"/>
            <w:bottom w:val="none" w:sz="0" w:space="0" w:color="auto"/>
            <w:right w:val="none" w:sz="0" w:space="0" w:color="auto"/>
          </w:divBdr>
        </w:div>
        <w:div w:id="1558282131">
          <w:marLeft w:val="640"/>
          <w:marRight w:val="0"/>
          <w:marTop w:val="0"/>
          <w:marBottom w:val="0"/>
          <w:divBdr>
            <w:top w:val="none" w:sz="0" w:space="0" w:color="auto"/>
            <w:left w:val="none" w:sz="0" w:space="0" w:color="auto"/>
            <w:bottom w:val="none" w:sz="0" w:space="0" w:color="auto"/>
            <w:right w:val="none" w:sz="0" w:space="0" w:color="auto"/>
          </w:divBdr>
        </w:div>
        <w:div w:id="1072237563">
          <w:marLeft w:val="640"/>
          <w:marRight w:val="0"/>
          <w:marTop w:val="0"/>
          <w:marBottom w:val="0"/>
          <w:divBdr>
            <w:top w:val="none" w:sz="0" w:space="0" w:color="auto"/>
            <w:left w:val="none" w:sz="0" w:space="0" w:color="auto"/>
            <w:bottom w:val="none" w:sz="0" w:space="0" w:color="auto"/>
            <w:right w:val="none" w:sz="0" w:space="0" w:color="auto"/>
          </w:divBdr>
        </w:div>
        <w:div w:id="1942907453">
          <w:marLeft w:val="640"/>
          <w:marRight w:val="0"/>
          <w:marTop w:val="0"/>
          <w:marBottom w:val="0"/>
          <w:divBdr>
            <w:top w:val="none" w:sz="0" w:space="0" w:color="auto"/>
            <w:left w:val="none" w:sz="0" w:space="0" w:color="auto"/>
            <w:bottom w:val="none" w:sz="0" w:space="0" w:color="auto"/>
            <w:right w:val="none" w:sz="0" w:space="0" w:color="auto"/>
          </w:divBdr>
        </w:div>
        <w:div w:id="137311806">
          <w:marLeft w:val="640"/>
          <w:marRight w:val="0"/>
          <w:marTop w:val="0"/>
          <w:marBottom w:val="0"/>
          <w:divBdr>
            <w:top w:val="none" w:sz="0" w:space="0" w:color="auto"/>
            <w:left w:val="none" w:sz="0" w:space="0" w:color="auto"/>
            <w:bottom w:val="none" w:sz="0" w:space="0" w:color="auto"/>
            <w:right w:val="none" w:sz="0" w:space="0" w:color="auto"/>
          </w:divBdr>
        </w:div>
        <w:div w:id="1517501999">
          <w:marLeft w:val="640"/>
          <w:marRight w:val="0"/>
          <w:marTop w:val="0"/>
          <w:marBottom w:val="0"/>
          <w:divBdr>
            <w:top w:val="none" w:sz="0" w:space="0" w:color="auto"/>
            <w:left w:val="none" w:sz="0" w:space="0" w:color="auto"/>
            <w:bottom w:val="none" w:sz="0" w:space="0" w:color="auto"/>
            <w:right w:val="none" w:sz="0" w:space="0" w:color="auto"/>
          </w:divBdr>
        </w:div>
        <w:div w:id="27609274">
          <w:marLeft w:val="640"/>
          <w:marRight w:val="0"/>
          <w:marTop w:val="0"/>
          <w:marBottom w:val="0"/>
          <w:divBdr>
            <w:top w:val="none" w:sz="0" w:space="0" w:color="auto"/>
            <w:left w:val="none" w:sz="0" w:space="0" w:color="auto"/>
            <w:bottom w:val="none" w:sz="0" w:space="0" w:color="auto"/>
            <w:right w:val="none" w:sz="0" w:space="0" w:color="auto"/>
          </w:divBdr>
        </w:div>
        <w:div w:id="696660100">
          <w:marLeft w:val="640"/>
          <w:marRight w:val="0"/>
          <w:marTop w:val="0"/>
          <w:marBottom w:val="0"/>
          <w:divBdr>
            <w:top w:val="none" w:sz="0" w:space="0" w:color="auto"/>
            <w:left w:val="none" w:sz="0" w:space="0" w:color="auto"/>
            <w:bottom w:val="none" w:sz="0" w:space="0" w:color="auto"/>
            <w:right w:val="none" w:sz="0" w:space="0" w:color="auto"/>
          </w:divBdr>
        </w:div>
        <w:div w:id="398866491">
          <w:marLeft w:val="640"/>
          <w:marRight w:val="0"/>
          <w:marTop w:val="0"/>
          <w:marBottom w:val="0"/>
          <w:divBdr>
            <w:top w:val="none" w:sz="0" w:space="0" w:color="auto"/>
            <w:left w:val="none" w:sz="0" w:space="0" w:color="auto"/>
            <w:bottom w:val="none" w:sz="0" w:space="0" w:color="auto"/>
            <w:right w:val="none" w:sz="0" w:space="0" w:color="auto"/>
          </w:divBdr>
        </w:div>
        <w:div w:id="487404027">
          <w:marLeft w:val="640"/>
          <w:marRight w:val="0"/>
          <w:marTop w:val="0"/>
          <w:marBottom w:val="0"/>
          <w:divBdr>
            <w:top w:val="none" w:sz="0" w:space="0" w:color="auto"/>
            <w:left w:val="none" w:sz="0" w:space="0" w:color="auto"/>
            <w:bottom w:val="none" w:sz="0" w:space="0" w:color="auto"/>
            <w:right w:val="none" w:sz="0" w:space="0" w:color="auto"/>
          </w:divBdr>
        </w:div>
        <w:div w:id="1275134849">
          <w:marLeft w:val="640"/>
          <w:marRight w:val="0"/>
          <w:marTop w:val="0"/>
          <w:marBottom w:val="0"/>
          <w:divBdr>
            <w:top w:val="none" w:sz="0" w:space="0" w:color="auto"/>
            <w:left w:val="none" w:sz="0" w:space="0" w:color="auto"/>
            <w:bottom w:val="none" w:sz="0" w:space="0" w:color="auto"/>
            <w:right w:val="none" w:sz="0" w:space="0" w:color="auto"/>
          </w:divBdr>
        </w:div>
        <w:div w:id="693968423">
          <w:marLeft w:val="640"/>
          <w:marRight w:val="0"/>
          <w:marTop w:val="0"/>
          <w:marBottom w:val="0"/>
          <w:divBdr>
            <w:top w:val="none" w:sz="0" w:space="0" w:color="auto"/>
            <w:left w:val="none" w:sz="0" w:space="0" w:color="auto"/>
            <w:bottom w:val="none" w:sz="0" w:space="0" w:color="auto"/>
            <w:right w:val="none" w:sz="0" w:space="0" w:color="auto"/>
          </w:divBdr>
        </w:div>
        <w:div w:id="1321494936">
          <w:marLeft w:val="640"/>
          <w:marRight w:val="0"/>
          <w:marTop w:val="0"/>
          <w:marBottom w:val="0"/>
          <w:divBdr>
            <w:top w:val="none" w:sz="0" w:space="0" w:color="auto"/>
            <w:left w:val="none" w:sz="0" w:space="0" w:color="auto"/>
            <w:bottom w:val="none" w:sz="0" w:space="0" w:color="auto"/>
            <w:right w:val="none" w:sz="0" w:space="0" w:color="auto"/>
          </w:divBdr>
        </w:div>
        <w:div w:id="446631384">
          <w:marLeft w:val="640"/>
          <w:marRight w:val="0"/>
          <w:marTop w:val="0"/>
          <w:marBottom w:val="0"/>
          <w:divBdr>
            <w:top w:val="none" w:sz="0" w:space="0" w:color="auto"/>
            <w:left w:val="none" w:sz="0" w:space="0" w:color="auto"/>
            <w:bottom w:val="none" w:sz="0" w:space="0" w:color="auto"/>
            <w:right w:val="none" w:sz="0" w:space="0" w:color="auto"/>
          </w:divBdr>
        </w:div>
        <w:div w:id="2077891829">
          <w:marLeft w:val="640"/>
          <w:marRight w:val="0"/>
          <w:marTop w:val="0"/>
          <w:marBottom w:val="0"/>
          <w:divBdr>
            <w:top w:val="none" w:sz="0" w:space="0" w:color="auto"/>
            <w:left w:val="none" w:sz="0" w:space="0" w:color="auto"/>
            <w:bottom w:val="none" w:sz="0" w:space="0" w:color="auto"/>
            <w:right w:val="none" w:sz="0" w:space="0" w:color="auto"/>
          </w:divBdr>
        </w:div>
        <w:div w:id="491601853">
          <w:marLeft w:val="640"/>
          <w:marRight w:val="0"/>
          <w:marTop w:val="0"/>
          <w:marBottom w:val="0"/>
          <w:divBdr>
            <w:top w:val="none" w:sz="0" w:space="0" w:color="auto"/>
            <w:left w:val="none" w:sz="0" w:space="0" w:color="auto"/>
            <w:bottom w:val="none" w:sz="0" w:space="0" w:color="auto"/>
            <w:right w:val="none" w:sz="0" w:space="0" w:color="auto"/>
          </w:divBdr>
        </w:div>
        <w:div w:id="939339302">
          <w:marLeft w:val="640"/>
          <w:marRight w:val="0"/>
          <w:marTop w:val="0"/>
          <w:marBottom w:val="0"/>
          <w:divBdr>
            <w:top w:val="none" w:sz="0" w:space="0" w:color="auto"/>
            <w:left w:val="none" w:sz="0" w:space="0" w:color="auto"/>
            <w:bottom w:val="none" w:sz="0" w:space="0" w:color="auto"/>
            <w:right w:val="none" w:sz="0" w:space="0" w:color="auto"/>
          </w:divBdr>
        </w:div>
        <w:div w:id="597905140">
          <w:marLeft w:val="640"/>
          <w:marRight w:val="0"/>
          <w:marTop w:val="0"/>
          <w:marBottom w:val="0"/>
          <w:divBdr>
            <w:top w:val="none" w:sz="0" w:space="0" w:color="auto"/>
            <w:left w:val="none" w:sz="0" w:space="0" w:color="auto"/>
            <w:bottom w:val="none" w:sz="0" w:space="0" w:color="auto"/>
            <w:right w:val="none" w:sz="0" w:space="0" w:color="auto"/>
          </w:divBdr>
        </w:div>
        <w:div w:id="1803571970">
          <w:marLeft w:val="640"/>
          <w:marRight w:val="0"/>
          <w:marTop w:val="0"/>
          <w:marBottom w:val="0"/>
          <w:divBdr>
            <w:top w:val="none" w:sz="0" w:space="0" w:color="auto"/>
            <w:left w:val="none" w:sz="0" w:space="0" w:color="auto"/>
            <w:bottom w:val="none" w:sz="0" w:space="0" w:color="auto"/>
            <w:right w:val="none" w:sz="0" w:space="0" w:color="auto"/>
          </w:divBdr>
        </w:div>
        <w:div w:id="1825118485">
          <w:marLeft w:val="640"/>
          <w:marRight w:val="0"/>
          <w:marTop w:val="0"/>
          <w:marBottom w:val="0"/>
          <w:divBdr>
            <w:top w:val="none" w:sz="0" w:space="0" w:color="auto"/>
            <w:left w:val="none" w:sz="0" w:space="0" w:color="auto"/>
            <w:bottom w:val="none" w:sz="0" w:space="0" w:color="auto"/>
            <w:right w:val="none" w:sz="0" w:space="0" w:color="auto"/>
          </w:divBdr>
        </w:div>
        <w:div w:id="893153936">
          <w:marLeft w:val="640"/>
          <w:marRight w:val="0"/>
          <w:marTop w:val="0"/>
          <w:marBottom w:val="0"/>
          <w:divBdr>
            <w:top w:val="none" w:sz="0" w:space="0" w:color="auto"/>
            <w:left w:val="none" w:sz="0" w:space="0" w:color="auto"/>
            <w:bottom w:val="none" w:sz="0" w:space="0" w:color="auto"/>
            <w:right w:val="none" w:sz="0" w:space="0" w:color="auto"/>
          </w:divBdr>
        </w:div>
        <w:div w:id="326639008">
          <w:marLeft w:val="640"/>
          <w:marRight w:val="0"/>
          <w:marTop w:val="0"/>
          <w:marBottom w:val="0"/>
          <w:divBdr>
            <w:top w:val="none" w:sz="0" w:space="0" w:color="auto"/>
            <w:left w:val="none" w:sz="0" w:space="0" w:color="auto"/>
            <w:bottom w:val="none" w:sz="0" w:space="0" w:color="auto"/>
            <w:right w:val="none" w:sz="0" w:space="0" w:color="auto"/>
          </w:divBdr>
        </w:div>
        <w:div w:id="1456753881">
          <w:marLeft w:val="640"/>
          <w:marRight w:val="0"/>
          <w:marTop w:val="0"/>
          <w:marBottom w:val="0"/>
          <w:divBdr>
            <w:top w:val="none" w:sz="0" w:space="0" w:color="auto"/>
            <w:left w:val="none" w:sz="0" w:space="0" w:color="auto"/>
            <w:bottom w:val="none" w:sz="0" w:space="0" w:color="auto"/>
            <w:right w:val="none" w:sz="0" w:space="0" w:color="auto"/>
          </w:divBdr>
        </w:div>
        <w:div w:id="1686708831">
          <w:marLeft w:val="640"/>
          <w:marRight w:val="0"/>
          <w:marTop w:val="0"/>
          <w:marBottom w:val="0"/>
          <w:divBdr>
            <w:top w:val="none" w:sz="0" w:space="0" w:color="auto"/>
            <w:left w:val="none" w:sz="0" w:space="0" w:color="auto"/>
            <w:bottom w:val="none" w:sz="0" w:space="0" w:color="auto"/>
            <w:right w:val="none" w:sz="0" w:space="0" w:color="auto"/>
          </w:divBdr>
        </w:div>
        <w:div w:id="1543515617">
          <w:marLeft w:val="640"/>
          <w:marRight w:val="0"/>
          <w:marTop w:val="0"/>
          <w:marBottom w:val="0"/>
          <w:divBdr>
            <w:top w:val="none" w:sz="0" w:space="0" w:color="auto"/>
            <w:left w:val="none" w:sz="0" w:space="0" w:color="auto"/>
            <w:bottom w:val="none" w:sz="0" w:space="0" w:color="auto"/>
            <w:right w:val="none" w:sz="0" w:space="0" w:color="auto"/>
          </w:divBdr>
        </w:div>
        <w:div w:id="869102957">
          <w:marLeft w:val="640"/>
          <w:marRight w:val="0"/>
          <w:marTop w:val="0"/>
          <w:marBottom w:val="0"/>
          <w:divBdr>
            <w:top w:val="none" w:sz="0" w:space="0" w:color="auto"/>
            <w:left w:val="none" w:sz="0" w:space="0" w:color="auto"/>
            <w:bottom w:val="none" w:sz="0" w:space="0" w:color="auto"/>
            <w:right w:val="none" w:sz="0" w:space="0" w:color="auto"/>
          </w:divBdr>
        </w:div>
        <w:div w:id="639848452">
          <w:marLeft w:val="640"/>
          <w:marRight w:val="0"/>
          <w:marTop w:val="0"/>
          <w:marBottom w:val="0"/>
          <w:divBdr>
            <w:top w:val="none" w:sz="0" w:space="0" w:color="auto"/>
            <w:left w:val="none" w:sz="0" w:space="0" w:color="auto"/>
            <w:bottom w:val="none" w:sz="0" w:space="0" w:color="auto"/>
            <w:right w:val="none" w:sz="0" w:space="0" w:color="auto"/>
          </w:divBdr>
        </w:div>
        <w:div w:id="862943751">
          <w:marLeft w:val="640"/>
          <w:marRight w:val="0"/>
          <w:marTop w:val="0"/>
          <w:marBottom w:val="0"/>
          <w:divBdr>
            <w:top w:val="none" w:sz="0" w:space="0" w:color="auto"/>
            <w:left w:val="none" w:sz="0" w:space="0" w:color="auto"/>
            <w:bottom w:val="none" w:sz="0" w:space="0" w:color="auto"/>
            <w:right w:val="none" w:sz="0" w:space="0" w:color="auto"/>
          </w:divBdr>
        </w:div>
        <w:div w:id="1906521991">
          <w:marLeft w:val="640"/>
          <w:marRight w:val="0"/>
          <w:marTop w:val="0"/>
          <w:marBottom w:val="0"/>
          <w:divBdr>
            <w:top w:val="none" w:sz="0" w:space="0" w:color="auto"/>
            <w:left w:val="none" w:sz="0" w:space="0" w:color="auto"/>
            <w:bottom w:val="none" w:sz="0" w:space="0" w:color="auto"/>
            <w:right w:val="none" w:sz="0" w:space="0" w:color="auto"/>
          </w:divBdr>
        </w:div>
        <w:div w:id="523174724">
          <w:marLeft w:val="640"/>
          <w:marRight w:val="0"/>
          <w:marTop w:val="0"/>
          <w:marBottom w:val="0"/>
          <w:divBdr>
            <w:top w:val="none" w:sz="0" w:space="0" w:color="auto"/>
            <w:left w:val="none" w:sz="0" w:space="0" w:color="auto"/>
            <w:bottom w:val="none" w:sz="0" w:space="0" w:color="auto"/>
            <w:right w:val="none" w:sz="0" w:space="0" w:color="auto"/>
          </w:divBdr>
        </w:div>
        <w:div w:id="435829413">
          <w:marLeft w:val="640"/>
          <w:marRight w:val="0"/>
          <w:marTop w:val="0"/>
          <w:marBottom w:val="0"/>
          <w:divBdr>
            <w:top w:val="none" w:sz="0" w:space="0" w:color="auto"/>
            <w:left w:val="none" w:sz="0" w:space="0" w:color="auto"/>
            <w:bottom w:val="none" w:sz="0" w:space="0" w:color="auto"/>
            <w:right w:val="none" w:sz="0" w:space="0" w:color="auto"/>
          </w:divBdr>
        </w:div>
        <w:div w:id="326137286">
          <w:marLeft w:val="640"/>
          <w:marRight w:val="0"/>
          <w:marTop w:val="0"/>
          <w:marBottom w:val="0"/>
          <w:divBdr>
            <w:top w:val="none" w:sz="0" w:space="0" w:color="auto"/>
            <w:left w:val="none" w:sz="0" w:space="0" w:color="auto"/>
            <w:bottom w:val="none" w:sz="0" w:space="0" w:color="auto"/>
            <w:right w:val="none" w:sz="0" w:space="0" w:color="auto"/>
          </w:divBdr>
        </w:div>
        <w:div w:id="2004776822">
          <w:marLeft w:val="640"/>
          <w:marRight w:val="0"/>
          <w:marTop w:val="0"/>
          <w:marBottom w:val="0"/>
          <w:divBdr>
            <w:top w:val="none" w:sz="0" w:space="0" w:color="auto"/>
            <w:left w:val="none" w:sz="0" w:space="0" w:color="auto"/>
            <w:bottom w:val="none" w:sz="0" w:space="0" w:color="auto"/>
            <w:right w:val="none" w:sz="0" w:space="0" w:color="auto"/>
          </w:divBdr>
        </w:div>
        <w:div w:id="1413163214">
          <w:marLeft w:val="640"/>
          <w:marRight w:val="0"/>
          <w:marTop w:val="0"/>
          <w:marBottom w:val="0"/>
          <w:divBdr>
            <w:top w:val="none" w:sz="0" w:space="0" w:color="auto"/>
            <w:left w:val="none" w:sz="0" w:space="0" w:color="auto"/>
            <w:bottom w:val="none" w:sz="0" w:space="0" w:color="auto"/>
            <w:right w:val="none" w:sz="0" w:space="0" w:color="auto"/>
          </w:divBdr>
        </w:div>
        <w:div w:id="1945377323">
          <w:marLeft w:val="640"/>
          <w:marRight w:val="0"/>
          <w:marTop w:val="0"/>
          <w:marBottom w:val="0"/>
          <w:divBdr>
            <w:top w:val="none" w:sz="0" w:space="0" w:color="auto"/>
            <w:left w:val="none" w:sz="0" w:space="0" w:color="auto"/>
            <w:bottom w:val="none" w:sz="0" w:space="0" w:color="auto"/>
            <w:right w:val="none" w:sz="0" w:space="0" w:color="auto"/>
          </w:divBdr>
        </w:div>
        <w:div w:id="532890545">
          <w:marLeft w:val="640"/>
          <w:marRight w:val="0"/>
          <w:marTop w:val="0"/>
          <w:marBottom w:val="0"/>
          <w:divBdr>
            <w:top w:val="none" w:sz="0" w:space="0" w:color="auto"/>
            <w:left w:val="none" w:sz="0" w:space="0" w:color="auto"/>
            <w:bottom w:val="none" w:sz="0" w:space="0" w:color="auto"/>
            <w:right w:val="none" w:sz="0" w:space="0" w:color="auto"/>
          </w:divBdr>
        </w:div>
        <w:div w:id="1910532503">
          <w:marLeft w:val="640"/>
          <w:marRight w:val="0"/>
          <w:marTop w:val="0"/>
          <w:marBottom w:val="0"/>
          <w:divBdr>
            <w:top w:val="none" w:sz="0" w:space="0" w:color="auto"/>
            <w:left w:val="none" w:sz="0" w:space="0" w:color="auto"/>
            <w:bottom w:val="none" w:sz="0" w:space="0" w:color="auto"/>
            <w:right w:val="none" w:sz="0" w:space="0" w:color="auto"/>
          </w:divBdr>
        </w:div>
        <w:div w:id="409501279">
          <w:marLeft w:val="640"/>
          <w:marRight w:val="0"/>
          <w:marTop w:val="0"/>
          <w:marBottom w:val="0"/>
          <w:divBdr>
            <w:top w:val="none" w:sz="0" w:space="0" w:color="auto"/>
            <w:left w:val="none" w:sz="0" w:space="0" w:color="auto"/>
            <w:bottom w:val="none" w:sz="0" w:space="0" w:color="auto"/>
            <w:right w:val="none" w:sz="0" w:space="0" w:color="auto"/>
          </w:divBdr>
        </w:div>
        <w:div w:id="705299423">
          <w:marLeft w:val="640"/>
          <w:marRight w:val="0"/>
          <w:marTop w:val="0"/>
          <w:marBottom w:val="0"/>
          <w:divBdr>
            <w:top w:val="none" w:sz="0" w:space="0" w:color="auto"/>
            <w:left w:val="none" w:sz="0" w:space="0" w:color="auto"/>
            <w:bottom w:val="none" w:sz="0" w:space="0" w:color="auto"/>
            <w:right w:val="none" w:sz="0" w:space="0" w:color="auto"/>
          </w:divBdr>
        </w:div>
        <w:div w:id="2104252816">
          <w:marLeft w:val="640"/>
          <w:marRight w:val="0"/>
          <w:marTop w:val="0"/>
          <w:marBottom w:val="0"/>
          <w:divBdr>
            <w:top w:val="none" w:sz="0" w:space="0" w:color="auto"/>
            <w:left w:val="none" w:sz="0" w:space="0" w:color="auto"/>
            <w:bottom w:val="none" w:sz="0" w:space="0" w:color="auto"/>
            <w:right w:val="none" w:sz="0" w:space="0" w:color="auto"/>
          </w:divBdr>
        </w:div>
        <w:div w:id="1514762201">
          <w:marLeft w:val="640"/>
          <w:marRight w:val="0"/>
          <w:marTop w:val="0"/>
          <w:marBottom w:val="0"/>
          <w:divBdr>
            <w:top w:val="none" w:sz="0" w:space="0" w:color="auto"/>
            <w:left w:val="none" w:sz="0" w:space="0" w:color="auto"/>
            <w:bottom w:val="none" w:sz="0" w:space="0" w:color="auto"/>
            <w:right w:val="none" w:sz="0" w:space="0" w:color="auto"/>
          </w:divBdr>
        </w:div>
        <w:div w:id="1975981731">
          <w:marLeft w:val="640"/>
          <w:marRight w:val="0"/>
          <w:marTop w:val="0"/>
          <w:marBottom w:val="0"/>
          <w:divBdr>
            <w:top w:val="none" w:sz="0" w:space="0" w:color="auto"/>
            <w:left w:val="none" w:sz="0" w:space="0" w:color="auto"/>
            <w:bottom w:val="none" w:sz="0" w:space="0" w:color="auto"/>
            <w:right w:val="none" w:sz="0" w:space="0" w:color="auto"/>
          </w:divBdr>
        </w:div>
        <w:div w:id="1061518774">
          <w:marLeft w:val="640"/>
          <w:marRight w:val="0"/>
          <w:marTop w:val="0"/>
          <w:marBottom w:val="0"/>
          <w:divBdr>
            <w:top w:val="none" w:sz="0" w:space="0" w:color="auto"/>
            <w:left w:val="none" w:sz="0" w:space="0" w:color="auto"/>
            <w:bottom w:val="none" w:sz="0" w:space="0" w:color="auto"/>
            <w:right w:val="none" w:sz="0" w:space="0" w:color="auto"/>
          </w:divBdr>
        </w:div>
        <w:div w:id="921916346">
          <w:marLeft w:val="640"/>
          <w:marRight w:val="0"/>
          <w:marTop w:val="0"/>
          <w:marBottom w:val="0"/>
          <w:divBdr>
            <w:top w:val="none" w:sz="0" w:space="0" w:color="auto"/>
            <w:left w:val="none" w:sz="0" w:space="0" w:color="auto"/>
            <w:bottom w:val="none" w:sz="0" w:space="0" w:color="auto"/>
            <w:right w:val="none" w:sz="0" w:space="0" w:color="auto"/>
          </w:divBdr>
        </w:div>
        <w:div w:id="1781024807">
          <w:marLeft w:val="640"/>
          <w:marRight w:val="0"/>
          <w:marTop w:val="0"/>
          <w:marBottom w:val="0"/>
          <w:divBdr>
            <w:top w:val="none" w:sz="0" w:space="0" w:color="auto"/>
            <w:left w:val="none" w:sz="0" w:space="0" w:color="auto"/>
            <w:bottom w:val="none" w:sz="0" w:space="0" w:color="auto"/>
            <w:right w:val="none" w:sz="0" w:space="0" w:color="auto"/>
          </w:divBdr>
        </w:div>
        <w:div w:id="618531646">
          <w:marLeft w:val="640"/>
          <w:marRight w:val="0"/>
          <w:marTop w:val="0"/>
          <w:marBottom w:val="0"/>
          <w:divBdr>
            <w:top w:val="none" w:sz="0" w:space="0" w:color="auto"/>
            <w:left w:val="none" w:sz="0" w:space="0" w:color="auto"/>
            <w:bottom w:val="none" w:sz="0" w:space="0" w:color="auto"/>
            <w:right w:val="none" w:sz="0" w:space="0" w:color="auto"/>
          </w:divBdr>
        </w:div>
        <w:div w:id="1059788522">
          <w:marLeft w:val="640"/>
          <w:marRight w:val="0"/>
          <w:marTop w:val="0"/>
          <w:marBottom w:val="0"/>
          <w:divBdr>
            <w:top w:val="none" w:sz="0" w:space="0" w:color="auto"/>
            <w:left w:val="none" w:sz="0" w:space="0" w:color="auto"/>
            <w:bottom w:val="none" w:sz="0" w:space="0" w:color="auto"/>
            <w:right w:val="none" w:sz="0" w:space="0" w:color="auto"/>
          </w:divBdr>
        </w:div>
        <w:div w:id="663976232">
          <w:marLeft w:val="640"/>
          <w:marRight w:val="0"/>
          <w:marTop w:val="0"/>
          <w:marBottom w:val="0"/>
          <w:divBdr>
            <w:top w:val="none" w:sz="0" w:space="0" w:color="auto"/>
            <w:left w:val="none" w:sz="0" w:space="0" w:color="auto"/>
            <w:bottom w:val="none" w:sz="0" w:space="0" w:color="auto"/>
            <w:right w:val="none" w:sz="0" w:space="0" w:color="auto"/>
          </w:divBdr>
        </w:div>
        <w:div w:id="1203398709">
          <w:marLeft w:val="640"/>
          <w:marRight w:val="0"/>
          <w:marTop w:val="0"/>
          <w:marBottom w:val="0"/>
          <w:divBdr>
            <w:top w:val="none" w:sz="0" w:space="0" w:color="auto"/>
            <w:left w:val="none" w:sz="0" w:space="0" w:color="auto"/>
            <w:bottom w:val="none" w:sz="0" w:space="0" w:color="auto"/>
            <w:right w:val="none" w:sz="0" w:space="0" w:color="auto"/>
          </w:divBdr>
        </w:div>
        <w:div w:id="685601435">
          <w:marLeft w:val="640"/>
          <w:marRight w:val="0"/>
          <w:marTop w:val="0"/>
          <w:marBottom w:val="0"/>
          <w:divBdr>
            <w:top w:val="none" w:sz="0" w:space="0" w:color="auto"/>
            <w:left w:val="none" w:sz="0" w:space="0" w:color="auto"/>
            <w:bottom w:val="none" w:sz="0" w:space="0" w:color="auto"/>
            <w:right w:val="none" w:sz="0" w:space="0" w:color="auto"/>
          </w:divBdr>
        </w:div>
        <w:div w:id="425611067">
          <w:marLeft w:val="640"/>
          <w:marRight w:val="0"/>
          <w:marTop w:val="0"/>
          <w:marBottom w:val="0"/>
          <w:divBdr>
            <w:top w:val="none" w:sz="0" w:space="0" w:color="auto"/>
            <w:left w:val="none" w:sz="0" w:space="0" w:color="auto"/>
            <w:bottom w:val="none" w:sz="0" w:space="0" w:color="auto"/>
            <w:right w:val="none" w:sz="0" w:space="0" w:color="auto"/>
          </w:divBdr>
        </w:div>
      </w:divsChild>
    </w:div>
    <w:div w:id="1095829318">
      <w:bodyDiv w:val="1"/>
      <w:marLeft w:val="0"/>
      <w:marRight w:val="0"/>
      <w:marTop w:val="0"/>
      <w:marBottom w:val="0"/>
      <w:divBdr>
        <w:top w:val="none" w:sz="0" w:space="0" w:color="auto"/>
        <w:left w:val="none" w:sz="0" w:space="0" w:color="auto"/>
        <w:bottom w:val="none" w:sz="0" w:space="0" w:color="auto"/>
        <w:right w:val="none" w:sz="0" w:space="0" w:color="auto"/>
      </w:divBdr>
      <w:divsChild>
        <w:div w:id="309403156">
          <w:marLeft w:val="640"/>
          <w:marRight w:val="0"/>
          <w:marTop w:val="0"/>
          <w:marBottom w:val="0"/>
          <w:divBdr>
            <w:top w:val="none" w:sz="0" w:space="0" w:color="auto"/>
            <w:left w:val="none" w:sz="0" w:space="0" w:color="auto"/>
            <w:bottom w:val="none" w:sz="0" w:space="0" w:color="auto"/>
            <w:right w:val="none" w:sz="0" w:space="0" w:color="auto"/>
          </w:divBdr>
        </w:div>
        <w:div w:id="664162300">
          <w:marLeft w:val="640"/>
          <w:marRight w:val="0"/>
          <w:marTop w:val="0"/>
          <w:marBottom w:val="0"/>
          <w:divBdr>
            <w:top w:val="none" w:sz="0" w:space="0" w:color="auto"/>
            <w:left w:val="none" w:sz="0" w:space="0" w:color="auto"/>
            <w:bottom w:val="none" w:sz="0" w:space="0" w:color="auto"/>
            <w:right w:val="none" w:sz="0" w:space="0" w:color="auto"/>
          </w:divBdr>
        </w:div>
        <w:div w:id="947351653">
          <w:marLeft w:val="640"/>
          <w:marRight w:val="0"/>
          <w:marTop w:val="0"/>
          <w:marBottom w:val="0"/>
          <w:divBdr>
            <w:top w:val="none" w:sz="0" w:space="0" w:color="auto"/>
            <w:left w:val="none" w:sz="0" w:space="0" w:color="auto"/>
            <w:bottom w:val="none" w:sz="0" w:space="0" w:color="auto"/>
            <w:right w:val="none" w:sz="0" w:space="0" w:color="auto"/>
          </w:divBdr>
        </w:div>
        <w:div w:id="1429349572">
          <w:marLeft w:val="640"/>
          <w:marRight w:val="0"/>
          <w:marTop w:val="0"/>
          <w:marBottom w:val="0"/>
          <w:divBdr>
            <w:top w:val="none" w:sz="0" w:space="0" w:color="auto"/>
            <w:left w:val="none" w:sz="0" w:space="0" w:color="auto"/>
            <w:bottom w:val="none" w:sz="0" w:space="0" w:color="auto"/>
            <w:right w:val="none" w:sz="0" w:space="0" w:color="auto"/>
          </w:divBdr>
        </w:div>
        <w:div w:id="155000414">
          <w:marLeft w:val="640"/>
          <w:marRight w:val="0"/>
          <w:marTop w:val="0"/>
          <w:marBottom w:val="0"/>
          <w:divBdr>
            <w:top w:val="none" w:sz="0" w:space="0" w:color="auto"/>
            <w:left w:val="none" w:sz="0" w:space="0" w:color="auto"/>
            <w:bottom w:val="none" w:sz="0" w:space="0" w:color="auto"/>
            <w:right w:val="none" w:sz="0" w:space="0" w:color="auto"/>
          </w:divBdr>
        </w:div>
        <w:div w:id="2056151337">
          <w:marLeft w:val="640"/>
          <w:marRight w:val="0"/>
          <w:marTop w:val="0"/>
          <w:marBottom w:val="0"/>
          <w:divBdr>
            <w:top w:val="none" w:sz="0" w:space="0" w:color="auto"/>
            <w:left w:val="none" w:sz="0" w:space="0" w:color="auto"/>
            <w:bottom w:val="none" w:sz="0" w:space="0" w:color="auto"/>
            <w:right w:val="none" w:sz="0" w:space="0" w:color="auto"/>
          </w:divBdr>
        </w:div>
        <w:div w:id="942685612">
          <w:marLeft w:val="640"/>
          <w:marRight w:val="0"/>
          <w:marTop w:val="0"/>
          <w:marBottom w:val="0"/>
          <w:divBdr>
            <w:top w:val="none" w:sz="0" w:space="0" w:color="auto"/>
            <w:left w:val="none" w:sz="0" w:space="0" w:color="auto"/>
            <w:bottom w:val="none" w:sz="0" w:space="0" w:color="auto"/>
            <w:right w:val="none" w:sz="0" w:space="0" w:color="auto"/>
          </w:divBdr>
        </w:div>
        <w:div w:id="576286616">
          <w:marLeft w:val="640"/>
          <w:marRight w:val="0"/>
          <w:marTop w:val="0"/>
          <w:marBottom w:val="0"/>
          <w:divBdr>
            <w:top w:val="none" w:sz="0" w:space="0" w:color="auto"/>
            <w:left w:val="none" w:sz="0" w:space="0" w:color="auto"/>
            <w:bottom w:val="none" w:sz="0" w:space="0" w:color="auto"/>
            <w:right w:val="none" w:sz="0" w:space="0" w:color="auto"/>
          </w:divBdr>
        </w:div>
        <w:div w:id="1618171888">
          <w:marLeft w:val="640"/>
          <w:marRight w:val="0"/>
          <w:marTop w:val="0"/>
          <w:marBottom w:val="0"/>
          <w:divBdr>
            <w:top w:val="none" w:sz="0" w:space="0" w:color="auto"/>
            <w:left w:val="none" w:sz="0" w:space="0" w:color="auto"/>
            <w:bottom w:val="none" w:sz="0" w:space="0" w:color="auto"/>
            <w:right w:val="none" w:sz="0" w:space="0" w:color="auto"/>
          </w:divBdr>
        </w:div>
        <w:div w:id="698042684">
          <w:marLeft w:val="640"/>
          <w:marRight w:val="0"/>
          <w:marTop w:val="0"/>
          <w:marBottom w:val="0"/>
          <w:divBdr>
            <w:top w:val="none" w:sz="0" w:space="0" w:color="auto"/>
            <w:left w:val="none" w:sz="0" w:space="0" w:color="auto"/>
            <w:bottom w:val="none" w:sz="0" w:space="0" w:color="auto"/>
            <w:right w:val="none" w:sz="0" w:space="0" w:color="auto"/>
          </w:divBdr>
        </w:div>
        <w:div w:id="1793210622">
          <w:marLeft w:val="640"/>
          <w:marRight w:val="0"/>
          <w:marTop w:val="0"/>
          <w:marBottom w:val="0"/>
          <w:divBdr>
            <w:top w:val="none" w:sz="0" w:space="0" w:color="auto"/>
            <w:left w:val="none" w:sz="0" w:space="0" w:color="auto"/>
            <w:bottom w:val="none" w:sz="0" w:space="0" w:color="auto"/>
            <w:right w:val="none" w:sz="0" w:space="0" w:color="auto"/>
          </w:divBdr>
        </w:div>
        <w:div w:id="353312262">
          <w:marLeft w:val="640"/>
          <w:marRight w:val="0"/>
          <w:marTop w:val="0"/>
          <w:marBottom w:val="0"/>
          <w:divBdr>
            <w:top w:val="none" w:sz="0" w:space="0" w:color="auto"/>
            <w:left w:val="none" w:sz="0" w:space="0" w:color="auto"/>
            <w:bottom w:val="none" w:sz="0" w:space="0" w:color="auto"/>
            <w:right w:val="none" w:sz="0" w:space="0" w:color="auto"/>
          </w:divBdr>
        </w:div>
        <w:div w:id="1783456332">
          <w:marLeft w:val="640"/>
          <w:marRight w:val="0"/>
          <w:marTop w:val="0"/>
          <w:marBottom w:val="0"/>
          <w:divBdr>
            <w:top w:val="none" w:sz="0" w:space="0" w:color="auto"/>
            <w:left w:val="none" w:sz="0" w:space="0" w:color="auto"/>
            <w:bottom w:val="none" w:sz="0" w:space="0" w:color="auto"/>
            <w:right w:val="none" w:sz="0" w:space="0" w:color="auto"/>
          </w:divBdr>
        </w:div>
        <w:div w:id="716467897">
          <w:marLeft w:val="640"/>
          <w:marRight w:val="0"/>
          <w:marTop w:val="0"/>
          <w:marBottom w:val="0"/>
          <w:divBdr>
            <w:top w:val="none" w:sz="0" w:space="0" w:color="auto"/>
            <w:left w:val="none" w:sz="0" w:space="0" w:color="auto"/>
            <w:bottom w:val="none" w:sz="0" w:space="0" w:color="auto"/>
            <w:right w:val="none" w:sz="0" w:space="0" w:color="auto"/>
          </w:divBdr>
        </w:div>
        <w:div w:id="11078973">
          <w:marLeft w:val="640"/>
          <w:marRight w:val="0"/>
          <w:marTop w:val="0"/>
          <w:marBottom w:val="0"/>
          <w:divBdr>
            <w:top w:val="none" w:sz="0" w:space="0" w:color="auto"/>
            <w:left w:val="none" w:sz="0" w:space="0" w:color="auto"/>
            <w:bottom w:val="none" w:sz="0" w:space="0" w:color="auto"/>
            <w:right w:val="none" w:sz="0" w:space="0" w:color="auto"/>
          </w:divBdr>
        </w:div>
        <w:div w:id="1959601570">
          <w:marLeft w:val="640"/>
          <w:marRight w:val="0"/>
          <w:marTop w:val="0"/>
          <w:marBottom w:val="0"/>
          <w:divBdr>
            <w:top w:val="none" w:sz="0" w:space="0" w:color="auto"/>
            <w:left w:val="none" w:sz="0" w:space="0" w:color="auto"/>
            <w:bottom w:val="none" w:sz="0" w:space="0" w:color="auto"/>
            <w:right w:val="none" w:sz="0" w:space="0" w:color="auto"/>
          </w:divBdr>
        </w:div>
        <w:div w:id="208223959">
          <w:marLeft w:val="640"/>
          <w:marRight w:val="0"/>
          <w:marTop w:val="0"/>
          <w:marBottom w:val="0"/>
          <w:divBdr>
            <w:top w:val="none" w:sz="0" w:space="0" w:color="auto"/>
            <w:left w:val="none" w:sz="0" w:space="0" w:color="auto"/>
            <w:bottom w:val="none" w:sz="0" w:space="0" w:color="auto"/>
            <w:right w:val="none" w:sz="0" w:space="0" w:color="auto"/>
          </w:divBdr>
        </w:div>
        <w:div w:id="1441031143">
          <w:marLeft w:val="640"/>
          <w:marRight w:val="0"/>
          <w:marTop w:val="0"/>
          <w:marBottom w:val="0"/>
          <w:divBdr>
            <w:top w:val="none" w:sz="0" w:space="0" w:color="auto"/>
            <w:left w:val="none" w:sz="0" w:space="0" w:color="auto"/>
            <w:bottom w:val="none" w:sz="0" w:space="0" w:color="auto"/>
            <w:right w:val="none" w:sz="0" w:space="0" w:color="auto"/>
          </w:divBdr>
        </w:div>
        <w:div w:id="943922409">
          <w:marLeft w:val="640"/>
          <w:marRight w:val="0"/>
          <w:marTop w:val="0"/>
          <w:marBottom w:val="0"/>
          <w:divBdr>
            <w:top w:val="none" w:sz="0" w:space="0" w:color="auto"/>
            <w:left w:val="none" w:sz="0" w:space="0" w:color="auto"/>
            <w:bottom w:val="none" w:sz="0" w:space="0" w:color="auto"/>
            <w:right w:val="none" w:sz="0" w:space="0" w:color="auto"/>
          </w:divBdr>
        </w:div>
        <w:div w:id="1172375645">
          <w:marLeft w:val="640"/>
          <w:marRight w:val="0"/>
          <w:marTop w:val="0"/>
          <w:marBottom w:val="0"/>
          <w:divBdr>
            <w:top w:val="none" w:sz="0" w:space="0" w:color="auto"/>
            <w:left w:val="none" w:sz="0" w:space="0" w:color="auto"/>
            <w:bottom w:val="none" w:sz="0" w:space="0" w:color="auto"/>
            <w:right w:val="none" w:sz="0" w:space="0" w:color="auto"/>
          </w:divBdr>
        </w:div>
        <w:div w:id="1186603728">
          <w:marLeft w:val="640"/>
          <w:marRight w:val="0"/>
          <w:marTop w:val="0"/>
          <w:marBottom w:val="0"/>
          <w:divBdr>
            <w:top w:val="none" w:sz="0" w:space="0" w:color="auto"/>
            <w:left w:val="none" w:sz="0" w:space="0" w:color="auto"/>
            <w:bottom w:val="none" w:sz="0" w:space="0" w:color="auto"/>
            <w:right w:val="none" w:sz="0" w:space="0" w:color="auto"/>
          </w:divBdr>
        </w:div>
        <w:div w:id="1956209321">
          <w:marLeft w:val="640"/>
          <w:marRight w:val="0"/>
          <w:marTop w:val="0"/>
          <w:marBottom w:val="0"/>
          <w:divBdr>
            <w:top w:val="none" w:sz="0" w:space="0" w:color="auto"/>
            <w:left w:val="none" w:sz="0" w:space="0" w:color="auto"/>
            <w:bottom w:val="none" w:sz="0" w:space="0" w:color="auto"/>
            <w:right w:val="none" w:sz="0" w:space="0" w:color="auto"/>
          </w:divBdr>
        </w:div>
        <w:div w:id="217665533">
          <w:marLeft w:val="640"/>
          <w:marRight w:val="0"/>
          <w:marTop w:val="0"/>
          <w:marBottom w:val="0"/>
          <w:divBdr>
            <w:top w:val="none" w:sz="0" w:space="0" w:color="auto"/>
            <w:left w:val="none" w:sz="0" w:space="0" w:color="auto"/>
            <w:bottom w:val="none" w:sz="0" w:space="0" w:color="auto"/>
            <w:right w:val="none" w:sz="0" w:space="0" w:color="auto"/>
          </w:divBdr>
        </w:div>
        <w:div w:id="447479973">
          <w:marLeft w:val="640"/>
          <w:marRight w:val="0"/>
          <w:marTop w:val="0"/>
          <w:marBottom w:val="0"/>
          <w:divBdr>
            <w:top w:val="none" w:sz="0" w:space="0" w:color="auto"/>
            <w:left w:val="none" w:sz="0" w:space="0" w:color="auto"/>
            <w:bottom w:val="none" w:sz="0" w:space="0" w:color="auto"/>
            <w:right w:val="none" w:sz="0" w:space="0" w:color="auto"/>
          </w:divBdr>
        </w:div>
        <w:div w:id="790128559">
          <w:marLeft w:val="640"/>
          <w:marRight w:val="0"/>
          <w:marTop w:val="0"/>
          <w:marBottom w:val="0"/>
          <w:divBdr>
            <w:top w:val="none" w:sz="0" w:space="0" w:color="auto"/>
            <w:left w:val="none" w:sz="0" w:space="0" w:color="auto"/>
            <w:bottom w:val="none" w:sz="0" w:space="0" w:color="auto"/>
            <w:right w:val="none" w:sz="0" w:space="0" w:color="auto"/>
          </w:divBdr>
        </w:div>
        <w:div w:id="113401291">
          <w:marLeft w:val="640"/>
          <w:marRight w:val="0"/>
          <w:marTop w:val="0"/>
          <w:marBottom w:val="0"/>
          <w:divBdr>
            <w:top w:val="none" w:sz="0" w:space="0" w:color="auto"/>
            <w:left w:val="none" w:sz="0" w:space="0" w:color="auto"/>
            <w:bottom w:val="none" w:sz="0" w:space="0" w:color="auto"/>
            <w:right w:val="none" w:sz="0" w:space="0" w:color="auto"/>
          </w:divBdr>
        </w:div>
        <w:div w:id="1555001488">
          <w:marLeft w:val="640"/>
          <w:marRight w:val="0"/>
          <w:marTop w:val="0"/>
          <w:marBottom w:val="0"/>
          <w:divBdr>
            <w:top w:val="none" w:sz="0" w:space="0" w:color="auto"/>
            <w:left w:val="none" w:sz="0" w:space="0" w:color="auto"/>
            <w:bottom w:val="none" w:sz="0" w:space="0" w:color="auto"/>
            <w:right w:val="none" w:sz="0" w:space="0" w:color="auto"/>
          </w:divBdr>
        </w:div>
        <w:div w:id="862938497">
          <w:marLeft w:val="640"/>
          <w:marRight w:val="0"/>
          <w:marTop w:val="0"/>
          <w:marBottom w:val="0"/>
          <w:divBdr>
            <w:top w:val="none" w:sz="0" w:space="0" w:color="auto"/>
            <w:left w:val="none" w:sz="0" w:space="0" w:color="auto"/>
            <w:bottom w:val="none" w:sz="0" w:space="0" w:color="auto"/>
            <w:right w:val="none" w:sz="0" w:space="0" w:color="auto"/>
          </w:divBdr>
        </w:div>
        <w:div w:id="1009065018">
          <w:marLeft w:val="640"/>
          <w:marRight w:val="0"/>
          <w:marTop w:val="0"/>
          <w:marBottom w:val="0"/>
          <w:divBdr>
            <w:top w:val="none" w:sz="0" w:space="0" w:color="auto"/>
            <w:left w:val="none" w:sz="0" w:space="0" w:color="auto"/>
            <w:bottom w:val="none" w:sz="0" w:space="0" w:color="auto"/>
            <w:right w:val="none" w:sz="0" w:space="0" w:color="auto"/>
          </w:divBdr>
        </w:div>
        <w:div w:id="1201823168">
          <w:marLeft w:val="640"/>
          <w:marRight w:val="0"/>
          <w:marTop w:val="0"/>
          <w:marBottom w:val="0"/>
          <w:divBdr>
            <w:top w:val="none" w:sz="0" w:space="0" w:color="auto"/>
            <w:left w:val="none" w:sz="0" w:space="0" w:color="auto"/>
            <w:bottom w:val="none" w:sz="0" w:space="0" w:color="auto"/>
            <w:right w:val="none" w:sz="0" w:space="0" w:color="auto"/>
          </w:divBdr>
        </w:div>
        <w:div w:id="497156440">
          <w:marLeft w:val="640"/>
          <w:marRight w:val="0"/>
          <w:marTop w:val="0"/>
          <w:marBottom w:val="0"/>
          <w:divBdr>
            <w:top w:val="none" w:sz="0" w:space="0" w:color="auto"/>
            <w:left w:val="none" w:sz="0" w:space="0" w:color="auto"/>
            <w:bottom w:val="none" w:sz="0" w:space="0" w:color="auto"/>
            <w:right w:val="none" w:sz="0" w:space="0" w:color="auto"/>
          </w:divBdr>
        </w:div>
        <w:div w:id="654721529">
          <w:marLeft w:val="640"/>
          <w:marRight w:val="0"/>
          <w:marTop w:val="0"/>
          <w:marBottom w:val="0"/>
          <w:divBdr>
            <w:top w:val="none" w:sz="0" w:space="0" w:color="auto"/>
            <w:left w:val="none" w:sz="0" w:space="0" w:color="auto"/>
            <w:bottom w:val="none" w:sz="0" w:space="0" w:color="auto"/>
            <w:right w:val="none" w:sz="0" w:space="0" w:color="auto"/>
          </w:divBdr>
        </w:div>
        <w:div w:id="1951547410">
          <w:marLeft w:val="640"/>
          <w:marRight w:val="0"/>
          <w:marTop w:val="0"/>
          <w:marBottom w:val="0"/>
          <w:divBdr>
            <w:top w:val="none" w:sz="0" w:space="0" w:color="auto"/>
            <w:left w:val="none" w:sz="0" w:space="0" w:color="auto"/>
            <w:bottom w:val="none" w:sz="0" w:space="0" w:color="auto"/>
            <w:right w:val="none" w:sz="0" w:space="0" w:color="auto"/>
          </w:divBdr>
        </w:div>
        <w:div w:id="1728919686">
          <w:marLeft w:val="640"/>
          <w:marRight w:val="0"/>
          <w:marTop w:val="0"/>
          <w:marBottom w:val="0"/>
          <w:divBdr>
            <w:top w:val="none" w:sz="0" w:space="0" w:color="auto"/>
            <w:left w:val="none" w:sz="0" w:space="0" w:color="auto"/>
            <w:bottom w:val="none" w:sz="0" w:space="0" w:color="auto"/>
            <w:right w:val="none" w:sz="0" w:space="0" w:color="auto"/>
          </w:divBdr>
        </w:div>
        <w:div w:id="2067289531">
          <w:marLeft w:val="640"/>
          <w:marRight w:val="0"/>
          <w:marTop w:val="0"/>
          <w:marBottom w:val="0"/>
          <w:divBdr>
            <w:top w:val="none" w:sz="0" w:space="0" w:color="auto"/>
            <w:left w:val="none" w:sz="0" w:space="0" w:color="auto"/>
            <w:bottom w:val="none" w:sz="0" w:space="0" w:color="auto"/>
            <w:right w:val="none" w:sz="0" w:space="0" w:color="auto"/>
          </w:divBdr>
        </w:div>
        <w:div w:id="701713880">
          <w:marLeft w:val="640"/>
          <w:marRight w:val="0"/>
          <w:marTop w:val="0"/>
          <w:marBottom w:val="0"/>
          <w:divBdr>
            <w:top w:val="none" w:sz="0" w:space="0" w:color="auto"/>
            <w:left w:val="none" w:sz="0" w:space="0" w:color="auto"/>
            <w:bottom w:val="none" w:sz="0" w:space="0" w:color="auto"/>
            <w:right w:val="none" w:sz="0" w:space="0" w:color="auto"/>
          </w:divBdr>
        </w:div>
        <w:div w:id="1317955520">
          <w:marLeft w:val="640"/>
          <w:marRight w:val="0"/>
          <w:marTop w:val="0"/>
          <w:marBottom w:val="0"/>
          <w:divBdr>
            <w:top w:val="none" w:sz="0" w:space="0" w:color="auto"/>
            <w:left w:val="none" w:sz="0" w:space="0" w:color="auto"/>
            <w:bottom w:val="none" w:sz="0" w:space="0" w:color="auto"/>
            <w:right w:val="none" w:sz="0" w:space="0" w:color="auto"/>
          </w:divBdr>
        </w:div>
        <w:div w:id="1638148723">
          <w:marLeft w:val="640"/>
          <w:marRight w:val="0"/>
          <w:marTop w:val="0"/>
          <w:marBottom w:val="0"/>
          <w:divBdr>
            <w:top w:val="none" w:sz="0" w:space="0" w:color="auto"/>
            <w:left w:val="none" w:sz="0" w:space="0" w:color="auto"/>
            <w:bottom w:val="none" w:sz="0" w:space="0" w:color="auto"/>
            <w:right w:val="none" w:sz="0" w:space="0" w:color="auto"/>
          </w:divBdr>
        </w:div>
        <w:div w:id="2128498894">
          <w:marLeft w:val="640"/>
          <w:marRight w:val="0"/>
          <w:marTop w:val="0"/>
          <w:marBottom w:val="0"/>
          <w:divBdr>
            <w:top w:val="none" w:sz="0" w:space="0" w:color="auto"/>
            <w:left w:val="none" w:sz="0" w:space="0" w:color="auto"/>
            <w:bottom w:val="none" w:sz="0" w:space="0" w:color="auto"/>
            <w:right w:val="none" w:sz="0" w:space="0" w:color="auto"/>
          </w:divBdr>
        </w:div>
        <w:div w:id="221600373">
          <w:marLeft w:val="640"/>
          <w:marRight w:val="0"/>
          <w:marTop w:val="0"/>
          <w:marBottom w:val="0"/>
          <w:divBdr>
            <w:top w:val="none" w:sz="0" w:space="0" w:color="auto"/>
            <w:left w:val="none" w:sz="0" w:space="0" w:color="auto"/>
            <w:bottom w:val="none" w:sz="0" w:space="0" w:color="auto"/>
            <w:right w:val="none" w:sz="0" w:space="0" w:color="auto"/>
          </w:divBdr>
        </w:div>
        <w:div w:id="1641887002">
          <w:marLeft w:val="640"/>
          <w:marRight w:val="0"/>
          <w:marTop w:val="0"/>
          <w:marBottom w:val="0"/>
          <w:divBdr>
            <w:top w:val="none" w:sz="0" w:space="0" w:color="auto"/>
            <w:left w:val="none" w:sz="0" w:space="0" w:color="auto"/>
            <w:bottom w:val="none" w:sz="0" w:space="0" w:color="auto"/>
            <w:right w:val="none" w:sz="0" w:space="0" w:color="auto"/>
          </w:divBdr>
        </w:div>
        <w:div w:id="136608978">
          <w:marLeft w:val="640"/>
          <w:marRight w:val="0"/>
          <w:marTop w:val="0"/>
          <w:marBottom w:val="0"/>
          <w:divBdr>
            <w:top w:val="none" w:sz="0" w:space="0" w:color="auto"/>
            <w:left w:val="none" w:sz="0" w:space="0" w:color="auto"/>
            <w:bottom w:val="none" w:sz="0" w:space="0" w:color="auto"/>
            <w:right w:val="none" w:sz="0" w:space="0" w:color="auto"/>
          </w:divBdr>
        </w:div>
        <w:div w:id="1753815852">
          <w:marLeft w:val="640"/>
          <w:marRight w:val="0"/>
          <w:marTop w:val="0"/>
          <w:marBottom w:val="0"/>
          <w:divBdr>
            <w:top w:val="none" w:sz="0" w:space="0" w:color="auto"/>
            <w:left w:val="none" w:sz="0" w:space="0" w:color="auto"/>
            <w:bottom w:val="none" w:sz="0" w:space="0" w:color="auto"/>
            <w:right w:val="none" w:sz="0" w:space="0" w:color="auto"/>
          </w:divBdr>
        </w:div>
        <w:div w:id="137768500">
          <w:marLeft w:val="640"/>
          <w:marRight w:val="0"/>
          <w:marTop w:val="0"/>
          <w:marBottom w:val="0"/>
          <w:divBdr>
            <w:top w:val="none" w:sz="0" w:space="0" w:color="auto"/>
            <w:left w:val="none" w:sz="0" w:space="0" w:color="auto"/>
            <w:bottom w:val="none" w:sz="0" w:space="0" w:color="auto"/>
            <w:right w:val="none" w:sz="0" w:space="0" w:color="auto"/>
          </w:divBdr>
        </w:div>
        <w:div w:id="1772313789">
          <w:marLeft w:val="640"/>
          <w:marRight w:val="0"/>
          <w:marTop w:val="0"/>
          <w:marBottom w:val="0"/>
          <w:divBdr>
            <w:top w:val="none" w:sz="0" w:space="0" w:color="auto"/>
            <w:left w:val="none" w:sz="0" w:space="0" w:color="auto"/>
            <w:bottom w:val="none" w:sz="0" w:space="0" w:color="auto"/>
            <w:right w:val="none" w:sz="0" w:space="0" w:color="auto"/>
          </w:divBdr>
        </w:div>
        <w:div w:id="1961838322">
          <w:marLeft w:val="640"/>
          <w:marRight w:val="0"/>
          <w:marTop w:val="0"/>
          <w:marBottom w:val="0"/>
          <w:divBdr>
            <w:top w:val="none" w:sz="0" w:space="0" w:color="auto"/>
            <w:left w:val="none" w:sz="0" w:space="0" w:color="auto"/>
            <w:bottom w:val="none" w:sz="0" w:space="0" w:color="auto"/>
            <w:right w:val="none" w:sz="0" w:space="0" w:color="auto"/>
          </w:divBdr>
        </w:div>
        <w:div w:id="1343774641">
          <w:marLeft w:val="640"/>
          <w:marRight w:val="0"/>
          <w:marTop w:val="0"/>
          <w:marBottom w:val="0"/>
          <w:divBdr>
            <w:top w:val="none" w:sz="0" w:space="0" w:color="auto"/>
            <w:left w:val="none" w:sz="0" w:space="0" w:color="auto"/>
            <w:bottom w:val="none" w:sz="0" w:space="0" w:color="auto"/>
            <w:right w:val="none" w:sz="0" w:space="0" w:color="auto"/>
          </w:divBdr>
        </w:div>
        <w:div w:id="622812202">
          <w:marLeft w:val="640"/>
          <w:marRight w:val="0"/>
          <w:marTop w:val="0"/>
          <w:marBottom w:val="0"/>
          <w:divBdr>
            <w:top w:val="none" w:sz="0" w:space="0" w:color="auto"/>
            <w:left w:val="none" w:sz="0" w:space="0" w:color="auto"/>
            <w:bottom w:val="none" w:sz="0" w:space="0" w:color="auto"/>
            <w:right w:val="none" w:sz="0" w:space="0" w:color="auto"/>
          </w:divBdr>
        </w:div>
        <w:div w:id="696390872">
          <w:marLeft w:val="640"/>
          <w:marRight w:val="0"/>
          <w:marTop w:val="0"/>
          <w:marBottom w:val="0"/>
          <w:divBdr>
            <w:top w:val="none" w:sz="0" w:space="0" w:color="auto"/>
            <w:left w:val="none" w:sz="0" w:space="0" w:color="auto"/>
            <w:bottom w:val="none" w:sz="0" w:space="0" w:color="auto"/>
            <w:right w:val="none" w:sz="0" w:space="0" w:color="auto"/>
          </w:divBdr>
        </w:div>
        <w:div w:id="1013459147">
          <w:marLeft w:val="640"/>
          <w:marRight w:val="0"/>
          <w:marTop w:val="0"/>
          <w:marBottom w:val="0"/>
          <w:divBdr>
            <w:top w:val="none" w:sz="0" w:space="0" w:color="auto"/>
            <w:left w:val="none" w:sz="0" w:space="0" w:color="auto"/>
            <w:bottom w:val="none" w:sz="0" w:space="0" w:color="auto"/>
            <w:right w:val="none" w:sz="0" w:space="0" w:color="auto"/>
          </w:divBdr>
        </w:div>
        <w:div w:id="303780942">
          <w:marLeft w:val="640"/>
          <w:marRight w:val="0"/>
          <w:marTop w:val="0"/>
          <w:marBottom w:val="0"/>
          <w:divBdr>
            <w:top w:val="none" w:sz="0" w:space="0" w:color="auto"/>
            <w:left w:val="none" w:sz="0" w:space="0" w:color="auto"/>
            <w:bottom w:val="none" w:sz="0" w:space="0" w:color="auto"/>
            <w:right w:val="none" w:sz="0" w:space="0" w:color="auto"/>
          </w:divBdr>
        </w:div>
        <w:div w:id="1023239615">
          <w:marLeft w:val="640"/>
          <w:marRight w:val="0"/>
          <w:marTop w:val="0"/>
          <w:marBottom w:val="0"/>
          <w:divBdr>
            <w:top w:val="none" w:sz="0" w:space="0" w:color="auto"/>
            <w:left w:val="none" w:sz="0" w:space="0" w:color="auto"/>
            <w:bottom w:val="none" w:sz="0" w:space="0" w:color="auto"/>
            <w:right w:val="none" w:sz="0" w:space="0" w:color="auto"/>
          </w:divBdr>
        </w:div>
        <w:div w:id="1172449568">
          <w:marLeft w:val="640"/>
          <w:marRight w:val="0"/>
          <w:marTop w:val="0"/>
          <w:marBottom w:val="0"/>
          <w:divBdr>
            <w:top w:val="none" w:sz="0" w:space="0" w:color="auto"/>
            <w:left w:val="none" w:sz="0" w:space="0" w:color="auto"/>
            <w:bottom w:val="none" w:sz="0" w:space="0" w:color="auto"/>
            <w:right w:val="none" w:sz="0" w:space="0" w:color="auto"/>
          </w:divBdr>
        </w:div>
        <w:div w:id="2056192403">
          <w:marLeft w:val="640"/>
          <w:marRight w:val="0"/>
          <w:marTop w:val="0"/>
          <w:marBottom w:val="0"/>
          <w:divBdr>
            <w:top w:val="none" w:sz="0" w:space="0" w:color="auto"/>
            <w:left w:val="none" w:sz="0" w:space="0" w:color="auto"/>
            <w:bottom w:val="none" w:sz="0" w:space="0" w:color="auto"/>
            <w:right w:val="none" w:sz="0" w:space="0" w:color="auto"/>
          </w:divBdr>
        </w:div>
        <w:div w:id="1965962683">
          <w:marLeft w:val="640"/>
          <w:marRight w:val="0"/>
          <w:marTop w:val="0"/>
          <w:marBottom w:val="0"/>
          <w:divBdr>
            <w:top w:val="none" w:sz="0" w:space="0" w:color="auto"/>
            <w:left w:val="none" w:sz="0" w:space="0" w:color="auto"/>
            <w:bottom w:val="none" w:sz="0" w:space="0" w:color="auto"/>
            <w:right w:val="none" w:sz="0" w:space="0" w:color="auto"/>
          </w:divBdr>
        </w:div>
        <w:div w:id="1015107699">
          <w:marLeft w:val="640"/>
          <w:marRight w:val="0"/>
          <w:marTop w:val="0"/>
          <w:marBottom w:val="0"/>
          <w:divBdr>
            <w:top w:val="none" w:sz="0" w:space="0" w:color="auto"/>
            <w:left w:val="none" w:sz="0" w:space="0" w:color="auto"/>
            <w:bottom w:val="none" w:sz="0" w:space="0" w:color="auto"/>
            <w:right w:val="none" w:sz="0" w:space="0" w:color="auto"/>
          </w:divBdr>
        </w:div>
        <w:div w:id="1665283795">
          <w:marLeft w:val="640"/>
          <w:marRight w:val="0"/>
          <w:marTop w:val="0"/>
          <w:marBottom w:val="0"/>
          <w:divBdr>
            <w:top w:val="none" w:sz="0" w:space="0" w:color="auto"/>
            <w:left w:val="none" w:sz="0" w:space="0" w:color="auto"/>
            <w:bottom w:val="none" w:sz="0" w:space="0" w:color="auto"/>
            <w:right w:val="none" w:sz="0" w:space="0" w:color="auto"/>
          </w:divBdr>
        </w:div>
        <w:div w:id="82529028">
          <w:marLeft w:val="640"/>
          <w:marRight w:val="0"/>
          <w:marTop w:val="0"/>
          <w:marBottom w:val="0"/>
          <w:divBdr>
            <w:top w:val="none" w:sz="0" w:space="0" w:color="auto"/>
            <w:left w:val="none" w:sz="0" w:space="0" w:color="auto"/>
            <w:bottom w:val="none" w:sz="0" w:space="0" w:color="auto"/>
            <w:right w:val="none" w:sz="0" w:space="0" w:color="auto"/>
          </w:divBdr>
        </w:div>
        <w:div w:id="587884124">
          <w:marLeft w:val="640"/>
          <w:marRight w:val="0"/>
          <w:marTop w:val="0"/>
          <w:marBottom w:val="0"/>
          <w:divBdr>
            <w:top w:val="none" w:sz="0" w:space="0" w:color="auto"/>
            <w:left w:val="none" w:sz="0" w:space="0" w:color="auto"/>
            <w:bottom w:val="none" w:sz="0" w:space="0" w:color="auto"/>
            <w:right w:val="none" w:sz="0" w:space="0" w:color="auto"/>
          </w:divBdr>
        </w:div>
        <w:div w:id="1514807876">
          <w:marLeft w:val="640"/>
          <w:marRight w:val="0"/>
          <w:marTop w:val="0"/>
          <w:marBottom w:val="0"/>
          <w:divBdr>
            <w:top w:val="none" w:sz="0" w:space="0" w:color="auto"/>
            <w:left w:val="none" w:sz="0" w:space="0" w:color="auto"/>
            <w:bottom w:val="none" w:sz="0" w:space="0" w:color="auto"/>
            <w:right w:val="none" w:sz="0" w:space="0" w:color="auto"/>
          </w:divBdr>
        </w:div>
        <w:div w:id="224266616">
          <w:marLeft w:val="640"/>
          <w:marRight w:val="0"/>
          <w:marTop w:val="0"/>
          <w:marBottom w:val="0"/>
          <w:divBdr>
            <w:top w:val="none" w:sz="0" w:space="0" w:color="auto"/>
            <w:left w:val="none" w:sz="0" w:space="0" w:color="auto"/>
            <w:bottom w:val="none" w:sz="0" w:space="0" w:color="auto"/>
            <w:right w:val="none" w:sz="0" w:space="0" w:color="auto"/>
          </w:divBdr>
        </w:div>
        <w:div w:id="1547569630">
          <w:marLeft w:val="640"/>
          <w:marRight w:val="0"/>
          <w:marTop w:val="0"/>
          <w:marBottom w:val="0"/>
          <w:divBdr>
            <w:top w:val="none" w:sz="0" w:space="0" w:color="auto"/>
            <w:left w:val="none" w:sz="0" w:space="0" w:color="auto"/>
            <w:bottom w:val="none" w:sz="0" w:space="0" w:color="auto"/>
            <w:right w:val="none" w:sz="0" w:space="0" w:color="auto"/>
          </w:divBdr>
        </w:div>
        <w:div w:id="1373189813">
          <w:marLeft w:val="640"/>
          <w:marRight w:val="0"/>
          <w:marTop w:val="0"/>
          <w:marBottom w:val="0"/>
          <w:divBdr>
            <w:top w:val="none" w:sz="0" w:space="0" w:color="auto"/>
            <w:left w:val="none" w:sz="0" w:space="0" w:color="auto"/>
            <w:bottom w:val="none" w:sz="0" w:space="0" w:color="auto"/>
            <w:right w:val="none" w:sz="0" w:space="0" w:color="auto"/>
          </w:divBdr>
        </w:div>
        <w:div w:id="1042096056">
          <w:marLeft w:val="640"/>
          <w:marRight w:val="0"/>
          <w:marTop w:val="0"/>
          <w:marBottom w:val="0"/>
          <w:divBdr>
            <w:top w:val="none" w:sz="0" w:space="0" w:color="auto"/>
            <w:left w:val="none" w:sz="0" w:space="0" w:color="auto"/>
            <w:bottom w:val="none" w:sz="0" w:space="0" w:color="auto"/>
            <w:right w:val="none" w:sz="0" w:space="0" w:color="auto"/>
          </w:divBdr>
        </w:div>
        <w:div w:id="1106123568">
          <w:marLeft w:val="640"/>
          <w:marRight w:val="0"/>
          <w:marTop w:val="0"/>
          <w:marBottom w:val="0"/>
          <w:divBdr>
            <w:top w:val="none" w:sz="0" w:space="0" w:color="auto"/>
            <w:left w:val="none" w:sz="0" w:space="0" w:color="auto"/>
            <w:bottom w:val="none" w:sz="0" w:space="0" w:color="auto"/>
            <w:right w:val="none" w:sz="0" w:space="0" w:color="auto"/>
          </w:divBdr>
        </w:div>
        <w:div w:id="286200963">
          <w:marLeft w:val="640"/>
          <w:marRight w:val="0"/>
          <w:marTop w:val="0"/>
          <w:marBottom w:val="0"/>
          <w:divBdr>
            <w:top w:val="none" w:sz="0" w:space="0" w:color="auto"/>
            <w:left w:val="none" w:sz="0" w:space="0" w:color="auto"/>
            <w:bottom w:val="none" w:sz="0" w:space="0" w:color="auto"/>
            <w:right w:val="none" w:sz="0" w:space="0" w:color="auto"/>
          </w:divBdr>
        </w:div>
        <w:div w:id="1930656551">
          <w:marLeft w:val="640"/>
          <w:marRight w:val="0"/>
          <w:marTop w:val="0"/>
          <w:marBottom w:val="0"/>
          <w:divBdr>
            <w:top w:val="none" w:sz="0" w:space="0" w:color="auto"/>
            <w:left w:val="none" w:sz="0" w:space="0" w:color="auto"/>
            <w:bottom w:val="none" w:sz="0" w:space="0" w:color="auto"/>
            <w:right w:val="none" w:sz="0" w:space="0" w:color="auto"/>
          </w:divBdr>
        </w:div>
        <w:div w:id="1080785483">
          <w:marLeft w:val="640"/>
          <w:marRight w:val="0"/>
          <w:marTop w:val="0"/>
          <w:marBottom w:val="0"/>
          <w:divBdr>
            <w:top w:val="none" w:sz="0" w:space="0" w:color="auto"/>
            <w:left w:val="none" w:sz="0" w:space="0" w:color="auto"/>
            <w:bottom w:val="none" w:sz="0" w:space="0" w:color="auto"/>
            <w:right w:val="none" w:sz="0" w:space="0" w:color="auto"/>
          </w:divBdr>
        </w:div>
        <w:div w:id="1994330925">
          <w:marLeft w:val="640"/>
          <w:marRight w:val="0"/>
          <w:marTop w:val="0"/>
          <w:marBottom w:val="0"/>
          <w:divBdr>
            <w:top w:val="none" w:sz="0" w:space="0" w:color="auto"/>
            <w:left w:val="none" w:sz="0" w:space="0" w:color="auto"/>
            <w:bottom w:val="none" w:sz="0" w:space="0" w:color="auto"/>
            <w:right w:val="none" w:sz="0" w:space="0" w:color="auto"/>
          </w:divBdr>
        </w:div>
        <w:div w:id="1685470744">
          <w:marLeft w:val="640"/>
          <w:marRight w:val="0"/>
          <w:marTop w:val="0"/>
          <w:marBottom w:val="0"/>
          <w:divBdr>
            <w:top w:val="none" w:sz="0" w:space="0" w:color="auto"/>
            <w:left w:val="none" w:sz="0" w:space="0" w:color="auto"/>
            <w:bottom w:val="none" w:sz="0" w:space="0" w:color="auto"/>
            <w:right w:val="none" w:sz="0" w:space="0" w:color="auto"/>
          </w:divBdr>
        </w:div>
        <w:div w:id="2134714274">
          <w:marLeft w:val="640"/>
          <w:marRight w:val="0"/>
          <w:marTop w:val="0"/>
          <w:marBottom w:val="0"/>
          <w:divBdr>
            <w:top w:val="none" w:sz="0" w:space="0" w:color="auto"/>
            <w:left w:val="none" w:sz="0" w:space="0" w:color="auto"/>
            <w:bottom w:val="none" w:sz="0" w:space="0" w:color="auto"/>
            <w:right w:val="none" w:sz="0" w:space="0" w:color="auto"/>
          </w:divBdr>
        </w:div>
        <w:div w:id="1735083197">
          <w:marLeft w:val="640"/>
          <w:marRight w:val="0"/>
          <w:marTop w:val="0"/>
          <w:marBottom w:val="0"/>
          <w:divBdr>
            <w:top w:val="none" w:sz="0" w:space="0" w:color="auto"/>
            <w:left w:val="none" w:sz="0" w:space="0" w:color="auto"/>
            <w:bottom w:val="none" w:sz="0" w:space="0" w:color="auto"/>
            <w:right w:val="none" w:sz="0" w:space="0" w:color="auto"/>
          </w:divBdr>
        </w:div>
        <w:div w:id="1975061002">
          <w:marLeft w:val="640"/>
          <w:marRight w:val="0"/>
          <w:marTop w:val="0"/>
          <w:marBottom w:val="0"/>
          <w:divBdr>
            <w:top w:val="none" w:sz="0" w:space="0" w:color="auto"/>
            <w:left w:val="none" w:sz="0" w:space="0" w:color="auto"/>
            <w:bottom w:val="none" w:sz="0" w:space="0" w:color="auto"/>
            <w:right w:val="none" w:sz="0" w:space="0" w:color="auto"/>
          </w:divBdr>
        </w:div>
        <w:div w:id="2056270104">
          <w:marLeft w:val="640"/>
          <w:marRight w:val="0"/>
          <w:marTop w:val="0"/>
          <w:marBottom w:val="0"/>
          <w:divBdr>
            <w:top w:val="none" w:sz="0" w:space="0" w:color="auto"/>
            <w:left w:val="none" w:sz="0" w:space="0" w:color="auto"/>
            <w:bottom w:val="none" w:sz="0" w:space="0" w:color="auto"/>
            <w:right w:val="none" w:sz="0" w:space="0" w:color="auto"/>
          </w:divBdr>
        </w:div>
        <w:div w:id="1845051266">
          <w:marLeft w:val="640"/>
          <w:marRight w:val="0"/>
          <w:marTop w:val="0"/>
          <w:marBottom w:val="0"/>
          <w:divBdr>
            <w:top w:val="none" w:sz="0" w:space="0" w:color="auto"/>
            <w:left w:val="none" w:sz="0" w:space="0" w:color="auto"/>
            <w:bottom w:val="none" w:sz="0" w:space="0" w:color="auto"/>
            <w:right w:val="none" w:sz="0" w:space="0" w:color="auto"/>
          </w:divBdr>
        </w:div>
        <w:div w:id="238447606">
          <w:marLeft w:val="640"/>
          <w:marRight w:val="0"/>
          <w:marTop w:val="0"/>
          <w:marBottom w:val="0"/>
          <w:divBdr>
            <w:top w:val="none" w:sz="0" w:space="0" w:color="auto"/>
            <w:left w:val="none" w:sz="0" w:space="0" w:color="auto"/>
            <w:bottom w:val="none" w:sz="0" w:space="0" w:color="auto"/>
            <w:right w:val="none" w:sz="0" w:space="0" w:color="auto"/>
          </w:divBdr>
        </w:div>
        <w:div w:id="1440837288">
          <w:marLeft w:val="640"/>
          <w:marRight w:val="0"/>
          <w:marTop w:val="0"/>
          <w:marBottom w:val="0"/>
          <w:divBdr>
            <w:top w:val="none" w:sz="0" w:space="0" w:color="auto"/>
            <w:left w:val="none" w:sz="0" w:space="0" w:color="auto"/>
            <w:bottom w:val="none" w:sz="0" w:space="0" w:color="auto"/>
            <w:right w:val="none" w:sz="0" w:space="0" w:color="auto"/>
          </w:divBdr>
        </w:div>
        <w:div w:id="1214660565">
          <w:marLeft w:val="640"/>
          <w:marRight w:val="0"/>
          <w:marTop w:val="0"/>
          <w:marBottom w:val="0"/>
          <w:divBdr>
            <w:top w:val="none" w:sz="0" w:space="0" w:color="auto"/>
            <w:left w:val="none" w:sz="0" w:space="0" w:color="auto"/>
            <w:bottom w:val="none" w:sz="0" w:space="0" w:color="auto"/>
            <w:right w:val="none" w:sz="0" w:space="0" w:color="auto"/>
          </w:divBdr>
        </w:div>
        <w:div w:id="241719337">
          <w:marLeft w:val="640"/>
          <w:marRight w:val="0"/>
          <w:marTop w:val="0"/>
          <w:marBottom w:val="0"/>
          <w:divBdr>
            <w:top w:val="none" w:sz="0" w:space="0" w:color="auto"/>
            <w:left w:val="none" w:sz="0" w:space="0" w:color="auto"/>
            <w:bottom w:val="none" w:sz="0" w:space="0" w:color="auto"/>
            <w:right w:val="none" w:sz="0" w:space="0" w:color="auto"/>
          </w:divBdr>
        </w:div>
        <w:div w:id="899903062">
          <w:marLeft w:val="640"/>
          <w:marRight w:val="0"/>
          <w:marTop w:val="0"/>
          <w:marBottom w:val="0"/>
          <w:divBdr>
            <w:top w:val="none" w:sz="0" w:space="0" w:color="auto"/>
            <w:left w:val="none" w:sz="0" w:space="0" w:color="auto"/>
            <w:bottom w:val="none" w:sz="0" w:space="0" w:color="auto"/>
            <w:right w:val="none" w:sz="0" w:space="0" w:color="auto"/>
          </w:divBdr>
        </w:div>
        <w:div w:id="1797023310">
          <w:marLeft w:val="640"/>
          <w:marRight w:val="0"/>
          <w:marTop w:val="0"/>
          <w:marBottom w:val="0"/>
          <w:divBdr>
            <w:top w:val="none" w:sz="0" w:space="0" w:color="auto"/>
            <w:left w:val="none" w:sz="0" w:space="0" w:color="auto"/>
            <w:bottom w:val="none" w:sz="0" w:space="0" w:color="auto"/>
            <w:right w:val="none" w:sz="0" w:space="0" w:color="auto"/>
          </w:divBdr>
        </w:div>
      </w:divsChild>
    </w:div>
    <w:div w:id="1103037393">
      <w:bodyDiv w:val="1"/>
      <w:marLeft w:val="0"/>
      <w:marRight w:val="0"/>
      <w:marTop w:val="0"/>
      <w:marBottom w:val="0"/>
      <w:divBdr>
        <w:top w:val="none" w:sz="0" w:space="0" w:color="auto"/>
        <w:left w:val="none" w:sz="0" w:space="0" w:color="auto"/>
        <w:bottom w:val="none" w:sz="0" w:space="0" w:color="auto"/>
        <w:right w:val="none" w:sz="0" w:space="0" w:color="auto"/>
      </w:divBdr>
      <w:divsChild>
        <w:div w:id="1930460963">
          <w:marLeft w:val="640"/>
          <w:marRight w:val="0"/>
          <w:marTop w:val="0"/>
          <w:marBottom w:val="0"/>
          <w:divBdr>
            <w:top w:val="none" w:sz="0" w:space="0" w:color="auto"/>
            <w:left w:val="none" w:sz="0" w:space="0" w:color="auto"/>
            <w:bottom w:val="none" w:sz="0" w:space="0" w:color="auto"/>
            <w:right w:val="none" w:sz="0" w:space="0" w:color="auto"/>
          </w:divBdr>
        </w:div>
        <w:div w:id="1055349271">
          <w:marLeft w:val="640"/>
          <w:marRight w:val="0"/>
          <w:marTop w:val="0"/>
          <w:marBottom w:val="0"/>
          <w:divBdr>
            <w:top w:val="none" w:sz="0" w:space="0" w:color="auto"/>
            <w:left w:val="none" w:sz="0" w:space="0" w:color="auto"/>
            <w:bottom w:val="none" w:sz="0" w:space="0" w:color="auto"/>
            <w:right w:val="none" w:sz="0" w:space="0" w:color="auto"/>
          </w:divBdr>
        </w:div>
        <w:div w:id="1177158071">
          <w:marLeft w:val="640"/>
          <w:marRight w:val="0"/>
          <w:marTop w:val="0"/>
          <w:marBottom w:val="0"/>
          <w:divBdr>
            <w:top w:val="none" w:sz="0" w:space="0" w:color="auto"/>
            <w:left w:val="none" w:sz="0" w:space="0" w:color="auto"/>
            <w:bottom w:val="none" w:sz="0" w:space="0" w:color="auto"/>
            <w:right w:val="none" w:sz="0" w:space="0" w:color="auto"/>
          </w:divBdr>
        </w:div>
        <w:div w:id="1677533353">
          <w:marLeft w:val="640"/>
          <w:marRight w:val="0"/>
          <w:marTop w:val="0"/>
          <w:marBottom w:val="0"/>
          <w:divBdr>
            <w:top w:val="none" w:sz="0" w:space="0" w:color="auto"/>
            <w:left w:val="none" w:sz="0" w:space="0" w:color="auto"/>
            <w:bottom w:val="none" w:sz="0" w:space="0" w:color="auto"/>
            <w:right w:val="none" w:sz="0" w:space="0" w:color="auto"/>
          </w:divBdr>
        </w:div>
        <w:div w:id="627514124">
          <w:marLeft w:val="640"/>
          <w:marRight w:val="0"/>
          <w:marTop w:val="0"/>
          <w:marBottom w:val="0"/>
          <w:divBdr>
            <w:top w:val="none" w:sz="0" w:space="0" w:color="auto"/>
            <w:left w:val="none" w:sz="0" w:space="0" w:color="auto"/>
            <w:bottom w:val="none" w:sz="0" w:space="0" w:color="auto"/>
            <w:right w:val="none" w:sz="0" w:space="0" w:color="auto"/>
          </w:divBdr>
        </w:div>
        <w:div w:id="1835224237">
          <w:marLeft w:val="640"/>
          <w:marRight w:val="0"/>
          <w:marTop w:val="0"/>
          <w:marBottom w:val="0"/>
          <w:divBdr>
            <w:top w:val="none" w:sz="0" w:space="0" w:color="auto"/>
            <w:left w:val="none" w:sz="0" w:space="0" w:color="auto"/>
            <w:bottom w:val="none" w:sz="0" w:space="0" w:color="auto"/>
            <w:right w:val="none" w:sz="0" w:space="0" w:color="auto"/>
          </w:divBdr>
        </w:div>
        <w:div w:id="402682754">
          <w:marLeft w:val="640"/>
          <w:marRight w:val="0"/>
          <w:marTop w:val="0"/>
          <w:marBottom w:val="0"/>
          <w:divBdr>
            <w:top w:val="none" w:sz="0" w:space="0" w:color="auto"/>
            <w:left w:val="none" w:sz="0" w:space="0" w:color="auto"/>
            <w:bottom w:val="none" w:sz="0" w:space="0" w:color="auto"/>
            <w:right w:val="none" w:sz="0" w:space="0" w:color="auto"/>
          </w:divBdr>
        </w:div>
        <w:div w:id="231038850">
          <w:marLeft w:val="640"/>
          <w:marRight w:val="0"/>
          <w:marTop w:val="0"/>
          <w:marBottom w:val="0"/>
          <w:divBdr>
            <w:top w:val="none" w:sz="0" w:space="0" w:color="auto"/>
            <w:left w:val="none" w:sz="0" w:space="0" w:color="auto"/>
            <w:bottom w:val="none" w:sz="0" w:space="0" w:color="auto"/>
            <w:right w:val="none" w:sz="0" w:space="0" w:color="auto"/>
          </w:divBdr>
        </w:div>
        <w:div w:id="1148590423">
          <w:marLeft w:val="640"/>
          <w:marRight w:val="0"/>
          <w:marTop w:val="0"/>
          <w:marBottom w:val="0"/>
          <w:divBdr>
            <w:top w:val="none" w:sz="0" w:space="0" w:color="auto"/>
            <w:left w:val="none" w:sz="0" w:space="0" w:color="auto"/>
            <w:bottom w:val="none" w:sz="0" w:space="0" w:color="auto"/>
            <w:right w:val="none" w:sz="0" w:space="0" w:color="auto"/>
          </w:divBdr>
        </w:div>
        <w:div w:id="1398286415">
          <w:marLeft w:val="640"/>
          <w:marRight w:val="0"/>
          <w:marTop w:val="0"/>
          <w:marBottom w:val="0"/>
          <w:divBdr>
            <w:top w:val="none" w:sz="0" w:space="0" w:color="auto"/>
            <w:left w:val="none" w:sz="0" w:space="0" w:color="auto"/>
            <w:bottom w:val="none" w:sz="0" w:space="0" w:color="auto"/>
            <w:right w:val="none" w:sz="0" w:space="0" w:color="auto"/>
          </w:divBdr>
        </w:div>
        <w:div w:id="1249391229">
          <w:marLeft w:val="640"/>
          <w:marRight w:val="0"/>
          <w:marTop w:val="0"/>
          <w:marBottom w:val="0"/>
          <w:divBdr>
            <w:top w:val="none" w:sz="0" w:space="0" w:color="auto"/>
            <w:left w:val="none" w:sz="0" w:space="0" w:color="auto"/>
            <w:bottom w:val="none" w:sz="0" w:space="0" w:color="auto"/>
            <w:right w:val="none" w:sz="0" w:space="0" w:color="auto"/>
          </w:divBdr>
        </w:div>
        <w:div w:id="1213035264">
          <w:marLeft w:val="640"/>
          <w:marRight w:val="0"/>
          <w:marTop w:val="0"/>
          <w:marBottom w:val="0"/>
          <w:divBdr>
            <w:top w:val="none" w:sz="0" w:space="0" w:color="auto"/>
            <w:left w:val="none" w:sz="0" w:space="0" w:color="auto"/>
            <w:bottom w:val="none" w:sz="0" w:space="0" w:color="auto"/>
            <w:right w:val="none" w:sz="0" w:space="0" w:color="auto"/>
          </w:divBdr>
        </w:div>
        <w:div w:id="95487775">
          <w:marLeft w:val="640"/>
          <w:marRight w:val="0"/>
          <w:marTop w:val="0"/>
          <w:marBottom w:val="0"/>
          <w:divBdr>
            <w:top w:val="none" w:sz="0" w:space="0" w:color="auto"/>
            <w:left w:val="none" w:sz="0" w:space="0" w:color="auto"/>
            <w:bottom w:val="none" w:sz="0" w:space="0" w:color="auto"/>
            <w:right w:val="none" w:sz="0" w:space="0" w:color="auto"/>
          </w:divBdr>
        </w:div>
        <w:div w:id="1529954951">
          <w:marLeft w:val="640"/>
          <w:marRight w:val="0"/>
          <w:marTop w:val="0"/>
          <w:marBottom w:val="0"/>
          <w:divBdr>
            <w:top w:val="none" w:sz="0" w:space="0" w:color="auto"/>
            <w:left w:val="none" w:sz="0" w:space="0" w:color="auto"/>
            <w:bottom w:val="none" w:sz="0" w:space="0" w:color="auto"/>
            <w:right w:val="none" w:sz="0" w:space="0" w:color="auto"/>
          </w:divBdr>
        </w:div>
        <w:div w:id="507452736">
          <w:marLeft w:val="640"/>
          <w:marRight w:val="0"/>
          <w:marTop w:val="0"/>
          <w:marBottom w:val="0"/>
          <w:divBdr>
            <w:top w:val="none" w:sz="0" w:space="0" w:color="auto"/>
            <w:left w:val="none" w:sz="0" w:space="0" w:color="auto"/>
            <w:bottom w:val="none" w:sz="0" w:space="0" w:color="auto"/>
            <w:right w:val="none" w:sz="0" w:space="0" w:color="auto"/>
          </w:divBdr>
        </w:div>
        <w:div w:id="1601915290">
          <w:marLeft w:val="640"/>
          <w:marRight w:val="0"/>
          <w:marTop w:val="0"/>
          <w:marBottom w:val="0"/>
          <w:divBdr>
            <w:top w:val="none" w:sz="0" w:space="0" w:color="auto"/>
            <w:left w:val="none" w:sz="0" w:space="0" w:color="auto"/>
            <w:bottom w:val="none" w:sz="0" w:space="0" w:color="auto"/>
            <w:right w:val="none" w:sz="0" w:space="0" w:color="auto"/>
          </w:divBdr>
        </w:div>
        <w:div w:id="94323645">
          <w:marLeft w:val="640"/>
          <w:marRight w:val="0"/>
          <w:marTop w:val="0"/>
          <w:marBottom w:val="0"/>
          <w:divBdr>
            <w:top w:val="none" w:sz="0" w:space="0" w:color="auto"/>
            <w:left w:val="none" w:sz="0" w:space="0" w:color="auto"/>
            <w:bottom w:val="none" w:sz="0" w:space="0" w:color="auto"/>
            <w:right w:val="none" w:sz="0" w:space="0" w:color="auto"/>
          </w:divBdr>
        </w:div>
        <w:div w:id="966466857">
          <w:marLeft w:val="640"/>
          <w:marRight w:val="0"/>
          <w:marTop w:val="0"/>
          <w:marBottom w:val="0"/>
          <w:divBdr>
            <w:top w:val="none" w:sz="0" w:space="0" w:color="auto"/>
            <w:left w:val="none" w:sz="0" w:space="0" w:color="auto"/>
            <w:bottom w:val="none" w:sz="0" w:space="0" w:color="auto"/>
            <w:right w:val="none" w:sz="0" w:space="0" w:color="auto"/>
          </w:divBdr>
        </w:div>
        <w:div w:id="87124412">
          <w:marLeft w:val="640"/>
          <w:marRight w:val="0"/>
          <w:marTop w:val="0"/>
          <w:marBottom w:val="0"/>
          <w:divBdr>
            <w:top w:val="none" w:sz="0" w:space="0" w:color="auto"/>
            <w:left w:val="none" w:sz="0" w:space="0" w:color="auto"/>
            <w:bottom w:val="none" w:sz="0" w:space="0" w:color="auto"/>
            <w:right w:val="none" w:sz="0" w:space="0" w:color="auto"/>
          </w:divBdr>
        </w:div>
        <w:div w:id="1114180213">
          <w:marLeft w:val="640"/>
          <w:marRight w:val="0"/>
          <w:marTop w:val="0"/>
          <w:marBottom w:val="0"/>
          <w:divBdr>
            <w:top w:val="none" w:sz="0" w:space="0" w:color="auto"/>
            <w:left w:val="none" w:sz="0" w:space="0" w:color="auto"/>
            <w:bottom w:val="none" w:sz="0" w:space="0" w:color="auto"/>
            <w:right w:val="none" w:sz="0" w:space="0" w:color="auto"/>
          </w:divBdr>
        </w:div>
        <w:div w:id="1490055454">
          <w:marLeft w:val="640"/>
          <w:marRight w:val="0"/>
          <w:marTop w:val="0"/>
          <w:marBottom w:val="0"/>
          <w:divBdr>
            <w:top w:val="none" w:sz="0" w:space="0" w:color="auto"/>
            <w:left w:val="none" w:sz="0" w:space="0" w:color="auto"/>
            <w:bottom w:val="none" w:sz="0" w:space="0" w:color="auto"/>
            <w:right w:val="none" w:sz="0" w:space="0" w:color="auto"/>
          </w:divBdr>
        </w:div>
        <w:div w:id="1693264551">
          <w:marLeft w:val="640"/>
          <w:marRight w:val="0"/>
          <w:marTop w:val="0"/>
          <w:marBottom w:val="0"/>
          <w:divBdr>
            <w:top w:val="none" w:sz="0" w:space="0" w:color="auto"/>
            <w:left w:val="none" w:sz="0" w:space="0" w:color="auto"/>
            <w:bottom w:val="none" w:sz="0" w:space="0" w:color="auto"/>
            <w:right w:val="none" w:sz="0" w:space="0" w:color="auto"/>
          </w:divBdr>
        </w:div>
        <w:div w:id="1427389124">
          <w:marLeft w:val="640"/>
          <w:marRight w:val="0"/>
          <w:marTop w:val="0"/>
          <w:marBottom w:val="0"/>
          <w:divBdr>
            <w:top w:val="none" w:sz="0" w:space="0" w:color="auto"/>
            <w:left w:val="none" w:sz="0" w:space="0" w:color="auto"/>
            <w:bottom w:val="none" w:sz="0" w:space="0" w:color="auto"/>
            <w:right w:val="none" w:sz="0" w:space="0" w:color="auto"/>
          </w:divBdr>
        </w:div>
        <w:div w:id="846215356">
          <w:marLeft w:val="640"/>
          <w:marRight w:val="0"/>
          <w:marTop w:val="0"/>
          <w:marBottom w:val="0"/>
          <w:divBdr>
            <w:top w:val="none" w:sz="0" w:space="0" w:color="auto"/>
            <w:left w:val="none" w:sz="0" w:space="0" w:color="auto"/>
            <w:bottom w:val="none" w:sz="0" w:space="0" w:color="auto"/>
            <w:right w:val="none" w:sz="0" w:space="0" w:color="auto"/>
          </w:divBdr>
        </w:div>
        <w:div w:id="1071075418">
          <w:marLeft w:val="640"/>
          <w:marRight w:val="0"/>
          <w:marTop w:val="0"/>
          <w:marBottom w:val="0"/>
          <w:divBdr>
            <w:top w:val="none" w:sz="0" w:space="0" w:color="auto"/>
            <w:left w:val="none" w:sz="0" w:space="0" w:color="auto"/>
            <w:bottom w:val="none" w:sz="0" w:space="0" w:color="auto"/>
            <w:right w:val="none" w:sz="0" w:space="0" w:color="auto"/>
          </w:divBdr>
        </w:div>
        <w:div w:id="708183290">
          <w:marLeft w:val="640"/>
          <w:marRight w:val="0"/>
          <w:marTop w:val="0"/>
          <w:marBottom w:val="0"/>
          <w:divBdr>
            <w:top w:val="none" w:sz="0" w:space="0" w:color="auto"/>
            <w:left w:val="none" w:sz="0" w:space="0" w:color="auto"/>
            <w:bottom w:val="none" w:sz="0" w:space="0" w:color="auto"/>
            <w:right w:val="none" w:sz="0" w:space="0" w:color="auto"/>
          </w:divBdr>
        </w:div>
        <w:div w:id="1476993689">
          <w:marLeft w:val="640"/>
          <w:marRight w:val="0"/>
          <w:marTop w:val="0"/>
          <w:marBottom w:val="0"/>
          <w:divBdr>
            <w:top w:val="none" w:sz="0" w:space="0" w:color="auto"/>
            <w:left w:val="none" w:sz="0" w:space="0" w:color="auto"/>
            <w:bottom w:val="none" w:sz="0" w:space="0" w:color="auto"/>
            <w:right w:val="none" w:sz="0" w:space="0" w:color="auto"/>
          </w:divBdr>
        </w:div>
        <w:div w:id="1121649115">
          <w:marLeft w:val="640"/>
          <w:marRight w:val="0"/>
          <w:marTop w:val="0"/>
          <w:marBottom w:val="0"/>
          <w:divBdr>
            <w:top w:val="none" w:sz="0" w:space="0" w:color="auto"/>
            <w:left w:val="none" w:sz="0" w:space="0" w:color="auto"/>
            <w:bottom w:val="none" w:sz="0" w:space="0" w:color="auto"/>
            <w:right w:val="none" w:sz="0" w:space="0" w:color="auto"/>
          </w:divBdr>
        </w:div>
        <w:div w:id="1147356656">
          <w:marLeft w:val="640"/>
          <w:marRight w:val="0"/>
          <w:marTop w:val="0"/>
          <w:marBottom w:val="0"/>
          <w:divBdr>
            <w:top w:val="none" w:sz="0" w:space="0" w:color="auto"/>
            <w:left w:val="none" w:sz="0" w:space="0" w:color="auto"/>
            <w:bottom w:val="none" w:sz="0" w:space="0" w:color="auto"/>
            <w:right w:val="none" w:sz="0" w:space="0" w:color="auto"/>
          </w:divBdr>
        </w:div>
        <w:div w:id="712576990">
          <w:marLeft w:val="640"/>
          <w:marRight w:val="0"/>
          <w:marTop w:val="0"/>
          <w:marBottom w:val="0"/>
          <w:divBdr>
            <w:top w:val="none" w:sz="0" w:space="0" w:color="auto"/>
            <w:left w:val="none" w:sz="0" w:space="0" w:color="auto"/>
            <w:bottom w:val="none" w:sz="0" w:space="0" w:color="auto"/>
            <w:right w:val="none" w:sz="0" w:space="0" w:color="auto"/>
          </w:divBdr>
        </w:div>
        <w:div w:id="781459721">
          <w:marLeft w:val="640"/>
          <w:marRight w:val="0"/>
          <w:marTop w:val="0"/>
          <w:marBottom w:val="0"/>
          <w:divBdr>
            <w:top w:val="none" w:sz="0" w:space="0" w:color="auto"/>
            <w:left w:val="none" w:sz="0" w:space="0" w:color="auto"/>
            <w:bottom w:val="none" w:sz="0" w:space="0" w:color="auto"/>
            <w:right w:val="none" w:sz="0" w:space="0" w:color="auto"/>
          </w:divBdr>
        </w:div>
        <w:div w:id="1370836552">
          <w:marLeft w:val="640"/>
          <w:marRight w:val="0"/>
          <w:marTop w:val="0"/>
          <w:marBottom w:val="0"/>
          <w:divBdr>
            <w:top w:val="none" w:sz="0" w:space="0" w:color="auto"/>
            <w:left w:val="none" w:sz="0" w:space="0" w:color="auto"/>
            <w:bottom w:val="none" w:sz="0" w:space="0" w:color="auto"/>
            <w:right w:val="none" w:sz="0" w:space="0" w:color="auto"/>
          </w:divBdr>
        </w:div>
        <w:div w:id="1008947749">
          <w:marLeft w:val="640"/>
          <w:marRight w:val="0"/>
          <w:marTop w:val="0"/>
          <w:marBottom w:val="0"/>
          <w:divBdr>
            <w:top w:val="none" w:sz="0" w:space="0" w:color="auto"/>
            <w:left w:val="none" w:sz="0" w:space="0" w:color="auto"/>
            <w:bottom w:val="none" w:sz="0" w:space="0" w:color="auto"/>
            <w:right w:val="none" w:sz="0" w:space="0" w:color="auto"/>
          </w:divBdr>
        </w:div>
        <w:div w:id="934098345">
          <w:marLeft w:val="640"/>
          <w:marRight w:val="0"/>
          <w:marTop w:val="0"/>
          <w:marBottom w:val="0"/>
          <w:divBdr>
            <w:top w:val="none" w:sz="0" w:space="0" w:color="auto"/>
            <w:left w:val="none" w:sz="0" w:space="0" w:color="auto"/>
            <w:bottom w:val="none" w:sz="0" w:space="0" w:color="auto"/>
            <w:right w:val="none" w:sz="0" w:space="0" w:color="auto"/>
          </w:divBdr>
        </w:div>
        <w:div w:id="954335296">
          <w:marLeft w:val="640"/>
          <w:marRight w:val="0"/>
          <w:marTop w:val="0"/>
          <w:marBottom w:val="0"/>
          <w:divBdr>
            <w:top w:val="none" w:sz="0" w:space="0" w:color="auto"/>
            <w:left w:val="none" w:sz="0" w:space="0" w:color="auto"/>
            <w:bottom w:val="none" w:sz="0" w:space="0" w:color="auto"/>
            <w:right w:val="none" w:sz="0" w:space="0" w:color="auto"/>
          </w:divBdr>
        </w:div>
        <w:div w:id="81075011">
          <w:marLeft w:val="640"/>
          <w:marRight w:val="0"/>
          <w:marTop w:val="0"/>
          <w:marBottom w:val="0"/>
          <w:divBdr>
            <w:top w:val="none" w:sz="0" w:space="0" w:color="auto"/>
            <w:left w:val="none" w:sz="0" w:space="0" w:color="auto"/>
            <w:bottom w:val="none" w:sz="0" w:space="0" w:color="auto"/>
            <w:right w:val="none" w:sz="0" w:space="0" w:color="auto"/>
          </w:divBdr>
        </w:div>
        <w:div w:id="1792430994">
          <w:marLeft w:val="640"/>
          <w:marRight w:val="0"/>
          <w:marTop w:val="0"/>
          <w:marBottom w:val="0"/>
          <w:divBdr>
            <w:top w:val="none" w:sz="0" w:space="0" w:color="auto"/>
            <w:left w:val="none" w:sz="0" w:space="0" w:color="auto"/>
            <w:bottom w:val="none" w:sz="0" w:space="0" w:color="auto"/>
            <w:right w:val="none" w:sz="0" w:space="0" w:color="auto"/>
          </w:divBdr>
        </w:div>
        <w:div w:id="124081697">
          <w:marLeft w:val="640"/>
          <w:marRight w:val="0"/>
          <w:marTop w:val="0"/>
          <w:marBottom w:val="0"/>
          <w:divBdr>
            <w:top w:val="none" w:sz="0" w:space="0" w:color="auto"/>
            <w:left w:val="none" w:sz="0" w:space="0" w:color="auto"/>
            <w:bottom w:val="none" w:sz="0" w:space="0" w:color="auto"/>
            <w:right w:val="none" w:sz="0" w:space="0" w:color="auto"/>
          </w:divBdr>
        </w:div>
        <w:div w:id="994527588">
          <w:marLeft w:val="640"/>
          <w:marRight w:val="0"/>
          <w:marTop w:val="0"/>
          <w:marBottom w:val="0"/>
          <w:divBdr>
            <w:top w:val="none" w:sz="0" w:space="0" w:color="auto"/>
            <w:left w:val="none" w:sz="0" w:space="0" w:color="auto"/>
            <w:bottom w:val="none" w:sz="0" w:space="0" w:color="auto"/>
            <w:right w:val="none" w:sz="0" w:space="0" w:color="auto"/>
          </w:divBdr>
        </w:div>
        <w:div w:id="1064375245">
          <w:marLeft w:val="640"/>
          <w:marRight w:val="0"/>
          <w:marTop w:val="0"/>
          <w:marBottom w:val="0"/>
          <w:divBdr>
            <w:top w:val="none" w:sz="0" w:space="0" w:color="auto"/>
            <w:left w:val="none" w:sz="0" w:space="0" w:color="auto"/>
            <w:bottom w:val="none" w:sz="0" w:space="0" w:color="auto"/>
            <w:right w:val="none" w:sz="0" w:space="0" w:color="auto"/>
          </w:divBdr>
        </w:div>
        <w:div w:id="1944728168">
          <w:marLeft w:val="640"/>
          <w:marRight w:val="0"/>
          <w:marTop w:val="0"/>
          <w:marBottom w:val="0"/>
          <w:divBdr>
            <w:top w:val="none" w:sz="0" w:space="0" w:color="auto"/>
            <w:left w:val="none" w:sz="0" w:space="0" w:color="auto"/>
            <w:bottom w:val="none" w:sz="0" w:space="0" w:color="auto"/>
            <w:right w:val="none" w:sz="0" w:space="0" w:color="auto"/>
          </w:divBdr>
        </w:div>
        <w:div w:id="13388521">
          <w:marLeft w:val="640"/>
          <w:marRight w:val="0"/>
          <w:marTop w:val="0"/>
          <w:marBottom w:val="0"/>
          <w:divBdr>
            <w:top w:val="none" w:sz="0" w:space="0" w:color="auto"/>
            <w:left w:val="none" w:sz="0" w:space="0" w:color="auto"/>
            <w:bottom w:val="none" w:sz="0" w:space="0" w:color="auto"/>
            <w:right w:val="none" w:sz="0" w:space="0" w:color="auto"/>
          </w:divBdr>
        </w:div>
        <w:div w:id="446389886">
          <w:marLeft w:val="640"/>
          <w:marRight w:val="0"/>
          <w:marTop w:val="0"/>
          <w:marBottom w:val="0"/>
          <w:divBdr>
            <w:top w:val="none" w:sz="0" w:space="0" w:color="auto"/>
            <w:left w:val="none" w:sz="0" w:space="0" w:color="auto"/>
            <w:bottom w:val="none" w:sz="0" w:space="0" w:color="auto"/>
            <w:right w:val="none" w:sz="0" w:space="0" w:color="auto"/>
          </w:divBdr>
        </w:div>
        <w:div w:id="184363692">
          <w:marLeft w:val="640"/>
          <w:marRight w:val="0"/>
          <w:marTop w:val="0"/>
          <w:marBottom w:val="0"/>
          <w:divBdr>
            <w:top w:val="none" w:sz="0" w:space="0" w:color="auto"/>
            <w:left w:val="none" w:sz="0" w:space="0" w:color="auto"/>
            <w:bottom w:val="none" w:sz="0" w:space="0" w:color="auto"/>
            <w:right w:val="none" w:sz="0" w:space="0" w:color="auto"/>
          </w:divBdr>
        </w:div>
        <w:div w:id="2112892251">
          <w:marLeft w:val="640"/>
          <w:marRight w:val="0"/>
          <w:marTop w:val="0"/>
          <w:marBottom w:val="0"/>
          <w:divBdr>
            <w:top w:val="none" w:sz="0" w:space="0" w:color="auto"/>
            <w:left w:val="none" w:sz="0" w:space="0" w:color="auto"/>
            <w:bottom w:val="none" w:sz="0" w:space="0" w:color="auto"/>
            <w:right w:val="none" w:sz="0" w:space="0" w:color="auto"/>
          </w:divBdr>
        </w:div>
        <w:div w:id="1286544629">
          <w:marLeft w:val="640"/>
          <w:marRight w:val="0"/>
          <w:marTop w:val="0"/>
          <w:marBottom w:val="0"/>
          <w:divBdr>
            <w:top w:val="none" w:sz="0" w:space="0" w:color="auto"/>
            <w:left w:val="none" w:sz="0" w:space="0" w:color="auto"/>
            <w:bottom w:val="none" w:sz="0" w:space="0" w:color="auto"/>
            <w:right w:val="none" w:sz="0" w:space="0" w:color="auto"/>
          </w:divBdr>
        </w:div>
        <w:div w:id="623773301">
          <w:marLeft w:val="640"/>
          <w:marRight w:val="0"/>
          <w:marTop w:val="0"/>
          <w:marBottom w:val="0"/>
          <w:divBdr>
            <w:top w:val="none" w:sz="0" w:space="0" w:color="auto"/>
            <w:left w:val="none" w:sz="0" w:space="0" w:color="auto"/>
            <w:bottom w:val="none" w:sz="0" w:space="0" w:color="auto"/>
            <w:right w:val="none" w:sz="0" w:space="0" w:color="auto"/>
          </w:divBdr>
        </w:div>
        <w:div w:id="125049270">
          <w:marLeft w:val="640"/>
          <w:marRight w:val="0"/>
          <w:marTop w:val="0"/>
          <w:marBottom w:val="0"/>
          <w:divBdr>
            <w:top w:val="none" w:sz="0" w:space="0" w:color="auto"/>
            <w:left w:val="none" w:sz="0" w:space="0" w:color="auto"/>
            <w:bottom w:val="none" w:sz="0" w:space="0" w:color="auto"/>
            <w:right w:val="none" w:sz="0" w:space="0" w:color="auto"/>
          </w:divBdr>
        </w:div>
        <w:div w:id="537813738">
          <w:marLeft w:val="640"/>
          <w:marRight w:val="0"/>
          <w:marTop w:val="0"/>
          <w:marBottom w:val="0"/>
          <w:divBdr>
            <w:top w:val="none" w:sz="0" w:space="0" w:color="auto"/>
            <w:left w:val="none" w:sz="0" w:space="0" w:color="auto"/>
            <w:bottom w:val="none" w:sz="0" w:space="0" w:color="auto"/>
            <w:right w:val="none" w:sz="0" w:space="0" w:color="auto"/>
          </w:divBdr>
        </w:div>
        <w:div w:id="1649095151">
          <w:marLeft w:val="640"/>
          <w:marRight w:val="0"/>
          <w:marTop w:val="0"/>
          <w:marBottom w:val="0"/>
          <w:divBdr>
            <w:top w:val="none" w:sz="0" w:space="0" w:color="auto"/>
            <w:left w:val="none" w:sz="0" w:space="0" w:color="auto"/>
            <w:bottom w:val="none" w:sz="0" w:space="0" w:color="auto"/>
            <w:right w:val="none" w:sz="0" w:space="0" w:color="auto"/>
          </w:divBdr>
        </w:div>
        <w:div w:id="2139759014">
          <w:marLeft w:val="640"/>
          <w:marRight w:val="0"/>
          <w:marTop w:val="0"/>
          <w:marBottom w:val="0"/>
          <w:divBdr>
            <w:top w:val="none" w:sz="0" w:space="0" w:color="auto"/>
            <w:left w:val="none" w:sz="0" w:space="0" w:color="auto"/>
            <w:bottom w:val="none" w:sz="0" w:space="0" w:color="auto"/>
            <w:right w:val="none" w:sz="0" w:space="0" w:color="auto"/>
          </w:divBdr>
        </w:div>
        <w:div w:id="1739286818">
          <w:marLeft w:val="640"/>
          <w:marRight w:val="0"/>
          <w:marTop w:val="0"/>
          <w:marBottom w:val="0"/>
          <w:divBdr>
            <w:top w:val="none" w:sz="0" w:space="0" w:color="auto"/>
            <w:left w:val="none" w:sz="0" w:space="0" w:color="auto"/>
            <w:bottom w:val="none" w:sz="0" w:space="0" w:color="auto"/>
            <w:right w:val="none" w:sz="0" w:space="0" w:color="auto"/>
          </w:divBdr>
        </w:div>
        <w:div w:id="1991590390">
          <w:marLeft w:val="640"/>
          <w:marRight w:val="0"/>
          <w:marTop w:val="0"/>
          <w:marBottom w:val="0"/>
          <w:divBdr>
            <w:top w:val="none" w:sz="0" w:space="0" w:color="auto"/>
            <w:left w:val="none" w:sz="0" w:space="0" w:color="auto"/>
            <w:bottom w:val="none" w:sz="0" w:space="0" w:color="auto"/>
            <w:right w:val="none" w:sz="0" w:space="0" w:color="auto"/>
          </w:divBdr>
        </w:div>
        <w:div w:id="2132047912">
          <w:marLeft w:val="640"/>
          <w:marRight w:val="0"/>
          <w:marTop w:val="0"/>
          <w:marBottom w:val="0"/>
          <w:divBdr>
            <w:top w:val="none" w:sz="0" w:space="0" w:color="auto"/>
            <w:left w:val="none" w:sz="0" w:space="0" w:color="auto"/>
            <w:bottom w:val="none" w:sz="0" w:space="0" w:color="auto"/>
            <w:right w:val="none" w:sz="0" w:space="0" w:color="auto"/>
          </w:divBdr>
        </w:div>
        <w:div w:id="658583737">
          <w:marLeft w:val="640"/>
          <w:marRight w:val="0"/>
          <w:marTop w:val="0"/>
          <w:marBottom w:val="0"/>
          <w:divBdr>
            <w:top w:val="none" w:sz="0" w:space="0" w:color="auto"/>
            <w:left w:val="none" w:sz="0" w:space="0" w:color="auto"/>
            <w:bottom w:val="none" w:sz="0" w:space="0" w:color="auto"/>
            <w:right w:val="none" w:sz="0" w:space="0" w:color="auto"/>
          </w:divBdr>
        </w:div>
        <w:div w:id="1658217971">
          <w:marLeft w:val="640"/>
          <w:marRight w:val="0"/>
          <w:marTop w:val="0"/>
          <w:marBottom w:val="0"/>
          <w:divBdr>
            <w:top w:val="none" w:sz="0" w:space="0" w:color="auto"/>
            <w:left w:val="none" w:sz="0" w:space="0" w:color="auto"/>
            <w:bottom w:val="none" w:sz="0" w:space="0" w:color="auto"/>
            <w:right w:val="none" w:sz="0" w:space="0" w:color="auto"/>
          </w:divBdr>
        </w:div>
        <w:div w:id="2055303450">
          <w:marLeft w:val="640"/>
          <w:marRight w:val="0"/>
          <w:marTop w:val="0"/>
          <w:marBottom w:val="0"/>
          <w:divBdr>
            <w:top w:val="none" w:sz="0" w:space="0" w:color="auto"/>
            <w:left w:val="none" w:sz="0" w:space="0" w:color="auto"/>
            <w:bottom w:val="none" w:sz="0" w:space="0" w:color="auto"/>
            <w:right w:val="none" w:sz="0" w:space="0" w:color="auto"/>
          </w:divBdr>
        </w:div>
        <w:div w:id="996495517">
          <w:marLeft w:val="640"/>
          <w:marRight w:val="0"/>
          <w:marTop w:val="0"/>
          <w:marBottom w:val="0"/>
          <w:divBdr>
            <w:top w:val="none" w:sz="0" w:space="0" w:color="auto"/>
            <w:left w:val="none" w:sz="0" w:space="0" w:color="auto"/>
            <w:bottom w:val="none" w:sz="0" w:space="0" w:color="auto"/>
            <w:right w:val="none" w:sz="0" w:space="0" w:color="auto"/>
          </w:divBdr>
        </w:div>
        <w:div w:id="1789736813">
          <w:marLeft w:val="640"/>
          <w:marRight w:val="0"/>
          <w:marTop w:val="0"/>
          <w:marBottom w:val="0"/>
          <w:divBdr>
            <w:top w:val="none" w:sz="0" w:space="0" w:color="auto"/>
            <w:left w:val="none" w:sz="0" w:space="0" w:color="auto"/>
            <w:bottom w:val="none" w:sz="0" w:space="0" w:color="auto"/>
            <w:right w:val="none" w:sz="0" w:space="0" w:color="auto"/>
          </w:divBdr>
        </w:div>
        <w:div w:id="1190140859">
          <w:marLeft w:val="640"/>
          <w:marRight w:val="0"/>
          <w:marTop w:val="0"/>
          <w:marBottom w:val="0"/>
          <w:divBdr>
            <w:top w:val="none" w:sz="0" w:space="0" w:color="auto"/>
            <w:left w:val="none" w:sz="0" w:space="0" w:color="auto"/>
            <w:bottom w:val="none" w:sz="0" w:space="0" w:color="auto"/>
            <w:right w:val="none" w:sz="0" w:space="0" w:color="auto"/>
          </w:divBdr>
        </w:div>
        <w:div w:id="2097092106">
          <w:marLeft w:val="640"/>
          <w:marRight w:val="0"/>
          <w:marTop w:val="0"/>
          <w:marBottom w:val="0"/>
          <w:divBdr>
            <w:top w:val="none" w:sz="0" w:space="0" w:color="auto"/>
            <w:left w:val="none" w:sz="0" w:space="0" w:color="auto"/>
            <w:bottom w:val="none" w:sz="0" w:space="0" w:color="auto"/>
            <w:right w:val="none" w:sz="0" w:space="0" w:color="auto"/>
          </w:divBdr>
        </w:div>
        <w:div w:id="1187332537">
          <w:marLeft w:val="640"/>
          <w:marRight w:val="0"/>
          <w:marTop w:val="0"/>
          <w:marBottom w:val="0"/>
          <w:divBdr>
            <w:top w:val="none" w:sz="0" w:space="0" w:color="auto"/>
            <w:left w:val="none" w:sz="0" w:space="0" w:color="auto"/>
            <w:bottom w:val="none" w:sz="0" w:space="0" w:color="auto"/>
            <w:right w:val="none" w:sz="0" w:space="0" w:color="auto"/>
          </w:divBdr>
        </w:div>
        <w:div w:id="2054453857">
          <w:marLeft w:val="640"/>
          <w:marRight w:val="0"/>
          <w:marTop w:val="0"/>
          <w:marBottom w:val="0"/>
          <w:divBdr>
            <w:top w:val="none" w:sz="0" w:space="0" w:color="auto"/>
            <w:left w:val="none" w:sz="0" w:space="0" w:color="auto"/>
            <w:bottom w:val="none" w:sz="0" w:space="0" w:color="auto"/>
            <w:right w:val="none" w:sz="0" w:space="0" w:color="auto"/>
          </w:divBdr>
        </w:div>
        <w:div w:id="992835024">
          <w:marLeft w:val="640"/>
          <w:marRight w:val="0"/>
          <w:marTop w:val="0"/>
          <w:marBottom w:val="0"/>
          <w:divBdr>
            <w:top w:val="none" w:sz="0" w:space="0" w:color="auto"/>
            <w:left w:val="none" w:sz="0" w:space="0" w:color="auto"/>
            <w:bottom w:val="none" w:sz="0" w:space="0" w:color="auto"/>
            <w:right w:val="none" w:sz="0" w:space="0" w:color="auto"/>
          </w:divBdr>
        </w:div>
        <w:div w:id="2128969187">
          <w:marLeft w:val="640"/>
          <w:marRight w:val="0"/>
          <w:marTop w:val="0"/>
          <w:marBottom w:val="0"/>
          <w:divBdr>
            <w:top w:val="none" w:sz="0" w:space="0" w:color="auto"/>
            <w:left w:val="none" w:sz="0" w:space="0" w:color="auto"/>
            <w:bottom w:val="none" w:sz="0" w:space="0" w:color="auto"/>
            <w:right w:val="none" w:sz="0" w:space="0" w:color="auto"/>
          </w:divBdr>
        </w:div>
        <w:div w:id="1902472892">
          <w:marLeft w:val="640"/>
          <w:marRight w:val="0"/>
          <w:marTop w:val="0"/>
          <w:marBottom w:val="0"/>
          <w:divBdr>
            <w:top w:val="none" w:sz="0" w:space="0" w:color="auto"/>
            <w:left w:val="none" w:sz="0" w:space="0" w:color="auto"/>
            <w:bottom w:val="none" w:sz="0" w:space="0" w:color="auto"/>
            <w:right w:val="none" w:sz="0" w:space="0" w:color="auto"/>
          </w:divBdr>
        </w:div>
        <w:div w:id="1123503522">
          <w:marLeft w:val="640"/>
          <w:marRight w:val="0"/>
          <w:marTop w:val="0"/>
          <w:marBottom w:val="0"/>
          <w:divBdr>
            <w:top w:val="none" w:sz="0" w:space="0" w:color="auto"/>
            <w:left w:val="none" w:sz="0" w:space="0" w:color="auto"/>
            <w:bottom w:val="none" w:sz="0" w:space="0" w:color="auto"/>
            <w:right w:val="none" w:sz="0" w:space="0" w:color="auto"/>
          </w:divBdr>
        </w:div>
        <w:div w:id="356581608">
          <w:marLeft w:val="640"/>
          <w:marRight w:val="0"/>
          <w:marTop w:val="0"/>
          <w:marBottom w:val="0"/>
          <w:divBdr>
            <w:top w:val="none" w:sz="0" w:space="0" w:color="auto"/>
            <w:left w:val="none" w:sz="0" w:space="0" w:color="auto"/>
            <w:bottom w:val="none" w:sz="0" w:space="0" w:color="auto"/>
            <w:right w:val="none" w:sz="0" w:space="0" w:color="auto"/>
          </w:divBdr>
        </w:div>
        <w:div w:id="430709244">
          <w:marLeft w:val="640"/>
          <w:marRight w:val="0"/>
          <w:marTop w:val="0"/>
          <w:marBottom w:val="0"/>
          <w:divBdr>
            <w:top w:val="none" w:sz="0" w:space="0" w:color="auto"/>
            <w:left w:val="none" w:sz="0" w:space="0" w:color="auto"/>
            <w:bottom w:val="none" w:sz="0" w:space="0" w:color="auto"/>
            <w:right w:val="none" w:sz="0" w:space="0" w:color="auto"/>
          </w:divBdr>
        </w:div>
        <w:div w:id="1595893539">
          <w:marLeft w:val="640"/>
          <w:marRight w:val="0"/>
          <w:marTop w:val="0"/>
          <w:marBottom w:val="0"/>
          <w:divBdr>
            <w:top w:val="none" w:sz="0" w:space="0" w:color="auto"/>
            <w:left w:val="none" w:sz="0" w:space="0" w:color="auto"/>
            <w:bottom w:val="none" w:sz="0" w:space="0" w:color="auto"/>
            <w:right w:val="none" w:sz="0" w:space="0" w:color="auto"/>
          </w:divBdr>
        </w:div>
        <w:div w:id="340281041">
          <w:marLeft w:val="640"/>
          <w:marRight w:val="0"/>
          <w:marTop w:val="0"/>
          <w:marBottom w:val="0"/>
          <w:divBdr>
            <w:top w:val="none" w:sz="0" w:space="0" w:color="auto"/>
            <w:left w:val="none" w:sz="0" w:space="0" w:color="auto"/>
            <w:bottom w:val="none" w:sz="0" w:space="0" w:color="auto"/>
            <w:right w:val="none" w:sz="0" w:space="0" w:color="auto"/>
          </w:divBdr>
        </w:div>
        <w:div w:id="133446161">
          <w:marLeft w:val="640"/>
          <w:marRight w:val="0"/>
          <w:marTop w:val="0"/>
          <w:marBottom w:val="0"/>
          <w:divBdr>
            <w:top w:val="none" w:sz="0" w:space="0" w:color="auto"/>
            <w:left w:val="none" w:sz="0" w:space="0" w:color="auto"/>
            <w:bottom w:val="none" w:sz="0" w:space="0" w:color="auto"/>
            <w:right w:val="none" w:sz="0" w:space="0" w:color="auto"/>
          </w:divBdr>
        </w:div>
        <w:div w:id="1339623729">
          <w:marLeft w:val="640"/>
          <w:marRight w:val="0"/>
          <w:marTop w:val="0"/>
          <w:marBottom w:val="0"/>
          <w:divBdr>
            <w:top w:val="none" w:sz="0" w:space="0" w:color="auto"/>
            <w:left w:val="none" w:sz="0" w:space="0" w:color="auto"/>
            <w:bottom w:val="none" w:sz="0" w:space="0" w:color="auto"/>
            <w:right w:val="none" w:sz="0" w:space="0" w:color="auto"/>
          </w:divBdr>
        </w:div>
        <w:div w:id="1581064650">
          <w:marLeft w:val="640"/>
          <w:marRight w:val="0"/>
          <w:marTop w:val="0"/>
          <w:marBottom w:val="0"/>
          <w:divBdr>
            <w:top w:val="none" w:sz="0" w:space="0" w:color="auto"/>
            <w:left w:val="none" w:sz="0" w:space="0" w:color="auto"/>
            <w:bottom w:val="none" w:sz="0" w:space="0" w:color="auto"/>
            <w:right w:val="none" w:sz="0" w:space="0" w:color="auto"/>
          </w:divBdr>
        </w:div>
        <w:div w:id="1202792301">
          <w:marLeft w:val="640"/>
          <w:marRight w:val="0"/>
          <w:marTop w:val="0"/>
          <w:marBottom w:val="0"/>
          <w:divBdr>
            <w:top w:val="none" w:sz="0" w:space="0" w:color="auto"/>
            <w:left w:val="none" w:sz="0" w:space="0" w:color="auto"/>
            <w:bottom w:val="none" w:sz="0" w:space="0" w:color="auto"/>
            <w:right w:val="none" w:sz="0" w:space="0" w:color="auto"/>
          </w:divBdr>
        </w:div>
        <w:div w:id="590744088">
          <w:marLeft w:val="640"/>
          <w:marRight w:val="0"/>
          <w:marTop w:val="0"/>
          <w:marBottom w:val="0"/>
          <w:divBdr>
            <w:top w:val="none" w:sz="0" w:space="0" w:color="auto"/>
            <w:left w:val="none" w:sz="0" w:space="0" w:color="auto"/>
            <w:bottom w:val="none" w:sz="0" w:space="0" w:color="auto"/>
            <w:right w:val="none" w:sz="0" w:space="0" w:color="auto"/>
          </w:divBdr>
        </w:div>
        <w:div w:id="413477867">
          <w:marLeft w:val="640"/>
          <w:marRight w:val="0"/>
          <w:marTop w:val="0"/>
          <w:marBottom w:val="0"/>
          <w:divBdr>
            <w:top w:val="none" w:sz="0" w:space="0" w:color="auto"/>
            <w:left w:val="none" w:sz="0" w:space="0" w:color="auto"/>
            <w:bottom w:val="none" w:sz="0" w:space="0" w:color="auto"/>
            <w:right w:val="none" w:sz="0" w:space="0" w:color="auto"/>
          </w:divBdr>
        </w:div>
        <w:div w:id="1547987783">
          <w:marLeft w:val="640"/>
          <w:marRight w:val="0"/>
          <w:marTop w:val="0"/>
          <w:marBottom w:val="0"/>
          <w:divBdr>
            <w:top w:val="none" w:sz="0" w:space="0" w:color="auto"/>
            <w:left w:val="none" w:sz="0" w:space="0" w:color="auto"/>
            <w:bottom w:val="none" w:sz="0" w:space="0" w:color="auto"/>
            <w:right w:val="none" w:sz="0" w:space="0" w:color="auto"/>
          </w:divBdr>
        </w:div>
        <w:div w:id="1508985510">
          <w:marLeft w:val="640"/>
          <w:marRight w:val="0"/>
          <w:marTop w:val="0"/>
          <w:marBottom w:val="0"/>
          <w:divBdr>
            <w:top w:val="none" w:sz="0" w:space="0" w:color="auto"/>
            <w:left w:val="none" w:sz="0" w:space="0" w:color="auto"/>
            <w:bottom w:val="none" w:sz="0" w:space="0" w:color="auto"/>
            <w:right w:val="none" w:sz="0" w:space="0" w:color="auto"/>
          </w:divBdr>
        </w:div>
        <w:div w:id="2064602137">
          <w:marLeft w:val="640"/>
          <w:marRight w:val="0"/>
          <w:marTop w:val="0"/>
          <w:marBottom w:val="0"/>
          <w:divBdr>
            <w:top w:val="none" w:sz="0" w:space="0" w:color="auto"/>
            <w:left w:val="none" w:sz="0" w:space="0" w:color="auto"/>
            <w:bottom w:val="none" w:sz="0" w:space="0" w:color="auto"/>
            <w:right w:val="none" w:sz="0" w:space="0" w:color="auto"/>
          </w:divBdr>
        </w:div>
        <w:div w:id="2099911031">
          <w:marLeft w:val="640"/>
          <w:marRight w:val="0"/>
          <w:marTop w:val="0"/>
          <w:marBottom w:val="0"/>
          <w:divBdr>
            <w:top w:val="none" w:sz="0" w:space="0" w:color="auto"/>
            <w:left w:val="none" w:sz="0" w:space="0" w:color="auto"/>
            <w:bottom w:val="none" w:sz="0" w:space="0" w:color="auto"/>
            <w:right w:val="none" w:sz="0" w:space="0" w:color="auto"/>
          </w:divBdr>
        </w:div>
        <w:div w:id="1061246339">
          <w:marLeft w:val="640"/>
          <w:marRight w:val="0"/>
          <w:marTop w:val="0"/>
          <w:marBottom w:val="0"/>
          <w:divBdr>
            <w:top w:val="none" w:sz="0" w:space="0" w:color="auto"/>
            <w:left w:val="none" w:sz="0" w:space="0" w:color="auto"/>
            <w:bottom w:val="none" w:sz="0" w:space="0" w:color="auto"/>
            <w:right w:val="none" w:sz="0" w:space="0" w:color="auto"/>
          </w:divBdr>
        </w:div>
        <w:div w:id="1319769911">
          <w:marLeft w:val="640"/>
          <w:marRight w:val="0"/>
          <w:marTop w:val="0"/>
          <w:marBottom w:val="0"/>
          <w:divBdr>
            <w:top w:val="none" w:sz="0" w:space="0" w:color="auto"/>
            <w:left w:val="none" w:sz="0" w:space="0" w:color="auto"/>
            <w:bottom w:val="none" w:sz="0" w:space="0" w:color="auto"/>
            <w:right w:val="none" w:sz="0" w:space="0" w:color="auto"/>
          </w:divBdr>
        </w:div>
        <w:div w:id="1031418347">
          <w:marLeft w:val="640"/>
          <w:marRight w:val="0"/>
          <w:marTop w:val="0"/>
          <w:marBottom w:val="0"/>
          <w:divBdr>
            <w:top w:val="none" w:sz="0" w:space="0" w:color="auto"/>
            <w:left w:val="none" w:sz="0" w:space="0" w:color="auto"/>
            <w:bottom w:val="none" w:sz="0" w:space="0" w:color="auto"/>
            <w:right w:val="none" w:sz="0" w:space="0" w:color="auto"/>
          </w:divBdr>
        </w:div>
        <w:div w:id="292440872">
          <w:marLeft w:val="640"/>
          <w:marRight w:val="0"/>
          <w:marTop w:val="0"/>
          <w:marBottom w:val="0"/>
          <w:divBdr>
            <w:top w:val="none" w:sz="0" w:space="0" w:color="auto"/>
            <w:left w:val="none" w:sz="0" w:space="0" w:color="auto"/>
            <w:bottom w:val="none" w:sz="0" w:space="0" w:color="auto"/>
            <w:right w:val="none" w:sz="0" w:space="0" w:color="auto"/>
          </w:divBdr>
        </w:div>
        <w:div w:id="788863389">
          <w:marLeft w:val="640"/>
          <w:marRight w:val="0"/>
          <w:marTop w:val="0"/>
          <w:marBottom w:val="0"/>
          <w:divBdr>
            <w:top w:val="none" w:sz="0" w:space="0" w:color="auto"/>
            <w:left w:val="none" w:sz="0" w:space="0" w:color="auto"/>
            <w:bottom w:val="none" w:sz="0" w:space="0" w:color="auto"/>
            <w:right w:val="none" w:sz="0" w:space="0" w:color="auto"/>
          </w:divBdr>
        </w:div>
        <w:div w:id="1171292065">
          <w:marLeft w:val="640"/>
          <w:marRight w:val="0"/>
          <w:marTop w:val="0"/>
          <w:marBottom w:val="0"/>
          <w:divBdr>
            <w:top w:val="none" w:sz="0" w:space="0" w:color="auto"/>
            <w:left w:val="none" w:sz="0" w:space="0" w:color="auto"/>
            <w:bottom w:val="none" w:sz="0" w:space="0" w:color="auto"/>
            <w:right w:val="none" w:sz="0" w:space="0" w:color="auto"/>
          </w:divBdr>
        </w:div>
        <w:div w:id="1301880736">
          <w:marLeft w:val="640"/>
          <w:marRight w:val="0"/>
          <w:marTop w:val="0"/>
          <w:marBottom w:val="0"/>
          <w:divBdr>
            <w:top w:val="none" w:sz="0" w:space="0" w:color="auto"/>
            <w:left w:val="none" w:sz="0" w:space="0" w:color="auto"/>
            <w:bottom w:val="none" w:sz="0" w:space="0" w:color="auto"/>
            <w:right w:val="none" w:sz="0" w:space="0" w:color="auto"/>
          </w:divBdr>
        </w:div>
        <w:div w:id="579027094">
          <w:marLeft w:val="640"/>
          <w:marRight w:val="0"/>
          <w:marTop w:val="0"/>
          <w:marBottom w:val="0"/>
          <w:divBdr>
            <w:top w:val="none" w:sz="0" w:space="0" w:color="auto"/>
            <w:left w:val="none" w:sz="0" w:space="0" w:color="auto"/>
            <w:bottom w:val="none" w:sz="0" w:space="0" w:color="auto"/>
            <w:right w:val="none" w:sz="0" w:space="0" w:color="auto"/>
          </w:divBdr>
        </w:div>
        <w:div w:id="2126389907">
          <w:marLeft w:val="640"/>
          <w:marRight w:val="0"/>
          <w:marTop w:val="0"/>
          <w:marBottom w:val="0"/>
          <w:divBdr>
            <w:top w:val="none" w:sz="0" w:space="0" w:color="auto"/>
            <w:left w:val="none" w:sz="0" w:space="0" w:color="auto"/>
            <w:bottom w:val="none" w:sz="0" w:space="0" w:color="auto"/>
            <w:right w:val="none" w:sz="0" w:space="0" w:color="auto"/>
          </w:divBdr>
        </w:div>
        <w:div w:id="903223977">
          <w:marLeft w:val="640"/>
          <w:marRight w:val="0"/>
          <w:marTop w:val="0"/>
          <w:marBottom w:val="0"/>
          <w:divBdr>
            <w:top w:val="none" w:sz="0" w:space="0" w:color="auto"/>
            <w:left w:val="none" w:sz="0" w:space="0" w:color="auto"/>
            <w:bottom w:val="none" w:sz="0" w:space="0" w:color="auto"/>
            <w:right w:val="none" w:sz="0" w:space="0" w:color="auto"/>
          </w:divBdr>
        </w:div>
        <w:div w:id="941647050">
          <w:marLeft w:val="640"/>
          <w:marRight w:val="0"/>
          <w:marTop w:val="0"/>
          <w:marBottom w:val="0"/>
          <w:divBdr>
            <w:top w:val="none" w:sz="0" w:space="0" w:color="auto"/>
            <w:left w:val="none" w:sz="0" w:space="0" w:color="auto"/>
            <w:bottom w:val="none" w:sz="0" w:space="0" w:color="auto"/>
            <w:right w:val="none" w:sz="0" w:space="0" w:color="auto"/>
          </w:divBdr>
        </w:div>
        <w:div w:id="25644915">
          <w:marLeft w:val="640"/>
          <w:marRight w:val="0"/>
          <w:marTop w:val="0"/>
          <w:marBottom w:val="0"/>
          <w:divBdr>
            <w:top w:val="none" w:sz="0" w:space="0" w:color="auto"/>
            <w:left w:val="none" w:sz="0" w:space="0" w:color="auto"/>
            <w:bottom w:val="none" w:sz="0" w:space="0" w:color="auto"/>
            <w:right w:val="none" w:sz="0" w:space="0" w:color="auto"/>
          </w:divBdr>
        </w:div>
        <w:div w:id="1665276739">
          <w:marLeft w:val="640"/>
          <w:marRight w:val="0"/>
          <w:marTop w:val="0"/>
          <w:marBottom w:val="0"/>
          <w:divBdr>
            <w:top w:val="none" w:sz="0" w:space="0" w:color="auto"/>
            <w:left w:val="none" w:sz="0" w:space="0" w:color="auto"/>
            <w:bottom w:val="none" w:sz="0" w:space="0" w:color="auto"/>
            <w:right w:val="none" w:sz="0" w:space="0" w:color="auto"/>
          </w:divBdr>
        </w:div>
        <w:div w:id="1655836805">
          <w:marLeft w:val="640"/>
          <w:marRight w:val="0"/>
          <w:marTop w:val="0"/>
          <w:marBottom w:val="0"/>
          <w:divBdr>
            <w:top w:val="none" w:sz="0" w:space="0" w:color="auto"/>
            <w:left w:val="none" w:sz="0" w:space="0" w:color="auto"/>
            <w:bottom w:val="none" w:sz="0" w:space="0" w:color="auto"/>
            <w:right w:val="none" w:sz="0" w:space="0" w:color="auto"/>
          </w:divBdr>
        </w:div>
        <w:div w:id="1218516898">
          <w:marLeft w:val="640"/>
          <w:marRight w:val="0"/>
          <w:marTop w:val="0"/>
          <w:marBottom w:val="0"/>
          <w:divBdr>
            <w:top w:val="none" w:sz="0" w:space="0" w:color="auto"/>
            <w:left w:val="none" w:sz="0" w:space="0" w:color="auto"/>
            <w:bottom w:val="none" w:sz="0" w:space="0" w:color="auto"/>
            <w:right w:val="none" w:sz="0" w:space="0" w:color="auto"/>
          </w:divBdr>
        </w:div>
        <w:div w:id="252007719">
          <w:marLeft w:val="640"/>
          <w:marRight w:val="0"/>
          <w:marTop w:val="0"/>
          <w:marBottom w:val="0"/>
          <w:divBdr>
            <w:top w:val="none" w:sz="0" w:space="0" w:color="auto"/>
            <w:left w:val="none" w:sz="0" w:space="0" w:color="auto"/>
            <w:bottom w:val="none" w:sz="0" w:space="0" w:color="auto"/>
            <w:right w:val="none" w:sz="0" w:space="0" w:color="auto"/>
          </w:divBdr>
        </w:div>
        <w:div w:id="90203537">
          <w:marLeft w:val="640"/>
          <w:marRight w:val="0"/>
          <w:marTop w:val="0"/>
          <w:marBottom w:val="0"/>
          <w:divBdr>
            <w:top w:val="none" w:sz="0" w:space="0" w:color="auto"/>
            <w:left w:val="none" w:sz="0" w:space="0" w:color="auto"/>
            <w:bottom w:val="none" w:sz="0" w:space="0" w:color="auto"/>
            <w:right w:val="none" w:sz="0" w:space="0" w:color="auto"/>
          </w:divBdr>
        </w:div>
        <w:div w:id="734819152">
          <w:marLeft w:val="640"/>
          <w:marRight w:val="0"/>
          <w:marTop w:val="0"/>
          <w:marBottom w:val="0"/>
          <w:divBdr>
            <w:top w:val="none" w:sz="0" w:space="0" w:color="auto"/>
            <w:left w:val="none" w:sz="0" w:space="0" w:color="auto"/>
            <w:bottom w:val="none" w:sz="0" w:space="0" w:color="auto"/>
            <w:right w:val="none" w:sz="0" w:space="0" w:color="auto"/>
          </w:divBdr>
        </w:div>
        <w:div w:id="388067932">
          <w:marLeft w:val="640"/>
          <w:marRight w:val="0"/>
          <w:marTop w:val="0"/>
          <w:marBottom w:val="0"/>
          <w:divBdr>
            <w:top w:val="none" w:sz="0" w:space="0" w:color="auto"/>
            <w:left w:val="none" w:sz="0" w:space="0" w:color="auto"/>
            <w:bottom w:val="none" w:sz="0" w:space="0" w:color="auto"/>
            <w:right w:val="none" w:sz="0" w:space="0" w:color="auto"/>
          </w:divBdr>
        </w:div>
        <w:div w:id="3242599">
          <w:marLeft w:val="640"/>
          <w:marRight w:val="0"/>
          <w:marTop w:val="0"/>
          <w:marBottom w:val="0"/>
          <w:divBdr>
            <w:top w:val="none" w:sz="0" w:space="0" w:color="auto"/>
            <w:left w:val="none" w:sz="0" w:space="0" w:color="auto"/>
            <w:bottom w:val="none" w:sz="0" w:space="0" w:color="auto"/>
            <w:right w:val="none" w:sz="0" w:space="0" w:color="auto"/>
          </w:divBdr>
        </w:div>
        <w:div w:id="1937864412">
          <w:marLeft w:val="640"/>
          <w:marRight w:val="0"/>
          <w:marTop w:val="0"/>
          <w:marBottom w:val="0"/>
          <w:divBdr>
            <w:top w:val="none" w:sz="0" w:space="0" w:color="auto"/>
            <w:left w:val="none" w:sz="0" w:space="0" w:color="auto"/>
            <w:bottom w:val="none" w:sz="0" w:space="0" w:color="auto"/>
            <w:right w:val="none" w:sz="0" w:space="0" w:color="auto"/>
          </w:divBdr>
        </w:div>
        <w:div w:id="1070036118">
          <w:marLeft w:val="640"/>
          <w:marRight w:val="0"/>
          <w:marTop w:val="0"/>
          <w:marBottom w:val="0"/>
          <w:divBdr>
            <w:top w:val="none" w:sz="0" w:space="0" w:color="auto"/>
            <w:left w:val="none" w:sz="0" w:space="0" w:color="auto"/>
            <w:bottom w:val="none" w:sz="0" w:space="0" w:color="auto"/>
            <w:right w:val="none" w:sz="0" w:space="0" w:color="auto"/>
          </w:divBdr>
        </w:div>
        <w:div w:id="1303388512">
          <w:marLeft w:val="640"/>
          <w:marRight w:val="0"/>
          <w:marTop w:val="0"/>
          <w:marBottom w:val="0"/>
          <w:divBdr>
            <w:top w:val="none" w:sz="0" w:space="0" w:color="auto"/>
            <w:left w:val="none" w:sz="0" w:space="0" w:color="auto"/>
            <w:bottom w:val="none" w:sz="0" w:space="0" w:color="auto"/>
            <w:right w:val="none" w:sz="0" w:space="0" w:color="auto"/>
          </w:divBdr>
        </w:div>
        <w:div w:id="331224118">
          <w:marLeft w:val="640"/>
          <w:marRight w:val="0"/>
          <w:marTop w:val="0"/>
          <w:marBottom w:val="0"/>
          <w:divBdr>
            <w:top w:val="none" w:sz="0" w:space="0" w:color="auto"/>
            <w:left w:val="none" w:sz="0" w:space="0" w:color="auto"/>
            <w:bottom w:val="none" w:sz="0" w:space="0" w:color="auto"/>
            <w:right w:val="none" w:sz="0" w:space="0" w:color="auto"/>
          </w:divBdr>
        </w:div>
        <w:div w:id="41636113">
          <w:marLeft w:val="640"/>
          <w:marRight w:val="0"/>
          <w:marTop w:val="0"/>
          <w:marBottom w:val="0"/>
          <w:divBdr>
            <w:top w:val="none" w:sz="0" w:space="0" w:color="auto"/>
            <w:left w:val="none" w:sz="0" w:space="0" w:color="auto"/>
            <w:bottom w:val="none" w:sz="0" w:space="0" w:color="auto"/>
            <w:right w:val="none" w:sz="0" w:space="0" w:color="auto"/>
          </w:divBdr>
        </w:div>
        <w:div w:id="185292957">
          <w:marLeft w:val="640"/>
          <w:marRight w:val="0"/>
          <w:marTop w:val="0"/>
          <w:marBottom w:val="0"/>
          <w:divBdr>
            <w:top w:val="none" w:sz="0" w:space="0" w:color="auto"/>
            <w:left w:val="none" w:sz="0" w:space="0" w:color="auto"/>
            <w:bottom w:val="none" w:sz="0" w:space="0" w:color="auto"/>
            <w:right w:val="none" w:sz="0" w:space="0" w:color="auto"/>
          </w:divBdr>
        </w:div>
        <w:div w:id="1833136179">
          <w:marLeft w:val="640"/>
          <w:marRight w:val="0"/>
          <w:marTop w:val="0"/>
          <w:marBottom w:val="0"/>
          <w:divBdr>
            <w:top w:val="none" w:sz="0" w:space="0" w:color="auto"/>
            <w:left w:val="none" w:sz="0" w:space="0" w:color="auto"/>
            <w:bottom w:val="none" w:sz="0" w:space="0" w:color="auto"/>
            <w:right w:val="none" w:sz="0" w:space="0" w:color="auto"/>
          </w:divBdr>
        </w:div>
        <w:div w:id="1861117318">
          <w:marLeft w:val="640"/>
          <w:marRight w:val="0"/>
          <w:marTop w:val="0"/>
          <w:marBottom w:val="0"/>
          <w:divBdr>
            <w:top w:val="none" w:sz="0" w:space="0" w:color="auto"/>
            <w:left w:val="none" w:sz="0" w:space="0" w:color="auto"/>
            <w:bottom w:val="none" w:sz="0" w:space="0" w:color="auto"/>
            <w:right w:val="none" w:sz="0" w:space="0" w:color="auto"/>
          </w:divBdr>
        </w:div>
        <w:div w:id="921992009">
          <w:marLeft w:val="640"/>
          <w:marRight w:val="0"/>
          <w:marTop w:val="0"/>
          <w:marBottom w:val="0"/>
          <w:divBdr>
            <w:top w:val="none" w:sz="0" w:space="0" w:color="auto"/>
            <w:left w:val="none" w:sz="0" w:space="0" w:color="auto"/>
            <w:bottom w:val="none" w:sz="0" w:space="0" w:color="auto"/>
            <w:right w:val="none" w:sz="0" w:space="0" w:color="auto"/>
          </w:divBdr>
        </w:div>
        <w:div w:id="1411851754">
          <w:marLeft w:val="640"/>
          <w:marRight w:val="0"/>
          <w:marTop w:val="0"/>
          <w:marBottom w:val="0"/>
          <w:divBdr>
            <w:top w:val="none" w:sz="0" w:space="0" w:color="auto"/>
            <w:left w:val="none" w:sz="0" w:space="0" w:color="auto"/>
            <w:bottom w:val="none" w:sz="0" w:space="0" w:color="auto"/>
            <w:right w:val="none" w:sz="0" w:space="0" w:color="auto"/>
          </w:divBdr>
        </w:div>
        <w:div w:id="1641618088">
          <w:marLeft w:val="640"/>
          <w:marRight w:val="0"/>
          <w:marTop w:val="0"/>
          <w:marBottom w:val="0"/>
          <w:divBdr>
            <w:top w:val="none" w:sz="0" w:space="0" w:color="auto"/>
            <w:left w:val="none" w:sz="0" w:space="0" w:color="auto"/>
            <w:bottom w:val="none" w:sz="0" w:space="0" w:color="auto"/>
            <w:right w:val="none" w:sz="0" w:space="0" w:color="auto"/>
          </w:divBdr>
        </w:div>
        <w:div w:id="621689714">
          <w:marLeft w:val="640"/>
          <w:marRight w:val="0"/>
          <w:marTop w:val="0"/>
          <w:marBottom w:val="0"/>
          <w:divBdr>
            <w:top w:val="none" w:sz="0" w:space="0" w:color="auto"/>
            <w:left w:val="none" w:sz="0" w:space="0" w:color="auto"/>
            <w:bottom w:val="none" w:sz="0" w:space="0" w:color="auto"/>
            <w:right w:val="none" w:sz="0" w:space="0" w:color="auto"/>
          </w:divBdr>
        </w:div>
        <w:div w:id="857427807">
          <w:marLeft w:val="640"/>
          <w:marRight w:val="0"/>
          <w:marTop w:val="0"/>
          <w:marBottom w:val="0"/>
          <w:divBdr>
            <w:top w:val="none" w:sz="0" w:space="0" w:color="auto"/>
            <w:left w:val="none" w:sz="0" w:space="0" w:color="auto"/>
            <w:bottom w:val="none" w:sz="0" w:space="0" w:color="auto"/>
            <w:right w:val="none" w:sz="0" w:space="0" w:color="auto"/>
          </w:divBdr>
        </w:div>
        <w:div w:id="398291729">
          <w:marLeft w:val="640"/>
          <w:marRight w:val="0"/>
          <w:marTop w:val="0"/>
          <w:marBottom w:val="0"/>
          <w:divBdr>
            <w:top w:val="none" w:sz="0" w:space="0" w:color="auto"/>
            <w:left w:val="none" w:sz="0" w:space="0" w:color="auto"/>
            <w:bottom w:val="none" w:sz="0" w:space="0" w:color="auto"/>
            <w:right w:val="none" w:sz="0" w:space="0" w:color="auto"/>
          </w:divBdr>
        </w:div>
        <w:div w:id="978191332">
          <w:marLeft w:val="640"/>
          <w:marRight w:val="0"/>
          <w:marTop w:val="0"/>
          <w:marBottom w:val="0"/>
          <w:divBdr>
            <w:top w:val="none" w:sz="0" w:space="0" w:color="auto"/>
            <w:left w:val="none" w:sz="0" w:space="0" w:color="auto"/>
            <w:bottom w:val="none" w:sz="0" w:space="0" w:color="auto"/>
            <w:right w:val="none" w:sz="0" w:space="0" w:color="auto"/>
          </w:divBdr>
        </w:div>
        <w:div w:id="1945574534">
          <w:marLeft w:val="640"/>
          <w:marRight w:val="0"/>
          <w:marTop w:val="0"/>
          <w:marBottom w:val="0"/>
          <w:divBdr>
            <w:top w:val="none" w:sz="0" w:space="0" w:color="auto"/>
            <w:left w:val="none" w:sz="0" w:space="0" w:color="auto"/>
            <w:bottom w:val="none" w:sz="0" w:space="0" w:color="auto"/>
            <w:right w:val="none" w:sz="0" w:space="0" w:color="auto"/>
          </w:divBdr>
        </w:div>
        <w:div w:id="862747284">
          <w:marLeft w:val="640"/>
          <w:marRight w:val="0"/>
          <w:marTop w:val="0"/>
          <w:marBottom w:val="0"/>
          <w:divBdr>
            <w:top w:val="none" w:sz="0" w:space="0" w:color="auto"/>
            <w:left w:val="none" w:sz="0" w:space="0" w:color="auto"/>
            <w:bottom w:val="none" w:sz="0" w:space="0" w:color="auto"/>
            <w:right w:val="none" w:sz="0" w:space="0" w:color="auto"/>
          </w:divBdr>
        </w:div>
        <w:div w:id="1266310177">
          <w:marLeft w:val="640"/>
          <w:marRight w:val="0"/>
          <w:marTop w:val="0"/>
          <w:marBottom w:val="0"/>
          <w:divBdr>
            <w:top w:val="none" w:sz="0" w:space="0" w:color="auto"/>
            <w:left w:val="none" w:sz="0" w:space="0" w:color="auto"/>
            <w:bottom w:val="none" w:sz="0" w:space="0" w:color="auto"/>
            <w:right w:val="none" w:sz="0" w:space="0" w:color="auto"/>
          </w:divBdr>
        </w:div>
        <w:div w:id="1298410262">
          <w:marLeft w:val="640"/>
          <w:marRight w:val="0"/>
          <w:marTop w:val="0"/>
          <w:marBottom w:val="0"/>
          <w:divBdr>
            <w:top w:val="none" w:sz="0" w:space="0" w:color="auto"/>
            <w:left w:val="none" w:sz="0" w:space="0" w:color="auto"/>
            <w:bottom w:val="none" w:sz="0" w:space="0" w:color="auto"/>
            <w:right w:val="none" w:sz="0" w:space="0" w:color="auto"/>
          </w:divBdr>
        </w:div>
        <w:div w:id="729501579">
          <w:marLeft w:val="640"/>
          <w:marRight w:val="0"/>
          <w:marTop w:val="0"/>
          <w:marBottom w:val="0"/>
          <w:divBdr>
            <w:top w:val="none" w:sz="0" w:space="0" w:color="auto"/>
            <w:left w:val="none" w:sz="0" w:space="0" w:color="auto"/>
            <w:bottom w:val="none" w:sz="0" w:space="0" w:color="auto"/>
            <w:right w:val="none" w:sz="0" w:space="0" w:color="auto"/>
          </w:divBdr>
        </w:div>
        <w:div w:id="832531079">
          <w:marLeft w:val="640"/>
          <w:marRight w:val="0"/>
          <w:marTop w:val="0"/>
          <w:marBottom w:val="0"/>
          <w:divBdr>
            <w:top w:val="none" w:sz="0" w:space="0" w:color="auto"/>
            <w:left w:val="none" w:sz="0" w:space="0" w:color="auto"/>
            <w:bottom w:val="none" w:sz="0" w:space="0" w:color="auto"/>
            <w:right w:val="none" w:sz="0" w:space="0" w:color="auto"/>
          </w:divBdr>
        </w:div>
        <w:div w:id="866916194">
          <w:marLeft w:val="640"/>
          <w:marRight w:val="0"/>
          <w:marTop w:val="0"/>
          <w:marBottom w:val="0"/>
          <w:divBdr>
            <w:top w:val="none" w:sz="0" w:space="0" w:color="auto"/>
            <w:left w:val="none" w:sz="0" w:space="0" w:color="auto"/>
            <w:bottom w:val="none" w:sz="0" w:space="0" w:color="auto"/>
            <w:right w:val="none" w:sz="0" w:space="0" w:color="auto"/>
          </w:divBdr>
        </w:div>
        <w:div w:id="659387208">
          <w:marLeft w:val="640"/>
          <w:marRight w:val="0"/>
          <w:marTop w:val="0"/>
          <w:marBottom w:val="0"/>
          <w:divBdr>
            <w:top w:val="none" w:sz="0" w:space="0" w:color="auto"/>
            <w:left w:val="none" w:sz="0" w:space="0" w:color="auto"/>
            <w:bottom w:val="none" w:sz="0" w:space="0" w:color="auto"/>
            <w:right w:val="none" w:sz="0" w:space="0" w:color="auto"/>
          </w:divBdr>
        </w:div>
        <w:div w:id="638724604">
          <w:marLeft w:val="640"/>
          <w:marRight w:val="0"/>
          <w:marTop w:val="0"/>
          <w:marBottom w:val="0"/>
          <w:divBdr>
            <w:top w:val="none" w:sz="0" w:space="0" w:color="auto"/>
            <w:left w:val="none" w:sz="0" w:space="0" w:color="auto"/>
            <w:bottom w:val="none" w:sz="0" w:space="0" w:color="auto"/>
            <w:right w:val="none" w:sz="0" w:space="0" w:color="auto"/>
          </w:divBdr>
        </w:div>
        <w:div w:id="4332078">
          <w:marLeft w:val="640"/>
          <w:marRight w:val="0"/>
          <w:marTop w:val="0"/>
          <w:marBottom w:val="0"/>
          <w:divBdr>
            <w:top w:val="none" w:sz="0" w:space="0" w:color="auto"/>
            <w:left w:val="none" w:sz="0" w:space="0" w:color="auto"/>
            <w:bottom w:val="none" w:sz="0" w:space="0" w:color="auto"/>
            <w:right w:val="none" w:sz="0" w:space="0" w:color="auto"/>
          </w:divBdr>
        </w:div>
        <w:div w:id="2008435910">
          <w:marLeft w:val="640"/>
          <w:marRight w:val="0"/>
          <w:marTop w:val="0"/>
          <w:marBottom w:val="0"/>
          <w:divBdr>
            <w:top w:val="none" w:sz="0" w:space="0" w:color="auto"/>
            <w:left w:val="none" w:sz="0" w:space="0" w:color="auto"/>
            <w:bottom w:val="none" w:sz="0" w:space="0" w:color="auto"/>
            <w:right w:val="none" w:sz="0" w:space="0" w:color="auto"/>
          </w:divBdr>
        </w:div>
        <w:div w:id="1772164012">
          <w:marLeft w:val="640"/>
          <w:marRight w:val="0"/>
          <w:marTop w:val="0"/>
          <w:marBottom w:val="0"/>
          <w:divBdr>
            <w:top w:val="none" w:sz="0" w:space="0" w:color="auto"/>
            <w:left w:val="none" w:sz="0" w:space="0" w:color="auto"/>
            <w:bottom w:val="none" w:sz="0" w:space="0" w:color="auto"/>
            <w:right w:val="none" w:sz="0" w:space="0" w:color="auto"/>
          </w:divBdr>
        </w:div>
        <w:div w:id="1236011587">
          <w:marLeft w:val="640"/>
          <w:marRight w:val="0"/>
          <w:marTop w:val="0"/>
          <w:marBottom w:val="0"/>
          <w:divBdr>
            <w:top w:val="none" w:sz="0" w:space="0" w:color="auto"/>
            <w:left w:val="none" w:sz="0" w:space="0" w:color="auto"/>
            <w:bottom w:val="none" w:sz="0" w:space="0" w:color="auto"/>
            <w:right w:val="none" w:sz="0" w:space="0" w:color="auto"/>
          </w:divBdr>
        </w:div>
        <w:div w:id="151409174">
          <w:marLeft w:val="640"/>
          <w:marRight w:val="0"/>
          <w:marTop w:val="0"/>
          <w:marBottom w:val="0"/>
          <w:divBdr>
            <w:top w:val="none" w:sz="0" w:space="0" w:color="auto"/>
            <w:left w:val="none" w:sz="0" w:space="0" w:color="auto"/>
            <w:bottom w:val="none" w:sz="0" w:space="0" w:color="auto"/>
            <w:right w:val="none" w:sz="0" w:space="0" w:color="auto"/>
          </w:divBdr>
        </w:div>
        <w:div w:id="527642147">
          <w:marLeft w:val="640"/>
          <w:marRight w:val="0"/>
          <w:marTop w:val="0"/>
          <w:marBottom w:val="0"/>
          <w:divBdr>
            <w:top w:val="none" w:sz="0" w:space="0" w:color="auto"/>
            <w:left w:val="none" w:sz="0" w:space="0" w:color="auto"/>
            <w:bottom w:val="none" w:sz="0" w:space="0" w:color="auto"/>
            <w:right w:val="none" w:sz="0" w:space="0" w:color="auto"/>
          </w:divBdr>
        </w:div>
        <w:div w:id="1903251368">
          <w:marLeft w:val="640"/>
          <w:marRight w:val="0"/>
          <w:marTop w:val="0"/>
          <w:marBottom w:val="0"/>
          <w:divBdr>
            <w:top w:val="none" w:sz="0" w:space="0" w:color="auto"/>
            <w:left w:val="none" w:sz="0" w:space="0" w:color="auto"/>
            <w:bottom w:val="none" w:sz="0" w:space="0" w:color="auto"/>
            <w:right w:val="none" w:sz="0" w:space="0" w:color="auto"/>
          </w:divBdr>
        </w:div>
        <w:div w:id="269514404">
          <w:marLeft w:val="640"/>
          <w:marRight w:val="0"/>
          <w:marTop w:val="0"/>
          <w:marBottom w:val="0"/>
          <w:divBdr>
            <w:top w:val="none" w:sz="0" w:space="0" w:color="auto"/>
            <w:left w:val="none" w:sz="0" w:space="0" w:color="auto"/>
            <w:bottom w:val="none" w:sz="0" w:space="0" w:color="auto"/>
            <w:right w:val="none" w:sz="0" w:space="0" w:color="auto"/>
          </w:divBdr>
        </w:div>
        <w:div w:id="1847329004">
          <w:marLeft w:val="640"/>
          <w:marRight w:val="0"/>
          <w:marTop w:val="0"/>
          <w:marBottom w:val="0"/>
          <w:divBdr>
            <w:top w:val="none" w:sz="0" w:space="0" w:color="auto"/>
            <w:left w:val="none" w:sz="0" w:space="0" w:color="auto"/>
            <w:bottom w:val="none" w:sz="0" w:space="0" w:color="auto"/>
            <w:right w:val="none" w:sz="0" w:space="0" w:color="auto"/>
          </w:divBdr>
        </w:div>
        <w:div w:id="636842312">
          <w:marLeft w:val="640"/>
          <w:marRight w:val="0"/>
          <w:marTop w:val="0"/>
          <w:marBottom w:val="0"/>
          <w:divBdr>
            <w:top w:val="none" w:sz="0" w:space="0" w:color="auto"/>
            <w:left w:val="none" w:sz="0" w:space="0" w:color="auto"/>
            <w:bottom w:val="none" w:sz="0" w:space="0" w:color="auto"/>
            <w:right w:val="none" w:sz="0" w:space="0" w:color="auto"/>
          </w:divBdr>
        </w:div>
        <w:div w:id="1704598065">
          <w:marLeft w:val="640"/>
          <w:marRight w:val="0"/>
          <w:marTop w:val="0"/>
          <w:marBottom w:val="0"/>
          <w:divBdr>
            <w:top w:val="none" w:sz="0" w:space="0" w:color="auto"/>
            <w:left w:val="none" w:sz="0" w:space="0" w:color="auto"/>
            <w:bottom w:val="none" w:sz="0" w:space="0" w:color="auto"/>
            <w:right w:val="none" w:sz="0" w:space="0" w:color="auto"/>
          </w:divBdr>
        </w:div>
        <w:div w:id="363864871">
          <w:marLeft w:val="640"/>
          <w:marRight w:val="0"/>
          <w:marTop w:val="0"/>
          <w:marBottom w:val="0"/>
          <w:divBdr>
            <w:top w:val="none" w:sz="0" w:space="0" w:color="auto"/>
            <w:left w:val="none" w:sz="0" w:space="0" w:color="auto"/>
            <w:bottom w:val="none" w:sz="0" w:space="0" w:color="auto"/>
            <w:right w:val="none" w:sz="0" w:space="0" w:color="auto"/>
          </w:divBdr>
        </w:div>
        <w:div w:id="1721204701">
          <w:marLeft w:val="640"/>
          <w:marRight w:val="0"/>
          <w:marTop w:val="0"/>
          <w:marBottom w:val="0"/>
          <w:divBdr>
            <w:top w:val="none" w:sz="0" w:space="0" w:color="auto"/>
            <w:left w:val="none" w:sz="0" w:space="0" w:color="auto"/>
            <w:bottom w:val="none" w:sz="0" w:space="0" w:color="auto"/>
            <w:right w:val="none" w:sz="0" w:space="0" w:color="auto"/>
          </w:divBdr>
        </w:div>
        <w:div w:id="2015761298">
          <w:marLeft w:val="640"/>
          <w:marRight w:val="0"/>
          <w:marTop w:val="0"/>
          <w:marBottom w:val="0"/>
          <w:divBdr>
            <w:top w:val="none" w:sz="0" w:space="0" w:color="auto"/>
            <w:left w:val="none" w:sz="0" w:space="0" w:color="auto"/>
            <w:bottom w:val="none" w:sz="0" w:space="0" w:color="auto"/>
            <w:right w:val="none" w:sz="0" w:space="0" w:color="auto"/>
          </w:divBdr>
        </w:div>
        <w:div w:id="2071809913">
          <w:marLeft w:val="640"/>
          <w:marRight w:val="0"/>
          <w:marTop w:val="0"/>
          <w:marBottom w:val="0"/>
          <w:divBdr>
            <w:top w:val="none" w:sz="0" w:space="0" w:color="auto"/>
            <w:left w:val="none" w:sz="0" w:space="0" w:color="auto"/>
            <w:bottom w:val="none" w:sz="0" w:space="0" w:color="auto"/>
            <w:right w:val="none" w:sz="0" w:space="0" w:color="auto"/>
          </w:divBdr>
        </w:div>
        <w:div w:id="1075518930">
          <w:marLeft w:val="640"/>
          <w:marRight w:val="0"/>
          <w:marTop w:val="0"/>
          <w:marBottom w:val="0"/>
          <w:divBdr>
            <w:top w:val="none" w:sz="0" w:space="0" w:color="auto"/>
            <w:left w:val="none" w:sz="0" w:space="0" w:color="auto"/>
            <w:bottom w:val="none" w:sz="0" w:space="0" w:color="auto"/>
            <w:right w:val="none" w:sz="0" w:space="0" w:color="auto"/>
          </w:divBdr>
        </w:div>
        <w:div w:id="638536756">
          <w:marLeft w:val="640"/>
          <w:marRight w:val="0"/>
          <w:marTop w:val="0"/>
          <w:marBottom w:val="0"/>
          <w:divBdr>
            <w:top w:val="none" w:sz="0" w:space="0" w:color="auto"/>
            <w:left w:val="none" w:sz="0" w:space="0" w:color="auto"/>
            <w:bottom w:val="none" w:sz="0" w:space="0" w:color="auto"/>
            <w:right w:val="none" w:sz="0" w:space="0" w:color="auto"/>
          </w:divBdr>
        </w:div>
        <w:div w:id="1276526206">
          <w:marLeft w:val="640"/>
          <w:marRight w:val="0"/>
          <w:marTop w:val="0"/>
          <w:marBottom w:val="0"/>
          <w:divBdr>
            <w:top w:val="none" w:sz="0" w:space="0" w:color="auto"/>
            <w:left w:val="none" w:sz="0" w:space="0" w:color="auto"/>
            <w:bottom w:val="none" w:sz="0" w:space="0" w:color="auto"/>
            <w:right w:val="none" w:sz="0" w:space="0" w:color="auto"/>
          </w:divBdr>
        </w:div>
        <w:div w:id="1737976746">
          <w:marLeft w:val="640"/>
          <w:marRight w:val="0"/>
          <w:marTop w:val="0"/>
          <w:marBottom w:val="0"/>
          <w:divBdr>
            <w:top w:val="none" w:sz="0" w:space="0" w:color="auto"/>
            <w:left w:val="none" w:sz="0" w:space="0" w:color="auto"/>
            <w:bottom w:val="none" w:sz="0" w:space="0" w:color="auto"/>
            <w:right w:val="none" w:sz="0" w:space="0" w:color="auto"/>
          </w:divBdr>
        </w:div>
        <w:div w:id="1887446396">
          <w:marLeft w:val="640"/>
          <w:marRight w:val="0"/>
          <w:marTop w:val="0"/>
          <w:marBottom w:val="0"/>
          <w:divBdr>
            <w:top w:val="none" w:sz="0" w:space="0" w:color="auto"/>
            <w:left w:val="none" w:sz="0" w:space="0" w:color="auto"/>
            <w:bottom w:val="none" w:sz="0" w:space="0" w:color="auto"/>
            <w:right w:val="none" w:sz="0" w:space="0" w:color="auto"/>
          </w:divBdr>
        </w:div>
        <w:div w:id="1691031695">
          <w:marLeft w:val="640"/>
          <w:marRight w:val="0"/>
          <w:marTop w:val="0"/>
          <w:marBottom w:val="0"/>
          <w:divBdr>
            <w:top w:val="none" w:sz="0" w:space="0" w:color="auto"/>
            <w:left w:val="none" w:sz="0" w:space="0" w:color="auto"/>
            <w:bottom w:val="none" w:sz="0" w:space="0" w:color="auto"/>
            <w:right w:val="none" w:sz="0" w:space="0" w:color="auto"/>
          </w:divBdr>
        </w:div>
        <w:div w:id="1052772404">
          <w:marLeft w:val="640"/>
          <w:marRight w:val="0"/>
          <w:marTop w:val="0"/>
          <w:marBottom w:val="0"/>
          <w:divBdr>
            <w:top w:val="none" w:sz="0" w:space="0" w:color="auto"/>
            <w:left w:val="none" w:sz="0" w:space="0" w:color="auto"/>
            <w:bottom w:val="none" w:sz="0" w:space="0" w:color="auto"/>
            <w:right w:val="none" w:sz="0" w:space="0" w:color="auto"/>
          </w:divBdr>
        </w:div>
        <w:div w:id="2074308322">
          <w:marLeft w:val="640"/>
          <w:marRight w:val="0"/>
          <w:marTop w:val="0"/>
          <w:marBottom w:val="0"/>
          <w:divBdr>
            <w:top w:val="none" w:sz="0" w:space="0" w:color="auto"/>
            <w:left w:val="none" w:sz="0" w:space="0" w:color="auto"/>
            <w:bottom w:val="none" w:sz="0" w:space="0" w:color="auto"/>
            <w:right w:val="none" w:sz="0" w:space="0" w:color="auto"/>
          </w:divBdr>
        </w:div>
      </w:divsChild>
    </w:div>
    <w:div w:id="1118986937">
      <w:bodyDiv w:val="1"/>
      <w:marLeft w:val="0"/>
      <w:marRight w:val="0"/>
      <w:marTop w:val="0"/>
      <w:marBottom w:val="0"/>
      <w:divBdr>
        <w:top w:val="none" w:sz="0" w:space="0" w:color="auto"/>
        <w:left w:val="none" w:sz="0" w:space="0" w:color="auto"/>
        <w:bottom w:val="none" w:sz="0" w:space="0" w:color="auto"/>
        <w:right w:val="none" w:sz="0" w:space="0" w:color="auto"/>
      </w:divBdr>
      <w:divsChild>
        <w:div w:id="1223832194">
          <w:marLeft w:val="640"/>
          <w:marRight w:val="0"/>
          <w:marTop w:val="0"/>
          <w:marBottom w:val="0"/>
          <w:divBdr>
            <w:top w:val="none" w:sz="0" w:space="0" w:color="auto"/>
            <w:left w:val="none" w:sz="0" w:space="0" w:color="auto"/>
            <w:bottom w:val="none" w:sz="0" w:space="0" w:color="auto"/>
            <w:right w:val="none" w:sz="0" w:space="0" w:color="auto"/>
          </w:divBdr>
        </w:div>
        <w:div w:id="674765363">
          <w:marLeft w:val="640"/>
          <w:marRight w:val="0"/>
          <w:marTop w:val="0"/>
          <w:marBottom w:val="0"/>
          <w:divBdr>
            <w:top w:val="none" w:sz="0" w:space="0" w:color="auto"/>
            <w:left w:val="none" w:sz="0" w:space="0" w:color="auto"/>
            <w:bottom w:val="none" w:sz="0" w:space="0" w:color="auto"/>
            <w:right w:val="none" w:sz="0" w:space="0" w:color="auto"/>
          </w:divBdr>
        </w:div>
        <w:div w:id="1579440695">
          <w:marLeft w:val="640"/>
          <w:marRight w:val="0"/>
          <w:marTop w:val="0"/>
          <w:marBottom w:val="0"/>
          <w:divBdr>
            <w:top w:val="none" w:sz="0" w:space="0" w:color="auto"/>
            <w:left w:val="none" w:sz="0" w:space="0" w:color="auto"/>
            <w:bottom w:val="none" w:sz="0" w:space="0" w:color="auto"/>
            <w:right w:val="none" w:sz="0" w:space="0" w:color="auto"/>
          </w:divBdr>
        </w:div>
        <w:div w:id="275717024">
          <w:marLeft w:val="640"/>
          <w:marRight w:val="0"/>
          <w:marTop w:val="0"/>
          <w:marBottom w:val="0"/>
          <w:divBdr>
            <w:top w:val="none" w:sz="0" w:space="0" w:color="auto"/>
            <w:left w:val="none" w:sz="0" w:space="0" w:color="auto"/>
            <w:bottom w:val="none" w:sz="0" w:space="0" w:color="auto"/>
            <w:right w:val="none" w:sz="0" w:space="0" w:color="auto"/>
          </w:divBdr>
        </w:div>
        <w:div w:id="1343972896">
          <w:marLeft w:val="640"/>
          <w:marRight w:val="0"/>
          <w:marTop w:val="0"/>
          <w:marBottom w:val="0"/>
          <w:divBdr>
            <w:top w:val="none" w:sz="0" w:space="0" w:color="auto"/>
            <w:left w:val="none" w:sz="0" w:space="0" w:color="auto"/>
            <w:bottom w:val="none" w:sz="0" w:space="0" w:color="auto"/>
            <w:right w:val="none" w:sz="0" w:space="0" w:color="auto"/>
          </w:divBdr>
        </w:div>
        <w:div w:id="491335146">
          <w:marLeft w:val="640"/>
          <w:marRight w:val="0"/>
          <w:marTop w:val="0"/>
          <w:marBottom w:val="0"/>
          <w:divBdr>
            <w:top w:val="none" w:sz="0" w:space="0" w:color="auto"/>
            <w:left w:val="none" w:sz="0" w:space="0" w:color="auto"/>
            <w:bottom w:val="none" w:sz="0" w:space="0" w:color="auto"/>
            <w:right w:val="none" w:sz="0" w:space="0" w:color="auto"/>
          </w:divBdr>
        </w:div>
        <w:div w:id="1148085743">
          <w:marLeft w:val="640"/>
          <w:marRight w:val="0"/>
          <w:marTop w:val="0"/>
          <w:marBottom w:val="0"/>
          <w:divBdr>
            <w:top w:val="none" w:sz="0" w:space="0" w:color="auto"/>
            <w:left w:val="none" w:sz="0" w:space="0" w:color="auto"/>
            <w:bottom w:val="none" w:sz="0" w:space="0" w:color="auto"/>
            <w:right w:val="none" w:sz="0" w:space="0" w:color="auto"/>
          </w:divBdr>
        </w:div>
        <w:div w:id="1368489766">
          <w:marLeft w:val="640"/>
          <w:marRight w:val="0"/>
          <w:marTop w:val="0"/>
          <w:marBottom w:val="0"/>
          <w:divBdr>
            <w:top w:val="none" w:sz="0" w:space="0" w:color="auto"/>
            <w:left w:val="none" w:sz="0" w:space="0" w:color="auto"/>
            <w:bottom w:val="none" w:sz="0" w:space="0" w:color="auto"/>
            <w:right w:val="none" w:sz="0" w:space="0" w:color="auto"/>
          </w:divBdr>
        </w:div>
        <w:div w:id="1667325269">
          <w:marLeft w:val="640"/>
          <w:marRight w:val="0"/>
          <w:marTop w:val="0"/>
          <w:marBottom w:val="0"/>
          <w:divBdr>
            <w:top w:val="none" w:sz="0" w:space="0" w:color="auto"/>
            <w:left w:val="none" w:sz="0" w:space="0" w:color="auto"/>
            <w:bottom w:val="none" w:sz="0" w:space="0" w:color="auto"/>
            <w:right w:val="none" w:sz="0" w:space="0" w:color="auto"/>
          </w:divBdr>
        </w:div>
        <w:div w:id="120346064">
          <w:marLeft w:val="640"/>
          <w:marRight w:val="0"/>
          <w:marTop w:val="0"/>
          <w:marBottom w:val="0"/>
          <w:divBdr>
            <w:top w:val="none" w:sz="0" w:space="0" w:color="auto"/>
            <w:left w:val="none" w:sz="0" w:space="0" w:color="auto"/>
            <w:bottom w:val="none" w:sz="0" w:space="0" w:color="auto"/>
            <w:right w:val="none" w:sz="0" w:space="0" w:color="auto"/>
          </w:divBdr>
        </w:div>
        <w:div w:id="969937581">
          <w:marLeft w:val="640"/>
          <w:marRight w:val="0"/>
          <w:marTop w:val="0"/>
          <w:marBottom w:val="0"/>
          <w:divBdr>
            <w:top w:val="none" w:sz="0" w:space="0" w:color="auto"/>
            <w:left w:val="none" w:sz="0" w:space="0" w:color="auto"/>
            <w:bottom w:val="none" w:sz="0" w:space="0" w:color="auto"/>
            <w:right w:val="none" w:sz="0" w:space="0" w:color="auto"/>
          </w:divBdr>
        </w:div>
        <w:div w:id="825782419">
          <w:marLeft w:val="640"/>
          <w:marRight w:val="0"/>
          <w:marTop w:val="0"/>
          <w:marBottom w:val="0"/>
          <w:divBdr>
            <w:top w:val="none" w:sz="0" w:space="0" w:color="auto"/>
            <w:left w:val="none" w:sz="0" w:space="0" w:color="auto"/>
            <w:bottom w:val="none" w:sz="0" w:space="0" w:color="auto"/>
            <w:right w:val="none" w:sz="0" w:space="0" w:color="auto"/>
          </w:divBdr>
        </w:div>
        <w:div w:id="1858349982">
          <w:marLeft w:val="640"/>
          <w:marRight w:val="0"/>
          <w:marTop w:val="0"/>
          <w:marBottom w:val="0"/>
          <w:divBdr>
            <w:top w:val="none" w:sz="0" w:space="0" w:color="auto"/>
            <w:left w:val="none" w:sz="0" w:space="0" w:color="auto"/>
            <w:bottom w:val="none" w:sz="0" w:space="0" w:color="auto"/>
            <w:right w:val="none" w:sz="0" w:space="0" w:color="auto"/>
          </w:divBdr>
        </w:div>
        <w:div w:id="1091851314">
          <w:marLeft w:val="640"/>
          <w:marRight w:val="0"/>
          <w:marTop w:val="0"/>
          <w:marBottom w:val="0"/>
          <w:divBdr>
            <w:top w:val="none" w:sz="0" w:space="0" w:color="auto"/>
            <w:left w:val="none" w:sz="0" w:space="0" w:color="auto"/>
            <w:bottom w:val="none" w:sz="0" w:space="0" w:color="auto"/>
            <w:right w:val="none" w:sz="0" w:space="0" w:color="auto"/>
          </w:divBdr>
        </w:div>
        <w:div w:id="1230656850">
          <w:marLeft w:val="640"/>
          <w:marRight w:val="0"/>
          <w:marTop w:val="0"/>
          <w:marBottom w:val="0"/>
          <w:divBdr>
            <w:top w:val="none" w:sz="0" w:space="0" w:color="auto"/>
            <w:left w:val="none" w:sz="0" w:space="0" w:color="auto"/>
            <w:bottom w:val="none" w:sz="0" w:space="0" w:color="auto"/>
            <w:right w:val="none" w:sz="0" w:space="0" w:color="auto"/>
          </w:divBdr>
        </w:div>
        <w:div w:id="1470317330">
          <w:marLeft w:val="640"/>
          <w:marRight w:val="0"/>
          <w:marTop w:val="0"/>
          <w:marBottom w:val="0"/>
          <w:divBdr>
            <w:top w:val="none" w:sz="0" w:space="0" w:color="auto"/>
            <w:left w:val="none" w:sz="0" w:space="0" w:color="auto"/>
            <w:bottom w:val="none" w:sz="0" w:space="0" w:color="auto"/>
            <w:right w:val="none" w:sz="0" w:space="0" w:color="auto"/>
          </w:divBdr>
        </w:div>
        <w:div w:id="1530559460">
          <w:marLeft w:val="640"/>
          <w:marRight w:val="0"/>
          <w:marTop w:val="0"/>
          <w:marBottom w:val="0"/>
          <w:divBdr>
            <w:top w:val="none" w:sz="0" w:space="0" w:color="auto"/>
            <w:left w:val="none" w:sz="0" w:space="0" w:color="auto"/>
            <w:bottom w:val="none" w:sz="0" w:space="0" w:color="auto"/>
            <w:right w:val="none" w:sz="0" w:space="0" w:color="auto"/>
          </w:divBdr>
        </w:div>
        <w:div w:id="668407835">
          <w:marLeft w:val="640"/>
          <w:marRight w:val="0"/>
          <w:marTop w:val="0"/>
          <w:marBottom w:val="0"/>
          <w:divBdr>
            <w:top w:val="none" w:sz="0" w:space="0" w:color="auto"/>
            <w:left w:val="none" w:sz="0" w:space="0" w:color="auto"/>
            <w:bottom w:val="none" w:sz="0" w:space="0" w:color="auto"/>
            <w:right w:val="none" w:sz="0" w:space="0" w:color="auto"/>
          </w:divBdr>
        </w:div>
        <w:div w:id="1777167242">
          <w:marLeft w:val="640"/>
          <w:marRight w:val="0"/>
          <w:marTop w:val="0"/>
          <w:marBottom w:val="0"/>
          <w:divBdr>
            <w:top w:val="none" w:sz="0" w:space="0" w:color="auto"/>
            <w:left w:val="none" w:sz="0" w:space="0" w:color="auto"/>
            <w:bottom w:val="none" w:sz="0" w:space="0" w:color="auto"/>
            <w:right w:val="none" w:sz="0" w:space="0" w:color="auto"/>
          </w:divBdr>
        </w:div>
        <w:div w:id="108402156">
          <w:marLeft w:val="640"/>
          <w:marRight w:val="0"/>
          <w:marTop w:val="0"/>
          <w:marBottom w:val="0"/>
          <w:divBdr>
            <w:top w:val="none" w:sz="0" w:space="0" w:color="auto"/>
            <w:left w:val="none" w:sz="0" w:space="0" w:color="auto"/>
            <w:bottom w:val="none" w:sz="0" w:space="0" w:color="auto"/>
            <w:right w:val="none" w:sz="0" w:space="0" w:color="auto"/>
          </w:divBdr>
        </w:div>
        <w:div w:id="278101963">
          <w:marLeft w:val="640"/>
          <w:marRight w:val="0"/>
          <w:marTop w:val="0"/>
          <w:marBottom w:val="0"/>
          <w:divBdr>
            <w:top w:val="none" w:sz="0" w:space="0" w:color="auto"/>
            <w:left w:val="none" w:sz="0" w:space="0" w:color="auto"/>
            <w:bottom w:val="none" w:sz="0" w:space="0" w:color="auto"/>
            <w:right w:val="none" w:sz="0" w:space="0" w:color="auto"/>
          </w:divBdr>
        </w:div>
        <w:div w:id="2006397587">
          <w:marLeft w:val="640"/>
          <w:marRight w:val="0"/>
          <w:marTop w:val="0"/>
          <w:marBottom w:val="0"/>
          <w:divBdr>
            <w:top w:val="none" w:sz="0" w:space="0" w:color="auto"/>
            <w:left w:val="none" w:sz="0" w:space="0" w:color="auto"/>
            <w:bottom w:val="none" w:sz="0" w:space="0" w:color="auto"/>
            <w:right w:val="none" w:sz="0" w:space="0" w:color="auto"/>
          </w:divBdr>
        </w:div>
        <w:div w:id="2041736856">
          <w:marLeft w:val="640"/>
          <w:marRight w:val="0"/>
          <w:marTop w:val="0"/>
          <w:marBottom w:val="0"/>
          <w:divBdr>
            <w:top w:val="none" w:sz="0" w:space="0" w:color="auto"/>
            <w:left w:val="none" w:sz="0" w:space="0" w:color="auto"/>
            <w:bottom w:val="none" w:sz="0" w:space="0" w:color="auto"/>
            <w:right w:val="none" w:sz="0" w:space="0" w:color="auto"/>
          </w:divBdr>
        </w:div>
        <w:div w:id="100298278">
          <w:marLeft w:val="640"/>
          <w:marRight w:val="0"/>
          <w:marTop w:val="0"/>
          <w:marBottom w:val="0"/>
          <w:divBdr>
            <w:top w:val="none" w:sz="0" w:space="0" w:color="auto"/>
            <w:left w:val="none" w:sz="0" w:space="0" w:color="auto"/>
            <w:bottom w:val="none" w:sz="0" w:space="0" w:color="auto"/>
            <w:right w:val="none" w:sz="0" w:space="0" w:color="auto"/>
          </w:divBdr>
        </w:div>
        <w:div w:id="1270435300">
          <w:marLeft w:val="640"/>
          <w:marRight w:val="0"/>
          <w:marTop w:val="0"/>
          <w:marBottom w:val="0"/>
          <w:divBdr>
            <w:top w:val="none" w:sz="0" w:space="0" w:color="auto"/>
            <w:left w:val="none" w:sz="0" w:space="0" w:color="auto"/>
            <w:bottom w:val="none" w:sz="0" w:space="0" w:color="auto"/>
            <w:right w:val="none" w:sz="0" w:space="0" w:color="auto"/>
          </w:divBdr>
        </w:div>
        <w:div w:id="2123763554">
          <w:marLeft w:val="640"/>
          <w:marRight w:val="0"/>
          <w:marTop w:val="0"/>
          <w:marBottom w:val="0"/>
          <w:divBdr>
            <w:top w:val="none" w:sz="0" w:space="0" w:color="auto"/>
            <w:left w:val="none" w:sz="0" w:space="0" w:color="auto"/>
            <w:bottom w:val="none" w:sz="0" w:space="0" w:color="auto"/>
            <w:right w:val="none" w:sz="0" w:space="0" w:color="auto"/>
          </w:divBdr>
        </w:div>
        <w:div w:id="1936553387">
          <w:marLeft w:val="640"/>
          <w:marRight w:val="0"/>
          <w:marTop w:val="0"/>
          <w:marBottom w:val="0"/>
          <w:divBdr>
            <w:top w:val="none" w:sz="0" w:space="0" w:color="auto"/>
            <w:left w:val="none" w:sz="0" w:space="0" w:color="auto"/>
            <w:bottom w:val="none" w:sz="0" w:space="0" w:color="auto"/>
            <w:right w:val="none" w:sz="0" w:space="0" w:color="auto"/>
          </w:divBdr>
        </w:div>
        <w:div w:id="1122067204">
          <w:marLeft w:val="640"/>
          <w:marRight w:val="0"/>
          <w:marTop w:val="0"/>
          <w:marBottom w:val="0"/>
          <w:divBdr>
            <w:top w:val="none" w:sz="0" w:space="0" w:color="auto"/>
            <w:left w:val="none" w:sz="0" w:space="0" w:color="auto"/>
            <w:bottom w:val="none" w:sz="0" w:space="0" w:color="auto"/>
            <w:right w:val="none" w:sz="0" w:space="0" w:color="auto"/>
          </w:divBdr>
        </w:div>
        <w:div w:id="2082677203">
          <w:marLeft w:val="640"/>
          <w:marRight w:val="0"/>
          <w:marTop w:val="0"/>
          <w:marBottom w:val="0"/>
          <w:divBdr>
            <w:top w:val="none" w:sz="0" w:space="0" w:color="auto"/>
            <w:left w:val="none" w:sz="0" w:space="0" w:color="auto"/>
            <w:bottom w:val="none" w:sz="0" w:space="0" w:color="auto"/>
            <w:right w:val="none" w:sz="0" w:space="0" w:color="auto"/>
          </w:divBdr>
        </w:div>
        <w:div w:id="180049219">
          <w:marLeft w:val="640"/>
          <w:marRight w:val="0"/>
          <w:marTop w:val="0"/>
          <w:marBottom w:val="0"/>
          <w:divBdr>
            <w:top w:val="none" w:sz="0" w:space="0" w:color="auto"/>
            <w:left w:val="none" w:sz="0" w:space="0" w:color="auto"/>
            <w:bottom w:val="none" w:sz="0" w:space="0" w:color="auto"/>
            <w:right w:val="none" w:sz="0" w:space="0" w:color="auto"/>
          </w:divBdr>
        </w:div>
        <w:div w:id="210657582">
          <w:marLeft w:val="640"/>
          <w:marRight w:val="0"/>
          <w:marTop w:val="0"/>
          <w:marBottom w:val="0"/>
          <w:divBdr>
            <w:top w:val="none" w:sz="0" w:space="0" w:color="auto"/>
            <w:left w:val="none" w:sz="0" w:space="0" w:color="auto"/>
            <w:bottom w:val="none" w:sz="0" w:space="0" w:color="auto"/>
            <w:right w:val="none" w:sz="0" w:space="0" w:color="auto"/>
          </w:divBdr>
        </w:div>
        <w:div w:id="419330488">
          <w:marLeft w:val="640"/>
          <w:marRight w:val="0"/>
          <w:marTop w:val="0"/>
          <w:marBottom w:val="0"/>
          <w:divBdr>
            <w:top w:val="none" w:sz="0" w:space="0" w:color="auto"/>
            <w:left w:val="none" w:sz="0" w:space="0" w:color="auto"/>
            <w:bottom w:val="none" w:sz="0" w:space="0" w:color="auto"/>
            <w:right w:val="none" w:sz="0" w:space="0" w:color="auto"/>
          </w:divBdr>
        </w:div>
        <w:div w:id="1173228085">
          <w:marLeft w:val="640"/>
          <w:marRight w:val="0"/>
          <w:marTop w:val="0"/>
          <w:marBottom w:val="0"/>
          <w:divBdr>
            <w:top w:val="none" w:sz="0" w:space="0" w:color="auto"/>
            <w:left w:val="none" w:sz="0" w:space="0" w:color="auto"/>
            <w:bottom w:val="none" w:sz="0" w:space="0" w:color="auto"/>
            <w:right w:val="none" w:sz="0" w:space="0" w:color="auto"/>
          </w:divBdr>
        </w:div>
        <w:div w:id="1809205099">
          <w:marLeft w:val="640"/>
          <w:marRight w:val="0"/>
          <w:marTop w:val="0"/>
          <w:marBottom w:val="0"/>
          <w:divBdr>
            <w:top w:val="none" w:sz="0" w:space="0" w:color="auto"/>
            <w:left w:val="none" w:sz="0" w:space="0" w:color="auto"/>
            <w:bottom w:val="none" w:sz="0" w:space="0" w:color="auto"/>
            <w:right w:val="none" w:sz="0" w:space="0" w:color="auto"/>
          </w:divBdr>
        </w:div>
        <w:div w:id="395320355">
          <w:marLeft w:val="640"/>
          <w:marRight w:val="0"/>
          <w:marTop w:val="0"/>
          <w:marBottom w:val="0"/>
          <w:divBdr>
            <w:top w:val="none" w:sz="0" w:space="0" w:color="auto"/>
            <w:left w:val="none" w:sz="0" w:space="0" w:color="auto"/>
            <w:bottom w:val="none" w:sz="0" w:space="0" w:color="auto"/>
            <w:right w:val="none" w:sz="0" w:space="0" w:color="auto"/>
          </w:divBdr>
        </w:div>
        <w:div w:id="60950991">
          <w:marLeft w:val="640"/>
          <w:marRight w:val="0"/>
          <w:marTop w:val="0"/>
          <w:marBottom w:val="0"/>
          <w:divBdr>
            <w:top w:val="none" w:sz="0" w:space="0" w:color="auto"/>
            <w:left w:val="none" w:sz="0" w:space="0" w:color="auto"/>
            <w:bottom w:val="none" w:sz="0" w:space="0" w:color="auto"/>
            <w:right w:val="none" w:sz="0" w:space="0" w:color="auto"/>
          </w:divBdr>
        </w:div>
        <w:div w:id="884415117">
          <w:marLeft w:val="640"/>
          <w:marRight w:val="0"/>
          <w:marTop w:val="0"/>
          <w:marBottom w:val="0"/>
          <w:divBdr>
            <w:top w:val="none" w:sz="0" w:space="0" w:color="auto"/>
            <w:left w:val="none" w:sz="0" w:space="0" w:color="auto"/>
            <w:bottom w:val="none" w:sz="0" w:space="0" w:color="auto"/>
            <w:right w:val="none" w:sz="0" w:space="0" w:color="auto"/>
          </w:divBdr>
        </w:div>
        <w:div w:id="1781290558">
          <w:marLeft w:val="640"/>
          <w:marRight w:val="0"/>
          <w:marTop w:val="0"/>
          <w:marBottom w:val="0"/>
          <w:divBdr>
            <w:top w:val="none" w:sz="0" w:space="0" w:color="auto"/>
            <w:left w:val="none" w:sz="0" w:space="0" w:color="auto"/>
            <w:bottom w:val="none" w:sz="0" w:space="0" w:color="auto"/>
            <w:right w:val="none" w:sz="0" w:space="0" w:color="auto"/>
          </w:divBdr>
        </w:div>
        <w:div w:id="1260137686">
          <w:marLeft w:val="640"/>
          <w:marRight w:val="0"/>
          <w:marTop w:val="0"/>
          <w:marBottom w:val="0"/>
          <w:divBdr>
            <w:top w:val="none" w:sz="0" w:space="0" w:color="auto"/>
            <w:left w:val="none" w:sz="0" w:space="0" w:color="auto"/>
            <w:bottom w:val="none" w:sz="0" w:space="0" w:color="auto"/>
            <w:right w:val="none" w:sz="0" w:space="0" w:color="auto"/>
          </w:divBdr>
        </w:div>
        <w:div w:id="118568178">
          <w:marLeft w:val="640"/>
          <w:marRight w:val="0"/>
          <w:marTop w:val="0"/>
          <w:marBottom w:val="0"/>
          <w:divBdr>
            <w:top w:val="none" w:sz="0" w:space="0" w:color="auto"/>
            <w:left w:val="none" w:sz="0" w:space="0" w:color="auto"/>
            <w:bottom w:val="none" w:sz="0" w:space="0" w:color="auto"/>
            <w:right w:val="none" w:sz="0" w:space="0" w:color="auto"/>
          </w:divBdr>
        </w:div>
        <w:div w:id="922840785">
          <w:marLeft w:val="640"/>
          <w:marRight w:val="0"/>
          <w:marTop w:val="0"/>
          <w:marBottom w:val="0"/>
          <w:divBdr>
            <w:top w:val="none" w:sz="0" w:space="0" w:color="auto"/>
            <w:left w:val="none" w:sz="0" w:space="0" w:color="auto"/>
            <w:bottom w:val="none" w:sz="0" w:space="0" w:color="auto"/>
            <w:right w:val="none" w:sz="0" w:space="0" w:color="auto"/>
          </w:divBdr>
        </w:div>
        <w:div w:id="479929701">
          <w:marLeft w:val="640"/>
          <w:marRight w:val="0"/>
          <w:marTop w:val="0"/>
          <w:marBottom w:val="0"/>
          <w:divBdr>
            <w:top w:val="none" w:sz="0" w:space="0" w:color="auto"/>
            <w:left w:val="none" w:sz="0" w:space="0" w:color="auto"/>
            <w:bottom w:val="none" w:sz="0" w:space="0" w:color="auto"/>
            <w:right w:val="none" w:sz="0" w:space="0" w:color="auto"/>
          </w:divBdr>
        </w:div>
        <w:div w:id="463043823">
          <w:marLeft w:val="640"/>
          <w:marRight w:val="0"/>
          <w:marTop w:val="0"/>
          <w:marBottom w:val="0"/>
          <w:divBdr>
            <w:top w:val="none" w:sz="0" w:space="0" w:color="auto"/>
            <w:left w:val="none" w:sz="0" w:space="0" w:color="auto"/>
            <w:bottom w:val="none" w:sz="0" w:space="0" w:color="auto"/>
            <w:right w:val="none" w:sz="0" w:space="0" w:color="auto"/>
          </w:divBdr>
        </w:div>
        <w:div w:id="1225291664">
          <w:marLeft w:val="640"/>
          <w:marRight w:val="0"/>
          <w:marTop w:val="0"/>
          <w:marBottom w:val="0"/>
          <w:divBdr>
            <w:top w:val="none" w:sz="0" w:space="0" w:color="auto"/>
            <w:left w:val="none" w:sz="0" w:space="0" w:color="auto"/>
            <w:bottom w:val="none" w:sz="0" w:space="0" w:color="auto"/>
            <w:right w:val="none" w:sz="0" w:space="0" w:color="auto"/>
          </w:divBdr>
        </w:div>
        <w:div w:id="1661881199">
          <w:marLeft w:val="640"/>
          <w:marRight w:val="0"/>
          <w:marTop w:val="0"/>
          <w:marBottom w:val="0"/>
          <w:divBdr>
            <w:top w:val="none" w:sz="0" w:space="0" w:color="auto"/>
            <w:left w:val="none" w:sz="0" w:space="0" w:color="auto"/>
            <w:bottom w:val="none" w:sz="0" w:space="0" w:color="auto"/>
            <w:right w:val="none" w:sz="0" w:space="0" w:color="auto"/>
          </w:divBdr>
        </w:div>
        <w:div w:id="1999532115">
          <w:marLeft w:val="640"/>
          <w:marRight w:val="0"/>
          <w:marTop w:val="0"/>
          <w:marBottom w:val="0"/>
          <w:divBdr>
            <w:top w:val="none" w:sz="0" w:space="0" w:color="auto"/>
            <w:left w:val="none" w:sz="0" w:space="0" w:color="auto"/>
            <w:bottom w:val="none" w:sz="0" w:space="0" w:color="auto"/>
            <w:right w:val="none" w:sz="0" w:space="0" w:color="auto"/>
          </w:divBdr>
        </w:div>
        <w:div w:id="2017220677">
          <w:marLeft w:val="640"/>
          <w:marRight w:val="0"/>
          <w:marTop w:val="0"/>
          <w:marBottom w:val="0"/>
          <w:divBdr>
            <w:top w:val="none" w:sz="0" w:space="0" w:color="auto"/>
            <w:left w:val="none" w:sz="0" w:space="0" w:color="auto"/>
            <w:bottom w:val="none" w:sz="0" w:space="0" w:color="auto"/>
            <w:right w:val="none" w:sz="0" w:space="0" w:color="auto"/>
          </w:divBdr>
        </w:div>
        <w:div w:id="1930387941">
          <w:marLeft w:val="640"/>
          <w:marRight w:val="0"/>
          <w:marTop w:val="0"/>
          <w:marBottom w:val="0"/>
          <w:divBdr>
            <w:top w:val="none" w:sz="0" w:space="0" w:color="auto"/>
            <w:left w:val="none" w:sz="0" w:space="0" w:color="auto"/>
            <w:bottom w:val="none" w:sz="0" w:space="0" w:color="auto"/>
            <w:right w:val="none" w:sz="0" w:space="0" w:color="auto"/>
          </w:divBdr>
        </w:div>
        <w:div w:id="404030229">
          <w:marLeft w:val="640"/>
          <w:marRight w:val="0"/>
          <w:marTop w:val="0"/>
          <w:marBottom w:val="0"/>
          <w:divBdr>
            <w:top w:val="none" w:sz="0" w:space="0" w:color="auto"/>
            <w:left w:val="none" w:sz="0" w:space="0" w:color="auto"/>
            <w:bottom w:val="none" w:sz="0" w:space="0" w:color="auto"/>
            <w:right w:val="none" w:sz="0" w:space="0" w:color="auto"/>
          </w:divBdr>
        </w:div>
        <w:div w:id="1616865486">
          <w:marLeft w:val="640"/>
          <w:marRight w:val="0"/>
          <w:marTop w:val="0"/>
          <w:marBottom w:val="0"/>
          <w:divBdr>
            <w:top w:val="none" w:sz="0" w:space="0" w:color="auto"/>
            <w:left w:val="none" w:sz="0" w:space="0" w:color="auto"/>
            <w:bottom w:val="none" w:sz="0" w:space="0" w:color="auto"/>
            <w:right w:val="none" w:sz="0" w:space="0" w:color="auto"/>
          </w:divBdr>
        </w:div>
        <w:div w:id="1381903187">
          <w:marLeft w:val="640"/>
          <w:marRight w:val="0"/>
          <w:marTop w:val="0"/>
          <w:marBottom w:val="0"/>
          <w:divBdr>
            <w:top w:val="none" w:sz="0" w:space="0" w:color="auto"/>
            <w:left w:val="none" w:sz="0" w:space="0" w:color="auto"/>
            <w:bottom w:val="none" w:sz="0" w:space="0" w:color="auto"/>
            <w:right w:val="none" w:sz="0" w:space="0" w:color="auto"/>
          </w:divBdr>
        </w:div>
        <w:div w:id="1584295647">
          <w:marLeft w:val="640"/>
          <w:marRight w:val="0"/>
          <w:marTop w:val="0"/>
          <w:marBottom w:val="0"/>
          <w:divBdr>
            <w:top w:val="none" w:sz="0" w:space="0" w:color="auto"/>
            <w:left w:val="none" w:sz="0" w:space="0" w:color="auto"/>
            <w:bottom w:val="none" w:sz="0" w:space="0" w:color="auto"/>
            <w:right w:val="none" w:sz="0" w:space="0" w:color="auto"/>
          </w:divBdr>
        </w:div>
        <w:div w:id="30426489">
          <w:marLeft w:val="640"/>
          <w:marRight w:val="0"/>
          <w:marTop w:val="0"/>
          <w:marBottom w:val="0"/>
          <w:divBdr>
            <w:top w:val="none" w:sz="0" w:space="0" w:color="auto"/>
            <w:left w:val="none" w:sz="0" w:space="0" w:color="auto"/>
            <w:bottom w:val="none" w:sz="0" w:space="0" w:color="auto"/>
            <w:right w:val="none" w:sz="0" w:space="0" w:color="auto"/>
          </w:divBdr>
        </w:div>
        <w:div w:id="1622759945">
          <w:marLeft w:val="640"/>
          <w:marRight w:val="0"/>
          <w:marTop w:val="0"/>
          <w:marBottom w:val="0"/>
          <w:divBdr>
            <w:top w:val="none" w:sz="0" w:space="0" w:color="auto"/>
            <w:left w:val="none" w:sz="0" w:space="0" w:color="auto"/>
            <w:bottom w:val="none" w:sz="0" w:space="0" w:color="auto"/>
            <w:right w:val="none" w:sz="0" w:space="0" w:color="auto"/>
          </w:divBdr>
        </w:div>
        <w:div w:id="469249049">
          <w:marLeft w:val="640"/>
          <w:marRight w:val="0"/>
          <w:marTop w:val="0"/>
          <w:marBottom w:val="0"/>
          <w:divBdr>
            <w:top w:val="none" w:sz="0" w:space="0" w:color="auto"/>
            <w:left w:val="none" w:sz="0" w:space="0" w:color="auto"/>
            <w:bottom w:val="none" w:sz="0" w:space="0" w:color="auto"/>
            <w:right w:val="none" w:sz="0" w:space="0" w:color="auto"/>
          </w:divBdr>
        </w:div>
        <w:div w:id="1092504920">
          <w:marLeft w:val="640"/>
          <w:marRight w:val="0"/>
          <w:marTop w:val="0"/>
          <w:marBottom w:val="0"/>
          <w:divBdr>
            <w:top w:val="none" w:sz="0" w:space="0" w:color="auto"/>
            <w:left w:val="none" w:sz="0" w:space="0" w:color="auto"/>
            <w:bottom w:val="none" w:sz="0" w:space="0" w:color="auto"/>
            <w:right w:val="none" w:sz="0" w:space="0" w:color="auto"/>
          </w:divBdr>
        </w:div>
        <w:div w:id="1084372928">
          <w:marLeft w:val="640"/>
          <w:marRight w:val="0"/>
          <w:marTop w:val="0"/>
          <w:marBottom w:val="0"/>
          <w:divBdr>
            <w:top w:val="none" w:sz="0" w:space="0" w:color="auto"/>
            <w:left w:val="none" w:sz="0" w:space="0" w:color="auto"/>
            <w:bottom w:val="none" w:sz="0" w:space="0" w:color="auto"/>
            <w:right w:val="none" w:sz="0" w:space="0" w:color="auto"/>
          </w:divBdr>
        </w:div>
        <w:div w:id="227620628">
          <w:marLeft w:val="640"/>
          <w:marRight w:val="0"/>
          <w:marTop w:val="0"/>
          <w:marBottom w:val="0"/>
          <w:divBdr>
            <w:top w:val="none" w:sz="0" w:space="0" w:color="auto"/>
            <w:left w:val="none" w:sz="0" w:space="0" w:color="auto"/>
            <w:bottom w:val="none" w:sz="0" w:space="0" w:color="auto"/>
            <w:right w:val="none" w:sz="0" w:space="0" w:color="auto"/>
          </w:divBdr>
        </w:div>
        <w:div w:id="266698690">
          <w:marLeft w:val="640"/>
          <w:marRight w:val="0"/>
          <w:marTop w:val="0"/>
          <w:marBottom w:val="0"/>
          <w:divBdr>
            <w:top w:val="none" w:sz="0" w:space="0" w:color="auto"/>
            <w:left w:val="none" w:sz="0" w:space="0" w:color="auto"/>
            <w:bottom w:val="none" w:sz="0" w:space="0" w:color="auto"/>
            <w:right w:val="none" w:sz="0" w:space="0" w:color="auto"/>
          </w:divBdr>
        </w:div>
        <w:div w:id="779227127">
          <w:marLeft w:val="640"/>
          <w:marRight w:val="0"/>
          <w:marTop w:val="0"/>
          <w:marBottom w:val="0"/>
          <w:divBdr>
            <w:top w:val="none" w:sz="0" w:space="0" w:color="auto"/>
            <w:left w:val="none" w:sz="0" w:space="0" w:color="auto"/>
            <w:bottom w:val="none" w:sz="0" w:space="0" w:color="auto"/>
            <w:right w:val="none" w:sz="0" w:space="0" w:color="auto"/>
          </w:divBdr>
        </w:div>
        <w:div w:id="1235432434">
          <w:marLeft w:val="640"/>
          <w:marRight w:val="0"/>
          <w:marTop w:val="0"/>
          <w:marBottom w:val="0"/>
          <w:divBdr>
            <w:top w:val="none" w:sz="0" w:space="0" w:color="auto"/>
            <w:left w:val="none" w:sz="0" w:space="0" w:color="auto"/>
            <w:bottom w:val="none" w:sz="0" w:space="0" w:color="auto"/>
            <w:right w:val="none" w:sz="0" w:space="0" w:color="auto"/>
          </w:divBdr>
        </w:div>
        <w:div w:id="1824924912">
          <w:marLeft w:val="640"/>
          <w:marRight w:val="0"/>
          <w:marTop w:val="0"/>
          <w:marBottom w:val="0"/>
          <w:divBdr>
            <w:top w:val="none" w:sz="0" w:space="0" w:color="auto"/>
            <w:left w:val="none" w:sz="0" w:space="0" w:color="auto"/>
            <w:bottom w:val="none" w:sz="0" w:space="0" w:color="auto"/>
            <w:right w:val="none" w:sz="0" w:space="0" w:color="auto"/>
          </w:divBdr>
        </w:div>
        <w:div w:id="586042684">
          <w:marLeft w:val="640"/>
          <w:marRight w:val="0"/>
          <w:marTop w:val="0"/>
          <w:marBottom w:val="0"/>
          <w:divBdr>
            <w:top w:val="none" w:sz="0" w:space="0" w:color="auto"/>
            <w:left w:val="none" w:sz="0" w:space="0" w:color="auto"/>
            <w:bottom w:val="none" w:sz="0" w:space="0" w:color="auto"/>
            <w:right w:val="none" w:sz="0" w:space="0" w:color="auto"/>
          </w:divBdr>
        </w:div>
        <w:div w:id="1365405865">
          <w:marLeft w:val="640"/>
          <w:marRight w:val="0"/>
          <w:marTop w:val="0"/>
          <w:marBottom w:val="0"/>
          <w:divBdr>
            <w:top w:val="none" w:sz="0" w:space="0" w:color="auto"/>
            <w:left w:val="none" w:sz="0" w:space="0" w:color="auto"/>
            <w:bottom w:val="none" w:sz="0" w:space="0" w:color="auto"/>
            <w:right w:val="none" w:sz="0" w:space="0" w:color="auto"/>
          </w:divBdr>
        </w:div>
        <w:div w:id="2083942181">
          <w:marLeft w:val="640"/>
          <w:marRight w:val="0"/>
          <w:marTop w:val="0"/>
          <w:marBottom w:val="0"/>
          <w:divBdr>
            <w:top w:val="none" w:sz="0" w:space="0" w:color="auto"/>
            <w:left w:val="none" w:sz="0" w:space="0" w:color="auto"/>
            <w:bottom w:val="none" w:sz="0" w:space="0" w:color="auto"/>
            <w:right w:val="none" w:sz="0" w:space="0" w:color="auto"/>
          </w:divBdr>
        </w:div>
        <w:div w:id="1588618070">
          <w:marLeft w:val="640"/>
          <w:marRight w:val="0"/>
          <w:marTop w:val="0"/>
          <w:marBottom w:val="0"/>
          <w:divBdr>
            <w:top w:val="none" w:sz="0" w:space="0" w:color="auto"/>
            <w:left w:val="none" w:sz="0" w:space="0" w:color="auto"/>
            <w:bottom w:val="none" w:sz="0" w:space="0" w:color="auto"/>
            <w:right w:val="none" w:sz="0" w:space="0" w:color="auto"/>
          </w:divBdr>
        </w:div>
        <w:div w:id="1336153033">
          <w:marLeft w:val="640"/>
          <w:marRight w:val="0"/>
          <w:marTop w:val="0"/>
          <w:marBottom w:val="0"/>
          <w:divBdr>
            <w:top w:val="none" w:sz="0" w:space="0" w:color="auto"/>
            <w:left w:val="none" w:sz="0" w:space="0" w:color="auto"/>
            <w:bottom w:val="none" w:sz="0" w:space="0" w:color="auto"/>
            <w:right w:val="none" w:sz="0" w:space="0" w:color="auto"/>
          </w:divBdr>
        </w:div>
        <w:div w:id="150219133">
          <w:marLeft w:val="640"/>
          <w:marRight w:val="0"/>
          <w:marTop w:val="0"/>
          <w:marBottom w:val="0"/>
          <w:divBdr>
            <w:top w:val="none" w:sz="0" w:space="0" w:color="auto"/>
            <w:left w:val="none" w:sz="0" w:space="0" w:color="auto"/>
            <w:bottom w:val="none" w:sz="0" w:space="0" w:color="auto"/>
            <w:right w:val="none" w:sz="0" w:space="0" w:color="auto"/>
          </w:divBdr>
        </w:div>
        <w:div w:id="1805854399">
          <w:marLeft w:val="640"/>
          <w:marRight w:val="0"/>
          <w:marTop w:val="0"/>
          <w:marBottom w:val="0"/>
          <w:divBdr>
            <w:top w:val="none" w:sz="0" w:space="0" w:color="auto"/>
            <w:left w:val="none" w:sz="0" w:space="0" w:color="auto"/>
            <w:bottom w:val="none" w:sz="0" w:space="0" w:color="auto"/>
            <w:right w:val="none" w:sz="0" w:space="0" w:color="auto"/>
          </w:divBdr>
        </w:div>
        <w:div w:id="552541009">
          <w:marLeft w:val="640"/>
          <w:marRight w:val="0"/>
          <w:marTop w:val="0"/>
          <w:marBottom w:val="0"/>
          <w:divBdr>
            <w:top w:val="none" w:sz="0" w:space="0" w:color="auto"/>
            <w:left w:val="none" w:sz="0" w:space="0" w:color="auto"/>
            <w:bottom w:val="none" w:sz="0" w:space="0" w:color="auto"/>
            <w:right w:val="none" w:sz="0" w:space="0" w:color="auto"/>
          </w:divBdr>
        </w:div>
        <w:div w:id="1601991754">
          <w:marLeft w:val="640"/>
          <w:marRight w:val="0"/>
          <w:marTop w:val="0"/>
          <w:marBottom w:val="0"/>
          <w:divBdr>
            <w:top w:val="none" w:sz="0" w:space="0" w:color="auto"/>
            <w:left w:val="none" w:sz="0" w:space="0" w:color="auto"/>
            <w:bottom w:val="none" w:sz="0" w:space="0" w:color="auto"/>
            <w:right w:val="none" w:sz="0" w:space="0" w:color="auto"/>
          </w:divBdr>
        </w:div>
        <w:div w:id="1711801710">
          <w:marLeft w:val="640"/>
          <w:marRight w:val="0"/>
          <w:marTop w:val="0"/>
          <w:marBottom w:val="0"/>
          <w:divBdr>
            <w:top w:val="none" w:sz="0" w:space="0" w:color="auto"/>
            <w:left w:val="none" w:sz="0" w:space="0" w:color="auto"/>
            <w:bottom w:val="none" w:sz="0" w:space="0" w:color="auto"/>
            <w:right w:val="none" w:sz="0" w:space="0" w:color="auto"/>
          </w:divBdr>
        </w:div>
        <w:div w:id="10377873">
          <w:marLeft w:val="640"/>
          <w:marRight w:val="0"/>
          <w:marTop w:val="0"/>
          <w:marBottom w:val="0"/>
          <w:divBdr>
            <w:top w:val="none" w:sz="0" w:space="0" w:color="auto"/>
            <w:left w:val="none" w:sz="0" w:space="0" w:color="auto"/>
            <w:bottom w:val="none" w:sz="0" w:space="0" w:color="auto"/>
            <w:right w:val="none" w:sz="0" w:space="0" w:color="auto"/>
          </w:divBdr>
        </w:div>
        <w:div w:id="393433126">
          <w:marLeft w:val="640"/>
          <w:marRight w:val="0"/>
          <w:marTop w:val="0"/>
          <w:marBottom w:val="0"/>
          <w:divBdr>
            <w:top w:val="none" w:sz="0" w:space="0" w:color="auto"/>
            <w:left w:val="none" w:sz="0" w:space="0" w:color="auto"/>
            <w:bottom w:val="none" w:sz="0" w:space="0" w:color="auto"/>
            <w:right w:val="none" w:sz="0" w:space="0" w:color="auto"/>
          </w:divBdr>
        </w:div>
        <w:div w:id="1369377645">
          <w:marLeft w:val="640"/>
          <w:marRight w:val="0"/>
          <w:marTop w:val="0"/>
          <w:marBottom w:val="0"/>
          <w:divBdr>
            <w:top w:val="none" w:sz="0" w:space="0" w:color="auto"/>
            <w:left w:val="none" w:sz="0" w:space="0" w:color="auto"/>
            <w:bottom w:val="none" w:sz="0" w:space="0" w:color="auto"/>
            <w:right w:val="none" w:sz="0" w:space="0" w:color="auto"/>
          </w:divBdr>
        </w:div>
        <w:div w:id="224875260">
          <w:marLeft w:val="640"/>
          <w:marRight w:val="0"/>
          <w:marTop w:val="0"/>
          <w:marBottom w:val="0"/>
          <w:divBdr>
            <w:top w:val="none" w:sz="0" w:space="0" w:color="auto"/>
            <w:left w:val="none" w:sz="0" w:space="0" w:color="auto"/>
            <w:bottom w:val="none" w:sz="0" w:space="0" w:color="auto"/>
            <w:right w:val="none" w:sz="0" w:space="0" w:color="auto"/>
          </w:divBdr>
        </w:div>
        <w:div w:id="2105488704">
          <w:marLeft w:val="640"/>
          <w:marRight w:val="0"/>
          <w:marTop w:val="0"/>
          <w:marBottom w:val="0"/>
          <w:divBdr>
            <w:top w:val="none" w:sz="0" w:space="0" w:color="auto"/>
            <w:left w:val="none" w:sz="0" w:space="0" w:color="auto"/>
            <w:bottom w:val="none" w:sz="0" w:space="0" w:color="auto"/>
            <w:right w:val="none" w:sz="0" w:space="0" w:color="auto"/>
          </w:divBdr>
        </w:div>
        <w:div w:id="189490866">
          <w:marLeft w:val="640"/>
          <w:marRight w:val="0"/>
          <w:marTop w:val="0"/>
          <w:marBottom w:val="0"/>
          <w:divBdr>
            <w:top w:val="none" w:sz="0" w:space="0" w:color="auto"/>
            <w:left w:val="none" w:sz="0" w:space="0" w:color="auto"/>
            <w:bottom w:val="none" w:sz="0" w:space="0" w:color="auto"/>
            <w:right w:val="none" w:sz="0" w:space="0" w:color="auto"/>
          </w:divBdr>
        </w:div>
        <w:div w:id="1823237002">
          <w:marLeft w:val="640"/>
          <w:marRight w:val="0"/>
          <w:marTop w:val="0"/>
          <w:marBottom w:val="0"/>
          <w:divBdr>
            <w:top w:val="none" w:sz="0" w:space="0" w:color="auto"/>
            <w:left w:val="none" w:sz="0" w:space="0" w:color="auto"/>
            <w:bottom w:val="none" w:sz="0" w:space="0" w:color="auto"/>
            <w:right w:val="none" w:sz="0" w:space="0" w:color="auto"/>
          </w:divBdr>
        </w:div>
        <w:div w:id="2135824449">
          <w:marLeft w:val="640"/>
          <w:marRight w:val="0"/>
          <w:marTop w:val="0"/>
          <w:marBottom w:val="0"/>
          <w:divBdr>
            <w:top w:val="none" w:sz="0" w:space="0" w:color="auto"/>
            <w:left w:val="none" w:sz="0" w:space="0" w:color="auto"/>
            <w:bottom w:val="none" w:sz="0" w:space="0" w:color="auto"/>
            <w:right w:val="none" w:sz="0" w:space="0" w:color="auto"/>
          </w:divBdr>
        </w:div>
        <w:div w:id="321202405">
          <w:marLeft w:val="640"/>
          <w:marRight w:val="0"/>
          <w:marTop w:val="0"/>
          <w:marBottom w:val="0"/>
          <w:divBdr>
            <w:top w:val="none" w:sz="0" w:space="0" w:color="auto"/>
            <w:left w:val="none" w:sz="0" w:space="0" w:color="auto"/>
            <w:bottom w:val="none" w:sz="0" w:space="0" w:color="auto"/>
            <w:right w:val="none" w:sz="0" w:space="0" w:color="auto"/>
          </w:divBdr>
        </w:div>
        <w:div w:id="115027095">
          <w:marLeft w:val="640"/>
          <w:marRight w:val="0"/>
          <w:marTop w:val="0"/>
          <w:marBottom w:val="0"/>
          <w:divBdr>
            <w:top w:val="none" w:sz="0" w:space="0" w:color="auto"/>
            <w:left w:val="none" w:sz="0" w:space="0" w:color="auto"/>
            <w:bottom w:val="none" w:sz="0" w:space="0" w:color="auto"/>
            <w:right w:val="none" w:sz="0" w:space="0" w:color="auto"/>
          </w:divBdr>
        </w:div>
        <w:div w:id="32194182">
          <w:marLeft w:val="640"/>
          <w:marRight w:val="0"/>
          <w:marTop w:val="0"/>
          <w:marBottom w:val="0"/>
          <w:divBdr>
            <w:top w:val="none" w:sz="0" w:space="0" w:color="auto"/>
            <w:left w:val="none" w:sz="0" w:space="0" w:color="auto"/>
            <w:bottom w:val="none" w:sz="0" w:space="0" w:color="auto"/>
            <w:right w:val="none" w:sz="0" w:space="0" w:color="auto"/>
          </w:divBdr>
        </w:div>
        <w:div w:id="1573419892">
          <w:marLeft w:val="640"/>
          <w:marRight w:val="0"/>
          <w:marTop w:val="0"/>
          <w:marBottom w:val="0"/>
          <w:divBdr>
            <w:top w:val="none" w:sz="0" w:space="0" w:color="auto"/>
            <w:left w:val="none" w:sz="0" w:space="0" w:color="auto"/>
            <w:bottom w:val="none" w:sz="0" w:space="0" w:color="auto"/>
            <w:right w:val="none" w:sz="0" w:space="0" w:color="auto"/>
          </w:divBdr>
        </w:div>
        <w:div w:id="826092066">
          <w:marLeft w:val="640"/>
          <w:marRight w:val="0"/>
          <w:marTop w:val="0"/>
          <w:marBottom w:val="0"/>
          <w:divBdr>
            <w:top w:val="none" w:sz="0" w:space="0" w:color="auto"/>
            <w:left w:val="none" w:sz="0" w:space="0" w:color="auto"/>
            <w:bottom w:val="none" w:sz="0" w:space="0" w:color="auto"/>
            <w:right w:val="none" w:sz="0" w:space="0" w:color="auto"/>
          </w:divBdr>
        </w:div>
        <w:div w:id="1880973641">
          <w:marLeft w:val="640"/>
          <w:marRight w:val="0"/>
          <w:marTop w:val="0"/>
          <w:marBottom w:val="0"/>
          <w:divBdr>
            <w:top w:val="none" w:sz="0" w:space="0" w:color="auto"/>
            <w:left w:val="none" w:sz="0" w:space="0" w:color="auto"/>
            <w:bottom w:val="none" w:sz="0" w:space="0" w:color="auto"/>
            <w:right w:val="none" w:sz="0" w:space="0" w:color="auto"/>
          </w:divBdr>
        </w:div>
        <w:div w:id="1414010217">
          <w:marLeft w:val="640"/>
          <w:marRight w:val="0"/>
          <w:marTop w:val="0"/>
          <w:marBottom w:val="0"/>
          <w:divBdr>
            <w:top w:val="none" w:sz="0" w:space="0" w:color="auto"/>
            <w:left w:val="none" w:sz="0" w:space="0" w:color="auto"/>
            <w:bottom w:val="none" w:sz="0" w:space="0" w:color="auto"/>
            <w:right w:val="none" w:sz="0" w:space="0" w:color="auto"/>
          </w:divBdr>
        </w:div>
        <w:div w:id="468517583">
          <w:marLeft w:val="640"/>
          <w:marRight w:val="0"/>
          <w:marTop w:val="0"/>
          <w:marBottom w:val="0"/>
          <w:divBdr>
            <w:top w:val="none" w:sz="0" w:space="0" w:color="auto"/>
            <w:left w:val="none" w:sz="0" w:space="0" w:color="auto"/>
            <w:bottom w:val="none" w:sz="0" w:space="0" w:color="auto"/>
            <w:right w:val="none" w:sz="0" w:space="0" w:color="auto"/>
          </w:divBdr>
        </w:div>
        <w:div w:id="1515729905">
          <w:marLeft w:val="640"/>
          <w:marRight w:val="0"/>
          <w:marTop w:val="0"/>
          <w:marBottom w:val="0"/>
          <w:divBdr>
            <w:top w:val="none" w:sz="0" w:space="0" w:color="auto"/>
            <w:left w:val="none" w:sz="0" w:space="0" w:color="auto"/>
            <w:bottom w:val="none" w:sz="0" w:space="0" w:color="auto"/>
            <w:right w:val="none" w:sz="0" w:space="0" w:color="auto"/>
          </w:divBdr>
        </w:div>
        <w:div w:id="912424411">
          <w:marLeft w:val="640"/>
          <w:marRight w:val="0"/>
          <w:marTop w:val="0"/>
          <w:marBottom w:val="0"/>
          <w:divBdr>
            <w:top w:val="none" w:sz="0" w:space="0" w:color="auto"/>
            <w:left w:val="none" w:sz="0" w:space="0" w:color="auto"/>
            <w:bottom w:val="none" w:sz="0" w:space="0" w:color="auto"/>
            <w:right w:val="none" w:sz="0" w:space="0" w:color="auto"/>
          </w:divBdr>
        </w:div>
        <w:div w:id="161624856">
          <w:marLeft w:val="640"/>
          <w:marRight w:val="0"/>
          <w:marTop w:val="0"/>
          <w:marBottom w:val="0"/>
          <w:divBdr>
            <w:top w:val="none" w:sz="0" w:space="0" w:color="auto"/>
            <w:left w:val="none" w:sz="0" w:space="0" w:color="auto"/>
            <w:bottom w:val="none" w:sz="0" w:space="0" w:color="auto"/>
            <w:right w:val="none" w:sz="0" w:space="0" w:color="auto"/>
          </w:divBdr>
        </w:div>
        <w:div w:id="1844390686">
          <w:marLeft w:val="640"/>
          <w:marRight w:val="0"/>
          <w:marTop w:val="0"/>
          <w:marBottom w:val="0"/>
          <w:divBdr>
            <w:top w:val="none" w:sz="0" w:space="0" w:color="auto"/>
            <w:left w:val="none" w:sz="0" w:space="0" w:color="auto"/>
            <w:bottom w:val="none" w:sz="0" w:space="0" w:color="auto"/>
            <w:right w:val="none" w:sz="0" w:space="0" w:color="auto"/>
          </w:divBdr>
        </w:div>
        <w:div w:id="2092775529">
          <w:marLeft w:val="640"/>
          <w:marRight w:val="0"/>
          <w:marTop w:val="0"/>
          <w:marBottom w:val="0"/>
          <w:divBdr>
            <w:top w:val="none" w:sz="0" w:space="0" w:color="auto"/>
            <w:left w:val="none" w:sz="0" w:space="0" w:color="auto"/>
            <w:bottom w:val="none" w:sz="0" w:space="0" w:color="auto"/>
            <w:right w:val="none" w:sz="0" w:space="0" w:color="auto"/>
          </w:divBdr>
        </w:div>
        <w:div w:id="1621298241">
          <w:marLeft w:val="640"/>
          <w:marRight w:val="0"/>
          <w:marTop w:val="0"/>
          <w:marBottom w:val="0"/>
          <w:divBdr>
            <w:top w:val="none" w:sz="0" w:space="0" w:color="auto"/>
            <w:left w:val="none" w:sz="0" w:space="0" w:color="auto"/>
            <w:bottom w:val="none" w:sz="0" w:space="0" w:color="auto"/>
            <w:right w:val="none" w:sz="0" w:space="0" w:color="auto"/>
          </w:divBdr>
        </w:div>
        <w:div w:id="991565413">
          <w:marLeft w:val="640"/>
          <w:marRight w:val="0"/>
          <w:marTop w:val="0"/>
          <w:marBottom w:val="0"/>
          <w:divBdr>
            <w:top w:val="none" w:sz="0" w:space="0" w:color="auto"/>
            <w:left w:val="none" w:sz="0" w:space="0" w:color="auto"/>
            <w:bottom w:val="none" w:sz="0" w:space="0" w:color="auto"/>
            <w:right w:val="none" w:sz="0" w:space="0" w:color="auto"/>
          </w:divBdr>
        </w:div>
        <w:div w:id="335234137">
          <w:marLeft w:val="640"/>
          <w:marRight w:val="0"/>
          <w:marTop w:val="0"/>
          <w:marBottom w:val="0"/>
          <w:divBdr>
            <w:top w:val="none" w:sz="0" w:space="0" w:color="auto"/>
            <w:left w:val="none" w:sz="0" w:space="0" w:color="auto"/>
            <w:bottom w:val="none" w:sz="0" w:space="0" w:color="auto"/>
            <w:right w:val="none" w:sz="0" w:space="0" w:color="auto"/>
          </w:divBdr>
        </w:div>
        <w:div w:id="958992202">
          <w:marLeft w:val="640"/>
          <w:marRight w:val="0"/>
          <w:marTop w:val="0"/>
          <w:marBottom w:val="0"/>
          <w:divBdr>
            <w:top w:val="none" w:sz="0" w:space="0" w:color="auto"/>
            <w:left w:val="none" w:sz="0" w:space="0" w:color="auto"/>
            <w:bottom w:val="none" w:sz="0" w:space="0" w:color="auto"/>
            <w:right w:val="none" w:sz="0" w:space="0" w:color="auto"/>
          </w:divBdr>
        </w:div>
        <w:div w:id="1974826470">
          <w:marLeft w:val="640"/>
          <w:marRight w:val="0"/>
          <w:marTop w:val="0"/>
          <w:marBottom w:val="0"/>
          <w:divBdr>
            <w:top w:val="none" w:sz="0" w:space="0" w:color="auto"/>
            <w:left w:val="none" w:sz="0" w:space="0" w:color="auto"/>
            <w:bottom w:val="none" w:sz="0" w:space="0" w:color="auto"/>
            <w:right w:val="none" w:sz="0" w:space="0" w:color="auto"/>
          </w:divBdr>
        </w:div>
        <w:div w:id="1169758273">
          <w:marLeft w:val="640"/>
          <w:marRight w:val="0"/>
          <w:marTop w:val="0"/>
          <w:marBottom w:val="0"/>
          <w:divBdr>
            <w:top w:val="none" w:sz="0" w:space="0" w:color="auto"/>
            <w:left w:val="none" w:sz="0" w:space="0" w:color="auto"/>
            <w:bottom w:val="none" w:sz="0" w:space="0" w:color="auto"/>
            <w:right w:val="none" w:sz="0" w:space="0" w:color="auto"/>
          </w:divBdr>
        </w:div>
        <w:div w:id="2058889553">
          <w:marLeft w:val="640"/>
          <w:marRight w:val="0"/>
          <w:marTop w:val="0"/>
          <w:marBottom w:val="0"/>
          <w:divBdr>
            <w:top w:val="none" w:sz="0" w:space="0" w:color="auto"/>
            <w:left w:val="none" w:sz="0" w:space="0" w:color="auto"/>
            <w:bottom w:val="none" w:sz="0" w:space="0" w:color="auto"/>
            <w:right w:val="none" w:sz="0" w:space="0" w:color="auto"/>
          </w:divBdr>
        </w:div>
        <w:div w:id="1866750776">
          <w:marLeft w:val="640"/>
          <w:marRight w:val="0"/>
          <w:marTop w:val="0"/>
          <w:marBottom w:val="0"/>
          <w:divBdr>
            <w:top w:val="none" w:sz="0" w:space="0" w:color="auto"/>
            <w:left w:val="none" w:sz="0" w:space="0" w:color="auto"/>
            <w:bottom w:val="none" w:sz="0" w:space="0" w:color="auto"/>
            <w:right w:val="none" w:sz="0" w:space="0" w:color="auto"/>
          </w:divBdr>
        </w:div>
        <w:div w:id="820921526">
          <w:marLeft w:val="640"/>
          <w:marRight w:val="0"/>
          <w:marTop w:val="0"/>
          <w:marBottom w:val="0"/>
          <w:divBdr>
            <w:top w:val="none" w:sz="0" w:space="0" w:color="auto"/>
            <w:left w:val="none" w:sz="0" w:space="0" w:color="auto"/>
            <w:bottom w:val="none" w:sz="0" w:space="0" w:color="auto"/>
            <w:right w:val="none" w:sz="0" w:space="0" w:color="auto"/>
          </w:divBdr>
        </w:div>
        <w:div w:id="221335955">
          <w:marLeft w:val="640"/>
          <w:marRight w:val="0"/>
          <w:marTop w:val="0"/>
          <w:marBottom w:val="0"/>
          <w:divBdr>
            <w:top w:val="none" w:sz="0" w:space="0" w:color="auto"/>
            <w:left w:val="none" w:sz="0" w:space="0" w:color="auto"/>
            <w:bottom w:val="none" w:sz="0" w:space="0" w:color="auto"/>
            <w:right w:val="none" w:sz="0" w:space="0" w:color="auto"/>
          </w:divBdr>
        </w:div>
        <w:div w:id="1208030264">
          <w:marLeft w:val="640"/>
          <w:marRight w:val="0"/>
          <w:marTop w:val="0"/>
          <w:marBottom w:val="0"/>
          <w:divBdr>
            <w:top w:val="none" w:sz="0" w:space="0" w:color="auto"/>
            <w:left w:val="none" w:sz="0" w:space="0" w:color="auto"/>
            <w:bottom w:val="none" w:sz="0" w:space="0" w:color="auto"/>
            <w:right w:val="none" w:sz="0" w:space="0" w:color="auto"/>
          </w:divBdr>
        </w:div>
        <w:div w:id="768089672">
          <w:marLeft w:val="640"/>
          <w:marRight w:val="0"/>
          <w:marTop w:val="0"/>
          <w:marBottom w:val="0"/>
          <w:divBdr>
            <w:top w:val="none" w:sz="0" w:space="0" w:color="auto"/>
            <w:left w:val="none" w:sz="0" w:space="0" w:color="auto"/>
            <w:bottom w:val="none" w:sz="0" w:space="0" w:color="auto"/>
            <w:right w:val="none" w:sz="0" w:space="0" w:color="auto"/>
          </w:divBdr>
        </w:div>
        <w:div w:id="862474760">
          <w:marLeft w:val="640"/>
          <w:marRight w:val="0"/>
          <w:marTop w:val="0"/>
          <w:marBottom w:val="0"/>
          <w:divBdr>
            <w:top w:val="none" w:sz="0" w:space="0" w:color="auto"/>
            <w:left w:val="none" w:sz="0" w:space="0" w:color="auto"/>
            <w:bottom w:val="none" w:sz="0" w:space="0" w:color="auto"/>
            <w:right w:val="none" w:sz="0" w:space="0" w:color="auto"/>
          </w:divBdr>
        </w:div>
        <w:div w:id="1633515065">
          <w:marLeft w:val="640"/>
          <w:marRight w:val="0"/>
          <w:marTop w:val="0"/>
          <w:marBottom w:val="0"/>
          <w:divBdr>
            <w:top w:val="none" w:sz="0" w:space="0" w:color="auto"/>
            <w:left w:val="none" w:sz="0" w:space="0" w:color="auto"/>
            <w:bottom w:val="none" w:sz="0" w:space="0" w:color="auto"/>
            <w:right w:val="none" w:sz="0" w:space="0" w:color="auto"/>
          </w:divBdr>
        </w:div>
        <w:div w:id="690179024">
          <w:marLeft w:val="640"/>
          <w:marRight w:val="0"/>
          <w:marTop w:val="0"/>
          <w:marBottom w:val="0"/>
          <w:divBdr>
            <w:top w:val="none" w:sz="0" w:space="0" w:color="auto"/>
            <w:left w:val="none" w:sz="0" w:space="0" w:color="auto"/>
            <w:bottom w:val="none" w:sz="0" w:space="0" w:color="auto"/>
            <w:right w:val="none" w:sz="0" w:space="0" w:color="auto"/>
          </w:divBdr>
        </w:div>
        <w:div w:id="631400380">
          <w:marLeft w:val="640"/>
          <w:marRight w:val="0"/>
          <w:marTop w:val="0"/>
          <w:marBottom w:val="0"/>
          <w:divBdr>
            <w:top w:val="none" w:sz="0" w:space="0" w:color="auto"/>
            <w:left w:val="none" w:sz="0" w:space="0" w:color="auto"/>
            <w:bottom w:val="none" w:sz="0" w:space="0" w:color="auto"/>
            <w:right w:val="none" w:sz="0" w:space="0" w:color="auto"/>
          </w:divBdr>
        </w:div>
        <w:div w:id="1761871200">
          <w:marLeft w:val="640"/>
          <w:marRight w:val="0"/>
          <w:marTop w:val="0"/>
          <w:marBottom w:val="0"/>
          <w:divBdr>
            <w:top w:val="none" w:sz="0" w:space="0" w:color="auto"/>
            <w:left w:val="none" w:sz="0" w:space="0" w:color="auto"/>
            <w:bottom w:val="none" w:sz="0" w:space="0" w:color="auto"/>
            <w:right w:val="none" w:sz="0" w:space="0" w:color="auto"/>
          </w:divBdr>
        </w:div>
        <w:div w:id="763107546">
          <w:marLeft w:val="640"/>
          <w:marRight w:val="0"/>
          <w:marTop w:val="0"/>
          <w:marBottom w:val="0"/>
          <w:divBdr>
            <w:top w:val="none" w:sz="0" w:space="0" w:color="auto"/>
            <w:left w:val="none" w:sz="0" w:space="0" w:color="auto"/>
            <w:bottom w:val="none" w:sz="0" w:space="0" w:color="auto"/>
            <w:right w:val="none" w:sz="0" w:space="0" w:color="auto"/>
          </w:divBdr>
        </w:div>
        <w:div w:id="1990790866">
          <w:marLeft w:val="640"/>
          <w:marRight w:val="0"/>
          <w:marTop w:val="0"/>
          <w:marBottom w:val="0"/>
          <w:divBdr>
            <w:top w:val="none" w:sz="0" w:space="0" w:color="auto"/>
            <w:left w:val="none" w:sz="0" w:space="0" w:color="auto"/>
            <w:bottom w:val="none" w:sz="0" w:space="0" w:color="auto"/>
            <w:right w:val="none" w:sz="0" w:space="0" w:color="auto"/>
          </w:divBdr>
        </w:div>
        <w:div w:id="1370182615">
          <w:marLeft w:val="640"/>
          <w:marRight w:val="0"/>
          <w:marTop w:val="0"/>
          <w:marBottom w:val="0"/>
          <w:divBdr>
            <w:top w:val="none" w:sz="0" w:space="0" w:color="auto"/>
            <w:left w:val="none" w:sz="0" w:space="0" w:color="auto"/>
            <w:bottom w:val="none" w:sz="0" w:space="0" w:color="auto"/>
            <w:right w:val="none" w:sz="0" w:space="0" w:color="auto"/>
          </w:divBdr>
        </w:div>
        <w:div w:id="1434010427">
          <w:marLeft w:val="640"/>
          <w:marRight w:val="0"/>
          <w:marTop w:val="0"/>
          <w:marBottom w:val="0"/>
          <w:divBdr>
            <w:top w:val="none" w:sz="0" w:space="0" w:color="auto"/>
            <w:left w:val="none" w:sz="0" w:space="0" w:color="auto"/>
            <w:bottom w:val="none" w:sz="0" w:space="0" w:color="auto"/>
            <w:right w:val="none" w:sz="0" w:space="0" w:color="auto"/>
          </w:divBdr>
        </w:div>
        <w:div w:id="458256793">
          <w:marLeft w:val="640"/>
          <w:marRight w:val="0"/>
          <w:marTop w:val="0"/>
          <w:marBottom w:val="0"/>
          <w:divBdr>
            <w:top w:val="none" w:sz="0" w:space="0" w:color="auto"/>
            <w:left w:val="none" w:sz="0" w:space="0" w:color="auto"/>
            <w:bottom w:val="none" w:sz="0" w:space="0" w:color="auto"/>
            <w:right w:val="none" w:sz="0" w:space="0" w:color="auto"/>
          </w:divBdr>
        </w:div>
        <w:div w:id="1235047347">
          <w:marLeft w:val="640"/>
          <w:marRight w:val="0"/>
          <w:marTop w:val="0"/>
          <w:marBottom w:val="0"/>
          <w:divBdr>
            <w:top w:val="none" w:sz="0" w:space="0" w:color="auto"/>
            <w:left w:val="none" w:sz="0" w:space="0" w:color="auto"/>
            <w:bottom w:val="none" w:sz="0" w:space="0" w:color="auto"/>
            <w:right w:val="none" w:sz="0" w:space="0" w:color="auto"/>
          </w:divBdr>
        </w:div>
        <w:div w:id="371812977">
          <w:marLeft w:val="640"/>
          <w:marRight w:val="0"/>
          <w:marTop w:val="0"/>
          <w:marBottom w:val="0"/>
          <w:divBdr>
            <w:top w:val="none" w:sz="0" w:space="0" w:color="auto"/>
            <w:left w:val="none" w:sz="0" w:space="0" w:color="auto"/>
            <w:bottom w:val="none" w:sz="0" w:space="0" w:color="auto"/>
            <w:right w:val="none" w:sz="0" w:space="0" w:color="auto"/>
          </w:divBdr>
        </w:div>
        <w:div w:id="652762712">
          <w:marLeft w:val="640"/>
          <w:marRight w:val="0"/>
          <w:marTop w:val="0"/>
          <w:marBottom w:val="0"/>
          <w:divBdr>
            <w:top w:val="none" w:sz="0" w:space="0" w:color="auto"/>
            <w:left w:val="none" w:sz="0" w:space="0" w:color="auto"/>
            <w:bottom w:val="none" w:sz="0" w:space="0" w:color="auto"/>
            <w:right w:val="none" w:sz="0" w:space="0" w:color="auto"/>
          </w:divBdr>
        </w:div>
        <w:div w:id="163397857">
          <w:marLeft w:val="640"/>
          <w:marRight w:val="0"/>
          <w:marTop w:val="0"/>
          <w:marBottom w:val="0"/>
          <w:divBdr>
            <w:top w:val="none" w:sz="0" w:space="0" w:color="auto"/>
            <w:left w:val="none" w:sz="0" w:space="0" w:color="auto"/>
            <w:bottom w:val="none" w:sz="0" w:space="0" w:color="auto"/>
            <w:right w:val="none" w:sz="0" w:space="0" w:color="auto"/>
          </w:divBdr>
        </w:div>
        <w:div w:id="1175923372">
          <w:marLeft w:val="640"/>
          <w:marRight w:val="0"/>
          <w:marTop w:val="0"/>
          <w:marBottom w:val="0"/>
          <w:divBdr>
            <w:top w:val="none" w:sz="0" w:space="0" w:color="auto"/>
            <w:left w:val="none" w:sz="0" w:space="0" w:color="auto"/>
            <w:bottom w:val="none" w:sz="0" w:space="0" w:color="auto"/>
            <w:right w:val="none" w:sz="0" w:space="0" w:color="auto"/>
          </w:divBdr>
        </w:div>
        <w:div w:id="1780493268">
          <w:marLeft w:val="640"/>
          <w:marRight w:val="0"/>
          <w:marTop w:val="0"/>
          <w:marBottom w:val="0"/>
          <w:divBdr>
            <w:top w:val="none" w:sz="0" w:space="0" w:color="auto"/>
            <w:left w:val="none" w:sz="0" w:space="0" w:color="auto"/>
            <w:bottom w:val="none" w:sz="0" w:space="0" w:color="auto"/>
            <w:right w:val="none" w:sz="0" w:space="0" w:color="auto"/>
          </w:divBdr>
        </w:div>
        <w:div w:id="1849443694">
          <w:marLeft w:val="640"/>
          <w:marRight w:val="0"/>
          <w:marTop w:val="0"/>
          <w:marBottom w:val="0"/>
          <w:divBdr>
            <w:top w:val="none" w:sz="0" w:space="0" w:color="auto"/>
            <w:left w:val="none" w:sz="0" w:space="0" w:color="auto"/>
            <w:bottom w:val="none" w:sz="0" w:space="0" w:color="auto"/>
            <w:right w:val="none" w:sz="0" w:space="0" w:color="auto"/>
          </w:divBdr>
        </w:div>
        <w:div w:id="1509251448">
          <w:marLeft w:val="640"/>
          <w:marRight w:val="0"/>
          <w:marTop w:val="0"/>
          <w:marBottom w:val="0"/>
          <w:divBdr>
            <w:top w:val="none" w:sz="0" w:space="0" w:color="auto"/>
            <w:left w:val="none" w:sz="0" w:space="0" w:color="auto"/>
            <w:bottom w:val="none" w:sz="0" w:space="0" w:color="auto"/>
            <w:right w:val="none" w:sz="0" w:space="0" w:color="auto"/>
          </w:divBdr>
        </w:div>
        <w:div w:id="1196432943">
          <w:marLeft w:val="640"/>
          <w:marRight w:val="0"/>
          <w:marTop w:val="0"/>
          <w:marBottom w:val="0"/>
          <w:divBdr>
            <w:top w:val="none" w:sz="0" w:space="0" w:color="auto"/>
            <w:left w:val="none" w:sz="0" w:space="0" w:color="auto"/>
            <w:bottom w:val="none" w:sz="0" w:space="0" w:color="auto"/>
            <w:right w:val="none" w:sz="0" w:space="0" w:color="auto"/>
          </w:divBdr>
        </w:div>
        <w:div w:id="1036081333">
          <w:marLeft w:val="640"/>
          <w:marRight w:val="0"/>
          <w:marTop w:val="0"/>
          <w:marBottom w:val="0"/>
          <w:divBdr>
            <w:top w:val="none" w:sz="0" w:space="0" w:color="auto"/>
            <w:left w:val="none" w:sz="0" w:space="0" w:color="auto"/>
            <w:bottom w:val="none" w:sz="0" w:space="0" w:color="auto"/>
            <w:right w:val="none" w:sz="0" w:space="0" w:color="auto"/>
          </w:divBdr>
        </w:div>
        <w:div w:id="236985125">
          <w:marLeft w:val="640"/>
          <w:marRight w:val="0"/>
          <w:marTop w:val="0"/>
          <w:marBottom w:val="0"/>
          <w:divBdr>
            <w:top w:val="none" w:sz="0" w:space="0" w:color="auto"/>
            <w:left w:val="none" w:sz="0" w:space="0" w:color="auto"/>
            <w:bottom w:val="none" w:sz="0" w:space="0" w:color="auto"/>
            <w:right w:val="none" w:sz="0" w:space="0" w:color="auto"/>
          </w:divBdr>
        </w:div>
        <w:div w:id="1502165168">
          <w:marLeft w:val="640"/>
          <w:marRight w:val="0"/>
          <w:marTop w:val="0"/>
          <w:marBottom w:val="0"/>
          <w:divBdr>
            <w:top w:val="none" w:sz="0" w:space="0" w:color="auto"/>
            <w:left w:val="none" w:sz="0" w:space="0" w:color="auto"/>
            <w:bottom w:val="none" w:sz="0" w:space="0" w:color="auto"/>
            <w:right w:val="none" w:sz="0" w:space="0" w:color="auto"/>
          </w:divBdr>
        </w:div>
        <w:div w:id="1633636250">
          <w:marLeft w:val="640"/>
          <w:marRight w:val="0"/>
          <w:marTop w:val="0"/>
          <w:marBottom w:val="0"/>
          <w:divBdr>
            <w:top w:val="none" w:sz="0" w:space="0" w:color="auto"/>
            <w:left w:val="none" w:sz="0" w:space="0" w:color="auto"/>
            <w:bottom w:val="none" w:sz="0" w:space="0" w:color="auto"/>
            <w:right w:val="none" w:sz="0" w:space="0" w:color="auto"/>
          </w:divBdr>
        </w:div>
        <w:div w:id="2065057208">
          <w:marLeft w:val="640"/>
          <w:marRight w:val="0"/>
          <w:marTop w:val="0"/>
          <w:marBottom w:val="0"/>
          <w:divBdr>
            <w:top w:val="none" w:sz="0" w:space="0" w:color="auto"/>
            <w:left w:val="none" w:sz="0" w:space="0" w:color="auto"/>
            <w:bottom w:val="none" w:sz="0" w:space="0" w:color="auto"/>
            <w:right w:val="none" w:sz="0" w:space="0" w:color="auto"/>
          </w:divBdr>
        </w:div>
        <w:div w:id="357850530">
          <w:marLeft w:val="640"/>
          <w:marRight w:val="0"/>
          <w:marTop w:val="0"/>
          <w:marBottom w:val="0"/>
          <w:divBdr>
            <w:top w:val="none" w:sz="0" w:space="0" w:color="auto"/>
            <w:left w:val="none" w:sz="0" w:space="0" w:color="auto"/>
            <w:bottom w:val="none" w:sz="0" w:space="0" w:color="auto"/>
            <w:right w:val="none" w:sz="0" w:space="0" w:color="auto"/>
          </w:divBdr>
        </w:div>
        <w:div w:id="1642034626">
          <w:marLeft w:val="640"/>
          <w:marRight w:val="0"/>
          <w:marTop w:val="0"/>
          <w:marBottom w:val="0"/>
          <w:divBdr>
            <w:top w:val="none" w:sz="0" w:space="0" w:color="auto"/>
            <w:left w:val="none" w:sz="0" w:space="0" w:color="auto"/>
            <w:bottom w:val="none" w:sz="0" w:space="0" w:color="auto"/>
            <w:right w:val="none" w:sz="0" w:space="0" w:color="auto"/>
          </w:divBdr>
        </w:div>
      </w:divsChild>
    </w:div>
    <w:div w:id="1134253078">
      <w:bodyDiv w:val="1"/>
      <w:marLeft w:val="0"/>
      <w:marRight w:val="0"/>
      <w:marTop w:val="0"/>
      <w:marBottom w:val="0"/>
      <w:divBdr>
        <w:top w:val="none" w:sz="0" w:space="0" w:color="auto"/>
        <w:left w:val="none" w:sz="0" w:space="0" w:color="auto"/>
        <w:bottom w:val="none" w:sz="0" w:space="0" w:color="auto"/>
        <w:right w:val="none" w:sz="0" w:space="0" w:color="auto"/>
      </w:divBdr>
      <w:divsChild>
        <w:div w:id="1196501833">
          <w:marLeft w:val="640"/>
          <w:marRight w:val="0"/>
          <w:marTop w:val="0"/>
          <w:marBottom w:val="0"/>
          <w:divBdr>
            <w:top w:val="none" w:sz="0" w:space="0" w:color="auto"/>
            <w:left w:val="none" w:sz="0" w:space="0" w:color="auto"/>
            <w:bottom w:val="none" w:sz="0" w:space="0" w:color="auto"/>
            <w:right w:val="none" w:sz="0" w:space="0" w:color="auto"/>
          </w:divBdr>
        </w:div>
        <w:div w:id="866528052">
          <w:marLeft w:val="640"/>
          <w:marRight w:val="0"/>
          <w:marTop w:val="0"/>
          <w:marBottom w:val="0"/>
          <w:divBdr>
            <w:top w:val="none" w:sz="0" w:space="0" w:color="auto"/>
            <w:left w:val="none" w:sz="0" w:space="0" w:color="auto"/>
            <w:bottom w:val="none" w:sz="0" w:space="0" w:color="auto"/>
            <w:right w:val="none" w:sz="0" w:space="0" w:color="auto"/>
          </w:divBdr>
        </w:div>
        <w:div w:id="1454248272">
          <w:marLeft w:val="640"/>
          <w:marRight w:val="0"/>
          <w:marTop w:val="0"/>
          <w:marBottom w:val="0"/>
          <w:divBdr>
            <w:top w:val="none" w:sz="0" w:space="0" w:color="auto"/>
            <w:left w:val="none" w:sz="0" w:space="0" w:color="auto"/>
            <w:bottom w:val="none" w:sz="0" w:space="0" w:color="auto"/>
            <w:right w:val="none" w:sz="0" w:space="0" w:color="auto"/>
          </w:divBdr>
        </w:div>
        <w:div w:id="923729996">
          <w:marLeft w:val="640"/>
          <w:marRight w:val="0"/>
          <w:marTop w:val="0"/>
          <w:marBottom w:val="0"/>
          <w:divBdr>
            <w:top w:val="none" w:sz="0" w:space="0" w:color="auto"/>
            <w:left w:val="none" w:sz="0" w:space="0" w:color="auto"/>
            <w:bottom w:val="none" w:sz="0" w:space="0" w:color="auto"/>
            <w:right w:val="none" w:sz="0" w:space="0" w:color="auto"/>
          </w:divBdr>
        </w:div>
        <w:div w:id="1813907669">
          <w:marLeft w:val="640"/>
          <w:marRight w:val="0"/>
          <w:marTop w:val="0"/>
          <w:marBottom w:val="0"/>
          <w:divBdr>
            <w:top w:val="none" w:sz="0" w:space="0" w:color="auto"/>
            <w:left w:val="none" w:sz="0" w:space="0" w:color="auto"/>
            <w:bottom w:val="none" w:sz="0" w:space="0" w:color="auto"/>
            <w:right w:val="none" w:sz="0" w:space="0" w:color="auto"/>
          </w:divBdr>
        </w:div>
        <w:div w:id="575669857">
          <w:marLeft w:val="640"/>
          <w:marRight w:val="0"/>
          <w:marTop w:val="0"/>
          <w:marBottom w:val="0"/>
          <w:divBdr>
            <w:top w:val="none" w:sz="0" w:space="0" w:color="auto"/>
            <w:left w:val="none" w:sz="0" w:space="0" w:color="auto"/>
            <w:bottom w:val="none" w:sz="0" w:space="0" w:color="auto"/>
            <w:right w:val="none" w:sz="0" w:space="0" w:color="auto"/>
          </w:divBdr>
        </w:div>
        <w:div w:id="1323967369">
          <w:marLeft w:val="640"/>
          <w:marRight w:val="0"/>
          <w:marTop w:val="0"/>
          <w:marBottom w:val="0"/>
          <w:divBdr>
            <w:top w:val="none" w:sz="0" w:space="0" w:color="auto"/>
            <w:left w:val="none" w:sz="0" w:space="0" w:color="auto"/>
            <w:bottom w:val="none" w:sz="0" w:space="0" w:color="auto"/>
            <w:right w:val="none" w:sz="0" w:space="0" w:color="auto"/>
          </w:divBdr>
        </w:div>
        <w:div w:id="1054086266">
          <w:marLeft w:val="640"/>
          <w:marRight w:val="0"/>
          <w:marTop w:val="0"/>
          <w:marBottom w:val="0"/>
          <w:divBdr>
            <w:top w:val="none" w:sz="0" w:space="0" w:color="auto"/>
            <w:left w:val="none" w:sz="0" w:space="0" w:color="auto"/>
            <w:bottom w:val="none" w:sz="0" w:space="0" w:color="auto"/>
            <w:right w:val="none" w:sz="0" w:space="0" w:color="auto"/>
          </w:divBdr>
        </w:div>
        <w:div w:id="2064938583">
          <w:marLeft w:val="640"/>
          <w:marRight w:val="0"/>
          <w:marTop w:val="0"/>
          <w:marBottom w:val="0"/>
          <w:divBdr>
            <w:top w:val="none" w:sz="0" w:space="0" w:color="auto"/>
            <w:left w:val="none" w:sz="0" w:space="0" w:color="auto"/>
            <w:bottom w:val="none" w:sz="0" w:space="0" w:color="auto"/>
            <w:right w:val="none" w:sz="0" w:space="0" w:color="auto"/>
          </w:divBdr>
        </w:div>
        <w:div w:id="2117603532">
          <w:marLeft w:val="640"/>
          <w:marRight w:val="0"/>
          <w:marTop w:val="0"/>
          <w:marBottom w:val="0"/>
          <w:divBdr>
            <w:top w:val="none" w:sz="0" w:space="0" w:color="auto"/>
            <w:left w:val="none" w:sz="0" w:space="0" w:color="auto"/>
            <w:bottom w:val="none" w:sz="0" w:space="0" w:color="auto"/>
            <w:right w:val="none" w:sz="0" w:space="0" w:color="auto"/>
          </w:divBdr>
        </w:div>
        <w:div w:id="304166839">
          <w:marLeft w:val="640"/>
          <w:marRight w:val="0"/>
          <w:marTop w:val="0"/>
          <w:marBottom w:val="0"/>
          <w:divBdr>
            <w:top w:val="none" w:sz="0" w:space="0" w:color="auto"/>
            <w:left w:val="none" w:sz="0" w:space="0" w:color="auto"/>
            <w:bottom w:val="none" w:sz="0" w:space="0" w:color="auto"/>
            <w:right w:val="none" w:sz="0" w:space="0" w:color="auto"/>
          </w:divBdr>
        </w:div>
        <w:div w:id="2044088074">
          <w:marLeft w:val="640"/>
          <w:marRight w:val="0"/>
          <w:marTop w:val="0"/>
          <w:marBottom w:val="0"/>
          <w:divBdr>
            <w:top w:val="none" w:sz="0" w:space="0" w:color="auto"/>
            <w:left w:val="none" w:sz="0" w:space="0" w:color="auto"/>
            <w:bottom w:val="none" w:sz="0" w:space="0" w:color="auto"/>
            <w:right w:val="none" w:sz="0" w:space="0" w:color="auto"/>
          </w:divBdr>
        </w:div>
        <w:div w:id="1783841754">
          <w:marLeft w:val="640"/>
          <w:marRight w:val="0"/>
          <w:marTop w:val="0"/>
          <w:marBottom w:val="0"/>
          <w:divBdr>
            <w:top w:val="none" w:sz="0" w:space="0" w:color="auto"/>
            <w:left w:val="none" w:sz="0" w:space="0" w:color="auto"/>
            <w:bottom w:val="none" w:sz="0" w:space="0" w:color="auto"/>
            <w:right w:val="none" w:sz="0" w:space="0" w:color="auto"/>
          </w:divBdr>
        </w:div>
        <w:div w:id="80303090">
          <w:marLeft w:val="640"/>
          <w:marRight w:val="0"/>
          <w:marTop w:val="0"/>
          <w:marBottom w:val="0"/>
          <w:divBdr>
            <w:top w:val="none" w:sz="0" w:space="0" w:color="auto"/>
            <w:left w:val="none" w:sz="0" w:space="0" w:color="auto"/>
            <w:bottom w:val="none" w:sz="0" w:space="0" w:color="auto"/>
            <w:right w:val="none" w:sz="0" w:space="0" w:color="auto"/>
          </w:divBdr>
        </w:div>
        <w:div w:id="456872746">
          <w:marLeft w:val="640"/>
          <w:marRight w:val="0"/>
          <w:marTop w:val="0"/>
          <w:marBottom w:val="0"/>
          <w:divBdr>
            <w:top w:val="none" w:sz="0" w:space="0" w:color="auto"/>
            <w:left w:val="none" w:sz="0" w:space="0" w:color="auto"/>
            <w:bottom w:val="none" w:sz="0" w:space="0" w:color="auto"/>
            <w:right w:val="none" w:sz="0" w:space="0" w:color="auto"/>
          </w:divBdr>
        </w:div>
        <w:div w:id="1682197482">
          <w:marLeft w:val="640"/>
          <w:marRight w:val="0"/>
          <w:marTop w:val="0"/>
          <w:marBottom w:val="0"/>
          <w:divBdr>
            <w:top w:val="none" w:sz="0" w:space="0" w:color="auto"/>
            <w:left w:val="none" w:sz="0" w:space="0" w:color="auto"/>
            <w:bottom w:val="none" w:sz="0" w:space="0" w:color="auto"/>
            <w:right w:val="none" w:sz="0" w:space="0" w:color="auto"/>
          </w:divBdr>
        </w:div>
        <w:div w:id="1340499867">
          <w:marLeft w:val="640"/>
          <w:marRight w:val="0"/>
          <w:marTop w:val="0"/>
          <w:marBottom w:val="0"/>
          <w:divBdr>
            <w:top w:val="none" w:sz="0" w:space="0" w:color="auto"/>
            <w:left w:val="none" w:sz="0" w:space="0" w:color="auto"/>
            <w:bottom w:val="none" w:sz="0" w:space="0" w:color="auto"/>
            <w:right w:val="none" w:sz="0" w:space="0" w:color="auto"/>
          </w:divBdr>
        </w:div>
        <w:div w:id="693967683">
          <w:marLeft w:val="640"/>
          <w:marRight w:val="0"/>
          <w:marTop w:val="0"/>
          <w:marBottom w:val="0"/>
          <w:divBdr>
            <w:top w:val="none" w:sz="0" w:space="0" w:color="auto"/>
            <w:left w:val="none" w:sz="0" w:space="0" w:color="auto"/>
            <w:bottom w:val="none" w:sz="0" w:space="0" w:color="auto"/>
            <w:right w:val="none" w:sz="0" w:space="0" w:color="auto"/>
          </w:divBdr>
        </w:div>
        <w:div w:id="669333528">
          <w:marLeft w:val="640"/>
          <w:marRight w:val="0"/>
          <w:marTop w:val="0"/>
          <w:marBottom w:val="0"/>
          <w:divBdr>
            <w:top w:val="none" w:sz="0" w:space="0" w:color="auto"/>
            <w:left w:val="none" w:sz="0" w:space="0" w:color="auto"/>
            <w:bottom w:val="none" w:sz="0" w:space="0" w:color="auto"/>
            <w:right w:val="none" w:sz="0" w:space="0" w:color="auto"/>
          </w:divBdr>
        </w:div>
        <w:div w:id="1183934667">
          <w:marLeft w:val="640"/>
          <w:marRight w:val="0"/>
          <w:marTop w:val="0"/>
          <w:marBottom w:val="0"/>
          <w:divBdr>
            <w:top w:val="none" w:sz="0" w:space="0" w:color="auto"/>
            <w:left w:val="none" w:sz="0" w:space="0" w:color="auto"/>
            <w:bottom w:val="none" w:sz="0" w:space="0" w:color="auto"/>
            <w:right w:val="none" w:sz="0" w:space="0" w:color="auto"/>
          </w:divBdr>
        </w:div>
        <w:div w:id="375275224">
          <w:marLeft w:val="640"/>
          <w:marRight w:val="0"/>
          <w:marTop w:val="0"/>
          <w:marBottom w:val="0"/>
          <w:divBdr>
            <w:top w:val="none" w:sz="0" w:space="0" w:color="auto"/>
            <w:left w:val="none" w:sz="0" w:space="0" w:color="auto"/>
            <w:bottom w:val="none" w:sz="0" w:space="0" w:color="auto"/>
            <w:right w:val="none" w:sz="0" w:space="0" w:color="auto"/>
          </w:divBdr>
        </w:div>
        <w:div w:id="1050108707">
          <w:marLeft w:val="640"/>
          <w:marRight w:val="0"/>
          <w:marTop w:val="0"/>
          <w:marBottom w:val="0"/>
          <w:divBdr>
            <w:top w:val="none" w:sz="0" w:space="0" w:color="auto"/>
            <w:left w:val="none" w:sz="0" w:space="0" w:color="auto"/>
            <w:bottom w:val="none" w:sz="0" w:space="0" w:color="auto"/>
            <w:right w:val="none" w:sz="0" w:space="0" w:color="auto"/>
          </w:divBdr>
        </w:div>
        <w:div w:id="652179530">
          <w:marLeft w:val="640"/>
          <w:marRight w:val="0"/>
          <w:marTop w:val="0"/>
          <w:marBottom w:val="0"/>
          <w:divBdr>
            <w:top w:val="none" w:sz="0" w:space="0" w:color="auto"/>
            <w:left w:val="none" w:sz="0" w:space="0" w:color="auto"/>
            <w:bottom w:val="none" w:sz="0" w:space="0" w:color="auto"/>
            <w:right w:val="none" w:sz="0" w:space="0" w:color="auto"/>
          </w:divBdr>
        </w:div>
        <w:div w:id="1566452990">
          <w:marLeft w:val="640"/>
          <w:marRight w:val="0"/>
          <w:marTop w:val="0"/>
          <w:marBottom w:val="0"/>
          <w:divBdr>
            <w:top w:val="none" w:sz="0" w:space="0" w:color="auto"/>
            <w:left w:val="none" w:sz="0" w:space="0" w:color="auto"/>
            <w:bottom w:val="none" w:sz="0" w:space="0" w:color="auto"/>
            <w:right w:val="none" w:sz="0" w:space="0" w:color="auto"/>
          </w:divBdr>
        </w:div>
        <w:div w:id="1197156099">
          <w:marLeft w:val="640"/>
          <w:marRight w:val="0"/>
          <w:marTop w:val="0"/>
          <w:marBottom w:val="0"/>
          <w:divBdr>
            <w:top w:val="none" w:sz="0" w:space="0" w:color="auto"/>
            <w:left w:val="none" w:sz="0" w:space="0" w:color="auto"/>
            <w:bottom w:val="none" w:sz="0" w:space="0" w:color="auto"/>
            <w:right w:val="none" w:sz="0" w:space="0" w:color="auto"/>
          </w:divBdr>
        </w:div>
        <w:div w:id="310865851">
          <w:marLeft w:val="640"/>
          <w:marRight w:val="0"/>
          <w:marTop w:val="0"/>
          <w:marBottom w:val="0"/>
          <w:divBdr>
            <w:top w:val="none" w:sz="0" w:space="0" w:color="auto"/>
            <w:left w:val="none" w:sz="0" w:space="0" w:color="auto"/>
            <w:bottom w:val="none" w:sz="0" w:space="0" w:color="auto"/>
            <w:right w:val="none" w:sz="0" w:space="0" w:color="auto"/>
          </w:divBdr>
        </w:div>
        <w:div w:id="455223197">
          <w:marLeft w:val="640"/>
          <w:marRight w:val="0"/>
          <w:marTop w:val="0"/>
          <w:marBottom w:val="0"/>
          <w:divBdr>
            <w:top w:val="none" w:sz="0" w:space="0" w:color="auto"/>
            <w:left w:val="none" w:sz="0" w:space="0" w:color="auto"/>
            <w:bottom w:val="none" w:sz="0" w:space="0" w:color="auto"/>
            <w:right w:val="none" w:sz="0" w:space="0" w:color="auto"/>
          </w:divBdr>
        </w:div>
        <w:div w:id="2111656747">
          <w:marLeft w:val="640"/>
          <w:marRight w:val="0"/>
          <w:marTop w:val="0"/>
          <w:marBottom w:val="0"/>
          <w:divBdr>
            <w:top w:val="none" w:sz="0" w:space="0" w:color="auto"/>
            <w:left w:val="none" w:sz="0" w:space="0" w:color="auto"/>
            <w:bottom w:val="none" w:sz="0" w:space="0" w:color="auto"/>
            <w:right w:val="none" w:sz="0" w:space="0" w:color="auto"/>
          </w:divBdr>
        </w:div>
        <w:div w:id="542450784">
          <w:marLeft w:val="640"/>
          <w:marRight w:val="0"/>
          <w:marTop w:val="0"/>
          <w:marBottom w:val="0"/>
          <w:divBdr>
            <w:top w:val="none" w:sz="0" w:space="0" w:color="auto"/>
            <w:left w:val="none" w:sz="0" w:space="0" w:color="auto"/>
            <w:bottom w:val="none" w:sz="0" w:space="0" w:color="auto"/>
            <w:right w:val="none" w:sz="0" w:space="0" w:color="auto"/>
          </w:divBdr>
        </w:div>
        <w:div w:id="1589070602">
          <w:marLeft w:val="640"/>
          <w:marRight w:val="0"/>
          <w:marTop w:val="0"/>
          <w:marBottom w:val="0"/>
          <w:divBdr>
            <w:top w:val="none" w:sz="0" w:space="0" w:color="auto"/>
            <w:left w:val="none" w:sz="0" w:space="0" w:color="auto"/>
            <w:bottom w:val="none" w:sz="0" w:space="0" w:color="auto"/>
            <w:right w:val="none" w:sz="0" w:space="0" w:color="auto"/>
          </w:divBdr>
        </w:div>
        <w:div w:id="773207938">
          <w:marLeft w:val="640"/>
          <w:marRight w:val="0"/>
          <w:marTop w:val="0"/>
          <w:marBottom w:val="0"/>
          <w:divBdr>
            <w:top w:val="none" w:sz="0" w:space="0" w:color="auto"/>
            <w:left w:val="none" w:sz="0" w:space="0" w:color="auto"/>
            <w:bottom w:val="none" w:sz="0" w:space="0" w:color="auto"/>
            <w:right w:val="none" w:sz="0" w:space="0" w:color="auto"/>
          </w:divBdr>
        </w:div>
        <w:div w:id="199249046">
          <w:marLeft w:val="640"/>
          <w:marRight w:val="0"/>
          <w:marTop w:val="0"/>
          <w:marBottom w:val="0"/>
          <w:divBdr>
            <w:top w:val="none" w:sz="0" w:space="0" w:color="auto"/>
            <w:left w:val="none" w:sz="0" w:space="0" w:color="auto"/>
            <w:bottom w:val="none" w:sz="0" w:space="0" w:color="auto"/>
            <w:right w:val="none" w:sz="0" w:space="0" w:color="auto"/>
          </w:divBdr>
        </w:div>
        <w:div w:id="1638759172">
          <w:marLeft w:val="640"/>
          <w:marRight w:val="0"/>
          <w:marTop w:val="0"/>
          <w:marBottom w:val="0"/>
          <w:divBdr>
            <w:top w:val="none" w:sz="0" w:space="0" w:color="auto"/>
            <w:left w:val="none" w:sz="0" w:space="0" w:color="auto"/>
            <w:bottom w:val="none" w:sz="0" w:space="0" w:color="auto"/>
            <w:right w:val="none" w:sz="0" w:space="0" w:color="auto"/>
          </w:divBdr>
        </w:div>
        <w:div w:id="1184630673">
          <w:marLeft w:val="640"/>
          <w:marRight w:val="0"/>
          <w:marTop w:val="0"/>
          <w:marBottom w:val="0"/>
          <w:divBdr>
            <w:top w:val="none" w:sz="0" w:space="0" w:color="auto"/>
            <w:left w:val="none" w:sz="0" w:space="0" w:color="auto"/>
            <w:bottom w:val="none" w:sz="0" w:space="0" w:color="auto"/>
            <w:right w:val="none" w:sz="0" w:space="0" w:color="auto"/>
          </w:divBdr>
        </w:div>
        <w:div w:id="1359620583">
          <w:marLeft w:val="640"/>
          <w:marRight w:val="0"/>
          <w:marTop w:val="0"/>
          <w:marBottom w:val="0"/>
          <w:divBdr>
            <w:top w:val="none" w:sz="0" w:space="0" w:color="auto"/>
            <w:left w:val="none" w:sz="0" w:space="0" w:color="auto"/>
            <w:bottom w:val="none" w:sz="0" w:space="0" w:color="auto"/>
            <w:right w:val="none" w:sz="0" w:space="0" w:color="auto"/>
          </w:divBdr>
        </w:div>
        <w:div w:id="409235438">
          <w:marLeft w:val="640"/>
          <w:marRight w:val="0"/>
          <w:marTop w:val="0"/>
          <w:marBottom w:val="0"/>
          <w:divBdr>
            <w:top w:val="none" w:sz="0" w:space="0" w:color="auto"/>
            <w:left w:val="none" w:sz="0" w:space="0" w:color="auto"/>
            <w:bottom w:val="none" w:sz="0" w:space="0" w:color="auto"/>
            <w:right w:val="none" w:sz="0" w:space="0" w:color="auto"/>
          </w:divBdr>
        </w:div>
        <w:div w:id="1309431335">
          <w:marLeft w:val="640"/>
          <w:marRight w:val="0"/>
          <w:marTop w:val="0"/>
          <w:marBottom w:val="0"/>
          <w:divBdr>
            <w:top w:val="none" w:sz="0" w:space="0" w:color="auto"/>
            <w:left w:val="none" w:sz="0" w:space="0" w:color="auto"/>
            <w:bottom w:val="none" w:sz="0" w:space="0" w:color="auto"/>
            <w:right w:val="none" w:sz="0" w:space="0" w:color="auto"/>
          </w:divBdr>
        </w:div>
        <w:div w:id="434374554">
          <w:marLeft w:val="640"/>
          <w:marRight w:val="0"/>
          <w:marTop w:val="0"/>
          <w:marBottom w:val="0"/>
          <w:divBdr>
            <w:top w:val="none" w:sz="0" w:space="0" w:color="auto"/>
            <w:left w:val="none" w:sz="0" w:space="0" w:color="auto"/>
            <w:bottom w:val="none" w:sz="0" w:space="0" w:color="auto"/>
            <w:right w:val="none" w:sz="0" w:space="0" w:color="auto"/>
          </w:divBdr>
        </w:div>
        <w:div w:id="1444107377">
          <w:marLeft w:val="640"/>
          <w:marRight w:val="0"/>
          <w:marTop w:val="0"/>
          <w:marBottom w:val="0"/>
          <w:divBdr>
            <w:top w:val="none" w:sz="0" w:space="0" w:color="auto"/>
            <w:left w:val="none" w:sz="0" w:space="0" w:color="auto"/>
            <w:bottom w:val="none" w:sz="0" w:space="0" w:color="auto"/>
            <w:right w:val="none" w:sz="0" w:space="0" w:color="auto"/>
          </w:divBdr>
        </w:div>
        <w:div w:id="1371373200">
          <w:marLeft w:val="640"/>
          <w:marRight w:val="0"/>
          <w:marTop w:val="0"/>
          <w:marBottom w:val="0"/>
          <w:divBdr>
            <w:top w:val="none" w:sz="0" w:space="0" w:color="auto"/>
            <w:left w:val="none" w:sz="0" w:space="0" w:color="auto"/>
            <w:bottom w:val="none" w:sz="0" w:space="0" w:color="auto"/>
            <w:right w:val="none" w:sz="0" w:space="0" w:color="auto"/>
          </w:divBdr>
        </w:div>
        <w:div w:id="2123919953">
          <w:marLeft w:val="640"/>
          <w:marRight w:val="0"/>
          <w:marTop w:val="0"/>
          <w:marBottom w:val="0"/>
          <w:divBdr>
            <w:top w:val="none" w:sz="0" w:space="0" w:color="auto"/>
            <w:left w:val="none" w:sz="0" w:space="0" w:color="auto"/>
            <w:bottom w:val="none" w:sz="0" w:space="0" w:color="auto"/>
            <w:right w:val="none" w:sz="0" w:space="0" w:color="auto"/>
          </w:divBdr>
        </w:div>
        <w:div w:id="660161278">
          <w:marLeft w:val="640"/>
          <w:marRight w:val="0"/>
          <w:marTop w:val="0"/>
          <w:marBottom w:val="0"/>
          <w:divBdr>
            <w:top w:val="none" w:sz="0" w:space="0" w:color="auto"/>
            <w:left w:val="none" w:sz="0" w:space="0" w:color="auto"/>
            <w:bottom w:val="none" w:sz="0" w:space="0" w:color="auto"/>
            <w:right w:val="none" w:sz="0" w:space="0" w:color="auto"/>
          </w:divBdr>
        </w:div>
        <w:div w:id="1080709401">
          <w:marLeft w:val="640"/>
          <w:marRight w:val="0"/>
          <w:marTop w:val="0"/>
          <w:marBottom w:val="0"/>
          <w:divBdr>
            <w:top w:val="none" w:sz="0" w:space="0" w:color="auto"/>
            <w:left w:val="none" w:sz="0" w:space="0" w:color="auto"/>
            <w:bottom w:val="none" w:sz="0" w:space="0" w:color="auto"/>
            <w:right w:val="none" w:sz="0" w:space="0" w:color="auto"/>
          </w:divBdr>
        </w:div>
        <w:div w:id="912280678">
          <w:marLeft w:val="640"/>
          <w:marRight w:val="0"/>
          <w:marTop w:val="0"/>
          <w:marBottom w:val="0"/>
          <w:divBdr>
            <w:top w:val="none" w:sz="0" w:space="0" w:color="auto"/>
            <w:left w:val="none" w:sz="0" w:space="0" w:color="auto"/>
            <w:bottom w:val="none" w:sz="0" w:space="0" w:color="auto"/>
            <w:right w:val="none" w:sz="0" w:space="0" w:color="auto"/>
          </w:divBdr>
        </w:div>
        <w:div w:id="2074500147">
          <w:marLeft w:val="640"/>
          <w:marRight w:val="0"/>
          <w:marTop w:val="0"/>
          <w:marBottom w:val="0"/>
          <w:divBdr>
            <w:top w:val="none" w:sz="0" w:space="0" w:color="auto"/>
            <w:left w:val="none" w:sz="0" w:space="0" w:color="auto"/>
            <w:bottom w:val="none" w:sz="0" w:space="0" w:color="auto"/>
            <w:right w:val="none" w:sz="0" w:space="0" w:color="auto"/>
          </w:divBdr>
        </w:div>
        <w:div w:id="944848097">
          <w:marLeft w:val="640"/>
          <w:marRight w:val="0"/>
          <w:marTop w:val="0"/>
          <w:marBottom w:val="0"/>
          <w:divBdr>
            <w:top w:val="none" w:sz="0" w:space="0" w:color="auto"/>
            <w:left w:val="none" w:sz="0" w:space="0" w:color="auto"/>
            <w:bottom w:val="none" w:sz="0" w:space="0" w:color="auto"/>
            <w:right w:val="none" w:sz="0" w:space="0" w:color="auto"/>
          </w:divBdr>
        </w:div>
        <w:div w:id="685206895">
          <w:marLeft w:val="640"/>
          <w:marRight w:val="0"/>
          <w:marTop w:val="0"/>
          <w:marBottom w:val="0"/>
          <w:divBdr>
            <w:top w:val="none" w:sz="0" w:space="0" w:color="auto"/>
            <w:left w:val="none" w:sz="0" w:space="0" w:color="auto"/>
            <w:bottom w:val="none" w:sz="0" w:space="0" w:color="auto"/>
            <w:right w:val="none" w:sz="0" w:space="0" w:color="auto"/>
          </w:divBdr>
        </w:div>
        <w:div w:id="491870292">
          <w:marLeft w:val="640"/>
          <w:marRight w:val="0"/>
          <w:marTop w:val="0"/>
          <w:marBottom w:val="0"/>
          <w:divBdr>
            <w:top w:val="none" w:sz="0" w:space="0" w:color="auto"/>
            <w:left w:val="none" w:sz="0" w:space="0" w:color="auto"/>
            <w:bottom w:val="none" w:sz="0" w:space="0" w:color="auto"/>
            <w:right w:val="none" w:sz="0" w:space="0" w:color="auto"/>
          </w:divBdr>
        </w:div>
        <w:div w:id="840437481">
          <w:marLeft w:val="640"/>
          <w:marRight w:val="0"/>
          <w:marTop w:val="0"/>
          <w:marBottom w:val="0"/>
          <w:divBdr>
            <w:top w:val="none" w:sz="0" w:space="0" w:color="auto"/>
            <w:left w:val="none" w:sz="0" w:space="0" w:color="auto"/>
            <w:bottom w:val="none" w:sz="0" w:space="0" w:color="auto"/>
            <w:right w:val="none" w:sz="0" w:space="0" w:color="auto"/>
          </w:divBdr>
        </w:div>
        <w:div w:id="1048796023">
          <w:marLeft w:val="640"/>
          <w:marRight w:val="0"/>
          <w:marTop w:val="0"/>
          <w:marBottom w:val="0"/>
          <w:divBdr>
            <w:top w:val="none" w:sz="0" w:space="0" w:color="auto"/>
            <w:left w:val="none" w:sz="0" w:space="0" w:color="auto"/>
            <w:bottom w:val="none" w:sz="0" w:space="0" w:color="auto"/>
            <w:right w:val="none" w:sz="0" w:space="0" w:color="auto"/>
          </w:divBdr>
        </w:div>
        <w:div w:id="1944923356">
          <w:marLeft w:val="640"/>
          <w:marRight w:val="0"/>
          <w:marTop w:val="0"/>
          <w:marBottom w:val="0"/>
          <w:divBdr>
            <w:top w:val="none" w:sz="0" w:space="0" w:color="auto"/>
            <w:left w:val="none" w:sz="0" w:space="0" w:color="auto"/>
            <w:bottom w:val="none" w:sz="0" w:space="0" w:color="auto"/>
            <w:right w:val="none" w:sz="0" w:space="0" w:color="auto"/>
          </w:divBdr>
        </w:div>
        <w:div w:id="2013599895">
          <w:marLeft w:val="640"/>
          <w:marRight w:val="0"/>
          <w:marTop w:val="0"/>
          <w:marBottom w:val="0"/>
          <w:divBdr>
            <w:top w:val="none" w:sz="0" w:space="0" w:color="auto"/>
            <w:left w:val="none" w:sz="0" w:space="0" w:color="auto"/>
            <w:bottom w:val="none" w:sz="0" w:space="0" w:color="auto"/>
            <w:right w:val="none" w:sz="0" w:space="0" w:color="auto"/>
          </w:divBdr>
        </w:div>
        <w:div w:id="679816555">
          <w:marLeft w:val="640"/>
          <w:marRight w:val="0"/>
          <w:marTop w:val="0"/>
          <w:marBottom w:val="0"/>
          <w:divBdr>
            <w:top w:val="none" w:sz="0" w:space="0" w:color="auto"/>
            <w:left w:val="none" w:sz="0" w:space="0" w:color="auto"/>
            <w:bottom w:val="none" w:sz="0" w:space="0" w:color="auto"/>
            <w:right w:val="none" w:sz="0" w:space="0" w:color="auto"/>
          </w:divBdr>
        </w:div>
        <w:div w:id="1939368658">
          <w:marLeft w:val="640"/>
          <w:marRight w:val="0"/>
          <w:marTop w:val="0"/>
          <w:marBottom w:val="0"/>
          <w:divBdr>
            <w:top w:val="none" w:sz="0" w:space="0" w:color="auto"/>
            <w:left w:val="none" w:sz="0" w:space="0" w:color="auto"/>
            <w:bottom w:val="none" w:sz="0" w:space="0" w:color="auto"/>
            <w:right w:val="none" w:sz="0" w:space="0" w:color="auto"/>
          </w:divBdr>
        </w:div>
        <w:div w:id="1636645637">
          <w:marLeft w:val="640"/>
          <w:marRight w:val="0"/>
          <w:marTop w:val="0"/>
          <w:marBottom w:val="0"/>
          <w:divBdr>
            <w:top w:val="none" w:sz="0" w:space="0" w:color="auto"/>
            <w:left w:val="none" w:sz="0" w:space="0" w:color="auto"/>
            <w:bottom w:val="none" w:sz="0" w:space="0" w:color="auto"/>
            <w:right w:val="none" w:sz="0" w:space="0" w:color="auto"/>
          </w:divBdr>
        </w:div>
        <w:div w:id="923799954">
          <w:marLeft w:val="640"/>
          <w:marRight w:val="0"/>
          <w:marTop w:val="0"/>
          <w:marBottom w:val="0"/>
          <w:divBdr>
            <w:top w:val="none" w:sz="0" w:space="0" w:color="auto"/>
            <w:left w:val="none" w:sz="0" w:space="0" w:color="auto"/>
            <w:bottom w:val="none" w:sz="0" w:space="0" w:color="auto"/>
            <w:right w:val="none" w:sz="0" w:space="0" w:color="auto"/>
          </w:divBdr>
        </w:div>
        <w:div w:id="572011823">
          <w:marLeft w:val="640"/>
          <w:marRight w:val="0"/>
          <w:marTop w:val="0"/>
          <w:marBottom w:val="0"/>
          <w:divBdr>
            <w:top w:val="none" w:sz="0" w:space="0" w:color="auto"/>
            <w:left w:val="none" w:sz="0" w:space="0" w:color="auto"/>
            <w:bottom w:val="none" w:sz="0" w:space="0" w:color="auto"/>
            <w:right w:val="none" w:sz="0" w:space="0" w:color="auto"/>
          </w:divBdr>
        </w:div>
        <w:div w:id="1297567272">
          <w:marLeft w:val="640"/>
          <w:marRight w:val="0"/>
          <w:marTop w:val="0"/>
          <w:marBottom w:val="0"/>
          <w:divBdr>
            <w:top w:val="none" w:sz="0" w:space="0" w:color="auto"/>
            <w:left w:val="none" w:sz="0" w:space="0" w:color="auto"/>
            <w:bottom w:val="none" w:sz="0" w:space="0" w:color="auto"/>
            <w:right w:val="none" w:sz="0" w:space="0" w:color="auto"/>
          </w:divBdr>
        </w:div>
        <w:div w:id="1063287027">
          <w:marLeft w:val="640"/>
          <w:marRight w:val="0"/>
          <w:marTop w:val="0"/>
          <w:marBottom w:val="0"/>
          <w:divBdr>
            <w:top w:val="none" w:sz="0" w:space="0" w:color="auto"/>
            <w:left w:val="none" w:sz="0" w:space="0" w:color="auto"/>
            <w:bottom w:val="none" w:sz="0" w:space="0" w:color="auto"/>
            <w:right w:val="none" w:sz="0" w:space="0" w:color="auto"/>
          </w:divBdr>
        </w:div>
        <w:div w:id="419374966">
          <w:marLeft w:val="640"/>
          <w:marRight w:val="0"/>
          <w:marTop w:val="0"/>
          <w:marBottom w:val="0"/>
          <w:divBdr>
            <w:top w:val="none" w:sz="0" w:space="0" w:color="auto"/>
            <w:left w:val="none" w:sz="0" w:space="0" w:color="auto"/>
            <w:bottom w:val="none" w:sz="0" w:space="0" w:color="auto"/>
            <w:right w:val="none" w:sz="0" w:space="0" w:color="auto"/>
          </w:divBdr>
        </w:div>
        <w:div w:id="2040425178">
          <w:marLeft w:val="640"/>
          <w:marRight w:val="0"/>
          <w:marTop w:val="0"/>
          <w:marBottom w:val="0"/>
          <w:divBdr>
            <w:top w:val="none" w:sz="0" w:space="0" w:color="auto"/>
            <w:left w:val="none" w:sz="0" w:space="0" w:color="auto"/>
            <w:bottom w:val="none" w:sz="0" w:space="0" w:color="auto"/>
            <w:right w:val="none" w:sz="0" w:space="0" w:color="auto"/>
          </w:divBdr>
        </w:div>
        <w:div w:id="1092432019">
          <w:marLeft w:val="640"/>
          <w:marRight w:val="0"/>
          <w:marTop w:val="0"/>
          <w:marBottom w:val="0"/>
          <w:divBdr>
            <w:top w:val="none" w:sz="0" w:space="0" w:color="auto"/>
            <w:left w:val="none" w:sz="0" w:space="0" w:color="auto"/>
            <w:bottom w:val="none" w:sz="0" w:space="0" w:color="auto"/>
            <w:right w:val="none" w:sz="0" w:space="0" w:color="auto"/>
          </w:divBdr>
        </w:div>
        <w:div w:id="464469718">
          <w:marLeft w:val="640"/>
          <w:marRight w:val="0"/>
          <w:marTop w:val="0"/>
          <w:marBottom w:val="0"/>
          <w:divBdr>
            <w:top w:val="none" w:sz="0" w:space="0" w:color="auto"/>
            <w:left w:val="none" w:sz="0" w:space="0" w:color="auto"/>
            <w:bottom w:val="none" w:sz="0" w:space="0" w:color="auto"/>
            <w:right w:val="none" w:sz="0" w:space="0" w:color="auto"/>
          </w:divBdr>
        </w:div>
        <w:div w:id="1546405160">
          <w:marLeft w:val="640"/>
          <w:marRight w:val="0"/>
          <w:marTop w:val="0"/>
          <w:marBottom w:val="0"/>
          <w:divBdr>
            <w:top w:val="none" w:sz="0" w:space="0" w:color="auto"/>
            <w:left w:val="none" w:sz="0" w:space="0" w:color="auto"/>
            <w:bottom w:val="none" w:sz="0" w:space="0" w:color="auto"/>
            <w:right w:val="none" w:sz="0" w:space="0" w:color="auto"/>
          </w:divBdr>
        </w:div>
        <w:div w:id="613440593">
          <w:marLeft w:val="640"/>
          <w:marRight w:val="0"/>
          <w:marTop w:val="0"/>
          <w:marBottom w:val="0"/>
          <w:divBdr>
            <w:top w:val="none" w:sz="0" w:space="0" w:color="auto"/>
            <w:left w:val="none" w:sz="0" w:space="0" w:color="auto"/>
            <w:bottom w:val="none" w:sz="0" w:space="0" w:color="auto"/>
            <w:right w:val="none" w:sz="0" w:space="0" w:color="auto"/>
          </w:divBdr>
        </w:div>
        <w:div w:id="823737528">
          <w:marLeft w:val="640"/>
          <w:marRight w:val="0"/>
          <w:marTop w:val="0"/>
          <w:marBottom w:val="0"/>
          <w:divBdr>
            <w:top w:val="none" w:sz="0" w:space="0" w:color="auto"/>
            <w:left w:val="none" w:sz="0" w:space="0" w:color="auto"/>
            <w:bottom w:val="none" w:sz="0" w:space="0" w:color="auto"/>
            <w:right w:val="none" w:sz="0" w:space="0" w:color="auto"/>
          </w:divBdr>
        </w:div>
        <w:div w:id="908539296">
          <w:marLeft w:val="640"/>
          <w:marRight w:val="0"/>
          <w:marTop w:val="0"/>
          <w:marBottom w:val="0"/>
          <w:divBdr>
            <w:top w:val="none" w:sz="0" w:space="0" w:color="auto"/>
            <w:left w:val="none" w:sz="0" w:space="0" w:color="auto"/>
            <w:bottom w:val="none" w:sz="0" w:space="0" w:color="auto"/>
            <w:right w:val="none" w:sz="0" w:space="0" w:color="auto"/>
          </w:divBdr>
        </w:div>
        <w:div w:id="380711819">
          <w:marLeft w:val="640"/>
          <w:marRight w:val="0"/>
          <w:marTop w:val="0"/>
          <w:marBottom w:val="0"/>
          <w:divBdr>
            <w:top w:val="none" w:sz="0" w:space="0" w:color="auto"/>
            <w:left w:val="none" w:sz="0" w:space="0" w:color="auto"/>
            <w:bottom w:val="none" w:sz="0" w:space="0" w:color="auto"/>
            <w:right w:val="none" w:sz="0" w:space="0" w:color="auto"/>
          </w:divBdr>
        </w:div>
        <w:div w:id="13070841">
          <w:marLeft w:val="640"/>
          <w:marRight w:val="0"/>
          <w:marTop w:val="0"/>
          <w:marBottom w:val="0"/>
          <w:divBdr>
            <w:top w:val="none" w:sz="0" w:space="0" w:color="auto"/>
            <w:left w:val="none" w:sz="0" w:space="0" w:color="auto"/>
            <w:bottom w:val="none" w:sz="0" w:space="0" w:color="auto"/>
            <w:right w:val="none" w:sz="0" w:space="0" w:color="auto"/>
          </w:divBdr>
        </w:div>
        <w:div w:id="2069300024">
          <w:marLeft w:val="640"/>
          <w:marRight w:val="0"/>
          <w:marTop w:val="0"/>
          <w:marBottom w:val="0"/>
          <w:divBdr>
            <w:top w:val="none" w:sz="0" w:space="0" w:color="auto"/>
            <w:left w:val="none" w:sz="0" w:space="0" w:color="auto"/>
            <w:bottom w:val="none" w:sz="0" w:space="0" w:color="auto"/>
            <w:right w:val="none" w:sz="0" w:space="0" w:color="auto"/>
          </w:divBdr>
        </w:div>
        <w:div w:id="15355313">
          <w:marLeft w:val="640"/>
          <w:marRight w:val="0"/>
          <w:marTop w:val="0"/>
          <w:marBottom w:val="0"/>
          <w:divBdr>
            <w:top w:val="none" w:sz="0" w:space="0" w:color="auto"/>
            <w:left w:val="none" w:sz="0" w:space="0" w:color="auto"/>
            <w:bottom w:val="none" w:sz="0" w:space="0" w:color="auto"/>
            <w:right w:val="none" w:sz="0" w:space="0" w:color="auto"/>
          </w:divBdr>
        </w:div>
        <w:div w:id="220598860">
          <w:marLeft w:val="640"/>
          <w:marRight w:val="0"/>
          <w:marTop w:val="0"/>
          <w:marBottom w:val="0"/>
          <w:divBdr>
            <w:top w:val="none" w:sz="0" w:space="0" w:color="auto"/>
            <w:left w:val="none" w:sz="0" w:space="0" w:color="auto"/>
            <w:bottom w:val="none" w:sz="0" w:space="0" w:color="auto"/>
            <w:right w:val="none" w:sz="0" w:space="0" w:color="auto"/>
          </w:divBdr>
        </w:div>
        <w:div w:id="954482549">
          <w:marLeft w:val="640"/>
          <w:marRight w:val="0"/>
          <w:marTop w:val="0"/>
          <w:marBottom w:val="0"/>
          <w:divBdr>
            <w:top w:val="none" w:sz="0" w:space="0" w:color="auto"/>
            <w:left w:val="none" w:sz="0" w:space="0" w:color="auto"/>
            <w:bottom w:val="none" w:sz="0" w:space="0" w:color="auto"/>
            <w:right w:val="none" w:sz="0" w:space="0" w:color="auto"/>
          </w:divBdr>
        </w:div>
        <w:div w:id="1792287095">
          <w:marLeft w:val="640"/>
          <w:marRight w:val="0"/>
          <w:marTop w:val="0"/>
          <w:marBottom w:val="0"/>
          <w:divBdr>
            <w:top w:val="none" w:sz="0" w:space="0" w:color="auto"/>
            <w:left w:val="none" w:sz="0" w:space="0" w:color="auto"/>
            <w:bottom w:val="none" w:sz="0" w:space="0" w:color="auto"/>
            <w:right w:val="none" w:sz="0" w:space="0" w:color="auto"/>
          </w:divBdr>
        </w:div>
        <w:div w:id="1542136285">
          <w:marLeft w:val="640"/>
          <w:marRight w:val="0"/>
          <w:marTop w:val="0"/>
          <w:marBottom w:val="0"/>
          <w:divBdr>
            <w:top w:val="none" w:sz="0" w:space="0" w:color="auto"/>
            <w:left w:val="none" w:sz="0" w:space="0" w:color="auto"/>
            <w:bottom w:val="none" w:sz="0" w:space="0" w:color="auto"/>
            <w:right w:val="none" w:sz="0" w:space="0" w:color="auto"/>
          </w:divBdr>
        </w:div>
        <w:div w:id="1998144699">
          <w:marLeft w:val="640"/>
          <w:marRight w:val="0"/>
          <w:marTop w:val="0"/>
          <w:marBottom w:val="0"/>
          <w:divBdr>
            <w:top w:val="none" w:sz="0" w:space="0" w:color="auto"/>
            <w:left w:val="none" w:sz="0" w:space="0" w:color="auto"/>
            <w:bottom w:val="none" w:sz="0" w:space="0" w:color="auto"/>
            <w:right w:val="none" w:sz="0" w:space="0" w:color="auto"/>
          </w:divBdr>
        </w:div>
        <w:div w:id="1839032540">
          <w:marLeft w:val="640"/>
          <w:marRight w:val="0"/>
          <w:marTop w:val="0"/>
          <w:marBottom w:val="0"/>
          <w:divBdr>
            <w:top w:val="none" w:sz="0" w:space="0" w:color="auto"/>
            <w:left w:val="none" w:sz="0" w:space="0" w:color="auto"/>
            <w:bottom w:val="none" w:sz="0" w:space="0" w:color="auto"/>
            <w:right w:val="none" w:sz="0" w:space="0" w:color="auto"/>
          </w:divBdr>
        </w:div>
        <w:div w:id="1616517313">
          <w:marLeft w:val="640"/>
          <w:marRight w:val="0"/>
          <w:marTop w:val="0"/>
          <w:marBottom w:val="0"/>
          <w:divBdr>
            <w:top w:val="none" w:sz="0" w:space="0" w:color="auto"/>
            <w:left w:val="none" w:sz="0" w:space="0" w:color="auto"/>
            <w:bottom w:val="none" w:sz="0" w:space="0" w:color="auto"/>
            <w:right w:val="none" w:sz="0" w:space="0" w:color="auto"/>
          </w:divBdr>
        </w:div>
        <w:div w:id="980578083">
          <w:marLeft w:val="640"/>
          <w:marRight w:val="0"/>
          <w:marTop w:val="0"/>
          <w:marBottom w:val="0"/>
          <w:divBdr>
            <w:top w:val="none" w:sz="0" w:space="0" w:color="auto"/>
            <w:left w:val="none" w:sz="0" w:space="0" w:color="auto"/>
            <w:bottom w:val="none" w:sz="0" w:space="0" w:color="auto"/>
            <w:right w:val="none" w:sz="0" w:space="0" w:color="auto"/>
          </w:divBdr>
        </w:div>
        <w:div w:id="627203449">
          <w:marLeft w:val="640"/>
          <w:marRight w:val="0"/>
          <w:marTop w:val="0"/>
          <w:marBottom w:val="0"/>
          <w:divBdr>
            <w:top w:val="none" w:sz="0" w:space="0" w:color="auto"/>
            <w:left w:val="none" w:sz="0" w:space="0" w:color="auto"/>
            <w:bottom w:val="none" w:sz="0" w:space="0" w:color="auto"/>
            <w:right w:val="none" w:sz="0" w:space="0" w:color="auto"/>
          </w:divBdr>
        </w:div>
        <w:div w:id="1751350706">
          <w:marLeft w:val="640"/>
          <w:marRight w:val="0"/>
          <w:marTop w:val="0"/>
          <w:marBottom w:val="0"/>
          <w:divBdr>
            <w:top w:val="none" w:sz="0" w:space="0" w:color="auto"/>
            <w:left w:val="none" w:sz="0" w:space="0" w:color="auto"/>
            <w:bottom w:val="none" w:sz="0" w:space="0" w:color="auto"/>
            <w:right w:val="none" w:sz="0" w:space="0" w:color="auto"/>
          </w:divBdr>
        </w:div>
        <w:div w:id="1748335393">
          <w:marLeft w:val="640"/>
          <w:marRight w:val="0"/>
          <w:marTop w:val="0"/>
          <w:marBottom w:val="0"/>
          <w:divBdr>
            <w:top w:val="none" w:sz="0" w:space="0" w:color="auto"/>
            <w:left w:val="none" w:sz="0" w:space="0" w:color="auto"/>
            <w:bottom w:val="none" w:sz="0" w:space="0" w:color="auto"/>
            <w:right w:val="none" w:sz="0" w:space="0" w:color="auto"/>
          </w:divBdr>
        </w:div>
        <w:div w:id="1377315902">
          <w:marLeft w:val="640"/>
          <w:marRight w:val="0"/>
          <w:marTop w:val="0"/>
          <w:marBottom w:val="0"/>
          <w:divBdr>
            <w:top w:val="none" w:sz="0" w:space="0" w:color="auto"/>
            <w:left w:val="none" w:sz="0" w:space="0" w:color="auto"/>
            <w:bottom w:val="none" w:sz="0" w:space="0" w:color="auto"/>
            <w:right w:val="none" w:sz="0" w:space="0" w:color="auto"/>
          </w:divBdr>
        </w:div>
        <w:div w:id="125785766">
          <w:marLeft w:val="640"/>
          <w:marRight w:val="0"/>
          <w:marTop w:val="0"/>
          <w:marBottom w:val="0"/>
          <w:divBdr>
            <w:top w:val="none" w:sz="0" w:space="0" w:color="auto"/>
            <w:left w:val="none" w:sz="0" w:space="0" w:color="auto"/>
            <w:bottom w:val="none" w:sz="0" w:space="0" w:color="auto"/>
            <w:right w:val="none" w:sz="0" w:space="0" w:color="auto"/>
          </w:divBdr>
        </w:div>
        <w:div w:id="289559515">
          <w:marLeft w:val="640"/>
          <w:marRight w:val="0"/>
          <w:marTop w:val="0"/>
          <w:marBottom w:val="0"/>
          <w:divBdr>
            <w:top w:val="none" w:sz="0" w:space="0" w:color="auto"/>
            <w:left w:val="none" w:sz="0" w:space="0" w:color="auto"/>
            <w:bottom w:val="none" w:sz="0" w:space="0" w:color="auto"/>
            <w:right w:val="none" w:sz="0" w:space="0" w:color="auto"/>
          </w:divBdr>
        </w:div>
        <w:div w:id="1437991109">
          <w:marLeft w:val="640"/>
          <w:marRight w:val="0"/>
          <w:marTop w:val="0"/>
          <w:marBottom w:val="0"/>
          <w:divBdr>
            <w:top w:val="none" w:sz="0" w:space="0" w:color="auto"/>
            <w:left w:val="none" w:sz="0" w:space="0" w:color="auto"/>
            <w:bottom w:val="none" w:sz="0" w:space="0" w:color="auto"/>
            <w:right w:val="none" w:sz="0" w:space="0" w:color="auto"/>
          </w:divBdr>
        </w:div>
        <w:div w:id="1042481645">
          <w:marLeft w:val="640"/>
          <w:marRight w:val="0"/>
          <w:marTop w:val="0"/>
          <w:marBottom w:val="0"/>
          <w:divBdr>
            <w:top w:val="none" w:sz="0" w:space="0" w:color="auto"/>
            <w:left w:val="none" w:sz="0" w:space="0" w:color="auto"/>
            <w:bottom w:val="none" w:sz="0" w:space="0" w:color="auto"/>
            <w:right w:val="none" w:sz="0" w:space="0" w:color="auto"/>
          </w:divBdr>
        </w:div>
        <w:div w:id="1096172800">
          <w:marLeft w:val="640"/>
          <w:marRight w:val="0"/>
          <w:marTop w:val="0"/>
          <w:marBottom w:val="0"/>
          <w:divBdr>
            <w:top w:val="none" w:sz="0" w:space="0" w:color="auto"/>
            <w:left w:val="none" w:sz="0" w:space="0" w:color="auto"/>
            <w:bottom w:val="none" w:sz="0" w:space="0" w:color="auto"/>
            <w:right w:val="none" w:sz="0" w:space="0" w:color="auto"/>
          </w:divBdr>
        </w:div>
        <w:div w:id="346102056">
          <w:marLeft w:val="640"/>
          <w:marRight w:val="0"/>
          <w:marTop w:val="0"/>
          <w:marBottom w:val="0"/>
          <w:divBdr>
            <w:top w:val="none" w:sz="0" w:space="0" w:color="auto"/>
            <w:left w:val="none" w:sz="0" w:space="0" w:color="auto"/>
            <w:bottom w:val="none" w:sz="0" w:space="0" w:color="auto"/>
            <w:right w:val="none" w:sz="0" w:space="0" w:color="auto"/>
          </w:divBdr>
        </w:div>
        <w:div w:id="1360817332">
          <w:marLeft w:val="640"/>
          <w:marRight w:val="0"/>
          <w:marTop w:val="0"/>
          <w:marBottom w:val="0"/>
          <w:divBdr>
            <w:top w:val="none" w:sz="0" w:space="0" w:color="auto"/>
            <w:left w:val="none" w:sz="0" w:space="0" w:color="auto"/>
            <w:bottom w:val="none" w:sz="0" w:space="0" w:color="auto"/>
            <w:right w:val="none" w:sz="0" w:space="0" w:color="auto"/>
          </w:divBdr>
        </w:div>
        <w:div w:id="2037729905">
          <w:marLeft w:val="640"/>
          <w:marRight w:val="0"/>
          <w:marTop w:val="0"/>
          <w:marBottom w:val="0"/>
          <w:divBdr>
            <w:top w:val="none" w:sz="0" w:space="0" w:color="auto"/>
            <w:left w:val="none" w:sz="0" w:space="0" w:color="auto"/>
            <w:bottom w:val="none" w:sz="0" w:space="0" w:color="auto"/>
            <w:right w:val="none" w:sz="0" w:space="0" w:color="auto"/>
          </w:divBdr>
        </w:div>
        <w:div w:id="95290288">
          <w:marLeft w:val="640"/>
          <w:marRight w:val="0"/>
          <w:marTop w:val="0"/>
          <w:marBottom w:val="0"/>
          <w:divBdr>
            <w:top w:val="none" w:sz="0" w:space="0" w:color="auto"/>
            <w:left w:val="none" w:sz="0" w:space="0" w:color="auto"/>
            <w:bottom w:val="none" w:sz="0" w:space="0" w:color="auto"/>
            <w:right w:val="none" w:sz="0" w:space="0" w:color="auto"/>
          </w:divBdr>
        </w:div>
        <w:div w:id="1696274686">
          <w:marLeft w:val="640"/>
          <w:marRight w:val="0"/>
          <w:marTop w:val="0"/>
          <w:marBottom w:val="0"/>
          <w:divBdr>
            <w:top w:val="none" w:sz="0" w:space="0" w:color="auto"/>
            <w:left w:val="none" w:sz="0" w:space="0" w:color="auto"/>
            <w:bottom w:val="none" w:sz="0" w:space="0" w:color="auto"/>
            <w:right w:val="none" w:sz="0" w:space="0" w:color="auto"/>
          </w:divBdr>
        </w:div>
        <w:div w:id="1732116839">
          <w:marLeft w:val="640"/>
          <w:marRight w:val="0"/>
          <w:marTop w:val="0"/>
          <w:marBottom w:val="0"/>
          <w:divBdr>
            <w:top w:val="none" w:sz="0" w:space="0" w:color="auto"/>
            <w:left w:val="none" w:sz="0" w:space="0" w:color="auto"/>
            <w:bottom w:val="none" w:sz="0" w:space="0" w:color="auto"/>
            <w:right w:val="none" w:sz="0" w:space="0" w:color="auto"/>
          </w:divBdr>
        </w:div>
        <w:div w:id="398287747">
          <w:marLeft w:val="640"/>
          <w:marRight w:val="0"/>
          <w:marTop w:val="0"/>
          <w:marBottom w:val="0"/>
          <w:divBdr>
            <w:top w:val="none" w:sz="0" w:space="0" w:color="auto"/>
            <w:left w:val="none" w:sz="0" w:space="0" w:color="auto"/>
            <w:bottom w:val="none" w:sz="0" w:space="0" w:color="auto"/>
            <w:right w:val="none" w:sz="0" w:space="0" w:color="auto"/>
          </w:divBdr>
        </w:div>
        <w:div w:id="2058896685">
          <w:marLeft w:val="640"/>
          <w:marRight w:val="0"/>
          <w:marTop w:val="0"/>
          <w:marBottom w:val="0"/>
          <w:divBdr>
            <w:top w:val="none" w:sz="0" w:space="0" w:color="auto"/>
            <w:left w:val="none" w:sz="0" w:space="0" w:color="auto"/>
            <w:bottom w:val="none" w:sz="0" w:space="0" w:color="auto"/>
            <w:right w:val="none" w:sz="0" w:space="0" w:color="auto"/>
          </w:divBdr>
        </w:div>
        <w:div w:id="648635311">
          <w:marLeft w:val="640"/>
          <w:marRight w:val="0"/>
          <w:marTop w:val="0"/>
          <w:marBottom w:val="0"/>
          <w:divBdr>
            <w:top w:val="none" w:sz="0" w:space="0" w:color="auto"/>
            <w:left w:val="none" w:sz="0" w:space="0" w:color="auto"/>
            <w:bottom w:val="none" w:sz="0" w:space="0" w:color="auto"/>
            <w:right w:val="none" w:sz="0" w:space="0" w:color="auto"/>
          </w:divBdr>
        </w:div>
        <w:div w:id="403144654">
          <w:marLeft w:val="640"/>
          <w:marRight w:val="0"/>
          <w:marTop w:val="0"/>
          <w:marBottom w:val="0"/>
          <w:divBdr>
            <w:top w:val="none" w:sz="0" w:space="0" w:color="auto"/>
            <w:left w:val="none" w:sz="0" w:space="0" w:color="auto"/>
            <w:bottom w:val="none" w:sz="0" w:space="0" w:color="auto"/>
            <w:right w:val="none" w:sz="0" w:space="0" w:color="auto"/>
          </w:divBdr>
        </w:div>
        <w:div w:id="1721901998">
          <w:marLeft w:val="640"/>
          <w:marRight w:val="0"/>
          <w:marTop w:val="0"/>
          <w:marBottom w:val="0"/>
          <w:divBdr>
            <w:top w:val="none" w:sz="0" w:space="0" w:color="auto"/>
            <w:left w:val="none" w:sz="0" w:space="0" w:color="auto"/>
            <w:bottom w:val="none" w:sz="0" w:space="0" w:color="auto"/>
            <w:right w:val="none" w:sz="0" w:space="0" w:color="auto"/>
          </w:divBdr>
        </w:div>
        <w:div w:id="1364018406">
          <w:marLeft w:val="640"/>
          <w:marRight w:val="0"/>
          <w:marTop w:val="0"/>
          <w:marBottom w:val="0"/>
          <w:divBdr>
            <w:top w:val="none" w:sz="0" w:space="0" w:color="auto"/>
            <w:left w:val="none" w:sz="0" w:space="0" w:color="auto"/>
            <w:bottom w:val="none" w:sz="0" w:space="0" w:color="auto"/>
            <w:right w:val="none" w:sz="0" w:space="0" w:color="auto"/>
          </w:divBdr>
        </w:div>
        <w:div w:id="1352102406">
          <w:marLeft w:val="640"/>
          <w:marRight w:val="0"/>
          <w:marTop w:val="0"/>
          <w:marBottom w:val="0"/>
          <w:divBdr>
            <w:top w:val="none" w:sz="0" w:space="0" w:color="auto"/>
            <w:left w:val="none" w:sz="0" w:space="0" w:color="auto"/>
            <w:bottom w:val="none" w:sz="0" w:space="0" w:color="auto"/>
            <w:right w:val="none" w:sz="0" w:space="0" w:color="auto"/>
          </w:divBdr>
        </w:div>
        <w:div w:id="214508422">
          <w:marLeft w:val="640"/>
          <w:marRight w:val="0"/>
          <w:marTop w:val="0"/>
          <w:marBottom w:val="0"/>
          <w:divBdr>
            <w:top w:val="none" w:sz="0" w:space="0" w:color="auto"/>
            <w:left w:val="none" w:sz="0" w:space="0" w:color="auto"/>
            <w:bottom w:val="none" w:sz="0" w:space="0" w:color="auto"/>
            <w:right w:val="none" w:sz="0" w:space="0" w:color="auto"/>
          </w:divBdr>
        </w:div>
        <w:div w:id="578750830">
          <w:marLeft w:val="640"/>
          <w:marRight w:val="0"/>
          <w:marTop w:val="0"/>
          <w:marBottom w:val="0"/>
          <w:divBdr>
            <w:top w:val="none" w:sz="0" w:space="0" w:color="auto"/>
            <w:left w:val="none" w:sz="0" w:space="0" w:color="auto"/>
            <w:bottom w:val="none" w:sz="0" w:space="0" w:color="auto"/>
            <w:right w:val="none" w:sz="0" w:space="0" w:color="auto"/>
          </w:divBdr>
        </w:div>
        <w:div w:id="533083210">
          <w:marLeft w:val="640"/>
          <w:marRight w:val="0"/>
          <w:marTop w:val="0"/>
          <w:marBottom w:val="0"/>
          <w:divBdr>
            <w:top w:val="none" w:sz="0" w:space="0" w:color="auto"/>
            <w:left w:val="none" w:sz="0" w:space="0" w:color="auto"/>
            <w:bottom w:val="none" w:sz="0" w:space="0" w:color="auto"/>
            <w:right w:val="none" w:sz="0" w:space="0" w:color="auto"/>
          </w:divBdr>
        </w:div>
        <w:div w:id="443500152">
          <w:marLeft w:val="640"/>
          <w:marRight w:val="0"/>
          <w:marTop w:val="0"/>
          <w:marBottom w:val="0"/>
          <w:divBdr>
            <w:top w:val="none" w:sz="0" w:space="0" w:color="auto"/>
            <w:left w:val="none" w:sz="0" w:space="0" w:color="auto"/>
            <w:bottom w:val="none" w:sz="0" w:space="0" w:color="auto"/>
            <w:right w:val="none" w:sz="0" w:space="0" w:color="auto"/>
          </w:divBdr>
        </w:div>
        <w:div w:id="2036686539">
          <w:marLeft w:val="640"/>
          <w:marRight w:val="0"/>
          <w:marTop w:val="0"/>
          <w:marBottom w:val="0"/>
          <w:divBdr>
            <w:top w:val="none" w:sz="0" w:space="0" w:color="auto"/>
            <w:left w:val="none" w:sz="0" w:space="0" w:color="auto"/>
            <w:bottom w:val="none" w:sz="0" w:space="0" w:color="auto"/>
            <w:right w:val="none" w:sz="0" w:space="0" w:color="auto"/>
          </w:divBdr>
        </w:div>
        <w:div w:id="35665853">
          <w:marLeft w:val="640"/>
          <w:marRight w:val="0"/>
          <w:marTop w:val="0"/>
          <w:marBottom w:val="0"/>
          <w:divBdr>
            <w:top w:val="none" w:sz="0" w:space="0" w:color="auto"/>
            <w:left w:val="none" w:sz="0" w:space="0" w:color="auto"/>
            <w:bottom w:val="none" w:sz="0" w:space="0" w:color="auto"/>
            <w:right w:val="none" w:sz="0" w:space="0" w:color="auto"/>
          </w:divBdr>
        </w:div>
        <w:div w:id="168107663">
          <w:marLeft w:val="640"/>
          <w:marRight w:val="0"/>
          <w:marTop w:val="0"/>
          <w:marBottom w:val="0"/>
          <w:divBdr>
            <w:top w:val="none" w:sz="0" w:space="0" w:color="auto"/>
            <w:left w:val="none" w:sz="0" w:space="0" w:color="auto"/>
            <w:bottom w:val="none" w:sz="0" w:space="0" w:color="auto"/>
            <w:right w:val="none" w:sz="0" w:space="0" w:color="auto"/>
          </w:divBdr>
        </w:div>
        <w:div w:id="1714575951">
          <w:marLeft w:val="640"/>
          <w:marRight w:val="0"/>
          <w:marTop w:val="0"/>
          <w:marBottom w:val="0"/>
          <w:divBdr>
            <w:top w:val="none" w:sz="0" w:space="0" w:color="auto"/>
            <w:left w:val="none" w:sz="0" w:space="0" w:color="auto"/>
            <w:bottom w:val="none" w:sz="0" w:space="0" w:color="auto"/>
            <w:right w:val="none" w:sz="0" w:space="0" w:color="auto"/>
          </w:divBdr>
        </w:div>
        <w:div w:id="10887100">
          <w:marLeft w:val="640"/>
          <w:marRight w:val="0"/>
          <w:marTop w:val="0"/>
          <w:marBottom w:val="0"/>
          <w:divBdr>
            <w:top w:val="none" w:sz="0" w:space="0" w:color="auto"/>
            <w:left w:val="none" w:sz="0" w:space="0" w:color="auto"/>
            <w:bottom w:val="none" w:sz="0" w:space="0" w:color="auto"/>
            <w:right w:val="none" w:sz="0" w:space="0" w:color="auto"/>
          </w:divBdr>
        </w:div>
        <w:div w:id="226496790">
          <w:marLeft w:val="640"/>
          <w:marRight w:val="0"/>
          <w:marTop w:val="0"/>
          <w:marBottom w:val="0"/>
          <w:divBdr>
            <w:top w:val="none" w:sz="0" w:space="0" w:color="auto"/>
            <w:left w:val="none" w:sz="0" w:space="0" w:color="auto"/>
            <w:bottom w:val="none" w:sz="0" w:space="0" w:color="auto"/>
            <w:right w:val="none" w:sz="0" w:space="0" w:color="auto"/>
          </w:divBdr>
        </w:div>
        <w:div w:id="1015889639">
          <w:marLeft w:val="640"/>
          <w:marRight w:val="0"/>
          <w:marTop w:val="0"/>
          <w:marBottom w:val="0"/>
          <w:divBdr>
            <w:top w:val="none" w:sz="0" w:space="0" w:color="auto"/>
            <w:left w:val="none" w:sz="0" w:space="0" w:color="auto"/>
            <w:bottom w:val="none" w:sz="0" w:space="0" w:color="auto"/>
            <w:right w:val="none" w:sz="0" w:space="0" w:color="auto"/>
          </w:divBdr>
        </w:div>
        <w:div w:id="791901579">
          <w:marLeft w:val="640"/>
          <w:marRight w:val="0"/>
          <w:marTop w:val="0"/>
          <w:marBottom w:val="0"/>
          <w:divBdr>
            <w:top w:val="none" w:sz="0" w:space="0" w:color="auto"/>
            <w:left w:val="none" w:sz="0" w:space="0" w:color="auto"/>
            <w:bottom w:val="none" w:sz="0" w:space="0" w:color="auto"/>
            <w:right w:val="none" w:sz="0" w:space="0" w:color="auto"/>
          </w:divBdr>
        </w:div>
        <w:div w:id="1526283400">
          <w:marLeft w:val="640"/>
          <w:marRight w:val="0"/>
          <w:marTop w:val="0"/>
          <w:marBottom w:val="0"/>
          <w:divBdr>
            <w:top w:val="none" w:sz="0" w:space="0" w:color="auto"/>
            <w:left w:val="none" w:sz="0" w:space="0" w:color="auto"/>
            <w:bottom w:val="none" w:sz="0" w:space="0" w:color="auto"/>
            <w:right w:val="none" w:sz="0" w:space="0" w:color="auto"/>
          </w:divBdr>
        </w:div>
        <w:div w:id="1522934967">
          <w:marLeft w:val="640"/>
          <w:marRight w:val="0"/>
          <w:marTop w:val="0"/>
          <w:marBottom w:val="0"/>
          <w:divBdr>
            <w:top w:val="none" w:sz="0" w:space="0" w:color="auto"/>
            <w:left w:val="none" w:sz="0" w:space="0" w:color="auto"/>
            <w:bottom w:val="none" w:sz="0" w:space="0" w:color="auto"/>
            <w:right w:val="none" w:sz="0" w:space="0" w:color="auto"/>
          </w:divBdr>
        </w:div>
        <w:div w:id="794058376">
          <w:marLeft w:val="640"/>
          <w:marRight w:val="0"/>
          <w:marTop w:val="0"/>
          <w:marBottom w:val="0"/>
          <w:divBdr>
            <w:top w:val="none" w:sz="0" w:space="0" w:color="auto"/>
            <w:left w:val="none" w:sz="0" w:space="0" w:color="auto"/>
            <w:bottom w:val="none" w:sz="0" w:space="0" w:color="auto"/>
            <w:right w:val="none" w:sz="0" w:space="0" w:color="auto"/>
          </w:divBdr>
        </w:div>
        <w:div w:id="2086609969">
          <w:marLeft w:val="640"/>
          <w:marRight w:val="0"/>
          <w:marTop w:val="0"/>
          <w:marBottom w:val="0"/>
          <w:divBdr>
            <w:top w:val="none" w:sz="0" w:space="0" w:color="auto"/>
            <w:left w:val="none" w:sz="0" w:space="0" w:color="auto"/>
            <w:bottom w:val="none" w:sz="0" w:space="0" w:color="auto"/>
            <w:right w:val="none" w:sz="0" w:space="0" w:color="auto"/>
          </w:divBdr>
        </w:div>
        <w:div w:id="1191911785">
          <w:marLeft w:val="640"/>
          <w:marRight w:val="0"/>
          <w:marTop w:val="0"/>
          <w:marBottom w:val="0"/>
          <w:divBdr>
            <w:top w:val="none" w:sz="0" w:space="0" w:color="auto"/>
            <w:left w:val="none" w:sz="0" w:space="0" w:color="auto"/>
            <w:bottom w:val="none" w:sz="0" w:space="0" w:color="auto"/>
            <w:right w:val="none" w:sz="0" w:space="0" w:color="auto"/>
          </w:divBdr>
        </w:div>
      </w:divsChild>
    </w:div>
    <w:div w:id="1154637002">
      <w:bodyDiv w:val="1"/>
      <w:marLeft w:val="0"/>
      <w:marRight w:val="0"/>
      <w:marTop w:val="0"/>
      <w:marBottom w:val="0"/>
      <w:divBdr>
        <w:top w:val="none" w:sz="0" w:space="0" w:color="auto"/>
        <w:left w:val="none" w:sz="0" w:space="0" w:color="auto"/>
        <w:bottom w:val="none" w:sz="0" w:space="0" w:color="auto"/>
        <w:right w:val="none" w:sz="0" w:space="0" w:color="auto"/>
      </w:divBdr>
      <w:divsChild>
        <w:div w:id="1476332943">
          <w:marLeft w:val="640"/>
          <w:marRight w:val="0"/>
          <w:marTop w:val="0"/>
          <w:marBottom w:val="0"/>
          <w:divBdr>
            <w:top w:val="none" w:sz="0" w:space="0" w:color="auto"/>
            <w:left w:val="none" w:sz="0" w:space="0" w:color="auto"/>
            <w:bottom w:val="none" w:sz="0" w:space="0" w:color="auto"/>
            <w:right w:val="none" w:sz="0" w:space="0" w:color="auto"/>
          </w:divBdr>
        </w:div>
        <w:div w:id="1669822486">
          <w:marLeft w:val="640"/>
          <w:marRight w:val="0"/>
          <w:marTop w:val="0"/>
          <w:marBottom w:val="0"/>
          <w:divBdr>
            <w:top w:val="none" w:sz="0" w:space="0" w:color="auto"/>
            <w:left w:val="none" w:sz="0" w:space="0" w:color="auto"/>
            <w:bottom w:val="none" w:sz="0" w:space="0" w:color="auto"/>
            <w:right w:val="none" w:sz="0" w:space="0" w:color="auto"/>
          </w:divBdr>
        </w:div>
        <w:div w:id="1947494423">
          <w:marLeft w:val="640"/>
          <w:marRight w:val="0"/>
          <w:marTop w:val="0"/>
          <w:marBottom w:val="0"/>
          <w:divBdr>
            <w:top w:val="none" w:sz="0" w:space="0" w:color="auto"/>
            <w:left w:val="none" w:sz="0" w:space="0" w:color="auto"/>
            <w:bottom w:val="none" w:sz="0" w:space="0" w:color="auto"/>
            <w:right w:val="none" w:sz="0" w:space="0" w:color="auto"/>
          </w:divBdr>
        </w:div>
        <w:div w:id="1519926877">
          <w:marLeft w:val="640"/>
          <w:marRight w:val="0"/>
          <w:marTop w:val="0"/>
          <w:marBottom w:val="0"/>
          <w:divBdr>
            <w:top w:val="none" w:sz="0" w:space="0" w:color="auto"/>
            <w:left w:val="none" w:sz="0" w:space="0" w:color="auto"/>
            <w:bottom w:val="none" w:sz="0" w:space="0" w:color="auto"/>
            <w:right w:val="none" w:sz="0" w:space="0" w:color="auto"/>
          </w:divBdr>
        </w:div>
        <w:div w:id="1764566544">
          <w:marLeft w:val="640"/>
          <w:marRight w:val="0"/>
          <w:marTop w:val="0"/>
          <w:marBottom w:val="0"/>
          <w:divBdr>
            <w:top w:val="none" w:sz="0" w:space="0" w:color="auto"/>
            <w:left w:val="none" w:sz="0" w:space="0" w:color="auto"/>
            <w:bottom w:val="none" w:sz="0" w:space="0" w:color="auto"/>
            <w:right w:val="none" w:sz="0" w:space="0" w:color="auto"/>
          </w:divBdr>
        </w:div>
        <w:div w:id="943342836">
          <w:marLeft w:val="640"/>
          <w:marRight w:val="0"/>
          <w:marTop w:val="0"/>
          <w:marBottom w:val="0"/>
          <w:divBdr>
            <w:top w:val="none" w:sz="0" w:space="0" w:color="auto"/>
            <w:left w:val="none" w:sz="0" w:space="0" w:color="auto"/>
            <w:bottom w:val="none" w:sz="0" w:space="0" w:color="auto"/>
            <w:right w:val="none" w:sz="0" w:space="0" w:color="auto"/>
          </w:divBdr>
        </w:div>
        <w:div w:id="1325662806">
          <w:marLeft w:val="640"/>
          <w:marRight w:val="0"/>
          <w:marTop w:val="0"/>
          <w:marBottom w:val="0"/>
          <w:divBdr>
            <w:top w:val="none" w:sz="0" w:space="0" w:color="auto"/>
            <w:left w:val="none" w:sz="0" w:space="0" w:color="auto"/>
            <w:bottom w:val="none" w:sz="0" w:space="0" w:color="auto"/>
            <w:right w:val="none" w:sz="0" w:space="0" w:color="auto"/>
          </w:divBdr>
        </w:div>
        <w:div w:id="1487668166">
          <w:marLeft w:val="640"/>
          <w:marRight w:val="0"/>
          <w:marTop w:val="0"/>
          <w:marBottom w:val="0"/>
          <w:divBdr>
            <w:top w:val="none" w:sz="0" w:space="0" w:color="auto"/>
            <w:left w:val="none" w:sz="0" w:space="0" w:color="auto"/>
            <w:bottom w:val="none" w:sz="0" w:space="0" w:color="auto"/>
            <w:right w:val="none" w:sz="0" w:space="0" w:color="auto"/>
          </w:divBdr>
        </w:div>
        <w:div w:id="90706641">
          <w:marLeft w:val="640"/>
          <w:marRight w:val="0"/>
          <w:marTop w:val="0"/>
          <w:marBottom w:val="0"/>
          <w:divBdr>
            <w:top w:val="none" w:sz="0" w:space="0" w:color="auto"/>
            <w:left w:val="none" w:sz="0" w:space="0" w:color="auto"/>
            <w:bottom w:val="none" w:sz="0" w:space="0" w:color="auto"/>
            <w:right w:val="none" w:sz="0" w:space="0" w:color="auto"/>
          </w:divBdr>
        </w:div>
        <w:div w:id="1972245690">
          <w:marLeft w:val="640"/>
          <w:marRight w:val="0"/>
          <w:marTop w:val="0"/>
          <w:marBottom w:val="0"/>
          <w:divBdr>
            <w:top w:val="none" w:sz="0" w:space="0" w:color="auto"/>
            <w:left w:val="none" w:sz="0" w:space="0" w:color="auto"/>
            <w:bottom w:val="none" w:sz="0" w:space="0" w:color="auto"/>
            <w:right w:val="none" w:sz="0" w:space="0" w:color="auto"/>
          </w:divBdr>
        </w:div>
        <w:div w:id="1893685994">
          <w:marLeft w:val="640"/>
          <w:marRight w:val="0"/>
          <w:marTop w:val="0"/>
          <w:marBottom w:val="0"/>
          <w:divBdr>
            <w:top w:val="none" w:sz="0" w:space="0" w:color="auto"/>
            <w:left w:val="none" w:sz="0" w:space="0" w:color="auto"/>
            <w:bottom w:val="none" w:sz="0" w:space="0" w:color="auto"/>
            <w:right w:val="none" w:sz="0" w:space="0" w:color="auto"/>
          </w:divBdr>
        </w:div>
        <w:div w:id="1080759439">
          <w:marLeft w:val="640"/>
          <w:marRight w:val="0"/>
          <w:marTop w:val="0"/>
          <w:marBottom w:val="0"/>
          <w:divBdr>
            <w:top w:val="none" w:sz="0" w:space="0" w:color="auto"/>
            <w:left w:val="none" w:sz="0" w:space="0" w:color="auto"/>
            <w:bottom w:val="none" w:sz="0" w:space="0" w:color="auto"/>
            <w:right w:val="none" w:sz="0" w:space="0" w:color="auto"/>
          </w:divBdr>
        </w:div>
        <w:div w:id="410741956">
          <w:marLeft w:val="640"/>
          <w:marRight w:val="0"/>
          <w:marTop w:val="0"/>
          <w:marBottom w:val="0"/>
          <w:divBdr>
            <w:top w:val="none" w:sz="0" w:space="0" w:color="auto"/>
            <w:left w:val="none" w:sz="0" w:space="0" w:color="auto"/>
            <w:bottom w:val="none" w:sz="0" w:space="0" w:color="auto"/>
            <w:right w:val="none" w:sz="0" w:space="0" w:color="auto"/>
          </w:divBdr>
        </w:div>
        <w:div w:id="243532543">
          <w:marLeft w:val="640"/>
          <w:marRight w:val="0"/>
          <w:marTop w:val="0"/>
          <w:marBottom w:val="0"/>
          <w:divBdr>
            <w:top w:val="none" w:sz="0" w:space="0" w:color="auto"/>
            <w:left w:val="none" w:sz="0" w:space="0" w:color="auto"/>
            <w:bottom w:val="none" w:sz="0" w:space="0" w:color="auto"/>
            <w:right w:val="none" w:sz="0" w:space="0" w:color="auto"/>
          </w:divBdr>
        </w:div>
        <w:div w:id="565797541">
          <w:marLeft w:val="640"/>
          <w:marRight w:val="0"/>
          <w:marTop w:val="0"/>
          <w:marBottom w:val="0"/>
          <w:divBdr>
            <w:top w:val="none" w:sz="0" w:space="0" w:color="auto"/>
            <w:left w:val="none" w:sz="0" w:space="0" w:color="auto"/>
            <w:bottom w:val="none" w:sz="0" w:space="0" w:color="auto"/>
            <w:right w:val="none" w:sz="0" w:space="0" w:color="auto"/>
          </w:divBdr>
        </w:div>
        <w:div w:id="1655796408">
          <w:marLeft w:val="640"/>
          <w:marRight w:val="0"/>
          <w:marTop w:val="0"/>
          <w:marBottom w:val="0"/>
          <w:divBdr>
            <w:top w:val="none" w:sz="0" w:space="0" w:color="auto"/>
            <w:left w:val="none" w:sz="0" w:space="0" w:color="auto"/>
            <w:bottom w:val="none" w:sz="0" w:space="0" w:color="auto"/>
            <w:right w:val="none" w:sz="0" w:space="0" w:color="auto"/>
          </w:divBdr>
        </w:div>
        <w:div w:id="542669107">
          <w:marLeft w:val="640"/>
          <w:marRight w:val="0"/>
          <w:marTop w:val="0"/>
          <w:marBottom w:val="0"/>
          <w:divBdr>
            <w:top w:val="none" w:sz="0" w:space="0" w:color="auto"/>
            <w:left w:val="none" w:sz="0" w:space="0" w:color="auto"/>
            <w:bottom w:val="none" w:sz="0" w:space="0" w:color="auto"/>
            <w:right w:val="none" w:sz="0" w:space="0" w:color="auto"/>
          </w:divBdr>
        </w:div>
        <w:div w:id="1869832421">
          <w:marLeft w:val="640"/>
          <w:marRight w:val="0"/>
          <w:marTop w:val="0"/>
          <w:marBottom w:val="0"/>
          <w:divBdr>
            <w:top w:val="none" w:sz="0" w:space="0" w:color="auto"/>
            <w:left w:val="none" w:sz="0" w:space="0" w:color="auto"/>
            <w:bottom w:val="none" w:sz="0" w:space="0" w:color="auto"/>
            <w:right w:val="none" w:sz="0" w:space="0" w:color="auto"/>
          </w:divBdr>
        </w:div>
        <w:div w:id="1023239186">
          <w:marLeft w:val="640"/>
          <w:marRight w:val="0"/>
          <w:marTop w:val="0"/>
          <w:marBottom w:val="0"/>
          <w:divBdr>
            <w:top w:val="none" w:sz="0" w:space="0" w:color="auto"/>
            <w:left w:val="none" w:sz="0" w:space="0" w:color="auto"/>
            <w:bottom w:val="none" w:sz="0" w:space="0" w:color="auto"/>
            <w:right w:val="none" w:sz="0" w:space="0" w:color="auto"/>
          </w:divBdr>
        </w:div>
        <w:div w:id="59795806">
          <w:marLeft w:val="640"/>
          <w:marRight w:val="0"/>
          <w:marTop w:val="0"/>
          <w:marBottom w:val="0"/>
          <w:divBdr>
            <w:top w:val="none" w:sz="0" w:space="0" w:color="auto"/>
            <w:left w:val="none" w:sz="0" w:space="0" w:color="auto"/>
            <w:bottom w:val="none" w:sz="0" w:space="0" w:color="auto"/>
            <w:right w:val="none" w:sz="0" w:space="0" w:color="auto"/>
          </w:divBdr>
        </w:div>
        <w:div w:id="1349982751">
          <w:marLeft w:val="640"/>
          <w:marRight w:val="0"/>
          <w:marTop w:val="0"/>
          <w:marBottom w:val="0"/>
          <w:divBdr>
            <w:top w:val="none" w:sz="0" w:space="0" w:color="auto"/>
            <w:left w:val="none" w:sz="0" w:space="0" w:color="auto"/>
            <w:bottom w:val="none" w:sz="0" w:space="0" w:color="auto"/>
            <w:right w:val="none" w:sz="0" w:space="0" w:color="auto"/>
          </w:divBdr>
        </w:div>
        <w:div w:id="1868907026">
          <w:marLeft w:val="640"/>
          <w:marRight w:val="0"/>
          <w:marTop w:val="0"/>
          <w:marBottom w:val="0"/>
          <w:divBdr>
            <w:top w:val="none" w:sz="0" w:space="0" w:color="auto"/>
            <w:left w:val="none" w:sz="0" w:space="0" w:color="auto"/>
            <w:bottom w:val="none" w:sz="0" w:space="0" w:color="auto"/>
            <w:right w:val="none" w:sz="0" w:space="0" w:color="auto"/>
          </w:divBdr>
        </w:div>
        <w:div w:id="861699596">
          <w:marLeft w:val="640"/>
          <w:marRight w:val="0"/>
          <w:marTop w:val="0"/>
          <w:marBottom w:val="0"/>
          <w:divBdr>
            <w:top w:val="none" w:sz="0" w:space="0" w:color="auto"/>
            <w:left w:val="none" w:sz="0" w:space="0" w:color="auto"/>
            <w:bottom w:val="none" w:sz="0" w:space="0" w:color="auto"/>
            <w:right w:val="none" w:sz="0" w:space="0" w:color="auto"/>
          </w:divBdr>
        </w:div>
        <w:div w:id="610554020">
          <w:marLeft w:val="640"/>
          <w:marRight w:val="0"/>
          <w:marTop w:val="0"/>
          <w:marBottom w:val="0"/>
          <w:divBdr>
            <w:top w:val="none" w:sz="0" w:space="0" w:color="auto"/>
            <w:left w:val="none" w:sz="0" w:space="0" w:color="auto"/>
            <w:bottom w:val="none" w:sz="0" w:space="0" w:color="auto"/>
            <w:right w:val="none" w:sz="0" w:space="0" w:color="auto"/>
          </w:divBdr>
        </w:div>
        <w:div w:id="1979721106">
          <w:marLeft w:val="640"/>
          <w:marRight w:val="0"/>
          <w:marTop w:val="0"/>
          <w:marBottom w:val="0"/>
          <w:divBdr>
            <w:top w:val="none" w:sz="0" w:space="0" w:color="auto"/>
            <w:left w:val="none" w:sz="0" w:space="0" w:color="auto"/>
            <w:bottom w:val="none" w:sz="0" w:space="0" w:color="auto"/>
            <w:right w:val="none" w:sz="0" w:space="0" w:color="auto"/>
          </w:divBdr>
        </w:div>
        <w:div w:id="1252661144">
          <w:marLeft w:val="640"/>
          <w:marRight w:val="0"/>
          <w:marTop w:val="0"/>
          <w:marBottom w:val="0"/>
          <w:divBdr>
            <w:top w:val="none" w:sz="0" w:space="0" w:color="auto"/>
            <w:left w:val="none" w:sz="0" w:space="0" w:color="auto"/>
            <w:bottom w:val="none" w:sz="0" w:space="0" w:color="auto"/>
            <w:right w:val="none" w:sz="0" w:space="0" w:color="auto"/>
          </w:divBdr>
        </w:div>
        <w:div w:id="545070836">
          <w:marLeft w:val="640"/>
          <w:marRight w:val="0"/>
          <w:marTop w:val="0"/>
          <w:marBottom w:val="0"/>
          <w:divBdr>
            <w:top w:val="none" w:sz="0" w:space="0" w:color="auto"/>
            <w:left w:val="none" w:sz="0" w:space="0" w:color="auto"/>
            <w:bottom w:val="none" w:sz="0" w:space="0" w:color="auto"/>
            <w:right w:val="none" w:sz="0" w:space="0" w:color="auto"/>
          </w:divBdr>
        </w:div>
        <w:div w:id="68310296">
          <w:marLeft w:val="640"/>
          <w:marRight w:val="0"/>
          <w:marTop w:val="0"/>
          <w:marBottom w:val="0"/>
          <w:divBdr>
            <w:top w:val="none" w:sz="0" w:space="0" w:color="auto"/>
            <w:left w:val="none" w:sz="0" w:space="0" w:color="auto"/>
            <w:bottom w:val="none" w:sz="0" w:space="0" w:color="auto"/>
            <w:right w:val="none" w:sz="0" w:space="0" w:color="auto"/>
          </w:divBdr>
        </w:div>
        <w:div w:id="1296835098">
          <w:marLeft w:val="640"/>
          <w:marRight w:val="0"/>
          <w:marTop w:val="0"/>
          <w:marBottom w:val="0"/>
          <w:divBdr>
            <w:top w:val="none" w:sz="0" w:space="0" w:color="auto"/>
            <w:left w:val="none" w:sz="0" w:space="0" w:color="auto"/>
            <w:bottom w:val="none" w:sz="0" w:space="0" w:color="auto"/>
            <w:right w:val="none" w:sz="0" w:space="0" w:color="auto"/>
          </w:divBdr>
        </w:div>
        <w:div w:id="1668247994">
          <w:marLeft w:val="640"/>
          <w:marRight w:val="0"/>
          <w:marTop w:val="0"/>
          <w:marBottom w:val="0"/>
          <w:divBdr>
            <w:top w:val="none" w:sz="0" w:space="0" w:color="auto"/>
            <w:left w:val="none" w:sz="0" w:space="0" w:color="auto"/>
            <w:bottom w:val="none" w:sz="0" w:space="0" w:color="auto"/>
            <w:right w:val="none" w:sz="0" w:space="0" w:color="auto"/>
          </w:divBdr>
        </w:div>
        <w:div w:id="1637175738">
          <w:marLeft w:val="640"/>
          <w:marRight w:val="0"/>
          <w:marTop w:val="0"/>
          <w:marBottom w:val="0"/>
          <w:divBdr>
            <w:top w:val="none" w:sz="0" w:space="0" w:color="auto"/>
            <w:left w:val="none" w:sz="0" w:space="0" w:color="auto"/>
            <w:bottom w:val="none" w:sz="0" w:space="0" w:color="auto"/>
            <w:right w:val="none" w:sz="0" w:space="0" w:color="auto"/>
          </w:divBdr>
        </w:div>
        <w:div w:id="683095634">
          <w:marLeft w:val="640"/>
          <w:marRight w:val="0"/>
          <w:marTop w:val="0"/>
          <w:marBottom w:val="0"/>
          <w:divBdr>
            <w:top w:val="none" w:sz="0" w:space="0" w:color="auto"/>
            <w:left w:val="none" w:sz="0" w:space="0" w:color="auto"/>
            <w:bottom w:val="none" w:sz="0" w:space="0" w:color="auto"/>
            <w:right w:val="none" w:sz="0" w:space="0" w:color="auto"/>
          </w:divBdr>
        </w:div>
        <w:div w:id="1270775021">
          <w:marLeft w:val="640"/>
          <w:marRight w:val="0"/>
          <w:marTop w:val="0"/>
          <w:marBottom w:val="0"/>
          <w:divBdr>
            <w:top w:val="none" w:sz="0" w:space="0" w:color="auto"/>
            <w:left w:val="none" w:sz="0" w:space="0" w:color="auto"/>
            <w:bottom w:val="none" w:sz="0" w:space="0" w:color="auto"/>
            <w:right w:val="none" w:sz="0" w:space="0" w:color="auto"/>
          </w:divBdr>
        </w:div>
        <w:div w:id="1687823839">
          <w:marLeft w:val="640"/>
          <w:marRight w:val="0"/>
          <w:marTop w:val="0"/>
          <w:marBottom w:val="0"/>
          <w:divBdr>
            <w:top w:val="none" w:sz="0" w:space="0" w:color="auto"/>
            <w:left w:val="none" w:sz="0" w:space="0" w:color="auto"/>
            <w:bottom w:val="none" w:sz="0" w:space="0" w:color="auto"/>
            <w:right w:val="none" w:sz="0" w:space="0" w:color="auto"/>
          </w:divBdr>
        </w:div>
        <w:div w:id="1982928884">
          <w:marLeft w:val="640"/>
          <w:marRight w:val="0"/>
          <w:marTop w:val="0"/>
          <w:marBottom w:val="0"/>
          <w:divBdr>
            <w:top w:val="none" w:sz="0" w:space="0" w:color="auto"/>
            <w:left w:val="none" w:sz="0" w:space="0" w:color="auto"/>
            <w:bottom w:val="none" w:sz="0" w:space="0" w:color="auto"/>
            <w:right w:val="none" w:sz="0" w:space="0" w:color="auto"/>
          </w:divBdr>
        </w:div>
        <w:div w:id="1167555287">
          <w:marLeft w:val="640"/>
          <w:marRight w:val="0"/>
          <w:marTop w:val="0"/>
          <w:marBottom w:val="0"/>
          <w:divBdr>
            <w:top w:val="none" w:sz="0" w:space="0" w:color="auto"/>
            <w:left w:val="none" w:sz="0" w:space="0" w:color="auto"/>
            <w:bottom w:val="none" w:sz="0" w:space="0" w:color="auto"/>
            <w:right w:val="none" w:sz="0" w:space="0" w:color="auto"/>
          </w:divBdr>
        </w:div>
        <w:div w:id="1012487659">
          <w:marLeft w:val="640"/>
          <w:marRight w:val="0"/>
          <w:marTop w:val="0"/>
          <w:marBottom w:val="0"/>
          <w:divBdr>
            <w:top w:val="none" w:sz="0" w:space="0" w:color="auto"/>
            <w:left w:val="none" w:sz="0" w:space="0" w:color="auto"/>
            <w:bottom w:val="none" w:sz="0" w:space="0" w:color="auto"/>
            <w:right w:val="none" w:sz="0" w:space="0" w:color="auto"/>
          </w:divBdr>
        </w:div>
        <w:div w:id="635451297">
          <w:marLeft w:val="640"/>
          <w:marRight w:val="0"/>
          <w:marTop w:val="0"/>
          <w:marBottom w:val="0"/>
          <w:divBdr>
            <w:top w:val="none" w:sz="0" w:space="0" w:color="auto"/>
            <w:left w:val="none" w:sz="0" w:space="0" w:color="auto"/>
            <w:bottom w:val="none" w:sz="0" w:space="0" w:color="auto"/>
            <w:right w:val="none" w:sz="0" w:space="0" w:color="auto"/>
          </w:divBdr>
        </w:div>
        <w:div w:id="2018459303">
          <w:marLeft w:val="640"/>
          <w:marRight w:val="0"/>
          <w:marTop w:val="0"/>
          <w:marBottom w:val="0"/>
          <w:divBdr>
            <w:top w:val="none" w:sz="0" w:space="0" w:color="auto"/>
            <w:left w:val="none" w:sz="0" w:space="0" w:color="auto"/>
            <w:bottom w:val="none" w:sz="0" w:space="0" w:color="auto"/>
            <w:right w:val="none" w:sz="0" w:space="0" w:color="auto"/>
          </w:divBdr>
        </w:div>
        <w:div w:id="402217143">
          <w:marLeft w:val="640"/>
          <w:marRight w:val="0"/>
          <w:marTop w:val="0"/>
          <w:marBottom w:val="0"/>
          <w:divBdr>
            <w:top w:val="none" w:sz="0" w:space="0" w:color="auto"/>
            <w:left w:val="none" w:sz="0" w:space="0" w:color="auto"/>
            <w:bottom w:val="none" w:sz="0" w:space="0" w:color="auto"/>
            <w:right w:val="none" w:sz="0" w:space="0" w:color="auto"/>
          </w:divBdr>
        </w:div>
        <w:div w:id="102769823">
          <w:marLeft w:val="640"/>
          <w:marRight w:val="0"/>
          <w:marTop w:val="0"/>
          <w:marBottom w:val="0"/>
          <w:divBdr>
            <w:top w:val="none" w:sz="0" w:space="0" w:color="auto"/>
            <w:left w:val="none" w:sz="0" w:space="0" w:color="auto"/>
            <w:bottom w:val="none" w:sz="0" w:space="0" w:color="auto"/>
            <w:right w:val="none" w:sz="0" w:space="0" w:color="auto"/>
          </w:divBdr>
        </w:div>
        <w:div w:id="676272542">
          <w:marLeft w:val="640"/>
          <w:marRight w:val="0"/>
          <w:marTop w:val="0"/>
          <w:marBottom w:val="0"/>
          <w:divBdr>
            <w:top w:val="none" w:sz="0" w:space="0" w:color="auto"/>
            <w:left w:val="none" w:sz="0" w:space="0" w:color="auto"/>
            <w:bottom w:val="none" w:sz="0" w:space="0" w:color="auto"/>
            <w:right w:val="none" w:sz="0" w:space="0" w:color="auto"/>
          </w:divBdr>
        </w:div>
        <w:div w:id="1882938076">
          <w:marLeft w:val="640"/>
          <w:marRight w:val="0"/>
          <w:marTop w:val="0"/>
          <w:marBottom w:val="0"/>
          <w:divBdr>
            <w:top w:val="none" w:sz="0" w:space="0" w:color="auto"/>
            <w:left w:val="none" w:sz="0" w:space="0" w:color="auto"/>
            <w:bottom w:val="none" w:sz="0" w:space="0" w:color="auto"/>
            <w:right w:val="none" w:sz="0" w:space="0" w:color="auto"/>
          </w:divBdr>
        </w:div>
        <w:div w:id="1759331022">
          <w:marLeft w:val="640"/>
          <w:marRight w:val="0"/>
          <w:marTop w:val="0"/>
          <w:marBottom w:val="0"/>
          <w:divBdr>
            <w:top w:val="none" w:sz="0" w:space="0" w:color="auto"/>
            <w:left w:val="none" w:sz="0" w:space="0" w:color="auto"/>
            <w:bottom w:val="none" w:sz="0" w:space="0" w:color="auto"/>
            <w:right w:val="none" w:sz="0" w:space="0" w:color="auto"/>
          </w:divBdr>
        </w:div>
        <w:div w:id="1461387353">
          <w:marLeft w:val="640"/>
          <w:marRight w:val="0"/>
          <w:marTop w:val="0"/>
          <w:marBottom w:val="0"/>
          <w:divBdr>
            <w:top w:val="none" w:sz="0" w:space="0" w:color="auto"/>
            <w:left w:val="none" w:sz="0" w:space="0" w:color="auto"/>
            <w:bottom w:val="none" w:sz="0" w:space="0" w:color="auto"/>
            <w:right w:val="none" w:sz="0" w:space="0" w:color="auto"/>
          </w:divBdr>
        </w:div>
        <w:div w:id="2005622704">
          <w:marLeft w:val="640"/>
          <w:marRight w:val="0"/>
          <w:marTop w:val="0"/>
          <w:marBottom w:val="0"/>
          <w:divBdr>
            <w:top w:val="none" w:sz="0" w:space="0" w:color="auto"/>
            <w:left w:val="none" w:sz="0" w:space="0" w:color="auto"/>
            <w:bottom w:val="none" w:sz="0" w:space="0" w:color="auto"/>
            <w:right w:val="none" w:sz="0" w:space="0" w:color="auto"/>
          </w:divBdr>
        </w:div>
        <w:div w:id="1517426144">
          <w:marLeft w:val="640"/>
          <w:marRight w:val="0"/>
          <w:marTop w:val="0"/>
          <w:marBottom w:val="0"/>
          <w:divBdr>
            <w:top w:val="none" w:sz="0" w:space="0" w:color="auto"/>
            <w:left w:val="none" w:sz="0" w:space="0" w:color="auto"/>
            <w:bottom w:val="none" w:sz="0" w:space="0" w:color="auto"/>
            <w:right w:val="none" w:sz="0" w:space="0" w:color="auto"/>
          </w:divBdr>
        </w:div>
        <w:div w:id="733816518">
          <w:marLeft w:val="640"/>
          <w:marRight w:val="0"/>
          <w:marTop w:val="0"/>
          <w:marBottom w:val="0"/>
          <w:divBdr>
            <w:top w:val="none" w:sz="0" w:space="0" w:color="auto"/>
            <w:left w:val="none" w:sz="0" w:space="0" w:color="auto"/>
            <w:bottom w:val="none" w:sz="0" w:space="0" w:color="auto"/>
            <w:right w:val="none" w:sz="0" w:space="0" w:color="auto"/>
          </w:divBdr>
        </w:div>
        <w:div w:id="1648784936">
          <w:marLeft w:val="640"/>
          <w:marRight w:val="0"/>
          <w:marTop w:val="0"/>
          <w:marBottom w:val="0"/>
          <w:divBdr>
            <w:top w:val="none" w:sz="0" w:space="0" w:color="auto"/>
            <w:left w:val="none" w:sz="0" w:space="0" w:color="auto"/>
            <w:bottom w:val="none" w:sz="0" w:space="0" w:color="auto"/>
            <w:right w:val="none" w:sz="0" w:space="0" w:color="auto"/>
          </w:divBdr>
        </w:div>
        <w:div w:id="407190212">
          <w:marLeft w:val="640"/>
          <w:marRight w:val="0"/>
          <w:marTop w:val="0"/>
          <w:marBottom w:val="0"/>
          <w:divBdr>
            <w:top w:val="none" w:sz="0" w:space="0" w:color="auto"/>
            <w:left w:val="none" w:sz="0" w:space="0" w:color="auto"/>
            <w:bottom w:val="none" w:sz="0" w:space="0" w:color="auto"/>
            <w:right w:val="none" w:sz="0" w:space="0" w:color="auto"/>
          </w:divBdr>
        </w:div>
        <w:div w:id="1265308730">
          <w:marLeft w:val="640"/>
          <w:marRight w:val="0"/>
          <w:marTop w:val="0"/>
          <w:marBottom w:val="0"/>
          <w:divBdr>
            <w:top w:val="none" w:sz="0" w:space="0" w:color="auto"/>
            <w:left w:val="none" w:sz="0" w:space="0" w:color="auto"/>
            <w:bottom w:val="none" w:sz="0" w:space="0" w:color="auto"/>
            <w:right w:val="none" w:sz="0" w:space="0" w:color="auto"/>
          </w:divBdr>
        </w:div>
        <w:div w:id="2055150792">
          <w:marLeft w:val="640"/>
          <w:marRight w:val="0"/>
          <w:marTop w:val="0"/>
          <w:marBottom w:val="0"/>
          <w:divBdr>
            <w:top w:val="none" w:sz="0" w:space="0" w:color="auto"/>
            <w:left w:val="none" w:sz="0" w:space="0" w:color="auto"/>
            <w:bottom w:val="none" w:sz="0" w:space="0" w:color="auto"/>
            <w:right w:val="none" w:sz="0" w:space="0" w:color="auto"/>
          </w:divBdr>
        </w:div>
        <w:div w:id="1356731446">
          <w:marLeft w:val="640"/>
          <w:marRight w:val="0"/>
          <w:marTop w:val="0"/>
          <w:marBottom w:val="0"/>
          <w:divBdr>
            <w:top w:val="none" w:sz="0" w:space="0" w:color="auto"/>
            <w:left w:val="none" w:sz="0" w:space="0" w:color="auto"/>
            <w:bottom w:val="none" w:sz="0" w:space="0" w:color="auto"/>
            <w:right w:val="none" w:sz="0" w:space="0" w:color="auto"/>
          </w:divBdr>
        </w:div>
        <w:div w:id="584731135">
          <w:marLeft w:val="640"/>
          <w:marRight w:val="0"/>
          <w:marTop w:val="0"/>
          <w:marBottom w:val="0"/>
          <w:divBdr>
            <w:top w:val="none" w:sz="0" w:space="0" w:color="auto"/>
            <w:left w:val="none" w:sz="0" w:space="0" w:color="auto"/>
            <w:bottom w:val="none" w:sz="0" w:space="0" w:color="auto"/>
            <w:right w:val="none" w:sz="0" w:space="0" w:color="auto"/>
          </w:divBdr>
        </w:div>
        <w:div w:id="1095590910">
          <w:marLeft w:val="640"/>
          <w:marRight w:val="0"/>
          <w:marTop w:val="0"/>
          <w:marBottom w:val="0"/>
          <w:divBdr>
            <w:top w:val="none" w:sz="0" w:space="0" w:color="auto"/>
            <w:left w:val="none" w:sz="0" w:space="0" w:color="auto"/>
            <w:bottom w:val="none" w:sz="0" w:space="0" w:color="auto"/>
            <w:right w:val="none" w:sz="0" w:space="0" w:color="auto"/>
          </w:divBdr>
        </w:div>
        <w:div w:id="754740746">
          <w:marLeft w:val="640"/>
          <w:marRight w:val="0"/>
          <w:marTop w:val="0"/>
          <w:marBottom w:val="0"/>
          <w:divBdr>
            <w:top w:val="none" w:sz="0" w:space="0" w:color="auto"/>
            <w:left w:val="none" w:sz="0" w:space="0" w:color="auto"/>
            <w:bottom w:val="none" w:sz="0" w:space="0" w:color="auto"/>
            <w:right w:val="none" w:sz="0" w:space="0" w:color="auto"/>
          </w:divBdr>
        </w:div>
        <w:div w:id="1525629429">
          <w:marLeft w:val="640"/>
          <w:marRight w:val="0"/>
          <w:marTop w:val="0"/>
          <w:marBottom w:val="0"/>
          <w:divBdr>
            <w:top w:val="none" w:sz="0" w:space="0" w:color="auto"/>
            <w:left w:val="none" w:sz="0" w:space="0" w:color="auto"/>
            <w:bottom w:val="none" w:sz="0" w:space="0" w:color="auto"/>
            <w:right w:val="none" w:sz="0" w:space="0" w:color="auto"/>
          </w:divBdr>
        </w:div>
        <w:div w:id="555314934">
          <w:marLeft w:val="640"/>
          <w:marRight w:val="0"/>
          <w:marTop w:val="0"/>
          <w:marBottom w:val="0"/>
          <w:divBdr>
            <w:top w:val="none" w:sz="0" w:space="0" w:color="auto"/>
            <w:left w:val="none" w:sz="0" w:space="0" w:color="auto"/>
            <w:bottom w:val="none" w:sz="0" w:space="0" w:color="auto"/>
            <w:right w:val="none" w:sz="0" w:space="0" w:color="auto"/>
          </w:divBdr>
        </w:div>
        <w:div w:id="191841543">
          <w:marLeft w:val="640"/>
          <w:marRight w:val="0"/>
          <w:marTop w:val="0"/>
          <w:marBottom w:val="0"/>
          <w:divBdr>
            <w:top w:val="none" w:sz="0" w:space="0" w:color="auto"/>
            <w:left w:val="none" w:sz="0" w:space="0" w:color="auto"/>
            <w:bottom w:val="none" w:sz="0" w:space="0" w:color="auto"/>
            <w:right w:val="none" w:sz="0" w:space="0" w:color="auto"/>
          </w:divBdr>
        </w:div>
        <w:div w:id="405808568">
          <w:marLeft w:val="640"/>
          <w:marRight w:val="0"/>
          <w:marTop w:val="0"/>
          <w:marBottom w:val="0"/>
          <w:divBdr>
            <w:top w:val="none" w:sz="0" w:space="0" w:color="auto"/>
            <w:left w:val="none" w:sz="0" w:space="0" w:color="auto"/>
            <w:bottom w:val="none" w:sz="0" w:space="0" w:color="auto"/>
            <w:right w:val="none" w:sz="0" w:space="0" w:color="auto"/>
          </w:divBdr>
        </w:div>
        <w:div w:id="517234898">
          <w:marLeft w:val="640"/>
          <w:marRight w:val="0"/>
          <w:marTop w:val="0"/>
          <w:marBottom w:val="0"/>
          <w:divBdr>
            <w:top w:val="none" w:sz="0" w:space="0" w:color="auto"/>
            <w:left w:val="none" w:sz="0" w:space="0" w:color="auto"/>
            <w:bottom w:val="none" w:sz="0" w:space="0" w:color="auto"/>
            <w:right w:val="none" w:sz="0" w:space="0" w:color="auto"/>
          </w:divBdr>
        </w:div>
        <w:div w:id="972714259">
          <w:marLeft w:val="640"/>
          <w:marRight w:val="0"/>
          <w:marTop w:val="0"/>
          <w:marBottom w:val="0"/>
          <w:divBdr>
            <w:top w:val="none" w:sz="0" w:space="0" w:color="auto"/>
            <w:left w:val="none" w:sz="0" w:space="0" w:color="auto"/>
            <w:bottom w:val="none" w:sz="0" w:space="0" w:color="auto"/>
            <w:right w:val="none" w:sz="0" w:space="0" w:color="auto"/>
          </w:divBdr>
        </w:div>
        <w:div w:id="1618952961">
          <w:marLeft w:val="640"/>
          <w:marRight w:val="0"/>
          <w:marTop w:val="0"/>
          <w:marBottom w:val="0"/>
          <w:divBdr>
            <w:top w:val="none" w:sz="0" w:space="0" w:color="auto"/>
            <w:left w:val="none" w:sz="0" w:space="0" w:color="auto"/>
            <w:bottom w:val="none" w:sz="0" w:space="0" w:color="auto"/>
            <w:right w:val="none" w:sz="0" w:space="0" w:color="auto"/>
          </w:divBdr>
        </w:div>
        <w:div w:id="173347204">
          <w:marLeft w:val="640"/>
          <w:marRight w:val="0"/>
          <w:marTop w:val="0"/>
          <w:marBottom w:val="0"/>
          <w:divBdr>
            <w:top w:val="none" w:sz="0" w:space="0" w:color="auto"/>
            <w:left w:val="none" w:sz="0" w:space="0" w:color="auto"/>
            <w:bottom w:val="none" w:sz="0" w:space="0" w:color="auto"/>
            <w:right w:val="none" w:sz="0" w:space="0" w:color="auto"/>
          </w:divBdr>
        </w:div>
        <w:div w:id="641932953">
          <w:marLeft w:val="640"/>
          <w:marRight w:val="0"/>
          <w:marTop w:val="0"/>
          <w:marBottom w:val="0"/>
          <w:divBdr>
            <w:top w:val="none" w:sz="0" w:space="0" w:color="auto"/>
            <w:left w:val="none" w:sz="0" w:space="0" w:color="auto"/>
            <w:bottom w:val="none" w:sz="0" w:space="0" w:color="auto"/>
            <w:right w:val="none" w:sz="0" w:space="0" w:color="auto"/>
          </w:divBdr>
        </w:div>
        <w:div w:id="282004453">
          <w:marLeft w:val="640"/>
          <w:marRight w:val="0"/>
          <w:marTop w:val="0"/>
          <w:marBottom w:val="0"/>
          <w:divBdr>
            <w:top w:val="none" w:sz="0" w:space="0" w:color="auto"/>
            <w:left w:val="none" w:sz="0" w:space="0" w:color="auto"/>
            <w:bottom w:val="none" w:sz="0" w:space="0" w:color="auto"/>
            <w:right w:val="none" w:sz="0" w:space="0" w:color="auto"/>
          </w:divBdr>
        </w:div>
        <w:div w:id="864557341">
          <w:marLeft w:val="640"/>
          <w:marRight w:val="0"/>
          <w:marTop w:val="0"/>
          <w:marBottom w:val="0"/>
          <w:divBdr>
            <w:top w:val="none" w:sz="0" w:space="0" w:color="auto"/>
            <w:left w:val="none" w:sz="0" w:space="0" w:color="auto"/>
            <w:bottom w:val="none" w:sz="0" w:space="0" w:color="auto"/>
            <w:right w:val="none" w:sz="0" w:space="0" w:color="auto"/>
          </w:divBdr>
        </w:div>
        <w:div w:id="1963881055">
          <w:marLeft w:val="640"/>
          <w:marRight w:val="0"/>
          <w:marTop w:val="0"/>
          <w:marBottom w:val="0"/>
          <w:divBdr>
            <w:top w:val="none" w:sz="0" w:space="0" w:color="auto"/>
            <w:left w:val="none" w:sz="0" w:space="0" w:color="auto"/>
            <w:bottom w:val="none" w:sz="0" w:space="0" w:color="auto"/>
            <w:right w:val="none" w:sz="0" w:space="0" w:color="auto"/>
          </w:divBdr>
        </w:div>
        <w:div w:id="1552572219">
          <w:marLeft w:val="640"/>
          <w:marRight w:val="0"/>
          <w:marTop w:val="0"/>
          <w:marBottom w:val="0"/>
          <w:divBdr>
            <w:top w:val="none" w:sz="0" w:space="0" w:color="auto"/>
            <w:left w:val="none" w:sz="0" w:space="0" w:color="auto"/>
            <w:bottom w:val="none" w:sz="0" w:space="0" w:color="auto"/>
            <w:right w:val="none" w:sz="0" w:space="0" w:color="auto"/>
          </w:divBdr>
        </w:div>
        <w:div w:id="1404448686">
          <w:marLeft w:val="640"/>
          <w:marRight w:val="0"/>
          <w:marTop w:val="0"/>
          <w:marBottom w:val="0"/>
          <w:divBdr>
            <w:top w:val="none" w:sz="0" w:space="0" w:color="auto"/>
            <w:left w:val="none" w:sz="0" w:space="0" w:color="auto"/>
            <w:bottom w:val="none" w:sz="0" w:space="0" w:color="auto"/>
            <w:right w:val="none" w:sz="0" w:space="0" w:color="auto"/>
          </w:divBdr>
        </w:div>
        <w:div w:id="72631159">
          <w:marLeft w:val="640"/>
          <w:marRight w:val="0"/>
          <w:marTop w:val="0"/>
          <w:marBottom w:val="0"/>
          <w:divBdr>
            <w:top w:val="none" w:sz="0" w:space="0" w:color="auto"/>
            <w:left w:val="none" w:sz="0" w:space="0" w:color="auto"/>
            <w:bottom w:val="none" w:sz="0" w:space="0" w:color="auto"/>
            <w:right w:val="none" w:sz="0" w:space="0" w:color="auto"/>
          </w:divBdr>
        </w:div>
        <w:div w:id="544681147">
          <w:marLeft w:val="640"/>
          <w:marRight w:val="0"/>
          <w:marTop w:val="0"/>
          <w:marBottom w:val="0"/>
          <w:divBdr>
            <w:top w:val="none" w:sz="0" w:space="0" w:color="auto"/>
            <w:left w:val="none" w:sz="0" w:space="0" w:color="auto"/>
            <w:bottom w:val="none" w:sz="0" w:space="0" w:color="auto"/>
            <w:right w:val="none" w:sz="0" w:space="0" w:color="auto"/>
          </w:divBdr>
        </w:div>
        <w:div w:id="1281953707">
          <w:marLeft w:val="640"/>
          <w:marRight w:val="0"/>
          <w:marTop w:val="0"/>
          <w:marBottom w:val="0"/>
          <w:divBdr>
            <w:top w:val="none" w:sz="0" w:space="0" w:color="auto"/>
            <w:left w:val="none" w:sz="0" w:space="0" w:color="auto"/>
            <w:bottom w:val="none" w:sz="0" w:space="0" w:color="auto"/>
            <w:right w:val="none" w:sz="0" w:space="0" w:color="auto"/>
          </w:divBdr>
        </w:div>
        <w:div w:id="442043867">
          <w:marLeft w:val="640"/>
          <w:marRight w:val="0"/>
          <w:marTop w:val="0"/>
          <w:marBottom w:val="0"/>
          <w:divBdr>
            <w:top w:val="none" w:sz="0" w:space="0" w:color="auto"/>
            <w:left w:val="none" w:sz="0" w:space="0" w:color="auto"/>
            <w:bottom w:val="none" w:sz="0" w:space="0" w:color="auto"/>
            <w:right w:val="none" w:sz="0" w:space="0" w:color="auto"/>
          </w:divBdr>
        </w:div>
        <w:div w:id="2036685347">
          <w:marLeft w:val="640"/>
          <w:marRight w:val="0"/>
          <w:marTop w:val="0"/>
          <w:marBottom w:val="0"/>
          <w:divBdr>
            <w:top w:val="none" w:sz="0" w:space="0" w:color="auto"/>
            <w:left w:val="none" w:sz="0" w:space="0" w:color="auto"/>
            <w:bottom w:val="none" w:sz="0" w:space="0" w:color="auto"/>
            <w:right w:val="none" w:sz="0" w:space="0" w:color="auto"/>
          </w:divBdr>
        </w:div>
        <w:div w:id="723020831">
          <w:marLeft w:val="640"/>
          <w:marRight w:val="0"/>
          <w:marTop w:val="0"/>
          <w:marBottom w:val="0"/>
          <w:divBdr>
            <w:top w:val="none" w:sz="0" w:space="0" w:color="auto"/>
            <w:left w:val="none" w:sz="0" w:space="0" w:color="auto"/>
            <w:bottom w:val="none" w:sz="0" w:space="0" w:color="auto"/>
            <w:right w:val="none" w:sz="0" w:space="0" w:color="auto"/>
          </w:divBdr>
        </w:div>
        <w:div w:id="1134911167">
          <w:marLeft w:val="640"/>
          <w:marRight w:val="0"/>
          <w:marTop w:val="0"/>
          <w:marBottom w:val="0"/>
          <w:divBdr>
            <w:top w:val="none" w:sz="0" w:space="0" w:color="auto"/>
            <w:left w:val="none" w:sz="0" w:space="0" w:color="auto"/>
            <w:bottom w:val="none" w:sz="0" w:space="0" w:color="auto"/>
            <w:right w:val="none" w:sz="0" w:space="0" w:color="auto"/>
          </w:divBdr>
        </w:div>
        <w:div w:id="1737320860">
          <w:marLeft w:val="640"/>
          <w:marRight w:val="0"/>
          <w:marTop w:val="0"/>
          <w:marBottom w:val="0"/>
          <w:divBdr>
            <w:top w:val="none" w:sz="0" w:space="0" w:color="auto"/>
            <w:left w:val="none" w:sz="0" w:space="0" w:color="auto"/>
            <w:bottom w:val="none" w:sz="0" w:space="0" w:color="auto"/>
            <w:right w:val="none" w:sz="0" w:space="0" w:color="auto"/>
          </w:divBdr>
        </w:div>
        <w:div w:id="1245724495">
          <w:marLeft w:val="640"/>
          <w:marRight w:val="0"/>
          <w:marTop w:val="0"/>
          <w:marBottom w:val="0"/>
          <w:divBdr>
            <w:top w:val="none" w:sz="0" w:space="0" w:color="auto"/>
            <w:left w:val="none" w:sz="0" w:space="0" w:color="auto"/>
            <w:bottom w:val="none" w:sz="0" w:space="0" w:color="auto"/>
            <w:right w:val="none" w:sz="0" w:space="0" w:color="auto"/>
          </w:divBdr>
        </w:div>
        <w:div w:id="1297952384">
          <w:marLeft w:val="640"/>
          <w:marRight w:val="0"/>
          <w:marTop w:val="0"/>
          <w:marBottom w:val="0"/>
          <w:divBdr>
            <w:top w:val="none" w:sz="0" w:space="0" w:color="auto"/>
            <w:left w:val="none" w:sz="0" w:space="0" w:color="auto"/>
            <w:bottom w:val="none" w:sz="0" w:space="0" w:color="auto"/>
            <w:right w:val="none" w:sz="0" w:space="0" w:color="auto"/>
          </w:divBdr>
        </w:div>
        <w:div w:id="1688024650">
          <w:marLeft w:val="640"/>
          <w:marRight w:val="0"/>
          <w:marTop w:val="0"/>
          <w:marBottom w:val="0"/>
          <w:divBdr>
            <w:top w:val="none" w:sz="0" w:space="0" w:color="auto"/>
            <w:left w:val="none" w:sz="0" w:space="0" w:color="auto"/>
            <w:bottom w:val="none" w:sz="0" w:space="0" w:color="auto"/>
            <w:right w:val="none" w:sz="0" w:space="0" w:color="auto"/>
          </w:divBdr>
        </w:div>
        <w:div w:id="1273127633">
          <w:marLeft w:val="640"/>
          <w:marRight w:val="0"/>
          <w:marTop w:val="0"/>
          <w:marBottom w:val="0"/>
          <w:divBdr>
            <w:top w:val="none" w:sz="0" w:space="0" w:color="auto"/>
            <w:left w:val="none" w:sz="0" w:space="0" w:color="auto"/>
            <w:bottom w:val="none" w:sz="0" w:space="0" w:color="auto"/>
            <w:right w:val="none" w:sz="0" w:space="0" w:color="auto"/>
          </w:divBdr>
        </w:div>
        <w:div w:id="1970628276">
          <w:marLeft w:val="640"/>
          <w:marRight w:val="0"/>
          <w:marTop w:val="0"/>
          <w:marBottom w:val="0"/>
          <w:divBdr>
            <w:top w:val="none" w:sz="0" w:space="0" w:color="auto"/>
            <w:left w:val="none" w:sz="0" w:space="0" w:color="auto"/>
            <w:bottom w:val="none" w:sz="0" w:space="0" w:color="auto"/>
            <w:right w:val="none" w:sz="0" w:space="0" w:color="auto"/>
          </w:divBdr>
        </w:div>
        <w:div w:id="938490348">
          <w:marLeft w:val="640"/>
          <w:marRight w:val="0"/>
          <w:marTop w:val="0"/>
          <w:marBottom w:val="0"/>
          <w:divBdr>
            <w:top w:val="none" w:sz="0" w:space="0" w:color="auto"/>
            <w:left w:val="none" w:sz="0" w:space="0" w:color="auto"/>
            <w:bottom w:val="none" w:sz="0" w:space="0" w:color="auto"/>
            <w:right w:val="none" w:sz="0" w:space="0" w:color="auto"/>
          </w:divBdr>
        </w:div>
        <w:div w:id="661008518">
          <w:marLeft w:val="640"/>
          <w:marRight w:val="0"/>
          <w:marTop w:val="0"/>
          <w:marBottom w:val="0"/>
          <w:divBdr>
            <w:top w:val="none" w:sz="0" w:space="0" w:color="auto"/>
            <w:left w:val="none" w:sz="0" w:space="0" w:color="auto"/>
            <w:bottom w:val="none" w:sz="0" w:space="0" w:color="auto"/>
            <w:right w:val="none" w:sz="0" w:space="0" w:color="auto"/>
          </w:divBdr>
        </w:div>
        <w:div w:id="839085107">
          <w:marLeft w:val="640"/>
          <w:marRight w:val="0"/>
          <w:marTop w:val="0"/>
          <w:marBottom w:val="0"/>
          <w:divBdr>
            <w:top w:val="none" w:sz="0" w:space="0" w:color="auto"/>
            <w:left w:val="none" w:sz="0" w:space="0" w:color="auto"/>
            <w:bottom w:val="none" w:sz="0" w:space="0" w:color="auto"/>
            <w:right w:val="none" w:sz="0" w:space="0" w:color="auto"/>
          </w:divBdr>
        </w:div>
        <w:div w:id="1705055152">
          <w:marLeft w:val="640"/>
          <w:marRight w:val="0"/>
          <w:marTop w:val="0"/>
          <w:marBottom w:val="0"/>
          <w:divBdr>
            <w:top w:val="none" w:sz="0" w:space="0" w:color="auto"/>
            <w:left w:val="none" w:sz="0" w:space="0" w:color="auto"/>
            <w:bottom w:val="none" w:sz="0" w:space="0" w:color="auto"/>
            <w:right w:val="none" w:sz="0" w:space="0" w:color="auto"/>
          </w:divBdr>
        </w:div>
        <w:div w:id="1560558862">
          <w:marLeft w:val="640"/>
          <w:marRight w:val="0"/>
          <w:marTop w:val="0"/>
          <w:marBottom w:val="0"/>
          <w:divBdr>
            <w:top w:val="none" w:sz="0" w:space="0" w:color="auto"/>
            <w:left w:val="none" w:sz="0" w:space="0" w:color="auto"/>
            <w:bottom w:val="none" w:sz="0" w:space="0" w:color="auto"/>
            <w:right w:val="none" w:sz="0" w:space="0" w:color="auto"/>
          </w:divBdr>
        </w:div>
        <w:div w:id="536893423">
          <w:marLeft w:val="640"/>
          <w:marRight w:val="0"/>
          <w:marTop w:val="0"/>
          <w:marBottom w:val="0"/>
          <w:divBdr>
            <w:top w:val="none" w:sz="0" w:space="0" w:color="auto"/>
            <w:left w:val="none" w:sz="0" w:space="0" w:color="auto"/>
            <w:bottom w:val="none" w:sz="0" w:space="0" w:color="auto"/>
            <w:right w:val="none" w:sz="0" w:space="0" w:color="auto"/>
          </w:divBdr>
        </w:div>
        <w:div w:id="1854420935">
          <w:marLeft w:val="640"/>
          <w:marRight w:val="0"/>
          <w:marTop w:val="0"/>
          <w:marBottom w:val="0"/>
          <w:divBdr>
            <w:top w:val="none" w:sz="0" w:space="0" w:color="auto"/>
            <w:left w:val="none" w:sz="0" w:space="0" w:color="auto"/>
            <w:bottom w:val="none" w:sz="0" w:space="0" w:color="auto"/>
            <w:right w:val="none" w:sz="0" w:space="0" w:color="auto"/>
          </w:divBdr>
        </w:div>
        <w:div w:id="1936093237">
          <w:marLeft w:val="640"/>
          <w:marRight w:val="0"/>
          <w:marTop w:val="0"/>
          <w:marBottom w:val="0"/>
          <w:divBdr>
            <w:top w:val="none" w:sz="0" w:space="0" w:color="auto"/>
            <w:left w:val="none" w:sz="0" w:space="0" w:color="auto"/>
            <w:bottom w:val="none" w:sz="0" w:space="0" w:color="auto"/>
            <w:right w:val="none" w:sz="0" w:space="0" w:color="auto"/>
          </w:divBdr>
        </w:div>
        <w:div w:id="1092120488">
          <w:marLeft w:val="640"/>
          <w:marRight w:val="0"/>
          <w:marTop w:val="0"/>
          <w:marBottom w:val="0"/>
          <w:divBdr>
            <w:top w:val="none" w:sz="0" w:space="0" w:color="auto"/>
            <w:left w:val="none" w:sz="0" w:space="0" w:color="auto"/>
            <w:bottom w:val="none" w:sz="0" w:space="0" w:color="auto"/>
            <w:right w:val="none" w:sz="0" w:space="0" w:color="auto"/>
          </w:divBdr>
        </w:div>
        <w:div w:id="269556434">
          <w:marLeft w:val="640"/>
          <w:marRight w:val="0"/>
          <w:marTop w:val="0"/>
          <w:marBottom w:val="0"/>
          <w:divBdr>
            <w:top w:val="none" w:sz="0" w:space="0" w:color="auto"/>
            <w:left w:val="none" w:sz="0" w:space="0" w:color="auto"/>
            <w:bottom w:val="none" w:sz="0" w:space="0" w:color="auto"/>
            <w:right w:val="none" w:sz="0" w:space="0" w:color="auto"/>
          </w:divBdr>
        </w:div>
        <w:div w:id="541212605">
          <w:marLeft w:val="640"/>
          <w:marRight w:val="0"/>
          <w:marTop w:val="0"/>
          <w:marBottom w:val="0"/>
          <w:divBdr>
            <w:top w:val="none" w:sz="0" w:space="0" w:color="auto"/>
            <w:left w:val="none" w:sz="0" w:space="0" w:color="auto"/>
            <w:bottom w:val="none" w:sz="0" w:space="0" w:color="auto"/>
            <w:right w:val="none" w:sz="0" w:space="0" w:color="auto"/>
          </w:divBdr>
        </w:div>
        <w:div w:id="1347245449">
          <w:marLeft w:val="640"/>
          <w:marRight w:val="0"/>
          <w:marTop w:val="0"/>
          <w:marBottom w:val="0"/>
          <w:divBdr>
            <w:top w:val="none" w:sz="0" w:space="0" w:color="auto"/>
            <w:left w:val="none" w:sz="0" w:space="0" w:color="auto"/>
            <w:bottom w:val="none" w:sz="0" w:space="0" w:color="auto"/>
            <w:right w:val="none" w:sz="0" w:space="0" w:color="auto"/>
          </w:divBdr>
        </w:div>
        <w:div w:id="6904130">
          <w:marLeft w:val="640"/>
          <w:marRight w:val="0"/>
          <w:marTop w:val="0"/>
          <w:marBottom w:val="0"/>
          <w:divBdr>
            <w:top w:val="none" w:sz="0" w:space="0" w:color="auto"/>
            <w:left w:val="none" w:sz="0" w:space="0" w:color="auto"/>
            <w:bottom w:val="none" w:sz="0" w:space="0" w:color="auto"/>
            <w:right w:val="none" w:sz="0" w:space="0" w:color="auto"/>
          </w:divBdr>
        </w:div>
        <w:div w:id="1603370022">
          <w:marLeft w:val="640"/>
          <w:marRight w:val="0"/>
          <w:marTop w:val="0"/>
          <w:marBottom w:val="0"/>
          <w:divBdr>
            <w:top w:val="none" w:sz="0" w:space="0" w:color="auto"/>
            <w:left w:val="none" w:sz="0" w:space="0" w:color="auto"/>
            <w:bottom w:val="none" w:sz="0" w:space="0" w:color="auto"/>
            <w:right w:val="none" w:sz="0" w:space="0" w:color="auto"/>
          </w:divBdr>
        </w:div>
        <w:div w:id="1423838592">
          <w:marLeft w:val="640"/>
          <w:marRight w:val="0"/>
          <w:marTop w:val="0"/>
          <w:marBottom w:val="0"/>
          <w:divBdr>
            <w:top w:val="none" w:sz="0" w:space="0" w:color="auto"/>
            <w:left w:val="none" w:sz="0" w:space="0" w:color="auto"/>
            <w:bottom w:val="none" w:sz="0" w:space="0" w:color="auto"/>
            <w:right w:val="none" w:sz="0" w:space="0" w:color="auto"/>
          </w:divBdr>
        </w:div>
        <w:div w:id="1238326225">
          <w:marLeft w:val="640"/>
          <w:marRight w:val="0"/>
          <w:marTop w:val="0"/>
          <w:marBottom w:val="0"/>
          <w:divBdr>
            <w:top w:val="none" w:sz="0" w:space="0" w:color="auto"/>
            <w:left w:val="none" w:sz="0" w:space="0" w:color="auto"/>
            <w:bottom w:val="none" w:sz="0" w:space="0" w:color="auto"/>
            <w:right w:val="none" w:sz="0" w:space="0" w:color="auto"/>
          </w:divBdr>
        </w:div>
        <w:div w:id="577324643">
          <w:marLeft w:val="640"/>
          <w:marRight w:val="0"/>
          <w:marTop w:val="0"/>
          <w:marBottom w:val="0"/>
          <w:divBdr>
            <w:top w:val="none" w:sz="0" w:space="0" w:color="auto"/>
            <w:left w:val="none" w:sz="0" w:space="0" w:color="auto"/>
            <w:bottom w:val="none" w:sz="0" w:space="0" w:color="auto"/>
            <w:right w:val="none" w:sz="0" w:space="0" w:color="auto"/>
          </w:divBdr>
        </w:div>
        <w:div w:id="1429814886">
          <w:marLeft w:val="640"/>
          <w:marRight w:val="0"/>
          <w:marTop w:val="0"/>
          <w:marBottom w:val="0"/>
          <w:divBdr>
            <w:top w:val="none" w:sz="0" w:space="0" w:color="auto"/>
            <w:left w:val="none" w:sz="0" w:space="0" w:color="auto"/>
            <w:bottom w:val="none" w:sz="0" w:space="0" w:color="auto"/>
            <w:right w:val="none" w:sz="0" w:space="0" w:color="auto"/>
          </w:divBdr>
        </w:div>
        <w:div w:id="2115442102">
          <w:marLeft w:val="640"/>
          <w:marRight w:val="0"/>
          <w:marTop w:val="0"/>
          <w:marBottom w:val="0"/>
          <w:divBdr>
            <w:top w:val="none" w:sz="0" w:space="0" w:color="auto"/>
            <w:left w:val="none" w:sz="0" w:space="0" w:color="auto"/>
            <w:bottom w:val="none" w:sz="0" w:space="0" w:color="auto"/>
            <w:right w:val="none" w:sz="0" w:space="0" w:color="auto"/>
          </w:divBdr>
        </w:div>
        <w:div w:id="1112283044">
          <w:marLeft w:val="640"/>
          <w:marRight w:val="0"/>
          <w:marTop w:val="0"/>
          <w:marBottom w:val="0"/>
          <w:divBdr>
            <w:top w:val="none" w:sz="0" w:space="0" w:color="auto"/>
            <w:left w:val="none" w:sz="0" w:space="0" w:color="auto"/>
            <w:bottom w:val="none" w:sz="0" w:space="0" w:color="auto"/>
            <w:right w:val="none" w:sz="0" w:space="0" w:color="auto"/>
          </w:divBdr>
        </w:div>
        <w:div w:id="127548698">
          <w:marLeft w:val="640"/>
          <w:marRight w:val="0"/>
          <w:marTop w:val="0"/>
          <w:marBottom w:val="0"/>
          <w:divBdr>
            <w:top w:val="none" w:sz="0" w:space="0" w:color="auto"/>
            <w:left w:val="none" w:sz="0" w:space="0" w:color="auto"/>
            <w:bottom w:val="none" w:sz="0" w:space="0" w:color="auto"/>
            <w:right w:val="none" w:sz="0" w:space="0" w:color="auto"/>
          </w:divBdr>
        </w:div>
        <w:div w:id="910969519">
          <w:marLeft w:val="640"/>
          <w:marRight w:val="0"/>
          <w:marTop w:val="0"/>
          <w:marBottom w:val="0"/>
          <w:divBdr>
            <w:top w:val="none" w:sz="0" w:space="0" w:color="auto"/>
            <w:left w:val="none" w:sz="0" w:space="0" w:color="auto"/>
            <w:bottom w:val="none" w:sz="0" w:space="0" w:color="auto"/>
            <w:right w:val="none" w:sz="0" w:space="0" w:color="auto"/>
          </w:divBdr>
        </w:div>
        <w:div w:id="1521549528">
          <w:marLeft w:val="640"/>
          <w:marRight w:val="0"/>
          <w:marTop w:val="0"/>
          <w:marBottom w:val="0"/>
          <w:divBdr>
            <w:top w:val="none" w:sz="0" w:space="0" w:color="auto"/>
            <w:left w:val="none" w:sz="0" w:space="0" w:color="auto"/>
            <w:bottom w:val="none" w:sz="0" w:space="0" w:color="auto"/>
            <w:right w:val="none" w:sz="0" w:space="0" w:color="auto"/>
          </w:divBdr>
        </w:div>
        <w:div w:id="699235278">
          <w:marLeft w:val="640"/>
          <w:marRight w:val="0"/>
          <w:marTop w:val="0"/>
          <w:marBottom w:val="0"/>
          <w:divBdr>
            <w:top w:val="none" w:sz="0" w:space="0" w:color="auto"/>
            <w:left w:val="none" w:sz="0" w:space="0" w:color="auto"/>
            <w:bottom w:val="none" w:sz="0" w:space="0" w:color="auto"/>
            <w:right w:val="none" w:sz="0" w:space="0" w:color="auto"/>
          </w:divBdr>
        </w:div>
      </w:divsChild>
    </w:div>
    <w:div w:id="1159030602">
      <w:bodyDiv w:val="1"/>
      <w:marLeft w:val="0"/>
      <w:marRight w:val="0"/>
      <w:marTop w:val="0"/>
      <w:marBottom w:val="0"/>
      <w:divBdr>
        <w:top w:val="none" w:sz="0" w:space="0" w:color="auto"/>
        <w:left w:val="none" w:sz="0" w:space="0" w:color="auto"/>
        <w:bottom w:val="none" w:sz="0" w:space="0" w:color="auto"/>
        <w:right w:val="none" w:sz="0" w:space="0" w:color="auto"/>
      </w:divBdr>
      <w:divsChild>
        <w:div w:id="2134057727">
          <w:marLeft w:val="640"/>
          <w:marRight w:val="0"/>
          <w:marTop w:val="0"/>
          <w:marBottom w:val="0"/>
          <w:divBdr>
            <w:top w:val="none" w:sz="0" w:space="0" w:color="auto"/>
            <w:left w:val="none" w:sz="0" w:space="0" w:color="auto"/>
            <w:bottom w:val="none" w:sz="0" w:space="0" w:color="auto"/>
            <w:right w:val="none" w:sz="0" w:space="0" w:color="auto"/>
          </w:divBdr>
        </w:div>
        <w:div w:id="192570876">
          <w:marLeft w:val="640"/>
          <w:marRight w:val="0"/>
          <w:marTop w:val="0"/>
          <w:marBottom w:val="0"/>
          <w:divBdr>
            <w:top w:val="none" w:sz="0" w:space="0" w:color="auto"/>
            <w:left w:val="none" w:sz="0" w:space="0" w:color="auto"/>
            <w:bottom w:val="none" w:sz="0" w:space="0" w:color="auto"/>
            <w:right w:val="none" w:sz="0" w:space="0" w:color="auto"/>
          </w:divBdr>
        </w:div>
        <w:div w:id="1537618815">
          <w:marLeft w:val="640"/>
          <w:marRight w:val="0"/>
          <w:marTop w:val="0"/>
          <w:marBottom w:val="0"/>
          <w:divBdr>
            <w:top w:val="none" w:sz="0" w:space="0" w:color="auto"/>
            <w:left w:val="none" w:sz="0" w:space="0" w:color="auto"/>
            <w:bottom w:val="none" w:sz="0" w:space="0" w:color="auto"/>
            <w:right w:val="none" w:sz="0" w:space="0" w:color="auto"/>
          </w:divBdr>
        </w:div>
        <w:div w:id="185021012">
          <w:marLeft w:val="640"/>
          <w:marRight w:val="0"/>
          <w:marTop w:val="0"/>
          <w:marBottom w:val="0"/>
          <w:divBdr>
            <w:top w:val="none" w:sz="0" w:space="0" w:color="auto"/>
            <w:left w:val="none" w:sz="0" w:space="0" w:color="auto"/>
            <w:bottom w:val="none" w:sz="0" w:space="0" w:color="auto"/>
            <w:right w:val="none" w:sz="0" w:space="0" w:color="auto"/>
          </w:divBdr>
        </w:div>
        <w:div w:id="2017465140">
          <w:marLeft w:val="640"/>
          <w:marRight w:val="0"/>
          <w:marTop w:val="0"/>
          <w:marBottom w:val="0"/>
          <w:divBdr>
            <w:top w:val="none" w:sz="0" w:space="0" w:color="auto"/>
            <w:left w:val="none" w:sz="0" w:space="0" w:color="auto"/>
            <w:bottom w:val="none" w:sz="0" w:space="0" w:color="auto"/>
            <w:right w:val="none" w:sz="0" w:space="0" w:color="auto"/>
          </w:divBdr>
        </w:div>
        <w:div w:id="820392440">
          <w:marLeft w:val="640"/>
          <w:marRight w:val="0"/>
          <w:marTop w:val="0"/>
          <w:marBottom w:val="0"/>
          <w:divBdr>
            <w:top w:val="none" w:sz="0" w:space="0" w:color="auto"/>
            <w:left w:val="none" w:sz="0" w:space="0" w:color="auto"/>
            <w:bottom w:val="none" w:sz="0" w:space="0" w:color="auto"/>
            <w:right w:val="none" w:sz="0" w:space="0" w:color="auto"/>
          </w:divBdr>
        </w:div>
        <w:div w:id="866336509">
          <w:marLeft w:val="640"/>
          <w:marRight w:val="0"/>
          <w:marTop w:val="0"/>
          <w:marBottom w:val="0"/>
          <w:divBdr>
            <w:top w:val="none" w:sz="0" w:space="0" w:color="auto"/>
            <w:left w:val="none" w:sz="0" w:space="0" w:color="auto"/>
            <w:bottom w:val="none" w:sz="0" w:space="0" w:color="auto"/>
            <w:right w:val="none" w:sz="0" w:space="0" w:color="auto"/>
          </w:divBdr>
        </w:div>
        <w:div w:id="1895390874">
          <w:marLeft w:val="640"/>
          <w:marRight w:val="0"/>
          <w:marTop w:val="0"/>
          <w:marBottom w:val="0"/>
          <w:divBdr>
            <w:top w:val="none" w:sz="0" w:space="0" w:color="auto"/>
            <w:left w:val="none" w:sz="0" w:space="0" w:color="auto"/>
            <w:bottom w:val="none" w:sz="0" w:space="0" w:color="auto"/>
            <w:right w:val="none" w:sz="0" w:space="0" w:color="auto"/>
          </w:divBdr>
        </w:div>
        <w:div w:id="1587222954">
          <w:marLeft w:val="640"/>
          <w:marRight w:val="0"/>
          <w:marTop w:val="0"/>
          <w:marBottom w:val="0"/>
          <w:divBdr>
            <w:top w:val="none" w:sz="0" w:space="0" w:color="auto"/>
            <w:left w:val="none" w:sz="0" w:space="0" w:color="auto"/>
            <w:bottom w:val="none" w:sz="0" w:space="0" w:color="auto"/>
            <w:right w:val="none" w:sz="0" w:space="0" w:color="auto"/>
          </w:divBdr>
        </w:div>
        <w:div w:id="2136291396">
          <w:marLeft w:val="640"/>
          <w:marRight w:val="0"/>
          <w:marTop w:val="0"/>
          <w:marBottom w:val="0"/>
          <w:divBdr>
            <w:top w:val="none" w:sz="0" w:space="0" w:color="auto"/>
            <w:left w:val="none" w:sz="0" w:space="0" w:color="auto"/>
            <w:bottom w:val="none" w:sz="0" w:space="0" w:color="auto"/>
            <w:right w:val="none" w:sz="0" w:space="0" w:color="auto"/>
          </w:divBdr>
        </w:div>
        <w:div w:id="2129543720">
          <w:marLeft w:val="640"/>
          <w:marRight w:val="0"/>
          <w:marTop w:val="0"/>
          <w:marBottom w:val="0"/>
          <w:divBdr>
            <w:top w:val="none" w:sz="0" w:space="0" w:color="auto"/>
            <w:left w:val="none" w:sz="0" w:space="0" w:color="auto"/>
            <w:bottom w:val="none" w:sz="0" w:space="0" w:color="auto"/>
            <w:right w:val="none" w:sz="0" w:space="0" w:color="auto"/>
          </w:divBdr>
        </w:div>
        <w:div w:id="153300339">
          <w:marLeft w:val="640"/>
          <w:marRight w:val="0"/>
          <w:marTop w:val="0"/>
          <w:marBottom w:val="0"/>
          <w:divBdr>
            <w:top w:val="none" w:sz="0" w:space="0" w:color="auto"/>
            <w:left w:val="none" w:sz="0" w:space="0" w:color="auto"/>
            <w:bottom w:val="none" w:sz="0" w:space="0" w:color="auto"/>
            <w:right w:val="none" w:sz="0" w:space="0" w:color="auto"/>
          </w:divBdr>
        </w:div>
        <w:div w:id="2117165947">
          <w:marLeft w:val="640"/>
          <w:marRight w:val="0"/>
          <w:marTop w:val="0"/>
          <w:marBottom w:val="0"/>
          <w:divBdr>
            <w:top w:val="none" w:sz="0" w:space="0" w:color="auto"/>
            <w:left w:val="none" w:sz="0" w:space="0" w:color="auto"/>
            <w:bottom w:val="none" w:sz="0" w:space="0" w:color="auto"/>
            <w:right w:val="none" w:sz="0" w:space="0" w:color="auto"/>
          </w:divBdr>
        </w:div>
        <w:div w:id="1342975181">
          <w:marLeft w:val="640"/>
          <w:marRight w:val="0"/>
          <w:marTop w:val="0"/>
          <w:marBottom w:val="0"/>
          <w:divBdr>
            <w:top w:val="none" w:sz="0" w:space="0" w:color="auto"/>
            <w:left w:val="none" w:sz="0" w:space="0" w:color="auto"/>
            <w:bottom w:val="none" w:sz="0" w:space="0" w:color="auto"/>
            <w:right w:val="none" w:sz="0" w:space="0" w:color="auto"/>
          </w:divBdr>
        </w:div>
        <w:div w:id="49547540">
          <w:marLeft w:val="640"/>
          <w:marRight w:val="0"/>
          <w:marTop w:val="0"/>
          <w:marBottom w:val="0"/>
          <w:divBdr>
            <w:top w:val="none" w:sz="0" w:space="0" w:color="auto"/>
            <w:left w:val="none" w:sz="0" w:space="0" w:color="auto"/>
            <w:bottom w:val="none" w:sz="0" w:space="0" w:color="auto"/>
            <w:right w:val="none" w:sz="0" w:space="0" w:color="auto"/>
          </w:divBdr>
        </w:div>
        <w:div w:id="1724600244">
          <w:marLeft w:val="640"/>
          <w:marRight w:val="0"/>
          <w:marTop w:val="0"/>
          <w:marBottom w:val="0"/>
          <w:divBdr>
            <w:top w:val="none" w:sz="0" w:space="0" w:color="auto"/>
            <w:left w:val="none" w:sz="0" w:space="0" w:color="auto"/>
            <w:bottom w:val="none" w:sz="0" w:space="0" w:color="auto"/>
            <w:right w:val="none" w:sz="0" w:space="0" w:color="auto"/>
          </w:divBdr>
        </w:div>
        <w:div w:id="343243955">
          <w:marLeft w:val="640"/>
          <w:marRight w:val="0"/>
          <w:marTop w:val="0"/>
          <w:marBottom w:val="0"/>
          <w:divBdr>
            <w:top w:val="none" w:sz="0" w:space="0" w:color="auto"/>
            <w:left w:val="none" w:sz="0" w:space="0" w:color="auto"/>
            <w:bottom w:val="none" w:sz="0" w:space="0" w:color="auto"/>
            <w:right w:val="none" w:sz="0" w:space="0" w:color="auto"/>
          </w:divBdr>
        </w:div>
        <w:div w:id="445782312">
          <w:marLeft w:val="640"/>
          <w:marRight w:val="0"/>
          <w:marTop w:val="0"/>
          <w:marBottom w:val="0"/>
          <w:divBdr>
            <w:top w:val="none" w:sz="0" w:space="0" w:color="auto"/>
            <w:left w:val="none" w:sz="0" w:space="0" w:color="auto"/>
            <w:bottom w:val="none" w:sz="0" w:space="0" w:color="auto"/>
            <w:right w:val="none" w:sz="0" w:space="0" w:color="auto"/>
          </w:divBdr>
        </w:div>
        <w:div w:id="261189063">
          <w:marLeft w:val="640"/>
          <w:marRight w:val="0"/>
          <w:marTop w:val="0"/>
          <w:marBottom w:val="0"/>
          <w:divBdr>
            <w:top w:val="none" w:sz="0" w:space="0" w:color="auto"/>
            <w:left w:val="none" w:sz="0" w:space="0" w:color="auto"/>
            <w:bottom w:val="none" w:sz="0" w:space="0" w:color="auto"/>
            <w:right w:val="none" w:sz="0" w:space="0" w:color="auto"/>
          </w:divBdr>
        </w:div>
        <w:div w:id="1574512002">
          <w:marLeft w:val="640"/>
          <w:marRight w:val="0"/>
          <w:marTop w:val="0"/>
          <w:marBottom w:val="0"/>
          <w:divBdr>
            <w:top w:val="none" w:sz="0" w:space="0" w:color="auto"/>
            <w:left w:val="none" w:sz="0" w:space="0" w:color="auto"/>
            <w:bottom w:val="none" w:sz="0" w:space="0" w:color="auto"/>
            <w:right w:val="none" w:sz="0" w:space="0" w:color="auto"/>
          </w:divBdr>
        </w:div>
        <w:div w:id="1877044642">
          <w:marLeft w:val="640"/>
          <w:marRight w:val="0"/>
          <w:marTop w:val="0"/>
          <w:marBottom w:val="0"/>
          <w:divBdr>
            <w:top w:val="none" w:sz="0" w:space="0" w:color="auto"/>
            <w:left w:val="none" w:sz="0" w:space="0" w:color="auto"/>
            <w:bottom w:val="none" w:sz="0" w:space="0" w:color="auto"/>
            <w:right w:val="none" w:sz="0" w:space="0" w:color="auto"/>
          </w:divBdr>
        </w:div>
        <w:div w:id="891695393">
          <w:marLeft w:val="640"/>
          <w:marRight w:val="0"/>
          <w:marTop w:val="0"/>
          <w:marBottom w:val="0"/>
          <w:divBdr>
            <w:top w:val="none" w:sz="0" w:space="0" w:color="auto"/>
            <w:left w:val="none" w:sz="0" w:space="0" w:color="auto"/>
            <w:bottom w:val="none" w:sz="0" w:space="0" w:color="auto"/>
            <w:right w:val="none" w:sz="0" w:space="0" w:color="auto"/>
          </w:divBdr>
        </w:div>
        <w:div w:id="838809309">
          <w:marLeft w:val="640"/>
          <w:marRight w:val="0"/>
          <w:marTop w:val="0"/>
          <w:marBottom w:val="0"/>
          <w:divBdr>
            <w:top w:val="none" w:sz="0" w:space="0" w:color="auto"/>
            <w:left w:val="none" w:sz="0" w:space="0" w:color="auto"/>
            <w:bottom w:val="none" w:sz="0" w:space="0" w:color="auto"/>
            <w:right w:val="none" w:sz="0" w:space="0" w:color="auto"/>
          </w:divBdr>
        </w:div>
        <w:div w:id="1755131232">
          <w:marLeft w:val="640"/>
          <w:marRight w:val="0"/>
          <w:marTop w:val="0"/>
          <w:marBottom w:val="0"/>
          <w:divBdr>
            <w:top w:val="none" w:sz="0" w:space="0" w:color="auto"/>
            <w:left w:val="none" w:sz="0" w:space="0" w:color="auto"/>
            <w:bottom w:val="none" w:sz="0" w:space="0" w:color="auto"/>
            <w:right w:val="none" w:sz="0" w:space="0" w:color="auto"/>
          </w:divBdr>
        </w:div>
        <w:div w:id="1039016664">
          <w:marLeft w:val="640"/>
          <w:marRight w:val="0"/>
          <w:marTop w:val="0"/>
          <w:marBottom w:val="0"/>
          <w:divBdr>
            <w:top w:val="none" w:sz="0" w:space="0" w:color="auto"/>
            <w:left w:val="none" w:sz="0" w:space="0" w:color="auto"/>
            <w:bottom w:val="none" w:sz="0" w:space="0" w:color="auto"/>
            <w:right w:val="none" w:sz="0" w:space="0" w:color="auto"/>
          </w:divBdr>
        </w:div>
        <w:div w:id="1192837749">
          <w:marLeft w:val="640"/>
          <w:marRight w:val="0"/>
          <w:marTop w:val="0"/>
          <w:marBottom w:val="0"/>
          <w:divBdr>
            <w:top w:val="none" w:sz="0" w:space="0" w:color="auto"/>
            <w:left w:val="none" w:sz="0" w:space="0" w:color="auto"/>
            <w:bottom w:val="none" w:sz="0" w:space="0" w:color="auto"/>
            <w:right w:val="none" w:sz="0" w:space="0" w:color="auto"/>
          </w:divBdr>
        </w:div>
        <w:div w:id="619999068">
          <w:marLeft w:val="640"/>
          <w:marRight w:val="0"/>
          <w:marTop w:val="0"/>
          <w:marBottom w:val="0"/>
          <w:divBdr>
            <w:top w:val="none" w:sz="0" w:space="0" w:color="auto"/>
            <w:left w:val="none" w:sz="0" w:space="0" w:color="auto"/>
            <w:bottom w:val="none" w:sz="0" w:space="0" w:color="auto"/>
            <w:right w:val="none" w:sz="0" w:space="0" w:color="auto"/>
          </w:divBdr>
        </w:div>
        <w:div w:id="823619226">
          <w:marLeft w:val="640"/>
          <w:marRight w:val="0"/>
          <w:marTop w:val="0"/>
          <w:marBottom w:val="0"/>
          <w:divBdr>
            <w:top w:val="none" w:sz="0" w:space="0" w:color="auto"/>
            <w:left w:val="none" w:sz="0" w:space="0" w:color="auto"/>
            <w:bottom w:val="none" w:sz="0" w:space="0" w:color="auto"/>
            <w:right w:val="none" w:sz="0" w:space="0" w:color="auto"/>
          </w:divBdr>
        </w:div>
        <w:div w:id="132328741">
          <w:marLeft w:val="640"/>
          <w:marRight w:val="0"/>
          <w:marTop w:val="0"/>
          <w:marBottom w:val="0"/>
          <w:divBdr>
            <w:top w:val="none" w:sz="0" w:space="0" w:color="auto"/>
            <w:left w:val="none" w:sz="0" w:space="0" w:color="auto"/>
            <w:bottom w:val="none" w:sz="0" w:space="0" w:color="auto"/>
            <w:right w:val="none" w:sz="0" w:space="0" w:color="auto"/>
          </w:divBdr>
        </w:div>
        <w:div w:id="1789230987">
          <w:marLeft w:val="640"/>
          <w:marRight w:val="0"/>
          <w:marTop w:val="0"/>
          <w:marBottom w:val="0"/>
          <w:divBdr>
            <w:top w:val="none" w:sz="0" w:space="0" w:color="auto"/>
            <w:left w:val="none" w:sz="0" w:space="0" w:color="auto"/>
            <w:bottom w:val="none" w:sz="0" w:space="0" w:color="auto"/>
            <w:right w:val="none" w:sz="0" w:space="0" w:color="auto"/>
          </w:divBdr>
        </w:div>
        <w:div w:id="2079984723">
          <w:marLeft w:val="640"/>
          <w:marRight w:val="0"/>
          <w:marTop w:val="0"/>
          <w:marBottom w:val="0"/>
          <w:divBdr>
            <w:top w:val="none" w:sz="0" w:space="0" w:color="auto"/>
            <w:left w:val="none" w:sz="0" w:space="0" w:color="auto"/>
            <w:bottom w:val="none" w:sz="0" w:space="0" w:color="auto"/>
            <w:right w:val="none" w:sz="0" w:space="0" w:color="auto"/>
          </w:divBdr>
        </w:div>
        <w:div w:id="397366518">
          <w:marLeft w:val="640"/>
          <w:marRight w:val="0"/>
          <w:marTop w:val="0"/>
          <w:marBottom w:val="0"/>
          <w:divBdr>
            <w:top w:val="none" w:sz="0" w:space="0" w:color="auto"/>
            <w:left w:val="none" w:sz="0" w:space="0" w:color="auto"/>
            <w:bottom w:val="none" w:sz="0" w:space="0" w:color="auto"/>
            <w:right w:val="none" w:sz="0" w:space="0" w:color="auto"/>
          </w:divBdr>
        </w:div>
        <w:div w:id="1036933985">
          <w:marLeft w:val="640"/>
          <w:marRight w:val="0"/>
          <w:marTop w:val="0"/>
          <w:marBottom w:val="0"/>
          <w:divBdr>
            <w:top w:val="none" w:sz="0" w:space="0" w:color="auto"/>
            <w:left w:val="none" w:sz="0" w:space="0" w:color="auto"/>
            <w:bottom w:val="none" w:sz="0" w:space="0" w:color="auto"/>
            <w:right w:val="none" w:sz="0" w:space="0" w:color="auto"/>
          </w:divBdr>
        </w:div>
        <w:div w:id="434205109">
          <w:marLeft w:val="640"/>
          <w:marRight w:val="0"/>
          <w:marTop w:val="0"/>
          <w:marBottom w:val="0"/>
          <w:divBdr>
            <w:top w:val="none" w:sz="0" w:space="0" w:color="auto"/>
            <w:left w:val="none" w:sz="0" w:space="0" w:color="auto"/>
            <w:bottom w:val="none" w:sz="0" w:space="0" w:color="auto"/>
            <w:right w:val="none" w:sz="0" w:space="0" w:color="auto"/>
          </w:divBdr>
        </w:div>
        <w:div w:id="1286154606">
          <w:marLeft w:val="640"/>
          <w:marRight w:val="0"/>
          <w:marTop w:val="0"/>
          <w:marBottom w:val="0"/>
          <w:divBdr>
            <w:top w:val="none" w:sz="0" w:space="0" w:color="auto"/>
            <w:left w:val="none" w:sz="0" w:space="0" w:color="auto"/>
            <w:bottom w:val="none" w:sz="0" w:space="0" w:color="auto"/>
            <w:right w:val="none" w:sz="0" w:space="0" w:color="auto"/>
          </w:divBdr>
        </w:div>
        <w:div w:id="601113165">
          <w:marLeft w:val="640"/>
          <w:marRight w:val="0"/>
          <w:marTop w:val="0"/>
          <w:marBottom w:val="0"/>
          <w:divBdr>
            <w:top w:val="none" w:sz="0" w:space="0" w:color="auto"/>
            <w:left w:val="none" w:sz="0" w:space="0" w:color="auto"/>
            <w:bottom w:val="none" w:sz="0" w:space="0" w:color="auto"/>
            <w:right w:val="none" w:sz="0" w:space="0" w:color="auto"/>
          </w:divBdr>
        </w:div>
        <w:div w:id="1987009721">
          <w:marLeft w:val="640"/>
          <w:marRight w:val="0"/>
          <w:marTop w:val="0"/>
          <w:marBottom w:val="0"/>
          <w:divBdr>
            <w:top w:val="none" w:sz="0" w:space="0" w:color="auto"/>
            <w:left w:val="none" w:sz="0" w:space="0" w:color="auto"/>
            <w:bottom w:val="none" w:sz="0" w:space="0" w:color="auto"/>
            <w:right w:val="none" w:sz="0" w:space="0" w:color="auto"/>
          </w:divBdr>
        </w:div>
        <w:div w:id="1062287357">
          <w:marLeft w:val="640"/>
          <w:marRight w:val="0"/>
          <w:marTop w:val="0"/>
          <w:marBottom w:val="0"/>
          <w:divBdr>
            <w:top w:val="none" w:sz="0" w:space="0" w:color="auto"/>
            <w:left w:val="none" w:sz="0" w:space="0" w:color="auto"/>
            <w:bottom w:val="none" w:sz="0" w:space="0" w:color="auto"/>
            <w:right w:val="none" w:sz="0" w:space="0" w:color="auto"/>
          </w:divBdr>
        </w:div>
        <w:div w:id="81996604">
          <w:marLeft w:val="640"/>
          <w:marRight w:val="0"/>
          <w:marTop w:val="0"/>
          <w:marBottom w:val="0"/>
          <w:divBdr>
            <w:top w:val="none" w:sz="0" w:space="0" w:color="auto"/>
            <w:left w:val="none" w:sz="0" w:space="0" w:color="auto"/>
            <w:bottom w:val="none" w:sz="0" w:space="0" w:color="auto"/>
            <w:right w:val="none" w:sz="0" w:space="0" w:color="auto"/>
          </w:divBdr>
        </w:div>
        <w:div w:id="2059695788">
          <w:marLeft w:val="640"/>
          <w:marRight w:val="0"/>
          <w:marTop w:val="0"/>
          <w:marBottom w:val="0"/>
          <w:divBdr>
            <w:top w:val="none" w:sz="0" w:space="0" w:color="auto"/>
            <w:left w:val="none" w:sz="0" w:space="0" w:color="auto"/>
            <w:bottom w:val="none" w:sz="0" w:space="0" w:color="auto"/>
            <w:right w:val="none" w:sz="0" w:space="0" w:color="auto"/>
          </w:divBdr>
        </w:div>
        <w:div w:id="1712075086">
          <w:marLeft w:val="640"/>
          <w:marRight w:val="0"/>
          <w:marTop w:val="0"/>
          <w:marBottom w:val="0"/>
          <w:divBdr>
            <w:top w:val="none" w:sz="0" w:space="0" w:color="auto"/>
            <w:left w:val="none" w:sz="0" w:space="0" w:color="auto"/>
            <w:bottom w:val="none" w:sz="0" w:space="0" w:color="auto"/>
            <w:right w:val="none" w:sz="0" w:space="0" w:color="auto"/>
          </w:divBdr>
        </w:div>
        <w:div w:id="452406596">
          <w:marLeft w:val="640"/>
          <w:marRight w:val="0"/>
          <w:marTop w:val="0"/>
          <w:marBottom w:val="0"/>
          <w:divBdr>
            <w:top w:val="none" w:sz="0" w:space="0" w:color="auto"/>
            <w:left w:val="none" w:sz="0" w:space="0" w:color="auto"/>
            <w:bottom w:val="none" w:sz="0" w:space="0" w:color="auto"/>
            <w:right w:val="none" w:sz="0" w:space="0" w:color="auto"/>
          </w:divBdr>
        </w:div>
        <w:div w:id="1581598622">
          <w:marLeft w:val="640"/>
          <w:marRight w:val="0"/>
          <w:marTop w:val="0"/>
          <w:marBottom w:val="0"/>
          <w:divBdr>
            <w:top w:val="none" w:sz="0" w:space="0" w:color="auto"/>
            <w:left w:val="none" w:sz="0" w:space="0" w:color="auto"/>
            <w:bottom w:val="none" w:sz="0" w:space="0" w:color="auto"/>
            <w:right w:val="none" w:sz="0" w:space="0" w:color="auto"/>
          </w:divBdr>
        </w:div>
        <w:div w:id="446003871">
          <w:marLeft w:val="640"/>
          <w:marRight w:val="0"/>
          <w:marTop w:val="0"/>
          <w:marBottom w:val="0"/>
          <w:divBdr>
            <w:top w:val="none" w:sz="0" w:space="0" w:color="auto"/>
            <w:left w:val="none" w:sz="0" w:space="0" w:color="auto"/>
            <w:bottom w:val="none" w:sz="0" w:space="0" w:color="auto"/>
            <w:right w:val="none" w:sz="0" w:space="0" w:color="auto"/>
          </w:divBdr>
        </w:div>
        <w:div w:id="1897617803">
          <w:marLeft w:val="640"/>
          <w:marRight w:val="0"/>
          <w:marTop w:val="0"/>
          <w:marBottom w:val="0"/>
          <w:divBdr>
            <w:top w:val="none" w:sz="0" w:space="0" w:color="auto"/>
            <w:left w:val="none" w:sz="0" w:space="0" w:color="auto"/>
            <w:bottom w:val="none" w:sz="0" w:space="0" w:color="auto"/>
            <w:right w:val="none" w:sz="0" w:space="0" w:color="auto"/>
          </w:divBdr>
        </w:div>
        <w:div w:id="1878736693">
          <w:marLeft w:val="640"/>
          <w:marRight w:val="0"/>
          <w:marTop w:val="0"/>
          <w:marBottom w:val="0"/>
          <w:divBdr>
            <w:top w:val="none" w:sz="0" w:space="0" w:color="auto"/>
            <w:left w:val="none" w:sz="0" w:space="0" w:color="auto"/>
            <w:bottom w:val="none" w:sz="0" w:space="0" w:color="auto"/>
            <w:right w:val="none" w:sz="0" w:space="0" w:color="auto"/>
          </w:divBdr>
        </w:div>
        <w:div w:id="1323705229">
          <w:marLeft w:val="640"/>
          <w:marRight w:val="0"/>
          <w:marTop w:val="0"/>
          <w:marBottom w:val="0"/>
          <w:divBdr>
            <w:top w:val="none" w:sz="0" w:space="0" w:color="auto"/>
            <w:left w:val="none" w:sz="0" w:space="0" w:color="auto"/>
            <w:bottom w:val="none" w:sz="0" w:space="0" w:color="auto"/>
            <w:right w:val="none" w:sz="0" w:space="0" w:color="auto"/>
          </w:divBdr>
        </w:div>
        <w:div w:id="2040004958">
          <w:marLeft w:val="640"/>
          <w:marRight w:val="0"/>
          <w:marTop w:val="0"/>
          <w:marBottom w:val="0"/>
          <w:divBdr>
            <w:top w:val="none" w:sz="0" w:space="0" w:color="auto"/>
            <w:left w:val="none" w:sz="0" w:space="0" w:color="auto"/>
            <w:bottom w:val="none" w:sz="0" w:space="0" w:color="auto"/>
            <w:right w:val="none" w:sz="0" w:space="0" w:color="auto"/>
          </w:divBdr>
        </w:div>
        <w:div w:id="1570727719">
          <w:marLeft w:val="640"/>
          <w:marRight w:val="0"/>
          <w:marTop w:val="0"/>
          <w:marBottom w:val="0"/>
          <w:divBdr>
            <w:top w:val="none" w:sz="0" w:space="0" w:color="auto"/>
            <w:left w:val="none" w:sz="0" w:space="0" w:color="auto"/>
            <w:bottom w:val="none" w:sz="0" w:space="0" w:color="auto"/>
            <w:right w:val="none" w:sz="0" w:space="0" w:color="auto"/>
          </w:divBdr>
        </w:div>
        <w:div w:id="381249272">
          <w:marLeft w:val="640"/>
          <w:marRight w:val="0"/>
          <w:marTop w:val="0"/>
          <w:marBottom w:val="0"/>
          <w:divBdr>
            <w:top w:val="none" w:sz="0" w:space="0" w:color="auto"/>
            <w:left w:val="none" w:sz="0" w:space="0" w:color="auto"/>
            <w:bottom w:val="none" w:sz="0" w:space="0" w:color="auto"/>
            <w:right w:val="none" w:sz="0" w:space="0" w:color="auto"/>
          </w:divBdr>
        </w:div>
        <w:div w:id="1506439262">
          <w:marLeft w:val="640"/>
          <w:marRight w:val="0"/>
          <w:marTop w:val="0"/>
          <w:marBottom w:val="0"/>
          <w:divBdr>
            <w:top w:val="none" w:sz="0" w:space="0" w:color="auto"/>
            <w:left w:val="none" w:sz="0" w:space="0" w:color="auto"/>
            <w:bottom w:val="none" w:sz="0" w:space="0" w:color="auto"/>
            <w:right w:val="none" w:sz="0" w:space="0" w:color="auto"/>
          </w:divBdr>
        </w:div>
        <w:div w:id="607660562">
          <w:marLeft w:val="640"/>
          <w:marRight w:val="0"/>
          <w:marTop w:val="0"/>
          <w:marBottom w:val="0"/>
          <w:divBdr>
            <w:top w:val="none" w:sz="0" w:space="0" w:color="auto"/>
            <w:left w:val="none" w:sz="0" w:space="0" w:color="auto"/>
            <w:bottom w:val="none" w:sz="0" w:space="0" w:color="auto"/>
            <w:right w:val="none" w:sz="0" w:space="0" w:color="auto"/>
          </w:divBdr>
        </w:div>
        <w:div w:id="1185169093">
          <w:marLeft w:val="640"/>
          <w:marRight w:val="0"/>
          <w:marTop w:val="0"/>
          <w:marBottom w:val="0"/>
          <w:divBdr>
            <w:top w:val="none" w:sz="0" w:space="0" w:color="auto"/>
            <w:left w:val="none" w:sz="0" w:space="0" w:color="auto"/>
            <w:bottom w:val="none" w:sz="0" w:space="0" w:color="auto"/>
            <w:right w:val="none" w:sz="0" w:space="0" w:color="auto"/>
          </w:divBdr>
        </w:div>
        <w:div w:id="1333533734">
          <w:marLeft w:val="640"/>
          <w:marRight w:val="0"/>
          <w:marTop w:val="0"/>
          <w:marBottom w:val="0"/>
          <w:divBdr>
            <w:top w:val="none" w:sz="0" w:space="0" w:color="auto"/>
            <w:left w:val="none" w:sz="0" w:space="0" w:color="auto"/>
            <w:bottom w:val="none" w:sz="0" w:space="0" w:color="auto"/>
            <w:right w:val="none" w:sz="0" w:space="0" w:color="auto"/>
          </w:divBdr>
        </w:div>
        <w:div w:id="468017410">
          <w:marLeft w:val="640"/>
          <w:marRight w:val="0"/>
          <w:marTop w:val="0"/>
          <w:marBottom w:val="0"/>
          <w:divBdr>
            <w:top w:val="none" w:sz="0" w:space="0" w:color="auto"/>
            <w:left w:val="none" w:sz="0" w:space="0" w:color="auto"/>
            <w:bottom w:val="none" w:sz="0" w:space="0" w:color="auto"/>
            <w:right w:val="none" w:sz="0" w:space="0" w:color="auto"/>
          </w:divBdr>
        </w:div>
        <w:div w:id="445856422">
          <w:marLeft w:val="640"/>
          <w:marRight w:val="0"/>
          <w:marTop w:val="0"/>
          <w:marBottom w:val="0"/>
          <w:divBdr>
            <w:top w:val="none" w:sz="0" w:space="0" w:color="auto"/>
            <w:left w:val="none" w:sz="0" w:space="0" w:color="auto"/>
            <w:bottom w:val="none" w:sz="0" w:space="0" w:color="auto"/>
            <w:right w:val="none" w:sz="0" w:space="0" w:color="auto"/>
          </w:divBdr>
        </w:div>
        <w:div w:id="405877938">
          <w:marLeft w:val="640"/>
          <w:marRight w:val="0"/>
          <w:marTop w:val="0"/>
          <w:marBottom w:val="0"/>
          <w:divBdr>
            <w:top w:val="none" w:sz="0" w:space="0" w:color="auto"/>
            <w:left w:val="none" w:sz="0" w:space="0" w:color="auto"/>
            <w:bottom w:val="none" w:sz="0" w:space="0" w:color="auto"/>
            <w:right w:val="none" w:sz="0" w:space="0" w:color="auto"/>
          </w:divBdr>
        </w:div>
        <w:div w:id="1119572608">
          <w:marLeft w:val="640"/>
          <w:marRight w:val="0"/>
          <w:marTop w:val="0"/>
          <w:marBottom w:val="0"/>
          <w:divBdr>
            <w:top w:val="none" w:sz="0" w:space="0" w:color="auto"/>
            <w:left w:val="none" w:sz="0" w:space="0" w:color="auto"/>
            <w:bottom w:val="none" w:sz="0" w:space="0" w:color="auto"/>
            <w:right w:val="none" w:sz="0" w:space="0" w:color="auto"/>
          </w:divBdr>
        </w:div>
        <w:div w:id="806316547">
          <w:marLeft w:val="640"/>
          <w:marRight w:val="0"/>
          <w:marTop w:val="0"/>
          <w:marBottom w:val="0"/>
          <w:divBdr>
            <w:top w:val="none" w:sz="0" w:space="0" w:color="auto"/>
            <w:left w:val="none" w:sz="0" w:space="0" w:color="auto"/>
            <w:bottom w:val="none" w:sz="0" w:space="0" w:color="auto"/>
            <w:right w:val="none" w:sz="0" w:space="0" w:color="auto"/>
          </w:divBdr>
        </w:div>
        <w:div w:id="473762154">
          <w:marLeft w:val="640"/>
          <w:marRight w:val="0"/>
          <w:marTop w:val="0"/>
          <w:marBottom w:val="0"/>
          <w:divBdr>
            <w:top w:val="none" w:sz="0" w:space="0" w:color="auto"/>
            <w:left w:val="none" w:sz="0" w:space="0" w:color="auto"/>
            <w:bottom w:val="none" w:sz="0" w:space="0" w:color="auto"/>
            <w:right w:val="none" w:sz="0" w:space="0" w:color="auto"/>
          </w:divBdr>
        </w:div>
        <w:div w:id="344943491">
          <w:marLeft w:val="640"/>
          <w:marRight w:val="0"/>
          <w:marTop w:val="0"/>
          <w:marBottom w:val="0"/>
          <w:divBdr>
            <w:top w:val="none" w:sz="0" w:space="0" w:color="auto"/>
            <w:left w:val="none" w:sz="0" w:space="0" w:color="auto"/>
            <w:bottom w:val="none" w:sz="0" w:space="0" w:color="auto"/>
            <w:right w:val="none" w:sz="0" w:space="0" w:color="auto"/>
          </w:divBdr>
        </w:div>
        <w:div w:id="449709624">
          <w:marLeft w:val="640"/>
          <w:marRight w:val="0"/>
          <w:marTop w:val="0"/>
          <w:marBottom w:val="0"/>
          <w:divBdr>
            <w:top w:val="none" w:sz="0" w:space="0" w:color="auto"/>
            <w:left w:val="none" w:sz="0" w:space="0" w:color="auto"/>
            <w:bottom w:val="none" w:sz="0" w:space="0" w:color="auto"/>
            <w:right w:val="none" w:sz="0" w:space="0" w:color="auto"/>
          </w:divBdr>
        </w:div>
        <w:div w:id="1012924684">
          <w:marLeft w:val="640"/>
          <w:marRight w:val="0"/>
          <w:marTop w:val="0"/>
          <w:marBottom w:val="0"/>
          <w:divBdr>
            <w:top w:val="none" w:sz="0" w:space="0" w:color="auto"/>
            <w:left w:val="none" w:sz="0" w:space="0" w:color="auto"/>
            <w:bottom w:val="none" w:sz="0" w:space="0" w:color="auto"/>
            <w:right w:val="none" w:sz="0" w:space="0" w:color="auto"/>
          </w:divBdr>
        </w:div>
        <w:div w:id="1938900765">
          <w:marLeft w:val="640"/>
          <w:marRight w:val="0"/>
          <w:marTop w:val="0"/>
          <w:marBottom w:val="0"/>
          <w:divBdr>
            <w:top w:val="none" w:sz="0" w:space="0" w:color="auto"/>
            <w:left w:val="none" w:sz="0" w:space="0" w:color="auto"/>
            <w:bottom w:val="none" w:sz="0" w:space="0" w:color="auto"/>
            <w:right w:val="none" w:sz="0" w:space="0" w:color="auto"/>
          </w:divBdr>
        </w:div>
        <w:div w:id="611984015">
          <w:marLeft w:val="640"/>
          <w:marRight w:val="0"/>
          <w:marTop w:val="0"/>
          <w:marBottom w:val="0"/>
          <w:divBdr>
            <w:top w:val="none" w:sz="0" w:space="0" w:color="auto"/>
            <w:left w:val="none" w:sz="0" w:space="0" w:color="auto"/>
            <w:bottom w:val="none" w:sz="0" w:space="0" w:color="auto"/>
            <w:right w:val="none" w:sz="0" w:space="0" w:color="auto"/>
          </w:divBdr>
        </w:div>
        <w:div w:id="1400254405">
          <w:marLeft w:val="640"/>
          <w:marRight w:val="0"/>
          <w:marTop w:val="0"/>
          <w:marBottom w:val="0"/>
          <w:divBdr>
            <w:top w:val="none" w:sz="0" w:space="0" w:color="auto"/>
            <w:left w:val="none" w:sz="0" w:space="0" w:color="auto"/>
            <w:bottom w:val="none" w:sz="0" w:space="0" w:color="auto"/>
            <w:right w:val="none" w:sz="0" w:space="0" w:color="auto"/>
          </w:divBdr>
        </w:div>
        <w:div w:id="1592737155">
          <w:marLeft w:val="640"/>
          <w:marRight w:val="0"/>
          <w:marTop w:val="0"/>
          <w:marBottom w:val="0"/>
          <w:divBdr>
            <w:top w:val="none" w:sz="0" w:space="0" w:color="auto"/>
            <w:left w:val="none" w:sz="0" w:space="0" w:color="auto"/>
            <w:bottom w:val="none" w:sz="0" w:space="0" w:color="auto"/>
            <w:right w:val="none" w:sz="0" w:space="0" w:color="auto"/>
          </w:divBdr>
        </w:div>
        <w:div w:id="1392458014">
          <w:marLeft w:val="640"/>
          <w:marRight w:val="0"/>
          <w:marTop w:val="0"/>
          <w:marBottom w:val="0"/>
          <w:divBdr>
            <w:top w:val="none" w:sz="0" w:space="0" w:color="auto"/>
            <w:left w:val="none" w:sz="0" w:space="0" w:color="auto"/>
            <w:bottom w:val="none" w:sz="0" w:space="0" w:color="auto"/>
            <w:right w:val="none" w:sz="0" w:space="0" w:color="auto"/>
          </w:divBdr>
        </w:div>
        <w:div w:id="527134841">
          <w:marLeft w:val="640"/>
          <w:marRight w:val="0"/>
          <w:marTop w:val="0"/>
          <w:marBottom w:val="0"/>
          <w:divBdr>
            <w:top w:val="none" w:sz="0" w:space="0" w:color="auto"/>
            <w:left w:val="none" w:sz="0" w:space="0" w:color="auto"/>
            <w:bottom w:val="none" w:sz="0" w:space="0" w:color="auto"/>
            <w:right w:val="none" w:sz="0" w:space="0" w:color="auto"/>
          </w:divBdr>
        </w:div>
        <w:div w:id="468936933">
          <w:marLeft w:val="640"/>
          <w:marRight w:val="0"/>
          <w:marTop w:val="0"/>
          <w:marBottom w:val="0"/>
          <w:divBdr>
            <w:top w:val="none" w:sz="0" w:space="0" w:color="auto"/>
            <w:left w:val="none" w:sz="0" w:space="0" w:color="auto"/>
            <w:bottom w:val="none" w:sz="0" w:space="0" w:color="auto"/>
            <w:right w:val="none" w:sz="0" w:space="0" w:color="auto"/>
          </w:divBdr>
        </w:div>
        <w:div w:id="213735346">
          <w:marLeft w:val="640"/>
          <w:marRight w:val="0"/>
          <w:marTop w:val="0"/>
          <w:marBottom w:val="0"/>
          <w:divBdr>
            <w:top w:val="none" w:sz="0" w:space="0" w:color="auto"/>
            <w:left w:val="none" w:sz="0" w:space="0" w:color="auto"/>
            <w:bottom w:val="none" w:sz="0" w:space="0" w:color="auto"/>
            <w:right w:val="none" w:sz="0" w:space="0" w:color="auto"/>
          </w:divBdr>
        </w:div>
        <w:div w:id="12344845">
          <w:marLeft w:val="640"/>
          <w:marRight w:val="0"/>
          <w:marTop w:val="0"/>
          <w:marBottom w:val="0"/>
          <w:divBdr>
            <w:top w:val="none" w:sz="0" w:space="0" w:color="auto"/>
            <w:left w:val="none" w:sz="0" w:space="0" w:color="auto"/>
            <w:bottom w:val="none" w:sz="0" w:space="0" w:color="auto"/>
            <w:right w:val="none" w:sz="0" w:space="0" w:color="auto"/>
          </w:divBdr>
        </w:div>
        <w:div w:id="302662314">
          <w:marLeft w:val="640"/>
          <w:marRight w:val="0"/>
          <w:marTop w:val="0"/>
          <w:marBottom w:val="0"/>
          <w:divBdr>
            <w:top w:val="none" w:sz="0" w:space="0" w:color="auto"/>
            <w:left w:val="none" w:sz="0" w:space="0" w:color="auto"/>
            <w:bottom w:val="none" w:sz="0" w:space="0" w:color="auto"/>
            <w:right w:val="none" w:sz="0" w:space="0" w:color="auto"/>
          </w:divBdr>
        </w:div>
        <w:div w:id="1085878750">
          <w:marLeft w:val="640"/>
          <w:marRight w:val="0"/>
          <w:marTop w:val="0"/>
          <w:marBottom w:val="0"/>
          <w:divBdr>
            <w:top w:val="none" w:sz="0" w:space="0" w:color="auto"/>
            <w:left w:val="none" w:sz="0" w:space="0" w:color="auto"/>
            <w:bottom w:val="none" w:sz="0" w:space="0" w:color="auto"/>
            <w:right w:val="none" w:sz="0" w:space="0" w:color="auto"/>
          </w:divBdr>
        </w:div>
        <w:div w:id="2045211528">
          <w:marLeft w:val="640"/>
          <w:marRight w:val="0"/>
          <w:marTop w:val="0"/>
          <w:marBottom w:val="0"/>
          <w:divBdr>
            <w:top w:val="none" w:sz="0" w:space="0" w:color="auto"/>
            <w:left w:val="none" w:sz="0" w:space="0" w:color="auto"/>
            <w:bottom w:val="none" w:sz="0" w:space="0" w:color="auto"/>
            <w:right w:val="none" w:sz="0" w:space="0" w:color="auto"/>
          </w:divBdr>
        </w:div>
        <w:div w:id="1620146425">
          <w:marLeft w:val="640"/>
          <w:marRight w:val="0"/>
          <w:marTop w:val="0"/>
          <w:marBottom w:val="0"/>
          <w:divBdr>
            <w:top w:val="none" w:sz="0" w:space="0" w:color="auto"/>
            <w:left w:val="none" w:sz="0" w:space="0" w:color="auto"/>
            <w:bottom w:val="none" w:sz="0" w:space="0" w:color="auto"/>
            <w:right w:val="none" w:sz="0" w:space="0" w:color="auto"/>
          </w:divBdr>
        </w:div>
        <w:div w:id="584386993">
          <w:marLeft w:val="640"/>
          <w:marRight w:val="0"/>
          <w:marTop w:val="0"/>
          <w:marBottom w:val="0"/>
          <w:divBdr>
            <w:top w:val="none" w:sz="0" w:space="0" w:color="auto"/>
            <w:left w:val="none" w:sz="0" w:space="0" w:color="auto"/>
            <w:bottom w:val="none" w:sz="0" w:space="0" w:color="auto"/>
            <w:right w:val="none" w:sz="0" w:space="0" w:color="auto"/>
          </w:divBdr>
        </w:div>
        <w:div w:id="181404339">
          <w:marLeft w:val="640"/>
          <w:marRight w:val="0"/>
          <w:marTop w:val="0"/>
          <w:marBottom w:val="0"/>
          <w:divBdr>
            <w:top w:val="none" w:sz="0" w:space="0" w:color="auto"/>
            <w:left w:val="none" w:sz="0" w:space="0" w:color="auto"/>
            <w:bottom w:val="none" w:sz="0" w:space="0" w:color="auto"/>
            <w:right w:val="none" w:sz="0" w:space="0" w:color="auto"/>
          </w:divBdr>
        </w:div>
        <w:div w:id="1693875341">
          <w:marLeft w:val="640"/>
          <w:marRight w:val="0"/>
          <w:marTop w:val="0"/>
          <w:marBottom w:val="0"/>
          <w:divBdr>
            <w:top w:val="none" w:sz="0" w:space="0" w:color="auto"/>
            <w:left w:val="none" w:sz="0" w:space="0" w:color="auto"/>
            <w:bottom w:val="none" w:sz="0" w:space="0" w:color="auto"/>
            <w:right w:val="none" w:sz="0" w:space="0" w:color="auto"/>
          </w:divBdr>
        </w:div>
        <w:div w:id="2061200778">
          <w:marLeft w:val="640"/>
          <w:marRight w:val="0"/>
          <w:marTop w:val="0"/>
          <w:marBottom w:val="0"/>
          <w:divBdr>
            <w:top w:val="none" w:sz="0" w:space="0" w:color="auto"/>
            <w:left w:val="none" w:sz="0" w:space="0" w:color="auto"/>
            <w:bottom w:val="none" w:sz="0" w:space="0" w:color="auto"/>
            <w:right w:val="none" w:sz="0" w:space="0" w:color="auto"/>
          </w:divBdr>
        </w:div>
        <w:div w:id="687145795">
          <w:marLeft w:val="640"/>
          <w:marRight w:val="0"/>
          <w:marTop w:val="0"/>
          <w:marBottom w:val="0"/>
          <w:divBdr>
            <w:top w:val="none" w:sz="0" w:space="0" w:color="auto"/>
            <w:left w:val="none" w:sz="0" w:space="0" w:color="auto"/>
            <w:bottom w:val="none" w:sz="0" w:space="0" w:color="auto"/>
            <w:right w:val="none" w:sz="0" w:space="0" w:color="auto"/>
          </w:divBdr>
        </w:div>
        <w:div w:id="1532917664">
          <w:marLeft w:val="640"/>
          <w:marRight w:val="0"/>
          <w:marTop w:val="0"/>
          <w:marBottom w:val="0"/>
          <w:divBdr>
            <w:top w:val="none" w:sz="0" w:space="0" w:color="auto"/>
            <w:left w:val="none" w:sz="0" w:space="0" w:color="auto"/>
            <w:bottom w:val="none" w:sz="0" w:space="0" w:color="auto"/>
            <w:right w:val="none" w:sz="0" w:space="0" w:color="auto"/>
          </w:divBdr>
        </w:div>
        <w:div w:id="379208362">
          <w:marLeft w:val="640"/>
          <w:marRight w:val="0"/>
          <w:marTop w:val="0"/>
          <w:marBottom w:val="0"/>
          <w:divBdr>
            <w:top w:val="none" w:sz="0" w:space="0" w:color="auto"/>
            <w:left w:val="none" w:sz="0" w:space="0" w:color="auto"/>
            <w:bottom w:val="none" w:sz="0" w:space="0" w:color="auto"/>
            <w:right w:val="none" w:sz="0" w:space="0" w:color="auto"/>
          </w:divBdr>
        </w:div>
        <w:div w:id="1909919811">
          <w:marLeft w:val="640"/>
          <w:marRight w:val="0"/>
          <w:marTop w:val="0"/>
          <w:marBottom w:val="0"/>
          <w:divBdr>
            <w:top w:val="none" w:sz="0" w:space="0" w:color="auto"/>
            <w:left w:val="none" w:sz="0" w:space="0" w:color="auto"/>
            <w:bottom w:val="none" w:sz="0" w:space="0" w:color="auto"/>
            <w:right w:val="none" w:sz="0" w:space="0" w:color="auto"/>
          </w:divBdr>
        </w:div>
        <w:div w:id="365563652">
          <w:marLeft w:val="640"/>
          <w:marRight w:val="0"/>
          <w:marTop w:val="0"/>
          <w:marBottom w:val="0"/>
          <w:divBdr>
            <w:top w:val="none" w:sz="0" w:space="0" w:color="auto"/>
            <w:left w:val="none" w:sz="0" w:space="0" w:color="auto"/>
            <w:bottom w:val="none" w:sz="0" w:space="0" w:color="auto"/>
            <w:right w:val="none" w:sz="0" w:space="0" w:color="auto"/>
          </w:divBdr>
        </w:div>
        <w:div w:id="1581133429">
          <w:marLeft w:val="640"/>
          <w:marRight w:val="0"/>
          <w:marTop w:val="0"/>
          <w:marBottom w:val="0"/>
          <w:divBdr>
            <w:top w:val="none" w:sz="0" w:space="0" w:color="auto"/>
            <w:left w:val="none" w:sz="0" w:space="0" w:color="auto"/>
            <w:bottom w:val="none" w:sz="0" w:space="0" w:color="auto"/>
            <w:right w:val="none" w:sz="0" w:space="0" w:color="auto"/>
          </w:divBdr>
        </w:div>
        <w:div w:id="1928148055">
          <w:marLeft w:val="640"/>
          <w:marRight w:val="0"/>
          <w:marTop w:val="0"/>
          <w:marBottom w:val="0"/>
          <w:divBdr>
            <w:top w:val="none" w:sz="0" w:space="0" w:color="auto"/>
            <w:left w:val="none" w:sz="0" w:space="0" w:color="auto"/>
            <w:bottom w:val="none" w:sz="0" w:space="0" w:color="auto"/>
            <w:right w:val="none" w:sz="0" w:space="0" w:color="auto"/>
          </w:divBdr>
        </w:div>
        <w:div w:id="1118570618">
          <w:marLeft w:val="640"/>
          <w:marRight w:val="0"/>
          <w:marTop w:val="0"/>
          <w:marBottom w:val="0"/>
          <w:divBdr>
            <w:top w:val="none" w:sz="0" w:space="0" w:color="auto"/>
            <w:left w:val="none" w:sz="0" w:space="0" w:color="auto"/>
            <w:bottom w:val="none" w:sz="0" w:space="0" w:color="auto"/>
            <w:right w:val="none" w:sz="0" w:space="0" w:color="auto"/>
          </w:divBdr>
        </w:div>
        <w:div w:id="1516072365">
          <w:marLeft w:val="640"/>
          <w:marRight w:val="0"/>
          <w:marTop w:val="0"/>
          <w:marBottom w:val="0"/>
          <w:divBdr>
            <w:top w:val="none" w:sz="0" w:space="0" w:color="auto"/>
            <w:left w:val="none" w:sz="0" w:space="0" w:color="auto"/>
            <w:bottom w:val="none" w:sz="0" w:space="0" w:color="auto"/>
            <w:right w:val="none" w:sz="0" w:space="0" w:color="auto"/>
          </w:divBdr>
        </w:div>
        <w:div w:id="624582392">
          <w:marLeft w:val="640"/>
          <w:marRight w:val="0"/>
          <w:marTop w:val="0"/>
          <w:marBottom w:val="0"/>
          <w:divBdr>
            <w:top w:val="none" w:sz="0" w:space="0" w:color="auto"/>
            <w:left w:val="none" w:sz="0" w:space="0" w:color="auto"/>
            <w:bottom w:val="none" w:sz="0" w:space="0" w:color="auto"/>
            <w:right w:val="none" w:sz="0" w:space="0" w:color="auto"/>
          </w:divBdr>
        </w:div>
        <w:div w:id="303199303">
          <w:marLeft w:val="640"/>
          <w:marRight w:val="0"/>
          <w:marTop w:val="0"/>
          <w:marBottom w:val="0"/>
          <w:divBdr>
            <w:top w:val="none" w:sz="0" w:space="0" w:color="auto"/>
            <w:left w:val="none" w:sz="0" w:space="0" w:color="auto"/>
            <w:bottom w:val="none" w:sz="0" w:space="0" w:color="auto"/>
            <w:right w:val="none" w:sz="0" w:space="0" w:color="auto"/>
          </w:divBdr>
        </w:div>
        <w:div w:id="1778207388">
          <w:marLeft w:val="640"/>
          <w:marRight w:val="0"/>
          <w:marTop w:val="0"/>
          <w:marBottom w:val="0"/>
          <w:divBdr>
            <w:top w:val="none" w:sz="0" w:space="0" w:color="auto"/>
            <w:left w:val="none" w:sz="0" w:space="0" w:color="auto"/>
            <w:bottom w:val="none" w:sz="0" w:space="0" w:color="auto"/>
            <w:right w:val="none" w:sz="0" w:space="0" w:color="auto"/>
          </w:divBdr>
        </w:div>
        <w:div w:id="1773553051">
          <w:marLeft w:val="640"/>
          <w:marRight w:val="0"/>
          <w:marTop w:val="0"/>
          <w:marBottom w:val="0"/>
          <w:divBdr>
            <w:top w:val="none" w:sz="0" w:space="0" w:color="auto"/>
            <w:left w:val="none" w:sz="0" w:space="0" w:color="auto"/>
            <w:bottom w:val="none" w:sz="0" w:space="0" w:color="auto"/>
            <w:right w:val="none" w:sz="0" w:space="0" w:color="auto"/>
          </w:divBdr>
        </w:div>
        <w:div w:id="130826722">
          <w:marLeft w:val="640"/>
          <w:marRight w:val="0"/>
          <w:marTop w:val="0"/>
          <w:marBottom w:val="0"/>
          <w:divBdr>
            <w:top w:val="none" w:sz="0" w:space="0" w:color="auto"/>
            <w:left w:val="none" w:sz="0" w:space="0" w:color="auto"/>
            <w:bottom w:val="none" w:sz="0" w:space="0" w:color="auto"/>
            <w:right w:val="none" w:sz="0" w:space="0" w:color="auto"/>
          </w:divBdr>
        </w:div>
        <w:div w:id="6249646">
          <w:marLeft w:val="640"/>
          <w:marRight w:val="0"/>
          <w:marTop w:val="0"/>
          <w:marBottom w:val="0"/>
          <w:divBdr>
            <w:top w:val="none" w:sz="0" w:space="0" w:color="auto"/>
            <w:left w:val="none" w:sz="0" w:space="0" w:color="auto"/>
            <w:bottom w:val="none" w:sz="0" w:space="0" w:color="auto"/>
            <w:right w:val="none" w:sz="0" w:space="0" w:color="auto"/>
          </w:divBdr>
        </w:div>
        <w:div w:id="810293610">
          <w:marLeft w:val="640"/>
          <w:marRight w:val="0"/>
          <w:marTop w:val="0"/>
          <w:marBottom w:val="0"/>
          <w:divBdr>
            <w:top w:val="none" w:sz="0" w:space="0" w:color="auto"/>
            <w:left w:val="none" w:sz="0" w:space="0" w:color="auto"/>
            <w:bottom w:val="none" w:sz="0" w:space="0" w:color="auto"/>
            <w:right w:val="none" w:sz="0" w:space="0" w:color="auto"/>
          </w:divBdr>
        </w:div>
        <w:div w:id="445849377">
          <w:marLeft w:val="640"/>
          <w:marRight w:val="0"/>
          <w:marTop w:val="0"/>
          <w:marBottom w:val="0"/>
          <w:divBdr>
            <w:top w:val="none" w:sz="0" w:space="0" w:color="auto"/>
            <w:left w:val="none" w:sz="0" w:space="0" w:color="auto"/>
            <w:bottom w:val="none" w:sz="0" w:space="0" w:color="auto"/>
            <w:right w:val="none" w:sz="0" w:space="0" w:color="auto"/>
          </w:divBdr>
        </w:div>
        <w:div w:id="213589346">
          <w:marLeft w:val="640"/>
          <w:marRight w:val="0"/>
          <w:marTop w:val="0"/>
          <w:marBottom w:val="0"/>
          <w:divBdr>
            <w:top w:val="none" w:sz="0" w:space="0" w:color="auto"/>
            <w:left w:val="none" w:sz="0" w:space="0" w:color="auto"/>
            <w:bottom w:val="none" w:sz="0" w:space="0" w:color="auto"/>
            <w:right w:val="none" w:sz="0" w:space="0" w:color="auto"/>
          </w:divBdr>
        </w:div>
        <w:div w:id="1152452115">
          <w:marLeft w:val="640"/>
          <w:marRight w:val="0"/>
          <w:marTop w:val="0"/>
          <w:marBottom w:val="0"/>
          <w:divBdr>
            <w:top w:val="none" w:sz="0" w:space="0" w:color="auto"/>
            <w:left w:val="none" w:sz="0" w:space="0" w:color="auto"/>
            <w:bottom w:val="none" w:sz="0" w:space="0" w:color="auto"/>
            <w:right w:val="none" w:sz="0" w:space="0" w:color="auto"/>
          </w:divBdr>
        </w:div>
        <w:div w:id="1037045500">
          <w:marLeft w:val="640"/>
          <w:marRight w:val="0"/>
          <w:marTop w:val="0"/>
          <w:marBottom w:val="0"/>
          <w:divBdr>
            <w:top w:val="none" w:sz="0" w:space="0" w:color="auto"/>
            <w:left w:val="none" w:sz="0" w:space="0" w:color="auto"/>
            <w:bottom w:val="none" w:sz="0" w:space="0" w:color="auto"/>
            <w:right w:val="none" w:sz="0" w:space="0" w:color="auto"/>
          </w:divBdr>
        </w:div>
        <w:div w:id="1794127372">
          <w:marLeft w:val="640"/>
          <w:marRight w:val="0"/>
          <w:marTop w:val="0"/>
          <w:marBottom w:val="0"/>
          <w:divBdr>
            <w:top w:val="none" w:sz="0" w:space="0" w:color="auto"/>
            <w:left w:val="none" w:sz="0" w:space="0" w:color="auto"/>
            <w:bottom w:val="none" w:sz="0" w:space="0" w:color="auto"/>
            <w:right w:val="none" w:sz="0" w:space="0" w:color="auto"/>
          </w:divBdr>
        </w:div>
        <w:div w:id="1303075297">
          <w:marLeft w:val="640"/>
          <w:marRight w:val="0"/>
          <w:marTop w:val="0"/>
          <w:marBottom w:val="0"/>
          <w:divBdr>
            <w:top w:val="none" w:sz="0" w:space="0" w:color="auto"/>
            <w:left w:val="none" w:sz="0" w:space="0" w:color="auto"/>
            <w:bottom w:val="none" w:sz="0" w:space="0" w:color="auto"/>
            <w:right w:val="none" w:sz="0" w:space="0" w:color="auto"/>
          </w:divBdr>
        </w:div>
        <w:div w:id="1272934385">
          <w:marLeft w:val="640"/>
          <w:marRight w:val="0"/>
          <w:marTop w:val="0"/>
          <w:marBottom w:val="0"/>
          <w:divBdr>
            <w:top w:val="none" w:sz="0" w:space="0" w:color="auto"/>
            <w:left w:val="none" w:sz="0" w:space="0" w:color="auto"/>
            <w:bottom w:val="none" w:sz="0" w:space="0" w:color="auto"/>
            <w:right w:val="none" w:sz="0" w:space="0" w:color="auto"/>
          </w:divBdr>
        </w:div>
        <w:div w:id="132066456">
          <w:marLeft w:val="640"/>
          <w:marRight w:val="0"/>
          <w:marTop w:val="0"/>
          <w:marBottom w:val="0"/>
          <w:divBdr>
            <w:top w:val="none" w:sz="0" w:space="0" w:color="auto"/>
            <w:left w:val="none" w:sz="0" w:space="0" w:color="auto"/>
            <w:bottom w:val="none" w:sz="0" w:space="0" w:color="auto"/>
            <w:right w:val="none" w:sz="0" w:space="0" w:color="auto"/>
          </w:divBdr>
        </w:div>
        <w:div w:id="1403944912">
          <w:marLeft w:val="640"/>
          <w:marRight w:val="0"/>
          <w:marTop w:val="0"/>
          <w:marBottom w:val="0"/>
          <w:divBdr>
            <w:top w:val="none" w:sz="0" w:space="0" w:color="auto"/>
            <w:left w:val="none" w:sz="0" w:space="0" w:color="auto"/>
            <w:bottom w:val="none" w:sz="0" w:space="0" w:color="auto"/>
            <w:right w:val="none" w:sz="0" w:space="0" w:color="auto"/>
          </w:divBdr>
        </w:div>
        <w:div w:id="1724599261">
          <w:marLeft w:val="640"/>
          <w:marRight w:val="0"/>
          <w:marTop w:val="0"/>
          <w:marBottom w:val="0"/>
          <w:divBdr>
            <w:top w:val="none" w:sz="0" w:space="0" w:color="auto"/>
            <w:left w:val="none" w:sz="0" w:space="0" w:color="auto"/>
            <w:bottom w:val="none" w:sz="0" w:space="0" w:color="auto"/>
            <w:right w:val="none" w:sz="0" w:space="0" w:color="auto"/>
          </w:divBdr>
        </w:div>
        <w:div w:id="1192961340">
          <w:marLeft w:val="640"/>
          <w:marRight w:val="0"/>
          <w:marTop w:val="0"/>
          <w:marBottom w:val="0"/>
          <w:divBdr>
            <w:top w:val="none" w:sz="0" w:space="0" w:color="auto"/>
            <w:left w:val="none" w:sz="0" w:space="0" w:color="auto"/>
            <w:bottom w:val="none" w:sz="0" w:space="0" w:color="auto"/>
            <w:right w:val="none" w:sz="0" w:space="0" w:color="auto"/>
          </w:divBdr>
        </w:div>
        <w:div w:id="614407430">
          <w:marLeft w:val="640"/>
          <w:marRight w:val="0"/>
          <w:marTop w:val="0"/>
          <w:marBottom w:val="0"/>
          <w:divBdr>
            <w:top w:val="none" w:sz="0" w:space="0" w:color="auto"/>
            <w:left w:val="none" w:sz="0" w:space="0" w:color="auto"/>
            <w:bottom w:val="none" w:sz="0" w:space="0" w:color="auto"/>
            <w:right w:val="none" w:sz="0" w:space="0" w:color="auto"/>
          </w:divBdr>
        </w:div>
        <w:div w:id="1994946733">
          <w:marLeft w:val="640"/>
          <w:marRight w:val="0"/>
          <w:marTop w:val="0"/>
          <w:marBottom w:val="0"/>
          <w:divBdr>
            <w:top w:val="none" w:sz="0" w:space="0" w:color="auto"/>
            <w:left w:val="none" w:sz="0" w:space="0" w:color="auto"/>
            <w:bottom w:val="none" w:sz="0" w:space="0" w:color="auto"/>
            <w:right w:val="none" w:sz="0" w:space="0" w:color="auto"/>
          </w:divBdr>
        </w:div>
        <w:div w:id="589968997">
          <w:marLeft w:val="640"/>
          <w:marRight w:val="0"/>
          <w:marTop w:val="0"/>
          <w:marBottom w:val="0"/>
          <w:divBdr>
            <w:top w:val="none" w:sz="0" w:space="0" w:color="auto"/>
            <w:left w:val="none" w:sz="0" w:space="0" w:color="auto"/>
            <w:bottom w:val="none" w:sz="0" w:space="0" w:color="auto"/>
            <w:right w:val="none" w:sz="0" w:space="0" w:color="auto"/>
          </w:divBdr>
        </w:div>
        <w:div w:id="1896238650">
          <w:marLeft w:val="640"/>
          <w:marRight w:val="0"/>
          <w:marTop w:val="0"/>
          <w:marBottom w:val="0"/>
          <w:divBdr>
            <w:top w:val="none" w:sz="0" w:space="0" w:color="auto"/>
            <w:left w:val="none" w:sz="0" w:space="0" w:color="auto"/>
            <w:bottom w:val="none" w:sz="0" w:space="0" w:color="auto"/>
            <w:right w:val="none" w:sz="0" w:space="0" w:color="auto"/>
          </w:divBdr>
        </w:div>
        <w:div w:id="1135025372">
          <w:marLeft w:val="640"/>
          <w:marRight w:val="0"/>
          <w:marTop w:val="0"/>
          <w:marBottom w:val="0"/>
          <w:divBdr>
            <w:top w:val="none" w:sz="0" w:space="0" w:color="auto"/>
            <w:left w:val="none" w:sz="0" w:space="0" w:color="auto"/>
            <w:bottom w:val="none" w:sz="0" w:space="0" w:color="auto"/>
            <w:right w:val="none" w:sz="0" w:space="0" w:color="auto"/>
          </w:divBdr>
        </w:div>
        <w:div w:id="1000546441">
          <w:marLeft w:val="640"/>
          <w:marRight w:val="0"/>
          <w:marTop w:val="0"/>
          <w:marBottom w:val="0"/>
          <w:divBdr>
            <w:top w:val="none" w:sz="0" w:space="0" w:color="auto"/>
            <w:left w:val="none" w:sz="0" w:space="0" w:color="auto"/>
            <w:bottom w:val="none" w:sz="0" w:space="0" w:color="auto"/>
            <w:right w:val="none" w:sz="0" w:space="0" w:color="auto"/>
          </w:divBdr>
        </w:div>
        <w:div w:id="1711615337">
          <w:marLeft w:val="640"/>
          <w:marRight w:val="0"/>
          <w:marTop w:val="0"/>
          <w:marBottom w:val="0"/>
          <w:divBdr>
            <w:top w:val="none" w:sz="0" w:space="0" w:color="auto"/>
            <w:left w:val="none" w:sz="0" w:space="0" w:color="auto"/>
            <w:bottom w:val="none" w:sz="0" w:space="0" w:color="auto"/>
            <w:right w:val="none" w:sz="0" w:space="0" w:color="auto"/>
          </w:divBdr>
        </w:div>
        <w:div w:id="856847105">
          <w:marLeft w:val="640"/>
          <w:marRight w:val="0"/>
          <w:marTop w:val="0"/>
          <w:marBottom w:val="0"/>
          <w:divBdr>
            <w:top w:val="none" w:sz="0" w:space="0" w:color="auto"/>
            <w:left w:val="none" w:sz="0" w:space="0" w:color="auto"/>
            <w:bottom w:val="none" w:sz="0" w:space="0" w:color="auto"/>
            <w:right w:val="none" w:sz="0" w:space="0" w:color="auto"/>
          </w:divBdr>
        </w:div>
        <w:div w:id="1965575989">
          <w:marLeft w:val="640"/>
          <w:marRight w:val="0"/>
          <w:marTop w:val="0"/>
          <w:marBottom w:val="0"/>
          <w:divBdr>
            <w:top w:val="none" w:sz="0" w:space="0" w:color="auto"/>
            <w:left w:val="none" w:sz="0" w:space="0" w:color="auto"/>
            <w:bottom w:val="none" w:sz="0" w:space="0" w:color="auto"/>
            <w:right w:val="none" w:sz="0" w:space="0" w:color="auto"/>
          </w:divBdr>
        </w:div>
        <w:div w:id="863371286">
          <w:marLeft w:val="640"/>
          <w:marRight w:val="0"/>
          <w:marTop w:val="0"/>
          <w:marBottom w:val="0"/>
          <w:divBdr>
            <w:top w:val="none" w:sz="0" w:space="0" w:color="auto"/>
            <w:left w:val="none" w:sz="0" w:space="0" w:color="auto"/>
            <w:bottom w:val="none" w:sz="0" w:space="0" w:color="auto"/>
            <w:right w:val="none" w:sz="0" w:space="0" w:color="auto"/>
          </w:divBdr>
        </w:div>
      </w:divsChild>
    </w:div>
    <w:div w:id="1193498732">
      <w:bodyDiv w:val="1"/>
      <w:marLeft w:val="0"/>
      <w:marRight w:val="0"/>
      <w:marTop w:val="0"/>
      <w:marBottom w:val="0"/>
      <w:divBdr>
        <w:top w:val="none" w:sz="0" w:space="0" w:color="auto"/>
        <w:left w:val="none" w:sz="0" w:space="0" w:color="auto"/>
        <w:bottom w:val="none" w:sz="0" w:space="0" w:color="auto"/>
        <w:right w:val="none" w:sz="0" w:space="0" w:color="auto"/>
      </w:divBdr>
      <w:divsChild>
        <w:div w:id="845831347">
          <w:marLeft w:val="640"/>
          <w:marRight w:val="0"/>
          <w:marTop w:val="0"/>
          <w:marBottom w:val="0"/>
          <w:divBdr>
            <w:top w:val="none" w:sz="0" w:space="0" w:color="auto"/>
            <w:left w:val="none" w:sz="0" w:space="0" w:color="auto"/>
            <w:bottom w:val="none" w:sz="0" w:space="0" w:color="auto"/>
            <w:right w:val="none" w:sz="0" w:space="0" w:color="auto"/>
          </w:divBdr>
        </w:div>
        <w:div w:id="181288145">
          <w:marLeft w:val="640"/>
          <w:marRight w:val="0"/>
          <w:marTop w:val="0"/>
          <w:marBottom w:val="0"/>
          <w:divBdr>
            <w:top w:val="none" w:sz="0" w:space="0" w:color="auto"/>
            <w:left w:val="none" w:sz="0" w:space="0" w:color="auto"/>
            <w:bottom w:val="none" w:sz="0" w:space="0" w:color="auto"/>
            <w:right w:val="none" w:sz="0" w:space="0" w:color="auto"/>
          </w:divBdr>
        </w:div>
        <w:div w:id="1480032115">
          <w:marLeft w:val="640"/>
          <w:marRight w:val="0"/>
          <w:marTop w:val="0"/>
          <w:marBottom w:val="0"/>
          <w:divBdr>
            <w:top w:val="none" w:sz="0" w:space="0" w:color="auto"/>
            <w:left w:val="none" w:sz="0" w:space="0" w:color="auto"/>
            <w:bottom w:val="none" w:sz="0" w:space="0" w:color="auto"/>
            <w:right w:val="none" w:sz="0" w:space="0" w:color="auto"/>
          </w:divBdr>
        </w:div>
        <w:div w:id="1004481508">
          <w:marLeft w:val="640"/>
          <w:marRight w:val="0"/>
          <w:marTop w:val="0"/>
          <w:marBottom w:val="0"/>
          <w:divBdr>
            <w:top w:val="none" w:sz="0" w:space="0" w:color="auto"/>
            <w:left w:val="none" w:sz="0" w:space="0" w:color="auto"/>
            <w:bottom w:val="none" w:sz="0" w:space="0" w:color="auto"/>
            <w:right w:val="none" w:sz="0" w:space="0" w:color="auto"/>
          </w:divBdr>
        </w:div>
        <w:div w:id="1134182462">
          <w:marLeft w:val="640"/>
          <w:marRight w:val="0"/>
          <w:marTop w:val="0"/>
          <w:marBottom w:val="0"/>
          <w:divBdr>
            <w:top w:val="none" w:sz="0" w:space="0" w:color="auto"/>
            <w:left w:val="none" w:sz="0" w:space="0" w:color="auto"/>
            <w:bottom w:val="none" w:sz="0" w:space="0" w:color="auto"/>
            <w:right w:val="none" w:sz="0" w:space="0" w:color="auto"/>
          </w:divBdr>
        </w:div>
        <w:div w:id="2113473060">
          <w:marLeft w:val="640"/>
          <w:marRight w:val="0"/>
          <w:marTop w:val="0"/>
          <w:marBottom w:val="0"/>
          <w:divBdr>
            <w:top w:val="none" w:sz="0" w:space="0" w:color="auto"/>
            <w:left w:val="none" w:sz="0" w:space="0" w:color="auto"/>
            <w:bottom w:val="none" w:sz="0" w:space="0" w:color="auto"/>
            <w:right w:val="none" w:sz="0" w:space="0" w:color="auto"/>
          </w:divBdr>
        </w:div>
        <w:div w:id="860388824">
          <w:marLeft w:val="640"/>
          <w:marRight w:val="0"/>
          <w:marTop w:val="0"/>
          <w:marBottom w:val="0"/>
          <w:divBdr>
            <w:top w:val="none" w:sz="0" w:space="0" w:color="auto"/>
            <w:left w:val="none" w:sz="0" w:space="0" w:color="auto"/>
            <w:bottom w:val="none" w:sz="0" w:space="0" w:color="auto"/>
            <w:right w:val="none" w:sz="0" w:space="0" w:color="auto"/>
          </w:divBdr>
        </w:div>
        <w:div w:id="1040007917">
          <w:marLeft w:val="640"/>
          <w:marRight w:val="0"/>
          <w:marTop w:val="0"/>
          <w:marBottom w:val="0"/>
          <w:divBdr>
            <w:top w:val="none" w:sz="0" w:space="0" w:color="auto"/>
            <w:left w:val="none" w:sz="0" w:space="0" w:color="auto"/>
            <w:bottom w:val="none" w:sz="0" w:space="0" w:color="auto"/>
            <w:right w:val="none" w:sz="0" w:space="0" w:color="auto"/>
          </w:divBdr>
        </w:div>
        <w:div w:id="427045673">
          <w:marLeft w:val="640"/>
          <w:marRight w:val="0"/>
          <w:marTop w:val="0"/>
          <w:marBottom w:val="0"/>
          <w:divBdr>
            <w:top w:val="none" w:sz="0" w:space="0" w:color="auto"/>
            <w:left w:val="none" w:sz="0" w:space="0" w:color="auto"/>
            <w:bottom w:val="none" w:sz="0" w:space="0" w:color="auto"/>
            <w:right w:val="none" w:sz="0" w:space="0" w:color="auto"/>
          </w:divBdr>
        </w:div>
        <w:div w:id="452137730">
          <w:marLeft w:val="640"/>
          <w:marRight w:val="0"/>
          <w:marTop w:val="0"/>
          <w:marBottom w:val="0"/>
          <w:divBdr>
            <w:top w:val="none" w:sz="0" w:space="0" w:color="auto"/>
            <w:left w:val="none" w:sz="0" w:space="0" w:color="auto"/>
            <w:bottom w:val="none" w:sz="0" w:space="0" w:color="auto"/>
            <w:right w:val="none" w:sz="0" w:space="0" w:color="auto"/>
          </w:divBdr>
        </w:div>
        <w:div w:id="1254506358">
          <w:marLeft w:val="640"/>
          <w:marRight w:val="0"/>
          <w:marTop w:val="0"/>
          <w:marBottom w:val="0"/>
          <w:divBdr>
            <w:top w:val="none" w:sz="0" w:space="0" w:color="auto"/>
            <w:left w:val="none" w:sz="0" w:space="0" w:color="auto"/>
            <w:bottom w:val="none" w:sz="0" w:space="0" w:color="auto"/>
            <w:right w:val="none" w:sz="0" w:space="0" w:color="auto"/>
          </w:divBdr>
        </w:div>
        <w:div w:id="1820341549">
          <w:marLeft w:val="640"/>
          <w:marRight w:val="0"/>
          <w:marTop w:val="0"/>
          <w:marBottom w:val="0"/>
          <w:divBdr>
            <w:top w:val="none" w:sz="0" w:space="0" w:color="auto"/>
            <w:left w:val="none" w:sz="0" w:space="0" w:color="auto"/>
            <w:bottom w:val="none" w:sz="0" w:space="0" w:color="auto"/>
            <w:right w:val="none" w:sz="0" w:space="0" w:color="auto"/>
          </w:divBdr>
        </w:div>
        <w:div w:id="1455977672">
          <w:marLeft w:val="640"/>
          <w:marRight w:val="0"/>
          <w:marTop w:val="0"/>
          <w:marBottom w:val="0"/>
          <w:divBdr>
            <w:top w:val="none" w:sz="0" w:space="0" w:color="auto"/>
            <w:left w:val="none" w:sz="0" w:space="0" w:color="auto"/>
            <w:bottom w:val="none" w:sz="0" w:space="0" w:color="auto"/>
            <w:right w:val="none" w:sz="0" w:space="0" w:color="auto"/>
          </w:divBdr>
        </w:div>
        <w:div w:id="1546747352">
          <w:marLeft w:val="640"/>
          <w:marRight w:val="0"/>
          <w:marTop w:val="0"/>
          <w:marBottom w:val="0"/>
          <w:divBdr>
            <w:top w:val="none" w:sz="0" w:space="0" w:color="auto"/>
            <w:left w:val="none" w:sz="0" w:space="0" w:color="auto"/>
            <w:bottom w:val="none" w:sz="0" w:space="0" w:color="auto"/>
            <w:right w:val="none" w:sz="0" w:space="0" w:color="auto"/>
          </w:divBdr>
        </w:div>
        <w:div w:id="1281884304">
          <w:marLeft w:val="640"/>
          <w:marRight w:val="0"/>
          <w:marTop w:val="0"/>
          <w:marBottom w:val="0"/>
          <w:divBdr>
            <w:top w:val="none" w:sz="0" w:space="0" w:color="auto"/>
            <w:left w:val="none" w:sz="0" w:space="0" w:color="auto"/>
            <w:bottom w:val="none" w:sz="0" w:space="0" w:color="auto"/>
            <w:right w:val="none" w:sz="0" w:space="0" w:color="auto"/>
          </w:divBdr>
        </w:div>
        <w:div w:id="2136948024">
          <w:marLeft w:val="640"/>
          <w:marRight w:val="0"/>
          <w:marTop w:val="0"/>
          <w:marBottom w:val="0"/>
          <w:divBdr>
            <w:top w:val="none" w:sz="0" w:space="0" w:color="auto"/>
            <w:left w:val="none" w:sz="0" w:space="0" w:color="auto"/>
            <w:bottom w:val="none" w:sz="0" w:space="0" w:color="auto"/>
            <w:right w:val="none" w:sz="0" w:space="0" w:color="auto"/>
          </w:divBdr>
        </w:div>
        <w:div w:id="256134827">
          <w:marLeft w:val="640"/>
          <w:marRight w:val="0"/>
          <w:marTop w:val="0"/>
          <w:marBottom w:val="0"/>
          <w:divBdr>
            <w:top w:val="none" w:sz="0" w:space="0" w:color="auto"/>
            <w:left w:val="none" w:sz="0" w:space="0" w:color="auto"/>
            <w:bottom w:val="none" w:sz="0" w:space="0" w:color="auto"/>
            <w:right w:val="none" w:sz="0" w:space="0" w:color="auto"/>
          </w:divBdr>
        </w:div>
        <w:div w:id="777530555">
          <w:marLeft w:val="640"/>
          <w:marRight w:val="0"/>
          <w:marTop w:val="0"/>
          <w:marBottom w:val="0"/>
          <w:divBdr>
            <w:top w:val="none" w:sz="0" w:space="0" w:color="auto"/>
            <w:left w:val="none" w:sz="0" w:space="0" w:color="auto"/>
            <w:bottom w:val="none" w:sz="0" w:space="0" w:color="auto"/>
            <w:right w:val="none" w:sz="0" w:space="0" w:color="auto"/>
          </w:divBdr>
        </w:div>
        <w:div w:id="1475374371">
          <w:marLeft w:val="640"/>
          <w:marRight w:val="0"/>
          <w:marTop w:val="0"/>
          <w:marBottom w:val="0"/>
          <w:divBdr>
            <w:top w:val="none" w:sz="0" w:space="0" w:color="auto"/>
            <w:left w:val="none" w:sz="0" w:space="0" w:color="auto"/>
            <w:bottom w:val="none" w:sz="0" w:space="0" w:color="auto"/>
            <w:right w:val="none" w:sz="0" w:space="0" w:color="auto"/>
          </w:divBdr>
        </w:div>
        <w:div w:id="149291158">
          <w:marLeft w:val="640"/>
          <w:marRight w:val="0"/>
          <w:marTop w:val="0"/>
          <w:marBottom w:val="0"/>
          <w:divBdr>
            <w:top w:val="none" w:sz="0" w:space="0" w:color="auto"/>
            <w:left w:val="none" w:sz="0" w:space="0" w:color="auto"/>
            <w:bottom w:val="none" w:sz="0" w:space="0" w:color="auto"/>
            <w:right w:val="none" w:sz="0" w:space="0" w:color="auto"/>
          </w:divBdr>
        </w:div>
        <w:div w:id="1013142364">
          <w:marLeft w:val="640"/>
          <w:marRight w:val="0"/>
          <w:marTop w:val="0"/>
          <w:marBottom w:val="0"/>
          <w:divBdr>
            <w:top w:val="none" w:sz="0" w:space="0" w:color="auto"/>
            <w:left w:val="none" w:sz="0" w:space="0" w:color="auto"/>
            <w:bottom w:val="none" w:sz="0" w:space="0" w:color="auto"/>
            <w:right w:val="none" w:sz="0" w:space="0" w:color="auto"/>
          </w:divBdr>
        </w:div>
        <w:div w:id="1863203125">
          <w:marLeft w:val="640"/>
          <w:marRight w:val="0"/>
          <w:marTop w:val="0"/>
          <w:marBottom w:val="0"/>
          <w:divBdr>
            <w:top w:val="none" w:sz="0" w:space="0" w:color="auto"/>
            <w:left w:val="none" w:sz="0" w:space="0" w:color="auto"/>
            <w:bottom w:val="none" w:sz="0" w:space="0" w:color="auto"/>
            <w:right w:val="none" w:sz="0" w:space="0" w:color="auto"/>
          </w:divBdr>
        </w:div>
        <w:div w:id="1141582950">
          <w:marLeft w:val="640"/>
          <w:marRight w:val="0"/>
          <w:marTop w:val="0"/>
          <w:marBottom w:val="0"/>
          <w:divBdr>
            <w:top w:val="none" w:sz="0" w:space="0" w:color="auto"/>
            <w:left w:val="none" w:sz="0" w:space="0" w:color="auto"/>
            <w:bottom w:val="none" w:sz="0" w:space="0" w:color="auto"/>
            <w:right w:val="none" w:sz="0" w:space="0" w:color="auto"/>
          </w:divBdr>
        </w:div>
        <w:div w:id="1824613785">
          <w:marLeft w:val="640"/>
          <w:marRight w:val="0"/>
          <w:marTop w:val="0"/>
          <w:marBottom w:val="0"/>
          <w:divBdr>
            <w:top w:val="none" w:sz="0" w:space="0" w:color="auto"/>
            <w:left w:val="none" w:sz="0" w:space="0" w:color="auto"/>
            <w:bottom w:val="none" w:sz="0" w:space="0" w:color="auto"/>
            <w:right w:val="none" w:sz="0" w:space="0" w:color="auto"/>
          </w:divBdr>
        </w:div>
        <w:div w:id="1615674621">
          <w:marLeft w:val="640"/>
          <w:marRight w:val="0"/>
          <w:marTop w:val="0"/>
          <w:marBottom w:val="0"/>
          <w:divBdr>
            <w:top w:val="none" w:sz="0" w:space="0" w:color="auto"/>
            <w:left w:val="none" w:sz="0" w:space="0" w:color="auto"/>
            <w:bottom w:val="none" w:sz="0" w:space="0" w:color="auto"/>
            <w:right w:val="none" w:sz="0" w:space="0" w:color="auto"/>
          </w:divBdr>
        </w:div>
        <w:div w:id="988365267">
          <w:marLeft w:val="640"/>
          <w:marRight w:val="0"/>
          <w:marTop w:val="0"/>
          <w:marBottom w:val="0"/>
          <w:divBdr>
            <w:top w:val="none" w:sz="0" w:space="0" w:color="auto"/>
            <w:left w:val="none" w:sz="0" w:space="0" w:color="auto"/>
            <w:bottom w:val="none" w:sz="0" w:space="0" w:color="auto"/>
            <w:right w:val="none" w:sz="0" w:space="0" w:color="auto"/>
          </w:divBdr>
        </w:div>
        <w:div w:id="1871871108">
          <w:marLeft w:val="640"/>
          <w:marRight w:val="0"/>
          <w:marTop w:val="0"/>
          <w:marBottom w:val="0"/>
          <w:divBdr>
            <w:top w:val="none" w:sz="0" w:space="0" w:color="auto"/>
            <w:left w:val="none" w:sz="0" w:space="0" w:color="auto"/>
            <w:bottom w:val="none" w:sz="0" w:space="0" w:color="auto"/>
            <w:right w:val="none" w:sz="0" w:space="0" w:color="auto"/>
          </w:divBdr>
        </w:div>
        <w:div w:id="1436364053">
          <w:marLeft w:val="640"/>
          <w:marRight w:val="0"/>
          <w:marTop w:val="0"/>
          <w:marBottom w:val="0"/>
          <w:divBdr>
            <w:top w:val="none" w:sz="0" w:space="0" w:color="auto"/>
            <w:left w:val="none" w:sz="0" w:space="0" w:color="auto"/>
            <w:bottom w:val="none" w:sz="0" w:space="0" w:color="auto"/>
            <w:right w:val="none" w:sz="0" w:space="0" w:color="auto"/>
          </w:divBdr>
        </w:div>
        <w:div w:id="1625962383">
          <w:marLeft w:val="640"/>
          <w:marRight w:val="0"/>
          <w:marTop w:val="0"/>
          <w:marBottom w:val="0"/>
          <w:divBdr>
            <w:top w:val="none" w:sz="0" w:space="0" w:color="auto"/>
            <w:left w:val="none" w:sz="0" w:space="0" w:color="auto"/>
            <w:bottom w:val="none" w:sz="0" w:space="0" w:color="auto"/>
            <w:right w:val="none" w:sz="0" w:space="0" w:color="auto"/>
          </w:divBdr>
        </w:div>
        <w:div w:id="1564483036">
          <w:marLeft w:val="640"/>
          <w:marRight w:val="0"/>
          <w:marTop w:val="0"/>
          <w:marBottom w:val="0"/>
          <w:divBdr>
            <w:top w:val="none" w:sz="0" w:space="0" w:color="auto"/>
            <w:left w:val="none" w:sz="0" w:space="0" w:color="auto"/>
            <w:bottom w:val="none" w:sz="0" w:space="0" w:color="auto"/>
            <w:right w:val="none" w:sz="0" w:space="0" w:color="auto"/>
          </w:divBdr>
        </w:div>
        <w:div w:id="648632547">
          <w:marLeft w:val="640"/>
          <w:marRight w:val="0"/>
          <w:marTop w:val="0"/>
          <w:marBottom w:val="0"/>
          <w:divBdr>
            <w:top w:val="none" w:sz="0" w:space="0" w:color="auto"/>
            <w:left w:val="none" w:sz="0" w:space="0" w:color="auto"/>
            <w:bottom w:val="none" w:sz="0" w:space="0" w:color="auto"/>
            <w:right w:val="none" w:sz="0" w:space="0" w:color="auto"/>
          </w:divBdr>
        </w:div>
        <w:div w:id="2109496073">
          <w:marLeft w:val="640"/>
          <w:marRight w:val="0"/>
          <w:marTop w:val="0"/>
          <w:marBottom w:val="0"/>
          <w:divBdr>
            <w:top w:val="none" w:sz="0" w:space="0" w:color="auto"/>
            <w:left w:val="none" w:sz="0" w:space="0" w:color="auto"/>
            <w:bottom w:val="none" w:sz="0" w:space="0" w:color="auto"/>
            <w:right w:val="none" w:sz="0" w:space="0" w:color="auto"/>
          </w:divBdr>
        </w:div>
        <w:div w:id="1193617084">
          <w:marLeft w:val="640"/>
          <w:marRight w:val="0"/>
          <w:marTop w:val="0"/>
          <w:marBottom w:val="0"/>
          <w:divBdr>
            <w:top w:val="none" w:sz="0" w:space="0" w:color="auto"/>
            <w:left w:val="none" w:sz="0" w:space="0" w:color="auto"/>
            <w:bottom w:val="none" w:sz="0" w:space="0" w:color="auto"/>
            <w:right w:val="none" w:sz="0" w:space="0" w:color="auto"/>
          </w:divBdr>
        </w:div>
        <w:div w:id="774208883">
          <w:marLeft w:val="640"/>
          <w:marRight w:val="0"/>
          <w:marTop w:val="0"/>
          <w:marBottom w:val="0"/>
          <w:divBdr>
            <w:top w:val="none" w:sz="0" w:space="0" w:color="auto"/>
            <w:left w:val="none" w:sz="0" w:space="0" w:color="auto"/>
            <w:bottom w:val="none" w:sz="0" w:space="0" w:color="auto"/>
            <w:right w:val="none" w:sz="0" w:space="0" w:color="auto"/>
          </w:divBdr>
        </w:div>
        <w:div w:id="1638603122">
          <w:marLeft w:val="640"/>
          <w:marRight w:val="0"/>
          <w:marTop w:val="0"/>
          <w:marBottom w:val="0"/>
          <w:divBdr>
            <w:top w:val="none" w:sz="0" w:space="0" w:color="auto"/>
            <w:left w:val="none" w:sz="0" w:space="0" w:color="auto"/>
            <w:bottom w:val="none" w:sz="0" w:space="0" w:color="auto"/>
            <w:right w:val="none" w:sz="0" w:space="0" w:color="auto"/>
          </w:divBdr>
        </w:div>
        <w:div w:id="2055733393">
          <w:marLeft w:val="640"/>
          <w:marRight w:val="0"/>
          <w:marTop w:val="0"/>
          <w:marBottom w:val="0"/>
          <w:divBdr>
            <w:top w:val="none" w:sz="0" w:space="0" w:color="auto"/>
            <w:left w:val="none" w:sz="0" w:space="0" w:color="auto"/>
            <w:bottom w:val="none" w:sz="0" w:space="0" w:color="auto"/>
            <w:right w:val="none" w:sz="0" w:space="0" w:color="auto"/>
          </w:divBdr>
        </w:div>
        <w:div w:id="1880048111">
          <w:marLeft w:val="640"/>
          <w:marRight w:val="0"/>
          <w:marTop w:val="0"/>
          <w:marBottom w:val="0"/>
          <w:divBdr>
            <w:top w:val="none" w:sz="0" w:space="0" w:color="auto"/>
            <w:left w:val="none" w:sz="0" w:space="0" w:color="auto"/>
            <w:bottom w:val="none" w:sz="0" w:space="0" w:color="auto"/>
            <w:right w:val="none" w:sz="0" w:space="0" w:color="auto"/>
          </w:divBdr>
        </w:div>
        <w:div w:id="934825846">
          <w:marLeft w:val="640"/>
          <w:marRight w:val="0"/>
          <w:marTop w:val="0"/>
          <w:marBottom w:val="0"/>
          <w:divBdr>
            <w:top w:val="none" w:sz="0" w:space="0" w:color="auto"/>
            <w:left w:val="none" w:sz="0" w:space="0" w:color="auto"/>
            <w:bottom w:val="none" w:sz="0" w:space="0" w:color="auto"/>
            <w:right w:val="none" w:sz="0" w:space="0" w:color="auto"/>
          </w:divBdr>
        </w:div>
        <w:div w:id="715160942">
          <w:marLeft w:val="640"/>
          <w:marRight w:val="0"/>
          <w:marTop w:val="0"/>
          <w:marBottom w:val="0"/>
          <w:divBdr>
            <w:top w:val="none" w:sz="0" w:space="0" w:color="auto"/>
            <w:left w:val="none" w:sz="0" w:space="0" w:color="auto"/>
            <w:bottom w:val="none" w:sz="0" w:space="0" w:color="auto"/>
            <w:right w:val="none" w:sz="0" w:space="0" w:color="auto"/>
          </w:divBdr>
        </w:div>
        <w:div w:id="1445684396">
          <w:marLeft w:val="640"/>
          <w:marRight w:val="0"/>
          <w:marTop w:val="0"/>
          <w:marBottom w:val="0"/>
          <w:divBdr>
            <w:top w:val="none" w:sz="0" w:space="0" w:color="auto"/>
            <w:left w:val="none" w:sz="0" w:space="0" w:color="auto"/>
            <w:bottom w:val="none" w:sz="0" w:space="0" w:color="auto"/>
            <w:right w:val="none" w:sz="0" w:space="0" w:color="auto"/>
          </w:divBdr>
        </w:div>
        <w:div w:id="1215503048">
          <w:marLeft w:val="640"/>
          <w:marRight w:val="0"/>
          <w:marTop w:val="0"/>
          <w:marBottom w:val="0"/>
          <w:divBdr>
            <w:top w:val="none" w:sz="0" w:space="0" w:color="auto"/>
            <w:left w:val="none" w:sz="0" w:space="0" w:color="auto"/>
            <w:bottom w:val="none" w:sz="0" w:space="0" w:color="auto"/>
            <w:right w:val="none" w:sz="0" w:space="0" w:color="auto"/>
          </w:divBdr>
        </w:div>
        <w:div w:id="1683318152">
          <w:marLeft w:val="640"/>
          <w:marRight w:val="0"/>
          <w:marTop w:val="0"/>
          <w:marBottom w:val="0"/>
          <w:divBdr>
            <w:top w:val="none" w:sz="0" w:space="0" w:color="auto"/>
            <w:left w:val="none" w:sz="0" w:space="0" w:color="auto"/>
            <w:bottom w:val="none" w:sz="0" w:space="0" w:color="auto"/>
            <w:right w:val="none" w:sz="0" w:space="0" w:color="auto"/>
          </w:divBdr>
        </w:div>
        <w:div w:id="419715118">
          <w:marLeft w:val="640"/>
          <w:marRight w:val="0"/>
          <w:marTop w:val="0"/>
          <w:marBottom w:val="0"/>
          <w:divBdr>
            <w:top w:val="none" w:sz="0" w:space="0" w:color="auto"/>
            <w:left w:val="none" w:sz="0" w:space="0" w:color="auto"/>
            <w:bottom w:val="none" w:sz="0" w:space="0" w:color="auto"/>
            <w:right w:val="none" w:sz="0" w:space="0" w:color="auto"/>
          </w:divBdr>
        </w:div>
        <w:div w:id="1870336571">
          <w:marLeft w:val="640"/>
          <w:marRight w:val="0"/>
          <w:marTop w:val="0"/>
          <w:marBottom w:val="0"/>
          <w:divBdr>
            <w:top w:val="none" w:sz="0" w:space="0" w:color="auto"/>
            <w:left w:val="none" w:sz="0" w:space="0" w:color="auto"/>
            <w:bottom w:val="none" w:sz="0" w:space="0" w:color="auto"/>
            <w:right w:val="none" w:sz="0" w:space="0" w:color="auto"/>
          </w:divBdr>
        </w:div>
        <w:div w:id="334576177">
          <w:marLeft w:val="640"/>
          <w:marRight w:val="0"/>
          <w:marTop w:val="0"/>
          <w:marBottom w:val="0"/>
          <w:divBdr>
            <w:top w:val="none" w:sz="0" w:space="0" w:color="auto"/>
            <w:left w:val="none" w:sz="0" w:space="0" w:color="auto"/>
            <w:bottom w:val="none" w:sz="0" w:space="0" w:color="auto"/>
            <w:right w:val="none" w:sz="0" w:space="0" w:color="auto"/>
          </w:divBdr>
        </w:div>
        <w:div w:id="1852524083">
          <w:marLeft w:val="640"/>
          <w:marRight w:val="0"/>
          <w:marTop w:val="0"/>
          <w:marBottom w:val="0"/>
          <w:divBdr>
            <w:top w:val="none" w:sz="0" w:space="0" w:color="auto"/>
            <w:left w:val="none" w:sz="0" w:space="0" w:color="auto"/>
            <w:bottom w:val="none" w:sz="0" w:space="0" w:color="auto"/>
            <w:right w:val="none" w:sz="0" w:space="0" w:color="auto"/>
          </w:divBdr>
        </w:div>
        <w:div w:id="1777365450">
          <w:marLeft w:val="640"/>
          <w:marRight w:val="0"/>
          <w:marTop w:val="0"/>
          <w:marBottom w:val="0"/>
          <w:divBdr>
            <w:top w:val="none" w:sz="0" w:space="0" w:color="auto"/>
            <w:left w:val="none" w:sz="0" w:space="0" w:color="auto"/>
            <w:bottom w:val="none" w:sz="0" w:space="0" w:color="auto"/>
            <w:right w:val="none" w:sz="0" w:space="0" w:color="auto"/>
          </w:divBdr>
        </w:div>
        <w:div w:id="501822496">
          <w:marLeft w:val="640"/>
          <w:marRight w:val="0"/>
          <w:marTop w:val="0"/>
          <w:marBottom w:val="0"/>
          <w:divBdr>
            <w:top w:val="none" w:sz="0" w:space="0" w:color="auto"/>
            <w:left w:val="none" w:sz="0" w:space="0" w:color="auto"/>
            <w:bottom w:val="none" w:sz="0" w:space="0" w:color="auto"/>
            <w:right w:val="none" w:sz="0" w:space="0" w:color="auto"/>
          </w:divBdr>
        </w:div>
        <w:div w:id="1050347437">
          <w:marLeft w:val="640"/>
          <w:marRight w:val="0"/>
          <w:marTop w:val="0"/>
          <w:marBottom w:val="0"/>
          <w:divBdr>
            <w:top w:val="none" w:sz="0" w:space="0" w:color="auto"/>
            <w:left w:val="none" w:sz="0" w:space="0" w:color="auto"/>
            <w:bottom w:val="none" w:sz="0" w:space="0" w:color="auto"/>
            <w:right w:val="none" w:sz="0" w:space="0" w:color="auto"/>
          </w:divBdr>
        </w:div>
        <w:div w:id="80761606">
          <w:marLeft w:val="640"/>
          <w:marRight w:val="0"/>
          <w:marTop w:val="0"/>
          <w:marBottom w:val="0"/>
          <w:divBdr>
            <w:top w:val="none" w:sz="0" w:space="0" w:color="auto"/>
            <w:left w:val="none" w:sz="0" w:space="0" w:color="auto"/>
            <w:bottom w:val="none" w:sz="0" w:space="0" w:color="auto"/>
            <w:right w:val="none" w:sz="0" w:space="0" w:color="auto"/>
          </w:divBdr>
        </w:div>
        <w:div w:id="1692149699">
          <w:marLeft w:val="640"/>
          <w:marRight w:val="0"/>
          <w:marTop w:val="0"/>
          <w:marBottom w:val="0"/>
          <w:divBdr>
            <w:top w:val="none" w:sz="0" w:space="0" w:color="auto"/>
            <w:left w:val="none" w:sz="0" w:space="0" w:color="auto"/>
            <w:bottom w:val="none" w:sz="0" w:space="0" w:color="auto"/>
            <w:right w:val="none" w:sz="0" w:space="0" w:color="auto"/>
          </w:divBdr>
        </w:div>
        <w:div w:id="1380478283">
          <w:marLeft w:val="640"/>
          <w:marRight w:val="0"/>
          <w:marTop w:val="0"/>
          <w:marBottom w:val="0"/>
          <w:divBdr>
            <w:top w:val="none" w:sz="0" w:space="0" w:color="auto"/>
            <w:left w:val="none" w:sz="0" w:space="0" w:color="auto"/>
            <w:bottom w:val="none" w:sz="0" w:space="0" w:color="auto"/>
            <w:right w:val="none" w:sz="0" w:space="0" w:color="auto"/>
          </w:divBdr>
        </w:div>
        <w:div w:id="2025859905">
          <w:marLeft w:val="640"/>
          <w:marRight w:val="0"/>
          <w:marTop w:val="0"/>
          <w:marBottom w:val="0"/>
          <w:divBdr>
            <w:top w:val="none" w:sz="0" w:space="0" w:color="auto"/>
            <w:left w:val="none" w:sz="0" w:space="0" w:color="auto"/>
            <w:bottom w:val="none" w:sz="0" w:space="0" w:color="auto"/>
            <w:right w:val="none" w:sz="0" w:space="0" w:color="auto"/>
          </w:divBdr>
        </w:div>
        <w:div w:id="1075398773">
          <w:marLeft w:val="640"/>
          <w:marRight w:val="0"/>
          <w:marTop w:val="0"/>
          <w:marBottom w:val="0"/>
          <w:divBdr>
            <w:top w:val="none" w:sz="0" w:space="0" w:color="auto"/>
            <w:left w:val="none" w:sz="0" w:space="0" w:color="auto"/>
            <w:bottom w:val="none" w:sz="0" w:space="0" w:color="auto"/>
            <w:right w:val="none" w:sz="0" w:space="0" w:color="auto"/>
          </w:divBdr>
        </w:div>
        <w:div w:id="1793786536">
          <w:marLeft w:val="640"/>
          <w:marRight w:val="0"/>
          <w:marTop w:val="0"/>
          <w:marBottom w:val="0"/>
          <w:divBdr>
            <w:top w:val="none" w:sz="0" w:space="0" w:color="auto"/>
            <w:left w:val="none" w:sz="0" w:space="0" w:color="auto"/>
            <w:bottom w:val="none" w:sz="0" w:space="0" w:color="auto"/>
            <w:right w:val="none" w:sz="0" w:space="0" w:color="auto"/>
          </w:divBdr>
        </w:div>
        <w:div w:id="1800881867">
          <w:marLeft w:val="640"/>
          <w:marRight w:val="0"/>
          <w:marTop w:val="0"/>
          <w:marBottom w:val="0"/>
          <w:divBdr>
            <w:top w:val="none" w:sz="0" w:space="0" w:color="auto"/>
            <w:left w:val="none" w:sz="0" w:space="0" w:color="auto"/>
            <w:bottom w:val="none" w:sz="0" w:space="0" w:color="auto"/>
            <w:right w:val="none" w:sz="0" w:space="0" w:color="auto"/>
          </w:divBdr>
        </w:div>
        <w:div w:id="790048865">
          <w:marLeft w:val="640"/>
          <w:marRight w:val="0"/>
          <w:marTop w:val="0"/>
          <w:marBottom w:val="0"/>
          <w:divBdr>
            <w:top w:val="none" w:sz="0" w:space="0" w:color="auto"/>
            <w:left w:val="none" w:sz="0" w:space="0" w:color="auto"/>
            <w:bottom w:val="none" w:sz="0" w:space="0" w:color="auto"/>
            <w:right w:val="none" w:sz="0" w:space="0" w:color="auto"/>
          </w:divBdr>
        </w:div>
        <w:div w:id="162282023">
          <w:marLeft w:val="640"/>
          <w:marRight w:val="0"/>
          <w:marTop w:val="0"/>
          <w:marBottom w:val="0"/>
          <w:divBdr>
            <w:top w:val="none" w:sz="0" w:space="0" w:color="auto"/>
            <w:left w:val="none" w:sz="0" w:space="0" w:color="auto"/>
            <w:bottom w:val="none" w:sz="0" w:space="0" w:color="auto"/>
            <w:right w:val="none" w:sz="0" w:space="0" w:color="auto"/>
          </w:divBdr>
        </w:div>
        <w:div w:id="1648239473">
          <w:marLeft w:val="640"/>
          <w:marRight w:val="0"/>
          <w:marTop w:val="0"/>
          <w:marBottom w:val="0"/>
          <w:divBdr>
            <w:top w:val="none" w:sz="0" w:space="0" w:color="auto"/>
            <w:left w:val="none" w:sz="0" w:space="0" w:color="auto"/>
            <w:bottom w:val="none" w:sz="0" w:space="0" w:color="auto"/>
            <w:right w:val="none" w:sz="0" w:space="0" w:color="auto"/>
          </w:divBdr>
        </w:div>
        <w:div w:id="1045325054">
          <w:marLeft w:val="640"/>
          <w:marRight w:val="0"/>
          <w:marTop w:val="0"/>
          <w:marBottom w:val="0"/>
          <w:divBdr>
            <w:top w:val="none" w:sz="0" w:space="0" w:color="auto"/>
            <w:left w:val="none" w:sz="0" w:space="0" w:color="auto"/>
            <w:bottom w:val="none" w:sz="0" w:space="0" w:color="auto"/>
            <w:right w:val="none" w:sz="0" w:space="0" w:color="auto"/>
          </w:divBdr>
        </w:div>
        <w:div w:id="802507769">
          <w:marLeft w:val="640"/>
          <w:marRight w:val="0"/>
          <w:marTop w:val="0"/>
          <w:marBottom w:val="0"/>
          <w:divBdr>
            <w:top w:val="none" w:sz="0" w:space="0" w:color="auto"/>
            <w:left w:val="none" w:sz="0" w:space="0" w:color="auto"/>
            <w:bottom w:val="none" w:sz="0" w:space="0" w:color="auto"/>
            <w:right w:val="none" w:sz="0" w:space="0" w:color="auto"/>
          </w:divBdr>
        </w:div>
        <w:div w:id="443115465">
          <w:marLeft w:val="640"/>
          <w:marRight w:val="0"/>
          <w:marTop w:val="0"/>
          <w:marBottom w:val="0"/>
          <w:divBdr>
            <w:top w:val="none" w:sz="0" w:space="0" w:color="auto"/>
            <w:left w:val="none" w:sz="0" w:space="0" w:color="auto"/>
            <w:bottom w:val="none" w:sz="0" w:space="0" w:color="auto"/>
            <w:right w:val="none" w:sz="0" w:space="0" w:color="auto"/>
          </w:divBdr>
        </w:div>
        <w:div w:id="440953261">
          <w:marLeft w:val="640"/>
          <w:marRight w:val="0"/>
          <w:marTop w:val="0"/>
          <w:marBottom w:val="0"/>
          <w:divBdr>
            <w:top w:val="none" w:sz="0" w:space="0" w:color="auto"/>
            <w:left w:val="none" w:sz="0" w:space="0" w:color="auto"/>
            <w:bottom w:val="none" w:sz="0" w:space="0" w:color="auto"/>
            <w:right w:val="none" w:sz="0" w:space="0" w:color="auto"/>
          </w:divBdr>
        </w:div>
        <w:div w:id="1512530931">
          <w:marLeft w:val="640"/>
          <w:marRight w:val="0"/>
          <w:marTop w:val="0"/>
          <w:marBottom w:val="0"/>
          <w:divBdr>
            <w:top w:val="none" w:sz="0" w:space="0" w:color="auto"/>
            <w:left w:val="none" w:sz="0" w:space="0" w:color="auto"/>
            <w:bottom w:val="none" w:sz="0" w:space="0" w:color="auto"/>
            <w:right w:val="none" w:sz="0" w:space="0" w:color="auto"/>
          </w:divBdr>
        </w:div>
        <w:div w:id="977342105">
          <w:marLeft w:val="640"/>
          <w:marRight w:val="0"/>
          <w:marTop w:val="0"/>
          <w:marBottom w:val="0"/>
          <w:divBdr>
            <w:top w:val="none" w:sz="0" w:space="0" w:color="auto"/>
            <w:left w:val="none" w:sz="0" w:space="0" w:color="auto"/>
            <w:bottom w:val="none" w:sz="0" w:space="0" w:color="auto"/>
            <w:right w:val="none" w:sz="0" w:space="0" w:color="auto"/>
          </w:divBdr>
        </w:div>
        <w:div w:id="1754816458">
          <w:marLeft w:val="640"/>
          <w:marRight w:val="0"/>
          <w:marTop w:val="0"/>
          <w:marBottom w:val="0"/>
          <w:divBdr>
            <w:top w:val="none" w:sz="0" w:space="0" w:color="auto"/>
            <w:left w:val="none" w:sz="0" w:space="0" w:color="auto"/>
            <w:bottom w:val="none" w:sz="0" w:space="0" w:color="auto"/>
            <w:right w:val="none" w:sz="0" w:space="0" w:color="auto"/>
          </w:divBdr>
        </w:div>
        <w:div w:id="1575357781">
          <w:marLeft w:val="640"/>
          <w:marRight w:val="0"/>
          <w:marTop w:val="0"/>
          <w:marBottom w:val="0"/>
          <w:divBdr>
            <w:top w:val="none" w:sz="0" w:space="0" w:color="auto"/>
            <w:left w:val="none" w:sz="0" w:space="0" w:color="auto"/>
            <w:bottom w:val="none" w:sz="0" w:space="0" w:color="auto"/>
            <w:right w:val="none" w:sz="0" w:space="0" w:color="auto"/>
          </w:divBdr>
        </w:div>
        <w:div w:id="786894630">
          <w:marLeft w:val="640"/>
          <w:marRight w:val="0"/>
          <w:marTop w:val="0"/>
          <w:marBottom w:val="0"/>
          <w:divBdr>
            <w:top w:val="none" w:sz="0" w:space="0" w:color="auto"/>
            <w:left w:val="none" w:sz="0" w:space="0" w:color="auto"/>
            <w:bottom w:val="none" w:sz="0" w:space="0" w:color="auto"/>
            <w:right w:val="none" w:sz="0" w:space="0" w:color="auto"/>
          </w:divBdr>
        </w:div>
        <w:div w:id="1241254345">
          <w:marLeft w:val="640"/>
          <w:marRight w:val="0"/>
          <w:marTop w:val="0"/>
          <w:marBottom w:val="0"/>
          <w:divBdr>
            <w:top w:val="none" w:sz="0" w:space="0" w:color="auto"/>
            <w:left w:val="none" w:sz="0" w:space="0" w:color="auto"/>
            <w:bottom w:val="none" w:sz="0" w:space="0" w:color="auto"/>
            <w:right w:val="none" w:sz="0" w:space="0" w:color="auto"/>
          </w:divBdr>
        </w:div>
        <w:div w:id="1571429664">
          <w:marLeft w:val="640"/>
          <w:marRight w:val="0"/>
          <w:marTop w:val="0"/>
          <w:marBottom w:val="0"/>
          <w:divBdr>
            <w:top w:val="none" w:sz="0" w:space="0" w:color="auto"/>
            <w:left w:val="none" w:sz="0" w:space="0" w:color="auto"/>
            <w:bottom w:val="none" w:sz="0" w:space="0" w:color="auto"/>
            <w:right w:val="none" w:sz="0" w:space="0" w:color="auto"/>
          </w:divBdr>
        </w:div>
        <w:div w:id="1872523911">
          <w:marLeft w:val="640"/>
          <w:marRight w:val="0"/>
          <w:marTop w:val="0"/>
          <w:marBottom w:val="0"/>
          <w:divBdr>
            <w:top w:val="none" w:sz="0" w:space="0" w:color="auto"/>
            <w:left w:val="none" w:sz="0" w:space="0" w:color="auto"/>
            <w:bottom w:val="none" w:sz="0" w:space="0" w:color="auto"/>
            <w:right w:val="none" w:sz="0" w:space="0" w:color="auto"/>
          </w:divBdr>
        </w:div>
        <w:div w:id="238754213">
          <w:marLeft w:val="640"/>
          <w:marRight w:val="0"/>
          <w:marTop w:val="0"/>
          <w:marBottom w:val="0"/>
          <w:divBdr>
            <w:top w:val="none" w:sz="0" w:space="0" w:color="auto"/>
            <w:left w:val="none" w:sz="0" w:space="0" w:color="auto"/>
            <w:bottom w:val="none" w:sz="0" w:space="0" w:color="auto"/>
            <w:right w:val="none" w:sz="0" w:space="0" w:color="auto"/>
          </w:divBdr>
        </w:div>
        <w:div w:id="121921011">
          <w:marLeft w:val="640"/>
          <w:marRight w:val="0"/>
          <w:marTop w:val="0"/>
          <w:marBottom w:val="0"/>
          <w:divBdr>
            <w:top w:val="none" w:sz="0" w:space="0" w:color="auto"/>
            <w:left w:val="none" w:sz="0" w:space="0" w:color="auto"/>
            <w:bottom w:val="none" w:sz="0" w:space="0" w:color="auto"/>
            <w:right w:val="none" w:sz="0" w:space="0" w:color="auto"/>
          </w:divBdr>
        </w:div>
        <w:div w:id="118572109">
          <w:marLeft w:val="640"/>
          <w:marRight w:val="0"/>
          <w:marTop w:val="0"/>
          <w:marBottom w:val="0"/>
          <w:divBdr>
            <w:top w:val="none" w:sz="0" w:space="0" w:color="auto"/>
            <w:left w:val="none" w:sz="0" w:space="0" w:color="auto"/>
            <w:bottom w:val="none" w:sz="0" w:space="0" w:color="auto"/>
            <w:right w:val="none" w:sz="0" w:space="0" w:color="auto"/>
          </w:divBdr>
        </w:div>
        <w:div w:id="1197085233">
          <w:marLeft w:val="640"/>
          <w:marRight w:val="0"/>
          <w:marTop w:val="0"/>
          <w:marBottom w:val="0"/>
          <w:divBdr>
            <w:top w:val="none" w:sz="0" w:space="0" w:color="auto"/>
            <w:left w:val="none" w:sz="0" w:space="0" w:color="auto"/>
            <w:bottom w:val="none" w:sz="0" w:space="0" w:color="auto"/>
            <w:right w:val="none" w:sz="0" w:space="0" w:color="auto"/>
          </w:divBdr>
        </w:div>
        <w:div w:id="1464033434">
          <w:marLeft w:val="640"/>
          <w:marRight w:val="0"/>
          <w:marTop w:val="0"/>
          <w:marBottom w:val="0"/>
          <w:divBdr>
            <w:top w:val="none" w:sz="0" w:space="0" w:color="auto"/>
            <w:left w:val="none" w:sz="0" w:space="0" w:color="auto"/>
            <w:bottom w:val="none" w:sz="0" w:space="0" w:color="auto"/>
            <w:right w:val="none" w:sz="0" w:space="0" w:color="auto"/>
          </w:divBdr>
        </w:div>
        <w:div w:id="422916617">
          <w:marLeft w:val="640"/>
          <w:marRight w:val="0"/>
          <w:marTop w:val="0"/>
          <w:marBottom w:val="0"/>
          <w:divBdr>
            <w:top w:val="none" w:sz="0" w:space="0" w:color="auto"/>
            <w:left w:val="none" w:sz="0" w:space="0" w:color="auto"/>
            <w:bottom w:val="none" w:sz="0" w:space="0" w:color="auto"/>
            <w:right w:val="none" w:sz="0" w:space="0" w:color="auto"/>
          </w:divBdr>
        </w:div>
        <w:div w:id="1995647869">
          <w:marLeft w:val="640"/>
          <w:marRight w:val="0"/>
          <w:marTop w:val="0"/>
          <w:marBottom w:val="0"/>
          <w:divBdr>
            <w:top w:val="none" w:sz="0" w:space="0" w:color="auto"/>
            <w:left w:val="none" w:sz="0" w:space="0" w:color="auto"/>
            <w:bottom w:val="none" w:sz="0" w:space="0" w:color="auto"/>
            <w:right w:val="none" w:sz="0" w:space="0" w:color="auto"/>
          </w:divBdr>
        </w:div>
        <w:div w:id="148059318">
          <w:marLeft w:val="640"/>
          <w:marRight w:val="0"/>
          <w:marTop w:val="0"/>
          <w:marBottom w:val="0"/>
          <w:divBdr>
            <w:top w:val="none" w:sz="0" w:space="0" w:color="auto"/>
            <w:left w:val="none" w:sz="0" w:space="0" w:color="auto"/>
            <w:bottom w:val="none" w:sz="0" w:space="0" w:color="auto"/>
            <w:right w:val="none" w:sz="0" w:space="0" w:color="auto"/>
          </w:divBdr>
        </w:div>
        <w:div w:id="670371343">
          <w:marLeft w:val="640"/>
          <w:marRight w:val="0"/>
          <w:marTop w:val="0"/>
          <w:marBottom w:val="0"/>
          <w:divBdr>
            <w:top w:val="none" w:sz="0" w:space="0" w:color="auto"/>
            <w:left w:val="none" w:sz="0" w:space="0" w:color="auto"/>
            <w:bottom w:val="none" w:sz="0" w:space="0" w:color="auto"/>
            <w:right w:val="none" w:sz="0" w:space="0" w:color="auto"/>
          </w:divBdr>
        </w:div>
        <w:div w:id="1565333892">
          <w:marLeft w:val="640"/>
          <w:marRight w:val="0"/>
          <w:marTop w:val="0"/>
          <w:marBottom w:val="0"/>
          <w:divBdr>
            <w:top w:val="none" w:sz="0" w:space="0" w:color="auto"/>
            <w:left w:val="none" w:sz="0" w:space="0" w:color="auto"/>
            <w:bottom w:val="none" w:sz="0" w:space="0" w:color="auto"/>
            <w:right w:val="none" w:sz="0" w:space="0" w:color="auto"/>
          </w:divBdr>
        </w:div>
        <w:div w:id="1781340302">
          <w:marLeft w:val="640"/>
          <w:marRight w:val="0"/>
          <w:marTop w:val="0"/>
          <w:marBottom w:val="0"/>
          <w:divBdr>
            <w:top w:val="none" w:sz="0" w:space="0" w:color="auto"/>
            <w:left w:val="none" w:sz="0" w:space="0" w:color="auto"/>
            <w:bottom w:val="none" w:sz="0" w:space="0" w:color="auto"/>
            <w:right w:val="none" w:sz="0" w:space="0" w:color="auto"/>
          </w:divBdr>
        </w:div>
        <w:div w:id="1557542584">
          <w:marLeft w:val="640"/>
          <w:marRight w:val="0"/>
          <w:marTop w:val="0"/>
          <w:marBottom w:val="0"/>
          <w:divBdr>
            <w:top w:val="none" w:sz="0" w:space="0" w:color="auto"/>
            <w:left w:val="none" w:sz="0" w:space="0" w:color="auto"/>
            <w:bottom w:val="none" w:sz="0" w:space="0" w:color="auto"/>
            <w:right w:val="none" w:sz="0" w:space="0" w:color="auto"/>
          </w:divBdr>
        </w:div>
        <w:div w:id="644748125">
          <w:marLeft w:val="640"/>
          <w:marRight w:val="0"/>
          <w:marTop w:val="0"/>
          <w:marBottom w:val="0"/>
          <w:divBdr>
            <w:top w:val="none" w:sz="0" w:space="0" w:color="auto"/>
            <w:left w:val="none" w:sz="0" w:space="0" w:color="auto"/>
            <w:bottom w:val="none" w:sz="0" w:space="0" w:color="auto"/>
            <w:right w:val="none" w:sz="0" w:space="0" w:color="auto"/>
          </w:divBdr>
        </w:div>
        <w:div w:id="1366102992">
          <w:marLeft w:val="640"/>
          <w:marRight w:val="0"/>
          <w:marTop w:val="0"/>
          <w:marBottom w:val="0"/>
          <w:divBdr>
            <w:top w:val="none" w:sz="0" w:space="0" w:color="auto"/>
            <w:left w:val="none" w:sz="0" w:space="0" w:color="auto"/>
            <w:bottom w:val="none" w:sz="0" w:space="0" w:color="auto"/>
            <w:right w:val="none" w:sz="0" w:space="0" w:color="auto"/>
          </w:divBdr>
        </w:div>
        <w:div w:id="1886939836">
          <w:marLeft w:val="640"/>
          <w:marRight w:val="0"/>
          <w:marTop w:val="0"/>
          <w:marBottom w:val="0"/>
          <w:divBdr>
            <w:top w:val="none" w:sz="0" w:space="0" w:color="auto"/>
            <w:left w:val="none" w:sz="0" w:space="0" w:color="auto"/>
            <w:bottom w:val="none" w:sz="0" w:space="0" w:color="auto"/>
            <w:right w:val="none" w:sz="0" w:space="0" w:color="auto"/>
          </w:divBdr>
        </w:div>
        <w:div w:id="2041852381">
          <w:marLeft w:val="640"/>
          <w:marRight w:val="0"/>
          <w:marTop w:val="0"/>
          <w:marBottom w:val="0"/>
          <w:divBdr>
            <w:top w:val="none" w:sz="0" w:space="0" w:color="auto"/>
            <w:left w:val="none" w:sz="0" w:space="0" w:color="auto"/>
            <w:bottom w:val="none" w:sz="0" w:space="0" w:color="auto"/>
            <w:right w:val="none" w:sz="0" w:space="0" w:color="auto"/>
          </w:divBdr>
        </w:div>
        <w:div w:id="1868517368">
          <w:marLeft w:val="640"/>
          <w:marRight w:val="0"/>
          <w:marTop w:val="0"/>
          <w:marBottom w:val="0"/>
          <w:divBdr>
            <w:top w:val="none" w:sz="0" w:space="0" w:color="auto"/>
            <w:left w:val="none" w:sz="0" w:space="0" w:color="auto"/>
            <w:bottom w:val="none" w:sz="0" w:space="0" w:color="auto"/>
            <w:right w:val="none" w:sz="0" w:space="0" w:color="auto"/>
          </w:divBdr>
        </w:div>
        <w:div w:id="220673518">
          <w:marLeft w:val="640"/>
          <w:marRight w:val="0"/>
          <w:marTop w:val="0"/>
          <w:marBottom w:val="0"/>
          <w:divBdr>
            <w:top w:val="none" w:sz="0" w:space="0" w:color="auto"/>
            <w:left w:val="none" w:sz="0" w:space="0" w:color="auto"/>
            <w:bottom w:val="none" w:sz="0" w:space="0" w:color="auto"/>
            <w:right w:val="none" w:sz="0" w:space="0" w:color="auto"/>
          </w:divBdr>
        </w:div>
        <w:div w:id="1237663963">
          <w:marLeft w:val="640"/>
          <w:marRight w:val="0"/>
          <w:marTop w:val="0"/>
          <w:marBottom w:val="0"/>
          <w:divBdr>
            <w:top w:val="none" w:sz="0" w:space="0" w:color="auto"/>
            <w:left w:val="none" w:sz="0" w:space="0" w:color="auto"/>
            <w:bottom w:val="none" w:sz="0" w:space="0" w:color="auto"/>
            <w:right w:val="none" w:sz="0" w:space="0" w:color="auto"/>
          </w:divBdr>
        </w:div>
        <w:div w:id="1241480655">
          <w:marLeft w:val="640"/>
          <w:marRight w:val="0"/>
          <w:marTop w:val="0"/>
          <w:marBottom w:val="0"/>
          <w:divBdr>
            <w:top w:val="none" w:sz="0" w:space="0" w:color="auto"/>
            <w:left w:val="none" w:sz="0" w:space="0" w:color="auto"/>
            <w:bottom w:val="none" w:sz="0" w:space="0" w:color="auto"/>
            <w:right w:val="none" w:sz="0" w:space="0" w:color="auto"/>
          </w:divBdr>
        </w:div>
        <w:div w:id="5055937">
          <w:marLeft w:val="640"/>
          <w:marRight w:val="0"/>
          <w:marTop w:val="0"/>
          <w:marBottom w:val="0"/>
          <w:divBdr>
            <w:top w:val="none" w:sz="0" w:space="0" w:color="auto"/>
            <w:left w:val="none" w:sz="0" w:space="0" w:color="auto"/>
            <w:bottom w:val="none" w:sz="0" w:space="0" w:color="auto"/>
            <w:right w:val="none" w:sz="0" w:space="0" w:color="auto"/>
          </w:divBdr>
        </w:div>
        <w:div w:id="30150325">
          <w:marLeft w:val="640"/>
          <w:marRight w:val="0"/>
          <w:marTop w:val="0"/>
          <w:marBottom w:val="0"/>
          <w:divBdr>
            <w:top w:val="none" w:sz="0" w:space="0" w:color="auto"/>
            <w:left w:val="none" w:sz="0" w:space="0" w:color="auto"/>
            <w:bottom w:val="none" w:sz="0" w:space="0" w:color="auto"/>
            <w:right w:val="none" w:sz="0" w:space="0" w:color="auto"/>
          </w:divBdr>
        </w:div>
        <w:div w:id="594753527">
          <w:marLeft w:val="640"/>
          <w:marRight w:val="0"/>
          <w:marTop w:val="0"/>
          <w:marBottom w:val="0"/>
          <w:divBdr>
            <w:top w:val="none" w:sz="0" w:space="0" w:color="auto"/>
            <w:left w:val="none" w:sz="0" w:space="0" w:color="auto"/>
            <w:bottom w:val="none" w:sz="0" w:space="0" w:color="auto"/>
            <w:right w:val="none" w:sz="0" w:space="0" w:color="auto"/>
          </w:divBdr>
        </w:div>
        <w:div w:id="1812945453">
          <w:marLeft w:val="640"/>
          <w:marRight w:val="0"/>
          <w:marTop w:val="0"/>
          <w:marBottom w:val="0"/>
          <w:divBdr>
            <w:top w:val="none" w:sz="0" w:space="0" w:color="auto"/>
            <w:left w:val="none" w:sz="0" w:space="0" w:color="auto"/>
            <w:bottom w:val="none" w:sz="0" w:space="0" w:color="auto"/>
            <w:right w:val="none" w:sz="0" w:space="0" w:color="auto"/>
          </w:divBdr>
        </w:div>
        <w:div w:id="1819805535">
          <w:marLeft w:val="640"/>
          <w:marRight w:val="0"/>
          <w:marTop w:val="0"/>
          <w:marBottom w:val="0"/>
          <w:divBdr>
            <w:top w:val="none" w:sz="0" w:space="0" w:color="auto"/>
            <w:left w:val="none" w:sz="0" w:space="0" w:color="auto"/>
            <w:bottom w:val="none" w:sz="0" w:space="0" w:color="auto"/>
            <w:right w:val="none" w:sz="0" w:space="0" w:color="auto"/>
          </w:divBdr>
        </w:div>
        <w:div w:id="269361563">
          <w:marLeft w:val="640"/>
          <w:marRight w:val="0"/>
          <w:marTop w:val="0"/>
          <w:marBottom w:val="0"/>
          <w:divBdr>
            <w:top w:val="none" w:sz="0" w:space="0" w:color="auto"/>
            <w:left w:val="none" w:sz="0" w:space="0" w:color="auto"/>
            <w:bottom w:val="none" w:sz="0" w:space="0" w:color="auto"/>
            <w:right w:val="none" w:sz="0" w:space="0" w:color="auto"/>
          </w:divBdr>
        </w:div>
        <w:div w:id="773868144">
          <w:marLeft w:val="640"/>
          <w:marRight w:val="0"/>
          <w:marTop w:val="0"/>
          <w:marBottom w:val="0"/>
          <w:divBdr>
            <w:top w:val="none" w:sz="0" w:space="0" w:color="auto"/>
            <w:left w:val="none" w:sz="0" w:space="0" w:color="auto"/>
            <w:bottom w:val="none" w:sz="0" w:space="0" w:color="auto"/>
            <w:right w:val="none" w:sz="0" w:space="0" w:color="auto"/>
          </w:divBdr>
        </w:div>
        <w:div w:id="118109045">
          <w:marLeft w:val="640"/>
          <w:marRight w:val="0"/>
          <w:marTop w:val="0"/>
          <w:marBottom w:val="0"/>
          <w:divBdr>
            <w:top w:val="none" w:sz="0" w:space="0" w:color="auto"/>
            <w:left w:val="none" w:sz="0" w:space="0" w:color="auto"/>
            <w:bottom w:val="none" w:sz="0" w:space="0" w:color="auto"/>
            <w:right w:val="none" w:sz="0" w:space="0" w:color="auto"/>
          </w:divBdr>
        </w:div>
        <w:div w:id="1359432786">
          <w:marLeft w:val="640"/>
          <w:marRight w:val="0"/>
          <w:marTop w:val="0"/>
          <w:marBottom w:val="0"/>
          <w:divBdr>
            <w:top w:val="none" w:sz="0" w:space="0" w:color="auto"/>
            <w:left w:val="none" w:sz="0" w:space="0" w:color="auto"/>
            <w:bottom w:val="none" w:sz="0" w:space="0" w:color="auto"/>
            <w:right w:val="none" w:sz="0" w:space="0" w:color="auto"/>
          </w:divBdr>
        </w:div>
        <w:div w:id="2012171067">
          <w:marLeft w:val="640"/>
          <w:marRight w:val="0"/>
          <w:marTop w:val="0"/>
          <w:marBottom w:val="0"/>
          <w:divBdr>
            <w:top w:val="none" w:sz="0" w:space="0" w:color="auto"/>
            <w:left w:val="none" w:sz="0" w:space="0" w:color="auto"/>
            <w:bottom w:val="none" w:sz="0" w:space="0" w:color="auto"/>
            <w:right w:val="none" w:sz="0" w:space="0" w:color="auto"/>
          </w:divBdr>
        </w:div>
        <w:div w:id="252670732">
          <w:marLeft w:val="640"/>
          <w:marRight w:val="0"/>
          <w:marTop w:val="0"/>
          <w:marBottom w:val="0"/>
          <w:divBdr>
            <w:top w:val="none" w:sz="0" w:space="0" w:color="auto"/>
            <w:left w:val="none" w:sz="0" w:space="0" w:color="auto"/>
            <w:bottom w:val="none" w:sz="0" w:space="0" w:color="auto"/>
            <w:right w:val="none" w:sz="0" w:space="0" w:color="auto"/>
          </w:divBdr>
        </w:div>
        <w:div w:id="2041930475">
          <w:marLeft w:val="640"/>
          <w:marRight w:val="0"/>
          <w:marTop w:val="0"/>
          <w:marBottom w:val="0"/>
          <w:divBdr>
            <w:top w:val="none" w:sz="0" w:space="0" w:color="auto"/>
            <w:left w:val="none" w:sz="0" w:space="0" w:color="auto"/>
            <w:bottom w:val="none" w:sz="0" w:space="0" w:color="auto"/>
            <w:right w:val="none" w:sz="0" w:space="0" w:color="auto"/>
          </w:divBdr>
        </w:div>
        <w:div w:id="254486247">
          <w:marLeft w:val="640"/>
          <w:marRight w:val="0"/>
          <w:marTop w:val="0"/>
          <w:marBottom w:val="0"/>
          <w:divBdr>
            <w:top w:val="none" w:sz="0" w:space="0" w:color="auto"/>
            <w:left w:val="none" w:sz="0" w:space="0" w:color="auto"/>
            <w:bottom w:val="none" w:sz="0" w:space="0" w:color="auto"/>
            <w:right w:val="none" w:sz="0" w:space="0" w:color="auto"/>
          </w:divBdr>
        </w:div>
        <w:div w:id="1533810465">
          <w:marLeft w:val="640"/>
          <w:marRight w:val="0"/>
          <w:marTop w:val="0"/>
          <w:marBottom w:val="0"/>
          <w:divBdr>
            <w:top w:val="none" w:sz="0" w:space="0" w:color="auto"/>
            <w:left w:val="none" w:sz="0" w:space="0" w:color="auto"/>
            <w:bottom w:val="none" w:sz="0" w:space="0" w:color="auto"/>
            <w:right w:val="none" w:sz="0" w:space="0" w:color="auto"/>
          </w:divBdr>
        </w:div>
        <w:div w:id="1329944259">
          <w:marLeft w:val="640"/>
          <w:marRight w:val="0"/>
          <w:marTop w:val="0"/>
          <w:marBottom w:val="0"/>
          <w:divBdr>
            <w:top w:val="none" w:sz="0" w:space="0" w:color="auto"/>
            <w:left w:val="none" w:sz="0" w:space="0" w:color="auto"/>
            <w:bottom w:val="none" w:sz="0" w:space="0" w:color="auto"/>
            <w:right w:val="none" w:sz="0" w:space="0" w:color="auto"/>
          </w:divBdr>
        </w:div>
        <w:div w:id="1924561261">
          <w:marLeft w:val="640"/>
          <w:marRight w:val="0"/>
          <w:marTop w:val="0"/>
          <w:marBottom w:val="0"/>
          <w:divBdr>
            <w:top w:val="none" w:sz="0" w:space="0" w:color="auto"/>
            <w:left w:val="none" w:sz="0" w:space="0" w:color="auto"/>
            <w:bottom w:val="none" w:sz="0" w:space="0" w:color="auto"/>
            <w:right w:val="none" w:sz="0" w:space="0" w:color="auto"/>
          </w:divBdr>
        </w:div>
        <w:div w:id="513038564">
          <w:marLeft w:val="640"/>
          <w:marRight w:val="0"/>
          <w:marTop w:val="0"/>
          <w:marBottom w:val="0"/>
          <w:divBdr>
            <w:top w:val="none" w:sz="0" w:space="0" w:color="auto"/>
            <w:left w:val="none" w:sz="0" w:space="0" w:color="auto"/>
            <w:bottom w:val="none" w:sz="0" w:space="0" w:color="auto"/>
            <w:right w:val="none" w:sz="0" w:space="0" w:color="auto"/>
          </w:divBdr>
        </w:div>
        <w:div w:id="605384049">
          <w:marLeft w:val="640"/>
          <w:marRight w:val="0"/>
          <w:marTop w:val="0"/>
          <w:marBottom w:val="0"/>
          <w:divBdr>
            <w:top w:val="none" w:sz="0" w:space="0" w:color="auto"/>
            <w:left w:val="none" w:sz="0" w:space="0" w:color="auto"/>
            <w:bottom w:val="none" w:sz="0" w:space="0" w:color="auto"/>
            <w:right w:val="none" w:sz="0" w:space="0" w:color="auto"/>
          </w:divBdr>
        </w:div>
        <w:div w:id="2006325794">
          <w:marLeft w:val="640"/>
          <w:marRight w:val="0"/>
          <w:marTop w:val="0"/>
          <w:marBottom w:val="0"/>
          <w:divBdr>
            <w:top w:val="none" w:sz="0" w:space="0" w:color="auto"/>
            <w:left w:val="none" w:sz="0" w:space="0" w:color="auto"/>
            <w:bottom w:val="none" w:sz="0" w:space="0" w:color="auto"/>
            <w:right w:val="none" w:sz="0" w:space="0" w:color="auto"/>
          </w:divBdr>
        </w:div>
        <w:div w:id="2054697022">
          <w:marLeft w:val="640"/>
          <w:marRight w:val="0"/>
          <w:marTop w:val="0"/>
          <w:marBottom w:val="0"/>
          <w:divBdr>
            <w:top w:val="none" w:sz="0" w:space="0" w:color="auto"/>
            <w:left w:val="none" w:sz="0" w:space="0" w:color="auto"/>
            <w:bottom w:val="none" w:sz="0" w:space="0" w:color="auto"/>
            <w:right w:val="none" w:sz="0" w:space="0" w:color="auto"/>
          </w:divBdr>
        </w:div>
        <w:div w:id="763769672">
          <w:marLeft w:val="640"/>
          <w:marRight w:val="0"/>
          <w:marTop w:val="0"/>
          <w:marBottom w:val="0"/>
          <w:divBdr>
            <w:top w:val="none" w:sz="0" w:space="0" w:color="auto"/>
            <w:left w:val="none" w:sz="0" w:space="0" w:color="auto"/>
            <w:bottom w:val="none" w:sz="0" w:space="0" w:color="auto"/>
            <w:right w:val="none" w:sz="0" w:space="0" w:color="auto"/>
          </w:divBdr>
        </w:div>
        <w:div w:id="587738892">
          <w:marLeft w:val="640"/>
          <w:marRight w:val="0"/>
          <w:marTop w:val="0"/>
          <w:marBottom w:val="0"/>
          <w:divBdr>
            <w:top w:val="none" w:sz="0" w:space="0" w:color="auto"/>
            <w:left w:val="none" w:sz="0" w:space="0" w:color="auto"/>
            <w:bottom w:val="none" w:sz="0" w:space="0" w:color="auto"/>
            <w:right w:val="none" w:sz="0" w:space="0" w:color="auto"/>
          </w:divBdr>
        </w:div>
        <w:div w:id="1319116634">
          <w:marLeft w:val="640"/>
          <w:marRight w:val="0"/>
          <w:marTop w:val="0"/>
          <w:marBottom w:val="0"/>
          <w:divBdr>
            <w:top w:val="none" w:sz="0" w:space="0" w:color="auto"/>
            <w:left w:val="none" w:sz="0" w:space="0" w:color="auto"/>
            <w:bottom w:val="none" w:sz="0" w:space="0" w:color="auto"/>
            <w:right w:val="none" w:sz="0" w:space="0" w:color="auto"/>
          </w:divBdr>
        </w:div>
        <w:div w:id="1234975971">
          <w:marLeft w:val="640"/>
          <w:marRight w:val="0"/>
          <w:marTop w:val="0"/>
          <w:marBottom w:val="0"/>
          <w:divBdr>
            <w:top w:val="none" w:sz="0" w:space="0" w:color="auto"/>
            <w:left w:val="none" w:sz="0" w:space="0" w:color="auto"/>
            <w:bottom w:val="none" w:sz="0" w:space="0" w:color="auto"/>
            <w:right w:val="none" w:sz="0" w:space="0" w:color="auto"/>
          </w:divBdr>
        </w:div>
        <w:div w:id="1173958079">
          <w:marLeft w:val="640"/>
          <w:marRight w:val="0"/>
          <w:marTop w:val="0"/>
          <w:marBottom w:val="0"/>
          <w:divBdr>
            <w:top w:val="none" w:sz="0" w:space="0" w:color="auto"/>
            <w:left w:val="none" w:sz="0" w:space="0" w:color="auto"/>
            <w:bottom w:val="none" w:sz="0" w:space="0" w:color="auto"/>
            <w:right w:val="none" w:sz="0" w:space="0" w:color="auto"/>
          </w:divBdr>
        </w:div>
        <w:div w:id="1802532865">
          <w:marLeft w:val="640"/>
          <w:marRight w:val="0"/>
          <w:marTop w:val="0"/>
          <w:marBottom w:val="0"/>
          <w:divBdr>
            <w:top w:val="none" w:sz="0" w:space="0" w:color="auto"/>
            <w:left w:val="none" w:sz="0" w:space="0" w:color="auto"/>
            <w:bottom w:val="none" w:sz="0" w:space="0" w:color="auto"/>
            <w:right w:val="none" w:sz="0" w:space="0" w:color="auto"/>
          </w:divBdr>
        </w:div>
        <w:div w:id="1277525839">
          <w:marLeft w:val="640"/>
          <w:marRight w:val="0"/>
          <w:marTop w:val="0"/>
          <w:marBottom w:val="0"/>
          <w:divBdr>
            <w:top w:val="none" w:sz="0" w:space="0" w:color="auto"/>
            <w:left w:val="none" w:sz="0" w:space="0" w:color="auto"/>
            <w:bottom w:val="none" w:sz="0" w:space="0" w:color="auto"/>
            <w:right w:val="none" w:sz="0" w:space="0" w:color="auto"/>
          </w:divBdr>
        </w:div>
        <w:div w:id="188880555">
          <w:marLeft w:val="640"/>
          <w:marRight w:val="0"/>
          <w:marTop w:val="0"/>
          <w:marBottom w:val="0"/>
          <w:divBdr>
            <w:top w:val="none" w:sz="0" w:space="0" w:color="auto"/>
            <w:left w:val="none" w:sz="0" w:space="0" w:color="auto"/>
            <w:bottom w:val="none" w:sz="0" w:space="0" w:color="auto"/>
            <w:right w:val="none" w:sz="0" w:space="0" w:color="auto"/>
          </w:divBdr>
        </w:div>
        <w:div w:id="182332053">
          <w:marLeft w:val="640"/>
          <w:marRight w:val="0"/>
          <w:marTop w:val="0"/>
          <w:marBottom w:val="0"/>
          <w:divBdr>
            <w:top w:val="none" w:sz="0" w:space="0" w:color="auto"/>
            <w:left w:val="none" w:sz="0" w:space="0" w:color="auto"/>
            <w:bottom w:val="none" w:sz="0" w:space="0" w:color="auto"/>
            <w:right w:val="none" w:sz="0" w:space="0" w:color="auto"/>
          </w:divBdr>
        </w:div>
        <w:div w:id="268006546">
          <w:marLeft w:val="640"/>
          <w:marRight w:val="0"/>
          <w:marTop w:val="0"/>
          <w:marBottom w:val="0"/>
          <w:divBdr>
            <w:top w:val="none" w:sz="0" w:space="0" w:color="auto"/>
            <w:left w:val="none" w:sz="0" w:space="0" w:color="auto"/>
            <w:bottom w:val="none" w:sz="0" w:space="0" w:color="auto"/>
            <w:right w:val="none" w:sz="0" w:space="0" w:color="auto"/>
          </w:divBdr>
        </w:div>
        <w:div w:id="1822699885">
          <w:marLeft w:val="640"/>
          <w:marRight w:val="0"/>
          <w:marTop w:val="0"/>
          <w:marBottom w:val="0"/>
          <w:divBdr>
            <w:top w:val="none" w:sz="0" w:space="0" w:color="auto"/>
            <w:left w:val="none" w:sz="0" w:space="0" w:color="auto"/>
            <w:bottom w:val="none" w:sz="0" w:space="0" w:color="auto"/>
            <w:right w:val="none" w:sz="0" w:space="0" w:color="auto"/>
          </w:divBdr>
        </w:div>
        <w:div w:id="1664746539">
          <w:marLeft w:val="640"/>
          <w:marRight w:val="0"/>
          <w:marTop w:val="0"/>
          <w:marBottom w:val="0"/>
          <w:divBdr>
            <w:top w:val="none" w:sz="0" w:space="0" w:color="auto"/>
            <w:left w:val="none" w:sz="0" w:space="0" w:color="auto"/>
            <w:bottom w:val="none" w:sz="0" w:space="0" w:color="auto"/>
            <w:right w:val="none" w:sz="0" w:space="0" w:color="auto"/>
          </w:divBdr>
        </w:div>
        <w:div w:id="745228890">
          <w:marLeft w:val="640"/>
          <w:marRight w:val="0"/>
          <w:marTop w:val="0"/>
          <w:marBottom w:val="0"/>
          <w:divBdr>
            <w:top w:val="none" w:sz="0" w:space="0" w:color="auto"/>
            <w:left w:val="none" w:sz="0" w:space="0" w:color="auto"/>
            <w:bottom w:val="none" w:sz="0" w:space="0" w:color="auto"/>
            <w:right w:val="none" w:sz="0" w:space="0" w:color="auto"/>
          </w:divBdr>
        </w:div>
        <w:div w:id="1764758200">
          <w:marLeft w:val="640"/>
          <w:marRight w:val="0"/>
          <w:marTop w:val="0"/>
          <w:marBottom w:val="0"/>
          <w:divBdr>
            <w:top w:val="none" w:sz="0" w:space="0" w:color="auto"/>
            <w:left w:val="none" w:sz="0" w:space="0" w:color="auto"/>
            <w:bottom w:val="none" w:sz="0" w:space="0" w:color="auto"/>
            <w:right w:val="none" w:sz="0" w:space="0" w:color="auto"/>
          </w:divBdr>
        </w:div>
      </w:divsChild>
    </w:div>
    <w:div w:id="1245530750">
      <w:bodyDiv w:val="1"/>
      <w:marLeft w:val="0"/>
      <w:marRight w:val="0"/>
      <w:marTop w:val="0"/>
      <w:marBottom w:val="0"/>
      <w:divBdr>
        <w:top w:val="none" w:sz="0" w:space="0" w:color="auto"/>
        <w:left w:val="none" w:sz="0" w:space="0" w:color="auto"/>
        <w:bottom w:val="none" w:sz="0" w:space="0" w:color="auto"/>
        <w:right w:val="none" w:sz="0" w:space="0" w:color="auto"/>
      </w:divBdr>
      <w:divsChild>
        <w:div w:id="999577019">
          <w:marLeft w:val="640"/>
          <w:marRight w:val="0"/>
          <w:marTop w:val="0"/>
          <w:marBottom w:val="0"/>
          <w:divBdr>
            <w:top w:val="none" w:sz="0" w:space="0" w:color="auto"/>
            <w:left w:val="none" w:sz="0" w:space="0" w:color="auto"/>
            <w:bottom w:val="none" w:sz="0" w:space="0" w:color="auto"/>
            <w:right w:val="none" w:sz="0" w:space="0" w:color="auto"/>
          </w:divBdr>
        </w:div>
        <w:div w:id="1096554261">
          <w:marLeft w:val="640"/>
          <w:marRight w:val="0"/>
          <w:marTop w:val="0"/>
          <w:marBottom w:val="0"/>
          <w:divBdr>
            <w:top w:val="none" w:sz="0" w:space="0" w:color="auto"/>
            <w:left w:val="none" w:sz="0" w:space="0" w:color="auto"/>
            <w:bottom w:val="none" w:sz="0" w:space="0" w:color="auto"/>
            <w:right w:val="none" w:sz="0" w:space="0" w:color="auto"/>
          </w:divBdr>
        </w:div>
        <w:div w:id="531184659">
          <w:marLeft w:val="640"/>
          <w:marRight w:val="0"/>
          <w:marTop w:val="0"/>
          <w:marBottom w:val="0"/>
          <w:divBdr>
            <w:top w:val="none" w:sz="0" w:space="0" w:color="auto"/>
            <w:left w:val="none" w:sz="0" w:space="0" w:color="auto"/>
            <w:bottom w:val="none" w:sz="0" w:space="0" w:color="auto"/>
            <w:right w:val="none" w:sz="0" w:space="0" w:color="auto"/>
          </w:divBdr>
        </w:div>
        <w:div w:id="1735425831">
          <w:marLeft w:val="640"/>
          <w:marRight w:val="0"/>
          <w:marTop w:val="0"/>
          <w:marBottom w:val="0"/>
          <w:divBdr>
            <w:top w:val="none" w:sz="0" w:space="0" w:color="auto"/>
            <w:left w:val="none" w:sz="0" w:space="0" w:color="auto"/>
            <w:bottom w:val="none" w:sz="0" w:space="0" w:color="auto"/>
            <w:right w:val="none" w:sz="0" w:space="0" w:color="auto"/>
          </w:divBdr>
        </w:div>
        <w:div w:id="1640304924">
          <w:marLeft w:val="640"/>
          <w:marRight w:val="0"/>
          <w:marTop w:val="0"/>
          <w:marBottom w:val="0"/>
          <w:divBdr>
            <w:top w:val="none" w:sz="0" w:space="0" w:color="auto"/>
            <w:left w:val="none" w:sz="0" w:space="0" w:color="auto"/>
            <w:bottom w:val="none" w:sz="0" w:space="0" w:color="auto"/>
            <w:right w:val="none" w:sz="0" w:space="0" w:color="auto"/>
          </w:divBdr>
        </w:div>
        <w:div w:id="1914775407">
          <w:marLeft w:val="640"/>
          <w:marRight w:val="0"/>
          <w:marTop w:val="0"/>
          <w:marBottom w:val="0"/>
          <w:divBdr>
            <w:top w:val="none" w:sz="0" w:space="0" w:color="auto"/>
            <w:left w:val="none" w:sz="0" w:space="0" w:color="auto"/>
            <w:bottom w:val="none" w:sz="0" w:space="0" w:color="auto"/>
            <w:right w:val="none" w:sz="0" w:space="0" w:color="auto"/>
          </w:divBdr>
        </w:div>
        <w:div w:id="1346053027">
          <w:marLeft w:val="640"/>
          <w:marRight w:val="0"/>
          <w:marTop w:val="0"/>
          <w:marBottom w:val="0"/>
          <w:divBdr>
            <w:top w:val="none" w:sz="0" w:space="0" w:color="auto"/>
            <w:left w:val="none" w:sz="0" w:space="0" w:color="auto"/>
            <w:bottom w:val="none" w:sz="0" w:space="0" w:color="auto"/>
            <w:right w:val="none" w:sz="0" w:space="0" w:color="auto"/>
          </w:divBdr>
        </w:div>
        <w:div w:id="2093894851">
          <w:marLeft w:val="640"/>
          <w:marRight w:val="0"/>
          <w:marTop w:val="0"/>
          <w:marBottom w:val="0"/>
          <w:divBdr>
            <w:top w:val="none" w:sz="0" w:space="0" w:color="auto"/>
            <w:left w:val="none" w:sz="0" w:space="0" w:color="auto"/>
            <w:bottom w:val="none" w:sz="0" w:space="0" w:color="auto"/>
            <w:right w:val="none" w:sz="0" w:space="0" w:color="auto"/>
          </w:divBdr>
        </w:div>
        <w:div w:id="1314986740">
          <w:marLeft w:val="640"/>
          <w:marRight w:val="0"/>
          <w:marTop w:val="0"/>
          <w:marBottom w:val="0"/>
          <w:divBdr>
            <w:top w:val="none" w:sz="0" w:space="0" w:color="auto"/>
            <w:left w:val="none" w:sz="0" w:space="0" w:color="auto"/>
            <w:bottom w:val="none" w:sz="0" w:space="0" w:color="auto"/>
            <w:right w:val="none" w:sz="0" w:space="0" w:color="auto"/>
          </w:divBdr>
        </w:div>
        <w:div w:id="97334600">
          <w:marLeft w:val="640"/>
          <w:marRight w:val="0"/>
          <w:marTop w:val="0"/>
          <w:marBottom w:val="0"/>
          <w:divBdr>
            <w:top w:val="none" w:sz="0" w:space="0" w:color="auto"/>
            <w:left w:val="none" w:sz="0" w:space="0" w:color="auto"/>
            <w:bottom w:val="none" w:sz="0" w:space="0" w:color="auto"/>
            <w:right w:val="none" w:sz="0" w:space="0" w:color="auto"/>
          </w:divBdr>
        </w:div>
        <w:div w:id="1621496580">
          <w:marLeft w:val="640"/>
          <w:marRight w:val="0"/>
          <w:marTop w:val="0"/>
          <w:marBottom w:val="0"/>
          <w:divBdr>
            <w:top w:val="none" w:sz="0" w:space="0" w:color="auto"/>
            <w:left w:val="none" w:sz="0" w:space="0" w:color="auto"/>
            <w:bottom w:val="none" w:sz="0" w:space="0" w:color="auto"/>
            <w:right w:val="none" w:sz="0" w:space="0" w:color="auto"/>
          </w:divBdr>
        </w:div>
        <w:div w:id="122188605">
          <w:marLeft w:val="640"/>
          <w:marRight w:val="0"/>
          <w:marTop w:val="0"/>
          <w:marBottom w:val="0"/>
          <w:divBdr>
            <w:top w:val="none" w:sz="0" w:space="0" w:color="auto"/>
            <w:left w:val="none" w:sz="0" w:space="0" w:color="auto"/>
            <w:bottom w:val="none" w:sz="0" w:space="0" w:color="auto"/>
            <w:right w:val="none" w:sz="0" w:space="0" w:color="auto"/>
          </w:divBdr>
        </w:div>
        <w:div w:id="1370491768">
          <w:marLeft w:val="640"/>
          <w:marRight w:val="0"/>
          <w:marTop w:val="0"/>
          <w:marBottom w:val="0"/>
          <w:divBdr>
            <w:top w:val="none" w:sz="0" w:space="0" w:color="auto"/>
            <w:left w:val="none" w:sz="0" w:space="0" w:color="auto"/>
            <w:bottom w:val="none" w:sz="0" w:space="0" w:color="auto"/>
            <w:right w:val="none" w:sz="0" w:space="0" w:color="auto"/>
          </w:divBdr>
        </w:div>
        <w:div w:id="1458914512">
          <w:marLeft w:val="640"/>
          <w:marRight w:val="0"/>
          <w:marTop w:val="0"/>
          <w:marBottom w:val="0"/>
          <w:divBdr>
            <w:top w:val="none" w:sz="0" w:space="0" w:color="auto"/>
            <w:left w:val="none" w:sz="0" w:space="0" w:color="auto"/>
            <w:bottom w:val="none" w:sz="0" w:space="0" w:color="auto"/>
            <w:right w:val="none" w:sz="0" w:space="0" w:color="auto"/>
          </w:divBdr>
        </w:div>
        <w:div w:id="602304919">
          <w:marLeft w:val="640"/>
          <w:marRight w:val="0"/>
          <w:marTop w:val="0"/>
          <w:marBottom w:val="0"/>
          <w:divBdr>
            <w:top w:val="none" w:sz="0" w:space="0" w:color="auto"/>
            <w:left w:val="none" w:sz="0" w:space="0" w:color="auto"/>
            <w:bottom w:val="none" w:sz="0" w:space="0" w:color="auto"/>
            <w:right w:val="none" w:sz="0" w:space="0" w:color="auto"/>
          </w:divBdr>
        </w:div>
        <w:div w:id="262996635">
          <w:marLeft w:val="640"/>
          <w:marRight w:val="0"/>
          <w:marTop w:val="0"/>
          <w:marBottom w:val="0"/>
          <w:divBdr>
            <w:top w:val="none" w:sz="0" w:space="0" w:color="auto"/>
            <w:left w:val="none" w:sz="0" w:space="0" w:color="auto"/>
            <w:bottom w:val="none" w:sz="0" w:space="0" w:color="auto"/>
            <w:right w:val="none" w:sz="0" w:space="0" w:color="auto"/>
          </w:divBdr>
        </w:div>
        <w:div w:id="1119880365">
          <w:marLeft w:val="640"/>
          <w:marRight w:val="0"/>
          <w:marTop w:val="0"/>
          <w:marBottom w:val="0"/>
          <w:divBdr>
            <w:top w:val="none" w:sz="0" w:space="0" w:color="auto"/>
            <w:left w:val="none" w:sz="0" w:space="0" w:color="auto"/>
            <w:bottom w:val="none" w:sz="0" w:space="0" w:color="auto"/>
            <w:right w:val="none" w:sz="0" w:space="0" w:color="auto"/>
          </w:divBdr>
        </w:div>
        <w:div w:id="1250115392">
          <w:marLeft w:val="640"/>
          <w:marRight w:val="0"/>
          <w:marTop w:val="0"/>
          <w:marBottom w:val="0"/>
          <w:divBdr>
            <w:top w:val="none" w:sz="0" w:space="0" w:color="auto"/>
            <w:left w:val="none" w:sz="0" w:space="0" w:color="auto"/>
            <w:bottom w:val="none" w:sz="0" w:space="0" w:color="auto"/>
            <w:right w:val="none" w:sz="0" w:space="0" w:color="auto"/>
          </w:divBdr>
        </w:div>
        <w:div w:id="1441879574">
          <w:marLeft w:val="640"/>
          <w:marRight w:val="0"/>
          <w:marTop w:val="0"/>
          <w:marBottom w:val="0"/>
          <w:divBdr>
            <w:top w:val="none" w:sz="0" w:space="0" w:color="auto"/>
            <w:left w:val="none" w:sz="0" w:space="0" w:color="auto"/>
            <w:bottom w:val="none" w:sz="0" w:space="0" w:color="auto"/>
            <w:right w:val="none" w:sz="0" w:space="0" w:color="auto"/>
          </w:divBdr>
        </w:div>
        <w:div w:id="1622347644">
          <w:marLeft w:val="640"/>
          <w:marRight w:val="0"/>
          <w:marTop w:val="0"/>
          <w:marBottom w:val="0"/>
          <w:divBdr>
            <w:top w:val="none" w:sz="0" w:space="0" w:color="auto"/>
            <w:left w:val="none" w:sz="0" w:space="0" w:color="auto"/>
            <w:bottom w:val="none" w:sz="0" w:space="0" w:color="auto"/>
            <w:right w:val="none" w:sz="0" w:space="0" w:color="auto"/>
          </w:divBdr>
        </w:div>
        <w:div w:id="2089229255">
          <w:marLeft w:val="640"/>
          <w:marRight w:val="0"/>
          <w:marTop w:val="0"/>
          <w:marBottom w:val="0"/>
          <w:divBdr>
            <w:top w:val="none" w:sz="0" w:space="0" w:color="auto"/>
            <w:left w:val="none" w:sz="0" w:space="0" w:color="auto"/>
            <w:bottom w:val="none" w:sz="0" w:space="0" w:color="auto"/>
            <w:right w:val="none" w:sz="0" w:space="0" w:color="auto"/>
          </w:divBdr>
        </w:div>
        <w:div w:id="1164976758">
          <w:marLeft w:val="640"/>
          <w:marRight w:val="0"/>
          <w:marTop w:val="0"/>
          <w:marBottom w:val="0"/>
          <w:divBdr>
            <w:top w:val="none" w:sz="0" w:space="0" w:color="auto"/>
            <w:left w:val="none" w:sz="0" w:space="0" w:color="auto"/>
            <w:bottom w:val="none" w:sz="0" w:space="0" w:color="auto"/>
            <w:right w:val="none" w:sz="0" w:space="0" w:color="auto"/>
          </w:divBdr>
        </w:div>
        <w:div w:id="2019309667">
          <w:marLeft w:val="640"/>
          <w:marRight w:val="0"/>
          <w:marTop w:val="0"/>
          <w:marBottom w:val="0"/>
          <w:divBdr>
            <w:top w:val="none" w:sz="0" w:space="0" w:color="auto"/>
            <w:left w:val="none" w:sz="0" w:space="0" w:color="auto"/>
            <w:bottom w:val="none" w:sz="0" w:space="0" w:color="auto"/>
            <w:right w:val="none" w:sz="0" w:space="0" w:color="auto"/>
          </w:divBdr>
        </w:div>
        <w:div w:id="1818452470">
          <w:marLeft w:val="640"/>
          <w:marRight w:val="0"/>
          <w:marTop w:val="0"/>
          <w:marBottom w:val="0"/>
          <w:divBdr>
            <w:top w:val="none" w:sz="0" w:space="0" w:color="auto"/>
            <w:left w:val="none" w:sz="0" w:space="0" w:color="auto"/>
            <w:bottom w:val="none" w:sz="0" w:space="0" w:color="auto"/>
            <w:right w:val="none" w:sz="0" w:space="0" w:color="auto"/>
          </w:divBdr>
        </w:div>
        <w:div w:id="403065131">
          <w:marLeft w:val="640"/>
          <w:marRight w:val="0"/>
          <w:marTop w:val="0"/>
          <w:marBottom w:val="0"/>
          <w:divBdr>
            <w:top w:val="none" w:sz="0" w:space="0" w:color="auto"/>
            <w:left w:val="none" w:sz="0" w:space="0" w:color="auto"/>
            <w:bottom w:val="none" w:sz="0" w:space="0" w:color="auto"/>
            <w:right w:val="none" w:sz="0" w:space="0" w:color="auto"/>
          </w:divBdr>
        </w:div>
        <w:div w:id="1086919394">
          <w:marLeft w:val="640"/>
          <w:marRight w:val="0"/>
          <w:marTop w:val="0"/>
          <w:marBottom w:val="0"/>
          <w:divBdr>
            <w:top w:val="none" w:sz="0" w:space="0" w:color="auto"/>
            <w:left w:val="none" w:sz="0" w:space="0" w:color="auto"/>
            <w:bottom w:val="none" w:sz="0" w:space="0" w:color="auto"/>
            <w:right w:val="none" w:sz="0" w:space="0" w:color="auto"/>
          </w:divBdr>
        </w:div>
        <w:div w:id="1610895131">
          <w:marLeft w:val="640"/>
          <w:marRight w:val="0"/>
          <w:marTop w:val="0"/>
          <w:marBottom w:val="0"/>
          <w:divBdr>
            <w:top w:val="none" w:sz="0" w:space="0" w:color="auto"/>
            <w:left w:val="none" w:sz="0" w:space="0" w:color="auto"/>
            <w:bottom w:val="none" w:sz="0" w:space="0" w:color="auto"/>
            <w:right w:val="none" w:sz="0" w:space="0" w:color="auto"/>
          </w:divBdr>
        </w:div>
        <w:div w:id="15816523">
          <w:marLeft w:val="640"/>
          <w:marRight w:val="0"/>
          <w:marTop w:val="0"/>
          <w:marBottom w:val="0"/>
          <w:divBdr>
            <w:top w:val="none" w:sz="0" w:space="0" w:color="auto"/>
            <w:left w:val="none" w:sz="0" w:space="0" w:color="auto"/>
            <w:bottom w:val="none" w:sz="0" w:space="0" w:color="auto"/>
            <w:right w:val="none" w:sz="0" w:space="0" w:color="auto"/>
          </w:divBdr>
        </w:div>
        <w:div w:id="407994200">
          <w:marLeft w:val="640"/>
          <w:marRight w:val="0"/>
          <w:marTop w:val="0"/>
          <w:marBottom w:val="0"/>
          <w:divBdr>
            <w:top w:val="none" w:sz="0" w:space="0" w:color="auto"/>
            <w:left w:val="none" w:sz="0" w:space="0" w:color="auto"/>
            <w:bottom w:val="none" w:sz="0" w:space="0" w:color="auto"/>
            <w:right w:val="none" w:sz="0" w:space="0" w:color="auto"/>
          </w:divBdr>
        </w:div>
        <w:div w:id="1373967764">
          <w:marLeft w:val="640"/>
          <w:marRight w:val="0"/>
          <w:marTop w:val="0"/>
          <w:marBottom w:val="0"/>
          <w:divBdr>
            <w:top w:val="none" w:sz="0" w:space="0" w:color="auto"/>
            <w:left w:val="none" w:sz="0" w:space="0" w:color="auto"/>
            <w:bottom w:val="none" w:sz="0" w:space="0" w:color="auto"/>
            <w:right w:val="none" w:sz="0" w:space="0" w:color="auto"/>
          </w:divBdr>
        </w:div>
        <w:div w:id="266239339">
          <w:marLeft w:val="640"/>
          <w:marRight w:val="0"/>
          <w:marTop w:val="0"/>
          <w:marBottom w:val="0"/>
          <w:divBdr>
            <w:top w:val="none" w:sz="0" w:space="0" w:color="auto"/>
            <w:left w:val="none" w:sz="0" w:space="0" w:color="auto"/>
            <w:bottom w:val="none" w:sz="0" w:space="0" w:color="auto"/>
            <w:right w:val="none" w:sz="0" w:space="0" w:color="auto"/>
          </w:divBdr>
        </w:div>
        <w:div w:id="616644642">
          <w:marLeft w:val="640"/>
          <w:marRight w:val="0"/>
          <w:marTop w:val="0"/>
          <w:marBottom w:val="0"/>
          <w:divBdr>
            <w:top w:val="none" w:sz="0" w:space="0" w:color="auto"/>
            <w:left w:val="none" w:sz="0" w:space="0" w:color="auto"/>
            <w:bottom w:val="none" w:sz="0" w:space="0" w:color="auto"/>
            <w:right w:val="none" w:sz="0" w:space="0" w:color="auto"/>
          </w:divBdr>
        </w:div>
        <w:div w:id="1664121534">
          <w:marLeft w:val="640"/>
          <w:marRight w:val="0"/>
          <w:marTop w:val="0"/>
          <w:marBottom w:val="0"/>
          <w:divBdr>
            <w:top w:val="none" w:sz="0" w:space="0" w:color="auto"/>
            <w:left w:val="none" w:sz="0" w:space="0" w:color="auto"/>
            <w:bottom w:val="none" w:sz="0" w:space="0" w:color="auto"/>
            <w:right w:val="none" w:sz="0" w:space="0" w:color="auto"/>
          </w:divBdr>
        </w:div>
        <w:div w:id="1255357455">
          <w:marLeft w:val="640"/>
          <w:marRight w:val="0"/>
          <w:marTop w:val="0"/>
          <w:marBottom w:val="0"/>
          <w:divBdr>
            <w:top w:val="none" w:sz="0" w:space="0" w:color="auto"/>
            <w:left w:val="none" w:sz="0" w:space="0" w:color="auto"/>
            <w:bottom w:val="none" w:sz="0" w:space="0" w:color="auto"/>
            <w:right w:val="none" w:sz="0" w:space="0" w:color="auto"/>
          </w:divBdr>
        </w:div>
        <w:div w:id="430855294">
          <w:marLeft w:val="640"/>
          <w:marRight w:val="0"/>
          <w:marTop w:val="0"/>
          <w:marBottom w:val="0"/>
          <w:divBdr>
            <w:top w:val="none" w:sz="0" w:space="0" w:color="auto"/>
            <w:left w:val="none" w:sz="0" w:space="0" w:color="auto"/>
            <w:bottom w:val="none" w:sz="0" w:space="0" w:color="auto"/>
            <w:right w:val="none" w:sz="0" w:space="0" w:color="auto"/>
          </w:divBdr>
        </w:div>
        <w:div w:id="1224560388">
          <w:marLeft w:val="640"/>
          <w:marRight w:val="0"/>
          <w:marTop w:val="0"/>
          <w:marBottom w:val="0"/>
          <w:divBdr>
            <w:top w:val="none" w:sz="0" w:space="0" w:color="auto"/>
            <w:left w:val="none" w:sz="0" w:space="0" w:color="auto"/>
            <w:bottom w:val="none" w:sz="0" w:space="0" w:color="auto"/>
            <w:right w:val="none" w:sz="0" w:space="0" w:color="auto"/>
          </w:divBdr>
        </w:div>
        <w:div w:id="1388410818">
          <w:marLeft w:val="640"/>
          <w:marRight w:val="0"/>
          <w:marTop w:val="0"/>
          <w:marBottom w:val="0"/>
          <w:divBdr>
            <w:top w:val="none" w:sz="0" w:space="0" w:color="auto"/>
            <w:left w:val="none" w:sz="0" w:space="0" w:color="auto"/>
            <w:bottom w:val="none" w:sz="0" w:space="0" w:color="auto"/>
            <w:right w:val="none" w:sz="0" w:space="0" w:color="auto"/>
          </w:divBdr>
        </w:div>
        <w:div w:id="623774787">
          <w:marLeft w:val="640"/>
          <w:marRight w:val="0"/>
          <w:marTop w:val="0"/>
          <w:marBottom w:val="0"/>
          <w:divBdr>
            <w:top w:val="none" w:sz="0" w:space="0" w:color="auto"/>
            <w:left w:val="none" w:sz="0" w:space="0" w:color="auto"/>
            <w:bottom w:val="none" w:sz="0" w:space="0" w:color="auto"/>
            <w:right w:val="none" w:sz="0" w:space="0" w:color="auto"/>
          </w:divBdr>
        </w:div>
        <w:div w:id="1872721930">
          <w:marLeft w:val="640"/>
          <w:marRight w:val="0"/>
          <w:marTop w:val="0"/>
          <w:marBottom w:val="0"/>
          <w:divBdr>
            <w:top w:val="none" w:sz="0" w:space="0" w:color="auto"/>
            <w:left w:val="none" w:sz="0" w:space="0" w:color="auto"/>
            <w:bottom w:val="none" w:sz="0" w:space="0" w:color="auto"/>
            <w:right w:val="none" w:sz="0" w:space="0" w:color="auto"/>
          </w:divBdr>
        </w:div>
        <w:div w:id="1918515189">
          <w:marLeft w:val="640"/>
          <w:marRight w:val="0"/>
          <w:marTop w:val="0"/>
          <w:marBottom w:val="0"/>
          <w:divBdr>
            <w:top w:val="none" w:sz="0" w:space="0" w:color="auto"/>
            <w:left w:val="none" w:sz="0" w:space="0" w:color="auto"/>
            <w:bottom w:val="none" w:sz="0" w:space="0" w:color="auto"/>
            <w:right w:val="none" w:sz="0" w:space="0" w:color="auto"/>
          </w:divBdr>
        </w:div>
        <w:div w:id="832448543">
          <w:marLeft w:val="640"/>
          <w:marRight w:val="0"/>
          <w:marTop w:val="0"/>
          <w:marBottom w:val="0"/>
          <w:divBdr>
            <w:top w:val="none" w:sz="0" w:space="0" w:color="auto"/>
            <w:left w:val="none" w:sz="0" w:space="0" w:color="auto"/>
            <w:bottom w:val="none" w:sz="0" w:space="0" w:color="auto"/>
            <w:right w:val="none" w:sz="0" w:space="0" w:color="auto"/>
          </w:divBdr>
        </w:div>
        <w:div w:id="260527022">
          <w:marLeft w:val="640"/>
          <w:marRight w:val="0"/>
          <w:marTop w:val="0"/>
          <w:marBottom w:val="0"/>
          <w:divBdr>
            <w:top w:val="none" w:sz="0" w:space="0" w:color="auto"/>
            <w:left w:val="none" w:sz="0" w:space="0" w:color="auto"/>
            <w:bottom w:val="none" w:sz="0" w:space="0" w:color="auto"/>
            <w:right w:val="none" w:sz="0" w:space="0" w:color="auto"/>
          </w:divBdr>
        </w:div>
        <w:div w:id="931208559">
          <w:marLeft w:val="640"/>
          <w:marRight w:val="0"/>
          <w:marTop w:val="0"/>
          <w:marBottom w:val="0"/>
          <w:divBdr>
            <w:top w:val="none" w:sz="0" w:space="0" w:color="auto"/>
            <w:left w:val="none" w:sz="0" w:space="0" w:color="auto"/>
            <w:bottom w:val="none" w:sz="0" w:space="0" w:color="auto"/>
            <w:right w:val="none" w:sz="0" w:space="0" w:color="auto"/>
          </w:divBdr>
        </w:div>
        <w:div w:id="1702512241">
          <w:marLeft w:val="640"/>
          <w:marRight w:val="0"/>
          <w:marTop w:val="0"/>
          <w:marBottom w:val="0"/>
          <w:divBdr>
            <w:top w:val="none" w:sz="0" w:space="0" w:color="auto"/>
            <w:left w:val="none" w:sz="0" w:space="0" w:color="auto"/>
            <w:bottom w:val="none" w:sz="0" w:space="0" w:color="auto"/>
            <w:right w:val="none" w:sz="0" w:space="0" w:color="auto"/>
          </w:divBdr>
        </w:div>
        <w:div w:id="2079090080">
          <w:marLeft w:val="640"/>
          <w:marRight w:val="0"/>
          <w:marTop w:val="0"/>
          <w:marBottom w:val="0"/>
          <w:divBdr>
            <w:top w:val="none" w:sz="0" w:space="0" w:color="auto"/>
            <w:left w:val="none" w:sz="0" w:space="0" w:color="auto"/>
            <w:bottom w:val="none" w:sz="0" w:space="0" w:color="auto"/>
            <w:right w:val="none" w:sz="0" w:space="0" w:color="auto"/>
          </w:divBdr>
        </w:div>
        <w:div w:id="1544056971">
          <w:marLeft w:val="640"/>
          <w:marRight w:val="0"/>
          <w:marTop w:val="0"/>
          <w:marBottom w:val="0"/>
          <w:divBdr>
            <w:top w:val="none" w:sz="0" w:space="0" w:color="auto"/>
            <w:left w:val="none" w:sz="0" w:space="0" w:color="auto"/>
            <w:bottom w:val="none" w:sz="0" w:space="0" w:color="auto"/>
            <w:right w:val="none" w:sz="0" w:space="0" w:color="auto"/>
          </w:divBdr>
        </w:div>
        <w:div w:id="1955867534">
          <w:marLeft w:val="640"/>
          <w:marRight w:val="0"/>
          <w:marTop w:val="0"/>
          <w:marBottom w:val="0"/>
          <w:divBdr>
            <w:top w:val="none" w:sz="0" w:space="0" w:color="auto"/>
            <w:left w:val="none" w:sz="0" w:space="0" w:color="auto"/>
            <w:bottom w:val="none" w:sz="0" w:space="0" w:color="auto"/>
            <w:right w:val="none" w:sz="0" w:space="0" w:color="auto"/>
          </w:divBdr>
        </w:div>
        <w:div w:id="232399115">
          <w:marLeft w:val="640"/>
          <w:marRight w:val="0"/>
          <w:marTop w:val="0"/>
          <w:marBottom w:val="0"/>
          <w:divBdr>
            <w:top w:val="none" w:sz="0" w:space="0" w:color="auto"/>
            <w:left w:val="none" w:sz="0" w:space="0" w:color="auto"/>
            <w:bottom w:val="none" w:sz="0" w:space="0" w:color="auto"/>
            <w:right w:val="none" w:sz="0" w:space="0" w:color="auto"/>
          </w:divBdr>
        </w:div>
        <w:div w:id="1784499887">
          <w:marLeft w:val="640"/>
          <w:marRight w:val="0"/>
          <w:marTop w:val="0"/>
          <w:marBottom w:val="0"/>
          <w:divBdr>
            <w:top w:val="none" w:sz="0" w:space="0" w:color="auto"/>
            <w:left w:val="none" w:sz="0" w:space="0" w:color="auto"/>
            <w:bottom w:val="none" w:sz="0" w:space="0" w:color="auto"/>
            <w:right w:val="none" w:sz="0" w:space="0" w:color="auto"/>
          </w:divBdr>
        </w:div>
        <w:div w:id="509487203">
          <w:marLeft w:val="640"/>
          <w:marRight w:val="0"/>
          <w:marTop w:val="0"/>
          <w:marBottom w:val="0"/>
          <w:divBdr>
            <w:top w:val="none" w:sz="0" w:space="0" w:color="auto"/>
            <w:left w:val="none" w:sz="0" w:space="0" w:color="auto"/>
            <w:bottom w:val="none" w:sz="0" w:space="0" w:color="auto"/>
            <w:right w:val="none" w:sz="0" w:space="0" w:color="auto"/>
          </w:divBdr>
        </w:div>
        <w:div w:id="166142108">
          <w:marLeft w:val="640"/>
          <w:marRight w:val="0"/>
          <w:marTop w:val="0"/>
          <w:marBottom w:val="0"/>
          <w:divBdr>
            <w:top w:val="none" w:sz="0" w:space="0" w:color="auto"/>
            <w:left w:val="none" w:sz="0" w:space="0" w:color="auto"/>
            <w:bottom w:val="none" w:sz="0" w:space="0" w:color="auto"/>
            <w:right w:val="none" w:sz="0" w:space="0" w:color="auto"/>
          </w:divBdr>
        </w:div>
        <w:div w:id="1200048582">
          <w:marLeft w:val="640"/>
          <w:marRight w:val="0"/>
          <w:marTop w:val="0"/>
          <w:marBottom w:val="0"/>
          <w:divBdr>
            <w:top w:val="none" w:sz="0" w:space="0" w:color="auto"/>
            <w:left w:val="none" w:sz="0" w:space="0" w:color="auto"/>
            <w:bottom w:val="none" w:sz="0" w:space="0" w:color="auto"/>
            <w:right w:val="none" w:sz="0" w:space="0" w:color="auto"/>
          </w:divBdr>
        </w:div>
        <w:div w:id="1970233971">
          <w:marLeft w:val="640"/>
          <w:marRight w:val="0"/>
          <w:marTop w:val="0"/>
          <w:marBottom w:val="0"/>
          <w:divBdr>
            <w:top w:val="none" w:sz="0" w:space="0" w:color="auto"/>
            <w:left w:val="none" w:sz="0" w:space="0" w:color="auto"/>
            <w:bottom w:val="none" w:sz="0" w:space="0" w:color="auto"/>
            <w:right w:val="none" w:sz="0" w:space="0" w:color="auto"/>
          </w:divBdr>
        </w:div>
        <w:div w:id="1364676363">
          <w:marLeft w:val="640"/>
          <w:marRight w:val="0"/>
          <w:marTop w:val="0"/>
          <w:marBottom w:val="0"/>
          <w:divBdr>
            <w:top w:val="none" w:sz="0" w:space="0" w:color="auto"/>
            <w:left w:val="none" w:sz="0" w:space="0" w:color="auto"/>
            <w:bottom w:val="none" w:sz="0" w:space="0" w:color="auto"/>
            <w:right w:val="none" w:sz="0" w:space="0" w:color="auto"/>
          </w:divBdr>
        </w:div>
        <w:div w:id="209197909">
          <w:marLeft w:val="640"/>
          <w:marRight w:val="0"/>
          <w:marTop w:val="0"/>
          <w:marBottom w:val="0"/>
          <w:divBdr>
            <w:top w:val="none" w:sz="0" w:space="0" w:color="auto"/>
            <w:left w:val="none" w:sz="0" w:space="0" w:color="auto"/>
            <w:bottom w:val="none" w:sz="0" w:space="0" w:color="auto"/>
            <w:right w:val="none" w:sz="0" w:space="0" w:color="auto"/>
          </w:divBdr>
        </w:div>
        <w:div w:id="1409693967">
          <w:marLeft w:val="640"/>
          <w:marRight w:val="0"/>
          <w:marTop w:val="0"/>
          <w:marBottom w:val="0"/>
          <w:divBdr>
            <w:top w:val="none" w:sz="0" w:space="0" w:color="auto"/>
            <w:left w:val="none" w:sz="0" w:space="0" w:color="auto"/>
            <w:bottom w:val="none" w:sz="0" w:space="0" w:color="auto"/>
            <w:right w:val="none" w:sz="0" w:space="0" w:color="auto"/>
          </w:divBdr>
        </w:div>
        <w:div w:id="727456668">
          <w:marLeft w:val="640"/>
          <w:marRight w:val="0"/>
          <w:marTop w:val="0"/>
          <w:marBottom w:val="0"/>
          <w:divBdr>
            <w:top w:val="none" w:sz="0" w:space="0" w:color="auto"/>
            <w:left w:val="none" w:sz="0" w:space="0" w:color="auto"/>
            <w:bottom w:val="none" w:sz="0" w:space="0" w:color="auto"/>
            <w:right w:val="none" w:sz="0" w:space="0" w:color="auto"/>
          </w:divBdr>
        </w:div>
        <w:div w:id="614797700">
          <w:marLeft w:val="640"/>
          <w:marRight w:val="0"/>
          <w:marTop w:val="0"/>
          <w:marBottom w:val="0"/>
          <w:divBdr>
            <w:top w:val="none" w:sz="0" w:space="0" w:color="auto"/>
            <w:left w:val="none" w:sz="0" w:space="0" w:color="auto"/>
            <w:bottom w:val="none" w:sz="0" w:space="0" w:color="auto"/>
            <w:right w:val="none" w:sz="0" w:space="0" w:color="auto"/>
          </w:divBdr>
        </w:div>
        <w:div w:id="1903952364">
          <w:marLeft w:val="640"/>
          <w:marRight w:val="0"/>
          <w:marTop w:val="0"/>
          <w:marBottom w:val="0"/>
          <w:divBdr>
            <w:top w:val="none" w:sz="0" w:space="0" w:color="auto"/>
            <w:left w:val="none" w:sz="0" w:space="0" w:color="auto"/>
            <w:bottom w:val="none" w:sz="0" w:space="0" w:color="auto"/>
            <w:right w:val="none" w:sz="0" w:space="0" w:color="auto"/>
          </w:divBdr>
        </w:div>
        <w:div w:id="1332877946">
          <w:marLeft w:val="640"/>
          <w:marRight w:val="0"/>
          <w:marTop w:val="0"/>
          <w:marBottom w:val="0"/>
          <w:divBdr>
            <w:top w:val="none" w:sz="0" w:space="0" w:color="auto"/>
            <w:left w:val="none" w:sz="0" w:space="0" w:color="auto"/>
            <w:bottom w:val="none" w:sz="0" w:space="0" w:color="auto"/>
            <w:right w:val="none" w:sz="0" w:space="0" w:color="auto"/>
          </w:divBdr>
        </w:div>
        <w:div w:id="2101631780">
          <w:marLeft w:val="640"/>
          <w:marRight w:val="0"/>
          <w:marTop w:val="0"/>
          <w:marBottom w:val="0"/>
          <w:divBdr>
            <w:top w:val="none" w:sz="0" w:space="0" w:color="auto"/>
            <w:left w:val="none" w:sz="0" w:space="0" w:color="auto"/>
            <w:bottom w:val="none" w:sz="0" w:space="0" w:color="auto"/>
            <w:right w:val="none" w:sz="0" w:space="0" w:color="auto"/>
          </w:divBdr>
        </w:div>
        <w:div w:id="212083021">
          <w:marLeft w:val="640"/>
          <w:marRight w:val="0"/>
          <w:marTop w:val="0"/>
          <w:marBottom w:val="0"/>
          <w:divBdr>
            <w:top w:val="none" w:sz="0" w:space="0" w:color="auto"/>
            <w:left w:val="none" w:sz="0" w:space="0" w:color="auto"/>
            <w:bottom w:val="none" w:sz="0" w:space="0" w:color="auto"/>
            <w:right w:val="none" w:sz="0" w:space="0" w:color="auto"/>
          </w:divBdr>
        </w:div>
        <w:div w:id="1510631918">
          <w:marLeft w:val="640"/>
          <w:marRight w:val="0"/>
          <w:marTop w:val="0"/>
          <w:marBottom w:val="0"/>
          <w:divBdr>
            <w:top w:val="none" w:sz="0" w:space="0" w:color="auto"/>
            <w:left w:val="none" w:sz="0" w:space="0" w:color="auto"/>
            <w:bottom w:val="none" w:sz="0" w:space="0" w:color="auto"/>
            <w:right w:val="none" w:sz="0" w:space="0" w:color="auto"/>
          </w:divBdr>
        </w:div>
        <w:div w:id="1247112416">
          <w:marLeft w:val="640"/>
          <w:marRight w:val="0"/>
          <w:marTop w:val="0"/>
          <w:marBottom w:val="0"/>
          <w:divBdr>
            <w:top w:val="none" w:sz="0" w:space="0" w:color="auto"/>
            <w:left w:val="none" w:sz="0" w:space="0" w:color="auto"/>
            <w:bottom w:val="none" w:sz="0" w:space="0" w:color="auto"/>
            <w:right w:val="none" w:sz="0" w:space="0" w:color="auto"/>
          </w:divBdr>
        </w:div>
        <w:div w:id="1640844703">
          <w:marLeft w:val="640"/>
          <w:marRight w:val="0"/>
          <w:marTop w:val="0"/>
          <w:marBottom w:val="0"/>
          <w:divBdr>
            <w:top w:val="none" w:sz="0" w:space="0" w:color="auto"/>
            <w:left w:val="none" w:sz="0" w:space="0" w:color="auto"/>
            <w:bottom w:val="none" w:sz="0" w:space="0" w:color="auto"/>
            <w:right w:val="none" w:sz="0" w:space="0" w:color="auto"/>
          </w:divBdr>
        </w:div>
        <w:div w:id="1047414632">
          <w:marLeft w:val="640"/>
          <w:marRight w:val="0"/>
          <w:marTop w:val="0"/>
          <w:marBottom w:val="0"/>
          <w:divBdr>
            <w:top w:val="none" w:sz="0" w:space="0" w:color="auto"/>
            <w:left w:val="none" w:sz="0" w:space="0" w:color="auto"/>
            <w:bottom w:val="none" w:sz="0" w:space="0" w:color="auto"/>
            <w:right w:val="none" w:sz="0" w:space="0" w:color="auto"/>
          </w:divBdr>
        </w:div>
        <w:div w:id="603464746">
          <w:marLeft w:val="640"/>
          <w:marRight w:val="0"/>
          <w:marTop w:val="0"/>
          <w:marBottom w:val="0"/>
          <w:divBdr>
            <w:top w:val="none" w:sz="0" w:space="0" w:color="auto"/>
            <w:left w:val="none" w:sz="0" w:space="0" w:color="auto"/>
            <w:bottom w:val="none" w:sz="0" w:space="0" w:color="auto"/>
            <w:right w:val="none" w:sz="0" w:space="0" w:color="auto"/>
          </w:divBdr>
        </w:div>
        <w:div w:id="934633915">
          <w:marLeft w:val="640"/>
          <w:marRight w:val="0"/>
          <w:marTop w:val="0"/>
          <w:marBottom w:val="0"/>
          <w:divBdr>
            <w:top w:val="none" w:sz="0" w:space="0" w:color="auto"/>
            <w:left w:val="none" w:sz="0" w:space="0" w:color="auto"/>
            <w:bottom w:val="none" w:sz="0" w:space="0" w:color="auto"/>
            <w:right w:val="none" w:sz="0" w:space="0" w:color="auto"/>
          </w:divBdr>
        </w:div>
        <w:div w:id="275522179">
          <w:marLeft w:val="640"/>
          <w:marRight w:val="0"/>
          <w:marTop w:val="0"/>
          <w:marBottom w:val="0"/>
          <w:divBdr>
            <w:top w:val="none" w:sz="0" w:space="0" w:color="auto"/>
            <w:left w:val="none" w:sz="0" w:space="0" w:color="auto"/>
            <w:bottom w:val="none" w:sz="0" w:space="0" w:color="auto"/>
            <w:right w:val="none" w:sz="0" w:space="0" w:color="auto"/>
          </w:divBdr>
        </w:div>
        <w:div w:id="1772047854">
          <w:marLeft w:val="640"/>
          <w:marRight w:val="0"/>
          <w:marTop w:val="0"/>
          <w:marBottom w:val="0"/>
          <w:divBdr>
            <w:top w:val="none" w:sz="0" w:space="0" w:color="auto"/>
            <w:left w:val="none" w:sz="0" w:space="0" w:color="auto"/>
            <w:bottom w:val="none" w:sz="0" w:space="0" w:color="auto"/>
            <w:right w:val="none" w:sz="0" w:space="0" w:color="auto"/>
          </w:divBdr>
        </w:div>
        <w:div w:id="1818111363">
          <w:marLeft w:val="640"/>
          <w:marRight w:val="0"/>
          <w:marTop w:val="0"/>
          <w:marBottom w:val="0"/>
          <w:divBdr>
            <w:top w:val="none" w:sz="0" w:space="0" w:color="auto"/>
            <w:left w:val="none" w:sz="0" w:space="0" w:color="auto"/>
            <w:bottom w:val="none" w:sz="0" w:space="0" w:color="auto"/>
            <w:right w:val="none" w:sz="0" w:space="0" w:color="auto"/>
          </w:divBdr>
        </w:div>
        <w:div w:id="1580210837">
          <w:marLeft w:val="640"/>
          <w:marRight w:val="0"/>
          <w:marTop w:val="0"/>
          <w:marBottom w:val="0"/>
          <w:divBdr>
            <w:top w:val="none" w:sz="0" w:space="0" w:color="auto"/>
            <w:left w:val="none" w:sz="0" w:space="0" w:color="auto"/>
            <w:bottom w:val="none" w:sz="0" w:space="0" w:color="auto"/>
            <w:right w:val="none" w:sz="0" w:space="0" w:color="auto"/>
          </w:divBdr>
        </w:div>
        <w:div w:id="289752706">
          <w:marLeft w:val="640"/>
          <w:marRight w:val="0"/>
          <w:marTop w:val="0"/>
          <w:marBottom w:val="0"/>
          <w:divBdr>
            <w:top w:val="none" w:sz="0" w:space="0" w:color="auto"/>
            <w:left w:val="none" w:sz="0" w:space="0" w:color="auto"/>
            <w:bottom w:val="none" w:sz="0" w:space="0" w:color="auto"/>
            <w:right w:val="none" w:sz="0" w:space="0" w:color="auto"/>
          </w:divBdr>
        </w:div>
        <w:div w:id="1112361057">
          <w:marLeft w:val="640"/>
          <w:marRight w:val="0"/>
          <w:marTop w:val="0"/>
          <w:marBottom w:val="0"/>
          <w:divBdr>
            <w:top w:val="none" w:sz="0" w:space="0" w:color="auto"/>
            <w:left w:val="none" w:sz="0" w:space="0" w:color="auto"/>
            <w:bottom w:val="none" w:sz="0" w:space="0" w:color="auto"/>
            <w:right w:val="none" w:sz="0" w:space="0" w:color="auto"/>
          </w:divBdr>
        </w:div>
        <w:div w:id="472257793">
          <w:marLeft w:val="640"/>
          <w:marRight w:val="0"/>
          <w:marTop w:val="0"/>
          <w:marBottom w:val="0"/>
          <w:divBdr>
            <w:top w:val="none" w:sz="0" w:space="0" w:color="auto"/>
            <w:left w:val="none" w:sz="0" w:space="0" w:color="auto"/>
            <w:bottom w:val="none" w:sz="0" w:space="0" w:color="auto"/>
            <w:right w:val="none" w:sz="0" w:space="0" w:color="auto"/>
          </w:divBdr>
        </w:div>
        <w:div w:id="1761367914">
          <w:marLeft w:val="640"/>
          <w:marRight w:val="0"/>
          <w:marTop w:val="0"/>
          <w:marBottom w:val="0"/>
          <w:divBdr>
            <w:top w:val="none" w:sz="0" w:space="0" w:color="auto"/>
            <w:left w:val="none" w:sz="0" w:space="0" w:color="auto"/>
            <w:bottom w:val="none" w:sz="0" w:space="0" w:color="auto"/>
            <w:right w:val="none" w:sz="0" w:space="0" w:color="auto"/>
          </w:divBdr>
        </w:div>
        <w:div w:id="1391881286">
          <w:marLeft w:val="640"/>
          <w:marRight w:val="0"/>
          <w:marTop w:val="0"/>
          <w:marBottom w:val="0"/>
          <w:divBdr>
            <w:top w:val="none" w:sz="0" w:space="0" w:color="auto"/>
            <w:left w:val="none" w:sz="0" w:space="0" w:color="auto"/>
            <w:bottom w:val="none" w:sz="0" w:space="0" w:color="auto"/>
            <w:right w:val="none" w:sz="0" w:space="0" w:color="auto"/>
          </w:divBdr>
        </w:div>
        <w:div w:id="1834182572">
          <w:marLeft w:val="640"/>
          <w:marRight w:val="0"/>
          <w:marTop w:val="0"/>
          <w:marBottom w:val="0"/>
          <w:divBdr>
            <w:top w:val="none" w:sz="0" w:space="0" w:color="auto"/>
            <w:left w:val="none" w:sz="0" w:space="0" w:color="auto"/>
            <w:bottom w:val="none" w:sz="0" w:space="0" w:color="auto"/>
            <w:right w:val="none" w:sz="0" w:space="0" w:color="auto"/>
          </w:divBdr>
        </w:div>
        <w:div w:id="1011252441">
          <w:marLeft w:val="640"/>
          <w:marRight w:val="0"/>
          <w:marTop w:val="0"/>
          <w:marBottom w:val="0"/>
          <w:divBdr>
            <w:top w:val="none" w:sz="0" w:space="0" w:color="auto"/>
            <w:left w:val="none" w:sz="0" w:space="0" w:color="auto"/>
            <w:bottom w:val="none" w:sz="0" w:space="0" w:color="auto"/>
            <w:right w:val="none" w:sz="0" w:space="0" w:color="auto"/>
          </w:divBdr>
        </w:div>
        <w:div w:id="97022911">
          <w:marLeft w:val="640"/>
          <w:marRight w:val="0"/>
          <w:marTop w:val="0"/>
          <w:marBottom w:val="0"/>
          <w:divBdr>
            <w:top w:val="none" w:sz="0" w:space="0" w:color="auto"/>
            <w:left w:val="none" w:sz="0" w:space="0" w:color="auto"/>
            <w:bottom w:val="none" w:sz="0" w:space="0" w:color="auto"/>
            <w:right w:val="none" w:sz="0" w:space="0" w:color="auto"/>
          </w:divBdr>
        </w:div>
        <w:div w:id="1525751458">
          <w:marLeft w:val="640"/>
          <w:marRight w:val="0"/>
          <w:marTop w:val="0"/>
          <w:marBottom w:val="0"/>
          <w:divBdr>
            <w:top w:val="none" w:sz="0" w:space="0" w:color="auto"/>
            <w:left w:val="none" w:sz="0" w:space="0" w:color="auto"/>
            <w:bottom w:val="none" w:sz="0" w:space="0" w:color="auto"/>
            <w:right w:val="none" w:sz="0" w:space="0" w:color="auto"/>
          </w:divBdr>
        </w:div>
        <w:div w:id="135683195">
          <w:marLeft w:val="640"/>
          <w:marRight w:val="0"/>
          <w:marTop w:val="0"/>
          <w:marBottom w:val="0"/>
          <w:divBdr>
            <w:top w:val="none" w:sz="0" w:space="0" w:color="auto"/>
            <w:left w:val="none" w:sz="0" w:space="0" w:color="auto"/>
            <w:bottom w:val="none" w:sz="0" w:space="0" w:color="auto"/>
            <w:right w:val="none" w:sz="0" w:space="0" w:color="auto"/>
          </w:divBdr>
        </w:div>
        <w:div w:id="964429382">
          <w:marLeft w:val="640"/>
          <w:marRight w:val="0"/>
          <w:marTop w:val="0"/>
          <w:marBottom w:val="0"/>
          <w:divBdr>
            <w:top w:val="none" w:sz="0" w:space="0" w:color="auto"/>
            <w:left w:val="none" w:sz="0" w:space="0" w:color="auto"/>
            <w:bottom w:val="none" w:sz="0" w:space="0" w:color="auto"/>
            <w:right w:val="none" w:sz="0" w:space="0" w:color="auto"/>
          </w:divBdr>
        </w:div>
        <w:div w:id="1722905121">
          <w:marLeft w:val="640"/>
          <w:marRight w:val="0"/>
          <w:marTop w:val="0"/>
          <w:marBottom w:val="0"/>
          <w:divBdr>
            <w:top w:val="none" w:sz="0" w:space="0" w:color="auto"/>
            <w:left w:val="none" w:sz="0" w:space="0" w:color="auto"/>
            <w:bottom w:val="none" w:sz="0" w:space="0" w:color="auto"/>
            <w:right w:val="none" w:sz="0" w:space="0" w:color="auto"/>
          </w:divBdr>
        </w:div>
        <w:div w:id="1072194115">
          <w:marLeft w:val="640"/>
          <w:marRight w:val="0"/>
          <w:marTop w:val="0"/>
          <w:marBottom w:val="0"/>
          <w:divBdr>
            <w:top w:val="none" w:sz="0" w:space="0" w:color="auto"/>
            <w:left w:val="none" w:sz="0" w:space="0" w:color="auto"/>
            <w:bottom w:val="none" w:sz="0" w:space="0" w:color="auto"/>
            <w:right w:val="none" w:sz="0" w:space="0" w:color="auto"/>
          </w:divBdr>
        </w:div>
        <w:div w:id="1399740822">
          <w:marLeft w:val="640"/>
          <w:marRight w:val="0"/>
          <w:marTop w:val="0"/>
          <w:marBottom w:val="0"/>
          <w:divBdr>
            <w:top w:val="none" w:sz="0" w:space="0" w:color="auto"/>
            <w:left w:val="none" w:sz="0" w:space="0" w:color="auto"/>
            <w:bottom w:val="none" w:sz="0" w:space="0" w:color="auto"/>
            <w:right w:val="none" w:sz="0" w:space="0" w:color="auto"/>
          </w:divBdr>
        </w:div>
        <w:div w:id="58359084">
          <w:marLeft w:val="640"/>
          <w:marRight w:val="0"/>
          <w:marTop w:val="0"/>
          <w:marBottom w:val="0"/>
          <w:divBdr>
            <w:top w:val="none" w:sz="0" w:space="0" w:color="auto"/>
            <w:left w:val="none" w:sz="0" w:space="0" w:color="auto"/>
            <w:bottom w:val="none" w:sz="0" w:space="0" w:color="auto"/>
            <w:right w:val="none" w:sz="0" w:space="0" w:color="auto"/>
          </w:divBdr>
        </w:div>
        <w:div w:id="166214064">
          <w:marLeft w:val="640"/>
          <w:marRight w:val="0"/>
          <w:marTop w:val="0"/>
          <w:marBottom w:val="0"/>
          <w:divBdr>
            <w:top w:val="none" w:sz="0" w:space="0" w:color="auto"/>
            <w:left w:val="none" w:sz="0" w:space="0" w:color="auto"/>
            <w:bottom w:val="none" w:sz="0" w:space="0" w:color="auto"/>
            <w:right w:val="none" w:sz="0" w:space="0" w:color="auto"/>
          </w:divBdr>
        </w:div>
        <w:div w:id="1855607317">
          <w:marLeft w:val="640"/>
          <w:marRight w:val="0"/>
          <w:marTop w:val="0"/>
          <w:marBottom w:val="0"/>
          <w:divBdr>
            <w:top w:val="none" w:sz="0" w:space="0" w:color="auto"/>
            <w:left w:val="none" w:sz="0" w:space="0" w:color="auto"/>
            <w:bottom w:val="none" w:sz="0" w:space="0" w:color="auto"/>
            <w:right w:val="none" w:sz="0" w:space="0" w:color="auto"/>
          </w:divBdr>
        </w:div>
        <w:div w:id="1566404639">
          <w:marLeft w:val="640"/>
          <w:marRight w:val="0"/>
          <w:marTop w:val="0"/>
          <w:marBottom w:val="0"/>
          <w:divBdr>
            <w:top w:val="none" w:sz="0" w:space="0" w:color="auto"/>
            <w:left w:val="none" w:sz="0" w:space="0" w:color="auto"/>
            <w:bottom w:val="none" w:sz="0" w:space="0" w:color="auto"/>
            <w:right w:val="none" w:sz="0" w:space="0" w:color="auto"/>
          </w:divBdr>
        </w:div>
        <w:div w:id="1222983850">
          <w:marLeft w:val="640"/>
          <w:marRight w:val="0"/>
          <w:marTop w:val="0"/>
          <w:marBottom w:val="0"/>
          <w:divBdr>
            <w:top w:val="none" w:sz="0" w:space="0" w:color="auto"/>
            <w:left w:val="none" w:sz="0" w:space="0" w:color="auto"/>
            <w:bottom w:val="none" w:sz="0" w:space="0" w:color="auto"/>
            <w:right w:val="none" w:sz="0" w:space="0" w:color="auto"/>
          </w:divBdr>
        </w:div>
        <w:div w:id="1098864200">
          <w:marLeft w:val="640"/>
          <w:marRight w:val="0"/>
          <w:marTop w:val="0"/>
          <w:marBottom w:val="0"/>
          <w:divBdr>
            <w:top w:val="none" w:sz="0" w:space="0" w:color="auto"/>
            <w:left w:val="none" w:sz="0" w:space="0" w:color="auto"/>
            <w:bottom w:val="none" w:sz="0" w:space="0" w:color="auto"/>
            <w:right w:val="none" w:sz="0" w:space="0" w:color="auto"/>
          </w:divBdr>
        </w:div>
        <w:div w:id="84156547">
          <w:marLeft w:val="640"/>
          <w:marRight w:val="0"/>
          <w:marTop w:val="0"/>
          <w:marBottom w:val="0"/>
          <w:divBdr>
            <w:top w:val="none" w:sz="0" w:space="0" w:color="auto"/>
            <w:left w:val="none" w:sz="0" w:space="0" w:color="auto"/>
            <w:bottom w:val="none" w:sz="0" w:space="0" w:color="auto"/>
            <w:right w:val="none" w:sz="0" w:space="0" w:color="auto"/>
          </w:divBdr>
        </w:div>
        <w:div w:id="1345355652">
          <w:marLeft w:val="640"/>
          <w:marRight w:val="0"/>
          <w:marTop w:val="0"/>
          <w:marBottom w:val="0"/>
          <w:divBdr>
            <w:top w:val="none" w:sz="0" w:space="0" w:color="auto"/>
            <w:left w:val="none" w:sz="0" w:space="0" w:color="auto"/>
            <w:bottom w:val="none" w:sz="0" w:space="0" w:color="auto"/>
            <w:right w:val="none" w:sz="0" w:space="0" w:color="auto"/>
          </w:divBdr>
        </w:div>
        <w:div w:id="851454879">
          <w:marLeft w:val="640"/>
          <w:marRight w:val="0"/>
          <w:marTop w:val="0"/>
          <w:marBottom w:val="0"/>
          <w:divBdr>
            <w:top w:val="none" w:sz="0" w:space="0" w:color="auto"/>
            <w:left w:val="none" w:sz="0" w:space="0" w:color="auto"/>
            <w:bottom w:val="none" w:sz="0" w:space="0" w:color="auto"/>
            <w:right w:val="none" w:sz="0" w:space="0" w:color="auto"/>
          </w:divBdr>
        </w:div>
        <w:div w:id="1512643382">
          <w:marLeft w:val="640"/>
          <w:marRight w:val="0"/>
          <w:marTop w:val="0"/>
          <w:marBottom w:val="0"/>
          <w:divBdr>
            <w:top w:val="none" w:sz="0" w:space="0" w:color="auto"/>
            <w:left w:val="none" w:sz="0" w:space="0" w:color="auto"/>
            <w:bottom w:val="none" w:sz="0" w:space="0" w:color="auto"/>
            <w:right w:val="none" w:sz="0" w:space="0" w:color="auto"/>
          </w:divBdr>
        </w:div>
        <w:div w:id="720596123">
          <w:marLeft w:val="640"/>
          <w:marRight w:val="0"/>
          <w:marTop w:val="0"/>
          <w:marBottom w:val="0"/>
          <w:divBdr>
            <w:top w:val="none" w:sz="0" w:space="0" w:color="auto"/>
            <w:left w:val="none" w:sz="0" w:space="0" w:color="auto"/>
            <w:bottom w:val="none" w:sz="0" w:space="0" w:color="auto"/>
            <w:right w:val="none" w:sz="0" w:space="0" w:color="auto"/>
          </w:divBdr>
        </w:div>
        <w:div w:id="1545603434">
          <w:marLeft w:val="640"/>
          <w:marRight w:val="0"/>
          <w:marTop w:val="0"/>
          <w:marBottom w:val="0"/>
          <w:divBdr>
            <w:top w:val="none" w:sz="0" w:space="0" w:color="auto"/>
            <w:left w:val="none" w:sz="0" w:space="0" w:color="auto"/>
            <w:bottom w:val="none" w:sz="0" w:space="0" w:color="auto"/>
            <w:right w:val="none" w:sz="0" w:space="0" w:color="auto"/>
          </w:divBdr>
        </w:div>
        <w:div w:id="281620664">
          <w:marLeft w:val="640"/>
          <w:marRight w:val="0"/>
          <w:marTop w:val="0"/>
          <w:marBottom w:val="0"/>
          <w:divBdr>
            <w:top w:val="none" w:sz="0" w:space="0" w:color="auto"/>
            <w:left w:val="none" w:sz="0" w:space="0" w:color="auto"/>
            <w:bottom w:val="none" w:sz="0" w:space="0" w:color="auto"/>
            <w:right w:val="none" w:sz="0" w:space="0" w:color="auto"/>
          </w:divBdr>
        </w:div>
        <w:div w:id="1208840209">
          <w:marLeft w:val="640"/>
          <w:marRight w:val="0"/>
          <w:marTop w:val="0"/>
          <w:marBottom w:val="0"/>
          <w:divBdr>
            <w:top w:val="none" w:sz="0" w:space="0" w:color="auto"/>
            <w:left w:val="none" w:sz="0" w:space="0" w:color="auto"/>
            <w:bottom w:val="none" w:sz="0" w:space="0" w:color="auto"/>
            <w:right w:val="none" w:sz="0" w:space="0" w:color="auto"/>
          </w:divBdr>
        </w:div>
        <w:div w:id="1346595946">
          <w:marLeft w:val="640"/>
          <w:marRight w:val="0"/>
          <w:marTop w:val="0"/>
          <w:marBottom w:val="0"/>
          <w:divBdr>
            <w:top w:val="none" w:sz="0" w:space="0" w:color="auto"/>
            <w:left w:val="none" w:sz="0" w:space="0" w:color="auto"/>
            <w:bottom w:val="none" w:sz="0" w:space="0" w:color="auto"/>
            <w:right w:val="none" w:sz="0" w:space="0" w:color="auto"/>
          </w:divBdr>
        </w:div>
        <w:div w:id="184633493">
          <w:marLeft w:val="640"/>
          <w:marRight w:val="0"/>
          <w:marTop w:val="0"/>
          <w:marBottom w:val="0"/>
          <w:divBdr>
            <w:top w:val="none" w:sz="0" w:space="0" w:color="auto"/>
            <w:left w:val="none" w:sz="0" w:space="0" w:color="auto"/>
            <w:bottom w:val="none" w:sz="0" w:space="0" w:color="auto"/>
            <w:right w:val="none" w:sz="0" w:space="0" w:color="auto"/>
          </w:divBdr>
        </w:div>
        <w:div w:id="1809782702">
          <w:marLeft w:val="640"/>
          <w:marRight w:val="0"/>
          <w:marTop w:val="0"/>
          <w:marBottom w:val="0"/>
          <w:divBdr>
            <w:top w:val="none" w:sz="0" w:space="0" w:color="auto"/>
            <w:left w:val="none" w:sz="0" w:space="0" w:color="auto"/>
            <w:bottom w:val="none" w:sz="0" w:space="0" w:color="auto"/>
            <w:right w:val="none" w:sz="0" w:space="0" w:color="auto"/>
          </w:divBdr>
        </w:div>
        <w:div w:id="1051537729">
          <w:marLeft w:val="640"/>
          <w:marRight w:val="0"/>
          <w:marTop w:val="0"/>
          <w:marBottom w:val="0"/>
          <w:divBdr>
            <w:top w:val="none" w:sz="0" w:space="0" w:color="auto"/>
            <w:left w:val="none" w:sz="0" w:space="0" w:color="auto"/>
            <w:bottom w:val="none" w:sz="0" w:space="0" w:color="auto"/>
            <w:right w:val="none" w:sz="0" w:space="0" w:color="auto"/>
          </w:divBdr>
        </w:div>
        <w:div w:id="301352046">
          <w:marLeft w:val="640"/>
          <w:marRight w:val="0"/>
          <w:marTop w:val="0"/>
          <w:marBottom w:val="0"/>
          <w:divBdr>
            <w:top w:val="none" w:sz="0" w:space="0" w:color="auto"/>
            <w:left w:val="none" w:sz="0" w:space="0" w:color="auto"/>
            <w:bottom w:val="none" w:sz="0" w:space="0" w:color="auto"/>
            <w:right w:val="none" w:sz="0" w:space="0" w:color="auto"/>
          </w:divBdr>
        </w:div>
        <w:div w:id="37435584">
          <w:marLeft w:val="640"/>
          <w:marRight w:val="0"/>
          <w:marTop w:val="0"/>
          <w:marBottom w:val="0"/>
          <w:divBdr>
            <w:top w:val="none" w:sz="0" w:space="0" w:color="auto"/>
            <w:left w:val="none" w:sz="0" w:space="0" w:color="auto"/>
            <w:bottom w:val="none" w:sz="0" w:space="0" w:color="auto"/>
            <w:right w:val="none" w:sz="0" w:space="0" w:color="auto"/>
          </w:divBdr>
        </w:div>
        <w:div w:id="766072423">
          <w:marLeft w:val="640"/>
          <w:marRight w:val="0"/>
          <w:marTop w:val="0"/>
          <w:marBottom w:val="0"/>
          <w:divBdr>
            <w:top w:val="none" w:sz="0" w:space="0" w:color="auto"/>
            <w:left w:val="none" w:sz="0" w:space="0" w:color="auto"/>
            <w:bottom w:val="none" w:sz="0" w:space="0" w:color="auto"/>
            <w:right w:val="none" w:sz="0" w:space="0" w:color="auto"/>
          </w:divBdr>
        </w:div>
        <w:div w:id="1790391359">
          <w:marLeft w:val="640"/>
          <w:marRight w:val="0"/>
          <w:marTop w:val="0"/>
          <w:marBottom w:val="0"/>
          <w:divBdr>
            <w:top w:val="none" w:sz="0" w:space="0" w:color="auto"/>
            <w:left w:val="none" w:sz="0" w:space="0" w:color="auto"/>
            <w:bottom w:val="none" w:sz="0" w:space="0" w:color="auto"/>
            <w:right w:val="none" w:sz="0" w:space="0" w:color="auto"/>
          </w:divBdr>
        </w:div>
        <w:div w:id="1346706957">
          <w:marLeft w:val="640"/>
          <w:marRight w:val="0"/>
          <w:marTop w:val="0"/>
          <w:marBottom w:val="0"/>
          <w:divBdr>
            <w:top w:val="none" w:sz="0" w:space="0" w:color="auto"/>
            <w:left w:val="none" w:sz="0" w:space="0" w:color="auto"/>
            <w:bottom w:val="none" w:sz="0" w:space="0" w:color="auto"/>
            <w:right w:val="none" w:sz="0" w:space="0" w:color="auto"/>
          </w:divBdr>
        </w:div>
        <w:div w:id="562370963">
          <w:marLeft w:val="640"/>
          <w:marRight w:val="0"/>
          <w:marTop w:val="0"/>
          <w:marBottom w:val="0"/>
          <w:divBdr>
            <w:top w:val="none" w:sz="0" w:space="0" w:color="auto"/>
            <w:left w:val="none" w:sz="0" w:space="0" w:color="auto"/>
            <w:bottom w:val="none" w:sz="0" w:space="0" w:color="auto"/>
            <w:right w:val="none" w:sz="0" w:space="0" w:color="auto"/>
          </w:divBdr>
        </w:div>
        <w:div w:id="1028064699">
          <w:marLeft w:val="640"/>
          <w:marRight w:val="0"/>
          <w:marTop w:val="0"/>
          <w:marBottom w:val="0"/>
          <w:divBdr>
            <w:top w:val="none" w:sz="0" w:space="0" w:color="auto"/>
            <w:left w:val="none" w:sz="0" w:space="0" w:color="auto"/>
            <w:bottom w:val="none" w:sz="0" w:space="0" w:color="auto"/>
            <w:right w:val="none" w:sz="0" w:space="0" w:color="auto"/>
          </w:divBdr>
        </w:div>
        <w:div w:id="1362514539">
          <w:marLeft w:val="640"/>
          <w:marRight w:val="0"/>
          <w:marTop w:val="0"/>
          <w:marBottom w:val="0"/>
          <w:divBdr>
            <w:top w:val="none" w:sz="0" w:space="0" w:color="auto"/>
            <w:left w:val="none" w:sz="0" w:space="0" w:color="auto"/>
            <w:bottom w:val="none" w:sz="0" w:space="0" w:color="auto"/>
            <w:right w:val="none" w:sz="0" w:space="0" w:color="auto"/>
          </w:divBdr>
        </w:div>
        <w:div w:id="889346048">
          <w:marLeft w:val="640"/>
          <w:marRight w:val="0"/>
          <w:marTop w:val="0"/>
          <w:marBottom w:val="0"/>
          <w:divBdr>
            <w:top w:val="none" w:sz="0" w:space="0" w:color="auto"/>
            <w:left w:val="none" w:sz="0" w:space="0" w:color="auto"/>
            <w:bottom w:val="none" w:sz="0" w:space="0" w:color="auto"/>
            <w:right w:val="none" w:sz="0" w:space="0" w:color="auto"/>
          </w:divBdr>
        </w:div>
        <w:div w:id="986979299">
          <w:marLeft w:val="640"/>
          <w:marRight w:val="0"/>
          <w:marTop w:val="0"/>
          <w:marBottom w:val="0"/>
          <w:divBdr>
            <w:top w:val="none" w:sz="0" w:space="0" w:color="auto"/>
            <w:left w:val="none" w:sz="0" w:space="0" w:color="auto"/>
            <w:bottom w:val="none" w:sz="0" w:space="0" w:color="auto"/>
            <w:right w:val="none" w:sz="0" w:space="0" w:color="auto"/>
          </w:divBdr>
        </w:div>
        <w:div w:id="1732532022">
          <w:marLeft w:val="640"/>
          <w:marRight w:val="0"/>
          <w:marTop w:val="0"/>
          <w:marBottom w:val="0"/>
          <w:divBdr>
            <w:top w:val="none" w:sz="0" w:space="0" w:color="auto"/>
            <w:left w:val="none" w:sz="0" w:space="0" w:color="auto"/>
            <w:bottom w:val="none" w:sz="0" w:space="0" w:color="auto"/>
            <w:right w:val="none" w:sz="0" w:space="0" w:color="auto"/>
          </w:divBdr>
        </w:div>
        <w:div w:id="1353992814">
          <w:marLeft w:val="640"/>
          <w:marRight w:val="0"/>
          <w:marTop w:val="0"/>
          <w:marBottom w:val="0"/>
          <w:divBdr>
            <w:top w:val="none" w:sz="0" w:space="0" w:color="auto"/>
            <w:left w:val="none" w:sz="0" w:space="0" w:color="auto"/>
            <w:bottom w:val="none" w:sz="0" w:space="0" w:color="auto"/>
            <w:right w:val="none" w:sz="0" w:space="0" w:color="auto"/>
          </w:divBdr>
        </w:div>
        <w:div w:id="101343322">
          <w:marLeft w:val="640"/>
          <w:marRight w:val="0"/>
          <w:marTop w:val="0"/>
          <w:marBottom w:val="0"/>
          <w:divBdr>
            <w:top w:val="none" w:sz="0" w:space="0" w:color="auto"/>
            <w:left w:val="none" w:sz="0" w:space="0" w:color="auto"/>
            <w:bottom w:val="none" w:sz="0" w:space="0" w:color="auto"/>
            <w:right w:val="none" w:sz="0" w:space="0" w:color="auto"/>
          </w:divBdr>
        </w:div>
        <w:div w:id="1364985027">
          <w:marLeft w:val="640"/>
          <w:marRight w:val="0"/>
          <w:marTop w:val="0"/>
          <w:marBottom w:val="0"/>
          <w:divBdr>
            <w:top w:val="none" w:sz="0" w:space="0" w:color="auto"/>
            <w:left w:val="none" w:sz="0" w:space="0" w:color="auto"/>
            <w:bottom w:val="none" w:sz="0" w:space="0" w:color="auto"/>
            <w:right w:val="none" w:sz="0" w:space="0" w:color="auto"/>
          </w:divBdr>
        </w:div>
        <w:div w:id="746466415">
          <w:marLeft w:val="640"/>
          <w:marRight w:val="0"/>
          <w:marTop w:val="0"/>
          <w:marBottom w:val="0"/>
          <w:divBdr>
            <w:top w:val="none" w:sz="0" w:space="0" w:color="auto"/>
            <w:left w:val="none" w:sz="0" w:space="0" w:color="auto"/>
            <w:bottom w:val="none" w:sz="0" w:space="0" w:color="auto"/>
            <w:right w:val="none" w:sz="0" w:space="0" w:color="auto"/>
          </w:divBdr>
        </w:div>
        <w:div w:id="608313758">
          <w:marLeft w:val="640"/>
          <w:marRight w:val="0"/>
          <w:marTop w:val="0"/>
          <w:marBottom w:val="0"/>
          <w:divBdr>
            <w:top w:val="none" w:sz="0" w:space="0" w:color="auto"/>
            <w:left w:val="none" w:sz="0" w:space="0" w:color="auto"/>
            <w:bottom w:val="none" w:sz="0" w:space="0" w:color="auto"/>
            <w:right w:val="none" w:sz="0" w:space="0" w:color="auto"/>
          </w:divBdr>
        </w:div>
        <w:div w:id="818228366">
          <w:marLeft w:val="640"/>
          <w:marRight w:val="0"/>
          <w:marTop w:val="0"/>
          <w:marBottom w:val="0"/>
          <w:divBdr>
            <w:top w:val="none" w:sz="0" w:space="0" w:color="auto"/>
            <w:left w:val="none" w:sz="0" w:space="0" w:color="auto"/>
            <w:bottom w:val="none" w:sz="0" w:space="0" w:color="auto"/>
            <w:right w:val="none" w:sz="0" w:space="0" w:color="auto"/>
          </w:divBdr>
        </w:div>
        <w:div w:id="1513497416">
          <w:marLeft w:val="640"/>
          <w:marRight w:val="0"/>
          <w:marTop w:val="0"/>
          <w:marBottom w:val="0"/>
          <w:divBdr>
            <w:top w:val="none" w:sz="0" w:space="0" w:color="auto"/>
            <w:left w:val="none" w:sz="0" w:space="0" w:color="auto"/>
            <w:bottom w:val="none" w:sz="0" w:space="0" w:color="auto"/>
            <w:right w:val="none" w:sz="0" w:space="0" w:color="auto"/>
          </w:divBdr>
        </w:div>
        <w:div w:id="1104494473">
          <w:marLeft w:val="640"/>
          <w:marRight w:val="0"/>
          <w:marTop w:val="0"/>
          <w:marBottom w:val="0"/>
          <w:divBdr>
            <w:top w:val="none" w:sz="0" w:space="0" w:color="auto"/>
            <w:left w:val="none" w:sz="0" w:space="0" w:color="auto"/>
            <w:bottom w:val="none" w:sz="0" w:space="0" w:color="auto"/>
            <w:right w:val="none" w:sz="0" w:space="0" w:color="auto"/>
          </w:divBdr>
        </w:div>
        <w:div w:id="1639070102">
          <w:marLeft w:val="640"/>
          <w:marRight w:val="0"/>
          <w:marTop w:val="0"/>
          <w:marBottom w:val="0"/>
          <w:divBdr>
            <w:top w:val="none" w:sz="0" w:space="0" w:color="auto"/>
            <w:left w:val="none" w:sz="0" w:space="0" w:color="auto"/>
            <w:bottom w:val="none" w:sz="0" w:space="0" w:color="auto"/>
            <w:right w:val="none" w:sz="0" w:space="0" w:color="auto"/>
          </w:divBdr>
        </w:div>
        <w:div w:id="2033457283">
          <w:marLeft w:val="640"/>
          <w:marRight w:val="0"/>
          <w:marTop w:val="0"/>
          <w:marBottom w:val="0"/>
          <w:divBdr>
            <w:top w:val="none" w:sz="0" w:space="0" w:color="auto"/>
            <w:left w:val="none" w:sz="0" w:space="0" w:color="auto"/>
            <w:bottom w:val="none" w:sz="0" w:space="0" w:color="auto"/>
            <w:right w:val="none" w:sz="0" w:space="0" w:color="auto"/>
          </w:divBdr>
        </w:div>
        <w:div w:id="545605545">
          <w:marLeft w:val="640"/>
          <w:marRight w:val="0"/>
          <w:marTop w:val="0"/>
          <w:marBottom w:val="0"/>
          <w:divBdr>
            <w:top w:val="none" w:sz="0" w:space="0" w:color="auto"/>
            <w:left w:val="none" w:sz="0" w:space="0" w:color="auto"/>
            <w:bottom w:val="none" w:sz="0" w:space="0" w:color="auto"/>
            <w:right w:val="none" w:sz="0" w:space="0" w:color="auto"/>
          </w:divBdr>
        </w:div>
        <w:div w:id="2067676817">
          <w:marLeft w:val="640"/>
          <w:marRight w:val="0"/>
          <w:marTop w:val="0"/>
          <w:marBottom w:val="0"/>
          <w:divBdr>
            <w:top w:val="none" w:sz="0" w:space="0" w:color="auto"/>
            <w:left w:val="none" w:sz="0" w:space="0" w:color="auto"/>
            <w:bottom w:val="none" w:sz="0" w:space="0" w:color="auto"/>
            <w:right w:val="none" w:sz="0" w:space="0" w:color="auto"/>
          </w:divBdr>
        </w:div>
        <w:div w:id="1752505735">
          <w:marLeft w:val="640"/>
          <w:marRight w:val="0"/>
          <w:marTop w:val="0"/>
          <w:marBottom w:val="0"/>
          <w:divBdr>
            <w:top w:val="none" w:sz="0" w:space="0" w:color="auto"/>
            <w:left w:val="none" w:sz="0" w:space="0" w:color="auto"/>
            <w:bottom w:val="none" w:sz="0" w:space="0" w:color="auto"/>
            <w:right w:val="none" w:sz="0" w:space="0" w:color="auto"/>
          </w:divBdr>
        </w:div>
        <w:div w:id="3023744">
          <w:marLeft w:val="640"/>
          <w:marRight w:val="0"/>
          <w:marTop w:val="0"/>
          <w:marBottom w:val="0"/>
          <w:divBdr>
            <w:top w:val="none" w:sz="0" w:space="0" w:color="auto"/>
            <w:left w:val="none" w:sz="0" w:space="0" w:color="auto"/>
            <w:bottom w:val="none" w:sz="0" w:space="0" w:color="auto"/>
            <w:right w:val="none" w:sz="0" w:space="0" w:color="auto"/>
          </w:divBdr>
        </w:div>
        <w:div w:id="421149841">
          <w:marLeft w:val="640"/>
          <w:marRight w:val="0"/>
          <w:marTop w:val="0"/>
          <w:marBottom w:val="0"/>
          <w:divBdr>
            <w:top w:val="none" w:sz="0" w:space="0" w:color="auto"/>
            <w:left w:val="none" w:sz="0" w:space="0" w:color="auto"/>
            <w:bottom w:val="none" w:sz="0" w:space="0" w:color="auto"/>
            <w:right w:val="none" w:sz="0" w:space="0" w:color="auto"/>
          </w:divBdr>
        </w:div>
        <w:div w:id="21905057">
          <w:marLeft w:val="640"/>
          <w:marRight w:val="0"/>
          <w:marTop w:val="0"/>
          <w:marBottom w:val="0"/>
          <w:divBdr>
            <w:top w:val="none" w:sz="0" w:space="0" w:color="auto"/>
            <w:left w:val="none" w:sz="0" w:space="0" w:color="auto"/>
            <w:bottom w:val="none" w:sz="0" w:space="0" w:color="auto"/>
            <w:right w:val="none" w:sz="0" w:space="0" w:color="auto"/>
          </w:divBdr>
        </w:div>
        <w:div w:id="1418281287">
          <w:marLeft w:val="640"/>
          <w:marRight w:val="0"/>
          <w:marTop w:val="0"/>
          <w:marBottom w:val="0"/>
          <w:divBdr>
            <w:top w:val="none" w:sz="0" w:space="0" w:color="auto"/>
            <w:left w:val="none" w:sz="0" w:space="0" w:color="auto"/>
            <w:bottom w:val="none" w:sz="0" w:space="0" w:color="auto"/>
            <w:right w:val="none" w:sz="0" w:space="0" w:color="auto"/>
          </w:divBdr>
        </w:div>
        <w:div w:id="2035962167">
          <w:marLeft w:val="640"/>
          <w:marRight w:val="0"/>
          <w:marTop w:val="0"/>
          <w:marBottom w:val="0"/>
          <w:divBdr>
            <w:top w:val="none" w:sz="0" w:space="0" w:color="auto"/>
            <w:left w:val="none" w:sz="0" w:space="0" w:color="auto"/>
            <w:bottom w:val="none" w:sz="0" w:space="0" w:color="auto"/>
            <w:right w:val="none" w:sz="0" w:space="0" w:color="auto"/>
          </w:divBdr>
        </w:div>
        <w:div w:id="778796251">
          <w:marLeft w:val="640"/>
          <w:marRight w:val="0"/>
          <w:marTop w:val="0"/>
          <w:marBottom w:val="0"/>
          <w:divBdr>
            <w:top w:val="none" w:sz="0" w:space="0" w:color="auto"/>
            <w:left w:val="none" w:sz="0" w:space="0" w:color="auto"/>
            <w:bottom w:val="none" w:sz="0" w:space="0" w:color="auto"/>
            <w:right w:val="none" w:sz="0" w:space="0" w:color="auto"/>
          </w:divBdr>
        </w:div>
        <w:div w:id="830172632">
          <w:marLeft w:val="640"/>
          <w:marRight w:val="0"/>
          <w:marTop w:val="0"/>
          <w:marBottom w:val="0"/>
          <w:divBdr>
            <w:top w:val="none" w:sz="0" w:space="0" w:color="auto"/>
            <w:left w:val="none" w:sz="0" w:space="0" w:color="auto"/>
            <w:bottom w:val="none" w:sz="0" w:space="0" w:color="auto"/>
            <w:right w:val="none" w:sz="0" w:space="0" w:color="auto"/>
          </w:divBdr>
        </w:div>
        <w:div w:id="908924049">
          <w:marLeft w:val="640"/>
          <w:marRight w:val="0"/>
          <w:marTop w:val="0"/>
          <w:marBottom w:val="0"/>
          <w:divBdr>
            <w:top w:val="none" w:sz="0" w:space="0" w:color="auto"/>
            <w:left w:val="none" w:sz="0" w:space="0" w:color="auto"/>
            <w:bottom w:val="none" w:sz="0" w:space="0" w:color="auto"/>
            <w:right w:val="none" w:sz="0" w:space="0" w:color="auto"/>
          </w:divBdr>
        </w:div>
        <w:div w:id="64382474">
          <w:marLeft w:val="640"/>
          <w:marRight w:val="0"/>
          <w:marTop w:val="0"/>
          <w:marBottom w:val="0"/>
          <w:divBdr>
            <w:top w:val="none" w:sz="0" w:space="0" w:color="auto"/>
            <w:left w:val="none" w:sz="0" w:space="0" w:color="auto"/>
            <w:bottom w:val="none" w:sz="0" w:space="0" w:color="auto"/>
            <w:right w:val="none" w:sz="0" w:space="0" w:color="auto"/>
          </w:divBdr>
        </w:div>
        <w:div w:id="1658454260">
          <w:marLeft w:val="640"/>
          <w:marRight w:val="0"/>
          <w:marTop w:val="0"/>
          <w:marBottom w:val="0"/>
          <w:divBdr>
            <w:top w:val="none" w:sz="0" w:space="0" w:color="auto"/>
            <w:left w:val="none" w:sz="0" w:space="0" w:color="auto"/>
            <w:bottom w:val="none" w:sz="0" w:space="0" w:color="auto"/>
            <w:right w:val="none" w:sz="0" w:space="0" w:color="auto"/>
          </w:divBdr>
        </w:div>
        <w:div w:id="1750497686">
          <w:marLeft w:val="640"/>
          <w:marRight w:val="0"/>
          <w:marTop w:val="0"/>
          <w:marBottom w:val="0"/>
          <w:divBdr>
            <w:top w:val="none" w:sz="0" w:space="0" w:color="auto"/>
            <w:left w:val="none" w:sz="0" w:space="0" w:color="auto"/>
            <w:bottom w:val="none" w:sz="0" w:space="0" w:color="auto"/>
            <w:right w:val="none" w:sz="0" w:space="0" w:color="auto"/>
          </w:divBdr>
        </w:div>
        <w:div w:id="838354180">
          <w:marLeft w:val="640"/>
          <w:marRight w:val="0"/>
          <w:marTop w:val="0"/>
          <w:marBottom w:val="0"/>
          <w:divBdr>
            <w:top w:val="none" w:sz="0" w:space="0" w:color="auto"/>
            <w:left w:val="none" w:sz="0" w:space="0" w:color="auto"/>
            <w:bottom w:val="none" w:sz="0" w:space="0" w:color="auto"/>
            <w:right w:val="none" w:sz="0" w:space="0" w:color="auto"/>
          </w:divBdr>
        </w:div>
        <w:div w:id="2117366445">
          <w:marLeft w:val="640"/>
          <w:marRight w:val="0"/>
          <w:marTop w:val="0"/>
          <w:marBottom w:val="0"/>
          <w:divBdr>
            <w:top w:val="none" w:sz="0" w:space="0" w:color="auto"/>
            <w:left w:val="none" w:sz="0" w:space="0" w:color="auto"/>
            <w:bottom w:val="none" w:sz="0" w:space="0" w:color="auto"/>
            <w:right w:val="none" w:sz="0" w:space="0" w:color="auto"/>
          </w:divBdr>
        </w:div>
        <w:div w:id="760226157">
          <w:marLeft w:val="640"/>
          <w:marRight w:val="0"/>
          <w:marTop w:val="0"/>
          <w:marBottom w:val="0"/>
          <w:divBdr>
            <w:top w:val="none" w:sz="0" w:space="0" w:color="auto"/>
            <w:left w:val="none" w:sz="0" w:space="0" w:color="auto"/>
            <w:bottom w:val="none" w:sz="0" w:space="0" w:color="auto"/>
            <w:right w:val="none" w:sz="0" w:space="0" w:color="auto"/>
          </w:divBdr>
        </w:div>
        <w:div w:id="1452288021">
          <w:marLeft w:val="640"/>
          <w:marRight w:val="0"/>
          <w:marTop w:val="0"/>
          <w:marBottom w:val="0"/>
          <w:divBdr>
            <w:top w:val="none" w:sz="0" w:space="0" w:color="auto"/>
            <w:left w:val="none" w:sz="0" w:space="0" w:color="auto"/>
            <w:bottom w:val="none" w:sz="0" w:space="0" w:color="auto"/>
            <w:right w:val="none" w:sz="0" w:space="0" w:color="auto"/>
          </w:divBdr>
        </w:div>
        <w:div w:id="937638372">
          <w:marLeft w:val="640"/>
          <w:marRight w:val="0"/>
          <w:marTop w:val="0"/>
          <w:marBottom w:val="0"/>
          <w:divBdr>
            <w:top w:val="none" w:sz="0" w:space="0" w:color="auto"/>
            <w:left w:val="none" w:sz="0" w:space="0" w:color="auto"/>
            <w:bottom w:val="none" w:sz="0" w:space="0" w:color="auto"/>
            <w:right w:val="none" w:sz="0" w:space="0" w:color="auto"/>
          </w:divBdr>
        </w:div>
        <w:div w:id="1869291012">
          <w:marLeft w:val="640"/>
          <w:marRight w:val="0"/>
          <w:marTop w:val="0"/>
          <w:marBottom w:val="0"/>
          <w:divBdr>
            <w:top w:val="none" w:sz="0" w:space="0" w:color="auto"/>
            <w:left w:val="none" w:sz="0" w:space="0" w:color="auto"/>
            <w:bottom w:val="none" w:sz="0" w:space="0" w:color="auto"/>
            <w:right w:val="none" w:sz="0" w:space="0" w:color="auto"/>
          </w:divBdr>
        </w:div>
        <w:div w:id="1100221808">
          <w:marLeft w:val="640"/>
          <w:marRight w:val="0"/>
          <w:marTop w:val="0"/>
          <w:marBottom w:val="0"/>
          <w:divBdr>
            <w:top w:val="none" w:sz="0" w:space="0" w:color="auto"/>
            <w:left w:val="none" w:sz="0" w:space="0" w:color="auto"/>
            <w:bottom w:val="none" w:sz="0" w:space="0" w:color="auto"/>
            <w:right w:val="none" w:sz="0" w:space="0" w:color="auto"/>
          </w:divBdr>
        </w:div>
        <w:div w:id="502014989">
          <w:marLeft w:val="640"/>
          <w:marRight w:val="0"/>
          <w:marTop w:val="0"/>
          <w:marBottom w:val="0"/>
          <w:divBdr>
            <w:top w:val="none" w:sz="0" w:space="0" w:color="auto"/>
            <w:left w:val="none" w:sz="0" w:space="0" w:color="auto"/>
            <w:bottom w:val="none" w:sz="0" w:space="0" w:color="auto"/>
            <w:right w:val="none" w:sz="0" w:space="0" w:color="auto"/>
          </w:divBdr>
        </w:div>
        <w:div w:id="219173767">
          <w:marLeft w:val="640"/>
          <w:marRight w:val="0"/>
          <w:marTop w:val="0"/>
          <w:marBottom w:val="0"/>
          <w:divBdr>
            <w:top w:val="none" w:sz="0" w:space="0" w:color="auto"/>
            <w:left w:val="none" w:sz="0" w:space="0" w:color="auto"/>
            <w:bottom w:val="none" w:sz="0" w:space="0" w:color="auto"/>
            <w:right w:val="none" w:sz="0" w:space="0" w:color="auto"/>
          </w:divBdr>
        </w:div>
        <w:div w:id="1339113705">
          <w:marLeft w:val="640"/>
          <w:marRight w:val="0"/>
          <w:marTop w:val="0"/>
          <w:marBottom w:val="0"/>
          <w:divBdr>
            <w:top w:val="none" w:sz="0" w:space="0" w:color="auto"/>
            <w:left w:val="none" w:sz="0" w:space="0" w:color="auto"/>
            <w:bottom w:val="none" w:sz="0" w:space="0" w:color="auto"/>
            <w:right w:val="none" w:sz="0" w:space="0" w:color="auto"/>
          </w:divBdr>
        </w:div>
        <w:div w:id="439838389">
          <w:marLeft w:val="640"/>
          <w:marRight w:val="0"/>
          <w:marTop w:val="0"/>
          <w:marBottom w:val="0"/>
          <w:divBdr>
            <w:top w:val="none" w:sz="0" w:space="0" w:color="auto"/>
            <w:left w:val="none" w:sz="0" w:space="0" w:color="auto"/>
            <w:bottom w:val="none" w:sz="0" w:space="0" w:color="auto"/>
            <w:right w:val="none" w:sz="0" w:space="0" w:color="auto"/>
          </w:divBdr>
        </w:div>
        <w:div w:id="1646087011">
          <w:marLeft w:val="640"/>
          <w:marRight w:val="0"/>
          <w:marTop w:val="0"/>
          <w:marBottom w:val="0"/>
          <w:divBdr>
            <w:top w:val="none" w:sz="0" w:space="0" w:color="auto"/>
            <w:left w:val="none" w:sz="0" w:space="0" w:color="auto"/>
            <w:bottom w:val="none" w:sz="0" w:space="0" w:color="auto"/>
            <w:right w:val="none" w:sz="0" w:space="0" w:color="auto"/>
          </w:divBdr>
        </w:div>
        <w:div w:id="1072040323">
          <w:marLeft w:val="640"/>
          <w:marRight w:val="0"/>
          <w:marTop w:val="0"/>
          <w:marBottom w:val="0"/>
          <w:divBdr>
            <w:top w:val="none" w:sz="0" w:space="0" w:color="auto"/>
            <w:left w:val="none" w:sz="0" w:space="0" w:color="auto"/>
            <w:bottom w:val="none" w:sz="0" w:space="0" w:color="auto"/>
            <w:right w:val="none" w:sz="0" w:space="0" w:color="auto"/>
          </w:divBdr>
        </w:div>
        <w:div w:id="1383334898">
          <w:marLeft w:val="640"/>
          <w:marRight w:val="0"/>
          <w:marTop w:val="0"/>
          <w:marBottom w:val="0"/>
          <w:divBdr>
            <w:top w:val="none" w:sz="0" w:space="0" w:color="auto"/>
            <w:left w:val="none" w:sz="0" w:space="0" w:color="auto"/>
            <w:bottom w:val="none" w:sz="0" w:space="0" w:color="auto"/>
            <w:right w:val="none" w:sz="0" w:space="0" w:color="auto"/>
          </w:divBdr>
        </w:div>
        <w:div w:id="306205946">
          <w:marLeft w:val="640"/>
          <w:marRight w:val="0"/>
          <w:marTop w:val="0"/>
          <w:marBottom w:val="0"/>
          <w:divBdr>
            <w:top w:val="none" w:sz="0" w:space="0" w:color="auto"/>
            <w:left w:val="none" w:sz="0" w:space="0" w:color="auto"/>
            <w:bottom w:val="none" w:sz="0" w:space="0" w:color="auto"/>
            <w:right w:val="none" w:sz="0" w:space="0" w:color="auto"/>
          </w:divBdr>
        </w:div>
        <w:div w:id="1899197211">
          <w:marLeft w:val="640"/>
          <w:marRight w:val="0"/>
          <w:marTop w:val="0"/>
          <w:marBottom w:val="0"/>
          <w:divBdr>
            <w:top w:val="none" w:sz="0" w:space="0" w:color="auto"/>
            <w:left w:val="none" w:sz="0" w:space="0" w:color="auto"/>
            <w:bottom w:val="none" w:sz="0" w:space="0" w:color="auto"/>
            <w:right w:val="none" w:sz="0" w:space="0" w:color="auto"/>
          </w:divBdr>
        </w:div>
        <w:div w:id="1843813691">
          <w:marLeft w:val="640"/>
          <w:marRight w:val="0"/>
          <w:marTop w:val="0"/>
          <w:marBottom w:val="0"/>
          <w:divBdr>
            <w:top w:val="none" w:sz="0" w:space="0" w:color="auto"/>
            <w:left w:val="none" w:sz="0" w:space="0" w:color="auto"/>
            <w:bottom w:val="none" w:sz="0" w:space="0" w:color="auto"/>
            <w:right w:val="none" w:sz="0" w:space="0" w:color="auto"/>
          </w:divBdr>
        </w:div>
        <w:div w:id="322010976">
          <w:marLeft w:val="640"/>
          <w:marRight w:val="0"/>
          <w:marTop w:val="0"/>
          <w:marBottom w:val="0"/>
          <w:divBdr>
            <w:top w:val="none" w:sz="0" w:space="0" w:color="auto"/>
            <w:left w:val="none" w:sz="0" w:space="0" w:color="auto"/>
            <w:bottom w:val="none" w:sz="0" w:space="0" w:color="auto"/>
            <w:right w:val="none" w:sz="0" w:space="0" w:color="auto"/>
          </w:divBdr>
        </w:div>
        <w:div w:id="1139760877">
          <w:marLeft w:val="640"/>
          <w:marRight w:val="0"/>
          <w:marTop w:val="0"/>
          <w:marBottom w:val="0"/>
          <w:divBdr>
            <w:top w:val="none" w:sz="0" w:space="0" w:color="auto"/>
            <w:left w:val="none" w:sz="0" w:space="0" w:color="auto"/>
            <w:bottom w:val="none" w:sz="0" w:space="0" w:color="auto"/>
            <w:right w:val="none" w:sz="0" w:space="0" w:color="auto"/>
          </w:divBdr>
        </w:div>
        <w:div w:id="1119372907">
          <w:marLeft w:val="640"/>
          <w:marRight w:val="0"/>
          <w:marTop w:val="0"/>
          <w:marBottom w:val="0"/>
          <w:divBdr>
            <w:top w:val="none" w:sz="0" w:space="0" w:color="auto"/>
            <w:left w:val="none" w:sz="0" w:space="0" w:color="auto"/>
            <w:bottom w:val="none" w:sz="0" w:space="0" w:color="auto"/>
            <w:right w:val="none" w:sz="0" w:space="0" w:color="auto"/>
          </w:divBdr>
        </w:div>
        <w:div w:id="1536960251">
          <w:marLeft w:val="640"/>
          <w:marRight w:val="0"/>
          <w:marTop w:val="0"/>
          <w:marBottom w:val="0"/>
          <w:divBdr>
            <w:top w:val="none" w:sz="0" w:space="0" w:color="auto"/>
            <w:left w:val="none" w:sz="0" w:space="0" w:color="auto"/>
            <w:bottom w:val="none" w:sz="0" w:space="0" w:color="auto"/>
            <w:right w:val="none" w:sz="0" w:space="0" w:color="auto"/>
          </w:divBdr>
        </w:div>
        <w:div w:id="1980920667">
          <w:marLeft w:val="640"/>
          <w:marRight w:val="0"/>
          <w:marTop w:val="0"/>
          <w:marBottom w:val="0"/>
          <w:divBdr>
            <w:top w:val="none" w:sz="0" w:space="0" w:color="auto"/>
            <w:left w:val="none" w:sz="0" w:space="0" w:color="auto"/>
            <w:bottom w:val="none" w:sz="0" w:space="0" w:color="auto"/>
            <w:right w:val="none" w:sz="0" w:space="0" w:color="auto"/>
          </w:divBdr>
        </w:div>
        <w:div w:id="1346397901">
          <w:marLeft w:val="640"/>
          <w:marRight w:val="0"/>
          <w:marTop w:val="0"/>
          <w:marBottom w:val="0"/>
          <w:divBdr>
            <w:top w:val="none" w:sz="0" w:space="0" w:color="auto"/>
            <w:left w:val="none" w:sz="0" w:space="0" w:color="auto"/>
            <w:bottom w:val="none" w:sz="0" w:space="0" w:color="auto"/>
            <w:right w:val="none" w:sz="0" w:space="0" w:color="auto"/>
          </w:divBdr>
        </w:div>
        <w:div w:id="1123110347">
          <w:marLeft w:val="640"/>
          <w:marRight w:val="0"/>
          <w:marTop w:val="0"/>
          <w:marBottom w:val="0"/>
          <w:divBdr>
            <w:top w:val="none" w:sz="0" w:space="0" w:color="auto"/>
            <w:left w:val="none" w:sz="0" w:space="0" w:color="auto"/>
            <w:bottom w:val="none" w:sz="0" w:space="0" w:color="auto"/>
            <w:right w:val="none" w:sz="0" w:space="0" w:color="auto"/>
          </w:divBdr>
        </w:div>
        <w:div w:id="1882934931">
          <w:marLeft w:val="640"/>
          <w:marRight w:val="0"/>
          <w:marTop w:val="0"/>
          <w:marBottom w:val="0"/>
          <w:divBdr>
            <w:top w:val="none" w:sz="0" w:space="0" w:color="auto"/>
            <w:left w:val="none" w:sz="0" w:space="0" w:color="auto"/>
            <w:bottom w:val="none" w:sz="0" w:space="0" w:color="auto"/>
            <w:right w:val="none" w:sz="0" w:space="0" w:color="auto"/>
          </w:divBdr>
        </w:div>
        <w:div w:id="622855750">
          <w:marLeft w:val="640"/>
          <w:marRight w:val="0"/>
          <w:marTop w:val="0"/>
          <w:marBottom w:val="0"/>
          <w:divBdr>
            <w:top w:val="none" w:sz="0" w:space="0" w:color="auto"/>
            <w:left w:val="none" w:sz="0" w:space="0" w:color="auto"/>
            <w:bottom w:val="none" w:sz="0" w:space="0" w:color="auto"/>
            <w:right w:val="none" w:sz="0" w:space="0" w:color="auto"/>
          </w:divBdr>
        </w:div>
        <w:div w:id="2057777889">
          <w:marLeft w:val="640"/>
          <w:marRight w:val="0"/>
          <w:marTop w:val="0"/>
          <w:marBottom w:val="0"/>
          <w:divBdr>
            <w:top w:val="none" w:sz="0" w:space="0" w:color="auto"/>
            <w:left w:val="none" w:sz="0" w:space="0" w:color="auto"/>
            <w:bottom w:val="none" w:sz="0" w:space="0" w:color="auto"/>
            <w:right w:val="none" w:sz="0" w:space="0" w:color="auto"/>
          </w:divBdr>
        </w:div>
        <w:div w:id="288318910">
          <w:marLeft w:val="640"/>
          <w:marRight w:val="0"/>
          <w:marTop w:val="0"/>
          <w:marBottom w:val="0"/>
          <w:divBdr>
            <w:top w:val="none" w:sz="0" w:space="0" w:color="auto"/>
            <w:left w:val="none" w:sz="0" w:space="0" w:color="auto"/>
            <w:bottom w:val="none" w:sz="0" w:space="0" w:color="auto"/>
            <w:right w:val="none" w:sz="0" w:space="0" w:color="auto"/>
          </w:divBdr>
        </w:div>
        <w:div w:id="205217981">
          <w:marLeft w:val="640"/>
          <w:marRight w:val="0"/>
          <w:marTop w:val="0"/>
          <w:marBottom w:val="0"/>
          <w:divBdr>
            <w:top w:val="none" w:sz="0" w:space="0" w:color="auto"/>
            <w:left w:val="none" w:sz="0" w:space="0" w:color="auto"/>
            <w:bottom w:val="none" w:sz="0" w:space="0" w:color="auto"/>
            <w:right w:val="none" w:sz="0" w:space="0" w:color="auto"/>
          </w:divBdr>
        </w:div>
        <w:div w:id="420371037">
          <w:marLeft w:val="640"/>
          <w:marRight w:val="0"/>
          <w:marTop w:val="0"/>
          <w:marBottom w:val="0"/>
          <w:divBdr>
            <w:top w:val="none" w:sz="0" w:space="0" w:color="auto"/>
            <w:left w:val="none" w:sz="0" w:space="0" w:color="auto"/>
            <w:bottom w:val="none" w:sz="0" w:space="0" w:color="auto"/>
            <w:right w:val="none" w:sz="0" w:space="0" w:color="auto"/>
          </w:divBdr>
        </w:div>
        <w:div w:id="1337998786">
          <w:marLeft w:val="640"/>
          <w:marRight w:val="0"/>
          <w:marTop w:val="0"/>
          <w:marBottom w:val="0"/>
          <w:divBdr>
            <w:top w:val="none" w:sz="0" w:space="0" w:color="auto"/>
            <w:left w:val="none" w:sz="0" w:space="0" w:color="auto"/>
            <w:bottom w:val="none" w:sz="0" w:space="0" w:color="auto"/>
            <w:right w:val="none" w:sz="0" w:space="0" w:color="auto"/>
          </w:divBdr>
        </w:div>
        <w:div w:id="1769959514">
          <w:marLeft w:val="640"/>
          <w:marRight w:val="0"/>
          <w:marTop w:val="0"/>
          <w:marBottom w:val="0"/>
          <w:divBdr>
            <w:top w:val="none" w:sz="0" w:space="0" w:color="auto"/>
            <w:left w:val="none" w:sz="0" w:space="0" w:color="auto"/>
            <w:bottom w:val="none" w:sz="0" w:space="0" w:color="auto"/>
            <w:right w:val="none" w:sz="0" w:space="0" w:color="auto"/>
          </w:divBdr>
        </w:div>
        <w:div w:id="408575005">
          <w:marLeft w:val="640"/>
          <w:marRight w:val="0"/>
          <w:marTop w:val="0"/>
          <w:marBottom w:val="0"/>
          <w:divBdr>
            <w:top w:val="none" w:sz="0" w:space="0" w:color="auto"/>
            <w:left w:val="none" w:sz="0" w:space="0" w:color="auto"/>
            <w:bottom w:val="none" w:sz="0" w:space="0" w:color="auto"/>
            <w:right w:val="none" w:sz="0" w:space="0" w:color="auto"/>
          </w:divBdr>
        </w:div>
        <w:div w:id="1211958961">
          <w:marLeft w:val="640"/>
          <w:marRight w:val="0"/>
          <w:marTop w:val="0"/>
          <w:marBottom w:val="0"/>
          <w:divBdr>
            <w:top w:val="none" w:sz="0" w:space="0" w:color="auto"/>
            <w:left w:val="none" w:sz="0" w:space="0" w:color="auto"/>
            <w:bottom w:val="none" w:sz="0" w:space="0" w:color="auto"/>
            <w:right w:val="none" w:sz="0" w:space="0" w:color="auto"/>
          </w:divBdr>
        </w:div>
        <w:div w:id="1956716164">
          <w:marLeft w:val="640"/>
          <w:marRight w:val="0"/>
          <w:marTop w:val="0"/>
          <w:marBottom w:val="0"/>
          <w:divBdr>
            <w:top w:val="none" w:sz="0" w:space="0" w:color="auto"/>
            <w:left w:val="none" w:sz="0" w:space="0" w:color="auto"/>
            <w:bottom w:val="none" w:sz="0" w:space="0" w:color="auto"/>
            <w:right w:val="none" w:sz="0" w:space="0" w:color="auto"/>
          </w:divBdr>
        </w:div>
        <w:div w:id="910389936">
          <w:marLeft w:val="640"/>
          <w:marRight w:val="0"/>
          <w:marTop w:val="0"/>
          <w:marBottom w:val="0"/>
          <w:divBdr>
            <w:top w:val="none" w:sz="0" w:space="0" w:color="auto"/>
            <w:left w:val="none" w:sz="0" w:space="0" w:color="auto"/>
            <w:bottom w:val="none" w:sz="0" w:space="0" w:color="auto"/>
            <w:right w:val="none" w:sz="0" w:space="0" w:color="auto"/>
          </w:divBdr>
        </w:div>
        <w:div w:id="297730795">
          <w:marLeft w:val="640"/>
          <w:marRight w:val="0"/>
          <w:marTop w:val="0"/>
          <w:marBottom w:val="0"/>
          <w:divBdr>
            <w:top w:val="none" w:sz="0" w:space="0" w:color="auto"/>
            <w:left w:val="none" w:sz="0" w:space="0" w:color="auto"/>
            <w:bottom w:val="none" w:sz="0" w:space="0" w:color="auto"/>
            <w:right w:val="none" w:sz="0" w:space="0" w:color="auto"/>
          </w:divBdr>
        </w:div>
        <w:div w:id="1915969965">
          <w:marLeft w:val="640"/>
          <w:marRight w:val="0"/>
          <w:marTop w:val="0"/>
          <w:marBottom w:val="0"/>
          <w:divBdr>
            <w:top w:val="none" w:sz="0" w:space="0" w:color="auto"/>
            <w:left w:val="none" w:sz="0" w:space="0" w:color="auto"/>
            <w:bottom w:val="none" w:sz="0" w:space="0" w:color="auto"/>
            <w:right w:val="none" w:sz="0" w:space="0" w:color="auto"/>
          </w:divBdr>
        </w:div>
        <w:div w:id="1600720014">
          <w:marLeft w:val="640"/>
          <w:marRight w:val="0"/>
          <w:marTop w:val="0"/>
          <w:marBottom w:val="0"/>
          <w:divBdr>
            <w:top w:val="none" w:sz="0" w:space="0" w:color="auto"/>
            <w:left w:val="none" w:sz="0" w:space="0" w:color="auto"/>
            <w:bottom w:val="none" w:sz="0" w:space="0" w:color="auto"/>
            <w:right w:val="none" w:sz="0" w:space="0" w:color="auto"/>
          </w:divBdr>
        </w:div>
        <w:div w:id="1500150094">
          <w:marLeft w:val="640"/>
          <w:marRight w:val="0"/>
          <w:marTop w:val="0"/>
          <w:marBottom w:val="0"/>
          <w:divBdr>
            <w:top w:val="none" w:sz="0" w:space="0" w:color="auto"/>
            <w:left w:val="none" w:sz="0" w:space="0" w:color="auto"/>
            <w:bottom w:val="none" w:sz="0" w:space="0" w:color="auto"/>
            <w:right w:val="none" w:sz="0" w:space="0" w:color="auto"/>
          </w:divBdr>
        </w:div>
        <w:div w:id="1009522901">
          <w:marLeft w:val="640"/>
          <w:marRight w:val="0"/>
          <w:marTop w:val="0"/>
          <w:marBottom w:val="0"/>
          <w:divBdr>
            <w:top w:val="none" w:sz="0" w:space="0" w:color="auto"/>
            <w:left w:val="none" w:sz="0" w:space="0" w:color="auto"/>
            <w:bottom w:val="none" w:sz="0" w:space="0" w:color="auto"/>
            <w:right w:val="none" w:sz="0" w:space="0" w:color="auto"/>
          </w:divBdr>
        </w:div>
        <w:div w:id="1863283667">
          <w:marLeft w:val="640"/>
          <w:marRight w:val="0"/>
          <w:marTop w:val="0"/>
          <w:marBottom w:val="0"/>
          <w:divBdr>
            <w:top w:val="none" w:sz="0" w:space="0" w:color="auto"/>
            <w:left w:val="none" w:sz="0" w:space="0" w:color="auto"/>
            <w:bottom w:val="none" w:sz="0" w:space="0" w:color="auto"/>
            <w:right w:val="none" w:sz="0" w:space="0" w:color="auto"/>
          </w:divBdr>
        </w:div>
        <w:div w:id="319771692">
          <w:marLeft w:val="640"/>
          <w:marRight w:val="0"/>
          <w:marTop w:val="0"/>
          <w:marBottom w:val="0"/>
          <w:divBdr>
            <w:top w:val="none" w:sz="0" w:space="0" w:color="auto"/>
            <w:left w:val="none" w:sz="0" w:space="0" w:color="auto"/>
            <w:bottom w:val="none" w:sz="0" w:space="0" w:color="auto"/>
            <w:right w:val="none" w:sz="0" w:space="0" w:color="auto"/>
          </w:divBdr>
        </w:div>
        <w:div w:id="313219398">
          <w:marLeft w:val="640"/>
          <w:marRight w:val="0"/>
          <w:marTop w:val="0"/>
          <w:marBottom w:val="0"/>
          <w:divBdr>
            <w:top w:val="none" w:sz="0" w:space="0" w:color="auto"/>
            <w:left w:val="none" w:sz="0" w:space="0" w:color="auto"/>
            <w:bottom w:val="none" w:sz="0" w:space="0" w:color="auto"/>
            <w:right w:val="none" w:sz="0" w:space="0" w:color="auto"/>
          </w:divBdr>
        </w:div>
        <w:div w:id="1555893501">
          <w:marLeft w:val="640"/>
          <w:marRight w:val="0"/>
          <w:marTop w:val="0"/>
          <w:marBottom w:val="0"/>
          <w:divBdr>
            <w:top w:val="none" w:sz="0" w:space="0" w:color="auto"/>
            <w:left w:val="none" w:sz="0" w:space="0" w:color="auto"/>
            <w:bottom w:val="none" w:sz="0" w:space="0" w:color="auto"/>
            <w:right w:val="none" w:sz="0" w:space="0" w:color="auto"/>
          </w:divBdr>
        </w:div>
        <w:div w:id="514661114">
          <w:marLeft w:val="640"/>
          <w:marRight w:val="0"/>
          <w:marTop w:val="0"/>
          <w:marBottom w:val="0"/>
          <w:divBdr>
            <w:top w:val="none" w:sz="0" w:space="0" w:color="auto"/>
            <w:left w:val="none" w:sz="0" w:space="0" w:color="auto"/>
            <w:bottom w:val="none" w:sz="0" w:space="0" w:color="auto"/>
            <w:right w:val="none" w:sz="0" w:space="0" w:color="auto"/>
          </w:divBdr>
        </w:div>
        <w:div w:id="959343280">
          <w:marLeft w:val="640"/>
          <w:marRight w:val="0"/>
          <w:marTop w:val="0"/>
          <w:marBottom w:val="0"/>
          <w:divBdr>
            <w:top w:val="none" w:sz="0" w:space="0" w:color="auto"/>
            <w:left w:val="none" w:sz="0" w:space="0" w:color="auto"/>
            <w:bottom w:val="none" w:sz="0" w:space="0" w:color="auto"/>
            <w:right w:val="none" w:sz="0" w:space="0" w:color="auto"/>
          </w:divBdr>
        </w:div>
        <w:div w:id="132260222">
          <w:marLeft w:val="640"/>
          <w:marRight w:val="0"/>
          <w:marTop w:val="0"/>
          <w:marBottom w:val="0"/>
          <w:divBdr>
            <w:top w:val="none" w:sz="0" w:space="0" w:color="auto"/>
            <w:left w:val="none" w:sz="0" w:space="0" w:color="auto"/>
            <w:bottom w:val="none" w:sz="0" w:space="0" w:color="auto"/>
            <w:right w:val="none" w:sz="0" w:space="0" w:color="auto"/>
          </w:divBdr>
        </w:div>
        <w:div w:id="1014260231">
          <w:marLeft w:val="640"/>
          <w:marRight w:val="0"/>
          <w:marTop w:val="0"/>
          <w:marBottom w:val="0"/>
          <w:divBdr>
            <w:top w:val="none" w:sz="0" w:space="0" w:color="auto"/>
            <w:left w:val="none" w:sz="0" w:space="0" w:color="auto"/>
            <w:bottom w:val="none" w:sz="0" w:space="0" w:color="auto"/>
            <w:right w:val="none" w:sz="0" w:space="0" w:color="auto"/>
          </w:divBdr>
        </w:div>
        <w:div w:id="443690116">
          <w:marLeft w:val="640"/>
          <w:marRight w:val="0"/>
          <w:marTop w:val="0"/>
          <w:marBottom w:val="0"/>
          <w:divBdr>
            <w:top w:val="none" w:sz="0" w:space="0" w:color="auto"/>
            <w:left w:val="none" w:sz="0" w:space="0" w:color="auto"/>
            <w:bottom w:val="none" w:sz="0" w:space="0" w:color="auto"/>
            <w:right w:val="none" w:sz="0" w:space="0" w:color="auto"/>
          </w:divBdr>
        </w:div>
        <w:div w:id="1270432743">
          <w:marLeft w:val="640"/>
          <w:marRight w:val="0"/>
          <w:marTop w:val="0"/>
          <w:marBottom w:val="0"/>
          <w:divBdr>
            <w:top w:val="none" w:sz="0" w:space="0" w:color="auto"/>
            <w:left w:val="none" w:sz="0" w:space="0" w:color="auto"/>
            <w:bottom w:val="none" w:sz="0" w:space="0" w:color="auto"/>
            <w:right w:val="none" w:sz="0" w:space="0" w:color="auto"/>
          </w:divBdr>
        </w:div>
        <w:div w:id="836847570">
          <w:marLeft w:val="640"/>
          <w:marRight w:val="0"/>
          <w:marTop w:val="0"/>
          <w:marBottom w:val="0"/>
          <w:divBdr>
            <w:top w:val="none" w:sz="0" w:space="0" w:color="auto"/>
            <w:left w:val="none" w:sz="0" w:space="0" w:color="auto"/>
            <w:bottom w:val="none" w:sz="0" w:space="0" w:color="auto"/>
            <w:right w:val="none" w:sz="0" w:space="0" w:color="auto"/>
          </w:divBdr>
        </w:div>
        <w:div w:id="676349905">
          <w:marLeft w:val="640"/>
          <w:marRight w:val="0"/>
          <w:marTop w:val="0"/>
          <w:marBottom w:val="0"/>
          <w:divBdr>
            <w:top w:val="none" w:sz="0" w:space="0" w:color="auto"/>
            <w:left w:val="none" w:sz="0" w:space="0" w:color="auto"/>
            <w:bottom w:val="none" w:sz="0" w:space="0" w:color="auto"/>
            <w:right w:val="none" w:sz="0" w:space="0" w:color="auto"/>
          </w:divBdr>
        </w:div>
        <w:div w:id="1813405872">
          <w:marLeft w:val="640"/>
          <w:marRight w:val="0"/>
          <w:marTop w:val="0"/>
          <w:marBottom w:val="0"/>
          <w:divBdr>
            <w:top w:val="none" w:sz="0" w:space="0" w:color="auto"/>
            <w:left w:val="none" w:sz="0" w:space="0" w:color="auto"/>
            <w:bottom w:val="none" w:sz="0" w:space="0" w:color="auto"/>
            <w:right w:val="none" w:sz="0" w:space="0" w:color="auto"/>
          </w:divBdr>
        </w:div>
        <w:div w:id="547491455">
          <w:marLeft w:val="640"/>
          <w:marRight w:val="0"/>
          <w:marTop w:val="0"/>
          <w:marBottom w:val="0"/>
          <w:divBdr>
            <w:top w:val="none" w:sz="0" w:space="0" w:color="auto"/>
            <w:left w:val="none" w:sz="0" w:space="0" w:color="auto"/>
            <w:bottom w:val="none" w:sz="0" w:space="0" w:color="auto"/>
            <w:right w:val="none" w:sz="0" w:space="0" w:color="auto"/>
          </w:divBdr>
        </w:div>
        <w:div w:id="1652560680">
          <w:marLeft w:val="640"/>
          <w:marRight w:val="0"/>
          <w:marTop w:val="0"/>
          <w:marBottom w:val="0"/>
          <w:divBdr>
            <w:top w:val="none" w:sz="0" w:space="0" w:color="auto"/>
            <w:left w:val="none" w:sz="0" w:space="0" w:color="auto"/>
            <w:bottom w:val="none" w:sz="0" w:space="0" w:color="auto"/>
            <w:right w:val="none" w:sz="0" w:space="0" w:color="auto"/>
          </w:divBdr>
        </w:div>
        <w:div w:id="257714725">
          <w:marLeft w:val="640"/>
          <w:marRight w:val="0"/>
          <w:marTop w:val="0"/>
          <w:marBottom w:val="0"/>
          <w:divBdr>
            <w:top w:val="none" w:sz="0" w:space="0" w:color="auto"/>
            <w:left w:val="none" w:sz="0" w:space="0" w:color="auto"/>
            <w:bottom w:val="none" w:sz="0" w:space="0" w:color="auto"/>
            <w:right w:val="none" w:sz="0" w:space="0" w:color="auto"/>
          </w:divBdr>
        </w:div>
        <w:div w:id="1240208782">
          <w:marLeft w:val="640"/>
          <w:marRight w:val="0"/>
          <w:marTop w:val="0"/>
          <w:marBottom w:val="0"/>
          <w:divBdr>
            <w:top w:val="none" w:sz="0" w:space="0" w:color="auto"/>
            <w:left w:val="none" w:sz="0" w:space="0" w:color="auto"/>
            <w:bottom w:val="none" w:sz="0" w:space="0" w:color="auto"/>
            <w:right w:val="none" w:sz="0" w:space="0" w:color="auto"/>
          </w:divBdr>
        </w:div>
        <w:div w:id="230695508">
          <w:marLeft w:val="640"/>
          <w:marRight w:val="0"/>
          <w:marTop w:val="0"/>
          <w:marBottom w:val="0"/>
          <w:divBdr>
            <w:top w:val="none" w:sz="0" w:space="0" w:color="auto"/>
            <w:left w:val="none" w:sz="0" w:space="0" w:color="auto"/>
            <w:bottom w:val="none" w:sz="0" w:space="0" w:color="auto"/>
            <w:right w:val="none" w:sz="0" w:space="0" w:color="auto"/>
          </w:divBdr>
        </w:div>
        <w:div w:id="817646409">
          <w:marLeft w:val="640"/>
          <w:marRight w:val="0"/>
          <w:marTop w:val="0"/>
          <w:marBottom w:val="0"/>
          <w:divBdr>
            <w:top w:val="none" w:sz="0" w:space="0" w:color="auto"/>
            <w:left w:val="none" w:sz="0" w:space="0" w:color="auto"/>
            <w:bottom w:val="none" w:sz="0" w:space="0" w:color="auto"/>
            <w:right w:val="none" w:sz="0" w:space="0" w:color="auto"/>
          </w:divBdr>
        </w:div>
        <w:div w:id="1923950684">
          <w:marLeft w:val="640"/>
          <w:marRight w:val="0"/>
          <w:marTop w:val="0"/>
          <w:marBottom w:val="0"/>
          <w:divBdr>
            <w:top w:val="none" w:sz="0" w:space="0" w:color="auto"/>
            <w:left w:val="none" w:sz="0" w:space="0" w:color="auto"/>
            <w:bottom w:val="none" w:sz="0" w:space="0" w:color="auto"/>
            <w:right w:val="none" w:sz="0" w:space="0" w:color="auto"/>
          </w:divBdr>
        </w:div>
        <w:div w:id="1352075039">
          <w:marLeft w:val="640"/>
          <w:marRight w:val="0"/>
          <w:marTop w:val="0"/>
          <w:marBottom w:val="0"/>
          <w:divBdr>
            <w:top w:val="none" w:sz="0" w:space="0" w:color="auto"/>
            <w:left w:val="none" w:sz="0" w:space="0" w:color="auto"/>
            <w:bottom w:val="none" w:sz="0" w:space="0" w:color="auto"/>
            <w:right w:val="none" w:sz="0" w:space="0" w:color="auto"/>
          </w:divBdr>
        </w:div>
        <w:div w:id="543718148">
          <w:marLeft w:val="640"/>
          <w:marRight w:val="0"/>
          <w:marTop w:val="0"/>
          <w:marBottom w:val="0"/>
          <w:divBdr>
            <w:top w:val="none" w:sz="0" w:space="0" w:color="auto"/>
            <w:left w:val="none" w:sz="0" w:space="0" w:color="auto"/>
            <w:bottom w:val="none" w:sz="0" w:space="0" w:color="auto"/>
            <w:right w:val="none" w:sz="0" w:space="0" w:color="auto"/>
          </w:divBdr>
        </w:div>
        <w:div w:id="1423255529">
          <w:marLeft w:val="640"/>
          <w:marRight w:val="0"/>
          <w:marTop w:val="0"/>
          <w:marBottom w:val="0"/>
          <w:divBdr>
            <w:top w:val="none" w:sz="0" w:space="0" w:color="auto"/>
            <w:left w:val="none" w:sz="0" w:space="0" w:color="auto"/>
            <w:bottom w:val="none" w:sz="0" w:space="0" w:color="auto"/>
            <w:right w:val="none" w:sz="0" w:space="0" w:color="auto"/>
          </w:divBdr>
        </w:div>
        <w:div w:id="2087603918">
          <w:marLeft w:val="640"/>
          <w:marRight w:val="0"/>
          <w:marTop w:val="0"/>
          <w:marBottom w:val="0"/>
          <w:divBdr>
            <w:top w:val="none" w:sz="0" w:space="0" w:color="auto"/>
            <w:left w:val="none" w:sz="0" w:space="0" w:color="auto"/>
            <w:bottom w:val="none" w:sz="0" w:space="0" w:color="auto"/>
            <w:right w:val="none" w:sz="0" w:space="0" w:color="auto"/>
          </w:divBdr>
        </w:div>
        <w:div w:id="1894343897">
          <w:marLeft w:val="640"/>
          <w:marRight w:val="0"/>
          <w:marTop w:val="0"/>
          <w:marBottom w:val="0"/>
          <w:divBdr>
            <w:top w:val="none" w:sz="0" w:space="0" w:color="auto"/>
            <w:left w:val="none" w:sz="0" w:space="0" w:color="auto"/>
            <w:bottom w:val="none" w:sz="0" w:space="0" w:color="auto"/>
            <w:right w:val="none" w:sz="0" w:space="0" w:color="auto"/>
          </w:divBdr>
        </w:div>
        <w:div w:id="1344938072">
          <w:marLeft w:val="640"/>
          <w:marRight w:val="0"/>
          <w:marTop w:val="0"/>
          <w:marBottom w:val="0"/>
          <w:divBdr>
            <w:top w:val="none" w:sz="0" w:space="0" w:color="auto"/>
            <w:left w:val="none" w:sz="0" w:space="0" w:color="auto"/>
            <w:bottom w:val="none" w:sz="0" w:space="0" w:color="auto"/>
            <w:right w:val="none" w:sz="0" w:space="0" w:color="auto"/>
          </w:divBdr>
        </w:div>
        <w:div w:id="484972936">
          <w:marLeft w:val="640"/>
          <w:marRight w:val="0"/>
          <w:marTop w:val="0"/>
          <w:marBottom w:val="0"/>
          <w:divBdr>
            <w:top w:val="none" w:sz="0" w:space="0" w:color="auto"/>
            <w:left w:val="none" w:sz="0" w:space="0" w:color="auto"/>
            <w:bottom w:val="none" w:sz="0" w:space="0" w:color="auto"/>
            <w:right w:val="none" w:sz="0" w:space="0" w:color="auto"/>
          </w:divBdr>
        </w:div>
        <w:div w:id="904878965">
          <w:marLeft w:val="640"/>
          <w:marRight w:val="0"/>
          <w:marTop w:val="0"/>
          <w:marBottom w:val="0"/>
          <w:divBdr>
            <w:top w:val="none" w:sz="0" w:space="0" w:color="auto"/>
            <w:left w:val="none" w:sz="0" w:space="0" w:color="auto"/>
            <w:bottom w:val="none" w:sz="0" w:space="0" w:color="auto"/>
            <w:right w:val="none" w:sz="0" w:space="0" w:color="auto"/>
          </w:divBdr>
        </w:div>
        <w:div w:id="574365201">
          <w:marLeft w:val="640"/>
          <w:marRight w:val="0"/>
          <w:marTop w:val="0"/>
          <w:marBottom w:val="0"/>
          <w:divBdr>
            <w:top w:val="none" w:sz="0" w:space="0" w:color="auto"/>
            <w:left w:val="none" w:sz="0" w:space="0" w:color="auto"/>
            <w:bottom w:val="none" w:sz="0" w:space="0" w:color="auto"/>
            <w:right w:val="none" w:sz="0" w:space="0" w:color="auto"/>
          </w:divBdr>
        </w:div>
        <w:div w:id="1958363660">
          <w:marLeft w:val="640"/>
          <w:marRight w:val="0"/>
          <w:marTop w:val="0"/>
          <w:marBottom w:val="0"/>
          <w:divBdr>
            <w:top w:val="none" w:sz="0" w:space="0" w:color="auto"/>
            <w:left w:val="none" w:sz="0" w:space="0" w:color="auto"/>
            <w:bottom w:val="none" w:sz="0" w:space="0" w:color="auto"/>
            <w:right w:val="none" w:sz="0" w:space="0" w:color="auto"/>
          </w:divBdr>
        </w:div>
        <w:div w:id="1002121738">
          <w:marLeft w:val="640"/>
          <w:marRight w:val="0"/>
          <w:marTop w:val="0"/>
          <w:marBottom w:val="0"/>
          <w:divBdr>
            <w:top w:val="none" w:sz="0" w:space="0" w:color="auto"/>
            <w:left w:val="none" w:sz="0" w:space="0" w:color="auto"/>
            <w:bottom w:val="none" w:sz="0" w:space="0" w:color="auto"/>
            <w:right w:val="none" w:sz="0" w:space="0" w:color="auto"/>
          </w:divBdr>
        </w:div>
        <w:div w:id="1481263696">
          <w:marLeft w:val="640"/>
          <w:marRight w:val="0"/>
          <w:marTop w:val="0"/>
          <w:marBottom w:val="0"/>
          <w:divBdr>
            <w:top w:val="none" w:sz="0" w:space="0" w:color="auto"/>
            <w:left w:val="none" w:sz="0" w:space="0" w:color="auto"/>
            <w:bottom w:val="none" w:sz="0" w:space="0" w:color="auto"/>
            <w:right w:val="none" w:sz="0" w:space="0" w:color="auto"/>
          </w:divBdr>
        </w:div>
        <w:div w:id="324673740">
          <w:marLeft w:val="640"/>
          <w:marRight w:val="0"/>
          <w:marTop w:val="0"/>
          <w:marBottom w:val="0"/>
          <w:divBdr>
            <w:top w:val="none" w:sz="0" w:space="0" w:color="auto"/>
            <w:left w:val="none" w:sz="0" w:space="0" w:color="auto"/>
            <w:bottom w:val="none" w:sz="0" w:space="0" w:color="auto"/>
            <w:right w:val="none" w:sz="0" w:space="0" w:color="auto"/>
          </w:divBdr>
        </w:div>
        <w:div w:id="1209995521">
          <w:marLeft w:val="640"/>
          <w:marRight w:val="0"/>
          <w:marTop w:val="0"/>
          <w:marBottom w:val="0"/>
          <w:divBdr>
            <w:top w:val="none" w:sz="0" w:space="0" w:color="auto"/>
            <w:left w:val="none" w:sz="0" w:space="0" w:color="auto"/>
            <w:bottom w:val="none" w:sz="0" w:space="0" w:color="auto"/>
            <w:right w:val="none" w:sz="0" w:space="0" w:color="auto"/>
          </w:divBdr>
        </w:div>
        <w:div w:id="34163394">
          <w:marLeft w:val="640"/>
          <w:marRight w:val="0"/>
          <w:marTop w:val="0"/>
          <w:marBottom w:val="0"/>
          <w:divBdr>
            <w:top w:val="none" w:sz="0" w:space="0" w:color="auto"/>
            <w:left w:val="none" w:sz="0" w:space="0" w:color="auto"/>
            <w:bottom w:val="none" w:sz="0" w:space="0" w:color="auto"/>
            <w:right w:val="none" w:sz="0" w:space="0" w:color="auto"/>
          </w:divBdr>
        </w:div>
        <w:div w:id="1111322522">
          <w:marLeft w:val="640"/>
          <w:marRight w:val="0"/>
          <w:marTop w:val="0"/>
          <w:marBottom w:val="0"/>
          <w:divBdr>
            <w:top w:val="none" w:sz="0" w:space="0" w:color="auto"/>
            <w:left w:val="none" w:sz="0" w:space="0" w:color="auto"/>
            <w:bottom w:val="none" w:sz="0" w:space="0" w:color="auto"/>
            <w:right w:val="none" w:sz="0" w:space="0" w:color="auto"/>
          </w:divBdr>
        </w:div>
        <w:div w:id="12417802">
          <w:marLeft w:val="640"/>
          <w:marRight w:val="0"/>
          <w:marTop w:val="0"/>
          <w:marBottom w:val="0"/>
          <w:divBdr>
            <w:top w:val="none" w:sz="0" w:space="0" w:color="auto"/>
            <w:left w:val="none" w:sz="0" w:space="0" w:color="auto"/>
            <w:bottom w:val="none" w:sz="0" w:space="0" w:color="auto"/>
            <w:right w:val="none" w:sz="0" w:space="0" w:color="auto"/>
          </w:divBdr>
        </w:div>
        <w:div w:id="315653193">
          <w:marLeft w:val="640"/>
          <w:marRight w:val="0"/>
          <w:marTop w:val="0"/>
          <w:marBottom w:val="0"/>
          <w:divBdr>
            <w:top w:val="none" w:sz="0" w:space="0" w:color="auto"/>
            <w:left w:val="none" w:sz="0" w:space="0" w:color="auto"/>
            <w:bottom w:val="none" w:sz="0" w:space="0" w:color="auto"/>
            <w:right w:val="none" w:sz="0" w:space="0" w:color="auto"/>
          </w:divBdr>
        </w:div>
        <w:div w:id="753866385">
          <w:marLeft w:val="640"/>
          <w:marRight w:val="0"/>
          <w:marTop w:val="0"/>
          <w:marBottom w:val="0"/>
          <w:divBdr>
            <w:top w:val="none" w:sz="0" w:space="0" w:color="auto"/>
            <w:left w:val="none" w:sz="0" w:space="0" w:color="auto"/>
            <w:bottom w:val="none" w:sz="0" w:space="0" w:color="auto"/>
            <w:right w:val="none" w:sz="0" w:space="0" w:color="auto"/>
          </w:divBdr>
        </w:div>
        <w:div w:id="775641488">
          <w:marLeft w:val="640"/>
          <w:marRight w:val="0"/>
          <w:marTop w:val="0"/>
          <w:marBottom w:val="0"/>
          <w:divBdr>
            <w:top w:val="none" w:sz="0" w:space="0" w:color="auto"/>
            <w:left w:val="none" w:sz="0" w:space="0" w:color="auto"/>
            <w:bottom w:val="none" w:sz="0" w:space="0" w:color="auto"/>
            <w:right w:val="none" w:sz="0" w:space="0" w:color="auto"/>
          </w:divBdr>
        </w:div>
        <w:div w:id="88670646">
          <w:marLeft w:val="640"/>
          <w:marRight w:val="0"/>
          <w:marTop w:val="0"/>
          <w:marBottom w:val="0"/>
          <w:divBdr>
            <w:top w:val="none" w:sz="0" w:space="0" w:color="auto"/>
            <w:left w:val="none" w:sz="0" w:space="0" w:color="auto"/>
            <w:bottom w:val="none" w:sz="0" w:space="0" w:color="auto"/>
            <w:right w:val="none" w:sz="0" w:space="0" w:color="auto"/>
          </w:divBdr>
        </w:div>
        <w:div w:id="1592011093">
          <w:marLeft w:val="640"/>
          <w:marRight w:val="0"/>
          <w:marTop w:val="0"/>
          <w:marBottom w:val="0"/>
          <w:divBdr>
            <w:top w:val="none" w:sz="0" w:space="0" w:color="auto"/>
            <w:left w:val="none" w:sz="0" w:space="0" w:color="auto"/>
            <w:bottom w:val="none" w:sz="0" w:space="0" w:color="auto"/>
            <w:right w:val="none" w:sz="0" w:space="0" w:color="auto"/>
          </w:divBdr>
        </w:div>
        <w:div w:id="773401514">
          <w:marLeft w:val="640"/>
          <w:marRight w:val="0"/>
          <w:marTop w:val="0"/>
          <w:marBottom w:val="0"/>
          <w:divBdr>
            <w:top w:val="none" w:sz="0" w:space="0" w:color="auto"/>
            <w:left w:val="none" w:sz="0" w:space="0" w:color="auto"/>
            <w:bottom w:val="none" w:sz="0" w:space="0" w:color="auto"/>
            <w:right w:val="none" w:sz="0" w:space="0" w:color="auto"/>
          </w:divBdr>
        </w:div>
        <w:div w:id="1433629900">
          <w:marLeft w:val="640"/>
          <w:marRight w:val="0"/>
          <w:marTop w:val="0"/>
          <w:marBottom w:val="0"/>
          <w:divBdr>
            <w:top w:val="none" w:sz="0" w:space="0" w:color="auto"/>
            <w:left w:val="none" w:sz="0" w:space="0" w:color="auto"/>
            <w:bottom w:val="none" w:sz="0" w:space="0" w:color="auto"/>
            <w:right w:val="none" w:sz="0" w:space="0" w:color="auto"/>
          </w:divBdr>
        </w:div>
        <w:div w:id="1558783071">
          <w:marLeft w:val="640"/>
          <w:marRight w:val="0"/>
          <w:marTop w:val="0"/>
          <w:marBottom w:val="0"/>
          <w:divBdr>
            <w:top w:val="none" w:sz="0" w:space="0" w:color="auto"/>
            <w:left w:val="none" w:sz="0" w:space="0" w:color="auto"/>
            <w:bottom w:val="none" w:sz="0" w:space="0" w:color="auto"/>
            <w:right w:val="none" w:sz="0" w:space="0" w:color="auto"/>
          </w:divBdr>
        </w:div>
        <w:div w:id="1517116365">
          <w:marLeft w:val="640"/>
          <w:marRight w:val="0"/>
          <w:marTop w:val="0"/>
          <w:marBottom w:val="0"/>
          <w:divBdr>
            <w:top w:val="none" w:sz="0" w:space="0" w:color="auto"/>
            <w:left w:val="none" w:sz="0" w:space="0" w:color="auto"/>
            <w:bottom w:val="none" w:sz="0" w:space="0" w:color="auto"/>
            <w:right w:val="none" w:sz="0" w:space="0" w:color="auto"/>
          </w:divBdr>
        </w:div>
        <w:div w:id="138158827">
          <w:marLeft w:val="640"/>
          <w:marRight w:val="0"/>
          <w:marTop w:val="0"/>
          <w:marBottom w:val="0"/>
          <w:divBdr>
            <w:top w:val="none" w:sz="0" w:space="0" w:color="auto"/>
            <w:left w:val="none" w:sz="0" w:space="0" w:color="auto"/>
            <w:bottom w:val="none" w:sz="0" w:space="0" w:color="auto"/>
            <w:right w:val="none" w:sz="0" w:space="0" w:color="auto"/>
          </w:divBdr>
        </w:div>
        <w:div w:id="913857714">
          <w:marLeft w:val="640"/>
          <w:marRight w:val="0"/>
          <w:marTop w:val="0"/>
          <w:marBottom w:val="0"/>
          <w:divBdr>
            <w:top w:val="none" w:sz="0" w:space="0" w:color="auto"/>
            <w:left w:val="none" w:sz="0" w:space="0" w:color="auto"/>
            <w:bottom w:val="none" w:sz="0" w:space="0" w:color="auto"/>
            <w:right w:val="none" w:sz="0" w:space="0" w:color="auto"/>
          </w:divBdr>
        </w:div>
        <w:div w:id="1797604023">
          <w:marLeft w:val="640"/>
          <w:marRight w:val="0"/>
          <w:marTop w:val="0"/>
          <w:marBottom w:val="0"/>
          <w:divBdr>
            <w:top w:val="none" w:sz="0" w:space="0" w:color="auto"/>
            <w:left w:val="none" w:sz="0" w:space="0" w:color="auto"/>
            <w:bottom w:val="none" w:sz="0" w:space="0" w:color="auto"/>
            <w:right w:val="none" w:sz="0" w:space="0" w:color="auto"/>
          </w:divBdr>
        </w:div>
        <w:div w:id="798840200">
          <w:marLeft w:val="640"/>
          <w:marRight w:val="0"/>
          <w:marTop w:val="0"/>
          <w:marBottom w:val="0"/>
          <w:divBdr>
            <w:top w:val="none" w:sz="0" w:space="0" w:color="auto"/>
            <w:left w:val="none" w:sz="0" w:space="0" w:color="auto"/>
            <w:bottom w:val="none" w:sz="0" w:space="0" w:color="auto"/>
            <w:right w:val="none" w:sz="0" w:space="0" w:color="auto"/>
          </w:divBdr>
        </w:div>
        <w:div w:id="1034423715">
          <w:marLeft w:val="640"/>
          <w:marRight w:val="0"/>
          <w:marTop w:val="0"/>
          <w:marBottom w:val="0"/>
          <w:divBdr>
            <w:top w:val="none" w:sz="0" w:space="0" w:color="auto"/>
            <w:left w:val="none" w:sz="0" w:space="0" w:color="auto"/>
            <w:bottom w:val="none" w:sz="0" w:space="0" w:color="auto"/>
            <w:right w:val="none" w:sz="0" w:space="0" w:color="auto"/>
          </w:divBdr>
        </w:div>
        <w:div w:id="1541700949">
          <w:marLeft w:val="640"/>
          <w:marRight w:val="0"/>
          <w:marTop w:val="0"/>
          <w:marBottom w:val="0"/>
          <w:divBdr>
            <w:top w:val="none" w:sz="0" w:space="0" w:color="auto"/>
            <w:left w:val="none" w:sz="0" w:space="0" w:color="auto"/>
            <w:bottom w:val="none" w:sz="0" w:space="0" w:color="auto"/>
            <w:right w:val="none" w:sz="0" w:space="0" w:color="auto"/>
          </w:divBdr>
        </w:div>
        <w:div w:id="194007890">
          <w:marLeft w:val="640"/>
          <w:marRight w:val="0"/>
          <w:marTop w:val="0"/>
          <w:marBottom w:val="0"/>
          <w:divBdr>
            <w:top w:val="none" w:sz="0" w:space="0" w:color="auto"/>
            <w:left w:val="none" w:sz="0" w:space="0" w:color="auto"/>
            <w:bottom w:val="none" w:sz="0" w:space="0" w:color="auto"/>
            <w:right w:val="none" w:sz="0" w:space="0" w:color="auto"/>
          </w:divBdr>
        </w:div>
      </w:divsChild>
    </w:div>
    <w:div w:id="1272977243">
      <w:bodyDiv w:val="1"/>
      <w:marLeft w:val="0"/>
      <w:marRight w:val="0"/>
      <w:marTop w:val="0"/>
      <w:marBottom w:val="0"/>
      <w:divBdr>
        <w:top w:val="none" w:sz="0" w:space="0" w:color="auto"/>
        <w:left w:val="none" w:sz="0" w:space="0" w:color="auto"/>
        <w:bottom w:val="none" w:sz="0" w:space="0" w:color="auto"/>
        <w:right w:val="none" w:sz="0" w:space="0" w:color="auto"/>
      </w:divBdr>
      <w:divsChild>
        <w:div w:id="1293823774">
          <w:marLeft w:val="640"/>
          <w:marRight w:val="0"/>
          <w:marTop w:val="0"/>
          <w:marBottom w:val="0"/>
          <w:divBdr>
            <w:top w:val="none" w:sz="0" w:space="0" w:color="auto"/>
            <w:left w:val="none" w:sz="0" w:space="0" w:color="auto"/>
            <w:bottom w:val="none" w:sz="0" w:space="0" w:color="auto"/>
            <w:right w:val="none" w:sz="0" w:space="0" w:color="auto"/>
          </w:divBdr>
        </w:div>
        <w:div w:id="1024599006">
          <w:marLeft w:val="640"/>
          <w:marRight w:val="0"/>
          <w:marTop w:val="0"/>
          <w:marBottom w:val="0"/>
          <w:divBdr>
            <w:top w:val="none" w:sz="0" w:space="0" w:color="auto"/>
            <w:left w:val="none" w:sz="0" w:space="0" w:color="auto"/>
            <w:bottom w:val="none" w:sz="0" w:space="0" w:color="auto"/>
            <w:right w:val="none" w:sz="0" w:space="0" w:color="auto"/>
          </w:divBdr>
        </w:div>
        <w:div w:id="1259408545">
          <w:marLeft w:val="640"/>
          <w:marRight w:val="0"/>
          <w:marTop w:val="0"/>
          <w:marBottom w:val="0"/>
          <w:divBdr>
            <w:top w:val="none" w:sz="0" w:space="0" w:color="auto"/>
            <w:left w:val="none" w:sz="0" w:space="0" w:color="auto"/>
            <w:bottom w:val="none" w:sz="0" w:space="0" w:color="auto"/>
            <w:right w:val="none" w:sz="0" w:space="0" w:color="auto"/>
          </w:divBdr>
        </w:div>
        <w:div w:id="1680815186">
          <w:marLeft w:val="640"/>
          <w:marRight w:val="0"/>
          <w:marTop w:val="0"/>
          <w:marBottom w:val="0"/>
          <w:divBdr>
            <w:top w:val="none" w:sz="0" w:space="0" w:color="auto"/>
            <w:left w:val="none" w:sz="0" w:space="0" w:color="auto"/>
            <w:bottom w:val="none" w:sz="0" w:space="0" w:color="auto"/>
            <w:right w:val="none" w:sz="0" w:space="0" w:color="auto"/>
          </w:divBdr>
        </w:div>
        <w:div w:id="723338351">
          <w:marLeft w:val="640"/>
          <w:marRight w:val="0"/>
          <w:marTop w:val="0"/>
          <w:marBottom w:val="0"/>
          <w:divBdr>
            <w:top w:val="none" w:sz="0" w:space="0" w:color="auto"/>
            <w:left w:val="none" w:sz="0" w:space="0" w:color="auto"/>
            <w:bottom w:val="none" w:sz="0" w:space="0" w:color="auto"/>
            <w:right w:val="none" w:sz="0" w:space="0" w:color="auto"/>
          </w:divBdr>
        </w:div>
        <w:div w:id="1917517941">
          <w:marLeft w:val="640"/>
          <w:marRight w:val="0"/>
          <w:marTop w:val="0"/>
          <w:marBottom w:val="0"/>
          <w:divBdr>
            <w:top w:val="none" w:sz="0" w:space="0" w:color="auto"/>
            <w:left w:val="none" w:sz="0" w:space="0" w:color="auto"/>
            <w:bottom w:val="none" w:sz="0" w:space="0" w:color="auto"/>
            <w:right w:val="none" w:sz="0" w:space="0" w:color="auto"/>
          </w:divBdr>
        </w:div>
        <w:div w:id="1082413603">
          <w:marLeft w:val="640"/>
          <w:marRight w:val="0"/>
          <w:marTop w:val="0"/>
          <w:marBottom w:val="0"/>
          <w:divBdr>
            <w:top w:val="none" w:sz="0" w:space="0" w:color="auto"/>
            <w:left w:val="none" w:sz="0" w:space="0" w:color="auto"/>
            <w:bottom w:val="none" w:sz="0" w:space="0" w:color="auto"/>
            <w:right w:val="none" w:sz="0" w:space="0" w:color="auto"/>
          </w:divBdr>
        </w:div>
        <w:div w:id="65224749">
          <w:marLeft w:val="640"/>
          <w:marRight w:val="0"/>
          <w:marTop w:val="0"/>
          <w:marBottom w:val="0"/>
          <w:divBdr>
            <w:top w:val="none" w:sz="0" w:space="0" w:color="auto"/>
            <w:left w:val="none" w:sz="0" w:space="0" w:color="auto"/>
            <w:bottom w:val="none" w:sz="0" w:space="0" w:color="auto"/>
            <w:right w:val="none" w:sz="0" w:space="0" w:color="auto"/>
          </w:divBdr>
        </w:div>
        <w:div w:id="668023971">
          <w:marLeft w:val="640"/>
          <w:marRight w:val="0"/>
          <w:marTop w:val="0"/>
          <w:marBottom w:val="0"/>
          <w:divBdr>
            <w:top w:val="none" w:sz="0" w:space="0" w:color="auto"/>
            <w:left w:val="none" w:sz="0" w:space="0" w:color="auto"/>
            <w:bottom w:val="none" w:sz="0" w:space="0" w:color="auto"/>
            <w:right w:val="none" w:sz="0" w:space="0" w:color="auto"/>
          </w:divBdr>
        </w:div>
        <w:div w:id="2004508278">
          <w:marLeft w:val="640"/>
          <w:marRight w:val="0"/>
          <w:marTop w:val="0"/>
          <w:marBottom w:val="0"/>
          <w:divBdr>
            <w:top w:val="none" w:sz="0" w:space="0" w:color="auto"/>
            <w:left w:val="none" w:sz="0" w:space="0" w:color="auto"/>
            <w:bottom w:val="none" w:sz="0" w:space="0" w:color="auto"/>
            <w:right w:val="none" w:sz="0" w:space="0" w:color="auto"/>
          </w:divBdr>
        </w:div>
        <w:div w:id="750809085">
          <w:marLeft w:val="640"/>
          <w:marRight w:val="0"/>
          <w:marTop w:val="0"/>
          <w:marBottom w:val="0"/>
          <w:divBdr>
            <w:top w:val="none" w:sz="0" w:space="0" w:color="auto"/>
            <w:left w:val="none" w:sz="0" w:space="0" w:color="auto"/>
            <w:bottom w:val="none" w:sz="0" w:space="0" w:color="auto"/>
            <w:right w:val="none" w:sz="0" w:space="0" w:color="auto"/>
          </w:divBdr>
        </w:div>
        <w:div w:id="835148120">
          <w:marLeft w:val="640"/>
          <w:marRight w:val="0"/>
          <w:marTop w:val="0"/>
          <w:marBottom w:val="0"/>
          <w:divBdr>
            <w:top w:val="none" w:sz="0" w:space="0" w:color="auto"/>
            <w:left w:val="none" w:sz="0" w:space="0" w:color="auto"/>
            <w:bottom w:val="none" w:sz="0" w:space="0" w:color="auto"/>
            <w:right w:val="none" w:sz="0" w:space="0" w:color="auto"/>
          </w:divBdr>
        </w:div>
        <w:div w:id="1860271429">
          <w:marLeft w:val="640"/>
          <w:marRight w:val="0"/>
          <w:marTop w:val="0"/>
          <w:marBottom w:val="0"/>
          <w:divBdr>
            <w:top w:val="none" w:sz="0" w:space="0" w:color="auto"/>
            <w:left w:val="none" w:sz="0" w:space="0" w:color="auto"/>
            <w:bottom w:val="none" w:sz="0" w:space="0" w:color="auto"/>
            <w:right w:val="none" w:sz="0" w:space="0" w:color="auto"/>
          </w:divBdr>
        </w:div>
        <w:div w:id="460197908">
          <w:marLeft w:val="640"/>
          <w:marRight w:val="0"/>
          <w:marTop w:val="0"/>
          <w:marBottom w:val="0"/>
          <w:divBdr>
            <w:top w:val="none" w:sz="0" w:space="0" w:color="auto"/>
            <w:left w:val="none" w:sz="0" w:space="0" w:color="auto"/>
            <w:bottom w:val="none" w:sz="0" w:space="0" w:color="auto"/>
            <w:right w:val="none" w:sz="0" w:space="0" w:color="auto"/>
          </w:divBdr>
        </w:div>
        <w:div w:id="302931714">
          <w:marLeft w:val="640"/>
          <w:marRight w:val="0"/>
          <w:marTop w:val="0"/>
          <w:marBottom w:val="0"/>
          <w:divBdr>
            <w:top w:val="none" w:sz="0" w:space="0" w:color="auto"/>
            <w:left w:val="none" w:sz="0" w:space="0" w:color="auto"/>
            <w:bottom w:val="none" w:sz="0" w:space="0" w:color="auto"/>
            <w:right w:val="none" w:sz="0" w:space="0" w:color="auto"/>
          </w:divBdr>
        </w:div>
        <w:div w:id="1309244517">
          <w:marLeft w:val="640"/>
          <w:marRight w:val="0"/>
          <w:marTop w:val="0"/>
          <w:marBottom w:val="0"/>
          <w:divBdr>
            <w:top w:val="none" w:sz="0" w:space="0" w:color="auto"/>
            <w:left w:val="none" w:sz="0" w:space="0" w:color="auto"/>
            <w:bottom w:val="none" w:sz="0" w:space="0" w:color="auto"/>
            <w:right w:val="none" w:sz="0" w:space="0" w:color="auto"/>
          </w:divBdr>
        </w:div>
        <w:div w:id="1309238416">
          <w:marLeft w:val="640"/>
          <w:marRight w:val="0"/>
          <w:marTop w:val="0"/>
          <w:marBottom w:val="0"/>
          <w:divBdr>
            <w:top w:val="none" w:sz="0" w:space="0" w:color="auto"/>
            <w:left w:val="none" w:sz="0" w:space="0" w:color="auto"/>
            <w:bottom w:val="none" w:sz="0" w:space="0" w:color="auto"/>
            <w:right w:val="none" w:sz="0" w:space="0" w:color="auto"/>
          </w:divBdr>
        </w:div>
        <w:div w:id="1156335938">
          <w:marLeft w:val="640"/>
          <w:marRight w:val="0"/>
          <w:marTop w:val="0"/>
          <w:marBottom w:val="0"/>
          <w:divBdr>
            <w:top w:val="none" w:sz="0" w:space="0" w:color="auto"/>
            <w:left w:val="none" w:sz="0" w:space="0" w:color="auto"/>
            <w:bottom w:val="none" w:sz="0" w:space="0" w:color="auto"/>
            <w:right w:val="none" w:sz="0" w:space="0" w:color="auto"/>
          </w:divBdr>
        </w:div>
        <w:div w:id="755130466">
          <w:marLeft w:val="640"/>
          <w:marRight w:val="0"/>
          <w:marTop w:val="0"/>
          <w:marBottom w:val="0"/>
          <w:divBdr>
            <w:top w:val="none" w:sz="0" w:space="0" w:color="auto"/>
            <w:left w:val="none" w:sz="0" w:space="0" w:color="auto"/>
            <w:bottom w:val="none" w:sz="0" w:space="0" w:color="auto"/>
            <w:right w:val="none" w:sz="0" w:space="0" w:color="auto"/>
          </w:divBdr>
        </w:div>
        <w:div w:id="1276449053">
          <w:marLeft w:val="640"/>
          <w:marRight w:val="0"/>
          <w:marTop w:val="0"/>
          <w:marBottom w:val="0"/>
          <w:divBdr>
            <w:top w:val="none" w:sz="0" w:space="0" w:color="auto"/>
            <w:left w:val="none" w:sz="0" w:space="0" w:color="auto"/>
            <w:bottom w:val="none" w:sz="0" w:space="0" w:color="auto"/>
            <w:right w:val="none" w:sz="0" w:space="0" w:color="auto"/>
          </w:divBdr>
        </w:div>
        <w:div w:id="1598321425">
          <w:marLeft w:val="640"/>
          <w:marRight w:val="0"/>
          <w:marTop w:val="0"/>
          <w:marBottom w:val="0"/>
          <w:divBdr>
            <w:top w:val="none" w:sz="0" w:space="0" w:color="auto"/>
            <w:left w:val="none" w:sz="0" w:space="0" w:color="auto"/>
            <w:bottom w:val="none" w:sz="0" w:space="0" w:color="auto"/>
            <w:right w:val="none" w:sz="0" w:space="0" w:color="auto"/>
          </w:divBdr>
        </w:div>
        <w:div w:id="1435201583">
          <w:marLeft w:val="640"/>
          <w:marRight w:val="0"/>
          <w:marTop w:val="0"/>
          <w:marBottom w:val="0"/>
          <w:divBdr>
            <w:top w:val="none" w:sz="0" w:space="0" w:color="auto"/>
            <w:left w:val="none" w:sz="0" w:space="0" w:color="auto"/>
            <w:bottom w:val="none" w:sz="0" w:space="0" w:color="auto"/>
            <w:right w:val="none" w:sz="0" w:space="0" w:color="auto"/>
          </w:divBdr>
        </w:div>
        <w:div w:id="2118866329">
          <w:marLeft w:val="640"/>
          <w:marRight w:val="0"/>
          <w:marTop w:val="0"/>
          <w:marBottom w:val="0"/>
          <w:divBdr>
            <w:top w:val="none" w:sz="0" w:space="0" w:color="auto"/>
            <w:left w:val="none" w:sz="0" w:space="0" w:color="auto"/>
            <w:bottom w:val="none" w:sz="0" w:space="0" w:color="auto"/>
            <w:right w:val="none" w:sz="0" w:space="0" w:color="auto"/>
          </w:divBdr>
        </w:div>
        <w:div w:id="695082924">
          <w:marLeft w:val="640"/>
          <w:marRight w:val="0"/>
          <w:marTop w:val="0"/>
          <w:marBottom w:val="0"/>
          <w:divBdr>
            <w:top w:val="none" w:sz="0" w:space="0" w:color="auto"/>
            <w:left w:val="none" w:sz="0" w:space="0" w:color="auto"/>
            <w:bottom w:val="none" w:sz="0" w:space="0" w:color="auto"/>
            <w:right w:val="none" w:sz="0" w:space="0" w:color="auto"/>
          </w:divBdr>
        </w:div>
        <w:div w:id="897939628">
          <w:marLeft w:val="640"/>
          <w:marRight w:val="0"/>
          <w:marTop w:val="0"/>
          <w:marBottom w:val="0"/>
          <w:divBdr>
            <w:top w:val="none" w:sz="0" w:space="0" w:color="auto"/>
            <w:left w:val="none" w:sz="0" w:space="0" w:color="auto"/>
            <w:bottom w:val="none" w:sz="0" w:space="0" w:color="auto"/>
            <w:right w:val="none" w:sz="0" w:space="0" w:color="auto"/>
          </w:divBdr>
        </w:div>
        <w:div w:id="846286688">
          <w:marLeft w:val="640"/>
          <w:marRight w:val="0"/>
          <w:marTop w:val="0"/>
          <w:marBottom w:val="0"/>
          <w:divBdr>
            <w:top w:val="none" w:sz="0" w:space="0" w:color="auto"/>
            <w:left w:val="none" w:sz="0" w:space="0" w:color="auto"/>
            <w:bottom w:val="none" w:sz="0" w:space="0" w:color="auto"/>
            <w:right w:val="none" w:sz="0" w:space="0" w:color="auto"/>
          </w:divBdr>
        </w:div>
        <w:div w:id="1839419727">
          <w:marLeft w:val="640"/>
          <w:marRight w:val="0"/>
          <w:marTop w:val="0"/>
          <w:marBottom w:val="0"/>
          <w:divBdr>
            <w:top w:val="none" w:sz="0" w:space="0" w:color="auto"/>
            <w:left w:val="none" w:sz="0" w:space="0" w:color="auto"/>
            <w:bottom w:val="none" w:sz="0" w:space="0" w:color="auto"/>
            <w:right w:val="none" w:sz="0" w:space="0" w:color="auto"/>
          </w:divBdr>
        </w:div>
        <w:div w:id="1721048419">
          <w:marLeft w:val="640"/>
          <w:marRight w:val="0"/>
          <w:marTop w:val="0"/>
          <w:marBottom w:val="0"/>
          <w:divBdr>
            <w:top w:val="none" w:sz="0" w:space="0" w:color="auto"/>
            <w:left w:val="none" w:sz="0" w:space="0" w:color="auto"/>
            <w:bottom w:val="none" w:sz="0" w:space="0" w:color="auto"/>
            <w:right w:val="none" w:sz="0" w:space="0" w:color="auto"/>
          </w:divBdr>
        </w:div>
        <w:div w:id="1956595976">
          <w:marLeft w:val="640"/>
          <w:marRight w:val="0"/>
          <w:marTop w:val="0"/>
          <w:marBottom w:val="0"/>
          <w:divBdr>
            <w:top w:val="none" w:sz="0" w:space="0" w:color="auto"/>
            <w:left w:val="none" w:sz="0" w:space="0" w:color="auto"/>
            <w:bottom w:val="none" w:sz="0" w:space="0" w:color="auto"/>
            <w:right w:val="none" w:sz="0" w:space="0" w:color="auto"/>
          </w:divBdr>
        </w:div>
        <w:div w:id="967053264">
          <w:marLeft w:val="640"/>
          <w:marRight w:val="0"/>
          <w:marTop w:val="0"/>
          <w:marBottom w:val="0"/>
          <w:divBdr>
            <w:top w:val="none" w:sz="0" w:space="0" w:color="auto"/>
            <w:left w:val="none" w:sz="0" w:space="0" w:color="auto"/>
            <w:bottom w:val="none" w:sz="0" w:space="0" w:color="auto"/>
            <w:right w:val="none" w:sz="0" w:space="0" w:color="auto"/>
          </w:divBdr>
        </w:div>
        <w:div w:id="857281311">
          <w:marLeft w:val="640"/>
          <w:marRight w:val="0"/>
          <w:marTop w:val="0"/>
          <w:marBottom w:val="0"/>
          <w:divBdr>
            <w:top w:val="none" w:sz="0" w:space="0" w:color="auto"/>
            <w:left w:val="none" w:sz="0" w:space="0" w:color="auto"/>
            <w:bottom w:val="none" w:sz="0" w:space="0" w:color="auto"/>
            <w:right w:val="none" w:sz="0" w:space="0" w:color="auto"/>
          </w:divBdr>
        </w:div>
        <w:div w:id="1349330753">
          <w:marLeft w:val="640"/>
          <w:marRight w:val="0"/>
          <w:marTop w:val="0"/>
          <w:marBottom w:val="0"/>
          <w:divBdr>
            <w:top w:val="none" w:sz="0" w:space="0" w:color="auto"/>
            <w:left w:val="none" w:sz="0" w:space="0" w:color="auto"/>
            <w:bottom w:val="none" w:sz="0" w:space="0" w:color="auto"/>
            <w:right w:val="none" w:sz="0" w:space="0" w:color="auto"/>
          </w:divBdr>
        </w:div>
        <w:div w:id="2127265781">
          <w:marLeft w:val="640"/>
          <w:marRight w:val="0"/>
          <w:marTop w:val="0"/>
          <w:marBottom w:val="0"/>
          <w:divBdr>
            <w:top w:val="none" w:sz="0" w:space="0" w:color="auto"/>
            <w:left w:val="none" w:sz="0" w:space="0" w:color="auto"/>
            <w:bottom w:val="none" w:sz="0" w:space="0" w:color="auto"/>
            <w:right w:val="none" w:sz="0" w:space="0" w:color="auto"/>
          </w:divBdr>
        </w:div>
        <w:div w:id="1126780614">
          <w:marLeft w:val="640"/>
          <w:marRight w:val="0"/>
          <w:marTop w:val="0"/>
          <w:marBottom w:val="0"/>
          <w:divBdr>
            <w:top w:val="none" w:sz="0" w:space="0" w:color="auto"/>
            <w:left w:val="none" w:sz="0" w:space="0" w:color="auto"/>
            <w:bottom w:val="none" w:sz="0" w:space="0" w:color="auto"/>
            <w:right w:val="none" w:sz="0" w:space="0" w:color="auto"/>
          </w:divBdr>
        </w:div>
        <w:div w:id="1144813311">
          <w:marLeft w:val="640"/>
          <w:marRight w:val="0"/>
          <w:marTop w:val="0"/>
          <w:marBottom w:val="0"/>
          <w:divBdr>
            <w:top w:val="none" w:sz="0" w:space="0" w:color="auto"/>
            <w:left w:val="none" w:sz="0" w:space="0" w:color="auto"/>
            <w:bottom w:val="none" w:sz="0" w:space="0" w:color="auto"/>
            <w:right w:val="none" w:sz="0" w:space="0" w:color="auto"/>
          </w:divBdr>
        </w:div>
        <w:div w:id="1091198789">
          <w:marLeft w:val="640"/>
          <w:marRight w:val="0"/>
          <w:marTop w:val="0"/>
          <w:marBottom w:val="0"/>
          <w:divBdr>
            <w:top w:val="none" w:sz="0" w:space="0" w:color="auto"/>
            <w:left w:val="none" w:sz="0" w:space="0" w:color="auto"/>
            <w:bottom w:val="none" w:sz="0" w:space="0" w:color="auto"/>
            <w:right w:val="none" w:sz="0" w:space="0" w:color="auto"/>
          </w:divBdr>
        </w:div>
        <w:div w:id="491334427">
          <w:marLeft w:val="640"/>
          <w:marRight w:val="0"/>
          <w:marTop w:val="0"/>
          <w:marBottom w:val="0"/>
          <w:divBdr>
            <w:top w:val="none" w:sz="0" w:space="0" w:color="auto"/>
            <w:left w:val="none" w:sz="0" w:space="0" w:color="auto"/>
            <w:bottom w:val="none" w:sz="0" w:space="0" w:color="auto"/>
            <w:right w:val="none" w:sz="0" w:space="0" w:color="auto"/>
          </w:divBdr>
        </w:div>
        <w:div w:id="1935163743">
          <w:marLeft w:val="640"/>
          <w:marRight w:val="0"/>
          <w:marTop w:val="0"/>
          <w:marBottom w:val="0"/>
          <w:divBdr>
            <w:top w:val="none" w:sz="0" w:space="0" w:color="auto"/>
            <w:left w:val="none" w:sz="0" w:space="0" w:color="auto"/>
            <w:bottom w:val="none" w:sz="0" w:space="0" w:color="auto"/>
            <w:right w:val="none" w:sz="0" w:space="0" w:color="auto"/>
          </w:divBdr>
        </w:div>
        <w:div w:id="1104107532">
          <w:marLeft w:val="640"/>
          <w:marRight w:val="0"/>
          <w:marTop w:val="0"/>
          <w:marBottom w:val="0"/>
          <w:divBdr>
            <w:top w:val="none" w:sz="0" w:space="0" w:color="auto"/>
            <w:left w:val="none" w:sz="0" w:space="0" w:color="auto"/>
            <w:bottom w:val="none" w:sz="0" w:space="0" w:color="auto"/>
            <w:right w:val="none" w:sz="0" w:space="0" w:color="auto"/>
          </w:divBdr>
        </w:div>
        <w:div w:id="1733427551">
          <w:marLeft w:val="640"/>
          <w:marRight w:val="0"/>
          <w:marTop w:val="0"/>
          <w:marBottom w:val="0"/>
          <w:divBdr>
            <w:top w:val="none" w:sz="0" w:space="0" w:color="auto"/>
            <w:left w:val="none" w:sz="0" w:space="0" w:color="auto"/>
            <w:bottom w:val="none" w:sz="0" w:space="0" w:color="auto"/>
            <w:right w:val="none" w:sz="0" w:space="0" w:color="auto"/>
          </w:divBdr>
        </w:div>
        <w:div w:id="522745658">
          <w:marLeft w:val="640"/>
          <w:marRight w:val="0"/>
          <w:marTop w:val="0"/>
          <w:marBottom w:val="0"/>
          <w:divBdr>
            <w:top w:val="none" w:sz="0" w:space="0" w:color="auto"/>
            <w:left w:val="none" w:sz="0" w:space="0" w:color="auto"/>
            <w:bottom w:val="none" w:sz="0" w:space="0" w:color="auto"/>
            <w:right w:val="none" w:sz="0" w:space="0" w:color="auto"/>
          </w:divBdr>
        </w:div>
        <w:div w:id="1645312804">
          <w:marLeft w:val="640"/>
          <w:marRight w:val="0"/>
          <w:marTop w:val="0"/>
          <w:marBottom w:val="0"/>
          <w:divBdr>
            <w:top w:val="none" w:sz="0" w:space="0" w:color="auto"/>
            <w:left w:val="none" w:sz="0" w:space="0" w:color="auto"/>
            <w:bottom w:val="none" w:sz="0" w:space="0" w:color="auto"/>
            <w:right w:val="none" w:sz="0" w:space="0" w:color="auto"/>
          </w:divBdr>
        </w:div>
        <w:div w:id="504711299">
          <w:marLeft w:val="640"/>
          <w:marRight w:val="0"/>
          <w:marTop w:val="0"/>
          <w:marBottom w:val="0"/>
          <w:divBdr>
            <w:top w:val="none" w:sz="0" w:space="0" w:color="auto"/>
            <w:left w:val="none" w:sz="0" w:space="0" w:color="auto"/>
            <w:bottom w:val="none" w:sz="0" w:space="0" w:color="auto"/>
            <w:right w:val="none" w:sz="0" w:space="0" w:color="auto"/>
          </w:divBdr>
        </w:div>
        <w:div w:id="1129519868">
          <w:marLeft w:val="640"/>
          <w:marRight w:val="0"/>
          <w:marTop w:val="0"/>
          <w:marBottom w:val="0"/>
          <w:divBdr>
            <w:top w:val="none" w:sz="0" w:space="0" w:color="auto"/>
            <w:left w:val="none" w:sz="0" w:space="0" w:color="auto"/>
            <w:bottom w:val="none" w:sz="0" w:space="0" w:color="auto"/>
            <w:right w:val="none" w:sz="0" w:space="0" w:color="auto"/>
          </w:divBdr>
        </w:div>
        <w:div w:id="387068967">
          <w:marLeft w:val="640"/>
          <w:marRight w:val="0"/>
          <w:marTop w:val="0"/>
          <w:marBottom w:val="0"/>
          <w:divBdr>
            <w:top w:val="none" w:sz="0" w:space="0" w:color="auto"/>
            <w:left w:val="none" w:sz="0" w:space="0" w:color="auto"/>
            <w:bottom w:val="none" w:sz="0" w:space="0" w:color="auto"/>
            <w:right w:val="none" w:sz="0" w:space="0" w:color="auto"/>
          </w:divBdr>
        </w:div>
        <w:div w:id="1193500211">
          <w:marLeft w:val="640"/>
          <w:marRight w:val="0"/>
          <w:marTop w:val="0"/>
          <w:marBottom w:val="0"/>
          <w:divBdr>
            <w:top w:val="none" w:sz="0" w:space="0" w:color="auto"/>
            <w:left w:val="none" w:sz="0" w:space="0" w:color="auto"/>
            <w:bottom w:val="none" w:sz="0" w:space="0" w:color="auto"/>
            <w:right w:val="none" w:sz="0" w:space="0" w:color="auto"/>
          </w:divBdr>
        </w:div>
        <w:div w:id="1182814697">
          <w:marLeft w:val="640"/>
          <w:marRight w:val="0"/>
          <w:marTop w:val="0"/>
          <w:marBottom w:val="0"/>
          <w:divBdr>
            <w:top w:val="none" w:sz="0" w:space="0" w:color="auto"/>
            <w:left w:val="none" w:sz="0" w:space="0" w:color="auto"/>
            <w:bottom w:val="none" w:sz="0" w:space="0" w:color="auto"/>
            <w:right w:val="none" w:sz="0" w:space="0" w:color="auto"/>
          </w:divBdr>
        </w:div>
        <w:div w:id="2062777438">
          <w:marLeft w:val="640"/>
          <w:marRight w:val="0"/>
          <w:marTop w:val="0"/>
          <w:marBottom w:val="0"/>
          <w:divBdr>
            <w:top w:val="none" w:sz="0" w:space="0" w:color="auto"/>
            <w:left w:val="none" w:sz="0" w:space="0" w:color="auto"/>
            <w:bottom w:val="none" w:sz="0" w:space="0" w:color="auto"/>
            <w:right w:val="none" w:sz="0" w:space="0" w:color="auto"/>
          </w:divBdr>
        </w:div>
        <w:div w:id="409886056">
          <w:marLeft w:val="640"/>
          <w:marRight w:val="0"/>
          <w:marTop w:val="0"/>
          <w:marBottom w:val="0"/>
          <w:divBdr>
            <w:top w:val="none" w:sz="0" w:space="0" w:color="auto"/>
            <w:left w:val="none" w:sz="0" w:space="0" w:color="auto"/>
            <w:bottom w:val="none" w:sz="0" w:space="0" w:color="auto"/>
            <w:right w:val="none" w:sz="0" w:space="0" w:color="auto"/>
          </w:divBdr>
        </w:div>
        <w:div w:id="661547947">
          <w:marLeft w:val="640"/>
          <w:marRight w:val="0"/>
          <w:marTop w:val="0"/>
          <w:marBottom w:val="0"/>
          <w:divBdr>
            <w:top w:val="none" w:sz="0" w:space="0" w:color="auto"/>
            <w:left w:val="none" w:sz="0" w:space="0" w:color="auto"/>
            <w:bottom w:val="none" w:sz="0" w:space="0" w:color="auto"/>
            <w:right w:val="none" w:sz="0" w:space="0" w:color="auto"/>
          </w:divBdr>
        </w:div>
        <w:div w:id="414784584">
          <w:marLeft w:val="640"/>
          <w:marRight w:val="0"/>
          <w:marTop w:val="0"/>
          <w:marBottom w:val="0"/>
          <w:divBdr>
            <w:top w:val="none" w:sz="0" w:space="0" w:color="auto"/>
            <w:left w:val="none" w:sz="0" w:space="0" w:color="auto"/>
            <w:bottom w:val="none" w:sz="0" w:space="0" w:color="auto"/>
            <w:right w:val="none" w:sz="0" w:space="0" w:color="auto"/>
          </w:divBdr>
        </w:div>
        <w:div w:id="1800103533">
          <w:marLeft w:val="640"/>
          <w:marRight w:val="0"/>
          <w:marTop w:val="0"/>
          <w:marBottom w:val="0"/>
          <w:divBdr>
            <w:top w:val="none" w:sz="0" w:space="0" w:color="auto"/>
            <w:left w:val="none" w:sz="0" w:space="0" w:color="auto"/>
            <w:bottom w:val="none" w:sz="0" w:space="0" w:color="auto"/>
            <w:right w:val="none" w:sz="0" w:space="0" w:color="auto"/>
          </w:divBdr>
        </w:div>
        <w:div w:id="1867407483">
          <w:marLeft w:val="640"/>
          <w:marRight w:val="0"/>
          <w:marTop w:val="0"/>
          <w:marBottom w:val="0"/>
          <w:divBdr>
            <w:top w:val="none" w:sz="0" w:space="0" w:color="auto"/>
            <w:left w:val="none" w:sz="0" w:space="0" w:color="auto"/>
            <w:bottom w:val="none" w:sz="0" w:space="0" w:color="auto"/>
            <w:right w:val="none" w:sz="0" w:space="0" w:color="auto"/>
          </w:divBdr>
        </w:div>
        <w:div w:id="1012536065">
          <w:marLeft w:val="640"/>
          <w:marRight w:val="0"/>
          <w:marTop w:val="0"/>
          <w:marBottom w:val="0"/>
          <w:divBdr>
            <w:top w:val="none" w:sz="0" w:space="0" w:color="auto"/>
            <w:left w:val="none" w:sz="0" w:space="0" w:color="auto"/>
            <w:bottom w:val="none" w:sz="0" w:space="0" w:color="auto"/>
            <w:right w:val="none" w:sz="0" w:space="0" w:color="auto"/>
          </w:divBdr>
        </w:div>
        <w:div w:id="1169171746">
          <w:marLeft w:val="640"/>
          <w:marRight w:val="0"/>
          <w:marTop w:val="0"/>
          <w:marBottom w:val="0"/>
          <w:divBdr>
            <w:top w:val="none" w:sz="0" w:space="0" w:color="auto"/>
            <w:left w:val="none" w:sz="0" w:space="0" w:color="auto"/>
            <w:bottom w:val="none" w:sz="0" w:space="0" w:color="auto"/>
            <w:right w:val="none" w:sz="0" w:space="0" w:color="auto"/>
          </w:divBdr>
        </w:div>
        <w:div w:id="1552110146">
          <w:marLeft w:val="640"/>
          <w:marRight w:val="0"/>
          <w:marTop w:val="0"/>
          <w:marBottom w:val="0"/>
          <w:divBdr>
            <w:top w:val="none" w:sz="0" w:space="0" w:color="auto"/>
            <w:left w:val="none" w:sz="0" w:space="0" w:color="auto"/>
            <w:bottom w:val="none" w:sz="0" w:space="0" w:color="auto"/>
            <w:right w:val="none" w:sz="0" w:space="0" w:color="auto"/>
          </w:divBdr>
        </w:div>
        <w:div w:id="184830444">
          <w:marLeft w:val="640"/>
          <w:marRight w:val="0"/>
          <w:marTop w:val="0"/>
          <w:marBottom w:val="0"/>
          <w:divBdr>
            <w:top w:val="none" w:sz="0" w:space="0" w:color="auto"/>
            <w:left w:val="none" w:sz="0" w:space="0" w:color="auto"/>
            <w:bottom w:val="none" w:sz="0" w:space="0" w:color="auto"/>
            <w:right w:val="none" w:sz="0" w:space="0" w:color="auto"/>
          </w:divBdr>
        </w:div>
        <w:div w:id="146437834">
          <w:marLeft w:val="640"/>
          <w:marRight w:val="0"/>
          <w:marTop w:val="0"/>
          <w:marBottom w:val="0"/>
          <w:divBdr>
            <w:top w:val="none" w:sz="0" w:space="0" w:color="auto"/>
            <w:left w:val="none" w:sz="0" w:space="0" w:color="auto"/>
            <w:bottom w:val="none" w:sz="0" w:space="0" w:color="auto"/>
            <w:right w:val="none" w:sz="0" w:space="0" w:color="auto"/>
          </w:divBdr>
        </w:div>
        <w:div w:id="1431975843">
          <w:marLeft w:val="640"/>
          <w:marRight w:val="0"/>
          <w:marTop w:val="0"/>
          <w:marBottom w:val="0"/>
          <w:divBdr>
            <w:top w:val="none" w:sz="0" w:space="0" w:color="auto"/>
            <w:left w:val="none" w:sz="0" w:space="0" w:color="auto"/>
            <w:bottom w:val="none" w:sz="0" w:space="0" w:color="auto"/>
            <w:right w:val="none" w:sz="0" w:space="0" w:color="auto"/>
          </w:divBdr>
        </w:div>
        <w:div w:id="1480614752">
          <w:marLeft w:val="640"/>
          <w:marRight w:val="0"/>
          <w:marTop w:val="0"/>
          <w:marBottom w:val="0"/>
          <w:divBdr>
            <w:top w:val="none" w:sz="0" w:space="0" w:color="auto"/>
            <w:left w:val="none" w:sz="0" w:space="0" w:color="auto"/>
            <w:bottom w:val="none" w:sz="0" w:space="0" w:color="auto"/>
            <w:right w:val="none" w:sz="0" w:space="0" w:color="auto"/>
          </w:divBdr>
        </w:div>
        <w:div w:id="1904291231">
          <w:marLeft w:val="640"/>
          <w:marRight w:val="0"/>
          <w:marTop w:val="0"/>
          <w:marBottom w:val="0"/>
          <w:divBdr>
            <w:top w:val="none" w:sz="0" w:space="0" w:color="auto"/>
            <w:left w:val="none" w:sz="0" w:space="0" w:color="auto"/>
            <w:bottom w:val="none" w:sz="0" w:space="0" w:color="auto"/>
            <w:right w:val="none" w:sz="0" w:space="0" w:color="auto"/>
          </w:divBdr>
        </w:div>
        <w:div w:id="2092923274">
          <w:marLeft w:val="640"/>
          <w:marRight w:val="0"/>
          <w:marTop w:val="0"/>
          <w:marBottom w:val="0"/>
          <w:divBdr>
            <w:top w:val="none" w:sz="0" w:space="0" w:color="auto"/>
            <w:left w:val="none" w:sz="0" w:space="0" w:color="auto"/>
            <w:bottom w:val="none" w:sz="0" w:space="0" w:color="auto"/>
            <w:right w:val="none" w:sz="0" w:space="0" w:color="auto"/>
          </w:divBdr>
        </w:div>
        <w:div w:id="436339459">
          <w:marLeft w:val="640"/>
          <w:marRight w:val="0"/>
          <w:marTop w:val="0"/>
          <w:marBottom w:val="0"/>
          <w:divBdr>
            <w:top w:val="none" w:sz="0" w:space="0" w:color="auto"/>
            <w:left w:val="none" w:sz="0" w:space="0" w:color="auto"/>
            <w:bottom w:val="none" w:sz="0" w:space="0" w:color="auto"/>
            <w:right w:val="none" w:sz="0" w:space="0" w:color="auto"/>
          </w:divBdr>
        </w:div>
        <w:div w:id="915629712">
          <w:marLeft w:val="640"/>
          <w:marRight w:val="0"/>
          <w:marTop w:val="0"/>
          <w:marBottom w:val="0"/>
          <w:divBdr>
            <w:top w:val="none" w:sz="0" w:space="0" w:color="auto"/>
            <w:left w:val="none" w:sz="0" w:space="0" w:color="auto"/>
            <w:bottom w:val="none" w:sz="0" w:space="0" w:color="auto"/>
            <w:right w:val="none" w:sz="0" w:space="0" w:color="auto"/>
          </w:divBdr>
        </w:div>
        <w:div w:id="652947924">
          <w:marLeft w:val="640"/>
          <w:marRight w:val="0"/>
          <w:marTop w:val="0"/>
          <w:marBottom w:val="0"/>
          <w:divBdr>
            <w:top w:val="none" w:sz="0" w:space="0" w:color="auto"/>
            <w:left w:val="none" w:sz="0" w:space="0" w:color="auto"/>
            <w:bottom w:val="none" w:sz="0" w:space="0" w:color="auto"/>
            <w:right w:val="none" w:sz="0" w:space="0" w:color="auto"/>
          </w:divBdr>
        </w:div>
        <w:div w:id="1188762634">
          <w:marLeft w:val="640"/>
          <w:marRight w:val="0"/>
          <w:marTop w:val="0"/>
          <w:marBottom w:val="0"/>
          <w:divBdr>
            <w:top w:val="none" w:sz="0" w:space="0" w:color="auto"/>
            <w:left w:val="none" w:sz="0" w:space="0" w:color="auto"/>
            <w:bottom w:val="none" w:sz="0" w:space="0" w:color="auto"/>
            <w:right w:val="none" w:sz="0" w:space="0" w:color="auto"/>
          </w:divBdr>
        </w:div>
        <w:div w:id="1249853798">
          <w:marLeft w:val="640"/>
          <w:marRight w:val="0"/>
          <w:marTop w:val="0"/>
          <w:marBottom w:val="0"/>
          <w:divBdr>
            <w:top w:val="none" w:sz="0" w:space="0" w:color="auto"/>
            <w:left w:val="none" w:sz="0" w:space="0" w:color="auto"/>
            <w:bottom w:val="none" w:sz="0" w:space="0" w:color="auto"/>
            <w:right w:val="none" w:sz="0" w:space="0" w:color="auto"/>
          </w:divBdr>
        </w:div>
        <w:div w:id="2121759110">
          <w:marLeft w:val="640"/>
          <w:marRight w:val="0"/>
          <w:marTop w:val="0"/>
          <w:marBottom w:val="0"/>
          <w:divBdr>
            <w:top w:val="none" w:sz="0" w:space="0" w:color="auto"/>
            <w:left w:val="none" w:sz="0" w:space="0" w:color="auto"/>
            <w:bottom w:val="none" w:sz="0" w:space="0" w:color="auto"/>
            <w:right w:val="none" w:sz="0" w:space="0" w:color="auto"/>
          </w:divBdr>
        </w:div>
        <w:div w:id="548808472">
          <w:marLeft w:val="640"/>
          <w:marRight w:val="0"/>
          <w:marTop w:val="0"/>
          <w:marBottom w:val="0"/>
          <w:divBdr>
            <w:top w:val="none" w:sz="0" w:space="0" w:color="auto"/>
            <w:left w:val="none" w:sz="0" w:space="0" w:color="auto"/>
            <w:bottom w:val="none" w:sz="0" w:space="0" w:color="auto"/>
            <w:right w:val="none" w:sz="0" w:space="0" w:color="auto"/>
          </w:divBdr>
        </w:div>
        <w:div w:id="1606959106">
          <w:marLeft w:val="640"/>
          <w:marRight w:val="0"/>
          <w:marTop w:val="0"/>
          <w:marBottom w:val="0"/>
          <w:divBdr>
            <w:top w:val="none" w:sz="0" w:space="0" w:color="auto"/>
            <w:left w:val="none" w:sz="0" w:space="0" w:color="auto"/>
            <w:bottom w:val="none" w:sz="0" w:space="0" w:color="auto"/>
            <w:right w:val="none" w:sz="0" w:space="0" w:color="auto"/>
          </w:divBdr>
        </w:div>
        <w:div w:id="1732845084">
          <w:marLeft w:val="640"/>
          <w:marRight w:val="0"/>
          <w:marTop w:val="0"/>
          <w:marBottom w:val="0"/>
          <w:divBdr>
            <w:top w:val="none" w:sz="0" w:space="0" w:color="auto"/>
            <w:left w:val="none" w:sz="0" w:space="0" w:color="auto"/>
            <w:bottom w:val="none" w:sz="0" w:space="0" w:color="auto"/>
            <w:right w:val="none" w:sz="0" w:space="0" w:color="auto"/>
          </w:divBdr>
        </w:div>
        <w:div w:id="481821923">
          <w:marLeft w:val="640"/>
          <w:marRight w:val="0"/>
          <w:marTop w:val="0"/>
          <w:marBottom w:val="0"/>
          <w:divBdr>
            <w:top w:val="none" w:sz="0" w:space="0" w:color="auto"/>
            <w:left w:val="none" w:sz="0" w:space="0" w:color="auto"/>
            <w:bottom w:val="none" w:sz="0" w:space="0" w:color="auto"/>
            <w:right w:val="none" w:sz="0" w:space="0" w:color="auto"/>
          </w:divBdr>
        </w:div>
        <w:div w:id="1972318008">
          <w:marLeft w:val="640"/>
          <w:marRight w:val="0"/>
          <w:marTop w:val="0"/>
          <w:marBottom w:val="0"/>
          <w:divBdr>
            <w:top w:val="none" w:sz="0" w:space="0" w:color="auto"/>
            <w:left w:val="none" w:sz="0" w:space="0" w:color="auto"/>
            <w:bottom w:val="none" w:sz="0" w:space="0" w:color="auto"/>
            <w:right w:val="none" w:sz="0" w:space="0" w:color="auto"/>
          </w:divBdr>
        </w:div>
        <w:div w:id="508175420">
          <w:marLeft w:val="640"/>
          <w:marRight w:val="0"/>
          <w:marTop w:val="0"/>
          <w:marBottom w:val="0"/>
          <w:divBdr>
            <w:top w:val="none" w:sz="0" w:space="0" w:color="auto"/>
            <w:left w:val="none" w:sz="0" w:space="0" w:color="auto"/>
            <w:bottom w:val="none" w:sz="0" w:space="0" w:color="auto"/>
            <w:right w:val="none" w:sz="0" w:space="0" w:color="auto"/>
          </w:divBdr>
        </w:div>
        <w:div w:id="1287926091">
          <w:marLeft w:val="640"/>
          <w:marRight w:val="0"/>
          <w:marTop w:val="0"/>
          <w:marBottom w:val="0"/>
          <w:divBdr>
            <w:top w:val="none" w:sz="0" w:space="0" w:color="auto"/>
            <w:left w:val="none" w:sz="0" w:space="0" w:color="auto"/>
            <w:bottom w:val="none" w:sz="0" w:space="0" w:color="auto"/>
            <w:right w:val="none" w:sz="0" w:space="0" w:color="auto"/>
          </w:divBdr>
        </w:div>
        <w:div w:id="1430543692">
          <w:marLeft w:val="640"/>
          <w:marRight w:val="0"/>
          <w:marTop w:val="0"/>
          <w:marBottom w:val="0"/>
          <w:divBdr>
            <w:top w:val="none" w:sz="0" w:space="0" w:color="auto"/>
            <w:left w:val="none" w:sz="0" w:space="0" w:color="auto"/>
            <w:bottom w:val="none" w:sz="0" w:space="0" w:color="auto"/>
            <w:right w:val="none" w:sz="0" w:space="0" w:color="auto"/>
          </w:divBdr>
        </w:div>
        <w:div w:id="1508909247">
          <w:marLeft w:val="640"/>
          <w:marRight w:val="0"/>
          <w:marTop w:val="0"/>
          <w:marBottom w:val="0"/>
          <w:divBdr>
            <w:top w:val="none" w:sz="0" w:space="0" w:color="auto"/>
            <w:left w:val="none" w:sz="0" w:space="0" w:color="auto"/>
            <w:bottom w:val="none" w:sz="0" w:space="0" w:color="auto"/>
            <w:right w:val="none" w:sz="0" w:space="0" w:color="auto"/>
          </w:divBdr>
        </w:div>
        <w:div w:id="1113861125">
          <w:marLeft w:val="640"/>
          <w:marRight w:val="0"/>
          <w:marTop w:val="0"/>
          <w:marBottom w:val="0"/>
          <w:divBdr>
            <w:top w:val="none" w:sz="0" w:space="0" w:color="auto"/>
            <w:left w:val="none" w:sz="0" w:space="0" w:color="auto"/>
            <w:bottom w:val="none" w:sz="0" w:space="0" w:color="auto"/>
            <w:right w:val="none" w:sz="0" w:space="0" w:color="auto"/>
          </w:divBdr>
        </w:div>
        <w:div w:id="733435189">
          <w:marLeft w:val="640"/>
          <w:marRight w:val="0"/>
          <w:marTop w:val="0"/>
          <w:marBottom w:val="0"/>
          <w:divBdr>
            <w:top w:val="none" w:sz="0" w:space="0" w:color="auto"/>
            <w:left w:val="none" w:sz="0" w:space="0" w:color="auto"/>
            <w:bottom w:val="none" w:sz="0" w:space="0" w:color="auto"/>
            <w:right w:val="none" w:sz="0" w:space="0" w:color="auto"/>
          </w:divBdr>
        </w:div>
        <w:div w:id="290672214">
          <w:marLeft w:val="640"/>
          <w:marRight w:val="0"/>
          <w:marTop w:val="0"/>
          <w:marBottom w:val="0"/>
          <w:divBdr>
            <w:top w:val="none" w:sz="0" w:space="0" w:color="auto"/>
            <w:left w:val="none" w:sz="0" w:space="0" w:color="auto"/>
            <w:bottom w:val="none" w:sz="0" w:space="0" w:color="auto"/>
            <w:right w:val="none" w:sz="0" w:space="0" w:color="auto"/>
          </w:divBdr>
        </w:div>
        <w:div w:id="1715618631">
          <w:marLeft w:val="640"/>
          <w:marRight w:val="0"/>
          <w:marTop w:val="0"/>
          <w:marBottom w:val="0"/>
          <w:divBdr>
            <w:top w:val="none" w:sz="0" w:space="0" w:color="auto"/>
            <w:left w:val="none" w:sz="0" w:space="0" w:color="auto"/>
            <w:bottom w:val="none" w:sz="0" w:space="0" w:color="auto"/>
            <w:right w:val="none" w:sz="0" w:space="0" w:color="auto"/>
          </w:divBdr>
        </w:div>
        <w:div w:id="416099781">
          <w:marLeft w:val="640"/>
          <w:marRight w:val="0"/>
          <w:marTop w:val="0"/>
          <w:marBottom w:val="0"/>
          <w:divBdr>
            <w:top w:val="none" w:sz="0" w:space="0" w:color="auto"/>
            <w:left w:val="none" w:sz="0" w:space="0" w:color="auto"/>
            <w:bottom w:val="none" w:sz="0" w:space="0" w:color="auto"/>
            <w:right w:val="none" w:sz="0" w:space="0" w:color="auto"/>
          </w:divBdr>
        </w:div>
        <w:div w:id="1592467072">
          <w:marLeft w:val="640"/>
          <w:marRight w:val="0"/>
          <w:marTop w:val="0"/>
          <w:marBottom w:val="0"/>
          <w:divBdr>
            <w:top w:val="none" w:sz="0" w:space="0" w:color="auto"/>
            <w:left w:val="none" w:sz="0" w:space="0" w:color="auto"/>
            <w:bottom w:val="none" w:sz="0" w:space="0" w:color="auto"/>
            <w:right w:val="none" w:sz="0" w:space="0" w:color="auto"/>
          </w:divBdr>
        </w:div>
        <w:div w:id="443575863">
          <w:marLeft w:val="640"/>
          <w:marRight w:val="0"/>
          <w:marTop w:val="0"/>
          <w:marBottom w:val="0"/>
          <w:divBdr>
            <w:top w:val="none" w:sz="0" w:space="0" w:color="auto"/>
            <w:left w:val="none" w:sz="0" w:space="0" w:color="auto"/>
            <w:bottom w:val="none" w:sz="0" w:space="0" w:color="auto"/>
            <w:right w:val="none" w:sz="0" w:space="0" w:color="auto"/>
          </w:divBdr>
        </w:div>
        <w:div w:id="1582450047">
          <w:marLeft w:val="640"/>
          <w:marRight w:val="0"/>
          <w:marTop w:val="0"/>
          <w:marBottom w:val="0"/>
          <w:divBdr>
            <w:top w:val="none" w:sz="0" w:space="0" w:color="auto"/>
            <w:left w:val="none" w:sz="0" w:space="0" w:color="auto"/>
            <w:bottom w:val="none" w:sz="0" w:space="0" w:color="auto"/>
            <w:right w:val="none" w:sz="0" w:space="0" w:color="auto"/>
          </w:divBdr>
        </w:div>
        <w:div w:id="1423798975">
          <w:marLeft w:val="640"/>
          <w:marRight w:val="0"/>
          <w:marTop w:val="0"/>
          <w:marBottom w:val="0"/>
          <w:divBdr>
            <w:top w:val="none" w:sz="0" w:space="0" w:color="auto"/>
            <w:left w:val="none" w:sz="0" w:space="0" w:color="auto"/>
            <w:bottom w:val="none" w:sz="0" w:space="0" w:color="auto"/>
            <w:right w:val="none" w:sz="0" w:space="0" w:color="auto"/>
          </w:divBdr>
        </w:div>
        <w:div w:id="1194459214">
          <w:marLeft w:val="640"/>
          <w:marRight w:val="0"/>
          <w:marTop w:val="0"/>
          <w:marBottom w:val="0"/>
          <w:divBdr>
            <w:top w:val="none" w:sz="0" w:space="0" w:color="auto"/>
            <w:left w:val="none" w:sz="0" w:space="0" w:color="auto"/>
            <w:bottom w:val="none" w:sz="0" w:space="0" w:color="auto"/>
            <w:right w:val="none" w:sz="0" w:space="0" w:color="auto"/>
          </w:divBdr>
        </w:div>
        <w:div w:id="1173958580">
          <w:marLeft w:val="640"/>
          <w:marRight w:val="0"/>
          <w:marTop w:val="0"/>
          <w:marBottom w:val="0"/>
          <w:divBdr>
            <w:top w:val="none" w:sz="0" w:space="0" w:color="auto"/>
            <w:left w:val="none" w:sz="0" w:space="0" w:color="auto"/>
            <w:bottom w:val="none" w:sz="0" w:space="0" w:color="auto"/>
            <w:right w:val="none" w:sz="0" w:space="0" w:color="auto"/>
          </w:divBdr>
        </w:div>
        <w:div w:id="2115711813">
          <w:marLeft w:val="640"/>
          <w:marRight w:val="0"/>
          <w:marTop w:val="0"/>
          <w:marBottom w:val="0"/>
          <w:divBdr>
            <w:top w:val="none" w:sz="0" w:space="0" w:color="auto"/>
            <w:left w:val="none" w:sz="0" w:space="0" w:color="auto"/>
            <w:bottom w:val="none" w:sz="0" w:space="0" w:color="auto"/>
            <w:right w:val="none" w:sz="0" w:space="0" w:color="auto"/>
          </w:divBdr>
        </w:div>
        <w:div w:id="939483824">
          <w:marLeft w:val="640"/>
          <w:marRight w:val="0"/>
          <w:marTop w:val="0"/>
          <w:marBottom w:val="0"/>
          <w:divBdr>
            <w:top w:val="none" w:sz="0" w:space="0" w:color="auto"/>
            <w:left w:val="none" w:sz="0" w:space="0" w:color="auto"/>
            <w:bottom w:val="none" w:sz="0" w:space="0" w:color="auto"/>
            <w:right w:val="none" w:sz="0" w:space="0" w:color="auto"/>
          </w:divBdr>
        </w:div>
        <w:div w:id="847914945">
          <w:marLeft w:val="640"/>
          <w:marRight w:val="0"/>
          <w:marTop w:val="0"/>
          <w:marBottom w:val="0"/>
          <w:divBdr>
            <w:top w:val="none" w:sz="0" w:space="0" w:color="auto"/>
            <w:left w:val="none" w:sz="0" w:space="0" w:color="auto"/>
            <w:bottom w:val="none" w:sz="0" w:space="0" w:color="auto"/>
            <w:right w:val="none" w:sz="0" w:space="0" w:color="auto"/>
          </w:divBdr>
        </w:div>
        <w:div w:id="1979988950">
          <w:marLeft w:val="640"/>
          <w:marRight w:val="0"/>
          <w:marTop w:val="0"/>
          <w:marBottom w:val="0"/>
          <w:divBdr>
            <w:top w:val="none" w:sz="0" w:space="0" w:color="auto"/>
            <w:left w:val="none" w:sz="0" w:space="0" w:color="auto"/>
            <w:bottom w:val="none" w:sz="0" w:space="0" w:color="auto"/>
            <w:right w:val="none" w:sz="0" w:space="0" w:color="auto"/>
          </w:divBdr>
        </w:div>
        <w:div w:id="1320697462">
          <w:marLeft w:val="640"/>
          <w:marRight w:val="0"/>
          <w:marTop w:val="0"/>
          <w:marBottom w:val="0"/>
          <w:divBdr>
            <w:top w:val="none" w:sz="0" w:space="0" w:color="auto"/>
            <w:left w:val="none" w:sz="0" w:space="0" w:color="auto"/>
            <w:bottom w:val="none" w:sz="0" w:space="0" w:color="auto"/>
            <w:right w:val="none" w:sz="0" w:space="0" w:color="auto"/>
          </w:divBdr>
        </w:div>
        <w:div w:id="752433575">
          <w:marLeft w:val="640"/>
          <w:marRight w:val="0"/>
          <w:marTop w:val="0"/>
          <w:marBottom w:val="0"/>
          <w:divBdr>
            <w:top w:val="none" w:sz="0" w:space="0" w:color="auto"/>
            <w:left w:val="none" w:sz="0" w:space="0" w:color="auto"/>
            <w:bottom w:val="none" w:sz="0" w:space="0" w:color="auto"/>
            <w:right w:val="none" w:sz="0" w:space="0" w:color="auto"/>
          </w:divBdr>
        </w:div>
        <w:div w:id="1409233876">
          <w:marLeft w:val="640"/>
          <w:marRight w:val="0"/>
          <w:marTop w:val="0"/>
          <w:marBottom w:val="0"/>
          <w:divBdr>
            <w:top w:val="none" w:sz="0" w:space="0" w:color="auto"/>
            <w:left w:val="none" w:sz="0" w:space="0" w:color="auto"/>
            <w:bottom w:val="none" w:sz="0" w:space="0" w:color="auto"/>
            <w:right w:val="none" w:sz="0" w:space="0" w:color="auto"/>
          </w:divBdr>
        </w:div>
        <w:div w:id="1721318413">
          <w:marLeft w:val="640"/>
          <w:marRight w:val="0"/>
          <w:marTop w:val="0"/>
          <w:marBottom w:val="0"/>
          <w:divBdr>
            <w:top w:val="none" w:sz="0" w:space="0" w:color="auto"/>
            <w:left w:val="none" w:sz="0" w:space="0" w:color="auto"/>
            <w:bottom w:val="none" w:sz="0" w:space="0" w:color="auto"/>
            <w:right w:val="none" w:sz="0" w:space="0" w:color="auto"/>
          </w:divBdr>
        </w:div>
        <w:div w:id="1756586180">
          <w:marLeft w:val="640"/>
          <w:marRight w:val="0"/>
          <w:marTop w:val="0"/>
          <w:marBottom w:val="0"/>
          <w:divBdr>
            <w:top w:val="none" w:sz="0" w:space="0" w:color="auto"/>
            <w:left w:val="none" w:sz="0" w:space="0" w:color="auto"/>
            <w:bottom w:val="none" w:sz="0" w:space="0" w:color="auto"/>
            <w:right w:val="none" w:sz="0" w:space="0" w:color="auto"/>
          </w:divBdr>
        </w:div>
        <w:div w:id="1135560579">
          <w:marLeft w:val="640"/>
          <w:marRight w:val="0"/>
          <w:marTop w:val="0"/>
          <w:marBottom w:val="0"/>
          <w:divBdr>
            <w:top w:val="none" w:sz="0" w:space="0" w:color="auto"/>
            <w:left w:val="none" w:sz="0" w:space="0" w:color="auto"/>
            <w:bottom w:val="none" w:sz="0" w:space="0" w:color="auto"/>
            <w:right w:val="none" w:sz="0" w:space="0" w:color="auto"/>
          </w:divBdr>
        </w:div>
        <w:div w:id="1618872308">
          <w:marLeft w:val="640"/>
          <w:marRight w:val="0"/>
          <w:marTop w:val="0"/>
          <w:marBottom w:val="0"/>
          <w:divBdr>
            <w:top w:val="none" w:sz="0" w:space="0" w:color="auto"/>
            <w:left w:val="none" w:sz="0" w:space="0" w:color="auto"/>
            <w:bottom w:val="none" w:sz="0" w:space="0" w:color="auto"/>
            <w:right w:val="none" w:sz="0" w:space="0" w:color="auto"/>
          </w:divBdr>
        </w:div>
        <w:div w:id="959603802">
          <w:marLeft w:val="640"/>
          <w:marRight w:val="0"/>
          <w:marTop w:val="0"/>
          <w:marBottom w:val="0"/>
          <w:divBdr>
            <w:top w:val="none" w:sz="0" w:space="0" w:color="auto"/>
            <w:left w:val="none" w:sz="0" w:space="0" w:color="auto"/>
            <w:bottom w:val="none" w:sz="0" w:space="0" w:color="auto"/>
            <w:right w:val="none" w:sz="0" w:space="0" w:color="auto"/>
          </w:divBdr>
        </w:div>
        <w:div w:id="1526286919">
          <w:marLeft w:val="640"/>
          <w:marRight w:val="0"/>
          <w:marTop w:val="0"/>
          <w:marBottom w:val="0"/>
          <w:divBdr>
            <w:top w:val="none" w:sz="0" w:space="0" w:color="auto"/>
            <w:left w:val="none" w:sz="0" w:space="0" w:color="auto"/>
            <w:bottom w:val="none" w:sz="0" w:space="0" w:color="auto"/>
            <w:right w:val="none" w:sz="0" w:space="0" w:color="auto"/>
          </w:divBdr>
        </w:div>
        <w:div w:id="456795497">
          <w:marLeft w:val="640"/>
          <w:marRight w:val="0"/>
          <w:marTop w:val="0"/>
          <w:marBottom w:val="0"/>
          <w:divBdr>
            <w:top w:val="none" w:sz="0" w:space="0" w:color="auto"/>
            <w:left w:val="none" w:sz="0" w:space="0" w:color="auto"/>
            <w:bottom w:val="none" w:sz="0" w:space="0" w:color="auto"/>
            <w:right w:val="none" w:sz="0" w:space="0" w:color="auto"/>
          </w:divBdr>
        </w:div>
        <w:div w:id="1810589172">
          <w:marLeft w:val="640"/>
          <w:marRight w:val="0"/>
          <w:marTop w:val="0"/>
          <w:marBottom w:val="0"/>
          <w:divBdr>
            <w:top w:val="none" w:sz="0" w:space="0" w:color="auto"/>
            <w:left w:val="none" w:sz="0" w:space="0" w:color="auto"/>
            <w:bottom w:val="none" w:sz="0" w:space="0" w:color="auto"/>
            <w:right w:val="none" w:sz="0" w:space="0" w:color="auto"/>
          </w:divBdr>
        </w:div>
        <w:div w:id="1825050782">
          <w:marLeft w:val="640"/>
          <w:marRight w:val="0"/>
          <w:marTop w:val="0"/>
          <w:marBottom w:val="0"/>
          <w:divBdr>
            <w:top w:val="none" w:sz="0" w:space="0" w:color="auto"/>
            <w:left w:val="none" w:sz="0" w:space="0" w:color="auto"/>
            <w:bottom w:val="none" w:sz="0" w:space="0" w:color="auto"/>
            <w:right w:val="none" w:sz="0" w:space="0" w:color="auto"/>
          </w:divBdr>
        </w:div>
        <w:div w:id="1192501366">
          <w:marLeft w:val="640"/>
          <w:marRight w:val="0"/>
          <w:marTop w:val="0"/>
          <w:marBottom w:val="0"/>
          <w:divBdr>
            <w:top w:val="none" w:sz="0" w:space="0" w:color="auto"/>
            <w:left w:val="none" w:sz="0" w:space="0" w:color="auto"/>
            <w:bottom w:val="none" w:sz="0" w:space="0" w:color="auto"/>
            <w:right w:val="none" w:sz="0" w:space="0" w:color="auto"/>
          </w:divBdr>
        </w:div>
        <w:div w:id="436756322">
          <w:marLeft w:val="640"/>
          <w:marRight w:val="0"/>
          <w:marTop w:val="0"/>
          <w:marBottom w:val="0"/>
          <w:divBdr>
            <w:top w:val="none" w:sz="0" w:space="0" w:color="auto"/>
            <w:left w:val="none" w:sz="0" w:space="0" w:color="auto"/>
            <w:bottom w:val="none" w:sz="0" w:space="0" w:color="auto"/>
            <w:right w:val="none" w:sz="0" w:space="0" w:color="auto"/>
          </w:divBdr>
        </w:div>
        <w:div w:id="1045448857">
          <w:marLeft w:val="640"/>
          <w:marRight w:val="0"/>
          <w:marTop w:val="0"/>
          <w:marBottom w:val="0"/>
          <w:divBdr>
            <w:top w:val="none" w:sz="0" w:space="0" w:color="auto"/>
            <w:left w:val="none" w:sz="0" w:space="0" w:color="auto"/>
            <w:bottom w:val="none" w:sz="0" w:space="0" w:color="auto"/>
            <w:right w:val="none" w:sz="0" w:space="0" w:color="auto"/>
          </w:divBdr>
        </w:div>
        <w:div w:id="2090808131">
          <w:marLeft w:val="640"/>
          <w:marRight w:val="0"/>
          <w:marTop w:val="0"/>
          <w:marBottom w:val="0"/>
          <w:divBdr>
            <w:top w:val="none" w:sz="0" w:space="0" w:color="auto"/>
            <w:left w:val="none" w:sz="0" w:space="0" w:color="auto"/>
            <w:bottom w:val="none" w:sz="0" w:space="0" w:color="auto"/>
            <w:right w:val="none" w:sz="0" w:space="0" w:color="auto"/>
          </w:divBdr>
        </w:div>
        <w:div w:id="1081028051">
          <w:marLeft w:val="640"/>
          <w:marRight w:val="0"/>
          <w:marTop w:val="0"/>
          <w:marBottom w:val="0"/>
          <w:divBdr>
            <w:top w:val="none" w:sz="0" w:space="0" w:color="auto"/>
            <w:left w:val="none" w:sz="0" w:space="0" w:color="auto"/>
            <w:bottom w:val="none" w:sz="0" w:space="0" w:color="auto"/>
            <w:right w:val="none" w:sz="0" w:space="0" w:color="auto"/>
          </w:divBdr>
        </w:div>
        <w:div w:id="533469214">
          <w:marLeft w:val="640"/>
          <w:marRight w:val="0"/>
          <w:marTop w:val="0"/>
          <w:marBottom w:val="0"/>
          <w:divBdr>
            <w:top w:val="none" w:sz="0" w:space="0" w:color="auto"/>
            <w:left w:val="none" w:sz="0" w:space="0" w:color="auto"/>
            <w:bottom w:val="none" w:sz="0" w:space="0" w:color="auto"/>
            <w:right w:val="none" w:sz="0" w:space="0" w:color="auto"/>
          </w:divBdr>
        </w:div>
        <w:div w:id="1110321909">
          <w:marLeft w:val="640"/>
          <w:marRight w:val="0"/>
          <w:marTop w:val="0"/>
          <w:marBottom w:val="0"/>
          <w:divBdr>
            <w:top w:val="none" w:sz="0" w:space="0" w:color="auto"/>
            <w:left w:val="none" w:sz="0" w:space="0" w:color="auto"/>
            <w:bottom w:val="none" w:sz="0" w:space="0" w:color="auto"/>
            <w:right w:val="none" w:sz="0" w:space="0" w:color="auto"/>
          </w:divBdr>
        </w:div>
        <w:div w:id="1185709416">
          <w:marLeft w:val="640"/>
          <w:marRight w:val="0"/>
          <w:marTop w:val="0"/>
          <w:marBottom w:val="0"/>
          <w:divBdr>
            <w:top w:val="none" w:sz="0" w:space="0" w:color="auto"/>
            <w:left w:val="none" w:sz="0" w:space="0" w:color="auto"/>
            <w:bottom w:val="none" w:sz="0" w:space="0" w:color="auto"/>
            <w:right w:val="none" w:sz="0" w:space="0" w:color="auto"/>
          </w:divBdr>
        </w:div>
        <w:div w:id="287206818">
          <w:marLeft w:val="640"/>
          <w:marRight w:val="0"/>
          <w:marTop w:val="0"/>
          <w:marBottom w:val="0"/>
          <w:divBdr>
            <w:top w:val="none" w:sz="0" w:space="0" w:color="auto"/>
            <w:left w:val="none" w:sz="0" w:space="0" w:color="auto"/>
            <w:bottom w:val="none" w:sz="0" w:space="0" w:color="auto"/>
            <w:right w:val="none" w:sz="0" w:space="0" w:color="auto"/>
          </w:divBdr>
        </w:div>
        <w:div w:id="651981087">
          <w:marLeft w:val="640"/>
          <w:marRight w:val="0"/>
          <w:marTop w:val="0"/>
          <w:marBottom w:val="0"/>
          <w:divBdr>
            <w:top w:val="none" w:sz="0" w:space="0" w:color="auto"/>
            <w:left w:val="none" w:sz="0" w:space="0" w:color="auto"/>
            <w:bottom w:val="none" w:sz="0" w:space="0" w:color="auto"/>
            <w:right w:val="none" w:sz="0" w:space="0" w:color="auto"/>
          </w:divBdr>
        </w:div>
        <w:div w:id="1199971607">
          <w:marLeft w:val="640"/>
          <w:marRight w:val="0"/>
          <w:marTop w:val="0"/>
          <w:marBottom w:val="0"/>
          <w:divBdr>
            <w:top w:val="none" w:sz="0" w:space="0" w:color="auto"/>
            <w:left w:val="none" w:sz="0" w:space="0" w:color="auto"/>
            <w:bottom w:val="none" w:sz="0" w:space="0" w:color="auto"/>
            <w:right w:val="none" w:sz="0" w:space="0" w:color="auto"/>
          </w:divBdr>
        </w:div>
        <w:div w:id="840314568">
          <w:marLeft w:val="640"/>
          <w:marRight w:val="0"/>
          <w:marTop w:val="0"/>
          <w:marBottom w:val="0"/>
          <w:divBdr>
            <w:top w:val="none" w:sz="0" w:space="0" w:color="auto"/>
            <w:left w:val="none" w:sz="0" w:space="0" w:color="auto"/>
            <w:bottom w:val="none" w:sz="0" w:space="0" w:color="auto"/>
            <w:right w:val="none" w:sz="0" w:space="0" w:color="auto"/>
          </w:divBdr>
        </w:div>
        <w:div w:id="1220509127">
          <w:marLeft w:val="640"/>
          <w:marRight w:val="0"/>
          <w:marTop w:val="0"/>
          <w:marBottom w:val="0"/>
          <w:divBdr>
            <w:top w:val="none" w:sz="0" w:space="0" w:color="auto"/>
            <w:left w:val="none" w:sz="0" w:space="0" w:color="auto"/>
            <w:bottom w:val="none" w:sz="0" w:space="0" w:color="auto"/>
            <w:right w:val="none" w:sz="0" w:space="0" w:color="auto"/>
          </w:divBdr>
        </w:div>
        <w:div w:id="1491212593">
          <w:marLeft w:val="640"/>
          <w:marRight w:val="0"/>
          <w:marTop w:val="0"/>
          <w:marBottom w:val="0"/>
          <w:divBdr>
            <w:top w:val="none" w:sz="0" w:space="0" w:color="auto"/>
            <w:left w:val="none" w:sz="0" w:space="0" w:color="auto"/>
            <w:bottom w:val="none" w:sz="0" w:space="0" w:color="auto"/>
            <w:right w:val="none" w:sz="0" w:space="0" w:color="auto"/>
          </w:divBdr>
        </w:div>
        <w:div w:id="1793404798">
          <w:marLeft w:val="640"/>
          <w:marRight w:val="0"/>
          <w:marTop w:val="0"/>
          <w:marBottom w:val="0"/>
          <w:divBdr>
            <w:top w:val="none" w:sz="0" w:space="0" w:color="auto"/>
            <w:left w:val="none" w:sz="0" w:space="0" w:color="auto"/>
            <w:bottom w:val="none" w:sz="0" w:space="0" w:color="auto"/>
            <w:right w:val="none" w:sz="0" w:space="0" w:color="auto"/>
          </w:divBdr>
        </w:div>
        <w:div w:id="933320733">
          <w:marLeft w:val="640"/>
          <w:marRight w:val="0"/>
          <w:marTop w:val="0"/>
          <w:marBottom w:val="0"/>
          <w:divBdr>
            <w:top w:val="none" w:sz="0" w:space="0" w:color="auto"/>
            <w:left w:val="none" w:sz="0" w:space="0" w:color="auto"/>
            <w:bottom w:val="none" w:sz="0" w:space="0" w:color="auto"/>
            <w:right w:val="none" w:sz="0" w:space="0" w:color="auto"/>
          </w:divBdr>
        </w:div>
        <w:div w:id="1226257845">
          <w:marLeft w:val="640"/>
          <w:marRight w:val="0"/>
          <w:marTop w:val="0"/>
          <w:marBottom w:val="0"/>
          <w:divBdr>
            <w:top w:val="none" w:sz="0" w:space="0" w:color="auto"/>
            <w:left w:val="none" w:sz="0" w:space="0" w:color="auto"/>
            <w:bottom w:val="none" w:sz="0" w:space="0" w:color="auto"/>
            <w:right w:val="none" w:sz="0" w:space="0" w:color="auto"/>
          </w:divBdr>
        </w:div>
        <w:div w:id="857425839">
          <w:marLeft w:val="640"/>
          <w:marRight w:val="0"/>
          <w:marTop w:val="0"/>
          <w:marBottom w:val="0"/>
          <w:divBdr>
            <w:top w:val="none" w:sz="0" w:space="0" w:color="auto"/>
            <w:left w:val="none" w:sz="0" w:space="0" w:color="auto"/>
            <w:bottom w:val="none" w:sz="0" w:space="0" w:color="auto"/>
            <w:right w:val="none" w:sz="0" w:space="0" w:color="auto"/>
          </w:divBdr>
        </w:div>
        <w:div w:id="1151170172">
          <w:marLeft w:val="640"/>
          <w:marRight w:val="0"/>
          <w:marTop w:val="0"/>
          <w:marBottom w:val="0"/>
          <w:divBdr>
            <w:top w:val="none" w:sz="0" w:space="0" w:color="auto"/>
            <w:left w:val="none" w:sz="0" w:space="0" w:color="auto"/>
            <w:bottom w:val="none" w:sz="0" w:space="0" w:color="auto"/>
            <w:right w:val="none" w:sz="0" w:space="0" w:color="auto"/>
          </w:divBdr>
        </w:div>
        <w:div w:id="1745686299">
          <w:marLeft w:val="640"/>
          <w:marRight w:val="0"/>
          <w:marTop w:val="0"/>
          <w:marBottom w:val="0"/>
          <w:divBdr>
            <w:top w:val="none" w:sz="0" w:space="0" w:color="auto"/>
            <w:left w:val="none" w:sz="0" w:space="0" w:color="auto"/>
            <w:bottom w:val="none" w:sz="0" w:space="0" w:color="auto"/>
            <w:right w:val="none" w:sz="0" w:space="0" w:color="auto"/>
          </w:divBdr>
        </w:div>
        <w:div w:id="16781558">
          <w:marLeft w:val="640"/>
          <w:marRight w:val="0"/>
          <w:marTop w:val="0"/>
          <w:marBottom w:val="0"/>
          <w:divBdr>
            <w:top w:val="none" w:sz="0" w:space="0" w:color="auto"/>
            <w:left w:val="none" w:sz="0" w:space="0" w:color="auto"/>
            <w:bottom w:val="none" w:sz="0" w:space="0" w:color="auto"/>
            <w:right w:val="none" w:sz="0" w:space="0" w:color="auto"/>
          </w:divBdr>
        </w:div>
        <w:div w:id="223877810">
          <w:marLeft w:val="640"/>
          <w:marRight w:val="0"/>
          <w:marTop w:val="0"/>
          <w:marBottom w:val="0"/>
          <w:divBdr>
            <w:top w:val="none" w:sz="0" w:space="0" w:color="auto"/>
            <w:left w:val="none" w:sz="0" w:space="0" w:color="auto"/>
            <w:bottom w:val="none" w:sz="0" w:space="0" w:color="auto"/>
            <w:right w:val="none" w:sz="0" w:space="0" w:color="auto"/>
          </w:divBdr>
        </w:div>
        <w:div w:id="1587110339">
          <w:marLeft w:val="640"/>
          <w:marRight w:val="0"/>
          <w:marTop w:val="0"/>
          <w:marBottom w:val="0"/>
          <w:divBdr>
            <w:top w:val="none" w:sz="0" w:space="0" w:color="auto"/>
            <w:left w:val="none" w:sz="0" w:space="0" w:color="auto"/>
            <w:bottom w:val="none" w:sz="0" w:space="0" w:color="auto"/>
            <w:right w:val="none" w:sz="0" w:space="0" w:color="auto"/>
          </w:divBdr>
        </w:div>
        <w:div w:id="591547657">
          <w:marLeft w:val="640"/>
          <w:marRight w:val="0"/>
          <w:marTop w:val="0"/>
          <w:marBottom w:val="0"/>
          <w:divBdr>
            <w:top w:val="none" w:sz="0" w:space="0" w:color="auto"/>
            <w:left w:val="none" w:sz="0" w:space="0" w:color="auto"/>
            <w:bottom w:val="none" w:sz="0" w:space="0" w:color="auto"/>
            <w:right w:val="none" w:sz="0" w:space="0" w:color="auto"/>
          </w:divBdr>
        </w:div>
        <w:div w:id="2061400253">
          <w:marLeft w:val="640"/>
          <w:marRight w:val="0"/>
          <w:marTop w:val="0"/>
          <w:marBottom w:val="0"/>
          <w:divBdr>
            <w:top w:val="none" w:sz="0" w:space="0" w:color="auto"/>
            <w:left w:val="none" w:sz="0" w:space="0" w:color="auto"/>
            <w:bottom w:val="none" w:sz="0" w:space="0" w:color="auto"/>
            <w:right w:val="none" w:sz="0" w:space="0" w:color="auto"/>
          </w:divBdr>
        </w:div>
        <w:div w:id="654070234">
          <w:marLeft w:val="640"/>
          <w:marRight w:val="0"/>
          <w:marTop w:val="0"/>
          <w:marBottom w:val="0"/>
          <w:divBdr>
            <w:top w:val="none" w:sz="0" w:space="0" w:color="auto"/>
            <w:left w:val="none" w:sz="0" w:space="0" w:color="auto"/>
            <w:bottom w:val="none" w:sz="0" w:space="0" w:color="auto"/>
            <w:right w:val="none" w:sz="0" w:space="0" w:color="auto"/>
          </w:divBdr>
        </w:div>
        <w:div w:id="1451171963">
          <w:marLeft w:val="640"/>
          <w:marRight w:val="0"/>
          <w:marTop w:val="0"/>
          <w:marBottom w:val="0"/>
          <w:divBdr>
            <w:top w:val="none" w:sz="0" w:space="0" w:color="auto"/>
            <w:left w:val="none" w:sz="0" w:space="0" w:color="auto"/>
            <w:bottom w:val="none" w:sz="0" w:space="0" w:color="auto"/>
            <w:right w:val="none" w:sz="0" w:space="0" w:color="auto"/>
          </w:divBdr>
        </w:div>
        <w:div w:id="669067850">
          <w:marLeft w:val="640"/>
          <w:marRight w:val="0"/>
          <w:marTop w:val="0"/>
          <w:marBottom w:val="0"/>
          <w:divBdr>
            <w:top w:val="none" w:sz="0" w:space="0" w:color="auto"/>
            <w:left w:val="none" w:sz="0" w:space="0" w:color="auto"/>
            <w:bottom w:val="none" w:sz="0" w:space="0" w:color="auto"/>
            <w:right w:val="none" w:sz="0" w:space="0" w:color="auto"/>
          </w:divBdr>
        </w:div>
        <w:div w:id="248782652">
          <w:marLeft w:val="640"/>
          <w:marRight w:val="0"/>
          <w:marTop w:val="0"/>
          <w:marBottom w:val="0"/>
          <w:divBdr>
            <w:top w:val="none" w:sz="0" w:space="0" w:color="auto"/>
            <w:left w:val="none" w:sz="0" w:space="0" w:color="auto"/>
            <w:bottom w:val="none" w:sz="0" w:space="0" w:color="auto"/>
            <w:right w:val="none" w:sz="0" w:space="0" w:color="auto"/>
          </w:divBdr>
        </w:div>
        <w:div w:id="1961256787">
          <w:marLeft w:val="640"/>
          <w:marRight w:val="0"/>
          <w:marTop w:val="0"/>
          <w:marBottom w:val="0"/>
          <w:divBdr>
            <w:top w:val="none" w:sz="0" w:space="0" w:color="auto"/>
            <w:left w:val="none" w:sz="0" w:space="0" w:color="auto"/>
            <w:bottom w:val="none" w:sz="0" w:space="0" w:color="auto"/>
            <w:right w:val="none" w:sz="0" w:space="0" w:color="auto"/>
          </w:divBdr>
        </w:div>
        <w:div w:id="747576836">
          <w:marLeft w:val="640"/>
          <w:marRight w:val="0"/>
          <w:marTop w:val="0"/>
          <w:marBottom w:val="0"/>
          <w:divBdr>
            <w:top w:val="none" w:sz="0" w:space="0" w:color="auto"/>
            <w:left w:val="none" w:sz="0" w:space="0" w:color="auto"/>
            <w:bottom w:val="none" w:sz="0" w:space="0" w:color="auto"/>
            <w:right w:val="none" w:sz="0" w:space="0" w:color="auto"/>
          </w:divBdr>
        </w:div>
        <w:div w:id="1310162867">
          <w:marLeft w:val="640"/>
          <w:marRight w:val="0"/>
          <w:marTop w:val="0"/>
          <w:marBottom w:val="0"/>
          <w:divBdr>
            <w:top w:val="none" w:sz="0" w:space="0" w:color="auto"/>
            <w:left w:val="none" w:sz="0" w:space="0" w:color="auto"/>
            <w:bottom w:val="none" w:sz="0" w:space="0" w:color="auto"/>
            <w:right w:val="none" w:sz="0" w:space="0" w:color="auto"/>
          </w:divBdr>
        </w:div>
        <w:div w:id="652639119">
          <w:marLeft w:val="640"/>
          <w:marRight w:val="0"/>
          <w:marTop w:val="0"/>
          <w:marBottom w:val="0"/>
          <w:divBdr>
            <w:top w:val="none" w:sz="0" w:space="0" w:color="auto"/>
            <w:left w:val="none" w:sz="0" w:space="0" w:color="auto"/>
            <w:bottom w:val="none" w:sz="0" w:space="0" w:color="auto"/>
            <w:right w:val="none" w:sz="0" w:space="0" w:color="auto"/>
          </w:divBdr>
        </w:div>
        <w:div w:id="1793983514">
          <w:marLeft w:val="640"/>
          <w:marRight w:val="0"/>
          <w:marTop w:val="0"/>
          <w:marBottom w:val="0"/>
          <w:divBdr>
            <w:top w:val="none" w:sz="0" w:space="0" w:color="auto"/>
            <w:left w:val="none" w:sz="0" w:space="0" w:color="auto"/>
            <w:bottom w:val="none" w:sz="0" w:space="0" w:color="auto"/>
            <w:right w:val="none" w:sz="0" w:space="0" w:color="auto"/>
          </w:divBdr>
        </w:div>
        <w:div w:id="243301238">
          <w:marLeft w:val="640"/>
          <w:marRight w:val="0"/>
          <w:marTop w:val="0"/>
          <w:marBottom w:val="0"/>
          <w:divBdr>
            <w:top w:val="none" w:sz="0" w:space="0" w:color="auto"/>
            <w:left w:val="none" w:sz="0" w:space="0" w:color="auto"/>
            <w:bottom w:val="none" w:sz="0" w:space="0" w:color="auto"/>
            <w:right w:val="none" w:sz="0" w:space="0" w:color="auto"/>
          </w:divBdr>
        </w:div>
        <w:div w:id="663434555">
          <w:marLeft w:val="640"/>
          <w:marRight w:val="0"/>
          <w:marTop w:val="0"/>
          <w:marBottom w:val="0"/>
          <w:divBdr>
            <w:top w:val="none" w:sz="0" w:space="0" w:color="auto"/>
            <w:left w:val="none" w:sz="0" w:space="0" w:color="auto"/>
            <w:bottom w:val="none" w:sz="0" w:space="0" w:color="auto"/>
            <w:right w:val="none" w:sz="0" w:space="0" w:color="auto"/>
          </w:divBdr>
        </w:div>
        <w:div w:id="916522366">
          <w:marLeft w:val="640"/>
          <w:marRight w:val="0"/>
          <w:marTop w:val="0"/>
          <w:marBottom w:val="0"/>
          <w:divBdr>
            <w:top w:val="none" w:sz="0" w:space="0" w:color="auto"/>
            <w:left w:val="none" w:sz="0" w:space="0" w:color="auto"/>
            <w:bottom w:val="none" w:sz="0" w:space="0" w:color="auto"/>
            <w:right w:val="none" w:sz="0" w:space="0" w:color="auto"/>
          </w:divBdr>
        </w:div>
        <w:div w:id="1860000780">
          <w:marLeft w:val="640"/>
          <w:marRight w:val="0"/>
          <w:marTop w:val="0"/>
          <w:marBottom w:val="0"/>
          <w:divBdr>
            <w:top w:val="none" w:sz="0" w:space="0" w:color="auto"/>
            <w:left w:val="none" w:sz="0" w:space="0" w:color="auto"/>
            <w:bottom w:val="none" w:sz="0" w:space="0" w:color="auto"/>
            <w:right w:val="none" w:sz="0" w:space="0" w:color="auto"/>
          </w:divBdr>
        </w:div>
        <w:div w:id="832334006">
          <w:marLeft w:val="640"/>
          <w:marRight w:val="0"/>
          <w:marTop w:val="0"/>
          <w:marBottom w:val="0"/>
          <w:divBdr>
            <w:top w:val="none" w:sz="0" w:space="0" w:color="auto"/>
            <w:left w:val="none" w:sz="0" w:space="0" w:color="auto"/>
            <w:bottom w:val="none" w:sz="0" w:space="0" w:color="auto"/>
            <w:right w:val="none" w:sz="0" w:space="0" w:color="auto"/>
          </w:divBdr>
        </w:div>
        <w:div w:id="1512136116">
          <w:marLeft w:val="640"/>
          <w:marRight w:val="0"/>
          <w:marTop w:val="0"/>
          <w:marBottom w:val="0"/>
          <w:divBdr>
            <w:top w:val="none" w:sz="0" w:space="0" w:color="auto"/>
            <w:left w:val="none" w:sz="0" w:space="0" w:color="auto"/>
            <w:bottom w:val="none" w:sz="0" w:space="0" w:color="auto"/>
            <w:right w:val="none" w:sz="0" w:space="0" w:color="auto"/>
          </w:divBdr>
        </w:div>
      </w:divsChild>
    </w:div>
    <w:div w:id="1279682502">
      <w:bodyDiv w:val="1"/>
      <w:marLeft w:val="0"/>
      <w:marRight w:val="0"/>
      <w:marTop w:val="0"/>
      <w:marBottom w:val="0"/>
      <w:divBdr>
        <w:top w:val="none" w:sz="0" w:space="0" w:color="auto"/>
        <w:left w:val="none" w:sz="0" w:space="0" w:color="auto"/>
        <w:bottom w:val="none" w:sz="0" w:space="0" w:color="auto"/>
        <w:right w:val="none" w:sz="0" w:space="0" w:color="auto"/>
      </w:divBdr>
      <w:divsChild>
        <w:div w:id="1150516834">
          <w:marLeft w:val="640"/>
          <w:marRight w:val="0"/>
          <w:marTop w:val="0"/>
          <w:marBottom w:val="0"/>
          <w:divBdr>
            <w:top w:val="none" w:sz="0" w:space="0" w:color="auto"/>
            <w:left w:val="none" w:sz="0" w:space="0" w:color="auto"/>
            <w:bottom w:val="none" w:sz="0" w:space="0" w:color="auto"/>
            <w:right w:val="none" w:sz="0" w:space="0" w:color="auto"/>
          </w:divBdr>
        </w:div>
        <w:div w:id="1042636380">
          <w:marLeft w:val="640"/>
          <w:marRight w:val="0"/>
          <w:marTop w:val="0"/>
          <w:marBottom w:val="0"/>
          <w:divBdr>
            <w:top w:val="none" w:sz="0" w:space="0" w:color="auto"/>
            <w:left w:val="none" w:sz="0" w:space="0" w:color="auto"/>
            <w:bottom w:val="none" w:sz="0" w:space="0" w:color="auto"/>
            <w:right w:val="none" w:sz="0" w:space="0" w:color="auto"/>
          </w:divBdr>
        </w:div>
        <w:div w:id="1216041502">
          <w:marLeft w:val="640"/>
          <w:marRight w:val="0"/>
          <w:marTop w:val="0"/>
          <w:marBottom w:val="0"/>
          <w:divBdr>
            <w:top w:val="none" w:sz="0" w:space="0" w:color="auto"/>
            <w:left w:val="none" w:sz="0" w:space="0" w:color="auto"/>
            <w:bottom w:val="none" w:sz="0" w:space="0" w:color="auto"/>
            <w:right w:val="none" w:sz="0" w:space="0" w:color="auto"/>
          </w:divBdr>
        </w:div>
        <w:div w:id="1167478658">
          <w:marLeft w:val="640"/>
          <w:marRight w:val="0"/>
          <w:marTop w:val="0"/>
          <w:marBottom w:val="0"/>
          <w:divBdr>
            <w:top w:val="none" w:sz="0" w:space="0" w:color="auto"/>
            <w:left w:val="none" w:sz="0" w:space="0" w:color="auto"/>
            <w:bottom w:val="none" w:sz="0" w:space="0" w:color="auto"/>
            <w:right w:val="none" w:sz="0" w:space="0" w:color="auto"/>
          </w:divBdr>
        </w:div>
        <w:div w:id="2095130149">
          <w:marLeft w:val="640"/>
          <w:marRight w:val="0"/>
          <w:marTop w:val="0"/>
          <w:marBottom w:val="0"/>
          <w:divBdr>
            <w:top w:val="none" w:sz="0" w:space="0" w:color="auto"/>
            <w:left w:val="none" w:sz="0" w:space="0" w:color="auto"/>
            <w:bottom w:val="none" w:sz="0" w:space="0" w:color="auto"/>
            <w:right w:val="none" w:sz="0" w:space="0" w:color="auto"/>
          </w:divBdr>
        </w:div>
        <w:div w:id="1073502532">
          <w:marLeft w:val="640"/>
          <w:marRight w:val="0"/>
          <w:marTop w:val="0"/>
          <w:marBottom w:val="0"/>
          <w:divBdr>
            <w:top w:val="none" w:sz="0" w:space="0" w:color="auto"/>
            <w:left w:val="none" w:sz="0" w:space="0" w:color="auto"/>
            <w:bottom w:val="none" w:sz="0" w:space="0" w:color="auto"/>
            <w:right w:val="none" w:sz="0" w:space="0" w:color="auto"/>
          </w:divBdr>
        </w:div>
        <w:div w:id="1915046536">
          <w:marLeft w:val="640"/>
          <w:marRight w:val="0"/>
          <w:marTop w:val="0"/>
          <w:marBottom w:val="0"/>
          <w:divBdr>
            <w:top w:val="none" w:sz="0" w:space="0" w:color="auto"/>
            <w:left w:val="none" w:sz="0" w:space="0" w:color="auto"/>
            <w:bottom w:val="none" w:sz="0" w:space="0" w:color="auto"/>
            <w:right w:val="none" w:sz="0" w:space="0" w:color="auto"/>
          </w:divBdr>
        </w:div>
        <w:div w:id="334842802">
          <w:marLeft w:val="640"/>
          <w:marRight w:val="0"/>
          <w:marTop w:val="0"/>
          <w:marBottom w:val="0"/>
          <w:divBdr>
            <w:top w:val="none" w:sz="0" w:space="0" w:color="auto"/>
            <w:left w:val="none" w:sz="0" w:space="0" w:color="auto"/>
            <w:bottom w:val="none" w:sz="0" w:space="0" w:color="auto"/>
            <w:right w:val="none" w:sz="0" w:space="0" w:color="auto"/>
          </w:divBdr>
        </w:div>
        <w:div w:id="1698114295">
          <w:marLeft w:val="640"/>
          <w:marRight w:val="0"/>
          <w:marTop w:val="0"/>
          <w:marBottom w:val="0"/>
          <w:divBdr>
            <w:top w:val="none" w:sz="0" w:space="0" w:color="auto"/>
            <w:left w:val="none" w:sz="0" w:space="0" w:color="auto"/>
            <w:bottom w:val="none" w:sz="0" w:space="0" w:color="auto"/>
            <w:right w:val="none" w:sz="0" w:space="0" w:color="auto"/>
          </w:divBdr>
        </w:div>
        <w:div w:id="728577295">
          <w:marLeft w:val="640"/>
          <w:marRight w:val="0"/>
          <w:marTop w:val="0"/>
          <w:marBottom w:val="0"/>
          <w:divBdr>
            <w:top w:val="none" w:sz="0" w:space="0" w:color="auto"/>
            <w:left w:val="none" w:sz="0" w:space="0" w:color="auto"/>
            <w:bottom w:val="none" w:sz="0" w:space="0" w:color="auto"/>
            <w:right w:val="none" w:sz="0" w:space="0" w:color="auto"/>
          </w:divBdr>
        </w:div>
        <w:div w:id="1456869355">
          <w:marLeft w:val="640"/>
          <w:marRight w:val="0"/>
          <w:marTop w:val="0"/>
          <w:marBottom w:val="0"/>
          <w:divBdr>
            <w:top w:val="none" w:sz="0" w:space="0" w:color="auto"/>
            <w:left w:val="none" w:sz="0" w:space="0" w:color="auto"/>
            <w:bottom w:val="none" w:sz="0" w:space="0" w:color="auto"/>
            <w:right w:val="none" w:sz="0" w:space="0" w:color="auto"/>
          </w:divBdr>
        </w:div>
        <w:div w:id="2141024584">
          <w:marLeft w:val="640"/>
          <w:marRight w:val="0"/>
          <w:marTop w:val="0"/>
          <w:marBottom w:val="0"/>
          <w:divBdr>
            <w:top w:val="none" w:sz="0" w:space="0" w:color="auto"/>
            <w:left w:val="none" w:sz="0" w:space="0" w:color="auto"/>
            <w:bottom w:val="none" w:sz="0" w:space="0" w:color="auto"/>
            <w:right w:val="none" w:sz="0" w:space="0" w:color="auto"/>
          </w:divBdr>
        </w:div>
        <w:div w:id="1917082000">
          <w:marLeft w:val="640"/>
          <w:marRight w:val="0"/>
          <w:marTop w:val="0"/>
          <w:marBottom w:val="0"/>
          <w:divBdr>
            <w:top w:val="none" w:sz="0" w:space="0" w:color="auto"/>
            <w:left w:val="none" w:sz="0" w:space="0" w:color="auto"/>
            <w:bottom w:val="none" w:sz="0" w:space="0" w:color="auto"/>
            <w:right w:val="none" w:sz="0" w:space="0" w:color="auto"/>
          </w:divBdr>
        </w:div>
        <w:div w:id="2012952375">
          <w:marLeft w:val="640"/>
          <w:marRight w:val="0"/>
          <w:marTop w:val="0"/>
          <w:marBottom w:val="0"/>
          <w:divBdr>
            <w:top w:val="none" w:sz="0" w:space="0" w:color="auto"/>
            <w:left w:val="none" w:sz="0" w:space="0" w:color="auto"/>
            <w:bottom w:val="none" w:sz="0" w:space="0" w:color="auto"/>
            <w:right w:val="none" w:sz="0" w:space="0" w:color="auto"/>
          </w:divBdr>
        </w:div>
        <w:div w:id="1604415235">
          <w:marLeft w:val="640"/>
          <w:marRight w:val="0"/>
          <w:marTop w:val="0"/>
          <w:marBottom w:val="0"/>
          <w:divBdr>
            <w:top w:val="none" w:sz="0" w:space="0" w:color="auto"/>
            <w:left w:val="none" w:sz="0" w:space="0" w:color="auto"/>
            <w:bottom w:val="none" w:sz="0" w:space="0" w:color="auto"/>
            <w:right w:val="none" w:sz="0" w:space="0" w:color="auto"/>
          </w:divBdr>
        </w:div>
        <w:div w:id="408427794">
          <w:marLeft w:val="640"/>
          <w:marRight w:val="0"/>
          <w:marTop w:val="0"/>
          <w:marBottom w:val="0"/>
          <w:divBdr>
            <w:top w:val="none" w:sz="0" w:space="0" w:color="auto"/>
            <w:left w:val="none" w:sz="0" w:space="0" w:color="auto"/>
            <w:bottom w:val="none" w:sz="0" w:space="0" w:color="auto"/>
            <w:right w:val="none" w:sz="0" w:space="0" w:color="auto"/>
          </w:divBdr>
        </w:div>
        <w:div w:id="1445152533">
          <w:marLeft w:val="640"/>
          <w:marRight w:val="0"/>
          <w:marTop w:val="0"/>
          <w:marBottom w:val="0"/>
          <w:divBdr>
            <w:top w:val="none" w:sz="0" w:space="0" w:color="auto"/>
            <w:left w:val="none" w:sz="0" w:space="0" w:color="auto"/>
            <w:bottom w:val="none" w:sz="0" w:space="0" w:color="auto"/>
            <w:right w:val="none" w:sz="0" w:space="0" w:color="auto"/>
          </w:divBdr>
        </w:div>
        <w:div w:id="2103988349">
          <w:marLeft w:val="640"/>
          <w:marRight w:val="0"/>
          <w:marTop w:val="0"/>
          <w:marBottom w:val="0"/>
          <w:divBdr>
            <w:top w:val="none" w:sz="0" w:space="0" w:color="auto"/>
            <w:left w:val="none" w:sz="0" w:space="0" w:color="auto"/>
            <w:bottom w:val="none" w:sz="0" w:space="0" w:color="auto"/>
            <w:right w:val="none" w:sz="0" w:space="0" w:color="auto"/>
          </w:divBdr>
        </w:div>
        <w:div w:id="1556233841">
          <w:marLeft w:val="640"/>
          <w:marRight w:val="0"/>
          <w:marTop w:val="0"/>
          <w:marBottom w:val="0"/>
          <w:divBdr>
            <w:top w:val="none" w:sz="0" w:space="0" w:color="auto"/>
            <w:left w:val="none" w:sz="0" w:space="0" w:color="auto"/>
            <w:bottom w:val="none" w:sz="0" w:space="0" w:color="auto"/>
            <w:right w:val="none" w:sz="0" w:space="0" w:color="auto"/>
          </w:divBdr>
        </w:div>
        <w:div w:id="1347950497">
          <w:marLeft w:val="640"/>
          <w:marRight w:val="0"/>
          <w:marTop w:val="0"/>
          <w:marBottom w:val="0"/>
          <w:divBdr>
            <w:top w:val="none" w:sz="0" w:space="0" w:color="auto"/>
            <w:left w:val="none" w:sz="0" w:space="0" w:color="auto"/>
            <w:bottom w:val="none" w:sz="0" w:space="0" w:color="auto"/>
            <w:right w:val="none" w:sz="0" w:space="0" w:color="auto"/>
          </w:divBdr>
        </w:div>
        <w:div w:id="898712016">
          <w:marLeft w:val="640"/>
          <w:marRight w:val="0"/>
          <w:marTop w:val="0"/>
          <w:marBottom w:val="0"/>
          <w:divBdr>
            <w:top w:val="none" w:sz="0" w:space="0" w:color="auto"/>
            <w:left w:val="none" w:sz="0" w:space="0" w:color="auto"/>
            <w:bottom w:val="none" w:sz="0" w:space="0" w:color="auto"/>
            <w:right w:val="none" w:sz="0" w:space="0" w:color="auto"/>
          </w:divBdr>
        </w:div>
        <w:div w:id="1770733528">
          <w:marLeft w:val="640"/>
          <w:marRight w:val="0"/>
          <w:marTop w:val="0"/>
          <w:marBottom w:val="0"/>
          <w:divBdr>
            <w:top w:val="none" w:sz="0" w:space="0" w:color="auto"/>
            <w:left w:val="none" w:sz="0" w:space="0" w:color="auto"/>
            <w:bottom w:val="none" w:sz="0" w:space="0" w:color="auto"/>
            <w:right w:val="none" w:sz="0" w:space="0" w:color="auto"/>
          </w:divBdr>
        </w:div>
        <w:div w:id="636954617">
          <w:marLeft w:val="640"/>
          <w:marRight w:val="0"/>
          <w:marTop w:val="0"/>
          <w:marBottom w:val="0"/>
          <w:divBdr>
            <w:top w:val="none" w:sz="0" w:space="0" w:color="auto"/>
            <w:left w:val="none" w:sz="0" w:space="0" w:color="auto"/>
            <w:bottom w:val="none" w:sz="0" w:space="0" w:color="auto"/>
            <w:right w:val="none" w:sz="0" w:space="0" w:color="auto"/>
          </w:divBdr>
        </w:div>
        <w:div w:id="1090003654">
          <w:marLeft w:val="640"/>
          <w:marRight w:val="0"/>
          <w:marTop w:val="0"/>
          <w:marBottom w:val="0"/>
          <w:divBdr>
            <w:top w:val="none" w:sz="0" w:space="0" w:color="auto"/>
            <w:left w:val="none" w:sz="0" w:space="0" w:color="auto"/>
            <w:bottom w:val="none" w:sz="0" w:space="0" w:color="auto"/>
            <w:right w:val="none" w:sz="0" w:space="0" w:color="auto"/>
          </w:divBdr>
        </w:div>
        <w:div w:id="1729263713">
          <w:marLeft w:val="640"/>
          <w:marRight w:val="0"/>
          <w:marTop w:val="0"/>
          <w:marBottom w:val="0"/>
          <w:divBdr>
            <w:top w:val="none" w:sz="0" w:space="0" w:color="auto"/>
            <w:left w:val="none" w:sz="0" w:space="0" w:color="auto"/>
            <w:bottom w:val="none" w:sz="0" w:space="0" w:color="auto"/>
            <w:right w:val="none" w:sz="0" w:space="0" w:color="auto"/>
          </w:divBdr>
        </w:div>
        <w:div w:id="1568420974">
          <w:marLeft w:val="640"/>
          <w:marRight w:val="0"/>
          <w:marTop w:val="0"/>
          <w:marBottom w:val="0"/>
          <w:divBdr>
            <w:top w:val="none" w:sz="0" w:space="0" w:color="auto"/>
            <w:left w:val="none" w:sz="0" w:space="0" w:color="auto"/>
            <w:bottom w:val="none" w:sz="0" w:space="0" w:color="auto"/>
            <w:right w:val="none" w:sz="0" w:space="0" w:color="auto"/>
          </w:divBdr>
        </w:div>
        <w:div w:id="2026324438">
          <w:marLeft w:val="640"/>
          <w:marRight w:val="0"/>
          <w:marTop w:val="0"/>
          <w:marBottom w:val="0"/>
          <w:divBdr>
            <w:top w:val="none" w:sz="0" w:space="0" w:color="auto"/>
            <w:left w:val="none" w:sz="0" w:space="0" w:color="auto"/>
            <w:bottom w:val="none" w:sz="0" w:space="0" w:color="auto"/>
            <w:right w:val="none" w:sz="0" w:space="0" w:color="auto"/>
          </w:divBdr>
        </w:div>
        <w:div w:id="1209099807">
          <w:marLeft w:val="640"/>
          <w:marRight w:val="0"/>
          <w:marTop w:val="0"/>
          <w:marBottom w:val="0"/>
          <w:divBdr>
            <w:top w:val="none" w:sz="0" w:space="0" w:color="auto"/>
            <w:left w:val="none" w:sz="0" w:space="0" w:color="auto"/>
            <w:bottom w:val="none" w:sz="0" w:space="0" w:color="auto"/>
            <w:right w:val="none" w:sz="0" w:space="0" w:color="auto"/>
          </w:divBdr>
        </w:div>
        <w:div w:id="1912696894">
          <w:marLeft w:val="640"/>
          <w:marRight w:val="0"/>
          <w:marTop w:val="0"/>
          <w:marBottom w:val="0"/>
          <w:divBdr>
            <w:top w:val="none" w:sz="0" w:space="0" w:color="auto"/>
            <w:left w:val="none" w:sz="0" w:space="0" w:color="auto"/>
            <w:bottom w:val="none" w:sz="0" w:space="0" w:color="auto"/>
            <w:right w:val="none" w:sz="0" w:space="0" w:color="auto"/>
          </w:divBdr>
        </w:div>
        <w:div w:id="1215196448">
          <w:marLeft w:val="640"/>
          <w:marRight w:val="0"/>
          <w:marTop w:val="0"/>
          <w:marBottom w:val="0"/>
          <w:divBdr>
            <w:top w:val="none" w:sz="0" w:space="0" w:color="auto"/>
            <w:left w:val="none" w:sz="0" w:space="0" w:color="auto"/>
            <w:bottom w:val="none" w:sz="0" w:space="0" w:color="auto"/>
            <w:right w:val="none" w:sz="0" w:space="0" w:color="auto"/>
          </w:divBdr>
        </w:div>
        <w:div w:id="956718416">
          <w:marLeft w:val="640"/>
          <w:marRight w:val="0"/>
          <w:marTop w:val="0"/>
          <w:marBottom w:val="0"/>
          <w:divBdr>
            <w:top w:val="none" w:sz="0" w:space="0" w:color="auto"/>
            <w:left w:val="none" w:sz="0" w:space="0" w:color="auto"/>
            <w:bottom w:val="none" w:sz="0" w:space="0" w:color="auto"/>
            <w:right w:val="none" w:sz="0" w:space="0" w:color="auto"/>
          </w:divBdr>
        </w:div>
        <w:div w:id="1835144754">
          <w:marLeft w:val="640"/>
          <w:marRight w:val="0"/>
          <w:marTop w:val="0"/>
          <w:marBottom w:val="0"/>
          <w:divBdr>
            <w:top w:val="none" w:sz="0" w:space="0" w:color="auto"/>
            <w:left w:val="none" w:sz="0" w:space="0" w:color="auto"/>
            <w:bottom w:val="none" w:sz="0" w:space="0" w:color="auto"/>
            <w:right w:val="none" w:sz="0" w:space="0" w:color="auto"/>
          </w:divBdr>
        </w:div>
        <w:div w:id="1102650654">
          <w:marLeft w:val="640"/>
          <w:marRight w:val="0"/>
          <w:marTop w:val="0"/>
          <w:marBottom w:val="0"/>
          <w:divBdr>
            <w:top w:val="none" w:sz="0" w:space="0" w:color="auto"/>
            <w:left w:val="none" w:sz="0" w:space="0" w:color="auto"/>
            <w:bottom w:val="none" w:sz="0" w:space="0" w:color="auto"/>
            <w:right w:val="none" w:sz="0" w:space="0" w:color="auto"/>
          </w:divBdr>
        </w:div>
        <w:div w:id="1047527642">
          <w:marLeft w:val="640"/>
          <w:marRight w:val="0"/>
          <w:marTop w:val="0"/>
          <w:marBottom w:val="0"/>
          <w:divBdr>
            <w:top w:val="none" w:sz="0" w:space="0" w:color="auto"/>
            <w:left w:val="none" w:sz="0" w:space="0" w:color="auto"/>
            <w:bottom w:val="none" w:sz="0" w:space="0" w:color="auto"/>
            <w:right w:val="none" w:sz="0" w:space="0" w:color="auto"/>
          </w:divBdr>
        </w:div>
        <w:div w:id="74208609">
          <w:marLeft w:val="640"/>
          <w:marRight w:val="0"/>
          <w:marTop w:val="0"/>
          <w:marBottom w:val="0"/>
          <w:divBdr>
            <w:top w:val="none" w:sz="0" w:space="0" w:color="auto"/>
            <w:left w:val="none" w:sz="0" w:space="0" w:color="auto"/>
            <w:bottom w:val="none" w:sz="0" w:space="0" w:color="auto"/>
            <w:right w:val="none" w:sz="0" w:space="0" w:color="auto"/>
          </w:divBdr>
        </w:div>
        <w:div w:id="1772316248">
          <w:marLeft w:val="640"/>
          <w:marRight w:val="0"/>
          <w:marTop w:val="0"/>
          <w:marBottom w:val="0"/>
          <w:divBdr>
            <w:top w:val="none" w:sz="0" w:space="0" w:color="auto"/>
            <w:left w:val="none" w:sz="0" w:space="0" w:color="auto"/>
            <w:bottom w:val="none" w:sz="0" w:space="0" w:color="auto"/>
            <w:right w:val="none" w:sz="0" w:space="0" w:color="auto"/>
          </w:divBdr>
        </w:div>
        <w:div w:id="2126650439">
          <w:marLeft w:val="640"/>
          <w:marRight w:val="0"/>
          <w:marTop w:val="0"/>
          <w:marBottom w:val="0"/>
          <w:divBdr>
            <w:top w:val="none" w:sz="0" w:space="0" w:color="auto"/>
            <w:left w:val="none" w:sz="0" w:space="0" w:color="auto"/>
            <w:bottom w:val="none" w:sz="0" w:space="0" w:color="auto"/>
            <w:right w:val="none" w:sz="0" w:space="0" w:color="auto"/>
          </w:divBdr>
        </w:div>
        <w:div w:id="904873788">
          <w:marLeft w:val="640"/>
          <w:marRight w:val="0"/>
          <w:marTop w:val="0"/>
          <w:marBottom w:val="0"/>
          <w:divBdr>
            <w:top w:val="none" w:sz="0" w:space="0" w:color="auto"/>
            <w:left w:val="none" w:sz="0" w:space="0" w:color="auto"/>
            <w:bottom w:val="none" w:sz="0" w:space="0" w:color="auto"/>
            <w:right w:val="none" w:sz="0" w:space="0" w:color="auto"/>
          </w:divBdr>
        </w:div>
        <w:div w:id="2077392720">
          <w:marLeft w:val="640"/>
          <w:marRight w:val="0"/>
          <w:marTop w:val="0"/>
          <w:marBottom w:val="0"/>
          <w:divBdr>
            <w:top w:val="none" w:sz="0" w:space="0" w:color="auto"/>
            <w:left w:val="none" w:sz="0" w:space="0" w:color="auto"/>
            <w:bottom w:val="none" w:sz="0" w:space="0" w:color="auto"/>
            <w:right w:val="none" w:sz="0" w:space="0" w:color="auto"/>
          </w:divBdr>
        </w:div>
        <w:div w:id="2005621933">
          <w:marLeft w:val="640"/>
          <w:marRight w:val="0"/>
          <w:marTop w:val="0"/>
          <w:marBottom w:val="0"/>
          <w:divBdr>
            <w:top w:val="none" w:sz="0" w:space="0" w:color="auto"/>
            <w:left w:val="none" w:sz="0" w:space="0" w:color="auto"/>
            <w:bottom w:val="none" w:sz="0" w:space="0" w:color="auto"/>
            <w:right w:val="none" w:sz="0" w:space="0" w:color="auto"/>
          </w:divBdr>
        </w:div>
        <w:div w:id="2119832561">
          <w:marLeft w:val="640"/>
          <w:marRight w:val="0"/>
          <w:marTop w:val="0"/>
          <w:marBottom w:val="0"/>
          <w:divBdr>
            <w:top w:val="none" w:sz="0" w:space="0" w:color="auto"/>
            <w:left w:val="none" w:sz="0" w:space="0" w:color="auto"/>
            <w:bottom w:val="none" w:sz="0" w:space="0" w:color="auto"/>
            <w:right w:val="none" w:sz="0" w:space="0" w:color="auto"/>
          </w:divBdr>
        </w:div>
        <w:div w:id="442572355">
          <w:marLeft w:val="640"/>
          <w:marRight w:val="0"/>
          <w:marTop w:val="0"/>
          <w:marBottom w:val="0"/>
          <w:divBdr>
            <w:top w:val="none" w:sz="0" w:space="0" w:color="auto"/>
            <w:left w:val="none" w:sz="0" w:space="0" w:color="auto"/>
            <w:bottom w:val="none" w:sz="0" w:space="0" w:color="auto"/>
            <w:right w:val="none" w:sz="0" w:space="0" w:color="auto"/>
          </w:divBdr>
        </w:div>
        <w:div w:id="245844963">
          <w:marLeft w:val="640"/>
          <w:marRight w:val="0"/>
          <w:marTop w:val="0"/>
          <w:marBottom w:val="0"/>
          <w:divBdr>
            <w:top w:val="none" w:sz="0" w:space="0" w:color="auto"/>
            <w:left w:val="none" w:sz="0" w:space="0" w:color="auto"/>
            <w:bottom w:val="none" w:sz="0" w:space="0" w:color="auto"/>
            <w:right w:val="none" w:sz="0" w:space="0" w:color="auto"/>
          </w:divBdr>
        </w:div>
        <w:div w:id="1700935908">
          <w:marLeft w:val="640"/>
          <w:marRight w:val="0"/>
          <w:marTop w:val="0"/>
          <w:marBottom w:val="0"/>
          <w:divBdr>
            <w:top w:val="none" w:sz="0" w:space="0" w:color="auto"/>
            <w:left w:val="none" w:sz="0" w:space="0" w:color="auto"/>
            <w:bottom w:val="none" w:sz="0" w:space="0" w:color="auto"/>
            <w:right w:val="none" w:sz="0" w:space="0" w:color="auto"/>
          </w:divBdr>
        </w:div>
        <w:div w:id="1733112984">
          <w:marLeft w:val="640"/>
          <w:marRight w:val="0"/>
          <w:marTop w:val="0"/>
          <w:marBottom w:val="0"/>
          <w:divBdr>
            <w:top w:val="none" w:sz="0" w:space="0" w:color="auto"/>
            <w:left w:val="none" w:sz="0" w:space="0" w:color="auto"/>
            <w:bottom w:val="none" w:sz="0" w:space="0" w:color="auto"/>
            <w:right w:val="none" w:sz="0" w:space="0" w:color="auto"/>
          </w:divBdr>
        </w:div>
        <w:div w:id="1737898520">
          <w:marLeft w:val="640"/>
          <w:marRight w:val="0"/>
          <w:marTop w:val="0"/>
          <w:marBottom w:val="0"/>
          <w:divBdr>
            <w:top w:val="none" w:sz="0" w:space="0" w:color="auto"/>
            <w:left w:val="none" w:sz="0" w:space="0" w:color="auto"/>
            <w:bottom w:val="none" w:sz="0" w:space="0" w:color="auto"/>
            <w:right w:val="none" w:sz="0" w:space="0" w:color="auto"/>
          </w:divBdr>
        </w:div>
        <w:div w:id="976229691">
          <w:marLeft w:val="640"/>
          <w:marRight w:val="0"/>
          <w:marTop w:val="0"/>
          <w:marBottom w:val="0"/>
          <w:divBdr>
            <w:top w:val="none" w:sz="0" w:space="0" w:color="auto"/>
            <w:left w:val="none" w:sz="0" w:space="0" w:color="auto"/>
            <w:bottom w:val="none" w:sz="0" w:space="0" w:color="auto"/>
            <w:right w:val="none" w:sz="0" w:space="0" w:color="auto"/>
          </w:divBdr>
        </w:div>
        <w:div w:id="2060322735">
          <w:marLeft w:val="640"/>
          <w:marRight w:val="0"/>
          <w:marTop w:val="0"/>
          <w:marBottom w:val="0"/>
          <w:divBdr>
            <w:top w:val="none" w:sz="0" w:space="0" w:color="auto"/>
            <w:left w:val="none" w:sz="0" w:space="0" w:color="auto"/>
            <w:bottom w:val="none" w:sz="0" w:space="0" w:color="auto"/>
            <w:right w:val="none" w:sz="0" w:space="0" w:color="auto"/>
          </w:divBdr>
        </w:div>
        <w:div w:id="1967272416">
          <w:marLeft w:val="640"/>
          <w:marRight w:val="0"/>
          <w:marTop w:val="0"/>
          <w:marBottom w:val="0"/>
          <w:divBdr>
            <w:top w:val="none" w:sz="0" w:space="0" w:color="auto"/>
            <w:left w:val="none" w:sz="0" w:space="0" w:color="auto"/>
            <w:bottom w:val="none" w:sz="0" w:space="0" w:color="auto"/>
            <w:right w:val="none" w:sz="0" w:space="0" w:color="auto"/>
          </w:divBdr>
        </w:div>
        <w:div w:id="2139057507">
          <w:marLeft w:val="640"/>
          <w:marRight w:val="0"/>
          <w:marTop w:val="0"/>
          <w:marBottom w:val="0"/>
          <w:divBdr>
            <w:top w:val="none" w:sz="0" w:space="0" w:color="auto"/>
            <w:left w:val="none" w:sz="0" w:space="0" w:color="auto"/>
            <w:bottom w:val="none" w:sz="0" w:space="0" w:color="auto"/>
            <w:right w:val="none" w:sz="0" w:space="0" w:color="auto"/>
          </w:divBdr>
        </w:div>
        <w:div w:id="244654679">
          <w:marLeft w:val="640"/>
          <w:marRight w:val="0"/>
          <w:marTop w:val="0"/>
          <w:marBottom w:val="0"/>
          <w:divBdr>
            <w:top w:val="none" w:sz="0" w:space="0" w:color="auto"/>
            <w:left w:val="none" w:sz="0" w:space="0" w:color="auto"/>
            <w:bottom w:val="none" w:sz="0" w:space="0" w:color="auto"/>
            <w:right w:val="none" w:sz="0" w:space="0" w:color="auto"/>
          </w:divBdr>
        </w:div>
        <w:div w:id="1558592103">
          <w:marLeft w:val="640"/>
          <w:marRight w:val="0"/>
          <w:marTop w:val="0"/>
          <w:marBottom w:val="0"/>
          <w:divBdr>
            <w:top w:val="none" w:sz="0" w:space="0" w:color="auto"/>
            <w:left w:val="none" w:sz="0" w:space="0" w:color="auto"/>
            <w:bottom w:val="none" w:sz="0" w:space="0" w:color="auto"/>
            <w:right w:val="none" w:sz="0" w:space="0" w:color="auto"/>
          </w:divBdr>
        </w:div>
        <w:div w:id="1803108021">
          <w:marLeft w:val="640"/>
          <w:marRight w:val="0"/>
          <w:marTop w:val="0"/>
          <w:marBottom w:val="0"/>
          <w:divBdr>
            <w:top w:val="none" w:sz="0" w:space="0" w:color="auto"/>
            <w:left w:val="none" w:sz="0" w:space="0" w:color="auto"/>
            <w:bottom w:val="none" w:sz="0" w:space="0" w:color="auto"/>
            <w:right w:val="none" w:sz="0" w:space="0" w:color="auto"/>
          </w:divBdr>
        </w:div>
        <w:div w:id="423455962">
          <w:marLeft w:val="640"/>
          <w:marRight w:val="0"/>
          <w:marTop w:val="0"/>
          <w:marBottom w:val="0"/>
          <w:divBdr>
            <w:top w:val="none" w:sz="0" w:space="0" w:color="auto"/>
            <w:left w:val="none" w:sz="0" w:space="0" w:color="auto"/>
            <w:bottom w:val="none" w:sz="0" w:space="0" w:color="auto"/>
            <w:right w:val="none" w:sz="0" w:space="0" w:color="auto"/>
          </w:divBdr>
        </w:div>
        <w:div w:id="1874539712">
          <w:marLeft w:val="640"/>
          <w:marRight w:val="0"/>
          <w:marTop w:val="0"/>
          <w:marBottom w:val="0"/>
          <w:divBdr>
            <w:top w:val="none" w:sz="0" w:space="0" w:color="auto"/>
            <w:left w:val="none" w:sz="0" w:space="0" w:color="auto"/>
            <w:bottom w:val="none" w:sz="0" w:space="0" w:color="auto"/>
            <w:right w:val="none" w:sz="0" w:space="0" w:color="auto"/>
          </w:divBdr>
        </w:div>
        <w:div w:id="1089958727">
          <w:marLeft w:val="640"/>
          <w:marRight w:val="0"/>
          <w:marTop w:val="0"/>
          <w:marBottom w:val="0"/>
          <w:divBdr>
            <w:top w:val="none" w:sz="0" w:space="0" w:color="auto"/>
            <w:left w:val="none" w:sz="0" w:space="0" w:color="auto"/>
            <w:bottom w:val="none" w:sz="0" w:space="0" w:color="auto"/>
            <w:right w:val="none" w:sz="0" w:space="0" w:color="auto"/>
          </w:divBdr>
        </w:div>
        <w:div w:id="1207524851">
          <w:marLeft w:val="640"/>
          <w:marRight w:val="0"/>
          <w:marTop w:val="0"/>
          <w:marBottom w:val="0"/>
          <w:divBdr>
            <w:top w:val="none" w:sz="0" w:space="0" w:color="auto"/>
            <w:left w:val="none" w:sz="0" w:space="0" w:color="auto"/>
            <w:bottom w:val="none" w:sz="0" w:space="0" w:color="auto"/>
            <w:right w:val="none" w:sz="0" w:space="0" w:color="auto"/>
          </w:divBdr>
        </w:div>
        <w:div w:id="1085420778">
          <w:marLeft w:val="640"/>
          <w:marRight w:val="0"/>
          <w:marTop w:val="0"/>
          <w:marBottom w:val="0"/>
          <w:divBdr>
            <w:top w:val="none" w:sz="0" w:space="0" w:color="auto"/>
            <w:left w:val="none" w:sz="0" w:space="0" w:color="auto"/>
            <w:bottom w:val="none" w:sz="0" w:space="0" w:color="auto"/>
            <w:right w:val="none" w:sz="0" w:space="0" w:color="auto"/>
          </w:divBdr>
        </w:div>
        <w:div w:id="1043364711">
          <w:marLeft w:val="640"/>
          <w:marRight w:val="0"/>
          <w:marTop w:val="0"/>
          <w:marBottom w:val="0"/>
          <w:divBdr>
            <w:top w:val="none" w:sz="0" w:space="0" w:color="auto"/>
            <w:left w:val="none" w:sz="0" w:space="0" w:color="auto"/>
            <w:bottom w:val="none" w:sz="0" w:space="0" w:color="auto"/>
            <w:right w:val="none" w:sz="0" w:space="0" w:color="auto"/>
          </w:divBdr>
        </w:div>
        <w:div w:id="1720131987">
          <w:marLeft w:val="640"/>
          <w:marRight w:val="0"/>
          <w:marTop w:val="0"/>
          <w:marBottom w:val="0"/>
          <w:divBdr>
            <w:top w:val="none" w:sz="0" w:space="0" w:color="auto"/>
            <w:left w:val="none" w:sz="0" w:space="0" w:color="auto"/>
            <w:bottom w:val="none" w:sz="0" w:space="0" w:color="auto"/>
            <w:right w:val="none" w:sz="0" w:space="0" w:color="auto"/>
          </w:divBdr>
        </w:div>
        <w:div w:id="312370706">
          <w:marLeft w:val="640"/>
          <w:marRight w:val="0"/>
          <w:marTop w:val="0"/>
          <w:marBottom w:val="0"/>
          <w:divBdr>
            <w:top w:val="none" w:sz="0" w:space="0" w:color="auto"/>
            <w:left w:val="none" w:sz="0" w:space="0" w:color="auto"/>
            <w:bottom w:val="none" w:sz="0" w:space="0" w:color="auto"/>
            <w:right w:val="none" w:sz="0" w:space="0" w:color="auto"/>
          </w:divBdr>
        </w:div>
        <w:div w:id="1023826215">
          <w:marLeft w:val="640"/>
          <w:marRight w:val="0"/>
          <w:marTop w:val="0"/>
          <w:marBottom w:val="0"/>
          <w:divBdr>
            <w:top w:val="none" w:sz="0" w:space="0" w:color="auto"/>
            <w:left w:val="none" w:sz="0" w:space="0" w:color="auto"/>
            <w:bottom w:val="none" w:sz="0" w:space="0" w:color="auto"/>
            <w:right w:val="none" w:sz="0" w:space="0" w:color="auto"/>
          </w:divBdr>
        </w:div>
        <w:div w:id="580943135">
          <w:marLeft w:val="640"/>
          <w:marRight w:val="0"/>
          <w:marTop w:val="0"/>
          <w:marBottom w:val="0"/>
          <w:divBdr>
            <w:top w:val="none" w:sz="0" w:space="0" w:color="auto"/>
            <w:left w:val="none" w:sz="0" w:space="0" w:color="auto"/>
            <w:bottom w:val="none" w:sz="0" w:space="0" w:color="auto"/>
            <w:right w:val="none" w:sz="0" w:space="0" w:color="auto"/>
          </w:divBdr>
        </w:div>
        <w:div w:id="386607285">
          <w:marLeft w:val="640"/>
          <w:marRight w:val="0"/>
          <w:marTop w:val="0"/>
          <w:marBottom w:val="0"/>
          <w:divBdr>
            <w:top w:val="none" w:sz="0" w:space="0" w:color="auto"/>
            <w:left w:val="none" w:sz="0" w:space="0" w:color="auto"/>
            <w:bottom w:val="none" w:sz="0" w:space="0" w:color="auto"/>
            <w:right w:val="none" w:sz="0" w:space="0" w:color="auto"/>
          </w:divBdr>
        </w:div>
        <w:div w:id="550309517">
          <w:marLeft w:val="640"/>
          <w:marRight w:val="0"/>
          <w:marTop w:val="0"/>
          <w:marBottom w:val="0"/>
          <w:divBdr>
            <w:top w:val="none" w:sz="0" w:space="0" w:color="auto"/>
            <w:left w:val="none" w:sz="0" w:space="0" w:color="auto"/>
            <w:bottom w:val="none" w:sz="0" w:space="0" w:color="auto"/>
            <w:right w:val="none" w:sz="0" w:space="0" w:color="auto"/>
          </w:divBdr>
        </w:div>
        <w:div w:id="1830706930">
          <w:marLeft w:val="640"/>
          <w:marRight w:val="0"/>
          <w:marTop w:val="0"/>
          <w:marBottom w:val="0"/>
          <w:divBdr>
            <w:top w:val="none" w:sz="0" w:space="0" w:color="auto"/>
            <w:left w:val="none" w:sz="0" w:space="0" w:color="auto"/>
            <w:bottom w:val="none" w:sz="0" w:space="0" w:color="auto"/>
            <w:right w:val="none" w:sz="0" w:space="0" w:color="auto"/>
          </w:divBdr>
        </w:div>
        <w:div w:id="1093673100">
          <w:marLeft w:val="640"/>
          <w:marRight w:val="0"/>
          <w:marTop w:val="0"/>
          <w:marBottom w:val="0"/>
          <w:divBdr>
            <w:top w:val="none" w:sz="0" w:space="0" w:color="auto"/>
            <w:left w:val="none" w:sz="0" w:space="0" w:color="auto"/>
            <w:bottom w:val="none" w:sz="0" w:space="0" w:color="auto"/>
            <w:right w:val="none" w:sz="0" w:space="0" w:color="auto"/>
          </w:divBdr>
        </w:div>
        <w:div w:id="1333527106">
          <w:marLeft w:val="640"/>
          <w:marRight w:val="0"/>
          <w:marTop w:val="0"/>
          <w:marBottom w:val="0"/>
          <w:divBdr>
            <w:top w:val="none" w:sz="0" w:space="0" w:color="auto"/>
            <w:left w:val="none" w:sz="0" w:space="0" w:color="auto"/>
            <w:bottom w:val="none" w:sz="0" w:space="0" w:color="auto"/>
            <w:right w:val="none" w:sz="0" w:space="0" w:color="auto"/>
          </w:divBdr>
        </w:div>
        <w:div w:id="2120295813">
          <w:marLeft w:val="640"/>
          <w:marRight w:val="0"/>
          <w:marTop w:val="0"/>
          <w:marBottom w:val="0"/>
          <w:divBdr>
            <w:top w:val="none" w:sz="0" w:space="0" w:color="auto"/>
            <w:left w:val="none" w:sz="0" w:space="0" w:color="auto"/>
            <w:bottom w:val="none" w:sz="0" w:space="0" w:color="auto"/>
            <w:right w:val="none" w:sz="0" w:space="0" w:color="auto"/>
          </w:divBdr>
        </w:div>
        <w:div w:id="188570495">
          <w:marLeft w:val="640"/>
          <w:marRight w:val="0"/>
          <w:marTop w:val="0"/>
          <w:marBottom w:val="0"/>
          <w:divBdr>
            <w:top w:val="none" w:sz="0" w:space="0" w:color="auto"/>
            <w:left w:val="none" w:sz="0" w:space="0" w:color="auto"/>
            <w:bottom w:val="none" w:sz="0" w:space="0" w:color="auto"/>
            <w:right w:val="none" w:sz="0" w:space="0" w:color="auto"/>
          </w:divBdr>
        </w:div>
        <w:div w:id="2143452427">
          <w:marLeft w:val="640"/>
          <w:marRight w:val="0"/>
          <w:marTop w:val="0"/>
          <w:marBottom w:val="0"/>
          <w:divBdr>
            <w:top w:val="none" w:sz="0" w:space="0" w:color="auto"/>
            <w:left w:val="none" w:sz="0" w:space="0" w:color="auto"/>
            <w:bottom w:val="none" w:sz="0" w:space="0" w:color="auto"/>
            <w:right w:val="none" w:sz="0" w:space="0" w:color="auto"/>
          </w:divBdr>
        </w:div>
        <w:div w:id="1362433675">
          <w:marLeft w:val="640"/>
          <w:marRight w:val="0"/>
          <w:marTop w:val="0"/>
          <w:marBottom w:val="0"/>
          <w:divBdr>
            <w:top w:val="none" w:sz="0" w:space="0" w:color="auto"/>
            <w:left w:val="none" w:sz="0" w:space="0" w:color="auto"/>
            <w:bottom w:val="none" w:sz="0" w:space="0" w:color="auto"/>
            <w:right w:val="none" w:sz="0" w:space="0" w:color="auto"/>
          </w:divBdr>
        </w:div>
        <w:div w:id="1320383261">
          <w:marLeft w:val="640"/>
          <w:marRight w:val="0"/>
          <w:marTop w:val="0"/>
          <w:marBottom w:val="0"/>
          <w:divBdr>
            <w:top w:val="none" w:sz="0" w:space="0" w:color="auto"/>
            <w:left w:val="none" w:sz="0" w:space="0" w:color="auto"/>
            <w:bottom w:val="none" w:sz="0" w:space="0" w:color="auto"/>
            <w:right w:val="none" w:sz="0" w:space="0" w:color="auto"/>
          </w:divBdr>
        </w:div>
        <w:div w:id="53360194">
          <w:marLeft w:val="640"/>
          <w:marRight w:val="0"/>
          <w:marTop w:val="0"/>
          <w:marBottom w:val="0"/>
          <w:divBdr>
            <w:top w:val="none" w:sz="0" w:space="0" w:color="auto"/>
            <w:left w:val="none" w:sz="0" w:space="0" w:color="auto"/>
            <w:bottom w:val="none" w:sz="0" w:space="0" w:color="auto"/>
            <w:right w:val="none" w:sz="0" w:space="0" w:color="auto"/>
          </w:divBdr>
        </w:div>
        <w:div w:id="1484420668">
          <w:marLeft w:val="640"/>
          <w:marRight w:val="0"/>
          <w:marTop w:val="0"/>
          <w:marBottom w:val="0"/>
          <w:divBdr>
            <w:top w:val="none" w:sz="0" w:space="0" w:color="auto"/>
            <w:left w:val="none" w:sz="0" w:space="0" w:color="auto"/>
            <w:bottom w:val="none" w:sz="0" w:space="0" w:color="auto"/>
            <w:right w:val="none" w:sz="0" w:space="0" w:color="auto"/>
          </w:divBdr>
        </w:div>
        <w:div w:id="2059893207">
          <w:marLeft w:val="640"/>
          <w:marRight w:val="0"/>
          <w:marTop w:val="0"/>
          <w:marBottom w:val="0"/>
          <w:divBdr>
            <w:top w:val="none" w:sz="0" w:space="0" w:color="auto"/>
            <w:left w:val="none" w:sz="0" w:space="0" w:color="auto"/>
            <w:bottom w:val="none" w:sz="0" w:space="0" w:color="auto"/>
            <w:right w:val="none" w:sz="0" w:space="0" w:color="auto"/>
          </w:divBdr>
        </w:div>
        <w:div w:id="1007095106">
          <w:marLeft w:val="640"/>
          <w:marRight w:val="0"/>
          <w:marTop w:val="0"/>
          <w:marBottom w:val="0"/>
          <w:divBdr>
            <w:top w:val="none" w:sz="0" w:space="0" w:color="auto"/>
            <w:left w:val="none" w:sz="0" w:space="0" w:color="auto"/>
            <w:bottom w:val="none" w:sz="0" w:space="0" w:color="auto"/>
            <w:right w:val="none" w:sz="0" w:space="0" w:color="auto"/>
          </w:divBdr>
        </w:div>
        <w:div w:id="887037222">
          <w:marLeft w:val="640"/>
          <w:marRight w:val="0"/>
          <w:marTop w:val="0"/>
          <w:marBottom w:val="0"/>
          <w:divBdr>
            <w:top w:val="none" w:sz="0" w:space="0" w:color="auto"/>
            <w:left w:val="none" w:sz="0" w:space="0" w:color="auto"/>
            <w:bottom w:val="none" w:sz="0" w:space="0" w:color="auto"/>
            <w:right w:val="none" w:sz="0" w:space="0" w:color="auto"/>
          </w:divBdr>
        </w:div>
        <w:div w:id="1825660471">
          <w:marLeft w:val="640"/>
          <w:marRight w:val="0"/>
          <w:marTop w:val="0"/>
          <w:marBottom w:val="0"/>
          <w:divBdr>
            <w:top w:val="none" w:sz="0" w:space="0" w:color="auto"/>
            <w:left w:val="none" w:sz="0" w:space="0" w:color="auto"/>
            <w:bottom w:val="none" w:sz="0" w:space="0" w:color="auto"/>
            <w:right w:val="none" w:sz="0" w:space="0" w:color="auto"/>
          </w:divBdr>
        </w:div>
        <w:div w:id="425614036">
          <w:marLeft w:val="640"/>
          <w:marRight w:val="0"/>
          <w:marTop w:val="0"/>
          <w:marBottom w:val="0"/>
          <w:divBdr>
            <w:top w:val="none" w:sz="0" w:space="0" w:color="auto"/>
            <w:left w:val="none" w:sz="0" w:space="0" w:color="auto"/>
            <w:bottom w:val="none" w:sz="0" w:space="0" w:color="auto"/>
            <w:right w:val="none" w:sz="0" w:space="0" w:color="auto"/>
          </w:divBdr>
        </w:div>
        <w:div w:id="220597908">
          <w:marLeft w:val="640"/>
          <w:marRight w:val="0"/>
          <w:marTop w:val="0"/>
          <w:marBottom w:val="0"/>
          <w:divBdr>
            <w:top w:val="none" w:sz="0" w:space="0" w:color="auto"/>
            <w:left w:val="none" w:sz="0" w:space="0" w:color="auto"/>
            <w:bottom w:val="none" w:sz="0" w:space="0" w:color="auto"/>
            <w:right w:val="none" w:sz="0" w:space="0" w:color="auto"/>
          </w:divBdr>
        </w:div>
        <w:div w:id="787889377">
          <w:marLeft w:val="640"/>
          <w:marRight w:val="0"/>
          <w:marTop w:val="0"/>
          <w:marBottom w:val="0"/>
          <w:divBdr>
            <w:top w:val="none" w:sz="0" w:space="0" w:color="auto"/>
            <w:left w:val="none" w:sz="0" w:space="0" w:color="auto"/>
            <w:bottom w:val="none" w:sz="0" w:space="0" w:color="auto"/>
            <w:right w:val="none" w:sz="0" w:space="0" w:color="auto"/>
          </w:divBdr>
        </w:div>
        <w:div w:id="1191148057">
          <w:marLeft w:val="640"/>
          <w:marRight w:val="0"/>
          <w:marTop w:val="0"/>
          <w:marBottom w:val="0"/>
          <w:divBdr>
            <w:top w:val="none" w:sz="0" w:space="0" w:color="auto"/>
            <w:left w:val="none" w:sz="0" w:space="0" w:color="auto"/>
            <w:bottom w:val="none" w:sz="0" w:space="0" w:color="auto"/>
            <w:right w:val="none" w:sz="0" w:space="0" w:color="auto"/>
          </w:divBdr>
        </w:div>
        <w:div w:id="1215383952">
          <w:marLeft w:val="640"/>
          <w:marRight w:val="0"/>
          <w:marTop w:val="0"/>
          <w:marBottom w:val="0"/>
          <w:divBdr>
            <w:top w:val="none" w:sz="0" w:space="0" w:color="auto"/>
            <w:left w:val="none" w:sz="0" w:space="0" w:color="auto"/>
            <w:bottom w:val="none" w:sz="0" w:space="0" w:color="auto"/>
            <w:right w:val="none" w:sz="0" w:space="0" w:color="auto"/>
          </w:divBdr>
        </w:div>
        <w:div w:id="847216290">
          <w:marLeft w:val="640"/>
          <w:marRight w:val="0"/>
          <w:marTop w:val="0"/>
          <w:marBottom w:val="0"/>
          <w:divBdr>
            <w:top w:val="none" w:sz="0" w:space="0" w:color="auto"/>
            <w:left w:val="none" w:sz="0" w:space="0" w:color="auto"/>
            <w:bottom w:val="none" w:sz="0" w:space="0" w:color="auto"/>
            <w:right w:val="none" w:sz="0" w:space="0" w:color="auto"/>
          </w:divBdr>
        </w:div>
        <w:div w:id="785924242">
          <w:marLeft w:val="640"/>
          <w:marRight w:val="0"/>
          <w:marTop w:val="0"/>
          <w:marBottom w:val="0"/>
          <w:divBdr>
            <w:top w:val="none" w:sz="0" w:space="0" w:color="auto"/>
            <w:left w:val="none" w:sz="0" w:space="0" w:color="auto"/>
            <w:bottom w:val="none" w:sz="0" w:space="0" w:color="auto"/>
            <w:right w:val="none" w:sz="0" w:space="0" w:color="auto"/>
          </w:divBdr>
        </w:div>
        <w:div w:id="858159881">
          <w:marLeft w:val="640"/>
          <w:marRight w:val="0"/>
          <w:marTop w:val="0"/>
          <w:marBottom w:val="0"/>
          <w:divBdr>
            <w:top w:val="none" w:sz="0" w:space="0" w:color="auto"/>
            <w:left w:val="none" w:sz="0" w:space="0" w:color="auto"/>
            <w:bottom w:val="none" w:sz="0" w:space="0" w:color="auto"/>
            <w:right w:val="none" w:sz="0" w:space="0" w:color="auto"/>
          </w:divBdr>
        </w:div>
        <w:div w:id="412626644">
          <w:marLeft w:val="640"/>
          <w:marRight w:val="0"/>
          <w:marTop w:val="0"/>
          <w:marBottom w:val="0"/>
          <w:divBdr>
            <w:top w:val="none" w:sz="0" w:space="0" w:color="auto"/>
            <w:left w:val="none" w:sz="0" w:space="0" w:color="auto"/>
            <w:bottom w:val="none" w:sz="0" w:space="0" w:color="auto"/>
            <w:right w:val="none" w:sz="0" w:space="0" w:color="auto"/>
          </w:divBdr>
        </w:div>
        <w:div w:id="919369792">
          <w:marLeft w:val="640"/>
          <w:marRight w:val="0"/>
          <w:marTop w:val="0"/>
          <w:marBottom w:val="0"/>
          <w:divBdr>
            <w:top w:val="none" w:sz="0" w:space="0" w:color="auto"/>
            <w:left w:val="none" w:sz="0" w:space="0" w:color="auto"/>
            <w:bottom w:val="none" w:sz="0" w:space="0" w:color="auto"/>
            <w:right w:val="none" w:sz="0" w:space="0" w:color="auto"/>
          </w:divBdr>
        </w:div>
        <w:div w:id="904074872">
          <w:marLeft w:val="640"/>
          <w:marRight w:val="0"/>
          <w:marTop w:val="0"/>
          <w:marBottom w:val="0"/>
          <w:divBdr>
            <w:top w:val="none" w:sz="0" w:space="0" w:color="auto"/>
            <w:left w:val="none" w:sz="0" w:space="0" w:color="auto"/>
            <w:bottom w:val="none" w:sz="0" w:space="0" w:color="auto"/>
            <w:right w:val="none" w:sz="0" w:space="0" w:color="auto"/>
          </w:divBdr>
        </w:div>
        <w:div w:id="471406087">
          <w:marLeft w:val="640"/>
          <w:marRight w:val="0"/>
          <w:marTop w:val="0"/>
          <w:marBottom w:val="0"/>
          <w:divBdr>
            <w:top w:val="none" w:sz="0" w:space="0" w:color="auto"/>
            <w:left w:val="none" w:sz="0" w:space="0" w:color="auto"/>
            <w:bottom w:val="none" w:sz="0" w:space="0" w:color="auto"/>
            <w:right w:val="none" w:sz="0" w:space="0" w:color="auto"/>
          </w:divBdr>
        </w:div>
        <w:div w:id="2020499694">
          <w:marLeft w:val="640"/>
          <w:marRight w:val="0"/>
          <w:marTop w:val="0"/>
          <w:marBottom w:val="0"/>
          <w:divBdr>
            <w:top w:val="none" w:sz="0" w:space="0" w:color="auto"/>
            <w:left w:val="none" w:sz="0" w:space="0" w:color="auto"/>
            <w:bottom w:val="none" w:sz="0" w:space="0" w:color="auto"/>
            <w:right w:val="none" w:sz="0" w:space="0" w:color="auto"/>
          </w:divBdr>
        </w:div>
        <w:div w:id="713122509">
          <w:marLeft w:val="640"/>
          <w:marRight w:val="0"/>
          <w:marTop w:val="0"/>
          <w:marBottom w:val="0"/>
          <w:divBdr>
            <w:top w:val="none" w:sz="0" w:space="0" w:color="auto"/>
            <w:left w:val="none" w:sz="0" w:space="0" w:color="auto"/>
            <w:bottom w:val="none" w:sz="0" w:space="0" w:color="auto"/>
            <w:right w:val="none" w:sz="0" w:space="0" w:color="auto"/>
          </w:divBdr>
        </w:div>
        <w:div w:id="650523144">
          <w:marLeft w:val="640"/>
          <w:marRight w:val="0"/>
          <w:marTop w:val="0"/>
          <w:marBottom w:val="0"/>
          <w:divBdr>
            <w:top w:val="none" w:sz="0" w:space="0" w:color="auto"/>
            <w:left w:val="none" w:sz="0" w:space="0" w:color="auto"/>
            <w:bottom w:val="none" w:sz="0" w:space="0" w:color="auto"/>
            <w:right w:val="none" w:sz="0" w:space="0" w:color="auto"/>
          </w:divBdr>
        </w:div>
        <w:div w:id="965702717">
          <w:marLeft w:val="640"/>
          <w:marRight w:val="0"/>
          <w:marTop w:val="0"/>
          <w:marBottom w:val="0"/>
          <w:divBdr>
            <w:top w:val="none" w:sz="0" w:space="0" w:color="auto"/>
            <w:left w:val="none" w:sz="0" w:space="0" w:color="auto"/>
            <w:bottom w:val="none" w:sz="0" w:space="0" w:color="auto"/>
            <w:right w:val="none" w:sz="0" w:space="0" w:color="auto"/>
          </w:divBdr>
        </w:div>
        <w:div w:id="1696006343">
          <w:marLeft w:val="640"/>
          <w:marRight w:val="0"/>
          <w:marTop w:val="0"/>
          <w:marBottom w:val="0"/>
          <w:divBdr>
            <w:top w:val="none" w:sz="0" w:space="0" w:color="auto"/>
            <w:left w:val="none" w:sz="0" w:space="0" w:color="auto"/>
            <w:bottom w:val="none" w:sz="0" w:space="0" w:color="auto"/>
            <w:right w:val="none" w:sz="0" w:space="0" w:color="auto"/>
          </w:divBdr>
        </w:div>
        <w:div w:id="1607616243">
          <w:marLeft w:val="640"/>
          <w:marRight w:val="0"/>
          <w:marTop w:val="0"/>
          <w:marBottom w:val="0"/>
          <w:divBdr>
            <w:top w:val="none" w:sz="0" w:space="0" w:color="auto"/>
            <w:left w:val="none" w:sz="0" w:space="0" w:color="auto"/>
            <w:bottom w:val="none" w:sz="0" w:space="0" w:color="auto"/>
            <w:right w:val="none" w:sz="0" w:space="0" w:color="auto"/>
          </w:divBdr>
        </w:div>
        <w:div w:id="666519254">
          <w:marLeft w:val="640"/>
          <w:marRight w:val="0"/>
          <w:marTop w:val="0"/>
          <w:marBottom w:val="0"/>
          <w:divBdr>
            <w:top w:val="none" w:sz="0" w:space="0" w:color="auto"/>
            <w:left w:val="none" w:sz="0" w:space="0" w:color="auto"/>
            <w:bottom w:val="none" w:sz="0" w:space="0" w:color="auto"/>
            <w:right w:val="none" w:sz="0" w:space="0" w:color="auto"/>
          </w:divBdr>
        </w:div>
        <w:div w:id="2089382974">
          <w:marLeft w:val="640"/>
          <w:marRight w:val="0"/>
          <w:marTop w:val="0"/>
          <w:marBottom w:val="0"/>
          <w:divBdr>
            <w:top w:val="none" w:sz="0" w:space="0" w:color="auto"/>
            <w:left w:val="none" w:sz="0" w:space="0" w:color="auto"/>
            <w:bottom w:val="none" w:sz="0" w:space="0" w:color="auto"/>
            <w:right w:val="none" w:sz="0" w:space="0" w:color="auto"/>
          </w:divBdr>
        </w:div>
        <w:div w:id="1082795267">
          <w:marLeft w:val="640"/>
          <w:marRight w:val="0"/>
          <w:marTop w:val="0"/>
          <w:marBottom w:val="0"/>
          <w:divBdr>
            <w:top w:val="none" w:sz="0" w:space="0" w:color="auto"/>
            <w:left w:val="none" w:sz="0" w:space="0" w:color="auto"/>
            <w:bottom w:val="none" w:sz="0" w:space="0" w:color="auto"/>
            <w:right w:val="none" w:sz="0" w:space="0" w:color="auto"/>
          </w:divBdr>
        </w:div>
        <w:div w:id="841629362">
          <w:marLeft w:val="640"/>
          <w:marRight w:val="0"/>
          <w:marTop w:val="0"/>
          <w:marBottom w:val="0"/>
          <w:divBdr>
            <w:top w:val="none" w:sz="0" w:space="0" w:color="auto"/>
            <w:left w:val="none" w:sz="0" w:space="0" w:color="auto"/>
            <w:bottom w:val="none" w:sz="0" w:space="0" w:color="auto"/>
            <w:right w:val="none" w:sz="0" w:space="0" w:color="auto"/>
          </w:divBdr>
        </w:div>
        <w:div w:id="617838334">
          <w:marLeft w:val="640"/>
          <w:marRight w:val="0"/>
          <w:marTop w:val="0"/>
          <w:marBottom w:val="0"/>
          <w:divBdr>
            <w:top w:val="none" w:sz="0" w:space="0" w:color="auto"/>
            <w:left w:val="none" w:sz="0" w:space="0" w:color="auto"/>
            <w:bottom w:val="none" w:sz="0" w:space="0" w:color="auto"/>
            <w:right w:val="none" w:sz="0" w:space="0" w:color="auto"/>
          </w:divBdr>
        </w:div>
        <w:div w:id="341711685">
          <w:marLeft w:val="640"/>
          <w:marRight w:val="0"/>
          <w:marTop w:val="0"/>
          <w:marBottom w:val="0"/>
          <w:divBdr>
            <w:top w:val="none" w:sz="0" w:space="0" w:color="auto"/>
            <w:left w:val="none" w:sz="0" w:space="0" w:color="auto"/>
            <w:bottom w:val="none" w:sz="0" w:space="0" w:color="auto"/>
            <w:right w:val="none" w:sz="0" w:space="0" w:color="auto"/>
          </w:divBdr>
        </w:div>
        <w:div w:id="1070881785">
          <w:marLeft w:val="640"/>
          <w:marRight w:val="0"/>
          <w:marTop w:val="0"/>
          <w:marBottom w:val="0"/>
          <w:divBdr>
            <w:top w:val="none" w:sz="0" w:space="0" w:color="auto"/>
            <w:left w:val="none" w:sz="0" w:space="0" w:color="auto"/>
            <w:bottom w:val="none" w:sz="0" w:space="0" w:color="auto"/>
            <w:right w:val="none" w:sz="0" w:space="0" w:color="auto"/>
          </w:divBdr>
        </w:div>
        <w:div w:id="1440299290">
          <w:marLeft w:val="640"/>
          <w:marRight w:val="0"/>
          <w:marTop w:val="0"/>
          <w:marBottom w:val="0"/>
          <w:divBdr>
            <w:top w:val="none" w:sz="0" w:space="0" w:color="auto"/>
            <w:left w:val="none" w:sz="0" w:space="0" w:color="auto"/>
            <w:bottom w:val="none" w:sz="0" w:space="0" w:color="auto"/>
            <w:right w:val="none" w:sz="0" w:space="0" w:color="auto"/>
          </w:divBdr>
        </w:div>
        <w:div w:id="1760298072">
          <w:marLeft w:val="640"/>
          <w:marRight w:val="0"/>
          <w:marTop w:val="0"/>
          <w:marBottom w:val="0"/>
          <w:divBdr>
            <w:top w:val="none" w:sz="0" w:space="0" w:color="auto"/>
            <w:left w:val="none" w:sz="0" w:space="0" w:color="auto"/>
            <w:bottom w:val="none" w:sz="0" w:space="0" w:color="auto"/>
            <w:right w:val="none" w:sz="0" w:space="0" w:color="auto"/>
          </w:divBdr>
        </w:div>
        <w:div w:id="549415853">
          <w:marLeft w:val="640"/>
          <w:marRight w:val="0"/>
          <w:marTop w:val="0"/>
          <w:marBottom w:val="0"/>
          <w:divBdr>
            <w:top w:val="none" w:sz="0" w:space="0" w:color="auto"/>
            <w:left w:val="none" w:sz="0" w:space="0" w:color="auto"/>
            <w:bottom w:val="none" w:sz="0" w:space="0" w:color="auto"/>
            <w:right w:val="none" w:sz="0" w:space="0" w:color="auto"/>
          </w:divBdr>
        </w:div>
        <w:div w:id="954411226">
          <w:marLeft w:val="640"/>
          <w:marRight w:val="0"/>
          <w:marTop w:val="0"/>
          <w:marBottom w:val="0"/>
          <w:divBdr>
            <w:top w:val="none" w:sz="0" w:space="0" w:color="auto"/>
            <w:left w:val="none" w:sz="0" w:space="0" w:color="auto"/>
            <w:bottom w:val="none" w:sz="0" w:space="0" w:color="auto"/>
            <w:right w:val="none" w:sz="0" w:space="0" w:color="auto"/>
          </w:divBdr>
        </w:div>
        <w:div w:id="307053656">
          <w:marLeft w:val="640"/>
          <w:marRight w:val="0"/>
          <w:marTop w:val="0"/>
          <w:marBottom w:val="0"/>
          <w:divBdr>
            <w:top w:val="none" w:sz="0" w:space="0" w:color="auto"/>
            <w:left w:val="none" w:sz="0" w:space="0" w:color="auto"/>
            <w:bottom w:val="none" w:sz="0" w:space="0" w:color="auto"/>
            <w:right w:val="none" w:sz="0" w:space="0" w:color="auto"/>
          </w:divBdr>
        </w:div>
      </w:divsChild>
    </w:div>
    <w:div w:id="1286698633">
      <w:bodyDiv w:val="1"/>
      <w:marLeft w:val="0"/>
      <w:marRight w:val="0"/>
      <w:marTop w:val="0"/>
      <w:marBottom w:val="0"/>
      <w:divBdr>
        <w:top w:val="none" w:sz="0" w:space="0" w:color="auto"/>
        <w:left w:val="none" w:sz="0" w:space="0" w:color="auto"/>
        <w:bottom w:val="none" w:sz="0" w:space="0" w:color="auto"/>
        <w:right w:val="none" w:sz="0" w:space="0" w:color="auto"/>
      </w:divBdr>
      <w:divsChild>
        <w:div w:id="1753549193">
          <w:marLeft w:val="640"/>
          <w:marRight w:val="0"/>
          <w:marTop w:val="0"/>
          <w:marBottom w:val="0"/>
          <w:divBdr>
            <w:top w:val="none" w:sz="0" w:space="0" w:color="auto"/>
            <w:left w:val="none" w:sz="0" w:space="0" w:color="auto"/>
            <w:bottom w:val="none" w:sz="0" w:space="0" w:color="auto"/>
            <w:right w:val="none" w:sz="0" w:space="0" w:color="auto"/>
          </w:divBdr>
        </w:div>
        <w:div w:id="2104840491">
          <w:marLeft w:val="640"/>
          <w:marRight w:val="0"/>
          <w:marTop w:val="0"/>
          <w:marBottom w:val="0"/>
          <w:divBdr>
            <w:top w:val="none" w:sz="0" w:space="0" w:color="auto"/>
            <w:left w:val="none" w:sz="0" w:space="0" w:color="auto"/>
            <w:bottom w:val="none" w:sz="0" w:space="0" w:color="auto"/>
            <w:right w:val="none" w:sz="0" w:space="0" w:color="auto"/>
          </w:divBdr>
        </w:div>
        <w:div w:id="1989824376">
          <w:marLeft w:val="640"/>
          <w:marRight w:val="0"/>
          <w:marTop w:val="0"/>
          <w:marBottom w:val="0"/>
          <w:divBdr>
            <w:top w:val="none" w:sz="0" w:space="0" w:color="auto"/>
            <w:left w:val="none" w:sz="0" w:space="0" w:color="auto"/>
            <w:bottom w:val="none" w:sz="0" w:space="0" w:color="auto"/>
            <w:right w:val="none" w:sz="0" w:space="0" w:color="auto"/>
          </w:divBdr>
        </w:div>
        <w:div w:id="1502695603">
          <w:marLeft w:val="640"/>
          <w:marRight w:val="0"/>
          <w:marTop w:val="0"/>
          <w:marBottom w:val="0"/>
          <w:divBdr>
            <w:top w:val="none" w:sz="0" w:space="0" w:color="auto"/>
            <w:left w:val="none" w:sz="0" w:space="0" w:color="auto"/>
            <w:bottom w:val="none" w:sz="0" w:space="0" w:color="auto"/>
            <w:right w:val="none" w:sz="0" w:space="0" w:color="auto"/>
          </w:divBdr>
        </w:div>
        <w:div w:id="1995907368">
          <w:marLeft w:val="640"/>
          <w:marRight w:val="0"/>
          <w:marTop w:val="0"/>
          <w:marBottom w:val="0"/>
          <w:divBdr>
            <w:top w:val="none" w:sz="0" w:space="0" w:color="auto"/>
            <w:left w:val="none" w:sz="0" w:space="0" w:color="auto"/>
            <w:bottom w:val="none" w:sz="0" w:space="0" w:color="auto"/>
            <w:right w:val="none" w:sz="0" w:space="0" w:color="auto"/>
          </w:divBdr>
        </w:div>
        <w:div w:id="1640308597">
          <w:marLeft w:val="640"/>
          <w:marRight w:val="0"/>
          <w:marTop w:val="0"/>
          <w:marBottom w:val="0"/>
          <w:divBdr>
            <w:top w:val="none" w:sz="0" w:space="0" w:color="auto"/>
            <w:left w:val="none" w:sz="0" w:space="0" w:color="auto"/>
            <w:bottom w:val="none" w:sz="0" w:space="0" w:color="auto"/>
            <w:right w:val="none" w:sz="0" w:space="0" w:color="auto"/>
          </w:divBdr>
        </w:div>
        <w:div w:id="634989178">
          <w:marLeft w:val="640"/>
          <w:marRight w:val="0"/>
          <w:marTop w:val="0"/>
          <w:marBottom w:val="0"/>
          <w:divBdr>
            <w:top w:val="none" w:sz="0" w:space="0" w:color="auto"/>
            <w:left w:val="none" w:sz="0" w:space="0" w:color="auto"/>
            <w:bottom w:val="none" w:sz="0" w:space="0" w:color="auto"/>
            <w:right w:val="none" w:sz="0" w:space="0" w:color="auto"/>
          </w:divBdr>
        </w:div>
        <w:div w:id="1621956039">
          <w:marLeft w:val="640"/>
          <w:marRight w:val="0"/>
          <w:marTop w:val="0"/>
          <w:marBottom w:val="0"/>
          <w:divBdr>
            <w:top w:val="none" w:sz="0" w:space="0" w:color="auto"/>
            <w:left w:val="none" w:sz="0" w:space="0" w:color="auto"/>
            <w:bottom w:val="none" w:sz="0" w:space="0" w:color="auto"/>
            <w:right w:val="none" w:sz="0" w:space="0" w:color="auto"/>
          </w:divBdr>
        </w:div>
        <w:div w:id="2119135811">
          <w:marLeft w:val="640"/>
          <w:marRight w:val="0"/>
          <w:marTop w:val="0"/>
          <w:marBottom w:val="0"/>
          <w:divBdr>
            <w:top w:val="none" w:sz="0" w:space="0" w:color="auto"/>
            <w:left w:val="none" w:sz="0" w:space="0" w:color="auto"/>
            <w:bottom w:val="none" w:sz="0" w:space="0" w:color="auto"/>
            <w:right w:val="none" w:sz="0" w:space="0" w:color="auto"/>
          </w:divBdr>
        </w:div>
        <w:div w:id="1196698829">
          <w:marLeft w:val="640"/>
          <w:marRight w:val="0"/>
          <w:marTop w:val="0"/>
          <w:marBottom w:val="0"/>
          <w:divBdr>
            <w:top w:val="none" w:sz="0" w:space="0" w:color="auto"/>
            <w:left w:val="none" w:sz="0" w:space="0" w:color="auto"/>
            <w:bottom w:val="none" w:sz="0" w:space="0" w:color="auto"/>
            <w:right w:val="none" w:sz="0" w:space="0" w:color="auto"/>
          </w:divBdr>
        </w:div>
        <w:div w:id="468788988">
          <w:marLeft w:val="640"/>
          <w:marRight w:val="0"/>
          <w:marTop w:val="0"/>
          <w:marBottom w:val="0"/>
          <w:divBdr>
            <w:top w:val="none" w:sz="0" w:space="0" w:color="auto"/>
            <w:left w:val="none" w:sz="0" w:space="0" w:color="auto"/>
            <w:bottom w:val="none" w:sz="0" w:space="0" w:color="auto"/>
            <w:right w:val="none" w:sz="0" w:space="0" w:color="auto"/>
          </w:divBdr>
        </w:div>
        <w:div w:id="1914968357">
          <w:marLeft w:val="640"/>
          <w:marRight w:val="0"/>
          <w:marTop w:val="0"/>
          <w:marBottom w:val="0"/>
          <w:divBdr>
            <w:top w:val="none" w:sz="0" w:space="0" w:color="auto"/>
            <w:left w:val="none" w:sz="0" w:space="0" w:color="auto"/>
            <w:bottom w:val="none" w:sz="0" w:space="0" w:color="auto"/>
            <w:right w:val="none" w:sz="0" w:space="0" w:color="auto"/>
          </w:divBdr>
        </w:div>
        <w:div w:id="2135979682">
          <w:marLeft w:val="640"/>
          <w:marRight w:val="0"/>
          <w:marTop w:val="0"/>
          <w:marBottom w:val="0"/>
          <w:divBdr>
            <w:top w:val="none" w:sz="0" w:space="0" w:color="auto"/>
            <w:left w:val="none" w:sz="0" w:space="0" w:color="auto"/>
            <w:bottom w:val="none" w:sz="0" w:space="0" w:color="auto"/>
            <w:right w:val="none" w:sz="0" w:space="0" w:color="auto"/>
          </w:divBdr>
        </w:div>
        <w:div w:id="252905981">
          <w:marLeft w:val="640"/>
          <w:marRight w:val="0"/>
          <w:marTop w:val="0"/>
          <w:marBottom w:val="0"/>
          <w:divBdr>
            <w:top w:val="none" w:sz="0" w:space="0" w:color="auto"/>
            <w:left w:val="none" w:sz="0" w:space="0" w:color="auto"/>
            <w:bottom w:val="none" w:sz="0" w:space="0" w:color="auto"/>
            <w:right w:val="none" w:sz="0" w:space="0" w:color="auto"/>
          </w:divBdr>
        </w:div>
        <w:div w:id="2094037837">
          <w:marLeft w:val="640"/>
          <w:marRight w:val="0"/>
          <w:marTop w:val="0"/>
          <w:marBottom w:val="0"/>
          <w:divBdr>
            <w:top w:val="none" w:sz="0" w:space="0" w:color="auto"/>
            <w:left w:val="none" w:sz="0" w:space="0" w:color="auto"/>
            <w:bottom w:val="none" w:sz="0" w:space="0" w:color="auto"/>
            <w:right w:val="none" w:sz="0" w:space="0" w:color="auto"/>
          </w:divBdr>
        </w:div>
        <w:div w:id="880633023">
          <w:marLeft w:val="640"/>
          <w:marRight w:val="0"/>
          <w:marTop w:val="0"/>
          <w:marBottom w:val="0"/>
          <w:divBdr>
            <w:top w:val="none" w:sz="0" w:space="0" w:color="auto"/>
            <w:left w:val="none" w:sz="0" w:space="0" w:color="auto"/>
            <w:bottom w:val="none" w:sz="0" w:space="0" w:color="auto"/>
            <w:right w:val="none" w:sz="0" w:space="0" w:color="auto"/>
          </w:divBdr>
        </w:div>
        <w:div w:id="2050832074">
          <w:marLeft w:val="640"/>
          <w:marRight w:val="0"/>
          <w:marTop w:val="0"/>
          <w:marBottom w:val="0"/>
          <w:divBdr>
            <w:top w:val="none" w:sz="0" w:space="0" w:color="auto"/>
            <w:left w:val="none" w:sz="0" w:space="0" w:color="auto"/>
            <w:bottom w:val="none" w:sz="0" w:space="0" w:color="auto"/>
            <w:right w:val="none" w:sz="0" w:space="0" w:color="auto"/>
          </w:divBdr>
        </w:div>
        <w:div w:id="1587155411">
          <w:marLeft w:val="640"/>
          <w:marRight w:val="0"/>
          <w:marTop w:val="0"/>
          <w:marBottom w:val="0"/>
          <w:divBdr>
            <w:top w:val="none" w:sz="0" w:space="0" w:color="auto"/>
            <w:left w:val="none" w:sz="0" w:space="0" w:color="auto"/>
            <w:bottom w:val="none" w:sz="0" w:space="0" w:color="auto"/>
            <w:right w:val="none" w:sz="0" w:space="0" w:color="auto"/>
          </w:divBdr>
        </w:div>
        <w:div w:id="594022608">
          <w:marLeft w:val="640"/>
          <w:marRight w:val="0"/>
          <w:marTop w:val="0"/>
          <w:marBottom w:val="0"/>
          <w:divBdr>
            <w:top w:val="none" w:sz="0" w:space="0" w:color="auto"/>
            <w:left w:val="none" w:sz="0" w:space="0" w:color="auto"/>
            <w:bottom w:val="none" w:sz="0" w:space="0" w:color="auto"/>
            <w:right w:val="none" w:sz="0" w:space="0" w:color="auto"/>
          </w:divBdr>
        </w:div>
        <w:div w:id="349114391">
          <w:marLeft w:val="640"/>
          <w:marRight w:val="0"/>
          <w:marTop w:val="0"/>
          <w:marBottom w:val="0"/>
          <w:divBdr>
            <w:top w:val="none" w:sz="0" w:space="0" w:color="auto"/>
            <w:left w:val="none" w:sz="0" w:space="0" w:color="auto"/>
            <w:bottom w:val="none" w:sz="0" w:space="0" w:color="auto"/>
            <w:right w:val="none" w:sz="0" w:space="0" w:color="auto"/>
          </w:divBdr>
        </w:div>
        <w:div w:id="1620989460">
          <w:marLeft w:val="640"/>
          <w:marRight w:val="0"/>
          <w:marTop w:val="0"/>
          <w:marBottom w:val="0"/>
          <w:divBdr>
            <w:top w:val="none" w:sz="0" w:space="0" w:color="auto"/>
            <w:left w:val="none" w:sz="0" w:space="0" w:color="auto"/>
            <w:bottom w:val="none" w:sz="0" w:space="0" w:color="auto"/>
            <w:right w:val="none" w:sz="0" w:space="0" w:color="auto"/>
          </w:divBdr>
        </w:div>
        <w:div w:id="167135133">
          <w:marLeft w:val="640"/>
          <w:marRight w:val="0"/>
          <w:marTop w:val="0"/>
          <w:marBottom w:val="0"/>
          <w:divBdr>
            <w:top w:val="none" w:sz="0" w:space="0" w:color="auto"/>
            <w:left w:val="none" w:sz="0" w:space="0" w:color="auto"/>
            <w:bottom w:val="none" w:sz="0" w:space="0" w:color="auto"/>
            <w:right w:val="none" w:sz="0" w:space="0" w:color="auto"/>
          </w:divBdr>
        </w:div>
        <w:div w:id="1949458802">
          <w:marLeft w:val="640"/>
          <w:marRight w:val="0"/>
          <w:marTop w:val="0"/>
          <w:marBottom w:val="0"/>
          <w:divBdr>
            <w:top w:val="none" w:sz="0" w:space="0" w:color="auto"/>
            <w:left w:val="none" w:sz="0" w:space="0" w:color="auto"/>
            <w:bottom w:val="none" w:sz="0" w:space="0" w:color="auto"/>
            <w:right w:val="none" w:sz="0" w:space="0" w:color="auto"/>
          </w:divBdr>
        </w:div>
        <w:div w:id="325674425">
          <w:marLeft w:val="640"/>
          <w:marRight w:val="0"/>
          <w:marTop w:val="0"/>
          <w:marBottom w:val="0"/>
          <w:divBdr>
            <w:top w:val="none" w:sz="0" w:space="0" w:color="auto"/>
            <w:left w:val="none" w:sz="0" w:space="0" w:color="auto"/>
            <w:bottom w:val="none" w:sz="0" w:space="0" w:color="auto"/>
            <w:right w:val="none" w:sz="0" w:space="0" w:color="auto"/>
          </w:divBdr>
        </w:div>
        <w:div w:id="1566524053">
          <w:marLeft w:val="640"/>
          <w:marRight w:val="0"/>
          <w:marTop w:val="0"/>
          <w:marBottom w:val="0"/>
          <w:divBdr>
            <w:top w:val="none" w:sz="0" w:space="0" w:color="auto"/>
            <w:left w:val="none" w:sz="0" w:space="0" w:color="auto"/>
            <w:bottom w:val="none" w:sz="0" w:space="0" w:color="auto"/>
            <w:right w:val="none" w:sz="0" w:space="0" w:color="auto"/>
          </w:divBdr>
        </w:div>
        <w:div w:id="2014142316">
          <w:marLeft w:val="640"/>
          <w:marRight w:val="0"/>
          <w:marTop w:val="0"/>
          <w:marBottom w:val="0"/>
          <w:divBdr>
            <w:top w:val="none" w:sz="0" w:space="0" w:color="auto"/>
            <w:left w:val="none" w:sz="0" w:space="0" w:color="auto"/>
            <w:bottom w:val="none" w:sz="0" w:space="0" w:color="auto"/>
            <w:right w:val="none" w:sz="0" w:space="0" w:color="auto"/>
          </w:divBdr>
        </w:div>
        <w:div w:id="1767114948">
          <w:marLeft w:val="640"/>
          <w:marRight w:val="0"/>
          <w:marTop w:val="0"/>
          <w:marBottom w:val="0"/>
          <w:divBdr>
            <w:top w:val="none" w:sz="0" w:space="0" w:color="auto"/>
            <w:left w:val="none" w:sz="0" w:space="0" w:color="auto"/>
            <w:bottom w:val="none" w:sz="0" w:space="0" w:color="auto"/>
            <w:right w:val="none" w:sz="0" w:space="0" w:color="auto"/>
          </w:divBdr>
        </w:div>
        <w:div w:id="946304330">
          <w:marLeft w:val="640"/>
          <w:marRight w:val="0"/>
          <w:marTop w:val="0"/>
          <w:marBottom w:val="0"/>
          <w:divBdr>
            <w:top w:val="none" w:sz="0" w:space="0" w:color="auto"/>
            <w:left w:val="none" w:sz="0" w:space="0" w:color="auto"/>
            <w:bottom w:val="none" w:sz="0" w:space="0" w:color="auto"/>
            <w:right w:val="none" w:sz="0" w:space="0" w:color="auto"/>
          </w:divBdr>
        </w:div>
        <w:div w:id="602763069">
          <w:marLeft w:val="640"/>
          <w:marRight w:val="0"/>
          <w:marTop w:val="0"/>
          <w:marBottom w:val="0"/>
          <w:divBdr>
            <w:top w:val="none" w:sz="0" w:space="0" w:color="auto"/>
            <w:left w:val="none" w:sz="0" w:space="0" w:color="auto"/>
            <w:bottom w:val="none" w:sz="0" w:space="0" w:color="auto"/>
            <w:right w:val="none" w:sz="0" w:space="0" w:color="auto"/>
          </w:divBdr>
        </w:div>
        <w:div w:id="1517425491">
          <w:marLeft w:val="640"/>
          <w:marRight w:val="0"/>
          <w:marTop w:val="0"/>
          <w:marBottom w:val="0"/>
          <w:divBdr>
            <w:top w:val="none" w:sz="0" w:space="0" w:color="auto"/>
            <w:left w:val="none" w:sz="0" w:space="0" w:color="auto"/>
            <w:bottom w:val="none" w:sz="0" w:space="0" w:color="auto"/>
            <w:right w:val="none" w:sz="0" w:space="0" w:color="auto"/>
          </w:divBdr>
        </w:div>
        <w:div w:id="456605224">
          <w:marLeft w:val="640"/>
          <w:marRight w:val="0"/>
          <w:marTop w:val="0"/>
          <w:marBottom w:val="0"/>
          <w:divBdr>
            <w:top w:val="none" w:sz="0" w:space="0" w:color="auto"/>
            <w:left w:val="none" w:sz="0" w:space="0" w:color="auto"/>
            <w:bottom w:val="none" w:sz="0" w:space="0" w:color="auto"/>
            <w:right w:val="none" w:sz="0" w:space="0" w:color="auto"/>
          </w:divBdr>
        </w:div>
        <w:div w:id="1999382773">
          <w:marLeft w:val="640"/>
          <w:marRight w:val="0"/>
          <w:marTop w:val="0"/>
          <w:marBottom w:val="0"/>
          <w:divBdr>
            <w:top w:val="none" w:sz="0" w:space="0" w:color="auto"/>
            <w:left w:val="none" w:sz="0" w:space="0" w:color="auto"/>
            <w:bottom w:val="none" w:sz="0" w:space="0" w:color="auto"/>
            <w:right w:val="none" w:sz="0" w:space="0" w:color="auto"/>
          </w:divBdr>
        </w:div>
        <w:div w:id="1163158142">
          <w:marLeft w:val="640"/>
          <w:marRight w:val="0"/>
          <w:marTop w:val="0"/>
          <w:marBottom w:val="0"/>
          <w:divBdr>
            <w:top w:val="none" w:sz="0" w:space="0" w:color="auto"/>
            <w:left w:val="none" w:sz="0" w:space="0" w:color="auto"/>
            <w:bottom w:val="none" w:sz="0" w:space="0" w:color="auto"/>
            <w:right w:val="none" w:sz="0" w:space="0" w:color="auto"/>
          </w:divBdr>
        </w:div>
        <w:div w:id="51466931">
          <w:marLeft w:val="640"/>
          <w:marRight w:val="0"/>
          <w:marTop w:val="0"/>
          <w:marBottom w:val="0"/>
          <w:divBdr>
            <w:top w:val="none" w:sz="0" w:space="0" w:color="auto"/>
            <w:left w:val="none" w:sz="0" w:space="0" w:color="auto"/>
            <w:bottom w:val="none" w:sz="0" w:space="0" w:color="auto"/>
            <w:right w:val="none" w:sz="0" w:space="0" w:color="auto"/>
          </w:divBdr>
        </w:div>
        <w:div w:id="1644774048">
          <w:marLeft w:val="640"/>
          <w:marRight w:val="0"/>
          <w:marTop w:val="0"/>
          <w:marBottom w:val="0"/>
          <w:divBdr>
            <w:top w:val="none" w:sz="0" w:space="0" w:color="auto"/>
            <w:left w:val="none" w:sz="0" w:space="0" w:color="auto"/>
            <w:bottom w:val="none" w:sz="0" w:space="0" w:color="auto"/>
            <w:right w:val="none" w:sz="0" w:space="0" w:color="auto"/>
          </w:divBdr>
        </w:div>
        <w:div w:id="905723359">
          <w:marLeft w:val="640"/>
          <w:marRight w:val="0"/>
          <w:marTop w:val="0"/>
          <w:marBottom w:val="0"/>
          <w:divBdr>
            <w:top w:val="none" w:sz="0" w:space="0" w:color="auto"/>
            <w:left w:val="none" w:sz="0" w:space="0" w:color="auto"/>
            <w:bottom w:val="none" w:sz="0" w:space="0" w:color="auto"/>
            <w:right w:val="none" w:sz="0" w:space="0" w:color="auto"/>
          </w:divBdr>
        </w:div>
        <w:div w:id="2034303176">
          <w:marLeft w:val="640"/>
          <w:marRight w:val="0"/>
          <w:marTop w:val="0"/>
          <w:marBottom w:val="0"/>
          <w:divBdr>
            <w:top w:val="none" w:sz="0" w:space="0" w:color="auto"/>
            <w:left w:val="none" w:sz="0" w:space="0" w:color="auto"/>
            <w:bottom w:val="none" w:sz="0" w:space="0" w:color="auto"/>
            <w:right w:val="none" w:sz="0" w:space="0" w:color="auto"/>
          </w:divBdr>
        </w:div>
        <w:div w:id="1246382961">
          <w:marLeft w:val="640"/>
          <w:marRight w:val="0"/>
          <w:marTop w:val="0"/>
          <w:marBottom w:val="0"/>
          <w:divBdr>
            <w:top w:val="none" w:sz="0" w:space="0" w:color="auto"/>
            <w:left w:val="none" w:sz="0" w:space="0" w:color="auto"/>
            <w:bottom w:val="none" w:sz="0" w:space="0" w:color="auto"/>
            <w:right w:val="none" w:sz="0" w:space="0" w:color="auto"/>
          </w:divBdr>
        </w:div>
        <w:div w:id="2052000574">
          <w:marLeft w:val="640"/>
          <w:marRight w:val="0"/>
          <w:marTop w:val="0"/>
          <w:marBottom w:val="0"/>
          <w:divBdr>
            <w:top w:val="none" w:sz="0" w:space="0" w:color="auto"/>
            <w:left w:val="none" w:sz="0" w:space="0" w:color="auto"/>
            <w:bottom w:val="none" w:sz="0" w:space="0" w:color="auto"/>
            <w:right w:val="none" w:sz="0" w:space="0" w:color="auto"/>
          </w:divBdr>
        </w:div>
        <w:div w:id="1912999793">
          <w:marLeft w:val="640"/>
          <w:marRight w:val="0"/>
          <w:marTop w:val="0"/>
          <w:marBottom w:val="0"/>
          <w:divBdr>
            <w:top w:val="none" w:sz="0" w:space="0" w:color="auto"/>
            <w:left w:val="none" w:sz="0" w:space="0" w:color="auto"/>
            <w:bottom w:val="none" w:sz="0" w:space="0" w:color="auto"/>
            <w:right w:val="none" w:sz="0" w:space="0" w:color="auto"/>
          </w:divBdr>
        </w:div>
        <w:div w:id="1536382168">
          <w:marLeft w:val="640"/>
          <w:marRight w:val="0"/>
          <w:marTop w:val="0"/>
          <w:marBottom w:val="0"/>
          <w:divBdr>
            <w:top w:val="none" w:sz="0" w:space="0" w:color="auto"/>
            <w:left w:val="none" w:sz="0" w:space="0" w:color="auto"/>
            <w:bottom w:val="none" w:sz="0" w:space="0" w:color="auto"/>
            <w:right w:val="none" w:sz="0" w:space="0" w:color="auto"/>
          </w:divBdr>
        </w:div>
        <w:div w:id="433400224">
          <w:marLeft w:val="640"/>
          <w:marRight w:val="0"/>
          <w:marTop w:val="0"/>
          <w:marBottom w:val="0"/>
          <w:divBdr>
            <w:top w:val="none" w:sz="0" w:space="0" w:color="auto"/>
            <w:left w:val="none" w:sz="0" w:space="0" w:color="auto"/>
            <w:bottom w:val="none" w:sz="0" w:space="0" w:color="auto"/>
            <w:right w:val="none" w:sz="0" w:space="0" w:color="auto"/>
          </w:divBdr>
        </w:div>
        <w:div w:id="985088357">
          <w:marLeft w:val="640"/>
          <w:marRight w:val="0"/>
          <w:marTop w:val="0"/>
          <w:marBottom w:val="0"/>
          <w:divBdr>
            <w:top w:val="none" w:sz="0" w:space="0" w:color="auto"/>
            <w:left w:val="none" w:sz="0" w:space="0" w:color="auto"/>
            <w:bottom w:val="none" w:sz="0" w:space="0" w:color="auto"/>
            <w:right w:val="none" w:sz="0" w:space="0" w:color="auto"/>
          </w:divBdr>
        </w:div>
        <w:div w:id="1508985929">
          <w:marLeft w:val="640"/>
          <w:marRight w:val="0"/>
          <w:marTop w:val="0"/>
          <w:marBottom w:val="0"/>
          <w:divBdr>
            <w:top w:val="none" w:sz="0" w:space="0" w:color="auto"/>
            <w:left w:val="none" w:sz="0" w:space="0" w:color="auto"/>
            <w:bottom w:val="none" w:sz="0" w:space="0" w:color="auto"/>
            <w:right w:val="none" w:sz="0" w:space="0" w:color="auto"/>
          </w:divBdr>
        </w:div>
        <w:div w:id="1886483261">
          <w:marLeft w:val="640"/>
          <w:marRight w:val="0"/>
          <w:marTop w:val="0"/>
          <w:marBottom w:val="0"/>
          <w:divBdr>
            <w:top w:val="none" w:sz="0" w:space="0" w:color="auto"/>
            <w:left w:val="none" w:sz="0" w:space="0" w:color="auto"/>
            <w:bottom w:val="none" w:sz="0" w:space="0" w:color="auto"/>
            <w:right w:val="none" w:sz="0" w:space="0" w:color="auto"/>
          </w:divBdr>
        </w:div>
        <w:div w:id="270673601">
          <w:marLeft w:val="640"/>
          <w:marRight w:val="0"/>
          <w:marTop w:val="0"/>
          <w:marBottom w:val="0"/>
          <w:divBdr>
            <w:top w:val="none" w:sz="0" w:space="0" w:color="auto"/>
            <w:left w:val="none" w:sz="0" w:space="0" w:color="auto"/>
            <w:bottom w:val="none" w:sz="0" w:space="0" w:color="auto"/>
            <w:right w:val="none" w:sz="0" w:space="0" w:color="auto"/>
          </w:divBdr>
        </w:div>
        <w:div w:id="494489726">
          <w:marLeft w:val="640"/>
          <w:marRight w:val="0"/>
          <w:marTop w:val="0"/>
          <w:marBottom w:val="0"/>
          <w:divBdr>
            <w:top w:val="none" w:sz="0" w:space="0" w:color="auto"/>
            <w:left w:val="none" w:sz="0" w:space="0" w:color="auto"/>
            <w:bottom w:val="none" w:sz="0" w:space="0" w:color="auto"/>
            <w:right w:val="none" w:sz="0" w:space="0" w:color="auto"/>
          </w:divBdr>
        </w:div>
        <w:div w:id="405108978">
          <w:marLeft w:val="640"/>
          <w:marRight w:val="0"/>
          <w:marTop w:val="0"/>
          <w:marBottom w:val="0"/>
          <w:divBdr>
            <w:top w:val="none" w:sz="0" w:space="0" w:color="auto"/>
            <w:left w:val="none" w:sz="0" w:space="0" w:color="auto"/>
            <w:bottom w:val="none" w:sz="0" w:space="0" w:color="auto"/>
            <w:right w:val="none" w:sz="0" w:space="0" w:color="auto"/>
          </w:divBdr>
        </w:div>
        <w:div w:id="1086653257">
          <w:marLeft w:val="640"/>
          <w:marRight w:val="0"/>
          <w:marTop w:val="0"/>
          <w:marBottom w:val="0"/>
          <w:divBdr>
            <w:top w:val="none" w:sz="0" w:space="0" w:color="auto"/>
            <w:left w:val="none" w:sz="0" w:space="0" w:color="auto"/>
            <w:bottom w:val="none" w:sz="0" w:space="0" w:color="auto"/>
            <w:right w:val="none" w:sz="0" w:space="0" w:color="auto"/>
          </w:divBdr>
        </w:div>
        <w:div w:id="1173762517">
          <w:marLeft w:val="640"/>
          <w:marRight w:val="0"/>
          <w:marTop w:val="0"/>
          <w:marBottom w:val="0"/>
          <w:divBdr>
            <w:top w:val="none" w:sz="0" w:space="0" w:color="auto"/>
            <w:left w:val="none" w:sz="0" w:space="0" w:color="auto"/>
            <w:bottom w:val="none" w:sz="0" w:space="0" w:color="auto"/>
            <w:right w:val="none" w:sz="0" w:space="0" w:color="auto"/>
          </w:divBdr>
        </w:div>
        <w:div w:id="957177228">
          <w:marLeft w:val="640"/>
          <w:marRight w:val="0"/>
          <w:marTop w:val="0"/>
          <w:marBottom w:val="0"/>
          <w:divBdr>
            <w:top w:val="none" w:sz="0" w:space="0" w:color="auto"/>
            <w:left w:val="none" w:sz="0" w:space="0" w:color="auto"/>
            <w:bottom w:val="none" w:sz="0" w:space="0" w:color="auto"/>
            <w:right w:val="none" w:sz="0" w:space="0" w:color="auto"/>
          </w:divBdr>
        </w:div>
        <w:div w:id="154996862">
          <w:marLeft w:val="640"/>
          <w:marRight w:val="0"/>
          <w:marTop w:val="0"/>
          <w:marBottom w:val="0"/>
          <w:divBdr>
            <w:top w:val="none" w:sz="0" w:space="0" w:color="auto"/>
            <w:left w:val="none" w:sz="0" w:space="0" w:color="auto"/>
            <w:bottom w:val="none" w:sz="0" w:space="0" w:color="auto"/>
            <w:right w:val="none" w:sz="0" w:space="0" w:color="auto"/>
          </w:divBdr>
        </w:div>
        <w:div w:id="78526484">
          <w:marLeft w:val="640"/>
          <w:marRight w:val="0"/>
          <w:marTop w:val="0"/>
          <w:marBottom w:val="0"/>
          <w:divBdr>
            <w:top w:val="none" w:sz="0" w:space="0" w:color="auto"/>
            <w:left w:val="none" w:sz="0" w:space="0" w:color="auto"/>
            <w:bottom w:val="none" w:sz="0" w:space="0" w:color="auto"/>
            <w:right w:val="none" w:sz="0" w:space="0" w:color="auto"/>
          </w:divBdr>
        </w:div>
        <w:div w:id="1996034612">
          <w:marLeft w:val="640"/>
          <w:marRight w:val="0"/>
          <w:marTop w:val="0"/>
          <w:marBottom w:val="0"/>
          <w:divBdr>
            <w:top w:val="none" w:sz="0" w:space="0" w:color="auto"/>
            <w:left w:val="none" w:sz="0" w:space="0" w:color="auto"/>
            <w:bottom w:val="none" w:sz="0" w:space="0" w:color="auto"/>
            <w:right w:val="none" w:sz="0" w:space="0" w:color="auto"/>
          </w:divBdr>
        </w:div>
        <w:div w:id="70854549">
          <w:marLeft w:val="640"/>
          <w:marRight w:val="0"/>
          <w:marTop w:val="0"/>
          <w:marBottom w:val="0"/>
          <w:divBdr>
            <w:top w:val="none" w:sz="0" w:space="0" w:color="auto"/>
            <w:left w:val="none" w:sz="0" w:space="0" w:color="auto"/>
            <w:bottom w:val="none" w:sz="0" w:space="0" w:color="auto"/>
            <w:right w:val="none" w:sz="0" w:space="0" w:color="auto"/>
          </w:divBdr>
        </w:div>
        <w:div w:id="52697930">
          <w:marLeft w:val="640"/>
          <w:marRight w:val="0"/>
          <w:marTop w:val="0"/>
          <w:marBottom w:val="0"/>
          <w:divBdr>
            <w:top w:val="none" w:sz="0" w:space="0" w:color="auto"/>
            <w:left w:val="none" w:sz="0" w:space="0" w:color="auto"/>
            <w:bottom w:val="none" w:sz="0" w:space="0" w:color="auto"/>
            <w:right w:val="none" w:sz="0" w:space="0" w:color="auto"/>
          </w:divBdr>
        </w:div>
        <w:div w:id="1279794809">
          <w:marLeft w:val="640"/>
          <w:marRight w:val="0"/>
          <w:marTop w:val="0"/>
          <w:marBottom w:val="0"/>
          <w:divBdr>
            <w:top w:val="none" w:sz="0" w:space="0" w:color="auto"/>
            <w:left w:val="none" w:sz="0" w:space="0" w:color="auto"/>
            <w:bottom w:val="none" w:sz="0" w:space="0" w:color="auto"/>
            <w:right w:val="none" w:sz="0" w:space="0" w:color="auto"/>
          </w:divBdr>
        </w:div>
        <w:div w:id="1928031355">
          <w:marLeft w:val="640"/>
          <w:marRight w:val="0"/>
          <w:marTop w:val="0"/>
          <w:marBottom w:val="0"/>
          <w:divBdr>
            <w:top w:val="none" w:sz="0" w:space="0" w:color="auto"/>
            <w:left w:val="none" w:sz="0" w:space="0" w:color="auto"/>
            <w:bottom w:val="none" w:sz="0" w:space="0" w:color="auto"/>
            <w:right w:val="none" w:sz="0" w:space="0" w:color="auto"/>
          </w:divBdr>
        </w:div>
        <w:div w:id="2127655790">
          <w:marLeft w:val="640"/>
          <w:marRight w:val="0"/>
          <w:marTop w:val="0"/>
          <w:marBottom w:val="0"/>
          <w:divBdr>
            <w:top w:val="none" w:sz="0" w:space="0" w:color="auto"/>
            <w:left w:val="none" w:sz="0" w:space="0" w:color="auto"/>
            <w:bottom w:val="none" w:sz="0" w:space="0" w:color="auto"/>
            <w:right w:val="none" w:sz="0" w:space="0" w:color="auto"/>
          </w:divBdr>
        </w:div>
        <w:div w:id="108352995">
          <w:marLeft w:val="640"/>
          <w:marRight w:val="0"/>
          <w:marTop w:val="0"/>
          <w:marBottom w:val="0"/>
          <w:divBdr>
            <w:top w:val="none" w:sz="0" w:space="0" w:color="auto"/>
            <w:left w:val="none" w:sz="0" w:space="0" w:color="auto"/>
            <w:bottom w:val="none" w:sz="0" w:space="0" w:color="auto"/>
            <w:right w:val="none" w:sz="0" w:space="0" w:color="auto"/>
          </w:divBdr>
        </w:div>
        <w:div w:id="1890650958">
          <w:marLeft w:val="640"/>
          <w:marRight w:val="0"/>
          <w:marTop w:val="0"/>
          <w:marBottom w:val="0"/>
          <w:divBdr>
            <w:top w:val="none" w:sz="0" w:space="0" w:color="auto"/>
            <w:left w:val="none" w:sz="0" w:space="0" w:color="auto"/>
            <w:bottom w:val="none" w:sz="0" w:space="0" w:color="auto"/>
            <w:right w:val="none" w:sz="0" w:space="0" w:color="auto"/>
          </w:divBdr>
        </w:div>
        <w:div w:id="1796438558">
          <w:marLeft w:val="640"/>
          <w:marRight w:val="0"/>
          <w:marTop w:val="0"/>
          <w:marBottom w:val="0"/>
          <w:divBdr>
            <w:top w:val="none" w:sz="0" w:space="0" w:color="auto"/>
            <w:left w:val="none" w:sz="0" w:space="0" w:color="auto"/>
            <w:bottom w:val="none" w:sz="0" w:space="0" w:color="auto"/>
            <w:right w:val="none" w:sz="0" w:space="0" w:color="auto"/>
          </w:divBdr>
        </w:div>
        <w:div w:id="2146390676">
          <w:marLeft w:val="640"/>
          <w:marRight w:val="0"/>
          <w:marTop w:val="0"/>
          <w:marBottom w:val="0"/>
          <w:divBdr>
            <w:top w:val="none" w:sz="0" w:space="0" w:color="auto"/>
            <w:left w:val="none" w:sz="0" w:space="0" w:color="auto"/>
            <w:bottom w:val="none" w:sz="0" w:space="0" w:color="auto"/>
            <w:right w:val="none" w:sz="0" w:space="0" w:color="auto"/>
          </w:divBdr>
        </w:div>
        <w:div w:id="1930457673">
          <w:marLeft w:val="640"/>
          <w:marRight w:val="0"/>
          <w:marTop w:val="0"/>
          <w:marBottom w:val="0"/>
          <w:divBdr>
            <w:top w:val="none" w:sz="0" w:space="0" w:color="auto"/>
            <w:left w:val="none" w:sz="0" w:space="0" w:color="auto"/>
            <w:bottom w:val="none" w:sz="0" w:space="0" w:color="auto"/>
            <w:right w:val="none" w:sz="0" w:space="0" w:color="auto"/>
          </w:divBdr>
        </w:div>
        <w:div w:id="761493291">
          <w:marLeft w:val="640"/>
          <w:marRight w:val="0"/>
          <w:marTop w:val="0"/>
          <w:marBottom w:val="0"/>
          <w:divBdr>
            <w:top w:val="none" w:sz="0" w:space="0" w:color="auto"/>
            <w:left w:val="none" w:sz="0" w:space="0" w:color="auto"/>
            <w:bottom w:val="none" w:sz="0" w:space="0" w:color="auto"/>
            <w:right w:val="none" w:sz="0" w:space="0" w:color="auto"/>
          </w:divBdr>
        </w:div>
        <w:div w:id="1162040090">
          <w:marLeft w:val="640"/>
          <w:marRight w:val="0"/>
          <w:marTop w:val="0"/>
          <w:marBottom w:val="0"/>
          <w:divBdr>
            <w:top w:val="none" w:sz="0" w:space="0" w:color="auto"/>
            <w:left w:val="none" w:sz="0" w:space="0" w:color="auto"/>
            <w:bottom w:val="none" w:sz="0" w:space="0" w:color="auto"/>
            <w:right w:val="none" w:sz="0" w:space="0" w:color="auto"/>
          </w:divBdr>
        </w:div>
        <w:div w:id="1166048296">
          <w:marLeft w:val="640"/>
          <w:marRight w:val="0"/>
          <w:marTop w:val="0"/>
          <w:marBottom w:val="0"/>
          <w:divBdr>
            <w:top w:val="none" w:sz="0" w:space="0" w:color="auto"/>
            <w:left w:val="none" w:sz="0" w:space="0" w:color="auto"/>
            <w:bottom w:val="none" w:sz="0" w:space="0" w:color="auto"/>
            <w:right w:val="none" w:sz="0" w:space="0" w:color="auto"/>
          </w:divBdr>
        </w:div>
        <w:div w:id="483929917">
          <w:marLeft w:val="640"/>
          <w:marRight w:val="0"/>
          <w:marTop w:val="0"/>
          <w:marBottom w:val="0"/>
          <w:divBdr>
            <w:top w:val="none" w:sz="0" w:space="0" w:color="auto"/>
            <w:left w:val="none" w:sz="0" w:space="0" w:color="auto"/>
            <w:bottom w:val="none" w:sz="0" w:space="0" w:color="auto"/>
            <w:right w:val="none" w:sz="0" w:space="0" w:color="auto"/>
          </w:divBdr>
        </w:div>
        <w:div w:id="1546135415">
          <w:marLeft w:val="640"/>
          <w:marRight w:val="0"/>
          <w:marTop w:val="0"/>
          <w:marBottom w:val="0"/>
          <w:divBdr>
            <w:top w:val="none" w:sz="0" w:space="0" w:color="auto"/>
            <w:left w:val="none" w:sz="0" w:space="0" w:color="auto"/>
            <w:bottom w:val="none" w:sz="0" w:space="0" w:color="auto"/>
            <w:right w:val="none" w:sz="0" w:space="0" w:color="auto"/>
          </w:divBdr>
        </w:div>
        <w:div w:id="689917184">
          <w:marLeft w:val="640"/>
          <w:marRight w:val="0"/>
          <w:marTop w:val="0"/>
          <w:marBottom w:val="0"/>
          <w:divBdr>
            <w:top w:val="none" w:sz="0" w:space="0" w:color="auto"/>
            <w:left w:val="none" w:sz="0" w:space="0" w:color="auto"/>
            <w:bottom w:val="none" w:sz="0" w:space="0" w:color="auto"/>
            <w:right w:val="none" w:sz="0" w:space="0" w:color="auto"/>
          </w:divBdr>
        </w:div>
        <w:div w:id="1369449804">
          <w:marLeft w:val="640"/>
          <w:marRight w:val="0"/>
          <w:marTop w:val="0"/>
          <w:marBottom w:val="0"/>
          <w:divBdr>
            <w:top w:val="none" w:sz="0" w:space="0" w:color="auto"/>
            <w:left w:val="none" w:sz="0" w:space="0" w:color="auto"/>
            <w:bottom w:val="none" w:sz="0" w:space="0" w:color="auto"/>
            <w:right w:val="none" w:sz="0" w:space="0" w:color="auto"/>
          </w:divBdr>
        </w:div>
        <w:div w:id="1357462570">
          <w:marLeft w:val="640"/>
          <w:marRight w:val="0"/>
          <w:marTop w:val="0"/>
          <w:marBottom w:val="0"/>
          <w:divBdr>
            <w:top w:val="none" w:sz="0" w:space="0" w:color="auto"/>
            <w:left w:val="none" w:sz="0" w:space="0" w:color="auto"/>
            <w:bottom w:val="none" w:sz="0" w:space="0" w:color="auto"/>
            <w:right w:val="none" w:sz="0" w:space="0" w:color="auto"/>
          </w:divBdr>
        </w:div>
        <w:div w:id="1736004896">
          <w:marLeft w:val="640"/>
          <w:marRight w:val="0"/>
          <w:marTop w:val="0"/>
          <w:marBottom w:val="0"/>
          <w:divBdr>
            <w:top w:val="none" w:sz="0" w:space="0" w:color="auto"/>
            <w:left w:val="none" w:sz="0" w:space="0" w:color="auto"/>
            <w:bottom w:val="none" w:sz="0" w:space="0" w:color="auto"/>
            <w:right w:val="none" w:sz="0" w:space="0" w:color="auto"/>
          </w:divBdr>
        </w:div>
        <w:div w:id="2036270520">
          <w:marLeft w:val="640"/>
          <w:marRight w:val="0"/>
          <w:marTop w:val="0"/>
          <w:marBottom w:val="0"/>
          <w:divBdr>
            <w:top w:val="none" w:sz="0" w:space="0" w:color="auto"/>
            <w:left w:val="none" w:sz="0" w:space="0" w:color="auto"/>
            <w:bottom w:val="none" w:sz="0" w:space="0" w:color="auto"/>
            <w:right w:val="none" w:sz="0" w:space="0" w:color="auto"/>
          </w:divBdr>
        </w:div>
        <w:div w:id="1237471383">
          <w:marLeft w:val="640"/>
          <w:marRight w:val="0"/>
          <w:marTop w:val="0"/>
          <w:marBottom w:val="0"/>
          <w:divBdr>
            <w:top w:val="none" w:sz="0" w:space="0" w:color="auto"/>
            <w:left w:val="none" w:sz="0" w:space="0" w:color="auto"/>
            <w:bottom w:val="none" w:sz="0" w:space="0" w:color="auto"/>
            <w:right w:val="none" w:sz="0" w:space="0" w:color="auto"/>
          </w:divBdr>
        </w:div>
        <w:div w:id="1929191200">
          <w:marLeft w:val="640"/>
          <w:marRight w:val="0"/>
          <w:marTop w:val="0"/>
          <w:marBottom w:val="0"/>
          <w:divBdr>
            <w:top w:val="none" w:sz="0" w:space="0" w:color="auto"/>
            <w:left w:val="none" w:sz="0" w:space="0" w:color="auto"/>
            <w:bottom w:val="none" w:sz="0" w:space="0" w:color="auto"/>
            <w:right w:val="none" w:sz="0" w:space="0" w:color="auto"/>
          </w:divBdr>
        </w:div>
        <w:div w:id="1941640287">
          <w:marLeft w:val="640"/>
          <w:marRight w:val="0"/>
          <w:marTop w:val="0"/>
          <w:marBottom w:val="0"/>
          <w:divBdr>
            <w:top w:val="none" w:sz="0" w:space="0" w:color="auto"/>
            <w:left w:val="none" w:sz="0" w:space="0" w:color="auto"/>
            <w:bottom w:val="none" w:sz="0" w:space="0" w:color="auto"/>
            <w:right w:val="none" w:sz="0" w:space="0" w:color="auto"/>
          </w:divBdr>
        </w:div>
        <w:div w:id="151066570">
          <w:marLeft w:val="640"/>
          <w:marRight w:val="0"/>
          <w:marTop w:val="0"/>
          <w:marBottom w:val="0"/>
          <w:divBdr>
            <w:top w:val="none" w:sz="0" w:space="0" w:color="auto"/>
            <w:left w:val="none" w:sz="0" w:space="0" w:color="auto"/>
            <w:bottom w:val="none" w:sz="0" w:space="0" w:color="auto"/>
            <w:right w:val="none" w:sz="0" w:space="0" w:color="auto"/>
          </w:divBdr>
        </w:div>
        <w:div w:id="1574855745">
          <w:marLeft w:val="640"/>
          <w:marRight w:val="0"/>
          <w:marTop w:val="0"/>
          <w:marBottom w:val="0"/>
          <w:divBdr>
            <w:top w:val="none" w:sz="0" w:space="0" w:color="auto"/>
            <w:left w:val="none" w:sz="0" w:space="0" w:color="auto"/>
            <w:bottom w:val="none" w:sz="0" w:space="0" w:color="auto"/>
            <w:right w:val="none" w:sz="0" w:space="0" w:color="auto"/>
          </w:divBdr>
        </w:div>
        <w:div w:id="1184519811">
          <w:marLeft w:val="640"/>
          <w:marRight w:val="0"/>
          <w:marTop w:val="0"/>
          <w:marBottom w:val="0"/>
          <w:divBdr>
            <w:top w:val="none" w:sz="0" w:space="0" w:color="auto"/>
            <w:left w:val="none" w:sz="0" w:space="0" w:color="auto"/>
            <w:bottom w:val="none" w:sz="0" w:space="0" w:color="auto"/>
            <w:right w:val="none" w:sz="0" w:space="0" w:color="auto"/>
          </w:divBdr>
        </w:div>
        <w:div w:id="2038265494">
          <w:marLeft w:val="640"/>
          <w:marRight w:val="0"/>
          <w:marTop w:val="0"/>
          <w:marBottom w:val="0"/>
          <w:divBdr>
            <w:top w:val="none" w:sz="0" w:space="0" w:color="auto"/>
            <w:left w:val="none" w:sz="0" w:space="0" w:color="auto"/>
            <w:bottom w:val="none" w:sz="0" w:space="0" w:color="auto"/>
            <w:right w:val="none" w:sz="0" w:space="0" w:color="auto"/>
          </w:divBdr>
        </w:div>
        <w:div w:id="254175383">
          <w:marLeft w:val="640"/>
          <w:marRight w:val="0"/>
          <w:marTop w:val="0"/>
          <w:marBottom w:val="0"/>
          <w:divBdr>
            <w:top w:val="none" w:sz="0" w:space="0" w:color="auto"/>
            <w:left w:val="none" w:sz="0" w:space="0" w:color="auto"/>
            <w:bottom w:val="none" w:sz="0" w:space="0" w:color="auto"/>
            <w:right w:val="none" w:sz="0" w:space="0" w:color="auto"/>
          </w:divBdr>
        </w:div>
        <w:div w:id="1239943611">
          <w:marLeft w:val="640"/>
          <w:marRight w:val="0"/>
          <w:marTop w:val="0"/>
          <w:marBottom w:val="0"/>
          <w:divBdr>
            <w:top w:val="none" w:sz="0" w:space="0" w:color="auto"/>
            <w:left w:val="none" w:sz="0" w:space="0" w:color="auto"/>
            <w:bottom w:val="none" w:sz="0" w:space="0" w:color="auto"/>
            <w:right w:val="none" w:sz="0" w:space="0" w:color="auto"/>
          </w:divBdr>
        </w:div>
        <w:div w:id="708334699">
          <w:marLeft w:val="640"/>
          <w:marRight w:val="0"/>
          <w:marTop w:val="0"/>
          <w:marBottom w:val="0"/>
          <w:divBdr>
            <w:top w:val="none" w:sz="0" w:space="0" w:color="auto"/>
            <w:left w:val="none" w:sz="0" w:space="0" w:color="auto"/>
            <w:bottom w:val="none" w:sz="0" w:space="0" w:color="auto"/>
            <w:right w:val="none" w:sz="0" w:space="0" w:color="auto"/>
          </w:divBdr>
        </w:div>
        <w:div w:id="888372205">
          <w:marLeft w:val="640"/>
          <w:marRight w:val="0"/>
          <w:marTop w:val="0"/>
          <w:marBottom w:val="0"/>
          <w:divBdr>
            <w:top w:val="none" w:sz="0" w:space="0" w:color="auto"/>
            <w:left w:val="none" w:sz="0" w:space="0" w:color="auto"/>
            <w:bottom w:val="none" w:sz="0" w:space="0" w:color="auto"/>
            <w:right w:val="none" w:sz="0" w:space="0" w:color="auto"/>
          </w:divBdr>
        </w:div>
        <w:div w:id="1534490159">
          <w:marLeft w:val="640"/>
          <w:marRight w:val="0"/>
          <w:marTop w:val="0"/>
          <w:marBottom w:val="0"/>
          <w:divBdr>
            <w:top w:val="none" w:sz="0" w:space="0" w:color="auto"/>
            <w:left w:val="none" w:sz="0" w:space="0" w:color="auto"/>
            <w:bottom w:val="none" w:sz="0" w:space="0" w:color="auto"/>
            <w:right w:val="none" w:sz="0" w:space="0" w:color="auto"/>
          </w:divBdr>
        </w:div>
        <w:div w:id="1714886626">
          <w:marLeft w:val="640"/>
          <w:marRight w:val="0"/>
          <w:marTop w:val="0"/>
          <w:marBottom w:val="0"/>
          <w:divBdr>
            <w:top w:val="none" w:sz="0" w:space="0" w:color="auto"/>
            <w:left w:val="none" w:sz="0" w:space="0" w:color="auto"/>
            <w:bottom w:val="none" w:sz="0" w:space="0" w:color="auto"/>
            <w:right w:val="none" w:sz="0" w:space="0" w:color="auto"/>
          </w:divBdr>
        </w:div>
        <w:div w:id="1869682007">
          <w:marLeft w:val="640"/>
          <w:marRight w:val="0"/>
          <w:marTop w:val="0"/>
          <w:marBottom w:val="0"/>
          <w:divBdr>
            <w:top w:val="none" w:sz="0" w:space="0" w:color="auto"/>
            <w:left w:val="none" w:sz="0" w:space="0" w:color="auto"/>
            <w:bottom w:val="none" w:sz="0" w:space="0" w:color="auto"/>
            <w:right w:val="none" w:sz="0" w:space="0" w:color="auto"/>
          </w:divBdr>
        </w:div>
        <w:div w:id="1599364010">
          <w:marLeft w:val="640"/>
          <w:marRight w:val="0"/>
          <w:marTop w:val="0"/>
          <w:marBottom w:val="0"/>
          <w:divBdr>
            <w:top w:val="none" w:sz="0" w:space="0" w:color="auto"/>
            <w:left w:val="none" w:sz="0" w:space="0" w:color="auto"/>
            <w:bottom w:val="none" w:sz="0" w:space="0" w:color="auto"/>
            <w:right w:val="none" w:sz="0" w:space="0" w:color="auto"/>
          </w:divBdr>
        </w:div>
        <w:div w:id="1362166188">
          <w:marLeft w:val="640"/>
          <w:marRight w:val="0"/>
          <w:marTop w:val="0"/>
          <w:marBottom w:val="0"/>
          <w:divBdr>
            <w:top w:val="none" w:sz="0" w:space="0" w:color="auto"/>
            <w:left w:val="none" w:sz="0" w:space="0" w:color="auto"/>
            <w:bottom w:val="none" w:sz="0" w:space="0" w:color="auto"/>
            <w:right w:val="none" w:sz="0" w:space="0" w:color="auto"/>
          </w:divBdr>
        </w:div>
        <w:div w:id="379938189">
          <w:marLeft w:val="640"/>
          <w:marRight w:val="0"/>
          <w:marTop w:val="0"/>
          <w:marBottom w:val="0"/>
          <w:divBdr>
            <w:top w:val="none" w:sz="0" w:space="0" w:color="auto"/>
            <w:left w:val="none" w:sz="0" w:space="0" w:color="auto"/>
            <w:bottom w:val="none" w:sz="0" w:space="0" w:color="auto"/>
            <w:right w:val="none" w:sz="0" w:space="0" w:color="auto"/>
          </w:divBdr>
        </w:div>
        <w:div w:id="386034613">
          <w:marLeft w:val="640"/>
          <w:marRight w:val="0"/>
          <w:marTop w:val="0"/>
          <w:marBottom w:val="0"/>
          <w:divBdr>
            <w:top w:val="none" w:sz="0" w:space="0" w:color="auto"/>
            <w:left w:val="none" w:sz="0" w:space="0" w:color="auto"/>
            <w:bottom w:val="none" w:sz="0" w:space="0" w:color="auto"/>
            <w:right w:val="none" w:sz="0" w:space="0" w:color="auto"/>
          </w:divBdr>
        </w:div>
        <w:div w:id="1521816134">
          <w:marLeft w:val="640"/>
          <w:marRight w:val="0"/>
          <w:marTop w:val="0"/>
          <w:marBottom w:val="0"/>
          <w:divBdr>
            <w:top w:val="none" w:sz="0" w:space="0" w:color="auto"/>
            <w:left w:val="none" w:sz="0" w:space="0" w:color="auto"/>
            <w:bottom w:val="none" w:sz="0" w:space="0" w:color="auto"/>
            <w:right w:val="none" w:sz="0" w:space="0" w:color="auto"/>
          </w:divBdr>
        </w:div>
        <w:div w:id="701133231">
          <w:marLeft w:val="640"/>
          <w:marRight w:val="0"/>
          <w:marTop w:val="0"/>
          <w:marBottom w:val="0"/>
          <w:divBdr>
            <w:top w:val="none" w:sz="0" w:space="0" w:color="auto"/>
            <w:left w:val="none" w:sz="0" w:space="0" w:color="auto"/>
            <w:bottom w:val="none" w:sz="0" w:space="0" w:color="auto"/>
            <w:right w:val="none" w:sz="0" w:space="0" w:color="auto"/>
          </w:divBdr>
        </w:div>
        <w:div w:id="1308434696">
          <w:marLeft w:val="640"/>
          <w:marRight w:val="0"/>
          <w:marTop w:val="0"/>
          <w:marBottom w:val="0"/>
          <w:divBdr>
            <w:top w:val="none" w:sz="0" w:space="0" w:color="auto"/>
            <w:left w:val="none" w:sz="0" w:space="0" w:color="auto"/>
            <w:bottom w:val="none" w:sz="0" w:space="0" w:color="auto"/>
            <w:right w:val="none" w:sz="0" w:space="0" w:color="auto"/>
          </w:divBdr>
        </w:div>
        <w:div w:id="1092429686">
          <w:marLeft w:val="640"/>
          <w:marRight w:val="0"/>
          <w:marTop w:val="0"/>
          <w:marBottom w:val="0"/>
          <w:divBdr>
            <w:top w:val="none" w:sz="0" w:space="0" w:color="auto"/>
            <w:left w:val="none" w:sz="0" w:space="0" w:color="auto"/>
            <w:bottom w:val="none" w:sz="0" w:space="0" w:color="auto"/>
            <w:right w:val="none" w:sz="0" w:space="0" w:color="auto"/>
          </w:divBdr>
        </w:div>
        <w:div w:id="2088991759">
          <w:marLeft w:val="640"/>
          <w:marRight w:val="0"/>
          <w:marTop w:val="0"/>
          <w:marBottom w:val="0"/>
          <w:divBdr>
            <w:top w:val="none" w:sz="0" w:space="0" w:color="auto"/>
            <w:left w:val="none" w:sz="0" w:space="0" w:color="auto"/>
            <w:bottom w:val="none" w:sz="0" w:space="0" w:color="auto"/>
            <w:right w:val="none" w:sz="0" w:space="0" w:color="auto"/>
          </w:divBdr>
        </w:div>
        <w:div w:id="311637808">
          <w:marLeft w:val="640"/>
          <w:marRight w:val="0"/>
          <w:marTop w:val="0"/>
          <w:marBottom w:val="0"/>
          <w:divBdr>
            <w:top w:val="none" w:sz="0" w:space="0" w:color="auto"/>
            <w:left w:val="none" w:sz="0" w:space="0" w:color="auto"/>
            <w:bottom w:val="none" w:sz="0" w:space="0" w:color="auto"/>
            <w:right w:val="none" w:sz="0" w:space="0" w:color="auto"/>
          </w:divBdr>
        </w:div>
        <w:div w:id="1396126269">
          <w:marLeft w:val="640"/>
          <w:marRight w:val="0"/>
          <w:marTop w:val="0"/>
          <w:marBottom w:val="0"/>
          <w:divBdr>
            <w:top w:val="none" w:sz="0" w:space="0" w:color="auto"/>
            <w:left w:val="none" w:sz="0" w:space="0" w:color="auto"/>
            <w:bottom w:val="none" w:sz="0" w:space="0" w:color="auto"/>
            <w:right w:val="none" w:sz="0" w:space="0" w:color="auto"/>
          </w:divBdr>
        </w:div>
        <w:div w:id="768113679">
          <w:marLeft w:val="640"/>
          <w:marRight w:val="0"/>
          <w:marTop w:val="0"/>
          <w:marBottom w:val="0"/>
          <w:divBdr>
            <w:top w:val="none" w:sz="0" w:space="0" w:color="auto"/>
            <w:left w:val="none" w:sz="0" w:space="0" w:color="auto"/>
            <w:bottom w:val="none" w:sz="0" w:space="0" w:color="auto"/>
            <w:right w:val="none" w:sz="0" w:space="0" w:color="auto"/>
          </w:divBdr>
        </w:div>
        <w:div w:id="188685542">
          <w:marLeft w:val="640"/>
          <w:marRight w:val="0"/>
          <w:marTop w:val="0"/>
          <w:marBottom w:val="0"/>
          <w:divBdr>
            <w:top w:val="none" w:sz="0" w:space="0" w:color="auto"/>
            <w:left w:val="none" w:sz="0" w:space="0" w:color="auto"/>
            <w:bottom w:val="none" w:sz="0" w:space="0" w:color="auto"/>
            <w:right w:val="none" w:sz="0" w:space="0" w:color="auto"/>
          </w:divBdr>
        </w:div>
        <w:div w:id="1993679058">
          <w:marLeft w:val="640"/>
          <w:marRight w:val="0"/>
          <w:marTop w:val="0"/>
          <w:marBottom w:val="0"/>
          <w:divBdr>
            <w:top w:val="none" w:sz="0" w:space="0" w:color="auto"/>
            <w:left w:val="none" w:sz="0" w:space="0" w:color="auto"/>
            <w:bottom w:val="none" w:sz="0" w:space="0" w:color="auto"/>
            <w:right w:val="none" w:sz="0" w:space="0" w:color="auto"/>
          </w:divBdr>
        </w:div>
        <w:div w:id="1138500316">
          <w:marLeft w:val="640"/>
          <w:marRight w:val="0"/>
          <w:marTop w:val="0"/>
          <w:marBottom w:val="0"/>
          <w:divBdr>
            <w:top w:val="none" w:sz="0" w:space="0" w:color="auto"/>
            <w:left w:val="none" w:sz="0" w:space="0" w:color="auto"/>
            <w:bottom w:val="none" w:sz="0" w:space="0" w:color="auto"/>
            <w:right w:val="none" w:sz="0" w:space="0" w:color="auto"/>
          </w:divBdr>
        </w:div>
        <w:div w:id="464205705">
          <w:marLeft w:val="640"/>
          <w:marRight w:val="0"/>
          <w:marTop w:val="0"/>
          <w:marBottom w:val="0"/>
          <w:divBdr>
            <w:top w:val="none" w:sz="0" w:space="0" w:color="auto"/>
            <w:left w:val="none" w:sz="0" w:space="0" w:color="auto"/>
            <w:bottom w:val="none" w:sz="0" w:space="0" w:color="auto"/>
            <w:right w:val="none" w:sz="0" w:space="0" w:color="auto"/>
          </w:divBdr>
        </w:div>
        <w:div w:id="1589730209">
          <w:marLeft w:val="640"/>
          <w:marRight w:val="0"/>
          <w:marTop w:val="0"/>
          <w:marBottom w:val="0"/>
          <w:divBdr>
            <w:top w:val="none" w:sz="0" w:space="0" w:color="auto"/>
            <w:left w:val="none" w:sz="0" w:space="0" w:color="auto"/>
            <w:bottom w:val="none" w:sz="0" w:space="0" w:color="auto"/>
            <w:right w:val="none" w:sz="0" w:space="0" w:color="auto"/>
          </w:divBdr>
        </w:div>
        <w:div w:id="655109303">
          <w:marLeft w:val="640"/>
          <w:marRight w:val="0"/>
          <w:marTop w:val="0"/>
          <w:marBottom w:val="0"/>
          <w:divBdr>
            <w:top w:val="none" w:sz="0" w:space="0" w:color="auto"/>
            <w:left w:val="none" w:sz="0" w:space="0" w:color="auto"/>
            <w:bottom w:val="none" w:sz="0" w:space="0" w:color="auto"/>
            <w:right w:val="none" w:sz="0" w:space="0" w:color="auto"/>
          </w:divBdr>
        </w:div>
        <w:div w:id="1139153084">
          <w:marLeft w:val="640"/>
          <w:marRight w:val="0"/>
          <w:marTop w:val="0"/>
          <w:marBottom w:val="0"/>
          <w:divBdr>
            <w:top w:val="none" w:sz="0" w:space="0" w:color="auto"/>
            <w:left w:val="none" w:sz="0" w:space="0" w:color="auto"/>
            <w:bottom w:val="none" w:sz="0" w:space="0" w:color="auto"/>
            <w:right w:val="none" w:sz="0" w:space="0" w:color="auto"/>
          </w:divBdr>
        </w:div>
      </w:divsChild>
    </w:div>
    <w:div w:id="1295597832">
      <w:bodyDiv w:val="1"/>
      <w:marLeft w:val="0"/>
      <w:marRight w:val="0"/>
      <w:marTop w:val="0"/>
      <w:marBottom w:val="0"/>
      <w:divBdr>
        <w:top w:val="none" w:sz="0" w:space="0" w:color="auto"/>
        <w:left w:val="none" w:sz="0" w:space="0" w:color="auto"/>
        <w:bottom w:val="none" w:sz="0" w:space="0" w:color="auto"/>
        <w:right w:val="none" w:sz="0" w:space="0" w:color="auto"/>
      </w:divBdr>
      <w:divsChild>
        <w:div w:id="941258794">
          <w:marLeft w:val="640"/>
          <w:marRight w:val="0"/>
          <w:marTop w:val="0"/>
          <w:marBottom w:val="0"/>
          <w:divBdr>
            <w:top w:val="none" w:sz="0" w:space="0" w:color="auto"/>
            <w:left w:val="none" w:sz="0" w:space="0" w:color="auto"/>
            <w:bottom w:val="none" w:sz="0" w:space="0" w:color="auto"/>
            <w:right w:val="none" w:sz="0" w:space="0" w:color="auto"/>
          </w:divBdr>
        </w:div>
        <w:div w:id="1293441482">
          <w:marLeft w:val="640"/>
          <w:marRight w:val="0"/>
          <w:marTop w:val="0"/>
          <w:marBottom w:val="0"/>
          <w:divBdr>
            <w:top w:val="none" w:sz="0" w:space="0" w:color="auto"/>
            <w:left w:val="none" w:sz="0" w:space="0" w:color="auto"/>
            <w:bottom w:val="none" w:sz="0" w:space="0" w:color="auto"/>
            <w:right w:val="none" w:sz="0" w:space="0" w:color="auto"/>
          </w:divBdr>
        </w:div>
        <w:div w:id="820582740">
          <w:marLeft w:val="640"/>
          <w:marRight w:val="0"/>
          <w:marTop w:val="0"/>
          <w:marBottom w:val="0"/>
          <w:divBdr>
            <w:top w:val="none" w:sz="0" w:space="0" w:color="auto"/>
            <w:left w:val="none" w:sz="0" w:space="0" w:color="auto"/>
            <w:bottom w:val="none" w:sz="0" w:space="0" w:color="auto"/>
            <w:right w:val="none" w:sz="0" w:space="0" w:color="auto"/>
          </w:divBdr>
        </w:div>
        <w:div w:id="1314718964">
          <w:marLeft w:val="640"/>
          <w:marRight w:val="0"/>
          <w:marTop w:val="0"/>
          <w:marBottom w:val="0"/>
          <w:divBdr>
            <w:top w:val="none" w:sz="0" w:space="0" w:color="auto"/>
            <w:left w:val="none" w:sz="0" w:space="0" w:color="auto"/>
            <w:bottom w:val="none" w:sz="0" w:space="0" w:color="auto"/>
            <w:right w:val="none" w:sz="0" w:space="0" w:color="auto"/>
          </w:divBdr>
        </w:div>
        <w:div w:id="715661349">
          <w:marLeft w:val="640"/>
          <w:marRight w:val="0"/>
          <w:marTop w:val="0"/>
          <w:marBottom w:val="0"/>
          <w:divBdr>
            <w:top w:val="none" w:sz="0" w:space="0" w:color="auto"/>
            <w:left w:val="none" w:sz="0" w:space="0" w:color="auto"/>
            <w:bottom w:val="none" w:sz="0" w:space="0" w:color="auto"/>
            <w:right w:val="none" w:sz="0" w:space="0" w:color="auto"/>
          </w:divBdr>
        </w:div>
        <w:div w:id="140999445">
          <w:marLeft w:val="640"/>
          <w:marRight w:val="0"/>
          <w:marTop w:val="0"/>
          <w:marBottom w:val="0"/>
          <w:divBdr>
            <w:top w:val="none" w:sz="0" w:space="0" w:color="auto"/>
            <w:left w:val="none" w:sz="0" w:space="0" w:color="auto"/>
            <w:bottom w:val="none" w:sz="0" w:space="0" w:color="auto"/>
            <w:right w:val="none" w:sz="0" w:space="0" w:color="auto"/>
          </w:divBdr>
        </w:div>
        <w:div w:id="534578823">
          <w:marLeft w:val="640"/>
          <w:marRight w:val="0"/>
          <w:marTop w:val="0"/>
          <w:marBottom w:val="0"/>
          <w:divBdr>
            <w:top w:val="none" w:sz="0" w:space="0" w:color="auto"/>
            <w:left w:val="none" w:sz="0" w:space="0" w:color="auto"/>
            <w:bottom w:val="none" w:sz="0" w:space="0" w:color="auto"/>
            <w:right w:val="none" w:sz="0" w:space="0" w:color="auto"/>
          </w:divBdr>
        </w:div>
        <w:div w:id="417335624">
          <w:marLeft w:val="640"/>
          <w:marRight w:val="0"/>
          <w:marTop w:val="0"/>
          <w:marBottom w:val="0"/>
          <w:divBdr>
            <w:top w:val="none" w:sz="0" w:space="0" w:color="auto"/>
            <w:left w:val="none" w:sz="0" w:space="0" w:color="auto"/>
            <w:bottom w:val="none" w:sz="0" w:space="0" w:color="auto"/>
            <w:right w:val="none" w:sz="0" w:space="0" w:color="auto"/>
          </w:divBdr>
        </w:div>
        <w:div w:id="628049071">
          <w:marLeft w:val="640"/>
          <w:marRight w:val="0"/>
          <w:marTop w:val="0"/>
          <w:marBottom w:val="0"/>
          <w:divBdr>
            <w:top w:val="none" w:sz="0" w:space="0" w:color="auto"/>
            <w:left w:val="none" w:sz="0" w:space="0" w:color="auto"/>
            <w:bottom w:val="none" w:sz="0" w:space="0" w:color="auto"/>
            <w:right w:val="none" w:sz="0" w:space="0" w:color="auto"/>
          </w:divBdr>
        </w:div>
        <w:div w:id="764837534">
          <w:marLeft w:val="640"/>
          <w:marRight w:val="0"/>
          <w:marTop w:val="0"/>
          <w:marBottom w:val="0"/>
          <w:divBdr>
            <w:top w:val="none" w:sz="0" w:space="0" w:color="auto"/>
            <w:left w:val="none" w:sz="0" w:space="0" w:color="auto"/>
            <w:bottom w:val="none" w:sz="0" w:space="0" w:color="auto"/>
            <w:right w:val="none" w:sz="0" w:space="0" w:color="auto"/>
          </w:divBdr>
        </w:div>
        <w:div w:id="196702316">
          <w:marLeft w:val="640"/>
          <w:marRight w:val="0"/>
          <w:marTop w:val="0"/>
          <w:marBottom w:val="0"/>
          <w:divBdr>
            <w:top w:val="none" w:sz="0" w:space="0" w:color="auto"/>
            <w:left w:val="none" w:sz="0" w:space="0" w:color="auto"/>
            <w:bottom w:val="none" w:sz="0" w:space="0" w:color="auto"/>
            <w:right w:val="none" w:sz="0" w:space="0" w:color="auto"/>
          </w:divBdr>
        </w:div>
        <w:div w:id="1650553697">
          <w:marLeft w:val="640"/>
          <w:marRight w:val="0"/>
          <w:marTop w:val="0"/>
          <w:marBottom w:val="0"/>
          <w:divBdr>
            <w:top w:val="none" w:sz="0" w:space="0" w:color="auto"/>
            <w:left w:val="none" w:sz="0" w:space="0" w:color="auto"/>
            <w:bottom w:val="none" w:sz="0" w:space="0" w:color="auto"/>
            <w:right w:val="none" w:sz="0" w:space="0" w:color="auto"/>
          </w:divBdr>
        </w:div>
        <w:div w:id="360322792">
          <w:marLeft w:val="640"/>
          <w:marRight w:val="0"/>
          <w:marTop w:val="0"/>
          <w:marBottom w:val="0"/>
          <w:divBdr>
            <w:top w:val="none" w:sz="0" w:space="0" w:color="auto"/>
            <w:left w:val="none" w:sz="0" w:space="0" w:color="auto"/>
            <w:bottom w:val="none" w:sz="0" w:space="0" w:color="auto"/>
            <w:right w:val="none" w:sz="0" w:space="0" w:color="auto"/>
          </w:divBdr>
        </w:div>
        <w:div w:id="55784404">
          <w:marLeft w:val="640"/>
          <w:marRight w:val="0"/>
          <w:marTop w:val="0"/>
          <w:marBottom w:val="0"/>
          <w:divBdr>
            <w:top w:val="none" w:sz="0" w:space="0" w:color="auto"/>
            <w:left w:val="none" w:sz="0" w:space="0" w:color="auto"/>
            <w:bottom w:val="none" w:sz="0" w:space="0" w:color="auto"/>
            <w:right w:val="none" w:sz="0" w:space="0" w:color="auto"/>
          </w:divBdr>
        </w:div>
        <w:div w:id="1405446778">
          <w:marLeft w:val="640"/>
          <w:marRight w:val="0"/>
          <w:marTop w:val="0"/>
          <w:marBottom w:val="0"/>
          <w:divBdr>
            <w:top w:val="none" w:sz="0" w:space="0" w:color="auto"/>
            <w:left w:val="none" w:sz="0" w:space="0" w:color="auto"/>
            <w:bottom w:val="none" w:sz="0" w:space="0" w:color="auto"/>
            <w:right w:val="none" w:sz="0" w:space="0" w:color="auto"/>
          </w:divBdr>
        </w:div>
        <w:div w:id="555973907">
          <w:marLeft w:val="640"/>
          <w:marRight w:val="0"/>
          <w:marTop w:val="0"/>
          <w:marBottom w:val="0"/>
          <w:divBdr>
            <w:top w:val="none" w:sz="0" w:space="0" w:color="auto"/>
            <w:left w:val="none" w:sz="0" w:space="0" w:color="auto"/>
            <w:bottom w:val="none" w:sz="0" w:space="0" w:color="auto"/>
            <w:right w:val="none" w:sz="0" w:space="0" w:color="auto"/>
          </w:divBdr>
        </w:div>
        <w:div w:id="1610888757">
          <w:marLeft w:val="640"/>
          <w:marRight w:val="0"/>
          <w:marTop w:val="0"/>
          <w:marBottom w:val="0"/>
          <w:divBdr>
            <w:top w:val="none" w:sz="0" w:space="0" w:color="auto"/>
            <w:left w:val="none" w:sz="0" w:space="0" w:color="auto"/>
            <w:bottom w:val="none" w:sz="0" w:space="0" w:color="auto"/>
            <w:right w:val="none" w:sz="0" w:space="0" w:color="auto"/>
          </w:divBdr>
        </w:div>
        <w:div w:id="466314803">
          <w:marLeft w:val="640"/>
          <w:marRight w:val="0"/>
          <w:marTop w:val="0"/>
          <w:marBottom w:val="0"/>
          <w:divBdr>
            <w:top w:val="none" w:sz="0" w:space="0" w:color="auto"/>
            <w:left w:val="none" w:sz="0" w:space="0" w:color="auto"/>
            <w:bottom w:val="none" w:sz="0" w:space="0" w:color="auto"/>
            <w:right w:val="none" w:sz="0" w:space="0" w:color="auto"/>
          </w:divBdr>
        </w:div>
        <w:div w:id="786969021">
          <w:marLeft w:val="640"/>
          <w:marRight w:val="0"/>
          <w:marTop w:val="0"/>
          <w:marBottom w:val="0"/>
          <w:divBdr>
            <w:top w:val="none" w:sz="0" w:space="0" w:color="auto"/>
            <w:left w:val="none" w:sz="0" w:space="0" w:color="auto"/>
            <w:bottom w:val="none" w:sz="0" w:space="0" w:color="auto"/>
            <w:right w:val="none" w:sz="0" w:space="0" w:color="auto"/>
          </w:divBdr>
        </w:div>
        <w:div w:id="1454787866">
          <w:marLeft w:val="640"/>
          <w:marRight w:val="0"/>
          <w:marTop w:val="0"/>
          <w:marBottom w:val="0"/>
          <w:divBdr>
            <w:top w:val="none" w:sz="0" w:space="0" w:color="auto"/>
            <w:left w:val="none" w:sz="0" w:space="0" w:color="auto"/>
            <w:bottom w:val="none" w:sz="0" w:space="0" w:color="auto"/>
            <w:right w:val="none" w:sz="0" w:space="0" w:color="auto"/>
          </w:divBdr>
        </w:div>
        <w:div w:id="473836184">
          <w:marLeft w:val="640"/>
          <w:marRight w:val="0"/>
          <w:marTop w:val="0"/>
          <w:marBottom w:val="0"/>
          <w:divBdr>
            <w:top w:val="none" w:sz="0" w:space="0" w:color="auto"/>
            <w:left w:val="none" w:sz="0" w:space="0" w:color="auto"/>
            <w:bottom w:val="none" w:sz="0" w:space="0" w:color="auto"/>
            <w:right w:val="none" w:sz="0" w:space="0" w:color="auto"/>
          </w:divBdr>
        </w:div>
        <w:div w:id="1813213037">
          <w:marLeft w:val="640"/>
          <w:marRight w:val="0"/>
          <w:marTop w:val="0"/>
          <w:marBottom w:val="0"/>
          <w:divBdr>
            <w:top w:val="none" w:sz="0" w:space="0" w:color="auto"/>
            <w:left w:val="none" w:sz="0" w:space="0" w:color="auto"/>
            <w:bottom w:val="none" w:sz="0" w:space="0" w:color="auto"/>
            <w:right w:val="none" w:sz="0" w:space="0" w:color="auto"/>
          </w:divBdr>
        </w:div>
        <w:div w:id="1646161927">
          <w:marLeft w:val="640"/>
          <w:marRight w:val="0"/>
          <w:marTop w:val="0"/>
          <w:marBottom w:val="0"/>
          <w:divBdr>
            <w:top w:val="none" w:sz="0" w:space="0" w:color="auto"/>
            <w:left w:val="none" w:sz="0" w:space="0" w:color="auto"/>
            <w:bottom w:val="none" w:sz="0" w:space="0" w:color="auto"/>
            <w:right w:val="none" w:sz="0" w:space="0" w:color="auto"/>
          </w:divBdr>
        </w:div>
        <w:div w:id="2088455102">
          <w:marLeft w:val="640"/>
          <w:marRight w:val="0"/>
          <w:marTop w:val="0"/>
          <w:marBottom w:val="0"/>
          <w:divBdr>
            <w:top w:val="none" w:sz="0" w:space="0" w:color="auto"/>
            <w:left w:val="none" w:sz="0" w:space="0" w:color="auto"/>
            <w:bottom w:val="none" w:sz="0" w:space="0" w:color="auto"/>
            <w:right w:val="none" w:sz="0" w:space="0" w:color="auto"/>
          </w:divBdr>
        </w:div>
        <w:div w:id="1710491802">
          <w:marLeft w:val="640"/>
          <w:marRight w:val="0"/>
          <w:marTop w:val="0"/>
          <w:marBottom w:val="0"/>
          <w:divBdr>
            <w:top w:val="none" w:sz="0" w:space="0" w:color="auto"/>
            <w:left w:val="none" w:sz="0" w:space="0" w:color="auto"/>
            <w:bottom w:val="none" w:sz="0" w:space="0" w:color="auto"/>
            <w:right w:val="none" w:sz="0" w:space="0" w:color="auto"/>
          </w:divBdr>
        </w:div>
        <w:div w:id="391469435">
          <w:marLeft w:val="640"/>
          <w:marRight w:val="0"/>
          <w:marTop w:val="0"/>
          <w:marBottom w:val="0"/>
          <w:divBdr>
            <w:top w:val="none" w:sz="0" w:space="0" w:color="auto"/>
            <w:left w:val="none" w:sz="0" w:space="0" w:color="auto"/>
            <w:bottom w:val="none" w:sz="0" w:space="0" w:color="auto"/>
            <w:right w:val="none" w:sz="0" w:space="0" w:color="auto"/>
          </w:divBdr>
        </w:div>
        <w:div w:id="2058166523">
          <w:marLeft w:val="640"/>
          <w:marRight w:val="0"/>
          <w:marTop w:val="0"/>
          <w:marBottom w:val="0"/>
          <w:divBdr>
            <w:top w:val="none" w:sz="0" w:space="0" w:color="auto"/>
            <w:left w:val="none" w:sz="0" w:space="0" w:color="auto"/>
            <w:bottom w:val="none" w:sz="0" w:space="0" w:color="auto"/>
            <w:right w:val="none" w:sz="0" w:space="0" w:color="auto"/>
          </w:divBdr>
        </w:div>
        <w:div w:id="1653097711">
          <w:marLeft w:val="640"/>
          <w:marRight w:val="0"/>
          <w:marTop w:val="0"/>
          <w:marBottom w:val="0"/>
          <w:divBdr>
            <w:top w:val="none" w:sz="0" w:space="0" w:color="auto"/>
            <w:left w:val="none" w:sz="0" w:space="0" w:color="auto"/>
            <w:bottom w:val="none" w:sz="0" w:space="0" w:color="auto"/>
            <w:right w:val="none" w:sz="0" w:space="0" w:color="auto"/>
          </w:divBdr>
        </w:div>
        <w:div w:id="231890160">
          <w:marLeft w:val="640"/>
          <w:marRight w:val="0"/>
          <w:marTop w:val="0"/>
          <w:marBottom w:val="0"/>
          <w:divBdr>
            <w:top w:val="none" w:sz="0" w:space="0" w:color="auto"/>
            <w:left w:val="none" w:sz="0" w:space="0" w:color="auto"/>
            <w:bottom w:val="none" w:sz="0" w:space="0" w:color="auto"/>
            <w:right w:val="none" w:sz="0" w:space="0" w:color="auto"/>
          </w:divBdr>
        </w:div>
        <w:div w:id="1430541368">
          <w:marLeft w:val="640"/>
          <w:marRight w:val="0"/>
          <w:marTop w:val="0"/>
          <w:marBottom w:val="0"/>
          <w:divBdr>
            <w:top w:val="none" w:sz="0" w:space="0" w:color="auto"/>
            <w:left w:val="none" w:sz="0" w:space="0" w:color="auto"/>
            <w:bottom w:val="none" w:sz="0" w:space="0" w:color="auto"/>
            <w:right w:val="none" w:sz="0" w:space="0" w:color="auto"/>
          </w:divBdr>
        </w:div>
        <w:div w:id="1982078203">
          <w:marLeft w:val="640"/>
          <w:marRight w:val="0"/>
          <w:marTop w:val="0"/>
          <w:marBottom w:val="0"/>
          <w:divBdr>
            <w:top w:val="none" w:sz="0" w:space="0" w:color="auto"/>
            <w:left w:val="none" w:sz="0" w:space="0" w:color="auto"/>
            <w:bottom w:val="none" w:sz="0" w:space="0" w:color="auto"/>
            <w:right w:val="none" w:sz="0" w:space="0" w:color="auto"/>
          </w:divBdr>
        </w:div>
        <w:div w:id="722607510">
          <w:marLeft w:val="640"/>
          <w:marRight w:val="0"/>
          <w:marTop w:val="0"/>
          <w:marBottom w:val="0"/>
          <w:divBdr>
            <w:top w:val="none" w:sz="0" w:space="0" w:color="auto"/>
            <w:left w:val="none" w:sz="0" w:space="0" w:color="auto"/>
            <w:bottom w:val="none" w:sz="0" w:space="0" w:color="auto"/>
            <w:right w:val="none" w:sz="0" w:space="0" w:color="auto"/>
          </w:divBdr>
        </w:div>
        <w:div w:id="1242761295">
          <w:marLeft w:val="640"/>
          <w:marRight w:val="0"/>
          <w:marTop w:val="0"/>
          <w:marBottom w:val="0"/>
          <w:divBdr>
            <w:top w:val="none" w:sz="0" w:space="0" w:color="auto"/>
            <w:left w:val="none" w:sz="0" w:space="0" w:color="auto"/>
            <w:bottom w:val="none" w:sz="0" w:space="0" w:color="auto"/>
            <w:right w:val="none" w:sz="0" w:space="0" w:color="auto"/>
          </w:divBdr>
        </w:div>
        <w:div w:id="941953761">
          <w:marLeft w:val="640"/>
          <w:marRight w:val="0"/>
          <w:marTop w:val="0"/>
          <w:marBottom w:val="0"/>
          <w:divBdr>
            <w:top w:val="none" w:sz="0" w:space="0" w:color="auto"/>
            <w:left w:val="none" w:sz="0" w:space="0" w:color="auto"/>
            <w:bottom w:val="none" w:sz="0" w:space="0" w:color="auto"/>
            <w:right w:val="none" w:sz="0" w:space="0" w:color="auto"/>
          </w:divBdr>
        </w:div>
        <w:div w:id="730621905">
          <w:marLeft w:val="640"/>
          <w:marRight w:val="0"/>
          <w:marTop w:val="0"/>
          <w:marBottom w:val="0"/>
          <w:divBdr>
            <w:top w:val="none" w:sz="0" w:space="0" w:color="auto"/>
            <w:left w:val="none" w:sz="0" w:space="0" w:color="auto"/>
            <w:bottom w:val="none" w:sz="0" w:space="0" w:color="auto"/>
            <w:right w:val="none" w:sz="0" w:space="0" w:color="auto"/>
          </w:divBdr>
        </w:div>
        <w:div w:id="118837776">
          <w:marLeft w:val="640"/>
          <w:marRight w:val="0"/>
          <w:marTop w:val="0"/>
          <w:marBottom w:val="0"/>
          <w:divBdr>
            <w:top w:val="none" w:sz="0" w:space="0" w:color="auto"/>
            <w:left w:val="none" w:sz="0" w:space="0" w:color="auto"/>
            <w:bottom w:val="none" w:sz="0" w:space="0" w:color="auto"/>
            <w:right w:val="none" w:sz="0" w:space="0" w:color="auto"/>
          </w:divBdr>
        </w:div>
        <w:div w:id="388041811">
          <w:marLeft w:val="640"/>
          <w:marRight w:val="0"/>
          <w:marTop w:val="0"/>
          <w:marBottom w:val="0"/>
          <w:divBdr>
            <w:top w:val="none" w:sz="0" w:space="0" w:color="auto"/>
            <w:left w:val="none" w:sz="0" w:space="0" w:color="auto"/>
            <w:bottom w:val="none" w:sz="0" w:space="0" w:color="auto"/>
            <w:right w:val="none" w:sz="0" w:space="0" w:color="auto"/>
          </w:divBdr>
        </w:div>
        <w:div w:id="444931486">
          <w:marLeft w:val="640"/>
          <w:marRight w:val="0"/>
          <w:marTop w:val="0"/>
          <w:marBottom w:val="0"/>
          <w:divBdr>
            <w:top w:val="none" w:sz="0" w:space="0" w:color="auto"/>
            <w:left w:val="none" w:sz="0" w:space="0" w:color="auto"/>
            <w:bottom w:val="none" w:sz="0" w:space="0" w:color="auto"/>
            <w:right w:val="none" w:sz="0" w:space="0" w:color="auto"/>
          </w:divBdr>
        </w:div>
        <w:div w:id="1820344769">
          <w:marLeft w:val="640"/>
          <w:marRight w:val="0"/>
          <w:marTop w:val="0"/>
          <w:marBottom w:val="0"/>
          <w:divBdr>
            <w:top w:val="none" w:sz="0" w:space="0" w:color="auto"/>
            <w:left w:val="none" w:sz="0" w:space="0" w:color="auto"/>
            <w:bottom w:val="none" w:sz="0" w:space="0" w:color="auto"/>
            <w:right w:val="none" w:sz="0" w:space="0" w:color="auto"/>
          </w:divBdr>
        </w:div>
        <w:div w:id="2062360658">
          <w:marLeft w:val="640"/>
          <w:marRight w:val="0"/>
          <w:marTop w:val="0"/>
          <w:marBottom w:val="0"/>
          <w:divBdr>
            <w:top w:val="none" w:sz="0" w:space="0" w:color="auto"/>
            <w:left w:val="none" w:sz="0" w:space="0" w:color="auto"/>
            <w:bottom w:val="none" w:sz="0" w:space="0" w:color="auto"/>
            <w:right w:val="none" w:sz="0" w:space="0" w:color="auto"/>
          </w:divBdr>
        </w:div>
        <w:div w:id="672102596">
          <w:marLeft w:val="640"/>
          <w:marRight w:val="0"/>
          <w:marTop w:val="0"/>
          <w:marBottom w:val="0"/>
          <w:divBdr>
            <w:top w:val="none" w:sz="0" w:space="0" w:color="auto"/>
            <w:left w:val="none" w:sz="0" w:space="0" w:color="auto"/>
            <w:bottom w:val="none" w:sz="0" w:space="0" w:color="auto"/>
            <w:right w:val="none" w:sz="0" w:space="0" w:color="auto"/>
          </w:divBdr>
        </w:div>
        <w:div w:id="129716127">
          <w:marLeft w:val="640"/>
          <w:marRight w:val="0"/>
          <w:marTop w:val="0"/>
          <w:marBottom w:val="0"/>
          <w:divBdr>
            <w:top w:val="none" w:sz="0" w:space="0" w:color="auto"/>
            <w:left w:val="none" w:sz="0" w:space="0" w:color="auto"/>
            <w:bottom w:val="none" w:sz="0" w:space="0" w:color="auto"/>
            <w:right w:val="none" w:sz="0" w:space="0" w:color="auto"/>
          </w:divBdr>
        </w:div>
        <w:div w:id="354767946">
          <w:marLeft w:val="640"/>
          <w:marRight w:val="0"/>
          <w:marTop w:val="0"/>
          <w:marBottom w:val="0"/>
          <w:divBdr>
            <w:top w:val="none" w:sz="0" w:space="0" w:color="auto"/>
            <w:left w:val="none" w:sz="0" w:space="0" w:color="auto"/>
            <w:bottom w:val="none" w:sz="0" w:space="0" w:color="auto"/>
            <w:right w:val="none" w:sz="0" w:space="0" w:color="auto"/>
          </w:divBdr>
        </w:div>
        <w:div w:id="1751653897">
          <w:marLeft w:val="640"/>
          <w:marRight w:val="0"/>
          <w:marTop w:val="0"/>
          <w:marBottom w:val="0"/>
          <w:divBdr>
            <w:top w:val="none" w:sz="0" w:space="0" w:color="auto"/>
            <w:left w:val="none" w:sz="0" w:space="0" w:color="auto"/>
            <w:bottom w:val="none" w:sz="0" w:space="0" w:color="auto"/>
            <w:right w:val="none" w:sz="0" w:space="0" w:color="auto"/>
          </w:divBdr>
        </w:div>
        <w:div w:id="2072266767">
          <w:marLeft w:val="640"/>
          <w:marRight w:val="0"/>
          <w:marTop w:val="0"/>
          <w:marBottom w:val="0"/>
          <w:divBdr>
            <w:top w:val="none" w:sz="0" w:space="0" w:color="auto"/>
            <w:left w:val="none" w:sz="0" w:space="0" w:color="auto"/>
            <w:bottom w:val="none" w:sz="0" w:space="0" w:color="auto"/>
            <w:right w:val="none" w:sz="0" w:space="0" w:color="auto"/>
          </w:divBdr>
        </w:div>
        <w:div w:id="1096367492">
          <w:marLeft w:val="640"/>
          <w:marRight w:val="0"/>
          <w:marTop w:val="0"/>
          <w:marBottom w:val="0"/>
          <w:divBdr>
            <w:top w:val="none" w:sz="0" w:space="0" w:color="auto"/>
            <w:left w:val="none" w:sz="0" w:space="0" w:color="auto"/>
            <w:bottom w:val="none" w:sz="0" w:space="0" w:color="auto"/>
            <w:right w:val="none" w:sz="0" w:space="0" w:color="auto"/>
          </w:divBdr>
        </w:div>
        <w:div w:id="832137331">
          <w:marLeft w:val="640"/>
          <w:marRight w:val="0"/>
          <w:marTop w:val="0"/>
          <w:marBottom w:val="0"/>
          <w:divBdr>
            <w:top w:val="none" w:sz="0" w:space="0" w:color="auto"/>
            <w:left w:val="none" w:sz="0" w:space="0" w:color="auto"/>
            <w:bottom w:val="none" w:sz="0" w:space="0" w:color="auto"/>
            <w:right w:val="none" w:sz="0" w:space="0" w:color="auto"/>
          </w:divBdr>
        </w:div>
        <w:div w:id="754789405">
          <w:marLeft w:val="640"/>
          <w:marRight w:val="0"/>
          <w:marTop w:val="0"/>
          <w:marBottom w:val="0"/>
          <w:divBdr>
            <w:top w:val="none" w:sz="0" w:space="0" w:color="auto"/>
            <w:left w:val="none" w:sz="0" w:space="0" w:color="auto"/>
            <w:bottom w:val="none" w:sz="0" w:space="0" w:color="auto"/>
            <w:right w:val="none" w:sz="0" w:space="0" w:color="auto"/>
          </w:divBdr>
        </w:div>
        <w:div w:id="2119400708">
          <w:marLeft w:val="640"/>
          <w:marRight w:val="0"/>
          <w:marTop w:val="0"/>
          <w:marBottom w:val="0"/>
          <w:divBdr>
            <w:top w:val="none" w:sz="0" w:space="0" w:color="auto"/>
            <w:left w:val="none" w:sz="0" w:space="0" w:color="auto"/>
            <w:bottom w:val="none" w:sz="0" w:space="0" w:color="auto"/>
            <w:right w:val="none" w:sz="0" w:space="0" w:color="auto"/>
          </w:divBdr>
        </w:div>
        <w:div w:id="1835023652">
          <w:marLeft w:val="640"/>
          <w:marRight w:val="0"/>
          <w:marTop w:val="0"/>
          <w:marBottom w:val="0"/>
          <w:divBdr>
            <w:top w:val="none" w:sz="0" w:space="0" w:color="auto"/>
            <w:left w:val="none" w:sz="0" w:space="0" w:color="auto"/>
            <w:bottom w:val="none" w:sz="0" w:space="0" w:color="auto"/>
            <w:right w:val="none" w:sz="0" w:space="0" w:color="auto"/>
          </w:divBdr>
        </w:div>
        <w:div w:id="1283415039">
          <w:marLeft w:val="640"/>
          <w:marRight w:val="0"/>
          <w:marTop w:val="0"/>
          <w:marBottom w:val="0"/>
          <w:divBdr>
            <w:top w:val="none" w:sz="0" w:space="0" w:color="auto"/>
            <w:left w:val="none" w:sz="0" w:space="0" w:color="auto"/>
            <w:bottom w:val="none" w:sz="0" w:space="0" w:color="auto"/>
            <w:right w:val="none" w:sz="0" w:space="0" w:color="auto"/>
          </w:divBdr>
        </w:div>
        <w:div w:id="2130002833">
          <w:marLeft w:val="640"/>
          <w:marRight w:val="0"/>
          <w:marTop w:val="0"/>
          <w:marBottom w:val="0"/>
          <w:divBdr>
            <w:top w:val="none" w:sz="0" w:space="0" w:color="auto"/>
            <w:left w:val="none" w:sz="0" w:space="0" w:color="auto"/>
            <w:bottom w:val="none" w:sz="0" w:space="0" w:color="auto"/>
            <w:right w:val="none" w:sz="0" w:space="0" w:color="auto"/>
          </w:divBdr>
        </w:div>
        <w:div w:id="1924794323">
          <w:marLeft w:val="640"/>
          <w:marRight w:val="0"/>
          <w:marTop w:val="0"/>
          <w:marBottom w:val="0"/>
          <w:divBdr>
            <w:top w:val="none" w:sz="0" w:space="0" w:color="auto"/>
            <w:left w:val="none" w:sz="0" w:space="0" w:color="auto"/>
            <w:bottom w:val="none" w:sz="0" w:space="0" w:color="auto"/>
            <w:right w:val="none" w:sz="0" w:space="0" w:color="auto"/>
          </w:divBdr>
        </w:div>
        <w:div w:id="919951963">
          <w:marLeft w:val="640"/>
          <w:marRight w:val="0"/>
          <w:marTop w:val="0"/>
          <w:marBottom w:val="0"/>
          <w:divBdr>
            <w:top w:val="none" w:sz="0" w:space="0" w:color="auto"/>
            <w:left w:val="none" w:sz="0" w:space="0" w:color="auto"/>
            <w:bottom w:val="none" w:sz="0" w:space="0" w:color="auto"/>
            <w:right w:val="none" w:sz="0" w:space="0" w:color="auto"/>
          </w:divBdr>
        </w:div>
        <w:div w:id="1584143297">
          <w:marLeft w:val="640"/>
          <w:marRight w:val="0"/>
          <w:marTop w:val="0"/>
          <w:marBottom w:val="0"/>
          <w:divBdr>
            <w:top w:val="none" w:sz="0" w:space="0" w:color="auto"/>
            <w:left w:val="none" w:sz="0" w:space="0" w:color="auto"/>
            <w:bottom w:val="none" w:sz="0" w:space="0" w:color="auto"/>
            <w:right w:val="none" w:sz="0" w:space="0" w:color="auto"/>
          </w:divBdr>
        </w:div>
        <w:div w:id="851383757">
          <w:marLeft w:val="640"/>
          <w:marRight w:val="0"/>
          <w:marTop w:val="0"/>
          <w:marBottom w:val="0"/>
          <w:divBdr>
            <w:top w:val="none" w:sz="0" w:space="0" w:color="auto"/>
            <w:left w:val="none" w:sz="0" w:space="0" w:color="auto"/>
            <w:bottom w:val="none" w:sz="0" w:space="0" w:color="auto"/>
            <w:right w:val="none" w:sz="0" w:space="0" w:color="auto"/>
          </w:divBdr>
        </w:div>
        <w:div w:id="638804650">
          <w:marLeft w:val="640"/>
          <w:marRight w:val="0"/>
          <w:marTop w:val="0"/>
          <w:marBottom w:val="0"/>
          <w:divBdr>
            <w:top w:val="none" w:sz="0" w:space="0" w:color="auto"/>
            <w:left w:val="none" w:sz="0" w:space="0" w:color="auto"/>
            <w:bottom w:val="none" w:sz="0" w:space="0" w:color="auto"/>
            <w:right w:val="none" w:sz="0" w:space="0" w:color="auto"/>
          </w:divBdr>
        </w:div>
        <w:div w:id="1204370270">
          <w:marLeft w:val="640"/>
          <w:marRight w:val="0"/>
          <w:marTop w:val="0"/>
          <w:marBottom w:val="0"/>
          <w:divBdr>
            <w:top w:val="none" w:sz="0" w:space="0" w:color="auto"/>
            <w:left w:val="none" w:sz="0" w:space="0" w:color="auto"/>
            <w:bottom w:val="none" w:sz="0" w:space="0" w:color="auto"/>
            <w:right w:val="none" w:sz="0" w:space="0" w:color="auto"/>
          </w:divBdr>
        </w:div>
        <w:div w:id="909115494">
          <w:marLeft w:val="640"/>
          <w:marRight w:val="0"/>
          <w:marTop w:val="0"/>
          <w:marBottom w:val="0"/>
          <w:divBdr>
            <w:top w:val="none" w:sz="0" w:space="0" w:color="auto"/>
            <w:left w:val="none" w:sz="0" w:space="0" w:color="auto"/>
            <w:bottom w:val="none" w:sz="0" w:space="0" w:color="auto"/>
            <w:right w:val="none" w:sz="0" w:space="0" w:color="auto"/>
          </w:divBdr>
        </w:div>
        <w:div w:id="1507091714">
          <w:marLeft w:val="640"/>
          <w:marRight w:val="0"/>
          <w:marTop w:val="0"/>
          <w:marBottom w:val="0"/>
          <w:divBdr>
            <w:top w:val="none" w:sz="0" w:space="0" w:color="auto"/>
            <w:left w:val="none" w:sz="0" w:space="0" w:color="auto"/>
            <w:bottom w:val="none" w:sz="0" w:space="0" w:color="auto"/>
            <w:right w:val="none" w:sz="0" w:space="0" w:color="auto"/>
          </w:divBdr>
        </w:div>
        <w:div w:id="625358685">
          <w:marLeft w:val="640"/>
          <w:marRight w:val="0"/>
          <w:marTop w:val="0"/>
          <w:marBottom w:val="0"/>
          <w:divBdr>
            <w:top w:val="none" w:sz="0" w:space="0" w:color="auto"/>
            <w:left w:val="none" w:sz="0" w:space="0" w:color="auto"/>
            <w:bottom w:val="none" w:sz="0" w:space="0" w:color="auto"/>
            <w:right w:val="none" w:sz="0" w:space="0" w:color="auto"/>
          </w:divBdr>
        </w:div>
        <w:div w:id="80374280">
          <w:marLeft w:val="640"/>
          <w:marRight w:val="0"/>
          <w:marTop w:val="0"/>
          <w:marBottom w:val="0"/>
          <w:divBdr>
            <w:top w:val="none" w:sz="0" w:space="0" w:color="auto"/>
            <w:left w:val="none" w:sz="0" w:space="0" w:color="auto"/>
            <w:bottom w:val="none" w:sz="0" w:space="0" w:color="auto"/>
            <w:right w:val="none" w:sz="0" w:space="0" w:color="auto"/>
          </w:divBdr>
        </w:div>
        <w:div w:id="396435592">
          <w:marLeft w:val="640"/>
          <w:marRight w:val="0"/>
          <w:marTop w:val="0"/>
          <w:marBottom w:val="0"/>
          <w:divBdr>
            <w:top w:val="none" w:sz="0" w:space="0" w:color="auto"/>
            <w:left w:val="none" w:sz="0" w:space="0" w:color="auto"/>
            <w:bottom w:val="none" w:sz="0" w:space="0" w:color="auto"/>
            <w:right w:val="none" w:sz="0" w:space="0" w:color="auto"/>
          </w:divBdr>
        </w:div>
        <w:div w:id="984698412">
          <w:marLeft w:val="640"/>
          <w:marRight w:val="0"/>
          <w:marTop w:val="0"/>
          <w:marBottom w:val="0"/>
          <w:divBdr>
            <w:top w:val="none" w:sz="0" w:space="0" w:color="auto"/>
            <w:left w:val="none" w:sz="0" w:space="0" w:color="auto"/>
            <w:bottom w:val="none" w:sz="0" w:space="0" w:color="auto"/>
            <w:right w:val="none" w:sz="0" w:space="0" w:color="auto"/>
          </w:divBdr>
        </w:div>
        <w:div w:id="537204789">
          <w:marLeft w:val="640"/>
          <w:marRight w:val="0"/>
          <w:marTop w:val="0"/>
          <w:marBottom w:val="0"/>
          <w:divBdr>
            <w:top w:val="none" w:sz="0" w:space="0" w:color="auto"/>
            <w:left w:val="none" w:sz="0" w:space="0" w:color="auto"/>
            <w:bottom w:val="none" w:sz="0" w:space="0" w:color="auto"/>
            <w:right w:val="none" w:sz="0" w:space="0" w:color="auto"/>
          </w:divBdr>
        </w:div>
        <w:div w:id="1425807363">
          <w:marLeft w:val="640"/>
          <w:marRight w:val="0"/>
          <w:marTop w:val="0"/>
          <w:marBottom w:val="0"/>
          <w:divBdr>
            <w:top w:val="none" w:sz="0" w:space="0" w:color="auto"/>
            <w:left w:val="none" w:sz="0" w:space="0" w:color="auto"/>
            <w:bottom w:val="none" w:sz="0" w:space="0" w:color="auto"/>
            <w:right w:val="none" w:sz="0" w:space="0" w:color="auto"/>
          </w:divBdr>
        </w:div>
        <w:div w:id="1876964135">
          <w:marLeft w:val="640"/>
          <w:marRight w:val="0"/>
          <w:marTop w:val="0"/>
          <w:marBottom w:val="0"/>
          <w:divBdr>
            <w:top w:val="none" w:sz="0" w:space="0" w:color="auto"/>
            <w:left w:val="none" w:sz="0" w:space="0" w:color="auto"/>
            <w:bottom w:val="none" w:sz="0" w:space="0" w:color="auto"/>
            <w:right w:val="none" w:sz="0" w:space="0" w:color="auto"/>
          </w:divBdr>
        </w:div>
        <w:div w:id="1251545456">
          <w:marLeft w:val="640"/>
          <w:marRight w:val="0"/>
          <w:marTop w:val="0"/>
          <w:marBottom w:val="0"/>
          <w:divBdr>
            <w:top w:val="none" w:sz="0" w:space="0" w:color="auto"/>
            <w:left w:val="none" w:sz="0" w:space="0" w:color="auto"/>
            <w:bottom w:val="none" w:sz="0" w:space="0" w:color="auto"/>
            <w:right w:val="none" w:sz="0" w:space="0" w:color="auto"/>
          </w:divBdr>
        </w:div>
        <w:div w:id="1443960647">
          <w:marLeft w:val="640"/>
          <w:marRight w:val="0"/>
          <w:marTop w:val="0"/>
          <w:marBottom w:val="0"/>
          <w:divBdr>
            <w:top w:val="none" w:sz="0" w:space="0" w:color="auto"/>
            <w:left w:val="none" w:sz="0" w:space="0" w:color="auto"/>
            <w:bottom w:val="none" w:sz="0" w:space="0" w:color="auto"/>
            <w:right w:val="none" w:sz="0" w:space="0" w:color="auto"/>
          </w:divBdr>
        </w:div>
        <w:div w:id="1340616759">
          <w:marLeft w:val="640"/>
          <w:marRight w:val="0"/>
          <w:marTop w:val="0"/>
          <w:marBottom w:val="0"/>
          <w:divBdr>
            <w:top w:val="none" w:sz="0" w:space="0" w:color="auto"/>
            <w:left w:val="none" w:sz="0" w:space="0" w:color="auto"/>
            <w:bottom w:val="none" w:sz="0" w:space="0" w:color="auto"/>
            <w:right w:val="none" w:sz="0" w:space="0" w:color="auto"/>
          </w:divBdr>
        </w:div>
        <w:div w:id="1941835243">
          <w:marLeft w:val="640"/>
          <w:marRight w:val="0"/>
          <w:marTop w:val="0"/>
          <w:marBottom w:val="0"/>
          <w:divBdr>
            <w:top w:val="none" w:sz="0" w:space="0" w:color="auto"/>
            <w:left w:val="none" w:sz="0" w:space="0" w:color="auto"/>
            <w:bottom w:val="none" w:sz="0" w:space="0" w:color="auto"/>
            <w:right w:val="none" w:sz="0" w:space="0" w:color="auto"/>
          </w:divBdr>
        </w:div>
        <w:div w:id="972903638">
          <w:marLeft w:val="640"/>
          <w:marRight w:val="0"/>
          <w:marTop w:val="0"/>
          <w:marBottom w:val="0"/>
          <w:divBdr>
            <w:top w:val="none" w:sz="0" w:space="0" w:color="auto"/>
            <w:left w:val="none" w:sz="0" w:space="0" w:color="auto"/>
            <w:bottom w:val="none" w:sz="0" w:space="0" w:color="auto"/>
            <w:right w:val="none" w:sz="0" w:space="0" w:color="auto"/>
          </w:divBdr>
        </w:div>
        <w:div w:id="1574731547">
          <w:marLeft w:val="640"/>
          <w:marRight w:val="0"/>
          <w:marTop w:val="0"/>
          <w:marBottom w:val="0"/>
          <w:divBdr>
            <w:top w:val="none" w:sz="0" w:space="0" w:color="auto"/>
            <w:left w:val="none" w:sz="0" w:space="0" w:color="auto"/>
            <w:bottom w:val="none" w:sz="0" w:space="0" w:color="auto"/>
            <w:right w:val="none" w:sz="0" w:space="0" w:color="auto"/>
          </w:divBdr>
        </w:div>
        <w:div w:id="492529560">
          <w:marLeft w:val="640"/>
          <w:marRight w:val="0"/>
          <w:marTop w:val="0"/>
          <w:marBottom w:val="0"/>
          <w:divBdr>
            <w:top w:val="none" w:sz="0" w:space="0" w:color="auto"/>
            <w:left w:val="none" w:sz="0" w:space="0" w:color="auto"/>
            <w:bottom w:val="none" w:sz="0" w:space="0" w:color="auto"/>
            <w:right w:val="none" w:sz="0" w:space="0" w:color="auto"/>
          </w:divBdr>
        </w:div>
        <w:div w:id="902561935">
          <w:marLeft w:val="640"/>
          <w:marRight w:val="0"/>
          <w:marTop w:val="0"/>
          <w:marBottom w:val="0"/>
          <w:divBdr>
            <w:top w:val="none" w:sz="0" w:space="0" w:color="auto"/>
            <w:left w:val="none" w:sz="0" w:space="0" w:color="auto"/>
            <w:bottom w:val="none" w:sz="0" w:space="0" w:color="auto"/>
            <w:right w:val="none" w:sz="0" w:space="0" w:color="auto"/>
          </w:divBdr>
        </w:div>
        <w:div w:id="546261549">
          <w:marLeft w:val="640"/>
          <w:marRight w:val="0"/>
          <w:marTop w:val="0"/>
          <w:marBottom w:val="0"/>
          <w:divBdr>
            <w:top w:val="none" w:sz="0" w:space="0" w:color="auto"/>
            <w:left w:val="none" w:sz="0" w:space="0" w:color="auto"/>
            <w:bottom w:val="none" w:sz="0" w:space="0" w:color="auto"/>
            <w:right w:val="none" w:sz="0" w:space="0" w:color="auto"/>
          </w:divBdr>
        </w:div>
        <w:div w:id="705252409">
          <w:marLeft w:val="640"/>
          <w:marRight w:val="0"/>
          <w:marTop w:val="0"/>
          <w:marBottom w:val="0"/>
          <w:divBdr>
            <w:top w:val="none" w:sz="0" w:space="0" w:color="auto"/>
            <w:left w:val="none" w:sz="0" w:space="0" w:color="auto"/>
            <w:bottom w:val="none" w:sz="0" w:space="0" w:color="auto"/>
            <w:right w:val="none" w:sz="0" w:space="0" w:color="auto"/>
          </w:divBdr>
        </w:div>
        <w:div w:id="271397506">
          <w:marLeft w:val="640"/>
          <w:marRight w:val="0"/>
          <w:marTop w:val="0"/>
          <w:marBottom w:val="0"/>
          <w:divBdr>
            <w:top w:val="none" w:sz="0" w:space="0" w:color="auto"/>
            <w:left w:val="none" w:sz="0" w:space="0" w:color="auto"/>
            <w:bottom w:val="none" w:sz="0" w:space="0" w:color="auto"/>
            <w:right w:val="none" w:sz="0" w:space="0" w:color="auto"/>
          </w:divBdr>
        </w:div>
        <w:div w:id="895624299">
          <w:marLeft w:val="640"/>
          <w:marRight w:val="0"/>
          <w:marTop w:val="0"/>
          <w:marBottom w:val="0"/>
          <w:divBdr>
            <w:top w:val="none" w:sz="0" w:space="0" w:color="auto"/>
            <w:left w:val="none" w:sz="0" w:space="0" w:color="auto"/>
            <w:bottom w:val="none" w:sz="0" w:space="0" w:color="auto"/>
            <w:right w:val="none" w:sz="0" w:space="0" w:color="auto"/>
          </w:divBdr>
        </w:div>
        <w:div w:id="916015880">
          <w:marLeft w:val="640"/>
          <w:marRight w:val="0"/>
          <w:marTop w:val="0"/>
          <w:marBottom w:val="0"/>
          <w:divBdr>
            <w:top w:val="none" w:sz="0" w:space="0" w:color="auto"/>
            <w:left w:val="none" w:sz="0" w:space="0" w:color="auto"/>
            <w:bottom w:val="none" w:sz="0" w:space="0" w:color="auto"/>
            <w:right w:val="none" w:sz="0" w:space="0" w:color="auto"/>
          </w:divBdr>
        </w:div>
        <w:div w:id="1759674305">
          <w:marLeft w:val="640"/>
          <w:marRight w:val="0"/>
          <w:marTop w:val="0"/>
          <w:marBottom w:val="0"/>
          <w:divBdr>
            <w:top w:val="none" w:sz="0" w:space="0" w:color="auto"/>
            <w:left w:val="none" w:sz="0" w:space="0" w:color="auto"/>
            <w:bottom w:val="none" w:sz="0" w:space="0" w:color="auto"/>
            <w:right w:val="none" w:sz="0" w:space="0" w:color="auto"/>
          </w:divBdr>
        </w:div>
        <w:div w:id="1116679109">
          <w:marLeft w:val="640"/>
          <w:marRight w:val="0"/>
          <w:marTop w:val="0"/>
          <w:marBottom w:val="0"/>
          <w:divBdr>
            <w:top w:val="none" w:sz="0" w:space="0" w:color="auto"/>
            <w:left w:val="none" w:sz="0" w:space="0" w:color="auto"/>
            <w:bottom w:val="none" w:sz="0" w:space="0" w:color="auto"/>
            <w:right w:val="none" w:sz="0" w:space="0" w:color="auto"/>
          </w:divBdr>
        </w:div>
        <w:div w:id="1668166520">
          <w:marLeft w:val="640"/>
          <w:marRight w:val="0"/>
          <w:marTop w:val="0"/>
          <w:marBottom w:val="0"/>
          <w:divBdr>
            <w:top w:val="none" w:sz="0" w:space="0" w:color="auto"/>
            <w:left w:val="none" w:sz="0" w:space="0" w:color="auto"/>
            <w:bottom w:val="none" w:sz="0" w:space="0" w:color="auto"/>
            <w:right w:val="none" w:sz="0" w:space="0" w:color="auto"/>
          </w:divBdr>
        </w:div>
        <w:div w:id="150948910">
          <w:marLeft w:val="640"/>
          <w:marRight w:val="0"/>
          <w:marTop w:val="0"/>
          <w:marBottom w:val="0"/>
          <w:divBdr>
            <w:top w:val="none" w:sz="0" w:space="0" w:color="auto"/>
            <w:left w:val="none" w:sz="0" w:space="0" w:color="auto"/>
            <w:bottom w:val="none" w:sz="0" w:space="0" w:color="auto"/>
            <w:right w:val="none" w:sz="0" w:space="0" w:color="auto"/>
          </w:divBdr>
        </w:div>
        <w:div w:id="1341202064">
          <w:marLeft w:val="640"/>
          <w:marRight w:val="0"/>
          <w:marTop w:val="0"/>
          <w:marBottom w:val="0"/>
          <w:divBdr>
            <w:top w:val="none" w:sz="0" w:space="0" w:color="auto"/>
            <w:left w:val="none" w:sz="0" w:space="0" w:color="auto"/>
            <w:bottom w:val="none" w:sz="0" w:space="0" w:color="auto"/>
            <w:right w:val="none" w:sz="0" w:space="0" w:color="auto"/>
          </w:divBdr>
        </w:div>
        <w:div w:id="244000793">
          <w:marLeft w:val="640"/>
          <w:marRight w:val="0"/>
          <w:marTop w:val="0"/>
          <w:marBottom w:val="0"/>
          <w:divBdr>
            <w:top w:val="none" w:sz="0" w:space="0" w:color="auto"/>
            <w:left w:val="none" w:sz="0" w:space="0" w:color="auto"/>
            <w:bottom w:val="none" w:sz="0" w:space="0" w:color="auto"/>
            <w:right w:val="none" w:sz="0" w:space="0" w:color="auto"/>
          </w:divBdr>
        </w:div>
        <w:div w:id="639917918">
          <w:marLeft w:val="640"/>
          <w:marRight w:val="0"/>
          <w:marTop w:val="0"/>
          <w:marBottom w:val="0"/>
          <w:divBdr>
            <w:top w:val="none" w:sz="0" w:space="0" w:color="auto"/>
            <w:left w:val="none" w:sz="0" w:space="0" w:color="auto"/>
            <w:bottom w:val="none" w:sz="0" w:space="0" w:color="auto"/>
            <w:right w:val="none" w:sz="0" w:space="0" w:color="auto"/>
          </w:divBdr>
        </w:div>
        <w:div w:id="676427370">
          <w:marLeft w:val="640"/>
          <w:marRight w:val="0"/>
          <w:marTop w:val="0"/>
          <w:marBottom w:val="0"/>
          <w:divBdr>
            <w:top w:val="none" w:sz="0" w:space="0" w:color="auto"/>
            <w:left w:val="none" w:sz="0" w:space="0" w:color="auto"/>
            <w:bottom w:val="none" w:sz="0" w:space="0" w:color="auto"/>
            <w:right w:val="none" w:sz="0" w:space="0" w:color="auto"/>
          </w:divBdr>
        </w:div>
        <w:div w:id="719474664">
          <w:marLeft w:val="640"/>
          <w:marRight w:val="0"/>
          <w:marTop w:val="0"/>
          <w:marBottom w:val="0"/>
          <w:divBdr>
            <w:top w:val="none" w:sz="0" w:space="0" w:color="auto"/>
            <w:left w:val="none" w:sz="0" w:space="0" w:color="auto"/>
            <w:bottom w:val="none" w:sz="0" w:space="0" w:color="auto"/>
            <w:right w:val="none" w:sz="0" w:space="0" w:color="auto"/>
          </w:divBdr>
        </w:div>
        <w:div w:id="767190106">
          <w:marLeft w:val="640"/>
          <w:marRight w:val="0"/>
          <w:marTop w:val="0"/>
          <w:marBottom w:val="0"/>
          <w:divBdr>
            <w:top w:val="none" w:sz="0" w:space="0" w:color="auto"/>
            <w:left w:val="none" w:sz="0" w:space="0" w:color="auto"/>
            <w:bottom w:val="none" w:sz="0" w:space="0" w:color="auto"/>
            <w:right w:val="none" w:sz="0" w:space="0" w:color="auto"/>
          </w:divBdr>
        </w:div>
        <w:div w:id="2107113533">
          <w:marLeft w:val="640"/>
          <w:marRight w:val="0"/>
          <w:marTop w:val="0"/>
          <w:marBottom w:val="0"/>
          <w:divBdr>
            <w:top w:val="none" w:sz="0" w:space="0" w:color="auto"/>
            <w:left w:val="none" w:sz="0" w:space="0" w:color="auto"/>
            <w:bottom w:val="none" w:sz="0" w:space="0" w:color="auto"/>
            <w:right w:val="none" w:sz="0" w:space="0" w:color="auto"/>
          </w:divBdr>
        </w:div>
        <w:div w:id="1609124279">
          <w:marLeft w:val="640"/>
          <w:marRight w:val="0"/>
          <w:marTop w:val="0"/>
          <w:marBottom w:val="0"/>
          <w:divBdr>
            <w:top w:val="none" w:sz="0" w:space="0" w:color="auto"/>
            <w:left w:val="none" w:sz="0" w:space="0" w:color="auto"/>
            <w:bottom w:val="none" w:sz="0" w:space="0" w:color="auto"/>
            <w:right w:val="none" w:sz="0" w:space="0" w:color="auto"/>
          </w:divBdr>
        </w:div>
        <w:div w:id="1781991525">
          <w:marLeft w:val="640"/>
          <w:marRight w:val="0"/>
          <w:marTop w:val="0"/>
          <w:marBottom w:val="0"/>
          <w:divBdr>
            <w:top w:val="none" w:sz="0" w:space="0" w:color="auto"/>
            <w:left w:val="none" w:sz="0" w:space="0" w:color="auto"/>
            <w:bottom w:val="none" w:sz="0" w:space="0" w:color="auto"/>
            <w:right w:val="none" w:sz="0" w:space="0" w:color="auto"/>
          </w:divBdr>
        </w:div>
        <w:div w:id="1745490268">
          <w:marLeft w:val="640"/>
          <w:marRight w:val="0"/>
          <w:marTop w:val="0"/>
          <w:marBottom w:val="0"/>
          <w:divBdr>
            <w:top w:val="none" w:sz="0" w:space="0" w:color="auto"/>
            <w:left w:val="none" w:sz="0" w:space="0" w:color="auto"/>
            <w:bottom w:val="none" w:sz="0" w:space="0" w:color="auto"/>
            <w:right w:val="none" w:sz="0" w:space="0" w:color="auto"/>
          </w:divBdr>
        </w:div>
        <w:div w:id="2102212936">
          <w:marLeft w:val="640"/>
          <w:marRight w:val="0"/>
          <w:marTop w:val="0"/>
          <w:marBottom w:val="0"/>
          <w:divBdr>
            <w:top w:val="none" w:sz="0" w:space="0" w:color="auto"/>
            <w:left w:val="none" w:sz="0" w:space="0" w:color="auto"/>
            <w:bottom w:val="none" w:sz="0" w:space="0" w:color="auto"/>
            <w:right w:val="none" w:sz="0" w:space="0" w:color="auto"/>
          </w:divBdr>
        </w:div>
        <w:div w:id="2130463676">
          <w:marLeft w:val="640"/>
          <w:marRight w:val="0"/>
          <w:marTop w:val="0"/>
          <w:marBottom w:val="0"/>
          <w:divBdr>
            <w:top w:val="none" w:sz="0" w:space="0" w:color="auto"/>
            <w:left w:val="none" w:sz="0" w:space="0" w:color="auto"/>
            <w:bottom w:val="none" w:sz="0" w:space="0" w:color="auto"/>
            <w:right w:val="none" w:sz="0" w:space="0" w:color="auto"/>
          </w:divBdr>
        </w:div>
        <w:div w:id="1250774067">
          <w:marLeft w:val="640"/>
          <w:marRight w:val="0"/>
          <w:marTop w:val="0"/>
          <w:marBottom w:val="0"/>
          <w:divBdr>
            <w:top w:val="none" w:sz="0" w:space="0" w:color="auto"/>
            <w:left w:val="none" w:sz="0" w:space="0" w:color="auto"/>
            <w:bottom w:val="none" w:sz="0" w:space="0" w:color="auto"/>
            <w:right w:val="none" w:sz="0" w:space="0" w:color="auto"/>
          </w:divBdr>
        </w:div>
        <w:div w:id="412514201">
          <w:marLeft w:val="640"/>
          <w:marRight w:val="0"/>
          <w:marTop w:val="0"/>
          <w:marBottom w:val="0"/>
          <w:divBdr>
            <w:top w:val="none" w:sz="0" w:space="0" w:color="auto"/>
            <w:left w:val="none" w:sz="0" w:space="0" w:color="auto"/>
            <w:bottom w:val="none" w:sz="0" w:space="0" w:color="auto"/>
            <w:right w:val="none" w:sz="0" w:space="0" w:color="auto"/>
          </w:divBdr>
        </w:div>
        <w:div w:id="1589579142">
          <w:marLeft w:val="640"/>
          <w:marRight w:val="0"/>
          <w:marTop w:val="0"/>
          <w:marBottom w:val="0"/>
          <w:divBdr>
            <w:top w:val="none" w:sz="0" w:space="0" w:color="auto"/>
            <w:left w:val="none" w:sz="0" w:space="0" w:color="auto"/>
            <w:bottom w:val="none" w:sz="0" w:space="0" w:color="auto"/>
            <w:right w:val="none" w:sz="0" w:space="0" w:color="auto"/>
          </w:divBdr>
        </w:div>
        <w:div w:id="574051726">
          <w:marLeft w:val="640"/>
          <w:marRight w:val="0"/>
          <w:marTop w:val="0"/>
          <w:marBottom w:val="0"/>
          <w:divBdr>
            <w:top w:val="none" w:sz="0" w:space="0" w:color="auto"/>
            <w:left w:val="none" w:sz="0" w:space="0" w:color="auto"/>
            <w:bottom w:val="none" w:sz="0" w:space="0" w:color="auto"/>
            <w:right w:val="none" w:sz="0" w:space="0" w:color="auto"/>
          </w:divBdr>
        </w:div>
        <w:div w:id="1550453432">
          <w:marLeft w:val="640"/>
          <w:marRight w:val="0"/>
          <w:marTop w:val="0"/>
          <w:marBottom w:val="0"/>
          <w:divBdr>
            <w:top w:val="none" w:sz="0" w:space="0" w:color="auto"/>
            <w:left w:val="none" w:sz="0" w:space="0" w:color="auto"/>
            <w:bottom w:val="none" w:sz="0" w:space="0" w:color="auto"/>
            <w:right w:val="none" w:sz="0" w:space="0" w:color="auto"/>
          </w:divBdr>
        </w:div>
        <w:div w:id="1204439364">
          <w:marLeft w:val="640"/>
          <w:marRight w:val="0"/>
          <w:marTop w:val="0"/>
          <w:marBottom w:val="0"/>
          <w:divBdr>
            <w:top w:val="none" w:sz="0" w:space="0" w:color="auto"/>
            <w:left w:val="none" w:sz="0" w:space="0" w:color="auto"/>
            <w:bottom w:val="none" w:sz="0" w:space="0" w:color="auto"/>
            <w:right w:val="none" w:sz="0" w:space="0" w:color="auto"/>
          </w:divBdr>
        </w:div>
        <w:div w:id="2099712974">
          <w:marLeft w:val="640"/>
          <w:marRight w:val="0"/>
          <w:marTop w:val="0"/>
          <w:marBottom w:val="0"/>
          <w:divBdr>
            <w:top w:val="none" w:sz="0" w:space="0" w:color="auto"/>
            <w:left w:val="none" w:sz="0" w:space="0" w:color="auto"/>
            <w:bottom w:val="none" w:sz="0" w:space="0" w:color="auto"/>
            <w:right w:val="none" w:sz="0" w:space="0" w:color="auto"/>
          </w:divBdr>
        </w:div>
        <w:div w:id="1110275866">
          <w:marLeft w:val="640"/>
          <w:marRight w:val="0"/>
          <w:marTop w:val="0"/>
          <w:marBottom w:val="0"/>
          <w:divBdr>
            <w:top w:val="none" w:sz="0" w:space="0" w:color="auto"/>
            <w:left w:val="none" w:sz="0" w:space="0" w:color="auto"/>
            <w:bottom w:val="none" w:sz="0" w:space="0" w:color="auto"/>
            <w:right w:val="none" w:sz="0" w:space="0" w:color="auto"/>
          </w:divBdr>
        </w:div>
        <w:div w:id="1744255189">
          <w:marLeft w:val="640"/>
          <w:marRight w:val="0"/>
          <w:marTop w:val="0"/>
          <w:marBottom w:val="0"/>
          <w:divBdr>
            <w:top w:val="none" w:sz="0" w:space="0" w:color="auto"/>
            <w:left w:val="none" w:sz="0" w:space="0" w:color="auto"/>
            <w:bottom w:val="none" w:sz="0" w:space="0" w:color="auto"/>
            <w:right w:val="none" w:sz="0" w:space="0" w:color="auto"/>
          </w:divBdr>
        </w:div>
        <w:div w:id="942570706">
          <w:marLeft w:val="640"/>
          <w:marRight w:val="0"/>
          <w:marTop w:val="0"/>
          <w:marBottom w:val="0"/>
          <w:divBdr>
            <w:top w:val="none" w:sz="0" w:space="0" w:color="auto"/>
            <w:left w:val="none" w:sz="0" w:space="0" w:color="auto"/>
            <w:bottom w:val="none" w:sz="0" w:space="0" w:color="auto"/>
            <w:right w:val="none" w:sz="0" w:space="0" w:color="auto"/>
          </w:divBdr>
        </w:div>
        <w:div w:id="336664017">
          <w:marLeft w:val="640"/>
          <w:marRight w:val="0"/>
          <w:marTop w:val="0"/>
          <w:marBottom w:val="0"/>
          <w:divBdr>
            <w:top w:val="none" w:sz="0" w:space="0" w:color="auto"/>
            <w:left w:val="none" w:sz="0" w:space="0" w:color="auto"/>
            <w:bottom w:val="none" w:sz="0" w:space="0" w:color="auto"/>
            <w:right w:val="none" w:sz="0" w:space="0" w:color="auto"/>
          </w:divBdr>
        </w:div>
        <w:div w:id="984624204">
          <w:marLeft w:val="640"/>
          <w:marRight w:val="0"/>
          <w:marTop w:val="0"/>
          <w:marBottom w:val="0"/>
          <w:divBdr>
            <w:top w:val="none" w:sz="0" w:space="0" w:color="auto"/>
            <w:left w:val="none" w:sz="0" w:space="0" w:color="auto"/>
            <w:bottom w:val="none" w:sz="0" w:space="0" w:color="auto"/>
            <w:right w:val="none" w:sz="0" w:space="0" w:color="auto"/>
          </w:divBdr>
        </w:div>
        <w:div w:id="774636334">
          <w:marLeft w:val="640"/>
          <w:marRight w:val="0"/>
          <w:marTop w:val="0"/>
          <w:marBottom w:val="0"/>
          <w:divBdr>
            <w:top w:val="none" w:sz="0" w:space="0" w:color="auto"/>
            <w:left w:val="none" w:sz="0" w:space="0" w:color="auto"/>
            <w:bottom w:val="none" w:sz="0" w:space="0" w:color="auto"/>
            <w:right w:val="none" w:sz="0" w:space="0" w:color="auto"/>
          </w:divBdr>
        </w:div>
        <w:div w:id="1458335712">
          <w:marLeft w:val="640"/>
          <w:marRight w:val="0"/>
          <w:marTop w:val="0"/>
          <w:marBottom w:val="0"/>
          <w:divBdr>
            <w:top w:val="none" w:sz="0" w:space="0" w:color="auto"/>
            <w:left w:val="none" w:sz="0" w:space="0" w:color="auto"/>
            <w:bottom w:val="none" w:sz="0" w:space="0" w:color="auto"/>
            <w:right w:val="none" w:sz="0" w:space="0" w:color="auto"/>
          </w:divBdr>
        </w:div>
        <w:div w:id="789084879">
          <w:marLeft w:val="640"/>
          <w:marRight w:val="0"/>
          <w:marTop w:val="0"/>
          <w:marBottom w:val="0"/>
          <w:divBdr>
            <w:top w:val="none" w:sz="0" w:space="0" w:color="auto"/>
            <w:left w:val="none" w:sz="0" w:space="0" w:color="auto"/>
            <w:bottom w:val="none" w:sz="0" w:space="0" w:color="auto"/>
            <w:right w:val="none" w:sz="0" w:space="0" w:color="auto"/>
          </w:divBdr>
        </w:div>
        <w:div w:id="1545365591">
          <w:marLeft w:val="640"/>
          <w:marRight w:val="0"/>
          <w:marTop w:val="0"/>
          <w:marBottom w:val="0"/>
          <w:divBdr>
            <w:top w:val="none" w:sz="0" w:space="0" w:color="auto"/>
            <w:left w:val="none" w:sz="0" w:space="0" w:color="auto"/>
            <w:bottom w:val="none" w:sz="0" w:space="0" w:color="auto"/>
            <w:right w:val="none" w:sz="0" w:space="0" w:color="auto"/>
          </w:divBdr>
        </w:div>
        <w:div w:id="816386819">
          <w:marLeft w:val="640"/>
          <w:marRight w:val="0"/>
          <w:marTop w:val="0"/>
          <w:marBottom w:val="0"/>
          <w:divBdr>
            <w:top w:val="none" w:sz="0" w:space="0" w:color="auto"/>
            <w:left w:val="none" w:sz="0" w:space="0" w:color="auto"/>
            <w:bottom w:val="none" w:sz="0" w:space="0" w:color="auto"/>
            <w:right w:val="none" w:sz="0" w:space="0" w:color="auto"/>
          </w:divBdr>
        </w:div>
        <w:div w:id="455369939">
          <w:marLeft w:val="640"/>
          <w:marRight w:val="0"/>
          <w:marTop w:val="0"/>
          <w:marBottom w:val="0"/>
          <w:divBdr>
            <w:top w:val="none" w:sz="0" w:space="0" w:color="auto"/>
            <w:left w:val="none" w:sz="0" w:space="0" w:color="auto"/>
            <w:bottom w:val="none" w:sz="0" w:space="0" w:color="auto"/>
            <w:right w:val="none" w:sz="0" w:space="0" w:color="auto"/>
          </w:divBdr>
        </w:div>
        <w:div w:id="1776514840">
          <w:marLeft w:val="640"/>
          <w:marRight w:val="0"/>
          <w:marTop w:val="0"/>
          <w:marBottom w:val="0"/>
          <w:divBdr>
            <w:top w:val="none" w:sz="0" w:space="0" w:color="auto"/>
            <w:left w:val="none" w:sz="0" w:space="0" w:color="auto"/>
            <w:bottom w:val="none" w:sz="0" w:space="0" w:color="auto"/>
            <w:right w:val="none" w:sz="0" w:space="0" w:color="auto"/>
          </w:divBdr>
        </w:div>
        <w:div w:id="1540511416">
          <w:marLeft w:val="640"/>
          <w:marRight w:val="0"/>
          <w:marTop w:val="0"/>
          <w:marBottom w:val="0"/>
          <w:divBdr>
            <w:top w:val="none" w:sz="0" w:space="0" w:color="auto"/>
            <w:left w:val="none" w:sz="0" w:space="0" w:color="auto"/>
            <w:bottom w:val="none" w:sz="0" w:space="0" w:color="auto"/>
            <w:right w:val="none" w:sz="0" w:space="0" w:color="auto"/>
          </w:divBdr>
        </w:div>
        <w:div w:id="1346056549">
          <w:marLeft w:val="640"/>
          <w:marRight w:val="0"/>
          <w:marTop w:val="0"/>
          <w:marBottom w:val="0"/>
          <w:divBdr>
            <w:top w:val="none" w:sz="0" w:space="0" w:color="auto"/>
            <w:left w:val="none" w:sz="0" w:space="0" w:color="auto"/>
            <w:bottom w:val="none" w:sz="0" w:space="0" w:color="auto"/>
            <w:right w:val="none" w:sz="0" w:space="0" w:color="auto"/>
          </w:divBdr>
        </w:div>
        <w:div w:id="1783498266">
          <w:marLeft w:val="640"/>
          <w:marRight w:val="0"/>
          <w:marTop w:val="0"/>
          <w:marBottom w:val="0"/>
          <w:divBdr>
            <w:top w:val="none" w:sz="0" w:space="0" w:color="auto"/>
            <w:left w:val="none" w:sz="0" w:space="0" w:color="auto"/>
            <w:bottom w:val="none" w:sz="0" w:space="0" w:color="auto"/>
            <w:right w:val="none" w:sz="0" w:space="0" w:color="auto"/>
          </w:divBdr>
        </w:div>
        <w:div w:id="1763407695">
          <w:marLeft w:val="640"/>
          <w:marRight w:val="0"/>
          <w:marTop w:val="0"/>
          <w:marBottom w:val="0"/>
          <w:divBdr>
            <w:top w:val="none" w:sz="0" w:space="0" w:color="auto"/>
            <w:left w:val="none" w:sz="0" w:space="0" w:color="auto"/>
            <w:bottom w:val="none" w:sz="0" w:space="0" w:color="auto"/>
            <w:right w:val="none" w:sz="0" w:space="0" w:color="auto"/>
          </w:divBdr>
        </w:div>
        <w:div w:id="1491215079">
          <w:marLeft w:val="640"/>
          <w:marRight w:val="0"/>
          <w:marTop w:val="0"/>
          <w:marBottom w:val="0"/>
          <w:divBdr>
            <w:top w:val="none" w:sz="0" w:space="0" w:color="auto"/>
            <w:left w:val="none" w:sz="0" w:space="0" w:color="auto"/>
            <w:bottom w:val="none" w:sz="0" w:space="0" w:color="auto"/>
            <w:right w:val="none" w:sz="0" w:space="0" w:color="auto"/>
          </w:divBdr>
        </w:div>
        <w:div w:id="1142381537">
          <w:marLeft w:val="640"/>
          <w:marRight w:val="0"/>
          <w:marTop w:val="0"/>
          <w:marBottom w:val="0"/>
          <w:divBdr>
            <w:top w:val="none" w:sz="0" w:space="0" w:color="auto"/>
            <w:left w:val="none" w:sz="0" w:space="0" w:color="auto"/>
            <w:bottom w:val="none" w:sz="0" w:space="0" w:color="auto"/>
            <w:right w:val="none" w:sz="0" w:space="0" w:color="auto"/>
          </w:divBdr>
        </w:div>
        <w:div w:id="1396275283">
          <w:marLeft w:val="640"/>
          <w:marRight w:val="0"/>
          <w:marTop w:val="0"/>
          <w:marBottom w:val="0"/>
          <w:divBdr>
            <w:top w:val="none" w:sz="0" w:space="0" w:color="auto"/>
            <w:left w:val="none" w:sz="0" w:space="0" w:color="auto"/>
            <w:bottom w:val="none" w:sz="0" w:space="0" w:color="auto"/>
            <w:right w:val="none" w:sz="0" w:space="0" w:color="auto"/>
          </w:divBdr>
        </w:div>
        <w:div w:id="216160564">
          <w:marLeft w:val="640"/>
          <w:marRight w:val="0"/>
          <w:marTop w:val="0"/>
          <w:marBottom w:val="0"/>
          <w:divBdr>
            <w:top w:val="none" w:sz="0" w:space="0" w:color="auto"/>
            <w:left w:val="none" w:sz="0" w:space="0" w:color="auto"/>
            <w:bottom w:val="none" w:sz="0" w:space="0" w:color="auto"/>
            <w:right w:val="none" w:sz="0" w:space="0" w:color="auto"/>
          </w:divBdr>
        </w:div>
        <w:div w:id="2103064713">
          <w:marLeft w:val="640"/>
          <w:marRight w:val="0"/>
          <w:marTop w:val="0"/>
          <w:marBottom w:val="0"/>
          <w:divBdr>
            <w:top w:val="none" w:sz="0" w:space="0" w:color="auto"/>
            <w:left w:val="none" w:sz="0" w:space="0" w:color="auto"/>
            <w:bottom w:val="none" w:sz="0" w:space="0" w:color="auto"/>
            <w:right w:val="none" w:sz="0" w:space="0" w:color="auto"/>
          </w:divBdr>
        </w:div>
        <w:div w:id="122579671">
          <w:marLeft w:val="640"/>
          <w:marRight w:val="0"/>
          <w:marTop w:val="0"/>
          <w:marBottom w:val="0"/>
          <w:divBdr>
            <w:top w:val="none" w:sz="0" w:space="0" w:color="auto"/>
            <w:left w:val="none" w:sz="0" w:space="0" w:color="auto"/>
            <w:bottom w:val="none" w:sz="0" w:space="0" w:color="auto"/>
            <w:right w:val="none" w:sz="0" w:space="0" w:color="auto"/>
          </w:divBdr>
        </w:div>
        <w:div w:id="889457938">
          <w:marLeft w:val="640"/>
          <w:marRight w:val="0"/>
          <w:marTop w:val="0"/>
          <w:marBottom w:val="0"/>
          <w:divBdr>
            <w:top w:val="none" w:sz="0" w:space="0" w:color="auto"/>
            <w:left w:val="none" w:sz="0" w:space="0" w:color="auto"/>
            <w:bottom w:val="none" w:sz="0" w:space="0" w:color="auto"/>
            <w:right w:val="none" w:sz="0" w:space="0" w:color="auto"/>
          </w:divBdr>
        </w:div>
        <w:div w:id="2100523177">
          <w:marLeft w:val="640"/>
          <w:marRight w:val="0"/>
          <w:marTop w:val="0"/>
          <w:marBottom w:val="0"/>
          <w:divBdr>
            <w:top w:val="none" w:sz="0" w:space="0" w:color="auto"/>
            <w:left w:val="none" w:sz="0" w:space="0" w:color="auto"/>
            <w:bottom w:val="none" w:sz="0" w:space="0" w:color="auto"/>
            <w:right w:val="none" w:sz="0" w:space="0" w:color="auto"/>
          </w:divBdr>
        </w:div>
        <w:div w:id="597060858">
          <w:marLeft w:val="640"/>
          <w:marRight w:val="0"/>
          <w:marTop w:val="0"/>
          <w:marBottom w:val="0"/>
          <w:divBdr>
            <w:top w:val="none" w:sz="0" w:space="0" w:color="auto"/>
            <w:left w:val="none" w:sz="0" w:space="0" w:color="auto"/>
            <w:bottom w:val="none" w:sz="0" w:space="0" w:color="auto"/>
            <w:right w:val="none" w:sz="0" w:space="0" w:color="auto"/>
          </w:divBdr>
        </w:div>
        <w:div w:id="1161458564">
          <w:marLeft w:val="640"/>
          <w:marRight w:val="0"/>
          <w:marTop w:val="0"/>
          <w:marBottom w:val="0"/>
          <w:divBdr>
            <w:top w:val="none" w:sz="0" w:space="0" w:color="auto"/>
            <w:left w:val="none" w:sz="0" w:space="0" w:color="auto"/>
            <w:bottom w:val="none" w:sz="0" w:space="0" w:color="auto"/>
            <w:right w:val="none" w:sz="0" w:space="0" w:color="auto"/>
          </w:divBdr>
        </w:div>
        <w:div w:id="70087102">
          <w:marLeft w:val="640"/>
          <w:marRight w:val="0"/>
          <w:marTop w:val="0"/>
          <w:marBottom w:val="0"/>
          <w:divBdr>
            <w:top w:val="none" w:sz="0" w:space="0" w:color="auto"/>
            <w:left w:val="none" w:sz="0" w:space="0" w:color="auto"/>
            <w:bottom w:val="none" w:sz="0" w:space="0" w:color="auto"/>
            <w:right w:val="none" w:sz="0" w:space="0" w:color="auto"/>
          </w:divBdr>
        </w:div>
        <w:div w:id="79063059">
          <w:marLeft w:val="640"/>
          <w:marRight w:val="0"/>
          <w:marTop w:val="0"/>
          <w:marBottom w:val="0"/>
          <w:divBdr>
            <w:top w:val="none" w:sz="0" w:space="0" w:color="auto"/>
            <w:left w:val="none" w:sz="0" w:space="0" w:color="auto"/>
            <w:bottom w:val="none" w:sz="0" w:space="0" w:color="auto"/>
            <w:right w:val="none" w:sz="0" w:space="0" w:color="auto"/>
          </w:divBdr>
        </w:div>
        <w:div w:id="1833174694">
          <w:marLeft w:val="640"/>
          <w:marRight w:val="0"/>
          <w:marTop w:val="0"/>
          <w:marBottom w:val="0"/>
          <w:divBdr>
            <w:top w:val="none" w:sz="0" w:space="0" w:color="auto"/>
            <w:left w:val="none" w:sz="0" w:space="0" w:color="auto"/>
            <w:bottom w:val="none" w:sz="0" w:space="0" w:color="auto"/>
            <w:right w:val="none" w:sz="0" w:space="0" w:color="auto"/>
          </w:divBdr>
        </w:div>
        <w:div w:id="1807044691">
          <w:marLeft w:val="640"/>
          <w:marRight w:val="0"/>
          <w:marTop w:val="0"/>
          <w:marBottom w:val="0"/>
          <w:divBdr>
            <w:top w:val="none" w:sz="0" w:space="0" w:color="auto"/>
            <w:left w:val="none" w:sz="0" w:space="0" w:color="auto"/>
            <w:bottom w:val="none" w:sz="0" w:space="0" w:color="auto"/>
            <w:right w:val="none" w:sz="0" w:space="0" w:color="auto"/>
          </w:divBdr>
        </w:div>
        <w:div w:id="781536214">
          <w:marLeft w:val="640"/>
          <w:marRight w:val="0"/>
          <w:marTop w:val="0"/>
          <w:marBottom w:val="0"/>
          <w:divBdr>
            <w:top w:val="none" w:sz="0" w:space="0" w:color="auto"/>
            <w:left w:val="none" w:sz="0" w:space="0" w:color="auto"/>
            <w:bottom w:val="none" w:sz="0" w:space="0" w:color="auto"/>
            <w:right w:val="none" w:sz="0" w:space="0" w:color="auto"/>
          </w:divBdr>
        </w:div>
        <w:div w:id="366754844">
          <w:marLeft w:val="640"/>
          <w:marRight w:val="0"/>
          <w:marTop w:val="0"/>
          <w:marBottom w:val="0"/>
          <w:divBdr>
            <w:top w:val="none" w:sz="0" w:space="0" w:color="auto"/>
            <w:left w:val="none" w:sz="0" w:space="0" w:color="auto"/>
            <w:bottom w:val="none" w:sz="0" w:space="0" w:color="auto"/>
            <w:right w:val="none" w:sz="0" w:space="0" w:color="auto"/>
          </w:divBdr>
        </w:div>
        <w:div w:id="2134401359">
          <w:marLeft w:val="640"/>
          <w:marRight w:val="0"/>
          <w:marTop w:val="0"/>
          <w:marBottom w:val="0"/>
          <w:divBdr>
            <w:top w:val="none" w:sz="0" w:space="0" w:color="auto"/>
            <w:left w:val="none" w:sz="0" w:space="0" w:color="auto"/>
            <w:bottom w:val="none" w:sz="0" w:space="0" w:color="auto"/>
            <w:right w:val="none" w:sz="0" w:space="0" w:color="auto"/>
          </w:divBdr>
        </w:div>
      </w:divsChild>
    </w:div>
    <w:div w:id="1300960649">
      <w:bodyDiv w:val="1"/>
      <w:marLeft w:val="0"/>
      <w:marRight w:val="0"/>
      <w:marTop w:val="0"/>
      <w:marBottom w:val="0"/>
      <w:divBdr>
        <w:top w:val="none" w:sz="0" w:space="0" w:color="auto"/>
        <w:left w:val="none" w:sz="0" w:space="0" w:color="auto"/>
        <w:bottom w:val="none" w:sz="0" w:space="0" w:color="auto"/>
        <w:right w:val="none" w:sz="0" w:space="0" w:color="auto"/>
      </w:divBdr>
      <w:divsChild>
        <w:div w:id="864364995">
          <w:marLeft w:val="640"/>
          <w:marRight w:val="0"/>
          <w:marTop w:val="0"/>
          <w:marBottom w:val="0"/>
          <w:divBdr>
            <w:top w:val="none" w:sz="0" w:space="0" w:color="auto"/>
            <w:left w:val="none" w:sz="0" w:space="0" w:color="auto"/>
            <w:bottom w:val="none" w:sz="0" w:space="0" w:color="auto"/>
            <w:right w:val="none" w:sz="0" w:space="0" w:color="auto"/>
          </w:divBdr>
        </w:div>
        <w:div w:id="1258948565">
          <w:marLeft w:val="640"/>
          <w:marRight w:val="0"/>
          <w:marTop w:val="0"/>
          <w:marBottom w:val="0"/>
          <w:divBdr>
            <w:top w:val="none" w:sz="0" w:space="0" w:color="auto"/>
            <w:left w:val="none" w:sz="0" w:space="0" w:color="auto"/>
            <w:bottom w:val="none" w:sz="0" w:space="0" w:color="auto"/>
            <w:right w:val="none" w:sz="0" w:space="0" w:color="auto"/>
          </w:divBdr>
        </w:div>
        <w:div w:id="1588228908">
          <w:marLeft w:val="640"/>
          <w:marRight w:val="0"/>
          <w:marTop w:val="0"/>
          <w:marBottom w:val="0"/>
          <w:divBdr>
            <w:top w:val="none" w:sz="0" w:space="0" w:color="auto"/>
            <w:left w:val="none" w:sz="0" w:space="0" w:color="auto"/>
            <w:bottom w:val="none" w:sz="0" w:space="0" w:color="auto"/>
            <w:right w:val="none" w:sz="0" w:space="0" w:color="auto"/>
          </w:divBdr>
        </w:div>
        <w:div w:id="998657431">
          <w:marLeft w:val="640"/>
          <w:marRight w:val="0"/>
          <w:marTop w:val="0"/>
          <w:marBottom w:val="0"/>
          <w:divBdr>
            <w:top w:val="none" w:sz="0" w:space="0" w:color="auto"/>
            <w:left w:val="none" w:sz="0" w:space="0" w:color="auto"/>
            <w:bottom w:val="none" w:sz="0" w:space="0" w:color="auto"/>
            <w:right w:val="none" w:sz="0" w:space="0" w:color="auto"/>
          </w:divBdr>
        </w:div>
        <w:div w:id="533465717">
          <w:marLeft w:val="640"/>
          <w:marRight w:val="0"/>
          <w:marTop w:val="0"/>
          <w:marBottom w:val="0"/>
          <w:divBdr>
            <w:top w:val="none" w:sz="0" w:space="0" w:color="auto"/>
            <w:left w:val="none" w:sz="0" w:space="0" w:color="auto"/>
            <w:bottom w:val="none" w:sz="0" w:space="0" w:color="auto"/>
            <w:right w:val="none" w:sz="0" w:space="0" w:color="auto"/>
          </w:divBdr>
        </w:div>
        <w:div w:id="1944653462">
          <w:marLeft w:val="640"/>
          <w:marRight w:val="0"/>
          <w:marTop w:val="0"/>
          <w:marBottom w:val="0"/>
          <w:divBdr>
            <w:top w:val="none" w:sz="0" w:space="0" w:color="auto"/>
            <w:left w:val="none" w:sz="0" w:space="0" w:color="auto"/>
            <w:bottom w:val="none" w:sz="0" w:space="0" w:color="auto"/>
            <w:right w:val="none" w:sz="0" w:space="0" w:color="auto"/>
          </w:divBdr>
        </w:div>
        <w:div w:id="1286885319">
          <w:marLeft w:val="640"/>
          <w:marRight w:val="0"/>
          <w:marTop w:val="0"/>
          <w:marBottom w:val="0"/>
          <w:divBdr>
            <w:top w:val="none" w:sz="0" w:space="0" w:color="auto"/>
            <w:left w:val="none" w:sz="0" w:space="0" w:color="auto"/>
            <w:bottom w:val="none" w:sz="0" w:space="0" w:color="auto"/>
            <w:right w:val="none" w:sz="0" w:space="0" w:color="auto"/>
          </w:divBdr>
        </w:div>
        <w:div w:id="1522280604">
          <w:marLeft w:val="640"/>
          <w:marRight w:val="0"/>
          <w:marTop w:val="0"/>
          <w:marBottom w:val="0"/>
          <w:divBdr>
            <w:top w:val="none" w:sz="0" w:space="0" w:color="auto"/>
            <w:left w:val="none" w:sz="0" w:space="0" w:color="auto"/>
            <w:bottom w:val="none" w:sz="0" w:space="0" w:color="auto"/>
            <w:right w:val="none" w:sz="0" w:space="0" w:color="auto"/>
          </w:divBdr>
        </w:div>
        <w:div w:id="967315908">
          <w:marLeft w:val="640"/>
          <w:marRight w:val="0"/>
          <w:marTop w:val="0"/>
          <w:marBottom w:val="0"/>
          <w:divBdr>
            <w:top w:val="none" w:sz="0" w:space="0" w:color="auto"/>
            <w:left w:val="none" w:sz="0" w:space="0" w:color="auto"/>
            <w:bottom w:val="none" w:sz="0" w:space="0" w:color="auto"/>
            <w:right w:val="none" w:sz="0" w:space="0" w:color="auto"/>
          </w:divBdr>
        </w:div>
        <w:div w:id="2084522357">
          <w:marLeft w:val="640"/>
          <w:marRight w:val="0"/>
          <w:marTop w:val="0"/>
          <w:marBottom w:val="0"/>
          <w:divBdr>
            <w:top w:val="none" w:sz="0" w:space="0" w:color="auto"/>
            <w:left w:val="none" w:sz="0" w:space="0" w:color="auto"/>
            <w:bottom w:val="none" w:sz="0" w:space="0" w:color="auto"/>
            <w:right w:val="none" w:sz="0" w:space="0" w:color="auto"/>
          </w:divBdr>
        </w:div>
        <w:div w:id="1940522436">
          <w:marLeft w:val="640"/>
          <w:marRight w:val="0"/>
          <w:marTop w:val="0"/>
          <w:marBottom w:val="0"/>
          <w:divBdr>
            <w:top w:val="none" w:sz="0" w:space="0" w:color="auto"/>
            <w:left w:val="none" w:sz="0" w:space="0" w:color="auto"/>
            <w:bottom w:val="none" w:sz="0" w:space="0" w:color="auto"/>
            <w:right w:val="none" w:sz="0" w:space="0" w:color="auto"/>
          </w:divBdr>
        </w:div>
        <w:div w:id="1077242900">
          <w:marLeft w:val="640"/>
          <w:marRight w:val="0"/>
          <w:marTop w:val="0"/>
          <w:marBottom w:val="0"/>
          <w:divBdr>
            <w:top w:val="none" w:sz="0" w:space="0" w:color="auto"/>
            <w:left w:val="none" w:sz="0" w:space="0" w:color="auto"/>
            <w:bottom w:val="none" w:sz="0" w:space="0" w:color="auto"/>
            <w:right w:val="none" w:sz="0" w:space="0" w:color="auto"/>
          </w:divBdr>
        </w:div>
        <w:div w:id="535966924">
          <w:marLeft w:val="640"/>
          <w:marRight w:val="0"/>
          <w:marTop w:val="0"/>
          <w:marBottom w:val="0"/>
          <w:divBdr>
            <w:top w:val="none" w:sz="0" w:space="0" w:color="auto"/>
            <w:left w:val="none" w:sz="0" w:space="0" w:color="auto"/>
            <w:bottom w:val="none" w:sz="0" w:space="0" w:color="auto"/>
            <w:right w:val="none" w:sz="0" w:space="0" w:color="auto"/>
          </w:divBdr>
        </w:div>
        <w:div w:id="1853952245">
          <w:marLeft w:val="640"/>
          <w:marRight w:val="0"/>
          <w:marTop w:val="0"/>
          <w:marBottom w:val="0"/>
          <w:divBdr>
            <w:top w:val="none" w:sz="0" w:space="0" w:color="auto"/>
            <w:left w:val="none" w:sz="0" w:space="0" w:color="auto"/>
            <w:bottom w:val="none" w:sz="0" w:space="0" w:color="auto"/>
            <w:right w:val="none" w:sz="0" w:space="0" w:color="auto"/>
          </w:divBdr>
        </w:div>
        <w:div w:id="263921212">
          <w:marLeft w:val="640"/>
          <w:marRight w:val="0"/>
          <w:marTop w:val="0"/>
          <w:marBottom w:val="0"/>
          <w:divBdr>
            <w:top w:val="none" w:sz="0" w:space="0" w:color="auto"/>
            <w:left w:val="none" w:sz="0" w:space="0" w:color="auto"/>
            <w:bottom w:val="none" w:sz="0" w:space="0" w:color="auto"/>
            <w:right w:val="none" w:sz="0" w:space="0" w:color="auto"/>
          </w:divBdr>
        </w:div>
        <w:div w:id="682438316">
          <w:marLeft w:val="640"/>
          <w:marRight w:val="0"/>
          <w:marTop w:val="0"/>
          <w:marBottom w:val="0"/>
          <w:divBdr>
            <w:top w:val="none" w:sz="0" w:space="0" w:color="auto"/>
            <w:left w:val="none" w:sz="0" w:space="0" w:color="auto"/>
            <w:bottom w:val="none" w:sz="0" w:space="0" w:color="auto"/>
            <w:right w:val="none" w:sz="0" w:space="0" w:color="auto"/>
          </w:divBdr>
        </w:div>
        <w:div w:id="526406335">
          <w:marLeft w:val="640"/>
          <w:marRight w:val="0"/>
          <w:marTop w:val="0"/>
          <w:marBottom w:val="0"/>
          <w:divBdr>
            <w:top w:val="none" w:sz="0" w:space="0" w:color="auto"/>
            <w:left w:val="none" w:sz="0" w:space="0" w:color="auto"/>
            <w:bottom w:val="none" w:sz="0" w:space="0" w:color="auto"/>
            <w:right w:val="none" w:sz="0" w:space="0" w:color="auto"/>
          </w:divBdr>
        </w:div>
        <w:div w:id="919829927">
          <w:marLeft w:val="640"/>
          <w:marRight w:val="0"/>
          <w:marTop w:val="0"/>
          <w:marBottom w:val="0"/>
          <w:divBdr>
            <w:top w:val="none" w:sz="0" w:space="0" w:color="auto"/>
            <w:left w:val="none" w:sz="0" w:space="0" w:color="auto"/>
            <w:bottom w:val="none" w:sz="0" w:space="0" w:color="auto"/>
            <w:right w:val="none" w:sz="0" w:space="0" w:color="auto"/>
          </w:divBdr>
        </w:div>
        <w:div w:id="1718891708">
          <w:marLeft w:val="640"/>
          <w:marRight w:val="0"/>
          <w:marTop w:val="0"/>
          <w:marBottom w:val="0"/>
          <w:divBdr>
            <w:top w:val="none" w:sz="0" w:space="0" w:color="auto"/>
            <w:left w:val="none" w:sz="0" w:space="0" w:color="auto"/>
            <w:bottom w:val="none" w:sz="0" w:space="0" w:color="auto"/>
            <w:right w:val="none" w:sz="0" w:space="0" w:color="auto"/>
          </w:divBdr>
        </w:div>
        <w:div w:id="1181703330">
          <w:marLeft w:val="640"/>
          <w:marRight w:val="0"/>
          <w:marTop w:val="0"/>
          <w:marBottom w:val="0"/>
          <w:divBdr>
            <w:top w:val="none" w:sz="0" w:space="0" w:color="auto"/>
            <w:left w:val="none" w:sz="0" w:space="0" w:color="auto"/>
            <w:bottom w:val="none" w:sz="0" w:space="0" w:color="auto"/>
            <w:right w:val="none" w:sz="0" w:space="0" w:color="auto"/>
          </w:divBdr>
        </w:div>
        <w:div w:id="121046550">
          <w:marLeft w:val="640"/>
          <w:marRight w:val="0"/>
          <w:marTop w:val="0"/>
          <w:marBottom w:val="0"/>
          <w:divBdr>
            <w:top w:val="none" w:sz="0" w:space="0" w:color="auto"/>
            <w:left w:val="none" w:sz="0" w:space="0" w:color="auto"/>
            <w:bottom w:val="none" w:sz="0" w:space="0" w:color="auto"/>
            <w:right w:val="none" w:sz="0" w:space="0" w:color="auto"/>
          </w:divBdr>
        </w:div>
        <w:div w:id="1112746361">
          <w:marLeft w:val="640"/>
          <w:marRight w:val="0"/>
          <w:marTop w:val="0"/>
          <w:marBottom w:val="0"/>
          <w:divBdr>
            <w:top w:val="none" w:sz="0" w:space="0" w:color="auto"/>
            <w:left w:val="none" w:sz="0" w:space="0" w:color="auto"/>
            <w:bottom w:val="none" w:sz="0" w:space="0" w:color="auto"/>
            <w:right w:val="none" w:sz="0" w:space="0" w:color="auto"/>
          </w:divBdr>
        </w:div>
        <w:div w:id="280307614">
          <w:marLeft w:val="640"/>
          <w:marRight w:val="0"/>
          <w:marTop w:val="0"/>
          <w:marBottom w:val="0"/>
          <w:divBdr>
            <w:top w:val="none" w:sz="0" w:space="0" w:color="auto"/>
            <w:left w:val="none" w:sz="0" w:space="0" w:color="auto"/>
            <w:bottom w:val="none" w:sz="0" w:space="0" w:color="auto"/>
            <w:right w:val="none" w:sz="0" w:space="0" w:color="auto"/>
          </w:divBdr>
        </w:div>
        <w:div w:id="966162920">
          <w:marLeft w:val="640"/>
          <w:marRight w:val="0"/>
          <w:marTop w:val="0"/>
          <w:marBottom w:val="0"/>
          <w:divBdr>
            <w:top w:val="none" w:sz="0" w:space="0" w:color="auto"/>
            <w:left w:val="none" w:sz="0" w:space="0" w:color="auto"/>
            <w:bottom w:val="none" w:sz="0" w:space="0" w:color="auto"/>
            <w:right w:val="none" w:sz="0" w:space="0" w:color="auto"/>
          </w:divBdr>
        </w:div>
        <w:div w:id="1208949867">
          <w:marLeft w:val="640"/>
          <w:marRight w:val="0"/>
          <w:marTop w:val="0"/>
          <w:marBottom w:val="0"/>
          <w:divBdr>
            <w:top w:val="none" w:sz="0" w:space="0" w:color="auto"/>
            <w:left w:val="none" w:sz="0" w:space="0" w:color="auto"/>
            <w:bottom w:val="none" w:sz="0" w:space="0" w:color="auto"/>
            <w:right w:val="none" w:sz="0" w:space="0" w:color="auto"/>
          </w:divBdr>
        </w:div>
        <w:div w:id="465394899">
          <w:marLeft w:val="640"/>
          <w:marRight w:val="0"/>
          <w:marTop w:val="0"/>
          <w:marBottom w:val="0"/>
          <w:divBdr>
            <w:top w:val="none" w:sz="0" w:space="0" w:color="auto"/>
            <w:left w:val="none" w:sz="0" w:space="0" w:color="auto"/>
            <w:bottom w:val="none" w:sz="0" w:space="0" w:color="auto"/>
            <w:right w:val="none" w:sz="0" w:space="0" w:color="auto"/>
          </w:divBdr>
        </w:div>
        <w:div w:id="288636252">
          <w:marLeft w:val="640"/>
          <w:marRight w:val="0"/>
          <w:marTop w:val="0"/>
          <w:marBottom w:val="0"/>
          <w:divBdr>
            <w:top w:val="none" w:sz="0" w:space="0" w:color="auto"/>
            <w:left w:val="none" w:sz="0" w:space="0" w:color="auto"/>
            <w:bottom w:val="none" w:sz="0" w:space="0" w:color="auto"/>
            <w:right w:val="none" w:sz="0" w:space="0" w:color="auto"/>
          </w:divBdr>
        </w:div>
        <w:div w:id="1813398662">
          <w:marLeft w:val="640"/>
          <w:marRight w:val="0"/>
          <w:marTop w:val="0"/>
          <w:marBottom w:val="0"/>
          <w:divBdr>
            <w:top w:val="none" w:sz="0" w:space="0" w:color="auto"/>
            <w:left w:val="none" w:sz="0" w:space="0" w:color="auto"/>
            <w:bottom w:val="none" w:sz="0" w:space="0" w:color="auto"/>
            <w:right w:val="none" w:sz="0" w:space="0" w:color="auto"/>
          </w:divBdr>
        </w:div>
        <w:div w:id="1314023187">
          <w:marLeft w:val="640"/>
          <w:marRight w:val="0"/>
          <w:marTop w:val="0"/>
          <w:marBottom w:val="0"/>
          <w:divBdr>
            <w:top w:val="none" w:sz="0" w:space="0" w:color="auto"/>
            <w:left w:val="none" w:sz="0" w:space="0" w:color="auto"/>
            <w:bottom w:val="none" w:sz="0" w:space="0" w:color="auto"/>
            <w:right w:val="none" w:sz="0" w:space="0" w:color="auto"/>
          </w:divBdr>
        </w:div>
        <w:div w:id="963652269">
          <w:marLeft w:val="640"/>
          <w:marRight w:val="0"/>
          <w:marTop w:val="0"/>
          <w:marBottom w:val="0"/>
          <w:divBdr>
            <w:top w:val="none" w:sz="0" w:space="0" w:color="auto"/>
            <w:left w:val="none" w:sz="0" w:space="0" w:color="auto"/>
            <w:bottom w:val="none" w:sz="0" w:space="0" w:color="auto"/>
            <w:right w:val="none" w:sz="0" w:space="0" w:color="auto"/>
          </w:divBdr>
        </w:div>
        <w:div w:id="424232639">
          <w:marLeft w:val="640"/>
          <w:marRight w:val="0"/>
          <w:marTop w:val="0"/>
          <w:marBottom w:val="0"/>
          <w:divBdr>
            <w:top w:val="none" w:sz="0" w:space="0" w:color="auto"/>
            <w:left w:val="none" w:sz="0" w:space="0" w:color="auto"/>
            <w:bottom w:val="none" w:sz="0" w:space="0" w:color="auto"/>
            <w:right w:val="none" w:sz="0" w:space="0" w:color="auto"/>
          </w:divBdr>
        </w:div>
        <w:div w:id="1643730875">
          <w:marLeft w:val="640"/>
          <w:marRight w:val="0"/>
          <w:marTop w:val="0"/>
          <w:marBottom w:val="0"/>
          <w:divBdr>
            <w:top w:val="none" w:sz="0" w:space="0" w:color="auto"/>
            <w:left w:val="none" w:sz="0" w:space="0" w:color="auto"/>
            <w:bottom w:val="none" w:sz="0" w:space="0" w:color="auto"/>
            <w:right w:val="none" w:sz="0" w:space="0" w:color="auto"/>
          </w:divBdr>
        </w:div>
        <w:div w:id="1620526077">
          <w:marLeft w:val="640"/>
          <w:marRight w:val="0"/>
          <w:marTop w:val="0"/>
          <w:marBottom w:val="0"/>
          <w:divBdr>
            <w:top w:val="none" w:sz="0" w:space="0" w:color="auto"/>
            <w:left w:val="none" w:sz="0" w:space="0" w:color="auto"/>
            <w:bottom w:val="none" w:sz="0" w:space="0" w:color="auto"/>
            <w:right w:val="none" w:sz="0" w:space="0" w:color="auto"/>
          </w:divBdr>
        </w:div>
        <w:div w:id="847140940">
          <w:marLeft w:val="640"/>
          <w:marRight w:val="0"/>
          <w:marTop w:val="0"/>
          <w:marBottom w:val="0"/>
          <w:divBdr>
            <w:top w:val="none" w:sz="0" w:space="0" w:color="auto"/>
            <w:left w:val="none" w:sz="0" w:space="0" w:color="auto"/>
            <w:bottom w:val="none" w:sz="0" w:space="0" w:color="auto"/>
            <w:right w:val="none" w:sz="0" w:space="0" w:color="auto"/>
          </w:divBdr>
        </w:div>
        <w:div w:id="851458716">
          <w:marLeft w:val="640"/>
          <w:marRight w:val="0"/>
          <w:marTop w:val="0"/>
          <w:marBottom w:val="0"/>
          <w:divBdr>
            <w:top w:val="none" w:sz="0" w:space="0" w:color="auto"/>
            <w:left w:val="none" w:sz="0" w:space="0" w:color="auto"/>
            <w:bottom w:val="none" w:sz="0" w:space="0" w:color="auto"/>
            <w:right w:val="none" w:sz="0" w:space="0" w:color="auto"/>
          </w:divBdr>
        </w:div>
        <w:div w:id="543249599">
          <w:marLeft w:val="640"/>
          <w:marRight w:val="0"/>
          <w:marTop w:val="0"/>
          <w:marBottom w:val="0"/>
          <w:divBdr>
            <w:top w:val="none" w:sz="0" w:space="0" w:color="auto"/>
            <w:left w:val="none" w:sz="0" w:space="0" w:color="auto"/>
            <w:bottom w:val="none" w:sz="0" w:space="0" w:color="auto"/>
            <w:right w:val="none" w:sz="0" w:space="0" w:color="auto"/>
          </w:divBdr>
        </w:div>
        <w:div w:id="1276794982">
          <w:marLeft w:val="640"/>
          <w:marRight w:val="0"/>
          <w:marTop w:val="0"/>
          <w:marBottom w:val="0"/>
          <w:divBdr>
            <w:top w:val="none" w:sz="0" w:space="0" w:color="auto"/>
            <w:left w:val="none" w:sz="0" w:space="0" w:color="auto"/>
            <w:bottom w:val="none" w:sz="0" w:space="0" w:color="auto"/>
            <w:right w:val="none" w:sz="0" w:space="0" w:color="auto"/>
          </w:divBdr>
        </w:div>
        <w:div w:id="1156848021">
          <w:marLeft w:val="640"/>
          <w:marRight w:val="0"/>
          <w:marTop w:val="0"/>
          <w:marBottom w:val="0"/>
          <w:divBdr>
            <w:top w:val="none" w:sz="0" w:space="0" w:color="auto"/>
            <w:left w:val="none" w:sz="0" w:space="0" w:color="auto"/>
            <w:bottom w:val="none" w:sz="0" w:space="0" w:color="auto"/>
            <w:right w:val="none" w:sz="0" w:space="0" w:color="auto"/>
          </w:divBdr>
        </w:div>
        <w:div w:id="479426332">
          <w:marLeft w:val="640"/>
          <w:marRight w:val="0"/>
          <w:marTop w:val="0"/>
          <w:marBottom w:val="0"/>
          <w:divBdr>
            <w:top w:val="none" w:sz="0" w:space="0" w:color="auto"/>
            <w:left w:val="none" w:sz="0" w:space="0" w:color="auto"/>
            <w:bottom w:val="none" w:sz="0" w:space="0" w:color="auto"/>
            <w:right w:val="none" w:sz="0" w:space="0" w:color="auto"/>
          </w:divBdr>
        </w:div>
        <w:div w:id="1600874081">
          <w:marLeft w:val="640"/>
          <w:marRight w:val="0"/>
          <w:marTop w:val="0"/>
          <w:marBottom w:val="0"/>
          <w:divBdr>
            <w:top w:val="none" w:sz="0" w:space="0" w:color="auto"/>
            <w:left w:val="none" w:sz="0" w:space="0" w:color="auto"/>
            <w:bottom w:val="none" w:sz="0" w:space="0" w:color="auto"/>
            <w:right w:val="none" w:sz="0" w:space="0" w:color="auto"/>
          </w:divBdr>
        </w:div>
        <w:div w:id="694503298">
          <w:marLeft w:val="640"/>
          <w:marRight w:val="0"/>
          <w:marTop w:val="0"/>
          <w:marBottom w:val="0"/>
          <w:divBdr>
            <w:top w:val="none" w:sz="0" w:space="0" w:color="auto"/>
            <w:left w:val="none" w:sz="0" w:space="0" w:color="auto"/>
            <w:bottom w:val="none" w:sz="0" w:space="0" w:color="auto"/>
            <w:right w:val="none" w:sz="0" w:space="0" w:color="auto"/>
          </w:divBdr>
        </w:div>
        <w:div w:id="1272206581">
          <w:marLeft w:val="640"/>
          <w:marRight w:val="0"/>
          <w:marTop w:val="0"/>
          <w:marBottom w:val="0"/>
          <w:divBdr>
            <w:top w:val="none" w:sz="0" w:space="0" w:color="auto"/>
            <w:left w:val="none" w:sz="0" w:space="0" w:color="auto"/>
            <w:bottom w:val="none" w:sz="0" w:space="0" w:color="auto"/>
            <w:right w:val="none" w:sz="0" w:space="0" w:color="auto"/>
          </w:divBdr>
        </w:div>
        <w:div w:id="895891444">
          <w:marLeft w:val="640"/>
          <w:marRight w:val="0"/>
          <w:marTop w:val="0"/>
          <w:marBottom w:val="0"/>
          <w:divBdr>
            <w:top w:val="none" w:sz="0" w:space="0" w:color="auto"/>
            <w:left w:val="none" w:sz="0" w:space="0" w:color="auto"/>
            <w:bottom w:val="none" w:sz="0" w:space="0" w:color="auto"/>
            <w:right w:val="none" w:sz="0" w:space="0" w:color="auto"/>
          </w:divBdr>
        </w:div>
        <w:div w:id="518391888">
          <w:marLeft w:val="640"/>
          <w:marRight w:val="0"/>
          <w:marTop w:val="0"/>
          <w:marBottom w:val="0"/>
          <w:divBdr>
            <w:top w:val="none" w:sz="0" w:space="0" w:color="auto"/>
            <w:left w:val="none" w:sz="0" w:space="0" w:color="auto"/>
            <w:bottom w:val="none" w:sz="0" w:space="0" w:color="auto"/>
            <w:right w:val="none" w:sz="0" w:space="0" w:color="auto"/>
          </w:divBdr>
        </w:div>
        <w:div w:id="294726653">
          <w:marLeft w:val="640"/>
          <w:marRight w:val="0"/>
          <w:marTop w:val="0"/>
          <w:marBottom w:val="0"/>
          <w:divBdr>
            <w:top w:val="none" w:sz="0" w:space="0" w:color="auto"/>
            <w:left w:val="none" w:sz="0" w:space="0" w:color="auto"/>
            <w:bottom w:val="none" w:sz="0" w:space="0" w:color="auto"/>
            <w:right w:val="none" w:sz="0" w:space="0" w:color="auto"/>
          </w:divBdr>
        </w:div>
        <w:div w:id="1037655179">
          <w:marLeft w:val="640"/>
          <w:marRight w:val="0"/>
          <w:marTop w:val="0"/>
          <w:marBottom w:val="0"/>
          <w:divBdr>
            <w:top w:val="none" w:sz="0" w:space="0" w:color="auto"/>
            <w:left w:val="none" w:sz="0" w:space="0" w:color="auto"/>
            <w:bottom w:val="none" w:sz="0" w:space="0" w:color="auto"/>
            <w:right w:val="none" w:sz="0" w:space="0" w:color="auto"/>
          </w:divBdr>
        </w:div>
        <w:div w:id="1550722870">
          <w:marLeft w:val="640"/>
          <w:marRight w:val="0"/>
          <w:marTop w:val="0"/>
          <w:marBottom w:val="0"/>
          <w:divBdr>
            <w:top w:val="none" w:sz="0" w:space="0" w:color="auto"/>
            <w:left w:val="none" w:sz="0" w:space="0" w:color="auto"/>
            <w:bottom w:val="none" w:sz="0" w:space="0" w:color="auto"/>
            <w:right w:val="none" w:sz="0" w:space="0" w:color="auto"/>
          </w:divBdr>
        </w:div>
        <w:div w:id="206720092">
          <w:marLeft w:val="640"/>
          <w:marRight w:val="0"/>
          <w:marTop w:val="0"/>
          <w:marBottom w:val="0"/>
          <w:divBdr>
            <w:top w:val="none" w:sz="0" w:space="0" w:color="auto"/>
            <w:left w:val="none" w:sz="0" w:space="0" w:color="auto"/>
            <w:bottom w:val="none" w:sz="0" w:space="0" w:color="auto"/>
            <w:right w:val="none" w:sz="0" w:space="0" w:color="auto"/>
          </w:divBdr>
        </w:div>
        <w:div w:id="367412750">
          <w:marLeft w:val="640"/>
          <w:marRight w:val="0"/>
          <w:marTop w:val="0"/>
          <w:marBottom w:val="0"/>
          <w:divBdr>
            <w:top w:val="none" w:sz="0" w:space="0" w:color="auto"/>
            <w:left w:val="none" w:sz="0" w:space="0" w:color="auto"/>
            <w:bottom w:val="none" w:sz="0" w:space="0" w:color="auto"/>
            <w:right w:val="none" w:sz="0" w:space="0" w:color="auto"/>
          </w:divBdr>
        </w:div>
        <w:div w:id="958225808">
          <w:marLeft w:val="640"/>
          <w:marRight w:val="0"/>
          <w:marTop w:val="0"/>
          <w:marBottom w:val="0"/>
          <w:divBdr>
            <w:top w:val="none" w:sz="0" w:space="0" w:color="auto"/>
            <w:left w:val="none" w:sz="0" w:space="0" w:color="auto"/>
            <w:bottom w:val="none" w:sz="0" w:space="0" w:color="auto"/>
            <w:right w:val="none" w:sz="0" w:space="0" w:color="auto"/>
          </w:divBdr>
        </w:div>
        <w:div w:id="293029534">
          <w:marLeft w:val="640"/>
          <w:marRight w:val="0"/>
          <w:marTop w:val="0"/>
          <w:marBottom w:val="0"/>
          <w:divBdr>
            <w:top w:val="none" w:sz="0" w:space="0" w:color="auto"/>
            <w:left w:val="none" w:sz="0" w:space="0" w:color="auto"/>
            <w:bottom w:val="none" w:sz="0" w:space="0" w:color="auto"/>
            <w:right w:val="none" w:sz="0" w:space="0" w:color="auto"/>
          </w:divBdr>
        </w:div>
        <w:div w:id="862784000">
          <w:marLeft w:val="640"/>
          <w:marRight w:val="0"/>
          <w:marTop w:val="0"/>
          <w:marBottom w:val="0"/>
          <w:divBdr>
            <w:top w:val="none" w:sz="0" w:space="0" w:color="auto"/>
            <w:left w:val="none" w:sz="0" w:space="0" w:color="auto"/>
            <w:bottom w:val="none" w:sz="0" w:space="0" w:color="auto"/>
            <w:right w:val="none" w:sz="0" w:space="0" w:color="auto"/>
          </w:divBdr>
        </w:div>
        <w:div w:id="1720666545">
          <w:marLeft w:val="640"/>
          <w:marRight w:val="0"/>
          <w:marTop w:val="0"/>
          <w:marBottom w:val="0"/>
          <w:divBdr>
            <w:top w:val="none" w:sz="0" w:space="0" w:color="auto"/>
            <w:left w:val="none" w:sz="0" w:space="0" w:color="auto"/>
            <w:bottom w:val="none" w:sz="0" w:space="0" w:color="auto"/>
            <w:right w:val="none" w:sz="0" w:space="0" w:color="auto"/>
          </w:divBdr>
        </w:div>
        <w:div w:id="1531646347">
          <w:marLeft w:val="640"/>
          <w:marRight w:val="0"/>
          <w:marTop w:val="0"/>
          <w:marBottom w:val="0"/>
          <w:divBdr>
            <w:top w:val="none" w:sz="0" w:space="0" w:color="auto"/>
            <w:left w:val="none" w:sz="0" w:space="0" w:color="auto"/>
            <w:bottom w:val="none" w:sz="0" w:space="0" w:color="auto"/>
            <w:right w:val="none" w:sz="0" w:space="0" w:color="auto"/>
          </w:divBdr>
        </w:div>
        <w:div w:id="1782608762">
          <w:marLeft w:val="640"/>
          <w:marRight w:val="0"/>
          <w:marTop w:val="0"/>
          <w:marBottom w:val="0"/>
          <w:divBdr>
            <w:top w:val="none" w:sz="0" w:space="0" w:color="auto"/>
            <w:left w:val="none" w:sz="0" w:space="0" w:color="auto"/>
            <w:bottom w:val="none" w:sz="0" w:space="0" w:color="auto"/>
            <w:right w:val="none" w:sz="0" w:space="0" w:color="auto"/>
          </w:divBdr>
        </w:div>
        <w:div w:id="2102069798">
          <w:marLeft w:val="640"/>
          <w:marRight w:val="0"/>
          <w:marTop w:val="0"/>
          <w:marBottom w:val="0"/>
          <w:divBdr>
            <w:top w:val="none" w:sz="0" w:space="0" w:color="auto"/>
            <w:left w:val="none" w:sz="0" w:space="0" w:color="auto"/>
            <w:bottom w:val="none" w:sz="0" w:space="0" w:color="auto"/>
            <w:right w:val="none" w:sz="0" w:space="0" w:color="auto"/>
          </w:divBdr>
        </w:div>
        <w:div w:id="1883665086">
          <w:marLeft w:val="640"/>
          <w:marRight w:val="0"/>
          <w:marTop w:val="0"/>
          <w:marBottom w:val="0"/>
          <w:divBdr>
            <w:top w:val="none" w:sz="0" w:space="0" w:color="auto"/>
            <w:left w:val="none" w:sz="0" w:space="0" w:color="auto"/>
            <w:bottom w:val="none" w:sz="0" w:space="0" w:color="auto"/>
            <w:right w:val="none" w:sz="0" w:space="0" w:color="auto"/>
          </w:divBdr>
        </w:div>
        <w:div w:id="632369960">
          <w:marLeft w:val="640"/>
          <w:marRight w:val="0"/>
          <w:marTop w:val="0"/>
          <w:marBottom w:val="0"/>
          <w:divBdr>
            <w:top w:val="none" w:sz="0" w:space="0" w:color="auto"/>
            <w:left w:val="none" w:sz="0" w:space="0" w:color="auto"/>
            <w:bottom w:val="none" w:sz="0" w:space="0" w:color="auto"/>
            <w:right w:val="none" w:sz="0" w:space="0" w:color="auto"/>
          </w:divBdr>
        </w:div>
        <w:div w:id="2121105151">
          <w:marLeft w:val="640"/>
          <w:marRight w:val="0"/>
          <w:marTop w:val="0"/>
          <w:marBottom w:val="0"/>
          <w:divBdr>
            <w:top w:val="none" w:sz="0" w:space="0" w:color="auto"/>
            <w:left w:val="none" w:sz="0" w:space="0" w:color="auto"/>
            <w:bottom w:val="none" w:sz="0" w:space="0" w:color="auto"/>
            <w:right w:val="none" w:sz="0" w:space="0" w:color="auto"/>
          </w:divBdr>
        </w:div>
        <w:div w:id="791634074">
          <w:marLeft w:val="640"/>
          <w:marRight w:val="0"/>
          <w:marTop w:val="0"/>
          <w:marBottom w:val="0"/>
          <w:divBdr>
            <w:top w:val="none" w:sz="0" w:space="0" w:color="auto"/>
            <w:left w:val="none" w:sz="0" w:space="0" w:color="auto"/>
            <w:bottom w:val="none" w:sz="0" w:space="0" w:color="auto"/>
            <w:right w:val="none" w:sz="0" w:space="0" w:color="auto"/>
          </w:divBdr>
        </w:div>
        <w:div w:id="827862630">
          <w:marLeft w:val="640"/>
          <w:marRight w:val="0"/>
          <w:marTop w:val="0"/>
          <w:marBottom w:val="0"/>
          <w:divBdr>
            <w:top w:val="none" w:sz="0" w:space="0" w:color="auto"/>
            <w:left w:val="none" w:sz="0" w:space="0" w:color="auto"/>
            <w:bottom w:val="none" w:sz="0" w:space="0" w:color="auto"/>
            <w:right w:val="none" w:sz="0" w:space="0" w:color="auto"/>
          </w:divBdr>
        </w:div>
        <w:div w:id="791367762">
          <w:marLeft w:val="640"/>
          <w:marRight w:val="0"/>
          <w:marTop w:val="0"/>
          <w:marBottom w:val="0"/>
          <w:divBdr>
            <w:top w:val="none" w:sz="0" w:space="0" w:color="auto"/>
            <w:left w:val="none" w:sz="0" w:space="0" w:color="auto"/>
            <w:bottom w:val="none" w:sz="0" w:space="0" w:color="auto"/>
            <w:right w:val="none" w:sz="0" w:space="0" w:color="auto"/>
          </w:divBdr>
        </w:div>
        <w:div w:id="1323464085">
          <w:marLeft w:val="640"/>
          <w:marRight w:val="0"/>
          <w:marTop w:val="0"/>
          <w:marBottom w:val="0"/>
          <w:divBdr>
            <w:top w:val="none" w:sz="0" w:space="0" w:color="auto"/>
            <w:left w:val="none" w:sz="0" w:space="0" w:color="auto"/>
            <w:bottom w:val="none" w:sz="0" w:space="0" w:color="auto"/>
            <w:right w:val="none" w:sz="0" w:space="0" w:color="auto"/>
          </w:divBdr>
        </w:div>
        <w:div w:id="1707371280">
          <w:marLeft w:val="640"/>
          <w:marRight w:val="0"/>
          <w:marTop w:val="0"/>
          <w:marBottom w:val="0"/>
          <w:divBdr>
            <w:top w:val="none" w:sz="0" w:space="0" w:color="auto"/>
            <w:left w:val="none" w:sz="0" w:space="0" w:color="auto"/>
            <w:bottom w:val="none" w:sz="0" w:space="0" w:color="auto"/>
            <w:right w:val="none" w:sz="0" w:space="0" w:color="auto"/>
          </w:divBdr>
        </w:div>
        <w:div w:id="2004628365">
          <w:marLeft w:val="640"/>
          <w:marRight w:val="0"/>
          <w:marTop w:val="0"/>
          <w:marBottom w:val="0"/>
          <w:divBdr>
            <w:top w:val="none" w:sz="0" w:space="0" w:color="auto"/>
            <w:left w:val="none" w:sz="0" w:space="0" w:color="auto"/>
            <w:bottom w:val="none" w:sz="0" w:space="0" w:color="auto"/>
            <w:right w:val="none" w:sz="0" w:space="0" w:color="auto"/>
          </w:divBdr>
        </w:div>
        <w:div w:id="134219811">
          <w:marLeft w:val="640"/>
          <w:marRight w:val="0"/>
          <w:marTop w:val="0"/>
          <w:marBottom w:val="0"/>
          <w:divBdr>
            <w:top w:val="none" w:sz="0" w:space="0" w:color="auto"/>
            <w:left w:val="none" w:sz="0" w:space="0" w:color="auto"/>
            <w:bottom w:val="none" w:sz="0" w:space="0" w:color="auto"/>
            <w:right w:val="none" w:sz="0" w:space="0" w:color="auto"/>
          </w:divBdr>
        </w:div>
        <w:div w:id="2052029196">
          <w:marLeft w:val="640"/>
          <w:marRight w:val="0"/>
          <w:marTop w:val="0"/>
          <w:marBottom w:val="0"/>
          <w:divBdr>
            <w:top w:val="none" w:sz="0" w:space="0" w:color="auto"/>
            <w:left w:val="none" w:sz="0" w:space="0" w:color="auto"/>
            <w:bottom w:val="none" w:sz="0" w:space="0" w:color="auto"/>
            <w:right w:val="none" w:sz="0" w:space="0" w:color="auto"/>
          </w:divBdr>
        </w:div>
        <w:div w:id="650060524">
          <w:marLeft w:val="640"/>
          <w:marRight w:val="0"/>
          <w:marTop w:val="0"/>
          <w:marBottom w:val="0"/>
          <w:divBdr>
            <w:top w:val="none" w:sz="0" w:space="0" w:color="auto"/>
            <w:left w:val="none" w:sz="0" w:space="0" w:color="auto"/>
            <w:bottom w:val="none" w:sz="0" w:space="0" w:color="auto"/>
            <w:right w:val="none" w:sz="0" w:space="0" w:color="auto"/>
          </w:divBdr>
        </w:div>
        <w:div w:id="1513228692">
          <w:marLeft w:val="640"/>
          <w:marRight w:val="0"/>
          <w:marTop w:val="0"/>
          <w:marBottom w:val="0"/>
          <w:divBdr>
            <w:top w:val="none" w:sz="0" w:space="0" w:color="auto"/>
            <w:left w:val="none" w:sz="0" w:space="0" w:color="auto"/>
            <w:bottom w:val="none" w:sz="0" w:space="0" w:color="auto"/>
            <w:right w:val="none" w:sz="0" w:space="0" w:color="auto"/>
          </w:divBdr>
        </w:div>
        <w:div w:id="1368945213">
          <w:marLeft w:val="640"/>
          <w:marRight w:val="0"/>
          <w:marTop w:val="0"/>
          <w:marBottom w:val="0"/>
          <w:divBdr>
            <w:top w:val="none" w:sz="0" w:space="0" w:color="auto"/>
            <w:left w:val="none" w:sz="0" w:space="0" w:color="auto"/>
            <w:bottom w:val="none" w:sz="0" w:space="0" w:color="auto"/>
            <w:right w:val="none" w:sz="0" w:space="0" w:color="auto"/>
          </w:divBdr>
        </w:div>
        <w:div w:id="529336531">
          <w:marLeft w:val="640"/>
          <w:marRight w:val="0"/>
          <w:marTop w:val="0"/>
          <w:marBottom w:val="0"/>
          <w:divBdr>
            <w:top w:val="none" w:sz="0" w:space="0" w:color="auto"/>
            <w:left w:val="none" w:sz="0" w:space="0" w:color="auto"/>
            <w:bottom w:val="none" w:sz="0" w:space="0" w:color="auto"/>
            <w:right w:val="none" w:sz="0" w:space="0" w:color="auto"/>
          </w:divBdr>
        </w:div>
        <w:div w:id="710347916">
          <w:marLeft w:val="640"/>
          <w:marRight w:val="0"/>
          <w:marTop w:val="0"/>
          <w:marBottom w:val="0"/>
          <w:divBdr>
            <w:top w:val="none" w:sz="0" w:space="0" w:color="auto"/>
            <w:left w:val="none" w:sz="0" w:space="0" w:color="auto"/>
            <w:bottom w:val="none" w:sz="0" w:space="0" w:color="auto"/>
            <w:right w:val="none" w:sz="0" w:space="0" w:color="auto"/>
          </w:divBdr>
        </w:div>
        <w:div w:id="458768991">
          <w:marLeft w:val="640"/>
          <w:marRight w:val="0"/>
          <w:marTop w:val="0"/>
          <w:marBottom w:val="0"/>
          <w:divBdr>
            <w:top w:val="none" w:sz="0" w:space="0" w:color="auto"/>
            <w:left w:val="none" w:sz="0" w:space="0" w:color="auto"/>
            <w:bottom w:val="none" w:sz="0" w:space="0" w:color="auto"/>
            <w:right w:val="none" w:sz="0" w:space="0" w:color="auto"/>
          </w:divBdr>
        </w:div>
        <w:div w:id="1218399847">
          <w:marLeft w:val="640"/>
          <w:marRight w:val="0"/>
          <w:marTop w:val="0"/>
          <w:marBottom w:val="0"/>
          <w:divBdr>
            <w:top w:val="none" w:sz="0" w:space="0" w:color="auto"/>
            <w:left w:val="none" w:sz="0" w:space="0" w:color="auto"/>
            <w:bottom w:val="none" w:sz="0" w:space="0" w:color="auto"/>
            <w:right w:val="none" w:sz="0" w:space="0" w:color="auto"/>
          </w:divBdr>
        </w:div>
        <w:div w:id="1801878853">
          <w:marLeft w:val="640"/>
          <w:marRight w:val="0"/>
          <w:marTop w:val="0"/>
          <w:marBottom w:val="0"/>
          <w:divBdr>
            <w:top w:val="none" w:sz="0" w:space="0" w:color="auto"/>
            <w:left w:val="none" w:sz="0" w:space="0" w:color="auto"/>
            <w:bottom w:val="none" w:sz="0" w:space="0" w:color="auto"/>
            <w:right w:val="none" w:sz="0" w:space="0" w:color="auto"/>
          </w:divBdr>
        </w:div>
        <w:div w:id="507211118">
          <w:marLeft w:val="640"/>
          <w:marRight w:val="0"/>
          <w:marTop w:val="0"/>
          <w:marBottom w:val="0"/>
          <w:divBdr>
            <w:top w:val="none" w:sz="0" w:space="0" w:color="auto"/>
            <w:left w:val="none" w:sz="0" w:space="0" w:color="auto"/>
            <w:bottom w:val="none" w:sz="0" w:space="0" w:color="auto"/>
            <w:right w:val="none" w:sz="0" w:space="0" w:color="auto"/>
          </w:divBdr>
        </w:div>
        <w:div w:id="1808625651">
          <w:marLeft w:val="640"/>
          <w:marRight w:val="0"/>
          <w:marTop w:val="0"/>
          <w:marBottom w:val="0"/>
          <w:divBdr>
            <w:top w:val="none" w:sz="0" w:space="0" w:color="auto"/>
            <w:left w:val="none" w:sz="0" w:space="0" w:color="auto"/>
            <w:bottom w:val="none" w:sz="0" w:space="0" w:color="auto"/>
            <w:right w:val="none" w:sz="0" w:space="0" w:color="auto"/>
          </w:divBdr>
        </w:div>
        <w:div w:id="729036858">
          <w:marLeft w:val="640"/>
          <w:marRight w:val="0"/>
          <w:marTop w:val="0"/>
          <w:marBottom w:val="0"/>
          <w:divBdr>
            <w:top w:val="none" w:sz="0" w:space="0" w:color="auto"/>
            <w:left w:val="none" w:sz="0" w:space="0" w:color="auto"/>
            <w:bottom w:val="none" w:sz="0" w:space="0" w:color="auto"/>
            <w:right w:val="none" w:sz="0" w:space="0" w:color="auto"/>
          </w:divBdr>
        </w:div>
        <w:div w:id="251790653">
          <w:marLeft w:val="640"/>
          <w:marRight w:val="0"/>
          <w:marTop w:val="0"/>
          <w:marBottom w:val="0"/>
          <w:divBdr>
            <w:top w:val="none" w:sz="0" w:space="0" w:color="auto"/>
            <w:left w:val="none" w:sz="0" w:space="0" w:color="auto"/>
            <w:bottom w:val="none" w:sz="0" w:space="0" w:color="auto"/>
            <w:right w:val="none" w:sz="0" w:space="0" w:color="auto"/>
          </w:divBdr>
        </w:div>
        <w:div w:id="1334258314">
          <w:marLeft w:val="640"/>
          <w:marRight w:val="0"/>
          <w:marTop w:val="0"/>
          <w:marBottom w:val="0"/>
          <w:divBdr>
            <w:top w:val="none" w:sz="0" w:space="0" w:color="auto"/>
            <w:left w:val="none" w:sz="0" w:space="0" w:color="auto"/>
            <w:bottom w:val="none" w:sz="0" w:space="0" w:color="auto"/>
            <w:right w:val="none" w:sz="0" w:space="0" w:color="auto"/>
          </w:divBdr>
        </w:div>
        <w:div w:id="630331922">
          <w:marLeft w:val="640"/>
          <w:marRight w:val="0"/>
          <w:marTop w:val="0"/>
          <w:marBottom w:val="0"/>
          <w:divBdr>
            <w:top w:val="none" w:sz="0" w:space="0" w:color="auto"/>
            <w:left w:val="none" w:sz="0" w:space="0" w:color="auto"/>
            <w:bottom w:val="none" w:sz="0" w:space="0" w:color="auto"/>
            <w:right w:val="none" w:sz="0" w:space="0" w:color="auto"/>
          </w:divBdr>
        </w:div>
        <w:div w:id="2010403943">
          <w:marLeft w:val="640"/>
          <w:marRight w:val="0"/>
          <w:marTop w:val="0"/>
          <w:marBottom w:val="0"/>
          <w:divBdr>
            <w:top w:val="none" w:sz="0" w:space="0" w:color="auto"/>
            <w:left w:val="none" w:sz="0" w:space="0" w:color="auto"/>
            <w:bottom w:val="none" w:sz="0" w:space="0" w:color="auto"/>
            <w:right w:val="none" w:sz="0" w:space="0" w:color="auto"/>
          </w:divBdr>
        </w:div>
        <w:div w:id="1765034390">
          <w:marLeft w:val="640"/>
          <w:marRight w:val="0"/>
          <w:marTop w:val="0"/>
          <w:marBottom w:val="0"/>
          <w:divBdr>
            <w:top w:val="none" w:sz="0" w:space="0" w:color="auto"/>
            <w:left w:val="none" w:sz="0" w:space="0" w:color="auto"/>
            <w:bottom w:val="none" w:sz="0" w:space="0" w:color="auto"/>
            <w:right w:val="none" w:sz="0" w:space="0" w:color="auto"/>
          </w:divBdr>
        </w:div>
        <w:div w:id="1275596897">
          <w:marLeft w:val="640"/>
          <w:marRight w:val="0"/>
          <w:marTop w:val="0"/>
          <w:marBottom w:val="0"/>
          <w:divBdr>
            <w:top w:val="none" w:sz="0" w:space="0" w:color="auto"/>
            <w:left w:val="none" w:sz="0" w:space="0" w:color="auto"/>
            <w:bottom w:val="none" w:sz="0" w:space="0" w:color="auto"/>
            <w:right w:val="none" w:sz="0" w:space="0" w:color="auto"/>
          </w:divBdr>
        </w:div>
        <w:div w:id="1824347589">
          <w:marLeft w:val="640"/>
          <w:marRight w:val="0"/>
          <w:marTop w:val="0"/>
          <w:marBottom w:val="0"/>
          <w:divBdr>
            <w:top w:val="none" w:sz="0" w:space="0" w:color="auto"/>
            <w:left w:val="none" w:sz="0" w:space="0" w:color="auto"/>
            <w:bottom w:val="none" w:sz="0" w:space="0" w:color="auto"/>
            <w:right w:val="none" w:sz="0" w:space="0" w:color="auto"/>
          </w:divBdr>
        </w:div>
        <w:div w:id="1951468227">
          <w:marLeft w:val="640"/>
          <w:marRight w:val="0"/>
          <w:marTop w:val="0"/>
          <w:marBottom w:val="0"/>
          <w:divBdr>
            <w:top w:val="none" w:sz="0" w:space="0" w:color="auto"/>
            <w:left w:val="none" w:sz="0" w:space="0" w:color="auto"/>
            <w:bottom w:val="none" w:sz="0" w:space="0" w:color="auto"/>
            <w:right w:val="none" w:sz="0" w:space="0" w:color="auto"/>
          </w:divBdr>
        </w:div>
        <w:div w:id="1180243732">
          <w:marLeft w:val="640"/>
          <w:marRight w:val="0"/>
          <w:marTop w:val="0"/>
          <w:marBottom w:val="0"/>
          <w:divBdr>
            <w:top w:val="none" w:sz="0" w:space="0" w:color="auto"/>
            <w:left w:val="none" w:sz="0" w:space="0" w:color="auto"/>
            <w:bottom w:val="none" w:sz="0" w:space="0" w:color="auto"/>
            <w:right w:val="none" w:sz="0" w:space="0" w:color="auto"/>
          </w:divBdr>
        </w:div>
        <w:div w:id="530652433">
          <w:marLeft w:val="640"/>
          <w:marRight w:val="0"/>
          <w:marTop w:val="0"/>
          <w:marBottom w:val="0"/>
          <w:divBdr>
            <w:top w:val="none" w:sz="0" w:space="0" w:color="auto"/>
            <w:left w:val="none" w:sz="0" w:space="0" w:color="auto"/>
            <w:bottom w:val="none" w:sz="0" w:space="0" w:color="auto"/>
            <w:right w:val="none" w:sz="0" w:space="0" w:color="auto"/>
          </w:divBdr>
        </w:div>
        <w:div w:id="645862043">
          <w:marLeft w:val="640"/>
          <w:marRight w:val="0"/>
          <w:marTop w:val="0"/>
          <w:marBottom w:val="0"/>
          <w:divBdr>
            <w:top w:val="none" w:sz="0" w:space="0" w:color="auto"/>
            <w:left w:val="none" w:sz="0" w:space="0" w:color="auto"/>
            <w:bottom w:val="none" w:sz="0" w:space="0" w:color="auto"/>
            <w:right w:val="none" w:sz="0" w:space="0" w:color="auto"/>
          </w:divBdr>
        </w:div>
        <w:div w:id="1226067061">
          <w:marLeft w:val="640"/>
          <w:marRight w:val="0"/>
          <w:marTop w:val="0"/>
          <w:marBottom w:val="0"/>
          <w:divBdr>
            <w:top w:val="none" w:sz="0" w:space="0" w:color="auto"/>
            <w:left w:val="none" w:sz="0" w:space="0" w:color="auto"/>
            <w:bottom w:val="none" w:sz="0" w:space="0" w:color="auto"/>
            <w:right w:val="none" w:sz="0" w:space="0" w:color="auto"/>
          </w:divBdr>
        </w:div>
        <w:div w:id="253901057">
          <w:marLeft w:val="640"/>
          <w:marRight w:val="0"/>
          <w:marTop w:val="0"/>
          <w:marBottom w:val="0"/>
          <w:divBdr>
            <w:top w:val="none" w:sz="0" w:space="0" w:color="auto"/>
            <w:left w:val="none" w:sz="0" w:space="0" w:color="auto"/>
            <w:bottom w:val="none" w:sz="0" w:space="0" w:color="auto"/>
            <w:right w:val="none" w:sz="0" w:space="0" w:color="auto"/>
          </w:divBdr>
        </w:div>
        <w:div w:id="991445090">
          <w:marLeft w:val="640"/>
          <w:marRight w:val="0"/>
          <w:marTop w:val="0"/>
          <w:marBottom w:val="0"/>
          <w:divBdr>
            <w:top w:val="none" w:sz="0" w:space="0" w:color="auto"/>
            <w:left w:val="none" w:sz="0" w:space="0" w:color="auto"/>
            <w:bottom w:val="none" w:sz="0" w:space="0" w:color="auto"/>
            <w:right w:val="none" w:sz="0" w:space="0" w:color="auto"/>
          </w:divBdr>
        </w:div>
        <w:div w:id="529730339">
          <w:marLeft w:val="640"/>
          <w:marRight w:val="0"/>
          <w:marTop w:val="0"/>
          <w:marBottom w:val="0"/>
          <w:divBdr>
            <w:top w:val="none" w:sz="0" w:space="0" w:color="auto"/>
            <w:left w:val="none" w:sz="0" w:space="0" w:color="auto"/>
            <w:bottom w:val="none" w:sz="0" w:space="0" w:color="auto"/>
            <w:right w:val="none" w:sz="0" w:space="0" w:color="auto"/>
          </w:divBdr>
        </w:div>
        <w:div w:id="1619099122">
          <w:marLeft w:val="640"/>
          <w:marRight w:val="0"/>
          <w:marTop w:val="0"/>
          <w:marBottom w:val="0"/>
          <w:divBdr>
            <w:top w:val="none" w:sz="0" w:space="0" w:color="auto"/>
            <w:left w:val="none" w:sz="0" w:space="0" w:color="auto"/>
            <w:bottom w:val="none" w:sz="0" w:space="0" w:color="auto"/>
            <w:right w:val="none" w:sz="0" w:space="0" w:color="auto"/>
          </w:divBdr>
        </w:div>
        <w:div w:id="1731538157">
          <w:marLeft w:val="640"/>
          <w:marRight w:val="0"/>
          <w:marTop w:val="0"/>
          <w:marBottom w:val="0"/>
          <w:divBdr>
            <w:top w:val="none" w:sz="0" w:space="0" w:color="auto"/>
            <w:left w:val="none" w:sz="0" w:space="0" w:color="auto"/>
            <w:bottom w:val="none" w:sz="0" w:space="0" w:color="auto"/>
            <w:right w:val="none" w:sz="0" w:space="0" w:color="auto"/>
          </w:divBdr>
        </w:div>
        <w:div w:id="1878620616">
          <w:marLeft w:val="640"/>
          <w:marRight w:val="0"/>
          <w:marTop w:val="0"/>
          <w:marBottom w:val="0"/>
          <w:divBdr>
            <w:top w:val="none" w:sz="0" w:space="0" w:color="auto"/>
            <w:left w:val="none" w:sz="0" w:space="0" w:color="auto"/>
            <w:bottom w:val="none" w:sz="0" w:space="0" w:color="auto"/>
            <w:right w:val="none" w:sz="0" w:space="0" w:color="auto"/>
          </w:divBdr>
        </w:div>
        <w:div w:id="1065303844">
          <w:marLeft w:val="640"/>
          <w:marRight w:val="0"/>
          <w:marTop w:val="0"/>
          <w:marBottom w:val="0"/>
          <w:divBdr>
            <w:top w:val="none" w:sz="0" w:space="0" w:color="auto"/>
            <w:left w:val="none" w:sz="0" w:space="0" w:color="auto"/>
            <w:bottom w:val="none" w:sz="0" w:space="0" w:color="auto"/>
            <w:right w:val="none" w:sz="0" w:space="0" w:color="auto"/>
          </w:divBdr>
        </w:div>
        <w:div w:id="1654066960">
          <w:marLeft w:val="640"/>
          <w:marRight w:val="0"/>
          <w:marTop w:val="0"/>
          <w:marBottom w:val="0"/>
          <w:divBdr>
            <w:top w:val="none" w:sz="0" w:space="0" w:color="auto"/>
            <w:left w:val="none" w:sz="0" w:space="0" w:color="auto"/>
            <w:bottom w:val="none" w:sz="0" w:space="0" w:color="auto"/>
            <w:right w:val="none" w:sz="0" w:space="0" w:color="auto"/>
          </w:divBdr>
        </w:div>
        <w:div w:id="2050453973">
          <w:marLeft w:val="640"/>
          <w:marRight w:val="0"/>
          <w:marTop w:val="0"/>
          <w:marBottom w:val="0"/>
          <w:divBdr>
            <w:top w:val="none" w:sz="0" w:space="0" w:color="auto"/>
            <w:left w:val="none" w:sz="0" w:space="0" w:color="auto"/>
            <w:bottom w:val="none" w:sz="0" w:space="0" w:color="auto"/>
            <w:right w:val="none" w:sz="0" w:space="0" w:color="auto"/>
          </w:divBdr>
        </w:div>
        <w:div w:id="2112386072">
          <w:marLeft w:val="640"/>
          <w:marRight w:val="0"/>
          <w:marTop w:val="0"/>
          <w:marBottom w:val="0"/>
          <w:divBdr>
            <w:top w:val="none" w:sz="0" w:space="0" w:color="auto"/>
            <w:left w:val="none" w:sz="0" w:space="0" w:color="auto"/>
            <w:bottom w:val="none" w:sz="0" w:space="0" w:color="auto"/>
            <w:right w:val="none" w:sz="0" w:space="0" w:color="auto"/>
          </w:divBdr>
        </w:div>
        <w:div w:id="342633790">
          <w:marLeft w:val="640"/>
          <w:marRight w:val="0"/>
          <w:marTop w:val="0"/>
          <w:marBottom w:val="0"/>
          <w:divBdr>
            <w:top w:val="none" w:sz="0" w:space="0" w:color="auto"/>
            <w:left w:val="none" w:sz="0" w:space="0" w:color="auto"/>
            <w:bottom w:val="none" w:sz="0" w:space="0" w:color="auto"/>
            <w:right w:val="none" w:sz="0" w:space="0" w:color="auto"/>
          </w:divBdr>
        </w:div>
        <w:div w:id="928342954">
          <w:marLeft w:val="640"/>
          <w:marRight w:val="0"/>
          <w:marTop w:val="0"/>
          <w:marBottom w:val="0"/>
          <w:divBdr>
            <w:top w:val="none" w:sz="0" w:space="0" w:color="auto"/>
            <w:left w:val="none" w:sz="0" w:space="0" w:color="auto"/>
            <w:bottom w:val="none" w:sz="0" w:space="0" w:color="auto"/>
            <w:right w:val="none" w:sz="0" w:space="0" w:color="auto"/>
          </w:divBdr>
        </w:div>
        <w:div w:id="671565376">
          <w:marLeft w:val="640"/>
          <w:marRight w:val="0"/>
          <w:marTop w:val="0"/>
          <w:marBottom w:val="0"/>
          <w:divBdr>
            <w:top w:val="none" w:sz="0" w:space="0" w:color="auto"/>
            <w:left w:val="none" w:sz="0" w:space="0" w:color="auto"/>
            <w:bottom w:val="none" w:sz="0" w:space="0" w:color="auto"/>
            <w:right w:val="none" w:sz="0" w:space="0" w:color="auto"/>
          </w:divBdr>
        </w:div>
        <w:div w:id="637802454">
          <w:marLeft w:val="640"/>
          <w:marRight w:val="0"/>
          <w:marTop w:val="0"/>
          <w:marBottom w:val="0"/>
          <w:divBdr>
            <w:top w:val="none" w:sz="0" w:space="0" w:color="auto"/>
            <w:left w:val="none" w:sz="0" w:space="0" w:color="auto"/>
            <w:bottom w:val="none" w:sz="0" w:space="0" w:color="auto"/>
            <w:right w:val="none" w:sz="0" w:space="0" w:color="auto"/>
          </w:divBdr>
        </w:div>
        <w:div w:id="33623841">
          <w:marLeft w:val="640"/>
          <w:marRight w:val="0"/>
          <w:marTop w:val="0"/>
          <w:marBottom w:val="0"/>
          <w:divBdr>
            <w:top w:val="none" w:sz="0" w:space="0" w:color="auto"/>
            <w:left w:val="none" w:sz="0" w:space="0" w:color="auto"/>
            <w:bottom w:val="none" w:sz="0" w:space="0" w:color="auto"/>
            <w:right w:val="none" w:sz="0" w:space="0" w:color="auto"/>
          </w:divBdr>
        </w:div>
        <w:div w:id="728264248">
          <w:marLeft w:val="640"/>
          <w:marRight w:val="0"/>
          <w:marTop w:val="0"/>
          <w:marBottom w:val="0"/>
          <w:divBdr>
            <w:top w:val="none" w:sz="0" w:space="0" w:color="auto"/>
            <w:left w:val="none" w:sz="0" w:space="0" w:color="auto"/>
            <w:bottom w:val="none" w:sz="0" w:space="0" w:color="auto"/>
            <w:right w:val="none" w:sz="0" w:space="0" w:color="auto"/>
          </w:divBdr>
        </w:div>
        <w:div w:id="1120077172">
          <w:marLeft w:val="640"/>
          <w:marRight w:val="0"/>
          <w:marTop w:val="0"/>
          <w:marBottom w:val="0"/>
          <w:divBdr>
            <w:top w:val="none" w:sz="0" w:space="0" w:color="auto"/>
            <w:left w:val="none" w:sz="0" w:space="0" w:color="auto"/>
            <w:bottom w:val="none" w:sz="0" w:space="0" w:color="auto"/>
            <w:right w:val="none" w:sz="0" w:space="0" w:color="auto"/>
          </w:divBdr>
        </w:div>
        <w:div w:id="1287396415">
          <w:marLeft w:val="640"/>
          <w:marRight w:val="0"/>
          <w:marTop w:val="0"/>
          <w:marBottom w:val="0"/>
          <w:divBdr>
            <w:top w:val="none" w:sz="0" w:space="0" w:color="auto"/>
            <w:left w:val="none" w:sz="0" w:space="0" w:color="auto"/>
            <w:bottom w:val="none" w:sz="0" w:space="0" w:color="auto"/>
            <w:right w:val="none" w:sz="0" w:space="0" w:color="auto"/>
          </w:divBdr>
        </w:div>
        <w:div w:id="55056039">
          <w:marLeft w:val="640"/>
          <w:marRight w:val="0"/>
          <w:marTop w:val="0"/>
          <w:marBottom w:val="0"/>
          <w:divBdr>
            <w:top w:val="none" w:sz="0" w:space="0" w:color="auto"/>
            <w:left w:val="none" w:sz="0" w:space="0" w:color="auto"/>
            <w:bottom w:val="none" w:sz="0" w:space="0" w:color="auto"/>
            <w:right w:val="none" w:sz="0" w:space="0" w:color="auto"/>
          </w:divBdr>
        </w:div>
        <w:div w:id="1396858299">
          <w:marLeft w:val="640"/>
          <w:marRight w:val="0"/>
          <w:marTop w:val="0"/>
          <w:marBottom w:val="0"/>
          <w:divBdr>
            <w:top w:val="none" w:sz="0" w:space="0" w:color="auto"/>
            <w:left w:val="none" w:sz="0" w:space="0" w:color="auto"/>
            <w:bottom w:val="none" w:sz="0" w:space="0" w:color="auto"/>
            <w:right w:val="none" w:sz="0" w:space="0" w:color="auto"/>
          </w:divBdr>
        </w:div>
        <w:div w:id="1369835203">
          <w:marLeft w:val="640"/>
          <w:marRight w:val="0"/>
          <w:marTop w:val="0"/>
          <w:marBottom w:val="0"/>
          <w:divBdr>
            <w:top w:val="none" w:sz="0" w:space="0" w:color="auto"/>
            <w:left w:val="none" w:sz="0" w:space="0" w:color="auto"/>
            <w:bottom w:val="none" w:sz="0" w:space="0" w:color="auto"/>
            <w:right w:val="none" w:sz="0" w:space="0" w:color="auto"/>
          </w:divBdr>
        </w:div>
        <w:div w:id="1608079509">
          <w:marLeft w:val="640"/>
          <w:marRight w:val="0"/>
          <w:marTop w:val="0"/>
          <w:marBottom w:val="0"/>
          <w:divBdr>
            <w:top w:val="none" w:sz="0" w:space="0" w:color="auto"/>
            <w:left w:val="none" w:sz="0" w:space="0" w:color="auto"/>
            <w:bottom w:val="none" w:sz="0" w:space="0" w:color="auto"/>
            <w:right w:val="none" w:sz="0" w:space="0" w:color="auto"/>
          </w:divBdr>
        </w:div>
        <w:div w:id="1829396561">
          <w:marLeft w:val="640"/>
          <w:marRight w:val="0"/>
          <w:marTop w:val="0"/>
          <w:marBottom w:val="0"/>
          <w:divBdr>
            <w:top w:val="none" w:sz="0" w:space="0" w:color="auto"/>
            <w:left w:val="none" w:sz="0" w:space="0" w:color="auto"/>
            <w:bottom w:val="none" w:sz="0" w:space="0" w:color="auto"/>
            <w:right w:val="none" w:sz="0" w:space="0" w:color="auto"/>
          </w:divBdr>
        </w:div>
        <w:div w:id="1108738110">
          <w:marLeft w:val="640"/>
          <w:marRight w:val="0"/>
          <w:marTop w:val="0"/>
          <w:marBottom w:val="0"/>
          <w:divBdr>
            <w:top w:val="none" w:sz="0" w:space="0" w:color="auto"/>
            <w:left w:val="none" w:sz="0" w:space="0" w:color="auto"/>
            <w:bottom w:val="none" w:sz="0" w:space="0" w:color="auto"/>
            <w:right w:val="none" w:sz="0" w:space="0" w:color="auto"/>
          </w:divBdr>
        </w:div>
        <w:div w:id="1893419709">
          <w:marLeft w:val="640"/>
          <w:marRight w:val="0"/>
          <w:marTop w:val="0"/>
          <w:marBottom w:val="0"/>
          <w:divBdr>
            <w:top w:val="none" w:sz="0" w:space="0" w:color="auto"/>
            <w:left w:val="none" w:sz="0" w:space="0" w:color="auto"/>
            <w:bottom w:val="none" w:sz="0" w:space="0" w:color="auto"/>
            <w:right w:val="none" w:sz="0" w:space="0" w:color="auto"/>
          </w:divBdr>
        </w:div>
        <w:div w:id="1375690064">
          <w:marLeft w:val="640"/>
          <w:marRight w:val="0"/>
          <w:marTop w:val="0"/>
          <w:marBottom w:val="0"/>
          <w:divBdr>
            <w:top w:val="none" w:sz="0" w:space="0" w:color="auto"/>
            <w:left w:val="none" w:sz="0" w:space="0" w:color="auto"/>
            <w:bottom w:val="none" w:sz="0" w:space="0" w:color="auto"/>
            <w:right w:val="none" w:sz="0" w:space="0" w:color="auto"/>
          </w:divBdr>
        </w:div>
        <w:div w:id="318968060">
          <w:marLeft w:val="640"/>
          <w:marRight w:val="0"/>
          <w:marTop w:val="0"/>
          <w:marBottom w:val="0"/>
          <w:divBdr>
            <w:top w:val="none" w:sz="0" w:space="0" w:color="auto"/>
            <w:left w:val="none" w:sz="0" w:space="0" w:color="auto"/>
            <w:bottom w:val="none" w:sz="0" w:space="0" w:color="auto"/>
            <w:right w:val="none" w:sz="0" w:space="0" w:color="auto"/>
          </w:divBdr>
        </w:div>
        <w:div w:id="1335304778">
          <w:marLeft w:val="640"/>
          <w:marRight w:val="0"/>
          <w:marTop w:val="0"/>
          <w:marBottom w:val="0"/>
          <w:divBdr>
            <w:top w:val="none" w:sz="0" w:space="0" w:color="auto"/>
            <w:left w:val="none" w:sz="0" w:space="0" w:color="auto"/>
            <w:bottom w:val="none" w:sz="0" w:space="0" w:color="auto"/>
            <w:right w:val="none" w:sz="0" w:space="0" w:color="auto"/>
          </w:divBdr>
        </w:div>
        <w:div w:id="1758017301">
          <w:marLeft w:val="640"/>
          <w:marRight w:val="0"/>
          <w:marTop w:val="0"/>
          <w:marBottom w:val="0"/>
          <w:divBdr>
            <w:top w:val="none" w:sz="0" w:space="0" w:color="auto"/>
            <w:left w:val="none" w:sz="0" w:space="0" w:color="auto"/>
            <w:bottom w:val="none" w:sz="0" w:space="0" w:color="auto"/>
            <w:right w:val="none" w:sz="0" w:space="0" w:color="auto"/>
          </w:divBdr>
        </w:div>
        <w:div w:id="2143958771">
          <w:marLeft w:val="640"/>
          <w:marRight w:val="0"/>
          <w:marTop w:val="0"/>
          <w:marBottom w:val="0"/>
          <w:divBdr>
            <w:top w:val="none" w:sz="0" w:space="0" w:color="auto"/>
            <w:left w:val="none" w:sz="0" w:space="0" w:color="auto"/>
            <w:bottom w:val="none" w:sz="0" w:space="0" w:color="auto"/>
            <w:right w:val="none" w:sz="0" w:space="0" w:color="auto"/>
          </w:divBdr>
        </w:div>
        <w:div w:id="839462957">
          <w:marLeft w:val="640"/>
          <w:marRight w:val="0"/>
          <w:marTop w:val="0"/>
          <w:marBottom w:val="0"/>
          <w:divBdr>
            <w:top w:val="none" w:sz="0" w:space="0" w:color="auto"/>
            <w:left w:val="none" w:sz="0" w:space="0" w:color="auto"/>
            <w:bottom w:val="none" w:sz="0" w:space="0" w:color="auto"/>
            <w:right w:val="none" w:sz="0" w:space="0" w:color="auto"/>
          </w:divBdr>
        </w:div>
        <w:div w:id="506789919">
          <w:marLeft w:val="640"/>
          <w:marRight w:val="0"/>
          <w:marTop w:val="0"/>
          <w:marBottom w:val="0"/>
          <w:divBdr>
            <w:top w:val="none" w:sz="0" w:space="0" w:color="auto"/>
            <w:left w:val="none" w:sz="0" w:space="0" w:color="auto"/>
            <w:bottom w:val="none" w:sz="0" w:space="0" w:color="auto"/>
            <w:right w:val="none" w:sz="0" w:space="0" w:color="auto"/>
          </w:divBdr>
        </w:div>
        <w:div w:id="345520529">
          <w:marLeft w:val="640"/>
          <w:marRight w:val="0"/>
          <w:marTop w:val="0"/>
          <w:marBottom w:val="0"/>
          <w:divBdr>
            <w:top w:val="none" w:sz="0" w:space="0" w:color="auto"/>
            <w:left w:val="none" w:sz="0" w:space="0" w:color="auto"/>
            <w:bottom w:val="none" w:sz="0" w:space="0" w:color="auto"/>
            <w:right w:val="none" w:sz="0" w:space="0" w:color="auto"/>
          </w:divBdr>
        </w:div>
        <w:div w:id="1649673877">
          <w:marLeft w:val="640"/>
          <w:marRight w:val="0"/>
          <w:marTop w:val="0"/>
          <w:marBottom w:val="0"/>
          <w:divBdr>
            <w:top w:val="none" w:sz="0" w:space="0" w:color="auto"/>
            <w:left w:val="none" w:sz="0" w:space="0" w:color="auto"/>
            <w:bottom w:val="none" w:sz="0" w:space="0" w:color="auto"/>
            <w:right w:val="none" w:sz="0" w:space="0" w:color="auto"/>
          </w:divBdr>
        </w:div>
        <w:div w:id="1290041832">
          <w:marLeft w:val="640"/>
          <w:marRight w:val="0"/>
          <w:marTop w:val="0"/>
          <w:marBottom w:val="0"/>
          <w:divBdr>
            <w:top w:val="none" w:sz="0" w:space="0" w:color="auto"/>
            <w:left w:val="none" w:sz="0" w:space="0" w:color="auto"/>
            <w:bottom w:val="none" w:sz="0" w:space="0" w:color="auto"/>
            <w:right w:val="none" w:sz="0" w:space="0" w:color="auto"/>
          </w:divBdr>
        </w:div>
        <w:div w:id="321395391">
          <w:marLeft w:val="640"/>
          <w:marRight w:val="0"/>
          <w:marTop w:val="0"/>
          <w:marBottom w:val="0"/>
          <w:divBdr>
            <w:top w:val="none" w:sz="0" w:space="0" w:color="auto"/>
            <w:left w:val="none" w:sz="0" w:space="0" w:color="auto"/>
            <w:bottom w:val="none" w:sz="0" w:space="0" w:color="auto"/>
            <w:right w:val="none" w:sz="0" w:space="0" w:color="auto"/>
          </w:divBdr>
        </w:div>
        <w:div w:id="1908103808">
          <w:marLeft w:val="640"/>
          <w:marRight w:val="0"/>
          <w:marTop w:val="0"/>
          <w:marBottom w:val="0"/>
          <w:divBdr>
            <w:top w:val="none" w:sz="0" w:space="0" w:color="auto"/>
            <w:left w:val="none" w:sz="0" w:space="0" w:color="auto"/>
            <w:bottom w:val="none" w:sz="0" w:space="0" w:color="auto"/>
            <w:right w:val="none" w:sz="0" w:space="0" w:color="auto"/>
          </w:divBdr>
        </w:div>
        <w:div w:id="162086038">
          <w:marLeft w:val="640"/>
          <w:marRight w:val="0"/>
          <w:marTop w:val="0"/>
          <w:marBottom w:val="0"/>
          <w:divBdr>
            <w:top w:val="none" w:sz="0" w:space="0" w:color="auto"/>
            <w:left w:val="none" w:sz="0" w:space="0" w:color="auto"/>
            <w:bottom w:val="none" w:sz="0" w:space="0" w:color="auto"/>
            <w:right w:val="none" w:sz="0" w:space="0" w:color="auto"/>
          </w:divBdr>
        </w:div>
        <w:div w:id="1088621782">
          <w:marLeft w:val="640"/>
          <w:marRight w:val="0"/>
          <w:marTop w:val="0"/>
          <w:marBottom w:val="0"/>
          <w:divBdr>
            <w:top w:val="none" w:sz="0" w:space="0" w:color="auto"/>
            <w:left w:val="none" w:sz="0" w:space="0" w:color="auto"/>
            <w:bottom w:val="none" w:sz="0" w:space="0" w:color="auto"/>
            <w:right w:val="none" w:sz="0" w:space="0" w:color="auto"/>
          </w:divBdr>
        </w:div>
        <w:div w:id="1691687921">
          <w:marLeft w:val="640"/>
          <w:marRight w:val="0"/>
          <w:marTop w:val="0"/>
          <w:marBottom w:val="0"/>
          <w:divBdr>
            <w:top w:val="none" w:sz="0" w:space="0" w:color="auto"/>
            <w:left w:val="none" w:sz="0" w:space="0" w:color="auto"/>
            <w:bottom w:val="none" w:sz="0" w:space="0" w:color="auto"/>
            <w:right w:val="none" w:sz="0" w:space="0" w:color="auto"/>
          </w:divBdr>
        </w:div>
        <w:div w:id="15085917">
          <w:marLeft w:val="640"/>
          <w:marRight w:val="0"/>
          <w:marTop w:val="0"/>
          <w:marBottom w:val="0"/>
          <w:divBdr>
            <w:top w:val="none" w:sz="0" w:space="0" w:color="auto"/>
            <w:left w:val="none" w:sz="0" w:space="0" w:color="auto"/>
            <w:bottom w:val="none" w:sz="0" w:space="0" w:color="auto"/>
            <w:right w:val="none" w:sz="0" w:space="0" w:color="auto"/>
          </w:divBdr>
        </w:div>
        <w:div w:id="225645923">
          <w:marLeft w:val="640"/>
          <w:marRight w:val="0"/>
          <w:marTop w:val="0"/>
          <w:marBottom w:val="0"/>
          <w:divBdr>
            <w:top w:val="none" w:sz="0" w:space="0" w:color="auto"/>
            <w:left w:val="none" w:sz="0" w:space="0" w:color="auto"/>
            <w:bottom w:val="none" w:sz="0" w:space="0" w:color="auto"/>
            <w:right w:val="none" w:sz="0" w:space="0" w:color="auto"/>
          </w:divBdr>
        </w:div>
        <w:div w:id="388236214">
          <w:marLeft w:val="640"/>
          <w:marRight w:val="0"/>
          <w:marTop w:val="0"/>
          <w:marBottom w:val="0"/>
          <w:divBdr>
            <w:top w:val="none" w:sz="0" w:space="0" w:color="auto"/>
            <w:left w:val="none" w:sz="0" w:space="0" w:color="auto"/>
            <w:bottom w:val="none" w:sz="0" w:space="0" w:color="auto"/>
            <w:right w:val="none" w:sz="0" w:space="0" w:color="auto"/>
          </w:divBdr>
        </w:div>
        <w:div w:id="1824393656">
          <w:marLeft w:val="640"/>
          <w:marRight w:val="0"/>
          <w:marTop w:val="0"/>
          <w:marBottom w:val="0"/>
          <w:divBdr>
            <w:top w:val="none" w:sz="0" w:space="0" w:color="auto"/>
            <w:left w:val="none" w:sz="0" w:space="0" w:color="auto"/>
            <w:bottom w:val="none" w:sz="0" w:space="0" w:color="auto"/>
            <w:right w:val="none" w:sz="0" w:space="0" w:color="auto"/>
          </w:divBdr>
        </w:div>
        <w:div w:id="1620718849">
          <w:marLeft w:val="640"/>
          <w:marRight w:val="0"/>
          <w:marTop w:val="0"/>
          <w:marBottom w:val="0"/>
          <w:divBdr>
            <w:top w:val="none" w:sz="0" w:space="0" w:color="auto"/>
            <w:left w:val="none" w:sz="0" w:space="0" w:color="auto"/>
            <w:bottom w:val="none" w:sz="0" w:space="0" w:color="auto"/>
            <w:right w:val="none" w:sz="0" w:space="0" w:color="auto"/>
          </w:divBdr>
        </w:div>
        <w:div w:id="563759736">
          <w:marLeft w:val="640"/>
          <w:marRight w:val="0"/>
          <w:marTop w:val="0"/>
          <w:marBottom w:val="0"/>
          <w:divBdr>
            <w:top w:val="none" w:sz="0" w:space="0" w:color="auto"/>
            <w:left w:val="none" w:sz="0" w:space="0" w:color="auto"/>
            <w:bottom w:val="none" w:sz="0" w:space="0" w:color="auto"/>
            <w:right w:val="none" w:sz="0" w:space="0" w:color="auto"/>
          </w:divBdr>
        </w:div>
        <w:div w:id="1158303656">
          <w:marLeft w:val="640"/>
          <w:marRight w:val="0"/>
          <w:marTop w:val="0"/>
          <w:marBottom w:val="0"/>
          <w:divBdr>
            <w:top w:val="none" w:sz="0" w:space="0" w:color="auto"/>
            <w:left w:val="none" w:sz="0" w:space="0" w:color="auto"/>
            <w:bottom w:val="none" w:sz="0" w:space="0" w:color="auto"/>
            <w:right w:val="none" w:sz="0" w:space="0" w:color="auto"/>
          </w:divBdr>
        </w:div>
        <w:div w:id="2025859320">
          <w:marLeft w:val="640"/>
          <w:marRight w:val="0"/>
          <w:marTop w:val="0"/>
          <w:marBottom w:val="0"/>
          <w:divBdr>
            <w:top w:val="none" w:sz="0" w:space="0" w:color="auto"/>
            <w:left w:val="none" w:sz="0" w:space="0" w:color="auto"/>
            <w:bottom w:val="none" w:sz="0" w:space="0" w:color="auto"/>
            <w:right w:val="none" w:sz="0" w:space="0" w:color="auto"/>
          </w:divBdr>
        </w:div>
        <w:div w:id="223295988">
          <w:marLeft w:val="640"/>
          <w:marRight w:val="0"/>
          <w:marTop w:val="0"/>
          <w:marBottom w:val="0"/>
          <w:divBdr>
            <w:top w:val="none" w:sz="0" w:space="0" w:color="auto"/>
            <w:left w:val="none" w:sz="0" w:space="0" w:color="auto"/>
            <w:bottom w:val="none" w:sz="0" w:space="0" w:color="auto"/>
            <w:right w:val="none" w:sz="0" w:space="0" w:color="auto"/>
          </w:divBdr>
        </w:div>
        <w:div w:id="800001991">
          <w:marLeft w:val="640"/>
          <w:marRight w:val="0"/>
          <w:marTop w:val="0"/>
          <w:marBottom w:val="0"/>
          <w:divBdr>
            <w:top w:val="none" w:sz="0" w:space="0" w:color="auto"/>
            <w:left w:val="none" w:sz="0" w:space="0" w:color="auto"/>
            <w:bottom w:val="none" w:sz="0" w:space="0" w:color="auto"/>
            <w:right w:val="none" w:sz="0" w:space="0" w:color="auto"/>
          </w:divBdr>
        </w:div>
        <w:div w:id="1460758708">
          <w:marLeft w:val="640"/>
          <w:marRight w:val="0"/>
          <w:marTop w:val="0"/>
          <w:marBottom w:val="0"/>
          <w:divBdr>
            <w:top w:val="none" w:sz="0" w:space="0" w:color="auto"/>
            <w:left w:val="none" w:sz="0" w:space="0" w:color="auto"/>
            <w:bottom w:val="none" w:sz="0" w:space="0" w:color="auto"/>
            <w:right w:val="none" w:sz="0" w:space="0" w:color="auto"/>
          </w:divBdr>
        </w:div>
        <w:div w:id="2104689597">
          <w:marLeft w:val="640"/>
          <w:marRight w:val="0"/>
          <w:marTop w:val="0"/>
          <w:marBottom w:val="0"/>
          <w:divBdr>
            <w:top w:val="none" w:sz="0" w:space="0" w:color="auto"/>
            <w:left w:val="none" w:sz="0" w:space="0" w:color="auto"/>
            <w:bottom w:val="none" w:sz="0" w:space="0" w:color="auto"/>
            <w:right w:val="none" w:sz="0" w:space="0" w:color="auto"/>
          </w:divBdr>
        </w:div>
        <w:div w:id="1558665468">
          <w:marLeft w:val="640"/>
          <w:marRight w:val="0"/>
          <w:marTop w:val="0"/>
          <w:marBottom w:val="0"/>
          <w:divBdr>
            <w:top w:val="none" w:sz="0" w:space="0" w:color="auto"/>
            <w:left w:val="none" w:sz="0" w:space="0" w:color="auto"/>
            <w:bottom w:val="none" w:sz="0" w:space="0" w:color="auto"/>
            <w:right w:val="none" w:sz="0" w:space="0" w:color="auto"/>
          </w:divBdr>
        </w:div>
        <w:div w:id="714961509">
          <w:marLeft w:val="640"/>
          <w:marRight w:val="0"/>
          <w:marTop w:val="0"/>
          <w:marBottom w:val="0"/>
          <w:divBdr>
            <w:top w:val="none" w:sz="0" w:space="0" w:color="auto"/>
            <w:left w:val="none" w:sz="0" w:space="0" w:color="auto"/>
            <w:bottom w:val="none" w:sz="0" w:space="0" w:color="auto"/>
            <w:right w:val="none" w:sz="0" w:space="0" w:color="auto"/>
          </w:divBdr>
        </w:div>
        <w:div w:id="1341732498">
          <w:marLeft w:val="640"/>
          <w:marRight w:val="0"/>
          <w:marTop w:val="0"/>
          <w:marBottom w:val="0"/>
          <w:divBdr>
            <w:top w:val="none" w:sz="0" w:space="0" w:color="auto"/>
            <w:left w:val="none" w:sz="0" w:space="0" w:color="auto"/>
            <w:bottom w:val="none" w:sz="0" w:space="0" w:color="auto"/>
            <w:right w:val="none" w:sz="0" w:space="0" w:color="auto"/>
          </w:divBdr>
        </w:div>
        <w:div w:id="1461803213">
          <w:marLeft w:val="640"/>
          <w:marRight w:val="0"/>
          <w:marTop w:val="0"/>
          <w:marBottom w:val="0"/>
          <w:divBdr>
            <w:top w:val="none" w:sz="0" w:space="0" w:color="auto"/>
            <w:left w:val="none" w:sz="0" w:space="0" w:color="auto"/>
            <w:bottom w:val="none" w:sz="0" w:space="0" w:color="auto"/>
            <w:right w:val="none" w:sz="0" w:space="0" w:color="auto"/>
          </w:divBdr>
        </w:div>
        <w:div w:id="2109039537">
          <w:marLeft w:val="640"/>
          <w:marRight w:val="0"/>
          <w:marTop w:val="0"/>
          <w:marBottom w:val="0"/>
          <w:divBdr>
            <w:top w:val="none" w:sz="0" w:space="0" w:color="auto"/>
            <w:left w:val="none" w:sz="0" w:space="0" w:color="auto"/>
            <w:bottom w:val="none" w:sz="0" w:space="0" w:color="auto"/>
            <w:right w:val="none" w:sz="0" w:space="0" w:color="auto"/>
          </w:divBdr>
        </w:div>
        <w:div w:id="513492741">
          <w:marLeft w:val="640"/>
          <w:marRight w:val="0"/>
          <w:marTop w:val="0"/>
          <w:marBottom w:val="0"/>
          <w:divBdr>
            <w:top w:val="none" w:sz="0" w:space="0" w:color="auto"/>
            <w:left w:val="none" w:sz="0" w:space="0" w:color="auto"/>
            <w:bottom w:val="none" w:sz="0" w:space="0" w:color="auto"/>
            <w:right w:val="none" w:sz="0" w:space="0" w:color="auto"/>
          </w:divBdr>
        </w:div>
        <w:div w:id="1726104875">
          <w:marLeft w:val="640"/>
          <w:marRight w:val="0"/>
          <w:marTop w:val="0"/>
          <w:marBottom w:val="0"/>
          <w:divBdr>
            <w:top w:val="none" w:sz="0" w:space="0" w:color="auto"/>
            <w:left w:val="none" w:sz="0" w:space="0" w:color="auto"/>
            <w:bottom w:val="none" w:sz="0" w:space="0" w:color="auto"/>
            <w:right w:val="none" w:sz="0" w:space="0" w:color="auto"/>
          </w:divBdr>
        </w:div>
        <w:div w:id="889457176">
          <w:marLeft w:val="640"/>
          <w:marRight w:val="0"/>
          <w:marTop w:val="0"/>
          <w:marBottom w:val="0"/>
          <w:divBdr>
            <w:top w:val="none" w:sz="0" w:space="0" w:color="auto"/>
            <w:left w:val="none" w:sz="0" w:space="0" w:color="auto"/>
            <w:bottom w:val="none" w:sz="0" w:space="0" w:color="auto"/>
            <w:right w:val="none" w:sz="0" w:space="0" w:color="auto"/>
          </w:divBdr>
        </w:div>
        <w:div w:id="1926111745">
          <w:marLeft w:val="640"/>
          <w:marRight w:val="0"/>
          <w:marTop w:val="0"/>
          <w:marBottom w:val="0"/>
          <w:divBdr>
            <w:top w:val="none" w:sz="0" w:space="0" w:color="auto"/>
            <w:left w:val="none" w:sz="0" w:space="0" w:color="auto"/>
            <w:bottom w:val="none" w:sz="0" w:space="0" w:color="auto"/>
            <w:right w:val="none" w:sz="0" w:space="0" w:color="auto"/>
          </w:divBdr>
        </w:div>
        <w:div w:id="664666576">
          <w:marLeft w:val="640"/>
          <w:marRight w:val="0"/>
          <w:marTop w:val="0"/>
          <w:marBottom w:val="0"/>
          <w:divBdr>
            <w:top w:val="none" w:sz="0" w:space="0" w:color="auto"/>
            <w:left w:val="none" w:sz="0" w:space="0" w:color="auto"/>
            <w:bottom w:val="none" w:sz="0" w:space="0" w:color="auto"/>
            <w:right w:val="none" w:sz="0" w:space="0" w:color="auto"/>
          </w:divBdr>
        </w:div>
        <w:div w:id="1652367970">
          <w:marLeft w:val="640"/>
          <w:marRight w:val="0"/>
          <w:marTop w:val="0"/>
          <w:marBottom w:val="0"/>
          <w:divBdr>
            <w:top w:val="none" w:sz="0" w:space="0" w:color="auto"/>
            <w:left w:val="none" w:sz="0" w:space="0" w:color="auto"/>
            <w:bottom w:val="none" w:sz="0" w:space="0" w:color="auto"/>
            <w:right w:val="none" w:sz="0" w:space="0" w:color="auto"/>
          </w:divBdr>
        </w:div>
        <w:div w:id="251403615">
          <w:marLeft w:val="640"/>
          <w:marRight w:val="0"/>
          <w:marTop w:val="0"/>
          <w:marBottom w:val="0"/>
          <w:divBdr>
            <w:top w:val="none" w:sz="0" w:space="0" w:color="auto"/>
            <w:left w:val="none" w:sz="0" w:space="0" w:color="auto"/>
            <w:bottom w:val="none" w:sz="0" w:space="0" w:color="auto"/>
            <w:right w:val="none" w:sz="0" w:space="0" w:color="auto"/>
          </w:divBdr>
        </w:div>
        <w:div w:id="459570800">
          <w:marLeft w:val="640"/>
          <w:marRight w:val="0"/>
          <w:marTop w:val="0"/>
          <w:marBottom w:val="0"/>
          <w:divBdr>
            <w:top w:val="none" w:sz="0" w:space="0" w:color="auto"/>
            <w:left w:val="none" w:sz="0" w:space="0" w:color="auto"/>
            <w:bottom w:val="none" w:sz="0" w:space="0" w:color="auto"/>
            <w:right w:val="none" w:sz="0" w:space="0" w:color="auto"/>
          </w:divBdr>
        </w:div>
        <w:div w:id="904997605">
          <w:marLeft w:val="640"/>
          <w:marRight w:val="0"/>
          <w:marTop w:val="0"/>
          <w:marBottom w:val="0"/>
          <w:divBdr>
            <w:top w:val="none" w:sz="0" w:space="0" w:color="auto"/>
            <w:left w:val="none" w:sz="0" w:space="0" w:color="auto"/>
            <w:bottom w:val="none" w:sz="0" w:space="0" w:color="auto"/>
            <w:right w:val="none" w:sz="0" w:space="0" w:color="auto"/>
          </w:divBdr>
        </w:div>
        <w:div w:id="1460880660">
          <w:marLeft w:val="640"/>
          <w:marRight w:val="0"/>
          <w:marTop w:val="0"/>
          <w:marBottom w:val="0"/>
          <w:divBdr>
            <w:top w:val="none" w:sz="0" w:space="0" w:color="auto"/>
            <w:left w:val="none" w:sz="0" w:space="0" w:color="auto"/>
            <w:bottom w:val="none" w:sz="0" w:space="0" w:color="auto"/>
            <w:right w:val="none" w:sz="0" w:space="0" w:color="auto"/>
          </w:divBdr>
        </w:div>
        <w:div w:id="1663776268">
          <w:marLeft w:val="640"/>
          <w:marRight w:val="0"/>
          <w:marTop w:val="0"/>
          <w:marBottom w:val="0"/>
          <w:divBdr>
            <w:top w:val="none" w:sz="0" w:space="0" w:color="auto"/>
            <w:left w:val="none" w:sz="0" w:space="0" w:color="auto"/>
            <w:bottom w:val="none" w:sz="0" w:space="0" w:color="auto"/>
            <w:right w:val="none" w:sz="0" w:space="0" w:color="auto"/>
          </w:divBdr>
        </w:div>
        <w:div w:id="608241429">
          <w:marLeft w:val="640"/>
          <w:marRight w:val="0"/>
          <w:marTop w:val="0"/>
          <w:marBottom w:val="0"/>
          <w:divBdr>
            <w:top w:val="none" w:sz="0" w:space="0" w:color="auto"/>
            <w:left w:val="none" w:sz="0" w:space="0" w:color="auto"/>
            <w:bottom w:val="none" w:sz="0" w:space="0" w:color="auto"/>
            <w:right w:val="none" w:sz="0" w:space="0" w:color="auto"/>
          </w:divBdr>
        </w:div>
        <w:div w:id="1863780795">
          <w:marLeft w:val="640"/>
          <w:marRight w:val="0"/>
          <w:marTop w:val="0"/>
          <w:marBottom w:val="0"/>
          <w:divBdr>
            <w:top w:val="none" w:sz="0" w:space="0" w:color="auto"/>
            <w:left w:val="none" w:sz="0" w:space="0" w:color="auto"/>
            <w:bottom w:val="none" w:sz="0" w:space="0" w:color="auto"/>
            <w:right w:val="none" w:sz="0" w:space="0" w:color="auto"/>
          </w:divBdr>
        </w:div>
        <w:div w:id="2113699204">
          <w:marLeft w:val="640"/>
          <w:marRight w:val="0"/>
          <w:marTop w:val="0"/>
          <w:marBottom w:val="0"/>
          <w:divBdr>
            <w:top w:val="none" w:sz="0" w:space="0" w:color="auto"/>
            <w:left w:val="none" w:sz="0" w:space="0" w:color="auto"/>
            <w:bottom w:val="none" w:sz="0" w:space="0" w:color="auto"/>
            <w:right w:val="none" w:sz="0" w:space="0" w:color="auto"/>
          </w:divBdr>
        </w:div>
        <w:div w:id="1012418696">
          <w:marLeft w:val="640"/>
          <w:marRight w:val="0"/>
          <w:marTop w:val="0"/>
          <w:marBottom w:val="0"/>
          <w:divBdr>
            <w:top w:val="none" w:sz="0" w:space="0" w:color="auto"/>
            <w:left w:val="none" w:sz="0" w:space="0" w:color="auto"/>
            <w:bottom w:val="none" w:sz="0" w:space="0" w:color="auto"/>
            <w:right w:val="none" w:sz="0" w:space="0" w:color="auto"/>
          </w:divBdr>
        </w:div>
        <w:div w:id="941841119">
          <w:marLeft w:val="640"/>
          <w:marRight w:val="0"/>
          <w:marTop w:val="0"/>
          <w:marBottom w:val="0"/>
          <w:divBdr>
            <w:top w:val="none" w:sz="0" w:space="0" w:color="auto"/>
            <w:left w:val="none" w:sz="0" w:space="0" w:color="auto"/>
            <w:bottom w:val="none" w:sz="0" w:space="0" w:color="auto"/>
            <w:right w:val="none" w:sz="0" w:space="0" w:color="auto"/>
          </w:divBdr>
        </w:div>
        <w:div w:id="1962149840">
          <w:marLeft w:val="640"/>
          <w:marRight w:val="0"/>
          <w:marTop w:val="0"/>
          <w:marBottom w:val="0"/>
          <w:divBdr>
            <w:top w:val="none" w:sz="0" w:space="0" w:color="auto"/>
            <w:left w:val="none" w:sz="0" w:space="0" w:color="auto"/>
            <w:bottom w:val="none" w:sz="0" w:space="0" w:color="auto"/>
            <w:right w:val="none" w:sz="0" w:space="0" w:color="auto"/>
          </w:divBdr>
        </w:div>
        <w:div w:id="2044092851">
          <w:marLeft w:val="640"/>
          <w:marRight w:val="0"/>
          <w:marTop w:val="0"/>
          <w:marBottom w:val="0"/>
          <w:divBdr>
            <w:top w:val="none" w:sz="0" w:space="0" w:color="auto"/>
            <w:left w:val="none" w:sz="0" w:space="0" w:color="auto"/>
            <w:bottom w:val="none" w:sz="0" w:space="0" w:color="auto"/>
            <w:right w:val="none" w:sz="0" w:space="0" w:color="auto"/>
          </w:divBdr>
        </w:div>
        <w:div w:id="1546719899">
          <w:marLeft w:val="640"/>
          <w:marRight w:val="0"/>
          <w:marTop w:val="0"/>
          <w:marBottom w:val="0"/>
          <w:divBdr>
            <w:top w:val="none" w:sz="0" w:space="0" w:color="auto"/>
            <w:left w:val="none" w:sz="0" w:space="0" w:color="auto"/>
            <w:bottom w:val="none" w:sz="0" w:space="0" w:color="auto"/>
            <w:right w:val="none" w:sz="0" w:space="0" w:color="auto"/>
          </w:divBdr>
        </w:div>
        <w:div w:id="672411327">
          <w:marLeft w:val="640"/>
          <w:marRight w:val="0"/>
          <w:marTop w:val="0"/>
          <w:marBottom w:val="0"/>
          <w:divBdr>
            <w:top w:val="none" w:sz="0" w:space="0" w:color="auto"/>
            <w:left w:val="none" w:sz="0" w:space="0" w:color="auto"/>
            <w:bottom w:val="none" w:sz="0" w:space="0" w:color="auto"/>
            <w:right w:val="none" w:sz="0" w:space="0" w:color="auto"/>
          </w:divBdr>
        </w:div>
        <w:div w:id="1817717565">
          <w:marLeft w:val="640"/>
          <w:marRight w:val="0"/>
          <w:marTop w:val="0"/>
          <w:marBottom w:val="0"/>
          <w:divBdr>
            <w:top w:val="none" w:sz="0" w:space="0" w:color="auto"/>
            <w:left w:val="none" w:sz="0" w:space="0" w:color="auto"/>
            <w:bottom w:val="none" w:sz="0" w:space="0" w:color="auto"/>
            <w:right w:val="none" w:sz="0" w:space="0" w:color="auto"/>
          </w:divBdr>
        </w:div>
        <w:div w:id="1268344688">
          <w:marLeft w:val="640"/>
          <w:marRight w:val="0"/>
          <w:marTop w:val="0"/>
          <w:marBottom w:val="0"/>
          <w:divBdr>
            <w:top w:val="none" w:sz="0" w:space="0" w:color="auto"/>
            <w:left w:val="none" w:sz="0" w:space="0" w:color="auto"/>
            <w:bottom w:val="none" w:sz="0" w:space="0" w:color="auto"/>
            <w:right w:val="none" w:sz="0" w:space="0" w:color="auto"/>
          </w:divBdr>
        </w:div>
        <w:div w:id="72053146">
          <w:marLeft w:val="640"/>
          <w:marRight w:val="0"/>
          <w:marTop w:val="0"/>
          <w:marBottom w:val="0"/>
          <w:divBdr>
            <w:top w:val="none" w:sz="0" w:space="0" w:color="auto"/>
            <w:left w:val="none" w:sz="0" w:space="0" w:color="auto"/>
            <w:bottom w:val="none" w:sz="0" w:space="0" w:color="auto"/>
            <w:right w:val="none" w:sz="0" w:space="0" w:color="auto"/>
          </w:divBdr>
        </w:div>
        <w:div w:id="348724776">
          <w:marLeft w:val="640"/>
          <w:marRight w:val="0"/>
          <w:marTop w:val="0"/>
          <w:marBottom w:val="0"/>
          <w:divBdr>
            <w:top w:val="none" w:sz="0" w:space="0" w:color="auto"/>
            <w:left w:val="none" w:sz="0" w:space="0" w:color="auto"/>
            <w:bottom w:val="none" w:sz="0" w:space="0" w:color="auto"/>
            <w:right w:val="none" w:sz="0" w:space="0" w:color="auto"/>
          </w:divBdr>
        </w:div>
        <w:div w:id="659651466">
          <w:marLeft w:val="640"/>
          <w:marRight w:val="0"/>
          <w:marTop w:val="0"/>
          <w:marBottom w:val="0"/>
          <w:divBdr>
            <w:top w:val="none" w:sz="0" w:space="0" w:color="auto"/>
            <w:left w:val="none" w:sz="0" w:space="0" w:color="auto"/>
            <w:bottom w:val="none" w:sz="0" w:space="0" w:color="auto"/>
            <w:right w:val="none" w:sz="0" w:space="0" w:color="auto"/>
          </w:divBdr>
        </w:div>
        <w:div w:id="623849219">
          <w:marLeft w:val="640"/>
          <w:marRight w:val="0"/>
          <w:marTop w:val="0"/>
          <w:marBottom w:val="0"/>
          <w:divBdr>
            <w:top w:val="none" w:sz="0" w:space="0" w:color="auto"/>
            <w:left w:val="none" w:sz="0" w:space="0" w:color="auto"/>
            <w:bottom w:val="none" w:sz="0" w:space="0" w:color="auto"/>
            <w:right w:val="none" w:sz="0" w:space="0" w:color="auto"/>
          </w:divBdr>
        </w:div>
        <w:div w:id="654843951">
          <w:marLeft w:val="640"/>
          <w:marRight w:val="0"/>
          <w:marTop w:val="0"/>
          <w:marBottom w:val="0"/>
          <w:divBdr>
            <w:top w:val="none" w:sz="0" w:space="0" w:color="auto"/>
            <w:left w:val="none" w:sz="0" w:space="0" w:color="auto"/>
            <w:bottom w:val="none" w:sz="0" w:space="0" w:color="auto"/>
            <w:right w:val="none" w:sz="0" w:space="0" w:color="auto"/>
          </w:divBdr>
        </w:div>
        <w:div w:id="584532386">
          <w:marLeft w:val="640"/>
          <w:marRight w:val="0"/>
          <w:marTop w:val="0"/>
          <w:marBottom w:val="0"/>
          <w:divBdr>
            <w:top w:val="none" w:sz="0" w:space="0" w:color="auto"/>
            <w:left w:val="none" w:sz="0" w:space="0" w:color="auto"/>
            <w:bottom w:val="none" w:sz="0" w:space="0" w:color="auto"/>
            <w:right w:val="none" w:sz="0" w:space="0" w:color="auto"/>
          </w:divBdr>
        </w:div>
        <w:div w:id="1740714869">
          <w:marLeft w:val="640"/>
          <w:marRight w:val="0"/>
          <w:marTop w:val="0"/>
          <w:marBottom w:val="0"/>
          <w:divBdr>
            <w:top w:val="none" w:sz="0" w:space="0" w:color="auto"/>
            <w:left w:val="none" w:sz="0" w:space="0" w:color="auto"/>
            <w:bottom w:val="none" w:sz="0" w:space="0" w:color="auto"/>
            <w:right w:val="none" w:sz="0" w:space="0" w:color="auto"/>
          </w:divBdr>
        </w:div>
        <w:div w:id="1699694882">
          <w:marLeft w:val="640"/>
          <w:marRight w:val="0"/>
          <w:marTop w:val="0"/>
          <w:marBottom w:val="0"/>
          <w:divBdr>
            <w:top w:val="none" w:sz="0" w:space="0" w:color="auto"/>
            <w:left w:val="none" w:sz="0" w:space="0" w:color="auto"/>
            <w:bottom w:val="none" w:sz="0" w:space="0" w:color="auto"/>
            <w:right w:val="none" w:sz="0" w:space="0" w:color="auto"/>
          </w:divBdr>
        </w:div>
        <w:div w:id="797993610">
          <w:marLeft w:val="640"/>
          <w:marRight w:val="0"/>
          <w:marTop w:val="0"/>
          <w:marBottom w:val="0"/>
          <w:divBdr>
            <w:top w:val="none" w:sz="0" w:space="0" w:color="auto"/>
            <w:left w:val="none" w:sz="0" w:space="0" w:color="auto"/>
            <w:bottom w:val="none" w:sz="0" w:space="0" w:color="auto"/>
            <w:right w:val="none" w:sz="0" w:space="0" w:color="auto"/>
          </w:divBdr>
        </w:div>
        <w:div w:id="1391615750">
          <w:marLeft w:val="640"/>
          <w:marRight w:val="0"/>
          <w:marTop w:val="0"/>
          <w:marBottom w:val="0"/>
          <w:divBdr>
            <w:top w:val="none" w:sz="0" w:space="0" w:color="auto"/>
            <w:left w:val="none" w:sz="0" w:space="0" w:color="auto"/>
            <w:bottom w:val="none" w:sz="0" w:space="0" w:color="auto"/>
            <w:right w:val="none" w:sz="0" w:space="0" w:color="auto"/>
          </w:divBdr>
        </w:div>
        <w:div w:id="574555951">
          <w:marLeft w:val="640"/>
          <w:marRight w:val="0"/>
          <w:marTop w:val="0"/>
          <w:marBottom w:val="0"/>
          <w:divBdr>
            <w:top w:val="none" w:sz="0" w:space="0" w:color="auto"/>
            <w:left w:val="none" w:sz="0" w:space="0" w:color="auto"/>
            <w:bottom w:val="none" w:sz="0" w:space="0" w:color="auto"/>
            <w:right w:val="none" w:sz="0" w:space="0" w:color="auto"/>
          </w:divBdr>
        </w:div>
        <w:div w:id="829102541">
          <w:marLeft w:val="640"/>
          <w:marRight w:val="0"/>
          <w:marTop w:val="0"/>
          <w:marBottom w:val="0"/>
          <w:divBdr>
            <w:top w:val="none" w:sz="0" w:space="0" w:color="auto"/>
            <w:left w:val="none" w:sz="0" w:space="0" w:color="auto"/>
            <w:bottom w:val="none" w:sz="0" w:space="0" w:color="auto"/>
            <w:right w:val="none" w:sz="0" w:space="0" w:color="auto"/>
          </w:divBdr>
        </w:div>
        <w:div w:id="622005626">
          <w:marLeft w:val="640"/>
          <w:marRight w:val="0"/>
          <w:marTop w:val="0"/>
          <w:marBottom w:val="0"/>
          <w:divBdr>
            <w:top w:val="none" w:sz="0" w:space="0" w:color="auto"/>
            <w:left w:val="none" w:sz="0" w:space="0" w:color="auto"/>
            <w:bottom w:val="none" w:sz="0" w:space="0" w:color="auto"/>
            <w:right w:val="none" w:sz="0" w:space="0" w:color="auto"/>
          </w:divBdr>
        </w:div>
        <w:div w:id="241334656">
          <w:marLeft w:val="640"/>
          <w:marRight w:val="0"/>
          <w:marTop w:val="0"/>
          <w:marBottom w:val="0"/>
          <w:divBdr>
            <w:top w:val="none" w:sz="0" w:space="0" w:color="auto"/>
            <w:left w:val="none" w:sz="0" w:space="0" w:color="auto"/>
            <w:bottom w:val="none" w:sz="0" w:space="0" w:color="auto"/>
            <w:right w:val="none" w:sz="0" w:space="0" w:color="auto"/>
          </w:divBdr>
        </w:div>
        <w:div w:id="345787719">
          <w:marLeft w:val="640"/>
          <w:marRight w:val="0"/>
          <w:marTop w:val="0"/>
          <w:marBottom w:val="0"/>
          <w:divBdr>
            <w:top w:val="none" w:sz="0" w:space="0" w:color="auto"/>
            <w:left w:val="none" w:sz="0" w:space="0" w:color="auto"/>
            <w:bottom w:val="none" w:sz="0" w:space="0" w:color="auto"/>
            <w:right w:val="none" w:sz="0" w:space="0" w:color="auto"/>
          </w:divBdr>
        </w:div>
        <w:div w:id="1190529901">
          <w:marLeft w:val="640"/>
          <w:marRight w:val="0"/>
          <w:marTop w:val="0"/>
          <w:marBottom w:val="0"/>
          <w:divBdr>
            <w:top w:val="none" w:sz="0" w:space="0" w:color="auto"/>
            <w:left w:val="none" w:sz="0" w:space="0" w:color="auto"/>
            <w:bottom w:val="none" w:sz="0" w:space="0" w:color="auto"/>
            <w:right w:val="none" w:sz="0" w:space="0" w:color="auto"/>
          </w:divBdr>
        </w:div>
        <w:div w:id="1103381269">
          <w:marLeft w:val="640"/>
          <w:marRight w:val="0"/>
          <w:marTop w:val="0"/>
          <w:marBottom w:val="0"/>
          <w:divBdr>
            <w:top w:val="none" w:sz="0" w:space="0" w:color="auto"/>
            <w:left w:val="none" w:sz="0" w:space="0" w:color="auto"/>
            <w:bottom w:val="none" w:sz="0" w:space="0" w:color="auto"/>
            <w:right w:val="none" w:sz="0" w:space="0" w:color="auto"/>
          </w:divBdr>
        </w:div>
        <w:div w:id="764963547">
          <w:marLeft w:val="640"/>
          <w:marRight w:val="0"/>
          <w:marTop w:val="0"/>
          <w:marBottom w:val="0"/>
          <w:divBdr>
            <w:top w:val="none" w:sz="0" w:space="0" w:color="auto"/>
            <w:left w:val="none" w:sz="0" w:space="0" w:color="auto"/>
            <w:bottom w:val="none" w:sz="0" w:space="0" w:color="auto"/>
            <w:right w:val="none" w:sz="0" w:space="0" w:color="auto"/>
          </w:divBdr>
        </w:div>
        <w:div w:id="1687057058">
          <w:marLeft w:val="640"/>
          <w:marRight w:val="0"/>
          <w:marTop w:val="0"/>
          <w:marBottom w:val="0"/>
          <w:divBdr>
            <w:top w:val="none" w:sz="0" w:space="0" w:color="auto"/>
            <w:left w:val="none" w:sz="0" w:space="0" w:color="auto"/>
            <w:bottom w:val="none" w:sz="0" w:space="0" w:color="auto"/>
            <w:right w:val="none" w:sz="0" w:space="0" w:color="auto"/>
          </w:divBdr>
        </w:div>
        <w:div w:id="229729370">
          <w:marLeft w:val="640"/>
          <w:marRight w:val="0"/>
          <w:marTop w:val="0"/>
          <w:marBottom w:val="0"/>
          <w:divBdr>
            <w:top w:val="none" w:sz="0" w:space="0" w:color="auto"/>
            <w:left w:val="none" w:sz="0" w:space="0" w:color="auto"/>
            <w:bottom w:val="none" w:sz="0" w:space="0" w:color="auto"/>
            <w:right w:val="none" w:sz="0" w:space="0" w:color="auto"/>
          </w:divBdr>
        </w:div>
        <w:div w:id="1857303668">
          <w:marLeft w:val="640"/>
          <w:marRight w:val="0"/>
          <w:marTop w:val="0"/>
          <w:marBottom w:val="0"/>
          <w:divBdr>
            <w:top w:val="none" w:sz="0" w:space="0" w:color="auto"/>
            <w:left w:val="none" w:sz="0" w:space="0" w:color="auto"/>
            <w:bottom w:val="none" w:sz="0" w:space="0" w:color="auto"/>
            <w:right w:val="none" w:sz="0" w:space="0" w:color="auto"/>
          </w:divBdr>
        </w:div>
        <w:div w:id="1796436983">
          <w:marLeft w:val="640"/>
          <w:marRight w:val="0"/>
          <w:marTop w:val="0"/>
          <w:marBottom w:val="0"/>
          <w:divBdr>
            <w:top w:val="none" w:sz="0" w:space="0" w:color="auto"/>
            <w:left w:val="none" w:sz="0" w:space="0" w:color="auto"/>
            <w:bottom w:val="none" w:sz="0" w:space="0" w:color="auto"/>
            <w:right w:val="none" w:sz="0" w:space="0" w:color="auto"/>
          </w:divBdr>
        </w:div>
        <w:div w:id="1062825304">
          <w:marLeft w:val="640"/>
          <w:marRight w:val="0"/>
          <w:marTop w:val="0"/>
          <w:marBottom w:val="0"/>
          <w:divBdr>
            <w:top w:val="none" w:sz="0" w:space="0" w:color="auto"/>
            <w:left w:val="none" w:sz="0" w:space="0" w:color="auto"/>
            <w:bottom w:val="none" w:sz="0" w:space="0" w:color="auto"/>
            <w:right w:val="none" w:sz="0" w:space="0" w:color="auto"/>
          </w:divBdr>
        </w:div>
        <w:div w:id="812913297">
          <w:marLeft w:val="640"/>
          <w:marRight w:val="0"/>
          <w:marTop w:val="0"/>
          <w:marBottom w:val="0"/>
          <w:divBdr>
            <w:top w:val="none" w:sz="0" w:space="0" w:color="auto"/>
            <w:left w:val="none" w:sz="0" w:space="0" w:color="auto"/>
            <w:bottom w:val="none" w:sz="0" w:space="0" w:color="auto"/>
            <w:right w:val="none" w:sz="0" w:space="0" w:color="auto"/>
          </w:divBdr>
        </w:div>
        <w:div w:id="127212203">
          <w:marLeft w:val="640"/>
          <w:marRight w:val="0"/>
          <w:marTop w:val="0"/>
          <w:marBottom w:val="0"/>
          <w:divBdr>
            <w:top w:val="none" w:sz="0" w:space="0" w:color="auto"/>
            <w:left w:val="none" w:sz="0" w:space="0" w:color="auto"/>
            <w:bottom w:val="none" w:sz="0" w:space="0" w:color="auto"/>
            <w:right w:val="none" w:sz="0" w:space="0" w:color="auto"/>
          </w:divBdr>
        </w:div>
        <w:div w:id="620839267">
          <w:marLeft w:val="640"/>
          <w:marRight w:val="0"/>
          <w:marTop w:val="0"/>
          <w:marBottom w:val="0"/>
          <w:divBdr>
            <w:top w:val="none" w:sz="0" w:space="0" w:color="auto"/>
            <w:left w:val="none" w:sz="0" w:space="0" w:color="auto"/>
            <w:bottom w:val="none" w:sz="0" w:space="0" w:color="auto"/>
            <w:right w:val="none" w:sz="0" w:space="0" w:color="auto"/>
          </w:divBdr>
        </w:div>
        <w:div w:id="1199781275">
          <w:marLeft w:val="640"/>
          <w:marRight w:val="0"/>
          <w:marTop w:val="0"/>
          <w:marBottom w:val="0"/>
          <w:divBdr>
            <w:top w:val="none" w:sz="0" w:space="0" w:color="auto"/>
            <w:left w:val="none" w:sz="0" w:space="0" w:color="auto"/>
            <w:bottom w:val="none" w:sz="0" w:space="0" w:color="auto"/>
            <w:right w:val="none" w:sz="0" w:space="0" w:color="auto"/>
          </w:divBdr>
        </w:div>
        <w:div w:id="493254221">
          <w:marLeft w:val="640"/>
          <w:marRight w:val="0"/>
          <w:marTop w:val="0"/>
          <w:marBottom w:val="0"/>
          <w:divBdr>
            <w:top w:val="none" w:sz="0" w:space="0" w:color="auto"/>
            <w:left w:val="none" w:sz="0" w:space="0" w:color="auto"/>
            <w:bottom w:val="none" w:sz="0" w:space="0" w:color="auto"/>
            <w:right w:val="none" w:sz="0" w:space="0" w:color="auto"/>
          </w:divBdr>
        </w:div>
        <w:div w:id="1294364739">
          <w:marLeft w:val="640"/>
          <w:marRight w:val="0"/>
          <w:marTop w:val="0"/>
          <w:marBottom w:val="0"/>
          <w:divBdr>
            <w:top w:val="none" w:sz="0" w:space="0" w:color="auto"/>
            <w:left w:val="none" w:sz="0" w:space="0" w:color="auto"/>
            <w:bottom w:val="none" w:sz="0" w:space="0" w:color="auto"/>
            <w:right w:val="none" w:sz="0" w:space="0" w:color="auto"/>
          </w:divBdr>
        </w:div>
        <w:div w:id="578708675">
          <w:marLeft w:val="640"/>
          <w:marRight w:val="0"/>
          <w:marTop w:val="0"/>
          <w:marBottom w:val="0"/>
          <w:divBdr>
            <w:top w:val="none" w:sz="0" w:space="0" w:color="auto"/>
            <w:left w:val="none" w:sz="0" w:space="0" w:color="auto"/>
            <w:bottom w:val="none" w:sz="0" w:space="0" w:color="auto"/>
            <w:right w:val="none" w:sz="0" w:space="0" w:color="auto"/>
          </w:divBdr>
        </w:div>
        <w:div w:id="2043482091">
          <w:marLeft w:val="640"/>
          <w:marRight w:val="0"/>
          <w:marTop w:val="0"/>
          <w:marBottom w:val="0"/>
          <w:divBdr>
            <w:top w:val="none" w:sz="0" w:space="0" w:color="auto"/>
            <w:left w:val="none" w:sz="0" w:space="0" w:color="auto"/>
            <w:bottom w:val="none" w:sz="0" w:space="0" w:color="auto"/>
            <w:right w:val="none" w:sz="0" w:space="0" w:color="auto"/>
          </w:divBdr>
        </w:div>
        <w:div w:id="1619674931">
          <w:marLeft w:val="640"/>
          <w:marRight w:val="0"/>
          <w:marTop w:val="0"/>
          <w:marBottom w:val="0"/>
          <w:divBdr>
            <w:top w:val="none" w:sz="0" w:space="0" w:color="auto"/>
            <w:left w:val="none" w:sz="0" w:space="0" w:color="auto"/>
            <w:bottom w:val="none" w:sz="0" w:space="0" w:color="auto"/>
            <w:right w:val="none" w:sz="0" w:space="0" w:color="auto"/>
          </w:divBdr>
        </w:div>
        <w:div w:id="601112465">
          <w:marLeft w:val="640"/>
          <w:marRight w:val="0"/>
          <w:marTop w:val="0"/>
          <w:marBottom w:val="0"/>
          <w:divBdr>
            <w:top w:val="none" w:sz="0" w:space="0" w:color="auto"/>
            <w:left w:val="none" w:sz="0" w:space="0" w:color="auto"/>
            <w:bottom w:val="none" w:sz="0" w:space="0" w:color="auto"/>
            <w:right w:val="none" w:sz="0" w:space="0" w:color="auto"/>
          </w:divBdr>
        </w:div>
        <w:div w:id="309139956">
          <w:marLeft w:val="640"/>
          <w:marRight w:val="0"/>
          <w:marTop w:val="0"/>
          <w:marBottom w:val="0"/>
          <w:divBdr>
            <w:top w:val="none" w:sz="0" w:space="0" w:color="auto"/>
            <w:left w:val="none" w:sz="0" w:space="0" w:color="auto"/>
            <w:bottom w:val="none" w:sz="0" w:space="0" w:color="auto"/>
            <w:right w:val="none" w:sz="0" w:space="0" w:color="auto"/>
          </w:divBdr>
        </w:div>
        <w:div w:id="1522865114">
          <w:marLeft w:val="640"/>
          <w:marRight w:val="0"/>
          <w:marTop w:val="0"/>
          <w:marBottom w:val="0"/>
          <w:divBdr>
            <w:top w:val="none" w:sz="0" w:space="0" w:color="auto"/>
            <w:left w:val="none" w:sz="0" w:space="0" w:color="auto"/>
            <w:bottom w:val="none" w:sz="0" w:space="0" w:color="auto"/>
            <w:right w:val="none" w:sz="0" w:space="0" w:color="auto"/>
          </w:divBdr>
        </w:div>
        <w:div w:id="214893864">
          <w:marLeft w:val="640"/>
          <w:marRight w:val="0"/>
          <w:marTop w:val="0"/>
          <w:marBottom w:val="0"/>
          <w:divBdr>
            <w:top w:val="none" w:sz="0" w:space="0" w:color="auto"/>
            <w:left w:val="none" w:sz="0" w:space="0" w:color="auto"/>
            <w:bottom w:val="none" w:sz="0" w:space="0" w:color="auto"/>
            <w:right w:val="none" w:sz="0" w:space="0" w:color="auto"/>
          </w:divBdr>
        </w:div>
        <w:div w:id="1690639563">
          <w:marLeft w:val="640"/>
          <w:marRight w:val="0"/>
          <w:marTop w:val="0"/>
          <w:marBottom w:val="0"/>
          <w:divBdr>
            <w:top w:val="none" w:sz="0" w:space="0" w:color="auto"/>
            <w:left w:val="none" w:sz="0" w:space="0" w:color="auto"/>
            <w:bottom w:val="none" w:sz="0" w:space="0" w:color="auto"/>
            <w:right w:val="none" w:sz="0" w:space="0" w:color="auto"/>
          </w:divBdr>
        </w:div>
        <w:div w:id="2141921563">
          <w:marLeft w:val="640"/>
          <w:marRight w:val="0"/>
          <w:marTop w:val="0"/>
          <w:marBottom w:val="0"/>
          <w:divBdr>
            <w:top w:val="none" w:sz="0" w:space="0" w:color="auto"/>
            <w:left w:val="none" w:sz="0" w:space="0" w:color="auto"/>
            <w:bottom w:val="none" w:sz="0" w:space="0" w:color="auto"/>
            <w:right w:val="none" w:sz="0" w:space="0" w:color="auto"/>
          </w:divBdr>
        </w:div>
        <w:div w:id="91825886">
          <w:marLeft w:val="640"/>
          <w:marRight w:val="0"/>
          <w:marTop w:val="0"/>
          <w:marBottom w:val="0"/>
          <w:divBdr>
            <w:top w:val="none" w:sz="0" w:space="0" w:color="auto"/>
            <w:left w:val="none" w:sz="0" w:space="0" w:color="auto"/>
            <w:bottom w:val="none" w:sz="0" w:space="0" w:color="auto"/>
            <w:right w:val="none" w:sz="0" w:space="0" w:color="auto"/>
          </w:divBdr>
        </w:div>
        <w:div w:id="986977394">
          <w:marLeft w:val="640"/>
          <w:marRight w:val="0"/>
          <w:marTop w:val="0"/>
          <w:marBottom w:val="0"/>
          <w:divBdr>
            <w:top w:val="none" w:sz="0" w:space="0" w:color="auto"/>
            <w:left w:val="none" w:sz="0" w:space="0" w:color="auto"/>
            <w:bottom w:val="none" w:sz="0" w:space="0" w:color="auto"/>
            <w:right w:val="none" w:sz="0" w:space="0" w:color="auto"/>
          </w:divBdr>
        </w:div>
        <w:div w:id="473526994">
          <w:marLeft w:val="640"/>
          <w:marRight w:val="0"/>
          <w:marTop w:val="0"/>
          <w:marBottom w:val="0"/>
          <w:divBdr>
            <w:top w:val="none" w:sz="0" w:space="0" w:color="auto"/>
            <w:left w:val="none" w:sz="0" w:space="0" w:color="auto"/>
            <w:bottom w:val="none" w:sz="0" w:space="0" w:color="auto"/>
            <w:right w:val="none" w:sz="0" w:space="0" w:color="auto"/>
          </w:divBdr>
        </w:div>
        <w:div w:id="1418137097">
          <w:marLeft w:val="640"/>
          <w:marRight w:val="0"/>
          <w:marTop w:val="0"/>
          <w:marBottom w:val="0"/>
          <w:divBdr>
            <w:top w:val="none" w:sz="0" w:space="0" w:color="auto"/>
            <w:left w:val="none" w:sz="0" w:space="0" w:color="auto"/>
            <w:bottom w:val="none" w:sz="0" w:space="0" w:color="auto"/>
            <w:right w:val="none" w:sz="0" w:space="0" w:color="auto"/>
          </w:divBdr>
        </w:div>
        <w:div w:id="966542458">
          <w:marLeft w:val="640"/>
          <w:marRight w:val="0"/>
          <w:marTop w:val="0"/>
          <w:marBottom w:val="0"/>
          <w:divBdr>
            <w:top w:val="none" w:sz="0" w:space="0" w:color="auto"/>
            <w:left w:val="none" w:sz="0" w:space="0" w:color="auto"/>
            <w:bottom w:val="none" w:sz="0" w:space="0" w:color="auto"/>
            <w:right w:val="none" w:sz="0" w:space="0" w:color="auto"/>
          </w:divBdr>
        </w:div>
        <w:div w:id="844705303">
          <w:marLeft w:val="640"/>
          <w:marRight w:val="0"/>
          <w:marTop w:val="0"/>
          <w:marBottom w:val="0"/>
          <w:divBdr>
            <w:top w:val="none" w:sz="0" w:space="0" w:color="auto"/>
            <w:left w:val="none" w:sz="0" w:space="0" w:color="auto"/>
            <w:bottom w:val="none" w:sz="0" w:space="0" w:color="auto"/>
            <w:right w:val="none" w:sz="0" w:space="0" w:color="auto"/>
          </w:divBdr>
        </w:div>
        <w:div w:id="2038121183">
          <w:marLeft w:val="640"/>
          <w:marRight w:val="0"/>
          <w:marTop w:val="0"/>
          <w:marBottom w:val="0"/>
          <w:divBdr>
            <w:top w:val="none" w:sz="0" w:space="0" w:color="auto"/>
            <w:left w:val="none" w:sz="0" w:space="0" w:color="auto"/>
            <w:bottom w:val="none" w:sz="0" w:space="0" w:color="auto"/>
            <w:right w:val="none" w:sz="0" w:space="0" w:color="auto"/>
          </w:divBdr>
        </w:div>
        <w:div w:id="1098674580">
          <w:marLeft w:val="640"/>
          <w:marRight w:val="0"/>
          <w:marTop w:val="0"/>
          <w:marBottom w:val="0"/>
          <w:divBdr>
            <w:top w:val="none" w:sz="0" w:space="0" w:color="auto"/>
            <w:left w:val="none" w:sz="0" w:space="0" w:color="auto"/>
            <w:bottom w:val="none" w:sz="0" w:space="0" w:color="auto"/>
            <w:right w:val="none" w:sz="0" w:space="0" w:color="auto"/>
          </w:divBdr>
        </w:div>
        <w:div w:id="320044184">
          <w:marLeft w:val="640"/>
          <w:marRight w:val="0"/>
          <w:marTop w:val="0"/>
          <w:marBottom w:val="0"/>
          <w:divBdr>
            <w:top w:val="none" w:sz="0" w:space="0" w:color="auto"/>
            <w:left w:val="none" w:sz="0" w:space="0" w:color="auto"/>
            <w:bottom w:val="none" w:sz="0" w:space="0" w:color="auto"/>
            <w:right w:val="none" w:sz="0" w:space="0" w:color="auto"/>
          </w:divBdr>
        </w:div>
        <w:div w:id="796336636">
          <w:marLeft w:val="640"/>
          <w:marRight w:val="0"/>
          <w:marTop w:val="0"/>
          <w:marBottom w:val="0"/>
          <w:divBdr>
            <w:top w:val="none" w:sz="0" w:space="0" w:color="auto"/>
            <w:left w:val="none" w:sz="0" w:space="0" w:color="auto"/>
            <w:bottom w:val="none" w:sz="0" w:space="0" w:color="auto"/>
            <w:right w:val="none" w:sz="0" w:space="0" w:color="auto"/>
          </w:divBdr>
        </w:div>
        <w:div w:id="194317642">
          <w:marLeft w:val="640"/>
          <w:marRight w:val="0"/>
          <w:marTop w:val="0"/>
          <w:marBottom w:val="0"/>
          <w:divBdr>
            <w:top w:val="none" w:sz="0" w:space="0" w:color="auto"/>
            <w:left w:val="none" w:sz="0" w:space="0" w:color="auto"/>
            <w:bottom w:val="none" w:sz="0" w:space="0" w:color="auto"/>
            <w:right w:val="none" w:sz="0" w:space="0" w:color="auto"/>
          </w:divBdr>
        </w:div>
        <w:div w:id="1935359551">
          <w:marLeft w:val="640"/>
          <w:marRight w:val="0"/>
          <w:marTop w:val="0"/>
          <w:marBottom w:val="0"/>
          <w:divBdr>
            <w:top w:val="none" w:sz="0" w:space="0" w:color="auto"/>
            <w:left w:val="none" w:sz="0" w:space="0" w:color="auto"/>
            <w:bottom w:val="none" w:sz="0" w:space="0" w:color="auto"/>
            <w:right w:val="none" w:sz="0" w:space="0" w:color="auto"/>
          </w:divBdr>
        </w:div>
        <w:div w:id="2068337743">
          <w:marLeft w:val="640"/>
          <w:marRight w:val="0"/>
          <w:marTop w:val="0"/>
          <w:marBottom w:val="0"/>
          <w:divBdr>
            <w:top w:val="none" w:sz="0" w:space="0" w:color="auto"/>
            <w:left w:val="none" w:sz="0" w:space="0" w:color="auto"/>
            <w:bottom w:val="none" w:sz="0" w:space="0" w:color="auto"/>
            <w:right w:val="none" w:sz="0" w:space="0" w:color="auto"/>
          </w:divBdr>
        </w:div>
        <w:div w:id="835153581">
          <w:marLeft w:val="640"/>
          <w:marRight w:val="0"/>
          <w:marTop w:val="0"/>
          <w:marBottom w:val="0"/>
          <w:divBdr>
            <w:top w:val="none" w:sz="0" w:space="0" w:color="auto"/>
            <w:left w:val="none" w:sz="0" w:space="0" w:color="auto"/>
            <w:bottom w:val="none" w:sz="0" w:space="0" w:color="auto"/>
            <w:right w:val="none" w:sz="0" w:space="0" w:color="auto"/>
          </w:divBdr>
        </w:div>
        <w:div w:id="1712531669">
          <w:marLeft w:val="640"/>
          <w:marRight w:val="0"/>
          <w:marTop w:val="0"/>
          <w:marBottom w:val="0"/>
          <w:divBdr>
            <w:top w:val="none" w:sz="0" w:space="0" w:color="auto"/>
            <w:left w:val="none" w:sz="0" w:space="0" w:color="auto"/>
            <w:bottom w:val="none" w:sz="0" w:space="0" w:color="auto"/>
            <w:right w:val="none" w:sz="0" w:space="0" w:color="auto"/>
          </w:divBdr>
        </w:div>
        <w:div w:id="1015837719">
          <w:marLeft w:val="640"/>
          <w:marRight w:val="0"/>
          <w:marTop w:val="0"/>
          <w:marBottom w:val="0"/>
          <w:divBdr>
            <w:top w:val="none" w:sz="0" w:space="0" w:color="auto"/>
            <w:left w:val="none" w:sz="0" w:space="0" w:color="auto"/>
            <w:bottom w:val="none" w:sz="0" w:space="0" w:color="auto"/>
            <w:right w:val="none" w:sz="0" w:space="0" w:color="auto"/>
          </w:divBdr>
        </w:div>
        <w:div w:id="2125417091">
          <w:marLeft w:val="640"/>
          <w:marRight w:val="0"/>
          <w:marTop w:val="0"/>
          <w:marBottom w:val="0"/>
          <w:divBdr>
            <w:top w:val="none" w:sz="0" w:space="0" w:color="auto"/>
            <w:left w:val="none" w:sz="0" w:space="0" w:color="auto"/>
            <w:bottom w:val="none" w:sz="0" w:space="0" w:color="auto"/>
            <w:right w:val="none" w:sz="0" w:space="0" w:color="auto"/>
          </w:divBdr>
        </w:div>
        <w:div w:id="73164859">
          <w:marLeft w:val="640"/>
          <w:marRight w:val="0"/>
          <w:marTop w:val="0"/>
          <w:marBottom w:val="0"/>
          <w:divBdr>
            <w:top w:val="none" w:sz="0" w:space="0" w:color="auto"/>
            <w:left w:val="none" w:sz="0" w:space="0" w:color="auto"/>
            <w:bottom w:val="none" w:sz="0" w:space="0" w:color="auto"/>
            <w:right w:val="none" w:sz="0" w:space="0" w:color="auto"/>
          </w:divBdr>
        </w:div>
        <w:div w:id="256327745">
          <w:marLeft w:val="640"/>
          <w:marRight w:val="0"/>
          <w:marTop w:val="0"/>
          <w:marBottom w:val="0"/>
          <w:divBdr>
            <w:top w:val="none" w:sz="0" w:space="0" w:color="auto"/>
            <w:left w:val="none" w:sz="0" w:space="0" w:color="auto"/>
            <w:bottom w:val="none" w:sz="0" w:space="0" w:color="auto"/>
            <w:right w:val="none" w:sz="0" w:space="0" w:color="auto"/>
          </w:divBdr>
        </w:div>
        <w:div w:id="653988882">
          <w:marLeft w:val="640"/>
          <w:marRight w:val="0"/>
          <w:marTop w:val="0"/>
          <w:marBottom w:val="0"/>
          <w:divBdr>
            <w:top w:val="none" w:sz="0" w:space="0" w:color="auto"/>
            <w:left w:val="none" w:sz="0" w:space="0" w:color="auto"/>
            <w:bottom w:val="none" w:sz="0" w:space="0" w:color="auto"/>
            <w:right w:val="none" w:sz="0" w:space="0" w:color="auto"/>
          </w:divBdr>
        </w:div>
        <w:div w:id="623656450">
          <w:marLeft w:val="640"/>
          <w:marRight w:val="0"/>
          <w:marTop w:val="0"/>
          <w:marBottom w:val="0"/>
          <w:divBdr>
            <w:top w:val="none" w:sz="0" w:space="0" w:color="auto"/>
            <w:left w:val="none" w:sz="0" w:space="0" w:color="auto"/>
            <w:bottom w:val="none" w:sz="0" w:space="0" w:color="auto"/>
            <w:right w:val="none" w:sz="0" w:space="0" w:color="auto"/>
          </w:divBdr>
        </w:div>
        <w:div w:id="1876231028">
          <w:marLeft w:val="640"/>
          <w:marRight w:val="0"/>
          <w:marTop w:val="0"/>
          <w:marBottom w:val="0"/>
          <w:divBdr>
            <w:top w:val="none" w:sz="0" w:space="0" w:color="auto"/>
            <w:left w:val="none" w:sz="0" w:space="0" w:color="auto"/>
            <w:bottom w:val="none" w:sz="0" w:space="0" w:color="auto"/>
            <w:right w:val="none" w:sz="0" w:space="0" w:color="auto"/>
          </w:divBdr>
        </w:div>
        <w:div w:id="1644891455">
          <w:marLeft w:val="640"/>
          <w:marRight w:val="0"/>
          <w:marTop w:val="0"/>
          <w:marBottom w:val="0"/>
          <w:divBdr>
            <w:top w:val="none" w:sz="0" w:space="0" w:color="auto"/>
            <w:left w:val="none" w:sz="0" w:space="0" w:color="auto"/>
            <w:bottom w:val="none" w:sz="0" w:space="0" w:color="auto"/>
            <w:right w:val="none" w:sz="0" w:space="0" w:color="auto"/>
          </w:divBdr>
        </w:div>
        <w:div w:id="241766377">
          <w:marLeft w:val="640"/>
          <w:marRight w:val="0"/>
          <w:marTop w:val="0"/>
          <w:marBottom w:val="0"/>
          <w:divBdr>
            <w:top w:val="none" w:sz="0" w:space="0" w:color="auto"/>
            <w:left w:val="none" w:sz="0" w:space="0" w:color="auto"/>
            <w:bottom w:val="none" w:sz="0" w:space="0" w:color="auto"/>
            <w:right w:val="none" w:sz="0" w:space="0" w:color="auto"/>
          </w:divBdr>
        </w:div>
      </w:divsChild>
    </w:div>
    <w:div w:id="1308589873">
      <w:bodyDiv w:val="1"/>
      <w:marLeft w:val="0"/>
      <w:marRight w:val="0"/>
      <w:marTop w:val="0"/>
      <w:marBottom w:val="0"/>
      <w:divBdr>
        <w:top w:val="none" w:sz="0" w:space="0" w:color="auto"/>
        <w:left w:val="none" w:sz="0" w:space="0" w:color="auto"/>
        <w:bottom w:val="none" w:sz="0" w:space="0" w:color="auto"/>
        <w:right w:val="none" w:sz="0" w:space="0" w:color="auto"/>
      </w:divBdr>
      <w:divsChild>
        <w:div w:id="603995577">
          <w:marLeft w:val="640"/>
          <w:marRight w:val="0"/>
          <w:marTop w:val="0"/>
          <w:marBottom w:val="0"/>
          <w:divBdr>
            <w:top w:val="none" w:sz="0" w:space="0" w:color="auto"/>
            <w:left w:val="none" w:sz="0" w:space="0" w:color="auto"/>
            <w:bottom w:val="none" w:sz="0" w:space="0" w:color="auto"/>
            <w:right w:val="none" w:sz="0" w:space="0" w:color="auto"/>
          </w:divBdr>
        </w:div>
        <w:div w:id="2012053243">
          <w:marLeft w:val="640"/>
          <w:marRight w:val="0"/>
          <w:marTop w:val="0"/>
          <w:marBottom w:val="0"/>
          <w:divBdr>
            <w:top w:val="none" w:sz="0" w:space="0" w:color="auto"/>
            <w:left w:val="none" w:sz="0" w:space="0" w:color="auto"/>
            <w:bottom w:val="none" w:sz="0" w:space="0" w:color="auto"/>
            <w:right w:val="none" w:sz="0" w:space="0" w:color="auto"/>
          </w:divBdr>
        </w:div>
        <w:div w:id="736362929">
          <w:marLeft w:val="640"/>
          <w:marRight w:val="0"/>
          <w:marTop w:val="0"/>
          <w:marBottom w:val="0"/>
          <w:divBdr>
            <w:top w:val="none" w:sz="0" w:space="0" w:color="auto"/>
            <w:left w:val="none" w:sz="0" w:space="0" w:color="auto"/>
            <w:bottom w:val="none" w:sz="0" w:space="0" w:color="auto"/>
            <w:right w:val="none" w:sz="0" w:space="0" w:color="auto"/>
          </w:divBdr>
        </w:div>
        <w:div w:id="663162256">
          <w:marLeft w:val="640"/>
          <w:marRight w:val="0"/>
          <w:marTop w:val="0"/>
          <w:marBottom w:val="0"/>
          <w:divBdr>
            <w:top w:val="none" w:sz="0" w:space="0" w:color="auto"/>
            <w:left w:val="none" w:sz="0" w:space="0" w:color="auto"/>
            <w:bottom w:val="none" w:sz="0" w:space="0" w:color="auto"/>
            <w:right w:val="none" w:sz="0" w:space="0" w:color="auto"/>
          </w:divBdr>
        </w:div>
        <w:div w:id="403652097">
          <w:marLeft w:val="640"/>
          <w:marRight w:val="0"/>
          <w:marTop w:val="0"/>
          <w:marBottom w:val="0"/>
          <w:divBdr>
            <w:top w:val="none" w:sz="0" w:space="0" w:color="auto"/>
            <w:left w:val="none" w:sz="0" w:space="0" w:color="auto"/>
            <w:bottom w:val="none" w:sz="0" w:space="0" w:color="auto"/>
            <w:right w:val="none" w:sz="0" w:space="0" w:color="auto"/>
          </w:divBdr>
        </w:div>
        <w:div w:id="611328950">
          <w:marLeft w:val="640"/>
          <w:marRight w:val="0"/>
          <w:marTop w:val="0"/>
          <w:marBottom w:val="0"/>
          <w:divBdr>
            <w:top w:val="none" w:sz="0" w:space="0" w:color="auto"/>
            <w:left w:val="none" w:sz="0" w:space="0" w:color="auto"/>
            <w:bottom w:val="none" w:sz="0" w:space="0" w:color="auto"/>
            <w:right w:val="none" w:sz="0" w:space="0" w:color="auto"/>
          </w:divBdr>
        </w:div>
        <w:div w:id="1457024541">
          <w:marLeft w:val="640"/>
          <w:marRight w:val="0"/>
          <w:marTop w:val="0"/>
          <w:marBottom w:val="0"/>
          <w:divBdr>
            <w:top w:val="none" w:sz="0" w:space="0" w:color="auto"/>
            <w:left w:val="none" w:sz="0" w:space="0" w:color="auto"/>
            <w:bottom w:val="none" w:sz="0" w:space="0" w:color="auto"/>
            <w:right w:val="none" w:sz="0" w:space="0" w:color="auto"/>
          </w:divBdr>
        </w:div>
        <w:div w:id="793720882">
          <w:marLeft w:val="640"/>
          <w:marRight w:val="0"/>
          <w:marTop w:val="0"/>
          <w:marBottom w:val="0"/>
          <w:divBdr>
            <w:top w:val="none" w:sz="0" w:space="0" w:color="auto"/>
            <w:left w:val="none" w:sz="0" w:space="0" w:color="auto"/>
            <w:bottom w:val="none" w:sz="0" w:space="0" w:color="auto"/>
            <w:right w:val="none" w:sz="0" w:space="0" w:color="auto"/>
          </w:divBdr>
        </w:div>
        <w:div w:id="603266417">
          <w:marLeft w:val="640"/>
          <w:marRight w:val="0"/>
          <w:marTop w:val="0"/>
          <w:marBottom w:val="0"/>
          <w:divBdr>
            <w:top w:val="none" w:sz="0" w:space="0" w:color="auto"/>
            <w:left w:val="none" w:sz="0" w:space="0" w:color="auto"/>
            <w:bottom w:val="none" w:sz="0" w:space="0" w:color="auto"/>
            <w:right w:val="none" w:sz="0" w:space="0" w:color="auto"/>
          </w:divBdr>
        </w:div>
        <w:div w:id="1777677168">
          <w:marLeft w:val="640"/>
          <w:marRight w:val="0"/>
          <w:marTop w:val="0"/>
          <w:marBottom w:val="0"/>
          <w:divBdr>
            <w:top w:val="none" w:sz="0" w:space="0" w:color="auto"/>
            <w:left w:val="none" w:sz="0" w:space="0" w:color="auto"/>
            <w:bottom w:val="none" w:sz="0" w:space="0" w:color="auto"/>
            <w:right w:val="none" w:sz="0" w:space="0" w:color="auto"/>
          </w:divBdr>
        </w:div>
        <w:div w:id="1694184726">
          <w:marLeft w:val="640"/>
          <w:marRight w:val="0"/>
          <w:marTop w:val="0"/>
          <w:marBottom w:val="0"/>
          <w:divBdr>
            <w:top w:val="none" w:sz="0" w:space="0" w:color="auto"/>
            <w:left w:val="none" w:sz="0" w:space="0" w:color="auto"/>
            <w:bottom w:val="none" w:sz="0" w:space="0" w:color="auto"/>
            <w:right w:val="none" w:sz="0" w:space="0" w:color="auto"/>
          </w:divBdr>
        </w:div>
        <w:div w:id="1637639094">
          <w:marLeft w:val="640"/>
          <w:marRight w:val="0"/>
          <w:marTop w:val="0"/>
          <w:marBottom w:val="0"/>
          <w:divBdr>
            <w:top w:val="none" w:sz="0" w:space="0" w:color="auto"/>
            <w:left w:val="none" w:sz="0" w:space="0" w:color="auto"/>
            <w:bottom w:val="none" w:sz="0" w:space="0" w:color="auto"/>
            <w:right w:val="none" w:sz="0" w:space="0" w:color="auto"/>
          </w:divBdr>
        </w:div>
        <w:div w:id="862135186">
          <w:marLeft w:val="640"/>
          <w:marRight w:val="0"/>
          <w:marTop w:val="0"/>
          <w:marBottom w:val="0"/>
          <w:divBdr>
            <w:top w:val="none" w:sz="0" w:space="0" w:color="auto"/>
            <w:left w:val="none" w:sz="0" w:space="0" w:color="auto"/>
            <w:bottom w:val="none" w:sz="0" w:space="0" w:color="auto"/>
            <w:right w:val="none" w:sz="0" w:space="0" w:color="auto"/>
          </w:divBdr>
        </w:div>
        <w:div w:id="869224313">
          <w:marLeft w:val="640"/>
          <w:marRight w:val="0"/>
          <w:marTop w:val="0"/>
          <w:marBottom w:val="0"/>
          <w:divBdr>
            <w:top w:val="none" w:sz="0" w:space="0" w:color="auto"/>
            <w:left w:val="none" w:sz="0" w:space="0" w:color="auto"/>
            <w:bottom w:val="none" w:sz="0" w:space="0" w:color="auto"/>
            <w:right w:val="none" w:sz="0" w:space="0" w:color="auto"/>
          </w:divBdr>
        </w:div>
        <w:div w:id="1710378007">
          <w:marLeft w:val="640"/>
          <w:marRight w:val="0"/>
          <w:marTop w:val="0"/>
          <w:marBottom w:val="0"/>
          <w:divBdr>
            <w:top w:val="none" w:sz="0" w:space="0" w:color="auto"/>
            <w:left w:val="none" w:sz="0" w:space="0" w:color="auto"/>
            <w:bottom w:val="none" w:sz="0" w:space="0" w:color="auto"/>
            <w:right w:val="none" w:sz="0" w:space="0" w:color="auto"/>
          </w:divBdr>
        </w:div>
        <w:div w:id="740756723">
          <w:marLeft w:val="640"/>
          <w:marRight w:val="0"/>
          <w:marTop w:val="0"/>
          <w:marBottom w:val="0"/>
          <w:divBdr>
            <w:top w:val="none" w:sz="0" w:space="0" w:color="auto"/>
            <w:left w:val="none" w:sz="0" w:space="0" w:color="auto"/>
            <w:bottom w:val="none" w:sz="0" w:space="0" w:color="auto"/>
            <w:right w:val="none" w:sz="0" w:space="0" w:color="auto"/>
          </w:divBdr>
        </w:div>
        <w:div w:id="1335111294">
          <w:marLeft w:val="640"/>
          <w:marRight w:val="0"/>
          <w:marTop w:val="0"/>
          <w:marBottom w:val="0"/>
          <w:divBdr>
            <w:top w:val="none" w:sz="0" w:space="0" w:color="auto"/>
            <w:left w:val="none" w:sz="0" w:space="0" w:color="auto"/>
            <w:bottom w:val="none" w:sz="0" w:space="0" w:color="auto"/>
            <w:right w:val="none" w:sz="0" w:space="0" w:color="auto"/>
          </w:divBdr>
        </w:div>
        <w:div w:id="1480686819">
          <w:marLeft w:val="640"/>
          <w:marRight w:val="0"/>
          <w:marTop w:val="0"/>
          <w:marBottom w:val="0"/>
          <w:divBdr>
            <w:top w:val="none" w:sz="0" w:space="0" w:color="auto"/>
            <w:left w:val="none" w:sz="0" w:space="0" w:color="auto"/>
            <w:bottom w:val="none" w:sz="0" w:space="0" w:color="auto"/>
            <w:right w:val="none" w:sz="0" w:space="0" w:color="auto"/>
          </w:divBdr>
        </w:div>
        <w:div w:id="204680399">
          <w:marLeft w:val="640"/>
          <w:marRight w:val="0"/>
          <w:marTop w:val="0"/>
          <w:marBottom w:val="0"/>
          <w:divBdr>
            <w:top w:val="none" w:sz="0" w:space="0" w:color="auto"/>
            <w:left w:val="none" w:sz="0" w:space="0" w:color="auto"/>
            <w:bottom w:val="none" w:sz="0" w:space="0" w:color="auto"/>
            <w:right w:val="none" w:sz="0" w:space="0" w:color="auto"/>
          </w:divBdr>
        </w:div>
        <w:div w:id="604459720">
          <w:marLeft w:val="640"/>
          <w:marRight w:val="0"/>
          <w:marTop w:val="0"/>
          <w:marBottom w:val="0"/>
          <w:divBdr>
            <w:top w:val="none" w:sz="0" w:space="0" w:color="auto"/>
            <w:left w:val="none" w:sz="0" w:space="0" w:color="auto"/>
            <w:bottom w:val="none" w:sz="0" w:space="0" w:color="auto"/>
            <w:right w:val="none" w:sz="0" w:space="0" w:color="auto"/>
          </w:divBdr>
        </w:div>
        <w:div w:id="1649166484">
          <w:marLeft w:val="640"/>
          <w:marRight w:val="0"/>
          <w:marTop w:val="0"/>
          <w:marBottom w:val="0"/>
          <w:divBdr>
            <w:top w:val="none" w:sz="0" w:space="0" w:color="auto"/>
            <w:left w:val="none" w:sz="0" w:space="0" w:color="auto"/>
            <w:bottom w:val="none" w:sz="0" w:space="0" w:color="auto"/>
            <w:right w:val="none" w:sz="0" w:space="0" w:color="auto"/>
          </w:divBdr>
        </w:div>
        <w:div w:id="1079062855">
          <w:marLeft w:val="640"/>
          <w:marRight w:val="0"/>
          <w:marTop w:val="0"/>
          <w:marBottom w:val="0"/>
          <w:divBdr>
            <w:top w:val="none" w:sz="0" w:space="0" w:color="auto"/>
            <w:left w:val="none" w:sz="0" w:space="0" w:color="auto"/>
            <w:bottom w:val="none" w:sz="0" w:space="0" w:color="auto"/>
            <w:right w:val="none" w:sz="0" w:space="0" w:color="auto"/>
          </w:divBdr>
        </w:div>
        <w:div w:id="189150773">
          <w:marLeft w:val="640"/>
          <w:marRight w:val="0"/>
          <w:marTop w:val="0"/>
          <w:marBottom w:val="0"/>
          <w:divBdr>
            <w:top w:val="none" w:sz="0" w:space="0" w:color="auto"/>
            <w:left w:val="none" w:sz="0" w:space="0" w:color="auto"/>
            <w:bottom w:val="none" w:sz="0" w:space="0" w:color="auto"/>
            <w:right w:val="none" w:sz="0" w:space="0" w:color="auto"/>
          </w:divBdr>
        </w:div>
        <w:div w:id="1644117979">
          <w:marLeft w:val="640"/>
          <w:marRight w:val="0"/>
          <w:marTop w:val="0"/>
          <w:marBottom w:val="0"/>
          <w:divBdr>
            <w:top w:val="none" w:sz="0" w:space="0" w:color="auto"/>
            <w:left w:val="none" w:sz="0" w:space="0" w:color="auto"/>
            <w:bottom w:val="none" w:sz="0" w:space="0" w:color="auto"/>
            <w:right w:val="none" w:sz="0" w:space="0" w:color="auto"/>
          </w:divBdr>
        </w:div>
        <w:div w:id="195657050">
          <w:marLeft w:val="640"/>
          <w:marRight w:val="0"/>
          <w:marTop w:val="0"/>
          <w:marBottom w:val="0"/>
          <w:divBdr>
            <w:top w:val="none" w:sz="0" w:space="0" w:color="auto"/>
            <w:left w:val="none" w:sz="0" w:space="0" w:color="auto"/>
            <w:bottom w:val="none" w:sz="0" w:space="0" w:color="auto"/>
            <w:right w:val="none" w:sz="0" w:space="0" w:color="auto"/>
          </w:divBdr>
        </w:div>
        <w:div w:id="457381303">
          <w:marLeft w:val="640"/>
          <w:marRight w:val="0"/>
          <w:marTop w:val="0"/>
          <w:marBottom w:val="0"/>
          <w:divBdr>
            <w:top w:val="none" w:sz="0" w:space="0" w:color="auto"/>
            <w:left w:val="none" w:sz="0" w:space="0" w:color="auto"/>
            <w:bottom w:val="none" w:sz="0" w:space="0" w:color="auto"/>
            <w:right w:val="none" w:sz="0" w:space="0" w:color="auto"/>
          </w:divBdr>
        </w:div>
        <w:div w:id="587037679">
          <w:marLeft w:val="640"/>
          <w:marRight w:val="0"/>
          <w:marTop w:val="0"/>
          <w:marBottom w:val="0"/>
          <w:divBdr>
            <w:top w:val="none" w:sz="0" w:space="0" w:color="auto"/>
            <w:left w:val="none" w:sz="0" w:space="0" w:color="auto"/>
            <w:bottom w:val="none" w:sz="0" w:space="0" w:color="auto"/>
            <w:right w:val="none" w:sz="0" w:space="0" w:color="auto"/>
          </w:divBdr>
        </w:div>
        <w:div w:id="765810178">
          <w:marLeft w:val="640"/>
          <w:marRight w:val="0"/>
          <w:marTop w:val="0"/>
          <w:marBottom w:val="0"/>
          <w:divBdr>
            <w:top w:val="none" w:sz="0" w:space="0" w:color="auto"/>
            <w:left w:val="none" w:sz="0" w:space="0" w:color="auto"/>
            <w:bottom w:val="none" w:sz="0" w:space="0" w:color="auto"/>
            <w:right w:val="none" w:sz="0" w:space="0" w:color="auto"/>
          </w:divBdr>
        </w:div>
        <w:div w:id="1683164363">
          <w:marLeft w:val="640"/>
          <w:marRight w:val="0"/>
          <w:marTop w:val="0"/>
          <w:marBottom w:val="0"/>
          <w:divBdr>
            <w:top w:val="none" w:sz="0" w:space="0" w:color="auto"/>
            <w:left w:val="none" w:sz="0" w:space="0" w:color="auto"/>
            <w:bottom w:val="none" w:sz="0" w:space="0" w:color="auto"/>
            <w:right w:val="none" w:sz="0" w:space="0" w:color="auto"/>
          </w:divBdr>
        </w:div>
        <w:div w:id="1068770871">
          <w:marLeft w:val="640"/>
          <w:marRight w:val="0"/>
          <w:marTop w:val="0"/>
          <w:marBottom w:val="0"/>
          <w:divBdr>
            <w:top w:val="none" w:sz="0" w:space="0" w:color="auto"/>
            <w:left w:val="none" w:sz="0" w:space="0" w:color="auto"/>
            <w:bottom w:val="none" w:sz="0" w:space="0" w:color="auto"/>
            <w:right w:val="none" w:sz="0" w:space="0" w:color="auto"/>
          </w:divBdr>
        </w:div>
        <w:div w:id="1551772106">
          <w:marLeft w:val="640"/>
          <w:marRight w:val="0"/>
          <w:marTop w:val="0"/>
          <w:marBottom w:val="0"/>
          <w:divBdr>
            <w:top w:val="none" w:sz="0" w:space="0" w:color="auto"/>
            <w:left w:val="none" w:sz="0" w:space="0" w:color="auto"/>
            <w:bottom w:val="none" w:sz="0" w:space="0" w:color="auto"/>
            <w:right w:val="none" w:sz="0" w:space="0" w:color="auto"/>
          </w:divBdr>
        </w:div>
        <w:div w:id="513374440">
          <w:marLeft w:val="640"/>
          <w:marRight w:val="0"/>
          <w:marTop w:val="0"/>
          <w:marBottom w:val="0"/>
          <w:divBdr>
            <w:top w:val="none" w:sz="0" w:space="0" w:color="auto"/>
            <w:left w:val="none" w:sz="0" w:space="0" w:color="auto"/>
            <w:bottom w:val="none" w:sz="0" w:space="0" w:color="auto"/>
            <w:right w:val="none" w:sz="0" w:space="0" w:color="auto"/>
          </w:divBdr>
        </w:div>
        <w:div w:id="1515073910">
          <w:marLeft w:val="640"/>
          <w:marRight w:val="0"/>
          <w:marTop w:val="0"/>
          <w:marBottom w:val="0"/>
          <w:divBdr>
            <w:top w:val="none" w:sz="0" w:space="0" w:color="auto"/>
            <w:left w:val="none" w:sz="0" w:space="0" w:color="auto"/>
            <w:bottom w:val="none" w:sz="0" w:space="0" w:color="auto"/>
            <w:right w:val="none" w:sz="0" w:space="0" w:color="auto"/>
          </w:divBdr>
        </w:div>
        <w:div w:id="1881935299">
          <w:marLeft w:val="640"/>
          <w:marRight w:val="0"/>
          <w:marTop w:val="0"/>
          <w:marBottom w:val="0"/>
          <w:divBdr>
            <w:top w:val="none" w:sz="0" w:space="0" w:color="auto"/>
            <w:left w:val="none" w:sz="0" w:space="0" w:color="auto"/>
            <w:bottom w:val="none" w:sz="0" w:space="0" w:color="auto"/>
            <w:right w:val="none" w:sz="0" w:space="0" w:color="auto"/>
          </w:divBdr>
        </w:div>
        <w:div w:id="1179661700">
          <w:marLeft w:val="640"/>
          <w:marRight w:val="0"/>
          <w:marTop w:val="0"/>
          <w:marBottom w:val="0"/>
          <w:divBdr>
            <w:top w:val="none" w:sz="0" w:space="0" w:color="auto"/>
            <w:left w:val="none" w:sz="0" w:space="0" w:color="auto"/>
            <w:bottom w:val="none" w:sz="0" w:space="0" w:color="auto"/>
            <w:right w:val="none" w:sz="0" w:space="0" w:color="auto"/>
          </w:divBdr>
        </w:div>
        <w:div w:id="1102216527">
          <w:marLeft w:val="640"/>
          <w:marRight w:val="0"/>
          <w:marTop w:val="0"/>
          <w:marBottom w:val="0"/>
          <w:divBdr>
            <w:top w:val="none" w:sz="0" w:space="0" w:color="auto"/>
            <w:left w:val="none" w:sz="0" w:space="0" w:color="auto"/>
            <w:bottom w:val="none" w:sz="0" w:space="0" w:color="auto"/>
            <w:right w:val="none" w:sz="0" w:space="0" w:color="auto"/>
          </w:divBdr>
        </w:div>
        <w:div w:id="578366169">
          <w:marLeft w:val="640"/>
          <w:marRight w:val="0"/>
          <w:marTop w:val="0"/>
          <w:marBottom w:val="0"/>
          <w:divBdr>
            <w:top w:val="none" w:sz="0" w:space="0" w:color="auto"/>
            <w:left w:val="none" w:sz="0" w:space="0" w:color="auto"/>
            <w:bottom w:val="none" w:sz="0" w:space="0" w:color="auto"/>
            <w:right w:val="none" w:sz="0" w:space="0" w:color="auto"/>
          </w:divBdr>
        </w:div>
        <w:div w:id="1159079446">
          <w:marLeft w:val="640"/>
          <w:marRight w:val="0"/>
          <w:marTop w:val="0"/>
          <w:marBottom w:val="0"/>
          <w:divBdr>
            <w:top w:val="none" w:sz="0" w:space="0" w:color="auto"/>
            <w:left w:val="none" w:sz="0" w:space="0" w:color="auto"/>
            <w:bottom w:val="none" w:sz="0" w:space="0" w:color="auto"/>
            <w:right w:val="none" w:sz="0" w:space="0" w:color="auto"/>
          </w:divBdr>
        </w:div>
        <w:div w:id="1192306563">
          <w:marLeft w:val="640"/>
          <w:marRight w:val="0"/>
          <w:marTop w:val="0"/>
          <w:marBottom w:val="0"/>
          <w:divBdr>
            <w:top w:val="none" w:sz="0" w:space="0" w:color="auto"/>
            <w:left w:val="none" w:sz="0" w:space="0" w:color="auto"/>
            <w:bottom w:val="none" w:sz="0" w:space="0" w:color="auto"/>
            <w:right w:val="none" w:sz="0" w:space="0" w:color="auto"/>
          </w:divBdr>
        </w:div>
        <w:div w:id="632491511">
          <w:marLeft w:val="640"/>
          <w:marRight w:val="0"/>
          <w:marTop w:val="0"/>
          <w:marBottom w:val="0"/>
          <w:divBdr>
            <w:top w:val="none" w:sz="0" w:space="0" w:color="auto"/>
            <w:left w:val="none" w:sz="0" w:space="0" w:color="auto"/>
            <w:bottom w:val="none" w:sz="0" w:space="0" w:color="auto"/>
            <w:right w:val="none" w:sz="0" w:space="0" w:color="auto"/>
          </w:divBdr>
        </w:div>
        <w:div w:id="259919695">
          <w:marLeft w:val="640"/>
          <w:marRight w:val="0"/>
          <w:marTop w:val="0"/>
          <w:marBottom w:val="0"/>
          <w:divBdr>
            <w:top w:val="none" w:sz="0" w:space="0" w:color="auto"/>
            <w:left w:val="none" w:sz="0" w:space="0" w:color="auto"/>
            <w:bottom w:val="none" w:sz="0" w:space="0" w:color="auto"/>
            <w:right w:val="none" w:sz="0" w:space="0" w:color="auto"/>
          </w:divBdr>
        </w:div>
        <w:div w:id="891841711">
          <w:marLeft w:val="640"/>
          <w:marRight w:val="0"/>
          <w:marTop w:val="0"/>
          <w:marBottom w:val="0"/>
          <w:divBdr>
            <w:top w:val="none" w:sz="0" w:space="0" w:color="auto"/>
            <w:left w:val="none" w:sz="0" w:space="0" w:color="auto"/>
            <w:bottom w:val="none" w:sz="0" w:space="0" w:color="auto"/>
            <w:right w:val="none" w:sz="0" w:space="0" w:color="auto"/>
          </w:divBdr>
        </w:div>
        <w:div w:id="126896223">
          <w:marLeft w:val="640"/>
          <w:marRight w:val="0"/>
          <w:marTop w:val="0"/>
          <w:marBottom w:val="0"/>
          <w:divBdr>
            <w:top w:val="none" w:sz="0" w:space="0" w:color="auto"/>
            <w:left w:val="none" w:sz="0" w:space="0" w:color="auto"/>
            <w:bottom w:val="none" w:sz="0" w:space="0" w:color="auto"/>
            <w:right w:val="none" w:sz="0" w:space="0" w:color="auto"/>
          </w:divBdr>
        </w:div>
        <w:div w:id="414933678">
          <w:marLeft w:val="640"/>
          <w:marRight w:val="0"/>
          <w:marTop w:val="0"/>
          <w:marBottom w:val="0"/>
          <w:divBdr>
            <w:top w:val="none" w:sz="0" w:space="0" w:color="auto"/>
            <w:left w:val="none" w:sz="0" w:space="0" w:color="auto"/>
            <w:bottom w:val="none" w:sz="0" w:space="0" w:color="auto"/>
            <w:right w:val="none" w:sz="0" w:space="0" w:color="auto"/>
          </w:divBdr>
        </w:div>
        <w:div w:id="1064990053">
          <w:marLeft w:val="640"/>
          <w:marRight w:val="0"/>
          <w:marTop w:val="0"/>
          <w:marBottom w:val="0"/>
          <w:divBdr>
            <w:top w:val="none" w:sz="0" w:space="0" w:color="auto"/>
            <w:left w:val="none" w:sz="0" w:space="0" w:color="auto"/>
            <w:bottom w:val="none" w:sz="0" w:space="0" w:color="auto"/>
            <w:right w:val="none" w:sz="0" w:space="0" w:color="auto"/>
          </w:divBdr>
        </w:div>
        <w:div w:id="1488086869">
          <w:marLeft w:val="640"/>
          <w:marRight w:val="0"/>
          <w:marTop w:val="0"/>
          <w:marBottom w:val="0"/>
          <w:divBdr>
            <w:top w:val="none" w:sz="0" w:space="0" w:color="auto"/>
            <w:left w:val="none" w:sz="0" w:space="0" w:color="auto"/>
            <w:bottom w:val="none" w:sz="0" w:space="0" w:color="auto"/>
            <w:right w:val="none" w:sz="0" w:space="0" w:color="auto"/>
          </w:divBdr>
        </w:div>
        <w:div w:id="1705670821">
          <w:marLeft w:val="640"/>
          <w:marRight w:val="0"/>
          <w:marTop w:val="0"/>
          <w:marBottom w:val="0"/>
          <w:divBdr>
            <w:top w:val="none" w:sz="0" w:space="0" w:color="auto"/>
            <w:left w:val="none" w:sz="0" w:space="0" w:color="auto"/>
            <w:bottom w:val="none" w:sz="0" w:space="0" w:color="auto"/>
            <w:right w:val="none" w:sz="0" w:space="0" w:color="auto"/>
          </w:divBdr>
        </w:div>
        <w:div w:id="192504957">
          <w:marLeft w:val="640"/>
          <w:marRight w:val="0"/>
          <w:marTop w:val="0"/>
          <w:marBottom w:val="0"/>
          <w:divBdr>
            <w:top w:val="none" w:sz="0" w:space="0" w:color="auto"/>
            <w:left w:val="none" w:sz="0" w:space="0" w:color="auto"/>
            <w:bottom w:val="none" w:sz="0" w:space="0" w:color="auto"/>
            <w:right w:val="none" w:sz="0" w:space="0" w:color="auto"/>
          </w:divBdr>
        </w:div>
        <w:div w:id="786392713">
          <w:marLeft w:val="640"/>
          <w:marRight w:val="0"/>
          <w:marTop w:val="0"/>
          <w:marBottom w:val="0"/>
          <w:divBdr>
            <w:top w:val="none" w:sz="0" w:space="0" w:color="auto"/>
            <w:left w:val="none" w:sz="0" w:space="0" w:color="auto"/>
            <w:bottom w:val="none" w:sz="0" w:space="0" w:color="auto"/>
            <w:right w:val="none" w:sz="0" w:space="0" w:color="auto"/>
          </w:divBdr>
        </w:div>
        <w:div w:id="861820026">
          <w:marLeft w:val="640"/>
          <w:marRight w:val="0"/>
          <w:marTop w:val="0"/>
          <w:marBottom w:val="0"/>
          <w:divBdr>
            <w:top w:val="none" w:sz="0" w:space="0" w:color="auto"/>
            <w:left w:val="none" w:sz="0" w:space="0" w:color="auto"/>
            <w:bottom w:val="none" w:sz="0" w:space="0" w:color="auto"/>
            <w:right w:val="none" w:sz="0" w:space="0" w:color="auto"/>
          </w:divBdr>
        </w:div>
        <w:div w:id="1933396980">
          <w:marLeft w:val="640"/>
          <w:marRight w:val="0"/>
          <w:marTop w:val="0"/>
          <w:marBottom w:val="0"/>
          <w:divBdr>
            <w:top w:val="none" w:sz="0" w:space="0" w:color="auto"/>
            <w:left w:val="none" w:sz="0" w:space="0" w:color="auto"/>
            <w:bottom w:val="none" w:sz="0" w:space="0" w:color="auto"/>
            <w:right w:val="none" w:sz="0" w:space="0" w:color="auto"/>
          </w:divBdr>
        </w:div>
        <w:div w:id="774911157">
          <w:marLeft w:val="640"/>
          <w:marRight w:val="0"/>
          <w:marTop w:val="0"/>
          <w:marBottom w:val="0"/>
          <w:divBdr>
            <w:top w:val="none" w:sz="0" w:space="0" w:color="auto"/>
            <w:left w:val="none" w:sz="0" w:space="0" w:color="auto"/>
            <w:bottom w:val="none" w:sz="0" w:space="0" w:color="auto"/>
            <w:right w:val="none" w:sz="0" w:space="0" w:color="auto"/>
          </w:divBdr>
        </w:div>
        <w:div w:id="1017852064">
          <w:marLeft w:val="640"/>
          <w:marRight w:val="0"/>
          <w:marTop w:val="0"/>
          <w:marBottom w:val="0"/>
          <w:divBdr>
            <w:top w:val="none" w:sz="0" w:space="0" w:color="auto"/>
            <w:left w:val="none" w:sz="0" w:space="0" w:color="auto"/>
            <w:bottom w:val="none" w:sz="0" w:space="0" w:color="auto"/>
            <w:right w:val="none" w:sz="0" w:space="0" w:color="auto"/>
          </w:divBdr>
        </w:div>
        <w:div w:id="1849177532">
          <w:marLeft w:val="640"/>
          <w:marRight w:val="0"/>
          <w:marTop w:val="0"/>
          <w:marBottom w:val="0"/>
          <w:divBdr>
            <w:top w:val="none" w:sz="0" w:space="0" w:color="auto"/>
            <w:left w:val="none" w:sz="0" w:space="0" w:color="auto"/>
            <w:bottom w:val="none" w:sz="0" w:space="0" w:color="auto"/>
            <w:right w:val="none" w:sz="0" w:space="0" w:color="auto"/>
          </w:divBdr>
        </w:div>
        <w:div w:id="1423644054">
          <w:marLeft w:val="640"/>
          <w:marRight w:val="0"/>
          <w:marTop w:val="0"/>
          <w:marBottom w:val="0"/>
          <w:divBdr>
            <w:top w:val="none" w:sz="0" w:space="0" w:color="auto"/>
            <w:left w:val="none" w:sz="0" w:space="0" w:color="auto"/>
            <w:bottom w:val="none" w:sz="0" w:space="0" w:color="auto"/>
            <w:right w:val="none" w:sz="0" w:space="0" w:color="auto"/>
          </w:divBdr>
        </w:div>
        <w:div w:id="437412481">
          <w:marLeft w:val="640"/>
          <w:marRight w:val="0"/>
          <w:marTop w:val="0"/>
          <w:marBottom w:val="0"/>
          <w:divBdr>
            <w:top w:val="none" w:sz="0" w:space="0" w:color="auto"/>
            <w:left w:val="none" w:sz="0" w:space="0" w:color="auto"/>
            <w:bottom w:val="none" w:sz="0" w:space="0" w:color="auto"/>
            <w:right w:val="none" w:sz="0" w:space="0" w:color="auto"/>
          </w:divBdr>
        </w:div>
        <w:div w:id="1307665642">
          <w:marLeft w:val="640"/>
          <w:marRight w:val="0"/>
          <w:marTop w:val="0"/>
          <w:marBottom w:val="0"/>
          <w:divBdr>
            <w:top w:val="none" w:sz="0" w:space="0" w:color="auto"/>
            <w:left w:val="none" w:sz="0" w:space="0" w:color="auto"/>
            <w:bottom w:val="none" w:sz="0" w:space="0" w:color="auto"/>
            <w:right w:val="none" w:sz="0" w:space="0" w:color="auto"/>
          </w:divBdr>
        </w:div>
        <w:div w:id="1695037796">
          <w:marLeft w:val="640"/>
          <w:marRight w:val="0"/>
          <w:marTop w:val="0"/>
          <w:marBottom w:val="0"/>
          <w:divBdr>
            <w:top w:val="none" w:sz="0" w:space="0" w:color="auto"/>
            <w:left w:val="none" w:sz="0" w:space="0" w:color="auto"/>
            <w:bottom w:val="none" w:sz="0" w:space="0" w:color="auto"/>
            <w:right w:val="none" w:sz="0" w:space="0" w:color="auto"/>
          </w:divBdr>
        </w:div>
        <w:div w:id="1770659896">
          <w:marLeft w:val="640"/>
          <w:marRight w:val="0"/>
          <w:marTop w:val="0"/>
          <w:marBottom w:val="0"/>
          <w:divBdr>
            <w:top w:val="none" w:sz="0" w:space="0" w:color="auto"/>
            <w:left w:val="none" w:sz="0" w:space="0" w:color="auto"/>
            <w:bottom w:val="none" w:sz="0" w:space="0" w:color="auto"/>
            <w:right w:val="none" w:sz="0" w:space="0" w:color="auto"/>
          </w:divBdr>
        </w:div>
        <w:div w:id="2106730149">
          <w:marLeft w:val="640"/>
          <w:marRight w:val="0"/>
          <w:marTop w:val="0"/>
          <w:marBottom w:val="0"/>
          <w:divBdr>
            <w:top w:val="none" w:sz="0" w:space="0" w:color="auto"/>
            <w:left w:val="none" w:sz="0" w:space="0" w:color="auto"/>
            <w:bottom w:val="none" w:sz="0" w:space="0" w:color="auto"/>
            <w:right w:val="none" w:sz="0" w:space="0" w:color="auto"/>
          </w:divBdr>
        </w:div>
        <w:div w:id="43524711">
          <w:marLeft w:val="640"/>
          <w:marRight w:val="0"/>
          <w:marTop w:val="0"/>
          <w:marBottom w:val="0"/>
          <w:divBdr>
            <w:top w:val="none" w:sz="0" w:space="0" w:color="auto"/>
            <w:left w:val="none" w:sz="0" w:space="0" w:color="auto"/>
            <w:bottom w:val="none" w:sz="0" w:space="0" w:color="auto"/>
            <w:right w:val="none" w:sz="0" w:space="0" w:color="auto"/>
          </w:divBdr>
        </w:div>
        <w:div w:id="1691564954">
          <w:marLeft w:val="640"/>
          <w:marRight w:val="0"/>
          <w:marTop w:val="0"/>
          <w:marBottom w:val="0"/>
          <w:divBdr>
            <w:top w:val="none" w:sz="0" w:space="0" w:color="auto"/>
            <w:left w:val="none" w:sz="0" w:space="0" w:color="auto"/>
            <w:bottom w:val="none" w:sz="0" w:space="0" w:color="auto"/>
            <w:right w:val="none" w:sz="0" w:space="0" w:color="auto"/>
          </w:divBdr>
        </w:div>
        <w:div w:id="407269905">
          <w:marLeft w:val="640"/>
          <w:marRight w:val="0"/>
          <w:marTop w:val="0"/>
          <w:marBottom w:val="0"/>
          <w:divBdr>
            <w:top w:val="none" w:sz="0" w:space="0" w:color="auto"/>
            <w:left w:val="none" w:sz="0" w:space="0" w:color="auto"/>
            <w:bottom w:val="none" w:sz="0" w:space="0" w:color="auto"/>
            <w:right w:val="none" w:sz="0" w:space="0" w:color="auto"/>
          </w:divBdr>
        </w:div>
        <w:div w:id="1496842737">
          <w:marLeft w:val="640"/>
          <w:marRight w:val="0"/>
          <w:marTop w:val="0"/>
          <w:marBottom w:val="0"/>
          <w:divBdr>
            <w:top w:val="none" w:sz="0" w:space="0" w:color="auto"/>
            <w:left w:val="none" w:sz="0" w:space="0" w:color="auto"/>
            <w:bottom w:val="none" w:sz="0" w:space="0" w:color="auto"/>
            <w:right w:val="none" w:sz="0" w:space="0" w:color="auto"/>
          </w:divBdr>
        </w:div>
        <w:div w:id="1191336553">
          <w:marLeft w:val="640"/>
          <w:marRight w:val="0"/>
          <w:marTop w:val="0"/>
          <w:marBottom w:val="0"/>
          <w:divBdr>
            <w:top w:val="none" w:sz="0" w:space="0" w:color="auto"/>
            <w:left w:val="none" w:sz="0" w:space="0" w:color="auto"/>
            <w:bottom w:val="none" w:sz="0" w:space="0" w:color="auto"/>
            <w:right w:val="none" w:sz="0" w:space="0" w:color="auto"/>
          </w:divBdr>
        </w:div>
        <w:div w:id="1419592021">
          <w:marLeft w:val="640"/>
          <w:marRight w:val="0"/>
          <w:marTop w:val="0"/>
          <w:marBottom w:val="0"/>
          <w:divBdr>
            <w:top w:val="none" w:sz="0" w:space="0" w:color="auto"/>
            <w:left w:val="none" w:sz="0" w:space="0" w:color="auto"/>
            <w:bottom w:val="none" w:sz="0" w:space="0" w:color="auto"/>
            <w:right w:val="none" w:sz="0" w:space="0" w:color="auto"/>
          </w:divBdr>
        </w:div>
        <w:div w:id="325210545">
          <w:marLeft w:val="640"/>
          <w:marRight w:val="0"/>
          <w:marTop w:val="0"/>
          <w:marBottom w:val="0"/>
          <w:divBdr>
            <w:top w:val="none" w:sz="0" w:space="0" w:color="auto"/>
            <w:left w:val="none" w:sz="0" w:space="0" w:color="auto"/>
            <w:bottom w:val="none" w:sz="0" w:space="0" w:color="auto"/>
            <w:right w:val="none" w:sz="0" w:space="0" w:color="auto"/>
          </w:divBdr>
        </w:div>
        <w:div w:id="846099565">
          <w:marLeft w:val="640"/>
          <w:marRight w:val="0"/>
          <w:marTop w:val="0"/>
          <w:marBottom w:val="0"/>
          <w:divBdr>
            <w:top w:val="none" w:sz="0" w:space="0" w:color="auto"/>
            <w:left w:val="none" w:sz="0" w:space="0" w:color="auto"/>
            <w:bottom w:val="none" w:sz="0" w:space="0" w:color="auto"/>
            <w:right w:val="none" w:sz="0" w:space="0" w:color="auto"/>
          </w:divBdr>
        </w:div>
        <w:div w:id="702367280">
          <w:marLeft w:val="640"/>
          <w:marRight w:val="0"/>
          <w:marTop w:val="0"/>
          <w:marBottom w:val="0"/>
          <w:divBdr>
            <w:top w:val="none" w:sz="0" w:space="0" w:color="auto"/>
            <w:left w:val="none" w:sz="0" w:space="0" w:color="auto"/>
            <w:bottom w:val="none" w:sz="0" w:space="0" w:color="auto"/>
            <w:right w:val="none" w:sz="0" w:space="0" w:color="auto"/>
          </w:divBdr>
        </w:div>
        <w:div w:id="30300766">
          <w:marLeft w:val="640"/>
          <w:marRight w:val="0"/>
          <w:marTop w:val="0"/>
          <w:marBottom w:val="0"/>
          <w:divBdr>
            <w:top w:val="none" w:sz="0" w:space="0" w:color="auto"/>
            <w:left w:val="none" w:sz="0" w:space="0" w:color="auto"/>
            <w:bottom w:val="none" w:sz="0" w:space="0" w:color="auto"/>
            <w:right w:val="none" w:sz="0" w:space="0" w:color="auto"/>
          </w:divBdr>
        </w:div>
        <w:div w:id="1285961406">
          <w:marLeft w:val="640"/>
          <w:marRight w:val="0"/>
          <w:marTop w:val="0"/>
          <w:marBottom w:val="0"/>
          <w:divBdr>
            <w:top w:val="none" w:sz="0" w:space="0" w:color="auto"/>
            <w:left w:val="none" w:sz="0" w:space="0" w:color="auto"/>
            <w:bottom w:val="none" w:sz="0" w:space="0" w:color="auto"/>
            <w:right w:val="none" w:sz="0" w:space="0" w:color="auto"/>
          </w:divBdr>
        </w:div>
        <w:div w:id="208999538">
          <w:marLeft w:val="640"/>
          <w:marRight w:val="0"/>
          <w:marTop w:val="0"/>
          <w:marBottom w:val="0"/>
          <w:divBdr>
            <w:top w:val="none" w:sz="0" w:space="0" w:color="auto"/>
            <w:left w:val="none" w:sz="0" w:space="0" w:color="auto"/>
            <w:bottom w:val="none" w:sz="0" w:space="0" w:color="auto"/>
            <w:right w:val="none" w:sz="0" w:space="0" w:color="auto"/>
          </w:divBdr>
        </w:div>
        <w:div w:id="1142236376">
          <w:marLeft w:val="640"/>
          <w:marRight w:val="0"/>
          <w:marTop w:val="0"/>
          <w:marBottom w:val="0"/>
          <w:divBdr>
            <w:top w:val="none" w:sz="0" w:space="0" w:color="auto"/>
            <w:left w:val="none" w:sz="0" w:space="0" w:color="auto"/>
            <w:bottom w:val="none" w:sz="0" w:space="0" w:color="auto"/>
            <w:right w:val="none" w:sz="0" w:space="0" w:color="auto"/>
          </w:divBdr>
        </w:div>
        <w:div w:id="834954830">
          <w:marLeft w:val="640"/>
          <w:marRight w:val="0"/>
          <w:marTop w:val="0"/>
          <w:marBottom w:val="0"/>
          <w:divBdr>
            <w:top w:val="none" w:sz="0" w:space="0" w:color="auto"/>
            <w:left w:val="none" w:sz="0" w:space="0" w:color="auto"/>
            <w:bottom w:val="none" w:sz="0" w:space="0" w:color="auto"/>
            <w:right w:val="none" w:sz="0" w:space="0" w:color="auto"/>
          </w:divBdr>
        </w:div>
        <w:div w:id="1063867508">
          <w:marLeft w:val="640"/>
          <w:marRight w:val="0"/>
          <w:marTop w:val="0"/>
          <w:marBottom w:val="0"/>
          <w:divBdr>
            <w:top w:val="none" w:sz="0" w:space="0" w:color="auto"/>
            <w:left w:val="none" w:sz="0" w:space="0" w:color="auto"/>
            <w:bottom w:val="none" w:sz="0" w:space="0" w:color="auto"/>
            <w:right w:val="none" w:sz="0" w:space="0" w:color="auto"/>
          </w:divBdr>
        </w:div>
        <w:div w:id="192427501">
          <w:marLeft w:val="640"/>
          <w:marRight w:val="0"/>
          <w:marTop w:val="0"/>
          <w:marBottom w:val="0"/>
          <w:divBdr>
            <w:top w:val="none" w:sz="0" w:space="0" w:color="auto"/>
            <w:left w:val="none" w:sz="0" w:space="0" w:color="auto"/>
            <w:bottom w:val="none" w:sz="0" w:space="0" w:color="auto"/>
            <w:right w:val="none" w:sz="0" w:space="0" w:color="auto"/>
          </w:divBdr>
        </w:div>
        <w:div w:id="541982846">
          <w:marLeft w:val="640"/>
          <w:marRight w:val="0"/>
          <w:marTop w:val="0"/>
          <w:marBottom w:val="0"/>
          <w:divBdr>
            <w:top w:val="none" w:sz="0" w:space="0" w:color="auto"/>
            <w:left w:val="none" w:sz="0" w:space="0" w:color="auto"/>
            <w:bottom w:val="none" w:sz="0" w:space="0" w:color="auto"/>
            <w:right w:val="none" w:sz="0" w:space="0" w:color="auto"/>
          </w:divBdr>
        </w:div>
        <w:div w:id="806435268">
          <w:marLeft w:val="640"/>
          <w:marRight w:val="0"/>
          <w:marTop w:val="0"/>
          <w:marBottom w:val="0"/>
          <w:divBdr>
            <w:top w:val="none" w:sz="0" w:space="0" w:color="auto"/>
            <w:left w:val="none" w:sz="0" w:space="0" w:color="auto"/>
            <w:bottom w:val="none" w:sz="0" w:space="0" w:color="auto"/>
            <w:right w:val="none" w:sz="0" w:space="0" w:color="auto"/>
          </w:divBdr>
        </w:div>
        <w:div w:id="876431115">
          <w:marLeft w:val="640"/>
          <w:marRight w:val="0"/>
          <w:marTop w:val="0"/>
          <w:marBottom w:val="0"/>
          <w:divBdr>
            <w:top w:val="none" w:sz="0" w:space="0" w:color="auto"/>
            <w:left w:val="none" w:sz="0" w:space="0" w:color="auto"/>
            <w:bottom w:val="none" w:sz="0" w:space="0" w:color="auto"/>
            <w:right w:val="none" w:sz="0" w:space="0" w:color="auto"/>
          </w:divBdr>
        </w:div>
        <w:div w:id="1289357874">
          <w:marLeft w:val="640"/>
          <w:marRight w:val="0"/>
          <w:marTop w:val="0"/>
          <w:marBottom w:val="0"/>
          <w:divBdr>
            <w:top w:val="none" w:sz="0" w:space="0" w:color="auto"/>
            <w:left w:val="none" w:sz="0" w:space="0" w:color="auto"/>
            <w:bottom w:val="none" w:sz="0" w:space="0" w:color="auto"/>
            <w:right w:val="none" w:sz="0" w:space="0" w:color="auto"/>
          </w:divBdr>
        </w:div>
        <w:div w:id="1021782878">
          <w:marLeft w:val="640"/>
          <w:marRight w:val="0"/>
          <w:marTop w:val="0"/>
          <w:marBottom w:val="0"/>
          <w:divBdr>
            <w:top w:val="none" w:sz="0" w:space="0" w:color="auto"/>
            <w:left w:val="none" w:sz="0" w:space="0" w:color="auto"/>
            <w:bottom w:val="none" w:sz="0" w:space="0" w:color="auto"/>
            <w:right w:val="none" w:sz="0" w:space="0" w:color="auto"/>
          </w:divBdr>
        </w:div>
        <w:div w:id="1789159568">
          <w:marLeft w:val="640"/>
          <w:marRight w:val="0"/>
          <w:marTop w:val="0"/>
          <w:marBottom w:val="0"/>
          <w:divBdr>
            <w:top w:val="none" w:sz="0" w:space="0" w:color="auto"/>
            <w:left w:val="none" w:sz="0" w:space="0" w:color="auto"/>
            <w:bottom w:val="none" w:sz="0" w:space="0" w:color="auto"/>
            <w:right w:val="none" w:sz="0" w:space="0" w:color="auto"/>
          </w:divBdr>
        </w:div>
        <w:div w:id="360203190">
          <w:marLeft w:val="640"/>
          <w:marRight w:val="0"/>
          <w:marTop w:val="0"/>
          <w:marBottom w:val="0"/>
          <w:divBdr>
            <w:top w:val="none" w:sz="0" w:space="0" w:color="auto"/>
            <w:left w:val="none" w:sz="0" w:space="0" w:color="auto"/>
            <w:bottom w:val="none" w:sz="0" w:space="0" w:color="auto"/>
            <w:right w:val="none" w:sz="0" w:space="0" w:color="auto"/>
          </w:divBdr>
        </w:div>
        <w:div w:id="1922173709">
          <w:marLeft w:val="640"/>
          <w:marRight w:val="0"/>
          <w:marTop w:val="0"/>
          <w:marBottom w:val="0"/>
          <w:divBdr>
            <w:top w:val="none" w:sz="0" w:space="0" w:color="auto"/>
            <w:left w:val="none" w:sz="0" w:space="0" w:color="auto"/>
            <w:bottom w:val="none" w:sz="0" w:space="0" w:color="auto"/>
            <w:right w:val="none" w:sz="0" w:space="0" w:color="auto"/>
          </w:divBdr>
        </w:div>
        <w:div w:id="2126803382">
          <w:marLeft w:val="640"/>
          <w:marRight w:val="0"/>
          <w:marTop w:val="0"/>
          <w:marBottom w:val="0"/>
          <w:divBdr>
            <w:top w:val="none" w:sz="0" w:space="0" w:color="auto"/>
            <w:left w:val="none" w:sz="0" w:space="0" w:color="auto"/>
            <w:bottom w:val="none" w:sz="0" w:space="0" w:color="auto"/>
            <w:right w:val="none" w:sz="0" w:space="0" w:color="auto"/>
          </w:divBdr>
        </w:div>
        <w:div w:id="1182207985">
          <w:marLeft w:val="640"/>
          <w:marRight w:val="0"/>
          <w:marTop w:val="0"/>
          <w:marBottom w:val="0"/>
          <w:divBdr>
            <w:top w:val="none" w:sz="0" w:space="0" w:color="auto"/>
            <w:left w:val="none" w:sz="0" w:space="0" w:color="auto"/>
            <w:bottom w:val="none" w:sz="0" w:space="0" w:color="auto"/>
            <w:right w:val="none" w:sz="0" w:space="0" w:color="auto"/>
          </w:divBdr>
        </w:div>
        <w:div w:id="395589955">
          <w:marLeft w:val="640"/>
          <w:marRight w:val="0"/>
          <w:marTop w:val="0"/>
          <w:marBottom w:val="0"/>
          <w:divBdr>
            <w:top w:val="none" w:sz="0" w:space="0" w:color="auto"/>
            <w:left w:val="none" w:sz="0" w:space="0" w:color="auto"/>
            <w:bottom w:val="none" w:sz="0" w:space="0" w:color="auto"/>
            <w:right w:val="none" w:sz="0" w:space="0" w:color="auto"/>
          </w:divBdr>
        </w:div>
        <w:div w:id="844786876">
          <w:marLeft w:val="640"/>
          <w:marRight w:val="0"/>
          <w:marTop w:val="0"/>
          <w:marBottom w:val="0"/>
          <w:divBdr>
            <w:top w:val="none" w:sz="0" w:space="0" w:color="auto"/>
            <w:left w:val="none" w:sz="0" w:space="0" w:color="auto"/>
            <w:bottom w:val="none" w:sz="0" w:space="0" w:color="auto"/>
            <w:right w:val="none" w:sz="0" w:space="0" w:color="auto"/>
          </w:divBdr>
        </w:div>
        <w:div w:id="1870096911">
          <w:marLeft w:val="640"/>
          <w:marRight w:val="0"/>
          <w:marTop w:val="0"/>
          <w:marBottom w:val="0"/>
          <w:divBdr>
            <w:top w:val="none" w:sz="0" w:space="0" w:color="auto"/>
            <w:left w:val="none" w:sz="0" w:space="0" w:color="auto"/>
            <w:bottom w:val="none" w:sz="0" w:space="0" w:color="auto"/>
            <w:right w:val="none" w:sz="0" w:space="0" w:color="auto"/>
          </w:divBdr>
        </w:div>
        <w:div w:id="497304272">
          <w:marLeft w:val="640"/>
          <w:marRight w:val="0"/>
          <w:marTop w:val="0"/>
          <w:marBottom w:val="0"/>
          <w:divBdr>
            <w:top w:val="none" w:sz="0" w:space="0" w:color="auto"/>
            <w:left w:val="none" w:sz="0" w:space="0" w:color="auto"/>
            <w:bottom w:val="none" w:sz="0" w:space="0" w:color="auto"/>
            <w:right w:val="none" w:sz="0" w:space="0" w:color="auto"/>
          </w:divBdr>
        </w:div>
        <w:div w:id="53161614">
          <w:marLeft w:val="640"/>
          <w:marRight w:val="0"/>
          <w:marTop w:val="0"/>
          <w:marBottom w:val="0"/>
          <w:divBdr>
            <w:top w:val="none" w:sz="0" w:space="0" w:color="auto"/>
            <w:left w:val="none" w:sz="0" w:space="0" w:color="auto"/>
            <w:bottom w:val="none" w:sz="0" w:space="0" w:color="auto"/>
            <w:right w:val="none" w:sz="0" w:space="0" w:color="auto"/>
          </w:divBdr>
        </w:div>
        <w:div w:id="760760892">
          <w:marLeft w:val="640"/>
          <w:marRight w:val="0"/>
          <w:marTop w:val="0"/>
          <w:marBottom w:val="0"/>
          <w:divBdr>
            <w:top w:val="none" w:sz="0" w:space="0" w:color="auto"/>
            <w:left w:val="none" w:sz="0" w:space="0" w:color="auto"/>
            <w:bottom w:val="none" w:sz="0" w:space="0" w:color="auto"/>
            <w:right w:val="none" w:sz="0" w:space="0" w:color="auto"/>
          </w:divBdr>
        </w:div>
        <w:div w:id="81996707">
          <w:marLeft w:val="640"/>
          <w:marRight w:val="0"/>
          <w:marTop w:val="0"/>
          <w:marBottom w:val="0"/>
          <w:divBdr>
            <w:top w:val="none" w:sz="0" w:space="0" w:color="auto"/>
            <w:left w:val="none" w:sz="0" w:space="0" w:color="auto"/>
            <w:bottom w:val="none" w:sz="0" w:space="0" w:color="auto"/>
            <w:right w:val="none" w:sz="0" w:space="0" w:color="auto"/>
          </w:divBdr>
        </w:div>
        <w:div w:id="1500340976">
          <w:marLeft w:val="640"/>
          <w:marRight w:val="0"/>
          <w:marTop w:val="0"/>
          <w:marBottom w:val="0"/>
          <w:divBdr>
            <w:top w:val="none" w:sz="0" w:space="0" w:color="auto"/>
            <w:left w:val="none" w:sz="0" w:space="0" w:color="auto"/>
            <w:bottom w:val="none" w:sz="0" w:space="0" w:color="auto"/>
            <w:right w:val="none" w:sz="0" w:space="0" w:color="auto"/>
          </w:divBdr>
        </w:div>
        <w:div w:id="1613511602">
          <w:marLeft w:val="640"/>
          <w:marRight w:val="0"/>
          <w:marTop w:val="0"/>
          <w:marBottom w:val="0"/>
          <w:divBdr>
            <w:top w:val="none" w:sz="0" w:space="0" w:color="auto"/>
            <w:left w:val="none" w:sz="0" w:space="0" w:color="auto"/>
            <w:bottom w:val="none" w:sz="0" w:space="0" w:color="auto"/>
            <w:right w:val="none" w:sz="0" w:space="0" w:color="auto"/>
          </w:divBdr>
        </w:div>
        <w:div w:id="890193757">
          <w:marLeft w:val="640"/>
          <w:marRight w:val="0"/>
          <w:marTop w:val="0"/>
          <w:marBottom w:val="0"/>
          <w:divBdr>
            <w:top w:val="none" w:sz="0" w:space="0" w:color="auto"/>
            <w:left w:val="none" w:sz="0" w:space="0" w:color="auto"/>
            <w:bottom w:val="none" w:sz="0" w:space="0" w:color="auto"/>
            <w:right w:val="none" w:sz="0" w:space="0" w:color="auto"/>
          </w:divBdr>
        </w:div>
        <w:div w:id="1306736612">
          <w:marLeft w:val="640"/>
          <w:marRight w:val="0"/>
          <w:marTop w:val="0"/>
          <w:marBottom w:val="0"/>
          <w:divBdr>
            <w:top w:val="none" w:sz="0" w:space="0" w:color="auto"/>
            <w:left w:val="none" w:sz="0" w:space="0" w:color="auto"/>
            <w:bottom w:val="none" w:sz="0" w:space="0" w:color="auto"/>
            <w:right w:val="none" w:sz="0" w:space="0" w:color="auto"/>
          </w:divBdr>
        </w:div>
        <w:div w:id="1802846921">
          <w:marLeft w:val="640"/>
          <w:marRight w:val="0"/>
          <w:marTop w:val="0"/>
          <w:marBottom w:val="0"/>
          <w:divBdr>
            <w:top w:val="none" w:sz="0" w:space="0" w:color="auto"/>
            <w:left w:val="none" w:sz="0" w:space="0" w:color="auto"/>
            <w:bottom w:val="none" w:sz="0" w:space="0" w:color="auto"/>
            <w:right w:val="none" w:sz="0" w:space="0" w:color="auto"/>
          </w:divBdr>
        </w:div>
        <w:div w:id="1939943487">
          <w:marLeft w:val="640"/>
          <w:marRight w:val="0"/>
          <w:marTop w:val="0"/>
          <w:marBottom w:val="0"/>
          <w:divBdr>
            <w:top w:val="none" w:sz="0" w:space="0" w:color="auto"/>
            <w:left w:val="none" w:sz="0" w:space="0" w:color="auto"/>
            <w:bottom w:val="none" w:sz="0" w:space="0" w:color="auto"/>
            <w:right w:val="none" w:sz="0" w:space="0" w:color="auto"/>
          </w:divBdr>
        </w:div>
        <w:div w:id="1179272658">
          <w:marLeft w:val="640"/>
          <w:marRight w:val="0"/>
          <w:marTop w:val="0"/>
          <w:marBottom w:val="0"/>
          <w:divBdr>
            <w:top w:val="none" w:sz="0" w:space="0" w:color="auto"/>
            <w:left w:val="none" w:sz="0" w:space="0" w:color="auto"/>
            <w:bottom w:val="none" w:sz="0" w:space="0" w:color="auto"/>
            <w:right w:val="none" w:sz="0" w:space="0" w:color="auto"/>
          </w:divBdr>
        </w:div>
        <w:div w:id="608588300">
          <w:marLeft w:val="640"/>
          <w:marRight w:val="0"/>
          <w:marTop w:val="0"/>
          <w:marBottom w:val="0"/>
          <w:divBdr>
            <w:top w:val="none" w:sz="0" w:space="0" w:color="auto"/>
            <w:left w:val="none" w:sz="0" w:space="0" w:color="auto"/>
            <w:bottom w:val="none" w:sz="0" w:space="0" w:color="auto"/>
            <w:right w:val="none" w:sz="0" w:space="0" w:color="auto"/>
          </w:divBdr>
        </w:div>
        <w:div w:id="1649629234">
          <w:marLeft w:val="640"/>
          <w:marRight w:val="0"/>
          <w:marTop w:val="0"/>
          <w:marBottom w:val="0"/>
          <w:divBdr>
            <w:top w:val="none" w:sz="0" w:space="0" w:color="auto"/>
            <w:left w:val="none" w:sz="0" w:space="0" w:color="auto"/>
            <w:bottom w:val="none" w:sz="0" w:space="0" w:color="auto"/>
            <w:right w:val="none" w:sz="0" w:space="0" w:color="auto"/>
          </w:divBdr>
        </w:div>
        <w:div w:id="366099647">
          <w:marLeft w:val="640"/>
          <w:marRight w:val="0"/>
          <w:marTop w:val="0"/>
          <w:marBottom w:val="0"/>
          <w:divBdr>
            <w:top w:val="none" w:sz="0" w:space="0" w:color="auto"/>
            <w:left w:val="none" w:sz="0" w:space="0" w:color="auto"/>
            <w:bottom w:val="none" w:sz="0" w:space="0" w:color="auto"/>
            <w:right w:val="none" w:sz="0" w:space="0" w:color="auto"/>
          </w:divBdr>
        </w:div>
        <w:div w:id="560168774">
          <w:marLeft w:val="640"/>
          <w:marRight w:val="0"/>
          <w:marTop w:val="0"/>
          <w:marBottom w:val="0"/>
          <w:divBdr>
            <w:top w:val="none" w:sz="0" w:space="0" w:color="auto"/>
            <w:left w:val="none" w:sz="0" w:space="0" w:color="auto"/>
            <w:bottom w:val="none" w:sz="0" w:space="0" w:color="auto"/>
            <w:right w:val="none" w:sz="0" w:space="0" w:color="auto"/>
          </w:divBdr>
        </w:div>
        <w:div w:id="484130501">
          <w:marLeft w:val="640"/>
          <w:marRight w:val="0"/>
          <w:marTop w:val="0"/>
          <w:marBottom w:val="0"/>
          <w:divBdr>
            <w:top w:val="none" w:sz="0" w:space="0" w:color="auto"/>
            <w:left w:val="none" w:sz="0" w:space="0" w:color="auto"/>
            <w:bottom w:val="none" w:sz="0" w:space="0" w:color="auto"/>
            <w:right w:val="none" w:sz="0" w:space="0" w:color="auto"/>
          </w:divBdr>
        </w:div>
        <w:div w:id="342902374">
          <w:marLeft w:val="640"/>
          <w:marRight w:val="0"/>
          <w:marTop w:val="0"/>
          <w:marBottom w:val="0"/>
          <w:divBdr>
            <w:top w:val="none" w:sz="0" w:space="0" w:color="auto"/>
            <w:left w:val="none" w:sz="0" w:space="0" w:color="auto"/>
            <w:bottom w:val="none" w:sz="0" w:space="0" w:color="auto"/>
            <w:right w:val="none" w:sz="0" w:space="0" w:color="auto"/>
          </w:divBdr>
        </w:div>
        <w:div w:id="2030568281">
          <w:marLeft w:val="640"/>
          <w:marRight w:val="0"/>
          <w:marTop w:val="0"/>
          <w:marBottom w:val="0"/>
          <w:divBdr>
            <w:top w:val="none" w:sz="0" w:space="0" w:color="auto"/>
            <w:left w:val="none" w:sz="0" w:space="0" w:color="auto"/>
            <w:bottom w:val="none" w:sz="0" w:space="0" w:color="auto"/>
            <w:right w:val="none" w:sz="0" w:space="0" w:color="auto"/>
          </w:divBdr>
        </w:div>
        <w:div w:id="1727221301">
          <w:marLeft w:val="640"/>
          <w:marRight w:val="0"/>
          <w:marTop w:val="0"/>
          <w:marBottom w:val="0"/>
          <w:divBdr>
            <w:top w:val="none" w:sz="0" w:space="0" w:color="auto"/>
            <w:left w:val="none" w:sz="0" w:space="0" w:color="auto"/>
            <w:bottom w:val="none" w:sz="0" w:space="0" w:color="auto"/>
            <w:right w:val="none" w:sz="0" w:space="0" w:color="auto"/>
          </w:divBdr>
        </w:div>
        <w:div w:id="1829008559">
          <w:marLeft w:val="640"/>
          <w:marRight w:val="0"/>
          <w:marTop w:val="0"/>
          <w:marBottom w:val="0"/>
          <w:divBdr>
            <w:top w:val="none" w:sz="0" w:space="0" w:color="auto"/>
            <w:left w:val="none" w:sz="0" w:space="0" w:color="auto"/>
            <w:bottom w:val="none" w:sz="0" w:space="0" w:color="auto"/>
            <w:right w:val="none" w:sz="0" w:space="0" w:color="auto"/>
          </w:divBdr>
        </w:div>
      </w:divsChild>
    </w:div>
    <w:div w:id="1328939787">
      <w:bodyDiv w:val="1"/>
      <w:marLeft w:val="0"/>
      <w:marRight w:val="0"/>
      <w:marTop w:val="0"/>
      <w:marBottom w:val="0"/>
      <w:divBdr>
        <w:top w:val="none" w:sz="0" w:space="0" w:color="auto"/>
        <w:left w:val="none" w:sz="0" w:space="0" w:color="auto"/>
        <w:bottom w:val="none" w:sz="0" w:space="0" w:color="auto"/>
        <w:right w:val="none" w:sz="0" w:space="0" w:color="auto"/>
      </w:divBdr>
      <w:divsChild>
        <w:div w:id="1075201620">
          <w:marLeft w:val="640"/>
          <w:marRight w:val="0"/>
          <w:marTop w:val="0"/>
          <w:marBottom w:val="0"/>
          <w:divBdr>
            <w:top w:val="none" w:sz="0" w:space="0" w:color="auto"/>
            <w:left w:val="none" w:sz="0" w:space="0" w:color="auto"/>
            <w:bottom w:val="none" w:sz="0" w:space="0" w:color="auto"/>
            <w:right w:val="none" w:sz="0" w:space="0" w:color="auto"/>
          </w:divBdr>
        </w:div>
        <w:div w:id="575096898">
          <w:marLeft w:val="640"/>
          <w:marRight w:val="0"/>
          <w:marTop w:val="0"/>
          <w:marBottom w:val="0"/>
          <w:divBdr>
            <w:top w:val="none" w:sz="0" w:space="0" w:color="auto"/>
            <w:left w:val="none" w:sz="0" w:space="0" w:color="auto"/>
            <w:bottom w:val="none" w:sz="0" w:space="0" w:color="auto"/>
            <w:right w:val="none" w:sz="0" w:space="0" w:color="auto"/>
          </w:divBdr>
        </w:div>
        <w:div w:id="1013066868">
          <w:marLeft w:val="640"/>
          <w:marRight w:val="0"/>
          <w:marTop w:val="0"/>
          <w:marBottom w:val="0"/>
          <w:divBdr>
            <w:top w:val="none" w:sz="0" w:space="0" w:color="auto"/>
            <w:left w:val="none" w:sz="0" w:space="0" w:color="auto"/>
            <w:bottom w:val="none" w:sz="0" w:space="0" w:color="auto"/>
            <w:right w:val="none" w:sz="0" w:space="0" w:color="auto"/>
          </w:divBdr>
        </w:div>
        <w:div w:id="312299315">
          <w:marLeft w:val="640"/>
          <w:marRight w:val="0"/>
          <w:marTop w:val="0"/>
          <w:marBottom w:val="0"/>
          <w:divBdr>
            <w:top w:val="none" w:sz="0" w:space="0" w:color="auto"/>
            <w:left w:val="none" w:sz="0" w:space="0" w:color="auto"/>
            <w:bottom w:val="none" w:sz="0" w:space="0" w:color="auto"/>
            <w:right w:val="none" w:sz="0" w:space="0" w:color="auto"/>
          </w:divBdr>
        </w:div>
        <w:div w:id="1600599028">
          <w:marLeft w:val="640"/>
          <w:marRight w:val="0"/>
          <w:marTop w:val="0"/>
          <w:marBottom w:val="0"/>
          <w:divBdr>
            <w:top w:val="none" w:sz="0" w:space="0" w:color="auto"/>
            <w:left w:val="none" w:sz="0" w:space="0" w:color="auto"/>
            <w:bottom w:val="none" w:sz="0" w:space="0" w:color="auto"/>
            <w:right w:val="none" w:sz="0" w:space="0" w:color="auto"/>
          </w:divBdr>
        </w:div>
        <w:div w:id="2001809540">
          <w:marLeft w:val="640"/>
          <w:marRight w:val="0"/>
          <w:marTop w:val="0"/>
          <w:marBottom w:val="0"/>
          <w:divBdr>
            <w:top w:val="none" w:sz="0" w:space="0" w:color="auto"/>
            <w:left w:val="none" w:sz="0" w:space="0" w:color="auto"/>
            <w:bottom w:val="none" w:sz="0" w:space="0" w:color="auto"/>
            <w:right w:val="none" w:sz="0" w:space="0" w:color="auto"/>
          </w:divBdr>
        </w:div>
        <w:div w:id="601106427">
          <w:marLeft w:val="640"/>
          <w:marRight w:val="0"/>
          <w:marTop w:val="0"/>
          <w:marBottom w:val="0"/>
          <w:divBdr>
            <w:top w:val="none" w:sz="0" w:space="0" w:color="auto"/>
            <w:left w:val="none" w:sz="0" w:space="0" w:color="auto"/>
            <w:bottom w:val="none" w:sz="0" w:space="0" w:color="auto"/>
            <w:right w:val="none" w:sz="0" w:space="0" w:color="auto"/>
          </w:divBdr>
        </w:div>
        <w:div w:id="1298607828">
          <w:marLeft w:val="640"/>
          <w:marRight w:val="0"/>
          <w:marTop w:val="0"/>
          <w:marBottom w:val="0"/>
          <w:divBdr>
            <w:top w:val="none" w:sz="0" w:space="0" w:color="auto"/>
            <w:left w:val="none" w:sz="0" w:space="0" w:color="auto"/>
            <w:bottom w:val="none" w:sz="0" w:space="0" w:color="auto"/>
            <w:right w:val="none" w:sz="0" w:space="0" w:color="auto"/>
          </w:divBdr>
        </w:div>
        <w:div w:id="522940555">
          <w:marLeft w:val="640"/>
          <w:marRight w:val="0"/>
          <w:marTop w:val="0"/>
          <w:marBottom w:val="0"/>
          <w:divBdr>
            <w:top w:val="none" w:sz="0" w:space="0" w:color="auto"/>
            <w:left w:val="none" w:sz="0" w:space="0" w:color="auto"/>
            <w:bottom w:val="none" w:sz="0" w:space="0" w:color="auto"/>
            <w:right w:val="none" w:sz="0" w:space="0" w:color="auto"/>
          </w:divBdr>
        </w:div>
        <w:div w:id="448353921">
          <w:marLeft w:val="640"/>
          <w:marRight w:val="0"/>
          <w:marTop w:val="0"/>
          <w:marBottom w:val="0"/>
          <w:divBdr>
            <w:top w:val="none" w:sz="0" w:space="0" w:color="auto"/>
            <w:left w:val="none" w:sz="0" w:space="0" w:color="auto"/>
            <w:bottom w:val="none" w:sz="0" w:space="0" w:color="auto"/>
            <w:right w:val="none" w:sz="0" w:space="0" w:color="auto"/>
          </w:divBdr>
        </w:div>
        <w:div w:id="1487014883">
          <w:marLeft w:val="640"/>
          <w:marRight w:val="0"/>
          <w:marTop w:val="0"/>
          <w:marBottom w:val="0"/>
          <w:divBdr>
            <w:top w:val="none" w:sz="0" w:space="0" w:color="auto"/>
            <w:left w:val="none" w:sz="0" w:space="0" w:color="auto"/>
            <w:bottom w:val="none" w:sz="0" w:space="0" w:color="auto"/>
            <w:right w:val="none" w:sz="0" w:space="0" w:color="auto"/>
          </w:divBdr>
        </w:div>
        <w:div w:id="221914479">
          <w:marLeft w:val="640"/>
          <w:marRight w:val="0"/>
          <w:marTop w:val="0"/>
          <w:marBottom w:val="0"/>
          <w:divBdr>
            <w:top w:val="none" w:sz="0" w:space="0" w:color="auto"/>
            <w:left w:val="none" w:sz="0" w:space="0" w:color="auto"/>
            <w:bottom w:val="none" w:sz="0" w:space="0" w:color="auto"/>
            <w:right w:val="none" w:sz="0" w:space="0" w:color="auto"/>
          </w:divBdr>
        </w:div>
        <w:div w:id="178324566">
          <w:marLeft w:val="640"/>
          <w:marRight w:val="0"/>
          <w:marTop w:val="0"/>
          <w:marBottom w:val="0"/>
          <w:divBdr>
            <w:top w:val="none" w:sz="0" w:space="0" w:color="auto"/>
            <w:left w:val="none" w:sz="0" w:space="0" w:color="auto"/>
            <w:bottom w:val="none" w:sz="0" w:space="0" w:color="auto"/>
            <w:right w:val="none" w:sz="0" w:space="0" w:color="auto"/>
          </w:divBdr>
        </w:div>
        <w:div w:id="1585916310">
          <w:marLeft w:val="640"/>
          <w:marRight w:val="0"/>
          <w:marTop w:val="0"/>
          <w:marBottom w:val="0"/>
          <w:divBdr>
            <w:top w:val="none" w:sz="0" w:space="0" w:color="auto"/>
            <w:left w:val="none" w:sz="0" w:space="0" w:color="auto"/>
            <w:bottom w:val="none" w:sz="0" w:space="0" w:color="auto"/>
            <w:right w:val="none" w:sz="0" w:space="0" w:color="auto"/>
          </w:divBdr>
        </w:div>
        <w:div w:id="1770807829">
          <w:marLeft w:val="640"/>
          <w:marRight w:val="0"/>
          <w:marTop w:val="0"/>
          <w:marBottom w:val="0"/>
          <w:divBdr>
            <w:top w:val="none" w:sz="0" w:space="0" w:color="auto"/>
            <w:left w:val="none" w:sz="0" w:space="0" w:color="auto"/>
            <w:bottom w:val="none" w:sz="0" w:space="0" w:color="auto"/>
            <w:right w:val="none" w:sz="0" w:space="0" w:color="auto"/>
          </w:divBdr>
        </w:div>
        <w:div w:id="937568562">
          <w:marLeft w:val="640"/>
          <w:marRight w:val="0"/>
          <w:marTop w:val="0"/>
          <w:marBottom w:val="0"/>
          <w:divBdr>
            <w:top w:val="none" w:sz="0" w:space="0" w:color="auto"/>
            <w:left w:val="none" w:sz="0" w:space="0" w:color="auto"/>
            <w:bottom w:val="none" w:sz="0" w:space="0" w:color="auto"/>
            <w:right w:val="none" w:sz="0" w:space="0" w:color="auto"/>
          </w:divBdr>
        </w:div>
        <w:div w:id="2130392570">
          <w:marLeft w:val="640"/>
          <w:marRight w:val="0"/>
          <w:marTop w:val="0"/>
          <w:marBottom w:val="0"/>
          <w:divBdr>
            <w:top w:val="none" w:sz="0" w:space="0" w:color="auto"/>
            <w:left w:val="none" w:sz="0" w:space="0" w:color="auto"/>
            <w:bottom w:val="none" w:sz="0" w:space="0" w:color="auto"/>
            <w:right w:val="none" w:sz="0" w:space="0" w:color="auto"/>
          </w:divBdr>
        </w:div>
        <w:div w:id="2038265473">
          <w:marLeft w:val="640"/>
          <w:marRight w:val="0"/>
          <w:marTop w:val="0"/>
          <w:marBottom w:val="0"/>
          <w:divBdr>
            <w:top w:val="none" w:sz="0" w:space="0" w:color="auto"/>
            <w:left w:val="none" w:sz="0" w:space="0" w:color="auto"/>
            <w:bottom w:val="none" w:sz="0" w:space="0" w:color="auto"/>
            <w:right w:val="none" w:sz="0" w:space="0" w:color="auto"/>
          </w:divBdr>
        </w:div>
        <w:div w:id="1649631212">
          <w:marLeft w:val="640"/>
          <w:marRight w:val="0"/>
          <w:marTop w:val="0"/>
          <w:marBottom w:val="0"/>
          <w:divBdr>
            <w:top w:val="none" w:sz="0" w:space="0" w:color="auto"/>
            <w:left w:val="none" w:sz="0" w:space="0" w:color="auto"/>
            <w:bottom w:val="none" w:sz="0" w:space="0" w:color="auto"/>
            <w:right w:val="none" w:sz="0" w:space="0" w:color="auto"/>
          </w:divBdr>
        </w:div>
        <w:div w:id="209806399">
          <w:marLeft w:val="640"/>
          <w:marRight w:val="0"/>
          <w:marTop w:val="0"/>
          <w:marBottom w:val="0"/>
          <w:divBdr>
            <w:top w:val="none" w:sz="0" w:space="0" w:color="auto"/>
            <w:left w:val="none" w:sz="0" w:space="0" w:color="auto"/>
            <w:bottom w:val="none" w:sz="0" w:space="0" w:color="auto"/>
            <w:right w:val="none" w:sz="0" w:space="0" w:color="auto"/>
          </w:divBdr>
        </w:div>
        <w:div w:id="1823237046">
          <w:marLeft w:val="640"/>
          <w:marRight w:val="0"/>
          <w:marTop w:val="0"/>
          <w:marBottom w:val="0"/>
          <w:divBdr>
            <w:top w:val="none" w:sz="0" w:space="0" w:color="auto"/>
            <w:left w:val="none" w:sz="0" w:space="0" w:color="auto"/>
            <w:bottom w:val="none" w:sz="0" w:space="0" w:color="auto"/>
            <w:right w:val="none" w:sz="0" w:space="0" w:color="auto"/>
          </w:divBdr>
        </w:div>
        <w:div w:id="653022310">
          <w:marLeft w:val="640"/>
          <w:marRight w:val="0"/>
          <w:marTop w:val="0"/>
          <w:marBottom w:val="0"/>
          <w:divBdr>
            <w:top w:val="none" w:sz="0" w:space="0" w:color="auto"/>
            <w:left w:val="none" w:sz="0" w:space="0" w:color="auto"/>
            <w:bottom w:val="none" w:sz="0" w:space="0" w:color="auto"/>
            <w:right w:val="none" w:sz="0" w:space="0" w:color="auto"/>
          </w:divBdr>
        </w:div>
        <w:div w:id="182717067">
          <w:marLeft w:val="640"/>
          <w:marRight w:val="0"/>
          <w:marTop w:val="0"/>
          <w:marBottom w:val="0"/>
          <w:divBdr>
            <w:top w:val="none" w:sz="0" w:space="0" w:color="auto"/>
            <w:left w:val="none" w:sz="0" w:space="0" w:color="auto"/>
            <w:bottom w:val="none" w:sz="0" w:space="0" w:color="auto"/>
            <w:right w:val="none" w:sz="0" w:space="0" w:color="auto"/>
          </w:divBdr>
        </w:div>
        <w:div w:id="474641336">
          <w:marLeft w:val="640"/>
          <w:marRight w:val="0"/>
          <w:marTop w:val="0"/>
          <w:marBottom w:val="0"/>
          <w:divBdr>
            <w:top w:val="none" w:sz="0" w:space="0" w:color="auto"/>
            <w:left w:val="none" w:sz="0" w:space="0" w:color="auto"/>
            <w:bottom w:val="none" w:sz="0" w:space="0" w:color="auto"/>
            <w:right w:val="none" w:sz="0" w:space="0" w:color="auto"/>
          </w:divBdr>
        </w:div>
        <w:div w:id="2023628721">
          <w:marLeft w:val="640"/>
          <w:marRight w:val="0"/>
          <w:marTop w:val="0"/>
          <w:marBottom w:val="0"/>
          <w:divBdr>
            <w:top w:val="none" w:sz="0" w:space="0" w:color="auto"/>
            <w:left w:val="none" w:sz="0" w:space="0" w:color="auto"/>
            <w:bottom w:val="none" w:sz="0" w:space="0" w:color="auto"/>
            <w:right w:val="none" w:sz="0" w:space="0" w:color="auto"/>
          </w:divBdr>
        </w:div>
        <w:div w:id="1341855633">
          <w:marLeft w:val="640"/>
          <w:marRight w:val="0"/>
          <w:marTop w:val="0"/>
          <w:marBottom w:val="0"/>
          <w:divBdr>
            <w:top w:val="none" w:sz="0" w:space="0" w:color="auto"/>
            <w:left w:val="none" w:sz="0" w:space="0" w:color="auto"/>
            <w:bottom w:val="none" w:sz="0" w:space="0" w:color="auto"/>
            <w:right w:val="none" w:sz="0" w:space="0" w:color="auto"/>
          </w:divBdr>
        </w:div>
        <w:div w:id="1391733225">
          <w:marLeft w:val="640"/>
          <w:marRight w:val="0"/>
          <w:marTop w:val="0"/>
          <w:marBottom w:val="0"/>
          <w:divBdr>
            <w:top w:val="none" w:sz="0" w:space="0" w:color="auto"/>
            <w:left w:val="none" w:sz="0" w:space="0" w:color="auto"/>
            <w:bottom w:val="none" w:sz="0" w:space="0" w:color="auto"/>
            <w:right w:val="none" w:sz="0" w:space="0" w:color="auto"/>
          </w:divBdr>
        </w:div>
        <w:div w:id="1997999209">
          <w:marLeft w:val="640"/>
          <w:marRight w:val="0"/>
          <w:marTop w:val="0"/>
          <w:marBottom w:val="0"/>
          <w:divBdr>
            <w:top w:val="none" w:sz="0" w:space="0" w:color="auto"/>
            <w:left w:val="none" w:sz="0" w:space="0" w:color="auto"/>
            <w:bottom w:val="none" w:sz="0" w:space="0" w:color="auto"/>
            <w:right w:val="none" w:sz="0" w:space="0" w:color="auto"/>
          </w:divBdr>
        </w:div>
        <w:div w:id="1097821711">
          <w:marLeft w:val="640"/>
          <w:marRight w:val="0"/>
          <w:marTop w:val="0"/>
          <w:marBottom w:val="0"/>
          <w:divBdr>
            <w:top w:val="none" w:sz="0" w:space="0" w:color="auto"/>
            <w:left w:val="none" w:sz="0" w:space="0" w:color="auto"/>
            <w:bottom w:val="none" w:sz="0" w:space="0" w:color="auto"/>
            <w:right w:val="none" w:sz="0" w:space="0" w:color="auto"/>
          </w:divBdr>
        </w:div>
        <w:div w:id="1359548513">
          <w:marLeft w:val="640"/>
          <w:marRight w:val="0"/>
          <w:marTop w:val="0"/>
          <w:marBottom w:val="0"/>
          <w:divBdr>
            <w:top w:val="none" w:sz="0" w:space="0" w:color="auto"/>
            <w:left w:val="none" w:sz="0" w:space="0" w:color="auto"/>
            <w:bottom w:val="none" w:sz="0" w:space="0" w:color="auto"/>
            <w:right w:val="none" w:sz="0" w:space="0" w:color="auto"/>
          </w:divBdr>
        </w:div>
        <w:div w:id="892812546">
          <w:marLeft w:val="640"/>
          <w:marRight w:val="0"/>
          <w:marTop w:val="0"/>
          <w:marBottom w:val="0"/>
          <w:divBdr>
            <w:top w:val="none" w:sz="0" w:space="0" w:color="auto"/>
            <w:left w:val="none" w:sz="0" w:space="0" w:color="auto"/>
            <w:bottom w:val="none" w:sz="0" w:space="0" w:color="auto"/>
            <w:right w:val="none" w:sz="0" w:space="0" w:color="auto"/>
          </w:divBdr>
        </w:div>
        <w:div w:id="857045523">
          <w:marLeft w:val="640"/>
          <w:marRight w:val="0"/>
          <w:marTop w:val="0"/>
          <w:marBottom w:val="0"/>
          <w:divBdr>
            <w:top w:val="none" w:sz="0" w:space="0" w:color="auto"/>
            <w:left w:val="none" w:sz="0" w:space="0" w:color="auto"/>
            <w:bottom w:val="none" w:sz="0" w:space="0" w:color="auto"/>
            <w:right w:val="none" w:sz="0" w:space="0" w:color="auto"/>
          </w:divBdr>
        </w:div>
        <w:div w:id="2120490660">
          <w:marLeft w:val="640"/>
          <w:marRight w:val="0"/>
          <w:marTop w:val="0"/>
          <w:marBottom w:val="0"/>
          <w:divBdr>
            <w:top w:val="none" w:sz="0" w:space="0" w:color="auto"/>
            <w:left w:val="none" w:sz="0" w:space="0" w:color="auto"/>
            <w:bottom w:val="none" w:sz="0" w:space="0" w:color="auto"/>
            <w:right w:val="none" w:sz="0" w:space="0" w:color="auto"/>
          </w:divBdr>
        </w:div>
        <w:div w:id="1554777680">
          <w:marLeft w:val="640"/>
          <w:marRight w:val="0"/>
          <w:marTop w:val="0"/>
          <w:marBottom w:val="0"/>
          <w:divBdr>
            <w:top w:val="none" w:sz="0" w:space="0" w:color="auto"/>
            <w:left w:val="none" w:sz="0" w:space="0" w:color="auto"/>
            <w:bottom w:val="none" w:sz="0" w:space="0" w:color="auto"/>
            <w:right w:val="none" w:sz="0" w:space="0" w:color="auto"/>
          </w:divBdr>
        </w:div>
        <w:div w:id="1240098402">
          <w:marLeft w:val="640"/>
          <w:marRight w:val="0"/>
          <w:marTop w:val="0"/>
          <w:marBottom w:val="0"/>
          <w:divBdr>
            <w:top w:val="none" w:sz="0" w:space="0" w:color="auto"/>
            <w:left w:val="none" w:sz="0" w:space="0" w:color="auto"/>
            <w:bottom w:val="none" w:sz="0" w:space="0" w:color="auto"/>
            <w:right w:val="none" w:sz="0" w:space="0" w:color="auto"/>
          </w:divBdr>
        </w:div>
        <w:div w:id="1970431871">
          <w:marLeft w:val="640"/>
          <w:marRight w:val="0"/>
          <w:marTop w:val="0"/>
          <w:marBottom w:val="0"/>
          <w:divBdr>
            <w:top w:val="none" w:sz="0" w:space="0" w:color="auto"/>
            <w:left w:val="none" w:sz="0" w:space="0" w:color="auto"/>
            <w:bottom w:val="none" w:sz="0" w:space="0" w:color="auto"/>
            <w:right w:val="none" w:sz="0" w:space="0" w:color="auto"/>
          </w:divBdr>
        </w:div>
        <w:div w:id="1428845395">
          <w:marLeft w:val="640"/>
          <w:marRight w:val="0"/>
          <w:marTop w:val="0"/>
          <w:marBottom w:val="0"/>
          <w:divBdr>
            <w:top w:val="none" w:sz="0" w:space="0" w:color="auto"/>
            <w:left w:val="none" w:sz="0" w:space="0" w:color="auto"/>
            <w:bottom w:val="none" w:sz="0" w:space="0" w:color="auto"/>
            <w:right w:val="none" w:sz="0" w:space="0" w:color="auto"/>
          </w:divBdr>
        </w:div>
        <w:div w:id="1409766358">
          <w:marLeft w:val="640"/>
          <w:marRight w:val="0"/>
          <w:marTop w:val="0"/>
          <w:marBottom w:val="0"/>
          <w:divBdr>
            <w:top w:val="none" w:sz="0" w:space="0" w:color="auto"/>
            <w:left w:val="none" w:sz="0" w:space="0" w:color="auto"/>
            <w:bottom w:val="none" w:sz="0" w:space="0" w:color="auto"/>
            <w:right w:val="none" w:sz="0" w:space="0" w:color="auto"/>
          </w:divBdr>
        </w:div>
        <w:div w:id="1372457251">
          <w:marLeft w:val="640"/>
          <w:marRight w:val="0"/>
          <w:marTop w:val="0"/>
          <w:marBottom w:val="0"/>
          <w:divBdr>
            <w:top w:val="none" w:sz="0" w:space="0" w:color="auto"/>
            <w:left w:val="none" w:sz="0" w:space="0" w:color="auto"/>
            <w:bottom w:val="none" w:sz="0" w:space="0" w:color="auto"/>
            <w:right w:val="none" w:sz="0" w:space="0" w:color="auto"/>
          </w:divBdr>
        </w:div>
        <w:div w:id="1970432561">
          <w:marLeft w:val="640"/>
          <w:marRight w:val="0"/>
          <w:marTop w:val="0"/>
          <w:marBottom w:val="0"/>
          <w:divBdr>
            <w:top w:val="none" w:sz="0" w:space="0" w:color="auto"/>
            <w:left w:val="none" w:sz="0" w:space="0" w:color="auto"/>
            <w:bottom w:val="none" w:sz="0" w:space="0" w:color="auto"/>
            <w:right w:val="none" w:sz="0" w:space="0" w:color="auto"/>
          </w:divBdr>
        </w:div>
        <w:div w:id="1181162159">
          <w:marLeft w:val="640"/>
          <w:marRight w:val="0"/>
          <w:marTop w:val="0"/>
          <w:marBottom w:val="0"/>
          <w:divBdr>
            <w:top w:val="none" w:sz="0" w:space="0" w:color="auto"/>
            <w:left w:val="none" w:sz="0" w:space="0" w:color="auto"/>
            <w:bottom w:val="none" w:sz="0" w:space="0" w:color="auto"/>
            <w:right w:val="none" w:sz="0" w:space="0" w:color="auto"/>
          </w:divBdr>
        </w:div>
        <w:div w:id="2114545267">
          <w:marLeft w:val="640"/>
          <w:marRight w:val="0"/>
          <w:marTop w:val="0"/>
          <w:marBottom w:val="0"/>
          <w:divBdr>
            <w:top w:val="none" w:sz="0" w:space="0" w:color="auto"/>
            <w:left w:val="none" w:sz="0" w:space="0" w:color="auto"/>
            <w:bottom w:val="none" w:sz="0" w:space="0" w:color="auto"/>
            <w:right w:val="none" w:sz="0" w:space="0" w:color="auto"/>
          </w:divBdr>
        </w:div>
        <w:div w:id="1767965338">
          <w:marLeft w:val="640"/>
          <w:marRight w:val="0"/>
          <w:marTop w:val="0"/>
          <w:marBottom w:val="0"/>
          <w:divBdr>
            <w:top w:val="none" w:sz="0" w:space="0" w:color="auto"/>
            <w:left w:val="none" w:sz="0" w:space="0" w:color="auto"/>
            <w:bottom w:val="none" w:sz="0" w:space="0" w:color="auto"/>
            <w:right w:val="none" w:sz="0" w:space="0" w:color="auto"/>
          </w:divBdr>
        </w:div>
        <w:div w:id="1331635296">
          <w:marLeft w:val="640"/>
          <w:marRight w:val="0"/>
          <w:marTop w:val="0"/>
          <w:marBottom w:val="0"/>
          <w:divBdr>
            <w:top w:val="none" w:sz="0" w:space="0" w:color="auto"/>
            <w:left w:val="none" w:sz="0" w:space="0" w:color="auto"/>
            <w:bottom w:val="none" w:sz="0" w:space="0" w:color="auto"/>
            <w:right w:val="none" w:sz="0" w:space="0" w:color="auto"/>
          </w:divBdr>
        </w:div>
        <w:div w:id="1449935280">
          <w:marLeft w:val="640"/>
          <w:marRight w:val="0"/>
          <w:marTop w:val="0"/>
          <w:marBottom w:val="0"/>
          <w:divBdr>
            <w:top w:val="none" w:sz="0" w:space="0" w:color="auto"/>
            <w:left w:val="none" w:sz="0" w:space="0" w:color="auto"/>
            <w:bottom w:val="none" w:sz="0" w:space="0" w:color="auto"/>
            <w:right w:val="none" w:sz="0" w:space="0" w:color="auto"/>
          </w:divBdr>
        </w:div>
        <w:div w:id="1373994130">
          <w:marLeft w:val="640"/>
          <w:marRight w:val="0"/>
          <w:marTop w:val="0"/>
          <w:marBottom w:val="0"/>
          <w:divBdr>
            <w:top w:val="none" w:sz="0" w:space="0" w:color="auto"/>
            <w:left w:val="none" w:sz="0" w:space="0" w:color="auto"/>
            <w:bottom w:val="none" w:sz="0" w:space="0" w:color="auto"/>
            <w:right w:val="none" w:sz="0" w:space="0" w:color="auto"/>
          </w:divBdr>
        </w:div>
        <w:div w:id="1650013672">
          <w:marLeft w:val="640"/>
          <w:marRight w:val="0"/>
          <w:marTop w:val="0"/>
          <w:marBottom w:val="0"/>
          <w:divBdr>
            <w:top w:val="none" w:sz="0" w:space="0" w:color="auto"/>
            <w:left w:val="none" w:sz="0" w:space="0" w:color="auto"/>
            <w:bottom w:val="none" w:sz="0" w:space="0" w:color="auto"/>
            <w:right w:val="none" w:sz="0" w:space="0" w:color="auto"/>
          </w:divBdr>
        </w:div>
        <w:div w:id="2015842471">
          <w:marLeft w:val="640"/>
          <w:marRight w:val="0"/>
          <w:marTop w:val="0"/>
          <w:marBottom w:val="0"/>
          <w:divBdr>
            <w:top w:val="none" w:sz="0" w:space="0" w:color="auto"/>
            <w:left w:val="none" w:sz="0" w:space="0" w:color="auto"/>
            <w:bottom w:val="none" w:sz="0" w:space="0" w:color="auto"/>
            <w:right w:val="none" w:sz="0" w:space="0" w:color="auto"/>
          </w:divBdr>
        </w:div>
        <w:div w:id="76245268">
          <w:marLeft w:val="640"/>
          <w:marRight w:val="0"/>
          <w:marTop w:val="0"/>
          <w:marBottom w:val="0"/>
          <w:divBdr>
            <w:top w:val="none" w:sz="0" w:space="0" w:color="auto"/>
            <w:left w:val="none" w:sz="0" w:space="0" w:color="auto"/>
            <w:bottom w:val="none" w:sz="0" w:space="0" w:color="auto"/>
            <w:right w:val="none" w:sz="0" w:space="0" w:color="auto"/>
          </w:divBdr>
        </w:div>
        <w:div w:id="1185678072">
          <w:marLeft w:val="640"/>
          <w:marRight w:val="0"/>
          <w:marTop w:val="0"/>
          <w:marBottom w:val="0"/>
          <w:divBdr>
            <w:top w:val="none" w:sz="0" w:space="0" w:color="auto"/>
            <w:left w:val="none" w:sz="0" w:space="0" w:color="auto"/>
            <w:bottom w:val="none" w:sz="0" w:space="0" w:color="auto"/>
            <w:right w:val="none" w:sz="0" w:space="0" w:color="auto"/>
          </w:divBdr>
        </w:div>
        <w:div w:id="157617115">
          <w:marLeft w:val="640"/>
          <w:marRight w:val="0"/>
          <w:marTop w:val="0"/>
          <w:marBottom w:val="0"/>
          <w:divBdr>
            <w:top w:val="none" w:sz="0" w:space="0" w:color="auto"/>
            <w:left w:val="none" w:sz="0" w:space="0" w:color="auto"/>
            <w:bottom w:val="none" w:sz="0" w:space="0" w:color="auto"/>
            <w:right w:val="none" w:sz="0" w:space="0" w:color="auto"/>
          </w:divBdr>
        </w:div>
        <w:div w:id="1285428979">
          <w:marLeft w:val="640"/>
          <w:marRight w:val="0"/>
          <w:marTop w:val="0"/>
          <w:marBottom w:val="0"/>
          <w:divBdr>
            <w:top w:val="none" w:sz="0" w:space="0" w:color="auto"/>
            <w:left w:val="none" w:sz="0" w:space="0" w:color="auto"/>
            <w:bottom w:val="none" w:sz="0" w:space="0" w:color="auto"/>
            <w:right w:val="none" w:sz="0" w:space="0" w:color="auto"/>
          </w:divBdr>
        </w:div>
        <w:div w:id="1775712765">
          <w:marLeft w:val="640"/>
          <w:marRight w:val="0"/>
          <w:marTop w:val="0"/>
          <w:marBottom w:val="0"/>
          <w:divBdr>
            <w:top w:val="none" w:sz="0" w:space="0" w:color="auto"/>
            <w:left w:val="none" w:sz="0" w:space="0" w:color="auto"/>
            <w:bottom w:val="none" w:sz="0" w:space="0" w:color="auto"/>
            <w:right w:val="none" w:sz="0" w:space="0" w:color="auto"/>
          </w:divBdr>
        </w:div>
        <w:div w:id="69547464">
          <w:marLeft w:val="640"/>
          <w:marRight w:val="0"/>
          <w:marTop w:val="0"/>
          <w:marBottom w:val="0"/>
          <w:divBdr>
            <w:top w:val="none" w:sz="0" w:space="0" w:color="auto"/>
            <w:left w:val="none" w:sz="0" w:space="0" w:color="auto"/>
            <w:bottom w:val="none" w:sz="0" w:space="0" w:color="auto"/>
            <w:right w:val="none" w:sz="0" w:space="0" w:color="auto"/>
          </w:divBdr>
        </w:div>
        <w:div w:id="1779645279">
          <w:marLeft w:val="640"/>
          <w:marRight w:val="0"/>
          <w:marTop w:val="0"/>
          <w:marBottom w:val="0"/>
          <w:divBdr>
            <w:top w:val="none" w:sz="0" w:space="0" w:color="auto"/>
            <w:left w:val="none" w:sz="0" w:space="0" w:color="auto"/>
            <w:bottom w:val="none" w:sz="0" w:space="0" w:color="auto"/>
            <w:right w:val="none" w:sz="0" w:space="0" w:color="auto"/>
          </w:divBdr>
        </w:div>
        <w:div w:id="1484737800">
          <w:marLeft w:val="640"/>
          <w:marRight w:val="0"/>
          <w:marTop w:val="0"/>
          <w:marBottom w:val="0"/>
          <w:divBdr>
            <w:top w:val="none" w:sz="0" w:space="0" w:color="auto"/>
            <w:left w:val="none" w:sz="0" w:space="0" w:color="auto"/>
            <w:bottom w:val="none" w:sz="0" w:space="0" w:color="auto"/>
            <w:right w:val="none" w:sz="0" w:space="0" w:color="auto"/>
          </w:divBdr>
        </w:div>
        <w:div w:id="824051727">
          <w:marLeft w:val="640"/>
          <w:marRight w:val="0"/>
          <w:marTop w:val="0"/>
          <w:marBottom w:val="0"/>
          <w:divBdr>
            <w:top w:val="none" w:sz="0" w:space="0" w:color="auto"/>
            <w:left w:val="none" w:sz="0" w:space="0" w:color="auto"/>
            <w:bottom w:val="none" w:sz="0" w:space="0" w:color="auto"/>
            <w:right w:val="none" w:sz="0" w:space="0" w:color="auto"/>
          </w:divBdr>
        </w:div>
        <w:div w:id="1011109640">
          <w:marLeft w:val="640"/>
          <w:marRight w:val="0"/>
          <w:marTop w:val="0"/>
          <w:marBottom w:val="0"/>
          <w:divBdr>
            <w:top w:val="none" w:sz="0" w:space="0" w:color="auto"/>
            <w:left w:val="none" w:sz="0" w:space="0" w:color="auto"/>
            <w:bottom w:val="none" w:sz="0" w:space="0" w:color="auto"/>
            <w:right w:val="none" w:sz="0" w:space="0" w:color="auto"/>
          </w:divBdr>
        </w:div>
        <w:div w:id="210850708">
          <w:marLeft w:val="640"/>
          <w:marRight w:val="0"/>
          <w:marTop w:val="0"/>
          <w:marBottom w:val="0"/>
          <w:divBdr>
            <w:top w:val="none" w:sz="0" w:space="0" w:color="auto"/>
            <w:left w:val="none" w:sz="0" w:space="0" w:color="auto"/>
            <w:bottom w:val="none" w:sz="0" w:space="0" w:color="auto"/>
            <w:right w:val="none" w:sz="0" w:space="0" w:color="auto"/>
          </w:divBdr>
        </w:div>
        <w:div w:id="2142191820">
          <w:marLeft w:val="640"/>
          <w:marRight w:val="0"/>
          <w:marTop w:val="0"/>
          <w:marBottom w:val="0"/>
          <w:divBdr>
            <w:top w:val="none" w:sz="0" w:space="0" w:color="auto"/>
            <w:left w:val="none" w:sz="0" w:space="0" w:color="auto"/>
            <w:bottom w:val="none" w:sz="0" w:space="0" w:color="auto"/>
            <w:right w:val="none" w:sz="0" w:space="0" w:color="auto"/>
          </w:divBdr>
        </w:div>
        <w:div w:id="2121297542">
          <w:marLeft w:val="640"/>
          <w:marRight w:val="0"/>
          <w:marTop w:val="0"/>
          <w:marBottom w:val="0"/>
          <w:divBdr>
            <w:top w:val="none" w:sz="0" w:space="0" w:color="auto"/>
            <w:left w:val="none" w:sz="0" w:space="0" w:color="auto"/>
            <w:bottom w:val="none" w:sz="0" w:space="0" w:color="auto"/>
            <w:right w:val="none" w:sz="0" w:space="0" w:color="auto"/>
          </w:divBdr>
        </w:div>
        <w:div w:id="808549018">
          <w:marLeft w:val="640"/>
          <w:marRight w:val="0"/>
          <w:marTop w:val="0"/>
          <w:marBottom w:val="0"/>
          <w:divBdr>
            <w:top w:val="none" w:sz="0" w:space="0" w:color="auto"/>
            <w:left w:val="none" w:sz="0" w:space="0" w:color="auto"/>
            <w:bottom w:val="none" w:sz="0" w:space="0" w:color="auto"/>
            <w:right w:val="none" w:sz="0" w:space="0" w:color="auto"/>
          </w:divBdr>
        </w:div>
        <w:div w:id="1073770950">
          <w:marLeft w:val="640"/>
          <w:marRight w:val="0"/>
          <w:marTop w:val="0"/>
          <w:marBottom w:val="0"/>
          <w:divBdr>
            <w:top w:val="none" w:sz="0" w:space="0" w:color="auto"/>
            <w:left w:val="none" w:sz="0" w:space="0" w:color="auto"/>
            <w:bottom w:val="none" w:sz="0" w:space="0" w:color="auto"/>
            <w:right w:val="none" w:sz="0" w:space="0" w:color="auto"/>
          </w:divBdr>
        </w:div>
        <w:div w:id="896235719">
          <w:marLeft w:val="640"/>
          <w:marRight w:val="0"/>
          <w:marTop w:val="0"/>
          <w:marBottom w:val="0"/>
          <w:divBdr>
            <w:top w:val="none" w:sz="0" w:space="0" w:color="auto"/>
            <w:left w:val="none" w:sz="0" w:space="0" w:color="auto"/>
            <w:bottom w:val="none" w:sz="0" w:space="0" w:color="auto"/>
            <w:right w:val="none" w:sz="0" w:space="0" w:color="auto"/>
          </w:divBdr>
        </w:div>
        <w:div w:id="182326984">
          <w:marLeft w:val="640"/>
          <w:marRight w:val="0"/>
          <w:marTop w:val="0"/>
          <w:marBottom w:val="0"/>
          <w:divBdr>
            <w:top w:val="none" w:sz="0" w:space="0" w:color="auto"/>
            <w:left w:val="none" w:sz="0" w:space="0" w:color="auto"/>
            <w:bottom w:val="none" w:sz="0" w:space="0" w:color="auto"/>
            <w:right w:val="none" w:sz="0" w:space="0" w:color="auto"/>
          </w:divBdr>
        </w:div>
        <w:div w:id="1106316677">
          <w:marLeft w:val="640"/>
          <w:marRight w:val="0"/>
          <w:marTop w:val="0"/>
          <w:marBottom w:val="0"/>
          <w:divBdr>
            <w:top w:val="none" w:sz="0" w:space="0" w:color="auto"/>
            <w:left w:val="none" w:sz="0" w:space="0" w:color="auto"/>
            <w:bottom w:val="none" w:sz="0" w:space="0" w:color="auto"/>
            <w:right w:val="none" w:sz="0" w:space="0" w:color="auto"/>
          </w:divBdr>
        </w:div>
        <w:div w:id="1103843152">
          <w:marLeft w:val="640"/>
          <w:marRight w:val="0"/>
          <w:marTop w:val="0"/>
          <w:marBottom w:val="0"/>
          <w:divBdr>
            <w:top w:val="none" w:sz="0" w:space="0" w:color="auto"/>
            <w:left w:val="none" w:sz="0" w:space="0" w:color="auto"/>
            <w:bottom w:val="none" w:sz="0" w:space="0" w:color="auto"/>
            <w:right w:val="none" w:sz="0" w:space="0" w:color="auto"/>
          </w:divBdr>
        </w:div>
        <w:div w:id="57021208">
          <w:marLeft w:val="640"/>
          <w:marRight w:val="0"/>
          <w:marTop w:val="0"/>
          <w:marBottom w:val="0"/>
          <w:divBdr>
            <w:top w:val="none" w:sz="0" w:space="0" w:color="auto"/>
            <w:left w:val="none" w:sz="0" w:space="0" w:color="auto"/>
            <w:bottom w:val="none" w:sz="0" w:space="0" w:color="auto"/>
            <w:right w:val="none" w:sz="0" w:space="0" w:color="auto"/>
          </w:divBdr>
        </w:div>
        <w:div w:id="1429275011">
          <w:marLeft w:val="640"/>
          <w:marRight w:val="0"/>
          <w:marTop w:val="0"/>
          <w:marBottom w:val="0"/>
          <w:divBdr>
            <w:top w:val="none" w:sz="0" w:space="0" w:color="auto"/>
            <w:left w:val="none" w:sz="0" w:space="0" w:color="auto"/>
            <w:bottom w:val="none" w:sz="0" w:space="0" w:color="auto"/>
            <w:right w:val="none" w:sz="0" w:space="0" w:color="auto"/>
          </w:divBdr>
        </w:div>
        <w:div w:id="1925872928">
          <w:marLeft w:val="640"/>
          <w:marRight w:val="0"/>
          <w:marTop w:val="0"/>
          <w:marBottom w:val="0"/>
          <w:divBdr>
            <w:top w:val="none" w:sz="0" w:space="0" w:color="auto"/>
            <w:left w:val="none" w:sz="0" w:space="0" w:color="auto"/>
            <w:bottom w:val="none" w:sz="0" w:space="0" w:color="auto"/>
            <w:right w:val="none" w:sz="0" w:space="0" w:color="auto"/>
          </w:divBdr>
        </w:div>
        <w:div w:id="1974213623">
          <w:marLeft w:val="640"/>
          <w:marRight w:val="0"/>
          <w:marTop w:val="0"/>
          <w:marBottom w:val="0"/>
          <w:divBdr>
            <w:top w:val="none" w:sz="0" w:space="0" w:color="auto"/>
            <w:left w:val="none" w:sz="0" w:space="0" w:color="auto"/>
            <w:bottom w:val="none" w:sz="0" w:space="0" w:color="auto"/>
            <w:right w:val="none" w:sz="0" w:space="0" w:color="auto"/>
          </w:divBdr>
        </w:div>
        <w:div w:id="236980165">
          <w:marLeft w:val="640"/>
          <w:marRight w:val="0"/>
          <w:marTop w:val="0"/>
          <w:marBottom w:val="0"/>
          <w:divBdr>
            <w:top w:val="none" w:sz="0" w:space="0" w:color="auto"/>
            <w:left w:val="none" w:sz="0" w:space="0" w:color="auto"/>
            <w:bottom w:val="none" w:sz="0" w:space="0" w:color="auto"/>
            <w:right w:val="none" w:sz="0" w:space="0" w:color="auto"/>
          </w:divBdr>
        </w:div>
        <w:div w:id="2120445520">
          <w:marLeft w:val="640"/>
          <w:marRight w:val="0"/>
          <w:marTop w:val="0"/>
          <w:marBottom w:val="0"/>
          <w:divBdr>
            <w:top w:val="none" w:sz="0" w:space="0" w:color="auto"/>
            <w:left w:val="none" w:sz="0" w:space="0" w:color="auto"/>
            <w:bottom w:val="none" w:sz="0" w:space="0" w:color="auto"/>
            <w:right w:val="none" w:sz="0" w:space="0" w:color="auto"/>
          </w:divBdr>
        </w:div>
        <w:div w:id="1710378108">
          <w:marLeft w:val="640"/>
          <w:marRight w:val="0"/>
          <w:marTop w:val="0"/>
          <w:marBottom w:val="0"/>
          <w:divBdr>
            <w:top w:val="none" w:sz="0" w:space="0" w:color="auto"/>
            <w:left w:val="none" w:sz="0" w:space="0" w:color="auto"/>
            <w:bottom w:val="none" w:sz="0" w:space="0" w:color="auto"/>
            <w:right w:val="none" w:sz="0" w:space="0" w:color="auto"/>
          </w:divBdr>
        </w:div>
        <w:div w:id="2081364174">
          <w:marLeft w:val="640"/>
          <w:marRight w:val="0"/>
          <w:marTop w:val="0"/>
          <w:marBottom w:val="0"/>
          <w:divBdr>
            <w:top w:val="none" w:sz="0" w:space="0" w:color="auto"/>
            <w:left w:val="none" w:sz="0" w:space="0" w:color="auto"/>
            <w:bottom w:val="none" w:sz="0" w:space="0" w:color="auto"/>
            <w:right w:val="none" w:sz="0" w:space="0" w:color="auto"/>
          </w:divBdr>
        </w:div>
        <w:div w:id="1893232306">
          <w:marLeft w:val="640"/>
          <w:marRight w:val="0"/>
          <w:marTop w:val="0"/>
          <w:marBottom w:val="0"/>
          <w:divBdr>
            <w:top w:val="none" w:sz="0" w:space="0" w:color="auto"/>
            <w:left w:val="none" w:sz="0" w:space="0" w:color="auto"/>
            <w:bottom w:val="none" w:sz="0" w:space="0" w:color="auto"/>
            <w:right w:val="none" w:sz="0" w:space="0" w:color="auto"/>
          </w:divBdr>
        </w:div>
        <w:div w:id="197856215">
          <w:marLeft w:val="640"/>
          <w:marRight w:val="0"/>
          <w:marTop w:val="0"/>
          <w:marBottom w:val="0"/>
          <w:divBdr>
            <w:top w:val="none" w:sz="0" w:space="0" w:color="auto"/>
            <w:left w:val="none" w:sz="0" w:space="0" w:color="auto"/>
            <w:bottom w:val="none" w:sz="0" w:space="0" w:color="auto"/>
            <w:right w:val="none" w:sz="0" w:space="0" w:color="auto"/>
          </w:divBdr>
        </w:div>
        <w:div w:id="1566721784">
          <w:marLeft w:val="640"/>
          <w:marRight w:val="0"/>
          <w:marTop w:val="0"/>
          <w:marBottom w:val="0"/>
          <w:divBdr>
            <w:top w:val="none" w:sz="0" w:space="0" w:color="auto"/>
            <w:left w:val="none" w:sz="0" w:space="0" w:color="auto"/>
            <w:bottom w:val="none" w:sz="0" w:space="0" w:color="auto"/>
            <w:right w:val="none" w:sz="0" w:space="0" w:color="auto"/>
          </w:divBdr>
        </w:div>
        <w:div w:id="517161266">
          <w:marLeft w:val="640"/>
          <w:marRight w:val="0"/>
          <w:marTop w:val="0"/>
          <w:marBottom w:val="0"/>
          <w:divBdr>
            <w:top w:val="none" w:sz="0" w:space="0" w:color="auto"/>
            <w:left w:val="none" w:sz="0" w:space="0" w:color="auto"/>
            <w:bottom w:val="none" w:sz="0" w:space="0" w:color="auto"/>
            <w:right w:val="none" w:sz="0" w:space="0" w:color="auto"/>
          </w:divBdr>
        </w:div>
        <w:div w:id="266886814">
          <w:marLeft w:val="640"/>
          <w:marRight w:val="0"/>
          <w:marTop w:val="0"/>
          <w:marBottom w:val="0"/>
          <w:divBdr>
            <w:top w:val="none" w:sz="0" w:space="0" w:color="auto"/>
            <w:left w:val="none" w:sz="0" w:space="0" w:color="auto"/>
            <w:bottom w:val="none" w:sz="0" w:space="0" w:color="auto"/>
            <w:right w:val="none" w:sz="0" w:space="0" w:color="auto"/>
          </w:divBdr>
        </w:div>
        <w:div w:id="1474719182">
          <w:marLeft w:val="640"/>
          <w:marRight w:val="0"/>
          <w:marTop w:val="0"/>
          <w:marBottom w:val="0"/>
          <w:divBdr>
            <w:top w:val="none" w:sz="0" w:space="0" w:color="auto"/>
            <w:left w:val="none" w:sz="0" w:space="0" w:color="auto"/>
            <w:bottom w:val="none" w:sz="0" w:space="0" w:color="auto"/>
            <w:right w:val="none" w:sz="0" w:space="0" w:color="auto"/>
          </w:divBdr>
        </w:div>
        <w:div w:id="1286765979">
          <w:marLeft w:val="640"/>
          <w:marRight w:val="0"/>
          <w:marTop w:val="0"/>
          <w:marBottom w:val="0"/>
          <w:divBdr>
            <w:top w:val="none" w:sz="0" w:space="0" w:color="auto"/>
            <w:left w:val="none" w:sz="0" w:space="0" w:color="auto"/>
            <w:bottom w:val="none" w:sz="0" w:space="0" w:color="auto"/>
            <w:right w:val="none" w:sz="0" w:space="0" w:color="auto"/>
          </w:divBdr>
        </w:div>
        <w:div w:id="1221097287">
          <w:marLeft w:val="640"/>
          <w:marRight w:val="0"/>
          <w:marTop w:val="0"/>
          <w:marBottom w:val="0"/>
          <w:divBdr>
            <w:top w:val="none" w:sz="0" w:space="0" w:color="auto"/>
            <w:left w:val="none" w:sz="0" w:space="0" w:color="auto"/>
            <w:bottom w:val="none" w:sz="0" w:space="0" w:color="auto"/>
            <w:right w:val="none" w:sz="0" w:space="0" w:color="auto"/>
          </w:divBdr>
        </w:div>
        <w:div w:id="1051268433">
          <w:marLeft w:val="640"/>
          <w:marRight w:val="0"/>
          <w:marTop w:val="0"/>
          <w:marBottom w:val="0"/>
          <w:divBdr>
            <w:top w:val="none" w:sz="0" w:space="0" w:color="auto"/>
            <w:left w:val="none" w:sz="0" w:space="0" w:color="auto"/>
            <w:bottom w:val="none" w:sz="0" w:space="0" w:color="auto"/>
            <w:right w:val="none" w:sz="0" w:space="0" w:color="auto"/>
          </w:divBdr>
        </w:div>
        <w:div w:id="1814979317">
          <w:marLeft w:val="640"/>
          <w:marRight w:val="0"/>
          <w:marTop w:val="0"/>
          <w:marBottom w:val="0"/>
          <w:divBdr>
            <w:top w:val="none" w:sz="0" w:space="0" w:color="auto"/>
            <w:left w:val="none" w:sz="0" w:space="0" w:color="auto"/>
            <w:bottom w:val="none" w:sz="0" w:space="0" w:color="auto"/>
            <w:right w:val="none" w:sz="0" w:space="0" w:color="auto"/>
          </w:divBdr>
        </w:div>
        <w:div w:id="851604809">
          <w:marLeft w:val="640"/>
          <w:marRight w:val="0"/>
          <w:marTop w:val="0"/>
          <w:marBottom w:val="0"/>
          <w:divBdr>
            <w:top w:val="none" w:sz="0" w:space="0" w:color="auto"/>
            <w:left w:val="none" w:sz="0" w:space="0" w:color="auto"/>
            <w:bottom w:val="none" w:sz="0" w:space="0" w:color="auto"/>
            <w:right w:val="none" w:sz="0" w:space="0" w:color="auto"/>
          </w:divBdr>
        </w:div>
        <w:div w:id="944384875">
          <w:marLeft w:val="640"/>
          <w:marRight w:val="0"/>
          <w:marTop w:val="0"/>
          <w:marBottom w:val="0"/>
          <w:divBdr>
            <w:top w:val="none" w:sz="0" w:space="0" w:color="auto"/>
            <w:left w:val="none" w:sz="0" w:space="0" w:color="auto"/>
            <w:bottom w:val="none" w:sz="0" w:space="0" w:color="auto"/>
            <w:right w:val="none" w:sz="0" w:space="0" w:color="auto"/>
          </w:divBdr>
        </w:div>
        <w:div w:id="634331378">
          <w:marLeft w:val="640"/>
          <w:marRight w:val="0"/>
          <w:marTop w:val="0"/>
          <w:marBottom w:val="0"/>
          <w:divBdr>
            <w:top w:val="none" w:sz="0" w:space="0" w:color="auto"/>
            <w:left w:val="none" w:sz="0" w:space="0" w:color="auto"/>
            <w:bottom w:val="none" w:sz="0" w:space="0" w:color="auto"/>
            <w:right w:val="none" w:sz="0" w:space="0" w:color="auto"/>
          </w:divBdr>
        </w:div>
        <w:div w:id="1386876853">
          <w:marLeft w:val="640"/>
          <w:marRight w:val="0"/>
          <w:marTop w:val="0"/>
          <w:marBottom w:val="0"/>
          <w:divBdr>
            <w:top w:val="none" w:sz="0" w:space="0" w:color="auto"/>
            <w:left w:val="none" w:sz="0" w:space="0" w:color="auto"/>
            <w:bottom w:val="none" w:sz="0" w:space="0" w:color="auto"/>
            <w:right w:val="none" w:sz="0" w:space="0" w:color="auto"/>
          </w:divBdr>
        </w:div>
        <w:div w:id="1591428432">
          <w:marLeft w:val="640"/>
          <w:marRight w:val="0"/>
          <w:marTop w:val="0"/>
          <w:marBottom w:val="0"/>
          <w:divBdr>
            <w:top w:val="none" w:sz="0" w:space="0" w:color="auto"/>
            <w:left w:val="none" w:sz="0" w:space="0" w:color="auto"/>
            <w:bottom w:val="none" w:sz="0" w:space="0" w:color="auto"/>
            <w:right w:val="none" w:sz="0" w:space="0" w:color="auto"/>
          </w:divBdr>
        </w:div>
        <w:div w:id="846361208">
          <w:marLeft w:val="640"/>
          <w:marRight w:val="0"/>
          <w:marTop w:val="0"/>
          <w:marBottom w:val="0"/>
          <w:divBdr>
            <w:top w:val="none" w:sz="0" w:space="0" w:color="auto"/>
            <w:left w:val="none" w:sz="0" w:space="0" w:color="auto"/>
            <w:bottom w:val="none" w:sz="0" w:space="0" w:color="auto"/>
            <w:right w:val="none" w:sz="0" w:space="0" w:color="auto"/>
          </w:divBdr>
        </w:div>
        <w:div w:id="1159351116">
          <w:marLeft w:val="640"/>
          <w:marRight w:val="0"/>
          <w:marTop w:val="0"/>
          <w:marBottom w:val="0"/>
          <w:divBdr>
            <w:top w:val="none" w:sz="0" w:space="0" w:color="auto"/>
            <w:left w:val="none" w:sz="0" w:space="0" w:color="auto"/>
            <w:bottom w:val="none" w:sz="0" w:space="0" w:color="auto"/>
            <w:right w:val="none" w:sz="0" w:space="0" w:color="auto"/>
          </w:divBdr>
        </w:div>
        <w:div w:id="1747801355">
          <w:marLeft w:val="640"/>
          <w:marRight w:val="0"/>
          <w:marTop w:val="0"/>
          <w:marBottom w:val="0"/>
          <w:divBdr>
            <w:top w:val="none" w:sz="0" w:space="0" w:color="auto"/>
            <w:left w:val="none" w:sz="0" w:space="0" w:color="auto"/>
            <w:bottom w:val="none" w:sz="0" w:space="0" w:color="auto"/>
            <w:right w:val="none" w:sz="0" w:space="0" w:color="auto"/>
          </w:divBdr>
        </w:div>
        <w:div w:id="1427996152">
          <w:marLeft w:val="640"/>
          <w:marRight w:val="0"/>
          <w:marTop w:val="0"/>
          <w:marBottom w:val="0"/>
          <w:divBdr>
            <w:top w:val="none" w:sz="0" w:space="0" w:color="auto"/>
            <w:left w:val="none" w:sz="0" w:space="0" w:color="auto"/>
            <w:bottom w:val="none" w:sz="0" w:space="0" w:color="auto"/>
            <w:right w:val="none" w:sz="0" w:space="0" w:color="auto"/>
          </w:divBdr>
        </w:div>
        <w:div w:id="1481844548">
          <w:marLeft w:val="640"/>
          <w:marRight w:val="0"/>
          <w:marTop w:val="0"/>
          <w:marBottom w:val="0"/>
          <w:divBdr>
            <w:top w:val="none" w:sz="0" w:space="0" w:color="auto"/>
            <w:left w:val="none" w:sz="0" w:space="0" w:color="auto"/>
            <w:bottom w:val="none" w:sz="0" w:space="0" w:color="auto"/>
            <w:right w:val="none" w:sz="0" w:space="0" w:color="auto"/>
          </w:divBdr>
        </w:div>
        <w:div w:id="539130867">
          <w:marLeft w:val="640"/>
          <w:marRight w:val="0"/>
          <w:marTop w:val="0"/>
          <w:marBottom w:val="0"/>
          <w:divBdr>
            <w:top w:val="none" w:sz="0" w:space="0" w:color="auto"/>
            <w:left w:val="none" w:sz="0" w:space="0" w:color="auto"/>
            <w:bottom w:val="none" w:sz="0" w:space="0" w:color="auto"/>
            <w:right w:val="none" w:sz="0" w:space="0" w:color="auto"/>
          </w:divBdr>
        </w:div>
        <w:div w:id="1899396872">
          <w:marLeft w:val="640"/>
          <w:marRight w:val="0"/>
          <w:marTop w:val="0"/>
          <w:marBottom w:val="0"/>
          <w:divBdr>
            <w:top w:val="none" w:sz="0" w:space="0" w:color="auto"/>
            <w:left w:val="none" w:sz="0" w:space="0" w:color="auto"/>
            <w:bottom w:val="none" w:sz="0" w:space="0" w:color="auto"/>
            <w:right w:val="none" w:sz="0" w:space="0" w:color="auto"/>
          </w:divBdr>
        </w:div>
        <w:div w:id="481166707">
          <w:marLeft w:val="640"/>
          <w:marRight w:val="0"/>
          <w:marTop w:val="0"/>
          <w:marBottom w:val="0"/>
          <w:divBdr>
            <w:top w:val="none" w:sz="0" w:space="0" w:color="auto"/>
            <w:left w:val="none" w:sz="0" w:space="0" w:color="auto"/>
            <w:bottom w:val="none" w:sz="0" w:space="0" w:color="auto"/>
            <w:right w:val="none" w:sz="0" w:space="0" w:color="auto"/>
          </w:divBdr>
        </w:div>
        <w:div w:id="1271741104">
          <w:marLeft w:val="640"/>
          <w:marRight w:val="0"/>
          <w:marTop w:val="0"/>
          <w:marBottom w:val="0"/>
          <w:divBdr>
            <w:top w:val="none" w:sz="0" w:space="0" w:color="auto"/>
            <w:left w:val="none" w:sz="0" w:space="0" w:color="auto"/>
            <w:bottom w:val="none" w:sz="0" w:space="0" w:color="auto"/>
            <w:right w:val="none" w:sz="0" w:space="0" w:color="auto"/>
          </w:divBdr>
        </w:div>
        <w:div w:id="838277422">
          <w:marLeft w:val="640"/>
          <w:marRight w:val="0"/>
          <w:marTop w:val="0"/>
          <w:marBottom w:val="0"/>
          <w:divBdr>
            <w:top w:val="none" w:sz="0" w:space="0" w:color="auto"/>
            <w:left w:val="none" w:sz="0" w:space="0" w:color="auto"/>
            <w:bottom w:val="none" w:sz="0" w:space="0" w:color="auto"/>
            <w:right w:val="none" w:sz="0" w:space="0" w:color="auto"/>
          </w:divBdr>
        </w:div>
        <w:div w:id="1586574682">
          <w:marLeft w:val="640"/>
          <w:marRight w:val="0"/>
          <w:marTop w:val="0"/>
          <w:marBottom w:val="0"/>
          <w:divBdr>
            <w:top w:val="none" w:sz="0" w:space="0" w:color="auto"/>
            <w:left w:val="none" w:sz="0" w:space="0" w:color="auto"/>
            <w:bottom w:val="none" w:sz="0" w:space="0" w:color="auto"/>
            <w:right w:val="none" w:sz="0" w:space="0" w:color="auto"/>
          </w:divBdr>
        </w:div>
        <w:div w:id="662857550">
          <w:marLeft w:val="640"/>
          <w:marRight w:val="0"/>
          <w:marTop w:val="0"/>
          <w:marBottom w:val="0"/>
          <w:divBdr>
            <w:top w:val="none" w:sz="0" w:space="0" w:color="auto"/>
            <w:left w:val="none" w:sz="0" w:space="0" w:color="auto"/>
            <w:bottom w:val="none" w:sz="0" w:space="0" w:color="auto"/>
            <w:right w:val="none" w:sz="0" w:space="0" w:color="auto"/>
          </w:divBdr>
        </w:div>
        <w:div w:id="409735095">
          <w:marLeft w:val="640"/>
          <w:marRight w:val="0"/>
          <w:marTop w:val="0"/>
          <w:marBottom w:val="0"/>
          <w:divBdr>
            <w:top w:val="none" w:sz="0" w:space="0" w:color="auto"/>
            <w:left w:val="none" w:sz="0" w:space="0" w:color="auto"/>
            <w:bottom w:val="none" w:sz="0" w:space="0" w:color="auto"/>
            <w:right w:val="none" w:sz="0" w:space="0" w:color="auto"/>
          </w:divBdr>
        </w:div>
        <w:div w:id="71247065">
          <w:marLeft w:val="640"/>
          <w:marRight w:val="0"/>
          <w:marTop w:val="0"/>
          <w:marBottom w:val="0"/>
          <w:divBdr>
            <w:top w:val="none" w:sz="0" w:space="0" w:color="auto"/>
            <w:left w:val="none" w:sz="0" w:space="0" w:color="auto"/>
            <w:bottom w:val="none" w:sz="0" w:space="0" w:color="auto"/>
            <w:right w:val="none" w:sz="0" w:space="0" w:color="auto"/>
          </w:divBdr>
        </w:div>
        <w:div w:id="2050647420">
          <w:marLeft w:val="640"/>
          <w:marRight w:val="0"/>
          <w:marTop w:val="0"/>
          <w:marBottom w:val="0"/>
          <w:divBdr>
            <w:top w:val="none" w:sz="0" w:space="0" w:color="auto"/>
            <w:left w:val="none" w:sz="0" w:space="0" w:color="auto"/>
            <w:bottom w:val="none" w:sz="0" w:space="0" w:color="auto"/>
            <w:right w:val="none" w:sz="0" w:space="0" w:color="auto"/>
          </w:divBdr>
        </w:div>
        <w:div w:id="1540629459">
          <w:marLeft w:val="640"/>
          <w:marRight w:val="0"/>
          <w:marTop w:val="0"/>
          <w:marBottom w:val="0"/>
          <w:divBdr>
            <w:top w:val="none" w:sz="0" w:space="0" w:color="auto"/>
            <w:left w:val="none" w:sz="0" w:space="0" w:color="auto"/>
            <w:bottom w:val="none" w:sz="0" w:space="0" w:color="auto"/>
            <w:right w:val="none" w:sz="0" w:space="0" w:color="auto"/>
          </w:divBdr>
        </w:div>
        <w:div w:id="1092629393">
          <w:marLeft w:val="640"/>
          <w:marRight w:val="0"/>
          <w:marTop w:val="0"/>
          <w:marBottom w:val="0"/>
          <w:divBdr>
            <w:top w:val="none" w:sz="0" w:space="0" w:color="auto"/>
            <w:left w:val="none" w:sz="0" w:space="0" w:color="auto"/>
            <w:bottom w:val="none" w:sz="0" w:space="0" w:color="auto"/>
            <w:right w:val="none" w:sz="0" w:space="0" w:color="auto"/>
          </w:divBdr>
        </w:div>
        <w:div w:id="851995156">
          <w:marLeft w:val="640"/>
          <w:marRight w:val="0"/>
          <w:marTop w:val="0"/>
          <w:marBottom w:val="0"/>
          <w:divBdr>
            <w:top w:val="none" w:sz="0" w:space="0" w:color="auto"/>
            <w:left w:val="none" w:sz="0" w:space="0" w:color="auto"/>
            <w:bottom w:val="none" w:sz="0" w:space="0" w:color="auto"/>
            <w:right w:val="none" w:sz="0" w:space="0" w:color="auto"/>
          </w:divBdr>
        </w:div>
        <w:div w:id="625157522">
          <w:marLeft w:val="640"/>
          <w:marRight w:val="0"/>
          <w:marTop w:val="0"/>
          <w:marBottom w:val="0"/>
          <w:divBdr>
            <w:top w:val="none" w:sz="0" w:space="0" w:color="auto"/>
            <w:left w:val="none" w:sz="0" w:space="0" w:color="auto"/>
            <w:bottom w:val="none" w:sz="0" w:space="0" w:color="auto"/>
            <w:right w:val="none" w:sz="0" w:space="0" w:color="auto"/>
          </w:divBdr>
        </w:div>
        <w:div w:id="1578130136">
          <w:marLeft w:val="640"/>
          <w:marRight w:val="0"/>
          <w:marTop w:val="0"/>
          <w:marBottom w:val="0"/>
          <w:divBdr>
            <w:top w:val="none" w:sz="0" w:space="0" w:color="auto"/>
            <w:left w:val="none" w:sz="0" w:space="0" w:color="auto"/>
            <w:bottom w:val="none" w:sz="0" w:space="0" w:color="auto"/>
            <w:right w:val="none" w:sz="0" w:space="0" w:color="auto"/>
          </w:divBdr>
        </w:div>
        <w:div w:id="346493292">
          <w:marLeft w:val="640"/>
          <w:marRight w:val="0"/>
          <w:marTop w:val="0"/>
          <w:marBottom w:val="0"/>
          <w:divBdr>
            <w:top w:val="none" w:sz="0" w:space="0" w:color="auto"/>
            <w:left w:val="none" w:sz="0" w:space="0" w:color="auto"/>
            <w:bottom w:val="none" w:sz="0" w:space="0" w:color="auto"/>
            <w:right w:val="none" w:sz="0" w:space="0" w:color="auto"/>
          </w:divBdr>
        </w:div>
        <w:div w:id="1695112219">
          <w:marLeft w:val="640"/>
          <w:marRight w:val="0"/>
          <w:marTop w:val="0"/>
          <w:marBottom w:val="0"/>
          <w:divBdr>
            <w:top w:val="none" w:sz="0" w:space="0" w:color="auto"/>
            <w:left w:val="none" w:sz="0" w:space="0" w:color="auto"/>
            <w:bottom w:val="none" w:sz="0" w:space="0" w:color="auto"/>
            <w:right w:val="none" w:sz="0" w:space="0" w:color="auto"/>
          </w:divBdr>
        </w:div>
        <w:div w:id="1388795189">
          <w:marLeft w:val="640"/>
          <w:marRight w:val="0"/>
          <w:marTop w:val="0"/>
          <w:marBottom w:val="0"/>
          <w:divBdr>
            <w:top w:val="none" w:sz="0" w:space="0" w:color="auto"/>
            <w:left w:val="none" w:sz="0" w:space="0" w:color="auto"/>
            <w:bottom w:val="none" w:sz="0" w:space="0" w:color="auto"/>
            <w:right w:val="none" w:sz="0" w:space="0" w:color="auto"/>
          </w:divBdr>
        </w:div>
        <w:div w:id="1429235973">
          <w:marLeft w:val="640"/>
          <w:marRight w:val="0"/>
          <w:marTop w:val="0"/>
          <w:marBottom w:val="0"/>
          <w:divBdr>
            <w:top w:val="none" w:sz="0" w:space="0" w:color="auto"/>
            <w:left w:val="none" w:sz="0" w:space="0" w:color="auto"/>
            <w:bottom w:val="none" w:sz="0" w:space="0" w:color="auto"/>
            <w:right w:val="none" w:sz="0" w:space="0" w:color="auto"/>
          </w:divBdr>
        </w:div>
        <w:div w:id="341855474">
          <w:marLeft w:val="640"/>
          <w:marRight w:val="0"/>
          <w:marTop w:val="0"/>
          <w:marBottom w:val="0"/>
          <w:divBdr>
            <w:top w:val="none" w:sz="0" w:space="0" w:color="auto"/>
            <w:left w:val="none" w:sz="0" w:space="0" w:color="auto"/>
            <w:bottom w:val="none" w:sz="0" w:space="0" w:color="auto"/>
            <w:right w:val="none" w:sz="0" w:space="0" w:color="auto"/>
          </w:divBdr>
        </w:div>
        <w:div w:id="1398897594">
          <w:marLeft w:val="640"/>
          <w:marRight w:val="0"/>
          <w:marTop w:val="0"/>
          <w:marBottom w:val="0"/>
          <w:divBdr>
            <w:top w:val="none" w:sz="0" w:space="0" w:color="auto"/>
            <w:left w:val="none" w:sz="0" w:space="0" w:color="auto"/>
            <w:bottom w:val="none" w:sz="0" w:space="0" w:color="auto"/>
            <w:right w:val="none" w:sz="0" w:space="0" w:color="auto"/>
          </w:divBdr>
        </w:div>
        <w:div w:id="722290255">
          <w:marLeft w:val="640"/>
          <w:marRight w:val="0"/>
          <w:marTop w:val="0"/>
          <w:marBottom w:val="0"/>
          <w:divBdr>
            <w:top w:val="none" w:sz="0" w:space="0" w:color="auto"/>
            <w:left w:val="none" w:sz="0" w:space="0" w:color="auto"/>
            <w:bottom w:val="none" w:sz="0" w:space="0" w:color="auto"/>
            <w:right w:val="none" w:sz="0" w:space="0" w:color="auto"/>
          </w:divBdr>
        </w:div>
        <w:div w:id="1198084652">
          <w:marLeft w:val="640"/>
          <w:marRight w:val="0"/>
          <w:marTop w:val="0"/>
          <w:marBottom w:val="0"/>
          <w:divBdr>
            <w:top w:val="none" w:sz="0" w:space="0" w:color="auto"/>
            <w:left w:val="none" w:sz="0" w:space="0" w:color="auto"/>
            <w:bottom w:val="none" w:sz="0" w:space="0" w:color="auto"/>
            <w:right w:val="none" w:sz="0" w:space="0" w:color="auto"/>
          </w:divBdr>
        </w:div>
        <w:div w:id="1362516478">
          <w:marLeft w:val="640"/>
          <w:marRight w:val="0"/>
          <w:marTop w:val="0"/>
          <w:marBottom w:val="0"/>
          <w:divBdr>
            <w:top w:val="none" w:sz="0" w:space="0" w:color="auto"/>
            <w:left w:val="none" w:sz="0" w:space="0" w:color="auto"/>
            <w:bottom w:val="none" w:sz="0" w:space="0" w:color="auto"/>
            <w:right w:val="none" w:sz="0" w:space="0" w:color="auto"/>
          </w:divBdr>
        </w:div>
        <w:div w:id="2131513473">
          <w:marLeft w:val="640"/>
          <w:marRight w:val="0"/>
          <w:marTop w:val="0"/>
          <w:marBottom w:val="0"/>
          <w:divBdr>
            <w:top w:val="none" w:sz="0" w:space="0" w:color="auto"/>
            <w:left w:val="none" w:sz="0" w:space="0" w:color="auto"/>
            <w:bottom w:val="none" w:sz="0" w:space="0" w:color="auto"/>
            <w:right w:val="none" w:sz="0" w:space="0" w:color="auto"/>
          </w:divBdr>
        </w:div>
        <w:div w:id="2086296737">
          <w:marLeft w:val="640"/>
          <w:marRight w:val="0"/>
          <w:marTop w:val="0"/>
          <w:marBottom w:val="0"/>
          <w:divBdr>
            <w:top w:val="none" w:sz="0" w:space="0" w:color="auto"/>
            <w:left w:val="none" w:sz="0" w:space="0" w:color="auto"/>
            <w:bottom w:val="none" w:sz="0" w:space="0" w:color="auto"/>
            <w:right w:val="none" w:sz="0" w:space="0" w:color="auto"/>
          </w:divBdr>
        </w:div>
        <w:div w:id="1943610129">
          <w:marLeft w:val="640"/>
          <w:marRight w:val="0"/>
          <w:marTop w:val="0"/>
          <w:marBottom w:val="0"/>
          <w:divBdr>
            <w:top w:val="none" w:sz="0" w:space="0" w:color="auto"/>
            <w:left w:val="none" w:sz="0" w:space="0" w:color="auto"/>
            <w:bottom w:val="none" w:sz="0" w:space="0" w:color="auto"/>
            <w:right w:val="none" w:sz="0" w:space="0" w:color="auto"/>
          </w:divBdr>
        </w:div>
      </w:divsChild>
    </w:div>
    <w:div w:id="1349217079">
      <w:bodyDiv w:val="1"/>
      <w:marLeft w:val="0"/>
      <w:marRight w:val="0"/>
      <w:marTop w:val="0"/>
      <w:marBottom w:val="0"/>
      <w:divBdr>
        <w:top w:val="none" w:sz="0" w:space="0" w:color="auto"/>
        <w:left w:val="none" w:sz="0" w:space="0" w:color="auto"/>
        <w:bottom w:val="none" w:sz="0" w:space="0" w:color="auto"/>
        <w:right w:val="none" w:sz="0" w:space="0" w:color="auto"/>
      </w:divBdr>
      <w:divsChild>
        <w:div w:id="1861777849">
          <w:marLeft w:val="640"/>
          <w:marRight w:val="0"/>
          <w:marTop w:val="0"/>
          <w:marBottom w:val="0"/>
          <w:divBdr>
            <w:top w:val="none" w:sz="0" w:space="0" w:color="auto"/>
            <w:left w:val="none" w:sz="0" w:space="0" w:color="auto"/>
            <w:bottom w:val="none" w:sz="0" w:space="0" w:color="auto"/>
            <w:right w:val="none" w:sz="0" w:space="0" w:color="auto"/>
          </w:divBdr>
        </w:div>
        <w:div w:id="1278490433">
          <w:marLeft w:val="640"/>
          <w:marRight w:val="0"/>
          <w:marTop w:val="0"/>
          <w:marBottom w:val="0"/>
          <w:divBdr>
            <w:top w:val="none" w:sz="0" w:space="0" w:color="auto"/>
            <w:left w:val="none" w:sz="0" w:space="0" w:color="auto"/>
            <w:bottom w:val="none" w:sz="0" w:space="0" w:color="auto"/>
            <w:right w:val="none" w:sz="0" w:space="0" w:color="auto"/>
          </w:divBdr>
        </w:div>
        <w:div w:id="1352955609">
          <w:marLeft w:val="640"/>
          <w:marRight w:val="0"/>
          <w:marTop w:val="0"/>
          <w:marBottom w:val="0"/>
          <w:divBdr>
            <w:top w:val="none" w:sz="0" w:space="0" w:color="auto"/>
            <w:left w:val="none" w:sz="0" w:space="0" w:color="auto"/>
            <w:bottom w:val="none" w:sz="0" w:space="0" w:color="auto"/>
            <w:right w:val="none" w:sz="0" w:space="0" w:color="auto"/>
          </w:divBdr>
        </w:div>
        <w:div w:id="1345205709">
          <w:marLeft w:val="640"/>
          <w:marRight w:val="0"/>
          <w:marTop w:val="0"/>
          <w:marBottom w:val="0"/>
          <w:divBdr>
            <w:top w:val="none" w:sz="0" w:space="0" w:color="auto"/>
            <w:left w:val="none" w:sz="0" w:space="0" w:color="auto"/>
            <w:bottom w:val="none" w:sz="0" w:space="0" w:color="auto"/>
            <w:right w:val="none" w:sz="0" w:space="0" w:color="auto"/>
          </w:divBdr>
        </w:div>
        <w:div w:id="1309549856">
          <w:marLeft w:val="640"/>
          <w:marRight w:val="0"/>
          <w:marTop w:val="0"/>
          <w:marBottom w:val="0"/>
          <w:divBdr>
            <w:top w:val="none" w:sz="0" w:space="0" w:color="auto"/>
            <w:left w:val="none" w:sz="0" w:space="0" w:color="auto"/>
            <w:bottom w:val="none" w:sz="0" w:space="0" w:color="auto"/>
            <w:right w:val="none" w:sz="0" w:space="0" w:color="auto"/>
          </w:divBdr>
        </w:div>
        <w:div w:id="1100836839">
          <w:marLeft w:val="640"/>
          <w:marRight w:val="0"/>
          <w:marTop w:val="0"/>
          <w:marBottom w:val="0"/>
          <w:divBdr>
            <w:top w:val="none" w:sz="0" w:space="0" w:color="auto"/>
            <w:left w:val="none" w:sz="0" w:space="0" w:color="auto"/>
            <w:bottom w:val="none" w:sz="0" w:space="0" w:color="auto"/>
            <w:right w:val="none" w:sz="0" w:space="0" w:color="auto"/>
          </w:divBdr>
        </w:div>
        <w:div w:id="1737434141">
          <w:marLeft w:val="640"/>
          <w:marRight w:val="0"/>
          <w:marTop w:val="0"/>
          <w:marBottom w:val="0"/>
          <w:divBdr>
            <w:top w:val="none" w:sz="0" w:space="0" w:color="auto"/>
            <w:left w:val="none" w:sz="0" w:space="0" w:color="auto"/>
            <w:bottom w:val="none" w:sz="0" w:space="0" w:color="auto"/>
            <w:right w:val="none" w:sz="0" w:space="0" w:color="auto"/>
          </w:divBdr>
        </w:div>
        <w:div w:id="1910458167">
          <w:marLeft w:val="640"/>
          <w:marRight w:val="0"/>
          <w:marTop w:val="0"/>
          <w:marBottom w:val="0"/>
          <w:divBdr>
            <w:top w:val="none" w:sz="0" w:space="0" w:color="auto"/>
            <w:left w:val="none" w:sz="0" w:space="0" w:color="auto"/>
            <w:bottom w:val="none" w:sz="0" w:space="0" w:color="auto"/>
            <w:right w:val="none" w:sz="0" w:space="0" w:color="auto"/>
          </w:divBdr>
        </w:div>
        <w:div w:id="604577861">
          <w:marLeft w:val="640"/>
          <w:marRight w:val="0"/>
          <w:marTop w:val="0"/>
          <w:marBottom w:val="0"/>
          <w:divBdr>
            <w:top w:val="none" w:sz="0" w:space="0" w:color="auto"/>
            <w:left w:val="none" w:sz="0" w:space="0" w:color="auto"/>
            <w:bottom w:val="none" w:sz="0" w:space="0" w:color="auto"/>
            <w:right w:val="none" w:sz="0" w:space="0" w:color="auto"/>
          </w:divBdr>
        </w:div>
        <w:div w:id="1080173570">
          <w:marLeft w:val="640"/>
          <w:marRight w:val="0"/>
          <w:marTop w:val="0"/>
          <w:marBottom w:val="0"/>
          <w:divBdr>
            <w:top w:val="none" w:sz="0" w:space="0" w:color="auto"/>
            <w:left w:val="none" w:sz="0" w:space="0" w:color="auto"/>
            <w:bottom w:val="none" w:sz="0" w:space="0" w:color="auto"/>
            <w:right w:val="none" w:sz="0" w:space="0" w:color="auto"/>
          </w:divBdr>
        </w:div>
        <w:div w:id="146434089">
          <w:marLeft w:val="640"/>
          <w:marRight w:val="0"/>
          <w:marTop w:val="0"/>
          <w:marBottom w:val="0"/>
          <w:divBdr>
            <w:top w:val="none" w:sz="0" w:space="0" w:color="auto"/>
            <w:left w:val="none" w:sz="0" w:space="0" w:color="auto"/>
            <w:bottom w:val="none" w:sz="0" w:space="0" w:color="auto"/>
            <w:right w:val="none" w:sz="0" w:space="0" w:color="auto"/>
          </w:divBdr>
        </w:div>
        <w:div w:id="988824703">
          <w:marLeft w:val="640"/>
          <w:marRight w:val="0"/>
          <w:marTop w:val="0"/>
          <w:marBottom w:val="0"/>
          <w:divBdr>
            <w:top w:val="none" w:sz="0" w:space="0" w:color="auto"/>
            <w:left w:val="none" w:sz="0" w:space="0" w:color="auto"/>
            <w:bottom w:val="none" w:sz="0" w:space="0" w:color="auto"/>
            <w:right w:val="none" w:sz="0" w:space="0" w:color="auto"/>
          </w:divBdr>
        </w:div>
        <w:div w:id="1174224992">
          <w:marLeft w:val="640"/>
          <w:marRight w:val="0"/>
          <w:marTop w:val="0"/>
          <w:marBottom w:val="0"/>
          <w:divBdr>
            <w:top w:val="none" w:sz="0" w:space="0" w:color="auto"/>
            <w:left w:val="none" w:sz="0" w:space="0" w:color="auto"/>
            <w:bottom w:val="none" w:sz="0" w:space="0" w:color="auto"/>
            <w:right w:val="none" w:sz="0" w:space="0" w:color="auto"/>
          </w:divBdr>
        </w:div>
        <w:div w:id="1450860371">
          <w:marLeft w:val="640"/>
          <w:marRight w:val="0"/>
          <w:marTop w:val="0"/>
          <w:marBottom w:val="0"/>
          <w:divBdr>
            <w:top w:val="none" w:sz="0" w:space="0" w:color="auto"/>
            <w:left w:val="none" w:sz="0" w:space="0" w:color="auto"/>
            <w:bottom w:val="none" w:sz="0" w:space="0" w:color="auto"/>
            <w:right w:val="none" w:sz="0" w:space="0" w:color="auto"/>
          </w:divBdr>
        </w:div>
        <w:div w:id="1903519566">
          <w:marLeft w:val="640"/>
          <w:marRight w:val="0"/>
          <w:marTop w:val="0"/>
          <w:marBottom w:val="0"/>
          <w:divBdr>
            <w:top w:val="none" w:sz="0" w:space="0" w:color="auto"/>
            <w:left w:val="none" w:sz="0" w:space="0" w:color="auto"/>
            <w:bottom w:val="none" w:sz="0" w:space="0" w:color="auto"/>
            <w:right w:val="none" w:sz="0" w:space="0" w:color="auto"/>
          </w:divBdr>
        </w:div>
        <w:div w:id="562565464">
          <w:marLeft w:val="640"/>
          <w:marRight w:val="0"/>
          <w:marTop w:val="0"/>
          <w:marBottom w:val="0"/>
          <w:divBdr>
            <w:top w:val="none" w:sz="0" w:space="0" w:color="auto"/>
            <w:left w:val="none" w:sz="0" w:space="0" w:color="auto"/>
            <w:bottom w:val="none" w:sz="0" w:space="0" w:color="auto"/>
            <w:right w:val="none" w:sz="0" w:space="0" w:color="auto"/>
          </w:divBdr>
        </w:div>
        <w:div w:id="478812477">
          <w:marLeft w:val="640"/>
          <w:marRight w:val="0"/>
          <w:marTop w:val="0"/>
          <w:marBottom w:val="0"/>
          <w:divBdr>
            <w:top w:val="none" w:sz="0" w:space="0" w:color="auto"/>
            <w:left w:val="none" w:sz="0" w:space="0" w:color="auto"/>
            <w:bottom w:val="none" w:sz="0" w:space="0" w:color="auto"/>
            <w:right w:val="none" w:sz="0" w:space="0" w:color="auto"/>
          </w:divBdr>
        </w:div>
        <w:div w:id="590773664">
          <w:marLeft w:val="640"/>
          <w:marRight w:val="0"/>
          <w:marTop w:val="0"/>
          <w:marBottom w:val="0"/>
          <w:divBdr>
            <w:top w:val="none" w:sz="0" w:space="0" w:color="auto"/>
            <w:left w:val="none" w:sz="0" w:space="0" w:color="auto"/>
            <w:bottom w:val="none" w:sz="0" w:space="0" w:color="auto"/>
            <w:right w:val="none" w:sz="0" w:space="0" w:color="auto"/>
          </w:divBdr>
        </w:div>
        <w:div w:id="1262253260">
          <w:marLeft w:val="640"/>
          <w:marRight w:val="0"/>
          <w:marTop w:val="0"/>
          <w:marBottom w:val="0"/>
          <w:divBdr>
            <w:top w:val="none" w:sz="0" w:space="0" w:color="auto"/>
            <w:left w:val="none" w:sz="0" w:space="0" w:color="auto"/>
            <w:bottom w:val="none" w:sz="0" w:space="0" w:color="auto"/>
            <w:right w:val="none" w:sz="0" w:space="0" w:color="auto"/>
          </w:divBdr>
        </w:div>
        <w:div w:id="915242576">
          <w:marLeft w:val="640"/>
          <w:marRight w:val="0"/>
          <w:marTop w:val="0"/>
          <w:marBottom w:val="0"/>
          <w:divBdr>
            <w:top w:val="none" w:sz="0" w:space="0" w:color="auto"/>
            <w:left w:val="none" w:sz="0" w:space="0" w:color="auto"/>
            <w:bottom w:val="none" w:sz="0" w:space="0" w:color="auto"/>
            <w:right w:val="none" w:sz="0" w:space="0" w:color="auto"/>
          </w:divBdr>
        </w:div>
        <w:div w:id="623385104">
          <w:marLeft w:val="640"/>
          <w:marRight w:val="0"/>
          <w:marTop w:val="0"/>
          <w:marBottom w:val="0"/>
          <w:divBdr>
            <w:top w:val="none" w:sz="0" w:space="0" w:color="auto"/>
            <w:left w:val="none" w:sz="0" w:space="0" w:color="auto"/>
            <w:bottom w:val="none" w:sz="0" w:space="0" w:color="auto"/>
            <w:right w:val="none" w:sz="0" w:space="0" w:color="auto"/>
          </w:divBdr>
        </w:div>
        <w:div w:id="1750494594">
          <w:marLeft w:val="640"/>
          <w:marRight w:val="0"/>
          <w:marTop w:val="0"/>
          <w:marBottom w:val="0"/>
          <w:divBdr>
            <w:top w:val="none" w:sz="0" w:space="0" w:color="auto"/>
            <w:left w:val="none" w:sz="0" w:space="0" w:color="auto"/>
            <w:bottom w:val="none" w:sz="0" w:space="0" w:color="auto"/>
            <w:right w:val="none" w:sz="0" w:space="0" w:color="auto"/>
          </w:divBdr>
        </w:div>
        <w:div w:id="1491092042">
          <w:marLeft w:val="640"/>
          <w:marRight w:val="0"/>
          <w:marTop w:val="0"/>
          <w:marBottom w:val="0"/>
          <w:divBdr>
            <w:top w:val="none" w:sz="0" w:space="0" w:color="auto"/>
            <w:left w:val="none" w:sz="0" w:space="0" w:color="auto"/>
            <w:bottom w:val="none" w:sz="0" w:space="0" w:color="auto"/>
            <w:right w:val="none" w:sz="0" w:space="0" w:color="auto"/>
          </w:divBdr>
        </w:div>
        <w:div w:id="40057112">
          <w:marLeft w:val="640"/>
          <w:marRight w:val="0"/>
          <w:marTop w:val="0"/>
          <w:marBottom w:val="0"/>
          <w:divBdr>
            <w:top w:val="none" w:sz="0" w:space="0" w:color="auto"/>
            <w:left w:val="none" w:sz="0" w:space="0" w:color="auto"/>
            <w:bottom w:val="none" w:sz="0" w:space="0" w:color="auto"/>
            <w:right w:val="none" w:sz="0" w:space="0" w:color="auto"/>
          </w:divBdr>
        </w:div>
        <w:div w:id="205993900">
          <w:marLeft w:val="640"/>
          <w:marRight w:val="0"/>
          <w:marTop w:val="0"/>
          <w:marBottom w:val="0"/>
          <w:divBdr>
            <w:top w:val="none" w:sz="0" w:space="0" w:color="auto"/>
            <w:left w:val="none" w:sz="0" w:space="0" w:color="auto"/>
            <w:bottom w:val="none" w:sz="0" w:space="0" w:color="auto"/>
            <w:right w:val="none" w:sz="0" w:space="0" w:color="auto"/>
          </w:divBdr>
        </w:div>
        <w:div w:id="826241443">
          <w:marLeft w:val="640"/>
          <w:marRight w:val="0"/>
          <w:marTop w:val="0"/>
          <w:marBottom w:val="0"/>
          <w:divBdr>
            <w:top w:val="none" w:sz="0" w:space="0" w:color="auto"/>
            <w:left w:val="none" w:sz="0" w:space="0" w:color="auto"/>
            <w:bottom w:val="none" w:sz="0" w:space="0" w:color="auto"/>
            <w:right w:val="none" w:sz="0" w:space="0" w:color="auto"/>
          </w:divBdr>
        </w:div>
        <w:div w:id="1224101088">
          <w:marLeft w:val="640"/>
          <w:marRight w:val="0"/>
          <w:marTop w:val="0"/>
          <w:marBottom w:val="0"/>
          <w:divBdr>
            <w:top w:val="none" w:sz="0" w:space="0" w:color="auto"/>
            <w:left w:val="none" w:sz="0" w:space="0" w:color="auto"/>
            <w:bottom w:val="none" w:sz="0" w:space="0" w:color="auto"/>
            <w:right w:val="none" w:sz="0" w:space="0" w:color="auto"/>
          </w:divBdr>
        </w:div>
        <w:div w:id="1489633666">
          <w:marLeft w:val="640"/>
          <w:marRight w:val="0"/>
          <w:marTop w:val="0"/>
          <w:marBottom w:val="0"/>
          <w:divBdr>
            <w:top w:val="none" w:sz="0" w:space="0" w:color="auto"/>
            <w:left w:val="none" w:sz="0" w:space="0" w:color="auto"/>
            <w:bottom w:val="none" w:sz="0" w:space="0" w:color="auto"/>
            <w:right w:val="none" w:sz="0" w:space="0" w:color="auto"/>
          </w:divBdr>
        </w:div>
        <w:div w:id="2136017361">
          <w:marLeft w:val="640"/>
          <w:marRight w:val="0"/>
          <w:marTop w:val="0"/>
          <w:marBottom w:val="0"/>
          <w:divBdr>
            <w:top w:val="none" w:sz="0" w:space="0" w:color="auto"/>
            <w:left w:val="none" w:sz="0" w:space="0" w:color="auto"/>
            <w:bottom w:val="none" w:sz="0" w:space="0" w:color="auto"/>
            <w:right w:val="none" w:sz="0" w:space="0" w:color="auto"/>
          </w:divBdr>
        </w:div>
        <w:div w:id="1231041728">
          <w:marLeft w:val="640"/>
          <w:marRight w:val="0"/>
          <w:marTop w:val="0"/>
          <w:marBottom w:val="0"/>
          <w:divBdr>
            <w:top w:val="none" w:sz="0" w:space="0" w:color="auto"/>
            <w:left w:val="none" w:sz="0" w:space="0" w:color="auto"/>
            <w:bottom w:val="none" w:sz="0" w:space="0" w:color="auto"/>
            <w:right w:val="none" w:sz="0" w:space="0" w:color="auto"/>
          </w:divBdr>
        </w:div>
        <w:div w:id="731465999">
          <w:marLeft w:val="640"/>
          <w:marRight w:val="0"/>
          <w:marTop w:val="0"/>
          <w:marBottom w:val="0"/>
          <w:divBdr>
            <w:top w:val="none" w:sz="0" w:space="0" w:color="auto"/>
            <w:left w:val="none" w:sz="0" w:space="0" w:color="auto"/>
            <w:bottom w:val="none" w:sz="0" w:space="0" w:color="auto"/>
            <w:right w:val="none" w:sz="0" w:space="0" w:color="auto"/>
          </w:divBdr>
        </w:div>
        <w:div w:id="1881748780">
          <w:marLeft w:val="640"/>
          <w:marRight w:val="0"/>
          <w:marTop w:val="0"/>
          <w:marBottom w:val="0"/>
          <w:divBdr>
            <w:top w:val="none" w:sz="0" w:space="0" w:color="auto"/>
            <w:left w:val="none" w:sz="0" w:space="0" w:color="auto"/>
            <w:bottom w:val="none" w:sz="0" w:space="0" w:color="auto"/>
            <w:right w:val="none" w:sz="0" w:space="0" w:color="auto"/>
          </w:divBdr>
        </w:div>
        <w:div w:id="337082093">
          <w:marLeft w:val="640"/>
          <w:marRight w:val="0"/>
          <w:marTop w:val="0"/>
          <w:marBottom w:val="0"/>
          <w:divBdr>
            <w:top w:val="none" w:sz="0" w:space="0" w:color="auto"/>
            <w:left w:val="none" w:sz="0" w:space="0" w:color="auto"/>
            <w:bottom w:val="none" w:sz="0" w:space="0" w:color="auto"/>
            <w:right w:val="none" w:sz="0" w:space="0" w:color="auto"/>
          </w:divBdr>
        </w:div>
        <w:div w:id="1481195168">
          <w:marLeft w:val="640"/>
          <w:marRight w:val="0"/>
          <w:marTop w:val="0"/>
          <w:marBottom w:val="0"/>
          <w:divBdr>
            <w:top w:val="none" w:sz="0" w:space="0" w:color="auto"/>
            <w:left w:val="none" w:sz="0" w:space="0" w:color="auto"/>
            <w:bottom w:val="none" w:sz="0" w:space="0" w:color="auto"/>
            <w:right w:val="none" w:sz="0" w:space="0" w:color="auto"/>
          </w:divBdr>
        </w:div>
        <w:div w:id="1541815897">
          <w:marLeft w:val="640"/>
          <w:marRight w:val="0"/>
          <w:marTop w:val="0"/>
          <w:marBottom w:val="0"/>
          <w:divBdr>
            <w:top w:val="none" w:sz="0" w:space="0" w:color="auto"/>
            <w:left w:val="none" w:sz="0" w:space="0" w:color="auto"/>
            <w:bottom w:val="none" w:sz="0" w:space="0" w:color="auto"/>
            <w:right w:val="none" w:sz="0" w:space="0" w:color="auto"/>
          </w:divBdr>
        </w:div>
        <w:div w:id="693305347">
          <w:marLeft w:val="640"/>
          <w:marRight w:val="0"/>
          <w:marTop w:val="0"/>
          <w:marBottom w:val="0"/>
          <w:divBdr>
            <w:top w:val="none" w:sz="0" w:space="0" w:color="auto"/>
            <w:left w:val="none" w:sz="0" w:space="0" w:color="auto"/>
            <w:bottom w:val="none" w:sz="0" w:space="0" w:color="auto"/>
            <w:right w:val="none" w:sz="0" w:space="0" w:color="auto"/>
          </w:divBdr>
        </w:div>
        <w:div w:id="700280388">
          <w:marLeft w:val="640"/>
          <w:marRight w:val="0"/>
          <w:marTop w:val="0"/>
          <w:marBottom w:val="0"/>
          <w:divBdr>
            <w:top w:val="none" w:sz="0" w:space="0" w:color="auto"/>
            <w:left w:val="none" w:sz="0" w:space="0" w:color="auto"/>
            <w:bottom w:val="none" w:sz="0" w:space="0" w:color="auto"/>
            <w:right w:val="none" w:sz="0" w:space="0" w:color="auto"/>
          </w:divBdr>
        </w:div>
        <w:div w:id="2046786482">
          <w:marLeft w:val="640"/>
          <w:marRight w:val="0"/>
          <w:marTop w:val="0"/>
          <w:marBottom w:val="0"/>
          <w:divBdr>
            <w:top w:val="none" w:sz="0" w:space="0" w:color="auto"/>
            <w:left w:val="none" w:sz="0" w:space="0" w:color="auto"/>
            <w:bottom w:val="none" w:sz="0" w:space="0" w:color="auto"/>
            <w:right w:val="none" w:sz="0" w:space="0" w:color="auto"/>
          </w:divBdr>
        </w:div>
        <w:div w:id="171066481">
          <w:marLeft w:val="640"/>
          <w:marRight w:val="0"/>
          <w:marTop w:val="0"/>
          <w:marBottom w:val="0"/>
          <w:divBdr>
            <w:top w:val="none" w:sz="0" w:space="0" w:color="auto"/>
            <w:left w:val="none" w:sz="0" w:space="0" w:color="auto"/>
            <w:bottom w:val="none" w:sz="0" w:space="0" w:color="auto"/>
            <w:right w:val="none" w:sz="0" w:space="0" w:color="auto"/>
          </w:divBdr>
        </w:div>
        <w:div w:id="771902572">
          <w:marLeft w:val="640"/>
          <w:marRight w:val="0"/>
          <w:marTop w:val="0"/>
          <w:marBottom w:val="0"/>
          <w:divBdr>
            <w:top w:val="none" w:sz="0" w:space="0" w:color="auto"/>
            <w:left w:val="none" w:sz="0" w:space="0" w:color="auto"/>
            <w:bottom w:val="none" w:sz="0" w:space="0" w:color="auto"/>
            <w:right w:val="none" w:sz="0" w:space="0" w:color="auto"/>
          </w:divBdr>
        </w:div>
        <w:div w:id="626006630">
          <w:marLeft w:val="640"/>
          <w:marRight w:val="0"/>
          <w:marTop w:val="0"/>
          <w:marBottom w:val="0"/>
          <w:divBdr>
            <w:top w:val="none" w:sz="0" w:space="0" w:color="auto"/>
            <w:left w:val="none" w:sz="0" w:space="0" w:color="auto"/>
            <w:bottom w:val="none" w:sz="0" w:space="0" w:color="auto"/>
            <w:right w:val="none" w:sz="0" w:space="0" w:color="auto"/>
          </w:divBdr>
        </w:div>
        <w:div w:id="183597602">
          <w:marLeft w:val="640"/>
          <w:marRight w:val="0"/>
          <w:marTop w:val="0"/>
          <w:marBottom w:val="0"/>
          <w:divBdr>
            <w:top w:val="none" w:sz="0" w:space="0" w:color="auto"/>
            <w:left w:val="none" w:sz="0" w:space="0" w:color="auto"/>
            <w:bottom w:val="none" w:sz="0" w:space="0" w:color="auto"/>
            <w:right w:val="none" w:sz="0" w:space="0" w:color="auto"/>
          </w:divBdr>
        </w:div>
        <w:div w:id="1737587849">
          <w:marLeft w:val="640"/>
          <w:marRight w:val="0"/>
          <w:marTop w:val="0"/>
          <w:marBottom w:val="0"/>
          <w:divBdr>
            <w:top w:val="none" w:sz="0" w:space="0" w:color="auto"/>
            <w:left w:val="none" w:sz="0" w:space="0" w:color="auto"/>
            <w:bottom w:val="none" w:sz="0" w:space="0" w:color="auto"/>
            <w:right w:val="none" w:sz="0" w:space="0" w:color="auto"/>
          </w:divBdr>
        </w:div>
        <w:div w:id="2014070506">
          <w:marLeft w:val="640"/>
          <w:marRight w:val="0"/>
          <w:marTop w:val="0"/>
          <w:marBottom w:val="0"/>
          <w:divBdr>
            <w:top w:val="none" w:sz="0" w:space="0" w:color="auto"/>
            <w:left w:val="none" w:sz="0" w:space="0" w:color="auto"/>
            <w:bottom w:val="none" w:sz="0" w:space="0" w:color="auto"/>
            <w:right w:val="none" w:sz="0" w:space="0" w:color="auto"/>
          </w:divBdr>
        </w:div>
        <w:div w:id="1621108648">
          <w:marLeft w:val="640"/>
          <w:marRight w:val="0"/>
          <w:marTop w:val="0"/>
          <w:marBottom w:val="0"/>
          <w:divBdr>
            <w:top w:val="none" w:sz="0" w:space="0" w:color="auto"/>
            <w:left w:val="none" w:sz="0" w:space="0" w:color="auto"/>
            <w:bottom w:val="none" w:sz="0" w:space="0" w:color="auto"/>
            <w:right w:val="none" w:sz="0" w:space="0" w:color="auto"/>
          </w:divBdr>
        </w:div>
        <w:div w:id="1299074325">
          <w:marLeft w:val="640"/>
          <w:marRight w:val="0"/>
          <w:marTop w:val="0"/>
          <w:marBottom w:val="0"/>
          <w:divBdr>
            <w:top w:val="none" w:sz="0" w:space="0" w:color="auto"/>
            <w:left w:val="none" w:sz="0" w:space="0" w:color="auto"/>
            <w:bottom w:val="none" w:sz="0" w:space="0" w:color="auto"/>
            <w:right w:val="none" w:sz="0" w:space="0" w:color="auto"/>
          </w:divBdr>
        </w:div>
        <w:div w:id="677004342">
          <w:marLeft w:val="640"/>
          <w:marRight w:val="0"/>
          <w:marTop w:val="0"/>
          <w:marBottom w:val="0"/>
          <w:divBdr>
            <w:top w:val="none" w:sz="0" w:space="0" w:color="auto"/>
            <w:left w:val="none" w:sz="0" w:space="0" w:color="auto"/>
            <w:bottom w:val="none" w:sz="0" w:space="0" w:color="auto"/>
            <w:right w:val="none" w:sz="0" w:space="0" w:color="auto"/>
          </w:divBdr>
        </w:div>
        <w:div w:id="434057816">
          <w:marLeft w:val="640"/>
          <w:marRight w:val="0"/>
          <w:marTop w:val="0"/>
          <w:marBottom w:val="0"/>
          <w:divBdr>
            <w:top w:val="none" w:sz="0" w:space="0" w:color="auto"/>
            <w:left w:val="none" w:sz="0" w:space="0" w:color="auto"/>
            <w:bottom w:val="none" w:sz="0" w:space="0" w:color="auto"/>
            <w:right w:val="none" w:sz="0" w:space="0" w:color="auto"/>
          </w:divBdr>
        </w:div>
        <w:div w:id="1924021779">
          <w:marLeft w:val="640"/>
          <w:marRight w:val="0"/>
          <w:marTop w:val="0"/>
          <w:marBottom w:val="0"/>
          <w:divBdr>
            <w:top w:val="none" w:sz="0" w:space="0" w:color="auto"/>
            <w:left w:val="none" w:sz="0" w:space="0" w:color="auto"/>
            <w:bottom w:val="none" w:sz="0" w:space="0" w:color="auto"/>
            <w:right w:val="none" w:sz="0" w:space="0" w:color="auto"/>
          </w:divBdr>
        </w:div>
        <w:div w:id="1695229869">
          <w:marLeft w:val="640"/>
          <w:marRight w:val="0"/>
          <w:marTop w:val="0"/>
          <w:marBottom w:val="0"/>
          <w:divBdr>
            <w:top w:val="none" w:sz="0" w:space="0" w:color="auto"/>
            <w:left w:val="none" w:sz="0" w:space="0" w:color="auto"/>
            <w:bottom w:val="none" w:sz="0" w:space="0" w:color="auto"/>
            <w:right w:val="none" w:sz="0" w:space="0" w:color="auto"/>
          </w:divBdr>
        </w:div>
        <w:div w:id="320622185">
          <w:marLeft w:val="640"/>
          <w:marRight w:val="0"/>
          <w:marTop w:val="0"/>
          <w:marBottom w:val="0"/>
          <w:divBdr>
            <w:top w:val="none" w:sz="0" w:space="0" w:color="auto"/>
            <w:left w:val="none" w:sz="0" w:space="0" w:color="auto"/>
            <w:bottom w:val="none" w:sz="0" w:space="0" w:color="auto"/>
            <w:right w:val="none" w:sz="0" w:space="0" w:color="auto"/>
          </w:divBdr>
        </w:div>
        <w:div w:id="383137544">
          <w:marLeft w:val="640"/>
          <w:marRight w:val="0"/>
          <w:marTop w:val="0"/>
          <w:marBottom w:val="0"/>
          <w:divBdr>
            <w:top w:val="none" w:sz="0" w:space="0" w:color="auto"/>
            <w:left w:val="none" w:sz="0" w:space="0" w:color="auto"/>
            <w:bottom w:val="none" w:sz="0" w:space="0" w:color="auto"/>
            <w:right w:val="none" w:sz="0" w:space="0" w:color="auto"/>
          </w:divBdr>
        </w:div>
        <w:div w:id="1334263264">
          <w:marLeft w:val="640"/>
          <w:marRight w:val="0"/>
          <w:marTop w:val="0"/>
          <w:marBottom w:val="0"/>
          <w:divBdr>
            <w:top w:val="none" w:sz="0" w:space="0" w:color="auto"/>
            <w:left w:val="none" w:sz="0" w:space="0" w:color="auto"/>
            <w:bottom w:val="none" w:sz="0" w:space="0" w:color="auto"/>
            <w:right w:val="none" w:sz="0" w:space="0" w:color="auto"/>
          </w:divBdr>
        </w:div>
        <w:div w:id="1957177789">
          <w:marLeft w:val="640"/>
          <w:marRight w:val="0"/>
          <w:marTop w:val="0"/>
          <w:marBottom w:val="0"/>
          <w:divBdr>
            <w:top w:val="none" w:sz="0" w:space="0" w:color="auto"/>
            <w:left w:val="none" w:sz="0" w:space="0" w:color="auto"/>
            <w:bottom w:val="none" w:sz="0" w:space="0" w:color="auto"/>
            <w:right w:val="none" w:sz="0" w:space="0" w:color="auto"/>
          </w:divBdr>
        </w:div>
        <w:div w:id="1022315155">
          <w:marLeft w:val="640"/>
          <w:marRight w:val="0"/>
          <w:marTop w:val="0"/>
          <w:marBottom w:val="0"/>
          <w:divBdr>
            <w:top w:val="none" w:sz="0" w:space="0" w:color="auto"/>
            <w:left w:val="none" w:sz="0" w:space="0" w:color="auto"/>
            <w:bottom w:val="none" w:sz="0" w:space="0" w:color="auto"/>
            <w:right w:val="none" w:sz="0" w:space="0" w:color="auto"/>
          </w:divBdr>
        </w:div>
        <w:div w:id="389378272">
          <w:marLeft w:val="640"/>
          <w:marRight w:val="0"/>
          <w:marTop w:val="0"/>
          <w:marBottom w:val="0"/>
          <w:divBdr>
            <w:top w:val="none" w:sz="0" w:space="0" w:color="auto"/>
            <w:left w:val="none" w:sz="0" w:space="0" w:color="auto"/>
            <w:bottom w:val="none" w:sz="0" w:space="0" w:color="auto"/>
            <w:right w:val="none" w:sz="0" w:space="0" w:color="auto"/>
          </w:divBdr>
        </w:div>
        <w:div w:id="1312178271">
          <w:marLeft w:val="640"/>
          <w:marRight w:val="0"/>
          <w:marTop w:val="0"/>
          <w:marBottom w:val="0"/>
          <w:divBdr>
            <w:top w:val="none" w:sz="0" w:space="0" w:color="auto"/>
            <w:left w:val="none" w:sz="0" w:space="0" w:color="auto"/>
            <w:bottom w:val="none" w:sz="0" w:space="0" w:color="auto"/>
            <w:right w:val="none" w:sz="0" w:space="0" w:color="auto"/>
          </w:divBdr>
        </w:div>
        <w:div w:id="1362627908">
          <w:marLeft w:val="640"/>
          <w:marRight w:val="0"/>
          <w:marTop w:val="0"/>
          <w:marBottom w:val="0"/>
          <w:divBdr>
            <w:top w:val="none" w:sz="0" w:space="0" w:color="auto"/>
            <w:left w:val="none" w:sz="0" w:space="0" w:color="auto"/>
            <w:bottom w:val="none" w:sz="0" w:space="0" w:color="auto"/>
            <w:right w:val="none" w:sz="0" w:space="0" w:color="auto"/>
          </w:divBdr>
        </w:div>
        <w:div w:id="1319649943">
          <w:marLeft w:val="640"/>
          <w:marRight w:val="0"/>
          <w:marTop w:val="0"/>
          <w:marBottom w:val="0"/>
          <w:divBdr>
            <w:top w:val="none" w:sz="0" w:space="0" w:color="auto"/>
            <w:left w:val="none" w:sz="0" w:space="0" w:color="auto"/>
            <w:bottom w:val="none" w:sz="0" w:space="0" w:color="auto"/>
            <w:right w:val="none" w:sz="0" w:space="0" w:color="auto"/>
          </w:divBdr>
        </w:div>
        <w:div w:id="227694101">
          <w:marLeft w:val="640"/>
          <w:marRight w:val="0"/>
          <w:marTop w:val="0"/>
          <w:marBottom w:val="0"/>
          <w:divBdr>
            <w:top w:val="none" w:sz="0" w:space="0" w:color="auto"/>
            <w:left w:val="none" w:sz="0" w:space="0" w:color="auto"/>
            <w:bottom w:val="none" w:sz="0" w:space="0" w:color="auto"/>
            <w:right w:val="none" w:sz="0" w:space="0" w:color="auto"/>
          </w:divBdr>
        </w:div>
        <w:div w:id="847713789">
          <w:marLeft w:val="640"/>
          <w:marRight w:val="0"/>
          <w:marTop w:val="0"/>
          <w:marBottom w:val="0"/>
          <w:divBdr>
            <w:top w:val="none" w:sz="0" w:space="0" w:color="auto"/>
            <w:left w:val="none" w:sz="0" w:space="0" w:color="auto"/>
            <w:bottom w:val="none" w:sz="0" w:space="0" w:color="auto"/>
            <w:right w:val="none" w:sz="0" w:space="0" w:color="auto"/>
          </w:divBdr>
        </w:div>
        <w:div w:id="197931659">
          <w:marLeft w:val="640"/>
          <w:marRight w:val="0"/>
          <w:marTop w:val="0"/>
          <w:marBottom w:val="0"/>
          <w:divBdr>
            <w:top w:val="none" w:sz="0" w:space="0" w:color="auto"/>
            <w:left w:val="none" w:sz="0" w:space="0" w:color="auto"/>
            <w:bottom w:val="none" w:sz="0" w:space="0" w:color="auto"/>
            <w:right w:val="none" w:sz="0" w:space="0" w:color="auto"/>
          </w:divBdr>
        </w:div>
        <w:div w:id="1780680181">
          <w:marLeft w:val="640"/>
          <w:marRight w:val="0"/>
          <w:marTop w:val="0"/>
          <w:marBottom w:val="0"/>
          <w:divBdr>
            <w:top w:val="none" w:sz="0" w:space="0" w:color="auto"/>
            <w:left w:val="none" w:sz="0" w:space="0" w:color="auto"/>
            <w:bottom w:val="none" w:sz="0" w:space="0" w:color="auto"/>
            <w:right w:val="none" w:sz="0" w:space="0" w:color="auto"/>
          </w:divBdr>
        </w:div>
        <w:div w:id="810446797">
          <w:marLeft w:val="640"/>
          <w:marRight w:val="0"/>
          <w:marTop w:val="0"/>
          <w:marBottom w:val="0"/>
          <w:divBdr>
            <w:top w:val="none" w:sz="0" w:space="0" w:color="auto"/>
            <w:left w:val="none" w:sz="0" w:space="0" w:color="auto"/>
            <w:bottom w:val="none" w:sz="0" w:space="0" w:color="auto"/>
            <w:right w:val="none" w:sz="0" w:space="0" w:color="auto"/>
          </w:divBdr>
        </w:div>
        <w:div w:id="56755865">
          <w:marLeft w:val="640"/>
          <w:marRight w:val="0"/>
          <w:marTop w:val="0"/>
          <w:marBottom w:val="0"/>
          <w:divBdr>
            <w:top w:val="none" w:sz="0" w:space="0" w:color="auto"/>
            <w:left w:val="none" w:sz="0" w:space="0" w:color="auto"/>
            <w:bottom w:val="none" w:sz="0" w:space="0" w:color="auto"/>
            <w:right w:val="none" w:sz="0" w:space="0" w:color="auto"/>
          </w:divBdr>
        </w:div>
        <w:div w:id="1983851733">
          <w:marLeft w:val="640"/>
          <w:marRight w:val="0"/>
          <w:marTop w:val="0"/>
          <w:marBottom w:val="0"/>
          <w:divBdr>
            <w:top w:val="none" w:sz="0" w:space="0" w:color="auto"/>
            <w:left w:val="none" w:sz="0" w:space="0" w:color="auto"/>
            <w:bottom w:val="none" w:sz="0" w:space="0" w:color="auto"/>
            <w:right w:val="none" w:sz="0" w:space="0" w:color="auto"/>
          </w:divBdr>
        </w:div>
        <w:div w:id="221411763">
          <w:marLeft w:val="640"/>
          <w:marRight w:val="0"/>
          <w:marTop w:val="0"/>
          <w:marBottom w:val="0"/>
          <w:divBdr>
            <w:top w:val="none" w:sz="0" w:space="0" w:color="auto"/>
            <w:left w:val="none" w:sz="0" w:space="0" w:color="auto"/>
            <w:bottom w:val="none" w:sz="0" w:space="0" w:color="auto"/>
            <w:right w:val="none" w:sz="0" w:space="0" w:color="auto"/>
          </w:divBdr>
        </w:div>
        <w:div w:id="1540972393">
          <w:marLeft w:val="640"/>
          <w:marRight w:val="0"/>
          <w:marTop w:val="0"/>
          <w:marBottom w:val="0"/>
          <w:divBdr>
            <w:top w:val="none" w:sz="0" w:space="0" w:color="auto"/>
            <w:left w:val="none" w:sz="0" w:space="0" w:color="auto"/>
            <w:bottom w:val="none" w:sz="0" w:space="0" w:color="auto"/>
            <w:right w:val="none" w:sz="0" w:space="0" w:color="auto"/>
          </w:divBdr>
        </w:div>
        <w:div w:id="1907254708">
          <w:marLeft w:val="640"/>
          <w:marRight w:val="0"/>
          <w:marTop w:val="0"/>
          <w:marBottom w:val="0"/>
          <w:divBdr>
            <w:top w:val="none" w:sz="0" w:space="0" w:color="auto"/>
            <w:left w:val="none" w:sz="0" w:space="0" w:color="auto"/>
            <w:bottom w:val="none" w:sz="0" w:space="0" w:color="auto"/>
            <w:right w:val="none" w:sz="0" w:space="0" w:color="auto"/>
          </w:divBdr>
        </w:div>
        <w:div w:id="766271904">
          <w:marLeft w:val="640"/>
          <w:marRight w:val="0"/>
          <w:marTop w:val="0"/>
          <w:marBottom w:val="0"/>
          <w:divBdr>
            <w:top w:val="none" w:sz="0" w:space="0" w:color="auto"/>
            <w:left w:val="none" w:sz="0" w:space="0" w:color="auto"/>
            <w:bottom w:val="none" w:sz="0" w:space="0" w:color="auto"/>
            <w:right w:val="none" w:sz="0" w:space="0" w:color="auto"/>
          </w:divBdr>
        </w:div>
        <w:div w:id="1673218161">
          <w:marLeft w:val="640"/>
          <w:marRight w:val="0"/>
          <w:marTop w:val="0"/>
          <w:marBottom w:val="0"/>
          <w:divBdr>
            <w:top w:val="none" w:sz="0" w:space="0" w:color="auto"/>
            <w:left w:val="none" w:sz="0" w:space="0" w:color="auto"/>
            <w:bottom w:val="none" w:sz="0" w:space="0" w:color="auto"/>
            <w:right w:val="none" w:sz="0" w:space="0" w:color="auto"/>
          </w:divBdr>
        </w:div>
        <w:div w:id="1985239114">
          <w:marLeft w:val="640"/>
          <w:marRight w:val="0"/>
          <w:marTop w:val="0"/>
          <w:marBottom w:val="0"/>
          <w:divBdr>
            <w:top w:val="none" w:sz="0" w:space="0" w:color="auto"/>
            <w:left w:val="none" w:sz="0" w:space="0" w:color="auto"/>
            <w:bottom w:val="none" w:sz="0" w:space="0" w:color="auto"/>
            <w:right w:val="none" w:sz="0" w:space="0" w:color="auto"/>
          </w:divBdr>
        </w:div>
        <w:div w:id="834303966">
          <w:marLeft w:val="640"/>
          <w:marRight w:val="0"/>
          <w:marTop w:val="0"/>
          <w:marBottom w:val="0"/>
          <w:divBdr>
            <w:top w:val="none" w:sz="0" w:space="0" w:color="auto"/>
            <w:left w:val="none" w:sz="0" w:space="0" w:color="auto"/>
            <w:bottom w:val="none" w:sz="0" w:space="0" w:color="auto"/>
            <w:right w:val="none" w:sz="0" w:space="0" w:color="auto"/>
          </w:divBdr>
        </w:div>
        <w:div w:id="442070637">
          <w:marLeft w:val="640"/>
          <w:marRight w:val="0"/>
          <w:marTop w:val="0"/>
          <w:marBottom w:val="0"/>
          <w:divBdr>
            <w:top w:val="none" w:sz="0" w:space="0" w:color="auto"/>
            <w:left w:val="none" w:sz="0" w:space="0" w:color="auto"/>
            <w:bottom w:val="none" w:sz="0" w:space="0" w:color="auto"/>
            <w:right w:val="none" w:sz="0" w:space="0" w:color="auto"/>
          </w:divBdr>
        </w:div>
        <w:div w:id="189414107">
          <w:marLeft w:val="640"/>
          <w:marRight w:val="0"/>
          <w:marTop w:val="0"/>
          <w:marBottom w:val="0"/>
          <w:divBdr>
            <w:top w:val="none" w:sz="0" w:space="0" w:color="auto"/>
            <w:left w:val="none" w:sz="0" w:space="0" w:color="auto"/>
            <w:bottom w:val="none" w:sz="0" w:space="0" w:color="auto"/>
            <w:right w:val="none" w:sz="0" w:space="0" w:color="auto"/>
          </w:divBdr>
        </w:div>
        <w:div w:id="1743024040">
          <w:marLeft w:val="640"/>
          <w:marRight w:val="0"/>
          <w:marTop w:val="0"/>
          <w:marBottom w:val="0"/>
          <w:divBdr>
            <w:top w:val="none" w:sz="0" w:space="0" w:color="auto"/>
            <w:left w:val="none" w:sz="0" w:space="0" w:color="auto"/>
            <w:bottom w:val="none" w:sz="0" w:space="0" w:color="auto"/>
            <w:right w:val="none" w:sz="0" w:space="0" w:color="auto"/>
          </w:divBdr>
        </w:div>
        <w:div w:id="1062168561">
          <w:marLeft w:val="640"/>
          <w:marRight w:val="0"/>
          <w:marTop w:val="0"/>
          <w:marBottom w:val="0"/>
          <w:divBdr>
            <w:top w:val="none" w:sz="0" w:space="0" w:color="auto"/>
            <w:left w:val="none" w:sz="0" w:space="0" w:color="auto"/>
            <w:bottom w:val="none" w:sz="0" w:space="0" w:color="auto"/>
            <w:right w:val="none" w:sz="0" w:space="0" w:color="auto"/>
          </w:divBdr>
        </w:div>
        <w:div w:id="356274514">
          <w:marLeft w:val="640"/>
          <w:marRight w:val="0"/>
          <w:marTop w:val="0"/>
          <w:marBottom w:val="0"/>
          <w:divBdr>
            <w:top w:val="none" w:sz="0" w:space="0" w:color="auto"/>
            <w:left w:val="none" w:sz="0" w:space="0" w:color="auto"/>
            <w:bottom w:val="none" w:sz="0" w:space="0" w:color="auto"/>
            <w:right w:val="none" w:sz="0" w:space="0" w:color="auto"/>
          </w:divBdr>
        </w:div>
        <w:div w:id="1289775470">
          <w:marLeft w:val="640"/>
          <w:marRight w:val="0"/>
          <w:marTop w:val="0"/>
          <w:marBottom w:val="0"/>
          <w:divBdr>
            <w:top w:val="none" w:sz="0" w:space="0" w:color="auto"/>
            <w:left w:val="none" w:sz="0" w:space="0" w:color="auto"/>
            <w:bottom w:val="none" w:sz="0" w:space="0" w:color="auto"/>
            <w:right w:val="none" w:sz="0" w:space="0" w:color="auto"/>
          </w:divBdr>
        </w:div>
        <w:div w:id="573125476">
          <w:marLeft w:val="640"/>
          <w:marRight w:val="0"/>
          <w:marTop w:val="0"/>
          <w:marBottom w:val="0"/>
          <w:divBdr>
            <w:top w:val="none" w:sz="0" w:space="0" w:color="auto"/>
            <w:left w:val="none" w:sz="0" w:space="0" w:color="auto"/>
            <w:bottom w:val="none" w:sz="0" w:space="0" w:color="auto"/>
            <w:right w:val="none" w:sz="0" w:space="0" w:color="auto"/>
          </w:divBdr>
        </w:div>
        <w:div w:id="84349514">
          <w:marLeft w:val="640"/>
          <w:marRight w:val="0"/>
          <w:marTop w:val="0"/>
          <w:marBottom w:val="0"/>
          <w:divBdr>
            <w:top w:val="none" w:sz="0" w:space="0" w:color="auto"/>
            <w:left w:val="none" w:sz="0" w:space="0" w:color="auto"/>
            <w:bottom w:val="none" w:sz="0" w:space="0" w:color="auto"/>
            <w:right w:val="none" w:sz="0" w:space="0" w:color="auto"/>
          </w:divBdr>
        </w:div>
        <w:div w:id="2111000730">
          <w:marLeft w:val="640"/>
          <w:marRight w:val="0"/>
          <w:marTop w:val="0"/>
          <w:marBottom w:val="0"/>
          <w:divBdr>
            <w:top w:val="none" w:sz="0" w:space="0" w:color="auto"/>
            <w:left w:val="none" w:sz="0" w:space="0" w:color="auto"/>
            <w:bottom w:val="none" w:sz="0" w:space="0" w:color="auto"/>
            <w:right w:val="none" w:sz="0" w:space="0" w:color="auto"/>
          </w:divBdr>
        </w:div>
        <w:div w:id="2036684823">
          <w:marLeft w:val="640"/>
          <w:marRight w:val="0"/>
          <w:marTop w:val="0"/>
          <w:marBottom w:val="0"/>
          <w:divBdr>
            <w:top w:val="none" w:sz="0" w:space="0" w:color="auto"/>
            <w:left w:val="none" w:sz="0" w:space="0" w:color="auto"/>
            <w:bottom w:val="none" w:sz="0" w:space="0" w:color="auto"/>
            <w:right w:val="none" w:sz="0" w:space="0" w:color="auto"/>
          </w:divBdr>
        </w:div>
        <w:div w:id="680812168">
          <w:marLeft w:val="640"/>
          <w:marRight w:val="0"/>
          <w:marTop w:val="0"/>
          <w:marBottom w:val="0"/>
          <w:divBdr>
            <w:top w:val="none" w:sz="0" w:space="0" w:color="auto"/>
            <w:left w:val="none" w:sz="0" w:space="0" w:color="auto"/>
            <w:bottom w:val="none" w:sz="0" w:space="0" w:color="auto"/>
            <w:right w:val="none" w:sz="0" w:space="0" w:color="auto"/>
          </w:divBdr>
        </w:div>
        <w:div w:id="251158917">
          <w:marLeft w:val="640"/>
          <w:marRight w:val="0"/>
          <w:marTop w:val="0"/>
          <w:marBottom w:val="0"/>
          <w:divBdr>
            <w:top w:val="none" w:sz="0" w:space="0" w:color="auto"/>
            <w:left w:val="none" w:sz="0" w:space="0" w:color="auto"/>
            <w:bottom w:val="none" w:sz="0" w:space="0" w:color="auto"/>
            <w:right w:val="none" w:sz="0" w:space="0" w:color="auto"/>
          </w:divBdr>
        </w:div>
        <w:div w:id="315376594">
          <w:marLeft w:val="640"/>
          <w:marRight w:val="0"/>
          <w:marTop w:val="0"/>
          <w:marBottom w:val="0"/>
          <w:divBdr>
            <w:top w:val="none" w:sz="0" w:space="0" w:color="auto"/>
            <w:left w:val="none" w:sz="0" w:space="0" w:color="auto"/>
            <w:bottom w:val="none" w:sz="0" w:space="0" w:color="auto"/>
            <w:right w:val="none" w:sz="0" w:space="0" w:color="auto"/>
          </w:divBdr>
        </w:div>
        <w:div w:id="306053557">
          <w:marLeft w:val="640"/>
          <w:marRight w:val="0"/>
          <w:marTop w:val="0"/>
          <w:marBottom w:val="0"/>
          <w:divBdr>
            <w:top w:val="none" w:sz="0" w:space="0" w:color="auto"/>
            <w:left w:val="none" w:sz="0" w:space="0" w:color="auto"/>
            <w:bottom w:val="none" w:sz="0" w:space="0" w:color="auto"/>
            <w:right w:val="none" w:sz="0" w:space="0" w:color="auto"/>
          </w:divBdr>
        </w:div>
        <w:div w:id="289240802">
          <w:marLeft w:val="640"/>
          <w:marRight w:val="0"/>
          <w:marTop w:val="0"/>
          <w:marBottom w:val="0"/>
          <w:divBdr>
            <w:top w:val="none" w:sz="0" w:space="0" w:color="auto"/>
            <w:left w:val="none" w:sz="0" w:space="0" w:color="auto"/>
            <w:bottom w:val="none" w:sz="0" w:space="0" w:color="auto"/>
            <w:right w:val="none" w:sz="0" w:space="0" w:color="auto"/>
          </w:divBdr>
        </w:div>
        <w:div w:id="890730537">
          <w:marLeft w:val="640"/>
          <w:marRight w:val="0"/>
          <w:marTop w:val="0"/>
          <w:marBottom w:val="0"/>
          <w:divBdr>
            <w:top w:val="none" w:sz="0" w:space="0" w:color="auto"/>
            <w:left w:val="none" w:sz="0" w:space="0" w:color="auto"/>
            <w:bottom w:val="none" w:sz="0" w:space="0" w:color="auto"/>
            <w:right w:val="none" w:sz="0" w:space="0" w:color="auto"/>
          </w:divBdr>
        </w:div>
        <w:div w:id="1662272254">
          <w:marLeft w:val="640"/>
          <w:marRight w:val="0"/>
          <w:marTop w:val="0"/>
          <w:marBottom w:val="0"/>
          <w:divBdr>
            <w:top w:val="none" w:sz="0" w:space="0" w:color="auto"/>
            <w:left w:val="none" w:sz="0" w:space="0" w:color="auto"/>
            <w:bottom w:val="none" w:sz="0" w:space="0" w:color="auto"/>
            <w:right w:val="none" w:sz="0" w:space="0" w:color="auto"/>
          </w:divBdr>
        </w:div>
        <w:div w:id="1773235103">
          <w:marLeft w:val="640"/>
          <w:marRight w:val="0"/>
          <w:marTop w:val="0"/>
          <w:marBottom w:val="0"/>
          <w:divBdr>
            <w:top w:val="none" w:sz="0" w:space="0" w:color="auto"/>
            <w:left w:val="none" w:sz="0" w:space="0" w:color="auto"/>
            <w:bottom w:val="none" w:sz="0" w:space="0" w:color="auto"/>
            <w:right w:val="none" w:sz="0" w:space="0" w:color="auto"/>
          </w:divBdr>
        </w:div>
        <w:div w:id="1210725824">
          <w:marLeft w:val="640"/>
          <w:marRight w:val="0"/>
          <w:marTop w:val="0"/>
          <w:marBottom w:val="0"/>
          <w:divBdr>
            <w:top w:val="none" w:sz="0" w:space="0" w:color="auto"/>
            <w:left w:val="none" w:sz="0" w:space="0" w:color="auto"/>
            <w:bottom w:val="none" w:sz="0" w:space="0" w:color="auto"/>
            <w:right w:val="none" w:sz="0" w:space="0" w:color="auto"/>
          </w:divBdr>
        </w:div>
        <w:div w:id="1472596667">
          <w:marLeft w:val="640"/>
          <w:marRight w:val="0"/>
          <w:marTop w:val="0"/>
          <w:marBottom w:val="0"/>
          <w:divBdr>
            <w:top w:val="none" w:sz="0" w:space="0" w:color="auto"/>
            <w:left w:val="none" w:sz="0" w:space="0" w:color="auto"/>
            <w:bottom w:val="none" w:sz="0" w:space="0" w:color="auto"/>
            <w:right w:val="none" w:sz="0" w:space="0" w:color="auto"/>
          </w:divBdr>
        </w:div>
        <w:div w:id="1336683765">
          <w:marLeft w:val="640"/>
          <w:marRight w:val="0"/>
          <w:marTop w:val="0"/>
          <w:marBottom w:val="0"/>
          <w:divBdr>
            <w:top w:val="none" w:sz="0" w:space="0" w:color="auto"/>
            <w:left w:val="none" w:sz="0" w:space="0" w:color="auto"/>
            <w:bottom w:val="none" w:sz="0" w:space="0" w:color="auto"/>
            <w:right w:val="none" w:sz="0" w:space="0" w:color="auto"/>
          </w:divBdr>
        </w:div>
        <w:div w:id="2022662717">
          <w:marLeft w:val="640"/>
          <w:marRight w:val="0"/>
          <w:marTop w:val="0"/>
          <w:marBottom w:val="0"/>
          <w:divBdr>
            <w:top w:val="none" w:sz="0" w:space="0" w:color="auto"/>
            <w:left w:val="none" w:sz="0" w:space="0" w:color="auto"/>
            <w:bottom w:val="none" w:sz="0" w:space="0" w:color="auto"/>
            <w:right w:val="none" w:sz="0" w:space="0" w:color="auto"/>
          </w:divBdr>
        </w:div>
        <w:div w:id="2050567821">
          <w:marLeft w:val="640"/>
          <w:marRight w:val="0"/>
          <w:marTop w:val="0"/>
          <w:marBottom w:val="0"/>
          <w:divBdr>
            <w:top w:val="none" w:sz="0" w:space="0" w:color="auto"/>
            <w:left w:val="none" w:sz="0" w:space="0" w:color="auto"/>
            <w:bottom w:val="none" w:sz="0" w:space="0" w:color="auto"/>
            <w:right w:val="none" w:sz="0" w:space="0" w:color="auto"/>
          </w:divBdr>
        </w:div>
        <w:div w:id="696613980">
          <w:marLeft w:val="640"/>
          <w:marRight w:val="0"/>
          <w:marTop w:val="0"/>
          <w:marBottom w:val="0"/>
          <w:divBdr>
            <w:top w:val="none" w:sz="0" w:space="0" w:color="auto"/>
            <w:left w:val="none" w:sz="0" w:space="0" w:color="auto"/>
            <w:bottom w:val="none" w:sz="0" w:space="0" w:color="auto"/>
            <w:right w:val="none" w:sz="0" w:space="0" w:color="auto"/>
          </w:divBdr>
        </w:div>
        <w:div w:id="1527524740">
          <w:marLeft w:val="640"/>
          <w:marRight w:val="0"/>
          <w:marTop w:val="0"/>
          <w:marBottom w:val="0"/>
          <w:divBdr>
            <w:top w:val="none" w:sz="0" w:space="0" w:color="auto"/>
            <w:left w:val="none" w:sz="0" w:space="0" w:color="auto"/>
            <w:bottom w:val="none" w:sz="0" w:space="0" w:color="auto"/>
            <w:right w:val="none" w:sz="0" w:space="0" w:color="auto"/>
          </w:divBdr>
        </w:div>
        <w:div w:id="40256125">
          <w:marLeft w:val="640"/>
          <w:marRight w:val="0"/>
          <w:marTop w:val="0"/>
          <w:marBottom w:val="0"/>
          <w:divBdr>
            <w:top w:val="none" w:sz="0" w:space="0" w:color="auto"/>
            <w:left w:val="none" w:sz="0" w:space="0" w:color="auto"/>
            <w:bottom w:val="none" w:sz="0" w:space="0" w:color="auto"/>
            <w:right w:val="none" w:sz="0" w:space="0" w:color="auto"/>
          </w:divBdr>
        </w:div>
        <w:div w:id="743257645">
          <w:marLeft w:val="640"/>
          <w:marRight w:val="0"/>
          <w:marTop w:val="0"/>
          <w:marBottom w:val="0"/>
          <w:divBdr>
            <w:top w:val="none" w:sz="0" w:space="0" w:color="auto"/>
            <w:left w:val="none" w:sz="0" w:space="0" w:color="auto"/>
            <w:bottom w:val="none" w:sz="0" w:space="0" w:color="auto"/>
            <w:right w:val="none" w:sz="0" w:space="0" w:color="auto"/>
          </w:divBdr>
        </w:div>
        <w:div w:id="946155363">
          <w:marLeft w:val="640"/>
          <w:marRight w:val="0"/>
          <w:marTop w:val="0"/>
          <w:marBottom w:val="0"/>
          <w:divBdr>
            <w:top w:val="none" w:sz="0" w:space="0" w:color="auto"/>
            <w:left w:val="none" w:sz="0" w:space="0" w:color="auto"/>
            <w:bottom w:val="none" w:sz="0" w:space="0" w:color="auto"/>
            <w:right w:val="none" w:sz="0" w:space="0" w:color="auto"/>
          </w:divBdr>
        </w:div>
        <w:div w:id="2132555698">
          <w:marLeft w:val="640"/>
          <w:marRight w:val="0"/>
          <w:marTop w:val="0"/>
          <w:marBottom w:val="0"/>
          <w:divBdr>
            <w:top w:val="none" w:sz="0" w:space="0" w:color="auto"/>
            <w:left w:val="none" w:sz="0" w:space="0" w:color="auto"/>
            <w:bottom w:val="none" w:sz="0" w:space="0" w:color="auto"/>
            <w:right w:val="none" w:sz="0" w:space="0" w:color="auto"/>
          </w:divBdr>
        </w:div>
        <w:div w:id="527790287">
          <w:marLeft w:val="640"/>
          <w:marRight w:val="0"/>
          <w:marTop w:val="0"/>
          <w:marBottom w:val="0"/>
          <w:divBdr>
            <w:top w:val="none" w:sz="0" w:space="0" w:color="auto"/>
            <w:left w:val="none" w:sz="0" w:space="0" w:color="auto"/>
            <w:bottom w:val="none" w:sz="0" w:space="0" w:color="auto"/>
            <w:right w:val="none" w:sz="0" w:space="0" w:color="auto"/>
          </w:divBdr>
        </w:div>
        <w:div w:id="2033799488">
          <w:marLeft w:val="640"/>
          <w:marRight w:val="0"/>
          <w:marTop w:val="0"/>
          <w:marBottom w:val="0"/>
          <w:divBdr>
            <w:top w:val="none" w:sz="0" w:space="0" w:color="auto"/>
            <w:left w:val="none" w:sz="0" w:space="0" w:color="auto"/>
            <w:bottom w:val="none" w:sz="0" w:space="0" w:color="auto"/>
            <w:right w:val="none" w:sz="0" w:space="0" w:color="auto"/>
          </w:divBdr>
        </w:div>
        <w:div w:id="1592006031">
          <w:marLeft w:val="640"/>
          <w:marRight w:val="0"/>
          <w:marTop w:val="0"/>
          <w:marBottom w:val="0"/>
          <w:divBdr>
            <w:top w:val="none" w:sz="0" w:space="0" w:color="auto"/>
            <w:left w:val="none" w:sz="0" w:space="0" w:color="auto"/>
            <w:bottom w:val="none" w:sz="0" w:space="0" w:color="auto"/>
            <w:right w:val="none" w:sz="0" w:space="0" w:color="auto"/>
          </w:divBdr>
        </w:div>
        <w:div w:id="112945163">
          <w:marLeft w:val="640"/>
          <w:marRight w:val="0"/>
          <w:marTop w:val="0"/>
          <w:marBottom w:val="0"/>
          <w:divBdr>
            <w:top w:val="none" w:sz="0" w:space="0" w:color="auto"/>
            <w:left w:val="none" w:sz="0" w:space="0" w:color="auto"/>
            <w:bottom w:val="none" w:sz="0" w:space="0" w:color="auto"/>
            <w:right w:val="none" w:sz="0" w:space="0" w:color="auto"/>
          </w:divBdr>
        </w:div>
        <w:div w:id="1158808034">
          <w:marLeft w:val="640"/>
          <w:marRight w:val="0"/>
          <w:marTop w:val="0"/>
          <w:marBottom w:val="0"/>
          <w:divBdr>
            <w:top w:val="none" w:sz="0" w:space="0" w:color="auto"/>
            <w:left w:val="none" w:sz="0" w:space="0" w:color="auto"/>
            <w:bottom w:val="none" w:sz="0" w:space="0" w:color="auto"/>
            <w:right w:val="none" w:sz="0" w:space="0" w:color="auto"/>
          </w:divBdr>
        </w:div>
        <w:div w:id="1584799321">
          <w:marLeft w:val="640"/>
          <w:marRight w:val="0"/>
          <w:marTop w:val="0"/>
          <w:marBottom w:val="0"/>
          <w:divBdr>
            <w:top w:val="none" w:sz="0" w:space="0" w:color="auto"/>
            <w:left w:val="none" w:sz="0" w:space="0" w:color="auto"/>
            <w:bottom w:val="none" w:sz="0" w:space="0" w:color="auto"/>
            <w:right w:val="none" w:sz="0" w:space="0" w:color="auto"/>
          </w:divBdr>
        </w:div>
        <w:div w:id="1558272977">
          <w:marLeft w:val="640"/>
          <w:marRight w:val="0"/>
          <w:marTop w:val="0"/>
          <w:marBottom w:val="0"/>
          <w:divBdr>
            <w:top w:val="none" w:sz="0" w:space="0" w:color="auto"/>
            <w:left w:val="none" w:sz="0" w:space="0" w:color="auto"/>
            <w:bottom w:val="none" w:sz="0" w:space="0" w:color="auto"/>
            <w:right w:val="none" w:sz="0" w:space="0" w:color="auto"/>
          </w:divBdr>
        </w:div>
        <w:div w:id="118840582">
          <w:marLeft w:val="640"/>
          <w:marRight w:val="0"/>
          <w:marTop w:val="0"/>
          <w:marBottom w:val="0"/>
          <w:divBdr>
            <w:top w:val="none" w:sz="0" w:space="0" w:color="auto"/>
            <w:left w:val="none" w:sz="0" w:space="0" w:color="auto"/>
            <w:bottom w:val="none" w:sz="0" w:space="0" w:color="auto"/>
            <w:right w:val="none" w:sz="0" w:space="0" w:color="auto"/>
          </w:divBdr>
        </w:div>
        <w:div w:id="1811287925">
          <w:marLeft w:val="640"/>
          <w:marRight w:val="0"/>
          <w:marTop w:val="0"/>
          <w:marBottom w:val="0"/>
          <w:divBdr>
            <w:top w:val="none" w:sz="0" w:space="0" w:color="auto"/>
            <w:left w:val="none" w:sz="0" w:space="0" w:color="auto"/>
            <w:bottom w:val="none" w:sz="0" w:space="0" w:color="auto"/>
            <w:right w:val="none" w:sz="0" w:space="0" w:color="auto"/>
          </w:divBdr>
        </w:div>
        <w:div w:id="1666587657">
          <w:marLeft w:val="640"/>
          <w:marRight w:val="0"/>
          <w:marTop w:val="0"/>
          <w:marBottom w:val="0"/>
          <w:divBdr>
            <w:top w:val="none" w:sz="0" w:space="0" w:color="auto"/>
            <w:left w:val="none" w:sz="0" w:space="0" w:color="auto"/>
            <w:bottom w:val="none" w:sz="0" w:space="0" w:color="auto"/>
            <w:right w:val="none" w:sz="0" w:space="0" w:color="auto"/>
          </w:divBdr>
        </w:div>
        <w:div w:id="526869619">
          <w:marLeft w:val="640"/>
          <w:marRight w:val="0"/>
          <w:marTop w:val="0"/>
          <w:marBottom w:val="0"/>
          <w:divBdr>
            <w:top w:val="none" w:sz="0" w:space="0" w:color="auto"/>
            <w:left w:val="none" w:sz="0" w:space="0" w:color="auto"/>
            <w:bottom w:val="none" w:sz="0" w:space="0" w:color="auto"/>
            <w:right w:val="none" w:sz="0" w:space="0" w:color="auto"/>
          </w:divBdr>
        </w:div>
        <w:div w:id="215701603">
          <w:marLeft w:val="640"/>
          <w:marRight w:val="0"/>
          <w:marTop w:val="0"/>
          <w:marBottom w:val="0"/>
          <w:divBdr>
            <w:top w:val="none" w:sz="0" w:space="0" w:color="auto"/>
            <w:left w:val="none" w:sz="0" w:space="0" w:color="auto"/>
            <w:bottom w:val="none" w:sz="0" w:space="0" w:color="auto"/>
            <w:right w:val="none" w:sz="0" w:space="0" w:color="auto"/>
          </w:divBdr>
        </w:div>
        <w:div w:id="1961840830">
          <w:marLeft w:val="640"/>
          <w:marRight w:val="0"/>
          <w:marTop w:val="0"/>
          <w:marBottom w:val="0"/>
          <w:divBdr>
            <w:top w:val="none" w:sz="0" w:space="0" w:color="auto"/>
            <w:left w:val="none" w:sz="0" w:space="0" w:color="auto"/>
            <w:bottom w:val="none" w:sz="0" w:space="0" w:color="auto"/>
            <w:right w:val="none" w:sz="0" w:space="0" w:color="auto"/>
          </w:divBdr>
        </w:div>
        <w:div w:id="1160271525">
          <w:marLeft w:val="640"/>
          <w:marRight w:val="0"/>
          <w:marTop w:val="0"/>
          <w:marBottom w:val="0"/>
          <w:divBdr>
            <w:top w:val="none" w:sz="0" w:space="0" w:color="auto"/>
            <w:left w:val="none" w:sz="0" w:space="0" w:color="auto"/>
            <w:bottom w:val="none" w:sz="0" w:space="0" w:color="auto"/>
            <w:right w:val="none" w:sz="0" w:space="0" w:color="auto"/>
          </w:divBdr>
        </w:div>
        <w:div w:id="240062747">
          <w:marLeft w:val="640"/>
          <w:marRight w:val="0"/>
          <w:marTop w:val="0"/>
          <w:marBottom w:val="0"/>
          <w:divBdr>
            <w:top w:val="none" w:sz="0" w:space="0" w:color="auto"/>
            <w:left w:val="none" w:sz="0" w:space="0" w:color="auto"/>
            <w:bottom w:val="none" w:sz="0" w:space="0" w:color="auto"/>
            <w:right w:val="none" w:sz="0" w:space="0" w:color="auto"/>
          </w:divBdr>
        </w:div>
        <w:div w:id="88350532">
          <w:marLeft w:val="640"/>
          <w:marRight w:val="0"/>
          <w:marTop w:val="0"/>
          <w:marBottom w:val="0"/>
          <w:divBdr>
            <w:top w:val="none" w:sz="0" w:space="0" w:color="auto"/>
            <w:left w:val="none" w:sz="0" w:space="0" w:color="auto"/>
            <w:bottom w:val="none" w:sz="0" w:space="0" w:color="auto"/>
            <w:right w:val="none" w:sz="0" w:space="0" w:color="auto"/>
          </w:divBdr>
        </w:div>
        <w:div w:id="1308629549">
          <w:marLeft w:val="640"/>
          <w:marRight w:val="0"/>
          <w:marTop w:val="0"/>
          <w:marBottom w:val="0"/>
          <w:divBdr>
            <w:top w:val="none" w:sz="0" w:space="0" w:color="auto"/>
            <w:left w:val="none" w:sz="0" w:space="0" w:color="auto"/>
            <w:bottom w:val="none" w:sz="0" w:space="0" w:color="auto"/>
            <w:right w:val="none" w:sz="0" w:space="0" w:color="auto"/>
          </w:divBdr>
        </w:div>
        <w:div w:id="433746859">
          <w:marLeft w:val="640"/>
          <w:marRight w:val="0"/>
          <w:marTop w:val="0"/>
          <w:marBottom w:val="0"/>
          <w:divBdr>
            <w:top w:val="none" w:sz="0" w:space="0" w:color="auto"/>
            <w:left w:val="none" w:sz="0" w:space="0" w:color="auto"/>
            <w:bottom w:val="none" w:sz="0" w:space="0" w:color="auto"/>
            <w:right w:val="none" w:sz="0" w:space="0" w:color="auto"/>
          </w:divBdr>
        </w:div>
        <w:div w:id="880938982">
          <w:marLeft w:val="640"/>
          <w:marRight w:val="0"/>
          <w:marTop w:val="0"/>
          <w:marBottom w:val="0"/>
          <w:divBdr>
            <w:top w:val="none" w:sz="0" w:space="0" w:color="auto"/>
            <w:left w:val="none" w:sz="0" w:space="0" w:color="auto"/>
            <w:bottom w:val="none" w:sz="0" w:space="0" w:color="auto"/>
            <w:right w:val="none" w:sz="0" w:space="0" w:color="auto"/>
          </w:divBdr>
        </w:div>
        <w:div w:id="289214495">
          <w:marLeft w:val="640"/>
          <w:marRight w:val="0"/>
          <w:marTop w:val="0"/>
          <w:marBottom w:val="0"/>
          <w:divBdr>
            <w:top w:val="none" w:sz="0" w:space="0" w:color="auto"/>
            <w:left w:val="none" w:sz="0" w:space="0" w:color="auto"/>
            <w:bottom w:val="none" w:sz="0" w:space="0" w:color="auto"/>
            <w:right w:val="none" w:sz="0" w:space="0" w:color="auto"/>
          </w:divBdr>
        </w:div>
        <w:div w:id="1228373953">
          <w:marLeft w:val="640"/>
          <w:marRight w:val="0"/>
          <w:marTop w:val="0"/>
          <w:marBottom w:val="0"/>
          <w:divBdr>
            <w:top w:val="none" w:sz="0" w:space="0" w:color="auto"/>
            <w:left w:val="none" w:sz="0" w:space="0" w:color="auto"/>
            <w:bottom w:val="none" w:sz="0" w:space="0" w:color="auto"/>
            <w:right w:val="none" w:sz="0" w:space="0" w:color="auto"/>
          </w:divBdr>
        </w:div>
        <w:div w:id="1804230322">
          <w:marLeft w:val="640"/>
          <w:marRight w:val="0"/>
          <w:marTop w:val="0"/>
          <w:marBottom w:val="0"/>
          <w:divBdr>
            <w:top w:val="none" w:sz="0" w:space="0" w:color="auto"/>
            <w:left w:val="none" w:sz="0" w:space="0" w:color="auto"/>
            <w:bottom w:val="none" w:sz="0" w:space="0" w:color="auto"/>
            <w:right w:val="none" w:sz="0" w:space="0" w:color="auto"/>
          </w:divBdr>
        </w:div>
        <w:div w:id="234977739">
          <w:marLeft w:val="640"/>
          <w:marRight w:val="0"/>
          <w:marTop w:val="0"/>
          <w:marBottom w:val="0"/>
          <w:divBdr>
            <w:top w:val="none" w:sz="0" w:space="0" w:color="auto"/>
            <w:left w:val="none" w:sz="0" w:space="0" w:color="auto"/>
            <w:bottom w:val="none" w:sz="0" w:space="0" w:color="auto"/>
            <w:right w:val="none" w:sz="0" w:space="0" w:color="auto"/>
          </w:divBdr>
        </w:div>
        <w:div w:id="1055395502">
          <w:marLeft w:val="640"/>
          <w:marRight w:val="0"/>
          <w:marTop w:val="0"/>
          <w:marBottom w:val="0"/>
          <w:divBdr>
            <w:top w:val="none" w:sz="0" w:space="0" w:color="auto"/>
            <w:left w:val="none" w:sz="0" w:space="0" w:color="auto"/>
            <w:bottom w:val="none" w:sz="0" w:space="0" w:color="auto"/>
            <w:right w:val="none" w:sz="0" w:space="0" w:color="auto"/>
          </w:divBdr>
        </w:div>
        <w:div w:id="705642440">
          <w:marLeft w:val="640"/>
          <w:marRight w:val="0"/>
          <w:marTop w:val="0"/>
          <w:marBottom w:val="0"/>
          <w:divBdr>
            <w:top w:val="none" w:sz="0" w:space="0" w:color="auto"/>
            <w:left w:val="none" w:sz="0" w:space="0" w:color="auto"/>
            <w:bottom w:val="none" w:sz="0" w:space="0" w:color="auto"/>
            <w:right w:val="none" w:sz="0" w:space="0" w:color="auto"/>
          </w:divBdr>
        </w:div>
        <w:div w:id="605499968">
          <w:marLeft w:val="640"/>
          <w:marRight w:val="0"/>
          <w:marTop w:val="0"/>
          <w:marBottom w:val="0"/>
          <w:divBdr>
            <w:top w:val="none" w:sz="0" w:space="0" w:color="auto"/>
            <w:left w:val="none" w:sz="0" w:space="0" w:color="auto"/>
            <w:bottom w:val="none" w:sz="0" w:space="0" w:color="auto"/>
            <w:right w:val="none" w:sz="0" w:space="0" w:color="auto"/>
          </w:divBdr>
        </w:div>
        <w:div w:id="1691250607">
          <w:marLeft w:val="640"/>
          <w:marRight w:val="0"/>
          <w:marTop w:val="0"/>
          <w:marBottom w:val="0"/>
          <w:divBdr>
            <w:top w:val="none" w:sz="0" w:space="0" w:color="auto"/>
            <w:left w:val="none" w:sz="0" w:space="0" w:color="auto"/>
            <w:bottom w:val="none" w:sz="0" w:space="0" w:color="auto"/>
            <w:right w:val="none" w:sz="0" w:space="0" w:color="auto"/>
          </w:divBdr>
        </w:div>
        <w:div w:id="1219435332">
          <w:marLeft w:val="640"/>
          <w:marRight w:val="0"/>
          <w:marTop w:val="0"/>
          <w:marBottom w:val="0"/>
          <w:divBdr>
            <w:top w:val="none" w:sz="0" w:space="0" w:color="auto"/>
            <w:left w:val="none" w:sz="0" w:space="0" w:color="auto"/>
            <w:bottom w:val="none" w:sz="0" w:space="0" w:color="auto"/>
            <w:right w:val="none" w:sz="0" w:space="0" w:color="auto"/>
          </w:divBdr>
        </w:div>
        <w:div w:id="391074926">
          <w:marLeft w:val="640"/>
          <w:marRight w:val="0"/>
          <w:marTop w:val="0"/>
          <w:marBottom w:val="0"/>
          <w:divBdr>
            <w:top w:val="none" w:sz="0" w:space="0" w:color="auto"/>
            <w:left w:val="none" w:sz="0" w:space="0" w:color="auto"/>
            <w:bottom w:val="none" w:sz="0" w:space="0" w:color="auto"/>
            <w:right w:val="none" w:sz="0" w:space="0" w:color="auto"/>
          </w:divBdr>
        </w:div>
        <w:div w:id="360009511">
          <w:marLeft w:val="640"/>
          <w:marRight w:val="0"/>
          <w:marTop w:val="0"/>
          <w:marBottom w:val="0"/>
          <w:divBdr>
            <w:top w:val="none" w:sz="0" w:space="0" w:color="auto"/>
            <w:left w:val="none" w:sz="0" w:space="0" w:color="auto"/>
            <w:bottom w:val="none" w:sz="0" w:space="0" w:color="auto"/>
            <w:right w:val="none" w:sz="0" w:space="0" w:color="auto"/>
          </w:divBdr>
        </w:div>
        <w:div w:id="1093161271">
          <w:marLeft w:val="640"/>
          <w:marRight w:val="0"/>
          <w:marTop w:val="0"/>
          <w:marBottom w:val="0"/>
          <w:divBdr>
            <w:top w:val="none" w:sz="0" w:space="0" w:color="auto"/>
            <w:left w:val="none" w:sz="0" w:space="0" w:color="auto"/>
            <w:bottom w:val="none" w:sz="0" w:space="0" w:color="auto"/>
            <w:right w:val="none" w:sz="0" w:space="0" w:color="auto"/>
          </w:divBdr>
        </w:div>
        <w:div w:id="1534881532">
          <w:marLeft w:val="640"/>
          <w:marRight w:val="0"/>
          <w:marTop w:val="0"/>
          <w:marBottom w:val="0"/>
          <w:divBdr>
            <w:top w:val="none" w:sz="0" w:space="0" w:color="auto"/>
            <w:left w:val="none" w:sz="0" w:space="0" w:color="auto"/>
            <w:bottom w:val="none" w:sz="0" w:space="0" w:color="auto"/>
            <w:right w:val="none" w:sz="0" w:space="0" w:color="auto"/>
          </w:divBdr>
        </w:div>
        <w:div w:id="744453771">
          <w:marLeft w:val="640"/>
          <w:marRight w:val="0"/>
          <w:marTop w:val="0"/>
          <w:marBottom w:val="0"/>
          <w:divBdr>
            <w:top w:val="none" w:sz="0" w:space="0" w:color="auto"/>
            <w:left w:val="none" w:sz="0" w:space="0" w:color="auto"/>
            <w:bottom w:val="none" w:sz="0" w:space="0" w:color="auto"/>
            <w:right w:val="none" w:sz="0" w:space="0" w:color="auto"/>
          </w:divBdr>
        </w:div>
        <w:div w:id="973438951">
          <w:marLeft w:val="640"/>
          <w:marRight w:val="0"/>
          <w:marTop w:val="0"/>
          <w:marBottom w:val="0"/>
          <w:divBdr>
            <w:top w:val="none" w:sz="0" w:space="0" w:color="auto"/>
            <w:left w:val="none" w:sz="0" w:space="0" w:color="auto"/>
            <w:bottom w:val="none" w:sz="0" w:space="0" w:color="auto"/>
            <w:right w:val="none" w:sz="0" w:space="0" w:color="auto"/>
          </w:divBdr>
        </w:div>
        <w:div w:id="910845776">
          <w:marLeft w:val="640"/>
          <w:marRight w:val="0"/>
          <w:marTop w:val="0"/>
          <w:marBottom w:val="0"/>
          <w:divBdr>
            <w:top w:val="none" w:sz="0" w:space="0" w:color="auto"/>
            <w:left w:val="none" w:sz="0" w:space="0" w:color="auto"/>
            <w:bottom w:val="none" w:sz="0" w:space="0" w:color="auto"/>
            <w:right w:val="none" w:sz="0" w:space="0" w:color="auto"/>
          </w:divBdr>
        </w:div>
        <w:div w:id="112869292">
          <w:marLeft w:val="640"/>
          <w:marRight w:val="0"/>
          <w:marTop w:val="0"/>
          <w:marBottom w:val="0"/>
          <w:divBdr>
            <w:top w:val="none" w:sz="0" w:space="0" w:color="auto"/>
            <w:left w:val="none" w:sz="0" w:space="0" w:color="auto"/>
            <w:bottom w:val="none" w:sz="0" w:space="0" w:color="auto"/>
            <w:right w:val="none" w:sz="0" w:space="0" w:color="auto"/>
          </w:divBdr>
        </w:div>
        <w:div w:id="1392465807">
          <w:marLeft w:val="640"/>
          <w:marRight w:val="0"/>
          <w:marTop w:val="0"/>
          <w:marBottom w:val="0"/>
          <w:divBdr>
            <w:top w:val="none" w:sz="0" w:space="0" w:color="auto"/>
            <w:left w:val="none" w:sz="0" w:space="0" w:color="auto"/>
            <w:bottom w:val="none" w:sz="0" w:space="0" w:color="auto"/>
            <w:right w:val="none" w:sz="0" w:space="0" w:color="auto"/>
          </w:divBdr>
        </w:div>
        <w:div w:id="48195305">
          <w:marLeft w:val="640"/>
          <w:marRight w:val="0"/>
          <w:marTop w:val="0"/>
          <w:marBottom w:val="0"/>
          <w:divBdr>
            <w:top w:val="none" w:sz="0" w:space="0" w:color="auto"/>
            <w:left w:val="none" w:sz="0" w:space="0" w:color="auto"/>
            <w:bottom w:val="none" w:sz="0" w:space="0" w:color="auto"/>
            <w:right w:val="none" w:sz="0" w:space="0" w:color="auto"/>
          </w:divBdr>
        </w:div>
        <w:div w:id="1019626940">
          <w:marLeft w:val="640"/>
          <w:marRight w:val="0"/>
          <w:marTop w:val="0"/>
          <w:marBottom w:val="0"/>
          <w:divBdr>
            <w:top w:val="none" w:sz="0" w:space="0" w:color="auto"/>
            <w:left w:val="none" w:sz="0" w:space="0" w:color="auto"/>
            <w:bottom w:val="none" w:sz="0" w:space="0" w:color="auto"/>
            <w:right w:val="none" w:sz="0" w:space="0" w:color="auto"/>
          </w:divBdr>
        </w:div>
        <w:div w:id="1260529905">
          <w:marLeft w:val="640"/>
          <w:marRight w:val="0"/>
          <w:marTop w:val="0"/>
          <w:marBottom w:val="0"/>
          <w:divBdr>
            <w:top w:val="none" w:sz="0" w:space="0" w:color="auto"/>
            <w:left w:val="none" w:sz="0" w:space="0" w:color="auto"/>
            <w:bottom w:val="none" w:sz="0" w:space="0" w:color="auto"/>
            <w:right w:val="none" w:sz="0" w:space="0" w:color="auto"/>
          </w:divBdr>
        </w:div>
        <w:div w:id="374736720">
          <w:marLeft w:val="640"/>
          <w:marRight w:val="0"/>
          <w:marTop w:val="0"/>
          <w:marBottom w:val="0"/>
          <w:divBdr>
            <w:top w:val="none" w:sz="0" w:space="0" w:color="auto"/>
            <w:left w:val="none" w:sz="0" w:space="0" w:color="auto"/>
            <w:bottom w:val="none" w:sz="0" w:space="0" w:color="auto"/>
            <w:right w:val="none" w:sz="0" w:space="0" w:color="auto"/>
          </w:divBdr>
        </w:div>
        <w:div w:id="1529492140">
          <w:marLeft w:val="640"/>
          <w:marRight w:val="0"/>
          <w:marTop w:val="0"/>
          <w:marBottom w:val="0"/>
          <w:divBdr>
            <w:top w:val="none" w:sz="0" w:space="0" w:color="auto"/>
            <w:left w:val="none" w:sz="0" w:space="0" w:color="auto"/>
            <w:bottom w:val="none" w:sz="0" w:space="0" w:color="auto"/>
            <w:right w:val="none" w:sz="0" w:space="0" w:color="auto"/>
          </w:divBdr>
        </w:div>
        <w:div w:id="576987113">
          <w:marLeft w:val="640"/>
          <w:marRight w:val="0"/>
          <w:marTop w:val="0"/>
          <w:marBottom w:val="0"/>
          <w:divBdr>
            <w:top w:val="none" w:sz="0" w:space="0" w:color="auto"/>
            <w:left w:val="none" w:sz="0" w:space="0" w:color="auto"/>
            <w:bottom w:val="none" w:sz="0" w:space="0" w:color="auto"/>
            <w:right w:val="none" w:sz="0" w:space="0" w:color="auto"/>
          </w:divBdr>
        </w:div>
        <w:div w:id="1644699602">
          <w:marLeft w:val="640"/>
          <w:marRight w:val="0"/>
          <w:marTop w:val="0"/>
          <w:marBottom w:val="0"/>
          <w:divBdr>
            <w:top w:val="none" w:sz="0" w:space="0" w:color="auto"/>
            <w:left w:val="none" w:sz="0" w:space="0" w:color="auto"/>
            <w:bottom w:val="none" w:sz="0" w:space="0" w:color="auto"/>
            <w:right w:val="none" w:sz="0" w:space="0" w:color="auto"/>
          </w:divBdr>
        </w:div>
        <w:div w:id="688802054">
          <w:marLeft w:val="640"/>
          <w:marRight w:val="0"/>
          <w:marTop w:val="0"/>
          <w:marBottom w:val="0"/>
          <w:divBdr>
            <w:top w:val="none" w:sz="0" w:space="0" w:color="auto"/>
            <w:left w:val="none" w:sz="0" w:space="0" w:color="auto"/>
            <w:bottom w:val="none" w:sz="0" w:space="0" w:color="auto"/>
            <w:right w:val="none" w:sz="0" w:space="0" w:color="auto"/>
          </w:divBdr>
        </w:div>
      </w:divsChild>
    </w:div>
    <w:div w:id="1371110373">
      <w:bodyDiv w:val="1"/>
      <w:marLeft w:val="0"/>
      <w:marRight w:val="0"/>
      <w:marTop w:val="0"/>
      <w:marBottom w:val="0"/>
      <w:divBdr>
        <w:top w:val="none" w:sz="0" w:space="0" w:color="auto"/>
        <w:left w:val="none" w:sz="0" w:space="0" w:color="auto"/>
        <w:bottom w:val="none" w:sz="0" w:space="0" w:color="auto"/>
        <w:right w:val="none" w:sz="0" w:space="0" w:color="auto"/>
      </w:divBdr>
      <w:divsChild>
        <w:div w:id="945037537">
          <w:marLeft w:val="640"/>
          <w:marRight w:val="0"/>
          <w:marTop w:val="0"/>
          <w:marBottom w:val="0"/>
          <w:divBdr>
            <w:top w:val="none" w:sz="0" w:space="0" w:color="auto"/>
            <w:left w:val="none" w:sz="0" w:space="0" w:color="auto"/>
            <w:bottom w:val="none" w:sz="0" w:space="0" w:color="auto"/>
            <w:right w:val="none" w:sz="0" w:space="0" w:color="auto"/>
          </w:divBdr>
        </w:div>
        <w:div w:id="1626428017">
          <w:marLeft w:val="640"/>
          <w:marRight w:val="0"/>
          <w:marTop w:val="0"/>
          <w:marBottom w:val="0"/>
          <w:divBdr>
            <w:top w:val="none" w:sz="0" w:space="0" w:color="auto"/>
            <w:left w:val="none" w:sz="0" w:space="0" w:color="auto"/>
            <w:bottom w:val="none" w:sz="0" w:space="0" w:color="auto"/>
            <w:right w:val="none" w:sz="0" w:space="0" w:color="auto"/>
          </w:divBdr>
        </w:div>
        <w:div w:id="1501191246">
          <w:marLeft w:val="640"/>
          <w:marRight w:val="0"/>
          <w:marTop w:val="0"/>
          <w:marBottom w:val="0"/>
          <w:divBdr>
            <w:top w:val="none" w:sz="0" w:space="0" w:color="auto"/>
            <w:left w:val="none" w:sz="0" w:space="0" w:color="auto"/>
            <w:bottom w:val="none" w:sz="0" w:space="0" w:color="auto"/>
            <w:right w:val="none" w:sz="0" w:space="0" w:color="auto"/>
          </w:divBdr>
        </w:div>
        <w:div w:id="1610166605">
          <w:marLeft w:val="640"/>
          <w:marRight w:val="0"/>
          <w:marTop w:val="0"/>
          <w:marBottom w:val="0"/>
          <w:divBdr>
            <w:top w:val="none" w:sz="0" w:space="0" w:color="auto"/>
            <w:left w:val="none" w:sz="0" w:space="0" w:color="auto"/>
            <w:bottom w:val="none" w:sz="0" w:space="0" w:color="auto"/>
            <w:right w:val="none" w:sz="0" w:space="0" w:color="auto"/>
          </w:divBdr>
        </w:div>
        <w:div w:id="631207744">
          <w:marLeft w:val="640"/>
          <w:marRight w:val="0"/>
          <w:marTop w:val="0"/>
          <w:marBottom w:val="0"/>
          <w:divBdr>
            <w:top w:val="none" w:sz="0" w:space="0" w:color="auto"/>
            <w:left w:val="none" w:sz="0" w:space="0" w:color="auto"/>
            <w:bottom w:val="none" w:sz="0" w:space="0" w:color="auto"/>
            <w:right w:val="none" w:sz="0" w:space="0" w:color="auto"/>
          </w:divBdr>
        </w:div>
        <w:div w:id="1860585148">
          <w:marLeft w:val="640"/>
          <w:marRight w:val="0"/>
          <w:marTop w:val="0"/>
          <w:marBottom w:val="0"/>
          <w:divBdr>
            <w:top w:val="none" w:sz="0" w:space="0" w:color="auto"/>
            <w:left w:val="none" w:sz="0" w:space="0" w:color="auto"/>
            <w:bottom w:val="none" w:sz="0" w:space="0" w:color="auto"/>
            <w:right w:val="none" w:sz="0" w:space="0" w:color="auto"/>
          </w:divBdr>
        </w:div>
        <w:div w:id="667560340">
          <w:marLeft w:val="640"/>
          <w:marRight w:val="0"/>
          <w:marTop w:val="0"/>
          <w:marBottom w:val="0"/>
          <w:divBdr>
            <w:top w:val="none" w:sz="0" w:space="0" w:color="auto"/>
            <w:left w:val="none" w:sz="0" w:space="0" w:color="auto"/>
            <w:bottom w:val="none" w:sz="0" w:space="0" w:color="auto"/>
            <w:right w:val="none" w:sz="0" w:space="0" w:color="auto"/>
          </w:divBdr>
        </w:div>
        <w:div w:id="1743940511">
          <w:marLeft w:val="640"/>
          <w:marRight w:val="0"/>
          <w:marTop w:val="0"/>
          <w:marBottom w:val="0"/>
          <w:divBdr>
            <w:top w:val="none" w:sz="0" w:space="0" w:color="auto"/>
            <w:left w:val="none" w:sz="0" w:space="0" w:color="auto"/>
            <w:bottom w:val="none" w:sz="0" w:space="0" w:color="auto"/>
            <w:right w:val="none" w:sz="0" w:space="0" w:color="auto"/>
          </w:divBdr>
        </w:div>
        <w:div w:id="773474779">
          <w:marLeft w:val="640"/>
          <w:marRight w:val="0"/>
          <w:marTop w:val="0"/>
          <w:marBottom w:val="0"/>
          <w:divBdr>
            <w:top w:val="none" w:sz="0" w:space="0" w:color="auto"/>
            <w:left w:val="none" w:sz="0" w:space="0" w:color="auto"/>
            <w:bottom w:val="none" w:sz="0" w:space="0" w:color="auto"/>
            <w:right w:val="none" w:sz="0" w:space="0" w:color="auto"/>
          </w:divBdr>
        </w:div>
        <w:div w:id="1858814675">
          <w:marLeft w:val="640"/>
          <w:marRight w:val="0"/>
          <w:marTop w:val="0"/>
          <w:marBottom w:val="0"/>
          <w:divBdr>
            <w:top w:val="none" w:sz="0" w:space="0" w:color="auto"/>
            <w:left w:val="none" w:sz="0" w:space="0" w:color="auto"/>
            <w:bottom w:val="none" w:sz="0" w:space="0" w:color="auto"/>
            <w:right w:val="none" w:sz="0" w:space="0" w:color="auto"/>
          </w:divBdr>
        </w:div>
        <w:div w:id="1114137647">
          <w:marLeft w:val="640"/>
          <w:marRight w:val="0"/>
          <w:marTop w:val="0"/>
          <w:marBottom w:val="0"/>
          <w:divBdr>
            <w:top w:val="none" w:sz="0" w:space="0" w:color="auto"/>
            <w:left w:val="none" w:sz="0" w:space="0" w:color="auto"/>
            <w:bottom w:val="none" w:sz="0" w:space="0" w:color="auto"/>
            <w:right w:val="none" w:sz="0" w:space="0" w:color="auto"/>
          </w:divBdr>
        </w:div>
        <w:div w:id="2097482610">
          <w:marLeft w:val="640"/>
          <w:marRight w:val="0"/>
          <w:marTop w:val="0"/>
          <w:marBottom w:val="0"/>
          <w:divBdr>
            <w:top w:val="none" w:sz="0" w:space="0" w:color="auto"/>
            <w:left w:val="none" w:sz="0" w:space="0" w:color="auto"/>
            <w:bottom w:val="none" w:sz="0" w:space="0" w:color="auto"/>
            <w:right w:val="none" w:sz="0" w:space="0" w:color="auto"/>
          </w:divBdr>
        </w:div>
        <w:div w:id="1662729455">
          <w:marLeft w:val="640"/>
          <w:marRight w:val="0"/>
          <w:marTop w:val="0"/>
          <w:marBottom w:val="0"/>
          <w:divBdr>
            <w:top w:val="none" w:sz="0" w:space="0" w:color="auto"/>
            <w:left w:val="none" w:sz="0" w:space="0" w:color="auto"/>
            <w:bottom w:val="none" w:sz="0" w:space="0" w:color="auto"/>
            <w:right w:val="none" w:sz="0" w:space="0" w:color="auto"/>
          </w:divBdr>
        </w:div>
        <w:div w:id="1441949911">
          <w:marLeft w:val="640"/>
          <w:marRight w:val="0"/>
          <w:marTop w:val="0"/>
          <w:marBottom w:val="0"/>
          <w:divBdr>
            <w:top w:val="none" w:sz="0" w:space="0" w:color="auto"/>
            <w:left w:val="none" w:sz="0" w:space="0" w:color="auto"/>
            <w:bottom w:val="none" w:sz="0" w:space="0" w:color="auto"/>
            <w:right w:val="none" w:sz="0" w:space="0" w:color="auto"/>
          </w:divBdr>
        </w:div>
        <w:div w:id="37627849">
          <w:marLeft w:val="640"/>
          <w:marRight w:val="0"/>
          <w:marTop w:val="0"/>
          <w:marBottom w:val="0"/>
          <w:divBdr>
            <w:top w:val="none" w:sz="0" w:space="0" w:color="auto"/>
            <w:left w:val="none" w:sz="0" w:space="0" w:color="auto"/>
            <w:bottom w:val="none" w:sz="0" w:space="0" w:color="auto"/>
            <w:right w:val="none" w:sz="0" w:space="0" w:color="auto"/>
          </w:divBdr>
        </w:div>
        <w:div w:id="645430787">
          <w:marLeft w:val="640"/>
          <w:marRight w:val="0"/>
          <w:marTop w:val="0"/>
          <w:marBottom w:val="0"/>
          <w:divBdr>
            <w:top w:val="none" w:sz="0" w:space="0" w:color="auto"/>
            <w:left w:val="none" w:sz="0" w:space="0" w:color="auto"/>
            <w:bottom w:val="none" w:sz="0" w:space="0" w:color="auto"/>
            <w:right w:val="none" w:sz="0" w:space="0" w:color="auto"/>
          </w:divBdr>
        </w:div>
        <w:div w:id="1333946173">
          <w:marLeft w:val="640"/>
          <w:marRight w:val="0"/>
          <w:marTop w:val="0"/>
          <w:marBottom w:val="0"/>
          <w:divBdr>
            <w:top w:val="none" w:sz="0" w:space="0" w:color="auto"/>
            <w:left w:val="none" w:sz="0" w:space="0" w:color="auto"/>
            <w:bottom w:val="none" w:sz="0" w:space="0" w:color="auto"/>
            <w:right w:val="none" w:sz="0" w:space="0" w:color="auto"/>
          </w:divBdr>
        </w:div>
        <w:div w:id="2102606444">
          <w:marLeft w:val="640"/>
          <w:marRight w:val="0"/>
          <w:marTop w:val="0"/>
          <w:marBottom w:val="0"/>
          <w:divBdr>
            <w:top w:val="none" w:sz="0" w:space="0" w:color="auto"/>
            <w:left w:val="none" w:sz="0" w:space="0" w:color="auto"/>
            <w:bottom w:val="none" w:sz="0" w:space="0" w:color="auto"/>
            <w:right w:val="none" w:sz="0" w:space="0" w:color="auto"/>
          </w:divBdr>
        </w:div>
        <w:div w:id="2095126474">
          <w:marLeft w:val="640"/>
          <w:marRight w:val="0"/>
          <w:marTop w:val="0"/>
          <w:marBottom w:val="0"/>
          <w:divBdr>
            <w:top w:val="none" w:sz="0" w:space="0" w:color="auto"/>
            <w:left w:val="none" w:sz="0" w:space="0" w:color="auto"/>
            <w:bottom w:val="none" w:sz="0" w:space="0" w:color="auto"/>
            <w:right w:val="none" w:sz="0" w:space="0" w:color="auto"/>
          </w:divBdr>
        </w:div>
        <w:div w:id="1621448917">
          <w:marLeft w:val="640"/>
          <w:marRight w:val="0"/>
          <w:marTop w:val="0"/>
          <w:marBottom w:val="0"/>
          <w:divBdr>
            <w:top w:val="none" w:sz="0" w:space="0" w:color="auto"/>
            <w:left w:val="none" w:sz="0" w:space="0" w:color="auto"/>
            <w:bottom w:val="none" w:sz="0" w:space="0" w:color="auto"/>
            <w:right w:val="none" w:sz="0" w:space="0" w:color="auto"/>
          </w:divBdr>
        </w:div>
        <w:div w:id="1185707606">
          <w:marLeft w:val="640"/>
          <w:marRight w:val="0"/>
          <w:marTop w:val="0"/>
          <w:marBottom w:val="0"/>
          <w:divBdr>
            <w:top w:val="none" w:sz="0" w:space="0" w:color="auto"/>
            <w:left w:val="none" w:sz="0" w:space="0" w:color="auto"/>
            <w:bottom w:val="none" w:sz="0" w:space="0" w:color="auto"/>
            <w:right w:val="none" w:sz="0" w:space="0" w:color="auto"/>
          </w:divBdr>
        </w:div>
        <w:div w:id="1947038920">
          <w:marLeft w:val="640"/>
          <w:marRight w:val="0"/>
          <w:marTop w:val="0"/>
          <w:marBottom w:val="0"/>
          <w:divBdr>
            <w:top w:val="none" w:sz="0" w:space="0" w:color="auto"/>
            <w:left w:val="none" w:sz="0" w:space="0" w:color="auto"/>
            <w:bottom w:val="none" w:sz="0" w:space="0" w:color="auto"/>
            <w:right w:val="none" w:sz="0" w:space="0" w:color="auto"/>
          </w:divBdr>
        </w:div>
        <w:div w:id="502546710">
          <w:marLeft w:val="640"/>
          <w:marRight w:val="0"/>
          <w:marTop w:val="0"/>
          <w:marBottom w:val="0"/>
          <w:divBdr>
            <w:top w:val="none" w:sz="0" w:space="0" w:color="auto"/>
            <w:left w:val="none" w:sz="0" w:space="0" w:color="auto"/>
            <w:bottom w:val="none" w:sz="0" w:space="0" w:color="auto"/>
            <w:right w:val="none" w:sz="0" w:space="0" w:color="auto"/>
          </w:divBdr>
        </w:div>
        <w:div w:id="1969045165">
          <w:marLeft w:val="640"/>
          <w:marRight w:val="0"/>
          <w:marTop w:val="0"/>
          <w:marBottom w:val="0"/>
          <w:divBdr>
            <w:top w:val="none" w:sz="0" w:space="0" w:color="auto"/>
            <w:left w:val="none" w:sz="0" w:space="0" w:color="auto"/>
            <w:bottom w:val="none" w:sz="0" w:space="0" w:color="auto"/>
            <w:right w:val="none" w:sz="0" w:space="0" w:color="auto"/>
          </w:divBdr>
        </w:div>
        <w:div w:id="358699735">
          <w:marLeft w:val="640"/>
          <w:marRight w:val="0"/>
          <w:marTop w:val="0"/>
          <w:marBottom w:val="0"/>
          <w:divBdr>
            <w:top w:val="none" w:sz="0" w:space="0" w:color="auto"/>
            <w:left w:val="none" w:sz="0" w:space="0" w:color="auto"/>
            <w:bottom w:val="none" w:sz="0" w:space="0" w:color="auto"/>
            <w:right w:val="none" w:sz="0" w:space="0" w:color="auto"/>
          </w:divBdr>
        </w:div>
        <w:div w:id="603655959">
          <w:marLeft w:val="640"/>
          <w:marRight w:val="0"/>
          <w:marTop w:val="0"/>
          <w:marBottom w:val="0"/>
          <w:divBdr>
            <w:top w:val="none" w:sz="0" w:space="0" w:color="auto"/>
            <w:left w:val="none" w:sz="0" w:space="0" w:color="auto"/>
            <w:bottom w:val="none" w:sz="0" w:space="0" w:color="auto"/>
            <w:right w:val="none" w:sz="0" w:space="0" w:color="auto"/>
          </w:divBdr>
        </w:div>
        <w:div w:id="930162285">
          <w:marLeft w:val="640"/>
          <w:marRight w:val="0"/>
          <w:marTop w:val="0"/>
          <w:marBottom w:val="0"/>
          <w:divBdr>
            <w:top w:val="none" w:sz="0" w:space="0" w:color="auto"/>
            <w:left w:val="none" w:sz="0" w:space="0" w:color="auto"/>
            <w:bottom w:val="none" w:sz="0" w:space="0" w:color="auto"/>
            <w:right w:val="none" w:sz="0" w:space="0" w:color="auto"/>
          </w:divBdr>
        </w:div>
        <w:div w:id="856583835">
          <w:marLeft w:val="640"/>
          <w:marRight w:val="0"/>
          <w:marTop w:val="0"/>
          <w:marBottom w:val="0"/>
          <w:divBdr>
            <w:top w:val="none" w:sz="0" w:space="0" w:color="auto"/>
            <w:left w:val="none" w:sz="0" w:space="0" w:color="auto"/>
            <w:bottom w:val="none" w:sz="0" w:space="0" w:color="auto"/>
            <w:right w:val="none" w:sz="0" w:space="0" w:color="auto"/>
          </w:divBdr>
        </w:div>
        <w:div w:id="125658642">
          <w:marLeft w:val="640"/>
          <w:marRight w:val="0"/>
          <w:marTop w:val="0"/>
          <w:marBottom w:val="0"/>
          <w:divBdr>
            <w:top w:val="none" w:sz="0" w:space="0" w:color="auto"/>
            <w:left w:val="none" w:sz="0" w:space="0" w:color="auto"/>
            <w:bottom w:val="none" w:sz="0" w:space="0" w:color="auto"/>
            <w:right w:val="none" w:sz="0" w:space="0" w:color="auto"/>
          </w:divBdr>
        </w:div>
        <w:div w:id="416173976">
          <w:marLeft w:val="640"/>
          <w:marRight w:val="0"/>
          <w:marTop w:val="0"/>
          <w:marBottom w:val="0"/>
          <w:divBdr>
            <w:top w:val="none" w:sz="0" w:space="0" w:color="auto"/>
            <w:left w:val="none" w:sz="0" w:space="0" w:color="auto"/>
            <w:bottom w:val="none" w:sz="0" w:space="0" w:color="auto"/>
            <w:right w:val="none" w:sz="0" w:space="0" w:color="auto"/>
          </w:divBdr>
        </w:div>
        <w:div w:id="1471553786">
          <w:marLeft w:val="640"/>
          <w:marRight w:val="0"/>
          <w:marTop w:val="0"/>
          <w:marBottom w:val="0"/>
          <w:divBdr>
            <w:top w:val="none" w:sz="0" w:space="0" w:color="auto"/>
            <w:left w:val="none" w:sz="0" w:space="0" w:color="auto"/>
            <w:bottom w:val="none" w:sz="0" w:space="0" w:color="auto"/>
            <w:right w:val="none" w:sz="0" w:space="0" w:color="auto"/>
          </w:divBdr>
        </w:div>
        <w:div w:id="1073550422">
          <w:marLeft w:val="640"/>
          <w:marRight w:val="0"/>
          <w:marTop w:val="0"/>
          <w:marBottom w:val="0"/>
          <w:divBdr>
            <w:top w:val="none" w:sz="0" w:space="0" w:color="auto"/>
            <w:left w:val="none" w:sz="0" w:space="0" w:color="auto"/>
            <w:bottom w:val="none" w:sz="0" w:space="0" w:color="auto"/>
            <w:right w:val="none" w:sz="0" w:space="0" w:color="auto"/>
          </w:divBdr>
        </w:div>
        <w:div w:id="1316645588">
          <w:marLeft w:val="640"/>
          <w:marRight w:val="0"/>
          <w:marTop w:val="0"/>
          <w:marBottom w:val="0"/>
          <w:divBdr>
            <w:top w:val="none" w:sz="0" w:space="0" w:color="auto"/>
            <w:left w:val="none" w:sz="0" w:space="0" w:color="auto"/>
            <w:bottom w:val="none" w:sz="0" w:space="0" w:color="auto"/>
            <w:right w:val="none" w:sz="0" w:space="0" w:color="auto"/>
          </w:divBdr>
        </w:div>
        <w:div w:id="23405249">
          <w:marLeft w:val="640"/>
          <w:marRight w:val="0"/>
          <w:marTop w:val="0"/>
          <w:marBottom w:val="0"/>
          <w:divBdr>
            <w:top w:val="none" w:sz="0" w:space="0" w:color="auto"/>
            <w:left w:val="none" w:sz="0" w:space="0" w:color="auto"/>
            <w:bottom w:val="none" w:sz="0" w:space="0" w:color="auto"/>
            <w:right w:val="none" w:sz="0" w:space="0" w:color="auto"/>
          </w:divBdr>
        </w:div>
        <w:div w:id="1936401427">
          <w:marLeft w:val="640"/>
          <w:marRight w:val="0"/>
          <w:marTop w:val="0"/>
          <w:marBottom w:val="0"/>
          <w:divBdr>
            <w:top w:val="none" w:sz="0" w:space="0" w:color="auto"/>
            <w:left w:val="none" w:sz="0" w:space="0" w:color="auto"/>
            <w:bottom w:val="none" w:sz="0" w:space="0" w:color="auto"/>
            <w:right w:val="none" w:sz="0" w:space="0" w:color="auto"/>
          </w:divBdr>
        </w:div>
        <w:div w:id="759064842">
          <w:marLeft w:val="640"/>
          <w:marRight w:val="0"/>
          <w:marTop w:val="0"/>
          <w:marBottom w:val="0"/>
          <w:divBdr>
            <w:top w:val="none" w:sz="0" w:space="0" w:color="auto"/>
            <w:left w:val="none" w:sz="0" w:space="0" w:color="auto"/>
            <w:bottom w:val="none" w:sz="0" w:space="0" w:color="auto"/>
            <w:right w:val="none" w:sz="0" w:space="0" w:color="auto"/>
          </w:divBdr>
        </w:div>
        <w:div w:id="633562907">
          <w:marLeft w:val="640"/>
          <w:marRight w:val="0"/>
          <w:marTop w:val="0"/>
          <w:marBottom w:val="0"/>
          <w:divBdr>
            <w:top w:val="none" w:sz="0" w:space="0" w:color="auto"/>
            <w:left w:val="none" w:sz="0" w:space="0" w:color="auto"/>
            <w:bottom w:val="none" w:sz="0" w:space="0" w:color="auto"/>
            <w:right w:val="none" w:sz="0" w:space="0" w:color="auto"/>
          </w:divBdr>
        </w:div>
        <w:div w:id="1920676229">
          <w:marLeft w:val="640"/>
          <w:marRight w:val="0"/>
          <w:marTop w:val="0"/>
          <w:marBottom w:val="0"/>
          <w:divBdr>
            <w:top w:val="none" w:sz="0" w:space="0" w:color="auto"/>
            <w:left w:val="none" w:sz="0" w:space="0" w:color="auto"/>
            <w:bottom w:val="none" w:sz="0" w:space="0" w:color="auto"/>
            <w:right w:val="none" w:sz="0" w:space="0" w:color="auto"/>
          </w:divBdr>
        </w:div>
        <w:div w:id="900289661">
          <w:marLeft w:val="640"/>
          <w:marRight w:val="0"/>
          <w:marTop w:val="0"/>
          <w:marBottom w:val="0"/>
          <w:divBdr>
            <w:top w:val="none" w:sz="0" w:space="0" w:color="auto"/>
            <w:left w:val="none" w:sz="0" w:space="0" w:color="auto"/>
            <w:bottom w:val="none" w:sz="0" w:space="0" w:color="auto"/>
            <w:right w:val="none" w:sz="0" w:space="0" w:color="auto"/>
          </w:divBdr>
        </w:div>
        <w:div w:id="1468284102">
          <w:marLeft w:val="640"/>
          <w:marRight w:val="0"/>
          <w:marTop w:val="0"/>
          <w:marBottom w:val="0"/>
          <w:divBdr>
            <w:top w:val="none" w:sz="0" w:space="0" w:color="auto"/>
            <w:left w:val="none" w:sz="0" w:space="0" w:color="auto"/>
            <w:bottom w:val="none" w:sz="0" w:space="0" w:color="auto"/>
            <w:right w:val="none" w:sz="0" w:space="0" w:color="auto"/>
          </w:divBdr>
        </w:div>
        <w:div w:id="732967562">
          <w:marLeft w:val="640"/>
          <w:marRight w:val="0"/>
          <w:marTop w:val="0"/>
          <w:marBottom w:val="0"/>
          <w:divBdr>
            <w:top w:val="none" w:sz="0" w:space="0" w:color="auto"/>
            <w:left w:val="none" w:sz="0" w:space="0" w:color="auto"/>
            <w:bottom w:val="none" w:sz="0" w:space="0" w:color="auto"/>
            <w:right w:val="none" w:sz="0" w:space="0" w:color="auto"/>
          </w:divBdr>
        </w:div>
        <w:div w:id="711921606">
          <w:marLeft w:val="640"/>
          <w:marRight w:val="0"/>
          <w:marTop w:val="0"/>
          <w:marBottom w:val="0"/>
          <w:divBdr>
            <w:top w:val="none" w:sz="0" w:space="0" w:color="auto"/>
            <w:left w:val="none" w:sz="0" w:space="0" w:color="auto"/>
            <w:bottom w:val="none" w:sz="0" w:space="0" w:color="auto"/>
            <w:right w:val="none" w:sz="0" w:space="0" w:color="auto"/>
          </w:divBdr>
        </w:div>
        <w:div w:id="1704165242">
          <w:marLeft w:val="640"/>
          <w:marRight w:val="0"/>
          <w:marTop w:val="0"/>
          <w:marBottom w:val="0"/>
          <w:divBdr>
            <w:top w:val="none" w:sz="0" w:space="0" w:color="auto"/>
            <w:left w:val="none" w:sz="0" w:space="0" w:color="auto"/>
            <w:bottom w:val="none" w:sz="0" w:space="0" w:color="auto"/>
            <w:right w:val="none" w:sz="0" w:space="0" w:color="auto"/>
          </w:divBdr>
        </w:div>
        <w:div w:id="1774668294">
          <w:marLeft w:val="640"/>
          <w:marRight w:val="0"/>
          <w:marTop w:val="0"/>
          <w:marBottom w:val="0"/>
          <w:divBdr>
            <w:top w:val="none" w:sz="0" w:space="0" w:color="auto"/>
            <w:left w:val="none" w:sz="0" w:space="0" w:color="auto"/>
            <w:bottom w:val="none" w:sz="0" w:space="0" w:color="auto"/>
            <w:right w:val="none" w:sz="0" w:space="0" w:color="auto"/>
          </w:divBdr>
        </w:div>
        <w:div w:id="917860749">
          <w:marLeft w:val="640"/>
          <w:marRight w:val="0"/>
          <w:marTop w:val="0"/>
          <w:marBottom w:val="0"/>
          <w:divBdr>
            <w:top w:val="none" w:sz="0" w:space="0" w:color="auto"/>
            <w:left w:val="none" w:sz="0" w:space="0" w:color="auto"/>
            <w:bottom w:val="none" w:sz="0" w:space="0" w:color="auto"/>
            <w:right w:val="none" w:sz="0" w:space="0" w:color="auto"/>
          </w:divBdr>
        </w:div>
        <w:div w:id="1884058236">
          <w:marLeft w:val="640"/>
          <w:marRight w:val="0"/>
          <w:marTop w:val="0"/>
          <w:marBottom w:val="0"/>
          <w:divBdr>
            <w:top w:val="none" w:sz="0" w:space="0" w:color="auto"/>
            <w:left w:val="none" w:sz="0" w:space="0" w:color="auto"/>
            <w:bottom w:val="none" w:sz="0" w:space="0" w:color="auto"/>
            <w:right w:val="none" w:sz="0" w:space="0" w:color="auto"/>
          </w:divBdr>
        </w:div>
        <w:div w:id="1416172179">
          <w:marLeft w:val="640"/>
          <w:marRight w:val="0"/>
          <w:marTop w:val="0"/>
          <w:marBottom w:val="0"/>
          <w:divBdr>
            <w:top w:val="none" w:sz="0" w:space="0" w:color="auto"/>
            <w:left w:val="none" w:sz="0" w:space="0" w:color="auto"/>
            <w:bottom w:val="none" w:sz="0" w:space="0" w:color="auto"/>
            <w:right w:val="none" w:sz="0" w:space="0" w:color="auto"/>
          </w:divBdr>
        </w:div>
        <w:div w:id="1103261244">
          <w:marLeft w:val="640"/>
          <w:marRight w:val="0"/>
          <w:marTop w:val="0"/>
          <w:marBottom w:val="0"/>
          <w:divBdr>
            <w:top w:val="none" w:sz="0" w:space="0" w:color="auto"/>
            <w:left w:val="none" w:sz="0" w:space="0" w:color="auto"/>
            <w:bottom w:val="none" w:sz="0" w:space="0" w:color="auto"/>
            <w:right w:val="none" w:sz="0" w:space="0" w:color="auto"/>
          </w:divBdr>
        </w:div>
        <w:div w:id="422721973">
          <w:marLeft w:val="640"/>
          <w:marRight w:val="0"/>
          <w:marTop w:val="0"/>
          <w:marBottom w:val="0"/>
          <w:divBdr>
            <w:top w:val="none" w:sz="0" w:space="0" w:color="auto"/>
            <w:left w:val="none" w:sz="0" w:space="0" w:color="auto"/>
            <w:bottom w:val="none" w:sz="0" w:space="0" w:color="auto"/>
            <w:right w:val="none" w:sz="0" w:space="0" w:color="auto"/>
          </w:divBdr>
        </w:div>
        <w:div w:id="1814787259">
          <w:marLeft w:val="640"/>
          <w:marRight w:val="0"/>
          <w:marTop w:val="0"/>
          <w:marBottom w:val="0"/>
          <w:divBdr>
            <w:top w:val="none" w:sz="0" w:space="0" w:color="auto"/>
            <w:left w:val="none" w:sz="0" w:space="0" w:color="auto"/>
            <w:bottom w:val="none" w:sz="0" w:space="0" w:color="auto"/>
            <w:right w:val="none" w:sz="0" w:space="0" w:color="auto"/>
          </w:divBdr>
        </w:div>
        <w:div w:id="1733117417">
          <w:marLeft w:val="640"/>
          <w:marRight w:val="0"/>
          <w:marTop w:val="0"/>
          <w:marBottom w:val="0"/>
          <w:divBdr>
            <w:top w:val="none" w:sz="0" w:space="0" w:color="auto"/>
            <w:left w:val="none" w:sz="0" w:space="0" w:color="auto"/>
            <w:bottom w:val="none" w:sz="0" w:space="0" w:color="auto"/>
            <w:right w:val="none" w:sz="0" w:space="0" w:color="auto"/>
          </w:divBdr>
        </w:div>
        <w:div w:id="374618365">
          <w:marLeft w:val="640"/>
          <w:marRight w:val="0"/>
          <w:marTop w:val="0"/>
          <w:marBottom w:val="0"/>
          <w:divBdr>
            <w:top w:val="none" w:sz="0" w:space="0" w:color="auto"/>
            <w:left w:val="none" w:sz="0" w:space="0" w:color="auto"/>
            <w:bottom w:val="none" w:sz="0" w:space="0" w:color="auto"/>
            <w:right w:val="none" w:sz="0" w:space="0" w:color="auto"/>
          </w:divBdr>
        </w:div>
        <w:div w:id="1939170776">
          <w:marLeft w:val="640"/>
          <w:marRight w:val="0"/>
          <w:marTop w:val="0"/>
          <w:marBottom w:val="0"/>
          <w:divBdr>
            <w:top w:val="none" w:sz="0" w:space="0" w:color="auto"/>
            <w:left w:val="none" w:sz="0" w:space="0" w:color="auto"/>
            <w:bottom w:val="none" w:sz="0" w:space="0" w:color="auto"/>
            <w:right w:val="none" w:sz="0" w:space="0" w:color="auto"/>
          </w:divBdr>
        </w:div>
        <w:div w:id="2132505982">
          <w:marLeft w:val="640"/>
          <w:marRight w:val="0"/>
          <w:marTop w:val="0"/>
          <w:marBottom w:val="0"/>
          <w:divBdr>
            <w:top w:val="none" w:sz="0" w:space="0" w:color="auto"/>
            <w:left w:val="none" w:sz="0" w:space="0" w:color="auto"/>
            <w:bottom w:val="none" w:sz="0" w:space="0" w:color="auto"/>
            <w:right w:val="none" w:sz="0" w:space="0" w:color="auto"/>
          </w:divBdr>
        </w:div>
        <w:div w:id="1173882509">
          <w:marLeft w:val="640"/>
          <w:marRight w:val="0"/>
          <w:marTop w:val="0"/>
          <w:marBottom w:val="0"/>
          <w:divBdr>
            <w:top w:val="none" w:sz="0" w:space="0" w:color="auto"/>
            <w:left w:val="none" w:sz="0" w:space="0" w:color="auto"/>
            <w:bottom w:val="none" w:sz="0" w:space="0" w:color="auto"/>
            <w:right w:val="none" w:sz="0" w:space="0" w:color="auto"/>
          </w:divBdr>
        </w:div>
        <w:div w:id="1261182089">
          <w:marLeft w:val="640"/>
          <w:marRight w:val="0"/>
          <w:marTop w:val="0"/>
          <w:marBottom w:val="0"/>
          <w:divBdr>
            <w:top w:val="none" w:sz="0" w:space="0" w:color="auto"/>
            <w:left w:val="none" w:sz="0" w:space="0" w:color="auto"/>
            <w:bottom w:val="none" w:sz="0" w:space="0" w:color="auto"/>
            <w:right w:val="none" w:sz="0" w:space="0" w:color="auto"/>
          </w:divBdr>
        </w:div>
        <w:div w:id="1687749972">
          <w:marLeft w:val="640"/>
          <w:marRight w:val="0"/>
          <w:marTop w:val="0"/>
          <w:marBottom w:val="0"/>
          <w:divBdr>
            <w:top w:val="none" w:sz="0" w:space="0" w:color="auto"/>
            <w:left w:val="none" w:sz="0" w:space="0" w:color="auto"/>
            <w:bottom w:val="none" w:sz="0" w:space="0" w:color="auto"/>
            <w:right w:val="none" w:sz="0" w:space="0" w:color="auto"/>
          </w:divBdr>
        </w:div>
        <w:div w:id="608125357">
          <w:marLeft w:val="640"/>
          <w:marRight w:val="0"/>
          <w:marTop w:val="0"/>
          <w:marBottom w:val="0"/>
          <w:divBdr>
            <w:top w:val="none" w:sz="0" w:space="0" w:color="auto"/>
            <w:left w:val="none" w:sz="0" w:space="0" w:color="auto"/>
            <w:bottom w:val="none" w:sz="0" w:space="0" w:color="auto"/>
            <w:right w:val="none" w:sz="0" w:space="0" w:color="auto"/>
          </w:divBdr>
        </w:div>
        <w:div w:id="1264537929">
          <w:marLeft w:val="640"/>
          <w:marRight w:val="0"/>
          <w:marTop w:val="0"/>
          <w:marBottom w:val="0"/>
          <w:divBdr>
            <w:top w:val="none" w:sz="0" w:space="0" w:color="auto"/>
            <w:left w:val="none" w:sz="0" w:space="0" w:color="auto"/>
            <w:bottom w:val="none" w:sz="0" w:space="0" w:color="auto"/>
            <w:right w:val="none" w:sz="0" w:space="0" w:color="auto"/>
          </w:divBdr>
        </w:div>
        <w:div w:id="156116876">
          <w:marLeft w:val="640"/>
          <w:marRight w:val="0"/>
          <w:marTop w:val="0"/>
          <w:marBottom w:val="0"/>
          <w:divBdr>
            <w:top w:val="none" w:sz="0" w:space="0" w:color="auto"/>
            <w:left w:val="none" w:sz="0" w:space="0" w:color="auto"/>
            <w:bottom w:val="none" w:sz="0" w:space="0" w:color="auto"/>
            <w:right w:val="none" w:sz="0" w:space="0" w:color="auto"/>
          </w:divBdr>
        </w:div>
        <w:div w:id="157114167">
          <w:marLeft w:val="640"/>
          <w:marRight w:val="0"/>
          <w:marTop w:val="0"/>
          <w:marBottom w:val="0"/>
          <w:divBdr>
            <w:top w:val="none" w:sz="0" w:space="0" w:color="auto"/>
            <w:left w:val="none" w:sz="0" w:space="0" w:color="auto"/>
            <w:bottom w:val="none" w:sz="0" w:space="0" w:color="auto"/>
            <w:right w:val="none" w:sz="0" w:space="0" w:color="auto"/>
          </w:divBdr>
        </w:div>
        <w:div w:id="48110628">
          <w:marLeft w:val="640"/>
          <w:marRight w:val="0"/>
          <w:marTop w:val="0"/>
          <w:marBottom w:val="0"/>
          <w:divBdr>
            <w:top w:val="none" w:sz="0" w:space="0" w:color="auto"/>
            <w:left w:val="none" w:sz="0" w:space="0" w:color="auto"/>
            <w:bottom w:val="none" w:sz="0" w:space="0" w:color="auto"/>
            <w:right w:val="none" w:sz="0" w:space="0" w:color="auto"/>
          </w:divBdr>
        </w:div>
        <w:div w:id="761487544">
          <w:marLeft w:val="640"/>
          <w:marRight w:val="0"/>
          <w:marTop w:val="0"/>
          <w:marBottom w:val="0"/>
          <w:divBdr>
            <w:top w:val="none" w:sz="0" w:space="0" w:color="auto"/>
            <w:left w:val="none" w:sz="0" w:space="0" w:color="auto"/>
            <w:bottom w:val="none" w:sz="0" w:space="0" w:color="auto"/>
            <w:right w:val="none" w:sz="0" w:space="0" w:color="auto"/>
          </w:divBdr>
        </w:div>
        <w:div w:id="47463086">
          <w:marLeft w:val="640"/>
          <w:marRight w:val="0"/>
          <w:marTop w:val="0"/>
          <w:marBottom w:val="0"/>
          <w:divBdr>
            <w:top w:val="none" w:sz="0" w:space="0" w:color="auto"/>
            <w:left w:val="none" w:sz="0" w:space="0" w:color="auto"/>
            <w:bottom w:val="none" w:sz="0" w:space="0" w:color="auto"/>
            <w:right w:val="none" w:sz="0" w:space="0" w:color="auto"/>
          </w:divBdr>
        </w:div>
        <w:div w:id="1699238333">
          <w:marLeft w:val="640"/>
          <w:marRight w:val="0"/>
          <w:marTop w:val="0"/>
          <w:marBottom w:val="0"/>
          <w:divBdr>
            <w:top w:val="none" w:sz="0" w:space="0" w:color="auto"/>
            <w:left w:val="none" w:sz="0" w:space="0" w:color="auto"/>
            <w:bottom w:val="none" w:sz="0" w:space="0" w:color="auto"/>
            <w:right w:val="none" w:sz="0" w:space="0" w:color="auto"/>
          </w:divBdr>
        </w:div>
        <w:div w:id="658731709">
          <w:marLeft w:val="640"/>
          <w:marRight w:val="0"/>
          <w:marTop w:val="0"/>
          <w:marBottom w:val="0"/>
          <w:divBdr>
            <w:top w:val="none" w:sz="0" w:space="0" w:color="auto"/>
            <w:left w:val="none" w:sz="0" w:space="0" w:color="auto"/>
            <w:bottom w:val="none" w:sz="0" w:space="0" w:color="auto"/>
            <w:right w:val="none" w:sz="0" w:space="0" w:color="auto"/>
          </w:divBdr>
        </w:div>
        <w:div w:id="675036492">
          <w:marLeft w:val="640"/>
          <w:marRight w:val="0"/>
          <w:marTop w:val="0"/>
          <w:marBottom w:val="0"/>
          <w:divBdr>
            <w:top w:val="none" w:sz="0" w:space="0" w:color="auto"/>
            <w:left w:val="none" w:sz="0" w:space="0" w:color="auto"/>
            <w:bottom w:val="none" w:sz="0" w:space="0" w:color="auto"/>
            <w:right w:val="none" w:sz="0" w:space="0" w:color="auto"/>
          </w:divBdr>
        </w:div>
        <w:div w:id="1120999196">
          <w:marLeft w:val="640"/>
          <w:marRight w:val="0"/>
          <w:marTop w:val="0"/>
          <w:marBottom w:val="0"/>
          <w:divBdr>
            <w:top w:val="none" w:sz="0" w:space="0" w:color="auto"/>
            <w:left w:val="none" w:sz="0" w:space="0" w:color="auto"/>
            <w:bottom w:val="none" w:sz="0" w:space="0" w:color="auto"/>
            <w:right w:val="none" w:sz="0" w:space="0" w:color="auto"/>
          </w:divBdr>
        </w:div>
        <w:div w:id="1154838515">
          <w:marLeft w:val="640"/>
          <w:marRight w:val="0"/>
          <w:marTop w:val="0"/>
          <w:marBottom w:val="0"/>
          <w:divBdr>
            <w:top w:val="none" w:sz="0" w:space="0" w:color="auto"/>
            <w:left w:val="none" w:sz="0" w:space="0" w:color="auto"/>
            <w:bottom w:val="none" w:sz="0" w:space="0" w:color="auto"/>
            <w:right w:val="none" w:sz="0" w:space="0" w:color="auto"/>
          </w:divBdr>
        </w:div>
        <w:div w:id="539633465">
          <w:marLeft w:val="640"/>
          <w:marRight w:val="0"/>
          <w:marTop w:val="0"/>
          <w:marBottom w:val="0"/>
          <w:divBdr>
            <w:top w:val="none" w:sz="0" w:space="0" w:color="auto"/>
            <w:left w:val="none" w:sz="0" w:space="0" w:color="auto"/>
            <w:bottom w:val="none" w:sz="0" w:space="0" w:color="auto"/>
            <w:right w:val="none" w:sz="0" w:space="0" w:color="auto"/>
          </w:divBdr>
        </w:div>
        <w:div w:id="1996494815">
          <w:marLeft w:val="640"/>
          <w:marRight w:val="0"/>
          <w:marTop w:val="0"/>
          <w:marBottom w:val="0"/>
          <w:divBdr>
            <w:top w:val="none" w:sz="0" w:space="0" w:color="auto"/>
            <w:left w:val="none" w:sz="0" w:space="0" w:color="auto"/>
            <w:bottom w:val="none" w:sz="0" w:space="0" w:color="auto"/>
            <w:right w:val="none" w:sz="0" w:space="0" w:color="auto"/>
          </w:divBdr>
        </w:div>
        <w:div w:id="1755473088">
          <w:marLeft w:val="640"/>
          <w:marRight w:val="0"/>
          <w:marTop w:val="0"/>
          <w:marBottom w:val="0"/>
          <w:divBdr>
            <w:top w:val="none" w:sz="0" w:space="0" w:color="auto"/>
            <w:left w:val="none" w:sz="0" w:space="0" w:color="auto"/>
            <w:bottom w:val="none" w:sz="0" w:space="0" w:color="auto"/>
            <w:right w:val="none" w:sz="0" w:space="0" w:color="auto"/>
          </w:divBdr>
        </w:div>
        <w:div w:id="2249269">
          <w:marLeft w:val="640"/>
          <w:marRight w:val="0"/>
          <w:marTop w:val="0"/>
          <w:marBottom w:val="0"/>
          <w:divBdr>
            <w:top w:val="none" w:sz="0" w:space="0" w:color="auto"/>
            <w:left w:val="none" w:sz="0" w:space="0" w:color="auto"/>
            <w:bottom w:val="none" w:sz="0" w:space="0" w:color="auto"/>
            <w:right w:val="none" w:sz="0" w:space="0" w:color="auto"/>
          </w:divBdr>
        </w:div>
        <w:div w:id="2137286047">
          <w:marLeft w:val="640"/>
          <w:marRight w:val="0"/>
          <w:marTop w:val="0"/>
          <w:marBottom w:val="0"/>
          <w:divBdr>
            <w:top w:val="none" w:sz="0" w:space="0" w:color="auto"/>
            <w:left w:val="none" w:sz="0" w:space="0" w:color="auto"/>
            <w:bottom w:val="none" w:sz="0" w:space="0" w:color="auto"/>
            <w:right w:val="none" w:sz="0" w:space="0" w:color="auto"/>
          </w:divBdr>
        </w:div>
        <w:div w:id="948396326">
          <w:marLeft w:val="640"/>
          <w:marRight w:val="0"/>
          <w:marTop w:val="0"/>
          <w:marBottom w:val="0"/>
          <w:divBdr>
            <w:top w:val="none" w:sz="0" w:space="0" w:color="auto"/>
            <w:left w:val="none" w:sz="0" w:space="0" w:color="auto"/>
            <w:bottom w:val="none" w:sz="0" w:space="0" w:color="auto"/>
            <w:right w:val="none" w:sz="0" w:space="0" w:color="auto"/>
          </w:divBdr>
        </w:div>
        <w:div w:id="1673946347">
          <w:marLeft w:val="640"/>
          <w:marRight w:val="0"/>
          <w:marTop w:val="0"/>
          <w:marBottom w:val="0"/>
          <w:divBdr>
            <w:top w:val="none" w:sz="0" w:space="0" w:color="auto"/>
            <w:left w:val="none" w:sz="0" w:space="0" w:color="auto"/>
            <w:bottom w:val="none" w:sz="0" w:space="0" w:color="auto"/>
            <w:right w:val="none" w:sz="0" w:space="0" w:color="auto"/>
          </w:divBdr>
        </w:div>
        <w:div w:id="2011174377">
          <w:marLeft w:val="640"/>
          <w:marRight w:val="0"/>
          <w:marTop w:val="0"/>
          <w:marBottom w:val="0"/>
          <w:divBdr>
            <w:top w:val="none" w:sz="0" w:space="0" w:color="auto"/>
            <w:left w:val="none" w:sz="0" w:space="0" w:color="auto"/>
            <w:bottom w:val="none" w:sz="0" w:space="0" w:color="auto"/>
            <w:right w:val="none" w:sz="0" w:space="0" w:color="auto"/>
          </w:divBdr>
        </w:div>
        <w:div w:id="203450378">
          <w:marLeft w:val="640"/>
          <w:marRight w:val="0"/>
          <w:marTop w:val="0"/>
          <w:marBottom w:val="0"/>
          <w:divBdr>
            <w:top w:val="none" w:sz="0" w:space="0" w:color="auto"/>
            <w:left w:val="none" w:sz="0" w:space="0" w:color="auto"/>
            <w:bottom w:val="none" w:sz="0" w:space="0" w:color="auto"/>
            <w:right w:val="none" w:sz="0" w:space="0" w:color="auto"/>
          </w:divBdr>
        </w:div>
        <w:div w:id="977535920">
          <w:marLeft w:val="640"/>
          <w:marRight w:val="0"/>
          <w:marTop w:val="0"/>
          <w:marBottom w:val="0"/>
          <w:divBdr>
            <w:top w:val="none" w:sz="0" w:space="0" w:color="auto"/>
            <w:left w:val="none" w:sz="0" w:space="0" w:color="auto"/>
            <w:bottom w:val="none" w:sz="0" w:space="0" w:color="auto"/>
            <w:right w:val="none" w:sz="0" w:space="0" w:color="auto"/>
          </w:divBdr>
        </w:div>
        <w:div w:id="430472310">
          <w:marLeft w:val="640"/>
          <w:marRight w:val="0"/>
          <w:marTop w:val="0"/>
          <w:marBottom w:val="0"/>
          <w:divBdr>
            <w:top w:val="none" w:sz="0" w:space="0" w:color="auto"/>
            <w:left w:val="none" w:sz="0" w:space="0" w:color="auto"/>
            <w:bottom w:val="none" w:sz="0" w:space="0" w:color="auto"/>
            <w:right w:val="none" w:sz="0" w:space="0" w:color="auto"/>
          </w:divBdr>
        </w:div>
        <w:div w:id="8146809">
          <w:marLeft w:val="640"/>
          <w:marRight w:val="0"/>
          <w:marTop w:val="0"/>
          <w:marBottom w:val="0"/>
          <w:divBdr>
            <w:top w:val="none" w:sz="0" w:space="0" w:color="auto"/>
            <w:left w:val="none" w:sz="0" w:space="0" w:color="auto"/>
            <w:bottom w:val="none" w:sz="0" w:space="0" w:color="auto"/>
            <w:right w:val="none" w:sz="0" w:space="0" w:color="auto"/>
          </w:divBdr>
        </w:div>
        <w:div w:id="755129225">
          <w:marLeft w:val="640"/>
          <w:marRight w:val="0"/>
          <w:marTop w:val="0"/>
          <w:marBottom w:val="0"/>
          <w:divBdr>
            <w:top w:val="none" w:sz="0" w:space="0" w:color="auto"/>
            <w:left w:val="none" w:sz="0" w:space="0" w:color="auto"/>
            <w:bottom w:val="none" w:sz="0" w:space="0" w:color="auto"/>
            <w:right w:val="none" w:sz="0" w:space="0" w:color="auto"/>
          </w:divBdr>
        </w:div>
        <w:div w:id="2080706142">
          <w:marLeft w:val="640"/>
          <w:marRight w:val="0"/>
          <w:marTop w:val="0"/>
          <w:marBottom w:val="0"/>
          <w:divBdr>
            <w:top w:val="none" w:sz="0" w:space="0" w:color="auto"/>
            <w:left w:val="none" w:sz="0" w:space="0" w:color="auto"/>
            <w:bottom w:val="none" w:sz="0" w:space="0" w:color="auto"/>
            <w:right w:val="none" w:sz="0" w:space="0" w:color="auto"/>
          </w:divBdr>
        </w:div>
        <w:div w:id="1164593302">
          <w:marLeft w:val="640"/>
          <w:marRight w:val="0"/>
          <w:marTop w:val="0"/>
          <w:marBottom w:val="0"/>
          <w:divBdr>
            <w:top w:val="none" w:sz="0" w:space="0" w:color="auto"/>
            <w:left w:val="none" w:sz="0" w:space="0" w:color="auto"/>
            <w:bottom w:val="none" w:sz="0" w:space="0" w:color="auto"/>
            <w:right w:val="none" w:sz="0" w:space="0" w:color="auto"/>
          </w:divBdr>
        </w:div>
        <w:div w:id="1569028920">
          <w:marLeft w:val="640"/>
          <w:marRight w:val="0"/>
          <w:marTop w:val="0"/>
          <w:marBottom w:val="0"/>
          <w:divBdr>
            <w:top w:val="none" w:sz="0" w:space="0" w:color="auto"/>
            <w:left w:val="none" w:sz="0" w:space="0" w:color="auto"/>
            <w:bottom w:val="none" w:sz="0" w:space="0" w:color="auto"/>
            <w:right w:val="none" w:sz="0" w:space="0" w:color="auto"/>
          </w:divBdr>
        </w:div>
        <w:div w:id="1218394522">
          <w:marLeft w:val="640"/>
          <w:marRight w:val="0"/>
          <w:marTop w:val="0"/>
          <w:marBottom w:val="0"/>
          <w:divBdr>
            <w:top w:val="none" w:sz="0" w:space="0" w:color="auto"/>
            <w:left w:val="none" w:sz="0" w:space="0" w:color="auto"/>
            <w:bottom w:val="none" w:sz="0" w:space="0" w:color="auto"/>
            <w:right w:val="none" w:sz="0" w:space="0" w:color="auto"/>
          </w:divBdr>
        </w:div>
        <w:div w:id="1499421787">
          <w:marLeft w:val="640"/>
          <w:marRight w:val="0"/>
          <w:marTop w:val="0"/>
          <w:marBottom w:val="0"/>
          <w:divBdr>
            <w:top w:val="none" w:sz="0" w:space="0" w:color="auto"/>
            <w:left w:val="none" w:sz="0" w:space="0" w:color="auto"/>
            <w:bottom w:val="none" w:sz="0" w:space="0" w:color="auto"/>
            <w:right w:val="none" w:sz="0" w:space="0" w:color="auto"/>
          </w:divBdr>
        </w:div>
        <w:div w:id="332033763">
          <w:marLeft w:val="640"/>
          <w:marRight w:val="0"/>
          <w:marTop w:val="0"/>
          <w:marBottom w:val="0"/>
          <w:divBdr>
            <w:top w:val="none" w:sz="0" w:space="0" w:color="auto"/>
            <w:left w:val="none" w:sz="0" w:space="0" w:color="auto"/>
            <w:bottom w:val="none" w:sz="0" w:space="0" w:color="auto"/>
            <w:right w:val="none" w:sz="0" w:space="0" w:color="auto"/>
          </w:divBdr>
        </w:div>
        <w:div w:id="1363284086">
          <w:marLeft w:val="640"/>
          <w:marRight w:val="0"/>
          <w:marTop w:val="0"/>
          <w:marBottom w:val="0"/>
          <w:divBdr>
            <w:top w:val="none" w:sz="0" w:space="0" w:color="auto"/>
            <w:left w:val="none" w:sz="0" w:space="0" w:color="auto"/>
            <w:bottom w:val="none" w:sz="0" w:space="0" w:color="auto"/>
            <w:right w:val="none" w:sz="0" w:space="0" w:color="auto"/>
          </w:divBdr>
        </w:div>
        <w:div w:id="2005350172">
          <w:marLeft w:val="640"/>
          <w:marRight w:val="0"/>
          <w:marTop w:val="0"/>
          <w:marBottom w:val="0"/>
          <w:divBdr>
            <w:top w:val="none" w:sz="0" w:space="0" w:color="auto"/>
            <w:left w:val="none" w:sz="0" w:space="0" w:color="auto"/>
            <w:bottom w:val="none" w:sz="0" w:space="0" w:color="auto"/>
            <w:right w:val="none" w:sz="0" w:space="0" w:color="auto"/>
          </w:divBdr>
        </w:div>
        <w:div w:id="1788505310">
          <w:marLeft w:val="640"/>
          <w:marRight w:val="0"/>
          <w:marTop w:val="0"/>
          <w:marBottom w:val="0"/>
          <w:divBdr>
            <w:top w:val="none" w:sz="0" w:space="0" w:color="auto"/>
            <w:left w:val="none" w:sz="0" w:space="0" w:color="auto"/>
            <w:bottom w:val="none" w:sz="0" w:space="0" w:color="auto"/>
            <w:right w:val="none" w:sz="0" w:space="0" w:color="auto"/>
          </w:divBdr>
        </w:div>
        <w:div w:id="1064378033">
          <w:marLeft w:val="640"/>
          <w:marRight w:val="0"/>
          <w:marTop w:val="0"/>
          <w:marBottom w:val="0"/>
          <w:divBdr>
            <w:top w:val="none" w:sz="0" w:space="0" w:color="auto"/>
            <w:left w:val="none" w:sz="0" w:space="0" w:color="auto"/>
            <w:bottom w:val="none" w:sz="0" w:space="0" w:color="auto"/>
            <w:right w:val="none" w:sz="0" w:space="0" w:color="auto"/>
          </w:divBdr>
        </w:div>
        <w:div w:id="486749857">
          <w:marLeft w:val="640"/>
          <w:marRight w:val="0"/>
          <w:marTop w:val="0"/>
          <w:marBottom w:val="0"/>
          <w:divBdr>
            <w:top w:val="none" w:sz="0" w:space="0" w:color="auto"/>
            <w:left w:val="none" w:sz="0" w:space="0" w:color="auto"/>
            <w:bottom w:val="none" w:sz="0" w:space="0" w:color="auto"/>
            <w:right w:val="none" w:sz="0" w:space="0" w:color="auto"/>
          </w:divBdr>
        </w:div>
        <w:div w:id="1151095595">
          <w:marLeft w:val="640"/>
          <w:marRight w:val="0"/>
          <w:marTop w:val="0"/>
          <w:marBottom w:val="0"/>
          <w:divBdr>
            <w:top w:val="none" w:sz="0" w:space="0" w:color="auto"/>
            <w:left w:val="none" w:sz="0" w:space="0" w:color="auto"/>
            <w:bottom w:val="none" w:sz="0" w:space="0" w:color="auto"/>
            <w:right w:val="none" w:sz="0" w:space="0" w:color="auto"/>
          </w:divBdr>
        </w:div>
        <w:div w:id="943461981">
          <w:marLeft w:val="640"/>
          <w:marRight w:val="0"/>
          <w:marTop w:val="0"/>
          <w:marBottom w:val="0"/>
          <w:divBdr>
            <w:top w:val="none" w:sz="0" w:space="0" w:color="auto"/>
            <w:left w:val="none" w:sz="0" w:space="0" w:color="auto"/>
            <w:bottom w:val="none" w:sz="0" w:space="0" w:color="auto"/>
            <w:right w:val="none" w:sz="0" w:space="0" w:color="auto"/>
          </w:divBdr>
        </w:div>
        <w:div w:id="611208552">
          <w:marLeft w:val="640"/>
          <w:marRight w:val="0"/>
          <w:marTop w:val="0"/>
          <w:marBottom w:val="0"/>
          <w:divBdr>
            <w:top w:val="none" w:sz="0" w:space="0" w:color="auto"/>
            <w:left w:val="none" w:sz="0" w:space="0" w:color="auto"/>
            <w:bottom w:val="none" w:sz="0" w:space="0" w:color="auto"/>
            <w:right w:val="none" w:sz="0" w:space="0" w:color="auto"/>
          </w:divBdr>
        </w:div>
        <w:div w:id="2061632733">
          <w:marLeft w:val="640"/>
          <w:marRight w:val="0"/>
          <w:marTop w:val="0"/>
          <w:marBottom w:val="0"/>
          <w:divBdr>
            <w:top w:val="none" w:sz="0" w:space="0" w:color="auto"/>
            <w:left w:val="none" w:sz="0" w:space="0" w:color="auto"/>
            <w:bottom w:val="none" w:sz="0" w:space="0" w:color="auto"/>
            <w:right w:val="none" w:sz="0" w:space="0" w:color="auto"/>
          </w:divBdr>
        </w:div>
        <w:div w:id="1468620570">
          <w:marLeft w:val="640"/>
          <w:marRight w:val="0"/>
          <w:marTop w:val="0"/>
          <w:marBottom w:val="0"/>
          <w:divBdr>
            <w:top w:val="none" w:sz="0" w:space="0" w:color="auto"/>
            <w:left w:val="none" w:sz="0" w:space="0" w:color="auto"/>
            <w:bottom w:val="none" w:sz="0" w:space="0" w:color="auto"/>
            <w:right w:val="none" w:sz="0" w:space="0" w:color="auto"/>
          </w:divBdr>
        </w:div>
        <w:div w:id="262998432">
          <w:marLeft w:val="640"/>
          <w:marRight w:val="0"/>
          <w:marTop w:val="0"/>
          <w:marBottom w:val="0"/>
          <w:divBdr>
            <w:top w:val="none" w:sz="0" w:space="0" w:color="auto"/>
            <w:left w:val="none" w:sz="0" w:space="0" w:color="auto"/>
            <w:bottom w:val="none" w:sz="0" w:space="0" w:color="auto"/>
            <w:right w:val="none" w:sz="0" w:space="0" w:color="auto"/>
          </w:divBdr>
        </w:div>
        <w:div w:id="1177231157">
          <w:marLeft w:val="640"/>
          <w:marRight w:val="0"/>
          <w:marTop w:val="0"/>
          <w:marBottom w:val="0"/>
          <w:divBdr>
            <w:top w:val="none" w:sz="0" w:space="0" w:color="auto"/>
            <w:left w:val="none" w:sz="0" w:space="0" w:color="auto"/>
            <w:bottom w:val="none" w:sz="0" w:space="0" w:color="auto"/>
            <w:right w:val="none" w:sz="0" w:space="0" w:color="auto"/>
          </w:divBdr>
        </w:div>
        <w:div w:id="377625375">
          <w:marLeft w:val="640"/>
          <w:marRight w:val="0"/>
          <w:marTop w:val="0"/>
          <w:marBottom w:val="0"/>
          <w:divBdr>
            <w:top w:val="none" w:sz="0" w:space="0" w:color="auto"/>
            <w:left w:val="none" w:sz="0" w:space="0" w:color="auto"/>
            <w:bottom w:val="none" w:sz="0" w:space="0" w:color="auto"/>
            <w:right w:val="none" w:sz="0" w:space="0" w:color="auto"/>
          </w:divBdr>
        </w:div>
        <w:div w:id="2109277228">
          <w:marLeft w:val="640"/>
          <w:marRight w:val="0"/>
          <w:marTop w:val="0"/>
          <w:marBottom w:val="0"/>
          <w:divBdr>
            <w:top w:val="none" w:sz="0" w:space="0" w:color="auto"/>
            <w:left w:val="none" w:sz="0" w:space="0" w:color="auto"/>
            <w:bottom w:val="none" w:sz="0" w:space="0" w:color="auto"/>
            <w:right w:val="none" w:sz="0" w:space="0" w:color="auto"/>
          </w:divBdr>
        </w:div>
        <w:div w:id="985818924">
          <w:marLeft w:val="640"/>
          <w:marRight w:val="0"/>
          <w:marTop w:val="0"/>
          <w:marBottom w:val="0"/>
          <w:divBdr>
            <w:top w:val="none" w:sz="0" w:space="0" w:color="auto"/>
            <w:left w:val="none" w:sz="0" w:space="0" w:color="auto"/>
            <w:bottom w:val="none" w:sz="0" w:space="0" w:color="auto"/>
            <w:right w:val="none" w:sz="0" w:space="0" w:color="auto"/>
          </w:divBdr>
        </w:div>
        <w:div w:id="2086224532">
          <w:marLeft w:val="640"/>
          <w:marRight w:val="0"/>
          <w:marTop w:val="0"/>
          <w:marBottom w:val="0"/>
          <w:divBdr>
            <w:top w:val="none" w:sz="0" w:space="0" w:color="auto"/>
            <w:left w:val="none" w:sz="0" w:space="0" w:color="auto"/>
            <w:bottom w:val="none" w:sz="0" w:space="0" w:color="auto"/>
            <w:right w:val="none" w:sz="0" w:space="0" w:color="auto"/>
          </w:divBdr>
        </w:div>
        <w:div w:id="409156391">
          <w:marLeft w:val="640"/>
          <w:marRight w:val="0"/>
          <w:marTop w:val="0"/>
          <w:marBottom w:val="0"/>
          <w:divBdr>
            <w:top w:val="none" w:sz="0" w:space="0" w:color="auto"/>
            <w:left w:val="none" w:sz="0" w:space="0" w:color="auto"/>
            <w:bottom w:val="none" w:sz="0" w:space="0" w:color="auto"/>
            <w:right w:val="none" w:sz="0" w:space="0" w:color="auto"/>
          </w:divBdr>
        </w:div>
        <w:div w:id="920602795">
          <w:marLeft w:val="640"/>
          <w:marRight w:val="0"/>
          <w:marTop w:val="0"/>
          <w:marBottom w:val="0"/>
          <w:divBdr>
            <w:top w:val="none" w:sz="0" w:space="0" w:color="auto"/>
            <w:left w:val="none" w:sz="0" w:space="0" w:color="auto"/>
            <w:bottom w:val="none" w:sz="0" w:space="0" w:color="auto"/>
            <w:right w:val="none" w:sz="0" w:space="0" w:color="auto"/>
          </w:divBdr>
        </w:div>
        <w:div w:id="2060008587">
          <w:marLeft w:val="640"/>
          <w:marRight w:val="0"/>
          <w:marTop w:val="0"/>
          <w:marBottom w:val="0"/>
          <w:divBdr>
            <w:top w:val="none" w:sz="0" w:space="0" w:color="auto"/>
            <w:left w:val="none" w:sz="0" w:space="0" w:color="auto"/>
            <w:bottom w:val="none" w:sz="0" w:space="0" w:color="auto"/>
            <w:right w:val="none" w:sz="0" w:space="0" w:color="auto"/>
          </w:divBdr>
        </w:div>
        <w:div w:id="120803328">
          <w:marLeft w:val="640"/>
          <w:marRight w:val="0"/>
          <w:marTop w:val="0"/>
          <w:marBottom w:val="0"/>
          <w:divBdr>
            <w:top w:val="none" w:sz="0" w:space="0" w:color="auto"/>
            <w:left w:val="none" w:sz="0" w:space="0" w:color="auto"/>
            <w:bottom w:val="none" w:sz="0" w:space="0" w:color="auto"/>
            <w:right w:val="none" w:sz="0" w:space="0" w:color="auto"/>
          </w:divBdr>
        </w:div>
        <w:div w:id="363605798">
          <w:marLeft w:val="640"/>
          <w:marRight w:val="0"/>
          <w:marTop w:val="0"/>
          <w:marBottom w:val="0"/>
          <w:divBdr>
            <w:top w:val="none" w:sz="0" w:space="0" w:color="auto"/>
            <w:left w:val="none" w:sz="0" w:space="0" w:color="auto"/>
            <w:bottom w:val="none" w:sz="0" w:space="0" w:color="auto"/>
            <w:right w:val="none" w:sz="0" w:space="0" w:color="auto"/>
          </w:divBdr>
        </w:div>
        <w:div w:id="827745088">
          <w:marLeft w:val="640"/>
          <w:marRight w:val="0"/>
          <w:marTop w:val="0"/>
          <w:marBottom w:val="0"/>
          <w:divBdr>
            <w:top w:val="none" w:sz="0" w:space="0" w:color="auto"/>
            <w:left w:val="none" w:sz="0" w:space="0" w:color="auto"/>
            <w:bottom w:val="none" w:sz="0" w:space="0" w:color="auto"/>
            <w:right w:val="none" w:sz="0" w:space="0" w:color="auto"/>
          </w:divBdr>
        </w:div>
        <w:div w:id="1348944631">
          <w:marLeft w:val="640"/>
          <w:marRight w:val="0"/>
          <w:marTop w:val="0"/>
          <w:marBottom w:val="0"/>
          <w:divBdr>
            <w:top w:val="none" w:sz="0" w:space="0" w:color="auto"/>
            <w:left w:val="none" w:sz="0" w:space="0" w:color="auto"/>
            <w:bottom w:val="none" w:sz="0" w:space="0" w:color="auto"/>
            <w:right w:val="none" w:sz="0" w:space="0" w:color="auto"/>
          </w:divBdr>
        </w:div>
        <w:div w:id="751196968">
          <w:marLeft w:val="640"/>
          <w:marRight w:val="0"/>
          <w:marTop w:val="0"/>
          <w:marBottom w:val="0"/>
          <w:divBdr>
            <w:top w:val="none" w:sz="0" w:space="0" w:color="auto"/>
            <w:left w:val="none" w:sz="0" w:space="0" w:color="auto"/>
            <w:bottom w:val="none" w:sz="0" w:space="0" w:color="auto"/>
            <w:right w:val="none" w:sz="0" w:space="0" w:color="auto"/>
          </w:divBdr>
        </w:div>
        <w:div w:id="2035304419">
          <w:marLeft w:val="640"/>
          <w:marRight w:val="0"/>
          <w:marTop w:val="0"/>
          <w:marBottom w:val="0"/>
          <w:divBdr>
            <w:top w:val="none" w:sz="0" w:space="0" w:color="auto"/>
            <w:left w:val="none" w:sz="0" w:space="0" w:color="auto"/>
            <w:bottom w:val="none" w:sz="0" w:space="0" w:color="auto"/>
            <w:right w:val="none" w:sz="0" w:space="0" w:color="auto"/>
          </w:divBdr>
        </w:div>
        <w:div w:id="908661646">
          <w:marLeft w:val="640"/>
          <w:marRight w:val="0"/>
          <w:marTop w:val="0"/>
          <w:marBottom w:val="0"/>
          <w:divBdr>
            <w:top w:val="none" w:sz="0" w:space="0" w:color="auto"/>
            <w:left w:val="none" w:sz="0" w:space="0" w:color="auto"/>
            <w:bottom w:val="none" w:sz="0" w:space="0" w:color="auto"/>
            <w:right w:val="none" w:sz="0" w:space="0" w:color="auto"/>
          </w:divBdr>
        </w:div>
        <w:div w:id="395205543">
          <w:marLeft w:val="640"/>
          <w:marRight w:val="0"/>
          <w:marTop w:val="0"/>
          <w:marBottom w:val="0"/>
          <w:divBdr>
            <w:top w:val="none" w:sz="0" w:space="0" w:color="auto"/>
            <w:left w:val="none" w:sz="0" w:space="0" w:color="auto"/>
            <w:bottom w:val="none" w:sz="0" w:space="0" w:color="auto"/>
            <w:right w:val="none" w:sz="0" w:space="0" w:color="auto"/>
          </w:divBdr>
        </w:div>
        <w:div w:id="1769347695">
          <w:marLeft w:val="640"/>
          <w:marRight w:val="0"/>
          <w:marTop w:val="0"/>
          <w:marBottom w:val="0"/>
          <w:divBdr>
            <w:top w:val="none" w:sz="0" w:space="0" w:color="auto"/>
            <w:left w:val="none" w:sz="0" w:space="0" w:color="auto"/>
            <w:bottom w:val="none" w:sz="0" w:space="0" w:color="auto"/>
            <w:right w:val="none" w:sz="0" w:space="0" w:color="auto"/>
          </w:divBdr>
        </w:div>
        <w:div w:id="673652093">
          <w:marLeft w:val="640"/>
          <w:marRight w:val="0"/>
          <w:marTop w:val="0"/>
          <w:marBottom w:val="0"/>
          <w:divBdr>
            <w:top w:val="none" w:sz="0" w:space="0" w:color="auto"/>
            <w:left w:val="none" w:sz="0" w:space="0" w:color="auto"/>
            <w:bottom w:val="none" w:sz="0" w:space="0" w:color="auto"/>
            <w:right w:val="none" w:sz="0" w:space="0" w:color="auto"/>
          </w:divBdr>
        </w:div>
        <w:div w:id="109205114">
          <w:marLeft w:val="640"/>
          <w:marRight w:val="0"/>
          <w:marTop w:val="0"/>
          <w:marBottom w:val="0"/>
          <w:divBdr>
            <w:top w:val="none" w:sz="0" w:space="0" w:color="auto"/>
            <w:left w:val="none" w:sz="0" w:space="0" w:color="auto"/>
            <w:bottom w:val="none" w:sz="0" w:space="0" w:color="auto"/>
            <w:right w:val="none" w:sz="0" w:space="0" w:color="auto"/>
          </w:divBdr>
        </w:div>
        <w:div w:id="143006338">
          <w:marLeft w:val="640"/>
          <w:marRight w:val="0"/>
          <w:marTop w:val="0"/>
          <w:marBottom w:val="0"/>
          <w:divBdr>
            <w:top w:val="none" w:sz="0" w:space="0" w:color="auto"/>
            <w:left w:val="none" w:sz="0" w:space="0" w:color="auto"/>
            <w:bottom w:val="none" w:sz="0" w:space="0" w:color="auto"/>
            <w:right w:val="none" w:sz="0" w:space="0" w:color="auto"/>
          </w:divBdr>
        </w:div>
        <w:div w:id="1632445577">
          <w:marLeft w:val="640"/>
          <w:marRight w:val="0"/>
          <w:marTop w:val="0"/>
          <w:marBottom w:val="0"/>
          <w:divBdr>
            <w:top w:val="none" w:sz="0" w:space="0" w:color="auto"/>
            <w:left w:val="none" w:sz="0" w:space="0" w:color="auto"/>
            <w:bottom w:val="none" w:sz="0" w:space="0" w:color="auto"/>
            <w:right w:val="none" w:sz="0" w:space="0" w:color="auto"/>
          </w:divBdr>
        </w:div>
        <w:div w:id="599531839">
          <w:marLeft w:val="640"/>
          <w:marRight w:val="0"/>
          <w:marTop w:val="0"/>
          <w:marBottom w:val="0"/>
          <w:divBdr>
            <w:top w:val="none" w:sz="0" w:space="0" w:color="auto"/>
            <w:left w:val="none" w:sz="0" w:space="0" w:color="auto"/>
            <w:bottom w:val="none" w:sz="0" w:space="0" w:color="auto"/>
            <w:right w:val="none" w:sz="0" w:space="0" w:color="auto"/>
          </w:divBdr>
        </w:div>
        <w:div w:id="1139103674">
          <w:marLeft w:val="640"/>
          <w:marRight w:val="0"/>
          <w:marTop w:val="0"/>
          <w:marBottom w:val="0"/>
          <w:divBdr>
            <w:top w:val="none" w:sz="0" w:space="0" w:color="auto"/>
            <w:left w:val="none" w:sz="0" w:space="0" w:color="auto"/>
            <w:bottom w:val="none" w:sz="0" w:space="0" w:color="auto"/>
            <w:right w:val="none" w:sz="0" w:space="0" w:color="auto"/>
          </w:divBdr>
        </w:div>
        <w:div w:id="1093013578">
          <w:marLeft w:val="640"/>
          <w:marRight w:val="0"/>
          <w:marTop w:val="0"/>
          <w:marBottom w:val="0"/>
          <w:divBdr>
            <w:top w:val="none" w:sz="0" w:space="0" w:color="auto"/>
            <w:left w:val="none" w:sz="0" w:space="0" w:color="auto"/>
            <w:bottom w:val="none" w:sz="0" w:space="0" w:color="auto"/>
            <w:right w:val="none" w:sz="0" w:space="0" w:color="auto"/>
          </w:divBdr>
        </w:div>
        <w:div w:id="584460622">
          <w:marLeft w:val="640"/>
          <w:marRight w:val="0"/>
          <w:marTop w:val="0"/>
          <w:marBottom w:val="0"/>
          <w:divBdr>
            <w:top w:val="none" w:sz="0" w:space="0" w:color="auto"/>
            <w:left w:val="none" w:sz="0" w:space="0" w:color="auto"/>
            <w:bottom w:val="none" w:sz="0" w:space="0" w:color="auto"/>
            <w:right w:val="none" w:sz="0" w:space="0" w:color="auto"/>
          </w:divBdr>
        </w:div>
        <w:div w:id="955791479">
          <w:marLeft w:val="640"/>
          <w:marRight w:val="0"/>
          <w:marTop w:val="0"/>
          <w:marBottom w:val="0"/>
          <w:divBdr>
            <w:top w:val="none" w:sz="0" w:space="0" w:color="auto"/>
            <w:left w:val="none" w:sz="0" w:space="0" w:color="auto"/>
            <w:bottom w:val="none" w:sz="0" w:space="0" w:color="auto"/>
            <w:right w:val="none" w:sz="0" w:space="0" w:color="auto"/>
          </w:divBdr>
        </w:div>
        <w:div w:id="998771336">
          <w:marLeft w:val="640"/>
          <w:marRight w:val="0"/>
          <w:marTop w:val="0"/>
          <w:marBottom w:val="0"/>
          <w:divBdr>
            <w:top w:val="none" w:sz="0" w:space="0" w:color="auto"/>
            <w:left w:val="none" w:sz="0" w:space="0" w:color="auto"/>
            <w:bottom w:val="none" w:sz="0" w:space="0" w:color="auto"/>
            <w:right w:val="none" w:sz="0" w:space="0" w:color="auto"/>
          </w:divBdr>
        </w:div>
        <w:div w:id="239758122">
          <w:marLeft w:val="640"/>
          <w:marRight w:val="0"/>
          <w:marTop w:val="0"/>
          <w:marBottom w:val="0"/>
          <w:divBdr>
            <w:top w:val="none" w:sz="0" w:space="0" w:color="auto"/>
            <w:left w:val="none" w:sz="0" w:space="0" w:color="auto"/>
            <w:bottom w:val="none" w:sz="0" w:space="0" w:color="auto"/>
            <w:right w:val="none" w:sz="0" w:space="0" w:color="auto"/>
          </w:divBdr>
        </w:div>
        <w:div w:id="1898126504">
          <w:marLeft w:val="640"/>
          <w:marRight w:val="0"/>
          <w:marTop w:val="0"/>
          <w:marBottom w:val="0"/>
          <w:divBdr>
            <w:top w:val="none" w:sz="0" w:space="0" w:color="auto"/>
            <w:left w:val="none" w:sz="0" w:space="0" w:color="auto"/>
            <w:bottom w:val="none" w:sz="0" w:space="0" w:color="auto"/>
            <w:right w:val="none" w:sz="0" w:space="0" w:color="auto"/>
          </w:divBdr>
        </w:div>
        <w:div w:id="975913599">
          <w:marLeft w:val="640"/>
          <w:marRight w:val="0"/>
          <w:marTop w:val="0"/>
          <w:marBottom w:val="0"/>
          <w:divBdr>
            <w:top w:val="none" w:sz="0" w:space="0" w:color="auto"/>
            <w:left w:val="none" w:sz="0" w:space="0" w:color="auto"/>
            <w:bottom w:val="none" w:sz="0" w:space="0" w:color="auto"/>
            <w:right w:val="none" w:sz="0" w:space="0" w:color="auto"/>
          </w:divBdr>
        </w:div>
        <w:div w:id="165020347">
          <w:marLeft w:val="640"/>
          <w:marRight w:val="0"/>
          <w:marTop w:val="0"/>
          <w:marBottom w:val="0"/>
          <w:divBdr>
            <w:top w:val="none" w:sz="0" w:space="0" w:color="auto"/>
            <w:left w:val="none" w:sz="0" w:space="0" w:color="auto"/>
            <w:bottom w:val="none" w:sz="0" w:space="0" w:color="auto"/>
            <w:right w:val="none" w:sz="0" w:space="0" w:color="auto"/>
          </w:divBdr>
        </w:div>
        <w:div w:id="1540387946">
          <w:marLeft w:val="640"/>
          <w:marRight w:val="0"/>
          <w:marTop w:val="0"/>
          <w:marBottom w:val="0"/>
          <w:divBdr>
            <w:top w:val="none" w:sz="0" w:space="0" w:color="auto"/>
            <w:left w:val="none" w:sz="0" w:space="0" w:color="auto"/>
            <w:bottom w:val="none" w:sz="0" w:space="0" w:color="auto"/>
            <w:right w:val="none" w:sz="0" w:space="0" w:color="auto"/>
          </w:divBdr>
        </w:div>
        <w:div w:id="2103524255">
          <w:marLeft w:val="640"/>
          <w:marRight w:val="0"/>
          <w:marTop w:val="0"/>
          <w:marBottom w:val="0"/>
          <w:divBdr>
            <w:top w:val="none" w:sz="0" w:space="0" w:color="auto"/>
            <w:left w:val="none" w:sz="0" w:space="0" w:color="auto"/>
            <w:bottom w:val="none" w:sz="0" w:space="0" w:color="auto"/>
            <w:right w:val="none" w:sz="0" w:space="0" w:color="auto"/>
          </w:divBdr>
        </w:div>
        <w:div w:id="1452431623">
          <w:marLeft w:val="640"/>
          <w:marRight w:val="0"/>
          <w:marTop w:val="0"/>
          <w:marBottom w:val="0"/>
          <w:divBdr>
            <w:top w:val="none" w:sz="0" w:space="0" w:color="auto"/>
            <w:left w:val="none" w:sz="0" w:space="0" w:color="auto"/>
            <w:bottom w:val="none" w:sz="0" w:space="0" w:color="auto"/>
            <w:right w:val="none" w:sz="0" w:space="0" w:color="auto"/>
          </w:divBdr>
        </w:div>
        <w:div w:id="1559365887">
          <w:marLeft w:val="640"/>
          <w:marRight w:val="0"/>
          <w:marTop w:val="0"/>
          <w:marBottom w:val="0"/>
          <w:divBdr>
            <w:top w:val="none" w:sz="0" w:space="0" w:color="auto"/>
            <w:left w:val="none" w:sz="0" w:space="0" w:color="auto"/>
            <w:bottom w:val="none" w:sz="0" w:space="0" w:color="auto"/>
            <w:right w:val="none" w:sz="0" w:space="0" w:color="auto"/>
          </w:divBdr>
        </w:div>
        <w:div w:id="2092268049">
          <w:marLeft w:val="640"/>
          <w:marRight w:val="0"/>
          <w:marTop w:val="0"/>
          <w:marBottom w:val="0"/>
          <w:divBdr>
            <w:top w:val="none" w:sz="0" w:space="0" w:color="auto"/>
            <w:left w:val="none" w:sz="0" w:space="0" w:color="auto"/>
            <w:bottom w:val="none" w:sz="0" w:space="0" w:color="auto"/>
            <w:right w:val="none" w:sz="0" w:space="0" w:color="auto"/>
          </w:divBdr>
        </w:div>
        <w:div w:id="1932468693">
          <w:marLeft w:val="640"/>
          <w:marRight w:val="0"/>
          <w:marTop w:val="0"/>
          <w:marBottom w:val="0"/>
          <w:divBdr>
            <w:top w:val="none" w:sz="0" w:space="0" w:color="auto"/>
            <w:left w:val="none" w:sz="0" w:space="0" w:color="auto"/>
            <w:bottom w:val="none" w:sz="0" w:space="0" w:color="auto"/>
            <w:right w:val="none" w:sz="0" w:space="0" w:color="auto"/>
          </w:divBdr>
        </w:div>
      </w:divsChild>
    </w:div>
    <w:div w:id="1400442607">
      <w:bodyDiv w:val="1"/>
      <w:marLeft w:val="0"/>
      <w:marRight w:val="0"/>
      <w:marTop w:val="0"/>
      <w:marBottom w:val="0"/>
      <w:divBdr>
        <w:top w:val="none" w:sz="0" w:space="0" w:color="auto"/>
        <w:left w:val="none" w:sz="0" w:space="0" w:color="auto"/>
        <w:bottom w:val="none" w:sz="0" w:space="0" w:color="auto"/>
        <w:right w:val="none" w:sz="0" w:space="0" w:color="auto"/>
      </w:divBdr>
      <w:divsChild>
        <w:div w:id="1712605654">
          <w:marLeft w:val="640"/>
          <w:marRight w:val="0"/>
          <w:marTop w:val="0"/>
          <w:marBottom w:val="0"/>
          <w:divBdr>
            <w:top w:val="none" w:sz="0" w:space="0" w:color="auto"/>
            <w:left w:val="none" w:sz="0" w:space="0" w:color="auto"/>
            <w:bottom w:val="none" w:sz="0" w:space="0" w:color="auto"/>
            <w:right w:val="none" w:sz="0" w:space="0" w:color="auto"/>
          </w:divBdr>
        </w:div>
        <w:div w:id="2061172885">
          <w:marLeft w:val="640"/>
          <w:marRight w:val="0"/>
          <w:marTop w:val="0"/>
          <w:marBottom w:val="0"/>
          <w:divBdr>
            <w:top w:val="none" w:sz="0" w:space="0" w:color="auto"/>
            <w:left w:val="none" w:sz="0" w:space="0" w:color="auto"/>
            <w:bottom w:val="none" w:sz="0" w:space="0" w:color="auto"/>
            <w:right w:val="none" w:sz="0" w:space="0" w:color="auto"/>
          </w:divBdr>
        </w:div>
        <w:div w:id="1926373950">
          <w:marLeft w:val="640"/>
          <w:marRight w:val="0"/>
          <w:marTop w:val="0"/>
          <w:marBottom w:val="0"/>
          <w:divBdr>
            <w:top w:val="none" w:sz="0" w:space="0" w:color="auto"/>
            <w:left w:val="none" w:sz="0" w:space="0" w:color="auto"/>
            <w:bottom w:val="none" w:sz="0" w:space="0" w:color="auto"/>
            <w:right w:val="none" w:sz="0" w:space="0" w:color="auto"/>
          </w:divBdr>
        </w:div>
        <w:div w:id="126972651">
          <w:marLeft w:val="640"/>
          <w:marRight w:val="0"/>
          <w:marTop w:val="0"/>
          <w:marBottom w:val="0"/>
          <w:divBdr>
            <w:top w:val="none" w:sz="0" w:space="0" w:color="auto"/>
            <w:left w:val="none" w:sz="0" w:space="0" w:color="auto"/>
            <w:bottom w:val="none" w:sz="0" w:space="0" w:color="auto"/>
            <w:right w:val="none" w:sz="0" w:space="0" w:color="auto"/>
          </w:divBdr>
        </w:div>
        <w:div w:id="1823812588">
          <w:marLeft w:val="640"/>
          <w:marRight w:val="0"/>
          <w:marTop w:val="0"/>
          <w:marBottom w:val="0"/>
          <w:divBdr>
            <w:top w:val="none" w:sz="0" w:space="0" w:color="auto"/>
            <w:left w:val="none" w:sz="0" w:space="0" w:color="auto"/>
            <w:bottom w:val="none" w:sz="0" w:space="0" w:color="auto"/>
            <w:right w:val="none" w:sz="0" w:space="0" w:color="auto"/>
          </w:divBdr>
        </w:div>
        <w:div w:id="475420226">
          <w:marLeft w:val="640"/>
          <w:marRight w:val="0"/>
          <w:marTop w:val="0"/>
          <w:marBottom w:val="0"/>
          <w:divBdr>
            <w:top w:val="none" w:sz="0" w:space="0" w:color="auto"/>
            <w:left w:val="none" w:sz="0" w:space="0" w:color="auto"/>
            <w:bottom w:val="none" w:sz="0" w:space="0" w:color="auto"/>
            <w:right w:val="none" w:sz="0" w:space="0" w:color="auto"/>
          </w:divBdr>
        </w:div>
        <w:div w:id="435449092">
          <w:marLeft w:val="640"/>
          <w:marRight w:val="0"/>
          <w:marTop w:val="0"/>
          <w:marBottom w:val="0"/>
          <w:divBdr>
            <w:top w:val="none" w:sz="0" w:space="0" w:color="auto"/>
            <w:left w:val="none" w:sz="0" w:space="0" w:color="auto"/>
            <w:bottom w:val="none" w:sz="0" w:space="0" w:color="auto"/>
            <w:right w:val="none" w:sz="0" w:space="0" w:color="auto"/>
          </w:divBdr>
        </w:div>
        <w:div w:id="2113747251">
          <w:marLeft w:val="640"/>
          <w:marRight w:val="0"/>
          <w:marTop w:val="0"/>
          <w:marBottom w:val="0"/>
          <w:divBdr>
            <w:top w:val="none" w:sz="0" w:space="0" w:color="auto"/>
            <w:left w:val="none" w:sz="0" w:space="0" w:color="auto"/>
            <w:bottom w:val="none" w:sz="0" w:space="0" w:color="auto"/>
            <w:right w:val="none" w:sz="0" w:space="0" w:color="auto"/>
          </w:divBdr>
        </w:div>
        <w:div w:id="2058701553">
          <w:marLeft w:val="640"/>
          <w:marRight w:val="0"/>
          <w:marTop w:val="0"/>
          <w:marBottom w:val="0"/>
          <w:divBdr>
            <w:top w:val="none" w:sz="0" w:space="0" w:color="auto"/>
            <w:left w:val="none" w:sz="0" w:space="0" w:color="auto"/>
            <w:bottom w:val="none" w:sz="0" w:space="0" w:color="auto"/>
            <w:right w:val="none" w:sz="0" w:space="0" w:color="auto"/>
          </w:divBdr>
        </w:div>
        <w:div w:id="692847456">
          <w:marLeft w:val="640"/>
          <w:marRight w:val="0"/>
          <w:marTop w:val="0"/>
          <w:marBottom w:val="0"/>
          <w:divBdr>
            <w:top w:val="none" w:sz="0" w:space="0" w:color="auto"/>
            <w:left w:val="none" w:sz="0" w:space="0" w:color="auto"/>
            <w:bottom w:val="none" w:sz="0" w:space="0" w:color="auto"/>
            <w:right w:val="none" w:sz="0" w:space="0" w:color="auto"/>
          </w:divBdr>
        </w:div>
        <w:div w:id="934172947">
          <w:marLeft w:val="640"/>
          <w:marRight w:val="0"/>
          <w:marTop w:val="0"/>
          <w:marBottom w:val="0"/>
          <w:divBdr>
            <w:top w:val="none" w:sz="0" w:space="0" w:color="auto"/>
            <w:left w:val="none" w:sz="0" w:space="0" w:color="auto"/>
            <w:bottom w:val="none" w:sz="0" w:space="0" w:color="auto"/>
            <w:right w:val="none" w:sz="0" w:space="0" w:color="auto"/>
          </w:divBdr>
        </w:div>
        <w:div w:id="1988824644">
          <w:marLeft w:val="640"/>
          <w:marRight w:val="0"/>
          <w:marTop w:val="0"/>
          <w:marBottom w:val="0"/>
          <w:divBdr>
            <w:top w:val="none" w:sz="0" w:space="0" w:color="auto"/>
            <w:left w:val="none" w:sz="0" w:space="0" w:color="auto"/>
            <w:bottom w:val="none" w:sz="0" w:space="0" w:color="auto"/>
            <w:right w:val="none" w:sz="0" w:space="0" w:color="auto"/>
          </w:divBdr>
        </w:div>
        <w:div w:id="2135057414">
          <w:marLeft w:val="640"/>
          <w:marRight w:val="0"/>
          <w:marTop w:val="0"/>
          <w:marBottom w:val="0"/>
          <w:divBdr>
            <w:top w:val="none" w:sz="0" w:space="0" w:color="auto"/>
            <w:left w:val="none" w:sz="0" w:space="0" w:color="auto"/>
            <w:bottom w:val="none" w:sz="0" w:space="0" w:color="auto"/>
            <w:right w:val="none" w:sz="0" w:space="0" w:color="auto"/>
          </w:divBdr>
        </w:div>
        <w:div w:id="1124807364">
          <w:marLeft w:val="640"/>
          <w:marRight w:val="0"/>
          <w:marTop w:val="0"/>
          <w:marBottom w:val="0"/>
          <w:divBdr>
            <w:top w:val="none" w:sz="0" w:space="0" w:color="auto"/>
            <w:left w:val="none" w:sz="0" w:space="0" w:color="auto"/>
            <w:bottom w:val="none" w:sz="0" w:space="0" w:color="auto"/>
            <w:right w:val="none" w:sz="0" w:space="0" w:color="auto"/>
          </w:divBdr>
        </w:div>
        <w:div w:id="756025122">
          <w:marLeft w:val="640"/>
          <w:marRight w:val="0"/>
          <w:marTop w:val="0"/>
          <w:marBottom w:val="0"/>
          <w:divBdr>
            <w:top w:val="none" w:sz="0" w:space="0" w:color="auto"/>
            <w:left w:val="none" w:sz="0" w:space="0" w:color="auto"/>
            <w:bottom w:val="none" w:sz="0" w:space="0" w:color="auto"/>
            <w:right w:val="none" w:sz="0" w:space="0" w:color="auto"/>
          </w:divBdr>
        </w:div>
        <w:div w:id="79716009">
          <w:marLeft w:val="640"/>
          <w:marRight w:val="0"/>
          <w:marTop w:val="0"/>
          <w:marBottom w:val="0"/>
          <w:divBdr>
            <w:top w:val="none" w:sz="0" w:space="0" w:color="auto"/>
            <w:left w:val="none" w:sz="0" w:space="0" w:color="auto"/>
            <w:bottom w:val="none" w:sz="0" w:space="0" w:color="auto"/>
            <w:right w:val="none" w:sz="0" w:space="0" w:color="auto"/>
          </w:divBdr>
        </w:div>
        <w:div w:id="1994523381">
          <w:marLeft w:val="640"/>
          <w:marRight w:val="0"/>
          <w:marTop w:val="0"/>
          <w:marBottom w:val="0"/>
          <w:divBdr>
            <w:top w:val="none" w:sz="0" w:space="0" w:color="auto"/>
            <w:left w:val="none" w:sz="0" w:space="0" w:color="auto"/>
            <w:bottom w:val="none" w:sz="0" w:space="0" w:color="auto"/>
            <w:right w:val="none" w:sz="0" w:space="0" w:color="auto"/>
          </w:divBdr>
        </w:div>
        <w:div w:id="611207281">
          <w:marLeft w:val="640"/>
          <w:marRight w:val="0"/>
          <w:marTop w:val="0"/>
          <w:marBottom w:val="0"/>
          <w:divBdr>
            <w:top w:val="none" w:sz="0" w:space="0" w:color="auto"/>
            <w:left w:val="none" w:sz="0" w:space="0" w:color="auto"/>
            <w:bottom w:val="none" w:sz="0" w:space="0" w:color="auto"/>
            <w:right w:val="none" w:sz="0" w:space="0" w:color="auto"/>
          </w:divBdr>
        </w:div>
        <w:div w:id="570388413">
          <w:marLeft w:val="640"/>
          <w:marRight w:val="0"/>
          <w:marTop w:val="0"/>
          <w:marBottom w:val="0"/>
          <w:divBdr>
            <w:top w:val="none" w:sz="0" w:space="0" w:color="auto"/>
            <w:left w:val="none" w:sz="0" w:space="0" w:color="auto"/>
            <w:bottom w:val="none" w:sz="0" w:space="0" w:color="auto"/>
            <w:right w:val="none" w:sz="0" w:space="0" w:color="auto"/>
          </w:divBdr>
        </w:div>
        <w:div w:id="261184920">
          <w:marLeft w:val="640"/>
          <w:marRight w:val="0"/>
          <w:marTop w:val="0"/>
          <w:marBottom w:val="0"/>
          <w:divBdr>
            <w:top w:val="none" w:sz="0" w:space="0" w:color="auto"/>
            <w:left w:val="none" w:sz="0" w:space="0" w:color="auto"/>
            <w:bottom w:val="none" w:sz="0" w:space="0" w:color="auto"/>
            <w:right w:val="none" w:sz="0" w:space="0" w:color="auto"/>
          </w:divBdr>
        </w:div>
        <w:div w:id="877164650">
          <w:marLeft w:val="640"/>
          <w:marRight w:val="0"/>
          <w:marTop w:val="0"/>
          <w:marBottom w:val="0"/>
          <w:divBdr>
            <w:top w:val="none" w:sz="0" w:space="0" w:color="auto"/>
            <w:left w:val="none" w:sz="0" w:space="0" w:color="auto"/>
            <w:bottom w:val="none" w:sz="0" w:space="0" w:color="auto"/>
            <w:right w:val="none" w:sz="0" w:space="0" w:color="auto"/>
          </w:divBdr>
        </w:div>
        <w:div w:id="1120144866">
          <w:marLeft w:val="640"/>
          <w:marRight w:val="0"/>
          <w:marTop w:val="0"/>
          <w:marBottom w:val="0"/>
          <w:divBdr>
            <w:top w:val="none" w:sz="0" w:space="0" w:color="auto"/>
            <w:left w:val="none" w:sz="0" w:space="0" w:color="auto"/>
            <w:bottom w:val="none" w:sz="0" w:space="0" w:color="auto"/>
            <w:right w:val="none" w:sz="0" w:space="0" w:color="auto"/>
          </w:divBdr>
        </w:div>
        <w:div w:id="1544097914">
          <w:marLeft w:val="640"/>
          <w:marRight w:val="0"/>
          <w:marTop w:val="0"/>
          <w:marBottom w:val="0"/>
          <w:divBdr>
            <w:top w:val="none" w:sz="0" w:space="0" w:color="auto"/>
            <w:left w:val="none" w:sz="0" w:space="0" w:color="auto"/>
            <w:bottom w:val="none" w:sz="0" w:space="0" w:color="auto"/>
            <w:right w:val="none" w:sz="0" w:space="0" w:color="auto"/>
          </w:divBdr>
        </w:div>
        <w:div w:id="209268874">
          <w:marLeft w:val="640"/>
          <w:marRight w:val="0"/>
          <w:marTop w:val="0"/>
          <w:marBottom w:val="0"/>
          <w:divBdr>
            <w:top w:val="none" w:sz="0" w:space="0" w:color="auto"/>
            <w:left w:val="none" w:sz="0" w:space="0" w:color="auto"/>
            <w:bottom w:val="none" w:sz="0" w:space="0" w:color="auto"/>
            <w:right w:val="none" w:sz="0" w:space="0" w:color="auto"/>
          </w:divBdr>
        </w:div>
        <w:div w:id="163396496">
          <w:marLeft w:val="640"/>
          <w:marRight w:val="0"/>
          <w:marTop w:val="0"/>
          <w:marBottom w:val="0"/>
          <w:divBdr>
            <w:top w:val="none" w:sz="0" w:space="0" w:color="auto"/>
            <w:left w:val="none" w:sz="0" w:space="0" w:color="auto"/>
            <w:bottom w:val="none" w:sz="0" w:space="0" w:color="auto"/>
            <w:right w:val="none" w:sz="0" w:space="0" w:color="auto"/>
          </w:divBdr>
        </w:div>
        <w:div w:id="1830365962">
          <w:marLeft w:val="640"/>
          <w:marRight w:val="0"/>
          <w:marTop w:val="0"/>
          <w:marBottom w:val="0"/>
          <w:divBdr>
            <w:top w:val="none" w:sz="0" w:space="0" w:color="auto"/>
            <w:left w:val="none" w:sz="0" w:space="0" w:color="auto"/>
            <w:bottom w:val="none" w:sz="0" w:space="0" w:color="auto"/>
            <w:right w:val="none" w:sz="0" w:space="0" w:color="auto"/>
          </w:divBdr>
        </w:div>
        <w:div w:id="1505591282">
          <w:marLeft w:val="640"/>
          <w:marRight w:val="0"/>
          <w:marTop w:val="0"/>
          <w:marBottom w:val="0"/>
          <w:divBdr>
            <w:top w:val="none" w:sz="0" w:space="0" w:color="auto"/>
            <w:left w:val="none" w:sz="0" w:space="0" w:color="auto"/>
            <w:bottom w:val="none" w:sz="0" w:space="0" w:color="auto"/>
            <w:right w:val="none" w:sz="0" w:space="0" w:color="auto"/>
          </w:divBdr>
        </w:div>
        <w:div w:id="138499889">
          <w:marLeft w:val="640"/>
          <w:marRight w:val="0"/>
          <w:marTop w:val="0"/>
          <w:marBottom w:val="0"/>
          <w:divBdr>
            <w:top w:val="none" w:sz="0" w:space="0" w:color="auto"/>
            <w:left w:val="none" w:sz="0" w:space="0" w:color="auto"/>
            <w:bottom w:val="none" w:sz="0" w:space="0" w:color="auto"/>
            <w:right w:val="none" w:sz="0" w:space="0" w:color="auto"/>
          </w:divBdr>
        </w:div>
        <w:div w:id="922689316">
          <w:marLeft w:val="640"/>
          <w:marRight w:val="0"/>
          <w:marTop w:val="0"/>
          <w:marBottom w:val="0"/>
          <w:divBdr>
            <w:top w:val="none" w:sz="0" w:space="0" w:color="auto"/>
            <w:left w:val="none" w:sz="0" w:space="0" w:color="auto"/>
            <w:bottom w:val="none" w:sz="0" w:space="0" w:color="auto"/>
            <w:right w:val="none" w:sz="0" w:space="0" w:color="auto"/>
          </w:divBdr>
        </w:div>
        <w:div w:id="2097746766">
          <w:marLeft w:val="640"/>
          <w:marRight w:val="0"/>
          <w:marTop w:val="0"/>
          <w:marBottom w:val="0"/>
          <w:divBdr>
            <w:top w:val="none" w:sz="0" w:space="0" w:color="auto"/>
            <w:left w:val="none" w:sz="0" w:space="0" w:color="auto"/>
            <w:bottom w:val="none" w:sz="0" w:space="0" w:color="auto"/>
            <w:right w:val="none" w:sz="0" w:space="0" w:color="auto"/>
          </w:divBdr>
        </w:div>
        <w:div w:id="1840998695">
          <w:marLeft w:val="640"/>
          <w:marRight w:val="0"/>
          <w:marTop w:val="0"/>
          <w:marBottom w:val="0"/>
          <w:divBdr>
            <w:top w:val="none" w:sz="0" w:space="0" w:color="auto"/>
            <w:left w:val="none" w:sz="0" w:space="0" w:color="auto"/>
            <w:bottom w:val="none" w:sz="0" w:space="0" w:color="auto"/>
            <w:right w:val="none" w:sz="0" w:space="0" w:color="auto"/>
          </w:divBdr>
        </w:div>
        <w:div w:id="485248983">
          <w:marLeft w:val="640"/>
          <w:marRight w:val="0"/>
          <w:marTop w:val="0"/>
          <w:marBottom w:val="0"/>
          <w:divBdr>
            <w:top w:val="none" w:sz="0" w:space="0" w:color="auto"/>
            <w:left w:val="none" w:sz="0" w:space="0" w:color="auto"/>
            <w:bottom w:val="none" w:sz="0" w:space="0" w:color="auto"/>
            <w:right w:val="none" w:sz="0" w:space="0" w:color="auto"/>
          </w:divBdr>
        </w:div>
        <w:div w:id="178128725">
          <w:marLeft w:val="640"/>
          <w:marRight w:val="0"/>
          <w:marTop w:val="0"/>
          <w:marBottom w:val="0"/>
          <w:divBdr>
            <w:top w:val="none" w:sz="0" w:space="0" w:color="auto"/>
            <w:left w:val="none" w:sz="0" w:space="0" w:color="auto"/>
            <w:bottom w:val="none" w:sz="0" w:space="0" w:color="auto"/>
            <w:right w:val="none" w:sz="0" w:space="0" w:color="auto"/>
          </w:divBdr>
        </w:div>
        <w:div w:id="464927867">
          <w:marLeft w:val="640"/>
          <w:marRight w:val="0"/>
          <w:marTop w:val="0"/>
          <w:marBottom w:val="0"/>
          <w:divBdr>
            <w:top w:val="none" w:sz="0" w:space="0" w:color="auto"/>
            <w:left w:val="none" w:sz="0" w:space="0" w:color="auto"/>
            <w:bottom w:val="none" w:sz="0" w:space="0" w:color="auto"/>
            <w:right w:val="none" w:sz="0" w:space="0" w:color="auto"/>
          </w:divBdr>
        </w:div>
        <w:div w:id="260341396">
          <w:marLeft w:val="640"/>
          <w:marRight w:val="0"/>
          <w:marTop w:val="0"/>
          <w:marBottom w:val="0"/>
          <w:divBdr>
            <w:top w:val="none" w:sz="0" w:space="0" w:color="auto"/>
            <w:left w:val="none" w:sz="0" w:space="0" w:color="auto"/>
            <w:bottom w:val="none" w:sz="0" w:space="0" w:color="auto"/>
            <w:right w:val="none" w:sz="0" w:space="0" w:color="auto"/>
          </w:divBdr>
        </w:div>
        <w:div w:id="1272281843">
          <w:marLeft w:val="640"/>
          <w:marRight w:val="0"/>
          <w:marTop w:val="0"/>
          <w:marBottom w:val="0"/>
          <w:divBdr>
            <w:top w:val="none" w:sz="0" w:space="0" w:color="auto"/>
            <w:left w:val="none" w:sz="0" w:space="0" w:color="auto"/>
            <w:bottom w:val="none" w:sz="0" w:space="0" w:color="auto"/>
            <w:right w:val="none" w:sz="0" w:space="0" w:color="auto"/>
          </w:divBdr>
        </w:div>
        <w:div w:id="2063550766">
          <w:marLeft w:val="640"/>
          <w:marRight w:val="0"/>
          <w:marTop w:val="0"/>
          <w:marBottom w:val="0"/>
          <w:divBdr>
            <w:top w:val="none" w:sz="0" w:space="0" w:color="auto"/>
            <w:left w:val="none" w:sz="0" w:space="0" w:color="auto"/>
            <w:bottom w:val="none" w:sz="0" w:space="0" w:color="auto"/>
            <w:right w:val="none" w:sz="0" w:space="0" w:color="auto"/>
          </w:divBdr>
        </w:div>
        <w:div w:id="293952632">
          <w:marLeft w:val="640"/>
          <w:marRight w:val="0"/>
          <w:marTop w:val="0"/>
          <w:marBottom w:val="0"/>
          <w:divBdr>
            <w:top w:val="none" w:sz="0" w:space="0" w:color="auto"/>
            <w:left w:val="none" w:sz="0" w:space="0" w:color="auto"/>
            <w:bottom w:val="none" w:sz="0" w:space="0" w:color="auto"/>
            <w:right w:val="none" w:sz="0" w:space="0" w:color="auto"/>
          </w:divBdr>
        </w:div>
        <w:div w:id="1586183107">
          <w:marLeft w:val="640"/>
          <w:marRight w:val="0"/>
          <w:marTop w:val="0"/>
          <w:marBottom w:val="0"/>
          <w:divBdr>
            <w:top w:val="none" w:sz="0" w:space="0" w:color="auto"/>
            <w:left w:val="none" w:sz="0" w:space="0" w:color="auto"/>
            <w:bottom w:val="none" w:sz="0" w:space="0" w:color="auto"/>
            <w:right w:val="none" w:sz="0" w:space="0" w:color="auto"/>
          </w:divBdr>
        </w:div>
        <w:div w:id="1697459538">
          <w:marLeft w:val="640"/>
          <w:marRight w:val="0"/>
          <w:marTop w:val="0"/>
          <w:marBottom w:val="0"/>
          <w:divBdr>
            <w:top w:val="none" w:sz="0" w:space="0" w:color="auto"/>
            <w:left w:val="none" w:sz="0" w:space="0" w:color="auto"/>
            <w:bottom w:val="none" w:sz="0" w:space="0" w:color="auto"/>
            <w:right w:val="none" w:sz="0" w:space="0" w:color="auto"/>
          </w:divBdr>
        </w:div>
        <w:div w:id="1416786814">
          <w:marLeft w:val="640"/>
          <w:marRight w:val="0"/>
          <w:marTop w:val="0"/>
          <w:marBottom w:val="0"/>
          <w:divBdr>
            <w:top w:val="none" w:sz="0" w:space="0" w:color="auto"/>
            <w:left w:val="none" w:sz="0" w:space="0" w:color="auto"/>
            <w:bottom w:val="none" w:sz="0" w:space="0" w:color="auto"/>
            <w:right w:val="none" w:sz="0" w:space="0" w:color="auto"/>
          </w:divBdr>
        </w:div>
        <w:div w:id="1000036560">
          <w:marLeft w:val="640"/>
          <w:marRight w:val="0"/>
          <w:marTop w:val="0"/>
          <w:marBottom w:val="0"/>
          <w:divBdr>
            <w:top w:val="none" w:sz="0" w:space="0" w:color="auto"/>
            <w:left w:val="none" w:sz="0" w:space="0" w:color="auto"/>
            <w:bottom w:val="none" w:sz="0" w:space="0" w:color="auto"/>
            <w:right w:val="none" w:sz="0" w:space="0" w:color="auto"/>
          </w:divBdr>
        </w:div>
        <w:div w:id="240915671">
          <w:marLeft w:val="640"/>
          <w:marRight w:val="0"/>
          <w:marTop w:val="0"/>
          <w:marBottom w:val="0"/>
          <w:divBdr>
            <w:top w:val="none" w:sz="0" w:space="0" w:color="auto"/>
            <w:left w:val="none" w:sz="0" w:space="0" w:color="auto"/>
            <w:bottom w:val="none" w:sz="0" w:space="0" w:color="auto"/>
            <w:right w:val="none" w:sz="0" w:space="0" w:color="auto"/>
          </w:divBdr>
        </w:div>
        <w:div w:id="1177766958">
          <w:marLeft w:val="640"/>
          <w:marRight w:val="0"/>
          <w:marTop w:val="0"/>
          <w:marBottom w:val="0"/>
          <w:divBdr>
            <w:top w:val="none" w:sz="0" w:space="0" w:color="auto"/>
            <w:left w:val="none" w:sz="0" w:space="0" w:color="auto"/>
            <w:bottom w:val="none" w:sz="0" w:space="0" w:color="auto"/>
            <w:right w:val="none" w:sz="0" w:space="0" w:color="auto"/>
          </w:divBdr>
        </w:div>
        <w:div w:id="1837067815">
          <w:marLeft w:val="640"/>
          <w:marRight w:val="0"/>
          <w:marTop w:val="0"/>
          <w:marBottom w:val="0"/>
          <w:divBdr>
            <w:top w:val="none" w:sz="0" w:space="0" w:color="auto"/>
            <w:left w:val="none" w:sz="0" w:space="0" w:color="auto"/>
            <w:bottom w:val="none" w:sz="0" w:space="0" w:color="auto"/>
            <w:right w:val="none" w:sz="0" w:space="0" w:color="auto"/>
          </w:divBdr>
        </w:div>
        <w:div w:id="447546695">
          <w:marLeft w:val="640"/>
          <w:marRight w:val="0"/>
          <w:marTop w:val="0"/>
          <w:marBottom w:val="0"/>
          <w:divBdr>
            <w:top w:val="none" w:sz="0" w:space="0" w:color="auto"/>
            <w:left w:val="none" w:sz="0" w:space="0" w:color="auto"/>
            <w:bottom w:val="none" w:sz="0" w:space="0" w:color="auto"/>
            <w:right w:val="none" w:sz="0" w:space="0" w:color="auto"/>
          </w:divBdr>
        </w:div>
        <w:div w:id="1899240443">
          <w:marLeft w:val="640"/>
          <w:marRight w:val="0"/>
          <w:marTop w:val="0"/>
          <w:marBottom w:val="0"/>
          <w:divBdr>
            <w:top w:val="none" w:sz="0" w:space="0" w:color="auto"/>
            <w:left w:val="none" w:sz="0" w:space="0" w:color="auto"/>
            <w:bottom w:val="none" w:sz="0" w:space="0" w:color="auto"/>
            <w:right w:val="none" w:sz="0" w:space="0" w:color="auto"/>
          </w:divBdr>
        </w:div>
        <w:div w:id="586161411">
          <w:marLeft w:val="640"/>
          <w:marRight w:val="0"/>
          <w:marTop w:val="0"/>
          <w:marBottom w:val="0"/>
          <w:divBdr>
            <w:top w:val="none" w:sz="0" w:space="0" w:color="auto"/>
            <w:left w:val="none" w:sz="0" w:space="0" w:color="auto"/>
            <w:bottom w:val="none" w:sz="0" w:space="0" w:color="auto"/>
            <w:right w:val="none" w:sz="0" w:space="0" w:color="auto"/>
          </w:divBdr>
        </w:div>
        <w:div w:id="138038335">
          <w:marLeft w:val="640"/>
          <w:marRight w:val="0"/>
          <w:marTop w:val="0"/>
          <w:marBottom w:val="0"/>
          <w:divBdr>
            <w:top w:val="none" w:sz="0" w:space="0" w:color="auto"/>
            <w:left w:val="none" w:sz="0" w:space="0" w:color="auto"/>
            <w:bottom w:val="none" w:sz="0" w:space="0" w:color="auto"/>
            <w:right w:val="none" w:sz="0" w:space="0" w:color="auto"/>
          </w:divBdr>
        </w:div>
        <w:div w:id="655495195">
          <w:marLeft w:val="640"/>
          <w:marRight w:val="0"/>
          <w:marTop w:val="0"/>
          <w:marBottom w:val="0"/>
          <w:divBdr>
            <w:top w:val="none" w:sz="0" w:space="0" w:color="auto"/>
            <w:left w:val="none" w:sz="0" w:space="0" w:color="auto"/>
            <w:bottom w:val="none" w:sz="0" w:space="0" w:color="auto"/>
            <w:right w:val="none" w:sz="0" w:space="0" w:color="auto"/>
          </w:divBdr>
        </w:div>
        <w:div w:id="577785865">
          <w:marLeft w:val="640"/>
          <w:marRight w:val="0"/>
          <w:marTop w:val="0"/>
          <w:marBottom w:val="0"/>
          <w:divBdr>
            <w:top w:val="none" w:sz="0" w:space="0" w:color="auto"/>
            <w:left w:val="none" w:sz="0" w:space="0" w:color="auto"/>
            <w:bottom w:val="none" w:sz="0" w:space="0" w:color="auto"/>
            <w:right w:val="none" w:sz="0" w:space="0" w:color="auto"/>
          </w:divBdr>
        </w:div>
        <w:div w:id="2117867570">
          <w:marLeft w:val="640"/>
          <w:marRight w:val="0"/>
          <w:marTop w:val="0"/>
          <w:marBottom w:val="0"/>
          <w:divBdr>
            <w:top w:val="none" w:sz="0" w:space="0" w:color="auto"/>
            <w:left w:val="none" w:sz="0" w:space="0" w:color="auto"/>
            <w:bottom w:val="none" w:sz="0" w:space="0" w:color="auto"/>
            <w:right w:val="none" w:sz="0" w:space="0" w:color="auto"/>
          </w:divBdr>
        </w:div>
        <w:div w:id="1144542420">
          <w:marLeft w:val="640"/>
          <w:marRight w:val="0"/>
          <w:marTop w:val="0"/>
          <w:marBottom w:val="0"/>
          <w:divBdr>
            <w:top w:val="none" w:sz="0" w:space="0" w:color="auto"/>
            <w:left w:val="none" w:sz="0" w:space="0" w:color="auto"/>
            <w:bottom w:val="none" w:sz="0" w:space="0" w:color="auto"/>
            <w:right w:val="none" w:sz="0" w:space="0" w:color="auto"/>
          </w:divBdr>
        </w:div>
        <w:div w:id="1852181337">
          <w:marLeft w:val="640"/>
          <w:marRight w:val="0"/>
          <w:marTop w:val="0"/>
          <w:marBottom w:val="0"/>
          <w:divBdr>
            <w:top w:val="none" w:sz="0" w:space="0" w:color="auto"/>
            <w:left w:val="none" w:sz="0" w:space="0" w:color="auto"/>
            <w:bottom w:val="none" w:sz="0" w:space="0" w:color="auto"/>
            <w:right w:val="none" w:sz="0" w:space="0" w:color="auto"/>
          </w:divBdr>
        </w:div>
        <w:div w:id="1595237357">
          <w:marLeft w:val="640"/>
          <w:marRight w:val="0"/>
          <w:marTop w:val="0"/>
          <w:marBottom w:val="0"/>
          <w:divBdr>
            <w:top w:val="none" w:sz="0" w:space="0" w:color="auto"/>
            <w:left w:val="none" w:sz="0" w:space="0" w:color="auto"/>
            <w:bottom w:val="none" w:sz="0" w:space="0" w:color="auto"/>
            <w:right w:val="none" w:sz="0" w:space="0" w:color="auto"/>
          </w:divBdr>
        </w:div>
        <w:div w:id="1033648497">
          <w:marLeft w:val="640"/>
          <w:marRight w:val="0"/>
          <w:marTop w:val="0"/>
          <w:marBottom w:val="0"/>
          <w:divBdr>
            <w:top w:val="none" w:sz="0" w:space="0" w:color="auto"/>
            <w:left w:val="none" w:sz="0" w:space="0" w:color="auto"/>
            <w:bottom w:val="none" w:sz="0" w:space="0" w:color="auto"/>
            <w:right w:val="none" w:sz="0" w:space="0" w:color="auto"/>
          </w:divBdr>
        </w:div>
        <w:div w:id="1446774446">
          <w:marLeft w:val="640"/>
          <w:marRight w:val="0"/>
          <w:marTop w:val="0"/>
          <w:marBottom w:val="0"/>
          <w:divBdr>
            <w:top w:val="none" w:sz="0" w:space="0" w:color="auto"/>
            <w:left w:val="none" w:sz="0" w:space="0" w:color="auto"/>
            <w:bottom w:val="none" w:sz="0" w:space="0" w:color="auto"/>
            <w:right w:val="none" w:sz="0" w:space="0" w:color="auto"/>
          </w:divBdr>
        </w:div>
        <w:div w:id="1084953531">
          <w:marLeft w:val="640"/>
          <w:marRight w:val="0"/>
          <w:marTop w:val="0"/>
          <w:marBottom w:val="0"/>
          <w:divBdr>
            <w:top w:val="none" w:sz="0" w:space="0" w:color="auto"/>
            <w:left w:val="none" w:sz="0" w:space="0" w:color="auto"/>
            <w:bottom w:val="none" w:sz="0" w:space="0" w:color="auto"/>
            <w:right w:val="none" w:sz="0" w:space="0" w:color="auto"/>
          </w:divBdr>
        </w:div>
        <w:div w:id="537006652">
          <w:marLeft w:val="640"/>
          <w:marRight w:val="0"/>
          <w:marTop w:val="0"/>
          <w:marBottom w:val="0"/>
          <w:divBdr>
            <w:top w:val="none" w:sz="0" w:space="0" w:color="auto"/>
            <w:left w:val="none" w:sz="0" w:space="0" w:color="auto"/>
            <w:bottom w:val="none" w:sz="0" w:space="0" w:color="auto"/>
            <w:right w:val="none" w:sz="0" w:space="0" w:color="auto"/>
          </w:divBdr>
        </w:div>
        <w:div w:id="2079160336">
          <w:marLeft w:val="640"/>
          <w:marRight w:val="0"/>
          <w:marTop w:val="0"/>
          <w:marBottom w:val="0"/>
          <w:divBdr>
            <w:top w:val="none" w:sz="0" w:space="0" w:color="auto"/>
            <w:left w:val="none" w:sz="0" w:space="0" w:color="auto"/>
            <w:bottom w:val="none" w:sz="0" w:space="0" w:color="auto"/>
            <w:right w:val="none" w:sz="0" w:space="0" w:color="auto"/>
          </w:divBdr>
        </w:div>
        <w:div w:id="38746876">
          <w:marLeft w:val="640"/>
          <w:marRight w:val="0"/>
          <w:marTop w:val="0"/>
          <w:marBottom w:val="0"/>
          <w:divBdr>
            <w:top w:val="none" w:sz="0" w:space="0" w:color="auto"/>
            <w:left w:val="none" w:sz="0" w:space="0" w:color="auto"/>
            <w:bottom w:val="none" w:sz="0" w:space="0" w:color="auto"/>
            <w:right w:val="none" w:sz="0" w:space="0" w:color="auto"/>
          </w:divBdr>
        </w:div>
        <w:div w:id="1354378435">
          <w:marLeft w:val="640"/>
          <w:marRight w:val="0"/>
          <w:marTop w:val="0"/>
          <w:marBottom w:val="0"/>
          <w:divBdr>
            <w:top w:val="none" w:sz="0" w:space="0" w:color="auto"/>
            <w:left w:val="none" w:sz="0" w:space="0" w:color="auto"/>
            <w:bottom w:val="none" w:sz="0" w:space="0" w:color="auto"/>
            <w:right w:val="none" w:sz="0" w:space="0" w:color="auto"/>
          </w:divBdr>
        </w:div>
        <w:div w:id="1764106945">
          <w:marLeft w:val="640"/>
          <w:marRight w:val="0"/>
          <w:marTop w:val="0"/>
          <w:marBottom w:val="0"/>
          <w:divBdr>
            <w:top w:val="none" w:sz="0" w:space="0" w:color="auto"/>
            <w:left w:val="none" w:sz="0" w:space="0" w:color="auto"/>
            <w:bottom w:val="none" w:sz="0" w:space="0" w:color="auto"/>
            <w:right w:val="none" w:sz="0" w:space="0" w:color="auto"/>
          </w:divBdr>
        </w:div>
        <w:div w:id="1679042358">
          <w:marLeft w:val="640"/>
          <w:marRight w:val="0"/>
          <w:marTop w:val="0"/>
          <w:marBottom w:val="0"/>
          <w:divBdr>
            <w:top w:val="none" w:sz="0" w:space="0" w:color="auto"/>
            <w:left w:val="none" w:sz="0" w:space="0" w:color="auto"/>
            <w:bottom w:val="none" w:sz="0" w:space="0" w:color="auto"/>
            <w:right w:val="none" w:sz="0" w:space="0" w:color="auto"/>
          </w:divBdr>
        </w:div>
        <w:div w:id="499122228">
          <w:marLeft w:val="640"/>
          <w:marRight w:val="0"/>
          <w:marTop w:val="0"/>
          <w:marBottom w:val="0"/>
          <w:divBdr>
            <w:top w:val="none" w:sz="0" w:space="0" w:color="auto"/>
            <w:left w:val="none" w:sz="0" w:space="0" w:color="auto"/>
            <w:bottom w:val="none" w:sz="0" w:space="0" w:color="auto"/>
            <w:right w:val="none" w:sz="0" w:space="0" w:color="auto"/>
          </w:divBdr>
        </w:div>
        <w:div w:id="651831848">
          <w:marLeft w:val="640"/>
          <w:marRight w:val="0"/>
          <w:marTop w:val="0"/>
          <w:marBottom w:val="0"/>
          <w:divBdr>
            <w:top w:val="none" w:sz="0" w:space="0" w:color="auto"/>
            <w:left w:val="none" w:sz="0" w:space="0" w:color="auto"/>
            <w:bottom w:val="none" w:sz="0" w:space="0" w:color="auto"/>
            <w:right w:val="none" w:sz="0" w:space="0" w:color="auto"/>
          </w:divBdr>
        </w:div>
        <w:div w:id="1842163215">
          <w:marLeft w:val="640"/>
          <w:marRight w:val="0"/>
          <w:marTop w:val="0"/>
          <w:marBottom w:val="0"/>
          <w:divBdr>
            <w:top w:val="none" w:sz="0" w:space="0" w:color="auto"/>
            <w:left w:val="none" w:sz="0" w:space="0" w:color="auto"/>
            <w:bottom w:val="none" w:sz="0" w:space="0" w:color="auto"/>
            <w:right w:val="none" w:sz="0" w:space="0" w:color="auto"/>
          </w:divBdr>
        </w:div>
        <w:div w:id="204298262">
          <w:marLeft w:val="640"/>
          <w:marRight w:val="0"/>
          <w:marTop w:val="0"/>
          <w:marBottom w:val="0"/>
          <w:divBdr>
            <w:top w:val="none" w:sz="0" w:space="0" w:color="auto"/>
            <w:left w:val="none" w:sz="0" w:space="0" w:color="auto"/>
            <w:bottom w:val="none" w:sz="0" w:space="0" w:color="auto"/>
            <w:right w:val="none" w:sz="0" w:space="0" w:color="auto"/>
          </w:divBdr>
        </w:div>
        <w:div w:id="1466653141">
          <w:marLeft w:val="640"/>
          <w:marRight w:val="0"/>
          <w:marTop w:val="0"/>
          <w:marBottom w:val="0"/>
          <w:divBdr>
            <w:top w:val="none" w:sz="0" w:space="0" w:color="auto"/>
            <w:left w:val="none" w:sz="0" w:space="0" w:color="auto"/>
            <w:bottom w:val="none" w:sz="0" w:space="0" w:color="auto"/>
            <w:right w:val="none" w:sz="0" w:space="0" w:color="auto"/>
          </w:divBdr>
        </w:div>
        <w:div w:id="155146238">
          <w:marLeft w:val="640"/>
          <w:marRight w:val="0"/>
          <w:marTop w:val="0"/>
          <w:marBottom w:val="0"/>
          <w:divBdr>
            <w:top w:val="none" w:sz="0" w:space="0" w:color="auto"/>
            <w:left w:val="none" w:sz="0" w:space="0" w:color="auto"/>
            <w:bottom w:val="none" w:sz="0" w:space="0" w:color="auto"/>
            <w:right w:val="none" w:sz="0" w:space="0" w:color="auto"/>
          </w:divBdr>
        </w:div>
        <w:div w:id="1382482735">
          <w:marLeft w:val="640"/>
          <w:marRight w:val="0"/>
          <w:marTop w:val="0"/>
          <w:marBottom w:val="0"/>
          <w:divBdr>
            <w:top w:val="none" w:sz="0" w:space="0" w:color="auto"/>
            <w:left w:val="none" w:sz="0" w:space="0" w:color="auto"/>
            <w:bottom w:val="none" w:sz="0" w:space="0" w:color="auto"/>
            <w:right w:val="none" w:sz="0" w:space="0" w:color="auto"/>
          </w:divBdr>
        </w:div>
        <w:div w:id="2106026821">
          <w:marLeft w:val="640"/>
          <w:marRight w:val="0"/>
          <w:marTop w:val="0"/>
          <w:marBottom w:val="0"/>
          <w:divBdr>
            <w:top w:val="none" w:sz="0" w:space="0" w:color="auto"/>
            <w:left w:val="none" w:sz="0" w:space="0" w:color="auto"/>
            <w:bottom w:val="none" w:sz="0" w:space="0" w:color="auto"/>
            <w:right w:val="none" w:sz="0" w:space="0" w:color="auto"/>
          </w:divBdr>
        </w:div>
        <w:div w:id="109739831">
          <w:marLeft w:val="640"/>
          <w:marRight w:val="0"/>
          <w:marTop w:val="0"/>
          <w:marBottom w:val="0"/>
          <w:divBdr>
            <w:top w:val="none" w:sz="0" w:space="0" w:color="auto"/>
            <w:left w:val="none" w:sz="0" w:space="0" w:color="auto"/>
            <w:bottom w:val="none" w:sz="0" w:space="0" w:color="auto"/>
            <w:right w:val="none" w:sz="0" w:space="0" w:color="auto"/>
          </w:divBdr>
        </w:div>
        <w:div w:id="311566292">
          <w:marLeft w:val="640"/>
          <w:marRight w:val="0"/>
          <w:marTop w:val="0"/>
          <w:marBottom w:val="0"/>
          <w:divBdr>
            <w:top w:val="none" w:sz="0" w:space="0" w:color="auto"/>
            <w:left w:val="none" w:sz="0" w:space="0" w:color="auto"/>
            <w:bottom w:val="none" w:sz="0" w:space="0" w:color="auto"/>
            <w:right w:val="none" w:sz="0" w:space="0" w:color="auto"/>
          </w:divBdr>
        </w:div>
        <w:div w:id="913853334">
          <w:marLeft w:val="640"/>
          <w:marRight w:val="0"/>
          <w:marTop w:val="0"/>
          <w:marBottom w:val="0"/>
          <w:divBdr>
            <w:top w:val="none" w:sz="0" w:space="0" w:color="auto"/>
            <w:left w:val="none" w:sz="0" w:space="0" w:color="auto"/>
            <w:bottom w:val="none" w:sz="0" w:space="0" w:color="auto"/>
            <w:right w:val="none" w:sz="0" w:space="0" w:color="auto"/>
          </w:divBdr>
        </w:div>
        <w:div w:id="2083677402">
          <w:marLeft w:val="640"/>
          <w:marRight w:val="0"/>
          <w:marTop w:val="0"/>
          <w:marBottom w:val="0"/>
          <w:divBdr>
            <w:top w:val="none" w:sz="0" w:space="0" w:color="auto"/>
            <w:left w:val="none" w:sz="0" w:space="0" w:color="auto"/>
            <w:bottom w:val="none" w:sz="0" w:space="0" w:color="auto"/>
            <w:right w:val="none" w:sz="0" w:space="0" w:color="auto"/>
          </w:divBdr>
        </w:div>
        <w:div w:id="2111311781">
          <w:marLeft w:val="640"/>
          <w:marRight w:val="0"/>
          <w:marTop w:val="0"/>
          <w:marBottom w:val="0"/>
          <w:divBdr>
            <w:top w:val="none" w:sz="0" w:space="0" w:color="auto"/>
            <w:left w:val="none" w:sz="0" w:space="0" w:color="auto"/>
            <w:bottom w:val="none" w:sz="0" w:space="0" w:color="auto"/>
            <w:right w:val="none" w:sz="0" w:space="0" w:color="auto"/>
          </w:divBdr>
        </w:div>
        <w:div w:id="114059595">
          <w:marLeft w:val="640"/>
          <w:marRight w:val="0"/>
          <w:marTop w:val="0"/>
          <w:marBottom w:val="0"/>
          <w:divBdr>
            <w:top w:val="none" w:sz="0" w:space="0" w:color="auto"/>
            <w:left w:val="none" w:sz="0" w:space="0" w:color="auto"/>
            <w:bottom w:val="none" w:sz="0" w:space="0" w:color="auto"/>
            <w:right w:val="none" w:sz="0" w:space="0" w:color="auto"/>
          </w:divBdr>
        </w:div>
        <w:div w:id="2078359377">
          <w:marLeft w:val="640"/>
          <w:marRight w:val="0"/>
          <w:marTop w:val="0"/>
          <w:marBottom w:val="0"/>
          <w:divBdr>
            <w:top w:val="none" w:sz="0" w:space="0" w:color="auto"/>
            <w:left w:val="none" w:sz="0" w:space="0" w:color="auto"/>
            <w:bottom w:val="none" w:sz="0" w:space="0" w:color="auto"/>
            <w:right w:val="none" w:sz="0" w:space="0" w:color="auto"/>
          </w:divBdr>
        </w:div>
        <w:div w:id="1676420366">
          <w:marLeft w:val="640"/>
          <w:marRight w:val="0"/>
          <w:marTop w:val="0"/>
          <w:marBottom w:val="0"/>
          <w:divBdr>
            <w:top w:val="none" w:sz="0" w:space="0" w:color="auto"/>
            <w:left w:val="none" w:sz="0" w:space="0" w:color="auto"/>
            <w:bottom w:val="none" w:sz="0" w:space="0" w:color="auto"/>
            <w:right w:val="none" w:sz="0" w:space="0" w:color="auto"/>
          </w:divBdr>
        </w:div>
        <w:div w:id="470907615">
          <w:marLeft w:val="640"/>
          <w:marRight w:val="0"/>
          <w:marTop w:val="0"/>
          <w:marBottom w:val="0"/>
          <w:divBdr>
            <w:top w:val="none" w:sz="0" w:space="0" w:color="auto"/>
            <w:left w:val="none" w:sz="0" w:space="0" w:color="auto"/>
            <w:bottom w:val="none" w:sz="0" w:space="0" w:color="auto"/>
            <w:right w:val="none" w:sz="0" w:space="0" w:color="auto"/>
          </w:divBdr>
        </w:div>
        <w:div w:id="1423333888">
          <w:marLeft w:val="640"/>
          <w:marRight w:val="0"/>
          <w:marTop w:val="0"/>
          <w:marBottom w:val="0"/>
          <w:divBdr>
            <w:top w:val="none" w:sz="0" w:space="0" w:color="auto"/>
            <w:left w:val="none" w:sz="0" w:space="0" w:color="auto"/>
            <w:bottom w:val="none" w:sz="0" w:space="0" w:color="auto"/>
            <w:right w:val="none" w:sz="0" w:space="0" w:color="auto"/>
          </w:divBdr>
        </w:div>
        <w:div w:id="220484783">
          <w:marLeft w:val="640"/>
          <w:marRight w:val="0"/>
          <w:marTop w:val="0"/>
          <w:marBottom w:val="0"/>
          <w:divBdr>
            <w:top w:val="none" w:sz="0" w:space="0" w:color="auto"/>
            <w:left w:val="none" w:sz="0" w:space="0" w:color="auto"/>
            <w:bottom w:val="none" w:sz="0" w:space="0" w:color="auto"/>
            <w:right w:val="none" w:sz="0" w:space="0" w:color="auto"/>
          </w:divBdr>
        </w:div>
        <w:div w:id="2122725639">
          <w:marLeft w:val="640"/>
          <w:marRight w:val="0"/>
          <w:marTop w:val="0"/>
          <w:marBottom w:val="0"/>
          <w:divBdr>
            <w:top w:val="none" w:sz="0" w:space="0" w:color="auto"/>
            <w:left w:val="none" w:sz="0" w:space="0" w:color="auto"/>
            <w:bottom w:val="none" w:sz="0" w:space="0" w:color="auto"/>
            <w:right w:val="none" w:sz="0" w:space="0" w:color="auto"/>
          </w:divBdr>
        </w:div>
        <w:div w:id="1768623530">
          <w:marLeft w:val="640"/>
          <w:marRight w:val="0"/>
          <w:marTop w:val="0"/>
          <w:marBottom w:val="0"/>
          <w:divBdr>
            <w:top w:val="none" w:sz="0" w:space="0" w:color="auto"/>
            <w:left w:val="none" w:sz="0" w:space="0" w:color="auto"/>
            <w:bottom w:val="none" w:sz="0" w:space="0" w:color="auto"/>
            <w:right w:val="none" w:sz="0" w:space="0" w:color="auto"/>
          </w:divBdr>
        </w:div>
        <w:div w:id="1233930782">
          <w:marLeft w:val="640"/>
          <w:marRight w:val="0"/>
          <w:marTop w:val="0"/>
          <w:marBottom w:val="0"/>
          <w:divBdr>
            <w:top w:val="none" w:sz="0" w:space="0" w:color="auto"/>
            <w:left w:val="none" w:sz="0" w:space="0" w:color="auto"/>
            <w:bottom w:val="none" w:sz="0" w:space="0" w:color="auto"/>
            <w:right w:val="none" w:sz="0" w:space="0" w:color="auto"/>
          </w:divBdr>
        </w:div>
        <w:div w:id="1279527521">
          <w:marLeft w:val="640"/>
          <w:marRight w:val="0"/>
          <w:marTop w:val="0"/>
          <w:marBottom w:val="0"/>
          <w:divBdr>
            <w:top w:val="none" w:sz="0" w:space="0" w:color="auto"/>
            <w:left w:val="none" w:sz="0" w:space="0" w:color="auto"/>
            <w:bottom w:val="none" w:sz="0" w:space="0" w:color="auto"/>
            <w:right w:val="none" w:sz="0" w:space="0" w:color="auto"/>
          </w:divBdr>
        </w:div>
        <w:div w:id="871311390">
          <w:marLeft w:val="640"/>
          <w:marRight w:val="0"/>
          <w:marTop w:val="0"/>
          <w:marBottom w:val="0"/>
          <w:divBdr>
            <w:top w:val="none" w:sz="0" w:space="0" w:color="auto"/>
            <w:left w:val="none" w:sz="0" w:space="0" w:color="auto"/>
            <w:bottom w:val="none" w:sz="0" w:space="0" w:color="auto"/>
            <w:right w:val="none" w:sz="0" w:space="0" w:color="auto"/>
          </w:divBdr>
        </w:div>
        <w:div w:id="1020086971">
          <w:marLeft w:val="640"/>
          <w:marRight w:val="0"/>
          <w:marTop w:val="0"/>
          <w:marBottom w:val="0"/>
          <w:divBdr>
            <w:top w:val="none" w:sz="0" w:space="0" w:color="auto"/>
            <w:left w:val="none" w:sz="0" w:space="0" w:color="auto"/>
            <w:bottom w:val="none" w:sz="0" w:space="0" w:color="auto"/>
            <w:right w:val="none" w:sz="0" w:space="0" w:color="auto"/>
          </w:divBdr>
        </w:div>
        <w:div w:id="710618338">
          <w:marLeft w:val="640"/>
          <w:marRight w:val="0"/>
          <w:marTop w:val="0"/>
          <w:marBottom w:val="0"/>
          <w:divBdr>
            <w:top w:val="none" w:sz="0" w:space="0" w:color="auto"/>
            <w:left w:val="none" w:sz="0" w:space="0" w:color="auto"/>
            <w:bottom w:val="none" w:sz="0" w:space="0" w:color="auto"/>
            <w:right w:val="none" w:sz="0" w:space="0" w:color="auto"/>
          </w:divBdr>
        </w:div>
        <w:div w:id="1134366676">
          <w:marLeft w:val="640"/>
          <w:marRight w:val="0"/>
          <w:marTop w:val="0"/>
          <w:marBottom w:val="0"/>
          <w:divBdr>
            <w:top w:val="none" w:sz="0" w:space="0" w:color="auto"/>
            <w:left w:val="none" w:sz="0" w:space="0" w:color="auto"/>
            <w:bottom w:val="none" w:sz="0" w:space="0" w:color="auto"/>
            <w:right w:val="none" w:sz="0" w:space="0" w:color="auto"/>
          </w:divBdr>
        </w:div>
        <w:div w:id="1365789818">
          <w:marLeft w:val="640"/>
          <w:marRight w:val="0"/>
          <w:marTop w:val="0"/>
          <w:marBottom w:val="0"/>
          <w:divBdr>
            <w:top w:val="none" w:sz="0" w:space="0" w:color="auto"/>
            <w:left w:val="none" w:sz="0" w:space="0" w:color="auto"/>
            <w:bottom w:val="none" w:sz="0" w:space="0" w:color="auto"/>
            <w:right w:val="none" w:sz="0" w:space="0" w:color="auto"/>
          </w:divBdr>
        </w:div>
        <w:div w:id="1542480517">
          <w:marLeft w:val="640"/>
          <w:marRight w:val="0"/>
          <w:marTop w:val="0"/>
          <w:marBottom w:val="0"/>
          <w:divBdr>
            <w:top w:val="none" w:sz="0" w:space="0" w:color="auto"/>
            <w:left w:val="none" w:sz="0" w:space="0" w:color="auto"/>
            <w:bottom w:val="none" w:sz="0" w:space="0" w:color="auto"/>
            <w:right w:val="none" w:sz="0" w:space="0" w:color="auto"/>
          </w:divBdr>
        </w:div>
        <w:div w:id="1732078239">
          <w:marLeft w:val="640"/>
          <w:marRight w:val="0"/>
          <w:marTop w:val="0"/>
          <w:marBottom w:val="0"/>
          <w:divBdr>
            <w:top w:val="none" w:sz="0" w:space="0" w:color="auto"/>
            <w:left w:val="none" w:sz="0" w:space="0" w:color="auto"/>
            <w:bottom w:val="none" w:sz="0" w:space="0" w:color="auto"/>
            <w:right w:val="none" w:sz="0" w:space="0" w:color="auto"/>
          </w:divBdr>
        </w:div>
        <w:div w:id="1681271281">
          <w:marLeft w:val="640"/>
          <w:marRight w:val="0"/>
          <w:marTop w:val="0"/>
          <w:marBottom w:val="0"/>
          <w:divBdr>
            <w:top w:val="none" w:sz="0" w:space="0" w:color="auto"/>
            <w:left w:val="none" w:sz="0" w:space="0" w:color="auto"/>
            <w:bottom w:val="none" w:sz="0" w:space="0" w:color="auto"/>
            <w:right w:val="none" w:sz="0" w:space="0" w:color="auto"/>
          </w:divBdr>
        </w:div>
        <w:div w:id="1652440581">
          <w:marLeft w:val="640"/>
          <w:marRight w:val="0"/>
          <w:marTop w:val="0"/>
          <w:marBottom w:val="0"/>
          <w:divBdr>
            <w:top w:val="none" w:sz="0" w:space="0" w:color="auto"/>
            <w:left w:val="none" w:sz="0" w:space="0" w:color="auto"/>
            <w:bottom w:val="none" w:sz="0" w:space="0" w:color="auto"/>
            <w:right w:val="none" w:sz="0" w:space="0" w:color="auto"/>
          </w:divBdr>
        </w:div>
        <w:div w:id="769474204">
          <w:marLeft w:val="640"/>
          <w:marRight w:val="0"/>
          <w:marTop w:val="0"/>
          <w:marBottom w:val="0"/>
          <w:divBdr>
            <w:top w:val="none" w:sz="0" w:space="0" w:color="auto"/>
            <w:left w:val="none" w:sz="0" w:space="0" w:color="auto"/>
            <w:bottom w:val="none" w:sz="0" w:space="0" w:color="auto"/>
            <w:right w:val="none" w:sz="0" w:space="0" w:color="auto"/>
          </w:divBdr>
        </w:div>
        <w:div w:id="1103962280">
          <w:marLeft w:val="640"/>
          <w:marRight w:val="0"/>
          <w:marTop w:val="0"/>
          <w:marBottom w:val="0"/>
          <w:divBdr>
            <w:top w:val="none" w:sz="0" w:space="0" w:color="auto"/>
            <w:left w:val="none" w:sz="0" w:space="0" w:color="auto"/>
            <w:bottom w:val="none" w:sz="0" w:space="0" w:color="auto"/>
            <w:right w:val="none" w:sz="0" w:space="0" w:color="auto"/>
          </w:divBdr>
        </w:div>
        <w:div w:id="1569849664">
          <w:marLeft w:val="640"/>
          <w:marRight w:val="0"/>
          <w:marTop w:val="0"/>
          <w:marBottom w:val="0"/>
          <w:divBdr>
            <w:top w:val="none" w:sz="0" w:space="0" w:color="auto"/>
            <w:left w:val="none" w:sz="0" w:space="0" w:color="auto"/>
            <w:bottom w:val="none" w:sz="0" w:space="0" w:color="auto"/>
            <w:right w:val="none" w:sz="0" w:space="0" w:color="auto"/>
          </w:divBdr>
        </w:div>
        <w:div w:id="1561090364">
          <w:marLeft w:val="640"/>
          <w:marRight w:val="0"/>
          <w:marTop w:val="0"/>
          <w:marBottom w:val="0"/>
          <w:divBdr>
            <w:top w:val="none" w:sz="0" w:space="0" w:color="auto"/>
            <w:left w:val="none" w:sz="0" w:space="0" w:color="auto"/>
            <w:bottom w:val="none" w:sz="0" w:space="0" w:color="auto"/>
            <w:right w:val="none" w:sz="0" w:space="0" w:color="auto"/>
          </w:divBdr>
        </w:div>
        <w:div w:id="1670206557">
          <w:marLeft w:val="640"/>
          <w:marRight w:val="0"/>
          <w:marTop w:val="0"/>
          <w:marBottom w:val="0"/>
          <w:divBdr>
            <w:top w:val="none" w:sz="0" w:space="0" w:color="auto"/>
            <w:left w:val="none" w:sz="0" w:space="0" w:color="auto"/>
            <w:bottom w:val="none" w:sz="0" w:space="0" w:color="auto"/>
            <w:right w:val="none" w:sz="0" w:space="0" w:color="auto"/>
          </w:divBdr>
        </w:div>
        <w:div w:id="1461679528">
          <w:marLeft w:val="640"/>
          <w:marRight w:val="0"/>
          <w:marTop w:val="0"/>
          <w:marBottom w:val="0"/>
          <w:divBdr>
            <w:top w:val="none" w:sz="0" w:space="0" w:color="auto"/>
            <w:left w:val="none" w:sz="0" w:space="0" w:color="auto"/>
            <w:bottom w:val="none" w:sz="0" w:space="0" w:color="auto"/>
            <w:right w:val="none" w:sz="0" w:space="0" w:color="auto"/>
          </w:divBdr>
        </w:div>
        <w:div w:id="1074006508">
          <w:marLeft w:val="640"/>
          <w:marRight w:val="0"/>
          <w:marTop w:val="0"/>
          <w:marBottom w:val="0"/>
          <w:divBdr>
            <w:top w:val="none" w:sz="0" w:space="0" w:color="auto"/>
            <w:left w:val="none" w:sz="0" w:space="0" w:color="auto"/>
            <w:bottom w:val="none" w:sz="0" w:space="0" w:color="auto"/>
            <w:right w:val="none" w:sz="0" w:space="0" w:color="auto"/>
          </w:divBdr>
        </w:div>
        <w:div w:id="645403020">
          <w:marLeft w:val="640"/>
          <w:marRight w:val="0"/>
          <w:marTop w:val="0"/>
          <w:marBottom w:val="0"/>
          <w:divBdr>
            <w:top w:val="none" w:sz="0" w:space="0" w:color="auto"/>
            <w:left w:val="none" w:sz="0" w:space="0" w:color="auto"/>
            <w:bottom w:val="none" w:sz="0" w:space="0" w:color="auto"/>
            <w:right w:val="none" w:sz="0" w:space="0" w:color="auto"/>
          </w:divBdr>
        </w:div>
        <w:div w:id="1002077960">
          <w:marLeft w:val="640"/>
          <w:marRight w:val="0"/>
          <w:marTop w:val="0"/>
          <w:marBottom w:val="0"/>
          <w:divBdr>
            <w:top w:val="none" w:sz="0" w:space="0" w:color="auto"/>
            <w:left w:val="none" w:sz="0" w:space="0" w:color="auto"/>
            <w:bottom w:val="none" w:sz="0" w:space="0" w:color="auto"/>
            <w:right w:val="none" w:sz="0" w:space="0" w:color="auto"/>
          </w:divBdr>
        </w:div>
        <w:div w:id="57900450">
          <w:marLeft w:val="640"/>
          <w:marRight w:val="0"/>
          <w:marTop w:val="0"/>
          <w:marBottom w:val="0"/>
          <w:divBdr>
            <w:top w:val="none" w:sz="0" w:space="0" w:color="auto"/>
            <w:left w:val="none" w:sz="0" w:space="0" w:color="auto"/>
            <w:bottom w:val="none" w:sz="0" w:space="0" w:color="auto"/>
            <w:right w:val="none" w:sz="0" w:space="0" w:color="auto"/>
          </w:divBdr>
        </w:div>
        <w:div w:id="1008211465">
          <w:marLeft w:val="640"/>
          <w:marRight w:val="0"/>
          <w:marTop w:val="0"/>
          <w:marBottom w:val="0"/>
          <w:divBdr>
            <w:top w:val="none" w:sz="0" w:space="0" w:color="auto"/>
            <w:left w:val="none" w:sz="0" w:space="0" w:color="auto"/>
            <w:bottom w:val="none" w:sz="0" w:space="0" w:color="auto"/>
            <w:right w:val="none" w:sz="0" w:space="0" w:color="auto"/>
          </w:divBdr>
        </w:div>
        <w:div w:id="1718889188">
          <w:marLeft w:val="640"/>
          <w:marRight w:val="0"/>
          <w:marTop w:val="0"/>
          <w:marBottom w:val="0"/>
          <w:divBdr>
            <w:top w:val="none" w:sz="0" w:space="0" w:color="auto"/>
            <w:left w:val="none" w:sz="0" w:space="0" w:color="auto"/>
            <w:bottom w:val="none" w:sz="0" w:space="0" w:color="auto"/>
            <w:right w:val="none" w:sz="0" w:space="0" w:color="auto"/>
          </w:divBdr>
        </w:div>
        <w:div w:id="685903979">
          <w:marLeft w:val="640"/>
          <w:marRight w:val="0"/>
          <w:marTop w:val="0"/>
          <w:marBottom w:val="0"/>
          <w:divBdr>
            <w:top w:val="none" w:sz="0" w:space="0" w:color="auto"/>
            <w:left w:val="none" w:sz="0" w:space="0" w:color="auto"/>
            <w:bottom w:val="none" w:sz="0" w:space="0" w:color="auto"/>
            <w:right w:val="none" w:sz="0" w:space="0" w:color="auto"/>
          </w:divBdr>
        </w:div>
        <w:div w:id="377508020">
          <w:marLeft w:val="640"/>
          <w:marRight w:val="0"/>
          <w:marTop w:val="0"/>
          <w:marBottom w:val="0"/>
          <w:divBdr>
            <w:top w:val="none" w:sz="0" w:space="0" w:color="auto"/>
            <w:left w:val="none" w:sz="0" w:space="0" w:color="auto"/>
            <w:bottom w:val="none" w:sz="0" w:space="0" w:color="auto"/>
            <w:right w:val="none" w:sz="0" w:space="0" w:color="auto"/>
          </w:divBdr>
        </w:div>
        <w:div w:id="741296710">
          <w:marLeft w:val="640"/>
          <w:marRight w:val="0"/>
          <w:marTop w:val="0"/>
          <w:marBottom w:val="0"/>
          <w:divBdr>
            <w:top w:val="none" w:sz="0" w:space="0" w:color="auto"/>
            <w:left w:val="none" w:sz="0" w:space="0" w:color="auto"/>
            <w:bottom w:val="none" w:sz="0" w:space="0" w:color="auto"/>
            <w:right w:val="none" w:sz="0" w:space="0" w:color="auto"/>
          </w:divBdr>
        </w:div>
        <w:div w:id="1486050839">
          <w:marLeft w:val="640"/>
          <w:marRight w:val="0"/>
          <w:marTop w:val="0"/>
          <w:marBottom w:val="0"/>
          <w:divBdr>
            <w:top w:val="none" w:sz="0" w:space="0" w:color="auto"/>
            <w:left w:val="none" w:sz="0" w:space="0" w:color="auto"/>
            <w:bottom w:val="none" w:sz="0" w:space="0" w:color="auto"/>
            <w:right w:val="none" w:sz="0" w:space="0" w:color="auto"/>
          </w:divBdr>
        </w:div>
        <w:div w:id="774793448">
          <w:marLeft w:val="640"/>
          <w:marRight w:val="0"/>
          <w:marTop w:val="0"/>
          <w:marBottom w:val="0"/>
          <w:divBdr>
            <w:top w:val="none" w:sz="0" w:space="0" w:color="auto"/>
            <w:left w:val="none" w:sz="0" w:space="0" w:color="auto"/>
            <w:bottom w:val="none" w:sz="0" w:space="0" w:color="auto"/>
            <w:right w:val="none" w:sz="0" w:space="0" w:color="auto"/>
          </w:divBdr>
        </w:div>
        <w:div w:id="34621340">
          <w:marLeft w:val="640"/>
          <w:marRight w:val="0"/>
          <w:marTop w:val="0"/>
          <w:marBottom w:val="0"/>
          <w:divBdr>
            <w:top w:val="none" w:sz="0" w:space="0" w:color="auto"/>
            <w:left w:val="none" w:sz="0" w:space="0" w:color="auto"/>
            <w:bottom w:val="none" w:sz="0" w:space="0" w:color="auto"/>
            <w:right w:val="none" w:sz="0" w:space="0" w:color="auto"/>
          </w:divBdr>
        </w:div>
        <w:div w:id="390808349">
          <w:marLeft w:val="640"/>
          <w:marRight w:val="0"/>
          <w:marTop w:val="0"/>
          <w:marBottom w:val="0"/>
          <w:divBdr>
            <w:top w:val="none" w:sz="0" w:space="0" w:color="auto"/>
            <w:left w:val="none" w:sz="0" w:space="0" w:color="auto"/>
            <w:bottom w:val="none" w:sz="0" w:space="0" w:color="auto"/>
            <w:right w:val="none" w:sz="0" w:space="0" w:color="auto"/>
          </w:divBdr>
        </w:div>
        <w:div w:id="428239727">
          <w:marLeft w:val="640"/>
          <w:marRight w:val="0"/>
          <w:marTop w:val="0"/>
          <w:marBottom w:val="0"/>
          <w:divBdr>
            <w:top w:val="none" w:sz="0" w:space="0" w:color="auto"/>
            <w:left w:val="none" w:sz="0" w:space="0" w:color="auto"/>
            <w:bottom w:val="none" w:sz="0" w:space="0" w:color="auto"/>
            <w:right w:val="none" w:sz="0" w:space="0" w:color="auto"/>
          </w:divBdr>
        </w:div>
        <w:div w:id="2142721618">
          <w:marLeft w:val="640"/>
          <w:marRight w:val="0"/>
          <w:marTop w:val="0"/>
          <w:marBottom w:val="0"/>
          <w:divBdr>
            <w:top w:val="none" w:sz="0" w:space="0" w:color="auto"/>
            <w:left w:val="none" w:sz="0" w:space="0" w:color="auto"/>
            <w:bottom w:val="none" w:sz="0" w:space="0" w:color="auto"/>
            <w:right w:val="none" w:sz="0" w:space="0" w:color="auto"/>
          </w:divBdr>
        </w:div>
        <w:div w:id="692461643">
          <w:marLeft w:val="640"/>
          <w:marRight w:val="0"/>
          <w:marTop w:val="0"/>
          <w:marBottom w:val="0"/>
          <w:divBdr>
            <w:top w:val="none" w:sz="0" w:space="0" w:color="auto"/>
            <w:left w:val="none" w:sz="0" w:space="0" w:color="auto"/>
            <w:bottom w:val="none" w:sz="0" w:space="0" w:color="auto"/>
            <w:right w:val="none" w:sz="0" w:space="0" w:color="auto"/>
          </w:divBdr>
        </w:div>
        <w:div w:id="123305866">
          <w:marLeft w:val="640"/>
          <w:marRight w:val="0"/>
          <w:marTop w:val="0"/>
          <w:marBottom w:val="0"/>
          <w:divBdr>
            <w:top w:val="none" w:sz="0" w:space="0" w:color="auto"/>
            <w:left w:val="none" w:sz="0" w:space="0" w:color="auto"/>
            <w:bottom w:val="none" w:sz="0" w:space="0" w:color="auto"/>
            <w:right w:val="none" w:sz="0" w:space="0" w:color="auto"/>
          </w:divBdr>
        </w:div>
        <w:div w:id="1203401018">
          <w:marLeft w:val="640"/>
          <w:marRight w:val="0"/>
          <w:marTop w:val="0"/>
          <w:marBottom w:val="0"/>
          <w:divBdr>
            <w:top w:val="none" w:sz="0" w:space="0" w:color="auto"/>
            <w:left w:val="none" w:sz="0" w:space="0" w:color="auto"/>
            <w:bottom w:val="none" w:sz="0" w:space="0" w:color="auto"/>
            <w:right w:val="none" w:sz="0" w:space="0" w:color="auto"/>
          </w:divBdr>
        </w:div>
        <w:div w:id="1754738854">
          <w:marLeft w:val="640"/>
          <w:marRight w:val="0"/>
          <w:marTop w:val="0"/>
          <w:marBottom w:val="0"/>
          <w:divBdr>
            <w:top w:val="none" w:sz="0" w:space="0" w:color="auto"/>
            <w:left w:val="none" w:sz="0" w:space="0" w:color="auto"/>
            <w:bottom w:val="none" w:sz="0" w:space="0" w:color="auto"/>
            <w:right w:val="none" w:sz="0" w:space="0" w:color="auto"/>
          </w:divBdr>
        </w:div>
        <w:div w:id="804155119">
          <w:marLeft w:val="640"/>
          <w:marRight w:val="0"/>
          <w:marTop w:val="0"/>
          <w:marBottom w:val="0"/>
          <w:divBdr>
            <w:top w:val="none" w:sz="0" w:space="0" w:color="auto"/>
            <w:left w:val="none" w:sz="0" w:space="0" w:color="auto"/>
            <w:bottom w:val="none" w:sz="0" w:space="0" w:color="auto"/>
            <w:right w:val="none" w:sz="0" w:space="0" w:color="auto"/>
          </w:divBdr>
        </w:div>
        <w:div w:id="1234513533">
          <w:marLeft w:val="640"/>
          <w:marRight w:val="0"/>
          <w:marTop w:val="0"/>
          <w:marBottom w:val="0"/>
          <w:divBdr>
            <w:top w:val="none" w:sz="0" w:space="0" w:color="auto"/>
            <w:left w:val="none" w:sz="0" w:space="0" w:color="auto"/>
            <w:bottom w:val="none" w:sz="0" w:space="0" w:color="auto"/>
            <w:right w:val="none" w:sz="0" w:space="0" w:color="auto"/>
          </w:divBdr>
        </w:div>
        <w:div w:id="1246844408">
          <w:marLeft w:val="640"/>
          <w:marRight w:val="0"/>
          <w:marTop w:val="0"/>
          <w:marBottom w:val="0"/>
          <w:divBdr>
            <w:top w:val="none" w:sz="0" w:space="0" w:color="auto"/>
            <w:left w:val="none" w:sz="0" w:space="0" w:color="auto"/>
            <w:bottom w:val="none" w:sz="0" w:space="0" w:color="auto"/>
            <w:right w:val="none" w:sz="0" w:space="0" w:color="auto"/>
          </w:divBdr>
        </w:div>
        <w:div w:id="609512341">
          <w:marLeft w:val="640"/>
          <w:marRight w:val="0"/>
          <w:marTop w:val="0"/>
          <w:marBottom w:val="0"/>
          <w:divBdr>
            <w:top w:val="none" w:sz="0" w:space="0" w:color="auto"/>
            <w:left w:val="none" w:sz="0" w:space="0" w:color="auto"/>
            <w:bottom w:val="none" w:sz="0" w:space="0" w:color="auto"/>
            <w:right w:val="none" w:sz="0" w:space="0" w:color="auto"/>
          </w:divBdr>
        </w:div>
        <w:div w:id="1418673361">
          <w:marLeft w:val="640"/>
          <w:marRight w:val="0"/>
          <w:marTop w:val="0"/>
          <w:marBottom w:val="0"/>
          <w:divBdr>
            <w:top w:val="none" w:sz="0" w:space="0" w:color="auto"/>
            <w:left w:val="none" w:sz="0" w:space="0" w:color="auto"/>
            <w:bottom w:val="none" w:sz="0" w:space="0" w:color="auto"/>
            <w:right w:val="none" w:sz="0" w:space="0" w:color="auto"/>
          </w:divBdr>
        </w:div>
        <w:div w:id="1348404570">
          <w:marLeft w:val="640"/>
          <w:marRight w:val="0"/>
          <w:marTop w:val="0"/>
          <w:marBottom w:val="0"/>
          <w:divBdr>
            <w:top w:val="none" w:sz="0" w:space="0" w:color="auto"/>
            <w:left w:val="none" w:sz="0" w:space="0" w:color="auto"/>
            <w:bottom w:val="none" w:sz="0" w:space="0" w:color="auto"/>
            <w:right w:val="none" w:sz="0" w:space="0" w:color="auto"/>
          </w:divBdr>
        </w:div>
        <w:div w:id="441530967">
          <w:marLeft w:val="640"/>
          <w:marRight w:val="0"/>
          <w:marTop w:val="0"/>
          <w:marBottom w:val="0"/>
          <w:divBdr>
            <w:top w:val="none" w:sz="0" w:space="0" w:color="auto"/>
            <w:left w:val="none" w:sz="0" w:space="0" w:color="auto"/>
            <w:bottom w:val="none" w:sz="0" w:space="0" w:color="auto"/>
            <w:right w:val="none" w:sz="0" w:space="0" w:color="auto"/>
          </w:divBdr>
        </w:div>
        <w:div w:id="1820724694">
          <w:marLeft w:val="640"/>
          <w:marRight w:val="0"/>
          <w:marTop w:val="0"/>
          <w:marBottom w:val="0"/>
          <w:divBdr>
            <w:top w:val="none" w:sz="0" w:space="0" w:color="auto"/>
            <w:left w:val="none" w:sz="0" w:space="0" w:color="auto"/>
            <w:bottom w:val="none" w:sz="0" w:space="0" w:color="auto"/>
            <w:right w:val="none" w:sz="0" w:space="0" w:color="auto"/>
          </w:divBdr>
        </w:div>
        <w:div w:id="468014562">
          <w:marLeft w:val="640"/>
          <w:marRight w:val="0"/>
          <w:marTop w:val="0"/>
          <w:marBottom w:val="0"/>
          <w:divBdr>
            <w:top w:val="none" w:sz="0" w:space="0" w:color="auto"/>
            <w:left w:val="none" w:sz="0" w:space="0" w:color="auto"/>
            <w:bottom w:val="none" w:sz="0" w:space="0" w:color="auto"/>
            <w:right w:val="none" w:sz="0" w:space="0" w:color="auto"/>
          </w:divBdr>
        </w:div>
        <w:div w:id="1147894046">
          <w:marLeft w:val="640"/>
          <w:marRight w:val="0"/>
          <w:marTop w:val="0"/>
          <w:marBottom w:val="0"/>
          <w:divBdr>
            <w:top w:val="none" w:sz="0" w:space="0" w:color="auto"/>
            <w:left w:val="none" w:sz="0" w:space="0" w:color="auto"/>
            <w:bottom w:val="none" w:sz="0" w:space="0" w:color="auto"/>
            <w:right w:val="none" w:sz="0" w:space="0" w:color="auto"/>
          </w:divBdr>
        </w:div>
        <w:div w:id="346831007">
          <w:marLeft w:val="640"/>
          <w:marRight w:val="0"/>
          <w:marTop w:val="0"/>
          <w:marBottom w:val="0"/>
          <w:divBdr>
            <w:top w:val="none" w:sz="0" w:space="0" w:color="auto"/>
            <w:left w:val="none" w:sz="0" w:space="0" w:color="auto"/>
            <w:bottom w:val="none" w:sz="0" w:space="0" w:color="auto"/>
            <w:right w:val="none" w:sz="0" w:space="0" w:color="auto"/>
          </w:divBdr>
        </w:div>
        <w:div w:id="741561913">
          <w:marLeft w:val="640"/>
          <w:marRight w:val="0"/>
          <w:marTop w:val="0"/>
          <w:marBottom w:val="0"/>
          <w:divBdr>
            <w:top w:val="none" w:sz="0" w:space="0" w:color="auto"/>
            <w:left w:val="none" w:sz="0" w:space="0" w:color="auto"/>
            <w:bottom w:val="none" w:sz="0" w:space="0" w:color="auto"/>
            <w:right w:val="none" w:sz="0" w:space="0" w:color="auto"/>
          </w:divBdr>
        </w:div>
        <w:div w:id="1791436583">
          <w:marLeft w:val="640"/>
          <w:marRight w:val="0"/>
          <w:marTop w:val="0"/>
          <w:marBottom w:val="0"/>
          <w:divBdr>
            <w:top w:val="none" w:sz="0" w:space="0" w:color="auto"/>
            <w:left w:val="none" w:sz="0" w:space="0" w:color="auto"/>
            <w:bottom w:val="none" w:sz="0" w:space="0" w:color="auto"/>
            <w:right w:val="none" w:sz="0" w:space="0" w:color="auto"/>
          </w:divBdr>
        </w:div>
        <w:div w:id="865488507">
          <w:marLeft w:val="640"/>
          <w:marRight w:val="0"/>
          <w:marTop w:val="0"/>
          <w:marBottom w:val="0"/>
          <w:divBdr>
            <w:top w:val="none" w:sz="0" w:space="0" w:color="auto"/>
            <w:left w:val="none" w:sz="0" w:space="0" w:color="auto"/>
            <w:bottom w:val="none" w:sz="0" w:space="0" w:color="auto"/>
            <w:right w:val="none" w:sz="0" w:space="0" w:color="auto"/>
          </w:divBdr>
        </w:div>
        <w:div w:id="1914005971">
          <w:marLeft w:val="640"/>
          <w:marRight w:val="0"/>
          <w:marTop w:val="0"/>
          <w:marBottom w:val="0"/>
          <w:divBdr>
            <w:top w:val="none" w:sz="0" w:space="0" w:color="auto"/>
            <w:left w:val="none" w:sz="0" w:space="0" w:color="auto"/>
            <w:bottom w:val="none" w:sz="0" w:space="0" w:color="auto"/>
            <w:right w:val="none" w:sz="0" w:space="0" w:color="auto"/>
          </w:divBdr>
        </w:div>
        <w:div w:id="371003592">
          <w:marLeft w:val="640"/>
          <w:marRight w:val="0"/>
          <w:marTop w:val="0"/>
          <w:marBottom w:val="0"/>
          <w:divBdr>
            <w:top w:val="none" w:sz="0" w:space="0" w:color="auto"/>
            <w:left w:val="none" w:sz="0" w:space="0" w:color="auto"/>
            <w:bottom w:val="none" w:sz="0" w:space="0" w:color="auto"/>
            <w:right w:val="none" w:sz="0" w:space="0" w:color="auto"/>
          </w:divBdr>
        </w:div>
        <w:div w:id="1390306899">
          <w:marLeft w:val="640"/>
          <w:marRight w:val="0"/>
          <w:marTop w:val="0"/>
          <w:marBottom w:val="0"/>
          <w:divBdr>
            <w:top w:val="none" w:sz="0" w:space="0" w:color="auto"/>
            <w:left w:val="none" w:sz="0" w:space="0" w:color="auto"/>
            <w:bottom w:val="none" w:sz="0" w:space="0" w:color="auto"/>
            <w:right w:val="none" w:sz="0" w:space="0" w:color="auto"/>
          </w:divBdr>
        </w:div>
        <w:div w:id="1032220398">
          <w:marLeft w:val="640"/>
          <w:marRight w:val="0"/>
          <w:marTop w:val="0"/>
          <w:marBottom w:val="0"/>
          <w:divBdr>
            <w:top w:val="none" w:sz="0" w:space="0" w:color="auto"/>
            <w:left w:val="none" w:sz="0" w:space="0" w:color="auto"/>
            <w:bottom w:val="none" w:sz="0" w:space="0" w:color="auto"/>
            <w:right w:val="none" w:sz="0" w:space="0" w:color="auto"/>
          </w:divBdr>
        </w:div>
        <w:div w:id="1285579232">
          <w:marLeft w:val="640"/>
          <w:marRight w:val="0"/>
          <w:marTop w:val="0"/>
          <w:marBottom w:val="0"/>
          <w:divBdr>
            <w:top w:val="none" w:sz="0" w:space="0" w:color="auto"/>
            <w:left w:val="none" w:sz="0" w:space="0" w:color="auto"/>
            <w:bottom w:val="none" w:sz="0" w:space="0" w:color="auto"/>
            <w:right w:val="none" w:sz="0" w:space="0" w:color="auto"/>
          </w:divBdr>
        </w:div>
        <w:div w:id="873616651">
          <w:marLeft w:val="640"/>
          <w:marRight w:val="0"/>
          <w:marTop w:val="0"/>
          <w:marBottom w:val="0"/>
          <w:divBdr>
            <w:top w:val="none" w:sz="0" w:space="0" w:color="auto"/>
            <w:left w:val="none" w:sz="0" w:space="0" w:color="auto"/>
            <w:bottom w:val="none" w:sz="0" w:space="0" w:color="auto"/>
            <w:right w:val="none" w:sz="0" w:space="0" w:color="auto"/>
          </w:divBdr>
        </w:div>
        <w:div w:id="1837108510">
          <w:marLeft w:val="640"/>
          <w:marRight w:val="0"/>
          <w:marTop w:val="0"/>
          <w:marBottom w:val="0"/>
          <w:divBdr>
            <w:top w:val="none" w:sz="0" w:space="0" w:color="auto"/>
            <w:left w:val="none" w:sz="0" w:space="0" w:color="auto"/>
            <w:bottom w:val="none" w:sz="0" w:space="0" w:color="auto"/>
            <w:right w:val="none" w:sz="0" w:space="0" w:color="auto"/>
          </w:divBdr>
        </w:div>
        <w:div w:id="266352307">
          <w:marLeft w:val="640"/>
          <w:marRight w:val="0"/>
          <w:marTop w:val="0"/>
          <w:marBottom w:val="0"/>
          <w:divBdr>
            <w:top w:val="none" w:sz="0" w:space="0" w:color="auto"/>
            <w:left w:val="none" w:sz="0" w:space="0" w:color="auto"/>
            <w:bottom w:val="none" w:sz="0" w:space="0" w:color="auto"/>
            <w:right w:val="none" w:sz="0" w:space="0" w:color="auto"/>
          </w:divBdr>
        </w:div>
        <w:div w:id="2014528105">
          <w:marLeft w:val="640"/>
          <w:marRight w:val="0"/>
          <w:marTop w:val="0"/>
          <w:marBottom w:val="0"/>
          <w:divBdr>
            <w:top w:val="none" w:sz="0" w:space="0" w:color="auto"/>
            <w:left w:val="none" w:sz="0" w:space="0" w:color="auto"/>
            <w:bottom w:val="none" w:sz="0" w:space="0" w:color="auto"/>
            <w:right w:val="none" w:sz="0" w:space="0" w:color="auto"/>
          </w:divBdr>
        </w:div>
      </w:divsChild>
    </w:div>
    <w:div w:id="1405638794">
      <w:bodyDiv w:val="1"/>
      <w:marLeft w:val="0"/>
      <w:marRight w:val="0"/>
      <w:marTop w:val="0"/>
      <w:marBottom w:val="0"/>
      <w:divBdr>
        <w:top w:val="none" w:sz="0" w:space="0" w:color="auto"/>
        <w:left w:val="none" w:sz="0" w:space="0" w:color="auto"/>
        <w:bottom w:val="none" w:sz="0" w:space="0" w:color="auto"/>
        <w:right w:val="none" w:sz="0" w:space="0" w:color="auto"/>
      </w:divBdr>
      <w:divsChild>
        <w:div w:id="1993094468">
          <w:marLeft w:val="640"/>
          <w:marRight w:val="0"/>
          <w:marTop w:val="0"/>
          <w:marBottom w:val="0"/>
          <w:divBdr>
            <w:top w:val="none" w:sz="0" w:space="0" w:color="auto"/>
            <w:left w:val="none" w:sz="0" w:space="0" w:color="auto"/>
            <w:bottom w:val="none" w:sz="0" w:space="0" w:color="auto"/>
            <w:right w:val="none" w:sz="0" w:space="0" w:color="auto"/>
          </w:divBdr>
        </w:div>
        <w:div w:id="1901138870">
          <w:marLeft w:val="640"/>
          <w:marRight w:val="0"/>
          <w:marTop w:val="0"/>
          <w:marBottom w:val="0"/>
          <w:divBdr>
            <w:top w:val="none" w:sz="0" w:space="0" w:color="auto"/>
            <w:left w:val="none" w:sz="0" w:space="0" w:color="auto"/>
            <w:bottom w:val="none" w:sz="0" w:space="0" w:color="auto"/>
            <w:right w:val="none" w:sz="0" w:space="0" w:color="auto"/>
          </w:divBdr>
        </w:div>
        <w:div w:id="794908544">
          <w:marLeft w:val="640"/>
          <w:marRight w:val="0"/>
          <w:marTop w:val="0"/>
          <w:marBottom w:val="0"/>
          <w:divBdr>
            <w:top w:val="none" w:sz="0" w:space="0" w:color="auto"/>
            <w:left w:val="none" w:sz="0" w:space="0" w:color="auto"/>
            <w:bottom w:val="none" w:sz="0" w:space="0" w:color="auto"/>
            <w:right w:val="none" w:sz="0" w:space="0" w:color="auto"/>
          </w:divBdr>
        </w:div>
        <w:div w:id="538788387">
          <w:marLeft w:val="640"/>
          <w:marRight w:val="0"/>
          <w:marTop w:val="0"/>
          <w:marBottom w:val="0"/>
          <w:divBdr>
            <w:top w:val="none" w:sz="0" w:space="0" w:color="auto"/>
            <w:left w:val="none" w:sz="0" w:space="0" w:color="auto"/>
            <w:bottom w:val="none" w:sz="0" w:space="0" w:color="auto"/>
            <w:right w:val="none" w:sz="0" w:space="0" w:color="auto"/>
          </w:divBdr>
        </w:div>
        <w:div w:id="1453480282">
          <w:marLeft w:val="640"/>
          <w:marRight w:val="0"/>
          <w:marTop w:val="0"/>
          <w:marBottom w:val="0"/>
          <w:divBdr>
            <w:top w:val="none" w:sz="0" w:space="0" w:color="auto"/>
            <w:left w:val="none" w:sz="0" w:space="0" w:color="auto"/>
            <w:bottom w:val="none" w:sz="0" w:space="0" w:color="auto"/>
            <w:right w:val="none" w:sz="0" w:space="0" w:color="auto"/>
          </w:divBdr>
        </w:div>
        <w:div w:id="1029523620">
          <w:marLeft w:val="640"/>
          <w:marRight w:val="0"/>
          <w:marTop w:val="0"/>
          <w:marBottom w:val="0"/>
          <w:divBdr>
            <w:top w:val="none" w:sz="0" w:space="0" w:color="auto"/>
            <w:left w:val="none" w:sz="0" w:space="0" w:color="auto"/>
            <w:bottom w:val="none" w:sz="0" w:space="0" w:color="auto"/>
            <w:right w:val="none" w:sz="0" w:space="0" w:color="auto"/>
          </w:divBdr>
        </w:div>
        <w:div w:id="723066977">
          <w:marLeft w:val="640"/>
          <w:marRight w:val="0"/>
          <w:marTop w:val="0"/>
          <w:marBottom w:val="0"/>
          <w:divBdr>
            <w:top w:val="none" w:sz="0" w:space="0" w:color="auto"/>
            <w:left w:val="none" w:sz="0" w:space="0" w:color="auto"/>
            <w:bottom w:val="none" w:sz="0" w:space="0" w:color="auto"/>
            <w:right w:val="none" w:sz="0" w:space="0" w:color="auto"/>
          </w:divBdr>
        </w:div>
        <w:div w:id="1273780169">
          <w:marLeft w:val="640"/>
          <w:marRight w:val="0"/>
          <w:marTop w:val="0"/>
          <w:marBottom w:val="0"/>
          <w:divBdr>
            <w:top w:val="none" w:sz="0" w:space="0" w:color="auto"/>
            <w:left w:val="none" w:sz="0" w:space="0" w:color="auto"/>
            <w:bottom w:val="none" w:sz="0" w:space="0" w:color="auto"/>
            <w:right w:val="none" w:sz="0" w:space="0" w:color="auto"/>
          </w:divBdr>
        </w:div>
        <w:div w:id="1045135243">
          <w:marLeft w:val="640"/>
          <w:marRight w:val="0"/>
          <w:marTop w:val="0"/>
          <w:marBottom w:val="0"/>
          <w:divBdr>
            <w:top w:val="none" w:sz="0" w:space="0" w:color="auto"/>
            <w:left w:val="none" w:sz="0" w:space="0" w:color="auto"/>
            <w:bottom w:val="none" w:sz="0" w:space="0" w:color="auto"/>
            <w:right w:val="none" w:sz="0" w:space="0" w:color="auto"/>
          </w:divBdr>
        </w:div>
        <w:div w:id="361052376">
          <w:marLeft w:val="640"/>
          <w:marRight w:val="0"/>
          <w:marTop w:val="0"/>
          <w:marBottom w:val="0"/>
          <w:divBdr>
            <w:top w:val="none" w:sz="0" w:space="0" w:color="auto"/>
            <w:left w:val="none" w:sz="0" w:space="0" w:color="auto"/>
            <w:bottom w:val="none" w:sz="0" w:space="0" w:color="auto"/>
            <w:right w:val="none" w:sz="0" w:space="0" w:color="auto"/>
          </w:divBdr>
        </w:div>
        <w:div w:id="37822179">
          <w:marLeft w:val="640"/>
          <w:marRight w:val="0"/>
          <w:marTop w:val="0"/>
          <w:marBottom w:val="0"/>
          <w:divBdr>
            <w:top w:val="none" w:sz="0" w:space="0" w:color="auto"/>
            <w:left w:val="none" w:sz="0" w:space="0" w:color="auto"/>
            <w:bottom w:val="none" w:sz="0" w:space="0" w:color="auto"/>
            <w:right w:val="none" w:sz="0" w:space="0" w:color="auto"/>
          </w:divBdr>
        </w:div>
        <w:div w:id="757210868">
          <w:marLeft w:val="640"/>
          <w:marRight w:val="0"/>
          <w:marTop w:val="0"/>
          <w:marBottom w:val="0"/>
          <w:divBdr>
            <w:top w:val="none" w:sz="0" w:space="0" w:color="auto"/>
            <w:left w:val="none" w:sz="0" w:space="0" w:color="auto"/>
            <w:bottom w:val="none" w:sz="0" w:space="0" w:color="auto"/>
            <w:right w:val="none" w:sz="0" w:space="0" w:color="auto"/>
          </w:divBdr>
        </w:div>
        <w:div w:id="774911509">
          <w:marLeft w:val="640"/>
          <w:marRight w:val="0"/>
          <w:marTop w:val="0"/>
          <w:marBottom w:val="0"/>
          <w:divBdr>
            <w:top w:val="none" w:sz="0" w:space="0" w:color="auto"/>
            <w:left w:val="none" w:sz="0" w:space="0" w:color="auto"/>
            <w:bottom w:val="none" w:sz="0" w:space="0" w:color="auto"/>
            <w:right w:val="none" w:sz="0" w:space="0" w:color="auto"/>
          </w:divBdr>
        </w:div>
        <w:div w:id="2080441789">
          <w:marLeft w:val="640"/>
          <w:marRight w:val="0"/>
          <w:marTop w:val="0"/>
          <w:marBottom w:val="0"/>
          <w:divBdr>
            <w:top w:val="none" w:sz="0" w:space="0" w:color="auto"/>
            <w:left w:val="none" w:sz="0" w:space="0" w:color="auto"/>
            <w:bottom w:val="none" w:sz="0" w:space="0" w:color="auto"/>
            <w:right w:val="none" w:sz="0" w:space="0" w:color="auto"/>
          </w:divBdr>
        </w:div>
        <w:div w:id="906919090">
          <w:marLeft w:val="640"/>
          <w:marRight w:val="0"/>
          <w:marTop w:val="0"/>
          <w:marBottom w:val="0"/>
          <w:divBdr>
            <w:top w:val="none" w:sz="0" w:space="0" w:color="auto"/>
            <w:left w:val="none" w:sz="0" w:space="0" w:color="auto"/>
            <w:bottom w:val="none" w:sz="0" w:space="0" w:color="auto"/>
            <w:right w:val="none" w:sz="0" w:space="0" w:color="auto"/>
          </w:divBdr>
        </w:div>
        <w:div w:id="848645437">
          <w:marLeft w:val="640"/>
          <w:marRight w:val="0"/>
          <w:marTop w:val="0"/>
          <w:marBottom w:val="0"/>
          <w:divBdr>
            <w:top w:val="none" w:sz="0" w:space="0" w:color="auto"/>
            <w:left w:val="none" w:sz="0" w:space="0" w:color="auto"/>
            <w:bottom w:val="none" w:sz="0" w:space="0" w:color="auto"/>
            <w:right w:val="none" w:sz="0" w:space="0" w:color="auto"/>
          </w:divBdr>
        </w:div>
        <w:div w:id="1749383043">
          <w:marLeft w:val="640"/>
          <w:marRight w:val="0"/>
          <w:marTop w:val="0"/>
          <w:marBottom w:val="0"/>
          <w:divBdr>
            <w:top w:val="none" w:sz="0" w:space="0" w:color="auto"/>
            <w:left w:val="none" w:sz="0" w:space="0" w:color="auto"/>
            <w:bottom w:val="none" w:sz="0" w:space="0" w:color="auto"/>
            <w:right w:val="none" w:sz="0" w:space="0" w:color="auto"/>
          </w:divBdr>
        </w:div>
        <w:div w:id="263346537">
          <w:marLeft w:val="640"/>
          <w:marRight w:val="0"/>
          <w:marTop w:val="0"/>
          <w:marBottom w:val="0"/>
          <w:divBdr>
            <w:top w:val="none" w:sz="0" w:space="0" w:color="auto"/>
            <w:left w:val="none" w:sz="0" w:space="0" w:color="auto"/>
            <w:bottom w:val="none" w:sz="0" w:space="0" w:color="auto"/>
            <w:right w:val="none" w:sz="0" w:space="0" w:color="auto"/>
          </w:divBdr>
        </w:div>
        <w:div w:id="119030213">
          <w:marLeft w:val="640"/>
          <w:marRight w:val="0"/>
          <w:marTop w:val="0"/>
          <w:marBottom w:val="0"/>
          <w:divBdr>
            <w:top w:val="none" w:sz="0" w:space="0" w:color="auto"/>
            <w:left w:val="none" w:sz="0" w:space="0" w:color="auto"/>
            <w:bottom w:val="none" w:sz="0" w:space="0" w:color="auto"/>
            <w:right w:val="none" w:sz="0" w:space="0" w:color="auto"/>
          </w:divBdr>
        </w:div>
        <w:div w:id="58090433">
          <w:marLeft w:val="640"/>
          <w:marRight w:val="0"/>
          <w:marTop w:val="0"/>
          <w:marBottom w:val="0"/>
          <w:divBdr>
            <w:top w:val="none" w:sz="0" w:space="0" w:color="auto"/>
            <w:left w:val="none" w:sz="0" w:space="0" w:color="auto"/>
            <w:bottom w:val="none" w:sz="0" w:space="0" w:color="auto"/>
            <w:right w:val="none" w:sz="0" w:space="0" w:color="auto"/>
          </w:divBdr>
        </w:div>
        <w:div w:id="807940629">
          <w:marLeft w:val="640"/>
          <w:marRight w:val="0"/>
          <w:marTop w:val="0"/>
          <w:marBottom w:val="0"/>
          <w:divBdr>
            <w:top w:val="none" w:sz="0" w:space="0" w:color="auto"/>
            <w:left w:val="none" w:sz="0" w:space="0" w:color="auto"/>
            <w:bottom w:val="none" w:sz="0" w:space="0" w:color="auto"/>
            <w:right w:val="none" w:sz="0" w:space="0" w:color="auto"/>
          </w:divBdr>
        </w:div>
        <w:div w:id="295645113">
          <w:marLeft w:val="640"/>
          <w:marRight w:val="0"/>
          <w:marTop w:val="0"/>
          <w:marBottom w:val="0"/>
          <w:divBdr>
            <w:top w:val="none" w:sz="0" w:space="0" w:color="auto"/>
            <w:left w:val="none" w:sz="0" w:space="0" w:color="auto"/>
            <w:bottom w:val="none" w:sz="0" w:space="0" w:color="auto"/>
            <w:right w:val="none" w:sz="0" w:space="0" w:color="auto"/>
          </w:divBdr>
        </w:div>
        <w:div w:id="649210813">
          <w:marLeft w:val="640"/>
          <w:marRight w:val="0"/>
          <w:marTop w:val="0"/>
          <w:marBottom w:val="0"/>
          <w:divBdr>
            <w:top w:val="none" w:sz="0" w:space="0" w:color="auto"/>
            <w:left w:val="none" w:sz="0" w:space="0" w:color="auto"/>
            <w:bottom w:val="none" w:sz="0" w:space="0" w:color="auto"/>
            <w:right w:val="none" w:sz="0" w:space="0" w:color="auto"/>
          </w:divBdr>
        </w:div>
        <w:div w:id="209222494">
          <w:marLeft w:val="640"/>
          <w:marRight w:val="0"/>
          <w:marTop w:val="0"/>
          <w:marBottom w:val="0"/>
          <w:divBdr>
            <w:top w:val="none" w:sz="0" w:space="0" w:color="auto"/>
            <w:left w:val="none" w:sz="0" w:space="0" w:color="auto"/>
            <w:bottom w:val="none" w:sz="0" w:space="0" w:color="auto"/>
            <w:right w:val="none" w:sz="0" w:space="0" w:color="auto"/>
          </w:divBdr>
        </w:div>
        <w:div w:id="1149327900">
          <w:marLeft w:val="640"/>
          <w:marRight w:val="0"/>
          <w:marTop w:val="0"/>
          <w:marBottom w:val="0"/>
          <w:divBdr>
            <w:top w:val="none" w:sz="0" w:space="0" w:color="auto"/>
            <w:left w:val="none" w:sz="0" w:space="0" w:color="auto"/>
            <w:bottom w:val="none" w:sz="0" w:space="0" w:color="auto"/>
            <w:right w:val="none" w:sz="0" w:space="0" w:color="auto"/>
          </w:divBdr>
        </w:div>
        <w:div w:id="1119760329">
          <w:marLeft w:val="640"/>
          <w:marRight w:val="0"/>
          <w:marTop w:val="0"/>
          <w:marBottom w:val="0"/>
          <w:divBdr>
            <w:top w:val="none" w:sz="0" w:space="0" w:color="auto"/>
            <w:left w:val="none" w:sz="0" w:space="0" w:color="auto"/>
            <w:bottom w:val="none" w:sz="0" w:space="0" w:color="auto"/>
            <w:right w:val="none" w:sz="0" w:space="0" w:color="auto"/>
          </w:divBdr>
        </w:div>
        <w:div w:id="1711492784">
          <w:marLeft w:val="640"/>
          <w:marRight w:val="0"/>
          <w:marTop w:val="0"/>
          <w:marBottom w:val="0"/>
          <w:divBdr>
            <w:top w:val="none" w:sz="0" w:space="0" w:color="auto"/>
            <w:left w:val="none" w:sz="0" w:space="0" w:color="auto"/>
            <w:bottom w:val="none" w:sz="0" w:space="0" w:color="auto"/>
            <w:right w:val="none" w:sz="0" w:space="0" w:color="auto"/>
          </w:divBdr>
        </w:div>
        <w:div w:id="1474789355">
          <w:marLeft w:val="640"/>
          <w:marRight w:val="0"/>
          <w:marTop w:val="0"/>
          <w:marBottom w:val="0"/>
          <w:divBdr>
            <w:top w:val="none" w:sz="0" w:space="0" w:color="auto"/>
            <w:left w:val="none" w:sz="0" w:space="0" w:color="auto"/>
            <w:bottom w:val="none" w:sz="0" w:space="0" w:color="auto"/>
            <w:right w:val="none" w:sz="0" w:space="0" w:color="auto"/>
          </w:divBdr>
        </w:div>
        <w:div w:id="693386620">
          <w:marLeft w:val="640"/>
          <w:marRight w:val="0"/>
          <w:marTop w:val="0"/>
          <w:marBottom w:val="0"/>
          <w:divBdr>
            <w:top w:val="none" w:sz="0" w:space="0" w:color="auto"/>
            <w:left w:val="none" w:sz="0" w:space="0" w:color="auto"/>
            <w:bottom w:val="none" w:sz="0" w:space="0" w:color="auto"/>
            <w:right w:val="none" w:sz="0" w:space="0" w:color="auto"/>
          </w:divBdr>
        </w:div>
        <w:div w:id="1693337009">
          <w:marLeft w:val="640"/>
          <w:marRight w:val="0"/>
          <w:marTop w:val="0"/>
          <w:marBottom w:val="0"/>
          <w:divBdr>
            <w:top w:val="none" w:sz="0" w:space="0" w:color="auto"/>
            <w:left w:val="none" w:sz="0" w:space="0" w:color="auto"/>
            <w:bottom w:val="none" w:sz="0" w:space="0" w:color="auto"/>
            <w:right w:val="none" w:sz="0" w:space="0" w:color="auto"/>
          </w:divBdr>
        </w:div>
        <w:div w:id="1721053011">
          <w:marLeft w:val="640"/>
          <w:marRight w:val="0"/>
          <w:marTop w:val="0"/>
          <w:marBottom w:val="0"/>
          <w:divBdr>
            <w:top w:val="none" w:sz="0" w:space="0" w:color="auto"/>
            <w:left w:val="none" w:sz="0" w:space="0" w:color="auto"/>
            <w:bottom w:val="none" w:sz="0" w:space="0" w:color="auto"/>
            <w:right w:val="none" w:sz="0" w:space="0" w:color="auto"/>
          </w:divBdr>
        </w:div>
        <w:div w:id="643585355">
          <w:marLeft w:val="640"/>
          <w:marRight w:val="0"/>
          <w:marTop w:val="0"/>
          <w:marBottom w:val="0"/>
          <w:divBdr>
            <w:top w:val="none" w:sz="0" w:space="0" w:color="auto"/>
            <w:left w:val="none" w:sz="0" w:space="0" w:color="auto"/>
            <w:bottom w:val="none" w:sz="0" w:space="0" w:color="auto"/>
            <w:right w:val="none" w:sz="0" w:space="0" w:color="auto"/>
          </w:divBdr>
        </w:div>
        <w:div w:id="1012340694">
          <w:marLeft w:val="640"/>
          <w:marRight w:val="0"/>
          <w:marTop w:val="0"/>
          <w:marBottom w:val="0"/>
          <w:divBdr>
            <w:top w:val="none" w:sz="0" w:space="0" w:color="auto"/>
            <w:left w:val="none" w:sz="0" w:space="0" w:color="auto"/>
            <w:bottom w:val="none" w:sz="0" w:space="0" w:color="auto"/>
            <w:right w:val="none" w:sz="0" w:space="0" w:color="auto"/>
          </w:divBdr>
        </w:div>
        <w:div w:id="352148382">
          <w:marLeft w:val="640"/>
          <w:marRight w:val="0"/>
          <w:marTop w:val="0"/>
          <w:marBottom w:val="0"/>
          <w:divBdr>
            <w:top w:val="none" w:sz="0" w:space="0" w:color="auto"/>
            <w:left w:val="none" w:sz="0" w:space="0" w:color="auto"/>
            <w:bottom w:val="none" w:sz="0" w:space="0" w:color="auto"/>
            <w:right w:val="none" w:sz="0" w:space="0" w:color="auto"/>
          </w:divBdr>
        </w:div>
        <w:div w:id="174155528">
          <w:marLeft w:val="640"/>
          <w:marRight w:val="0"/>
          <w:marTop w:val="0"/>
          <w:marBottom w:val="0"/>
          <w:divBdr>
            <w:top w:val="none" w:sz="0" w:space="0" w:color="auto"/>
            <w:left w:val="none" w:sz="0" w:space="0" w:color="auto"/>
            <w:bottom w:val="none" w:sz="0" w:space="0" w:color="auto"/>
            <w:right w:val="none" w:sz="0" w:space="0" w:color="auto"/>
          </w:divBdr>
        </w:div>
        <w:div w:id="1099563789">
          <w:marLeft w:val="640"/>
          <w:marRight w:val="0"/>
          <w:marTop w:val="0"/>
          <w:marBottom w:val="0"/>
          <w:divBdr>
            <w:top w:val="none" w:sz="0" w:space="0" w:color="auto"/>
            <w:left w:val="none" w:sz="0" w:space="0" w:color="auto"/>
            <w:bottom w:val="none" w:sz="0" w:space="0" w:color="auto"/>
            <w:right w:val="none" w:sz="0" w:space="0" w:color="auto"/>
          </w:divBdr>
        </w:div>
        <w:div w:id="859514911">
          <w:marLeft w:val="640"/>
          <w:marRight w:val="0"/>
          <w:marTop w:val="0"/>
          <w:marBottom w:val="0"/>
          <w:divBdr>
            <w:top w:val="none" w:sz="0" w:space="0" w:color="auto"/>
            <w:left w:val="none" w:sz="0" w:space="0" w:color="auto"/>
            <w:bottom w:val="none" w:sz="0" w:space="0" w:color="auto"/>
            <w:right w:val="none" w:sz="0" w:space="0" w:color="auto"/>
          </w:divBdr>
        </w:div>
        <w:div w:id="235021233">
          <w:marLeft w:val="640"/>
          <w:marRight w:val="0"/>
          <w:marTop w:val="0"/>
          <w:marBottom w:val="0"/>
          <w:divBdr>
            <w:top w:val="none" w:sz="0" w:space="0" w:color="auto"/>
            <w:left w:val="none" w:sz="0" w:space="0" w:color="auto"/>
            <w:bottom w:val="none" w:sz="0" w:space="0" w:color="auto"/>
            <w:right w:val="none" w:sz="0" w:space="0" w:color="auto"/>
          </w:divBdr>
        </w:div>
        <w:div w:id="967902368">
          <w:marLeft w:val="640"/>
          <w:marRight w:val="0"/>
          <w:marTop w:val="0"/>
          <w:marBottom w:val="0"/>
          <w:divBdr>
            <w:top w:val="none" w:sz="0" w:space="0" w:color="auto"/>
            <w:left w:val="none" w:sz="0" w:space="0" w:color="auto"/>
            <w:bottom w:val="none" w:sz="0" w:space="0" w:color="auto"/>
            <w:right w:val="none" w:sz="0" w:space="0" w:color="auto"/>
          </w:divBdr>
        </w:div>
        <w:div w:id="1470169328">
          <w:marLeft w:val="640"/>
          <w:marRight w:val="0"/>
          <w:marTop w:val="0"/>
          <w:marBottom w:val="0"/>
          <w:divBdr>
            <w:top w:val="none" w:sz="0" w:space="0" w:color="auto"/>
            <w:left w:val="none" w:sz="0" w:space="0" w:color="auto"/>
            <w:bottom w:val="none" w:sz="0" w:space="0" w:color="auto"/>
            <w:right w:val="none" w:sz="0" w:space="0" w:color="auto"/>
          </w:divBdr>
        </w:div>
        <w:div w:id="1105928113">
          <w:marLeft w:val="640"/>
          <w:marRight w:val="0"/>
          <w:marTop w:val="0"/>
          <w:marBottom w:val="0"/>
          <w:divBdr>
            <w:top w:val="none" w:sz="0" w:space="0" w:color="auto"/>
            <w:left w:val="none" w:sz="0" w:space="0" w:color="auto"/>
            <w:bottom w:val="none" w:sz="0" w:space="0" w:color="auto"/>
            <w:right w:val="none" w:sz="0" w:space="0" w:color="auto"/>
          </w:divBdr>
        </w:div>
        <w:div w:id="722173915">
          <w:marLeft w:val="640"/>
          <w:marRight w:val="0"/>
          <w:marTop w:val="0"/>
          <w:marBottom w:val="0"/>
          <w:divBdr>
            <w:top w:val="none" w:sz="0" w:space="0" w:color="auto"/>
            <w:left w:val="none" w:sz="0" w:space="0" w:color="auto"/>
            <w:bottom w:val="none" w:sz="0" w:space="0" w:color="auto"/>
            <w:right w:val="none" w:sz="0" w:space="0" w:color="auto"/>
          </w:divBdr>
        </w:div>
        <w:div w:id="787505588">
          <w:marLeft w:val="640"/>
          <w:marRight w:val="0"/>
          <w:marTop w:val="0"/>
          <w:marBottom w:val="0"/>
          <w:divBdr>
            <w:top w:val="none" w:sz="0" w:space="0" w:color="auto"/>
            <w:left w:val="none" w:sz="0" w:space="0" w:color="auto"/>
            <w:bottom w:val="none" w:sz="0" w:space="0" w:color="auto"/>
            <w:right w:val="none" w:sz="0" w:space="0" w:color="auto"/>
          </w:divBdr>
        </w:div>
        <w:div w:id="1113596002">
          <w:marLeft w:val="640"/>
          <w:marRight w:val="0"/>
          <w:marTop w:val="0"/>
          <w:marBottom w:val="0"/>
          <w:divBdr>
            <w:top w:val="none" w:sz="0" w:space="0" w:color="auto"/>
            <w:left w:val="none" w:sz="0" w:space="0" w:color="auto"/>
            <w:bottom w:val="none" w:sz="0" w:space="0" w:color="auto"/>
            <w:right w:val="none" w:sz="0" w:space="0" w:color="auto"/>
          </w:divBdr>
        </w:div>
        <w:div w:id="1804810019">
          <w:marLeft w:val="640"/>
          <w:marRight w:val="0"/>
          <w:marTop w:val="0"/>
          <w:marBottom w:val="0"/>
          <w:divBdr>
            <w:top w:val="none" w:sz="0" w:space="0" w:color="auto"/>
            <w:left w:val="none" w:sz="0" w:space="0" w:color="auto"/>
            <w:bottom w:val="none" w:sz="0" w:space="0" w:color="auto"/>
            <w:right w:val="none" w:sz="0" w:space="0" w:color="auto"/>
          </w:divBdr>
        </w:div>
        <w:div w:id="699280986">
          <w:marLeft w:val="640"/>
          <w:marRight w:val="0"/>
          <w:marTop w:val="0"/>
          <w:marBottom w:val="0"/>
          <w:divBdr>
            <w:top w:val="none" w:sz="0" w:space="0" w:color="auto"/>
            <w:left w:val="none" w:sz="0" w:space="0" w:color="auto"/>
            <w:bottom w:val="none" w:sz="0" w:space="0" w:color="auto"/>
            <w:right w:val="none" w:sz="0" w:space="0" w:color="auto"/>
          </w:divBdr>
        </w:div>
        <w:div w:id="1045367802">
          <w:marLeft w:val="640"/>
          <w:marRight w:val="0"/>
          <w:marTop w:val="0"/>
          <w:marBottom w:val="0"/>
          <w:divBdr>
            <w:top w:val="none" w:sz="0" w:space="0" w:color="auto"/>
            <w:left w:val="none" w:sz="0" w:space="0" w:color="auto"/>
            <w:bottom w:val="none" w:sz="0" w:space="0" w:color="auto"/>
            <w:right w:val="none" w:sz="0" w:space="0" w:color="auto"/>
          </w:divBdr>
        </w:div>
        <w:div w:id="1140271747">
          <w:marLeft w:val="640"/>
          <w:marRight w:val="0"/>
          <w:marTop w:val="0"/>
          <w:marBottom w:val="0"/>
          <w:divBdr>
            <w:top w:val="none" w:sz="0" w:space="0" w:color="auto"/>
            <w:left w:val="none" w:sz="0" w:space="0" w:color="auto"/>
            <w:bottom w:val="none" w:sz="0" w:space="0" w:color="auto"/>
            <w:right w:val="none" w:sz="0" w:space="0" w:color="auto"/>
          </w:divBdr>
        </w:div>
        <w:div w:id="1429078886">
          <w:marLeft w:val="640"/>
          <w:marRight w:val="0"/>
          <w:marTop w:val="0"/>
          <w:marBottom w:val="0"/>
          <w:divBdr>
            <w:top w:val="none" w:sz="0" w:space="0" w:color="auto"/>
            <w:left w:val="none" w:sz="0" w:space="0" w:color="auto"/>
            <w:bottom w:val="none" w:sz="0" w:space="0" w:color="auto"/>
            <w:right w:val="none" w:sz="0" w:space="0" w:color="auto"/>
          </w:divBdr>
        </w:div>
        <w:div w:id="52430529">
          <w:marLeft w:val="640"/>
          <w:marRight w:val="0"/>
          <w:marTop w:val="0"/>
          <w:marBottom w:val="0"/>
          <w:divBdr>
            <w:top w:val="none" w:sz="0" w:space="0" w:color="auto"/>
            <w:left w:val="none" w:sz="0" w:space="0" w:color="auto"/>
            <w:bottom w:val="none" w:sz="0" w:space="0" w:color="auto"/>
            <w:right w:val="none" w:sz="0" w:space="0" w:color="auto"/>
          </w:divBdr>
        </w:div>
        <w:div w:id="913776376">
          <w:marLeft w:val="640"/>
          <w:marRight w:val="0"/>
          <w:marTop w:val="0"/>
          <w:marBottom w:val="0"/>
          <w:divBdr>
            <w:top w:val="none" w:sz="0" w:space="0" w:color="auto"/>
            <w:left w:val="none" w:sz="0" w:space="0" w:color="auto"/>
            <w:bottom w:val="none" w:sz="0" w:space="0" w:color="auto"/>
            <w:right w:val="none" w:sz="0" w:space="0" w:color="auto"/>
          </w:divBdr>
        </w:div>
        <w:div w:id="683820007">
          <w:marLeft w:val="640"/>
          <w:marRight w:val="0"/>
          <w:marTop w:val="0"/>
          <w:marBottom w:val="0"/>
          <w:divBdr>
            <w:top w:val="none" w:sz="0" w:space="0" w:color="auto"/>
            <w:left w:val="none" w:sz="0" w:space="0" w:color="auto"/>
            <w:bottom w:val="none" w:sz="0" w:space="0" w:color="auto"/>
            <w:right w:val="none" w:sz="0" w:space="0" w:color="auto"/>
          </w:divBdr>
        </w:div>
        <w:div w:id="1243833529">
          <w:marLeft w:val="640"/>
          <w:marRight w:val="0"/>
          <w:marTop w:val="0"/>
          <w:marBottom w:val="0"/>
          <w:divBdr>
            <w:top w:val="none" w:sz="0" w:space="0" w:color="auto"/>
            <w:left w:val="none" w:sz="0" w:space="0" w:color="auto"/>
            <w:bottom w:val="none" w:sz="0" w:space="0" w:color="auto"/>
            <w:right w:val="none" w:sz="0" w:space="0" w:color="auto"/>
          </w:divBdr>
        </w:div>
        <w:div w:id="1898275773">
          <w:marLeft w:val="640"/>
          <w:marRight w:val="0"/>
          <w:marTop w:val="0"/>
          <w:marBottom w:val="0"/>
          <w:divBdr>
            <w:top w:val="none" w:sz="0" w:space="0" w:color="auto"/>
            <w:left w:val="none" w:sz="0" w:space="0" w:color="auto"/>
            <w:bottom w:val="none" w:sz="0" w:space="0" w:color="auto"/>
            <w:right w:val="none" w:sz="0" w:space="0" w:color="auto"/>
          </w:divBdr>
        </w:div>
        <w:div w:id="346716590">
          <w:marLeft w:val="640"/>
          <w:marRight w:val="0"/>
          <w:marTop w:val="0"/>
          <w:marBottom w:val="0"/>
          <w:divBdr>
            <w:top w:val="none" w:sz="0" w:space="0" w:color="auto"/>
            <w:left w:val="none" w:sz="0" w:space="0" w:color="auto"/>
            <w:bottom w:val="none" w:sz="0" w:space="0" w:color="auto"/>
            <w:right w:val="none" w:sz="0" w:space="0" w:color="auto"/>
          </w:divBdr>
        </w:div>
        <w:div w:id="1786776736">
          <w:marLeft w:val="640"/>
          <w:marRight w:val="0"/>
          <w:marTop w:val="0"/>
          <w:marBottom w:val="0"/>
          <w:divBdr>
            <w:top w:val="none" w:sz="0" w:space="0" w:color="auto"/>
            <w:left w:val="none" w:sz="0" w:space="0" w:color="auto"/>
            <w:bottom w:val="none" w:sz="0" w:space="0" w:color="auto"/>
            <w:right w:val="none" w:sz="0" w:space="0" w:color="auto"/>
          </w:divBdr>
        </w:div>
        <w:div w:id="675503656">
          <w:marLeft w:val="640"/>
          <w:marRight w:val="0"/>
          <w:marTop w:val="0"/>
          <w:marBottom w:val="0"/>
          <w:divBdr>
            <w:top w:val="none" w:sz="0" w:space="0" w:color="auto"/>
            <w:left w:val="none" w:sz="0" w:space="0" w:color="auto"/>
            <w:bottom w:val="none" w:sz="0" w:space="0" w:color="auto"/>
            <w:right w:val="none" w:sz="0" w:space="0" w:color="auto"/>
          </w:divBdr>
        </w:div>
        <w:div w:id="1472167746">
          <w:marLeft w:val="640"/>
          <w:marRight w:val="0"/>
          <w:marTop w:val="0"/>
          <w:marBottom w:val="0"/>
          <w:divBdr>
            <w:top w:val="none" w:sz="0" w:space="0" w:color="auto"/>
            <w:left w:val="none" w:sz="0" w:space="0" w:color="auto"/>
            <w:bottom w:val="none" w:sz="0" w:space="0" w:color="auto"/>
            <w:right w:val="none" w:sz="0" w:space="0" w:color="auto"/>
          </w:divBdr>
        </w:div>
        <w:div w:id="1672559501">
          <w:marLeft w:val="640"/>
          <w:marRight w:val="0"/>
          <w:marTop w:val="0"/>
          <w:marBottom w:val="0"/>
          <w:divBdr>
            <w:top w:val="none" w:sz="0" w:space="0" w:color="auto"/>
            <w:left w:val="none" w:sz="0" w:space="0" w:color="auto"/>
            <w:bottom w:val="none" w:sz="0" w:space="0" w:color="auto"/>
            <w:right w:val="none" w:sz="0" w:space="0" w:color="auto"/>
          </w:divBdr>
        </w:div>
        <w:div w:id="751970712">
          <w:marLeft w:val="640"/>
          <w:marRight w:val="0"/>
          <w:marTop w:val="0"/>
          <w:marBottom w:val="0"/>
          <w:divBdr>
            <w:top w:val="none" w:sz="0" w:space="0" w:color="auto"/>
            <w:left w:val="none" w:sz="0" w:space="0" w:color="auto"/>
            <w:bottom w:val="none" w:sz="0" w:space="0" w:color="auto"/>
            <w:right w:val="none" w:sz="0" w:space="0" w:color="auto"/>
          </w:divBdr>
        </w:div>
        <w:div w:id="697775054">
          <w:marLeft w:val="640"/>
          <w:marRight w:val="0"/>
          <w:marTop w:val="0"/>
          <w:marBottom w:val="0"/>
          <w:divBdr>
            <w:top w:val="none" w:sz="0" w:space="0" w:color="auto"/>
            <w:left w:val="none" w:sz="0" w:space="0" w:color="auto"/>
            <w:bottom w:val="none" w:sz="0" w:space="0" w:color="auto"/>
            <w:right w:val="none" w:sz="0" w:space="0" w:color="auto"/>
          </w:divBdr>
        </w:div>
        <w:div w:id="1656373269">
          <w:marLeft w:val="640"/>
          <w:marRight w:val="0"/>
          <w:marTop w:val="0"/>
          <w:marBottom w:val="0"/>
          <w:divBdr>
            <w:top w:val="none" w:sz="0" w:space="0" w:color="auto"/>
            <w:left w:val="none" w:sz="0" w:space="0" w:color="auto"/>
            <w:bottom w:val="none" w:sz="0" w:space="0" w:color="auto"/>
            <w:right w:val="none" w:sz="0" w:space="0" w:color="auto"/>
          </w:divBdr>
        </w:div>
        <w:div w:id="931157514">
          <w:marLeft w:val="640"/>
          <w:marRight w:val="0"/>
          <w:marTop w:val="0"/>
          <w:marBottom w:val="0"/>
          <w:divBdr>
            <w:top w:val="none" w:sz="0" w:space="0" w:color="auto"/>
            <w:left w:val="none" w:sz="0" w:space="0" w:color="auto"/>
            <w:bottom w:val="none" w:sz="0" w:space="0" w:color="auto"/>
            <w:right w:val="none" w:sz="0" w:space="0" w:color="auto"/>
          </w:divBdr>
        </w:div>
        <w:div w:id="1854345103">
          <w:marLeft w:val="640"/>
          <w:marRight w:val="0"/>
          <w:marTop w:val="0"/>
          <w:marBottom w:val="0"/>
          <w:divBdr>
            <w:top w:val="none" w:sz="0" w:space="0" w:color="auto"/>
            <w:left w:val="none" w:sz="0" w:space="0" w:color="auto"/>
            <w:bottom w:val="none" w:sz="0" w:space="0" w:color="auto"/>
            <w:right w:val="none" w:sz="0" w:space="0" w:color="auto"/>
          </w:divBdr>
        </w:div>
        <w:div w:id="1187524929">
          <w:marLeft w:val="640"/>
          <w:marRight w:val="0"/>
          <w:marTop w:val="0"/>
          <w:marBottom w:val="0"/>
          <w:divBdr>
            <w:top w:val="none" w:sz="0" w:space="0" w:color="auto"/>
            <w:left w:val="none" w:sz="0" w:space="0" w:color="auto"/>
            <w:bottom w:val="none" w:sz="0" w:space="0" w:color="auto"/>
            <w:right w:val="none" w:sz="0" w:space="0" w:color="auto"/>
          </w:divBdr>
        </w:div>
        <w:div w:id="836306715">
          <w:marLeft w:val="640"/>
          <w:marRight w:val="0"/>
          <w:marTop w:val="0"/>
          <w:marBottom w:val="0"/>
          <w:divBdr>
            <w:top w:val="none" w:sz="0" w:space="0" w:color="auto"/>
            <w:left w:val="none" w:sz="0" w:space="0" w:color="auto"/>
            <w:bottom w:val="none" w:sz="0" w:space="0" w:color="auto"/>
            <w:right w:val="none" w:sz="0" w:space="0" w:color="auto"/>
          </w:divBdr>
        </w:div>
        <w:div w:id="2126078487">
          <w:marLeft w:val="640"/>
          <w:marRight w:val="0"/>
          <w:marTop w:val="0"/>
          <w:marBottom w:val="0"/>
          <w:divBdr>
            <w:top w:val="none" w:sz="0" w:space="0" w:color="auto"/>
            <w:left w:val="none" w:sz="0" w:space="0" w:color="auto"/>
            <w:bottom w:val="none" w:sz="0" w:space="0" w:color="auto"/>
            <w:right w:val="none" w:sz="0" w:space="0" w:color="auto"/>
          </w:divBdr>
        </w:div>
        <w:div w:id="227689856">
          <w:marLeft w:val="640"/>
          <w:marRight w:val="0"/>
          <w:marTop w:val="0"/>
          <w:marBottom w:val="0"/>
          <w:divBdr>
            <w:top w:val="none" w:sz="0" w:space="0" w:color="auto"/>
            <w:left w:val="none" w:sz="0" w:space="0" w:color="auto"/>
            <w:bottom w:val="none" w:sz="0" w:space="0" w:color="auto"/>
            <w:right w:val="none" w:sz="0" w:space="0" w:color="auto"/>
          </w:divBdr>
        </w:div>
        <w:div w:id="1231691157">
          <w:marLeft w:val="640"/>
          <w:marRight w:val="0"/>
          <w:marTop w:val="0"/>
          <w:marBottom w:val="0"/>
          <w:divBdr>
            <w:top w:val="none" w:sz="0" w:space="0" w:color="auto"/>
            <w:left w:val="none" w:sz="0" w:space="0" w:color="auto"/>
            <w:bottom w:val="none" w:sz="0" w:space="0" w:color="auto"/>
            <w:right w:val="none" w:sz="0" w:space="0" w:color="auto"/>
          </w:divBdr>
        </w:div>
        <w:div w:id="1233392728">
          <w:marLeft w:val="640"/>
          <w:marRight w:val="0"/>
          <w:marTop w:val="0"/>
          <w:marBottom w:val="0"/>
          <w:divBdr>
            <w:top w:val="none" w:sz="0" w:space="0" w:color="auto"/>
            <w:left w:val="none" w:sz="0" w:space="0" w:color="auto"/>
            <w:bottom w:val="none" w:sz="0" w:space="0" w:color="auto"/>
            <w:right w:val="none" w:sz="0" w:space="0" w:color="auto"/>
          </w:divBdr>
        </w:div>
        <w:div w:id="1876847430">
          <w:marLeft w:val="640"/>
          <w:marRight w:val="0"/>
          <w:marTop w:val="0"/>
          <w:marBottom w:val="0"/>
          <w:divBdr>
            <w:top w:val="none" w:sz="0" w:space="0" w:color="auto"/>
            <w:left w:val="none" w:sz="0" w:space="0" w:color="auto"/>
            <w:bottom w:val="none" w:sz="0" w:space="0" w:color="auto"/>
            <w:right w:val="none" w:sz="0" w:space="0" w:color="auto"/>
          </w:divBdr>
        </w:div>
        <w:div w:id="1105230911">
          <w:marLeft w:val="640"/>
          <w:marRight w:val="0"/>
          <w:marTop w:val="0"/>
          <w:marBottom w:val="0"/>
          <w:divBdr>
            <w:top w:val="none" w:sz="0" w:space="0" w:color="auto"/>
            <w:left w:val="none" w:sz="0" w:space="0" w:color="auto"/>
            <w:bottom w:val="none" w:sz="0" w:space="0" w:color="auto"/>
            <w:right w:val="none" w:sz="0" w:space="0" w:color="auto"/>
          </w:divBdr>
        </w:div>
      </w:divsChild>
    </w:div>
    <w:div w:id="1408575364">
      <w:bodyDiv w:val="1"/>
      <w:marLeft w:val="0"/>
      <w:marRight w:val="0"/>
      <w:marTop w:val="0"/>
      <w:marBottom w:val="0"/>
      <w:divBdr>
        <w:top w:val="none" w:sz="0" w:space="0" w:color="auto"/>
        <w:left w:val="none" w:sz="0" w:space="0" w:color="auto"/>
        <w:bottom w:val="none" w:sz="0" w:space="0" w:color="auto"/>
        <w:right w:val="none" w:sz="0" w:space="0" w:color="auto"/>
      </w:divBdr>
      <w:divsChild>
        <w:div w:id="1856796965">
          <w:marLeft w:val="640"/>
          <w:marRight w:val="0"/>
          <w:marTop w:val="0"/>
          <w:marBottom w:val="0"/>
          <w:divBdr>
            <w:top w:val="none" w:sz="0" w:space="0" w:color="auto"/>
            <w:left w:val="none" w:sz="0" w:space="0" w:color="auto"/>
            <w:bottom w:val="none" w:sz="0" w:space="0" w:color="auto"/>
            <w:right w:val="none" w:sz="0" w:space="0" w:color="auto"/>
          </w:divBdr>
        </w:div>
        <w:div w:id="335117086">
          <w:marLeft w:val="640"/>
          <w:marRight w:val="0"/>
          <w:marTop w:val="0"/>
          <w:marBottom w:val="0"/>
          <w:divBdr>
            <w:top w:val="none" w:sz="0" w:space="0" w:color="auto"/>
            <w:left w:val="none" w:sz="0" w:space="0" w:color="auto"/>
            <w:bottom w:val="none" w:sz="0" w:space="0" w:color="auto"/>
            <w:right w:val="none" w:sz="0" w:space="0" w:color="auto"/>
          </w:divBdr>
        </w:div>
        <w:div w:id="134221928">
          <w:marLeft w:val="640"/>
          <w:marRight w:val="0"/>
          <w:marTop w:val="0"/>
          <w:marBottom w:val="0"/>
          <w:divBdr>
            <w:top w:val="none" w:sz="0" w:space="0" w:color="auto"/>
            <w:left w:val="none" w:sz="0" w:space="0" w:color="auto"/>
            <w:bottom w:val="none" w:sz="0" w:space="0" w:color="auto"/>
            <w:right w:val="none" w:sz="0" w:space="0" w:color="auto"/>
          </w:divBdr>
        </w:div>
        <w:div w:id="389428570">
          <w:marLeft w:val="640"/>
          <w:marRight w:val="0"/>
          <w:marTop w:val="0"/>
          <w:marBottom w:val="0"/>
          <w:divBdr>
            <w:top w:val="none" w:sz="0" w:space="0" w:color="auto"/>
            <w:left w:val="none" w:sz="0" w:space="0" w:color="auto"/>
            <w:bottom w:val="none" w:sz="0" w:space="0" w:color="auto"/>
            <w:right w:val="none" w:sz="0" w:space="0" w:color="auto"/>
          </w:divBdr>
        </w:div>
        <w:div w:id="751319044">
          <w:marLeft w:val="640"/>
          <w:marRight w:val="0"/>
          <w:marTop w:val="0"/>
          <w:marBottom w:val="0"/>
          <w:divBdr>
            <w:top w:val="none" w:sz="0" w:space="0" w:color="auto"/>
            <w:left w:val="none" w:sz="0" w:space="0" w:color="auto"/>
            <w:bottom w:val="none" w:sz="0" w:space="0" w:color="auto"/>
            <w:right w:val="none" w:sz="0" w:space="0" w:color="auto"/>
          </w:divBdr>
        </w:div>
        <w:div w:id="1578980767">
          <w:marLeft w:val="640"/>
          <w:marRight w:val="0"/>
          <w:marTop w:val="0"/>
          <w:marBottom w:val="0"/>
          <w:divBdr>
            <w:top w:val="none" w:sz="0" w:space="0" w:color="auto"/>
            <w:left w:val="none" w:sz="0" w:space="0" w:color="auto"/>
            <w:bottom w:val="none" w:sz="0" w:space="0" w:color="auto"/>
            <w:right w:val="none" w:sz="0" w:space="0" w:color="auto"/>
          </w:divBdr>
        </w:div>
        <w:div w:id="1608124870">
          <w:marLeft w:val="640"/>
          <w:marRight w:val="0"/>
          <w:marTop w:val="0"/>
          <w:marBottom w:val="0"/>
          <w:divBdr>
            <w:top w:val="none" w:sz="0" w:space="0" w:color="auto"/>
            <w:left w:val="none" w:sz="0" w:space="0" w:color="auto"/>
            <w:bottom w:val="none" w:sz="0" w:space="0" w:color="auto"/>
            <w:right w:val="none" w:sz="0" w:space="0" w:color="auto"/>
          </w:divBdr>
        </w:div>
        <w:div w:id="334958272">
          <w:marLeft w:val="640"/>
          <w:marRight w:val="0"/>
          <w:marTop w:val="0"/>
          <w:marBottom w:val="0"/>
          <w:divBdr>
            <w:top w:val="none" w:sz="0" w:space="0" w:color="auto"/>
            <w:left w:val="none" w:sz="0" w:space="0" w:color="auto"/>
            <w:bottom w:val="none" w:sz="0" w:space="0" w:color="auto"/>
            <w:right w:val="none" w:sz="0" w:space="0" w:color="auto"/>
          </w:divBdr>
        </w:div>
        <w:div w:id="330372524">
          <w:marLeft w:val="640"/>
          <w:marRight w:val="0"/>
          <w:marTop w:val="0"/>
          <w:marBottom w:val="0"/>
          <w:divBdr>
            <w:top w:val="none" w:sz="0" w:space="0" w:color="auto"/>
            <w:left w:val="none" w:sz="0" w:space="0" w:color="auto"/>
            <w:bottom w:val="none" w:sz="0" w:space="0" w:color="auto"/>
            <w:right w:val="none" w:sz="0" w:space="0" w:color="auto"/>
          </w:divBdr>
        </w:div>
        <w:div w:id="180777615">
          <w:marLeft w:val="640"/>
          <w:marRight w:val="0"/>
          <w:marTop w:val="0"/>
          <w:marBottom w:val="0"/>
          <w:divBdr>
            <w:top w:val="none" w:sz="0" w:space="0" w:color="auto"/>
            <w:left w:val="none" w:sz="0" w:space="0" w:color="auto"/>
            <w:bottom w:val="none" w:sz="0" w:space="0" w:color="auto"/>
            <w:right w:val="none" w:sz="0" w:space="0" w:color="auto"/>
          </w:divBdr>
        </w:div>
        <w:div w:id="798111214">
          <w:marLeft w:val="640"/>
          <w:marRight w:val="0"/>
          <w:marTop w:val="0"/>
          <w:marBottom w:val="0"/>
          <w:divBdr>
            <w:top w:val="none" w:sz="0" w:space="0" w:color="auto"/>
            <w:left w:val="none" w:sz="0" w:space="0" w:color="auto"/>
            <w:bottom w:val="none" w:sz="0" w:space="0" w:color="auto"/>
            <w:right w:val="none" w:sz="0" w:space="0" w:color="auto"/>
          </w:divBdr>
        </w:div>
        <w:div w:id="132451152">
          <w:marLeft w:val="640"/>
          <w:marRight w:val="0"/>
          <w:marTop w:val="0"/>
          <w:marBottom w:val="0"/>
          <w:divBdr>
            <w:top w:val="none" w:sz="0" w:space="0" w:color="auto"/>
            <w:left w:val="none" w:sz="0" w:space="0" w:color="auto"/>
            <w:bottom w:val="none" w:sz="0" w:space="0" w:color="auto"/>
            <w:right w:val="none" w:sz="0" w:space="0" w:color="auto"/>
          </w:divBdr>
        </w:div>
        <w:div w:id="1521778437">
          <w:marLeft w:val="640"/>
          <w:marRight w:val="0"/>
          <w:marTop w:val="0"/>
          <w:marBottom w:val="0"/>
          <w:divBdr>
            <w:top w:val="none" w:sz="0" w:space="0" w:color="auto"/>
            <w:left w:val="none" w:sz="0" w:space="0" w:color="auto"/>
            <w:bottom w:val="none" w:sz="0" w:space="0" w:color="auto"/>
            <w:right w:val="none" w:sz="0" w:space="0" w:color="auto"/>
          </w:divBdr>
        </w:div>
        <w:div w:id="1969166963">
          <w:marLeft w:val="640"/>
          <w:marRight w:val="0"/>
          <w:marTop w:val="0"/>
          <w:marBottom w:val="0"/>
          <w:divBdr>
            <w:top w:val="none" w:sz="0" w:space="0" w:color="auto"/>
            <w:left w:val="none" w:sz="0" w:space="0" w:color="auto"/>
            <w:bottom w:val="none" w:sz="0" w:space="0" w:color="auto"/>
            <w:right w:val="none" w:sz="0" w:space="0" w:color="auto"/>
          </w:divBdr>
        </w:div>
        <w:div w:id="447965339">
          <w:marLeft w:val="640"/>
          <w:marRight w:val="0"/>
          <w:marTop w:val="0"/>
          <w:marBottom w:val="0"/>
          <w:divBdr>
            <w:top w:val="none" w:sz="0" w:space="0" w:color="auto"/>
            <w:left w:val="none" w:sz="0" w:space="0" w:color="auto"/>
            <w:bottom w:val="none" w:sz="0" w:space="0" w:color="auto"/>
            <w:right w:val="none" w:sz="0" w:space="0" w:color="auto"/>
          </w:divBdr>
        </w:div>
        <w:div w:id="175965479">
          <w:marLeft w:val="640"/>
          <w:marRight w:val="0"/>
          <w:marTop w:val="0"/>
          <w:marBottom w:val="0"/>
          <w:divBdr>
            <w:top w:val="none" w:sz="0" w:space="0" w:color="auto"/>
            <w:left w:val="none" w:sz="0" w:space="0" w:color="auto"/>
            <w:bottom w:val="none" w:sz="0" w:space="0" w:color="auto"/>
            <w:right w:val="none" w:sz="0" w:space="0" w:color="auto"/>
          </w:divBdr>
        </w:div>
        <w:div w:id="831526594">
          <w:marLeft w:val="640"/>
          <w:marRight w:val="0"/>
          <w:marTop w:val="0"/>
          <w:marBottom w:val="0"/>
          <w:divBdr>
            <w:top w:val="none" w:sz="0" w:space="0" w:color="auto"/>
            <w:left w:val="none" w:sz="0" w:space="0" w:color="auto"/>
            <w:bottom w:val="none" w:sz="0" w:space="0" w:color="auto"/>
            <w:right w:val="none" w:sz="0" w:space="0" w:color="auto"/>
          </w:divBdr>
        </w:div>
        <w:div w:id="1937784415">
          <w:marLeft w:val="640"/>
          <w:marRight w:val="0"/>
          <w:marTop w:val="0"/>
          <w:marBottom w:val="0"/>
          <w:divBdr>
            <w:top w:val="none" w:sz="0" w:space="0" w:color="auto"/>
            <w:left w:val="none" w:sz="0" w:space="0" w:color="auto"/>
            <w:bottom w:val="none" w:sz="0" w:space="0" w:color="auto"/>
            <w:right w:val="none" w:sz="0" w:space="0" w:color="auto"/>
          </w:divBdr>
        </w:div>
        <w:div w:id="720254158">
          <w:marLeft w:val="640"/>
          <w:marRight w:val="0"/>
          <w:marTop w:val="0"/>
          <w:marBottom w:val="0"/>
          <w:divBdr>
            <w:top w:val="none" w:sz="0" w:space="0" w:color="auto"/>
            <w:left w:val="none" w:sz="0" w:space="0" w:color="auto"/>
            <w:bottom w:val="none" w:sz="0" w:space="0" w:color="auto"/>
            <w:right w:val="none" w:sz="0" w:space="0" w:color="auto"/>
          </w:divBdr>
        </w:div>
        <w:div w:id="1219244414">
          <w:marLeft w:val="640"/>
          <w:marRight w:val="0"/>
          <w:marTop w:val="0"/>
          <w:marBottom w:val="0"/>
          <w:divBdr>
            <w:top w:val="none" w:sz="0" w:space="0" w:color="auto"/>
            <w:left w:val="none" w:sz="0" w:space="0" w:color="auto"/>
            <w:bottom w:val="none" w:sz="0" w:space="0" w:color="auto"/>
            <w:right w:val="none" w:sz="0" w:space="0" w:color="auto"/>
          </w:divBdr>
        </w:div>
        <w:div w:id="1914701875">
          <w:marLeft w:val="640"/>
          <w:marRight w:val="0"/>
          <w:marTop w:val="0"/>
          <w:marBottom w:val="0"/>
          <w:divBdr>
            <w:top w:val="none" w:sz="0" w:space="0" w:color="auto"/>
            <w:left w:val="none" w:sz="0" w:space="0" w:color="auto"/>
            <w:bottom w:val="none" w:sz="0" w:space="0" w:color="auto"/>
            <w:right w:val="none" w:sz="0" w:space="0" w:color="auto"/>
          </w:divBdr>
        </w:div>
        <w:div w:id="744883113">
          <w:marLeft w:val="640"/>
          <w:marRight w:val="0"/>
          <w:marTop w:val="0"/>
          <w:marBottom w:val="0"/>
          <w:divBdr>
            <w:top w:val="none" w:sz="0" w:space="0" w:color="auto"/>
            <w:left w:val="none" w:sz="0" w:space="0" w:color="auto"/>
            <w:bottom w:val="none" w:sz="0" w:space="0" w:color="auto"/>
            <w:right w:val="none" w:sz="0" w:space="0" w:color="auto"/>
          </w:divBdr>
        </w:div>
        <w:div w:id="186871084">
          <w:marLeft w:val="640"/>
          <w:marRight w:val="0"/>
          <w:marTop w:val="0"/>
          <w:marBottom w:val="0"/>
          <w:divBdr>
            <w:top w:val="none" w:sz="0" w:space="0" w:color="auto"/>
            <w:left w:val="none" w:sz="0" w:space="0" w:color="auto"/>
            <w:bottom w:val="none" w:sz="0" w:space="0" w:color="auto"/>
            <w:right w:val="none" w:sz="0" w:space="0" w:color="auto"/>
          </w:divBdr>
        </w:div>
        <w:div w:id="1110583680">
          <w:marLeft w:val="640"/>
          <w:marRight w:val="0"/>
          <w:marTop w:val="0"/>
          <w:marBottom w:val="0"/>
          <w:divBdr>
            <w:top w:val="none" w:sz="0" w:space="0" w:color="auto"/>
            <w:left w:val="none" w:sz="0" w:space="0" w:color="auto"/>
            <w:bottom w:val="none" w:sz="0" w:space="0" w:color="auto"/>
            <w:right w:val="none" w:sz="0" w:space="0" w:color="auto"/>
          </w:divBdr>
        </w:div>
        <w:div w:id="882060526">
          <w:marLeft w:val="640"/>
          <w:marRight w:val="0"/>
          <w:marTop w:val="0"/>
          <w:marBottom w:val="0"/>
          <w:divBdr>
            <w:top w:val="none" w:sz="0" w:space="0" w:color="auto"/>
            <w:left w:val="none" w:sz="0" w:space="0" w:color="auto"/>
            <w:bottom w:val="none" w:sz="0" w:space="0" w:color="auto"/>
            <w:right w:val="none" w:sz="0" w:space="0" w:color="auto"/>
          </w:divBdr>
        </w:div>
        <w:div w:id="950011764">
          <w:marLeft w:val="640"/>
          <w:marRight w:val="0"/>
          <w:marTop w:val="0"/>
          <w:marBottom w:val="0"/>
          <w:divBdr>
            <w:top w:val="none" w:sz="0" w:space="0" w:color="auto"/>
            <w:left w:val="none" w:sz="0" w:space="0" w:color="auto"/>
            <w:bottom w:val="none" w:sz="0" w:space="0" w:color="auto"/>
            <w:right w:val="none" w:sz="0" w:space="0" w:color="auto"/>
          </w:divBdr>
        </w:div>
        <w:div w:id="696589620">
          <w:marLeft w:val="640"/>
          <w:marRight w:val="0"/>
          <w:marTop w:val="0"/>
          <w:marBottom w:val="0"/>
          <w:divBdr>
            <w:top w:val="none" w:sz="0" w:space="0" w:color="auto"/>
            <w:left w:val="none" w:sz="0" w:space="0" w:color="auto"/>
            <w:bottom w:val="none" w:sz="0" w:space="0" w:color="auto"/>
            <w:right w:val="none" w:sz="0" w:space="0" w:color="auto"/>
          </w:divBdr>
        </w:div>
        <w:div w:id="2113162589">
          <w:marLeft w:val="640"/>
          <w:marRight w:val="0"/>
          <w:marTop w:val="0"/>
          <w:marBottom w:val="0"/>
          <w:divBdr>
            <w:top w:val="none" w:sz="0" w:space="0" w:color="auto"/>
            <w:left w:val="none" w:sz="0" w:space="0" w:color="auto"/>
            <w:bottom w:val="none" w:sz="0" w:space="0" w:color="auto"/>
            <w:right w:val="none" w:sz="0" w:space="0" w:color="auto"/>
          </w:divBdr>
        </w:div>
        <w:div w:id="396368058">
          <w:marLeft w:val="640"/>
          <w:marRight w:val="0"/>
          <w:marTop w:val="0"/>
          <w:marBottom w:val="0"/>
          <w:divBdr>
            <w:top w:val="none" w:sz="0" w:space="0" w:color="auto"/>
            <w:left w:val="none" w:sz="0" w:space="0" w:color="auto"/>
            <w:bottom w:val="none" w:sz="0" w:space="0" w:color="auto"/>
            <w:right w:val="none" w:sz="0" w:space="0" w:color="auto"/>
          </w:divBdr>
        </w:div>
        <w:div w:id="1078862078">
          <w:marLeft w:val="640"/>
          <w:marRight w:val="0"/>
          <w:marTop w:val="0"/>
          <w:marBottom w:val="0"/>
          <w:divBdr>
            <w:top w:val="none" w:sz="0" w:space="0" w:color="auto"/>
            <w:left w:val="none" w:sz="0" w:space="0" w:color="auto"/>
            <w:bottom w:val="none" w:sz="0" w:space="0" w:color="auto"/>
            <w:right w:val="none" w:sz="0" w:space="0" w:color="auto"/>
          </w:divBdr>
        </w:div>
        <w:div w:id="316497215">
          <w:marLeft w:val="640"/>
          <w:marRight w:val="0"/>
          <w:marTop w:val="0"/>
          <w:marBottom w:val="0"/>
          <w:divBdr>
            <w:top w:val="none" w:sz="0" w:space="0" w:color="auto"/>
            <w:left w:val="none" w:sz="0" w:space="0" w:color="auto"/>
            <w:bottom w:val="none" w:sz="0" w:space="0" w:color="auto"/>
            <w:right w:val="none" w:sz="0" w:space="0" w:color="auto"/>
          </w:divBdr>
        </w:div>
        <w:div w:id="747116322">
          <w:marLeft w:val="640"/>
          <w:marRight w:val="0"/>
          <w:marTop w:val="0"/>
          <w:marBottom w:val="0"/>
          <w:divBdr>
            <w:top w:val="none" w:sz="0" w:space="0" w:color="auto"/>
            <w:left w:val="none" w:sz="0" w:space="0" w:color="auto"/>
            <w:bottom w:val="none" w:sz="0" w:space="0" w:color="auto"/>
            <w:right w:val="none" w:sz="0" w:space="0" w:color="auto"/>
          </w:divBdr>
        </w:div>
        <w:div w:id="525101969">
          <w:marLeft w:val="640"/>
          <w:marRight w:val="0"/>
          <w:marTop w:val="0"/>
          <w:marBottom w:val="0"/>
          <w:divBdr>
            <w:top w:val="none" w:sz="0" w:space="0" w:color="auto"/>
            <w:left w:val="none" w:sz="0" w:space="0" w:color="auto"/>
            <w:bottom w:val="none" w:sz="0" w:space="0" w:color="auto"/>
            <w:right w:val="none" w:sz="0" w:space="0" w:color="auto"/>
          </w:divBdr>
        </w:div>
        <w:div w:id="1894730867">
          <w:marLeft w:val="640"/>
          <w:marRight w:val="0"/>
          <w:marTop w:val="0"/>
          <w:marBottom w:val="0"/>
          <w:divBdr>
            <w:top w:val="none" w:sz="0" w:space="0" w:color="auto"/>
            <w:left w:val="none" w:sz="0" w:space="0" w:color="auto"/>
            <w:bottom w:val="none" w:sz="0" w:space="0" w:color="auto"/>
            <w:right w:val="none" w:sz="0" w:space="0" w:color="auto"/>
          </w:divBdr>
        </w:div>
        <w:div w:id="143208538">
          <w:marLeft w:val="640"/>
          <w:marRight w:val="0"/>
          <w:marTop w:val="0"/>
          <w:marBottom w:val="0"/>
          <w:divBdr>
            <w:top w:val="none" w:sz="0" w:space="0" w:color="auto"/>
            <w:left w:val="none" w:sz="0" w:space="0" w:color="auto"/>
            <w:bottom w:val="none" w:sz="0" w:space="0" w:color="auto"/>
            <w:right w:val="none" w:sz="0" w:space="0" w:color="auto"/>
          </w:divBdr>
        </w:div>
        <w:div w:id="1226529457">
          <w:marLeft w:val="640"/>
          <w:marRight w:val="0"/>
          <w:marTop w:val="0"/>
          <w:marBottom w:val="0"/>
          <w:divBdr>
            <w:top w:val="none" w:sz="0" w:space="0" w:color="auto"/>
            <w:left w:val="none" w:sz="0" w:space="0" w:color="auto"/>
            <w:bottom w:val="none" w:sz="0" w:space="0" w:color="auto"/>
            <w:right w:val="none" w:sz="0" w:space="0" w:color="auto"/>
          </w:divBdr>
        </w:div>
        <w:div w:id="855114160">
          <w:marLeft w:val="640"/>
          <w:marRight w:val="0"/>
          <w:marTop w:val="0"/>
          <w:marBottom w:val="0"/>
          <w:divBdr>
            <w:top w:val="none" w:sz="0" w:space="0" w:color="auto"/>
            <w:left w:val="none" w:sz="0" w:space="0" w:color="auto"/>
            <w:bottom w:val="none" w:sz="0" w:space="0" w:color="auto"/>
            <w:right w:val="none" w:sz="0" w:space="0" w:color="auto"/>
          </w:divBdr>
        </w:div>
        <w:div w:id="1425177946">
          <w:marLeft w:val="640"/>
          <w:marRight w:val="0"/>
          <w:marTop w:val="0"/>
          <w:marBottom w:val="0"/>
          <w:divBdr>
            <w:top w:val="none" w:sz="0" w:space="0" w:color="auto"/>
            <w:left w:val="none" w:sz="0" w:space="0" w:color="auto"/>
            <w:bottom w:val="none" w:sz="0" w:space="0" w:color="auto"/>
            <w:right w:val="none" w:sz="0" w:space="0" w:color="auto"/>
          </w:divBdr>
        </w:div>
        <w:div w:id="1508330138">
          <w:marLeft w:val="640"/>
          <w:marRight w:val="0"/>
          <w:marTop w:val="0"/>
          <w:marBottom w:val="0"/>
          <w:divBdr>
            <w:top w:val="none" w:sz="0" w:space="0" w:color="auto"/>
            <w:left w:val="none" w:sz="0" w:space="0" w:color="auto"/>
            <w:bottom w:val="none" w:sz="0" w:space="0" w:color="auto"/>
            <w:right w:val="none" w:sz="0" w:space="0" w:color="auto"/>
          </w:divBdr>
        </w:div>
        <w:div w:id="2009669717">
          <w:marLeft w:val="640"/>
          <w:marRight w:val="0"/>
          <w:marTop w:val="0"/>
          <w:marBottom w:val="0"/>
          <w:divBdr>
            <w:top w:val="none" w:sz="0" w:space="0" w:color="auto"/>
            <w:left w:val="none" w:sz="0" w:space="0" w:color="auto"/>
            <w:bottom w:val="none" w:sz="0" w:space="0" w:color="auto"/>
            <w:right w:val="none" w:sz="0" w:space="0" w:color="auto"/>
          </w:divBdr>
        </w:div>
        <w:div w:id="727799794">
          <w:marLeft w:val="640"/>
          <w:marRight w:val="0"/>
          <w:marTop w:val="0"/>
          <w:marBottom w:val="0"/>
          <w:divBdr>
            <w:top w:val="none" w:sz="0" w:space="0" w:color="auto"/>
            <w:left w:val="none" w:sz="0" w:space="0" w:color="auto"/>
            <w:bottom w:val="none" w:sz="0" w:space="0" w:color="auto"/>
            <w:right w:val="none" w:sz="0" w:space="0" w:color="auto"/>
          </w:divBdr>
        </w:div>
        <w:div w:id="649217732">
          <w:marLeft w:val="640"/>
          <w:marRight w:val="0"/>
          <w:marTop w:val="0"/>
          <w:marBottom w:val="0"/>
          <w:divBdr>
            <w:top w:val="none" w:sz="0" w:space="0" w:color="auto"/>
            <w:left w:val="none" w:sz="0" w:space="0" w:color="auto"/>
            <w:bottom w:val="none" w:sz="0" w:space="0" w:color="auto"/>
            <w:right w:val="none" w:sz="0" w:space="0" w:color="auto"/>
          </w:divBdr>
        </w:div>
        <w:div w:id="1401558413">
          <w:marLeft w:val="640"/>
          <w:marRight w:val="0"/>
          <w:marTop w:val="0"/>
          <w:marBottom w:val="0"/>
          <w:divBdr>
            <w:top w:val="none" w:sz="0" w:space="0" w:color="auto"/>
            <w:left w:val="none" w:sz="0" w:space="0" w:color="auto"/>
            <w:bottom w:val="none" w:sz="0" w:space="0" w:color="auto"/>
            <w:right w:val="none" w:sz="0" w:space="0" w:color="auto"/>
          </w:divBdr>
        </w:div>
        <w:div w:id="1637376526">
          <w:marLeft w:val="640"/>
          <w:marRight w:val="0"/>
          <w:marTop w:val="0"/>
          <w:marBottom w:val="0"/>
          <w:divBdr>
            <w:top w:val="none" w:sz="0" w:space="0" w:color="auto"/>
            <w:left w:val="none" w:sz="0" w:space="0" w:color="auto"/>
            <w:bottom w:val="none" w:sz="0" w:space="0" w:color="auto"/>
            <w:right w:val="none" w:sz="0" w:space="0" w:color="auto"/>
          </w:divBdr>
        </w:div>
        <w:div w:id="675305283">
          <w:marLeft w:val="640"/>
          <w:marRight w:val="0"/>
          <w:marTop w:val="0"/>
          <w:marBottom w:val="0"/>
          <w:divBdr>
            <w:top w:val="none" w:sz="0" w:space="0" w:color="auto"/>
            <w:left w:val="none" w:sz="0" w:space="0" w:color="auto"/>
            <w:bottom w:val="none" w:sz="0" w:space="0" w:color="auto"/>
            <w:right w:val="none" w:sz="0" w:space="0" w:color="auto"/>
          </w:divBdr>
        </w:div>
        <w:div w:id="1631595580">
          <w:marLeft w:val="640"/>
          <w:marRight w:val="0"/>
          <w:marTop w:val="0"/>
          <w:marBottom w:val="0"/>
          <w:divBdr>
            <w:top w:val="none" w:sz="0" w:space="0" w:color="auto"/>
            <w:left w:val="none" w:sz="0" w:space="0" w:color="auto"/>
            <w:bottom w:val="none" w:sz="0" w:space="0" w:color="auto"/>
            <w:right w:val="none" w:sz="0" w:space="0" w:color="auto"/>
          </w:divBdr>
        </w:div>
        <w:div w:id="1300456447">
          <w:marLeft w:val="640"/>
          <w:marRight w:val="0"/>
          <w:marTop w:val="0"/>
          <w:marBottom w:val="0"/>
          <w:divBdr>
            <w:top w:val="none" w:sz="0" w:space="0" w:color="auto"/>
            <w:left w:val="none" w:sz="0" w:space="0" w:color="auto"/>
            <w:bottom w:val="none" w:sz="0" w:space="0" w:color="auto"/>
            <w:right w:val="none" w:sz="0" w:space="0" w:color="auto"/>
          </w:divBdr>
        </w:div>
        <w:div w:id="389888977">
          <w:marLeft w:val="640"/>
          <w:marRight w:val="0"/>
          <w:marTop w:val="0"/>
          <w:marBottom w:val="0"/>
          <w:divBdr>
            <w:top w:val="none" w:sz="0" w:space="0" w:color="auto"/>
            <w:left w:val="none" w:sz="0" w:space="0" w:color="auto"/>
            <w:bottom w:val="none" w:sz="0" w:space="0" w:color="auto"/>
            <w:right w:val="none" w:sz="0" w:space="0" w:color="auto"/>
          </w:divBdr>
        </w:div>
        <w:div w:id="669599248">
          <w:marLeft w:val="640"/>
          <w:marRight w:val="0"/>
          <w:marTop w:val="0"/>
          <w:marBottom w:val="0"/>
          <w:divBdr>
            <w:top w:val="none" w:sz="0" w:space="0" w:color="auto"/>
            <w:left w:val="none" w:sz="0" w:space="0" w:color="auto"/>
            <w:bottom w:val="none" w:sz="0" w:space="0" w:color="auto"/>
            <w:right w:val="none" w:sz="0" w:space="0" w:color="auto"/>
          </w:divBdr>
        </w:div>
        <w:div w:id="296762256">
          <w:marLeft w:val="640"/>
          <w:marRight w:val="0"/>
          <w:marTop w:val="0"/>
          <w:marBottom w:val="0"/>
          <w:divBdr>
            <w:top w:val="none" w:sz="0" w:space="0" w:color="auto"/>
            <w:left w:val="none" w:sz="0" w:space="0" w:color="auto"/>
            <w:bottom w:val="none" w:sz="0" w:space="0" w:color="auto"/>
            <w:right w:val="none" w:sz="0" w:space="0" w:color="auto"/>
          </w:divBdr>
        </w:div>
        <w:div w:id="605506146">
          <w:marLeft w:val="640"/>
          <w:marRight w:val="0"/>
          <w:marTop w:val="0"/>
          <w:marBottom w:val="0"/>
          <w:divBdr>
            <w:top w:val="none" w:sz="0" w:space="0" w:color="auto"/>
            <w:left w:val="none" w:sz="0" w:space="0" w:color="auto"/>
            <w:bottom w:val="none" w:sz="0" w:space="0" w:color="auto"/>
            <w:right w:val="none" w:sz="0" w:space="0" w:color="auto"/>
          </w:divBdr>
        </w:div>
        <w:div w:id="751194560">
          <w:marLeft w:val="640"/>
          <w:marRight w:val="0"/>
          <w:marTop w:val="0"/>
          <w:marBottom w:val="0"/>
          <w:divBdr>
            <w:top w:val="none" w:sz="0" w:space="0" w:color="auto"/>
            <w:left w:val="none" w:sz="0" w:space="0" w:color="auto"/>
            <w:bottom w:val="none" w:sz="0" w:space="0" w:color="auto"/>
            <w:right w:val="none" w:sz="0" w:space="0" w:color="auto"/>
          </w:divBdr>
        </w:div>
        <w:div w:id="1014961043">
          <w:marLeft w:val="640"/>
          <w:marRight w:val="0"/>
          <w:marTop w:val="0"/>
          <w:marBottom w:val="0"/>
          <w:divBdr>
            <w:top w:val="none" w:sz="0" w:space="0" w:color="auto"/>
            <w:left w:val="none" w:sz="0" w:space="0" w:color="auto"/>
            <w:bottom w:val="none" w:sz="0" w:space="0" w:color="auto"/>
            <w:right w:val="none" w:sz="0" w:space="0" w:color="auto"/>
          </w:divBdr>
        </w:div>
        <w:div w:id="313217075">
          <w:marLeft w:val="640"/>
          <w:marRight w:val="0"/>
          <w:marTop w:val="0"/>
          <w:marBottom w:val="0"/>
          <w:divBdr>
            <w:top w:val="none" w:sz="0" w:space="0" w:color="auto"/>
            <w:left w:val="none" w:sz="0" w:space="0" w:color="auto"/>
            <w:bottom w:val="none" w:sz="0" w:space="0" w:color="auto"/>
            <w:right w:val="none" w:sz="0" w:space="0" w:color="auto"/>
          </w:divBdr>
        </w:div>
        <w:div w:id="2123764828">
          <w:marLeft w:val="640"/>
          <w:marRight w:val="0"/>
          <w:marTop w:val="0"/>
          <w:marBottom w:val="0"/>
          <w:divBdr>
            <w:top w:val="none" w:sz="0" w:space="0" w:color="auto"/>
            <w:left w:val="none" w:sz="0" w:space="0" w:color="auto"/>
            <w:bottom w:val="none" w:sz="0" w:space="0" w:color="auto"/>
            <w:right w:val="none" w:sz="0" w:space="0" w:color="auto"/>
          </w:divBdr>
        </w:div>
        <w:div w:id="2136367116">
          <w:marLeft w:val="640"/>
          <w:marRight w:val="0"/>
          <w:marTop w:val="0"/>
          <w:marBottom w:val="0"/>
          <w:divBdr>
            <w:top w:val="none" w:sz="0" w:space="0" w:color="auto"/>
            <w:left w:val="none" w:sz="0" w:space="0" w:color="auto"/>
            <w:bottom w:val="none" w:sz="0" w:space="0" w:color="auto"/>
            <w:right w:val="none" w:sz="0" w:space="0" w:color="auto"/>
          </w:divBdr>
        </w:div>
        <w:div w:id="989601933">
          <w:marLeft w:val="640"/>
          <w:marRight w:val="0"/>
          <w:marTop w:val="0"/>
          <w:marBottom w:val="0"/>
          <w:divBdr>
            <w:top w:val="none" w:sz="0" w:space="0" w:color="auto"/>
            <w:left w:val="none" w:sz="0" w:space="0" w:color="auto"/>
            <w:bottom w:val="none" w:sz="0" w:space="0" w:color="auto"/>
            <w:right w:val="none" w:sz="0" w:space="0" w:color="auto"/>
          </w:divBdr>
        </w:div>
        <w:div w:id="2079403625">
          <w:marLeft w:val="640"/>
          <w:marRight w:val="0"/>
          <w:marTop w:val="0"/>
          <w:marBottom w:val="0"/>
          <w:divBdr>
            <w:top w:val="none" w:sz="0" w:space="0" w:color="auto"/>
            <w:left w:val="none" w:sz="0" w:space="0" w:color="auto"/>
            <w:bottom w:val="none" w:sz="0" w:space="0" w:color="auto"/>
            <w:right w:val="none" w:sz="0" w:space="0" w:color="auto"/>
          </w:divBdr>
        </w:div>
        <w:div w:id="967974832">
          <w:marLeft w:val="640"/>
          <w:marRight w:val="0"/>
          <w:marTop w:val="0"/>
          <w:marBottom w:val="0"/>
          <w:divBdr>
            <w:top w:val="none" w:sz="0" w:space="0" w:color="auto"/>
            <w:left w:val="none" w:sz="0" w:space="0" w:color="auto"/>
            <w:bottom w:val="none" w:sz="0" w:space="0" w:color="auto"/>
            <w:right w:val="none" w:sz="0" w:space="0" w:color="auto"/>
          </w:divBdr>
        </w:div>
        <w:div w:id="994837383">
          <w:marLeft w:val="640"/>
          <w:marRight w:val="0"/>
          <w:marTop w:val="0"/>
          <w:marBottom w:val="0"/>
          <w:divBdr>
            <w:top w:val="none" w:sz="0" w:space="0" w:color="auto"/>
            <w:left w:val="none" w:sz="0" w:space="0" w:color="auto"/>
            <w:bottom w:val="none" w:sz="0" w:space="0" w:color="auto"/>
            <w:right w:val="none" w:sz="0" w:space="0" w:color="auto"/>
          </w:divBdr>
        </w:div>
        <w:div w:id="1491099691">
          <w:marLeft w:val="640"/>
          <w:marRight w:val="0"/>
          <w:marTop w:val="0"/>
          <w:marBottom w:val="0"/>
          <w:divBdr>
            <w:top w:val="none" w:sz="0" w:space="0" w:color="auto"/>
            <w:left w:val="none" w:sz="0" w:space="0" w:color="auto"/>
            <w:bottom w:val="none" w:sz="0" w:space="0" w:color="auto"/>
            <w:right w:val="none" w:sz="0" w:space="0" w:color="auto"/>
          </w:divBdr>
        </w:div>
        <w:div w:id="2050951625">
          <w:marLeft w:val="640"/>
          <w:marRight w:val="0"/>
          <w:marTop w:val="0"/>
          <w:marBottom w:val="0"/>
          <w:divBdr>
            <w:top w:val="none" w:sz="0" w:space="0" w:color="auto"/>
            <w:left w:val="none" w:sz="0" w:space="0" w:color="auto"/>
            <w:bottom w:val="none" w:sz="0" w:space="0" w:color="auto"/>
            <w:right w:val="none" w:sz="0" w:space="0" w:color="auto"/>
          </w:divBdr>
        </w:div>
        <w:div w:id="1115169966">
          <w:marLeft w:val="640"/>
          <w:marRight w:val="0"/>
          <w:marTop w:val="0"/>
          <w:marBottom w:val="0"/>
          <w:divBdr>
            <w:top w:val="none" w:sz="0" w:space="0" w:color="auto"/>
            <w:left w:val="none" w:sz="0" w:space="0" w:color="auto"/>
            <w:bottom w:val="none" w:sz="0" w:space="0" w:color="auto"/>
            <w:right w:val="none" w:sz="0" w:space="0" w:color="auto"/>
          </w:divBdr>
        </w:div>
        <w:div w:id="1796289403">
          <w:marLeft w:val="640"/>
          <w:marRight w:val="0"/>
          <w:marTop w:val="0"/>
          <w:marBottom w:val="0"/>
          <w:divBdr>
            <w:top w:val="none" w:sz="0" w:space="0" w:color="auto"/>
            <w:left w:val="none" w:sz="0" w:space="0" w:color="auto"/>
            <w:bottom w:val="none" w:sz="0" w:space="0" w:color="auto"/>
            <w:right w:val="none" w:sz="0" w:space="0" w:color="auto"/>
          </w:divBdr>
        </w:div>
        <w:div w:id="1791318412">
          <w:marLeft w:val="640"/>
          <w:marRight w:val="0"/>
          <w:marTop w:val="0"/>
          <w:marBottom w:val="0"/>
          <w:divBdr>
            <w:top w:val="none" w:sz="0" w:space="0" w:color="auto"/>
            <w:left w:val="none" w:sz="0" w:space="0" w:color="auto"/>
            <w:bottom w:val="none" w:sz="0" w:space="0" w:color="auto"/>
            <w:right w:val="none" w:sz="0" w:space="0" w:color="auto"/>
          </w:divBdr>
        </w:div>
        <w:div w:id="1125925968">
          <w:marLeft w:val="640"/>
          <w:marRight w:val="0"/>
          <w:marTop w:val="0"/>
          <w:marBottom w:val="0"/>
          <w:divBdr>
            <w:top w:val="none" w:sz="0" w:space="0" w:color="auto"/>
            <w:left w:val="none" w:sz="0" w:space="0" w:color="auto"/>
            <w:bottom w:val="none" w:sz="0" w:space="0" w:color="auto"/>
            <w:right w:val="none" w:sz="0" w:space="0" w:color="auto"/>
          </w:divBdr>
        </w:div>
        <w:div w:id="1568878164">
          <w:marLeft w:val="640"/>
          <w:marRight w:val="0"/>
          <w:marTop w:val="0"/>
          <w:marBottom w:val="0"/>
          <w:divBdr>
            <w:top w:val="none" w:sz="0" w:space="0" w:color="auto"/>
            <w:left w:val="none" w:sz="0" w:space="0" w:color="auto"/>
            <w:bottom w:val="none" w:sz="0" w:space="0" w:color="auto"/>
            <w:right w:val="none" w:sz="0" w:space="0" w:color="auto"/>
          </w:divBdr>
        </w:div>
        <w:div w:id="1457338259">
          <w:marLeft w:val="640"/>
          <w:marRight w:val="0"/>
          <w:marTop w:val="0"/>
          <w:marBottom w:val="0"/>
          <w:divBdr>
            <w:top w:val="none" w:sz="0" w:space="0" w:color="auto"/>
            <w:left w:val="none" w:sz="0" w:space="0" w:color="auto"/>
            <w:bottom w:val="none" w:sz="0" w:space="0" w:color="auto"/>
            <w:right w:val="none" w:sz="0" w:space="0" w:color="auto"/>
          </w:divBdr>
        </w:div>
        <w:div w:id="755790488">
          <w:marLeft w:val="640"/>
          <w:marRight w:val="0"/>
          <w:marTop w:val="0"/>
          <w:marBottom w:val="0"/>
          <w:divBdr>
            <w:top w:val="none" w:sz="0" w:space="0" w:color="auto"/>
            <w:left w:val="none" w:sz="0" w:space="0" w:color="auto"/>
            <w:bottom w:val="none" w:sz="0" w:space="0" w:color="auto"/>
            <w:right w:val="none" w:sz="0" w:space="0" w:color="auto"/>
          </w:divBdr>
        </w:div>
        <w:div w:id="72817195">
          <w:marLeft w:val="640"/>
          <w:marRight w:val="0"/>
          <w:marTop w:val="0"/>
          <w:marBottom w:val="0"/>
          <w:divBdr>
            <w:top w:val="none" w:sz="0" w:space="0" w:color="auto"/>
            <w:left w:val="none" w:sz="0" w:space="0" w:color="auto"/>
            <w:bottom w:val="none" w:sz="0" w:space="0" w:color="auto"/>
            <w:right w:val="none" w:sz="0" w:space="0" w:color="auto"/>
          </w:divBdr>
        </w:div>
        <w:div w:id="1581939744">
          <w:marLeft w:val="640"/>
          <w:marRight w:val="0"/>
          <w:marTop w:val="0"/>
          <w:marBottom w:val="0"/>
          <w:divBdr>
            <w:top w:val="none" w:sz="0" w:space="0" w:color="auto"/>
            <w:left w:val="none" w:sz="0" w:space="0" w:color="auto"/>
            <w:bottom w:val="none" w:sz="0" w:space="0" w:color="auto"/>
            <w:right w:val="none" w:sz="0" w:space="0" w:color="auto"/>
          </w:divBdr>
        </w:div>
        <w:div w:id="2006472935">
          <w:marLeft w:val="640"/>
          <w:marRight w:val="0"/>
          <w:marTop w:val="0"/>
          <w:marBottom w:val="0"/>
          <w:divBdr>
            <w:top w:val="none" w:sz="0" w:space="0" w:color="auto"/>
            <w:left w:val="none" w:sz="0" w:space="0" w:color="auto"/>
            <w:bottom w:val="none" w:sz="0" w:space="0" w:color="auto"/>
            <w:right w:val="none" w:sz="0" w:space="0" w:color="auto"/>
          </w:divBdr>
        </w:div>
        <w:div w:id="920991799">
          <w:marLeft w:val="640"/>
          <w:marRight w:val="0"/>
          <w:marTop w:val="0"/>
          <w:marBottom w:val="0"/>
          <w:divBdr>
            <w:top w:val="none" w:sz="0" w:space="0" w:color="auto"/>
            <w:left w:val="none" w:sz="0" w:space="0" w:color="auto"/>
            <w:bottom w:val="none" w:sz="0" w:space="0" w:color="auto"/>
            <w:right w:val="none" w:sz="0" w:space="0" w:color="auto"/>
          </w:divBdr>
        </w:div>
        <w:div w:id="2104104824">
          <w:marLeft w:val="640"/>
          <w:marRight w:val="0"/>
          <w:marTop w:val="0"/>
          <w:marBottom w:val="0"/>
          <w:divBdr>
            <w:top w:val="none" w:sz="0" w:space="0" w:color="auto"/>
            <w:left w:val="none" w:sz="0" w:space="0" w:color="auto"/>
            <w:bottom w:val="none" w:sz="0" w:space="0" w:color="auto"/>
            <w:right w:val="none" w:sz="0" w:space="0" w:color="auto"/>
          </w:divBdr>
        </w:div>
        <w:div w:id="1858154272">
          <w:marLeft w:val="640"/>
          <w:marRight w:val="0"/>
          <w:marTop w:val="0"/>
          <w:marBottom w:val="0"/>
          <w:divBdr>
            <w:top w:val="none" w:sz="0" w:space="0" w:color="auto"/>
            <w:left w:val="none" w:sz="0" w:space="0" w:color="auto"/>
            <w:bottom w:val="none" w:sz="0" w:space="0" w:color="auto"/>
            <w:right w:val="none" w:sz="0" w:space="0" w:color="auto"/>
          </w:divBdr>
        </w:div>
        <w:div w:id="1179270615">
          <w:marLeft w:val="640"/>
          <w:marRight w:val="0"/>
          <w:marTop w:val="0"/>
          <w:marBottom w:val="0"/>
          <w:divBdr>
            <w:top w:val="none" w:sz="0" w:space="0" w:color="auto"/>
            <w:left w:val="none" w:sz="0" w:space="0" w:color="auto"/>
            <w:bottom w:val="none" w:sz="0" w:space="0" w:color="auto"/>
            <w:right w:val="none" w:sz="0" w:space="0" w:color="auto"/>
          </w:divBdr>
        </w:div>
        <w:div w:id="1605922507">
          <w:marLeft w:val="640"/>
          <w:marRight w:val="0"/>
          <w:marTop w:val="0"/>
          <w:marBottom w:val="0"/>
          <w:divBdr>
            <w:top w:val="none" w:sz="0" w:space="0" w:color="auto"/>
            <w:left w:val="none" w:sz="0" w:space="0" w:color="auto"/>
            <w:bottom w:val="none" w:sz="0" w:space="0" w:color="auto"/>
            <w:right w:val="none" w:sz="0" w:space="0" w:color="auto"/>
          </w:divBdr>
        </w:div>
        <w:div w:id="27996957">
          <w:marLeft w:val="640"/>
          <w:marRight w:val="0"/>
          <w:marTop w:val="0"/>
          <w:marBottom w:val="0"/>
          <w:divBdr>
            <w:top w:val="none" w:sz="0" w:space="0" w:color="auto"/>
            <w:left w:val="none" w:sz="0" w:space="0" w:color="auto"/>
            <w:bottom w:val="none" w:sz="0" w:space="0" w:color="auto"/>
            <w:right w:val="none" w:sz="0" w:space="0" w:color="auto"/>
          </w:divBdr>
        </w:div>
        <w:div w:id="1897743595">
          <w:marLeft w:val="640"/>
          <w:marRight w:val="0"/>
          <w:marTop w:val="0"/>
          <w:marBottom w:val="0"/>
          <w:divBdr>
            <w:top w:val="none" w:sz="0" w:space="0" w:color="auto"/>
            <w:left w:val="none" w:sz="0" w:space="0" w:color="auto"/>
            <w:bottom w:val="none" w:sz="0" w:space="0" w:color="auto"/>
            <w:right w:val="none" w:sz="0" w:space="0" w:color="auto"/>
          </w:divBdr>
        </w:div>
        <w:div w:id="1111051002">
          <w:marLeft w:val="640"/>
          <w:marRight w:val="0"/>
          <w:marTop w:val="0"/>
          <w:marBottom w:val="0"/>
          <w:divBdr>
            <w:top w:val="none" w:sz="0" w:space="0" w:color="auto"/>
            <w:left w:val="none" w:sz="0" w:space="0" w:color="auto"/>
            <w:bottom w:val="none" w:sz="0" w:space="0" w:color="auto"/>
            <w:right w:val="none" w:sz="0" w:space="0" w:color="auto"/>
          </w:divBdr>
        </w:div>
        <w:div w:id="1464694115">
          <w:marLeft w:val="640"/>
          <w:marRight w:val="0"/>
          <w:marTop w:val="0"/>
          <w:marBottom w:val="0"/>
          <w:divBdr>
            <w:top w:val="none" w:sz="0" w:space="0" w:color="auto"/>
            <w:left w:val="none" w:sz="0" w:space="0" w:color="auto"/>
            <w:bottom w:val="none" w:sz="0" w:space="0" w:color="auto"/>
            <w:right w:val="none" w:sz="0" w:space="0" w:color="auto"/>
          </w:divBdr>
        </w:div>
        <w:div w:id="1182813907">
          <w:marLeft w:val="640"/>
          <w:marRight w:val="0"/>
          <w:marTop w:val="0"/>
          <w:marBottom w:val="0"/>
          <w:divBdr>
            <w:top w:val="none" w:sz="0" w:space="0" w:color="auto"/>
            <w:left w:val="none" w:sz="0" w:space="0" w:color="auto"/>
            <w:bottom w:val="none" w:sz="0" w:space="0" w:color="auto"/>
            <w:right w:val="none" w:sz="0" w:space="0" w:color="auto"/>
          </w:divBdr>
        </w:div>
        <w:div w:id="1281107178">
          <w:marLeft w:val="640"/>
          <w:marRight w:val="0"/>
          <w:marTop w:val="0"/>
          <w:marBottom w:val="0"/>
          <w:divBdr>
            <w:top w:val="none" w:sz="0" w:space="0" w:color="auto"/>
            <w:left w:val="none" w:sz="0" w:space="0" w:color="auto"/>
            <w:bottom w:val="none" w:sz="0" w:space="0" w:color="auto"/>
            <w:right w:val="none" w:sz="0" w:space="0" w:color="auto"/>
          </w:divBdr>
        </w:div>
        <w:div w:id="721444259">
          <w:marLeft w:val="640"/>
          <w:marRight w:val="0"/>
          <w:marTop w:val="0"/>
          <w:marBottom w:val="0"/>
          <w:divBdr>
            <w:top w:val="none" w:sz="0" w:space="0" w:color="auto"/>
            <w:left w:val="none" w:sz="0" w:space="0" w:color="auto"/>
            <w:bottom w:val="none" w:sz="0" w:space="0" w:color="auto"/>
            <w:right w:val="none" w:sz="0" w:space="0" w:color="auto"/>
          </w:divBdr>
        </w:div>
        <w:div w:id="1967466577">
          <w:marLeft w:val="640"/>
          <w:marRight w:val="0"/>
          <w:marTop w:val="0"/>
          <w:marBottom w:val="0"/>
          <w:divBdr>
            <w:top w:val="none" w:sz="0" w:space="0" w:color="auto"/>
            <w:left w:val="none" w:sz="0" w:space="0" w:color="auto"/>
            <w:bottom w:val="none" w:sz="0" w:space="0" w:color="auto"/>
            <w:right w:val="none" w:sz="0" w:space="0" w:color="auto"/>
          </w:divBdr>
        </w:div>
        <w:div w:id="528373882">
          <w:marLeft w:val="640"/>
          <w:marRight w:val="0"/>
          <w:marTop w:val="0"/>
          <w:marBottom w:val="0"/>
          <w:divBdr>
            <w:top w:val="none" w:sz="0" w:space="0" w:color="auto"/>
            <w:left w:val="none" w:sz="0" w:space="0" w:color="auto"/>
            <w:bottom w:val="none" w:sz="0" w:space="0" w:color="auto"/>
            <w:right w:val="none" w:sz="0" w:space="0" w:color="auto"/>
          </w:divBdr>
        </w:div>
        <w:div w:id="2143844633">
          <w:marLeft w:val="640"/>
          <w:marRight w:val="0"/>
          <w:marTop w:val="0"/>
          <w:marBottom w:val="0"/>
          <w:divBdr>
            <w:top w:val="none" w:sz="0" w:space="0" w:color="auto"/>
            <w:left w:val="none" w:sz="0" w:space="0" w:color="auto"/>
            <w:bottom w:val="none" w:sz="0" w:space="0" w:color="auto"/>
            <w:right w:val="none" w:sz="0" w:space="0" w:color="auto"/>
          </w:divBdr>
        </w:div>
        <w:div w:id="1979650807">
          <w:marLeft w:val="640"/>
          <w:marRight w:val="0"/>
          <w:marTop w:val="0"/>
          <w:marBottom w:val="0"/>
          <w:divBdr>
            <w:top w:val="none" w:sz="0" w:space="0" w:color="auto"/>
            <w:left w:val="none" w:sz="0" w:space="0" w:color="auto"/>
            <w:bottom w:val="none" w:sz="0" w:space="0" w:color="auto"/>
            <w:right w:val="none" w:sz="0" w:space="0" w:color="auto"/>
          </w:divBdr>
        </w:div>
        <w:div w:id="1003557931">
          <w:marLeft w:val="640"/>
          <w:marRight w:val="0"/>
          <w:marTop w:val="0"/>
          <w:marBottom w:val="0"/>
          <w:divBdr>
            <w:top w:val="none" w:sz="0" w:space="0" w:color="auto"/>
            <w:left w:val="none" w:sz="0" w:space="0" w:color="auto"/>
            <w:bottom w:val="none" w:sz="0" w:space="0" w:color="auto"/>
            <w:right w:val="none" w:sz="0" w:space="0" w:color="auto"/>
          </w:divBdr>
        </w:div>
        <w:div w:id="2061393993">
          <w:marLeft w:val="640"/>
          <w:marRight w:val="0"/>
          <w:marTop w:val="0"/>
          <w:marBottom w:val="0"/>
          <w:divBdr>
            <w:top w:val="none" w:sz="0" w:space="0" w:color="auto"/>
            <w:left w:val="none" w:sz="0" w:space="0" w:color="auto"/>
            <w:bottom w:val="none" w:sz="0" w:space="0" w:color="auto"/>
            <w:right w:val="none" w:sz="0" w:space="0" w:color="auto"/>
          </w:divBdr>
        </w:div>
        <w:div w:id="1318219118">
          <w:marLeft w:val="640"/>
          <w:marRight w:val="0"/>
          <w:marTop w:val="0"/>
          <w:marBottom w:val="0"/>
          <w:divBdr>
            <w:top w:val="none" w:sz="0" w:space="0" w:color="auto"/>
            <w:left w:val="none" w:sz="0" w:space="0" w:color="auto"/>
            <w:bottom w:val="none" w:sz="0" w:space="0" w:color="auto"/>
            <w:right w:val="none" w:sz="0" w:space="0" w:color="auto"/>
          </w:divBdr>
        </w:div>
        <w:div w:id="571543356">
          <w:marLeft w:val="640"/>
          <w:marRight w:val="0"/>
          <w:marTop w:val="0"/>
          <w:marBottom w:val="0"/>
          <w:divBdr>
            <w:top w:val="none" w:sz="0" w:space="0" w:color="auto"/>
            <w:left w:val="none" w:sz="0" w:space="0" w:color="auto"/>
            <w:bottom w:val="none" w:sz="0" w:space="0" w:color="auto"/>
            <w:right w:val="none" w:sz="0" w:space="0" w:color="auto"/>
          </w:divBdr>
        </w:div>
        <w:div w:id="1349406288">
          <w:marLeft w:val="640"/>
          <w:marRight w:val="0"/>
          <w:marTop w:val="0"/>
          <w:marBottom w:val="0"/>
          <w:divBdr>
            <w:top w:val="none" w:sz="0" w:space="0" w:color="auto"/>
            <w:left w:val="none" w:sz="0" w:space="0" w:color="auto"/>
            <w:bottom w:val="none" w:sz="0" w:space="0" w:color="auto"/>
            <w:right w:val="none" w:sz="0" w:space="0" w:color="auto"/>
          </w:divBdr>
        </w:div>
        <w:div w:id="2033532135">
          <w:marLeft w:val="640"/>
          <w:marRight w:val="0"/>
          <w:marTop w:val="0"/>
          <w:marBottom w:val="0"/>
          <w:divBdr>
            <w:top w:val="none" w:sz="0" w:space="0" w:color="auto"/>
            <w:left w:val="none" w:sz="0" w:space="0" w:color="auto"/>
            <w:bottom w:val="none" w:sz="0" w:space="0" w:color="auto"/>
            <w:right w:val="none" w:sz="0" w:space="0" w:color="auto"/>
          </w:divBdr>
        </w:div>
        <w:div w:id="510921693">
          <w:marLeft w:val="640"/>
          <w:marRight w:val="0"/>
          <w:marTop w:val="0"/>
          <w:marBottom w:val="0"/>
          <w:divBdr>
            <w:top w:val="none" w:sz="0" w:space="0" w:color="auto"/>
            <w:left w:val="none" w:sz="0" w:space="0" w:color="auto"/>
            <w:bottom w:val="none" w:sz="0" w:space="0" w:color="auto"/>
            <w:right w:val="none" w:sz="0" w:space="0" w:color="auto"/>
          </w:divBdr>
        </w:div>
        <w:div w:id="27220292">
          <w:marLeft w:val="640"/>
          <w:marRight w:val="0"/>
          <w:marTop w:val="0"/>
          <w:marBottom w:val="0"/>
          <w:divBdr>
            <w:top w:val="none" w:sz="0" w:space="0" w:color="auto"/>
            <w:left w:val="none" w:sz="0" w:space="0" w:color="auto"/>
            <w:bottom w:val="none" w:sz="0" w:space="0" w:color="auto"/>
            <w:right w:val="none" w:sz="0" w:space="0" w:color="auto"/>
          </w:divBdr>
        </w:div>
        <w:div w:id="2002002582">
          <w:marLeft w:val="640"/>
          <w:marRight w:val="0"/>
          <w:marTop w:val="0"/>
          <w:marBottom w:val="0"/>
          <w:divBdr>
            <w:top w:val="none" w:sz="0" w:space="0" w:color="auto"/>
            <w:left w:val="none" w:sz="0" w:space="0" w:color="auto"/>
            <w:bottom w:val="none" w:sz="0" w:space="0" w:color="auto"/>
            <w:right w:val="none" w:sz="0" w:space="0" w:color="auto"/>
          </w:divBdr>
        </w:div>
        <w:div w:id="28723111">
          <w:marLeft w:val="640"/>
          <w:marRight w:val="0"/>
          <w:marTop w:val="0"/>
          <w:marBottom w:val="0"/>
          <w:divBdr>
            <w:top w:val="none" w:sz="0" w:space="0" w:color="auto"/>
            <w:left w:val="none" w:sz="0" w:space="0" w:color="auto"/>
            <w:bottom w:val="none" w:sz="0" w:space="0" w:color="auto"/>
            <w:right w:val="none" w:sz="0" w:space="0" w:color="auto"/>
          </w:divBdr>
        </w:div>
        <w:div w:id="1547524559">
          <w:marLeft w:val="640"/>
          <w:marRight w:val="0"/>
          <w:marTop w:val="0"/>
          <w:marBottom w:val="0"/>
          <w:divBdr>
            <w:top w:val="none" w:sz="0" w:space="0" w:color="auto"/>
            <w:left w:val="none" w:sz="0" w:space="0" w:color="auto"/>
            <w:bottom w:val="none" w:sz="0" w:space="0" w:color="auto"/>
            <w:right w:val="none" w:sz="0" w:space="0" w:color="auto"/>
          </w:divBdr>
        </w:div>
        <w:div w:id="1733696506">
          <w:marLeft w:val="640"/>
          <w:marRight w:val="0"/>
          <w:marTop w:val="0"/>
          <w:marBottom w:val="0"/>
          <w:divBdr>
            <w:top w:val="none" w:sz="0" w:space="0" w:color="auto"/>
            <w:left w:val="none" w:sz="0" w:space="0" w:color="auto"/>
            <w:bottom w:val="none" w:sz="0" w:space="0" w:color="auto"/>
            <w:right w:val="none" w:sz="0" w:space="0" w:color="auto"/>
          </w:divBdr>
        </w:div>
        <w:div w:id="555625197">
          <w:marLeft w:val="640"/>
          <w:marRight w:val="0"/>
          <w:marTop w:val="0"/>
          <w:marBottom w:val="0"/>
          <w:divBdr>
            <w:top w:val="none" w:sz="0" w:space="0" w:color="auto"/>
            <w:left w:val="none" w:sz="0" w:space="0" w:color="auto"/>
            <w:bottom w:val="none" w:sz="0" w:space="0" w:color="auto"/>
            <w:right w:val="none" w:sz="0" w:space="0" w:color="auto"/>
          </w:divBdr>
        </w:div>
        <w:div w:id="1998612968">
          <w:marLeft w:val="640"/>
          <w:marRight w:val="0"/>
          <w:marTop w:val="0"/>
          <w:marBottom w:val="0"/>
          <w:divBdr>
            <w:top w:val="none" w:sz="0" w:space="0" w:color="auto"/>
            <w:left w:val="none" w:sz="0" w:space="0" w:color="auto"/>
            <w:bottom w:val="none" w:sz="0" w:space="0" w:color="auto"/>
            <w:right w:val="none" w:sz="0" w:space="0" w:color="auto"/>
          </w:divBdr>
        </w:div>
        <w:div w:id="227961774">
          <w:marLeft w:val="640"/>
          <w:marRight w:val="0"/>
          <w:marTop w:val="0"/>
          <w:marBottom w:val="0"/>
          <w:divBdr>
            <w:top w:val="none" w:sz="0" w:space="0" w:color="auto"/>
            <w:left w:val="none" w:sz="0" w:space="0" w:color="auto"/>
            <w:bottom w:val="none" w:sz="0" w:space="0" w:color="auto"/>
            <w:right w:val="none" w:sz="0" w:space="0" w:color="auto"/>
          </w:divBdr>
        </w:div>
        <w:div w:id="1454789553">
          <w:marLeft w:val="640"/>
          <w:marRight w:val="0"/>
          <w:marTop w:val="0"/>
          <w:marBottom w:val="0"/>
          <w:divBdr>
            <w:top w:val="none" w:sz="0" w:space="0" w:color="auto"/>
            <w:left w:val="none" w:sz="0" w:space="0" w:color="auto"/>
            <w:bottom w:val="none" w:sz="0" w:space="0" w:color="auto"/>
            <w:right w:val="none" w:sz="0" w:space="0" w:color="auto"/>
          </w:divBdr>
        </w:div>
        <w:div w:id="1918710160">
          <w:marLeft w:val="640"/>
          <w:marRight w:val="0"/>
          <w:marTop w:val="0"/>
          <w:marBottom w:val="0"/>
          <w:divBdr>
            <w:top w:val="none" w:sz="0" w:space="0" w:color="auto"/>
            <w:left w:val="none" w:sz="0" w:space="0" w:color="auto"/>
            <w:bottom w:val="none" w:sz="0" w:space="0" w:color="auto"/>
            <w:right w:val="none" w:sz="0" w:space="0" w:color="auto"/>
          </w:divBdr>
        </w:div>
        <w:div w:id="210894950">
          <w:marLeft w:val="640"/>
          <w:marRight w:val="0"/>
          <w:marTop w:val="0"/>
          <w:marBottom w:val="0"/>
          <w:divBdr>
            <w:top w:val="none" w:sz="0" w:space="0" w:color="auto"/>
            <w:left w:val="none" w:sz="0" w:space="0" w:color="auto"/>
            <w:bottom w:val="none" w:sz="0" w:space="0" w:color="auto"/>
            <w:right w:val="none" w:sz="0" w:space="0" w:color="auto"/>
          </w:divBdr>
        </w:div>
        <w:div w:id="1152871682">
          <w:marLeft w:val="640"/>
          <w:marRight w:val="0"/>
          <w:marTop w:val="0"/>
          <w:marBottom w:val="0"/>
          <w:divBdr>
            <w:top w:val="none" w:sz="0" w:space="0" w:color="auto"/>
            <w:left w:val="none" w:sz="0" w:space="0" w:color="auto"/>
            <w:bottom w:val="none" w:sz="0" w:space="0" w:color="auto"/>
            <w:right w:val="none" w:sz="0" w:space="0" w:color="auto"/>
          </w:divBdr>
        </w:div>
        <w:div w:id="1526940706">
          <w:marLeft w:val="640"/>
          <w:marRight w:val="0"/>
          <w:marTop w:val="0"/>
          <w:marBottom w:val="0"/>
          <w:divBdr>
            <w:top w:val="none" w:sz="0" w:space="0" w:color="auto"/>
            <w:left w:val="none" w:sz="0" w:space="0" w:color="auto"/>
            <w:bottom w:val="none" w:sz="0" w:space="0" w:color="auto"/>
            <w:right w:val="none" w:sz="0" w:space="0" w:color="auto"/>
          </w:divBdr>
        </w:div>
        <w:div w:id="2119987702">
          <w:marLeft w:val="640"/>
          <w:marRight w:val="0"/>
          <w:marTop w:val="0"/>
          <w:marBottom w:val="0"/>
          <w:divBdr>
            <w:top w:val="none" w:sz="0" w:space="0" w:color="auto"/>
            <w:left w:val="none" w:sz="0" w:space="0" w:color="auto"/>
            <w:bottom w:val="none" w:sz="0" w:space="0" w:color="auto"/>
            <w:right w:val="none" w:sz="0" w:space="0" w:color="auto"/>
          </w:divBdr>
        </w:div>
        <w:div w:id="2053261819">
          <w:marLeft w:val="640"/>
          <w:marRight w:val="0"/>
          <w:marTop w:val="0"/>
          <w:marBottom w:val="0"/>
          <w:divBdr>
            <w:top w:val="none" w:sz="0" w:space="0" w:color="auto"/>
            <w:left w:val="none" w:sz="0" w:space="0" w:color="auto"/>
            <w:bottom w:val="none" w:sz="0" w:space="0" w:color="auto"/>
            <w:right w:val="none" w:sz="0" w:space="0" w:color="auto"/>
          </w:divBdr>
        </w:div>
        <w:div w:id="1209074256">
          <w:marLeft w:val="640"/>
          <w:marRight w:val="0"/>
          <w:marTop w:val="0"/>
          <w:marBottom w:val="0"/>
          <w:divBdr>
            <w:top w:val="none" w:sz="0" w:space="0" w:color="auto"/>
            <w:left w:val="none" w:sz="0" w:space="0" w:color="auto"/>
            <w:bottom w:val="none" w:sz="0" w:space="0" w:color="auto"/>
            <w:right w:val="none" w:sz="0" w:space="0" w:color="auto"/>
          </w:divBdr>
        </w:div>
        <w:div w:id="601687487">
          <w:marLeft w:val="640"/>
          <w:marRight w:val="0"/>
          <w:marTop w:val="0"/>
          <w:marBottom w:val="0"/>
          <w:divBdr>
            <w:top w:val="none" w:sz="0" w:space="0" w:color="auto"/>
            <w:left w:val="none" w:sz="0" w:space="0" w:color="auto"/>
            <w:bottom w:val="none" w:sz="0" w:space="0" w:color="auto"/>
            <w:right w:val="none" w:sz="0" w:space="0" w:color="auto"/>
          </w:divBdr>
        </w:div>
        <w:div w:id="561912652">
          <w:marLeft w:val="640"/>
          <w:marRight w:val="0"/>
          <w:marTop w:val="0"/>
          <w:marBottom w:val="0"/>
          <w:divBdr>
            <w:top w:val="none" w:sz="0" w:space="0" w:color="auto"/>
            <w:left w:val="none" w:sz="0" w:space="0" w:color="auto"/>
            <w:bottom w:val="none" w:sz="0" w:space="0" w:color="auto"/>
            <w:right w:val="none" w:sz="0" w:space="0" w:color="auto"/>
          </w:divBdr>
        </w:div>
        <w:div w:id="1560091200">
          <w:marLeft w:val="640"/>
          <w:marRight w:val="0"/>
          <w:marTop w:val="0"/>
          <w:marBottom w:val="0"/>
          <w:divBdr>
            <w:top w:val="none" w:sz="0" w:space="0" w:color="auto"/>
            <w:left w:val="none" w:sz="0" w:space="0" w:color="auto"/>
            <w:bottom w:val="none" w:sz="0" w:space="0" w:color="auto"/>
            <w:right w:val="none" w:sz="0" w:space="0" w:color="auto"/>
          </w:divBdr>
        </w:div>
        <w:div w:id="568419852">
          <w:marLeft w:val="640"/>
          <w:marRight w:val="0"/>
          <w:marTop w:val="0"/>
          <w:marBottom w:val="0"/>
          <w:divBdr>
            <w:top w:val="none" w:sz="0" w:space="0" w:color="auto"/>
            <w:left w:val="none" w:sz="0" w:space="0" w:color="auto"/>
            <w:bottom w:val="none" w:sz="0" w:space="0" w:color="auto"/>
            <w:right w:val="none" w:sz="0" w:space="0" w:color="auto"/>
          </w:divBdr>
        </w:div>
        <w:div w:id="1904369921">
          <w:marLeft w:val="640"/>
          <w:marRight w:val="0"/>
          <w:marTop w:val="0"/>
          <w:marBottom w:val="0"/>
          <w:divBdr>
            <w:top w:val="none" w:sz="0" w:space="0" w:color="auto"/>
            <w:left w:val="none" w:sz="0" w:space="0" w:color="auto"/>
            <w:bottom w:val="none" w:sz="0" w:space="0" w:color="auto"/>
            <w:right w:val="none" w:sz="0" w:space="0" w:color="auto"/>
          </w:divBdr>
        </w:div>
        <w:div w:id="648367599">
          <w:marLeft w:val="640"/>
          <w:marRight w:val="0"/>
          <w:marTop w:val="0"/>
          <w:marBottom w:val="0"/>
          <w:divBdr>
            <w:top w:val="none" w:sz="0" w:space="0" w:color="auto"/>
            <w:left w:val="none" w:sz="0" w:space="0" w:color="auto"/>
            <w:bottom w:val="none" w:sz="0" w:space="0" w:color="auto"/>
            <w:right w:val="none" w:sz="0" w:space="0" w:color="auto"/>
          </w:divBdr>
        </w:div>
        <w:div w:id="159930520">
          <w:marLeft w:val="640"/>
          <w:marRight w:val="0"/>
          <w:marTop w:val="0"/>
          <w:marBottom w:val="0"/>
          <w:divBdr>
            <w:top w:val="none" w:sz="0" w:space="0" w:color="auto"/>
            <w:left w:val="none" w:sz="0" w:space="0" w:color="auto"/>
            <w:bottom w:val="none" w:sz="0" w:space="0" w:color="auto"/>
            <w:right w:val="none" w:sz="0" w:space="0" w:color="auto"/>
          </w:divBdr>
        </w:div>
        <w:div w:id="1035421756">
          <w:marLeft w:val="640"/>
          <w:marRight w:val="0"/>
          <w:marTop w:val="0"/>
          <w:marBottom w:val="0"/>
          <w:divBdr>
            <w:top w:val="none" w:sz="0" w:space="0" w:color="auto"/>
            <w:left w:val="none" w:sz="0" w:space="0" w:color="auto"/>
            <w:bottom w:val="none" w:sz="0" w:space="0" w:color="auto"/>
            <w:right w:val="none" w:sz="0" w:space="0" w:color="auto"/>
          </w:divBdr>
        </w:div>
      </w:divsChild>
    </w:div>
    <w:div w:id="1438477152">
      <w:bodyDiv w:val="1"/>
      <w:marLeft w:val="0"/>
      <w:marRight w:val="0"/>
      <w:marTop w:val="0"/>
      <w:marBottom w:val="0"/>
      <w:divBdr>
        <w:top w:val="none" w:sz="0" w:space="0" w:color="auto"/>
        <w:left w:val="none" w:sz="0" w:space="0" w:color="auto"/>
        <w:bottom w:val="none" w:sz="0" w:space="0" w:color="auto"/>
        <w:right w:val="none" w:sz="0" w:space="0" w:color="auto"/>
      </w:divBdr>
      <w:divsChild>
        <w:div w:id="260989481">
          <w:marLeft w:val="640"/>
          <w:marRight w:val="0"/>
          <w:marTop w:val="0"/>
          <w:marBottom w:val="0"/>
          <w:divBdr>
            <w:top w:val="none" w:sz="0" w:space="0" w:color="auto"/>
            <w:left w:val="none" w:sz="0" w:space="0" w:color="auto"/>
            <w:bottom w:val="none" w:sz="0" w:space="0" w:color="auto"/>
            <w:right w:val="none" w:sz="0" w:space="0" w:color="auto"/>
          </w:divBdr>
        </w:div>
        <w:div w:id="718090571">
          <w:marLeft w:val="640"/>
          <w:marRight w:val="0"/>
          <w:marTop w:val="0"/>
          <w:marBottom w:val="0"/>
          <w:divBdr>
            <w:top w:val="none" w:sz="0" w:space="0" w:color="auto"/>
            <w:left w:val="none" w:sz="0" w:space="0" w:color="auto"/>
            <w:bottom w:val="none" w:sz="0" w:space="0" w:color="auto"/>
            <w:right w:val="none" w:sz="0" w:space="0" w:color="auto"/>
          </w:divBdr>
        </w:div>
        <w:div w:id="888997696">
          <w:marLeft w:val="640"/>
          <w:marRight w:val="0"/>
          <w:marTop w:val="0"/>
          <w:marBottom w:val="0"/>
          <w:divBdr>
            <w:top w:val="none" w:sz="0" w:space="0" w:color="auto"/>
            <w:left w:val="none" w:sz="0" w:space="0" w:color="auto"/>
            <w:bottom w:val="none" w:sz="0" w:space="0" w:color="auto"/>
            <w:right w:val="none" w:sz="0" w:space="0" w:color="auto"/>
          </w:divBdr>
        </w:div>
        <w:div w:id="565847721">
          <w:marLeft w:val="640"/>
          <w:marRight w:val="0"/>
          <w:marTop w:val="0"/>
          <w:marBottom w:val="0"/>
          <w:divBdr>
            <w:top w:val="none" w:sz="0" w:space="0" w:color="auto"/>
            <w:left w:val="none" w:sz="0" w:space="0" w:color="auto"/>
            <w:bottom w:val="none" w:sz="0" w:space="0" w:color="auto"/>
            <w:right w:val="none" w:sz="0" w:space="0" w:color="auto"/>
          </w:divBdr>
        </w:div>
        <w:div w:id="1454447520">
          <w:marLeft w:val="640"/>
          <w:marRight w:val="0"/>
          <w:marTop w:val="0"/>
          <w:marBottom w:val="0"/>
          <w:divBdr>
            <w:top w:val="none" w:sz="0" w:space="0" w:color="auto"/>
            <w:left w:val="none" w:sz="0" w:space="0" w:color="auto"/>
            <w:bottom w:val="none" w:sz="0" w:space="0" w:color="auto"/>
            <w:right w:val="none" w:sz="0" w:space="0" w:color="auto"/>
          </w:divBdr>
        </w:div>
        <w:div w:id="1488088920">
          <w:marLeft w:val="640"/>
          <w:marRight w:val="0"/>
          <w:marTop w:val="0"/>
          <w:marBottom w:val="0"/>
          <w:divBdr>
            <w:top w:val="none" w:sz="0" w:space="0" w:color="auto"/>
            <w:left w:val="none" w:sz="0" w:space="0" w:color="auto"/>
            <w:bottom w:val="none" w:sz="0" w:space="0" w:color="auto"/>
            <w:right w:val="none" w:sz="0" w:space="0" w:color="auto"/>
          </w:divBdr>
        </w:div>
        <w:div w:id="418990318">
          <w:marLeft w:val="640"/>
          <w:marRight w:val="0"/>
          <w:marTop w:val="0"/>
          <w:marBottom w:val="0"/>
          <w:divBdr>
            <w:top w:val="none" w:sz="0" w:space="0" w:color="auto"/>
            <w:left w:val="none" w:sz="0" w:space="0" w:color="auto"/>
            <w:bottom w:val="none" w:sz="0" w:space="0" w:color="auto"/>
            <w:right w:val="none" w:sz="0" w:space="0" w:color="auto"/>
          </w:divBdr>
        </w:div>
        <w:div w:id="1601597138">
          <w:marLeft w:val="640"/>
          <w:marRight w:val="0"/>
          <w:marTop w:val="0"/>
          <w:marBottom w:val="0"/>
          <w:divBdr>
            <w:top w:val="none" w:sz="0" w:space="0" w:color="auto"/>
            <w:left w:val="none" w:sz="0" w:space="0" w:color="auto"/>
            <w:bottom w:val="none" w:sz="0" w:space="0" w:color="auto"/>
            <w:right w:val="none" w:sz="0" w:space="0" w:color="auto"/>
          </w:divBdr>
        </w:div>
        <w:div w:id="1360542918">
          <w:marLeft w:val="640"/>
          <w:marRight w:val="0"/>
          <w:marTop w:val="0"/>
          <w:marBottom w:val="0"/>
          <w:divBdr>
            <w:top w:val="none" w:sz="0" w:space="0" w:color="auto"/>
            <w:left w:val="none" w:sz="0" w:space="0" w:color="auto"/>
            <w:bottom w:val="none" w:sz="0" w:space="0" w:color="auto"/>
            <w:right w:val="none" w:sz="0" w:space="0" w:color="auto"/>
          </w:divBdr>
        </w:div>
        <w:div w:id="1423994632">
          <w:marLeft w:val="640"/>
          <w:marRight w:val="0"/>
          <w:marTop w:val="0"/>
          <w:marBottom w:val="0"/>
          <w:divBdr>
            <w:top w:val="none" w:sz="0" w:space="0" w:color="auto"/>
            <w:left w:val="none" w:sz="0" w:space="0" w:color="auto"/>
            <w:bottom w:val="none" w:sz="0" w:space="0" w:color="auto"/>
            <w:right w:val="none" w:sz="0" w:space="0" w:color="auto"/>
          </w:divBdr>
        </w:div>
        <w:div w:id="449276813">
          <w:marLeft w:val="640"/>
          <w:marRight w:val="0"/>
          <w:marTop w:val="0"/>
          <w:marBottom w:val="0"/>
          <w:divBdr>
            <w:top w:val="none" w:sz="0" w:space="0" w:color="auto"/>
            <w:left w:val="none" w:sz="0" w:space="0" w:color="auto"/>
            <w:bottom w:val="none" w:sz="0" w:space="0" w:color="auto"/>
            <w:right w:val="none" w:sz="0" w:space="0" w:color="auto"/>
          </w:divBdr>
        </w:div>
        <w:div w:id="928469415">
          <w:marLeft w:val="640"/>
          <w:marRight w:val="0"/>
          <w:marTop w:val="0"/>
          <w:marBottom w:val="0"/>
          <w:divBdr>
            <w:top w:val="none" w:sz="0" w:space="0" w:color="auto"/>
            <w:left w:val="none" w:sz="0" w:space="0" w:color="auto"/>
            <w:bottom w:val="none" w:sz="0" w:space="0" w:color="auto"/>
            <w:right w:val="none" w:sz="0" w:space="0" w:color="auto"/>
          </w:divBdr>
        </w:div>
        <w:div w:id="1354186970">
          <w:marLeft w:val="640"/>
          <w:marRight w:val="0"/>
          <w:marTop w:val="0"/>
          <w:marBottom w:val="0"/>
          <w:divBdr>
            <w:top w:val="none" w:sz="0" w:space="0" w:color="auto"/>
            <w:left w:val="none" w:sz="0" w:space="0" w:color="auto"/>
            <w:bottom w:val="none" w:sz="0" w:space="0" w:color="auto"/>
            <w:right w:val="none" w:sz="0" w:space="0" w:color="auto"/>
          </w:divBdr>
        </w:div>
        <w:div w:id="72818042">
          <w:marLeft w:val="640"/>
          <w:marRight w:val="0"/>
          <w:marTop w:val="0"/>
          <w:marBottom w:val="0"/>
          <w:divBdr>
            <w:top w:val="none" w:sz="0" w:space="0" w:color="auto"/>
            <w:left w:val="none" w:sz="0" w:space="0" w:color="auto"/>
            <w:bottom w:val="none" w:sz="0" w:space="0" w:color="auto"/>
            <w:right w:val="none" w:sz="0" w:space="0" w:color="auto"/>
          </w:divBdr>
        </w:div>
        <w:div w:id="122774426">
          <w:marLeft w:val="640"/>
          <w:marRight w:val="0"/>
          <w:marTop w:val="0"/>
          <w:marBottom w:val="0"/>
          <w:divBdr>
            <w:top w:val="none" w:sz="0" w:space="0" w:color="auto"/>
            <w:left w:val="none" w:sz="0" w:space="0" w:color="auto"/>
            <w:bottom w:val="none" w:sz="0" w:space="0" w:color="auto"/>
            <w:right w:val="none" w:sz="0" w:space="0" w:color="auto"/>
          </w:divBdr>
        </w:div>
        <w:div w:id="1521165495">
          <w:marLeft w:val="640"/>
          <w:marRight w:val="0"/>
          <w:marTop w:val="0"/>
          <w:marBottom w:val="0"/>
          <w:divBdr>
            <w:top w:val="none" w:sz="0" w:space="0" w:color="auto"/>
            <w:left w:val="none" w:sz="0" w:space="0" w:color="auto"/>
            <w:bottom w:val="none" w:sz="0" w:space="0" w:color="auto"/>
            <w:right w:val="none" w:sz="0" w:space="0" w:color="auto"/>
          </w:divBdr>
        </w:div>
        <w:div w:id="259218285">
          <w:marLeft w:val="640"/>
          <w:marRight w:val="0"/>
          <w:marTop w:val="0"/>
          <w:marBottom w:val="0"/>
          <w:divBdr>
            <w:top w:val="none" w:sz="0" w:space="0" w:color="auto"/>
            <w:left w:val="none" w:sz="0" w:space="0" w:color="auto"/>
            <w:bottom w:val="none" w:sz="0" w:space="0" w:color="auto"/>
            <w:right w:val="none" w:sz="0" w:space="0" w:color="auto"/>
          </w:divBdr>
        </w:div>
        <w:div w:id="1512984824">
          <w:marLeft w:val="640"/>
          <w:marRight w:val="0"/>
          <w:marTop w:val="0"/>
          <w:marBottom w:val="0"/>
          <w:divBdr>
            <w:top w:val="none" w:sz="0" w:space="0" w:color="auto"/>
            <w:left w:val="none" w:sz="0" w:space="0" w:color="auto"/>
            <w:bottom w:val="none" w:sz="0" w:space="0" w:color="auto"/>
            <w:right w:val="none" w:sz="0" w:space="0" w:color="auto"/>
          </w:divBdr>
        </w:div>
        <w:div w:id="1111703681">
          <w:marLeft w:val="640"/>
          <w:marRight w:val="0"/>
          <w:marTop w:val="0"/>
          <w:marBottom w:val="0"/>
          <w:divBdr>
            <w:top w:val="none" w:sz="0" w:space="0" w:color="auto"/>
            <w:left w:val="none" w:sz="0" w:space="0" w:color="auto"/>
            <w:bottom w:val="none" w:sz="0" w:space="0" w:color="auto"/>
            <w:right w:val="none" w:sz="0" w:space="0" w:color="auto"/>
          </w:divBdr>
        </w:div>
        <w:div w:id="18630156">
          <w:marLeft w:val="640"/>
          <w:marRight w:val="0"/>
          <w:marTop w:val="0"/>
          <w:marBottom w:val="0"/>
          <w:divBdr>
            <w:top w:val="none" w:sz="0" w:space="0" w:color="auto"/>
            <w:left w:val="none" w:sz="0" w:space="0" w:color="auto"/>
            <w:bottom w:val="none" w:sz="0" w:space="0" w:color="auto"/>
            <w:right w:val="none" w:sz="0" w:space="0" w:color="auto"/>
          </w:divBdr>
        </w:div>
        <w:div w:id="778109827">
          <w:marLeft w:val="640"/>
          <w:marRight w:val="0"/>
          <w:marTop w:val="0"/>
          <w:marBottom w:val="0"/>
          <w:divBdr>
            <w:top w:val="none" w:sz="0" w:space="0" w:color="auto"/>
            <w:left w:val="none" w:sz="0" w:space="0" w:color="auto"/>
            <w:bottom w:val="none" w:sz="0" w:space="0" w:color="auto"/>
            <w:right w:val="none" w:sz="0" w:space="0" w:color="auto"/>
          </w:divBdr>
        </w:div>
        <w:div w:id="334462101">
          <w:marLeft w:val="640"/>
          <w:marRight w:val="0"/>
          <w:marTop w:val="0"/>
          <w:marBottom w:val="0"/>
          <w:divBdr>
            <w:top w:val="none" w:sz="0" w:space="0" w:color="auto"/>
            <w:left w:val="none" w:sz="0" w:space="0" w:color="auto"/>
            <w:bottom w:val="none" w:sz="0" w:space="0" w:color="auto"/>
            <w:right w:val="none" w:sz="0" w:space="0" w:color="auto"/>
          </w:divBdr>
        </w:div>
        <w:div w:id="506212703">
          <w:marLeft w:val="640"/>
          <w:marRight w:val="0"/>
          <w:marTop w:val="0"/>
          <w:marBottom w:val="0"/>
          <w:divBdr>
            <w:top w:val="none" w:sz="0" w:space="0" w:color="auto"/>
            <w:left w:val="none" w:sz="0" w:space="0" w:color="auto"/>
            <w:bottom w:val="none" w:sz="0" w:space="0" w:color="auto"/>
            <w:right w:val="none" w:sz="0" w:space="0" w:color="auto"/>
          </w:divBdr>
        </w:div>
        <w:div w:id="1288900525">
          <w:marLeft w:val="640"/>
          <w:marRight w:val="0"/>
          <w:marTop w:val="0"/>
          <w:marBottom w:val="0"/>
          <w:divBdr>
            <w:top w:val="none" w:sz="0" w:space="0" w:color="auto"/>
            <w:left w:val="none" w:sz="0" w:space="0" w:color="auto"/>
            <w:bottom w:val="none" w:sz="0" w:space="0" w:color="auto"/>
            <w:right w:val="none" w:sz="0" w:space="0" w:color="auto"/>
          </w:divBdr>
        </w:div>
        <w:div w:id="1233127973">
          <w:marLeft w:val="640"/>
          <w:marRight w:val="0"/>
          <w:marTop w:val="0"/>
          <w:marBottom w:val="0"/>
          <w:divBdr>
            <w:top w:val="none" w:sz="0" w:space="0" w:color="auto"/>
            <w:left w:val="none" w:sz="0" w:space="0" w:color="auto"/>
            <w:bottom w:val="none" w:sz="0" w:space="0" w:color="auto"/>
            <w:right w:val="none" w:sz="0" w:space="0" w:color="auto"/>
          </w:divBdr>
        </w:div>
        <w:div w:id="209615034">
          <w:marLeft w:val="640"/>
          <w:marRight w:val="0"/>
          <w:marTop w:val="0"/>
          <w:marBottom w:val="0"/>
          <w:divBdr>
            <w:top w:val="none" w:sz="0" w:space="0" w:color="auto"/>
            <w:left w:val="none" w:sz="0" w:space="0" w:color="auto"/>
            <w:bottom w:val="none" w:sz="0" w:space="0" w:color="auto"/>
            <w:right w:val="none" w:sz="0" w:space="0" w:color="auto"/>
          </w:divBdr>
        </w:div>
        <w:div w:id="1943802798">
          <w:marLeft w:val="640"/>
          <w:marRight w:val="0"/>
          <w:marTop w:val="0"/>
          <w:marBottom w:val="0"/>
          <w:divBdr>
            <w:top w:val="none" w:sz="0" w:space="0" w:color="auto"/>
            <w:left w:val="none" w:sz="0" w:space="0" w:color="auto"/>
            <w:bottom w:val="none" w:sz="0" w:space="0" w:color="auto"/>
            <w:right w:val="none" w:sz="0" w:space="0" w:color="auto"/>
          </w:divBdr>
        </w:div>
        <w:div w:id="612522785">
          <w:marLeft w:val="640"/>
          <w:marRight w:val="0"/>
          <w:marTop w:val="0"/>
          <w:marBottom w:val="0"/>
          <w:divBdr>
            <w:top w:val="none" w:sz="0" w:space="0" w:color="auto"/>
            <w:left w:val="none" w:sz="0" w:space="0" w:color="auto"/>
            <w:bottom w:val="none" w:sz="0" w:space="0" w:color="auto"/>
            <w:right w:val="none" w:sz="0" w:space="0" w:color="auto"/>
          </w:divBdr>
        </w:div>
        <w:div w:id="1966354236">
          <w:marLeft w:val="640"/>
          <w:marRight w:val="0"/>
          <w:marTop w:val="0"/>
          <w:marBottom w:val="0"/>
          <w:divBdr>
            <w:top w:val="none" w:sz="0" w:space="0" w:color="auto"/>
            <w:left w:val="none" w:sz="0" w:space="0" w:color="auto"/>
            <w:bottom w:val="none" w:sz="0" w:space="0" w:color="auto"/>
            <w:right w:val="none" w:sz="0" w:space="0" w:color="auto"/>
          </w:divBdr>
        </w:div>
        <w:div w:id="990446493">
          <w:marLeft w:val="640"/>
          <w:marRight w:val="0"/>
          <w:marTop w:val="0"/>
          <w:marBottom w:val="0"/>
          <w:divBdr>
            <w:top w:val="none" w:sz="0" w:space="0" w:color="auto"/>
            <w:left w:val="none" w:sz="0" w:space="0" w:color="auto"/>
            <w:bottom w:val="none" w:sz="0" w:space="0" w:color="auto"/>
            <w:right w:val="none" w:sz="0" w:space="0" w:color="auto"/>
          </w:divBdr>
        </w:div>
        <w:div w:id="418598170">
          <w:marLeft w:val="640"/>
          <w:marRight w:val="0"/>
          <w:marTop w:val="0"/>
          <w:marBottom w:val="0"/>
          <w:divBdr>
            <w:top w:val="none" w:sz="0" w:space="0" w:color="auto"/>
            <w:left w:val="none" w:sz="0" w:space="0" w:color="auto"/>
            <w:bottom w:val="none" w:sz="0" w:space="0" w:color="auto"/>
            <w:right w:val="none" w:sz="0" w:space="0" w:color="auto"/>
          </w:divBdr>
        </w:div>
        <w:div w:id="1742100235">
          <w:marLeft w:val="640"/>
          <w:marRight w:val="0"/>
          <w:marTop w:val="0"/>
          <w:marBottom w:val="0"/>
          <w:divBdr>
            <w:top w:val="none" w:sz="0" w:space="0" w:color="auto"/>
            <w:left w:val="none" w:sz="0" w:space="0" w:color="auto"/>
            <w:bottom w:val="none" w:sz="0" w:space="0" w:color="auto"/>
            <w:right w:val="none" w:sz="0" w:space="0" w:color="auto"/>
          </w:divBdr>
        </w:div>
        <w:div w:id="2090691474">
          <w:marLeft w:val="640"/>
          <w:marRight w:val="0"/>
          <w:marTop w:val="0"/>
          <w:marBottom w:val="0"/>
          <w:divBdr>
            <w:top w:val="none" w:sz="0" w:space="0" w:color="auto"/>
            <w:left w:val="none" w:sz="0" w:space="0" w:color="auto"/>
            <w:bottom w:val="none" w:sz="0" w:space="0" w:color="auto"/>
            <w:right w:val="none" w:sz="0" w:space="0" w:color="auto"/>
          </w:divBdr>
        </w:div>
        <w:div w:id="1700013141">
          <w:marLeft w:val="640"/>
          <w:marRight w:val="0"/>
          <w:marTop w:val="0"/>
          <w:marBottom w:val="0"/>
          <w:divBdr>
            <w:top w:val="none" w:sz="0" w:space="0" w:color="auto"/>
            <w:left w:val="none" w:sz="0" w:space="0" w:color="auto"/>
            <w:bottom w:val="none" w:sz="0" w:space="0" w:color="auto"/>
            <w:right w:val="none" w:sz="0" w:space="0" w:color="auto"/>
          </w:divBdr>
        </w:div>
        <w:div w:id="1310134051">
          <w:marLeft w:val="640"/>
          <w:marRight w:val="0"/>
          <w:marTop w:val="0"/>
          <w:marBottom w:val="0"/>
          <w:divBdr>
            <w:top w:val="none" w:sz="0" w:space="0" w:color="auto"/>
            <w:left w:val="none" w:sz="0" w:space="0" w:color="auto"/>
            <w:bottom w:val="none" w:sz="0" w:space="0" w:color="auto"/>
            <w:right w:val="none" w:sz="0" w:space="0" w:color="auto"/>
          </w:divBdr>
        </w:div>
        <w:div w:id="1538662151">
          <w:marLeft w:val="640"/>
          <w:marRight w:val="0"/>
          <w:marTop w:val="0"/>
          <w:marBottom w:val="0"/>
          <w:divBdr>
            <w:top w:val="none" w:sz="0" w:space="0" w:color="auto"/>
            <w:left w:val="none" w:sz="0" w:space="0" w:color="auto"/>
            <w:bottom w:val="none" w:sz="0" w:space="0" w:color="auto"/>
            <w:right w:val="none" w:sz="0" w:space="0" w:color="auto"/>
          </w:divBdr>
        </w:div>
        <w:div w:id="797115081">
          <w:marLeft w:val="640"/>
          <w:marRight w:val="0"/>
          <w:marTop w:val="0"/>
          <w:marBottom w:val="0"/>
          <w:divBdr>
            <w:top w:val="none" w:sz="0" w:space="0" w:color="auto"/>
            <w:left w:val="none" w:sz="0" w:space="0" w:color="auto"/>
            <w:bottom w:val="none" w:sz="0" w:space="0" w:color="auto"/>
            <w:right w:val="none" w:sz="0" w:space="0" w:color="auto"/>
          </w:divBdr>
        </w:div>
        <w:div w:id="1465270845">
          <w:marLeft w:val="640"/>
          <w:marRight w:val="0"/>
          <w:marTop w:val="0"/>
          <w:marBottom w:val="0"/>
          <w:divBdr>
            <w:top w:val="none" w:sz="0" w:space="0" w:color="auto"/>
            <w:left w:val="none" w:sz="0" w:space="0" w:color="auto"/>
            <w:bottom w:val="none" w:sz="0" w:space="0" w:color="auto"/>
            <w:right w:val="none" w:sz="0" w:space="0" w:color="auto"/>
          </w:divBdr>
        </w:div>
        <w:div w:id="325398212">
          <w:marLeft w:val="640"/>
          <w:marRight w:val="0"/>
          <w:marTop w:val="0"/>
          <w:marBottom w:val="0"/>
          <w:divBdr>
            <w:top w:val="none" w:sz="0" w:space="0" w:color="auto"/>
            <w:left w:val="none" w:sz="0" w:space="0" w:color="auto"/>
            <w:bottom w:val="none" w:sz="0" w:space="0" w:color="auto"/>
            <w:right w:val="none" w:sz="0" w:space="0" w:color="auto"/>
          </w:divBdr>
        </w:div>
        <w:div w:id="2036809261">
          <w:marLeft w:val="640"/>
          <w:marRight w:val="0"/>
          <w:marTop w:val="0"/>
          <w:marBottom w:val="0"/>
          <w:divBdr>
            <w:top w:val="none" w:sz="0" w:space="0" w:color="auto"/>
            <w:left w:val="none" w:sz="0" w:space="0" w:color="auto"/>
            <w:bottom w:val="none" w:sz="0" w:space="0" w:color="auto"/>
            <w:right w:val="none" w:sz="0" w:space="0" w:color="auto"/>
          </w:divBdr>
        </w:div>
        <w:div w:id="769663793">
          <w:marLeft w:val="640"/>
          <w:marRight w:val="0"/>
          <w:marTop w:val="0"/>
          <w:marBottom w:val="0"/>
          <w:divBdr>
            <w:top w:val="none" w:sz="0" w:space="0" w:color="auto"/>
            <w:left w:val="none" w:sz="0" w:space="0" w:color="auto"/>
            <w:bottom w:val="none" w:sz="0" w:space="0" w:color="auto"/>
            <w:right w:val="none" w:sz="0" w:space="0" w:color="auto"/>
          </w:divBdr>
        </w:div>
        <w:div w:id="723987401">
          <w:marLeft w:val="640"/>
          <w:marRight w:val="0"/>
          <w:marTop w:val="0"/>
          <w:marBottom w:val="0"/>
          <w:divBdr>
            <w:top w:val="none" w:sz="0" w:space="0" w:color="auto"/>
            <w:left w:val="none" w:sz="0" w:space="0" w:color="auto"/>
            <w:bottom w:val="none" w:sz="0" w:space="0" w:color="auto"/>
            <w:right w:val="none" w:sz="0" w:space="0" w:color="auto"/>
          </w:divBdr>
        </w:div>
        <w:div w:id="596207126">
          <w:marLeft w:val="640"/>
          <w:marRight w:val="0"/>
          <w:marTop w:val="0"/>
          <w:marBottom w:val="0"/>
          <w:divBdr>
            <w:top w:val="none" w:sz="0" w:space="0" w:color="auto"/>
            <w:left w:val="none" w:sz="0" w:space="0" w:color="auto"/>
            <w:bottom w:val="none" w:sz="0" w:space="0" w:color="auto"/>
            <w:right w:val="none" w:sz="0" w:space="0" w:color="auto"/>
          </w:divBdr>
        </w:div>
        <w:div w:id="645472989">
          <w:marLeft w:val="640"/>
          <w:marRight w:val="0"/>
          <w:marTop w:val="0"/>
          <w:marBottom w:val="0"/>
          <w:divBdr>
            <w:top w:val="none" w:sz="0" w:space="0" w:color="auto"/>
            <w:left w:val="none" w:sz="0" w:space="0" w:color="auto"/>
            <w:bottom w:val="none" w:sz="0" w:space="0" w:color="auto"/>
            <w:right w:val="none" w:sz="0" w:space="0" w:color="auto"/>
          </w:divBdr>
        </w:div>
        <w:div w:id="393965511">
          <w:marLeft w:val="640"/>
          <w:marRight w:val="0"/>
          <w:marTop w:val="0"/>
          <w:marBottom w:val="0"/>
          <w:divBdr>
            <w:top w:val="none" w:sz="0" w:space="0" w:color="auto"/>
            <w:left w:val="none" w:sz="0" w:space="0" w:color="auto"/>
            <w:bottom w:val="none" w:sz="0" w:space="0" w:color="auto"/>
            <w:right w:val="none" w:sz="0" w:space="0" w:color="auto"/>
          </w:divBdr>
        </w:div>
        <w:div w:id="1822235570">
          <w:marLeft w:val="640"/>
          <w:marRight w:val="0"/>
          <w:marTop w:val="0"/>
          <w:marBottom w:val="0"/>
          <w:divBdr>
            <w:top w:val="none" w:sz="0" w:space="0" w:color="auto"/>
            <w:left w:val="none" w:sz="0" w:space="0" w:color="auto"/>
            <w:bottom w:val="none" w:sz="0" w:space="0" w:color="auto"/>
            <w:right w:val="none" w:sz="0" w:space="0" w:color="auto"/>
          </w:divBdr>
        </w:div>
        <w:div w:id="328409015">
          <w:marLeft w:val="640"/>
          <w:marRight w:val="0"/>
          <w:marTop w:val="0"/>
          <w:marBottom w:val="0"/>
          <w:divBdr>
            <w:top w:val="none" w:sz="0" w:space="0" w:color="auto"/>
            <w:left w:val="none" w:sz="0" w:space="0" w:color="auto"/>
            <w:bottom w:val="none" w:sz="0" w:space="0" w:color="auto"/>
            <w:right w:val="none" w:sz="0" w:space="0" w:color="auto"/>
          </w:divBdr>
        </w:div>
        <w:div w:id="1519154886">
          <w:marLeft w:val="640"/>
          <w:marRight w:val="0"/>
          <w:marTop w:val="0"/>
          <w:marBottom w:val="0"/>
          <w:divBdr>
            <w:top w:val="none" w:sz="0" w:space="0" w:color="auto"/>
            <w:left w:val="none" w:sz="0" w:space="0" w:color="auto"/>
            <w:bottom w:val="none" w:sz="0" w:space="0" w:color="auto"/>
            <w:right w:val="none" w:sz="0" w:space="0" w:color="auto"/>
          </w:divBdr>
        </w:div>
        <w:div w:id="232663817">
          <w:marLeft w:val="640"/>
          <w:marRight w:val="0"/>
          <w:marTop w:val="0"/>
          <w:marBottom w:val="0"/>
          <w:divBdr>
            <w:top w:val="none" w:sz="0" w:space="0" w:color="auto"/>
            <w:left w:val="none" w:sz="0" w:space="0" w:color="auto"/>
            <w:bottom w:val="none" w:sz="0" w:space="0" w:color="auto"/>
            <w:right w:val="none" w:sz="0" w:space="0" w:color="auto"/>
          </w:divBdr>
        </w:div>
        <w:div w:id="1599560802">
          <w:marLeft w:val="640"/>
          <w:marRight w:val="0"/>
          <w:marTop w:val="0"/>
          <w:marBottom w:val="0"/>
          <w:divBdr>
            <w:top w:val="none" w:sz="0" w:space="0" w:color="auto"/>
            <w:left w:val="none" w:sz="0" w:space="0" w:color="auto"/>
            <w:bottom w:val="none" w:sz="0" w:space="0" w:color="auto"/>
            <w:right w:val="none" w:sz="0" w:space="0" w:color="auto"/>
          </w:divBdr>
        </w:div>
        <w:div w:id="614794761">
          <w:marLeft w:val="640"/>
          <w:marRight w:val="0"/>
          <w:marTop w:val="0"/>
          <w:marBottom w:val="0"/>
          <w:divBdr>
            <w:top w:val="none" w:sz="0" w:space="0" w:color="auto"/>
            <w:left w:val="none" w:sz="0" w:space="0" w:color="auto"/>
            <w:bottom w:val="none" w:sz="0" w:space="0" w:color="auto"/>
            <w:right w:val="none" w:sz="0" w:space="0" w:color="auto"/>
          </w:divBdr>
        </w:div>
        <w:div w:id="446775569">
          <w:marLeft w:val="640"/>
          <w:marRight w:val="0"/>
          <w:marTop w:val="0"/>
          <w:marBottom w:val="0"/>
          <w:divBdr>
            <w:top w:val="none" w:sz="0" w:space="0" w:color="auto"/>
            <w:left w:val="none" w:sz="0" w:space="0" w:color="auto"/>
            <w:bottom w:val="none" w:sz="0" w:space="0" w:color="auto"/>
            <w:right w:val="none" w:sz="0" w:space="0" w:color="auto"/>
          </w:divBdr>
        </w:div>
        <w:div w:id="1524125620">
          <w:marLeft w:val="640"/>
          <w:marRight w:val="0"/>
          <w:marTop w:val="0"/>
          <w:marBottom w:val="0"/>
          <w:divBdr>
            <w:top w:val="none" w:sz="0" w:space="0" w:color="auto"/>
            <w:left w:val="none" w:sz="0" w:space="0" w:color="auto"/>
            <w:bottom w:val="none" w:sz="0" w:space="0" w:color="auto"/>
            <w:right w:val="none" w:sz="0" w:space="0" w:color="auto"/>
          </w:divBdr>
        </w:div>
        <w:div w:id="888228119">
          <w:marLeft w:val="640"/>
          <w:marRight w:val="0"/>
          <w:marTop w:val="0"/>
          <w:marBottom w:val="0"/>
          <w:divBdr>
            <w:top w:val="none" w:sz="0" w:space="0" w:color="auto"/>
            <w:left w:val="none" w:sz="0" w:space="0" w:color="auto"/>
            <w:bottom w:val="none" w:sz="0" w:space="0" w:color="auto"/>
            <w:right w:val="none" w:sz="0" w:space="0" w:color="auto"/>
          </w:divBdr>
        </w:div>
        <w:div w:id="640618761">
          <w:marLeft w:val="640"/>
          <w:marRight w:val="0"/>
          <w:marTop w:val="0"/>
          <w:marBottom w:val="0"/>
          <w:divBdr>
            <w:top w:val="none" w:sz="0" w:space="0" w:color="auto"/>
            <w:left w:val="none" w:sz="0" w:space="0" w:color="auto"/>
            <w:bottom w:val="none" w:sz="0" w:space="0" w:color="auto"/>
            <w:right w:val="none" w:sz="0" w:space="0" w:color="auto"/>
          </w:divBdr>
        </w:div>
        <w:div w:id="68238488">
          <w:marLeft w:val="640"/>
          <w:marRight w:val="0"/>
          <w:marTop w:val="0"/>
          <w:marBottom w:val="0"/>
          <w:divBdr>
            <w:top w:val="none" w:sz="0" w:space="0" w:color="auto"/>
            <w:left w:val="none" w:sz="0" w:space="0" w:color="auto"/>
            <w:bottom w:val="none" w:sz="0" w:space="0" w:color="auto"/>
            <w:right w:val="none" w:sz="0" w:space="0" w:color="auto"/>
          </w:divBdr>
        </w:div>
        <w:div w:id="1749963916">
          <w:marLeft w:val="640"/>
          <w:marRight w:val="0"/>
          <w:marTop w:val="0"/>
          <w:marBottom w:val="0"/>
          <w:divBdr>
            <w:top w:val="none" w:sz="0" w:space="0" w:color="auto"/>
            <w:left w:val="none" w:sz="0" w:space="0" w:color="auto"/>
            <w:bottom w:val="none" w:sz="0" w:space="0" w:color="auto"/>
            <w:right w:val="none" w:sz="0" w:space="0" w:color="auto"/>
          </w:divBdr>
        </w:div>
        <w:div w:id="1740516221">
          <w:marLeft w:val="640"/>
          <w:marRight w:val="0"/>
          <w:marTop w:val="0"/>
          <w:marBottom w:val="0"/>
          <w:divBdr>
            <w:top w:val="none" w:sz="0" w:space="0" w:color="auto"/>
            <w:left w:val="none" w:sz="0" w:space="0" w:color="auto"/>
            <w:bottom w:val="none" w:sz="0" w:space="0" w:color="auto"/>
            <w:right w:val="none" w:sz="0" w:space="0" w:color="auto"/>
          </w:divBdr>
        </w:div>
        <w:div w:id="1937323979">
          <w:marLeft w:val="640"/>
          <w:marRight w:val="0"/>
          <w:marTop w:val="0"/>
          <w:marBottom w:val="0"/>
          <w:divBdr>
            <w:top w:val="none" w:sz="0" w:space="0" w:color="auto"/>
            <w:left w:val="none" w:sz="0" w:space="0" w:color="auto"/>
            <w:bottom w:val="none" w:sz="0" w:space="0" w:color="auto"/>
            <w:right w:val="none" w:sz="0" w:space="0" w:color="auto"/>
          </w:divBdr>
        </w:div>
        <w:div w:id="1598900272">
          <w:marLeft w:val="640"/>
          <w:marRight w:val="0"/>
          <w:marTop w:val="0"/>
          <w:marBottom w:val="0"/>
          <w:divBdr>
            <w:top w:val="none" w:sz="0" w:space="0" w:color="auto"/>
            <w:left w:val="none" w:sz="0" w:space="0" w:color="auto"/>
            <w:bottom w:val="none" w:sz="0" w:space="0" w:color="auto"/>
            <w:right w:val="none" w:sz="0" w:space="0" w:color="auto"/>
          </w:divBdr>
        </w:div>
        <w:div w:id="135881188">
          <w:marLeft w:val="640"/>
          <w:marRight w:val="0"/>
          <w:marTop w:val="0"/>
          <w:marBottom w:val="0"/>
          <w:divBdr>
            <w:top w:val="none" w:sz="0" w:space="0" w:color="auto"/>
            <w:left w:val="none" w:sz="0" w:space="0" w:color="auto"/>
            <w:bottom w:val="none" w:sz="0" w:space="0" w:color="auto"/>
            <w:right w:val="none" w:sz="0" w:space="0" w:color="auto"/>
          </w:divBdr>
        </w:div>
        <w:div w:id="361365848">
          <w:marLeft w:val="640"/>
          <w:marRight w:val="0"/>
          <w:marTop w:val="0"/>
          <w:marBottom w:val="0"/>
          <w:divBdr>
            <w:top w:val="none" w:sz="0" w:space="0" w:color="auto"/>
            <w:left w:val="none" w:sz="0" w:space="0" w:color="auto"/>
            <w:bottom w:val="none" w:sz="0" w:space="0" w:color="auto"/>
            <w:right w:val="none" w:sz="0" w:space="0" w:color="auto"/>
          </w:divBdr>
        </w:div>
        <w:div w:id="2135513958">
          <w:marLeft w:val="640"/>
          <w:marRight w:val="0"/>
          <w:marTop w:val="0"/>
          <w:marBottom w:val="0"/>
          <w:divBdr>
            <w:top w:val="none" w:sz="0" w:space="0" w:color="auto"/>
            <w:left w:val="none" w:sz="0" w:space="0" w:color="auto"/>
            <w:bottom w:val="none" w:sz="0" w:space="0" w:color="auto"/>
            <w:right w:val="none" w:sz="0" w:space="0" w:color="auto"/>
          </w:divBdr>
        </w:div>
        <w:div w:id="324819965">
          <w:marLeft w:val="640"/>
          <w:marRight w:val="0"/>
          <w:marTop w:val="0"/>
          <w:marBottom w:val="0"/>
          <w:divBdr>
            <w:top w:val="none" w:sz="0" w:space="0" w:color="auto"/>
            <w:left w:val="none" w:sz="0" w:space="0" w:color="auto"/>
            <w:bottom w:val="none" w:sz="0" w:space="0" w:color="auto"/>
            <w:right w:val="none" w:sz="0" w:space="0" w:color="auto"/>
          </w:divBdr>
        </w:div>
        <w:div w:id="609553956">
          <w:marLeft w:val="640"/>
          <w:marRight w:val="0"/>
          <w:marTop w:val="0"/>
          <w:marBottom w:val="0"/>
          <w:divBdr>
            <w:top w:val="none" w:sz="0" w:space="0" w:color="auto"/>
            <w:left w:val="none" w:sz="0" w:space="0" w:color="auto"/>
            <w:bottom w:val="none" w:sz="0" w:space="0" w:color="auto"/>
            <w:right w:val="none" w:sz="0" w:space="0" w:color="auto"/>
          </w:divBdr>
        </w:div>
        <w:div w:id="184564934">
          <w:marLeft w:val="640"/>
          <w:marRight w:val="0"/>
          <w:marTop w:val="0"/>
          <w:marBottom w:val="0"/>
          <w:divBdr>
            <w:top w:val="none" w:sz="0" w:space="0" w:color="auto"/>
            <w:left w:val="none" w:sz="0" w:space="0" w:color="auto"/>
            <w:bottom w:val="none" w:sz="0" w:space="0" w:color="auto"/>
            <w:right w:val="none" w:sz="0" w:space="0" w:color="auto"/>
          </w:divBdr>
        </w:div>
        <w:div w:id="372268265">
          <w:marLeft w:val="640"/>
          <w:marRight w:val="0"/>
          <w:marTop w:val="0"/>
          <w:marBottom w:val="0"/>
          <w:divBdr>
            <w:top w:val="none" w:sz="0" w:space="0" w:color="auto"/>
            <w:left w:val="none" w:sz="0" w:space="0" w:color="auto"/>
            <w:bottom w:val="none" w:sz="0" w:space="0" w:color="auto"/>
            <w:right w:val="none" w:sz="0" w:space="0" w:color="auto"/>
          </w:divBdr>
        </w:div>
        <w:div w:id="1748915491">
          <w:marLeft w:val="640"/>
          <w:marRight w:val="0"/>
          <w:marTop w:val="0"/>
          <w:marBottom w:val="0"/>
          <w:divBdr>
            <w:top w:val="none" w:sz="0" w:space="0" w:color="auto"/>
            <w:left w:val="none" w:sz="0" w:space="0" w:color="auto"/>
            <w:bottom w:val="none" w:sz="0" w:space="0" w:color="auto"/>
            <w:right w:val="none" w:sz="0" w:space="0" w:color="auto"/>
          </w:divBdr>
        </w:div>
        <w:div w:id="727192576">
          <w:marLeft w:val="640"/>
          <w:marRight w:val="0"/>
          <w:marTop w:val="0"/>
          <w:marBottom w:val="0"/>
          <w:divBdr>
            <w:top w:val="none" w:sz="0" w:space="0" w:color="auto"/>
            <w:left w:val="none" w:sz="0" w:space="0" w:color="auto"/>
            <w:bottom w:val="none" w:sz="0" w:space="0" w:color="auto"/>
            <w:right w:val="none" w:sz="0" w:space="0" w:color="auto"/>
          </w:divBdr>
        </w:div>
        <w:div w:id="1760102866">
          <w:marLeft w:val="640"/>
          <w:marRight w:val="0"/>
          <w:marTop w:val="0"/>
          <w:marBottom w:val="0"/>
          <w:divBdr>
            <w:top w:val="none" w:sz="0" w:space="0" w:color="auto"/>
            <w:left w:val="none" w:sz="0" w:space="0" w:color="auto"/>
            <w:bottom w:val="none" w:sz="0" w:space="0" w:color="auto"/>
            <w:right w:val="none" w:sz="0" w:space="0" w:color="auto"/>
          </w:divBdr>
        </w:div>
        <w:div w:id="727459968">
          <w:marLeft w:val="640"/>
          <w:marRight w:val="0"/>
          <w:marTop w:val="0"/>
          <w:marBottom w:val="0"/>
          <w:divBdr>
            <w:top w:val="none" w:sz="0" w:space="0" w:color="auto"/>
            <w:left w:val="none" w:sz="0" w:space="0" w:color="auto"/>
            <w:bottom w:val="none" w:sz="0" w:space="0" w:color="auto"/>
            <w:right w:val="none" w:sz="0" w:space="0" w:color="auto"/>
          </w:divBdr>
        </w:div>
        <w:div w:id="2078045543">
          <w:marLeft w:val="640"/>
          <w:marRight w:val="0"/>
          <w:marTop w:val="0"/>
          <w:marBottom w:val="0"/>
          <w:divBdr>
            <w:top w:val="none" w:sz="0" w:space="0" w:color="auto"/>
            <w:left w:val="none" w:sz="0" w:space="0" w:color="auto"/>
            <w:bottom w:val="none" w:sz="0" w:space="0" w:color="auto"/>
            <w:right w:val="none" w:sz="0" w:space="0" w:color="auto"/>
          </w:divBdr>
        </w:div>
        <w:div w:id="1928221194">
          <w:marLeft w:val="640"/>
          <w:marRight w:val="0"/>
          <w:marTop w:val="0"/>
          <w:marBottom w:val="0"/>
          <w:divBdr>
            <w:top w:val="none" w:sz="0" w:space="0" w:color="auto"/>
            <w:left w:val="none" w:sz="0" w:space="0" w:color="auto"/>
            <w:bottom w:val="none" w:sz="0" w:space="0" w:color="auto"/>
            <w:right w:val="none" w:sz="0" w:space="0" w:color="auto"/>
          </w:divBdr>
        </w:div>
        <w:div w:id="1724792627">
          <w:marLeft w:val="640"/>
          <w:marRight w:val="0"/>
          <w:marTop w:val="0"/>
          <w:marBottom w:val="0"/>
          <w:divBdr>
            <w:top w:val="none" w:sz="0" w:space="0" w:color="auto"/>
            <w:left w:val="none" w:sz="0" w:space="0" w:color="auto"/>
            <w:bottom w:val="none" w:sz="0" w:space="0" w:color="auto"/>
            <w:right w:val="none" w:sz="0" w:space="0" w:color="auto"/>
          </w:divBdr>
        </w:div>
        <w:div w:id="852494399">
          <w:marLeft w:val="640"/>
          <w:marRight w:val="0"/>
          <w:marTop w:val="0"/>
          <w:marBottom w:val="0"/>
          <w:divBdr>
            <w:top w:val="none" w:sz="0" w:space="0" w:color="auto"/>
            <w:left w:val="none" w:sz="0" w:space="0" w:color="auto"/>
            <w:bottom w:val="none" w:sz="0" w:space="0" w:color="auto"/>
            <w:right w:val="none" w:sz="0" w:space="0" w:color="auto"/>
          </w:divBdr>
        </w:div>
        <w:div w:id="632516310">
          <w:marLeft w:val="640"/>
          <w:marRight w:val="0"/>
          <w:marTop w:val="0"/>
          <w:marBottom w:val="0"/>
          <w:divBdr>
            <w:top w:val="none" w:sz="0" w:space="0" w:color="auto"/>
            <w:left w:val="none" w:sz="0" w:space="0" w:color="auto"/>
            <w:bottom w:val="none" w:sz="0" w:space="0" w:color="auto"/>
            <w:right w:val="none" w:sz="0" w:space="0" w:color="auto"/>
          </w:divBdr>
        </w:div>
        <w:div w:id="696808875">
          <w:marLeft w:val="640"/>
          <w:marRight w:val="0"/>
          <w:marTop w:val="0"/>
          <w:marBottom w:val="0"/>
          <w:divBdr>
            <w:top w:val="none" w:sz="0" w:space="0" w:color="auto"/>
            <w:left w:val="none" w:sz="0" w:space="0" w:color="auto"/>
            <w:bottom w:val="none" w:sz="0" w:space="0" w:color="auto"/>
            <w:right w:val="none" w:sz="0" w:space="0" w:color="auto"/>
          </w:divBdr>
        </w:div>
        <w:div w:id="1696272492">
          <w:marLeft w:val="640"/>
          <w:marRight w:val="0"/>
          <w:marTop w:val="0"/>
          <w:marBottom w:val="0"/>
          <w:divBdr>
            <w:top w:val="none" w:sz="0" w:space="0" w:color="auto"/>
            <w:left w:val="none" w:sz="0" w:space="0" w:color="auto"/>
            <w:bottom w:val="none" w:sz="0" w:space="0" w:color="auto"/>
            <w:right w:val="none" w:sz="0" w:space="0" w:color="auto"/>
          </w:divBdr>
        </w:div>
        <w:div w:id="798299014">
          <w:marLeft w:val="640"/>
          <w:marRight w:val="0"/>
          <w:marTop w:val="0"/>
          <w:marBottom w:val="0"/>
          <w:divBdr>
            <w:top w:val="none" w:sz="0" w:space="0" w:color="auto"/>
            <w:left w:val="none" w:sz="0" w:space="0" w:color="auto"/>
            <w:bottom w:val="none" w:sz="0" w:space="0" w:color="auto"/>
            <w:right w:val="none" w:sz="0" w:space="0" w:color="auto"/>
          </w:divBdr>
        </w:div>
        <w:div w:id="296106244">
          <w:marLeft w:val="640"/>
          <w:marRight w:val="0"/>
          <w:marTop w:val="0"/>
          <w:marBottom w:val="0"/>
          <w:divBdr>
            <w:top w:val="none" w:sz="0" w:space="0" w:color="auto"/>
            <w:left w:val="none" w:sz="0" w:space="0" w:color="auto"/>
            <w:bottom w:val="none" w:sz="0" w:space="0" w:color="auto"/>
            <w:right w:val="none" w:sz="0" w:space="0" w:color="auto"/>
          </w:divBdr>
        </w:div>
        <w:div w:id="1667661002">
          <w:marLeft w:val="640"/>
          <w:marRight w:val="0"/>
          <w:marTop w:val="0"/>
          <w:marBottom w:val="0"/>
          <w:divBdr>
            <w:top w:val="none" w:sz="0" w:space="0" w:color="auto"/>
            <w:left w:val="none" w:sz="0" w:space="0" w:color="auto"/>
            <w:bottom w:val="none" w:sz="0" w:space="0" w:color="auto"/>
            <w:right w:val="none" w:sz="0" w:space="0" w:color="auto"/>
          </w:divBdr>
        </w:div>
        <w:div w:id="1102066010">
          <w:marLeft w:val="640"/>
          <w:marRight w:val="0"/>
          <w:marTop w:val="0"/>
          <w:marBottom w:val="0"/>
          <w:divBdr>
            <w:top w:val="none" w:sz="0" w:space="0" w:color="auto"/>
            <w:left w:val="none" w:sz="0" w:space="0" w:color="auto"/>
            <w:bottom w:val="none" w:sz="0" w:space="0" w:color="auto"/>
            <w:right w:val="none" w:sz="0" w:space="0" w:color="auto"/>
          </w:divBdr>
        </w:div>
        <w:div w:id="1263803848">
          <w:marLeft w:val="640"/>
          <w:marRight w:val="0"/>
          <w:marTop w:val="0"/>
          <w:marBottom w:val="0"/>
          <w:divBdr>
            <w:top w:val="none" w:sz="0" w:space="0" w:color="auto"/>
            <w:left w:val="none" w:sz="0" w:space="0" w:color="auto"/>
            <w:bottom w:val="none" w:sz="0" w:space="0" w:color="auto"/>
            <w:right w:val="none" w:sz="0" w:space="0" w:color="auto"/>
          </w:divBdr>
        </w:div>
        <w:div w:id="1057389963">
          <w:marLeft w:val="640"/>
          <w:marRight w:val="0"/>
          <w:marTop w:val="0"/>
          <w:marBottom w:val="0"/>
          <w:divBdr>
            <w:top w:val="none" w:sz="0" w:space="0" w:color="auto"/>
            <w:left w:val="none" w:sz="0" w:space="0" w:color="auto"/>
            <w:bottom w:val="none" w:sz="0" w:space="0" w:color="auto"/>
            <w:right w:val="none" w:sz="0" w:space="0" w:color="auto"/>
          </w:divBdr>
        </w:div>
        <w:div w:id="925918890">
          <w:marLeft w:val="640"/>
          <w:marRight w:val="0"/>
          <w:marTop w:val="0"/>
          <w:marBottom w:val="0"/>
          <w:divBdr>
            <w:top w:val="none" w:sz="0" w:space="0" w:color="auto"/>
            <w:left w:val="none" w:sz="0" w:space="0" w:color="auto"/>
            <w:bottom w:val="none" w:sz="0" w:space="0" w:color="auto"/>
            <w:right w:val="none" w:sz="0" w:space="0" w:color="auto"/>
          </w:divBdr>
        </w:div>
        <w:div w:id="1894387717">
          <w:marLeft w:val="640"/>
          <w:marRight w:val="0"/>
          <w:marTop w:val="0"/>
          <w:marBottom w:val="0"/>
          <w:divBdr>
            <w:top w:val="none" w:sz="0" w:space="0" w:color="auto"/>
            <w:left w:val="none" w:sz="0" w:space="0" w:color="auto"/>
            <w:bottom w:val="none" w:sz="0" w:space="0" w:color="auto"/>
            <w:right w:val="none" w:sz="0" w:space="0" w:color="auto"/>
          </w:divBdr>
        </w:div>
        <w:div w:id="1433546887">
          <w:marLeft w:val="640"/>
          <w:marRight w:val="0"/>
          <w:marTop w:val="0"/>
          <w:marBottom w:val="0"/>
          <w:divBdr>
            <w:top w:val="none" w:sz="0" w:space="0" w:color="auto"/>
            <w:left w:val="none" w:sz="0" w:space="0" w:color="auto"/>
            <w:bottom w:val="none" w:sz="0" w:space="0" w:color="auto"/>
            <w:right w:val="none" w:sz="0" w:space="0" w:color="auto"/>
          </w:divBdr>
        </w:div>
        <w:div w:id="770785552">
          <w:marLeft w:val="640"/>
          <w:marRight w:val="0"/>
          <w:marTop w:val="0"/>
          <w:marBottom w:val="0"/>
          <w:divBdr>
            <w:top w:val="none" w:sz="0" w:space="0" w:color="auto"/>
            <w:left w:val="none" w:sz="0" w:space="0" w:color="auto"/>
            <w:bottom w:val="none" w:sz="0" w:space="0" w:color="auto"/>
            <w:right w:val="none" w:sz="0" w:space="0" w:color="auto"/>
          </w:divBdr>
        </w:div>
        <w:div w:id="1996254397">
          <w:marLeft w:val="640"/>
          <w:marRight w:val="0"/>
          <w:marTop w:val="0"/>
          <w:marBottom w:val="0"/>
          <w:divBdr>
            <w:top w:val="none" w:sz="0" w:space="0" w:color="auto"/>
            <w:left w:val="none" w:sz="0" w:space="0" w:color="auto"/>
            <w:bottom w:val="none" w:sz="0" w:space="0" w:color="auto"/>
            <w:right w:val="none" w:sz="0" w:space="0" w:color="auto"/>
          </w:divBdr>
        </w:div>
        <w:div w:id="1622150921">
          <w:marLeft w:val="640"/>
          <w:marRight w:val="0"/>
          <w:marTop w:val="0"/>
          <w:marBottom w:val="0"/>
          <w:divBdr>
            <w:top w:val="none" w:sz="0" w:space="0" w:color="auto"/>
            <w:left w:val="none" w:sz="0" w:space="0" w:color="auto"/>
            <w:bottom w:val="none" w:sz="0" w:space="0" w:color="auto"/>
            <w:right w:val="none" w:sz="0" w:space="0" w:color="auto"/>
          </w:divBdr>
        </w:div>
        <w:div w:id="1124076852">
          <w:marLeft w:val="640"/>
          <w:marRight w:val="0"/>
          <w:marTop w:val="0"/>
          <w:marBottom w:val="0"/>
          <w:divBdr>
            <w:top w:val="none" w:sz="0" w:space="0" w:color="auto"/>
            <w:left w:val="none" w:sz="0" w:space="0" w:color="auto"/>
            <w:bottom w:val="none" w:sz="0" w:space="0" w:color="auto"/>
            <w:right w:val="none" w:sz="0" w:space="0" w:color="auto"/>
          </w:divBdr>
        </w:div>
        <w:div w:id="663552529">
          <w:marLeft w:val="640"/>
          <w:marRight w:val="0"/>
          <w:marTop w:val="0"/>
          <w:marBottom w:val="0"/>
          <w:divBdr>
            <w:top w:val="none" w:sz="0" w:space="0" w:color="auto"/>
            <w:left w:val="none" w:sz="0" w:space="0" w:color="auto"/>
            <w:bottom w:val="none" w:sz="0" w:space="0" w:color="auto"/>
            <w:right w:val="none" w:sz="0" w:space="0" w:color="auto"/>
          </w:divBdr>
        </w:div>
        <w:div w:id="124012369">
          <w:marLeft w:val="640"/>
          <w:marRight w:val="0"/>
          <w:marTop w:val="0"/>
          <w:marBottom w:val="0"/>
          <w:divBdr>
            <w:top w:val="none" w:sz="0" w:space="0" w:color="auto"/>
            <w:left w:val="none" w:sz="0" w:space="0" w:color="auto"/>
            <w:bottom w:val="none" w:sz="0" w:space="0" w:color="auto"/>
            <w:right w:val="none" w:sz="0" w:space="0" w:color="auto"/>
          </w:divBdr>
        </w:div>
        <w:div w:id="1660160283">
          <w:marLeft w:val="640"/>
          <w:marRight w:val="0"/>
          <w:marTop w:val="0"/>
          <w:marBottom w:val="0"/>
          <w:divBdr>
            <w:top w:val="none" w:sz="0" w:space="0" w:color="auto"/>
            <w:left w:val="none" w:sz="0" w:space="0" w:color="auto"/>
            <w:bottom w:val="none" w:sz="0" w:space="0" w:color="auto"/>
            <w:right w:val="none" w:sz="0" w:space="0" w:color="auto"/>
          </w:divBdr>
        </w:div>
        <w:div w:id="1516848890">
          <w:marLeft w:val="640"/>
          <w:marRight w:val="0"/>
          <w:marTop w:val="0"/>
          <w:marBottom w:val="0"/>
          <w:divBdr>
            <w:top w:val="none" w:sz="0" w:space="0" w:color="auto"/>
            <w:left w:val="none" w:sz="0" w:space="0" w:color="auto"/>
            <w:bottom w:val="none" w:sz="0" w:space="0" w:color="auto"/>
            <w:right w:val="none" w:sz="0" w:space="0" w:color="auto"/>
          </w:divBdr>
        </w:div>
        <w:div w:id="185948589">
          <w:marLeft w:val="640"/>
          <w:marRight w:val="0"/>
          <w:marTop w:val="0"/>
          <w:marBottom w:val="0"/>
          <w:divBdr>
            <w:top w:val="none" w:sz="0" w:space="0" w:color="auto"/>
            <w:left w:val="none" w:sz="0" w:space="0" w:color="auto"/>
            <w:bottom w:val="none" w:sz="0" w:space="0" w:color="auto"/>
            <w:right w:val="none" w:sz="0" w:space="0" w:color="auto"/>
          </w:divBdr>
        </w:div>
        <w:div w:id="327900288">
          <w:marLeft w:val="640"/>
          <w:marRight w:val="0"/>
          <w:marTop w:val="0"/>
          <w:marBottom w:val="0"/>
          <w:divBdr>
            <w:top w:val="none" w:sz="0" w:space="0" w:color="auto"/>
            <w:left w:val="none" w:sz="0" w:space="0" w:color="auto"/>
            <w:bottom w:val="none" w:sz="0" w:space="0" w:color="auto"/>
            <w:right w:val="none" w:sz="0" w:space="0" w:color="auto"/>
          </w:divBdr>
        </w:div>
        <w:div w:id="135336492">
          <w:marLeft w:val="640"/>
          <w:marRight w:val="0"/>
          <w:marTop w:val="0"/>
          <w:marBottom w:val="0"/>
          <w:divBdr>
            <w:top w:val="none" w:sz="0" w:space="0" w:color="auto"/>
            <w:left w:val="none" w:sz="0" w:space="0" w:color="auto"/>
            <w:bottom w:val="none" w:sz="0" w:space="0" w:color="auto"/>
            <w:right w:val="none" w:sz="0" w:space="0" w:color="auto"/>
          </w:divBdr>
        </w:div>
        <w:div w:id="1549418783">
          <w:marLeft w:val="640"/>
          <w:marRight w:val="0"/>
          <w:marTop w:val="0"/>
          <w:marBottom w:val="0"/>
          <w:divBdr>
            <w:top w:val="none" w:sz="0" w:space="0" w:color="auto"/>
            <w:left w:val="none" w:sz="0" w:space="0" w:color="auto"/>
            <w:bottom w:val="none" w:sz="0" w:space="0" w:color="auto"/>
            <w:right w:val="none" w:sz="0" w:space="0" w:color="auto"/>
          </w:divBdr>
        </w:div>
        <w:div w:id="1858420984">
          <w:marLeft w:val="640"/>
          <w:marRight w:val="0"/>
          <w:marTop w:val="0"/>
          <w:marBottom w:val="0"/>
          <w:divBdr>
            <w:top w:val="none" w:sz="0" w:space="0" w:color="auto"/>
            <w:left w:val="none" w:sz="0" w:space="0" w:color="auto"/>
            <w:bottom w:val="none" w:sz="0" w:space="0" w:color="auto"/>
            <w:right w:val="none" w:sz="0" w:space="0" w:color="auto"/>
          </w:divBdr>
        </w:div>
        <w:div w:id="26107822">
          <w:marLeft w:val="640"/>
          <w:marRight w:val="0"/>
          <w:marTop w:val="0"/>
          <w:marBottom w:val="0"/>
          <w:divBdr>
            <w:top w:val="none" w:sz="0" w:space="0" w:color="auto"/>
            <w:left w:val="none" w:sz="0" w:space="0" w:color="auto"/>
            <w:bottom w:val="none" w:sz="0" w:space="0" w:color="auto"/>
            <w:right w:val="none" w:sz="0" w:space="0" w:color="auto"/>
          </w:divBdr>
        </w:div>
        <w:div w:id="342903256">
          <w:marLeft w:val="640"/>
          <w:marRight w:val="0"/>
          <w:marTop w:val="0"/>
          <w:marBottom w:val="0"/>
          <w:divBdr>
            <w:top w:val="none" w:sz="0" w:space="0" w:color="auto"/>
            <w:left w:val="none" w:sz="0" w:space="0" w:color="auto"/>
            <w:bottom w:val="none" w:sz="0" w:space="0" w:color="auto"/>
            <w:right w:val="none" w:sz="0" w:space="0" w:color="auto"/>
          </w:divBdr>
        </w:div>
        <w:div w:id="1154221501">
          <w:marLeft w:val="640"/>
          <w:marRight w:val="0"/>
          <w:marTop w:val="0"/>
          <w:marBottom w:val="0"/>
          <w:divBdr>
            <w:top w:val="none" w:sz="0" w:space="0" w:color="auto"/>
            <w:left w:val="none" w:sz="0" w:space="0" w:color="auto"/>
            <w:bottom w:val="none" w:sz="0" w:space="0" w:color="auto"/>
            <w:right w:val="none" w:sz="0" w:space="0" w:color="auto"/>
          </w:divBdr>
        </w:div>
        <w:div w:id="1374423790">
          <w:marLeft w:val="640"/>
          <w:marRight w:val="0"/>
          <w:marTop w:val="0"/>
          <w:marBottom w:val="0"/>
          <w:divBdr>
            <w:top w:val="none" w:sz="0" w:space="0" w:color="auto"/>
            <w:left w:val="none" w:sz="0" w:space="0" w:color="auto"/>
            <w:bottom w:val="none" w:sz="0" w:space="0" w:color="auto"/>
            <w:right w:val="none" w:sz="0" w:space="0" w:color="auto"/>
          </w:divBdr>
        </w:div>
        <w:div w:id="1075858564">
          <w:marLeft w:val="640"/>
          <w:marRight w:val="0"/>
          <w:marTop w:val="0"/>
          <w:marBottom w:val="0"/>
          <w:divBdr>
            <w:top w:val="none" w:sz="0" w:space="0" w:color="auto"/>
            <w:left w:val="none" w:sz="0" w:space="0" w:color="auto"/>
            <w:bottom w:val="none" w:sz="0" w:space="0" w:color="auto"/>
            <w:right w:val="none" w:sz="0" w:space="0" w:color="auto"/>
          </w:divBdr>
        </w:div>
        <w:div w:id="1656685504">
          <w:marLeft w:val="640"/>
          <w:marRight w:val="0"/>
          <w:marTop w:val="0"/>
          <w:marBottom w:val="0"/>
          <w:divBdr>
            <w:top w:val="none" w:sz="0" w:space="0" w:color="auto"/>
            <w:left w:val="none" w:sz="0" w:space="0" w:color="auto"/>
            <w:bottom w:val="none" w:sz="0" w:space="0" w:color="auto"/>
            <w:right w:val="none" w:sz="0" w:space="0" w:color="auto"/>
          </w:divBdr>
        </w:div>
        <w:div w:id="903181051">
          <w:marLeft w:val="640"/>
          <w:marRight w:val="0"/>
          <w:marTop w:val="0"/>
          <w:marBottom w:val="0"/>
          <w:divBdr>
            <w:top w:val="none" w:sz="0" w:space="0" w:color="auto"/>
            <w:left w:val="none" w:sz="0" w:space="0" w:color="auto"/>
            <w:bottom w:val="none" w:sz="0" w:space="0" w:color="auto"/>
            <w:right w:val="none" w:sz="0" w:space="0" w:color="auto"/>
          </w:divBdr>
        </w:div>
        <w:div w:id="1508400279">
          <w:marLeft w:val="640"/>
          <w:marRight w:val="0"/>
          <w:marTop w:val="0"/>
          <w:marBottom w:val="0"/>
          <w:divBdr>
            <w:top w:val="none" w:sz="0" w:space="0" w:color="auto"/>
            <w:left w:val="none" w:sz="0" w:space="0" w:color="auto"/>
            <w:bottom w:val="none" w:sz="0" w:space="0" w:color="auto"/>
            <w:right w:val="none" w:sz="0" w:space="0" w:color="auto"/>
          </w:divBdr>
        </w:div>
        <w:div w:id="400491298">
          <w:marLeft w:val="640"/>
          <w:marRight w:val="0"/>
          <w:marTop w:val="0"/>
          <w:marBottom w:val="0"/>
          <w:divBdr>
            <w:top w:val="none" w:sz="0" w:space="0" w:color="auto"/>
            <w:left w:val="none" w:sz="0" w:space="0" w:color="auto"/>
            <w:bottom w:val="none" w:sz="0" w:space="0" w:color="auto"/>
            <w:right w:val="none" w:sz="0" w:space="0" w:color="auto"/>
          </w:divBdr>
        </w:div>
        <w:div w:id="98064254">
          <w:marLeft w:val="640"/>
          <w:marRight w:val="0"/>
          <w:marTop w:val="0"/>
          <w:marBottom w:val="0"/>
          <w:divBdr>
            <w:top w:val="none" w:sz="0" w:space="0" w:color="auto"/>
            <w:left w:val="none" w:sz="0" w:space="0" w:color="auto"/>
            <w:bottom w:val="none" w:sz="0" w:space="0" w:color="auto"/>
            <w:right w:val="none" w:sz="0" w:space="0" w:color="auto"/>
          </w:divBdr>
        </w:div>
        <w:div w:id="298535149">
          <w:marLeft w:val="640"/>
          <w:marRight w:val="0"/>
          <w:marTop w:val="0"/>
          <w:marBottom w:val="0"/>
          <w:divBdr>
            <w:top w:val="none" w:sz="0" w:space="0" w:color="auto"/>
            <w:left w:val="none" w:sz="0" w:space="0" w:color="auto"/>
            <w:bottom w:val="none" w:sz="0" w:space="0" w:color="auto"/>
            <w:right w:val="none" w:sz="0" w:space="0" w:color="auto"/>
          </w:divBdr>
        </w:div>
        <w:div w:id="404105142">
          <w:marLeft w:val="640"/>
          <w:marRight w:val="0"/>
          <w:marTop w:val="0"/>
          <w:marBottom w:val="0"/>
          <w:divBdr>
            <w:top w:val="none" w:sz="0" w:space="0" w:color="auto"/>
            <w:left w:val="none" w:sz="0" w:space="0" w:color="auto"/>
            <w:bottom w:val="none" w:sz="0" w:space="0" w:color="auto"/>
            <w:right w:val="none" w:sz="0" w:space="0" w:color="auto"/>
          </w:divBdr>
        </w:div>
        <w:div w:id="674454349">
          <w:marLeft w:val="640"/>
          <w:marRight w:val="0"/>
          <w:marTop w:val="0"/>
          <w:marBottom w:val="0"/>
          <w:divBdr>
            <w:top w:val="none" w:sz="0" w:space="0" w:color="auto"/>
            <w:left w:val="none" w:sz="0" w:space="0" w:color="auto"/>
            <w:bottom w:val="none" w:sz="0" w:space="0" w:color="auto"/>
            <w:right w:val="none" w:sz="0" w:space="0" w:color="auto"/>
          </w:divBdr>
        </w:div>
      </w:divsChild>
    </w:div>
    <w:div w:id="1442526172">
      <w:bodyDiv w:val="1"/>
      <w:marLeft w:val="0"/>
      <w:marRight w:val="0"/>
      <w:marTop w:val="0"/>
      <w:marBottom w:val="0"/>
      <w:divBdr>
        <w:top w:val="none" w:sz="0" w:space="0" w:color="auto"/>
        <w:left w:val="none" w:sz="0" w:space="0" w:color="auto"/>
        <w:bottom w:val="none" w:sz="0" w:space="0" w:color="auto"/>
        <w:right w:val="none" w:sz="0" w:space="0" w:color="auto"/>
      </w:divBdr>
      <w:divsChild>
        <w:div w:id="199129994">
          <w:marLeft w:val="640"/>
          <w:marRight w:val="0"/>
          <w:marTop w:val="0"/>
          <w:marBottom w:val="0"/>
          <w:divBdr>
            <w:top w:val="none" w:sz="0" w:space="0" w:color="auto"/>
            <w:left w:val="none" w:sz="0" w:space="0" w:color="auto"/>
            <w:bottom w:val="none" w:sz="0" w:space="0" w:color="auto"/>
            <w:right w:val="none" w:sz="0" w:space="0" w:color="auto"/>
          </w:divBdr>
        </w:div>
        <w:div w:id="647168321">
          <w:marLeft w:val="640"/>
          <w:marRight w:val="0"/>
          <w:marTop w:val="0"/>
          <w:marBottom w:val="0"/>
          <w:divBdr>
            <w:top w:val="none" w:sz="0" w:space="0" w:color="auto"/>
            <w:left w:val="none" w:sz="0" w:space="0" w:color="auto"/>
            <w:bottom w:val="none" w:sz="0" w:space="0" w:color="auto"/>
            <w:right w:val="none" w:sz="0" w:space="0" w:color="auto"/>
          </w:divBdr>
        </w:div>
        <w:div w:id="175925597">
          <w:marLeft w:val="640"/>
          <w:marRight w:val="0"/>
          <w:marTop w:val="0"/>
          <w:marBottom w:val="0"/>
          <w:divBdr>
            <w:top w:val="none" w:sz="0" w:space="0" w:color="auto"/>
            <w:left w:val="none" w:sz="0" w:space="0" w:color="auto"/>
            <w:bottom w:val="none" w:sz="0" w:space="0" w:color="auto"/>
            <w:right w:val="none" w:sz="0" w:space="0" w:color="auto"/>
          </w:divBdr>
        </w:div>
        <w:div w:id="1092312825">
          <w:marLeft w:val="640"/>
          <w:marRight w:val="0"/>
          <w:marTop w:val="0"/>
          <w:marBottom w:val="0"/>
          <w:divBdr>
            <w:top w:val="none" w:sz="0" w:space="0" w:color="auto"/>
            <w:left w:val="none" w:sz="0" w:space="0" w:color="auto"/>
            <w:bottom w:val="none" w:sz="0" w:space="0" w:color="auto"/>
            <w:right w:val="none" w:sz="0" w:space="0" w:color="auto"/>
          </w:divBdr>
        </w:div>
        <w:div w:id="1689871866">
          <w:marLeft w:val="640"/>
          <w:marRight w:val="0"/>
          <w:marTop w:val="0"/>
          <w:marBottom w:val="0"/>
          <w:divBdr>
            <w:top w:val="none" w:sz="0" w:space="0" w:color="auto"/>
            <w:left w:val="none" w:sz="0" w:space="0" w:color="auto"/>
            <w:bottom w:val="none" w:sz="0" w:space="0" w:color="auto"/>
            <w:right w:val="none" w:sz="0" w:space="0" w:color="auto"/>
          </w:divBdr>
        </w:div>
        <w:div w:id="871501475">
          <w:marLeft w:val="640"/>
          <w:marRight w:val="0"/>
          <w:marTop w:val="0"/>
          <w:marBottom w:val="0"/>
          <w:divBdr>
            <w:top w:val="none" w:sz="0" w:space="0" w:color="auto"/>
            <w:left w:val="none" w:sz="0" w:space="0" w:color="auto"/>
            <w:bottom w:val="none" w:sz="0" w:space="0" w:color="auto"/>
            <w:right w:val="none" w:sz="0" w:space="0" w:color="auto"/>
          </w:divBdr>
        </w:div>
        <w:div w:id="2023892066">
          <w:marLeft w:val="640"/>
          <w:marRight w:val="0"/>
          <w:marTop w:val="0"/>
          <w:marBottom w:val="0"/>
          <w:divBdr>
            <w:top w:val="none" w:sz="0" w:space="0" w:color="auto"/>
            <w:left w:val="none" w:sz="0" w:space="0" w:color="auto"/>
            <w:bottom w:val="none" w:sz="0" w:space="0" w:color="auto"/>
            <w:right w:val="none" w:sz="0" w:space="0" w:color="auto"/>
          </w:divBdr>
        </w:div>
        <w:div w:id="200020066">
          <w:marLeft w:val="640"/>
          <w:marRight w:val="0"/>
          <w:marTop w:val="0"/>
          <w:marBottom w:val="0"/>
          <w:divBdr>
            <w:top w:val="none" w:sz="0" w:space="0" w:color="auto"/>
            <w:left w:val="none" w:sz="0" w:space="0" w:color="auto"/>
            <w:bottom w:val="none" w:sz="0" w:space="0" w:color="auto"/>
            <w:right w:val="none" w:sz="0" w:space="0" w:color="auto"/>
          </w:divBdr>
        </w:div>
        <w:div w:id="576325031">
          <w:marLeft w:val="640"/>
          <w:marRight w:val="0"/>
          <w:marTop w:val="0"/>
          <w:marBottom w:val="0"/>
          <w:divBdr>
            <w:top w:val="none" w:sz="0" w:space="0" w:color="auto"/>
            <w:left w:val="none" w:sz="0" w:space="0" w:color="auto"/>
            <w:bottom w:val="none" w:sz="0" w:space="0" w:color="auto"/>
            <w:right w:val="none" w:sz="0" w:space="0" w:color="auto"/>
          </w:divBdr>
        </w:div>
        <w:div w:id="81533329">
          <w:marLeft w:val="640"/>
          <w:marRight w:val="0"/>
          <w:marTop w:val="0"/>
          <w:marBottom w:val="0"/>
          <w:divBdr>
            <w:top w:val="none" w:sz="0" w:space="0" w:color="auto"/>
            <w:left w:val="none" w:sz="0" w:space="0" w:color="auto"/>
            <w:bottom w:val="none" w:sz="0" w:space="0" w:color="auto"/>
            <w:right w:val="none" w:sz="0" w:space="0" w:color="auto"/>
          </w:divBdr>
        </w:div>
        <w:div w:id="1032805873">
          <w:marLeft w:val="640"/>
          <w:marRight w:val="0"/>
          <w:marTop w:val="0"/>
          <w:marBottom w:val="0"/>
          <w:divBdr>
            <w:top w:val="none" w:sz="0" w:space="0" w:color="auto"/>
            <w:left w:val="none" w:sz="0" w:space="0" w:color="auto"/>
            <w:bottom w:val="none" w:sz="0" w:space="0" w:color="auto"/>
            <w:right w:val="none" w:sz="0" w:space="0" w:color="auto"/>
          </w:divBdr>
        </w:div>
        <w:div w:id="1323776482">
          <w:marLeft w:val="640"/>
          <w:marRight w:val="0"/>
          <w:marTop w:val="0"/>
          <w:marBottom w:val="0"/>
          <w:divBdr>
            <w:top w:val="none" w:sz="0" w:space="0" w:color="auto"/>
            <w:left w:val="none" w:sz="0" w:space="0" w:color="auto"/>
            <w:bottom w:val="none" w:sz="0" w:space="0" w:color="auto"/>
            <w:right w:val="none" w:sz="0" w:space="0" w:color="auto"/>
          </w:divBdr>
        </w:div>
        <w:div w:id="588926316">
          <w:marLeft w:val="640"/>
          <w:marRight w:val="0"/>
          <w:marTop w:val="0"/>
          <w:marBottom w:val="0"/>
          <w:divBdr>
            <w:top w:val="none" w:sz="0" w:space="0" w:color="auto"/>
            <w:left w:val="none" w:sz="0" w:space="0" w:color="auto"/>
            <w:bottom w:val="none" w:sz="0" w:space="0" w:color="auto"/>
            <w:right w:val="none" w:sz="0" w:space="0" w:color="auto"/>
          </w:divBdr>
        </w:div>
        <w:div w:id="450823956">
          <w:marLeft w:val="640"/>
          <w:marRight w:val="0"/>
          <w:marTop w:val="0"/>
          <w:marBottom w:val="0"/>
          <w:divBdr>
            <w:top w:val="none" w:sz="0" w:space="0" w:color="auto"/>
            <w:left w:val="none" w:sz="0" w:space="0" w:color="auto"/>
            <w:bottom w:val="none" w:sz="0" w:space="0" w:color="auto"/>
            <w:right w:val="none" w:sz="0" w:space="0" w:color="auto"/>
          </w:divBdr>
        </w:div>
        <w:div w:id="1434397396">
          <w:marLeft w:val="640"/>
          <w:marRight w:val="0"/>
          <w:marTop w:val="0"/>
          <w:marBottom w:val="0"/>
          <w:divBdr>
            <w:top w:val="none" w:sz="0" w:space="0" w:color="auto"/>
            <w:left w:val="none" w:sz="0" w:space="0" w:color="auto"/>
            <w:bottom w:val="none" w:sz="0" w:space="0" w:color="auto"/>
            <w:right w:val="none" w:sz="0" w:space="0" w:color="auto"/>
          </w:divBdr>
        </w:div>
        <w:div w:id="1576159486">
          <w:marLeft w:val="640"/>
          <w:marRight w:val="0"/>
          <w:marTop w:val="0"/>
          <w:marBottom w:val="0"/>
          <w:divBdr>
            <w:top w:val="none" w:sz="0" w:space="0" w:color="auto"/>
            <w:left w:val="none" w:sz="0" w:space="0" w:color="auto"/>
            <w:bottom w:val="none" w:sz="0" w:space="0" w:color="auto"/>
            <w:right w:val="none" w:sz="0" w:space="0" w:color="auto"/>
          </w:divBdr>
        </w:div>
        <w:div w:id="573245802">
          <w:marLeft w:val="640"/>
          <w:marRight w:val="0"/>
          <w:marTop w:val="0"/>
          <w:marBottom w:val="0"/>
          <w:divBdr>
            <w:top w:val="none" w:sz="0" w:space="0" w:color="auto"/>
            <w:left w:val="none" w:sz="0" w:space="0" w:color="auto"/>
            <w:bottom w:val="none" w:sz="0" w:space="0" w:color="auto"/>
            <w:right w:val="none" w:sz="0" w:space="0" w:color="auto"/>
          </w:divBdr>
        </w:div>
        <w:div w:id="490606424">
          <w:marLeft w:val="640"/>
          <w:marRight w:val="0"/>
          <w:marTop w:val="0"/>
          <w:marBottom w:val="0"/>
          <w:divBdr>
            <w:top w:val="none" w:sz="0" w:space="0" w:color="auto"/>
            <w:left w:val="none" w:sz="0" w:space="0" w:color="auto"/>
            <w:bottom w:val="none" w:sz="0" w:space="0" w:color="auto"/>
            <w:right w:val="none" w:sz="0" w:space="0" w:color="auto"/>
          </w:divBdr>
        </w:div>
        <w:div w:id="289555983">
          <w:marLeft w:val="640"/>
          <w:marRight w:val="0"/>
          <w:marTop w:val="0"/>
          <w:marBottom w:val="0"/>
          <w:divBdr>
            <w:top w:val="none" w:sz="0" w:space="0" w:color="auto"/>
            <w:left w:val="none" w:sz="0" w:space="0" w:color="auto"/>
            <w:bottom w:val="none" w:sz="0" w:space="0" w:color="auto"/>
            <w:right w:val="none" w:sz="0" w:space="0" w:color="auto"/>
          </w:divBdr>
        </w:div>
        <w:div w:id="474883112">
          <w:marLeft w:val="640"/>
          <w:marRight w:val="0"/>
          <w:marTop w:val="0"/>
          <w:marBottom w:val="0"/>
          <w:divBdr>
            <w:top w:val="none" w:sz="0" w:space="0" w:color="auto"/>
            <w:left w:val="none" w:sz="0" w:space="0" w:color="auto"/>
            <w:bottom w:val="none" w:sz="0" w:space="0" w:color="auto"/>
            <w:right w:val="none" w:sz="0" w:space="0" w:color="auto"/>
          </w:divBdr>
        </w:div>
        <w:div w:id="910041613">
          <w:marLeft w:val="640"/>
          <w:marRight w:val="0"/>
          <w:marTop w:val="0"/>
          <w:marBottom w:val="0"/>
          <w:divBdr>
            <w:top w:val="none" w:sz="0" w:space="0" w:color="auto"/>
            <w:left w:val="none" w:sz="0" w:space="0" w:color="auto"/>
            <w:bottom w:val="none" w:sz="0" w:space="0" w:color="auto"/>
            <w:right w:val="none" w:sz="0" w:space="0" w:color="auto"/>
          </w:divBdr>
        </w:div>
        <w:div w:id="670377778">
          <w:marLeft w:val="640"/>
          <w:marRight w:val="0"/>
          <w:marTop w:val="0"/>
          <w:marBottom w:val="0"/>
          <w:divBdr>
            <w:top w:val="none" w:sz="0" w:space="0" w:color="auto"/>
            <w:left w:val="none" w:sz="0" w:space="0" w:color="auto"/>
            <w:bottom w:val="none" w:sz="0" w:space="0" w:color="auto"/>
            <w:right w:val="none" w:sz="0" w:space="0" w:color="auto"/>
          </w:divBdr>
        </w:div>
        <w:div w:id="851527411">
          <w:marLeft w:val="640"/>
          <w:marRight w:val="0"/>
          <w:marTop w:val="0"/>
          <w:marBottom w:val="0"/>
          <w:divBdr>
            <w:top w:val="none" w:sz="0" w:space="0" w:color="auto"/>
            <w:left w:val="none" w:sz="0" w:space="0" w:color="auto"/>
            <w:bottom w:val="none" w:sz="0" w:space="0" w:color="auto"/>
            <w:right w:val="none" w:sz="0" w:space="0" w:color="auto"/>
          </w:divBdr>
        </w:div>
        <w:div w:id="821586237">
          <w:marLeft w:val="640"/>
          <w:marRight w:val="0"/>
          <w:marTop w:val="0"/>
          <w:marBottom w:val="0"/>
          <w:divBdr>
            <w:top w:val="none" w:sz="0" w:space="0" w:color="auto"/>
            <w:left w:val="none" w:sz="0" w:space="0" w:color="auto"/>
            <w:bottom w:val="none" w:sz="0" w:space="0" w:color="auto"/>
            <w:right w:val="none" w:sz="0" w:space="0" w:color="auto"/>
          </w:divBdr>
        </w:div>
        <w:div w:id="1222059820">
          <w:marLeft w:val="640"/>
          <w:marRight w:val="0"/>
          <w:marTop w:val="0"/>
          <w:marBottom w:val="0"/>
          <w:divBdr>
            <w:top w:val="none" w:sz="0" w:space="0" w:color="auto"/>
            <w:left w:val="none" w:sz="0" w:space="0" w:color="auto"/>
            <w:bottom w:val="none" w:sz="0" w:space="0" w:color="auto"/>
            <w:right w:val="none" w:sz="0" w:space="0" w:color="auto"/>
          </w:divBdr>
        </w:div>
        <w:div w:id="1954894009">
          <w:marLeft w:val="640"/>
          <w:marRight w:val="0"/>
          <w:marTop w:val="0"/>
          <w:marBottom w:val="0"/>
          <w:divBdr>
            <w:top w:val="none" w:sz="0" w:space="0" w:color="auto"/>
            <w:left w:val="none" w:sz="0" w:space="0" w:color="auto"/>
            <w:bottom w:val="none" w:sz="0" w:space="0" w:color="auto"/>
            <w:right w:val="none" w:sz="0" w:space="0" w:color="auto"/>
          </w:divBdr>
        </w:div>
        <w:div w:id="1920629290">
          <w:marLeft w:val="640"/>
          <w:marRight w:val="0"/>
          <w:marTop w:val="0"/>
          <w:marBottom w:val="0"/>
          <w:divBdr>
            <w:top w:val="none" w:sz="0" w:space="0" w:color="auto"/>
            <w:left w:val="none" w:sz="0" w:space="0" w:color="auto"/>
            <w:bottom w:val="none" w:sz="0" w:space="0" w:color="auto"/>
            <w:right w:val="none" w:sz="0" w:space="0" w:color="auto"/>
          </w:divBdr>
        </w:div>
        <w:div w:id="1732459320">
          <w:marLeft w:val="640"/>
          <w:marRight w:val="0"/>
          <w:marTop w:val="0"/>
          <w:marBottom w:val="0"/>
          <w:divBdr>
            <w:top w:val="none" w:sz="0" w:space="0" w:color="auto"/>
            <w:left w:val="none" w:sz="0" w:space="0" w:color="auto"/>
            <w:bottom w:val="none" w:sz="0" w:space="0" w:color="auto"/>
            <w:right w:val="none" w:sz="0" w:space="0" w:color="auto"/>
          </w:divBdr>
        </w:div>
        <w:div w:id="1592590627">
          <w:marLeft w:val="640"/>
          <w:marRight w:val="0"/>
          <w:marTop w:val="0"/>
          <w:marBottom w:val="0"/>
          <w:divBdr>
            <w:top w:val="none" w:sz="0" w:space="0" w:color="auto"/>
            <w:left w:val="none" w:sz="0" w:space="0" w:color="auto"/>
            <w:bottom w:val="none" w:sz="0" w:space="0" w:color="auto"/>
            <w:right w:val="none" w:sz="0" w:space="0" w:color="auto"/>
          </w:divBdr>
        </w:div>
        <w:div w:id="1286353580">
          <w:marLeft w:val="640"/>
          <w:marRight w:val="0"/>
          <w:marTop w:val="0"/>
          <w:marBottom w:val="0"/>
          <w:divBdr>
            <w:top w:val="none" w:sz="0" w:space="0" w:color="auto"/>
            <w:left w:val="none" w:sz="0" w:space="0" w:color="auto"/>
            <w:bottom w:val="none" w:sz="0" w:space="0" w:color="auto"/>
            <w:right w:val="none" w:sz="0" w:space="0" w:color="auto"/>
          </w:divBdr>
        </w:div>
        <w:div w:id="530917380">
          <w:marLeft w:val="640"/>
          <w:marRight w:val="0"/>
          <w:marTop w:val="0"/>
          <w:marBottom w:val="0"/>
          <w:divBdr>
            <w:top w:val="none" w:sz="0" w:space="0" w:color="auto"/>
            <w:left w:val="none" w:sz="0" w:space="0" w:color="auto"/>
            <w:bottom w:val="none" w:sz="0" w:space="0" w:color="auto"/>
            <w:right w:val="none" w:sz="0" w:space="0" w:color="auto"/>
          </w:divBdr>
        </w:div>
        <w:div w:id="1542086072">
          <w:marLeft w:val="640"/>
          <w:marRight w:val="0"/>
          <w:marTop w:val="0"/>
          <w:marBottom w:val="0"/>
          <w:divBdr>
            <w:top w:val="none" w:sz="0" w:space="0" w:color="auto"/>
            <w:left w:val="none" w:sz="0" w:space="0" w:color="auto"/>
            <w:bottom w:val="none" w:sz="0" w:space="0" w:color="auto"/>
            <w:right w:val="none" w:sz="0" w:space="0" w:color="auto"/>
          </w:divBdr>
        </w:div>
        <w:div w:id="1288242912">
          <w:marLeft w:val="640"/>
          <w:marRight w:val="0"/>
          <w:marTop w:val="0"/>
          <w:marBottom w:val="0"/>
          <w:divBdr>
            <w:top w:val="none" w:sz="0" w:space="0" w:color="auto"/>
            <w:left w:val="none" w:sz="0" w:space="0" w:color="auto"/>
            <w:bottom w:val="none" w:sz="0" w:space="0" w:color="auto"/>
            <w:right w:val="none" w:sz="0" w:space="0" w:color="auto"/>
          </w:divBdr>
        </w:div>
        <w:div w:id="235213882">
          <w:marLeft w:val="640"/>
          <w:marRight w:val="0"/>
          <w:marTop w:val="0"/>
          <w:marBottom w:val="0"/>
          <w:divBdr>
            <w:top w:val="none" w:sz="0" w:space="0" w:color="auto"/>
            <w:left w:val="none" w:sz="0" w:space="0" w:color="auto"/>
            <w:bottom w:val="none" w:sz="0" w:space="0" w:color="auto"/>
            <w:right w:val="none" w:sz="0" w:space="0" w:color="auto"/>
          </w:divBdr>
        </w:div>
        <w:div w:id="1595817245">
          <w:marLeft w:val="640"/>
          <w:marRight w:val="0"/>
          <w:marTop w:val="0"/>
          <w:marBottom w:val="0"/>
          <w:divBdr>
            <w:top w:val="none" w:sz="0" w:space="0" w:color="auto"/>
            <w:left w:val="none" w:sz="0" w:space="0" w:color="auto"/>
            <w:bottom w:val="none" w:sz="0" w:space="0" w:color="auto"/>
            <w:right w:val="none" w:sz="0" w:space="0" w:color="auto"/>
          </w:divBdr>
        </w:div>
        <w:div w:id="1047729280">
          <w:marLeft w:val="640"/>
          <w:marRight w:val="0"/>
          <w:marTop w:val="0"/>
          <w:marBottom w:val="0"/>
          <w:divBdr>
            <w:top w:val="none" w:sz="0" w:space="0" w:color="auto"/>
            <w:left w:val="none" w:sz="0" w:space="0" w:color="auto"/>
            <w:bottom w:val="none" w:sz="0" w:space="0" w:color="auto"/>
            <w:right w:val="none" w:sz="0" w:space="0" w:color="auto"/>
          </w:divBdr>
        </w:div>
        <w:div w:id="1238713407">
          <w:marLeft w:val="640"/>
          <w:marRight w:val="0"/>
          <w:marTop w:val="0"/>
          <w:marBottom w:val="0"/>
          <w:divBdr>
            <w:top w:val="none" w:sz="0" w:space="0" w:color="auto"/>
            <w:left w:val="none" w:sz="0" w:space="0" w:color="auto"/>
            <w:bottom w:val="none" w:sz="0" w:space="0" w:color="auto"/>
            <w:right w:val="none" w:sz="0" w:space="0" w:color="auto"/>
          </w:divBdr>
        </w:div>
        <w:div w:id="2137530296">
          <w:marLeft w:val="640"/>
          <w:marRight w:val="0"/>
          <w:marTop w:val="0"/>
          <w:marBottom w:val="0"/>
          <w:divBdr>
            <w:top w:val="none" w:sz="0" w:space="0" w:color="auto"/>
            <w:left w:val="none" w:sz="0" w:space="0" w:color="auto"/>
            <w:bottom w:val="none" w:sz="0" w:space="0" w:color="auto"/>
            <w:right w:val="none" w:sz="0" w:space="0" w:color="auto"/>
          </w:divBdr>
        </w:div>
        <w:div w:id="373776087">
          <w:marLeft w:val="640"/>
          <w:marRight w:val="0"/>
          <w:marTop w:val="0"/>
          <w:marBottom w:val="0"/>
          <w:divBdr>
            <w:top w:val="none" w:sz="0" w:space="0" w:color="auto"/>
            <w:left w:val="none" w:sz="0" w:space="0" w:color="auto"/>
            <w:bottom w:val="none" w:sz="0" w:space="0" w:color="auto"/>
            <w:right w:val="none" w:sz="0" w:space="0" w:color="auto"/>
          </w:divBdr>
        </w:div>
        <w:div w:id="1565796190">
          <w:marLeft w:val="640"/>
          <w:marRight w:val="0"/>
          <w:marTop w:val="0"/>
          <w:marBottom w:val="0"/>
          <w:divBdr>
            <w:top w:val="none" w:sz="0" w:space="0" w:color="auto"/>
            <w:left w:val="none" w:sz="0" w:space="0" w:color="auto"/>
            <w:bottom w:val="none" w:sz="0" w:space="0" w:color="auto"/>
            <w:right w:val="none" w:sz="0" w:space="0" w:color="auto"/>
          </w:divBdr>
        </w:div>
        <w:div w:id="1853110767">
          <w:marLeft w:val="640"/>
          <w:marRight w:val="0"/>
          <w:marTop w:val="0"/>
          <w:marBottom w:val="0"/>
          <w:divBdr>
            <w:top w:val="none" w:sz="0" w:space="0" w:color="auto"/>
            <w:left w:val="none" w:sz="0" w:space="0" w:color="auto"/>
            <w:bottom w:val="none" w:sz="0" w:space="0" w:color="auto"/>
            <w:right w:val="none" w:sz="0" w:space="0" w:color="auto"/>
          </w:divBdr>
        </w:div>
        <w:div w:id="1340766628">
          <w:marLeft w:val="640"/>
          <w:marRight w:val="0"/>
          <w:marTop w:val="0"/>
          <w:marBottom w:val="0"/>
          <w:divBdr>
            <w:top w:val="none" w:sz="0" w:space="0" w:color="auto"/>
            <w:left w:val="none" w:sz="0" w:space="0" w:color="auto"/>
            <w:bottom w:val="none" w:sz="0" w:space="0" w:color="auto"/>
            <w:right w:val="none" w:sz="0" w:space="0" w:color="auto"/>
          </w:divBdr>
        </w:div>
        <w:div w:id="40373005">
          <w:marLeft w:val="640"/>
          <w:marRight w:val="0"/>
          <w:marTop w:val="0"/>
          <w:marBottom w:val="0"/>
          <w:divBdr>
            <w:top w:val="none" w:sz="0" w:space="0" w:color="auto"/>
            <w:left w:val="none" w:sz="0" w:space="0" w:color="auto"/>
            <w:bottom w:val="none" w:sz="0" w:space="0" w:color="auto"/>
            <w:right w:val="none" w:sz="0" w:space="0" w:color="auto"/>
          </w:divBdr>
        </w:div>
        <w:div w:id="6836414">
          <w:marLeft w:val="640"/>
          <w:marRight w:val="0"/>
          <w:marTop w:val="0"/>
          <w:marBottom w:val="0"/>
          <w:divBdr>
            <w:top w:val="none" w:sz="0" w:space="0" w:color="auto"/>
            <w:left w:val="none" w:sz="0" w:space="0" w:color="auto"/>
            <w:bottom w:val="none" w:sz="0" w:space="0" w:color="auto"/>
            <w:right w:val="none" w:sz="0" w:space="0" w:color="auto"/>
          </w:divBdr>
        </w:div>
        <w:div w:id="1602831890">
          <w:marLeft w:val="640"/>
          <w:marRight w:val="0"/>
          <w:marTop w:val="0"/>
          <w:marBottom w:val="0"/>
          <w:divBdr>
            <w:top w:val="none" w:sz="0" w:space="0" w:color="auto"/>
            <w:left w:val="none" w:sz="0" w:space="0" w:color="auto"/>
            <w:bottom w:val="none" w:sz="0" w:space="0" w:color="auto"/>
            <w:right w:val="none" w:sz="0" w:space="0" w:color="auto"/>
          </w:divBdr>
        </w:div>
        <w:div w:id="696352703">
          <w:marLeft w:val="640"/>
          <w:marRight w:val="0"/>
          <w:marTop w:val="0"/>
          <w:marBottom w:val="0"/>
          <w:divBdr>
            <w:top w:val="none" w:sz="0" w:space="0" w:color="auto"/>
            <w:left w:val="none" w:sz="0" w:space="0" w:color="auto"/>
            <w:bottom w:val="none" w:sz="0" w:space="0" w:color="auto"/>
            <w:right w:val="none" w:sz="0" w:space="0" w:color="auto"/>
          </w:divBdr>
        </w:div>
        <w:div w:id="2119063489">
          <w:marLeft w:val="640"/>
          <w:marRight w:val="0"/>
          <w:marTop w:val="0"/>
          <w:marBottom w:val="0"/>
          <w:divBdr>
            <w:top w:val="none" w:sz="0" w:space="0" w:color="auto"/>
            <w:left w:val="none" w:sz="0" w:space="0" w:color="auto"/>
            <w:bottom w:val="none" w:sz="0" w:space="0" w:color="auto"/>
            <w:right w:val="none" w:sz="0" w:space="0" w:color="auto"/>
          </w:divBdr>
        </w:div>
        <w:div w:id="664821426">
          <w:marLeft w:val="640"/>
          <w:marRight w:val="0"/>
          <w:marTop w:val="0"/>
          <w:marBottom w:val="0"/>
          <w:divBdr>
            <w:top w:val="none" w:sz="0" w:space="0" w:color="auto"/>
            <w:left w:val="none" w:sz="0" w:space="0" w:color="auto"/>
            <w:bottom w:val="none" w:sz="0" w:space="0" w:color="auto"/>
            <w:right w:val="none" w:sz="0" w:space="0" w:color="auto"/>
          </w:divBdr>
        </w:div>
        <w:div w:id="1575242567">
          <w:marLeft w:val="640"/>
          <w:marRight w:val="0"/>
          <w:marTop w:val="0"/>
          <w:marBottom w:val="0"/>
          <w:divBdr>
            <w:top w:val="none" w:sz="0" w:space="0" w:color="auto"/>
            <w:left w:val="none" w:sz="0" w:space="0" w:color="auto"/>
            <w:bottom w:val="none" w:sz="0" w:space="0" w:color="auto"/>
            <w:right w:val="none" w:sz="0" w:space="0" w:color="auto"/>
          </w:divBdr>
        </w:div>
        <w:div w:id="694422446">
          <w:marLeft w:val="640"/>
          <w:marRight w:val="0"/>
          <w:marTop w:val="0"/>
          <w:marBottom w:val="0"/>
          <w:divBdr>
            <w:top w:val="none" w:sz="0" w:space="0" w:color="auto"/>
            <w:left w:val="none" w:sz="0" w:space="0" w:color="auto"/>
            <w:bottom w:val="none" w:sz="0" w:space="0" w:color="auto"/>
            <w:right w:val="none" w:sz="0" w:space="0" w:color="auto"/>
          </w:divBdr>
        </w:div>
        <w:div w:id="2046785267">
          <w:marLeft w:val="640"/>
          <w:marRight w:val="0"/>
          <w:marTop w:val="0"/>
          <w:marBottom w:val="0"/>
          <w:divBdr>
            <w:top w:val="none" w:sz="0" w:space="0" w:color="auto"/>
            <w:left w:val="none" w:sz="0" w:space="0" w:color="auto"/>
            <w:bottom w:val="none" w:sz="0" w:space="0" w:color="auto"/>
            <w:right w:val="none" w:sz="0" w:space="0" w:color="auto"/>
          </w:divBdr>
        </w:div>
        <w:div w:id="511921466">
          <w:marLeft w:val="640"/>
          <w:marRight w:val="0"/>
          <w:marTop w:val="0"/>
          <w:marBottom w:val="0"/>
          <w:divBdr>
            <w:top w:val="none" w:sz="0" w:space="0" w:color="auto"/>
            <w:left w:val="none" w:sz="0" w:space="0" w:color="auto"/>
            <w:bottom w:val="none" w:sz="0" w:space="0" w:color="auto"/>
            <w:right w:val="none" w:sz="0" w:space="0" w:color="auto"/>
          </w:divBdr>
        </w:div>
        <w:div w:id="1814442255">
          <w:marLeft w:val="640"/>
          <w:marRight w:val="0"/>
          <w:marTop w:val="0"/>
          <w:marBottom w:val="0"/>
          <w:divBdr>
            <w:top w:val="none" w:sz="0" w:space="0" w:color="auto"/>
            <w:left w:val="none" w:sz="0" w:space="0" w:color="auto"/>
            <w:bottom w:val="none" w:sz="0" w:space="0" w:color="auto"/>
            <w:right w:val="none" w:sz="0" w:space="0" w:color="auto"/>
          </w:divBdr>
        </w:div>
        <w:div w:id="158347819">
          <w:marLeft w:val="640"/>
          <w:marRight w:val="0"/>
          <w:marTop w:val="0"/>
          <w:marBottom w:val="0"/>
          <w:divBdr>
            <w:top w:val="none" w:sz="0" w:space="0" w:color="auto"/>
            <w:left w:val="none" w:sz="0" w:space="0" w:color="auto"/>
            <w:bottom w:val="none" w:sz="0" w:space="0" w:color="auto"/>
            <w:right w:val="none" w:sz="0" w:space="0" w:color="auto"/>
          </w:divBdr>
        </w:div>
        <w:div w:id="217322068">
          <w:marLeft w:val="640"/>
          <w:marRight w:val="0"/>
          <w:marTop w:val="0"/>
          <w:marBottom w:val="0"/>
          <w:divBdr>
            <w:top w:val="none" w:sz="0" w:space="0" w:color="auto"/>
            <w:left w:val="none" w:sz="0" w:space="0" w:color="auto"/>
            <w:bottom w:val="none" w:sz="0" w:space="0" w:color="auto"/>
            <w:right w:val="none" w:sz="0" w:space="0" w:color="auto"/>
          </w:divBdr>
        </w:div>
        <w:div w:id="1591812758">
          <w:marLeft w:val="640"/>
          <w:marRight w:val="0"/>
          <w:marTop w:val="0"/>
          <w:marBottom w:val="0"/>
          <w:divBdr>
            <w:top w:val="none" w:sz="0" w:space="0" w:color="auto"/>
            <w:left w:val="none" w:sz="0" w:space="0" w:color="auto"/>
            <w:bottom w:val="none" w:sz="0" w:space="0" w:color="auto"/>
            <w:right w:val="none" w:sz="0" w:space="0" w:color="auto"/>
          </w:divBdr>
        </w:div>
        <w:div w:id="194198055">
          <w:marLeft w:val="640"/>
          <w:marRight w:val="0"/>
          <w:marTop w:val="0"/>
          <w:marBottom w:val="0"/>
          <w:divBdr>
            <w:top w:val="none" w:sz="0" w:space="0" w:color="auto"/>
            <w:left w:val="none" w:sz="0" w:space="0" w:color="auto"/>
            <w:bottom w:val="none" w:sz="0" w:space="0" w:color="auto"/>
            <w:right w:val="none" w:sz="0" w:space="0" w:color="auto"/>
          </w:divBdr>
        </w:div>
        <w:div w:id="600994890">
          <w:marLeft w:val="640"/>
          <w:marRight w:val="0"/>
          <w:marTop w:val="0"/>
          <w:marBottom w:val="0"/>
          <w:divBdr>
            <w:top w:val="none" w:sz="0" w:space="0" w:color="auto"/>
            <w:left w:val="none" w:sz="0" w:space="0" w:color="auto"/>
            <w:bottom w:val="none" w:sz="0" w:space="0" w:color="auto"/>
            <w:right w:val="none" w:sz="0" w:space="0" w:color="auto"/>
          </w:divBdr>
        </w:div>
        <w:div w:id="117185375">
          <w:marLeft w:val="640"/>
          <w:marRight w:val="0"/>
          <w:marTop w:val="0"/>
          <w:marBottom w:val="0"/>
          <w:divBdr>
            <w:top w:val="none" w:sz="0" w:space="0" w:color="auto"/>
            <w:left w:val="none" w:sz="0" w:space="0" w:color="auto"/>
            <w:bottom w:val="none" w:sz="0" w:space="0" w:color="auto"/>
            <w:right w:val="none" w:sz="0" w:space="0" w:color="auto"/>
          </w:divBdr>
        </w:div>
        <w:div w:id="819614532">
          <w:marLeft w:val="640"/>
          <w:marRight w:val="0"/>
          <w:marTop w:val="0"/>
          <w:marBottom w:val="0"/>
          <w:divBdr>
            <w:top w:val="none" w:sz="0" w:space="0" w:color="auto"/>
            <w:left w:val="none" w:sz="0" w:space="0" w:color="auto"/>
            <w:bottom w:val="none" w:sz="0" w:space="0" w:color="auto"/>
            <w:right w:val="none" w:sz="0" w:space="0" w:color="auto"/>
          </w:divBdr>
        </w:div>
        <w:div w:id="1874151604">
          <w:marLeft w:val="640"/>
          <w:marRight w:val="0"/>
          <w:marTop w:val="0"/>
          <w:marBottom w:val="0"/>
          <w:divBdr>
            <w:top w:val="none" w:sz="0" w:space="0" w:color="auto"/>
            <w:left w:val="none" w:sz="0" w:space="0" w:color="auto"/>
            <w:bottom w:val="none" w:sz="0" w:space="0" w:color="auto"/>
            <w:right w:val="none" w:sz="0" w:space="0" w:color="auto"/>
          </w:divBdr>
        </w:div>
        <w:div w:id="23024203">
          <w:marLeft w:val="640"/>
          <w:marRight w:val="0"/>
          <w:marTop w:val="0"/>
          <w:marBottom w:val="0"/>
          <w:divBdr>
            <w:top w:val="none" w:sz="0" w:space="0" w:color="auto"/>
            <w:left w:val="none" w:sz="0" w:space="0" w:color="auto"/>
            <w:bottom w:val="none" w:sz="0" w:space="0" w:color="auto"/>
            <w:right w:val="none" w:sz="0" w:space="0" w:color="auto"/>
          </w:divBdr>
        </w:div>
        <w:div w:id="1777291437">
          <w:marLeft w:val="640"/>
          <w:marRight w:val="0"/>
          <w:marTop w:val="0"/>
          <w:marBottom w:val="0"/>
          <w:divBdr>
            <w:top w:val="none" w:sz="0" w:space="0" w:color="auto"/>
            <w:left w:val="none" w:sz="0" w:space="0" w:color="auto"/>
            <w:bottom w:val="none" w:sz="0" w:space="0" w:color="auto"/>
            <w:right w:val="none" w:sz="0" w:space="0" w:color="auto"/>
          </w:divBdr>
        </w:div>
        <w:div w:id="173613195">
          <w:marLeft w:val="640"/>
          <w:marRight w:val="0"/>
          <w:marTop w:val="0"/>
          <w:marBottom w:val="0"/>
          <w:divBdr>
            <w:top w:val="none" w:sz="0" w:space="0" w:color="auto"/>
            <w:left w:val="none" w:sz="0" w:space="0" w:color="auto"/>
            <w:bottom w:val="none" w:sz="0" w:space="0" w:color="auto"/>
            <w:right w:val="none" w:sz="0" w:space="0" w:color="auto"/>
          </w:divBdr>
        </w:div>
        <w:div w:id="1573658451">
          <w:marLeft w:val="640"/>
          <w:marRight w:val="0"/>
          <w:marTop w:val="0"/>
          <w:marBottom w:val="0"/>
          <w:divBdr>
            <w:top w:val="none" w:sz="0" w:space="0" w:color="auto"/>
            <w:left w:val="none" w:sz="0" w:space="0" w:color="auto"/>
            <w:bottom w:val="none" w:sz="0" w:space="0" w:color="auto"/>
            <w:right w:val="none" w:sz="0" w:space="0" w:color="auto"/>
          </w:divBdr>
        </w:div>
        <w:div w:id="989406306">
          <w:marLeft w:val="640"/>
          <w:marRight w:val="0"/>
          <w:marTop w:val="0"/>
          <w:marBottom w:val="0"/>
          <w:divBdr>
            <w:top w:val="none" w:sz="0" w:space="0" w:color="auto"/>
            <w:left w:val="none" w:sz="0" w:space="0" w:color="auto"/>
            <w:bottom w:val="none" w:sz="0" w:space="0" w:color="auto"/>
            <w:right w:val="none" w:sz="0" w:space="0" w:color="auto"/>
          </w:divBdr>
        </w:div>
        <w:div w:id="1284191793">
          <w:marLeft w:val="640"/>
          <w:marRight w:val="0"/>
          <w:marTop w:val="0"/>
          <w:marBottom w:val="0"/>
          <w:divBdr>
            <w:top w:val="none" w:sz="0" w:space="0" w:color="auto"/>
            <w:left w:val="none" w:sz="0" w:space="0" w:color="auto"/>
            <w:bottom w:val="none" w:sz="0" w:space="0" w:color="auto"/>
            <w:right w:val="none" w:sz="0" w:space="0" w:color="auto"/>
          </w:divBdr>
        </w:div>
        <w:div w:id="1671519345">
          <w:marLeft w:val="640"/>
          <w:marRight w:val="0"/>
          <w:marTop w:val="0"/>
          <w:marBottom w:val="0"/>
          <w:divBdr>
            <w:top w:val="none" w:sz="0" w:space="0" w:color="auto"/>
            <w:left w:val="none" w:sz="0" w:space="0" w:color="auto"/>
            <w:bottom w:val="none" w:sz="0" w:space="0" w:color="auto"/>
            <w:right w:val="none" w:sz="0" w:space="0" w:color="auto"/>
          </w:divBdr>
        </w:div>
        <w:div w:id="647057749">
          <w:marLeft w:val="640"/>
          <w:marRight w:val="0"/>
          <w:marTop w:val="0"/>
          <w:marBottom w:val="0"/>
          <w:divBdr>
            <w:top w:val="none" w:sz="0" w:space="0" w:color="auto"/>
            <w:left w:val="none" w:sz="0" w:space="0" w:color="auto"/>
            <w:bottom w:val="none" w:sz="0" w:space="0" w:color="auto"/>
            <w:right w:val="none" w:sz="0" w:space="0" w:color="auto"/>
          </w:divBdr>
        </w:div>
        <w:div w:id="388694467">
          <w:marLeft w:val="640"/>
          <w:marRight w:val="0"/>
          <w:marTop w:val="0"/>
          <w:marBottom w:val="0"/>
          <w:divBdr>
            <w:top w:val="none" w:sz="0" w:space="0" w:color="auto"/>
            <w:left w:val="none" w:sz="0" w:space="0" w:color="auto"/>
            <w:bottom w:val="none" w:sz="0" w:space="0" w:color="auto"/>
            <w:right w:val="none" w:sz="0" w:space="0" w:color="auto"/>
          </w:divBdr>
        </w:div>
        <w:div w:id="1037002810">
          <w:marLeft w:val="640"/>
          <w:marRight w:val="0"/>
          <w:marTop w:val="0"/>
          <w:marBottom w:val="0"/>
          <w:divBdr>
            <w:top w:val="none" w:sz="0" w:space="0" w:color="auto"/>
            <w:left w:val="none" w:sz="0" w:space="0" w:color="auto"/>
            <w:bottom w:val="none" w:sz="0" w:space="0" w:color="auto"/>
            <w:right w:val="none" w:sz="0" w:space="0" w:color="auto"/>
          </w:divBdr>
        </w:div>
        <w:div w:id="288124354">
          <w:marLeft w:val="640"/>
          <w:marRight w:val="0"/>
          <w:marTop w:val="0"/>
          <w:marBottom w:val="0"/>
          <w:divBdr>
            <w:top w:val="none" w:sz="0" w:space="0" w:color="auto"/>
            <w:left w:val="none" w:sz="0" w:space="0" w:color="auto"/>
            <w:bottom w:val="none" w:sz="0" w:space="0" w:color="auto"/>
            <w:right w:val="none" w:sz="0" w:space="0" w:color="auto"/>
          </w:divBdr>
        </w:div>
        <w:div w:id="890505868">
          <w:marLeft w:val="640"/>
          <w:marRight w:val="0"/>
          <w:marTop w:val="0"/>
          <w:marBottom w:val="0"/>
          <w:divBdr>
            <w:top w:val="none" w:sz="0" w:space="0" w:color="auto"/>
            <w:left w:val="none" w:sz="0" w:space="0" w:color="auto"/>
            <w:bottom w:val="none" w:sz="0" w:space="0" w:color="auto"/>
            <w:right w:val="none" w:sz="0" w:space="0" w:color="auto"/>
          </w:divBdr>
        </w:div>
        <w:div w:id="1041707877">
          <w:marLeft w:val="640"/>
          <w:marRight w:val="0"/>
          <w:marTop w:val="0"/>
          <w:marBottom w:val="0"/>
          <w:divBdr>
            <w:top w:val="none" w:sz="0" w:space="0" w:color="auto"/>
            <w:left w:val="none" w:sz="0" w:space="0" w:color="auto"/>
            <w:bottom w:val="none" w:sz="0" w:space="0" w:color="auto"/>
            <w:right w:val="none" w:sz="0" w:space="0" w:color="auto"/>
          </w:divBdr>
        </w:div>
        <w:div w:id="1547907985">
          <w:marLeft w:val="640"/>
          <w:marRight w:val="0"/>
          <w:marTop w:val="0"/>
          <w:marBottom w:val="0"/>
          <w:divBdr>
            <w:top w:val="none" w:sz="0" w:space="0" w:color="auto"/>
            <w:left w:val="none" w:sz="0" w:space="0" w:color="auto"/>
            <w:bottom w:val="none" w:sz="0" w:space="0" w:color="auto"/>
            <w:right w:val="none" w:sz="0" w:space="0" w:color="auto"/>
          </w:divBdr>
        </w:div>
        <w:div w:id="786922858">
          <w:marLeft w:val="640"/>
          <w:marRight w:val="0"/>
          <w:marTop w:val="0"/>
          <w:marBottom w:val="0"/>
          <w:divBdr>
            <w:top w:val="none" w:sz="0" w:space="0" w:color="auto"/>
            <w:left w:val="none" w:sz="0" w:space="0" w:color="auto"/>
            <w:bottom w:val="none" w:sz="0" w:space="0" w:color="auto"/>
            <w:right w:val="none" w:sz="0" w:space="0" w:color="auto"/>
          </w:divBdr>
        </w:div>
        <w:div w:id="430052476">
          <w:marLeft w:val="640"/>
          <w:marRight w:val="0"/>
          <w:marTop w:val="0"/>
          <w:marBottom w:val="0"/>
          <w:divBdr>
            <w:top w:val="none" w:sz="0" w:space="0" w:color="auto"/>
            <w:left w:val="none" w:sz="0" w:space="0" w:color="auto"/>
            <w:bottom w:val="none" w:sz="0" w:space="0" w:color="auto"/>
            <w:right w:val="none" w:sz="0" w:space="0" w:color="auto"/>
          </w:divBdr>
        </w:div>
        <w:div w:id="1143813861">
          <w:marLeft w:val="640"/>
          <w:marRight w:val="0"/>
          <w:marTop w:val="0"/>
          <w:marBottom w:val="0"/>
          <w:divBdr>
            <w:top w:val="none" w:sz="0" w:space="0" w:color="auto"/>
            <w:left w:val="none" w:sz="0" w:space="0" w:color="auto"/>
            <w:bottom w:val="none" w:sz="0" w:space="0" w:color="auto"/>
            <w:right w:val="none" w:sz="0" w:space="0" w:color="auto"/>
          </w:divBdr>
        </w:div>
        <w:div w:id="1443258458">
          <w:marLeft w:val="640"/>
          <w:marRight w:val="0"/>
          <w:marTop w:val="0"/>
          <w:marBottom w:val="0"/>
          <w:divBdr>
            <w:top w:val="none" w:sz="0" w:space="0" w:color="auto"/>
            <w:left w:val="none" w:sz="0" w:space="0" w:color="auto"/>
            <w:bottom w:val="none" w:sz="0" w:space="0" w:color="auto"/>
            <w:right w:val="none" w:sz="0" w:space="0" w:color="auto"/>
          </w:divBdr>
        </w:div>
        <w:div w:id="1442795357">
          <w:marLeft w:val="640"/>
          <w:marRight w:val="0"/>
          <w:marTop w:val="0"/>
          <w:marBottom w:val="0"/>
          <w:divBdr>
            <w:top w:val="none" w:sz="0" w:space="0" w:color="auto"/>
            <w:left w:val="none" w:sz="0" w:space="0" w:color="auto"/>
            <w:bottom w:val="none" w:sz="0" w:space="0" w:color="auto"/>
            <w:right w:val="none" w:sz="0" w:space="0" w:color="auto"/>
          </w:divBdr>
        </w:div>
        <w:div w:id="1773743901">
          <w:marLeft w:val="640"/>
          <w:marRight w:val="0"/>
          <w:marTop w:val="0"/>
          <w:marBottom w:val="0"/>
          <w:divBdr>
            <w:top w:val="none" w:sz="0" w:space="0" w:color="auto"/>
            <w:left w:val="none" w:sz="0" w:space="0" w:color="auto"/>
            <w:bottom w:val="none" w:sz="0" w:space="0" w:color="auto"/>
            <w:right w:val="none" w:sz="0" w:space="0" w:color="auto"/>
          </w:divBdr>
        </w:div>
        <w:div w:id="1415467957">
          <w:marLeft w:val="640"/>
          <w:marRight w:val="0"/>
          <w:marTop w:val="0"/>
          <w:marBottom w:val="0"/>
          <w:divBdr>
            <w:top w:val="none" w:sz="0" w:space="0" w:color="auto"/>
            <w:left w:val="none" w:sz="0" w:space="0" w:color="auto"/>
            <w:bottom w:val="none" w:sz="0" w:space="0" w:color="auto"/>
            <w:right w:val="none" w:sz="0" w:space="0" w:color="auto"/>
          </w:divBdr>
        </w:div>
        <w:div w:id="198469448">
          <w:marLeft w:val="640"/>
          <w:marRight w:val="0"/>
          <w:marTop w:val="0"/>
          <w:marBottom w:val="0"/>
          <w:divBdr>
            <w:top w:val="none" w:sz="0" w:space="0" w:color="auto"/>
            <w:left w:val="none" w:sz="0" w:space="0" w:color="auto"/>
            <w:bottom w:val="none" w:sz="0" w:space="0" w:color="auto"/>
            <w:right w:val="none" w:sz="0" w:space="0" w:color="auto"/>
          </w:divBdr>
        </w:div>
        <w:div w:id="753553766">
          <w:marLeft w:val="640"/>
          <w:marRight w:val="0"/>
          <w:marTop w:val="0"/>
          <w:marBottom w:val="0"/>
          <w:divBdr>
            <w:top w:val="none" w:sz="0" w:space="0" w:color="auto"/>
            <w:left w:val="none" w:sz="0" w:space="0" w:color="auto"/>
            <w:bottom w:val="none" w:sz="0" w:space="0" w:color="auto"/>
            <w:right w:val="none" w:sz="0" w:space="0" w:color="auto"/>
          </w:divBdr>
        </w:div>
        <w:div w:id="1588004135">
          <w:marLeft w:val="640"/>
          <w:marRight w:val="0"/>
          <w:marTop w:val="0"/>
          <w:marBottom w:val="0"/>
          <w:divBdr>
            <w:top w:val="none" w:sz="0" w:space="0" w:color="auto"/>
            <w:left w:val="none" w:sz="0" w:space="0" w:color="auto"/>
            <w:bottom w:val="none" w:sz="0" w:space="0" w:color="auto"/>
            <w:right w:val="none" w:sz="0" w:space="0" w:color="auto"/>
          </w:divBdr>
        </w:div>
        <w:div w:id="1317107637">
          <w:marLeft w:val="640"/>
          <w:marRight w:val="0"/>
          <w:marTop w:val="0"/>
          <w:marBottom w:val="0"/>
          <w:divBdr>
            <w:top w:val="none" w:sz="0" w:space="0" w:color="auto"/>
            <w:left w:val="none" w:sz="0" w:space="0" w:color="auto"/>
            <w:bottom w:val="none" w:sz="0" w:space="0" w:color="auto"/>
            <w:right w:val="none" w:sz="0" w:space="0" w:color="auto"/>
          </w:divBdr>
        </w:div>
        <w:div w:id="1527986917">
          <w:marLeft w:val="640"/>
          <w:marRight w:val="0"/>
          <w:marTop w:val="0"/>
          <w:marBottom w:val="0"/>
          <w:divBdr>
            <w:top w:val="none" w:sz="0" w:space="0" w:color="auto"/>
            <w:left w:val="none" w:sz="0" w:space="0" w:color="auto"/>
            <w:bottom w:val="none" w:sz="0" w:space="0" w:color="auto"/>
            <w:right w:val="none" w:sz="0" w:space="0" w:color="auto"/>
          </w:divBdr>
        </w:div>
        <w:div w:id="965698923">
          <w:marLeft w:val="640"/>
          <w:marRight w:val="0"/>
          <w:marTop w:val="0"/>
          <w:marBottom w:val="0"/>
          <w:divBdr>
            <w:top w:val="none" w:sz="0" w:space="0" w:color="auto"/>
            <w:left w:val="none" w:sz="0" w:space="0" w:color="auto"/>
            <w:bottom w:val="none" w:sz="0" w:space="0" w:color="auto"/>
            <w:right w:val="none" w:sz="0" w:space="0" w:color="auto"/>
          </w:divBdr>
        </w:div>
        <w:div w:id="1575627659">
          <w:marLeft w:val="640"/>
          <w:marRight w:val="0"/>
          <w:marTop w:val="0"/>
          <w:marBottom w:val="0"/>
          <w:divBdr>
            <w:top w:val="none" w:sz="0" w:space="0" w:color="auto"/>
            <w:left w:val="none" w:sz="0" w:space="0" w:color="auto"/>
            <w:bottom w:val="none" w:sz="0" w:space="0" w:color="auto"/>
            <w:right w:val="none" w:sz="0" w:space="0" w:color="auto"/>
          </w:divBdr>
        </w:div>
        <w:div w:id="1346245761">
          <w:marLeft w:val="640"/>
          <w:marRight w:val="0"/>
          <w:marTop w:val="0"/>
          <w:marBottom w:val="0"/>
          <w:divBdr>
            <w:top w:val="none" w:sz="0" w:space="0" w:color="auto"/>
            <w:left w:val="none" w:sz="0" w:space="0" w:color="auto"/>
            <w:bottom w:val="none" w:sz="0" w:space="0" w:color="auto"/>
            <w:right w:val="none" w:sz="0" w:space="0" w:color="auto"/>
          </w:divBdr>
        </w:div>
        <w:div w:id="900872237">
          <w:marLeft w:val="640"/>
          <w:marRight w:val="0"/>
          <w:marTop w:val="0"/>
          <w:marBottom w:val="0"/>
          <w:divBdr>
            <w:top w:val="none" w:sz="0" w:space="0" w:color="auto"/>
            <w:left w:val="none" w:sz="0" w:space="0" w:color="auto"/>
            <w:bottom w:val="none" w:sz="0" w:space="0" w:color="auto"/>
            <w:right w:val="none" w:sz="0" w:space="0" w:color="auto"/>
          </w:divBdr>
        </w:div>
        <w:div w:id="1512647412">
          <w:marLeft w:val="640"/>
          <w:marRight w:val="0"/>
          <w:marTop w:val="0"/>
          <w:marBottom w:val="0"/>
          <w:divBdr>
            <w:top w:val="none" w:sz="0" w:space="0" w:color="auto"/>
            <w:left w:val="none" w:sz="0" w:space="0" w:color="auto"/>
            <w:bottom w:val="none" w:sz="0" w:space="0" w:color="auto"/>
            <w:right w:val="none" w:sz="0" w:space="0" w:color="auto"/>
          </w:divBdr>
        </w:div>
        <w:div w:id="1548687105">
          <w:marLeft w:val="640"/>
          <w:marRight w:val="0"/>
          <w:marTop w:val="0"/>
          <w:marBottom w:val="0"/>
          <w:divBdr>
            <w:top w:val="none" w:sz="0" w:space="0" w:color="auto"/>
            <w:left w:val="none" w:sz="0" w:space="0" w:color="auto"/>
            <w:bottom w:val="none" w:sz="0" w:space="0" w:color="auto"/>
            <w:right w:val="none" w:sz="0" w:space="0" w:color="auto"/>
          </w:divBdr>
        </w:div>
        <w:div w:id="183902086">
          <w:marLeft w:val="640"/>
          <w:marRight w:val="0"/>
          <w:marTop w:val="0"/>
          <w:marBottom w:val="0"/>
          <w:divBdr>
            <w:top w:val="none" w:sz="0" w:space="0" w:color="auto"/>
            <w:left w:val="none" w:sz="0" w:space="0" w:color="auto"/>
            <w:bottom w:val="none" w:sz="0" w:space="0" w:color="auto"/>
            <w:right w:val="none" w:sz="0" w:space="0" w:color="auto"/>
          </w:divBdr>
        </w:div>
        <w:div w:id="134029615">
          <w:marLeft w:val="640"/>
          <w:marRight w:val="0"/>
          <w:marTop w:val="0"/>
          <w:marBottom w:val="0"/>
          <w:divBdr>
            <w:top w:val="none" w:sz="0" w:space="0" w:color="auto"/>
            <w:left w:val="none" w:sz="0" w:space="0" w:color="auto"/>
            <w:bottom w:val="none" w:sz="0" w:space="0" w:color="auto"/>
            <w:right w:val="none" w:sz="0" w:space="0" w:color="auto"/>
          </w:divBdr>
        </w:div>
        <w:div w:id="72558031">
          <w:marLeft w:val="640"/>
          <w:marRight w:val="0"/>
          <w:marTop w:val="0"/>
          <w:marBottom w:val="0"/>
          <w:divBdr>
            <w:top w:val="none" w:sz="0" w:space="0" w:color="auto"/>
            <w:left w:val="none" w:sz="0" w:space="0" w:color="auto"/>
            <w:bottom w:val="none" w:sz="0" w:space="0" w:color="auto"/>
            <w:right w:val="none" w:sz="0" w:space="0" w:color="auto"/>
          </w:divBdr>
        </w:div>
        <w:div w:id="407113156">
          <w:marLeft w:val="640"/>
          <w:marRight w:val="0"/>
          <w:marTop w:val="0"/>
          <w:marBottom w:val="0"/>
          <w:divBdr>
            <w:top w:val="none" w:sz="0" w:space="0" w:color="auto"/>
            <w:left w:val="none" w:sz="0" w:space="0" w:color="auto"/>
            <w:bottom w:val="none" w:sz="0" w:space="0" w:color="auto"/>
            <w:right w:val="none" w:sz="0" w:space="0" w:color="auto"/>
          </w:divBdr>
        </w:div>
        <w:div w:id="287401239">
          <w:marLeft w:val="640"/>
          <w:marRight w:val="0"/>
          <w:marTop w:val="0"/>
          <w:marBottom w:val="0"/>
          <w:divBdr>
            <w:top w:val="none" w:sz="0" w:space="0" w:color="auto"/>
            <w:left w:val="none" w:sz="0" w:space="0" w:color="auto"/>
            <w:bottom w:val="none" w:sz="0" w:space="0" w:color="auto"/>
            <w:right w:val="none" w:sz="0" w:space="0" w:color="auto"/>
          </w:divBdr>
        </w:div>
        <w:div w:id="1135175572">
          <w:marLeft w:val="640"/>
          <w:marRight w:val="0"/>
          <w:marTop w:val="0"/>
          <w:marBottom w:val="0"/>
          <w:divBdr>
            <w:top w:val="none" w:sz="0" w:space="0" w:color="auto"/>
            <w:left w:val="none" w:sz="0" w:space="0" w:color="auto"/>
            <w:bottom w:val="none" w:sz="0" w:space="0" w:color="auto"/>
            <w:right w:val="none" w:sz="0" w:space="0" w:color="auto"/>
          </w:divBdr>
        </w:div>
        <w:div w:id="1352999013">
          <w:marLeft w:val="640"/>
          <w:marRight w:val="0"/>
          <w:marTop w:val="0"/>
          <w:marBottom w:val="0"/>
          <w:divBdr>
            <w:top w:val="none" w:sz="0" w:space="0" w:color="auto"/>
            <w:left w:val="none" w:sz="0" w:space="0" w:color="auto"/>
            <w:bottom w:val="none" w:sz="0" w:space="0" w:color="auto"/>
            <w:right w:val="none" w:sz="0" w:space="0" w:color="auto"/>
          </w:divBdr>
        </w:div>
        <w:div w:id="1076592401">
          <w:marLeft w:val="640"/>
          <w:marRight w:val="0"/>
          <w:marTop w:val="0"/>
          <w:marBottom w:val="0"/>
          <w:divBdr>
            <w:top w:val="none" w:sz="0" w:space="0" w:color="auto"/>
            <w:left w:val="none" w:sz="0" w:space="0" w:color="auto"/>
            <w:bottom w:val="none" w:sz="0" w:space="0" w:color="auto"/>
            <w:right w:val="none" w:sz="0" w:space="0" w:color="auto"/>
          </w:divBdr>
        </w:div>
        <w:div w:id="194469785">
          <w:marLeft w:val="640"/>
          <w:marRight w:val="0"/>
          <w:marTop w:val="0"/>
          <w:marBottom w:val="0"/>
          <w:divBdr>
            <w:top w:val="none" w:sz="0" w:space="0" w:color="auto"/>
            <w:left w:val="none" w:sz="0" w:space="0" w:color="auto"/>
            <w:bottom w:val="none" w:sz="0" w:space="0" w:color="auto"/>
            <w:right w:val="none" w:sz="0" w:space="0" w:color="auto"/>
          </w:divBdr>
        </w:div>
        <w:div w:id="1773356081">
          <w:marLeft w:val="640"/>
          <w:marRight w:val="0"/>
          <w:marTop w:val="0"/>
          <w:marBottom w:val="0"/>
          <w:divBdr>
            <w:top w:val="none" w:sz="0" w:space="0" w:color="auto"/>
            <w:left w:val="none" w:sz="0" w:space="0" w:color="auto"/>
            <w:bottom w:val="none" w:sz="0" w:space="0" w:color="auto"/>
            <w:right w:val="none" w:sz="0" w:space="0" w:color="auto"/>
          </w:divBdr>
        </w:div>
        <w:div w:id="1617905436">
          <w:marLeft w:val="640"/>
          <w:marRight w:val="0"/>
          <w:marTop w:val="0"/>
          <w:marBottom w:val="0"/>
          <w:divBdr>
            <w:top w:val="none" w:sz="0" w:space="0" w:color="auto"/>
            <w:left w:val="none" w:sz="0" w:space="0" w:color="auto"/>
            <w:bottom w:val="none" w:sz="0" w:space="0" w:color="auto"/>
            <w:right w:val="none" w:sz="0" w:space="0" w:color="auto"/>
          </w:divBdr>
        </w:div>
        <w:div w:id="616915106">
          <w:marLeft w:val="640"/>
          <w:marRight w:val="0"/>
          <w:marTop w:val="0"/>
          <w:marBottom w:val="0"/>
          <w:divBdr>
            <w:top w:val="none" w:sz="0" w:space="0" w:color="auto"/>
            <w:left w:val="none" w:sz="0" w:space="0" w:color="auto"/>
            <w:bottom w:val="none" w:sz="0" w:space="0" w:color="auto"/>
            <w:right w:val="none" w:sz="0" w:space="0" w:color="auto"/>
          </w:divBdr>
        </w:div>
        <w:div w:id="289942376">
          <w:marLeft w:val="640"/>
          <w:marRight w:val="0"/>
          <w:marTop w:val="0"/>
          <w:marBottom w:val="0"/>
          <w:divBdr>
            <w:top w:val="none" w:sz="0" w:space="0" w:color="auto"/>
            <w:left w:val="none" w:sz="0" w:space="0" w:color="auto"/>
            <w:bottom w:val="none" w:sz="0" w:space="0" w:color="auto"/>
            <w:right w:val="none" w:sz="0" w:space="0" w:color="auto"/>
          </w:divBdr>
        </w:div>
        <w:div w:id="2064986489">
          <w:marLeft w:val="640"/>
          <w:marRight w:val="0"/>
          <w:marTop w:val="0"/>
          <w:marBottom w:val="0"/>
          <w:divBdr>
            <w:top w:val="none" w:sz="0" w:space="0" w:color="auto"/>
            <w:left w:val="none" w:sz="0" w:space="0" w:color="auto"/>
            <w:bottom w:val="none" w:sz="0" w:space="0" w:color="auto"/>
            <w:right w:val="none" w:sz="0" w:space="0" w:color="auto"/>
          </w:divBdr>
        </w:div>
        <w:div w:id="757097951">
          <w:marLeft w:val="640"/>
          <w:marRight w:val="0"/>
          <w:marTop w:val="0"/>
          <w:marBottom w:val="0"/>
          <w:divBdr>
            <w:top w:val="none" w:sz="0" w:space="0" w:color="auto"/>
            <w:left w:val="none" w:sz="0" w:space="0" w:color="auto"/>
            <w:bottom w:val="none" w:sz="0" w:space="0" w:color="auto"/>
            <w:right w:val="none" w:sz="0" w:space="0" w:color="auto"/>
          </w:divBdr>
        </w:div>
        <w:div w:id="1915117314">
          <w:marLeft w:val="640"/>
          <w:marRight w:val="0"/>
          <w:marTop w:val="0"/>
          <w:marBottom w:val="0"/>
          <w:divBdr>
            <w:top w:val="none" w:sz="0" w:space="0" w:color="auto"/>
            <w:left w:val="none" w:sz="0" w:space="0" w:color="auto"/>
            <w:bottom w:val="none" w:sz="0" w:space="0" w:color="auto"/>
            <w:right w:val="none" w:sz="0" w:space="0" w:color="auto"/>
          </w:divBdr>
        </w:div>
        <w:div w:id="1979650730">
          <w:marLeft w:val="640"/>
          <w:marRight w:val="0"/>
          <w:marTop w:val="0"/>
          <w:marBottom w:val="0"/>
          <w:divBdr>
            <w:top w:val="none" w:sz="0" w:space="0" w:color="auto"/>
            <w:left w:val="none" w:sz="0" w:space="0" w:color="auto"/>
            <w:bottom w:val="none" w:sz="0" w:space="0" w:color="auto"/>
            <w:right w:val="none" w:sz="0" w:space="0" w:color="auto"/>
          </w:divBdr>
        </w:div>
        <w:div w:id="968701643">
          <w:marLeft w:val="640"/>
          <w:marRight w:val="0"/>
          <w:marTop w:val="0"/>
          <w:marBottom w:val="0"/>
          <w:divBdr>
            <w:top w:val="none" w:sz="0" w:space="0" w:color="auto"/>
            <w:left w:val="none" w:sz="0" w:space="0" w:color="auto"/>
            <w:bottom w:val="none" w:sz="0" w:space="0" w:color="auto"/>
            <w:right w:val="none" w:sz="0" w:space="0" w:color="auto"/>
          </w:divBdr>
        </w:div>
        <w:div w:id="2100054375">
          <w:marLeft w:val="640"/>
          <w:marRight w:val="0"/>
          <w:marTop w:val="0"/>
          <w:marBottom w:val="0"/>
          <w:divBdr>
            <w:top w:val="none" w:sz="0" w:space="0" w:color="auto"/>
            <w:left w:val="none" w:sz="0" w:space="0" w:color="auto"/>
            <w:bottom w:val="none" w:sz="0" w:space="0" w:color="auto"/>
            <w:right w:val="none" w:sz="0" w:space="0" w:color="auto"/>
          </w:divBdr>
        </w:div>
        <w:div w:id="1724403564">
          <w:marLeft w:val="640"/>
          <w:marRight w:val="0"/>
          <w:marTop w:val="0"/>
          <w:marBottom w:val="0"/>
          <w:divBdr>
            <w:top w:val="none" w:sz="0" w:space="0" w:color="auto"/>
            <w:left w:val="none" w:sz="0" w:space="0" w:color="auto"/>
            <w:bottom w:val="none" w:sz="0" w:space="0" w:color="auto"/>
            <w:right w:val="none" w:sz="0" w:space="0" w:color="auto"/>
          </w:divBdr>
        </w:div>
        <w:div w:id="1964968150">
          <w:marLeft w:val="640"/>
          <w:marRight w:val="0"/>
          <w:marTop w:val="0"/>
          <w:marBottom w:val="0"/>
          <w:divBdr>
            <w:top w:val="none" w:sz="0" w:space="0" w:color="auto"/>
            <w:left w:val="none" w:sz="0" w:space="0" w:color="auto"/>
            <w:bottom w:val="none" w:sz="0" w:space="0" w:color="auto"/>
            <w:right w:val="none" w:sz="0" w:space="0" w:color="auto"/>
          </w:divBdr>
        </w:div>
        <w:div w:id="1350444835">
          <w:marLeft w:val="640"/>
          <w:marRight w:val="0"/>
          <w:marTop w:val="0"/>
          <w:marBottom w:val="0"/>
          <w:divBdr>
            <w:top w:val="none" w:sz="0" w:space="0" w:color="auto"/>
            <w:left w:val="none" w:sz="0" w:space="0" w:color="auto"/>
            <w:bottom w:val="none" w:sz="0" w:space="0" w:color="auto"/>
            <w:right w:val="none" w:sz="0" w:space="0" w:color="auto"/>
          </w:divBdr>
        </w:div>
        <w:div w:id="491335360">
          <w:marLeft w:val="640"/>
          <w:marRight w:val="0"/>
          <w:marTop w:val="0"/>
          <w:marBottom w:val="0"/>
          <w:divBdr>
            <w:top w:val="none" w:sz="0" w:space="0" w:color="auto"/>
            <w:left w:val="none" w:sz="0" w:space="0" w:color="auto"/>
            <w:bottom w:val="none" w:sz="0" w:space="0" w:color="auto"/>
            <w:right w:val="none" w:sz="0" w:space="0" w:color="auto"/>
          </w:divBdr>
        </w:div>
        <w:div w:id="1215582152">
          <w:marLeft w:val="640"/>
          <w:marRight w:val="0"/>
          <w:marTop w:val="0"/>
          <w:marBottom w:val="0"/>
          <w:divBdr>
            <w:top w:val="none" w:sz="0" w:space="0" w:color="auto"/>
            <w:left w:val="none" w:sz="0" w:space="0" w:color="auto"/>
            <w:bottom w:val="none" w:sz="0" w:space="0" w:color="auto"/>
            <w:right w:val="none" w:sz="0" w:space="0" w:color="auto"/>
          </w:divBdr>
        </w:div>
        <w:div w:id="1498769318">
          <w:marLeft w:val="640"/>
          <w:marRight w:val="0"/>
          <w:marTop w:val="0"/>
          <w:marBottom w:val="0"/>
          <w:divBdr>
            <w:top w:val="none" w:sz="0" w:space="0" w:color="auto"/>
            <w:left w:val="none" w:sz="0" w:space="0" w:color="auto"/>
            <w:bottom w:val="none" w:sz="0" w:space="0" w:color="auto"/>
            <w:right w:val="none" w:sz="0" w:space="0" w:color="auto"/>
          </w:divBdr>
        </w:div>
        <w:div w:id="1830289874">
          <w:marLeft w:val="640"/>
          <w:marRight w:val="0"/>
          <w:marTop w:val="0"/>
          <w:marBottom w:val="0"/>
          <w:divBdr>
            <w:top w:val="none" w:sz="0" w:space="0" w:color="auto"/>
            <w:left w:val="none" w:sz="0" w:space="0" w:color="auto"/>
            <w:bottom w:val="none" w:sz="0" w:space="0" w:color="auto"/>
            <w:right w:val="none" w:sz="0" w:space="0" w:color="auto"/>
          </w:divBdr>
        </w:div>
        <w:div w:id="1869902496">
          <w:marLeft w:val="640"/>
          <w:marRight w:val="0"/>
          <w:marTop w:val="0"/>
          <w:marBottom w:val="0"/>
          <w:divBdr>
            <w:top w:val="none" w:sz="0" w:space="0" w:color="auto"/>
            <w:left w:val="none" w:sz="0" w:space="0" w:color="auto"/>
            <w:bottom w:val="none" w:sz="0" w:space="0" w:color="auto"/>
            <w:right w:val="none" w:sz="0" w:space="0" w:color="auto"/>
          </w:divBdr>
        </w:div>
        <w:div w:id="2049797679">
          <w:marLeft w:val="640"/>
          <w:marRight w:val="0"/>
          <w:marTop w:val="0"/>
          <w:marBottom w:val="0"/>
          <w:divBdr>
            <w:top w:val="none" w:sz="0" w:space="0" w:color="auto"/>
            <w:left w:val="none" w:sz="0" w:space="0" w:color="auto"/>
            <w:bottom w:val="none" w:sz="0" w:space="0" w:color="auto"/>
            <w:right w:val="none" w:sz="0" w:space="0" w:color="auto"/>
          </w:divBdr>
        </w:div>
        <w:div w:id="396705777">
          <w:marLeft w:val="640"/>
          <w:marRight w:val="0"/>
          <w:marTop w:val="0"/>
          <w:marBottom w:val="0"/>
          <w:divBdr>
            <w:top w:val="none" w:sz="0" w:space="0" w:color="auto"/>
            <w:left w:val="none" w:sz="0" w:space="0" w:color="auto"/>
            <w:bottom w:val="none" w:sz="0" w:space="0" w:color="auto"/>
            <w:right w:val="none" w:sz="0" w:space="0" w:color="auto"/>
          </w:divBdr>
        </w:div>
        <w:div w:id="90123272">
          <w:marLeft w:val="640"/>
          <w:marRight w:val="0"/>
          <w:marTop w:val="0"/>
          <w:marBottom w:val="0"/>
          <w:divBdr>
            <w:top w:val="none" w:sz="0" w:space="0" w:color="auto"/>
            <w:left w:val="none" w:sz="0" w:space="0" w:color="auto"/>
            <w:bottom w:val="none" w:sz="0" w:space="0" w:color="auto"/>
            <w:right w:val="none" w:sz="0" w:space="0" w:color="auto"/>
          </w:divBdr>
        </w:div>
        <w:div w:id="838734092">
          <w:marLeft w:val="640"/>
          <w:marRight w:val="0"/>
          <w:marTop w:val="0"/>
          <w:marBottom w:val="0"/>
          <w:divBdr>
            <w:top w:val="none" w:sz="0" w:space="0" w:color="auto"/>
            <w:left w:val="none" w:sz="0" w:space="0" w:color="auto"/>
            <w:bottom w:val="none" w:sz="0" w:space="0" w:color="auto"/>
            <w:right w:val="none" w:sz="0" w:space="0" w:color="auto"/>
          </w:divBdr>
        </w:div>
        <w:div w:id="1456484673">
          <w:marLeft w:val="640"/>
          <w:marRight w:val="0"/>
          <w:marTop w:val="0"/>
          <w:marBottom w:val="0"/>
          <w:divBdr>
            <w:top w:val="none" w:sz="0" w:space="0" w:color="auto"/>
            <w:left w:val="none" w:sz="0" w:space="0" w:color="auto"/>
            <w:bottom w:val="none" w:sz="0" w:space="0" w:color="auto"/>
            <w:right w:val="none" w:sz="0" w:space="0" w:color="auto"/>
          </w:divBdr>
        </w:div>
        <w:div w:id="545603802">
          <w:marLeft w:val="640"/>
          <w:marRight w:val="0"/>
          <w:marTop w:val="0"/>
          <w:marBottom w:val="0"/>
          <w:divBdr>
            <w:top w:val="none" w:sz="0" w:space="0" w:color="auto"/>
            <w:left w:val="none" w:sz="0" w:space="0" w:color="auto"/>
            <w:bottom w:val="none" w:sz="0" w:space="0" w:color="auto"/>
            <w:right w:val="none" w:sz="0" w:space="0" w:color="auto"/>
          </w:divBdr>
        </w:div>
        <w:div w:id="1234468541">
          <w:marLeft w:val="640"/>
          <w:marRight w:val="0"/>
          <w:marTop w:val="0"/>
          <w:marBottom w:val="0"/>
          <w:divBdr>
            <w:top w:val="none" w:sz="0" w:space="0" w:color="auto"/>
            <w:left w:val="none" w:sz="0" w:space="0" w:color="auto"/>
            <w:bottom w:val="none" w:sz="0" w:space="0" w:color="auto"/>
            <w:right w:val="none" w:sz="0" w:space="0" w:color="auto"/>
          </w:divBdr>
        </w:div>
        <w:div w:id="98795106">
          <w:marLeft w:val="640"/>
          <w:marRight w:val="0"/>
          <w:marTop w:val="0"/>
          <w:marBottom w:val="0"/>
          <w:divBdr>
            <w:top w:val="none" w:sz="0" w:space="0" w:color="auto"/>
            <w:left w:val="none" w:sz="0" w:space="0" w:color="auto"/>
            <w:bottom w:val="none" w:sz="0" w:space="0" w:color="auto"/>
            <w:right w:val="none" w:sz="0" w:space="0" w:color="auto"/>
          </w:divBdr>
        </w:div>
        <w:div w:id="1714109743">
          <w:marLeft w:val="640"/>
          <w:marRight w:val="0"/>
          <w:marTop w:val="0"/>
          <w:marBottom w:val="0"/>
          <w:divBdr>
            <w:top w:val="none" w:sz="0" w:space="0" w:color="auto"/>
            <w:left w:val="none" w:sz="0" w:space="0" w:color="auto"/>
            <w:bottom w:val="none" w:sz="0" w:space="0" w:color="auto"/>
            <w:right w:val="none" w:sz="0" w:space="0" w:color="auto"/>
          </w:divBdr>
        </w:div>
        <w:div w:id="149954360">
          <w:marLeft w:val="640"/>
          <w:marRight w:val="0"/>
          <w:marTop w:val="0"/>
          <w:marBottom w:val="0"/>
          <w:divBdr>
            <w:top w:val="none" w:sz="0" w:space="0" w:color="auto"/>
            <w:left w:val="none" w:sz="0" w:space="0" w:color="auto"/>
            <w:bottom w:val="none" w:sz="0" w:space="0" w:color="auto"/>
            <w:right w:val="none" w:sz="0" w:space="0" w:color="auto"/>
          </w:divBdr>
        </w:div>
        <w:div w:id="724178349">
          <w:marLeft w:val="640"/>
          <w:marRight w:val="0"/>
          <w:marTop w:val="0"/>
          <w:marBottom w:val="0"/>
          <w:divBdr>
            <w:top w:val="none" w:sz="0" w:space="0" w:color="auto"/>
            <w:left w:val="none" w:sz="0" w:space="0" w:color="auto"/>
            <w:bottom w:val="none" w:sz="0" w:space="0" w:color="auto"/>
            <w:right w:val="none" w:sz="0" w:space="0" w:color="auto"/>
          </w:divBdr>
        </w:div>
        <w:div w:id="191115852">
          <w:marLeft w:val="640"/>
          <w:marRight w:val="0"/>
          <w:marTop w:val="0"/>
          <w:marBottom w:val="0"/>
          <w:divBdr>
            <w:top w:val="none" w:sz="0" w:space="0" w:color="auto"/>
            <w:left w:val="none" w:sz="0" w:space="0" w:color="auto"/>
            <w:bottom w:val="none" w:sz="0" w:space="0" w:color="auto"/>
            <w:right w:val="none" w:sz="0" w:space="0" w:color="auto"/>
          </w:divBdr>
        </w:div>
        <w:div w:id="280654353">
          <w:marLeft w:val="640"/>
          <w:marRight w:val="0"/>
          <w:marTop w:val="0"/>
          <w:marBottom w:val="0"/>
          <w:divBdr>
            <w:top w:val="none" w:sz="0" w:space="0" w:color="auto"/>
            <w:left w:val="none" w:sz="0" w:space="0" w:color="auto"/>
            <w:bottom w:val="none" w:sz="0" w:space="0" w:color="auto"/>
            <w:right w:val="none" w:sz="0" w:space="0" w:color="auto"/>
          </w:divBdr>
        </w:div>
        <w:div w:id="26221190">
          <w:marLeft w:val="640"/>
          <w:marRight w:val="0"/>
          <w:marTop w:val="0"/>
          <w:marBottom w:val="0"/>
          <w:divBdr>
            <w:top w:val="none" w:sz="0" w:space="0" w:color="auto"/>
            <w:left w:val="none" w:sz="0" w:space="0" w:color="auto"/>
            <w:bottom w:val="none" w:sz="0" w:space="0" w:color="auto"/>
            <w:right w:val="none" w:sz="0" w:space="0" w:color="auto"/>
          </w:divBdr>
        </w:div>
        <w:div w:id="835995641">
          <w:marLeft w:val="640"/>
          <w:marRight w:val="0"/>
          <w:marTop w:val="0"/>
          <w:marBottom w:val="0"/>
          <w:divBdr>
            <w:top w:val="none" w:sz="0" w:space="0" w:color="auto"/>
            <w:left w:val="none" w:sz="0" w:space="0" w:color="auto"/>
            <w:bottom w:val="none" w:sz="0" w:space="0" w:color="auto"/>
            <w:right w:val="none" w:sz="0" w:space="0" w:color="auto"/>
          </w:divBdr>
        </w:div>
        <w:div w:id="1333147459">
          <w:marLeft w:val="640"/>
          <w:marRight w:val="0"/>
          <w:marTop w:val="0"/>
          <w:marBottom w:val="0"/>
          <w:divBdr>
            <w:top w:val="none" w:sz="0" w:space="0" w:color="auto"/>
            <w:left w:val="none" w:sz="0" w:space="0" w:color="auto"/>
            <w:bottom w:val="none" w:sz="0" w:space="0" w:color="auto"/>
            <w:right w:val="none" w:sz="0" w:space="0" w:color="auto"/>
          </w:divBdr>
        </w:div>
        <w:div w:id="1110707640">
          <w:marLeft w:val="640"/>
          <w:marRight w:val="0"/>
          <w:marTop w:val="0"/>
          <w:marBottom w:val="0"/>
          <w:divBdr>
            <w:top w:val="none" w:sz="0" w:space="0" w:color="auto"/>
            <w:left w:val="none" w:sz="0" w:space="0" w:color="auto"/>
            <w:bottom w:val="none" w:sz="0" w:space="0" w:color="auto"/>
            <w:right w:val="none" w:sz="0" w:space="0" w:color="auto"/>
          </w:divBdr>
        </w:div>
        <w:div w:id="489447639">
          <w:marLeft w:val="640"/>
          <w:marRight w:val="0"/>
          <w:marTop w:val="0"/>
          <w:marBottom w:val="0"/>
          <w:divBdr>
            <w:top w:val="none" w:sz="0" w:space="0" w:color="auto"/>
            <w:left w:val="none" w:sz="0" w:space="0" w:color="auto"/>
            <w:bottom w:val="none" w:sz="0" w:space="0" w:color="auto"/>
            <w:right w:val="none" w:sz="0" w:space="0" w:color="auto"/>
          </w:divBdr>
        </w:div>
        <w:div w:id="1755397368">
          <w:marLeft w:val="640"/>
          <w:marRight w:val="0"/>
          <w:marTop w:val="0"/>
          <w:marBottom w:val="0"/>
          <w:divBdr>
            <w:top w:val="none" w:sz="0" w:space="0" w:color="auto"/>
            <w:left w:val="none" w:sz="0" w:space="0" w:color="auto"/>
            <w:bottom w:val="none" w:sz="0" w:space="0" w:color="auto"/>
            <w:right w:val="none" w:sz="0" w:space="0" w:color="auto"/>
          </w:divBdr>
        </w:div>
        <w:div w:id="2069189084">
          <w:marLeft w:val="640"/>
          <w:marRight w:val="0"/>
          <w:marTop w:val="0"/>
          <w:marBottom w:val="0"/>
          <w:divBdr>
            <w:top w:val="none" w:sz="0" w:space="0" w:color="auto"/>
            <w:left w:val="none" w:sz="0" w:space="0" w:color="auto"/>
            <w:bottom w:val="none" w:sz="0" w:space="0" w:color="auto"/>
            <w:right w:val="none" w:sz="0" w:space="0" w:color="auto"/>
          </w:divBdr>
        </w:div>
        <w:div w:id="918750431">
          <w:marLeft w:val="640"/>
          <w:marRight w:val="0"/>
          <w:marTop w:val="0"/>
          <w:marBottom w:val="0"/>
          <w:divBdr>
            <w:top w:val="none" w:sz="0" w:space="0" w:color="auto"/>
            <w:left w:val="none" w:sz="0" w:space="0" w:color="auto"/>
            <w:bottom w:val="none" w:sz="0" w:space="0" w:color="auto"/>
            <w:right w:val="none" w:sz="0" w:space="0" w:color="auto"/>
          </w:divBdr>
        </w:div>
        <w:div w:id="340746729">
          <w:marLeft w:val="640"/>
          <w:marRight w:val="0"/>
          <w:marTop w:val="0"/>
          <w:marBottom w:val="0"/>
          <w:divBdr>
            <w:top w:val="none" w:sz="0" w:space="0" w:color="auto"/>
            <w:left w:val="none" w:sz="0" w:space="0" w:color="auto"/>
            <w:bottom w:val="none" w:sz="0" w:space="0" w:color="auto"/>
            <w:right w:val="none" w:sz="0" w:space="0" w:color="auto"/>
          </w:divBdr>
        </w:div>
        <w:div w:id="19549468">
          <w:marLeft w:val="640"/>
          <w:marRight w:val="0"/>
          <w:marTop w:val="0"/>
          <w:marBottom w:val="0"/>
          <w:divBdr>
            <w:top w:val="none" w:sz="0" w:space="0" w:color="auto"/>
            <w:left w:val="none" w:sz="0" w:space="0" w:color="auto"/>
            <w:bottom w:val="none" w:sz="0" w:space="0" w:color="auto"/>
            <w:right w:val="none" w:sz="0" w:space="0" w:color="auto"/>
          </w:divBdr>
        </w:div>
        <w:div w:id="459692580">
          <w:marLeft w:val="640"/>
          <w:marRight w:val="0"/>
          <w:marTop w:val="0"/>
          <w:marBottom w:val="0"/>
          <w:divBdr>
            <w:top w:val="none" w:sz="0" w:space="0" w:color="auto"/>
            <w:left w:val="none" w:sz="0" w:space="0" w:color="auto"/>
            <w:bottom w:val="none" w:sz="0" w:space="0" w:color="auto"/>
            <w:right w:val="none" w:sz="0" w:space="0" w:color="auto"/>
          </w:divBdr>
        </w:div>
      </w:divsChild>
    </w:div>
    <w:div w:id="1447507982">
      <w:bodyDiv w:val="1"/>
      <w:marLeft w:val="0"/>
      <w:marRight w:val="0"/>
      <w:marTop w:val="0"/>
      <w:marBottom w:val="0"/>
      <w:divBdr>
        <w:top w:val="none" w:sz="0" w:space="0" w:color="auto"/>
        <w:left w:val="none" w:sz="0" w:space="0" w:color="auto"/>
        <w:bottom w:val="none" w:sz="0" w:space="0" w:color="auto"/>
        <w:right w:val="none" w:sz="0" w:space="0" w:color="auto"/>
      </w:divBdr>
      <w:divsChild>
        <w:div w:id="1079400237">
          <w:marLeft w:val="640"/>
          <w:marRight w:val="0"/>
          <w:marTop w:val="0"/>
          <w:marBottom w:val="0"/>
          <w:divBdr>
            <w:top w:val="none" w:sz="0" w:space="0" w:color="auto"/>
            <w:left w:val="none" w:sz="0" w:space="0" w:color="auto"/>
            <w:bottom w:val="none" w:sz="0" w:space="0" w:color="auto"/>
            <w:right w:val="none" w:sz="0" w:space="0" w:color="auto"/>
          </w:divBdr>
        </w:div>
        <w:div w:id="35400018">
          <w:marLeft w:val="640"/>
          <w:marRight w:val="0"/>
          <w:marTop w:val="0"/>
          <w:marBottom w:val="0"/>
          <w:divBdr>
            <w:top w:val="none" w:sz="0" w:space="0" w:color="auto"/>
            <w:left w:val="none" w:sz="0" w:space="0" w:color="auto"/>
            <w:bottom w:val="none" w:sz="0" w:space="0" w:color="auto"/>
            <w:right w:val="none" w:sz="0" w:space="0" w:color="auto"/>
          </w:divBdr>
        </w:div>
        <w:div w:id="1180393067">
          <w:marLeft w:val="640"/>
          <w:marRight w:val="0"/>
          <w:marTop w:val="0"/>
          <w:marBottom w:val="0"/>
          <w:divBdr>
            <w:top w:val="none" w:sz="0" w:space="0" w:color="auto"/>
            <w:left w:val="none" w:sz="0" w:space="0" w:color="auto"/>
            <w:bottom w:val="none" w:sz="0" w:space="0" w:color="auto"/>
            <w:right w:val="none" w:sz="0" w:space="0" w:color="auto"/>
          </w:divBdr>
        </w:div>
        <w:div w:id="1729768165">
          <w:marLeft w:val="640"/>
          <w:marRight w:val="0"/>
          <w:marTop w:val="0"/>
          <w:marBottom w:val="0"/>
          <w:divBdr>
            <w:top w:val="none" w:sz="0" w:space="0" w:color="auto"/>
            <w:left w:val="none" w:sz="0" w:space="0" w:color="auto"/>
            <w:bottom w:val="none" w:sz="0" w:space="0" w:color="auto"/>
            <w:right w:val="none" w:sz="0" w:space="0" w:color="auto"/>
          </w:divBdr>
        </w:div>
        <w:div w:id="1029454530">
          <w:marLeft w:val="640"/>
          <w:marRight w:val="0"/>
          <w:marTop w:val="0"/>
          <w:marBottom w:val="0"/>
          <w:divBdr>
            <w:top w:val="none" w:sz="0" w:space="0" w:color="auto"/>
            <w:left w:val="none" w:sz="0" w:space="0" w:color="auto"/>
            <w:bottom w:val="none" w:sz="0" w:space="0" w:color="auto"/>
            <w:right w:val="none" w:sz="0" w:space="0" w:color="auto"/>
          </w:divBdr>
        </w:div>
        <w:div w:id="966665878">
          <w:marLeft w:val="640"/>
          <w:marRight w:val="0"/>
          <w:marTop w:val="0"/>
          <w:marBottom w:val="0"/>
          <w:divBdr>
            <w:top w:val="none" w:sz="0" w:space="0" w:color="auto"/>
            <w:left w:val="none" w:sz="0" w:space="0" w:color="auto"/>
            <w:bottom w:val="none" w:sz="0" w:space="0" w:color="auto"/>
            <w:right w:val="none" w:sz="0" w:space="0" w:color="auto"/>
          </w:divBdr>
        </w:div>
        <w:div w:id="56982323">
          <w:marLeft w:val="640"/>
          <w:marRight w:val="0"/>
          <w:marTop w:val="0"/>
          <w:marBottom w:val="0"/>
          <w:divBdr>
            <w:top w:val="none" w:sz="0" w:space="0" w:color="auto"/>
            <w:left w:val="none" w:sz="0" w:space="0" w:color="auto"/>
            <w:bottom w:val="none" w:sz="0" w:space="0" w:color="auto"/>
            <w:right w:val="none" w:sz="0" w:space="0" w:color="auto"/>
          </w:divBdr>
        </w:div>
        <w:div w:id="2048212248">
          <w:marLeft w:val="640"/>
          <w:marRight w:val="0"/>
          <w:marTop w:val="0"/>
          <w:marBottom w:val="0"/>
          <w:divBdr>
            <w:top w:val="none" w:sz="0" w:space="0" w:color="auto"/>
            <w:left w:val="none" w:sz="0" w:space="0" w:color="auto"/>
            <w:bottom w:val="none" w:sz="0" w:space="0" w:color="auto"/>
            <w:right w:val="none" w:sz="0" w:space="0" w:color="auto"/>
          </w:divBdr>
        </w:div>
        <w:div w:id="1732313769">
          <w:marLeft w:val="640"/>
          <w:marRight w:val="0"/>
          <w:marTop w:val="0"/>
          <w:marBottom w:val="0"/>
          <w:divBdr>
            <w:top w:val="none" w:sz="0" w:space="0" w:color="auto"/>
            <w:left w:val="none" w:sz="0" w:space="0" w:color="auto"/>
            <w:bottom w:val="none" w:sz="0" w:space="0" w:color="auto"/>
            <w:right w:val="none" w:sz="0" w:space="0" w:color="auto"/>
          </w:divBdr>
        </w:div>
        <w:div w:id="249389447">
          <w:marLeft w:val="640"/>
          <w:marRight w:val="0"/>
          <w:marTop w:val="0"/>
          <w:marBottom w:val="0"/>
          <w:divBdr>
            <w:top w:val="none" w:sz="0" w:space="0" w:color="auto"/>
            <w:left w:val="none" w:sz="0" w:space="0" w:color="auto"/>
            <w:bottom w:val="none" w:sz="0" w:space="0" w:color="auto"/>
            <w:right w:val="none" w:sz="0" w:space="0" w:color="auto"/>
          </w:divBdr>
        </w:div>
        <w:div w:id="1983533498">
          <w:marLeft w:val="640"/>
          <w:marRight w:val="0"/>
          <w:marTop w:val="0"/>
          <w:marBottom w:val="0"/>
          <w:divBdr>
            <w:top w:val="none" w:sz="0" w:space="0" w:color="auto"/>
            <w:left w:val="none" w:sz="0" w:space="0" w:color="auto"/>
            <w:bottom w:val="none" w:sz="0" w:space="0" w:color="auto"/>
            <w:right w:val="none" w:sz="0" w:space="0" w:color="auto"/>
          </w:divBdr>
        </w:div>
        <w:div w:id="1926105038">
          <w:marLeft w:val="640"/>
          <w:marRight w:val="0"/>
          <w:marTop w:val="0"/>
          <w:marBottom w:val="0"/>
          <w:divBdr>
            <w:top w:val="none" w:sz="0" w:space="0" w:color="auto"/>
            <w:left w:val="none" w:sz="0" w:space="0" w:color="auto"/>
            <w:bottom w:val="none" w:sz="0" w:space="0" w:color="auto"/>
            <w:right w:val="none" w:sz="0" w:space="0" w:color="auto"/>
          </w:divBdr>
        </w:div>
        <w:div w:id="1439332467">
          <w:marLeft w:val="640"/>
          <w:marRight w:val="0"/>
          <w:marTop w:val="0"/>
          <w:marBottom w:val="0"/>
          <w:divBdr>
            <w:top w:val="none" w:sz="0" w:space="0" w:color="auto"/>
            <w:left w:val="none" w:sz="0" w:space="0" w:color="auto"/>
            <w:bottom w:val="none" w:sz="0" w:space="0" w:color="auto"/>
            <w:right w:val="none" w:sz="0" w:space="0" w:color="auto"/>
          </w:divBdr>
        </w:div>
        <w:div w:id="222641492">
          <w:marLeft w:val="640"/>
          <w:marRight w:val="0"/>
          <w:marTop w:val="0"/>
          <w:marBottom w:val="0"/>
          <w:divBdr>
            <w:top w:val="none" w:sz="0" w:space="0" w:color="auto"/>
            <w:left w:val="none" w:sz="0" w:space="0" w:color="auto"/>
            <w:bottom w:val="none" w:sz="0" w:space="0" w:color="auto"/>
            <w:right w:val="none" w:sz="0" w:space="0" w:color="auto"/>
          </w:divBdr>
        </w:div>
        <w:div w:id="549850437">
          <w:marLeft w:val="640"/>
          <w:marRight w:val="0"/>
          <w:marTop w:val="0"/>
          <w:marBottom w:val="0"/>
          <w:divBdr>
            <w:top w:val="none" w:sz="0" w:space="0" w:color="auto"/>
            <w:left w:val="none" w:sz="0" w:space="0" w:color="auto"/>
            <w:bottom w:val="none" w:sz="0" w:space="0" w:color="auto"/>
            <w:right w:val="none" w:sz="0" w:space="0" w:color="auto"/>
          </w:divBdr>
        </w:div>
        <w:div w:id="1670019715">
          <w:marLeft w:val="640"/>
          <w:marRight w:val="0"/>
          <w:marTop w:val="0"/>
          <w:marBottom w:val="0"/>
          <w:divBdr>
            <w:top w:val="none" w:sz="0" w:space="0" w:color="auto"/>
            <w:left w:val="none" w:sz="0" w:space="0" w:color="auto"/>
            <w:bottom w:val="none" w:sz="0" w:space="0" w:color="auto"/>
            <w:right w:val="none" w:sz="0" w:space="0" w:color="auto"/>
          </w:divBdr>
        </w:div>
        <w:div w:id="1135636959">
          <w:marLeft w:val="640"/>
          <w:marRight w:val="0"/>
          <w:marTop w:val="0"/>
          <w:marBottom w:val="0"/>
          <w:divBdr>
            <w:top w:val="none" w:sz="0" w:space="0" w:color="auto"/>
            <w:left w:val="none" w:sz="0" w:space="0" w:color="auto"/>
            <w:bottom w:val="none" w:sz="0" w:space="0" w:color="auto"/>
            <w:right w:val="none" w:sz="0" w:space="0" w:color="auto"/>
          </w:divBdr>
        </w:div>
        <w:div w:id="254944293">
          <w:marLeft w:val="640"/>
          <w:marRight w:val="0"/>
          <w:marTop w:val="0"/>
          <w:marBottom w:val="0"/>
          <w:divBdr>
            <w:top w:val="none" w:sz="0" w:space="0" w:color="auto"/>
            <w:left w:val="none" w:sz="0" w:space="0" w:color="auto"/>
            <w:bottom w:val="none" w:sz="0" w:space="0" w:color="auto"/>
            <w:right w:val="none" w:sz="0" w:space="0" w:color="auto"/>
          </w:divBdr>
        </w:div>
        <w:div w:id="489951500">
          <w:marLeft w:val="640"/>
          <w:marRight w:val="0"/>
          <w:marTop w:val="0"/>
          <w:marBottom w:val="0"/>
          <w:divBdr>
            <w:top w:val="none" w:sz="0" w:space="0" w:color="auto"/>
            <w:left w:val="none" w:sz="0" w:space="0" w:color="auto"/>
            <w:bottom w:val="none" w:sz="0" w:space="0" w:color="auto"/>
            <w:right w:val="none" w:sz="0" w:space="0" w:color="auto"/>
          </w:divBdr>
        </w:div>
        <w:div w:id="321395637">
          <w:marLeft w:val="640"/>
          <w:marRight w:val="0"/>
          <w:marTop w:val="0"/>
          <w:marBottom w:val="0"/>
          <w:divBdr>
            <w:top w:val="none" w:sz="0" w:space="0" w:color="auto"/>
            <w:left w:val="none" w:sz="0" w:space="0" w:color="auto"/>
            <w:bottom w:val="none" w:sz="0" w:space="0" w:color="auto"/>
            <w:right w:val="none" w:sz="0" w:space="0" w:color="auto"/>
          </w:divBdr>
        </w:div>
        <w:div w:id="838695623">
          <w:marLeft w:val="640"/>
          <w:marRight w:val="0"/>
          <w:marTop w:val="0"/>
          <w:marBottom w:val="0"/>
          <w:divBdr>
            <w:top w:val="none" w:sz="0" w:space="0" w:color="auto"/>
            <w:left w:val="none" w:sz="0" w:space="0" w:color="auto"/>
            <w:bottom w:val="none" w:sz="0" w:space="0" w:color="auto"/>
            <w:right w:val="none" w:sz="0" w:space="0" w:color="auto"/>
          </w:divBdr>
        </w:div>
        <w:div w:id="1472401477">
          <w:marLeft w:val="640"/>
          <w:marRight w:val="0"/>
          <w:marTop w:val="0"/>
          <w:marBottom w:val="0"/>
          <w:divBdr>
            <w:top w:val="none" w:sz="0" w:space="0" w:color="auto"/>
            <w:left w:val="none" w:sz="0" w:space="0" w:color="auto"/>
            <w:bottom w:val="none" w:sz="0" w:space="0" w:color="auto"/>
            <w:right w:val="none" w:sz="0" w:space="0" w:color="auto"/>
          </w:divBdr>
        </w:div>
        <w:div w:id="1305501147">
          <w:marLeft w:val="640"/>
          <w:marRight w:val="0"/>
          <w:marTop w:val="0"/>
          <w:marBottom w:val="0"/>
          <w:divBdr>
            <w:top w:val="none" w:sz="0" w:space="0" w:color="auto"/>
            <w:left w:val="none" w:sz="0" w:space="0" w:color="auto"/>
            <w:bottom w:val="none" w:sz="0" w:space="0" w:color="auto"/>
            <w:right w:val="none" w:sz="0" w:space="0" w:color="auto"/>
          </w:divBdr>
        </w:div>
        <w:div w:id="1998417244">
          <w:marLeft w:val="640"/>
          <w:marRight w:val="0"/>
          <w:marTop w:val="0"/>
          <w:marBottom w:val="0"/>
          <w:divBdr>
            <w:top w:val="none" w:sz="0" w:space="0" w:color="auto"/>
            <w:left w:val="none" w:sz="0" w:space="0" w:color="auto"/>
            <w:bottom w:val="none" w:sz="0" w:space="0" w:color="auto"/>
            <w:right w:val="none" w:sz="0" w:space="0" w:color="auto"/>
          </w:divBdr>
        </w:div>
        <w:div w:id="904681177">
          <w:marLeft w:val="640"/>
          <w:marRight w:val="0"/>
          <w:marTop w:val="0"/>
          <w:marBottom w:val="0"/>
          <w:divBdr>
            <w:top w:val="none" w:sz="0" w:space="0" w:color="auto"/>
            <w:left w:val="none" w:sz="0" w:space="0" w:color="auto"/>
            <w:bottom w:val="none" w:sz="0" w:space="0" w:color="auto"/>
            <w:right w:val="none" w:sz="0" w:space="0" w:color="auto"/>
          </w:divBdr>
        </w:div>
        <w:div w:id="1551381197">
          <w:marLeft w:val="640"/>
          <w:marRight w:val="0"/>
          <w:marTop w:val="0"/>
          <w:marBottom w:val="0"/>
          <w:divBdr>
            <w:top w:val="none" w:sz="0" w:space="0" w:color="auto"/>
            <w:left w:val="none" w:sz="0" w:space="0" w:color="auto"/>
            <w:bottom w:val="none" w:sz="0" w:space="0" w:color="auto"/>
            <w:right w:val="none" w:sz="0" w:space="0" w:color="auto"/>
          </w:divBdr>
        </w:div>
        <w:div w:id="59717324">
          <w:marLeft w:val="640"/>
          <w:marRight w:val="0"/>
          <w:marTop w:val="0"/>
          <w:marBottom w:val="0"/>
          <w:divBdr>
            <w:top w:val="none" w:sz="0" w:space="0" w:color="auto"/>
            <w:left w:val="none" w:sz="0" w:space="0" w:color="auto"/>
            <w:bottom w:val="none" w:sz="0" w:space="0" w:color="auto"/>
            <w:right w:val="none" w:sz="0" w:space="0" w:color="auto"/>
          </w:divBdr>
        </w:div>
        <w:div w:id="403142543">
          <w:marLeft w:val="640"/>
          <w:marRight w:val="0"/>
          <w:marTop w:val="0"/>
          <w:marBottom w:val="0"/>
          <w:divBdr>
            <w:top w:val="none" w:sz="0" w:space="0" w:color="auto"/>
            <w:left w:val="none" w:sz="0" w:space="0" w:color="auto"/>
            <w:bottom w:val="none" w:sz="0" w:space="0" w:color="auto"/>
            <w:right w:val="none" w:sz="0" w:space="0" w:color="auto"/>
          </w:divBdr>
        </w:div>
        <w:div w:id="343290114">
          <w:marLeft w:val="640"/>
          <w:marRight w:val="0"/>
          <w:marTop w:val="0"/>
          <w:marBottom w:val="0"/>
          <w:divBdr>
            <w:top w:val="none" w:sz="0" w:space="0" w:color="auto"/>
            <w:left w:val="none" w:sz="0" w:space="0" w:color="auto"/>
            <w:bottom w:val="none" w:sz="0" w:space="0" w:color="auto"/>
            <w:right w:val="none" w:sz="0" w:space="0" w:color="auto"/>
          </w:divBdr>
        </w:div>
        <w:div w:id="1412433098">
          <w:marLeft w:val="640"/>
          <w:marRight w:val="0"/>
          <w:marTop w:val="0"/>
          <w:marBottom w:val="0"/>
          <w:divBdr>
            <w:top w:val="none" w:sz="0" w:space="0" w:color="auto"/>
            <w:left w:val="none" w:sz="0" w:space="0" w:color="auto"/>
            <w:bottom w:val="none" w:sz="0" w:space="0" w:color="auto"/>
            <w:right w:val="none" w:sz="0" w:space="0" w:color="auto"/>
          </w:divBdr>
        </w:div>
        <w:div w:id="2085756138">
          <w:marLeft w:val="640"/>
          <w:marRight w:val="0"/>
          <w:marTop w:val="0"/>
          <w:marBottom w:val="0"/>
          <w:divBdr>
            <w:top w:val="none" w:sz="0" w:space="0" w:color="auto"/>
            <w:left w:val="none" w:sz="0" w:space="0" w:color="auto"/>
            <w:bottom w:val="none" w:sz="0" w:space="0" w:color="auto"/>
            <w:right w:val="none" w:sz="0" w:space="0" w:color="auto"/>
          </w:divBdr>
        </w:div>
        <w:div w:id="645621392">
          <w:marLeft w:val="640"/>
          <w:marRight w:val="0"/>
          <w:marTop w:val="0"/>
          <w:marBottom w:val="0"/>
          <w:divBdr>
            <w:top w:val="none" w:sz="0" w:space="0" w:color="auto"/>
            <w:left w:val="none" w:sz="0" w:space="0" w:color="auto"/>
            <w:bottom w:val="none" w:sz="0" w:space="0" w:color="auto"/>
            <w:right w:val="none" w:sz="0" w:space="0" w:color="auto"/>
          </w:divBdr>
        </w:div>
        <w:div w:id="1771505181">
          <w:marLeft w:val="640"/>
          <w:marRight w:val="0"/>
          <w:marTop w:val="0"/>
          <w:marBottom w:val="0"/>
          <w:divBdr>
            <w:top w:val="none" w:sz="0" w:space="0" w:color="auto"/>
            <w:left w:val="none" w:sz="0" w:space="0" w:color="auto"/>
            <w:bottom w:val="none" w:sz="0" w:space="0" w:color="auto"/>
            <w:right w:val="none" w:sz="0" w:space="0" w:color="auto"/>
          </w:divBdr>
        </w:div>
        <w:div w:id="155154073">
          <w:marLeft w:val="640"/>
          <w:marRight w:val="0"/>
          <w:marTop w:val="0"/>
          <w:marBottom w:val="0"/>
          <w:divBdr>
            <w:top w:val="none" w:sz="0" w:space="0" w:color="auto"/>
            <w:left w:val="none" w:sz="0" w:space="0" w:color="auto"/>
            <w:bottom w:val="none" w:sz="0" w:space="0" w:color="auto"/>
            <w:right w:val="none" w:sz="0" w:space="0" w:color="auto"/>
          </w:divBdr>
        </w:div>
        <w:div w:id="1683361963">
          <w:marLeft w:val="640"/>
          <w:marRight w:val="0"/>
          <w:marTop w:val="0"/>
          <w:marBottom w:val="0"/>
          <w:divBdr>
            <w:top w:val="none" w:sz="0" w:space="0" w:color="auto"/>
            <w:left w:val="none" w:sz="0" w:space="0" w:color="auto"/>
            <w:bottom w:val="none" w:sz="0" w:space="0" w:color="auto"/>
            <w:right w:val="none" w:sz="0" w:space="0" w:color="auto"/>
          </w:divBdr>
        </w:div>
        <w:div w:id="1720743269">
          <w:marLeft w:val="640"/>
          <w:marRight w:val="0"/>
          <w:marTop w:val="0"/>
          <w:marBottom w:val="0"/>
          <w:divBdr>
            <w:top w:val="none" w:sz="0" w:space="0" w:color="auto"/>
            <w:left w:val="none" w:sz="0" w:space="0" w:color="auto"/>
            <w:bottom w:val="none" w:sz="0" w:space="0" w:color="auto"/>
            <w:right w:val="none" w:sz="0" w:space="0" w:color="auto"/>
          </w:divBdr>
        </w:div>
        <w:div w:id="360934995">
          <w:marLeft w:val="640"/>
          <w:marRight w:val="0"/>
          <w:marTop w:val="0"/>
          <w:marBottom w:val="0"/>
          <w:divBdr>
            <w:top w:val="none" w:sz="0" w:space="0" w:color="auto"/>
            <w:left w:val="none" w:sz="0" w:space="0" w:color="auto"/>
            <w:bottom w:val="none" w:sz="0" w:space="0" w:color="auto"/>
            <w:right w:val="none" w:sz="0" w:space="0" w:color="auto"/>
          </w:divBdr>
        </w:div>
        <w:div w:id="1992365768">
          <w:marLeft w:val="640"/>
          <w:marRight w:val="0"/>
          <w:marTop w:val="0"/>
          <w:marBottom w:val="0"/>
          <w:divBdr>
            <w:top w:val="none" w:sz="0" w:space="0" w:color="auto"/>
            <w:left w:val="none" w:sz="0" w:space="0" w:color="auto"/>
            <w:bottom w:val="none" w:sz="0" w:space="0" w:color="auto"/>
            <w:right w:val="none" w:sz="0" w:space="0" w:color="auto"/>
          </w:divBdr>
        </w:div>
        <w:div w:id="1276255270">
          <w:marLeft w:val="640"/>
          <w:marRight w:val="0"/>
          <w:marTop w:val="0"/>
          <w:marBottom w:val="0"/>
          <w:divBdr>
            <w:top w:val="none" w:sz="0" w:space="0" w:color="auto"/>
            <w:left w:val="none" w:sz="0" w:space="0" w:color="auto"/>
            <w:bottom w:val="none" w:sz="0" w:space="0" w:color="auto"/>
            <w:right w:val="none" w:sz="0" w:space="0" w:color="auto"/>
          </w:divBdr>
        </w:div>
        <w:div w:id="631597474">
          <w:marLeft w:val="640"/>
          <w:marRight w:val="0"/>
          <w:marTop w:val="0"/>
          <w:marBottom w:val="0"/>
          <w:divBdr>
            <w:top w:val="none" w:sz="0" w:space="0" w:color="auto"/>
            <w:left w:val="none" w:sz="0" w:space="0" w:color="auto"/>
            <w:bottom w:val="none" w:sz="0" w:space="0" w:color="auto"/>
            <w:right w:val="none" w:sz="0" w:space="0" w:color="auto"/>
          </w:divBdr>
        </w:div>
        <w:div w:id="2129352001">
          <w:marLeft w:val="640"/>
          <w:marRight w:val="0"/>
          <w:marTop w:val="0"/>
          <w:marBottom w:val="0"/>
          <w:divBdr>
            <w:top w:val="none" w:sz="0" w:space="0" w:color="auto"/>
            <w:left w:val="none" w:sz="0" w:space="0" w:color="auto"/>
            <w:bottom w:val="none" w:sz="0" w:space="0" w:color="auto"/>
            <w:right w:val="none" w:sz="0" w:space="0" w:color="auto"/>
          </w:divBdr>
        </w:div>
        <w:div w:id="342636857">
          <w:marLeft w:val="640"/>
          <w:marRight w:val="0"/>
          <w:marTop w:val="0"/>
          <w:marBottom w:val="0"/>
          <w:divBdr>
            <w:top w:val="none" w:sz="0" w:space="0" w:color="auto"/>
            <w:left w:val="none" w:sz="0" w:space="0" w:color="auto"/>
            <w:bottom w:val="none" w:sz="0" w:space="0" w:color="auto"/>
            <w:right w:val="none" w:sz="0" w:space="0" w:color="auto"/>
          </w:divBdr>
        </w:div>
        <w:div w:id="1996102996">
          <w:marLeft w:val="640"/>
          <w:marRight w:val="0"/>
          <w:marTop w:val="0"/>
          <w:marBottom w:val="0"/>
          <w:divBdr>
            <w:top w:val="none" w:sz="0" w:space="0" w:color="auto"/>
            <w:left w:val="none" w:sz="0" w:space="0" w:color="auto"/>
            <w:bottom w:val="none" w:sz="0" w:space="0" w:color="auto"/>
            <w:right w:val="none" w:sz="0" w:space="0" w:color="auto"/>
          </w:divBdr>
        </w:div>
        <w:div w:id="1109590388">
          <w:marLeft w:val="640"/>
          <w:marRight w:val="0"/>
          <w:marTop w:val="0"/>
          <w:marBottom w:val="0"/>
          <w:divBdr>
            <w:top w:val="none" w:sz="0" w:space="0" w:color="auto"/>
            <w:left w:val="none" w:sz="0" w:space="0" w:color="auto"/>
            <w:bottom w:val="none" w:sz="0" w:space="0" w:color="auto"/>
            <w:right w:val="none" w:sz="0" w:space="0" w:color="auto"/>
          </w:divBdr>
        </w:div>
        <w:div w:id="2028829278">
          <w:marLeft w:val="640"/>
          <w:marRight w:val="0"/>
          <w:marTop w:val="0"/>
          <w:marBottom w:val="0"/>
          <w:divBdr>
            <w:top w:val="none" w:sz="0" w:space="0" w:color="auto"/>
            <w:left w:val="none" w:sz="0" w:space="0" w:color="auto"/>
            <w:bottom w:val="none" w:sz="0" w:space="0" w:color="auto"/>
            <w:right w:val="none" w:sz="0" w:space="0" w:color="auto"/>
          </w:divBdr>
        </w:div>
        <w:div w:id="1696616268">
          <w:marLeft w:val="640"/>
          <w:marRight w:val="0"/>
          <w:marTop w:val="0"/>
          <w:marBottom w:val="0"/>
          <w:divBdr>
            <w:top w:val="none" w:sz="0" w:space="0" w:color="auto"/>
            <w:left w:val="none" w:sz="0" w:space="0" w:color="auto"/>
            <w:bottom w:val="none" w:sz="0" w:space="0" w:color="auto"/>
            <w:right w:val="none" w:sz="0" w:space="0" w:color="auto"/>
          </w:divBdr>
        </w:div>
        <w:div w:id="1928535895">
          <w:marLeft w:val="640"/>
          <w:marRight w:val="0"/>
          <w:marTop w:val="0"/>
          <w:marBottom w:val="0"/>
          <w:divBdr>
            <w:top w:val="none" w:sz="0" w:space="0" w:color="auto"/>
            <w:left w:val="none" w:sz="0" w:space="0" w:color="auto"/>
            <w:bottom w:val="none" w:sz="0" w:space="0" w:color="auto"/>
            <w:right w:val="none" w:sz="0" w:space="0" w:color="auto"/>
          </w:divBdr>
        </w:div>
        <w:div w:id="13264636">
          <w:marLeft w:val="640"/>
          <w:marRight w:val="0"/>
          <w:marTop w:val="0"/>
          <w:marBottom w:val="0"/>
          <w:divBdr>
            <w:top w:val="none" w:sz="0" w:space="0" w:color="auto"/>
            <w:left w:val="none" w:sz="0" w:space="0" w:color="auto"/>
            <w:bottom w:val="none" w:sz="0" w:space="0" w:color="auto"/>
            <w:right w:val="none" w:sz="0" w:space="0" w:color="auto"/>
          </w:divBdr>
        </w:div>
        <w:div w:id="1510102680">
          <w:marLeft w:val="640"/>
          <w:marRight w:val="0"/>
          <w:marTop w:val="0"/>
          <w:marBottom w:val="0"/>
          <w:divBdr>
            <w:top w:val="none" w:sz="0" w:space="0" w:color="auto"/>
            <w:left w:val="none" w:sz="0" w:space="0" w:color="auto"/>
            <w:bottom w:val="none" w:sz="0" w:space="0" w:color="auto"/>
            <w:right w:val="none" w:sz="0" w:space="0" w:color="auto"/>
          </w:divBdr>
        </w:div>
        <w:div w:id="931232849">
          <w:marLeft w:val="640"/>
          <w:marRight w:val="0"/>
          <w:marTop w:val="0"/>
          <w:marBottom w:val="0"/>
          <w:divBdr>
            <w:top w:val="none" w:sz="0" w:space="0" w:color="auto"/>
            <w:left w:val="none" w:sz="0" w:space="0" w:color="auto"/>
            <w:bottom w:val="none" w:sz="0" w:space="0" w:color="auto"/>
            <w:right w:val="none" w:sz="0" w:space="0" w:color="auto"/>
          </w:divBdr>
        </w:div>
        <w:div w:id="911237962">
          <w:marLeft w:val="640"/>
          <w:marRight w:val="0"/>
          <w:marTop w:val="0"/>
          <w:marBottom w:val="0"/>
          <w:divBdr>
            <w:top w:val="none" w:sz="0" w:space="0" w:color="auto"/>
            <w:left w:val="none" w:sz="0" w:space="0" w:color="auto"/>
            <w:bottom w:val="none" w:sz="0" w:space="0" w:color="auto"/>
            <w:right w:val="none" w:sz="0" w:space="0" w:color="auto"/>
          </w:divBdr>
        </w:div>
        <w:div w:id="366834617">
          <w:marLeft w:val="640"/>
          <w:marRight w:val="0"/>
          <w:marTop w:val="0"/>
          <w:marBottom w:val="0"/>
          <w:divBdr>
            <w:top w:val="none" w:sz="0" w:space="0" w:color="auto"/>
            <w:left w:val="none" w:sz="0" w:space="0" w:color="auto"/>
            <w:bottom w:val="none" w:sz="0" w:space="0" w:color="auto"/>
            <w:right w:val="none" w:sz="0" w:space="0" w:color="auto"/>
          </w:divBdr>
        </w:div>
        <w:div w:id="404298738">
          <w:marLeft w:val="640"/>
          <w:marRight w:val="0"/>
          <w:marTop w:val="0"/>
          <w:marBottom w:val="0"/>
          <w:divBdr>
            <w:top w:val="none" w:sz="0" w:space="0" w:color="auto"/>
            <w:left w:val="none" w:sz="0" w:space="0" w:color="auto"/>
            <w:bottom w:val="none" w:sz="0" w:space="0" w:color="auto"/>
            <w:right w:val="none" w:sz="0" w:space="0" w:color="auto"/>
          </w:divBdr>
        </w:div>
        <w:div w:id="876937230">
          <w:marLeft w:val="640"/>
          <w:marRight w:val="0"/>
          <w:marTop w:val="0"/>
          <w:marBottom w:val="0"/>
          <w:divBdr>
            <w:top w:val="none" w:sz="0" w:space="0" w:color="auto"/>
            <w:left w:val="none" w:sz="0" w:space="0" w:color="auto"/>
            <w:bottom w:val="none" w:sz="0" w:space="0" w:color="auto"/>
            <w:right w:val="none" w:sz="0" w:space="0" w:color="auto"/>
          </w:divBdr>
        </w:div>
        <w:div w:id="1339231889">
          <w:marLeft w:val="640"/>
          <w:marRight w:val="0"/>
          <w:marTop w:val="0"/>
          <w:marBottom w:val="0"/>
          <w:divBdr>
            <w:top w:val="none" w:sz="0" w:space="0" w:color="auto"/>
            <w:left w:val="none" w:sz="0" w:space="0" w:color="auto"/>
            <w:bottom w:val="none" w:sz="0" w:space="0" w:color="auto"/>
            <w:right w:val="none" w:sz="0" w:space="0" w:color="auto"/>
          </w:divBdr>
        </w:div>
        <w:div w:id="1039236854">
          <w:marLeft w:val="640"/>
          <w:marRight w:val="0"/>
          <w:marTop w:val="0"/>
          <w:marBottom w:val="0"/>
          <w:divBdr>
            <w:top w:val="none" w:sz="0" w:space="0" w:color="auto"/>
            <w:left w:val="none" w:sz="0" w:space="0" w:color="auto"/>
            <w:bottom w:val="none" w:sz="0" w:space="0" w:color="auto"/>
            <w:right w:val="none" w:sz="0" w:space="0" w:color="auto"/>
          </w:divBdr>
        </w:div>
        <w:div w:id="1493333562">
          <w:marLeft w:val="640"/>
          <w:marRight w:val="0"/>
          <w:marTop w:val="0"/>
          <w:marBottom w:val="0"/>
          <w:divBdr>
            <w:top w:val="none" w:sz="0" w:space="0" w:color="auto"/>
            <w:left w:val="none" w:sz="0" w:space="0" w:color="auto"/>
            <w:bottom w:val="none" w:sz="0" w:space="0" w:color="auto"/>
            <w:right w:val="none" w:sz="0" w:space="0" w:color="auto"/>
          </w:divBdr>
        </w:div>
        <w:div w:id="638070513">
          <w:marLeft w:val="640"/>
          <w:marRight w:val="0"/>
          <w:marTop w:val="0"/>
          <w:marBottom w:val="0"/>
          <w:divBdr>
            <w:top w:val="none" w:sz="0" w:space="0" w:color="auto"/>
            <w:left w:val="none" w:sz="0" w:space="0" w:color="auto"/>
            <w:bottom w:val="none" w:sz="0" w:space="0" w:color="auto"/>
            <w:right w:val="none" w:sz="0" w:space="0" w:color="auto"/>
          </w:divBdr>
        </w:div>
        <w:div w:id="1882862467">
          <w:marLeft w:val="640"/>
          <w:marRight w:val="0"/>
          <w:marTop w:val="0"/>
          <w:marBottom w:val="0"/>
          <w:divBdr>
            <w:top w:val="none" w:sz="0" w:space="0" w:color="auto"/>
            <w:left w:val="none" w:sz="0" w:space="0" w:color="auto"/>
            <w:bottom w:val="none" w:sz="0" w:space="0" w:color="auto"/>
            <w:right w:val="none" w:sz="0" w:space="0" w:color="auto"/>
          </w:divBdr>
        </w:div>
        <w:div w:id="484011944">
          <w:marLeft w:val="640"/>
          <w:marRight w:val="0"/>
          <w:marTop w:val="0"/>
          <w:marBottom w:val="0"/>
          <w:divBdr>
            <w:top w:val="none" w:sz="0" w:space="0" w:color="auto"/>
            <w:left w:val="none" w:sz="0" w:space="0" w:color="auto"/>
            <w:bottom w:val="none" w:sz="0" w:space="0" w:color="auto"/>
            <w:right w:val="none" w:sz="0" w:space="0" w:color="auto"/>
          </w:divBdr>
        </w:div>
        <w:div w:id="2077967640">
          <w:marLeft w:val="640"/>
          <w:marRight w:val="0"/>
          <w:marTop w:val="0"/>
          <w:marBottom w:val="0"/>
          <w:divBdr>
            <w:top w:val="none" w:sz="0" w:space="0" w:color="auto"/>
            <w:left w:val="none" w:sz="0" w:space="0" w:color="auto"/>
            <w:bottom w:val="none" w:sz="0" w:space="0" w:color="auto"/>
            <w:right w:val="none" w:sz="0" w:space="0" w:color="auto"/>
          </w:divBdr>
        </w:div>
        <w:div w:id="31686273">
          <w:marLeft w:val="640"/>
          <w:marRight w:val="0"/>
          <w:marTop w:val="0"/>
          <w:marBottom w:val="0"/>
          <w:divBdr>
            <w:top w:val="none" w:sz="0" w:space="0" w:color="auto"/>
            <w:left w:val="none" w:sz="0" w:space="0" w:color="auto"/>
            <w:bottom w:val="none" w:sz="0" w:space="0" w:color="auto"/>
            <w:right w:val="none" w:sz="0" w:space="0" w:color="auto"/>
          </w:divBdr>
        </w:div>
        <w:div w:id="1286620294">
          <w:marLeft w:val="640"/>
          <w:marRight w:val="0"/>
          <w:marTop w:val="0"/>
          <w:marBottom w:val="0"/>
          <w:divBdr>
            <w:top w:val="none" w:sz="0" w:space="0" w:color="auto"/>
            <w:left w:val="none" w:sz="0" w:space="0" w:color="auto"/>
            <w:bottom w:val="none" w:sz="0" w:space="0" w:color="auto"/>
            <w:right w:val="none" w:sz="0" w:space="0" w:color="auto"/>
          </w:divBdr>
        </w:div>
        <w:div w:id="538056692">
          <w:marLeft w:val="640"/>
          <w:marRight w:val="0"/>
          <w:marTop w:val="0"/>
          <w:marBottom w:val="0"/>
          <w:divBdr>
            <w:top w:val="none" w:sz="0" w:space="0" w:color="auto"/>
            <w:left w:val="none" w:sz="0" w:space="0" w:color="auto"/>
            <w:bottom w:val="none" w:sz="0" w:space="0" w:color="auto"/>
            <w:right w:val="none" w:sz="0" w:space="0" w:color="auto"/>
          </w:divBdr>
        </w:div>
        <w:div w:id="1470786178">
          <w:marLeft w:val="640"/>
          <w:marRight w:val="0"/>
          <w:marTop w:val="0"/>
          <w:marBottom w:val="0"/>
          <w:divBdr>
            <w:top w:val="none" w:sz="0" w:space="0" w:color="auto"/>
            <w:left w:val="none" w:sz="0" w:space="0" w:color="auto"/>
            <w:bottom w:val="none" w:sz="0" w:space="0" w:color="auto"/>
            <w:right w:val="none" w:sz="0" w:space="0" w:color="auto"/>
          </w:divBdr>
        </w:div>
        <w:div w:id="270864129">
          <w:marLeft w:val="640"/>
          <w:marRight w:val="0"/>
          <w:marTop w:val="0"/>
          <w:marBottom w:val="0"/>
          <w:divBdr>
            <w:top w:val="none" w:sz="0" w:space="0" w:color="auto"/>
            <w:left w:val="none" w:sz="0" w:space="0" w:color="auto"/>
            <w:bottom w:val="none" w:sz="0" w:space="0" w:color="auto"/>
            <w:right w:val="none" w:sz="0" w:space="0" w:color="auto"/>
          </w:divBdr>
        </w:div>
        <w:div w:id="783186427">
          <w:marLeft w:val="640"/>
          <w:marRight w:val="0"/>
          <w:marTop w:val="0"/>
          <w:marBottom w:val="0"/>
          <w:divBdr>
            <w:top w:val="none" w:sz="0" w:space="0" w:color="auto"/>
            <w:left w:val="none" w:sz="0" w:space="0" w:color="auto"/>
            <w:bottom w:val="none" w:sz="0" w:space="0" w:color="auto"/>
            <w:right w:val="none" w:sz="0" w:space="0" w:color="auto"/>
          </w:divBdr>
        </w:div>
        <w:div w:id="1761877538">
          <w:marLeft w:val="640"/>
          <w:marRight w:val="0"/>
          <w:marTop w:val="0"/>
          <w:marBottom w:val="0"/>
          <w:divBdr>
            <w:top w:val="none" w:sz="0" w:space="0" w:color="auto"/>
            <w:left w:val="none" w:sz="0" w:space="0" w:color="auto"/>
            <w:bottom w:val="none" w:sz="0" w:space="0" w:color="auto"/>
            <w:right w:val="none" w:sz="0" w:space="0" w:color="auto"/>
          </w:divBdr>
        </w:div>
        <w:div w:id="1842357713">
          <w:marLeft w:val="640"/>
          <w:marRight w:val="0"/>
          <w:marTop w:val="0"/>
          <w:marBottom w:val="0"/>
          <w:divBdr>
            <w:top w:val="none" w:sz="0" w:space="0" w:color="auto"/>
            <w:left w:val="none" w:sz="0" w:space="0" w:color="auto"/>
            <w:bottom w:val="none" w:sz="0" w:space="0" w:color="auto"/>
            <w:right w:val="none" w:sz="0" w:space="0" w:color="auto"/>
          </w:divBdr>
        </w:div>
        <w:div w:id="173111568">
          <w:marLeft w:val="640"/>
          <w:marRight w:val="0"/>
          <w:marTop w:val="0"/>
          <w:marBottom w:val="0"/>
          <w:divBdr>
            <w:top w:val="none" w:sz="0" w:space="0" w:color="auto"/>
            <w:left w:val="none" w:sz="0" w:space="0" w:color="auto"/>
            <w:bottom w:val="none" w:sz="0" w:space="0" w:color="auto"/>
            <w:right w:val="none" w:sz="0" w:space="0" w:color="auto"/>
          </w:divBdr>
        </w:div>
        <w:div w:id="452135960">
          <w:marLeft w:val="640"/>
          <w:marRight w:val="0"/>
          <w:marTop w:val="0"/>
          <w:marBottom w:val="0"/>
          <w:divBdr>
            <w:top w:val="none" w:sz="0" w:space="0" w:color="auto"/>
            <w:left w:val="none" w:sz="0" w:space="0" w:color="auto"/>
            <w:bottom w:val="none" w:sz="0" w:space="0" w:color="auto"/>
            <w:right w:val="none" w:sz="0" w:space="0" w:color="auto"/>
          </w:divBdr>
        </w:div>
        <w:div w:id="1062829273">
          <w:marLeft w:val="640"/>
          <w:marRight w:val="0"/>
          <w:marTop w:val="0"/>
          <w:marBottom w:val="0"/>
          <w:divBdr>
            <w:top w:val="none" w:sz="0" w:space="0" w:color="auto"/>
            <w:left w:val="none" w:sz="0" w:space="0" w:color="auto"/>
            <w:bottom w:val="none" w:sz="0" w:space="0" w:color="auto"/>
            <w:right w:val="none" w:sz="0" w:space="0" w:color="auto"/>
          </w:divBdr>
        </w:div>
        <w:div w:id="978614081">
          <w:marLeft w:val="640"/>
          <w:marRight w:val="0"/>
          <w:marTop w:val="0"/>
          <w:marBottom w:val="0"/>
          <w:divBdr>
            <w:top w:val="none" w:sz="0" w:space="0" w:color="auto"/>
            <w:left w:val="none" w:sz="0" w:space="0" w:color="auto"/>
            <w:bottom w:val="none" w:sz="0" w:space="0" w:color="auto"/>
            <w:right w:val="none" w:sz="0" w:space="0" w:color="auto"/>
          </w:divBdr>
        </w:div>
        <w:div w:id="741219231">
          <w:marLeft w:val="640"/>
          <w:marRight w:val="0"/>
          <w:marTop w:val="0"/>
          <w:marBottom w:val="0"/>
          <w:divBdr>
            <w:top w:val="none" w:sz="0" w:space="0" w:color="auto"/>
            <w:left w:val="none" w:sz="0" w:space="0" w:color="auto"/>
            <w:bottom w:val="none" w:sz="0" w:space="0" w:color="auto"/>
            <w:right w:val="none" w:sz="0" w:space="0" w:color="auto"/>
          </w:divBdr>
        </w:div>
        <w:div w:id="212695606">
          <w:marLeft w:val="640"/>
          <w:marRight w:val="0"/>
          <w:marTop w:val="0"/>
          <w:marBottom w:val="0"/>
          <w:divBdr>
            <w:top w:val="none" w:sz="0" w:space="0" w:color="auto"/>
            <w:left w:val="none" w:sz="0" w:space="0" w:color="auto"/>
            <w:bottom w:val="none" w:sz="0" w:space="0" w:color="auto"/>
            <w:right w:val="none" w:sz="0" w:space="0" w:color="auto"/>
          </w:divBdr>
        </w:div>
        <w:div w:id="1631591301">
          <w:marLeft w:val="640"/>
          <w:marRight w:val="0"/>
          <w:marTop w:val="0"/>
          <w:marBottom w:val="0"/>
          <w:divBdr>
            <w:top w:val="none" w:sz="0" w:space="0" w:color="auto"/>
            <w:left w:val="none" w:sz="0" w:space="0" w:color="auto"/>
            <w:bottom w:val="none" w:sz="0" w:space="0" w:color="auto"/>
            <w:right w:val="none" w:sz="0" w:space="0" w:color="auto"/>
          </w:divBdr>
        </w:div>
        <w:div w:id="1240940492">
          <w:marLeft w:val="640"/>
          <w:marRight w:val="0"/>
          <w:marTop w:val="0"/>
          <w:marBottom w:val="0"/>
          <w:divBdr>
            <w:top w:val="none" w:sz="0" w:space="0" w:color="auto"/>
            <w:left w:val="none" w:sz="0" w:space="0" w:color="auto"/>
            <w:bottom w:val="none" w:sz="0" w:space="0" w:color="auto"/>
            <w:right w:val="none" w:sz="0" w:space="0" w:color="auto"/>
          </w:divBdr>
        </w:div>
        <w:div w:id="841047028">
          <w:marLeft w:val="640"/>
          <w:marRight w:val="0"/>
          <w:marTop w:val="0"/>
          <w:marBottom w:val="0"/>
          <w:divBdr>
            <w:top w:val="none" w:sz="0" w:space="0" w:color="auto"/>
            <w:left w:val="none" w:sz="0" w:space="0" w:color="auto"/>
            <w:bottom w:val="none" w:sz="0" w:space="0" w:color="auto"/>
            <w:right w:val="none" w:sz="0" w:space="0" w:color="auto"/>
          </w:divBdr>
        </w:div>
        <w:div w:id="1298755137">
          <w:marLeft w:val="640"/>
          <w:marRight w:val="0"/>
          <w:marTop w:val="0"/>
          <w:marBottom w:val="0"/>
          <w:divBdr>
            <w:top w:val="none" w:sz="0" w:space="0" w:color="auto"/>
            <w:left w:val="none" w:sz="0" w:space="0" w:color="auto"/>
            <w:bottom w:val="none" w:sz="0" w:space="0" w:color="auto"/>
            <w:right w:val="none" w:sz="0" w:space="0" w:color="auto"/>
          </w:divBdr>
        </w:div>
        <w:div w:id="1453206513">
          <w:marLeft w:val="640"/>
          <w:marRight w:val="0"/>
          <w:marTop w:val="0"/>
          <w:marBottom w:val="0"/>
          <w:divBdr>
            <w:top w:val="none" w:sz="0" w:space="0" w:color="auto"/>
            <w:left w:val="none" w:sz="0" w:space="0" w:color="auto"/>
            <w:bottom w:val="none" w:sz="0" w:space="0" w:color="auto"/>
            <w:right w:val="none" w:sz="0" w:space="0" w:color="auto"/>
          </w:divBdr>
        </w:div>
        <w:div w:id="1756659408">
          <w:marLeft w:val="640"/>
          <w:marRight w:val="0"/>
          <w:marTop w:val="0"/>
          <w:marBottom w:val="0"/>
          <w:divBdr>
            <w:top w:val="none" w:sz="0" w:space="0" w:color="auto"/>
            <w:left w:val="none" w:sz="0" w:space="0" w:color="auto"/>
            <w:bottom w:val="none" w:sz="0" w:space="0" w:color="auto"/>
            <w:right w:val="none" w:sz="0" w:space="0" w:color="auto"/>
          </w:divBdr>
        </w:div>
        <w:div w:id="1312951623">
          <w:marLeft w:val="640"/>
          <w:marRight w:val="0"/>
          <w:marTop w:val="0"/>
          <w:marBottom w:val="0"/>
          <w:divBdr>
            <w:top w:val="none" w:sz="0" w:space="0" w:color="auto"/>
            <w:left w:val="none" w:sz="0" w:space="0" w:color="auto"/>
            <w:bottom w:val="none" w:sz="0" w:space="0" w:color="auto"/>
            <w:right w:val="none" w:sz="0" w:space="0" w:color="auto"/>
          </w:divBdr>
        </w:div>
        <w:div w:id="40177788">
          <w:marLeft w:val="640"/>
          <w:marRight w:val="0"/>
          <w:marTop w:val="0"/>
          <w:marBottom w:val="0"/>
          <w:divBdr>
            <w:top w:val="none" w:sz="0" w:space="0" w:color="auto"/>
            <w:left w:val="none" w:sz="0" w:space="0" w:color="auto"/>
            <w:bottom w:val="none" w:sz="0" w:space="0" w:color="auto"/>
            <w:right w:val="none" w:sz="0" w:space="0" w:color="auto"/>
          </w:divBdr>
        </w:div>
        <w:div w:id="1335953924">
          <w:marLeft w:val="640"/>
          <w:marRight w:val="0"/>
          <w:marTop w:val="0"/>
          <w:marBottom w:val="0"/>
          <w:divBdr>
            <w:top w:val="none" w:sz="0" w:space="0" w:color="auto"/>
            <w:left w:val="none" w:sz="0" w:space="0" w:color="auto"/>
            <w:bottom w:val="none" w:sz="0" w:space="0" w:color="auto"/>
            <w:right w:val="none" w:sz="0" w:space="0" w:color="auto"/>
          </w:divBdr>
        </w:div>
        <w:div w:id="1535772011">
          <w:marLeft w:val="640"/>
          <w:marRight w:val="0"/>
          <w:marTop w:val="0"/>
          <w:marBottom w:val="0"/>
          <w:divBdr>
            <w:top w:val="none" w:sz="0" w:space="0" w:color="auto"/>
            <w:left w:val="none" w:sz="0" w:space="0" w:color="auto"/>
            <w:bottom w:val="none" w:sz="0" w:space="0" w:color="auto"/>
            <w:right w:val="none" w:sz="0" w:space="0" w:color="auto"/>
          </w:divBdr>
        </w:div>
        <w:div w:id="1097597812">
          <w:marLeft w:val="640"/>
          <w:marRight w:val="0"/>
          <w:marTop w:val="0"/>
          <w:marBottom w:val="0"/>
          <w:divBdr>
            <w:top w:val="none" w:sz="0" w:space="0" w:color="auto"/>
            <w:left w:val="none" w:sz="0" w:space="0" w:color="auto"/>
            <w:bottom w:val="none" w:sz="0" w:space="0" w:color="auto"/>
            <w:right w:val="none" w:sz="0" w:space="0" w:color="auto"/>
          </w:divBdr>
        </w:div>
        <w:div w:id="1285503607">
          <w:marLeft w:val="640"/>
          <w:marRight w:val="0"/>
          <w:marTop w:val="0"/>
          <w:marBottom w:val="0"/>
          <w:divBdr>
            <w:top w:val="none" w:sz="0" w:space="0" w:color="auto"/>
            <w:left w:val="none" w:sz="0" w:space="0" w:color="auto"/>
            <w:bottom w:val="none" w:sz="0" w:space="0" w:color="auto"/>
            <w:right w:val="none" w:sz="0" w:space="0" w:color="auto"/>
          </w:divBdr>
        </w:div>
        <w:div w:id="1011223946">
          <w:marLeft w:val="640"/>
          <w:marRight w:val="0"/>
          <w:marTop w:val="0"/>
          <w:marBottom w:val="0"/>
          <w:divBdr>
            <w:top w:val="none" w:sz="0" w:space="0" w:color="auto"/>
            <w:left w:val="none" w:sz="0" w:space="0" w:color="auto"/>
            <w:bottom w:val="none" w:sz="0" w:space="0" w:color="auto"/>
            <w:right w:val="none" w:sz="0" w:space="0" w:color="auto"/>
          </w:divBdr>
        </w:div>
        <w:div w:id="607666208">
          <w:marLeft w:val="640"/>
          <w:marRight w:val="0"/>
          <w:marTop w:val="0"/>
          <w:marBottom w:val="0"/>
          <w:divBdr>
            <w:top w:val="none" w:sz="0" w:space="0" w:color="auto"/>
            <w:left w:val="none" w:sz="0" w:space="0" w:color="auto"/>
            <w:bottom w:val="none" w:sz="0" w:space="0" w:color="auto"/>
            <w:right w:val="none" w:sz="0" w:space="0" w:color="auto"/>
          </w:divBdr>
        </w:div>
        <w:div w:id="342517087">
          <w:marLeft w:val="640"/>
          <w:marRight w:val="0"/>
          <w:marTop w:val="0"/>
          <w:marBottom w:val="0"/>
          <w:divBdr>
            <w:top w:val="none" w:sz="0" w:space="0" w:color="auto"/>
            <w:left w:val="none" w:sz="0" w:space="0" w:color="auto"/>
            <w:bottom w:val="none" w:sz="0" w:space="0" w:color="auto"/>
            <w:right w:val="none" w:sz="0" w:space="0" w:color="auto"/>
          </w:divBdr>
        </w:div>
        <w:div w:id="472794470">
          <w:marLeft w:val="640"/>
          <w:marRight w:val="0"/>
          <w:marTop w:val="0"/>
          <w:marBottom w:val="0"/>
          <w:divBdr>
            <w:top w:val="none" w:sz="0" w:space="0" w:color="auto"/>
            <w:left w:val="none" w:sz="0" w:space="0" w:color="auto"/>
            <w:bottom w:val="none" w:sz="0" w:space="0" w:color="auto"/>
            <w:right w:val="none" w:sz="0" w:space="0" w:color="auto"/>
          </w:divBdr>
        </w:div>
        <w:div w:id="1293558783">
          <w:marLeft w:val="640"/>
          <w:marRight w:val="0"/>
          <w:marTop w:val="0"/>
          <w:marBottom w:val="0"/>
          <w:divBdr>
            <w:top w:val="none" w:sz="0" w:space="0" w:color="auto"/>
            <w:left w:val="none" w:sz="0" w:space="0" w:color="auto"/>
            <w:bottom w:val="none" w:sz="0" w:space="0" w:color="auto"/>
            <w:right w:val="none" w:sz="0" w:space="0" w:color="auto"/>
          </w:divBdr>
        </w:div>
        <w:div w:id="141044120">
          <w:marLeft w:val="640"/>
          <w:marRight w:val="0"/>
          <w:marTop w:val="0"/>
          <w:marBottom w:val="0"/>
          <w:divBdr>
            <w:top w:val="none" w:sz="0" w:space="0" w:color="auto"/>
            <w:left w:val="none" w:sz="0" w:space="0" w:color="auto"/>
            <w:bottom w:val="none" w:sz="0" w:space="0" w:color="auto"/>
            <w:right w:val="none" w:sz="0" w:space="0" w:color="auto"/>
          </w:divBdr>
        </w:div>
        <w:div w:id="1637950596">
          <w:marLeft w:val="640"/>
          <w:marRight w:val="0"/>
          <w:marTop w:val="0"/>
          <w:marBottom w:val="0"/>
          <w:divBdr>
            <w:top w:val="none" w:sz="0" w:space="0" w:color="auto"/>
            <w:left w:val="none" w:sz="0" w:space="0" w:color="auto"/>
            <w:bottom w:val="none" w:sz="0" w:space="0" w:color="auto"/>
            <w:right w:val="none" w:sz="0" w:space="0" w:color="auto"/>
          </w:divBdr>
        </w:div>
        <w:div w:id="2120221189">
          <w:marLeft w:val="640"/>
          <w:marRight w:val="0"/>
          <w:marTop w:val="0"/>
          <w:marBottom w:val="0"/>
          <w:divBdr>
            <w:top w:val="none" w:sz="0" w:space="0" w:color="auto"/>
            <w:left w:val="none" w:sz="0" w:space="0" w:color="auto"/>
            <w:bottom w:val="none" w:sz="0" w:space="0" w:color="auto"/>
            <w:right w:val="none" w:sz="0" w:space="0" w:color="auto"/>
          </w:divBdr>
        </w:div>
        <w:div w:id="2116092934">
          <w:marLeft w:val="640"/>
          <w:marRight w:val="0"/>
          <w:marTop w:val="0"/>
          <w:marBottom w:val="0"/>
          <w:divBdr>
            <w:top w:val="none" w:sz="0" w:space="0" w:color="auto"/>
            <w:left w:val="none" w:sz="0" w:space="0" w:color="auto"/>
            <w:bottom w:val="none" w:sz="0" w:space="0" w:color="auto"/>
            <w:right w:val="none" w:sz="0" w:space="0" w:color="auto"/>
          </w:divBdr>
        </w:div>
        <w:div w:id="504246076">
          <w:marLeft w:val="640"/>
          <w:marRight w:val="0"/>
          <w:marTop w:val="0"/>
          <w:marBottom w:val="0"/>
          <w:divBdr>
            <w:top w:val="none" w:sz="0" w:space="0" w:color="auto"/>
            <w:left w:val="none" w:sz="0" w:space="0" w:color="auto"/>
            <w:bottom w:val="none" w:sz="0" w:space="0" w:color="auto"/>
            <w:right w:val="none" w:sz="0" w:space="0" w:color="auto"/>
          </w:divBdr>
        </w:div>
        <w:div w:id="1409764080">
          <w:marLeft w:val="640"/>
          <w:marRight w:val="0"/>
          <w:marTop w:val="0"/>
          <w:marBottom w:val="0"/>
          <w:divBdr>
            <w:top w:val="none" w:sz="0" w:space="0" w:color="auto"/>
            <w:left w:val="none" w:sz="0" w:space="0" w:color="auto"/>
            <w:bottom w:val="none" w:sz="0" w:space="0" w:color="auto"/>
            <w:right w:val="none" w:sz="0" w:space="0" w:color="auto"/>
          </w:divBdr>
        </w:div>
        <w:div w:id="1073430909">
          <w:marLeft w:val="640"/>
          <w:marRight w:val="0"/>
          <w:marTop w:val="0"/>
          <w:marBottom w:val="0"/>
          <w:divBdr>
            <w:top w:val="none" w:sz="0" w:space="0" w:color="auto"/>
            <w:left w:val="none" w:sz="0" w:space="0" w:color="auto"/>
            <w:bottom w:val="none" w:sz="0" w:space="0" w:color="auto"/>
            <w:right w:val="none" w:sz="0" w:space="0" w:color="auto"/>
          </w:divBdr>
        </w:div>
        <w:div w:id="1902249784">
          <w:marLeft w:val="640"/>
          <w:marRight w:val="0"/>
          <w:marTop w:val="0"/>
          <w:marBottom w:val="0"/>
          <w:divBdr>
            <w:top w:val="none" w:sz="0" w:space="0" w:color="auto"/>
            <w:left w:val="none" w:sz="0" w:space="0" w:color="auto"/>
            <w:bottom w:val="none" w:sz="0" w:space="0" w:color="auto"/>
            <w:right w:val="none" w:sz="0" w:space="0" w:color="auto"/>
          </w:divBdr>
        </w:div>
        <w:div w:id="1016227246">
          <w:marLeft w:val="640"/>
          <w:marRight w:val="0"/>
          <w:marTop w:val="0"/>
          <w:marBottom w:val="0"/>
          <w:divBdr>
            <w:top w:val="none" w:sz="0" w:space="0" w:color="auto"/>
            <w:left w:val="none" w:sz="0" w:space="0" w:color="auto"/>
            <w:bottom w:val="none" w:sz="0" w:space="0" w:color="auto"/>
            <w:right w:val="none" w:sz="0" w:space="0" w:color="auto"/>
          </w:divBdr>
        </w:div>
        <w:div w:id="1460606848">
          <w:marLeft w:val="640"/>
          <w:marRight w:val="0"/>
          <w:marTop w:val="0"/>
          <w:marBottom w:val="0"/>
          <w:divBdr>
            <w:top w:val="none" w:sz="0" w:space="0" w:color="auto"/>
            <w:left w:val="none" w:sz="0" w:space="0" w:color="auto"/>
            <w:bottom w:val="none" w:sz="0" w:space="0" w:color="auto"/>
            <w:right w:val="none" w:sz="0" w:space="0" w:color="auto"/>
          </w:divBdr>
        </w:div>
        <w:div w:id="1959020587">
          <w:marLeft w:val="640"/>
          <w:marRight w:val="0"/>
          <w:marTop w:val="0"/>
          <w:marBottom w:val="0"/>
          <w:divBdr>
            <w:top w:val="none" w:sz="0" w:space="0" w:color="auto"/>
            <w:left w:val="none" w:sz="0" w:space="0" w:color="auto"/>
            <w:bottom w:val="none" w:sz="0" w:space="0" w:color="auto"/>
            <w:right w:val="none" w:sz="0" w:space="0" w:color="auto"/>
          </w:divBdr>
        </w:div>
        <w:div w:id="1042093651">
          <w:marLeft w:val="640"/>
          <w:marRight w:val="0"/>
          <w:marTop w:val="0"/>
          <w:marBottom w:val="0"/>
          <w:divBdr>
            <w:top w:val="none" w:sz="0" w:space="0" w:color="auto"/>
            <w:left w:val="none" w:sz="0" w:space="0" w:color="auto"/>
            <w:bottom w:val="none" w:sz="0" w:space="0" w:color="auto"/>
            <w:right w:val="none" w:sz="0" w:space="0" w:color="auto"/>
          </w:divBdr>
        </w:div>
        <w:div w:id="515577489">
          <w:marLeft w:val="640"/>
          <w:marRight w:val="0"/>
          <w:marTop w:val="0"/>
          <w:marBottom w:val="0"/>
          <w:divBdr>
            <w:top w:val="none" w:sz="0" w:space="0" w:color="auto"/>
            <w:left w:val="none" w:sz="0" w:space="0" w:color="auto"/>
            <w:bottom w:val="none" w:sz="0" w:space="0" w:color="auto"/>
            <w:right w:val="none" w:sz="0" w:space="0" w:color="auto"/>
          </w:divBdr>
        </w:div>
        <w:div w:id="2035034358">
          <w:marLeft w:val="640"/>
          <w:marRight w:val="0"/>
          <w:marTop w:val="0"/>
          <w:marBottom w:val="0"/>
          <w:divBdr>
            <w:top w:val="none" w:sz="0" w:space="0" w:color="auto"/>
            <w:left w:val="none" w:sz="0" w:space="0" w:color="auto"/>
            <w:bottom w:val="none" w:sz="0" w:space="0" w:color="auto"/>
            <w:right w:val="none" w:sz="0" w:space="0" w:color="auto"/>
          </w:divBdr>
        </w:div>
        <w:div w:id="2146269238">
          <w:marLeft w:val="640"/>
          <w:marRight w:val="0"/>
          <w:marTop w:val="0"/>
          <w:marBottom w:val="0"/>
          <w:divBdr>
            <w:top w:val="none" w:sz="0" w:space="0" w:color="auto"/>
            <w:left w:val="none" w:sz="0" w:space="0" w:color="auto"/>
            <w:bottom w:val="none" w:sz="0" w:space="0" w:color="auto"/>
            <w:right w:val="none" w:sz="0" w:space="0" w:color="auto"/>
          </w:divBdr>
        </w:div>
        <w:div w:id="78840125">
          <w:marLeft w:val="640"/>
          <w:marRight w:val="0"/>
          <w:marTop w:val="0"/>
          <w:marBottom w:val="0"/>
          <w:divBdr>
            <w:top w:val="none" w:sz="0" w:space="0" w:color="auto"/>
            <w:left w:val="none" w:sz="0" w:space="0" w:color="auto"/>
            <w:bottom w:val="none" w:sz="0" w:space="0" w:color="auto"/>
            <w:right w:val="none" w:sz="0" w:space="0" w:color="auto"/>
          </w:divBdr>
        </w:div>
        <w:div w:id="1053387178">
          <w:marLeft w:val="640"/>
          <w:marRight w:val="0"/>
          <w:marTop w:val="0"/>
          <w:marBottom w:val="0"/>
          <w:divBdr>
            <w:top w:val="none" w:sz="0" w:space="0" w:color="auto"/>
            <w:left w:val="none" w:sz="0" w:space="0" w:color="auto"/>
            <w:bottom w:val="none" w:sz="0" w:space="0" w:color="auto"/>
            <w:right w:val="none" w:sz="0" w:space="0" w:color="auto"/>
          </w:divBdr>
        </w:div>
        <w:div w:id="1547638199">
          <w:marLeft w:val="640"/>
          <w:marRight w:val="0"/>
          <w:marTop w:val="0"/>
          <w:marBottom w:val="0"/>
          <w:divBdr>
            <w:top w:val="none" w:sz="0" w:space="0" w:color="auto"/>
            <w:left w:val="none" w:sz="0" w:space="0" w:color="auto"/>
            <w:bottom w:val="none" w:sz="0" w:space="0" w:color="auto"/>
            <w:right w:val="none" w:sz="0" w:space="0" w:color="auto"/>
          </w:divBdr>
        </w:div>
        <w:div w:id="978804083">
          <w:marLeft w:val="640"/>
          <w:marRight w:val="0"/>
          <w:marTop w:val="0"/>
          <w:marBottom w:val="0"/>
          <w:divBdr>
            <w:top w:val="none" w:sz="0" w:space="0" w:color="auto"/>
            <w:left w:val="none" w:sz="0" w:space="0" w:color="auto"/>
            <w:bottom w:val="none" w:sz="0" w:space="0" w:color="auto"/>
            <w:right w:val="none" w:sz="0" w:space="0" w:color="auto"/>
          </w:divBdr>
        </w:div>
        <w:div w:id="1154376268">
          <w:marLeft w:val="640"/>
          <w:marRight w:val="0"/>
          <w:marTop w:val="0"/>
          <w:marBottom w:val="0"/>
          <w:divBdr>
            <w:top w:val="none" w:sz="0" w:space="0" w:color="auto"/>
            <w:left w:val="none" w:sz="0" w:space="0" w:color="auto"/>
            <w:bottom w:val="none" w:sz="0" w:space="0" w:color="auto"/>
            <w:right w:val="none" w:sz="0" w:space="0" w:color="auto"/>
          </w:divBdr>
        </w:div>
        <w:div w:id="1832023863">
          <w:marLeft w:val="640"/>
          <w:marRight w:val="0"/>
          <w:marTop w:val="0"/>
          <w:marBottom w:val="0"/>
          <w:divBdr>
            <w:top w:val="none" w:sz="0" w:space="0" w:color="auto"/>
            <w:left w:val="none" w:sz="0" w:space="0" w:color="auto"/>
            <w:bottom w:val="none" w:sz="0" w:space="0" w:color="auto"/>
            <w:right w:val="none" w:sz="0" w:space="0" w:color="auto"/>
          </w:divBdr>
        </w:div>
        <w:div w:id="1634672432">
          <w:marLeft w:val="640"/>
          <w:marRight w:val="0"/>
          <w:marTop w:val="0"/>
          <w:marBottom w:val="0"/>
          <w:divBdr>
            <w:top w:val="none" w:sz="0" w:space="0" w:color="auto"/>
            <w:left w:val="none" w:sz="0" w:space="0" w:color="auto"/>
            <w:bottom w:val="none" w:sz="0" w:space="0" w:color="auto"/>
            <w:right w:val="none" w:sz="0" w:space="0" w:color="auto"/>
          </w:divBdr>
        </w:div>
        <w:div w:id="754395245">
          <w:marLeft w:val="640"/>
          <w:marRight w:val="0"/>
          <w:marTop w:val="0"/>
          <w:marBottom w:val="0"/>
          <w:divBdr>
            <w:top w:val="none" w:sz="0" w:space="0" w:color="auto"/>
            <w:left w:val="none" w:sz="0" w:space="0" w:color="auto"/>
            <w:bottom w:val="none" w:sz="0" w:space="0" w:color="auto"/>
            <w:right w:val="none" w:sz="0" w:space="0" w:color="auto"/>
          </w:divBdr>
        </w:div>
        <w:div w:id="868765612">
          <w:marLeft w:val="640"/>
          <w:marRight w:val="0"/>
          <w:marTop w:val="0"/>
          <w:marBottom w:val="0"/>
          <w:divBdr>
            <w:top w:val="none" w:sz="0" w:space="0" w:color="auto"/>
            <w:left w:val="none" w:sz="0" w:space="0" w:color="auto"/>
            <w:bottom w:val="none" w:sz="0" w:space="0" w:color="auto"/>
            <w:right w:val="none" w:sz="0" w:space="0" w:color="auto"/>
          </w:divBdr>
        </w:div>
        <w:div w:id="684673223">
          <w:marLeft w:val="640"/>
          <w:marRight w:val="0"/>
          <w:marTop w:val="0"/>
          <w:marBottom w:val="0"/>
          <w:divBdr>
            <w:top w:val="none" w:sz="0" w:space="0" w:color="auto"/>
            <w:left w:val="none" w:sz="0" w:space="0" w:color="auto"/>
            <w:bottom w:val="none" w:sz="0" w:space="0" w:color="auto"/>
            <w:right w:val="none" w:sz="0" w:space="0" w:color="auto"/>
          </w:divBdr>
        </w:div>
        <w:div w:id="348869477">
          <w:marLeft w:val="640"/>
          <w:marRight w:val="0"/>
          <w:marTop w:val="0"/>
          <w:marBottom w:val="0"/>
          <w:divBdr>
            <w:top w:val="none" w:sz="0" w:space="0" w:color="auto"/>
            <w:left w:val="none" w:sz="0" w:space="0" w:color="auto"/>
            <w:bottom w:val="none" w:sz="0" w:space="0" w:color="auto"/>
            <w:right w:val="none" w:sz="0" w:space="0" w:color="auto"/>
          </w:divBdr>
        </w:div>
        <w:div w:id="1307973574">
          <w:marLeft w:val="640"/>
          <w:marRight w:val="0"/>
          <w:marTop w:val="0"/>
          <w:marBottom w:val="0"/>
          <w:divBdr>
            <w:top w:val="none" w:sz="0" w:space="0" w:color="auto"/>
            <w:left w:val="none" w:sz="0" w:space="0" w:color="auto"/>
            <w:bottom w:val="none" w:sz="0" w:space="0" w:color="auto"/>
            <w:right w:val="none" w:sz="0" w:space="0" w:color="auto"/>
          </w:divBdr>
        </w:div>
        <w:div w:id="1992364418">
          <w:marLeft w:val="640"/>
          <w:marRight w:val="0"/>
          <w:marTop w:val="0"/>
          <w:marBottom w:val="0"/>
          <w:divBdr>
            <w:top w:val="none" w:sz="0" w:space="0" w:color="auto"/>
            <w:left w:val="none" w:sz="0" w:space="0" w:color="auto"/>
            <w:bottom w:val="none" w:sz="0" w:space="0" w:color="auto"/>
            <w:right w:val="none" w:sz="0" w:space="0" w:color="auto"/>
          </w:divBdr>
        </w:div>
        <w:div w:id="142161707">
          <w:marLeft w:val="640"/>
          <w:marRight w:val="0"/>
          <w:marTop w:val="0"/>
          <w:marBottom w:val="0"/>
          <w:divBdr>
            <w:top w:val="none" w:sz="0" w:space="0" w:color="auto"/>
            <w:left w:val="none" w:sz="0" w:space="0" w:color="auto"/>
            <w:bottom w:val="none" w:sz="0" w:space="0" w:color="auto"/>
            <w:right w:val="none" w:sz="0" w:space="0" w:color="auto"/>
          </w:divBdr>
        </w:div>
        <w:div w:id="994183085">
          <w:marLeft w:val="640"/>
          <w:marRight w:val="0"/>
          <w:marTop w:val="0"/>
          <w:marBottom w:val="0"/>
          <w:divBdr>
            <w:top w:val="none" w:sz="0" w:space="0" w:color="auto"/>
            <w:left w:val="none" w:sz="0" w:space="0" w:color="auto"/>
            <w:bottom w:val="none" w:sz="0" w:space="0" w:color="auto"/>
            <w:right w:val="none" w:sz="0" w:space="0" w:color="auto"/>
          </w:divBdr>
        </w:div>
        <w:div w:id="945045615">
          <w:marLeft w:val="640"/>
          <w:marRight w:val="0"/>
          <w:marTop w:val="0"/>
          <w:marBottom w:val="0"/>
          <w:divBdr>
            <w:top w:val="none" w:sz="0" w:space="0" w:color="auto"/>
            <w:left w:val="none" w:sz="0" w:space="0" w:color="auto"/>
            <w:bottom w:val="none" w:sz="0" w:space="0" w:color="auto"/>
            <w:right w:val="none" w:sz="0" w:space="0" w:color="auto"/>
          </w:divBdr>
        </w:div>
        <w:div w:id="1312635870">
          <w:marLeft w:val="640"/>
          <w:marRight w:val="0"/>
          <w:marTop w:val="0"/>
          <w:marBottom w:val="0"/>
          <w:divBdr>
            <w:top w:val="none" w:sz="0" w:space="0" w:color="auto"/>
            <w:left w:val="none" w:sz="0" w:space="0" w:color="auto"/>
            <w:bottom w:val="none" w:sz="0" w:space="0" w:color="auto"/>
            <w:right w:val="none" w:sz="0" w:space="0" w:color="auto"/>
          </w:divBdr>
        </w:div>
        <w:div w:id="1044407649">
          <w:marLeft w:val="640"/>
          <w:marRight w:val="0"/>
          <w:marTop w:val="0"/>
          <w:marBottom w:val="0"/>
          <w:divBdr>
            <w:top w:val="none" w:sz="0" w:space="0" w:color="auto"/>
            <w:left w:val="none" w:sz="0" w:space="0" w:color="auto"/>
            <w:bottom w:val="none" w:sz="0" w:space="0" w:color="auto"/>
            <w:right w:val="none" w:sz="0" w:space="0" w:color="auto"/>
          </w:divBdr>
        </w:div>
        <w:div w:id="1686665455">
          <w:marLeft w:val="640"/>
          <w:marRight w:val="0"/>
          <w:marTop w:val="0"/>
          <w:marBottom w:val="0"/>
          <w:divBdr>
            <w:top w:val="none" w:sz="0" w:space="0" w:color="auto"/>
            <w:left w:val="none" w:sz="0" w:space="0" w:color="auto"/>
            <w:bottom w:val="none" w:sz="0" w:space="0" w:color="auto"/>
            <w:right w:val="none" w:sz="0" w:space="0" w:color="auto"/>
          </w:divBdr>
        </w:div>
        <w:div w:id="1537160076">
          <w:marLeft w:val="640"/>
          <w:marRight w:val="0"/>
          <w:marTop w:val="0"/>
          <w:marBottom w:val="0"/>
          <w:divBdr>
            <w:top w:val="none" w:sz="0" w:space="0" w:color="auto"/>
            <w:left w:val="none" w:sz="0" w:space="0" w:color="auto"/>
            <w:bottom w:val="none" w:sz="0" w:space="0" w:color="auto"/>
            <w:right w:val="none" w:sz="0" w:space="0" w:color="auto"/>
          </w:divBdr>
        </w:div>
        <w:div w:id="1983389862">
          <w:marLeft w:val="640"/>
          <w:marRight w:val="0"/>
          <w:marTop w:val="0"/>
          <w:marBottom w:val="0"/>
          <w:divBdr>
            <w:top w:val="none" w:sz="0" w:space="0" w:color="auto"/>
            <w:left w:val="none" w:sz="0" w:space="0" w:color="auto"/>
            <w:bottom w:val="none" w:sz="0" w:space="0" w:color="auto"/>
            <w:right w:val="none" w:sz="0" w:space="0" w:color="auto"/>
          </w:divBdr>
        </w:div>
        <w:div w:id="503011882">
          <w:marLeft w:val="640"/>
          <w:marRight w:val="0"/>
          <w:marTop w:val="0"/>
          <w:marBottom w:val="0"/>
          <w:divBdr>
            <w:top w:val="none" w:sz="0" w:space="0" w:color="auto"/>
            <w:left w:val="none" w:sz="0" w:space="0" w:color="auto"/>
            <w:bottom w:val="none" w:sz="0" w:space="0" w:color="auto"/>
            <w:right w:val="none" w:sz="0" w:space="0" w:color="auto"/>
          </w:divBdr>
        </w:div>
        <w:div w:id="2078817042">
          <w:marLeft w:val="640"/>
          <w:marRight w:val="0"/>
          <w:marTop w:val="0"/>
          <w:marBottom w:val="0"/>
          <w:divBdr>
            <w:top w:val="none" w:sz="0" w:space="0" w:color="auto"/>
            <w:left w:val="none" w:sz="0" w:space="0" w:color="auto"/>
            <w:bottom w:val="none" w:sz="0" w:space="0" w:color="auto"/>
            <w:right w:val="none" w:sz="0" w:space="0" w:color="auto"/>
          </w:divBdr>
        </w:div>
        <w:div w:id="1260065264">
          <w:marLeft w:val="640"/>
          <w:marRight w:val="0"/>
          <w:marTop w:val="0"/>
          <w:marBottom w:val="0"/>
          <w:divBdr>
            <w:top w:val="none" w:sz="0" w:space="0" w:color="auto"/>
            <w:left w:val="none" w:sz="0" w:space="0" w:color="auto"/>
            <w:bottom w:val="none" w:sz="0" w:space="0" w:color="auto"/>
            <w:right w:val="none" w:sz="0" w:space="0" w:color="auto"/>
          </w:divBdr>
        </w:div>
        <w:div w:id="2138572300">
          <w:marLeft w:val="640"/>
          <w:marRight w:val="0"/>
          <w:marTop w:val="0"/>
          <w:marBottom w:val="0"/>
          <w:divBdr>
            <w:top w:val="none" w:sz="0" w:space="0" w:color="auto"/>
            <w:left w:val="none" w:sz="0" w:space="0" w:color="auto"/>
            <w:bottom w:val="none" w:sz="0" w:space="0" w:color="auto"/>
            <w:right w:val="none" w:sz="0" w:space="0" w:color="auto"/>
          </w:divBdr>
        </w:div>
        <w:div w:id="1384131972">
          <w:marLeft w:val="640"/>
          <w:marRight w:val="0"/>
          <w:marTop w:val="0"/>
          <w:marBottom w:val="0"/>
          <w:divBdr>
            <w:top w:val="none" w:sz="0" w:space="0" w:color="auto"/>
            <w:left w:val="none" w:sz="0" w:space="0" w:color="auto"/>
            <w:bottom w:val="none" w:sz="0" w:space="0" w:color="auto"/>
            <w:right w:val="none" w:sz="0" w:space="0" w:color="auto"/>
          </w:divBdr>
        </w:div>
        <w:div w:id="1860772004">
          <w:marLeft w:val="640"/>
          <w:marRight w:val="0"/>
          <w:marTop w:val="0"/>
          <w:marBottom w:val="0"/>
          <w:divBdr>
            <w:top w:val="none" w:sz="0" w:space="0" w:color="auto"/>
            <w:left w:val="none" w:sz="0" w:space="0" w:color="auto"/>
            <w:bottom w:val="none" w:sz="0" w:space="0" w:color="auto"/>
            <w:right w:val="none" w:sz="0" w:space="0" w:color="auto"/>
          </w:divBdr>
        </w:div>
        <w:div w:id="595401127">
          <w:marLeft w:val="640"/>
          <w:marRight w:val="0"/>
          <w:marTop w:val="0"/>
          <w:marBottom w:val="0"/>
          <w:divBdr>
            <w:top w:val="none" w:sz="0" w:space="0" w:color="auto"/>
            <w:left w:val="none" w:sz="0" w:space="0" w:color="auto"/>
            <w:bottom w:val="none" w:sz="0" w:space="0" w:color="auto"/>
            <w:right w:val="none" w:sz="0" w:space="0" w:color="auto"/>
          </w:divBdr>
        </w:div>
        <w:div w:id="424888497">
          <w:marLeft w:val="640"/>
          <w:marRight w:val="0"/>
          <w:marTop w:val="0"/>
          <w:marBottom w:val="0"/>
          <w:divBdr>
            <w:top w:val="none" w:sz="0" w:space="0" w:color="auto"/>
            <w:left w:val="none" w:sz="0" w:space="0" w:color="auto"/>
            <w:bottom w:val="none" w:sz="0" w:space="0" w:color="auto"/>
            <w:right w:val="none" w:sz="0" w:space="0" w:color="auto"/>
          </w:divBdr>
        </w:div>
        <w:div w:id="1203204991">
          <w:marLeft w:val="640"/>
          <w:marRight w:val="0"/>
          <w:marTop w:val="0"/>
          <w:marBottom w:val="0"/>
          <w:divBdr>
            <w:top w:val="none" w:sz="0" w:space="0" w:color="auto"/>
            <w:left w:val="none" w:sz="0" w:space="0" w:color="auto"/>
            <w:bottom w:val="none" w:sz="0" w:space="0" w:color="auto"/>
            <w:right w:val="none" w:sz="0" w:space="0" w:color="auto"/>
          </w:divBdr>
        </w:div>
        <w:div w:id="2094232110">
          <w:marLeft w:val="640"/>
          <w:marRight w:val="0"/>
          <w:marTop w:val="0"/>
          <w:marBottom w:val="0"/>
          <w:divBdr>
            <w:top w:val="none" w:sz="0" w:space="0" w:color="auto"/>
            <w:left w:val="none" w:sz="0" w:space="0" w:color="auto"/>
            <w:bottom w:val="none" w:sz="0" w:space="0" w:color="auto"/>
            <w:right w:val="none" w:sz="0" w:space="0" w:color="auto"/>
          </w:divBdr>
        </w:div>
        <w:div w:id="1027832213">
          <w:marLeft w:val="640"/>
          <w:marRight w:val="0"/>
          <w:marTop w:val="0"/>
          <w:marBottom w:val="0"/>
          <w:divBdr>
            <w:top w:val="none" w:sz="0" w:space="0" w:color="auto"/>
            <w:left w:val="none" w:sz="0" w:space="0" w:color="auto"/>
            <w:bottom w:val="none" w:sz="0" w:space="0" w:color="auto"/>
            <w:right w:val="none" w:sz="0" w:space="0" w:color="auto"/>
          </w:divBdr>
        </w:div>
        <w:div w:id="87040843">
          <w:marLeft w:val="640"/>
          <w:marRight w:val="0"/>
          <w:marTop w:val="0"/>
          <w:marBottom w:val="0"/>
          <w:divBdr>
            <w:top w:val="none" w:sz="0" w:space="0" w:color="auto"/>
            <w:left w:val="none" w:sz="0" w:space="0" w:color="auto"/>
            <w:bottom w:val="none" w:sz="0" w:space="0" w:color="auto"/>
            <w:right w:val="none" w:sz="0" w:space="0" w:color="auto"/>
          </w:divBdr>
        </w:div>
        <w:div w:id="1839271733">
          <w:marLeft w:val="640"/>
          <w:marRight w:val="0"/>
          <w:marTop w:val="0"/>
          <w:marBottom w:val="0"/>
          <w:divBdr>
            <w:top w:val="none" w:sz="0" w:space="0" w:color="auto"/>
            <w:left w:val="none" w:sz="0" w:space="0" w:color="auto"/>
            <w:bottom w:val="none" w:sz="0" w:space="0" w:color="auto"/>
            <w:right w:val="none" w:sz="0" w:space="0" w:color="auto"/>
          </w:divBdr>
        </w:div>
      </w:divsChild>
    </w:div>
    <w:div w:id="1452046500">
      <w:bodyDiv w:val="1"/>
      <w:marLeft w:val="0"/>
      <w:marRight w:val="0"/>
      <w:marTop w:val="0"/>
      <w:marBottom w:val="0"/>
      <w:divBdr>
        <w:top w:val="none" w:sz="0" w:space="0" w:color="auto"/>
        <w:left w:val="none" w:sz="0" w:space="0" w:color="auto"/>
        <w:bottom w:val="none" w:sz="0" w:space="0" w:color="auto"/>
        <w:right w:val="none" w:sz="0" w:space="0" w:color="auto"/>
      </w:divBdr>
      <w:divsChild>
        <w:div w:id="947929483">
          <w:marLeft w:val="640"/>
          <w:marRight w:val="0"/>
          <w:marTop w:val="0"/>
          <w:marBottom w:val="0"/>
          <w:divBdr>
            <w:top w:val="none" w:sz="0" w:space="0" w:color="auto"/>
            <w:left w:val="none" w:sz="0" w:space="0" w:color="auto"/>
            <w:bottom w:val="none" w:sz="0" w:space="0" w:color="auto"/>
            <w:right w:val="none" w:sz="0" w:space="0" w:color="auto"/>
          </w:divBdr>
        </w:div>
        <w:div w:id="1249147010">
          <w:marLeft w:val="640"/>
          <w:marRight w:val="0"/>
          <w:marTop w:val="0"/>
          <w:marBottom w:val="0"/>
          <w:divBdr>
            <w:top w:val="none" w:sz="0" w:space="0" w:color="auto"/>
            <w:left w:val="none" w:sz="0" w:space="0" w:color="auto"/>
            <w:bottom w:val="none" w:sz="0" w:space="0" w:color="auto"/>
            <w:right w:val="none" w:sz="0" w:space="0" w:color="auto"/>
          </w:divBdr>
        </w:div>
        <w:div w:id="843327041">
          <w:marLeft w:val="640"/>
          <w:marRight w:val="0"/>
          <w:marTop w:val="0"/>
          <w:marBottom w:val="0"/>
          <w:divBdr>
            <w:top w:val="none" w:sz="0" w:space="0" w:color="auto"/>
            <w:left w:val="none" w:sz="0" w:space="0" w:color="auto"/>
            <w:bottom w:val="none" w:sz="0" w:space="0" w:color="auto"/>
            <w:right w:val="none" w:sz="0" w:space="0" w:color="auto"/>
          </w:divBdr>
        </w:div>
        <w:div w:id="2129277275">
          <w:marLeft w:val="640"/>
          <w:marRight w:val="0"/>
          <w:marTop w:val="0"/>
          <w:marBottom w:val="0"/>
          <w:divBdr>
            <w:top w:val="none" w:sz="0" w:space="0" w:color="auto"/>
            <w:left w:val="none" w:sz="0" w:space="0" w:color="auto"/>
            <w:bottom w:val="none" w:sz="0" w:space="0" w:color="auto"/>
            <w:right w:val="none" w:sz="0" w:space="0" w:color="auto"/>
          </w:divBdr>
        </w:div>
        <w:div w:id="628517462">
          <w:marLeft w:val="640"/>
          <w:marRight w:val="0"/>
          <w:marTop w:val="0"/>
          <w:marBottom w:val="0"/>
          <w:divBdr>
            <w:top w:val="none" w:sz="0" w:space="0" w:color="auto"/>
            <w:left w:val="none" w:sz="0" w:space="0" w:color="auto"/>
            <w:bottom w:val="none" w:sz="0" w:space="0" w:color="auto"/>
            <w:right w:val="none" w:sz="0" w:space="0" w:color="auto"/>
          </w:divBdr>
        </w:div>
        <w:div w:id="525942742">
          <w:marLeft w:val="640"/>
          <w:marRight w:val="0"/>
          <w:marTop w:val="0"/>
          <w:marBottom w:val="0"/>
          <w:divBdr>
            <w:top w:val="none" w:sz="0" w:space="0" w:color="auto"/>
            <w:left w:val="none" w:sz="0" w:space="0" w:color="auto"/>
            <w:bottom w:val="none" w:sz="0" w:space="0" w:color="auto"/>
            <w:right w:val="none" w:sz="0" w:space="0" w:color="auto"/>
          </w:divBdr>
        </w:div>
        <w:div w:id="312026610">
          <w:marLeft w:val="640"/>
          <w:marRight w:val="0"/>
          <w:marTop w:val="0"/>
          <w:marBottom w:val="0"/>
          <w:divBdr>
            <w:top w:val="none" w:sz="0" w:space="0" w:color="auto"/>
            <w:left w:val="none" w:sz="0" w:space="0" w:color="auto"/>
            <w:bottom w:val="none" w:sz="0" w:space="0" w:color="auto"/>
            <w:right w:val="none" w:sz="0" w:space="0" w:color="auto"/>
          </w:divBdr>
        </w:div>
        <w:div w:id="531303397">
          <w:marLeft w:val="640"/>
          <w:marRight w:val="0"/>
          <w:marTop w:val="0"/>
          <w:marBottom w:val="0"/>
          <w:divBdr>
            <w:top w:val="none" w:sz="0" w:space="0" w:color="auto"/>
            <w:left w:val="none" w:sz="0" w:space="0" w:color="auto"/>
            <w:bottom w:val="none" w:sz="0" w:space="0" w:color="auto"/>
            <w:right w:val="none" w:sz="0" w:space="0" w:color="auto"/>
          </w:divBdr>
        </w:div>
        <w:div w:id="688291677">
          <w:marLeft w:val="640"/>
          <w:marRight w:val="0"/>
          <w:marTop w:val="0"/>
          <w:marBottom w:val="0"/>
          <w:divBdr>
            <w:top w:val="none" w:sz="0" w:space="0" w:color="auto"/>
            <w:left w:val="none" w:sz="0" w:space="0" w:color="auto"/>
            <w:bottom w:val="none" w:sz="0" w:space="0" w:color="auto"/>
            <w:right w:val="none" w:sz="0" w:space="0" w:color="auto"/>
          </w:divBdr>
        </w:div>
        <w:div w:id="119501594">
          <w:marLeft w:val="640"/>
          <w:marRight w:val="0"/>
          <w:marTop w:val="0"/>
          <w:marBottom w:val="0"/>
          <w:divBdr>
            <w:top w:val="none" w:sz="0" w:space="0" w:color="auto"/>
            <w:left w:val="none" w:sz="0" w:space="0" w:color="auto"/>
            <w:bottom w:val="none" w:sz="0" w:space="0" w:color="auto"/>
            <w:right w:val="none" w:sz="0" w:space="0" w:color="auto"/>
          </w:divBdr>
        </w:div>
        <w:div w:id="1562325280">
          <w:marLeft w:val="640"/>
          <w:marRight w:val="0"/>
          <w:marTop w:val="0"/>
          <w:marBottom w:val="0"/>
          <w:divBdr>
            <w:top w:val="none" w:sz="0" w:space="0" w:color="auto"/>
            <w:left w:val="none" w:sz="0" w:space="0" w:color="auto"/>
            <w:bottom w:val="none" w:sz="0" w:space="0" w:color="auto"/>
            <w:right w:val="none" w:sz="0" w:space="0" w:color="auto"/>
          </w:divBdr>
        </w:div>
        <w:div w:id="1675720324">
          <w:marLeft w:val="640"/>
          <w:marRight w:val="0"/>
          <w:marTop w:val="0"/>
          <w:marBottom w:val="0"/>
          <w:divBdr>
            <w:top w:val="none" w:sz="0" w:space="0" w:color="auto"/>
            <w:left w:val="none" w:sz="0" w:space="0" w:color="auto"/>
            <w:bottom w:val="none" w:sz="0" w:space="0" w:color="auto"/>
            <w:right w:val="none" w:sz="0" w:space="0" w:color="auto"/>
          </w:divBdr>
        </w:div>
        <w:div w:id="1335835552">
          <w:marLeft w:val="640"/>
          <w:marRight w:val="0"/>
          <w:marTop w:val="0"/>
          <w:marBottom w:val="0"/>
          <w:divBdr>
            <w:top w:val="none" w:sz="0" w:space="0" w:color="auto"/>
            <w:left w:val="none" w:sz="0" w:space="0" w:color="auto"/>
            <w:bottom w:val="none" w:sz="0" w:space="0" w:color="auto"/>
            <w:right w:val="none" w:sz="0" w:space="0" w:color="auto"/>
          </w:divBdr>
        </w:div>
        <w:div w:id="953634579">
          <w:marLeft w:val="640"/>
          <w:marRight w:val="0"/>
          <w:marTop w:val="0"/>
          <w:marBottom w:val="0"/>
          <w:divBdr>
            <w:top w:val="none" w:sz="0" w:space="0" w:color="auto"/>
            <w:left w:val="none" w:sz="0" w:space="0" w:color="auto"/>
            <w:bottom w:val="none" w:sz="0" w:space="0" w:color="auto"/>
            <w:right w:val="none" w:sz="0" w:space="0" w:color="auto"/>
          </w:divBdr>
        </w:div>
        <w:div w:id="1442653209">
          <w:marLeft w:val="640"/>
          <w:marRight w:val="0"/>
          <w:marTop w:val="0"/>
          <w:marBottom w:val="0"/>
          <w:divBdr>
            <w:top w:val="none" w:sz="0" w:space="0" w:color="auto"/>
            <w:left w:val="none" w:sz="0" w:space="0" w:color="auto"/>
            <w:bottom w:val="none" w:sz="0" w:space="0" w:color="auto"/>
            <w:right w:val="none" w:sz="0" w:space="0" w:color="auto"/>
          </w:divBdr>
        </w:div>
        <w:div w:id="1463884561">
          <w:marLeft w:val="640"/>
          <w:marRight w:val="0"/>
          <w:marTop w:val="0"/>
          <w:marBottom w:val="0"/>
          <w:divBdr>
            <w:top w:val="none" w:sz="0" w:space="0" w:color="auto"/>
            <w:left w:val="none" w:sz="0" w:space="0" w:color="auto"/>
            <w:bottom w:val="none" w:sz="0" w:space="0" w:color="auto"/>
            <w:right w:val="none" w:sz="0" w:space="0" w:color="auto"/>
          </w:divBdr>
        </w:div>
        <w:div w:id="1734232040">
          <w:marLeft w:val="640"/>
          <w:marRight w:val="0"/>
          <w:marTop w:val="0"/>
          <w:marBottom w:val="0"/>
          <w:divBdr>
            <w:top w:val="none" w:sz="0" w:space="0" w:color="auto"/>
            <w:left w:val="none" w:sz="0" w:space="0" w:color="auto"/>
            <w:bottom w:val="none" w:sz="0" w:space="0" w:color="auto"/>
            <w:right w:val="none" w:sz="0" w:space="0" w:color="auto"/>
          </w:divBdr>
        </w:div>
        <w:div w:id="1313020523">
          <w:marLeft w:val="640"/>
          <w:marRight w:val="0"/>
          <w:marTop w:val="0"/>
          <w:marBottom w:val="0"/>
          <w:divBdr>
            <w:top w:val="none" w:sz="0" w:space="0" w:color="auto"/>
            <w:left w:val="none" w:sz="0" w:space="0" w:color="auto"/>
            <w:bottom w:val="none" w:sz="0" w:space="0" w:color="auto"/>
            <w:right w:val="none" w:sz="0" w:space="0" w:color="auto"/>
          </w:divBdr>
        </w:div>
        <w:div w:id="1186406281">
          <w:marLeft w:val="640"/>
          <w:marRight w:val="0"/>
          <w:marTop w:val="0"/>
          <w:marBottom w:val="0"/>
          <w:divBdr>
            <w:top w:val="none" w:sz="0" w:space="0" w:color="auto"/>
            <w:left w:val="none" w:sz="0" w:space="0" w:color="auto"/>
            <w:bottom w:val="none" w:sz="0" w:space="0" w:color="auto"/>
            <w:right w:val="none" w:sz="0" w:space="0" w:color="auto"/>
          </w:divBdr>
        </w:div>
        <w:div w:id="694766395">
          <w:marLeft w:val="640"/>
          <w:marRight w:val="0"/>
          <w:marTop w:val="0"/>
          <w:marBottom w:val="0"/>
          <w:divBdr>
            <w:top w:val="none" w:sz="0" w:space="0" w:color="auto"/>
            <w:left w:val="none" w:sz="0" w:space="0" w:color="auto"/>
            <w:bottom w:val="none" w:sz="0" w:space="0" w:color="auto"/>
            <w:right w:val="none" w:sz="0" w:space="0" w:color="auto"/>
          </w:divBdr>
        </w:div>
        <w:div w:id="1765147971">
          <w:marLeft w:val="640"/>
          <w:marRight w:val="0"/>
          <w:marTop w:val="0"/>
          <w:marBottom w:val="0"/>
          <w:divBdr>
            <w:top w:val="none" w:sz="0" w:space="0" w:color="auto"/>
            <w:left w:val="none" w:sz="0" w:space="0" w:color="auto"/>
            <w:bottom w:val="none" w:sz="0" w:space="0" w:color="auto"/>
            <w:right w:val="none" w:sz="0" w:space="0" w:color="auto"/>
          </w:divBdr>
        </w:div>
        <w:div w:id="1318418480">
          <w:marLeft w:val="640"/>
          <w:marRight w:val="0"/>
          <w:marTop w:val="0"/>
          <w:marBottom w:val="0"/>
          <w:divBdr>
            <w:top w:val="none" w:sz="0" w:space="0" w:color="auto"/>
            <w:left w:val="none" w:sz="0" w:space="0" w:color="auto"/>
            <w:bottom w:val="none" w:sz="0" w:space="0" w:color="auto"/>
            <w:right w:val="none" w:sz="0" w:space="0" w:color="auto"/>
          </w:divBdr>
        </w:div>
        <w:div w:id="1055851713">
          <w:marLeft w:val="640"/>
          <w:marRight w:val="0"/>
          <w:marTop w:val="0"/>
          <w:marBottom w:val="0"/>
          <w:divBdr>
            <w:top w:val="none" w:sz="0" w:space="0" w:color="auto"/>
            <w:left w:val="none" w:sz="0" w:space="0" w:color="auto"/>
            <w:bottom w:val="none" w:sz="0" w:space="0" w:color="auto"/>
            <w:right w:val="none" w:sz="0" w:space="0" w:color="auto"/>
          </w:divBdr>
        </w:div>
        <w:div w:id="1772357714">
          <w:marLeft w:val="640"/>
          <w:marRight w:val="0"/>
          <w:marTop w:val="0"/>
          <w:marBottom w:val="0"/>
          <w:divBdr>
            <w:top w:val="none" w:sz="0" w:space="0" w:color="auto"/>
            <w:left w:val="none" w:sz="0" w:space="0" w:color="auto"/>
            <w:bottom w:val="none" w:sz="0" w:space="0" w:color="auto"/>
            <w:right w:val="none" w:sz="0" w:space="0" w:color="auto"/>
          </w:divBdr>
        </w:div>
        <w:div w:id="1565677724">
          <w:marLeft w:val="640"/>
          <w:marRight w:val="0"/>
          <w:marTop w:val="0"/>
          <w:marBottom w:val="0"/>
          <w:divBdr>
            <w:top w:val="none" w:sz="0" w:space="0" w:color="auto"/>
            <w:left w:val="none" w:sz="0" w:space="0" w:color="auto"/>
            <w:bottom w:val="none" w:sz="0" w:space="0" w:color="auto"/>
            <w:right w:val="none" w:sz="0" w:space="0" w:color="auto"/>
          </w:divBdr>
        </w:div>
        <w:div w:id="1376657273">
          <w:marLeft w:val="640"/>
          <w:marRight w:val="0"/>
          <w:marTop w:val="0"/>
          <w:marBottom w:val="0"/>
          <w:divBdr>
            <w:top w:val="none" w:sz="0" w:space="0" w:color="auto"/>
            <w:left w:val="none" w:sz="0" w:space="0" w:color="auto"/>
            <w:bottom w:val="none" w:sz="0" w:space="0" w:color="auto"/>
            <w:right w:val="none" w:sz="0" w:space="0" w:color="auto"/>
          </w:divBdr>
        </w:div>
        <w:div w:id="1669674280">
          <w:marLeft w:val="640"/>
          <w:marRight w:val="0"/>
          <w:marTop w:val="0"/>
          <w:marBottom w:val="0"/>
          <w:divBdr>
            <w:top w:val="none" w:sz="0" w:space="0" w:color="auto"/>
            <w:left w:val="none" w:sz="0" w:space="0" w:color="auto"/>
            <w:bottom w:val="none" w:sz="0" w:space="0" w:color="auto"/>
            <w:right w:val="none" w:sz="0" w:space="0" w:color="auto"/>
          </w:divBdr>
        </w:div>
        <w:div w:id="976227672">
          <w:marLeft w:val="640"/>
          <w:marRight w:val="0"/>
          <w:marTop w:val="0"/>
          <w:marBottom w:val="0"/>
          <w:divBdr>
            <w:top w:val="none" w:sz="0" w:space="0" w:color="auto"/>
            <w:left w:val="none" w:sz="0" w:space="0" w:color="auto"/>
            <w:bottom w:val="none" w:sz="0" w:space="0" w:color="auto"/>
            <w:right w:val="none" w:sz="0" w:space="0" w:color="auto"/>
          </w:divBdr>
        </w:div>
        <w:div w:id="206602074">
          <w:marLeft w:val="640"/>
          <w:marRight w:val="0"/>
          <w:marTop w:val="0"/>
          <w:marBottom w:val="0"/>
          <w:divBdr>
            <w:top w:val="none" w:sz="0" w:space="0" w:color="auto"/>
            <w:left w:val="none" w:sz="0" w:space="0" w:color="auto"/>
            <w:bottom w:val="none" w:sz="0" w:space="0" w:color="auto"/>
            <w:right w:val="none" w:sz="0" w:space="0" w:color="auto"/>
          </w:divBdr>
        </w:div>
        <w:div w:id="1681353513">
          <w:marLeft w:val="640"/>
          <w:marRight w:val="0"/>
          <w:marTop w:val="0"/>
          <w:marBottom w:val="0"/>
          <w:divBdr>
            <w:top w:val="none" w:sz="0" w:space="0" w:color="auto"/>
            <w:left w:val="none" w:sz="0" w:space="0" w:color="auto"/>
            <w:bottom w:val="none" w:sz="0" w:space="0" w:color="auto"/>
            <w:right w:val="none" w:sz="0" w:space="0" w:color="auto"/>
          </w:divBdr>
        </w:div>
        <w:div w:id="922107790">
          <w:marLeft w:val="640"/>
          <w:marRight w:val="0"/>
          <w:marTop w:val="0"/>
          <w:marBottom w:val="0"/>
          <w:divBdr>
            <w:top w:val="none" w:sz="0" w:space="0" w:color="auto"/>
            <w:left w:val="none" w:sz="0" w:space="0" w:color="auto"/>
            <w:bottom w:val="none" w:sz="0" w:space="0" w:color="auto"/>
            <w:right w:val="none" w:sz="0" w:space="0" w:color="auto"/>
          </w:divBdr>
        </w:div>
        <w:div w:id="192623019">
          <w:marLeft w:val="640"/>
          <w:marRight w:val="0"/>
          <w:marTop w:val="0"/>
          <w:marBottom w:val="0"/>
          <w:divBdr>
            <w:top w:val="none" w:sz="0" w:space="0" w:color="auto"/>
            <w:left w:val="none" w:sz="0" w:space="0" w:color="auto"/>
            <w:bottom w:val="none" w:sz="0" w:space="0" w:color="auto"/>
            <w:right w:val="none" w:sz="0" w:space="0" w:color="auto"/>
          </w:divBdr>
        </w:div>
        <w:div w:id="1569152343">
          <w:marLeft w:val="640"/>
          <w:marRight w:val="0"/>
          <w:marTop w:val="0"/>
          <w:marBottom w:val="0"/>
          <w:divBdr>
            <w:top w:val="none" w:sz="0" w:space="0" w:color="auto"/>
            <w:left w:val="none" w:sz="0" w:space="0" w:color="auto"/>
            <w:bottom w:val="none" w:sz="0" w:space="0" w:color="auto"/>
            <w:right w:val="none" w:sz="0" w:space="0" w:color="auto"/>
          </w:divBdr>
        </w:div>
        <w:div w:id="307632251">
          <w:marLeft w:val="640"/>
          <w:marRight w:val="0"/>
          <w:marTop w:val="0"/>
          <w:marBottom w:val="0"/>
          <w:divBdr>
            <w:top w:val="none" w:sz="0" w:space="0" w:color="auto"/>
            <w:left w:val="none" w:sz="0" w:space="0" w:color="auto"/>
            <w:bottom w:val="none" w:sz="0" w:space="0" w:color="auto"/>
            <w:right w:val="none" w:sz="0" w:space="0" w:color="auto"/>
          </w:divBdr>
        </w:div>
        <w:div w:id="857813305">
          <w:marLeft w:val="640"/>
          <w:marRight w:val="0"/>
          <w:marTop w:val="0"/>
          <w:marBottom w:val="0"/>
          <w:divBdr>
            <w:top w:val="none" w:sz="0" w:space="0" w:color="auto"/>
            <w:left w:val="none" w:sz="0" w:space="0" w:color="auto"/>
            <w:bottom w:val="none" w:sz="0" w:space="0" w:color="auto"/>
            <w:right w:val="none" w:sz="0" w:space="0" w:color="auto"/>
          </w:divBdr>
        </w:div>
        <w:div w:id="602961318">
          <w:marLeft w:val="640"/>
          <w:marRight w:val="0"/>
          <w:marTop w:val="0"/>
          <w:marBottom w:val="0"/>
          <w:divBdr>
            <w:top w:val="none" w:sz="0" w:space="0" w:color="auto"/>
            <w:left w:val="none" w:sz="0" w:space="0" w:color="auto"/>
            <w:bottom w:val="none" w:sz="0" w:space="0" w:color="auto"/>
            <w:right w:val="none" w:sz="0" w:space="0" w:color="auto"/>
          </w:divBdr>
        </w:div>
        <w:div w:id="1999110320">
          <w:marLeft w:val="640"/>
          <w:marRight w:val="0"/>
          <w:marTop w:val="0"/>
          <w:marBottom w:val="0"/>
          <w:divBdr>
            <w:top w:val="none" w:sz="0" w:space="0" w:color="auto"/>
            <w:left w:val="none" w:sz="0" w:space="0" w:color="auto"/>
            <w:bottom w:val="none" w:sz="0" w:space="0" w:color="auto"/>
            <w:right w:val="none" w:sz="0" w:space="0" w:color="auto"/>
          </w:divBdr>
        </w:div>
        <w:div w:id="264727621">
          <w:marLeft w:val="640"/>
          <w:marRight w:val="0"/>
          <w:marTop w:val="0"/>
          <w:marBottom w:val="0"/>
          <w:divBdr>
            <w:top w:val="none" w:sz="0" w:space="0" w:color="auto"/>
            <w:left w:val="none" w:sz="0" w:space="0" w:color="auto"/>
            <w:bottom w:val="none" w:sz="0" w:space="0" w:color="auto"/>
            <w:right w:val="none" w:sz="0" w:space="0" w:color="auto"/>
          </w:divBdr>
        </w:div>
        <w:div w:id="1395196683">
          <w:marLeft w:val="640"/>
          <w:marRight w:val="0"/>
          <w:marTop w:val="0"/>
          <w:marBottom w:val="0"/>
          <w:divBdr>
            <w:top w:val="none" w:sz="0" w:space="0" w:color="auto"/>
            <w:left w:val="none" w:sz="0" w:space="0" w:color="auto"/>
            <w:bottom w:val="none" w:sz="0" w:space="0" w:color="auto"/>
            <w:right w:val="none" w:sz="0" w:space="0" w:color="auto"/>
          </w:divBdr>
        </w:div>
        <w:div w:id="571694695">
          <w:marLeft w:val="640"/>
          <w:marRight w:val="0"/>
          <w:marTop w:val="0"/>
          <w:marBottom w:val="0"/>
          <w:divBdr>
            <w:top w:val="none" w:sz="0" w:space="0" w:color="auto"/>
            <w:left w:val="none" w:sz="0" w:space="0" w:color="auto"/>
            <w:bottom w:val="none" w:sz="0" w:space="0" w:color="auto"/>
            <w:right w:val="none" w:sz="0" w:space="0" w:color="auto"/>
          </w:divBdr>
        </w:div>
        <w:div w:id="1432579244">
          <w:marLeft w:val="640"/>
          <w:marRight w:val="0"/>
          <w:marTop w:val="0"/>
          <w:marBottom w:val="0"/>
          <w:divBdr>
            <w:top w:val="none" w:sz="0" w:space="0" w:color="auto"/>
            <w:left w:val="none" w:sz="0" w:space="0" w:color="auto"/>
            <w:bottom w:val="none" w:sz="0" w:space="0" w:color="auto"/>
            <w:right w:val="none" w:sz="0" w:space="0" w:color="auto"/>
          </w:divBdr>
        </w:div>
        <w:div w:id="263392102">
          <w:marLeft w:val="640"/>
          <w:marRight w:val="0"/>
          <w:marTop w:val="0"/>
          <w:marBottom w:val="0"/>
          <w:divBdr>
            <w:top w:val="none" w:sz="0" w:space="0" w:color="auto"/>
            <w:left w:val="none" w:sz="0" w:space="0" w:color="auto"/>
            <w:bottom w:val="none" w:sz="0" w:space="0" w:color="auto"/>
            <w:right w:val="none" w:sz="0" w:space="0" w:color="auto"/>
          </w:divBdr>
        </w:div>
        <w:div w:id="682632698">
          <w:marLeft w:val="640"/>
          <w:marRight w:val="0"/>
          <w:marTop w:val="0"/>
          <w:marBottom w:val="0"/>
          <w:divBdr>
            <w:top w:val="none" w:sz="0" w:space="0" w:color="auto"/>
            <w:left w:val="none" w:sz="0" w:space="0" w:color="auto"/>
            <w:bottom w:val="none" w:sz="0" w:space="0" w:color="auto"/>
            <w:right w:val="none" w:sz="0" w:space="0" w:color="auto"/>
          </w:divBdr>
        </w:div>
        <w:div w:id="2098669501">
          <w:marLeft w:val="640"/>
          <w:marRight w:val="0"/>
          <w:marTop w:val="0"/>
          <w:marBottom w:val="0"/>
          <w:divBdr>
            <w:top w:val="none" w:sz="0" w:space="0" w:color="auto"/>
            <w:left w:val="none" w:sz="0" w:space="0" w:color="auto"/>
            <w:bottom w:val="none" w:sz="0" w:space="0" w:color="auto"/>
            <w:right w:val="none" w:sz="0" w:space="0" w:color="auto"/>
          </w:divBdr>
        </w:div>
        <w:div w:id="1639266325">
          <w:marLeft w:val="640"/>
          <w:marRight w:val="0"/>
          <w:marTop w:val="0"/>
          <w:marBottom w:val="0"/>
          <w:divBdr>
            <w:top w:val="none" w:sz="0" w:space="0" w:color="auto"/>
            <w:left w:val="none" w:sz="0" w:space="0" w:color="auto"/>
            <w:bottom w:val="none" w:sz="0" w:space="0" w:color="auto"/>
            <w:right w:val="none" w:sz="0" w:space="0" w:color="auto"/>
          </w:divBdr>
        </w:div>
        <w:div w:id="838891993">
          <w:marLeft w:val="640"/>
          <w:marRight w:val="0"/>
          <w:marTop w:val="0"/>
          <w:marBottom w:val="0"/>
          <w:divBdr>
            <w:top w:val="none" w:sz="0" w:space="0" w:color="auto"/>
            <w:left w:val="none" w:sz="0" w:space="0" w:color="auto"/>
            <w:bottom w:val="none" w:sz="0" w:space="0" w:color="auto"/>
            <w:right w:val="none" w:sz="0" w:space="0" w:color="auto"/>
          </w:divBdr>
        </w:div>
        <w:div w:id="1585140389">
          <w:marLeft w:val="640"/>
          <w:marRight w:val="0"/>
          <w:marTop w:val="0"/>
          <w:marBottom w:val="0"/>
          <w:divBdr>
            <w:top w:val="none" w:sz="0" w:space="0" w:color="auto"/>
            <w:left w:val="none" w:sz="0" w:space="0" w:color="auto"/>
            <w:bottom w:val="none" w:sz="0" w:space="0" w:color="auto"/>
            <w:right w:val="none" w:sz="0" w:space="0" w:color="auto"/>
          </w:divBdr>
        </w:div>
        <w:div w:id="1310939245">
          <w:marLeft w:val="640"/>
          <w:marRight w:val="0"/>
          <w:marTop w:val="0"/>
          <w:marBottom w:val="0"/>
          <w:divBdr>
            <w:top w:val="none" w:sz="0" w:space="0" w:color="auto"/>
            <w:left w:val="none" w:sz="0" w:space="0" w:color="auto"/>
            <w:bottom w:val="none" w:sz="0" w:space="0" w:color="auto"/>
            <w:right w:val="none" w:sz="0" w:space="0" w:color="auto"/>
          </w:divBdr>
        </w:div>
        <w:div w:id="382482808">
          <w:marLeft w:val="640"/>
          <w:marRight w:val="0"/>
          <w:marTop w:val="0"/>
          <w:marBottom w:val="0"/>
          <w:divBdr>
            <w:top w:val="none" w:sz="0" w:space="0" w:color="auto"/>
            <w:left w:val="none" w:sz="0" w:space="0" w:color="auto"/>
            <w:bottom w:val="none" w:sz="0" w:space="0" w:color="auto"/>
            <w:right w:val="none" w:sz="0" w:space="0" w:color="auto"/>
          </w:divBdr>
        </w:div>
        <w:div w:id="1220050472">
          <w:marLeft w:val="640"/>
          <w:marRight w:val="0"/>
          <w:marTop w:val="0"/>
          <w:marBottom w:val="0"/>
          <w:divBdr>
            <w:top w:val="none" w:sz="0" w:space="0" w:color="auto"/>
            <w:left w:val="none" w:sz="0" w:space="0" w:color="auto"/>
            <w:bottom w:val="none" w:sz="0" w:space="0" w:color="auto"/>
            <w:right w:val="none" w:sz="0" w:space="0" w:color="auto"/>
          </w:divBdr>
        </w:div>
        <w:div w:id="504170799">
          <w:marLeft w:val="640"/>
          <w:marRight w:val="0"/>
          <w:marTop w:val="0"/>
          <w:marBottom w:val="0"/>
          <w:divBdr>
            <w:top w:val="none" w:sz="0" w:space="0" w:color="auto"/>
            <w:left w:val="none" w:sz="0" w:space="0" w:color="auto"/>
            <w:bottom w:val="none" w:sz="0" w:space="0" w:color="auto"/>
            <w:right w:val="none" w:sz="0" w:space="0" w:color="auto"/>
          </w:divBdr>
        </w:div>
        <w:div w:id="1715618578">
          <w:marLeft w:val="640"/>
          <w:marRight w:val="0"/>
          <w:marTop w:val="0"/>
          <w:marBottom w:val="0"/>
          <w:divBdr>
            <w:top w:val="none" w:sz="0" w:space="0" w:color="auto"/>
            <w:left w:val="none" w:sz="0" w:space="0" w:color="auto"/>
            <w:bottom w:val="none" w:sz="0" w:space="0" w:color="auto"/>
            <w:right w:val="none" w:sz="0" w:space="0" w:color="auto"/>
          </w:divBdr>
        </w:div>
        <w:div w:id="250159373">
          <w:marLeft w:val="640"/>
          <w:marRight w:val="0"/>
          <w:marTop w:val="0"/>
          <w:marBottom w:val="0"/>
          <w:divBdr>
            <w:top w:val="none" w:sz="0" w:space="0" w:color="auto"/>
            <w:left w:val="none" w:sz="0" w:space="0" w:color="auto"/>
            <w:bottom w:val="none" w:sz="0" w:space="0" w:color="auto"/>
            <w:right w:val="none" w:sz="0" w:space="0" w:color="auto"/>
          </w:divBdr>
        </w:div>
        <w:div w:id="353306354">
          <w:marLeft w:val="640"/>
          <w:marRight w:val="0"/>
          <w:marTop w:val="0"/>
          <w:marBottom w:val="0"/>
          <w:divBdr>
            <w:top w:val="none" w:sz="0" w:space="0" w:color="auto"/>
            <w:left w:val="none" w:sz="0" w:space="0" w:color="auto"/>
            <w:bottom w:val="none" w:sz="0" w:space="0" w:color="auto"/>
            <w:right w:val="none" w:sz="0" w:space="0" w:color="auto"/>
          </w:divBdr>
        </w:div>
        <w:div w:id="2111389595">
          <w:marLeft w:val="640"/>
          <w:marRight w:val="0"/>
          <w:marTop w:val="0"/>
          <w:marBottom w:val="0"/>
          <w:divBdr>
            <w:top w:val="none" w:sz="0" w:space="0" w:color="auto"/>
            <w:left w:val="none" w:sz="0" w:space="0" w:color="auto"/>
            <w:bottom w:val="none" w:sz="0" w:space="0" w:color="auto"/>
            <w:right w:val="none" w:sz="0" w:space="0" w:color="auto"/>
          </w:divBdr>
        </w:div>
        <w:div w:id="143936306">
          <w:marLeft w:val="640"/>
          <w:marRight w:val="0"/>
          <w:marTop w:val="0"/>
          <w:marBottom w:val="0"/>
          <w:divBdr>
            <w:top w:val="none" w:sz="0" w:space="0" w:color="auto"/>
            <w:left w:val="none" w:sz="0" w:space="0" w:color="auto"/>
            <w:bottom w:val="none" w:sz="0" w:space="0" w:color="auto"/>
            <w:right w:val="none" w:sz="0" w:space="0" w:color="auto"/>
          </w:divBdr>
        </w:div>
        <w:div w:id="1811022610">
          <w:marLeft w:val="640"/>
          <w:marRight w:val="0"/>
          <w:marTop w:val="0"/>
          <w:marBottom w:val="0"/>
          <w:divBdr>
            <w:top w:val="none" w:sz="0" w:space="0" w:color="auto"/>
            <w:left w:val="none" w:sz="0" w:space="0" w:color="auto"/>
            <w:bottom w:val="none" w:sz="0" w:space="0" w:color="auto"/>
            <w:right w:val="none" w:sz="0" w:space="0" w:color="auto"/>
          </w:divBdr>
        </w:div>
        <w:div w:id="1693994524">
          <w:marLeft w:val="640"/>
          <w:marRight w:val="0"/>
          <w:marTop w:val="0"/>
          <w:marBottom w:val="0"/>
          <w:divBdr>
            <w:top w:val="none" w:sz="0" w:space="0" w:color="auto"/>
            <w:left w:val="none" w:sz="0" w:space="0" w:color="auto"/>
            <w:bottom w:val="none" w:sz="0" w:space="0" w:color="auto"/>
            <w:right w:val="none" w:sz="0" w:space="0" w:color="auto"/>
          </w:divBdr>
        </w:div>
        <w:div w:id="835608176">
          <w:marLeft w:val="640"/>
          <w:marRight w:val="0"/>
          <w:marTop w:val="0"/>
          <w:marBottom w:val="0"/>
          <w:divBdr>
            <w:top w:val="none" w:sz="0" w:space="0" w:color="auto"/>
            <w:left w:val="none" w:sz="0" w:space="0" w:color="auto"/>
            <w:bottom w:val="none" w:sz="0" w:space="0" w:color="auto"/>
            <w:right w:val="none" w:sz="0" w:space="0" w:color="auto"/>
          </w:divBdr>
        </w:div>
        <w:div w:id="1374887385">
          <w:marLeft w:val="640"/>
          <w:marRight w:val="0"/>
          <w:marTop w:val="0"/>
          <w:marBottom w:val="0"/>
          <w:divBdr>
            <w:top w:val="none" w:sz="0" w:space="0" w:color="auto"/>
            <w:left w:val="none" w:sz="0" w:space="0" w:color="auto"/>
            <w:bottom w:val="none" w:sz="0" w:space="0" w:color="auto"/>
            <w:right w:val="none" w:sz="0" w:space="0" w:color="auto"/>
          </w:divBdr>
        </w:div>
        <w:div w:id="591666960">
          <w:marLeft w:val="640"/>
          <w:marRight w:val="0"/>
          <w:marTop w:val="0"/>
          <w:marBottom w:val="0"/>
          <w:divBdr>
            <w:top w:val="none" w:sz="0" w:space="0" w:color="auto"/>
            <w:left w:val="none" w:sz="0" w:space="0" w:color="auto"/>
            <w:bottom w:val="none" w:sz="0" w:space="0" w:color="auto"/>
            <w:right w:val="none" w:sz="0" w:space="0" w:color="auto"/>
          </w:divBdr>
        </w:div>
        <w:div w:id="195120282">
          <w:marLeft w:val="640"/>
          <w:marRight w:val="0"/>
          <w:marTop w:val="0"/>
          <w:marBottom w:val="0"/>
          <w:divBdr>
            <w:top w:val="none" w:sz="0" w:space="0" w:color="auto"/>
            <w:left w:val="none" w:sz="0" w:space="0" w:color="auto"/>
            <w:bottom w:val="none" w:sz="0" w:space="0" w:color="auto"/>
            <w:right w:val="none" w:sz="0" w:space="0" w:color="auto"/>
          </w:divBdr>
        </w:div>
        <w:div w:id="1230771094">
          <w:marLeft w:val="640"/>
          <w:marRight w:val="0"/>
          <w:marTop w:val="0"/>
          <w:marBottom w:val="0"/>
          <w:divBdr>
            <w:top w:val="none" w:sz="0" w:space="0" w:color="auto"/>
            <w:left w:val="none" w:sz="0" w:space="0" w:color="auto"/>
            <w:bottom w:val="none" w:sz="0" w:space="0" w:color="auto"/>
            <w:right w:val="none" w:sz="0" w:space="0" w:color="auto"/>
          </w:divBdr>
        </w:div>
        <w:div w:id="461071280">
          <w:marLeft w:val="640"/>
          <w:marRight w:val="0"/>
          <w:marTop w:val="0"/>
          <w:marBottom w:val="0"/>
          <w:divBdr>
            <w:top w:val="none" w:sz="0" w:space="0" w:color="auto"/>
            <w:left w:val="none" w:sz="0" w:space="0" w:color="auto"/>
            <w:bottom w:val="none" w:sz="0" w:space="0" w:color="auto"/>
            <w:right w:val="none" w:sz="0" w:space="0" w:color="auto"/>
          </w:divBdr>
        </w:div>
        <w:div w:id="888414121">
          <w:marLeft w:val="640"/>
          <w:marRight w:val="0"/>
          <w:marTop w:val="0"/>
          <w:marBottom w:val="0"/>
          <w:divBdr>
            <w:top w:val="none" w:sz="0" w:space="0" w:color="auto"/>
            <w:left w:val="none" w:sz="0" w:space="0" w:color="auto"/>
            <w:bottom w:val="none" w:sz="0" w:space="0" w:color="auto"/>
            <w:right w:val="none" w:sz="0" w:space="0" w:color="auto"/>
          </w:divBdr>
        </w:div>
        <w:div w:id="1980263760">
          <w:marLeft w:val="640"/>
          <w:marRight w:val="0"/>
          <w:marTop w:val="0"/>
          <w:marBottom w:val="0"/>
          <w:divBdr>
            <w:top w:val="none" w:sz="0" w:space="0" w:color="auto"/>
            <w:left w:val="none" w:sz="0" w:space="0" w:color="auto"/>
            <w:bottom w:val="none" w:sz="0" w:space="0" w:color="auto"/>
            <w:right w:val="none" w:sz="0" w:space="0" w:color="auto"/>
          </w:divBdr>
        </w:div>
        <w:div w:id="348870775">
          <w:marLeft w:val="640"/>
          <w:marRight w:val="0"/>
          <w:marTop w:val="0"/>
          <w:marBottom w:val="0"/>
          <w:divBdr>
            <w:top w:val="none" w:sz="0" w:space="0" w:color="auto"/>
            <w:left w:val="none" w:sz="0" w:space="0" w:color="auto"/>
            <w:bottom w:val="none" w:sz="0" w:space="0" w:color="auto"/>
            <w:right w:val="none" w:sz="0" w:space="0" w:color="auto"/>
          </w:divBdr>
        </w:div>
        <w:div w:id="2068798064">
          <w:marLeft w:val="640"/>
          <w:marRight w:val="0"/>
          <w:marTop w:val="0"/>
          <w:marBottom w:val="0"/>
          <w:divBdr>
            <w:top w:val="none" w:sz="0" w:space="0" w:color="auto"/>
            <w:left w:val="none" w:sz="0" w:space="0" w:color="auto"/>
            <w:bottom w:val="none" w:sz="0" w:space="0" w:color="auto"/>
            <w:right w:val="none" w:sz="0" w:space="0" w:color="auto"/>
          </w:divBdr>
        </w:div>
        <w:div w:id="1718505916">
          <w:marLeft w:val="640"/>
          <w:marRight w:val="0"/>
          <w:marTop w:val="0"/>
          <w:marBottom w:val="0"/>
          <w:divBdr>
            <w:top w:val="none" w:sz="0" w:space="0" w:color="auto"/>
            <w:left w:val="none" w:sz="0" w:space="0" w:color="auto"/>
            <w:bottom w:val="none" w:sz="0" w:space="0" w:color="auto"/>
            <w:right w:val="none" w:sz="0" w:space="0" w:color="auto"/>
          </w:divBdr>
        </w:div>
        <w:div w:id="627204942">
          <w:marLeft w:val="640"/>
          <w:marRight w:val="0"/>
          <w:marTop w:val="0"/>
          <w:marBottom w:val="0"/>
          <w:divBdr>
            <w:top w:val="none" w:sz="0" w:space="0" w:color="auto"/>
            <w:left w:val="none" w:sz="0" w:space="0" w:color="auto"/>
            <w:bottom w:val="none" w:sz="0" w:space="0" w:color="auto"/>
            <w:right w:val="none" w:sz="0" w:space="0" w:color="auto"/>
          </w:divBdr>
        </w:div>
        <w:div w:id="1018434051">
          <w:marLeft w:val="640"/>
          <w:marRight w:val="0"/>
          <w:marTop w:val="0"/>
          <w:marBottom w:val="0"/>
          <w:divBdr>
            <w:top w:val="none" w:sz="0" w:space="0" w:color="auto"/>
            <w:left w:val="none" w:sz="0" w:space="0" w:color="auto"/>
            <w:bottom w:val="none" w:sz="0" w:space="0" w:color="auto"/>
            <w:right w:val="none" w:sz="0" w:space="0" w:color="auto"/>
          </w:divBdr>
        </w:div>
        <w:div w:id="451903377">
          <w:marLeft w:val="640"/>
          <w:marRight w:val="0"/>
          <w:marTop w:val="0"/>
          <w:marBottom w:val="0"/>
          <w:divBdr>
            <w:top w:val="none" w:sz="0" w:space="0" w:color="auto"/>
            <w:left w:val="none" w:sz="0" w:space="0" w:color="auto"/>
            <w:bottom w:val="none" w:sz="0" w:space="0" w:color="auto"/>
            <w:right w:val="none" w:sz="0" w:space="0" w:color="auto"/>
          </w:divBdr>
        </w:div>
        <w:div w:id="1637222199">
          <w:marLeft w:val="640"/>
          <w:marRight w:val="0"/>
          <w:marTop w:val="0"/>
          <w:marBottom w:val="0"/>
          <w:divBdr>
            <w:top w:val="none" w:sz="0" w:space="0" w:color="auto"/>
            <w:left w:val="none" w:sz="0" w:space="0" w:color="auto"/>
            <w:bottom w:val="none" w:sz="0" w:space="0" w:color="auto"/>
            <w:right w:val="none" w:sz="0" w:space="0" w:color="auto"/>
          </w:divBdr>
        </w:div>
        <w:div w:id="196284616">
          <w:marLeft w:val="640"/>
          <w:marRight w:val="0"/>
          <w:marTop w:val="0"/>
          <w:marBottom w:val="0"/>
          <w:divBdr>
            <w:top w:val="none" w:sz="0" w:space="0" w:color="auto"/>
            <w:left w:val="none" w:sz="0" w:space="0" w:color="auto"/>
            <w:bottom w:val="none" w:sz="0" w:space="0" w:color="auto"/>
            <w:right w:val="none" w:sz="0" w:space="0" w:color="auto"/>
          </w:divBdr>
        </w:div>
        <w:div w:id="643587185">
          <w:marLeft w:val="640"/>
          <w:marRight w:val="0"/>
          <w:marTop w:val="0"/>
          <w:marBottom w:val="0"/>
          <w:divBdr>
            <w:top w:val="none" w:sz="0" w:space="0" w:color="auto"/>
            <w:left w:val="none" w:sz="0" w:space="0" w:color="auto"/>
            <w:bottom w:val="none" w:sz="0" w:space="0" w:color="auto"/>
            <w:right w:val="none" w:sz="0" w:space="0" w:color="auto"/>
          </w:divBdr>
        </w:div>
        <w:div w:id="956763892">
          <w:marLeft w:val="640"/>
          <w:marRight w:val="0"/>
          <w:marTop w:val="0"/>
          <w:marBottom w:val="0"/>
          <w:divBdr>
            <w:top w:val="none" w:sz="0" w:space="0" w:color="auto"/>
            <w:left w:val="none" w:sz="0" w:space="0" w:color="auto"/>
            <w:bottom w:val="none" w:sz="0" w:space="0" w:color="auto"/>
            <w:right w:val="none" w:sz="0" w:space="0" w:color="auto"/>
          </w:divBdr>
        </w:div>
        <w:div w:id="1522360441">
          <w:marLeft w:val="640"/>
          <w:marRight w:val="0"/>
          <w:marTop w:val="0"/>
          <w:marBottom w:val="0"/>
          <w:divBdr>
            <w:top w:val="none" w:sz="0" w:space="0" w:color="auto"/>
            <w:left w:val="none" w:sz="0" w:space="0" w:color="auto"/>
            <w:bottom w:val="none" w:sz="0" w:space="0" w:color="auto"/>
            <w:right w:val="none" w:sz="0" w:space="0" w:color="auto"/>
          </w:divBdr>
        </w:div>
        <w:div w:id="1108967139">
          <w:marLeft w:val="640"/>
          <w:marRight w:val="0"/>
          <w:marTop w:val="0"/>
          <w:marBottom w:val="0"/>
          <w:divBdr>
            <w:top w:val="none" w:sz="0" w:space="0" w:color="auto"/>
            <w:left w:val="none" w:sz="0" w:space="0" w:color="auto"/>
            <w:bottom w:val="none" w:sz="0" w:space="0" w:color="auto"/>
            <w:right w:val="none" w:sz="0" w:space="0" w:color="auto"/>
          </w:divBdr>
        </w:div>
        <w:div w:id="1888486270">
          <w:marLeft w:val="640"/>
          <w:marRight w:val="0"/>
          <w:marTop w:val="0"/>
          <w:marBottom w:val="0"/>
          <w:divBdr>
            <w:top w:val="none" w:sz="0" w:space="0" w:color="auto"/>
            <w:left w:val="none" w:sz="0" w:space="0" w:color="auto"/>
            <w:bottom w:val="none" w:sz="0" w:space="0" w:color="auto"/>
            <w:right w:val="none" w:sz="0" w:space="0" w:color="auto"/>
          </w:divBdr>
        </w:div>
        <w:div w:id="1552813759">
          <w:marLeft w:val="640"/>
          <w:marRight w:val="0"/>
          <w:marTop w:val="0"/>
          <w:marBottom w:val="0"/>
          <w:divBdr>
            <w:top w:val="none" w:sz="0" w:space="0" w:color="auto"/>
            <w:left w:val="none" w:sz="0" w:space="0" w:color="auto"/>
            <w:bottom w:val="none" w:sz="0" w:space="0" w:color="auto"/>
            <w:right w:val="none" w:sz="0" w:space="0" w:color="auto"/>
          </w:divBdr>
        </w:div>
        <w:div w:id="1364358248">
          <w:marLeft w:val="640"/>
          <w:marRight w:val="0"/>
          <w:marTop w:val="0"/>
          <w:marBottom w:val="0"/>
          <w:divBdr>
            <w:top w:val="none" w:sz="0" w:space="0" w:color="auto"/>
            <w:left w:val="none" w:sz="0" w:space="0" w:color="auto"/>
            <w:bottom w:val="none" w:sz="0" w:space="0" w:color="auto"/>
            <w:right w:val="none" w:sz="0" w:space="0" w:color="auto"/>
          </w:divBdr>
        </w:div>
        <w:div w:id="924265549">
          <w:marLeft w:val="640"/>
          <w:marRight w:val="0"/>
          <w:marTop w:val="0"/>
          <w:marBottom w:val="0"/>
          <w:divBdr>
            <w:top w:val="none" w:sz="0" w:space="0" w:color="auto"/>
            <w:left w:val="none" w:sz="0" w:space="0" w:color="auto"/>
            <w:bottom w:val="none" w:sz="0" w:space="0" w:color="auto"/>
            <w:right w:val="none" w:sz="0" w:space="0" w:color="auto"/>
          </w:divBdr>
        </w:div>
        <w:div w:id="53700085">
          <w:marLeft w:val="640"/>
          <w:marRight w:val="0"/>
          <w:marTop w:val="0"/>
          <w:marBottom w:val="0"/>
          <w:divBdr>
            <w:top w:val="none" w:sz="0" w:space="0" w:color="auto"/>
            <w:left w:val="none" w:sz="0" w:space="0" w:color="auto"/>
            <w:bottom w:val="none" w:sz="0" w:space="0" w:color="auto"/>
            <w:right w:val="none" w:sz="0" w:space="0" w:color="auto"/>
          </w:divBdr>
        </w:div>
        <w:div w:id="267784742">
          <w:marLeft w:val="640"/>
          <w:marRight w:val="0"/>
          <w:marTop w:val="0"/>
          <w:marBottom w:val="0"/>
          <w:divBdr>
            <w:top w:val="none" w:sz="0" w:space="0" w:color="auto"/>
            <w:left w:val="none" w:sz="0" w:space="0" w:color="auto"/>
            <w:bottom w:val="none" w:sz="0" w:space="0" w:color="auto"/>
            <w:right w:val="none" w:sz="0" w:space="0" w:color="auto"/>
          </w:divBdr>
        </w:div>
        <w:div w:id="927275116">
          <w:marLeft w:val="640"/>
          <w:marRight w:val="0"/>
          <w:marTop w:val="0"/>
          <w:marBottom w:val="0"/>
          <w:divBdr>
            <w:top w:val="none" w:sz="0" w:space="0" w:color="auto"/>
            <w:left w:val="none" w:sz="0" w:space="0" w:color="auto"/>
            <w:bottom w:val="none" w:sz="0" w:space="0" w:color="auto"/>
            <w:right w:val="none" w:sz="0" w:space="0" w:color="auto"/>
          </w:divBdr>
        </w:div>
        <w:div w:id="845821842">
          <w:marLeft w:val="640"/>
          <w:marRight w:val="0"/>
          <w:marTop w:val="0"/>
          <w:marBottom w:val="0"/>
          <w:divBdr>
            <w:top w:val="none" w:sz="0" w:space="0" w:color="auto"/>
            <w:left w:val="none" w:sz="0" w:space="0" w:color="auto"/>
            <w:bottom w:val="none" w:sz="0" w:space="0" w:color="auto"/>
            <w:right w:val="none" w:sz="0" w:space="0" w:color="auto"/>
          </w:divBdr>
        </w:div>
        <w:div w:id="556164635">
          <w:marLeft w:val="640"/>
          <w:marRight w:val="0"/>
          <w:marTop w:val="0"/>
          <w:marBottom w:val="0"/>
          <w:divBdr>
            <w:top w:val="none" w:sz="0" w:space="0" w:color="auto"/>
            <w:left w:val="none" w:sz="0" w:space="0" w:color="auto"/>
            <w:bottom w:val="none" w:sz="0" w:space="0" w:color="auto"/>
            <w:right w:val="none" w:sz="0" w:space="0" w:color="auto"/>
          </w:divBdr>
        </w:div>
        <w:div w:id="1446267533">
          <w:marLeft w:val="640"/>
          <w:marRight w:val="0"/>
          <w:marTop w:val="0"/>
          <w:marBottom w:val="0"/>
          <w:divBdr>
            <w:top w:val="none" w:sz="0" w:space="0" w:color="auto"/>
            <w:left w:val="none" w:sz="0" w:space="0" w:color="auto"/>
            <w:bottom w:val="none" w:sz="0" w:space="0" w:color="auto"/>
            <w:right w:val="none" w:sz="0" w:space="0" w:color="auto"/>
          </w:divBdr>
        </w:div>
        <w:div w:id="901136491">
          <w:marLeft w:val="640"/>
          <w:marRight w:val="0"/>
          <w:marTop w:val="0"/>
          <w:marBottom w:val="0"/>
          <w:divBdr>
            <w:top w:val="none" w:sz="0" w:space="0" w:color="auto"/>
            <w:left w:val="none" w:sz="0" w:space="0" w:color="auto"/>
            <w:bottom w:val="none" w:sz="0" w:space="0" w:color="auto"/>
            <w:right w:val="none" w:sz="0" w:space="0" w:color="auto"/>
          </w:divBdr>
        </w:div>
        <w:div w:id="1954901811">
          <w:marLeft w:val="640"/>
          <w:marRight w:val="0"/>
          <w:marTop w:val="0"/>
          <w:marBottom w:val="0"/>
          <w:divBdr>
            <w:top w:val="none" w:sz="0" w:space="0" w:color="auto"/>
            <w:left w:val="none" w:sz="0" w:space="0" w:color="auto"/>
            <w:bottom w:val="none" w:sz="0" w:space="0" w:color="auto"/>
            <w:right w:val="none" w:sz="0" w:space="0" w:color="auto"/>
          </w:divBdr>
        </w:div>
        <w:div w:id="796414528">
          <w:marLeft w:val="640"/>
          <w:marRight w:val="0"/>
          <w:marTop w:val="0"/>
          <w:marBottom w:val="0"/>
          <w:divBdr>
            <w:top w:val="none" w:sz="0" w:space="0" w:color="auto"/>
            <w:left w:val="none" w:sz="0" w:space="0" w:color="auto"/>
            <w:bottom w:val="none" w:sz="0" w:space="0" w:color="auto"/>
            <w:right w:val="none" w:sz="0" w:space="0" w:color="auto"/>
          </w:divBdr>
        </w:div>
        <w:div w:id="1803305470">
          <w:marLeft w:val="640"/>
          <w:marRight w:val="0"/>
          <w:marTop w:val="0"/>
          <w:marBottom w:val="0"/>
          <w:divBdr>
            <w:top w:val="none" w:sz="0" w:space="0" w:color="auto"/>
            <w:left w:val="none" w:sz="0" w:space="0" w:color="auto"/>
            <w:bottom w:val="none" w:sz="0" w:space="0" w:color="auto"/>
            <w:right w:val="none" w:sz="0" w:space="0" w:color="auto"/>
          </w:divBdr>
        </w:div>
        <w:div w:id="1082918450">
          <w:marLeft w:val="640"/>
          <w:marRight w:val="0"/>
          <w:marTop w:val="0"/>
          <w:marBottom w:val="0"/>
          <w:divBdr>
            <w:top w:val="none" w:sz="0" w:space="0" w:color="auto"/>
            <w:left w:val="none" w:sz="0" w:space="0" w:color="auto"/>
            <w:bottom w:val="none" w:sz="0" w:space="0" w:color="auto"/>
            <w:right w:val="none" w:sz="0" w:space="0" w:color="auto"/>
          </w:divBdr>
        </w:div>
        <w:div w:id="684136111">
          <w:marLeft w:val="640"/>
          <w:marRight w:val="0"/>
          <w:marTop w:val="0"/>
          <w:marBottom w:val="0"/>
          <w:divBdr>
            <w:top w:val="none" w:sz="0" w:space="0" w:color="auto"/>
            <w:left w:val="none" w:sz="0" w:space="0" w:color="auto"/>
            <w:bottom w:val="none" w:sz="0" w:space="0" w:color="auto"/>
            <w:right w:val="none" w:sz="0" w:space="0" w:color="auto"/>
          </w:divBdr>
        </w:div>
        <w:div w:id="176577506">
          <w:marLeft w:val="640"/>
          <w:marRight w:val="0"/>
          <w:marTop w:val="0"/>
          <w:marBottom w:val="0"/>
          <w:divBdr>
            <w:top w:val="none" w:sz="0" w:space="0" w:color="auto"/>
            <w:left w:val="none" w:sz="0" w:space="0" w:color="auto"/>
            <w:bottom w:val="none" w:sz="0" w:space="0" w:color="auto"/>
            <w:right w:val="none" w:sz="0" w:space="0" w:color="auto"/>
          </w:divBdr>
        </w:div>
        <w:div w:id="315181553">
          <w:marLeft w:val="640"/>
          <w:marRight w:val="0"/>
          <w:marTop w:val="0"/>
          <w:marBottom w:val="0"/>
          <w:divBdr>
            <w:top w:val="none" w:sz="0" w:space="0" w:color="auto"/>
            <w:left w:val="none" w:sz="0" w:space="0" w:color="auto"/>
            <w:bottom w:val="none" w:sz="0" w:space="0" w:color="auto"/>
            <w:right w:val="none" w:sz="0" w:space="0" w:color="auto"/>
          </w:divBdr>
        </w:div>
        <w:div w:id="1758408034">
          <w:marLeft w:val="640"/>
          <w:marRight w:val="0"/>
          <w:marTop w:val="0"/>
          <w:marBottom w:val="0"/>
          <w:divBdr>
            <w:top w:val="none" w:sz="0" w:space="0" w:color="auto"/>
            <w:left w:val="none" w:sz="0" w:space="0" w:color="auto"/>
            <w:bottom w:val="none" w:sz="0" w:space="0" w:color="auto"/>
            <w:right w:val="none" w:sz="0" w:space="0" w:color="auto"/>
          </w:divBdr>
        </w:div>
        <w:div w:id="1091581089">
          <w:marLeft w:val="640"/>
          <w:marRight w:val="0"/>
          <w:marTop w:val="0"/>
          <w:marBottom w:val="0"/>
          <w:divBdr>
            <w:top w:val="none" w:sz="0" w:space="0" w:color="auto"/>
            <w:left w:val="none" w:sz="0" w:space="0" w:color="auto"/>
            <w:bottom w:val="none" w:sz="0" w:space="0" w:color="auto"/>
            <w:right w:val="none" w:sz="0" w:space="0" w:color="auto"/>
          </w:divBdr>
        </w:div>
        <w:div w:id="1427800017">
          <w:marLeft w:val="640"/>
          <w:marRight w:val="0"/>
          <w:marTop w:val="0"/>
          <w:marBottom w:val="0"/>
          <w:divBdr>
            <w:top w:val="none" w:sz="0" w:space="0" w:color="auto"/>
            <w:left w:val="none" w:sz="0" w:space="0" w:color="auto"/>
            <w:bottom w:val="none" w:sz="0" w:space="0" w:color="auto"/>
            <w:right w:val="none" w:sz="0" w:space="0" w:color="auto"/>
          </w:divBdr>
        </w:div>
        <w:div w:id="873923109">
          <w:marLeft w:val="640"/>
          <w:marRight w:val="0"/>
          <w:marTop w:val="0"/>
          <w:marBottom w:val="0"/>
          <w:divBdr>
            <w:top w:val="none" w:sz="0" w:space="0" w:color="auto"/>
            <w:left w:val="none" w:sz="0" w:space="0" w:color="auto"/>
            <w:bottom w:val="none" w:sz="0" w:space="0" w:color="auto"/>
            <w:right w:val="none" w:sz="0" w:space="0" w:color="auto"/>
          </w:divBdr>
        </w:div>
        <w:div w:id="1567455456">
          <w:marLeft w:val="640"/>
          <w:marRight w:val="0"/>
          <w:marTop w:val="0"/>
          <w:marBottom w:val="0"/>
          <w:divBdr>
            <w:top w:val="none" w:sz="0" w:space="0" w:color="auto"/>
            <w:left w:val="none" w:sz="0" w:space="0" w:color="auto"/>
            <w:bottom w:val="none" w:sz="0" w:space="0" w:color="auto"/>
            <w:right w:val="none" w:sz="0" w:space="0" w:color="auto"/>
          </w:divBdr>
        </w:div>
        <w:div w:id="401097856">
          <w:marLeft w:val="640"/>
          <w:marRight w:val="0"/>
          <w:marTop w:val="0"/>
          <w:marBottom w:val="0"/>
          <w:divBdr>
            <w:top w:val="none" w:sz="0" w:space="0" w:color="auto"/>
            <w:left w:val="none" w:sz="0" w:space="0" w:color="auto"/>
            <w:bottom w:val="none" w:sz="0" w:space="0" w:color="auto"/>
            <w:right w:val="none" w:sz="0" w:space="0" w:color="auto"/>
          </w:divBdr>
        </w:div>
        <w:div w:id="1979456874">
          <w:marLeft w:val="640"/>
          <w:marRight w:val="0"/>
          <w:marTop w:val="0"/>
          <w:marBottom w:val="0"/>
          <w:divBdr>
            <w:top w:val="none" w:sz="0" w:space="0" w:color="auto"/>
            <w:left w:val="none" w:sz="0" w:space="0" w:color="auto"/>
            <w:bottom w:val="none" w:sz="0" w:space="0" w:color="auto"/>
            <w:right w:val="none" w:sz="0" w:space="0" w:color="auto"/>
          </w:divBdr>
        </w:div>
        <w:div w:id="1206522575">
          <w:marLeft w:val="640"/>
          <w:marRight w:val="0"/>
          <w:marTop w:val="0"/>
          <w:marBottom w:val="0"/>
          <w:divBdr>
            <w:top w:val="none" w:sz="0" w:space="0" w:color="auto"/>
            <w:left w:val="none" w:sz="0" w:space="0" w:color="auto"/>
            <w:bottom w:val="none" w:sz="0" w:space="0" w:color="auto"/>
            <w:right w:val="none" w:sz="0" w:space="0" w:color="auto"/>
          </w:divBdr>
        </w:div>
        <w:div w:id="1381203409">
          <w:marLeft w:val="640"/>
          <w:marRight w:val="0"/>
          <w:marTop w:val="0"/>
          <w:marBottom w:val="0"/>
          <w:divBdr>
            <w:top w:val="none" w:sz="0" w:space="0" w:color="auto"/>
            <w:left w:val="none" w:sz="0" w:space="0" w:color="auto"/>
            <w:bottom w:val="none" w:sz="0" w:space="0" w:color="auto"/>
            <w:right w:val="none" w:sz="0" w:space="0" w:color="auto"/>
          </w:divBdr>
        </w:div>
        <w:div w:id="1945186555">
          <w:marLeft w:val="640"/>
          <w:marRight w:val="0"/>
          <w:marTop w:val="0"/>
          <w:marBottom w:val="0"/>
          <w:divBdr>
            <w:top w:val="none" w:sz="0" w:space="0" w:color="auto"/>
            <w:left w:val="none" w:sz="0" w:space="0" w:color="auto"/>
            <w:bottom w:val="none" w:sz="0" w:space="0" w:color="auto"/>
            <w:right w:val="none" w:sz="0" w:space="0" w:color="auto"/>
          </w:divBdr>
        </w:div>
        <w:div w:id="586962309">
          <w:marLeft w:val="640"/>
          <w:marRight w:val="0"/>
          <w:marTop w:val="0"/>
          <w:marBottom w:val="0"/>
          <w:divBdr>
            <w:top w:val="none" w:sz="0" w:space="0" w:color="auto"/>
            <w:left w:val="none" w:sz="0" w:space="0" w:color="auto"/>
            <w:bottom w:val="none" w:sz="0" w:space="0" w:color="auto"/>
            <w:right w:val="none" w:sz="0" w:space="0" w:color="auto"/>
          </w:divBdr>
        </w:div>
        <w:div w:id="1146124217">
          <w:marLeft w:val="640"/>
          <w:marRight w:val="0"/>
          <w:marTop w:val="0"/>
          <w:marBottom w:val="0"/>
          <w:divBdr>
            <w:top w:val="none" w:sz="0" w:space="0" w:color="auto"/>
            <w:left w:val="none" w:sz="0" w:space="0" w:color="auto"/>
            <w:bottom w:val="none" w:sz="0" w:space="0" w:color="auto"/>
            <w:right w:val="none" w:sz="0" w:space="0" w:color="auto"/>
          </w:divBdr>
        </w:div>
        <w:div w:id="191307907">
          <w:marLeft w:val="640"/>
          <w:marRight w:val="0"/>
          <w:marTop w:val="0"/>
          <w:marBottom w:val="0"/>
          <w:divBdr>
            <w:top w:val="none" w:sz="0" w:space="0" w:color="auto"/>
            <w:left w:val="none" w:sz="0" w:space="0" w:color="auto"/>
            <w:bottom w:val="none" w:sz="0" w:space="0" w:color="auto"/>
            <w:right w:val="none" w:sz="0" w:space="0" w:color="auto"/>
          </w:divBdr>
        </w:div>
        <w:div w:id="1251158556">
          <w:marLeft w:val="640"/>
          <w:marRight w:val="0"/>
          <w:marTop w:val="0"/>
          <w:marBottom w:val="0"/>
          <w:divBdr>
            <w:top w:val="none" w:sz="0" w:space="0" w:color="auto"/>
            <w:left w:val="none" w:sz="0" w:space="0" w:color="auto"/>
            <w:bottom w:val="none" w:sz="0" w:space="0" w:color="auto"/>
            <w:right w:val="none" w:sz="0" w:space="0" w:color="auto"/>
          </w:divBdr>
        </w:div>
        <w:div w:id="1535267664">
          <w:marLeft w:val="640"/>
          <w:marRight w:val="0"/>
          <w:marTop w:val="0"/>
          <w:marBottom w:val="0"/>
          <w:divBdr>
            <w:top w:val="none" w:sz="0" w:space="0" w:color="auto"/>
            <w:left w:val="none" w:sz="0" w:space="0" w:color="auto"/>
            <w:bottom w:val="none" w:sz="0" w:space="0" w:color="auto"/>
            <w:right w:val="none" w:sz="0" w:space="0" w:color="auto"/>
          </w:divBdr>
        </w:div>
        <w:div w:id="1496915369">
          <w:marLeft w:val="640"/>
          <w:marRight w:val="0"/>
          <w:marTop w:val="0"/>
          <w:marBottom w:val="0"/>
          <w:divBdr>
            <w:top w:val="none" w:sz="0" w:space="0" w:color="auto"/>
            <w:left w:val="none" w:sz="0" w:space="0" w:color="auto"/>
            <w:bottom w:val="none" w:sz="0" w:space="0" w:color="auto"/>
            <w:right w:val="none" w:sz="0" w:space="0" w:color="auto"/>
          </w:divBdr>
        </w:div>
        <w:div w:id="1649432767">
          <w:marLeft w:val="640"/>
          <w:marRight w:val="0"/>
          <w:marTop w:val="0"/>
          <w:marBottom w:val="0"/>
          <w:divBdr>
            <w:top w:val="none" w:sz="0" w:space="0" w:color="auto"/>
            <w:left w:val="none" w:sz="0" w:space="0" w:color="auto"/>
            <w:bottom w:val="none" w:sz="0" w:space="0" w:color="auto"/>
            <w:right w:val="none" w:sz="0" w:space="0" w:color="auto"/>
          </w:divBdr>
        </w:div>
        <w:div w:id="1049915274">
          <w:marLeft w:val="640"/>
          <w:marRight w:val="0"/>
          <w:marTop w:val="0"/>
          <w:marBottom w:val="0"/>
          <w:divBdr>
            <w:top w:val="none" w:sz="0" w:space="0" w:color="auto"/>
            <w:left w:val="none" w:sz="0" w:space="0" w:color="auto"/>
            <w:bottom w:val="none" w:sz="0" w:space="0" w:color="auto"/>
            <w:right w:val="none" w:sz="0" w:space="0" w:color="auto"/>
          </w:divBdr>
        </w:div>
        <w:div w:id="1737437965">
          <w:marLeft w:val="640"/>
          <w:marRight w:val="0"/>
          <w:marTop w:val="0"/>
          <w:marBottom w:val="0"/>
          <w:divBdr>
            <w:top w:val="none" w:sz="0" w:space="0" w:color="auto"/>
            <w:left w:val="none" w:sz="0" w:space="0" w:color="auto"/>
            <w:bottom w:val="none" w:sz="0" w:space="0" w:color="auto"/>
            <w:right w:val="none" w:sz="0" w:space="0" w:color="auto"/>
          </w:divBdr>
        </w:div>
      </w:divsChild>
    </w:div>
    <w:div w:id="1466660349">
      <w:bodyDiv w:val="1"/>
      <w:marLeft w:val="0"/>
      <w:marRight w:val="0"/>
      <w:marTop w:val="0"/>
      <w:marBottom w:val="0"/>
      <w:divBdr>
        <w:top w:val="none" w:sz="0" w:space="0" w:color="auto"/>
        <w:left w:val="none" w:sz="0" w:space="0" w:color="auto"/>
        <w:bottom w:val="none" w:sz="0" w:space="0" w:color="auto"/>
        <w:right w:val="none" w:sz="0" w:space="0" w:color="auto"/>
      </w:divBdr>
      <w:divsChild>
        <w:div w:id="1896743659">
          <w:marLeft w:val="640"/>
          <w:marRight w:val="0"/>
          <w:marTop w:val="0"/>
          <w:marBottom w:val="0"/>
          <w:divBdr>
            <w:top w:val="none" w:sz="0" w:space="0" w:color="auto"/>
            <w:left w:val="none" w:sz="0" w:space="0" w:color="auto"/>
            <w:bottom w:val="none" w:sz="0" w:space="0" w:color="auto"/>
            <w:right w:val="none" w:sz="0" w:space="0" w:color="auto"/>
          </w:divBdr>
        </w:div>
        <w:div w:id="2013608136">
          <w:marLeft w:val="640"/>
          <w:marRight w:val="0"/>
          <w:marTop w:val="0"/>
          <w:marBottom w:val="0"/>
          <w:divBdr>
            <w:top w:val="none" w:sz="0" w:space="0" w:color="auto"/>
            <w:left w:val="none" w:sz="0" w:space="0" w:color="auto"/>
            <w:bottom w:val="none" w:sz="0" w:space="0" w:color="auto"/>
            <w:right w:val="none" w:sz="0" w:space="0" w:color="auto"/>
          </w:divBdr>
        </w:div>
        <w:div w:id="1820419878">
          <w:marLeft w:val="640"/>
          <w:marRight w:val="0"/>
          <w:marTop w:val="0"/>
          <w:marBottom w:val="0"/>
          <w:divBdr>
            <w:top w:val="none" w:sz="0" w:space="0" w:color="auto"/>
            <w:left w:val="none" w:sz="0" w:space="0" w:color="auto"/>
            <w:bottom w:val="none" w:sz="0" w:space="0" w:color="auto"/>
            <w:right w:val="none" w:sz="0" w:space="0" w:color="auto"/>
          </w:divBdr>
        </w:div>
        <w:div w:id="727918480">
          <w:marLeft w:val="640"/>
          <w:marRight w:val="0"/>
          <w:marTop w:val="0"/>
          <w:marBottom w:val="0"/>
          <w:divBdr>
            <w:top w:val="none" w:sz="0" w:space="0" w:color="auto"/>
            <w:left w:val="none" w:sz="0" w:space="0" w:color="auto"/>
            <w:bottom w:val="none" w:sz="0" w:space="0" w:color="auto"/>
            <w:right w:val="none" w:sz="0" w:space="0" w:color="auto"/>
          </w:divBdr>
        </w:div>
        <w:div w:id="955868970">
          <w:marLeft w:val="640"/>
          <w:marRight w:val="0"/>
          <w:marTop w:val="0"/>
          <w:marBottom w:val="0"/>
          <w:divBdr>
            <w:top w:val="none" w:sz="0" w:space="0" w:color="auto"/>
            <w:left w:val="none" w:sz="0" w:space="0" w:color="auto"/>
            <w:bottom w:val="none" w:sz="0" w:space="0" w:color="auto"/>
            <w:right w:val="none" w:sz="0" w:space="0" w:color="auto"/>
          </w:divBdr>
        </w:div>
        <w:div w:id="1864241063">
          <w:marLeft w:val="640"/>
          <w:marRight w:val="0"/>
          <w:marTop w:val="0"/>
          <w:marBottom w:val="0"/>
          <w:divBdr>
            <w:top w:val="none" w:sz="0" w:space="0" w:color="auto"/>
            <w:left w:val="none" w:sz="0" w:space="0" w:color="auto"/>
            <w:bottom w:val="none" w:sz="0" w:space="0" w:color="auto"/>
            <w:right w:val="none" w:sz="0" w:space="0" w:color="auto"/>
          </w:divBdr>
        </w:div>
        <w:div w:id="71633161">
          <w:marLeft w:val="640"/>
          <w:marRight w:val="0"/>
          <w:marTop w:val="0"/>
          <w:marBottom w:val="0"/>
          <w:divBdr>
            <w:top w:val="none" w:sz="0" w:space="0" w:color="auto"/>
            <w:left w:val="none" w:sz="0" w:space="0" w:color="auto"/>
            <w:bottom w:val="none" w:sz="0" w:space="0" w:color="auto"/>
            <w:right w:val="none" w:sz="0" w:space="0" w:color="auto"/>
          </w:divBdr>
        </w:div>
        <w:div w:id="945429189">
          <w:marLeft w:val="640"/>
          <w:marRight w:val="0"/>
          <w:marTop w:val="0"/>
          <w:marBottom w:val="0"/>
          <w:divBdr>
            <w:top w:val="none" w:sz="0" w:space="0" w:color="auto"/>
            <w:left w:val="none" w:sz="0" w:space="0" w:color="auto"/>
            <w:bottom w:val="none" w:sz="0" w:space="0" w:color="auto"/>
            <w:right w:val="none" w:sz="0" w:space="0" w:color="auto"/>
          </w:divBdr>
        </w:div>
        <w:div w:id="1833595085">
          <w:marLeft w:val="640"/>
          <w:marRight w:val="0"/>
          <w:marTop w:val="0"/>
          <w:marBottom w:val="0"/>
          <w:divBdr>
            <w:top w:val="none" w:sz="0" w:space="0" w:color="auto"/>
            <w:left w:val="none" w:sz="0" w:space="0" w:color="auto"/>
            <w:bottom w:val="none" w:sz="0" w:space="0" w:color="auto"/>
            <w:right w:val="none" w:sz="0" w:space="0" w:color="auto"/>
          </w:divBdr>
        </w:div>
        <w:div w:id="1099956799">
          <w:marLeft w:val="640"/>
          <w:marRight w:val="0"/>
          <w:marTop w:val="0"/>
          <w:marBottom w:val="0"/>
          <w:divBdr>
            <w:top w:val="none" w:sz="0" w:space="0" w:color="auto"/>
            <w:left w:val="none" w:sz="0" w:space="0" w:color="auto"/>
            <w:bottom w:val="none" w:sz="0" w:space="0" w:color="auto"/>
            <w:right w:val="none" w:sz="0" w:space="0" w:color="auto"/>
          </w:divBdr>
        </w:div>
        <w:div w:id="713192656">
          <w:marLeft w:val="640"/>
          <w:marRight w:val="0"/>
          <w:marTop w:val="0"/>
          <w:marBottom w:val="0"/>
          <w:divBdr>
            <w:top w:val="none" w:sz="0" w:space="0" w:color="auto"/>
            <w:left w:val="none" w:sz="0" w:space="0" w:color="auto"/>
            <w:bottom w:val="none" w:sz="0" w:space="0" w:color="auto"/>
            <w:right w:val="none" w:sz="0" w:space="0" w:color="auto"/>
          </w:divBdr>
        </w:div>
        <w:div w:id="1770273362">
          <w:marLeft w:val="640"/>
          <w:marRight w:val="0"/>
          <w:marTop w:val="0"/>
          <w:marBottom w:val="0"/>
          <w:divBdr>
            <w:top w:val="none" w:sz="0" w:space="0" w:color="auto"/>
            <w:left w:val="none" w:sz="0" w:space="0" w:color="auto"/>
            <w:bottom w:val="none" w:sz="0" w:space="0" w:color="auto"/>
            <w:right w:val="none" w:sz="0" w:space="0" w:color="auto"/>
          </w:divBdr>
        </w:div>
        <w:div w:id="996879523">
          <w:marLeft w:val="640"/>
          <w:marRight w:val="0"/>
          <w:marTop w:val="0"/>
          <w:marBottom w:val="0"/>
          <w:divBdr>
            <w:top w:val="none" w:sz="0" w:space="0" w:color="auto"/>
            <w:left w:val="none" w:sz="0" w:space="0" w:color="auto"/>
            <w:bottom w:val="none" w:sz="0" w:space="0" w:color="auto"/>
            <w:right w:val="none" w:sz="0" w:space="0" w:color="auto"/>
          </w:divBdr>
        </w:div>
        <w:div w:id="637613229">
          <w:marLeft w:val="640"/>
          <w:marRight w:val="0"/>
          <w:marTop w:val="0"/>
          <w:marBottom w:val="0"/>
          <w:divBdr>
            <w:top w:val="none" w:sz="0" w:space="0" w:color="auto"/>
            <w:left w:val="none" w:sz="0" w:space="0" w:color="auto"/>
            <w:bottom w:val="none" w:sz="0" w:space="0" w:color="auto"/>
            <w:right w:val="none" w:sz="0" w:space="0" w:color="auto"/>
          </w:divBdr>
        </w:div>
        <w:div w:id="633944000">
          <w:marLeft w:val="640"/>
          <w:marRight w:val="0"/>
          <w:marTop w:val="0"/>
          <w:marBottom w:val="0"/>
          <w:divBdr>
            <w:top w:val="none" w:sz="0" w:space="0" w:color="auto"/>
            <w:left w:val="none" w:sz="0" w:space="0" w:color="auto"/>
            <w:bottom w:val="none" w:sz="0" w:space="0" w:color="auto"/>
            <w:right w:val="none" w:sz="0" w:space="0" w:color="auto"/>
          </w:divBdr>
        </w:div>
        <w:div w:id="792289089">
          <w:marLeft w:val="640"/>
          <w:marRight w:val="0"/>
          <w:marTop w:val="0"/>
          <w:marBottom w:val="0"/>
          <w:divBdr>
            <w:top w:val="none" w:sz="0" w:space="0" w:color="auto"/>
            <w:left w:val="none" w:sz="0" w:space="0" w:color="auto"/>
            <w:bottom w:val="none" w:sz="0" w:space="0" w:color="auto"/>
            <w:right w:val="none" w:sz="0" w:space="0" w:color="auto"/>
          </w:divBdr>
        </w:div>
        <w:div w:id="1171336905">
          <w:marLeft w:val="640"/>
          <w:marRight w:val="0"/>
          <w:marTop w:val="0"/>
          <w:marBottom w:val="0"/>
          <w:divBdr>
            <w:top w:val="none" w:sz="0" w:space="0" w:color="auto"/>
            <w:left w:val="none" w:sz="0" w:space="0" w:color="auto"/>
            <w:bottom w:val="none" w:sz="0" w:space="0" w:color="auto"/>
            <w:right w:val="none" w:sz="0" w:space="0" w:color="auto"/>
          </w:divBdr>
        </w:div>
        <w:div w:id="1051156257">
          <w:marLeft w:val="640"/>
          <w:marRight w:val="0"/>
          <w:marTop w:val="0"/>
          <w:marBottom w:val="0"/>
          <w:divBdr>
            <w:top w:val="none" w:sz="0" w:space="0" w:color="auto"/>
            <w:left w:val="none" w:sz="0" w:space="0" w:color="auto"/>
            <w:bottom w:val="none" w:sz="0" w:space="0" w:color="auto"/>
            <w:right w:val="none" w:sz="0" w:space="0" w:color="auto"/>
          </w:divBdr>
        </w:div>
        <w:div w:id="1863670401">
          <w:marLeft w:val="640"/>
          <w:marRight w:val="0"/>
          <w:marTop w:val="0"/>
          <w:marBottom w:val="0"/>
          <w:divBdr>
            <w:top w:val="none" w:sz="0" w:space="0" w:color="auto"/>
            <w:left w:val="none" w:sz="0" w:space="0" w:color="auto"/>
            <w:bottom w:val="none" w:sz="0" w:space="0" w:color="auto"/>
            <w:right w:val="none" w:sz="0" w:space="0" w:color="auto"/>
          </w:divBdr>
        </w:div>
        <w:div w:id="920871387">
          <w:marLeft w:val="640"/>
          <w:marRight w:val="0"/>
          <w:marTop w:val="0"/>
          <w:marBottom w:val="0"/>
          <w:divBdr>
            <w:top w:val="none" w:sz="0" w:space="0" w:color="auto"/>
            <w:left w:val="none" w:sz="0" w:space="0" w:color="auto"/>
            <w:bottom w:val="none" w:sz="0" w:space="0" w:color="auto"/>
            <w:right w:val="none" w:sz="0" w:space="0" w:color="auto"/>
          </w:divBdr>
        </w:div>
        <w:div w:id="853425504">
          <w:marLeft w:val="640"/>
          <w:marRight w:val="0"/>
          <w:marTop w:val="0"/>
          <w:marBottom w:val="0"/>
          <w:divBdr>
            <w:top w:val="none" w:sz="0" w:space="0" w:color="auto"/>
            <w:left w:val="none" w:sz="0" w:space="0" w:color="auto"/>
            <w:bottom w:val="none" w:sz="0" w:space="0" w:color="auto"/>
            <w:right w:val="none" w:sz="0" w:space="0" w:color="auto"/>
          </w:divBdr>
        </w:div>
        <w:div w:id="889918874">
          <w:marLeft w:val="640"/>
          <w:marRight w:val="0"/>
          <w:marTop w:val="0"/>
          <w:marBottom w:val="0"/>
          <w:divBdr>
            <w:top w:val="none" w:sz="0" w:space="0" w:color="auto"/>
            <w:left w:val="none" w:sz="0" w:space="0" w:color="auto"/>
            <w:bottom w:val="none" w:sz="0" w:space="0" w:color="auto"/>
            <w:right w:val="none" w:sz="0" w:space="0" w:color="auto"/>
          </w:divBdr>
        </w:div>
        <w:div w:id="1559319448">
          <w:marLeft w:val="640"/>
          <w:marRight w:val="0"/>
          <w:marTop w:val="0"/>
          <w:marBottom w:val="0"/>
          <w:divBdr>
            <w:top w:val="none" w:sz="0" w:space="0" w:color="auto"/>
            <w:left w:val="none" w:sz="0" w:space="0" w:color="auto"/>
            <w:bottom w:val="none" w:sz="0" w:space="0" w:color="auto"/>
            <w:right w:val="none" w:sz="0" w:space="0" w:color="auto"/>
          </w:divBdr>
        </w:div>
        <w:div w:id="1880629595">
          <w:marLeft w:val="640"/>
          <w:marRight w:val="0"/>
          <w:marTop w:val="0"/>
          <w:marBottom w:val="0"/>
          <w:divBdr>
            <w:top w:val="none" w:sz="0" w:space="0" w:color="auto"/>
            <w:left w:val="none" w:sz="0" w:space="0" w:color="auto"/>
            <w:bottom w:val="none" w:sz="0" w:space="0" w:color="auto"/>
            <w:right w:val="none" w:sz="0" w:space="0" w:color="auto"/>
          </w:divBdr>
        </w:div>
        <w:div w:id="596448553">
          <w:marLeft w:val="640"/>
          <w:marRight w:val="0"/>
          <w:marTop w:val="0"/>
          <w:marBottom w:val="0"/>
          <w:divBdr>
            <w:top w:val="none" w:sz="0" w:space="0" w:color="auto"/>
            <w:left w:val="none" w:sz="0" w:space="0" w:color="auto"/>
            <w:bottom w:val="none" w:sz="0" w:space="0" w:color="auto"/>
            <w:right w:val="none" w:sz="0" w:space="0" w:color="auto"/>
          </w:divBdr>
        </w:div>
        <w:div w:id="1870410653">
          <w:marLeft w:val="640"/>
          <w:marRight w:val="0"/>
          <w:marTop w:val="0"/>
          <w:marBottom w:val="0"/>
          <w:divBdr>
            <w:top w:val="none" w:sz="0" w:space="0" w:color="auto"/>
            <w:left w:val="none" w:sz="0" w:space="0" w:color="auto"/>
            <w:bottom w:val="none" w:sz="0" w:space="0" w:color="auto"/>
            <w:right w:val="none" w:sz="0" w:space="0" w:color="auto"/>
          </w:divBdr>
        </w:div>
        <w:div w:id="470558539">
          <w:marLeft w:val="640"/>
          <w:marRight w:val="0"/>
          <w:marTop w:val="0"/>
          <w:marBottom w:val="0"/>
          <w:divBdr>
            <w:top w:val="none" w:sz="0" w:space="0" w:color="auto"/>
            <w:left w:val="none" w:sz="0" w:space="0" w:color="auto"/>
            <w:bottom w:val="none" w:sz="0" w:space="0" w:color="auto"/>
            <w:right w:val="none" w:sz="0" w:space="0" w:color="auto"/>
          </w:divBdr>
        </w:div>
        <w:div w:id="2031174232">
          <w:marLeft w:val="640"/>
          <w:marRight w:val="0"/>
          <w:marTop w:val="0"/>
          <w:marBottom w:val="0"/>
          <w:divBdr>
            <w:top w:val="none" w:sz="0" w:space="0" w:color="auto"/>
            <w:left w:val="none" w:sz="0" w:space="0" w:color="auto"/>
            <w:bottom w:val="none" w:sz="0" w:space="0" w:color="auto"/>
            <w:right w:val="none" w:sz="0" w:space="0" w:color="auto"/>
          </w:divBdr>
        </w:div>
        <w:div w:id="138379090">
          <w:marLeft w:val="640"/>
          <w:marRight w:val="0"/>
          <w:marTop w:val="0"/>
          <w:marBottom w:val="0"/>
          <w:divBdr>
            <w:top w:val="none" w:sz="0" w:space="0" w:color="auto"/>
            <w:left w:val="none" w:sz="0" w:space="0" w:color="auto"/>
            <w:bottom w:val="none" w:sz="0" w:space="0" w:color="auto"/>
            <w:right w:val="none" w:sz="0" w:space="0" w:color="auto"/>
          </w:divBdr>
        </w:div>
        <w:div w:id="463548151">
          <w:marLeft w:val="640"/>
          <w:marRight w:val="0"/>
          <w:marTop w:val="0"/>
          <w:marBottom w:val="0"/>
          <w:divBdr>
            <w:top w:val="none" w:sz="0" w:space="0" w:color="auto"/>
            <w:left w:val="none" w:sz="0" w:space="0" w:color="auto"/>
            <w:bottom w:val="none" w:sz="0" w:space="0" w:color="auto"/>
            <w:right w:val="none" w:sz="0" w:space="0" w:color="auto"/>
          </w:divBdr>
        </w:div>
        <w:div w:id="691538333">
          <w:marLeft w:val="640"/>
          <w:marRight w:val="0"/>
          <w:marTop w:val="0"/>
          <w:marBottom w:val="0"/>
          <w:divBdr>
            <w:top w:val="none" w:sz="0" w:space="0" w:color="auto"/>
            <w:left w:val="none" w:sz="0" w:space="0" w:color="auto"/>
            <w:bottom w:val="none" w:sz="0" w:space="0" w:color="auto"/>
            <w:right w:val="none" w:sz="0" w:space="0" w:color="auto"/>
          </w:divBdr>
        </w:div>
        <w:div w:id="1465655288">
          <w:marLeft w:val="640"/>
          <w:marRight w:val="0"/>
          <w:marTop w:val="0"/>
          <w:marBottom w:val="0"/>
          <w:divBdr>
            <w:top w:val="none" w:sz="0" w:space="0" w:color="auto"/>
            <w:left w:val="none" w:sz="0" w:space="0" w:color="auto"/>
            <w:bottom w:val="none" w:sz="0" w:space="0" w:color="auto"/>
            <w:right w:val="none" w:sz="0" w:space="0" w:color="auto"/>
          </w:divBdr>
        </w:div>
        <w:div w:id="1060207420">
          <w:marLeft w:val="640"/>
          <w:marRight w:val="0"/>
          <w:marTop w:val="0"/>
          <w:marBottom w:val="0"/>
          <w:divBdr>
            <w:top w:val="none" w:sz="0" w:space="0" w:color="auto"/>
            <w:left w:val="none" w:sz="0" w:space="0" w:color="auto"/>
            <w:bottom w:val="none" w:sz="0" w:space="0" w:color="auto"/>
            <w:right w:val="none" w:sz="0" w:space="0" w:color="auto"/>
          </w:divBdr>
        </w:div>
        <w:div w:id="222641998">
          <w:marLeft w:val="640"/>
          <w:marRight w:val="0"/>
          <w:marTop w:val="0"/>
          <w:marBottom w:val="0"/>
          <w:divBdr>
            <w:top w:val="none" w:sz="0" w:space="0" w:color="auto"/>
            <w:left w:val="none" w:sz="0" w:space="0" w:color="auto"/>
            <w:bottom w:val="none" w:sz="0" w:space="0" w:color="auto"/>
            <w:right w:val="none" w:sz="0" w:space="0" w:color="auto"/>
          </w:divBdr>
        </w:div>
        <w:div w:id="1858158202">
          <w:marLeft w:val="640"/>
          <w:marRight w:val="0"/>
          <w:marTop w:val="0"/>
          <w:marBottom w:val="0"/>
          <w:divBdr>
            <w:top w:val="none" w:sz="0" w:space="0" w:color="auto"/>
            <w:left w:val="none" w:sz="0" w:space="0" w:color="auto"/>
            <w:bottom w:val="none" w:sz="0" w:space="0" w:color="auto"/>
            <w:right w:val="none" w:sz="0" w:space="0" w:color="auto"/>
          </w:divBdr>
        </w:div>
        <w:div w:id="1226768579">
          <w:marLeft w:val="640"/>
          <w:marRight w:val="0"/>
          <w:marTop w:val="0"/>
          <w:marBottom w:val="0"/>
          <w:divBdr>
            <w:top w:val="none" w:sz="0" w:space="0" w:color="auto"/>
            <w:left w:val="none" w:sz="0" w:space="0" w:color="auto"/>
            <w:bottom w:val="none" w:sz="0" w:space="0" w:color="auto"/>
            <w:right w:val="none" w:sz="0" w:space="0" w:color="auto"/>
          </w:divBdr>
        </w:div>
        <w:div w:id="545144372">
          <w:marLeft w:val="640"/>
          <w:marRight w:val="0"/>
          <w:marTop w:val="0"/>
          <w:marBottom w:val="0"/>
          <w:divBdr>
            <w:top w:val="none" w:sz="0" w:space="0" w:color="auto"/>
            <w:left w:val="none" w:sz="0" w:space="0" w:color="auto"/>
            <w:bottom w:val="none" w:sz="0" w:space="0" w:color="auto"/>
            <w:right w:val="none" w:sz="0" w:space="0" w:color="auto"/>
          </w:divBdr>
        </w:div>
        <w:div w:id="296567580">
          <w:marLeft w:val="640"/>
          <w:marRight w:val="0"/>
          <w:marTop w:val="0"/>
          <w:marBottom w:val="0"/>
          <w:divBdr>
            <w:top w:val="none" w:sz="0" w:space="0" w:color="auto"/>
            <w:left w:val="none" w:sz="0" w:space="0" w:color="auto"/>
            <w:bottom w:val="none" w:sz="0" w:space="0" w:color="auto"/>
            <w:right w:val="none" w:sz="0" w:space="0" w:color="auto"/>
          </w:divBdr>
        </w:div>
        <w:div w:id="1744374248">
          <w:marLeft w:val="640"/>
          <w:marRight w:val="0"/>
          <w:marTop w:val="0"/>
          <w:marBottom w:val="0"/>
          <w:divBdr>
            <w:top w:val="none" w:sz="0" w:space="0" w:color="auto"/>
            <w:left w:val="none" w:sz="0" w:space="0" w:color="auto"/>
            <w:bottom w:val="none" w:sz="0" w:space="0" w:color="auto"/>
            <w:right w:val="none" w:sz="0" w:space="0" w:color="auto"/>
          </w:divBdr>
        </w:div>
        <w:div w:id="1407796891">
          <w:marLeft w:val="640"/>
          <w:marRight w:val="0"/>
          <w:marTop w:val="0"/>
          <w:marBottom w:val="0"/>
          <w:divBdr>
            <w:top w:val="none" w:sz="0" w:space="0" w:color="auto"/>
            <w:left w:val="none" w:sz="0" w:space="0" w:color="auto"/>
            <w:bottom w:val="none" w:sz="0" w:space="0" w:color="auto"/>
            <w:right w:val="none" w:sz="0" w:space="0" w:color="auto"/>
          </w:divBdr>
        </w:div>
        <w:div w:id="2114864370">
          <w:marLeft w:val="640"/>
          <w:marRight w:val="0"/>
          <w:marTop w:val="0"/>
          <w:marBottom w:val="0"/>
          <w:divBdr>
            <w:top w:val="none" w:sz="0" w:space="0" w:color="auto"/>
            <w:left w:val="none" w:sz="0" w:space="0" w:color="auto"/>
            <w:bottom w:val="none" w:sz="0" w:space="0" w:color="auto"/>
            <w:right w:val="none" w:sz="0" w:space="0" w:color="auto"/>
          </w:divBdr>
        </w:div>
        <w:div w:id="2087992894">
          <w:marLeft w:val="640"/>
          <w:marRight w:val="0"/>
          <w:marTop w:val="0"/>
          <w:marBottom w:val="0"/>
          <w:divBdr>
            <w:top w:val="none" w:sz="0" w:space="0" w:color="auto"/>
            <w:left w:val="none" w:sz="0" w:space="0" w:color="auto"/>
            <w:bottom w:val="none" w:sz="0" w:space="0" w:color="auto"/>
            <w:right w:val="none" w:sz="0" w:space="0" w:color="auto"/>
          </w:divBdr>
        </w:div>
        <w:div w:id="911814798">
          <w:marLeft w:val="640"/>
          <w:marRight w:val="0"/>
          <w:marTop w:val="0"/>
          <w:marBottom w:val="0"/>
          <w:divBdr>
            <w:top w:val="none" w:sz="0" w:space="0" w:color="auto"/>
            <w:left w:val="none" w:sz="0" w:space="0" w:color="auto"/>
            <w:bottom w:val="none" w:sz="0" w:space="0" w:color="auto"/>
            <w:right w:val="none" w:sz="0" w:space="0" w:color="auto"/>
          </w:divBdr>
        </w:div>
        <w:div w:id="1147865997">
          <w:marLeft w:val="640"/>
          <w:marRight w:val="0"/>
          <w:marTop w:val="0"/>
          <w:marBottom w:val="0"/>
          <w:divBdr>
            <w:top w:val="none" w:sz="0" w:space="0" w:color="auto"/>
            <w:left w:val="none" w:sz="0" w:space="0" w:color="auto"/>
            <w:bottom w:val="none" w:sz="0" w:space="0" w:color="auto"/>
            <w:right w:val="none" w:sz="0" w:space="0" w:color="auto"/>
          </w:divBdr>
        </w:div>
        <w:div w:id="415369453">
          <w:marLeft w:val="640"/>
          <w:marRight w:val="0"/>
          <w:marTop w:val="0"/>
          <w:marBottom w:val="0"/>
          <w:divBdr>
            <w:top w:val="none" w:sz="0" w:space="0" w:color="auto"/>
            <w:left w:val="none" w:sz="0" w:space="0" w:color="auto"/>
            <w:bottom w:val="none" w:sz="0" w:space="0" w:color="auto"/>
            <w:right w:val="none" w:sz="0" w:space="0" w:color="auto"/>
          </w:divBdr>
        </w:div>
        <w:div w:id="1496385595">
          <w:marLeft w:val="640"/>
          <w:marRight w:val="0"/>
          <w:marTop w:val="0"/>
          <w:marBottom w:val="0"/>
          <w:divBdr>
            <w:top w:val="none" w:sz="0" w:space="0" w:color="auto"/>
            <w:left w:val="none" w:sz="0" w:space="0" w:color="auto"/>
            <w:bottom w:val="none" w:sz="0" w:space="0" w:color="auto"/>
            <w:right w:val="none" w:sz="0" w:space="0" w:color="auto"/>
          </w:divBdr>
        </w:div>
        <w:div w:id="615522575">
          <w:marLeft w:val="640"/>
          <w:marRight w:val="0"/>
          <w:marTop w:val="0"/>
          <w:marBottom w:val="0"/>
          <w:divBdr>
            <w:top w:val="none" w:sz="0" w:space="0" w:color="auto"/>
            <w:left w:val="none" w:sz="0" w:space="0" w:color="auto"/>
            <w:bottom w:val="none" w:sz="0" w:space="0" w:color="auto"/>
            <w:right w:val="none" w:sz="0" w:space="0" w:color="auto"/>
          </w:divBdr>
        </w:div>
        <w:div w:id="1287153979">
          <w:marLeft w:val="640"/>
          <w:marRight w:val="0"/>
          <w:marTop w:val="0"/>
          <w:marBottom w:val="0"/>
          <w:divBdr>
            <w:top w:val="none" w:sz="0" w:space="0" w:color="auto"/>
            <w:left w:val="none" w:sz="0" w:space="0" w:color="auto"/>
            <w:bottom w:val="none" w:sz="0" w:space="0" w:color="auto"/>
            <w:right w:val="none" w:sz="0" w:space="0" w:color="auto"/>
          </w:divBdr>
        </w:div>
        <w:div w:id="1494292865">
          <w:marLeft w:val="640"/>
          <w:marRight w:val="0"/>
          <w:marTop w:val="0"/>
          <w:marBottom w:val="0"/>
          <w:divBdr>
            <w:top w:val="none" w:sz="0" w:space="0" w:color="auto"/>
            <w:left w:val="none" w:sz="0" w:space="0" w:color="auto"/>
            <w:bottom w:val="none" w:sz="0" w:space="0" w:color="auto"/>
            <w:right w:val="none" w:sz="0" w:space="0" w:color="auto"/>
          </w:divBdr>
        </w:div>
        <w:div w:id="1999116074">
          <w:marLeft w:val="640"/>
          <w:marRight w:val="0"/>
          <w:marTop w:val="0"/>
          <w:marBottom w:val="0"/>
          <w:divBdr>
            <w:top w:val="none" w:sz="0" w:space="0" w:color="auto"/>
            <w:left w:val="none" w:sz="0" w:space="0" w:color="auto"/>
            <w:bottom w:val="none" w:sz="0" w:space="0" w:color="auto"/>
            <w:right w:val="none" w:sz="0" w:space="0" w:color="auto"/>
          </w:divBdr>
        </w:div>
        <w:div w:id="1535802799">
          <w:marLeft w:val="640"/>
          <w:marRight w:val="0"/>
          <w:marTop w:val="0"/>
          <w:marBottom w:val="0"/>
          <w:divBdr>
            <w:top w:val="none" w:sz="0" w:space="0" w:color="auto"/>
            <w:left w:val="none" w:sz="0" w:space="0" w:color="auto"/>
            <w:bottom w:val="none" w:sz="0" w:space="0" w:color="auto"/>
            <w:right w:val="none" w:sz="0" w:space="0" w:color="auto"/>
          </w:divBdr>
        </w:div>
        <w:div w:id="646669065">
          <w:marLeft w:val="640"/>
          <w:marRight w:val="0"/>
          <w:marTop w:val="0"/>
          <w:marBottom w:val="0"/>
          <w:divBdr>
            <w:top w:val="none" w:sz="0" w:space="0" w:color="auto"/>
            <w:left w:val="none" w:sz="0" w:space="0" w:color="auto"/>
            <w:bottom w:val="none" w:sz="0" w:space="0" w:color="auto"/>
            <w:right w:val="none" w:sz="0" w:space="0" w:color="auto"/>
          </w:divBdr>
        </w:div>
        <w:div w:id="30149737">
          <w:marLeft w:val="640"/>
          <w:marRight w:val="0"/>
          <w:marTop w:val="0"/>
          <w:marBottom w:val="0"/>
          <w:divBdr>
            <w:top w:val="none" w:sz="0" w:space="0" w:color="auto"/>
            <w:left w:val="none" w:sz="0" w:space="0" w:color="auto"/>
            <w:bottom w:val="none" w:sz="0" w:space="0" w:color="auto"/>
            <w:right w:val="none" w:sz="0" w:space="0" w:color="auto"/>
          </w:divBdr>
        </w:div>
        <w:div w:id="1857309574">
          <w:marLeft w:val="640"/>
          <w:marRight w:val="0"/>
          <w:marTop w:val="0"/>
          <w:marBottom w:val="0"/>
          <w:divBdr>
            <w:top w:val="none" w:sz="0" w:space="0" w:color="auto"/>
            <w:left w:val="none" w:sz="0" w:space="0" w:color="auto"/>
            <w:bottom w:val="none" w:sz="0" w:space="0" w:color="auto"/>
            <w:right w:val="none" w:sz="0" w:space="0" w:color="auto"/>
          </w:divBdr>
        </w:div>
        <w:div w:id="1652251523">
          <w:marLeft w:val="640"/>
          <w:marRight w:val="0"/>
          <w:marTop w:val="0"/>
          <w:marBottom w:val="0"/>
          <w:divBdr>
            <w:top w:val="none" w:sz="0" w:space="0" w:color="auto"/>
            <w:left w:val="none" w:sz="0" w:space="0" w:color="auto"/>
            <w:bottom w:val="none" w:sz="0" w:space="0" w:color="auto"/>
            <w:right w:val="none" w:sz="0" w:space="0" w:color="auto"/>
          </w:divBdr>
        </w:div>
        <w:div w:id="473916634">
          <w:marLeft w:val="640"/>
          <w:marRight w:val="0"/>
          <w:marTop w:val="0"/>
          <w:marBottom w:val="0"/>
          <w:divBdr>
            <w:top w:val="none" w:sz="0" w:space="0" w:color="auto"/>
            <w:left w:val="none" w:sz="0" w:space="0" w:color="auto"/>
            <w:bottom w:val="none" w:sz="0" w:space="0" w:color="auto"/>
            <w:right w:val="none" w:sz="0" w:space="0" w:color="auto"/>
          </w:divBdr>
        </w:div>
        <w:div w:id="558787286">
          <w:marLeft w:val="640"/>
          <w:marRight w:val="0"/>
          <w:marTop w:val="0"/>
          <w:marBottom w:val="0"/>
          <w:divBdr>
            <w:top w:val="none" w:sz="0" w:space="0" w:color="auto"/>
            <w:left w:val="none" w:sz="0" w:space="0" w:color="auto"/>
            <w:bottom w:val="none" w:sz="0" w:space="0" w:color="auto"/>
            <w:right w:val="none" w:sz="0" w:space="0" w:color="auto"/>
          </w:divBdr>
        </w:div>
        <w:div w:id="1711033619">
          <w:marLeft w:val="640"/>
          <w:marRight w:val="0"/>
          <w:marTop w:val="0"/>
          <w:marBottom w:val="0"/>
          <w:divBdr>
            <w:top w:val="none" w:sz="0" w:space="0" w:color="auto"/>
            <w:left w:val="none" w:sz="0" w:space="0" w:color="auto"/>
            <w:bottom w:val="none" w:sz="0" w:space="0" w:color="auto"/>
            <w:right w:val="none" w:sz="0" w:space="0" w:color="auto"/>
          </w:divBdr>
        </w:div>
        <w:div w:id="1800370983">
          <w:marLeft w:val="640"/>
          <w:marRight w:val="0"/>
          <w:marTop w:val="0"/>
          <w:marBottom w:val="0"/>
          <w:divBdr>
            <w:top w:val="none" w:sz="0" w:space="0" w:color="auto"/>
            <w:left w:val="none" w:sz="0" w:space="0" w:color="auto"/>
            <w:bottom w:val="none" w:sz="0" w:space="0" w:color="auto"/>
            <w:right w:val="none" w:sz="0" w:space="0" w:color="auto"/>
          </w:divBdr>
        </w:div>
        <w:div w:id="612588507">
          <w:marLeft w:val="640"/>
          <w:marRight w:val="0"/>
          <w:marTop w:val="0"/>
          <w:marBottom w:val="0"/>
          <w:divBdr>
            <w:top w:val="none" w:sz="0" w:space="0" w:color="auto"/>
            <w:left w:val="none" w:sz="0" w:space="0" w:color="auto"/>
            <w:bottom w:val="none" w:sz="0" w:space="0" w:color="auto"/>
            <w:right w:val="none" w:sz="0" w:space="0" w:color="auto"/>
          </w:divBdr>
        </w:div>
        <w:div w:id="648169712">
          <w:marLeft w:val="640"/>
          <w:marRight w:val="0"/>
          <w:marTop w:val="0"/>
          <w:marBottom w:val="0"/>
          <w:divBdr>
            <w:top w:val="none" w:sz="0" w:space="0" w:color="auto"/>
            <w:left w:val="none" w:sz="0" w:space="0" w:color="auto"/>
            <w:bottom w:val="none" w:sz="0" w:space="0" w:color="auto"/>
            <w:right w:val="none" w:sz="0" w:space="0" w:color="auto"/>
          </w:divBdr>
        </w:div>
        <w:div w:id="436482211">
          <w:marLeft w:val="640"/>
          <w:marRight w:val="0"/>
          <w:marTop w:val="0"/>
          <w:marBottom w:val="0"/>
          <w:divBdr>
            <w:top w:val="none" w:sz="0" w:space="0" w:color="auto"/>
            <w:left w:val="none" w:sz="0" w:space="0" w:color="auto"/>
            <w:bottom w:val="none" w:sz="0" w:space="0" w:color="auto"/>
            <w:right w:val="none" w:sz="0" w:space="0" w:color="auto"/>
          </w:divBdr>
        </w:div>
        <w:div w:id="135608752">
          <w:marLeft w:val="640"/>
          <w:marRight w:val="0"/>
          <w:marTop w:val="0"/>
          <w:marBottom w:val="0"/>
          <w:divBdr>
            <w:top w:val="none" w:sz="0" w:space="0" w:color="auto"/>
            <w:left w:val="none" w:sz="0" w:space="0" w:color="auto"/>
            <w:bottom w:val="none" w:sz="0" w:space="0" w:color="auto"/>
            <w:right w:val="none" w:sz="0" w:space="0" w:color="auto"/>
          </w:divBdr>
        </w:div>
        <w:div w:id="1134836968">
          <w:marLeft w:val="640"/>
          <w:marRight w:val="0"/>
          <w:marTop w:val="0"/>
          <w:marBottom w:val="0"/>
          <w:divBdr>
            <w:top w:val="none" w:sz="0" w:space="0" w:color="auto"/>
            <w:left w:val="none" w:sz="0" w:space="0" w:color="auto"/>
            <w:bottom w:val="none" w:sz="0" w:space="0" w:color="auto"/>
            <w:right w:val="none" w:sz="0" w:space="0" w:color="auto"/>
          </w:divBdr>
        </w:div>
        <w:div w:id="1255670970">
          <w:marLeft w:val="640"/>
          <w:marRight w:val="0"/>
          <w:marTop w:val="0"/>
          <w:marBottom w:val="0"/>
          <w:divBdr>
            <w:top w:val="none" w:sz="0" w:space="0" w:color="auto"/>
            <w:left w:val="none" w:sz="0" w:space="0" w:color="auto"/>
            <w:bottom w:val="none" w:sz="0" w:space="0" w:color="auto"/>
            <w:right w:val="none" w:sz="0" w:space="0" w:color="auto"/>
          </w:divBdr>
        </w:div>
        <w:div w:id="198974286">
          <w:marLeft w:val="640"/>
          <w:marRight w:val="0"/>
          <w:marTop w:val="0"/>
          <w:marBottom w:val="0"/>
          <w:divBdr>
            <w:top w:val="none" w:sz="0" w:space="0" w:color="auto"/>
            <w:left w:val="none" w:sz="0" w:space="0" w:color="auto"/>
            <w:bottom w:val="none" w:sz="0" w:space="0" w:color="auto"/>
            <w:right w:val="none" w:sz="0" w:space="0" w:color="auto"/>
          </w:divBdr>
        </w:div>
        <w:div w:id="1914657950">
          <w:marLeft w:val="640"/>
          <w:marRight w:val="0"/>
          <w:marTop w:val="0"/>
          <w:marBottom w:val="0"/>
          <w:divBdr>
            <w:top w:val="none" w:sz="0" w:space="0" w:color="auto"/>
            <w:left w:val="none" w:sz="0" w:space="0" w:color="auto"/>
            <w:bottom w:val="none" w:sz="0" w:space="0" w:color="auto"/>
            <w:right w:val="none" w:sz="0" w:space="0" w:color="auto"/>
          </w:divBdr>
        </w:div>
        <w:div w:id="142163129">
          <w:marLeft w:val="640"/>
          <w:marRight w:val="0"/>
          <w:marTop w:val="0"/>
          <w:marBottom w:val="0"/>
          <w:divBdr>
            <w:top w:val="none" w:sz="0" w:space="0" w:color="auto"/>
            <w:left w:val="none" w:sz="0" w:space="0" w:color="auto"/>
            <w:bottom w:val="none" w:sz="0" w:space="0" w:color="auto"/>
            <w:right w:val="none" w:sz="0" w:space="0" w:color="auto"/>
          </w:divBdr>
        </w:div>
        <w:div w:id="1361013463">
          <w:marLeft w:val="640"/>
          <w:marRight w:val="0"/>
          <w:marTop w:val="0"/>
          <w:marBottom w:val="0"/>
          <w:divBdr>
            <w:top w:val="none" w:sz="0" w:space="0" w:color="auto"/>
            <w:left w:val="none" w:sz="0" w:space="0" w:color="auto"/>
            <w:bottom w:val="none" w:sz="0" w:space="0" w:color="auto"/>
            <w:right w:val="none" w:sz="0" w:space="0" w:color="auto"/>
          </w:divBdr>
        </w:div>
        <w:div w:id="515776604">
          <w:marLeft w:val="640"/>
          <w:marRight w:val="0"/>
          <w:marTop w:val="0"/>
          <w:marBottom w:val="0"/>
          <w:divBdr>
            <w:top w:val="none" w:sz="0" w:space="0" w:color="auto"/>
            <w:left w:val="none" w:sz="0" w:space="0" w:color="auto"/>
            <w:bottom w:val="none" w:sz="0" w:space="0" w:color="auto"/>
            <w:right w:val="none" w:sz="0" w:space="0" w:color="auto"/>
          </w:divBdr>
        </w:div>
        <w:div w:id="85271240">
          <w:marLeft w:val="640"/>
          <w:marRight w:val="0"/>
          <w:marTop w:val="0"/>
          <w:marBottom w:val="0"/>
          <w:divBdr>
            <w:top w:val="none" w:sz="0" w:space="0" w:color="auto"/>
            <w:left w:val="none" w:sz="0" w:space="0" w:color="auto"/>
            <w:bottom w:val="none" w:sz="0" w:space="0" w:color="auto"/>
            <w:right w:val="none" w:sz="0" w:space="0" w:color="auto"/>
          </w:divBdr>
        </w:div>
        <w:div w:id="1154368486">
          <w:marLeft w:val="640"/>
          <w:marRight w:val="0"/>
          <w:marTop w:val="0"/>
          <w:marBottom w:val="0"/>
          <w:divBdr>
            <w:top w:val="none" w:sz="0" w:space="0" w:color="auto"/>
            <w:left w:val="none" w:sz="0" w:space="0" w:color="auto"/>
            <w:bottom w:val="none" w:sz="0" w:space="0" w:color="auto"/>
            <w:right w:val="none" w:sz="0" w:space="0" w:color="auto"/>
          </w:divBdr>
        </w:div>
        <w:div w:id="960570767">
          <w:marLeft w:val="640"/>
          <w:marRight w:val="0"/>
          <w:marTop w:val="0"/>
          <w:marBottom w:val="0"/>
          <w:divBdr>
            <w:top w:val="none" w:sz="0" w:space="0" w:color="auto"/>
            <w:left w:val="none" w:sz="0" w:space="0" w:color="auto"/>
            <w:bottom w:val="none" w:sz="0" w:space="0" w:color="auto"/>
            <w:right w:val="none" w:sz="0" w:space="0" w:color="auto"/>
          </w:divBdr>
        </w:div>
        <w:div w:id="1562329974">
          <w:marLeft w:val="640"/>
          <w:marRight w:val="0"/>
          <w:marTop w:val="0"/>
          <w:marBottom w:val="0"/>
          <w:divBdr>
            <w:top w:val="none" w:sz="0" w:space="0" w:color="auto"/>
            <w:left w:val="none" w:sz="0" w:space="0" w:color="auto"/>
            <w:bottom w:val="none" w:sz="0" w:space="0" w:color="auto"/>
            <w:right w:val="none" w:sz="0" w:space="0" w:color="auto"/>
          </w:divBdr>
        </w:div>
        <w:div w:id="552273103">
          <w:marLeft w:val="640"/>
          <w:marRight w:val="0"/>
          <w:marTop w:val="0"/>
          <w:marBottom w:val="0"/>
          <w:divBdr>
            <w:top w:val="none" w:sz="0" w:space="0" w:color="auto"/>
            <w:left w:val="none" w:sz="0" w:space="0" w:color="auto"/>
            <w:bottom w:val="none" w:sz="0" w:space="0" w:color="auto"/>
            <w:right w:val="none" w:sz="0" w:space="0" w:color="auto"/>
          </w:divBdr>
        </w:div>
        <w:div w:id="1962420929">
          <w:marLeft w:val="640"/>
          <w:marRight w:val="0"/>
          <w:marTop w:val="0"/>
          <w:marBottom w:val="0"/>
          <w:divBdr>
            <w:top w:val="none" w:sz="0" w:space="0" w:color="auto"/>
            <w:left w:val="none" w:sz="0" w:space="0" w:color="auto"/>
            <w:bottom w:val="none" w:sz="0" w:space="0" w:color="auto"/>
            <w:right w:val="none" w:sz="0" w:space="0" w:color="auto"/>
          </w:divBdr>
        </w:div>
        <w:div w:id="1540045025">
          <w:marLeft w:val="640"/>
          <w:marRight w:val="0"/>
          <w:marTop w:val="0"/>
          <w:marBottom w:val="0"/>
          <w:divBdr>
            <w:top w:val="none" w:sz="0" w:space="0" w:color="auto"/>
            <w:left w:val="none" w:sz="0" w:space="0" w:color="auto"/>
            <w:bottom w:val="none" w:sz="0" w:space="0" w:color="auto"/>
            <w:right w:val="none" w:sz="0" w:space="0" w:color="auto"/>
          </w:divBdr>
        </w:div>
        <w:div w:id="76634685">
          <w:marLeft w:val="640"/>
          <w:marRight w:val="0"/>
          <w:marTop w:val="0"/>
          <w:marBottom w:val="0"/>
          <w:divBdr>
            <w:top w:val="none" w:sz="0" w:space="0" w:color="auto"/>
            <w:left w:val="none" w:sz="0" w:space="0" w:color="auto"/>
            <w:bottom w:val="none" w:sz="0" w:space="0" w:color="auto"/>
            <w:right w:val="none" w:sz="0" w:space="0" w:color="auto"/>
          </w:divBdr>
        </w:div>
        <w:div w:id="983847950">
          <w:marLeft w:val="640"/>
          <w:marRight w:val="0"/>
          <w:marTop w:val="0"/>
          <w:marBottom w:val="0"/>
          <w:divBdr>
            <w:top w:val="none" w:sz="0" w:space="0" w:color="auto"/>
            <w:left w:val="none" w:sz="0" w:space="0" w:color="auto"/>
            <w:bottom w:val="none" w:sz="0" w:space="0" w:color="auto"/>
            <w:right w:val="none" w:sz="0" w:space="0" w:color="auto"/>
          </w:divBdr>
        </w:div>
        <w:div w:id="1030455170">
          <w:marLeft w:val="640"/>
          <w:marRight w:val="0"/>
          <w:marTop w:val="0"/>
          <w:marBottom w:val="0"/>
          <w:divBdr>
            <w:top w:val="none" w:sz="0" w:space="0" w:color="auto"/>
            <w:left w:val="none" w:sz="0" w:space="0" w:color="auto"/>
            <w:bottom w:val="none" w:sz="0" w:space="0" w:color="auto"/>
            <w:right w:val="none" w:sz="0" w:space="0" w:color="auto"/>
          </w:divBdr>
        </w:div>
        <w:div w:id="237516618">
          <w:marLeft w:val="640"/>
          <w:marRight w:val="0"/>
          <w:marTop w:val="0"/>
          <w:marBottom w:val="0"/>
          <w:divBdr>
            <w:top w:val="none" w:sz="0" w:space="0" w:color="auto"/>
            <w:left w:val="none" w:sz="0" w:space="0" w:color="auto"/>
            <w:bottom w:val="none" w:sz="0" w:space="0" w:color="auto"/>
            <w:right w:val="none" w:sz="0" w:space="0" w:color="auto"/>
          </w:divBdr>
        </w:div>
        <w:div w:id="1237204237">
          <w:marLeft w:val="640"/>
          <w:marRight w:val="0"/>
          <w:marTop w:val="0"/>
          <w:marBottom w:val="0"/>
          <w:divBdr>
            <w:top w:val="none" w:sz="0" w:space="0" w:color="auto"/>
            <w:left w:val="none" w:sz="0" w:space="0" w:color="auto"/>
            <w:bottom w:val="none" w:sz="0" w:space="0" w:color="auto"/>
            <w:right w:val="none" w:sz="0" w:space="0" w:color="auto"/>
          </w:divBdr>
        </w:div>
        <w:div w:id="428743218">
          <w:marLeft w:val="640"/>
          <w:marRight w:val="0"/>
          <w:marTop w:val="0"/>
          <w:marBottom w:val="0"/>
          <w:divBdr>
            <w:top w:val="none" w:sz="0" w:space="0" w:color="auto"/>
            <w:left w:val="none" w:sz="0" w:space="0" w:color="auto"/>
            <w:bottom w:val="none" w:sz="0" w:space="0" w:color="auto"/>
            <w:right w:val="none" w:sz="0" w:space="0" w:color="auto"/>
          </w:divBdr>
        </w:div>
        <w:div w:id="7829494">
          <w:marLeft w:val="640"/>
          <w:marRight w:val="0"/>
          <w:marTop w:val="0"/>
          <w:marBottom w:val="0"/>
          <w:divBdr>
            <w:top w:val="none" w:sz="0" w:space="0" w:color="auto"/>
            <w:left w:val="none" w:sz="0" w:space="0" w:color="auto"/>
            <w:bottom w:val="none" w:sz="0" w:space="0" w:color="auto"/>
            <w:right w:val="none" w:sz="0" w:space="0" w:color="auto"/>
          </w:divBdr>
        </w:div>
        <w:div w:id="470754641">
          <w:marLeft w:val="640"/>
          <w:marRight w:val="0"/>
          <w:marTop w:val="0"/>
          <w:marBottom w:val="0"/>
          <w:divBdr>
            <w:top w:val="none" w:sz="0" w:space="0" w:color="auto"/>
            <w:left w:val="none" w:sz="0" w:space="0" w:color="auto"/>
            <w:bottom w:val="none" w:sz="0" w:space="0" w:color="auto"/>
            <w:right w:val="none" w:sz="0" w:space="0" w:color="auto"/>
          </w:divBdr>
        </w:div>
        <w:div w:id="1691445901">
          <w:marLeft w:val="640"/>
          <w:marRight w:val="0"/>
          <w:marTop w:val="0"/>
          <w:marBottom w:val="0"/>
          <w:divBdr>
            <w:top w:val="none" w:sz="0" w:space="0" w:color="auto"/>
            <w:left w:val="none" w:sz="0" w:space="0" w:color="auto"/>
            <w:bottom w:val="none" w:sz="0" w:space="0" w:color="auto"/>
            <w:right w:val="none" w:sz="0" w:space="0" w:color="auto"/>
          </w:divBdr>
        </w:div>
        <w:div w:id="147291720">
          <w:marLeft w:val="640"/>
          <w:marRight w:val="0"/>
          <w:marTop w:val="0"/>
          <w:marBottom w:val="0"/>
          <w:divBdr>
            <w:top w:val="none" w:sz="0" w:space="0" w:color="auto"/>
            <w:left w:val="none" w:sz="0" w:space="0" w:color="auto"/>
            <w:bottom w:val="none" w:sz="0" w:space="0" w:color="auto"/>
            <w:right w:val="none" w:sz="0" w:space="0" w:color="auto"/>
          </w:divBdr>
        </w:div>
        <w:div w:id="288441505">
          <w:marLeft w:val="640"/>
          <w:marRight w:val="0"/>
          <w:marTop w:val="0"/>
          <w:marBottom w:val="0"/>
          <w:divBdr>
            <w:top w:val="none" w:sz="0" w:space="0" w:color="auto"/>
            <w:left w:val="none" w:sz="0" w:space="0" w:color="auto"/>
            <w:bottom w:val="none" w:sz="0" w:space="0" w:color="auto"/>
            <w:right w:val="none" w:sz="0" w:space="0" w:color="auto"/>
          </w:divBdr>
        </w:div>
        <w:div w:id="1285650363">
          <w:marLeft w:val="640"/>
          <w:marRight w:val="0"/>
          <w:marTop w:val="0"/>
          <w:marBottom w:val="0"/>
          <w:divBdr>
            <w:top w:val="none" w:sz="0" w:space="0" w:color="auto"/>
            <w:left w:val="none" w:sz="0" w:space="0" w:color="auto"/>
            <w:bottom w:val="none" w:sz="0" w:space="0" w:color="auto"/>
            <w:right w:val="none" w:sz="0" w:space="0" w:color="auto"/>
          </w:divBdr>
        </w:div>
        <w:div w:id="1666518904">
          <w:marLeft w:val="640"/>
          <w:marRight w:val="0"/>
          <w:marTop w:val="0"/>
          <w:marBottom w:val="0"/>
          <w:divBdr>
            <w:top w:val="none" w:sz="0" w:space="0" w:color="auto"/>
            <w:left w:val="none" w:sz="0" w:space="0" w:color="auto"/>
            <w:bottom w:val="none" w:sz="0" w:space="0" w:color="auto"/>
            <w:right w:val="none" w:sz="0" w:space="0" w:color="auto"/>
          </w:divBdr>
        </w:div>
        <w:div w:id="1282150979">
          <w:marLeft w:val="640"/>
          <w:marRight w:val="0"/>
          <w:marTop w:val="0"/>
          <w:marBottom w:val="0"/>
          <w:divBdr>
            <w:top w:val="none" w:sz="0" w:space="0" w:color="auto"/>
            <w:left w:val="none" w:sz="0" w:space="0" w:color="auto"/>
            <w:bottom w:val="none" w:sz="0" w:space="0" w:color="auto"/>
            <w:right w:val="none" w:sz="0" w:space="0" w:color="auto"/>
          </w:divBdr>
        </w:div>
        <w:div w:id="320698374">
          <w:marLeft w:val="640"/>
          <w:marRight w:val="0"/>
          <w:marTop w:val="0"/>
          <w:marBottom w:val="0"/>
          <w:divBdr>
            <w:top w:val="none" w:sz="0" w:space="0" w:color="auto"/>
            <w:left w:val="none" w:sz="0" w:space="0" w:color="auto"/>
            <w:bottom w:val="none" w:sz="0" w:space="0" w:color="auto"/>
            <w:right w:val="none" w:sz="0" w:space="0" w:color="auto"/>
          </w:divBdr>
        </w:div>
        <w:div w:id="1187526262">
          <w:marLeft w:val="640"/>
          <w:marRight w:val="0"/>
          <w:marTop w:val="0"/>
          <w:marBottom w:val="0"/>
          <w:divBdr>
            <w:top w:val="none" w:sz="0" w:space="0" w:color="auto"/>
            <w:left w:val="none" w:sz="0" w:space="0" w:color="auto"/>
            <w:bottom w:val="none" w:sz="0" w:space="0" w:color="auto"/>
            <w:right w:val="none" w:sz="0" w:space="0" w:color="auto"/>
          </w:divBdr>
        </w:div>
        <w:div w:id="127285026">
          <w:marLeft w:val="640"/>
          <w:marRight w:val="0"/>
          <w:marTop w:val="0"/>
          <w:marBottom w:val="0"/>
          <w:divBdr>
            <w:top w:val="none" w:sz="0" w:space="0" w:color="auto"/>
            <w:left w:val="none" w:sz="0" w:space="0" w:color="auto"/>
            <w:bottom w:val="none" w:sz="0" w:space="0" w:color="auto"/>
            <w:right w:val="none" w:sz="0" w:space="0" w:color="auto"/>
          </w:divBdr>
        </w:div>
        <w:div w:id="1444690581">
          <w:marLeft w:val="640"/>
          <w:marRight w:val="0"/>
          <w:marTop w:val="0"/>
          <w:marBottom w:val="0"/>
          <w:divBdr>
            <w:top w:val="none" w:sz="0" w:space="0" w:color="auto"/>
            <w:left w:val="none" w:sz="0" w:space="0" w:color="auto"/>
            <w:bottom w:val="none" w:sz="0" w:space="0" w:color="auto"/>
            <w:right w:val="none" w:sz="0" w:space="0" w:color="auto"/>
          </w:divBdr>
        </w:div>
        <w:div w:id="659769182">
          <w:marLeft w:val="640"/>
          <w:marRight w:val="0"/>
          <w:marTop w:val="0"/>
          <w:marBottom w:val="0"/>
          <w:divBdr>
            <w:top w:val="none" w:sz="0" w:space="0" w:color="auto"/>
            <w:left w:val="none" w:sz="0" w:space="0" w:color="auto"/>
            <w:bottom w:val="none" w:sz="0" w:space="0" w:color="auto"/>
            <w:right w:val="none" w:sz="0" w:space="0" w:color="auto"/>
          </w:divBdr>
        </w:div>
        <w:div w:id="1899196560">
          <w:marLeft w:val="640"/>
          <w:marRight w:val="0"/>
          <w:marTop w:val="0"/>
          <w:marBottom w:val="0"/>
          <w:divBdr>
            <w:top w:val="none" w:sz="0" w:space="0" w:color="auto"/>
            <w:left w:val="none" w:sz="0" w:space="0" w:color="auto"/>
            <w:bottom w:val="none" w:sz="0" w:space="0" w:color="auto"/>
            <w:right w:val="none" w:sz="0" w:space="0" w:color="auto"/>
          </w:divBdr>
        </w:div>
        <w:div w:id="199125796">
          <w:marLeft w:val="640"/>
          <w:marRight w:val="0"/>
          <w:marTop w:val="0"/>
          <w:marBottom w:val="0"/>
          <w:divBdr>
            <w:top w:val="none" w:sz="0" w:space="0" w:color="auto"/>
            <w:left w:val="none" w:sz="0" w:space="0" w:color="auto"/>
            <w:bottom w:val="none" w:sz="0" w:space="0" w:color="auto"/>
            <w:right w:val="none" w:sz="0" w:space="0" w:color="auto"/>
          </w:divBdr>
        </w:div>
        <w:div w:id="2082485655">
          <w:marLeft w:val="640"/>
          <w:marRight w:val="0"/>
          <w:marTop w:val="0"/>
          <w:marBottom w:val="0"/>
          <w:divBdr>
            <w:top w:val="none" w:sz="0" w:space="0" w:color="auto"/>
            <w:left w:val="none" w:sz="0" w:space="0" w:color="auto"/>
            <w:bottom w:val="none" w:sz="0" w:space="0" w:color="auto"/>
            <w:right w:val="none" w:sz="0" w:space="0" w:color="auto"/>
          </w:divBdr>
        </w:div>
        <w:div w:id="946037465">
          <w:marLeft w:val="640"/>
          <w:marRight w:val="0"/>
          <w:marTop w:val="0"/>
          <w:marBottom w:val="0"/>
          <w:divBdr>
            <w:top w:val="none" w:sz="0" w:space="0" w:color="auto"/>
            <w:left w:val="none" w:sz="0" w:space="0" w:color="auto"/>
            <w:bottom w:val="none" w:sz="0" w:space="0" w:color="auto"/>
            <w:right w:val="none" w:sz="0" w:space="0" w:color="auto"/>
          </w:divBdr>
        </w:div>
        <w:div w:id="841317840">
          <w:marLeft w:val="640"/>
          <w:marRight w:val="0"/>
          <w:marTop w:val="0"/>
          <w:marBottom w:val="0"/>
          <w:divBdr>
            <w:top w:val="none" w:sz="0" w:space="0" w:color="auto"/>
            <w:left w:val="none" w:sz="0" w:space="0" w:color="auto"/>
            <w:bottom w:val="none" w:sz="0" w:space="0" w:color="auto"/>
            <w:right w:val="none" w:sz="0" w:space="0" w:color="auto"/>
          </w:divBdr>
        </w:div>
        <w:div w:id="703335063">
          <w:marLeft w:val="640"/>
          <w:marRight w:val="0"/>
          <w:marTop w:val="0"/>
          <w:marBottom w:val="0"/>
          <w:divBdr>
            <w:top w:val="none" w:sz="0" w:space="0" w:color="auto"/>
            <w:left w:val="none" w:sz="0" w:space="0" w:color="auto"/>
            <w:bottom w:val="none" w:sz="0" w:space="0" w:color="auto"/>
            <w:right w:val="none" w:sz="0" w:space="0" w:color="auto"/>
          </w:divBdr>
        </w:div>
        <w:div w:id="2092266019">
          <w:marLeft w:val="640"/>
          <w:marRight w:val="0"/>
          <w:marTop w:val="0"/>
          <w:marBottom w:val="0"/>
          <w:divBdr>
            <w:top w:val="none" w:sz="0" w:space="0" w:color="auto"/>
            <w:left w:val="none" w:sz="0" w:space="0" w:color="auto"/>
            <w:bottom w:val="none" w:sz="0" w:space="0" w:color="auto"/>
            <w:right w:val="none" w:sz="0" w:space="0" w:color="auto"/>
          </w:divBdr>
        </w:div>
        <w:div w:id="1525556541">
          <w:marLeft w:val="640"/>
          <w:marRight w:val="0"/>
          <w:marTop w:val="0"/>
          <w:marBottom w:val="0"/>
          <w:divBdr>
            <w:top w:val="none" w:sz="0" w:space="0" w:color="auto"/>
            <w:left w:val="none" w:sz="0" w:space="0" w:color="auto"/>
            <w:bottom w:val="none" w:sz="0" w:space="0" w:color="auto"/>
            <w:right w:val="none" w:sz="0" w:space="0" w:color="auto"/>
          </w:divBdr>
        </w:div>
        <w:div w:id="1724789364">
          <w:marLeft w:val="640"/>
          <w:marRight w:val="0"/>
          <w:marTop w:val="0"/>
          <w:marBottom w:val="0"/>
          <w:divBdr>
            <w:top w:val="none" w:sz="0" w:space="0" w:color="auto"/>
            <w:left w:val="none" w:sz="0" w:space="0" w:color="auto"/>
            <w:bottom w:val="none" w:sz="0" w:space="0" w:color="auto"/>
            <w:right w:val="none" w:sz="0" w:space="0" w:color="auto"/>
          </w:divBdr>
        </w:div>
        <w:div w:id="193465031">
          <w:marLeft w:val="640"/>
          <w:marRight w:val="0"/>
          <w:marTop w:val="0"/>
          <w:marBottom w:val="0"/>
          <w:divBdr>
            <w:top w:val="none" w:sz="0" w:space="0" w:color="auto"/>
            <w:left w:val="none" w:sz="0" w:space="0" w:color="auto"/>
            <w:bottom w:val="none" w:sz="0" w:space="0" w:color="auto"/>
            <w:right w:val="none" w:sz="0" w:space="0" w:color="auto"/>
          </w:divBdr>
        </w:div>
        <w:div w:id="1447433005">
          <w:marLeft w:val="640"/>
          <w:marRight w:val="0"/>
          <w:marTop w:val="0"/>
          <w:marBottom w:val="0"/>
          <w:divBdr>
            <w:top w:val="none" w:sz="0" w:space="0" w:color="auto"/>
            <w:left w:val="none" w:sz="0" w:space="0" w:color="auto"/>
            <w:bottom w:val="none" w:sz="0" w:space="0" w:color="auto"/>
            <w:right w:val="none" w:sz="0" w:space="0" w:color="auto"/>
          </w:divBdr>
        </w:div>
        <w:div w:id="975336142">
          <w:marLeft w:val="640"/>
          <w:marRight w:val="0"/>
          <w:marTop w:val="0"/>
          <w:marBottom w:val="0"/>
          <w:divBdr>
            <w:top w:val="none" w:sz="0" w:space="0" w:color="auto"/>
            <w:left w:val="none" w:sz="0" w:space="0" w:color="auto"/>
            <w:bottom w:val="none" w:sz="0" w:space="0" w:color="auto"/>
            <w:right w:val="none" w:sz="0" w:space="0" w:color="auto"/>
          </w:divBdr>
        </w:div>
        <w:div w:id="1338461019">
          <w:marLeft w:val="640"/>
          <w:marRight w:val="0"/>
          <w:marTop w:val="0"/>
          <w:marBottom w:val="0"/>
          <w:divBdr>
            <w:top w:val="none" w:sz="0" w:space="0" w:color="auto"/>
            <w:left w:val="none" w:sz="0" w:space="0" w:color="auto"/>
            <w:bottom w:val="none" w:sz="0" w:space="0" w:color="auto"/>
            <w:right w:val="none" w:sz="0" w:space="0" w:color="auto"/>
          </w:divBdr>
        </w:div>
        <w:div w:id="758795591">
          <w:marLeft w:val="640"/>
          <w:marRight w:val="0"/>
          <w:marTop w:val="0"/>
          <w:marBottom w:val="0"/>
          <w:divBdr>
            <w:top w:val="none" w:sz="0" w:space="0" w:color="auto"/>
            <w:left w:val="none" w:sz="0" w:space="0" w:color="auto"/>
            <w:bottom w:val="none" w:sz="0" w:space="0" w:color="auto"/>
            <w:right w:val="none" w:sz="0" w:space="0" w:color="auto"/>
          </w:divBdr>
        </w:div>
        <w:div w:id="734473425">
          <w:marLeft w:val="640"/>
          <w:marRight w:val="0"/>
          <w:marTop w:val="0"/>
          <w:marBottom w:val="0"/>
          <w:divBdr>
            <w:top w:val="none" w:sz="0" w:space="0" w:color="auto"/>
            <w:left w:val="none" w:sz="0" w:space="0" w:color="auto"/>
            <w:bottom w:val="none" w:sz="0" w:space="0" w:color="auto"/>
            <w:right w:val="none" w:sz="0" w:space="0" w:color="auto"/>
          </w:divBdr>
        </w:div>
        <w:div w:id="1557085020">
          <w:marLeft w:val="640"/>
          <w:marRight w:val="0"/>
          <w:marTop w:val="0"/>
          <w:marBottom w:val="0"/>
          <w:divBdr>
            <w:top w:val="none" w:sz="0" w:space="0" w:color="auto"/>
            <w:left w:val="none" w:sz="0" w:space="0" w:color="auto"/>
            <w:bottom w:val="none" w:sz="0" w:space="0" w:color="auto"/>
            <w:right w:val="none" w:sz="0" w:space="0" w:color="auto"/>
          </w:divBdr>
        </w:div>
        <w:div w:id="579028623">
          <w:marLeft w:val="640"/>
          <w:marRight w:val="0"/>
          <w:marTop w:val="0"/>
          <w:marBottom w:val="0"/>
          <w:divBdr>
            <w:top w:val="none" w:sz="0" w:space="0" w:color="auto"/>
            <w:left w:val="none" w:sz="0" w:space="0" w:color="auto"/>
            <w:bottom w:val="none" w:sz="0" w:space="0" w:color="auto"/>
            <w:right w:val="none" w:sz="0" w:space="0" w:color="auto"/>
          </w:divBdr>
        </w:div>
        <w:div w:id="1123840650">
          <w:marLeft w:val="640"/>
          <w:marRight w:val="0"/>
          <w:marTop w:val="0"/>
          <w:marBottom w:val="0"/>
          <w:divBdr>
            <w:top w:val="none" w:sz="0" w:space="0" w:color="auto"/>
            <w:left w:val="none" w:sz="0" w:space="0" w:color="auto"/>
            <w:bottom w:val="none" w:sz="0" w:space="0" w:color="auto"/>
            <w:right w:val="none" w:sz="0" w:space="0" w:color="auto"/>
          </w:divBdr>
        </w:div>
        <w:div w:id="567619052">
          <w:marLeft w:val="640"/>
          <w:marRight w:val="0"/>
          <w:marTop w:val="0"/>
          <w:marBottom w:val="0"/>
          <w:divBdr>
            <w:top w:val="none" w:sz="0" w:space="0" w:color="auto"/>
            <w:left w:val="none" w:sz="0" w:space="0" w:color="auto"/>
            <w:bottom w:val="none" w:sz="0" w:space="0" w:color="auto"/>
            <w:right w:val="none" w:sz="0" w:space="0" w:color="auto"/>
          </w:divBdr>
        </w:div>
        <w:div w:id="431753353">
          <w:marLeft w:val="640"/>
          <w:marRight w:val="0"/>
          <w:marTop w:val="0"/>
          <w:marBottom w:val="0"/>
          <w:divBdr>
            <w:top w:val="none" w:sz="0" w:space="0" w:color="auto"/>
            <w:left w:val="none" w:sz="0" w:space="0" w:color="auto"/>
            <w:bottom w:val="none" w:sz="0" w:space="0" w:color="auto"/>
            <w:right w:val="none" w:sz="0" w:space="0" w:color="auto"/>
          </w:divBdr>
        </w:div>
        <w:div w:id="506097334">
          <w:marLeft w:val="640"/>
          <w:marRight w:val="0"/>
          <w:marTop w:val="0"/>
          <w:marBottom w:val="0"/>
          <w:divBdr>
            <w:top w:val="none" w:sz="0" w:space="0" w:color="auto"/>
            <w:left w:val="none" w:sz="0" w:space="0" w:color="auto"/>
            <w:bottom w:val="none" w:sz="0" w:space="0" w:color="auto"/>
            <w:right w:val="none" w:sz="0" w:space="0" w:color="auto"/>
          </w:divBdr>
        </w:div>
        <w:div w:id="1923681003">
          <w:marLeft w:val="640"/>
          <w:marRight w:val="0"/>
          <w:marTop w:val="0"/>
          <w:marBottom w:val="0"/>
          <w:divBdr>
            <w:top w:val="none" w:sz="0" w:space="0" w:color="auto"/>
            <w:left w:val="none" w:sz="0" w:space="0" w:color="auto"/>
            <w:bottom w:val="none" w:sz="0" w:space="0" w:color="auto"/>
            <w:right w:val="none" w:sz="0" w:space="0" w:color="auto"/>
          </w:divBdr>
        </w:div>
        <w:div w:id="1988439177">
          <w:marLeft w:val="640"/>
          <w:marRight w:val="0"/>
          <w:marTop w:val="0"/>
          <w:marBottom w:val="0"/>
          <w:divBdr>
            <w:top w:val="none" w:sz="0" w:space="0" w:color="auto"/>
            <w:left w:val="none" w:sz="0" w:space="0" w:color="auto"/>
            <w:bottom w:val="none" w:sz="0" w:space="0" w:color="auto"/>
            <w:right w:val="none" w:sz="0" w:space="0" w:color="auto"/>
          </w:divBdr>
        </w:div>
        <w:div w:id="1804347865">
          <w:marLeft w:val="640"/>
          <w:marRight w:val="0"/>
          <w:marTop w:val="0"/>
          <w:marBottom w:val="0"/>
          <w:divBdr>
            <w:top w:val="none" w:sz="0" w:space="0" w:color="auto"/>
            <w:left w:val="none" w:sz="0" w:space="0" w:color="auto"/>
            <w:bottom w:val="none" w:sz="0" w:space="0" w:color="auto"/>
            <w:right w:val="none" w:sz="0" w:space="0" w:color="auto"/>
          </w:divBdr>
        </w:div>
        <w:div w:id="2140604757">
          <w:marLeft w:val="640"/>
          <w:marRight w:val="0"/>
          <w:marTop w:val="0"/>
          <w:marBottom w:val="0"/>
          <w:divBdr>
            <w:top w:val="none" w:sz="0" w:space="0" w:color="auto"/>
            <w:left w:val="none" w:sz="0" w:space="0" w:color="auto"/>
            <w:bottom w:val="none" w:sz="0" w:space="0" w:color="auto"/>
            <w:right w:val="none" w:sz="0" w:space="0" w:color="auto"/>
          </w:divBdr>
        </w:div>
        <w:div w:id="734936002">
          <w:marLeft w:val="640"/>
          <w:marRight w:val="0"/>
          <w:marTop w:val="0"/>
          <w:marBottom w:val="0"/>
          <w:divBdr>
            <w:top w:val="none" w:sz="0" w:space="0" w:color="auto"/>
            <w:left w:val="none" w:sz="0" w:space="0" w:color="auto"/>
            <w:bottom w:val="none" w:sz="0" w:space="0" w:color="auto"/>
            <w:right w:val="none" w:sz="0" w:space="0" w:color="auto"/>
          </w:divBdr>
        </w:div>
        <w:div w:id="561672108">
          <w:marLeft w:val="640"/>
          <w:marRight w:val="0"/>
          <w:marTop w:val="0"/>
          <w:marBottom w:val="0"/>
          <w:divBdr>
            <w:top w:val="none" w:sz="0" w:space="0" w:color="auto"/>
            <w:left w:val="none" w:sz="0" w:space="0" w:color="auto"/>
            <w:bottom w:val="none" w:sz="0" w:space="0" w:color="auto"/>
            <w:right w:val="none" w:sz="0" w:space="0" w:color="auto"/>
          </w:divBdr>
        </w:div>
        <w:div w:id="924411806">
          <w:marLeft w:val="640"/>
          <w:marRight w:val="0"/>
          <w:marTop w:val="0"/>
          <w:marBottom w:val="0"/>
          <w:divBdr>
            <w:top w:val="none" w:sz="0" w:space="0" w:color="auto"/>
            <w:left w:val="none" w:sz="0" w:space="0" w:color="auto"/>
            <w:bottom w:val="none" w:sz="0" w:space="0" w:color="auto"/>
            <w:right w:val="none" w:sz="0" w:space="0" w:color="auto"/>
          </w:divBdr>
        </w:div>
        <w:div w:id="1899047329">
          <w:marLeft w:val="640"/>
          <w:marRight w:val="0"/>
          <w:marTop w:val="0"/>
          <w:marBottom w:val="0"/>
          <w:divBdr>
            <w:top w:val="none" w:sz="0" w:space="0" w:color="auto"/>
            <w:left w:val="none" w:sz="0" w:space="0" w:color="auto"/>
            <w:bottom w:val="none" w:sz="0" w:space="0" w:color="auto"/>
            <w:right w:val="none" w:sz="0" w:space="0" w:color="auto"/>
          </w:divBdr>
        </w:div>
        <w:div w:id="603852734">
          <w:marLeft w:val="640"/>
          <w:marRight w:val="0"/>
          <w:marTop w:val="0"/>
          <w:marBottom w:val="0"/>
          <w:divBdr>
            <w:top w:val="none" w:sz="0" w:space="0" w:color="auto"/>
            <w:left w:val="none" w:sz="0" w:space="0" w:color="auto"/>
            <w:bottom w:val="none" w:sz="0" w:space="0" w:color="auto"/>
            <w:right w:val="none" w:sz="0" w:space="0" w:color="auto"/>
          </w:divBdr>
        </w:div>
        <w:div w:id="888347226">
          <w:marLeft w:val="640"/>
          <w:marRight w:val="0"/>
          <w:marTop w:val="0"/>
          <w:marBottom w:val="0"/>
          <w:divBdr>
            <w:top w:val="none" w:sz="0" w:space="0" w:color="auto"/>
            <w:left w:val="none" w:sz="0" w:space="0" w:color="auto"/>
            <w:bottom w:val="none" w:sz="0" w:space="0" w:color="auto"/>
            <w:right w:val="none" w:sz="0" w:space="0" w:color="auto"/>
          </w:divBdr>
        </w:div>
        <w:div w:id="1746490917">
          <w:marLeft w:val="640"/>
          <w:marRight w:val="0"/>
          <w:marTop w:val="0"/>
          <w:marBottom w:val="0"/>
          <w:divBdr>
            <w:top w:val="none" w:sz="0" w:space="0" w:color="auto"/>
            <w:left w:val="none" w:sz="0" w:space="0" w:color="auto"/>
            <w:bottom w:val="none" w:sz="0" w:space="0" w:color="auto"/>
            <w:right w:val="none" w:sz="0" w:space="0" w:color="auto"/>
          </w:divBdr>
        </w:div>
        <w:div w:id="2048681069">
          <w:marLeft w:val="640"/>
          <w:marRight w:val="0"/>
          <w:marTop w:val="0"/>
          <w:marBottom w:val="0"/>
          <w:divBdr>
            <w:top w:val="none" w:sz="0" w:space="0" w:color="auto"/>
            <w:left w:val="none" w:sz="0" w:space="0" w:color="auto"/>
            <w:bottom w:val="none" w:sz="0" w:space="0" w:color="auto"/>
            <w:right w:val="none" w:sz="0" w:space="0" w:color="auto"/>
          </w:divBdr>
        </w:div>
        <w:div w:id="1389113940">
          <w:marLeft w:val="640"/>
          <w:marRight w:val="0"/>
          <w:marTop w:val="0"/>
          <w:marBottom w:val="0"/>
          <w:divBdr>
            <w:top w:val="none" w:sz="0" w:space="0" w:color="auto"/>
            <w:left w:val="none" w:sz="0" w:space="0" w:color="auto"/>
            <w:bottom w:val="none" w:sz="0" w:space="0" w:color="auto"/>
            <w:right w:val="none" w:sz="0" w:space="0" w:color="auto"/>
          </w:divBdr>
        </w:div>
        <w:div w:id="58404214">
          <w:marLeft w:val="640"/>
          <w:marRight w:val="0"/>
          <w:marTop w:val="0"/>
          <w:marBottom w:val="0"/>
          <w:divBdr>
            <w:top w:val="none" w:sz="0" w:space="0" w:color="auto"/>
            <w:left w:val="none" w:sz="0" w:space="0" w:color="auto"/>
            <w:bottom w:val="none" w:sz="0" w:space="0" w:color="auto"/>
            <w:right w:val="none" w:sz="0" w:space="0" w:color="auto"/>
          </w:divBdr>
        </w:div>
        <w:div w:id="275602389">
          <w:marLeft w:val="640"/>
          <w:marRight w:val="0"/>
          <w:marTop w:val="0"/>
          <w:marBottom w:val="0"/>
          <w:divBdr>
            <w:top w:val="none" w:sz="0" w:space="0" w:color="auto"/>
            <w:left w:val="none" w:sz="0" w:space="0" w:color="auto"/>
            <w:bottom w:val="none" w:sz="0" w:space="0" w:color="auto"/>
            <w:right w:val="none" w:sz="0" w:space="0" w:color="auto"/>
          </w:divBdr>
        </w:div>
        <w:div w:id="1830823680">
          <w:marLeft w:val="640"/>
          <w:marRight w:val="0"/>
          <w:marTop w:val="0"/>
          <w:marBottom w:val="0"/>
          <w:divBdr>
            <w:top w:val="none" w:sz="0" w:space="0" w:color="auto"/>
            <w:left w:val="none" w:sz="0" w:space="0" w:color="auto"/>
            <w:bottom w:val="none" w:sz="0" w:space="0" w:color="auto"/>
            <w:right w:val="none" w:sz="0" w:space="0" w:color="auto"/>
          </w:divBdr>
        </w:div>
        <w:div w:id="1934584591">
          <w:marLeft w:val="640"/>
          <w:marRight w:val="0"/>
          <w:marTop w:val="0"/>
          <w:marBottom w:val="0"/>
          <w:divBdr>
            <w:top w:val="none" w:sz="0" w:space="0" w:color="auto"/>
            <w:left w:val="none" w:sz="0" w:space="0" w:color="auto"/>
            <w:bottom w:val="none" w:sz="0" w:space="0" w:color="auto"/>
            <w:right w:val="none" w:sz="0" w:space="0" w:color="auto"/>
          </w:divBdr>
        </w:div>
        <w:div w:id="316419512">
          <w:marLeft w:val="640"/>
          <w:marRight w:val="0"/>
          <w:marTop w:val="0"/>
          <w:marBottom w:val="0"/>
          <w:divBdr>
            <w:top w:val="none" w:sz="0" w:space="0" w:color="auto"/>
            <w:left w:val="none" w:sz="0" w:space="0" w:color="auto"/>
            <w:bottom w:val="none" w:sz="0" w:space="0" w:color="auto"/>
            <w:right w:val="none" w:sz="0" w:space="0" w:color="auto"/>
          </w:divBdr>
        </w:div>
        <w:div w:id="1234318907">
          <w:marLeft w:val="640"/>
          <w:marRight w:val="0"/>
          <w:marTop w:val="0"/>
          <w:marBottom w:val="0"/>
          <w:divBdr>
            <w:top w:val="none" w:sz="0" w:space="0" w:color="auto"/>
            <w:left w:val="none" w:sz="0" w:space="0" w:color="auto"/>
            <w:bottom w:val="none" w:sz="0" w:space="0" w:color="auto"/>
            <w:right w:val="none" w:sz="0" w:space="0" w:color="auto"/>
          </w:divBdr>
        </w:div>
      </w:divsChild>
    </w:div>
    <w:div w:id="1469787372">
      <w:bodyDiv w:val="1"/>
      <w:marLeft w:val="0"/>
      <w:marRight w:val="0"/>
      <w:marTop w:val="0"/>
      <w:marBottom w:val="0"/>
      <w:divBdr>
        <w:top w:val="none" w:sz="0" w:space="0" w:color="auto"/>
        <w:left w:val="none" w:sz="0" w:space="0" w:color="auto"/>
        <w:bottom w:val="none" w:sz="0" w:space="0" w:color="auto"/>
        <w:right w:val="none" w:sz="0" w:space="0" w:color="auto"/>
      </w:divBdr>
      <w:divsChild>
        <w:div w:id="639772831">
          <w:marLeft w:val="640"/>
          <w:marRight w:val="0"/>
          <w:marTop w:val="0"/>
          <w:marBottom w:val="0"/>
          <w:divBdr>
            <w:top w:val="none" w:sz="0" w:space="0" w:color="auto"/>
            <w:left w:val="none" w:sz="0" w:space="0" w:color="auto"/>
            <w:bottom w:val="none" w:sz="0" w:space="0" w:color="auto"/>
            <w:right w:val="none" w:sz="0" w:space="0" w:color="auto"/>
          </w:divBdr>
        </w:div>
        <w:div w:id="620112815">
          <w:marLeft w:val="640"/>
          <w:marRight w:val="0"/>
          <w:marTop w:val="0"/>
          <w:marBottom w:val="0"/>
          <w:divBdr>
            <w:top w:val="none" w:sz="0" w:space="0" w:color="auto"/>
            <w:left w:val="none" w:sz="0" w:space="0" w:color="auto"/>
            <w:bottom w:val="none" w:sz="0" w:space="0" w:color="auto"/>
            <w:right w:val="none" w:sz="0" w:space="0" w:color="auto"/>
          </w:divBdr>
        </w:div>
        <w:div w:id="431513938">
          <w:marLeft w:val="640"/>
          <w:marRight w:val="0"/>
          <w:marTop w:val="0"/>
          <w:marBottom w:val="0"/>
          <w:divBdr>
            <w:top w:val="none" w:sz="0" w:space="0" w:color="auto"/>
            <w:left w:val="none" w:sz="0" w:space="0" w:color="auto"/>
            <w:bottom w:val="none" w:sz="0" w:space="0" w:color="auto"/>
            <w:right w:val="none" w:sz="0" w:space="0" w:color="auto"/>
          </w:divBdr>
        </w:div>
        <w:div w:id="14156780">
          <w:marLeft w:val="640"/>
          <w:marRight w:val="0"/>
          <w:marTop w:val="0"/>
          <w:marBottom w:val="0"/>
          <w:divBdr>
            <w:top w:val="none" w:sz="0" w:space="0" w:color="auto"/>
            <w:left w:val="none" w:sz="0" w:space="0" w:color="auto"/>
            <w:bottom w:val="none" w:sz="0" w:space="0" w:color="auto"/>
            <w:right w:val="none" w:sz="0" w:space="0" w:color="auto"/>
          </w:divBdr>
        </w:div>
        <w:div w:id="2077894098">
          <w:marLeft w:val="640"/>
          <w:marRight w:val="0"/>
          <w:marTop w:val="0"/>
          <w:marBottom w:val="0"/>
          <w:divBdr>
            <w:top w:val="none" w:sz="0" w:space="0" w:color="auto"/>
            <w:left w:val="none" w:sz="0" w:space="0" w:color="auto"/>
            <w:bottom w:val="none" w:sz="0" w:space="0" w:color="auto"/>
            <w:right w:val="none" w:sz="0" w:space="0" w:color="auto"/>
          </w:divBdr>
        </w:div>
        <w:div w:id="1597402166">
          <w:marLeft w:val="640"/>
          <w:marRight w:val="0"/>
          <w:marTop w:val="0"/>
          <w:marBottom w:val="0"/>
          <w:divBdr>
            <w:top w:val="none" w:sz="0" w:space="0" w:color="auto"/>
            <w:left w:val="none" w:sz="0" w:space="0" w:color="auto"/>
            <w:bottom w:val="none" w:sz="0" w:space="0" w:color="auto"/>
            <w:right w:val="none" w:sz="0" w:space="0" w:color="auto"/>
          </w:divBdr>
        </w:div>
        <w:div w:id="67266361">
          <w:marLeft w:val="640"/>
          <w:marRight w:val="0"/>
          <w:marTop w:val="0"/>
          <w:marBottom w:val="0"/>
          <w:divBdr>
            <w:top w:val="none" w:sz="0" w:space="0" w:color="auto"/>
            <w:left w:val="none" w:sz="0" w:space="0" w:color="auto"/>
            <w:bottom w:val="none" w:sz="0" w:space="0" w:color="auto"/>
            <w:right w:val="none" w:sz="0" w:space="0" w:color="auto"/>
          </w:divBdr>
        </w:div>
        <w:div w:id="1737586355">
          <w:marLeft w:val="640"/>
          <w:marRight w:val="0"/>
          <w:marTop w:val="0"/>
          <w:marBottom w:val="0"/>
          <w:divBdr>
            <w:top w:val="none" w:sz="0" w:space="0" w:color="auto"/>
            <w:left w:val="none" w:sz="0" w:space="0" w:color="auto"/>
            <w:bottom w:val="none" w:sz="0" w:space="0" w:color="auto"/>
            <w:right w:val="none" w:sz="0" w:space="0" w:color="auto"/>
          </w:divBdr>
        </w:div>
        <w:div w:id="2096591368">
          <w:marLeft w:val="640"/>
          <w:marRight w:val="0"/>
          <w:marTop w:val="0"/>
          <w:marBottom w:val="0"/>
          <w:divBdr>
            <w:top w:val="none" w:sz="0" w:space="0" w:color="auto"/>
            <w:left w:val="none" w:sz="0" w:space="0" w:color="auto"/>
            <w:bottom w:val="none" w:sz="0" w:space="0" w:color="auto"/>
            <w:right w:val="none" w:sz="0" w:space="0" w:color="auto"/>
          </w:divBdr>
        </w:div>
        <w:div w:id="1839342554">
          <w:marLeft w:val="640"/>
          <w:marRight w:val="0"/>
          <w:marTop w:val="0"/>
          <w:marBottom w:val="0"/>
          <w:divBdr>
            <w:top w:val="none" w:sz="0" w:space="0" w:color="auto"/>
            <w:left w:val="none" w:sz="0" w:space="0" w:color="auto"/>
            <w:bottom w:val="none" w:sz="0" w:space="0" w:color="auto"/>
            <w:right w:val="none" w:sz="0" w:space="0" w:color="auto"/>
          </w:divBdr>
        </w:div>
        <w:div w:id="2081904349">
          <w:marLeft w:val="640"/>
          <w:marRight w:val="0"/>
          <w:marTop w:val="0"/>
          <w:marBottom w:val="0"/>
          <w:divBdr>
            <w:top w:val="none" w:sz="0" w:space="0" w:color="auto"/>
            <w:left w:val="none" w:sz="0" w:space="0" w:color="auto"/>
            <w:bottom w:val="none" w:sz="0" w:space="0" w:color="auto"/>
            <w:right w:val="none" w:sz="0" w:space="0" w:color="auto"/>
          </w:divBdr>
        </w:div>
        <w:div w:id="1981839041">
          <w:marLeft w:val="640"/>
          <w:marRight w:val="0"/>
          <w:marTop w:val="0"/>
          <w:marBottom w:val="0"/>
          <w:divBdr>
            <w:top w:val="none" w:sz="0" w:space="0" w:color="auto"/>
            <w:left w:val="none" w:sz="0" w:space="0" w:color="auto"/>
            <w:bottom w:val="none" w:sz="0" w:space="0" w:color="auto"/>
            <w:right w:val="none" w:sz="0" w:space="0" w:color="auto"/>
          </w:divBdr>
        </w:div>
        <w:div w:id="1254319386">
          <w:marLeft w:val="640"/>
          <w:marRight w:val="0"/>
          <w:marTop w:val="0"/>
          <w:marBottom w:val="0"/>
          <w:divBdr>
            <w:top w:val="none" w:sz="0" w:space="0" w:color="auto"/>
            <w:left w:val="none" w:sz="0" w:space="0" w:color="auto"/>
            <w:bottom w:val="none" w:sz="0" w:space="0" w:color="auto"/>
            <w:right w:val="none" w:sz="0" w:space="0" w:color="auto"/>
          </w:divBdr>
        </w:div>
        <w:div w:id="1052849318">
          <w:marLeft w:val="640"/>
          <w:marRight w:val="0"/>
          <w:marTop w:val="0"/>
          <w:marBottom w:val="0"/>
          <w:divBdr>
            <w:top w:val="none" w:sz="0" w:space="0" w:color="auto"/>
            <w:left w:val="none" w:sz="0" w:space="0" w:color="auto"/>
            <w:bottom w:val="none" w:sz="0" w:space="0" w:color="auto"/>
            <w:right w:val="none" w:sz="0" w:space="0" w:color="auto"/>
          </w:divBdr>
        </w:div>
        <w:div w:id="1793357314">
          <w:marLeft w:val="640"/>
          <w:marRight w:val="0"/>
          <w:marTop w:val="0"/>
          <w:marBottom w:val="0"/>
          <w:divBdr>
            <w:top w:val="none" w:sz="0" w:space="0" w:color="auto"/>
            <w:left w:val="none" w:sz="0" w:space="0" w:color="auto"/>
            <w:bottom w:val="none" w:sz="0" w:space="0" w:color="auto"/>
            <w:right w:val="none" w:sz="0" w:space="0" w:color="auto"/>
          </w:divBdr>
        </w:div>
        <w:div w:id="1859855757">
          <w:marLeft w:val="640"/>
          <w:marRight w:val="0"/>
          <w:marTop w:val="0"/>
          <w:marBottom w:val="0"/>
          <w:divBdr>
            <w:top w:val="none" w:sz="0" w:space="0" w:color="auto"/>
            <w:left w:val="none" w:sz="0" w:space="0" w:color="auto"/>
            <w:bottom w:val="none" w:sz="0" w:space="0" w:color="auto"/>
            <w:right w:val="none" w:sz="0" w:space="0" w:color="auto"/>
          </w:divBdr>
        </w:div>
        <w:div w:id="1948926525">
          <w:marLeft w:val="640"/>
          <w:marRight w:val="0"/>
          <w:marTop w:val="0"/>
          <w:marBottom w:val="0"/>
          <w:divBdr>
            <w:top w:val="none" w:sz="0" w:space="0" w:color="auto"/>
            <w:left w:val="none" w:sz="0" w:space="0" w:color="auto"/>
            <w:bottom w:val="none" w:sz="0" w:space="0" w:color="auto"/>
            <w:right w:val="none" w:sz="0" w:space="0" w:color="auto"/>
          </w:divBdr>
        </w:div>
        <w:div w:id="2008820687">
          <w:marLeft w:val="640"/>
          <w:marRight w:val="0"/>
          <w:marTop w:val="0"/>
          <w:marBottom w:val="0"/>
          <w:divBdr>
            <w:top w:val="none" w:sz="0" w:space="0" w:color="auto"/>
            <w:left w:val="none" w:sz="0" w:space="0" w:color="auto"/>
            <w:bottom w:val="none" w:sz="0" w:space="0" w:color="auto"/>
            <w:right w:val="none" w:sz="0" w:space="0" w:color="auto"/>
          </w:divBdr>
        </w:div>
        <w:div w:id="492527629">
          <w:marLeft w:val="640"/>
          <w:marRight w:val="0"/>
          <w:marTop w:val="0"/>
          <w:marBottom w:val="0"/>
          <w:divBdr>
            <w:top w:val="none" w:sz="0" w:space="0" w:color="auto"/>
            <w:left w:val="none" w:sz="0" w:space="0" w:color="auto"/>
            <w:bottom w:val="none" w:sz="0" w:space="0" w:color="auto"/>
            <w:right w:val="none" w:sz="0" w:space="0" w:color="auto"/>
          </w:divBdr>
        </w:div>
        <w:div w:id="1850563658">
          <w:marLeft w:val="640"/>
          <w:marRight w:val="0"/>
          <w:marTop w:val="0"/>
          <w:marBottom w:val="0"/>
          <w:divBdr>
            <w:top w:val="none" w:sz="0" w:space="0" w:color="auto"/>
            <w:left w:val="none" w:sz="0" w:space="0" w:color="auto"/>
            <w:bottom w:val="none" w:sz="0" w:space="0" w:color="auto"/>
            <w:right w:val="none" w:sz="0" w:space="0" w:color="auto"/>
          </w:divBdr>
        </w:div>
        <w:div w:id="302198518">
          <w:marLeft w:val="640"/>
          <w:marRight w:val="0"/>
          <w:marTop w:val="0"/>
          <w:marBottom w:val="0"/>
          <w:divBdr>
            <w:top w:val="none" w:sz="0" w:space="0" w:color="auto"/>
            <w:left w:val="none" w:sz="0" w:space="0" w:color="auto"/>
            <w:bottom w:val="none" w:sz="0" w:space="0" w:color="auto"/>
            <w:right w:val="none" w:sz="0" w:space="0" w:color="auto"/>
          </w:divBdr>
        </w:div>
        <w:div w:id="1946308499">
          <w:marLeft w:val="640"/>
          <w:marRight w:val="0"/>
          <w:marTop w:val="0"/>
          <w:marBottom w:val="0"/>
          <w:divBdr>
            <w:top w:val="none" w:sz="0" w:space="0" w:color="auto"/>
            <w:left w:val="none" w:sz="0" w:space="0" w:color="auto"/>
            <w:bottom w:val="none" w:sz="0" w:space="0" w:color="auto"/>
            <w:right w:val="none" w:sz="0" w:space="0" w:color="auto"/>
          </w:divBdr>
        </w:div>
        <w:div w:id="1293907621">
          <w:marLeft w:val="640"/>
          <w:marRight w:val="0"/>
          <w:marTop w:val="0"/>
          <w:marBottom w:val="0"/>
          <w:divBdr>
            <w:top w:val="none" w:sz="0" w:space="0" w:color="auto"/>
            <w:left w:val="none" w:sz="0" w:space="0" w:color="auto"/>
            <w:bottom w:val="none" w:sz="0" w:space="0" w:color="auto"/>
            <w:right w:val="none" w:sz="0" w:space="0" w:color="auto"/>
          </w:divBdr>
        </w:div>
        <w:div w:id="2005353388">
          <w:marLeft w:val="640"/>
          <w:marRight w:val="0"/>
          <w:marTop w:val="0"/>
          <w:marBottom w:val="0"/>
          <w:divBdr>
            <w:top w:val="none" w:sz="0" w:space="0" w:color="auto"/>
            <w:left w:val="none" w:sz="0" w:space="0" w:color="auto"/>
            <w:bottom w:val="none" w:sz="0" w:space="0" w:color="auto"/>
            <w:right w:val="none" w:sz="0" w:space="0" w:color="auto"/>
          </w:divBdr>
        </w:div>
        <w:div w:id="1763451484">
          <w:marLeft w:val="640"/>
          <w:marRight w:val="0"/>
          <w:marTop w:val="0"/>
          <w:marBottom w:val="0"/>
          <w:divBdr>
            <w:top w:val="none" w:sz="0" w:space="0" w:color="auto"/>
            <w:left w:val="none" w:sz="0" w:space="0" w:color="auto"/>
            <w:bottom w:val="none" w:sz="0" w:space="0" w:color="auto"/>
            <w:right w:val="none" w:sz="0" w:space="0" w:color="auto"/>
          </w:divBdr>
        </w:div>
        <w:div w:id="2114325084">
          <w:marLeft w:val="640"/>
          <w:marRight w:val="0"/>
          <w:marTop w:val="0"/>
          <w:marBottom w:val="0"/>
          <w:divBdr>
            <w:top w:val="none" w:sz="0" w:space="0" w:color="auto"/>
            <w:left w:val="none" w:sz="0" w:space="0" w:color="auto"/>
            <w:bottom w:val="none" w:sz="0" w:space="0" w:color="auto"/>
            <w:right w:val="none" w:sz="0" w:space="0" w:color="auto"/>
          </w:divBdr>
        </w:div>
        <w:div w:id="1953243752">
          <w:marLeft w:val="640"/>
          <w:marRight w:val="0"/>
          <w:marTop w:val="0"/>
          <w:marBottom w:val="0"/>
          <w:divBdr>
            <w:top w:val="none" w:sz="0" w:space="0" w:color="auto"/>
            <w:left w:val="none" w:sz="0" w:space="0" w:color="auto"/>
            <w:bottom w:val="none" w:sz="0" w:space="0" w:color="auto"/>
            <w:right w:val="none" w:sz="0" w:space="0" w:color="auto"/>
          </w:divBdr>
        </w:div>
        <w:div w:id="1233392132">
          <w:marLeft w:val="640"/>
          <w:marRight w:val="0"/>
          <w:marTop w:val="0"/>
          <w:marBottom w:val="0"/>
          <w:divBdr>
            <w:top w:val="none" w:sz="0" w:space="0" w:color="auto"/>
            <w:left w:val="none" w:sz="0" w:space="0" w:color="auto"/>
            <w:bottom w:val="none" w:sz="0" w:space="0" w:color="auto"/>
            <w:right w:val="none" w:sz="0" w:space="0" w:color="auto"/>
          </w:divBdr>
        </w:div>
        <w:div w:id="1649431039">
          <w:marLeft w:val="640"/>
          <w:marRight w:val="0"/>
          <w:marTop w:val="0"/>
          <w:marBottom w:val="0"/>
          <w:divBdr>
            <w:top w:val="none" w:sz="0" w:space="0" w:color="auto"/>
            <w:left w:val="none" w:sz="0" w:space="0" w:color="auto"/>
            <w:bottom w:val="none" w:sz="0" w:space="0" w:color="auto"/>
            <w:right w:val="none" w:sz="0" w:space="0" w:color="auto"/>
          </w:divBdr>
        </w:div>
        <w:div w:id="421340547">
          <w:marLeft w:val="640"/>
          <w:marRight w:val="0"/>
          <w:marTop w:val="0"/>
          <w:marBottom w:val="0"/>
          <w:divBdr>
            <w:top w:val="none" w:sz="0" w:space="0" w:color="auto"/>
            <w:left w:val="none" w:sz="0" w:space="0" w:color="auto"/>
            <w:bottom w:val="none" w:sz="0" w:space="0" w:color="auto"/>
            <w:right w:val="none" w:sz="0" w:space="0" w:color="auto"/>
          </w:divBdr>
        </w:div>
        <w:div w:id="1274823518">
          <w:marLeft w:val="640"/>
          <w:marRight w:val="0"/>
          <w:marTop w:val="0"/>
          <w:marBottom w:val="0"/>
          <w:divBdr>
            <w:top w:val="none" w:sz="0" w:space="0" w:color="auto"/>
            <w:left w:val="none" w:sz="0" w:space="0" w:color="auto"/>
            <w:bottom w:val="none" w:sz="0" w:space="0" w:color="auto"/>
            <w:right w:val="none" w:sz="0" w:space="0" w:color="auto"/>
          </w:divBdr>
        </w:div>
        <w:div w:id="1589197830">
          <w:marLeft w:val="640"/>
          <w:marRight w:val="0"/>
          <w:marTop w:val="0"/>
          <w:marBottom w:val="0"/>
          <w:divBdr>
            <w:top w:val="none" w:sz="0" w:space="0" w:color="auto"/>
            <w:left w:val="none" w:sz="0" w:space="0" w:color="auto"/>
            <w:bottom w:val="none" w:sz="0" w:space="0" w:color="auto"/>
            <w:right w:val="none" w:sz="0" w:space="0" w:color="auto"/>
          </w:divBdr>
        </w:div>
        <w:div w:id="1717001377">
          <w:marLeft w:val="640"/>
          <w:marRight w:val="0"/>
          <w:marTop w:val="0"/>
          <w:marBottom w:val="0"/>
          <w:divBdr>
            <w:top w:val="none" w:sz="0" w:space="0" w:color="auto"/>
            <w:left w:val="none" w:sz="0" w:space="0" w:color="auto"/>
            <w:bottom w:val="none" w:sz="0" w:space="0" w:color="auto"/>
            <w:right w:val="none" w:sz="0" w:space="0" w:color="auto"/>
          </w:divBdr>
        </w:div>
        <w:div w:id="1695305665">
          <w:marLeft w:val="640"/>
          <w:marRight w:val="0"/>
          <w:marTop w:val="0"/>
          <w:marBottom w:val="0"/>
          <w:divBdr>
            <w:top w:val="none" w:sz="0" w:space="0" w:color="auto"/>
            <w:left w:val="none" w:sz="0" w:space="0" w:color="auto"/>
            <w:bottom w:val="none" w:sz="0" w:space="0" w:color="auto"/>
            <w:right w:val="none" w:sz="0" w:space="0" w:color="auto"/>
          </w:divBdr>
        </w:div>
        <w:div w:id="1708944762">
          <w:marLeft w:val="640"/>
          <w:marRight w:val="0"/>
          <w:marTop w:val="0"/>
          <w:marBottom w:val="0"/>
          <w:divBdr>
            <w:top w:val="none" w:sz="0" w:space="0" w:color="auto"/>
            <w:left w:val="none" w:sz="0" w:space="0" w:color="auto"/>
            <w:bottom w:val="none" w:sz="0" w:space="0" w:color="auto"/>
            <w:right w:val="none" w:sz="0" w:space="0" w:color="auto"/>
          </w:divBdr>
        </w:div>
        <w:div w:id="1643778254">
          <w:marLeft w:val="640"/>
          <w:marRight w:val="0"/>
          <w:marTop w:val="0"/>
          <w:marBottom w:val="0"/>
          <w:divBdr>
            <w:top w:val="none" w:sz="0" w:space="0" w:color="auto"/>
            <w:left w:val="none" w:sz="0" w:space="0" w:color="auto"/>
            <w:bottom w:val="none" w:sz="0" w:space="0" w:color="auto"/>
            <w:right w:val="none" w:sz="0" w:space="0" w:color="auto"/>
          </w:divBdr>
        </w:div>
        <w:div w:id="1192838097">
          <w:marLeft w:val="640"/>
          <w:marRight w:val="0"/>
          <w:marTop w:val="0"/>
          <w:marBottom w:val="0"/>
          <w:divBdr>
            <w:top w:val="none" w:sz="0" w:space="0" w:color="auto"/>
            <w:left w:val="none" w:sz="0" w:space="0" w:color="auto"/>
            <w:bottom w:val="none" w:sz="0" w:space="0" w:color="auto"/>
            <w:right w:val="none" w:sz="0" w:space="0" w:color="auto"/>
          </w:divBdr>
        </w:div>
        <w:div w:id="380986597">
          <w:marLeft w:val="640"/>
          <w:marRight w:val="0"/>
          <w:marTop w:val="0"/>
          <w:marBottom w:val="0"/>
          <w:divBdr>
            <w:top w:val="none" w:sz="0" w:space="0" w:color="auto"/>
            <w:left w:val="none" w:sz="0" w:space="0" w:color="auto"/>
            <w:bottom w:val="none" w:sz="0" w:space="0" w:color="auto"/>
            <w:right w:val="none" w:sz="0" w:space="0" w:color="auto"/>
          </w:divBdr>
        </w:div>
        <w:div w:id="2108228541">
          <w:marLeft w:val="640"/>
          <w:marRight w:val="0"/>
          <w:marTop w:val="0"/>
          <w:marBottom w:val="0"/>
          <w:divBdr>
            <w:top w:val="none" w:sz="0" w:space="0" w:color="auto"/>
            <w:left w:val="none" w:sz="0" w:space="0" w:color="auto"/>
            <w:bottom w:val="none" w:sz="0" w:space="0" w:color="auto"/>
            <w:right w:val="none" w:sz="0" w:space="0" w:color="auto"/>
          </w:divBdr>
        </w:div>
        <w:div w:id="1704400434">
          <w:marLeft w:val="640"/>
          <w:marRight w:val="0"/>
          <w:marTop w:val="0"/>
          <w:marBottom w:val="0"/>
          <w:divBdr>
            <w:top w:val="none" w:sz="0" w:space="0" w:color="auto"/>
            <w:left w:val="none" w:sz="0" w:space="0" w:color="auto"/>
            <w:bottom w:val="none" w:sz="0" w:space="0" w:color="auto"/>
            <w:right w:val="none" w:sz="0" w:space="0" w:color="auto"/>
          </w:divBdr>
        </w:div>
        <w:div w:id="600068956">
          <w:marLeft w:val="640"/>
          <w:marRight w:val="0"/>
          <w:marTop w:val="0"/>
          <w:marBottom w:val="0"/>
          <w:divBdr>
            <w:top w:val="none" w:sz="0" w:space="0" w:color="auto"/>
            <w:left w:val="none" w:sz="0" w:space="0" w:color="auto"/>
            <w:bottom w:val="none" w:sz="0" w:space="0" w:color="auto"/>
            <w:right w:val="none" w:sz="0" w:space="0" w:color="auto"/>
          </w:divBdr>
        </w:div>
        <w:div w:id="1650210686">
          <w:marLeft w:val="640"/>
          <w:marRight w:val="0"/>
          <w:marTop w:val="0"/>
          <w:marBottom w:val="0"/>
          <w:divBdr>
            <w:top w:val="none" w:sz="0" w:space="0" w:color="auto"/>
            <w:left w:val="none" w:sz="0" w:space="0" w:color="auto"/>
            <w:bottom w:val="none" w:sz="0" w:space="0" w:color="auto"/>
            <w:right w:val="none" w:sz="0" w:space="0" w:color="auto"/>
          </w:divBdr>
        </w:div>
        <w:div w:id="1113404949">
          <w:marLeft w:val="640"/>
          <w:marRight w:val="0"/>
          <w:marTop w:val="0"/>
          <w:marBottom w:val="0"/>
          <w:divBdr>
            <w:top w:val="none" w:sz="0" w:space="0" w:color="auto"/>
            <w:left w:val="none" w:sz="0" w:space="0" w:color="auto"/>
            <w:bottom w:val="none" w:sz="0" w:space="0" w:color="auto"/>
            <w:right w:val="none" w:sz="0" w:space="0" w:color="auto"/>
          </w:divBdr>
        </w:div>
        <w:div w:id="800078547">
          <w:marLeft w:val="640"/>
          <w:marRight w:val="0"/>
          <w:marTop w:val="0"/>
          <w:marBottom w:val="0"/>
          <w:divBdr>
            <w:top w:val="none" w:sz="0" w:space="0" w:color="auto"/>
            <w:left w:val="none" w:sz="0" w:space="0" w:color="auto"/>
            <w:bottom w:val="none" w:sz="0" w:space="0" w:color="auto"/>
            <w:right w:val="none" w:sz="0" w:space="0" w:color="auto"/>
          </w:divBdr>
        </w:div>
        <w:div w:id="434982331">
          <w:marLeft w:val="640"/>
          <w:marRight w:val="0"/>
          <w:marTop w:val="0"/>
          <w:marBottom w:val="0"/>
          <w:divBdr>
            <w:top w:val="none" w:sz="0" w:space="0" w:color="auto"/>
            <w:left w:val="none" w:sz="0" w:space="0" w:color="auto"/>
            <w:bottom w:val="none" w:sz="0" w:space="0" w:color="auto"/>
            <w:right w:val="none" w:sz="0" w:space="0" w:color="auto"/>
          </w:divBdr>
        </w:div>
        <w:div w:id="228687212">
          <w:marLeft w:val="640"/>
          <w:marRight w:val="0"/>
          <w:marTop w:val="0"/>
          <w:marBottom w:val="0"/>
          <w:divBdr>
            <w:top w:val="none" w:sz="0" w:space="0" w:color="auto"/>
            <w:left w:val="none" w:sz="0" w:space="0" w:color="auto"/>
            <w:bottom w:val="none" w:sz="0" w:space="0" w:color="auto"/>
            <w:right w:val="none" w:sz="0" w:space="0" w:color="auto"/>
          </w:divBdr>
        </w:div>
        <w:div w:id="2045059501">
          <w:marLeft w:val="640"/>
          <w:marRight w:val="0"/>
          <w:marTop w:val="0"/>
          <w:marBottom w:val="0"/>
          <w:divBdr>
            <w:top w:val="none" w:sz="0" w:space="0" w:color="auto"/>
            <w:left w:val="none" w:sz="0" w:space="0" w:color="auto"/>
            <w:bottom w:val="none" w:sz="0" w:space="0" w:color="auto"/>
            <w:right w:val="none" w:sz="0" w:space="0" w:color="auto"/>
          </w:divBdr>
        </w:div>
        <w:div w:id="1929004067">
          <w:marLeft w:val="640"/>
          <w:marRight w:val="0"/>
          <w:marTop w:val="0"/>
          <w:marBottom w:val="0"/>
          <w:divBdr>
            <w:top w:val="none" w:sz="0" w:space="0" w:color="auto"/>
            <w:left w:val="none" w:sz="0" w:space="0" w:color="auto"/>
            <w:bottom w:val="none" w:sz="0" w:space="0" w:color="auto"/>
            <w:right w:val="none" w:sz="0" w:space="0" w:color="auto"/>
          </w:divBdr>
        </w:div>
        <w:div w:id="1549878429">
          <w:marLeft w:val="640"/>
          <w:marRight w:val="0"/>
          <w:marTop w:val="0"/>
          <w:marBottom w:val="0"/>
          <w:divBdr>
            <w:top w:val="none" w:sz="0" w:space="0" w:color="auto"/>
            <w:left w:val="none" w:sz="0" w:space="0" w:color="auto"/>
            <w:bottom w:val="none" w:sz="0" w:space="0" w:color="auto"/>
            <w:right w:val="none" w:sz="0" w:space="0" w:color="auto"/>
          </w:divBdr>
        </w:div>
        <w:div w:id="592470902">
          <w:marLeft w:val="640"/>
          <w:marRight w:val="0"/>
          <w:marTop w:val="0"/>
          <w:marBottom w:val="0"/>
          <w:divBdr>
            <w:top w:val="none" w:sz="0" w:space="0" w:color="auto"/>
            <w:left w:val="none" w:sz="0" w:space="0" w:color="auto"/>
            <w:bottom w:val="none" w:sz="0" w:space="0" w:color="auto"/>
            <w:right w:val="none" w:sz="0" w:space="0" w:color="auto"/>
          </w:divBdr>
        </w:div>
        <w:div w:id="880484971">
          <w:marLeft w:val="640"/>
          <w:marRight w:val="0"/>
          <w:marTop w:val="0"/>
          <w:marBottom w:val="0"/>
          <w:divBdr>
            <w:top w:val="none" w:sz="0" w:space="0" w:color="auto"/>
            <w:left w:val="none" w:sz="0" w:space="0" w:color="auto"/>
            <w:bottom w:val="none" w:sz="0" w:space="0" w:color="auto"/>
            <w:right w:val="none" w:sz="0" w:space="0" w:color="auto"/>
          </w:divBdr>
        </w:div>
        <w:div w:id="440804697">
          <w:marLeft w:val="640"/>
          <w:marRight w:val="0"/>
          <w:marTop w:val="0"/>
          <w:marBottom w:val="0"/>
          <w:divBdr>
            <w:top w:val="none" w:sz="0" w:space="0" w:color="auto"/>
            <w:left w:val="none" w:sz="0" w:space="0" w:color="auto"/>
            <w:bottom w:val="none" w:sz="0" w:space="0" w:color="auto"/>
            <w:right w:val="none" w:sz="0" w:space="0" w:color="auto"/>
          </w:divBdr>
        </w:div>
        <w:div w:id="143818494">
          <w:marLeft w:val="640"/>
          <w:marRight w:val="0"/>
          <w:marTop w:val="0"/>
          <w:marBottom w:val="0"/>
          <w:divBdr>
            <w:top w:val="none" w:sz="0" w:space="0" w:color="auto"/>
            <w:left w:val="none" w:sz="0" w:space="0" w:color="auto"/>
            <w:bottom w:val="none" w:sz="0" w:space="0" w:color="auto"/>
            <w:right w:val="none" w:sz="0" w:space="0" w:color="auto"/>
          </w:divBdr>
        </w:div>
        <w:div w:id="351423866">
          <w:marLeft w:val="640"/>
          <w:marRight w:val="0"/>
          <w:marTop w:val="0"/>
          <w:marBottom w:val="0"/>
          <w:divBdr>
            <w:top w:val="none" w:sz="0" w:space="0" w:color="auto"/>
            <w:left w:val="none" w:sz="0" w:space="0" w:color="auto"/>
            <w:bottom w:val="none" w:sz="0" w:space="0" w:color="auto"/>
            <w:right w:val="none" w:sz="0" w:space="0" w:color="auto"/>
          </w:divBdr>
        </w:div>
        <w:div w:id="1583758940">
          <w:marLeft w:val="640"/>
          <w:marRight w:val="0"/>
          <w:marTop w:val="0"/>
          <w:marBottom w:val="0"/>
          <w:divBdr>
            <w:top w:val="none" w:sz="0" w:space="0" w:color="auto"/>
            <w:left w:val="none" w:sz="0" w:space="0" w:color="auto"/>
            <w:bottom w:val="none" w:sz="0" w:space="0" w:color="auto"/>
            <w:right w:val="none" w:sz="0" w:space="0" w:color="auto"/>
          </w:divBdr>
        </w:div>
        <w:div w:id="153231516">
          <w:marLeft w:val="640"/>
          <w:marRight w:val="0"/>
          <w:marTop w:val="0"/>
          <w:marBottom w:val="0"/>
          <w:divBdr>
            <w:top w:val="none" w:sz="0" w:space="0" w:color="auto"/>
            <w:left w:val="none" w:sz="0" w:space="0" w:color="auto"/>
            <w:bottom w:val="none" w:sz="0" w:space="0" w:color="auto"/>
            <w:right w:val="none" w:sz="0" w:space="0" w:color="auto"/>
          </w:divBdr>
        </w:div>
        <w:div w:id="1171414656">
          <w:marLeft w:val="640"/>
          <w:marRight w:val="0"/>
          <w:marTop w:val="0"/>
          <w:marBottom w:val="0"/>
          <w:divBdr>
            <w:top w:val="none" w:sz="0" w:space="0" w:color="auto"/>
            <w:left w:val="none" w:sz="0" w:space="0" w:color="auto"/>
            <w:bottom w:val="none" w:sz="0" w:space="0" w:color="auto"/>
            <w:right w:val="none" w:sz="0" w:space="0" w:color="auto"/>
          </w:divBdr>
        </w:div>
        <w:div w:id="1490751602">
          <w:marLeft w:val="640"/>
          <w:marRight w:val="0"/>
          <w:marTop w:val="0"/>
          <w:marBottom w:val="0"/>
          <w:divBdr>
            <w:top w:val="none" w:sz="0" w:space="0" w:color="auto"/>
            <w:left w:val="none" w:sz="0" w:space="0" w:color="auto"/>
            <w:bottom w:val="none" w:sz="0" w:space="0" w:color="auto"/>
            <w:right w:val="none" w:sz="0" w:space="0" w:color="auto"/>
          </w:divBdr>
        </w:div>
        <w:div w:id="351103351">
          <w:marLeft w:val="640"/>
          <w:marRight w:val="0"/>
          <w:marTop w:val="0"/>
          <w:marBottom w:val="0"/>
          <w:divBdr>
            <w:top w:val="none" w:sz="0" w:space="0" w:color="auto"/>
            <w:left w:val="none" w:sz="0" w:space="0" w:color="auto"/>
            <w:bottom w:val="none" w:sz="0" w:space="0" w:color="auto"/>
            <w:right w:val="none" w:sz="0" w:space="0" w:color="auto"/>
          </w:divBdr>
        </w:div>
        <w:div w:id="1164510959">
          <w:marLeft w:val="640"/>
          <w:marRight w:val="0"/>
          <w:marTop w:val="0"/>
          <w:marBottom w:val="0"/>
          <w:divBdr>
            <w:top w:val="none" w:sz="0" w:space="0" w:color="auto"/>
            <w:left w:val="none" w:sz="0" w:space="0" w:color="auto"/>
            <w:bottom w:val="none" w:sz="0" w:space="0" w:color="auto"/>
            <w:right w:val="none" w:sz="0" w:space="0" w:color="auto"/>
          </w:divBdr>
        </w:div>
        <w:div w:id="896211122">
          <w:marLeft w:val="640"/>
          <w:marRight w:val="0"/>
          <w:marTop w:val="0"/>
          <w:marBottom w:val="0"/>
          <w:divBdr>
            <w:top w:val="none" w:sz="0" w:space="0" w:color="auto"/>
            <w:left w:val="none" w:sz="0" w:space="0" w:color="auto"/>
            <w:bottom w:val="none" w:sz="0" w:space="0" w:color="auto"/>
            <w:right w:val="none" w:sz="0" w:space="0" w:color="auto"/>
          </w:divBdr>
        </w:div>
        <w:div w:id="981735570">
          <w:marLeft w:val="640"/>
          <w:marRight w:val="0"/>
          <w:marTop w:val="0"/>
          <w:marBottom w:val="0"/>
          <w:divBdr>
            <w:top w:val="none" w:sz="0" w:space="0" w:color="auto"/>
            <w:left w:val="none" w:sz="0" w:space="0" w:color="auto"/>
            <w:bottom w:val="none" w:sz="0" w:space="0" w:color="auto"/>
            <w:right w:val="none" w:sz="0" w:space="0" w:color="auto"/>
          </w:divBdr>
        </w:div>
        <w:div w:id="1978293960">
          <w:marLeft w:val="640"/>
          <w:marRight w:val="0"/>
          <w:marTop w:val="0"/>
          <w:marBottom w:val="0"/>
          <w:divBdr>
            <w:top w:val="none" w:sz="0" w:space="0" w:color="auto"/>
            <w:left w:val="none" w:sz="0" w:space="0" w:color="auto"/>
            <w:bottom w:val="none" w:sz="0" w:space="0" w:color="auto"/>
            <w:right w:val="none" w:sz="0" w:space="0" w:color="auto"/>
          </w:divBdr>
        </w:div>
        <w:div w:id="84963606">
          <w:marLeft w:val="640"/>
          <w:marRight w:val="0"/>
          <w:marTop w:val="0"/>
          <w:marBottom w:val="0"/>
          <w:divBdr>
            <w:top w:val="none" w:sz="0" w:space="0" w:color="auto"/>
            <w:left w:val="none" w:sz="0" w:space="0" w:color="auto"/>
            <w:bottom w:val="none" w:sz="0" w:space="0" w:color="auto"/>
            <w:right w:val="none" w:sz="0" w:space="0" w:color="auto"/>
          </w:divBdr>
        </w:div>
        <w:div w:id="880365181">
          <w:marLeft w:val="640"/>
          <w:marRight w:val="0"/>
          <w:marTop w:val="0"/>
          <w:marBottom w:val="0"/>
          <w:divBdr>
            <w:top w:val="none" w:sz="0" w:space="0" w:color="auto"/>
            <w:left w:val="none" w:sz="0" w:space="0" w:color="auto"/>
            <w:bottom w:val="none" w:sz="0" w:space="0" w:color="auto"/>
            <w:right w:val="none" w:sz="0" w:space="0" w:color="auto"/>
          </w:divBdr>
        </w:div>
        <w:div w:id="1300378975">
          <w:marLeft w:val="640"/>
          <w:marRight w:val="0"/>
          <w:marTop w:val="0"/>
          <w:marBottom w:val="0"/>
          <w:divBdr>
            <w:top w:val="none" w:sz="0" w:space="0" w:color="auto"/>
            <w:left w:val="none" w:sz="0" w:space="0" w:color="auto"/>
            <w:bottom w:val="none" w:sz="0" w:space="0" w:color="auto"/>
            <w:right w:val="none" w:sz="0" w:space="0" w:color="auto"/>
          </w:divBdr>
        </w:div>
        <w:div w:id="73088372">
          <w:marLeft w:val="640"/>
          <w:marRight w:val="0"/>
          <w:marTop w:val="0"/>
          <w:marBottom w:val="0"/>
          <w:divBdr>
            <w:top w:val="none" w:sz="0" w:space="0" w:color="auto"/>
            <w:left w:val="none" w:sz="0" w:space="0" w:color="auto"/>
            <w:bottom w:val="none" w:sz="0" w:space="0" w:color="auto"/>
            <w:right w:val="none" w:sz="0" w:space="0" w:color="auto"/>
          </w:divBdr>
        </w:div>
        <w:div w:id="1432361703">
          <w:marLeft w:val="640"/>
          <w:marRight w:val="0"/>
          <w:marTop w:val="0"/>
          <w:marBottom w:val="0"/>
          <w:divBdr>
            <w:top w:val="none" w:sz="0" w:space="0" w:color="auto"/>
            <w:left w:val="none" w:sz="0" w:space="0" w:color="auto"/>
            <w:bottom w:val="none" w:sz="0" w:space="0" w:color="auto"/>
            <w:right w:val="none" w:sz="0" w:space="0" w:color="auto"/>
          </w:divBdr>
        </w:div>
        <w:div w:id="1157695488">
          <w:marLeft w:val="640"/>
          <w:marRight w:val="0"/>
          <w:marTop w:val="0"/>
          <w:marBottom w:val="0"/>
          <w:divBdr>
            <w:top w:val="none" w:sz="0" w:space="0" w:color="auto"/>
            <w:left w:val="none" w:sz="0" w:space="0" w:color="auto"/>
            <w:bottom w:val="none" w:sz="0" w:space="0" w:color="auto"/>
            <w:right w:val="none" w:sz="0" w:space="0" w:color="auto"/>
          </w:divBdr>
        </w:div>
        <w:div w:id="1030447848">
          <w:marLeft w:val="640"/>
          <w:marRight w:val="0"/>
          <w:marTop w:val="0"/>
          <w:marBottom w:val="0"/>
          <w:divBdr>
            <w:top w:val="none" w:sz="0" w:space="0" w:color="auto"/>
            <w:left w:val="none" w:sz="0" w:space="0" w:color="auto"/>
            <w:bottom w:val="none" w:sz="0" w:space="0" w:color="auto"/>
            <w:right w:val="none" w:sz="0" w:space="0" w:color="auto"/>
          </w:divBdr>
        </w:div>
        <w:div w:id="1491293288">
          <w:marLeft w:val="640"/>
          <w:marRight w:val="0"/>
          <w:marTop w:val="0"/>
          <w:marBottom w:val="0"/>
          <w:divBdr>
            <w:top w:val="none" w:sz="0" w:space="0" w:color="auto"/>
            <w:left w:val="none" w:sz="0" w:space="0" w:color="auto"/>
            <w:bottom w:val="none" w:sz="0" w:space="0" w:color="auto"/>
            <w:right w:val="none" w:sz="0" w:space="0" w:color="auto"/>
          </w:divBdr>
        </w:div>
        <w:div w:id="2084982166">
          <w:marLeft w:val="640"/>
          <w:marRight w:val="0"/>
          <w:marTop w:val="0"/>
          <w:marBottom w:val="0"/>
          <w:divBdr>
            <w:top w:val="none" w:sz="0" w:space="0" w:color="auto"/>
            <w:left w:val="none" w:sz="0" w:space="0" w:color="auto"/>
            <w:bottom w:val="none" w:sz="0" w:space="0" w:color="auto"/>
            <w:right w:val="none" w:sz="0" w:space="0" w:color="auto"/>
          </w:divBdr>
        </w:div>
        <w:div w:id="1226523299">
          <w:marLeft w:val="640"/>
          <w:marRight w:val="0"/>
          <w:marTop w:val="0"/>
          <w:marBottom w:val="0"/>
          <w:divBdr>
            <w:top w:val="none" w:sz="0" w:space="0" w:color="auto"/>
            <w:left w:val="none" w:sz="0" w:space="0" w:color="auto"/>
            <w:bottom w:val="none" w:sz="0" w:space="0" w:color="auto"/>
            <w:right w:val="none" w:sz="0" w:space="0" w:color="auto"/>
          </w:divBdr>
        </w:div>
        <w:div w:id="893270905">
          <w:marLeft w:val="640"/>
          <w:marRight w:val="0"/>
          <w:marTop w:val="0"/>
          <w:marBottom w:val="0"/>
          <w:divBdr>
            <w:top w:val="none" w:sz="0" w:space="0" w:color="auto"/>
            <w:left w:val="none" w:sz="0" w:space="0" w:color="auto"/>
            <w:bottom w:val="none" w:sz="0" w:space="0" w:color="auto"/>
            <w:right w:val="none" w:sz="0" w:space="0" w:color="auto"/>
          </w:divBdr>
        </w:div>
        <w:div w:id="687102583">
          <w:marLeft w:val="640"/>
          <w:marRight w:val="0"/>
          <w:marTop w:val="0"/>
          <w:marBottom w:val="0"/>
          <w:divBdr>
            <w:top w:val="none" w:sz="0" w:space="0" w:color="auto"/>
            <w:left w:val="none" w:sz="0" w:space="0" w:color="auto"/>
            <w:bottom w:val="none" w:sz="0" w:space="0" w:color="auto"/>
            <w:right w:val="none" w:sz="0" w:space="0" w:color="auto"/>
          </w:divBdr>
        </w:div>
        <w:div w:id="790903195">
          <w:marLeft w:val="640"/>
          <w:marRight w:val="0"/>
          <w:marTop w:val="0"/>
          <w:marBottom w:val="0"/>
          <w:divBdr>
            <w:top w:val="none" w:sz="0" w:space="0" w:color="auto"/>
            <w:left w:val="none" w:sz="0" w:space="0" w:color="auto"/>
            <w:bottom w:val="none" w:sz="0" w:space="0" w:color="auto"/>
            <w:right w:val="none" w:sz="0" w:space="0" w:color="auto"/>
          </w:divBdr>
        </w:div>
        <w:div w:id="1087533007">
          <w:marLeft w:val="640"/>
          <w:marRight w:val="0"/>
          <w:marTop w:val="0"/>
          <w:marBottom w:val="0"/>
          <w:divBdr>
            <w:top w:val="none" w:sz="0" w:space="0" w:color="auto"/>
            <w:left w:val="none" w:sz="0" w:space="0" w:color="auto"/>
            <w:bottom w:val="none" w:sz="0" w:space="0" w:color="auto"/>
            <w:right w:val="none" w:sz="0" w:space="0" w:color="auto"/>
          </w:divBdr>
        </w:div>
        <w:div w:id="1488785796">
          <w:marLeft w:val="640"/>
          <w:marRight w:val="0"/>
          <w:marTop w:val="0"/>
          <w:marBottom w:val="0"/>
          <w:divBdr>
            <w:top w:val="none" w:sz="0" w:space="0" w:color="auto"/>
            <w:left w:val="none" w:sz="0" w:space="0" w:color="auto"/>
            <w:bottom w:val="none" w:sz="0" w:space="0" w:color="auto"/>
            <w:right w:val="none" w:sz="0" w:space="0" w:color="auto"/>
          </w:divBdr>
        </w:div>
        <w:div w:id="1469979248">
          <w:marLeft w:val="640"/>
          <w:marRight w:val="0"/>
          <w:marTop w:val="0"/>
          <w:marBottom w:val="0"/>
          <w:divBdr>
            <w:top w:val="none" w:sz="0" w:space="0" w:color="auto"/>
            <w:left w:val="none" w:sz="0" w:space="0" w:color="auto"/>
            <w:bottom w:val="none" w:sz="0" w:space="0" w:color="auto"/>
            <w:right w:val="none" w:sz="0" w:space="0" w:color="auto"/>
          </w:divBdr>
        </w:div>
        <w:div w:id="219555335">
          <w:marLeft w:val="640"/>
          <w:marRight w:val="0"/>
          <w:marTop w:val="0"/>
          <w:marBottom w:val="0"/>
          <w:divBdr>
            <w:top w:val="none" w:sz="0" w:space="0" w:color="auto"/>
            <w:left w:val="none" w:sz="0" w:space="0" w:color="auto"/>
            <w:bottom w:val="none" w:sz="0" w:space="0" w:color="auto"/>
            <w:right w:val="none" w:sz="0" w:space="0" w:color="auto"/>
          </w:divBdr>
        </w:div>
        <w:div w:id="406809618">
          <w:marLeft w:val="640"/>
          <w:marRight w:val="0"/>
          <w:marTop w:val="0"/>
          <w:marBottom w:val="0"/>
          <w:divBdr>
            <w:top w:val="none" w:sz="0" w:space="0" w:color="auto"/>
            <w:left w:val="none" w:sz="0" w:space="0" w:color="auto"/>
            <w:bottom w:val="none" w:sz="0" w:space="0" w:color="auto"/>
            <w:right w:val="none" w:sz="0" w:space="0" w:color="auto"/>
          </w:divBdr>
        </w:div>
        <w:div w:id="1804811962">
          <w:marLeft w:val="640"/>
          <w:marRight w:val="0"/>
          <w:marTop w:val="0"/>
          <w:marBottom w:val="0"/>
          <w:divBdr>
            <w:top w:val="none" w:sz="0" w:space="0" w:color="auto"/>
            <w:left w:val="none" w:sz="0" w:space="0" w:color="auto"/>
            <w:bottom w:val="none" w:sz="0" w:space="0" w:color="auto"/>
            <w:right w:val="none" w:sz="0" w:space="0" w:color="auto"/>
          </w:divBdr>
        </w:div>
        <w:div w:id="1978102771">
          <w:marLeft w:val="640"/>
          <w:marRight w:val="0"/>
          <w:marTop w:val="0"/>
          <w:marBottom w:val="0"/>
          <w:divBdr>
            <w:top w:val="none" w:sz="0" w:space="0" w:color="auto"/>
            <w:left w:val="none" w:sz="0" w:space="0" w:color="auto"/>
            <w:bottom w:val="none" w:sz="0" w:space="0" w:color="auto"/>
            <w:right w:val="none" w:sz="0" w:space="0" w:color="auto"/>
          </w:divBdr>
        </w:div>
        <w:div w:id="1134637983">
          <w:marLeft w:val="640"/>
          <w:marRight w:val="0"/>
          <w:marTop w:val="0"/>
          <w:marBottom w:val="0"/>
          <w:divBdr>
            <w:top w:val="none" w:sz="0" w:space="0" w:color="auto"/>
            <w:left w:val="none" w:sz="0" w:space="0" w:color="auto"/>
            <w:bottom w:val="none" w:sz="0" w:space="0" w:color="auto"/>
            <w:right w:val="none" w:sz="0" w:space="0" w:color="auto"/>
          </w:divBdr>
        </w:div>
        <w:div w:id="299578166">
          <w:marLeft w:val="640"/>
          <w:marRight w:val="0"/>
          <w:marTop w:val="0"/>
          <w:marBottom w:val="0"/>
          <w:divBdr>
            <w:top w:val="none" w:sz="0" w:space="0" w:color="auto"/>
            <w:left w:val="none" w:sz="0" w:space="0" w:color="auto"/>
            <w:bottom w:val="none" w:sz="0" w:space="0" w:color="auto"/>
            <w:right w:val="none" w:sz="0" w:space="0" w:color="auto"/>
          </w:divBdr>
        </w:div>
        <w:div w:id="279336059">
          <w:marLeft w:val="640"/>
          <w:marRight w:val="0"/>
          <w:marTop w:val="0"/>
          <w:marBottom w:val="0"/>
          <w:divBdr>
            <w:top w:val="none" w:sz="0" w:space="0" w:color="auto"/>
            <w:left w:val="none" w:sz="0" w:space="0" w:color="auto"/>
            <w:bottom w:val="none" w:sz="0" w:space="0" w:color="auto"/>
            <w:right w:val="none" w:sz="0" w:space="0" w:color="auto"/>
          </w:divBdr>
        </w:div>
        <w:div w:id="723452993">
          <w:marLeft w:val="640"/>
          <w:marRight w:val="0"/>
          <w:marTop w:val="0"/>
          <w:marBottom w:val="0"/>
          <w:divBdr>
            <w:top w:val="none" w:sz="0" w:space="0" w:color="auto"/>
            <w:left w:val="none" w:sz="0" w:space="0" w:color="auto"/>
            <w:bottom w:val="none" w:sz="0" w:space="0" w:color="auto"/>
            <w:right w:val="none" w:sz="0" w:space="0" w:color="auto"/>
          </w:divBdr>
        </w:div>
        <w:div w:id="1099564074">
          <w:marLeft w:val="640"/>
          <w:marRight w:val="0"/>
          <w:marTop w:val="0"/>
          <w:marBottom w:val="0"/>
          <w:divBdr>
            <w:top w:val="none" w:sz="0" w:space="0" w:color="auto"/>
            <w:left w:val="none" w:sz="0" w:space="0" w:color="auto"/>
            <w:bottom w:val="none" w:sz="0" w:space="0" w:color="auto"/>
            <w:right w:val="none" w:sz="0" w:space="0" w:color="auto"/>
          </w:divBdr>
        </w:div>
        <w:div w:id="366613142">
          <w:marLeft w:val="640"/>
          <w:marRight w:val="0"/>
          <w:marTop w:val="0"/>
          <w:marBottom w:val="0"/>
          <w:divBdr>
            <w:top w:val="none" w:sz="0" w:space="0" w:color="auto"/>
            <w:left w:val="none" w:sz="0" w:space="0" w:color="auto"/>
            <w:bottom w:val="none" w:sz="0" w:space="0" w:color="auto"/>
            <w:right w:val="none" w:sz="0" w:space="0" w:color="auto"/>
          </w:divBdr>
        </w:div>
        <w:div w:id="72435791">
          <w:marLeft w:val="640"/>
          <w:marRight w:val="0"/>
          <w:marTop w:val="0"/>
          <w:marBottom w:val="0"/>
          <w:divBdr>
            <w:top w:val="none" w:sz="0" w:space="0" w:color="auto"/>
            <w:left w:val="none" w:sz="0" w:space="0" w:color="auto"/>
            <w:bottom w:val="none" w:sz="0" w:space="0" w:color="auto"/>
            <w:right w:val="none" w:sz="0" w:space="0" w:color="auto"/>
          </w:divBdr>
        </w:div>
        <w:div w:id="181672486">
          <w:marLeft w:val="640"/>
          <w:marRight w:val="0"/>
          <w:marTop w:val="0"/>
          <w:marBottom w:val="0"/>
          <w:divBdr>
            <w:top w:val="none" w:sz="0" w:space="0" w:color="auto"/>
            <w:left w:val="none" w:sz="0" w:space="0" w:color="auto"/>
            <w:bottom w:val="none" w:sz="0" w:space="0" w:color="auto"/>
            <w:right w:val="none" w:sz="0" w:space="0" w:color="auto"/>
          </w:divBdr>
        </w:div>
        <w:div w:id="1859654825">
          <w:marLeft w:val="640"/>
          <w:marRight w:val="0"/>
          <w:marTop w:val="0"/>
          <w:marBottom w:val="0"/>
          <w:divBdr>
            <w:top w:val="none" w:sz="0" w:space="0" w:color="auto"/>
            <w:left w:val="none" w:sz="0" w:space="0" w:color="auto"/>
            <w:bottom w:val="none" w:sz="0" w:space="0" w:color="auto"/>
            <w:right w:val="none" w:sz="0" w:space="0" w:color="auto"/>
          </w:divBdr>
        </w:div>
        <w:div w:id="375277559">
          <w:marLeft w:val="640"/>
          <w:marRight w:val="0"/>
          <w:marTop w:val="0"/>
          <w:marBottom w:val="0"/>
          <w:divBdr>
            <w:top w:val="none" w:sz="0" w:space="0" w:color="auto"/>
            <w:left w:val="none" w:sz="0" w:space="0" w:color="auto"/>
            <w:bottom w:val="none" w:sz="0" w:space="0" w:color="auto"/>
            <w:right w:val="none" w:sz="0" w:space="0" w:color="auto"/>
          </w:divBdr>
        </w:div>
        <w:div w:id="1528323679">
          <w:marLeft w:val="640"/>
          <w:marRight w:val="0"/>
          <w:marTop w:val="0"/>
          <w:marBottom w:val="0"/>
          <w:divBdr>
            <w:top w:val="none" w:sz="0" w:space="0" w:color="auto"/>
            <w:left w:val="none" w:sz="0" w:space="0" w:color="auto"/>
            <w:bottom w:val="none" w:sz="0" w:space="0" w:color="auto"/>
            <w:right w:val="none" w:sz="0" w:space="0" w:color="auto"/>
          </w:divBdr>
        </w:div>
        <w:div w:id="2038777783">
          <w:marLeft w:val="640"/>
          <w:marRight w:val="0"/>
          <w:marTop w:val="0"/>
          <w:marBottom w:val="0"/>
          <w:divBdr>
            <w:top w:val="none" w:sz="0" w:space="0" w:color="auto"/>
            <w:left w:val="none" w:sz="0" w:space="0" w:color="auto"/>
            <w:bottom w:val="none" w:sz="0" w:space="0" w:color="auto"/>
            <w:right w:val="none" w:sz="0" w:space="0" w:color="auto"/>
          </w:divBdr>
        </w:div>
        <w:div w:id="1544976712">
          <w:marLeft w:val="640"/>
          <w:marRight w:val="0"/>
          <w:marTop w:val="0"/>
          <w:marBottom w:val="0"/>
          <w:divBdr>
            <w:top w:val="none" w:sz="0" w:space="0" w:color="auto"/>
            <w:left w:val="none" w:sz="0" w:space="0" w:color="auto"/>
            <w:bottom w:val="none" w:sz="0" w:space="0" w:color="auto"/>
            <w:right w:val="none" w:sz="0" w:space="0" w:color="auto"/>
          </w:divBdr>
        </w:div>
        <w:div w:id="1721124043">
          <w:marLeft w:val="640"/>
          <w:marRight w:val="0"/>
          <w:marTop w:val="0"/>
          <w:marBottom w:val="0"/>
          <w:divBdr>
            <w:top w:val="none" w:sz="0" w:space="0" w:color="auto"/>
            <w:left w:val="none" w:sz="0" w:space="0" w:color="auto"/>
            <w:bottom w:val="none" w:sz="0" w:space="0" w:color="auto"/>
            <w:right w:val="none" w:sz="0" w:space="0" w:color="auto"/>
          </w:divBdr>
        </w:div>
        <w:div w:id="142505762">
          <w:marLeft w:val="640"/>
          <w:marRight w:val="0"/>
          <w:marTop w:val="0"/>
          <w:marBottom w:val="0"/>
          <w:divBdr>
            <w:top w:val="none" w:sz="0" w:space="0" w:color="auto"/>
            <w:left w:val="none" w:sz="0" w:space="0" w:color="auto"/>
            <w:bottom w:val="none" w:sz="0" w:space="0" w:color="auto"/>
            <w:right w:val="none" w:sz="0" w:space="0" w:color="auto"/>
          </w:divBdr>
        </w:div>
        <w:div w:id="1493523177">
          <w:marLeft w:val="640"/>
          <w:marRight w:val="0"/>
          <w:marTop w:val="0"/>
          <w:marBottom w:val="0"/>
          <w:divBdr>
            <w:top w:val="none" w:sz="0" w:space="0" w:color="auto"/>
            <w:left w:val="none" w:sz="0" w:space="0" w:color="auto"/>
            <w:bottom w:val="none" w:sz="0" w:space="0" w:color="auto"/>
            <w:right w:val="none" w:sz="0" w:space="0" w:color="auto"/>
          </w:divBdr>
        </w:div>
        <w:div w:id="432436476">
          <w:marLeft w:val="640"/>
          <w:marRight w:val="0"/>
          <w:marTop w:val="0"/>
          <w:marBottom w:val="0"/>
          <w:divBdr>
            <w:top w:val="none" w:sz="0" w:space="0" w:color="auto"/>
            <w:left w:val="none" w:sz="0" w:space="0" w:color="auto"/>
            <w:bottom w:val="none" w:sz="0" w:space="0" w:color="auto"/>
            <w:right w:val="none" w:sz="0" w:space="0" w:color="auto"/>
          </w:divBdr>
        </w:div>
        <w:div w:id="1493519751">
          <w:marLeft w:val="640"/>
          <w:marRight w:val="0"/>
          <w:marTop w:val="0"/>
          <w:marBottom w:val="0"/>
          <w:divBdr>
            <w:top w:val="none" w:sz="0" w:space="0" w:color="auto"/>
            <w:left w:val="none" w:sz="0" w:space="0" w:color="auto"/>
            <w:bottom w:val="none" w:sz="0" w:space="0" w:color="auto"/>
            <w:right w:val="none" w:sz="0" w:space="0" w:color="auto"/>
          </w:divBdr>
        </w:div>
        <w:div w:id="1510289341">
          <w:marLeft w:val="640"/>
          <w:marRight w:val="0"/>
          <w:marTop w:val="0"/>
          <w:marBottom w:val="0"/>
          <w:divBdr>
            <w:top w:val="none" w:sz="0" w:space="0" w:color="auto"/>
            <w:left w:val="none" w:sz="0" w:space="0" w:color="auto"/>
            <w:bottom w:val="none" w:sz="0" w:space="0" w:color="auto"/>
            <w:right w:val="none" w:sz="0" w:space="0" w:color="auto"/>
          </w:divBdr>
        </w:div>
        <w:div w:id="1127820170">
          <w:marLeft w:val="640"/>
          <w:marRight w:val="0"/>
          <w:marTop w:val="0"/>
          <w:marBottom w:val="0"/>
          <w:divBdr>
            <w:top w:val="none" w:sz="0" w:space="0" w:color="auto"/>
            <w:left w:val="none" w:sz="0" w:space="0" w:color="auto"/>
            <w:bottom w:val="none" w:sz="0" w:space="0" w:color="auto"/>
            <w:right w:val="none" w:sz="0" w:space="0" w:color="auto"/>
          </w:divBdr>
        </w:div>
        <w:div w:id="1768231231">
          <w:marLeft w:val="640"/>
          <w:marRight w:val="0"/>
          <w:marTop w:val="0"/>
          <w:marBottom w:val="0"/>
          <w:divBdr>
            <w:top w:val="none" w:sz="0" w:space="0" w:color="auto"/>
            <w:left w:val="none" w:sz="0" w:space="0" w:color="auto"/>
            <w:bottom w:val="none" w:sz="0" w:space="0" w:color="auto"/>
            <w:right w:val="none" w:sz="0" w:space="0" w:color="auto"/>
          </w:divBdr>
        </w:div>
        <w:div w:id="394354908">
          <w:marLeft w:val="640"/>
          <w:marRight w:val="0"/>
          <w:marTop w:val="0"/>
          <w:marBottom w:val="0"/>
          <w:divBdr>
            <w:top w:val="none" w:sz="0" w:space="0" w:color="auto"/>
            <w:left w:val="none" w:sz="0" w:space="0" w:color="auto"/>
            <w:bottom w:val="none" w:sz="0" w:space="0" w:color="auto"/>
            <w:right w:val="none" w:sz="0" w:space="0" w:color="auto"/>
          </w:divBdr>
        </w:div>
        <w:div w:id="412508984">
          <w:marLeft w:val="640"/>
          <w:marRight w:val="0"/>
          <w:marTop w:val="0"/>
          <w:marBottom w:val="0"/>
          <w:divBdr>
            <w:top w:val="none" w:sz="0" w:space="0" w:color="auto"/>
            <w:left w:val="none" w:sz="0" w:space="0" w:color="auto"/>
            <w:bottom w:val="none" w:sz="0" w:space="0" w:color="auto"/>
            <w:right w:val="none" w:sz="0" w:space="0" w:color="auto"/>
          </w:divBdr>
        </w:div>
        <w:div w:id="5444789">
          <w:marLeft w:val="640"/>
          <w:marRight w:val="0"/>
          <w:marTop w:val="0"/>
          <w:marBottom w:val="0"/>
          <w:divBdr>
            <w:top w:val="none" w:sz="0" w:space="0" w:color="auto"/>
            <w:left w:val="none" w:sz="0" w:space="0" w:color="auto"/>
            <w:bottom w:val="none" w:sz="0" w:space="0" w:color="auto"/>
            <w:right w:val="none" w:sz="0" w:space="0" w:color="auto"/>
          </w:divBdr>
        </w:div>
        <w:div w:id="1686206841">
          <w:marLeft w:val="640"/>
          <w:marRight w:val="0"/>
          <w:marTop w:val="0"/>
          <w:marBottom w:val="0"/>
          <w:divBdr>
            <w:top w:val="none" w:sz="0" w:space="0" w:color="auto"/>
            <w:left w:val="none" w:sz="0" w:space="0" w:color="auto"/>
            <w:bottom w:val="none" w:sz="0" w:space="0" w:color="auto"/>
            <w:right w:val="none" w:sz="0" w:space="0" w:color="auto"/>
          </w:divBdr>
        </w:div>
        <w:div w:id="1755083169">
          <w:marLeft w:val="640"/>
          <w:marRight w:val="0"/>
          <w:marTop w:val="0"/>
          <w:marBottom w:val="0"/>
          <w:divBdr>
            <w:top w:val="none" w:sz="0" w:space="0" w:color="auto"/>
            <w:left w:val="none" w:sz="0" w:space="0" w:color="auto"/>
            <w:bottom w:val="none" w:sz="0" w:space="0" w:color="auto"/>
            <w:right w:val="none" w:sz="0" w:space="0" w:color="auto"/>
          </w:divBdr>
        </w:div>
        <w:div w:id="639455687">
          <w:marLeft w:val="640"/>
          <w:marRight w:val="0"/>
          <w:marTop w:val="0"/>
          <w:marBottom w:val="0"/>
          <w:divBdr>
            <w:top w:val="none" w:sz="0" w:space="0" w:color="auto"/>
            <w:left w:val="none" w:sz="0" w:space="0" w:color="auto"/>
            <w:bottom w:val="none" w:sz="0" w:space="0" w:color="auto"/>
            <w:right w:val="none" w:sz="0" w:space="0" w:color="auto"/>
          </w:divBdr>
        </w:div>
        <w:div w:id="1054501814">
          <w:marLeft w:val="640"/>
          <w:marRight w:val="0"/>
          <w:marTop w:val="0"/>
          <w:marBottom w:val="0"/>
          <w:divBdr>
            <w:top w:val="none" w:sz="0" w:space="0" w:color="auto"/>
            <w:left w:val="none" w:sz="0" w:space="0" w:color="auto"/>
            <w:bottom w:val="none" w:sz="0" w:space="0" w:color="auto"/>
            <w:right w:val="none" w:sz="0" w:space="0" w:color="auto"/>
          </w:divBdr>
        </w:div>
        <w:div w:id="286788025">
          <w:marLeft w:val="640"/>
          <w:marRight w:val="0"/>
          <w:marTop w:val="0"/>
          <w:marBottom w:val="0"/>
          <w:divBdr>
            <w:top w:val="none" w:sz="0" w:space="0" w:color="auto"/>
            <w:left w:val="none" w:sz="0" w:space="0" w:color="auto"/>
            <w:bottom w:val="none" w:sz="0" w:space="0" w:color="auto"/>
            <w:right w:val="none" w:sz="0" w:space="0" w:color="auto"/>
          </w:divBdr>
        </w:div>
        <w:div w:id="1631352452">
          <w:marLeft w:val="640"/>
          <w:marRight w:val="0"/>
          <w:marTop w:val="0"/>
          <w:marBottom w:val="0"/>
          <w:divBdr>
            <w:top w:val="none" w:sz="0" w:space="0" w:color="auto"/>
            <w:left w:val="none" w:sz="0" w:space="0" w:color="auto"/>
            <w:bottom w:val="none" w:sz="0" w:space="0" w:color="auto"/>
            <w:right w:val="none" w:sz="0" w:space="0" w:color="auto"/>
          </w:divBdr>
        </w:div>
        <w:div w:id="320810990">
          <w:marLeft w:val="640"/>
          <w:marRight w:val="0"/>
          <w:marTop w:val="0"/>
          <w:marBottom w:val="0"/>
          <w:divBdr>
            <w:top w:val="none" w:sz="0" w:space="0" w:color="auto"/>
            <w:left w:val="none" w:sz="0" w:space="0" w:color="auto"/>
            <w:bottom w:val="none" w:sz="0" w:space="0" w:color="auto"/>
            <w:right w:val="none" w:sz="0" w:space="0" w:color="auto"/>
          </w:divBdr>
        </w:div>
        <w:div w:id="394934120">
          <w:marLeft w:val="640"/>
          <w:marRight w:val="0"/>
          <w:marTop w:val="0"/>
          <w:marBottom w:val="0"/>
          <w:divBdr>
            <w:top w:val="none" w:sz="0" w:space="0" w:color="auto"/>
            <w:left w:val="none" w:sz="0" w:space="0" w:color="auto"/>
            <w:bottom w:val="none" w:sz="0" w:space="0" w:color="auto"/>
            <w:right w:val="none" w:sz="0" w:space="0" w:color="auto"/>
          </w:divBdr>
        </w:div>
        <w:div w:id="889534299">
          <w:marLeft w:val="640"/>
          <w:marRight w:val="0"/>
          <w:marTop w:val="0"/>
          <w:marBottom w:val="0"/>
          <w:divBdr>
            <w:top w:val="none" w:sz="0" w:space="0" w:color="auto"/>
            <w:left w:val="none" w:sz="0" w:space="0" w:color="auto"/>
            <w:bottom w:val="none" w:sz="0" w:space="0" w:color="auto"/>
            <w:right w:val="none" w:sz="0" w:space="0" w:color="auto"/>
          </w:divBdr>
        </w:div>
        <w:div w:id="891429230">
          <w:marLeft w:val="640"/>
          <w:marRight w:val="0"/>
          <w:marTop w:val="0"/>
          <w:marBottom w:val="0"/>
          <w:divBdr>
            <w:top w:val="none" w:sz="0" w:space="0" w:color="auto"/>
            <w:left w:val="none" w:sz="0" w:space="0" w:color="auto"/>
            <w:bottom w:val="none" w:sz="0" w:space="0" w:color="auto"/>
            <w:right w:val="none" w:sz="0" w:space="0" w:color="auto"/>
          </w:divBdr>
        </w:div>
        <w:div w:id="580873426">
          <w:marLeft w:val="640"/>
          <w:marRight w:val="0"/>
          <w:marTop w:val="0"/>
          <w:marBottom w:val="0"/>
          <w:divBdr>
            <w:top w:val="none" w:sz="0" w:space="0" w:color="auto"/>
            <w:left w:val="none" w:sz="0" w:space="0" w:color="auto"/>
            <w:bottom w:val="none" w:sz="0" w:space="0" w:color="auto"/>
            <w:right w:val="none" w:sz="0" w:space="0" w:color="auto"/>
          </w:divBdr>
        </w:div>
        <w:div w:id="668800069">
          <w:marLeft w:val="640"/>
          <w:marRight w:val="0"/>
          <w:marTop w:val="0"/>
          <w:marBottom w:val="0"/>
          <w:divBdr>
            <w:top w:val="none" w:sz="0" w:space="0" w:color="auto"/>
            <w:left w:val="none" w:sz="0" w:space="0" w:color="auto"/>
            <w:bottom w:val="none" w:sz="0" w:space="0" w:color="auto"/>
            <w:right w:val="none" w:sz="0" w:space="0" w:color="auto"/>
          </w:divBdr>
        </w:div>
        <w:div w:id="1015689550">
          <w:marLeft w:val="640"/>
          <w:marRight w:val="0"/>
          <w:marTop w:val="0"/>
          <w:marBottom w:val="0"/>
          <w:divBdr>
            <w:top w:val="none" w:sz="0" w:space="0" w:color="auto"/>
            <w:left w:val="none" w:sz="0" w:space="0" w:color="auto"/>
            <w:bottom w:val="none" w:sz="0" w:space="0" w:color="auto"/>
            <w:right w:val="none" w:sz="0" w:space="0" w:color="auto"/>
          </w:divBdr>
        </w:div>
        <w:div w:id="290132765">
          <w:marLeft w:val="640"/>
          <w:marRight w:val="0"/>
          <w:marTop w:val="0"/>
          <w:marBottom w:val="0"/>
          <w:divBdr>
            <w:top w:val="none" w:sz="0" w:space="0" w:color="auto"/>
            <w:left w:val="none" w:sz="0" w:space="0" w:color="auto"/>
            <w:bottom w:val="none" w:sz="0" w:space="0" w:color="auto"/>
            <w:right w:val="none" w:sz="0" w:space="0" w:color="auto"/>
          </w:divBdr>
        </w:div>
        <w:div w:id="1644966407">
          <w:marLeft w:val="640"/>
          <w:marRight w:val="0"/>
          <w:marTop w:val="0"/>
          <w:marBottom w:val="0"/>
          <w:divBdr>
            <w:top w:val="none" w:sz="0" w:space="0" w:color="auto"/>
            <w:left w:val="none" w:sz="0" w:space="0" w:color="auto"/>
            <w:bottom w:val="none" w:sz="0" w:space="0" w:color="auto"/>
            <w:right w:val="none" w:sz="0" w:space="0" w:color="auto"/>
          </w:divBdr>
        </w:div>
        <w:div w:id="691297605">
          <w:marLeft w:val="640"/>
          <w:marRight w:val="0"/>
          <w:marTop w:val="0"/>
          <w:marBottom w:val="0"/>
          <w:divBdr>
            <w:top w:val="none" w:sz="0" w:space="0" w:color="auto"/>
            <w:left w:val="none" w:sz="0" w:space="0" w:color="auto"/>
            <w:bottom w:val="none" w:sz="0" w:space="0" w:color="auto"/>
            <w:right w:val="none" w:sz="0" w:space="0" w:color="auto"/>
          </w:divBdr>
        </w:div>
        <w:div w:id="373818890">
          <w:marLeft w:val="640"/>
          <w:marRight w:val="0"/>
          <w:marTop w:val="0"/>
          <w:marBottom w:val="0"/>
          <w:divBdr>
            <w:top w:val="none" w:sz="0" w:space="0" w:color="auto"/>
            <w:left w:val="none" w:sz="0" w:space="0" w:color="auto"/>
            <w:bottom w:val="none" w:sz="0" w:space="0" w:color="auto"/>
            <w:right w:val="none" w:sz="0" w:space="0" w:color="auto"/>
          </w:divBdr>
        </w:div>
        <w:div w:id="1546605067">
          <w:marLeft w:val="640"/>
          <w:marRight w:val="0"/>
          <w:marTop w:val="0"/>
          <w:marBottom w:val="0"/>
          <w:divBdr>
            <w:top w:val="none" w:sz="0" w:space="0" w:color="auto"/>
            <w:left w:val="none" w:sz="0" w:space="0" w:color="auto"/>
            <w:bottom w:val="none" w:sz="0" w:space="0" w:color="auto"/>
            <w:right w:val="none" w:sz="0" w:space="0" w:color="auto"/>
          </w:divBdr>
        </w:div>
        <w:div w:id="204755697">
          <w:marLeft w:val="640"/>
          <w:marRight w:val="0"/>
          <w:marTop w:val="0"/>
          <w:marBottom w:val="0"/>
          <w:divBdr>
            <w:top w:val="none" w:sz="0" w:space="0" w:color="auto"/>
            <w:left w:val="none" w:sz="0" w:space="0" w:color="auto"/>
            <w:bottom w:val="none" w:sz="0" w:space="0" w:color="auto"/>
            <w:right w:val="none" w:sz="0" w:space="0" w:color="auto"/>
          </w:divBdr>
        </w:div>
        <w:div w:id="400517671">
          <w:marLeft w:val="640"/>
          <w:marRight w:val="0"/>
          <w:marTop w:val="0"/>
          <w:marBottom w:val="0"/>
          <w:divBdr>
            <w:top w:val="none" w:sz="0" w:space="0" w:color="auto"/>
            <w:left w:val="none" w:sz="0" w:space="0" w:color="auto"/>
            <w:bottom w:val="none" w:sz="0" w:space="0" w:color="auto"/>
            <w:right w:val="none" w:sz="0" w:space="0" w:color="auto"/>
          </w:divBdr>
        </w:div>
        <w:div w:id="554391554">
          <w:marLeft w:val="640"/>
          <w:marRight w:val="0"/>
          <w:marTop w:val="0"/>
          <w:marBottom w:val="0"/>
          <w:divBdr>
            <w:top w:val="none" w:sz="0" w:space="0" w:color="auto"/>
            <w:left w:val="none" w:sz="0" w:space="0" w:color="auto"/>
            <w:bottom w:val="none" w:sz="0" w:space="0" w:color="auto"/>
            <w:right w:val="none" w:sz="0" w:space="0" w:color="auto"/>
          </w:divBdr>
        </w:div>
        <w:div w:id="105462736">
          <w:marLeft w:val="640"/>
          <w:marRight w:val="0"/>
          <w:marTop w:val="0"/>
          <w:marBottom w:val="0"/>
          <w:divBdr>
            <w:top w:val="none" w:sz="0" w:space="0" w:color="auto"/>
            <w:left w:val="none" w:sz="0" w:space="0" w:color="auto"/>
            <w:bottom w:val="none" w:sz="0" w:space="0" w:color="auto"/>
            <w:right w:val="none" w:sz="0" w:space="0" w:color="auto"/>
          </w:divBdr>
        </w:div>
        <w:div w:id="607858293">
          <w:marLeft w:val="640"/>
          <w:marRight w:val="0"/>
          <w:marTop w:val="0"/>
          <w:marBottom w:val="0"/>
          <w:divBdr>
            <w:top w:val="none" w:sz="0" w:space="0" w:color="auto"/>
            <w:left w:val="none" w:sz="0" w:space="0" w:color="auto"/>
            <w:bottom w:val="none" w:sz="0" w:space="0" w:color="auto"/>
            <w:right w:val="none" w:sz="0" w:space="0" w:color="auto"/>
          </w:divBdr>
        </w:div>
        <w:div w:id="32270690">
          <w:marLeft w:val="640"/>
          <w:marRight w:val="0"/>
          <w:marTop w:val="0"/>
          <w:marBottom w:val="0"/>
          <w:divBdr>
            <w:top w:val="none" w:sz="0" w:space="0" w:color="auto"/>
            <w:left w:val="none" w:sz="0" w:space="0" w:color="auto"/>
            <w:bottom w:val="none" w:sz="0" w:space="0" w:color="auto"/>
            <w:right w:val="none" w:sz="0" w:space="0" w:color="auto"/>
          </w:divBdr>
        </w:div>
        <w:div w:id="460928979">
          <w:marLeft w:val="640"/>
          <w:marRight w:val="0"/>
          <w:marTop w:val="0"/>
          <w:marBottom w:val="0"/>
          <w:divBdr>
            <w:top w:val="none" w:sz="0" w:space="0" w:color="auto"/>
            <w:left w:val="none" w:sz="0" w:space="0" w:color="auto"/>
            <w:bottom w:val="none" w:sz="0" w:space="0" w:color="auto"/>
            <w:right w:val="none" w:sz="0" w:space="0" w:color="auto"/>
          </w:divBdr>
        </w:div>
        <w:div w:id="2007852954">
          <w:marLeft w:val="640"/>
          <w:marRight w:val="0"/>
          <w:marTop w:val="0"/>
          <w:marBottom w:val="0"/>
          <w:divBdr>
            <w:top w:val="none" w:sz="0" w:space="0" w:color="auto"/>
            <w:left w:val="none" w:sz="0" w:space="0" w:color="auto"/>
            <w:bottom w:val="none" w:sz="0" w:space="0" w:color="auto"/>
            <w:right w:val="none" w:sz="0" w:space="0" w:color="auto"/>
          </w:divBdr>
        </w:div>
        <w:div w:id="1308782552">
          <w:marLeft w:val="640"/>
          <w:marRight w:val="0"/>
          <w:marTop w:val="0"/>
          <w:marBottom w:val="0"/>
          <w:divBdr>
            <w:top w:val="none" w:sz="0" w:space="0" w:color="auto"/>
            <w:left w:val="none" w:sz="0" w:space="0" w:color="auto"/>
            <w:bottom w:val="none" w:sz="0" w:space="0" w:color="auto"/>
            <w:right w:val="none" w:sz="0" w:space="0" w:color="auto"/>
          </w:divBdr>
        </w:div>
        <w:div w:id="1895846369">
          <w:marLeft w:val="640"/>
          <w:marRight w:val="0"/>
          <w:marTop w:val="0"/>
          <w:marBottom w:val="0"/>
          <w:divBdr>
            <w:top w:val="none" w:sz="0" w:space="0" w:color="auto"/>
            <w:left w:val="none" w:sz="0" w:space="0" w:color="auto"/>
            <w:bottom w:val="none" w:sz="0" w:space="0" w:color="auto"/>
            <w:right w:val="none" w:sz="0" w:space="0" w:color="auto"/>
          </w:divBdr>
        </w:div>
        <w:div w:id="176584439">
          <w:marLeft w:val="640"/>
          <w:marRight w:val="0"/>
          <w:marTop w:val="0"/>
          <w:marBottom w:val="0"/>
          <w:divBdr>
            <w:top w:val="none" w:sz="0" w:space="0" w:color="auto"/>
            <w:left w:val="none" w:sz="0" w:space="0" w:color="auto"/>
            <w:bottom w:val="none" w:sz="0" w:space="0" w:color="auto"/>
            <w:right w:val="none" w:sz="0" w:space="0" w:color="auto"/>
          </w:divBdr>
        </w:div>
        <w:div w:id="98911471">
          <w:marLeft w:val="640"/>
          <w:marRight w:val="0"/>
          <w:marTop w:val="0"/>
          <w:marBottom w:val="0"/>
          <w:divBdr>
            <w:top w:val="none" w:sz="0" w:space="0" w:color="auto"/>
            <w:left w:val="none" w:sz="0" w:space="0" w:color="auto"/>
            <w:bottom w:val="none" w:sz="0" w:space="0" w:color="auto"/>
            <w:right w:val="none" w:sz="0" w:space="0" w:color="auto"/>
          </w:divBdr>
        </w:div>
        <w:div w:id="1903132201">
          <w:marLeft w:val="640"/>
          <w:marRight w:val="0"/>
          <w:marTop w:val="0"/>
          <w:marBottom w:val="0"/>
          <w:divBdr>
            <w:top w:val="none" w:sz="0" w:space="0" w:color="auto"/>
            <w:left w:val="none" w:sz="0" w:space="0" w:color="auto"/>
            <w:bottom w:val="none" w:sz="0" w:space="0" w:color="auto"/>
            <w:right w:val="none" w:sz="0" w:space="0" w:color="auto"/>
          </w:divBdr>
        </w:div>
        <w:div w:id="553780664">
          <w:marLeft w:val="640"/>
          <w:marRight w:val="0"/>
          <w:marTop w:val="0"/>
          <w:marBottom w:val="0"/>
          <w:divBdr>
            <w:top w:val="none" w:sz="0" w:space="0" w:color="auto"/>
            <w:left w:val="none" w:sz="0" w:space="0" w:color="auto"/>
            <w:bottom w:val="none" w:sz="0" w:space="0" w:color="auto"/>
            <w:right w:val="none" w:sz="0" w:space="0" w:color="auto"/>
          </w:divBdr>
        </w:div>
        <w:div w:id="489953994">
          <w:marLeft w:val="640"/>
          <w:marRight w:val="0"/>
          <w:marTop w:val="0"/>
          <w:marBottom w:val="0"/>
          <w:divBdr>
            <w:top w:val="none" w:sz="0" w:space="0" w:color="auto"/>
            <w:left w:val="none" w:sz="0" w:space="0" w:color="auto"/>
            <w:bottom w:val="none" w:sz="0" w:space="0" w:color="auto"/>
            <w:right w:val="none" w:sz="0" w:space="0" w:color="auto"/>
          </w:divBdr>
        </w:div>
        <w:div w:id="1553613316">
          <w:marLeft w:val="640"/>
          <w:marRight w:val="0"/>
          <w:marTop w:val="0"/>
          <w:marBottom w:val="0"/>
          <w:divBdr>
            <w:top w:val="none" w:sz="0" w:space="0" w:color="auto"/>
            <w:left w:val="none" w:sz="0" w:space="0" w:color="auto"/>
            <w:bottom w:val="none" w:sz="0" w:space="0" w:color="auto"/>
            <w:right w:val="none" w:sz="0" w:space="0" w:color="auto"/>
          </w:divBdr>
        </w:div>
        <w:div w:id="842281330">
          <w:marLeft w:val="640"/>
          <w:marRight w:val="0"/>
          <w:marTop w:val="0"/>
          <w:marBottom w:val="0"/>
          <w:divBdr>
            <w:top w:val="none" w:sz="0" w:space="0" w:color="auto"/>
            <w:left w:val="none" w:sz="0" w:space="0" w:color="auto"/>
            <w:bottom w:val="none" w:sz="0" w:space="0" w:color="auto"/>
            <w:right w:val="none" w:sz="0" w:space="0" w:color="auto"/>
          </w:divBdr>
        </w:div>
        <w:div w:id="1493718991">
          <w:marLeft w:val="640"/>
          <w:marRight w:val="0"/>
          <w:marTop w:val="0"/>
          <w:marBottom w:val="0"/>
          <w:divBdr>
            <w:top w:val="none" w:sz="0" w:space="0" w:color="auto"/>
            <w:left w:val="none" w:sz="0" w:space="0" w:color="auto"/>
            <w:bottom w:val="none" w:sz="0" w:space="0" w:color="auto"/>
            <w:right w:val="none" w:sz="0" w:space="0" w:color="auto"/>
          </w:divBdr>
        </w:div>
        <w:div w:id="758674354">
          <w:marLeft w:val="640"/>
          <w:marRight w:val="0"/>
          <w:marTop w:val="0"/>
          <w:marBottom w:val="0"/>
          <w:divBdr>
            <w:top w:val="none" w:sz="0" w:space="0" w:color="auto"/>
            <w:left w:val="none" w:sz="0" w:space="0" w:color="auto"/>
            <w:bottom w:val="none" w:sz="0" w:space="0" w:color="auto"/>
            <w:right w:val="none" w:sz="0" w:space="0" w:color="auto"/>
          </w:divBdr>
        </w:div>
        <w:div w:id="1419986999">
          <w:marLeft w:val="640"/>
          <w:marRight w:val="0"/>
          <w:marTop w:val="0"/>
          <w:marBottom w:val="0"/>
          <w:divBdr>
            <w:top w:val="none" w:sz="0" w:space="0" w:color="auto"/>
            <w:left w:val="none" w:sz="0" w:space="0" w:color="auto"/>
            <w:bottom w:val="none" w:sz="0" w:space="0" w:color="auto"/>
            <w:right w:val="none" w:sz="0" w:space="0" w:color="auto"/>
          </w:divBdr>
        </w:div>
        <w:div w:id="1389375947">
          <w:marLeft w:val="640"/>
          <w:marRight w:val="0"/>
          <w:marTop w:val="0"/>
          <w:marBottom w:val="0"/>
          <w:divBdr>
            <w:top w:val="none" w:sz="0" w:space="0" w:color="auto"/>
            <w:left w:val="none" w:sz="0" w:space="0" w:color="auto"/>
            <w:bottom w:val="none" w:sz="0" w:space="0" w:color="auto"/>
            <w:right w:val="none" w:sz="0" w:space="0" w:color="auto"/>
          </w:divBdr>
        </w:div>
        <w:div w:id="1846359143">
          <w:marLeft w:val="640"/>
          <w:marRight w:val="0"/>
          <w:marTop w:val="0"/>
          <w:marBottom w:val="0"/>
          <w:divBdr>
            <w:top w:val="none" w:sz="0" w:space="0" w:color="auto"/>
            <w:left w:val="none" w:sz="0" w:space="0" w:color="auto"/>
            <w:bottom w:val="none" w:sz="0" w:space="0" w:color="auto"/>
            <w:right w:val="none" w:sz="0" w:space="0" w:color="auto"/>
          </w:divBdr>
        </w:div>
        <w:div w:id="1435251619">
          <w:marLeft w:val="640"/>
          <w:marRight w:val="0"/>
          <w:marTop w:val="0"/>
          <w:marBottom w:val="0"/>
          <w:divBdr>
            <w:top w:val="none" w:sz="0" w:space="0" w:color="auto"/>
            <w:left w:val="none" w:sz="0" w:space="0" w:color="auto"/>
            <w:bottom w:val="none" w:sz="0" w:space="0" w:color="auto"/>
            <w:right w:val="none" w:sz="0" w:space="0" w:color="auto"/>
          </w:divBdr>
        </w:div>
        <w:div w:id="771709596">
          <w:marLeft w:val="640"/>
          <w:marRight w:val="0"/>
          <w:marTop w:val="0"/>
          <w:marBottom w:val="0"/>
          <w:divBdr>
            <w:top w:val="none" w:sz="0" w:space="0" w:color="auto"/>
            <w:left w:val="none" w:sz="0" w:space="0" w:color="auto"/>
            <w:bottom w:val="none" w:sz="0" w:space="0" w:color="auto"/>
            <w:right w:val="none" w:sz="0" w:space="0" w:color="auto"/>
          </w:divBdr>
        </w:div>
        <w:div w:id="11691912">
          <w:marLeft w:val="640"/>
          <w:marRight w:val="0"/>
          <w:marTop w:val="0"/>
          <w:marBottom w:val="0"/>
          <w:divBdr>
            <w:top w:val="none" w:sz="0" w:space="0" w:color="auto"/>
            <w:left w:val="none" w:sz="0" w:space="0" w:color="auto"/>
            <w:bottom w:val="none" w:sz="0" w:space="0" w:color="auto"/>
            <w:right w:val="none" w:sz="0" w:space="0" w:color="auto"/>
          </w:divBdr>
        </w:div>
        <w:div w:id="1077438924">
          <w:marLeft w:val="640"/>
          <w:marRight w:val="0"/>
          <w:marTop w:val="0"/>
          <w:marBottom w:val="0"/>
          <w:divBdr>
            <w:top w:val="none" w:sz="0" w:space="0" w:color="auto"/>
            <w:left w:val="none" w:sz="0" w:space="0" w:color="auto"/>
            <w:bottom w:val="none" w:sz="0" w:space="0" w:color="auto"/>
            <w:right w:val="none" w:sz="0" w:space="0" w:color="auto"/>
          </w:divBdr>
        </w:div>
        <w:div w:id="94256306">
          <w:marLeft w:val="640"/>
          <w:marRight w:val="0"/>
          <w:marTop w:val="0"/>
          <w:marBottom w:val="0"/>
          <w:divBdr>
            <w:top w:val="none" w:sz="0" w:space="0" w:color="auto"/>
            <w:left w:val="none" w:sz="0" w:space="0" w:color="auto"/>
            <w:bottom w:val="none" w:sz="0" w:space="0" w:color="auto"/>
            <w:right w:val="none" w:sz="0" w:space="0" w:color="auto"/>
          </w:divBdr>
        </w:div>
        <w:div w:id="1091857322">
          <w:marLeft w:val="640"/>
          <w:marRight w:val="0"/>
          <w:marTop w:val="0"/>
          <w:marBottom w:val="0"/>
          <w:divBdr>
            <w:top w:val="none" w:sz="0" w:space="0" w:color="auto"/>
            <w:left w:val="none" w:sz="0" w:space="0" w:color="auto"/>
            <w:bottom w:val="none" w:sz="0" w:space="0" w:color="auto"/>
            <w:right w:val="none" w:sz="0" w:space="0" w:color="auto"/>
          </w:divBdr>
        </w:div>
        <w:div w:id="228463955">
          <w:marLeft w:val="640"/>
          <w:marRight w:val="0"/>
          <w:marTop w:val="0"/>
          <w:marBottom w:val="0"/>
          <w:divBdr>
            <w:top w:val="none" w:sz="0" w:space="0" w:color="auto"/>
            <w:left w:val="none" w:sz="0" w:space="0" w:color="auto"/>
            <w:bottom w:val="none" w:sz="0" w:space="0" w:color="auto"/>
            <w:right w:val="none" w:sz="0" w:space="0" w:color="auto"/>
          </w:divBdr>
        </w:div>
        <w:div w:id="1971739211">
          <w:marLeft w:val="640"/>
          <w:marRight w:val="0"/>
          <w:marTop w:val="0"/>
          <w:marBottom w:val="0"/>
          <w:divBdr>
            <w:top w:val="none" w:sz="0" w:space="0" w:color="auto"/>
            <w:left w:val="none" w:sz="0" w:space="0" w:color="auto"/>
            <w:bottom w:val="none" w:sz="0" w:space="0" w:color="auto"/>
            <w:right w:val="none" w:sz="0" w:space="0" w:color="auto"/>
          </w:divBdr>
        </w:div>
        <w:div w:id="643433785">
          <w:marLeft w:val="640"/>
          <w:marRight w:val="0"/>
          <w:marTop w:val="0"/>
          <w:marBottom w:val="0"/>
          <w:divBdr>
            <w:top w:val="none" w:sz="0" w:space="0" w:color="auto"/>
            <w:left w:val="none" w:sz="0" w:space="0" w:color="auto"/>
            <w:bottom w:val="none" w:sz="0" w:space="0" w:color="auto"/>
            <w:right w:val="none" w:sz="0" w:space="0" w:color="auto"/>
          </w:divBdr>
        </w:div>
        <w:div w:id="1494030528">
          <w:marLeft w:val="640"/>
          <w:marRight w:val="0"/>
          <w:marTop w:val="0"/>
          <w:marBottom w:val="0"/>
          <w:divBdr>
            <w:top w:val="none" w:sz="0" w:space="0" w:color="auto"/>
            <w:left w:val="none" w:sz="0" w:space="0" w:color="auto"/>
            <w:bottom w:val="none" w:sz="0" w:space="0" w:color="auto"/>
            <w:right w:val="none" w:sz="0" w:space="0" w:color="auto"/>
          </w:divBdr>
        </w:div>
        <w:div w:id="389546959">
          <w:marLeft w:val="640"/>
          <w:marRight w:val="0"/>
          <w:marTop w:val="0"/>
          <w:marBottom w:val="0"/>
          <w:divBdr>
            <w:top w:val="none" w:sz="0" w:space="0" w:color="auto"/>
            <w:left w:val="none" w:sz="0" w:space="0" w:color="auto"/>
            <w:bottom w:val="none" w:sz="0" w:space="0" w:color="auto"/>
            <w:right w:val="none" w:sz="0" w:space="0" w:color="auto"/>
          </w:divBdr>
        </w:div>
        <w:div w:id="1931697302">
          <w:marLeft w:val="640"/>
          <w:marRight w:val="0"/>
          <w:marTop w:val="0"/>
          <w:marBottom w:val="0"/>
          <w:divBdr>
            <w:top w:val="none" w:sz="0" w:space="0" w:color="auto"/>
            <w:left w:val="none" w:sz="0" w:space="0" w:color="auto"/>
            <w:bottom w:val="none" w:sz="0" w:space="0" w:color="auto"/>
            <w:right w:val="none" w:sz="0" w:space="0" w:color="auto"/>
          </w:divBdr>
        </w:div>
        <w:div w:id="1733507124">
          <w:marLeft w:val="640"/>
          <w:marRight w:val="0"/>
          <w:marTop w:val="0"/>
          <w:marBottom w:val="0"/>
          <w:divBdr>
            <w:top w:val="none" w:sz="0" w:space="0" w:color="auto"/>
            <w:left w:val="none" w:sz="0" w:space="0" w:color="auto"/>
            <w:bottom w:val="none" w:sz="0" w:space="0" w:color="auto"/>
            <w:right w:val="none" w:sz="0" w:space="0" w:color="auto"/>
          </w:divBdr>
        </w:div>
        <w:div w:id="986935034">
          <w:marLeft w:val="640"/>
          <w:marRight w:val="0"/>
          <w:marTop w:val="0"/>
          <w:marBottom w:val="0"/>
          <w:divBdr>
            <w:top w:val="none" w:sz="0" w:space="0" w:color="auto"/>
            <w:left w:val="none" w:sz="0" w:space="0" w:color="auto"/>
            <w:bottom w:val="none" w:sz="0" w:space="0" w:color="auto"/>
            <w:right w:val="none" w:sz="0" w:space="0" w:color="auto"/>
          </w:divBdr>
        </w:div>
        <w:div w:id="1512724251">
          <w:marLeft w:val="640"/>
          <w:marRight w:val="0"/>
          <w:marTop w:val="0"/>
          <w:marBottom w:val="0"/>
          <w:divBdr>
            <w:top w:val="none" w:sz="0" w:space="0" w:color="auto"/>
            <w:left w:val="none" w:sz="0" w:space="0" w:color="auto"/>
            <w:bottom w:val="none" w:sz="0" w:space="0" w:color="auto"/>
            <w:right w:val="none" w:sz="0" w:space="0" w:color="auto"/>
          </w:divBdr>
        </w:div>
        <w:div w:id="1707756582">
          <w:marLeft w:val="640"/>
          <w:marRight w:val="0"/>
          <w:marTop w:val="0"/>
          <w:marBottom w:val="0"/>
          <w:divBdr>
            <w:top w:val="none" w:sz="0" w:space="0" w:color="auto"/>
            <w:left w:val="none" w:sz="0" w:space="0" w:color="auto"/>
            <w:bottom w:val="none" w:sz="0" w:space="0" w:color="auto"/>
            <w:right w:val="none" w:sz="0" w:space="0" w:color="auto"/>
          </w:divBdr>
        </w:div>
        <w:div w:id="1190028904">
          <w:marLeft w:val="640"/>
          <w:marRight w:val="0"/>
          <w:marTop w:val="0"/>
          <w:marBottom w:val="0"/>
          <w:divBdr>
            <w:top w:val="none" w:sz="0" w:space="0" w:color="auto"/>
            <w:left w:val="none" w:sz="0" w:space="0" w:color="auto"/>
            <w:bottom w:val="none" w:sz="0" w:space="0" w:color="auto"/>
            <w:right w:val="none" w:sz="0" w:space="0" w:color="auto"/>
          </w:divBdr>
        </w:div>
        <w:div w:id="89737661">
          <w:marLeft w:val="640"/>
          <w:marRight w:val="0"/>
          <w:marTop w:val="0"/>
          <w:marBottom w:val="0"/>
          <w:divBdr>
            <w:top w:val="none" w:sz="0" w:space="0" w:color="auto"/>
            <w:left w:val="none" w:sz="0" w:space="0" w:color="auto"/>
            <w:bottom w:val="none" w:sz="0" w:space="0" w:color="auto"/>
            <w:right w:val="none" w:sz="0" w:space="0" w:color="auto"/>
          </w:divBdr>
        </w:div>
        <w:div w:id="563493188">
          <w:marLeft w:val="640"/>
          <w:marRight w:val="0"/>
          <w:marTop w:val="0"/>
          <w:marBottom w:val="0"/>
          <w:divBdr>
            <w:top w:val="none" w:sz="0" w:space="0" w:color="auto"/>
            <w:left w:val="none" w:sz="0" w:space="0" w:color="auto"/>
            <w:bottom w:val="none" w:sz="0" w:space="0" w:color="auto"/>
            <w:right w:val="none" w:sz="0" w:space="0" w:color="auto"/>
          </w:divBdr>
        </w:div>
        <w:div w:id="1419599486">
          <w:marLeft w:val="640"/>
          <w:marRight w:val="0"/>
          <w:marTop w:val="0"/>
          <w:marBottom w:val="0"/>
          <w:divBdr>
            <w:top w:val="none" w:sz="0" w:space="0" w:color="auto"/>
            <w:left w:val="none" w:sz="0" w:space="0" w:color="auto"/>
            <w:bottom w:val="none" w:sz="0" w:space="0" w:color="auto"/>
            <w:right w:val="none" w:sz="0" w:space="0" w:color="auto"/>
          </w:divBdr>
        </w:div>
        <w:div w:id="847518962">
          <w:marLeft w:val="640"/>
          <w:marRight w:val="0"/>
          <w:marTop w:val="0"/>
          <w:marBottom w:val="0"/>
          <w:divBdr>
            <w:top w:val="none" w:sz="0" w:space="0" w:color="auto"/>
            <w:left w:val="none" w:sz="0" w:space="0" w:color="auto"/>
            <w:bottom w:val="none" w:sz="0" w:space="0" w:color="auto"/>
            <w:right w:val="none" w:sz="0" w:space="0" w:color="auto"/>
          </w:divBdr>
        </w:div>
        <w:div w:id="598294969">
          <w:marLeft w:val="640"/>
          <w:marRight w:val="0"/>
          <w:marTop w:val="0"/>
          <w:marBottom w:val="0"/>
          <w:divBdr>
            <w:top w:val="none" w:sz="0" w:space="0" w:color="auto"/>
            <w:left w:val="none" w:sz="0" w:space="0" w:color="auto"/>
            <w:bottom w:val="none" w:sz="0" w:space="0" w:color="auto"/>
            <w:right w:val="none" w:sz="0" w:space="0" w:color="auto"/>
          </w:divBdr>
        </w:div>
        <w:div w:id="694036090">
          <w:marLeft w:val="640"/>
          <w:marRight w:val="0"/>
          <w:marTop w:val="0"/>
          <w:marBottom w:val="0"/>
          <w:divBdr>
            <w:top w:val="none" w:sz="0" w:space="0" w:color="auto"/>
            <w:left w:val="none" w:sz="0" w:space="0" w:color="auto"/>
            <w:bottom w:val="none" w:sz="0" w:space="0" w:color="auto"/>
            <w:right w:val="none" w:sz="0" w:space="0" w:color="auto"/>
          </w:divBdr>
        </w:div>
        <w:div w:id="1028725284">
          <w:marLeft w:val="640"/>
          <w:marRight w:val="0"/>
          <w:marTop w:val="0"/>
          <w:marBottom w:val="0"/>
          <w:divBdr>
            <w:top w:val="none" w:sz="0" w:space="0" w:color="auto"/>
            <w:left w:val="none" w:sz="0" w:space="0" w:color="auto"/>
            <w:bottom w:val="none" w:sz="0" w:space="0" w:color="auto"/>
            <w:right w:val="none" w:sz="0" w:space="0" w:color="auto"/>
          </w:divBdr>
        </w:div>
        <w:div w:id="498010242">
          <w:marLeft w:val="640"/>
          <w:marRight w:val="0"/>
          <w:marTop w:val="0"/>
          <w:marBottom w:val="0"/>
          <w:divBdr>
            <w:top w:val="none" w:sz="0" w:space="0" w:color="auto"/>
            <w:left w:val="none" w:sz="0" w:space="0" w:color="auto"/>
            <w:bottom w:val="none" w:sz="0" w:space="0" w:color="auto"/>
            <w:right w:val="none" w:sz="0" w:space="0" w:color="auto"/>
          </w:divBdr>
        </w:div>
        <w:div w:id="1028992950">
          <w:marLeft w:val="640"/>
          <w:marRight w:val="0"/>
          <w:marTop w:val="0"/>
          <w:marBottom w:val="0"/>
          <w:divBdr>
            <w:top w:val="none" w:sz="0" w:space="0" w:color="auto"/>
            <w:left w:val="none" w:sz="0" w:space="0" w:color="auto"/>
            <w:bottom w:val="none" w:sz="0" w:space="0" w:color="auto"/>
            <w:right w:val="none" w:sz="0" w:space="0" w:color="auto"/>
          </w:divBdr>
        </w:div>
        <w:div w:id="1707827887">
          <w:marLeft w:val="640"/>
          <w:marRight w:val="0"/>
          <w:marTop w:val="0"/>
          <w:marBottom w:val="0"/>
          <w:divBdr>
            <w:top w:val="none" w:sz="0" w:space="0" w:color="auto"/>
            <w:left w:val="none" w:sz="0" w:space="0" w:color="auto"/>
            <w:bottom w:val="none" w:sz="0" w:space="0" w:color="auto"/>
            <w:right w:val="none" w:sz="0" w:space="0" w:color="auto"/>
          </w:divBdr>
        </w:div>
        <w:div w:id="2039810592">
          <w:marLeft w:val="640"/>
          <w:marRight w:val="0"/>
          <w:marTop w:val="0"/>
          <w:marBottom w:val="0"/>
          <w:divBdr>
            <w:top w:val="none" w:sz="0" w:space="0" w:color="auto"/>
            <w:left w:val="none" w:sz="0" w:space="0" w:color="auto"/>
            <w:bottom w:val="none" w:sz="0" w:space="0" w:color="auto"/>
            <w:right w:val="none" w:sz="0" w:space="0" w:color="auto"/>
          </w:divBdr>
        </w:div>
        <w:div w:id="726270409">
          <w:marLeft w:val="640"/>
          <w:marRight w:val="0"/>
          <w:marTop w:val="0"/>
          <w:marBottom w:val="0"/>
          <w:divBdr>
            <w:top w:val="none" w:sz="0" w:space="0" w:color="auto"/>
            <w:left w:val="none" w:sz="0" w:space="0" w:color="auto"/>
            <w:bottom w:val="none" w:sz="0" w:space="0" w:color="auto"/>
            <w:right w:val="none" w:sz="0" w:space="0" w:color="auto"/>
          </w:divBdr>
        </w:div>
        <w:div w:id="431560263">
          <w:marLeft w:val="640"/>
          <w:marRight w:val="0"/>
          <w:marTop w:val="0"/>
          <w:marBottom w:val="0"/>
          <w:divBdr>
            <w:top w:val="none" w:sz="0" w:space="0" w:color="auto"/>
            <w:left w:val="none" w:sz="0" w:space="0" w:color="auto"/>
            <w:bottom w:val="none" w:sz="0" w:space="0" w:color="auto"/>
            <w:right w:val="none" w:sz="0" w:space="0" w:color="auto"/>
          </w:divBdr>
        </w:div>
        <w:div w:id="875241128">
          <w:marLeft w:val="640"/>
          <w:marRight w:val="0"/>
          <w:marTop w:val="0"/>
          <w:marBottom w:val="0"/>
          <w:divBdr>
            <w:top w:val="none" w:sz="0" w:space="0" w:color="auto"/>
            <w:left w:val="none" w:sz="0" w:space="0" w:color="auto"/>
            <w:bottom w:val="none" w:sz="0" w:space="0" w:color="auto"/>
            <w:right w:val="none" w:sz="0" w:space="0" w:color="auto"/>
          </w:divBdr>
        </w:div>
        <w:div w:id="301541957">
          <w:marLeft w:val="640"/>
          <w:marRight w:val="0"/>
          <w:marTop w:val="0"/>
          <w:marBottom w:val="0"/>
          <w:divBdr>
            <w:top w:val="none" w:sz="0" w:space="0" w:color="auto"/>
            <w:left w:val="none" w:sz="0" w:space="0" w:color="auto"/>
            <w:bottom w:val="none" w:sz="0" w:space="0" w:color="auto"/>
            <w:right w:val="none" w:sz="0" w:space="0" w:color="auto"/>
          </w:divBdr>
        </w:div>
        <w:div w:id="849488157">
          <w:marLeft w:val="640"/>
          <w:marRight w:val="0"/>
          <w:marTop w:val="0"/>
          <w:marBottom w:val="0"/>
          <w:divBdr>
            <w:top w:val="none" w:sz="0" w:space="0" w:color="auto"/>
            <w:left w:val="none" w:sz="0" w:space="0" w:color="auto"/>
            <w:bottom w:val="none" w:sz="0" w:space="0" w:color="auto"/>
            <w:right w:val="none" w:sz="0" w:space="0" w:color="auto"/>
          </w:divBdr>
        </w:div>
        <w:div w:id="1759978093">
          <w:marLeft w:val="640"/>
          <w:marRight w:val="0"/>
          <w:marTop w:val="0"/>
          <w:marBottom w:val="0"/>
          <w:divBdr>
            <w:top w:val="none" w:sz="0" w:space="0" w:color="auto"/>
            <w:left w:val="none" w:sz="0" w:space="0" w:color="auto"/>
            <w:bottom w:val="none" w:sz="0" w:space="0" w:color="auto"/>
            <w:right w:val="none" w:sz="0" w:space="0" w:color="auto"/>
          </w:divBdr>
        </w:div>
        <w:div w:id="1307054828">
          <w:marLeft w:val="640"/>
          <w:marRight w:val="0"/>
          <w:marTop w:val="0"/>
          <w:marBottom w:val="0"/>
          <w:divBdr>
            <w:top w:val="none" w:sz="0" w:space="0" w:color="auto"/>
            <w:left w:val="none" w:sz="0" w:space="0" w:color="auto"/>
            <w:bottom w:val="none" w:sz="0" w:space="0" w:color="auto"/>
            <w:right w:val="none" w:sz="0" w:space="0" w:color="auto"/>
          </w:divBdr>
        </w:div>
        <w:div w:id="1645769048">
          <w:marLeft w:val="640"/>
          <w:marRight w:val="0"/>
          <w:marTop w:val="0"/>
          <w:marBottom w:val="0"/>
          <w:divBdr>
            <w:top w:val="none" w:sz="0" w:space="0" w:color="auto"/>
            <w:left w:val="none" w:sz="0" w:space="0" w:color="auto"/>
            <w:bottom w:val="none" w:sz="0" w:space="0" w:color="auto"/>
            <w:right w:val="none" w:sz="0" w:space="0" w:color="auto"/>
          </w:divBdr>
        </w:div>
        <w:div w:id="1809740293">
          <w:marLeft w:val="640"/>
          <w:marRight w:val="0"/>
          <w:marTop w:val="0"/>
          <w:marBottom w:val="0"/>
          <w:divBdr>
            <w:top w:val="none" w:sz="0" w:space="0" w:color="auto"/>
            <w:left w:val="none" w:sz="0" w:space="0" w:color="auto"/>
            <w:bottom w:val="none" w:sz="0" w:space="0" w:color="auto"/>
            <w:right w:val="none" w:sz="0" w:space="0" w:color="auto"/>
          </w:divBdr>
        </w:div>
        <w:div w:id="1732384247">
          <w:marLeft w:val="640"/>
          <w:marRight w:val="0"/>
          <w:marTop w:val="0"/>
          <w:marBottom w:val="0"/>
          <w:divBdr>
            <w:top w:val="none" w:sz="0" w:space="0" w:color="auto"/>
            <w:left w:val="none" w:sz="0" w:space="0" w:color="auto"/>
            <w:bottom w:val="none" w:sz="0" w:space="0" w:color="auto"/>
            <w:right w:val="none" w:sz="0" w:space="0" w:color="auto"/>
          </w:divBdr>
        </w:div>
        <w:div w:id="1077284073">
          <w:marLeft w:val="640"/>
          <w:marRight w:val="0"/>
          <w:marTop w:val="0"/>
          <w:marBottom w:val="0"/>
          <w:divBdr>
            <w:top w:val="none" w:sz="0" w:space="0" w:color="auto"/>
            <w:left w:val="none" w:sz="0" w:space="0" w:color="auto"/>
            <w:bottom w:val="none" w:sz="0" w:space="0" w:color="auto"/>
            <w:right w:val="none" w:sz="0" w:space="0" w:color="auto"/>
          </w:divBdr>
        </w:div>
        <w:div w:id="844979799">
          <w:marLeft w:val="640"/>
          <w:marRight w:val="0"/>
          <w:marTop w:val="0"/>
          <w:marBottom w:val="0"/>
          <w:divBdr>
            <w:top w:val="none" w:sz="0" w:space="0" w:color="auto"/>
            <w:left w:val="none" w:sz="0" w:space="0" w:color="auto"/>
            <w:bottom w:val="none" w:sz="0" w:space="0" w:color="auto"/>
            <w:right w:val="none" w:sz="0" w:space="0" w:color="auto"/>
          </w:divBdr>
        </w:div>
        <w:div w:id="1228418219">
          <w:marLeft w:val="640"/>
          <w:marRight w:val="0"/>
          <w:marTop w:val="0"/>
          <w:marBottom w:val="0"/>
          <w:divBdr>
            <w:top w:val="none" w:sz="0" w:space="0" w:color="auto"/>
            <w:left w:val="none" w:sz="0" w:space="0" w:color="auto"/>
            <w:bottom w:val="none" w:sz="0" w:space="0" w:color="auto"/>
            <w:right w:val="none" w:sz="0" w:space="0" w:color="auto"/>
          </w:divBdr>
        </w:div>
        <w:div w:id="803549764">
          <w:marLeft w:val="640"/>
          <w:marRight w:val="0"/>
          <w:marTop w:val="0"/>
          <w:marBottom w:val="0"/>
          <w:divBdr>
            <w:top w:val="none" w:sz="0" w:space="0" w:color="auto"/>
            <w:left w:val="none" w:sz="0" w:space="0" w:color="auto"/>
            <w:bottom w:val="none" w:sz="0" w:space="0" w:color="auto"/>
            <w:right w:val="none" w:sz="0" w:space="0" w:color="auto"/>
          </w:divBdr>
        </w:div>
        <w:div w:id="153883795">
          <w:marLeft w:val="640"/>
          <w:marRight w:val="0"/>
          <w:marTop w:val="0"/>
          <w:marBottom w:val="0"/>
          <w:divBdr>
            <w:top w:val="none" w:sz="0" w:space="0" w:color="auto"/>
            <w:left w:val="none" w:sz="0" w:space="0" w:color="auto"/>
            <w:bottom w:val="none" w:sz="0" w:space="0" w:color="auto"/>
            <w:right w:val="none" w:sz="0" w:space="0" w:color="auto"/>
          </w:divBdr>
        </w:div>
        <w:div w:id="535892155">
          <w:marLeft w:val="640"/>
          <w:marRight w:val="0"/>
          <w:marTop w:val="0"/>
          <w:marBottom w:val="0"/>
          <w:divBdr>
            <w:top w:val="none" w:sz="0" w:space="0" w:color="auto"/>
            <w:left w:val="none" w:sz="0" w:space="0" w:color="auto"/>
            <w:bottom w:val="none" w:sz="0" w:space="0" w:color="auto"/>
            <w:right w:val="none" w:sz="0" w:space="0" w:color="auto"/>
          </w:divBdr>
        </w:div>
        <w:div w:id="1810324158">
          <w:marLeft w:val="640"/>
          <w:marRight w:val="0"/>
          <w:marTop w:val="0"/>
          <w:marBottom w:val="0"/>
          <w:divBdr>
            <w:top w:val="none" w:sz="0" w:space="0" w:color="auto"/>
            <w:left w:val="none" w:sz="0" w:space="0" w:color="auto"/>
            <w:bottom w:val="none" w:sz="0" w:space="0" w:color="auto"/>
            <w:right w:val="none" w:sz="0" w:space="0" w:color="auto"/>
          </w:divBdr>
        </w:div>
        <w:div w:id="1376009145">
          <w:marLeft w:val="640"/>
          <w:marRight w:val="0"/>
          <w:marTop w:val="0"/>
          <w:marBottom w:val="0"/>
          <w:divBdr>
            <w:top w:val="none" w:sz="0" w:space="0" w:color="auto"/>
            <w:left w:val="none" w:sz="0" w:space="0" w:color="auto"/>
            <w:bottom w:val="none" w:sz="0" w:space="0" w:color="auto"/>
            <w:right w:val="none" w:sz="0" w:space="0" w:color="auto"/>
          </w:divBdr>
        </w:div>
        <w:div w:id="959067108">
          <w:marLeft w:val="640"/>
          <w:marRight w:val="0"/>
          <w:marTop w:val="0"/>
          <w:marBottom w:val="0"/>
          <w:divBdr>
            <w:top w:val="none" w:sz="0" w:space="0" w:color="auto"/>
            <w:left w:val="none" w:sz="0" w:space="0" w:color="auto"/>
            <w:bottom w:val="none" w:sz="0" w:space="0" w:color="auto"/>
            <w:right w:val="none" w:sz="0" w:space="0" w:color="auto"/>
          </w:divBdr>
        </w:div>
        <w:div w:id="1793668728">
          <w:marLeft w:val="640"/>
          <w:marRight w:val="0"/>
          <w:marTop w:val="0"/>
          <w:marBottom w:val="0"/>
          <w:divBdr>
            <w:top w:val="none" w:sz="0" w:space="0" w:color="auto"/>
            <w:left w:val="none" w:sz="0" w:space="0" w:color="auto"/>
            <w:bottom w:val="none" w:sz="0" w:space="0" w:color="auto"/>
            <w:right w:val="none" w:sz="0" w:space="0" w:color="auto"/>
          </w:divBdr>
        </w:div>
        <w:div w:id="1068964121">
          <w:marLeft w:val="640"/>
          <w:marRight w:val="0"/>
          <w:marTop w:val="0"/>
          <w:marBottom w:val="0"/>
          <w:divBdr>
            <w:top w:val="none" w:sz="0" w:space="0" w:color="auto"/>
            <w:left w:val="none" w:sz="0" w:space="0" w:color="auto"/>
            <w:bottom w:val="none" w:sz="0" w:space="0" w:color="auto"/>
            <w:right w:val="none" w:sz="0" w:space="0" w:color="auto"/>
          </w:divBdr>
        </w:div>
        <w:div w:id="552235539">
          <w:marLeft w:val="640"/>
          <w:marRight w:val="0"/>
          <w:marTop w:val="0"/>
          <w:marBottom w:val="0"/>
          <w:divBdr>
            <w:top w:val="none" w:sz="0" w:space="0" w:color="auto"/>
            <w:left w:val="none" w:sz="0" w:space="0" w:color="auto"/>
            <w:bottom w:val="none" w:sz="0" w:space="0" w:color="auto"/>
            <w:right w:val="none" w:sz="0" w:space="0" w:color="auto"/>
          </w:divBdr>
        </w:div>
        <w:div w:id="1216116411">
          <w:marLeft w:val="640"/>
          <w:marRight w:val="0"/>
          <w:marTop w:val="0"/>
          <w:marBottom w:val="0"/>
          <w:divBdr>
            <w:top w:val="none" w:sz="0" w:space="0" w:color="auto"/>
            <w:left w:val="none" w:sz="0" w:space="0" w:color="auto"/>
            <w:bottom w:val="none" w:sz="0" w:space="0" w:color="auto"/>
            <w:right w:val="none" w:sz="0" w:space="0" w:color="auto"/>
          </w:divBdr>
        </w:div>
        <w:div w:id="993145174">
          <w:marLeft w:val="640"/>
          <w:marRight w:val="0"/>
          <w:marTop w:val="0"/>
          <w:marBottom w:val="0"/>
          <w:divBdr>
            <w:top w:val="none" w:sz="0" w:space="0" w:color="auto"/>
            <w:left w:val="none" w:sz="0" w:space="0" w:color="auto"/>
            <w:bottom w:val="none" w:sz="0" w:space="0" w:color="auto"/>
            <w:right w:val="none" w:sz="0" w:space="0" w:color="auto"/>
          </w:divBdr>
        </w:div>
        <w:div w:id="268246357">
          <w:marLeft w:val="640"/>
          <w:marRight w:val="0"/>
          <w:marTop w:val="0"/>
          <w:marBottom w:val="0"/>
          <w:divBdr>
            <w:top w:val="none" w:sz="0" w:space="0" w:color="auto"/>
            <w:left w:val="none" w:sz="0" w:space="0" w:color="auto"/>
            <w:bottom w:val="none" w:sz="0" w:space="0" w:color="auto"/>
            <w:right w:val="none" w:sz="0" w:space="0" w:color="auto"/>
          </w:divBdr>
        </w:div>
        <w:div w:id="422607767">
          <w:marLeft w:val="640"/>
          <w:marRight w:val="0"/>
          <w:marTop w:val="0"/>
          <w:marBottom w:val="0"/>
          <w:divBdr>
            <w:top w:val="none" w:sz="0" w:space="0" w:color="auto"/>
            <w:left w:val="none" w:sz="0" w:space="0" w:color="auto"/>
            <w:bottom w:val="none" w:sz="0" w:space="0" w:color="auto"/>
            <w:right w:val="none" w:sz="0" w:space="0" w:color="auto"/>
          </w:divBdr>
        </w:div>
        <w:div w:id="2059431207">
          <w:marLeft w:val="640"/>
          <w:marRight w:val="0"/>
          <w:marTop w:val="0"/>
          <w:marBottom w:val="0"/>
          <w:divBdr>
            <w:top w:val="none" w:sz="0" w:space="0" w:color="auto"/>
            <w:left w:val="none" w:sz="0" w:space="0" w:color="auto"/>
            <w:bottom w:val="none" w:sz="0" w:space="0" w:color="auto"/>
            <w:right w:val="none" w:sz="0" w:space="0" w:color="auto"/>
          </w:divBdr>
        </w:div>
        <w:div w:id="654915751">
          <w:marLeft w:val="640"/>
          <w:marRight w:val="0"/>
          <w:marTop w:val="0"/>
          <w:marBottom w:val="0"/>
          <w:divBdr>
            <w:top w:val="none" w:sz="0" w:space="0" w:color="auto"/>
            <w:left w:val="none" w:sz="0" w:space="0" w:color="auto"/>
            <w:bottom w:val="none" w:sz="0" w:space="0" w:color="auto"/>
            <w:right w:val="none" w:sz="0" w:space="0" w:color="auto"/>
          </w:divBdr>
        </w:div>
        <w:div w:id="1152675148">
          <w:marLeft w:val="640"/>
          <w:marRight w:val="0"/>
          <w:marTop w:val="0"/>
          <w:marBottom w:val="0"/>
          <w:divBdr>
            <w:top w:val="none" w:sz="0" w:space="0" w:color="auto"/>
            <w:left w:val="none" w:sz="0" w:space="0" w:color="auto"/>
            <w:bottom w:val="none" w:sz="0" w:space="0" w:color="auto"/>
            <w:right w:val="none" w:sz="0" w:space="0" w:color="auto"/>
          </w:divBdr>
        </w:div>
        <w:div w:id="422343151">
          <w:marLeft w:val="640"/>
          <w:marRight w:val="0"/>
          <w:marTop w:val="0"/>
          <w:marBottom w:val="0"/>
          <w:divBdr>
            <w:top w:val="none" w:sz="0" w:space="0" w:color="auto"/>
            <w:left w:val="none" w:sz="0" w:space="0" w:color="auto"/>
            <w:bottom w:val="none" w:sz="0" w:space="0" w:color="auto"/>
            <w:right w:val="none" w:sz="0" w:space="0" w:color="auto"/>
          </w:divBdr>
        </w:div>
        <w:div w:id="1344087607">
          <w:marLeft w:val="640"/>
          <w:marRight w:val="0"/>
          <w:marTop w:val="0"/>
          <w:marBottom w:val="0"/>
          <w:divBdr>
            <w:top w:val="none" w:sz="0" w:space="0" w:color="auto"/>
            <w:left w:val="none" w:sz="0" w:space="0" w:color="auto"/>
            <w:bottom w:val="none" w:sz="0" w:space="0" w:color="auto"/>
            <w:right w:val="none" w:sz="0" w:space="0" w:color="auto"/>
          </w:divBdr>
        </w:div>
        <w:div w:id="1565801091">
          <w:marLeft w:val="640"/>
          <w:marRight w:val="0"/>
          <w:marTop w:val="0"/>
          <w:marBottom w:val="0"/>
          <w:divBdr>
            <w:top w:val="none" w:sz="0" w:space="0" w:color="auto"/>
            <w:left w:val="none" w:sz="0" w:space="0" w:color="auto"/>
            <w:bottom w:val="none" w:sz="0" w:space="0" w:color="auto"/>
            <w:right w:val="none" w:sz="0" w:space="0" w:color="auto"/>
          </w:divBdr>
        </w:div>
        <w:div w:id="2123183614">
          <w:marLeft w:val="640"/>
          <w:marRight w:val="0"/>
          <w:marTop w:val="0"/>
          <w:marBottom w:val="0"/>
          <w:divBdr>
            <w:top w:val="none" w:sz="0" w:space="0" w:color="auto"/>
            <w:left w:val="none" w:sz="0" w:space="0" w:color="auto"/>
            <w:bottom w:val="none" w:sz="0" w:space="0" w:color="auto"/>
            <w:right w:val="none" w:sz="0" w:space="0" w:color="auto"/>
          </w:divBdr>
        </w:div>
        <w:div w:id="1374695329">
          <w:marLeft w:val="640"/>
          <w:marRight w:val="0"/>
          <w:marTop w:val="0"/>
          <w:marBottom w:val="0"/>
          <w:divBdr>
            <w:top w:val="none" w:sz="0" w:space="0" w:color="auto"/>
            <w:left w:val="none" w:sz="0" w:space="0" w:color="auto"/>
            <w:bottom w:val="none" w:sz="0" w:space="0" w:color="auto"/>
            <w:right w:val="none" w:sz="0" w:space="0" w:color="auto"/>
          </w:divBdr>
        </w:div>
        <w:div w:id="206919450">
          <w:marLeft w:val="640"/>
          <w:marRight w:val="0"/>
          <w:marTop w:val="0"/>
          <w:marBottom w:val="0"/>
          <w:divBdr>
            <w:top w:val="none" w:sz="0" w:space="0" w:color="auto"/>
            <w:left w:val="none" w:sz="0" w:space="0" w:color="auto"/>
            <w:bottom w:val="none" w:sz="0" w:space="0" w:color="auto"/>
            <w:right w:val="none" w:sz="0" w:space="0" w:color="auto"/>
          </w:divBdr>
        </w:div>
        <w:div w:id="518204153">
          <w:marLeft w:val="640"/>
          <w:marRight w:val="0"/>
          <w:marTop w:val="0"/>
          <w:marBottom w:val="0"/>
          <w:divBdr>
            <w:top w:val="none" w:sz="0" w:space="0" w:color="auto"/>
            <w:left w:val="none" w:sz="0" w:space="0" w:color="auto"/>
            <w:bottom w:val="none" w:sz="0" w:space="0" w:color="auto"/>
            <w:right w:val="none" w:sz="0" w:space="0" w:color="auto"/>
          </w:divBdr>
        </w:div>
        <w:div w:id="1179544033">
          <w:marLeft w:val="640"/>
          <w:marRight w:val="0"/>
          <w:marTop w:val="0"/>
          <w:marBottom w:val="0"/>
          <w:divBdr>
            <w:top w:val="none" w:sz="0" w:space="0" w:color="auto"/>
            <w:left w:val="none" w:sz="0" w:space="0" w:color="auto"/>
            <w:bottom w:val="none" w:sz="0" w:space="0" w:color="auto"/>
            <w:right w:val="none" w:sz="0" w:space="0" w:color="auto"/>
          </w:divBdr>
        </w:div>
        <w:div w:id="481629533">
          <w:marLeft w:val="640"/>
          <w:marRight w:val="0"/>
          <w:marTop w:val="0"/>
          <w:marBottom w:val="0"/>
          <w:divBdr>
            <w:top w:val="none" w:sz="0" w:space="0" w:color="auto"/>
            <w:left w:val="none" w:sz="0" w:space="0" w:color="auto"/>
            <w:bottom w:val="none" w:sz="0" w:space="0" w:color="auto"/>
            <w:right w:val="none" w:sz="0" w:space="0" w:color="auto"/>
          </w:divBdr>
        </w:div>
        <w:div w:id="1725593423">
          <w:marLeft w:val="640"/>
          <w:marRight w:val="0"/>
          <w:marTop w:val="0"/>
          <w:marBottom w:val="0"/>
          <w:divBdr>
            <w:top w:val="none" w:sz="0" w:space="0" w:color="auto"/>
            <w:left w:val="none" w:sz="0" w:space="0" w:color="auto"/>
            <w:bottom w:val="none" w:sz="0" w:space="0" w:color="auto"/>
            <w:right w:val="none" w:sz="0" w:space="0" w:color="auto"/>
          </w:divBdr>
        </w:div>
        <w:div w:id="2021227380">
          <w:marLeft w:val="640"/>
          <w:marRight w:val="0"/>
          <w:marTop w:val="0"/>
          <w:marBottom w:val="0"/>
          <w:divBdr>
            <w:top w:val="none" w:sz="0" w:space="0" w:color="auto"/>
            <w:left w:val="none" w:sz="0" w:space="0" w:color="auto"/>
            <w:bottom w:val="none" w:sz="0" w:space="0" w:color="auto"/>
            <w:right w:val="none" w:sz="0" w:space="0" w:color="auto"/>
          </w:divBdr>
        </w:div>
        <w:div w:id="1266690178">
          <w:marLeft w:val="640"/>
          <w:marRight w:val="0"/>
          <w:marTop w:val="0"/>
          <w:marBottom w:val="0"/>
          <w:divBdr>
            <w:top w:val="none" w:sz="0" w:space="0" w:color="auto"/>
            <w:left w:val="none" w:sz="0" w:space="0" w:color="auto"/>
            <w:bottom w:val="none" w:sz="0" w:space="0" w:color="auto"/>
            <w:right w:val="none" w:sz="0" w:space="0" w:color="auto"/>
          </w:divBdr>
        </w:div>
        <w:div w:id="2021350432">
          <w:marLeft w:val="640"/>
          <w:marRight w:val="0"/>
          <w:marTop w:val="0"/>
          <w:marBottom w:val="0"/>
          <w:divBdr>
            <w:top w:val="none" w:sz="0" w:space="0" w:color="auto"/>
            <w:left w:val="none" w:sz="0" w:space="0" w:color="auto"/>
            <w:bottom w:val="none" w:sz="0" w:space="0" w:color="auto"/>
            <w:right w:val="none" w:sz="0" w:space="0" w:color="auto"/>
          </w:divBdr>
        </w:div>
        <w:div w:id="256719118">
          <w:marLeft w:val="640"/>
          <w:marRight w:val="0"/>
          <w:marTop w:val="0"/>
          <w:marBottom w:val="0"/>
          <w:divBdr>
            <w:top w:val="none" w:sz="0" w:space="0" w:color="auto"/>
            <w:left w:val="none" w:sz="0" w:space="0" w:color="auto"/>
            <w:bottom w:val="none" w:sz="0" w:space="0" w:color="auto"/>
            <w:right w:val="none" w:sz="0" w:space="0" w:color="auto"/>
          </w:divBdr>
        </w:div>
        <w:div w:id="931815531">
          <w:marLeft w:val="640"/>
          <w:marRight w:val="0"/>
          <w:marTop w:val="0"/>
          <w:marBottom w:val="0"/>
          <w:divBdr>
            <w:top w:val="none" w:sz="0" w:space="0" w:color="auto"/>
            <w:left w:val="none" w:sz="0" w:space="0" w:color="auto"/>
            <w:bottom w:val="none" w:sz="0" w:space="0" w:color="auto"/>
            <w:right w:val="none" w:sz="0" w:space="0" w:color="auto"/>
          </w:divBdr>
        </w:div>
        <w:div w:id="1173842379">
          <w:marLeft w:val="640"/>
          <w:marRight w:val="0"/>
          <w:marTop w:val="0"/>
          <w:marBottom w:val="0"/>
          <w:divBdr>
            <w:top w:val="none" w:sz="0" w:space="0" w:color="auto"/>
            <w:left w:val="none" w:sz="0" w:space="0" w:color="auto"/>
            <w:bottom w:val="none" w:sz="0" w:space="0" w:color="auto"/>
            <w:right w:val="none" w:sz="0" w:space="0" w:color="auto"/>
          </w:divBdr>
        </w:div>
        <w:div w:id="1536575965">
          <w:marLeft w:val="640"/>
          <w:marRight w:val="0"/>
          <w:marTop w:val="0"/>
          <w:marBottom w:val="0"/>
          <w:divBdr>
            <w:top w:val="none" w:sz="0" w:space="0" w:color="auto"/>
            <w:left w:val="none" w:sz="0" w:space="0" w:color="auto"/>
            <w:bottom w:val="none" w:sz="0" w:space="0" w:color="auto"/>
            <w:right w:val="none" w:sz="0" w:space="0" w:color="auto"/>
          </w:divBdr>
        </w:div>
        <w:div w:id="940994703">
          <w:marLeft w:val="640"/>
          <w:marRight w:val="0"/>
          <w:marTop w:val="0"/>
          <w:marBottom w:val="0"/>
          <w:divBdr>
            <w:top w:val="none" w:sz="0" w:space="0" w:color="auto"/>
            <w:left w:val="none" w:sz="0" w:space="0" w:color="auto"/>
            <w:bottom w:val="none" w:sz="0" w:space="0" w:color="auto"/>
            <w:right w:val="none" w:sz="0" w:space="0" w:color="auto"/>
          </w:divBdr>
        </w:div>
        <w:div w:id="1561210917">
          <w:marLeft w:val="640"/>
          <w:marRight w:val="0"/>
          <w:marTop w:val="0"/>
          <w:marBottom w:val="0"/>
          <w:divBdr>
            <w:top w:val="none" w:sz="0" w:space="0" w:color="auto"/>
            <w:left w:val="none" w:sz="0" w:space="0" w:color="auto"/>
            <w:bottom w:val="none" w:sz="0" w:space="0" w:color="auto"/>
            <w:right w:val="none" w:sz="0" w:space="0" w:color="auto"/>
          </w:divBdr>
        </w:div>
        <w:div w:id="1919167758">
          <w:marLeft w:val="640"/>
          <w:marRight w:val="0"/>
          <w:marTop w:val="0"/>
          <w:marBottom w:val="0"/>
          <w:divBdr>
            <w:top w:val="none" w:sz="0" w:space="0" w:color="auto"/>
            <w:left w:val="none" w:sz="0" w:space="0" w:color="auto"/>
            <w:bottom w:val="none" w:sz="0" w:space="0" w:color="auto"/>
            <w:right w:val="none" w:sz="0" w:space="0" w:color="auto"/>
          </w:divBdr>
        </w:div>
        <w:div w:id="1732271993">
          <w:marLeft w:val="640"/>
          <w:marRight w:val="0"/>
          <w:marTop w:val="0"/>
          <w:marBottom w:val="0"/>
          <w:divBdr>
            <w:top w:val="none" w:sz="0" w:space="0" w:color="auto"/>
            <w:left w:val="none" w:sz="0" w:space="0" w:color="auto"/>
            <w:bottom w:val="none" w:sz="0" w:space="0" w:color="auto"/>
            <w:right w:val="none" w:sz="0" w:space="0" w:color="auto"/>
          </w:divBdr>
        </w:div>
        <w:div w:id="762606253">
          <w:marLeft w:val="640"/>
          <w:marRight w:val="0"/>
          <w:marTop w:val="0"/>
          <w:marBottom w:val="0"/>
          <w:divBdr>
            <w:top w:val="none" w:sz="0" w:space="0" w:color="auto"/>
            <w:left w:val="none" w:sz="0" w:space="0" w:color="auto"/>
            <w:bottom w:val="none" w:sz="0" w:space="0" w:color="auto"/>
            <w:right w:val="none" w:sz="0" w:space="0" w:color="auto"/>
          </w:divBdr>
        </w:div>
        <w:div w:id="989484007">
          <w:marLeft w:val="640"/>
          <w:marRight w:val="0"/>
          <w:marTop w:val="0"/>
          <w:marBottom w:val="0"/>
          <w:divBdr>
            <w:top w:val="none" w:sz="0" w:space="0" w:color="auto"/>
            <w:left w:val="none" w:sz="0" w:space="0" w:color="auto"/>
            <w:bottom w:val="none" w:sz="0" w:space="0" w:color="auto"/>
            <w:right w:val="none" w:sz="0" w:space="0" w:color="auto"/>
          </w:divBdr>
        </w:div>
        <w:div w:id="2120948213">
          <w:marLeft w:val="640"/>
          <w:marRight w:val="0"/>
          <w:marTop w:val="0"/>
          <w:marBottom w:val="0"/>
          <w:divBdr>
            <w:top w:val="none" w:sz="0" w:space="0" w:color="auto"/>
            <w:left w:val="none" w:sz="0" w:space="0" w:color="auto"/>
            <w:bottom w:val="none" w:sz="0" w:space="0" w:color="auto"/>
            <w:right w:val="none" w:sz="0" w:space="0" w:color="auto"/>
          </w:divBdr>
        </w:div>
        <w:div w:id="2028019906">
          <w:marLeft w:val="640"/>
          <w:marRight w:val="0"/>
          <w:marTop w:val="0"/>
          <w:marBottom w:val="0"/>
          <w:divBdr>
            <w:top w:val="none" w:sz="0" w:space="0" w:color="auto"/>
            <w:left w:val="none" w:sz="0" w:space="0" w:color="auto"/>
            <w:bottom w:val="none" w:sz="0" w:space="0" w:color="auto"/>
            <w:right w:val="none" w:sz="0" w:space="0" w:color="auto"/>
          </w:divBdr>
        </w:div>
        <w:div w:id="696010299">
          <w:marLeft w:val="640"/>
          <w:marRight w:val="0"/>
          <w:marTop w:val="0"/>
          <w:marBottom w:val="0"/>
          <w:divBdr>
            <w:top w:val="none" w:sz="0" w:space="0" w:color="auto"/>
            <w:left w:val="none" w:sz="0" w:space="0" w:color="auto"/>
            <w:bottom w:val="none" w:sz="0" w:space="0" w:color="auto"/>
            <w:right w:val="none" w:sz="0" w:space="0" w:color="auto"/>
          </w:divBdr>
        </w:div>
        <w:div w:id="1857307056">
          <w:marLeft w:val="640"/>
          <w:marRight w:val="0"/>
          <w:marTop w:val="0"/>
          <w:marBottom w:val="0"/>
          <w:divBdr>
            <w:top w:val="none" w:sz="0" w:space="0" w:color="auto"/>
            <w:left w:val="none" w:sz="0" w:space="0" w:color="auto"/>
            <w:bottom w:val="none" w:sz="0" w:space="0" w:color="auto"/>
            <w:right w:val="none" w:sz="0" w:space="0" w:color="auto"/>
          </w:divBdr>
        </w:div>
      </w:divsChild>
    </w:div>
    <w:div w:id="1473785636">
      <w:bodyDiv w:val="1"/>
      <w:marLeft w:val="0"/>
      <w:marRight w:val="0"/>
      <w:marTop w:val="0"/>
      <w:marBottom w:val="0"/>
      <w:divBdr>
        <w:top w:val="none" w:sz="0" w:space="0" w:color="auto"/>
        <w:left w:val="none" w:sz="0" w:space="0" w:color="auto"/>
        <w:bottom w:val="none" w:sz="0" w:space="0" w:color="auto"/>
        <w:right w:val="none" w:sz="0" w:space="0" w:color="auto"/>
      </w:divBdr>
      <w:divsChild>
        <w:div w:id="590546212">
          <w:marLeft w:val="640"/>
          <w:marRight w:val="0"/>
          <w:marTop w:val="0"/>
          <w:marBottom w:val="0"/>
          <w:divBdr>
            <w:top w:val="none" w:sz="0" w:space="0" w:color="auto"/>
            <w:left w:val="none" w:sz="0" w:space="0" w:color="auto"/>
            <w:bottom w:val="none" w:sz="0" w:space="0" w:color="auto"/>
            <w:right w:val="none" w:sz="0" w:space="0" w:color="auto"/>
          </w:divBdr>
        </w:div>
        <w:div w:id="1687831818">
          <w:marLeft w:val="640"/>
          <w:marRight w:val="0"/>
          <w:marTop w:val="0"/>
          <w:marBottom w:val="0"/>
          <w:divBdr>
            <w:top w:val="none" w:sz="0" w:space="0" w:color="auto"/>
            <w:left w:val="none" w:sz="0" w:space="0" w:color="auto"/>
            <w:bottom w:val="none" w:sz="0" w:space="0" w:color="auto"/>
            <w:right w:val="none" w:sz="0" w:space="0" w:color="auto"/>
          </w:divBdr>
        </w:div>
        <w:div w:id="2133285473">
          <w:marLeft w:val="640"/>
          <w:marRight w:val="0"/>
          <w:marTop w:val="0"/>
          <w:marBottom w:val="0"/>
          <w:divBdr>
            <w:top w:val="none" w:sz="0" w:space="0" w:color="auto"/>
            <w:left w:val="none" w:sz="0" w:space="0" w:color="auto"/>
            <w:bottom w:val="none" w:sz="0" w:space="0" w:color="auto"/>
            <w:right w:val="none" w:sz="0" w:space="0" w:color="auto"/>
          </w:divBdr>
        </w:div>
        <w:div w:id="559680506">
          <w:marLeft w:val="640"/>
          <w:marRight w:val="0"/>
          <w:marTop w:val="0"/>
          <w:marBottom w:val="0"/>
          <w:divBdr>
            <w:top w:val="none" w:sz="0" w:space="0" w:color="auto"/>
            <w:left w:val="none" w:sz="0" w:space="0" w:color="auto"/>
            <w:bottom w:val="none" w:sz="0" w:space="0" w:color="auto"/>
            <w:right w:val="none" w:sz="0" w:space="0" w:color="auto"/>
          </w:divBdr>
        </w:div>
        <w:div w:id="383678078">
          <w:marLeft w:val="640"/>
          <w:marRight w:val="0"/>
          <w:marTop w:val="0"/>
          <w:marBottom w:val="0"/>
          <w:divBdr>
            <w:top w:val="none" w:sz="0" w:space="0" w:color="auto"/>
            <w:left w:val="none" w:sz="0" w:space="0" w:color="auto"/>
            <w:bottom w:val="none" w:sz="0" w:space="0" w:color="auto"/>
            <w:right w:val="none" w:sz="0" w:space="0" w:color="auto"/>
          </w:divBdr>
        </w:div>
        <w:div w:id="785389298">
          <w:marLeft w:val="640"/>
          <w:marRight w:val="0"/>
          <w:marTop w:val="0"/>
          <w:marBottom w:val="0"/>
          <w:divBdr>
            <w:top w:val="none" w:sz="0" w:space="0" w:color="auto"/>
            <w:left w:val="none" w:sz="0" w:space="0" w:color="auto"/>
            <w:bottom w:val="none" w:sz="0" w:space="0" w:color="auto"/>
            <w:right w:val="none" w:sz="0" w:space="0" w:color="auto"/>
          </w:divBdr>
        </w:div>
        <w:div w:id="331572467">
          <w:marLeft w:val="640"/>
          <w:marRight w:val="0"/>
          <w:marTop w:val="0"/>
          <w:marBottom w:val="0"/>
          <w:divBdr>
            <w:top w:val="none" w:sz="0" w:space="0" w:color="auto"/>
            <w:left w:val="none" w:sz="0" w:space="0" w:color="auto"/>
            <w:bottom w:val="none" w:sz="0" w:space="0" w:color="auto"/>
            <w:right w:val="none" w:sz="0" w:space="0" w:color="auto"/>
          </w:divBdr>
        </w:div>
        <w:div w:id="489639549">
          <w:marLeft w:val="640"/>
          <w:marRight w:val="0"/>
          <w:marTop w:val="0"/>
          <w:marBottom w:val="0"/>
          <w:divBdr>
            <w:top w:val="none" w:sz="0" w:space="0" w:color="auto"/>
            <w:left w:val="none" w:sz="0" w:space="0" w:color="auto"/>
            <w:bottom w:val="none" w:sz="0" w:space="0" w:color="auto"/>
            <w:right w:val="none" w:sz="0" w:space="0" w:color="auto"/>
          </w:divBdr>
        </w:div>
        <w:div w:id="1921600761">
          <w:marLeft w:val="640"/>
          <w:marRight w:val="0"/>
          <w:marTop w:val="0"/>
          <w:marBottom w:val="0"/>
          <w:divBdr>
            <w:top w:val="none" w:sz="0" w:space="0" w:color="auto"/>
            <w:left w:val="none" w:sz="0" w:space="0" w:color="auto"/>
            <w:bottom w:val="none" w:sz="0" w:space="0" w:color="auto"/>
            <w:right w:val="none" w:sz="0" w:space="0" w:color="auto"/>
          </w:divBdr>
        </w:div>
        <w:div w:id="1018429735">
          <w:marLeft w:val="640"/>
          <w:marRight w:val="0"/>
          <w:marTop w:val="0"/>
          <w:marBottom w:val="0"/>
          <w:divBdr>
            <w:top w:val="none" w:sz="0" w:space="0" w:color="auto"/>
            <w:left w:val="none" w:sz="0" w:space="0" w:color="auto"/>
            <w:bottom w:val="none" w:sz="0" w:space="0" w:color="auto"/>
            <w:right w:val="none" w:sz="0" w:space="0" w:color="auto"/>
          </w:divBdr>
        </w:div>
        <w:div w:id="873618620">
          <w:marLeft w:val="640"/>
          <w:marRight w:val="0"/>
          <w:marTop w:val="0"/>
          <w:marBottom w:val="0"/>
          <w:divBdr>
            <w:top w:val="none" w:sz="0" w:space="0" w:color="auto"/>
            <w:left w:val="none" w:sz="0" w:space="0" w:color="auto"/>
            <w:bottom w:val="none" w:sz="0" w:space="0" w:color="auto"/>
            <w:right w:val="none" w:sz="0" w:space="0" w:color="auto"/>
          </w:divBdr>
        </w:div>
        <w:div w:id="672269138">
          <w:marLeft w:val="640"/>
          <w:marRight w:val="0"/>
          <w:marTop w:val="0"/>
          <w:marBottom w:val="0"/>
          <w:divBdr>
            <w:top w:val="none" w:sz="0" w:space="0" w:color="auto"/>
            <w:left w:val="none" w:sz="0" w:space="0" w:color="auto"/>
            <w:bottom w:val="none" w:sz="0" w:space="0" w:color="auto"/>
            <w:right w:val="none" w:sz="0" w:space="0" w:color="auto"/>
          </w:divBdr>
        </w:div>
        <w:div w:id="369036960">
          <w:marLeft w:val="640"/>
          <w:marRight w:val="0"/>
          <w:marTop w:val="0"/>
          <w:marBottom w:val="0"/>
          <w:divBdr>
            <w:top w:val="none" w:sz="0" w:space="0" w:color="auto"/>
            <w:left w:val="none" w:sz="0" w:space="0" w:color="auto"/>
            <w:bottom w:val="none" w:sz="0" w:space="0" w:color="auto"/>
            <w:right w:val="none" w:sz="0" w:space="0" w:color="auto"/>
          </w:divBdr>
        </w:div>
        <w:div w:id="1256524316">
          <w:marLeft w:val="640"/>
          <w:marRight w:val="0"/>
          <w:marTop w:val="0"/>
          <w:marBottom w:val="0"/>
          <w:divBdr>
            <w:top w:val="none" w:sz="0" w:space="0" w:color="auto"/>
            <w:left w:val="none" w:sz="0" w:space="0" w:color="auto"/>
            <w:bottom w:val="none" w:sz="0" w:space="0" w:color="auto"/>
            <w:right w:val="none" w:sz="0" w:space="0" w:color="auto"/>
          </w:divBdr>
        </w:div>
        <w:div w:id="1832718745">
          <w:marLeft w:val="640"/>
          <w:marRight w:val="0"/>
          <w:marTop w:val="0"/>
          <w:marBottom w:val="0"/>
          <w:divBdr>
            <w:top w:val="none" w:sz="0" w:space="0" w:color="auto"/>
            <w:left w:val="none" w:sz="0" w:space="0" w:color="auto"/>
            <w:bottom w:val="none" w:sz="0" w:space="0" w:color="auto"/>
            <w:right w:val="none" w:sz="0" w:space="0" w:color="auto"/>
          </w:divBdr>
        </w:div>
        <w:div w:id="1332296616">
          <w:marLeft w:val="640"/>
          <w:marRight w:val="0"/>
          <w:marTop w:val="0"/>
          <w:marBottom w:val="0"/>
          <w:divBdr>
            <w:top w:val="none" w:sz="0" w:space="0" w:color="auto"/>
            <w:left w:val="none" w:sz="0" w:space="0" w:color="auto"/>
            <w:bottom w:val="none" w:sz="0" w:space="0" w:color="auto"/>
            <w:right w:val="none" w:sz="0" w:space="0" w:color="auto"/>
          </w:divBdr>
        </w:div>
        <w:div w:id="1811246259">
          <w:marLeft w:val="640"/>
          <w:marRight w:val="0"/>
          <w:marTop w:val="0"/>
          <w:marBottom w:val="0"/>
          <w:divBdr>
            <w:top w:val="none" w:sz="0" w:space="0" w:color="auto"/>
            <w:left w:val="none" w:sz="0" w:space="0" w:color="auto"/>
            <w:bottom w:val="none" w:sz="0" w:space="0" w:color="auto"/>
            <w:right w:val="none" w:sz="0" w:space="0" w:color="auto"/>
          </w:divBdr>
        </w:div>
        <w:div w:id="1485270208">
          <w:marLeft w:val="640"/>
          <w:marRight w:val="0"/>
          <w:marTop w:val="0"/>
          <w:marBottom w:val="0"/>
          <w:divBdr>
            <w:top w:val="none" w:sz="0" w:space="0" w:color="auto"/>
            <w:left w:val="none" w:sz="0" w:space="0" w:color="auto"/>
            <w:bottom w:val="none" w:sz="0" w:space="0" w:color="auto"/>
            <w:right w:val="none" w:sz="0" w:space="0" w:color="auto"/>
          </w:divBdr>
        </w:div>
        <w:div w:id="2030524173">
          <w:marLeft w:val="640"/>
          <w:marRight w:val="0"/>
          <w:marTop w:val="0"/>
          <w:marBottom w:val="0"/>
          <w:divBdr>
            <w:top w:val="none" w:sz="0" w:space="0" w:color="auto"/>
            <w:left w:val="none" w:sz="0" w:space="0" w:color="auto"/>
            <w:bottom w:val="none" w:sz="0" w:space="0" w:color="auto"/>
            <w:right w:val="none" w:sz="0" w:space="0" w:color="auto"/>
          </w:divBdr>
        </w:div>
        <w:div w:id="691610157">
          <w:marLeft w:val="640"/>
          <w:marRight w:val="0"/>
          <w:marTop w:val="0"/>
          <w:marBottom w:val="0"/>
          <w:divBdr>
            <w:top w:val="none" w:sz="0" w:space="0" w:color="auto"/>
            <w:left w:val="none" w:sz="0" w:space="0" w:color="auto"/>
            <w:bottom w:val="none" w:sz="0" w:space="0" w:color="auto"/>
            <w:right w:val="none" w:sz="0" w:space="0" w:color="auto"/>
          </w:divBdr>
        </w:div>
        <w:div w:id="2060280400">
          <w:marLeft w:val="640"/>
          <w:marRight w:val="0"/>
          <w:marTop w:val="0"/>
          <w:marBottom w:val="0"/>
          <w:divBdr>
            <w:top w:val="none" w:sz="0" w:space="0" w:color="auto"/>
            <w:left w:val="none" w:sz="0" w:space="0" w:color="auto"/>
            <w:bottom w:val="none" w:sz="0" w:space="0" w:color="auto"/>
            <w:right w:val="none" w:sz="0" w:space="0" w:color="auto"/>
          </w:divBdr>
        </w:div>
        <w:div w:id="76244227">
          <w:marLeft w:val="640"/>
          <w:marRight w:val="0"/>
          <w:marTop w:val="0"/>
          <w:marBottom w:val="0"/>
          <w:divBdr>
            <w:top w:val="none" w:sz="0" w:space="0" w:color="auto"/>
            <w:left w:val="none" w:sz="0" w:space="0" w:color="auto"/>
            <w:bottom w:val="none" w:sz="0" w:space="0" w:color="auto"/>
            <w:right w:val="none" w:sz="0" w:space="0" w:color="auto"/>
          </w:divBdr>
        </w:div>
        <w:div w:id="1295253979">
          <w:marLeft w:val="640"/>
          <w:marRight w:val="0"/>
          <w:marTop w:val="0"/>
          <w:marBottom w:val="0"/>
          <w:divBdr>
            <w:top w:val="none" w:sz="0" w:space="0" w:color="auto"/>
            <w:left w:val="none" w:sz="0" w:space="0" w:color="auto"/>
            <w:bottom w:val="none" w:sz="0" w:space="0" w:color="auto"/>
            <w:right w:val="none" w:sz="0" w:space="0" w:color="auto"/>
          </w:divBdr>
        </w:div>
        <w:div w:id="49305549">
          <w:marLeft w:val="640"/>
          <w:marRight w:val="0"/>
          <w:marTop w:val="0"/>
          <w:marBottom w:val="0"/>
          <w:divBdr>
            <w:top w:val="none" w:sz="0" w:space="0" w:color="auto"/>
            <w:left w:val="none" w:sz="0" w:space="0" w:color="auto"/>
            <w:bottom w:val="none" w:sz="0" w:space="0" w:color="auto"/>
            <w:right w:val="none" w:sz="0" w:space="0" w:color="auto"/>
          </w:divBdr>
        </w:div>
        <w:div w:id="486095380">
          <w:marLeft w:val="640"/>
          <w:marRight w:val="0"/>
          <w:marTop w:val="0"/>
          <w:marBottom w:val="0"/>
          <w:divBdr>
            <w:top w:val="none" w:sz="0" w:space="0" w:color="auto"/>
            <w:left w:val="none" w:sz="0" w:space="0" w:color="auto"/>
            <w:bottom w:val="none" w:sz="0" w:space="0" w:color="auto"/>
            <w:right w:val="none" w:sz="0" w:space="0" w:color="auto"/>
          </w:divBdr>
        </w:div>
        <w:div w:id="1523010172">
          <w:marLeft w:val="640"/>
          <w:marRight w:val="0"/>
          <w:marTop w:val="0"/>
          <w:marBottom w:val="0"/>
          <w:divBdr>
            <w:top w:val="none" w:sz="0" w:space="0" w:color="auto"/>
            <w:left w:val="none" w:sz="0" w:space="0" w:color="auto"/>
            <w:bottom w:val="none" w:sz="0" w:space="0" w:color="auto"/>
            <w:right w:val="none" w:sz="0" w:space="0" w:color="auto"/>
          </w:divBdr>
        </w:div>
        <w:div w:id="1471291646">
          <w:marLeft w:val="640"/>
          <w:marRight w:val="0"/>
          <w:marTop w:val="0"/>
          <w:marBottom w:val="0"/>
          <w:divBdr>
            <w:top w:val="none" w:sz="0" w:space="0" w:color="auto"/>
            <w:left w:val="none" w:sz="0" w:space="0" w:color="auto"/>
            <w:bottom w:val="none" w:sz="0" w:space="0" w:color="auto"/>
            <w:right w:val="none" w:sz="0" w:space="0" w:color="auto"/>
          </w:divBdr>
        </w:div>
        <w:div w:id="725228554">
          <w:marLeft w:val="640"/>
          <w:marRight w:val="0"/>
          <w:marTop w:val="0"/>
          <w:marBottom w:val="0"/>
          <w:divBdr>
            <w:top w:val="none" w:sz="0" w:space="0" w:color="auto"/>
            <w:left w:val="none" w:sz="0" w:space="0" w:color="auto"/>
            <w:bottom w:val="none" w:sz="0" w:space="0" w:color="auto"/>
            <w:right w:val="none" w:sz="0" w:space="0" w:color="auto"/>
          </w:divBdr>
        </w:div>
        <w:div w:id="2125692009">
          <w:marLeft w:val="640"/>
          <w:marRight w:val="0"/>
          <w:marTop w:val="0"/>
          <w:marBottom w:val="0"/>
          <w:divBdr>
            <w:top w:val="none" w:sz="0" w:space="0" w:color="auto"/>
            <w:left w:val="none" w:sz="0" w:space="0" w:color="auto"/>
            <w:bottom w:val="none" w:sz="0" w:space="0" w:color="auto"/>
            <w:right w:val="none" w:sz="0" w:space="0" w:color="auto"/>
          </w:divBdr>
        </w:div>
        <w:div w:id="1221752648">
          <w:marLeft w:val="640"/>
          <w:marRight w:val="0"/>
          <w:marTop w:val="0"/>
          <w:marBottom w:val="0"/>
          <w:divBdr>
            <w:top w:val="none" w:sz="0" w:space="0" w:color="auto"/>
            <w:left w:val="none" w:sz="0" w:space="0" w:color="auto"/>
            <w:bottom w:val="none" w:sz="0" w:space="0" w:color="auto"/>
            <w:right w:val="none" w:sz="0" w:space="0" w:color="auto"/>
          </w:divBdr>
        </w:div>
        <w:div w:id="1892155436">
          <w:marLeft w:val="640"/>
          <w:marRight w:val="0"/>
          <w:marTop w:val="0"/>
          <w:marBottom w:val="0"/>
          <w:divBdr>
            <w:top w:val="none" w:sz="0" w:space="0" w:color="auto"/>
            <w:left w:val="none" w:sz="0" w:space="0" w:color="auto"/>
            <w:bottom w:val="none" w:sz="0" w:space="0" w:color="auto"/>
            <w:right w:val="none" w:sz="0" w:space="0" w:color="auto"/>
          </w:divBdr>
        </w:div>
        <w:div w:id="1160147935">
          <w:marLeft w:val="640"/>
          <w:marRight w:val="0"/>
          <w:marTop w:val="0"/>
          <w:marBottom w:val="0"/>
          <w:divBdr>
            <w:top w:val="none" w:sz="0" w:space="0" w:color="auto"/>
            <w:left w:val="none" w:sz="0" w:space="0" w:color="auto"/>
            <w:bottom w:val="none" w:sz="0" w:space="0" w:color="auto"/>
            <w:right w:val="none" w:sz="0" w:space="0" w:color="auto"/>
          </w:divBdr>
        </w:div>
        <w:div w:id="1292974691">
          <w:marLeft w:val="640"/>
          <w:marRight w:val="0"/>
          <w:marTop w:val="0"/>
          <w:marBottom w:val="0"/>
          <w:divBdr>
            <w:top w:val="none" w:sz="0" w:space="0" w:color="auto"/>
            <w:left w:val="none" w:sz="0" w:space="0" w:color="auto"/>
            <w:bottom w:val="none" w:sz="0" w:space="0" w:color="auto"/>
            <w:right w:val="none" w:sz="0" w:space="0" w:color="auto"/>
          </w:divBdr>
        </w:div>
        <w:div w:id="1772703297">
          <w:marLeft w:val="640"/>
          <w:marRight w:val="0"/>
          <w:marTop w:val="0"/>
          <w:marBottom w:val="0"/>
          <w:divBdr>
            <w:top w:val="none" w:sz="0" w:space="0" w:color="auto"/>
            <w:left w:val="none" w:sz="0" w:space="0" w:color="auto"/>
            <w:bottom w:val="none" w:sz="0" w:space="0" w:color="auto"/>
            <w:right w:val="none" w:sz="0" w:space="0" w:color="auto"/>
          </w:divBdr>
        </w:div>
        <w:div w:id="81687148">
          <w:marLeft w:val="640"/>
          <w:marRight w:val="0"/>
          <w:marTop w:val="0"/>
          <w:marBottom w:val="0"/>
          <w:divBdr>
            <w:top w:val="none" w:sz="0" w:space="0" w:color="auto"/>
            <w:left w:val="none" w:sz="0" w:space="0" w:color="auto"/>
            <w:bottom w:val="none" w:sz="0" w:space="0" w:color="auto"/>
            <w:right w:val="none" w:sz="0" w:space="0" w:color="auto"/>
          </w:divBdr>
        </w:div>
        <w:div w:id="1114668353">
          <w:marLeft w:val="640"/>
          <w:marRight w:val="0"/>
          <w:marTop w:val="0"/>
          <w:marBottom w:val="0"/>
          <w:divBdr>
            <w:top w:val="none" w:sz="0" w:space="0" w:color="auto"/>
            <w:left w:val="none" w:sz="0" w:space="0" w:color="auto"/>
            <w:bottom w:val="none" w:sz="0" w:space="0" w:color="auto"/>
            <w:right w:val="none" w:sz="0" w:space="0" w:color="auto"/>
          </w:divBdr>
        </w:div>
        <w:div w:id="1648317051">
          <w:marLeft w:val="640"/>
          <w:marRight w:val="0"/>
          <w:marTop w:val="0"/>
          <w:marBottom w:val="0"/>
          <w:divBdr>
            <w:top w:val="none" w:sz="0" w:space="0" w:color="auto"/>
            <w:left w:val="none" w:sz="0" w:space="0" w:color="auto"/>
            <w:bottom w:val="none" w:sz="0" w:space="0" w:color="auto"/>
            <w:right w:val="none" w:sz="0" w:space="0" w:color="auto"/>
          </w:divBdr>
        </w:div>
        <w:div w:id="500898807">
          <w:marLeft w:val="640"/>
          <w:marRight w:val="0"/>
          <w:marTop w:val="0"/>
          <w:marBottom w:val="0"/>
          <w:divBdr>
            <w:top w:val="none" w:sz="0" w:space="0" w:color="auto"/>
            <w:left w:val="none" w:sz="0" w:space="0" w:color="auto"/>
            <w:bottom w:val="none" w:sz="0" w:space="0" w:color="auto"/>
            <w:right w:val="none" w:sz="0" w:space="0" w:color="auto"/>
          </w:divBdr>
        </w:div>
        <w:div w:id="1083256077">
          <w:marLeft w:val="640"/>
          <w:marRight w:val="0"/>
          <w:marTop w:val="0"/>
          <w:marBottom w:val="0"/>
          <w:divBdr>
            <w:top w:val="none" w:sz="0" w:space="0" w:color="auto"/>
            <w:left w:val="none" w:sz="0" w:space="0" w:color="auto"/>
            <w:bottom w:val="none" w:sz="0" w:space="0" w:color="auto"/>
            <w:right w:val="none" w:sz="0" w:space="0" w:color="auto"/>
          </w:divBdr>
        </w:div>
        <w:div w:id="1843200445">
          <w:marLeft w:val="640"/>
          <w:marRight w:val="0"/>
          <w:marTop w:val="0"/>
          <w:marBottom w:val="0"/>
          <w:divBdr>
            <w:top w:val="none" w:sz="0" w:space="0" w:color="auto"/>
            <w:left w:val="none" w:sz="0" w:space="0" w:color="auto"/>
            <w:bottom w:val="none" w:sz="0" w:space="0" w:color="auto"/>
            <w:right w:val="none" w:sz="0" w:space="0" w:color="auto"/>
          </w:divBdr>
        </w:div>
        <w:div w:id="19013223">
          <w:marLeft w:val="640"/>
          <w:marRight w:val="0"/>
          <w:marTop w:val="0"/>
          <w:marBottom w:val="0"/>
          <w:divBdr>
            <w:top w:val="none" w:sz="0" w:space="0" w:color="auto"/>
            <w:left w:val="none" w:sz="0" w:space="0" w:color="auto"/>
            <w:bottom w:val="none" w:sz="0" w:space="0" w:color="auto"/>
            <w:right w:val="none" w:sz="0" w:space="0" w:color="auto"/>
          </w:divBdr>
        </w:div>
        <w:div w:id="1596396335">
          <w:marLeft w:val="640"/>
          <w:marRight w:val="0"/>
          <w:marTop w:val="0"/>
          <w:marBottom w:val="0"/>
          <w:divBdr>
            <w:top w:val="none" w:sz="0" w:space="0" w:color="auto"/>
            <w:left w:val="none" w:sz="0" w:space="0" w:color="auto"/>
            <w:bottom w:val="none" w:sz="0" w:space="0" w:color="auto"/>
            <w:right w:val="none" w:sz="0" w:space="0" w:color="auto"/>
          </w:divBdr>
        </w:div>
        <w:div w:id="308292294">
          <w:marLeft w:val="640"/>
          <w:marRight w:val="0"/>
          <w:marTop w:val="0"/>
          <w:marBottom w:val="0"/>
          <w:divBdr>
            <w:top w:val="none" w:sz="0" w:space="0" w:color="auto"/>
            <w:left w:val="none" w:sz="0" w:space="0" w:color="auto"/>
            <w:bottom w:val="none" w:sz="0" w:space="0" w:color="auto"/>
            <w:right w:val="none" w:sz="0" w:space="0" w:color="auto"/>
          </w:divBdr>
        </w:div>
        <w:div w:id="109978760">
          <w:marLeft w:val="640"/>
          <w:marRight w:val="0"/>
          <w:marTop w:val="0"/>
          <w:marBottom w:val="0"/>
          <w:divBdr>
            <w:top w:val="none" w:sz="0" w:space="0" w:color="auto"/>
            <w:left w:val="none" w:sz="0" w:space="0" w:color="auto"/>
            <w:bottom w:val="none" w:sz="0" w:space="0" w:color="auto"/>
            <w:right w:val="none" w:sz="0" w:space="0" w:color="auto"/>
          </w:divBdr>
        </w:div>
        <w:div w:id="738744296">
          <w:marLeft w:val="640"/>
          <w:marRight w:val="0"/>
          <w:marTop w:val="0"/>
          <w:marBottom w:val="0"/>
          <w:divBdr>
            <w:top w:val="none" w:sz="0" w:space="0" w:color="auto"/>
            <w:left w:val="none" w:sz="0" w:space="0" w:color="auto"/>
            <w:bottom w:val="none" w:sz="0" w:space="0" w:color="auto"/>
            <w:right w:val="none" w:sz="0" w:space="0" w:color="auto"/>
          </w:divBdr>
        </w:div>
        <w:div w:id="1389644335">
          <w:marLeft w:val="640"/>
          <w:marRight w:val="0"/>
          <w:marTop w:val="0"/>
          <w:marBottom w:val="0"/>
          <w:divBdr>
            <w:top w:val="none" w:sz="0" w:space="0" w:color="auto"/>
            <w:left w:val="none" w:sz="0" w:space="0" w:color="auto"/>
            <w:bottom w:val="none" w:sz="0" w:space="0" w:color="auto"/>
            <w:right w:val="none" w:sz="0" w:space="0" w:color="auto"/>
          </w:divBdr>
        </w:div>
        <w:div w:id="437406966">
          <w:marLeft w:val="640"/>
          <w:marRight w:val="0"/>
          <w:marTop w:val="0"/>
          <w:marBottom w:val="0"/>
          <w:divBdr>
            <w:top w:val="none" w:sz="0" w:space="0" w:color="auto"/>
            <w:left w:val="none" w:sz="0" w:space="0" w:color="auto"/>
            <w:bottom w:val="none" w:sz="0" w:space="0" w:color="auto"/>
            <w:right w:val="none" w:sz="0" w:space="0" w:color="auto"/>
          </w:divBdr>
        </w:div>
        <w:div w:id="1727531416">
          <w:marLeft w:val="640"/>
          <w:marRight w:val="0"/>
          <w:marTop w:val="0"/>
          <w:marBottom w:val="0"/>
          <w:divBdr>
            <w:top w:val="none" w:sz="0" w:space="0" w:color="auto"/>
            <w:left w:val="none" w:sz="0" w:space="0" w:color="auto"/>
            <w:bottom w:val="none" w:sz="0" w:space="0" w:color="auto"/>
            <w:right w:val="none" w:sz="0" w:space="0" w:color="auto"/>
          </w:divBdr>
        </w:div>
        <w:div w:id="1365983774">
          <w:marLeft w:val="640"/>
          <w:marRight w:val="0"/>
          <w:marTop w:val="0"/>
          <w:marBottom w:val="0"/>
          <w:divBdr>
            <w:top w:val="none" w:sz="0" w:space="0" w:color="auto"/>
            <w:left w:val="none" w:sz="0" w:space="0" w:color="auto"/>
            <w:bottom w:val="none" w:sz="0" w:space="0" w:color="auto"/>
            <w:right w:val="none" w:sz="0" w:space="0" w:color="auto"/>
          </w:divBdr>
        </w:div>
        <w:div w:id="559940920">
          <w:marLeft w:val="640"/>
          <w:marRight w:val="0"/>
          <w:marTop w:val="0"/>
          <w:marBottom w:val="0"/>
          <w:divBdr>
            <w:top w:val="none" w:sz="0" w:space="0" w:color="auto"/>
            <w:left w:val="none" w:sz="0" w:space="0" w:color="auto"/>
            <w:bottom w:val="none" w:sz="0" w:space="0" w:color="auto"/>
            <w:right w:val="none" w:sz="0" w:space="0" w:color="auto"/>
          </w:divBdr>
        </w:div>
        <w:div w:id="1622615299">
          <w:marLeft w:val="640"/>
          <w:marRight w:val="0"/>
          <w:marTop w:val="0"/>
          <w:marBottom w:val="0"/>
          <w:divBdr>
            <w:top w:val="none" w:sz="0" w:space="0" w:color="auto"/>
            <w:left w:val="none" w:sz="0" w:space="0" w:color="auto"/>
            <w:bottom w:val="none" w:sz="0" w:space="0" w:color="auto"/>
            <w:right w:val="none" w:sz="0" w:space="0" w:color="auto"/>
          </w:divBdr>
        </w:div>
        <w:div w:id="1604530967">
          <w:marLeft w:val="640"/>
          <w:marRight w:val="0"/>
          <w:marTop w:val="0"/>
          <w:marBottom w:val="0"/>
          <w:divBdr>
            <w:top w:val="none" w:sz="0" w:space="0" w:color="auto"/>
            <w:left w:val="none" w:sz="0" w:space="0" w:color="auto"/>
            <w:bottom w:val="none" w:sz="0" w:space="0" w:color="auto"/>
            <w:right w:val="none" w:sz="0" w:space="0" w:color="auto"/>
          </w:divBdr>
        </w:div>
        <w:div w:id="1923491364">
          <w:marLeft w:val="640"/>
          <w:marRight w:val="0"/>
          <w:marTop w:val="0"/>
          <w:marBottom w:val="0"/>
          <w:divBdr>
            <w:top w:val="none" w:sz="0" w:space="0" w:color="auto"/>
            <w:left w:val="none" w:sz="0" w:space="0" w:color="auto"/>
            <w:bottom w:val="none" w:sz="0" w:space="0" w:color="auto"/>
            <w:right w:val="none" w:sz="0" w:space="0" w:color="auto"/>
          </w:divBdr>
        </w:div>
        <w:div w:id="1526357796">
          <w:marLeft w:val="640"/>
          <w:marRight w:val="0"/>
          <w:marTop w:val="0"/>
          <w:marBottom w:val="0"/>
          <w:divBdr>
            <w:top w:val="none" w:sz="0" w:space="0" w:color="auto"/>
            <w:left w:val="none" w:sz="0" w:space="0" w:color="auto"/>
            <w:bottom w:val="none" w:sz="0" w:space="0" w:color="auto"/>
            <w:right w:val="none" w:sz="0" w:space="0" w:color="auto"/>
          </w:divBdr>
        </w:div>
        <w:div w:id="1654990349">
          <w:marLeft w:val="640"/>
          <w:marRight w:val="0"/>
          <w:marTop w:val="0"/>
          <w:marBottom w:val="0"/>
          <w:divBdr>
            <w:top w:val="none" w:sz="0" w:space="0" w:color="auto"/>
            <w:left w:val="none" w:sz="0" w:space="0" w:color="auto"/>
            <w:bottom w:val="none" w:sz="0" w:space="0" w:color="auto"/>
            <w:right w:val="none" w:sz="0" w:space="0" w:color="auto"/>
          </w:divBdr>
        </w:div>
        <w:div w:id="1910311907">
          <w:marLeft w:val="640"/>
          <w:marRight w:val="0"/>
          <w:marTop w:val="0"/>
          <w:marBottom w:val="0"/>
          <w:divBdr>
            <w:top w:val="none" w:sz="0" w:space="0" w:color="auto"/>
            <w:left w:val="none" w:sz="0" w:space="0" w:color="auto"/>
            <w:bottom w:val="none" w:sz="0" w:space="0" w:color="auto"/>
            <w:right w:val="none" w:sz="0" w:space="0" w:color="auto"/>
          </w:divBdr>
        </w:div>
        <w:div w:id="1243444668">
          <w:marLeft w:val="640"/>
          <w:marRight w:val="0"/>
          <w:marTop w:val="0"/>
          <w:marBottom w:val="0"/>
          <w:divBdr>
            <w:top w:val="none" w:sz="0" w:space="0" w:color="auto"/>
            <w:left w:val="none" w:sz="0" w:space="0" w:color="auto"/>
            <w:bottom w:val="none" w:sz="0" w:space="0" w:color="auto"/>
            <w:right w:val="none" w:sz="0" w:space="0" w:color="auto"/>
          </w:divBdr>
        </w:div>
        <w:div w:id="354505570">
          <w:marLeft w:val="640"/>
          <w:marRight w:val="0"/>
          <w:marTop w:val="0"/>
          <w:marBottom w:val="0"/>
          <w:divBdr>
            <w:top w:val="none" w:sz="0" w:space="0" w:color="auto"/>
            <w:left w:val="none" w:sz="0" w:space="0" w:color="auto"/>
            <w:bottom w:val="none" w:sz="0" w:space="0" w:color="auto"/>
            <w:right w:val="none" w:sz="0" w:space="0" w:color="auto"/>
          </w:divBdr>
        </w:div>
        <w:div w:id="788166053">
          <w:marLeft w:val="640"/>
          <w:marRight w:val="0"/>
          <w:marTop w:val="0"/>
          <w:marBottom w:val="0"/>
          <w:divBdr>
            <w:top w:val="none" w:sz="0" w:space="0" w:color="auto"/>
            <w:left w:val="none" w:sz="0" w:space="0" w:color="auto"/>
            <w:bottom w:val="none" w:sz="0" w:space="0" w:color="auto"/>
            <w:right w:val="none" w:sz="0" w:space="0" w:color="auto"/>
          </w:divBdr>
        </w:div>
        <w:div w:id="2071343406">
          <w:marLeft w:val="640"/>
          <w:marRight w:val="0"/>
          <w:marTop w:val="0"/>
          <w:marBottom w:val="0"/>
          <w:divBdr>
            <w:top w:val="none" w:sz="0" w:space="0" w:color="auto"/>
            <w:left w:val="none" w:sz="0" w:space="0" w:color="auto"/>
            <w:bottom w:val="none" w:sz="0" w:space="0" w:color="auto"/>
            <w:right w:val="none" w:sz="0" w:space="0" w:color="auto"/>
          </w:divBdr>
        </w:div>
        <w:div w:id="931937626">
          <w:marLeft w:val="640"/>
          <w:marRight w:val="0"/>
          <w:marTop w:val="0"/>
          <w:marBottom w:val="0"/>
          <w:divBdr>
            <w:top w:val="none" w:sz="0" w:space="0" w:color="auto"/>
            <w:left w:val="none" w:sz="0" w:space="0" w:color="auto"/>
            <w:bottom w:val="none" w:sz="0" w:space="0" w:color="auto"/>
            <w:right w:val="none" w:sz="0" w:space="0" w:color="auto"/>
          </w:divBdr>
        </w:div>
        <w:div w:id="1465080920">
          <w:marLeft w:val="640"/>
          <w:marRight w:val="0"/>
          <w:marTop w:val="0"/>
          <w:marBottom w:val="0"/>
          <w:divBdr>
            <w:top w:val="none" w:sz="0" w:space="0" w:color="auto"/>
            <w:left w:val="none" w:sz="0" w:space="0" w:color="auto"/>
            <w:bottom w:val="none" w:sz="0" w:space="0" w:color="auto"/>
            <w:right w:val="none" w:sz="0" w:space="0" w:color="auto"/>
          </w:divBdr>
        </w:div>
        <w:div w:id="962615036">
          <w:marLeft w:val="640"/>
          <w:marRight w:val="0"/>
          <w:marTop w:val="0"/>
          <w:marBottom w:val="0"/>
          <w:divBdr>
            <w:top w:val="none" w:sz="0" w:space="0" w:color="auto"/>
            <w:left w:val="none" w:sz="0" w:space="0" w:color="auto"/>
            <w:bottom w:val="none" w:sz="0" w:space="0" w:color="auto"/>
            <w:right w:val="none" w:sz="0" w:space="0" w:color="auto"/>
          </w:divBdr>
        </w:div>
        <w:div w:id="1097094965">
          <w:marLeft w:val="640"/>
          <w:marRight w:val="0"/>
          <w:marTop w:val="0"/>
          <w:marBottom w:val="0"/>
          <w:divBdr>
            <w:top w:val="none" w:sz="0" w:space="0" w:color="auto"/>
            <w:left w:val="none" w:sz="0" w:space="0" w:color="auto"/>
            <w:bottom w:val="none" w:sz="0" w:space="0" w:color="auto"/>
            <w:right w:val="none" w:sz="0" w:space="0" w:color="auto"/>
          </w:divBdr>
        </w:div>
        <w:div w:id="1068726548">
          <w:marLeft w:val="640"/>
          <w:marRight w:val="0"/>
          <w:marTop w:val="0"/>
          <w:marBottom w:val="0"/>
          <w:divBdr>
            <w:top w:val="none" w:sz="0" w:space="0" w:color="auto"/>
            <w:left w:val="none" w:sz="0" w:space="0" w:color="auto"/>
            <w:bottom w:val="none" w:sz="0" w:space="0" w:color="auto"/>
            <w:right w:val="none" w:sz="0" w:space="0" w:color="auto"/>
          </w:divBdr>
        </w:div>
        <w:div w:id="1267037726">
          <w:marLeft w:val="640"/>
          <w:marRight w:val="0"/>
          <w:marTop w:val="0"/>
          <w:marBottom w:val="0"/>
          <w:divBdr>
            <w:top w:val="none" w:sz="0" w:space="0" w:color="auto"/>
            <w:left w:val="none" w:sz="0" w:space="0" w:color="auto"/>
            <w:bottom w:val="none" w:sz="0" w:space="0" w:color="auto"/>
            <w:right w:val="none" w:sz="0" w:space="0" w:color="auto"/>
          </w:divBdr>
        </w:div>
        <w:div w:id="1385908209">
          <w:marLeft w:val="640"/>
          <w:marRight w:val="0"/>
          <w:marTop w:val="0"/>
          <w:marBottom w:val="0"/>
          <w:divBdr>
            <w:top w:val="none" w:sz="0" w:space="0" w:color="auto"/>
            <w:left w:val="none" w:sz="0" w:space="0" w:color="auto"/>
            <w:bottom w:val="none" w:sz="0" w:space="0" w:color="auto"/>
            <w:right w:val="none" w:sz="0" w:space="0" w:color="auto"/>
          </w:divBdr>
        </w:div>
        <w:div w:id="992220176">
          <w:marLeft w:val="640"/>
          <w:marRight w:val="0"/>
          <w:marTop w:val="0"/>
          <w:marBottom w:val="0"/>
          <w:divBdr>
            <w:top w:val="none" w:sz="0" w:space="0" w:color="auto"/>
            <w:left w:val="none" w:sz="0" w:space="0" w:color="auto"/>
            <w:bottom w:val="none" w:sz="0" w:space="0" w:color="auto"/>
            <w:right w:val="none" w:sz="0" w:space="0" w:color="auto"/>
          </w:divBdr>
        </w:div>
        <w:div w:id="313142573">
          <w:marLeft w:val="640"/>
          <w:marRight w:val="0"/>
          <w:marTop w:val="0"/>
          <w:marBottom w:val="0"/>
          <w:divBdr>
            <w:top w:val="none" w:sz="0" w:space="0" w:color="auto"/>
            <w:left w:val="none" w:sz="0" w:space="0" w:color="auto"/>
            <w:bottom w:val="none" w:sz="0" w:space="0" w:color="auto"/>
            <w:right w:val="none" w:sz="0" w:space="0" w:color="auto"/>
          </w:divBdr>
        </w:div>
        <w:div w:id="608127463">
          <w:marLeft w:val="640"/>
          <w:marRight w:val="0"/>
          <w:marTop w:val="0"/>
          <w:marBottom w:val="0"/>
          <w:divBdr>
            <w:top w:val="none" w:sz="0" w:space="0" w:color="auto"/>
            <w:left w:val="none" w:sz="0" w:space="0" w:color="auto"/>
            <w:bottom w:val="none" w:sz="0" w:space="0" w:color="auto"/>
            <w:right w:val="none" w:sz="0" w:space="0" w:color="auto"/>
          </w:divBdr>
        </w:div>
        <w:div w:id="1944223291">
          <w:marLeft w:val="640"/>
          <w:marRight w:val="0"/>
          <w:marTop w:val="0"/>
          <w:marBottom w:val="0"/>
          <w:divBdr>
            <w:top w:val="none" w:sz="0" w:space="0" w:color="auto"/>
            <w:left w:val="none" w:sz="0" w:space="0" w:color="auto"/>
            <w:bottom w:val="none" w:sz="0" w:space="0" w:color="auto"/>
            <w:right w:val="none" w:sz="0" w:space="0" w:color="auto"/>
          </w:divBdr>
        </w:div>
        <w:div w:id="1410154775">
          <w:marLeft w:val="640"/>
          <w:marRight w:val="0"/>
          <w:marTop w:val="0"/>
          <w:marBottom w:val="0"/>
          <w:divBdr>
            <w:top w:val="none" w:sz="0" w:space="0" w:color="auto"/>
            <w:left w:val="none" w:sz="0" w:space="0" w:color="auto"/>
            <w:bottom w:val="none" w:sz="0" w:space="0" w:color="auto"/>
            <w:right w:val="none" w:sz="0" w:space="0" w:color="auto"/>
          </w:divBdr>
        </w:div>
        <w:div w:id="1576889654">
          <w:marLeft w:val="640"/>
          <w:marRight w:val="0"/>
          <w:marTop w:val="0"/>
          <w:marBottom w:val="0"/>
          <w:divBdr>
            <w:top w:val="none" w:sz="0" w:space="0" w:color="auto"/>
            <w:left w:val="none" w:sz="0" w:space="0" w:color="auto"/>
            <w:bottom w:val="none" w:sz="0" w:space="0" w:color="auto"/>
            <w:right w:val="none" w:sz="0" w:space="0" w:color="auto"/>
          </w:divBdr>
        </w:div>
        <w:div w:id="1757702157">
          <w:marLeft w:val="640"/>
          <w:marRight w:val="0"/>
          <w:marTop w:val="0"/>
          <w:marBottom w:val="0"/>
          <w:divBdr>
            <w:top w:val="none" w:sz="0" w:space="0" w:color="auto"/>
            <w:left w:val="none" w:sz="0" w:space="0" w:color="auto"/>
            <w:bottom w:val="none" w:sz="0" w:space="0" w:color="auto"/>
            <w:right w:val="none" w:sz="0" w:space="0" w:color="auto"/>
          </w:divBdr>
        </w:div>
        <w:div w:id="369569652">
          <w:marLeft w:val="640"/>
          <w:marRight w:val="0"/>
          <w:marTop w:val="0"/>
          <w:marBottom w:val="0"/>
          <w:divBdr>
            <w:top w:val="none" w:sz="0" w:space="0" w:color="auto"/>
            <w:left w:val="none" w:sz="0" w:space="0" w:color="auto"/>
            <w:bottom w:val="none" w:sz="0" w:space="0" w:color="auto"/>
            <w:right w:val="none" w:sz="0" w:space="0" w:color="auto"/>
          </w:divBdr>
        </w:div>
        <w:div w:id="1692024938">
          <w:marLeft w:val="640"/>
          <w:marRight w:val="0"/>
          <w:marTop w:val="0"/>
          <w:marBottom w:val="0"/>
          <w:divBdr>
            <w:top w:val="none" w:sz="0" w:space="0" w:color="auto"/>
            <w:left w:val="none" w:sz="0" w:space="0" w:color="auto"/>
            <w:bottom w:val="none" w:sz="0" w:space="0" w:color="auto"/>
            <w:right w:val="none" w:sz="0" w:space="0" w:color="auto"/>
          </w:divBdr>
        </w:div>
        <w:div w:id="837693216">
          <w:marLeft w:val="640"/>
          <w:marRight w:val="0"/>
          <w:marTop w:val="0"/>
          <w:marBottom w:val="0"/>
          <w:divBdr>
            <w:top w:val="none" w:sz="0" w:space="0" w:color="auto"/>
            <w:left w:val="none" w:sz="0" w:space="0" w:color="auto"/>
            <w:bottom w:val="none" w:sz="0" w:space="0" w:color="auto"/>
            <w:right w:val="none" w:sz="0" w:space="0" w:color="auto"/>
          </w:divBdr>
        </w:div>
        <w:div w:id="1846630809">
          <w:marLeft w:val="640"/>
          <w:marRight w:val="0"/>
          <w:marTop w:val="0"/>
          <w:marBottom w:val="0"/>
          <w:divBdr>
            <w:top w:val="none" w:sz="0" w:space="0" w:color="auto"/>
            <w:left w:val="none" w:sz="0" w:space="0" w:color="auto"/>
            <w:bottom w:val="none" w:sz="0" w:space="0" w:color="auto"/>
            <w:right w:val="none" w:sz="0" w:space="0" w:color="auto"/>
          </w:divBdr>
        </w:div>
        <w:div w:id="1954708973">
          <w:marLeft w:val="640"/>
          <w:marRight w:val="0"/>
          <w:marTop w:val="0"/>
          <w:marBottom w:val="0"/>
          <w:divBdr>
            <w:top w:val="none" w:sz="0" w:space="0" w:color="auto"/>
            <w:left w:val="none" w:sz="0" w:space="0" w:color="auto"/>
            <w:bottom w:val="none" w:sz="0" w:space="0" w:color="auto"/>
            <w:right w:val="none" w:sz="0" w:space="0" w:color="auto"/>
          </w:divBdr>
        </w:div>
        <w:div w:id="445078494">
          <w:marLeft w:val="640"/>
          <w:marRight w:val="0"/>
          <w:marTop w:val="0"/>
          <w:marBottom w:val="0"/>
          <w:divBdr>
            <w:top w:val="none" w:sz="0" w:space="0" w:color="auto"/>
            <w:left w:val="none" w:sz="0" w:space="0" w:color="auto"/>
            <w:bottom w:val="none" w:sz="0" w:space="0" w:color="auto"/>
            <w:right w:val="none" w:sz="0" w:space="0" w:color="auto"/>
          </w:divBdr>
        </w:div>
        <w:div w:id="1063991532">
          <w:marLeft w:val="640"/>
          <w:marRight w:val="0"/>
          <w:marTop w:val="0"/>
          <w:marBottom w:val="0"/>
          <w:divBdr>
            <w:top w:val="none" w:sz="0" w:space="0" w:color="auto"/>
            <w:left w:val="none" w:sz="0" w:space="0" w:color="auto"/>
            <w:bottom w:val="none" w:sz="0" w:space="0" w:color="auto"/>
            <w:right w:val="none" w:sz="0" w:space="0" w:color="auto"/>
          </w:divBdr>
        </w:div>
        <w:div w:id="1991399069">
          <w:marLeft w:val="640"/>
          <w:marRight w:val="0"/>
          <w:marTop w:val="0"/>
          <w:marBottom w:val="0"/>
          <w:divBdr>
            <w:top w:val="none" w:sz="0" w:space="0" w:color="auto"/>
            <w:left w:val="none" w:sz="0" w:space="0" w:color="auto"/>
            <w:bottom w:val="none" w:sz="0" w:space="0" w:color="auto"/>
            <w:right w:val="none" w:sz="0" w:space="0" w:color="auto"/>
          </w:divBdr>
        </w:div>
        <w:div w:id="682167508">
          <w:marLeft w:val="640"/>
          <w:marRight w:val="0"/>
          <w:marTop w:val="0"/>
          <w:marBottom w:val="0"/>
          <w:divBdr>
            <w:top w:val="none" w:sz="0" w:space="0" w:color="auto"/>
            <w:left w:val="none" w:sz="0" w:space="0" w:color="auto"/>
            <w:bottom w:val="none" w:sz="0" w:space="0" w:color="auto"/>
            <w:right w:val="none" w:sz="0" w:space="0" w:color="auto"/>
          </w:divBdr>
        </w:div>
        <w:div w:id="490757227">
          <w:marLeft w:val="640"/>
          <w:marRight w:val="0"/>
          <w:marTop w:val="0"/>
          <w:marBottom w:val="0"/>
          <w:divBdr>
            <w:top w:val="none" w:sz="0" w:space="0" w:color="auto"/>
            <w:left w:val="none" w:sz="0" w:space="0" w:color="auto"/>
            <w:bottom w:val="none" w:sz="0" w:space="0" w:color="auto"/>
            <w:right w:val="none" w:sz="0" w:space="0" w:color="auto"/>
          </w:divBdr>
        </w:div>
        <w:div w:id="127473455">
          <w:marLeft w:val="640"/>
          <w:marRight w:val="0"/>
          <w:marTop w:val="0"/>
          <w:marBottom w:val="0"/>
          <w:divBdr>
            <w:top w:val="none" w:sz="0" w:space="0" w:color="auto"/>
            <w:left w:val="none" w:sz="0" w:space="0" w:color="auto"/>
            <w:bottom w:val="none" w:sz="0" w:space="0" w:color="auto"/>
            <w:right w:val="none" w:sz="0" w:space="0" w:color="auto"/>
          </w:divBdr>
        </w:div>
        <w:div w:id="1820920859">
          <w:marLeft w:val="640"/>
          <w:marRight w:val="0"/>
          <w:marTop w:val="0"/>
          <w:marBottom w:val="0"/>
          <w:divBdr>
            <w:top w:val="none" w:sz="0" w:space="0" w:color="auto"/>
            <w:left w:val="none" w:sz="0" w:space="0" w:color="auto"/>
            <w:bottom w:val="none" w:sz="0" w:space="0" w:color="auto"/>
            <w:right w:val="none" w:sz="0" w:space="0" w:color="auto"/>
          </w:divBdr>
        </w:div>
        <w:div w:id="588083304">
          <w:marLeft w:val="640"/>
          <w:marRight w:val="0"/>
          <w:marTop w:val="0"/>
          <w:marBottom w:val="0"/>
          <w:divBdr>
            <w:top w:val="none" w:sz="0" w:space="0" w:color="auto"/>
            <w:left w:val="none" w:sz="0" w:space="0" w:color="auto"/>
            <w:bottom w:val="none" w:sz="0" w:space="0" w:color="auto"/>
            <w:right w:val="none" w:sz="0" w:space="0" w:color="auto"/>
          </w:divBdr>
        </w:div>
        <w:div w:id="1834179775">
          <w:marLeft w:val="640"/>
          <w:marRight w:val="0"/>
          <w:marTop w:val="0"/>
          <w:marBottom w:val="0"/>
          <w:divBdr>
            <w:top w:val="none" w:sz="0" w:space="0" w:color="auto"/>
            <w:left w:val="none" w:sz="0" w:space="0" w:color="auto"/>
            <w:bottom w:val="none" w:sz="0" w:space="0" w:color="auto"/>
            <w:right w:val="none" w:sz="0" w:space="0" w:color="auto"/>
          </w:divBdr>
        </w:div>
        <w:div w:id="1827084092">
          <w:marLeft w:val="640"/>
          <w:marRight w:val="0"/>
          <w:marTop w:val="0"/>
          <w:marBottom w:val="0"/>
          <w:divBdr>
            <w:top w:val="none" w:sz="0" w:space="0" w:color="auto"/>
            <w:left w:val="none" w:sz="0" w:space="0" w:color="auto"/>
            <w:bottom w:val="none" w:sz="0" w:space="0" w:color="auto"/>
            <w:right w:val="none" w:sz="0" w:space="0" w:color="auto"/>
          </w:divBdr>
        </w:div>
        <w:div w:id="385957255">
          <w:marLeft w:val="640"/>
          <w:marRight w:val="0"/>
          <w:marTop w:val="0"/>
          <w:marBottom w:val="0"/>
          <w:divBdr>
            <w:top w:val="none" w:sz="0" w:space="0" w:color="auto"/>
            <w:left w:val="none" w:sz="0" w:space="0" w:color="auto"/>
            <w:bottom w:val="none" w:sz="0" w:space="0" w:color="auto"/>
            <w:right w:val="none" w:sz="0" w:space="0" w:color="auto"/>
          </w:divBdr>
        </w:div>
        <w:div w:id="119079057">
          <w:marLeft w:val="640"/>
          <w:marRight w:val="0"/>
          <w:marTop w:val="0"/>
          <w:marBottom w:val="0"/>
          <w:divBdr>
            <w:top w:val="none" w:sz="0" w:space="0" w:color="auto"/>
            <w:left w:val="none" w:sz="0" w:space="0" w:color="auto"/>
            <w:bottom w:val="none" w:sz="0" w:space="0" w:color="auto"/>
            <w:right w:val="none" w:sz="0" w:space="0" w:color="auto"/>
          </w:divBdr>
        </w:div>
        <w:div w:id="416288847">
          <w:marLeft w:val="640"/>
          <w:marRight w:val="0"/>
          <w:marTop w:val="0"/>
          <w:marBottom w:val="0"/>
          <w:divBdr>
            <w:top w:val="none" w:sz="0" w:space="0" w:color="auto"/>
            <w:left w:val="none" w:sz="0" w:space="0" w:color="auto"/>
            <w:bottom w:val="none" w:sz="0" w:space="0" w:color="auto"/>
            <w:right w:val="none" w:sz="0" w:space="0" w:color="auto"/>
          </w:divBdr>
        </w:div>
        <w:div w:id="1133408125">
          <w:marLeft w:val="640"/>
          <w:marRight w:val="0"/>
          <w:marTop w:val="0"/>
          <w:marBottom w:val="0"/>
          <w:divBdr>
            <w:top w:val="none" w:sz="0" w:space="0" w:color="auto"/>
            <w:left w:val="none" w:sz="0" w:space="0" w:color="auto"/>
            <w:bottom w:val="none" w:sz="0" w:space="0" w:color="auto"/>
            <w:right w:val="none" w:sz="0" w:space="0" w:color="auto"/>
          </w:divBdr>
        </w:div>
        <w:div w:id="1752770402">
          <w:marLeft w:val="640"/>
          <w:marRight w:val="0"/>
          <w:marTop w:val="0"/>
          <w:marBottom w:val="0"/>
          <w:divBdr>
            <w:top w:val="none" w:sz="0" w:space="0" w:color="auto"/>
            <w:left w:val="none" w:sz="0" w:space="0" w:color="auto"/>
            <w:bottom w:val="none" w:sz="0" w:space="0" w:color="auto"/>
            <w:right w:val="none" w:sz="0" w:space="0" w:color="auto"/>
          </w:divBdr>
        </w:div>
        <w:div w:id="352610382">
          <w:marLeft w:val="640"/>
          <w:marRight w:val="0"/>
          <w:marTop w:val="0"/>
          <w:marBottom w:val="0"/>
          <w:divBdr>
            <w:top w:val="none" w:sz="0" w:space="0" w:color="auto"/>
            <w:left w:val="none" w:sz="0" w:space="0" w:color="auto"/>
            <w:bottom w:val="none" w:sz="0" w:space="0" w:color="auto"/>
            <w:right w:val="none" w:sz="0" w:space="0" w:color="auto"/>
          </w:divBdr>
        </w:div>
        <w:div w:id="393891433">
          <w:marLeft w:val="640"/>
          <w:marRight w:val="0"/>
          <w:marTop w:val="0"/>
          <w:marBottom w:val="0"/>
          <w:divBdr>
            <w:top w:val="none" w:sz="0" w:space="0" w:color="auto"/>
            <w:left w:val="none" w:sz="0" w:space="0" w:color="auto"/>
            <w:bottom w:val="none" w:sz="0" w:space="0" w:color="auto"/>
            <w:right w:val="none" w:sz="0" w:space="0" w:color="auto"/>
          </w:divBdr>
        </w:div>
        <w:div w:id="1544290911">
          <w:marLeft w:val="640"/>
          <w:marRight w:val="0"/>
          <w:marTop w:val="0"/>
          <w:marBottom w:val="0"/>
          <w:divBdr>
            <w:top w:val="none" w:sz="0" w:space="0" w:color="auto"/>
            <w:left w:val="none" w:sz="0" w:space="0" w:color="auto"/>
            <w:bottom w:val="none" w:sz="0" w:space="0" w:color="auto"/>
            <w:right w:val="none" w:sz="0" w:space="0" w:color="auto"/>
          </w:divBdr>
        </w:div>
        <w:div w:id="1810200172">
          <w:marLeft w:val="640"/>
          <w:marRight w:val="0"/>
          <w:marTop w:val="0"/>
          <w:marBottom w:val="0"/>
          <w:divBdr>
            <w:top w:val="none" w:sz="0" w:space="0" w:color="auto"/>
            <w:left w:val="none" w:sz="0" w:space="0" w:color="auto"/>
            <w:bottom w:val="none" w:sz="0" w:space="0" w:color="auto"/>
            <w:right w:val="none" w:sz="0" w:space="0" w:color="auto"/>
          </w:divBdr>
        </w:div>
        <w:div w:id="238910479">
          <w:marLeft w:val="640"/>
          <w:marRight w:val="0"/>
          <w:marTop w:val="0"/>
          <w:marBottom w:val="0"/>
          <w:divBdr>
            <w:top w:val="none" w:sz="0" w:space="0" w:color="auto"/>
            <w:left w:val="none" w:sz="0" w:space="0" w:color="auto"/>
            <w:bottom w:val="none" w:sz="0" w:space="0" w:color="auto"/>
            <w:right w:val="none" w:sz="0" w:space="0" w:color="auto"/>
          </w:divBdr>
        </w:div>
        <w:div w:id="421343405">
          <w:marLeft w:val="640"/>
          <w:marRight w:val="0"/>
          <w:marTop w:val="0"/>
          <w:marBottom w:val="0"/>
          <w:divBdr>
            <w:top w:val="none" w:sz="0" w:space="0" w:color="auto"/>
            <w:left w:val="none" w:sz="0" w:space="0" w:color="auto"/>
            <w:bottom w:val="none" w:sz="0" w:space="0" w:color="auto"/>
            <w:right w:val="none" w:sz="0" w:space="0" w:color="auto"/>
          </w:divBdr>
        </w:div>
        <w:div w:id="1970432474">
          <w:marLeft w:val="640"/>
          <w:marRight w:val="0"/>
          <w:marTop w:val="0"/>
          <w:marBottom w:val="0"/>
          <w:divBdr>
            <w:top w:val="none" w:sz="0" w:space="0" w:color="auto"/>
            <w:left w:val="none" w:sz="0" w:space="0" w:color="auto"/>
            <w:bottom w:val="none" w:sz="0" w:space="0" w:color="auto"/>
            <w:right w:val="none" w:sz="0" w:space="0" w:color="auto"/>
          </w:divBdr>
        </w:div>
        <w:div w:id="548155173">
          <w:marLeft w:val="640"/>
          <w:marRight w:val="0"/>
          <w:marTop w:val="0"/>
          <w:marBottom w:val="0"/>
          <w:divBdr>
            <w:top w:val="none" w:sz="0" w:space="0" w:color="auto"/>
            <w:left w:val="none" w:sz="0" w:space="0" w:color="auto"/>
            <w:bottom w:val="none" w:sz="0" w:space="0" w:color="auto"/>
            <w:right w:val="none" w:sz="0" w:space="0" w:color="auto"/>
          </w:divBdr>
        </w:div>
        <w:div w:id="476607798">
          <w:marLeft w:val="640"/>
          <w:marRight w:val="0"/>
          <w:marTop w:val="0"/>
          <w:marBottom w:val="0"/>
          <w:divBdr>
            <w:top w:val="none" w:sz="0" w:space="0" w:color="auto"/>
            <w:left w:val="none" w:sz="0" w:space="0" w:color="auto"/>
            <w:bottom w:val="none" w:sz="0" w:space="0" w:color="auto"/>
            <w:right w:val="none" w:sz="0" w:space="0" w:color="auto"/>
          </w:divBdr>
        </w:div>
        <w:div w:id="565452077">
          <w:marLeft w:val="640"/>
          <w:marRight w:val="0"/>
          <w:marTop w:val="0"/>
          <w:marBottom w:val="0"/>
          <w:divBdr>
            <w:top w:val="none" w:sz="0" w:space="0" w:color="auto"/>
            <w:left w:val="none" w:sz="0" w:space="0" w:color="auto"/>
            <w:bottom w:val="none" w:sz="0" w:space="0" w:color="auto"/>
            <w:right w:val="none" w:sz="0" w:space="0" w:color="auto"/>
          </w:divBdr>
        </w:div>
        <w:div w:id="1617057564">
          <w:marLeft w:val="640"/>
          <w:marRight w:val="0"/>
          <w:marTop w:val="0"/>
          <w:marBottom w:val="0"/>
          <w:divBdr>
            <w:top w:val="none" w:sz="0" w:space="0" w:color="auto"/>
            <w:left w:val="none" w:sz="0" w:space="0" w:color="auto"/>
            <w:bottom w:val="none" w:sz="0" w:space="0" w:color="auto"/>
            <w:right w:val="none" w:sz="0" w:space="0" w:color="auto"/>
          </w:divBdr>
        </w:div>
        <w:div w:id="1726178771">
          <w:marLeft w:val="640"/>
          <w:marRight w:val="0"/>
          <w:marTop w:val="0"/>
          <w:marBottom w:val="0"/>
          <w:divBdr>
            <w:top w:val="none" w:sz="0" w:space="0" w:color="auto"/>
            <w:left w:val="none" w:sz="0" w:space="0" w:color="auto"/>
            <w:bottom w:val="none" w:sz="0" w:space="0" w:color="auto"/>
            <w:right w:val="none" w:sz="0" w:space="0" w:color="auto"/>
          </w:divBdr>
        </w:div>
        <w:div w:id="523058816">
          <w:marLeft w:val="640"/>
          <w:marRight w:val="0"/>
          <w:marTop w:val="0"/>
          <w:marBottom w:val="0"/>
          <w:divBdr>
            <w:top w:val="none" w:sz="0" w:space="0" w:color="auto"/>
            <w:left w:val="none" w:sz="0" w:space="0" w:color="auto"/>
            <w:bottom w:val="none" w:sz="0" w:space="0" w:color="auto"/>
            <w:right w:val="none" w:sz="0" w:space="0" w:color="auto"/>
          </w:divBdr>
        </w:div>
        <w:div w:id="57748980">
          <w:marLeft w:val="640"/>
          <w:marRight w:val="0"/>
          <w:marTop w:val="0"/>
          <w:marBottom w:val="0"/>
          <w:divBdr>
            <w:top w:val="none" w:sz="0" w:space="0" w:color="auto"/>
            <w:left w:val="none" w:sz="0" w:space="0" w:color="auto"/>
            <w:bottom w:val="none" w:sz="0" w:space="0" w:color="auto"/>
            <w:right w:val="none" w:sz="0" w:space="0" w:color="auto"/>
          </w:divBdr>
        </w:div>
        <w:div w:id="1806772702">
          <w:marLeft w:val="640"/>
          <w:marRight w:val="0"/>
          <w:marTop w:val="0"/>
          <w:marBottom w:val="0"/>
          <w:divBdr>
            <w:top w:val="none" w:sz="0" w:space="0" w:color="auto"/>
            <w:left w:val="none" w:sz="0" w:space="0" w:color="auto"/>
            <w:bottom w:val="none" w:sz="0" w:space="0" w:color="auto"/>
            <w:right w:val="none" w:sz="0" w:space="0" w:color="auto"/>
          </w:divBdr>
        </w:div>
        <w:div w:id="878736753">
          <w:marLeft w:val="640"/>
          <w:marRight w:val="0"/>
          <w:marTop w:val="0"/>
          <w:marBottom w:val="0"/>
          <w:divBdr>
            <w:top w:val="none" w:sz="0" w:space="0" w:color="auto"/>
            <w:left w:val="none" w:sz="0" w:space="0" w:color="auto"/>
            <w:bottom w:val="none" w:sz="0" w:space="0" w:color="auto"/>
            <w:right w:val="none" w:sz="0" w:space="0" w:color="auto"/>
          </w:divBdr>
        </w:div>
        <w:div w:id="408816878">
          <w:marLeft w:val="640"/>
          <w:marRight w:val="0"/>
          <w:marTop w:val="0"/>
          <w:marBottom w:val="0"/>
          <w:divBdr>
            <w:top w:val="none" w:sz="0" w:space="0" w:color="auto"/>
            <w:left w:val="none" w:sz="0" w:space="0" w:color="auto"/>
            <w:bottom w:val="none" w:sz="0" w:space="0" w:color="auto"/>
            <w:right w:val="none" w:sz="0" w:space="0" w:color="auto"/>
          </w:divBdr>
        </w:div>
        <w:div w:id="1227255652">
          <w:marLeft w:val="640"/>
          <w:marRight w:val="0"/>
          <w:marTop w:val="0"/>
          <w:marBottom w:val="0"/>
          <w:divBdr>
            <w:top w:val="none" w:sz="0" w:space="0" w:color="auto"/>
            <w:left w:val="none" w:sz="0" w:space="0" w:color="auto"/>
            <w:bottom w:val="none" w:sz="0" w:space="0" w:color="auto"/>
            <w:right w:val="none" w:sz="0" w:space="0" w:color="auto"/>
          </w:divBdr>
        </w:div>
        <w:div w:id="279144447">
          <w:marLeft w:val="640"/>
          <w:marRight w:val="0"/>
          <w:marTop w:val="0"/>
          <w:marBottom w:val="0"/>
          <w:divBdr>
            <w:top w:val="none" w:sz="0" w:space="0" w:color="auto"/>
            <w:left w:val="none" w:sz="0" w:space="0" w:color="auto"/>
            <w:bottom w:val="none" w:sz="0" w:space="0" w:color="auto"/>
            <w:right w:val="none" w:sz="0" w:space="0" w:color="auto"/>
          </w:divBdr>
        </w:div>
        <w:div w:id="1917278287">
          <w:marLeft w:val="640"/>
          <w:marRight w:val="0"/>
          <w:marTop w:val="0"/>
          <w:marBottom w:val="0"/>
          <w:divBdr>
            <w:top w:val="none" w:sz="0" w:space="0" w:color="auto"/>
            <w:left w:val="none" w:sz="0" w:space="0" w:color="auto"/>
            <w:bottom w:val="none" w:sz="0" w:space="0" w:color="auto"/>
            <w:right w:val="none" w:sz="0" w:space="0" w:color="auto"/>
          </w:divBdr>
        </w:div>
        <w:div w:id="2033148288">
          <w:marLeft w:val="640"/>
          <w:marRight w:val="0"/>
          <w:marTop w:val="0"/>
          <w:marBottom w:val="0"/>
          <w:divBdr>
            <w:top w:val="none" w:sz="0" w:space="0" w:color="auto"/>
            <w:left w:val="none" w:sz="0" w:space="0" w:color="auto"/>
            <w:bottom w:val="none" w:sz="0" w:space="0" w:color="auto"/>
            <w:right w:val="none" w:sz="0" w:space="0" w:color="auto"/>
          </w:divBdr>
        </w:div>
        <w:div w:id="2093550669">
          <w:marLeft w:val="640"/>
          <w:marRight w:val="0"/>
          <w:marTop w:val="0"/>
          <w:marBottom w:val="0"/>
          <w:divBdr>
            <w:top w:val="none" w:sz="0" w:space="0" w:color="auto"/>
            <w:left w:val="none" w:sz="0" w:space="0" w:color="auto"/>
            <w:bottom w:val="none" w:sz="0" w:space="0" w:color="auto"/>
            <w:right w:val="none" w:sz="0" w:space="0" w:color="auto"/>
          </w:divBdr>
        </w:div>
        <w:div w:id="2098935407">
          <w:marLeft w:val="640"/>
          <w:marRight w:val="0"/>
          <w:marTop w:val="0"/>
          <w:marBottom w:val="0"/>
          <w:divBdr>
            <w:top w:val="none" w:sz="0" w:space="0" w:color="auto"/>
            <w:left w:val="none" w:sz="0" w:space="0" w:color="auto"/>
            <w:bottom w:val="none" w:sz="0" w:space="0" w:color="auto"/>
            <w:right w:val="none" w:sz="0" w:space="0" w:color="auto"/>
          </w:divBdr>
        </w:div>
        <w:div w:id="10226465">
          <w:marLeft w:val="640"/>
          <w:marRight w:val="0"/>
          <w:marTop w:val="0"/>
          <w:marBottom w:val="0"/>
          <w:divBdr>
            <w:top w:val="none" w:sz="0" w:space="0" w:color="auto"/>
            <w:left w:val="none" w:sz="0" w:space="0" w:color="auto"/>
            <w:bottom w:val="none" w:sz="0" w:space="0" w:color="auto"/>
            <w:right w:val="none" w:sz="0" w:space="0" w:color="auto"/>
          </w:divBdr>
        </w:div>
        <w:div w:id="1080909629">
          <w:marLeft w:val="640"/>
          <w:marRight w:val="0"/>
          <w:marTop w:val="0"/>
          <w:marBottom w:val="0"/>
          <w:divBdr>
            <w:top w:val="none" w:sz="0" w:space="0" w:color="auto"/>
            <w:left w:val="none" w:sz="0" w:space="0" w:color="auto"/>
            <w:bottom w:val="none" w:sz="0" w:space="0" w:color="auto"/>
            <w:right w:val="none" w:sz="0" w:space="0" w:color="auto"/>
          </w:divBdr>
        </w:div>
        <w:div w:id="1685010997">
          <w:marLeft w:val="640"/>
          <w:marRight w:val="0"/>
          <w:marTop w:val="0"/>
          <w:marBottom w:val="0"/>
          <w:divBdr>
            <w:top w:val="none" w:sz="0" w:space="0" w:color="auto"/>
            <w:left w:val="none" w:sz="0" w:space="0" w:color="auto"/>
            <w:bottom w:val="none" w:sz="0" w:space="0" w:color="auto"/>
            <w:right w:val="none" w:sz="0" w:space="0" w:color="auto"/>
          </w:divBdr>
        </w:div>
        <w:div w:id="132255543">
          <w:marLeft w:val="640"/>
          <w:marRight w:val="0"/>
          <w:marTop w:val="0"/>
          <w:marBottom w:val="0"/>
          <w:divBdr>
            <w:top w:val="none" w:sz="0" w:space="0" w:color="auto"/>
            <w:left w:val="none" w:sz="0" w:space="0" w:color="auto"/>
            <w:bottom w:val="none" w:sz="0" w:space="0" w:color="auto"/>
            <w:right w:val="none" w:sz="0" w:space="0" w:color="auto"/>
          </w:divBdr>
        </w:div>
        <w:div w:id="977959210">
          <w:marLeft w:val="640"/>
          <w:marRight w:val="0"/>
          <w:marTop w:val="0"/>
          <w:marBottom w:val="0"/>
          <w:divBdr>
            <w:top w:val="none" w:sz="0" w:space="0" w:color="auto"/>
            <w:left w:val="none" w:sz="0" w:space="0" w:color="auto"/>
            <w:bottom w:val="none" w:sz="0" w:space="0" w:color="auto"/>
            <w:right w:val="none" w:sz="0" w:space="0" w:color="auto"/>
          </w:divBdr>
        </w:div>
        <w:div w:id="361327121">
          <w:marLeft w:val="640"/>
          <w:marRight w:val="0"/>
          <w:marTop w:val="0"/>
          <w:marBottom w:val="0"/>
          <w:divBdr>
            <w:top w:val="none" w:sz="0" w:space="0" w:color="auto"/>
            <w:left w:val="none" w:sz="0" w:space="0" w:color="auto"/>
            <w:bottom w:val="none" w:sz="0" w:space="0" w:color="auto"/>
            <w:right w:val="none" w:sz="0" w:space="0" w:color="auto"/>
          </w:divBdr>
        </w:div>
        <w:div w:id="274674772">
          <w:marLeft w:val="640"/>
          <w:marRight w:val="0"/>
          <w:marTop w:val="0"/>
          <w:marBottom w:val="0"/>
          <w:divBdr>
            <w:top w:val="none" w:sz="0" w:space="0" w:color="auto"/>
            <w:left w:val="none" w:sz="0" w:space="0" w:color="auto"/>
            <w:bottom w:val="none" w:sz="0" w:space="0" w:color="auto"/>
            <w:right w:val="none" w:sz="0" w:space="0" w:color="auto"/>
          </w:divBdr>
        </w:div>
        <w:div w:id="855659996">
          <w:marLeft w:val="640"/>
          <w:marRight w:val="0"/>
          <w:marTop w:val="0"/>
          <w:marBottom w:val="0"/>
          <w:divBdr>
            <w:top w:val="none" w:sz="0" w:space="0" w:color="auto"/>
            <w:left w:val="none" w:sz="0" w:space="0" w:color="auto"/>
            <w:bottom w:val="none" w:sz="0" w:space="0" w:color="auto"/>
            <w:right w:val="none" w:sz="0" w:space="0" w:color="auto"/>
          </w:divBdr>
        </w:div>
        <w:div w:id="505480264">
          <w:marLeft w:val="640"/>
          <w:marRight w:val="0"/>
          <w:marTop w:val="0"/>
          <w:marBottom w:val="0"/>
          <w:divBdr>
            <w:top w:val="none" w:sz="0" w:space="0" w:color="auto"/>
            <w:left w:val="none" w:sz="0" w:space="0" w:color="auto"/>
            <w:bottom w:val="none" w:sz="0" w:space="0" w:color="auto"/>
            <w:right w:val="none" w:sz="0" w:space="0" w:color="auto"/>
          </w:divBdr>
        </w:div>
        <w:div w:id="1040518955">
          <w:marLeft w:val="640"/>
          <w:marRight w:val="0"/>
          <w:marTop w:val="0"/>
          <w:marBottom w:val="0"/>
          <w:divBdr>
            <w:top w:val="none" w:sz="0" w:space="0" w:color="auto"/>
            <w:left w:val="none" w:sz="0" w:space="0" w:color="auto"/>
            <w:bottom w:val="none" w:sz="0" w:space="0" w:color="auto"/>
            <w:right w:val="none" w:sz="0" w:space="0" w:color="auto"/>
          </w:divBdr>
        </w:div>
        <w:div w:id="1500003681">
          <w:marLeft w:val="640"/>
          <w:marRight w:val="0"/>
          <w:marTop w:val="0"/>
          <w:marBottom w:val="0"/>
          <w:divBdr>
            <w:top w:val="none" w:sz="0" w:space="0" w:color="auto"/>
            <w:left w:val="none" w:sz="0" w:space="0" w:color="auto"/>
            <w:bottom w:val="none" w:sz="0" w:space="0" w:color="auto"/>
            <w:right w:val="none" w:sz="0" w:space="0" w:color="auto"/>
          </w:divBdr>
        </w:div>
        <w:div w:id="89354792">
          <w:marLeft w:val="640"/>
          <w:marRight w:val="0"/>
          <w:marTop w:val="0"/>
          <w:marBottom w:val="0"/>
          <w:divBdr>
            <w:top w:val="none" w:sz="0" w:space="0" w:color="auto"/>
            <w:left w:val="none" w:sz="0" w:space="0" w:color="auto"/>
            <w:bottom w:val="none" w:sz="0" w:space="0" w:color="auto"/>
            <w:right w:val="none" w:sz="0" w:space="0" w:color="auto"/>
          </w:divBdr>
        </w:div>
        <w:div w:id="1729457350">
          <w:marLeft w:val="640"/>
          <w:marRight w:val="0"/>
          <w:marTop w:val="0"/>
          <w:marBottom w:val="0"/>
          <w:divBdr>
            <w:top w:val="none" w:sz="0" w:space="0" w:color="auto"/>
            <w:left w:val="none" w:sz="0" w:space="0" w:color="auto"/>
            <w:bottom w:val="none" w:sz="0" w:space="0" w:color="auto"/>
            <w:right w:val="none" w:sz="0" w:space="0" w:color="auto"/>
          </w:divBdr>
        </w:div>
        <w:div w:id="1337613890">
          <w:marLeft w:val="640"/>
          <w:marRight w:val="0"/>
          <w:marTop w:val="0"/>
          <w:marBottom w:val="0"/>
          <w:divBdr>
            <w:top w:val="none" w:sz="0" w:space="0" w:color="auto"/>
            <w:left w:val="none" w:sz="0" w:space="0" w:color="auto"/>
            <w:bottom w:val="none" w:sz="0" w:space="0" w:color="auto"/>
            <w:right w:val="none" w:sz="0" w:space="0" w:color="auto"/>
          </w:divBdr>
        </w:div>
        <w:div w:id="910967298">
          <w:marLeft w:val="640"/>
          <w:marRight w:val="0"/>
          <w:marTop w:val="0"/>
          <w:marBottom w:val="0"/>
          <w:divBdr>
            <w:top w:val="none" w:sz="0" w:space="0" w:color="auto"/>
            <w:left w:val="none" w:sz="0" w:space="0" w:color="auto"/>
            <w:bottom w:val="none" w:sz="0" w:space="0" w:color="auto"/>
            <w:right w:val="none" w:sz="0" w:space="0" w:color="auto"/>
          </w:divBdr>
        </w:div>
        <w:div w:id="1071272001">
          <w:marLeft w:val="640"/>
          <w:marRight w:val="0"/>
          <w:marTop w:val="0"/>
          <w:marBottom w:val="0"/>
          <w:divBdr>
            <w:top w:val="none" w:sz="0" w:space="0" w:color="auto"/>
            <w:left w:val="none" w:sz="0" w:space="0" w:color="auto"/>
            <w:bottom w:val="none" w:sz="0" w:space="0" w:color="auto"/>
            <w:right w:val="none" w:sz="0" w:space="0" w:color="auto"/>
          </w:divBdr>
        </w:div>
        <w:div w:id="100533939">
          <w:marLeft w:val="640"/>
          <w:marRight w:val="0"/>
          <w:marTop w:val="0"/>
          <w:marBottom w:val="0"/>
          <w:divBdr>
            <w:top w:val="none" w:sz="0" w:space="0" w:color="auto"/>
            <w:left w:val="none" w:sz="0" w:space="0" w:color="auto"/>
            <w:bottom w:val="none" w:sz="0" w:space="0" w:color="auto"/>
            <w:right w:val="none" w:sz="0" w:space="0" w:color="auto"/>
          </w:divBdr>
        </w:div>
        <w:div w:id="1418594098">
          <w:marLeft w:val="640"/>
          <w:marRight w:val="0"/>
          <w:marTop w:val="0"/>
          <w:marBottom w:val="0"/>
          <w:divBdr>
            <w:top w:val="none" w:sz="0" w:space="0" w:color="auto"/>
            <w:left w:val="none" w:sz="0" w:space="0" w:color="auto"/>
            <w:bottom w:val="none" w:sz="0" w:space="0" w:color="auto"/>
            <w:right w:val="none" w:sz="0" w:space="0" w:color="auto"/>
          </w:divBdr>
        </w:div>
        <w:div w:id="1712001522">
          <w:marLeft w:val="640"/>
          <w:marRight w:val="0"/>
          <w:marTop w:val="0"/>
          <w:marBottom w:val="0"/>
          <w:divBdr>
            <w:top w:val="none" w:sz="0" w:space="0" w:color="auto"/>
            <w:left w:val="none" w:sz="0" w:space="0" w:color="auto"/>
            <w:bottom w:val="none" w:sz="0" w:space="0" w:color="auto"/>
            <w:right w:val="none" w:sz="0" w:space="0" w:color="auto"/>
          </w:divBdr>
        </w:div>
        <w:div w:id="1600941115">
          <w:marLeft w:val="640"/>
          <w:marRight w:val="0"/>
          <w:marTop w:val="0"/>
          <w:marBottom w:val="0"/>
          <w:divBdr>
            <w:top w:val="none" w:sz="0" w:space="0" w:color="auto"/>
            <w:left w:val="none" w:sz="0" w:space="0" w:color="auto"/>
            <w:bottom w:val="none" w:sz="0" w:space="0" w:color="auto"/>
            <w:right w:val="none" w:sz="0" w:space="0" w:color="auto"/>
          </w:divBdr>
        </w:div>
        <w:div w:id="1131901713">
          <w:marLeft w:val="640"/>
          <w:marRight w:val="0"/>
          <w:marTop w:val="0"/>
          <w:marBottom w:val="0"/>
          <w:divBdr>
            <w:top w:val="none" w:sz="0" w:space="0" w:color="auto"/>
            <w:left w:val="none" w:sz="0" w:space="0" w:color="auto"/>
            <w:bottom w:val="none" w:sz="0" w:space="0" w:color="auto"/>
            <w:right w:val="none" w:sz="0" w:space="0" w:color="auto"/>
          </w:divBdr>
        </w:div>
        <w:div w:id="23605203">
          <w:marLeft w:val="640"/>
          <w:marRight w:val="0"/>
          <w:marTop w:val="0"/>
          <w:marBottom w:val="0"/>
          <w:divBdr>
            <w:top w:val="none" w:sz="0" w:space="0" w:color="auto"/>
            <w:left w:val="none" w:sz="0" w:space="0" w:color="auto"/>
            <w:bottom w:val="none" w:sz="0" w:space="0" w:color="auto"/>
            <w:right w:val="none" w:sz="0" w:space="0" w:color="auto"/>
          </w:divBdr>
        </w:div>
        <w:div w:id="1121850376">
          <w:marLeft w:val="640"/>
          <w:marRight w:val="0"/>
          <w:marTop w:val="0"/>
          <w:marBottom w:val="0"/>
          <w:divBdr>
            <w:top w:val="none" w:sz="0" w:space="0" w:color="auto"/>
            <w:left w:val="none" w:sz="0" w:space="0" w:color="auto"/>
            <w:bottom w:val="none" w:sz="0" w:space="0" w:color="auto"/>
            <w:right w:val="none" w:sz="0" w:space="0" w:color="auto"/>
          </w:divBdr>
        </w:div>
        <w:div w:id="1775706428">
          <w:marLeft w:val="640"/>
          <w:marRight w:val="0"/>
          <w:marTop w:val="0"/>
          <w:marBottom w:val="0"/>
          <w:divBdr>
            <w:top w:val="none" w:sz="0" w:space="0" w:color="auto"/>
            <w:left w:val="none" w:sz="0" w:space="0" w:color="auto"/>
            <w:bottom w:val="none" w:sz="0" w:space="0" w:color="auto"/>
            <w:right w:val="none" w:sz="0" w:space="0" w:color="auto"/>
          </w:divBdr>
        </w:div>
        <w:div w:id="948898796">
          <w:marLeft w:val="640"/>
          <w:marRight w:val="0"/>
          <w:marTop w:val="0"/>
          <w:marBottom w:val="0"/>
          <w:divBdr>
            <w:top w:val="none" w:sz="0" w:space="0" w:color="auto"/>
            <w:left w:val="none" w:sz="0" w:space="0" w:color="auto"/>
            <w:bottom w:val="none" w:sz="0" w:space="0" w:color="auto"/>
            <w:right w:val="none" w:sz="0" w:space="0" w:color="auto"/>
          </w:divBdr>
        </w:div>
        <w:div w:id="1384056561">
          <w:marLeft w:val="640"/>
          <w:marRight w:val="0"/>
          <w:marTop w:val="0"/>
          <w:marBottom w:val="0"/>
          <w:divBdr>
            <w:top w:val="none" w:sz="0" w:space="0" w:color="auto"/>
            <w:left w:val="none" w:sz="0" w:space="0" w:color="auto"/>
            <w:bottom w:val="none" w:sz="0" w:space="0" w:color="auto"/>
            <w:right w:val="none" w:sz="0" w:space="0" w:color="auto"/>
          </w:divBdr>
        </w:div>
        <w:div w:id="1865558317">
          <w:marLeft w:val="640"/>
          <w:marRight w:val="0"/>
          <w:marTop w:val="0"/>
          <w:marBottom w:val="0"/>
          <w:divBdr>
            <w:top w:val="none" w:sz="0" w:space="0" w:color="auto"/>
            <w:left w:val="none" w:sz="0" w:space="0" w:color="auto"/>
            <w:bottom w:val="none" w:sz="0" w:space="0" w:color="auto"/>
            <w:right w:val="none" w:sz="0" w:space="0" w:color="auto"/>
          </w:divBdr>
        </w:div>
      </w:divsChild>
    </w:div>
    <w:div w:id="1486317759">
      <w:bodyDiv w:val="1"/>
      <w:marLeft w:val="0"/>
      <w:marRight w:val="0"/>
      <w:marTop w:val="0"/>
      <w:marBottom w:val="0"/>
      <w:divBdr>
        <w:top w:val="none" w:sz="0" w:space="0" w:color="auto"/>
        <w:left w:val="none" w:sz="0" w:space="0" w:color="auto"/>
        <w:bottom w:val="none" w:sz="0" w:space="0" w:color="auto"/>
        <w:right w:val="none" w:sz="0" w:space="0" w:color="auto"/>
      </w:divBdr>
      <w:divsChild>
        <w:div w:id="1182167123">
          <w:marLeft w:val="640"/>
          <w:marRight w:val="0"/>
          <w:marTop w:val="0"/>
          <w:marBottom w:val="0"/>
          <w:divBdr>
            <w:top w:val="none" w:sz="0" w:space="0" w:color="auto"/>
            <w:left w:val="none" w:sz="0" w:space="0" w:color="auto"/>
            <w:bottom w:val="none" w:sz="0" w:space="0" w:color="auto"/>
            <w:right w:val="none" w:sz="0" w:space="0" w:color="auto"/>
          </w:divBdr>
        </w:div>
        <w:div w:id="995183612">
          <w:marLeft w:val="640"/>
          <w:marRight w:val="0"/>
          <w:marTop w:val="0"/>
          <w:marBottom w:val="0"/>
          <w:divBdr>
            <w:top w:val="none" w:sz="0" w:space="0" w:color="auto"/>
            <w:left w:val="none" w:sz="0" w:space="0" w:color="auto"/>
            <w:bottom w:val="none" w:sz="0" w:space="0" w:color="auto"/>
            <w:right w:val="none" w:sz="0" w:space="0" w:color="auto"/>
          </w:divBdr>
        </w:div>
        <w:div w:id="1457332839">
          <w:marLeft w:val="640"/>
          <w:marRight w:val="0"/>
          <w:marTop w:val="0"/>
          <w:marBottom w:val="0"/>
          <w:divBdr>
            <w:top w:val="none" w:sz="0" w:space="0" w:color="auto"/>
            <w:left w:val="none" w:sz="0" w:space="0" w:color="auto"/>
            <w:bottom w:val="none" w:sz="0" w:space="0" w:color="auto"/>
            <w:right w:val="none" w:sz="0" w:space="0" w:color="auto"/>
          </w:divBdr>
        </w:div>
        <w:div w:id="911621248">
          <w:marLeft w:val="640"/>
          <w:marRight w:val="0"/>
          <w:marTop w:val="0"/>
          <w:marBottom w:val="0"/>
          <w:divBdr>
            <w:top w:val="none" w:sz="0" w:space="0" w:color="auto"/>
            <w:left w:val="none" w:sz="0" w:space="0" w:color="auto"/>
            <w:bottom w:val="none" w:sz="0" w:space="0" w:color="auto"/>
            <w:right w:val="none" w:sz="0" w:space="0" w:color="auto"/>
          </w:divBdr>
        </w:div>
        <w:div w:id="1499929380">
          <w:marLeft w:val="640"/>
          <w:marRight w:val="0"/>
          <w:marTop w:val="0"/>
          <w:marBottom w:val="0"/>
          <w:divBdr>
            <w:top w:val="none" w:sz="0" w:space="0" w:color="auto"/>
            <w:left w:val="none" w:sz="0" w:space="0" w:color="auto"/>
            <w:bottom w:val="none" w:sz="0" w:space="0" w:color="auto"/>
            <w:right w:val="none" w:sz="0" w:space="0" w:color="auto"/>
          </w:divBdr>
        </w:div>
        <w:div w:id="1656180396">
          <w:marLeft w:val="640"/>
          <w:marRight w:val="0"/>
          <w:marTop w:val="0"/>
          <w:marBottom w:val="0"/>
          <w:divBdr>
            <w:top w:val="none" w:sz="0" w:space="0" w:color="auto"/>
            <w:left w:val="none" w:sz="0" w:space="0" w:color="auto"/>
            <w:bottom w:val="none" w:sz="0" w:space="0" w:color="auto"/>
            <w:right w:val="none" w:sz="0" w:space="0" w:color="auto"/>
          </w:divBdr>
        </w:div>
        <w:div w:id="1106576251">
          <w:marLeft w:val="640"/>
          <w:marRight w:val="0"/>
          <w:marTop w:val="0"/>
          <w:marBottom w:val="0"/>
          <w:divBdr>
            <w:top w:val="none" w:sz="0" w:space="0" w:color="auto"/>
            <w:left w:val="none" w:sz="0" w:space="0" w:color="auto"/>
            <w:bottom w:val="none" w:sz="0" w:space="0" w:color="auto"/>
            <w:right w:val="none" w:sz="0" w:space="0" w:color="auto"/>
          </w:divBdr>
        </w:div>
        <w:div w:id="1720128173">
          <w:marLeft w:val="640"/>
          <w:marRight w:val="0"/>
          <w:marTop w:val="0"/>
          <w:marBottom w:val="0"/>
          <w:divBdr>
            <w:top w:val="none" w:sz="0" w:space="0" w:color="auto"/>
            <w:left w:val="none" w:sz="0" w:space="0" w:color="auto"/>
            <w:bottom w:val="none" w:sz="0" w:space="0" w:color="auto"/>
            <w:right w:val="none" w:sz="0" w:space="0" w:color="auto"/>
          </w:divBdr>
        </w:div>
        <w:div w:id="2137984907">
          <w:marLeft w:val="640"/>
          <w:marRight w:val="0"/>
          <w:marTop w:val="0"/>
          <w:marBottom w:val="0"/>
          <w:divBdr>
            <w:top w:val="none" w:sz="0" w:space="0" w:color="auto"/>
            <w:left w:val="none" w:sz="0" w:space="0" w:color="auto"/>
            <w:bottom w:val="none" w:sz="0" w:space="0" w:color="auto"/>
            <w:right w:val="none" w:sz="0" w:space="0" w:color="auto"/>
          </w:divBdr>
        </w:div>
        <w:div w:id="1876843270">
          <w:marLeft w:val="640"/>
          <w:marRight w:val="0"/>
          <w:marTop w:val="0"/>
          <w:marBottom w:val="0"/>
          <w:divBdr>
            <w:top w:val="none" w:sz="0" w:space="0" w:color="auto"/>
            <w:left w:val="none" w:sz="0" w:space="0" w:color="auto"/>
            <w:bottom w:val="none" w:sz="0" w:space="0" w:color="auto"/>
            <w:right w:val="none" w:sz="0" w:space="0" w:color="auto"/>
          </w:divBdr>
        </w:div>
        <w:div w:id="1298610700">
          <w:marLeft w:val="640"/>
          <w:marRight w:val="0"/>
          <w:marTop w:val="0"/>
          <w:marBottom w:val="0"/>
          <w:divBdr>
            <w:top w:val="none" w:sz="0" w:space="0" w:color="auto"/>
            <w:left w:val="none" w:sz="0" w:space="0" w:color="auto"/>
            <w:bottom w:val="none" w:sz="0" w:space="0" w:color="auto"/>
            <w:right w:val="none" w:sz="0" w:space="0" w:color="auto"/>
          </w:divBdr>
        </w:div>
        <w:div w:id="1416168413">
          <w:marLeft w:val="640"/>
          <w:marRight w:val="0"/>
          <w:marTop w:val="0"/>
          <w:marBottom w:val="0"/>
          <w:divBdr>
            <w:top w:val="none" w:sz="0" w:space="0" w:color="auto"/>
            <w:left w:val="none" w:sz="0" w:space="0" w:color="auto"/>
            <w:bottom w:val="none" w:sz="0" w:space="0" w:color="auto"/>
            <w:right w:val="none" w:sz="0" w:space="0" w:color="auto"/>
          </w:divBdr>
        </w:div>
        <w:div w:id="1828746487">
          <w:marLeft w:val="640"/>
          <w:marRight w:val="0"/>
          <w:marTop w:val="0"/>
          <w:marBottom w:val="0"/>
          <w:divBdr>
            <w:top w:val="none" w:sz="0" w:space="0" w:color="auto"/>
            <w:left w:val="none" w:sz="0" w:space="0" w:color="auto"/>
            <w:bottom w:val="none" w:sz="0" w:space="0" w:color="auto"/>
            <w:right w:val="none" w:sz="0" w:space="0" w:color="auto"/>
          </w:divBdr>
        </w:div>
        <w:div w:id="1389185873">
          <w:marLeft w:val="640"/>
          <w:marRight w:val="0"/>
          <w:marTop w:val="0"/>
          <w:marBottom w:val="0"/>
          <w:divBdr>
            <w:top w:val="none" w:sz="0" w:space="0" w:color="auto"/>
            <w:left w:val="none" w:sz="0" w:space="0" w:color="auto"/>
            <w:bottom w:val="none" w:sz="0" w:space="0" w:color="auto"/>
            <w:right w:val="none" w:sz="0" w:space="0" w:color="auto"/>
          </w:divBdr>
        </w:div>
        <w:div w:id="769010445">
          <w:marLeft w:val="640"/>
          <w:marRight w:val="0"/>
          <w:marTop w:val="0"/>
          <w:marBottom w:val="0"/>
          <w:divBdr>
            <w:top w:val="none" w:sz="0" w:space="0" w:color="auto"/>
            <w:left w:val="none" w:sz="0" w:space="0" w:color="auto"/>
            <w:bottom w:val="none" w:sz="0" w:space="0" w:color="auto"/>
            <w:right w:val="none" w:sz="0" w:space="0" w:color="auto"/>
          </w:divBdr>
        </w:div>
        <w:div w:id="402335482">
          <w:marLeft w:val="640"/>
          <w:marRight w:val="0"/>
          <w:marTop w:val="0"/>
          <w:marBottom w:val="0"/>
          <w:divBdr>
            <w:top w:val="none" w:sz="0" w:space="0" w:color="auto"/>
            <w:left w:val="none" w:sz="0" w:space="0" w:color="auto"/>
            <w:bottom w:val="none" w:sz="0" w:space="0" w:color="auto"/>
            <w:right w:val="none" w:sz="0" w:space="0" w:color="auto"/>
          </w:divBdr>
        </w:div>
        <w:div w:id="1082065106">
          <w:marLeft w:val="640"/>
          <w:marRight w:val="0"/>
          <w:marTop w:val="0"/>
          <w:marBottom w:val="0"/>
          <w:divBdr>
            <w:top w:val="none" w:sz="0" w:space="0" w:color="auto"/>
            <w:left w:val="none" w:sz="0" w:space="0" w:color="auto"/>
            <w:bottom w:val="none" w:sz="0" w:space="0" w:color="auto"/>
            <w:right w:val="none" w:sz="0" w:space="0" w:color="auto"/>
          </w:divBdr>
        </w:div>
        <w:div w:id="569077204">
          <w:marLeft w:val="640"/>
          <w:marRight w:val="0"/>
          <w:marTop w:val="0"/>
          <w:marBottom w:val="0"/>
          <w:divBdr>
            <w:top w:val="none" w:sz="0" w:space="0" w:color="auto"/>
            <w:left w:val="none" w:sz="0" w:space="0" w:color="auto"/>
            <w:bottom w:val="none" w:sz="0" w:space="0" w:color="auto"/>
            <w:right w:val="none" w:sz="0" w:space="0" w:color="auto"/>
          </w:divBdr>
        </w:div>
        <w:div w:id="832910122">
          <w:marLeft w:val="640"/>
          <w:marRight w:val="0"/>
          <w:marTop w:val="0"/>
          <w:marBottom w:val="0"/>
          <w:divBdr>
            <w:top w:val="none" w:sz="0" w:space="0" w:color="auto"/>
            <w:left w:val="none" w:sz="0" w:space="0" w:color="auto"/>
            <w:bottom w:val="none" w:sz="0" w:space="0" w:color="auto"/>
            <w:right w:val="none" w:sz="0" w:space="0" w:color="auto"/>
          </w:divBdr>
        </w:div>
        <w:div w:id="1196188174">
          <w:marLeft w:val="640"/>
          <w:marRight w:val="0"/>
          <w:marTop w:val="0"/>
          <w:marBottom w:val="0"/>
          <w:divBdr>
            <w:top w:val="none" w:sz="0" w:space="0" w:color="auto"/>
            <w:left w:val="none" w:sz="0" w:space="0" w:color="auto"/>
            <w:bottom w:val="none" w:sz="0" w:space="0" w:color="auto"/>
            <w:right w:val="none" w:sz="0" w:space="0" w:color="auto"/>
          </w:divBdr>
        </w:div>
        <w:div w:id="414589590">
          <w:marLeft w:val="640"/>
          <w:marRight w:val="0"/>
          <w:marTop w:val="0"/>
          <w:marBottom w:val="0"/>
          <w:divBdr>
            <w:top w:val="none" w:sz="0" w:space="0" w:color="auto"/>
            <w:left w:val="none" w:sz="0" w:space="0" w:color="auto"/>
            <w:bottom w:val="none" w:sz="0" w:space="0" w:color="auto"/>
            <w:right w:val="none" w:sz="0" w:space="0" w:color="auto"/>
          </w:divBdr>
        </w:div>
        <w:div w:id="1692952841">
          <w:marLeft w:val="640"/>
          <w:marRight w:val="0"/>
          <w:marTop w:val="0"/>
          <w:marBottom w:val="0"/>
          <w:divBdr>
            <w:top w:val="none" w:sz="0" w:space="0" w:color="auto"/>
            <w:left w:val="none" w:sz="0" w:space="0" w:color="auto"/>
            <w:bottom w:val="none" w:sz="0" w:space="0" w:color="auto"/>
            <w:right w:val="none" w:sz="0" w:space="0" w:color="auto"/>
          </w:divBdr>
        </w:div>
        <w:div w:id="1473865144">
          <w:marLeft w:val="640"/>
          <w:marRight w:val="0"/>
          <w:marTop w:val="0"/>
          <w:marBottom w:val="0"/>
          <w:divBdr>
            <w:top w:val="none" w:sz="0" w:space="0" w:color="auto"/>
            <w:left w:val="none" w:sz="0" w:space="0" w:color="auto"/>
            <w:bottom w:val="none" w:sz="0" w:space="0" w:color="auto"/>
            <w:right w:val="none" w:sz="0" w:space="0" w:color="auto"/>
          </w:divBdr>
        </w:div>
        <w:div w:id="506335959">
          <w:marLeft w:val="640"/>
          <w:marRight w:val="0"/>
          <w:marTop w:val="0"/>
          <w:marBottom w:val="0"/>
          <w:divBdr>
            <w:top w:val="none" w:sz="0" w:space="0" w:color="auto"/>
            <w:left w:val="none" w:sz="0" w:space="0" w:color="auto"/>
            <w:bottom w:val="none" w:sz="0" w:space="0" w:color="auto"/>
            <w:right w:val="none" w:sz="0" w:space="0" w:color="auto"/>
          </w:divBdr>
        </w:div>
        <w:div w:id="1375423661">
          <w:marLeft w:val="640"/>
          <w:marRight w:val="0"/>
          <w:marTop w:val="0"/>
          <w:marBottom w:val="0"/>
          <w:divBdr>
            <w:top w:val="none" w:sz="0" w:space="0" w:color="auto"/>
            <w:left w:val="none" w:sz="0" w:space="0" w:color="auto"/>
            <w:bottom w:val="none" w:sz="0" w:space="0" w:color="auto"/>
            <w:right w:val="none" w:sz="0" w:space="0" w:color="auto"/>
          </w:divBdr>
        </w:div>
        <w:div w:id="523056645">
          <w:marLeft w:val="640"/>
          <w:marRight w:val="0"/>
          <w:marTop w:val="0"/>
          <w:marBottom w:val="0"/>
          <w:divBdr>
            <w:top w:val="none" w:sz="0" w:space="0" w:color="auto"/>
            <w:left w:val="none" w:sz="0" w:space="0" w:color="auto"/>
            <w:bottom w:val="none" w:sz="0" w:space="0" w:color="auto"/>
            <w:right w:val="none" w:sz="0" w:space="0" w:color="auto"/>
          </w:divBdr>
        </w:div>
        <w:div w:id="2138603076">
          <w:marLeft w:val="640"/>
          <w:marRight w:val="0"/>
          <w:marTop w:val="0"/>
          <w:marBottom w:val="0"/>
          <w:divBdr>
            <w:top w:val="none" w:sz="0" w:space="0" w:color="auto"/>
            <w:left w:val="none" w:sz="0" w:space="0" w:color="auto"/>
            <w:bottom w:val="none" w:sz="0" w:space="0" w:color="auto"/>
            <w:right w:val="none" w:sz="0" w:space="0" w:color="auto"/>
          </w:divBdr>
        </w:div>
        <w:div w:id="150098252">
          <w:marLeft w:val="640"/>
          <w:marRight w:val="0"/>
          <w:marTop w:val="0"/>
          <w:marBottom w:val="0"/>
          <w:divBdr>
            <w:top w:val="none" w:sz="0" w:space="0" w:color="auto"/>
            <w:left w:val="none" w:sz="0" w:space="0" w:color="auto"/>
            <w:bottom w:val="none" w:sz="0" w:space="0" w:color="auto"/>
            <w:right w:val="none" w:sz="0" w:space="0" w:color="auto"/>
          </w:divBdr>
        </w:div>
        <w:div w:id="236139595">
          <w:marLeft w:val="640"/>
          <w:marRight w:val="0"/>
          <w:marTop w:val="0"/>
          <w:marBottom w:val="0"/>
          <w:divBdr>
            <w:top w:val="none" w:sz="0" w:space="0" w:color="auto"/>
            <w:left w:val="none" w:sz="0" w:space="0" w:color="auto"/>
            <w:bottom w:val="none" w:sz="0" w:space="0" w:color="auto"/>
            <w:right w:val="none" w:sz="0" w:space="0" w:color="auto"/>
          </w:divBdr>
        </w:div>
        <w:div w:id="1698655375">
          <w:marLeft w:val="640"/>
          <w:marRight w:val="0"/>
          <w:marTop w:val="0"/>
          <w:marBottom w:val="0"/>
          <w:divBdr>
            <w:top w:val="none" w:sz="0" w:space="0" w:color="auto"/>
            <w:left w:val="none" w:sz="0" w:space="0" w:color="auto"/>
            <w:bottom w:val="none" w:sz="0" w:space="0" w:color="auto"/>
            <w:right w:val="none" w:sz="0" w:space="0" w:color="auto"/>
          </w:divBdr>
        </w:div>
        <w:div w:id="476339970">
          <w:marLeft w:val="640"/>
          <w:marRight w:val="0"/>
          <w:marTop w:val="0"/>
          <w:marBottom w:val="0"/>
          <w:divBdr>
            <w:top w:val="none" w:sz="0" w:space="0" w:color="auto"/>
            <w:left w:val="none" w:sz="0" w:space="0" w:color="auto"/>
            <w:bottom w:val="none" w:sz="0" w:space="0" w:color="auto"/>
            <w:right w:val="none" w:sz="0" w:space="0" w:color="auto"/>
          </w:divBdr>
        </w:div>
        <w:div w:id="1384132958">
          <w:marLeft w:val="640"/>
          <w:marRight w:val="0"/>
          <w:marTop w:val="0"/>
          <w:marBottom w:val="0"/>
          <w:divBdr>
            <w:top w:val="none" w:sz="0" w:space="0" w:color="auto"/>
            <w:left w:val="none" w:sz="0" w:space="0" w:color="auto"/>
            <w:bottom w:val="none" w:sz="0" w:space="0" w:color="auto"/>
            <w:right w:val="none" w:sz="0" w:space="0" w:color="auto"/>
          </w:divBdr>
        </w:div>
        <w:div w:id="239487293">
          <w:marLeft w:val="640"/>
          <w:marRight w:val="0"/>
          <w:marTop w:val="0"/>
          <w:marBottom w:val="0"/>
          <w:divBdr>
            <w:top w:val="none" w:sz="0" w:space="0" w:color="auto"/>
            <w:left w:val="none" w:sz="0" w:space="0" w:color="auto"/>
            <w:bottom w:val="none" w:sz="0" w:space="0" w:color="auto"/>
            <w:right w:val="none" w:sz="0" w:space="0" w:color="auto"/>
          </w:divBdr>
        </w:div>
        <w:div w:id="1042827341">
          <w:marLeft w:val="640"/>
          <w:marRight w:val="0"/>
          <w:marTop w:val="0"/>
          <w:marBottom w:val="0"/>
          <w:divBdr>
            <w:top w:val="none" w:sz="0" w:space="0" w:color="auto"/>
            <w:left w:val="none" w:sz="0" w:space="0" w:color="auto"/>
            <w:bottom w:val="none" w:sz="0" w:space="0" w:color="auto"/>
            <w:right w:val="none" w:sz="0" w:space="0" w:color="auto"/>
          </w:divBdr>
        </w:div>
        <w:div w:id="1863856613">
          <w:marLeft w:val="640"/>
          <w:marRight w:val="0"/>
          <w:marTop w:val="0"/>
          <w:marBottom w:val="0"/>
          <w:divBdr>
            <w:top w:val="none" w:sz="0" w:space="0" w:color="auto"/>
            <w:left w:val="none" w:sz="0" w:space="0" w:color="auto"/>
            <w:bottom w:val="none" w:sz="0" w:space="0" w:color="auto"/>
            <w:right w:val="none" w:sz="0" w:space="0" w:color="auto"/>
          </w:divBdr>
        </w:div>
        <w:div w:id="897208977">
          <w:marLeft w:val="640"/>
          <w:marRight w:val="0"/>
          <w:marTop w:val="0"/>
          <w:marBottom w:val="0"/>
          <w:divBdr>
            <w:top w:val="none" w:sz="0" w:space="0" w:color="auto"/>
            <w:left w:val="none" w:sz="0" w:space="0" w:color="auto"/>
            <w:bottom w:val="none" w:sz="0" w:space="0" w:color="auto"/>
            <w:right w:val="none" w:sz="0" w:space="0" w:color="auto"/>
          </w:divBdr>
        </w:div>
        <w:div w:id="551234388">
          <w:marLeft w:val="640"/>
          <w:marRight w:val="0"/>
          <w:marTop w:val="0"/>
          <w:marBottom w:val="0"/>
          <w:divBdr>
            <w:top w:val="none" w:sz="0" w:space="0" w:color="auto"/>
            <w:left w:val="none" w:sz="0" w:space="0" w:color="auto"/>
            <w:bottom w:val="none" w:sz="0" w:space="0" w:color="auto"/>
            <w:right w:val="none" w:sz="0" w:space="0" w:color="auto"/>
          </w:divBdr>
        </w:div>
        <w:div w:id="820318369">
          <w:marLeft w:val="640"/>
          <w:marRight w:val="0"/>
          <w:marTop w:val="0"/>
          <w:marBottom w:val="0"/>
          <w:divBdr>
            <w:top w:val="none" w:sz="0" w:space="0" w:color="auto"/>
            <w:left w:val="none" w:sz="0" w:space="0" w:color="auto"/>
            <w:bottom w:val="none" w:sz="0" w:space="0" w:color="auto"/>
            <w:right w:val="none" w:sz="0" w:space="0" w:color="auto"/>
          </w:divBdr>
        </w:div>
        <w:div w:id="1610114875">
          <w:marLeft w:val="640"/>
          <w:marRight w:val="0"/>
          <w:marTop w:val="0"/>
          <w:marBottom w:val="0"/>
          <w:divBdr>
            <w:top w:val="none" w:sz="0" w:space="0" w:color="auto"/>
            <w:left w:val="none" w:sz="0" w:space="0" w:color="auto"/>
            <w:bottom w:val="none" w:sz="0" w:space="0" w:color="auto"/>
            <w:right w:val="none" w:sz="0" w:space="0" w:color="auto"/>
          </w:divBdr>
        </w:div>
        <w:div w:id="403915276">
          <w:marLeft w:val="640"/>
          <w:marRight w:val="0"/>
          <w:marTop w:val="0"/>
          <w:marBottom w:val="0"/>
          <w:divBdr>
            <w:top w:val="none" w:sz="0" w:space="0" w:color="auto"/>
            <w:left w:val="none" w:sz="0" w:space="0" w:color="auto"/>
            <w:bottom w:val="none" w:sz="0" w:space="0" w:color="auto"/>
            <w:right w:val="none" w:sz="0" w:space="0" w:color="auto"/>
          </w:divBdr>
        </w:div>
        <w:div w:id="492725282">
          <w:marLeft w:val="640"/>
          <w:marRight w:val="0"/>
          <w:marTop w:val="0"/>
          <w:marBottom w:val="0"/>
          <w:divBdr>
            <w:top w:val="none" w:sz="0" w:space="0" w:color="auto"/>
            <w:left w:val="none" w:sz="0" w:space="0" w:color="auto"/>
            <w:bottom w:val="none" w:sz="0" w:space="0" w:color="auto"/>
            <w:right w:val="none" w:sz="0" w:space="0" w:color="auto"/>
          </w:divBdr>
        </w:div>
        <w:div w:id="525292606">
          <w:marLeft w:val="640"/>
          <w:marRight w:val="0"/>
          <w:marTop w:val="0"/>
          <w:marBottom w:val="0"/>
          <w:divBdr>
            <w:top w:val="none" w:sz="0" w:space="0" w:color="auto"/>
            <w:left w:val="none" w:sz="0" w:space="0" w:color="auto"/>
            <w:bottom w:val="none" w:sz="0" w:space="0" w:color="auto"/>
            <w:right w:val="none" w:sz="0" w:space="0" w:color="auto"/>
          </w:divBdr>
        </w:div>
        <w:div w:id="963731841">
          <w:marLeft w:val="640"/>
          <w:marRight w:val="0"/>
          <w:marTop w:val="0"/>
          <w:marBottom w:val="0"/>
          <w:divBdr>
            <w:top w:val="none" w:sz="0" w:space="0" w:color="auto"/>
            <w:left w:val="none" w:sz="0" w:space="0" w:color="auto"/>
            <w:bottom w:val="none" w:sz="0" w:space="0" w:color="auto"/>
            <w:right w:val="none" w:sz="0" w:space="0" w:color="auto"/>
          </w:divBdr>
        </w:div>
        <w:div w:id="148055222">
          <w:marLeft w:val="640"/>
          <w:marRight w:val="0"/>
          <w:marTop w:val="0"/>
          <w:marBottom w:val="0"/>
          <w:divBdr>
            <w:top w:val="none" w:sz="0" w:space="0" w:color="auto"/>
            <w:left w:val="none" w:sz="0" w:space="0" w:color="auto"/>
            <w:bottom w:val="none" w:sz="0" w:space="0" w:color="auto"/>
            <w:right w:val="none" w:sz="0" w:space="0" w:color="auto"/>
          </w:divBdr>
        </w:div>
        <w:div w:id="1478718749">
          <w:marLeft w:val="640"/>
          <w:marRight w:val="0"/>
          <w:marTop w:val="0"/>
          <w:marBottom w:val="0"/>
          <w:divBdr>
            <w:top w:val="none" w:sz="0" w:space="0" w:color="auto"/>
            <w:left w:val="none" w:sz="0" w:space="0" w:color="auto"/>
            <w:bottom w:val="none" w:sz="0" w:space="0" w:color="auto"/>
            <w:right w:val="none" w:sz="0" w:space="0" w:color="auto"/>
          </w:divBdr>
        </w:div>
        <w:div w:id="1603996362">
          <w:marLeft w:val="640"/>
          <w:marRight w:val="0"/>
          <w:marTop w:val="0"/>
          <w:marBottom w:val="0"/>
          <w:divBdr>
            <w:top w:val="none" w:sz="0" w:space="0" w:color="auto"/>
            <w:left w:val="none" w:sz="0" w:space="0" w:color="auto"/>
            <w:bottom w:val="none" w:sz="0" w:space="0" w:color="auto"/>
            <w:right w:val="none" w:sz="0" w:space="0" w:color="auto"/>
          </w:divBdr>
        </w:div>
        <w:div w:id="367684444">
          <w:marLeft w:val="640"/>
          <w:marRight w:val="0"/>
          <w:marTop w:val="0"/>
          <w:marBottom w:val="0"/>
          <w:divBdr>
            <w:top w:val="none" w:sz="0" w:space="0" w:color="auto"/>
            <w:left w:val="none" w:sz="0" w:space="0" w:color="auto"/>
            <w:bottom w:val="none" w:sz="0" w:space="0" w:color="auto"/>
            <w:right w:val="none" w:sz="0" w:space="0" w:color="auto"/>
          </w:divBdr>
        </w:div>
        <w:div w:id="37317312">
          <w:marLeft w:val="640"/>
          <w:marRight w:val="0"/>
          <w:marTop w:val="0"/>
          <w:marBottom w:val="0"/>
          <w:divBdr>
            <w:top w:val="none" w:sz="0" w:space="0" w:color="auto"/>
            <w:left w:val="none" w:sz="0" w:space="0" w:color="auto"/>
            <w:bottom w:val="none" w:sz="0" w:space="0" w:color="auto"/>
            <w:right w:val="none" w:sz="0" w:space="0" w:color="auto"/>
          </w:divBdr>
        </w:div>
        <w:div w:id="542791452">
          <w:marLeft w:val="640"/>
          <w:marRight w:val="0"/>
          <w:marTop w:val="0"/>
          <w:marBottom w:val="0"/>
          <w:divBdr>
            <w:top w:val="none" w:sz="0" w:space="0" w:color="auto"/>
            <w:left w:val="none" w:sz="0" w:space="0" w:color="auto"/>
            <w:bottom w:val="none" w:sz="0" w:space="0" w:color="auto"/>
            <w:right w:val="none" w:sz="0" w:space="0" w:color="auto"/>
          </w:divBdr>
        </w:div>
        <w:div w:id="1380325557">
          <w:marLeft w:val="640"/>
          <w:marRight w:val="0"/>
          <w:marTop w:val="0"/>
          <w:marBottom w:val="0"/>
          <w:divBdr>
            <w:top w:val="none" w:sz="0" w:space="0" w:color="auto"/>
            <w:left w:val="none" w:sz="0" w:space="0" w:color="auto"/>
            <w:bottom w:val="none" w:sz="0" w:space="0" w:color="auto"/>
            <w:right w:val="none" w:sz="0" w:space="0" w:color="auto"/>
          </w:divBdr>
        </w:div>
        <w:div w:id="1636719987">
          <w:marLeft w:val="640"/>
          <w:marRight w:val="0"/>
          <w:marTop w:val="0"/>
          <w:marBottom w:val="0"/>
          <w:divBdr>
            <w:top w:val="none" w:sz="0" w:space="0" w:color="auto"/>
            <w:left w:val="none" w:sz="0" w:space="0" w:color="auto"/>
            <w:bottom w:val="none" w:sz="0" w:space="0" w:color="auto"/>
            <w:right w:val="none" w:sz="0" w:space="0" w:color="auto"/>
          </w:divBdr>
        </w:div>
        <w:div w:id="1114054391">
          <w:marLeft w:val="640"/>
          <w:marRight w:val="0"/>
          <w:marTop w:val="0"/>
          <w:marBottom w:val="0"/>
          <w:divBdr>
            <w:top w:val="none" w:sz="0" w:space="0" w:color="auto"/>
            <w:left w:val="none" w:sz="0" w:space="0" w:color="auto"/>
            <w:bottom w:val="none" w:sz="0" w:space="0" w:color="auto"/>
            <w:right w:val="none" w:sz="0" w:space="0" w:color="auto"/>
          </w:divBdr>
        </w:div>
        <w:div w:id="5787697">
          <w:marLeft w:val="640"/>
          <w:marRight w:val="0"/>
          <w:marTop w:val="0"/>
          <w:marBottom w:val="0"/>
          <w:divBdr>
            <w:top w:val="none" w:sz="0" w:space="0" w:color="auto"/>
            <w:left w:val="none" w:sz="0" w:space="0" w:color="auto"/>
            <w:bottom w:val="none" w:sz="0" w:space="0" w:color="auto"/>
            <w:right w:val="none" w:sz="0" w:space="0" w:color="auto"/>
          </w:divBdr>
        </w:div>
        <w:div w:id="1753819211">
          <w:marLeft w:val="640"/>
          <w:marRight w:val="0"/>
          <w:marTop w:val="0"/>
          <w:marBottom w:val="0"/>
          <w:divBdr>
            <w:top w:val="none" w:sz="0" w:space="0" w:color="auto"/>
            <w:left w:val="none" w:sz="0" w:space="0" w:color="auto"/>
            <w:bottom w:val="none" w:sz="0" w:space="0" w:color="auto"/>
            <w:right w:val="none" w:sz="0" w:space="0" w:color="auto"/>
          </w:divBdr>
        </w:div>
        <w:div w:id="1006053544">
          <w:marLeft w:val="640"/>
          <w:marRight w:val="0"/>
          <w:marTop w:val="0"/>
          <w:marBottom w:val="0"/>
          <w:divBdr>
            <w:top w:val="none" w:sz="0" w:space="0" w:color="auto"/>
            <w:left w:val="none" w:sz="0" w:space="0" w:color="auto"/>
            <w:bottom w:val="none" w:sz="0" w:space="0" w:color="auto"/>
            <w:right w:val="none" w:sz="0" w:space="0" w:color="auto"/>
          </w:divBdr>
        </w:div>
        <w:div w:id="501899360">
          <w:marLeft w:val="640"/>
          <w:marRight w:val="0"/>
          <w:marTop w:val="0"/>
          <w:marBottom w:val="0"/>
          <w:divBdr>
            <w:top w:val="none" w:sz="0" w:space="0" w:color="auto"/>
            <w:left w:val="none" w:sz="0" w:space="0" w:color="auto"/>
            <w:bottom w:val="none" w:sz="0" w:space="0" w:color="auto"/>
            <w:right w:val="none" w:sz="0" w:space="0" w:color="auto"/>
          </w:divBdr>
        </w:div>
        <w:div w:id="624429073">
          <w:marLeft w:val="640"/>
          <w:marRight w:val="0"/>
          <w:marTop w:val="0"/>
          <w:marBottom w:val="0"/>
          <w:divBdr>
            <w:top w:val="none" w:sz="0" w:space="0" w:color="auto"/>
            <w:left w:val="none" w:sz="0" w:space="0" w:color="auto"/>
            <w:bottom w:val="none" w:sz="0" w:space="0" w:color="auto"/>
            <w:right w:val="none" w:sz="0" w:space="0" w:color="auto"/>
          </w:divBdr>
        </w:div>
        <w:div w:id="1078332634">
          <w:marLeft w:val="640"/>
          <w:marRight w:val="0"/>
          <w:marTop w:val="0"/>
          <w:marBottom w:val="0"/>
          <w:divBdr>
            <w:top w:val="none" w:sz="0" w:space="0" w:color="auto"/>
            <w:left w:val="none" w:sz="0" w:space="0" w:color="auto"/>
            <w:bottom w:val="none" w:sz="0" w:space="0" w:color="auto"/>
            <w:right w:val="none" w:sz="0" w:space="0" w:color="auto"/>
          </w:divBdr>
        </w:div>
        <w:div w:id="1529874137">
          <w:marLeft w:val="640"/>
          <w:marRight w:val="0"/>
          <w:marTop w:val="0"/>
          <w:marBottom w:val="0"/>
          <w:divBdr>
            <w:top w:val="none" w:sz="0" w:space="0" w:color="auto"/>
            <w:left w:val="none" w:sz="0" w:space="0" w:color="auto"/>
            <w:bottom w:val="none" w:sz="0" w:space="0" w:color="auto"/>
            <w:right w:val="none" w:sz="0" w:space="0" w:color="auto"/>
          </w:divBdr>
        </w:div>
        <w:div w:id="1198398172">
          <w:marLeft w:val="640"/>
          <w:marRight w:val="0"/>
          <w:marTop w:val="0"/>
          <w:marBottom w:val="0"/>
          <w:divBdr>
            <w:top w:val="none" w:sz="0" w:space="0" w:color="auto"/>
            <w:left w:val="none" w:sz="0" w:space="0" w:color="auto"/>
            <w:bottom w:val="none" w:sz="0" w:space="0" w:color="auto"/>
            <w:right w:val="none" w:sz="0" w:space="0" w:color="auto"/>
          </w:divBdr>
        </w:div>
        <w:div w:id="642999814">
          <w:marLeft w:val="640"/>
          <w:marRight w:val="0"/>
          <w:marTop w:val="0"/>
          <w:marBottom w:val="0"/>
          <w:divBdr>
            <w:top w:val="none" w:sz="0" w:space="0" w:color="auto"/>
            <w:left w:val="none" w:sz="0" w:space="0" w:color="auto"/>
            <w:bottom w:val="none" w:sz="0" w:space="0" w:color="auto"/>
            <w:right w:val="none" w:sz="0" w:space="0" w:color="auto"/>
          </w:divBdr>
        </w:div>
        <w:div w:id="968392526">
          <w:marLeft w:val="640"/>
          <w:marRight w:val="0"/>
          <w:marTop w:val="0"/>
          <w:marBottom w:val="0"/>
          <w:divBdr>
            <w:top w:val="none" w:sz="0" w:space="0" w:color="auto"/>
            <w:left w:val="none" w:sz="0" w:space="0" w:color="auto"/>
            <w:bottom w:val="none" w:sz="0" w:space="0" w:color="auto"/>
            <w:right w:val="none" w:sz="0" w:space="0" w:color="auto"/>
          </w:divBdr>
        </w:div>
        <w:div w:id="2009362039">
          <w:marLeft w:val="640"/>
          <w:marRight w:val="0"/>
          <w:marTop w:val="0"/>
          <w:marBottom w:val="0"/>
          <w:divBdr>
            <w:top w:val="none" w:sz="0" w:space="0" w:color="auto"/>
            <w:left w:val="none" w:sz="0" w:space="0" w:color="auto"/>
            <w:bottom w:val="none" w:sz="0" w:space="0" w:color="auto"/>
            <w:right w:val="none" w:sz="0" w:space="0" w:color="auto"/>
          </w:divBdr>
        </w:div>
        <w:div w:id="1764646113">
          <w:marLeft w:val="640"/>
          <w:marRight w:val="0"/>
          <w:marTop w:val="0"/>
          <w:marBottom w:val="0"/>
          <w:divBdr>
            <w:top w:val="none" w:sz="0" w:space="0" w:color="auto"/>
            <w:left w:val="none" w:sz="0" w:space="0" w:color="auto"/>
            <w:bottom w:val="none" w:sz="0" w:space="0" w:color="auto"/>
            <w:right w:val="none" w:sz="0" w:space="0" w:color="auto"/>
          </w:divBdr>
        </w:div>
        <w:div w:id="1680499586">
          <w:marLeft w:val="640"/>
          <w:marRight w:val="0"/>
          <w:marTop w:val="0"/>
          <w:marBottom w:val="0"/>
          <w:divBdr>
            <w:top w:val="none" w:sz="0" w:space="0" w:color="auto"/>
            <w:left w:val="none" w:sz="0" w:space="0" w:color="auto"/>
            <w:bottom w:val="none" w:sz="0" w:space="0" w:color="auto"/>
            <w:right w:val="none" w:sz="0" w:space="0" w:color="auto"/>
          </w:divBdr>
        </w:div>
        <w:div w:id="737091850">
          <w:marLeft w:val="640"/>
          <w:marRight w:val="0"/>
          <w:marTop w:val="0"/>
          <w:marBottom w:val="0"/>
          <w:divBdr>
            <w:top w:val="none" w:sz="0" w:space="0" w:color="auto"/>
            <w:left w:val="none" w:sz="0" w:space="0" w:color="auto"/>
            <w:bottom w:val="none" w:sz="0" w:space="0" w:color="auto"/>
            <w:right w:val="none" w:sz="0" w:space="0" w:color="auto"/>
          </w:divBdr>
        </w:div>
        <w:div w:id="1070346185">
          <w:marLeft w:val="640"/>
          <w:marRight w:val="0"/>
          <w:marTop w:val="0"/>
          <w:marBottom w:val="0"/>
          <w:divBdr>
            <w:top w:val="none" w:sz="0" w:space="0" w:color="auto"/>
            <w:left w:val="none" w:sz="0" w:space="0" w:color="auto"/>
            <w:bottom w:val="none" w:sz="0" w:space="0" w:color="auto"/>
            <w:right w:val="none" w:sz="0" w:space="0" w:color="auto"/>
          </w:divBdr>
        </w:div>
        <w:div w:id="1743210213">
          <w:marLeft w:val="640"/>
          <w:marRight w:val="0"/>
          <w:marTop w:val="0"/>
          <w:marBottom w:val="0"/>
          <w:divBdr>
            <w:top w:val="none" w:sz="0" w:space="0" w:color="auto"/>
            <w:left w:val="none" w:sz="0" w:space="0" w:color="auto"/>
            <w:bottom w:val="none" w:sz="0" w:space="0" w:color="auto"/>
            <w:right w:val="none" w:sz="0" w:space="0" w:color="auto"/>
          </w:divBdr>
        </w:div>
        <w:div w:id="529152547">
          <w:marLeft w:val="640"/>
          <w:marRight w:val="0"/>
          <w:marTop w:val="0"/>
          <w:marBottom w:val="0"/>
          <w:divBdr>
            <w:top w:val="none" w:sz="0" w:space="0" w:color="auto"/>
            <w:left w:val="none" w:sz="0" w:space="0" w:color="auto"/>
            <w:bottom w:val="none" w:sz="0" w:space="0" w:color="auto"/>
            <w:right w:val="none" w:sz="0" w:space="0" w:color="auto"/>
          </w:divBdr>
        </w:div>
        <w:div w:id="1256868211">
          <w:marLeft w:val="640"/>
          <w:marRight w:val="0"/>
          <w:marTop w:val="0"/>
          <w:marBottom w:val="0"/>
          <w:divBdr>
            <w:top w:val="none" w:sz="0" w:space="0" w:color="auto"/>
            <w:left w:val="none" w:sz="0" w:space="0" w:color="auto"/>
            <w:bottom w:val="none" w:sz="0" w:space="0" w:color="auto"/>
            <w:right w:val="none" w:sz="0" w:space="0" w:color="auto"/>
          </w:divBdr>
        </w:div>
        <w:div w:id="1487818838">
          <w:marLeft w:val="640"/>
          <w:marRight w:val="0"/>
          <w:marTop w:val="0"/>
          <w:marBottom w:val="0"/>
          <w:divBdr>
            <w:top w:val="none" w:sz="0" w:space="0" w:color="auto"/>
            <w:left w:val="none" w:sz="0" w:space="0" w:color="auto"/>
            <w:bottom w:val="none" w:sz="0" w:space="0" w:color="auto"/>
            <w:right w:val="none" w:sz="0" w:space="0" w:color="auto"/>
          </w:divBdr>
        </w:div>
        <w:div w:id="702749995">
          <w:marLeft w:val="640"/>
          <w:marRight w:val="0"/>
          <w:marTop w:val="0"/>
          <w:marBottom w:val="0"/>
          <w:divBdr>
            <w:top w:val="none" w:sz="0" w:space="0" w:color="auto"/>
            <w:left w:val="none" w:sz="0" w:space="0" w:color="auto"/>
            <w:bottom w:val="none" w:sz="0" w:space="0" w:color="auto"/>
            <w:right w:val="none" w:sz="0" w:space="0" w:color="auto"/>
          </w:divBdr>
        </w:div>
        <w:div w:id="1649045753">
          <w:marLeft w:val="640"/>
          <w:marRight w:val="0"/>
          <w:marTop w:val="0"/>
          <w:marBottom w:val="0"/>
          <w:divBdr>
            <w:top w:val="none" w:sz="0" w:space="0" w:color="auto"/>
            <w:left w:val="none" w:sz="0" w:space="0" w:color="auto"/>
            <w:bottom w:val="none" w:sz="0" w:space="0" w:color="auto"/>
            <w:right w:val="none" w:sz="0" w:space="0" w:color="auto"/>
          </w:divBdr>
        </w:div>
        <w:div w:id="650838496">
          <w:marLeft w:val="640"/>
          <w:marRight w:val="0"/>
          <w:marTop w:val="0"/>
          <w:marBottom w:val="0"/>
          <w:divBdr>
            <w:top w:val="none" w:sz="0" w:space="0" w:color="auto"/>
            <w:left w:val="none" w:sz="0" w:space="0" w:color="auto"/>
            <w:bottom w:val="none" w:sz="0" w:space="0" w:color="auto"/>
            <w:right w:val="none" w:sz="0" w:space="0" w:color="auto"/>
          </w:divBdr>
        </w:div>
        <w:div w:id="1296179604">
          <w:marLeft w:val="640"/>
          <w:marRight w:val="0"/>
          <w:marTop w:val="0"/>
          <w:marBottom w:val="0"/>
          <w:divBdr>
            <w:top w:val="none" w:sz="0" w:space="0" w:color="auto"/>
            <w:left w:val="none" w:sz="0" w:space="0" w:color="auto"/>
            <w:bottom w:val="none" w:sz="0" w:space="0" w:color="auto"/>
            <w:right w:val="none" w:sz="0" w:space="0" w:color="auto"/>
          </w:divBdr>
        </w:div>
        <w:div w:id="1080295650">
          <w:marLeft w:val="640"/>
          <w:marRight w:val="0"/>
          <w:marTop w:val="0"/>
          <w:marBottom w:val="0"/>
          <w:divBdr>
            <w:top w:val="none" w:sz="0" w:space="0" w:color="auto"/>
            <w:left w:val="none" w:sz="0" w:space="0" w:color="auto"/>
            <w:bottom w:val="none" w:sz="0" w:space="0" w:color="auto"/>
            <w:right w:val="none" w:sz="0" w:space="0" w:color="auto"/>
          </w:divBdr>
        </w:div>
        <w:div w:id="162471536">
          <w:marLeft w:val="640"/>
          <w:marRight w:val="0"/>
          <w:marTop w:val="0"/>
          <w:marBottom w:val="0"/>
          <w:divBdr>
            <w:top w:val="none" w:sz="0" w:space="0" w:color="auto"/>
            <w:left w:val="none" w:sz="0" w:space="0" w:color="auto"/>
            <w:bottom w:val="none" w:sz="0" w:space="0" w:color="auto"/>
            <w:right w:val="none" w:sz="0" w:space="0" w:color="auto"/>
          </w:divBdr>
        </w:div>
        <w:div w:id="913931412">
          <w:marLeft w:val="640"/>
          <w:marRight w:val="0"/>
          <w:marTop w:val="0"/>
          <w:marBottom w:val="0"/>
          <w:divBdr>
            <w:top w:val="none" w:sz="0" w:space="0" w:color="auto"/>
            <w:left w:val="none" w:sz="0" w:space="0" w:color="auto"/>
            <w:bottom w:val="none" w:sz="0" w:space="0" w:color="auto"/>
            <w:right w:val="none" w:sz="0" w:space="0" w:color="auto"/>
          </w:divBdr>
        </w:div>
        <w:div w:id="272790695">
          <w:marLeft w:val="640"/>
          <w:marRight w:val="0"/>
          <w:marTop w:val="0"/>
          <w:marBottom w:val="0"/>
          <w:divBdr>
            <w:top w:val="none" w:sz="0" w:space="0" w:color="auto"/>
            <w:left w:val="none" w:sz="0" w:space="0" w:color="auto"/>
            <w:bottom w:val="none" w:sz="0" w:space="0" w:color="auto"/>
            <w:right w:val="none" w:sz="0" w:space="0" w:color="auto"/>
          </w:divBdr>
        </w:div>
        <w:div w:id="1797259592">
          <w:marLeft w:val="640"/>
          <w:marRight w:val="0"/>
          <w:marTop w:val="0"/>
          <w:marBottom w:val="0"/>
          <w:divBdr>
            <w:top w:val="none" w:sz="0" w:space="0" w:color="auto"/>
            <w:left w:val="none" w:sz="0" w:space="0" w:color="auto"/>
            <w:bottom w:val="none" w:sz="0" w:space="0" w:color="auto"/>
            <w:right w:val="none" w:sz="0" w:space="0" w:color="auto"/>
          </w:divBdr>
        </w:div>
        <w:div w:id="1701934550">
          <w:marLeft w:val="640"/>
          <w:marRight w:val="0"/>
          <w:marTop w:val="0"/>
          <w:marBottom w:val="0"/>
          <w:divBdr>
            <w:top w:val="none" w:sz="0" w:space="0" w:color="auto"/>
            <w:left w:val="none" w:sz="0" w:space="0" w:color="auto"/>
            <w:bottom w:val="none" w:sz="0" w:space="0" w:color="auto"/>
            <w:right w:val="none" w:sz="0" w:space="0" w:color="auto"/>
          </w:divBdr>
        </w:div>
        <w:div w:id="828210994">
          <w:marLeft w:val="640"/>
          <w:marRight w:val="0"/>
          <w:marTop w:val="0"/>
          <w:marBottom w:val="0"/>
          <w:divBdr>
            <w:top w:val="none" w:sz="0" w:space="0" w:color="auto"/>
            <w:left w:val="none" w:sz="0" w:space="0" w:color="auto"/>
            <w:bottom w:val="none" w:sz="0" w:space="0" w:color="auto"/>
            <w:right w:val="none" w:sz="0" w:space="0" w:color="auto"/>
          </w:divBdr>
        </w:div>
        <w:div w:id="20085769">
          <w:marLeft w:val="640"/>
          <w:marRight w:val="0"/>
          <w:marTop w:val="0"/>
          <w:marBottom w:val="0"/>
          <w:divBdr>
            <w:top w:val="none" w:sz="0" w:space="0" w:color="auto"/>
            <w:left w:val="none" w:sz="0" w:space="0" w:color="auto"/>
            <w:bottom w:val="none" w:sz="0" w:space="0" w:color="auto"/>
            <w:right w:val="none" w:sz="0" w:space="0" w:color="auto"/>
          </w:divBdr>
        </w:div>
        <w:div w:id="670648008">
          <w:marLeft w:val="640"/>
          <w:marRight w:val="0"/>
          <w:marTop w:val="0"/>
          <w:marBottom w:val="0"/>
          <w:divBdr>
            <w:top w:val="none" w:sz="0" w:space="0" w:color="auto"/>
            <w:left w:val="none" w:sz="0" w:space="0" w:color="auto"/>
            <w:bottom w:val="none" w:sz="0" w:space="0" w:color="auto"/>
            <w:right w:val="none" w:sz="0" w:space="0" w:color="auto"/>
          </w:divBdr>
        </w:div>
        <w:div w:id="141196174">
          <w:marLeft w:val="640"/>
          <w:marRight w:val="0"/>
          <w:marTop w:val="0"/>
          <w:marBottom w:val="0"/>
          <w:divBdr>
            <w:top w:val="none" w:sz="0" w:space="0" w:color="auto"/>
            <w:left w:val="none" w:sz="0" w:space="0" w:color="auto"/>
            <w:bottom w:val="none" w:sz="0" w:space="0" w:color="auto"/>
            <w:right w:val="none" w:sz="0" w:space="0" w:color="auto"/>
          </w:divBdr>
        </w:div>
        <w:div w:id="673844685">
          <w:marLeft w:val="640"/>
          <w:marRight w:val="0"/>
          <w:marTop w:val="0"/>
          <w:marBottom w:val="0"/>
          <w:divBdr>
            <w:top w:val="none" w:sz="0" w:space="0" w:color="auto"/>
            <w:left w:val="none" w:sz="0" w:space="0" w:color="auto"/>
            <w:bottom w:val="none" w:sz="0" w:space="0" w:color="auto"/>
            <w:right w:val="none" w:sz="0" w:space="0" w:color="auto"/>
          </w:divBdr>
        </w:div>
        <w:div w:id="382948867">
          <w:marLeft w:val="640"/>
          <w:marRight w:val="0"/>
          <w:marTop w:val="0"/>
          <w:marBottom w:val="0"/>
          <w:divBdr>
            <w:top w:val="none" w:sz="0" w:space="0" w:color="auto"/>
            <w:left w:val="none" w:sz="0" w:space="0" w:color="auto"/>
            <w:bottom w:val="none" w:sz="0" w:space="0" w:color="auto"/>
            <w:right w:val="none" w:sz="0" w:space="0" w:color="auto"/>
          </w:divBdr>
        </w:div>
        <w:div w:id="1964119732">
          <w:marLeft w:val="640"/>
          <w:marRight w:val="0"/>
          <w:marTop w:val="0"/>
          <w:marBottom w:val="0"/>
          <w:divBdr>
            <w:top w:val="none" w:sz="0" w:space="0" w:color="auto"/>
            <w:left w:val="none" w:sz="0" w:space="0" w:color="auto"/>
            <w:bottom w:val="none" w:sz="0" w:space="0" w:color="auto"/>
            <w:right w:val="none" w:sz="0" w:space="0" w:color="auto"/>
          </w:divBdr>
        </w:div>
        <w:div w:id="1058020499">
          <w:marLeft w:val="640"/>
          <w:marRight w:val="0"/>
          <w:marTop w:val="0"/>
          <w:marBottom w:val="0"/>
          <w:divBdr>
            <w:top w:val="none" w:sz="0" w:space="0" w:color="auto"/>
            <w:left w:val="none" w:sz="0" w:space="0" w:color="auto"/>
            <w:bottom w:val="none" w:sz="0" w:space="0" w:color="auto"/>
            <w:right w:val="none" w:sz="0" w:space="0" w:color="auto"/>
          </w:divBdr>
        </w:div>
        <w:div w:id="1659308781">
          <w:marLeft w:val="640"/>
          <w:marRight w:val="0"/>
          <w:marTop w:val="0"/>
          <w:marBottom w:val="0"/>
          <w:divBdr>
            <w:top w:val="none" w:sz="0" w:space="0" w:color="auto"/>
            <w:left w:val="none" w:sz="0" w:space="0" w:color="auto"/>
            <w:bottom w:val="none" w:sz="0" w:space="0" w:color="auto"/>
            <w:right w:val="none" w:sz="0" w:space="0" w:color="auto"/>
          </w:divBdr>
        </w:div>
        <w:div w:id="2242705">
          <w:marLeft w:val="640"/>
          <w:marRight w:val="0"/>
          <w:marTop w:val="0"/>
          <w:marBottom w:val="0"/>
          <w:divBdr>
            <w:top w:val="none" w:sz="0" w:space="0" w:color="auto"/>
            <w:left w:val="none" w:sz="0" w:space="0" w:color="auto"/>
            <w:bottom w:val="none" w:sz="0" w:space="0" w:color="auto"/>
            <w:right w:val="none" w:sz="0" w:space="0" w:color="auto"/>
          </w:divBdr>
        </w:div>
        <w:div w:id="2116705757">
          <w:marLeft w:val="640"/>
          <w:marRight w:val="0"/>
          <w:marTop w:val="0"/>
          <w:marBottom w:val="0"/>
          <w:divBdr>
            <w:top w:val="none" w:sz="0" w:space="0" w:color="auto"/>
            <w:left w:val="none" w:sz="0" w:space="0" w:color="auto"/>
            <w:bottom w:val="none" w:sz="0" w:space="0" w:color="auto"/>
            <w:right w:val="none" w:sz="0" w:space="0" w:color="auto"/>
          </w:divBdr>
        </w:div>
        <w:div w:id="1125657464">
          <w:marLeft w:val="640"/>
          <w:marRight w:val="0"/>
          <w:marTop w:val="0"/>
          <w:marBottom w:val="0"/>
          <w:divBdr>
            <w:top w:val="none" w:sz="0" w:space="0" w:color="auto"/>
            <w:left w:val="none" w:sz="0" w:space="0" w:color="auto"/>
            <w:bottom w:val="none" w:sz="0" w:space="0" w:color="auto"/>
            <w:right w:val="none" w:sz="0" w:space="0" w:color="auto"/>
          </w:divBdr>
        </w:div>
        <w:div w:id="935164595">
          <w:marLeft w:val="640"/>
          <w:marRight w:val="0"/>
          <w:marTop w:val="0"/>
          <w:marBottom w:val="0"/>
          <w:divBdr>
            <w:top w:val="none" w:sz="0" w:space="0" w:color="auto"/>
            <w:left w:val="none" w:sz="0" w:space="0" w:color="auto"/>
            <w:bottom w:val="none" w:sz="0" w:space="0" w:color="auto"/>
            <w:right w:val="none" w:sz="0" w:space="0" w:color="auto"/>
          </w:divBdr>
        </w:div>
        <w:div w:id="1543009932">
          <w:marLeft w:val="640"/>
          <w:marRight w:val="0"/>
          <w:marTop w:val="0"/>
          <w:marBottom w:val="0"/>
          <w:divBdr>
            <w:top w:val="none" w:sz="0" w:space="0" w:color="auto"/>
            <w:left w:val="none" w:sz="0" w:space="0" w:color="auto"/>
            <w:bottom w:val="none" w:sz="0" w:space="0" w:color="auto"/>
            <w:right w:val="none" w:sz="0" w:space="0" w:color="auto"/>
          </w:divBdr>
        </w:div>
        <w:div w:id="688220593">
          <w:marLeft w:val="640"/>
          <w:marRight w:val="0"/>
          <w:marTop w:val="0"/>
          <w:marBottom w:val="0"/>
          <w:divBdr>
            <w:top w:val="none" w:sz="0" w:space="0" w:color="auto"/>
            <w:left w:val="none" w:sz="0" w:space="0" w:color="auto"/>
            <w:bottom w:val="none" w:sz="0" w:space="0" w:color="auto"/>
            <w:right w:val="none" w:sz="0" w:space="0" w:color="auto"/>
          </w:divBdr>
        </w:div>
        <w:div w:id="614214536">
          <w:marLeft w:val="640"/>
          <w:marRight w:val="0"/>
          <w:marTop w:val="0"/>
          <w:marBottom w:val="0"/>
          <w:divBdr>
            <w:top w:val="none" w:sz="0" w:space="0" w:color="auto"/>
            <w:left w:val="none" w:sz="0" w:space="0" w:color="auto"/>
            <w:bottom w:val="none" w:sz="0" w:space="0" w:color="auto"/>
            <w:right w:val="none" w:sz="0" w:space="0" w:color="auto"/>
          </w:divBdr>
        </w:div>
        <w:div w:id="151457319">
          <w:marLeft w:val="640"/>
          <w:marRight w:val="0"/>
          <w:marTop w:val="0"/>
          <w:marBottom w:val="0"/>
          <w:divBdr>
            <w:top w:val="none" w:sz="0" w:space="0" w:color="auto"/>
            <w:left w:val="none" w:sz="0" w:space="0" w:color="auto"/>
            <w:bottom w:val="none" w:sz="0" w:space="0" w:color="auto"/>
            <w:right w:val="none" w:sz="0" w:space="0" w:color="auto"/>
          </w:divBdr>
        </w:div>
        <w:div w:id="1695229698">
          <w:marLeft w:val="640"/>
          <w:marRight w:val="0"/>
          <w:marTop w:val="0"/>
          <w:marBottom w:val="0"/>
          <w:divBdr>
            <w:top w:val="none" w:sz="0" w:space="0" w:color="auto"/>
            <w:left w:val="none" w:sz="0" w:space="0" w:color="auto"/>
            <w:bottom w:val="none" w:sz="0" w:space="0" w:color="auto"/>
            <w:right w:val="none" w:sz="0" w:space="0" w:color="auto"/>
          </w:divBdr>
        </w:div>
        <w:div w:id="1728063828">
          <w:marLeft w:val="640"/>
          <w:marRight w:val="0"/>
          <w:marTop w:val="0"/>
          <w:marBottom w:val="0"/>
          <w:divBdr>
            <w:top w:val="none" w:sz="0" w:space="0" w:color="auto"/>
            <w:left w:val="none" w:sz="0" w:space="0" w:color="auto"/>
            <w:bottom w:val="none" w:sz="0" w:space="0" w:color="auto"/>
            <w:right w:val="none" w:sz="0" w:space="0" w:color="auto"/>
          </w:divBdr>
        </w:div>
        <w:div w:id="931623686">
          <w:marLeft w:val="640"/>
          <w:marRight w:val="0"/>
          <w:marTop w:val="0"/>
          <w:marBottom w:val="0"/>
          <w:divBdr>
            <w:top w:val="none" w:sz="0" w:space="0" w:color="auto"/>
            <w:left w:val="none" w:sz="0" w:space="0" w:color="auto"/>
            <w:bottom w:val="none" w:sz="0" w:space="0" w:color="auto"/>
            <w:right w:val="none" w:sz="0" w:space="0" w:color="auto"/>
          </w:divBdr>
        </w:div>
        <w:div w:id="2007852747">
          <w:marLeft w:val="640"/>
          <w:marRight w:val="0"/>
          <w:marTop w:val="0"/>
          <w:marBottom w:val="0"/>
          <w:divBdr>
            <w:top w:val="none" w:sz="0" w:space="0" w:color="auto"/>
            <w:left w:val="none" w:sz="0" w:space="0" w:color="auto"/>
            <w:bottom w:val="none" w:sz="0" w:space="0" w:color="auto"/>
            <w:right w:val="none" w:sz="0" w:space="0" w:color="auto"/>
          </w:divBdr>
        </w:div>
        <w:div w:id="1396708249">
          <w:marLeft w:val="640"/>
          <w:marRight w:val="0"/>
          <w:marTop w:val="0"/>
          <w:marBottom w:val="0"/>
          <w:divBdr>
            <w:top w:val="none" w:sz="0" w:space="0" w:color="auto"/>
            <w:left w:val="none" w:sz="0" w:space="0" w:color="auto"/>
            <w:bottom w:val="none" w:sz="0" w:space="0" w:color="auto"/>
            <w:right w:val="none" w:sz="0" w:space="0" w:color="auto"/>
          </w:divBdr>
        </w:div>
        <w:div w:id="747272049">
          <w:marLeft w:val="640"/>
          <w:marRight w:val="0"/>
          <w:marTop w:val="0"/>
          <w:marBottom w:val="0"/>
          <w:divBdr>
            <w:top w:val="none" w:sz="0" w:space="0" w:color="auto"/>
            <w:left w:val="none" w:sz="0" w:space="0" w:color="auto"/>
            <w:bottom w:val="none" w:sz="0" w:space="0" w:color="auto"/>
            <w:right w:val="none" w:sz="0" w:space="0" w:color="auto"/>
          </w:divBdr>
        </w:div>
        <w:div w:id="1737435739">
          <w:marLeft w:val="640"/>
          <w:marRight w:val="0"/>
          <w:marTop w:val="0"/>
          <w:marBottom w:val="0"/>
          <w:divBdr>
            <w:top w:val="none" w:sz="0" w:space="0" w:color="auto"/>
            <w:left w:val="none" w:sz="0" w:space="0" w:color="auto"/>
            <w:bottom w:val="none" w:sz="0" w:space="0" w:color="auto"/>
            <w:right w:val="none" w:sz="0" w:space="0" w:color="auto"/>
          </w:divBdr>
        </w:div>
        <w:div w:id="1793936476">
          <w:marLeft w:val="640"/>
          <w:marRight w:val="0"/>
          <w:marTop w:val="0"/>
          <w:marBottom w:val="0"/>
          <w:divBdr>
            <w:top w:val="none" w:sz="0" w:space="0" w:color="auto"/>
            <w:left w:val="none" w:sz="0" w:space="0" w:color="auto"/>
            <w:bottom w:val="none" w:sz="0" w:space="0" w:color="auto"/>
            <w:right w:val="none" w:sz="0" w:space="0" w:color="auto"/>
          </w:divBdr>
        </w:div>
        <w:div w:id="1302999368">
          <w:marLeft w:val="640"/>
          <w:marRight w:val="0"/>
          <w:marTop w:val="0"/>
          <w:marBottom w:val="0"/>
          <w:divBdr>
            <w:top w:val="none" w:sz="0" w:space="0" w:color="auto"/>
            <w:left w:val="none" w:sz="0" w:space="0" w:color="auto"/>
            <w:bottom w:val="none" w:sz="0" w:space="0" w:color="auto"/>
            <w:right w:val="none" w:sz="0" w:space="0" w:color="auto"/>
          </w:divBdr>
        </w:div>
        <w:div w:id="1804152787">
          <w:marLeft w:val="640"/>
          <w:marRight w:val="0"/>
          <w:marTop w:val="0"/>
          <w:marBottom w:val="0"/>
          <w:divBdr>
            <w:top w:val="none" w:sz="0" w:space="0" w:color="auto"/>
            <w:left w:val="none" w:sz="0" w:space="0" w:color="auto"/>
            <w:bottom w:val="none" w:sz="0" w:space="0" w:color="auto"/>
            <w:right w:val="none" w:sz="0" w:space="0" w:color="auto"/>
          </w:divBdr>
        </w:div>
        <w:div w:id="1074205314">
          <w:marLeft w:val="640"/>
          <w:marRight w:val="0"/>
          <w:marTop w:val="0"/>
          <w:marBottom w:val="0"/>
          <w:divBdr>
            <w:top w:val="none" w:sz="0" w:space="0" w:color="auto"/>
            <w:left w:val="none" w:sz="0" w:space="0" w:color="auto"/>
            <w:bottom w:val="none" w:sz="0" w:space="0" w:color="auto"/>
            <w:right w:val="none" w:sz="0" w:space="0" w:color="auto"/>
          </w:divBdr>
        </w:div>
        <w:div w:id="1970356980">
          <w:marLeft w:val="640"/>
          <w:marRight w:val="0"/>
          <w:marTop w:val="0"/>
          <w:marBottom w:val="0"/>
          <w:divBdr>
            <w:top w:val="none" w:sz="0" w:space="0" w:color="auto"/>
            <w:left w:val="none" w:sz="0" w:space="0" w:color="auto"/>
            <w:bottom w:val="none" w:sz="0" w:space="0" w:color="auto"/>
            <w:right w:val="none" w:sz="0" w:space="0" w:color="auto"/>
          </w:divBdr>
        </w:div>
        <w:div w:id="1299605238">
          <w:marLeft w:val="640"/>
          <w:marRight w:val="0"/>
          <w:marTop w:val="0"/>
          <w:marBottom w:val="0"/>
          <w:divBdr>
            <w:top w:val="none" w:sz="0" w:space="0" w:color="auto"/>
            <w:left w:val="none" w:sz="0" w:space="0" w:color="auto"/>
            <w:bottom w:val="none" w:sz="0" w:space="0" w:color="auto"/>
            <w:right w:val="none" w:sz="0" w:space="0" w:color="auto"/>
          </w:divBdr>
        </w:div>
        <w:div w:id="364720324">
          <w:marLeft w:val="640"/>
          <w:marRight w:val="0"/>
          <w:marTop w:val="0"/>
          <w:marBottom w:val="0"/>
          <w:divBdr>
            <w:top w:val="none" w:sz="0" w:space="0" w:color="auto"/>
            <w:left w:val="none" w:sz="0" w:space="0" w:color="auto"/>
            <w:bottom w:val="none" w:sz="0" w:space="0" w:color="auto"/>
            <w:right w:val="none" w:sz="0" w:space="0" w:color="auto"/>
          </w:divBdr>
        </w:div>
        <w:div w:id="486749660">
          <w:marLeft w:val="640"/>
          <w:marRight w:val="0"/>
          <w:marTop w:val="0"/>
          <w:marBottom w:val="0"/>
          <w:divBdr>
            <w:top w:val="none" w:sz="0" w:space="0" w:color="auto"/>
            <w:left w:val="none" w:sz="0" w:space="0" w:color="auto"/>
            <w:bottom w:val="none" w:sz="0" w:space="0" w:color="auto"/>
            <w:right w:val="none" w:sz="0" w:space="0" w:color="auto"/>
          </w:divBdr>
        </w:div>
        <w:div w:id="1206329582">
          <w:marLeft w:val="640"/>
          <w:marRight w:val="0"/>
          <w:marTop w:val="0"/>
          <w:marBottom w:val="0"/>
          <w:divBdr>
            <w:top w:val="none" w:sz="0" w:space="0" w:color="auto"/>
            <w:left w:val="none" w:sz="0" w:space="0" w:color="auto"/>
            <w:bottom w:val="none" w:sz="0" w:space="0" w:color="auto"/>
            <w:right w:val="none" w:sz="0" w:space="0" w:color="auto"/>
          </w:divBdr>
        </w:div>
        <w:div w:id="634217262">
          <w:marLeft w:val="640"/>
          <w:marRight w:val="0"/>
          <w:marTop w:val="0"/>
          <w:marBottom w:val="0"/>
          <w:divBdr>
            <w:top w:val="none" w:sz="0" w:space="0" w:color="auto"/>
            <w:left w:val="none" w:sz="0" w:space="0" w:color="auto"/>
            <w:bottom w:val="none" w:sz="0" w:space="0" w:color="auto"/>
            <w:right w:val="none" w:sz="0" w:space="0" w:color="auto"/>
          </w:divBdr>
        </w:div>
      </w:divsChild>
    </w:div>
    <w:div w:id="1506744235">
      <w:bodyDiv w:val="1"/>
      <w:marLeft w:val="0"/>
      <w:marRight w:val="0"/>
      <w:marTop w:val="0"/>
      <w:marBottom w:val="0"/>
      <w:divBdr>
        <w:top w:val="none" w:sz="0" w:space="0" w:color="auto"/>
        <w:left w:val="none" w:sz="0" w:space="0" w:color="auto"/>
        <w:bottom w:val="none" w:sz="0" w:space="0" w:color="auto"/>
        <w:right w:val="none" w:sz="0" w:space="0" w:color="auto"/>
      </w:divBdr>
      <w:divsChild>
        <w:div w:id="764349910">
          <w:marLeft w:val="640"/>
          <w:marRight w:val="0"/>
          <w:marTop w:val="0"/>
          <w:marBottom w:val="0"/>
          <w:divBdr>
            <w:top w:val="none" w:sz="0" w:space="0" w:color="auto"/>
            <w:left w:val="none" w:sz="0" w:space="0" w:color="auto"/>
            <w:bottom w:val="none" w:sz="0" w:space="0" w:color="auto"/>
            <w:right w:val="none" w:sz="0" w:space="0" w:color="auto"/>
          </w:divBdr>
        </w:div>
        <w:div w:id="1780107269">
          <w:marLeft w:val="640"/>
          <w:marRight w:val="0"/>
          <w:marTop w:val="0"/>
          <w:marBottom w:val="0"/>
          <w:divBdr>
            <w:top w:val="none" w:sz="0" w:space="0" w:color="auto"/>
            <w:left w:val="none" w:sz="0" w:space="0" w:color="auto"/>
            <w:bottom w:val="none" w:sz="0" w:space="0" w:color="auto"/>
            <w:right w:val="none" w:sz="0" w:space="0" w:color="auto"/>
          </w:divBdr>
        </w:div>
        <w:div w:id="131948845">
          <w:marLeft w:val="640"/>
          <w:marRight w:val="0"/>
          <w:marTop w:val="0"/>
          <w:marBottom w:val="0"/>
          <w:divBdr>
            <w:top w:val="none" w:sz="0" w:space="0" w:color="auto"/>
            <w:left w:val="none" w:sz="0" w:space="0" w:color="auto"/>
            <w:bottom w:val="none" w:sz="0" w:space="0" w:color="auto"/>
            <w:right w:val="none" w:sz="0" w:space="0" w:color="auto"/>
          </w:divBdr>
        </w:div>
        <w:div w:id="1016539941">
          <w:marLeft w:val="640"/>
          <w:marRight w:val="0"/>
          <w:marTop w:val="0"/>
          <w:marBottom w:val="0"/>
          <w:divBdr>
            <w:top w:val="none" w:sz="0" w:space="0" w:color="auto"/>
            <w:left w:val="none" w:sz="0" w:space="0" w:color="auto"/>
            <w:bottom w:val="none" w:sz="0" w:space="0" w:color="auto"/>
            <w:right w:val="none" w:sz="0" w:space="0" w:color="auto"/>
          </w:divBdr>
        </w:div>
        <w:div w:id="802894160">
          <w:marLeft w:val="640"/>
          <w:marRight w:val="0"/>
          <w:marTop w:val="0"/>
          <w:marBottom w:val="0"/>
          <w:divBdr>
            <w:top w:val="none" w:sz="0" w:space="0" w:color="auto"/>
            <w:left w:val="none" w:sz="0" w:space="0" w:color="auto"/>
            <w:bottom w:val="none" w:sz="0" w:space="0" w:color="auto"/>
            <w:right w:val="none" w:sz="0" w:space="0" w:color="auto"/>
          </w:divBdr>
        </w:div>
        <w:div w:id="594940229">
          <w:marLeft w:val="640"/>
          <w:marRight w:val="0"/>
          <w:marTop w:val="0"/>
          <w:marBottom w:val="0"/>
          <w:divBdr>
            <w:top w:val="none" w:sz="0" w:space="0" w:color="auto"/>
            <w:left w:val="none" w:sz="0" w:space="0" w:color="auto"/>
            <w:bottom w:val="none" w:sz="0" w:space="0" w:color="auto"/>
            <w:right w:val="none" w:sz="0" w:space="0" w:color="auto"/>
          </w:divBdr>
        </w:div>
        <w:div w:id="512688605">
          <w:marLeft w:val="640"/>
          <w:marRight w:val="0"/>
          <w:marTop w:val="0"/>
          <w:marBottom w:val="0"/>
          <w:divBdr>
            <w:top w:val="none" w:sz="0" w:space="0" w:color="auto"/>
            <w:left w:val="none" w:sz="0" w:space="0" w:color="auto"/>
            <w:bottom w:val="none" w:sz="0" w:space="0" w:color="auto"/>
            <w:right w:val="none" w:sz="0" w:space="0" w:color="auto"/>
          </w:divBdr>
        </w:div>
        <w:div w:id="1714846948">
          <w:marLeft w:val="640"/>
          <w:marRight w:val="0"/>
          <w:marTop w:val="0"/>
          <w:marBottom w:val="0"/>
          <w:divBdr>
            <w:top w:val="none" w:sz="0" w:space="0" w:color="auto"/>
            <w:left w:val="none" w:sz="0" w:space="0" w:color="auto"/>
            <w:bottom w:val="none" w:sz="0" w:space="0" w:color="auto"/>
            <w:right w:val="none" w:sz="0" w:space="0" w:color="auto"/>
          </w:divBdr>
        </w:div>
        <w:div w:id="729884039">
          <w:marLeft w:val="640"/>
          <w:marRight w:val="0"/>
          <w:marTop w:val="0"/>
          <w:marBottom w:val="0"/>
          <w:divBdr>
            <w:top w:val="none" w:sz="0" w:space="0" w:color="auto"/>
            <w:left w:val="none" w:sz="0" w:space="0" w:color="auto"/>
            <w:bottom w:val="none" w:sz="0" w:space="0" w:color="auto"/>
            <w:right w:val="none" w:sz="0" w:space="0" w:color="auto"/>
          </w:divBdr>
        </w:div>
        <w:div w:id="1691565443">
          <w:marLeft w:val="640"/>
          <w:marRight w:val="0"/>
          <w:marTop w:val="0"/>
          <w:marBottom w:val="0"/>
          <w:divBdr>
            <w:top w:val="none" w:sz="0" w:space="0" w:color="auto"/>
            <w:left w:val="none" w:sz="0" w:space="0" w:color="auto"/>
            <w:bottom w:val="none" w:sz="0" w:space="0" w:color="auto"/>
            <w:right w:val="none" w:sz="0" w:space="0" w:color="auto"/>
          </w:divBdr>
        </w:div>
        <w:div w:id="1917742627">
          <w:marLeft w:val="640"/>
          <w:marRight w:val="0"/>
          <w:marTop w:val="0"/>
          <w:marBottom w:val="0"/>
          <w:divBdr>
            <w:top w:val="none" w:sz="0" w:space="0" w:color="auto"/>
            <w:left w:val="none" w:sz="0" w:space="0" w:color="auto"/>
            <w:bottom w:val="none" w:sz="0" w:space="0" w:color="auto"/>
            <w:right w:val="none" w:sz="0" w:space="0" w:color="auto"/>
          </w:divBdr>
        </w:div>
        <w:div w:id="2017219978">
          <w:marLeft w:val="640"/>
          <w:marRight w:val="0"/>
          <w:marTop w:val="0"/>
          <w:marBottom w:val="0"/>
          <w:divBdr>
            <w:top w:val="none" w:sz="0" w:space="0" w:color="auto"/>
            <w:left w:val="none" w:sz="0" w:space="0" w:color="auto"/>
            <w:bottom w:val="none" w:sz="0" w:space="0" w:color="auto"/>
            <w:right w:val="none" w:sz="0" w:space="0" w:color="auto"/>
          </w:divBdr>
        </w:div>
        <w:div w:id="475227017">
          <w:marLeft w:val="640"/>
          <w:marRight w:val="0"/>
          <w:marTop w:val="0"/>
          <w:marBottom w:val="0"/>
          <w:divBdr>
            <w:top w:val="none" w:sz="0" w:space="0" w:color="auto"/>
            <w:left w:val="none" w:sz="0" w:space="0" w:color="auto"/>
            <w:bottom w:val="none" w:sz="0" w:space="0" w:color="auto"/>
            <w:right w:val="none" w:sz="0" w:space="0" w:color="auto"/>
          </w:divBdr>
        </w:div>
        <w:div w:id="146288656">
          <w:marLeft w:val="640"/>
          <w:marRight w:val="0"/>
          <w:marTop w:val="0"/>
          <w:marBottom w:val="0"/>
          <w:divBdr>
            <w:top w:val="none" w:sz="0" w:space="0" w:color="auto"/>
            <w:left w:val="none" w:sz="0" w:space="0" w:color="auto"/>
            <w:bottom w:val="none" w:sz="0" w:space="0" w:color="auto"/>
            <w:right w:val="none" w:sz="0" w:space="0" w:color="auto"/>
          </w:divBdr>
        </w:div>
        <w:div w:id="1294290478">
          <w:marLeft w:val="640"/>
          <w:marRight w:val="0"/>
          <w:marTop w:val="0"/>
          <w:marBottom w:val="0"/>
          <w:divBdr>
            <w:top w:val="none" w:sz="0" w:space="0" w:color="auto"/>
            <w:left w:val="none" w:sz="0" w:space="0" w:color="auto"/>
            <w:bottom w:val="none" w:sz="0" w:space="0" w:color="auto"/>
            <w:right w:val="none" w:sz="0" w:space="0" w:color="auto"/>
          </w:divBdr>
        </w:div>
        <w:div w:id="1723212286">
          <w:marLeft w:val="640"/>
          <w:marRight w:val="0"/>
          <w:marTop w:val="0"/>
          <w:marBottom w:val="0"/>
          <w:divBdr>
            <w:top w:val="none" w:sz="0" w:space="0" w:color="auto"/>
            <w:left w:val="none" w:sz="0" w:space="0" w:color="auto"/>
            <w:bottom w:val="none" w:sz="0" w:space="0" w:color="auto"/>
            <w:right w:val="none" w:sz="0" w:space="0" w:color="auto"/>
          </w:divBdr>
        </w:div>
        <w:div w:id="1273441314">
          <w:marLeft w:val="640"/>
          <w:marRight w:val="0"/>
          <w:marTop w:val="0"/>
          <w:marBottom w:val="0"/>
          <w:divBdr>
            <w:top w:val="none" w:sz="0" w:space="0" w:color="auto"/>
            <w:left w:val="none" w:sz="0" w:space="0" w:color="auto"/>
            <w:bottom w:val="none" w:sz="0" w:space="0" w:color="auto"/>
            <w:right w:val="none" w:sz="0" w:space="0" w:color="auto"/>
          </w:divBdr>
        </w:div>
        <w:div w:id="359169565">
          <w:marLeft w:val="640"/>
          <w:marRight w:val="0"/>
          <w:marTop w:val="0"/>
          <w:marBottom w:val="0"/>
          <w:divBdr>
            <w:top w:val="none" w:sz="0" w:space="0" w:color="auto"/>
            <w:left w:val="none" w:sz="0" w:space="0" w:color="auto"/>
            <w:bottom w:val="none" w:sz="0" w:space="0" w:color="auto"/>
            <w:right w:val="none" w:sz="0" w:space="0" w:color="auto"/>
          </w:divBdr>
        </w:div>
        <w:div w:id="1081026516">
          <w:marLeft w:val="640"/>
          <w:marRight w:val="0"/>
          <w:marTop w:val="0"/>
          <w:marBottom w:val="0"/>
          <w:divBdr>
            <w:top w:val="none" w:sz="0" w:space="0" w:color="auto"/>
            <w:left w:val="none" w:sz="0" w:space="0" w:color="auto"/>
            <w:bottom w:val="none" w:sz="0" w:space="0" w:color="auto"/>
            <w:right w:val="none" w:sz="0" w:space="0" w:color="auto"/>
          </w:divBdr>
        </w:div>
        <w:div w:id="46800222">
          <w:marLeft w:val="640"/>
          <w:marRight w:val="0"/>
          <w:marTop w:val="0"/>
          <w:marBottom w:val="0"/>
          <w:divBdr>
            <w:top w:val="none" w:sz="0" w:space="0" w:color="auto"/>
            <w:left w:val="none" w:sz="0" w:space="0" w:color="auto"/>
            <w:bottom w:val="none" w:sz="0" w:space="0" w:color="auto"/>
            <w:right w:val="none" w:sz="0" w:space="0" w:color="auto"/>
          </w:divBdr>
        </w:div>
        <w:div w:id="1776361550">
          <w:marLeft w:val="640"/>
          <w:marRight w:val="0"/>
          <w:marTop w:val="0"/>
          <w:marBottom w:val="0"/>
          <w:divBdr>
            <w:top w:val="none" w:sz="0" w:space="0" w:color="auto"/>
            <w:left w:val="none" w:sz="0" w:space="0" w:color="auto"/>
            <w:bottom w:val="none" w:sz="0" w:space="0" w:color="auto"/>
            <w:right w:val="none" w:sz="0" w:space="0" w:color="auto"/>
          </w:divBdr>
        </w:div>
        <w:div w:id="1414012334">
          <w:marLeft w:val="640"/>
          <w:marRight w:val="0"/>
          <w:marTop w:val="0"/>
          <w:marBottom w:val="0"/>
          <w:divBdr>
            <w:top w:val="none" w:sz="0" w:space="0" w:color="auto"/>
            <w:left w:val="none" w:sz="0" w:space="0" w:color="auto"/>
            <w:bottom w:val="none" w:sz="0" w:space="0" w:color="auto"/>
            <w:right w:val="none" w:sz="0" w:space="0" w:color="auto"/>
          </w:divBdr>
        </w:div>
        <w:div w:id="1144007671">
          <w:marLeft w:val="640"/>
          <w:marRight w:val="0"/>
          <w:marTop w:val="0"/>
          <w:marBottom w:val="0"/>
          <w:divBdr>
            <w:top w:val="none" w:sz="0" w:space="0" w:color="auto"/>
            <w:left w:val="none" w:sz="0" w:space="0" w:color="auto"/>
            <w:bottom w:val="none" w:sz="0" w:space="0" w:color="auto"/>
            <w:right w:val="none" w:sz="0" w:space="0" w:color="auto"/>
          </w:divBdr>
        </w:div>
        <w:div w:id="1109351892">
          <w:marLeft w:val="640"/>
          <w:marRight w:val="0"/>
          <w:marTop w:val="0"/>
          <w:marBottom w:val="0"/>
          <w:divBdr>
            <w:top w:val="none" w:sz="0" w:space="0" w:color="auto"/>
            <w:left w:val="none" w:sz="0" w:space="0" w:color="auto"/>
            <w:bottom w:val="none" w:sz="0" w:space="0" w:color="auto"/>
            <w:right w:val="none" w:sz="0" w:space="0" w:color="auto"/>
          </w:divBdr>
        </w:div>
        <w:div w:id="462773571">
          <w:marLeft w:val="640"/>
          <w:marRight w:val="0"/>
          <w:marTop w:val="0"/>
          <w:marBottom w:val="0"/>
          <w:divBdr>
            <w:top w:val="none" w:sz="0" w:space="0" w:color="auto"/>
            <w:left w:val="none" w:sz="0" w:space="0" w:color="auto"/>
            <w:bottom w:val="none" w:sz="0" w:space="0" w:color="auto"/>
            <w:right w:val="none" w:sz="0" w:space="0" w:color="auto"/>
          </w:divBdr>
        </w:div>
        <w:div w:id="819232055">
          <w:marLeft w:val="640"/>
          <w:marRight w:val="0"/>
          <w:marTop w:val="0"/>
          <w:marBottom w:val="0"/>
          <w:divBdr>
            <w:top w:val="none" w:sz="0" w:space="0" w:color="auto"/>
            <w:left w:val="none" w:sz="0" w:space="0" w:color="auto"/>
            <w:bottom w:val="none" w:sz="0" w:space="0" w:color="auto"/>
            <w:right w:val="none" w:sz="0" w:space="0" w:color="auto"/>
          </w:divBdr>
        </w:div>
        <w:div w:id="2051027143">
          <w:marLeft w:val="640"/>
          <w:marRight w:val="0"/>
          <w:marTop w:val="0"/>
          <w:marBottom w:val="0"/>
          <w:divBdr>
            <w:top w:val="none" w:sz="0" w:space="0" w:color="auto"/>
            <w:left w:val="none" w:sz="0" w:space="0" w:color="auto"/>
            <w:bottom w:val="none" w:sz="0" w:space="0" w:color="auto"/>
            <w:right w:val="none" w:sz="0" w:space="0" w:color="auto"/>
          </w:divBdr>
        </w:div>
        <w:div w:id="211114288">
          <w:marLeft w:val="640"/>
          <w:marRight w:val="0"/>
          <w:marTop w:val="0"/>
          <w:marBottom w:val="0"/>
          <w:divBdr>
            <w:top w:val="none" w:sz="0" w:space="0" w:color="auto"/>
            <w:left w:val="none" w:sz="0" w:space="0" w:color="auto"/>
            <w:bottom w:val="none" w:sz="0" w:space="0" w:color="auto"/>
            <w:right w:val="none" w:sz="0" w:space="0" w:color="auto"/>
          </w:divBdr>
        </w:div>
        <w:div w:id="332344547">
          <w:marLeft w:val="640"/>
          <w:marRight w:val="0"/>
          <w:marTop w:val="0"/>
          <w:marBottom w:val="0"/>
          <w:divBdr>
            <w:top w:val="none" w:sz="0" w:space="0" w:color="auto"/>
            <w:left w:val="none" w:sz="0" w:space="0" w:color="auto"/>
            <w:bottom w:val="none" w:sz="0" w:space="0" w:color="auto"/>
            <w:right w:val="none" w:sz="0" w:space="0" w:color="auto"/>
          </w:divBdr>
        </w:div>
        <w:div w:id="649408388">
          <w:marLeft w:val="640"/>
          <w:marRight w:val="0"/>
          <w:marTop w:val="0"/>
          <w:marBottom w:val="0"/>
          <w:divBdr>
            <w:top w:val="none" w:sz="0" w:space="0" w:color="auto"/>
            <w:left w:val="none" w:sz="0" w:space="0" w:color="auto"/>
            <w:bottom w:val="none" w:sz="0" w:space="0" w:color="auto"/>
            <w:right w:val="none" w:sz="0" w:space="0" w:color="auto"/>
          </w:divBdr>
        </w:div>
        <w:div w:id="1592856295">
          <w:marLeft w:val="640"/>
          <w:marRight w:val="0"/>
          <w:marTop w:val="0"/>
          <w:marBottom w:val="0"/>
          <w:divBdr>
            <w:top w:val="none" w:sz="0" w:space="0" w:color="auto"/>
            <w:left w:val="none" w:sz="0" w:space="0" w:color="auto"/>
            <w:bottom w:val="none" w:sz="0" w:space="0" w:color="auto"/>
            <w:right w:val="none" w:sz="0" w:space="0" w:color="auto"/>
          </w:divBdr>
        </w:div>
        <w:div w:id="897976310">
          <w:marLeft w:val="640"/>
          <w:marRight w:val="0"/>
          <w:marTop w:val="0"/>
          <w:marBottom w:val="0"/>
          <w:divBdr>
            <w:top w:val="none" w:sz="0" w:space="0" w:color="auto"/>
            <w:left w:val="none" w:sz="0" w:space="0" w:color="auto"/>
            <w:bottom w:val="none" w:sz="0" w:space="0" w:color="auto"/>
            <w:right w:val="none" w:sz="0" w:space="0" w:color="auto"/>
          </w:divBdr>
        </w:div>
        <w:div w:id="115754084">
          <w:marLeft w:val="640"/>
          <w:marRight w:val="0"/>
          <w:marTop w:val="0"/>
          <w:marBottom w:val="0"/>
          <w:divBdr>
            <w:top w:val="none" w:sz="0" w:space="0" w:color="auto"/>
            <w:left w:val="none" w:sz="0" w:space="0" w:color="auto"/>
            <w:bottom w:val="none" w:sz="0" w:space="0" w:color="auto"/>
            <w:right w:val="none" w:sz="0" w:space="0" w:color="auto"/>
          </w:divBdr>
        </w:div>
        <w:div w:id="535235644">
          <w:marLeft w:val="640"/>
          <w:marRight w:val="0"/>
          <w:marTop w:val="0"/>
          <w:marBottom w:val="0"/>
          <w:divBdr>
            <w:top w:val="none" w:sz="0" w:space="0" w:color="auto"/>
            <w:left w:val="none" w:sz="0" w:space="0" w:color="auto"/>
            <w:bottom w:val="none" w:sz="0" w:space="0" w:color="auto"/>
            <w:right w:val="none" w:sz="0" w:space="0" w:color="auto"/>
          </w:divBdr>
        </w:div>
        <w:div w:id="763308265">
          <w:marLeft w:val="640"/>
          <w:marRight w:val="0"/>
          <w:marTop w:val="0"/>
          <w:marBottom w:val="0"/>
          <w:divBdr>
            <w:top w:val="none" w:sz="0" w:space="0" w:color="auto"/>
            <w:left w:val="none" w:sz="0" w:space="0" w:color="auto"/>
            <w:bottom w:val="none" w:sz="0" w:space="0" w:color="auto"/>
            <w:right w:val="none" w:sz="0" w:space="0" w:color="auto"/>
          </w:divBdr>
        </w:div>
        <w:div w:id="6950717">
          <w:marLeft w:val="640"/>
          <w:marRight w:val="0"/>
          <w:marTop w:val="0"/>
          <w:marBottom w:val="0"/>
          <w:divBdr>
            <w:top w:val="none" w:sz="0" w:space="0" w:color="auto"/>
            <w:left w:val="none" w:sz="0" w:space="0" w:color="auto"/>
            <w:bottom w:val="none" w:sz="0" w:space="0" w:color="auto"/>
            <w:right w:val="none" w:sz="0" w:space="0" w:color="auto"/>
          </w:divBdr>
        </w:div>
        <w:div w:id="1228806581">
          <w:marLeft w:val="640"/>
          <w:marRight w:val="0"/>
          <w:marTop w:val="0"/>
          <w:marBottom w:val="0"/>
          <w:divBdr>
            <w:top w:val="none" w:sz="0" w:space="0" w:color="auto"/>
            <w:left w:val="none" w:sz="0" w:space="0" w:color="auto"/>
            <w:bottom w:val="none" w:sz="0" w:space="0" w:color="auto"/>
            <w:right w:val="none" w:sz="0" w:space="0" w:color="auto"/>
          </w:divBdr>
        </w:div>
        <w:div w:id="1015422389">
          <w:marLeft w:val="640"/>
          <w:marRight w:val="0"/>
          <w:marTop w:val="0"/>
          <w:marBottom w:val="0"/>
          <w:divBdr>
            <w:top w:val="none" w:sz="0" w:space="0" w:color="auto"/>
            <w:left w:val="none" w:sz="0" w:space="0" w:color="auto"/>
            <w:bottom w:val="none" w:sz="0" w:space="0" w:color="auto"/>
            <w:right w:val="none" w:sz="0" w:space="0" w:color="auto"/>
          </w:divBdr>
        </w:div>
        <w:div w:id="410733696">
          <w:marLeft w:val="640"/>
          <w:marRight w:val="0"/>
          <w:marTop w:val="0"/>
          <w:marBottom w:val="0"/>
          <w:divBdr>
            <w:top w:val="none" w:sz="0" w:space="0" w:color="auto"/>
            <w:left w:val="none" w:sz="0" w:space="0" w:color="auto"/>
            <w:bottom w:val="none" w:sz="0" w:space="0" w:color="auto"/>
            <w:right w:val="none" w:sz="0" w:space="0" w:color="auto"/>
          </w:divBdr>
        </w:div>
        <w:div w:id="586497628">
          <w:marLeft w:val="640"/>
          <w:marRight w:val="0"/>
          <w:marTop w:val="0"/>
          <w:marBottom w:val="0"/>
          <w:divBdr>
            <w:top w:val="none" w:sz="0" w:space="0" w:color="auto"/>
            <w:left w:val="none" w:sz="0" w:space="0" w:color="auto"/>
            <w:bottom w:val="none" w:sz="0" w:space="0" w:color="auto"/>
            <w:right w:val="none" w:sz="0" w:space="0" w:color="auto"/>
          </w:divBdr>
        </w:div>
        <w:div w:id="455367314">
          <w:marLeft w:val="640"/>
          <w:marRight w:val="0"/>
          <w:marTop w:val="0"/>
          <w:marBottom w:val="0"/>
          <w:divBdr>
            <w:top w:val="none" w:sz="0" w:space="0" w:color="auto"/>
            <w:left w:val="none" w:sz="0" w:space="0" w:color="auto"/>
            <w:bottom w:val="none" w:sz="0" w:space="0" w:color="auto"/>
            <w:right w:val="none" w:sz="0" w:space="0" w:color="auto"/>
          </w:divBdr>
        </w:div>
        <w:div w:id="263656335">
          <w:marLeft w:val="640"/>
          <w:marRight w:val="0"/>
          <w:marTop w:val="0"/>
          <w:marBottom w:val="0"/>
          <w:divBdr>
            <w:top w:val="none" w:sz="0" w:space="0" w:color="auto"/>
            <w:left w:val="none" w:sz="0" w:space="0" w:color="auto"/>
            <w:bottom w:val="none" w:sz="0" w:space="0" w:color="auto"/>
            <w:right w:val="none" w:sz="0" w:space="0" w:color="auto"/>
          </w:divBdr>
        </w:div>
        <w:div w:id="470682591">
          <w:marLeft w:val="640"/>
          <w:marRight w:val="0"/>
          <w:marTop w:val="0"/>
          <w:marBottom w:val="0"/>
          <w:divBdr>
            <w:top w:val="none" w:sz="0" w:space="0" w:color="auto"/>
            <w:left w:val="none" w:sz="0" w:space="0" w:color="auto"/>
            <w:bottom w:val="none" w:sz="0" w:space="0" w:color="auto"/>
            <w:right w:val="none" w:sz="0" w:space="0" w:color="auto"/>
          </w:divBdr>
        </w:div>
        <w:div w:id="545989382">
          <w:marLeft w:val="640"/>
          <w:marRight w:val="0"/>
          <w:marTop w:val="0"/>
          <w:marBottom w:val="0"/>
          <w:divBdr>
            <w:top w:val="none" w:sz="0" w:space="0" w:color="auto"/>
            <w:left w:val="none" w:sz="0" w:space="0" w:color="auto"/>
            <w:bottom w:val="none" w:sz="0" w:space="0" w:color="auto"/>
            <w:right w:val="none" w:sz="0" w:space="0" w:color="auto"/>
          </w:divBdr>
        </w:div>
        <w:div w:id="609170935">
          <w:marLeft w:val="640"/>
          <w:marRight w:val="0"/>
          <w:marTop w:val="0"/>
          <w:marBottom w:val="0"/>
          <w:divBdr>
            <w:top w:val="none" w:sz="0" w:space="0" w:color="auto"/>
            <w:left w:val="none" w:sz="0" w:space="0" w:color="auto"/>
            <w:bottom w:val="none" w:sz="0" w:space="0" w:color="auto"/>
            <w:right w:val="none" w:sz="0" w:space="0" w:color="auto"/>
          </w:divBdr>
        </w:div>
        <w:div w:id="1811747018">
          <w:marLeft w:val="640"/>
          <w:marRight w:val="0"/>
          <w:marTop w:val="0"/>
          <w:marBottom w:val="0"/>
          <w:divBdr>
            <w:top w:val="none" w:sz="0" w:space="0" w:color="auto"/>
            <w:left w:val="none" w:sz="0" w:space="0" w:color="auto"/>
            <w:bottom w:val="none" w:sz="0" w:space="0" w:color="auto"/>
            <w:right w:val="none" w:sz="0" w:space="0" w:color="auto"/>
          </w:divBdr>
        </w:div>
        <w:div w:id="911892211">
          <w:marLeft w:val="640"/>
          <w:marRight w:val="0"/>
          <w:marTop w:val="0"/>
          <w:marBottom w:val="0"/>
          <w:divBdr>
            <w:top w:val="none" w:sz="0" w:space="0" w:color="auto"/>
            <w:left w:val="none" w:sz="0" w:space="0" w:color="auto"/>
            <w:bottom w:val="none" w:sz="0" w:space="0" w:color="auto"/>
            <w:right w:val="none" w:sz="0" w:space="0" w:color="auto"/>
          </w:divBdr>
        </w:div>
        <w:div w:id="502672115">
          <w:marLeft w:val="640"/>
          <w:marRight w:val="0"/>
          <w:marTop w:val="0"/>
          <w:marBottom w:val="0"/>
          <w:divBdr>
            <w:top w:val="none" w:sz="0" w:space="0" w:color="auto"/>
            <w:left w:val="none" w:sz="0" w:space="0" w:color="auto"/>
            <w:bottom w:val="none" w:sz="0" w:space="0" w:color="auto"/>
            <w:right w:val="none" w:sz="0" w:space="0" w:color="auto"/>
          </w:divBdr>
        </w:div>
        <w:div w:id="535967729">
          <w:marLeft w:val="640"/>
          <w:marRight w:val="0"/>
          <w:marTop w:val="0"/>
          <w:marBottom w:val="0"/>
          <w:divBdr>
            <w:top w:val="none" w:sz="0" w:space="0" w:color="auto"/>
            <w:left w:val="none" w:sz="0" w:space="0" w:color="auto"/>
            <w:bottom w:val="none" w:sz="0" w:space="0" w:color="auto"/>
            <w:right w:val="none" w:sz="0" w:space="0" w:color="auto"/>
          </w:divBdr>
        </w:div>
        <w:div w:id="1891577612">
          <w:marLeft w:val="640"/>
          <w:marRight w:val="0"/>
          <w:marTop w:val="0"/>
          <w:marBottom w:val="0"/>
          <w:divBdr>
            <w:top w:val="none" w:sz="0" w:space="0" w:color="auto"/>
            <w:left w:val="none" w:sz="0" w:space="0" w:color="auto"/>
            <w:bottom w:val="none" w:sz="0" w:space="0" w:color="auto"/>
            <w:right w:val="none" w:sz="0" w:space="0" w:color="auto"/>
          </w:divBdr>
        </w:div>
        <w:div w:id="949580464">
          <w:marLeft w:val="640"/>
          <w:marRight w:val="0"/>
          <w:marTop w:val="0"/>
          <w:marBottom w:val="0"/>
          <w:divBdr>
            <w:top w:val="none" w:sz="0" w:space="0" w:color="auto"/>
            <w:left w:val="none" w:sz="0" w:space="0" w:color="auto"/>
            <w:bottom w:val="none" w:sz="0" w:space="0" w:color="auto"/>
            <w:right w:val="none" w:sz="0" w:space="0" w:color="auto"/>
          </w:divBdr>
        </w:div>
        <w:div w:id="564069717">
          <w:marLeft w:val="640"/>
          <w:marRight w:val="0"/>
          <w:marTop w:val="0"/>
          <w:marBottom w:val="0"/>
          <w:divBdr>
            <w:top w:val="none" w:sz="0" w:space="0" w:color="auto"/>
            <w:left w:val="none" w:sz="0" w:space="0" w:color="auto"/>
            <w:bottom w:val="none" w:sz="0" w:space="0" w:color="auto"/>
            <w:right w:val="none" w:sz="0" w:space="0" w:color="auto"/>
          </w:divBdr>
        </w:div>
        <w:div w:id="1406612993">
          <w:marLeft w:val="640"/>
          <w:marRight w:val="0"/>
          <w:marTop w:val="0"/>
          <w:marBottom w:val="0"/>
          <w:divBdr>
            <w:top w:val="none" w:sz="0" w:space="0" w:color="auto"/>
            <w:left w:val="none" w:sz="0" w:space="0" w:color="auto"/>
            <w:bottom w:val="none" w:sz="0" w:space="0" w:color="auto"/>
            <w:right w:val="none" w:sz="0" w:space="0" w:color="auto"/>
          </w:divBdr>
        </w:div>
        <w:div w:id="1924995946">
          <w:marLeft w:val="640"/>
          <w:marRight w:val="0"/>
          <w:marTop w:val="0"/>
          <w:marBottom w:val="0"/>
          <w:divBdr>
            <w:top w:val="none" w:sz="0" w:space="0" w:color="auto"/>
            <w:left w:val="none" w:sz="0" w:space="0" w:color="auto"/>
            <w:bottom w:val="none" w:sz="0" w:space="0" w:color="auto"/>
            <w:right w:val="none" w:sz="0" w:space="0" w:color="auto"/>
          </w:divBdr>
        </w:div>
        <w:div w:id="933171297">
          <w:marLeft w:val="640"/>
          <w:marRight w:val="0"/>
          <w:marTop w:val="0"/>
          <w:marBottom w:val="0"/>
          <w:divBdr>
            <w:top w:val="none" w:sz="0" w:space="0" w:color="auto"/>
            <w:left w:val="none" w:sz="0" w:space="0" w:color="auto"/>
            <w:bottom w:val="none" w:sz="0" w:space="0" w:color="auto"/>
            <w:right w:val="none" w:sz="0" w:space="0" w:color="auto"/>
          </w:divBdr>
        </w:div>
        <w:div w:id="1948846145">
          <w:marLeft w:val="640"/>
          <w:marRight w:val="0"/>
          <w:marTop w:val="0"/>
          <w:marBottom w:val="0"/>
          <w:divBdr>
            <w:top w:val="none" w:sz="0" w:space="0" w:color="auto"/>
            <w:left w:val="none" w:sz="0" w:space="0" w:color="auto"/>
            <w:bottom w:val="none" w:sz="0" w:space="0" w:color="auto"/>
            <w:right w:val="none" w:sz="0" w:space="0" w:color="auto"/>
          </w:divBdr>
        </w:div>
        <w:div w:id="2029720454">
          <w:marLeft w:val="640"/>
          <w:marRight w:val="0"/>
          <w:marTop w:val="0"/>
          <w:marBottom w:val="0"/>
          <w:divBdr>
            <w:top w:val="none" w:sz="0" w:space="0" w:color="auto"/>
            <w:left w:val="none" w:sz="0" w:space="0" w:color="auto"/>
            <w:bottom w:val="none" w:sz="0" w:space="0" w:color="auto"/>
            <w:right w:val="none" w:sz="0" w:space="0" w:color="auto"/>
          </w:divBdr>
        </w:div>
        <w:div w:id="2009939275">
          <w:marLeft w:val="640"/>
          <w:marRight w:val="0"/>
          <w:marTop w:val="0"/>
          <w:marBottom w:val="0"/>
          <w:divBdr>
            <w:top w:val="none" w:sz="0" w:space="0" w:color="auto"/>
            <w:left w:val="none" w:sz="0" w:space="0" w:color="auto"/>
            <w:bottom w:val="none" w:sz="0" w:space="0" w:color="auto"/>
            <w:right w:val="none" w:sz="0" w:space="0" w:color="auto"/>
          </w:divBdr>
        </w:div>
        <w:div w:id="187719013">
          <w:marLeft w:val="640"/>
          <w:marRight w:val="0"/>
          <w:marTop w:val="0"/>
          <w:marBottom w:val="0"/>
          <w:divBdr>
            <w:top w:val="none" w:sz="0" w:space="0" w:color="auto"/>
            <w:left w:val="none" w:sz="0" w:space="0" w:color="auto"/>
            <w:bottom w:val="none" w:sz="0" w:space="0" w:color="auto"/>
            <w:right w:val="none" w:sz="0" w:space="0" w:color="auto"/>
          </w:divBdr>
        </w:div>
        <w:div w:id="1282103088">
          <w:marLeft w:val="640"/>
          <w:marRight w:val="0"/>
          <w:marTop w:val="0"/>
          <w:marBottom w:val="0"/>
          <w:divBdr>
            <w:top w:val="none" w:sz="0" w:space="0" w:color="auto"/>
            <w:left w:val="none" w:sz="0" w:space="0" w:color="auto"/>
            <w:bottom w:val="none" w:sz="0" w:space="0" w:color="auto"/>
            <w:right w:val="none" w:sz="0" w:space="0" w:color="auto"/>
          </w:divBdr>
        </w:div>
        <w:div w:id="809633615">
          <w:marLeft w:val="640"/>
          <w:marRight w:val="0"/>
          <w:marTop w:val="0"/>
          <w:marBottom w:val="0"/>
          <w:divBdr>
            <w:top w:val="none" w:sz="0" w:space="0" w:color="auto"/>
            <w:left w:val="none" w:sz="0" w:space="0" w:color="auto"/>
            <w:bottom w:val="none" w:sz="0" w:space="0" w:color="auto"/>
            <w:right w:val="none" w:sz="0" w:space="0" w:color="auto"/>
          </w:divBdr>
        </w:div>
        <w:div w:id="60642082">
          <w:marLeft w:val="640"/>
          <w:marRight w:val="0"/>
          <w:marTop w:val="0"/>
          <w:marBottom w:val="0"/>
          <w:divBdr>
            <w:top w:val="none" w:sz="0" w:space="0" w:color="auto"/>
            <w:left w:val="none" w:sz="0" w:space="0" w:color="auto"/>
            <w:bottom w:val="none" w:sz="0" w:space="0" w:color="auto"/>
            <w:right w:val="none" w:sz="0" w:space="0" w:color="auto"/>
          </w:divBdr>
        </w:div>
        <w:div w:id="741221983">
          <w:marLeft w:val="640"/>
          <w:marRight w:val="0"/>
          <w:marTop w:val="0"/>
          <w:marBottom w:val="0"/>
          <w:divBdr>
            <w:top w:val="none" w:sz="0" w:space="0" w:color="auto"/>
            <w:left w:val="none" w:sz="0" w:space="0" w:color="auto"/>
            <w:bottom w:val="none" w:sz="0" w:space="0" w:color="auto"/>
            <w:right w:val="none" w:sz="0" w:space="0" w:color="auto"/>
          </w:divBdr>
        </w:div>
        <w:div w:id="1460757610">
          <w:marLeft w:val="640"/>
          <w:marRight w:val="0"/>
          <w:marTop w:val="0"/>
          <w:marBottom w:val="0"/>
          <w:divBdr>
            <w:top w:val="none" w:sz="0" w:space="0" w:color="auto"/>
            <w:left w:val="none" w:sz="0" w:space="0" w:color="auto"/>
            <w:bottom w:val="none" w:sz="0" w:space="0" w:color="auto"/>
            <w:right w:val="none" w:sz="0" w:space="0" w:color="auto"/>
          </w:divBdr>
        </w:div>
        <w:div w:id="462700184">
          <w:marLeft w:val="640"/>
          <w:marRight w:val="0"/>
          <w:marTop w:val="0"/>
          <w:marBottom w:val="0"/>
          <w:divBdr>
            <w:top w:val="none" w:sz="0" w:space="0" w:color="auto"/>
            <w:left w:val="none" w:sz="0" w:space="0" w:color="auto"/>
            <w:bottom w:val="none" w:sz="0" w:space="0" w:color="auto"/>
            <w:right w:val="none" w:sz="0" w:space="0" w:color="auto"/>
          </w:divBdr>
        </w:div>
        <w:div w:id="2145077162">
          <w:marLeft w:val="640"/>
          <w:marRight w:val="0"/>
          <w:marTop w:val="0"/>
          <w:marBottom w:val="0"/>
          <w:divBdr>
            <w:top w:val="none" w:sz="0" w:space="0" w:color="auto"/>
            <w:left w:val="none" w:sz="0" w:space="0" w:color="auto"/>
            <w:bottom w:val="none" w:sz="0" w:space="0" w:color="auto"/>
            <w:right w:val="none" w:sz="0" w:space="0" w:color="auto"/>
          </w:divBdr>
        </w:div>
        <w:div w:id="1542748233">
          <w:marLeft w:val="640"/>
          <w:marRight w:val="0"/>
          <w:marTop w:val="0"/>
          <w:marBottom w:val="0"/>
          <w:divBdr>
            <w:top w:val="none" w:sz="0" w:space="0" w:color="auto"/>
            <w:left w:val="none" w:sz="0" w:space="0" w:color="auto"/>
            <w:bottom w:val="none" w:sz="0" w:space="0" w:color="auto"/>
            <w:right w:val="none" w:sz="0" w:space="0" w:color="auto"/>
          </w:divBdr>
        </w:div>
        <w:div w:id="2106413189">
          <w:marLeft w:val="640"/>
          <w:marRight w:val="0"/>
          <w:marTop w:val="0"/>
          <w:marBottom w:val="0"/>
          <w:divBdr>
            <w:top w:val="none" w:sz="0" w:space="0" w:color="auto"/>
            <w:left w:val="none" w:sz="0" w:space="0" w:color="auto"/>
            <w:bottom w:val="none" w:sz="0" w:space="0" w:color="auto"/>
            <w:right w:val="none" w:sz="0" w:space="0" w:color="auto"/>
          </w:divBdr>
        </w:div>
        <w:div w:id="1301688735">
          <w:marLeft w:val="640"/>
          <w:marRight w:val="0"/>
          <w:marTop w:val="0"/>
          <w:marBottom w:val="0"/>
          <w:divBdr>
            <w:top w:val="none" w:sz="0" w:space="0" w:color="auto"/>
            <w:left w:val="none" w:sz="0" w:space="0" w:color="auto"/>
            <w:bottom w:val="none" w:sz="0" w:space="0" w:color="auto"/>
            <w:right w:val="none" w:sz="0" w:space="0" w:color="auto"/>
          </w:divBdr>
        </w:div>
        <w:div w:id="1969242865">
          <w:marLeft w:val="640"/>
          <w:marRight w:val="0"/>
          <w:marTop w:val="0"/>
          <w:marBottom w:val="0"/>
          <w:divBdr>
            <w:top w:val="none" w:sz="0" w:space="0" w:color="auto"/>
            <w:left w:val="none" w:sz="0" w:space="0" w:color="auto"/>
            <w:bottom w:val="none" w:sz="0" w:space="0" w:color="auto"/>
            <w:right w:val="none" w:sz="0" w:space="0" w:color="auto"/>
          </w:divBdr>
        </w:div>
        <w:div w:id="1260069039">
          <w:marLeft w:val="640"/>
          <w:marRight w:val="0"/>
          <w:marTop w:val="0"/>
          <w:marBottom w:val="0"/>
          <w:divBdr>
            <w:top w:val="none" w:sz="0" w:space="0" w:color="auto"/>
            <w:left w:val="none" w:sz="0" w:space="0" w:color="auto"/>
            <w:bottom w:val="none" w:sz="0" w:space="0" w:color="auto"/>
            <w:right w:val="none" w:sz="0" w:space="0" w:color="auto"/>
          </w:divBdr>
        </w:div>
        <w:div w:id="191234916">
          <w:marLeft w:val="640"/>
          <w:marRight w:val="0"/>
          <w:marTop w:val="0"/>
          <w:marBottom w:val="0"/>
          <w:divBdr>
            <w:top w:val="none" w:sz="0" w:space="0" w:color="auto"/>
            <w:left w:val="none" w:sz="0" w:space="0" w:color="auto"/>
            <w:bottom w:val="none" w:sz="0" w:space="0" w:color="auto"/>
            <w:right w:val="none" w:sz="0" w:space="0" w:color="auto"/>
          </w:divBdr>
        </w:div>
        <w:div w:id="1168902323">
          <w:marLeft w:val="640"/>
          <w:marRight w:val="0"/>
          <w:marTop w:val="0"/>
          <w:marBottom w:val="0"/>
          <w:divBdr>
            <w:top w:val="none" w:sz="0" w:space="0" w:color="auto"/>
            <w:left w:val="none" w:sz="0" w:space="0" w:color="auto"/>
            <w:bottom w:val="none" w:sz="0" w:space="0" w:color="auto"/>
            <w:right w:val="none" w:sz="0" w:space="0" w:color="auto"/>
          </w:divBdr>
        </w:div>
        <w:div w:id="2135564190">
          <w:marLeft w:val="640"/>
          <w:marRight w:val="0"/>
          <w:marTop w:val="0"/>
          <w:marBottom w:val="0"/>
          <w:divBdr>
            <w:top w:val="none" w:sz="0" w:space="0" w:color="auto"/>
            <w:left w:val="none" w:sz="0" w:space="0" w:color="auto"/>
            <w:bottom w:val="none" w:sz="0" w:space="0" w:color="auto"/>
            <w:right w:val="none" w:sz="0" w:space="0" w:color="auto"/>
          </w:divBdr>
        </w:div>
        <w:div w:id="1257013194">
          <w:marLeft w:val="640"/>
          <w:marRight w:val="0"/>
          <w:marTop w:val="0"/>
          <w:marBottom w:val="0"/>
          <w:divBdr>
            <w:top w:val="none" w:sz="0" w:space="0" w:color="auto"/>
            <w:left w:val="none" w:sz="0" w:space="0" w:color="auto"/>
            <w:bottom w:val="none" w:sz="0" w:space="0" w:color="auto"/>
            <w:right w:val="none" w:sz="0" w:space="0" w:color="auto"/>
          </w:divBdr>
        </w:div>
        <w:div w:id="1456603165">
          <w:marLeft w:val="640"/>
          <w:marRight w:val="0"/>
          <w:marTop w:val="0"/>
          <w:marBottom w:val="0"/>
          <w:divBdr>
            <w:top w:val="none" w:sz="0" w:space="0" w:color="auto"/>
            <w:left w:val="none" w:sz="0" w:space="0" w:color="auto"/>
            <w:bottom w:val="none" w:sz="0" w:space="0" w:color="auto"/>
            <w:right w:val="none" w:sz="0" w:space="0" w:color="auto"/>
          </w:divBdr>
        </w:div>
        <w:div w:id="1199853587">
          <w:marLeft w:val="640"/>
          <w:marRight w:val="0"/>
          <w:marTop w:val="0"/>
          <w:marBottom w:val="0"/>
          <w:divBdr>
            <w:top w:val="none" w:sz="0" w:space="0" w:color="auto"/>
            <w:left w:val="none" w:sz="0" w:space="0" w:color="auto"/>
            <w:bottom w:val="none" w:sz="0" w:space="0" w:color="auto"/>
            <w:right w:val="none" w:sz="0" w:space="0" w:color="auto"/>
          </w:divBdr>
        </w:div>
        <w:div w:id="1360814666">
          <w:marLeft w:val="640"/>
          <w:marRight w:val="0"/>
          <w:marTop w:val="0"/>
          <w:marBottom w:val="0"/>
          <w:divBdr>
            <w:top w:val="none" w:sz="0" w:space="0" w:color="auto"/>
            <w:left w:val="none" w:sz="0" w:space="0" w:color="auto"/>
            <w:bottom w:val="none" w:sz="0" w:space="0" w:color="auto"/>
            <w:right w:val="none" w:sz="0" w:space="0" w:color="auto"/>
          </w:divBdr>
        </w:div>
        <w:div w:id="1733969321">
          <w:marLeft w:val="640"/>
          <w:marRight w:val="0"/>
          <w:marTop w:val="0"/>
          <w:marBottom w:val="0"/>
          <w:divBdr>
            <w:top w:val="none" w:sz="0" w:space="0" w:color="auto"/>
            <w:left w:val="none" w:sz="0" w:space="0" w:color="auto"/>
            <w:bottom w:val="none" w:sz="0" w:space="0" w:color="auto"/>
            <w:right w:val="none" w:sz="0" w:space="0" w:color="auto"/>
          </w:divBdr>
        </w:div>
        <w:div w:id="1630277654">
          <w:marLeft w:val="640"/>
          <w:marRight w:val="0"/>
          <w:marTop w:val="0"/>
          <w:marBottom w:val="0"/>
          <w:divBdr>
            <w:top w:val="none" w:sz="0" w:space="0" w:color="auto"/>
            <w:left w:val="none" w:sz="0" w:space="0" w:color="auto"/>
            <w:bottom w:val="none" w:sz="0" w:space="0" w:color="auto"/>
            <w:right w:val="none" w:sz="0" w:space="0" w:color="auto"/>
          </w:divBdr>
        </w:div>
        <w:div w:id="1150950271">
          <w:marLeft w:val="640"/>
          <w:marRight w:val="0"/>
          <w:marTop w:val="0"/>
          <w:marBottom w:val="0"/>
          <w:divBdr>
            <w:top w:val="none" w:sz="0" w:space="0" w:color="auto"/>
            <w:left w:val="none" w:sz="0" w:space="0" w:color="auto"/>
            <w:bottom w:val="none" w:sz="0" w:space="0" w:color="auto"/>
            <w:right w:val="none" w:sz="0" w:space="0" w:color="auto"/>
          </w:divBdr>
        </w:div>
        <w:div w:id="710572781">
          <w:marLeft w:val="640"/>
          <w:marRight w:val="0"/>
          <w:marTop w:val="0"/>
          <w:marBottom w:val="0"/>
          <w:divBdr>
            <w:top w:val="none" w:sz="0" w:space="0" w:color="auto"/>
            <w:left w:val="none" w:sz="0" w:space="0" w:color="auto"/>
            <w:bottom w:val="none" w:sz="0" w:space="0" w:color="auto"/>
            <w:right w:val="none" w:sz="0" w:space="0" w:color="auto"/>
          </w:divBdr>
        </w:div>
        <w:div w:id="994915668">
          <w:marLeft w:val="640"/>
          <w:marRight w:val="0"/>
          <w:marTop w:val="0"/>
          <w:marBottom w:val="0"/>
          <w:divBdr>
            <w:top w:val="none" w:sz="0" w:space="0" w:color="auto"/>
            <w:left w:val="none" w:sz="0" w:space="0" w:color="auto"/>
            <w:bottom w:val="none" w:sz="0" w:space="0" w:color="auto"/>
            <w:right w:val="none" w:sz="0" w:space="0" w:color="auto"/>
          </w:divBdr>
        </w:div>
        <w:div w:id="1782609198">
          <w:marLeft w:val="640"/>
          <w:marRight w:val="0"/>
          <w:marTop w:val="0"/>
          <w:marBottom w:val="0"/>
          <w:divBdr>
            <w:top w:val="none" w:sz="0" w:space="0" w:color="auto"/>
            <w:left w:val="none" w:sz="0" w:space="0" w:color="auto"/>
            <w:bottom w:val="none" w:sz="0" w:space="0" w:color="auto"/>
            <w:right w:val="none" w:sz="0" w:space="0" w:color="auto"/>
          </w:divBdr>
        </w:div>
        <w:div w:id="193731625">
          <w:marLeft w:val="640"/>
          <w:marRight w:val="0"/>
          <w:marTop w:val="0"/>
          <w:marBottom w:val="0"/>
          <w:divBdr>
            <w:top w:val="none" w:sz="0" w:space="0" w:color="auto"/>
            <w:left w:val="none" w:sz="0" w:space="0" w:color="auto"/>
            <w:bottom w:val="none" w:sz="0" w:space="0" w:color="auto"/>
            <w:right w:val="none" w:sz="0" w:space="0" w:color="auto"/>
          </w:divBdr>
        </w:div>
        <w:div w:id="895241063">
          <w:marLeft w:val="640"/>
          <w:marRight w:val="0"/>
          <w:marTop w:val="0"/>
          <w:marBottom w:val="0"/>
          <w:divBdr>
            <w:top w:val="none" w:sz="0" w:space="0" w:color="auto"/>
            <w:left w:val="none" w:sz="0" w:space="0" w:color="auto"/>
            <w:bottom w:val="none" w:sz="0" w:space="0" w:color="auto"/>
            <w:right w:val="none" w:sz="0" w:space="0" w:color="auto"/>
          </w:divBdr>
        </w:div>
        <w:div w:id="804390188">
          <w:marLeft w:val="640"/>
          <w:marRight w:val="0"/>
          <w:marTop w:val="0"/>
          <w:marBottom w:val="0"/>
          <w:divBdr>
            <w:top w:val="none" w:sz="0" w:space="0" w:color="auto"/>
            <w:left w:val="none" w:sz="0" w:space="0" w:color="auto"/>
            <w:bottom w:val="none" w:sz="0" w:space="0" w:color="auto"/>
            <w:right w:val="none" w:sz="0" w:space="0" w:color="auto"/>
          </w:divBdr>
        </w:div>
        <w:div w:id="536281697">
          <w:marLeft w:val="640"/>
          <w:marRight w:val="0"/>
          <w:marTop w:val="0"/>
          <w:marBottom w:val="0"/>
          <w:divBdr>
            <w:top w:val="none" w:sz="0" w:space="0" w:color="auto"/>
            <w:left w:val="none" w:sz="0" w:space="0" w:color="auto"/>
            <w:bottom w:val="none" w:sz="0" w:space="0" w:color="auto"/>
            <w:right w:val="none" w:sz="0" w:space="0" w:color="auto"/>
          </w:divBdr>
        </w:div>
        <w:div w:id="746727253">
          <w:marLeft w:val="640"/>
          <w:marRight w:val="0"/>
          <w:marTop w:val="0"/>
          <w:marBottom w:val="0"/>
          <w:divBdr>
            <w:top w:val="none" w:sz="0" w:space="0" w:color="auto"/>
            <w:left w:val="none" w:sz="0" w:space="0" w:color="auto"/>
            <w:bottom w:val="none" w:sz="0" w:space="0" w:color="auto"/>
            <w:right w:val="none" w:sz="0" w:space="0" w:color="auto"/>
          </w:divBdr>
        </w:div>
        <w:div w:id="88233032">
          <w:marLeft w:val="640"/>
          <w:marRight w:val="0"/>
          <w:marTop w:val="0"/>
          <w:marBottom w:val="0"/>
          <w:divBdr>
            <w:top w:val="none" w:sz="0" w:space="0" w:color="auto"/>
            <w:left w:val="none" w:sz="0" w:space="0" w:color="auto"/>
            <w:bottom w:val="none" w:sz="0" w:space="0" w:color="auto"/>
            <w:right w:val="none" w:sz="0" w:space="0" w:color="auto"/>
          </w:divBdr>
        </w:div>
        <w:div w:id="90971635">
          <w:marLeft w:val="640"/>
          <w:marRight w:val="0"/>
          <w:marTop w:val="0"/>
          <w:marBottom w:val="0"/>
          <w:divBdr>
            <w:top w:val="none" w:sz="0" w:space="0" w:color="auto"/>
            <w:left w:val="none" w:sz="0" w:space="0" w:color="auto"/>
            <w:bottom w:val="none" w:sz="0" w:space="0" w:color="auto"/>
            <w:right w:val="none" w:sz="0" w:space="0" w:color="auto"/>
          </w:divBdr>
        </w:div>
        <w:div w:id="1476991425">
          <w:marLeft w:val="640"/>
          <w:marRight w:val="0"/>
          <w:marTop w:val="0"/>
          <w:marBottom w:val="0"/>
          <w:divBdr>
            <w:top w:val="none" w:sz="0" w:space="0" w:color="auto"/>
            <w:left w:val="none" w:sz="0" w:space="0" w:color="auto"/>
            <w:bottom w:val="none" w:sz="0" w:space="0" w:color="auto"/>
            <w:right w:val="none" w:sz="0" w:space="0" w:color="auto"/>
          </w:divBdr>
        </w:div>
        <w:div w:id="168839785">
          <w:marLeft w:val="640"/>
          <w:marRight w:val="0"/>
          <w:marTop w:val="0"/>
          <w:marBottom w:val="0"/>
          <w:divBdr>
            <w:top w:val="none" w:sz="0" w:space="0" w:color="auto"/>
            <w:left w:val="none" w:sz="0" w:space="0" w:color="auto"/>
            <w:bottom w:val="none" w:sz="0" w:space="0" w:color="auto"/>
            <w:right w:val="none" w:sz="0" w:space="0" w:color="auto"/>
          </w:divBdr>
        </w:div>
        <w:div w:id="1155102313">
          <w:marLeft w:val="640"/>
          <w:marRight w:val="0"/>
          <w:marTop w:val="0"/>
          <w:marBottom w:val="0"/>
          <w:divBdr>
            <w:top w:val="none" w:sz="0" w:space="0" w:color="auto"/>
            <w:left w:val="none" w:sz="0" w:space="0" w:color="auto"/>
            <w:bottom w:val="none" w:sz="0" w:space="0" w:color="auto"/>
            <w:right w:val="none" w:sz="0" w:space="0" w:color="auto"/>
          </w:divBdr>
        </w:div>
        <w:div w:id="1570505018">
          <w:marLeft w:val="640"/>
          <w:marRight w:val="0"/>
          <w:marTop w:val="0"/>
          <w:marBottom w:val="0"/>
          <w:divBdr>
            <w:top w:val="none" w:sz="0" w:space="0" w:color="auto"/>
            <w:left w:val="none" w:sz="0" w:space="0" w:color="auto"/>
            <w:bottom w:val="none" w:sz="0" w:space="0" w:color="auto"/>
            <w:right w:val="none" w:sz="0" w:space="0" w:color="auto"/>
          </w:divBdr>
        </w:div>
        <w:div w:id="1566988991">
          <w:marLeft w:val="640"/>
          <w:marRight w:val="0"/>
          <w:marTop w:val="0"/>
          <w:marBottom w:val="0"/>
          <w:divBdr>
            <w:top w:val="none" w:sz="0" w:space="0" w:color="auto"/>
            <w:left w:val="none" w:sz="0" w:space="0" w:color="auto"/>
            <w:bottom w:val="none" w:sz="0" w:space="0" w:color="auto"/>
            <w:right w:val="none" w:sz="0" w:space="0" w:color="auto"/>
          </w:divBdr>
        </w:div>
        <w:div w:id="123040182">
          <w:marLeft w:val="640"/>
          <w:marRight w:val="0"/>
          <w:marTop w:val="0"/>
          <w:marBottom w:val="0"/>
          <w:divBdr>
            <w:top w:val="none" w:sz="0" w:space="0" w:color="auto"/>
            <w:left w:val="none" w:sz="0" w:space="0" w:color="auto"/>
            <w:bottom w:val="none" w:sz="0" w:space="0" w:color="auto"/>
            <w:right w:val="none" w:sz="0" w:space="0" w:color="auto"/>
          </w:divBdr>
        </w:div>
        <w:div w:id="1375036574">
          <w:marLeft w:val="640"/>
          <w:marRight w:val="0"/>
          <w:marTop w:val="0"/>
          <w:marBottom w:val="0"/>
          <w:divBdr>
            <w:top w:val="none" w:sz="0" w:space="0" w:color="auto"/>
            <w:left w:val="none" w:sz="0" w:space="0" w:color="auto"/>
            <w:bottom w:val="none" w:sz="0" w:space="0" w:color="auto"/>
            <w:right w:val="none" w:sz="0" w:space="0" w:color="auto"/>
          </w:divBdr>
        </w:div>
        <w:div w:id="2147162348">
          <w:marLeft w:val="640"/>
          <w:marRight w:val="0"/>
          <w:marTop w:val="0"/>
          <w:marBottom w:val="0"/>
          <w:divBdr>
            <w:top w:val="none" w:sz="0" w:space="0" w:color="auto"/>
            <w:left w:val="none" w:sz="0" w:space="0" w:color="auto"/>
            <w:bottom w:val="none" w:sz="0" w:space="0" w:color="auto"/>
            <w:right w:val="none" w:sz="0" w:space="0" w:color="auto"/>
          </w:divBdr>
        </w:div>
        <w:div w:id="1127238766">
          <w:marLeft w:val="640"/>
          <w:marRight w:val="0"/>
          <w:marTop w:val="0"/>
          <w:marBottom w:val="0"/>
          <w:divBdr>
            <w:top w:val="none" w:sz="0" w:space="0" w:color="auto"/>
            <w:left w:val="none" w:sz="0" w:space="0" w:color="auto"/>
            <w:bottom w:val="none" w:sz="0" w:space="0" w:color="auto"/>
            <w:right w:val="none" w:sz="0" w:space="0" w:color="auto"/>
          </w:divBdr>
        </w:div>
        <w:div w:id="1602953818">
          <w:marLeft w:val="640"/>
          <w:marRight w:val="0"/>
          <w:marTop w:val="0"/>
          <w:marBottom w:val="0"/>
          <w:divBdr>
            <w:top w:val="none" w:sz="0" w:space="0" w:color="auto"/>
            <w:left w:val="none" w:sz="0" w:space="0" w:color="auto"/>
            <w:bottom w:val="none" w:sz="0" w:space="0" w:color="auto"/>
            <w:right w:val="none" w:sz="0" w:space="0" w:color="auto"/>
          </w:divBdr>
        </w:div>
        <w:div w:id="1614437565">
          <w:marLeft w:val="640"/>
          <w:marRight w:val="0"/>
          <w:marTop w:val="0"/>
          <w:marBottom w:val="0"/>
          <w:divBdr>
            <w:top w:val="none" w:sz="0" w:space="0" w:color="auto"/>
            <w:left w:val="none" w:sz="0" w:space="0" w:color="auto"/>
            <w:bottom w:val="none" w:sz="0" w:space="0" w:color="auto"/>
            <w:right w:val="none" w:sz="0" w:space="0" w:color="auto"/>
          </w:divBdr>
        </w:div>
        <w:div w:id="235822863">
          <w:marLeft w:val="640"/>
          <w:marRight w:val="0"/>
          <w:marTop w:val="0"/>
          <w:marBottom w:val="0"/>
          <w:divBdr>
            <w:top w:val="none" w:sz="0" w:space="0" w:color="auto"/>
            <w:left w:val="none" w:sz="0" w:space="0" w:color="auto"/>
            <w:bottom w:val="none" w:sz="0" w:space="0" w:color="auto"/>
            <w:right w:val="none" w:sz="0" w:space="0" w:color="auto"/>
          </w:divBdr>
        </w:div>
        <w:div w:id="573319261">
          <w:marLeft w:val="640"/>
          <w:marRight w:val="0"/>
          <w:marTop w:val="0"/>
          <w:marBottom w:val="0"/>
          <w:divBdr>
            <w:top w:val="none" w:sz="0" w:space="0" w:color="auto"/>
            <w:left w:val="none" w:sz="0" w:space="0" w:color="auto"/>
            <w:bottom w:val="none" w:sz="0" w:space="0" w:color="auto"/>
            <w:right w:val="none" w:sz="0" w:space="0" w:color="auto"/>
          </w:divBdr>
        </w:div>
        <w:div w:id="938871237">
          <w:marLeft w:val="640"/>
          <w:marRight w:val="0"/>
          <w:marTop w:val="0"/>
          <w:marBottom w:val="0"/>
          <w:divBdr>
            <w:top w:val="none" w:sz="0" w:space="0" w:color="auto"/>
            <w:left w:val="none" w:sz="0" w:space="0" w:color="auto"/>
            <w:bottom w:val="none" w:sz="0" w:space="0" w:color="auto"/>
            <w:right w:val="none" w:sz="0" w:space="0" w:color="auto"/>
          </w:divBdr>
        </w:div>
        <w:div w:id="2108957697">
          <w:marLeft w:val="640"/>
          <w:marRight w:val="0"/>
          <w:marTop w:val="0"/>
          <w:marBottom w:val="0"/>
          <w:divBdr>
            <w:top w:val="none" w:sz="0" w:space="0" w:color="auto"/>
            <w:left w:val="none" w:sz="0" w:space="0" w:color="auto"/>
            <w:bottom w:val="none" w:sz="0" w:space="0" w:color="auto"/>
            <w:right w:val="none" w:sz="0" w:space="0" w:color="auto"/>
          </w:divBdr>
        </w:div>
        <w:div w:id="600067688">
          <w:marLeft w:val="640"/>
          <w:marRight w:val="0"/>
          <w:marTop w:val="0"/>
          <w:marBottom w:val="0"/>
          <w:divBdr>
            <w:top w:val="none" w:sz="0" w:space="0" w:color="auto"/>
            <w:left w:val="none" w:sz="0" w:space="0" w:color="auto"/>
            <w:bottom w:val="none" w:sz="0" w:space="0" w:color="auto"/>
            <w:right w:val="none" w:sz="0" w:space="0" w:color="auto"/>
          </w:divBdr>
        </w:div>
        <w:div w:id="1114129506">
          <w:marLeft w:val="640"/>
          <w:marRight w:val="0"/>
          <w:marTop w:val="0"/>
          <w:marBottom w:val="0"/>
          <w:divBdr>
            <w:top w:val="none" w:sz="0" w:space="0" w:color="auto"/>
            <w:left w:val="none" w:sz="0" w:space="0" w:color="auto"/>
            <w:bottom w:val="none" w:sz="0" w:space="0" w:color="auto"/>
            <w:right w:val="none" w:sz="0" w:space="0" w:color="auto"/>
          </w:divBdr>
        </w:div>
        <w:div w:id="73481626">
          <w:marLeft w:val="640"/>
          <w:marRight w:val="0"/>
          <w:marTop w:val="0"/>
          <w:marBottom w:val="0"/>
          <w:divBdr>
            <w:top w:val="none" w:sz="0" w:space="0" w:color="auto"/>
            <w:left w:val="none" w:sz="0" w:space="0" w:color="auto"/>
            <w:bottom w:val="none" w:sz="0" w:space="0" w:color="auto"/>
            <w:right w:val="none" w:sz="0" w:space="0" w:color="auto"/>
          </w:divBdr>
        </w:div>
        <w:div w:id="1187518673">
          <w:marLeft w:val="640"/>
          <w:marRight w:val="0"/>
          <w:marTop w:val="0"/>
          <w:marBottom w:val="0"/>
          <w:divBdr>
            <w:top w:val="none" w:sz="0" w:space="0" w:color="auto"/>
            <w:left w:val="none" w:sz="0" w:space="0" w:color="auto"/>
            <w:bottom w:val="none" w:sz="0" w:space="0" w:color="auto"/>
            <w:right w:val="none" w:sz="0" w:space="0" w:color="auto"/>
          </w:divBdr>
        </w:div>
        <w:div w:id="555553858">
          <w:marLeft w:val="640"/>
          <w:marRight w:val="0"/>
          <w:marTop w:val="0"/>
          <w:marBottom w:val="0"/>
          <w:divBdr>
            <w:top w:val="none" w:sz="0" w:space="0" w:color="auto"/>
            <w:left w:val="none" w:sz="0" w:space="0" w:color="auto"/>
            <w:bottom w:val="none" w:sz="0" w:space="0" w:color="auto"/>
            <w:right w:val="none" w:sz="0" w:space="0" w:color="auto"/>
          </w:divBdr>
        </w:div>
        <w:div w:id="2118334082">
          <w:marLeft w:val="640"/>
          <w:marRight w:val="0"/>
          <w:marTop w:val="0"/>
          <w:marBottom w:val="0"/>
          <w:divBdr>
            <w:top w:val="none" w:sz="0" w:space="0" w:color="auto"/>
            <w:left w:val="none" w:sz="0" w:space="0" w:color="auto"/>
            <w:bottom w:val="none" w:sz="0" w:space="0" w:color="auto"/>
            <w:right w:val="none" w:sz="0" w:space="0" w:color="auto"/>
          </w:divBdr>
        </w:div>
        <w:div w:id="1112280797">
          <w:marLeft w:val="640"/>
          <w:marRight w:val="0"/>
          <w:marTop w:val="0"/>
          <w:marBottom w:val="0"/>
          <w:divBdr>
            <w:top w:val="none" w:sz="0" w:space="0" w:color="auto"/>
            <w:left w:val="none" w:sz="0" w:space="0" w:color="auto"/>
            <w:bottom w:val="none" w:sz="0" w:space="0" w:color="auto"/>
            <w:right w:val="none" w:sz="0" w:space="0" w:color="auto"/>
          </w:divBdr>
        </w:div>
      </w:divsChild>
    </w:div>
    <w:div w:id="1508403129">
      <w:bodyDiv w:val="1"/>
      <w:marLeft w:val="0"/>
      <w:marRight w:val="0"/>
      <w:marTop w:val="0"/>
      <w:marBottom w:val="0"/>
      <w:divBdr>
        <w:top w:val="none" w:sz="0" w:space="0" w:color="auto"/>
        <w:left w:val="none" w:sz="0" w:space="0" w:color="auto"/>
        <w:bottom w:val="none" w:sz="0" w:space="0" w:color="auto"/>
        <w:right w:val="none" w:sz="0" w:space="0" w:color="auto"/>
      </w:divBdr>
      <w:divsChild>
        <w:div w:id="2012487889">
          <w:marLeft w:val="640"/>
          <w:marRight w:val="0"/>
          <w:marTop w:val="0"/>
          <w:marBottom w:val="0"/>
          <w:divBdr>
            <w:top w:val="none" w:sz="0" w:space="0" w:color="auto"/>
            <w:left w:val="none" w:sz="0" w:space="0" w:color="auto"/>
            <w:bottom w:val="none" w:sz="0" w:space="0" w:color="auto"/>
            <w:right w:val="none" w:sz="0" w:space="0" w:color="auto"/>
          </w:divBdr>
        </w:div>
        <w:div w:id="1695838878">
          <w:marLeft w:val="640"/>
          <w:marRight w:val="0"/>
          <w:marTop w:val="0"/>
          <w:marBottom w:val="0"/>
          <w:divBdr>
            <w:top w:val="none" w:sz="0" w:space="0" w:color="auto"/>
            <w:left w:val="none" w:sz="0" w:space="0" w:color="auto"/>
            <w:bottom w:val="none" w:sz="0" w:space="0" w:color="auto"/>
            <w:right w:val="none" w:sz="0" w:space="0" w:color="auto"/>
          </w:divBdr>
        </w:div>
        <w:div w:id="1758745216">
          <w:marLeft w:val="640"/>
          <w:marRight w:val="0"/>
          <w:marTop w:val="0"/>
          <w:marBottom w:val="0"/>
          <w:divBdr>
            <w:top w:val="none" w:sz="0" w:space="0" w:color="auto"/>
            <w:left w:val="none" w:sz="0" w:space="0" w:color="auto"/>
            <w:bottom w:val="none" w:sz="0" w:space="0" w:color="auto"/>
            <w:right w:val="none" w:sz="0" w:space="0" w:color="auto"/>
          </w:divBdr>
        </w:div>
        <w:div w:id="1813013778">
          <w:marLeft w:val="640"/>
          <w:marRight w:val="0"/>
          <w:marTop w:val="0"/>
          <w:marBottom w:val="0"/>
          <w:divBdr>
            <w:top w:val="none" w:sz="0" w:space="0" w:color="auto"/>
            <w:left w:val="none" w:sz="0" w:space="0" w:color="auto"/>
            <w:bottom w:val="none" w:sz="0" w:space="0" w:color="auto"/>
            <w:right w:val="none" w:sz="0" w:space="0" w:color="auto"/>
          </w:divBdr>
        </w:div>
        <w:div w:id="345450968">
          <w:marLeft w:val="640"/>
          <w:marRight w:val="0"/>
          <w:marTop w:val="0"/>
          <w:marBottom w:val="0"/>
          <w:divBdr>
            <w:top w:val="none" w:sz="0" w:space="0" w:color="auto"/>
            <w:left w:val="none" w:sz="0" w:space="0" w:color="auto"/>
            <w:bottom w:val="none" w:sz="0" w:space="0" w:color="auto"/>
            <w:right w:val="none" w:sz="0" w:space="0" w:color="auto"/>
          </w:divBdr>
        </w:div>
        <w:div w:id="992566333">
          <w:marLeft w:val="640"/>
          <w:marRight w:val="0"/>
          <w:marTop w:val="0"/>
          <w:marBottom w:val="0"/>
          <w:divBdr>
            <w:top w:val="none" w:sz="0" w:space="0" w:color="auto"/>
            <w:left w:val="none" w:sz="0" w:space="0" w:color="auto"/>
            <w:bottom w:val="none" w:sz="0" w:space="0" w:color="auto"/>
            <w:right w:val="none" w:sz="0" w:space="0" w:color="auto"/>
          </w:divBdr>
        </w:div>
        <w:div w:id="572158629">
          <w:marLeft w:val="640"/>
          <w:marRight w:val="0"/>
          <w:marTop w:val="0"/>
          <w:marBottom w:val="0"/>
          <w:divBdr>
            <w:top w:val="none" w:sz="0" w:space="0" w:color="auto"/>
            <w:left w:val="none" w:sz="0" w:space="0" w:color="auto"/>
            <w:bottom w:val="none" w:sz="0" w:space="0" w:color="auto"/>
            <w:right w:val="none" w:sz="0" w:space="0" w:color="auto"/>
          </w:divBdr>
        </w:div>
        <w:div w:id="623124816">
          <w:marLeft w:val="640"/>
          <w:marRight w:val="0"/>
          <w:marTop w:val="0"/>
          <w:marBottom w:val="0"/>
          <w:divBdr>
            <w:top w:val="none" w:sz="0" w:space="0" w:color="auto"/>
            <w:left w:val="none" w:sz="0" w:space="0" w:color="auto"/>
            <w:bottom w:val="none" w:sz="0" w:space="0" w:color="auto"/>
            <w:right w:val="none" w:sz="0" w:space="0" w:color="auto"/>
          </w:divBdr>
        </w:div>
        <w:div w:id="1007833100">
          <w:marLeft w:val="640"/>
          <w:marRight w:val="0"/>
          <w:marTop w:val="0"/>
          <w:marBottom w:val="0"/>
          <w:divBdr>
            <w:top w:val="none" w:sz="0" w:space="0" w:color="auto"/>
            <w:left w:val="none" w:sz="0" w:space="0" w:color="auto"/>
            <w:bottom w:val="none" w:sz="0" w:space="0" w:color="auto"/>
            <w:right w:val="none" w:sz="0" w:space="0" w:color="auto"/>
          </w:divBdr>
        </w:div>
        <w:div w:id="332883044">
          <w:marLeft w:val="640"/>
          <w:marRight w:val="0"/>
          <w:marTop w:val="0"/>
          <w:marBottom w:val="0"/>
          <w:divBdr>
            <w:top w:val="none" w:sz="0" w:space="0" w:color="auto"/>
            <w:left w:val="none" w:sz="0" w:space="0" w:color="auto"/>
            <w:bottom w:val="none" w:sz="0" w:space="0" w:color="auto"/>
            <w:right w:val="none" w:sz="0" w:space="0" w:color="auto"/>
          </w:divBdr>
        </w:div>
        <w:div w:id="1143044925">
          <w:marLeft w:val="640"/>
          <w:marRight w:val="0"/>
          <w:marTop w:val="0"/>
          <w:marBottom w:val="0"/>
          <w:divBdr>
            <w:top w:val="none" w:sz="0" w:space="0" w:color="auto"/>
            <w:left w:val="none" w:sz="0" w:space="0" w:color="auto"/>
            <w:bottom w:val="none" w:sz="0" w:space="0" w:color="auto"/>
            <w:right w:val="none" w:sz="0" w:space="0" w:color="auto"/>
          </w:divBdr>
        </w:div>
        <w:div w:id="1644237951">
          <w:marLeft w:val="640"/>
          <w:marRight w:val="0"/>
          <w:marTop w:val="0"/>
          <w:marBottom w:val="0"/>
          <w:divBdr>
            <w:top w:val="none" w:sz="0" w:space="0" w:color="auto"/>
            <w:left w:val="none" w:sz="0" w:space="0" w:color="auto"/>
            <w:bottom w:val="none" w:sz="0" w:space="0" w:color="auto"/>
            <w:right w:val="none" w:sz="0" w:space="0" w:color="auto"/>
          </w:divBdr>
        </w:div>
        <w:div w:id="243220999">
          <w:marLeft w:val="640"/>
          <w:marRight w:val="0"/>
          <w:marTop w:val="0"/>
          <w:marBottom w:val="0"/>
          <w:divBdr>
            <w:top w:val="none" w:sz="0" w:space="0" w:color="auto"/>
            <w:left w:val="none" w:sz="0" w:space="0" w:color="auto"/>
            <w:bottom w:val="none" w:sz="0" w:space="0" w:color="auto"/>
            <w:right w:val="none" w:sz="0" w:space="0" w:color="auto"/>
          </w:divBdr>
        </w:div>
        <w:div w:id="350300255">
          <w:marLeft w:val="640"/>
          <w:marRight w:val="0"/>
          <w:marTop w:val="0"/>
          <w:marBottom w:val="0"/>
          <w:divBdr>
            <w:top w:val="none" w:sz="0" w:space="0" w:color="auto"/>
            <w:left w:val="none" w:sz="0" w:space="0" w:color="auto"/>
            <w:bottom w:val="none" w:sz="0" w:space="0" w:color="auto"/>
            <w:right w:val="none" w:sz="0" w:space="0" w:color="auto"/>
          </w:divBdr>
        </w:div>
        <w:div w:id="975377891">
          <w:marLeft w:val="640"/>
          <w:marRight w:val="0"/>
          <w:marTop w:val="0"/>
          <w:marBottom w:val="0"/>
          <w:divBdr>
            <w:top w:val="none" w:sz="0" w:space="0" w:color="auto"/>
            <w:left w:val="none" w:sz="0" w:space="0" w:color="auto"/>
            <w:bottom w:val="none" w:sz="0" w:space="0" w:color="auto"/>
            <w:right w:val="none" w:sz="0" w:space="0" w:color="auto"/>
          </w:divBdr>
        </w:div>
        <w:div w:id="767391938">
          <w:marLeft w:val="640"/>
          <w:marRight w:val="0"/>
          <w:marTop w:val="0"/>
          <w:marBottom w:val="0"/>
          <w:divBdr>
            <w:top w:val="none" w:sz="0" w:space="0" w:color="auto"/>
            <w:left w:val="none" w:sz="0" w:space="0" w:color="auto"/>
            <w:bottom w:val="none" w:sz="0" w:space="0" w:color="auto"/>
            <w:right w:val="none" w:sz="0" w:space="0" w:color="auto"/>
          </w:divBdr>
        </w:div>
        <w:div w:id="1129710792">
          <w:marLeft w:val="640"/>
          <w:marRight w:val="0"/>
          <w:marTop w:val="0"/>
          <w:marBottom w:val="0"/>
          <w:divBdr>
            <w:top w:val="none" w:sz="0" w:space="0" w:color="auto"/>
            <w:left w:val="none" w:sz="0" w:space="0" w:color="auto"/>
            <w:bottom w:val="none" w:sz="0" w:space="0" w:color="auto"/>
            <w:right w:val="none" w:sz="0" w:space="0" w:color="auto"/>
          </w:divBdr>
        </w:div>
        <w:div w:id="709913903">
          <w:marLeft w:val="640"/>
          <w:marRight w:val="0"/>
          <w:marTop w:val="0"/>
          <w:marBottom w:val="0"/>
          <w:divBdr>
            <w:top w:val="none" w:sz="0" w:space="0" w:color="auto"/>
            <w:left w:val="none" w:sz="0" w:space="0" w:color="auto"/>
            <w:bottom w:val="none" w:sz="0" w:space="0" w:color="auto"/>
            <w:right w:val="none" w:sz="0" w:space="0" w:color="auto"/>
          </w:divBdr>
        </w:div>
        <w:div w:id="463503239">
          <w:marLeft w:val="640"/>
          <w:marRight w:val="0"/>
          <w:marTop w:val="0"/>
          <w:marBottom w:val="0"/>
          <w:divBdr>
            <w:top w:val="none" w:sz="0" w:space="0" w:color="auto"/>
            <w:left w:val="none" w:sz="0" w:space="0" w:color="auto"/>
            <w:bottom w:val="none" w:sz="0" w:space="0" w:color="auto"/>
            <w:right w:val="none" w:sz="0" w:space="0" w:color="auto"/>
          </w:divBdr>
        </w:div>
        <w:div w:id="1410229687">
          <w:marLeft w:val="640"/>
          <w:marRight w:val="0"/>
          <w:marTop w:val="0"/>
          <w:marBottom w:val="0"/>
          <w:divBdr>
            <w:top w:val="none" w:sz="0" w:space="0" w:color="auto"/>
            <w:left w:val="none" w:sz="0" w:space="0" w:color="auto"/>
            <w:bottom w:val="none" w:sz="0" w:space="0" w:color="auto"/>
            <w:right w:val="none" w:sz="0" w:space="0" w:color="auto"/>
          </w:divBdr>
        </w:div>
        <w:div w:id="1045520133">
          <w:marLeft w:val="640"/>
          <w:marRight w:val="0"/>
          <w:marTop w:val="0"/>
          <w:marBottom w:val="0"/>
          <w:divBdr>
            <w:top w:val="none" w:sz="0" w:space="0" w:color="auto"/>
            <w:left w:val="none" w:sz="0" w:space="0" w:color="auto"/>
            <w:bottom w:val="none" w:sz="0" w:space="0" w:color="auto"/>
            <w:right w:val="none" w:sz="0" w:space="0" w:color="auto"/>
          </w:divBdr>
        </w:div>
        <w:div w:id="1835685589">
          <w:marLeft w:val="640"/>
          <w:marRight w:val="0"/>
          <w:marTop w:val="0"/>
          <w:marBottom w:val="0"/>
          <w:divBdr>
            <w:top w:val="none" w:sz="0" w:space="0" w:color="auto"/>
            <w:left w:val="none" w:sz="0" w:space="0" w:color="auto"/>
            <w:bottom w:val="none" w:sz="0" w:space="0" w:color="auto"/>
            <w:right w:val="none" w:sz="0" w:space="0" w:color="auto"/>
          </w:divBdr>
        </w:div>
        <w:div w:id="976379781">
          <w:marLeft w:val="640"/>
          <w:marRight w:val="0"/>
          <w:marTop w:val="0"/>
          <w:marBottom w:val="0"/>
          <w:divBdr>
            <w:top w:val="none" w:sz="0" w:space="0" w:color="auto"/>
            <w:left w:val="none" w:sz="0" w:space="0" w:color="auto"/>
            <w:bottom w:val="none" w:sz="0" w:space="0" w:color="auto"/>
            <w:right w:val="none" w:sz="0" w:space="0" w:color="auto"/>
          </w:divBdr>
        </w:div>
        <w:div w:id="1384400872">
          <w:marLeft w:val="640"/>
          <w:marRight w:val="0"/>
          <w:marTop w:val="0"/>
          <w:marBottom w:val="0"/>
          <w:divBdr>
            <w:top w:val="none" w:sz="0" w:space="0" w:color="auto"/>
            <w:left w:val="none" w:sz="0" w:space="0" w:color="auto"/>
            <w:bottom w:val="none" w:sz="0" w:space="0" w:color="auto"/>
            <w:right w:val="none" w:sz="0" w:space="0" w:color="auto"/>
          </w:divBdr>
        </w:div>
        <w:div w:id="738015092">
          <w:marLeft w:val="640"/>
          <w:marRight w:val="0"/>
          <w:marTop w:val="0"/>
          <w:marBottom w:val="0"/>
          <w:divBdr>
            <w:top w:val="none" w:sz="0" w:space="0" w:color="auto"/>
            <w:left w:val="none" w:sz="0" w:space="0" w:color="auto"/>
            <w:bottom w:val="none" w:sz="0" w:space="0" w:color="auto"/>
            <w:right w:val="none" w:sz="0" w:space="0" w:color="auto"/>
          </w:divBdr>
        </w:div>
        <w:div w:id="1276445980">
          <w:marLeft w:val="640"/>
          <w:marRight w:val="0"/>
          <w:marTop w:val="0"/>
          <w:marBottom w:val="0"/>
          <w:divBdr>
            <w:top w:val="none" w:sz="0" w:space="0" w:color="auto"/>
            <w:left w:val="none" w:sz="0" w:space="0" w:color="auto"/>
            <w:bottom w:val="none" w:sz="0" w:space="0" w:color="auto"/>
            <w:right w:val="none" w:sz="0" w:space="0" w:color="auto"/>
          </w:divBdr>
        </w:div>
        <w:div w:id="1383292092">
          <w:marLeft w:val="640"/>
          <w:marRight w:val="0"/>
          <w:marTop w:val="0"/>
          <w:marBottom w:val="0"/>
          <w:divBdr>
            <w:top w:val="none" w:sz="0" w:space="0" w:color="auto"/>
            <w:left w:val="none" w:sz="0" w:space="0" w:color="auto"/>
            <w:bottom w:val="none" w:sz="0" w:space="0" w:color="auto"/>
            <w:right w:val="none" w:sz="0" w:space="0" w:color="auto"/>
          </w:divBdr>
        </w:div>
        <w:div w:id="100417126">
          <w:marLeft w:val="640"/>
          <w:marRight w:val="0"/>
          <w:marTop w:val="0"/>
          <w:marBottom w:val="0"/>
          <w:divBdr>
            <w:top w:val="none" w:sz="0" w:space="0" w:color="auto"/>
            <w:left w:val="none" w:sz="0" w:space="0" w:color="auto"/>
            <w:bottom w:val="none" w:sz="0" w:space="0" w:color="auto"/>
            <w:right w:val="none" w:sz="0" w:space="0" w:color="auto"/>
          </w:divBdr>
        </w:div>
        <w:div w:id="1757020764">
          <w:marLeft w:val="640"/>
          <w:marRight w:val="0"/>
          <w:marTop w:val="0"/>
          <w:marBottom w:val="0"/>
          <w:divBdr>
            <w:top w:val="none" w:sz="0" w:space="0" w:color="auto"/>
            <w:left w:val="none" w:sz="0" w:space="0" w:color="auto"/>
            <w:bottom w:val="none" w:sz="0" w:space="0" w:color="auto"/>
            <w:right w:val="none" w:sz="0" w:space="0" w:color="auto"/>
          </w:divBdr>
        </w:div>
        <w:div w:id="1519587889">
          <w:marLeft w:val="640"/>
          <w:marRight w:val="0"/>
          <w:marTop w:val="0"/>
          <w:marBottom w:val="0"/>
          <w:divBdr>
            <w:top w:val="none" w:sz="0" w:space="0" w:color="auto"/>
            <w:left w:val="none" w:sz="0" w:space="0" w:color="auto"/>
            <w:bottom w:val="none" w:sz="0" w:space="0" w:color="auto"/>
            <w:right w:val="none" w:sz="0" w:space="0" w:color="auto"/>
          </w:divBdr>
        </w:div>
        <w:div w:id="354044472">
          <w:marLeft w:val="640"/>
          <w:marRight w:val="0"/>
          <w:marTop w:val="0"/>
          <w:marBottom w:val="0"/>
          <w:divBdr>
            <w:top w:val="none" w:sz="0" w:space="0" w:color="auto"/>
            <w:left w:val="none" w:sz="0" w:space="0" w:color="auto"/>
            <w:bottom w:val="none" w:sz="0" w:space="0" w:color="auto"/>
            <w:right w:val="none" w:sz="0" w:space="0" w:color="auto"/>
          </w:divBdr>
        </w:div>
        <w:div w:id="701171180">
          <w:marLeft w:val="640"/>
          <w:marRight w:val="0"/>
          <w:marTop w:val="0"/>
          <w:marBottom w:val="0"/>
          <w:divBdr>
            <w:top w:val="none" w:sz="0" w:space="0" w:color="auto"/>
            <w:left w:val="none" w:sz="0" w:space="0" w:color="auto"/>
            <w:bottom w:val="none" w:sz="0" w:space="0" w:color="auto"/>
            <w:right w:val="none" w:sz="0" w:space="0" w:color="auto"/>
          </w:divBdr>
        </w:div>
        <w:div w:id="341591007">
          <w:marLeft w:val="640"/>
          <w:marRight w:val="0"/>
          <w:marTop w:val="0"/>
          <w:marBottom w:val="0"/>
          <w:divBdr>
            <w:top w:val="none" w:sz="0" w:space="0" w:color="auto"/>
            <w:left w:val="none" w:sz="0" w:space="0" w:color="auto"/>
            <w:bottom w:val="none" w:sz="0" w:space="0" w:color="auto"/>
            <w:right w:val="none" w:sz="0" w:space="0" w:color="auto"/>
          </w:divBdr>
        </w:div>
        <w:div w:id="631134374">
          <w:marLeft w:val="640"/>
          <w:marRight w:val="0"/>
          <w:marTop w:val="0"/>
          <w:marBottom w:val="0"/>
          <w:divBdr>
            <w:top w:val="none" w:sz="0" w:space="0" w:color="auto"/>
            <w:left w:val="none" w:sz="0" w:space="0" w:color="auto"/>
            <w:bottom w:val="none" w:sz="0" w:space="0" w:color="auto"/>
            <w:right w:val="none" w:sz="0" w:space="0" w:color="auto"/>
          </w:divBdr>
        </w:div>
        <w:div w:id="1518615115">
          <w:marLeft w:val="640"/>
          <w:marRight w:val="0"/>
          <w:marTop w:val="0"/>
          <w:marBottom w:val="0"/>
          <w:divBdr>
            <w:top w:val="none" w:sz="0" w:space="0" w:color="auto"/>
            <w:left w:val="none" w:sz="0" w:space="0" w:color="auto"/>
            <w:bottom w:val="none" w:sz="0" w:space="0" w:color="auto"/>
            <w:right w:val="none" w:sz="0" w:space="0" w:color="auto"/>
          </w:divBdr>
        </w:div>
        <w:div w:id="1860003489">
          <w:marLeft w:val="640"/>
          <w:marRight w:val="0"/>
          <w:marTop w:val="0"/>
          <w:marBottom w:val="0"/>
          <w:divBdr>
            <w:top w:val="none" w:sz="0" w:space="0" w:color="auto"/>
            <w:left w:val="none" w:sz="0" w:space="0" w:color="auto"/>
            <w:bottom w:val="none" w:sz="0" w:space="0" w:color="auto"/>
            <w:right w:val="none" w:sz="0" w:space="0" w:color="auto"/>
          </w:divBdr>
        </w:div>
        <w:div w:id="2018579006">
          <w:marLeft w:val="640"/>
          <w:marRight w:val="0"/>
          <w:marTop w:val="0"/>
          <w:marBottom w:val="0"/>
          <w:divBdr>
            <w:top w:val="none" w:sz="0" w:space="0" w:color="auto"/>
            <w:left w:val="none" w:sz="0" w:space="0" w:color="auto"/>
            <w:bottom w:val="none" w:sz="0" w:space="0" w:color="auto"/>
            <w:right w:val="none" w:sz="0" w:space="0" w:color="auto"/>
          </w:divBdr>
        </w:div>
        <w:div w:id="1653605498">
          <w:marLeft w:val="640"/>
          <w:marRight w:val="0"/>
          <w:marTop w:val="0"/>
          <w:marBottom w:val="0"/>
          <w:divBdr>
            <w:top w:val="none" w:sz="0" w:space="0" w:color="auto"/>
            <w:left w:val="none" w:sz="0" w:space="0" w:color="auto"/>
            <w:bottom w:val="none" w:sz="0" w:space="0" w:color="auto"/>
            <w:right w:val="none" w:sz="0" w:space="0" w:color="auto"/>
          </w:divBdr>
        </w:div>
        <w:div w:id="1236747779">
          <w:marLeft w:val="640"/>
          <w:marRight w:val="0"/>
          <w:marTop w:val="0"/>
          <w:marBottom w:val="0"/>
          <w:divBdr>
            <w:top w:val="none" w:sz="0" w:space="0" w:color="auto"/>
            <w:left w:val="none" w:sz="0" w:space="0" w:color="auto"/>
            <w:bottom w:val="none" w:sz="0" w:space="0" w:color="auto"/>
            <w:right w:val="none" w:sz="0" w:space="0" w:color="auto"/>
          </w:divBdr>
        </w:div>
        <w:div w:id="1000700132">
          <w:marLeft w:val="640"/>
          <w:marRight w:val="0"/>
          <w:marTop w:val="0"/>
          <w:marBottom w:val="0"/>
          <w:divBdr>
            <w:top w:val="none" w:sz="0" w:space="0" w:color="auto"/>
            <w:left w:val="none" w:sz="0" w:space="0" w:color="auto"/>
            <w:bottom w:val="none" w:sz="0" w:space="0" w:color="auto"/>
            <w:right w:val="none" w:sz="0" w:space="0" w:color="auto"/>
          </w:divBdr>
        </w:div>
        <w:div w:id="22951073">
          <w:marLeft w:val="640"/>
          <w:marRight w:val="0"/>
          <w:marTop w:val="0"/>
          <w:marBottom w:val="0"/>
          <w:divBdr>
            <w:top w:val="none" w:sz="0" w:space="0" w:color="auto"/>
            <w:left w:val="none" w:sz="0" w:space="0" w:color="auto"/>
            <w:bottom w:val="none" w:sz="0" w:space="0" w:color="auto"/>
            <w:right w:val="none" w:sz="0" w:space="0" w:color="auto"/>
          </w:divBdr>
        </w:div>
        <w:div w:id="1020426183">
          <w:marLeft w:val="640"/>
          <w:marRight w:val="0"/>
          <w:marTop w:val="0"/>
          <w:marBottom w:val="0"/>
          <w:divBdr>
            <w:top w:val="none" w:sz="0" w:space="0" w:color="auto"/>
            <w:left w:val="none" w:sz="0" w:space="0" w:color="auto"/>
            <w:bottom w:val="none" w:sz="0" w:space="0" w:color="auto"/>
            <w:right w:val="none" w:sz="0" w:space="0" w:color="auto"/>
          </w:divBdr>
        </w:div>
        <w:div w:id="1668090647">
          <w:marLeft w:val="640"/>
          <w:marRight w:val="0"/>
          <w:marTop w:val="0"/>
          <w:marBottom w:val="0"/>
          <w:divBdr>
            <w:top w:val="none" w:sz="0" w:space="0" w:color="auto"/>
            <w:left w:val="none" w:sz="0" w:space="0" w:color="auto"/>
            <w:bottom w:val="none" w:sz="0" w:space="0" w:color="auto"/>
            <w:right w:val="none" w:sz="0" w:space="0" w:color="auto"/>
          </w:divBdr>
        </w:div>
        <w:div w:id="1800609923">
          <w:marLeft w:val="640"/>
          <w:marRight w:val="0"/>
          <w:marTop w:val="0"/>
          <w:marBottom w:val="0"/>
          <w:divBdr>
            <w:top w:val="none" w:sz="0" w:space="0" w:color="auto"/>
            <w:left w:val="none" w:sz="0" w:space="0" w:color="auto"/>
            <w:bottom w:val="none" w:sz="0" w:space="0" w:color="auto"/>
            <w:right w:val="none" w:sz="0" w:space="0" w:color="auto"/>
          </w:divBdr>
        </w:div>
        <w:div w:id="2039968528">
          <w:marLeft w:val="640"/>
          <w:marRight w:val="0"/>
          <w:marTop w:val="0"/>
          <w:marBottom w:val="0"/>
          <w:divBdr>
            <w:top w:val="none" w:sz="0" w:space="0" w:color="auto"/>
            <w:left w:val="none" w:sz="0" w:space="0" w:color="auto"/>
            <w:bottom w:val="none" w:sz="0" w:space="0" w:color="auto"/>
            <w:right w:val="none" w:sz="0" w:space="0" w:color="auto"/>
          </w:divBdr>
        </w:div>
        <w:div w:id="1590119119">
          <w:marLeft w:val="640"/>
          <w:marRight w:val="0"/>
          <w:marTop w:val="0"/>
          <w:marBottom w:val="0"/>
          <w:divBdr>
            <w:top w:val="none" w:sz="0" w:space="0" w:color="auto"/>
            <w:left w:val="none" w:sz="0" w:space="0" w:color="auto"/>
            <w:bottom w:val="none" w:sz="0" w:space="0" w:color="auto"/>
            <w:right w:val="none" w:sz="0" w:space="0" w:color="auto"/>
          </w:divBdr>
        </w:div>
        <w:div w:id="1912035060">
          <w:marLeft w:val="640"/>
          <w:marRight w:val="0"/>
          <w:marTop w:val="0"/>
          <w:marBottom w:val="0"/>
          <w:divBdr>
            <w:top w:val="none" w:sz="0" w:space="0" w:color="auto"/>
            <w:left w:val="none" w:sz="0" w:space="0" w:color="auto"/>
            <w:bottom w:val="none" w:sz="0" w:space="0" w:color="auto"/>
            <w:right w:val="none" w:sz="0" w:space="0" w:color="auto"/>
          </w:divBdr>
        </w:div>
        <w:div w:id="1143228834">
          <w:marLeft w:val="640"/>
          <w:marRight w:val="0"/>
          <w:marTop w:val="0"/>
          <w:marBottom w:val="0"/>
          <w:divBdr>
            <w:top w:val="none" w:sz="0" w:space="0" w:color="auto"/>
            <w:left w:val="none" w:sz="0" w:space="0" w:color="auto"/>
            <w:bottom w:val="none" w:sz="0" w:space="0" w:color="auto"/>
            <w:right w:val="none" w:sz="0" w:space="0" w:color="auto"/>
          </w:divBdr>
        </w:div>
        <w:div w:id="1926038701">
          <w:marLeft w:val="640"/>
          <w:marRight w:val="0"/>
          <w:marTop w:val="0"/>
          <w:marBottom w:val="0"/>
          <w:divBdr>
            <w:top w:val="none" w:sz="0" w:space="0" w:color="auto"/>
            <w:left w:val="none" w:sz="0" w:space="0" w:color="auto"/>
            <w:bottom w:val="none" w:sz="0" w:space="0" w:color="auto"/>
            <w:right w:val="none" w:sz="0" w:space="0" w:color="auto"/>
          </w:divBdr>
        </w:div>
        <w:div w:id="111553829">
          <w:marLeft w:val="640"/>
          <w:marRight w:val="0"/>
          <w:marTop w:val="0"/>
          <w:marBottom w:val="0"/>
          <w:divBdr>
            <w:top w:val="none" w:sz="0" w:space="0" w:color="auto"/>
            <w:left w:val="none" w:sz="0" w:space="0" w:color="auto"/>
            <w:bottom w:val="none" w:sz="0" w:space="0" w:color="auto"/>
            <w:right w:val="none" w:sz="0" w:space="0" w:color="auto"/>
          </w:divBdr>
        </w:div>
        <w:div w:id="1155338064">
          <w:marLeft w:val="640"/>
          <w:marRight w:val="0"/>
          <w:marTop w:val="0"/>
          <w:marBottom w:val="0"/>
          <w:divBdr>
            <w:top w:val="none" w:sz="0" w:space="0" w:color="auto"/>
            <w:left w:val="none" w:sz="0" w:space="0" w:color="auto"/>
            <w:bottom w:val="none" w:sz="0" w:space="0" w:color="auto"/>
            <w:right w:val="none" w:sz="0" w:space="0" w:color="auto"/>
          </w:divBdr>
        </w:div>
        <w:div w:id="1372880102">
          <w:marLeft w:val="640"/>
          <w:marRight w:val="0"/>
          <w:marTop w:val="0"/>
          <w:marBottom w:val="0"/>
          <w:divBdr>
            <w:top w:val="none" w:sz="0" w:space="0" w:color="auto"/>
            <w:left w:val="none" w:sz="0" w:space="0" w:color="auto"/>
            <w:bottom w:val="none" w:sz="0" w:space="0" w:color="auto"/>
            <w:right w:val="none" w:sz="0" w:space="0" w:color="auto"/>
          </w:divBdr>
        </w:div>
        <w:div w:id="1834027042">
          <w:marLeft w:val="640"/>
          <w:marRight w:val="0"/>
          <w:marTop w:val="0"/>
          <w:marBottom w:val="0"/>
          <w:divBdr>
            <w:top w:val="none" w:sz="0" w:space="0" w:color="auto"/>
            <w:left w:val="none" w:sz="0" w:space="0" w:color="auto"/>
            <w:bottom w:val="none" w:sz="0" w:space="0" w:color="auto"/>
            <w:right w:val="none" w:sz="0" w:space="0" w:color="auto"/>
          </w:divBdr>
        </w:div>
        <w:div w:id="859468657">
          <w:marLeft w:val="640"/>
          <w:marRight w:val="0"/>
          <w:marTop w:val="0"/>
          <w:marBottom w:val="0"/>
          <w:divBdr>
            <w:top w:val="none" w:sz="0" w:space="0" w:color="auto"/>
            <w:left w:val="none" w:sz="0" w:space="0" w:color="auto"/>
            <w:bottom w:val="none" w:sz="0" w:space="0" w:color="auto"/>
            <w:right w:val="none" w:sz="0" w:space="0" w:color="auto"/>
          </w:divBdr>
        </w:div>
        <w:div w:id="775029575">
          <w:marLeft w:val="640"/>
          <w:marRight w:val="0"/>
          <w:marTop w:val="0"/>
          <w:marBottom w:val="0"/>
          <w:divBdr>
            <w:top w:val="none" w:sz="0" w:space="0" w:color="auto"/>
            <w:left w:val="none" w:sz="0" w:space="0" w:color="auto"/>
            <w:bottom w:val="none" w:sz="0" w:space="0" w:color="auto"/>
            <w:right w:val="none" w:sz="0" w:space="0" w:color="auto"/>
          </w:divBdr>
        </w:div>
        <w:div w:id="348676325">
          <w:marLeft w:val="640"/>
          <w:marRight w:val="0"/>
          <w:marTop w:val="0"/>
          <w:marBottom w:val="0"/>
          <w:divBdr>
            <w:top w:val="none" w:sz="0" w:space="0" w:color="auto"/>
            <w:left w:val="none" w:sz="0" w:space="0" w:color="auto"/>
            <w:bottom w:val="none" w:sz="0" w:space="0" w:color="auto"/>
            <w:right w:val="none" w:sz="0" w:space="0" w:color="auto"/>
          </w:divBdr>
        </w:div>
        <w:div w:id="1384451103">
          <w:marLeft w:val="640"/>
          <w:marRight w:val="0"/>
          <w:marTop w:val="0"/>
          <w:marBottom w:val="0"/>
          <w:divBdr>
            <w:top w:val="none" w:sz="0" w:space="0" w:color="auto"/>
            <w:left w:val="none" w:sz="0" w:space="0" w:color="auto"/>
            <w:bottom w:val="none" w:sz="0" w:space="0" w:color="auto"/>
            <w:right w:val="none" w:sz="0" w:space="0" w:color="auto"/>
          </w:divBdr>
        </w:div>
        <w:div w:id="295110215">
          <w:marLeft w:val="640"/>
          <w:marRight w:val="0"/>
          <w:marTop w:val="0"/>
          <w:marBottom w:val="0"/>
          <w:divBdr>
            <w:top w:val="none" w:sz="0" w:space="0" w:color="auto"/>
            <w:left w:val="none" w:sz="0" w:space="0" w:color="auto"/>
            <w:bottom w:val="none" w:sz="0" w:space="0" w:color="auto"/>
            <w:right w:val="none" w:sz="0" w:space="0" w:color="auto"/>
          </w:divBdr>
        </w:div>
        <w:div w:id="1075080882">
          <w:marLeft w:val="640"/>
          <w:marRight w:val="0"/>
          <w:marTop w:val="0"/>
          <w:marBottom w:val="0"/>
          <w:divBdr>
            <w:top w:val="none" w:sz="0" w:space="0" w:color="auto"/>
            <w:left w:val="none" w:sz="0" w:space="0" w:color="auto"/>
            <w:bottom w:val="none" w:sz="0" w:space="0" w:color="auto"/>
            <w:right w:val="none" w:sz="0" w:space="0" w:color="auto"/>
          </w:divBdr>
        </w:div>
        <w:div w:id="217401284">
          <w:marLeft w:val="640"/>
          <w:marRight w:val="0"/>
          <w:marTop w:val="0"/>
          <w:marBottom w:val="0"/>
          <w:divBdr>
            <w:top w:val="none" w:sz="0" w:space="0" w:color="auto"/>
            <w:left w:val="none" w:sz="0" w:space="0" w:color="auto"/>
            <w:bottom w:val="none" w:sz="0" w:space="0" w:color="auto"/>
            <w:right w:val="none" w:sz="0" w:space="0" w:color="auto"/>
          </w:divBdr>
        </w:div>
        <w:div w:id="2002541239">
          <w:marLeft w:val="640"/>
          <w:marRight w:val="0"/>
          <w:marTop w:val="0"/>
          <w:marBottom w:val="0"/>
          <w:divBdr>
            <w:top w:val="none" w:sz="0" w:space="0" w:color="auto"/>
            <w:left w:val="none" w:sz="0" w:space="0" w:color="auto"/>
            <w:bottom w:val="none" w:sz="0" w:space="0" w:color="auto"/>
            <w:right w:val="none" w:sz="0" w:space="0" w:color="auto"/>
          </w:divBdr>
        </w:div>
        <w:div w:id="1193029659">
          <w:marLeft w:val="640"/>
          <w:marRight w:val="0"/>
          <w:marTop w:val="0"/>
          <w:marBottom w:val="0"/>
          <w:divBdr>
            <w:top w:val="none" w:sz="0" w:space="0" w:color="auto"/>
            <w:left w:val="none" w:sz="0" w:space="0" w:color="auto"/>
            <w:bottom w:val="none" w:sz="0" w:space="0" w:color="auto"/>
            <w:right w:val="none" w:sz="0" w:space="0" w:color="auto"/>
          </w:divBdr>
        </w:div>
        <w:div w:id="1650741113">
          <w:marLeft w:val="640"/>
          <w:marRight w:val="0"/>
          <w:marTop w:val="0"/>
          <w:marBottom w:val="0"/>
          <w:divBdr>
            <w:top w:val="none" w:sz="0" w:space="0" w:color="auto"/>
            <w:left w:val="none" w:sz="0" w:space="0" w:color="auto"/>
            <w:bottom w:val="none" w:sz="0" w:space="0" w:color="auto"/>
            <w:right w:val="none" w:sz="0" w:space="0" w:color="auto"/>
          </w:divBdr>
        </w:div>
        <w:div w:id="1882744652">
          <w:marLeft w:val="640"/>
          <w:marRight w:val="0"/>
          <w:marTop w:val="0"/>
          <w:marBottom w:val="0"/>
          <w:divBdr>
            <w:top w:val="none" w:sz="0" w:space="0" w:color="auto"/>
            <w:left w:val="none" w:sz="0" w:space="0" w:color="auto"/>
            <w:bottom w:val="none" w:sz="0" w:space="0" w:color="auto"/>
            <w:right w:val="none" w:sz="0" w:space="0" w:color="auto"/>
          </w:divBdr>
        </w:div>
        <w:div w:id="2013099156">
          <w:marLeft w:val="640"/>
          <w:marRight w:val="0"/>
          <w:marTop w:val="0"/>
          <w:marBottom w:val="0"/>
          <w:divBdr>
            <w:top w:val="none" w:sz="0" w:space="0" w:color="auto"/>
            <w:left w:val="none" w:sz="0" w:space="0" w:color="auto"/>
            <w:bottom w:val="none" w:sz="0" w:space="0" w:color="auto"/>
            <w:right w:val="none" w:sz="0" w:space="0" w:color="auto"/>
          </w:divBdr>
        </w:div>
        <w:div w:id="286206325">
          <w:marLeft w:val="640"/>
          <w:marRight w:val="0"/>
          <w:marTop w:val="0"/>
          <w:marBottom w:val="0"/>
          <w:divBdr>
            <w:top w:val="none" w:sz="0" w:space="0" w:color="auto"/>
            <w:left w:val="none" w:sz="0" w:space="0" w:color="auto"/>
            <w:bottom w:val="none" w:sz="0" w:space="0" w:color="auto"/>
            <w:right w:val="none" w:sz="0" w:space="0" w:color="auto"/>
          </w:divBdr>
        </w:div>
        <w:div w:id="242760430">
          <w:marLeft w:val="640"/>
          <w:marRight w:val="0"/>
          <w:marTop w:val="0"/>
          <w:marBottom w:val="0"/>
          <w:divBdr>
            <w:top w:val="none" w:sz="0" w:space="0" w:color="auto"/>
            <w:left w:val="none" w:sz="0" w:space="0" w:color="auto"/>
            <w:bottom w:val="none" w:sz="0" w:space="0" w:color="auto"/>
            <w:right w:val="none" w:sz="0" w:space="0" w:color="auto"/>
          </w:divBdr>
        </w:div>
        <w:div w:id="1716852414">
          <w:marLeft w:val="640"/>
          <w:marRight w:val="0"/>
          <w:marTop w:val="0"/>
          <w:marBottom w:val="0"/>
          <w:divBdr>
            <w:top w:val="none" w:sz="0" w:space="0" w:color="auto"/>
            <w:left w:val="none" w:sz="0" w:space="0" w:color="auto"/>
            <w:bottom w:val="none" w:sz="0" w:space="0" w:color="auto"/>
            <w:right w:val="none" w:sz="0" w:space="0" w:color="auto"/>
          </w:divBdr>
        </w:div>
        <w:div w:id="1651203058">
          <w:marLeft w:val="640"/>
          <w:marRight w:val="0"/>
          <w:marTop w:val="0"/>
          <w:marBottom w:val="0"/>
          <w:divBdr>
            <w:top w:val="none" w:sz="0" w:space="0" w:color="auto"/>
            <w:left w:val="none" w:sz="0" w:space="0" w:color="auto"/>
            <w:bottom w:val="none" w:sz="0" w:space="0" w:color="auto"/>
            <w:right w:val="none" w:sz="0" w:space="0" w:color="auto"/>
          </w:divBdr>
        </w:div>
        <w:div w:id="1075594178">
          <w:marLeft w:val="640"/>
          <w:marRight w:val="0"/>
          <w:marTop w:val="0"/>
          <w:marBottom w:val="0"/>
          <w:divBdr>
            <w:top w:val="none" w:sz="0" w:space="0" w:color="auto"/>
            <w:left w:val="none" w:sz="0" w:space="0" w:color="auto"/>
            <w:bottom w:val="none" w:sz="0" w:space="0" w:color="auto"/>
            <w:right w:val="none" w:sz="0" w:space="0" w:color="auto"/>
          </w:divBdr>
        </w:div>
        <w:div w:id="1893272546">
          <w:marLeft w:val="640"/>
          <w:marRight w:val="0"/>
          <w:marTop w:val="0"/>
          <w:marBottom w:val="0"/>
          <w:divBdr>
            <w:top w:val="none" w:sz="0" w:space="0" w:color="auto"/>
            <w:left w:val="none" w:sz="0" w:space="0" w:color="auto"/>
            <w:bottom w:val="none" w:sz="0" w:space="0" w:color="auto"/>
            <w:right w:val="none" w:sz="0" w:space="0" w:color="auto"/>
          </w:divBdr>
        </w:div>
        <w:div w:id="1974022994">
          <w:marLeft w:val="640"/>
          <w:marRight w:val="0"/>
          <w:marTop w:val="0"/>
          <w:marBottom w:val="0"/>
          <w:divBdr>
            <w:top w:val="none" w:sz="0" w:space="0" w:color="auto"/>
            <w:left w:val="none" w:sz="0" w:space="0" w:color="auto"/>
            <w:bottom w:val="none" w:sz="0" w:space="0" w:color="auto"/>
            <w:right w:val="none" w:sz="0" w:space="0" w:color="auto"/>
          </w:divBdr>
        </w:div>
        <w:div w:id="1212959406">
          <w:marLeft w:val="640"/>
          <w:marRight w:val="0"/>
          <w:marTop w:val="0"/>
          <w:marBottom w:val="0"/>
          <w:divBdr>
            <w:top w:val="none" w:sz="0" w:space="0" w:color="auto"/>
            <w:left w:val="none" w:sz="0" w:space="0" w:color="auto"/>
            <w:bottom w:val="none" w:sz="0" w:space="0" w:color="auto"/>
            <w:right w:val="none" w:sz="0" w:space="0" w:color="auto"/>
          </w:divBdr>
        </w:div>
        <w:div w:id="1994288320">
          <w:marLeft w:val="640"/>
          <w:marRight w:val="0"/>
          <w:marTop w:val="0"/>
          <w:marBottom w:val="0"/>
          <w:divBdr>
            <w:top w:val="none" w:sz="0" w:space="0" w:color="auto"/>
            <w:left w:val="none" w:sz="0" w:space="0" w:color="auto"/>
            <w:bottom w:val="none" w:sz="0" w:space="0" w:color="auto"/>
            <w:right w:val="none" w:sz="0" w:space="0" w:color="auto"/>
          </w:divBdr>
        </w:div>
        <w:div w:id="225727862">
          <w:marLeft w:val="640"/>
          <w:marRight w:val="0"/>
          <w:marTop w:val="0"/>
          <w:marBottom w:val="0"/>
          <w:divBdr>
            <w:top w:val="none" w:sz="0" w:space="0" w:color="auto"/>
            <w:left w:val="none" w:sz="0" w:space="0" w:color="auto"/>
            <w:bottom w:val="none" w:sz="0" w:space="0" w:color="auto"/>
            <w:right w:val="none" w:sz="0" w:space="0" w:color="auto"/>
          </w:divBdr>
        </w:div>
        <w:div w:id="1771510138">
          <w:marLeft w:val="640"/>
          <w:marRight w:val="0"/>
          <w:marTop w:val="0"/>
          <w:marBottom w:val="0"/>
          <w:divBdr>
            <w:top w:val="none" w:sz="0" w:space="0" w:color="auto"/>
            <w:left w:val="none" w:sz="0" w:space="0" w:color="auto"/>
            <w:bottom w:val="none" w:sz="0" w:space="0" w:color="auto"/>
            <w:right w:val="none" w:sz="0" w:space="0" w:color="auto"/>
          </w:divBdr>
        </w:div>
        <w:div w:id="420807388">
          <w:marLeft w:val="640"/>
          <w:marRight w:val="0"/>
          <w:marTop w:val="0"/>
          <w:marBottom w:val="0"/>
          <w:divBdr>
            <w:top w:val="none" w:sz="0" w:space="0" w:color="auto"/>
            <w:left w:val="none" w:sz="0" w:space="0" w:color="auto"/>
            <w:bottom w:val="none" w:sz="0" w:space="0" w:color="auto"/>
            <w:right w:val="none" w:sz="0" w:space="0" w:color="auto"/>
          </w:divBdr>
        </w:div>
        <w:div w:id="316567449">
          <w:marLeft w:val="640"/>
          <w:marRight w:val="0"/>
          <w:marTop w:val="0"/>
          <w:marBottom w:val="0"/>
          <w:divBdr>
            <w:top w:val="none" w:sz="0" w:space="0" w:color="auto"/>
            <w:left w:val="none" w:sz="0" w:space="0" w:color="auto"/>
            <w:bottom w:val="none" w:sz="0" w:space="0" w:color="auto"/>
            <w:right w:val="none" w:sz="0" w:space="0" w:color="auto"/>
          </w:divBdr>
        </w:div>
        <w:div w:id="764687124">
          <w:marLeft w:val="640"/>
          <w:marRight w:val="0"/>
          <w:marTop w:val="0"/>
          <w:marBottom w:val="0"/>
          <w:divBdr>
            <w:top w:val="none" w:sz="0" w:space="0" w:color="auto"/>
            <w:left w:val="none" w:sz="0" w:space="0" w:color="auto"/>
            <w:bottom w:val="none" w:sz="0" w:space="0" w:color="auto"/>
            <w:right w:val="none" w:sz="0" w:space="0" w:color="auto"/>
          </w:divBdr>
        </w:div>
        <w:div w:id="2105416752">
          <w:marLeft w:val="640"/>
          <w:marRight w:val="0"/>
          <w:marTop w:val="0"/>
          <w:marBottom w:val="0"/>
          <w:divBdr>
            <w:top w:val="none" w:sz="0" w:space="0" w:color="auto"/>
            <w:left w:val="none" w:sz="0" w:space="0" w:color="auto"/>
            <w:bottom w:val="none" w:sz="0" w:space="0" w:color="auto"/>
            <w:right w:val="none" w:sz="0" w:space="0" w:color="auto"/>
          </w:divBdr>
        </w:div>
        <w:div w:id="340157686">
          <w:marLeft w:val="640"/>
          <w:marRight w:val="0"/>
          <w:marTop w:val="0"/>
          <w:marBottom w:val="0"/>
          <w:divBdr>
            <w:top w:val="none" w:sz="0" w:space="0" w:color="auto"/>
            <w:left w:val="none" w:sz="0" w:space="0" w:color="auto"/>
            <w:bottom w:val="none" w:sz="0" w:space="0" w:color="auto"/>
            <w:right w:val="none" w:sz="0" w:space="0" w:color="auto"/>
          </w:divBdr>
        </w:div>
        <w:div w:id="1129588752">
          <w:marLeft w:val="640"/>
          <w:marRight w:val="0"/>
          <w:marTop w:val="0"/>
          <w:marBottom w:val="0"/>
          <w:divBdr>
            <w:top w:val="none" w:sz="0" w:space="0" w:color="auto"/>
            <w:left w:val="none" w:sz="0" w:space="0" w:color="auto"/>
            <w:bottom w:val="none" w:sz="0" w:space="0" w:color="auto"/>
            <w:right w:val="none" w:sz="0" w:space="0" w:color="auto"/>
          </w:divBdr>
        </w:div>
        <w:div w:id="1683512749">
          <w:marLeft w:val="640"/>
          <w:marRight w:val="0"/>
          <w:marTop w:val="0"/>
          <w:marBottom w:val="0"/>
          <w:divBdr>
            <w:top w:val="none" w:sz="0" w:space="0" w:color="auto"/>
            <w:left w:val="none" w:sz="0" w:space="0" w:color="auto"/>
            <w:bottom w:val="none" w:sz="0" w:space="0" w:color="auto"/>
            <w:right w:val="none" w:sz="0" w:space="0" w:color="auto"/>
          </w:divBdr>
        </w:div>
        <w:div w:id="756366598">
          <w:marLeft w:val="640"/>
          <w:marRight w:val="0"/>
          <w:marTop w:val="0"/>
          <w:marBottom w:val="0"/>
          <w:divBdr>
            <w:top w:val="none" w:sz="0" w:space="0" w:color="auto"/>
            <w:left w:val="none" w:sz="0" w:space="0" w:color="auto"/>
            <w:bottom w:val="none" w:sz="0" w:space="0" w:color="auto"/>
            <w:right w:val="none" w:sz="0" w:space="0" w:color="auto"/>
          </w:divBdr>
        </w:div>
        <w:div w:id="557014267">
          <w:marLeft w:val="640"/>
          <w:marRight w:val="0"/>
          <w:marTop w:val="0"/>
          <w:marBottom w:val="0"/>
          <w:divBdr>
            <w:top w:val="none" w:sz="0" w:space="0" w:color="auto"/>
            <w:left w:val="none" w:sz="0" w:space="0" w:color="auto"/>
            <w:bottom w:val="none" w:sz="0" w:space="0" w:color="auto"/>
            <w:right w:val="none" w:sz="0" w:space="0" w:color="auto"/>
          </w:divBdr>
        </w:div>
        <w:div w:id="492259187">
          <w:marLeft w:val="640"/>
          <w:marRight w:val="0"/>
          <w:marTop w:val="0"/>
          <w:marBottom w:val="0"/>
          <w:divBdr>
            <w:top w:val="none" w:sz="0" w:space="0" w:color="auto"/>
            <w:left w:val="none" w:sz="0" w:space="0" w:color="auto"/>
            <w:bottom w:val="none" w:sz="0" w:space="0" w:color="auto"/>
            <w:right w:val="none" w:sz="0" w:space="0" w:color="auto"/>
          </w:divBdr>
        </w:div>
        <w:div w:id="1485656300">
          <w:marLeft w:val="640"/>
          <w:marRight w:val="0"/>
          <w:marTop w:val="0"/>
          <w:marBottom w:val="0"/>
          <w:divBdr>
            <w:top w:val="none" w:sz="0" w:space="0" w:color="auto"/>
            <w:left w:val="none" w:sz="0" w:space="0" w:color="auto"/>
            <w:bottom w:val="none" w:sz="0" w:space="0" w:color="auto"/>
            <w:right w:val="none" w:sz="0" w:space="0" w:color="auto"/>
          </w:divBdr>
        </w:div>
        <w:div w:id="1080950854">
          <w:marLeft w:val="640"/>
          <w:marRight w:val="0"/>
          <w:marTop w:val="0"/>
          <w:marBottom w:val="0"/>
          <w:divBdr>
            <w:top w:val="none" w:sz="0" w:space="0" w:color="auto"/>
            <w:left w:val="none" w:sz="0" w:space="0" w:color="auto"/>
            <w:bottom w:val="none" w:sz="0" w:space="0" w:color="auto"/>
            <w:right w:val="none" w:sz="0" w:space="0" w:color="auto"/>
          </w:divBdr>
        </w:div>
        <w:div w:id="764885083">
          <w:marLeft w:val="640"/>
          <w:marRight w:val="0"/>
          <w:marTop w:val="0"/>
          <w:marBottom w:val="0"/>
          <w:divBdr>
            <w:top w:val="none" w:sz="0" w:space="0" w:color="auto"/>
            <w:left w:val="none" w:sz="0" w:space="0" w:color="auto"/>
            <w:bottom w:val="none" w:sz="0" w:space="0" w:color="auto"/>
            <w:right w:val="none" w:sz="0" w:space="0" w:color="auto"/>
          </w:divBdr>
        </w:div>
        <w:div w:id="640964542">
          <w:marLeft w:val="640"/>
          <w:marRight w:val="0"/>
          <w:marTop w:val="0"/>
          <w:marBottom w:val="0"/>
          <w:divBdr>
            <w:top w:val="none" w:sz="0" w:space="0" w:color="auto"/>
            <w:left w:val="none" w:sz="0" w:space="0" w:color="auto"/>
            <w:bottom w:val="none" w:sz="0" w:space="0" w:color="auto"/>
            <w:right w:val="none" w:sz="0" w:space="0" w:color="auto"/>
          </w:divBdr>
        </w:div>
        <w:div w:id="1787232300">
          <w:marLeft w:val="640"/>
          <w:marRight w:val="0"/>
          <w:marTop w:val="0"/>
          <w:marBottom w:val="0"/>
          <w:divBdr>
            <w:top w:val="none" w:sz="0" w:space="0" w:color="auto"/>
            <w:left w:val="none" w:sz="0" w:space="0" w:color="auto"/>
            <w:bottom w:val="none" w:sz="0" w:space="0" w:color="auto"/>
            <w:right w:val="none" w:sz="0" w:space="0" w:color="auto"/>
          </w:divBdr>
        </w:div>
        <w:div w:id="1249927422">
          <w:marLeft w:val="640"/>
          <w:marRight w:val="0"/>
          <w:marTop w:val="0"/>
          <w:marBottom w:val="0"/>
          <w:divBdr>
            <w:top w:val="none" w:sz="0" w:space="0" w:color="auto"/>
            <w:left w:val="none" w:sz="0" w:space="0" w:color="auto"/>
            <w:bottom w:val="none" w:sz="0" w:space="0" w:color="auto"/>
            <w:right w:val="none" w:sz="0" w:space="0" w:color="auto"/>
          </w:divBdr>
        </w:div>
        <w:div w:id="1029796285">
          <w:marLeft w:val="640"/>
          <w:marRight w:val="0"/>
          <w:marTop w:val="0"/>
          <w:marBottom w:val="0"/>
          <w:divBdr>
            <w:top w:val="none" w:sz="0" w:space="0" w:color="auto"/>
            <w:left w:val="none" w:sz="0" w:space="0" w:color="auto"/>
            <w:bottom w:val="none" w:sz="0" w:space="0" w:color="auto"/>
            <w:right w:val="none" w:sz="0" w:space="0" w:color="auto"/>
          </w:divBdr>
        </w:div>
        <w:div w:id="1841502500">
          <w:marLeft w:val="640"/>
          <w:marRight w:val="0"/>
          <w:marTop w:val="0"/>
          <w:marBottom w:val="0"/>
          <w:divBdr>
            <w:top w:val="none" w:sz="0" w:space="0" w:color="auto"/>
            <w:left w:val="none" w:sz="0" w:space="0" w:color="auto"/>
            <w:bottom w:val="none" w:sz="0" w:space="0" w:color="auto"/>
            <w:right w:val="none" w:sz="0" w:space="0" w:color="auto"/>
          </w:divBdr>
        </w:div>
        <w:div w:id="1267887501">
          <w:marLeft w:val="640"/>
          <w:marRight w:val="0"/>
          <w:marTop w:val="0"/>
          <w:marBottom w:val="0"/>
          <w:divBdr>
            <w:top w:val="none" w:sz="0" w:space="0" w:color="auto"/>
            <w:left w:val="none" w:sz="0" w:space="0" w:color="auto"/>
            <w:bottom w:val="none" w:sz="0" w:space="0" w:color="auto"/>
            <w:right w:val="none" w:sz="0" w:space="0" w:color="auto"/>
          </w:divBdr>
        </w:div>
        <w:div w:id="944505727">
          <w:marLeft w:val="640"/>
          <w:marRight w:val="0"/>
          <w:marTop w:val="0"/>
          <w:marBottom w:val="0"/>
          <w:divBdr>
            <w:top w:val="none" w:sz="0" w:space="0" w:color="auto"/>
            <w:left w:val="none" w:sz="0" w:space="0" w:color="auto"/>
            <w:bottom w:val="none" w:sz="0" w:space="0" w:color="auto"/>
            <w:right w:val="none" w:sz="0" w:space="0" w:color="auto"/>
          </w:divBdr>
        </w:div>
        <w:div w:id="1114053983">
          <w:marLeft w:val="640"/>
          <w:marRight w:val="0"/>
          <w:marTop w:val="0"/>
          <w:marBottom w:val="0"/>
          <w:divBdr>
            <w:top w:val="none" w:sz="0" w:space="0" w:color="auto"/>
            <w:left w:val="none" w:sz="0" w:space="0" w:color="auto"/>
            <w:bottom w:val="none" w:sz="0" w:space="0" w:color="auto"/>
            <w:right w:val="none" w:sz="0" w:space="0" w:color="auto"/>
          </w:divBdr>
        </w:div>
        <w:div w:id="1051150231">
          <w:marLeft w:val="640"/>
          <w:marRight w:val="0"/>
          <w:marTop w:val="0"/>
          <w:marBottom w:val="0"/>
          <w:divBdr>
            <w:top w:val="none" w:sz="0" w:space="0" w:color="auto"/>
            <w:left w:val="none" w:sz="0" w:space="0" w:color="auto"/>
            <w:bottom w:val="none" w:sz="0" w:space="0" w:color="auto"/>
            <w:right w:val="none" w:sz="0" w:space="0" w:color="auto"/>
          </w:divBdr>
        </w:div>
        <w:div w:id="1865242124">
          <w:marLeft w:val="640"/>
          <w:marRight w:val="0"/>
          <w:marTop w:val="0"/>
          <w:marBottom w:val="0"/>
          <w:divBdr>
            <w:top w:val="none" w:sz="0" w:space="0" w:color="auto"/>
            <w:left w:val="none" w:sz="0" w:space="0" w:color="auto"/>
            <w:bottom w:val="none" w:sz="0" w:space="0" w:color="auto"/>
            <w:right w:val="none" w:sz="0" w:space="0" w:color="auto"/>
          </w:divBdr>
        </w:div>
        <w:div w:id="1627158358">
          <w:marLeft w:val="640"/>
          <w:marRight w:val="0"/>
          <w:marTop w:val="0"/>
          <w:marBottom w:val="0"/>
          <w:divBdr>
            <w:top w:val="none" w:sz="0" w:space="0" w:color="auto"/>
            <w:left w:val="none" w:sz="0" w:space="0" w:color="auto"/>
            <w:bottom w:val="none" w:sz="0" w:space="0" w:color="auto"/>
            <w:right w:val="none" w:sz="0" w:space="0" w:color="auto"/>
          </w:divBdr>
        </w:div>
        <w:div w:id="1793747286">
          <w:marLeft w:val="640"/>
          <w:marRight w:val="0"/>
          <w:marTop w:val="0"/>
          <w:marBottom w:val="0"/>
          <w:divBdr>
            <w:top w:val="none" w:sz="0" w:space="0" w:color="auto"/>
            <w:left w:val="none" w:sz="0" w:space="0" w:color="auto"/>
            <w:bottom w:val="none" w:sz="0" w:space="0" w:color="auto"/>
            <w:right w:val="none" w:sz="0" w:space="0" w:color="auto"/>
          </w:divBdr>
        </w:div>
        <w:div w:id="979920330">
          <w:marLeft w:val="640"/>
          <w:marRight w:val="0"/>
          <w:marTop w:val="0"/>
          <w:marBottom w:val="0"/>
          <w:divBdr>
            <w:top w:val="none" w:sz="0" w:space="0" w:color="auto"/>
            <w:left w:val="none" w:sz="0" w:space="0" w:color="auto"/>
            <w:bottom w:val="none" w:sz="0" w:space="0" w:color="auto"/>
            <w:right w:val="none" w:sz="0" w:space="0" w:color="auto"/>
          </w:divBdr>
        </w:div>
        <w:div w:id="686634533">
          <w:marLeft w:val="640"/>
          <w:marRight w:val="0"/>
          <w:marTop w:val="0"/>
          <w:marBottom w:val="0"/>
          <w:divBdr>
            <w:top w:val="none" w:sz="0" w:space="0" w:color="auto"/>
            <w:left w:val="none" w:sz="0" w:space="0" w:color="auto"/>
            <w:bottom w:val="none" w:sz="0" w:space="0" w:color="auto"/>
            <w:right w:val="none" w:sz="0" w:space="0" w:color="auto"/>
          </w:divBdr>
        </w:div>
        <w:div w:id="2011831005">
          <w:marLeft w:val="640"/>
          <w:marRight w:val="0"/>
          <w:marTop w:val="0"/>
          <w:marBottom w:val="0"/>
          <w:divBdr>
            <w:top w:val="none" w:sz="0" w:space="0" w:color="auto"/>
            <w:left w:val="none" w:sz="0" w:space="0" w:color="auto"/>
            <w:bottom w:val="none" w:sz="0" w:space="0" w:color="auto"/>
            <w:right w:val="none" w:sz="0" w:space="0" w:color="auto"/>
          </w:divBdr>
        </w:div>
        <w:div w:id="1646734600">
          <w:marLeft w:val="640"/>
          <w:marRight w:val="0"/>
          <w:marTop w:val="0"/>
          <w:marBottom w:val="0"/>
          <w:divBdr>
            <w:top w:val="none" w:sz="0" w:space="0" w:color="auto"/>
            <w:left w:val="none" w:sz="0" w:space="0" w:color="auto"/>
            <w:bottom w:val="none" w:sz="0" w:space="0" w:color="auto"/>
            <w:right w:val="none" w:sz="0" w:space="0" w:color="auto"/>
          </w:divBdr>
        </w:div>
        <w:div w:id="1897814669">
          <w:marLeft w:val="640"/>
          <w:marRight w:val="0"/>
          <w:marTop w:val="0"/>
          <w:marBottom w:val="0"/>
          <w:divBdr>
            <w:top w:val="none" w:sz="0" w:space="0" w:color="auto"/>
            <w:left w:val="none" w:sz="0" w:space="0" w:color="auto"/>
            <w:bottom w:val="none" w:sz="0" w:space="0" w:color="auto"/>
            <w:right w:val="none" w:sz="0" w:space="0" w:color="auto"/>
          </w:divBdr>
        </w:div>
        <w:div w:id="1380351818">
          <w:marLeft w:val="640"/>
          <w:marRight w:val="0"/>
          <w:marTop w:val="0"/>
          <w:marBottom w:val="0"/>
          <w:divBdr>
            <w:top w:val="none" w:sz="0" w:space="0" w:color="auto"/>
            <w:left w:val="none" w:sz="0" w:space="0" w:color="auto"/>
            <w:bottom w:val="none" w:sz="0" w:space="0" w:color="auto"/>
            <w:right w:val="none" w:sz="0" w:space="0" w:color="auto"/>
          </w:divBdr>
        </w:div>
        <w:div w:id="1021930960">
          <w:marLeft w:val="640"/>
          <w:marRight w:val="0"/>
          <w:marTop w:val="0"/>
          <w:marBottom w:val="0"/>
          <w:divBdr>
            <w:top w:val="none" w:sz="0" w:space="0" w:color="auto"/>
            <w:left w:val="none" w:sz="0" w:space="0" w:color="auto"/>
            <w:bottom w:val="none" w:sz="0" w:space="0" w:color="auto"/>
            <w:right w:val="none" w:sz="0" w:space="0" w:color="auto"/>
          </w:divBdr>
        </w:div>
        <w:div w:id="862672929">
          <w:marLeft w:val="640"/>
          <w:marRight w:val="0"/>
          <w:marTop w:val="0"/>
          <w:marBottom w:val="0"/>
          <w:divBdr>
            <w:top w:val="none" w:sz="0" w:space="0" w:color="auto"/>
            <w:left w:val="none" w:sz="0" w:space="0" w:color="auto"/>
            <w:bottom w:val="none" w:sz="0" w:space="0" w:color="auto"/>
            <w:right w:val="none" w:sz="0" w:space="0" w:color="auto"/>
          </w:divBdr>
        </w:div>
        <w:div w:id="420293294">
          <w:marLeft w:val="640"/>
          <w:marRight w:val="0"/>
          <w:marTop w:val="0"/>
          <w:marBottom w:val="0"/>
          <w:divBdr>
            <w:top w:val="none" w:sz="0" w:space="0" w:color="auto"/>
            <w:left w:val="none" w:sz="0" w:space="0" w:color="auto"/>
            <w:bottom w:val="none" w:sz="0" w:space="0" w:color="auto"/>
            <w:right w:val="none" w:sz="0" w:space="0" w:color="auto"/>
          </w:divBdr>
        </w:div>
        <w:div w:id="1709138495">
          <w:marLeft w:val="640"/>
          <w:marRight w:val="0"/>
          <w:marTop w:val="0"/>
          <w:marBottom w:val="0"/>
          <w:divBdr>
            <w:top w:val="none" w:sz="0" w:space="0" w:color="auto"/>
            <w:left w:val="none" w:sz="0" w:space="0" w:color="auto"/>
            <w:bottom w:val="none" w:sz="0" w:space="0" w:color="auto"/>
            <w:right w:val="none" w:sz="0" w:space="0" w:color="auto"/>
          </w:divBdr>
        </w:div>
        <w:div w:id="1104612402">
          <w:marLeft w:val="640"/>
          <w:marRight w:val="0"/>
          <w:marTop w:val="0"/>
          <w:marBottom w:val="0"/>
          <w:divBdr>
            <w:top w:val="none" w:sz="0" w:space="0" w:color="auto"/>
            <w:left w:val="none" w:sz="0" w:space="0" w:color="auto"/>
            <w:bottom w:val="none" w:sz="0" w:space="0" w:color="auto"/>
            <w:right w:val="none" w:sz="0" w:space="0" w:color="auto"/>
          </w:divBdr>
        </w:div>
        <w:div w:id="184711102">
          <w:marLeft w:val="640"/>
          <w:marRight w:val="0"/>
          <w:marTop w:val="0"/>
          <w:marBottom w:val="0"/>
          <w:divBdr>
            <w:top w:val="none" w:sz="0" w:space="0" w:color="auto"/>
            <w:left w:val="none" w:sz="0" w:space="0" w:color="auto"/>
            <w:bottom w:val="none" w:sz="0" w:space="0" w:color="auto"/>
            <w:right w:val="none" w:sz="0" w:space="0" w:color="auto"/>
          </w:divBdr>
        </w:div>
        <w:div w:id="20060517">
          <w:marLeft w:val="640"/>
          <w:marRight w:val="0"/>
          <w:marTop w:val="0"/>
          <w:marBottom w:val="0"/>
          <w:divBdr>
            <w:top w:val="none" w:sz="0" w:space="0" w:color="auto"/>
            <w:left w:val="none" w:sz="0" w:space="0" w:color="auto"/>
            <w:bottom w:val="none" w:sz="0" w:space="0" w:color="auto"/>
            <w:right w:val="none" w:sz="0" w:space="0" w:color="auto"/>
          </w:divBdr>
        </w:div>
        <w:div w:id="1109472868">
          <w:marLeft w:val="640"/>
          <w:marRight w:val="0"/>
          <w:marTop w:val="0"/>
          <w:marBottom w:val="0"/>
          <w:divBdr>
            <w:top w:val="none" w:sz="0" w:space="0" w:color="auto"/>
            <w:left w:val="none" w:sz="0" w:space="0" w:color="auto"/>
            <w:bottom w:val="none" w:sz="0" w:space="0" w:color="auto"/>
            <w:right w:val="none" w:sz="0" w:space="0" w:color="auto"/>
          </w:divBdr>
        </w:div>
        <w:div w:id="1697651964">
          <w:marLeft w:val="640"/>
          <w:marRight w:val="0"/>
          <w:marTop w:val="0"/>
          <w:marBottom w:val="0"/>
          <w:divBdr>
            <w:top w:val="none" w:sz="0" w:space="0" w:color="auto"/>
            <w:left w:val="none" w:sz="0" w:space="0" w:color="auto"/>
            <w:bottom w:val="none" w:sz="0" w:space="0" w:color="auto"/>
            <w:right w:val="none" w:sz="0" w:space="0" w:color="auto"/>
          </w:divBdr>
        </w:div>
        <w:div w:id="1137378347">
          <w:marLeft w:val="640"/>
          <w:marRight w:val="0"/>
          <w:marTop w:val="0"/>
          <w:marBottom w:val="0"/>
          <w:divBdr>
            <w:top w:val="none" w:sz="0" w:space="0" w:color="auto"/>
            <w:left w:val="none" w:sz="0" w:space="0" w:color="auto"/>
            <w:bottom w:val="none" w:sz="0" w:space="0" w:color="auto"/>
            <w:right w:val="none" w:sz="0" w:space="0" w:color="auto"/>
          </w:divBdr>
        </w:div>
        <w:div w:id="367992674">
          <w:marLeft w:val="640"/>
          <w:marRight w:val="0"/>
          <w:marTop w:val="0"/>
          <w:marBottom w:val="0"/>
          <w:divBdr>
            <w:top w:val="none" w:sz="0" w:space="0" w:color="auto"/>
            <w:left w:val="none" w:sz="0" w:space="0" w:color="auto"/>
            <w:bottom w:val="none" w:sz="0" w:space="0" w:color="auto"/>
            <w:right w:val="none" w:sz="0" w:space="0" w:color="auto"/>
          </w:divBdr>
        </w:div>
        <w:div w:id="1869565241">
          <w:marLeft w:val="640"/>
          <w:marRight w:val="0"/>
          <w:marTop w:val="0"/>
          <w:marBottom w:val="0"/>
          <w:divBdr>
            <w:top w:val="none" w:sz="0" w:space="0" w:color="auto"/>
            <w:left w:val="none" w:sz="0" w:space="0" w:color="auto"/>
            <w:bottom w:val="none" w:sz="0" w:space="0" w:color="auto"/>
            <w:right w:val="none" w:sz="0" w:space="0" w:color="auto"/>
          </w:divBdr>
        </w:div>
        <w:div w:id="1705472452">
          <w:marLeft w:val="640"/>
          <w:marRight w:val="0"/>
          <w:marTop w:val="0"/>
          <w:marBottom w:val="0"/>
          <w:divBdr>
            <w:top w:val="none" w:sz="0" w:space="0" w:color="auto"/>
            <w:left w:val="none" w:sz="0" w:space="0" w:color="auto"/>
            <w:bottom w:val="none" w:sz="0" w:space="0" w:color="auto"/>
            <w:right w:val="none" w:sz="0" w:space="0" w:color="auto"/>
          </w:divBdr>
        </w:div>
        <w:div w:id="1900047785">
          <w:marLeft w:val="640"/>
          <w:marRight w:val="0"/>
          <w:marTop w:val="0"/>
          <w:marBottom w:val="0"/>
          <w:divBdr>
            <w:top w:val="none" w:sz="0" w:space="0" w:color="auto"/>
            <w:left w:val="none" w:sz="0" w:space="0" w:color="auto"/>
            <w:bottom w:val="none" w:sz="0" w:space="0" w:color="auto"/>
            <w:right w:val="none" w:sz="0" w:space="0" w:color="auto"/>
          </w:divBdr>
        </w:div>
        <w:div w:id="522675483">
          <w:marLeft w:val="640"/>
          <w:marRight w:val="0"/>
          <w:marTop w:val="0"/>
          <w:marBottom w:val="0"/>
          <w:divBdr>
            <w:top w:val="none" w:sz="0" w:space="0" w:color="auto"/>
            <w:left w:val="none" w:sz="0" w:space="0" w:color="auto"/>
            <w:bottom w:val="none" w:sz="0" w:space="0" w:color="auto"/>
            <w:right w:val="none" w:sz="0" w:space="0" w:color="auto"/>
          </w:divBdr>
        </w:div>
        <w:div w:id="118259139">
          <w:marLeft w:val="640"/>
          <w:marRight w:val="0"/>
          <w:marTop w:val="0"/>
          <w:marBottom w:val="0"/>
          <w:divBdr>
            <w:top w:val="none" w:sz="0" w:space="0" w:color="auto"/>
            <w:left w:val="none" w:sz="0" w:space="0" w:color="auto"/>
            <w:bottom w:val="none" w:sz="0" w:space="0" w:color="auto"/>
            <w:right w:val="none" w:sz="0" w:space="0" w:color="auto"/>
          </w:divBdr>
        </w:div>
        <w:div w:id="218057914">
          <w:marLeft w:val="640"/>
          <w:marRight w:val="0"/>
          <w:marTop w:val="0"/>
          <w:marBottom w:val="0"/>
          <w:divBdr>
            <w:top w:val="none" w:sz="0" w:space="0" w:color="auto"/>
            <w:left w:val="none" w:sz="0" w:space="0" w:color="auto"/>
            <w:bottom w:val="none" w:sz="0" w:space="0" w:color="auto"/>
            <w:right w:val="none" w:sz="0" w:space="0" w:color="auto"/>
          </w:divBdr>
        </w:div>
        <w:div w:id="1086994158">
          <w:marLeft w:val="640"/>
          <w:marRight w:val="0"/>
          <w:marTop w:val="0"/>
          <w:marBottom w:val="0"/>
          <w:divBdr>
            <w:top w:val="none" w:sz="0" w:space="0" w:color="auto"/>
            <w:left w:val="none" w:sz="0" w:space="0" w:color="auto"/>
            <w:bottom w:val="none" w:sz="0" w:space="0" w:color="auto"/>
            <w:right w:val="none" w:sz="0" w:space="0" w:color="auto"/>
          </w:divBdr>
        </w:div>
        <w:div w:id="495342727">
          <w:marLeft w:val="640"/>
          <w:marRight w:val="0"/>
          <w:marTop w:val="0"/>
          <w:marBottom w:val="0"/>
          <w:divBdr>
            <w:top w:val="none" w:sz="0" w:space="0" w:color="auto"/>
            <w:left w:val="none" w:sz="0" w:space="0" w:color="auto"/>
            <w:bottom w:val="none" w:sz="0" w:space="0" w:color="auto"/>
            <w:right w:val="none" w:sz="0" w:space="0" w:color="auto"/>
          </w:divBdr>
        </w:div>
        <w:div w:id="2035229361">
          <w:marLeft w:val="640"/>
          <w:marRight w:val="0"/>
          <w:marTop w:val="0"/>
          <w:marBottom w:val="0"/>
          <w:divBdr>
            <w:top w:val="none" w:sz="0" w:space="0" w:color="auto"/>
            <w:left w:val="none" w:sz="0" w:space="0" w:color="auto"/>
            <w:bottom w:val="none" w:sz="0" w:space="0" w:color="auto"/>
            <w:right w:val="none" w:sz="0" w:space="0" w:color="auto"/>
          </w:divBdr>
        </w:div>
        <w:div w:id="415399588">
          <w:marLeft w:val="640"/>
          <w:marRight w:val="0"/>
          <w:marTop w:val="0"/>
          <w:marBottom w:val="0"/>
          <w:divBdr>
            <w:top w:val="none" w:sz="0" w:space="0" w:color="auto"/>
            <w:left w:val="none" w:sz="0" w:space="0" w:color="auto"/>
            <w:bottom w:val="none" w:sz="0" w:space="0" w:color="auto"/>
            <w:right w:val="none" w:sz="0" w:space="0" w:color="auto"/>
          </w:divBdr>
        </w:div>
        <w:div w:id="1248081031">
          <w:marLeft w:val="640"/>
          <w:marRight w:val="0"/>
          <w:marTop w:val="0"/>
          <w:marBottom w:val="0"/>
          <w:divBdr>
            <w:top w:val="none" w:sz="0" w:space="0" w:color="auto"/>
            <w:left w:val="none" w:sz="0" w:space="0" w:color="auto"/>
            <w:bottom w:val="none" w:sz="0" w:space="0" w:color="auto"/>
            <w:right w:val="none" w:sz="0" w:space="0" w:color="auto"/>
          </w:divBdr>
        </w:div>
        <w:div w:id="219101201">
          <w:marLeft w:val="640"/>
          <w:marRight w:val="0"/>
          <w:marTop w:val="0"/>
          <w:marBottom w:val="0"/>
          <w:divBdr>
            <w:top w:val="none" w:sz="0" w:space="0" w:color="auto"/>
            <w:left w:val="none" w:sz="0" w:space="0" w:color="auto"/>
            <w:bottom w:val="none" w:sz="0" w:space="0" w:color="auto"/>
            <w:right w:val="none" w:sz="0" w:space="0" w:color="auto"/>
          </w:divBdr>
        </w:div>
        <w:div w:id="971133902">
          <w:marLeft w:val="640"/>
          <w:marRight w:val="0"/>
          <w:marTop w:val="0"/>
          <w:marBottom w:val="0"/>
          <w:divBdr>
            <w:top w:val="none" w:sz="0" w:space="0" w:color="auto"/>
            <w:left w:val="none" w:sz="0" w:space="0" w:color="auto"/>
            <w:bottom w:val="none" w:sz="0" w:space="0" w:color="auto"/>
            <w:right w:val="none" w:sz="0" w:space="0" w:color="auto"/>
          </w:divBdr>
        </w:div>
        <w:div w:id="2025325450">
          <w:marLeft w:val="640"/>
          <w:marRight w:val="0"/>
          <w:marTop w:val="0"/>
          <w:marBottom w:val="0"/>
          <w:divBdr>
            <w:top w:val="none" w:sz="0" w:space="0" w:color="auto"/>
            <w:left w:val="none" w:sz="0" w:space="0" w:color="auto"/>
            <w:bottom w:val="none" w:sz="0" w:space="0" w:color="auto"/>
            <w:right w:val="none" w:sz="0" w:space="0" w:color="auto"/>
          </w:divBdr>
        </w:div>
        <w:div w:id="855731398">
          <w:marLeft w:val="640"/>
          <w:marRight w:val="0"/>
          <w:marTop w:val="0"/>
          <w:marBottom w:val="0"/>
          <w:divBdr>
            <w:top w:val="none" w:sz="0" w:space="0" w:color="auto"/>
            <w:left w:val="none" w:sz="0" w:space="0" w:color="auto"/>
            <w:bottom w:val="none" w:sz="0" w:space="0" w:color="auto"/>
            <w:right w:val="none" w:sz="0" w:space="0" w:color="auto"/>
          </w:divBdr>
        </w:div>
        <w:div w:id="1796871023">
          <w:marLeft w:val="640"/>
          <w:marRight w:val="0"/>
          <w:marTop w:val="0"/>
          <w:marBottom w:val="0"/>
          <w:divBdr>
            <w:top w:val="none" w:sz="0" w:space="0" w:color="auto"/>
            <w:left w:val="none" w:sz="0" w:space="0" w:color="auto"/>
            <w:bottom w:val="none" w:sz="0" w:space="0" w:color="auto"/>
            <w:right w:val="none" w:sz="0" w:space="0" w:color="auto"/>
          </w:divBdr>
        </w:div>
        <w:div w:id="1633972638">
          <w:marLeft w:val="640"/>
          <w:marRight w:val="0"/>
          <w:marTop w:val="0"/>
          <w:marBottom w:val="0"/>
          <w:divBdr>
            <w:top w:val="none" w:sz="0" w:space="0" w:color="auto"/>
            <w:left w:val="none" w:sz="0" w:space="0" w:color="auto"/>
            <w:bottom w:val="none" w:sz="0" w:space="0" w:color="auto"/>
            <w:right w:val="none" w:sz="0" w:space="0" w:color="auto"/>
          </w:divBdr>
        </w:div>
        <w:div w:id="1490368212">
          <w:marLeft w:val="640"/>
          <w:marRight w:val="0"/>
          <w:marTop w:val="0"/>
          <w:marBottom w:val="0"/>
          <w:divBdr>
            <w:top w:val="none" w:sz="0" w:space="0" w:color="auto"/>
            <w:left w:val="none" w:sz="0" w:space="0" w:color="auto"/>
            <w:bottom w:val="none" w:sz="0" w:space="0" w:color="auto"/>
            <w:right w:val="none" w:sz="0" w:space="0" w:color="auto"/>
          </w:divBdr>
        </w:div>
        <w:div w:id="2047833138">
          <w:marLeft w:val="640"/>
          <w:marRight w:val="0"/>
          <w:marTop w:val="0"/>
          <w:marBottom w:val="0"/>
          <w:divBdr>
            <w:top w:val="none" w:sz="0" w:space="0" w:color="auto"/>
            <w:left w:val="none" w:sz="0" w:space="0" w:color="auto"/>
            <w:bottom w:val="none" w:sz="0" w:space="0" w:color="auto"/>
            <w:right w:val="none" w:sz="0" w:space="0" w:color="auto"/>
          </w:divBdr>
        </w:div>
        <w:div w:id="374232621">
          <w:marLeft w:val="640"/>
          <w:marRight w:val="0"/>
          <w:marTop w:val="0"/>
          <w:marBottom w:val="0"/>
          <w:divBdr>
            <w:top w:val="none" w:sz="0" w:space="0" w:color="auto"/>
            <w:left w:val="none" w:sz="0" w:space="0" w:color="auto"/>
            <w:bottom w:val="none" w:sz="0" w:space="0" w:color="auto"/>
            <w:right w:val="none" w:sz="0" w:space="0" w:color="auto"/>
          </w:divBdr>
        </w:div>
        <w:div w:id="1427917195">
          <w:marLeft w:val="640"/>
          <w:marRight w:val="0"/>
          <w:marTop w:val="0"/>
          <w:marBottom w:val="0"/>
          <w:divBdr>
            <w:top w:val="none" w:sz="0" w:space="0" w:color="auto"/>
            <w:left w:val="none" w:sz="0" w:space="0" w:color="auto"/>
            <w:bottom w:val="none" w:sz="0" w:space="0" w:color="auto"/>
            <w:right w:val="none" w:sz="0" w:space="0" w:color="auto"/>
          </w:divBdr>
        </w:div>
        <w:div w:id="375591596">
          <w:marLeft w:val="640"/>
          <w:marRight w:val="0"/>
          <w:marTop w:val="0"/>
          <w:marBottom w:val="0"/>
          <w:divBdr>
            <w:top w:val="none" w:sz="0" w:space="0" w:color="auto"/>
            <w:left w:val="none" w:sz="0" w:space="0" w:color="auto"/>
            <w:bottom w:val="none" w:sz="0" w:space="0" w:color="auto"/>
            <w:right w:val="none" w:sz="0" w:space="0" w:color="auto"/>
          </w:divBdr>
        </w:div>
        <w:div w:id="2095541867">
          <w:marLeft w:val="640"/>
          <w:marRight w:val="0"/>
          <w:marTop w:val="0"/>
          <w:marBottom w:val="0"/>
          <w:divBdr>
            <w:top w:val="none" w:sz="0" w:space="0" w:color="auto"/>
            <w:left w:val="none" w:sz="0" w:space="0" w:color="auto"/>
            <w:bottom w:val="none" w:sz="0" w:space="0" w:color="auto"/>
            <w:right w:val="none" w:sz="0" w:space="0" w:color="auto"/>
          </w:divBdr>
        </w:div>
        <w:div w:id="1950309215">
          <w:marLeft w:val="640"/>
          <w:marRight w:val="0"/>
          <w:marTop w:val="0"/>
          <w:marBottom w:val="0"/>
          <w:divBdr>
            <w:top w:val="none" w:sz="0" w:space="0" w:color="auto"/>
            <w:left w:val="none" w:sz="0" w:space="0" w:color="auto"/>
            <w:bottom w:val="none" w:sz="0" w:space="0" w:color="auto"/>
            <w:right w:val="none" w:sz="0" w:space="0" w:color="auto"/>
          </w:divBdr>
        </w:div>
        <w:div w:id="1329481572">
          <w:marLeft w:val="640"/>
          <w:marRight w:val="0"/>
          <w:marTop w:val="0"/>
          <w:marBottom w:val="0"/>
          <w:divBdr>
            <w:top w:val="none" w:sz="0" w:space="0" w:color="auto"/>
            <w:left w:val="none" w:sz="0" w:space="0" w:color="auto"/>
            <w:bottom w:val="none" w:sz="0" w:space="0" w:color="auto"/>
            <w:right w:val="none" w:sz="0" w:space="0" w:color="auto"/>
          </w:divBdr>
        </w:div>
        <w:div w:id="198473153">
          <w:marLeft w:val="640"/>
          <w:marRight w:val="0"/>
          <w:marTop w:val="0"/>
          <w:marBottom w:val="0"/>
          <w:divBdr>
            <w:top w:val="none" w:sz="0" w:space="0" w:color="auto"/>
            <w:left w:val="none" w:sz="0" w:space="0" w:color="auto"/>
            <w:bottom w:val="none" w:sz="0" w:space="0" w:color="auto"/>
            <w:right w:val="none" w:sz="0" w:space="0" w:color="auto"/>
          </w:divBdr>
        </w:div>
        <w:div w:id="1906642676">
          <w:marLeft w:val="640"/>
          <w:marRight w:val="0"/>
          <w:marTop w:val="0"/>
          <w:marBottom w:val="0"/>
          <w:divBdr>
            <w:top w:val="none" w:sz="0" w:space="0" w:color="auto"/>
            <w:left w:val="none" w:sz="0" w:space="0" w:color="auto"/>
            <w:bottom w:val="none" w:sz="0" w:space="0" w:color="auto"/>
            <w:right w:val="none" w:sz="0" w:space="0" w:color="auto"/>
          </w:divBdr>
        </w:div>
        <w:div w:id="1408259796">
          <w:marLeft w:val="640"/>
          <w:marRight w:val="0"/>
          <w:marTop w:val="0"/>
          <w:marBottom w:val="0"/>
          <w:divBdr>
            <w:top w:val="none" w:sz="0" w:space="0" w:color="auto"/>
            <w:left w:val="none" w:sz="0" w:space="0" w:color="auto"/>
            <w:bottom w:val="none" w:sz="0" w:space="0" w:color="auto"/>
            <w:right w:val="none" w:sz="0" w:space="0" w:color="auto"/>
          </w:divBdr>
        </w:div>
        <w:div w:id="467480648">
          <w:marLeft w:val="640"/>
          <w:marRight w:val="0"/>
          <w:marTop w:val="0"/>
          <w:marBottom w:val="0"/>
          <w:divBdr>
            <w:top w:val="none" w:sz="0" w:space="0" w:color="auto"/>
            <w:left w:val="none" w:sz="0" w:space="0" w:color="auto"/>
            <w:bottom w:val="none" w:sz="0" w:space="0" w:color="auto"/>
            <w:right w:val="none" w:sz="0" w:space="0" w:color="auto"/>
          </w:divBdr>
        </w:div>
        <w:div w:id="799230488">
          <w:marLeft w:val="640"/>
          <w:marRight w:val="0"/>
          <w:marTop w:val="0"/>
          <w:marBottom w:val="0"/>
          <w:divBdr>
            <w:top w:val="none" w:sz="0" w:space="0" w:color="auto"/>
            <w:left w:val="none" w:sz="0" w:space="0" w:color="auto"/>
            <w:bottom w:val="none" w:sz="0" w:space="0" w:color="auto"/>
            <w:right w:val="none" w:sz="0" w:space="0" w:color="auto"/>
          </w:divBdr>
        </w:div>
        <w:div w:id="1330253516">
          <w:marLeft w:val="640"/>
          <w:marRight w:val="0"/>
          <w:marTop w:val="0"/>
          <w:marBottom w:val="0"/>
          <w:divBdr>
            <w:top w:val="none" w:sz="0" w:space="0" w:color="auto"/>
            <w:left w:val="none" w:sz="0" w:space="0" w:color="auto"/>
            <w:bottom w:val="none" w:sz="0" w:space="0" w:color="auto"/>
            <w:right w:val="none" w:sz="0" w:space="0" w:color="auto"/>
          </w:divBdr>
        </w:div>
        <w:div w:id="1401322896">
          <w:marLeft w:val="640"/>
          <w:marRight w:val="0"/>
          <w:marTop w:val="0"/>
          <w:marBottom w:val="0"/>
          <w:divBdr>
            <w:top w:val="none" w:sz="0" w:space="0" w:color="auto"/>
            <w:left w:val="none" w:sz="0" w:space="0" w:color="auto"/>
            <w:bottom w:val="none" w:sz="0" w:space="0" w:color="auto"/>
            <w:right w:val="none" w:sz="0" w:space="0" w:color="auto"/>
          </w:divBdr>
        </w:div>
        <w:div w:id="766775056">
          <w:marLeft w:val="640"/>
          <w:marRight w:val="0"/>
          <w:marTop w:val="0"/>
          <w:marBottom w:val="0"/>
          <w:divBdr>
            <w:top w:val="none" w:sz="0" w:space="0" w:color="auto"/>
            <w:left w:val="none" w:sz="0" w:space="0" w:color="auto"/>
            <w:bottom w:val="none" w:sz="0" w:space="0" w:color="auto"/>
            <w:right w:val="none" w:sz="0" w:space="0" w:color="auto"/>
          </w:divBdr>
        </w:div>
        <w:div w:id="821045593">
          <w:marLeft w:val="640"/>
          <w:marRight w:val="0"/>
          <w:marTop w:val="0"/>
          <w:marBottom w:val="0"/>
          <w:divBdr>
            <w:top w:val="none" w:sz="0" w:space="0" w:color="auto"/>
            <w:left w:val="none" w:sz="0" w:space="0" w:color="auto"/>
            <w:bottom w:val="none" w:sz="0" w:space="0" w:color="auto"/>
            <w:right w:val="none" w:sz="0" w:space="0" w:color="auto"/>
          </w:divBdr>
        </w:div>
        <w:div w:id="1282958354">
          <w:marLeft w:val="640"/>
          <w:marRight w:val="0"/>
          <w:marTop w:val="0"/>
          <w:marBottom w:val="0"/>
          <w:divBdr>
            <w:top w:val="none" w:sz="0" w:space="0" w:color="auto"/>
            <w:left w:val="none" w:sz="0" w:space="0" w:color="auto"/>
            <w:bottom w:val="none" w:sz="0" w:space="0" w:color="auto"/>
            <w:right w:val="none" w:sz="0" w:space="0" w:color="auto"/>
          </w:divBdr>
        </w:div>
        <w:div w:id="1302614021">
          <w:marLeft w:val="640"/>
          <w:marRight w:val="0"/>
          <w:marTop w:val="0"/>
          <w:marBottom w:val="0"/>
          <w:divBdr>
            <w:top w:val="none" w:sz="0" w:space="0" w:color="auto"/>
            <w:left w:val="none" w:sz="0" w:space="0" w:color="auto"/>
            <w:bottom w:val="none" w:sz="0" w:space="0" w:color="auto"/>
            <w:right w:val="none" w:sz="0" w:space="0" w:color="auto"/>
          </w:divBdr>
        </w:div>
        <w:div w:id="1497069075">
          <w:marLeft w:val="640"/>
          <w:marRight w:val="0"/>
          <w:marTop w:val="0"/>
          <w:marBottom w:val="0"/>
          <w:divBdr>
            <w:top w:val="none" w:sz="0" w:space="0" w:color="auto"/>
            <w:left w:val="none" w:sz="0" w:space="0" w:color="auto"/>
            <w:bottom w:val="none" w:sz="0" w:space="0" w:color="auto"/>
            <w:right w:val="none" w:sz="0" w:space="0" w:color="auto"/>
          </w:divBdr>
        </w:div>
        <w:div w:id="1593512965">
          <w:marLeft w:val="640"/>
          <w:marRight w:val="0"/>
          <w:marTop w:val="0"/>
          <w:marBottom w:val="0"/>
          <w:divBdr>
            <w:top w:val="none" w:sz="0" w:space="0" w:color="auto"/>
            <w:left w:val="none" w:sz="0" w:space="0" w:color="auto"/>
            <w:bottom w:val="none" w:sz="0" w:space="0" w:color="auto"/>
            <w:right w:val="none" w:sz="0" w:space="0" w:color="auto"/>
          </w:divBdr>
        </w:div>
        <w:div w:id="397359538">
          <w:marLeft w:val="640"/>
          <w:marRight w:val="0"/>
          <w:marTop w:val="0"/>
          <w:marBottom w:val="0"/>
          <w:divBdr>
            <w:top w:val="none" w:sz="0" w:space="0" w:color="auto"/>
            <w:left w:val="none" w:sz="0" w:space="0" w:color="auto"/>
            <w:bottom w:val="none" w:sz="0" w:space="0" w:color="auto"/>
            <w:right w:val="none" w:sz="0" w:space="0" w:color="auto"/>
          </w:divBdr>
        </w:div>
        <w:div w:id="1794206814">
          <w:marLeft w:val="640"/>
          <w:marRight w:val="0"/>
          <w:marTop w:val="0"/>
          <w:marBottom w:val="0"/>
          <w:divBdr>
            <w:top w:val="none" w:sz="0" w:space="0" w:color="auto"/>
            <w:left w:val="none" w:sz="0" w:space="0" w:color="auto"/>
            <w:bottom w:val="none" w:sz="0" w:space="0" w:color="auto"/>
            <w:right w:val="none" w:sz="0" w:space="0" w:color="auto"/>
          </w:divBdr>
        </w:div>
        <w:div w:id="1784155750">
          <w:marLeft w:val="640"/>
          <w:marRight w:val="0"/>
          <w:marTop w:val="0"/>
          <w:marBottom w:val="0"/>
          <w:divBdr>
            <w:top w:val="none" w:sz="0" w:space="0" w:color="auto"/>
            <w:left w:val="none" w:sz="0" w:space="0" w:color="auto"/>
            <w:bottom w:val="none" w:sz="0" w:space="0" w:color="auto"/>
            <w:right w:val="none" w:sz="0" w:space="0" w:color="auto"/>
          </w:divBdr>
        </w:div>
        <w:div w:id="975332789">
          <w:marLeft w:val="640"/>
          <w:marRight w:val="0"/>
          <w:marTop w:val="0"/>
          <w:marBottom w:val="0"/>
          <w:divBdr>
            <w:top w:val="none" w:sz="0" w:space="0" w:color="auto"/>
            <w:left w:val="none" w:sz="0" w:space="0" w:color="auto"/>
            <w:bottom w:val="none" w:sz="0" w:space="0" w:color="auto"/>
            <w:right w:val="none" w:sz="0" w:space="0" w:color="auto"/>
          </w:divBdr>
        </w:div>
        <w:div w:id="1740128527">
          <w:marLeft w:val="640"/>
          <w:marRight w:val="0"/>
          <w:marTop w:val="0"/>
          <w:marBottom w:val="0"/>
          <w:divBdr>
            <w:top w:val="none" w:sz="0" w:space="0" w:color="auto"/>
            <w:left w:val="none" w:sz="0" w:space="0" w:color="auto"/>
            <w:bottom w:val="none" w:sz="0" w:space="0" w:color="auto"/>
            <w:right w:val="none" w:sz="0" w:space="0" w:color="auto"/>
          </w:divBdr>
        </w:div>
        <w:div w:id="1787581238">
          <w:marLeft w:val="640"/>
          <w:marRight w:val="0"/>
          <w:marTop w:val="0"/>
          <w:marBottom w:val="0"/>
          <w:divBdr>
            <w:top w:val="none" w:sz="0" w:space="0" w:color="auto"/>
            <w:left w:val="none" w:sz="0" w:space="0" w:color="auto"/>
            <w:bottom w:val="none" w:sz="0" w:space="0" w:color="auto"/>
            <w:right w:val="none" w:sz="0" w:space="0" w:color="auto"/>
          </w:divBdr>
        </w:div>
        <w:div w:id="157962006">
          <w:marLeft w:val="640"/>
          <w:marRight w:val="0"/>
          <w:marTop w:val="0"/>
          <w:marBottom w:val="0"/>
          <w:divBdr>
            <w:top w:val="none" w:sz="0" w:space="0" w:color="auto"/>
            <w:left w:val="none" w:sz="0" w:space="0" w:color="auto"/>
            <w:bottom w:val="none" w:sz="0" w:space="0" w:color="auto"/>
            <w:right w:val="none" w:sz="0" w:space="0" w:color="auto"/>
          </w:divBdr>
        </w:div>
        <w:div w:id="159007058">
          <w:marLeft w:val="640"/>
          <w:marRight w:val="0"/>
          <w:marTop w:val="0"/>
          <w:marBottom w:val="0"/>
          <w:divBdr>
            <w:top w:val="none" w:sz="0" w:space="0" w:color="auto"/>
            <w:left w:val="none" w:sz="0" w:space="0" w:color="auto"/>
            <w:bottom w:val="none" w:sz="0" w:space="0" w:color="auto"/>
            <w:right w:val="none" w:sz="0" w:space="0" w:color="auto"/>
          </w:divBdr>
        </w:div>
        <w:div w:id="2137871219">
          <w:marLeft w:val="640"/>
          <w:marRight w:val="0"/>
          <w:marTop w:val="0"/>
          <w:marBottom w:val="0"/>
          <w:divBdr>
            <w:top w:val="none" w:sz="0" w:space="0" w:color="auto"/>
            <w:left w:val="none" w:sz="0" w:space="0" w:color="auto"/>
            <w:bottom w:val="none" w:sz="0" w:space="0" w:color="auto"/>
            <w:right w:val="none" w:sz="0" w:space="0" w:color="auto"/>
          </w:divBdr>
        </w:div>
        <w:div w:id="615869324">
          <w:marLeft w:val="640"/>
          <w:marRight w:val="0"/>
          <w:marTop w:val="0"/>
          <w:marBottom w:val="0"/>
          <w:divBdr>
            <w:top w:val="none" w:sz="0" w:space="0" w:color="auto"/>
            <w:left w:val="none" w:sz="0" w:space="0" w:color="auto"/>
            <w:bottom w:val="none" w:sz="0" w:space="0" w:color="auto"/>
            <w:right w:val="none" w:sz="0" w:space="0" w:color="auto"/>
          </w:divBdr>
        </w:div>
        <w:div w:id="1218013774">
          <w:marLeft w:val="640"/>
          <w:marRight w:val="0"/>
          <w:marTop w:val="0"/>
          <w:marBottom w:val="0"/>
          <w:divBdr>
            <w:top w:val="none" w:sz="0" w:space="0" w:color="auto"/>
            <w:left w:val="none" w:sz="0" w:space="0" w:color="auto"/>
            <w:bottom w:val="none" w:sz="0" w:space="0" w:color="auto"/>
            <w:right w:val="none" w:sz="0" w:space="0" w:color="auto"/>
          </w:divBdr>
        </w:div>
        <w:div w:id="1240402919">
          <w:marLeft w:val="640"/>
          <w:marRight w:val="0"/>
          <w:marTop w:val="0"/>
          <w:marBottom w:val="0"/>
          <w:divBdr>
            <w:top w:val="none" w:sz="0" w:space="0" w:color="auto"/>
            <w:left w:val="none" w:sz="0" w:space="0" w:color="auto"/>
            <w:bottom w:val="none" w:sz="0" w:space="0" w:color="auto"/>
            <w:right w:val="none" w:sz="0" w:space="0" w:color="auto"/>
          </w:divBdr>
        </w:div>
        <w:div w:id="750082931">
          <w:marLeft w:val="640"/>
          <w:marRight w:val="0"/>
          <w:marTop w:val="0"/>
          <w:marBottom w:val="0"/>
          <w:divBdr>
            <w:top w:val="none" w:sz="0" w:space="0" w:color="auto"/>
            <w:left w:val="none" w:sz="0" w:space="0" w:color="auto"/>
            <w:bottom w:val="none" w:sz="0" w:space="0" w:color="auto"/>
            <w:right w:val="none" w:sz="0" w:space="0" w:color="auto"/>
          </w:divBdr>
        </w:div>
        <w:div w:id="248850232">
          <w:marLeft w:val="640"/>
          <w:marRight w:val="0"/>
          <w:marTop w:val="0"/>
          <w:marBottom w:val="0"/>
          <w:divBdr>
            <w:top w:val="none" w:sz="0" w:space="0" w:color="auto"/>
            <w:left w:val="none" w:sz="0" w:space="0" w:color="auto"/>
            <w:bottom w:val="none" w:sz="0" w:space="0" w:color="auto"/>
            <w:right w:val="none" w:sz="0" w:space="0" w:color="auto"/>
          </w:divBdr>
        </w:div>
        <w:div w:id="321783998">
          <w:marLeft w:val="640"/>
          <w:marRight w:val="0"/>
          <w:marTop w:val="0"/>
          <w:marBottom w:val="0"/>
          <w:divBdr>
            <w:top w:val="none" w:sz="0" w:space="0" w:color="auto"/>
            <w:left w:val="none" w:sz="0" w:space="0" w:color="auto"/>
            <w:bottom w:val="none" w:sz="0" w:space="0" w:color="auto"/>
            <w:right w:val="none" w:sz="0" w:space="0" w:color="auto"/>
          </w:divBdr>
        </w:div>
        <w:div w:id="899481800">
          <w:marLeft w:val="640"/>
          <w:marRight w:val="0"/>
          <w:marTop w:val="0"/>
          <w:marBottom w:val="0"/>
          <w:divBdr>
            <w:top w:val="none" w:sz="0" w:space="0" w:color="auto"/>
            <w:left w:val="none" w:sz="0" w:space="0" w:color="auto"/>
            <w:bottom w:val="none" w:sz="0" w:space="0" w:color="auto"/>
            <w:right w:val="none" w:sz="0" w:space="0" w:color="auto"/>
          </w:divBdr>
        </w:div>
        <w:div w:id="1749418820">
          <w:marLeft w:val="640"/>
          <w:marRight w:val="0"/>
          <w:marTop w:val="0"/>
          <w:marBottom w:val="0"/>
          <w:divBdr>
            <w:top w:val="none" w:sz="0" w:space="0" w:color="auto"/>
            <w:left w:val="none" w:sz="0" w:space="0" w:color="auto"/>
            <w:bottom w:val="none" w:sz="0" w:space="0" w:color="auto"/>
            <w:right w:val="none" w:sz="0" w:space="0" w:color="auto"/>
          </w:divBdr>
        </w:div>
        <w:div w:id="1521777590">
          <w:marLeft w:val="640"/>
          <w:marRight w:val="0"/>
          <w:marTop w:val="0"/>
          <w:marBottom w:val="0"/>
          <w:divBdr>
            <w:top w:val="none" w:sz="0" w:space="0" w:color="auto"/>
            <w:left w:val="none" w:sz="0" w:space="0" w:color="auto"/>
            <w:bottom w:val="none" w:sz="0" w:space="0" w:color="auto"/>
            <w:right w:val="none" w:sz="0" w:space="0" w:color="auto"/>
          </w:divBdr>
        </w:div>
        <w:div w:id="891499185">
          <w:marLeft w:val="640"/>
          <w:marRight w:val="0"/>
          <w:marTop w:val="0"/>
          <w:marBottom w:val="0"/>
          <w:divBdr>
            <w:top w:val="none" w:sz="0" w:space="0" w:color="auto"/>
            <w:left w:val="none" w:sz="0" w:space="0" w:color="auto"/>
            <w:bottom w:val="none" w:sz="0" w:space="0" w:color="auto"/>
            <w:right w:val="none" w:sz="0" w:space="0" w:color="auto"/>
          </w:divBdr>
        </w:div>
        <w:div w:id="1316496494">
          <w:marLeft w:val="640"/>
          <w:marRight w:val="0"/>
          <w:marTop w:val="0"/>
          <w:marBottom w:val="0"/>
          <w:divBdr>
            <w:top w:val="none" w:sz="0" w:space="0" w:color="auto"/>
            <w:left w:val="none" w:sz="0" w:space="0" w:color="auto"/>
            <w:bottom w:val="none" w:sz="0" w:space="0" w:color="auto"/>
            <w:right w:val="none" w:sz="0" w:space="0" w:color="auto"/>
          </w:divBdr>
        </w:div>
        <w:div w:id="1199078839">
          <w:marLeft w:val="640"/>
          <w:marRight w:val="0"/>
          <w:marTop w:val="0"/>
          <w:marBottom w:val="0"/>
          <w:divBdr>
            <w:top w:val="none" w:sz="0" w:space="0" w:color="auto"/>
            <w:left w:val="none" w:sz="0" w:space="0" w:color="auto"/>
            <w:bottom w:val="none" w:sz="0" w:space="0" w:color="auto"/>
            <w:right w:val="none" w:sz="0" w:space="0" w:color="auto"/>
          </w:divBdr>
        </w:div>
        <w:div w:id="1818183885">
          <w:marLeft w:val="640"/>
          <w:marRight w:val="0"/>
          <w:marTop w:val="0"/>
          <w:marBottom w:val="0"/>
          <w:divBdr>
            <w:top w:val="none" w:sz="0" w:space="0" w:color="auto"/>
            <w:left w:val="none" w:sz="0" w:space="0" w:color="auto"/>
            <w:bottom w:val="none" w:sz="0" w:space="0" w:color="auto"/>
            <w:right w:val="none" w:sz="0" w:space="0" w:color="auto"/>
          </w:divBdr>
        </w:div>
        <w:div w:id="890919752">
          <w:marLeft w:val="640"/>
          <w:marRight w:val="0"/>
          <w:marTop w:val="0"/>
          <w:marBottom w:val="0"/>
          <w:divBdr>
            <w:top w:val="none" w:sz="0" w:space="0" w:color="auto"/>
            <w:left w:val="none" w:sz="0" w:space="0" w:color="auto"/>
            <w:bottom w:val="none" w:sz="0" w:space="0" w:color="auto"/>
            <w:right w:val="none" w:sz="0" w:space="0" w:color="auto"/>
          </w:divBdr>
        </w:div>
        <w:div w:id="739906667">
          <w:marLeft w:val="640"/>
          <w:marRight w:val="0"/>
          <w:marTop w:val="0"/>
          <w:marBottom w:val="0"/>
          <w:divBdr>
            <w:top w:val="none" w:sz="0" w:space="0" w:color="auto"/>
            <w:left w:val="none" w:sz="0" w:space="0" w:color="auto"/>
            <w:bottom w:val="none" w:sz="0" w:space="0" w:color="auto"/>
            <w:right w:val="none" w:sz="0" w:space="0" w:color="auto"/>
          </w:divBdr>
        </w:div>
        <w:div w:id="2084984749">
          <w:marLeft w:val="640"/>
          <w:marRight w:val="0"/>
          <w:marTop w:val="0"/>
          <w:marBottom w:val="0"/>
          <w:divBdr>
            <w:top w:val="none" w:sz="0" w:space="0" w:color="auto"/>
            <w:left w:val="none" w:sz="0" w:space="0" w:color="auto"/>
            <w:bottom w:val="none" w:sz="0" w:space="0" w:color="auto"/>
            <w:right w:val="none" w:sz="0" w:space="0" w:color="auto"/>
          </w:divBdr>
        </w:div>
        <w:div w:id="525409105">
          <w:marLeft w:val="640"/>
          <w:marRight w:val="0"/>
          <w:marTop w:val="0"/>
          <w:marBottom w:val="0"/>
          <w:divBdr>
            <w:top w:val="none" w:sz="0" w:space="0" w:color="auto"/>
            <w:left w:val="none" w:sz="0" w:space="0" w:color="auto"/>
            <w:bottom w:val="none" w:sz="0" w:space="0" w:color="auto"/>
            <w:right w:val="none" w:sz="0" w:space="0" w:color="auto"/>
          </w:divBdr>
        </w:div>
        <w:div w:id="486550877">
          <w:marLeft w:val="640"/>
          <w:marRight w:val="0"/>
          <w:marTop w:val="0"/>
          <w:marBottom w:val="0"/>
          <w:divBdr>
            <w:top w:val="none" w:sz="0" w:space="0" w:color="auto"/>
            <w:left w:val="none" w:sz="0" w:space="0" w:color="auto"/>
            <w:bottom w:val="none" w:sz="0" w:space="0" w:color="auto"/>
            <w:right w:val="none" w:sz="0" w:space="0" w:color="auto"/>
          </w:divBdr>
        </w:div>
        <w:div w:id="1239751697">
          <w:marLeft w:val="640"/>
          <w:marRight w:val="0"/>
          <w:marTop w:val="0"/>
          <w:marBottom w:val="0"/>
          <w:divBdr>
            <w:top w:val="none" w:sz="0" w:space="0" w:color="auto"/>
            <w:left w:val="none" w:sz="0" w:space="0" w:color="auto"/>
            <w:bottom w:val="none" w:sz="0" w:space="0" w:color="auto"/>
            <w:right w:val="none" w:sz="0" w:space="0" w:color="auto"/>
          </w:divBdr>
        </w:div>
        <w:div w:id="739250468">
          <w:marLeft w:val="640"/>
          <w:marRight w:val="0"/>
          <w:marTop w:val="0"/>
          <w:marBottom w:val="0"/>
          <w:divBdr>
            <w:top w:val="none" w:sz="0" w:space="0" w:color="auto"/>
            <w:left w:val="none" w:sz="0" w:space="0" w:color="auto"/>
            <w:bottom w:val="none" w:sz="0" w:space="0" w:color="auto"/>
            <w:right w:val="none" w:sz="0" w:space="0" w:color="auto"/>
          </w:divBdr>
        </w:div>
        <w:div w:id="1394936769">
          <w:marLeft w:val="640"/>
          <w:marRight w:val="0"/>
          <w:marTop w:val="0"/>
          <w:marBottom w:val="0"/>
          <w:divBdr>
            <w:top w:val="none" w:sz="0" w:space="0" w:color="auto"/>
            <w:left w:val="none" w:sz="0" w:space="0" w:color="auto"/>
            <w:bottom w:val="none" w:sz="0" w:space="0" w:color="auto"/>
            <w:right w:val="none" w:sz="0" w:space="0" w:color="auto"/>
          </w:divBdr>
        </w:div>
        <w:div w:id="1863594408">
          <w:marLeft w:val="640"/>
          <w:marRight w:val="0"/>
          <w:marTop w:val="0"/>
          <w:marBottom w:val="0"/>
          <w:divBdr>
            <w:top w:val="none" w:sz="0" w:space="0" w:color="auto"/>
            <w:left w:val="none" w:sz="0" w:space="0" w:color="auto"/>
            <w:bottom w:val="none" w:sz="0" w:space="0" w:color="auto"/>
            <w:right w:val="none" w:sz="0" w:space="0" w:color="auto"/>
          </w:divBdr>
        </w:div>
        <w:div w:id="433676303">
          <w:marLeft w:val="640"/>
          <w:marRight w:val="0"/>
          <w:marTop w:val="0"/>
          <w:marBottom w:val="0"/>
          <w:divBdr>
            <w:top w:val="none" w:sz="0" w:space="0" w:color="auto"/>
            <w:left w:val="none" w:sz="0" w:space="0" w:color="auto"/>
            <w:bottom w:val="none" w:sz="0" w:space="0" w:color="auto"/>
            <w:right w:val="none" w:sz="0" w:space="0" w:color="auto"/>
          </w:divBdr>
        </w:div>
        <w:div w:id="1328561305">
          <w:marLeft w:val="640"/>
          <w:marRight w:val="0"/>
          <w:marTop w:val="0"/>
          <w:marBottom w:val="0"/>
          <w:divBdr>
            <w:top w:val="none" w:sz="0" w:space="0" w:color="auto"/>
            <w:left w:val="none" w:sz="0" w:space="0" w:color="auto"/>
            <w:bottom w:val="none" w:sz="0" w:space="0" w:color="auto"/>
            <w:right w:val="none" w:sz="0" w:space="0" w:color="auto"/>
          </w:divBdr>
        </w:div>
        <w:div w:id="154959605">
          <w:marLeft w:val="640"/>
          <w:marRight w:val="0"/>
          <w:marTop w:val="0"/>
          <w:marBottom w:val="0"/>
          <w:divBdr>
            <w:top w:val="none" w:sz="0" w:space="0" w:color="auto"/>
            <w:left w:val="none" w:sz="0" w:space="0" w:color="auto"/>
            <w:bottom w:val="none" w:sz="0" w:space="0" w:color="auto"/>
            <w:right w:val="none" w:sz="0" w:space="0" w:color="auto"/>
          </w:divBdr>
        </w:div>
        <w:div w:id="531385377">
          <w:marLeft w:val="640"/>
          <w:marRight w:val="0"/>
          <w:marTop w:val="0"/>
          <w:marBottom w:val="0"/>
          <w:divBdr>
            <w:top w:val="none" w:sz="0" w:space="0" w:color="auto"/>
            <w:left w:val="none" w:sz="0" w:space="0" w:color="auto"/>
            <w:bottom w:val="none" w:sz="0" w:space="0" w:color="auto"/>
            <w:right w:val="none" w:sz="0" w:space="0" w:color="auto"/>
          </w:divBdr>
        </w:div>
        <w:div w:id="1116411817">
          <w:marLeft w:val="640"/>
          <w:marRight w:val="0"/>
          <w:marTop w:val="0"/>
          <w:marBottom w:val="0"/>
          <w:divBdr>
            <w:top w:val="none" w:sz="0" w:space="0" w:color="auto"/>
            <w:left w:val="none" w:sz="0" w:space="0" w:color="auto"/>
            <w:bottom w:val="none" w:sz="0" w:space="0" w:color="auto"/>
            <w:right w:val="none" w:sz="0" w:space="0" w:color="auto"/>
          </w:divBdr>
        </w:div>
        <w:div w:id="1969168435">
          <w:marLeft w:val="640"/>
          <w:marRight w:val="0"/>
          <w:marTop w:val="0"/>
          <w:marBottom w:val="0"/>
          <w:divBdr>
            <w:top w:val="none" w:sz="0" w:space="0" w:color="auto"/>
            <w:left w:val="none" w:sz="0" w:space="0" w:color="auto"/>
            <w:bottom w:val="none" w:sz="0" w:space="0" w:color="auto"/>
            <w:right w:val="none" w:sz="0" w:space="0" w:color="auto"/>
          </w:divBdr>
        </w:div>
        <w:div w:id="624584712">
          <w:marLeft w:val="640"/>
          <w:marRight w:val="0"/>
          <w:marTop w:val="0"/>
          <w:marBottom w:val="0"/>
          <w:divBdr>
            <w:top w:val="none" w:sz="0" w:space="0" w:color="auto"/>
            <w:left w:val="none" w:sz="0" w:space="0" w:color="auto"/>
            <w:bottom w:val="none" w:sz="0" w:space="0" w:color="auto"/>
            <w:right w:val="none" w:sz="0" w:space="0" w:color="auto"/>
          </w:divBdr>
        </w:div>
        <w:div w:id="523204819">
          <w:marLeft w:val="640"/>
          <w:marRight w:val="0"/>
          <w:marTop w:val="0"/>
          <w:marBottom w:val="0"/>
          <w:divBdr>
            <w:top w:val="none" w:sz="0" w:space="0" w:color="auto"/>
            <w:left w:val="none" w:sz="0" w:space="0" w:color="auto"/>
            <w:bottom w:val="none" w:sz="0" w:space="0" w:color="auto"/>
            <w:right w:val="none" w:sz="0" w:space="0" w:color="auto"/>
          </w:divBdr>
        </w:div>
        <w:div w:id="151800090">
          <w:marLeft w:val="640"/>
          <w:marRight w:val="0"/>
          <w:marTop w:val="0"/>
          <w:marBottom w:val="0"/>
          <w:divBdr>
            <w:top w:val="none" w:sz="0" w:space="0" w:color="auto"/>
            <w:left w:val="none" w:sz="0" w:space="0" w:color="auto"/>
            <w:bottom w:val="none" w:sz="0" w:space="0" w:color="auto"/>
            <w:right w:val="none" w:sz="0" w:space="0" w:color="auto"/>
          </w:divBdr>
        </w:div>
        <w:div w:id="1067220914">
          <w:marLeft w:val="640"/>
          <w:marRight w:val="0"/>
          <w:marTop w:val="0"/>
          <w:marBottom w:val="0"/>
          <w:divBdr>
            <w:top w:val="none" w:sz="0" w:space="0" w:color="auto"/>
            <w:left w:val="none" w:sz="0" w:space="0" w:color="auto"/>
            <w:bottom w:val="none" w:sz="0" w:space="0" w:color="auto"/>
            <w:right w:val="none" w:sz="0" w:space="0" w:color="auto"/>
          </w:divBdr>
        </w:div>
        <w:div w:id="1777673114">
          <w:marLeft w:val="640"/>
          <w:marRight w:val="0"/>
          <w:marTop w:val="0"/>
          <w:marBottom w:val="0"/>
          <w:divBdr>
            <w:top w:val="none" w:sz="0" w:space="0" w:color="auto"/>
            <w:left w:val="none" w:sz="0" w:space="0" w:color="auto"/>
            <w:bottom w:val="none" w:sz="0" w:space="0" w:color="auto"/>
            <w:right w:val="none" w:sz="0" w:space="0" w:color="auto"/>
          </w:divBdr>
        </w:div>
        <w:div w:id="263152444">
          <w:marLeft w:val="640"/>
          <w:marRight w:val="0"/>
          <w:marTop w:val="0"/>
          <w:marBottom w:val="0"/>
          <w:divBdr>
            <w:top w:val="none" w:sz="0" w:space="0" w:color="auto"/>
            <w:left w:val="none" w:sz="0" w:space="0" w:color="auto"/>
            <w:bottom w:val="none" w:sz="0" w:space="0" w:color="auto"/>
            <w:right w:val="none" w:sz="0" w:space="0" w:color="auto"/>
          </w:divBdr>
        </w:div>
        <w:div w:id="284653852">
          <w:marLeft w:val="640"/>
          <w:marRight w:val="0"/>
          <w:marTop w:val="0"/>
          <w:marBottom w:val="0"/>
          <w:divBdr>
            <w:top w:val="none" w:sz="0" w:space="0" w:color="auto"/>
            <w:left w:val="none" w:sz="0" w:space="0" w:color="auto"/>
            <w:bottom w:val="none" w:sz="0" w:space="0" w:color="auto"/>
            <w:right w:val="none" w:sz="0" w:space="0" w:color="auto"/>
          </w:divBdr>
        </w:div>
        <w:div w:id="169105221">
          <w:marLeft w:val="640"/>
          <w:marRight w:val="0"/>
          <w:marTop w:val="0"/>
          <w:marBottom w:val="0"/>
          <w:divBdr>
            <w:top w:val="none" w:sz="0" w:space="0" w:color="auto"/>
            <w:left w:val="none" w:sz="0" w:space="0" w:color="auto"/>
            <w:bottom w:val="none" w:sz="0" w:space="0" w:color="auto"/>
            <w:right w:val="none" w:sz="0" w:space="0" w:color="auto"/>
          </w:divBdr>
        </w:div>
        <w:div w:id="244850091">
          <w:marLeft w:val="640"/>
          <w:marRight w:val="0"/>
          <w:marTop w:val="0"/>
          <w:marBottom w:val="0"/>
          <w:divBdr>
            <w:top w:val="none" w:sz="0" w:space="0" w:color="auto"/>
            <w:left w:val="none" w:sz="0" w:space="0" w:color="auto"/>
            <w:bottom w:val="none" w:sz="0" w:space="0" w:color="auto"/>
            <w:right w:val="none" w:sz="0" w:space="0" w:color="auto"/>
          </w:divBdr>
        </w:div>
        <w:div w:id="975182705">
          <w:marLeft w:val="640"/>
          <w:marRight w:val="0"/>
          <w:marTop w:val="0"/>
          <w:marBottom w:val="0"/>
          <w:divBdr>
            <w:top w:val="none" w:sz="0" w:space="0" w:color="auto"/>
            <w:left w:val="none" w:sz="0" w:space="0" w:color="auto"/>
            <w:bottom w:val="none" w:sz="0" w:space="0" w:color="auto"/>
            <w:right w:val="none" w:sz="0" w:space="0" w:color="auto"/>
          </w:divBdr>
        </w:div>
        <w:div w:id="1207177830">
          <w:marLeft w:val="640"/>
          <w:marRight w:val="0"/>
          <w:marTop w:val="0"/>
          <w:marBottom w:val="0"/>
          <w:divBdr>
            <w:top w:val="none" w:sz="0" w:space="0" w:color="auto"/>
            <w:left w:val="none" w:sz="0" w:space="0" w:color="auto"/>
            <w:bottom w:val="none" w:sz="0" w:space="0" w:color="auto"/>
            <w:right w:val="none" w:sz="0" w:space="0" w:color="auto"/>
          </w:divBdr>
        </w:div>
        <w:div w:id="1874728094">
          <w:marLeft w:val="640"/>
          <w:marRight w:val="0"/>
          <w:marTop w:val="0"/>
          <w:marBottom w:val="0"/>
          <w:divBdr>
            <w:top w:val="none" w:sz="0" w:space="0" w:color="auto"/>
            <w:left w:val="none" w:sz="0" w:space="0" w:color="auto"/>
            <w:bottom w:val="none" w:sz="0" w:space="0" w:color="auto"/>
            <w:right w:val="none" w:sz="0" w:space="0" w:color="auto"/>
          </w:divBdr>
        </w:div>
        <w:div w:id="1339313323">
          <w:marLeft w:val="640"/>
          <w:marRight w:val="0"/>
          <w:marTop w:val="0"/>
          <w:marBottom w:val="0"/>
          <w:divBdr>
            <w:top w:val="none" w:sz="0" w:space="0" w:color="auto"/>
            <w:left w:val="none" w:sz="0" w:space="0" w:color="auto"/>
            <w:bottom w:val="none" w:sz="0" w:space="0" w:color="auto"/>
            <w:right w:val="none" w:sz="0" w:space="0" w:color="auto"/>
          </w:divBdr>
        </w:div>
        <w:div w:id="2122412071">
          <w:marLeft w:val="640"/>
          <w:marRight w:val="0"/>
          <w:marTop w:val="0"/>
          <w:marBottom w:val="0"/>
          <w:divBdr>
            <w:top w:val="none" w:sz="0" w:space="0" w:color="auto"/>
            <w:left w:val="none" w:sz="0" w:space="0" w:color="auto"/>
            <w:bottom w:val="none" w:sz="0" w:space="0" w:color="auto"/>
            <w:right w:val="none" w:sz="0" w:space="0" w:color="auto"/>
          </w:divBdr>
        </w:div>
        <w:div w:id="1352101244">
          <w:marLeft w:val="640"/>
          <w:marRight w:val="0"/>
          <w:marTop w:val="0"/>
          <w:marBottom w:val="0"/>
          <w:divBdr>
            <w:top w:val="none" w:sz="0" w:space="0" w:color="auto"/>
            <w:left w:val="none" w:sz="0" w:space="0" w:color="auto"/>
            <w:bottom w:val="none" w:sz="0" w:space="0" w:color="auto"/>
            <w:right w:val="none" w:sz="0" w:space="0" w:color="auto"/>
          </w:divBdr>
        </w:div>
        <w:div w:id="1844851565">
          <w:marLeft w:val="640"/>
          <w:marRight w:val="0"/>
          <w:marTop w:val="0"/>
          <w:marBottom w:val="0"/>
          <w:divBdr>
            <w:top w:val="none" w:sz="0" w:space="0" w:color="auto"/>
            <w:left w:val="none" w:sz="0" w:space="0" w:color="auto"/>
            <w:bottom w:val="none" w:sz="0" w:space="0" w:color="auto"/>
            <w:right w:val="none" w:sz="0" w:space="0" w:color="auto"/>
          </w:divBdr>
        </w:div>
        <w:div w:id="1435711946">
          <w:marLeft w:val="640"/>
          <w:marRight w:val="0"/>
          <w:marTop w:val="0"/>
          <w:marBottom w:val="0"/>
          <w:divBdr>
            <w:top w:val="none" w:sz="0" w:space="0" w:color="auto"/>
            <w:left w:val="none" w:sz="0" w:space="0" w:color="auto"/>
            <w:bottom w:val="none" w:sz="0" w:space="0" w:color="auto"/>
            <w:right w:val="none" w:sz="0" w:space="0" w:color="auto"/>
          </w:divBdr>
        </w:div>
        <w:div w:id="1495103025">
          <w:marLeft w:val="640"/>
          <w:marRight w:val="0"/>
          <w:marTop w:val="0"/>
          <w:marBottom w:val="0"/>
          <w:divBdr>
            <w:top w:val="none" w:sz="0" w:space="0" w:color="auto"/>
            <w:left w:val="none" w:sz="0" w:space="0" w:color="auto"/>
            <w:bottom w:val="none" w:sz="0" w:space="0" w:color="auto"/>
            <w:right w:val="none" w:sz="0" w:space="0" w:color="auto"/>
          </w:divBdr>
        </w:div>
        <w:div w:id="466121020">
          <w:marLeft w:val="640"/>
          <w:marRight w:val="0"/>
          <w:marTop w:val="0"/>
          <w:marBottom w:val="0"/>
          <w:divBdr>
            <w:top w:val="none" w:sz="0" w:space="0" w:color="auto"/>
            <w:left w:val="none" w:sz="0" w:space="0" w:color="auto"/>
            <w:bottom w:val="none" w:sz="0" w:space="0" w:color="auto"/>
            <w:right w:val="none" w:sz="0" w:space="0" w:color="auto"/>
          </w:divBdr>
        </w:div>
        <w:div w:id="758255993">
          <w:marLeft w:val="640"/>
          <w:marRight w:val="0"/>
          <w:marTop w:val="0"/>
          <w:marBottom w:val="0"/>
          <w:divBdr>
            <w:top w:val="none" w:sz="0" w:space="0" w:color="auto"/>
            <w:left w:val="none" w:sz="0" w:space="0" w:color="auto"/>
            <w:bottom w:val="none" w:sz="0" w:space="0" w:color="auto"/>
            <w:right w:val="none" w:sz="0" w:space="0" w:color="auto"/>
          </w:divBdr>
        </w:div>
        <w:div w:id="1422530559">
          <w:marLeft w:val="640"/>
          <w:marRight w:val="0"/>
          <w:marTop w:val="0"/>
          <w:marBottom w:val="0"/>
          <w:divBdr>
            <w:top w:val="none" w:sz="0" w:space="0" w:color="auto"/>
            <w:left w:val="none" w:sz="0" w:space="0" w:color="auto"/>
            <w:bottom w:val="none" w:sz="0" w:space="0" w:color="auto"/>
            <w:right w:val="none" w:sz="0" w:space="0" w:color="auto"/>
          </w:divBdr>
        </w:div>
        <w:div w:id="938487790">
          <w:marLeft w:val="640"/>
          <w:marRight w:val="0"/>
          <w:marTop w:val="0"/>
          <w:marBottom w:val="0"/>
          <w:divBdr>
            <w:top w:val="none" w:sz="0" w:space="0" w:color="auto"/>
            <w:left w:val="none" w:sz="0" w:space="0" w:color="auto"/>
            <w:bottom w:val="none" w:sz="0" w:space="0" w:color="auto"/>
            <w:right w:val="none" w:sz="0" w:space="0" w:color="auto"/>
          </w:divBdr>
        </w:div>
        <w:div w:id="1122770730">
          <w:marLeft w:val="640"/>
          <w:marRight w:val="0"/>
          <w:marTop w:val="0"/>
          <w:marBottom w:val="0"/>
          <w:divBdr>
            <w:top w:val="none" w:sz="0" w:space="0" w:color="auto"/>
            <w:left w:val="none" w:sz="0" w:space="0" w:color="auto"/>
            <w:bottom w:val="none" w:sz="0" w:space="0" w:color="auto"/>
            <w:right w:val="none" w:sz="0" w:space="0" w:color="auto"/>
          </w:divBdr>
        </w:div>
        <w:div w:id="1516845197">
          <w:marLeft w:val="640"/>
          <w:marRight w:val="0"/>
          <w:marTop w:val="0"/>
          <w:marBottom w:val="0"/>
          <w:divBdr>
            <w:top w:val="none" w:sz="0" w:space="0" w:color="auto"/>
            <w:left w:val="none" w:sz="0" w:space="0" w:color="auto"/>
            <w:bottom w:val="none" w:sz="0" w:space="0" w:color="auto"/>
            <w:right w:val="none" w:sz="0" w:space="0" w:color="auto"/>
          </w:divBdr>
        </w:div>
        <w:div w:id="232161107">
          <w:marLeft w:val="640"/>
          <w:marRight w:val="0"/>
          <w:marTop w:val="0"/>
          <w:marBottom w:val="0"/>
          <w:divBdr>
            <w:top w:val="none" w:sz="0" w:space="0" w:color="auto"/>
            <w:left w:val="none" w:sz="0" w:space="0" w:color="auto"/>
            <w:bottom w:val="none" w:sz="0" w:space="0" w:color="auto"/>
            <w:right w:val="none" w:sz="0" w:space="0" w:color="auto"/>
          </w:divBdr>
        </w:div>
        <w:div w:id="886797134">
          <w:marLeft w:val="640"/>
          <w:marRight w:val="0"/>
          <w:marTop w:val="0"/>
          <w:marBottom w:val="0"/>
          <w:divBdr>
            <w:top w:val="none" w:sz="0" w:space="0" w:color="auto"/>
            <w:left w:val="none" w:sz="0" w:space="0" w:color="auto"/>
            <w:bottom w:val="none" w:sz="0" w:space="0" w:color="auto"/>
            <w:right w:val="none" w:sz="0" w:space="0" w:color="auto"/>
          </w:divBdr>
        </w:div>
        <w:div w:id="71633743">
          <w:marLeft w:val="640"/>
          <w:marRight w:val="0"/>
          <w:marTop w:val="0"/>
          <w:marBottom w:val="0"/>
          <w:divBdr>
            <w:top w:val="none" w:sz="0" w:space="0" w:color="auto"/>
            <w:left w:val="none" w:sz="0" w:space="0" w:color="auto"/>
            <w:bottom w:val="none" w:sz="0" w:space="0" w:color="auto"/>
            <w:right w:val="none" w:sz="0" w:space="0" w:color="auto"/>
          </w:divBdr>
        </w:div>
        <w:div w:id="1565608041">
          <w:marLeft w:val="640"/>
          <w:marRight w:val="0"/>
          <w:marTop w:val="0"/>
          <w:marBottom w:val="0"/>
          <w:divBdr>
            <w:top w:val="none" w:sz="0" w:space="0" w:color="auto"/>
            <w:left w:val="none" w:sz="0" w:space="0" w:color="auto"/>
            <w:bottom w:val="none" w:sz="0" w:space="0" w:color="auto"/>
            <w:right w:val="none" w:sz="0" w:space="0" w:color="auto"/>
          </w:divBdr>
        </w:div>
        <w:div w:id="1004433894">
          <w:marLeft w:val="640"/>
          <w:marRight w:val="0"/>
          <w:marTop w:val="0"/>
          <w:marBottom w:val="0"/>
          <w:divBdr>
            <w:top w:val="none" w:sz="0" w:space="0" w:color="auto"/>
            <w:left w:val="none" w:sz="0" w:space="0" w:color="auto"/>
            <w:bottom w:val="none" w:sz="0" w:space="0" w:color="auto"/>
            <w:right w:val="none" w:sz="0" w:space="0" w:color="auto"/>
          </w:divBdr>
        </w:div>
        <w:div w:id="633145718">
          <w:marLeft w:val="640"/>
          <w:marRight w:val="0"/>
          <w:marTop w:val="0"/>
          <w:marBottom w:val="0"/>
          <w:divBdr>
            <w:top w:val="none" w:sz="0" w:space="0" w:color="auto"/>
            <w:left w:val="none" w:sz="0" w:space="0" w:color="auto"/>
            <w:bottom w:val="none" w:sz="0" w:space="0" w:color="auto"/>
            <w:right w:val="none" w:sz="0" w:space="0" w:color="auto"/>
          </w:divBdr>
        </w:div>
        <w:div w:id="1002471055">
          <w:marLeft w:val="640"/>
          <w:marRight w:val="0"/>
          <w:marTop w:val="0"/>
          <w:marBottom w:val="0"/>
          <w:divBdr>
            <w:top w:val="none" w:sz="0" w:space="0" w:color="auto"/>
            <w:left w:val="none" w:sz="0" w:space="0" w:color="auto"/>
            <w:bottom w:val="none" w:sz="0" w:space="0" w:color="auto"/>
            <w:right w:val="none" w:sz="0" w:space="0" w:color="auto"/>
          </w:divBdr>
        </w:div>
        <w:div w:id="261188417">
          <w:marLeft w:val="640"/>
          <w:marRight w:val="0"/>
          <w:marTop w:val="0"/>
          <w:marBottom w:val="0"/>
          <w:divBdr>
            <w:top w:val="none" w:sz="0" w:space="0" w:color="auto"/>
            <w:left w:val="none" w:sz="0" w:space="0" w:color="auto"/>
            <w:bottom w:val="none" w:sz="0" w:space="0" w:color="auto"/>
            <w:right w:val="none" w:sz="0" w:space="0" w:color="auto"/>
          </w:divBdr>
        </w:div>
        <w:div w:id="255283849">
          <w:marLeft w:val="640"/>
          <w:marRight w:val="0"/>
          <w:marTop w:val="0"/>
          <w:marBottom w:val="0"/>
          <w:divBdr>
            <w:top w:val="none" w:sz="0" w:space="0" w:color="auto"/>
            <w:left w:val="none" w:sz="0" w:space="0" w:color="auto"/>
            <w:bottom w:val="none" w:sz="0" w:space="0" w:color="auto"/>
            <w:right w:val="none" w:sz="0" w:space="0" w:color="auto"/>
          </w:divBdr>
        </w:div>
        <w:div w:id="884752113">
          <w:marLeft w:val="640"/>
          <w:marRight w:val="0"/>
          <w:marTop w:val="0"/>
          <w:marBottom w:val="0"/>
          <w:divBdr>
            <w:top w:val="none" w:sz="0" w:space="0" w:color="auto"/>
            <w:left w:val="none" w:sz="0" w:space="0" w:color="auto"/>
            <w:bottom w:val="none" w:sz="0" w:space="0" w:color="auto"/>
            <w:right w:val="none" w:sz="0" w:space="0" w:color="auto"/>
          </w:divBdr>
        </w:div>
        <w:div w:id="1451510586">
          <w:marLeft w:val="640"/>
          <w:marRight w:val="0"/>
          <w:marTop w:val="0"/>
          <w:marBottom w:val="0"/>
          <w:divBdr>
            <w:top w:val="none" w:sz="0" w:space="0" w:color="auto"/>
            <w:left w:val="none" w:sz="0" w:space="0" w:color="auto"/>
            <w:bottom w:val="none" w:sz="0" w:space="0" w:color="auto"/>
            <w:right w:val="none" w:sz="0" w:space="0" w:color="auto"/>
          </w:divBdr>
        </w:div>
        <w:div w:id="1636326563">
          <w:marLeft w:val="640"/>
          <w:marRight w:val="0"/>
          <w:marTop w:val="0"/>
          <w:marBottom w:val="0"/>
          <w:divBdr>
            <w:top w:val="none" w:sz="0" w:space="0" w:color="auto"/>
            <w:left w:val="none" w:sz="0" w:space="0" w:color="auto"/>
            <w:bottom w:val="none" w:sz="0" w:space="0" w:color="auto"/>
            <w:right w:val="none" w:sz="0" w:space="0" w:color="auto"/>
          </w:divBdr>
        </w:div>
        <w:div w:id="729772971">
          <w:marLeft w:val="640"/>
          <w:marRight w:val="0"/>
          <w:marTop w:val="0"/>
          <w:marBottom w:val="0"/>
          <w:divBdr>
            <w:top w:val="none" w:sz="0" w:space="0" w:color="auto"/>
            <w:left w:val="none" w:sz="0" w:space="0" w:color="auto"/>
            <w:bottom w:val="none" w:sz="0" w:space="0" w:color="auto"/>
            <w:right w:val="none" w:sz="0" w:space="0" w:color="auto"/>
          </w:divBdr>
        </w:div>
        <w:div w:id="1386683364">
          <w:marLeft w:val="640"/>
          <w:marRight w:val="0"/>
          <w:marTop w:val="0"/>
          <w:marBottom w:val="0"/>
          <w:divBdr>
            <w:top w:val="none" w:sz="0" w:space="0" w:color="auto"/>
            <w:left w:val="none" w:sz="0" w:space="0" w:color="auto"/>
            <w:bottom w:val="none" w:sz="0" w:space="0" w:color="auto"/>
            <w:right w:val="none" w:sz="0" w:space="0" w:color="auto"/>
          </w:divBdr>
        </w:div>
      </w:divsChild>
    </w:div>
    <w:div w:id="1527330375">
      <w:bodyDiv w:val="1"/>
      <w:marLeft w:val="0"/>
      <w:marRight w:val="0"/>
      <w:marTop w:val="0"/>
      <w:marBottom w:val="0"/>
      <w:divBdr>
        <w:top w:val="none" w:sz="0" w:space="0" w:color="auto"/>
        <w:left w:val="none" w:sz="0" w:space="0" w:color="auto"/>
        <w:bottom w:val="none" w:sz="0" w:space="0" w:color="auto"/>
        <w:right w:val="none" w:sz="0" w:space="0" w:color="auto"/>
      </w:divBdr>
      <w:divsChild>
        <w:div w:id="1419252111">
          <w:marLeft w:val="640"/>
          <w:marRight w:val="0"/>
          <w:marTop w:val="0"/>
          <w:marBottom w:val="0"/>
          <w:divBdr>
            <w:top w:val="none" w:sz="0" w:space="0" w:color="auto"/>
            <w:left w:val="none" w:sz="0" w:space="0" w:color="auto"/>
            <w:bottom w:val="none" w:sz="0" w:space="0" w:color="auto"/>
            <w:right w:val="none" w:sz="0" w:space="0" w:color="auto"/>
          </w:divBdr>
        </w:div>
        <w:div w:id="1200165334">
          <w:marLeft w:val="640"/>
          <w:marRight w:val="0"/>
          <w:marTop w:val="0"/>
          <w:marBottom w:val="0"/>
          <w:divBdr>
            <w:top w:val="none" w:sz="0" w:space="0" w:color="auto"/>
            <w:left w:val="none" w:sz="0" w:space="0" w:color="auto"/>
            <w:bottom w:val="none" w:sz="0" w:space="0" w:color="auto"/>
            <w:right w:val="none" w:sz="0" w:space="0" w:color="auto"/>
          </w:divBdr>
        </w:div>
        <w:div w:id="897520010">
          <w:marLeft w:val="640"/>
          <w:marRight w:val="0"/>
          <w:marTop w:val="0"/>
          <w:marBottom w:val="0"/>
          <w:divBdr>
            <w:top w:val="none" w:sz="0" w:space="0" w:color="auto"/>
            <w:left w:val="none" w:sz="0" w:space="0" w:color="auto"/>
            <w:bottom w:val="none" w:sz="0" w:space="0" w:color="auto"/>
            <w:right w:val="none" w:sz="0" w:space="0" w:color="auto"/>
          </w:divBdr>
        </w:div>
        <w:div w:id="1449010777">
          <w:marLeft w:val="640"/>
          <w:marRight w:val="0"/>
          <w:marTop w:val="0"/>
          <w:marBottom w:val="0"/>
          <w:divBdr>
            <w:top w:val="none" w:sz="0" w:space="0" w:color="auto"/>
            <w:left w:val="none" w:sz="0" w:space="0" w:color="auto"/>
            <w:bottom w:val="none" w:sz="0" w:space="0" w:color="auto"/>
            <w:right w:val="none" w:sz="0" w:space="0" w:color="auto"/>
          </w:divBdr>
        </w:div>
        <w:div w:id="919296564">
          <w:marLeft w:val="640"/>
          <w:marRight w:val="0"/>
          <w:marTop w:val="0"/>
          <w:marBottom w:val="0"/>
          <w:divBdr>
            <w:top w:val="none" w:sz="0" w:space="0" w:color="auto"/>
            <w:left w:val="none" w:sz="0" w:space="0" w:color="auto"/>
            <w:bottom w:val="none" w:sz="0" w:space="0" w:color="auto"/>
            <w:right w:val="none" w:sz="0" w:space="0" w:color="auto"/>
          </w:divBdr>
        </w:div>
        <w:div w:id="147092630">
          <w:marLeft w:val="640"/>
          <w:marRight w:val="0"/>
          <w:marTop w:val="0"/>
          <w:marBottom w:val="0"/>
          <w:divBdr>
            <w:top w:val="none" w:sz="0" w:space="0" w:color="auto"/>
            <w:left w:val="none" w:sz="0" w:space="0" w:color="auto"/>
            <w:bottom w:val="none" w:sz="0" w:space="0" w:color="auto"/>
            <w:right w:val="none" w:sz="0" w:space="0" w:color="auto"/>
          </w:divBdr>
        </w:div>
        <w:div w:id="54087393">
          <w:marLeft w:val="640"/>
          <w:marRight w:val="0"/>
          <w:marTop w:val="0"/>
          <w:marBottom w:val="0"/>
          <w:divBdr>
            <w:top w:val="none" w:sz="0" w:space="0" w:color="auto"/>
            <w:left w:val="none" w:sz="0" w:space="0" w:color="auto"/>
            <w:bottom w:val="none" w:sz="0" w:space="0" w:color="auto"/>
            <w:right w:val="none" w:sz="0" w:space="0" w:color="auto"/>
          </w:divBdr>
        </w:div>
        <w:div w:id="1003581052">
          <w:marLeft w:val="640"/>
          <w:marRight w:val="0"/>
          <w:marTop w:val="0"/>
          <w:marBottom w:val="0"/>
          <w:divBdr>
            <w:top w:val="none" w:sz="0" w:space="0" w:color="auto"/>
            <w:left w:val="none" w:sz="0" w:space="0" w:color="auto"/>
            <w:bottom w:val="none" w:sz="0" w:space="0" w:color="auto"/>
            <w:right w:val="none" w:sz="0" w:space="0" w:color="auto"/>
          </w:divBdr>
        </w:div>
        <w:div w:id="1504200256">
          <w:marLeft w:val="640"/>
          <w:marRight w:val="0"/>
          <w:marTop w:val="0"/>
          <w:marBottom w:val="0"/>
          <w:divBdr>
            <w:top w:val="none" w:sz="0" w:space="0" w:color="auto"/>
            <w:left w:val="none" w:sz="0" w:space="0" w:color="auto"/>
            <w:bottom w:val="none" w:sz="0" w:space="0" w:color="auto"/>
            <w:right w:val="none" w:sz="0" w:space="0" w:color="auto"/>
          </w:divBdr>
        </w:div>
        <w:div w:id="1173959716">
          <w:marLeft w:val="640"/>
          <w:marRight w:val="0"/>
          <w:marTop w:val="0"/>
          <w:marBottom w:val="0"/>
          <w:divBdr>
            <w:top w:val="none" w:sz="0" w:space="0" w:color="auto"/>
            <w:left w:val="none" w:sz="0" w:space="0" w:color="auto"/>
            <w:bottom w:val="none" w:sz="0" w:space="0" w:color="auto"/>
            <w:right w:val="none" w:sz="0" w:space="0" w:color="auto"/>
          </w:divBdr>
        </w:div>
        <w:div w:id="462697373">
          <w:marLeft w:val="640"/>
          <w:marRight w:val="0"/>
          <w:marTop w:val="0"/>
          <w:marBottom w:val="0"/>
          <w:divBdr>
            <w:top w:val="none" w:sz="0" w:space="0" w:color="auto"/>
            <w:left w:val="none" w:sz="0" w:space="0" w:color="auto"/>
            <w:bottom w:val="none" w:sz="0" w:space="0" w:color="auto"/>
            <w:right w:val="none" w:sz="0" w:space="0" w:color="auto"/>
          </w:divBdr>
        </w:div>
        <w:div w:id="1536235072">
          <w:marLeft w:val="640"/>
          <w:marRight w:val="0"/>
          <w:marTop w:val="0"/>
          <w:marBottom w:val="0"/>
          <w:divBdr>
            <w:top w:val="none" w:sz="0" w:space="0" w:color="auto"/>
            <w:left w:val="none" w:sz="0" w:space="0" w:color="auto"/>
            <w:bottom w:val="none" w:sz="0" w:space="0" w:color="auto"/>
            <w:right w:val="none" w:sz="0" w:space="0" w:color="auto"/>
          </w:divBdr>
        </w:div>
        <w:div w:id="1720015111">
          <w:marLeft w:val="640"/>
          <w:marRight w:val="0"/>
          <w:marTop w:val="0"/>
          <w:marBottom w:val="0"/>
          <w:divBdr>
            <w:top w:val="none" w:sz="0" w:space="0" w:color="auto"/>
            <w:left w:val="none" w:sz="0" w:space="0" w:color="auto"/>
            <w:bottom w:val="none" w:sz="0" w:space="0" w:color="auto"/>
            <w:right w:val="none" w:sz="0" w:space="0" w:color="auto"/>
          </w:divBdr>
        </w:div>
        <w:div w:id="1149399063">
          <w:marLeft w:val="640"/>
          <w:marRight w:val="0"/>
          <w:marTop w:val="0"/>
          <w:marBottom w:val="0"/>
          <w:divBdr>
            <w:top w:val="none" w:sz="0" w:space="0" w:color="auto"/>
            <w:left w:val="none" w:sz="0" w:space="0" w:color="auto"/>
            <w:bottom w:val="none" w:sz="0" w:space="0" w:color="auto"/>
            <w:right w:val="none" w:sz="0" w:space="0" w:color="auto"/>
          </w:divBdr>
        </w:div>
        <w:div w:id="382294153">
          <w:marLeft w:val="640"/>
          <w:marRight w:val="0"/>
          <w:marTop w:val="0"/>
          <w:marBottom w:val="0"/>
          <w:divBdr>
            <w:top w:val="none" w:sz="0" w:space="0" w:color="auto"/>
            <w:left w:val="none" w:sz="0" w:space="0" w:color="auto"/>
            <w:bottom w:val="none" w:sz="0" w:space="0" w:color="auto"/>
            <w:right w:val="none" w:sz="0" w:space="0" w:color="auto"/>
          </w:divBdr>
        </w:div>
        <w:div w:id="191768401">
          <w:marLeft w:val="640"/>
          <w:marRight w:val="0"/>
          <w:marTop w:val="0"/>
          <w:marBottom w:val="0"/>
          <w:divBdr>
            <w:top w:val="none" w:sz="0" w:space="0" w:color="auto"/>
            <w:left w:val="none" w:sz="0" w:space="0" w:color="auto"/>
            <w:bottom w:val="none" w:sz="0" w:space="0" w:color="auto"/>
            <w:right w:val="none" w:sz="0" w:space="0" w:color="auto"/>
          </w:divBdr>
        </w:div>
        <w:div w:id="450175116">
          <w:marLeft w:val="640"/>
          <w:marRight w:val="0"/>
          <w:marTop w:val="0"/>
          <w:marBottom w:val="0"/>
          <w:divBdr>
            <w:top w:val="none" w:sz="0" w:space="0" w:color="auto"/>
            <w:left w:val="none" w:sz="0" w:space="0" w:color="auto"/>
            <w:bottom w:val="none" w:sz="0" w:space="0" w:color="auto"/>
            <w:right w:val="none" w:sz="0" w:space="0" w:color="auto"/>
          </w:divBdr>
        </w:div>
        <w:div w:id="875627123">
          <w:marLeft w:val="640"/>
          <w:marRight w:val="0"/>
          <w:marTop w:val="0"/>
          <w:marBottom w:val="0"/>
          <w:divBdr>
            <w:top w:val="none" w:sz="0" w:space="0" w:color="auto"/>
            <w:left w:val="none" w:sz="0" w:space="0" w:color="auto"/>
            <w:bottom w:val="none" w:sz="0" w:space="0" w:color="auto"/>
            <w:right w:val="none" w:sz="0" w:space="0" w:color="auto"/>
          </w:divBdr>
        </w:div>
        <w:div w:id="2031292402">
          <w:marLeft w:val="640"/>
          <w:marRight w:val="0"/>
          <w:marTop w:val="0"/>
          <w:marBottom w:val="0"/>
          <w:divBdr>
            <w:top w:val="none" w:sz="0" w:space="0" w:color="auto"/>
            <w:left w:val="none" w:sz="0" w:space="0" w:color="auto"/>
            <w:bottom w:val="none" w:sz="0" w:space="0" w:color="auto"/>
            <w:right w:val="none" w:sz="0" w:space="0" w:color="auto"/>
          </w:divBdr>
        </w:div>
        <w:div w:id="2011177587">
          <w:marLeft w:val="640"/>
          <w:marRight w:val="0"/>
          <w:marTop w:val="0"/>
          <w:marBottom w:val="0"/>
          <w:divBdr>
            <w:top w:val="none" w:sz="0" w:space="0" w:color="auto"/>
            <w:left w:val="none" w:sz="0" w:space="0" w:color="auto"/>
            <w:bottom w:val="none" w:sz="0" w:space="0" w:color="auto"/>
            <w:right w:val="none" w:sz="0" w:space="0" w:color="auto"/>
          </w:divBdr>
        </w:div>
        <w:div w:id="112555275">
          <w:marLeft w:val="640"/>
          <w:marRight w:val="0"/>
          <w:marTop w:val="0"/>
          <w:marBottom w:val="0"/>
          <w:divBdr>
            <w:top w:val="none" w:sz="0" w:space="0" w:color="auto"/>
            <w:left w:val="none" w:sz="0" w:space="0" w:color="auto"/>
            <w:bottom w:val="none" w:sz="0" w:space="0" w:color="auto"/>
            <w:right w:val="none" w:sz="0" w:space="0" w:color="auto"/>
          </w:divBdr>
        </w:div>
        <w:div w:id="1426417547">
          <w:marLeft w:val="640"/>
          <w:marRight w:val="0"/>
          <w:marTop w:val="0"/>
          <w:marBottom w:val="0"/>
          <w:divBdr>
            <w:top w:val="none" w:sz="0" w:space="0" w:color="auto"/>
            <w:left w:val="none" w:sz="0" w:space="0" w:color="auto"/>
            <w:bottom w:val="none" w:sz="0" w:space="0" w:color="auto"/>
            <w:right w:val="none" w:sz="0" w:space="0" w:color="auto"/>
          </w:divBdr>
        </w:div>
        <w:div w:id="55668198">
          <w:marLeft w:val="640"/>
          <w:marRight w:val="0"/>
          <w:marTop w:val="0"/>
          <w:marBottom w:val="0"/>
          <w:divBdr>
            <w:top w:val="none" w:sz="0" w:space="0" w:color="auto"/>
            <w:left w:val="none" w:sz="0" w:space="0" w:color="auto"/>
            <w:bottom w:val="none" w:sz="0" w:space="0" w:color="auto"/>
            <w:right w:val="none" w:sz="0" w:space="0" w:color="auto"/>
          </w:divBdr>
        </w:div>
        <w:div w:id="1698778582">
          <w:marLeft w:val="640"/>
          <w:marRight w:val="0"/>
          <w:marTop w:val="0"/>
          <w:marBottom w:val="0"/>
          <w:divBdr>
            <w:top w:val="none" w:sz="0" w:space="0" w:color="auto"/>
            <w:left w:val="none" w:sz="0" w:space="0" w:color="auto"/>
            <w:bottom w:val="none" w:sz="0" w:space="0" w:color="auto"/>
            <w:right w:val="none" w:sz="0" w:space="0" w:color="auto"/>
          </w:divBdr>
        </w:div>
        <w:div w:id="332296857">
          <w:marLeft w:val="640"/>
          <w:marRight w:val="0"/>
          <w:marTop w:val="0"/>
          <w:marBottom w:val="0"/>
          <w:divBdr>
            <w:top w:val="none" w:sz="0" w:space="0" w:color="auto"/>
            <w:left w:val="none" w:sz="0" w:space="0" w:color="auto"/>
            <w:bottom w:val="none" w:sz="0" w:space="0" w:color="auto"/>
            <w:right w:val="none" w:sz="0" w:space="0" w:color="auto"/>
          </w:divBdr>
        </w:div>
        <w:div w:id="74204202">
          <w:marLeft w:val="640"/>
          <w:marRight w:val="0"/>
          <w:marTop w:val="0"/>
          <w:marBottom w:val="0"/>
          <w:divBdr>
            <w:top w:val="none" w:sz="0" w:space="0" w:color="auto"/>
            <w:left w:val="none" w:sz="0" w:space="0" w:color="auto"/>
            <w:bottom w:val="none" w:sz="0" w:space="0" w:color="auto"/>
            <w:right w:val="none" w:sz="0" w:space="0" w:color="auto"/>
          </w:divBdr>
        </w:div>
        <w:div w:id="1221792049">
          <w:marLeft w:val="640"/>
          <w:marRight w:val="0"/>
          <w:marTop w:val="0"/>
          <w:marBottom w:val="0"/>
          <w:divBdr>
            <w:top w:val="none" w:sz="0" w:space="0" w:color="auto"/>
            <w:left w:val="none" w:sz="0" w:space="0" w:color="auto"/>
            <w:bottom w:val="none" w:sz="0" w:space="0" w:color="auto"/>
            <w:right w:val="none" w:sz="0" w:space="0" w:color="auto"/>
          </w:divBdr>
        </w:div>
        <w:div w:id="361132488">
          <w:marLeft w:val="640"/>
          <w:marRight w:val="0"/>
          <w:marTop w:val="0"/>
          <w:marBottom w:val="0"/>
          <w:divBdr>
            <w:top w:val="none" w:sz="0" w:space="0" w:color="auto"/>
            <w:left w:val="none" w:sz="0" w:space="0" w:color="auto"/>
            <w:bottom w:val="none" w:sz="0" w:space="0" w:color="auto"/>
            <w:right w:val="none" w:sz="0" w:space="0" w:color="auto"/>
          </w:divBdr>
        </w:div>
        <w:div w:id="284581416">
          <w:marLeft w:val="640"/>
          <w:marRight w:val="0"/>
          <w:marTop w:val="0"/>
          <w:marBottom w:val="0"/>
          <w:divBdr>
            <w:top w:val="none" w:sz="0" w:space="0" w:color="auto"/>
            <w:left w:val="none" w:sz="0" w:space="0" w:color="auto"/>
            <w:bottom w:val="none" w:sz="0" w:space="0" w:color="auto"/>
            <w:right w:val="none" w:sz="0" w:space="0" w:color="auto"/>
          </w:divBdr>
        </w:div>
        <w:div w:id="673922181">
          <w:marLeft w:val="640"/>
          <w:marRight w:val="0"/>
          <w:marTop w:val="0"/>
          <w:marBottom w:val="0"/>
          <w:divBdr>
            <w:top w:val="none" w:sz="0" w:space="0" w:color="auto"/>
            <w:left w:val="none" w:sz="0" w:space="0" w:color="auto"/>
            <w:bottom w:val="none" w:sz="0" w:space="0" w:color="auto"/>
            <w:right w:val="none" w:sz="0" w:space="0" w:color="auto"/>
          </w:divBdr>
        </w:div>
        <w:div w:id="1007094105">
          <w:marLeft w:val="640"/>
          <w:marRight w:val="0"/>
          <w:marTop w:val="0"/>
          <w:marBottom w:val="0"/>
          <w:divBdr>
            <w:top w:val="none" w:sz="0" w:space="0" w:color="auto"/>
            <w:left w:val="none" w:sz="0" w:space="0" w:color="auto"/>
            <w:bottom w:val="none" w:sz="0" w:space="0" w:color="auto"/>
            <w:right w:val="none" w:sz="0" w:space="0" w:color="auto"/>
          </w:divBdr>
        </w:div>
        <w:div w:id="1563446541">
          <w:marLeft w:val="640"/>
          <w:marRight w:val="0"/>
          <w:marTop w:val="0"/>
          <w:marBottom w:val="0"/>
          <w:divBdr>
            <w:top w:val="none" w:sz="0" w:space="0" w:color="auto"/>
            <w:left w:val="none" w:sz="0" w:space="0" w:color="auto"/>
            <w:bottom w:val="none" w:sz="0" w:space="0" w:color="auto"/>
            <w:right w:val="none" w:sz="0" w:space="0" w:color="auto"/>
          </w:divBdr>
        </w:div>
        <w:div w:id="265387414">
          <w:marLeft w:val="640"/>
          <w:marRight w:val="0"/>
          <w:marTop w:val="0"/>
          <w:marBottom w:val="0"/>
          <w:divBdr>
            <w:top w:val="none" w:sz="0" w:space="0" w:color="auto"/>
            <w:left w:val="none" w:sz="0" w:space="0" w:color="auto"/>
            <w:bottom w:val="none" w:sz="0" w:space="0" w:color="auto"/>
            <w:right w:val="none" w:sz="0" w:space="0" w:color="auto"/>
          </w:divBdr>
        </w:div>
        <w:div w:id="1730957307">
          <w:marLeft w:val="640"/>
          <w:marRight w:val="0"/>
          <w:marTop w:val="0"/>
          <w:marBottom w:val="0"/>
          <w:divBdr>
            <w:top w:val="none" w:sz="0" w:space="0" w:color="auto"/>
            <w:left w:val="none" w:sz="0" w:space="0" w:color="auto"/>
            <w:bottom w:val="none" w:sz="0" w:space="0" w:color="auto"/>
            <w:right w:val="none" w:sz="0" w:space="0" w:color="auto"/>
          </w:divBdr>
        </w:div>
        <w:div w:id="103498716">
          <w:marLeft w:val="640"/>
          <w:marRight w:val="0"/>
          <w:marTop w:val="0"/>
          <w:marBottom w:val="0"/>
          <w:divBdr>
            <w:top w:val="none" w:sz="0" w:space="0" w:color="auto"/>
            <w:left w:val="none" w:sz="0" w:space="0" w:color="auto"/>
            <w:bottom w:val="none" w:sz="0" w:space="0" w:color="auto"/>
            <w:right w:val="none" w:sz="0" w:space="0" w:color="auto"/>
          </w:divBdr>
        </w:div>
        <w:div w:id="882254765">
          <w:marLeft w:val="640"/>
          <w:marRight w:val="0"/>
          <w:marTop w:val="0"/>
          <w:marBottom w:val="0"/>
          <w:divBdr>
            <w:top w:val="none" w:sz="0" w:space="0" w:color="auto"/>
            <w:left w:val="none" w:sz="0" w:space="0" w:color="auto"/>
            <w:bottom w:val="none" w:sz="0" w:space="0" w:color="auto"/>
            <w:right w:val="none" w:sz="0" w:space="0" w:color="auto"/>
          </w:divBdr>
        </w:div>
        <w:div w:id="2008054796">
          <w:marLeft w:val="640"/>
          <w:marRight w:val="0"/>
          <w:marTop w:val="0"/>
          <w:marBottom w:val="0"/>
          <w:divBdr>
            <w:top w:val="none" w:sz="0" w:space="0" w:color="auto"/>
            <w:left w:val="none" w:sz="0" w:space="0" w:color="auto"/>
            <w:bottom w:val="none" w:sz="0" w:space="0" w:color="auto"/>
            <w:right w:val="none" w:sz="0" w:space="0" w:color="auto"/>
          </w:divBdr>
        </w:div>
        <w:div w:id="1256206177">
          <w:marLeft w:val="640"/>
          <w:marRight w:val="0"/>
          <w:marTop w:val="0"/>
          <w:marBottom w:val="0"/>
          <w:divBdr>
            <w:top w:val="none" w:sz="0" w:space="0" w:color="auto"/>
            <w:left w:val="none" w:sz="0" w:space="0" w:color="auto"/>
            <w:bottom w:val="none" w:sz="0" w:space="0" w:color="auto"/>
            <w:right w:val="none" w:sz="0" w:space="0" w:color="auto"/>
          </w:divBdr>
        </w:div>
        <w:div w:id="1455557444">
          <w:marLeft w:val="640"/>
          <w:marRight w:val="0"/>
          <w:marTop w:val="0"/>
          <w:marBottom w:val="0"/>
          <w:divBdr>
            <w:top w:val="none" w:sz="0" w:space="0" w:color="auto"/>
            <w:left w:val="none" w:sz="0" w:space="0" w:color="auto"/>
            <w:bottom w:val="none" w:sz="0" w:space="0" w:color="auto"/>
            <w:right w:val="none" w:sz="0" w:space="0" w:color="auto"/>
          </w:divBdr>
        </w:div>
        <w:div w:id="1957978592">
          <w:marLeft w:val="640"/>
          <w:marRight w:val="0"/>
          <w:marTop w:val="0"/>
          <w:marBottom w:val="0"/>
          <w:divBdr>
            <w:top w:val="none" w:sz="0" w:space="0" w:color="auto"/>
            <w:left w:val="none" w:sz="0" w:space="0" w:color="auto"/>
            <w:bottom w:val="none" w:sz="0" w:space="0" w:color="auto"/>
            <w:right w:val="none" w:sz="0" w:space="0" w:color="auto"/>
          </w:divBdr>
        </w:div>
        <w:div w:id="444496834">
          <w:marLeft w:val="640"/>
          <w:marRight w:val="0"/>
          <w:marTop w:val="0"/>
          <w:marBottom w:val="0"/>
          <w:divBdr>
            <w:top w:val="none" w:sz="0" w:space="0" w:color="auto"/>
            <w:left w:val="none" w:sz="0" w:space="0" w:color="auto"/>
            <w:bottom w:val="none" w:sz="0" w:space="0" w:color="auto"/>
            <w:right w:val="none" w:sz="0" w:space="0" w:color="auto"/>
          </w:divBdr>
        </w:div>
        <w:div w:id="1571651544">
          <w:marLeft w:val="640"/>
          <w:marRight w:val="0"/>
          <w:marTop w:val="0"/>
          <w:marBottom w:val="0"/>
          <w:divBdr>
            <w:top w:val="none" w:sz="0" w:space="0" w:color="auto"/>
            <w:left w:val="none" w:sz="0" w:space="0" w:color="auto"/>
            <w:bottom w:val="none" w:sz="0" w:space="0" w:color="auto"/>
            <w:right w:val="none" w:sz="0" w:space="0" w:color="auto"/>
          </w:divBdr>
        </w:div>
        <w:div w:id="1453018256">
          <w:marLeft w:val="640"/>
          <w:marRight w:val="0"/>
          <w:marTop w:val="0"/>
          <w:marBottom w:val="0"/>
          <w:divBdr>
            <w:top w:val="none" w:sz="0" w:space="0" w:color="auto"/>
            <w:left w:val="none" w:sz="0" w:space="0" w:color="auto"/>
            <w:bottom w:val="none" w:sz="0" w:space="0" w:color="auto"/>
            <w:right w:val="none" w:sz="0" w:space="0" w:color="auto"/>
          </w:divBdr>
        </w:div>
        <w:div w:id="858005960">
          <w:marLeft w:val="640"/>
          <w:marRight w:val="0"/>
          <w:marTop w:val="0"/>
          <w:marBottom w:val="0"/>
          <w:divBdr>
            <w:top w:val="none" w:sz="0" w:space="0" w:color="auto"/>
            <w:left w:val="none" w:sz="0" w:space="0" w:color="auto"/>
            <w:bottom w:val="none" w:sz="0" w:space="0" w:color="auto"/>
            <w:right w:val="none" w:sz="0" w:space="0" w:color="auto"/>
          </w:divBdr>
        </w:div>
        <w:div w:id="1992560959">
          <w:marLeft w:val="640"/>
          <w:marRight w:val="0"/>
          <w:marTop w:val="0"/>
          <w:marBottom w:val="0"/>
          <w:divBdr>
            <w:top w:val="none" w:sz="0" w:space="0" w:color="auto"/>
            <w:left w:val="none" w:sz="0" w:space="0" w:color="auto"/>
            <w:bottom w:val="none" w:sz="0" w:space="0" w:color="auto"/>
            <w:right w:val="none" w:sz="0" w:space="0" w:color="auto"/>
          </w:divBdr>
        </w:div>
        <w:div w:id="1017267149">
          <w:marLeft w:val="640"/>
          <w:marRight w:val="0"/>
          <w:marTop w:val="0"/>
          <w:marBottom w:val="0"/>
          <w:divBdr>
            <w:top w:val="none" w:sz="0" w:space="0" w:color="auto"/>
            <w:left w:val="none" w:sz="0" w:space="0" w:color="auto"/>
            <w:bottom w:val="none" w:sz="0" w:space="0" w:color="auto"/>
            <w:right w:val="none" w:sz="0" w:space="0" w:color="auto"/>
          </w:divBdr>
        </w:div>
        <w:div w:id="160316204">
          <w:marLeft w:val="640"/>
          <w:marRight w:val="0"/>
          <w:marTop w:val="0"/>
          <w:marBottom w:val="0"/>
          <w:divBdr>
            <w:top w:val="none" w:sz="0" w:space="0" w:color="auto"/>
            <w:left w:val="none" w:sz="0" w:space="0" w:color="auto"/>
            <w:bottom w:val="none" w:sz="0" w:space="0" w:color="auto"/>
            <w:right w:val="none" w:sz="0" w:space="0" w:color="auto"/>
          </w:divBdr>
        </w:div>
        <w:div w:id="719745304">
          <w:marLeft w:val="640"/>
          <w:marRight w:val="0"/>
          <w:marTop w:val="0"/>
          <w:marBottom w:val="0"/>
          <w:divBdr>
            <w:top w:val="none" w:sz="0" w:space="0" w:color="auto"/>
            <w:left w:val="none" w:sz="0" w:space="0" w:color="auto"/>
            <w:bottom w:val="none" w:sz="0" w:space="0" w:color="auto"/>
            <w:right w:val="none" w:sz="0" w:space="0" w:color="auto"/>
          </w:divBdr>
        </w:div>
        <w:div w:id="287585736">
          <w:marLeft w:val="640"/>
          <w:marRight w:val="0"/>
          <w:marTop w:val="0"/>
          <w:marBottom w:val="0"/>
          <w:divBdr>
            <w:top w:val="none" w:sz="0" w:space="0" w:color="auto"/>
            <w:left w:val="none" w:sz="0" w:space="0" w:color="auto"/>
            <w:bottom w:val="none" w:sz="0" w:space="0" w:color="auto"/>
            <w:right w:val="none" w:sz="0" w:space="0" w:color="auto"/>
          </w:divBdr>
        </w:div>
        <w:div w:id="1084718058">
          <w:marLeft w:val="640"/>
          <w:marRight w:val="0"/>
          <w:marTop w:val="0"/>
          <w:marBottom w:val="0"/>
          <w:divBdr>
            <w:top w:val="none" w:sz="0" w:space="0" w:color="auto"/>
            <w:left w:val="none" w:sz="0" w:space="0" w:color="auto"/>
            <w:bottom w:val="none" w:sz="0" w:space="0" w:color="auto"/>
            <w:right w:val="none" w:sz="0" w:space="0" w:color="auto"/>
          </w:divBdr>
        </w:div>
        <w:div w:id="1622758302">
          <w:marLeft w:val="640"/>
          <w:marRight w:val="0"/>
          <w:marTop w:val="0"/>
          <w:marBottom w:val="0"/>
          <w:divBdr>
            <w:top w:val="none" w:sz="0" w:space="0" w:color="auto"/>
            <w:left w:val="none" w:sz="0" w:space="0" w:color="auto"/>
            <w:bottom w:val="none" w:sz="0" w:space="0" w:color="auto"/>
            <w:right w:val="none" w:sz="0" w:space="0" w:color="auto"/>
          </w:divBdr>
        </w:div>
        <w:div w:id="2031489272">
          <w:marLeft w:val="640"/>
          <w:marRight w:val="0"/>
          <w:marTop w:val="0"/>
          <w:marBottom w:val="0"/>
          <w:divBdr>
            <w:top w:val="none" w:sz="0" w:space="0" w:color="auto"/>
            <w:left w:val="none" w:sz="0" w:space="0" w:color="auto"/>
            <w:bottom w:val="none" w:sz="0" w:space="0" w:color="auto"/>
            <w:right w:val="none" w:sz="0" w:space="0" w:color="auto"/>
          </w:divBdr>
        </w:div>
        <w:div w:id="1724674756">
          <w:marLeft w:val="640"/>
          <w:marRight w:val="0"/>
          <w:marTop w:val="0"/>
          <w:marBottom w:val="0"/>
          <w:divBdr>
            <w:top w:val="none" w:sz="0" w:space="0" w:color="auto"/>
            <w:left w:val="none" w:sz="0" w:space="0" w:color="auto"/>
            <w:bottom w:val="none" w:sz="0" w:space="0" w:color="auto"/>
            <w:right w:val="none" w:sz="0" w:space="0" w:color="auto"/>
          </w:divBdr>
        </w:div>
        <w:div w:id="348407174">
          <w:marLeft w:val="640"/>
          <w:marRight w:val="0"/>
          <w:marTop w:val="0"/>
          <w:marBottom w:val="0"/>
          <w:divBdr>
            <w:top w:val="none" w:sz="0" w:space="0" w:color="auto"/>
            <w:left w:val="none" w:sz="0" w:space="0" w:color="auto"/>
            <w:bottom w:val="none" w:sz="0" w:space="0" w:color="auto"/>
            <w:right w:val="none" w:sz="0" w:space="0" w:color="auto"/>
          </w:divBdr>
        </w:div>
        <w:div w:id="1940601879">
          <w:marLeft w:val="640"/>
          <w:marRight w:val="0"/>
          <w:marTop w:val="0"/>
          <w:marBottom w:val="0"/>
          <w:divBdr>
            <w:top w:val="none" w:sz="0" w:space="0" w:color="auto"/>
            <w:left w:val="none" w:sz="0" w:space="0" w:color="auto"/>
            <w:bottom w:val="none" w:sz="0" w:space="0" w:color="auto"/>
            <w:right w:val="none" w:sz="0" w:space="0" w:color="auto"/>
          </w:divBdr>
        </w:div>
        <w:div w:id="1619026335">
          <w:marLeft w:val="640"/>
          <w:marRight w:val="0"/>
          <w:marTop w:val="0"/>
          <w:marBottom w:val="0"/>
          <w:divBdr>
            <w:top w:val="none" w:sz="0" w:space="0" w:color="auto"/>
            <w:left w:val="none" w:sz="0" w:space="0" w:color="auto"/>
            <w:bottom w:val="none" w:sz="0" w:space="0" w:color="auto"/>
            <w:right w:val="none" w:sz="0" w:space="0" w:color="auto"/>
          </w:divBdr>
        </w:div>
        <w:div w:id="690687921">
          <w:marLeft w:val="640"/>
          <w:marRight w:val="0"/>
          <w:marTop w:val="0"/>
          <w:marBottom w:val="0"/>
          <w:divBdr>
            <w:top w:val="none" w:sz="0" w:space="0" w:color="auto"/>
            <w:left w:val="none" w:sz="0" w:space="0" w:color="auto"/>
            <w:bottom w:val="none" w:sz="0" w:space="0" w:color="auto"/>
            <w:right w:val="none" w:sz="0" w:space="0" w:color="auto"/>
          </w:divBdr>
        </w:div>
        <w:div w:id="1074743027">
          <w:marLeft w:val="640"/>
          <w:marRight w:val="0"/>
          <w:marTop w:val="0"/>
          <w:marBottom w:val="0"/>
          <w:divBdr>
            <w:top w:val="none" w:sz="0" w:space="0" w:color="auto"/>
            <w:left w:val="none" w:sz="0" w:space="0" w:color="auto"/>
            <w:bottom w:val="none" w:sz="0" w:space="0" w:color="auto"/>
            <w:right w:val="none" w:sz="0" w:space="0" w:color="auto"/>
          </w:divBdr>
        </w:div>
        <w:div w:id="1903055854">
          <w:marLeft w:val="640"/>
          <w:marRight w:val="0"/>
          <w:marTop w:val="0"/>
          <w:marBottom w:val="0"/>
          <w:divBdr>
            <w:top w:val="none" w:sz="0" w:space="0" w:color="auto"/>
            <w:left w:val="none" w:sz="0" w:space="0" w:color="auto"/>
            <w:bottom w:val="none" w:sz="0" w:space="0" w:color="auto"/>
            <w:right w:val="none" w:sz="0" w:space="0" w:color="auto"/>
          </w:divBdr>
        </w:div>
        <w:div w:id="150606858">
          <w:marLeft w:val="640"/>
          <w:marRight w:val="0"/>
          <w:marTop w:val="0"/>
          <w:marBottom w:val="0"/>
          <w:divBdr>
            <w:top w:val="none" w:sz="0" w:space="0" w:color="auto"/>
            <w:left w:val="none" w:sz="0" w:space="0" w:color="auto"/>
            <w:bottom w:val="none" w:sz="0" w:space="0" w:color="auto"/>
            <w:right w:val="none" w:sz="0" w:space="0" w:color="auto"/>
          </w:divBdr>
        </w:div>
        <w:div w:id="129203180">
          <w:marLeft w:val="640"/>
          <w:marRight w:val="0"/>
          <w:marTop w:val="0"/>
          <w:marBottom w:val="0"/>
          <w:divBdr>
            <w:top w:val="none" w:sz="0" w:space="0" w:color="auto"/>
            <w:left w:val="none" w:sz="0" w:space="0" w:color="auto"/>
            <w:bottom w:val="none" w:sz="0" w:space="0" w:color="auto"/>
            <w:right w:val="none" w:sz="0" w:space="0" w:color="auto"/>
          </w:divBdr>
        </w:div>
        <w:div w:id="1631092228">
          <w:marLeft w:val="640"/>
          <w:marRight w:val="0"/>
          <w:marTop w:val="0"/>
          <w:marBottom w:val="0"/>
          <w:divBdr>
            <w:top w:val="none" w:sz="0" w:space="0" w:color="auto"/>
            <w:left w:val="none" w:sz="0" w:space="0" w:color="auto"/>
            <w:bottom w:val="none" w:sz="0" w:space="0" w:color="auto"/>
            <w:right w:val="none" w:sz="0" w:space="0" w:color="auto"/>
          </w:divBdr>
        </w:div>
        <w:div w:id="58217144">
          <w:marLeft w:val="640"/>
          <w:marRight w:val="0"/>
          <w:marTop w:val="0"/>
          <w:marBottom w:val="0"/>
          <w:divBdr>
            <w:top w:val="none" w:sz="0" w:space="0" w:color="auto"/>
            <w:left w:val="none" w:sz="0" w:space="0" w:color="auto"/>
            <w:bottom w:val="none" w:sz="0" w:space="0" w:color="auto"/>
            <w:right w:val="none" w:sz="0" w:space="0" w:color="auto"/>
          </w:divBdr>
        </w:div>
        <w:div w:id="634676206">
          <w:marLeft w:val="640"/>
          <w:marRight w:val="0"/>
          <w:marTop w:val="0"/>
          <w:marBottom w:val="0"/>
          <w:divBdr>
            <w:top w:val="none" w:sz="0" w:space="0" w:color="auto"/>
            <w:left w:val="none" w:sz="0" w:space="0" w:color="auto"/>
            <w:bottom w:val="none" w:sz="0" w:space="0" w:color="auto"/>
            <w:right w:val="none" w:sz="0" w:space="0" w:color="auto"/>
          </w:divBdr>
        </w:div>
        <w:div w:id="1917207826">
          <w:marLeft w:val="640"/>
          <w:marRight w:val="0"/>
          <w:marTop w:val="0"/>
          <w:marBottom w:val="0"/>
          <w:divBdr>
            <w:top w:val="none" w:sz="0" w:space="0" w:color="auto"/>
            <w:left w:val="none" w:sz="0" w:space="0" w:color="auto"/>
            <w:bottom w:val="none" w:sz="0" w:space="0" w:color="auto"/>
            <w:right w:val="none" w:sz="0" w:space="0" w:color="auto"/>
          </w:divBdr>
        </w:div>
        <w:div w:id="808548769">
          <w:marLeft w:val="640"/>
          <w:marRight w:val="0"/>
          <w:marTop w:val="0"/>
          <w:marBottom w:val="0"/>
          <w:divBdr>
            <w:top w:val="none" w:sz="0" w:space="0" w:color="auto"/>
            <w:left w:val="none" w:sz="0" w:space="0" w:color="auto"/>
            <w:bottom w:val="none" w:sz="0" w:space="0" w:color="auto"/>
            <w:right w:val="none" w:sz="0" w:space="0" w:color="auto"/>
          </w:divBdr>
        </w:div>
        <w:div w:id="807471992">
          <w:marLeft w:val="640"/>
          <w:marRight w:val="0"/>
          <w:marTop w:val="0"/>
          <w:marBottom w:val="0"/>
          <w:divBdr>
            <w:top w:val="none" w:sz="0" w:space="0" w:color="auto"/>
            <w:left w:val="none" w:sz="0" w:space="0" w:color="auto"/>
            <w:bottom w:val="none" w:sz="0" w:space="0" w:color="auto"/>
            <w:right w:val="none" w:sz="0" w:space="0" w:color="auto"/>
          </w:divBdr>
        </w:div>
        <w:div w:id="931357572">
          <w:marLeft w:val="640"/>
          <w:marRight w:val="0"/>
          <w:marTop w:val="0"/>
          <w:marBottom w:val="0"/>
          <w:divBdr>
            <w:top w:val="none" w:sz="0" w:space="0" w:color="auto"/>
            <w:left w:val="none" w:sz="0" w:space="0" w:color="auto"/>
            <w:bottom w:val="none" w:sz="0" w:space="0" w:color="auto"/>
            <w:right w:val="none" w:sz="0" w:space="0" w:color="auto"/>
          </w:divBdr>
        </w:div>
        <w:div w:id="1594628563">
          <w:marLeft w:val="640"/>
          <w:marRight w:val="0"/>
          <w:marTop w:val="0"/>
          <w:marBottom w:val="0"/>
          <w:divBdr>
            <w:top w:val="none" w:sz="0" w:space="0" w:color="auto"/>
            <w:left w:val="none" w:sz="0" w:space="0" w:color="auto"/>
            <w:bottom w:val="none" w:sz="0" w:space="0" w:color="auto"/>
            <w:right w:val="none" w:sz="0" w:space="0" w:color="auto"/>
          </w:divBdr>
        </w:div>
        <w:div w:id="1099638175">
          <w:marLeft w:val="640"/>
          <w:marRight w:val="0"/>
          <w:marTop w:val="0"/>
          <w:marBottom w:val="0"/>
          <w:divBdr>
            <w:top w:val="none" w:sz="0" w:space="0" w:color="auto"/>
            <w:left w:val="none" w:sz="0" w:space="0" w:color="auto"/>
            <w:bottom w:val="none" w:sz="0" w:space="0" w:color="auto"/>
            <w:right w:val="none" w:sz="0" w:space="0" w:color="auto"/>
          </w:divBdr>
        </w:div>
        <w:div w:id="625543485">
          <w:marLeft w:val="640"/>
          <w:marRight w:val="0"/>
          <w:marTop w:val="0"/>
          <w:marBottom w:val="0"/>
          <w:divBdr>
            <w:top w:val="none" w:sz="0" w:space="0" w:color="auto"/>
            <w:left w:val="none" w:sz="0" w:space="0" w:color="auto"/>
            <w:bottom w:val="none" w:sz="0" w:space="0" w:color="auto"/>
            <w:right w:val="none" w:sz="0" w:space="0" w:color="auto"/>
          </w:divBdr>
        </w:div>
        <w:div w:id="1901205879">
          <w:marLeft w:val="640"/>
          <w:marRight w:val="0"/>
          <w:marTop w:val="0"/>
          <w:marBottom w:val="0"/>
          <w:divBdr>
            <w:top w:val="none" w:sz="0" w:space="0" w:color="auto"/>
            <w:left w:val="none" w:sz="0" w:space="0" w:color="auto"/>
            <w:bottom w:val="none" w:sz="0" w:space="0" w:color="auto"/>
            <w:right w:val="none" w:sz="0" w:space="0" w:color="auto"/>
          </w:divBdr>
        </w:div>
        <w:div w:id="903107150">
          <w:marLeft w:val="640"/>
          <w:marRight w:val="0"/>
          <w:marTop w:val="0"/>
          <w:marBottom w:val="0"/>
          <w:divBdr>
            <w:top w:val="none" w:sz="0" w:space="0" w:color="auto"/>
            <w:left w:val="none" w:sz="0" w:space="0" w:color="auto"/>
            <w:bottom w:val="none" w:sz="0" w:space="0" w:color="auto"/>
            <w:right w:val="none" w:sz="0" w:space="0" w:color="auto"/>
          </w:divBdr>
        </w:div>
        <w:div w:id="1137380132">
          <w:marLeft w:val="640"/>
          <w:marRight w:val="0"/>
          <w:marTop w:val="0"/>
          <w:marBottom w:val="0"/>
          <w:divBdr>
            <w:top w:val="none" w:sz="0" w:space="0" w:color="auto"/>
            <w:left w:val="none" w:sz="0" w:space="0" w:color="auto"/>
            <w:bottom w:val="none" w:sz="0" w:space="0" w:color="auto"/>
            <w:right w:val="none" w:sz="0" w:space="0" w:color="auto"/>
          </w:divBdr>
        </w:div>
        <w:div w:id="707947852">
          <w:marLeft w:val="640"/>
          <w:marRight w:val="0"/>
          <w:marTop w:val="0"/>
          <w:marBottom w:val="0"/>
          <w:divBdr>
            <w:top w:val="none" w:sz="0" w:space="0" w:color="auto"/>
            <w:left w:val="none" w:sz="0" w:space="0" w:color="auto"/>
            <w:bottom w:val="none" w:sz="0" w:space="0" w:color="auto"/>
            <w:right w:val="none" w:sz="0" w:space="0" w:color="auto"/>
          </w:divBdr>
        </w:div>
        <w:div w:id="1208378238">
          <w:marLeft w:val="640"/>
          <w:marRight w:val="0"/>
          <w:marTop w:val="0"/>
          <w:marBottom w:val="0"/>
          <w:divBdr>
            <w:top w:val="none" w:sz="0" w:space="0" w:color="auto"/>
            <w:left w:val="none" w:sz="0" w:space="0" w:color="auto"/>
            <w:bottom w:val="none" w:sz="0" w:space="0" w:color="auto"/>
            <w:right w:val="none" w:sz="0" w:space="0" w:color="auto"/>
          </w:divBdr>
        </w:div>
        <w:div w:id="928344270">
          <w:marLeft w:val="640"/>
          <w:marRight w:val="0"/>
          <w:marTop w:val="0"/>
          <w:marBottom w:val="0"/>
          <w:divBdr>
            <w:top w:val="none" w:sz="0" w:space="0" w:color="auto"/>
            <w:left w:val="none" w:sz="0" w:space="0" w:color="auto"/>
            <w:bottom w:val="none" w:sz="0" w:space="0" w:color="auto"/>
            <w:right w:val="none" w:sz="0" w:space="0" w:color="auto"/>
          </w:divBdr>
        </w:div>
        <w:div w:id="1947492999">
          <w:marLeft w:val="640"/>
          <w:marRight w:val="0"/>
          <w:marTop w:val="0"/>
          <w:marBottom w:val="0"/>
          <w:divBdr>
            <w:top w:val="none" w:sz="0" w:space="0" w:color="auto"/>
            <w:left w:val="none" w:sz="0" w:space="0" w:color="auto"/>
            <w:bottom w:val="none" w:sz="0" w:space="0" w:color="auto"/>
            <w:right w:val="none" w:sz="0" w:space="0" w:color="auto"/>
          </w:divBdr>
        </w:div>
        <w:div w:id="959847733">
          <w:marLeft w:val="640"/>
          <w:marRight w:val="0"/>
          <w:marTop w:val="0"/>
          <w:marBottom w:val="0"/>
          <w:divBdr>
            <w:top w:val="none" w:sz="0" w:space="0" w:color="auto"/>
            <w:left w:val="none" w:sz="0" w:space="0" w:color="auto"/>
            <w:bottom w:val="none" w:sz="0" w:space="0" w:color="auto"/>
            <w:right w:val="none" w:sz="0" w:space="0" w:color="auto"/>
          </w:divBdr>
        </w:div>
        <w:div w:id="1831869620">
          <w:marLeft w:val="640"/>
          <w:marRight w:val="0"/>
          <w:marTop w:val="0"/>
          <w:marBottom w:val="0"/>
          <w:divBdr>
            <w:top w:val="none" w:sz="0" w:space="0" w:color="auto"/>
            <w:left w:val="none" w:sz="0" w:space="0" w:color="auto"/>
            <w:bottom w:val="none" w:sz="0" w:space="0" w:color="auto"/>
            <w:right w:val="none" w:sz="0" w:space="0" w:color="auto"/>
          </w:divBdr>
        </w:div>
        <w:div w:id="789858546">
          <w:marLeft w:val="640"/>
          <w:marRight w:val="0"/>
          <w:marTop w:val="0"/>
          <w:marBottom w:val="0"/>
          <w:divBdr>
            <w:top w:val="none" w:sz="0" w:space="0" w:color="auto"/>
            <w:left w:val="none" w:sz="0" w:space="0" w:color="auto"/>
            <w:bottom w:val="none" w:sz="0" w:space="0" w:color="auto"/>
            <w:right w:val="none" w:sz="0" w:space="0" w:color="auto"/>
          </w:divBdr>
        </w:div>
        <w:div w:id="1298492582">
          <w:marLeft w:val="640"/>
          <w:marRight w:val="0"/>
          <w:marTop w:val="0"/>
          <w:marBottom w:val="0"/>
          <w:divBdr>
            <w:top w:val="none" w:sz="0" w:space="0" w:color="auto"/>
            <w:left w:val="none" w:sz="0" w:space="0" w:color="auto"/>
            <w:bottom w:val="none" w:sz="0" w:space="0" w:color="auto"/>
            <w:right w:val="none" w:sz="0" w:space="0" w:color="auto"/>
          </w:divBdr>
        </w:div>
        <w:div w:id="597368226">
          <w:marLeft w:val="640"/>
          <w:marRight w:val="0"/>
          <w:marTop w:val="0"/>
          <w:marBottom w:val="0"/>
          <w:divBdr>
            <w:top w:val="none" w:sz="0" w:space="0" w:color="auto"/>
            <w:left w:val="none" w:sz="0" w:space="0" w:color="auto"/>
            <w:bottom w:val="none" w:sz="0" w:space="0" w:color="auto"/>
            <w:right w:val="none" w:sz="0" w:space="0" w:color="auto"/>
          </w:divBdr>
        </w:div>
        <w:div w:id="742917956">
          <w:marLeft w:val="640"/>
          <w:marRight w:val="0"/>
          <w:marTop w:val="0"/>
          <w:marBottom w:val="0"/>
          <w:divBdr>
            <w:top w:val="none" w:sz="0" w:space="0" w:color="auto"/>
            <w:left w:val="none" w:sz="0" w:space="0" w:color="auto"/>
            <w:bottom w:val="none" w:sz="0" w:space="0" w:color="auto"/>
            <w:right w:val="none" w:sz="0" w:space="0" w:color="auto"/>
          </w:divBdr>
        </w:div>
        <w:div w:id="1342046986">
          <w:marLeft w:val="640"/>
          <w:marRight w:val="0"/>
          <w:marTop w:val="0"/>
          <w:marBottom w:val="0"/>
          <w:divBdr>
            <w:top w:val="none" w:sz="0" w:space="0" w:color="auto"/>
            <w:left w:val="none" w:sz="0" w:space="0" w:color="auto"/>
            <w:bottom w:val="none" w:sz="0" w:space="0" w:color="auto"/>
            <w:right w:val="none" w:sz="0" w:space="0" w:color="auto"/>
          </w:divBdr>
        </w:div>
        <w:div w:id="1379695572">
          <w:marLeft w:val="640"/>
          <w:marRight w:val="0"/>
          <w:marTop w:val="0"/>
          <w:marBottom w:val="0"/>
          <w:divBdr>
            <w:top w:val="none" w:sz="0" w:space="0" w:color="auto"/>
            <w:left w:val="none" w:sz="0" w:space="0" w:color="auto"/>
            <w:bottom w:val="none" w:sz="0" w:space="0" w:color="auto"/>
            <w:right w:val="none" w:sz="0" w:space="0" w:color="auto"/>
          </w:divBdr>
        </w:div>
        <w:div w:id="1211918101">
          <w:marLeft w:val="640"/>
          <w:marRight w:val="0"/>
          <w:marTop w:val="0"/>
          <w:marBottom w:val="0"/>
          <w:divBdr>
            <w:top w:val="none" w:sz="0" w:space="0" w:color="auto"/>
            <w:left w:val="none" w:sz="0" w:space="0" w:color="auto"/>
            <w:bottom w:val="none" w:sz="0" w:space="0" w:color="auto"/>
            <w:right w:val="none" w:sz="0" w:space="0" w:color="auto"/>
          </w:divBdr>
        </w:div>
        <w:div w:id="2038582546">
          <w:marLeft w:val="640"/>
          <w:marRight w:val="0"/>
          <w:marTop w:val="0"/>
          <w:marBottom w:val="0"/>
          <w:divBdr>
            <w:top w:val="none" w:sz="0" w:space="0" w:color="auto"/>
            <w:left w:val="none" w:sz="0" w:space="0" w:color="auto"/>
            <w:bottom w:val="none" w:sz="0" w:space="0" w:color="auto"/>
            <w:right w:val="none" w:sz="0" w:space="0" w:color="auto"/>
          </w:divBdr>
        </w:div>
        <w:div w:id="456097209">
          <w:marLeft w:val="640"/>
          <w:marRight w:val="0"/>
          <w:marTop w:val="0"/>
          <w:marBottom w:val="0"/>
          <w:divBdr>
            <w:top w:val="none" w:sz="0" w:space="0" w:color="auto"/>
            <w:left w:val="none" w:sz="0" w:space="0" w:color="auto"/>
            <w:bottom w:val="none" w:sz="0" w:space="0" w:color="auto"/>
            <w:right w:val="none" w:sz="0" w:space="0" w:color="auto"/>
          </w:divBdr>
        </w:div>
        <w:div w:id="1622616678">
          <w:marLeft w:val="640"/>
          <w:marRight w:val="0"/>
          <w:marTop w:val="0"/>
          <w:marBottom w:val="0"/>
          <w:divBdr>
            <w:top w:val="none" w:sz="0" w:space="0" w:color="auto"/>
            <w:left w:val="none" w:sz="0" w:space="0" w:color="auto"/>
            <w:bottom w:val="none" w:sz="0" w:space="0" w:color="auto"/>
            <w:right w:val="none" w:sz="0" w:space="0" w:color="auto"/>
          </w:divBdr>
        </w:div>
        <w:div w:id="323945072">
          <w:marLeft w:val="640"/>
          <w:marRight w:val="0"/>
          <w:marTop w:val="0"/>
          <w:marBottom w:val="0"/>
          <w:divBdr>
            <w:top w:val="none" w:sz="0" w:space="0" w:color="auto"/>
            <w:left w:val="none" w:sz="0" w:space="0" w:color="auto"/>
            <w:bottom w:val="none" w:sz="0" w:space="0" w:color="auto"/>
            <w:right w:val="none" w:sz="0" w:space="0" w:color="auto"/>
          </w:divBdr>
        </w:div>
        <w:div w:id="1521434718">
          <w:marLeft w:val="640"/>
          <w:marRight w:val="0"/>
          <w:marTop w:val="0"/>
          <w:marBottom w:val="0"/>
          <w:divBdr>
            <w:top w:val="none" w:sz="0" w:space="0" w:color="auto"/>
            <w:left w:val="none" w:sz="0" w:space="0" w:color="auto"/>
            <w:bottom w:val="none" w:sz="0" w:space="0" w:color="auto"/>
            <w:right w:val="none" w:sz="0" w:space="0" w:color="auto"/>
          </w:divBdr>
        </w:div>
        <w:div w:id="240674787">
          <w:marLeft w:val="640"/>
          <w:marRight w:val="0"/>
          <w:marTop w:val="0"/>
          <w:marBottom w:val="0"/>
          <w:divBdr>
            <w:top w:val="none" w:sz="0" w:space="0" w:color="auto"/>
            <w:left w:val="none" w:sz="0" w:space="0" w:color="auto"/>
            <w:bottom w:val="none" w:sz="0" w:space="0" w:color="auto"/>
            <w:right w:val="none" w:sz="0" w:space="0" w:color="auto"/>
          </w:divBdr>
        </w:div>
        <w:div w:id="1880970327">
          <w:marLeft w:val="640"/>
          <w:marRight w:val="0"/>
          <w:marTop w:val="0"/>
          <w:marBottom w:val="0"/>
          <w:divBdr>
            <w:top w:val="none" w:sz="0" w:space="0" w:color="auto"/>
            <w:left w:val="none" w:sz="0" w:space="0" w:color="auto"/>
            <w:bottom w:val="none" w:sz="0" w:space="0" w:color="auto"/>
            <w:right w:val="none" w:sz="0" w:space="0" w:color="auto"/>
          </w:divBdr>
        </w:div>
        <w:div w:id="1681741093">
          <w:marLeft w:val="640"/>
          <w:marRight w:val="0"/>
          <w:marTop w:val="0"/>
          <w:marBottom w:val="0"/>
          <w:divBdr>
            <w:top w:val="none" w:sz="0" w:space="0" w:color="auto"/>
            <w:left w:val="none" w:sz="0" w:space="0" w:color="auto"/>
            <w:bottom w:val="none" w:sz="0" w:space="0" w:color="auto"/>
            <w:right w:val="none" w:sz="0" w:space="0" w:color="auto"/>
          </w:divBdr>
        </w:div>
        <w:div w:id="832723230">
          <w:marLeft w:val="640"/>
          <w:marRight w:val="0"/>
          <w:marTop w:val="0"/>
          <w:marBottom w:val="0"/>
          <w:divBdr>
            <w:top w:val="none" w:sz="0" w:space="0" w:color="auto"/>
            <w:left w:val="none" w:sz="0" w:space="0" w:color="auto"/>
            <w:bottom w:val="none" w:sz="0" w:space="0" w:color="auto"/>
            <w:right w:val="none" w:sz="0" w:space="0" w:color="auto"/>
          </w:divBdr>
        </w:div>
        <w:div w:id="1526866411">
          <w:marLeft w:val="640"/>
          <w:marRight w:val="0"/>
          <w:marTop w:val="0"/>
          <w:marBottom w:val="0"/>
          <w:divBdr>
            <w:top w:val="none" w:sz="0" w:space="0" w:color="auto"/>
            <w:left w:val="none" w:sz="0" w:space="0" w:color="auto"/>
            <w:bottom w:val="none" w:sz="0" w:space="0" w:color="auto"/>
            <w:right w:val="none" w:sz="0" w:space="0" w:color="auto"/>
          </w:divBdr>
        </w:div>
        <w:div w:id="1421901624">
          <w:marLeft w:val="640"/>
          <w:marRight w:val="0"/>
          <w:marTop w:val="0"/>
          <w:marBottom w:val="0"/>
          <w:divBdr>
            <w:top w:val="none" w:sz="0" w:space="0" w:color="auto"/>
            <w:left w:val="none" w:sz="0" w:space="0" w:color="auto"/>
            <w:bottom w:val="none" w:sz="0" w:space="0" w:color="auto"/>
            <w:right w:val="none" w:sz="0" w:space="0" w:color="auto"/>
          </w:divBdr>
        </w:div>
        <w:div w:id="1476677957">
          <w:marLeft w:val="640"/>
          <w:marRight w:val="0"/>
          <w:marTop w:val="0"/>
          <w:marBottom w:val="0"/>
          <w:divBdr>
            <w:top w:val="none" w:sz="0" w:space="0" w:color="auto"/>
            <w:left w:val="none" w:sz="0" w:space="0" w:color="auto"/>
            <w:bottom w:val="none" w:sz="0" w:space="0" w:color="auto"/>
            <w:right w:val="none" w:sz="0" w:space="0" w:color="auto"/>
          </w:divBdr>
        </w:div>
        <w:div w:id="1774982657">
          <w:marLeft w:val="640"/>
          <w:marRight w:val="0"/>
          <w:marTop w:val="0"/>
          <w:marBottom w:val="0"/>
          <w:divBdr>
            <w:top w:val="none" w:sz="0" w:space="0" w:color="auto"/>
            <w:left w:val="none" w:sz="0" w:space="0" w:color="auto"/>
            <w:bottom w:val="none" w:sz="0" w:space="0" w:color="auto"/>
            <w:right w:val="none" w:sz="0" w:space="0" w:color="auto"/>
          </w:divBdr>
        </w:div>
        <w:div w:id="365715589">
          <w:marLeft w:val="640"/>
          <w:marRight w:val="0"/>
          <w:marTop w:val="0"/>
          <w:marBottom w:val="0"/>
          <w:divBdr>
            <w:top w:val="none" w:sz="0" w:space="0" w:color="auto"/>
            <w:left w:val="none" w:sz="0" w:space="0" w:color="auto"/>
            <w:bottom w:val="none" w:sz="0" w:space="0" w:color="auto"/>
            <w:right w:val="none" w:sz="0" w:space="0" w:color="auto"/>
          </w:divBdr>
        </w:div>
        <w:div w:id="35281216">
          <w:marLeft w:val="640"/>
          <w:marRight w:val="0"/>
          <w:marTop w:val="0"/>
          <w:marBottom w:val="0"/>
          <w:divBdr>
            <w:top w:val="none" w:sz="0" w:space="0" w:color="auto"/>
            <w:left w:val="none" w:sz="0" w:space="0" w:color="auto"/>
            <w:bottom w:val="none" w:sz="0" w:space="0" w:color="auto"/>
            <w:right w:val="none" w:sz="0" w:space="0" w:color="auto"/>
          </w:divBdr>
        </w:div>
        <w:div w:id="1889756220">
          <w:marLeft w:val="640"/>
          <w:marRight w:val="0"/>
          <w:marTop w:val="0"/>
          <w:marBottom w:val="0"/>
          <w:divBdr>
            <w:top w:val="none" w:sz="0" w:space="0" w:color="auto"/>
            <w:left w:val="none" w:sz="0" w:space="0" w:color="auto"/>
            <w:bottom w:val="none" w:sz="0" w:space="0" w:color="auto"/>
            <w:right w:val="none" w:sz="0" w:space="0" w:color="auto"/>
          </w:divBdr>
        </w:div>
        <w:div w:id="1628049213">
          <w:marLeft w:val="640"/>
          <w:marRight w:val="0"/>
          <w:marTop w:val="0"/>
          <w:marBottom w:val="0"/>
          <w:divBdr>
            <w:top w:val="none" w:sz="0" w:space="0" w:color="auto"/>
            <w:left w:val="none" w:sz="0" w:space="0" w:color="auto"/>
            <w:bottom w:val="none" w:sz="0" w:space="0" w:color="auto"/>
            <w:right w:val="none" w:sz="0" w:space="0" w:color="auto"/>
          </w:divBdr>
        </w:div>
        <w:div w:id="1006634023">
          <w:marLeft w:val="640"/>
          <w:marRight w:val="0"/>
          <w:marTop w:val="0"/>
          <w:marBottom w:val="0"/>
          <w:divBdr>
            <w:top w:val="none" w:sz="0" w:space="0" w:color="auto"/>
            <w:left w:val="none" w:sz="0" w:space="0" w:color="auto"/>
            <w:bottom w:val="none" w:sz="0" w:space="0" w:color="auto"/>
            <w:right w:val="none" w:sz="0" w:space="0" w:color="auto"/>
          </w:divBdr>
        </w:div>
        <w:div w:id="2001153076">
          <w:marLeft w:val="640"/>
          <w:marRight w:val="0"/>
          <w:marTop w:val="0"/>
          <w:marBottom w:val="0"/>
          <w:divBdr>
            <w:top w:val="none" w:sz="0" w:space="0" w:color="auto"/>
            <w:left w:val="none" w:sz="0" w:space="0" w:color="auto"/>
            <w:bottom w:val="none" w:sz="0" w:space="0" w:color="auto"/>
            <w:right w:val="none" w:sz="0" w:space="0" w:color="auto"/>
          </w:divBdr>
        </w:div>
        <w:div w:id="1354574100">
          <w:marLeft w:val="640"/>
          <w:marRight w:val="0"/>
          <w:marTop w:val="0"/>
          <w:marBottom w:val="0"/>
          <w:divBdr>
            <w:top w:val="none" w:sz="0" w:space="0" w:color="auto"/>
            <w:left w:val="none" w:sz="0" w:space="0" w:color="auto"/>
            <w:bottom w:val="none" w:sz="0" w:space="0" w:color="auto"/>
            <w:right w:val="none" w:sz="0" w:space="0" w:color="auto"/>
          </w:divBdr>
        </w:div>
        <w:div w:id="2127848034">
          <w:marLeft w:val="640"/>
          <w:marRight w:val="0"/>
          <w:marTop w:val="0"/>
          <w:marBottom w:val="0"/>
          <w:divBdr>
            <w:top w:val="none" w:sz="0" w:space="0" w:color="auto"/>
            <w:left w:val="none" w:sz="0" w:space="0" w:color="auto"/>
            <w:bottom w:val="none" w:sz="0" w:space="0" w:color="auto"/>
            <w:right w:val="none" w:sz="0" w:space="0" w:color="auto"/>
          </w:divBdr>
        </w:div>
        <w:div w:id="415832110">
          <w:marLeft w:val="640"/>
          <w:marRight w:val="0"/>
          <w:marTop w:val="0"/>
          <w:marBottom w:val="0"/>
          <w:divBdr>
            <w:top w:val="none" w:sz="0" w:space="0" w:color="auto"/>
            <w:left w:val="none" w:sz="0" w:space="0" w:color="auto"/>
            <w:bottom w:val="none" w:sz="0" w:space="0" w:color="auto"/>
            <w:right w:val="none" w:sz="0" w:space="0" w:color="auto"/>
          </w:divBdr>
        </w:div>
        <w:div w:id="964118112">
          <w:marLeft w:val="640"/>
          <w:marRight w:val="0"/>
          <w:marTop w:val="0"/>
          <w:marBottom w:val="0"/>
          <w:divBdr>
            <w:top w:val="none" w:sz="0" w:space="0" w:color="auto"/>
            <w:left w:val="none" w:sz="0" w:space="0" w:color="auto"/>
            <w:bottom w:val="none" w:sz="0" w:space="0" w:color="auto"/>
            <w:right w:val="none" w:sz="0" w:space="0" w:color="auto"/>
          </w:divBdr>
        </w:div>
        <w:div w:id="639458043">
          <w:marLeft w:val="640"/>
          <w:marRight w:val="0"/>
          <w:marTop w:val="0"/>
          <w:marBottom w:val="0"/>
          <w:divBdr>
            <w:top w:val="none" w:sz="0" w:space="0" w:color="auto"/>
            <w:left w:val="none" w:sz="0" w:space="0" w:color="auto"/>
            <w:bottom w:val="none" w:sz="0" w:space="0" w:color="auto"/>
            <w:right w:val="none" w:sz="0" w:space="0" w:color="auto"/>
          </w:divBdr>
        </w:div>
        <w:div w:id="100153819">
          <w:marLeft w:val="640"/>
          <w:marRight w:val="0"/>
          <w:marTop w:val="0"/>
          <w:marBottom w:val="0"/>
          <w:divBdr>
            <w:top w:val="none" w:sz="0" w:space="0" w:color="auto"/>
            <w:left w:val="none" w:sz="0" w:space="0" w:color="auto"/>
            <w:bottom w:val="none" w:sz="0" w:space="0" w:color="auto"/>
            <w:right w:val="none" w:sz="0" w:space="0" w:color="auto"/>
          </w:divBdr>
        </w:div>
        <w:div w:id="1991010532">
          <w:marLeft w:val="640"/>
          <w:marRight w:val="0"/>
          <w:marTop w:val="0"/>
          <w:marBottom w:val="0"/>
          <w:divBdr>
            <w:top w:val="none" w:sz="0" w:space="0" w:color="auto"/>
            <w:left w:val="none" w:sz="0" w:space="0" w:color="auto"/>
            <w:bottom w:val="none" w:sz="0" w:space="0" w:color="auto"/>
            <w:right w:val="none" w:sz="0" w:space="0" w:color="auto"/>
          </w:divBdr>
        </w:div>
        <w:div w:id="572086270">
          <w:marLeft w:val="640"/>
          <w:marRight w:val="0"/>
          <w:marTop w:val="0"/>
          <w:marBottom w:val="0"/>
          <w:divBdr>
            <w:top w:val="none" w:sz="0" w:space="0" w:color="auto"/>
            <w:left w:val="none" w:sz="0" w:space="0" w:color="auto"/>
            <w:bottom w:val="none" w:sz="0" w:space="0" w:color="auto"/>
            <w:right w:val="none" w:sz="0" w:space="0" w:color="auto"/>
          </w:divBdr>
        </w:div>
        <w:div w:id="150682089">
          <w:marLeft w:val="640"/>
          <w:marRight w:val="0"/>
          <w:marTop w:val="0"/>
          <w:marBottom w:val="0"/>
          <w:divBdr>
            <w:top w:val="none" w:sz="0" w:space="0" w:color="auto"/>
            <w:left w:val="none" w:sz="0" w:space="0" w:color="auto"/>
            <w:bottom w:val="none" w:sz="0" w:space="0" w:color="auto"/>
            <w:right w:val="none" w:sz="0" w:space="0" w:color="auto"/>
          </w:divBdr>
        </w:div>
        <w:div w:id="1421369035">
          <w:marLeft w:val="640"/>
          <w:marRight w:val="0"/>
          <w:marTop w:val="0"/>
          <w:marBottom w:val="0"/>
          <w:divBdr>
            <w:top w:val="none" w:sz="0" w:space="0" w:color="auto"/>
            <w:left w:val="none" w:sz="0" w:space="0" w:color="auto"/>
            <w:bottom w:val="none" w:sz="0" w:space="0" w:color="auto"/>
            <w:right w:val="none" w:sz="0" w:space="0" w:color="auto"/>
          </w:divBdr>
        </w:div>
        <w:div w:id="1290866137">
          <w:marLeft w:val="640"/>
          <w:marRight w:val="0"/>
          <w:marTop w:val="0"/>
          <w:marBottom w:val="0"/>
          <w:divBdr>
            <w:top w:val="none" w:sz="0" w:space="0" w:color="auto"/>
            <w:left w:val="none" w:sz="0" w:space="0" w:color="auto"/>
            <w:bottom w:val="none" w:sz="0" w:space="0" w:color="auto"/>
            <w:right w:val="none" w:sz="0" w:space="0" w:color="auto"/>
          </w:divBdr>
        </w:div>
        <w:div w:id="1838183125">
          <w:marLeft w:val="640"/>
          <w:marRight w:val="0"/>
          <w:marTop w:val="0"/>
          <w:marBottom w:val="0"/>
          <w:divBdr>
            <w:top w:val="none" w:sz="0" w:space="0" w:color="auto"/>
            <w:left w:val="none" w:sz="0" w:space="0" w:color="auto"/>
            <w:bottom w:val="none" w:sz="0" w:space="0" w:color="auto"/>
            <w:right w:val="none" w:sz="0" w:space="0" w:color="auto"/>
          </w:divBdr>
        </w:div>
        <w:div w:id="1794985296">
          <w:marLeft w:val="640"/>
          <w:marRight w:val="0"/>
          <w:marTop w:val="0"/>
          <w:marBottom w:val="0"/>
          <w:divBdr>
            <w:top w:val="none" w:sz="0" w:space="0" w:color="auto"/>
            <w:left w:val="none" w:sz="0" w:space="0" w:color="auto"/>
            <w:bottom w:val="none" w:sz="0" w:space="0" w:color="auto"/>
            <w:right w:val="none" w:sz="0" w:space="0" w:color="auto"/>
          </w:divBdr>
        </w:div>
        <w:div w:id="632447141">
          <w:marLeft w:val="640"/>
          <w:marRight w:val="0"/>
          <w:marTop w:val="0"/>
          <w:marBottom w:val="0"/>
          <w:divBdr>
            <w:top w:val="none" w:sz="0" w:space="0" w:color="auto"/>
            <w:left w:val="none" w:sz="0" w:space="0" w:color="auto"/>
            <w:bottom w:val="none" w:sz="0" w:space="0" w:color="auto"/>
            <w:right w:val="none" w:sz="0" w:space="0" w:color="auto"/>
          </w:divBdr>
        </w:div>
        <w:div w:id="1621761095">
          <w:marLeft w:val="640"/>
          <w:marRight w:val="0"/>
          <w:marTop w:val="0"/>
          <w:marBottom w:val="0"/>
          <w:divBdr>
            <w:top w:val="none" w:sz="0" w:space="0" w:color="auto"/>
            <w:left w:val="none" w:sz="0" w:space="0" w:color="auto"/>
            <w:bottom w:val="none" w:sz="0" w:space="0" w:color="auto"/>
            <w:right w:val="none" w:sz="0" w:space="0" w:color="auto"/>
          </w:divBdr>
        </w:div>
        <w:div w:id="1838690348">
          <w:marLeft w:val="640"/>
          <w:marRight w:val="0"/>
          <w:marTop w:val="0"/>
          <w:marBottom w:val="0"/>
          <w:divBdr>
            <w:top w:val="none" w:sz="0" w:space="0" w:color="auto"/>
            <w:left w:val="none" w:sz="0" w:space="0" w:color="auto"/>
            <w:bottom w:val="none" w:sz="0" w:space="0" w:color="auto"/>
            <w:right w:val="none" w:sz="0" w:space="0" w:color="auto"/>
          </w:divBdr>
        </w:div>
        <w:div w:id="678890105">
          <w:marLeft w:val="640"/>
          <w:marRight w:val="0"/>
          <w:marTop w:val="0"/>
          <w:marBottom w:val="0"/>
          <w:divBdr>
            <w:top w:val="none" w:sz="0" w:space="0" w:color="auto"/>
            <w:left w:val="none" w:sz="0" w:space="0" w:color="auto"/>
            <w:bottom w:val="none" w:sz="0" w:space="0" w:color="auto"/>
            <w:right w:val="none" w:sz="0" w:space="0" w:color="auto"/>
          </w:divBdr>
        </w:div>
        <w:div w:id="2062897394">
          <w:marLeft w:val="640"/>
          <w:marRight w:val="0"/>
          <w:marTop w:val="0"/>
          <w:marBottom w:val="0"/>
          <w:divBdr>
            <w:top w:val="none" w:sz="0" w:space="0" w:color="auto"/>
            <w:left w:val="none" w:sz="0" w:space="0" w:color="auto"/>
            <w:bottom w:val="none" w:sz="0" w:space="0" w:color="auto"/>
            <w:right w:val="none" w:sz="0" w:space="0" w:color="auto"/>
          </w:divBdr>
        </w:div>
        <w:div w:id="1719209206">
          <w:marLeft w:val="640"/>
          <w:marRight w:val="0"/>
          <w:marTop w:val="0"/>
          <w:marBottom w:val="0"/>
          <w:divBdr>
            <w:top w:val="none" w:sz="0" w:space="0" w:color="auto"/>
            <w:left w:val="none" w:sz="0" w:space="0" w:color="auto"/>
            <w:bottom w:val="none" w:sz="0" w:space="0" w:color="auto"/>
            <w:right w:val="none" w:sz="0" w:space="0" w:color="auto"/>
          </w:divBdr>
        </w:div>
        <w:div w:id="827941150">
          <w:marLeft w:val="640"/>
          <w:marRight w:val="0"/>
          <w:marTop w:val="0"/>
          <w:marBottom w:val="0"/>
          <w:divBdr>
            <w:top w:val="none" w:sz="0" w:space="0" w:color="auto"/>
            <w:left w:val="none" w:sz="0" w:space="0" w:color="auto"/>
            <w:bottom w:val="none" w:sz="0" w:space="0" w:color="auto"/>
            <w:right w:val="none" w:sz="0" w:space="0" w:color="auto"/>
          </w:divBdr>
        </w:div>
        <w:div w:id="998578828">
          <w:marLeft w:val="640"/>
          <w:marRight w:val="0"/>
          <w:marTop w:val="0"/>
          <w:marBottom w:val="0"/>
          <w:divBdr>
            <w:top w:val="none" w:sz="0" w:space="0" w:color="auto"/>
            <w:left w:val="none" w:sz="0" w:space="0" w:color="auto"/>
            <w:bottom w:val="none" w:sz="0" w:space="0" w:color="auto"/>
            <w:right w:val="none" w:sz="0" w:space="0" w:color="auto"/>
          </w:divBdr>
        </w:div>
        <w:div w:id="498427996">
          <w:marLeft w:val="640"/>
          <w:marRight w:val="0"/>
          <w:marTop w:val="0"/>
          <w:marBottom w:val="0"/>
          <w:divBdr>
            <w:top w:val="none" w:sz="0" w:space="0" w:color="auto"/>
            <w:left w:val="none" w:sz="0" w:space="0" w:color="auto"/>
            <w:bottom w:val="none" w:sz="0" w:space="0" w:color="auto"/>
            <w:right w:val="none" w:sz="0" w:space="0" w:color="auto"/>
          </w:divBdr>
        </w:div>
        <w:div w:id="1739746888">
          <w:marLeft w:val="640"/>
          <w:marRight w:val="0"/>
          <w:marTop w:val="0"/>
          <w:marBottom w:val="0"/>
          <w:divBdr>
            <w:top w:val="none" w:sz="0" w:space="0" w:color="auto"/>
            <w:left w:val="none" w:sz="0" w:space="0" w:color="auto"/>
            <w:bottom w:val="none" w:sz="0" w:space="0" w:color="auto"/>
            <w:right w:val="none" w:sz="0" w:space="0" w:color="auto"/>
          </w:divBdr>
        </w:div>
        <w:div w:id="846137916">
          <w:marLeft w:val="640"/>
          <w:marRight w:val="0"/>
          <w:marTop w:val="0"/>
          <w:marBottom w:val="0"/>
          <w:divBdr>
            <w:top w:val="none" w:sz="0" w:space="0" w:color="auto"/>
            <w:left w:val="none" w:sz="0" w:space="0" w:color="auto"/>
            <w:bottom w:val="none" w:sz="0" w:space="0" w:color="auto"/>
            <w:right w:val="none" w:sz="0" w:space="0" w:color="auto"/>
          </w:divBdr>
        </w:div>
        <w:div w:id="533233526">
          <w:marLeft w:val="640"/>
          <w:marRight w:val="0"/>
          <w:marTop w:val="0"/>
          <w:marBottom w:val="0"/>
          <w:divBdr>
            <w:top w:val="none" w:sz="0" w:space="0" w:color="auto"/>
            <w:left w:val="none" w:sz="0" w:space="0" w:color="auto"/>
            <w:bottom w:val="none" w:sz="0" w:space="0" w:color="auto"/>
            <w:right w:val="none" w:sz="0" w:space="0" w:color="auto"/>
          </w:divBdr>
        </w:div>
        <w:div w:id="795295719">
          <w:marLeft w:val="640"/>
          <w:marRight w:val="0"/>
          <w:marTop w:val="0"/>
          <w:marBottom w:val="0"/>
          <w:divBdr>
            <w:top w:val="none" w:sz="0" w:space="0" w:color="auto"/>
            <w:left w:val="none" w:sz="0" w:space="0" w:color="auto"/>
            <w:bottom w:val="none" w:sz="0" w:space="0" w:color="auto"/>
            <w:right w:val="none" w:sz="0" w:space="0" w:color="auto"/>
          </w:divBdr>
        </w:div>
        <w:div w:id="842208471">
          <w:marLeft w:val="640"/>
          <w:marRight w:val="0"/>
          <w:marTop w:val="0"/>
          <w:marBottom w:val="0"/>
          <w:divBdr>
            <w:top w:val="none" w:sz="0" w:space="0" w:color="auto"/>
            <w:left w:val="none" w:sz="0" w:space="0" w:color="auto"/>
            <w:bottom w:val="none" w:sz="0" w:space="0" w:color="auto"/>
            <w:right w:val="none" w:sz="0" w:space="0" w:color="auto"/>
          </w:divBdr>
        </w:div>
        <w:div w:id="1078404180">
          <w:marLeft w:val="640"/>
          <w:marRight w:val="0"/>
          <w:marTop w:val="0"/>
          <w:marBottom w:val="0"/>
          <w:divBdr>
            <w:top w:val="none" w:sz="0" w:space="0" w:color="auto"/>
            <w:left w:val="none" w:sz="0" w:space="0" w:color="auto"/>
            <w:bottom w:val="none" w:sz="0" w:space="0" w:color="auto"/>
            <w:right w:val="none" w:sz="0" w:space="0" w:color="auto"/>
          </w:divBdr>
        </w:div>
        <w:div w:id="662977028">
          <w:marLeft w:val="640"/>
          <w:marRight w:val="0"/>
          <w:marTop w:val="0"/>
          <w:marBottom w:val="0"/>
          <w:divBdr>
            <w:top w:val="none" w:sz="0" w:space="0" w:color="auto"/>
            <w:left w:val="none" w:sz="0" w:space="0" w:color="auto"/>
            <w:bottom w:val="none" w:sz="0" w:space="0" w:color="auto"/>
            <w:right w:val="none" w:sz="0" w:space="0" w:color="auto"/>
          </w:divBdr>
        </w:div>
        <w:div w:id="1208639231">
          <w:marLeft w:val="640"/>
          <w:marRight w:val="0"/>
          <w:marTop w:val="0"/>
          <w:marBottom w:val="0"/>
          <w:divBdr>
            <w:top w:val="none" w:sz="0" w:space="0" w:color="auto"/>
            <w:left w:val="none" w:sz="0" w:space="0" w:color="auto"/>
            <w:bottom w:val="none" w:sz="0" w:space="0" w:color="auto"/>
            <w:right w:val="none" w:sz="0" w:space="0" w:color="auto"/>
          </w:divBdr>
        </w:div>
        <w:div w:id="1989168173">
          <w:marLeft w:val="640"/>
          <w:marRight w:val="0"/>
          <w:marTop w:val="0"/>
          <w:marBottom w:val="0"/>
          <w:divBdr>
            <w:top w:val="none" w:sz="0" w:space="0" w:color="auto"/>
            <w:left w:val="none" w:sz="0" w:space="0" w:color="auto"/>
            <w:bottom w:val="none" w:sz="0" w:space="0" w:color="auto"/>
            <w:right w:val="none" w:sz="0" w:space="0" w:color="auto"/>
          </w:divBdr>
        </w:div>
        <w:div w:id="460803347">
          <w:marLeft w:val="640"/>
          <w:marRight w:val="0"/>
          <w:marTop w:val="0"/>
          <w:marBottom w:val="0"/>
          <w:divBdr>
            <w:top w:val="none" w:sz="0" w:space="0" w:color="auto"/>
            <w:left w:val="none" w:sz="0" w:space="0" w:color="auto"/>
            <w:bottom w:val="none" w:sz="0" w:space="0" w:color="auto"/>
            <w:right w:val="none" w:sz="0" w:space="0" w:color="auto"/>
          </w:divBdr>
        </w:div>
        <w:div w:id="666637878">
          <w:marLeft w:val="640"/>
          <w:marRight w:val="0"/>
          <w:marTop w:val="0"/>
          <w:marBottom w:val="0"/>
          <w:divBdr>
            <w:top w:val="none" w:sz="0" w:space="0" w:color="auto"/>
            <w:left w:val="none" w:sz="0" w:space="0" w:color="auto"/>
            <w:bottom w:val="none" w:sz="0" w:space="0" w:color="auto"/>
            <w:right w:val="none" w:sz="0" w:space="0" w:color="auto"/>
          </w:divBdr>
        </w:div>
        <w:div w:id="31344326">
          <w:marLeft w:val="640"/>
          <w:marRight w:val="0"/>
          <w:marTop w:val="0"/>
          <w:marBottom w:val="0"/>
          <w:divBdr>
            <w:top w:val="none" w:sz="0" w:space="0" w:color="auto"/>
            <w:left w:val="none" w:sz="0" w:space="0" w:color="auto"/>
            <w:bottom w:val="none" w:sz="0" w:space="0" w:color="auto"/>
            <w:right w:val="none" w:sz="0" w:space="0" w:color="auto"/>
          </w:divBdr>
        </w:div>
        <w:div w:id="1781991655">
          <w:marLeft w:val="640"/>
          <w:marRight w:val="0"/>
          <w:marTop w:val="0"/>
          <w:marBottom w:val="0"/>
          <w:divBdr>
            <w:top w:val="none" w:sz="0" w:space="0" w:color="auto"/>
            <w:left w:val="none" w:sz="0" w:space="0" w:color="auto"/>
            <w:bottom w:val="none" w:sz="0" w:space="0" w:color="auto"/>
            <w:right w:val="none" w:sz="0" w:space="0" w:color="auto"/>
          </w:divBdr>
        </w:div>
      </w:divsChild>
    </w:div>
    <w:div w:id="1530800636">
      <w:bodyDiv w:val="1"/>
      <w:marLeft w:val="0"/>
      <w:marRight w:val="0"/>
      <w:marTop w:val="0"/>
      <w:marBottom w:val="0"/>
      <w:divBdr>
        <w:top w:val="none" w:sz="0" w:space="0" w:color="auto"/>
        <w:left w:val="none" w:sz="0" w:space="0" w:color="auto"/>
        <w:bottom w:val="none" w:sz="0" w:space="0" w:color="auto"/>
        <w:right w:val="none" w:sz="0" w:space="0" w:color="auto"/>
      </w:divBdr>
      <w:divsChild>
        <w:div w:id="1176576539">
          <w:marLeft w:val="640"/>
          <w:marRight w:val="0"/>
          <w:marTop w:val="0"/>
          <w:marBottom w:val="0"/>
          <w:divBdr>
            <w:top w:val="none" w:sz="0" w:space="0" w:color="auto"/>
            <w:left w:val="none" w:sz="0" w:space="0" w:color="auto"/>
            <w:bottom w:val="none" w:sz="0" w:space="0" w:color="auto"/>
            <w:right w:val="none" w:sz="0" w:space="0" w:color="auto"/>
          </w:divBdr>
        </w:div>
        <w:div w:id="694186815">
          <w:marLeft w:val="640"/>
          <w:marRight w:val="0"/>
          <w:marTop w:val="0"/>
          <w:marBottom w:val="0"/>
          <w:divBdr>
            <w:top w:val="none" w:sz="0" w:space="0" w:color="auto"/>
            <w:left w:val="none" w:sz="0" w:space="0" w:color="auto"/>
            <w:bottom w:val="none" w:sz="0" w:space="0" w:color="auto"/>
            <w:right w:val="none" w:sz="0" w:space="0" w:color="auto"/>
          </w:divBdr>
        </w:div>
        <w:div w:id="2031488544">
          <w:marLeft w:val="640"/>
          <w:marRight w:val="0"/>
          <w:marTop w:val="0"/>
          <w:marBottom w:val="0"/>
          <w:divBdr>
            <w:top w:val="none" w:sz="0" w:space="0" w:color="auto"/>
            <w:left w:val="none" w:sz="0" w:space="0" w:color="auto"/>
            <w:bottom w:val="none" w:sz="0" w:space="0" w:color="auto"/>
            <w:right w:val="none" w:sz="0" w:space="0" w:color="auto"/>
          </w:divBdr>
        </w:div>
        <w:div w:id="1704397709">
          <w:marLeft w:val="640"/>
          <w:marRight w:val="0"/>
          <w:marTop w:val="0"/>
          <w:marBottom w:val="0"/>
          <w:divBdr>
            <w:top w:val="none" w:sz="0" w:space="0" w:color="auto"/>
            <w:left w:val="none" w:sz="0" w:space="0" w:color="auto"/>
            <w:bottom w:val="none" w:sz="0" w:space="0" w:color="auto"/>
            <w:right w:val="none" w:sz="0" w:space="0" w:color="auto"/>
          </w:divBdr>
        </w:div>
        <w:div w:id="1577400248">
          <w:marLeft w:val="640"/>
          <w:marRight w:val="0"/>
          <w:marTop w:val="0"/>
          <w:marBottom w:val="0"/>
          <w:divBdr>
            <w:top w:val="none" w:sz="0" w:space="0" w:color="auto"/>
            <w:left w:val="none" w:sz="0" w:space="0" w:color="auto"/>
            <w:bottom w:val="none" w:sz="0" w:space="0" w:color="auto"/>
            <w:right w:val="none" w:sz="0" w:space="0" w:color="auto"/>
          </w:divBdr>
        </w:div>
        <w:div w:id="774981090">
          <w:marLeft w:val="640"/>
          <w:marRight w:val="0"/>
          <w:marTop w:val="0"/>
          <w:marBottom w:val="0"/>
          <w:divBdr>
            <w:top w:val="none" w:sz="0" w:space="0" w:color="auto"/>
            <w:left w:val="none" w:sz="0" w:space="0" w:color="auto"/>
            <w:bottom w:val="none" w:sz="0" w:space="0" w:color="auto"/>
            <w:right w:val="none" w:sz="0" w:space="0" w:color="auto"/>
          </w:divBdr>
        </w:div>
        <w:div w:id="1549146924">
          <w:marLeft w:val="640"/>
          <w:marRight w:val="0"/>
          <w:marTop w:val="0"/>
          <w:marBottom w:val="0"/>
          <w:divBdr>
            <w:top w:val="none" w:sz="0" w:space="0" w:color="auto"/>
            <w:left w:val="none" w:sz="0" w:space="0" w:color="auto"/>
            <w:bottom w:val="none" w:sz="0" w:space="0" w:color="auto"/>
            <w:right w:val="none" w:sz="0" w:space="0" w:color="auto"/>
          </w:divBdr>
        </w:div>
        <w:div w:id="2007778634">
          <w:marLeft w:val="640"/>
          <w:marRight w:val="0"/>
          <w:marTop w:val="0"/>
          <w:marBottom w:val="0"/>
          <w:divBdr>
            <w:top w:val="none" w:sz="0" w:space="0" w:color="auto"/>
            <w:left w:val="none" w:sz="0" w:space="0" w:color="auto"/>
            <w:bottom w:val="none" w:sz="0" w:space="0" w:color="auto"/>
            <w:right w:val="none" w:sz="0" w:space="0" w:color="auto"/>
          </w:divBdr>
        </w:div>
        <w:div w:id="1107697189">
          <w:marLeft w:val="640"/>
          <w:marRight w:val="0"/>
          <w:marTop w:val="0"/>
          <w:marBottom w:val="0"/>
          <w:divBdr>
            <w:top w:val="none" w:sz="0" w:space="0" w:color="auto"/>
            <w:left w:val="none" w:sz="0" w:space="0" w:color="auto"/>
            <w:bottom w:val="none" w:sz="0" w:space="0" w:color="auto"/>
            <w:right w:val="none" w:sz="0" w:space="0" w:color="auto"/>
          </w:divBdr>
        </w:div>
        <w:div w:id="510684945">
          <w:marLeft w:val="640"/>
          <w:marRight w:val="0"/>
          <w:marTop w:val="0"/>
          <w:marBottom w:val="0"/>
          <w:divBdr>
            <w:top w:val="none" w:sz="0" w:space="0" w:color="auto"/>
            <w:left w:val="none" w:sz="0" w:space="0" w:color="auto"/>
            <w:bottom w:val="none" w:sz="0" w:space="0" w:color="auto"/>
            <w:right w:val="none" w:sz="0" w:space="0" w:color="auto"/>
          </w:divBdr>
        </w:div>
        <w:div w:id="783424576">
          <w:marLeft w:val="640"/>
          <w:marRight w:val="0"/>
          <w:marTop w:val="0"/>
          <w:marBottom w:val="0"/>
          <w:divBdr>
            <w:top w:val="none" w:sz="0" w:space="0" w:color="auto"/>
            <w:left w:val="none" w:sz="0" w:space="0" w:color="auto"/>
            <w:bottom w:val="none" w:sz="0" w:space="0" w:color="auto"/>
            <w:right w:val="none" w:sz="0" w:space="0" w:color="auto"/>
          </w:divBdr>
        </w:div>
        <w:div w:id="1632783403">
          <w:marLeft w:val="640"/>
          <w:marRight w:val="0"/>
          <w:marTop w:val="0"/>
          <w:marBottom w:val="0"/>
          <w:divBdr>
            <w:top w:val="none" w:sz="0" w:space="0" w:color="auto"/>
            <w:left w:val="none" w:sz="0" w:space="0" w:color="auto"/>
            <w:bottom w:val="none" w:sz="0" w:space="0" w:color="auto"/>
            <w:right w:val="none" w:sz="0" w:space="0" w:color="auto"/>
          </w:divBdr>
        </w:div>
        <w:div w:id="1422486522">
          <w:marLeft w:val="640"/>
          <w:marRight w:val="0"/>
          <w:marTop w:val="0"/>
          <w:marBottom w:val="0"/>
          <w:divBdr>
            <w:top w:val="none" w:sz="0" w:space="0" w:color="auto"/>
            <w:left w:val="none" w:sz="0" w:space="0" w:color="auto"/>
            <w:bottom w:val="none" w:sz="0" w:space="0" w:color="auto"/>
            <w:right w:val="none" w:sz="0" w:space="0" w:color="auto"/>
          </w:divBdr>
        </w:div>
        <w:div w:id="1519468272">
          <w:marLeft w:val="640"/>
          <w:marRight w:val="0"/>
          <w:marTop w:val="0"/>
          <w:marBottom w:val="0"/>
          <w:divBdr>
            <w:top w:val="none" w:sz="0" w:space="0" w:color="auto"/>
            <w:left w:val="none" w:sz="0" w:space="0" w:color="auto"/>
            <w:bottom w:val="none" w:sz="0" w:space="0" w:color="auto"/>
            <w:right w:val="none" w:sz="0" w:space="0" w:color="auto"/>
          </w:divBdr>
        </w:div>
        <w:div w:id="710960187">
          <w:marLeft w:val="640"/>
          <w:marRight w:val="0"/>
          <w:marTop w:val="0"/>
          <w:marBottom w:val="0"/>
          <w:divBdr>
            <w:top w:val="none" w:sz="0" w:space="0" w:color="auto"/>
            <w:left w:val="none" w:sz="0" w:space="0" w:color="auto"/>
            <w:bottom w:val="none" w:sz="0" w:space="0" w:color="auto"/>
            <w:right w:val="none" w:sz="0" w:space="0" w:color="auto"/>
          </w:divBdr>
        </w:div>
        <w:div w:id="1598633986">
          <w:marLeft w:val="640"/>
          <w:marRight w:val="0"/>
          <w:marTop w:val="0"/>
          <w:marBottom w:val="0"/>
          <w:divBdr>
            <w:top w:val="none" w:sz="0" w:space="0" w:color="auto"/>
            <w:left w:val="none" w:sz="0" w:space="0" w:color="auto"/>
            <w:bottom w:val="none" w:sz="0" w:space="0" w:color="auto"/>
            <w:right w:val="none" w:sz="0" w:space="0" w:color="auto"/>
          </w:divBdr>
        </w:div>
        <w:div w:id="1079132477">
          <w:marLeft w:val="640"/>
          <w:marRight w:val="0"/>
          <w:marTop w:val="0"/>
          <w:marBottom w:val="0"/>
          <w:divBdr>
            <w:top w:val="none" w:sz="0" w:space="0" w:color="auto"/>
            <w:left w:val="none" w:sz="0" w:space="0" w:color="auto"/>
            <w:bottom w:val="none" w:sz="0" w:space="0" w:color="auto"/>
            <w:right w:val="none" w:sz="0" w:space="0" w:color="auto"/>
          </w:divBdr>
        </w:div>
        <w:div w:id="1507596482">
          <w:marLeft w:val="640"/>
          <w:marRight w:val="0"/>
          <w:marTop w:val="0"/>
          <w:marBottom w:val="0"/>
          <w:divBdr>
            <w:top w:val="none" w:sz="0" w:space="0" w:color="auto"/>
            <w:left w:val="none" w:sz="0" w:space="0" w:color="auto"/>
            <w:bottom w:val="none" w:sz="0" w:space="0" w:color="auto"/>
            <w:right w:val="none" w:sz="0" w:space="0" w:color="auto"/>
          </w:divBdr>
        </w:div>
        <w:div w:id="1735159232">
          <w:marLeft w:val="640"/>
          <w:marRight w:val="0"/>
          <w:marTop w:val="0"/>
          <w:marBottom w:val="0"/>
          <w:divBdr>
            <w:top w:val="none" w:sz="0" w:space="0" w:color="auto"/>
            <w:left w:val="none" w:sz="0" w:space="0" w:color="auto"/>
            <w:bottom w:val="none" w:sz="0" w:space="0" w:color="auto"/>
            <w:right w:val="none" w:sz="0" w:space="0" w:color="auto"/>
          </w:divBdr>
        </w:div>
        <w:div w:id="922569044">
          <w:marLeft w:val="640"/>
          <w:marRight w:val="0"/>
          <w:marTop w:val="0"/>
          <w:marBottom w:val="0"/>
          <w:divBdr>
            <w:top w:val="none" w:sz="0" w:space="0" w:color="auto"/>
            <w:left w:val="none" w:sz="0" w:space="0" w:color="auto"/>
            <w:bottom w:val="none" w:sz="0" w:space="0" w:color="auto"/>
            <w:right w:val="none" w:sz="0" w:space="0" w:color="auto"/>
          </w:divBdr>
        </w:div>
        <w:div w:id="141236113">
          <w:marLeft w:val="640"/>
          <w:marRight w:val="0"/>
          <w:marTop w:val="0"/>
          <w:marBottom w:val="0"/>
          <w:divBdr>
            <w:top w:val="none" w:sz="0" w:space="0" w:color="auto"/>
            <w:left w:val="none" w:sz="0" w:space="0" w:color="auto"/>
            <w:bottom w:val="none" w:sz="0" w:space="0" w:color="auto"/>
            <w:right w:val="none" w:sz="0" w:space="0" w:color="auto"/>
          </w:divBdr>
        </w:div>
        <w:div w:id="1449281667">
          <w:marLeft w:val="640"/>
          <w:marRight w:val="0"/>
          <w:marTop w:val="0"/>
          <w:marBottom w:val="0"/>
          <w:divBdr>
            <w:top w:val="none" w:sz="0" w:space="0" w:color="auto"/>
            <w:left w:val="none" w:sz="0" w:space="0" w:color="auto"/>
            <w:bottom w:val="none" w:sz="0" w:space="0" w:color="auto"/>
            <w:right w:val="none" w:sz="0" w:space="0" w:color="auto"/>
          </w:divBdr>
        </w:div>
        <w:div w:id="727412309">
          <w:marLeft w:val="640"/>
          <w:marRight w:val="0"/>
          <w:marTop w:val="0"/>
          <w:marBottom w:val="0"/>
          <w:divBdr>
            <w:top w:val="none" w:sz="0" w:space="0" w:color="auto"/>
            <w:left w:val="none" w:sz="0" w:space="0" w:color="auto"/>
            <w:bottom w:val="none" w:sz="0" w:space="0" w:color="auto"/>
            <w:right w:val="none" w:sz="0" w:space="0" w:color="auto"/>
          </w:divBdr>
        </w:div>
        <w:div w:id="71204369">
          <w:marLeft w:val="640"/>
          <w:marRight w:val="0"/>
          <w:marTop w:val="0"/>
          <w:marBottom w:val="0"/>
          <w:divBdr>
            <w:top w:val="none" w:sz="0" w:space="0" w:color="auto"/>
            <w:left w:val="none" w:sz="0" w:space="0" w:color="auto"/>
            <w:bottom w:val="none" w:sz="0" w:space="0" w:color="auto"/>
            <w:right w:val="none" w:sz="0" w:space="0" w:color="auto"/>
          </w:divBdr>
        </w:div>
        <w:div w:id="850492563">
          <w:marLeft w:val="640"/>
          <w:marRight w:val="0"/>
          <w:marTop w:val="0"/>
          <w:marBottom w:val="0"/>
          <w:divBdr>
            <w:top w:val="none" w:sz="0" w:space="0" w:color="auto"/>
            <w:left w:val="none" w:sz="0" w:space="0" w:color="auto"/>
            <w:bottom w:val="none" w:sz="0" w:space="0" w:color="auto"/>
            <w:right w:val="none" w:sz="0" w:space="0" w:color="auto"/>
          </w:divBdr>
        </w:div>
        <w:div w:id="1588804247">
          <w:marLeft w:val="640"/>
          <w:marRight w:val="0"/>
          <w:marTop w:val="0"/>
          <w:marBottom w:val="0"/>
          <w:divBdr>
            <w:top w:val="none" w:sz="0" w:space="0" w:color="auto"/>
            <w:left w:val="none" w:sz="0" w:space="0" w:color="auto"/>
            <w:bottom w:val="none" w:sz="0" w:space="0" w:color="auto"/>
            <w:right w:val="none" w:sz="0" w:space="0" w:color="auto"/>
          </w:divBdr>
        </w:div>
        <w:div w:id="797842602">
          <w:marLeft w:val="640"/>
          <w:marRight w:val="0"/>
          <w:marTop w:val="0"/>
          <w:marBottom w:val="0"/>
          <w:divBdr>
            <w:top w:val="none" w:sz="0" w:space="0" w:color="auto"/>
            <w:left w:val="none" w:sz="0" w:space="0" w:color="auto"/>
            <w:bottom w:val="none" w:sz="0" w:space="0" w:color="auto"/>
            <w:right w:val="none" w:sz="0" w:space="0" w:color="auto"/>
          </w:divBdr>
        </w:div>
        <w:div w:id="816532405">
          <w:marLeft w:val="640"/>
          <w:marRight w:val="0"/>
          <w:marTop w:val="0"/>
          <w:marBottom w:val="0"/>
          <w:divBdr>
            <w:top w:val="none" w:sz="0" w:space="0" w:color="auto"/>
            <w:left w:val="none" w:sz="0" w:space="0" w:color="auto"/>
            <w:bottom w:val="none" w:sz="0" w:space="0" w:color="auto"/>
            <w:right w:val="none" w:sz="0" w:space="0" w:color="auto"/>
          </w:divBdr>
        </w:div>
        <w:div w:id="87046301">
          <w:marLeft w:val="640"/>
          <w:marRight w:val="0"/>
          <w:marTop w:val="0"/>
          <w:marBottom w:val="0"/>
          <w:divBdr>
            <w:top w:val="none" w:sz="0" w:space="0" w:color="auto"/>
            <w:left w:val="none" w:sz="0" w:space="0" w:color="auto"/>
            <w:bottom w:val="none" w:sz="0" w:space="0" w:color="auto"/>
            <w:right w:val="none" w:sz="0" w:space="0" w:color="auto"/>
          </w:divBdr>
        </w:div>
        <w:div w:id="1245141382">
          <w:marLeft w:val="640"/>
          <w:marRight w:val="0"/>
          <w:marTop w:val="0"/>
          <w:marBottom w:val="0"/>
          <w:divBdr>
            <w:top w:val="none" w:sz="0" w:space="0" w:color="auto"/>
            <w:left w:val="none" w:sz="0" w:space="0" w:color="auto"/>
            <w:bottom w:val="none" w:sz="0" w:space="0" w:color="auto"/>
            <w:right w:val="none" w:sz="0" w:space="0" w:color="auto"/>
          </w:divBdr>
        </w:div>
        <w:div w:id="1129055630">
          <w:marLeft w:val="640"/>
          <w:marRight w:val="0"/>
          <w:marTop w:val="0"/>
          <w:marBottom w:val="0"/>
          <w:divBdr>
            <w:top w:val="none" w:sz="0" w:space="0" w:color="auto"/>
            <w:left w:val="none" w:sz="0" w:space="0" w:color="auto"/>
            <w:bottom w:val="none" w:sz="0" w:space="0" w:color="auto"/>
            <w:right w:val="none" w:sz="0" w:space="0" w:color="auto"/>
          </w:divBdr>
        </w:div>
        <w:div w:id="764495766">
          <w:marLeft w:val="640"/>
          <w:marRight w:val="0"/>
          <w:marTop w:val="0"/>
          <w:marBottom w:val="0"/>
          <w:divBdr>
            <w:top w:val="none" w:sz="0" w:space="0" w:color="auto"/>
            <w:left w:val="none" w:sz="0" w:space="0" w:color="auto"/>
            <w:bottom w:val="none" w:sz="0" w:space="0" w:color="auto"/>
            <w:right w:val="none" w:sz="0" w:space="0" w:color="auto"/>
          </w:divBdr>
        </w:div>
        <w:div w:id="1638341332">
          <w:marLeft w:val="640"/>
          <w:marRight w:val="0"/>
          <w:marTop w:val="0"/>
          <w:marBottom w:val="0"/>
          <w:divBdr>
            <w:top w:val="none" w:sz="0" w:space="0" w:color="auto"/>
            <w:left w:val="none" w:sz="0" w:space="0" w:color="auto"/>
            <w:bottom w:val="none" w:sz="0" w:space="0" w:color="auto"/>
            <w:right w:val="none" w:sz="0" w:space="0" w:color="auto"/>
          </w:divBdr>
        </w:div>
        <w:div w:id="1459372128">
          <w:marLeft w:val="640"/>
          <w:marRight w:val="0"/>
          <w:marTop w:val="0"/>
          <w:marBottom w:val="0"/>
          <w:divBdr>
            <w:top w:val="none" w:sz="0" w:space="0" w:color="auto"/>
            <w:left w:val="none" w:sz="0" w:space="0" w:color="auto"/>
            <w:bottom w:val="none" w:sz="0" w:space="0" w:color="auto"/>
            <w:right w:val="none" w:sz="0" w:space="0" w:color="auto"/>
          </w:divBdr>
        </w:div>
        <w:div w:id="1459110628">
          <w:marLeft w:val="640"/>
          <w:marRight w:val="0"/>
          <w:marTop w:val="0"/>
          <w:marBottom w:val="0"/>
          <w:divBdr>
            <w:top w:val="none" w:sz="0" w:space="0" w:color="auto"/>
            <w:left w:val="none" w:sz="0" w:space="0" w:color="auto"/>
            <w:bottom w:val="none" w:sz="0" w:space="0" w:color="auto"/>
            <w:right w:val="none" w:sz="0" w:space="0" w:color="auto"/>
          </w:divBdr>
        </w:div>
        <w:div w:id="129400061">
          <w:marLeft w:val="640"/>
          <w:marRight w:val="0"/>
          <w:marTop w:val="0"/>
          <w:marBottom w:val="0"/>
          <w:divBdr>
            <w:top w:val="none" w:sz="0" w:space="0" w:color="auto"/>
            <w:left w:val="none" w:sz="0" w:space="0" w:color="auto"/>
            <w:bottom w:val="none" w:sz="0" w:space="0" w:color="auto"/>
            <w:right w:val="none" w:sz="0" w:space="0" w:color="auto"/>
          </w:divBdr>
        </w:div>
        <w:div w:id="1992827952">
          <w:marLeft w:val="640"/>
          <w:marRight w:val="0"/>
          <w:marTop w:val="0"/>
          <w:marBottom w:val="0"/>
          <w:divBdr>
            <w:top w:val="none" w:sz="0" w:space="0" w:color="auto"/>
            <w:left w:val="none" w:sz="0" w:space="0" w:color="auto"/>
            <w:bottom w:val="none" w:sz="0" w:space="0" w:color="auto"/>
            <w:right w:val="none" w:sz="0" w:space="0" w:color="auto"/>
          </w:divBdr>
        </w:div>
        <w:div w:id="983701223">
          <w:marLeft w:val="640"/>
          <w:marRight w:val="0"/>
          <w:marTop w:val="0"/>
          <w:marBottom w:val="0"/>
          <w:divBdr>
            <w:top w:val="none" w:sz="0" w:space="0" w:color="auto"/>
            <w:left w:val="none" w:sz="0" w:space="0" w:color="auto"/>
            <w:bottom w:val="none" w:sz="0" w:space="0" w:color="auto"/>
            <w:right w:val="none" w:sz="0" w:space="0" w:color="auto"/>
          </w:divBdr>
        </w:div>
        <w:div w:id="1312054254">
          <w:marLeft w:val="640"/>
          <w:marRight w:val="0"/>
          <w:marTop w:val="0"/>
          <w:marBottom w:val="0"/>
          <w:divBdr>
            <w:top w:val="none" w:sz="0" w:space="0" w:color="auto"/>
            <w:left w:val="none" w:sz="0" w:space="0" w:color="auto"/>
            <w:bottom w:val="none" w:sz="0" w:space="0" w:color="auto"/>
            <w:right w:val="none" w:sz="0" w:space="0" w:color="auto"/>
          </w:divBdr>
        </w:div>
        <w:div w:id="1147086550">
          <w:marLeft w:val="640"/>
          <w:marRight w:val="0"/>
          <w:marTop w:val="0"/>
          <w:marBottom w:val="0"/>
          <w:divBdr>
            <w:top w:val="none" w:sz="0" w:space="0" w:color="auto"/>
            <w:left w:val="none" w:sz="0" w:space="0" w:color="auto"/>
            <w:bottom w:val="none" w:sz="0" w:space="0" w:color="auto"/>
            <w:right w:val="none" w:sz="0" w:space="0" w:color="auto"/>
          </w:divBdr>
        </w:div>
        <w:div w:id="1776057683">
          <w:marLeft w:val="640"/>
          <w:marRight w:val="0"/>
          <w:marTop w:val="0"/>
          <w:marBottom w:val="0"/>
          <w:divBdr>
            <w:top w:val="none" w:sz="0" w:space="0" w:color="auto"/>
            <w:left w:val="none" w:sz="0" w:space="0" w:color="auto"/>
            <w:bottom w:val="none" w:sz="0" w:space="0" w:color="auto"/>
            <w:right w:val="none" w:sz="0" w:space="0" w:color="auto"/>
          </w:divBdr>
        </w:div>
        <w:div w:id="608656907">
          <w:marLeft w:val="640"/>
          <w:marRight w:val="0"/>
          <w:marTop w:val="0"/>
          <w:marBottom w:val="0"/>
          <w:divBdr>
            <w:top w:val="none" w:sz="0" w:space="0" w:color="auto"/>
            <w:left w:val="none" w:sz="0" w:space="0" w:color="auto"/>
            <w:bottom w:val="none" w:sz="0" w:space="0" w:color="auto"/>
            <w:right w:val="none" w:sz="0" w:space="0" w:color="auto"/>
          </w:divBdr>
        </w:div>
        <w:div w:id="384108057">
          <w:marLeft w:val="640"/>
          <w:marRight w:val="0"/>
          <w:marTop w:val="0"/>
          <w:marBottom w:val="0"/>
          <w:divBdr>
            <w:top w:val="none" w:sz="0" w:space="0" w:color="auto"/>
            <w:left w:val="none" w:sz="0" w:space="0" w:color="auto"/>
            <w:bottom w:val="none" w:sz="0" w:space="0" w:color="auto"/>
            <w:right w:val="none" w:sz="0" w:space="0" w:color="auto"/>
          </w:divBdr>
        </w:div>
        <w:div w:id="1634484270">
          <w:marLeft w:val="640"/>
          <w:marRight w:val="0"/>
          <w:marTop w:val="0"/>
          <w:marBottom w:val="0"/>
          <w:divBdr>
            <w:top w:val="none" w:sz="0" w:space="0" w:color="auto"/>
            <w:left w:val="none" w:sz="0" w:space="0" w:color="auto"/>
            <w:bottom w:val="none" w:sz="0" w:space="0" w:color="auto"/>
            <w:right w:val="none" w:sz="0" w:space="0" w:color="auto"/>
          </w:divBdr>
        </w:div>
        <w:div w:id="309676829">
          <w:marLeft w:val="640"/>
          <w:marRight w:val="0"/>
          <w:marTop w:val="0"/>
          <w:marBottom w:val="0"/>
          <w:divBdr>
            <w:top w:val="none" w:sz="0" w:space="0" w:color="auto"/>
            <w:left w:val="none" w:sz="0" w:space="0" w:color="auto"/>
            <w:bottom w:val="none" w:sz="0" w:space="0" w:color="auto"/>
            <w:right w:val="none" w:sz="0" w:space="0" w:color="auto"/>
          </w:divBdr>
        </w:div>
        <w:div w:id="1220091321">
          <w:marLeft w:val="640"/>
          <w:marRight w:val="0"/>
          <w:marTop w:val="0"/>
          <w:marBottom w:val="0"/>
          <w:divBdr>
            <w:top w:val="none" w:sz="0" w:space="0" w:color="auto"/>
            <w:left w:val="none" w:sz="0" w:space="0" w:color="auto"/>
            <w:bottom w:val="none" w:sz="0" w:space="0" w:color="auto"/>
            <w:right w:val="none" w:sz="0" w:space="0" w:color="auto"/>
          </w:divBdr>
        </w:div>
        <w:div w:id="334693385">
          <w:marLeft w:val="640"/>
          <w:marRight w:val="0"/>
          <w:marTop w:val="0"/>
          <w:marBottom w:val="0"/>
          <w:divBdr>
            <w:top w:val="none" w:sz="0" w:space="0" w:color="auto"/>
            <w:left w:val="none" w:sz="0" w:space="0" w:color="auto"/>
            <w:bottom w:val="none" w:sz="0" w:space="0" w:color="auto"/>
            <w:right w:val="none" w:sz="0" w:space="0" w:color="auto"/>
          </w:divBdr>
        </w:div>
        <w:div w:id="780805918">
          <w:marLeft w:val="640"/>
          <w:marRight w:val="0"/>
          <w:marTop w:val="0"/>
          <w:marBottom w:val="0"/>
          <w:divBdr>
            <w:top w:val="none" w:sz="0" w:space="0" w:color="auto"/>
            <w:left w:val="none" w:sz="0" w:space="0" w:color="auto"/>
            <w:bottom w:val="none" w:sz="0" w:space="0" w:color="auto"/>
            <w:right w:val="none" w:sz="0" w:space="0" w:color="auto"/>
          </w:divBdr>
        </w:div>
        <w:div w:id="350767346">
          <w:marLeft w:val="640"/>
          <w:marRight w:val="0"/>
          <w:marTop w:val="0"/>
          <w:marBottom w:val="0"/>
          <w:divBdr>
            <w:top w:val="none" w:sz="0" w:space="0" w:color="auto"/>
            <w:left w:val="none" w:sz="0" w:space="0" w:color="auto"/>
            <w:bottom w:val="none" w:sz="0" w:space="0" w:color="auto"/>
            <w:right w:val="none" w:sz="0" w:space="0" w:color="auto"/>
          </w:divBdr>
        </w:div>
        <w:div w:id="1770151089">
          <w:marLeft w:val="640"/>
          <w:marRight w:val="0"/>
          <w:marTop w:val="0"/>
          <w:marBottom w:val="0"/>
          <w:divBdr>
            <w:top w:val="none" w:sz="0" w:space="0" w:color="auto"/>
            <w:left w:val="none" w:sz="0" w:space="0" w:color="auto"/>
            <w:bottom w:val="none" w:sz="0" w:space="0" w:color="auto"/>
            <w:right w:val="none" w:sz="0" w:space="0" w:color="auto"/>
          </w:divBdr>
        </w:div>
        <w:div w:id="1569267099">
          <w:marLeft w:val="640"/>
          <w:marRight w:val="0"/>
          <w:marTop w:val="0"/>
          <w:marBottom w:val="0"/>
          <w:divBdr>
            <w:top w:val="none" w:sz="0" w:space="0" w:color="auto"/>
            <w:left w:val="none" w:sz="0" w:space="0" w:color="auto"/>
            <w:bottom w:val="none" w:sz="0" w:space="0" w:color="auto"/>
            <w:right w:val="none" w:sz="0" w:space="0" w:color="auto"/>
          </w:divBdr>
        </w:div>
        <w:div w:id="583227576">
          <w:marLeft w:val="640"/>
          <w:marRight w:val="0"/>
          <w:marTop w:val="0"/>
          <w:marBottom w:val="0"/>
          <w:divBdr>
            <w:top w:val="none" w:sz="0" w:space="0" w:color="auto"/>
            <w:left w:val="none" w:sz="0" w:space="0" w:color="auto"/>
            <w:bottom w:val="none" w:sz="0" w:space="0" w:color="auto"/>
            <w:right w:val="none" w:sz="0" w:space="0" w:color="auto"/>
          </w:divBdr>
        </w:div>
        <w:div w:id="189994197">
          <w:marLeft w:val="640"/>
          <w:marRight w:val="0"/>
          <w:marTop w:val="0"/>
          <w:marBottom w:val="0"/>
          <w:divBdr>
            <w:top w:val="none" w:sz="0" w:space="0" w:color="auto"/>
            <w:left w:val="none" w:sz="0" w:space="0" w:color="auto"/>
            <w:bottom w:val="none" w:sz="0" w:space="0" w:color="auto"/>
            <w:right w:val="none" w:sz="0" w:space="0" w:color="auto"/>
          </w:divBdr>
        </w:div>
        <w:div w:id="1191916426">
          <w:marLeft w:val="640"/>
          <w:marRight w:val="0"/>
          <w:marTop w:val="0"/>
          <w:marBottom w:val="0"/>
          <w:divBdr>
            <w:top w:val="none" w:sz="0" w:space="0" w:color="auto"/>
            <w:left w:val="none" w:sz="0" w:space="0" w:color="auto"/>
            <w:bottom w:val="none" w:sz="0" w:space="0" w:color="auto"/>
            <w:right w:val="none" w:sz="0" w:space="0" w:color="auto"/>
          </w:divBdr>
        </w:div>
        <w:div w:id="871696403">
          <w:marLeft w:val="640"/>
          <w:marRight w:val="0"/>
          <w:marTop w:val="0"/>
          <w:marBottom w:val="0"/>
          <w:divBdr>
            <w:top w:val="none" w:sz="0" w:space="0" w:color="auto"/>
            <w:left w:val="none" w:sz="0" w:space="0" w:color="auto"/>
            <w:bottom w:val="none" w:sz="0" w:space="0" w:color="auto"/>
            <w:right w:val="none" w:sz="0" w:space="0" w:color="auto"/>
          </w:divBdr>
        </w:div>
        <w:div w:id="1245609818">
          <w:marLeft w:val="640"/>
          <w:marRight w:val="0"/>
          <w:marTop w:val="0"/>
          <w:marBottom w:val="0"/>
          <w:divBdr>
            <w:top w:val="none" w:sz="0" w:space="0" w:color="auto"/>
            <w:left w:val="none" w:sz="0" w:space="0" w:color="auto"/>
            <w:bottom w:val="none" w:sz="0" w:space="0" w:color="auto"/>
            <w:right w:val="none" w:sz="0" w:space="0" w:color="auto"/>
          </w:divBdr>
        </w:div>
        <w:div w:id="670329893">
          <w:marLeft w:val="640"/>
          <w:marRight w:val="0"/>
          <w:marTop w:val="0"/>
          <w:marBottom w:val="0"/>
          <w:divBdr>
            <w:top w:val="none" w:sz="0" w:space="0" w:color="auto"/>
            <w:left w:val="none" w:sz="0" w:space="0" w:color="auto"/>
            <w:bottom w:val="none" w:sz="0" w:space="0" w:color="auto"/>
            <w:right w:val="none" w:sz="0" w:space="0" w:color="auto"/>
          </w:divBdr>
        </w:div>
        <w:div w:id="904997910">
          <w:marLeft w:val="640"/>
          <w:marRight w:val="0"/>
          <w:marTop w:val="0"/>
          <w:marBottom w:val="0"/>
          <w:divBdr>
            <w:top w:val="none" w:sz="0" w:space="0" w:color="auto"/>
            <w:left w:val="none" w:sz="0" w:space="0" w:color="auto"/>
            <w:bottom w:val="none" w:sz="0" w:space="0" w:color="auto"/>
            <w:right w:val="none" w:sz="0" w:space="0" w:color="auto"/>
          </w:divBdr>
        </w:div>
        <w:div w:id="2131170018">
          <w:marLeft w:val="640"/>
          <w:marRight w:val="0"/>
          <w:marTop w:val="0"/>
          <w:marBottom w:val="0"/>
          <w:divBdr>
            <w:top w:val="none" w:sz="0" w:space="0" w:color="auto"/>
            <w:left w:val="none" w:sz="0" w:space="0" w:color="auto"/>
            <w:bottom w:val="none" w:sz="0" w:space="0" w:color="auto"/>
            <w:right w:val="none" w:sz="0" w:space="0" w:color="auto"/>
          </w:divBdr>
        </w:div>
        <w:div w:id="1984500441">
          <w:marLeft w:val="640"/>
          <w:marRight w:val="0"/>
          <w:marTop w:val="0"/>
          <w:marBottom w:val="0"/>
          <w:divBdr>
            <w:top w:val="none" w:sz="0" w:space="0" w:color="auto"/>
            <w:left w:val="none" w:sz="0" w:space="0" w:color="auto"/>
            <w:bottom w:val="none" w:sz="0" w:space="0" w:color="auto"/>
            <w:right w:val="none" w:sz="0" w:space="0" w:color="auto"/>
          </w:divBdr>
        </w:div>
        <w:div w:id="1657300564">
          <w:marLeft w:val="640"/>
          <w:marRight w:val="0"/>
          <w:marTop w:val="0"/>
          <w:marBottom w:val="0"/>
          <w:divBdr>
            <w:top w:val="none" w:sz="0" w:space="0" w:color="auto"/>
            <w:left w:val="none" w:sz="0" w:space="0" w:color="auto"/>
            <w:bottom w:val="none" w:sz="0" w:space="0" w:color="auto"/>
            <w:right w:val="none" w:sz="0" w:space="0" w:color="auto"/>
          </w:divBdr>
        </w:div>
        <w:div w:id="467862457">
          <w:marLeft w:val="640"/>
          <w:marRight w:val="0"/>
          <w:marTop w:val="0"/>
          <w:marBottom w:val="0"/>
          <w:divBdr>
            <w:top w:val="none" w:sz="0" w:space="0" w:color="auto"/>
            <w:left w:val="none" w:sz="0" w:space="0" w:color="auto"/>
            <w:bottom w:val="none" w:sz="0" w:space="0" w:color="auto"/>
            <w:right w:val="none" w:sz="0" w:space="0" w:color="auto"/>
          </w:divBdr>
        </w:div>
        <w:div w:id="1946113483">
          <w:marLeft w:val="640"/>
          <w:marRight w:val="0"/>
          <w:marTop w:val="0"/>
          <w:marBottom w:val="0"/>
          <w:divBdr>
            <w:top w:val="none" w:sz="0" w:space="0" w:color="auto"/>
            <w:left w:val="none" w:sz="0" w:space="0" w:color="auto"/>
            <w:bottom w:val="none" w:sz="0" w:space="0" w:color="auto"/>
            <w:right w:val="none" w:sz="0" w:space="0" w:color="auto"/>
          </w:divBdr>
        </w:div>
        <w:div w:id="2041006762">
          <w:marLeft w:val="640"/>
          <w:marRight w:val="0"/>
          <w:marTop w:val="0"/>
          <w:marBottom w:val="0"/>
          <w:divBdr>
            <w:top w:val="none" w:sz="0" w:space="0" w:color="auto"/>
            <w:left w:val="none" w:sz="0" w:space="0" w:color="auto"/>
            <w:bottom w:val="none" w:sz="0" w:space="0" w:color="auto"/>
            <w:right w:val="none" w:sz="0" w:space="0" w:color="auto"/>
          </w:divBdr>
        </w:div>
        <w:div w:id="1797601331">
          <w:marLeft w:val="640"/>
          <w:marRight w:val="0"/>
          <w:marTop w:val="0"/>
          <w:marBottom w:val="0"/>
          <w:divBdr>
            <w:top w:val="none" w:sz="0" w:space="0" w:color="auto"/>
            <w:left w:val="none" w:sz="0" w:space="0" w:color="auto"/>
            <w:bottom w:val="none" w:sz="0" w:space="0" w:color="auto"/>
            <w:right w:val="none" w:sz="0" w:space="0" w:color="auto"/>
          </w:divBdr>
        </w:div>
        <w:div w:id="1469013720">
          <w:marLeft w:val="640"/>
          <w:marRight w:val="0"/>
          <w:marTop w:val="0"/>
          <w:marBottom w:val="0"/>
          <w:divBdr>
            <w:top w:val="none" w:sz="0" w:space="0" w:color="auto"/>
            <w:left w:val="none" w:sz="0" w:space="0" w:color="auto"/>
            <w:bottom w:val="none" w:sz="0" w:space="0" w:color="auto"/>
            <w:right w:val="none" w:sz="0" w:space="0" w:color="auto"/>
          </w:divBdr>
        </w:div>
        <w:div w:id="867597854">
          <w:marLeft w:val="640"/>
          <w:marRight w:val="0"/>
          <w:marTop w:val="0"/>
          <w:marBottom w:val="0"/>
          <w:divBdr>
            <w:top w:val="none" w:sz="0" w:space="0" w:color="auto"/>
            <w:left w:val="none" w:sz="0" w:space="0" w:color="auto"/>
            <w:bottom w:val="none" w:sz="0" w:space="0" w:color="auto"/>
            <w:right w:val="none" w:sz="0" w:space="0" w:color="auto"/>
          </w:divBdr>
        </w:div>
        <w:div w:id="1042823380">
          <w:marLeft w:val="640"/>
          <w:marRight w:val="0"/>
          <w:marTop w:val="0"/>
          <w:marBottom w:val="0"/>
          <w:divBdr>
            <w:top w:val="none" w:sz="0" w:space="0" w:color="auto"/>
            <w:left w:val="none" w:sz="0" w:space="0" w:color="auto"/>
            <w:bottom w:val="none" w:sz="0" w:space="0" w:color="auto"/>
            <w:right w:val="none" w:sz="0" w:space="0" w:color="auto"/>
          </w:divBdr>
        </w:div>
        <w:div w:id="1372264258">
          <w:marLeft w:val="640"/>
          <w:marRight w:val="0"/>
          <w:marTop w:val="0"/>
          <w:marBottom w:val="0"/>
          <w:divBdr>
            <w:top w:val="none" w:sz="0" w:space="0" w:color="auto"/>
            <w:left w:val="none" w:sz="0" w:space="0" w:color="auto"/>
            <w:bottom w:val="none" w:sz="0" w:space="0" w:color="auto"/>
            <w:right w:val="none" w:sz="0" w:space="0" w:color="auto"/>
          </w:divBdr>
        </w:div>
        <w:div w:id="1669745130">
          <w:marLeft w:val="640"/>
          <w:marRight w:val="0"/>
          <w:marTop w:val="0"/>
          <w:marBottom w:val="0"/>
          <w:divBdr>
            <w:top w:val="none" w:sz="0" w:space="0" w:color="auto"/>
            <w:left w:val="none" w:sz="0" w:space="0" w:color="auto"/>
            <w:bottom w:val="none" w:sz="0" w:space="0" w:color="auto"/>
            <w:right w:val="none" w:sz="0" w:space="0" w:color="auto"/>
          </w:divBdr>
        </w:div>
        <w:div w:id="828638245">
          <w:marLeft w:val="640"/>
          <w:marRight w:val="0"/>
          <w:marTop w:val="0"/>
          <w:marBottom w:val="0"/>
          <w:divBdr>
            <w:top w:val="none" w:sz="0" w:space="0" w:color="auto"/>
            <w:left w:val="none" w:sz="0" w:space="0" w:color="auto"/>
            <w:bottom w:val="none" w:sz="0" w:space="0" w:color="auto"/>
            <w:right w:val="none" w:sz="0" w:space="0" w:color="auto"/>
          </w:divBdr>
        </w:div>
        <w:div w:id="1858079013">
          <w:marLeft w:val="640"/>
          <w:marRight w:val="0"/>
          <w:marTop w:val="0"/>
          <w:marBottom w:val="0"/>
          <w:divBdr>
            <w:top w:val="none" w:sz="0" w:space="0" w:color="auto"/>
            <w:left w:val="none" w:sz="0" w:space="0" w:color="auto"/>
            <w:bottom w:val="none" w:sz="0" w:space="0" w:color="auto"/>
            <w:right w:val="none" w:sz="0" w:space="0" w:color="auto"/>
          </w:divBdr>
        </w:div>
        <w:div w:id="1114059695">
          <w:marLeft w:val="640"/>
          <w:marRight w:val="0"/>
          <w:marTop w:val="0"/>
          <w:marBottom w:val="0"/>
          <w:divBdr>
            <w:top w:val="none" w:sz="0" w:space="0" w:color="auto"/>
            <w:left w:val="none" w:sz="0" w:space="0" w:color="auto"/>
            <w:bottom w:val="none" w:sz="0" w:space="0" w:color="auto"/>
            <w:right w:val="none" w:sz="0" w:space="0" w:color="auto"/>
          </w:divBdr>
        </w:div>
        <w:div w:id="2100639839">
          <w:marLeft w:val="640"/>
          <w:marRight w:val="0"/>
          <w:marTop w:val="0"/>
          <w:marBottom w:val="0"/>
          <w:divBdr>
            <w:top w:val="none" w:sz="0" w:space="0" w:color="auto"/>
            <w:left w:val="none" w:sz="0" w:space="0" w:color="auto"/>
            <w:bottom w:val="none" w:sz="0" w:space="0" w:color="auto"/>
            <w:right w:val="none" w:sz="0" w:space="0" w:color="auto"/>
          </w:divBdr>
        </w:div>
        <w:div w:id="1156918836">
          <w:marLeft w:val="640"/>
          <w:marRight w:val="0"/>
          <w:marTop w:val="0"/>
          <w:marBottom w:val="0"/>
          <w:divBdr>
            <w:top w:val="none" w:sz="0" w:space="0" w:color="auto"/>
            <w:left w:val="none" w:sz="0" w:space="0" w:color="auto"/>
            <w:bottom w:val="none" w:sz="0" w:space="0" w:color="auto"/>
            <w:right w:val="none" w:sz="0" w:space="0" w:color="auto"/>
          </w:divBdr>
        </w:div>
        <w:div w:id="778183997">
          <w:marLeft w:val="640"/>
          <w:marRight w:val="0"/>
          <w:marTop w:val="0"/>
          <w:marBottom w:val="0"/>
          <w:divBdr>
            <w:top w:val="none" w:sz="0" w:space="0" w:color="auto"/>
            <w:left w:val="none" w:sz="0" w:space="0" w:color="auto"/>
            <w:bottom w:val="none" w:sz="0" w:space="0" w:color="auto"/>
            <w:right w:val="none" w:sz="0" w:space="0" w:color="auto"/>
          </w:divBdr>
        </w:div>
        <w:div w:id="1631127754">
          <w:marLeft w:val="640"/>
          <w:marRight w:val="0"/>
          <w:marTop w:val="0"/>
          <w:marBottom w:val="0"/>
          <w:divBdr>
            <w:top w:val="none" w:sz="0" w:space="0" w:color="auto"/>
            <w:left w:val="none" w:sz="0" w:space="0" w:color="auto"/>
            <w:bottom w:val="none" w:sz="0" w:space="0" w:color="auto"/>
            <w:right w:val="none" w:sz="0" w:space="0" w:color="auto"/>
          </w:divBdr>
        </w:div>
        <w:div w:id="272521850">
          <w:marLeft w:val="640"/>
          <w:marRight w:val="0"/>
          <w:marTop w:val="0"/>
          <w:marBottom w:val="0"/>
          <w:divBdr>
            <w:top w:val="none" w:sz="0" w:space="0" w:color="auto"/>
            <w:left w:val="none" w:sz="0" w:space="0" w:color="auto"/>
            <w:bottom w:val="none" w:sz="0" w:space="0" w:color="auto"/>
            <w:right w:val="none" w:sz="0" w:space="0" w:color="auto"/>
          </w:divBdr>
        </w:div>
        <w:div w:id="1257598019">
          <w:marLeft w:val="640"/>
          <w:marRight w:val="0"/>
          <w:marTop w:val="0"/>
          <w:marBottom w:val="0"/>
          <w:divBdr>
            <w:top w:val="none" w:sz="0" w:space="0" w:color="auto"/>
            <w:left w:val="none" w:sz="0" w:space="0" w:color="auto"/>
            <w:bottom w:val="none" w:sz="0" w:space="0" w:color="auto"/>
            <w:right w:val="none" w:sz="0" w:space="0" w:color="auto"/>
          </w:divBdr>
        </w:div>
        <w:div w:id="933585404">
          <w:marLeft w:val="640"/>
          <w:marRight w:val="0"/>
          <w:marTop w:val="0"/>
          <w:marBottom w:val="0"/>
          <w:divBdr>
            <w:top w:val="none" w:sz="0" w:space="0" w:color="auto"/>
            <w:left w:val="none" w:sz="0" w:space="0" w:color="auto"/>
            <w:bottom w:val="none" w:sz="0" w:space="0" w:color="auto"/>
            <w:right w:val="none" w:sz="0" w:space="0" w:color="auto"/>
          </w:divBdr>
        </w:div>
        <w:div w:id="223487042">
          <w:marLeft w:val="640"/>
          <w:marRight w:val="0"/>
          <w:marTop w:val="0"/>
          <w:marBottom w:val="0"/>
          <w:divBdr>
            <w:top w:val="none" w:sz="0" w:space="0" w:color="auto"/>
            <w:left w:val="none" w:sz="0" w:space="0" w:color="auto"/>
            <w:bottom w:val="none" w:sz="0" w:space="0" w:color="auto"/>
            <w:right w:val="none" w:sz="0" w:space="0" w:color="auto"/>
          </w:divBdr>
        </w:div>
        <w:div w:id="534736170">
          <w:marLeft w:val="640"/>
          <w:marRight w:val="0"/>
          <w:marTop w:val="0"/>
          <w:marBottom w:val="0"/>
          <w:divBdr>
            <w:top w:val="none" w:sz="0" w:space="0" w:color="auto"/>
            <w:left w:val="none" w:sz="0" w:space="0" w:color="auto"/>
            <w:bottom w:val="none" w:sz="0" w:space="0" w:color="auto"/>
            <w:right w:val="none" w:sz="0" w:space="0" w:color="auto"/>
          </w:divBdr>
        </w:div>
        <w:div w:id="1677222648">
          <w:marLeft w:val="640"/>
          <w:marRight w:val="0"/>
          <w:marTop w:val="0"/>
          <w:marBottom w:val="0"/>
          <w:divBdr>
            <w:top w:val="none" w:sz="0" w:space="0" w:color="auto"/>
            <w:left w:val="none" w:sz="0" w:space="0" w:color="auto"/>
            <w:bottom w:val="none" w:sz="0" w:space="0" w:color="auto"/>
            <w:right w:val="none" w:sz="0" w:space="0" w:color="auto"/>
          </w:divBdr>
        </w:div>
        <w:div w:id="933631463">
          <w:marLeft w:val="640"/>
          <w:marRight w:val="0"/>
          <w:marTop w:val="0"/>
          <w:marBottom w:val="0"/>
          <w:divBdr>
            <w:top w:val="none" w:sz="0" w:space="0" w:color="auto"/>
            <w:left w:val="none" w:sz="0" w:space="0" w:color="auto"/>
            <w:bottom w:val="none" w:sz="0" w:space="0" w:color="auto"/>
            <w:right w:val="none" w:sz="0" w:space="0" w:color="auto"/>
          </w:divBdr>
        </w:div>
        <w:div w:id="1066957248">
          <w:marLeft w:val="640"/>
          <w:marRight w:val="0"/>
          <w:marTop w:val="0"/>
          <w:marBottom w:val="0"/>
          <w:divBdr>
            <w:top w:val="none" w:sz="0" w:space="0" w:color="auto"/>
            <w:left w:val="none" w:sz="0" w:space="0" w:color="auto"/>
            <w:bottom w:val="none" w:sz="0" w:space="0" w:color="auto"/>
            <w:right w:val="none" w:sz="0" w:space="0" w:color="auto"/>
          </w:divBdr>
        </w:div>
        <w:div w:id="922303571">
          <w:marLeft w:val="640"/>
          <w:marRight w:val="0"/>
          <w:marTop w:val="0"/>
          <w:marBottom w:val="0"/>
          <w:divBdr>
            <w:top w:val="none" w:sz="0" w:space="0" w:color="auto"/>
            <w:left w:val="none" w:sz="0" w:space="0" w:color="auto"/>
            <w:bottom w:val="none" w:sz="0" w:space="0" w:color="auto"/>
            <w:right w:val="none" w:sz="0" w:space="0" w:color="auto"/>
          </w:divBdr>
        </w:div>
        <w:div w:id="1058477774">
          <w:marLeft w:val="640"/>
          <w:marRight w:val="0"/>
          <w:marTop w:val="0"/>
          <w:marBottom w:val="0"/>
          <w:divBdr>
            <w:top w:val="none" w:sz="0" w:space="0" w:color="auto"/>
            <w:left w:val="none" w:sz="0" w:space="0" w:color="auto"/>
            <w:bottom w:val="none" w:sz="0" w:space="0" w:color="auto"/>
            <w:right w:val="none" w:sz="0" w:space="0" w:color="auto"/>
          </w:divBdr>
        </w:div>
        <w:div w:id="1329670558">
          <w:marLeft w:val="640"/>
          <w:marRight w:val="0"/>
          <w:marTop w:val="0"/>
          <w:marBottom w:val="0"/>
          <w:divBdr>
            <w:top w:val="none" w:sz="0" w:space="0" w:color="auto"/>
            <w:left w:val="none" w:sz="0" w:space="0" w:color="auto"/>
            <w:bottom w:val="none" w:sz="0" w:space="0" w:color="auto"/>
            <w:right w:val="none" w:sz="0" w:space="0" w:color="auto"/>
          </w:divBdr>
        </w:div>
        <w:div w:id="1011563884">
          <w:marLeft w:val="640"/>
          <w:marRight w:val="0"/>
          <w:marTop w:val="0"/>
          <w:marBottom w:val="0"/>
          <w:divBdr>
            <w:top w:val="none" w:sz="0" w:space="0" w:color="auto"/>
            <w:left w:val="none" w:sz="0" w:space="0" w:color="auto"/>
            <w:bottom w:val="none" w:sz="0" w:space="0" w:color="auto"/>
            <w:right w:val="none" w:sz="0" w:space="0" w:color="auto"/>
          </w:divBdr>
        </w:div>
        <w:div w:id="2038267148">
          <w:marLeft w:val="640"/>
          <w:marRight w:val="0"/>
          <w:marTop w:val="0"/>
          <w:marBottom w:val="0"/>
          <w:divBdr>
            <w:top w:val="none" w:sz="0" w:space="0" w:color="auto"/>
            <w:left w:val="none" w:sz="0" w:space="0" w:color="auto"/>
            <w:bottom w:val="none" w:sz="0" w:space="0" w:color="auto"/>
            <w:right w:val="none" w:sz="0" w:space="0" w:color="auto"/>
          </w:divBdr>
        </w:div>
        <w:div w:id="1714185864">
          <w:marLeft w:val="640"/>
          <w:marRight w:val="0"/>
          <w:marTop w:val="0"/>
          <w:marBottom w:val="0"/>
          <w:divBdr>
            <w:top w:val="none" w:sz="0" w:space="0" w:color="auto"/>
            <w:left w:val="none" w:sz="0" w:space="0" w:color="auto"/>
            <w:bottom w:val="none" w:sz="0" w:space="0" w:color="auto"/>
            <w:right w:val="none" w:sz="0" w:space="0" w:color="auto"/>
          </w:divBdr>
        </w:div>
        <w:div w:id="1327170483">
          <w:marLeft w:val="640"/>
          <w:marRight w:val="0"/>
          <w:marTop w:val="0"/>
          <w:marBottom w:val="0"/>
          <w:divBdr>
            <w:top w:val="none" w:sz="0" w:space="0" w:color="auto"/>
            <w:left w:val="none" w:sz="0" w:space="0" w:color="auto"/>
            <w:bottom w:val="none" w:sz="0" w:space="0" w:color="auto"/>
            <w:right w:val="none" w:sz="0" w:space="0" w:color="auto"/>
          </w:divBdr>
        </w:div>
        <w:div w:id="1967391671">
          <w:marLeft w:val="640"/>
          <w:marRight w:val="0"/>
          <w:marTop w:val="0"/>
          <w:marBottom w:val="0"/>
          <w:divBdr>
            <w:top w:val="none" w:sz="0" w:space="0" w:color="auto"/>
            <w:left w:val="none" w:sz="0" w:space="0" w:color="auto"/>
            <w:bottom w:val="none" w:sz="0" w:space="0" w:color="auto"/>
            <w:right w:val="none" w:sz="0" w:space="0" w:color="auto"/>
          </w:divBdr>
        </w:div>
        <w:div w:id="511385296">
          <w:marLeft w:val="640"/>
          <w:marRight w:val="0"/>
          <w:marTop w:val="0"/>
          <w:marBottom w:val="0"/>
          <w:divBdr>
            <w:top w:val="none" w:sz="0" w:space="0" w:color="auto"/>
            <w:left w:val="none" w:sz="0" w:space="0" w:color="auto"/>
            <w:bottom w:val="none" w:sz="0" w:space="0" w:color="auto"/>
            <w:right w:val="none" w:sz="0" w:space="0" w:color="auto"/>
          </w:divBdr>
        </w:div>
        <w:div w:id="930696784">
          <w:marLeft w:val="640"/>
          <w:marRight w:val="0"/>
          <w:marTop w:val="0"/>
          <w:marBottom w:val="0"/>
          <w:divBdr>
            <w:top w:val="none" w:sz="0" w:space="0" w:color="auto"/>
            <w:left w:val="none" w:sz="0" w:space="0" w:color="auto"/>
            <w:bottom w:val="none" w:sz="0" w:space="0" w:color="auto"/>
            <w:right w:val="none" w:sz="0" w:space="0" w:color="auto"/>
          </w:divBdr>
        </w:div>
        <w:div w:id="1085497097">
          <w:marLeft w:val="640"/>
          <w:marRight w:val="0"/>
          <w:marTop w:val="0"/>
          <w:marBottom w:val="0"/>
          <w:divBdr>
            <w:top w:val="none" w:sz="0" w:space="0" w:color="auto"/>
            <w:left w:val="none" w:sz="0" w:space="0" w:color="auto"/>
            <w:bottom w:val="none" w:sz="0" w:space="0" w:color="auto"/>
            <w:right w:val="none" w:sz="0" w:space="0" w:color="auto"/>
          </w:divBdr>
        </w:div>
        <w:div w:id="307905436">
          <w:marLeft w:val="640"/>
          <w:marRight w:val="0"/>
          <w:marTop w:val="0"/>
          <w:marBottom w:val="0"/>
          <w:divBdr>
            <w:top w:val="none" w:sz="0" w:space="0" w:color="auto"/>
            <w:left w:val="none" w:sz="0" w:space="0" w:color="auto"/>
            <w:bottom w:val="none" w:sz="0" w:space="0" w:color="auto"/>
            <w:right w:val="none" w:sz="0" w:space="0" w:color="auto"/>
          </w:divBdr>
        </w:div>
        <w:div w:id="1370455057">
          <w:marLeft w:val="640"/>
          <w:marRight w:val="0"/>
          <w:marTop w:val="0"/>
          <w:marBottom w:val="0"/>
          <w:divBdr>
            <w:top w:val="none" w:sz="0" w:space="0" w:color="auto"/>
            <w:left w:val="none" w:sz="0" w:space="0" w:color="auto"/>
            <w:bottom w:val="none" w:sz="0" w:space="0" w:color="auto"/>
            <w:right w:val="none" w:sz="0" w:space="0" w:color="auto"/>
          </w:divBdr>
        </w:div>
        <w:div w:id="1683317388">
          <w:marLeft w:val="640"/>
          <w:marRight w:val="0"/>
          <w:marTop w:val="0"/>
          <w:marBottom w:val="0"/>
          <w:divBdr>
            <w:top w:val="none" w:sz="0" w:space="0" w:color="auto"/>
            <w:left w:val="none" w:sz="0" w:space="0" w:color="auto"/>
            <w:bottom w:val="none" w:sz="0" w:space="0" w:color="auto"/>
            <w:right w:val="none" w:sz="0" w:space="0" w:color="auto"/>
          </w:divBdr>
        </w:div>
        <w:div w:id="96298562">
          <w:marLeft w:val="640"/>
          <w:marRight w:val="0"/>
          <w:marTop w:val="0"/>
          <w:marBottom w:val="0"/>
          <w:divBdr>
            <w:top w:val="none" w:sz="0" w:space="0" w:color="auto"/>
            <w:left w:val="none" w:sz="0" w:space="0" w:color="auto"/>
            <w:bottom w:val="none" w:sz="0" w:space="0" w:color="auto"/>
            <w:right w:val="none" w:sz="0" w:space="0" w:color="auto"/>
          </w:divBdr>
        </w:div>
        <w:div w:id="936905159">
          <w:marLeft w:val="640"/>
          <w:marRight w:val="0"/>
          <w:marTop w:val="0"/>
          <w:marBottom w:val="0"/>
          <w:divBdr>
            <w:top w:val="none" w:sz="0" w:space="0" w:color="auto"/>
            <w:left w:val="none" w:sz="0" w:space="0" w:color="auto"/>
            <w:bottom w:val="none" w:sz="0" w:space="0" w:color="auto"/>
            <w:right w:val="none" w:sz="0" w:space="0" w:color="auto"/>
          </w:divBdr>
        </w:div>
        <w:div w:id="46414613">
          <w:marLeft w:val="640"/>
          <w:marRight w:val="0"/>
          <w:marTop w:val="0"/>
          <w:marBottom w:val="0"/>
          <w:divBdr>
            <w:top w:val="none" w:sz="0" w:space="0" w:color="auto"/>
            <w:left w:val="none" w:sz="0" w:space="0" w:color="auto"/>
            <w:bottom w:val="none" w:sz="0" w:space="0" w:color="auto"/>
            <w:right w:val="none" w:sz="0" w:space="0" w:color="auto"/>
          </w:divBdr>
        </w:div>
        <w:div w:id="291181997">
          <w:marLeft w:val="640"/>
          <w:marRight w:val="0"/>
          <w:marTop w:val="0"/>
          <w:marBottom w:val="0"/>
          <w:divBdr>
            <w:top w:val="none" w:sz="0" w:space="0" w:color="auto"/>
            <w:left w:val="none" w:sz="0" w:space="0" w:color="auto"/>
            <w:bottom w:val="none" w:sz="0" w:space="0" w:color="auto"/>
            <w:right w:val="none" w:sz="0" w:space="0" w:color="auto"/>
          </w:divBdr>
        </w:div>
        <w:div w:id="20713537">
          <w:marLeft w:val="640"/>
          <w:marRight w:val="0"/>
          <w:marTop w:val="0"/>
          <w:marBottom w:val="0"/>
          <w:divBdr>
            <w:top w:val="none" w:sz="0" w:space="0" w:color="auto"/>
            <w:left w:val="none" w:sz="0" w:space="0" w:color="auto"/>
            <w:bottom w:val="none" w:sz="0" w:space="0" w:color="auto"/>
            <w:right w:val="none" w:sz="0" w:space="0" w:color="auto"/>
          </w:divBdr>
        </w:div>
        <w:div w:id="855775084">
          <w:marLeft w:val="640"/>
          <w:marRight w:val="0"/>
          <w:marTop w:val="0"/>
          <w:marBottom w:val="0"/>
          <w:divBdr>
            <w:top w:val="none" w:sz="0" w:space="0" w:color="auto"/>
            <w:left w:val="none" w:sz="0" w:space="0" w:color="auto"/>
            <w:bottom w:val="none" w:sz="0" w:space="0" w:color="auto"/>
            <w:right w:val="none" w:sz="0" w:space="0" w:color="auto"/>
          </w:divBdr>
        </w:div>
        <w:div w:id="2108505076">
          <w:marLeft w:val="640"/>
          <w:marRight w:val="0"/>
          <w:marTop w:val="0"/>
          <w:marBottom w:val="0"/>
          <w:divBdr>
            <w:top w:val="none" w:sz="0" w:space="0" w:color="auto"/>
            <w:left w:val="none" w:sz="0" w:space="0" w:color="auto"/>
            <w:bottom w:val="none" w:sz="0" w:space="0" w:color="auto"/>
            <w:right w:val="none" w:sz="0" w:space="0" w:color="auto"/>
          </w:divBdr>
        </w:div>
        <w:div w:id="1515613711">
          <w:marLeft w:val="640"/>
          <w:marRight w:val="0"/>
          <w:marTop w:val="0"/>
          <w:marBottom w:val="0"/>
          <w:divBdr>
            <w:top w:val="none" w:sz="0" w:space="0" w:color="auto"/>
            <w:left w:val="none" w:sz="0" w:space="0" w:color="auto"/>
            <w:bottom w:val="none" w:sz="0" w:space="0" w:color="auto"/>
            <w:right w:val="none" w:sz="0" w:space="0" w:color="auto"/>
          </w:divBdr>
        </w:div>
        <w:div w:id="742724289">
          <w:marLeft w:val="640"/>
          <w:marRight w:val="0"/>
          <w:marTop w:val="0"/>
          <w:marBottom w:val="0"/>
          <w:divBdr>
            <w:top w:val="none" w:sz="0" w:space="0" w:color="auto"/>
            <w:left w:val="none" w:sz="0" w:space="0" w:color="auto"/>
            <w:bottom w:val="none" w:sz="0" w:space="0" w:color="auto"/>
            <w:right w:val="none" w:sz="0" w:space="0" w:color="auto"/>
          </w:divBdr>
        </w:div>
        <w:div w:id="1495142587">
          <w:marLeft w:val="640"/>
          <w:marRight w:val="0"/>
          <w:marTop w:val="0"/>
          <w:marBottom w:val="0"/>
          <w:divBdr>
            <w:top w:val="none" w:sz="0" w:space="0" w:color="auto"/>
            <w:left w:val="none" w:sz="0" w:space="0" w:color="auto"/>
            <w:bottom w:val="none" w:sz="0" w:space="0" w:color="auto"/>
            <w:right w:val="none" w:sz="0" w:space="0" w:color="auto"/>
          </w:divBdr>
        </w:div>
        <w:div w:id="1532184257">
          <w:marLeft w:val="640"/>
          <w:marRight w:val="0"/>
          <w:marTop w:val="0"/>
          <w:marBottom w:val="0"/>
          <w:divBdr>
            <w:top w:val="none" w:sz="0" w:space="0" w:color="auto"/>
            <w:left w:val="none" w:sz="0" w:space="0" w:color="auto"/>
            <w:bottom w:val="none" w:sz="0" w:space="0" w:color="auto"/>
            <w:right w:val="none" w:sz="0" w:space="0" w:color="auto"/>
          </w:divBdr>
        </w:div>
        <w:div w:id="116412880">
          <w:marLeft w:val="640"/>
          <w:marRight w:val="0"/>
          <w:marTop w:val="0"/>
          <w:marBottom w:val="0"/>
          <w:divBdr>
            <w:top w:val="none" w:sz="0" w:space="0" w:color="auto"/>
            <w:left w:val="none" w:sz="0" w:space="0" w:color="auto"/>
            <w:bottom w:val="none" w:sz="0" w:space="0" w:color="auto"/>
            <w:right w:val="none" w:sz="0" w:space="0" w:color="auto"/>
          </w:divBdr>
        </w:div>
        <w:div w:id="420832142">
          <w:marLeft w:val="640"/>
          <w:marRight w:val="0"/>
          <w:marTop w:val="0"/>
          <w:marBottom w:val="0"/>
          <w:divBdr>
            <w:top w:val="none" w:sz="0" w:space="0" w:color="auto"/>
            <w:left w:val="none" w:sz="0" w:space="0" w:color="auto"/>
            <w:bottom w:val="none" w:sz="0" w:space="0" w:color="auto"/>
            <w:right w:val="none" w:sz="0" w:space="0" w:color="auto"/>
          </w:divBdr>
        </w:div>
        <w:div w:id="1193568323">
          <w:marLeft w:val="640"/>
          <w:marRight w:val="0"/>
          <w:marTop w:val="0"/>
          <w:marBottom w:val="0"/>
          <w:divBdr>
            <w:top w:val="none" w:sz="0" w:space="0" w:color="auto"/>
            <w:left w:val="none" w:sz="0" w:space="0" w:color="auto"/>
            <w:bottom w:val="none" w:sz="0" w:space="0" w:color="auto"/>
            <w:right w:val="none" w:sz="0" w:space="0" w:color="auto"/>
          </w:divBdr>
        </w:div>
        <w:div w:id="584534765">
          <w:marLeft w:val="640"/>
          <w:marRight w:val="0"/>
          <w:marTop w:val="0"/>
          <w:marBottom w:val="0"/>
          <w:divBdr>
            <w:top w:val="none" w:sz="0" w:space="0" w:color="auto"/>
            <w:left w:val="none" w:sz="0" w:space="0" w:color="auto"/>
            <w:bottom w:val="none" w:sz="0" w:space="0" w:color="auto"/>
            <w:right w:val="none" w:sz="0" w:space="0" w:color="auto"/>
          </w:divBdr>
        </w:div>
        <w:div w:id="106045813">
          <w:marLeft w:val="640"/>
          <w:marRight w:val="0"/>
          <w:marTop w:val="0"/>
          <w:marBottom w:val="0"/>
          <w:divBdr>
            <w:top w:val="none" w:sz="0" w:space="0" w:color="auto"/>
            <w:left w:val="none" w:sz="0" w:space="0" w:color="auto"/>
            <w:bottom w:val="none" w:sz="0" w:space="0" w:color="auto"/>
            <w:right w:val="none" w:sz="0" w:space="0" w:color="auto"/>
          </w:divBdr>
        </w:div>
        <w:div w:id="1664819919">
          <w:marLeft w:val="640"/>
          <w:marRight w:val="0"/>
          <w:marTop w:val="0"/>
          <w:marBottom w:val="0"/>
          <w:divBdr>
            <w:top w:val="none" w:sz="0" w:space="0" w:color="auto"/>
            <w:left w:val="none" w:sz="0" w:space="0" w:color="auto"/>
            <w:bottom w:val="none" w:sz="0" w:space="0" w:color="auto"/>
            <w:right w:val="none" w:sz="0" w:space="0" w:color="auto"/>
          </w:divBdr>
        </w:div>
        <w:div w:id="624427070">
          <w:marLeft w:val="640"/>
          <w:marRight w:val="0"/>
          <w:marTop w:val="0"/>
          <w:marBottom w:val="0"/>
          <w:divBdr>
            <w:top w:val="none" w:sz="0" w:space="0" w:color="auto"/>
            <w:left w:val="none" w:sz="0" w:space="0" w:color="auto"/>
            <w:bottom w:val="none" w:sz="0" w:space="0" w:color="auto"/>
            <w:right w:val="none" w:sz="0" w:space="0" w:color="auto"/>
          </w:divBdr>
        </w:div>
        <w:div w:id="1260673294">
          <w:marLeft w:val="640"/>
          <w:marRight w:val="0"/>
          <w:marTop w:val="0"/>
          <w:marBottom w:val="0"/>
          <w:divBdr>
            <w:top w:val="none" w:sz="0" w:space="0" w:color="auto"/>
            <w:left w:val="none" w:sz="0" w:space="0" w:color="auto"/>
            <w:bottom w:val="none" w:sz="0" w:space="0" w:color="auto"/>
            <w:right w:val="none" w:sz="0" w:space="0" w:color="auto"/>
          </w:divBdr>
        </w:div>
        <w:div w:id="1845051484">
          <w:marLeft w:val="640"/>
          <w:marRight w:val="0"/>
          <w:marTop w:val="0"/>
          <w:marBottom w:val="0"/>
          <w:divBdr>
            <w:top w:val="none" w:sz="0" w:space="0" w:color="auto"/>
            <w:left w:val="none" w:sz="0" w:space="0" w:color="auto"/>
            <w:bottom w:val="none" w:sz="0" w:space="0" w:color="auto"/>
            <w:right w:val="none" w:sz="0" w:space="0" w:color="auto"/>
          </w:divBdr>
        </w:div>
        <w:div w:id="381247979">
          <w:marLeft w:val="640"/>
          <w:marRight w:val="0"/>
          <w:marTop w:val="0"/>
          <w:marBottom w:val="0"/>
          <w:divBdr>
            <w:top w:val="none" w:sz="0" w:space="0" w:color="auto"/>
            <w:left w:val="none" w:sz="0" w:space="0" w:color="auto"/>
            <w:bottom w:val="none" w:sz="0" w:space="0" w:color="auto"/>
            <w:right w:val="none" w:sz="0" w:space="0" w:color="auto"/>
          </w:divBdr>
        </w:div>
        <w:div w:id="1374038992">
          <w:marLeft w:val="640"/>
          <w:marRight w:val="0"/>
          <w:marTop w:val="0"/>
          <w:marBottom w:val="0"/>
          <w:divBdr>
            <w:top w:val="none" w:sz="0" w:space="0" w:color="auto"/>
            <w:left w:val="none" w:sz="0" w:space="0" w:color="auto"/>
            <w:bottom w:val="none" w:sz="0" w:space="0" w:color="auto"/>
            <w:right w:val="none" w:sz="0" w:space="0" w:color="auto"/>
          </w:divBdr>
        </w:div>
      </w:divsChild>
    </w:div>
    <w:div w:id="1536231162">
      <w:bodyDiv w:val="1"/>
      <w:marLeft w:val="0"/>
      <w:marRight w:val="0"/>
      <w:marTop w:val="0"/>
      <w:marBottom w:val="0"/>
      <w:divBdr>
        <w:top w:val="none" w:sz="0" w:space="0" w:color="auto"/>
        <w:left w:val="none" w:sz="0" w:space="0" w:color="auto"/>
        <w:bottom w:val="none" w:sz="0" w:space="0" w:color="auto"/>
        <w:right w:val="none" w:sz="0" w:space="0" w:color="auto"/>
      </w:divBdr>
      <w:divsChild>
        <w:div w:id="837842410">
          <w:marLeft w:val="640"/>
          <w:marRight w:val="0"/>
          <w:marTop w:val="0"/>
          <w:marBottom w:val="0"/>
          <w:divBdr>
            <w:top w:val="none" w:sz="0" w:space="0" w:color="auto"/>
            <w:left w:val="none" w:sz="0" w:space="0" w:color="auto"/>
            <w:bottom w:val="none" w:sz="0" w:space="0" w:color="auto"/>
            <w:right w:val="none" w:sz="0" w:space="0" w:color="auto"/>
          </w:divBdr>
        </w:div>
        <w:div w:id="410125889">
          <w:marLeft w:val="640"/>
          <w:marRight w:val="0"/>
          <w:marTop w:val="0"/>
          <w:marBottom w:val="0"/>
          <w:divBdr>
            <w:top w:val="none" w:sz="0" w:space="0" w:color="auto"/>
            <w:left w:val="none" w:sz="0" w:space="0" w:color="auto"/>
            <w:bottom w:val="none" w:sz="0" w:space="0" w:color="auto"/>
            <w:right w:val="none" w:sz="0" w:space="0" w:color="auto"/>
          </w:divBdr>
        </w:div>
        <w:div w:id="91977983">
          <w:marLeft w:val="640"/>
          <w:marRight w:val="0"/>
          <w:marTop w:val="0"/>
          <w:marBottom w:val="0"/>
          <w:divBdr>
            <w:top w:val="none" w:sz="0" w:space="0" w:color="auto"/>
            <w:left w:val="none" w:sz="0" w:space="0" w:color="auto"/>
            <w:bottom w:val="none" w:sz="0" w:space="0" w:color="auto"/>
            <w:right w:val="none" w:sz="0" w:space="0" w:color="auto"/>
          </w:divBdr>
        </w:div>
        <w:div w:id="67504954">
          <w:marLeft w:val="640"/>
          <w:marRight w:val="0"/>
          <w:marTop w:val="0"/>
          <w:marBottom w:val="0"/>
          <w:divBdr>
            <w:top w:val="none" w:sz="0" w:space="0" w:color="auto"/>
            <w:left w:val="none" w:sz="0" w:space="0" w:color="auto"/>
            <w:bottom w:val="none" w:sz="0" w:space="0" w:color="auto"/>
            <w:right w:val="none" w:sz="0" w:space="0" w:color="auto"/>
          </w:divBdr>
        </w:div>
        <w:div w:id="1976257430">
          <w:marLeft w:val="640"/>
          <w:marRight w:val="0"/>
          <w:marTop w:val="0"/>
          <w:marBottom w:val="0"/>
          <w:divBdr>
            <w:top w:val="none" w:sz="0" w:space="0" w:color="auto"/>
            <w:left w:val="none" w:sz="0" w:space="0" w:color="auto"/>
            <w:bottom w:val="none" w:sz="0" w:space="0" w:color="auto"/>
            <w:right w:val="none" w:sz="0" w:space="0" w:color="auto"/>
          </w:divBdr>
        </w:div>
        <w:div w:id="1696811771">
          <w:marLeft w:val="640"/>
          <w:marRight w:val="0"/>
          <w:marTop w:val="0"/>
          <w:marBottom w:val="0"/>
          <w:divBdr>
            <w:top w:val="none" w:sz="0" w:space="0" w:color="auto"/>
            <w:left w:val="none" w:sz="0" w:space="0" w:color="auto"/>
            <w:bottom w:val="none" w:sz="0" w:space="0" w:color="auto"/>
            <w:right w:val="none" w:sz="0" w:space="0" w:color="auto"/>
          </w:divBdr>
        </w:div>
        <w:div w:id="2061661716">
          <w:marLeft w:val="640"/>
          <w:marRight w:val="0"/>
          <w:marTop w:val="0"/>
          <w:marBottom w:val="0"/>
          <w:divBdr>
            <w:top w:val="none" w:sz="0" w:space="0" w:color="auto"/>
            <w:left w:val="none" w:sz="0" w:space="0" w:color="auto"/>
            <w:bottom w:val="none" w:sz="0" w:space="0" w:color="auto"/>
            <w:right w:val="none" w:sz="0" w:space="0" w:color="auto"/>
          </w:divBdr>
        </w:div>
        <w:div w:id="72122333">
          <w:marLeft w:val="640"/>
          <w:marRight w:val="0"/>
          <w:marTop w:val="0"/>
          <w:marBottom w:val="0"/>
          <w:divBdr>
            <w:top w:val="none" w:sz="0" w:space="0" w:color="auto"/>
            <w:left w:val="none" w:sz="0" w:space="0" w:color="auto"/>
            <w:bottom w:val="none" w:sz="0" w:space="0" w:color="auto"/>
            <w:right w:val="none" w:sz="0" w:space="0" w:color="auto"/>
          </w:divBdr>
        </w:div>
        <w:div w:id="934679249">
          <w:marLeft w:val="640"/>
          <w:marRight w:val="0"/>
          <w:marTop w:val="0"/>
          <w:marBottom w:val="0"/>
          <w:divBdr>
            <w:top w:val="none" w:sz="0" w:space="0" w:color="auto"/>
            <w:left w:val="none" w:sz="0" w:space="0" w:color="auto"/>
            <w:bottom w:val="none" w:sz="0" w:space="0" w:color="auto"/>
            <w:right w:val="none" w:sz="0" w:space="0" w:color="auto"/>
          </w:divBdr>
        </w:div>
        <w:div w:id="2106609163">
          <w:marLeft w:val="640"/>
          <w:marRight w:val="0"/>
          <w:marTop w:val="0"/>
          <w:marBottom w:val="0"/>
          <w:divBdr>
            <w:top w:val="none" w:sz="0" w:space="0" w:color="auto"/>
            <w:left w:val="none" w:sz="0" w:space="0" w:color="auto"/>
            <w:bottom w:val="none" w:sz="0" w:space="0" w:color="auto"/>
            <w:right w:val="none" w:sz="0" w:space="0" w:color="auto"/>
          </w:divBdr>
        </w:div>
        <w:div w:id="2118483453">
          <w:marLeft w:val="640"/>
          <w:marRight w:val="0"/>
          <w:marTop w:val="0"/>
          <w:marBottom w:val="0"/>
          <w:divBdr>
            <w:top w:val="none" w:sz="0" w:space="0" w:color="auto"/>
            <w:left w:val="none" w:sz="0" w:space="0" w:color="auto"/>
            <w:bottom w:val="none" w:sz="0" w:space="0" w:color="auto"/>
            <w:right w:val="none" w:sz="0" w:space="0" w:color="auto"/>
          </w:divBdr>
        </w:div>
        <w:div w:id="2130397164">
          <w:marLeft w:val="640"/>
          <w:marRight w:val="0"/>
          <w:marTop w:val="0"/>
          <w:marBottom w:val="0"/>
          <w:divBdr>
            <w:top w:val="none" w:sz="0" w:space="0" w:color="auto"/>
            <w:left w:val="none" w:sz="0" w:space="0" w:color="auto"/>
            <w:bottom w:val="none" w:sz="0" w:space="0" w:color="auto"/>
            <w:right w:val="none" w:sz="0" w:space="0" w:color="auto"/>
          </w:divBdr>
        </w:div>
        <w:div w:id="1120491442">
          <w:marLeft w:val="640"/>
          <w:marRight w:val="0"/>
          <w:marTop w:val="0"/>
          <w:marBottom w:val="0"/>
          <w:divBdr>
            <w:top w:val="none" w:sz="0" w:space="0" w:color="auto"/>
            <w:left w:val="none" w:sz="0" w:space="0" w:color="auto"/>
            <w:bottom w:val="none" w:sz="0" w:space="0" w:color="auto"/>
            <w:right w:val="none" w:sz="0" w:space="0" w:color="auto"/>
          </w:divBdr>
        </w:div>
        <w:div w:id="64379670">
          <w:marLeft w:val="640"/>
          <w:marRight w:val="0"/>
          <w:marTop w:val="0"/>
          <w:marBottom w:val="0"/>
          <w:divBdr>
            <w:top w:val="none" w:sz="0" w:space="0" w:color="auto"/>
            <w:left w:val="none" w:sz="0" w:space="0" w:color="auto"/>
            <w:bottom w:val="none" w:sz="0" w:space="0" w:color="auto"/>
            <w:right w:val="none" w:sz="0" w:space="0" w:color="auto"/>
          </w:divBdr>
        </w:div>
        <w:div w:id="1299918975">
          <w:marLeft w:val="640"/>
          <w:marRight w:val="0"/>
          <w:marTop w:val="0"/>
          <w:marBottom w:val="0"/>
          <w:divBdr>
            <w:top w:val="none" w:sz="0" w:space="0" w:color="auto"/>
            <w:left w:val="none" w:sz="0" w:space="0" w:color="auto"/>
            <w:bottom w:val="none" w:sz="0" w:space="0" w:color="auto"/>
            <w:right w:val="none" w:sz="0" w:space="0" w:color="auto"/>
          </w:divBdr>
        </w:div>
        <w:div w:id="1603489620">
          <w:marLeft w:val="640"/>
          <w:marRight w:val="0"/>
          <w:marTop w:val="0"/>
          <w:marBottom w:val="0"/>
          <w:divBdr>
            <w:top w:val="none" w:sz="0" w:space="0" w:color="auto"/>
            <w:left w:val="none" w:sz="0" w:space="0" w:color="auto"/>
            <w:bottom w:val="none" w:sz="0" w:space="0" w:color="auto"/>
            <w:right w:val="none" w:sz="0" w:space="0" w:color="auto"/>
          </w:divBdr>
        </w:div>
        <w:div w:id="1355765049">
          <w:marLeft w:val="640"/>
          <w:marRight w:val="0"/>
          <w:marTop w:val="0"/>
          <w:marBottom w:val="0"/>
          <w:divBdr>
            <w:top w:val="none" w:sz="0" w:space="0" w:color="auto"/>
            <w:left w:val="none" w:sz="0" w:space="0" w:color="auto"/>
            <w:bottom w:val="none" w:sz="0" w:space="0" w:color="auto"/>
            <w:right w:val="none" w:sz="0" w:space="0" w:color="auto"/>
          </w:divBdr>
        </w:div>
        <w:div w:id="1948662248">
          <w:marLeft w:val="640"/>
          <w:marRight w:val="0"/>
          <w:marTop w:val="0"/>
          <w:marBottom w:val="0"/>
          <w:divBdr>
            <w:top w:val="none" w:sz="0" w:space="0" w:color="auto"/>
            <w:left w:val="none" w:sz="0" w:space="0" w:color="auto"/>
            <w:bottom w:val="none" w:sz="0" w:space="0" w:color="auto"/>
            <w:right w:val="none" w:sz="0" w:space="0" w:color="auto"/>
          </w:divBdr>
        </w:div>
        <w:div w:id="2060278118">
          <w:marLeft w:val="640"/>
          <w:marRight w:val="0"/>
          <w:marTop w:val="0"/>
          <w:marBottom w:val="0"/>
          <w:divBdr>
            <w:top w:val="none" w:sz="0" w:space="0" w:color="auto"/>
            <w:left w:val="none" w:sz="0" w:space="0" w:color="auto"/>
            <w:bottom w:val="none" w:sz="0" w:space="0" w:color="auto"/>
            <w:right w:val="none" w:sz="0" w:space="0" w:color="auto"/>
          </w:divBdr>
        </w:div>
        <w:div w:id="77756317">
          <w:marLeft w:val="640"/>
          <w:marRight w:val="0"/>
          <w:marTop w:val="0"/>
          <w:marBottom w:val="0"/>
          <w:divBdr>
            <w:top w:val="none" w:sz="0" w:space="0" w:color="auto"/>
            <w:left w:val="none" w:sz="0" w:space="0" w:color="auto"/>
            <w:bottom w:val="none" w:sz="0" w:space="0" w:color="auto"/>
            <w:right w:val="none" w:sz="0" w:space="0" w:color="auto"/>
          </w:divBdr>
        </w:div>
        <w:div w:id="2116054710">
          <w:marLeft w:val="640"/>
          <w:marRight w:val="0"/>
          <w:marTop w:val="0"/>
          <w:marBottom w:val="0"/>
          <w:divBdr>
            <w:top w:val="none" w:sz="0" w:space="0" w:color="auto"/>
            <w:left w:val="none" w:sz="0" w:space="0" w:color="auto"/>
            <w:bottom w:val="none" w:sz="0" w:space="0" w:color="auto"/>
            <w:right w:val="none" w:sz="0" w:space="0" w:color="auto"/>
          </w:divBdr>
        </w:div>
        <w:div w:id="827482958">
          <w:marLeft w:val="640"/>
          <w:marRight w:val="0"/>
          <w:marTop w:val="0"/>
          <w:marBottom w:val="0"/>
          <w:divBdr>
            <w:top w:val="none" w:sz="0" w:space="0" w:color="auto"/>
            <w:left w:val="none" w:sz="0" w:space="0" w:color="auto"/>
            <w:bottom w:val="none" w:sz="0" w:space="0" w:color="auto"/>
            <w:right w:val="none" w:sz="0" w:space="0" w:color="auto"/>
          </w:divBdr>
        </w:div>
        <w:div w:id="1127820871">
          <w:marLeft w:val="640"/>
          <w:marRight w:val="0"/>
          <w:marTop w:val="0"/>
          <w:marBottom w:val="0"/>
          <w:divBdr>
            <w:top w:val="none" w:sz="0" w:space="0" w:color="auto"/>
            <w:left w:val="none" w:sz="0" w:space="0" w:color="auto"/>
            <w:bottom w:val="none" w:sz="0" w:space="0" w:color="auto"/>
            <w:right w:val="none" w:sz="0" w:space="0" w:color="auto"/>
          </w:divBdr>
        </w:div>
        <w:div w:id="700134918">
          <w:marLeft w:val="640"/>
          <w:marRight w:val="0"/>
          <w:marTop w:val="0"/>
          <w:marBottom w:val="0"/>
          <w:divBdr>
            <w:top w:val="none" w:sz="0" w:space="0" w:color="auto"/>
            <w:left w:val="none" w:sz="0" w:space="0" w:color="auto"/>
            <w:bottom w:val="none" w:sz="0" w:space="0" w:color="auto"/>
            <w:right w:val="none" w:sz="0" w:space="0" w:color="auto"/>
          </w:divBdr>
        </w:div>
        <w:div w:id="1377706606">
          <w:marLeft w:val="640"/>
          <w:marRight w:val="0"/>
          <w:marTop w:val="0"/>
          <w:marBottom w:val="0"/>
          <w:divBdr>
            <w:top w:val="none" w:sz="0" w:space="0" w:color="auto"/>
            <w:left w:val="none" w:sz="0" w:space="0" w:color="auto"/>
            <w:bottom w:val="none" w:sz="0" w:space="0" w:color="auto"/>
            <w:right w:val="none" w:sz="0" w:space="0" w:color="auto"/>
          </w:divBdr>
        </w:div>
        <w:div w:id="1165054992">
          <w:marLeft w:val="640"/>
          <w:marRight w:val="0"/>
          <w:marTop w:val="0"/>
          <w:marBottom w:val="0"/>
          <w:divBdr>
            <w:top w:val="none" w:sz="0" w:space="0" w:color="auto"/>
            <w:left w:val="none" w:sz="0" w:space="0" w:color="auto"/>
            <w:bottom w:val="none" w:sz="0" w:space="0" w:color="auto"/>
            <w:right w:val="none" w:sz="0" w:space="0" w:color="auto"/>
          </w:divBdr>
        </w:div>
        <w:div w:id="1308587236">
          <w:marLeft w:val="640"/>
          <w:marRight w:val="0"/>
          <w:marTop w:val="0"/>
          <w:marBottom w:val="0"/>
          <w:divBdr>
            <w:top w:val="none" w:sz="0" w:space="0" w:color="auto"/>
            <w:left w:val="none" w:sz="0" w:space="0" w:color="auto"/>
            <w:bottom w:val="none" w:sz="0" w:space="0" w:color="auto"/>
            <w:right w:val="none" w:sz="0" w:space="0" w:color="auto"/>
          </w:divBdr>
        </w:div>
        <w:div w:id="932131260">
          <w:marLeft w:val="640"/>
          <w:marRight w:val="0"/>
          <w:marTop w:val="0"/>
          <w:marBottom w:val="0"/>
          <w:divBdr>
            <w:top w:val="none" w:sz="0" w:space="0" w:color="auto"/>
            <w:left w:val="none" w:sz="0" w:space="0" w:color="auto"/>
            <w:bottom w:val="none" w:sz="0" w:space="0" w:color="auto"/>
            <w:right w:val="none" w:sz="0" w:space="0" w:color="auto"/>
          </w:divBdr>
        </w:div>
        <w:div w:id="1358971670">
          <w:marLeft w:val="640"/>
          <w:marRight w:val="0"/>
          <w:marTop w:val="0"/>
          <w:marBottom w:val="0"/>
          <w:divBdr>
            <w:top w:val="none" w:sz="0" w:space="0" w:color="auto"/>
            <w:left w:val="none" w:sz="0" w:space="0" w:color="auto"/>
            <w:bottom w:val="none" w:sz="0" w:space="0" w:color="auto"/>
            <w:right w:val="none" w:sz="0" w:space="0" w:color="auto"/>
          </w:divBdr>
        </w:div>
        <w:div w:id="1640644249">
          <w:marLeft w:val="640"/>
          <w:marRight w:val="0"/>
          <w:marTop w:val="0"/>
          <w:marBottom w:val="0"/>
          <w:divBdr>
            <w:top w:val="none" w:sz="0" w:space="0" w:color="auto"/>
            <w:left w:val="none" w:sz="0" w:space="0" w:color="auto"/>
            <w:bottom w:val="none" w:sz="0" w:space="0" w:color="auto"/>
            <w:right w:val="none" w:sz="0" w:space="0" w:color="auto"/>
          </w:divBdr>
        </w:div>
        <w:div w:id="1519655643">
          <w:marLeft w:val="640"/>
          <w:marRight w:val="0"/>
          <w:marTop w:val="0"/>
          <w:marBottom w:val="0"/>
          <w:divBdr>
            <w:top w:val="none" w:sz="0" w:space="0" w:color="auto"/>
            <w:left w:val="none" w:sz="0" w:space="0" w:color="auto"/>
            <w:bottom w:val="none" w:sz="0" w:space="0" w:color="auto"/>
            <w:right w:val="none" w:sz="0" w:space="0" w:color="auto"/>
          </w:divBdr>
        </w:div>
        <w:div w:id="24411147">
          <w:marLeft w:val="640"/>
          <w:marRight w:val="0"/>
          <w:marTop w:val="0"/>
          <w:marBottom w:val="0"/>
          <w:divBdr>
            <w:top w:val="none" w:sz="0" w:space="0" w:color="auto"/>
            <w:left w:val="none" w:sz="0" w:space="0" w:color="auto"/>
            <w:bottom w:val="none" w:sz="0" w:space="0" w:color="auto"/>
            <w:right w:val="none" w:sz="0" w:space="0" w:color="auto"/>
          </w:divBdr>
        </w:div>
        <w:div w:id="1030489589">
          <w:marLeft w:val="640"/>
          <w:marRight w:val="0"/>
          <w:marTop w:val="0"/>
          <w:marBottom w:val="0"/>
          <w:divBdr>
            <w:top w:val="none" w:sz="0" w:space="0" w:color="auto"/>
            <w:left w:val="none" w:sz="0" w:space="0" w:color="auto"/>
            <w:bottom w:val="none" w:sz="0" w:space="0" w:color="auto"/>
            <w:right w:val="none" w:sz="0" w:space="0" w:color="auto"/>
          </w:divBdr>
        </w:div>
        <w:div w:id="1783500238">
          <w:marLeft w:val="640"/>
          <w:marRight w:val="0"/>
          <w:marTop w:val="0"/>
          <w:marBottom w:val="0"/>
          <w:divBdr>
            <w:top w:val="none" w:sz="0" w:space="0" w:color="auto"/>
            <w:left w:val="none" w:sz="0" w:space="0" w:color="auto"/>
            <w:bottom w:val="none" w:sz="0" w:space="0" w:color="auto"/>
            <w:right w:val="none" w:sz="0" w:space="0" w:color="auto"/>
          </w:divBdr>
        </w:div>
        <w:div w:id="637419813">
          <w:marLeft w:val="640"/>
          <w:marRight w:val="0"/>
          <w:marTop w:val="0"/>
          <w:marBottom w:val="0"/>
          <w:divBdr>
            <w:top w:val="none" w:sz="0" w:space="0" w:color="auto"/>
            <w:left w:val="none" w:sz="0" w:space="0" w:color="auto"/>
            <w:bottom w:val="none" w:sz="0" w:space="0" w:color="auto"/>
            <w:right w:val="none" w:sz="0" w:space="0" w:color="auto"/>
          </w:divBdr>
        </w:div>
        <w:div w:id="2021542955">
          <w:marLeft w:val="640"/>
          <w:marRight w:val="0"/>
          <w:marTop w:val="0"/>
          <w:marBottom w:val="0"/>
          <w:divBdr>
            <w:top w:val="none" w:sz="0" w:space="0" w:color="auto"/>
            <w:left w:val="none" w:sz="0" w:space="0" w:color="auto"/>
            <w:bottom w:val="none" w:sz="0" w:space="0" w:color="auto"/>
            <w:right w:val="none" w:sz="0" w:space="0" w:color="auto"/>
          </w:divBdr>
        </w:div>
        <w:div w:id="401097360">
          <w:marLeft w:val="640"/>
          <w:marRight w:val="0"/>
          <w:marTop w:val="0"/>
          <w:marBottom w:val="0"/>
          <w:divBdr>
            <w:top w:val="none" w:sz="0" w:space="0" w:color="auto"/>
            <w:left w:val="none" w:sz="0" w:space="0" w:color="auto"/>
            <w:bottom w:val="none" w:sz="0" w:space="0" w:color="auto"/>
            <w:right w:val="none" w:sz="0" w:space="0" w:color="auto"/>
          </w:divBdr>
        </w:div>
        <w:div w:id="2017683359">
          <w:marLeft w:val="640"/>
          <w:marRight w:val="0"/>
          <w:marTop w:val="0"/>
          <w:marBottom w:val="0"/>
          <w:divBdr>
            <w:top w:val="none" w:sz="0" w:space="0" w:color="auto"/>
            <w:left w:val="none" w:sz="0" w:space="0" w:color="auto"/>
            <w:bottom w:val="none" w:sz="0" w:space="0" w:color="auto"/>
            <w:right w:val="none" w:sz="0" w:space="0" w:color="auto"/>
          </w:divBdr>
        </w:div>
        <w:div w:id="600183119">
          <w:marLeft w:val="640"/>
          <w:marRight w:val="0"/>
          <w:marTop w:val="0"/>
          <w:marBottom w:val="0"/>
          <w:divBdr>
            <w:top w:val="none" w:sz="0" w:space="0" w:color="auto"/>
            <w:left w:val="none" w:sz="0" w:space="0" w:color="auto"/>
            <w:bottom w:val="none" w:sz="0" w:space="0" w:color="auto"/>
            <w:right w:val="none" w:sz="0" w:space="0" w:color="auto"/>
          </w:divBdr>
        </w:div>
        <w:div w:id="39980756">
          <w:marLeft w:val="640"/>
          <w:marRight w:val="0"/>
          <w:marTop w:val="0"/>
          <w:marBottom w:val="0"/>
          <w:divBdr>
            <w:top w:val="none" w:sz="0" w:space="0" w:color="auto"/>
            <w:left w:val="none" w:sz="0" w:space="0" w:color="auto"/>
            <w:bottom w:val="none" w:sz="0" w:space="0" w:color="auto"/>
            <w:right w:val="none" w:sz="0" w:space="0" w:color="auto"/>
          </w:divBdr>
        </w:div>
        <w:div w:id="1542402598">
          <w:marLeft w:val="640"/>
          <w:marRight w:val="0"/>
          <w:marTop w:val="0"/>
          <w:marBottom w:val="0"/>
          <w:divBdr>
            <w:top w:val="none" w:sz="0" w:space="0" w:color="auto"/>
            <w:left w:val="none" w:sz="0" w:space="0" w:color="auto"/>
            <w:bottom w:val="none" w:sz="0" w:space="0" w:color="auto"/>
            <w:right w:val="none" w:sz="0" w:space="0" w:color="auto"/>
          </w:divBdr>
        </w:div>
        <w:div w:id="814184632">
          <w:marLeft w:val="640"/>
          <w:marRight w:val="0"/>
          <w:marTop w:val="0"/>
          <w:marBottom w:val="0"/>
          <w:divBdr>
            <w:top w:val="none" w:sz="0" w:space="0" w:color="auto"/>
            <w:left w:val="none" w:sz="0" w:space="0" w:color="auto"/>
            <w:bottom w:val="none" w:sz="0" w:space="0" w:color="auto"/>
            <w:right w:val="none" w:sz="0" w:space="0" w:color="auto"/>
          </w:divBdr>
        </w:div>
        <w:div w:id="1100636847">
          <w:marLeft w:val="640"/>
          <w:marRight w:val="0"/>
          <w:marTop w:val="0"/>
          <w:marBottom w:val="0"/>
          <w:divBdr>
            <w:top w:val="none" w:sz="0" w:space="0" w:color="auto"/>
            <w:left w:val="none" w:sz="0" w:space="0" w:color="auto"/>
            <w:bottom w:val="none" w:sz="0" w:space="0" w:color="auto"/>
            <w:right w:val="none" w:sz="0" w:space="0" w:color="auto"/>
          </w:divBdr>
        </w:div>
        <w:div w:id="1315143010">
          <w:marLeft w:val="640"/>
          <w:marRight w:val="0"/>
          <w:marTop w:val="0"/>
          <w:marBottom w:val="0"/>
          <w:divBdr>
            <w:top w:val="none" w:sz="0" w:space="0" w:color="auto"/>
            <w:left w:val="none" w:sz="0" w:space="0" w:color="auto"/>
            <w:bottom w:val="none" w:sz="0" w:space="0" w:color="auto"/>
            <w:right w:val="none" w:sz="0" w:space="0" w:color="auto"/>
          </w:divBdr>
        </w:div>
        <w:div w:id="1335497893">
          <w:marLeft w:val="640"/>
          <w:marRight w:val="0"/>
          <w:marTop w:val="0"/>
          <w:marBottom w:val="0"/>
          <w:divBdr>
            <w:top w:val="none" w:sz="0" w:space="0" w:color="auto"/>
            <w:left w:val="none" w:sz="0" w:space="0" w:color="auto"/>
            <w:bottom w:val="none" w:sz="0" w:space="0" w:color="auto"/>
            <w:right w:val="none" w:sz="0" w:space="0" w:color="auto"/>
          </w:divBdr>
        </w:div>
        <w:div w:id="1633629746">
          <w:marLeft w:val="640"/>
          <w:marRight w:val="0"/>
          <w:marTop w:val="0"/>
          <w:marBottom w:val="0"/>
          <w:divBdr>
            <w:top w:val="none" w:sz="0" w:space="0" w:color="auto"/>
            <w:left w:val="none" w:sz="0" w:space="0" w:color="auto"/>
            <w:bottom w:val="none" w:sz="0" w:space="0" w:color="auto"/>
            <w:right w:val="none" w:sz="0" w:space="0" w:color="auto"/>
          </w:divBdr>
        </w:div>
        <w:div w:id="995105521">
          <w:marLeft w:val="640"/>
          <w:marRight w:val="0"/>
          <w:marTop w:val="0"/>
          <w:marBottom w:val="0"/>
          <w:divBdr>
            <w:top w:val="none" w:sz="0" w:space="0" w:color="auto"/>
            <w:left w:val="none" w:sz="0" w:space="0" w:color="auto"/>
            <w:bottom w:val="none" w:sz="0" w:space="0" w:color="auto"/>
            <w:right w:val="none" w:sz="0" w:space="0" w:color="auto"/>
          </w:divBdr>
        </w:div>
        <w:div w:id="1678460574">
          <w:marLeft w:val="640"/>
          <w:marRight w:val="0"/>
          <w:marTop w:val="0"/>
          <w:marBottom w:val="0"/>
          <w:divBdr>
            <w:top w:val="none" w:sz="0" w:space="0" w:color="auto"/>
            <w:left w:val="none" w:sz="0" w:space="0" w:color="auto"/>
            <w:bottom w:val="none" w:sz="0" w:space="0" w:color="auto"/>
            <w:right w:val="none" w:sz="0" w:space="0" w:color="auto"/>
          </w:divBdr>
        </w:div>
        <w:div w:id="1881820497">
          <w:marLeft w:val="640"/>
          <w:marRight w:val="0"/>
          <w:marTop w:val="0"/>
          <w:marBottom w:val="0"/>
          <w:divBdr>
            <w:top w:val="none" w:sz="0" w:space="0" w:color="auto"/>
            <w:left w:val="none" w:sz="0" w:space="0" w:color="auto"/>
            <w:bottom w:val="none" w:sz="0" w:space="0" w:color="auto"/>
            <w:right w:val="none" w:sz="0" w:space="0" w:color="auto"/>
          </w:divBdr>
        </w:div>
        <w:div w:id="1394887439">
          <w:marLeft w:val="640"/>
          <w:marRight w:val="0"/>
          <w:marTop w:val="0"/>
          <w:marBottom w:val="0"/>
          <w:divBdr>
            <w:top w:val="none" w:sz="0" w:space="0" w:color="auto"/>
            <w:left w:val="none" w:sz="0" w:space="0" w:color="auto"/>
            <w:bottom w:val="none" w:sz="0" w:space="0" w:color="auto"/>
            <w:right w:val="none" w:sz="0" w:space="0" w:color="auto"/>
          </w:divBdr>
        </w:div>
        <w:div w:id="1379477310">
          <w:marLeft w:val="640"/>
          <w:marRight w:val="0"/>
          <w:marTop w:val="0"/>
          <w:marBottom w:val="0"/>
          <w:divBdr>
            <w:top w:val="none" w:sz="0" w:space="0" w:color="auto"/>
            <w:left w:val="none" w:sz="0" w:space="0" w:color="auto"/>
            <w:bottom w:val="none" w:sz="0" w:space="0" w:color="auto"/>
            <w:right w:val="none" w:sz="0" w:space="0" w:color="auto"/>
          </w:divBdr>
        </w:div>
        <w:div w:id="423767632">
          <w:marLeft w:val="640"/>
          <w:marRight w:val="0"/>
          <w:marTop w:val="0"/>
          <w:marBottom w:val="0"/>
          <w:divBdr>
            <w:top w:val="none" w:sz="0" w:space="0" w:color="auto"/>
            <w:left w:val="none" w:sz="0" w:space="0" w:color="auto"/>
            <w:bottom w:val="none" w:sz="0" w:space="0" w:color="auto"/>
            <w:right w:val="none" w:sz="0" w:space="0" w:color="auto"/>
          </w:divBdr>
        </w:div>
        <w:div w:id="491988730">
          <w:marLeft w:val="640"/>
          <w:marRight w:val="0"/>
          <w:marTop w:val="0"/>
          <w:marBottom w:val="0"/>
          <w:divBdr>
            <w:top w:val="none" w:sz="0" w:space="0" w:color="auto"/>
            <w:left w:val="none" w:sz="0" w:space="0" w:color="auto"/>
            <w:bottom w:val="none" w:sz="0" w:space="0" w:color="auto"/>
            <w:right w:val="none" w:sz="0" w:space="0" w:color="auto"/>
          </w:divBdr>
        </w:div>
        <w:div w:id="1831172174">
          <w:marLeft w:val="640"/>
          <w:marRight w:val="0"/>
          <w:marTop w:val="0"/>
          <w:marBottom w:val="0"/>
          <w:divBdr>
            <w:top w:val="none" w:sz="0" w:space="0" w:color="auto"/>
            <w:left w:val="none" w:sz="0" w:space="0" w:color="auto"/>
            <w:bottom w:val="none" w:sz="0" w:space="0" w:color="auto"/>
            <w:right w:val="none" w:sz="0" w:space="0" w:color="auto"/>
          </w:divBdr>
        </w:div>
        <w:div w:id="1411469276">
          <w:marLeft w:val="640"/>
          <w:marRight w:val="0"/>
          <w:marTop w:val="0"/>
          <w:marBottom w:val="0"/>
          <w:divBdr>
            <w:top w:val="none" w:sz="0" w:space="0" w:color="auto"/>
            <w:left w:val="none" w:sz="0" w:space="0" w:color="auto"/>
            <w:bottom w:val="none" w:sz="0" w:space="0" w:color="auto"/>
            <w:right w:val="none" w:sz="0" w:space="0" w:color="auto"/>
          </w:divBdr>
        </w:div>
        <w:div w:id="973802120">
          <w:marLeft w:val="640"/>
          <w:marRight w:val="0"/>
          <w:marTop w:val="0"/>
          <w:marBottom w:val="0"/>
          <w:divBdr>
            <w:top w:val="none" w:sz="0" w:space="0" w:color="auto"/>
            <w:left w:val="none" w:sz="0" w:space="0" w:color="auto"/>
            <w:bottom w:val="none" w:sz="0" w:space="0" w:color="auto"/>
            <w:right w:val="none" w:sz="0" w:space="0" w:color="auto"/>
          </w:divBdr>
        </w:div>
        <w:div w:id="757671805">
          <w:marLeft w:val="640"/>
          <w:marRight w:val="0"/>
          <w:marTop w:val="0"/>
          <w:marBottom w:val="0"/>
          <w:divBdr>
            <w:top w:val="none" w:sz="0" w:space="0" w:color="auto"/>
            <w:left w:val="none" w:sz="0" w:space="0" w:color="auto"/>
            <w:bottom w:val="none" w:sz="0" w:space="0" w:color="auto"/>
            <w:right w:val="none" w:sz="0" w:space="0" w:color="auto"/>
          </w:divBdr>
        </w:div>
        <w:div w:id="772045113">
          <w:marLeft w:val="640"/>
          <w:marRight w:val="0"/>
          <w:marTop w:val="0"/>
          <w:marBottom w:val="0"/>
          <w:divBdr>
            <w:top w:val="none" w:sz="0" w:space="0" w:color="auto"/>
            <w:left w:val="none" w:sz="0" w:space="0" w:color="auto"/>
            <w:bottom w:val="none" w:sz="0" w:space="0" w:color="auto"/>
            <w:right w:val="none" w:sz="0" w:space="0" w:color="auto"/>
          </w:divBdr>
        </w:div>
        <w:div w:id="1578319254">
          <w:marLeft w:val="640"/>
          <w:marRight w:val="0"/>
          <w:marTop w:val="0"/>
          <w:marBottom w:val="0"/>
          <w:divBdr>
            <w:top w:val="none" w:sz="0" w:space="0" w:color="auto"/>
            <w:left w:val="none" w:sz="0" w:space="0" w:color="auto"/>
            <w:bottom w:val="none" w:sz="0" w:space="0" w:color="auto"/>
            <w:right w:val="none" w:sz="0" w:space="0" w:color="auto"/>
          </w:divBdr>
        </w:div>
        <w:div w:id="808281326">
          <w:marLeft w:val="640"/>
          <w:marRight w:val="0"/>
          <w:marTop w:val="0"/>
          <w:marBottom w:val="0"/>
          <w:divBdr>
            <w:top w:val="none" w:sz="0" w:space="0" w:color="auto"/>
            <w:left w:val="none" w:sz="0" w:space="0" w:color="auto"/>
            <w:bottom w:val="none" w:sz="0" w:space="0" w:color="auto"/>
            <w:right w:val="none" w:sz="0" w:space="0" w:color="auto"/>
          </w:divBdr>
        </w:div>
        <w:div w:id="1210460299">
          <w:marLeft w:val="640"/>
          <w:marRight w:val="0"/>
          <w:marTop w:val="0"/>
          <w:marBottom w:val="0"/>
          <w:divBdr>
            <w:top w:val="none" w:sz="0" w:space="0" w:color="auto"/>
            <w:left w:val="none" w:sz="0" w:space="0" w:color="auto"/>
            <w:bottom w:val="none" w:sz="0" w:space="0" w:color="auto"/>
            <w:right w:val="none" w:sz="0" w:space="0" w:color="auto"/>
          </w:divBdr>
        </w:div>
        <w:div w:id="1570381158">
          <w:marLeft w:val="640"/>
          <w:marRight w:val="0"/>
          <w:marTop w:val="0"/>
          <w:marBottom w:val="0"/>
          <w:divBdr>
            <w:top w:val="none" w:sz="0" w:space="0" w:color="auto"/>
            <w:left w:val="none" w:sz="0" w:space="0" w:color="auto"/>
            <w:bottom w:val="none" w:sz="0" w:space="0" w:color="auto"/>
            <w:right w:val="none" w:sz="0" w:space="0" w:color="auto"/>
          </w:divBdr>
        </w:div>
        <w:div w:id="84814303">
          <w:marLeft w:val="640"/>
          <w:marRight w:val="0"/>
          <w:marTop w:val="0"/>
          <w:marBottom w:val="0"/>
          <w:divBdr>
            <w:top w:val="none" w:sz="0" w:space="0" w:color="auto"/>
            <w:left w:val="none" w:sz="0" w:space="0" w:color="auto"/>
            <w:bottom w:val="none" w:sz="0" w:space="0" w:color="auto"/>
            <w:right w:val="none" w:sz="0" w:space="0" w:color="auto"/>
          </w:divBdr>
        </w:div>
        <w:div w:id="241066100">
          <w:marLeft w:val="640"/>
          <w:marRight w:val="0"/>
          <w:marTop w:val="0"/>
          <w:marBottom w:val="0"/>
          <w:divBdr>
            <w:top w:val="none" w:sz="0" w:space="0" w:color="auto"/>
            <w:left w:val="none" w:sz="0" w:space="0" w:color="auto"/>
            <w:bottom w:val="none" w:sz="0" w:space="0" w:color="auto"/>
            <w:right w:val="none" w:sz="0" w:space="0" w:color="auto"/>
          </w:divBdr>
        </w:div>
        <w:div w:id="809708321">
          <w:marLeft w:val="640"/>
          <w:marRight w:val="0"/>
          <w:marTop w:val="0"/>
          <w:marBottom w:val="0"/>
          <w:divBdr>
            <w:top w:val="none" w:sz="0" w:space="0" w:color="auto"/>
            <w:left w:val="none" w:sz="0" w:space="0" w:color="auto"/>
            <w:bottom w:val="none" w:sz="0" w:space="0" w:color="auto"/>
            <w:right w:val="none" w:sz="0" w:space="0" w:color="auto"/>
          </w:divBdr>
        </w:div>
        <w:div w:id="352339287">
          <w:marLeft w:val="640"/>
          <w:marRight w:val="0"/>
          <w:marTop w:val="0"/>
          <w:marBottom w:val="0"/>
          <w:divBdr>
            <w:top w:val="none" w:sz="0" w:space="0" w:color="auto"/>
            <w:left w:val="none" w:sz="0" w:space="0" w:color="auto"/>
            <w:bottom w:val="none" w:sz="0" w:space="0" w:color="auto"/>
            <w:right w:val="none" w:sz="0" w:space="0" w:color="auto"/>
          </w:divBdr>
        </w:div>
        <w:div w:id="836112319">
          <w:marLeft w:val="640"/>
          <w:marRight w:val="0"/>
          <w:marTop w:val="0"/>
          <w:marBottom w:val="0"/>
          <w:divBdr>
            <w:top w:val="none" w:sz="0" w:space="0" w:color="auto"/>
            <w:left w:val="none" w:sz="0" w:space="0" w:color="auto"/>
            <w:bottom w:val="none" w:sz="0" w:space="0" w:color="auto"/>
            <w:right w:val="none" w:sz="0" w:space="0" w:color="auto"/>
          </w:divBdr>
        </w:div>
        <w:div w:id="570777144">
          <w:marLeft w:val="640"/>
          <w:marRight w:val="0"/>
          <w:marTop w:val="0"/>
          <w:marBottom w:val="0"/>
          <w:divBdr>
            <w:top w:val="none" w:sz="0" w:space="0" w:color="auto"/>
            <w:left w:val="none" w:sz="0" w:space="0" w:color="auto"/>
            <w:bottom w:val="none" w:sz="0" w:space="0" w:color="auto"/>
            <w:right w:val="none" w:sz="0" w:space="0" w:color="auto"/>
          </w:divBdr>
        </w:div>
        <w:div w:id="623579154">
          <w:marLeft w:val="640"/>
          <w:marRight w:val="0"/>
          <w:marTop w:val="0"/>
          <w:marBottom w:val="0"/>
          <w:divBdr>
            <w:top w:val="none" w:sz="0" w:space="0" w:color="auto"/>
            <w:left w:val="none" w:sz="0" w:space="0" w:color="auto"/>
            <w:bottom w:val="none" w:sz="0" w:space="0" w:color="auto"/>
            <w:right w:val="none" w:sz="0" w:space="0" w:color="auto"/>
          </w:divBdr>
        </w:div>
        <w:div w:id="1393043260">
          <w:marLeft w:val="640"/>
          <w:marRight w:val="0"/>
          <w:marTop w:val="0"/>
          <w:marBottom w:val="0"/>
          <w:divBdr>
            <w:top w:val="none" w:sz="0" w:space="0" w:color="auto"/>
            <w:left w:val="none" w:sz="0" w:space="0" w:color="auto"/>
            <w:bottom w:val="none" w:sz="0" w:space="0" w:color="auto"/>
            <w:right w:val="none" w:sz="0" w:space="0" w:color="auto"/>
          </w:divBdr>
        </w:div>
        <w:div w:id="1029917163">
          <w:marLeft w:val="640"/>
          <w:marRight w:val="0"/>
          <w:marTop w:val="0"/>
          <w:marBottom w:val="0"/>
          <w:divBdr>
            <w:top w:val="none" w:sz="0" w:space="0" w:color="auto"/>
            <w:left w:val="none" w:sz="0" w:space="0" w:color="auto"/>
            <w:bottom w:val="none" w:sz="0" w:space="0" w:color="auto"/>
            <w:right w:val="none" w:sz="0" w:space="0" w:color="auto"/>
          </w:divBdr>
        </w:div>
        <w:div w:id="2103989549">
          <w:marLeft w:val="640"/>
          <w:marRight w:val="0"/>
          <w:marTop w:val="0"/>
          <w:marBottom w:val="0"/>
          <w:divBdr>
            <w:top w:val="none" w:sz="0" w:space="0" w:color="auto"/>
            <w:left w:val="none" w:sz="0" w:space="0" w:color="auto"/>
            <w:bottom w:val="none" w:sz="0" w:space="0" w:color="auto"/>
            <w:right w:val="none" w:sz="0" w:space="0" w:color="auto"/>
          </w:divBdr>
        </w:div>
        <w:div w:id="911044069">
          <w:marLeft w:val="640"/>
          <w:marRight w:val="0"/>
          <w:marTop w:val="0"/>
          <w:marBottom w:val="0"/>
          <w:divBdr>
            <w:top w:val="none" w:sz="0" w:space="0" w:color="auto"/>
            <w:left w:val="none" w:sz="0" w:space="0" w:color="auto"/>
            <w:bottom w:val="none" w:sz="0" w:space="0" w:color="auto"/>
            <w:right w:val="none" w:sz="0" w:space="0" w:color="auto"/>
          </w:divBdr>
        </w:div>
        <w:div w:id="1772705931">
          <w:marLeft w:val="640"/>
          <w:marRight w:val="0"/>
          <w:marTop w:val="0"/>
          <w:marBottom w:val="0"/>
          <w:divBdr>
            <w:top w:val="none" w:sz="0" w:space="0" w:color="auto"/>
            <w:left w:val="none" w:sz="0" w:space="0" w:color="auto"/>
            <w:bottom w:val="none" w:sz="0" w:space="0" w:color="auto"/>
            <w:right w:val="none" w:sz="0" w:space="0" w:color="auto"/>
          </w:divBdr>
        </w:div>
        <w:div w:id="502744746">
          <w:marLeft w:val="640"/>
          <w:marRight w:val="0"/>
          <w:marTop w:val="0"/>
          <w:marBottom w:val="0"/>
          <w:divBdr>
            <w:top w:val="none" w:sz="0" w:space="0" w:color="auto"/>
            <w:left w:val="none" w:sz="0" w:space="0" w:color="auto"/>
            <w:bottom w:val="none" w:sz="0" w:space="0" w:color="auto"/>
            <w:right w:val="none" w:sz="0" w:space="0" w:color="auto"/>
          </w:divBdr>
        </w:div>
        <w:div w:id="1683318905">
          <w:marLeft w:val="640"/>
          <w:marRight w:val="0"/>
          <w:marTop w:val="0"/>
          <w:marBottom w:val="0"/>
          <w:divBdr>
            <w:top w:val="none" w:sz="0" w:space="0" w:color="auto"/>
            <w:left w:val="none" w:sz="0" w:space="0" w:color="auto"/>
            <w:bottom w:val="none" w:sz="0" w:space="0" w:color="auto"/>
            <w:right w:val="none" w:sz="0" w:space="0" w:color="auto"/>
          </w:divBdr>
        </w:div>
        <w:div w:id="729040966">
          <w:marLeft w:val="640"/>
          <w:marRight w:val="0"/>
          <w:marTop w:val="0"/>
          <w:marBottom w:val="0"/>
          <w:divBdr>
            <w:top w:val="none" w:sz="0" w:space="0" w:color="auto"/>
            <w:left w:val="none" w:sz="0" w:space="0" w:color="auto"/>
            <w:bottom w:val="none" w:sz="0" w:space="0" w:color="auto"/>
            <w:right w:val="none" w:sz="0" w:space="0" w:color="auto"/>
          </w:divBdr>
        </w:div>
        <w:div w:id="1493764501">
          <w:marLeft w:val="640"/>
          <w:marRight w:val="0"/>
          <w:marTop w:val="0"/>
          <w:marBottom w:val="0"/>
          <w:divBdr>
            <w:top w:val="none" w:sz="0" w:space="0" w:color="auto"/>
            <w:left w:val="none" w:sz="0" w:space="0" w:color="auto"/>
            <w:bottom w:val="none" w:sz="0" w:space="0" w:color="auto"/>
            <w:right w:val="none" w:sz="0" w:space="0" w:color="auto"/>
          </w:divBdr>
        </w:div>
        <w:div w:id="240257509">
          <w:marLeft w:val="640"/>
          <w:marRight w:val="0"/>
          <w:marTop w:val="0"/>
          <w:marBottom w:val="0"/>
          <w:divBdr>
            <w:top w:val="none" w:sz="0" w:space="0" w:color="auto"/>
            <w:left w:val="none" w:sz="0" w:space="0" w:color="auto"/>
            <w:bottom w:val="none" w:sz="0" w:space="0" w:color="auto"/>
            <w:right w:val="none" w:sz="0" w:space="0" w:color="auto"/>
          </w:divBdr>
        </w:div>
        <w:div w:id="1310086338">
          <w:marLeft w:val="640"/>
          <w:marRight w:val="0"/>
          <w:marTop w:val="0"/>
          <w:marBottom w:val="0"/>
          <w:divBdr>
            <w:top w:val="none" w:sz="0" w:space="0" w:color="auto"/>
            <w:left w:val="none" w:sz="0" w:space="0" w:color="auto"/>
            <w:bottom w:val="none" w:sz="0" w:space="0" w:color="auto"/>
            <w:right w:val="none" w:sz="0" w:space="0" w:color="auto"/>
          </w:divBdr>
        </w:div>
        <w:div w:id="432676363">
          <w:marLeft w:val="640"/>
          <w:marRight w:val="0"/>
          <w:marTop w:val="0"/>
          <w:marBottom w:val="0"/>
          <w:divBdr>
            <w:top w:val="none" w:sz="0" w:space="0" w:color="auto"/>
            <w:left w:val="none" w:sz="0" w:space="0" w:color="auto"/>
            <w:bottom w:val="none" w:sz="0" w:space="0" w:color="auto"/>
            <w:right w:val="none" w:sz="0" w:space="0" w:color="auto"/>
          </w:divBdr>
        </w:div>
        <w:div w:id="1990090454">
          <w:marLeft w:val="640"/>
          <w:marRight w:val="0"/>
          <w:marTop w:val="0"/>
          <w:marBottom w:val="0"/>
          <w:divBdr>
            <w:top w:val="none" w:sz="0" w:space="0" w:color="auto"/>
            <w:left w:val="none" w:sz="0" w:space="0" w:color="auto"/>
            <w:bottom w:val="none" w:sz="0" w:space="0" w:color="auto"/>
            <w:right w:val="none" w:sz="0" w:space="0" w:color="auto"/>
          </w:divBdr>
        </w:div>
        <w:div w:id="292757534">
          <w:marLeft w:val="640"/>
          <w:marRight w:val="0"/>
          <w:marTop w:val="0"/>
          <w:marBottom w:val="0"/>
          <w:divBdr>
            <w:top w:val="none" w:sz="0" w:space="0" w:color="auto"/>
            <w:left w:val="none" w:sz="0" w:space="0" w:color="auto"/>
            <w:bottom w:val="none" w:sz="0" w:space="0" w:color="auto"/>
            <w:right w:val="none" w:sz="0" w:space="0" w:color="auto"/>
          </w:divBdr>
        </w:div>
        <w:div w:id="953943317">
          <w:marLeft w:val="640"/>
          <w:marRight w:val="0"/>
          <w:marTop w:val="0"/>
          <w:marBottom w:val="0"/>
          <w:divBdr>
            <w:top w:val="none" w:sz="0" w:space="0" w:color="auto"/>
            <w:left w:val="none" w:sz="0" w:space="0" w:color="auto"/>
            <w:bottom w:val="none" w:sz="0" w:space="0" w:color="auto"/>
            <w:right w:val="none" w:sz="0" w:space="0" w:color="auto"/>
          </w:divBdr>
        </w:div>
        <w:div w:id="479199296">
          <w:marLeft w:val="640"/>
          <w:marRight w:val="0"/>
          <w:marTop w:val="0"/>
          <w:marBottom w:val="0"/>
          <w:divBdr>
            <w:top w:val="none" w:sz="0" w:space="0" w:color="auto"/>
            <w:left w:val="none" w:sz="0" w:space="0" w:color="auto"/>
            <w:bottom w:val="none" w:sz="0" w:space="0" w:color="auto"/>
            <w:right w:val="none" w:sz="0" w:space="0" w:color="auto"/>
          </w:divBdr>
        </w:div>
        <w:div w:id="37509184">
          <w:marLeft w:val="640"/>
          <w:marRight w:val="0"/>
          <w:marTop w:val="0"/>
          <w:marBottom w:val="0"/>
          <w:divBdr>
            <w:top w:val="none" w:sz="0" w:space="0" w:color="auto"/>
            <w:left w:val="none" w:sz="0" w:space="0" w:color="auto"/>
            <w:bottom w:val="none" w:sz="0" w:space="0" w:color="auto"/>
            <w:right w:val="none" w:sz="0" w:space="0" w:color="auto"/>
          </w:divBdr>
        </w:div>
        <w:div w:id="445541860">
          <w:marLeft w:val="640"/>
          <w:marRight w:val="0"/>
          <w:marTop w:val="0"/>
          <w:marBottom w:val="0"/>
          <w:divBdr>
            <w:top w:val="none" w:sz="0" w:space="0" w:color="auto"/>
            <w:left w:val="none" w:sz="0" w:space="0" w:color="auto"/>
            <w:bottom w:val="none" w:sz="0" w:space="0" w:color="auto"/>
            <w:right w:val="none" w:sz="0" w:space="0" w:color="auto"/>
          </w:divBdr>
        </w:div>
        <w:div w:id="1775590939">
          <w:marLeft w:val="640"/>
          <w:marRight w:val="0"/>
          <w:marTop w:val="0"/>
          <w:marBottom w:val="0"/>
          <w:divBdr>
            <w:top w:val="none" w:sz="0" w:space="0" w:color="auto"/>
            <w:left w:val="none" w:sz="0" w:space="0" w:color="auto"/>
            <w:bottom w:val="none" w:sz="0" w:space="0" w:color="auto"/>
            <w:right w:val="none" w:sz="0" w:space="0" w:color="auto"/>
          </w:divBdr>
        </w:div>
        <w:div w:id="1947303104">
          <w:marLeft w:val="640"/>
          <w:marRight w:val="0"/>
          <w:marTop w:val="0"/>
          <w:marBottom w:val="0"/>
          <w:divBdr>
            <w:top w:val="none" w:sz="0" w:space="0" w:color="auto"/>
            <w:left w:val="none" w:sz="0" w:space="0" w:color="auto"/>
            <w:bottom w:val="none" w:sz="0" w:space="0" w:color="auto"/>
            <w:right w:val="none" w:sz="0" w:space="0" w:color="auto"/>
          </w:divBdr>
        </w:div>
        <w:div w:id="1749764968">
          <w:marLeft w:val="640"/>
          <w:marRight w:val="0"/>
          <w:marTop w:val="0"/>
          <w:marBottom w:val="0"/>
          <w:divBdr>
            <w:top w:val="none" w:sz="0" w:space="0" w:color="auto"/>
            <w:left w:val="none" w:sz="0" w:space="0" w:color="auto"/>
            <w:bottom w:val="none" w:sz="0" w:space="0" w:color="auto"/>
            <w:right w:val="none" w:sz="0" w:space="0" w:color="auto"/>
          </w:divBdr>
        </w:div>
        <w:div w:id="727653982">
          <w:marLeft w:val="640"/>
          <w:marRight w:val="0"/>
          <w:marTop w:val="0"/>
          <w:marBottom w:val="0"/>
          <w:divBdr>
            <w:top w:val="none" w:sz="0" w:space="0" w:color="auto"/>
            <w:left w:val="none" w:sz="0" w:space="0" w:color="auto"/>
            <w:bottom w:val="none" w:sz="0" w:space="0" w:color="auto"/>
            <w:right w:val="none" w:sz="0" w:space="0" w:color="auto"/>
          </w:divBdr>
        </w:div>
        <w:div w:id="832649034">
          <w:marLeft w:val="640"/>
          <w:marRight w:val="0"/>
          <w:marTop w:val="0"/>
          <w:marBottom w:val="0"/>
          <w:divBdr>
            <w:top w:val="none" w:sz="0" w:space="0" w:color="auto"/>
            <w:left w:val="none" w:sz="0" w:space="0" w:color="auto"/>
            <w:bottom w:val="none" w:sz="0" w:space="0" w:color="auto"/>
            <w:right w:val="none" w:sz="0" w:space="0" w:color="auto"/>
          </w:divBdr>
        </w:div>
        <w:div w:id="1311711835">
          <w:marLeft w:val="640"/>
          <w:marRight w:val="0"/>
          <w:marTop w:val="0"/>
          <w:marBottom w:val="0"/>
          <w:divBdr>
            <w:top w:val="none" w:sz="0" w:space="0" w:color="auto"/>
            <w:left w:val="none" w:sz="0" w:space="0" w:color="auto"/>
            <w:bottom w:val="none" w:sz="0" w:space="0" w:color="auto"/>
            <w:right w:val="none" w:sz="0" w:space="0" w:color="auto"/>
          </w:divBdr>
        </w:div>
        <w:div w:id="1522934097">
          <w:marLeft w:val="640"/>
          <w:marRight w:val="0"/>
          <w:marTop w:val="0"/>
          <w:marBottom w:val="0"/>
          <w:divBdr>
            <w:top w:val="none" w:sz="0" w:space="0" w:color="auto"/>
            <w:left w:val="none" w:sz="0" w:space="0" w:color="auto"/>
            <w:bottom w:val="none" w:sz="0" w:space="0" w:color="auto"/>
            <w:right w:val="none" w:sz="0" w:space="0" w:color="auto"/>
          </w:divBdr>
        </w:div>
        <w:div w:id="1246767716">
          <w:marLeft w:val="640"/>
          <w:marRight w:val="0"/>
          <w:marTop w:val="0"/>
          <w:marBottom w:val="0"/>
          <w:divBdr>
            <w:top w:val="none" w:sz="0" w:space="0" w:color="auto"/>
            <w:left w:val="none" w:sz="0" w:space="0" w:color="auto"/>
            <w:bottom w:val="none" w:sz="0" w:space="0" w:color="auto"/>
            <w:right w:val="none" w:sz="0" w:space="0" w:color="auto"/>
          </w:divBdr>
        </w:div>
        <w:div w:id="1095437627">
          <w:marLeft w:val="640"/>
          <w:marRight w:val="0"/>
          <w:marTop w:val="0"/>
          <w:marBottom w:val="0"/>
          <w:divBdr>
            <w:top w:val="none" w:sz="0" w:space="0" w:color="auto"/>
            <w:left w:val="none" w:sz="0" w:space="0" w:color="auto"/>
            <w:bottom w:val="none" w:sz="0" w:space="0" w:color="auto"/>
            <w:right w:val="none" w:sz="0" w:space="0" w:color="auto"/>
          </w:divBdr>
        </w:div>
        <w:div w:id="1401367913">
          <w:marLeft w:val="640"/>
          <w:marRight w:val="0"/>
          <w:marTop w:val="0"/>
          <w:marBottom w:val="0"/>
          <w:divBdr>
            <w:top w:val="none" w:sz="0" w:space="0" w:color="auto"/>
            <w:left w:val="none" w:sz="0" w:space="0" w:color="auto"/>
            <w:bottom w:val="none" w:sz="0" w:space="0" w:color="auto"/>
            <w:right w:val="none" w:sz="0" w:space="0" w:color="auto"/>
          </w:divBdr>
        </w:div>
        <w:div w:id="275866263">
          <w:marLeft w:val="640"/>
          <w:marRight w:val="0"/>
          <w:marTop w:val="0"/>
          <w:marBottom w:val="0"/>
          <w:divBdr>
            <w:top w:val="none" w:sz="0" w:space="0" w:color="auto"/>
            <w:left w:val="none" w:sz="0" w:space="0" w:color="auto"/>
            <w:bottom w:val="none" w:sz="0" w:space="0" w:color="auto"/>
            <w:right w:val="none" w:sz="0" w:space="0" w:color="auto"/>
          </w:divBdr>
        </w:div>
        <w:div w:id="503983566">
          <w:marLeft w:val="640"/>
          <w:marRight w:val="0"/>
          <w:marTop w:val="0"/>
          <w:marBottom w:val="0"/>
          <w:divBdr>
            <w:top w:val="none" w:sz="0" w:space="0" w:color="auto"/>
            <w:left w:val="none" w:sz="0" w:space="0" w:color="auto"/>
            <w:bottom w:val="none" w:sz="0" w:space="0" w:color="auto"/>
            <w:right w:val="none" w:sz="0" w:space="0" w:color="auto"/>
          </w:divBdr>
        </w:div>
        <w:div w:id="812410068">
          <w:marLeft w:val="640"/>
          <w:marRight w:val="0"/>
          <w:marTop w:val="0"/>
          <w:marBottom w:val="0"/>
          <w:divBdr>
            <w:top w:val="none" w:sz="0" w:space="0" w:color="auto"/>
            <w:left w:val="none" w:sz="0" w:space="0" w:color="auto"/>
            <w:bottom w:val="none" w:sz="0" w:space="0" w:color="auto"/>
            <w:right w:val="none" w:sz="0" w:space="0" w:color="auto"/>
          </w:divBdr>
        </w:div>
        <w:div w:id="395473045">
          <w:marLeft w:val="640"/>
          <w:marRight w:val="0"/>
          <w:marTop w:val="0"/>
          <w:marBottom w:val="0"/>
          <w:divBdr>
            <w:top w:val="none" w:sz="0" w:space="0" w:color="auto"/>
            <w:left w:val="none" w:sz="0" w:space="0" w:color="auto"/>
            <w:bottom w:val="none" w:sz="0" w:space="0" w:color="auto"/>
            <w:right w:val="none" w:sz="0" w:space="0" w:color="auto"/>
          </w:divBdr>
        </w:div>
        <w:div w:id="272858984">
          <w:marLeft w:val="640"/>
          <w:marRight w:val="0"/>
          <w:marTop w:val="0"/>
          <w:marBottom w:val="0"/>
          <w:divBdr>
            <w:top w:val="none" w:sz="0" w:space="0" w:color="auto"/>
            <w:left w:val="none" w:sz="0" w:space="0" w:color="auto"/>
            <w:bottom w:val="none" w:sz="0" w:space="0" w:color="auto"/>
            <w:right w:val="none" w:sz="0" w:space="0" w:color="auto"/>
          </w:divBdr>
        </w:div>
        <w:div w:id="1966309307">
          <w:marLeft w:val="640"/>
          <w:marRight w:val="0"/>
          <w:marTop w:val="0"/>
          <w:marBottom w:val="0"/>
          <w:divBdr>
            <w:top w:val="none" w:sz="0" w:space="0" w:color="auto"/>
            <w:left w:val="none" w:sz="0" w:space="0" w:color="auto"/>
            <w:bottom w:val="none" w:sz="0" w:space="0" w:color="auto"/>
            <w:right w:val="none" w:sz="0" w:space="0" w:color="auto"/>
          </w:divBdr>
        </w:div>
        <w:div w:id="1949578686">
          <w:marLeft w:val="640"/>
          <w:marRight w:val="0"/>
          <w:marTop w:val="0"/>
          <w:marBottom w:val="0"/>
          <w:divBdr>
            <w:top w:val="none" w:sz="0" w:space="0" w:color="auto"/>
            <w:left w:val="none" w:sz="0" w:space="0" w:color="auto"/>
            <w:bottom w:val="none" w:sz="0" w:space="0" w:color="auto"/>
            <w:right w:val="none" w:sz="0" w:space="0" w:color="auto"/>
          </w:divBdr>
        </w:div>
        <w:div w:id="614334534">
          <w:marLeft w:val="640"/>
          <w:marRight w:val="0"/>
          <w:marTop w:val="0"/>
          <w:marBottom w:val="0"/>
          <w:divBdr>
            <w:top w:val="none" w:sz="0" w:space="0" w:color="auto"/>
            <w:left w:val="none" w:sz="0" w:space="0" w:color="auto"/>
            <w:bottom w:val="none" w:sz="0" w:space="0" w:color="auto"/>
            <w:right w:val="none" w:sz="0" w:space="0" w:color="auto"/>
          </w:divBdr>
        </w:div>
        <w:div w:id="1613827124">
          <w:marLeft w:val="640"/>
          <w:marRight w:val="0"/>
          <w:marTop w:val="0"/>
          <w:marBottom w:val="0"/>
          <w:divBdr>
            <w:top w:val="none" w:sz="0" w:space="0" w:color="auto"/>
            <w:left w:val="none" w:sz="0" w:space="0" w:color="auto"/>
            <w:bottom w:val="none" w:sz="0" w:space="0" w:color="auto"/>
            <w:right w:val="none" w:sz="0" w:space="0" w:color="auto"/>
          </w:divBdr>
        </w:div>
        <w:div w:id="77093871">
          <w:marLeft w:val="640"/>
          <w:marRight w:val="0"/>
          <w:marTop w:val="0"/>
          <w:marBottom w:val="0"/>
          <w:divBdr>
            <w:top w:val="none" w:sz="0" w:space="0" w:color="auto"/>
            <w:left w:val="none" w:sz="0" w:space="0" w:color="auto"/>
            <w:bottom w:val="none" w:sz="0" w:space="0" w:color="auto"/>
            <w:right w:val="none" w:sz="0" w:space="0" w:color="auto"/>
          </w:divBdr>
        </w:div>
        <w:div w:id="1558005399">
          <w:marLeft w:val="640"/>
          <w:marRight w:val="0"/>
          <w:marTop w:val="0"/>
          <w:marBottom w:val="0"/>
          <w:divBdr>
            <w:top w:val="none" w:sz="0" w:space="0" w:color="auto"/>
            <w:left w:val="none" w:sz="0" w:space="0" w:color="auto"/>
            <w:bottom w:val="none" w:sz="0" w:space="0" w:color="auto"/>
            <w:right w:val="none" w:sz="0" w:space="0" w:color="auto"/>
          </w:divBdr>
        </w:div>
        <w:div w:id="2131236809">
          <w:marLeft w:val="640"/>
          <w:marRight w:val="0"/>
          <w:marTop w:val="0"/>
          <w:marBottom w:val="0"/>
          <w:divBdr>
            <w:top w:val="none" w:sz="0" w:space="0" w:color="auto"/>
            <w:left w:val="none" w:sz="0" w:space="0" w:color="auto"/>
            <w:bottom w:val="none" w:sz="0" w:space="0" w:color="auto"/>
            <w:right w:val="none" w:sz="0" w:space="0" w:color="auto"/>
          </w:divBdr>
        </w:div>
        <w:div w:id="654722521">
          <w:marLeft w:val="640"/>
          <w:marRight w:val="0"/>
          <w:marTop w:val="0"/>
          <w:marBottom w:val="0"/>
          <w:divBdr>
            <w:top w:val="none" w:sz="0" w:space="0" w:color="auto"/>
            <w:left w:val="none" w:sz="0" w:space="0" w:color="auto"/>
            <w:bottom w:val="none" w:sz="0" w:space="0" w:color="auto"/>
            <w:right w:val="none" w:sz="0" w:space="0" w:color="auto"/>
          </w:divBdr>
        </w:div>
        <w:div w:id="1304314572">
          <w:marLeft w:val="640"/>
          <w:marRight w:val="0"/>
          <w:marTop w:val="0"/>
          <w:marBottom w:val="0"/>
          <w:divBdr>
            <w:top w:val="none" w:sz="0" w:space="0" w:color="auto"/>
            <w:left w:val="none" w:sz="0" w:space="0" w:color="auto"/>
            <w:bottom w:val="none" w:sz="0" w:space="0" w:color="auto"/>
            <w:right w:val="none" w:sz="0" w:space="0" w:color="auto"/>
          </w:divBdr>
        </w:div>
        <w:div w:id="1014302154">
          <w:marLeft w:val="640"/>
          <w:marRight w:val="0"/>
          <w:marTop w:val="0"/>
          <w:marBottom w:val="0"/>
          <w:divBdr>
            <w:top w:val="none" w:sz="0" w:space="0" w:color="auto"/>
            <w:left w:val="none" w:sz="0" w:space="0" w:color="auto"/>
            <w:bottom w:val="none" w:sz="0" w:space="0" w:color="auto"/>
            <w:right w:val="none" w:sz="0" w:space="0" w:color="auto"/>
          </w:divBdr>
        </w:div>
        <w:div w:id="807630819">
          <w:marLeft w:val="640"/>
          <w:marRight w:val="0"/>
          <w:marTop w:val="0"/>
          <w:marBottom w:val="0"/>
          <w:divBdr>
            <w:top w:val="none" w:sz="0" w:space="0" w:color="auto"/>
            <w:left w:val="none" w:sz="0" w:space="0" w:color="auto"/>
            <w:bottom w:val="none" w:sz="0" w:space="0" w:color="auto"/>
            <w:right w:val="none" w:sz="0" w:space="0" w:color="auto"/>
          </w:divBdr>
        </w:div>
        <w:div w:id="2065565838">
          <w:marLeft w:val="640"/>
          <w:marRight w:val="0"/>
          <w:marTop w:val="0"/>
          <w:marBottom w:val="0"/>
          <w:divBdr>
            <w:top w:val="none" w:sz="0" w:space="0" w:color="auto"/>
            <w:left w:val="none" w:sz="0" w:space="0" w:color="auto"/>
            <w:bottom w:val="none" w:sz="0" w:space="0" w:color="auto"/>
            <w:right w:val="none" w:sz="0" w:space="0" w:color="auto"/>
          </w:divBdr>
        </w:div>
        <w:div w:id="173886010">
          <w:marLeft w:val="640"/>
          <w:marRight w:val="0"/>
          <w:marTop w:val="0"/>
          <w:marBottom w:val="0"/>
          <w:divBdr>
            <w:top w:val="none" w:sz="0" w:space="0" w:color="auto"/>
            <w:left w:val="none" w:sz="0" w:space="0" w:color="auto"/>
            <w:bottom w:val="none" w:sz="0" w:space="0" w:color="auto"/>
            <w:right w:val="none" w:sz="0" w:space="0" w:color="auto"/>
          </w:divBdr>
        </w:div>
        <w:div w:id="710422121">
          <w:marLeft w:val="640"/>
          <w:marRight w:val="0"/>
          <w:marTop w:val="0"/>
          <w:marBottom w:val="0"/>
          <w:divBdr>
            <w:top w:val="none" w:sz="0" w:space="0" w:color="auto"/>
            <w:left w:val="none" w:sz="0" w:space="0" w:color="auto"/>
            <w:bottom w:val="none" w:sz="0" w:space="0" w:color="auto"/>
            <w:right w:val="none" w:sz="0" w:space="0" w:color="auto"/>
          </w:divBdr>
        </w:div>
        <w:div w:id="1681079679">
          <w:marLeft w:val="640"/>
          <w:marRight w:val="0"/>
          <w:marTop w:val="0"/>
          <w:marBottom w:val="0"/>
          <w:divBdr>
            <w:top w:val="none" w:sz="0" w:space="0" w:color="auto"/>
            <w:left w:val="none" w:sz="0" w:space="0" w:color="auto"/>
            <w:bottom w:val="none" w:sz="0" w:space="0" w:color="auto"/>
            <w:right w:val="none" w:sz="0" w:space="0" w:color="auto"/>
          </w:divBdr>
        </w:div>
        <w:div w:id="2104378798">
          <w:marLeft w:val="640"/>
          <w:marRight w:val="0"/>
          <w:marTop w:val="0"/>
          <w:marBottom w:val="0"/>
          <w:divBdr>
            <w:top w:val="none" w:sz="0" w:space="0" w:color="auto"/>
            <w:left w:val="none" w:sz="0" w:space="0" w:color="auto"/>
            <w:bottom w:val="none" w:sz="0" w:space="0" w:color="auto"/>
            <w:right w:val="none" w:sz="0" w:space="0" w:color="auto"/>
          </w:divBdr>
        </w:div>
        <w:div w:id="1046293051">
          <w:marLeft w:val="640"/>
          <w:marRight w:val="0"/>
          <w:marTop w:val="0"/>
          <w:marBottom w:val="0"/>
          <w:divBdr>
            <w:top w:val="none" w:sz="0" w:space="0" w:color="auto"/>
            <w:left w:val="none" w:sz="0" w:space="0" w:color="auto"/>
            <w:bottom w:val="none" w:sz="0" w:space="0" w:color="auto"/>
            <w:right w:val="none" w:sz="0" w:space="0" w:color="auto"/>
          </w:divBdr>
        </w:div>
        <w:div w:id="2110541998">
          <w:marLeft w:val="640"/>
          <w:marRight w:val="0"/>
          <w:marTop w:val="0"/>
          <w:marBottom w:val="0"/>
          <w:divBdr>
            <w:top w:val="none" w:sz="0" w:space="0" w:color="auto"/>
            <w:left w:val="none" w:sz="0" w:space="0" w:color="auto"/>
            <w:bottom w:val="none" w:sz="0" w:space="0" w:color="auto"/>
            <w:right w:val="none" w:sz="0" w:space="0" w:color="auto"/>
          </w:divBdr>
        </w:div>
        <w:div w:id="27722941">
          <w:marLeft w:val="640"/>
          <w:marRight w:val="0"/>
          <w:marTop w:val="0"/>
          <w:marBottom w:val="0"/>
          <w:divBdr>
            <w:top w:val="none" w:sz="0" w:space="0" w:color="auto"/>
            <w:left w:val="none" w:sz="0" w:space="0" w:color="auto"/>
            <w:bottom w:val="none" w:sz="0" w:space="0" w:color="auto"/>
            <w:right w:val="none" w:sz="0" w:space="0" w:color="auto"/>
          </w:divBdr>
        </w:div>
        <w:div w:id="49694658">
          <w:marLeft w:val="640"/>
          <w:marRight w:val="0"/>
          <w:marTop w:val="0"/>
          <w:marBottom w:val="0"/>
          <w:divBdr>
            <w:top w:val="none" w:sz="0" w:space="0" w:color="auto"/>
            <w:left w:val="none" w:sz="0" w:space="0" w:color="auto"/>
            <w:bottom w:val="none" w:sz="0" w:space="0" w:color="auto"/>
            <w:right w:val="none" w:sz="0" w:space="0" w:color="auto"/>
          </w:divBdr>
        </w:div>
        <w:div w:id="1175221575">
          <w:marLeft w:val="640"/>
          <w:marRight w:val="0"/>
          <w:marTop w:val="0"/>
          <w:marBottom w:val="0"/>
          <w:divBdr>
            <w:top w:val="none" w:sz="0" w:space="0" w:color="auto"/>
            <w:left w:val="none" w:sz="0" w:space="0" w:color="auto"/>
            <w:bottom w:val="none" w:sz="0" w:space="0" w:color="auto"/>
            <w:right w:val="none" w:sz="0" w:space="0" w:color="auto"/>
          </w:divBdr>
        </w:div>
        <w:div w:id="2112242227">
          <w:marLeft w:val="640"/>
          <w:marRight w:val="0"/>
          <w:marTop w:val="0"/>
          <w:marBottom w:val="0"/>
          <w:divBdr>
            <w:top w:val="none" w:sz="0" w:space="0" w:color="auto"/>
            <w:left w:val="none" w:sz="0" w:space="0" w:color="auto"/>
            <w:bottom w:val="none" w:sz="0" w:space="0" w:color="auto"/>
            <w:right w:val="none" w:sz="0" w:space="0" w:color="auto"/>
          </w:divBdr>
        </w:div>
        <w:div w:id="401491168">
          <w:marLeft w:val="640"/>
          <w:marRight w:val="0"/>
          <w:marTop w:val="0"/>
          <w:marBottom w:val="0"/>
          <w:divBdr>
            <w:top w:val="none" w:sz="0" w:space="0" w:color="auto"/>
            <w:left w:val="none" w:sz="0" w:space="0" w:color="auto"/>
            <w:bottom w:val="none" w:sz="0" w:space="0" w:color="auto"/>
            <w:right w:val="none" w:sz="0" w:space="0" w:color="auto"/>
          </w:divBdr>
        </w:div>
        <w:div w:id="1829518957">
          <w:marLeft w:val="640"/>
          <w:marRight w:val="0"/>
          <w:marTop w:val="0"/>
          <w:marBottom w:val="0"/>
          <w:divBdr>
            <w:top w:val="none" w:sz="0" w:space="0" w:color="auto"/>
            <w:left w:val="none" w:sz="0" w:space="0" w:color="auto"/>
            <w:bottom w:val="none" w:sz="0" w:space="0" w:color="auto"/>
            <w:right w:val="none" w:sz="0" w:space="0" w:color="auto"/>
          </w:divBdr>
        </w:div>
        <w:div w:id="277564898">
          <w:marLeft w:val="640"/>
          <w:marRight w:val="0"/>
          <w:marTop w:val="0"/>
          <w:marBottom w:val="0"/>
          <w:divBdr>
            <w:top w:val="none" w:sz="0" w:space="0" w:color="auto"/>
            <w:left w:val="none" w:sz="0" w:space="0" w:color="auto"/>
            <w:bottom w:val="none" w:sz="0" w:space="0" w:color="auto"/>
            <w:right w:val="none" w:sz="0" w:space="0" w:color="auto"/>
          </w:divBdr>
        </w:div>
        <w:div w:id="1373265127">
          <w:marLeft w:val="640"/>
          <w:marRight w:val="0"/>
          <w:marTop w:val="0"/>
          <w:marBottom w:val="0"/>
          <w:divBdr>
            <w:top w:val="none" w:sz="0" w:space="0" w:color="auto"/>
            <w:left w:val="none" w:sz="0" w:space="0" w:color="auto"/>
            <w:bottom w:val="none" w:sz="0" w:space="0" w:color="auto"/>
            <w:right w:val="none" w:sz="0" w:space="0" w:color="auto"/>
          </w:divBdr>
        </w:div>
        <w:div w:id="1276210096">
          <w:marLeft w:val="640"/>
          <w:marRight w:val="0"/>
          <w:marTop w:val="0"/>
          <w:marBottom w:val="0"/>
          <w:divBdr>
            <w:top w:val="none" w:sz="0" w:space="0" w:color="auto"/>
            <w:left w:val="none" w:sz="0" w:space="0" w:color="auto"/>
            <w:bottom w:val="none" w:sz="0" w:space="0" w:color="auto"/>
            <w:right w:val="none" w:sz="0" w:space="0" w:color="auto"/>
          </w:divBdr>
        </w:div>
        <w:div w:id="1054230417">
          <w:marLeft w:val="640"/>
          <w:marRight w:val="0"/>
          <w:marTop w:val="0"/>
          <w:marBottom w:val="0"/>
          <w:divBdr>
            <w:top w:val="none" w:sz="0" w:space="0" w:color="auto"/>
            <w:left w:val="none" w:sz="0" w:space="0" w:color="auto"/>
            <w:bottom w:val="none" w:sz="0" w:space="0" w:color="auto"/>
            <w:right w:val="none" w:sz="0" w:space="0" w:color="auto"/>
          </w:divBdr>
        </w:div>
        <w:div w:id="1816332438">
          <w:marLeft w:val="640"/>
          <w:marRight w:val="0"/>
          <w:marTop w:val="0"/>
          <w:marBottom w:val="0"/>
          <w:divBdr>
            <w:top w:val="none" w:sz="0" w:space="0" w:color="auto"/>
            <w:left w:val="none" w:sz="0" w:space="0" w:color="auto"/>
            <w:bottom w:val="none" w:sz="0" w:space="0" w:color="auto"/>
            <w:right w:val="none" w:sz="0" w:space="0" w:color="auto"/>
          </w:divBdr>
        </w:div>
        <w:div w:id="1834687016">
          <w:marLeft w:val="640"/>
          <w:marRight w:val="0"/>
          <w:marTop w:val="0"/>
          <w:marBottom w:val="0"/>
          <w:divBdr>
            <w:top w:val="none" w:sz="0" w:space="0" w:color="auto"/>
            <w:left w:val="none" w:sz="0" w:space="0" w:color="auto"/>
            <w:bottom w:val="none" w:sz="0" w:space="0" w:color="auto"/>
            <w:right w:val="none" w:sz="0" w:space="0" w:color="auto"/>
          </w:divBdr>
        </w:div>
        <w:div w:id="559097485">
          <w:marLeft w:val="640"/>
          <w:marRight w:val="0"/>
          <w:marTop w:val="0"/>
          <w:marBottom w:val="0"/>
          <w:divBdr>
            <w:top w:val="none" w:sz="0" w:space="0" w:color="auto"/>
            <w:left w:val="none" w:sz="0" w:space="0" w:color="auto"/>
            <w:bottom w:val="none" w:sz="0" w:space="0" w:color="auto"/>
            <w:right w:val="none" w:sz="0" w:space="0" w:color="auto"/>
          </w:divBdr>
        </w:div>
        <w:div w:id="505171294">
          <w:marLeft w:val="640"/>
          <w:marRight w:val="0"/>
          <w:marTop w:val="0"/>
          <w:marBottom w:val="0"/>
          <w:divBdr>
            <w:top w:val="none" w:sz="0" w:space="0" w:color="auto"/>
            <w:left w:val="none" w:sz="0" w:space="0" w:color="auto"/>
            <w:bottom w:val="none" w:sz="0" w:space="0" w:color="auto"/>
            <w:right w:val="none" w:sz="0" w:space="0" w:color="auto"/>
          </w:divBdr>
        </w:div>
        <w:div w:id="1712806493">
          <w:marLeft w:val="640"/>
          <w:marRight w:val="0"/>
          <w:marTop w:val="0"/>
          <w:marBottom w:val="0"/>
          <w:divBdr>
            <w:top w:val="none" w:sz="0" w:space="0" w:color="auto"/>
            <w:left w:val="none" w:sz="0" w:space="0" w:color="auto"/>
            <w:bottom w:val="none" w:sz="0" w:space="0" w:color="auto"/>
            <w:right w:val="none" w:sz="0" w:space="0" w:color="auto"/>
          </w:divBdr>
        </w:div>
        <w:div w:id="1495299208">
          <w:marLeft w:val="640"/>
          <w:marRight w:val="0"/>
          <w:marTop w:val="0"/>
          <w:marBottom w:val="0"/>
          <w:divBdr>
            <w:top w:val="none" w:sz="0" w:space="0" w:color="auto"/>
            <w:left w:val="none" w:sz="0" w:space="0" w:color="auto"/>
            <w:bottom w:val="none" w:sz="0" w:space="0" w:color="auto"/>
            <w:right w:val="none" w:sz="0" w:space="0" w:color="auto"/>
          </w:divBdr>
        </w:div>
        <w:div w:id="1329794334">
          <w:marLeft w:val="640"/>
          <w:marRight w:val="0"/>
          <w:marTop w:val="0"/>
          <w:marBottom w:val="0"/>
          <w:divBdr>
            <w:top w:val="none" w:sz="0" w:space="0" w:color="auto"/>
            <w:left w:val="none" w:sz="0" w:space="0" w:color="auto"/>
            <w:bottom w:val="none" w:sz="0" w:space="0" w:color="auto"/>
            <w:right w:val="none" w:sz="0" w:space="0" w:color="auto"/>
          </w:divBdr>
        </w:div>
        <w:div w:id="435101778">
          <w:marLeft w:val="640"/>
          <w:marRight w:val="0"/>
          <w:marTop w:val="0"/>
          <w:marBottom w:val="0"/>
          <w:divBdr>
            <w:top w:val="none" w:sz="0" w:space="0" w:color="auto"/>
            <w:left w:val="none" w:sz="0" w:space="0" w:color="auto"/>
            <w:bottom w:val="none" w:sz="0" w:space="0" w:color="auto"/>
            <w:right w:val="none" w:sz="0" w:space="0" w:color="auto"/>
          </w:divBdr>
        </w:div>
        <w:div w:id="1740667902">
          <w:marLeft w:val="640"/>
          <w:marRight w:val="0"/>
          <w:marTop w:val="0"/>
          <w:marBottom w:val="0"/>
          <w:divBdr>
            <w:top w:val="none" w:sz="0" w:space="0" w:color="auto"/>
            <w:left w:val="none" w:sz="0" w:space="0" w:color="auto"/>
            <w:bottom w:val="none" w:sz="0" w:space="0" w:color="auto"/>
            <w:right w:val="none" w:sz="0" w:space="0" w:color="auto"/>
          </w:divBdr>
        </w:div>
        <w:div w:id="1356225690">
          <w:marLeft w:val="640"/>
          <w:marRight w:val="0"/>
          <w:marTop w:val="0"/>
          <w:marBottom w:val="0"/>
          <w:divBdr>
            <w:top w:val="none" w:sz="0" w:space="0" w:color="auto"/>
            <w:left w:val="none" w:sz="0" w:space="0" w:color="auto"/>
            <w:bottom w:val="none" w:sz="0" w:space="0" w:color="auto"/>
            <w:right w:val="none" w:sz="0" w:space="0" w:color="auto"/>
          </w:divBdr>
        </w:div>
        <w:div w:id="1365400610">
          <w:marLeft w:val="640"/>
          <w:marRight w:val="0"/>
          <w:marTop w:val="0"/>
          <w:marBottom w:val="0"/>
          <w:divBdr>
            <w:top w:val="none" w:sz="0" w:space="0" w:color="auto"/>
            <w:left w:val="none" w:sz="0" w:space="0" w:color="auto"/>
            <w:bottom w:val="none" w:sz="0" w:space="0" w:color="auto"/>
            <w:right w:val="none" w:sz="0" w:space="0" w:color="auto"/>
          </w:divBdr>
        </w:div>
        <w:div w:id="1074352892">
          <w:marLeft w:val="640"/>
          <w:marRight w:val="0"/>
          <w:marTop w:val="0"/>
          <w:marBottom w:val="0"/>
          <w:divBdr>
            <w:top w:val="none" w:sz="0" w:space="0" w:color="auto"/>
            <w:left w:val="none" w:sz="0" w:space="0" w:color="auto"/>
            <w:bottom w:val="none" w:sz="0" w:space="0" w:color="auto"/>
            <w:right w:val="none" w:sz="0" w:space="0" w:color="auto"/>
          </w:divBdr>
        </w:div>
        <w:div w:id="642271670">
          <w:marLeft w:val="640"/>
          <w:marRight w:val="0"/>
          <w:marTop w:val="0"/>
          <w:marBottom w:val="0"/>
          <w:divBdr>
            <w:top w:val="none" w:sz="0" w:space="0" w:color="auto"/>
            <w:left w:val="none" w:sz="0" w:space="0" w:color="auto"/>
            <w:bottom w:val="none" w:sz="0" w:space="0" w:color="auto"/>
            <w:right w:val="none" w:sz="0" w:space="0" w:color="auto"/>
          </w:divBdr>
        </w:div>
        <w:div w:id="869805235">
          <w:marLeft w:val="640"/>
          <w:marRight w:val="0"/>
          <w:marTop w:val="0"/>
          <w:marBottom w:val="0"/>
          <w:divBdr>
            <w:top w:val="none" w:sz="0" w:space="0" w:color="auto"/>
            <w:left w:val="none" w:sz="0" w:space="0" w:color="auto"/>
            <w:bottom w:val="none" w:sz="0" w:space="0" w:color="auto"/>
            <w:right w:val="none" w:sz="0" w:space="0" w:color="auto"/>
          </w:divBdr>
        </w:div>
        <w:div w:id="1880124194">
          <w:marLeft w:val="640"/>
          <w:marRight w:val="0"/>
          <w:marTop w:val="0"/>
          <w:marBottom w:val="0"/>
          <w:divBdr>
            <w:top w:val="none" w:sz="0" w:space="0" w:color="auto"/>
            <w:left w:val="none" w:sz="0" w:space="0" w:color="auto"/>
            <w:bottom w:val="none" w:sz="0" w:space="0" w:color="auto"/>
            <w:right w:val="none" w:sz="0" w:space="0" w:color="auto"/>
          </w:divBdr>
        </w:div>
        <w:div w:id="1690176972">
          <w:marLeft w:val="640"/>
          <w:marRight w:val="0"/>
          <w:marTop w:val="0"/>
          <w:marBottom w:val="0"/>
          <w:divBdr>
            <w:top w:val="none" w:sz="0" w:space="0" w:color="auto"/>
            <w:left w:val="none" w:sz="0" w:space="0" w:color="auto"/>
            <w:bottom w:val="none" w:sz="0" w:space="0" w:color="auto"/>
            <w:right w:val="none" w:sz="0" w:space="0" w:color="auto"/>
          </w:divBdr>
        </w:div>
        <w:div w:id="946624441">
          <w:marLeft w:val="640"/>
          <w:marRight w:val="0"/>
          <w:marTop w:val="0"/>
          <w:marBottom w:val="0"/>
          <w:divBdr>
            <w:top w:val="none" w:sz="0" w:space="0" w:color="auto"/>
            <w:left w:val="none" w:sz="0" w:space="0" w:color="auto"/>
            <w:bottom w:val="none" w:sz="0" w:space="0" w:color="auto"/>
            <w:right w:val="none" w:sz="0" w:space="0" w:color="auto"/>
          </w:divBdr>
        </w:div>
        <w:div w:id="1414625612">
          <w:marLeft w:val="640"/>
          <w:marRight w:val="0"/>
          <w:marTop w:val="0"/>
          <w:marBottom w:val="0"/>
          <w:divBdr>
            <w:top w:val="none" w:sz="0" w:space="0" w:color="auto"/>
            <w:left w:val="none" w:sz="0" w:space="0" w:color="auto"/>
            <w:bottom w:val="none" w:sz="0" w:space="0" w:color="auto"/>
            <w:right w:val="none" w:sz="0" w:space="0" w:color="auto"/>
          </w:divBdr>
        </w:div>
        <w:div w:id="1909346084">
          <w:marLeft w:val="640"/>
          <w:marRight w:val="0"/>
          <w:marTop w:val="0"/>
          <w:marBottom w:val="0"/>
          <w:divBdr>
            <w:top w:val="none" w:sz="0" w:space="0" w:color="auto"/>
            <w:left w:val="none" w:sz="0" w:space="0" w:color="auto"/>
            <w:bottom w:val="none" w:sz="0" w:space="0" w:color="auto"/>
            <w:right w:val="none" w:sz="0" w:space="0" w:color="auto"/>
          </w:divBdr>
        </w:div>
        <w:div w:id="563564318">
          <w:marLeft w:val="640"/>
          <w:marRight w:val="0"/>
          <w:marTop w:val="0"/>
          <w:marBottom w:val="0"/>
          <w:divBdr>
            <w:top w:val="none" w:sz="0" w:space="0" w:color="auto"/>
            <w:left w:val="none" w:sz="0" w:space="0" w:color="auto"/>
            <w:bottom w:val="none" w:sz="0" w:space="0" w:color="auto"/>
            <w:right w:val="none" w:sz="0" w:space="0" w:color="auto"/>
          </w:divBdr>
        </w:div>
        <w:div w:id="1693335054">
          <w:marLeft w:val="640"/>
          <w:marRight w:val="0"/>
          <w:marTop w:val="0"/>
          <w:marBottom w:val="0"/>
          <w:divBdr>
            <w:top w:val="none" w:sz="0" w:space="0" w:color="auto"/>
            <w:left w:val="none" w:sz="0" w:space="0" w:color="auto"/>
            <w:bottom w:val="none" w:sz="0" w:space="0" w:color="auto"/>
            <w:right w:val="none" w:sz="0" w:space="0" w:color="auto"/>
          </w:divBdr>
        </w:div>
        <w:div w:id="67580175">
          <w:marLeft w:val="640"/>
          <w:marRight w:val="0"/>
          <w:marTop w:val="0"/>
          <w:marBottom w:val="0"/>
          <w:divBdr>
            <w:top w:val="none" w:sz="0" w:space="0" w:color="auto"/>
            <w:left w:val="none" w:sz="0" w:space="0" w:color="auto"/>
            <w:bottom w:val="none" w:sz="0" w:space="0" w:color="auto"/>
            <w:right w:val="none" w:sz="0" w:space="0" w:color="auto"/>
          </w:divBdr>
        </w:div>
        <w:div w:id="2089888971">
          <w:marLeft w:val="640"/>
          <w:marRight w:val="0"/>
          <w:marTop w:val="0"/>
          <w:marBottom w:val="0"/>
          <w:divBdr>
            <w:top w:val="none" w:sz="0" w:space="0" w:color="auto"/>
            <w:left w:val="none" w:sz="0" w:space="0" w:color="auto"/>
            <w:bottom w:val="none" w:sz="0" w:space="0" w:color="auto"/>
            <w:right w:val="none" w:sz="0" w:space="0" w:color="auto"/>
          </w:divBdr>
        </w:div>
        <w:div w:id="1847792373">
          <w:marLeft w:val="640"/>
          <w:marRight w:val="0"/>
          <w:marTop w:val="0"/>
          <w:marBottom w:val="0"/>
          <w:divBdr>
            <w:top w:val="none" w:sz="0" w:space="0" w:color="auto"/>
            <w:left w:val="none" w:sz="0" w:space="0" w:color="auto"/>
            <w:bottom w:val="none" w:sz="0" w:space="0" w:color="auto"/>
            <w:right w:val="none" w:sz="0" w:space="0" w:color="auto"/>
          </w:divBdr>
        </w:div>
        <w:div w:id="396780176">
          <w:marLeft w:val="640"/>
          <w:marRight w:val="0"/>
          <w:marTop w:val="0"/>
          <w:marBottom w:val="0"/>
          <w:divBdr>
            <w:top w:val="none" w:sz="0" w:space="0" w:color="auto"/>
            <w:left w:val="none" w:sz="0" w:space="0" w:color="auto"/>
            <w:bottom w:val="none" w:sz="0" w:space="0" w:color="auto"/>
            <w:right w:val="none" w:sz="0" w:space="0" w:color="auto"/>
          </w:divBdr>
        </w:div>
        <w:div w:id="1983389548">
          <w:marLeft w:val="640"/>
          <w:marRight w:val="0"/>
          <w:marTop w:val="0"/>
          <w:marBottom w:val="0"/>
          <w:divBdr>
            <w:top w:val="none" w:sz="0" w:space="0" w:color="auto"/>
            <w:left w:val="none" w:sz="0" w:space="0" w:color="auto"/>
            <w:bottom w:val="none" w:sz="0" w:space="0" w:color="auto"/>
            <w:right w:val="none" w:sz="0" w:space="0" w:color="auto"/>
          </w:divBdr>
        </w:div>
        <w:div w:id="593247444">
          <w:marLeft w:val="640"/>
          <w:marRight w:val="0"/>
          <w:marTop w:val="0"/>
          <w:marBottom w:val="0"/>
          <w:divBdr>
            <w:top w:val="none" w:sz="0" w:space="0" w:color="auto"/>
            <w:left w:val="none" w:sz="0" w:space="0" w:color="auto"/>
            <w:bottom w:val="none" w:sz="0" w:space="0" w:color="auto"/>
            <w:right w:val="none" w:sz="0" w:space="0" w:color="auto"/>
          </w:divBdr>
        </w:div>
        <w:div w:id="128714173">
          <w:marLeft w:val="640"/>
          <w:marRight w:val="0"/>
          <w:marTop w:val="0"/>
          <w:marBottom w:val="0"/>
          <w:divBdr>
            <w:top w:val="none" w:sz="0" w:space="0" w:color="auto"/>
            <w:left w:val="none" w:sz="0" w:space="0" w:color="auto"/>
            <w:bottom w:val="none" w:sz="0" w:space="0" w:color="auto"/>
            <w:right w:val="none" w:sz="0" w:space="0" w:color="auto"/>
          </w:divBdr>
        </w:div>
        <w:div w:id="12194642">
          <w:marLeft w:val="640"/>
          <w:marRight w:val="0"/>
          <w:marTop w:val="0"/>
          <w:marBottom w:val="0"/>
          <w:divBdr>
            <w:top w:val="none" w:sz="0" w:space="0" w:color="auto"/>
            <w:left w:val="none" w:sz="0" w:space="0" w:color="auto"/>
            <w:bottom w:val="none" w:sz="0" w:space="0" w:color="auto"/>
            <w:right w:val="none" w:sz="0" w:space="0" w:color="auto"/>
          </w:divBdr>
        </w:div>
        <w:div w:id="583147259">
          <w:marLeft w:val="640"/>
          <w:marRight w:val="0"/>
          <w:marTop w:val="0"/>
          <w:marBottom w:val="0"/>
          <w:divBdr>
            <w:top w:val="none" w:sz="0" w:space="0" w:color="auto"/>
            <w:left w:val="none" w:sz="0" w:space="0" w:color="auto"/>
            <w:bottom w:val="none" w:sz="0" w:space="0" w:color="auto"/>
            <w:right w:val="none" w:sz="0" w:space="0" w:color="auto"/>
          </w:divBdr>
        </w:div>
        <w:div w:id="475144770">
          <w:marLeft w:val="640"/>
          <w:marRight w:val="0"/>
          <w:marTop w:val="0"/>
          <w:marBottom w:val="0"/>
          <w:divBdr>
            <w:top w:val="none" w:sz="0" w:space="0" w:color="auto"/>
            <w:left w:val="none" w:sz="0" w:space="0" w:color="auto"/>
            <w:bottom w:val="none" w:sz="0" w:space="0" w:color="auto"/>
            <w:right w:val="none" w:sz="0" w:space="0" w:color="auto"/>
          </w:divBdr>
        </w:div>
        <w:div w:id="1801997349">
          <w:marLeft w:val="640"/>
          <w:marRight w:val="0"/>
          <w:marTop w:val="0"/>
          <w:marBottom w:val="0"/>
          <w:divBdr>
            <w:top w:val="none" w:sz="0" w:space="0" w:color="auto"/>
            <w:left w:val="none" w:sz="0" w:space="0" w:color="auto"/>
            <w:bottom w:val="none" w:sz="0" w:space="0" w:color="auto"/>
            <w:right w:val="none" w:sz="0" w:space="0" w:color="auto"/>
          </w:divBdr>
        </w:div>
        <w:div w:id="417095044">
          <w:marLeft w:val="640"/>
          <w:marRight w:val="0"/>
          <w:marTop w:val="0"/>
          <w:marBottom w:val="0"/>
          <w:divBdr>
            <w:top w:val="none" w:sz="0" w:space="0" w:color="auto"/>
            <w:left w:val="none" w:sz="0" w:space="0" w:color="auto"/>
            <w:bottom w:val="none" w:sz="0" w:space="0" w:color="auto"/>
            <w:right w:val="none" w:sz="0" w:space="0" w:color="auto"/>
          </w:divBdr>
        </w:div>
        <w:div w:id="313335080">
          <w:marLeft w:val="640"/>
          <w:marRight w:val="0"/>
          <w:marTop w:val="0"/>
          <w:marBottom w:val="0"/>
          <w:divBdr>
            <w:top w:val="none" w:sz="0" w:space="0" w:color="auto"/>
            <w:left w:val="none" w:sz="0" w:space="0" w:color="auto"/>
            <w:bottom w:val="none" w:sz="0" w:space="0" w:color="auto"/>
            <w:right w:val="none" w:sz="0" w:space="0" w:color="auto"/>
          </w:divBdr>
        </w:div>
        <w:div w:id="1559783991">
          <w:marLeft w:val="640"/>
          <w:marRight w:val="0"/>
          <w:marTop w:val="0"/>
          <w:marBottom w:val="0"/>
          <w:divBdr>
            <w:top w:val="none" w:sz="0" w:space="0" w:color="auto"/>
            <w:left w:val="none" w:sz="0" w:space="0" w:color="auto"/>
            <w:bottom w:val="none" w:sz="0" w:space="0" w:color="auto"/>
            <w:right w:val="none" w:sz="0" w:space="0" w:color="auto"/>
          </w:divBdr>
        </w:div>
        <w:div w:id="698047692">
          <w:marLeft w:val="640"/>
          <w:marRight w:val="0"/>
          <w:marTop w:val="0"/>
          <w:marBottom w:val="0"/>
          <w:divBdr>
            <w:top w:val="none" w:sz="0" w:space="0" w:color="auto"/>
            <w:left w:val="none" w:sz="0" w:space="0" w:color="auto"/>
            <w:bottom w:val="none" w:sz="0" w:space="0" w:color="auto"/>
            <w:right w:val="none" w:sz="0" w:space="0" w:color="auto"/>
          </w:divBdr>
        </w:div>
        <w:div w:id="1461605002">
          <w:marLeft w:val="640"/>
          <w:marRight w:val="0"/>
          <w:marTop w:val="0"/>
          <w:marBottom w:val="0"/>
          <w:divBdr>
            <w:top w:val="none" w:sz="0" w:space="0" w:color="auto"/>
            <w:left w:val="none" w:sz="0" w:space="0" w:color="auto"/>
            <w:bottom w:val="none" w:sz="0" w:space="0" w:color="auto"/>
            <w:right w:val="none" w:sz="0" w:space="0" w:color="auto"/>
          </w:divBdr>
        </w:div>
        <w:div w:id="345837854">
          <w:marLeft w:val="640"/>
          <w:marRight w:val="0"/>
          <w:marTop w:val="0"/>
          <w:marBottom w:val="0"/>
          <w:divBdr>
            <w:top w:val="none" w:sz="0" w:space="0" w:color="auto"/>
            <w:left w:val="none" w:sz="0" w:space="0" w:color="auto"/>
            <w:bottom w:val="none" w:sz="0" w:space="0" w:color="auto"/>
            <w:right w:val="none" w:sz="0" w:space="0" w:color="auto"/>
          </w:divBdr>
        </w:div>
        <w:div w:id="263001482">
          <w:marLeft w:val="640"/>
          <w:marRight w:val="0"/>
          <w:marTop w:val="0"/>
          <w:marBottom w:val="0"/>
          <w:divBdr>
            <w:top w:val="none" w:sz="0" w:space="0" w:color="auto"/>
            <w:left w:val="none" w:sz="0" w:space="0" w:color="auto"/>
            <w:bottom w:val="none" w:sz="0" w:space="0" w:color="auto"/>
            <w:right w:val="none" w:sz="0" w:space="0" w:color="auto"/>
          </w:divBdr>
        </w:div>
        <w:div w:id="776489856">
          <w:marLeft w:val="640"/>
          <w:marRight w:val="0"/>
          <w:marTop w:val="0"/>
          <w:marBottom w:val="0"/>
          <w:divBdr>
            <w:top w:val="none" w:sz="0" w:space="0" w:color="auto"/>
            <w:left w:val="none" w:sz="0" w:space="0" w:color="auto"/>
            <w:bottom w:val="none" w:sz="0" w:space="0" w:color="auto"/>
            <w:right w:val="none" w:sz="0" w:space="0" w:color="auto"/>
          </w:divBdr>
        </w:div>
        <w:div w:id="1571234294">
          <w:marLeft w:val="640"/>
          <w:marRight w:val="0"/>
          <w:marTop w:val="0"/>
          <w:marBottom w:val="0"/>
          <w:divBdr>
            <w:top w:val="none" w:sz="0" w:space="0" w:color="auto"/>
            <w:left w:val="none" w:sz="0" w:space="0" w:color="auto"/>
            <w:bottom w:val="none" w:sz="0" w:space="0" w:color="auto"/>
            <w:right w:val="none" w:sz="0" w:space="0" w:color="auto"/>
          </w:divBdr>
        </w:div>
        <w:div w:id="1107233655">
          <w:marLeft w:val="640"/>
          <w:marRight w:val="0"/>
          <w:marTop w:val="0"/>
          <w:marBottom w:val="0"/>
          <w:divBdr>
            <w:top w:val="none" w:sz="0" w:space="0" w:color="auto"/>
            <w:left w:val="none" w:sz="0" w:space="0" w:color="auto"/>
            <w:bottom w:val="none" w:sz="0" w:space="0" w:color="auto"/>
            <w:right w:val="none" w:sz="0" w:space="0" w:color="auto"/>
          </w:divBdr>
        </w:div>
        <w:div w:id="985205300">
          <w:marLeft w:val="640"/>
          <w:marRight w:val="0"/>
          <w:marTop w:val="0"/>
          <w:marBottom w:val="0"/>
          <w:divBdr>
            <w:top w:val="none" w:sz="0" w:space="0" w:color="auto"/>
            <w:left w:val="none" w:sz="0" w:space="0" w:color="auto"/>
            <w:bottom w:val="none" w:sz="0" w:space="0" w:color="auto"/>
            <w:right w:val="none" w:sz="0" w:space="0" w:color="auto"/>
          </w:divBdr>
        </w:div>
        <w:div w:id="810319176">
          <w:marLeft w:val="640"/>
          <w:marRight w:val="0"/>
          <w:marTop w:val="0"/>
          <w:marBottom w:val="0"/>
          <w:divBdr>
            <w:top w:val="none" w:sz="0" w:space="0" w:color="auto"/>
            <w:left w:val="none" w:sz="0" w:space="0" w:color="auto"/>
            <w:bottom w:val="none" w:sz="0" w:space="0" w:color="auto"/>
            <w:right w:val="none" w:sz="0" w:space="0" w:color="auto"/>
          </w:divBdr>
        </w:div>
        <w:div w:id="1937013485">
          <w:marLeft w:val="640"/>
          <w:marRight w:val="0"/>
          <w:marTop w:val="0"/>
          <w:marBottom w:val="0"/>
          <w:divBdr>
            <w:top w:val="none" w:sz="0" w:space="0" w:color="auto"/>
            <w:left w:val="none" w:sz="0" w:space="0" w:color="auto"/>
            <w:bottom w:val="none" w:sz="0" w:space="0" w:color="auto"/>
            <w:right w:val="none" w:sz="0" w:space="0" w:color="auto"/>
          </w:divBdr>
        </w:div>
        <w:div w:id="1663964438">
          <w:marLeft w:val="640"/>
          <w:marRight w:val="0"/>
          <w:marTop w:val="0"/>
          <w:marBottom w:val="0"/>
          <w:divBdr>
            <w:top w:val="none" w:sz="0" w:space="0" w:color="auto"/>
            <w:left w:val="none" w:sz="0" w:space="0" w:color="auto"/>
            <w:bottom w:val="none" w:sz="0" w:space="0" w:color="auto"/>
            <w:right w:val="none" w:sz="0" w:space="0" w:color="auto"/>
          </w:divBdr>
        </w:div>
        <w:div w:id="172455881">
          <w:marLeft w:val="640"/>
          <w:marRight w:val="0"/>
          <w:marTop w:val="0"/>
          <w:marBottom w:val="0"/>
          <w:divBdr>
            <w:top w:val="none" w:sz="0" w:space="0" w:color="auto"/>
            <w:left w:val="none" w:sz="0" w:space="0" w:color="auto"/>
            <w:bottom w:val="none" w:sz="0" w:space="0" w:color="auto"/>
            <w:right w:val="none" w:sz="0" w:space="0" w:color="auto"/>
          </w:divBdr>
        </w:div>
        <w:div w:id="1110859410">
          <w:marLeft w:val="640"/>
          <w:marRight w:val="0"/>
          <w:marTop w:val="0"/>
          <w:marBottom w:val="0"/>
          <w:divBdr>
            <w:top w:val="none" w:sz="0" w:space="0" w:color="auto"/>
            <w:left w:val="none" w:sz="0" w:space="0" w:color="auto"/>
            <w:bottom w:val="none" w:sz="0" w:space="0" w:color="auto"/>
            <w:right w:val="none" w:sz="0" w:space="0" w:color="auto"/>
          </w:divBdr>
        </w:div>
        <w:div w:id="676543896">
          <w:marLeft w:val="640"/>
          <w:marRight w:val="0"/>
          <w:marTop w:val="0"/>
          <w:marBottom w:val="0"/>
          <w:divBdr>
            <w:top w:val="none" w:sz="0" w:space="0" w:color="auto"/>
            <w:left w:val="none" w:sz="0" w:space="0" w:color="auto"/>
            <w:bottom w:val="none" w:sz="0" w:space="0" w:color="auto"/>
            <w:right w:val="none" w:sz="0" w:space="0" w:color="auto"/>
          </w:divBdr>
        </w:div>
        <w:div w:id="2000646537">
          <w:marLeft w:val="640"/>
          <w:marRight w:val="0"/>
          <w:marTop w:val="0"/>
          <w:marBottom w:val="0"/>
          <w:divBdr>
            <w:top w:val="none" w:sz="0" w:space="0" w:color="auto"/>
            <w:left w:val="none" w:sz="0" w:space="0" w:color="auto"/>
            <w:bottom w:val="none" w:sz="0" w:space="0" w:color="auto"/>
            <w:right w:val="none" w:sz="0" w:space="0" w:color="auto"/>
          </w:divBdr>
        </w:div>
        <w:div w:id="1474373575">
          <w:marLeft w:val="640"/>
          <w:marRight w:val="0"/>
          <w:marTop w:val="0"/>
          <w:marBottom w:val="0"/>
          <w:divBdr>
            <w:top w:val="none" w:sz="0" w:space="0" w:color="auto"/>
            <w:left w:val="none" w:sz="0" w:space="0" w:color="auto"/>
            <w:bottom w:val="none" w:sz="0" w:space="0" w:color="auto"/>
            <w:right w:val="none" w:sz="0" w:space="0" w:color="auto"/>
          </w:divBdr>
        </w:div>
        <w:div w:id="236791242">
          <w:marLeft w:val="640"/>
          <w:marRight w:val="0"/>
          <w:marTop w:val="0"/>
          <w:marBottom w:val="0"/>
          <w:divBdr>
            <w:top w:val="none" w:sz="0" w:space="0" w:color="auto"/>
            <w:left w:val="none" w:sz="0" w:space="0" w:color="auto"/>
            <w:bottom w:val="none" w:sz="0" w:space="0" w:color="auto"/>
            <w:right w:val="none" w:sz="0" w:space="0" w:color="auto"/>
          </w:divBdr>
        </w:div>
        <w:div w:id="1949195737">
          <w:marLeft w:val="640"/>
          <w:marRight w:val="0"/>
          <w:marTop w:val="0"/>
          <w:marBottom w:val="0"/>
          <w:divBdr>
            <w:top w:val="none" w:sz="0" w:space="0" w:color="auto"/>
            <w:left w:val="none" w:sz="0" w:space="0" w:color="auto"/>
            <w:bottom w:val="none" w:sz="0" w:space="0" w:color="auto"/>
            <w:right w:val="none" w:sz="0" w:space="0" w:color="auto"/>
          </w:divBdr>
        </w:div>
        <w:div w:id="1925069479">
          <w:marLeft w:val="640"/>
          <w:marRight w:val="0"/>
          <w:marTop w:val="0"/>
          <w:marBottom w:val="0"/>
          <w:divBdr>
            <w:top w:val="none" w:sz="0" w:space="0" w:color="auto"/>
            <w:left w:val="none" w:sz="0" w:space="0" w:color="auto"/>
            <w:bottom w:val="none" w:sz="0" w:space="0" w:color="auto"/>
            <w:right w:val="none" w:sz="0" w:space="0" w:color="auto"/>
          </w:divBdr>
        </w:div>
        <w:div w:id="383716342">
          <w:marLeft w:val="640"/>
          <w:marRight w:val="0"/>
          <w:marTop w:val="0"/>
          <w:marBottom w:val="0"/>
          <w:divBdr>
            <w:top w:val="none" w:sz="0" w:space="0" w:color="auto"/>
            <w:left w:val="none" w:sz="0" w:space="0" w:color="auto"/>
            <w:bottom w:val="none" w:sz="0" w:space="0" w:color="auto"/>
            <w:right w:val="none" w:sz="0" w:space="0" w:color="auto"/>
          </w:divBdr>
        </w:div>
        <w:div w:id="320085597">
          <w:marLeft w:val="640"/>
          <w:marRight w:val="0"/>
          <w:marTop w:val="0"/>
          <w:marBottom w:val="0"/>
          <w:divBdr>
            <w:top w:val="none" w:sz="0" w:space="0" w:color="auto"/>
            <w:left w:val="none" w:sz="0" w:space="0" w:color="auto"/>
            <w:bottom w:val="none" w:sz="0" w:space="0" w:color="auto"/>
            <w:right w:val="none" w:sz="0" w:space="0" w:color="auto"/>
          </w:divBdr>
        </w:div>
        <w:div w:id="1928539766">
          <w:marLeft w:val="640"/>
          <w:marRight w:val="0"/>
          <w:marTop w:val="0"/>
          <w:marBottom w:val="0"/>
          <w:divBdr>
            <w:top w:val="none" w:sz="0" w:space="0" w:color="auto"/>
            <w:left w:val="none" w:sz="0" w:space="0" w:color="auto"/>
            <w:bottom w:val="none" w:sz="0" w:space="0" w:color="auto"/>
            <w:right w:val="none" w:sz="0" w:space="0" w:color="auto"/>
          </w:divBdr>
        </w:div>
        <w:div w:id="654844554">
          <w:marLeft w:val="640"/>
          <w:marRight w:val="0"/>
          <w:marTop w:val="0"/>
          <w:marBottom w:val="0"/>
          <w:divBdr>
            <w:top w:val="none" w:sz="0" w:space="0" w:color="auto"/>
            <w:left w:val="none" w:sz="0" w:space="0" w:color="auto"/>
            <w:bottom w:val="none" w:sz="0" w:space="0" w:color="auto"/>
            <w:right w:val="none" w:sz="0" w:space="0" w:color="auto"/>
          </w:divBdr>
        </w:div>
        <w:div w:id="1743137864">
          <w:marLeft w:val="640"/>
          <w:marRight w:val="0"/>
          <w:marTop w:val="0"/>
          <w:marBottom w:val="0"/>
          <w:divBdr>
            <w:top w:val="none" w:sz="0" w:space="0" w:color="auto"/>
            <w:left w:val="none" w:sz="0" w:space="0" w:color="auto"/>
            <w:bottom w:val="none" w:sz="0" w:space="0" w:color="auto"/>
            <w:right w:val="none" w:sz="0" w:space="0" w:color="auto"/>
          </w:divBdr>
        </w:div>
        <w:div w:id="361708843">
          <w:marLeft w:val="640"/>
          <w:marRight w:val="0"/>
          <w:marTop w:val="0"/>
          <w:marBottom w:val="0"/>
          <w:divBdr>
            <w:top w:val="none" w:sz="0" w:space="0" w:color="auto"/>
            <w:left w:val="none" w:sz="0" w:space="0" w:color="auto"/>
            <w:bottom w:val="none" w:sz="0" w:space="0" w:color="auto"/>
            <w:right w:val="none" w:sz="0" w:space="0" w:color="auto"/>
          </w:divBdr>
        </w:div>
        <w:div w:id="129517575">
          <w:marLeft w:val="640"/>
          <w:marRight w:val="0"/>
          <w:marTop w:val="0"/>
          <w:marBottom w:val="0"/>
          <w:divBdr>
            <w:top w:val="none" w:sz="0" w:space="0" w:color="auto"/>
            <w:left w:val="none" w:sz="0" w:space="0" w:color="auto"/>
            <w:bottom w:val="none" w:sz="0" w:space="0" w:color="auto"/>
            <w:right w:val="none" w:sz="0" w:space="0" w:color="auto"/>
          </w:divBdr>
        </w:div>
        <w:div w:id="419261051">
          <w:marLeft w:val="640"/>
          <w:marRight w:val="0"/>
          <w:marTop w:val="0"/>
          <w:marBottom w:val="0"/>
          <w:divBdr>
            <w:top w:val="none" w:sz="0" w:space="0" w:color="auto"/>
            <w:left w:val="none" w:sz="0" w:space="0" w:color="auto"/>
            <w:bottom w:val="none" w:sz="0" w:space="0" w:color="auto"/>
            <w:right w:val="none" w:sz="0" w:space="0" w:color="auto"/>
          </w:divBdr>
        </w:div>
        <w:div w:id="1817992256">
          <w:marLeft w:val="640"/>
          <w:marRight w:val="0"/>
          <w:marTop w:val="0"/>
          <w:marBottom w:val="0"/>
          <w:divBdr>
            <w:top w:val="none" w:sz="0" w:space="0" w:color="auto"/>
            <w:left w:val="none" w:sz="0" w:space="0" w:color="auto"/>
            <w:bottom w:val="none" w:sz="0" w:space="0" w:color="auto"/>
            <w:right w:val="none" w:sz="0" w:space="0" w:color="auto"/>
          </w:divBdr>
        </w:div>
        <w:div w:id="1002126438">
          <w:marLeft w:val="640"/>
          <w:marRight w:val="0"/>
          <w:marTop w:val="0"/>
          <w:marBottom w:val="0"/>
          <w:divBdr>
            <w:top w:val="none" w:sz="0" w:space="0" w:color="auto"/>
            <w:left w:val="none" w:sz="0" w:space="0" w:color="auto"/>
            <w:bottom w:val="none" w:sz="0" w:space="0" w:color="auto"/>
            <w:right w:val="none" w:sz="0" w:space="0" w:color="auto"/>
          </w:divBdr>
        </w:div>
        <w:div w:id="746001986">
          <w:marLeft w:val="640"/>
          <w:marRight w:val="0"/>
          <w:marTop w:val="0"/>
          <w:marBottom w:val="0"/>
          <w:divBdr>
            <w:top w:val="none" w:sz="0" w:space="0" w:color="auto"/>
            <w:left w:val="none" w:sz="0" w:space="0" w:color="auto"/>
            <w:bottom w:val="none" w:sz="0" w:space="0" w:color="auto"/>
            <w:right w:val="none" w:sz="0" w:space="0" w:color="auto"/>
          </w:divBdr>
        </w:div>
        <w:div w:id="427310707">
          <w:marLeft w:val="640"/>
          <w:marRight w:val="0"/>
          <w:marTop w:val="0"/>
          <w:marBottom w:val="0"/>
          <w:divBdr>
            <w:top w:val="none" w:sz="0" w:space="0" w:color="auto"/>
            <w:left w:val="none" w:sz="0" w:space="0" w:color="auto"/>
            <w:bottom w:val="none" w:sz="0" w:space="0" w:color="auto"/>
            <w:right w:val="none" w:sz="0" w:space="0" w:color="auto"/>
          </w:divBdr>
        </w:div>
        <w:div w:id="440033895">
          <w:marLeft w:val="640"/>
          <w:marRight w:val="0"/>
          <w:marTop w:val="0"/>
          <w:marBottom w:val="0"/>
          <w:divBdr>
            <w:top w:val="none" w:sz="0" w:space="0" w:color="auto"/>
            <w:left w:val="none" w:sz="0" w:space="0" w:color="auto"/>
            <w:bottom w:val="none" w:sz="0" w:space="0" w:color="auto"/>
            <w:right w:val="none" w:sz="0" w:space="0" w:color="auto"/>
          </w:divBdr>
        </w:div>
        <w:div w:id="1956907705">
          <w:marLeft w:val="640"/>
          <w:marRight w:val="0"/>
          <w:marTop w:val="0"/>
          <w:marBottom w:val="0"/>
          <w:divBdr>
            <w:top w:val="none" w:sz="0" w:space="0" w:color="auto"/>
            <w:left w:val="none" w:sz="0" w:space="0" w:color="auto"/>
            <w:bottom w:val="none" w:sz="0" w:space="0" w:color="auto"/>
            <w:right w:val="none" w:sz="0" w:space="0" w:color="auto"/>
          </w:divBdr>
        </w:div>
        <w:div w:id="1411198450">
          <w:marLeft w:val="640"/>
          <w:marRight w:val="0"/>
          <w:marTop w:val="0"/>
          <w:marBottom w:val="0"/>
          <w:divBdr>
            <w:top w:val="none" w:sz="0" w:space="0" w:color="auto"/>
            <w:left w:val="none" w:sz="0" w:space="0" w:color="auto"/>
            <w:bottom w:val="none" w:sz="0" w:space="0" w:color="auto"/>
            <w:right w:val="none" w:sz="0" w:space="0" w:color="auto"/>
          </w:divBdr>
        </w:div>
        <w:div w:id="130632313">
          <w:marLeft w:val="640"/>
          <w:marRight w:val="0"/>
          <w:marTop w:val="0"/>
          <w:marBottom w:val="0"/>
          <w:divBdr>
            <w:top w:val="none" w:sz="0" w:space="0" w:color="auto"/>
            <w:left w:val="none" w:sz="0" w:space="0" w:color="auto"/>
            <w:bottom w:val="none" w:sz="0" w:space="0" w:color="auto"/>
            <w:right w:val="none" w:sz="0" w:space="0" w:color="auto"/>
          </w:divBdr>
        </w:div>
        <w:div w:id="1170681275">
          <w:marLeft w:val="640"/>
          <w:marRight w:val="0"/>
          <w:marTop w:val="0"/>
          <w:marBottom w:val="0"/>
          <w:divBdr>
            <w:top w:val="none" w:sz="0" w:space="0" w:color="auto"/>
            <w:left w:val="none" w:sz="0" w:space="0" w:color="auto"/>
            <w:bottom w:val="none" w:sz="0" w:space="0" w:color="auto"/>
            <w:right w:val="none" w:sz="0" w:space="0" w:color="auto"/>
          </w:divBdr>
        </w:div>
        <w:div w:id="1650984703">
          <w:marLeft w:val="640"/>
          <w:marRight w:val="0"/>
          <w:marTop w:val="0"/>
          <w:marBottom w:val="0"/>
          <w:divBdr>
            <w:top w:val="none" w:sz="0" w:space="0" w:color="auto"/>
            <w:left w:val="none" w:sz="0" w:space="0" w:color="auto"/>
            <w:bottom w:val="none" w:sz="0" w:space="0" w:color="auto"/>
            <w:right w:val="none" w:sz="0" w:space="0" w:color="auto"/>
          </w:divBdr>
        </w:div>
        <w:div w:id="1033919596">
          <w:marLeft w:val="640"/>
          <w:marRight w:val="0"/>
          <w:marTop w:val="0"/>
          <w:marBottom w:val="0"/>
          <w:divBdr>
            <w:top w:val="none" w:sz="0" w:space="0" w:color="auto"/>
            <w:left w:val="none" w:sz="0" w:space="0" w:color="auto"/>
            <w:bottom w:val="none" w:sz="0" w:space="0" w:color="auto"/>
            <w:right w:val="none" w:sz="0" w:space="0" w:color="auto"/>
          </w:divBdr>
        </w:div>
        <w:div w:id="1776516186">
          <w:marLeft w:val="640"/>
          <w:marRight w:val="0"/>
          <w:marTop w:val="0"/>
          <w:marBottom w:val="0"/>
          <w:divBdr>
            <w:top w:val="none" w:sz="0" w:space="0" w:color="auto"/>
            <w:left w:val="none" w:sz="0" w:space="0" w:color="auto"/>
            <w:bottom w:val="none" w:sz="0" w:space="0" w:color="auto"/>
            <w:right w:val="none" w:sz="0" w:space="0" w:color="auto"/>
          </w:divBdr>
        </w:div>
        <w:div w:id="1468084317">
          <w:marLeft w:val="640"/>
          <w:marRight w:val="0"/>
          <w:marTop w:val="0"/>
          <w:marBottom w:val="0"/>
          <w:divBdr>
            <w:top w:val="none" w:sz="0" w:space="0" w:color="auto"/>
            <w:left w:val="none" w:sz="0" w:space="0" w:color="auto"/>
            <w:bottom w:val="none" w:sz="0" w:space="0" w:color="auto"/>
            <w:right w:val="none" w:sz="0" w:space="0" w:color="auto"/>
          </w:divBdr>
        </w:div>
        <w:div w:id="1588923874">
          <w:marLeft w:val="640"/>
          <w:marRight w:val="0"/>
          <w:marTop w:val="0"/>
          <w:marBottom w:val="0"/>
          <w:divBdr>
            <w:top w:val="none" w:sz="0" w:space="0" w:color="auto"/>
            <w:left w:val="none" w:sz="0" w:space="0" w:color="auto"/>
            <w:bottom w:val="none" w:sz="0" w:space="0" w:color="auto"/>
            <w:right w:val="none" w:sz="0" w:space="0" w:color="auto"/>
          </w:divBdr>
        </w:div>
        <w:div w:id="1585185713">
          <w:marLeft w:val="640"/>
          <w:marRight w:val="0"/>
          <w:marTop w:val="0"/>
          <w:marBottom w:val="0"/>
          <w:divBdr>
            <w:top w:val="none" w:sz="0" w:space="0" w:color="auto"/>
            <w:left w:val="none" w:sz="0" w:space="0" w:color="auto"/>
            <w:bottom w:val="none" w:sz="0" w:space="0" w:color="auto"/>
            <w:right w:val="none" w:sz="0" w:space="0" w:color="auto"/>
          </w:divBdr>
        </w:div>
        <w:div w:id="1708337978">
          <w:marLeft w:val="640"/>
          <w:marRight w:val="0"/>
          <w:marTop w:val="0"/>
          <w:marBottom w:val="0"/>
          <w:divBdr>
            <w:top w:val="none" w:sz="0" w:space="0" w:color="auto"/>
            <w:left w:val="none" w:sz="0" w:space="0" w:color="auto"/>
            <w:bottom w:val="none" w:sz="0" w:space="0" w:color="auto"/>
            <w:right w:val="none" w:sz="0" w:space="0" w:color="auto"/>
          </w:divBdr>
        </w:div>
        <w:div w:id="13847675">
          <w:marLeft w:val="640"/>
          <w:marRight w:val="0"/>
          <w:marTop w:val="0"/>
          <w:marBottom w:val="0"/>
          <w:divBdr>
            <w:top w:val="none" w:sz="0" w:space="0" w:color="auto"/>
            <w:left w:val="none" w:sz="0" w:space="0" w:color="auto"/>
            <w:bottom w:val="none" w:sz="0" w:space="0" w:color="auto"/>
            <w:right w:val="none" w:sz="0" w:space="0" w:color="auto"/>
          </w:divBdr>
        </w:div>
        <w:div w:id="1990284961">
          <w:marLeft w:val="640"/>
          <w:marRight w:val="0"/>
          <w:marTop w:val="0"/>
          <w:marBottom w:val="0"/>
          <w:divBdr>
            <w:top w:val="none" w:sz="0" w:space="0" w:color="auto"/>
            <w:left w:val="none" w:sz="0" w:space="0" w:color="auto"/>
            <w:bottom w:val="none" w:sz="0" w:space="0" w:color="auto"/>
            <w:right w:val="none" w:sz="0" w:space="0" w:color="auto"/>
          </w:divBdr>
        </w:div>
        <w:div w:id="582302957">
          <w:marLeft w:val="640"/>
          <w:marRight w:val="0"/>
          <w:marTop w:val="0"/>
          <w:marBottom w:val="0"/>
          <w:divBdr>
            <w:top w:val="none" w:sz="0" w:space="0" w:color="auto"/>
            <w:left w:val="none" w:sz="0" w:space="0" w:color="auto"/>
            <w:bottom w:val="none" w:sz="0" w:space="0" w:color="auto"/>
            <w:right w:val="none" w:sz="0" w:space="0" w:color="auto"/>
          </w:divBdr>
        </w:div>
        <w:div w:id="1722441062">
          <w:marLeft w:val="640"/>
          <w:marRight w:val="0"/>
          <w:marTop w:val="0"/>
          <w:marBottom w:val="0"/>
          <w:divBdr>
            <w:top w:val="none" w:sz="0" w:space="0" w:color="auto"/>
            <w:left w:val="none" w:sz="0" w:space="0" w:color="auto"/>
            <w:bottom w:val="none" w:sz="0" w:space="0" w:color="auto"/>
            <w:right w:val="none" w:sz="0" w:space="0" w:color="auto"/>
          </w:divBdr>
        </w:div>
        <w:div w:id="440151339">
          <w:marLeft w:val="640"/>
          <w:marRight w:val="0"/>
          <w:marTop w:val="0"/>
          <w:marBottom w:val="0"/>
          <w:divBdr>
            <w:top w:val="none" w:sz="0" w:space="0" w:color="auto"/>
            <w:left w:val="none" w:sz="0" w:space="0" w:color="auto"/>
            <w:bottom w:val="none" w:sz="0" w:space="0" w:color="auto"/>
            <w:right w:val="none" w:sz="0" w:space="0" w:color="auto"/>
          </w:divBdr>
        </w:div>
        <w:div w:id="1695836744">
          <w:marLeft w:val="640"/>
          <w:marRight w:val="0"/>
          <w:marTop w:val="0"/>
          <w:marBottom w:val="0"/>
          <w:divBdr>
            <w:top w:val="none" w:sz="0" w:space="0" w:color="auto"/>
            <w:left w:val="none" w:sz="0" w:space="0" w:color="auto"/>
            <w:bottom w:val="none" w:sz="0" w:space="0" w:color="auto"/>
            <w:right w:val="none" w:sz="0" w:space="0" w:color="auto"/>
          </w:divBdr>
        </w:div>
        <w:div w:id="373967423">
          <w:marLeft w:val="640"/>
          <w:marRight w:val="0"/>
          <w:marTop w:val="0"/>
          <w:marBottom w:val="0"/>
          <w:divBdr>
            <w:top w:val="none" w:sz="0" w:space="0" w:color="auto"/>
            <w:left w:val="none" w:sz="0" w:space="0" w:color="auto"/>
            <w:bottom w:val="none" w:sz="0" w:space="0" w:color="auto"/>
            <w:right w:val="none" w:sz="0" w:space="0" w:color="auto"/>
          </w:divBdr>
        </w:div>
        <w:div w:id="1824739930">
          <w:marLeft w:val="640"/>
          <w:marRight w:val="0"/>
          <w:marTop w:val="0"/>
          <w:marBottom w:val="0"/>
          <w:divBdr>
            <w:top w:val="none" w:sz="0" w:space="0" w:color="auto"/>
            <w:left w:val="none" w:sz="0" w:space="0" w:color="auto"/>
            <w:bottom w:val="none" w:sz="0" w:space="0" w:color="auto"/>
            <w:right w:val="none" w:sz="0" w:space="0" w:color="auto"/>
          </w:divBdr>
        </w:div>
        <w:div w:id="970134531">
          <w:marLeft w:val="640"/>
          <w:marRight w:val="0"/>
          <w:marTop w:val="0"/>
          <w:marBottom w:val="0"/>
          <w:divBdr>
            <w:top w:val="none" w:sz="0" w:space="0" w:color="auto"/>
            <w:left w:val="none" w:sz="0" w:space="0" w:color="auto"/>
            <w:bottom w:val="none" w:sz="0" w:space="0" w:color="auto"/>
            <w:right w:val="none" w:sz="0" w:space="0" w:color="auto"/>
          </w:divBdr>
        </w:div>
        <w:div w:id="617757696">
          <w:marLeft w:val="640"/>
          <w:marRight w:val="0"/>
          <w:marTop w:val="0"/>
          <w:marBottom w:val="0"/>
          <w:divBdr>
            <w:top w:val="none" w:sz="0" w:space="0" w:color="auto"/>
            <w:left w:val="none" w:sz="0" w:space="0" w:color="auto"/>
            <w:bottom w:val="none" w:sz="0" w:space="0" w:color="auto"/>
            <w:right w:val="none" w:sz="0" w:space="0" w:color="auto"/>
          </w:divBdr>
        </w:div>
        <w:div w:id="855458757">
          <w:marLeft w:val="640"/>
          <w:marRight w:val="0"/>
          <w:marTop w:val="0"/>
          <w:marBottom w:val="0"/>
          <w:divBdr>
            <w:top w:val="none" w:sz="0" w:space="0" w:color="auto"/>
            <w:left w:val="none" w:sz="0" w:space="0" w:color="auto"/>
            <w:bottom w:val="none" w:sz="0" w:space="0" w:color="auto"/>
            <w:right w:val="none" w:sz="0" w:space="0" w:color="auto"/>
          </w:divBdr>
        </w:div>
        <w:div w:id="492449894">
          <w:marLeft w:val="640"/>
          <w:marRight w:val="0"/>
          <w:marTop w:val="0"/>
          <w:marBottom w:val="0"/>
          <w:divBdr>
            <w:top w:val="none" w:sz="0" w:space="0" w:color="auto"/>
            <w:left w:val="none" w:sz="0" w:space="0" w:color="auto"/>
            <w:bottom w:val="none" w:sz="0" w:space="0" w:color="auto"/>
            <w:right w:val="none" w:sz="0" w:space="0" w:color="auto"/>
          </w:divBdr>
        </w:div>
        <w:div w:id="710154154">
          <w:marLeft w:val="640"/>
          <w:marRight w:val="0"/>
          <w:marTop w:val="0"/>
          <w:marBottom w:val="0"/>
          <w:divBdr>
            <w:top w:val="none" w:sz="0" w:space="0" w:color="auto"/>
            <w:left w:val="none" w:sz="0" w:space="0" w:color="auto"/>
            <w:bottom w:val="none" w:sz="0" w:space="0" w:color="auto"/>
            <w:right w:val="none" w:sz="0" w:space="0" w:color="auto"/>
          </w:divBdr>
        </w:div>
        <w:div w:id="1353991731">
          <w:marLeft w:val="640"/>
          <w:marRight w:val="0"/>
          <w:marTop w:val="0"/>
          <w:marBottom w:val="0"/>
          <w:divBdr>
            <w:top w:val="none" w:sz="0" w:space="0" w:color="auto"/>
            <w:left w:val="none" w:sz="0" w:space="0" w:color="auto"/>
            <w:bottom w:val="none" w:sz="0" w:space="0" w:color="auto"/>
            <w:right w:val="none" w:sz="0" w:space="0" w:color="auto"/>
          </w:divBdr>
        </w:div>
        <w:div w:id="378362456">
          <w:marLeft w:val="640"/>
          <w:marRight w:val="0"/>
          <w:marTop w:val="0"/>
          <w:marBottom w:val="0"/>
          <w:divBdr>
            <w:top w:val="none" w:sz="0" w:space="0" w:color="auto"/>
            <w:left w:val="none" w:sz="0" w:space="0" w:color="auto"/>
            <w:bottom w:val="none" w:sz="0" w:space="0" w:color="auto"/>
            <w:right w:val="none" w:sz="0" w:space="0" w:color="auto"/>
          </w:divBdr>
        </w:div>
        <w:div w:id="1047100050">
          <w:marLeft w:val="640"/>
          <w:marRight w:val="0"/>
          <w:marTop w:val="0"/>
          <w:marBottom w:val="0"/>
          <w:divBdr>
            <w:top w:val="none" w:sz="0" w:space="0" w:color="auto"/>
            <w:left w:val="none" w:sz="0" w:space="0" w:color="auto"/>
            <w:bottom w:val="none" w:sz="0" w:space="0" w:color="auto"/>
            <w:right w:val="none" w:sz="0" w:space="0" w:color="auto"/>
          </w:divBdr>
        </w:div>
        <w:div w:id="561404828">
          <w:marLeft w:val="640"/>
          <w:marRight w:val="0"/>
          <w:marTop w:val="0"/>
          <w:marBottom w:val="0"/>
          <w:divBdr>
            <w:top w:val="none" w:sz="0" w:space="0" w:color="auto"/>
            <w:left w:val="none" w:sz="0" w:space="0" w:color="auto"/>
            <w:bottom w:val="none" w:sz="0" w:space="0" w:color="auto"/>
            <w:right w:val="none" w:sz="0" w:space="0" w:color="auto"/>
          </w:divBdr>
        </w:div>
        <w:div w:id="1188173958">
          <w:marLeft w:val="640"/>
          <w:marRight w:val="0"/>
          <w:marTop w:val="0"/>
          <w:marBottom w:val="0"/>
          <w:divBdr>
            <w:top w:val="none" w:sz="0" w:space="0" w:color="auto"/>
            <w:left w:val="none" w:sz="0" w:space="0" w:color="auto"/>
            <w:bottom w:val="none" w:sz="0" w:space="0" w:color="auto"/>
            <w:right w:val="none" w:sz="0" w:space="0" w:color="auto"/>
          </w:divBdr>
        </w:div>
        <w:div w:id="1917396130">
          <w:marLeft w:val="640"/>
          <w:marRight w:val="0"/>
          <w:marTop w:val="0"/>
          <w:marBottom w:val="0"/>
          <w:divBdr>
            <w:top w:val="none" w:sz="0" w:space="0" w:color="auto"/>
            <w:left w:val="none" w:sz="0" w:space="0" w:color="auto"/>
            <w:bottom w:val="none" w:sz="0" w:space="0" w:color="auto"/>
            <w:right w:val="none" w:sz="0" w:space="0" w:color="auto"/>
          </w:divBdr>
        </w:div>
        <w:div w:id="1997877296">
          <w:marLeft w:val="640"/>
          <w:marRight w:val="0"/>
          <w:marTop w:val="0"/>
          <w:marBottom w:val="0"/>
          <w:divBdr>
            <w:top w:val="none" w:sz="0" w:space="0" w:color="auto"/>
            <w:left w:val="none" w:sz="0" w:space="0" w:color="auto"/>
            <w:bottom w:val="none" w:sz="0" w:space="0" w:color="auto"/>
            <w:right w:val="none" w:sz="0" w:space="0" w:color="auto"/>
          </w:divBdr>
        </w:div>
        <w:div w:id="876356832">
          <w:marLeft w:val="640"/>
          <w:marRight w:val="0"/>
          <w:marTop w:val="0"/>
          <w:marBottom w:val="0"/>
          <w:divBdr>
            <w:top w:val="none" w:sz="0" w:space="0" w:color="auto"/>
            <w:left w:val="none" w:sz="0" w:space="0" w:color="auto"/>
            <w:bottom w:val="none" w:sz="0" w:space="0" w:color="auto"/>
            <w:right w:val="none" w:sz="0" w:space="0" w:color="auto"/>
          </w:divBdr>
        </w:div>
        <w:div w:id="1173643252">
          <w:marLeft w:val="640"/>
          <w:marRight w:val="0"/>
          <w:marTop w:val="0"/>
          <w:marBottom w:val="0"/>
          <w:divBdr>
            <w:top w:val="none" w:sz="0" w:space="0" w:color="auto"/>
            <w:left w:val="none" w:sz="0" w:space="0" w:color="auto"/>
            <w:bottom w:val="none" w:sz="0" w:space="0" w:color="auto"/>
            <w:right w:val="none" w:sz="0" w:space="0" w:color="auto"/>
          </w:divBdr>
        </w:div>
        <w:div w:id="688143880">
          <w:marLeft w:val="640"/>
          <w:marRight w:val="0"/>
          <w:marTop w:val="0"/>
          <w:marBottom w:val="0"/>
          <w:divBdr>
            <w:top w:val="none" w:sz="0" w:space="0" w:color="auto"/>
            <w:left w:val="none" w:sz="0" w:space="0" w:color="auto"/>
            <w:bottom w:val="none" w:sz="0" w:space="0" w:color="auto"/>
            <w:right w:val="none" w:sz="0" w:space="0" w:color="auto"/>
          </w:divBdr>
        </w:div>
        <w:div w:id="799499241">
          <w:marLeft w:val="640"/>
          <w:marRight w:val="0"/>
          <w:marTop w:val="0"/>
          <w:marBottom w:val="0"/>
          <w:divBdr>
            <w:top w:val="none" w:sz="0" w:space="0" w:color="auto"/>
            <w:left w:val="none" w:sz="0" w:space="0" w:color="auto"/>
            <w:bottom w:val="none" w:sz="0" w:space="0" w:color="auto"/>
            <w:right w:val="none" w:sz="0" w:space="0" w:color="auto"/>
          </w:divBdr>
        </w:div>
        <w:div w:id="1347710736">
          <w:marLeft w:val="640"/>
          <w:marRight w:val="0"/>
          <w:marTop w:val="0"/>
          <w:marBottom w:val="0"/>
          <w:divBdr>
            <w:top w:val="none" w:sz="0" w:space="0" w:color="auto"/>
            <w:left w:val="none" w:sz="0" w:space="0" w:color="auto"/>
            <w:bottom w:val="none" w:sz="0" w:space="0" w:color="auto"/>
            <w:right w:val="none" w:sz="0" w:space="0" w:color="auto"/>
          </w:divBdr>
        </w:div>
        <w:div w:id="1505627019">
          <w:marLeft w:val="640"/>
          <w:marRight w:val="0"/>
          <w:marTop w:val="0"/>
          <w:marBottom w:val="0"/>
          <w:divBdr>
            <w:top w:val="none" w:sz="0" w:space="0" w:color="auto"/>
            <w:left w:val="none" w:sz="0" w:space="0" w:color="auto"/>
            <w:bottom w:val="none" w:sz="0" w:space="0" w:color="auto"/>
            <w:right w:val="none" w:sz="0" w:space="0" w:color="auto"/>
          </w:divBdr>
        </w:div>
      </w:divsChild>
    </w:div>
    <w:div w:id="1545293547">
      <w:bodyDiv w:val="1"/>
      <w:marLeft w:val="0"/>
      <w:marRight w:val="0"/>
      <w:marTop w:val="0"/>
      <w:marBottom w:val="0"/>
      <w:divBdr>
        <w:top w:val="none" w:sz="0" w:space="0" w:color="auto"/>
        <w:left w:val="none" w:sz="0" w:space="0" w:color="auto"/>
        <w:bottom w:val="none" w:sz="0" w:space="0" w:color="auto"/>
        <w:right w:val="none" w:sz="0" w:space="0" w:color="auto"/>
      </w:divBdr>
      <w:divsChild>
        <w:div w:id="2012486299">
          <w:marLeft w:val="640"/>
          <w:marRight w:val="0"/>
          <w:marTop w:val="0"/>
          <w:marBottom w:val="0"/>
          <w:divBdr>
            <w:top w:val="none" w:sz="0" w:space="0" w:color="auto"/>
            <w:left w:val="none" w:sz="0" w:space="0" w:color="auto"/>
            <w:bottom w:val="none" w:sz="0" w:space="0" w:color="auto"/>
            <w:right w:val="none" w:sz="0" w:space="0" w:color="auto"/>
          </w:divBdr>
        </w:div>
        <w:div w:id="838229042">
          <w:marLeft w:val="640"/>
          <w:marRight w:val="0"/>
          <w:marTop w:val="0"/>
          <w:marBottom w:val="0"/>
          <w:divBdr>
            <w:top w:val="none" w:sz="0" w:space="0" w:color="auto"/>
            <w:left w:val="none" w:sz="0" w:space="0" w:color="auto"/>
            <w:bottom w:val="none" w:sz="0" w:space="0" w:color="auto"/>
            <w:right w:val="none" w:sz="0" w:space="0" w:color="auto"/>
          </w:divBdr>
        </w:div>
        <w:div w:id="2103604845">
          <w:marLeft w:val="640"/>
          <w:marRight w:val="0"/>
          <w:marTop w:val="0"/>
          <w:marBottom w:val="0"/>
          <w:divBdr>
            <w:top w:val="none" w:sz="0" w:space="0" w:color="auto"/>
            <w:left w:val="none" w:sz="0" w:space="0" w:color="auto"/>
            <w:bottom w:val="none" w:sz="0" w:space="0" w:color="auto"/>
            <w:right w:val="none" w:sz="0" w:space="0" w:color="auto"/>
          </w:divBdr>
        </w:div>
        <w:div w:id="189955637">
          <w:marLeft w:val="640"/>
          <w:marRight w:val="0"/>
          <w:marTop w:val="0"/>
          <w:marBottom w:val="0"/>
          <w:divBdr>
            <w:top w:val="none" w:sz="0" w:space="0" w:color="auto"/>
            <w:left w:val="none" w:sz="0" w:space="0" w:color="auto"/>
            <w:bottom w:val="none" w:sz="0" w:space="0" w:color="auto"/>
            <w:right w:val="none" w:sz="0" w:space="0" w:color="auto"/>
          </w:divBdr>
        </w:div>
        <w:div w:id="1584409316">
          <w:marLeft w:val="640"/>
          <w:marRight w:val="0"/>
          <w:marTop w:val="0"/>
          <w:marBottom w:val="0"/>
          <w:divBdr>
            <w:top w:val="none" w:sz="0" w:space="0" w:color="auto"/>
            <w:left w:val="none" w:sz="0" w:space="0" w:color="auto"/>
            <w:bottom w:val="none" w:sz="0" w:space="0" w:color="auto"/>
            <w:right w:val="none" w:sz="0" w:space="0" w:color="auto"/>
          </w:divBdr>
        </w:div>
        <w:div w:id="1767262493">
          <w:marLeft w:val="640"/>
          <w:marRight w:val="0"/>
          <w:marTop w:val="0"/>
          <w:marBottom w:val="0"/>
          <w:divBdr>
            <w:top w:val="none" w:sz="0" w:space="0" w:color="auto"/>
            <w:left w:val="none" w:sz="0" w:space="0" w:color="auto"/>
            <w:bottom w:val="none" w:sz="0" w:space="0" w:color="auto"/>
            <w:right w:val="none" w:sz="0" w:space="0" w:color="auto"/>
          </w:divBdr>
        </w:div>
        <w:div w:id="2015299976">
          <w:marLeft w:val="640"/>
          <w:marRight w:val="0"/>
          <w:marTop w:val="0"/>
          <w:marBottom w:val="0"/>
          <w:divBdr>
            <w:top w:val="none" w:sz="0" w:space="0" w:color="auto"/>
            <w:left w:val="none" w:sz="0" w:space="0" w:color="auto"/>
            <w:bottom w:val="none" w:sz="0" w:space="0" w:color="auto"/>
            <w:right w:val="none" w:sz="0" w:space="0" w:color="auto"/>
          </w:divBdr>
        </w:div>
        <w:div w:id="742262820">
          <w:marLeft w:val="640"/>
          <w:marRight w:val="0"/>
          <w:marTop w:val="0"/>
          <w:marBottom w:val="0"/>
          <w:divBdr>
            <w:top w:val="none" w:sz="0" w:space="0" w:color="auto"/>
            <w:left w:val="none" w:sz="0" w:space="0" w:color="auto"/>
            <w:bottom w:val="none" w:sz="0" w:space="0" w:color="auto"/>
            <w:right w:val="none" w:sz="0" w:space="0" w:color="auto"/>
          </w:divBdr>
        </w:div>
        <w:div w:id="337314043">
          <w:marLeft w:val="640"/>
          <w:marRight w:val="0"/>
          <w:marTop w:val="0"/>
          <w:marBottom w:val="0"/>
          <w:divBdr>
            <w:top w:val="none" w:sz="0" w:space="0" w:color="auto"/>
            <w:left w:val="none" w:sz="0" w:space="0" w:color="auto"/>
            <w:bottom w:val="none" w:sz="0" w:space="0" w:color="auto"/>
            <w:right w:val="none" w:sz="0" w:space="0" w:color="auto"/>
          </w:divBdr>
        </w:div>
        <w:div w:id="129321281">
          <w:marLeft w:val="640"/>
          <w:marRight w:val="0"/>
          <w:marTop w:val="0"/>
          <w:marBottom w:val="0"/>
          <w:divBdr>
            <w:top w:val="none" w:sz="0" w:space="0" w:color="auto"/>
            <w:left w:val="none" w:sz="0" w:space="0" w:color="auto"/>
            <w:bottom w:val="none" w:sz="0" w:space="0" w:color="auto"/>
            <w:right w:val="none" w:sz="0" w:space="0" w:color="auto"/>
          </w:divBdr>
        </w:div>
        <w:div w:id="1020471425">
          <w:marLeft w:val="640"/>
          <w:marRight w:val="0"/>
          <w:marTop w:val="0"/>
          <w:marBottom w:val="0"/>
          <w:divBdr>
            <w:top w:val="none" w:sz="0" w:space="0" w:color="auto"/>
            <w:left w:val="none" w:sz="0" w:space="0" w:color="auto"/>
            <w:bottom w:val="none" w:sz="0" w:space="0" w:color="auto"/>
            <w:right w:val="none" w:sz="0" w:space="0" w:color="auto"/>
          </w:divBdr>
        </w:div>
        <w:div w:id="1338851236">
          <w:marLeft w:val="640"/>
          <w:marRight w:val="0"/>
          <w:marTop w:val="0"/>
          <w:marBottom w:val="0"/>
          <w:divBdr>
            <w:top w:val="none" w:sz="0" w:space="0" w:color="auto"/>
            <w:left w:val="none" w:sz="0" w:space="0" w:color="auto"/>
            <w:bottom w:val="none" w:sz="0" w:space="0" w:color="auto"/>
            <w:right w:val="none" w:sz="0" w:space="0" w:color="auto"/>
          </w:divBdr>
        </w:div>
        <w:div w:id="1743020272">
          <w:marLeft w:val="640"/>
          <w:marRight w:val="0"/>
          <w:marTop w:val="0"/>
          <w:marBottom w:val="0"/>
          <w:divBdr>
            <w:top w:val="none" w:sz="0" w:space="0" w:color="auto"/>
            <w:left w:val="none" w:sz="0" w:space="0" w:color="auto"/>
            <w:bottom w:val="none" w:sz="0" w:space="0" w:color="auto"/>
            <w:right w:val="none" w:sz="0" w:space="0" w:color="auto"/>
          </w:divBdr>
        </w:div>
        <w:div w:id="424691241">
          <w:marLeft w:val="640"/>
          <w:marRight w:val="0"/>
          <w:marTop w:val="0"/>
          <w:marBottom w:val="0"/>
          <w:divBdr>
            <w:top w:val="none" w:sz="0" w:space="0" w:color="auto"/>
            <w:left w:val="none" w:sz="0" w:space="0" w:color="auto"/>
            <w:bottom w:val="none" w:sz="0" w:space="0" w:color="auto"/>
            <w:right w:val="none" w:sz="0" w:space="0" w:color="auto"/>
          </w:divBdr>
        </w:div>
        <w:div w:id="1913999351">
          <w:marLeft w:val="640"/>
          <w:marRight w:val="0"/>
          <w:marTop w:val="0"/>
          <w:marBottom w:val="0"/>
          <w:divBdr>
            <w:top w:val="none" w:sz="0" w:space="0" w:color="auto"/>
            <w:left w:val="none" w:sz="0" w:space="0" w:color="auto"/>
            <w:bottom w:val="none" w:sz="0" w:space="0" w:color="auto"/>
            <w:right w:val="none" w:sz="0" w:space="0" w:color="auto"/>
          </w:divBdr>
        </w:div>
        <w:div w:id="1240863925">
          <w:marLeft w:val="640"/>
          <w:marRight w:val="0"/>
          <w:marTop w:val="0"/>
          <w:marBottom w:val="0"/>
          <w:divBdr>
            <w:top w:val="none" w:sz="0" w:space="0" w:color="auto"/>
            <w:left w:val="none" w:sz="0" w:space="0" w:color="auto"/>
            <w:bottom w:val="none" w:sz="0" w:space="0" w:color="auto"/>
            <w:right w:val="none" w:sz="0" w:space="0" w:color="auto"/>
          </w:divBdr>
        </w:div>
        <w:div w:id="2080863115">
          <w:marLeft w:val="640"/>
          <w:marRight w:val="0"/>
          <w:marTop w:val="0"/>
          <w:marBottom w:val="0"/>
          <w:divBdr>
            <w:top w:val="none" w:sz="0" w:space="0" w:color="auto"/>
            <w:left w:val="none" w:sz="0" w:space="0" w:color="auto"/>
            <w:bottom w:val="none" w:sz="0" w:space="0" w:color="auto"/>
            <w:right w:val="none" w:sz="0" w:space="0" w:color="auto"/>
          </w:divBdr>
        </w:div>
        <w:div w:id="708602241">
          <w:marLeft w:val="640"/>
          <w:marRight w:val="0"/>
          <w:marTop w:val="0"/>
          <w:marBottom w:val="0"/>
          <w:divBdr>
            <w:top w:val="none" w:sz="0" w:space="0" w:color="auto"/>
            <w:left w:val="none" w:sz="0" w:space="0" w:color="auto"/>
            <w:bottom w:val="none" w:sz="0" w:space="0" w:color="auto"/>
            <w:right w:val="none" w:sz="0" w:space="0" w:color="auto"/>
          </w:divBdr>
        </w:div>
        <w:div w:id="681856353">
          <w:marLeft w:val="640"/>
          <w:marRight w:val="0"/>
          <w:marTop w:val="0"/>
          <w:marBottom w:val="0"/>
          <w:divBdr>
            <w:top w:val="none" w:sz="0" w:space="0" w:color="auto"/>
            <w:left w:val="none" w:sz="0" w:space="0" w:color="auto"/>
            <w:bottom w:val="none" w:sz="0" w:space="0" w:color="auto"/>
            <w:right w:val="none" w:sz="0" w:space="0" w:color="auto"/>
          </w:divBdr>
        </w:div>
        <w:div w:id="297105162">
          <w:marLeft w:val="640"/>
          <w:marRight w:val="0"/>
          <w:marTop w:val="0"/>
          <w:marBottom w:val="0"/>
          <w:divBdr>
            <w:top w:val="none" w:sz="0" w:space="0" w:color="auto"/>
            <w:left w:val="none" w:sz="0" w:space="0" w:color="auto"/>
            <w:bottom w:val="none" w:sz="0" w:space="0" w:color="auto"/>
            <w:right w:val="none" w:sz="0" w:space="0" w:color="auto"/>
          </w:divBdr>
        </w:div>
        <w:div w:id="463734288">
          <w:marLeft w:val="640"/>
          <w:marRight w:val="0"/>
          <w:marTop w:val="0"/>
          <w:marBottom w:val="0"/>
          <w:divBdr>
            <w:top w:val="none" w:sz="0" w:space="0" w:color="auto"/>
            <w:left w:val="none" w:sz="0" w:space="0" w:color="auto"/>
            <w:bottom w:val="none" w:sz="0" w:space="0" w:color="auto"/>
            <w:right w:val="none" w:sz="0" w:space="0" w:color="auto"/>
          </w:divBdr>
        </w:div>
        <w:div w:id="1138960750">
          <w:marLeft w:val="640"/>
          <w:marRight w:val="0"/>
          <w:marTop w:val="0"/>
          <w:marBottom w:val="0"/>
          <w:divBdr>
            <w:top w:val="none" w:sz="0" w:space="0" w:color="auto"/>
            <w:left w:val="none" w:sz="0" w:space="0" w:color="auto"/>
            <w:bottom w:val="none" w:sz="0" w:space="0" w:color="auto"/>
            <w:right w:val="none" w:sz="0" w:space="0" w:color="auto"/>
          </w:divBdr>
        </w:div>
        <w:div w:id="1841113936">
          <w:marLeft w:val="640"/>
          <w:marRight w:val="0"/>
          <w:marTop w:val="0"/>
          <w:marBottom w:val="0"/>
          <w:divBdr>
            <w:top w:val="none" w:sz="0" w:space="0" w:color="auto"/>
            <w:left w:val="none" w:sz="0" w:space="0" w:color="auto"/>
            <w:bottom w:val="none" w:sz="0" w:space="0" w:color="auto"/>
            <w:right w:val="none" w:sz="0" w:space="0" w:color="auto"/>
          </w:divBdr>
        </w:div>
        <w:div w:id="2033341918">
          <w:marLeft w:val="640"/>
          <w:marRight w:val="0"/>
          <w:marTop w:val="0"/>
          <w:marBottom w:val="0"/>
          <w:divBdr>
            <w:top w:val="none" w:sz="0" w:space="0" w:color="auto"/>
            <w:left w:val="none" w:sz="0" w:space="0" w:color="auto"/>
            <w:bottom w:val="none" w:sz="0" w:space="0" w:color="auto"/>
            <w:right w:val="none" w:sz="0" w:space="0" w:color="auto"/>
          </w:divBdr>
        </w:div>
        <w:div w:id="744883341">
          <w:marLeft w:val="640"/>
          <w:marRight w:val="0"/>
          <w:marTop w:val="0"/>
          <w:marBottom w:val="0"/>
          <w:divBdr>
            <w:top w:val="none" w:sz="0" w:space="0" w:color="auto"/>
            <w:left w:val="none" w:sz="0" w:space="0" w:color="auto"/>
            <w:bottom w:val="none" w:sz="0" w:space="0" w:color="auto"/>
            <w:right w:val="none" w:sz="0" w:space="0" w:color="auto"/>
          </w:divBdr>
        </w:div>
        <w:div w:id="34889022">
          <w:marLeft w:val="640"/>
          <w:marRight w:val="0"/>
          <w:marTop w:val="0"/>
          <w:marBottom w:val="0"/>
          <w:divBdr>
            <w:top w:val="none" w:sz="0" w:space="0" w:color="auto"/>
            <w:left w:val="none" w:sz="0" w:space="0" w:color="auto"/>
            <w:bottom w:val="none" w:sz="0" w:space="0" w:color="auto"/>
            <w:right w:val="none" w:sz="0" w:space="0" w:color="auto"/>
          </w:divBdr>
        </w:div>
        <w:div w:id="533419436">
          <w:marLeft w:val="640"/>
          <w:marRight w:val="0"/>
          <w:marTop w:val="0"/>
          <w:marBottom w:val="0"/>
          <w:divBdr>
            <w:top w:val="none" w:sz="0" w:space="0" w:color="auto"/>
            <w:left w:val="none" w:sz="0" w:space="0" w:color="auto"/>
            <w:bottom w:val="none" w:sz="0" w:space="0" w:color="auto"/>
            <w:right w:val="none" w:sz="0" w:space="0" w:color="auto"/>
          </w:divBdr>
        </w:div>
        <w:div w:id="231619259">
          <w:marLeft w:val="640"/>
          <w:marRight w:val="0"/>
          <w:marTop w:val="0"/>
          <w:marBottom w:val="0"/>
          <w:divBdr>
            <w:top w:val="none" w:sz="0" w:space="0" w:color="auto"/>
            <w:left w:val="none" w:sz="0" w:space="0" w:color="auto"/>
            <w:bottom w:val="none" w:sz="0" w:space="0" w:color="auto"/>
            <w:right w:val="none" w:sz="0" w:space="0" w:color="auto"/>
          </w:divBdr>
        </w:div>
        <w:div w:id="1797020868">
          <w:marLeft w:val="640"/>
          <w:marRight w:val="0"/>
          <w:marTop w:val="0"/>
          <w:marBottom w:val="0"/>
          <w:divBdr>
            <w:top w:val="none" w:sz="0" w:space="0" w:color="auto"/>
            <w:left w:val="none" w:sz="0" w:space="0" w:color="auto"/>
            <w:bottom w:val="none" w:sz="0" w:space="0" w:color="auto"/>
            <w:right w:val="none" w:sz="0" w:space="0" w:color="auto"/>
          </w:divBdr>
        </w:div>
        <w:div w:id="1373844661">
          <w:marLeft w:val="640"/>
          <w:marRight w:val="0"/>
          <w:marTop w:val="0"/>
          <w:marBottom w:val="0"/>
          <w:divBdr>
            <w:top w:val="none" w:sz="0" w:space="0" w:color="auto"/>
            <w:left w:val="none" w:sz="0" w:space="0" w:color="auto"/>
            <w:bottom w:val="none" w:sz="0" w:space="0" w:color="auto"/>
            <w:right w:val="none" w:sz="0" w:space="0" w:color="auto"/>
          </w:divBdr>
        </w:div>
        <w:div w:id="269818646">
          <w:marLeft w:val="640"/>
          <w:marRight w:val="0"/>
          <w:marTop w:val="0"/>
          <w:marBottom w:val="0"/>
          <w:divBdr>
            <w:top w:val="none" w:sz="0" w:space="0" w:color="auto"/>
            <w:left w:val="none" w:sz="0" w:space="0" w:color="auto"/>
            <w:bottom w:val="none" w:sz="0" w:space="0" w:color="auto"/>
            <w:right w:val="none" w:sz="0" w:space="0" w:color="auto"/>
          </w:divBdr>
        </w:div>
        <w:div w:id="646787344">
          <w:marLeft w:val="640"/>
          <w:marRight w:val="0"/>
          <w:marTop w:val="0"/>
          <w:marBottom w:val="0"/>
          <w:divBdr>
            <w:top w:val="none" w:sz="0" w:space="0" w:color="auto"/>
            <w:left w:val="none" w:sz="0" w:space="0" w:color="auto"/>
            <w:bottom w:val="none" w:sz="0" w:space="0" w:color="auto"/>
            <w:right w:val="none" w:sz="0" w:space="0" w:color="auto"/>
          </w:divBdr>
        </w:div>
        <w:div w:id="545025333">
          <w:marLeft w:val="640"/>
          <w:marRight w:val="0"/>
          <w:marTop w:val="0"/>
          <w:marBottom w:val="0"/>
          <w:divBdr>
            <w:top w:val="none" w:sz="0" w:space="0" w:color="auto"/>
            <w:left w:val="none" w:sz="0" w:space="0" w:color="auto"/>
            <w:bottom w:val="none" w:sz="0" w:space="0" w:color="auto"/>
            <w:right w:val="none" w:sz="0" w:space="0" w:color="auto"/>
          </w:divBdr>
        </w:div>
        <w:div w:id="1678115096">
          <w:marLeft w:val="640"/>
          <w:marRight w:val="0"/>
          <w:marTop w:val="0"/>
          <w:marBottom w:val="0"/>
          <w:divBdr>
            <w:top w:val="none" w:sz="0" w:space="0" w:color="auto"/>
            <w:left w:val="none" w:sz="0" w:space="0" w:color="auto"/>
            <w:bottom w:val="none" w:sz="0" w:space="0" w:color="auto"/>
            <w:right w:val="none" w:sz="0" w:space="0" w:color="auto"/>
          </w:divBdr>
        </w:div>
        <w:div w:id="544833495">
          <w:marLeft w:val="640"/>
          <w:marRight w:val="0"/>
          <w:marTop w:val="0"/>
          <w:marBottom w:val="0"/>
          <w:divBdr>
            <w:top w:val="none" w:sz="0" w:space="0" w:color="auto"/>
            <w:left w:val="none" w:sz="0" w:space="0" w:color="auto"/>
            <w:bottom w:val="none" w:sz="0" w:space="0" w:color="auto"/>
            <w:right w:val="none" w:sz="0" w:space="0" w:color="auto"/>
          </w:divBdr>
        </w:div>
        <w:div w:id="1417169136">
          <w:marLeft w:val="640"/>
          <w:marRight w:val="0"/>
          <w:marTop w:val="0"/>
          <w:marBottom w:val="0"/>
          <w:divBdr>
            <w:top w:val="none" w:sz="0" w:space="0" w:color="auto"/>
            <w:left w:val="none" w:sz="0" w:space="0" w:color="auto"/>
            <w:bottom w:val="none" w:sz="0" w:space="0" w:color="auto"/>
            <w:right w:val="none" w:sz="0" w:space="0" w:color="auto"/>
          </w:divBdr>
        </w:div>
        <w:div w:id="348723297">
          <w:marLeft w:val="640"/>
          <w:marRight w:val="0"/>
          <w:marTop w:val="0"/>
          <w:marBottom w:val="0"/>
          <w:divBdr>
            <w:top w:val="none" w:sz="0" w:space="0" w:color="auto"/>
            <w:left w:val="none" w:sz="0" w:space="0" w:color="auto"/>
            <w:bottom w:val="none" w:sz="0" w:space="0" w:color="auto"/>
            <w:right w:val="none" w:sz="0" w:space="0" w:color="auto"/>
          </w:divBdr>
        </w:div>
        <w:div w:id="1708488046">
          <w:marLeft w:val="640"/>
          <w:marRight w:val="0"/>
          <w:marTop w:val="0"/>
          <w:marBottom w:val="0"/>
          <w:divBdr>
            <w:top w:val="none" w:sz="0" w:space="0" w:color="auto"/>
            <w:left w:val="none" w:sz="0" w:space="0" w:color="auto"/>
            <w:bottom w:val="none" w:sz="0" w:space="0" w:color="auto"/>
            <w:right w:val="none" w:sz="0" w:space="0" w:color="auto"/>
          </w:divBdr>
        </w:div>
        <w:div w:id="1878200693">
          <w:marLeft w:val="640"/>
          <w:marRight w:val="0"/>
          <w:marTop w:val="0"/>
          <w:marBottom w:val="0"/>
          <w:divBdr>
            <w:top w:val="none" w:sz="0" w:space="0" w:color="auto"/>
            <w:left w:val="none" w:sz="0" w:space="0" w:color="auto"/>
            <w:bottom w:val="none" w:sz="0" w:space="0" w:color="auto"/>
            <w:right w:val="none" w:sz="0" w:space="0" w:color="auto"/>
          </w:divBdr>
        </w:div>
        <w:div w:id="330377274">
          <w:marLeft w:val="640"/>
          <w:marRight w:val="0"/>
          <w:marTop w:val="0"/>
          <w:marBottom w:val="0"/>
          <w:divBdr>
            <w:top w:val="none" w:sz="0" w:space="0" w:color="auto"/>
            <w:left w:val="none" w:sz="0" w:space="0" w:color="auto"/>
            <w:bottom w:val="none" w:sz="0" w:space="0" w:color="auto"/>
            <w:right w:val="none" w:sz="0" w:space="0" w:color="auto"/>
          </w:divBdr>
        </w:div>
        <w:div w:id="922834238">
          <w:marLeft w:val="640"/>
          <w:marRight w:val="0"/>
          <w:marTop w:val="0"/>
          <w:marBottom w:val="0"/>
          <w:divBdr>
            <w:top w:val="none" w:sz="0" w:space="0" w:color="auto"/>
            <w:left w:val="none" w:sz="0" w:space="0" w:color="auto"/>
            <w:bottom w:val="none" w:sz="0" w:space="0" w:color="auto"/>
            <w:right w:val="none" w:sz="0" w:space="0" w:color="auto"/>
          </w:divBdr>
        </w:div>
        <w:div w:id="972903320">
          <w:marLeft w:val="640"/>
          <w:marRight w:val="0"/>
          <w:marTop w:val="0"/>
          <w:marBottom w:val="0"/>
          <w:divBdr>
            <w:top w:val="none" w:sz="0" w:space="0" w:color="auto"/>
            <w:left w:val="none" w:sz="0" w:space="0" w:color="auto"/>
            <w:bottom w:val="none" w:sz="0" w:space="0" w:color="auto"/>
            <w:right w:val="none" w:sz="0" w:space="0" w:color="auto"/>
          </w:divBdr>
        </w:div>
        <w:div w:id="2136561717">
          <w:marLeft w:val="640"/>
          <w:marRight w:val="0"/>
          <w:marTop w:val="0"/>
          <w:marBottom w:val="0"/>
          <w:divBdr>
            <w:top w:val="none" w:sz="0" w:space="0" w:color="auto"/>
            <w:left w:val="none" w:sz="0" w:space="0" w:color="auto"/>
            <w:bottom w:val="none" w:sz="0" w:space="0" w:color="auto"/>
            <w:right w:val="none" w:sz="0" w:space="0" w:color="auto"/>
          </w:divBdr>
        </w:div>
        <w:div w:id="1183520628">
          <w:marLeft w:val="640"/>
          <w:marRight w:val="0"/>
          <w:marTop w:val="0"/>
          <w:marBottom w:val="0"/>
          <w:divBdr>
            <w:top w:val="none" w:sz="0" w:space="0" w:color="auto"/>
            <w:left w:val="none" w:sz="0" w:space="0" w:color="auto"/>
            <w:bottom w:val="none" w:sz="0" w:space="0" w:color="auto"/>
            <w:right w:val="none" w:sz="0" w:space="0" w:color="auto"/>
          </w:divBdr>
        </w:div>
        <w:div w:id="730888917">
          <w:marLeft w:val="640"/>
          <w:marRight w:val="0"/>
          <w:marTop w:val="0"/>
          <w:marBottom w:val="0"/>
          <w:divBdr>
            <w:top w:val="none" w:sz="0" w:space="0" w:color="auto"/>
            <w:left w:val="none" w:sz="0" w:space="0" w:color="auto"/>
            <w:bottom w:val="none" w:sz="0" w:space="0" w:color="auto"/>
            <w:right w:val="none" w:sz="0" w:space="0" w:color="auto"/>
          </w:divBdr>
        </w:div>
        <w:div w:id="1320420145">
          <w:marLeft w:val="640"/>
          <w:marRight w:val="0"/>
          <w:marTop w:val="0"/>
          <w:marBottom w:val="0"/>
          <w:divBdr>
            <w:top w:val="none" w:sz="0" w:space="0" w:color="auto"/>
            <w:left w:val="none" w:sz="0" w:space="0" w:color="auto"/>
            <w:bottom w:val="none" w:sz="0" w:space="0" w:color="auto"/>
            <w:right w:val="none" w:sz="0" w:space="0" w:color="auto"/>
          </w:divBdr>
        </w:div>
        <w:div w:id="174464935">
          <w:marLeft w:val="640"/>
          <w:marRight w:val="0"/>
          <w:marTop w:val="0"/>
          <w:marBottom w:val="0"/>
          <w:divBdr>
            <w:top w:val="none" w:sz="0" w:space="0" w:color="auto"/>
            <w:left w:val="none" w:sz="0" w:space="0" w:color="auto"/>
            <w:bottom w:val="none" w:sz="0" w:space="0" w:color="auto"/>
            <w:right w:val="none" w:sz="0" w:space="0" w:color="auto"/>
          </w:divBdr>
        </w:div>
        <w:div w:id="1391273025">
          <w:marLeft w:val="640"/>
          <w:marRight w:val="0"/>
          <w:marTop w:val="0"/>
          <w:marBottom w:val="0"/>
          <w:divBdr>
            <w:top w:val="none" w:sz="0" w:space="0" w:color="auto"/>
            <w:left w:val="none" w:sz="0" w:space="0" w:color="auto"/>
            <w:bottom w:val="none" w:sz="0" w:space="0" w:color="auto"/>
            <w:right w:val="none" w:sz="0" w:space="0" w:color="auto"/>
          </w:divBdr>
        </w:div>
        <w:div w:id="1437679011">
          <w:marLeft w:val="640"/>
          <w:marRight w:val="0"/>
          <w:marTop w:val="0"/>
          <w:marBottom w:val="0"/>
          <w:divBdr>
            <w:top w:val="none" w:sz="0" w:space="0" w:color="auto"/>
            <w:left w:val="none" w:sz="0" w:space="0" w:color="auto"/>
            <w:bottom w:val="none" w:sz="0" w:space="0" w:color="auto"/>
            <w:right w:val="none" w:sz="0" w:space="0" w:color="auto"/>
          </w:divBdr>
        </w:div>
        <w:div w:id="1864899158">
          <w:marLeft w:val="640"/>
          <w:marRight w:val="0"/>
          <w:marTop w:val="0"/>
          <w:marBottom w:val="0"/>
          <w:divBdr>
            <w:top w:val="none" w:sz="0" w:space="0" w:color="auto"/>
            <w:left w:val="none" w:sz="0" w:space="0" w:color="auto"/>
            <w:bottom w:val="none" w:sz="0" w:space="0" w:color="auto"/>
            <w:right w:val="none" w:sz="0" w:space="0" w:color="auto"/>
          </w:divBdr>
        </w:div>
        <w:div w:id="1822115870">
          <w:marLeft w:val="640"/>
          <w:marRight w:val="0"/>
          <w:marTop w:val="0"/>
          <w:marBottom w:val="0"/>
          <w:divBdr>
            <w:top w:val="none" w:sz="0" w:space="0" w:color="auto"/>
            <w:left w:val="none" w:sz="0" w:space="0" w:color="auto"/>
            <w:bottom w:val="none" w:sz="0" w:space="0" w:color="auto"/>
            <w:right w:val="none" w:sz="0" w:space="0" w:color="auto"/>
          </w:divBdr>
        </w:div>
        <w:div w:id="1069231972">
          <w:marLeft w:val="640"/>
          <w:marRight w:val="0"/>
          <w:marTop w:val="0"/>
          <w:marBottom w:val="0"/>
          <w:divBdr>
            <w:top w:val="none" w:sz="0" w:space="0" w:color="auto"/>
            <w:left w:val="none" w:sz="0" w:space="0" w:color="auto"/>
            <w:bottom w:val="none" w:sz="0" w:space="0" w:color="auto"/>
            <w:right w:val="none" w:sz="0" w:space="0" w:color="auto"/>
          </w:divBdr>
        </w:div>
        <w:div w:id="1892306110">
          <w:marLeft w:val="640"/>
          <w:marRight w:val="0"/>
          <w:marTop w:val="0"/>
          <w:marBottom w:val="0"/>
          <w:divBdr>
            <w:top w:val="none" w:sz="0" w:space="0" w:color="auto"/>
            <w:left w:val="none" w:sz="0" w:space="0" w:color="auto"/>
            <w:bottom w:val="none" w:sz="0" w:space="0" w:color="auto"/>
            <w:right w:val="none" w:sz="0" w:space="0" w:color="auto"/>
          </w:divBdr>
        </w:div>
        <w:div w:id="2084637227">
          <w:marLeft w:val="640"/>
          <w:marRight w:val="0"/>
          <w:marTop w:val="0"/>
          <w:marBottom w:val="0"/>
          <w:divBdr>
            <w:top w:val="none" w:sz="0" w:space="0" w:color="auto"/>
            <w:left w:val="none" w:sz="0" w:space="0" w:color="auto"/>
            <w:bottom w:val="none" w:sz="0" w:space="0" w:color="auto"/>
            <w:right w:val="none" w:sz="0" w:space="0" w:color="auto"/>
          </w:divBdr>
        </w:div>
        <w:div w:id="364915633">
          <w:marLeft w:val="640"/>
          <w:marRight w:val="0"/>
          <w:marTop w:val="0"/>
          <w:marBottom w:val="0"/>
          <w:divBdr>
            <w:top w:val="none" w:sz="0" w:space="0" w:color="auto"/>
            <w:left w:val="none" w:sz="0" w:space="0" w:color="auto"/>
            <w:bottom w:val="none" w:sz="0" w:space="0" w:color="auto"/>
            <w:right w:val="none" w:sz="0" w:space="0" w:color="auto"/>
          </w:divBdr>
        </w:div>
        <w:div w:id="125121909">
          <w:marLeft w:val="640"/>
          <w:marRight w:val="0"/>
          <w:marTop w:val="0"/>
          <w:marBottom w:val="0"/>
          <w:divBdr>
            <w:top w:val="none" w:sz="0" w:space="0" w:color="auto"/>
            <w:left w:val="none" w:sz="0" w:space="0" w:color="auto"/>
            <w:bottom w:val="none" w:sz="0" w:space="0" w:color="auto"/>
            <w:right w:val="none" w:sz="0" w:space="0" w:color="auto"/>
          </w:divBdr>
        </w:div>
        <w:div w:id="146018806">
          <w:marLeft w:val="640"/>
          <w:marRight w:val="0"/>
          <w:marTop w:val="0"/>
          <w:marBottom w:val="0"/>
          <w:divBdr>
            <w:top w:val="none" w:sz="0" w:space="0" w:color="auto"/>
            <w:left w:val="none" w:sz="0" w:space="0" w:color="auto"/>
            <w:bottom w:val="none" w:sz="0" w:space="0" w:color="auto"/>
            <w:right w:val="none" w:sz="0" w:space="0" w:color="auto"/>
          </w:divBdr>
        </w:div>
        <w:div w:id="1576696642">
          <w:marLeft w:val="640"/>
          <w:marRight w:val="0"/>
          <w:marTop w:val="0"/>
          <w:marBottom w:val="0"/>
          <w:divBdr>
            <w:top w:val="none" w:sz="0" w:space="0" w:color="auto"/>
            <w:left w:val="none" w:sz="0" w:space="0" w:color="auto"/>
            <w:bottom w:val="none" w:sz="0" w:space="0" w:color="auto"/>
            <w:right w:val="none" w:sz="0" w:space="0" w:color="auto"/>
          </w:divBdr>
        </w:div>
        <w:div w:id="1786079873">
          <w:marLeft w:val="640"/>
          <w:marRight w:val="0"/>
          <w:marTop w:val="0"/>
          <w:marBottom w:val="0"/>
          <w:divBdr>
            <w:top w:val="none" w:sz="0" w:space="0" w:color="auto"/>
            <w:left w:val="none" w:sz="0" w:space="0" w:color="auto"/>
            <w:bottom w:val="none" w:sz="0" w:space="0" w:color="auto"/>
            <w:right w:val="none" w:sz="0" w:space="0" w:color="auto"/>
          </w:divBdr>
        </w:div>
        <w:div w:id="2045278895">
          <w:marLeft w:val="640"/>
          <w:marRight w:val="0"/>
          <w:marTop w:val="0"/>
          <w:marBottom w:val="0"/>
          <w:divBdr>
            <w:top w:val="none" w:sz="0" w:space="0" w:color="auto"/>
            <w:left w:val="none" w:sz="0" w:space="0" w:color="auto"/>
            <w:bottom w:val="none" w:sz="0" w:space="0" w:color="auto"/>
            <w:right w:val="none" w:sz="0" w:space="0" w:color="auto"/>
          </w:divBdr>
        </w:div>
        <w:div w:id="600996537">
          <w:marLeft w:val="640"/>
          <w:marRight w:val="0"/>
          <w:marTop w:val="0"/>
          <w:marBottom w:val="0"/>
          <w:divBdr>
            <w:top w:val="none" w:sz="0" w:space="0" w:color="auto"/>
            <w:left w:val="none" w:sz="0" w:space="0" w:color="auto"/>
            <w:bottom w:val="none" w:sz="0" w:space="0" w:color="auto"/>
            <w:right w:val="none" w:sz="0" w:space="0" w:color="auto"/>
          </w:divBdr>
        </w:div>
        <w:div w:id="548540331">
          <w:marLeft w:val="640"/>
          <w:marRight w:val="0"/>
          <w:marTop w:val="0"/>
          <w:marBottom w:val="0"/>
          <w:divBdr>
            <w:top w:val="none" w:sz="0" w:space="0" w:color="auto"/>
            <w:left w:val="none" w:sz="0" w:space="0" w:color="auto"/>
            <w:bottom w:val="none" w:sz="0" w:space="0" w:color="auto"/>
            <w:right w:val="none" w:sz="0" w:space="0" w:color="auto"/>
          </w:divBdr>
        </w:div>
        <w:div w:id="1717702631">
          <w:marLeft w:val="640"/>
          <w:marRight w:val="0"/>
          <w:marTop w:val="0"/>
          <w:marBottom w:val="0"/>
          <w:divBdr>
            <w:top w:val="none" w:sz="0" w:space="0" w:color="auto"/>
            <w:left w:val="none" w:sz="0" w:space="0" w:color="auto"/>
            <w:bottom w:val="none" w:sz="0" w:space="0" w:color="auto"/>
            <w:right w:val="none" w:sz="0" w:space="0" w:color="auto"/>
          </w:divBdr>
        </w:div>
        <w:div w:id="344092092">
          <w:marLeft w:val="640"/>
          <w:marRight w:val="0"/>
          <w:marTop w:val="0"/>
          <w:marBottom w:val="0"/>
          <w:divBdr>
            <w:top w:val="none" w:sz="0" w:space="0" w:color="auto"/>
            <w:left w:val="none" w:sz="0" w:space="0" w:color="auto"/>
            <w:bottom w:val="none" w:sz="0" w:space="0" w:color="auto"/>
            <w:right w:val="none" w:sz="0" w:space="0" w:color="auto"/>
          </w:divBdr>
        </w:div>
        <w:div w:id="461928799">
          <w:marLeft w:val="640"/>
          <w:marRight w:val="0"/>
          <w:marTop w:val="0"/>
          <w:marBottom w:val="0"/>
          <w:divBdr>
            <w:top w:val="none" w:sz="0" w:space="0" w:color="auto"/>
            <w:left w:val="none" w:sz="0" w:space="0" w:color="auto"/>
            <w:bottom w:val="none" w:sz="0" w:space="0" w:color="auto"/>
            <w:right w:val="none" w:sz="0" w:space="0" w:color="auto"/>
          </w:divBdr>
        </w:div>
        <w:div w:id="2038851081">
          <w:marLeft w:val="640"/>
          <w:marRight w:val="0"/>
          <w:marTop w:val="0"/>
          <w:marBottom w:val="0"/>
          <w:divBdr>
            <w:top w:val="none" w:sz="0" w:space="0" w:color="auto"/>
            <w:left w:val="none" w:sz="0" w:space="0" w:color="auto"/>
            <w:bottom w:val="none" w:sz="0" w:space="0" w:color="auto"/>
            <w:right w:val="none" w:sz="0" w:space="0" w:color="auto"/>
          </w:divBdr>
        </w:div>
        <w:div w:id="832646606">
          <w:marLeft w:val="640"/>
          <w:marRight w:val="0"/>
          <w:marTop w:val="0"/>
          <w:marBottom w:val="0"/>
          <w:divBdr>
            <w:top w:val="none" w:sz="0" w:space="0" w:color="auto"/>
            <w:left w:val="none" w:sz="0" w:space="0" w:color="auto"/>
            <w:bottom w:val="none" w:sz="0" w:space="0" w:color="auto"/>
            <w:right w:val="none" w:sz="0" w:space="0" w:color="auto"/>
          </w:divBdr>
        </w:div>
        <w:div w:id="1833137178">
          <w:marLeft w:val="640"/>
          <w:marRight w:val="0"/>
          <w:marTop w:val="0"/>
          <w:marBottom w:val="0"/>
          <w:divBdr>
            <w:top w:val="none" w:sz="0" w:space="0" w:color="auto"/>
            <w:left w:val="none" w:sz="0" w:space="0" w:color="auto"/>
            <w:bottom w:val="none" w:sz="0" w:space="0" w:color="auto"/>
            <w:right w:val="none" w:sz="0" w:space="0" w:color="auto"/>
          </w:divBdr>
        </w:div>
        <w:div w:id="931664420">
          <w:marLeft w:val="640"/>
          <w:marRight w:val="0"/>
          <w:marTop w:val="0"/>
          <w:marBottom w:val="0"/>
          <w:divBdr>
            <w:top w:val="none" w:sz="0" w:space="0" w:color="auto"/>
            <w:left w:val="none" w:sz="0" w:space="0" w:color="auto"/>
            <w:bottom w:val="none" w:sz="0" w:space="0" w:color="auto"/>
            <w:right w:val="none" w:sz="0" w:space="0" w:color="auto"/>
          </w:divBdr>
        </w:div>
        <w:div w:id="402334694">
          <w:marLeft w:val="640"/>
          <w:marRight w:val="0"/>
          <w:marTop w:val="0"/>
          <w:marBottom w:val="0"/>
          <w:divBdr>
            <w:top w:val="none" w:sz="0" w:space="0" w:color="auto"/>
            <w:left w:val="none" w:sz="0" w:space="0" w:color="auto"/>
            <w:bottom w:val="none" w:sz="0" w:space="0" w:color="auto"/>
            <w:right w:val="none" w:sz="0" w:space="0" w:color="auto"/>
          </w:divBdr>
        </w:div>
        <w:div w:id="1959095902">
          <w:marLeft w:val="640"/>
          <w:marRight w:val="0"/>
          <w:marTop w:val="0"/>
          <w:marBottom w:val="0"/>
          <w:divBdr>
            <w:top w:val="none" w:sz="0" w:space="0" w:color="auto"/>
            <w:left w:val="none" w:sz="0" w:space="0" w:color="auto"/>
            <w:bottom w:val="none" w:sz="0" w:space="0" w:color="auto"/>
            <w:right w:val="none" w:sz="0" w:space="0" w:color="auto"/>
          </w:divBdr>
        </w:div>
        <w:div w:id="22676370">
          <w:marLeft w:val="640"/>
          <w:marRight w:val="0"/>
          <w:marTop w:val="0"/>
          <w:marBottom w:val="0"/>
          <w:divBdr>
            <w:top w:val="none" w:sz="0" w:space="0" w:color="auto"/>
            <w:left w:val="none" w:sz="0" w:space="0" w:color="auto"/>
            <w:bottom w:val="none" w:sz="0" w:space="0" w:color="auto"/>
            <w:right w:val="none" w:sz="0" w:space="0" w:color="auto"/>
          </w:divBdr>
        </w:div>
        <w:div w:id="421729835">
          <w:marLeft w:val="640"/>
          <w:marRight w:val="0"/>
          <w:marTop w:val="0"/>
          <w:marBottom w:val="0"/>
          <w:divBdr>
            <w:top w:val="none" w:sz="0" w:space="0" w:color="auto"/>
            <w:left w:val="none" w:sz="0" w:space="0" w:color="auto"/>
            <w:bottom w:val="none" w:sz="0" w:space="0" w:color="auto"/>
            <w:right w:val="none" w:sz="0" w:space="0" w:color="auto"/>
          </w:divBdr>
        </w:div>
        <w:div w:id="2139299650">
          <w:marLeft w:val="640"/>
          <w:marRight w:val="0"/>
          <w:marTop w:val="0"/>
          <w:marBottom w:val="0"/>
          <w:divBdr>
            <w:top w:val="none" w:sz="0" w:space="0" w:color="auto"/>
            <w:left w:val="none" w:sz="0" w:space="0" w:color="auto"/>
            <w:bottom w:val="none" w:sz="0" w:space="0" w:color="auto"/>
            <w:right w:val="none" w:sz="0" w:space="0" w:color="auto"/>
          </w:divBdr>
        </w:div>
        <w:div w:id="1846244130">
          <w:marLeft w:val="640"/>
          <w:marRight w:val="0"/>
          <w:marTop w:val="0"/>
          <w:marBottom w:val="0"/>
          <w:divBdr>
            <w:top w:val="none" w:sz="0" w:space="0" w:color="auto"/>
            <w:left w:val="none" w:sz="0" w:space="0" w:color="auto"/>
            <w:bottom w:val="none" w:sz="0" w:space="0" w:color="auto"/>
            <w:right w:val="none" w:sz="0" w:space="0" w:color="auto"/>
          </w:divBdr>
        </w:div>
        <w:div w:id="1767849406">
          <w:marLeft w:val="640"/>
          <w:marRight w:val="0"/>
          <w:marTop w:val="0"/>
          <w:marBottom w:val="0"/>
          <w:divBdr>
            <w:top w:val="none" w:sz="0" w:space="0" w:color="auto"/>
            <w:left w:val="none" w:sz="0" w:space="0" w:color="auto"/>
            <w:bottom w:val="none" w:sz="0" w:space="0" w:color="auto"/>
            <w:right w:val="none" w:sz="0" w:space="0" w:color="auto"/>
          </w:divBdr>
        </w:div>
        <w:div w:id="700205122">
          <w:marLeft w:val="640"/>
          <w:marRight w:val="0"/>
          <w:marTop w:val="0"/>
          <w:marBottom w:val="0"/>
          <w:divBdr>
            <w:top w:val="none" w:sz="0" w:space="0" w:color="auto"/>
            <w:left w:val="none" w:sz="0" w:space="0" w:color="auto"/>
            <w:bottom w:val="none" w:sz="0" w:space="0" w:color="auto"/>
            <w:right w:val="none" w:sz="0" w:space="0" w:color="auto"/>
          </w:divBdr>
        </w:div>
        <w:div w:id="989094409">
          <w:marLeft w:val="640"/>
          <w:marRight w:val="0"/>
          <w:marTop w:val="0"/>
          <w:marBottom w:val="0"/>
          <w:divBdr>
            <w:top w:val="none" w:sz="0" w:space="0" w:color="auto"/>
            <w:left w:val="none" w:sz="0" w:space="0" w:color="auto"/>
            <w:bottom w:val="none" w:sz="0" w:space="0" w:color="auto"/>
            <w:right w:val="none" w:sz="0" w:space="0" w:color="auto"/>
          </w:divBdr>
        </w:div>
        <w:div w:id="1462462384">
          <w:marLeft w:val="640"/>
          <w:marRight w:val="0"/>
          <w:marTop w:val="0"/>
          <w:marBottom w:val="0"/>
          <w:divBdr>
            <w:top w:val="none" w:sz="0" w:space="0" w:color="auto"/>
            <w:left w:val="none" w:sz="0" w:space="0" w:color="auto"/>
            <w:bottom w:val="none" w:sz="0" w:space="0" w:color="auto"/>
            <w:right w:val="none" w:sz="0" w:space="0" w:color="auto"/>
          </w:divBdr>
        </w:div>
        <w:div w:id="1552616191">
          <w:marLeft w:val="640"/>
          <w:marRight w:val="0"/>
          <w:marTop w:val="0"/>
          <w:marBottom w:val="0"/>
          <w:divBdr>
            <w:top w:val="none" w:sz="0" w:space="0" w:color="auto"/>
            <w:left w:val="none" w:sz="0" w:space="0" w:color="auto"/>
            <w:bottom w:val="none" w:sz="0" w:space="0" w:color="auto"/>
            <w:right w:val="none" w:sz="0" w:space="0" w:color="auto"/>
          </w:divBdr>
        </w:div>
        <w:div w:id="1830438119">
          <w:marLeft w:val="640"/>
          <w:marRight w:val="0"/>
          <w:marTop w:val="0"/>
          <w:marBottom w:val="0"/>
          <w:divBdr>
            <w:top w:val="none" w:sz="0" w:space="0" w:color="auto"/>
            <w:left w:val="none" w:sz="0" w:space="0" w:color="auto"/>
            <w:bottom w:val="none" w:sz="0" w:space="0" w:color="auto"/>
            <w:right w:val="none" w:sz="0" w:space="0" w:color="auto"/>
          </w:divBdr>
        </w:div>
        <w:div w:id="1904871283">
          <w:marLeft w:val="640"/>
          <w:marRight w:val="0"/>
          <w:marTop w:val="0"/>
          <w:marBottom w:val="0"/>
          <w:divBdr>
            <w:top w:val="none" w:sz="0" w:space="0" w:color="auto"/>
            <w:left w:val="none" w:sz="0" w:space="0" w:color="auto"/>
            <w:bottom w:val="none" w:sz="0" w:space="0" w:color="auto"/>
            <w:right w:val="none" w:sz="0" w:space="0" w:color="auto"/>
          </w:divBdr>
        </w:div>
        <w:div w:id="2012289866">
          <w:marLeft w:val="640"/>
          <w:marRight w:val="0"/>
          <w:marTop w:val="0"/>
          <w:marBottom w:val="0"/>
          <w:divBdr>
            <w:top w:val="none" w:sz="0" w:space="0" w:color="auto"/>
            <w:left w:val="none" w:sz="0" w:space="0" w:color="auto"/>
            <w:bottom w:val="none" w:sz="0" w:space="0" w:color="auto"/>
            <w:right w:val="none" w:sz="0" w:space="0" w:color="auto"/>
          </w:divBdr>
        </w:div>
        <w:div w:id="693269691">
          <w:marLeft w:val="640"/>
          <w:marRight w:val="0"/>
          <w:marTop w:val="0"/>
          <w:marBottom w:val="0"/>
          <w:divBdr>
            <w:top w:val="none" w:sz="0" w:space="0" w:color="auto"/>
            <w:left w:val="none" w:sz="0" w:space="0" w:color="auto"/>
            <w:bottom w:val="none" w:sz="0" w:space="0" w:color="auto"/>
            <w:right w:val="none" w:sz="0" w:space="0" w:color="auto"/>
          </w:divBdr>
        </w:div>
        <w:div w:id="1142769008">
          <w:marLeft w:val="640"/>
          <w:marRight w:val="0"/>
          <w:marTop w:val="0"/>
          <w:marBottom w:val="0"/>
          <w:divBdr>
            <w:top w:val="none" w:sz="0" w:space="0" w:color="auto"/>
            <w:left w:val="none" w:sz="0" w:space="0" w:color="auto"/>
            <w:bottom w:val="none" w:sz="0" w:space="0" w:color="auto"/>
            <w:right w:val="none" w:sz="0" w:space="0" w:color="auto"/>
          </w:divBdr>
        </w:div>
        <w:div w:id="869535230">
          <w:marLeft w:val="640"/>
          <w:marRight w:val="0"/>
          <w:marTop w:val="0"/>
          <w:marBottom w:val="0"/>
          <w:divBdr>
            <w:top w:val="none" w:sz="0" w:space="0" w:color="auto"/>
            <w:left w:val="none" w:sz="0" w:space="0" w:color="auto"/>
            <w:bottom w:val="none" w:sz="0" w:space="0" w:color="auto"/>
            <w:right w:val="none" w:sz="0" w:space="0" w:color="auto"/>
          </w:divBdr>
        </w:div>
        <w:div w:id="885331058">
          <w:marLeft w:val="640"/>
          <w:marRight w:val="0"/>
          <w:marTop w:val="0"/>
          <w:marBottom w:val="0"/>
          <w:divBdr>
            <w:top w:val="none" w:sz="0" w:space="0" w:color="auto"/>
            <w:left w:val="none" w:sz="0" w:space="0" w:color="auto"/>
            <w:bottom w:val="none" w:sz="0" w:space="0" w:color="auto"/>
            <w:right w:val="none" w:sz="0" w:space="0" w:color="auto"/>
          </w:divBdr>
        </w:div>
        <w:div w:id="584076657">
          <w:marLeft w:val="640"/>
          <w:marRight w:val="0"/>
          <w:marTop w:val="0"/>
          <w:marBottom w:val="0"/>
          <w:divBdr>
            <w:top w:val="none" w:sz="0" w:space="0" w:color="auto"/>
            <w:left w:val="none" w:sz="0" w:space="0" w:color="auto"/>
            <w:bottom w:val="none" w:sz="0" w:space="0" w:color="auto"/>
            <w:right w:val="none" w:sz="0" w:space="0" w:color="auto"/>
          </w:divBdr>
        </w:div>
        <w:div w:id="1063718699">
          <w:marLeft w:val="640"/>
          <w:marRight w:val="0"/>
          <w:marTop w:val="0"/>
          <w:marBottom w:val="0"/>
          <w:divBdr>
            <w:top w:val="none" w:sz="0" w:space="0" w:color="auto"/>
            <w:left w:val="none" w:sz="0" w:space="0" w:color="auto"/>
            <w:bottom w:val="none" w:sz="0" w:space="0" w:color="auto"/>
            <w:right w:val="none" w:sz="0" w:space="0" w:color="auto"/>
          </w:divBdr>
        </w:div>
        <w:div w:id="702754926">
          <w:marLeft w:val="640"/>
          <w:marRight w:val="0"/>
          <w:marTop w:val="0"/>
          <w:marBottom w:val="0"/>
          <w:divBdr>
            <w:top w:val="none" w:sz="0" w:space="0" w:color="auto"/>
            <w:left w:val="none" w:sz="0" w:space="0" w:color="auto"/>
            <w:bottom w:val="none" w:sz="0" w:space="0" w:color="auto"/>
            <w:right w:val="none" w:sz="0" w:space="0" w:color="auto"/>
          </w:divBdr>
        </w:div>
        <w:div w:id="1791627280">
          <w:marLeft w:val="640"/>
          <w:marRight w:val="0"/>
          <w:marTop w:val="0"/>
          <w:marBottom w:val="0"/>
          <w:divBdr>
            <w:top w:val="none" w:sz="0" w:space="0" w:color="auto"/>
            <w:left w:val="none" w:sz="0" w:space="0" w:color="auto"/>
            <w:bottom w:val="none" w:sz="0" w:space="0" w:color="auto"/>
            <w:right w:val="none" w:sz="0" w:space="0" w:color="auto"/>
          </w:divBdr>
        </w:div>
        <w:div w:id="1418287299">
          <w:marLeft w:val="640"/>
          <w:marRight w:val="0"/>
          <w:marTop w:val="0"/>
          <w:marBottom w:val="0"/>
          <w:divBdr>
            <w:top w:val="none" w:sz="0" w:space="0" w:color="auto"/>
            <w:left w:val="none" w:sz="0" w:space="0" w:color="auto"/>
            <w:bottom w:val="none" w:sz="0" w:space="0" w:color="auto"/>
            <w:right w:val="none" w:sz="0" w:space="0" w:color="auto"/>
          </w:divBdr>
        </w:div>
        <w:div w:id="2018073420">
          <w:marLeft w:val="640"/>
          <w:marRight w:val="0"/>
          <w:marTop w:val="0"/>
          <w:marBottom w:val="0"/>
          <w:divBdr>
            <w:top w:val="none" w:sz="0" w:space="0" w:color="auto"/>
            <w:left w:val="none" w:sz="0" w:space="0" w:color="auto"/>
            <w:bottom w:val="none" w:sz="0" w:space="0" w:color="auto"/>
            <w:right w:val="none" w:sz="0" w:space="0" w:color="auto"/>
          </w:divBdr>
        </w:div>
        <w:div w:id="1073044132">
          <w:marLeft w:val="640"/>
          <w:marRight w:val="0"/>
          <w:marTop w:val="0"/>
          <w:marBottom w:val="0"/>
          <w:divBdr>
            <w:top w:val="none" w:sz="0" w:space="0" w:color="auto"/>
            <w:left w:val="none" w:sz="0" w:space="0" w:color="auto"/>
            <w:bottom w:val="none" w:sz="0" w:space="0" w:color="auto"/>
            <w:right w:val="none" w:sz="0" w:space="0" w:color="auto"/>
          </w:divBdr>
        </w:div>
        <w:div w:id="1433432505">
          <w:marLeft w:val="640"/>
          <w:marRight w:val="0"/>
          <w:marTop w:val="0"/>
          <w:marBottom w:val="0"/>
          <w:divBdr>
            <w:top w:val="none" w:sz="0" w:space="0" w:color="auto"/>
            <w:left w:val="none" w:sz="0" w:space="0" w:color="auto"/>
            <w:bottom w:val="none" w:sz="0" w:space="0" w:color="auto"/>
            <w:right w:val="none" w:sz="0" w:space="0" w:color="auto"/>
          </w:divBdr>
        </w:div>
        <w:div w:id="410204394">
          <w:marLeft w:val="640"/>
          <w:marRight w:val="0"/>
          <w:marTop w:val="0"/>
          <w:marBottom w:val="0"/>
          <w:divBdr>
            <w:top w:val="none" w:sz="0" w:space="0" w:color="auto"/>
            <w:left w:val="none" w:sz="0" w:space="0" w:color="auto"/>
            <w:bottom w:val="none" w:sz="0" w:space="0" w:color="auto"/>
            <w:right w:val="none" w:sz="0" w:space="0" w:color="auto"/>
          </w:divBdr>
        </w:div>
        <w:div w:id="12222436">
          <w:marLeft w:val="640"/>
          <w:marRight w:val="0"/>
          <w:marTop w:val="0"/>
          <w:marBottom w:val="0"/>
          <w:divBdr>
            <w:top w:val="none" w:sz="0" w:space="0" w:color="auto"/>
            <w:left w:val="none" w:sz="0" w:space="0" w:color="auto"/>
            <w:bottom w:val="none" w:sz="0" w:space="0" w:color="auto"/>
            <w:right w:val="none" w:sz="0" w:space="0" w:color="auto"/>
          </w:divBdr>
        </w:div>
        <w:div w:id="172498300">
          <w:marLeft w:val="640"/>
          <w:marRight w:val="0"/>
          <w:marTop w:val="0"/>
          <w:marBottom w:val="0"/>
          <w:divBdr>
            <w:top w:val="none" w:sz="0" w:space="0" w:color="auto"/>
            <w:left w:val="none" w:sz="0" w:space="0" w:color="auto"/>
            <w:bottom w:val="none" w:sz="0" w:space="0" w:color="auto"/>
            <w:right w:val="none" w:sz="0" w:space="0" w:color="auto"/>
          </w:divBdr>
        </w:div>
        <w:div w:id="1373268265">
          <w:marLeft w:val="640"/>
          <w:marRight w:val="0"/>
          <w:marTop w:val="0"/>
          <w:marBottom w:val="0"/>
          <w:divBdr>
            <w:top w:val="none" w:sz="0" w:space="0" w:color="auto"/>
            <w:left w:val="none" w:sz="0" w:space="0" w:color="auto"/>
            <w:bottom w:val="none" w:sz="0" w:space="0" w:color="auto"/>
            <w:right w:val="none" w:sz="0" w:space="0" w:color="auto"/>
          </w:divBdr>
        </w:div>
        <w:div w:id="1690332150">
          <w:marLeft w:val="640"/>
          <w:marRight w:val="0"/>
          <w:marTop w:val="0"/>
          <w:marBottom w:val="0"/>
          <w:divBdr>
            <w:top w:val="none" w:sz="0" w:space="0" w:color="auto"/>
            <w:left w:val="none" w:sz="0" w:space="0" w:color="auto"/>
            <w:bottom w:val="none" w:sz="0" w:space="0" w:color="auto"/>
            <w:right w:val="none" w:sz="0" w:space="0" w:color="auto"/>
          </w:divBdr>
        </w:div>
        <w:div w:id="1077898584">
          <w:marLeft w:val="640"/>
          <w:marRight w:val="0"/>
          <w:marTop w:val="0"/>
          <w:marBottom w:val="0"/>
          <w:divBdr>
            <w:top w:val="none" w:sz="0" w:space="0" w:color="auto"/>
            <w:left w:val="none" w:sz="0" w:space="0" w:color="auto"/>
            <w:bottom w:val="none" w:sz="0" w:space="0" w:color="auto"/>
            <w:right w:val="none" w:sz="0" w:space="0" w:color="auto"/>
          </w:divBdr>
        </w:div>
        <w:div w:id="340815538">
          <w:marLeft w:val="640"/>
          <w:marRight w:val="0"/>
          <w:marTop w:val="0"/>
          <w:marBottom w:val="0"/>
          <w:divBdr>
            <w:top w:val="none" w:sz="0" w:space="0" w:color="auto"/>
            <w:left w:val="none" w:sz="0" w:space="0" w:color="auto"/>
            <w:bottom w:val="none" w:sz="0" w:space="0" w:color="auto"/>
            <w:right w:val="none" w:sz="0" w:space="0" w:color="auto"/>
          </w:divBdr>
        </w:div>
        <w:div w:id="1311904335">
          <w:marLeft w:val="640"/>
          <w:marRight w:val="0"/>
          <w:marTop w:val="0"/>
          <w:marBottom w:val="0"/>
          <w:divBdr>
            <w:top w:val="none" w:sz="0" w:space="0" w:color="auto"/>
            <w:left w:val="none" w:sz="0" w:space="0" w:color="auto"/>
            <w:bottom w:val="none" w:sz="0" w:space="0" w:color="auto"/>
            <w:right w:val="none" w:sz="0" w:space="0" w:color="auto"/>
          </w:divBdr>
        </w:div>
        <w:div w:id="653067612">
          <w:marLeft w:val="640"/>
          <w:marRight w:val="0"/>
          <w:marTop w:val="0"/>
          <w:marBottom w:val="0"/>
          <w:divBdr>
            <w:top w:val="none" w:sz="0" w:space="0" w:color="auto"/>
            <w:left w:val="none" w:sz="0" w:space="0" w:color="auto"/>
            <w:bottom w:val="none" w:sz="0" w:space="0" w:color="auto"/>
            <w:right w:val="none" w:sz="0" w:space="0" w:color="auto"/>
          </w:divBdr>
        </w:div>
        <w:div w:id="1313294754">
          <w:marLeft w:val="640"/>
          <w:marRight w:val="0"/>
          <w:marTop w:val="0"/>
          <w:marBottom w:val="0"/>
          <w:divBdr>
            <w:top w:val="none" w:sz="0" w:space="0" w:color="auto"/>
            <w:left w:val="none" w:sz="0" w:space="0" w:color="auto"/>
            <w:bottom w:val="none" w:sz="0" w:space="0" w:color="auto"/>
            <w:right w:val="none" w:sz="0" w:space="0" w:color="auto"/>
          </w:divBdr>
        </w:div>
        <w:div w:id="1847674267">
          <w:marLeft w:val="640"/>
          <w:marRight w:val="0"/>
          <w:marTop w:val="0"/>
          <w:marBottom w:val="0"/>
          <w:divBdr>
            <w:top w:val="none" w:sz="0" w:space="0" w:color="auto"/>
            <w:left w:val="none" w:sz="0" w:space="0" w:color="auto"/>
            <w:bottom w:val="none" w:sz="0" w:space="0" w:color="auto"/>
            <w:right w:val="none" w:sz="0" w:space="0" w:color="auto"/>
          </w:divBdr>
        </w:div>
        <w:div w:id="1379162592">
          <w:marLeft w:val="640"/>
          <w:marRight w:val="0"/>
          <w:marTop w:val="0"/>
          <w:marBottom w:val="0"/>
          <w:divBdr>
            <w:top w:val="none" w:sz="0" w:space="0" w:color="auto"/>
            <w:left w:val="none" w:sz="0" w:space="0" w:color="auto"/>
            <w:bottom w:val="none" w:sz="0" w:space="0" w:color="auto"/>
            <w:right w:val="none" w:sz="0" w:space="0" w:color="auto"/>
          </w:divBdr>
        </w:div>
        <w:div w:id="655182536">
          <w:marLeft w:val="640"/>
          <w:marRight w:val="0"/>
          <w:marTop w:val="0"/>
          <w:marBottom w:val="0"/>
          <w:divBdr>
            <w:top w:val="none" w:sz="0" w:space="0" w:color="auto"/>
            <w:left w:val="none" w:sz="0" w:space="0" w:color="auto"/>
            <w:bottom w:val="none" w:sz="0" w:space="0" w:color="auto"/>
            <w:right w:val="none" w:sz="0" w:space="0" w:color="auto"/>
          </w:divBdr>
        </w:div>
        <w:div w:id="245964584">
          <w:marLeft w:val="640"/>
          <w:marRight w:val="0"/>
          <w:marTop w:val="0"/>
          <w:marBottom w:val="0"/>
          <w:divBdr>
            <w:top w:val="none" w:sz="0" w:space="0" w:color="auto"/>
            <w:left w:val="none" w:sz="0" w:space="0" w:color="auto"/>
            <w:bottom w:val="none" w:sz="0" w:space="0" w:color="auto"/>
            <w:right w:val="none" w:sz="0" w:space="0" w:color="auto"/>
          </w:divBdr>
        </w:div>
        <w:div w:id="739328014">
          <w:marLeft w:val="640"/>
          <w:marRight w:val="0"/>
          <w:marTop w:val="0"/>
          <w:marBottom w:val="0"/>
          <w:divBdr>
            <w:top w:val="none" w:sz="0" w:space="0" w:color="auto"/>
            <w:left w:val="none" w:sz="0" w:space="0" w:color="auto"/>
            <w:bottom w:val="none" w:sz="0" w:space="0" w:color="auto"/>
            <w:right w:val="none" w:sz="0" w:space="0" w:color="auto"/>
          </w:divBdr>
        </w:div>
        <w:div w:id="2083141149">
          <w:marLeft w:val="640"/>
          <w:marRight w:val="0"/>
          <w:marTop w:val="0"/>
          <w:marBottom w:val="0"/>
          <w:divBdr>
            <w:top w:val="none" w:sz="0" w:space="0" w:color="auto"/>
            <w:left w:val="none" w:sz="0" w:space="0" w:color="auto"/>
            <w:bottom w:val="none" w:sz="0" w:space="0" w:color="auto"/>
            <w:right w:val="none" w:sz="0" w:space="0" w:color="auto"/>
          </w:divBdr>
        </w:div>
        <w:div w:id="1408072559">
          <w:marLeft w:val="640"/>
          <w:marRight w:val="0"/>
          <w:marTop w:val="0"/>
          <w:marBottom w:val="0"/>
          <w:divBdr>
            <w:top w:val="none" w:sz="0" w:space="0" w:color="auto"/>
            <w:left w:val="none" w:sz="0" w:space="0" w:color="auto"/>
            <w:bottom w:val="none" w:sz="0" w:space="0" w:color="auto"/>
            <w:right w:val="none" w:sz="0" w:space="0" w:color="auto"/>
          </w:divBdr>
        </w:div>
        <w:div w:id="537939837">
          <w:marLeft w:val="640"/>
          <w:marRight w:val="0"/>
          <w:marTop w:val="0"/>
          <w:marBottom w:val="0"/>
          <w:divBdr>
            <w:top w:val="none" w:sz="0" w:space="0" w:color="auto"/>
            <w:left w:val="none" w:sz="0" w:space="0" w:color="auto"/>
            <w:bottom w:val="none" w:sz="0" w:space="0" w:color="auto"/>
            <w:right w:val="none" w:sz="0" w:space="0" w:color="auto"/>
          </w:divBdr>
        </w:div>
        <w:div w:id="150945256">
          <w:marLeft w:val="640"/>
          <w:marRight w:val="0"/>
          <w:marTop w:val="0"/>
          <w:marBottom w:val="0"/>
          <w:divBdr>
            <w:top w:val="none" w:sz="0" w:space="0" w:color="auto"/>
            <w:left w:val="none" w:sz="0" w:space="0" w:color="auto"/>
            <w:bottom w:val="none" w:sz="0" w:space="0" w:color="auto"/>
            <w:right w:val="none" w:sz="0" w:space="0" w:color="auto"/>
          </w:divBdr>
        </w:div>
        <w:div w:id="1989018436">
          <w:marLeft w:val="640"/>
          <w:marRight w:val="0"/>
          <w:marTop w:val="0"/>
          <w:marBottom w:val="0"/>
          <w:divBdr>
            <w:top w:val="none" w:sz="0" w:space="0" w:color="auto"/>
            <w:left w:val="none" w:sz="0" w:space="0" w:color="auto"/>
            <w:bottom w:val="none" w:sz="0" w:space="0" w:color="auto"/>
            <w:right w:val="none" w:sz="0" w:space="0" w:color="auto"/>
          </w:divBdr>
        </w:div>
        <w:div w:id="866983663">
          <w:marLeft w:val="640"/>
          <w:marRight w:val="0"/>
          <w:marTop w:val="0"/>
          <w:marBottom w:val="0"/>
          <w:divBdr>
            <w:top w:val="none" w:sz="0" w:space="0" w:color="auto"/>
            <w:left w:val="none" w:sz="0" w:space="0" w:color="auto"/>
            <w:bottom w:val="none" w:sz="0" w:space="0" w:color="auto"/>
            <w:right w:val="none" w:sz="0" w:space="0" w:color="auto"/>
          </w:divBdr>
        </w:div>
        <w:div w:id="1349793094">
          <w:marLeft w:val="640"/>
          <w:marRight w:val="0"/>
          <w:marTop w:val="0"/>
          <w:marBottom w:val="0"/>
          <w:divBdr>
            <w:top w:val="none" w:sz="0" w:space="0" w:color="auto"/>
            <w:left w:val="none" w:sz="0" w:space="0" w:color="auto"/>
            <w:bottom w:val="none" w:sz="0" w:space="0" w:color="auto"/>
            <w:right w:val="none" w:sz="0" w:space="0" w:color="auto"/>
          </w:divBdr>
        </w:div>
        <w:div w:id="982661758">
          <w:marLeft w:val="640"/>
          <w:marRight w:val="0"/>
          <w:marTop w:val="0"/>
          <w:marBottom w:val="0"/>
          <w:divBdr>
            <w:top w:val="none" w:sz="0" w:space="0" w:color="auto"/>
            <w:left w:val="none" w:sz="0" w:space="0" w:color="auto"/>
            <w:bottom w:val="none" w:sz="0" w:space="0" w:color="auto"/>
            <w:right w:val="none" w:sz="0" w:space="0" w:color="auto"/>
          </w:divBdr>
        </w:div>
        <w:div w:id="2146309972">
          <w:marLeft w:val="640"/>
          <w:marRight w:val="0"/>
          <w:marTop w:val="0"/>
          <w:marBottom w:val="0"/>
          <w:divBdr>
            <w:top w:val="none" w:sz="0" w:space="0" w:color="auto"/>
            <w:left w:val="none" w:sz="0" w:space="0" w:color="auto"/>
            <w:bottom w:val="none" w:sz="0" w:space="0" w:color="auto"/>
            <w:right w:val="none" w:sz="0" w:space="0" w:color="auto"/>
          </w:divBdr>
        </w:div>
        <w:div w:id="1166821460">
          <w:marLeft w:val="640"/>
          <w:marRight w:val="0"/>
          <w:marTop w:val="0"/>
          <w:marBottom w:val="0"/>
          <w:divBdr>
            <w:top w:val="none" w:sz="0" w:space="0" w:color="auto"/>
            <w:left w:val="none" w:sz="0" w:space="0" w:color="auto"/>
            <w:bottom w:val="none" w:sz="0" w:space="0" w:color="auto"/>
            <w:right w:val="none" w:sz="0" w:space="0" w:color="auto"/>
          </w:divBdr>
        </w:div>
        <w:div w:id="227227426">
          <w:marLeft w:val="640"/>
          <w:marRight w:val="0"/>
          <w:marTop w:val="0"/>
          <w:marBottom w:val="0"/>
          <w:divBdr>
            <w:top w:val="none" w:sz="0" w:space="0" w:color="auto"/>
            <w:left w:val="none" w:sz="0" w:space="0" w:color="auto"/>
            <w:bottom w:val="none" w:sz="0" w:space="0" w:color="auto"/>
            <w:right w:val="none" w:sz="0" w:space="0" w:color="auto"/>
          </w:divBdr>
        </w:div>
        <w:div w:id="143282333">
          <w:marLeft w:val="640"/>
          <w:marRight w:val="0"/>
          <w:marTop w:val="0"/>
          <w:marBottom w:val="0"/>
          <w:divBdr>
            <w:top w:val="none" w:sz="0" w:space="0" w:color="auto"/>
            <w:left w:val="none" w:sz="0" w:space="0" w:color="auto"/>
            <w:bottom w:val="none" w:sz="0" w:space="0" w:color="auto"/>
            <w:right w:val="none" w:sz="0" w:space="0" w:color="auto"/>
          </w:divBdr>
        </w:div>
        <w:div w:id="846362129">
          <w:marLeft w:val="640"/>
          <w:marRight w:val="0"/>
          <w:marTop w:val="0"/>
          <w:marBottom w:val="0"/>
          <w:divBdr>
            <w:top w:val="none" w:sz="0" w:space="0" w:color="auto"/>
            <w:left w:val="none" w:sz="0" w:space="0" w:color="auto"/>
            <w:bottom w:val="none" w:sz="0" w:space="0" w:color="auto"/>
            <w:right w:val="none" w:sz="0" w:space="0" w:color="auto"/>
          </w:divBdr>
        </w:div>
        <w:div w:id="2085563980">
          <w:marLeft w:val="640"/>
          <w:marRight w:val="0"/>
          <w:marTop w:val="0"/>
          <w:marBottom w:val="0"/>
          <w:divBdr>
            <w:top w:val="none" w:sz="0" w:space="0" w:color="auto"/>
            <w:left w:val="none" w:sz="0" w:space="0" w:color="auto"/>
            <w:bottom w:val="none" w:sz="0" w:space="0" w:color="auto"/>
            <w:right w:val="none" w:sz="0" w:space="0" w:color="auto"/>
          </w:divBdr>
        </w:div>
        <w:div w:id="1491485430">
          <w:marLeft w:val="640"/>
          <w:marRight w:val="0"/>
          <w:marTop w:val="0"/>
          <w:marBottom w:val="0"/>
          <w:divBdr>
            <w:top w:val="none" w:sz="0" w:space="0" w:color="auto"/>
            <w:left w:val="none" w:sz="0" w:space="0" w:color="auto"/>
            <w:bottom w:val="none" w:sz="0" w:space="0" w:color="auto"/>
            <w:right w:val="none" w:sz="0" w:space="0" w:color="auto"/>
          </w:divBdr>
        </w:div>
        <w:div w:id="2092000125">
          <w:marLeft w:val="640"/>
          <w:marRight w:val="0"/>
          <w:marTop w:val="0"/>
          <w:marBottom w:val="0"/>
          <w:divBdr>
            <w:top w:val="none" w:sz="0" w:space="0" w:color="auto"/>
            <w:left w:val="none" w:sz="0" w:space="0" w:color="auto"/>
            <w:bottom w:val="none" w:sz="0" w:space="0" w:color="auto"/>
            <w:right w:val="none" w:sz="0" w:space="0" w:color="auto"/>
          </w:divBdr>
        </w:div>
        <w:div w:id="1272544523">
          <w:marLeft w:val="640"/>
          <w:marRight w:val="0"/>
          <w:marTop w:val="0"/>
          <w:marBottom w:val="0"/>
          <w:divBdr>
            <w:top w:val="none" w:sz="0" w:space="0" w:color="auto"/>
            <w:left w:val="none" w:sz="0" w:space="0" w:color="auto"/>
            <w:bottom w:val="none" w:sz="0" w:space="0" w:color="auto"/>
            <w:right w:val="none" w:sz="0" w:space="0" w:color="auto"/>
          </w:divBdr>
        </w:div>
        <w:div w:id="1890216400">
          <w:marLeft w:val="640"/>
          <w:marRight w:val="0"/>
          <w:marTop w:val="0"/>
          <w:marBottom w:val="0"/>
          <w:divBdr>
            <w:top w:val="none" w:sz="0" w:space="0" w:color="auto"/>
            <w:left w:val="none" w:sz="0" w:space="0" w:color="auto"/>
            <w:bottom w:val="none" w:sz="0" w:space="0" w:color="auto"/>
            <w:right w:val="none" w:sz="0" w:space="0" w:color="auto"/>
          </w:divBdr>
        </w:div>
        <w:div w:id="800806870">
          <w:marLeft w:val="640"/>
          <w:marRight w:val="0"/>
          <w:marTop w:val="0"/>
          <w:marBottom w:val="0"/>
          <w:divBdr>
            <w:top w:val="none" w:sz="0" w:space="0" w:color="auto"/>
            <w:left w:val="none" w:sz="0" w:space="0" w:color="auto"/>
            <w:bottom w:val="none" w:sz="0" w:space="0" w:color="auto"/>
            <w:right w:val="none" w:sz="0" w:space="0" w:color="auto"/>
          </w:divBdr>
        </w:div>
        <w:div w:id="823856318">
          <w:marLeft w:val="640"/>
          <w:marRight w:val="0"/>
          <w:marTop w:val="0"/>
          <w:marBottom w:val="0"/>
          <w:divBdr>
            <w:top w:val="none" w:sz="0" w:space="0" w:color="auto"/>
            <w:left w:val="none" w:sz="0" w:space="0" w:color="auto"/>
            <w:bottom w:val="none" w:sz="0" w:space="0" w:color="auto"/>
            <w:right w:val="none" w:sz="0" w:space="0" w:color="auto"/>
          </w:divBdr>
        </w:div>
        <w:div w:id="1016923630">
          <w:marLeft w:val="640"/>
          <w:marRight w:val="0"/>
          <w:marTop w:val="0"/>
          <w:marBottom w:val="0"/>
          <w:divBdr>
            <w:top w:val="none" w:sz="0" w:space="0" w:color="auto"/>
            <w:left w:val="none" w:sz="0" w:space="0" w:color="auto"/>
            <w:bottom w:val="none" w:sz="0" w:space="0" w:color="auto"/>
            <w:right w:val="none" w:sz="0" w:space="0" w:color="auto"/>
          </w:divBdr>
        </w:div>
        <w:div w:id="383215186">
          <w:marLeft w:val="640"/>
          <w:marRight w:val="0"/>
          <w:marTop w:val="0"/>
          <w:marBottom w:val="0"/>
          <w:divBdr>
            <w:top w:val="none" w:sz="0" w:space="0" w:color="auto"/>
            <w:left w:val="none" w:sz="0" w:space="0" w:color="auto"/>
            <w:bottom w:val="none" w:sz="0" w:space="0" w:color="auto"/>
            <w:right w:val="none" w:sz="0" w:space="0" w:color="auto"/>
          </w:divBdr>
        </w:div>
        <w:div w:id="1091656148">
          <w:marLeft w:val="640"/>
          <w:marRight w:val="0"/>
          <w:marTop w:val="0"/>
          <w:marBottom w:val="0"/>
          <w:divBdr>
            <w:top w:val="none" w:sz="0" w:space="0" w:color="auto"/>
            <w:left w:val="none" w:sz="0" w:space="0" w:color="auto"/>
            <w:bottom w:val="none" w:sz="0" w:space="0" w:color="auto"/>
            <w:right w:val="none" w:sz="0" w:space="0" w:color="auto"/>
          </w:divBdr>
        </w:div>
        <w:div w:id="1500195766">
          <w:marLeft w:val="640"/>
          <w:marRight w:val="0"/>
          <w:marTop w:val="0"/>
          <w:marBottom w:val="0"/>
          <w:divBdr>
            <w:top w:val="none" w:sz="0" w:space="0" w:color="auto"/>
            <w:left w:val="none" w:sz="0" w:space="0" w:color="auto"/>
            <w:bottom w:val="none" w:sz="0" w:space="0" w:color="auto"/>
            <w:right w:val="none" w:sz="0" w:space="0" w:color="auto"/>
          </w:divBdr>
        </w:div>
        <w:div w:id="356737693">
          <w:marLeft w:val="640"/>
          <w:marRight w:val="0"/>
          <w:marTop w:val="0"/>
          <w:marBottom w:val="0"/>
          <w:divBdr>
            <w:top w:val="none" w:sz="0" w:space="0" w:color="auto"/>
            <w:left w:val="none" w:sz="0" w:space="0" w:color="auto"/>
            <w:bottom w:val="none" w:sz="0" w:space="0" w:color="auto"/>
            <w:right w:val="none" w:sz="0" w:space="0" w:color="auto"/>
          </w:divBdr>
        </w:div>
        <w:div w:id="2128236953">
          <w:marLeft w:val="640"/>
          <w:marRight w:val="0"/>
          <w:marTop w:val="0"/>
          <w:marBottom w:val="0"/>
          <w:divBdr>
            <w:top w:val="none" w:sz="0" w:space="0" w:color="auto"/>
            <w:left w:val="none" w:sz="0" w:space="0" w:color="auto"/>
            <w:bottom w:val="none" w:sz="0" w:space="0" w:color="auto"/>
            <w:right w:val="none" w:sz="0" w:space="0" w:color="auto"/>
          </w:divBdr>
        </w:div>
        <w:div w:id="1217468019">
          <w:marLeft w:val="640"/>
          <w:marRight w:val="0"/>
          <w:marTop w:val="0"/>
          <w:marBottom w:val="0"/>
          <w:divBdr>
            <w:top w:val="none" w:sz="0" w:space="0" w:color="auto"/>
            <w:left w:val="none" w:sz="0" w:space="0" w:color="auto"/>
            <w:bottom w:val="none" w:sz="0" w:space="0" w:color="auto"/>
            <w:right w:val="none" w:sz="0" w:space="0" w:color="auto"/>
          </w:divBdr>
        </w:div>
        <w:div w:id="123929475">
          <w:marLeft w:val="640"/>
          <w:marRight w:val="0"/>
          <w:marTop w:val="0"/>
          <w:marBottom w:val="0"/>
          <w:divBdr>
            <w:top w:val="none" w:sz="0" w:space="0" w:color="auto"/>
            <w:left w:val="none" w:sz="0" w:space="0" w:color="auto"/>
            <w:bottom w:val="none" w:sz="0" w:space="0" w:color="auto"/>
            <w:right w:val="none" w:sz="0" w:space="0" w:color="auto"/>
          </w:divBdr>
        </w:div>
        <w:div w:id="1908807169">
          <w:marLeft w:val="640"/>
          <w:marRight w:val="0"/>
          <w:marTop w:val="0"/>
          <w:marBottom w:val="0"/>
          <w:divBdr>
            <w:top w:val="none" w:sz="0" w:space="0" w:color="auto"/>
            <w:left w:val="none" w:sz="0" w:space="0" w:color="auto"/>
            <w:bottom w:val="none" w:sz="0" w:space="0" w:color="auto"/>
            <w:right w:val="none" w:sz="0" w:space="0" w:color="auto"/>
          </w:divBdr>
        </w:div>
        <w:div w:id="107362811">
          <w:marLeft w:val="640"/>
          <w:marRight w:val="0"/>
          <w:marTop w:val="0"/>
          <w:marBottom w:val="0"/>
          <w:divBdr>
            <w:top w:val="none" w:sz="0" w:space="0" w:color="auto"/>
            <w:left w:val="none" w:sz="0" w:space="0" w:color="auto"/>
            <w:bottom w:val="none" w:sz="0" w:space="0" w:color="auto"/>
            <w:right w:val="none" w:sz="0" w:space="0" w:color="auto"/>
          </w:divBdr>
        </w:div>
        <w:div w:id="1883788140">
          <w:marLeft w:val="640"/>
          <w:marRight w:val="0"/>
          <w:marTop w:val="0"/>
          <w:marBottom w:val="0"/>
          <w:divBdr>
            <w:top w:val="none" w:sz="0" w:space="0" w:color="auto"/>
            <w:left w:val="none" w:sz="0" w:space="0" w:color="auto"/>
            <w:bottom w:val="none" w:sz="0" w:space="0" w:color="auto"/>
            <w:right w:val="none" w:sz="0" w:space="0" w:color="auto"/>
          </w:divBdr>
        </w:div>
        <w:div w:id="1221818695">
          <w:marLeft w:val="640"/>
          <w:marRight w:val="0"/>
          <w:marTop w:val="0"/>
          <w:marBottom w:val="0"/>
          <w:divBdr>
            <w:top w:val="none" w:sz="0" w:space="0" w:color="auto"/>
            <w:left w:val="none" w:sz="0" w:space="0" w:color="auto"/>
            <w:bottom w:val="none" w:sz="0" w:space="0" w:color="auto"/>
            <w:right w:val="none" w:sz="0" w:space="0" w:color="auto"/>
          </w:divBdr>
        </w:div>
        <w:div w:id="1550846722">
          <w:marLeft w:val="640"/>
          <w:marRight w:val="0"/>
          <w:marTop w:val="0"/>
          <w:marBottom w:val="0"/>
          <w:divBdr>
            <w:top w:val="none" w:sz="0" w:space="0" w:color="auto"/>
            <w:left w:val="none" w:sz="0" w:space="0" w:color="auto"/>
            <w:bottom w:val="none" w:sz="0" w:space="0" w:color="auto"/>
            <w:right w:val="none" w:sz="0" w:space="0" w:color="auto"/>
          </w:divBdr>
        </w:div>
        <w:div w:id="2129273076">
          <w:marLeft w:val="640"/>
          <w:marRight w:val="0"/>
          <w:marTop w:val="0"/>
          <w:marBottom w:val="0"/>
          <w:divBdr>
            <w:top w:val="none" w:sz="0" w:space="0" w:color="auto"/>
            <w:left w:val="none" w:sz="0" w:space="0" w:color="auto"/>
            <w:bottom w:val="none" w:sz="0" w:space="0" w:color="auto"/>
            <w:right w:val="none" w:sz="0" w:space="0" w:color="auto"/>
          </w:divBdr>
        </w:div>
        <w:div w:id="2006089319">
          <w:marLeft w:val="640"/>
          <w:marRight w:val="0"/>
          <w:marTop w:val="0"/>
          <w:marBottom w:val="0"/>
          <w:divBdr>
            <w:top w:val="none" w:sz="0" w:space="0" w:color="auto"/>
            <w:left w:val="none" w:sz="0" w:space="0" w:color="auto"/>
            <w:bottom w:val="none" w:sz="0" w:space="0" w:color="auto"/>
            <w:right w:val="none" w:sz="0" w:space="0" w:color="auto"/>
          </w:divBdr>
        </w:div>
        <w:div w:id="578322168">
          <w:marLeft w:val="640"/>
          <w:marRight w:val="0"/>
          <w:marTop w:val="0"/>
          <w:marBottom w:val="0"/>
          <w:divBdr>
            <w:top w:val="none" w:sz="0" w:space="0" w:color="auto"/>
            <w:left w:val="none" w:sz="0" w:space="0" w:color="auto"/>
            <w:bottom w:val="none" w:sz="0" w:space="0" w:color="auto"/>
            <w:right w:val="none" w:sz="0" w:space="0" w:color="auto"/>
          </w:divBdr>
        </w:div>
        <w:div w:id="1624922466">
          <w:marLeft w:val="640"/>
          <w:marRight w:val="0"/>
          <w:marTop w:val="0"/>
          <w:marBottom w:val="0"/>
          <w:divBdr>
            <w:top w:val="none" w:sz="0" w:space="0" w:color="auto"/>
            <w:left w:val="none" w:sz="0" w:space="0" w:color="auto"/>
            <w:bottom w:val="none" w:sz="0" w:space="0" w:color="auto"/>
            <w:right w:val="none" w:sz="0" w:space="0" w:color="auto"/>
          </w:divBdr>
        </w:div>
      </w:divsChild>
    </w:div>
    <w:div w:id="1551647099">
      <w:bodyDiv w:val="1"/>
      <w:marLeft w:val="0"/>
      <w:marRight w:val="0"/>
      <w:marTop w:val="0"/>
      <w:marBottom w:val="0"/>
      <w:divBdr>
        <w:top w:val="none" w:sz="0" w:space="0" w:color="auto"/>
        <w:left w:val="none" w:sz="0" w:space="0" w:color="auto"/>
        <w:bottom w:val="none" w:sz="0" w:space="0" w:color="auto"/>
        <w:right w:val="none" w:sz="0" w:space="0" w:color="auto"/>
      </w:divBdr>
      <w:divsChild>
        <w:div w:id="1039890756">
          <w:marLeft w:val="640"/>
          <w:marRight w:val="0"/>
          <w:marTop w:val="0"/>
          <w:marBottom w:val="0"/>
          <w:divBdr>
            <w:top w:val="none" w:sz="0" w:space="0" w:color="auto"/>
            <w:left w:val="none" w:sz="0" w:space="0" w:color="auto"/>
            <w:bottom w:val="none" w:sz="0" w:space="0" w:color="auto"/>
            <w:right w:val="none" w:sz="0" w:space="0" w:color="auto"/>
          </w:divBdr>
        </w:div>
        <w:div w:id="583220973">
          <w:marLeft w:val="640"/>
          <w:marRight w:val="0"/>
          <w:marTop w:val="0"/>
          <w:marBottom w:val="0"/>
          <w:divBdr>
            <w:top w:val="none" w:sz="0" w:space="0" w:color="auto"/>
            <w:left w:val="none" w:sz="0" w:space="0" w:color="auto"/>
            <w:bottom w:val="none" w:sz="0" w:space="0" w:color="auto"/>
            <w:right w:val="none" w:sz="0" w:space="0" w:color="auto"/>
          </w:divBdr>
        </w:div>
        <w:div w:id="413284288">
          <w:marLeft w:val="640"/>
          <w:marRight w:val="0"/>
          <w:marTop w:val="0"/>
          <w:marBottom w:val="0"/>
          <w:divBdr>
            <w:top w:val="none" w:sz="0" w:space="0" w:color="auto"/>
            <w:left w:val="none" w:sz="0" w:space="0" w:color="auto"/>
            <w:bottom w:val="none" w:sz="0" w:space="0" w:color="auto"/>
            <w:right w:val="none" w:sz="0" w:space="0" w:color="auto"/>
          </w:divBdr>
        </w:div>
        <w:div w:id="1778869819">
          <w:marLeft w:val="640"/>
          <w:marRight w:val="0"/>
          <w:marTop w:val="0"/>
          <w:marBottom w:val="0"/>
          <w:divBdr>
            <w:top w:val="none" w:sz="0" w:space="0" w:color="auto"/>
            <w:left w:val="none" w:sz="0" w:space="0" w:color="auto"/>
            <w:bottom w:val="none" w:sz="0" w:space="0" w:color="auto"/>
            <w:right w:val="none" w:sz="0" w:space="0" w:color="auto"/>
          </w:divBdr>
        </w:div>
        <w:div w:id="63339230">
          <w:marLeft w:val="640"/>
          <w:marRight w:val="0"/>
          <w:marTop w:val="0"/>
          <w:marBottom w:val="0"/>
          <w:divBdr>
            <w:top w:val="none" w:sz="0" w:space="0" w:color="auto"/>
            <w:left w:val="none" w:sz="0" w:space="0" w:color="auto"/>
            <w:bottom w:val="none" w:sz="0" w:space="0" w:color="auto"/>
            <w:right w:val="none" w:sz="0" w:space="0" w:color="auto"/>
          </w:divBdr>
        </w:div>
        <w:div w:id="204608633">
          <w:marLeft w:val="640"/>
          <w:marRight w:val="0"/>
          <w:marTop w:val="0"/>
          <w:marBottom w:val="0"/>
          <w:divBdr>
            <w:top w:val="none" w:sz="0" w:space="0" w:color="auto"/>
            <w:left w:val="none" w:sz="0" w:space="0" w:color="auto"/>
            <w:bottom w:val="none" w:sz="0" w:space="0" w:color="auto"/>
            <w:right w:val="none" w:sz="0" w:space="0" w:color="auto"/>
          </w:divBdr>
        </w:div>
        <w:div w:id="1196232365">
          <w:marLeft w:val="640"/>
          <w:marRight w:val="0"/>
          <w:marTop w:val="0"/>
          <w:marBottom w:val="0"/>
          <w:divBdr>
            <w:top w:val="none" w:sz="0" w:space="0" w:color="auto"/>
            <w:left w:val="none" w:sz="0" w:space="0" w:color="auto"/>
            <w:bottom w:val="none" w:sz="0" w:space="0" w:color="auto"/>
            <w:right w:val="none" w:sz="0" w:space="0" w:color="auto"/>
          </w:divBdr>
        </w:div>
        <w:div w:id="964508768">
          <w:marLeft w:val="640"/>
          <w:marRight w:val="0"/>
          <w:marTop w:val="0"/>
          <w:marBottom w:val="0"/>
          <w:divBdr>
            <w:top w:val="none" w:sz="0" w:space="0" w:color="auto"/>
            <w:left w:val="none" w:sz="0" w:space="0" w:color="auto"/>
            <w:bottom w:val="none" w:sz="0" w:space="0" w:color="auto"/>
            <w:right w:val="none" w:sz="0" w:space="0" w:color="auto"/>
          </w:divBdr>
        </w:div>
        <w:div w:id="1885556859">
          <w:marLeft w:val="640"/>
          <w:marRight w:val="0"/>
          <w:marTop w:val="0"/>
          <w:marBottom w:val="0"/>
          <w:divBdr>
            <w:top w:val="none" w:sz="0" w:space="0" w:color="auto"/>
            <w:left w:val="none" w:sz="0" w:space="0" w:color="auto"/>
            <w:bottom w:val="none" w:sz="0" w:space="0" w:color="auto"/>
            <w:right w:val="none" w:sz="0" w:space="0" w:color="auto"/>
          </w:divBdr>
        </w:div>
        <w:div w:id="711270654">
          <w:marLeft w:val="640"/>
          <w:marRight w:val="0"/>
          <w:marTop w:val="0"/>
          <w:marBottom w:val="0"/>
          <w:divBdr>
            <w:top w:val="none" w:sz="0" w:space="0" w:color="auto"/>
            <w:left w:val="none" w:sz="0" w:space="0" w:color="auto"/>
            <w:bottom w:val="none" w:sz="0" w:space="0" w:color="auto"/>
            <w:right w:val="none" w:sz="0" w:space="0" w:color="auto"/>
          </w:divBdr>
        </w:div>
        <w:div w:id="776215899">
          <w:marLeft w:val="640"/>
          <w:marRight w:val="0"/>
          <w:marTop w:val="0"/>
          <w:marBottom w:val="0"/>
          <w:divBdr>
            <w:top w:val="none" w:sz="0" w:space="0" w:color="auto"/>
            <w:left w:val="none" w:sz="0" w:space="0" w:color="auto"/>
            <w:bottom w:val="none" w:sz="0" w:space="0" w:color="auto"/>
            <w:right w:val="none" w:sz="0" w:space="0" w:color="auto"/>
          </w:divBdr>
        </w:div>
        <w:div w:id="183398358">
          <w:marLeft w:val="640"/>
          <w:marRight w:val="0"/>
          <w:marTop w:val="0"/>
          <w:marBottom w:val="0"/>
          <w:divBdr>
            <w:top w:val="none" w:sz="0" w:space="0" w:color="auto"/>
            <w:left w:val="none" w:sz="0" w:space="0" w:color="auto"/>
            <w:bottom w:val="none" w:sz="0" w:space="0" w:color="auto"/>
            <w:right w:val="none" w:sz="0" w:space="0" w:color="auto"/>
          </w:divBdr>
        </w:div>
        <w:div w:id="2084791735">
          <w:marLeft w:val="640"/>
          <w:marRight w:val="0"/>
          <w:marTop w:val="0"/>
          <w:marBottom w:val="0"/>
          <w:divBdr>
            <w:top w:val="none" w:sz="0" w:space="0" w:color="auto"/>
            <w:left w:val="none" w:sz="0" w:space="0" w:color="auto"/>
            <w:bottom w:val="none" w:sz="0" w:space="0" w:color="auto"/>
            <w:right w:val="none" w:sz="0" w:space="0" w:color="auto"/>
          </w:divBdr>
        </w:div>
        <w:div w:id="176627516">
          <w:marLeft w:val="640"/>
          <w:marRight w:val="0"/>
          <w:marTop w:val="0"/>
          <w:marBottom w:val="0"/>
          <w:divBdr>
            <w:top w:val="none" w:sz="0" w:space="0" w:color="auto"/>
            <w:left w:val="none" w:sz="0" w:space="0" w:color="auto"/>
            <w:bottom w:val="none" w:sz="0" w:space="0" w:color="auto"/>
            <w:right w:val="none" w:sz="0" w:space="0" w:color="auto"/>
          </w:divBdr>
        </w:div>
        <w:div w:id="1782722460">
          <w:marLeft w:val="640"/>
          <w:marRight w:val="0"/>
          <w:marTop w:val="0"/>
          <w:marBottom w:val="0"/>
          <w:divBdr>
            <w:top w:val="none" w:sz="0" w:space="0" w:color="auto"/>
            <w:left w:val="none" w:sz="0" w:space="0" w:color="auto"/>
            <w:bottom w:val="none" w:sz="0" w:space="0" w:color="auto"/>
            <w:right w:val="none" w:sz="0" w:space="0" w:color="auto"/>
          </w:divBdr>
        </w:div>
        <w:div w:id="181169000">
          <w:marLeft w:val="640"/>
          <w:marRight w:val="0"/>
          <w:marTop w:val="0"/>
          <w:marBottom w:val="0"/>
          <w:divBdr>
            <w:top w:val="none" w:sz="0" w:space="0" w:color="auto"/>
            <w:left w:val="none" w:sz="0" w:space="0" w:color="auto"/>
            <w:bottom w:val="none" w:sz="0" w:space="0" w:color="auto"/>
            <w:right w:val="none" w:sz="0" w:space="0" w:color="auto"/>
          </w:divBdr>
        </w:div>
        <w:div w:id="1668947275">
          <w:marLeft w:val="640"/>
          <w:marRight w:val="0"/>
          <w:marTop w:val="0"/>
          <w:marBottom w:val="0"/>
          <w:divBdr>
            <w:top w:val="none" w:sz="0" w:space="0" w:color="auto"/>
            <w:left w:val="none" w:sz="0" w:space="0" w:color="auto"/>
            <w:bottom w:val="none" w:sz="0" w:space="0" w:color="auto"/>
            <w:right w:val="none" w:sz="0" w:space="0" w:color="auto"/>
          </w:divBdr>
        </w:div>
        <w:div w:id="773480380">
          <w:marLeft w:val="640"/>
          <w:marRight w:val="0"/>
          <w:marTop w:val="0"/>
          <w:marBottom w:val="0"/>
          <w:divBdr>
            <w:top w:val="none" w:sz="0" w:space="0" w:color="auto"/>
            <w:left w:val="none" w:sz="0" w:space="0" w:color="auto"/>
            <w:bottom w:val="none" w:sz="0" w:space="0" w:color="auto"/>
            <w:right w:val="none" w:sz="0" w:space="0" w:color="auto"/>
          </w:divBdr>
        </w:div>
        <w:div w:id="365181239">
          <w:marLeft w:val="640"/>
          <w:marRight w:val="0"/>
          <w:marTop w:val="0"/>
          <w:marBottom w:val="0"/>
          <w:divBdr>
            <w:top w:val="none" w:sz="0" w:space="0" w:color="auto"/>
            <w:left w:val="none" w:sz="0" w:space="0" w:color="auto"/>
            <w:bottom w:val="none" w:sz="0" w:space="0" w:color="auto"/>
            <w:right w:val="none" w:sz="0" w:space="0" w:color="auto"/>
          </w:divBdr>
        </w:div>
        <w:div w:id="333647623">
          <w:marLeft w:val="640"/>
          <w:marRight w:val="0"/>
          <w:marTop w:val="0"/>
          <w:marBottom w:val="0"/>
          <w:divBdr>
            <w:top w:val="none" w:sz="0" w:space="0" w:color="auto"/>
            <w:left w:val="none" w:sz="0" w:space="0" w:color="auto"/>
            <w:bottom w:val="none" w:sz="0" w:space="0" w:color="auto"/>
            <w:right w:val="none" w:sz="0" w:space="0" w:color="auto"/>
          </w:divBdr>
        </w:div>
        <w:div w:id="779571664">
          <w:marLeft w:val="640"/>
          <w:marRight w:val="0"/>
          <w:marTop w:val="0"/>
          <w:marBottom w:val="0"/>
          <w:divBdr>
            <w:top w:val="none" w:sz="0" w:space="0" w:color="auto"/>
            <w:left w:val="none" w:sz="0" w:space="0" w:color="auto"/>
            <w:bottom w:val="none" w:sz="0" w:space="0" w:color="auto"/>
            <w:right w:val="none" w:sz="0" w:space="0" w:color="auto"/>
          </w:divBdr>
        </w:div>
        <w:div w:id="1918591449">
          <w:marLeft w:val="640"/>
          <w:marRight w:val="0"/>
          <w:marTop w:val="0"/>
          <w:marBottom w:val="0"/>
          <w:divBdr>
            <w:top w:val="none" w:sz="0" w:space="0" w:color="auto"/>
            <w:left w:val="none" w:sz="0" w:space="0" w:color="auto"/>
            <w:bottom w:val="none" w:sz="0" w:space="0" w:color="auto"/>
            <w:right w:val="none" w:sz="0" w:space="0" w:color="auto"/>
          </w:divBdr>
        </w:div>
        <w:div w:id="442772240">
          <w:marLeft w:val="640"/>
          <w:marRight w:val="0"/>
          <w:marTop w:val="0"/>
          <w:marBottom w:val="0"/>
          <w:divBdr>
            <w:top w:val="none" w:sz="0" w:space="0" w:color="auto"/>
            <w:left w:val="none" w:sz="0" w:space="0" w:color="auto"/>
            <w:bottom w:val="none" w:sz="0" w:space="0" w:color="auto"/>
            <w:right w:val="none" w:sz="0" w:space="0" w:color="auto"/>
          </w:divBdr>
        </w:div>
        <w:div w:id="1279292662">
          <w:marLeft w:val="640"/>
          <w:marRight w:val="0"/>
          <w:marTop w:val="0"/>
          <w:marBottom w:val="0"/>
          <w:divBdr>
            <w:top w:val="none" w:sz="0" w:space="0" w:color="auto"/>
            <w:left w:val="none" w:sz="0" w:space="0" w:color="auto"/>
            <w:bottom w:val="none" w:sz="0" w:space="0" w:color="auto"/>
            <w:right w:val="none" w:sz="0" w:space="0" w:color="auto"/>
          </w:divBdr>
        </w:div>
        <w:div w:id="583346811">
          <w:marLeft w:val="640"/>
          <w:marRight w:val="0"/>
          <w:marTop w:val="0"/>
          <w:marBottom w:val="0"/>
          <w:divBdr>
            <w:top w:val="none" w:sz="0" w:space="0" w:color="auto"/>
            <w:left w:val="none" w:sz="0" w:space="0" w:color="auto"/>
            <w:bottom w:val="none" w:sz="0" w:space="0" w:color="auto"/>
            <w:right w:val="none" w:sz="0" w:space="0" w:color="auto"/>
          </w:divBdr>
        </w:div>
        <w:div w:id="1150051490">
          <w:marLeft w:val="640"/>
          <w:marRight w:val="0"/>
          <w:marTop w:val="0"/>
          <w:marBottom w:val="0"/>
          <w:divBdr>
            <w:top w:val="none" w:sz="0" w:space="0" w:color="auto"/>
            <w:left w:val="none" w:sz="0" w:space="0" w:color="auto"/>
            <w:bottom w:val="none" w:sz="0" w:space="0" w:color="auto"/>
            <w:right w:val="none" w:sz="0" w:space="0" w:color="auto"/>
          </w:divBdr>
        </w:div>
        <w:div w:id="774863790">
          <w:marLeft w:val="640"/>
          <w:marRight w:val="0"/>
          <w:marTop w:val="0"/>
          <w:marBottom w:val="0"/>
          <w:divBdr>
            <w:top w:val="none" w:sz="0" w:space="0" w:color="auto"/>
            <w:left w:val="none" w:sz="0" w:space="0" w:color="auto"/>
            <w:bottom w:val="none" w:sz="0" w:space="0" w:color="auto"/>
            <w:right w:val="none" w:sz="0" w:space="0" w:color="auto"/>
          </w:divBdr>
        </w:div>
        <w:div w:id="1382514302">
          <w:marLeft w:val="640"/>
          <w:marRight w:val="0"/>
          <w:marTop w:val="0"/>
          <w:marBottom w:val="0"/>
          <w:divBdr>
            <w:top w:val="none" w:sz="0" w:space="0" w:color="auto"/>
            <w:left w:val="none" w:sz="0" w:space="0" w:color="auto"/>
            <w:bottom w:val="none" w:sz="0" w:space="0" w:color="auto"/>
            <w:right w:val="none" w:sz="0" w:space="0" w:color="auto"/>
          </w:divBdr>
        </w:div>
        <w:div w:id="46271818">
          <w:marLeft w:val="640"/>
          <w:marRight w:val="0"/>
          <w:marTop w:val="0"/>
          <w:marBottom w:val="0"/>
          <w:divBdr>
            <w:top w:val="none" w:sz="0" w:space="0" w:color="auto"/>
            <w:left w:val="none" w:sz="0" w:space="0" w:color="auto"/>
            <w:bottom w:val="none" w:sz="0" w:space="0" w:color="auto"/>
            <w:right w:val="none" w:sz="0" w:space="0" w:color="auto"/>
          </w:divBdr>
        </w:div>
        <w:div w:id="1680622319">
          <w:marLeft w:val="640"/>
          <w:marRight w:val="0"/>
          <w:marTop w:val="0"/>
          <w:marBottom w:val="0"/>
          <w:divBdr>
            <w:top w:val="none" w:sz="0" w:space="0" w:color="auto"/>
            <w:left w:val="none" w:sz="0" w:space="0" w:color="auto"/>
            <w:bottom w:val="none" w:sz="0" w:space="0" w:color="auto"/>
            <w:right w:val="none" w:sz="0" w:space="0" w:color="auto"/>
          </w:divBdr>
        </w:div>
        <w:div w:id="696128276">
          <w:marLeft w:val="640"/>
          <w:marRight w:val="0"/>
          <w:marTop w:val="0"/>
          <w:marBottom w:val="0"/>
          <w:divBdr>
            <w:top w:val="none" w:sz="0" w:space="0" w:color="auto"/>
            <w:left w:val="none" w:sz="0" w:space="0" w:color="auto"/>
            <w:bottom w:val="none" w:sz="0" w:space="0" w:color="auto"/>
            <w:right w:val="none" w:sz="0" w:space="0" w:color="auto"/>
          </w:divBdr>
        </w:div>
        <w:div w:id="2024161981">
          <w:marLeft w:val="640"/>
          <w:marRight w:val="0"/>
          <w:marTop w:val="0"/>
          <w:marBottom w:val="0"/>
          <w:divBdr>
            <w:top w:val="none" w:sz="0" w:space="0" w:color="auto"/>
            <w:left w:val="none" w:sz="0" w:space="0" w:color="auto"/>
            <w:bottom w:val="none" w:sz="0" w:space="0" w:color="auto"/>
            <w:right w:val="none" w:sz="0" w:space="0" w:color="auto"/>
          </w:divBdr>
        </w:div>
        <w:div w:id="1296250585">
          <w:marLeft w:val="640"/>
          <w:marRight w:val="0"/>
          <w:marTop w:val="0"/>
          <w:marBottom w:val="0"/>
          <w:divBdr>
            <w:top w:val="none" w:sz="0" w:space="0" w:color="auto"/>
            <w:left w:val="none" w:sz="0" w:space="0" w:color="auto"/>
            <w:bottom w:val="none" w:sz="0" w:space="0" w:color="auto"/>
            <w:right w:val="none" w:sz="0" w:space="0" w:color="auto"/>
          </w:divBdr>
        </w:div>
        <w:div w:id="277764041">
          <w:marLeft w:val="640"/>
          <w:marRight w:val="0"/>
          <w:marTop w:val="0"/>
          <w:marBottom w:val="0"/>
          <w:divBdr>
            <w:top w:val="none" w:sz="0" w:space="0" w:color="auto"/>
            <w:left w:val="none" w:sz="0" w:space="0" w:color="auto"/>
            <w:bottom w:val="none" w:sz="0" w:space="0" w:color="auto"/>
            <w:right w:val="none" w:sz="0" w:space="0" w:color="auto"/>
          </w:divBdr>
        </w:div>
        <w:div w:id="426194546">
          <w:marLeft w:val="640"/>
          <w:marRight w:val="0"/>
          <w:marTop w:val="0"/>
          <w:marBottom w:val="0"/>
          <w:divBdr>
            <w:top w:val="none" w:sz="0" w:space="0" w:color="auto"/>
            <w:left w:val="none" w:sz="0" w:space="0" w:color="auto"/>
            <w:bottom w:val="none" w:sz="0" w:space="0" w:color="auto"/>
            <w:right w:val="none" w:sz="0" w:space="0" w:color="auto"/>
          </w:divBdr>
        </w:div>
        <w:div w:id="620495584">
          <w:marLeft w:val="640"/>
          <w:marRight w:val="0"/>
          <w:marTop w:val="0"/>
          <w:marBottom w:val="0"/>
          <w:divBdr>
            <w:top w:val="none" w:sz="0" w:space="0" w:color="auto"/>
            <w:left w:val="none" w:sz="0" w:space="0" w:color="auto"/>
            <w:bottom w:val="none" w:sz="0" w:space="0" w:color="auto"/>
            <w:right w:val="none" w:sz="0" w:space="0" w:color="auto"/>
          </w:divBdr>
        </w:div>
        <w:div w:id="1985625458">
          <w:marLeft w:val="640"/>
          <w:marRight w:val="0"/>
          <w:marTop w:val="0"/>
          <w:marBottom w:val="0"/>
          <w:divBdr>
            <w:top w:val="none" w:sz="0" w:space="0" w:color="auto"/>
            <w:left w:val="none" w:sz="0" w:space="0" w:color="auto"/>
            <w:bottom w:val="none" w:sz="0" w:space="0" w:color="auto"/>
            <w:right w:val="none" w:sz="0" w:space="0" w:color="auto"/>
          </w:divBdr>
        </w:div>
        <w:div w:id="1516648080">
          <w:marLeft w:val="640"/>
          <w:marRight w:val="0"/>
          <w:marTop w:val="0"/>
          <w:marBottom w:val="0"/>
          <w:divBdr>
            <w:top w:val="none" w:sz="0" w:space="0" w:color="auto"/>
            <w:left w:val="none" w:sz="0" w:space="0" w:color="auto"/>
            <w:bottom w:val="none" w:sz="0" w:space="0" w:color="auto"/>
            <w:right w:val="none" w:sz="0" w:space="0" w:color="auto"/>
          </w:divBdr>
        </w:div>
        <w:div w:id="1230387220">
          <w:marLeft w:val="640"/>
          <w:marRight w:val="0"/>
          <w:marTop w:val="0"/>
          <w:marBottom w:val="0"/>
          <w:divBdr>
            <w:top w:val="none" w:sz="0" w:space="0" w:color="auto"/>
            <w:left w:val="none" w:sz="0" w:space="0" w:color="auto"/>
            <w:bottom w:val="none" w:sz="0" w:space="0" w:color="auto"/>
            <w:right w:val="none" w:sz="0" w:space="0" w:color="auto"/>
          </w:divBdr>
        </w:div>
        <w:div w:id="623925799">
          <w:marLeft w:val="640"/>
          <w:marRight w:val="0"/>
          <w:marTop w:val="0"/>
          <w:marBottom w:val="0"/>
          <w:divBdr>
            <w:top w:val="none" w:sz="0" w:space="0" w:color="auto"/>
            <w:left w:val="none" w:sz="0" w:space="0" w:color="auto"/>
            <w:bottom w:val="none" w:sz="0" w:space="0" w:color="auto"/>
            <w:right w:val="none" w:sz="0" w:space="0" w:color="auto"/>
          </w:divBdr>
        </w:div>
        <w:div w:id="1507819439">
          <w:marLeft w:val="640"/>
          <w:marRight w:val="0"/>
          <w:marTop w:val="0"/>
          <w:marBottom w:val="0"/>
          <w:divBdr>
            <w:top w:val="none" w:sz="0" w:space="0" w:color="auto"/>
            <w:left w:val="none" w:sz="0" w:space="0" w:color="auto"/>
            <w:bottom w:val="none" w:sz="0" w:space="0" w:color="auto"/>
            <w:right w:val="none" w:sz="0" w:space="0" w:color="auto"/>
          </w:divBdr>
        </w:div>
        <w:div w:id="2070154942">
          <w:marLeft w:val="640"/>
          <w:marRight w:val="0"/>
          <w:marTop w:val="0"/>
          <w:marBottom w:val="0"/>
          <w:divBdr>
            <w:top w:val="none" w:sz="0" w:space="0" w:color="auto"/>
            <w:left w:val="none" w:sz="0" w:space="0" w:color="auto"/>
            <w:bottom w:val="none" w:sz="0" w:space="0" w:color="auto"/>
            <w:right w:val="none" w:sz="0" w:space="0" w:color="auto"/>
          </w:divBdr>
        </w:div>
        <w:div w:id="312637986">
          <w:marLeft w:val="640"/>
          <w:marRight w:val="0"/>
          <w:marTop w:val="0"/>
          <w:marBottom w:val="0"/>
          <w:divBdr>
            <w:top w:val="none" w:sz="0" w:space="0" w:color="auto"/>
            <w:left w:val="none" w:sz="0" w:space="0" w:color="auto"/>
            <w:bottom w:val="none" w:sz="0" w:space="0" w:color="auto"/>
            <w:right w:val="none" w:sz="0" w:space="0" w:color="auto"/>
          </w:divBdr>
        </w:div>
        <w:div w:id="1731532491">
          <w:marLeft w:val="640"/>
          <w:marRight w:val="0"/>
          <w:marTop w:val="0"/>
          <w:marBottom w:val="0"/>
          <w:divBdr>
            <w:top w:val="none" w:sz="0" w:space="0" w:color="auto"/>
            <w:left w:val="none" w:sz="0" w:space="0" w:color="auto"/>
            <w:bottom w:val="none" w:sz="0" w:space="0" w:color="auto"/>
            <w:right w:val="none" w:sz="0" w:space="0" w:color="auto"/>
          </w:divBdr>
        </w:div>
        <w:div w:id="1897006885">
          <w:marLeft w:val="640"/>
          <w:marRight w:val="0"/>
          <w:marTop w:val="0"/>
          <w:marBottom w:val="0"/>
          <w:divBdr>
            <w:top w:val="none" w:sz="0" w:space="0" w:color="auto"/>
            <w:left w:val="none" w:sz="0" w:space="0" w:color="auto"/>
            <w:bottom w:val="none" w:sz="0" w:space="0" w:color="auto"/>
            <w:right w:val="none" w:sz="0" w:space="0" w:color="auto"/>
          </w:divBdr>
        </w:div>
        <w:div w:id="177697370">
          <w:marLeft w:val="640"/>
          <w:marRight w:val="0"/>
          <w:marTop w:val="0"/>
          <w:marBottom w:val="0"/>
          <w:divBdr>
            <w:top w:val="none" w:sz="0" w:space="0" w:color="auto"/>
            <w:left w:val="none" w:sz="0" w:space="0" w:color="auto"/>
            <w:bottom w:val="none" w:sz="0" w:space="0" w:color="auto"/>
            <w:right w:val="none" w:sz="0" w:space="0" w:color="auto"/>
          </w:divBdr>
        </w:div>
        <w:div w:id="2116244663">
          <w:marLeft w:val="640"/>
          <w:marRight w:val="0"/>
          <w:marTop w:val="0"/>
          <w:marBottom w:val="0"/>
          <w:divBdr>
            <w:top w:val="none" w:sz="0" w:space="0" w:color="auto"/>
            <w:left w:val="none" w:sz="0" w:space="0" w:color="auto"/>
            <w:bottom w:val="none" w:sz="0" w:space="0" w:color="auto"/>
            <w:right w:val="none" w:sz="0" w:space="0" w:color="auto"/>
          </w:divBdr>
        </w:div>
        <w:div w:id="874853252">
          <w:marLeft w:val="640"/>
          <w:marRight w:val="0"/>
          <w:marTop w:val="0"/>
          <w:marBottom w:val="0"/>
          <w:divBdr>
            <w:top w:val="none" w:sz="0" w:space="0" w:color="auto"/>
            <w:left w:val="none" w:sz="0" w:space="0" w:color="auto"/>
            <w:bottom w:val="none" w:sz="0" w:space="0" w:color="auto"/>
            <w:right w:val="none" w:sz="0" w:space="0" w:color="auto"/>
          </w:divBdr>
        </w:div>
        <w:div w:id="746612287">
          <w:marLeft w:val="640"/>
          <w:marRight w:val="0"/>
          <w:marTop w:val="0"/>
          <w:marBottom w:val="0"/>
          <w:divBdr>
            <w:top w:val="none" w:sz="0" w:space="0" w:color="auto"/>
            <w:left w:val="none" w:sz="0" w:space="0" w:color="auto"/>
            <w:bottom w:val="none" w:sz="0" w:space="0" w:color="auto"/>
            <w:right w:val="none" w:sz="0" w:space="0" w:color="auto"/>
          </w:divBdr>
        </w:div>
        <w:div w:id="1216547223">
          <w:marLeft w:val="640"/>
          <w:marRight w:val="0"/>
          <w:marTop w:val="0"/>
          <w:marBottom w:val="0"/>
          <w:divBdr>
            <w:top w:val="none" w:sz="0" w:space="0" w:color="auto"/>
            <w:left w:val="none" w:sz="0" w:space="0" w:color="auto"/>
            <w:bottom w:val="none" w:sz="0" w:space="0" w:color="auto"/>
            <w:right w:val="none" w:sz="0" w:space="0" w:color="auto"/>
          </w:divBdr>
        </w:div>
        <w:div w:id="1857690894">
          <w:marLeft w:val="640"/>
          <w:marRight w:val="0"/>
          <w:marTop w:val="0"/>
          <w:marBottom w:val="0"/>
          <w:divBdr>
            <w:top w:val="none" w:sz="0" w:space="0" w:color="auto"/>
            <w:left w:val="none" w:sz="0" w:space="0" w:color="auto"/>
            <w:bottom w:val="none" w:sz="0" w:space="0" w:color="auto"/>
            <w:right w:val="none" w:sz="0" w:space="0" w:color="auto"/>
          </w:divBdr>
        </w:div>
        <w:div w:id="7609260">
          <w:marLeft w:val="640"/>
          <w:marRight w:val="0"/>
          <w:marTop w:val="0"/>
          <w:marBottom w:val="0"/>
          <w:divBdr>
            <w:top w:val="none" w:sz="0" w:space="0" w:color="auto"/>
            <w:left w:val="none" w:sz="0" w:space="0" w:color="auto"/>
            <w:bottom w:val="none" w:sz="0" w:space="0" w:color="auto"/>
            <w:right w:val="none" w:sz="0" w:space="0" w:color="auto"/>
          </w:divBdr>
        </w:div>
        <w:div w:id="156969323">
          <w:marLeft w:val="640"/>
          <w:marRight w:val="0"/>
          <w:marTop w:val="0"/>
          <w:marBottom w:val="0"/>
          <w:divBdr>
            <w:top w:val="none" w:sz="0" w:space="0" w:color="auto"/>
            <w:left w:val="none" w:sz="0" w:space="0" w:color="auto"/>
            <w:bottom w:val="none" w:sz="0" w:space="0" w:color="auto"/>
            <w:right w:val="none" w:sz="0" w:space="0" w:color="auto"/>
          </w:divBdr>
        </w:div>
        <w:div w:id="1092510374">
          <w:marLeft w:val="640"/>
          <w:marRight w:val="0"/>
          <w:marTop w:val="0"/>
          <w:marBottom w:val="0"/>
          <w:divBdr>
            <w:top w:val="none" w:sz="0" w:space="0" w:color="auto"/>
            <w:left w:val="none" w:sz="0" w:space="0" w:color="auto"/>
            <w:bottom w:val="none" w:sz="0" w:space="0" w:color="auto"/>
            <w:right w:val="none" w:sz="0" w:space="0" w:color="auto"/>
          </w:divBdr>
        </w:div>
        <w:div w:id="997657435">
          <w:marLeft w:val="640"/>
          <w:marRight w:val="0"/>
          <w:marTop w:val="0"/>
          <w:marBottom w:val="0"/>
          <w:divBdr>
            <w:top w:val="none" w:sz="0" w:space="0" w:color="auto"/>
            <w:left w:val="none" w:sz="0" w:space="0" w:color="auto"/>
            <w:bottom w:val="none" w:sz="0" w:space="0" w:color="auto"/>
            <w:right w:val="none" w:sz="0" w:space="0" w:color="auto"/>
          </w:divBdr>
        </w:div>
        <w:div w:id="876282397">
          <w:marLeft w:val="640"/>
          <w:marRight w:val="0"/>
          <w:marTop w:val="0"/>
          <w:marBottom w:val="0"/>
          <w:divBdr>
            <w:top w:val="none" w:sz="0" w:space="0" w:color="auto"/>
            <w:left w:val="none" w:sz="0" w:space="0" w:color="auto"/>
            <w:bottom w:val="none" w:sz="0" w:space="0" w:color="auto"/>
            <w:right w:val="none" w:sz="0" w:space="0" w:color="auto"/>
          </w:divBdr>
        </w:div>
        <w:div w:id="375619045">
          <w:marLeft w:val="640"/>
          <w:marRight w:val="0"/>
          <w:marTop w:val="0"/>
          <w:marBottom w:val="0"/>
          <w:divBdr>
            <w:top w:val="none" w:sz="0" w:space="0" w:color="auto"/>
            <w:left w:val="none" w:sz="0" w:space="0" w:color="auto"/>
            <w:bottom w:val="none" w:sz="0" w:space="0" w:color="auto"/>
            <w:right w:val="none" w:sz="0" w:space="0" w:color="auto"/>
          </w:divBdr>
        </w:div>
        <w:div w:id="1252003873">
          <w:marLeft w:val="640"/>
          <w:marRight w:val="0"/>
          <w:marTop w:val="0"/>
          <w:marBottom w:val="0"/>
          <w:divBdr>
            <w:top w:val="none" w:sz="0" w:space="0" w:color="auto"/>
            <w:left w:val="none" w:sz="0" w:space="0" w:color="auto"/>
            <w:bottom w:val="none" w:sz="0" w:space="0" w:color="auto"/>
            <w:right w:val="none" w:sz="0" w:space="0" w:color="auto"/>
          </w:divBdr>
        </w:div>
        <w:div w:id="1733848112">
          <w:marLeft w:val="640"/>
          <w:marRight w:val="0"/>
          <w:marTop w:val="0"/>
          <w:marBottom w:val="0"/>
          <w:divBdr>
            <w:top w:val="none" w:sz="0" w:space="0" w:color="auto"/>
            <w:left w:val="none" w:sz="0" w:space="0" w:color="auto"/>
            <w:bottom w:val="none" w:sz="0" w:space="0" w:color="auto"/>
            <w:right w:val="none" w:sz="0" w:space="0" w:color="auto"/>
          </w:divBdr>
        </w:div>
        <w:div w:id="1682851725">
          <w:marLeft w:val="640"/>
          <w:marRight w:val="0"/>
          <w:marTop w:val="0"/>
          <w:marBottom w:val="0"/>
          <w:divBdr>
            <w:top w:val="none" w:sz="0" w:space="0" w:color="auto"/>
            <w:left w:val="none" w:sz="0" w:space="0" w:color="auto"/>
            <w:bottom w:val="none" w:sz="0" w:space="0" w:color="auto"/>
            <w:right w:val="none" w:sz="0" w:space="0" w:color="auto"/>
          </w:divBdr>
        </w:div>
        <w:div w:id="1500802561">
          <w:marLeft w:val="640"/>
          <w:marRight w:val="0"/>
          <w:marTop w:val="0"/>
          <w:marBottom w:val="0"/>
          <w:divBdr>
            <w:top w:val="none" w:sz="0" w:space="0" w:color="auto"/>
            <w:left w:val="none" w:sz="0" w:space="0" w:color="auto"/>
            <w:bottom w:val="none" w:sz="0" w:space="0" w:color="auto"/>
            <w:right w:val="none" w:sz="0" w:space="0" w:color="auto"/>
          </w:divBdr>
        </w:div>
        <w:div w:id="326860372">
          <w:marLeft w:val="640"/>
          <w:marRight w:val="0"/>
          <w:marTop w:val="0"/>
          <w:marBottom w:val="0"/>
          <w:divBdr>
            <w:top w:val="none" w:sz="0" w:space="0" w:color="auto"/>
            <w:left w:val="none" w:sz="0" w:space="0" w:color="auto"/>
            <w:bottom w:val="none" w:sz="0" w:space="0" w:color="auto"/>
            <w:right w:val="none" w:sz="0" w:space="0" w:color="auto"/>
          </w:divBdr>
        </w:div>
        <w:div w:id="2113209659">
          <w:marLeft w:val="640"/>
          <w:marRight w:val="0"/>
          <w:marTop w:val="0"/>
          <w:marBottom w:val="0"/>
          <w:divBdr>
            <w:top w:val="none" w:sz="0" w:space="0" w:color="auto"/>
            <w:left w:val="none" w:sz="0" w:space="0" w:color="auto"/>
            <w:bottom w:val="none" w:sz="0" w:space="0" w:color="auto"/>
            <w:right w:val="none" w:sz="0" w:space="0" w:color="auto"/>
          </w:divBdr>
        </w:div>
        <w:div w:id="1195651287">
          <w:marLeft w:val="640"/>
          <w:marRight w:val="0"/>
          <w:marTop w:val="0"/>
          <w:marBottom w:val="0"/>
          <w:divBdr>
            <w:top w:val="none" w:sz="0" w:space="0" w:color="auto"/>
            <w:left w:val="none" w:sz="0" w:space="0" w:color="auto"/>
            <w:bottom w:val="none" w:sz="0" w:space="0" w:color="auto"/>
            <w:right w:val="none" w:sz="0" w:space="0" w:color="auto"/>
          </w:divBdr>
        </w:div>
        <w:div w:id="168065574">
          <w:marLeft w:val="640"/>
          <w:marRight w:val="0"/>
          <w:marTop w:val="0"/>
          <w:marBottom w:val="0"/>
          <w:divBdr>
            <w:top w:val="none" w:sz="0" w:space="0" w:color="auto"/>
            <w:left w:val="none" w:sz="0" w:space="0" w:color="auto"/>
            <w:bottom w:val="none" w:sz="0" w:space="0" w:color="auto"/>
            <w:right w:val="none" w:sz="0" w:space="0" w:color="auto"/>
          </w:divBdr>
        </w:div>
        <w:div w:id="565341354">
          <w:marLeft w:val="640"/>
          <w:marRight w:val="0"/>
          <w:marTop w:val="0"/>
          <w:marBottom w:val="0"/>
          <w:divBdr>
            <w:top w:val="none" w:sz="0" w:space="0" w:color="auto"/>
            <w:left w:val="none" w:sz="0" w:space="0" w:color="auto"/>
            <w:bottom w:val="none" w:sz="0" w:space="0" w:color="auto"/>
            <w:right w:val="none" w:sz="0" w:space="0" w:color="auto"/>
          </w:divBdr>
        </w:div>
        <w:div w:id="140738059">
          <w:marLeft w:val="640"/>
          <w:marRight w:val="0"/>
          <w:marTop w:val="0"/>
          <w:marBottom w:val="0"/>
          <w:divBdr>
            <w:top w:val="none" w:sz="0" w:space="0" w:color="auto"/>
            <w:left w:val="none" w:sz="0" w:space="0" w:color="auto"/>
            <w:bottom w:val="none" w:sz="0" w:space="0" w:color="auto"/>
            <w:right w:val="none" w:sz="0" w:space="0" w:color="auto"/>
          </w:divBdr>
        </w:div>
        <w:div w:id="1949924279">
          <w:marLeft w:val="640"/>
          <w:marRight w:val="0"/>
          <w:marTop w:val="0"/>
          <w:marBottom w:val="0"/>
          <w:divBdr>
            <w:top w:val="none" w:sz="0" w:space="0" w:color="auto"/>
            <w:left w:val="none" w:sz="0" w:space="0" w:color="auto"/>
            <w:bottom w:val="none" w:sz="0" w:space="0" w:color="auto"/>
            <w:right w:val="none" w:sz="0" w:space="0" w:color="auto"/>
          </w:divBdr>
        </w:div>
        <w:div w:id="287050154">
          <w:marLeft w:val="640"/>
          <w:marRight w:val="0"/>
          <w:marTop w:val="0"/>
          <w:marBottom w:val="0"/>
          <w:divBdr>
            <w:top w:val="none" w:sz="0" w:space="0" w:color="auto"/>
            <w:left w:val="none" w:sz="0" w:space="0" w:color="auto"/>
            <w:bottom w:val="none" w:sz="0" w:space="0" w:color="auto"/>
            <w:right w:val="none" w:sz="0" w:space="0" w:color="auto"/>
          </w:divBdr>
        </w:div>
        <w:div w:id="644704091">
          <w:marLeft w:val="640"/>
          <w:marRight w:val="0"/>
          <w:marTop w:val="0"/>
          <w:marBottom w:val="0"/>
          <w:divBdr>
            <w:top w:val="none" w:sz="0" w:space="0" w:color="auto"/>
            <w:left w:val="none" w:sz="0" w:space="0" w:color="auto"/>
            <w:bottom w:val="none" w:sz="0" w:space="0" w:color="auto"/>
            <w:right w:val="none" w:sz="0" w:space="0" w:color="auto"/>
          </w:divBdr>
        </w:div>
        <w:div w:id="163709588">
          <w:marLeft w:val="640"/>
          <w:marRight w:val="0"/>
          <w:marTop w:val="0"/>
          <w:marBottom w:val="0"/>
          <w:divBdr>
            <w:top w:val="none" w:sz="0" w:space="0" w:color="auto"/>
            <w:left w:val="none" w:sz="0" w:space="0" w:color="auto"/>
            <w:bottom w:val="none" w:sz="0" w:space="0" w:color="auto"/>
            <w:right w:val="none" w:sz="0" w:space="0" w:color="auto"/>
          </w:divBdr>
        </w:div>
        <w:div w:id="1254976965">
          <w:marLeft w:val="640"/>
          <w:marRight w:val="0"/>
          <w:marTop w:val="0"/>
          <w:marBottom w:val="0"/>
          <w:divBdr>
            <w:top w:val="none" w:sz="0" w:space="0" w:color="auto"/>
            <w:left w:val="none" w:sz="0" w:space="0" w:color="auto"/>
            <w:bottom w:val="none" w:sz="0" w:space="0" w:color="auto"/>
            <w:right w:val="none" w:sz="0" w:space="0" w:color="auto"/>
          </w:divBdr>
        </w:div>
        <w:div w:id="1601647831">
          <w:marLeft w:val="640"/>
          <w:marRight w:val="0"/>
          <w:marTop w:val="0"/>
          <w:marBottom w:val="0"/>
          <w:divBdr>
            <w:top w:val="none" w:sz="0" w:space="0" w:color="auto"/>
            <w:left w:val="none" w:sz="0" w:space="0" w:color="auto"/>
            <w:bottom w:val="none" w:sz="0" w:space="0" w:color="auto"/>
            <w:right w:val="none" w:sz="0" w:space="0" w:color="auto"/>
          </w:divBdr>
        </w:div>
        <w:div w:id="648940187">
          <w:marLeft w:val="640"/>
          <w:marRight w:val="0"/>
          <w:marTop w:val="0"/>
          <w:marBottom w:val="0"/>
          <w:divBdr>
            <w:top w:val="none" w:sz="0" w:space="0" w:color="auto"/>
            <w:left w:val="none" w:sz="0" w:space="0" w:color="auto"/>
            <w:bottom w:val="none" w:sz="0" w:space="0" w:color="auto"/>
            <w:right w:val="none" w:sz="0" w:space="0" w:color="auto"/>
          </w:divBdr>
        </w:div>
        <w:div w:id="1268733307">
          <w:marLeft w:val="640"/>
          <w:marRight w:val="0"/>
          <w:marTop w:val="0"/>
          <w:marBottom w:val="0"/>
          <w:divBdr>
            <w:top w:val="none" w:sz="0" w:space="0" w:color="auto"/>
            <w:left w:val="none" w:sz="0" w:space="0" w:color="auto"/>
            <w:bottom w:val="none" w:sz="0" w:space="0" w:color="auto"/>
            <w:right w:val="none" w:sz="0" w:space="0" w:color="auto"/>
          </w:divBdr>
        </w:div>
        <w:div w:id="994256503">
          <w:marLeft w:val="640"/>
          <w:marRight w:val="0"/>
          <w:marTop w:val="0"/>
          <w:marBottom w:val="0"/>
          <w:divBdr>
            <w:top w:val="none" w:sz="0" w:space="0" w:color="auto"/>
            <w:left w:val="none" w:sz="0" w:space="0" w:color="auto"/>
            <w:bottom w:val="none" w:sz="0" w:space="0" w:color="auto"/>
            <w:right w:val="none" w:sz="0" w:space="0" w:color="auto"/>
          </w:divBdr>
        </w:div>
        <w:div w:id="708838918">
          <w:marLeft w:val="640"/>
          <w:marRight w:val="0"/>
          <w:marTop w:val="0"/>
          <w:marBottom w:val="0"/>
          <w:divBdr>
            <w:top w:val="none" w:sz="0" w:space="0" w:color="auto"/>
            <w:left w:val="none" w:sz="0" w:space="0" w:color="auto"/>
            <w:bottom w:val="none" w:sz="0" w:space="0" w:color="auto"/>
            <w:right w:val="none" w:sz="0" w:space="0" w:color="auto"/>
          </w:divBdr>
        </w:div>
        <w:div w:id="426076935">
          <w:marLeft w:val="640"/>
          <w:marRight w:val="0"/>
          <w:marTop w:val="0"/>
          <w:marBottom w:val="0"/>
          <w:divBdr>
            <w:top w:val="none" w:sz="0" w:space="0" w:color="auto"/>
            <w:left w:val="none" w:sz="0" w:space="0" w:color="auto"/>
            <w:bottom w:val="none" w:sz="0" w:space="0" w:color="auto"/>
            <w:right w:val="none" w:sz="0" w:space="0" w:color="auto"/>
          </w:divBdr>
        </w:div>
        <w:div w:id="1628505022">
          <w:marLeft w:val="640"/>
          <w:marRight w:val="0"/>
          <w:marTop w:val="0"/>
          <w:marBottom w:val="0"/>
          <w:divBdr>
            <w:top w:val="none" w:sz="0" w:space="0" w:color="auto"/>
            <w:left w:val="none" w:sz="0" w:space="0" w:color="auto"/>
            <w:bottom w:val="none" w:sz="0" w:space="0" w:color="auto"/>
            <w:right w:val="none" w:sz="0" w:space="0" w:color="auto"/>
          </w:divBdr>
        </w:div>
        <w:div w:id="321007419">
          <w:marLeft w:val="640"/>
          <w:marRight w:val="0"/>
          <w:marTop w:val="0"/>
          <w:marBottom w:val="0"/>
          <w:divBdr>
            <w:top w:val="none" w:sz="0" w:space="0" w:color="auto"/>
            <w:left w:val="none" w:sz="0" w:space="0" w:color="auto"/>
            <w:bottom w:val="none" w:sz="0" w:space="0" w:color="auto"/>
            <w:right w:val="none" w:sz="0" w:space="0" w:color="auto"/>
          </w:divBdr>
        </w:div>
        <w:div w:id="1015886981">
          <w:marLeft w:val="640"/>
          <w:marRight w:val="0"/>
          <w:marTop w:val="0"/>
          <w:marBottom w:val="0"/>
          <w:divBdr>
            <w:top w:val="none" w:sz="0" w:space="0" w:color="auto"/>
            <w:left w:val="none" w:sz="0" w:space="0" w:color="auto"/>
            <w:bottom w:val="none" w:sz="0" w:space="0" w:color="auto"/>
            <w:right w:val="none" w:sz="0" w:space="0" w:color="auto"/>
          </w:divBdr>
        </w:div>
        <w:div w:id="19818612">
          <w:marLeft w:val="640"/>
          <w:marRight w:val="0"/>
          <w:marTop w:val="0"/>
          <w:marBottom w:val="0"/>
          <w:divBdr>
            <w:top w:val="none" w:sz="0" w:space="0" w:color="auto"/>
            <w:left w:val="none" w:sz="0" w:space="0" w:color="auto"/>
            <w:bottom w:val="none" w:sz="0" w:space="0" w:color="auto"/>
            <w:right w:val="none" w:sz="0" w:space="0" w:color="auto"/>
          </w:divBdr>
        </w:div>
        <w:div w:id="183439871">
          <w:marLeft w:val="640"/>
          <w:marRight w:val="0"/>
          <w:marTop w:val="0"/>
          <w:marBottom w:val="0"/>
          <w:divBdr>
            <w:top w:val="none" w:sz="0" w:space="0" w:color="auto"/>
            <w:left w:val="none" w:sz="0" w:space="0" w:color="auto"/>
            <w:bottom w:val="none" w:sz="0" w:space="0" w:color="auto"/>
            <w:right w:val="none" w:sz="0" w:space="0" w:color="auto"/>
          </w:divBdr>
        </w:div>
        <w:div w:id="541525629">
          <w:marLeft w:val="640"/>
          <w:marRight w:val="0"/>
          <w:marTop w:val="0"/>
          <w:marBottom w:val="0"/>
          <w:divBdr>
            <w:top w:val="none" w:sz="0" w:space="0" w:color="auto"/>
            <w:left w:val="none" w:sz="0" w:space="0" w:color="auto"/>
            <w:bottom w:val="none" w:sz="0" w:space="0" w:color="auto"/>
            <w:right w:val="none" w:sz="0" w:space="0" w:color="auto"/>
          </w:divBdr>
        </w:div>
        <w:div w:id="439686496">
          <w:marLeft w:val="640"/>
          <w:marRight w:val="0"/>
          <w:marTop w:val="0"/>
          <w:marBottom w:val="0"/>
          <w:divBdr>
            <w:top w:val="none" w:sz="0" w:space="0" w:color="auto"/>
            <w:left w:val="none" w:sz="0" w:space="0" w:color="auto"/>
            <w:bottom w:val="none" w:sz="0" w:space="0" w:color="auto"/>
            <w:right w:val="none" w:sz="0" w:space="0" w:color="auto"/>
          </w:divBdr>
        </w:div>
        <w:div w:id="1572084823">
          <w:marLeft w:val="640"/>
          <w:marRight w:val="0"/>
          <w:marTop w:val="0"/>
          <w:marBottom w:val="0"/>
          <w:divBdr>
            <w:top w:val="none" w:sz="0" w:space="0" w:color="auto"/>
            <w:left w:val="none" w:sz="0" w:space="0" w:color="auto"/>
            <w:bottom w:val="none" w:sz="0" w:space="0" w:color="auto"/>
            <w:right w:val="none" w:sz="0" w:space="0" w:color="auto"/>
          </w:divBdr>
        </w:div>
        <w:div w:id="1848403027">
          <w:marLeft w:val="640"/>
          <w:marRight w:val="0"/>
          <w:marTop w:val="0"/>
          <w:marBottom w:val="0"/>
          <w:divBdr>
            <w:top w:val="none" w:sz="0" w:space="0" w:color="auto"/>
            <w:left w:val="none" w:sz="0" w:space="0" w:color="auto"/>
            <w:bottom w:val="none" w:sz="0" w:space="0" w:color="auto"/>
            <w:right w:val="none" w:sz="0" w:space="0" w:color="auto"/>
          </w:divBdr>
        </w:div>
        <w:div w:id="93281591">
          <w:marLeft w:val="640"/>
          <w:marRight w:val="0"/>
          <w:marTop w:val="0"/>
          <w:marBottom w:val="0"/>
          <w:divBdr>
            <w:top w:val="none" w:sz="0" w:space="0" w:color="auto"/>
            <w:left w:val="none" w:sz="0" w:space="0" w:color="auto"/>
            <w:bottom w:val="none" w:sz="0" w:space="0" w:color="auto"/>
            <w:right w:val="none" w:sz="0" w:space="0" w:color="auto"/>
          </w:divBdr>
        </w:div>
        <w:div w:id="711199834">
          <w:marLeft w:val="640"/>
          <w:marRight w:val="0"/>
          <w:marTop w:val="0"/>
          <w:marBottom w:val="0"/>
          <w:divBdr>
            <w:top w:val="none" w:sz="0" w:space="0" w:color="auto"/>
            <w:left w:val="none" w:sz="0" w:space="0" w:color="auto"/>
            <w:bottom w:val="none" w:sz="0" w:space="0" w:color="auto"/>
            <w:right w:val="none" w:sz="0" w:space="0" w:color="auto"/>
          </w:divBdr>
        </w:div>
        <w:div w:id="699209802">
          <w:marLeft w:val="640"/>
          <w:marRight w:val="0"/>
          <w:marTop w:val="0"/>
          <w:marBottom w:val="0"/>
          <w:divBdr>
            <w:top w:val="none" w:sz="0" w:space="0" w:color="auto"/>
            <w:left w:val="none" w:sz="0" w:space="0" w:color="auto"/>
            <w:bottom w:val="none" w:sz="0" w:space="0" w:color="auto"/>
            <w:right w:val="none" w:sz="0" w:space="0" w:color="auto"/>
          </w:divBdr>
        </w:div>
        <w:div w:id="653266755">
          <w:marLeft w:val="640"/>
          <w:marRight w:val="0"/>
          <w:marTop w:val="0"/>
          <w:marBottom w:val="0"/>
          <w:divBdr>
            <w:top w:val="none" w:sz="0" w:space="0" w:color="auto"/>
            <w:left w:val="none" w:sz="0" w:space="0" w:color="auto"/>
            <w:bottom w:val="none" w:sz="0" w:space="0" w:color="auto"/>
            <w:right w:val="none" w:sz="0" w:space="0" w:color="auto"/>
          </w:divBdr>
        </w:div>
        <w:div w:id="236861456">
          <w:marLeft w:val="640"/>
          <w:marRight w:val="0"/>
          <w:marTop w:val="0"/>
          <w:marBottom w:val="0"/>
          <w:divBdr>
            <w:top w:val="none" w:sz="0" w:space="0" w:color="auto"/>
            <w:left w:val="none" w:sz="0" w:space="0" w:color="auto"/>
            <w:bottom w:val="none" w:sz="0" w:space="0" w:color="auto"/>
            <w:right w:val="none" w:sz="0" w:space="0" w:color="auto"/>
          </w:divBdr>
        </w:div>
        <w:div w:id="1690328897">
          <w:marLeft w:val="640"/>
          <w:marRight w:val="0"/>
          <w:marTop w:val="0"/>
          <w:marBottom w:val="0"/>
          <w:divBdr>
            <w:top w:val="none" w:sz="0" w:space="0" w:color="auto"/>
            <w:left w:val="none" w:sz="0" w:space="0" w:color="auto"/>
            <w:bottom w:val="none" w:sz="0" w:space="0" w:color="auto"/>
            <w:right w:val="none" w:sz="0" w:space="0" w:color="auto"/>
          </w:divBdr>
        </w:div>
        <w:div w:id="587540582">
          <w:marLeft w:val="640"/>
          <w:marRight w:val="0"/>
          <w:marTop w:val="0"/>
          <w:marBottom w:val="0"/>
          <w:divBdr>
            <w:top w:val="none" w:sz="0" w:space="0" w:color="auto"/>
            <w:left w:val="none" w:sz="0" w:space="0" w:color="auto"/>
            <w:bottom w:val="none" w:sz="0" w:space="0" w:color="auto"/>
            <w:right w:val="none" w:sz="0" w:space="0" w:color="auto"/>
          </w:divBdr>
        </w:div>
        <w:div w:id="1593850944">
          <w:marLeft w:val="640"/>
          <w:marRight w:val="0"/>
          <w:marTop w:val="0"/>
          <w:marBottom w:val="0"/>
          <w:divBdr>
            <w:top w:val="none" w:sz="0" w:space="0" w:color="auto"/>
            <w:left w:val="none" w:sz="0" w:space="0" w:color="auto"/>
            <w:bottom w:val="none" w:sz="0" w:space="0" w:color="auto"/>
            <w:right w:val="none" w:sz="0" w:space="0" w:color="auto"/>
          </w:divBdr>
        </w:div>
        <w:div w:id="1211527605">
          <w:marLeft w:val="640"/>
          <w:marRight w:val="0"/>
          <w:marTop w:val="0"/>
          <w:marBottom w:val="0"/>
          <w:divBdr>
            <w:top w:val="none" w:sz="0" w:space="0" w:color="auto"/>
            <w:left w:val="none" w:sz="0" w:space="0" w:color="auto"/>
            <w:bottom w:val="none" w:sz="0" w:space="0" w:color="auto"/>
            <w:right w:val="none" w:sz="0" w:space="0" w:color="auto"/>
          </w:divBdr>
        </w:div>
        <w:div w:id="1954559097">
          <w:marLeft w:val="640"/>
          <w:marRight w:val="0"/>
          <w:marTop w:val="0"/>
          <w:marBottom w:val="0"/>
          <w:divBdr>
            <w:top w:val="none" w:sz="0" w:space="0" w:color="auto"/>
            <w:left w:val="none" w:sz="0" w:space="0" w:color="auto"/>
            <w:bottom w:val="none" w:sz="0" w:space="0" w:color="auto"/>
            <w:right w:val="none" w:sz="0" w:space="0" w:color="auto"/>
          </w:divBdr>
        </w:div>
        <w:div w:id="1415783299">
          <w:marLeft w:val="640"/>
          <w:marRight w:val="0"/>
          <w:marTop w:val="0"/>
          <w:marBottom w:val="0"/>
          <w:divBdr>
            <w:top w:val="none" w:sz="0" w:space="0" w:color="auto"/>
            <w:left w:val="none" w:sz="0" w:space="0" w:color="auto"/>
            <w:bottom w:val="none" w:sz="0" w:space="0" w:color="auto"/>
            <w:right w:val="none" w:sz="0" w:space="0" w:color="auto"/>
          </w:divBdr>
        </w:div>
        <w:div w:id="722027317">
          <w:marLeft w:val="640"/>
          <w:marRight w:val="0"/>
          <w:marTop w:val="0"/>
          <w:marBottom w:val="0"/>
          <w:divBdr>
            <w:top w:val="none" w:sz="0" w:space="0" w:color="auto"/>
            <w:left w:val="none" w:sz="0" w:space="0" w:color="auto"/>
            <w:bottom w:val="none" w:sz="0" w:space="0" w:color="auto"/>
            <w:right w:val="none" w:sz="0" w:space="0" w:color="auto"/>
          </w:divBdr>
        </w:div>
        <w:div w:id="1049693258">
          <w:marLeft w:val="640"/>
          <w:marRight w:val="0"/>
          <w:marTop w:val="0"/>
          <w:marBottom w:val="0"/>
          <w:divBdr>
            <w:top w:val="none" w:sz="0" w:space="0" w:color="auto"/>
            <w:left w:val="none" w:sz="0" w:space="0" w:color="auto"/>
            <w:bottom w:val="none" w:sz="0" w:space="0" w:color="auto"/>
            <w:right w:val="none" w:sz="0" w:space="0" w:color="auto"/>
          </w:divBdr>
        </w:div>
        <w:div w:id="42827306">
          <w:marLeft w:val="640"/>
          <w:marRight w:val="0"/>
          <w:marTop w:val="0"/>
          <w:marBottom w:val="0"/>
          <w:divBdr>
            <w:top w:val="none" w:sz="0" w:space="0" w:color="auto"/>
            <w:left w:val="none" w:sz="0" w:space="0" w:color="auto"/>
            <w:bottom w:val="none" w:sz="0" w:space="0" w:color="auto"/>
            <w:right w:val="none" w:sz="0" w:space="0" w:color="auto"/>
          </w:divBdr>
        </w:div>
        <w:div w:id="1379552987">
          <w:marLeft w:val="640"/>
          <w:marRight w:val="0"/>
          <w:marTop w:val="0"/>
          <w:marBottom w:val="0"/>
          <w:divBdr>
            <w:top w:val="none" w:sz="0" w:space="0" w:color="auto"/>
            <w:left w:val="none" w:sz="0" w:space="0" w:color="auto"/>
            <w:bottom w:val="none" w:sz="0" w:space="0" w:color="auto"/>
            <w:right w:val="none" w:sz="0" w:space="0" w:color="auto"/>
          </w:divBdr>
        </w:div>
        <w:div w:id="514854968">
          <w:marLeft w:val="640"/>
          <w:marRight w:val="0"/>
          <w:marTop w:val="0"/>
          <w:marBottom w:val="0"/>
          <w:divBdr>
            <w:top w:val="none" w:sz="0" w:space="0" w:color="auto"/>
            <w:left w:val="none" w:sz="0" w:space="0" w:color="auto"/>
            <w:bottom w:val="none" w:sz="0" w:space="0" w:color="auto"/>
            <w:right w:val="none" w:sz="0" w:space="0" w:color="auto"/>
          </w:divBdr>
        </w:div>
        <w:div w:id="2071418168">
          <w:marLeft w:val="640"/>
          <w:marRight w:val="0"/>
          <w:marTop w:val="0"/>
          <w:marBottom w:val="0"/>
          <w:divBdr>
            <w:top w:val="none" w:sz="0" w:space="0" w:color="auto"/>
            <w:left w:val="none" w:sz="0" w:space="0" w:color="auto"/>
            <w:bottom w:val="none" w:sz="0" w:space="0" w:color="auto"/>
            <w:right w:val="none" w:sz="0" w:space="0" w:color="auto"/>
          </w:divBdr>
        </w:div>
        <w:div w:id="1212225537">
          <w:marLeft w:val="640"/>
          <w:marRight w:val="0"/>
          <w:marTop w:val="0"/>
          <w:marBottom w:val="0"/>
          <w:divBdr>
            <w:top w:val="none" w:sz="0" w:space="0" w:color="auto"/>
            <w:left w:val="none" w:sz="0" w:space="0" w:color="auto"/>
            <w:bottom w:val="none" w:sz="0" w:space="0" w:color="auto"/>
            <w:right w:val="none" w:sz="0" w:space="0" w:color="auto"/>
          </w:divBdr>
        </w:div>
        <w:div w:id="1467816819">
          <w:marLeft w:val="640"/>
          <w:marRight w:val="0"/>
          <w:marTop w:val="0"/>
          <w:marBottom w:val="0"/>
          <w:divBdr>
            <w:top w:val="none" w:sz="0" w:space="0" w:color="auto"/>
            <w:left w:val="none" w:sz="0" w:space="0" w:color="auto"/>
            <w:bottom w:val="none" w:sz="0" w:space="0" w:color="auto"/>
            <w:right w:val="none" w:sz="0" w:space="0" w:color="auto"/>
          </w:divBdr>
        </w:div>
        <w:div w:id="1637830602">
          <w:marLeft w:val="640"/>
          <w:marRight w:val="0"/>
          <w:marTop w:val="0"/>
          <w:marBottom w:val="0"/>
          <w:divBdr>
            <w:top w:val="none" w:sz="0" w:space="0" w:color="auto"/>
            <w:left w:val="none" w:sz="0" w:space="0" w:color="auto"/>
            <w:bottom w:val="none" w:sz="0" w:space="0" w:color="auto"/>
            <w:right w:val="none" w:sz="0" w:space="0" w:color="auto"/>
          </w:divBdr>
        </w:div>
        <w:div w:id="1333527249">
          <w:marLeft w:val="640"/>
          <w:marRight w:val="0"/>
          <w:marTop w:val="0"/>
          <w:marBottom w:val="0"/>
          <w:divBdr>
            <w:top w:val="none" w:sz="0" w:space="0" w:color="auto"/>
            <w:left w:val="none" w:sz="0" w:space="0" w:color="auto"/>
            <w:bottom w:val="none" w:sz="0" w:space="0" w:color="auto"/>
            <w:right w:val="none" w:sz="0" w:space="0" w:color="auto"/>
          </w:divBdr>
        </w:div>
        <w:div w:id="1800029013">
          <w:marLeft w:val="640"/>
          <w:marRight w:val="0"/>
          <w:marTop w:val="0"/>
          <w:marBottom w:val="0"/>
          <w:divBdr>
            <w:top w:val="none" w:sz="0" w:space="0" w:color="auto"/>
            <w:left w:val="none" w:sz="0" w:space="0" w:color="auto"/>
            <w:bottom w:val="none" w:sz="0" w:space="0" w:color="auto"/>
            <w:right w:val="none" w:sz="0" w:space="0" w:color="auto"/>
          </w:divBdr>
        </w:div>
        <w:div w:id="1079863904">
          <w:marLeft w:val="640"/>
          <w:marRight w:val="0"/>
          <w:marTop w:val="0"/>
          <w:marBottom w:val="0"/>
          <w:divBdr>
            <w:top w:val="none" w:sz="0" w:space="0" w:color="auto"/>
            <w:left w:val="none" w:sz="0" w:space="0" w:color="auto"/>
            <w:bottom w:val="none" w:sz="0" w:space="0" w:color="auto"/>
            <w:right w:val="none" w:sz="0" w:space="0" w:color="auto"/>
          </w:divBdr>
        </w:div>
        <w:div w:id="133720849">
          <w:marLeft w:val="640"/>
          <w:marRight w:val="0"/>
          <w:marTop w:val="0"/>
          <w:marBottom w:val="0"/>
          <w:divBdr>
            <w:top w:val="none" w:sz="0" w:space="0" w:color="auto"/>
            <w:left w:val="none" w:sz="0" w:space="0" w:color="auto"/>
            <w:bottom w:val="none" w:sz="0" w:space="0" w:color="auto"/>
            <w:right w:val="none" w:sz="0" w:space="0" w:color="auto"/>
          </w:divBdr>
        </w:div>
        <w:div w:id="1516508">
          <w:marLeft w:val="640"/>
          <w:marRight w:val="0"/>
          <w:marTop w:val="0"/>
          <w:marBottom w:val="0"/>
          <w:divBdr>
            <w:top w:val="none" w:sz="0" w:space="0" w:color="auto"/>
            <w:left w:val="none" w:sz="0" w:space="0" w:color="auto"/>
            <w:bottom w:val="none" w:sz="0" w:space="0" w:color="auto"/>
            <w:right w:val="none" w:sz="0" w:space="0" w:color="auto"/>
          </w:divBdr>
        </w:div>
        <w:div w:id="968242724">
          <w:marLeft w:val="640"/>
          <w:marRight w:val="0"/>
          <w:marTop w:val="0"/>
          <w:marBottom w:val="0"/>
          <w:divBdr>
            <w:top w:val="none" w:sz="0" w:space="0" w:color="auto"/>
            <w:left w:val="none" w:sz="0" w:space="0" w:color="auto"/>
            <w:bottom w:val="none" w:sz="0" w:space="0" w:color="auto"/>
            <w:right w:val="none" w:sz="0" w:space="0" w:color="auto"/>
          </w:divBdr>
        </w:div>
        <w:div w:id="1345473039">
          <w:marLeft w:val="640"/>
          <w:marRight w:val="0"/>
          <w:marTop w:val="0"/>
          <w:marBottom w:val="0"/>
          <w:divBdr>
            <w:top w:val="none" w:sz="0" w:space="0" w:color="auto"/>
            <w:left w:val="none" w:sz="0" w:space="0" w:color="auto"/>
            <w:bottom w:val="none" w:sz="0" w:space="0" w:color="auto"/>
            <w:right w:val="none" w:sz="0" w:space="0" w:color="auto"/>
          </w:divBdr>
        </w:div>
        <w:div w:id="1860657978">
          <w:marLeft w:val="640"/>
          <w:marRight w:val="0"/>
          <w:marTop w:val="0"/>
          <w:marBottom w:val="0"/>
          <w:divBdr>
            <w:top w:val="none" w:sz="0" w:space="0" w:color="auto"/>
            <w:left w:val="none" w:sz="0" w:space="0" w:color="auto"/>
            <w:bottom w:val="none" w:sz="0" w:space="0" w:color="auto"/>
            <w:right w:val="none" w:sz="0" w:space="0" w:color="auto"/>
          </w:divBdr>
        </w:div>
        <w:div w:id="660502313">
          <w:marLeft w:val="640"/>
          <w:marRight w:val="0"/>
          <w:marTop w:val="0"/>
          <w:marBottom w:val="0"/>
          <w:divBdr>
            <w:top w:val="none" w:sz="0" w:space="0" w:color="auto"/>
            <w:left w:val="none" w:sz="0" w:space="0" w:color="auto"/>
            <w:bottom w:val="none" w:sz="0" w:space="0" w:color="auto"/>
            <w:right w:val="none" w:sz="0" w:space="0" w:color="auto"/>
          </w:divBdr>
        </w:div>
        <w:div w:id="1513178623">
          <w:marLeft w:val="640"/>
          <w:marRight w:val="0"/>
          <w:marTop w:val="0"/>
          <w:marBottom w:val="0"/>
          <w:divBdr>
            <w:top w:val="none" w:sz="0" w:space="0" w:color="auto"/>
            <w:left w:val="none" w:sz="0" w:space="0" w:color="auto"/>
            <w:bottom w:val="none" w:sz="0" w:space="0" w:color="auto"/>
            <w:right w:val="none" w:sz="0" w:space="0" w:color="auto"/>
          </w:divBdr>
        </w:div>
        <w:div w:id="1641885639">
          <w:marLeft w:val="640"/>
          <w:marRight w:val="0"/>
          <w:marTop w:val="0"/>
          <w:marBottom w:val="0"/>
          <w:divBdr>
            <w:top w:val="none" w:sz="0" w:space="0" w:color="auto"/>
            <w:left w:val="none" w:sz="0" w:space="0" w:color="auto"/>
            <w:bottom w:val="none" w:sz="0" w:space="0" w:color="auto"/>
            <w:right w:val="none" w:sz="0" w:space="0" w:color="auto"/>
          </w:divBdr>
        </w:div>
        <w:div w:id="2026051369">
          <w:marLeft w:val="640"/>
          <w:marRight w:val="0"/>
          <w:marTop w:val="0"/>
          <w:marBottom w:val="0"/>
          <w:divBdr>
            <w:top w:val="none" w:sz="0" w:space="0" w:color="auto"/>
            <w:left w:val="none" w:sz="0" w:space="0" w:color="auto"/>
            <w:bottom w:val="none" w:sz="0" w:space="0" w:color="auto"/>
            <w:right w:val="none" w:sz="0" w:space="0" w:color="auto"/>
          </w:divBdr>
        </w:div>
        <w:div w:id="704670728">
          <w:marLeft w:val="640"/>
          <w:marRight w:val="0"/>
          <w:marTop w:val="0"/>
          <w:marBottom w:val="0"/>
          <w:divBdr>
            <w:top w:val="none" w:sz="0" w:space="0" w:color="auto"/>
            <w:left w:val="none" w:sz="0" w:space="0" w:color="auto"/>
            <w:bottom w:val="none" w:sz="0" w:space="0" w:color="auto"/>
            <w:right w:val="none" w:sz="0" w:space="0" w:color="auto"/>
          </w:divBdr>
        </w:div>
        <w:div w:id="587428407">
          <w:marLeft w:val="640"/>
          <w:marRight w:val="0"/>
          <w:marTop w:val="0"/>
          <w:marBottom w:val="0"/>
          <w:divBdr>
            <w:top w:val="none" w:sz="0" w:space="0" w:color="auto"/>
            <w:left w:val="none" w:sz="0" w:space="0" w:color="auto"/>
            <w:bottom w:val="none" w:sz="0" w:space="0" w:color="auto"/>
            <w:right w:val="none" w:sz="0" w:space="0" w:color="auto"/>
          </w:divBdr>
        </w:div>
        <w:div w:id="1096562387">
          <w:marLeft w:val="640"/>
          <w:marRight w:val="0"/>
          <w:marTop w:val="0"/>
          <w:marBottom w:val="0"/>
          <w:divBdr>
            <w:top w:val="none" w:sz="0" w:space="0" w:color="auto"/>
            <w:left w:val="none" w:sz="0" w:space="0" w:color="auto"/>
            <w:bottom w:val="none" w:sz="0" w:space="0" w:color="auto"/>
            <w:right w:val="none" w:sz="0" w:space="0" w:color="auto"/>
          </w:divBdr>
        </w:div>
        <w:div w:id="1961061395">
          <w:marLeft w:val="640"/>
          <w:marRight w:val="0"/>
          <w:marTop w:val="0"/>
          <w:marBottom w:val="0"/>
          <w:divBdr>
            <w:top w:val="none" w:sz="0" w:space="0" w:color="auto"/>
            <w:left w:val="none" w:sz="0" w:space="0" w:color="auto"/>
            <w:bottom w:val="none" w:sz="0" w:space="0" w:color="auto"/>
            <w:right w:val="none" w:sz="0" w:space="0" w:color="auto"/>
          </w:divBdr>
        </w:div>
        <w:div w:id="1796096693">
          <w:marLeft w:val="640"/>
          <w:marRight w:val="0"/>
          <w:marTop w:val="0"/>
          <w:marBottom w:val="0"/>
          <w:divBdr>
            <w:top w:val="none" w:sz="0" w:space="0" w:color="auto"/>
            <w:left w:val="none" w:sz="0" w:space="0" w:color="auto"/>
            <w:bottom w:val="none" w:sz="0" w:space="0" w:color="auto"/>
            <w:right w:val="none" w:sz="0" w:space="0" w:color="auto"/>
          </w:divBdr>
        </w:div>
        <w:div w:id="1440953050">
          <w:marLeft w:val="640"/>
          <w:marRight w:val="0"/>
          <w:marTop w:val="0"/>
          <w:marBottom w:val="0"/>
          <w:divBdr>
            <w:top w:val="none" w:sz="0" w:space="0" w:color="auto"/>
            <w:left w:val="none" w:sz="0" w:space="0" w:color="auto"/>
            <w:bottom w:val="none" w:sz="0" w:space="0" w:color="auto"/>
            <w:right w:val="none" w:sz="0" w:space="0" w:color="auto"/>
          </w:divBdr>
        </w:div>
        <w:div w:id="2123188787">
          <w:marLeft w:val="640"/>
          <w:marRight w:val="0"/>
          <w:marTop w:val="0"/>
          <w:marBottom w:val="0"/>
          <w:divBdr>
            <w:top w:val="none" w:sz="0" w:space="0" w:color="auto"/>
            <w:left w:val="none" w:sz="0" w:space="0" w:color="auto"/>
            <w:bottom w:val="none" w:sz="0" w:space="0" w:color="auto"/>
            <w:right w:val="none" w:sz="0" w:space="0" w:color="auto"/>
          </w:divBdr>
        </w:div>
        <w:div w:id="706174897">
          <w:marLeft w:val="640"/>
          <w:marRight w:val="0"/>
          <w:marTop w:val="0"/>
          <w:marBottom w:val="0"/>
          <w:divBdr>
            <w:top w:val="none" w:sz="0" w:space="0" w:color="auto"/>
            <w:left w:val="none" w:sz="0" w:space="0" w:color="auto"/>
            <w:bottom w:val="none" w:sz="0" w:space="0" w:color="auto"/>
            <w:right w:val="none" w:sz="0" w:space="0" w:color="auto"/>
          </w:divBdr>
        </w:div>
        <w:div w:id="1458842109">
          <w:marLeft w:val="640"/>
          <w:marRight w:val="0"/>
          <w:marTop w:val="0"/>
          <w:marBottom w:val="0"/>
          <w:divBdr>
            <w:top w:val="none" w:sz="0" w:space="0" w:color="auto"/>
            <w:left w:val="none" w:sz="0" w:space="0" w:color="auto"/>
            <w:bottom w:val="none" w:sz="0" w:space="0" w:color="auto"/>
            <w:right w:val="none" w:sz="0" w:space="0" w:color="auto"/>
          </w:divBdr>
        </w:div>
        <w:div w:id="196547266">
          <w:marLeft w:val="640"/>
          <w:marRight w:val="0"/>
          <w:marTop w:val="0"/>
          <w:marBottom w:val="0"/>
          <w:divBdr>
            <w:top w:val="none" w:sz="0" w:space="0" w:color="auto"/>
            <w:left w:val="none" w:sz="0" w:space="0" w:color="auto"/>
            <w:bottom w:val="none" w:sz="0" w:space="0" w:color="auto"/>
            <w:right w:val="none" w:sz="0" w:space="0" w:color="auto"/>
          </w:divBdr>
        </w:div>
        <w:div w:id="1502163515">
          <w:marLeft w:val="640"/>
          <w:marRight w:val="0"/>
          <w:marTop w:val="0"/>
          <w:marBottom w:val="0"/>
          <w:divBdr>
            <w:top w:val="none" w:sz="0" w:space="0" w:color="auto"/>
            <w:left w:val="none" w:sz="0" w:space="0" w:color="auto"/>
            <w:bottom w:val="none" w:sz="0" w:space="0" w:color="auto"/>
            <w:right w:val="none" w:sz="0" w:space="0" w:color="auto"/>
          </w:divBdr>
        </w:div>
        <w:div w:id="1027675624">
          <w:marLeft w:val="640"/>
          <w:marRight w:val="0"/>
          <w:marTop w:val="0"/>
          <w:marBottom w:val="0"/>
          <w:divBdr>
            <w:top w:val="none" w:sz="0" w:space="0" w:color="auto"/>
            <w:left w:val="none" w:sz="0" w:space="0" w:color="auto"/>
            <w:bottom w:val="none" w:sz="0" w:space="0" w:color="auto"/>
            <w:right w:val="none" w:sz="0" w:space="0" w:color="auto"/>
          </w:divBdr>
        </w:div>
        <w:div w:id="134029738">
          <w:marLeft w:val="640"/>
          <w:marRight w:val="0"/>
          <w:marTop w:val="0"/>
          <w:marBottom w:val="0"/>
          <w:divBdr>
            <w:top w:val="none" w:sz="0" w:space="0" w:color="auto"/>
            <w:left w:val="none" w:sz="0" w:space="0" w:color="auto"/>
            <w:bottom w:val="none" w:sz="0" w:space="0" w:color="auto"/>
            <w:right w:val="none" w:sz="0" w:space="0" w:color="auto"/>
          </w:divBdr>
        </w:div>
        <w:div w:id="1845436261">
          <w:marLeft w:val="640"/>
          <w:marRight w:val="0"/>
          <w:marTop w:val="0"/>
          <w:marBottom w:val="0"/>
          <w:divBdr>
            <w:top w:val="none" w:sz="0" w:space="0" w:color="auto"/>
            <w:left w:val="none" w:sz="0" w:space="0" w:color="auto"/>
            <w:bottom w:val="none" w:sz="0" w:space="0" w:color="auto"/>
            <w:right w:val="none" w:sz="0" w:space="0" w:color="auto"/>
          </w:divBdr>
        </w:div>
        <w:div w:id="905989016">
          <w:marLeft w:val="640"/>
          <w:marRight w:val="0"/>
          <w:marTop w:val="0"/>
          <w:marBottom w:val="0"/>
          <w:divBdr>
            <w:top w:val="none" w:sz="0" w:space="0" w:color="auto"/>
            <w:left w:val="none" w:sz="0" w:space="0" w:color="auto"/>
            <w:bottom w:val="none" w:sz="0" w:space="0" w:color="auto"/>
            <w:right w:val="none" w:sz="0" w:space="0" w:color="auto"/>
          </w:divBdr>
        </w:div>
        <w:div w:id="1453400461">
          <w:marLeft w:val="640"/>
          <w:marRight w:val="0"/>
          <w:marTop w:val="0"/>
          <w:marBottom w:val="0"/>
          <w:divBdr>
            <w:top w:val="none" w:sz="0" w:space="0" w:color="auto"/>
            <w:left w:val="none" w:sz="0" w:space="0" w:color="auto"/>
            <w:bottom w:val="none" w:sz="0" w:space="0" w:color="auto"/>
            <w:right w:val="none" w:sz="0" w:space="0" w:color="auto"/>
          </w:divBdr>
        </w:div>
        <w:div w:id="271522631">
          <w:marLeft w:val="640"/>
          <w:marRight w:val="0"/>
          <w:marTop w:val="0"/>
          <w:marBottom w:val="0"/>
          <w:divBdr>
            <w:top w:val="none" w:sz="0" w:space="0" w:color="auto"/>
            <w:left w:val="none" w:sz="0" w:space="0" w:color="auto"/>
            <w:bottom w:val="none" w:sz="0" w:space="0" w:color="auto"/>
            <w:right w:val="none" w:sz="0" w:space="0" w:color="auto"/>
          </w:divBdr>
        </w:div>
        <w:div w:id="1573612815">
          <w:marLeft w:val="640"/>
          <w:marRight w:val="0"/>
          <w:marTop w:val="0"/>
          <w:marBottom w:val="0"/>
          <w:divBdr>
            <w:top w:val="none" w:sz="0" w:space="0" w:color="auto"/>
            <w:left w:val="none" w:sz="0" w:space="0" w:color="auto"/>
            <w:bottom w:val="none" w:sz="0" w:space="0" w:color="auto"/>
            <w:right w:val="none" w:sz="0" w:space="0" w:color="auto"/>
          </w:divBdr>
        </w:div>
        <w:div w:id="196818100">
          <w:marLeft w:val="640"/>
          <w:marRight w:val="0"/>
          <w:marTop w:val="0"/>
          <w:marBottom w:val="0"/>
          <w:divBdr>
            <w:top w:val="none" w:sz="0" w:space="0" w:color="auto"/>
            <w:left w:val="none" w:sz="0" w:space="0" w:color="auto"/>
            <w:bottom w:val="none" w:sz="0" w:space="0" w:color="auto"/>
            <w:right w:val="none" w:sz="0" w:space="0" w:color="auto"/>
          </w:divBdr>
        </w:div>
        <w:div w:id="106705201">
          <w:marLeft w:val="640"/>
          <w:marRight w:val="0"/>
          <w:marTop w:val="0"/>
          <w:marBottom w:val="0"/>
          <w:divBdr>
            <w:top w:val="none" w:sz="0" w:space="0" w:color="auto"/>
            <w:left w:val="none" w:sz="0" w:space="0" w:color="auto"/>
            <w:bottom w:val="none" w:sz="0" w:space="0" w:color="auto"/>
            <w:right w:val="none" w:sz="0" w:space="0" w:color="auto"/>
          </w:divBdr>
        </w:div>
        <w:div w:id="931474433">
          <w:marLeft w:val="640"/>
          <w:marRight w:val="0"/>
          <w:marTop w:val="0"/>
          <w:marBottom w:val="0"/>
          <w:divBdr>
            <w:top w:val="none" w:sz="0" w:space="0" w:color="auto"/>
            <w:left w:val="none" w:sz="0" w:space="0" w:color="auto"/>
            <w:bottom w:val="none" w:sz="0" w:space="0" w:color="auto"/>
            <w:right w:val="none" w:sz="0" w:space="0" w:color="auto"/>
          </w:divBdr>
        </w:div>
        <w:div w:id="664868130">
          <w:marLeft w:val="640"/>
          <w:marRight w:val="0"/>
          <w:marTop w:val="0"/>
          <w:marBottom w:val="0"/>
          <w:divBdr>
            <w:top w:val="none" w:sz="0" w:space="0" w:color="auto"/>
            <w:left w:val="none" w:sz="0" w:space="0" w:color="auto"/>
            <w:bottom w:val="none" w:sz="0" w:space="0" w:color="auto"/>
            <w:right w:val="none" w:sz="0" w:space="0" w:color="auto"/>
          </w:divBdr>
        </w:div>
        <w:div w:id="962270850">
          <w:marLeft w:val="640"/>
          <w:marRight w:val="0"/>
          <w:marTop w:val="0"/>
          <w:marBottom w:val="0"/>
          <w:divBdr>
            <w:top w:val="none" w:sz="0" w:space="0" w:color="auto"/>
            <w:left w:val="none" w:sz="0" w:space="0" w:color="auto"/>
            <w:bottom w:val="none" w:sz="0" w:space="0" w:color="auto"/>
            <w:right w:val="none" w:sz="0" w:space="0" w:color="auto"/>
          </w:divBdr>
        </w:div>
        <w:div w:id="432210134">
          <w:marLeft w:val="640"/>
          <w:marRight w:val="0"/>
          <w:marTop w:val="0"/>
          <w:marBottom w:val="0"/>
          <w:divBdr>
            <w:top w:val="none" w:sz="0" w:space="0" w:color="auto"/>
            <w:left w:val="none" w:sz="0" w:space="0" w:color="auto"/>
            <w:bottom w:val="none" w:sz="0" w:space="0" w:color="auto"/>
            <w:right w:val="none" w:sz="0" w:space="0" w:color="auto"/>
          </w:divBdr>
        </w:div>
        <w:div w:id="1447429712">
          <w:marLeft w:val="640"/>
          <w:marRight w:val="0"/>
          <w:marTop w:val="0"/>
          <w:marBottom w:val="0"/>
          <w:divBdr>
            <w:top w:val="none" w:sz="0" w:space="0" w:color="auto"/>
            <w:left w:val="none" w:sz="0" w:space="0" w:color="auto"/>
            <w:bottom w:val="none" w:sz="0" w:space="0" w:color="auto"/>
            <w:right w:val="none" w:sz="0" w:space="0" w:color="auto"/>
          </w:divBdr>
        </w:div>
        <w:div w:id="1927492179">
          <w:marLeft w:val="640"/>
          <w:marRight w:val="0"/>
          <w:marTop w:val="0"/>
          <w:marBottom w:val="0"/>
          <w:divBdr>
            <w:top w:val="none" w:sz="0" w:space="0" w:color="auto"/>
            <w:left w:val="none" w:sz="0" w:space="0" w:color="auto"/>
            <w:bottom w:val="none" w:sz="0" w:space="0" w:color="auto"/>
            <w:right w:val="none" w:sz="0" w:space="0" w:color="auto"/>
          </w:divBdr>
        </w:div>
        <w:div w:id="1103694833">
          <w:marLeft w:val="640"/>
          <w:marRight w:val="0"/>
          <w:marTop w:val="0"/>
          <w:marBottom w:val="0"/>
          <w:divBdr>
            <w:top w:val="none" w:sz="0" w:space="0" w:color="auto"/>
            <w:left w:val="none" w:sz="0" w:space="0" w:color="auto"/>
            <w:bottom w:val="none" w:sz="0" w:space="0" w:color="auto"/>
            <w:right w:val="none" w:sz="0" w:space="0" w:color="auto"/>
          </w:divBdr>
        </w:div>
        <w:div w:id="1079207777">
          <w:marLeft w:val="640"/>
          <w:marRight w:val="0"/>
          <w:marTop w:val="0"/>
          <w:marBottom w:val="0"/>
          <w:divBdr>
            <w:top w:val="none" w:sz="0" w:space="0" w:color="auto"/>
            <w:left w:val="none" w:sz="0" w:space="0" w:color="auto"/>
            <w:bottom w:val="none" w:sz="0" w:space="0" w:color="auto"/>
            <w:right w:val="none" w:sz="0" w:space="0" w:color="auto"/>
          </w:divBdr>
        </w:div>
        <w:div w:id="505511316">
          <w:marLeft w:val="640"/>
          <w:marRight w:val="0"/>
          <w:marTop w:val="0"/>
          <w:marBottom w:val="0"/>
          <w:divBdr>
            <w:top w:val="none" w:sz="0" w:space="0" w:color="auto"/>
            <w:left w:val="none" w:sz="0" w:space="0" w:color="auto"/>
            <w:bottom w:val="none" w:sz="0" w:space="0" w:color="auto"/>
            <w:right w:val="none" w:sz="0" w:space="0" w:color="auto"/>
          </w:divBdr>
        </w:div>
        <w:div w:id="1562057900">
          <w:marLeft w:val="640"/>
          <w:marRight w:val="0"/>
          <w:marTop w:val="0"/>
          <w:marBottom w:val="0"/>
          <w:divBdr>
            <w:top w:val="none" w:sz="0" w:space="0" w:color="auto"/>
            <w:left w:val="none" w:sz="0" w:space="0" w:color="auto"/>
            <w:bottom w:val="none" w:sz="0" w:space="0" w:color="auto"/>
            <w:right w:val="none" w:sz="0" w:space="0" w:color="auto"/>
          </w:divBdr>
        </w:div>
        <w:div w:id="263535844">
          <w:marLeft w:val="640"/>
          <w:marRight w:val="0"/>
          <w:marTop w:val="0"/>
          <w:marBottom w:val="0"/>
          <w:divBdr>
            <w:top w:val="none" w:sz="0" w:space="0" w:color="auto"/>
            <w:left w:val="none" w:sz="0" w:space="0" w:color="auto"/>
            <w:bottom w:val="none" w:sz="0" w:space="0" w:color="auto"/>
            <w:right w:val="none" w:sz="0" w:space="0" w:color="auto"/>
          </w:divBdr>
        </w:div>
        <w:div w:id="536046440">
          <w:marLeft w:val="640"/>
          <w:marRight w:val="0"/>
          <w:marTop w:val="0"/>
          <w:marBottom w:val="0"/>
          <w:divBdr>
            <w:top w:val="none" w:sz="0" w:space="0" w:color="auto"/>
            <w:left w:val="none" w:sz="0" w:space="0" w:color="auto"/>
            <w:bottom w:val="none" w:sz="0" w:space="0" w:color="auto"/>
            <w:right w:val="none" w:sz="0" w:space="0" w:color="auto"/>
          </w:divBdr>
        </w:div>
        <w:div w:id="1104115063">
          <w:marLeft w:val="640"/>
          <w:marRight w:val="0"/>
          <w:marTop w:val="0"/>
          <w:marBottom w:val="0"/>
          <w:divBdr>
            <w:top w:val="none" w:sz="0" w:space="0" w:color="auto"/>
            <w:left w:val="none" w:sz="0" w:space="0" w:color="auto"/>
            <w:bottom w:val="none" w:sz="0" w:space="0" w:color="auto"/>
            <w:right w:val="none" w:sz="0" w:space="0" w:color="auto"/>
          </w:divBdr>
        </w:div>
        <w:div w:id="175850999">
          <w:marLeft w:val="640"/>
          <w:marRight w:val="0"/>
          <w:marTop w:val="0"/>
          <w:marBottom w:val="0"/>
          <w:divBdr>
            <w:top w:val="none" w:sz="0" w:space="0" w:color="auto"/>
            <w:left w:val="none" w:sz="0" w:space="0" w:color="auto"/>
            <w:bottom w:val="none" w:sz="0" w:space="0" w:color="auto"/>
            <w:right w:val="none" w:sz="0" w:space="0" w:color="auto"/>
          </w:divBdr>
        </w:div>
        <w:div w:id="1303074327">
          <w:marLeft w:val="640"/>
          <w:marRight w:val="0"/>
          <w:marTop w:val="0"/>
          <w:marBottom w:val="0"/>
          <w:divBdr>
            <w:top w:val="none" w:sz="0" w:space="0" w:color="auto"/>
            <w:left w:val="none" w:sz="0" w:space="0" w:color="auto"/>
            <w:bottom w:val="none" w:sz="0" w:space="0" w:color="auto"/>
            <w:right w:val="none" w:sz="0" w:space="0" w:color="auto"/>
          </w:divBdr>
        </w:div>
        <w:div w:id="1108741075">
          <w:marLeft w:val="640"/>
          <w:marRight w:val="0"/>
          <w:marTop w:val="0"/>
          <w:marBottom w:val="0"/>
          <w:divBdr>
            <w:top w:val="none" w:sz="0" w:space="0" w:color="auto"/>
            <w:left w:val="none" w:sz="0" w:space="0" w:color="auto"/>
            <w:bottom w:val="none" w:sz="0" w:space="0" w:color="auto"/>
            <w:right w:val="none" w:sz="0" w:space="0" w:color="auto"/>
          </w:divBdr>
        </w:div>
        <w:div w:id="530728982">
          <w:marLeft w:val="640"/>
          <w:marRight w:val="0"/>
          <w:marTop w:val="0"/>
          <w:marBottom w:val="0"/>
          <w:divBdr>
            <w:top w:val="none" w:sz="0" w:space="0" w:color="auto"/>
            <w:left w:val="none" w:sz="0" w:space="0" w:color="auto"/>
            <w:bottom w:val="none" w:sz="0" w:space="0" w:color="auto"/>
            <w:right w:val="none" w:sz="0" w:space="0" w:color="auto"/>
          </w:divBdr>
        </w:div>
        <w:div w:id="1763793127">
          <w:marLeft w:val="640"/>
          <w:marRight w:val="0"/>
          <w:marTop w:val="0"/>
          <w:marBottom w:val="0"/>
          <w:divBdr>
            <w:top w:val="none" w:sz="0" w:space="0" w:color="auto"/>
            <w:left w:val="none" w:sz="0" w:space="0" w:color="auto"/>
            <w:bottom w:val="none" w:sz="0" w:space="0" w:color="auto"/>
            <w:right w:val="none" w:sz="0" w:space="0" w:color="auto"/>
          </w:divBdr>
        </w:div>
        <w:div w:id="1080441077">
          <w:marLeft w:val="640"/>
          <w:marRight w:val="0"/>
          <w:marTop w:val="0"/>
          <w:marBottom w:val="0"/>
          <w:divBdr>
            <w:top w:val="none" w:sz="0" w:space="0" w:color="auto"/>
            <w:left w:val="none" w:sz="0" w:space="0" w:color="auto"/>
            <w:bottom w:val="none" w:sz="0" w:space="0" w:color="auto"/>
            <w:right w:val="none" w:sz="0" w:space="0" w:color="auto"/>
          </w:divBdr>
        </w:div>
        <w:div w:id="1989819849">
          <w:marLeft w:val="640"/>
          <w:marRight w:val="0"/>
          <w:marTop w:val="0"/>
          <w:marBottom w:val="0"/>
          <w:divBdr>
            <w:top w:val="none" w:sz="0" w:space="0" w:color="auto"/>
            <w:left w:val="none" w:sz="0" w:space="0" w:color="auto"/>
            <w:bottom w:val="none" w:sz="0" w:space="0" w:color="auto"/>
            <w:right w:val="none" w:sz="0" w:space="0" w:color="auto"/>
          </w:divBdr>
        </w:div>
        <w:div w:id="592474775">
          <w:marLeft w:val="640"/>
          <w:marRight w:val="0"/>
          <w:marTop w:val="0"/>
          <w:marBottom w:val="0"/>
          <w:divBdr>
            <w:top w:val="none" w:sz="0" w:space="0" w:color="auto"/>
            <w:left w:val="none" w:sz="0" w:space="0" w:color="auto"/>
            <w:bottom w:val="none" w:sz="0" w:space="0" w:color="auto"/>
            <w:right w:val="none" w:sz="0" w:space="0" w:color="auto"/>
          </w:divBdr>
        </w:div>
        <w:div w:id="1770466071">
          <w:marLeft w:val="640"/>
          <w:marRight w:val="0"/>
          <w:marTop w:val="0"/>
          <w:marBottom w:val="0"/>
          <w:divBdr>
            <w:top w:val="none" w:sz="0" w:space="0" w:color="auto"/>
            <w:left w:val="none" w:sz="0" w:space="0" w:color="auto"/>
            <w:bottom w:val="none" w:sz="0" w:space="0" w:color="auto"/>
            <w:right w:val="none" w:sz="0" w:space="0" w:color="auto"/>
          </w:divBdr>
        </w:div>
        <w:div w:id="798182441">
          <w:marLeft w:val="640"/>
          <w:marRight w:val="0"/>
          <w:marTop w:val="0"/>
          <w:marBottom w:val="0"/>
          <w:divBdr>
            <w:top w:val="none" w:sz="0" w:space="0" w:color="auto"/>
            <w:left w:val="none" w:sz="0" w:space="0" w:color="auto"/>
            <w:bottom w:val="none" w:sz="0" w:space="0" w:color="auto"/>
            <w:right w:val="none" w:sz="0" w:space="0" w:color="auto"/>
          </w:divBdr>
        </w:div>
        <w:div w:id="1863667351">
          <w:marLeft w:val="640"/>
          <w:marRight w:val="0"/>
          <w:marTop w:val="0"/>
          <w:marBottom w:val="0"/>
          <w:divBdr>
            <w:top w:val="none" w:sz="0" w:space="0" w:color="auto"/>
            <w:left w:val="none" w:sz="0" w:space="0" w:color="auto"/>
            <w:bottom w:val="none" w:sz="0" w:space="0" w:color="auto"/>
            <w:right w:val="none" w:sz="0" w:space="0" w:color="auto"/>
          </w:divBdr>
        </w:div>
        <w:div w:id="609288757">
          <w:marLeft w:val="640"/>
          <w:marRight w:val="0"/>
          <w:marTop w:val="0"/>
          <w:marBottom w:val="0"/>
          <w:divBdr>
            <w:top w:val="none" w:sz="0" w:space="0" w:color="auto"/>
            <w:left w:val="none" w:sz="0" w:space="0" w:color="auto"/>
            <w:bottom w:val="none" w:sz="0" w:space="0" w:color="auto"/>
            <w:right w:val="none" w:sz="0" w:space="0" w:color="auto"/>
          </w:divBdr>
        </w:div>
        <w:div w:id="374160817">
          <w:marLeft w:val="640"/>
          <w:marRight w:val="0"/>
          <w:marTop w:val="0"/>
          <w:marBottom w:val="0"/>
          <w:divBdr>
            <w:top w:val="none" w:sz="0" w:space="0" w:color="auto"/>
            <w:left w:val="none" w:sz="0" w:space="0" w:color="auto"/>
            <w:bottom w:val="none" w:sz="0" w:space="0" w:color="auto"/>
            <w:right w:val="none" w:sz="0" w:space="0" w:color="auto"/>
          </w:divBdr>
        </w:div>
        <w:div w:id="1035931731">
          <w:marLeft w:val="640"/>
          <w:marRight w:val="0"/>
          <w:marTop w:val="0"/>
          <w:marBottom w:val="0"/>
          <w:divBdr>
            <w:top w:val="none" w:sz="0" w:space="0" w:color="auto"/>
            <w:left w:val="none" w:sz="0" w:space="0" w:color="auto"/>
            <w:bottom w:val="none" w:sz="0" w:space="0" w:color="auto"/>
            <w:right w:val="none" w:sz="0" w:space="0" w:color="auto"/>
          </w:divBdr>
        </w:div>
        <w:div w:id="1582720380">
          <w:marLeft w:val="640"/>
          <w:marRight w:val="0"/>
          <w:marTop w:val="0"/>
          <w:marBottom w:val="0"/>
          <w:divBdr>
            <w:top w:val="none" w:sz="0" w:space="0" w:color="auto"/>
            <w:left w:val="none" w:sz="0" w:space="0" w:color="auto"/>
            <w:bottom w:val="none" w:sz="0" w:space="0" w:color="auto"/>
            <w:right w:val="none" w:sz="0" w:space="0" w:color="auto"/>
          </w:divBdr>
        </w:div>
        <w:div w:id="319623192">
          <w:marLeft w:val="640"/>
          <w:marRight w:val="0"/>
          <w:marTop w:val="0"/>
          <w:marBottom w:val="0"/>
          <w:divBdr>
            <w:top w:val="none" w:sz="0" w:space="0" w:color="auto"/>
            <w:left w:val="none" w:sz="0" w:space="0" w:color="auto"/>
            <w:bottom w:val="none" w:sz="0" w:space="0" w:color="auto"/>
            <w:right w:val="none" w:sz="0" w:space="0" w:color="auto"/>
          </w:divBdr>
        </w:div>
        <w:div w:id="1648238963">
          <w:marLeft w:val="640"/>
          <w:marRight w:val="0"/>
          <w:marTop w:val="0"/>
          <w:marBottom w:val="0"/>
          <w:divBdr>
            <w:top w:val="none" w:sz="0" w:space="0" w:color="auto"/>
            <w:left w:val="none" w:sz="0" w:space="0" w:color="auto"/>
            <w:bottom w:val="none" w:sz="0" w:space="0" w:color="auto"/>
            <w:right w:val="none" w:sz="0" w:space="0" w:color="auto"/>
          </w:divBdr>
        </w:div>
        <w:div w:id="103817771">
          <w:marLeft w:val="640"/>
          <w:marRight w:val="0"/>
          <w:marTop w:val="0"/>
          <w:marBottom w:val="0"/>
          <w:divBdr>
            <w:top w:val="none" w:sz="0" w:space="0" w:color="auto"/>
            <w:left w:val="none" w:sz="0" w:space="0" w:color="auto"/>
            <w:bottom w:val="none" w:sz="0" w:space="0" w:color="auto"/>
            <w:right w:val="none" w:sz="0" w:space="0" w:color="auto"/>
          </w:divBdr>
        </w:div>
        <w:div w:id="1374189075">
          <w:marLeft w:val="640"/>
          <w:marRight w:val="0"/>
          <w:marTop w:val="0"/>
          <w:marBottom w:val="0"/>
          <w:divBdr>
            <w:top w:val="none" w:sz="0" w:space="0" w:color="auto"/>
            <w:left w:val="none" w:sz="0" w:space="0" w:color="auto"/>
            <w:bottom w:val="none" w:sz="0" w:space="0" w:color="auto"/>
            <w:right w:val="none" w:sz="0" w:space="0" w:color="auto"/>
          </w:divBdr>
        </w:div>
        <w:div w:id="800878831">
          <w:marLeft w:val="640"/>
          <w:marRight w:val="0"/>
          <w:marTop w:val="0"/>
          <w:marBottom w:val="0"/>
          <w:divBdr>
            <w:top w:val="none" w:sz="0" w:space="0" w:color="auto"/>
            <w:left w:val="none" w:sz="0" w:space="0" w:color="auto"/>
            <w:bottom w:val="none" w:sz="0" w:space="0" w:color="auto"/>
            <w:right w:val="none" w:sz="0" w:space="0" w:color="auto"/>
          </w:divBdr>
        </w:div>
        <w:div w:id="1371687012">
          <w:marLeft w:val="640"/>
          <w:marRight w:val="0"/>
          <w:marTop w:val="0"/>
          <w:marBottom w:val="0"/>
          <w:divBdr>
            <w:top w:val="none" w:sz="0" w:space="0" w:color="auto"/>
            <w:left w:val="none" w:sz="0" w:space="0" w:color="auto"/>
            <w:bottom w:val="none" w:sz="0" w:space="0" w:color="auto"/>
            <w:right w:val="none" w:sz="0" w:space="0" w:color="auto"/>
          </w:divBdr>
        </w:div>
        <w:div w:id="1232889731">
          <w:marLeft w:val="640"/>
          <w:marRight w:val="0"/>
          <w:marTop w:val="0"/>
          <w:marBottom w:val="0"/>
          <w:divBdr>
            <w:top w:val="none" w:sz="0" w:space="0" w:color="auto"/>
            <w:left w:val="none" w:sz="0" w:space="0" w:color="auto"/>
            <w:bottom w:val="none" w:sz="0" w:space="0" w:color="auto"/>
            <w:right w:val="none" w:sz="0" w:space="0" w:color="auto"/>
          </w:divBdr>
        </w:div>
        <w:div w:id="609095392">
          <w:marLeft w:val="640"/>
          <w:marRight w:val="0"/>
          <w:marTop w:val="0"/>
          <w:marBottom w:val="0"/>
          <w:divBdr>
            <w:top w:val="none" w:sz="0" w:space="0" w:color="auto"/>
            <w:left w:val="none" w:sz="0" w:space="0" w:color="auto"/>
            <w:bottom w:val="none" w:sz="0" w:space="0" w:color="auto"/>
            <w:right w:val="none" w:sz="0" w:space="0" w:color="auto"/>
          </w:divBdr>
        </w:div>
        <w:div w:id="1061171673">
          <w:marLeft w:val="640"/>
          <w:marRight w:val="0"/>
          <w:marTop w:val="0"/>
          <w:marBottom w:val="0"/>
          <w:divBdr>
            <w:top w:val="none" w:sz="0" w:space="0" w:color="auto"/>
            <w:left w:val="none" w:sz="0" w:space="0" w:color="auto"/>
            <w:bottom w:val="none" w:sz="0" w:space="0" w:color="auto"/>
            <w:right w:val="none" w:sz="0" w:space="0" w:color="auto"/>
          </w:divBdr>
        </w:div>
        <w:div w:id="1941796693">
          <w:marLeft w:val="640"/>
          <w:marRight w:val="0"/>
          <w:marTop w:val="0"/>
          <w:marBottom w:val="0"/>
          <w:divBdr>
            <w:top w:val="none" w:sz="0" w:space="0" w:color="auto"/>
            <w:left w:val="none" w:sz="0" w:space="0" w:color="auto"/>
            <w:bottom w:val="none" w:sz="0" w:space="0" w:color="auto"/>
            <w:right w:val="none" w:sz="0" w:space="0" w:color="auto"/>
          </w:divBdr>
        </w:div>
        <w:div w:id="1463423452">
          <w:marLeft w:val="640"/>
          <w:marRight w:val="0"/>
          <w:marTop w:val="0"/>
          <w:marBottom w:val="0"/>
          <w:divBdr>
            <w:top w:val="none" w:sz="0" w:space="0" w:color="auto"/>
            <w:left w:val="none" w:sz="0" w:space="0" w:color="auto"/>
            <w:bottom w:val="none" w:sz="0" w:space="0" w:color="auto"/>
            <w:right w:val="none" w:sz="0" w:space="0" w:color="auto"/>
          </w:divBdr>
        </w:div>
        <w:div w:id="531186785">
          <w:marLeft w:val="640"/>
          <w:marRight w:val="0"/>
          <w:marTop w:val="0"/>
          <w:marBottom w:val="0"/>
          <w:divBdr>
            <w:top w:val="none" w:sz="0" w:space="0" w:color="auto"/>
            <w:left w:val="none" w:sz="0" w:space="0" w:color="auto"/>
            <w:bottom w:val="none" w:sz="0" w:space="0" w:color="auto"/>
            <w:right w:val="none" w:sz="0" w:space="0" w:color="auto"/>
          </w:divBdr>
        </w:div>
        <w:div w:id="1338729581">
          <w:marLeft w:val="640"/>
          <w:marRight w:val="0"/>
          <w:marTop w:val="0"/>
          <w:marBottom w:val="0"/>
          <w:divBdr>
            <w:top w:val="none" w:sz="0" w:space="0" w:color="auto"/>
            <w:left w:val="none" w:sz="0" w:space="0" w:color="auto"/>
            <w:bottom w:val="none" w:sz="0" w:space="0" w:color="auto"/>
            <w:right w:val="none" w:sz="0" w:space="0" w:color="auto"/>
          </w:divBdr>
        </w:div>
        <w:div w:id="1087464521">
          <w:marLeft w:val="640"/>
          <w:marRight w:val="0"/>
          <w:marTop w:val="0"/>
          <w:marBottom w:val="0"/>
          <w:divBdr>
            <w:top w:val="none" w:sz="0" w:space="0" w:color="auto"/>
            <w:left w:val="none" w:sz="0" w:space="0" w:color="auto"/>
            <w:bottom w:val="none" w:sz="0" w:space="0" w:color="auto"/>
            <w:right w:val="none" w:sz="0" w:space="0" w:color="auto"/>
          </w:divBdr>
        </w:div>
        <w:div w:id="106781235">
          <w:marLeft w:val="640"/>
          <w:marRight w:val="0"/>
          <w:marTop w:val="0"/>
          <w:marBottom w:val="0"/>
          <w:divBdr>
            <w:top w:val="none" w:sz="0" w:space="0" w:color="auto"/>
            <w:left w:val="none" w:sz="0" w:space="0" w:color="auto"/>
            <w:bottom w:val="none" w:sz="0" w:space="0" w:color="auto"/>
            <w:right w:val="none" w:sz="0" w:space="0" w:color="auto"/>
          </w:divBdr>
        </w:div>
        <w:div w:id="1158812339">
          <w:marLeft w:val="640"/>
          <w:marRight w:val="0"/>
          <w:marTop w:val="0"/>
          <w:marBottom w:val="0"/>
          <w:divBdr>
            <w:top w:val="none" w:sz="0" w:space="0" w:color="auto"/>
            <w:left w:val="none" w:sz="0" w:space="0" w:color="auto"/>
            <w:bottom w:val="none" w:sz="0" w:space="0" w:color="auto"/>
            <w:right w:val="none" w:sz="0" w:space="0" w:color="auto"/>
          </w:divBdr>
        </w:div>
        <w:div w:id="996298424">
          <w:marLeft w:val="640"/>
          <w:marRight w:val="0"/>
          <w:marTop w:val="0"/>
          <w:marBottom w:val="0"/>
          <w:divBdr>
            <w:top w:val="none" w:sz="0" w:space="0" w:color="auto"/>
            <w:left w:val="none" w:sz="0" w:space="0" w:color="auto"/>
            <w:bottom w:val="none" w:sz="0" w:space="0" w:color="auto"/>
            <w:right w:val="none" w:sz="0" w:space="0" w:color="auto"/>
          </w:divBdr>
        </w:div>
        <w:div w:id="1150557552">
          <w:marLeft w:val="640"/>
          <w:marRight w:val="0"/>
          <w:marTop w:val="0"/>
          <w:marBottom w:val="0"/>
          <w:divBdr>
            <w:top w:val="none" w:sz="0" w:space="0" w:color="auto"/>
            <w:left w:val="none" w:sz="0" w:space="0" w:color="auto"/>
            <w:bottom w:val="none" w:sz="0" w:space="0" w:color="auto"/>
            <w:right w:val="none" w:sz="0" w:space="0" w:color="auto"/>
          </w:divBdr>
        </w:div>
        <w:div w:id="51732227">
          <w:marLeft w:val="640"/>
          <w:marRight w:val="0"/>
          <w:marTop w:val="0"/>
          <w:marBottom w:val="0"/>
          <w:divBdr>
            <w:top w:val="none" w:sz="0" w:space="0" w:color="auto"/>
            <w:left w:val="none" w:sz="0" w:space="0" w:color="auto"/>
            <w:bottom w:val="none" w:sz="0" w:space="0" w:color="auto"/>
            <w:right w:val="none" w:sz="0" w:space="0" w:color="auto"/>
          </w:divBdr>
        </w:div>
        <w:div w:id="562496013">
          <w:marLeft w:val="640"/>
          <w:marRight w:val="0"/>
          <w:marTop w:val="0"/>
          <w:marBottom w:val="0"/>
          <w:divBdr>
            <w:top w:val="none" w:sz="0" w:space="0" w:color="auto"/>
            <w:left w:val="none" w:sz="0" w:space="0" w:color="auto"/>
            <w:bottom w:val="none" w:sz="0" w:space="0" w:color="auto"/>
            <w:right w:val="none" w:sz="0" w:space="0" w:color="auto"/>
          </w:divBdr>
        </w:div>
        <w:div w:id="1424456633">
          <w:marLeft w:val="640"/>
          <w:marRight w:val="0"/>
          <w:marTop w:val="0"/>
          <w:marBottom w:val="0"/>
          <w:divBdr>
            <w:top w:val="none" w:sz="0" w:space="0" w:color="auto"/>
            <w:left w:val="none" w:sz="0" w:space="0" w:color="auto"/>
            <w:bottom w:val="none" w:sz="0" w:space="0" w:color="auto"/>
            <w:right w:val="none" w:sz="0" w:space="0" w:color="auto"/>
          </w:divBdr>
        </w:div>
        <w:div w:id="15736216">
          <w:marLeft w:val="640"/>
          <w:marRight w:val="0"/>
          <w:marTop w:val="0"/>
          <w:marBottom w:val="0"/>
          <w:divBdr>
            <w:top w:val="none" w:sz="0" w:space="0" w:color="auto"/>
            <w:left w:val="none" w:sz="0" w:space="0" w:color="auto"/>
            <w:bottom w:val="none" w:sz="0" w:space="0" w:color="auto"/>
            <w:right w:val="none" w:sz="0" w:space="0" w:color="auto"/>
          </w:divBdr>
        </w:div>
        <w:div w:id="762073716">
          <w:marLeft w:val="640"/>
          <w:marRight w:val="0"/>
          <w:marTop w:val="0"/>
          <w:marBottom w:val="0"/>
          <w:divBdr>
            <w:top w:val="none" w:sz="0" w:space="0" w:color="auto"/>
            <w:left w:val="none" w:sz="0" w:space="0" w:color="auto"/>
            <w:bottom w:val="none" w:sz="0" w:space="0" w:color="auto"/>
            <w:right w:val="none" w:sz="0" w:space="0" w:color="auto"/>
          </w:divBdr>
        </w:div>
        <w:div w:id="792095793">
          <w:marLeft w:val="640"/>
          <w:marRight w:val="0"/>
          <w:marTop w:val="0"/>
          <w:marBottom w:val="0"/>
          <w:divBdr>
            <w:top w:val="none" w:sz="0" w:space="0" w:color="auto"/>
            <w:left w:val="none" w:sz="0" w:space="0" w:color="auto"/>
            <w:bottom w:val="none" w:sz="0" w:space="0" w:color="auto"/>
            <w:right w:val="none" w:sz="0" w:space="0" w:color="auto"/>
          </w:divBdr>
        </w:div>
        <w:div w:id="1427191714">
          <w:marLeft w:val="640"/>
          <w:marRight w:val="0"/>
          <w:marTop w:val="0"/>
          <w:marBottom w:val="0"/>
          <w:divBdr>
            <w:top w:val="none" w:sz="0" w:space="0" w:color="auto"/>
            <w:left w:val="none" w:sz="0" w:space="0" w:color="auto"/>
            <w:bottom w:val="none" w:sz="0" w:space="0" w:color="auto"/>
            <w:right w:val="none" w:sz="0" w:space="0" w:color="auto"/>
          </w:divBdr>
        </w:div>
        <w:div w:id="1954171730">
          <w:marLeft w:val="640"/>
          <w:marRight w:val="0"/>
          <w:marTop w:val="0"/>
          <w:marBottom w:val="0"/>
          <w:divBdr>
            <w:top w:val="none" w:sz="0" w:space="0" w:color="auto"/>
            <w:left w:val="none" w:sz="0" w:space="0" w:color="auto"/>
            <w:bottom w:val="none" w:sz="0" w:space="0" w:color="auto"/>
            <w:right w:val="none" w:sz="0" w:space="0" w:color="auto"/>
          </w:divBdr>
        </w:div>
        <w:div w:id="1702392754">
          <w:marLeft w:val="640"/>
          <w:marRight w:val="0"/>
          <w:marTop w:val="0"/>
          <w:marBottom w:val="0"/>
          <w:divBdr>
            <w:top w:val="none" w:sz="0" w:space="0" w:color="auto"/>
            <w:left w:val="none" w:sz="0" w:space="0" w:color="auto"/>
            <w:bottom w:val="none" w:sz="0" w:space="0" w:color="auto"/>
            <w:right w:val="none" w:sz="0" w:space="0" w:color="auto"/>
          </w:divBdr>
        </w:div>
        <w:div w:id="1971208886">
          <w:marLeft w:val="640"/>
          <w:marRight w:val="0"/>
          <w:marTop w:val="0"/>
          <w:marBottom w:val="0"/>
          <w:divBdr>
            <w:top w:val="none" w:sz="0" w:space="0" w:color="auto"/>
            <w:left w:val="none" w:sz="0" w:space="0" w:color="auto"/>
            <w:bottom w:val="none" w:sz="0" w:space="0" w:color="auto"/>
            <w:right w:val="none" w:sz="0" w:space="0" w:color="auto"/>
          </w:divBdr>
        </w:div>
        <w:div w:id="55203986">
          <w:marLeft w:val="640"/>
          <w:marRight w:val="0"/>
          <w:marTop w:val="0"/>
          <w:marBottom w:val="0"/>
          <w:divBdr>
            <w:top w:val="none" w:sz="0" w:space="0" w:color="auto"/>
            <w:left w:val="none" w:sz="0" w:space="0" w:color="auto"/>
            <w:bottom w:val="none" w:sz="0" w:space="0" w:color="auto"/>
            <w:right w:val="none" w:sz="0" w:space="0" w:color="auto"/>
          </w:divBdr>
        </w:div>
        <w:div w:id="1542742999">
          <w:marLeft w:val="640"/>
          <w:marRight w:val="0"/>
          <w:marTop w:val="0"/>
          <w:marBottom w:val="0"/>
          <w:divBdr>
            <w:top w:val="none" w:sz="0" w:space="0" w:color="auto"/>
            <w:left w:val="none" w:sz="0" w:space="0" w:color="auto"/>
            <w:bottom w:val="none" w:sz="0" w:space="0" w:color="auto"/>
            <w:right w:val="none" w:sz="0" w:space="0" w:color="auto"/>
          </w:divBdr>
        </w:div>
        <w:div w:id="37583693">
          <w:marLeft w:val="640"/>
          <w:marRight w:val="0"/>
          <w:marTop w:val="0"/>
          <w:marBottom w:val="0"/>
          <w:divBdr>
            <w:top w:val="none" w:sz="0" w:space="0" w:color="auto"/>
            <w:left w:val="none" w:sz="0" w:space="0" w:color="auto"/>
            <w:bottom w:val="none" w:sz="0" w:space="0" w:color="auto"/>
            <w:right w:val="none" w:sz="0" w:space="0" w:color="auto"/>
          </w:divBdr>
        </w:div>
        <w:div w:id="1732385644">
          <w:marLeft w:val="640"/>
          <w:marRight w:val="0"/>
          <w:marTop w:val="0"/>
          <w:marBottom w:val="0"/>
          <w:divBdr>
            <w:top w:val="none" w:sz="0" w:space="0" w:color="auto"/>
            <w:left w:val="none" w:sz="0" w:space="0" w:color="auto"/>
            <w:bottom w:val="none" w:sz="0" w:space="0" w:color="auto"/>
            <w:right w:val="none" w:sz="0" w:space="0" w:color="auto"/>
          </w:divBdr>
        </w:div>
        <w:div w:id="1778518680">
          <w:marLeft w:val="640"/>
          <w:marRight w:val="0"/>
          <w:marTop w:val="0"/>
          <w:marBottom w:val="0"/>
          <w:divBdr>
            <w:top w:val="none" w:sz="0" w:space="0" w:color="auto"/>
            <w:left w:val="none" w:sz="0" w:space="0" w:color="auto"/>
            <w:bottom w:val="none" w:sz="0" w:space="0" w:color="auto"/>
            <w:right w:val="none" w:sz="0" w:space="0" w:color="auto"/>
          </w:divBdr>
        </w:div>
        <w:div w:id="573319470">
          <w:marLeft w:val="640"/>
          <w:marRight w:val="0"/>
          <w:marTop w:val="0"/>
          <w:marBottom w:val="0"/>
          <w:divBdr>
            <w:top w:val="none" w:sz="0" w:space="0" w:color="auto"/>
            <w:left w:val="none" w:sz="0" w:space="0" w:color="auto"/>
            <w:bottom w:val="none" w:sz="0" w:space="0" w:color="auto"/>
            <w:right w:val="none" w:sz="0" w:space="0" w:color="auto"/>
          </w:divBdr>
        </w:div>
        <w:div w:id="199364743">
          <w:marLeft w:val="640"/>
          <w:marRight w:val="0"/>
          <w:marTop w:val="0"/>
          <w:marBottom w:val="0"/>
          <w:divBdr>
            <w:top w:val="none" w:sz="0" w:space="0" w:color="auto"/>
            <w:left w:val="none" w:sz="0" w:space="0" w:color="auto"/>
            <w:bottom w:val="none" w:sz="0" w:space="0" w:color="auto"/>
            <w:right w:val="none" w:sz="0" w:space="0" w:color="auto"/>
          </w:divBdr>
        </w:div>
        <w:div w:id="704184763">
          <w:marLeft w:val="640"/>
          <w:marRight w:val="0"/>
          <w:marTop w:val="0"/>
          <w:marBottom w:val="0"/>
          <w:divBdr>
            <w:top w:val="none" w:sz="0" w:space="0" w:color="auto"/>
            <w:left w:val="none" w:sz="0" w:space="0" w:color="auto"/>
            <w:bottom w:val="none" w:sz="0" w:space="0" w:color="auto"/>
            <w:right w:val="none" w:sz="0" w:space="0" w:color="auto"/>
          </w:divBdr>
        </w:div>
        <w:div w:id="1769424974">
          <w:marLeft w:val="640"/>
          <w:marRight w:val="0"/>
          <w:marTop w:val="0"/>
          <w:marBottom w:val="0"/>
          <w:divBdr>
            <w:top w:val="none" w:sz="0" w:space="0" w:color="auto"/>
            <w:left w:val="none" w:sz="0" w:space="0" w:color="auto"/>
            <w:bottom w:val="none" w:sz="0" w:space="0" w:color="auto"/>
            <w:right w:val="none" w:sz="0" w:space="0" w:color="auto"/>
          </w:divBdr>
        </w:div>
        <w:div w:id="1703439909">
          <w:marLeft w:val="640"/>
          <w:marRight w:val="0"/>
          <w:marTop w:val="0"/>
          <w:marBottom w:val="0"/>
          <w:divBdr>
            <w:top w:val="none" w:sz="0" w:space="0" w:color="auto"/>
            <w:left w:val="none" w:sz="0" w:space="0" w:color="auto"/>
            <w:bottom w:val="none" w:sz="0" w:space="0" w:color="auto"/>
            <w:right w:val="none" w:sz="0" w:space="0" w:color="auto"/>
          </w:divBdr>
        </w:div>
        <w:div w:id="681054089">
          <w:marLeft w:val="640"/>
          <w:marRight w:val="0"/>
          <w:marTop w:val="0"/>
          <w:marBottom w:val="0"/>
          <w:divBdr>
            <w:top w:val="none" w:sz="0" w:space="0" w:color="auto"/>
            <w:left w:val="none" w:sz="0" w:space="0" w:color="auto"/>
            <w:bottom w:val="none" w:sz="0" w:space="0" w:color="auto"/>
            <w:right w:val="none" w:sz="0" w:space="0" w:color="auto"/>
          </w:divBdr>
        </w:div>
        <w:div w:id="1351175341">
          <w:marLeft w:val="640"/>
          <w:marRight w:val="0"/>
          <w:marTop w:val="0"/>
          <w:marBottom w:val="0"/>
          <w:divBdr>
            <w:top w:val="none" w:sz="0" w:space="0" w:color="auto"/>
            <w:left w:val="none" w:sz="0" w:space="0" w:color="auto"/>
            <w:bottom w:val="none" w:sz="0" w:space="0" w:color="auto"/>
            <w:right w:val="none" w:sz="0" w:space="0" w:color="auto"/>
          </w:divBdr>
        </w:div>
        <w:div w:id="1210605309">
          <w:marLeft w:val="640"/>
          <w:marRight w:val="0"/>
          <w:marTop w:val="0"/>
          <w:marBottom w:val="0"/>
          <w:divBdr>
            <w:top w:val="none" w:sz="0" w:space="0" w:color="auto"/>
            <w:left w:val="none" w:sz="0" w:space="0" w:color="auto"/>
            <w:bottom w:val="none" w:sz="0" w:space="0" w:color="auto"/>
            <w:right w:val="none" w:sz="0" w:space="0" w:color="auto"/>
          </w:divBdr>
        </w:div>
        <w:div w:id="1587690846">
          <w:marLeft w:val="640"/>
          <w:marRight w:val="0"/>
          <w:marTop w:val="0"/>
          <w:marBottom w:val="0"/>
          <w:divBdr>
            <w:top w:val="none" w:sz="0" w:space="0" w:color="auto"/>
            <w:left w:val="none" w:sz="0" w:space="0" w:color="auto"/>
            <w:bottom w:val="none" w:sz="0" w:space="0" w:color="auto"/>
            <w:right w:val="none" w:sz="0" w:space="0" w:color="auto"/>
          </w:divBdr>
        </w:div>
        <w:div w:id="630987756">
          <w:marLeft w:val="640"/>
          <w:marRight w:val="0"/>
          <w:marTop w:val="0"/>
          <w:marBottom w:val="0"/>
          <w:divBdr>
            <w:top w:val="none" w:sz="0" w:space="0" w:color="auto"/>
            <w:left w:val="none" w:sz="0" w:space="0" w:color="auto"/>
            <w:bottom w:val="none" w:sz="0" w:space="0" w:color="auto"/>
            <w:right w:val="none" w:sz="0" w:space="0" w:color="auto"/>
          </w:divBdr>
        </w:div>
        <w:div w:id="1676878739">
          <w:marLeft w:val="640"/>
          <w:marRight w:val="0"/>
          <w:marTop w:val="0"/>
          <w:marBottom w:val="0"/>
          <w:divBdr>
            <w:top w:val="none" w:sz="0" w:space="0" w:color="auto"/>
            <w:left w:val="none" w:sz="0" w:space="0" w:color="auto"/>
            <w:bottom w:val="none" w:sz="0" w:space="0" w:color="auto"/>
            <w:right w:val="none" w:sz="0" w:space="0" w:color="auto"/>
          </w:divBdr>
        </w:div>
        <w:div w:id="104469050">
          <w:marLeft w:val="640"/>
          <w:marRight w:val="0"/>
          <w:marTop w:val="0"/>
          <w:marBottom w:val="0"/>
          <w:divBdr>
            <w:top w:val="none" w:sz="0" w:space="0" w:color="auto"/>
            <w:left w:val="none" w:sz="0" w:space="0" w:color="auto"/>
            <w:bottom w:val="none" w:sz="0" w:space="0" w:color="auto"/>
            <w:right w:val="none" w:sz="0" w:space="0" w:color="auto"/>
          </w:divBdr>
        </w:div>
        <w:div w:id="213736345">
          <w:marLeft w:val="640"/>
          <w:marRight w:val="0"/>
          <w:marTop w:val="0"/>
          <w:marBottom w:val="0"/>
          <w:divBdr>
            <w:top w:val="none" w:sz="0" w:space="0" w:color="auto"/>
            <w:left w:val="none" w:sz="0" w:space="0" w:color="auto"/>
            <w:bottom w:val="none" w:sz="0" w:space="0" w:color="auto"/>
            <w:right w:val="none" w:sz="0" w:space="0" w:color="auto"/>
          </w:divBdr>
        </w:div>
        <w:div w:id="1504009999">
          <w:marLeft w:val="640"/>
          <w:marRight w:val="0"/>
          <w:marTop w:val="0"/>
          <w:marBottom w:val="0"/>
          <w:divBdr>
            <w:top w:val="none" w:sz="0" w:space="0" w:color="auto"/>
            <w:left w:val="none" w:sz="0" w:space="0" w:color="auto"/>
            <w:bottom w:val="none" w:sz="0" w:space="0" w:color="auto"/>
            <w:right w:val="none" w:sz="0" w:space="0" w:color="auto"/>
          </w:divBdr>
        </w:div>
        <w:div w:id="1094589619">
          <w:marLeft w:val="640"/>
          <w:marRight w:val="0"/>
          <w:marTop w:val="0"/>
          <w:marBottom w:val="0"/>
          <w:divBdr>
            <w:top w:val="none" w:sz="0" w:space="0" w:color="auto"/>
            <w:left w:val="none" w:sz="0" w:space="0" w:color="auto"/>
            <w:bottom w:val="none" w:sz="0" w:space="0" w:color="auto"/>
            <w:right w:val="none" w:sz="0" w:space="0" w:color="auto"/>
          </w:divBdr>
        </w:div>
        <w:div w:id="1147238557">
          <w:marLeft w:val="640"/>
          <w:marRight w:val="0"/>
          <w:marTop w:val="0"/>
          <w:marBottom w:val="0"/>
          <w:divBdr>
            <w:top w:val="none" w:sz="0" w:space="0" w:color="auto"/>
            <w:left w:val="none" w:sz="0" w:space="0" w:color="auto"/>
            <w:bottom w:val="none" w:sz="0" w:space="0" w:color="auto"/>
            <w:right w:val="none" w:sz="0" w:space="0" w:color="auto"/>
          </w:divBdr>
        </w:div>
        <w:div w:id="287393523">
          <w:marLeft w:val="640"/>
          <w:marRight w:val="0"/>
          <w:marTop w:val="0"/>
          <w:marBottom w:val="0"/>
          <w:divBdr>
            <w:top w:val="none" w:sz="0" w:space="0" w:color="auto"/>
            <w:left w:val="none" w:sz="0" w:space="0" w:color="auto"/>
            <w:bottom w:val="none" w:sz="0" w:space="0" w:color="auto"/>
            <w:right w:val="none" w:sz="0" w:space="0" w:color="auto"/>
          </w:divBdr>
        </w:div>
        <w:div w:id="569922667">
          <w:marLeft w:val="640"/>
          <w:marRight w:val="0"/>
          <w:marTop w:val="0"/>
          <w:marBottom w:val="0"/>
          <w:divBdr>
            <w:top w:val="none" w:sz="0" w:space="0" w:color="auto"/>
            <w:left w:val="none" w:sz="0" w:space="0" w:color="auto"/>
            <w:bottom w:val="none" w:sz="0" w:space="0" w:color="auto"/>
            <w:right w:val="none" w:sz="0" w:space="0" w:color="auto"/>
          </w:divBdr>
        </w:div>
        <w:div w:id="1499535514">
          <w:marLeft w:val="640"/>
          <w:marRight w:val="0"/>
          <w:marTop w:val="0"/>
          <w:marBottom w:val="0"/>
          <w:divBdr>
            <w:top w:val="none" w:sz="0" w:space="0" w:color="auto"/>
            <w:left w:val="none" w:sz="0" w:space="0" w:color="auto"/>
            <w:bottom w:val="none" w:sz="0" w:space="0" w:color="auto"/>
            <w:right w:val="none" w:sz="0" w:space="0" w:color="auto"/>
          </w:divBdr>
        </w:div>
        <w:div w:id="1326935722">
          <w:marLeft w:val="640"/>
          <w:marRight w:val="0"/>
          <w:marTop w:val="0"/>
          <w:marBottom w:val="0"/>
          <w:divBdr>
            <w:top w:val="none" w:sz="0" w:space="0" w:color="auto"/>
            <w:left w:val="none" w:sz="0" w:space="0" w:color="auto"/>
            <w:bottom w:val="none" w:sz="0" w:space="0" w:color="auto"/>
            <w:right w:val="none" w:sz="0" w:space="0" w:color="auto"/>
          </w:divBdr>
        </w:div>
        <w:div w:id="233592774">
          <w:marLeft w:val="640"/>
          <w:marRight w:val="0"/>
          <w:marTop w:val="0"/>
          <w:marBottom w:val="0"/>
          <w:divBdr>
            <w:top w:val="none" w:sz="0" w:space="0" w:color="auto"/>
            <w:left w:val="none" w:sz="0" w:space="0" w:color="auto"/>
            <w:bottom w:val="none" w:sz="0" w:space="0" w:color="auto"/>
            <w:right w:val="none" w:sz="0" w:space="0" w:color="auto"/>
          </w:divBdr>
        </w:div>
        <w:div w:id="1544055196">
          <w:marLeft w:val="640"/>
          <w:marRight w:val="0"/>
          <w:marTop w:val="0"/>
          <w:marBottom w:val="0"/>
          <w:divBdr>
            <w:top w:val="none" w:sz="0" w:space="0" w:color="auto"/>
            <w:left w:val="none" w:sz="0" w:space="0" w:color="auto"/>
            <w:bottom w:val="none" w:sz="0" w:space="0" w:color="auto"/>
            <w:right w:val="none" w:sz="0" w:space="0" w:color="auto"/>
          </w:divBdr>
        </w:div>
        <w:div w:id="454251140">
          <w:marLeft w:val="640"/>
          <w:marRight w:val="0"/>
          <w:marTop w:val="0"/>
          <w:marBottom w:val="0"/>
          <w:divBdr>
            <w:top w:val="none" w:sz="0" w:space="0" w:color="auto"/>
            <w:left w:val="none" w:sz="0" w:space="0" w:color="auto"/>
            <w:bottom w:val="none" w:sz="0" w:space="0" w:color="auto"/>
            <w:right w:val="none" w:sz="0" w:space="0" w:color="auto"/>
          </w:divBdr>
        </w:div>
        <w:div w:id="1110010295">
          <w:marLeft w:val="640"/>
          <w:marRight w:val="0"/>
          <w:marTop w:val="0"/>
          <w:marBottom w:val="0"/>
          <w:divBdr>
            <w:top w:val="none" w:sz="0" w:space="0" w:color="auto"/>
            <w:left w:val="none" w:sz="0" w:space="0" w:color="auto"/>
            <w:bottom w:val="none" w:sz="0" w:space="0" w:color="auto"/>
            <w:right w:val="none" w:sz="0" w:space="0" w:color="auto"/>
          </w:divBdr>
        </w:div>
        <w:div w:id="1877280044">
          <w:marLeft w:val="640"/>
          <w:marRight w:val="0"/>
          <w:marTop w:val="0"/>
          <w:marBottom w:val="0"/>
          <w:divBdr>
            <w:top w:val="none" w:sz="0" w:space="0" w:color="auto"/>
            <w:left w:val="none" w:sz="0" w:space="0" w:color="auto"/>
            <w:bottom w:val="none" w:sz="0" w:space="0" w:color="auto"/>
            <w:right w:val="none" w:sz="0" w:space="0" w:color="auto"/>
          </w:divBdr>
        </w:div>
        <w:div w:id="1561136853">
          <w:marLeft w:val="640"/>
          <w:marRight w:val="0"/>
          <w:marTop w:val="0"/>
          <w:marBottom w:val="0"/>
          <w:divBdr>
            <w:top w:val="none" w:sz="0" w:space="0" w:color="auto"/>
            <w:left w:val="none" w:sz="0" w:space="0" w:color="auto"/>
            <w:bottom w:val="none" w:sz="0" w:space="0" w:color="auto"/>
            <w:right w:val="none" w:sz="0" w:space="0" w:color="auto"/>
          </w:divBdr>
        </w:div>
        <w:div w:id="1578663930">
          <w:marLeft w:val="640"/>
          <w:marRight w:val="0"/>
          <w:marTop w:val="0"/>
          <w:marBottom w:val="0"/>
          <w:divBdr>
            <w:top w:val="none" w:sz="0" w:space="0" w:color="auto"/>
            <w:left w:val="none" w:sz="0" w:space="0" w:color="auto"/>
            <w:bottom w:val="none" w:sz="0" w:space="0" w:color="auto"/>
            <w:right w:val="none" w:sz="0" w:space="0" w:color="auto"/>
          </w:divBdr>
        </w:div>
        <w:div w:id="1680353788">
          <w:marLeft w:val="640"/>
          <w:marRight w:val="0"/>
          <w:marTop w:val="0"/>
          <w:marBottom w:val="0"/>
          <w:divBdr>
            <w:top w:val="none" w:sz="0" w:space="0" w:color="auto"/>
            <w:left w:val="none" w:sz="0" w:space="0" w:color="auto"/>
            <w:bottom w:val="none" w:sz="0" w:space="0" w:color="auto"/>
            <w:right w:val="none" w:sz="0" w:space="0" w:color="auto"/>
          </w:divBdr>
        </w:div>
        <w:div w:id="95367848">
          <w:marLeft w:val="640"/>
          <w:marRight w:val="0"/>
          <w:marTop w:val="0"/>
          <w:marBottom w:val="0"/>
          <w:divBdr>
            <w:top w:val="none" w:sz="0" w:space="0" w:color="auto"/>
            <w:left w:val="none" w:sz="0" w:space="0" w:color="auto"/>
            <w:bottom w:val="none" w:sz="0" w:space="0" w:color="auto"/>
            <w:right w:val="none" w:sz="0" w:space="0" w:color="auto"/>
          </w:divBdr>
        </w:div>
        <w:div w:id="2004972178">
          <w:marLeft w:val="640"/>
          <w:marRight w:val="0"/>
          <w:marTop w:val="0"/>
          <w:marBottom w:val="0"/>
          <w:divBdr>
            <w:top w:val="none" w:sz="0" w:space="0" w:color="auto"/>
            <w:left w:val="none" w:sz="0" w:space="0" w:color="auto"/>
            <w:bottom w:val="none" w:sz="0" w:space="0" w:color="auto"/>
            <w:right w:val="none" w:sz="0" w:space="0" w:color="auto"/>
          </w:divBdr>
        </w:div>
        <w:div w:id="984550833">
          <w:marLeft w:val="640"/>
          <w:marRight w:val="0"/>
          <w:marTop w:val="0"/>
          <w:marBottom w:val="0"/>
          <w:divBdr>
            <w:top w:val="none" w:sz="0" w:space="0" w:color="auto"/>
            <w:left w:val="none" w:sz="0" w:space="0" w:color="auto"/>
            <w:bottom w:val="none" w:sz="0" w:space="0" w:color="auto"/>
            <w:right w:val="none" w:sz="0" w:space="0" w:color="auto"/>
          </w:divBdr>
        </w:div>
        <w:div w:id="2103794862">
          <w:marLeft w:val="640"/>
          <w:marRight w:val="0"/>
          <w:marTop w:val="0"/>
          <w:marBottom w:val="0"/>
          <w:divBdr>
            <w:top w:val="none" w:sz="0" w:space="0" w:color="auto"/>
            <w:left w:val="none" w:sz="0" w:space="0" w:color="auto"/>
            <w:bottom w:val="none" w:sz="0" w:space="0" w:color="auto"/>
            <w:right w:val="none" w:sz="0" w:space="0" w:color="auto"/>
          </w:divBdr>
        </w:div>
        <w:div w:id="664864799">
          <w:marLeft w:val="640"/>
          <w:marRight w:val="0"/>
          <w:marTop w:val="0"/>
          <w:marBottom w:val="0"/>
          <w:divBdr>
            <w:top w:val="none" w:sz="0" w:space="0" w:color="auto"/>
            <w:left w:val="none" w:sz="0" w:space="0" w:color="auto"/>
            <w:bottom w:val="none" w:sz="0" w:space="0" w:color="auto"/>
            <w:right w:val="none" w:sz="0" w:space="0" w:color="auto"/>
          </w:divBdr>
        </w:div>
        <w:div w:id="852105705">
          <w:marLeft w:val="640"/>
          <w:marRight w:val="0"/>
          <w:marTop w:val="0"/>
          <w:marBottom w:val="0"/>
          <w:divBdr>
            <w:top w:val="none" w:sz="0" w:space="0" w:color="auto"/>
            <w:left w:val="none" w:sz="0" w:space="0" w:color="auto"/>
            <w:bottom w:val="none" w:sz="0" w:space="0" w:color="auto"/>
            <w:right w:val="none" w:sz="0" w:space="0" w:color="auto"/>
          </w:divBdr>
        </w:div>
        <w:div w:id="509640038">
          <w:marLeft w:val="640"/>
          <w:marRight w:val="0"/>
          <w:marTop w:val="0"/>
          <w:marBottom w:val="0"/>
          <w:divBdr>
            <w:top w:val="none" w:sz="0" w:space="0" w:color="auto"/>
            <w:left w:val="none" w:sz="0" w:space="0" w:color="auto"/>
            <w:bottom w:val="none" w:sz="0" w:space="0" w:color="auto"/>
            <w:right w:val="none" w:sz="0" w:space="0" w:color="auto"/>
          </w:divBdr>
        </w:div>
      </w:divsChild>
    </w:div>
    <w:div w:id="1553149106">
      <w:bodyDiv w:val="1"/>
      <w:marLeft w:val="0"/>
      <w:marRight w:val="0"/>
      <w:marTop w:val="0"/>
      <w:marBottom w:val="0"/>
      <w:divBdr>
        <w:top w:val="none" w:sz="0" w:space="0" w:color="auto"/>
        <w:left w:val="none" w:sz="0" w:space="0" w:color="auto"/>
        <w:bottom w:val="none" w:sz="0" w:space="0" w:color="auto"/>
        <w:right w:val="none" w:sz="0" w:space="0" w:color="auto"/>
      </w:divBdr>
      <w:divsChild>
        <w:div w:id="1545024620">
          <w:marLeft w:val="640"/>
          <w:marRight w:val="0"/>
          <w:marTop w:val="0"/>
          <w:marBottom w:val="0"/>
          <w:divBdr>
            <w:top w:val="none" w:sz="0" w:space="0" w:color="auto"/>
            <w:left w:val="none" w:sz="0" w:space="0" w:color="auto"/>
            <w:bottom w:val="none" w:sz="0" w:space="0" w:color="auto"/>
            <w:right w:val="none" w:sz="0" w:space="0" w:color="auto"/>
          </w:divBdr>
        </w:div>
        <w:div w:id="962883126">
          <w:marLeft w:val="640"/>
          <w:marRight w:val="0"/>
          <w:marTop w:val="0"/>
          <w:marBottom w:val="0"/>
          <w:divBdr>
            <w:top w:val="none" w:sz="0" w:space="0" w:color="auto"/>
            <w:left w:val="none" w:sz="0" w:space="0" w:color="auto"/>
            <w:bottom w:val="none" w:sz="0" w:space="0" w:color="auto"/>
            <w:right w:val="none" w:sz="0" w:space="0" w:color="auto"/>
          </w:divBdr>
        </w:div>
        <w:div w:id="1358313440">
          <w:marLeft w:val="640"/>
          <w:marRight w:val="0"/>
          <w:marTop w:val="0"/>
          <w:marBottom w:val="0"/>
          <w:divBdr>
            <w:top w:val="none" w:sz="0" w:space="0" w:color="auto"/>
            <w:left w:val="none" w:sz="0" w:space="0" w:color="auto"/>
            <w:bottom w:val="none" w:sz="0" w:space="0" w:color="auto"/>
            <w:right w:val="none" w:sz="0" w:space="0" w:color="auto"/>
          </w:divBdr>
        </w:div>
        <w:div w:id="1248998087">
          <w:marLeft w:val="640"/>
          <w:marRight w:val="0"/>
          <w:marTop w:val="0"/>
          <w:marBottom w:val="0"/>
          <w:divBdr>
            <w:top w:val="none" w:sz="0" w:space="0" w:color="auto"/>
            <w:left w:val="none" w:sz="0" w:space="0" w:color="auto"/>
            <w:bottom w:val="none" w:sz="0" w:space="0" w:color="auto"/>
            <w:right w:val="none" w:sz="0" w:space="0" w:color="auto"/>
          </w:divBdr>
        </w:div>
        <w:div w:id="50421178">
          <w:marLeft w:val="640"/>
          <w:marRight w:val="0"/>
          <w:marTop w:val="0"/>
          <w:marBottom w:val="0"/>
          <w:divBdr>
            <w:top w:val="none" w:sz="0" w:space="0" w:color="auto"/>
            <w:left w:val="none" w:sz="0" w:space="0" w:color="auto"/>
            <w:bottom w:val="none" w:sz="0" w:space="0" w:color="auto"/>
            <w:right w:val="none" w:sz="0" w:space="0" w:color="auto"/>
          </w:divBdr>
        </w:div>
        <w:div w:id="1744064072">
          <w:marLeft w:val="640"/>
          <w:marRight w:val="0"/>
          <w:marTop w:val="0"/>
          <w:marBottom w:val="0"/>
          <w:divBdr>
            <w:top w:val="none" w:sz="0" w:space="0" w:color="auto"/>
            <w:left w:val="none" w:sz="0" w:space="0" w:color="auto"/>
            <w:bottom w:val="none" w:sz="0" w:space="0" w:color="auto"/>
            <w:right w:val="none" w:sz="0" w:space="0" w:color="auto"/>
          </w:divBdr>
        </w:div>
        <w:div w:id="238750931">
          <w:marLeft w:val="640"/>
          <w:marRight w:val="0"/>
          <w:marTop w:val="0"/>
          <w:marBottom w:val="0"/>
          <w:divBdr>
            <w:top w:val="none" w:sz="0" w:space="0" w:color="auto"/>
            <w:left w:val="none" w:sz="0" w:space="0" w:color="auto"/>
            <w:bottom w:val="none" w:sz="0" w:space="0" w:color="auto"/>
            <w:right w:val="none" w:sz="0" w:space="0" w:color="auto"/>
          </w:divBdr>
        </w:div>
        <w:div w:id="463154377">
          <w:marLeft w:val="640"/>
          <w:marRight w:val="0"/>
          <w:marTop w:val="0"/>
          <w:marBottom w:val="0"/>
          <w:divBdr>
            <w:top w:val="none" w:sz="0" w:space="0" w:color="auto"/>
            <w:left w:val="none" w:sz="0" w:space="0" w:color="auto"/>
            <w:bottom w:val="none" w:sz="0" w:space="0" w:color="auto"/>
            <w:right w:val="none" w:sz="0" w:space="0" w:color="auto"/>
          </w:divBdr>
        </w:div>
        <w:div w:id="1973561334">
          <w:marLeft w:val="640"/>
          <w:marRight w:val="0"/>
          <w:marTop w:val="0"/>
          <w:marBottom w:val="0"/>
          <w:divBdr>
            <w:top w:val="none" w:sz="0" w:space="0" w:color="auto"/>
            <w:left w:val="none" w:sz="0" w:space="0" w:color="auto"/>
            <w:bottom w:val="none" w:sz="0" w:space="0" w:color="auto"/>
            <w:right w:val="none" w:sz="0" w:space="0" w:color="auto"/>
          </w:divBdr>
        </w:div>
        <w:div w:id="1068965577">
          <w:marLeft w:val="640"/>
          <w:marRight w:val="0"/>
          <w:marTop w:val="0"/>
          <w:marBottom w:val="0"/>
          <w:divBdr>
            <w:top w:val="none" w:sz="0" w:space="0" w:color="auto"/>
            <w:left w:val="none" w:sz="0" w:space="0" w:color="auto"/>
            <w:bottom w:val="none" w:sz="0" w:space="0" w:color="auto"/>
            <w:right w:val="none" w:sz="0" w:space="0" w:color="auto"/>
          </w:divBdr>
        </w:div>
        <w:div w:id="685327445">
          <w:marLeft w:val="640"/>
          <w:marRight w:val="0"/>
          <w:marTop w:val="0"/>
          <w:marBottom w:val="0"/>
          <w:divBdr>
            <w:top w:val="none" w:sz="0" w:space="0" w:color="auto"/>
            <w:left w:val="none" w:sz="0" w:space="0" w:color="auto"/>
            <w:bottom w:val="none" w:sz="0" w:space="0" w:color="auto"/>
            <w:right w:val="none" w:sz="0" w:space="0" w:color="auto"/>
          </w:divBdr>
        </w:div>
        <w:div w:id="342055141">
          <w:marLeft w:val="640"/>
          <w:marRight w:val="0"/>
          <w:marTop w:val="0"/>
          <w:marBottom w:val="0"/>
          <w:divBdr>
            <w:top w:val="none" w:sz="0" w:space="0" w:color="auto"/>
            <w:left w:val="none" w:sz="0" w:space="0" w:color="auto"/>
            <w:bottom w:val="none" w:sz="0" w:space="0" w:color="auto"/>
            <w:right w:val="none" w:sz="0" w:space="0" w:color="auto"/>
          </w:divBdr>
        </w:div>
        <w:div w:id="1583685170">
          <w:marLeft w:val="640"/>
          <w:marRight w:val="0"/>
          <w:marTop w:val="0"/>
          <w:marBottom w:val="0"/>
          <w:divBdr>
            <w:top w:val="none" w:sz="0" w:space="0" w:color="auto"/>
            <w:left w:val="none" w:sz="0" w:space="0" w:color="auto"/>
            <w:bottom w:val="none" w:sz="0" w:space="0" w:color="auto"/>
            <w:right w:val="none" w:sz="0" w:space="0" w:color="auto"/>
          </w:divBdr>
        </w:div>
        <w:div w:id="298536750">
          <w:marLeft w:val="640"/>
          <w:marRight w:val="0"/>
          <w:marTop w:val="0"/>
          <w:marBottom w:val="0"/>
          <w:divBdr>
            <w:top w:val="none" w:sz="0" w:space="0" w:color="auto"/>
            <w:left w:val="none" w:sz="0" w:space="0" w:color="auto"/>
            <w:bottom w:val="none" w:sz="0" w:space="0" w:color="auto"/>
            <w:right w:val="none" w:sz="0" w:space="0" w:color="auto"/>
          </w:divBdr>
        </w:div>
        <w:div w:id="1348019498">
          <w:marLeft w:val="640"/>
          <w:marRight w:val="0"/>
          <w:marTop w:val="0"/>
          <w:marBottom w:val="0"/>
          <w:divBdr>
            <w:top w:val="none" w:sz="0" w:space="0" w:color="auto"/>
            <w:left w:val="none" w:sz="0" w:space="0" w:color="auto"/>
            <w:bottom w:val="none" w:sz="0" w:space="0" w:color="auto"/>
            <w:right w:val="none" w:sz="0" w:space="0" w:color="auto"/>
          </w:divBdr>
        </w:div>
        <w:div w:id="2124032169">
          <w:marLeft w:val="640"/>
          <w:marRight w:val="0"/>
          <w:marTop w:val="0"/>
          <w:marBottom w:val="0"/>
          <w:divBdr>
            <w:top w:val="none" w:sz="0" w:space="0" w:color="auto"/>
            <w:left w:val="none" w:sz="0" w:space="0" w:color="auto"/>
            <w:bottom w:val="none" w:sz="0" w:space="0" w:color="auto"/>
            <w:right w:val="none" w:sz="0" w:space="0" w:color="auto"/>
          </w:divBdr>
        </w:div>
        <w:div w:id="519705932">
          <w:marLeft w:val="640"/>
          <w:marRight w:val="0"/>
          <w:marTop w:val="0"/>
          <w:marBottom w:val="0"/>
          <w:divBdr>
            <w:top w:val="none" w:sz="0" w:space="0" w:color="auto"/>
            <w:left w:val="none" w:sz="0" w:space="0" w:color="auto"/>
            <w:bottom w:val="none" w:sz="0" w:space="0" w:color="auto"/>
            <w:right w:val="none" w:sz="0" w:space="0" w:color="auto"/>
          </w:divBdr>
        </w:div>
        <w:div w:id="98181040">
          <w:marLeft w:val="640"/>
          <w:marRight w:val="0"/>
          <w:marTop w:val="0"/>
          <w:marBottom w:val="0"/>
          <w:divBdr>
            <w:top w:val="none" w:sz="0" w:space="0" w:color="auto"/>
            <w:left w:val="none" w:sz="0" w:space="0" w:color="auto"/>
            <w:bottom w:val="none" w:sz="0" w:space="0" w:color="auto"/>
            <w:right w:val="none" w:sz="0" w:space="0" w:color="auto"/>
          </w:divBdr>
        </w:div>
        <w:div w:id="1211841668">
          <w:marLeft w:val="640"/>
          <w:marRight w:val="0"/>
          <w:marTop w:val="0"/>
          <w:marBottom w:val="0"/>
          <w:divBdr>
            <w:top w:val="none" w:sz="0" w:space="0" w:color="auto"/>
            <w:left w:val="none" w:sz="0" w:space="0" w:color="auto"/>
            <w:bottom w:val="none" w:sz="0" w:space="0" w:color="auto"/>
            <w:right w:val="none" w:sz="0" w:space="0" w:color="auto"/>
          </w:divBdr>
        </w:div>
        <w:div w:id="213540862">
          <w:marLeft w:val="640"/>
          <w:marRight w:val="0"/>
          <w:marTop w:val="0"/>
          <w:marBottom w:val="0"/>
          <w:divBdr>
            <w:top w:val="none" w:sz="0" w:space="0" w:color="auto"/>
            <w:left w:val="none" w:sz="0" w:space="0" w:color="auto"/>
            <w:bottom w:val="none" w:sz="0" w:space="0" w:color="auto"/>
            <w:right w:val="none" w:sz="0" w:space="0" w:color="auto"/>
          </w:divBdr>
        </w:div>
        <w:div w:id="1270430729">
          <w:marLeft w:val="640"/>
          <w:marRight w:val="0"/>
          <w:marTop w:val="0"/>
          <w:marBottom w:val="0"/>
          <w:divBdr>
            <w:top w:val="none" w:sz="0" w:space="0" w:color="auto"/>
            <w:left w:val="none" w:sz="0" w:space="0" w:color="auto"/>
            <w:bottom w:val="none" w:sz="0" w:space="0" w:color="auto"/>
            <w:right w:val="none" w:sz="0" w:space="0" w:color="auto"/>
          </w:divBdr>
        </w:div>
        <w:div w:id="1559970227">
          <w:marLeft w:val="640"/>
          <w:marRight w:val="0"/>
          <w:marTop w:val="0"/>
          <w:marBottom w:val="0"/>
          <w:divBdr>
            <w:top w:val="none" w:sz="0" w:space="0" w:color="auto"/>
            <w:left w:val="none" w:sz="0" w:space="0" w:color="auto"/>
            <w:bottom w:val="none" w:sz="0" w:space="0" w:color="auto"/>
            <w:right w:val="none" w:sz="0" w:space="0" w:color="auto"/>
          </w:divBdr>
        </w:div>
        <w:div w:id="340204965">
          <w:marLeft w:val="640"/>
          <w:marRight w:val="0"/>
          <w:marTop w:val="0"/>
          <w:marBottom w:val="0"/>
          <w:divBdr>
            <w:top w:val="none" w:sz="0" w:space="0" w:color="auto"/>
            <w:left w:val="none" w:sz="0" w:space="0" w:color="auto"/>
            <w:bottom w:val="none" w:sz="0" w:space="0" w:color="auto"/>
            <w:right w:val="none" w:sz="0" w:space="0" w:color="auto"/>
          </w:divBdr>
        </w:div>
        <w:div w:id="2438644">
          <w:marLeft w:val="640"/>
          <w:marRight w:val="0"/>
          <w:marTop w:val="0"/>
          <w:marBottom w:val="0"/>
          <w:divBdr>
            <w:top w:val="none" w:sz="0" w:space="0" w:color="auto"/>
            <w:left w:val="none" w:sz="0" w:space="0" w:color="auto"/>
            <w:bottom w:val="none" w:sz="0" w:space="0" w:color="auto"/>
            <w:right w:val="none" w:sz="0" w:space="0" w:color="auto"/>
          </w:divBdr>
        </w:div>
        <w:div w:id="1399325125">
          <w:marLeft w:val="640"/>
          <w:marRight w:val="0"/>
          <w:marTop w:val="0"/>
          <w:marBottom w:val="0"/>
          <w:divBdr>
            <w:top w:val="none" w:sz="0" w:space="0" w:color="auto"/>
            <w:left w:val="none" w:sz="0" w:space="0" w:color="auto"/>
            <w:bottom w:val="none" w:sz="0" w:space="0" w:color="auto"/>
            <w:right w:val="none" w:sz="0" w:space="0" w:color="auto"/>
          </w:divBdr>
        </w:div>
      </w:divsChild>
    </w:div>
    <w:div w:id="1560048053">
      <w:bodyDiv w:val="1"/>
      <w:marLeft w:val="0"/>
      <w:marRight w:val="0"/>
      <w:marTop w:val="0"/>
      <w:marBottom w:val="0"/>
      <w:divBdr>
        <w:top w:val="none" w:sz="0" w:space="0" w:color="auto"/>
        <w:left w:val="none" w:sz="0" w:space="0" w:color="auto"/>
        <w:bottom w:val="none" w:sz="0" w:space="0" w:color="auto"/>
        <w:right w:val="none" w:sz="0" w:space="0" w:color="auto"/>
      </w:divBdr>
      <w:divsChild>
        <w:div w:id="930436294">
          <w:marLeft w:val="640"/>
          <w:marRight w:val="0"/>
          <w:marTop w:val="0"/>
          <w:marBottom w:val="0"/>
          <w:divBdr>
            <w:top w:val="none" w:sz="0" w:space="0" w:color="auto"/>
            <w:left w:val="none" w:sz="0" w:space="0" w:color="auto"/>
            <w:bottom w:val="none" w:sz="0" w:space="0" w:color="auto"/>
            <w:right w:val="none" w:sz="0" w:space="0" w:color="auto"/>
          </w:divBdr>
        </w:div>
        <w:div w:id="127476834">
          <w:marLeft w:val="640"/>
          <w:marRight w:val="0"/>
          <w:marTop w:val="0"/>
          <w:marBottom w:val="0"/>
          <w:divBdr>
            <w:top w:val="none" w:sz="0" w:space="0" w:color="auto"/>
            <w:left w:val="none" w:sz="0" w:space="0" w:color="auto"/>
            <w:bottom w:val="none" w:sz="0" w:space="0" w:color="auto"/>
            <w:right w:val="none" w:sz="0" w:space="0" w:color="auto"/>
          </w:divBdr>
        </w:div>
        <w:div w:id="1921941191">
          <w:marLeft w:val="640"/>
          <w:marRight w:val="0"/>
          <w:marTop w:val="0"/>
          <w:marBottom w:val="0"/>
          <w:divBdr>
            <w:top w:val="none" w:sz="0" w:space="0" w:color="auto"/>
            <w:left w:val="none" w:sz="0" w:space="0" w:color="auto"/>
            <w:bottom w:val="none" w:sz="0" w:space="0" w:color="auto"/>
            <w:right w:val="none" w:sz="0" w:space="0" w:color="auto"/>
          </w:divBdr>
        </w:div>
        <w:div w:id="1155297990">
          <w:marLeft w:val="640"/>
          <w:marRight w:val="0"/>
          <w:marTop w:val="0"/>
          <w:marBottom w:val="0"/>
          <w:divBdr>
            <w:top w:val="none" w:sz="0" w:space="0" w:color="auto"/>
            <w:left w:val="none" w:sz="0" w:space="0" w:color="auto"/>
            <w:bottom w:val="none" w:sz="0" w:space="0" w:color="auto"/>
            <w:right w:val="none" w:sz="0" w:space="0" w:color="auto"/>
          </w:divBdr>
        </w:div>
        <w:div w:id="608856827">
          <w:marLeft w:val="640"/>
          <w:marRight w:val="0"/>
          <w:marTop w:val="0"/>
          <w:marBottom w:val="0"/>
          <w:divBdr>
            <w:top w:val="none" w:sz="0" w:space="0" w:color="auto"/>
            <w:left w:val="none" w:sz="0" w:space="0" w:color="auto"/>
            <w:bottom w:val="none" w:sz="0" w:space="0" w:color="auto"/>
            <w:right w:val="none" w:sz="0" w:space="0" w:color="auto"/>
          </w:divBdr>
        </w:div>
        <w:div w:id="344790832">
          <w:marLeft w:val="640"/>
          <w:marRight w:val="0"/>
          <w:marTop w:val="0"/>
          <w:marBottom w:val="0"/>
          <w:divBdr>
            <w:top w:val="none" w:sz="0" w:space="0" w:color="auto"/>
            <w:left w:val="none" w:sz="0" w:space="0" w:color="auto"/>
            <w:bottom w:val="none" w:sz="0" w:space="0" w:color="auto"/>
            <w:right w:val="none" w:sz="0" w:space="0" w:color="auto"/>
          </w:divBdr>
        </w:div>
        <w:div w:id="1026448158">
          <w:marLeft w:val="640"/>
          <w:marRight w:val="0"/>
          <w:marTop w:val="0"/>
          <w:marBottom w:val="0"/>
          <w:divBdr>
            <w:top w:val="none" w:sz="0" w:space="0" w:color="auto"/>
            <w:left w:val="none" w:sz="0" w:space="0" w:color="auto"/>
            <w:bottom w:val="none" w:sz="0" w:space="0" w:color="auto"/>
            <w:right w:val="none" w:sz="0" w:space="0" w:color="auto"/>
          </w:divBdr>
        </w:div>
        <w:div w:id="1799225698">
          <w:marLeft w:val="640"/>
          <w:marRight w:val="0"/>
          <w:marTop w:val="0"/>
          <w:marBottom w:val="0"/>
          <w:divBdr>
            <w:top w:val="none" w:sz="0" w:space="0" w:color="auto"/>
            <w:left w:val="none" w:sz="0" w:space="0" w:color="auto"/>
            <w:bottom w:val="none" w:sz="0" w:space="0" w:color="auto"/>
            <w:right w:val="none" w:sz="0" w:space="0" w:color="auto"/>
          </w:divBdr>
        </w:div>
        <w:div w:id="1065448530">
          <w:marLeft w:val="640"/>
          <w:marRight w:val="0"/>
          <w:marTop w:val="0"/>
          <w:marBottom w:val="0"/>
          <w:divBdr>
            <w:top w:val="none" w:sz="0" w:space="0" w:color="auto"/>
            <w:left w:val="none" w:sz="0" w:space="0" w:color="auto"/>
            <w:bottom w:val="none" w:sz="0" w:space="0" w:color="auto"/>
            <w:right w:val="none" w:sz="0" w:space="0" w:color="auto"/>
          </w:divBdr>
        </w:div>
        <w:div w:id="310210010">
          <w:marLeft w:val="640"/>
          <w:marRight w:val="0"/>
          <w:marTop w:val="0"/>
          <w:marBottom w:val="0"/>
          <w:divBdr>
            <w:top w:val="none" w:sz="0" w:space="0" w:color="auto"/>
            <w:left w:val="none" w:sz="0" w:space="0" w:color="auto"/>
            <w:bottom w:val="none" w:sz="0" w:space="0" w:color="auto"/>
            <w:right w:val="none" w:sz="0" w:space="0" w:color="auto"/>
          </w:divBdr>
        </w:div>
        <w:div w:id="1530869870">
          <w:marLeft w:val="640"/>
          <w:marRight w:val="0"/>
          <w:marTop w:val="0"/>
          <w:marBottom w:val="0"/>
          <w:divBdr>
            <w:top w:val="none" w:sz="0" w:space="0" w:color="auto"/>
            <w:left w:val="none" w:sz="0" w:space="0" w:color="auto"/>
            <w:bottom w:val="none" w:sz="0" w:space="0" w:color="auto"/>
            <w:right w:val="none" w:sz="0" w:space="0" w:color="auto"/>
          </w:divBdr>
        </w:div>
        <w:div w:id="159471187">
          <w:marLeft w:val="640"/>
          <w:marRight w:val="0"/>
          <w:marTop w:val="0"/>
          <w:marBottom w:val="0"/>
          <w:divBdr>
            <w:top w:val="none" w:sz="0" w:space="0" w:color="auto"/>
            <w:left w:val="none" w:sz="0" w:space="0" w:color="auto"/>
            <w:bottom w:val="none" w:sz="0" w:space="0" w:color="auto"/>
            <w:right w:val="none" w:sz="0" w:space="0" w:color="auto"/>
          </w:divBdr>
        </w:div>
        <w:div w:id="831140155">
          <w:marLeft w:val="640"/>
          <w:marRight w:val="0"/>
          <w:marTop w:val="0"/>
          <w:marBottom w:val="0"/>
          <w:divBdr>
            <w:top w:val="none" w:sz="0" w:space="0" w:color="auto"/>
            <w:left w:val="none" w:sz="0" w:space="0" w:color="auto"/>
            <w:bottom w:val="none" w:sz="0" w:space="0" w:color="auto"/>
            <w:right w:val="none" w:sz="0" w:space="0" w:color="auto"/>
          </w:divBdr>
        </w:div>
        <w:div w:id="574513989">
          <w:marLeft w:val="640"/>
          <w:marRight w:val="0"/>
          <w:marTop w:val="0"/>
          <w:marBottom w:val="0"/>
          <w:divBdr>
            <w:top w:val="none" w:sz="0" w:space="0" w:color="auto"/>
            <w:left w:val="none" w:sz="0" w:space="0" w:color="auto"/>
            <w:bottom w:val="none" w:sz="0" w:space="0" w:color="auto"/>
            <w:right w:val="none" w:sz="0" w:space="0" w:color="auto"/>
          </w:divBdr>
        </w:div>
        <w:div w:id="1251114274">
          <w:marLeft w:val="640"/>
          <w:marRight w:val="0"/>
          <w:marTop w:val="0"/>
          <w:marBottom w:val="0"/>
          <w:divBdr>
            <w:top w:val="none" w:sz="0" w:space="0" w:color="auto"/>
            <w:left w:val="none" w:sz="0" w:space="0" w:color="auto"/>
            <w:bottom w:val="none" w:sz="0" w:space="0" w:color="auto"/>
            <w:right w:val="none" w:sz="0" w:space="0" w:color="auto"/>
          </w:divBdr>
        </w:div>
        <w:div w:id="302196238">
          <w:marLeft w:val="640"/>
          <w:marRight w:val="0"/>
          <w:marTop w:val="0"/>
          <w:marBottom w:val="0"/>
          <w:divBdr>
            <w:top w:val="none" w:sz="0" w:space="0" w:color="auto"/>
            <w:left w:val="none" w:sz="0" w:space="0" w:color="auto"/>
            <w:bottom w:val="none" w:sz="0" w:space="0" w:color="auto"/>
            <w:right w:val="none" w:sz="0" w:space="0" w:color="auto"/>
          </w:divBdr>
        </w:div>
        <w:div w:id="216235941">
          <w:marLeft w:val="640"/>
          <w:marRight w:val="0"/>
          <w:marTop w:val="0"/>
          <w:marBottom w:val="0"/>
          <w:divBdr>
            <w:top w:val="none" w:sz="0" w:space="0" w:color="auto"/>
            <w:left w:val="none" w:sz="0" w:space="0" w:color="auto"/>
            <w:bottom w:val="none" w:sz="0" w:space="0" w:color="auto"/>
            <w:right w:val="none" w:sz="0" w:space="0" w:color="auto"/>
          </w:divBdr>
        </w:div>
        <w:div w:id="425657750">
          <w:marLeft w:val="640"/>
          <w:marRight w:val="0"/>
          <w:marTop w:val="0"/>
          <w:marBottom w:val="0"/>
          <w:divBdr>
            <w:top w:val="none" w:sz="0" w:space="0" w:color="auto"/>
            <w:left w:val="none" w:sz="0" w:space="0" w:color="auto"/>
            <w:bottom w:val="none" w:sz="0" w:space="0" w:color="auto"/>
            <w:right w:val="none" w:sz="0" w:space="0" w:color="auto"/>
          </w:divBdr>
        </w:div>
        <w:div w:id="1157914808">
          <w:marLeft w:val="640"/>
          <w:marRight w:val="0"/>
          <w:marTop w:val="0"/>
          <w:marBottom w:val="0"/>
          <w:divBdr>
            <w:top w:val="none" w:sz="0" w:space="0" w:color="auto"/>
            <w:left w:val="none" w:sz="0" w:space="0" w:color="auto"/>
            <w:bottom w:val="none" w:sz="0" w:space="0" w:color="auto"/>
            <w:right w:val="none" w:sz="0" w:space="0" w:color="auto"/>
          </w:divBdr>
        </w:div>
        <w:div w:id="2058314475">
          <w:marLeft w:val="640"/>
          <w:marRight w:val="0"/>
          <w:marTop w:val="0"/>
          <w:marBottom w:val="0"/>
          <w:divBdr>
            <w:top w:val="none" w:sz="0" w:space="0" w:color="auto"/>
            <w:left w:val="none" w:sz="0" w:space="0" w:color="auto"/>
            <w:bottom w:val="none" w:sz="0" w:space="0" w:color="auto"/>
            <w:right w:val="none" w:sz="0" w:space="0" w:color="auto"/>
          </w:divBdr>
        </w:div>
        <w:div w:id="1393112345">
          <w:marLeft w:val="640"/>
          <w:marRight w:val="0"/>
          <w:marTop w:val="0"/>
          <w:marBottom w:val="0"/>
          <w:divBdr>
            <w:top w:val="none" w:sz="0" w:space="0" w:color="auto"/>
            <w:left w:val="none" w:sz="0" w:space="0" w:color="auto"/>
            <w:bottom w:val="none" w:sz="0" w:space="0" w:color="auto"/>
            <w:right w:val="none" w:sz="0" w:space="0" w:color="auto"/>
          </w:divBdr>
        </w:div>
        <w:div w:id="1730886630">
          <w:marLeft w:val="640"/>
          <w:marRight w:val="0"/>
          <w:marTop w:val="0"/>
          <w:marBottom w:val="0"/>
          <w:divBdr>
            <w:top w:val="none" w:sz="0" w:space="0" w:color="auto"/>
            <w:left w:val="none" w:sz="0" w:space="0" w:color="auto"/>
            <w:bottom w:val="none" w:sz="0" w:space="0" w:color="auto"/>
            <w:right w:val="none" w:sz="0" w:space="0" w:color="auto"/>
          </w:divBdr>
        </w:div>
        <w:div w:id="1618755650">
          <w:marLeft w:val="640"/>
          <w:marRight w:val="0"/>
          <w:marTop w:val="0"/>
          <w:marBottom w:val="0"/>
          <w:divBdr>
            <w:top w:val="none" w:sz="0" w:space="0" w:color="auto"/>
            <w:left w:val="none" w:sz="0" w:space="0" w:color="auto"/>
            <w:bottom w:val="none" w:sz="0" w:space="0" w:color="auto"/>
            <w:right w:val="none" w:sz="0" w:space="0" w:color="auto"/>
          </w:divBdr>
        </w:div>
        <w:div w:id="1989284539">
          <w:marLeft w:val="640"/>
          <w:marRight w:val="0"/>
          <w:marTop w:val="0"/>
          <w:marBottom w:val="0"/>
          <w:divBdr>
            <w:top w:val="none" w:sz="0" w:space="0" w:color="auto"/>
            <w:left w:val="none" w:sz="0" w:space="0" w:color="auto"/>
            <w:bottom w:val="none" w:sz="0" w:space="0" w:color="auto"/>
            <w:right w:val="none" w:sz="0" w:space="0" w:color="auto"/>
          </w:divBdr>
        </w:div>
        <w:div w:id="1783770156">
          <w:marLeft w:val="640"/>
          <w:marRight w:val="0"/>
          <w:marTop w:val="0"/>
          <w:marBottom w:val="0"/>
          <w:divBdr>
            <w:top w:val="none" w:sz="0" w:space="0" w:color="auto"/>
            <w:left w:val="none" w:sz="0" w:space="0" w:color="auto"/>
            <w:bottom w:val="none" w:sz="0" w:space="0" w:color="auto"/>
            <w:right w:val="none" w:sz="0" w:space="0" w:color="auto"/>
          </w:divBdr>
        </w:div>
        <w:div w:id="503476285">
          <w:marLeft w:val="640"/>
          <w:marRight w:val="0"/>
          <w:marTop w:val="0"/>
          <w:marBottom w:val="0"/>
          <w:divBdr>
            <w:top w:val="none" w:sz="0" w:space="0" w:color="auto"/>
            <w:left w:val="none" w:sz="0" w:space="0" w:color="auto"/>
            <w:bottom w:val="none" w:sz="0" w:space="0" w:color="auto"/>
            <w:right w:val="none" w:sz="0" w:space="0" w:color="auto"/>
          </w:divBdr>
        </w:div>
        <w:div w:id="1008681427">
          <w:marLeft w:val="640"/>
          <w:marRight w:val="0"/>
          <w:marTop w:val="0"/>
          <w:marBottom w:val="0"/>
          <w:divBdr>
            <w:top w:val="none" w:sz="0" w:space="0" w:color="auto"/>
            <w:left w:val="none" w:sz="0" w:space="0" w:color="auto"/>
            <w:bottom w:val="none" w:sz="0" w:space="0" w:color="auto"/>
            <w:right w:val="none" w:sz="0" w:space="0" w:color="auto"/>
          </w:divBdr>
        </w:div>
        <w:div w:id="1937861275">
          <w:marLeft w:val="640"/>
          <w:marRight w:val="0"/>
          <w:marTop w:val="0"/>
          <w:marBottom w:val="0"/>
          <w:divBdr>
            <w:top w:val="none" w:sz="0" w:space="0" w:color="auto"/>
            <w:left w:val="none" w:sz="0" w:space="0" w:color="auto"/>
            <w:bottom w:val="none" w:sz="0" w:space="0" w:color="auto"/>
            <w:right w:val="none" w:sz="0" w:space="0" w:color="auto"/>
          </w:divBdr>
        </w:div>
        <w:div w:id="1200703329">
          <w:marLeft w:val="640"/>
          <w:marRight w:val="0"/>
          <w:marTop w:val="0"/>
          <w:marBottom w:val="0"/>
          <w:divBdr>
            <w:top w:val="none" w:sz="0" w:space="0" w:color="auto"/>
            <w:left w:val="none" w:sz="0" w:space="0" w:color="auto"/>
            <w:bottom w:val="none" w:sz="0" w:space="0" w:color="auto"/>
            <w:right w:val="none" w:sz="0" w:space="0" w:color="auto"/>
          </w:divBdr>
        </w:div>
        <w:div w:id="1084299529">
          <w:marLeft w:val="640"/>
          <w:marRight w:val="0"/>
          <w:marTop w:val="0"/>
          <w:marBottom w:val="0"/>
          <w:divBdr>
            <w:top w:val="none" w:sz="0" w:space="0" w:color="auto"/>
            <w:left w:val="none" w:sz="0" w:space="0" w:color="auto"/>
            <w:bottom w:val="none" w:sz="0" w:space="0" w:color="auto"/>
            <w:right w:val="none" w:sz="0" w:space="0" w:color="auto"/>
          </w:divBdr>
        </w:div>
        <w:div w:id="331422211">
          <w:marLeft w:val="640"/>
          <w:marRight w:val="0"/>
          <w:marTop w:val="0"/>
          <w:marBottom w:val="0"/>
          <w:divBdr>
            <w:top w:val="none" w:sz="0" w:space="0" w:color="auto"/>
            <w:left w:val="none" w:sz="0" w:space="0" w:color="auto"/>
            <w:bottom w:val="none" w:sz="0" w:space="0" w:color="auto"/>
            <w:right w:val="none" w:sz="0" w:space="0" w:color="auto"/>
          </w:divBdr>
        </w:div>
        <w:div w:id="1086223187">
          <w:marLeft w:val="640"/>
          <w:marRight w:val="0"/>
          <w:marTop w:val="0"/>
          <w:marBottom w:val="0"/>
          <w:divBdr>
            <w:top w:val="none" w:sz="0" w:space="0" w:color="auto"/>
            <w:left w:val="none" w:sz="0" w:space="0" w:color="auto"/>
            <w:bottom w:val="none" w:sz="0" w:space="0" w:color="auto"/>
            <w:right w:val="none" w:sz="0" w:space="0" w:color="auto"/>
          </w:divBdr>
        </w:div>
        <w:div w:id="747113121">
          <w:marLeft w:val="640"/>
          <w:marRight w:val="0"/>
          <w:marTop w:val="0"/>
          <w:marBottom w:val="0"/>
          <w:divBdr>
            <w:top w:val="none" w:sz="0" w:space="0" w:color="auto"/>
            <w:left w:val="none" w:sz="0" w:space="0" w:color="auto"/>
            <w:bottom w:val="none" w:sz="0" w:space="0" w:color="auto"/>
            <w:right w:val="none" w:sz="0" w:space="0" w:color="auto"/>
          </w:divBdr>
        </w:div>
        <w:div w:id="816646352">
          <w:marLeft w:val="640"/>
          <w:marRight w:val="0"/>
          <w:marTop w:val="0"/>
          <w:marBottom w:val="0"/>
          <w:divBdr>
            <w:top w:val="none" w:sz="0" w:space="0" w:color="auto"/>
            <w:left w:val="none" w:sz="0" w:space="0" w:color="auto"/>
            <w:bottom w:val="none" w:sz="0" w:space="0" w:color="auto"/>
            <w:right w:val="none" w:sz="0" w:space="0" w:color="auto"/>
          </w:divBdr>
        </w:div>
        <w:div w:id="947154782">
          <w:marLeft w:val="640"/>
          <w:marRight w:val="0"/>
          <w:marTop w:val="0"/>
          <w:marBottom w:val="0"/>
          <w:divBdr>
            <w:top w:val="none" w:sz="0" w:space="0" w:color="auto"/>
            <w:left w:val="none" w:sz="0" w:space="0" w:color="auto"/>
            <w:bottom w:val="none" w:sz="0" w:space="0" w:color="auto"/>
            <w:right w:val="none" w:sz="0" w:space="0" w:color="auto"/>
          </w:divBdr>
        </w:div>
        <w:div w:id="548565499">
          <w:marLeft w:val="640"/>
          <w:marRight w:val="0"/>
          <w:marTop w:val="0"/>
          <w:marBottom w:val="0"/>
          <w:divBdr>
            <w:top w:val="none" w:sz="0" w:space="0" w:color="auto"/>
            <w:left w:val="none" w:sz="0" w:space="0" w:color="auto"/>
            <w:bottom w:val="none" w:sz="0" w:space="0" w:color="auto"/>
            <w:right w:val="none" w:sz="0" w:space="0" w:color="auto"/>
          </w:divBdr>
        </w:div>
        <w:div w:id="162093227">
          <w:marLeft w:val="640"/>
          <w:marRight w:val="0"/>
          <w:marTop w:val="0"/>
          <w:marBottom w:val="0"/>
          <w:divBdr>
            <w:top w:val="none" w:sz="0" w:space="0" w:color="auto"/>
            <w:left w:val="none" w:sz="0" w:space="0" w:color="auto"/>
            <w:bottom w:val="none" w:sz="0" w:space="0" w:color="auto"/>
            <w:right w:val="none" w:sz="0" w:space="0" w:color="auto"/>
          </w:divBdr>
        </w:div>
        <w:div w:id="686566538">
          <w:marLeft w:val="640"/>
          <w:marRight w:val="0"/>
          <w:marTop w:val="0"/>
          <w:marBottom w:val="0"/>
          <w:divBdr>
            <w:top w:val="none" w:sz="0" w:space="0" w:color="auto"/>
            <w:left w:val="none" w:sz="0" w:space="0" w:color="auto"/>
            <w:bottom w:val="none" w:sz="0" w:space="0" w:color="auto"/>
            <w:right w:val="none" w:sz="0" w:space="0" w:color="auto"/>
          </w:divBdr>
        </w:div>
        <w:div w:id="1530414328">
          <w:marLeft w:val="640"/>
          <w:marRight w:val="0"/>
          <w:marTop w:val="0"/>
          <w:marBottom w:val="0"/>
          <w:divBdr>
            <w:top w:val="none" w:sz="0" w:space="0" w:color="auto"/>
            <w:left w:val="none" w:sz="0" w:space="0" w:color="auto"/>
            <w:bottom w:val="none" w:sz="0" w:space="0" w:color="auto"/>
            <w:right w:val="none" w:sz="0" w:space="0" w:color="auto"/>
          </w:divBdr>
        </w:div>
        <w:div w:id="1215044889">
          <w:marLeft w:val="640"/>
          <w:marRight w:val="0"/>
          <w:marTop w:val="0"/>
          <w:marBottom w:val="0"/>
          <w:divBdr>
            <w:top w:val="none" w:sz="0" w:space="0" w:color="auto"/>
            <w:left w:val="none" w:sz="0" w:space="0" w:color="auto"/>
            <w:bottom w:val="none" w:sz="0" w:space="0" w:color="auto"/>
            <w:right w:val="none" w:sz="0" w:space="0" w:color="auto"/>
          </w:divBdr>
        </w:div>
        <w:div w:id="608589278">
          <w:marLeft w:val="640"/>
          <w:marRight w:val="0"/>
          <w:marTop w:val="0"/>
          <w:marBottom w:val="0"/>
          <w:divBdr>
            <w:top w:val="none" w:sz="0" w:space="0" w:color="auto"/>
            <w:left w:val="none" w:sz="0" w:space="0" w:color="auto"/>
            <w:bottom w:val="none" w:sz="0" w:space="0" w:color="auto"/>
            <w:right w:val="none" w:sz="0" w:space="0" w:color="auto"/>
          </w:divBdr>
        </w:div>
        <w:div w:id="575021507">
          <w:marLeft w:val="640"/>
          <w:marRight w:val="0"/>
          <w:marTop w:val="0"/>
          <w:marBottom w:val="0"/>
          <w:divBdr>
            <w:top w:val="none" w:sz="0" w:space="0" w:color="auto"/>
            <w:left w:val="none" w:sz="0" w:space="0" w:color="auto"/>
            <w:bottom w:val="none" w:sz="0" w:space="0" w:color="auto"/>
            <w:right w:val="none" w:sz="0" w:space="0" w:color="auto"/>
          </w:divBdr>
        </w:div>
        <w:div w:id="158273273">
          <w:marLeft w:val="640"/>
          <w:marRight w:val="0"/>
          <w:marTop w:val="0"/>
          <w:marBottom w:val="0"/>
          <w:divBdr>
            <w:top w:val="none" w:sz="0" w:space="0" w:color="auto"/>
            <w:left w:val="none" w:sz="0" w:space="0" w:color="auto"/>
            <w:bottom w:val="none" w:sz="0" w:space="0" w:color="auto"/>
            <w:right w:val="none" w:sz="0" w:space="0" w:color="auto"/>
          </w:divBdr>
        </w:div>
        <w:div w:id="78794892">
          <w:marLeft w:val="640"/>
          <w:marRight w:val="0"/>
          <w:marTop w:val="0"/>
          <w:marBottom w:val="0"/>
          <w:divBdr>
            <w:top w:val="none" w:sz="0" w:space="0" w:color="auto"/>
            <w:left w:val="none" w:sz="0" w:space="0" w:color="auto"/>
            <w:bottom w:val="none" w:sz="0" w:space="0" w:color="auto"/>
            <w:right w:val="none" w:sz="0" w:space="0" w:color="auto"/>
          </w:divBdr>
        </w:div>
        <w:div w:id="2116709840">
          <w:marLeft w:val="640"/>
          <w:marRight w:val="0"/>
          <w:marTop w:val="0"/>
          <w:marBottom w:val="0"/>
          <w:divBdr>
            <w:top w:val="none" w:sz="0" w:space="0" w:color="auto"/>
            <w:left w:val="none" w:sz="0" w:space="0" w:color="auto"/>
            <w:bottom w:val="none" w:sz="0" w:space="0" w:color="auto"/>
            <w:right w:val="none" w:sz="0" w:space="0" w:color="auto"/>
          </w:divBdr>
        </w:div>
        <w:div w:id="1327048819">
          <w:marLeft w:val="640"/>
          <w:marRight w:val="0"/>
          <w:marTop w:val="0"/>
          <w:marBottom w:val="0"/>
          <w:divBdr>
            <w:top w:val="none" w:sz="0" w:space="0" w:color="auto"/>
            <w:left w:val="none" w:sz="0" w:space="0" w:color="auto"/>
            <w:bottom w:val="none" w:sz="0" w:space="0" w:color="auto"/>
            <w:right w:val="none" w:sz="0" w:space="0" w:color="auto"/>
          </w:divBdr>
        </w:div>
        <w:div w:id="74398994">
          <w:marLeft w:val="640"/>
          <w:marRight w:val="0"/>
          <w:marTop w:val="0"/>
          <w:marBottom w:val="0"/>
          <w:divBdr>
            <w:top w:val="none" w:sz="0" w:space="0" w:color="auto"/>
            <w:left w:val="none" w:sz="0" w:space="0" w:color="auto"/>
            <w:bottom w:val="none" w:sz="0" w:space="0" w:color="auto"/>
            <w:right w:val="none" w:sz="0" w:space="0" w:color="auto"/>
          </w:divBdr>
        </w:div>
        <w:div w:id="1463691674">
          <w:marLeft w:val="640"/>
          <w:marRight w:val="0"/>
          <w:marTop w:val="0"/>
          <w:marBottom w:val="0"/>
          <w:divBdr>
            <w:top w:val="none" w:sz="0" w:space="0" w:color="auto"/>
            <w:left w:val="none" w:sz="0" w:space="0" w:color="auto"/>
            <w:bottom w:val="none" w:sz="0" w:space="0" w:color="auto"/>
            <w:right w:val="none" w:sz="0" w:space="0" w:color="auto"/>
          </w:divBdr>
        </w:div>
        <w:div w:id="1314602668">
          <w:marLeft w:val="640"/>
          <w:marRight w:val="0"/>
          <w:marTop w:val="0"/>
          <w:marBottom w:val="0"/>
          <w:divBdr>
            <w:top w:val="none" w:sz="0" w:space="0" w:color="auto"/>
            <w:left w:val="none" w:sz="0" w:space="0" w:color="auto"/>
            <w:bottom w:val="none" w:sz="0" w:space="0" w:color="auto"/>
            <w:right w:val="none" w:sz="0" w:space="0" w:color="auto"/>
          </w:divBdr>
        </w:div>
        <w:div w:id="2142338348">
          <w:marLeft w:val="640"/>
          <w:marRight w:val="0"/>
          <w:marTop w:val="0"/>
          <w:marBottom w:val="0"/>
          <w:divBdr>
            <w:top w:val="none" w:sz="0" w:space="0" w:color="auto"/>
            <w:left w:val="none" w:sz="0" w:space="0" w:color="auto"/>
            <w:bottom w:val="none" w:sz="0" w:space="0" w:color="auto"/>
            <w:right w:val="none" w:sz="0" w:space="0" w:color="auto"/>
          </w:divBdr>
        </w:div>
        <w:div w:id="1406994564">
          <w:marLeft w:val="640"/>
          <w:marRight w:val="0"/>
          <w:marTop w:val="0"/>
          <w:marBottom w:val="0"/>
          <w:divBdr>
            <w:top w:val="none" w:sz="0" w:space="0" w:color="auto"/>
            <w:left w:val="none" w:sz="0" w:space="0" w:color="auto"/>
            <w:bottom w:val="none" w:sz="0" w:space="0" w:color="auto"/>
            <w:right w:val="none" w:sz="0" w:space="0" w:color="auto"/>
          </w:divBdr>
        </w:div>
        <w:div w:id="1939822806">
          <w:marLeft w:val="640"/>
          <w:marRight w:val="0"/>
          <w:marTop w:val="0"/>
          <w:marBottom w:val="0"/>
          <w:divBdr>
            <w:top w:val="none" w:sz="0" w:space="0" w:color="auto"/>
            <w:left w:val="none" w:sz="0" w:space="0" w:color="auto"/>
            <w:bottom w:val="none" w:sz="0" w:space="0" w:color="auto"/>
            <w:right w:val="none" w:sz="0" w:space="0" w:color="auto"/>
          </w:divBdr>
        </w:div>
        <w:div w:id="316155654">
          <w:marLeft w:val="640"/>
          <w:marRight w:val="0"/>
          <w:marTop w:val="0"/>
          <w:marBottom w:val="0"/>
          <w:divBdr>
            <w:top w:val="none" w:sz="0" w:space="0" w:color="auto"/>
            <w:left w:val="none" w:sz="0" w:space="0" w:color="auto"/>
            <w:bottom w:val="none" w:sz="0" w:space="0" w:color="auto"/>
            <w:right w:val="none" w:sz="0" w:space="0" w:color="auto"/>
          </w:divBdr>
        </w:div>
        <w:div w:id="1867716876">
          <w:marLeft w:val="640"/>
          <w:marRight w:val="0"/>
          <w:marTop w:val="0"/>
          <w:marBottom w:val="0"/>
          <w:divBdr>
            <w:top w:val="none" w:sz="0" w:space="0" w:color="auto"/>
            <w:left w:val="none" w:sz="0" w:space="0" w:color="auto"/>
            <w:bottom w:val="none" w:sz="0" w:space="0" w:color="auto"/>
            <w:right w:val="none" w:sz="0" w:space="0" w:color="auto"/>
          </w:divBdr>
        </w:div>
        <w:div w:id="690495964">
          <w:marLeft w:val="640"/>
          <w:marRight w:val="0"/>
          <w:marTop w:val="0"/>
          <w:marBottom w:val="0"/>
          <w:divBdr>
            <w:top w:val="none" w:sz="0" w:space="0" w:color="auto"/>
            <w:left w:val="none" w:sz="0" w:space="0" w:color="auto"/>
            <w:bottom w:val="none" w:sz="0" w:space="0" w:color="auto"/>
            <w:right w:val="none" w:sz="0" w:space="0" w:color="auto"/>
          </w:divBdr>
        </w:div>
        <w:div w:id="374697229">
          <w:marLeft w:val="640"/>
          <w:marRight w:val="0"/>
          <w:marTop w:val="0"/>
          <w:marBottom w:val="0"/>
          <w:divBdr>
            <w:top w:val="none" w:sz="0" w:space="0" w:color="auto"/>
            <w:left w:val="none" w:sz="0" w:space="0" w:color="auto"/>
            <w:bottom w:val="none" w:sz="0" w:space="0" w:color="auto"/>
            <w:right w:val="none" w:sz="0" w:space="0" w:color="auto"/>
          </w:divBdr>
        </w:div>
        <w:div w:id="1845626061">
          <w:marLeft w:val="640"/>
          <w:marRight w:val="0"/>
          <w:marTop w:val="0"/>
          <w:marBottom w:val="0"/>
          <w:divBdr>
            <w:top w:val="none" w:sz="0" w:space="0" w:color="auto"/>
            <w:left w:val="none" w:sz="0" w:space="0" w:color="auto"/>
            <w:bottom w:val="none" w:sz="0" w:space="0" w:color="auto"/>
            <w:right w:val="none" w:sz="0" w:space="0" w:color="auto"/>
          </w:divBdr>
        </w:div>
        <w:div w:id="795372336">
          <w:marLeft w:val="640"/>
          <w:marRight w:val="0"/>
          <w:marTop w:val="0"/>
          <w:marBottom w:val="0"/>
          <w:divBdr>
            <w:top w:val="none" w:sz="0" w:space="0" w:color="auto"/>
            <w:left w:val="none" w:sz="0" w:space="0" w:color="auto"/>
            <w:bottom w:val="none" w:sz="0" w:space="0" w:color="auto"/>
            <w:right w:val="none" w:sz="0" w:space="0" w:color="auto"/>
          </w:divBdr>
        </w:div>
        <w:div w:id="964850714">
          <w:marLeft w:val="640"/>
          <w:marRight w:val="0"/>
          <w:marTop w:val="0"/>
          <w:marBottom w:val="0"/>
          <w:divBdr>
            <w:top w:val="none" w:sz="0" w:space="0" w:color="auto"/>
            <w:left w:val="none" w:sz="0" w:space="0" w:color="auto"/>
            <w:bottom w:val="none" w:sz="0" w:space="0" w:color="auto"/>
            <w:right w:val="none" w:sz="0" w:space="0" w:color="auto"/>
          </w:divBdr>
        </w:div>
        <w:div w:id="690648966">
          <w:marLeft w:val="640"/>
          <w:marRight w:val="0"/>
          <w:marTop w:val="0"/>
          <w:marBottom w:val="0"/>
          <w:divBdr>
            <w:top w:val="none" w:sz="0" w:space="0" w:color="auto"/>
            <w:left w:val="none" w:sz="0" w:space="0" w:color="auto"/>
            <w:bottom w:val="none" w:sz="0" w:space="0" w:color="auto"/>
            <w:right w:val="none" w:sz="0" w:space="0" w:color="auto"/>
          </w:divBdr>
        </w:div>
        <w:div w:id="1289167271">
          <w:marLeft w:val="640"/>
          <w:marRight w:val="0"/>
          <w:marTop w:val="0"/>
          <w:marBottom w:val="0"/>
          <w:divBdr>
            <w:top w:val="none" w:sz="0" w:space="0" w:color="auto"/>
            <w:left w:val="none" w:sz="0" w:space="0" w:color="auto"/>
            <w:bottom w:val="none" w:sz="0" w:space="0" w:color="auto"/>
            <w:right w:val="none" w:sz="0" w:space="0" w:color="auto"/>
          </w:divBdr>
        </w:div>
        <w:div w:id="1540630489">
          <w:marLeft w:val="640"/>
          <w:marRight w:val="0"/>
          <w:marTop w:val="0"/>
          <w:marBottom w:val="0"/>
          <w:divBdr>
            <w:top w:val="none" w:sz="0" w:space="0" w:color="auto"/>
            <w:left w:val="none" w:sz="0" w:space="0" w:color="auto"/>
            <w:bottom w:val="none" w:sz="0" w:space="0" w:color="auto"/>
            <w:right w:val="none" w:sz="0" w:space="0" w:color="auto"/>
          </w:divBdr>
        </w:div>
        <w:div w:id="1849059269">
          <w:marLeft w:val="640"/>
          <w:marRight w:val="0"/>
          <w:marTop w:val="0"/>
          <w:marBottom w:val="0"/>
          <w:divBdr>
            <w:top w:val="none" w:sz="0" w:space="0" w:color="auto"/>
            <w:left w:val="none" w:sz="0" w:space="0" w:color="auto"/>
            <w:bottom w:val="none" w:sz="0" w:space="0" w:color="auto"/>
            <w:right w:val="none" w:sz="0" w:space="0" w:color="auto"/>
          </w:divBdr>
        </w:div>
        <w:div w:id="877855817">
          <w:marLeft w:val="640"/>
          <w:marRight w:val="0"/>
          <w:marTop w:val="0"/>
          <w:marBottom w:val="0"/>
          <w:divBdr>
            <w:top w:val="none" w:sz="0" w:space="0" w:color="auto"/>
            <w:left w:val="none" w:sz="0" w:space="0" w:color="auto"/>
            <w:bottom w:val="none" w:sz="0" w:space="0" w:color="auto"/>
            <w:right w:val="none" w:sz="0" w:space="0" w:color="auto"/>
          </w:divBdr>
        </w:div>
        <w:div w:id="1362779982">
          <w:marLeft w:val="640"/>
          <w:marRight w:val="0"/>
          <w:marTop w:val="0"/>
          <w:marBottom w:val="0"/>
          <w:divBdr>
            <w:top w:val="none" w:sz="0" w:space="0" w:color="auto"/>
            <w:left w:val="none" w:sz="0" w:space="0" w:color="auto"/>
            <w:bottom w:val="none" w:sz="0" w:space="0" w:color="auto"/>
            <w:right w:val="none" w:sz="0" w:space="0" w:color="auto"/>
          </w:divBdr>
        </w:div>
        <w:div w:id="1720397646">
          <w:marLeft w:val="640"/>
          <w:marRight w:val="0"/>
          <w:marTop w:val="0"/>
          <w:marBottom w:val="0"/>
          <w:divBdr>
            <w:top w:val="none" w:sz="0" w:space="0" w:color="auto"/>
            <w:left w:val="none" w:sz="0" w:space="0" w:color="auto"/>
            <w:bottom w:val="none" w:sz="0" w:space="0" w:color="auto"/>
            <w:right w:val="none" w:sz="0" w:space="0" w:color="auto"/>
          </w:divBdr>
        </w:div>
        <w:div w:id="1299646411">
          <w:marLeft w:val="640"/>
          <w:marRight w:val="0"/>
          <w:marTop w:val="0"/>
          <w:marBottom w:val="0"/>
          <w:divBdr>
            <w:top w:val="none" w:sz="0" w:space="0" w:color="auto"/>
            <w:left w:val="none" w:sz="0" w:space="0" w:color="auto"/>
            <w:bottom w:val="none" w:sz="0" w:space="0" w:color="auto"/>
            <w:right w:val="none" w:sz="0" w:space="0" w:color="auto"/>
          </w:divBdr>
        </w:div>
        <w:div w:id="2005470066">
          <w:marLeft w:val="640"/>
          <w:marRight w:val="0"/>
          <w:marTop w:val="0"/>
          <w:marBottom w:val="0"/>
          <w:divBdr>
            <w:top w:val="none" w:sz="0" w:space="0" w:color="auto"/>
            <w:left w:val="none" w:sz="0" w:space="0" w:color="auto"/>
            <w:bottom w:val="none" w:sz="0" w:space="0" w:color="auto"/>
            <w:right w:val="none" w:sz="0" w:space="0" w:color="auto"/>
          </w:divBdr>
        </w:div>
        <w:div w:id="1687825707">
          <w:marLeft w:val="640"/>
          <w:marRight w:val="0"/>
          <w:marTop w:val="0"/>
          <w:marBottom w:val="0"/>
          <w:divBdr>
            <w:top w:val="none" w:sz="0" w:space="0" w:color="auto"/>
            <w:left w:val="none" w:sz="0" w:space="0" w:color="auto"/>
            <w:bottom w:val="none" w:sz="0" w:space="0" w:color="auto"/>
            <w:right w:val="none" w:sz="0" w:space="0" w:color="auto"/>
          </w:divBdr>
        </w:div>
        <w:div w:id="75787402">
          <w:marLeft w:val="640"/>
          <w:marRight w:val="0"/>
          <w:marTop w:val="0"/>
          <w:marBottom w:val="0"/>
          <w:divBdr>
            <w:top w:val="none" w:sz="0" w:space="0" w:color="auto"/>
            <w:left w:val="none" w:sz="0" w:space="0" w:color="auto"/>
            <w:bottom w:val="none" w:sz="0" w:space="0" w:color="auto"/>
            <w:right w:val="none" w:sz="0" w:space="0" w:color="auto"/>
          </w:divBdr>
        </w:div>
        <w:div w:id="1687898708">
          <w:marLeft w:val="640"/>
          <w:marRight w:val="0"/>
          <w:marTop w:val="0"/>
          <w:marBottom w:val="0"/>
          <w:divBdr>
            <w:top w:val="none" w:sz="0" w:space="0" w:color="auto"/>
            <w:left w:val="none" w:sz="0" w:space="0" w:color="auto"/>
            <w:bottom w:val="none" w:sz="0" w:space="0" w:color="auto"/>
            <w:right w:val="none" w:sz="0" w:space="0" w:color="auto"/>
          </w:divBdr>
        </w:div>
        <w:div w:id="394202817">
          <w:marLeft w:val="640"/>
          <w:marRight w:val="0"/>
          <w:marTop w:val="0"/>
          <w:marBottom w:val="0"/>
          <w:divBdr>
            <w:top w:val="none" w:sz="0" w:space="0" w:color="auto"/>
            <w:left w:val="none" w:sz="0" w:space="0" w:color="auto"/>
            <w:bottom w:val="none" w:sz="0" w:space="0" w:color="auto"/>
            <w:right w:val="none" w:sz="0" w:space="0" w:color="auto"/>
          </w:divBdr>
        </w:div>
        <w:div w:id="1632982925">
          <w:marLeft w:val="640"/>
          <w:marRight w:val="0"/>
          <w:marTop w:val="0"/>
          <w:marBottom w:val="0"/>
          <w:divBdr>
            <w:top w:val="none" w:sz="0" w:space="0" w:color="auto"/>
            <w:left w:val="none" w:sz="0" w:space="0" w:color="auto"/>
            <w:bottom w:val="none" w:sz="0" w:space="0" w:color="auto"/>
            <w:right w:val="none" w:sz="0" w:space="0" w:color="auto"/>
          </w:divBdr>
        </w:div>
        <w:div w:id="872619014">
          <w:marLeft w:val="640"/>
          <w:marRight w:val="0"/>
          <w:marTop w:val="0"/>
          <w:marBottom w:val="0"/>
          <w:divBdr>
            <w:top w:val="none" w:sz="0" w:space="0" w:color="auto"/>
            <w:left w:val="none" w:sz="0" w:space="0" w:color="auto"/>
            <w:bottom w:val="none" w:sz="0" w:space="0" w:color="auto"/>
            <w:right w:val="none" w:sz="0" w:space="0" w:color="auto"/>
          </w:divBdr>
        </w:div>
        <w:div w:id="1982534460">
          <w:marLeft w:val="640"/>
          <w:marRight w:val="0"/>
          <w:marTop w:val="0"/>
          <w:marBottom w:val="0"/>
          <w:divBdr>
            <w:top w:val="none" w:sz="0" w:space="0" w:color="auto"/>
            <w:left w:val="none" w:sz="0" w:space="0" w:color="auto"/>
            <w:bottom w:val="none" w:sz="0" w:space="0" w:color="auto"/>
            <w:right w:val="none" w:sz="0" w:space="0" w:color="auto"/>
          </w:divBdr>
        </w:div>
        <w:div w:id="1707949862">
          <w:marLeft w:val="640"/>
          <w:marRight w:val="0"/>
          <w:marTop w:val="0"/>
          <w:marBottom w:val="0"/>
          <w:divBdr>
            <w:top w:val="none" w:sz="0" w:space="0" w:color="auto"/>
            <w:left w:val="none" w:sz="0" w:space="0" w:color="auto"/>
            <w:bottom w:val="none" w:sz="0" w:space="0" w:color="auto"/>
            <w:right w:val="none" w:sz="0" w:space="0" w:color="auto"/>
          </w:divBdr>
        </w:div>
        <w:div w:id="1798256042">
          <w:marLeft w:val="640"/>
          <w:marRight w:val="0"/>
          <w:marTop w:val="0"/>
          <w:marBottom w:val="0"/>
          <w:divBdr>
            <w:top w:val="none" w:sz="0" w:space="0" w:color="auto"/>
            <w:left w:val="none" w:sz="0" w:space="0" w:color="auto"/>
            <w:bottom w:val="none" w:sz="0" w:space="0" w:color="auto"/>
            <w:right w:val="none" w:sz="0" w:space="0" w:color="auto"/>
          </w:divBdr>
        </w:div>
        <w:div w:id="1919555386">
          <w:marLeft w:val="640"/>
          <w:marRight w:val="0"/>
          <w:marTop w:val="0"/>
          <w:marBottom w:val="0"/>
          <w:divBdr>
            <w:top w:val="none" w:sz="0" w:space="0" w:color="auto"/>
            <w:left w:val="none" w:sz="0" w:space="0" w:color="auto"/>
            <w:bottom w:val="none" w:sz="0" w:space="0" w:color="auto"/>
            <w:right w:val="none" w:sz="0" w:space="0" w:color="auto"/>
          </w:divBdr>
        </w:div>
        <w:div w:id="1784568190">
          <w:marLeft w:val="640"/>
          <w:marRight w:val="0"/>
          <w:marTop w:val="0"/>
          <w:marBottom w:val="0"/>
          <w:divBdr>
            <w:top w:val="none" w:sz="0" w:space="0" w:color="auto"/>
            <w:left w:val="none" w:sz="0" w:space="0" w:color="auto"/>
            <w:bottom w:val="none" w:sz="0" w:space="0" w:color="auto"/>
            <w:right w:val="none" w:sz="0" w:space="0" w:color="auto"/>
          </w:divBdr>
        </w:div>
        <w:div w:id="1867597533">
          <w:marLeft w:val="640"/>
          <w:marRight w:val="0"/>
          <w:marTop w:val="0"/>
          <w:marBottom w:val="0"/>
          <w:divBdr>
            <w:top w:val="none" w:sz="0" w:space="0" w:color="auto"/>
            <w:left w:val="none" w:sz="0" w:space="0" w:color="auto"/>
            <w:bottom w:val="none" w:sz="0" w:space="0" w:color="auto"/>
            <w:right w:val="none" w:sz="0" w:space="0" w:color="auto"/>
          </w:divBdr>
        </w:div>
        <w:div w:id="294987094">
          <w:marLeft w:val="640"/>
          <w:marRight w:val="0"/>
          <w:marTop w:val="0"/>
          <w:marBottom w:val="0"/>
          <w:divBdr>
            <w:top w:val="none" w:sz="0" w:space="0" w:color="auto"/>
            <w:left w:val="none" w:sz="0" w:space="0" w:color="auto"/>
            <w:bottom w:val="none" w:sz="0" w:space="0" w:color="auto"/>
            <w:right w:val="none" w:sz="0" w:space="0" w:color="auto"/>
          </w:divBdr>
        </w:div>
        <w:div w:id="1044717156">
          <w:marLeft w:val="640"/>
          <w:marRight w:val="0"/>
          <w:marTop w:val="0"/>
          <w:marBottom w:val="0"/>
          <w:divBdr>
            <w:top w:val="none" w:sz="0" w:space="0" w:color="auto"/>
            <w:left w:val="none" w:sz="0" w:space="0" w:color="auto"/>
            <w:bottom w:val="none" w:sz="0" w:space="0" w:color="auto"/>
            <w:right w:val="none" w:sz="0" w:space="0" w:color="auto"/>
          </w:divBdr>
        </w:div>
        <w:div w:id="1968468786">
          <w:marLeft w:val="640"/>
          <w:marRight w:val="0"/>
          <w:marTop w:val="0"/>
          <w:marBottom w:val="0"/>
          <w:divBdr>
            <w:top w:val="none" w:sz="0" w:space="0" w:color="auto"/>
            <w:left w:val="none" w:sz="0" w:space="0" w:color="auto"/>
            <w:bottom w:val="none" w:sz="0" w:space="0" w:color="auto"/>
            <w:right w:val="none" w:sz="0" w:space="0" w:color="auto"/>
          </w:divBdr>
        </w:div>
        <w:div w:id="304623991">
          <w:marLeft w:val="640"/>
          <w:marRight w:val="0"/>
          <w:marTop w:val="0"/>
          <w:marBottom w:val="0"/>
          <w:divBdr>
            <w:top w:val="none" w:sz="0" w:space="0" w:color="auto"/>
            <w:left w:val="none" w:sz="0" w:space="0" w:color="auto"/>
            <w:bottom w:val="none" w:sz="0" w:space="0" w:color="auto"/>
            <w:right w:val="none" w:sz="0" w:space="0" w:color="auto"/>
          </w:divBdr>
        </w:div>
        <w:div w:id="470366245">
          <w:marLeft w:val="640"/>
          <w:marRight w:val="0"/>
          <w:marTop w:val="0"/>
          <w:marBottom w:val="0"/>
          <w:divBdr>
            <w:top w:val="none" w:sz="0" w:space="0" w:color="auto"/>
            <w:left w:val="none" w:sz="0" w:space="0" w:color="auto"/>
            <w:bottom w:val="none" w:sz="0" w:space="0" w:color="auto"/>
            <w:right w:val="none" w:sz="0" w:space="0" w:color="auto"/>
          </w:divBdr>
        </w:div>
        <w:div w:id="833103575">
          <w:marLeft w:val="640"/>
          <w:marRight w:val="0"/>
          <w:marTop w:val="0"/>
          <w:marBottom w:val="0"/>
          <w:divBdr>
            <w:top w:val="none" w:sz="0" w:space="0" w:color="auto"/>
            <w:left w:val="none" w:sz="0" w:space="0" w:color="auto"/>
            <w:bottom w:val="none" w:sz="0" w:space="0" w:color="auto"/>
            <w:right w:val="none" w:sz="0" w:space="0" w:color="auto"/>
          </w:divBdr>
        </w:div>
        <w:div w:id="2123259216">
          <w:marLeft w:val="640"/>
          <w:marRight w:val="0"/>
          <w:marTop w:val="0"/>
          <w:marBottom w:val="0"/>
          <w:divBdr>
            <w:top w:val="none" w:sz="0" w:space="0" w:color="auto"/>
            <w:left w:val="none" w:sz="0" w:space="0" w:color="auto"/>
            <w:bottom w:val="none" w:sz="0" w:space="0" w:color="auto"/>
            <w:right w:val="none" w:sz="0" w:space="0" w:color="auto"/>
          </w:divBdr>
        </w:div>
        <w:div w:id="1125805087">
          <w:marLeft w:val="640"/>
          <w:marRight w:val="0"/>
          <w:marTop w:val="0"/>
          <w:marBottom w:val="0"/>
          <w:divBdr>
            <w:top w:val="none" w:sz="0" w:space="0" w:color="auto"/>
            <w:left w:val="none" w:sz="0" w:space="0" w:color="auto"/>
            <w:bottom w:val="none" w:sz="0" w:space="0" w:color="auto"/>
            <w:right w:val="none" w:sz="0" w:space="0" w:color="auto"/>
          </w:divBdr>
        </w:div>
        <w:div w:id="1493377505">
          <w:marLeft w:val="640"/>
          <w:marRight w:val="0"/>
          <w:marTop w:val="0"/>
          <w:marBottom w:val="0"/>
          <w:divBdr>
            <w:top w:val="none" w:sz="0" w:space="0" w:color="auto"/>
            <w:left w:val="none" w:sz="0" w:space="0" w:color="auto"/>
            <w:bottom w:val="none" w:sz="0" w:space="0" w:color="auto"/>
            <w:right w:val="none" w:sz="0" w:space="0" w:color="auto"/>
          </w:divBdr>
        </w:div>
        <w:div w:id="990914246">
          <w:marLeft w:val="640"/>
          <w:marRight w:val="0"/>
          <w:marTop w:val="0"/>
          <w:marBottom w:val="0"/>
          <w:divBdr>
            <w:top w:val="none" w:sz="0" w:space="0" w:color="auto"/>
            <w:left w:val="none" w:sz="0" w:space="0" w:color="auto"/>
            <w:bottom w:val="none" w:sz="0" w:space="0" w:color="auto"/>
            <w:right w:val="none" w:sz="0" w:space="0" w:color="auto"/>
          </w:divBdr>
        </w:div>
        <w:div w:id="1321614031">
          <w:marLeft w:val="640"/>
          <w:marRight w:val="0"/>
          <w:marTop w:val="0"/>
          <w:marBottom w:val="0"/>
          <w:divBdr>
            <w:top w:val="none" w:sz="0" w:space="0" w:color="auto"/>
            <w:left w:val="none" w:sz="0" w:space="0" w:color="auto"/>
            <w:bottom w:val="none" w:sz="0" w:space="0" w:color="auto"/>
            <w:right w:val="none" w:sz="0" w:space="0" w:color="auto"/>
          </w:divBdr>
        </w:div>
        <w:div w:id="69888858">
          <w:marLeft w:val="640"/>
          <w:marRight w:val="0"/>
          <w:marTop w:val="0"/>
          <w:marBottom w:val="0"/>
          <w:divBdr>
            <w:top w:val="none" w:sz="0" w:space="0" w:color="auto"/>
            <w:left w:val="none" w:sz="0" w:space="0" w:color="auto"/>
            <w:bottom w:val="none" w:sz="0" w:space="0" w:color="auto"/>
            <w:right w:val="none" w:sz="0" w:space="0" w:color="auto"/>
          </w:divBdr>
        </w:div>
        <w:div w:id="394086737">
          <w:marLeft w:val="640"/>
          <w:marRight w:val="0"/>
          <w:marTop w:val="0"/>
          <w:marBottom w:val="0"/>
          <w:divBdr>
            <w:top w:val="none" w:sz="0" w:space="0" w:color="auto"/>
            <w:left w:val="none" w:sz="0" w:space="0" w:color="auto"/>
            <w:bottom w:val="none" w:sz="0" w:space="0" w:color="auto"/>
            <w:right w:val="none" w:sz="0" w:space="0" w:color="auto"/>
          </w:divBdr>
        </w:div>
        <w:div w:id="1196575060">
          <w:marLeft w:val="640"/>
          <w:marRight w:val="0"/>
          <w:marTop w:val="0"/>
          <w:marBottom w:val="0"/>
          <w:divBdr>
            <w:top w:val="none" w:sz="0" w:space="0" w:color="auto"/>
            <w:left w:val="none" w:sz="0" w:space="0" w:color="auto"/>
            <w:bottom w:val="none" w:sz="0" w:space="0" w:color="auto"/>
            <w:right w:val="none" w:sz="0" w:space="0" w:color="auto"/>
          </w:divBdr>
        </w:div>
        <w:div w:id="486358595">
          <w:marLeft w:val="640"/>
          <w:marRight w:val="0"/>
          <w:marTop w:val="0"/>
          <w:marBottom w:val="0"/>
          <w:divBdr>
            <w:top w:val="none" w:sz="0" w:space="0" w:color="auto"/>
            <w:left w:val="none" w:sz="0" w:space="0" w:color="auto"/>
            <w:bottom w:val="none" w:sz="0" w:space="0" w:color="auto"/>
            <w:right w:val="none" w:sz="0" w:space="0" w:color="auto"/>
          </w:divBdr>
        </w:div>
        <w:div w:id="1113674263">
          <w:marLeft w:val="640"/>
          <w:marRight w:val="0"/>
          <w:marTop w:val="0"/>
          <w:marBottom w:val="0"/>
          <w:divBdr>
            <w:top w:val="none" w:sz="0" w:space="0" w:color="auto"/>
            <w:left w:val="none" w:sz="0" w:space="0" w:color="auto"/>
            <w:bottom w:val="none" w:sz="0" w:space="0" w:color="auto"/>
            <w:right w:val="none" w:sz="0" w:space="0" w:color="auto"/>
          </w:divBdr>
        </w:div>
        <w:div w:id="225848183">
          <w:marLeft w:val="640"/>
          <w:marRight w:val="0"/>
          <w:marTop w:val="0"/>
          <w:marBottom w:val="0"/>
          <w:divBdr>
            <w:top w:val="none" w:sz="0" w:space="0" w:color="auto"/>
            <w:left w:val="none" w:sz="0" w:space="0" w:color="auto"/>
            <w:bottom w:val="none" w:sz="0" w:space="0" w:color="auto"/>
            <w:right w:val="none" w:sz="0" w:space="0" w:color="auto"/>
          </w:divBdr>
        </w:div>
        <w:div w:id="1485927956">
          <w:marLeft w:val="640"/>
          <w:marRight w:val="0"/>
          <w:marTop w:val="0"/>
          <w:marBottom w:val="0"/>
          <w:divBdr>
            <w:top w:val="none" w:sz="0" w:space="0" w:color="auto"/>
            <w:left w:val="none" w:sz="0" w:space="0" w:color="auto"/>
            <w:bottom w:val="none" w:sz="0" w:space="0" w:color="auto"/>
            <w:right w:val="none" w:sz="0" w:space="0" w:color="auto"/>
          </w:divBdr>
        </w:div>
        <w:div w:id="1715688817">
          <w:marLeft w:val="640"/>
          <w:marRight w:val="0"/>
          <w:marTop w:val="0"/>
          <w:marBottom w:val="0"/>
          <w:divBdr>
            <w:top w:val="none" w:sz="0" w:space="0" w:color="auto"/>
            <w:left w:val="none" w:sz="0" w:space="0" w:color="auto"/>
            <w:bottom w:val="none" w:sz="0" w:space="0" w:color="auto"/>
            <w:right w:val="none" w:sz="0" w:space="0" w:color="auto"/>
          </w:divBdr>
        </w:div>
        <w:div w:id="1356495486">
          <w:marLeft w:val="640"/>
          <w:marRight w:val="0"/>
          <w:marTop w:val="0"/>
          <w:marBottom w:val="0"/>
          <w:divBdr>
            <w:top w:val="none" w:sz="0" w:space="0" w:color="auto"/>
            <w:left w:val="none" w:sz="0" w:space="0" w:color="auto"/>
            <w:bottom w:val="none" w:sz="0" w:space="0" w:color="auto"/>
            <w:right w:val="none" w:sz="0" w:space="0" w:color="auto"/>
          </w:divBdr>
        </w:div>
        <w:div w:id="640114182">
          <w:marLeft w:val="640"/>
          <w:marRight w:val="0"/>
          <w:marTop w:val="0"/>
          <w:marBottom w:val="0"/>
          <w:divBdr>
            <w:top w:val="none" w:sz="0" w:space="0" w:color="auto"/>
            <w:left w:val="none" w:sz="0" w:space="0" w:color="auto"/>
            <w:bottom w:val="none" w:sz="0" w:space="0" w:color="auto"/>
            <w:right w:val="none" w:sz="0" w:space="0" w:color="auto"/>
          </w:divBdr>
        </w:div>
        <w:div w:id="1187793953">
          <w:marLeft w:val="640"/>
          <w:marRight w:val="0"/>
          <w:marTop w:val="0"/>
          <w:marBottom w:val="0"/>
          <w:divBdr>
            <w:top w:val="none" w:sz="0" w:space="0" w:color="auto"/>
            <w:left w:val="none" w:sz="0" w:space="0" w:color="auto"/>
            <w:bottom w:val="none" w:sz="0" w:space="0" w:color="auto"/>
            <w:right w:val="none" w:sz="0" w:space="0" w:color="auto"/>
          </w:divBdr>
        </w:div>
        <w:div w:id="1696611488">
          <w:marLeft w:val="640"/>
          <w:marRight w:val="0"/>
          <w:marTop w:val="0"/>
          <w:marBottom w:val="0"/>
          <w:divBdr>
            <w:top w:val="none" w:sz="0" w:space="0" w:color="auto"/>
            <w:left w:val="none" w:sz="0" w:space="0" w:color="auto"/>
            <w:bottom w:val="none" w:sz="0" w:space="0" w:color="auto"/>
            <w:right w:val="none" w:sz="0" w:space="0" w:color="auto"/>
          </w:divBdr>
        </w:div>
        <w:div w:id="1733196045">
          <w:marLeft w:val="640"/>
          <w:marRight w:val="0"/>
          <w:marTop w:val="0"/>
          <w:marBottom w:val="0"/>
          <w:divBdr>
            <w:top w:val="none" w:sz="0" w:space="0" w:color="auto"/>
            <w:left w:val="none" w:sz="0" w:space="0" w:color="auto"/>
            <w:bottom w:val="none" w:sz="0" w:space="0" w:color="auto"/>
            <w:right w:val="none" w:sz="0" w:space="0" w:color="auto"/>
          </w:divBdr>
        </w:div>
        <w:div w:id="548224647">
          <w:marLeft w:val="640"/>
          <w:marRight w:val="0"/>
          <w:marTop w:val="0"/>
          <w:marBottom w:val="0"/>
          <w:divBdr>
            <w:top w:val="none" w:sz="0" w:space="0" w:color="auto"/>
            <w:left w:val="none" w:sz="0" w:space="0" w:color="auto"/>
            <w:bottom w:val="none" w:sz="0" w:space="0" w:color="auto"/>
            <w:right w:val="none" w:sz="0" w:space="0" w:color="auto"/>
          </w:divBdr>
        </w:div>
        <w:div w:id="56318224">
          <w:marLeft w:val="640"/>
          <w:marRight w:val="0"/>
          <w:marTop w:val="0"/>
          <w:marBottom w:val="0"/>
          <w:divBdr>
            <w:top w:val="none" w:sz="0" w:space="0" w:color="auto"/>
            <w:left w:val="none" w:sz="0" w:space="0" w:color="auto"/>
            <w:bottom w:val="none" w:sz="0" w:space="0" w:color="auto"/>
            <w:right w:val="none" w:sz="0" w:space="0" w:color="auto"/>
          </w:divBdr>
        </w:div>
        <w:div w:id="1114977678">
          <w:marLeft w:val="640"/>
          <w:marRight w:val="0"/>
          <w:marTop w:val="0"/>
          <w:marBottom w:val="0"/>
          <w:divBdr>
            <w:top w:val="none" w:sz="0" w:space="0" w:color="auto"/>
            <w:left w:val="none" w:sz="0" w:space="0" w:color="auto"/>
            <w:bottom w:val="none" w:sz="0" w:space="0" w:color="auto"/>
            <w:right w:val="none" w:sz="0" w:space="0" w:color="auto"/>
          </w:divBdr>
        </w:div>
        <w:div w:id="1273366067">
          <w:marLeft w:val="640"/>
          <w:marRight w:val="0"/>
          <w:marTop w:val="0"/>
          <w:marBottom w:val="0"/>
          <w:divBdr>
            <w:top w:val="none" w:sz="0" w:space="0" w:color="auto"/>
            <w:left w:val="none" w:sz="0" w:space="0" w:color="auto"/>
            <w:bottom w:val="none" w:sz="0" w:space="0" w:color="auto"/>
            <w:right w:val="none" w:sz="0" w:space="0" w:color="auto"/>
          </w:divBdr>
        </w:div>
        <w:div w:id="1250231231">
          <w:marLeft w:val="640"/>
          <w:marRight w:val="0"/>
          <w:marTop w:val="0"/>
          <w:marBottom w:val="0"/>
          <w:divBdr>
            <w:top w:val="none" w:sz="0" w:space="0" w:color="auto"/>
            <w:left w:val="none" w:sz="0" w:space="0" w:color="auto"/>
            <w:bottom w:val="none" w:sz="0" w:space="0" w:color="auto"/>
            <w:right w:val="none" w:sz="0" w:space="0" w:color="auto"/>
          </w:divBdr>
        </w:div>
        <w:div w:id="1017921845">
          <w:marLeft w:val="640"/>
          <w:marRight w:val="0"/>
          <w:marTop w:val="0"/>
          <w:marBottom w:val="0"/>
          <w:divBdr>
            <w:top w:val="none" w:sz="0" w:space="0" w:color="auto"/>
            <w:left w:val="none" w:sz="0" w:space="0" w:color="auto"/>
            <w:bottom w:val="none" w:sz="0" w:space="0" w:color="auto"/>
            <w:right w:val="none" w:sz="0" w:space="0" w:color="auto"/>
          </w:divBdr>
        </w:div>
        <w:div w:id="876892607">
          <w:marLeft w:val="640"/>
          <w:marRight w:val="0"/>
          <w:marTop w:val="0"/>
          <w:marBottom w:val="0"/>
          <w:divBdr>
            <w:top w:val="none" w:sz="0" w:space="0" w:color="auto"/>
            <w:left w:val="none" w:sz="0" w:space="0" w:color="auto"/>
            <w:bottom w:val="none" w:sz="0" w:space="0" w:color="auto"/>
            <w:right w:val="none" w:sz="0" w:space="0" w:color="auto"/>
          </w:divBdr>
        </w:div>
        <w:div w:id="1197424249">
          <w:marLeft w:val="640"/>
          <w:marRight w:val="0"/>
          <w:marTop w:val="0"/>
          <w:marBottom w:val="0"/>
          <w:divBdr>
            <w:top w:val="none" w:sz="0" w:space="0" w:color="auto"/>
            <w:left w:val="none" w:sz="0" w:space="0" w:color="auto"/>
            <w:bottom w:val="none" w:sz="0" w:space="0" w:color="auto"/>
            <w:right w:val="none" w:sz="0" w:space="0" w:color="auto"/>
          </w:divBdr>
        </w:div>
        <w:div w:id="1177116212">
          <w:marLeft w:val="640"/>
          <w:marRight w:val="0"/>
          <w:marTop w:val="0"/>
          <w:marBottom w:val="0"/>
          <w:divBdr>
            <w:top w:val="none" w:sz="0" w:space="0" w:color="auto"/>
            <w:left w:val="none" w:sz="0" w:space="0" w:color="auto"/>
            <w:bottom w:val="none" w:sz="0" w:space="0" w:color="auto"/>
            <w:right w:val="none" w:sz="0" w:space="0" w:color="auto"/>
          </w:divBdr>
        </w:div>
        <w:div w:id="777485027">
          <w:marLeft w:val="640"/>
          <w:marRight w:val="0"/>
          <w:marTop w:val="0"/>
          <w:marBottom w:val="0"/>
          <w:divBdr>
            <w:top w:val="none" w:sz="0" w:space="0" w:color="auto"/>
            <w:left w:val="none" w:sz="0" w:space="0" w:color="auto"/>
            <w:bottom w:val="none" w:sz="0" w:space="0" w:color="auto"/>
            <w:right w:val="none" w:sz="0" w:space="0" w:color="auto"/>
          </w:divBdr>
        </w:div>
        <w:div w:id="1734619723">
          <w:marLeft w:val="640"/>
          <w:marRight w:val="0"/>
          <w:marTop w:val="0"/>
          <w:marBottom w:val="0"/>
          <w:divBdr>
            <w:top w:val="none" w:sz="0" w:space="0" w:color="auto"/>
            <w:left w:val="none" w:sz="0" w:space="0" w:color="auto"/>
            <w:bottom w:val="none" w:sz="0" w:space="0" w:color="auto"/>
            <w:right w:val="none" w:sz="0" w:space="0" w:color="auto"/>
          </w:divBdr>
        </w:div>
        <w:div w:id="176508034">
          <w:marLeft w:val="640"/>
          <w:marRight w:val="0"/>
          <w:marTop w:val="0"/>
          <w:marBottom w:val="0"/>
          <w:divBdr>
            <w:top w:val="none" w:sz="0" w:space="0" w:color="auto"/>
            <w:left w:val="none" w:sz="0" w:space="0" w:color="auto"/>
            <w:bottom w:val="none" w:sz="0" w:space="0" w:color="auto"/>
            <w:right w:val="none" w:sz="0" w:space="0" w:color="auto"/>
          </w:divBdr>
        </w:div>
        <w:div w:id="1606500214">
          <w:marLeft w:val="640"/>
          <w:marRight w:val="0"/>
          <w:marTop w:val="0"/>
          <w:marBottom w:val="0"/>
          <w:divBdr>
            <w:top w:val="none" w:sz="0" w:space="0" w:color="auto"/>
            <w:left w:val="none" w:sz="0" w:space="0" w:color="auto"/>
            <w:bottom w:val="none" w:sz="0" w:space="0" w:color="auto"/>
            <w:right w:val="none" w:sz="0" w:space="0" w:color="auto"/>
          </w:divBdr>
        </w:div>
        <w:div w:id="2068843439">
          <w:marLeft w:val="640"/>
          <w:marRight w:val="0"/>
          <w:marTop w:val="0"/>
          <w:marBottom w:val="0"/>
          <w:divBdr>
            <w:top w:val="none" w:sz="0" w:space="0" w:color="auto"/>
            <w:left w:val="none" w:sz="0" w:space="0" w:color="auto"/>
            <w:bottom w:val="none" w:sz="0" w:space="0" w:color="auto"/>
            <w:right w:val="none" w:sz="0" w:space="0" w:color="auto"/>
          </w:divBdr>
        </w:div>
        <w:div w:id="79302968">
          <w:marLeft w:val="640"/>
          <w:marRight w:val="0"/>
          <w:marTop w:val="0"/>
          <w:marBottom w:val="0"/>
          <w:divBdr>
            <w:top w:val="none" w:sz="0" w:space="0" w:color="auto"/>
            <w:left w:val="none" w:sz="0" w:space="0" w:color="auto"/>
            <w:bottom w:val="none" w:sz="0" w:space="0" w:color="auto"/>
            <w:right w:val="none" w:sz="0" w:space="0" w:color="auto"/>
          </w:divBdr>
        </w:div>
        <w:div w:id="819421946">
          <w:marLeft w:val="640"/>
          <w:marRight w:val="0"/>
          <w:marTop w:val="0"/>
          <w:marBottom w:val="0"/>
          <w:divBdr>
            <w:top w:val="none" w:sz="0" w:space="0" w:color="auto"/>
            <w:left w:val="none" w:sz="0" w:space="0" w:color="auto"/>
            <w:bottom w:val="none" w:sz="0" w:space="0" w:color="auto"/>
            <w:right w:val="none" w:sz="0" w:space="0" w:color="auto"/>
          </w:divBdr>
        </w:div>
        <w:div w:id="1299188030">
          <w:marLeft w:val="640"/>
          <w:marRight w:val="0"/>
          <w:marTop w:val="0"/>
          <w:marBottom w:val="0"/>
          <w:divBdr>
            <w:top w:val="none" w:sz="0" w:space="0" w:color="auto"/>
            <w:left w:val="none" w:sz="0" w:space="0" w:color="auto"/>
            <w:bottom w:val="none" w:sz="0" w:space="0" w:color="auto"/>
            <w:right w:val="none" w:sz="0" w:space="0" w:color="auto"/>
          </w:divBdr>
        </w:div>
        <w:div w:id="1830822282">
          <w:marLeft w:val="640"/>
          <w:marRight w:val="0"/>
          <w:marTop w:val="0"/>
          <w:marBottom w:val="0"/>
          <w:divBdr>
            <w:top w:val="none" w:sz="0" w:space="0" w:color="auto"/>
            <w:left w:val="none" w:sz="0" w:space="0" w:color="auto"/>
            <w:bottom w:val="none" w:sz="0" w:space="0" w:color="auto"/>
            <w:right w:val="none" w:sz="0" w:space="0" w:color="auto"/>
          </w:divBdr>
        </w:div>
        <w:div w:id="1966811710">
          <w:marLeft w:val="640"/>
          <w:marRight w:val="0"/>
          <w:marTop w:val="0"/>
          <w:marBottom w:val="0"/>
          <w:divBdr>
            <w:top w:val="none" w:sz="0" w:space="0" w:color="auto"/>
            <w:left w:val="none" w:sz="0" w:space="0" w:color="auto"/>
            <w:bottom w:val="none" w:sz="0" w:space="0" w:color="auto"/>
            <w:right w:val="none" w:sz="0" w:space="0" w:color="auto"/>
          </w:divBdr>
        </w:div>
        <w:div w:id="51588539">
          <w:marLeft w:val="640"/>
          <w:marRight w:val="0"/>
          <w:marTop w:val="0"/>
          <w:marBottom w:val="0"/>
          <w:divBdr>
            <w:top w:val="none" w:sz="0" w:space="0" w:color="auto"/>
            <w:left w:val="none" w:sz="0" w:space="0" w:color="auto"/>
            <w:bottom w:val="none" w:sz="0" w:space="0" w:color="auto"/>
            <w:right w:val="none" w:sz="0" w:space="0" w:color="auto"/>
          </w:divBdr>
        </w:div>
        <w:div w:id="2028410826">
          <w:marLeft w:val="640"/>
          <w:marRight w:val="0"/>
          <w:marTop w:val="0"/>
          <w:marBottom w:val="0"/>
          <w:divBdr>
            <w:top w:val="none" w:sz="0" w:space="0" w:color="auto"/>
            <w:left w:val="none" w:sz="0" w:space="0" w:color="auto"/>
            <w:bottom w:val="none" w:sz="0" w:space="0" w:color="auto"/>
            <w:right w:val="none" w:sz="0" w:space="0" w:color="auto"/>
          </w:divBdr>
        </w:div>
        <w:div w:id="2048068965">
          <w:marLeft w:val="640"/>
          <w:marRight w:val="0"/>
          <w:marTop w:val="0"/>
          <w:marBottom w:val="0"/>
          <w:divBdr>
            <w:top w:val="none" w:sz="0" w:space="0" w:color="auto"/>
            <w:left w:val="none" w:sz="0" w:space="0" w:color="auto"/>
            <w:bottom w:val="none" w:sz="0" w:space="0" w:color="auto"/>
            <w:right w:val="none" w:sz="0" w:space="0" w:color="auto"/>
          </w:divBdr>
        </w:div>
        <w:div w:id="818305291">
          <w:marLeft w:val="640"/>
          <w:marRight w:val="0"/>
          <w:marTop w:val="0"/>
          <w:marBottom w:val="0"/>
          <w:divBdr>
            <w:top w:val="none" w:sz="0" w:space="0" w:color="auto"/>
            <w:left w:val="none" w:sz="0" w:space="0" w:color="auto"/>
            <w:bottom w:val="none" w:sz="0" w:space="0" w:color="auto"/>
            <w:right w:val="none" w:sz="0" w:space="0" w:color="auto"/>
          </w:divBdr>
        </w:div>
        <w:div w:id="365762034">
          <w:marLeft w:val="640"/>
          <w:marRight w:val="0"/>
          <w:marTop w:val="0"/>
          <w:marBottom w:val="0"/>
          <w:divBdr>
            <w:top w:val="none" w:sz="0" w:space="0" w:color="auto"/>
            <w:left w:val="none" w:sz="0" w:space="0" w:color="auto"/>
            <w:bottom w:val="none" w:sz="0" w:space="0" w:color="auto"/>
            <w:right w:val="none" w:sz="0" w:space="0" w:color="auto"/>
          </w:divBdr>
        </w:div>
        <w:div w:id="1325545079">
          <w:marLeft w:val="640"/>
          <w:marRight w:val="0"/>
          <w:marTop w:val="0"/>
          <w:marBottom w:val="0"/>
          <w:divBdr>
            <w:top w:val="none" w:sz="0" w:space="0" w:color="auto"/>
            <w:left w:val="none" w:sz="0" w:space="0" w:color="auto"/>
            <w:bottom w:val="none" w:sz="0" w:space="0" w:color="auto"/>
            <w:right w:val="none" w:sz="0" w:space="0" w:color="auto"/>
          </w:divBdr>
        </w:div>
        <w:div w:id="1063677905">
          <w:marLeft w:val="640"/>
          <w:marRight w:val="0"/>
          <w:marTop w:val="0"/>
          <w:marBottom w:val="0"/>
          <w:divBdr>
            <w:top w:val="none" w:sz="0" w:space="0" w:color="auto"/>
            <w:left w:val="none" w:sz="0" w:space="0" w:color="auto"/>
            <w:bottom w:val="none" w:sz="0" w:space="0" w:color="auto"/>
            <w:right w:val="none" w:sz="0" w:space="0" w:color="auto"/>
          </w:divBdr>
        </w:div>
        <w:div w:id="1888567137">
          <w:marLeft w:val="640"/>
          <w:marRight w:val="0"/>
          <w:marTop w:val="0"/>
          <w:marBottom w:val="0"/>
          <w:divBdr>
            <w:top w:val="none" w:sz="0" w:space="0" w:color="auto"/>
            <w:left w:val="none" w:sz="0" w:space="0" w:color="auto"/>
            <w:bottom w:val="none" w:sz="0" w:space="0" w:color="auto"/>
            <w:right w:val="none" w:sz="0" w:space="0" w:color="auto"/>
          </w:divBdr>
        </w:div>
        <w:div w:id="2026976037">
          <w:marLeft w:val="640"/>
          <w:marRight w:val="0"/>
          <w:marTop w:val="0"/>
          <w:marBottom w:val="0"/>
          <w:divBdr>
            <w:top w:val="none" w:sz="0" w:space="0" w:color="auto"/>
            <w:left w:val="none" w:sz="0" w:space="0" w:color="auto"/>
            <w:bottom w:val="none" w:sz="0" w:space="0" w:color="auto"/>
            <w:right w:val="none" w:sz="0" w:space="0" w:color="auto"/>
          </w:divBdr>
        </w:div>
        <w:div w:id="908228827">
          <w:marLeft w:val="640"/>
          <w:marRight w:val="0"/>
          <w:marTop w:val="0"/>
          <w:marBottom w:val="0"/>
          <w:divBdr>
            <w:top w:val="none" w:sz="0" w:space="0" w:color="auto"/>
            <w:left w:val="none" w:sz="0" w:space="0" w:color="auto"/>
            <w:bottom w:val="none" w:sz="0" w:space="0" w:color="auto"/>
            <w:right w:val="none" w:sz="0" w:space="0" w:color="auto"/>
          </w:divBdr>
        </w:div>
        <w:div w:id="219561927">
          <w:marLeft w:val="640"/>
          <w:marRight w:val="0"/>
          <w:marTop w:val="0"/>
          <w:marBottom w:val="0"/>
          <w:divBdr>
            <w:top w:val="none" w:sz="0" w:space="0" w:color="auto"/>
            <w:left w:val="none" w:sz="0" w:space="0" w:color="auto"/>
            <w:bottom w:val="none" w:sz="0" w:space="0" w:color="auto"/>
            <w:right w:val="none" w:sz="0" w:space="0" w:color="auto"/>
          </w:divBdr>
        </w:div>
        <w:div w:id="1457329471">
          <w:marLeft w:val="640"/>
          <w:marRight w:val="0"/>
          <w:marTop w:val="0"/>
          <w:marBottom w:val="0"/>
          <w:divBdr>
            <w:top w:val="none" w:sz="0" w:space="0" w:color="auto"/>
            <w:left w:val="none" w:sz="0" w:space="0" w:color="auto"/>
            <w:bottom w:val="none" w:sz="0" w:space="0" w:color="auto"/>
            <w:right w:val="none" w:sz="0" w:space="0" w:color="auto"/>
          </w:divBdr>
        </w:div>
        <w:div w:id="2069302912">
          <w:marLeft w:val="640"/>
          <w:marRight w:val="0"/>
          <w:marTop w:val="0"/>
          <w:marBottom w:val="0"/>
          <w:divBdr>
            <w:top w:val="none" w:sz="0" w:space="0" w:color="auto"/>
            <w:left w:val="none" w:sz="0" w:space="0" w:color="auto"/>
            <w:bottom w:val="none" w:sz="0" w:space="0" w:color="auto"/>
            <w:right w:val="none" w:sz="0" w:space="0" w:color="auto"/>
          </w:divBdr>
        </w:div>
        <w:div w:id="961230768">
          <w:marLeft w:val="640"/>
          <w:marRight w:val="0"/>
          <w:marTop w:val="0"/>
          <w:marBottom w:val="0"/>
          <w:divBdr>
            <w:top w:val="none" w:sz="0" w:space="0" w:color="auto"/>
            <w:left w:val="none" w:sz="0" w:space="0" w:color="auto"/>
            <w:bottom w:val="none" w:sz="0" w:space="0" w:color="auto"/>
            <w:right w:val="none" w:sz="0" w:space="0" w:color="auto"/>
          </w:divBdr>
        </w:div>
        <w:div w:id="760570085">
          <w:marLeft w:val="640"/>
          <w:marRight w:val="0"/>
          <w:marTop w:val="0"/>
          <w:marBottom w:val="0"/>
          <w:divBdr>
            <w:top w:val="none" w:sz="0" w:space="0" w:color="auto"/>
            <w:left w:val="none" w:sz="0" w:space="0" w:color="auto"/>
            <w:bottom w:val="none" w:sz="0" w:space="0" w:color="auto"/>
            <w:right w:val="none" w:sz="0" w:space="0" w:color="auto"/>
          </w:divBdr>
        </w:div>
        <w:div w:id="1545631360">
          <w:marLeft w:val="640"/>
          <w:marRight w:val="0"/>
          <w:marTop w:val="0"/>
          <w:marBottom w:val="0"/>
          <w:divBdr>
            <w:top w:val="none" w:sz="0" w:space="0" w:color="auto"/>
            <w:left w:val="none" w:sz="0" w:space="0" w:color="auto"/>
            <w:bottom w:val="none" w:sz="0" w:space="0" w:color="auto"/>
            <w:right w:val="none" w:sz="0" w:space="0" w:color="auto"/>
          </w:divBdr>
        </w:div>
        <w:div w:id="667558425">
          <w:marLeft w:val="640"/>
          <w:marRight w:val="0"/>
          <w:marTop w:val="0"/>
          <w:marBottom w:val="0"/>
          <w:divBdr>
            <w:top w:val="none" w:sz="0" w:space="0" w:color="auto"/>
            <w:left w:val="none" w:sz="0" w:space="0" w:color="auto"/>
            <w:bottom w:val="none" w:sz="0" w:space="0" w:color="auto"/>
            <w:right w:val="none" w:sz="0" w:space="0" w:color="auto"/>
          </w:divBdr>
        </w:div>
        <w:div w:id="668755803">
          <w:marLeft w:val="640"/>
          <w:marRight w:val="0"/>
          <w:marTop w:val="0"/>
          <w:marBottom w:val="0"/>
          <w:divBdr>
            <w:top w:val="none" w:sz="0" w:space="0" w:color="auto"/>
            <w:left w:val="none" w:sz="0" w:space="0" w:color="auto"/>
            <w:bottom w:val="none" w:sz="0" w:space="0" w:color="auto"/>
            <w:right w:val="none" w:sz="0" w:space="0" w:color="auto"/>
          </w:divBdr>
        </w:div>
      </w:divsChild>
    </w:div>
    <w:div w:id="1581794404">
      <w:bodyDiv w:val="1"/>
      <w:marLeft w:val="0"/>
      <w:marRight w:val="0"/>
      <w:marTop w:val="0"/>
      <w:marBottom w:val="0"/>
      <w:divBdr>
        <w:top w:val="none" w:sz="0" w:space="0" w:color="auto"/>
        <w:left w:val="none" w:sz="0" w:space="0" w:color="auto"/>
        <w:bottom w:val="none" w:sz="0" w:space="0" w:color="auto"/>
        <w:right w:val="none" w:sz="0" w:space="0" w:color="auto"/>
      </w:divBdr>
      <w:divsChild>
        <w:div w:id="1951009810">
          <w:marLeft w:val="640"/>
          <w:marRight w:val="0"/>
          <w:marTop w:val="0"/>
          <w:marBottom w:val="0"/>
          <w:divBdr>
            <w:top w:val="none" w:sz="0" w:space="0" w:color="auto"/>
            <w:left w:val="none" w:sz="0" w:space="0" w:color="auto"/>
            <w:bottom w:val="none" w:sz="0" w:space="0" w:color="auto"/>
            <w:right w:val="none" w:sz="0" w:space="0" w:color="auto"/>
          </w:divBdr>
        </w:div>
        <w:div w:id="213392818">
          <w:marLeft w:val="640"/>
          <w:marRight w:val="0"/>
          <w:marTop w:val="0"/>
          <w:marBottom w:val="0"/>
          <w:divBdr>
            <w:top w:val="none" w:sz="0" w:space="0" w:color="auto"/>
            <w:left w:val="none" w:sz="0" w:space="0" w:color="auto"/>
            <w:bottom w:val="none" w:sz="0" w:space="0" w:color="auto"/>
            <w:right w:val="none" w:sz="0" w:space="0" w:color="auto"/>
          </w:divBdr>
        </w:div>
        <w:div w:id="1167792775">
          <w:marLeft w:val="640"/>
          <w:marRight w:val="0"/>
          <w:marTop w:val="0"/>
          <w:marBottom w:val="0"/>
          <w:divBdr>
            <w:top w:val="none" w:sz="0" w:space="0" w:color="auto"/>
            <w:left w:val="none" w:sz="0" w:space="0" w:color="auto"/>
            <w:bottom w:val="none" w:sz="0" w:space="0" w:color="auto"/>
            <w:right w:val="none" w:sz="0" w:space="0" w:color="auto"/>
          </w:divBdr>
        </w:div>
        <w:div w:id="413629194">
          <w:marLeft w:val="640"/>
          <w:marRight w:val="0"/>
          <w:marTop w:val="0"/>
          <w:marBottom w:val="0"/>
          <w:divBdr>
            <w:top w:val="none" w:sz="0" w:space="0" w:color="auto"/>
            <w:left w:val="none" w:sz="0" w:space="0" w:color="auto"/>
            <w:bottom w:val="none" w:sz="0" w:space="0" w:color="auto"/>
            <w:right w:val="none" w:sz="0" w:space="0" w:color="auto"/>
          </w:divBdr>
        </w:div>
        <w:div w:id="1017315520">
          <w:marLeft w:val="640"/>
          <w:marRight w:val="0"/>
          <w:marTop w:val="0"/>
          <w:marBottom w:val="0"/>
          <w:divBdr>
            <w:top w:val="none" w:sz="0" w:space="0" w:color="auto"/>
            <w:left w:val="none" w:sz="0" w:space="0" w:color="auto"/>
            <w:bottom w:val="none" w:sz="0" w:space="0" w:color="auto"/>
            <w:right w:val="none" w:sz="0" w:space="0" w:color="auto"/>
          </w:divBdr>
        </w:div>
        <w:div w:id="1657411935">
          <w:marLeft w:val="640"/>
          <w:marRight w:val="0"/>
          <w:marTop w:val="0"/>
          <w:marBottom w:val="0"/>
          <w:divBdr>
            <w:top w:val="none" w:sz="0" w:space="0" w:color="auto"/>
            <w:left w:val="none" w:sz="0" w:space="0" w:color="auto"/>
            <w:bottom w:val="none" w:sz="0" w:space="0" w:color="auto"/>
            <w:right w:val="none" w:sz="0" w:space="0" w:color="auto"/>
          </w:divBdr>
        </w:div>
        <w:div w:id="649166086">
          <w:marLeft w:val="640"/>
          <w:marRight w:val="0"/>
          <w:marTop w:val="0"/>
          <w:marBottom w:val="0"/>
          <w:divBdr>
            <w:top w:val="none" w:sz="0" w:space="0" w:color="auto"/>
            <w:left w:val="none" w:sz="0" w:space="0" w:color="auto"/>
            <w:bottom w:val="none" w:sz="0" w:space="0" w:color="auto"/>
            <w:right w:val="none" w:sz="0" w:space="0" w:color="auto"/>
          </w:divBdr>
        </w:div>
        <w:div w:id="373847992">
          <w:marLeft w:val="640"/>
          <w:marRight w:val="0"/>
          <w:marTop w:val="0"/>
          <w:marBottom w:val="0"/>
          <w:divBdr>
            <w:top w:val="none" w:sz="0" w:space="0" w:color="auto"/>
            <w:left w:val="none" w:sz="0" w:space="0" w:color="auto"/>
            <w:bottom w:val="none" w:sz="0" w:space="0" w:color="auto"/>
            <w:right w:val="none" w:sz="0" w:space="0" w:color="auto"/>
          </w:divBdr>
        </w:div>
        <w:div w:id="640963027">
          <w:marLeft w:val="640"/>
          <w:marRight w:val="0"/>
          <w:marTop w:val="0"/>
          <w:marBottom w:val="0"/>
          <w:divBdr>
            <w:top w:val="none" w:sz="0" w:space="0" w:color="auto"/>
            <w:left w:val="none" w:sz="0" w:space="0" w:color="auto"/>
            <w:bottom w:val="none" w:sz="0" w:space="0" w:color="auto"/>
            <w:right w:val="none" w:sz="0" w:space="0" w:color="auto"/>
          </w:divBdr>
        </w:div>
        <w:div w:id="1466972312">
          <w:marLeft w:val="640"/>
          <w:marRight w:val="0"/>
          <w:marTop w:val="0"/>
          <w:marBottom w:val="0"/>
          <w:divBdr>
            <w:top w:val="none" w:sz="0" w:space="0" w:color="auto"/>
            <w:left w:val="none" w:sz="0" w:space="0" w:color="auto"/>
            <w:bottom w:val="none" w:sz="0" w:space="0" w:color="auto"/>
            <w:right w:val="none" w:sz="0" w:space="0" w:color="auto"/>
          </w:divBdr>
        </w:div>
        <w:div w:id="210002650">
          <w:marLeft w:val="640"/>
          <w:marRight w:val="0"/>
          <w:marTop w:val="0"/>
          <w:marBottom w:val="0"/>
          <w:divBdr>
            <w:top w:val="none" w:sz="0" w:space="0" w:color="auto"/>
            <w:left w:val="none" w:sz="0" w:space="0" w:color="auto"/>
            <w:bottom w:val="none" w:sz="0" w:space="0" w:color="auto"/>
            <w:right w:val="none" w:sz="0" w:space="0" w:color="auto"/>
          </w:divBdr>
        </w:div>
        <w:div w:id="1189372510">
          <w:marLeft w:val="640"/>
          <w:marRight w:val="0"/>
          <w:marTop w:val="0"/>
          <w:marBottom w:val="0"/>
          <w:divBdr>
            <w:top w:val="none" w:sz="0" w:space="0" w:color="auto"/>
            <w:left w:val="none" w:sz="0" w:space="0" w:color="auto"/>
            <w:bottom w:val="none" w:sz="0" w:space="0" w:color="auto"/>
            <w:right w:val="none" w:sz="0" w:space="0" w:color="auto"/>
          </w:divBdr>
        </w:div>
        <w:div w:id="1733848699">
          <w:marLeft w:val="640"/>
          <w:marRight w:val="0"/>
          <w:marTop w:val="0"/>
          <w:marBottom w:val="0"/>
          <w:divBdr>
            <w:top w:val="none" w:sz="0" w:space="0" w:color="auto"/>
            <w:left w:val="none" w:sz="0" w:space="0" w:color="auto"/>
            <w:bottom w:val="none" w:sz="0" w:space="0" w:color="auto"/>
            <w:right w:val="none" w:sz="0" w:space="0" w:color="auto"/>
          </w:divBdr>
        </w:div>
        <w:div w:id="1906450819">
          <w:marLeft w:val="640"/>
          <w:marRight w:val="0"/>
          <w:marTop w:val="0"/>
          <w:marBottom w:val="0"/>
          <w:divBdr>
            <w:top w:val="none" w:sz="0" w:space="0" w:color="auto"/>
            <w:left w:val="none" w:sz="0" w:space="0" w:color="auto"/>
            <w:bottom w:val="none" w:sz="0" w:space="0" w:color="auto"/>
            <w:right w:val="none" w:sz="0" w:space="0" w:color="auto"/>
          </w:divBdr>
        </w:div>
        <w:div w:id="1748961715">
          <w:marLeft w:val="640"/>
          <w:marRight w:val="0"/>
          <w:marTop w:val="0"/>
          <w:marBottom w:val="0"/>
          <w:divBdr>
            <w:top w:val="none" w:sz="0" w:space="0" w:color="auto"/>
            <w:left w:val="none" w:sz="0" w:space="0" w:color="auto"/>
            <w:bottom w:val="none" w:sz="0" w:space="0" w:color="auto"/>
            <w:right w:val="none" w:sz="0" w:space="0" w:color="auto"/>
          </w:divBdr>
        </w:div>
        <w:div w:id="628705217">
          <w:marLeft w:val="640"/>
          <w:marRight w:val="0"/>
          <w:marTop w:val="0"/>
          <w:marBottom w:val="0"/>
          <w:divBdr>
            <w:top w:val="none" w:sz="0" w:space="0" w:color="auto"/>
            <w:left w:val="none" w:sz="0" w:space="0" w:color="auto"/>
            <w:bottom w:val="none" w:sz="0" w:space="0" w:color="auto"/>
            <w:right w:val="none" w:sz="0" w:space="0" w:color="auto"/>
          </w:divBdr>
        </w:div>
        <w:div w:id="610474974">
          <w:marLeft w:val="640"/>
          <w:marRight w:val="0"/>
          <w:marTop w:val="0"/>
          <w:marBottom w:val="0"/>
          <w:divBdr>
            <w:top w:val="none" w:sz="0" w:space="0" w:color="auto"/>
            <w:left w:val="none" w:sz="0" w:space="0" w:color="auto"/>
            <w:bottom w:val="none" w:sz="0" w:space="0" w:color="auto"/>
            <w:right w:val="none" w:sz="0" w:space="0" w:color="auto"/>
          </w:divBdr>
        </w:div>
        <w:div w:id="1208300440">
          <w:marLeft w:val="640"/>
          <w:marRight w:val="0"/>
          <w:marTop w:val="0"/>
          <w:marBottom w:val="0"/>
          <w:divBdr>
            <w:top w:val="none" w:sz="0" w:space="0" w:color="auto"/>
            <w:left w:val="none" w:sz="0" w:space="0" w:color="auto"/>
            <w:bottom w:val="none" w:sz="0" w:space="0" w:color="auto"/>
            <w:right w:val="none" w:sz="0" w:space="0" w:color="auto"/>
          </w:divBdr>
        </w:div>
        <w:div w:id="1085758941">
          <w:marLeft w:val="640"/>
          <w:marRight w:val="0"/>
          <w:marTop w:val="0"/>
          <w:marBottom w:val="0"/>
          <w:divBdr>
            <w:top w:val="none" w:sz="0" w:space="0" w:color="auto"/>
            <w:left w:val="none" w:sz="0" w:space="0" w:color="auto"/>
            <w:bottom w:val="none" w:sz="0" w:space="0" w:color="auto"/>
            <w:right w:val="none" w:sz="0" w:space="0" w:color="auto"/>
          </w:divBdr>
        </w:div>
        <w:div w:id="1647322742">
          <w:marLeft w:val="640"/>
          <w:marRight w:val="0"/>
          <w:marTop w:val="0"/>
          <w:marBottom w:val="0"/>
          <w:divBdr>
            <w:top w:val="none" w:sz="0" w:space="0" w:color="auto"/>
            <w:left w:val="none" w:sz="0" w:space="0" w:color="auto"/>
            <w:bottom w:val="none" w:sz="0" w:space="0" w:color="auto"/>
            <w:right w:val="none" w:sz="0" w:space="0" w:color="auto"/>
          </w:divBdr>
        </w:div>
        <w:div w:id="957302141">
          <w:marLeft w:val="640"/>
          <w:marRight w:val="0"/>
          <w:marTop w:val="0"/>
          <w:marBottom w:val="0"/>
          <w:divBdr>
            <w:top w:val="none" w:sz="0" w:space="0" w:color="auto"/>
            <w:left w:val="none" w:sz="0" w:space="0" w:color="auto"/>
            <w:bottom w:val="none" w:sz="0" w:space="0" w:color="auto"/>
            <w:right w:val="none" w:sz="0" w:space="0" w:color="auto"/>
          </w:divBdr>
        </w:div>
        <w:div w:id="1895971958">
          <w:marLeft w:val="640"/>
          <w:marRight w:val="0"/>
          <w:marTop w:val="0"/>
          <w:marBottom w:val="0"/>
          <w:divBdr>
            <w:top w:val="none" w:sz="0" w:space="0" w:color="auto"/>
            <w:left w:val="none" w:sz="0" w:space="0" w:color="auto"/>
            <w:bottom w:val="none" w:sz="0" w:space="0" w:color="auto"/>
            <w:right w:val="none" w:sz="0" w:space="0" w:color="auto"/>
          </w:divBdr>
        </w:div>
        <w:div w:id="1243904910">
          <w:marLeft w:val="640"/>
          <w:marRight w:val="0"/>
          <w:marTop w:val="0"/>
          <w:marBottom w:val="0"/>
          <w:divBdr>
            <w:top w:val="none" w:sz="0" w:space="0" w:color="auto"/>
            <w:left w:val="none" w:sz="0" w:space="0" w:color="auto"/>
            <w:bottom w:val="none" w:sz="0" w:space="0" w:color="auto"/>
            <w:right w:val="none" w:sz="0" w:space="0" w:color="auto"/>
          </w:divBdr>
        </w:div>
        <w:div w:id="2077047016">
          <w:marLeft w:val="640"/>
          <w:marRight w:val="0"/>
          <w:marTop w:val="0"/>
          <w:marBottom w:val="0"/>
          <w:divBdr>
            <w:top w:val="none" w:sz="0" w:space="0" w:color="auto"/>
            <w:left w:val="none" w:sz="0" w:space="0" w:color="auto"/>
            <w:bottom w:val="none" w:sz="0" w:space="0" w:color="auto"/>
            <w:right w:val="none" w:sz="0" w:space="0" w:color="auto"/>
          </w:divBdr>
        </w:div>
        <w:div w:id="1181361684">
          <w:marLeft w:val="640"/>
          <w:marRight w:val="0"/>
          <w:marTop w:val="0"/>
          <w:marBottom w:val="0"/>
          <w:divBdr>
            <w:top w:val="none" w:sz="0" w:space="0" w:color="auto"/>
            <w:left w:val="none" w:sz="0" w:space="0" w:color="auto"/>
            <w:bottom w:val="none" w:sz="0" w:space="0" w:color="auto"/>
            <w:right w:val="none" w:sz="0" w:space="0" w:color="auto"/>
          </w:divBdr>
        </w:div>
        <w:div w:id="238057402">
          <w:marLeft w:val="640"/>
          <w:marRight w:val="0"/>
          <w:marTop w:val="0"/>
          <w:marBottom w:val="0"/>
          <w:divBdr>
            <w:top w:val="none" w:sz="0" w:space="0" w:color="auto"/>
            <w:left w:val="none" w:sz="0" w:space="0" w:color="auto"/>
            <w:bottom w:val="none" w:sz="0" w:space="0" w:color="auto"/>
            <w:right w:val="none" w:sz="0" w:space="0" w:color="auto"/>
          </w:divBdr>
        </w:div>
        <w:div w:id="816268328">
          <w:marLeft w:val="640"/>
          <w:marRight w:val="0"/>
          <w:marTop w:val="0"/>
          <w:marBottom w:val="0"/>
          <w:divBdr>
            <w:top w:val="none" w:sz="0" w:space="0" w:color="auto"/>
            <w:left w:val="none" w:sz="0" w:space="0" w:color="auto"/>
            <w:bottom w:val="none" w:sz="0" w:space="0" w:color="auto"/>
            <w:right w:val="none" w:sz="0" w:space="0" w:color="auto"/>
          </w:divBdr>
        </w:div>
        <w:div w:id="2125421459">
          <w:marLeft w:val="640"/>
          <w:marRight w:val="0"/>
          <w:marTop w:val="0"/>
          <w:marBottom w:val="0"/>
          <w:divBdr>
            <w:top w:val="none" w:sz="0" w:space="0" w:color="auto"/>
            <w:left w:val="none" w:sz="0" w:space="0" w:color="auto"/>
            <w:bottom w:val="none" w:sz="0" w:space="0" w:color="auto"/>
            <w:right w:val="none" w:sz="0" w:space="0" w:color="auto"/>
          </w:divBdr>
        </w:div>
        <w:div w:id="545064231">
          <w:marLeft w:val="640"/>
          <w:marRight w:val="0"/>
          <w:marTop w:val="0"/>
          <w:marBottom w:val="0"/>
          <w:divBdr>
            <w:top w:val="none" w:sz="0" w:space="0" w:color="auto"/>
            <w:left w:val="none" w:sz="0" w:space="0" w:color="auto"/>
            <w:bottom w:val="none" w:sz="0" w:space="0" w:color="auto"/>
            <w:right w:val="none" w:sz="0" w:space="0" w:color="auto"/>
          </w:divBdr>
        </w:div>
        <w:div w:id="1057893778">
          <w:marLeft w:val="640"/>
          <w:marRight w:val="0"/>
          <w:marTop w:val="0"/>
          <w:marBottom w:val="0"/>
          <w:divBdr>
            <w:top w:val="none" w:sz="0" w:space="0" w:color="auto"/>
            <w:left w:val="none" w:sz="0" w:space="0" w:color="auto"/>
            <w:bottom w:val="none" w:sz="0" w:space="0" w:color="auto"/>
            <w:right w:val="none" w:sz="0" w:space="0" w:color="auto"/>
          </w:divBdr>
        </w:div>
        <w:div w:id="331682036">
          <w:marLeft w:val="640"/>
          <w:marRight w:val="0"/>
          <w:marTop w:val="0"/>
          <w:marBottom w:val="0"/>
          <w:divBdr>
            <w:top w:val="none" w:sz="0" w:space="0" w:color="auto"/>
            <w:left w:val="none" w:sz="0" w:space="0" w:color="auto"/>
            <w:bottom w:val="none" w:sz="0" w:space="0" w:color="auto"/>
            <w:right w:val="none" w:sz="0" w:space="0" w:color="auto"/>
          </w:divBdr>
        </w:div>
        <w:div w:id="765811706">
          <w:marLeft w:val="640"/>
          <w:marRight w:val="0"/>
          <w:marTop w:val="0"/>
          <w:marBottom w:val="0"/>
          <w:divBdr>
            <w:top w:val="none" w:sz="0" w:space="0" w:color="auto"/>
            <w:left w:val="none" w:sz="0" w:space="0" w:color="auto"/>
            <w:bottom w:val="none" w:sz="0" w:space="0" w:color="auto"/>
            <w:right w:val="none" w:sz="0" w:space="0" w:color="auto"/>
          </w:divBdr>
        </w:div>
        <w:div w:id="2117676412">
          <w:marLeft w:val="640"/>
          <w:marRight w:val="0"/>
          <w:marTop w:val="0"/>
          <w:marBottom w:val="0"/>
          <w:divBdr>
            <w:top w:val="none" w:sz="0" w:space="0" w:color="auto"/>
            <w:left w:val="none" w:sz="0" w:space="0" w:color="auto"/>
            <w:bottom w:val="none" w:sz="0" w:space="0" w:color="auto"/>
            <w:right w:val="none" w:sz="0" w:space="0" w:color="auto"/>
          </w:divBdr>
        </w:div>
        <w:div w:id="1375278556">
          <w:marLeft w:val="640"/>
          <w:marRight w:val="0"/>
          <w:marTop w:val="0"/>
          <w:marBottom w:val="0"/>
          <w:divBdr>
            <w:top w:val="none" w:sz="0" w:space="0" w:color="auto"/>
            <w:left w:val="none" w:sz="0" w:space="0" w:color="auto"/>
            <w:bottom w:val="none" w:sz="0" w:space="0" w:color="auto"/>
            <w:right w:val="none" w:sz="0" w:space="0" w:color="auto"/>
          </w:divBdr>
        </w:div>
        <w:div w:id="1814785212">
          <w:marLeft w:val="640"/>
          <w:marRight w:val="0"/>
          <w:marTop w:val="0"/>
          <w:marBottom w:val="0"/>
          <w:divBdr>
            <w:top w:val="none" w:sz="0" w:space="0" w:color="auto"/>
            <w:left w:val="none" w:sz="0" w:space="0" w:color="auto"/>
            <w:bottom w:val="none" w:sz="0" w:space="0" w:color="auto"/>
            <w:right w:val="none" w:sz="0" w:space="0" w:color="auto"/>
          </w:divBdr>
        </w:div>
        <w:div w:id="686754187">
          <w:marLeft w:val="640"/>
          <w:marRight w:val="0"/>
          <w:marTop w:val="0"/>
          <w:marBottom w:val="0"/>
          <w:divBdr>
            <w:top w:val="none" w:sz="0" w:space="0" w:color="auto"/>
            <w:left w:val="none" w:sz="0" w:space="0" w:color="auto"/>
            <w:bottom w:val="none" w:sz="0" w:space="0" w:color="auto"/>
            <w:right w:val="none" w:sz="0" w:space="0" w:color="auto"/>
          </w:divBdr>
        </w:div>
        <w:div w:id="1667777993">
          <w:marLeft w:val="640"/>
          <w:marRight w:val="0"/>
          <w:marTop w:val="0"/>
          <w:marBottom w:val="0"/>
          <w:divBdr>
            <w:top w:val="none" w:sz="0" w:space="0" w:color="auto"/>
            <w:left w:val="none" w:sz="0" w:space="0" w:color="auto"/>
            <w:bottom w:val="none" w:sz="0" w:space="0" w:color="auto"/>
            <w:right w:val="none" w:sz="0" w:space="0" w:color="auto"/>
          </w:divBdr>
        </w:div>
        <w:div w:id="1795170737">
          <w:marLeft w:val="640"/>
          <w:marRight w:val="0"/>
          <w:marTop w:val="0"/>
          <w:marBottom w:val="0"/>
          <w:divBdr>
            <w:top w:val="none" w:sz="0" w:space="0" w:color="auto"/>
            <w:left w:val="none" w:sz="0" w:space="0" w:color="auto"/>
            <w:bottom w:val="none" w:sz="0" w:space="0" w:color="auto"/>
            <w:right w:val="none" w:sz="0" w:space="0" w:color="auto"/>
          </w:divBdr>
        </w:div>
        <w:div w:id="1122379563">
          <w:marLeft w:val="640"/>
          <w:marRight w:val="0"/>
          <w:marTop w:val="0"/>
          <w:marBottom w:val="0"/>
          <w:divBdr>
            <w:top w:val="none" w:sz="0" w:space="0" w:color="auto"/>
            <w:left w:val="none" w:sz="0" w:space="0" w:color="auto"/>
            <w:bottom w:val="none" w:sz="0" w:space="0" w:color="auto"/>
            <w:right w:val="none" w:sz="0" w:space="0" w:color="auto"/>
          </w:divBdr>
        </w:div>
        <w:div w:id="1313874929">
          <w:marLeft w:val="640"/>
          <w:marRight w:val="0"/>
          <w:marTop w:val="0"/>
          <w:marBottom w:val="0"/>
          <w:divBdr>
            <w:top w:val="none" w:sz="0" w:space="0" w:color="auto"/>
            <w:left w:val="none" w:sz="0" w:space="0" w:color="auto"/>
            <w:bottom w:val="none" w:sz="0" w:space="0" w:color="auto"/>
            <w:right w:val="none" w:sz="0" w:space="0" w:color="auto"/>
          </w:divBdr>
        </w:div>
        <w:div w:id="1335839400">
          <w:marLeft w:val="640"/>
          <w:marRight w:val="0"/>
          <w:marTop w:val="0"/>
          <w:marBottom w:val="0"/>
          <w:divBdr>
            <w:top w:val="none" w:sz="0" w:space="0" w:color="auto"/>
            <w:left w:val="none" w:sz="0" w:space="0" w:color="auto"/>
            <w:bottom w:val="none" w:sz="0" w:space="0" w:color="auto"/>
            <w:right w:val="none" w:sz="0" w:space="0" w:color="auto"/>
          </w:divBdr>
        </w:div>
        <w:div w:id="755788682">
          <w:marLeft w:val="640"/>
          <w:marRight w:val="0"/>
          <w:marTop w:val="0"/>
          <w:marBottom w:val="0"/>
          <w:divBdr>
            <w:top w:val="none" w:sz="0" w:space="0" w:color="auto"/>
            <w:left w:val="none" w:sz="0" w:space="0" w:color="auto"/>
            <w:bottom w:val="none" w:sz="0" w:space="0" w:color="auto"/>
            <w:right w:val="none" w:sz="0" w:space="0" w:color="auto"/>
          </w:divBdr>
        </w:div>
        <w:div w:id="1026249722">
          <w:marLeft w:val="640"/>
          <w:marRight w:val="0"/>
          <w:marTop w:val="0"/>
          <w:marBottom w:val="0"/>
          <w:divBdr>
            <w:top w:val="none" w:sz="0" w:space="0" w:color="auto"/>
            <w:left w:val="none" w:sz="0" w:space="0" w:color="auto"/>
            <w:bottom w:val="none" w:sz="0" w:space="0" w:color="auto"/>
            <w:right w:val="none" w:sz="0" w:space="0" w:color="auto"/>
          </w:divBdr>
        </w:div>
        <w:div w:id="1523931304">
          <w:marLeft w:val="640"/>
          <w:marRight w:val="0"/>
          <w:marTop w:val="0"/>
          <w:marBottom w:val="0"/>
          <w:divBdr>
            <w:top w:val="none" w:sz="0" w:space="0" w:color="auto"/>
            <w:left w:val="none" w:sz="0" w:space="0" w:color="auto"/>
            <w:bottom w:val="none" w:sz="0" w:space="0" w:color="auto"/>
            <w:right w:val="none" w:sz="0" w:space="0" w:color="auto"/>
          </w:divBdr>
        </w:div>
        <w:div w:id="938180148">
          <w:marLeft w:val="640"/>
          <w:marRight w:val="0"/>
          <w:marTop w:val="0"/>
          <w:marBottom w:val="0"/>
          <w:divBdr>
            <w:top w:val="none" w:sz="0" w:space="0" w:color="auto"/>
            <w:left w:val="none" w:sz="0" w:space="0" w:color="auto"/>
            <w:bottom w:val="none" w:sz="0" w:space="0" w:color="auto"/>
            <w:right w:val="none" w:sz="0" w:space="0" w:color="auto"/>
          </w:divBdr>
        </w:div>
        <w:div w:id="325132407">
          <w:marLeft w:val="640"/>
          <w:marRight w:val="0"/>
          <w:marTop w:val="0"/>
          <w:marBottom w:val="0"/>
          <w:divBdr>
            <w:top w:val="none" w:sz="0" w:space="0" w:color="auto"/>
            <w:left w:val="none" w:sz="0" w:space="0" w:color="auto"/>
            <w:bottom w:val="none" w:sz="0" w:space="0" w:color="auto"/>
            <w:right w:val="none" w:sz="0" w:space="0" w:color="auto"/>
          </w:divBdr>
        </w:div>
        <w:div w:id="891114276">
          <w:marLeft w:val="640"/>
          <w:marRight w:val="0"/>
          <w:marTop w:val="0"/>
          <w:marBottom w:val="0"/>
          <w:divBdr>
            <w:top w:val="none" w:sz="0" w:space="0" w:color="auto"/>
            <w:left w:val="none" w:sz="0" w:space="0" w:color="auto"/>
            <w:bottom w:val="none" w:sz="0" w:space="0" w:color="auto"/>
            <w:right w:val="none" w:sz="0" w:space="0" w:color="auto"/>
          </w:divBdr>
        </w:div>
        <w:div w:id="2143494123">
          <w:marLeft w:val="640"/>
          <w:marRight w:val="0"/>
          <w:marTop w:val="0"/>
          <w:marBottom w:val="0"/>
          <w:divBdr>
            <w:top w:val="none" w:sz="0" w:space="0" w:color="auto"/>
            <w:left w:val="none" w:sz="0" w:space="0" w:color="auto"/>
            <w:bottom w:val="none" w:sz="0" w:space="0" w:color="auto"/>
            <w:right w:val="none" w:sz="0" w:space="0" w:color="auto"/>
          </w:divBdr>
        </w:div>
        <w:div w:id="1278758870">
          <w:marLeft w:val="640"/>
          <w:marRight w:val="0"/>
          <w:marTop w:val="0"/>
          <w:marBottom w:val="0"/>
          <w:divBdr>
            <w:top w:val="none" w:sz="0" w:space="0" w:color="auto"/>
            <w:left w:val="none" w:sz="0" w:space="0" w:color="auto"/>
            <w:bottom w:val="none" w:sz="0" w:space="0" w:color="auto"/>
            <w:right w:val="none" w:sz="0" w:space="0" w:color="auto"/>
          </w:divBdr>
        </w:div>
        <w:div w:id="964120418">
          <w:marLeft w:val="640"/>
          <w:marRight w:val="0"/>
          <w:marTop w:val="0"/>
          <w:marBottom w:val="0"/>
          <w:divBdr>
            <w:top w:val="none" w:sz="0" w:space="0" w:color="auto"/>
            <w:left w:val="none" w:sz="0" w:space="0" w:color="auto"/>
            <w:bottom w:val="none" w:sz="0" w:space="0" w:color="auto"/>
            <w:right w:val="none" w:sz="0" w:space="0" w:color="auto"/>
          </w:divBdr>
        </w:div>
        <w:div w:id="2053772962">
          <w:marLeft w:val="640"/>
          <w:marRight w:val="0"/>
          <w:marTop w:val="0"/>
          <w:marBottom w:val="0"/>
          <w:divBdr>
            <w:top w:val="none" w:sz="0" w:space="0" w:color="auto"/>
            <w:left w:val="none" w:sz="0" w:space="0" w:color="auto"/>
            <w:bottom w:val="none" w:sz="0" w:space="0" w:color="auto"/>
            <w:right w:val="none" w:sz="0" w:space="0" w:color="auto"/>
          </w:divBdr>
        </w:div>
        <w:div w:id="2114474923">
          <w:marLeft w:val="640"/>
          <w:marRight w:val="0"/>
          <w:marTop w:val="0"/>
          <w:marBottom w:val="0"/>
          <w:divBdr>
            <w:top w:val="none" w:sz="0" w:space="0" w:color="auto"/>
            <w:left w:val="none" w:sz="0" w:space="0" w:color="auto"/>
            <w:bottom w:val="none" w:sz="0" w:space="0" w:color="auto"/>
            <w:right w:val="none" w:sz="0" w:space="0" w:color="auto"/>
          </w:divBdr>
        </w:div>
        <w:div w:id="1371807791">
          <w:marLeft w:val="640"/>
          <w:marRight w:val="0"/>
          <w:marTop w:val="0"/>
          <w:marBottom w:val="0"/>
          <w:divBdr>
            <w:top w:val="none" w:sz="0" w:space="0" w:color="auto"/>
            <w:left w:val="none" w:sz="0" w:space="0" w:color="auto"/>
            <w:bottom w:val="none" w:sz="0" w:space="0" w:color="auto"/>
            <w:right w:val="none" w:sz="0" w:space="0" w:color="auto"/>
          </w:divBdr>
        </w:div>
        <w:div w:id="656424207">
          <w:marLeft w:val="640"/>
          <w:marRight w:val="0"/>
          <w:marTop w:val="0"/>
          <w:marBottom w:val="0"/>
          <w:divBdr>
            <w:top w:val="none" w:sz="0" w:space="0" w:color="auto"/>
            <w:left w:val="none" w:sz="0" w:space="0" w:color="auto"/>
            <w:bottom w:val="none" w:sz="0" w:space="0" w:color="auto"/>
            <w:right w:val="none" w:sz="0" w:space="0" w:color="auto"/>
          </w:divBdr>
        </w:div>
        <w:div w:id="1881935330">
          <w:marLeft w:val="640"/>
          <w:marRight w:val="0"/>
          <w:marTop w:val="0"/>
          <w:marBottom w:val="0"/>
          <w:divBdr>
            <w:top w:val="none" w:sz="0" w:space="0" w:color="auto"/>
            <w:left w:val="none" w:sz="0" w:space="0" w:color="auto"/>
            <w:bottom w:val="none" w:sz="0" w:space="0" w:color="auto"/>
            <w:right w:val="none" w:sz="0" w:space="0" w:color="auto"/>
          </w:divBdr>
        </w:div>
        <w:div w:id="732242329">
          <w:marLeft w:val="640"/>
          <w:marRight w:val="0"/>
          <w:marTop w:val="0"/>
          <w:marBottom w:val="0"/>
          <w:divBdr>
            <w:top w:val="none" w:sz="0" w:space="0" w:color="auto"/>
            <w:left w:val="none" w:sz="0" w:space="0" w:color="auto"/>
            <w:bottom w:val="none" w:sz="0" w:space="0" w:color="auto"/>
            <w:right w:val="none" w:sz="0" w:space="0" w:color="auto"/>
          </w:divBdr>
        </w:div>
        <w:div w:id="1681155489">
          <w:marLeft w:val="640"/>
          <w:marRight w:val="0"/>
          <w:marTop w:val="0"/>
          <w:marBottom w:val="0"/>
          <w:divBdr>
            <w:top w:val="none" w:sz="0" w:space="0" w:color="auto"/>
            <w:left w:val="none" w:sz="0" w:space="0" w:color="auto"/>
            <w:bottom w:val="none" w:sz="0" w:space="0" w:color="auto"/>
            <w:right w:val="none" w:sz="0" w:space="0" w:color="auto"/>
          </w:divBdr>
        </w:div>
        <w:div w:id="856232205">
          <w:marLeft w:val="640"/>
          <w:marRight w:val="0"/>
          <w:marTop w:val="0"/>
          <w:marBottom w:val="0"/>
          <w:divBdr>
            <w:top w:val="none" w:sz="0" w:space="0" w:color="auto"/>
            <w:left w:val="none" w:sz="0" w:space="0" w:color="auto"/>
            <w:bottom w:val="none" w:sz="0" w:space="0" w:color="auto"/>
            <w:right w:val="none" w:sz="0" w:space="0" w:color="auto"/>
          </w:divBdr>
        </w:div>
        <w:div w:id="835069945">
          <w:marLeft w:val="640"/>
          <w:marRight w:val="0"/>
          <w:marTop w:val="0"/>
          <w:marBottom w:val="0"/>
          <w:divBdr>
            <w:top w:val="none" w:sz="0" w:space="0" w:color="auto"/>
            <w:left w:val="none" w:sz="0" w:space="0" w:color="auto"/>
            <w:bottom w:val="none" w:sz="0" w:space="0" w:color="auto"/>
            <w:right w:val="none" w:sz="0" w:space="0" w:color="auto"/>
          </w:divBdr>
        </w:div>
        <w:div w:id="934747116">
          <w:marLeft w:val="640"/>
          <w:marRight w:val="0"/>
          <w:marTop w:val="0"/>
          <w:marBottom w:val="0"/>
          <w:divBdr>
            <w:top w:val="none" w:sz="0" w:space="0" w:color="auto"/>
            <w:left w:val="none" w:sz="0" w:space="0" w:color="auto"/>
            <w:bottom w:val="none" w:sz="0" w:space="0" w:color="auto"/>
            <w:right w:val="none" w:sz="0" w:space="0" w:color="auto"/>
          </w:divBdr>
        </w:div>
        <w:div w:id="1615475346">
          <w:marLeft w:val="640"/>
          <w:marRight w:val="0"/>
          <w:marTop w:val="0"/>
          <w:marBottom w:val="0"/>
          <w:divBdr>
            <w:top w:val="none" w:sz="0" w:space="0" w:color="auto"/>
            <w:left w:val="none" w:sz="0" w:space="0" w:color="auto"/>
            <w:bottom w:val="none" w:sz="0" w:space="0" w:color="auto"/>
            <w:right w:val="none" w:sz="0" w:space="0" w:color="auto"/>
          </w:divBdr>
        </w:div>
        <w:div w:id="1684939574">
          <w:marLeft w:val="640"/>
          <w:marRight w:val="0"/>
          <w:marTop w:val="0"/>
          <w:marBottom w:val="0"/>
          <w:divBdr>
            <w:top w:val="none" w:sz="0" w:space="0" w:color="auto"/>
            <w:left w:val="none" w:sz="0" w:space="0" w:color="auto"/>
            <w:bottom w:val="none" w:sz="0" w:space="0" w:color="auto"/>
            <w:right w:val="none" w:sz="0" w:space="0" w:color="auto"/>
          </w:divBdr>
        </w:div>
        <w:div w:id="1685206114">
          <w:marLeft w:val="640"/>
          <w:marRight w:val="0"/>
          <w:marTop w:val="0"/>
          <w:marBottom w:val="0"/>
          <w:divBdr>
            <w:top w:val="none" w:sz="0" w:space="0" w:color="auto"/>
            <w:left w:val="none" w:sz="0" w:space="0" w:color="auto"/>
            <w:bottom w:val="none" w:sz="0" w:space="0" w:color="auto"/>
            <w:right w:val="none" w:sz="0" w:space="0" w:color="auto"/>
          </w:divBdr>
        </w:div>
        <w:div w:id="261379120">
          <w:marLeft w:val="640"/>
          <w:marRight w:val="0"/>
          <w:marTop w:val="0"/>
          <w:marBottom w:val="0"/>
          <w:divBdr>
            <w:top w:val="none" w:sz="0" w:space="0" w:color="auto"/>
            <w:left w:val="none" w:sz="0" w:space="0" w:color="auto"/>
            <w:bottom w:val="none" w:sz="0" w:space="0" w:color="auto"/>
            <w:right w:val="none" w:sz="0" w:space="0" w:color="auto"/>
          </w:divBdr>
        </w:div>
        <w:div w:id="476804182">
          <w:marLeft w:val="640"/>
          <w:marRight w:val="0"/>
          <w:marTop w:val="0"/>
          <w:marBottom w:val="0"/>
          <w:divBdr>
            <w:top w:val="none" w:sz="0" w:space="0" w:color="auto"/>
            <w:left w:val="none" w:sz="0" w:space="0" w:color="auto"/>
            <w:bottom w:val="none" w:sz="0" w:space="0" w:color="auto"/>
            <w:right w:val="none" w:sz="0" w:space="0" w:color="auto"/>
          </w:divBdr>
        </w:div>
        <w:div w:id="1850557869">
          <w:marLeft w:val="640"/>
          <w:marRight w:val="0"/>
          <w:marTop w:val="0"/>
          <w:marBottom w:val="0"/>
          <w:divBdr>
            <w:top w:val="none" w:sz="0" w:space="0" w:color="auto"/>
            <w:left w:val="none" w:sz="0" w:space="0" w:color="auto"/>
            <w:bottom w:val="none" w:sz="0" w:space="0" w:color="auto"/>
            <w:right w:val="none" w:sz="0" w:space="0" w:color="auto"/>
          </w:divBdr>
        </w:div>
        <w:div w:id="1800487797">
          <w:marLeft w:val="640"/>
          <w:marRight w:val="0"/>
          <w:marTop w:val="0"/>
          <w:marBottom w:val="0"/>
          <w:divBdr>
            <w:top w:val="none" w:sz="0" w:space="0" w:color="auto"/>
            <w:left w:val="none" w:sz="0" w:space="0" w:color="auto"/>
            <w:bottom w:val="none" w:sz="0" w:space="0" w:color="auto"/>
            <w:right w:val="none" w:sz="0" w:space="0" w:color="auto"/>
          </w:divBdr>
        </w:div>
        <w:div w:id="1536042874">
          <w:marLeft w:val="640"/>
          <w:marRight w:val="0"/>
          <w:marTop w:val="0"/>
          <w:marBottom w:val="0"/>
          <w:divBdr>
            <w:top w:val="none" w:sz="0" w:space="0" w:color="auto"/>
            <w:left w:val="none" w:sz="0" w:space="0" w:color="auto"/>
            <w:bottom w:val="none" w:sz="0" w:space="0" w:color="auto"/>
            <w:right w:val="none" w:sz="0" w:space="0" w:color="auto"/>
          </w:divBdr>
        </w:div>
        <w:div w:id="998266837">
          <w:marLeft w:val="640"/>
          <w:marRight w:val="0"/>
          <w:marTop w:val="0"/>
          <w:marBottom w:val="0"/>
          <w:divBdr>
            <w:top w:val="none" w:sz="0" w:space="0" w:color="auto"/>
            <w:left w:val="none" w:sz="0" w:space="0" w:color="auto"/>
            <w:bottom w:val="none" w:sz="0" w:space="0" w:color="auto"/>
            <w:right w:val="none" w:sz="0" w:space="0" w:color="auto"/>
          </w:divBdr>
        </w:div>
        <w:div w:id="278419243">
          <w:marLeft w:val="640"/>
          <w:marRight w:val="0"/>
          <w:marTop w:val="0"/>
          <w:marBottom w:val="0"/>
          <w:divBdr>
            <w:top w:val="none" w:sz="0" w:space="0" w:color="auto"/>
            <w:left w:val="none" w:sz="0" w:space="0" w:color="auto"/>
            <w:bottom w:val="none" w:sz="0" w:space="0" w:color="auto"/>
            <w:right w:val="none" w:sz="0" w:space="0" w:color="auto"/>
          </w:divBdr>
        </w:div>
        <w:div w:id="1729305234">
          <w:marLeft w:val="640"/>
          <w:marRight w:val="0"/>
          <w:marTop w:val="0"/>
          <w:marBottom w:val="0"/>
          <w:divBdr>
            <w:top w:val="none" w:sz="0" w:space="0" w:color="auto"/>
            <w:left w:val="none" w:sz="0" w:space="0" w:color="auto"/>
            <w:bottom w:val="none" w:sz="0" w:space="0" w:color="auto"/>
            <w:right w:val="none" w:sz="0" w:space="0" w:color="auto"/>
          </w:divBdr>
        </w:div>
        <w:div w:id="1573352843">
          <w:marLeft w:val="640"/>
          <w:marRight w:val="0"/>
          <w:marTop w:val="0"/>
          <w:marBottom w:val="0"/>
          <w:divBdr>
            <w:top w:val="none" w:sz="0" w:space="0" w:color="auto"/>
            <w:left w:val="none" w:sz="0" w:space="0" w:color="auto"/>
            <w:bottom w:val="none" w:sz="0" w:space="0" w:color="auto"/>
            <w:right w:val="none" w:sz="0" w:space="0" w:color="auto"/>
          </w:divBdr>
        </w:div>
        <w:div w:id="1082943916">
          <w:marLeft w:val="640"/>
          <w:marRight w:val="0"/>
          <w:marTop w:val="0"/>
          <w:marBottom w:val="0"/>
          <w:divBdr>
            <w:top w:val="none" w:sz="0" w:space="0" w:color="auto"/>
            <w:left w:val="none" w:sz="0" w:space="0" w:color="auto"/>
            <w:bottom w:val="none" w:sz="0" w:space="0" w:color="auto"/>
            <w:right w:val="none" w:sz="0" w:space="0" w:color="auto"/>
          </w:divBdr>
        </w:div>
        <w:div w:id="1879319363">
          <w:marLeft w:val="640"/>
          <w:marRight w:val="0"/>
          <w:marTop w:val="0"/>
          <w:marBottom w:val="0"/>
          <w:divBdr>
            <w:top w:val="none" w:sz="0" w:space="0" w:color="auto"/>
            <w:left w:val="none" w:sz="0" w:space="0" w:color="auto"/>
            <w:bottom w:val="none" w:sz="0" w:space="0" w:color="auto"/>
            <w:right w:val="none" w:sz="0" w:space="0" w:color="auto"/>
          </w:divBdr>
        </w:div>
        <w:div w:id="1916010565">
          <w:marLeft w:val="640"/>
          <w:marRight w:val="0"/>
          <w:marTop w:val="0"/>
          <w:marBottom w:val="0"/>
          <w:divBdr>
            <w:top w:val="none" w:sz="0" w:space="0" w:color="auto"/>
            <w:left w:val="none" w:sz="0" w:space="0" w:color="auto"/>
            <w:bottom w:val="none" w:sz="0" w:space="0" w:color="auto"/>
            <w:right w:val="none" w:sz="0" w:space="0" w:color="auto"/>
          </w:divBdr>
        </w:div>
        <w:div w:id="1950624069">
          <w:marLeft w:val="640"/>
          <w:marRight w:val="0"/>
          <w:marTop w:val="0"/>
          <w:marBottom w:val="0"/>
          <w:divBdr>
            <w:top w:val="none" w:sz="0" w:space="0" w:color="auto"/>
            <w:left w:val="none" w:sz="0" w:space="0" w:color="auto"/>
            <w:bottom w:val="none" w:sz="0" w:space="0" w:color="auto"/>
            <w:right w:val="none" w:sz="0" w:space="0" w:color="auto"/>
          </w:divBdr>
        </w:div>
        <w:div w:id="573710013">
          <w:marLeft w:val="640"/>
          <w:marRight w:val="0"/>
          <w:marTop w:val="0"/>
          <w:marBottom w:val="0"/>
          <w:divBdr>
            <w:top w:val="none" w:sz="0" w:space="0" w:color="auto"/>
            <w:left w:val="none" w:sz="0" w:space="0" w:color="auto"/>
            <w:bottom w:val="none" w:sz="0" w:space="0" w:color="auto"/>
            <w:right w:val="none" w:sz="0" w:space="0" w:color="auto"/>
          </w:divBdr>
        </w:div>
        <w:div w:id="896477804">
          <w:marLeft w:val="640"/>
          <w:marRight w:val="0"/>
          <w:marTop w:val="0"/>
          <w:marBottom w:val="0"/>
          <w:divBdr>
            <w:top w:val="none" w:sz="0" w:space="0" w:color="auto"/>
            <w:left w:val="none" w:sz="0" w:space="0" w:color="auto"/>
            <w:bottom w:val="none" w:sz="0" w:space="0" w:color="auto"/>
            <w:right w:val="none" w:sz="0" w:space="0" w:color="auto"/>
          </w:divBdr>
        </w:div>
        <w:div w:id="1736275970">
          <w:marLeft w:val="640"/>
          <w:marRight w:val="0"/>
          <w:marTop w:val="0"/>
          <w:marBottom w:val="0"/>
          <w:divBdr>
            <w:top w:val="none" w:sz="0" w:space="0" w:color="auto"/>
            <w:left w:val="none" w:sz="0" w:space="0" w:color="auto"/>
            <w:bottom w:val="none" w:sz="0" w:space="0" w:color="auto"/>
            <w:right w:val="none" w:sz="0" w:space="0" w:color="auto"/>
          </w:divBdr>
        </w:div>
        <w:div w:id="1393457044">
          <w:marLeft w:val="640"/>
          <w:marRight w:val="0"/>
          <w:marTop w:val="0"/>
          <w:marBottom w:val="0"/>
          <w:divBdr>
            <w:top w:val="none" w:sz="0" w:space="0" w:color="auto"/>
            <w:left w:val="none" w:sz="0" w:space="0" w:color="auto"/>
            <w:bottom w:val="none" w:sz="0" w:space="0" w:color="auto"/>
            <w:right w:val="none" w:sz="0" w:space="0" w:color="auto"/>
          </w:divBdr>
        </w:div>
        <w:div w:id="155417062">
          <w:marLeft w:val="640"/>
          <w:marRight w:val="0"/>
          <w:marTop w:val="0"/>
          <w:marBottom w:val="0"/>
          <w:divBdr>
            <w:top w:val="none" w:sz="0" w:space="0" w:color="auto"/>
            <w:left w:val="none" w:sz="0" w:space="0" w:color="auto"/>
            <w:bottom w:val="none" w:sz="0" w:space="0" w:color="auto"/>
            <w:right w:val="none" w:sz="0" w:space="0" w:color="auto"/>
          </w:divBdr>
        </w:div>
        <w:div w:id="927811227">
          <w:marLeft w:val="640"/>
          <w:marRight w:val="0"/>
          <w:marTop w:val="0"/>
          <w:marBottom w:val="0"/>
          <w:divBdr>
            <w:top w:val="none" w:sz="0" w:space="0" w:color="auto"/>
            <w:left w:val="none" w:sz="0" w:space="0" w:color="auto"/>
            <w:bottom w:val="none" w:sz="0" w:space="0" w:color="auto"/>
            <w:right w:val="none" w:sz="0" w:space="0" w:color="auto"/>
          </w:divBdr>
        </w:div>
        <w:div w:id="793600666">
          <w:marLeft w:val="640"/>
          <w:marRight w:val="0"/>
          <w:marTop w:val="0"/>
          <w:marBottom w:val="0"/>
          <w:divBdr>
            <w:top w:val="none" w:sz="0" w:space="0" w:color="auto"/>
            <w:left w:val="none" w:sz="0" w:space="0" w:color="auto"/>
            <w:bottom w:val="none" w:sz="0" w:space="0" w:color="auto"/>
            <w:right w:val="none" w:sz="0" w:space="0" w:color="auto"/>
          </w:divBdr>
        </w:div>
        <w:div w:id="1624994799">
          <w:marLeft w:val="640"/>
          <w:marRight w:val="0"/>
          <w:marTop w:val="0"/>
          <w:marBottom w:val="0"/>
          <w:divBdr>
            <w:top w:val="none" w:sz="0" w:space="0" w:color="auto"/>
            <w:left w:val="none" w:sz="0" w:space="0" w:color="auto"/>
            <w:bottom w:val="none" w:sz="0" w:space="0" w:color="auto"/>
            <w:right w:val="none" w:sz="0" w:space="0" w:color="auto"/>
          </w:divBdr>
        </w:div>
        <w:div w:id="762141695">
          <w:marLeft w:val="640"/>
          <w:marRight w:val="0"/>
          <w:marTop w:val="0"/>
          <w:marBottom w:val="0"/>
          <w:divBdr>
            <w:top w:val="none" w:sz="0" w:space="0" w:color="auto"/>
            <w:left w:val="none" w:sz="0" w:space="0" w:color="auto"/>
            <w:bottom w:val="none" w:sz="0" w:space="0" w:color="auto"/>
            <w:right w:val="none" w:sz="0" w:space="0" w:color="auto"/>
          </w:divBdr>
        </w:div>
        <w:div w:id="462232876">
          <w:marLeft w:val="640"/>
          <w:marRight w:val="0"/>
          <w:marTop w:val="0"/>
          <w:marBottom w:val="0"/>
          <w:divBdr>
            <w:top w:val="none" w:sz="0" w:space="0" w:color="auto"/>
            <w:left w:val="none" w:sz="0" w:space="0" w:color="auto"/>
            <w:bottom w:val="none" w:sz="0" w:space="0" w:color="auto"/>
            <w:right w:val="none" w:sz="0" w:space="0" w:color="auto"/>
          </w:divBdr>
        </w:div>
        <w:div w:id="928469437">
          <w:marLeft w:val="640"/>
          <w:marRight w:val="0"/>
          <w:marTop w:val="0"/>
          <w:marBottom w:val="0"/>
          <w:divBdr>
            <w:top w:val="none" w:sz="0" w:space="0" w:color="auto"/>
            <w:left w:val="none" w:sz="0" w:space="0" w:color="auto"/>
            <w:bottom w:val="none" w:sz="0" w:space="0" w:color="auto"/>
            <w:right w:val="none" w:sz="0" w:space="0" w:color="auto"/>
          </w:divBdr>
        </w:div>
        <w:div w:id="1591546325">
          <w:marLeft w:val="640"/>
          <w:marRight w:val="0"/>
          <w:marTop w:val="0"/>
          <w:marBottom w:val="0"/>
          <w:divBdr>
            <w:top w:val="none" w:sz="0" w:space="0" w:color="auto"/>
            <w:left w:val="none" w:sz="0" w:space="0" w:color="auto"/>
            <w:bottom w:val="none" w:sz="0" w:space="0" w:color="auto"/>
            <w:right w:val="none" w:sz="0" w:space="0" w:color="auto"/>
          </w:divBdr>
        </w:div>
        <w:div w:id="1835607826">
          <w:marLeft w:val="640"/>
          <w:marRight w:val="0"/>
          <w:marTop w:val="0"/>
          <w:marBottom w:val="0"/>
          <w:divBdr>
            <w:top w:val="none" w:sz="0" w:space="0" w:color="auto"/>
            <w:left w:val="none" w:sz="0" w:space="0" w:color="auto"/>
            <w:bottom w:val="none" w:sz="0" w:space="0" w:color="auto"/>
            <w:right w:val="none" w:sz="0" w:space="0" w:color="auto"/>
          </w:divBdr>
        </w:div>
        <w:div w:id="2112122834">
          <w:marLeft w:val="640"/>
          <w:marRight w:val="0"/>
          <w:marTop w:val="0"/>
          <w:marBottom w:val="0"/>
          <w:divBdr>
            <w:top w:val="none" w:sz="0" w:space="0" w:color="auto"/>
            <w:left w:val="none" w:sz="0" w:space="0" w:color="auto"/>
            <w:bottom w:val="none" w:sz="0" w:space="0" w:color="auto"/>
            <w:right w:val="none" w:sz="0" w:space="0" w:color="auto"/>
          </w:divBdr>
        </w:div>
        <w:div w:id="873538004">
          <w:marLeft w:val="640"/>
          <w:marRight w:val="0"/>
          <w:marTop w:val="0"/>
          <w:marBottom w:val="0"/>
          <w:divBdr>
            <w:top w:val="none" w:sz="0" w:space="0" w:color="auto"/>
            <w:left w:val="none" w:sz="0" w:space="0" w:color="auto"/>
            <w:bottom w:val="none" w:sz="0" w:space="0" w:color="auto"/>
            <w:right w:val="none" w:sz="0" w:space="0" w:color="auto"/>
          </w:divBdr>
        </w:div>
        <w:div w:id="543369432">
          <w:marLeft w:val="640"/>
          <w:marRight w:val="0"/>
          <w:marTop w:val="0"/>
          <w:marBottom w:val="0"/>
          <w:divBdr>
            <w:top w:val="none" w:sz="0" w:space="0" w:color="auto"/>
            <w:left w:val="none" w:sz="0" w:space="0" w:color="auto"/>
            <w:bottom w:val="none" w:sz="0" w:space="0" w:color="auto"/>
            <w:right w:val="none" w:sz="0" w:space="0" w:color="auto"/>
          </w:divBdr>
        </w:div>
        <w:div w:id="347223588">
          <w:marLeft w:val="640"/>
          <w:marRight w:val="0"/>
          <w:marTop w:val="0"/>
          <w:marBottom w:val="0"/>
          <w:divBdr>
            <w:top w:val="none" w:sz="0" w:space="0" w:color="auto"/>
            <w:left w:val="none" w:sz="0" w:space="0" w:color="auto"/>
            <w:bottom w:val="none" w:sz="0" w:space="0" w:color="auto"/>
            <w:right w:val="none" w:sz="0" w:space="0" w:color="auto"/>
          </w:divBdr>
        </w:div>
        <w:div w:id="1674994818">
          <w:marLeft w:val="640"/>
          <w:marRight w:val="0"/>
          <w:marTop w:val="0"/>
          <w:marBottom w:val="0"/>
          <w:divBdr>
            <w:top w:val="none" w:sz="0" w:space="0" w:color="auto"/>
            <w:left w:val="none" w:sz="0" w:space="0" w:color="auto"/>
            <w:bottom w:val="none" w:sz="0" w:space="0" w:color="auto"/>
            <w:right w:val="none" w:sz="0" w:space="0" w:color="auto"/>
          </w:divBdr>
        </w:div>
        <w:div w:id="1806388737">
          <w:marLeft w:val="640"/>
          <w:marRight w:val="0"/>
          <w:marTop w:val="0"/>
          <w:marBottom w:val="0"/>
          <w:divBdr>
            <w:top w:val="none" w:sz="0" w:space="0" w:color="auto"/>
            <w:left w:val="none" w:sz="0" w:space="0" w:color="auto"/>
            <w:bottom w:val="none" w:sz="0" w:space="0" w:color="auto"/>
            <w:right w:val="none" w:sz="0" w:space="0" w:color="auto"/>
          </w:divBdr>
        </w:div>
        <w:div w:id="707754816">
          <w:marLeft w:val="640"/>
          <w:marRight w:val="0"/>
          <w:marTop w:val="0"/>
          <w:marBottom w:val="0"/>
          <w:divBdr>
            <w:top w:val="none" w:sz="0" w:space="0" w:color="auto"/>
            <w:left w:val="none" w:sz="0" w:space="0" w:color="auto"/>
            <w:bottom w:val="none" w:sz="0" w:space="0" w:color="auto"/>
            <w:right w:val="none" w:sz="0" w:space="0" w:color="auto"/>
          </w:divBdr>
        </w:div>
        <w:div w:id="918055511">
          <w:marLeft w:val="640"/>
          <w:marRight w:val="0"/>
          <w:marTop w:val="0"/>
          <w:marBottom w:val="0"/>
          <w:divBdr>
            <w:top w:val="none" w:sz="0" w:space="0" w:color="auto"/>
            <w:left w:val="none" w:sz="0" w:space="0" w:color="auto"/>
            <w:bottom w:val="none" w:sz="0" w:space="0" w:color="auto"/>
            <w:right w:val="none" w:sz="0" w:space="0" w:color="auto"/>
          </w:divBdr>
        </w:div>
        <w:div w:id="1914851170">
          <w:marLeft w:val="640"/>
          <w:marRight w:val="0"/>
          <w:marTop w:val="0"/>
          <w:marBottom w:val="0"/>
          <w:divBdr>
            <w:top w:val="none" w:sz="0" w:space="0" w:color="auto"/>
            <w:left w:val="none" w:sz="0" w:space="0" w:color="auto"/>
            <w:bottom w:val="none" w:sz="0" w:space="0" w:color="auto"/>
            <w:right w:val="none" w:sz="0" w:space="0" w:color="auto"/>
          </w:divBdr>
        </w:div>
        <w:div w:id="1177430055">
          <w:marLeft w:val="640"/>
          <w:marRight w:val="0"/>
          <w:marTop w:val="0"/>
          <w:marBottom w:val="0"/>
          <w:divBdr>
            <w:top w:val="none" w:sz="0" w:space="0" w:color="auto"/>
            <w:left w:val="none" w:sz="0" w:space="0" w:color="auto"/>
            <w:bottom w:val="none" w:sz="0" w:space="0" w:color="auto"/>
            <w:right w:val="none" w:sz="0" w:space="0" w:color="auto"/>
          </w:divBdr>
        </w:div>
        <w:div w:id="2099515743">
          <w:marLeft w:val="640"/>
          <w:marRight w:val="0"/>
          <w:marTop w:val="0"/>
          <w:marBottom w:val="0"/>
          <w:divBdr>
            <w:top w:val="none" w:sz="0" w:space="0" w:color="auto"/>
            <w:left w:val="none" w:sz="0" w:space="0" w:color="auto"/>
            <w:bottom w:val="none" w:sz="0" w:space="0" w:color="auto"/>
            <w:right w:val="none" w:sz="0" w:space="0" w:color="auto"/>
          </w:divBdr>
        </w:div>
        <w:div w:id="715277283">
          <w:marLeft w:val="640"/>
          <w:marRight w:val="0"/>
          <w:marTop w:val="0"/>
          <w:marBottom w:val="0"/>
          <w:divBdr>
            <w:top w:val="none" w:sz="0" w:space="0" w:color="auto"/>
            <w:left w:val="none" w:sz="0" w:space="0" w:color="auto"/>
            <w:bottom w:val="none" w:sz="0" w:space="0" w:color="auto"/>
            <w:right w:val="none" w:sz="0" w:space="0" w:color="auto"/>
          </w:divBdr>
        </w:div>
        <w:div w:id="283080532">
          <w:marLeft w:val="640"/>
          <w:marRight w:val="0"/>
          <w:marTop w:val="0"/>
          <w:marBottom w:val="0"/>
          <w:divBdr>
            <w:top w:val="none" w:sz="0" w:space="0" w:color="auto"/>
            <w:left w:val="none" w:sz="0" w:space="0" w:color="auto"/>
            <w:bottom w:val="none" w:sz="0" w:space="0" w:color="auto"/>
            <w:right w:val="none" w:sz="0" w:space="0" w:color="auto"/>
          </w:divBdr>
        </w:div>
        <w:div w:id="473184152">
          <w:marLeft w:val="640"/>
          <w:marRight w:val="0"/>
          <w:marTop w:val="0"/>
          <w:marBottom w:val="0"/>
          <w:divBdr>
            <w:top w:val="none" w:sz="0" w:space="0" w:color="auto"/>
            <w:left w:val="none" w:sz="0" w:space="0" w:color="auto"/>
            <w:bottom w:val="none" w:sz="0" w:space="0" w:color="auto"/>
            <w:right w:val="none" w:sz="0" w:space="0" w:color="auto"/>
          </w:divBdr>
        </w:div>
        <w:div w:id="190996300">
          <w:marLeft w:val="640"/>
          <w:marRight w:val="0"/>
          <w:marTop w:val="0"/>
          <w:marBottom w:val="0"/>
          <w:divBdr>
            <w:top w:val="none" w:sz="0" w:space="0" w:color="auto"/>
            <w:left w:val="none" w:sz="0" w:space="0" w:color="auto"/>
            <w:bottom w:val="none" w:sz="0" w:space="0" w:color="auto"/>
            <w:right w:val="none" w:sz="0" w:space="0" w:color="auto"/>
          </w:divBdr>
        </w:div>
        <w:div w:id="1758018909">
          <w:marLeft w:val="640"/>
          <w:marRight w:val="0"/>
          <w:marTop w:val="0"/>
          <w:marBottom w:val="0"/>
          <w:divBdr>
            <w:top w:val="none" w:sz="0" w:space="0" w:color="auto"/>
            <w:left w:val="none" w:sz="0" w:space="0" w:color="auto"/>
            <w:bottom w:val="none" w:sz="0" w:space="0" w:color="auto"/>
            <w:right w:val="none" w:sz="0" w:space="0" w:color="auto"/>
          </w:divBdr>
        </w:div>
        <w:div w:id="858927924">
          <w:marLeft w:val="640"/>
          <w:marRight w:val="0"/>
          <w:marTop w:val="0"/>
          <w:marBottom w:val="0"/>
          <w:divBdr>
            <w:top w:val="none" w:sz="0" w:space="0" w:color="auto"/>
            <w:left w:val="none" w:sz="0" w:space="0" w:color="auto"/>
            <w:bottom w:val="none" w:sz="0" w:space="0" w:color="auto"/>
            <w:right w:val="none" w:sz="0" w:space="0" w:color="auto"/>
          </w:divBdr>
        </w:div>
        <w:div w:id="1013843842">
          <w:marLeft w:val="640"/>
          <w:marRight w:val="0"/>
          <w:marTop w:val="0"/>
          <w:marBottom w:val="0"/>
          <w:divBdr>
            <w:top w:val="none" w:sz="0" w:space="0" w:color="auto"/>
            <w:left w:val="none" w:sz="0" w:space="0" w:color="auto"/>
            <w:bottom w:val="none" w:sz="0" w:space="0" w:color="auto"/>
            <w:right w:val="none" w:sz="0" w:space="0" w:color="auto"/>
          </w:divBdr>
        </w:div>
        <w:div w:id="642584793">
          <w:marLeft w:val="640"/>
          <w:marRight w:val="0"/>
          <w:marTop w:val="0"/>
          <w:marBottom w:val="0"/>
          <w:divBdr>
            <w:top w:val="none" w:sz="0" w:space="0" w:color="auto"/>
            <w:left w:val="none" w:sz="0" w:space="0" w:color="auto"/>
            <w:bottom w:val="none" w:sz="0" w:space="0" w:color="auto"/>
            <w:right w:val="none" w:sz="0" w:space="0" w:color="auto"/>
          </w:divBdr>
        </w:div>
        <w:div w:id="1561592379">
          <w:marLeft w:val="640"/>
          <w:marRight w:val="0"/>
          <w:marTop w:val="0"/>
          <w:marBottom w:val="0"/>
          <w:divBdr>
            <w:top w:val="none" w:sz="0" w:space="0" w:color="auto"/>
            <w:left w:val="none" w:sz="0" w:space="0" w:color="auto"/>
            <w:bottom w:val="none" w:sz="0" w:space="0" w:color="auto"/>
            <w:right w:val="none" w:sz="0" w:space="0" w:color="auto"/>
          </w:divBdr>
        </w:div>
        <w:div w:id="1927180629">
          <w:marLeft w:val="640"/>
          <w:marRight w:val="0"/>
          <w:marTop w:val="0"/>
          <w:marBottom w:val="0"/>
          <w:divBdr>
            <w:top w:val="none" w:sz="0" w:space="0" w:color="auto"/>
            <w:left w:val="none" w:sz="0" w:space="0" w:color="auto"/>
            <w:bottom w:val="none" w:sz="0" w:space="0" w:color="auto"/>
            <w:right w:val="none" w:sz="0" w:space="0" w:color="auto"/>
          </w:divBdr>
        </w:div>
        <w:div w:id="1952197970">
          <w:marLeft w:val="640"/>
          <w:marRight w:val="0"/>
          <w:marTop w:val="0"/>
          <w:marBottom w:val="0"/>
          <w:divBdr>
            <w:top w:val="none" w:sz="0" w:space="0" w:color="auto"/>
            <w:left w:val="none" w:sz="0" w:space="0" w:color="auto"/>
            <w:bottom w:val="none" w:sz="0" w:space="0" w:color="auto"/>
            <w:right w:val="none" w:sz="0" w:space="0" w:color="auto"/>
          </w:divBdr>
        </w:div>
        <w:div w:id="1557660870">
          <w:marLeft w:val="640"/>
          <w:marRight w:val="0"/>
          <w:marTop w:val="0"/>
          <w:marBottom w:val="0"/>
          <w:divBdr>
            <w:top w:val="none" w:sz="0" w:space="0" w:color="auto"/>
            <w:left w:val="none" w:sz="0" w:space="0" w:color="auto"/>
            <w:bottom w:val="none" w:sz="0" w:space="0" w:color="auto"/>
            <w:right w:val="none" w:sz="0" w:space="0" w:color="auto"/>
          </w:divBdr>
        </w:div>
        <w:div w:id="573929535">
          <w:marLeft w:val="640"/>
          <w:marRight w:val="0"/>
          <w:marTop w:val="0"/>
          <w:marBottom w:val="0"/>
          <w:divBdr>
            <w:top w:val="none" w:sz="0" w:space="0" w:color="auto"/>
            <w:left w:val="none" w:sz="0" w:space="0" w:color="auto"/>
            <w:bottom w:val="none" w:sz="0" w:space="0" w:color="auto"/>
            <w:right w:val="none" w:sz="0" w:space="0" w:color="auto"/>
          </w:divBdr>
        </w:div>
        <w:div w:id="1121000847">
          <w:marLeft w:val="640"/>
          <w:marRight w:val="0"/>
          <w:marTop w:val="0"/>
          <w:marBottom w:val="0"/>
          <w:divBdr>
            <w:top w:val="none" w:sz="0" w:space="0" w:color="auto"/>
            <w:left w:val="none" w:sz="0" w:space="0" w:color="auto"/>
            <w:bottom w:val="none" w:sz="0" w:space="0" w:color="auto"/>
            <w:right w:val="none" w:sz="0" w:space="0" w:color="auto"/>
          </w:divBdr>
        </w:div>
        <w:div w:id="811020884">
          <w:marLeft w:val="640"/>
          <w:marRight w:val="0"/>
          <w:marTop w:val="0"/>
          <w:marBottom w:val="0"/>
          <w:divBdr>
            <w:top w:val="none" w:sz="0" w:space="0" w:color="auto"/>
            <w:left w:val="none" w:sz="0" w:space="0" w:color="auto"/>
            <w:bottom w:val="none" w:sz="0" w:space="0" w:color="auto"/>
            <w:right w:val="none" w:sz="0" w:space="0" w:color="auto"/>
          </w:divBdr>
        </w:div>
        <w:div w:id="81532808">
          <w:marLeft w:val="640"/>
          <w:marRight w:val="0"/>
          <w:marTop w:val="0"/>
          <w:marBottom w:val="0"/>
          <w:divBdr>
            <w:top w:val="none" w:sz="0" w:space="0" w:color="auto"/>
            <w:left w:val="none" w:sz="0" w:space="0" w:color="auto"/>
            <w:bottom w:val="none" w:sz="0" w:space="0" w:color="auto"/>
            <w:right w:val="none" w:sz="0" w:space="0" w:color="auto"/>
          </w:divBdr>
        </w:div>
        <w:div w:id="477386155">
          <w:marLeft w:val="640"/>
          <w:marRight w:val="0"/>
          <w:marTop w:val="0"/>
          <w:marBottom w:val="0"/>
          <w:divBdr>
            <w:top w:val="none" w:sz="0" w:space="0" w:color="auto"/>
            <w:left w:val="none" w:sz="0" w:space="0" w:color="auto"/>
            <w:bottom w:val="none" w:sz="0" w:space="0" w:color="auto"/>
            <w:right w:val="none" w:sz="0" w:space="0" w:color="auto"/>
          </w:divBdr>
        </w:div>
        <w:div w:id="147670667">
          <w:marLeft w:val="640"/>
          <w:marRight w:val="0"/>
          <w:marTop w:val="0"/>
          <w:marBottom w:val="0"/>
          <w:divBdr>
            <w:top w:val="none" w:sz="0" w:space="0" w:color="auto"/>
            <w:left w:val="none" w:sz="0" w:space="0" w:color="auto"/>
            <w:bottom w:val="none" w:sz="0" w:space="0" w:color="auto"/>
            <w:right w:val="none" w:sz="0" w:space="0" w:color="auto"/>
          </w:divBdr>
        </w:div>
        <w:div w:id="623579210">
          <w:marLeft w:val="640"/>
          <w:marRight w:val="0"/>
          <w:marTop w:val="0"/>
          <w:marBottom w:val="0"/>
          <w:divBdr>
            <w:top w:val="none" w:sz="0" w:space="0" w:color="auto"/>
            <w:left w:val="none" w:sz="0" w:space="0" w:color="auto"/>
            <w:bottom w:val="none" w:sz="0" w:space="0" w:color="auto"/>
            <w:right w:val="none" w:sz="0" w:space="0" w:color="auto"/>
          </w:divBdr>
        </w:div>
        <w:div w:id="546767808">
          <w:marLeft w:val="640"/>
          <w:marRight w:val="0"/>
          <w:marTop w:val="0"/>
          <w:marBottom w:val="0"/>
          <w:divBdr>
            <w:top w:val="none" w:sz="0" w:space="0" w:color="auto"/>
            <w:left w:val="none" w:sz="0" w:space="0" w:color="auto"/>
            <w:bottom w:val="none" w:sz="0" w:space="0" w:color="auto"/>
            <w:right w:val="none" w:sz="0" w:space="0" w:color="auto"/>
          </w:divBdr>
        </w:div>
      </w:divsChild>
    </w:div>
    <w:div w:id="1583493345">
      <w:bodyDiv w:val="1"/>
      <w:marLeft w:val="0"/>
      <w:marRight w:val="0"/>
      <w:marTop w:val="0"/>
      <w:marBottom w:val="0"/>
      <w:divBdr>
        <w:top w:val="none" w:sz="0" w:space="0" w:color="auto"/>
        <w:left w:val="none" w:sz="0" w:space="0" w:color="auto"/>
        <w:bottom w:val="none" w:sz="0" w:space="0" w:color="auto"/>
        <w:right w:val="none" w:sz="0" w:space="0" w:color="auto"/>
      </w:divBdr>
      <w:divsChild>
        <w:div w:id="1310286453">
          <w:marLeft w:val="640"/>
          <w:marRight w:val="0"/>
          <w:marTop w:val="0"/>
          <w:marBottom w:val="0"/>
          <w:divBdr>
            <w:top w:val="none" w:sz="0" w:space="0" w:color="auto"/>
            <w:left w:val="none" w:sz="0" w:space="0" w:color="auto"/>
            <w:bottom w:val="none" w:sz="0" w:space="0" w:color="auto"/>
            <w:right w:val="none" w:sz="0" w:space="0" w:color="auto"/>
          </w:divBdr>
        </w:div>
        <w:div w:id="724529351">
          <w:marLeft w:val="640"/>
          <w:marRight w:val="0"/>
          <w:marTop w:val="0"/>
          <w:marBottom w:val="0"/>
          <w:divBdr>
            <w:top w:val="none" w:sz="0" w:space="0" w:color="auto"/>
            <w:left w:val="none" w:sz="0" w:space="0" w:color="auto"/>
            <w:bottom w:val="none" w:sz="0" w:space="0" w:color="auto"/>
            <w:right w:val="none" w:sz="0" w:space="0" w:color="auto"/>
          </w:divBdr>
        </w:div>
        <w:div w:id="419525566">
          <w:marLeft w:val="640"/>
          <w:marRight w:val="0"/>
          <w:marTop w:val="0"/>
          <w:marBottom w:val="0"/>
          <w:divBdr>
            <w:top w:val="none" w:sz="0" w:space="0" w:color="auto"/>
            <w:left w:val="none" w:sz="0" w:space="0" w:color="auto"/>
            <w:bottom w:val="none" w:sz="0" w:space="0" w:color="auto"/>
            <w:right w:val="none" w:sz="0" w:space="0" w:color="auto"/>
          </w:divBdr>
        </w:div>
        <w:div w:id="1624648438">
          <w:marLeft w:val="640"/>
          <w:marRight w:val="0"/>
          <w:marTop w:val="0"/>
          <w:marBottom w:val="0"/>
          <w:divBdr>
            <w:top w:val="none" w:sz="0" w:space="0" w:color="auto"/>
            <w:left w:val="none" w:sz="0" w:space="0" w:color="auto"/>
            <w:bottom w:val="none" w:sz="0" w:space="0" w:color="auto"/>
            <w:right w:val="none" w:sz="0" w:space="0" w:color="auto"/>
          </w:divBdr>
        </w:div>
        <w:div w:id="1837840615">
          <w:marLeft w:val="640"/>
          <w:marRight w:val="0"/>
          <w:marTop w:val="0"/>
          <w:marBottom w:val="0"/>
          <w:divBdr>
            <w:top w:val="none" w:sz="0" w:space="0" w:color="auto"/>
            <w:left w:val="none" w:sz="0" w:space="0" w:color="auto"/>
            <w:bottom w:val="none" w:sz="0" w:space="0" w:color="auto"/>
            <w:right w:val="none" w:sz="0" w:space="0" w:color="auto"/>
          </w:divBdr>
        </w:div>
        <w:div w:id="1439177381">
          <w:marLeft w:val="640"/>
          <w:marRight w:val="0"/>
          <w:marTop w:val="0"/>
          <w:marBottom w:val="0"/>
          <w:divBdr>
            <w:top w:val="none" w:sz="0" w:space="0" w:color="auto"/>
            <w:left w:val="none" w:sz="0" w:space="0" w:color="auto"/>
            <w:bottom w:val="none" w:sz="0" w:space="0" w:color="auto"/>
            <w:right w:val="none" w:sz="0" w:space="0" w:color="auto"/>
          </w:divBdr>
        </w:div>
        <w:div w:id="532377312">
          <w:marLeft w:val="640"/>
          <w:marRight w:val="0"/>
          <w:marTop w:val="0"/>
          <w:marBottom w:val="0"/>
          <w:divBdr>
            <w:top w:val="none" w:sz="0" w:space="0" w:color="auto"/>
            <w:left w:val="none" w:sz="0" w:space="0" w:color="auto"/>
            <w:bottom w:val="none" w:sz="0" w:space="0" w:color="auto"/>
            <w:right w:val="none" w:sz="0" w:space="0" w:color="auto"/>
          </w:divBdr>
        </w:div>
        <w:div w:id="1210846719">
          <w:marLeft w:val="640"/>
          <w:marRight w:val="0"/>
          <w:marTop w:val="0"/>
          <w:marBottom w:val="0"/>
          <w:divBdr>
            <w:top w:val="none" w:sz="0" w:space="0" w:color="auto"/>
            <w:left w:val="none" w:sz="0" w:space="0" w:color="auto"/>
            <w:bottom w:val="none" w:sz="0" w:space="0" w:color="auto"/>
            <w:right w:val="none" w:sz="0" w:space="0" w:color="auto"/>
          </w:divBdr>
        </w:div>
        <w:div w:id="1186211869">
          <w:marLeft w:val="640"/>
          <w:marRight w:val="0"/>
          <w:marTop w:val="0"/>
          <w:marBottom w:val="0"/>
          <w:divBdr>
            <w:top w:val="none" w:sz="0" w:space="0" w:color="auto"/>
            <w:left w:val="none" w:sz="0" w:space="0" w:color="auto"/>
            <w:bottom w:val="none" w:sz="0" w:space="0" w:color="auto"/>
            <w:right w:val="none" w:sz="0" w:space="0" w:color="auto"/>
          </w:divBdr>
        </w:div>
        <w:div w:id="597370730">
          <w:marLeft w:val="640"/>
          <w:marRight w:val="0"/>
          <w:marTop w:val="0"/>
          <w:marBottom w:val="0"/>
          <w:divBdr>
            <w:top w:val="none" w:sz="0" w:space="0" w:color="auto"/>
            <w:left w:val="none" w:sz="0" w:space="0" w:color="auto"/>
            <w:bottom w:val="none" w:sz="0" w:space="0" w:color="auto"/>
            <w:right w:val="none" w:sz="0" w:space="0" w:color="auto"/>
          </w:divBdr>
        </w:div>
        <w:div w:id="1249538336">
          <w:marLeft w:val="640"/>
          <w:marRight w:val="0"/>
          <w:marTop w:val="0"/>
          <w:marBottom w:val="0"/>
          <w:divBdr>
            <w:top w:val="none" w:sz="0" w:space="0" w:color="auto"/>
            <w:left w:val="none" w:sz="0" w:space="0" w:color="auto"/>
            <w:bottom w:val="none" w:sz="0" w:space="0" w:color="auto"/>
            <w:right w:val="none" w:sz="0" w:space="0" w:color="auto"/>
          </w:divBdr>
        </w:div>
        <w:div w:id="1992520990">
          <w:marLeft w:val="640"/>
          <w:marRight w:val="0"/>
          <w:marTop w:val="0"/>
          <w:marBottom w:val="0"/>
          <w:divBdr>
            <w:top w:val="none" w:sz="0" w:space="0" w:color="auto"/>
            <w:left w:val="none" w:sz="0" w:space="0" w:color="auto"/>
            <w:bottom w:val="none" w:sz="0" w:space="0" w:color="auto"/>
            <w:right w:val="none" w:sz="0" w:space="0" w:color="auto"/>
          </w:divBdr>
        </w:div>
        <w:div w:id="1725524385">
          <w:marLeft w:val="640"/>
          <w:marRight w:val="0"/>
          <w:marTop w:val="0"/>
          <w:marBottom w:val="0"/>
          <w:divBdr>
            <w:top w:val="none" w:sz="0" w:space="0" w:color="auto"/>
            <w:left w:val="none" w:sz="0" w:space="0" w:color="auto"/>
            <w:bottom w:val="none" w:sz="0" w:space="0" w:color="auto"/>
            <w:right w:val="none" w:sz="0" w:space="0" w:color="auto"/>
          </w:divBdr>
        </w:div>
        <w:div w:id="167258630">
          <w:marLeft w:val="640"/>
          <w:marRight w:val="0"/>
          <w:marTop w:val="0"/>
          <w:marBottom w:val="0"/>
          <w:divBdr>
            <w:top w:val="none" w:sz="0" w:space="0" w:color="auto"/>
            <w:left w:val="none" w:sz="0" w:space="0" w:color="auto"/>
            <w:bottom w:val="none" w:sz="0" w:space="0" w:color="auto"/>
            <w:right w:val="none" w:sz="0" w:space="0" w:color="auto"/>
          </w:divBdr>
        </w:div>
        <w:div w:id="771779727">
          <w:marLeft w:val="640"/>
          <w:marRight w:val="0"/>
          <w:marTop w:val="0"/>
          <w:marBottom w:val="0"/>
          <w:divBdr>
            <w:top w:val="none" w:sz="0" w:space="0" w:color="auto"/>
            <w:left w:val="none" w:sz="0" w:space="0" w:color="auto"/>
            <w:bottom w:val="none" w:sz="0" w:space="0" w:color="auto"/>
            <w:right w:val="none" w:sz="0" w:space="0" w:color="auto"/>
          </w:divBdr>
        </w:div>
        <w:div w:id="1627849261">
          <w:marLeft w:val="640"/>
          <w:marRight w:val="0"/>
          <w:marTop w:val="0"/>
          <w:marBottom w:val="0"/>
          <w:divBdr>
            <w:top w:val="none" w:sz="0" w:space="0" w:color="auto"/>
            <w:left w:val="none" w:sz="0" w:space="0" w:color="auto"/>
            <w:bottom w:val="none" w:sz="0" w:space="0" w:color="auto"/>
            <w:right w:val="none" w:sz="0" w:space="0" w:color="auto"/>
          </w:divBdr>
        </w:div>
        <w:div w:id="1920166052">
          <w:marLeft w:val="640"/>
          <w:marRight w:val="0"/>
          <w:marTop w:val="0"/>
          <w:marBottom w:val="0"/>
          <w:divBdr>
            <w:top w:val="none" w:sz="0" w:space="0" w:color="auto"/>
            <w:left w:val="none" w:sz="0" w:space="0" w:color="auto"/>
            <w:bottom w:val="none" w:sz="0" w:space="0" w:color="auto"/>
            <w:right w:val="none" w:sz="0" w:space="0" w:color="auto"/>
          </w:divBdr>
        </w:div>
        <w:div w:id="1906992928">
          <w:marLeft w:val="640"/>
          <w:marRight w:val="0"/>
          <w:marTop w:val="0"/>
          <w:marBottom w:val="0"/>
          <w:divBdr>
            <w:top w:val="none" w:sz="0" w:space="0" w:color="auto"/>
            <w:left w:val="none" w:sz="0" w:space="0" w:color="auto"/>
            <w:bottom w:val="none" w:sz="0" w:space="0" w:color="auto"/>
            <w:right w:val="none" w:sz="0" w:space="0" w:color="auto"/>
          </w:divBdr>
        </w:div>
        <w:div w:id="617375741">
          <w:marLeft w:val="640"/>
          <w:marRight w:val="0"/>
          <w:marTop w:val="0"/>
          <w:marBottom w:val="0"/>
          <w:divBdr>
            <w:top w:val="none" w:sz="0" w:space="0" w:color="auto"/>
            <w:left w:val="none" w:sz="0" w:space="0" w:color="auto"/>
            <w:bottom w:val="none" w:sz="0" w:space="0" w:color="auto"/>
            <w:right w:val="none" w:sz="0" w:space="0" w:color="auto"/>
          </w:divBdr>
        </w:div>
        <w:div w:id="205794908">
          <w:marLeft w:val="640"/>
          <w:marRight w:val="0"/>
          <w:marTop w:val="0"/>
          <w:marBottom w:val="0"/>
          <w:divBdr>
            <w:top w:val="none" w:sz="0" w:space="0" w:color="auto"/>
            <w:left w:val="none" w:sz="0" w:space="0" w:color="auto"/>
            <w:bottom w:val="none" w:sz="0" w:space="0" w:color="auto"/>
            <w:right w:val="none" w:sz="0" w:space="0" w:color="auto"/>
          </w:divBdr>
        </w:div>
        <w:div w:id="1530028118">
          <w:marLeft w:val="640"/>
          <w:marRight w:val="0"/>
          <w:marTop w:val="0"/>
          <w:marBottom w:val="0"/>
          <w:divBdr>
            <w:top w:val="none" w:sz="0" w:space="0" w:color="auto"/>
            <w:left w:val="none" w:sz="0" w:space="0" w:color="auto"/>
            <w:bottom w:val="none" w:sz="0" w:space="0" w:color="auto"/>
            <w:right w:val="none" w:sz="0" w:space="0" w:color="auto"/>
          </w:divBdr>
        </w:div>
        <w:div w:id="1728801166">
          <w:marLeft w:val="640"/>
          <w:marRight w:val="0"/>
          <w:marTop w:val="0"/>
          <w:marBottom w:val="0"/>
          <w:divBdr>
            <w:top w:val="none" w:sz="0" w:space="0" w:color="auto"/>
            <w:left w:val="none" w:sz="0" w:space="0" w:color="auto"/>
            <w:bottom w:val="none" w:sz="0" w:space="0" w:color="auto"/>
            <w:right w:val="none" w:sz="0" w:space="0" w:color="auto"/>
          </w:divBdr>
        </w:div>
        <w:div w:id="805318844">
          <w:marLeft w:val="640"/>
          <w:marRight w:val="0"/>
          <w:marTop w:val="0"/>
          <w:marBottom w:val="0"/>
          <w:divBdr>
            <w:top w:val="none" w:sz="0" w:space="0" w:color="auto"/>
            <w:left w:val="none" w:sz="0" w:space="0" w:color="auto"/>
            <w:bottom w:val="none" w:sz="0" w:space="0" w:color="auto"/>
            <w:right w:val="none" w:sz="0" w:space="0" w:color="auto"/>
          </w:divBdr>
        </w:div>
        <w:div w:id="492569256">
          <w:marLeft w:val="640"/>
          <w:marRight w:val="0"/>
          <w:marTop w:val="0"/>
          <w:marBottom w:val="0"/>
          <w:divBdr>
            <w:top w:val="none" w:sz="0" w:space="0" w:color="auto"/>
            <w:left w:val="none" w:sz="0" w:space="0" w:color="auto"/>
            <w:bottom w:val="none" w:sz="0" w:space="0" w:color="auto"/>
            <w:right w:val="none" w:sz="0" w:space="0" w:color="auto"/>
          </w:divBdr>
        </w:div>
        <w:div w:id="651326620">
          <w:marLeft w:val="640"/>
          <w:marRight w:val="0"/>
          <w:marTop w:val="0"/>
          <w:marBottom w:val="0"/>
          <w:divBdr>
            <w:top w:val="none" w:sz="0" w:space="0" w:color="auto"/>
            <w:left w:val="none" w:sz="0" w:space="0" w:color="auto"/>
            <w:bottom w:val="none" w:sz="0" w:space="0" w:color="auto"/>
            <w:right w:val="none" w:sz="0" w:space="0" w:color="auto"/>
          </w:divBdr>
        </w:div>
        <w:div w:id="1702052987">
          <w:marLeft w:val="640"/>
          <w:marRight w:val="0"/>
          <w:marTop w:val="0"/>
          <w:marBottom w:val="0"/>
          <w:divBdr>
            <w:top w:val="none" w:sz="0" w:space="0" w:color="auto"/>
            <w:left w:val="none" w:sz="0" w:space="0" w:color="auto"/>
            <w:bottom w:val="none" w:sz="0" w:space="0" w:color="auto"/>
            <w:right w:val="none" w:sz="0" w:space="0" w:color="auto"/>
          </w:divBdr>
        </w:div>
        <w:div w:id="2110542348">
          <w:marLeft w:val="640"/>
          <w:marRight w:val="0"/>
          <w:marTop w:val="0"/>
          <w:marBottom w:val="0"/>
          <w:divBdr>
            <w:top w:val="none" w:sz="0" w:space="0" w:color="auto"/>
            <w:left w:val="none" w:sz="0" w:space="0" w:color="auto"/>
            <w:bottom w:val="none" w:sz="0" w:space="0" w:color="auto"/>
            <w:right w:val="none" w:sz="0" w:space="0" w:color="auto"/>
          </w:divBdr>
        </w:div>
        <w:div w:id="67463332">
          <w:marLeft w:val="640"/>
          <w:marRight w:val="0"/>
          <w:marTop w:val="0"/>
          <w:marBottom w:val="0"/>
          <w:divBdr>
            <w:top w:val="none" w:sz="0" w:space="0" w:color="auto"/>
            <w:left w:val="none" w:sz="0" w:space="0" w:color="auto"/>
            <w:bottom w:val="none" w:sz="0" w:space="0" w:color="auto"/>
            <w:right w:val="none" w:sz="0" w:space="0" w:color="auto"/>
          </w:divBdr>
        </w:div>
        <w:div w:id="1678072729">
          <w:marLeft w:val="640"/>
          <w:marRight w:val="0"/>
          <w:marTop w:val="0"/>
          <w:marBottom w:val="0"/>
          <w:divBdr>
            <w:top w:val="none" w:sz="0" w:space="0" w:color="auto"/>
            <w:left w:val="none" w:sz="0" w:space="0" w:color="auto"/>
            <w:bottom w:val="none" w:sz="0" w:space="0" w:color="auto"/>
            <w:right w:val="none" w:sz="0" w:space="0" w:color="auto"/>
          </w:divBdr>
        </w:div>
        <w:div w:id="1611626248">
          <w:marLeft w:val="640"/>
          <w:marRight w:val="0"/>
          <w:marTop w:val="0"/>
          <w:marBottom w:val="0"/>
          <w:divBdr>
            <w:top w:val="none" w:sz="0" w:space="0" w:color="auto"/>
            <w:left w:val="none" w:sz="0" w:space="0" w:color="auto"/>
            <w:bottom w:val="none" w:sz="0" w:space="0" w:color="auto"/>
            <w:right w:val="none" w:sz="0" w:space="0" w:color="auto"/>
          </w:divBdr>
        </w:div>
        <w:div w:id="1515454792">
          <w:marLeft w:val="640"/>
          <w:marRight w:val="0"/>
          <w:marTop w:val="0"/>
          <w:marBottom w:val="0"/>
          <w:divBdr>
            <w:top w:val="none" w:sz="0" w:space="0" w:color="auto"/>
            <w:left w:val="none" w:sz="0" w:space="0" w:color="auto"/>
            <w:bottom w:val="none" w:sz="0" w:space="0" w:color="auto"/>
            <w:right w:val="none" w:sz="0" w:space="0" w:color="auto"/>
          </w:divBdr>
        </w:div>
        <w:div w:id="1726904543">
          <w:marLeft w:val="640"/>
          <w:marRight w:val="0"/>
          <w:marTop w:val="0"/>
          <w:marBottom w:val="0"/>
          <w:divBdr>
            <w:top w:val="none" w:sz="0" w:space="0" w:color="auto"/>
            <w:left w:val="none" w:sz="0" w:space="0" w:color="auto"/>
            <w:bottom w:val="none" w:sz="0" w:space="0" w:color="auto"/>
            <w:right w:val="none" w:sz="0" w:space="0" w:color="auto"/>
          </w:divBdr>
        </w:div>
        <w:div w:id="1759979196">
          <w:marLeft w:val="640"/>
          <w:marRight w:val="0"/>
          <w:marTop w:val="0"/>
          <w:marBottom w:val="0"/>
          <w:divBdr>
            <w:top w:val="none" w:sz="0" w:space="0" w:color="auto"/>
            <w:left w:val="none" w:sz="0" w:space="0" w:color="auto"/>
            <w:bottom w:val="none" w:sz="0" w:space="0" w:color="auto"/>
            <w:right w:val="none" w:sz="0" w:space="0" w:color="auto"/>
          </w:divBdr>
        </w:div>
        <w:div w:id="19624412">
          <w:marLeft w:val="640"/>
          <w:marRight w:val="0"/>
          <w:marTop w:val="0"/>
          <w:marBottom w:val="0"/>
          <w:divBdr>
            <w:top w:val="none" w:sz="0" w:space="0" w:color="auto"/>
            <w:left w:val="none" w:sz="0" w:space="0" w:color="auto"/>
            <w:bottom w:val="none" w:sz="0" w:space="0" w:color="auto"/>
            <w:right w:val="none" w:sz="0" w:space="0" w:color="auto"/>
          </w:divBdr>
        </w:div>
        <w:div w:id="2095201760">
          <w:marLeft w:val="640"/>
          <w:marRight w:val="0"/>
          <w:marTop w:val="0"/>
          <w:marBottom w:val="0"/>
          <w:divBdr>
            <w:top w:val="none" w:sz="0" w:space="0" w:color="auto"/>
            <w:left w:val="none" w:sz="0" w:space="0" w:color="auto"/>
            <w:bottom w:val="none" w:sz="0" w:space="0" w:color="auto"/>
            <w:right w:val="none" w:sz="0" w:space="0" w:color="auto"/>
          </w:divBdr>
        </w:div>
        <w:div w:id="1872835122">
          <w:marLeft w:val="640"/>
          <w:marRight w:val="0"/>
          <w:marTop w:val="0"/>
          <w:marBottom w:val="0"/>
          <w:divBdr>
            <w:top w:val="none" w:sz="0" w:space="0" w:color="auto"/>
            <w:left w:val="none" w:sz="0" w:space="0" w:color="auto"/>
            <w:bottom w:val="none" w:sz="0" w:space="0" w:color="auto"/>
            <w:right w:val="none" w:sz="0" w:space="0" w:color="auto"/>
          </w:divBdr>
        </w:div>
        <w:div w:id="1556772992">
          <w:marLeft w:val="640"/>
          <w:marRight w:val="0"/>
          <w:marTop w:val="0"/>
          <w:marBottom w:val="0"/>
          <w:divBdr>
            <w:top w:val="none" w:sz="0" w:space="0" w:color="auto"/>
            <w:left w:val="none" w:sz="0" w:space="0" w:color="auto"/>
            <w:bottom w:val="none" w:sz="0" w:space="0" w:color="auto"/>
            <w:right w:val="none" w:sz="0" w:space="0" w:color="auto"/>
          </w:divBdr>
        </w:div>
        <w:div w:id="355930845">
          <w:marLeft w:val="640"/>
          <w:marRight w:val="0"/>
          <w:marTop w:val="0"/>
          <w:marBottom w:val="0"/>
          <w:divBdr>
            <w:top w:val="none" w:sz="0" w:space="0" w:color="auto"/>
            <w:left w:val="none" w:sz="0" w:space="0" w:color="auto"/>
            <w:bottom w:val="none" w:sz="0" w:space="0" w:color="auto"/>
            <w:right w:val="none" w:sz="0" w:space="0" w:color="auto"/>
          </w:divBdr>
        </w:div>
        <w:div w:id="1018117714">
          <w:marLeft w:val="640"/>
          <w:marRight w:val="0"/>
          <w:marTop w:val="0"/>
          <w:marBottom w:val="0"/>
          <w:divBdr>
            <w:top w:val="none" w:sz="0" w:space="0" w:color="auto"/>
            <w:left w:val="none" w:sz="0" w:space="0" w:color="auto"/>
            <w:bottom w:val="none" w:sz="0" w:space="0" w:color="auto"/>
            <w:right w:val="none" w:sz="0" w:space="0" w:color="auto"/>
          </w:divBdr>
        </w:div>
        <w:div w:id="1524511739">
          <w:marLeft w:val="640"/>
          <w:marRight w:val="0"/>
          <w:marTop w:val="0"/>
          <w:marBottom w:val="0"/>
          <w:divBdr>
            <w:top w:val="none" w:sz="0" w:space="0" w:color="auto"/>
            <w:left w:val="none" w:sz="0" w:space="0" w:color="auto"/>
            <w:bottom w:val="none" w:sz="0" w:space="0" w:color="auto"/>
            <w:right w:val="none" w:sz="0" w:space="0" w:color="auto"/>
          </w:divBdr>
        </w:div>
        <w:div w:id="2013992778">
          <w:marLeft w:val="640"/>
          <w:marRight w:val="0"/>
          <w:marTop w:val="0"/>
          <w:marBottom w:val="0"/>
          <w:divBdr>
            <w:top w:val="none" w:sz="0" w:space="0" w:color="auto"/>
            <w:left w:val="none" w:sz="0" w:space="0" w:color="auto"/>
            <w:bottom w:val="none" w:sz="0" w:space="0" w:color="auto"/>
            <w:right w:val="none" w:sz="0" w:space="0" w:color="auto"/>
          </w:divBdr>
        </w:div>
        <w:div w:id="411857532">
          <w:marLeft w:val="640"/>
          <w:marRight w:val="0"/>
          <w:marTop w:val="0"/>
          <w:marBottom w:val="0"/>
          <w:divBdr>
            <w:top w:val="none" w:sz="0" w:space="0" w:color="auto"/>
            <w:left w:val="none" w:sz="0" w:space="0" w:color="auto"/>
            <w:bottom w:val="none" w:sz="0" w:space="0" w:color="auto"/>
            <w:right w:val="none" w:sz="0" w:space="0" w:color="auto"/>
          </w:divBdr>
        </w:div>
        <w:div w:id="259800575">
          <w:marLeft w:val="640"/>
          <w:marRight w:val="0"/>
          <w:marTop w:val="0"/>
          <w:marBottom w:val="0"/>
          <w:divBdr>
            <w:top w:val="none" w:sz="0" w:space="0" w:color="auto"/>
            <w:left w:val="none" w:sz="0" w:space="0" w:color="auto"/>
            <w:bottom w:val="none" w:sz="0" w:space="0" w:color="auto"/>
            <w:right w:val="none" w:sz="0" w:space="0" w:color="auto"/>
          </w:divBdr>
        </w:div>
        <w:div w:id="817189887">
          <w:marLeft w:val="640"/>
          <w:marRight w:val="0"/>
          <w:marTop w:val="0"/>
          <w:marBottom w:val="0"/>
          <w:divBdr>
            <w:top w:val="none" w:sz="0" w:space="0" w:color="auto"/>
            <w:left w:val="none" w:sz="0" w:space="0" w:color="auto"/>
            <w:bottom w:val="none" w:sz="0" w:space="0" w:color="auto"/>
            <w:right w:val="none" w:sz="0" w:space="0" w:color="auto"/>
          </w:divBdr>
        </w:div>
        <w:div w:id="1971401073">
          <w:marLeft w:val="640"/>
          <w:marRight w:val="0"/>
          <w:marTop w:val="0"/>
          <w:marBottom w:val="0"/>
          <w:divBdr>
            <w:top w:val="none" w:sz="0" w:space="0" w:color="auto"/>
            <w:left w:val="none" w:sz="0" w:space="0" w:color="auto"/>
            <w:bottom w:val="none" w:sz="0" w:space="0" w:color="auto"/>
            <w:right w:val="none" w:sz="0" w:space="0" w:color="auto"/>
          </w:divBdr>
        </w:div>
        <w:div w:id="723213017">
          <w:marLeft w:val="640"/>
          <w:marRight w:val="0"/>
          <w:marTop w:val="0"/>
          <w:marBottom w:val="0"/>
          <w:divBdr>
            <w:top w:val="none" w:sz="0" w:space="0" w:color="auto"/>
            <w:left w:val="none" w:sz="0" w:space="0" w:color="auto"/>
            <w:bottom w:val="none" w:sz="0" w:space="0" w:color="auto"/>
            <w:right w:val="none" w:sz="0" w:space="0" w:color="auto"/>
          </w:divBdr>
        </w:div>
        <w:div w:id="86847081">
          <w:marLeft w:val="640"/>
          <w:marRight w:val="0"/>
          <w:marTop w:val="0"/>
          <w:marBottom w:val="0"/>
          <w:divBdr>
            <w:top w:val="none" w:sz="0" w:space="0" w:color="auto"/>
            <w:left w:val="none" w:sz="0" w:space="0" w:color="auto"/>
            <w:bottom w:val="none" w:sz="0" w:space="0" w:color="auto"/>
            <w:right w:val="none" w:sz="0" w:space="0" w:color="auto"/>
          </w:divBdr>
        </w:div>
        <w:div w:id="862671041">
          <w:marLeft w:val="640"/>
          <w:marRight w:val="0"/>
          <w:marTop w:val="0"/>
          <w:marBottom w:val="0"/>
          <w:divBdr>
            <w:top w:val="none" w:sz="0" w:space="0" w:color="auto"/>
            <w:left w:val="none" w:sz="0" w:space="0" w:color="auto"/>
            <w:bottom w:val="none" w:sz="0" w:space="0" w:color="auto"/>
            <w:right w:val="none" w:sz="0" w:space="0" w:color="auto"/>
          </w:divBdr>
        </w:div>
        <w:div w:id="1914389641">
          <w:marLeft w:val="640"/>
          <w:marRight w:val="0"/>
          <w:marTop w:val="0"/>
          <w:marBottom w:val="0"/>
          <w:divBdr>
            <w:top w:val="none" w:sz="0" w:space="0" w:color="auto"/>
            <w:left w:val="none" w:sz="0" w:space="0" w:color="auto"/>
            <w:bottom w:val="none" w:sz="0" w:space="0" w:color="auto"/>
            <w:right w:val="none" w:sz="0" w:space="0" w:color="auto"/>
          </w:divBdr>
        </w:div>
        <w:div w:id="969940741">
          <w:marLeft w:val="640"/>
          <w:marRight w:val="0"/>
          <w:marTop w:val="0"/>
          <w:marBottom w:val="0"/>
          <w:divBdr>
            <w:top w:val="none" w:sz="0" w:space="0" w:color="auto"/>
            <w:left w:val="none" w:sz="0" w:space="0" w:color="auto"/>
            <w:bottom w:val="none" w:sz="0" w:space="0" w:color="auto"/>
            <w:right w:val="none" w:sz="0" w:space="0" w:color="auto"/>
          </w:divBdr>
        </w:div>
        <w:div w:id="1940914718">
          <w:marLeft w:val="640"/>
          <w:marRight w:val="0"/>
          <w:marTop w:val="0"/>
          <w:marBottom w:val="0"/>
          <w:divBdr>
            <w:top w:val="none" w:sz="0" w:space="0" w:color="auto"/>
            <w:left w:val="none" w:sz="0" w:space="0" w:color="auto"/>
            <w:bottom w:val="none" w:sz="0" w:space="0" w:color="auto"/>
            <w:right w:val="none" w:sz="0" w:space="0" w:color="auto"/>
          </w:divBdr>
        </w:div>
        <w:div w:id="265112730">
          <w:marLeft w:val="640"/>
          <w:marRight w:val="0"/>
          <w:marTop w:val="0"/>
          <w:marBottom w:val="0"/>
          <w:divBdr>
            <w:top w:val="none" w:sz="0" w:space="0" w:color="auto"/>
            <w:left w:val="none" w:sz="0" w:space="0" w:color="auto"/>
            <w:bottom w:val="none" w:sz="0" w:space="0" w:color="auto"/>
            <w:right w:val="none" w:sz="0" w:space="0" w:color="auto"/>
          </w:divBdr>
        </w:div>
        <w:div w:id="927688746">
          <w:marLeft w:val="640"/>
          <w:marRight w:val="0"/>
          <w:marTop w:val="0"/>
          <w:marBottom w:val="0"/>
          <w:divBdr>
            <w:top w:val="none" w:sz="0" w:space="0" w:color="auto"/>
            <w:left w:val="none" w:sz="0" w:space="0" w:color="auto"/>
            <w:bottom w:val="none" w:sz="0" w:space="0" w:color="auto"/>
            <w:right w:val="none" w:sz="0" w:space="0" w:color="auto"/>
          </w:divBdr>
        </w:div>
        <w:div w:id="1795559152">
          <w:marLeft w:val="640"/>
          <w:marRight w:val="0"/>
          <w:marTop w:val="0"/>
          <w:marBottom w:val="0"/>
          <w:divBdr>
            <w:top w:val="none" w:sz="0" w:space="0" w:color="auto"/>
            <w:left w:val="none" w:sz="0" w:space="0" w:color="auto"/>
            <w:bottom w:val="none" w:sz="0" w:space="0" w:color="auto"/>
            <w:right w:val="none" w:sz="0" w:space="0" w:color="auto"/>
          </w:divBdr>
        </w:div>
        <w:div w:id="1629433791">
          <w:marLeft w:val="640"/>
          <w:marRight w:val="0"/>
          <w:marTop w:val="0"/>
          <w:marBottom w:val="0"/>
          <w:divBdr>
            <w:top w:val="none" w:sz="0" w:space="0" w:color="auto"/>
            <w:left w:val="none" w:sz="0" w:space="0" w:color="auto"/>
            <w:bottom w:val="none" w:sz="0" w:space="0" w:color="auto"/>
            <w:right w:val="none" w:sz="0" w:space="0" w:color="auto"/>
          </w:divBdr>
        </w:div>
        <w:div w:id="1555039573">
          <w:marLeft w:val="640"/>
          <w:marRight w:val="0"/>
          <w:marTop w:val="0"/>
          <w:marBottom w:val="0"/>
          <w:divBdr>
            <w:top w:val="none" w:sz="0" w:space="0" w:color="auto"/>
            <w:left w:val="none" w:sz="0" w:space="0" w:color="auto"/>
            <w:bottom w:val="none" w:sz="0" w:space="0" w:color="auto"/>
            <w:right w:val="none" w:sz="0" w:space="0" w:color="auto"/>
          </w:divBdr>
        </w:div>
        <w:div w:id="885141071">
          <w:marLeft w:val="640"/>
          <w:marRight w:val="0"/>
          <w:marTop w:val="0"/>
          <w:marBottom w:val="0"/>
          <w:divBdr>
            <w:top w:val="none" w:sz="0" w:space="0" w:color="auto"/>
            <w:left w:val="none" w:sz="0" w:space="0" w:color="auto"/>
            <w:bottom w:val="none" w:sz="0" w:space="0" w:color="auto"/>
            <w:right w:val="none" w:sz="0" w:space="0" w:color="auto"/>
          </w:divBdr>
        </w:div>
        <w:div w:id="1436439294">
          <w:marLeft w:val="640"/>
          <w:marRight w:val="0"/>
          <w:marTop w:val="0"/>
          <w:marBottom w:val="0"/>
          <w:divBdr>
            <w:top w:val="none" w:sz="0" w:space="0" w:color="auto"/>
            <w:left w:val="none" w:sz="0" w:space="0" w:color="auto"/>
            <w:bottom w:val="none" w:sz="0" w:space="0" w:color="auto"/>
            <w:right w:val="none" w:sz="0" w:space="0" w:color="auto"/>
          </w:divBdr>
        </w:div>
        <w:div w:id="190798558">
          <w:marLeft w:val="640"/>
          <w:marRight w:val="0"/>
          <w:marTop w:val="0"/>
          <w:marBottom w:val="0"/>
          <w:divBdr>
            <w:top w:val="none" w:sz="0" w:space="0" w:color="auto"/>
            <w:left w:val="none" w:sz="0" w:space="0" w:color="auto"/>
            <w:bottom w:val="none" w:sz="0" w:space="0" w:color="auto"/>
            <w:right w:val="none" w:sz="0" w:space="0" w:color="auto"/>
          </w:divBdr>
        </w:div>
        <w:div w:id="769161771">
          <w:marLeft w:val="640"/>
          <w:marRight w:val="0"/>
          <w:marTop w:val="0"/>
          <w:marBottom w:val="0"/>
          <w:divBdr>
            <w:top w:val="none" w:sz="0" w:space="0" w:color="auto"/>
            <w:left w:val="none" w:sz="0" w:space="0" w:color="auto"/>
            <w:bottom w:val="none" w:sz="0" w:space="0" w:color="auto"/>
            <w:right w:val="none" w:sz="0" w:space="0" w:color="auto"/>
          </w:divBdr>
        </w:div>
        <w:div w:id="416295331">
          <w:marLeft w:val="640"/>
          <w:marRight w:val="0"/>
          <w:marTop w:val="0"/>
          <w:marBottom w:val="0"/>
          <w:divBdr>
            <w:top w:val="none" w:sz="0" w:space="0" w:color="auto"/>
            <w:left w:val="none" w:sz="0" w:space="0" w:color="auto"/>
            <w:bottom w:val="none" w:sz="0" w:space="0" w:color="auto"/>
            <w:right w:val="none" w:sz="0" w:space="0" w:color="auto"/>
          </w:divBdr>
        </w:div>
        <w:div w:id="1062559310">
          <w:marLeft w:val="640"/>
          <w:marRight w:val="0"/>
          <w:marTop w:val="0"/>
          <w:marBottom w:val="0"/>
          <w:divBdr>
            <w:top w:val="none" w:sz="0" w:space="0" w:color="auto"/>
            <w:left w:val="none" w:sz="0" w:space="0" w:color="auto"/>
            <w:bottom w:val="none" w:sz="0" w:space="0" w:color="auto"/>
            <w:right w:val="none" w:sz="0" w:space="0" w:color="auto"/>
          </w:divBdr>
        </w:div>
        <w:div w:id="920261225">
          <w:marLeft w:val="640"/>
          <w:marRight w:val="0"/>
          <w:marTop w:val="0"/>
          <w:marBottom w:val="0"/>
          <w:divBdr>
            <w:top w:val="none" w:sz="0" w:space="0" w:color="auto"/>
            <w:left w:val="none" w:sz="0" w:space="0" w:color="auto"/>
            <w:bottom w:val="none" w:sz="0" w:space="0" w:color="auto"/>
            <w:right w:val="none" w:sz="0" w:space="0" w:color="auto"/>
          </w:divBdr>
        </w:div>
        <w:div w:id="1157189896">
          <w:marLeft w:val="640"/>
          <w:marRight w:val="0"/>
          <w:marTop w:val="0"/>
          <w:marBottom w:val="0"/>
          <w:divBdr>
            <w:top w:val="none" w:sz="0" w:space="0" w:color="auto"/>
            <w:left w:val="none" w:sz="0" w:space="0" w:color="auto"/>
            <w:bottom w:val="none" w:sz="0" w:space="0" w:color="auto"/>
            <w:right w:val="none" w:sz="0" w:space="0" w:color="auto"/>
          </w:divBdr>
        </w:div>
        <w:div w:id="1523861380">
          <w:marLeft w:val="640"/>
          <w:marRight w:val="0"/>
          <w:marTop w:val="0"/>
          <w:marBottom w:val="0"/>
          <w:divBdr>
            <w:top w:val="none" w:sz="0" w:space="0" w:color="auto"/>
            <w:left w:val="none" w:sz="0" w:space="0" w:color="auto"/>
            <w:bottom w:val="none" w:sz="0" w:space="0" w:color="auto"/>
            <w:right w:val="none" w:sz="0" w:space="0" w:color="auto"/>
          </w:divBdr>
        </w:div>
        <w:div w:id="1976787720">
          <w:marLeft w:val="640"/>
          <w:marRight w:val="0"/>
          <w:marTop w:val="0"/>
          <w:marBottom w:val="0"/>
          <w:divBdr>
            <w:top w:val="none" w:sz="0" w:space="0" w:color="auto"/>
            <w:left w:val="none" w:sz="0" w:space="0" w:color="auto"/>
            <w:bottom w:val="none" w:sz="0" w:space="0" w:color="auto"/>
            <w:right w:val="none" w:sz="0" w:space="0" w:color="auto"/>
          </w:divBdr>
        </w:div>
        <w:div w:id="777138081">
          <w:marLeft w:val="640"/>
          <w:marRight w:val="0"/>
          <w:marTop w:val="0"/>
          <w:marBottom w:val="0"/>
          <w:divBdr>
            <w:top w:val="none" w:sz="0" w:space="0" w:color="auto"/>
            <w:left w:val="none" w:sz="0" w:space="0" w:color="auto"/>
            <w:bottom w:val="none" w:sz="0" w:space="0" w:color="auto"/>
            <w:right w:val="none" w:sz="0" w:space="0" w:color="auto"/>
          </w:divBdr>
        </w:div>
        <w:div w:id="477891221">
          <w:marLeft w:val="640"/>
          <w:marRight w:val="0"/>
          <w:marTop w:val="0"/>
          <w:marBottom w:val="0"/>
          <w:divBdr>
            <w:top w:val="none" w:sz="0" w:space="0" w:color="auto"/>
            <w:left w:val="none" w:sz="0" w:space="0" w:color="auto"/>
            <w:bottom w:val="none" w:sz="0" w:space="0" w:color="auto"/>
            <w:right w:val="none" w:sz="0" w:space="0" w:color="auto"/>
          </w:divBdr>
        </w:div>
        <w:div w:id="773406378">
          <w:marLeft w:val="640"/>
          <w:marRight w:val="0"/>
          <w:marTop w:val="0"/>
          <w:marBottom w:val="0"/>
          <w:divBdr>
            <w:top w:val="none" w:sz="0" w:space="0" w:color="auto"/>
            <w:left w:val="none" w:sz="0" w:space="0" w:color="auto"/>
            <w:bottom w:val="none" w:sz="0" w:space="0" w:color="auto"/>
            <w:right w:val="none" w:sz="0" w:space="0" w:color="auto"/>
          </w:divBdr>
        </w:div>
        <w:div w:id="164631468">
          <w:marLeft w:val="640"/>
          <w:marRight w:val="0"/>
          <w:marTop w:val="0"/>
          <w:marBottom w:val="0"/>
          <w:divBdr>
            <w:top w:val="none" w:sz="0" w:space="0" w:color="auto"/>
            <w:left w:val="none" w:sz="0" w:space="0" w:color="auto"/>
            <w:bottom w:val="none" w:sz="0" w:space="0" w:color="auto"/>
            <w:right w:val="none" w:sz="0" w:space="0" w:color="auto"/>
          </w:divBdr>
        </w:div>
        <w:div w:id="1648239668">
          <w:marLeft w:val="640"/>
          <w:marRight w:val="0"/>
          <w:marTop w:val="0"/>
          <w:marBottom w:val="0"/>
          <w:divBdr>
            <w:top w:val="none" w:sz="0" w:space="0" w:color="auto"/>
            <w:left w:val="none" w:sz="0" w:space="0" w:color="auto"/>
            <w:bottom w:val="none" w:sz="0" w:space="0" w:color="auto"/>
            <w:right w:val="none" w:sz="0" w:space="0" w:color="auto"/>
          </w:divBdr>
        </w:div>
        <w:div w:id="150411176">
          <w:marLeft w:val="640"/>
          <w:marRight w:val="0"/>
          <w:marTop w:val="0"/>
          <w:marBottom w:val="0"/>
          <w:divBdr>
            <w:top w:val="none" w:sz="0" w:space="0" w:color="auto"/>
            <w:left w:val="none" w:sz="0" w:space="0" w:color="auto"/>
            <w:bottom w:val="none" w:sz="0" w:space="0" w:color="auto"/>
            <w:right w:val="none" w:sz="0" w:space="0" w:color="auto"/>
          </w:divBdr>
        </w:div>
        <w:div w:id="2088186130">
          <w:marLeft w:val="640"/>
          <w:marRight w:val="0"/>
          <w:marTop w:val="0"/>
          <w:marBottom w:val="0"/>
          <w:divBdr>
            <w:top w:val="none" w:sz="0" w:space="0" w:color="auto"/>
            <w:left w:val="none" w:sz="0" w:space="0" w:color="auto"/>
            <w:bottom w:val="none" w:sz="0" w:space="0" w:color="auto"/>
            <w:right w:val="none" w:sz="0" w:space="0" w:color="auto"/>
          </w:divBdr>
        </w:div>
        <w:div w:id="1555196292">
          <w:marLeft w:val="640"/>
          <w:marRight w:val="0"/>
          <w:marTop w:val="0"/>
          <w:marBottom w:val="0"/>
          <w:divBdr>
            <w:top w:val="none" w:sz="0" w:space="0" w:color="auto"/>
            <w:left w:val="none" w:sz="0" w:space="0" w:color="auto"/>
            <w:bottom w:val="none" w:sz="0" w:space="0" w:color="auto"/>
            <w:right w:val="none" w:sz="0" w:space="0" w:color="auto"/>
          </w:divBdr>
        </w:div>
        <w:div w:id="77798325">
          <w:marLeft w:val="640"/>
          <w:marRight w:val="0"/>
          <w:marTop w:val="0"/>
          <w:marBottom w:val="0"/>
          <w:divBdr>
            <w:top w:val="none" w:sz="0" w:space="0" w:color="auto"/>
            <w:left w:val="none" w:sz="0" w:space="0" w:color="auto"/>
            <w:bottom w:val="none" w:sz="0" w:space="0" w:color="auto"/>
            <w:right w:val="none" w:sz="0" w:space="0" w:color="auto"/>
          </w:divBdr>
        </w:div>
        <w:div w:id="1401444633">
          <w:marLeft w:val="640"/>
          <w:marRight w:val="0"/>
          <w:marTop w:val="0"/>
          <w:marBottom w:val="0"/>
          <w:divBdr>
            <w:top w:val="none" w:sz="0" w:space="0" w:color="auto"/>
            <w:left w:val="none" w:sz="0" w:space="0" w:color="auto"/>
            <w:bottom w:val="none" w:sz="0" w:space="0" w:color="auto"/>
            <w:right w:val="none" w:sz="0" w:space="0" w:color="auto"/>
          </w:divBdr>
        </w:div>
        <w:div w:id="1253199824">
          <w:marLeft w:val="640"/>
          <w:marRight w:val="0"/>
          <w:marTop w:val="0"/>
          <w:marBottom w:val="0"/>
          <w:divBdr>
            <w:top w:val="none" w:sz="0" w:space="0" w:color="auto"/>
            <w:left w:val="none" w:sz="0" w:space="0" w:color="auto"/>
            <w:bottom w:val="none" w:sz="0" w:space="0" w:color="auto"/>
            <w:right w:val="none" w:sz="0" w:space="0" w:color="auto"/>
          </w:divBdr>
        </w:div>
        <w:div w:id="801583516">
          <w:marLeft w:val="640"/>
          <w:marRight w:val="0"/>
          <w:marTop w:val="0"/>
          <w:marBottom w:val="0"/>
          <w:divBdr>
            <w:top w:val="none" w:sz="0" w:space="0" w:color="auto"/>
            <w:left w:val="none" w:sz="0" w:space="0" w:color="auto"/>
            <w:bottom w:val="none" w:sz="0" w:space="0" w:color="auto"/>
            <w:right w:val="none" w:sz="0" w:space="0" w:color="auto"/>
          </w:divBdr>
        </w:div>
        <w:div w:id="2098624397">
          <w:marLeft w:val="640"/>
          <w:marRight w:val="0"/>
          <w:marTop w:val="0"/>
          <w:marBottom w:val="0"/>
          <w:divBdr>
            <w:top w:val="none" w:sz="0" w:space="0" w:color="auto"/>
            <w:left w:val="none" w:sz="0" w:space="0" w:color="auto"/>
            <w:bottom w:val="none" w:sz="0" w:space="0" w:color="auto"/>
            <w:right w:val="none" w:sz="0" w:space="0" w:color="auto"/>
          </w:divBdr>
        </w:div>
        <w:div w:id="1333217372">
          <w:marLeft w:val="640"/>
          <w:marRight w:val="0"/>
          <w:marTop w:val="0"/>
          <w:marBottom w:val="0"/>
          <w:divBdr>
            <w:top w:val="none" w:sz="0" w:space="0" w:color="auto"/>
            <w:left w:val="none" w:sz="0" w:space="0" w:color="auto"/>
            <w:bottom w:val="none" w:sz="0" w:space="0" w:color="auto"/>
            <w:right w:val="none" w:sz="0" w:space="0" w:color="auto"/>
          </w:divBdr>
        </w:div>
        <w:div w:id="527377942">
          <w:marLeft w:val="640"/>
          <w:marRight w:val="0"/>
          <w:marTop w:val="0"/>
          <w:marBottom w:val="0"/>
          <w:divBdr>
            <w:top w:val="none" w:sz="0" w:space="0" w:color="auto"/>
            <w:left w:val="none" w:sz="0" w:space="0" w:color="auto"/>
            <w:bottom w:val="none" w:sz="0" w:space="0" w:color="auto"/>
            <w:right w:val="none" w:sz="0" w:space="0" w:color="auto"/>
          </w:divBdr>
        </w:div>
        <w:div w:id="220752322">
          <w:marLeft w:val="640"/>
          <w:marRight w:val="0"/>
          <w:marTop w:val="0"/>
          <w:marBottom w:val="0"/>
          <w:divBdr>
            <w:top w:val="none" w:sz="0" w:space="0" w:color="auto"/>
            <w:left w:val="none" w:sz="0" w:space="0" w:color="auto"/>
            <w:bottom w:val="none" w:sz="0" w:space="0" w:color="auto"/>
            <w:right w:val="none" w:sz="0" w:space="0" w:color="auto"/>
          </w:divBdr>
        </w:div>
        <w:div w:id="892353230">
          <w:marLeft w:val="640"/>
          <w:marRight w:val="0"/>
          <w:marTop w:val="0"/>
          <w:marBottom w:val="0"/>
          <w:divBdr>
            <w:top w:val="none" w:sz="0" w:space="0" w:color="auto"/>
            <w:left w:val="none" w:sz="0" w:space="0" w:color="auto"/>
            <w:bottom w:val="none" w:sz="0" w:space="0" w:color="auto"/>
            <w:right w:val="none" w:sz="0" w:space="0" w:color="auto"/>
          </w:divBdr>
        </w:div>
        <w:div w:id="1326201370">
          <w:marLeft w:val="640"/>
          <w:marRight w:val="0"/>
          <w:marTop w:val="0"/>
          <w:marBottom w:val="0"/>
          <w:divBdr>
            <w:top w:val="none" w:sz="0" w:space="0" w:color="auto"/>
            <w:left w:val="none" w:sz="0" w:space="0" w:color="auto"/>
            <w:bottom w:val="none" w:sz="0" w:space="0" w:color="auto"/>
            <w:right w:val="none" w:sz="0" w:space="0" w:color="auto"/>
          </w:divBdr>
        </w:div>
        <w:div w:id="700714939">
          <w:marLeft w:val="640"/>
          <w:marRight w:val="0"/>
          <w:marTop w:val="0"/>
          <w:marBottom w:val="0"/>
          <w:divBdr>
            <w:top w:val="none" w:sz="0" w:space="0" w:color="auto"/>
            <w:left w:val="none" w:sz="0" w:space="0" w:color="auto"/>
            <w:bottom w:val="none" w:sz="0" w:space="0" w:color="auto"/>
            <w:right w:val="none" w:sz="0" w:space="0" w:color="auto"/>
          </w:divBdr>
        </w:div>
        <w:div w:id="1493108963">
          <w:marLeft w:val="640"/>
          <w:marRight w:val="0"/>
          <w:marTop w:val="0"/>
          <w:marBottom w:val="0"/>
          <w:divBdr>
            <w:top w:val="none" w:sz="0" w:space="0" w:color="auto"/>
            <w:left w:val="none" w:sz="0" w:space="0" w:color="auto"/>
            <w:bottom w:val="none" w:sz="0" w:space="0" w:color="auto"/>
            <w:right w:val="none" w:sz="0" w:space="0" w:color="auto"/>
          </w:divBdr>
        </w:div>
        <w:div w:id="1618681350">
          <w:marLeft w:val="640"/>
          <w:marRight w:val="0"/>
          <w:marTop w:val="0"/>
          <w:marBottom w:val="0"/>
          <w:divBdr>
            <w:top w:val="none" w:sz="0" w:space="0" w:color="auto"/>
            <w:left w:val="none" w:sz="0" w:space="0" w:color="auto"/>
            <w:bottom w:val="none" w:sz="0" w:space="0" w:color="auto"/>
            <w:right w:val="none" w:sz="0" w:space="0" w:color="auto"/>
          </w:divBdr>
        </w:div>
        <w:div w:id="1187326324">
          <w:marLeft w:val="640"/>
          <w:marRight w:val="0"/>
          <w:marTop w:val="0"/>
          <w:marBottom w:val="0"/>
          <w:divBdr>
            <w:top w:val="none" w:sz="0" w:space="0" w:color="auto"/>
            <w:left w:val="none" w:sz="0" w:space="0" w:color="auto"/>
            <w:bottom w:val="none" w:sz="0" w:space="0" w:color="auto"/>
            <w:right w:val="none" w:sz="0" w:space="0" w:color="auto"/>
          </w:divBdr>
        </w:div>
        <w:div w:id="381489258">
          <w:marLeft w:val="640"/>
          <w:marRight w:val="0"/>
          <w:marTop w:val="0"/>
          <w:marBottom w:val="0"/>
          <w:divBdr>
            <w:top w:val="none" w:sz="0" w:space="0" w:color="auto"/>
            <w:left w:val="none" w:sz="0" w:space="0" w:color="auto"/>
            <w:bottom w:val="none" w:sz="0" w:space="0" w:color="auto"/>
            <w:right w:val="none" w:sz="0" w:space="0" w:color="auto"/>
          </w:divBdr>
        </w:div>
        <w:div w:id="742604117">
          <w:marLeft w:val="640"/>
          <w:marRight w:val="0"/>
          <w:marTop w:val="0"/>
          <w:marBottom w:val="0"/>
          <w:divBdr>
            <w:top w:val="none" w:sz="0" w:space="0" w:color="auto"/>
            <w:left w:val="none" w:sz="0" w:space="0" w:color="auto"/>
            <w:bottom w:val="none" w:sz="0" w:space="0" w:color="auto"/>
            <w:right w:val="none" w:sz="0" w:space="0" w:color="auto"/>
          </w:divBdr>
        </w:div>
        <w:div w:id="24016658">
          <w:marLeft w:val="640"/>
          <w:marRight w:val="0"/>
          <w:marTop w:val="0"/>
          <w:marBottom w:val="0"/>
          <w:divBdr>
            <w:top w:val="none" w:sz="0" w:space="0" w:color="auto"/>
            <w:left w:val="none" w:sz="0" w:space="0" w:color="auto"/>
            <w:bottom w:val="none" w:sz="0" w:space="0" w:color="auto"/>
            <w:right w:val="none" w:sz="0" w:space="0" w:color="auto"/>
          </w:divBdr>
        </w:div>
        <w:div w:id="1226144123">
          <w:marLeft w:val="640"/>
          <w:marRight w:val="0"/>
          <w:marTop w:val="0"/>
          <w:marBottom w:val="0"/>
          <w:divBdr>
            <w:top w:val="none" w:sz="0" w:space="0" w:color="auto"/>
            <w:left w:val="none" w:sz="0" w:space="0" w:color="auto"/>
            <w:bottom w:val="none" w:sz="0" w:space="0" w:color="auto"/>
            <w:right w:val="none" w:sz="0" w:space="0" w:color="auto"/>
          </w:divBdr>
        </w:div>
        <w:div w:id="527180415">
          <w:marLeft w:val="640"/>
          <w:marRight w:val="0"/>
          <w:marTop w:val="0"/>
          <w:marBottom w:val="0"/>
          <w:divBdr>
            <w:top w:val="none" w:sz="0" w:space="0" w:color="auto"/>
            <w:left w:val="none" w:sz="0" w:space="0" w:color="auto"/>
            <w:bottom w:val="none" w:sz="0" w:space="0" w:color="auto"/>
            <w:right w:val="none" w:sz="0" w:space="0" w:color="auto"/>
          </w:divBdr>
        </w:div>
        <w:div w:id="816072769">
          <w:marLeft w:val="640"/>
          <w:marRight w:val="0"/>
          <w:marTop w:val="0"/>
          <w:marBottom w:val="0"/>
          <w:divBdr>
            <w:top w:val="none" w:sz="0" w:space="0" w:color="auto"/>
            <w:left w:val="none" w:sz="0" w:space="0" w:color="auto"/>
            <w:bottom w:val="none" w:sz="0" w:space="0" w:color="auto"/>
            <w:right w:val="none" w:sz="0" w:space="0" w:color="auto"/>
          </w:divBdr>
        </w:div>
        <w:div w:id="442071717">
          <w:marLeft w:val="640"/>
          <w:marRight w:val="0"/>
          <w:marTop w:val="0"/>
          <w:marBottom w:val="0"/>
          <w:divBdr>
            <w:top w:val="none" w:sz="0" w:space="0" w:color="auto"/>
            <w:left w:val="none" w:sz="0" w:space="0" w:color="auto"/>
            <w:bottom w:val="none" w:sz="0" w:space="0" w:color="auto"/>
            <w:right w:val="none" w:sz="0" w:space="0" w:color="auto"/>
          </w:divBdr>
        </w:div>
        <w:div w:id="2114204747">
          <w:marLeft w:val="640"/>
          <w:marRight w:val="0"/>
          <w:marTop w:val="0"/>
          <w:marBottom w:val="0"/>
          <w:divBdr>
            <w:top w:val="none" w:sz="0" w:space="0" w:color="auto"/>
            <w:left w:val="none" w:sz="0" w:space="0" w:color="auto"/>
            <w:bottom w:val="none" w:sz="0" w:space="0" w:color="auto"/>
            <w:right w:val="none" w:sz="0" w:space="0" w:color="auto"/>
          </w:divBdr>
        </w:div>
        <w:div w:id="1026713554">
          <w:marLeft w:val="640"/>
          <w:marRight w:val="0"/>
          <w:marTop w:val="0"/>
          <w:marBottom w:val="0"/>
          <w:divBdr>
            <w:top w:val="none" w:sz="0" w:space="0" w:color="auto"/>
            <w:left w:val="none" w:sz="0" w:space="0" w:color="auto"/>
            <w:bottom w:val="none" w:sz="0" w:space="0" w:color="auto"/>
            <w:right w:val="none" w:sz="0" w:space="0" w:color="auto"/>
          </w:divBdr>
        </w:div>
        <w:div w:id="1562248445">
          <w:marLeft w:val="640"/>
          <w:marRight w:val="0"/>
          <w:marTop w:val="0"/>
          <w:marBottom w:val="0"/>
          <w:divBdr>
            <w:top w:val="none" w:sz="0" w:space="0" w:color="auto"/>
            <w:left w:val="none" w:sz="0" w:space="0" w:color="auto"/>
            <w:bottom w:val="none" w:sz="0" w:space="0" w:color="auto"/>
            <w:right w:val="none" w:sz="0" w:space="0" w:color="auto"/>
          </w:divBdr>
        </w:div>
        <w:div w:id="890534753">
          <w:marLeft w:val="640"/>
          <w:marRight w:val="0"/>
          <w:marTop w:val="0"/>
          <w:marBottom w:val="0"/>
          <w:divBdr>
            <w:top w:val="none" w:sz="0" w:space="0" w:color="auto"/>
            <w:left w:val="none" w:sz="0" w:space="0" w:color="auto"/>
            <w:bottom w:val="none" w:sz="0" w:space="0" w:color="auto"/>
            <w:right w:val="none" w:sz="0" w:space="0" w:color="auto"/>
          </w:divBdr>
        </w:div>
        <w:div w:id="999885460">
          <w:marLeft w:val="640"/>
          <w:marRight w:val="0"/>
          <w:marTop w:val="0"/>
          <w:marBottom w:val="0"/>
          <w:divBdr>
            <w:top w:val="none" w:sz="0" w:space="0" w:color="auto"/>
            <w:left w:val="none" w:sz="0" w:space="0" w:color="auto"/>
            <w:bottom w:val="none" w:sz="0" w:space="0" w:color="auto"/>
            <w:right w:val="none" w:sz="0" w:space="0" w:color="auto"/>
          </w:divBdr>
        </w:div>
        <w:div w:id="1760364617">
          <w:marLeft w:val="640"/>
          <w:marRight w:val="0"/>
          <w:marTop w:val="0"/>
          <w:marBottom w:val="0"/>
          <w:divBdr>
            <w:top w:val="none" w:sz="0" w:space="0" w:color="auto"/>
            <w:left w:val="none" w:sz="0" w:space="0" w:color="auto"/>
            <w:bottom w:val="none" w:sz="0" w:space="0" w:color="auto"/>
            <w:right w:val="none" w:sz="0" w:space="0" w:color="auto"/>
          </w:divBdr>
        </w:div>
        <w:div w:id="106044956">
          <w:marLeft w:val="640"/>
          <w:marRight w:val="0"/>
          <w:marTop w:val="0"/>
          <w:marBottom w:val="0"/>
          <w:divBdr>
            <w:top w:val="none" w:sz="0" w:space="0" w:color="auto"/>
            <w:left w:val="none" w:sz="0" w:space="0" w:color="auto"/>
            <w:bottom w:val="none" w:sz="0" w:space="0" w:color="auto"/>
            <w:right w:val="none" w:sz="0" w:space="0" w:color="auto"/>
          </w:divBdr>
        </w:div>
        <w:div w:id="232813611">
          <w:marLeft w:val="640"/>
          <w:marRight w:val="0"/>
          <w:marTop w:val="0"/>
          <w:marBottom w:val="0"/>
          <w:divBdr>
            <w:top w:val="none" w:sz="0" w:space="0" w:color="auto"/>
            <w:left w:val="none" w:sz="0" w:space="0" w:color="auto"/>
            <w:bottom w:val="none" w:sz="0" w:space="0" w:color="auto"/>
            <w:right w:val="none" w:sz="0" w:space="0" w:color="auto"/>
          </w:divBdr>
        </w:div>
        <w:div w:id="1913463555">
          <w:marLeft w:val="640"/>
          <w:marRight w:val="0"/>
          <w:marTop w:val="0"/>
          <w:marBottom w:val="0"/>
          <w:divBdr>
            <w:top w:val="none" w:sz="0" w:space="0" w:color="auto"/>
            <w:left w:val="none" w:sz="0" w:space="0" w:color="auto"/>
            <w:bottom w:val="none" w:sz="0" w:space="0" w:color="auto"/>
            <w:right w:val="none" w:sz="0" w:space="0" w:color="auto"/>
          </w:divBdr>
        </w:div>
        <w:div w:id="708341938">
          <w:marLeft w:val="640"/>
          <w:marRight w:val="0"/>
          <w:marTop w:val="0"/>
          <w:marBottom w:val="0"/>
          <w:divBdr>
            <w:top w:val="none" w:sz="0" w:space="0" w:color="auto"/>
            <w:left w:val="none" w:sz="0" w:space="0" w:color="auto"/>
            <w:bottom w:val="none" w:sz="0" w:space="0" w:color="auto"/>
            <w:right w:val="none" w:sz="0" w:space="0" w:color="auto"/>
          </w:divBdr>
        </w:div>
        <w:div w:id="437021810">
          <w:marLeft w:val="640"/>
          <w:marRight w:val="0"/>
          <w:marTop w:val="0"/>
          <w:marBottom w:val="0"/>
          <w:divBdr>
            <w:top w:val="none" w:sz="0" w:space="0" w:color="auto"/>
            <w:left w:val="none" w:sz="0" w:space="0" w:color="auto"/>
            <w:bottom w:val="none" w:sz="0" w:space="0" w:color="auto"/>
            <w:right w:val="none" w:sz="0" w:space="0" w:color="auto"/>
          </w:divBdr>
        </w:div>
        <w:div w:id="1124807870">
          <w:marLeft w:val="640"/>
          <w:marRight w:val="0"/>
          <w:marTop w:val="0"/>
          <w:marBottom w:val="0"/>
          <w:divBdr>
            <w:top w:val="none" w:sz="0" w:space="0" w:color="auto"/>
            <w:left w:val="none" w:sz="0" w:space="0" w:color="auto"/>
            <w:bottom w:val="none" w:sz="0" w:space="0" w:color="auto"/>
            <w:right w:val="none" w:sz="0" w:space="0" w:color="auto"/>
          </w:divBdr>
        </w:div>
        <w:div w:id="1174613487">
          <w:marLeft w:val="640"/>
          <w:marRight w:val="0"/>
          <w:marTop w:val="0"/>
          <w:marBottom w:val="0"/>
          <w:divBdr>
            <w:top w:val="none" w:sz="0" w:space="0" w:color="auto"/>
            <w:left w:val="none" w:sz="0" w:space="0" w:color="auto"/>
            <w:bottom w:val="none" w:sz="0" w:space="0" w:color="auto"/>
            <w:right w:val="none" w:sz="0" w:space="0" w:color="auto"/>
          </w:divBdr>
        </w:div>
        <w:div w:id="351108903">
          <w:marLeft w:val="640"/>
          <w:marRight w:val="0"/>
          <w:marTop w:val="0"/>
          <w:marBottom w:val="0"/>
          <w:divBdr>
            <w:top w:val="none" w:sz="0" w:space="0" w:color="auto"/>
            <w:left w:val="none" w:sz="0" w:space="0" w:color="auto"/>
            <w:bottom w:val="none" w:sz="0" w:space="0" w:color="auto"/>
            <w:right w:val="none" w:sz="0" w:space="0" w:color="auto"/>
          </w:divBdr>
        </w:div>
        <w:div w:id="1660501589">
          <w:marLeft w:val="640"/>
          <w:marRight w:val="0"/>
          <w:marTop w:val="0"/>
          <w:marBottom w:val="0"/>
          <w:divBdr>
            <w:top w:val="none" w:sz="0" w:space="0" w:color="auto"/>
            <w:left w:val="none" w:sz="0" w:space="0" w:color="auto"/>
            <w:bottom w:val="none" w:sz="0" w:space="0" w:color="auto"/>
            <w:right w:val="none" w:sz="0" w:space="0" w:color="auto"/>
          </w:divBdr>
        </w:div>
        <w:div w:id="1096705282">
          <w:marLeft w:val="640"/>
          <w:marRight w:val="0"/>
          <w:marTop w:val="0"/>
          <w:marBottom w:val="0"/>
          <w:divBdr>
            <w:top w:val="none" w:sz="0" w:space="0" w:color="auto"/>
            <w:left w:val="none" w:sz="0" w:space="0" w:color="auto"/>
            <w:bottom w:val="none" w:sz="0" w:space="0" w:color="auto"/>
            <w:right w:val="none" w:sz="0" w:space="0" w:color="auto"/>
          </w:divBdr>
        </w:div>
        <w:div w:id="1190023039">
          <w:marLeft w:val="640"/>
          <w:marRight w:val="0"/>
          <w:marTop w:val="0"/>
          <w:marBottom w:val="0"/>
          <w:divBdr>
            <w:top w:val="none" w:sz="0" w:space="0" w:color="auto"/>
            <w:left w:val="none" w:sz="0" w:space="0" w:color="auto"/>
            <w:bottom w:val="none" w:sz="0" w:space="0" w:color="auto"/>
            <w:right w:val="none" w:sz="0" w:space="0" w:color="auto"/>
          </w:divBdr>
        </w:div>
        <w:div w:id="623731105">
          <w:marLeft w:val="640"/>
          <w:marRight w:val="0"/>
          <w:marTop w:val="0"/>
          <w:marBottom w:val="0"/>
          <w:divBdr>
            <w:top w:val="none" w:sz="0" w:space="0" w:color="auto"/>
            <w:left w:val="none" w:sz="0" w:space="0" w:color="auto"/>
            <w:bottom w:val="none" w:sz="0" w:space="0" w:color="auto"/>
            <w:right w:val="none" w:sz="0" w:space="0" w:color="auto"/>
          </w:divBdr>
        </w:div>
        <w:div w:id="350498094">
          <w:marLeft w:val="640"/>
          <w:marRight w:val="0"/>
          <w:marTop w:val="0"/>
          <w:marBottom w:val="0"/>
          <w:divBdr>
            <w:top w:val="none" w:sz="0" w:space="0" w:color="auto"/>
            <w:left w:val="none" w:sz="0" w:space="0" w:color="auto"/>
            <w:bottom w:val="none" w:sz="0" w:space="0" w:color="auto"/>
            <w:right w:val="none" w:sz="0" w:space="0" w:color="auto"/>
          </w:divBdr>
        </w:div>
        <w:div w:id="1996493739">
          <w:marLeft w:val="640"/>
          <w:marRight w:val="0"/>
          <w:marTop w:val="0"/>
          <w:marBottom w:val="0"/>
          <w:divBdr>
            <w:top w:val="none" w:sz="0" w:space="0" w:color="auto"/>
            <w:left w:val="none" w:sz="0" w:space="0" w:color="auto"/>
            <w:bottom w:val="none" w:sz="0" w:space="0" w:color="auto"/>
            <w:right w:val="none" w:sz="0" w:space="0" w:color="auto"/>
          </w:divBdr>
        </w:div>
        <w:div w:id="1571034151">
          <w:marLeft w:val="640"/>
          <w:marRight w:val="0"/>
          <w:marTop w:val="0"/>
          <w:marBottom w:val="0"/>
          <w:divBdr>
            <w:top w:val="none" w:sz="0" w:space="0" w:color="auto"/>
            <w:left w:val="none" w:sz="0" w:space="0" w:color="auto"/>
            <w:bottom w:val="none" w:sz="0" w:space="0" w:color="auto"/>
            <w:right w:val="none" w:sz="0" w:space="0" w:color="auto"/>
          </w:divBdr>
        </w:div>
        <w:div w:id="1572345074">
          <w:marLeft w:val="640"/>
          <w:marRight w:val="0"/>
          <w:marTop w:val="0"/>
          <w:marBottom w:val="0"/>
          <w:divBdr>
            <w:top w:val="none" w:sz="0" w:space="0" w:color="auto"/>
            <w:left w:val="none" w:sz="0" w:space="0" w:color="auto"/>
            <w:bottom w:val="none" w:sz="0" w:space="0" w:color="auto"/>
            <w:right w:val="none" w:sz="0" w:space="0" w:color="auto"/>
          </w:divBdr>
        </w:div>
        <w:div w:id="295718002">
          <w:marLeft w:val="640"/>
          <w:marRight w:val="0"/>
          <w:marTop w:val="0"/>
          <w:marBottom w:val="0"/>
          <w:divBdr>
            <w:top w:val="none" w:sz="0" w:space="0" w:color="auto"/>
            <w:left w:val="none" w:sz="0" w:space="0" w:color="auto"/>
            <w:bottom w:val="none" w:sz="0" w:space="0" w:color="auto"/>
            <w:right w:val="none" w:sz="0" w:space="0" w:color="auto"/>
          </w:divBdr>
        </w:div>
        <w:div w:id="79522294">
          <w:marLeft w:val="640"/>
          <w:marRight w:val="0"/>
          <w:marTop w:val="0"/>
          <w:marBottom w:val="0"/>
          <w:divBdr>
            <w:top w:val="none" w:sz="0" w:space="0" w:color="auto"/>
            <w:left w:val="none" w:sz="0" w:space="0" w:color="auto"/>
            <w:bottom w:val="none" w:sz="0" w:space="0" w:color="auto"/>
            <w:right w:val="none" w:sz="0" w:space="0" w:color="auto"/>
          </w:divBdr>
        </w:div>
        <w:div w:id="1398816397">
          <w:marLeft w:val="640"/>
          <w:marRight w:val="0"/>
          <w:marTop w:val="0"/>
          <w:marBottom w:val="0"/>
          <w:divBdr>
            <w:top w:val="none" w:sz="0" w:space="0" w:color="auto"/>
            <w:left w:val="none" w:sz="0" w:space="0" w:color="auto"/>
            <w:bottom w:val="none" w:sz="0" w:space="0" w:color="auto"/>
            <w:right w:val="none" w:sz="0" w:space="0" w:color="auto"/>
          </w:divBdr>
        </w:div>
        <w:div w:id="16081832">
          <w:marLeft w:val="640"/>
          <w:marRight w:val="0"/>
          <w:marTop w:val="0"/>
          <w:marBottom w:val="0"/>
          <w:divBdr>
            <w:top w:val="none" w:sz="0" w:space="0" w:color="auto"/>
            <w:left w:val="none" w:sz="0" w:space="0" w:color="auto"/>
            <w:bottom w:val="none" w:sz="0" w:space="0" w:color="auto"/>
            <w:right w:val="none" w:sz="0" w:space="0" w:color="auto"/>
          </w:divBdr>
        </w:div>
        <w:div w:id="758675541">
          <w:marLeft w:val="640"/>
          <w:marRight w:val="0"/>
          <w:marTop w:val="0"/>
          <w:marBottom w:val="0"/>
          <w:divBdr>
            <w:top w:val="none" w:sz="0" w:space="0" w:color="auto"/>
            <w:left w:val="none" w:sz="0" w:space="0" w:color="auto"/>
            <w:bottom w:val="none" w:sz="0" w:space="0" w:color="auto"/>
            <w:right w:val="none" w:sz="0" w:space="0" w:color="auto"/>
          </w:divBdr>
        </w:div>
        <w:div w:id="2031489118">
          <w:marLeft w:val="640"/>
          <w:marRight w:val="0"/>
          <w:marTop w:val="0"/>
          <w:marBottom w:val="0"/>
          <w:divBdr>
            <w:top w:val="none" w:sz="0" w:space="0" w:color="auto"/>
            <w:left w:val="none" w:sz="0" w:space="0" w:color="auto"/>
            <w:bottom w:val="none" w:sz="0" w:space="0" w:color="auto"/>
            <w:right w:val="none" w:sz="0" w:space="0" w:color="auto"/>
          </w:divBdr>
        </w:div>
        <w:div w:id="381292030">
          <w:marLeft w:val="640"/>
          <w:marRight w:val="0"/>
          <w:marTop w:val="0"/>
          <w:marBottom w:val="0"/>
          <w:divBdr>
            <w:top w:val="none" w:sz="0" w:space="0" w:color="auto"/>
            <w:left w:val="none" w:sz="0" w:space="0" w:color="auto"/>
            <w:bottom w:val="none" w:sz="0" w:space="0" w:color="auto"/>
            <w:right w:val="none" w:sz="0" w:space="0" w:color="auto"/>
          </w:divBdr>
        </w:div>
        <w:div w:id="19474371">
          <w:marLeft w:val="640"/>
          <w:marRight w:val="0"/>
          <w:marTop w:val="0"/>
          <w:marBottom w:val="0"/>
          <w:divBdr>
            <w:top w:val="none" w:sz="0" w:space="0" w:color="auto"/>
            <w:left w:val="none" w:sz="0" w:space="0" w:color="auto"/>
            <w:bottom w:val="none" w:sz="0" w:space="0" w:color="auto"/>
            <w:right w:val="none" w:sz="0" w:space="0" w:color="auto"/>
          </w:divBdr>
        </w:div>
        <w:div w:id="537939173">
          <w:marLeft w:val="640"/>
          <w:marRight w:val="0"/>
          <w:marTop w:val="0"/>
          <w:marBottom w:val="0"/>
          <w:divBdr>
            <w:top w:val="none" w:sz="0" w:space="0" w:color="auto"/>
            <w:left w:val="none" w:sz="0" w:space="0" w:color="auto"/>
            <w:bottom w:val="none" w:sz="0" w:space="0" w:color="auto"/>
            <w:right w:val="none" w:sz="0" w:space="0" w:color="auto"/>
          </w:divBdr>
        </w:div>
        <w:div w:id="1807820104">
          <w:marLeft w:val="640"/>
          <w:marRight w:val="0"/>
          <w:marTop w:val="0"/>
          <w:marBottom w:val="0"/>
          <w:divBdr>
            <w:top w:val="none" w:sz="0" w:space="0" w:color="auto"/>
            <w:left w:val="none" w:sz="0" w:space="0" w:color="auto"/>
            <w:bottom w:val="none" w:sz="0" w:space="0" w:color="auto"/>
            <w:right w:val="none" w:sz="0" w:space="0" w:color="auto"/>
          </w:divBdr>
        </w:div>
        <w:div w:id="1062484146">
          <w:marLeft w:val="640"/>
          <w:marRight w:val="0"/>
          <w:marTop w:val="0"/>
          <w:marBottom w:val="0"/>
          <w:divBdr>
            <w:top w:val="none" w:sz="0" w:space="0" w:color="auto"/>
            <w:left w:val="none" w:sz="0" w:space="0" w:color="auto"/>
            <w:bottom w:val="none" w:sz="0" w:space="0" w:color="auto"/>
            <w:right w:val="none" w:sz="0" w:space="0" w:color="auto"/>
          </w:divBdr>
        </w:div>
        <w:div w:id="1392574988">
          <w:marLeft w:val="640"/>
          <w:marRight w:val="0"/>
          <w:marTop w:val="0"/>
          <w:marBottom w:val="0"/>
          <w:divBdr>
            <w:top w:val="none" w:sz="0" w:space="0" w:color="auto"/>
            <w:left w:val="none" w:sz="0" w:space="0" w:color="auto"/>
            <w:bottom w:val="none" w:sz="0" w:space="0" w:color="auto"/>
            <w:right w:val="none" w:sz="0" w:space="0" w:color="auto"/>
          </w:divBdr>
        </w:div>
        <w:div w:id="673151012">
          <w:marLeft w:val="640"/>
          <w:marRight w:val="0"/>
          <w:marTop w:val="0"/>
          <w:marBottom w:val="0"/>
          <w:divBdr>
            <w:top w:val="none" w:sz="0" w:space="0" w:color="auto"/>
            <w:left w:val="none" w:sz="0" w:space="0" w:color="auto"/>
            <w:bottom w:val="none" w:sz="0" w:space="0" w:color="auto"/>
            <w:right w:val="none" w:sz="0" w:space="0" w:color="auto"/>
          </w:divBdr>
        </w:div>
        <w:div w:id="1832481925">
          <w:marLeft w:val="640"/>
          <w:marRight w:val="0"/>
          <w:marTop w:val="0"/>
          <w:marBottom w:val="0"/>
          <w:divBdr>
            <w:top w:val="none" w:sz="0" w:space="0" w:color="auto"/>
            <w:left w:val="none" w:sz="0" w:space="0" w:color="auto"/>
            <w:bottom w:val="none" w:sz="0" w:space="0" w:color="auto"/>
            <w:right w:val="none" w:sz="0" w:space="0" w:color="auto"/>
          </w:divBdr>
        </w:div>
        <w:div w:id="1856923772">
          <w:marLeft w:val="640"/>
          <w:marRight w:val="0"/>
          <w:marTop w:val="0"/>
          <w:marBottom w:val="0"/>
          <w:divBdr>
            <w:top w:val="none" w:sz="0" w:space="0" w:color="auto"/>
            <w:left w:val="none" w:sz="0" w:space="0" w:color="auto"/>
            <w:bottom w:val="none" w:sz="0" w:space="0" w:color="auto"/>
            <w:right w:val="none" w:sz="0" w:space="0" w:color="auto"/>
          </w:divBdr>
        </w:div>
        <w:div w:id="1728407975">
          <w:marLeft w:val="640"/>
          <w:marRight w:val="0"/>
          <w:marTop w:val="0"/>
          <w:marBottom w:val="0"/>
          <w:divBdr>
            <w:top w:val="none" w:sz="0" w:space="0" w:color="auto"/>
            <w:left w:val="none" w:sz="0" w:space="0" w:color="auto"/>
            <w:bottom w:val="none" w:sz="0" w:space="0" w:color="auto"/>
            <w:right w:val="none" w:sz="0" w:space="0" w:color="auto"/>
          </w:divBdr>
        </w:div>
        <w:div w:id="365570410">
          <w:marLeft w:val="640"/>
          <w:marRight w:val="0"/>
          <w:marTop w:val="0"/>
          <w:marBottom w:val="0"/>
          <w:divBdr>
            <w:top w:val="none" w:sz="0" w:space="0" w:color="auto"/>
            <w:left w:val="none" w:sz="0" w:space="0" w:color="auto"/>
            <w:bottom w:val="none" w:sz="0" w:space="0" w:color="auto"/>
            <w:right w:val="none" w:sz="0" w:space="0" w:color="auto"/>
          </w:divBdr>
        </w:div>
        <w:div w:id="2136753847">
          <w:marLeft w:val="640"/>
          <w:marRight w:val="0"/>
          <w:marTop w:val="0"/>
          <w:marBottom w:val="0"/>
          <w:divBdr>
            <w:top w:val="none" w:sz="0" w:space="0" w:color="auto"/>
            <w:left w:val="none" w:sz="0" w:space="0" w:color="auto"/>
            <w:bottom w:val="none" w:sz="0" w:space="0" w:color="auto"/>
            <w:right w:val="none" w:sz="0" w:space="0" w:color="auto"/>
          </w:divBdr>
        </w:div>
        <w:div w:id="1338844484">
          <w:marLeft w:val="640"/>
          <w:marRight w:val="0"/>
          <w:marTop w:val="0"/>
          <w:marBottom w:val="0"/>
          <w:divBdr>
            <w:top w:val="none" w:sz="0" w:space="0" w:color="auto"/>
            <w:left w:val="none" w:sz="0" w:space="0" w:color="auto"/>
            <w:bottom w:val="none" w:sz="0" w:space="0" w:color="auto"/>
            <w:right w:val="none" w:sz="0" w:space="0" w:color="auto"/>
          </w:divBdr>
        </w:div>
        <w:div w:id="484008376">
          <w:marLeft w:val="640"/>
          <w:marRight w:val="0"/>
          <w:marTop w:val="0"/>
          <w:marBottom w:val="0"/>
          <w:divBdr>
            <w:top w:val="none" w:sz="0" w:space="0" w:color="auto"/>
            <w:left w:val="none" w:sz="0" w:space="0" w:color="auto"/>
            <w:bottom w:val="none" w:sz="0" w:space="0" w:color="auto"/>
            <w:right w:val="none" w:sz="0" w:space="0" w:color="auto"/>
          </w:divBdr>
        </w:div>
        <w:div w:id="1872448325">
          <w:marLeft w:val="640"/>
          <w:marRight w:val="0"/>
          <w:marTop w:val="0"/>
          <w:marBottom w:val="0"/>
          <w:divBdr>
            <w:top w:val="none" w:sz="0" w:space="0" w:color="auto"/>
            <w:left w:val="none" w:sz="0" w:space="0" w:color="auto"/>
            <w:bottom w:val="none" w:sz="0" w:space="0" w:color="auto"/>
            <w:right w:val="none" w:sz="0" w:space="0" w:color="auto"/>
          </w:divBdr>
        </w:div>
        <w:div w:id="761335122">
          <w:marLeft w:val="640"/>
          <w:marRight w:val="0"/>
          <w:marTop w:val="0"/>
          <w:marBottom w:val="0"/>
          <w:divBdr>
            <w:top w:val="none" w:sz="0" w:space="0" w:color="auto"/>
            <w:left w:val="none" w:sz="0" w:space="0" w:color="auto"/>
            <w:bottom w:val="none" w:sz="0" w:space="0" w:color="auto"/>
            <w:right w:val="none" w:sz="0" w:space="0" w:color="auto"/>
          </w:divBdr>
        </w:div>
        <w:div w:id="1712850505">
          <w:marLeft w:val="640"/>
          <w:marRight w:val="0"/>
          <w:marTop w:val="0"/>
          <w:marBottom w:val="0"/>
          <w:divBdr>
            <w:top w:val="none" w:sz="0" w:space="0" w:color="auto"/>
            <w:left w:val="none" w:sz="0" w:space="0" w:color="auto"/>
            <w:bottom w:val="none" w:sz="0" w:space="0" w:color="auto"/>
            <w:right w:val="none" w:sz="0" w:space="0" w:color="auto"/>
          </w:divBdr>
        </w:div>
        <w:div w:id="541671133">
          <w:marLeft w:val="640"/>
          <w:marRight w:val="0"/>
          <w:marTop w:val="0"/>
          <w:marBottom w:val="0"/>
          <w:divBdr>
            <w:top w:val="none" w:sz="0" w:space="0" w:color="auto"/>
            <w:left w:val="none" w:sz="0" w:space="0" w:color="auto"/>
            <w:bottom w:val="none" w:sz="0" w:space="0" w:color="auto"/>
            <w:right w:val="none" w:sz="0" w:space="0" w:color="auto"/>
          </w:divBdr>
        </w:div>
        <w:div w:id="1922791479">
          <w:marLeft w:val="640"/>
          <w:marRight w:val="0"/>
          <w:marTop w:val="0"/>
          <w:marBottom w:val="0"/>
          <w:divBdr>
            <w:top w:val="none" w:sz="0" w:space="0" w:color="auto"/>
            <w:left w:val="none" w:sz="0" w:space="0" w:color="auto"/>
            <w:bottom w:val="none" w:sz="0" w:space="0" w:color="auto"/>
            <w:right w:val="none" w:sz="0" w:space="0" w:color="auto"/>
          </w:divBdr>
        </w:div>
        <w:div w:id="2091652761">
          <w:marLeft w:val="640"/>
          <w:marRight w:val="0"/>
          <w:marTop w:val="0"/>
          <w:marBottom w:val="0"/>
          <w:divBdr>
            <w:top w:val="none" w:sz="0" w:space="0" w:color="auto"/>
            <w:left w:val="none" w:sz="0" w:space="0" w:color="auto"/>
            <w:bottom w:val="none" w:sz="0" w:space="0" w:color="auto"/>
            <w:right w:val="none" w:sz="0" w:space="0" w:color="auto"/>
          </w:divBdr>
        </w:div>
        <w:div w:id="1803427490">
          <w:marLeft w:val="640"/>
          <w:marRight w:val="0"/>
          <w:marTop w:val="0"/>
          <w:marBottom w:val="0"/>
          <w:divBdr>
            <w:top w:val="none" w:sz="0" w:space="0" w:color="auto"/>
            <w:left w:val="none" w:sz="0" w:space="0" w:color="auto"/>
            <w:bottom w:val="none" w:sz="0" w:space="0" w:color="auto"/>
            <w:right w:val="none" w:sz="0" w:space="0" w:color="auto"/>
          </w:divBdr>
        </w:div>
      </w:divsChild>
    </w:div>
    <w:div w:id="1590237951">
      <w:bodyDiv w:val="1"/>
      <w:marLeft w:val="0"/>
      <w:marRight w:val="0"/>
      <w:marTop w:val="0"/>
      <w:marBottom w:val="0"/>
      <w:divBdr>
        <w:top w:val="none" w:sz="0" w:space="0" w:color="auto"/>
        <w:left w:val="none" w:sz="0" w:space="0" w:color="auto"/>
        <w:bottom w:val="none" w:sz="0" w:space="0" w:color="auto"/>
        <w:right w:val="none" w:sz="0" w:space="0" w:color="auto"/>
      </w:divBdr>
      <w:divsChild>
        <w:div w:id="2143842849">
          <w:marLeft w:val="640"/>
          <w:marRight w:val="0"/>
          <w:marTop w:val="0"/>
          <w:marBottom w:val="0"/>
          <w:divBdr>
            <w:top w:val="none" w:sz="0" w:space="0" w:color="auto"/>
            <w:left w:val="none" w:sz="0" w:space="0" w:color="auto"/>
            <w:bottom w:val="none" w:sz="0" w:space="0" w:color="auto"/>
            <w:right w:val="none" w:sz="0" w:space="0" w:color="auto"/>
          </w:divBdr>
        </w:div>
        <w:div w:id="1045788495">
          <w:marLeft w:val="640"/>
          <w:marRight w:val="0"/>
          <w:marTop w:val="0"/>
          <w:marBottom w:val="0"/>
          <w:divBdr>
            <w:top w:val="none" w:sz="0" w:space="0" w:color="auto"/>
            <w:left w:val="none" w:sz="0" w:space="0" w:color="auto"/>
            <w:bottom w:val="none" w:sz="0" w:space="0" w:color="auto"/>
            <w:right w:val="none" w:sz="0" w:space="0" w:color="auto"/>
          </w:divBdr>
        </w:div>
        <w:div w:id="912548570">
          <w:marLeft w:val="640"/>
          <w:marRight w:val="0"/>
          <w:marTop w:val="0"/>
          <w:marBottom w:val="0"/>
          <w:divBdr>
            <w:top w:val="none" w:sz="0" w:space="0" w:color="auto"/>
            <w:left w:val="none" w:sz="0" w:space="0" w:color="auto"/>
            <w:bottom w:val="none" w:sz="0" w:space="0" w:color="auto"/>
            <w:right w:val="none" w:sz="0" w:space="0" w:color="auto"/>
          </w:divBdr>
        </w:div>
        <w:div w:id="661348993">
          <w:marLeft w:val="640"/>
          <w:marRight w:val="0"/>
          <w:marTop w:val="0"/>
          <w:marBottom w:val="0"/>
          <w:divBdr>
            <w:top w:val="none" w:sz="0" w:space="0" w:color="auto"/>
            <w:left w:val="none" w:sz="0" w:space="0" w:color="auto"/>
            <w:bottom w:val="none" w:sz="0" w:space="0" w:color="auto"/>
            <w:right w:val="none" w:sz="0" w:space="0" w:color="auto"/>
          </w:divBdr>
        </w:div>
        <w:div w:id="813254007">
          <w:marLeft w:val="640"/>
          <w:marRight w:val="0"/>
          <w:marTop w:val="0"/>
          <w:marBottom w:val="0"/>
          <w:divBdr>
            <w:top w:val="none" w:sz="0" w:space="0" w:color="auto"/>
            <w:left w:val="none" w:sz="0" w:space="0" w:color="auto"/>
            <w:bottom w:val="none" w:sz="0" w:space="0" w:color="auto"/>
            <w:right w:val="none" w:sz="0" w:space="0" w:color="auto"/>
          </w:divBdr>
        </w:div>
        <w:div w:id="1040016401">
          <w:marLeft w:val="640"/>
          <w:marRight w:val="0"/>
          <w:marTop w:val="0"/>
          <w:marBottom w:val="0"/>
          <w:divBdr>
            <w:top w:val="none" w:sz="0" w:space="0" w:color="auto"/>
            <w:left w:val="none" w:sz="0" w:space="0" w:color="auto"/>
            <w:bottom w:val="none" w:sz="0" w:space="0" w:color="auto"/>
            <w:right w:val="none" w:sz="0" w:space="0" w:color="auto"/>
          </w:divBdr>
        </w:div>
        <w:div w:id="968366710">
          <w:marLeft w:val="640"/>
          <w:marRight w:val="0"/>
          <w:marTop w:val="0"/>
          <w:marBottom w:val="0"/>
          <w:divBdr>
            <w:top w:val="none" w:sz="0" w:space="0" w:color="auto"/>
            <w:left w:val="none" w:sz="0" w:space="0" w:color="auto"/>
            <w:bottom w:val="none" w:sz="0" w:space="0" w:color="auto"/>
            <w:right w:val="none" w:sz="0" w:space="0" w:color="auto"/>
          </w:divBdr>
        </w:div>
        <w:div w:id="1875800544">
          <w:marLeft w:val="640"/>
          <w:marRight w:val="0"/>
          <w:marTop w:val="0"/>
          <w:marBottom w:val="0"/>
          <w:divBdr>
            <w:top w:val="none" w:sz="0" w:space="0" w:color="auto"/>
            <w:left w:val="none" w:sz="0" w:space="0" w:color="auto"/>
            <w:bottom w:val="none" w:sz="0" w:space="0" w:color="auto"/>
            <w:right w:val="none" w:sz="0" w:space="0" w:color="auto"/>
          </w:divBdr>
        </w:div>
        <w:div w:id="1478915059">
          <w:marLeft w:val="640"/>
          <w:marRight w:val="0"/>
          <w:marTop w:val="0"/>
          <w:marBottom w:val="0"/>
          <w:divBdr>
            <w:top w:val="none" w:sz="0" w:space="0" w:color="auto"/>
            <w:left w:val="none" w:sz="0" w:space="0" w:color="auto"/>
            <w:bottom w:val="none" w:sz="0" w:space="0" w:color="auto"/>
            <w:right w:val="none" w:sz="0" w:space="0" w:color="auto"/>
          </w:divBdr>
        </w:div>
        <w:div w:id="1491099865">
          <w:marLeft w:val="640"/>
          <w:marRight w:val="0"/>
          <w:marTop w:val="0"/>
          <w:marBottom w:val="0"/>
          <w:divBdr>
            <w:top w:val="none" w:sz="0" w:space="0" w:color="auto"/>
            <w:left w:val="none" w:sz="0" w:space="0" w:color="auto"/>
            <w:bottom w:val="none" w:sz="0" w:space="0" w:color="auto"/>
            <w:right w:val="none" w:sz="0" w:space="0" w:color="auto"/>
          </w:divBdr>
        </w:div>
        <w:div w:id="1440103148">
          <w:marLeft w:val="640"/>
          <w:marRight w:val="0"/>
          <w:marTop w:val="0"/>
          <w:marBottom w:val="0"/>
          <w:divBdr>
            <w:top w:val="none" w:sz="0" w:space="0" w:color="auto"/>
            <w:left w:val="none" w:sz="0" w:space="0" w:color="auto"/>
            <w:bottom w:val="none" w:sz="0" w:space="0" w:color="auto"/>
            <w:right w:val="none" w:sz="0" w:space="0" w:color="auto"/>
          </w:divBdr>
        </w:div>
        <w:div w:id="890463668">
          <w:marLeft w:val="640"/>
          <w:marRight w:val="0"/>
          <w:marTop w:val="0"/>
          <w:marBottom w:val="0"/>
          <w:divBdr>
            <w:top w:val="none" w:sz="0" w:space="0" w:color="auto"/>
            <w:left w:val="none" w:sz="0" w:space="0" w:color="auto"/>
            <w:bottom w:val="none" w:sz="0" w:space="0" w:color="auto"/>
            <w:right w:val="none" w:sz="0" w:space="0" w:color="auto"/>
          </w:divBdr>
        </w:div>
        <w:div w:id="523517125">
          <w:marLeft w:val="640"/>
          <w:marRight w:val="0"/>
          <w:marTop w:val="0"/>
          <w:marBottom w:val="0"/>
          <w:divBdr>
            <w:top w:val="none" w:sz="0" w:space="0" w:color="auto"/>
            <w:left w:val="none" w:sz="0" w:space="0" w:color="auto"/>
            <w:bottom w:val="none" w:sz="0" w:space="0" w:color="auto"/>
            <w:right w:val="none" w:sz="0" w:space="0" w:color="auto"/>
          </w:divBdr>
        </w:div>
        <w:div w:id="47732360">
          <w:marLeft w:val="640"/>
          <w:marRight w:val="0"/>
          <w:marTop w:val="0"/>
          <w:marBottom w:val="0"/>
          <w:divBdr>
            <w:top w:val="none" w:sz="0" w:space="0" w:color="auto"/>
            <w:left w:val="none" w:sz="0" w:space="0" w:color="auto"/>
            <w:bottom w:val="none" w:sz="0" w:space="0" w:color="auto"/>
            <w:right w:val="none" w:sz="0" w:space="0" w:color="auto"/>
          </w:divBdr>
        </w:div>
        <w:div w:id="3171586">
          <w:marLeft w:val="640"/>
          <w:marRight w:val="0"/>
          <w:marTop w:val="0"/>
          <w:marBottom w:val="0"/>
          <w:divBdr>
            <w:top w:val="none" w:sz="0" w:space="0" w:color="auto"/>
            <w:left w:val="none" w:sz="0" w:space="0" w:color="auto"/>
            <w:bottom w:val="none" w:sz="0" w:space="0" w:color="auto"/>
            <w:right w:val="none" w:sz="0" w:space="0" w:color="auto"/>
          </w:divBdr>
        </w:div>
        <w:div w:id="220868099">
          <w:marLeft w:val="640"/>
          <w:marRight w:val="0"/>
          <w:marTop w:val="0"/>
          <w:marBottom w:val="0"/>
          <w:divBdr>
            <w:top w:val="none" w:sz="0" w:space="0" w:color="auto"/>
            <w:left w:val="none" w:sz="0" w:space="0" w:color="auto"/>
            <w:bottom w:val="none" w:sz="0" w:space="0" w:color="auto"/>
            <w:right w:val="none" w:sz="0" w:space="0" w:color="auto"/>
          </w:divBdr>
        </w:div>
        <w:div w:id="2074886646">
          <w:marLeft w:val="640"/>
          <w:marRight w:val="0"/>
          <w:marTop w:val="0"/>
          <w:marBottom w:val="0"/>
          <w:divBdr>
            <w:top w:val="none" w:sz="0" w:space="0" w:color="auto"/>
            <w:left w:val="none" w:sz="0" w:space="0" w:color="auto"/>
            <w:bottom w:val="none" w:sz="0" w:space="0" w:color="auto"/>
            <w:right w:val="none" w:sz="0" w:space="0" w:color="auto"/>
          </w:divBdr>
        </w:div>
        <w:div w:id="1010252488">
          <w:marLeft w:val="640"/>
          <w:marRight w:val="0"/>
          <w:marTop w:val="0"/>
          <w:marBottom w:val="0"/>
          <w:divBdr>
            <w:top w:val="none" w:sz="0" w:space="0" w:color="auto"/>
            <w:left w:val="none" w:sz="0" w:space="0" w:color="auto"/>
            <w:bottom w:val="none" w:sz="0" w:space="0" w:color="auto"/>
            <w:right w:val="none" w:sz="0" w:space="0" w:color="auto"/>
          </w:divBdr>
        </w:div>
        <w:div w:id="964581279">
          <w:marLeft w:val="640"/>
          <w:marRight w:val="0"/>
          <w:marTop w:val="0"/>
          <w:marBottom w:val="0"/>
          <w:divBdr>
            <w:top w:val="none" w:sz="0" w:space="0" w:color="auto"/>
            <w:left w:val="none" w:sz="0" w:space="0" w:color="auto"/>
            <w:bottom w:val="none" w:sz="0" w:space="0" w:color="auto"/>
            <w:right w:val="none" w:sz="0" w:space="0" w:color="auto"/>
          </w:divBdr>
        </w:div>
        <w:div w:id="235014043">
          <w:marLeft w:val="640"/>
          <w:marRight w:val="0"/>
          <w:marTop w:val="0"/>
          <w:marBottom w:val="0"/>
          <w:divBdr>
            <w:top w:val="none" w:sz="0" w:space="0" w:color="auto"/>
            <w:left w:val="none" w:sz="0" w:space="0" w:color="auto"/>
            <w:bottom w:val="none" w:sz="0" w:space="0" w:color="auto"/>
            <w:right w:val="none" w:sz="0" w:space="0" w:color="auto"/>
          </w:divBdr>
        </w:div>
        <w:div w:id="1439450213">
          <w:marLeft w:val="640"/>
          <w:marRight w:val="0"/>
          <w:marTop w:val="0"/>
          <w:marBottom w:val="0"/>
          <w:divBdr>
            <w:top w:val="none" w:sz="0" w:space="0" w:color="auto"/>
            <w:left w:val="none" w:sz="0" w:space="0" w:color="auto"/>
            <w:bottom w:val="none" w:sz="0" w:space="0" w:color="auto"/>
            <w:right w:val="none" w:sz="0" w:space="0" w:color="auto"/>
          </w:divBdr>
        </w:div>
        <w:div w:id="1193423529">
          <w:marLeft w:val="640"/>
          <w:marRight w:val="0"/>
          <w:marTop w:val="0"/>
          <w:marBottom w:val="0"/>
          <w:divBdr>
            <w:top w:val="none" w:sz="0" w:space="0" w:color="auto"/>
            <w:left w:val="none" w:sz="0" w:space="0" w:color="auto"/>
            <w:bottom w:val="none" w:sz="0" w:space="0" w:color="auto"/>
            <w:right w:val="none" w:sz="0" w:space="0" w:color="auto"/>
          </w:divBdr>
        </w:div>
        <w:div w:id="583954090">
          <w:marLeft w:val="640"/>
          <w:marRight w:val="0"/>
          <w:marTop w:val="0"/>
          <w:marBottom w:val="0"/>
          <w:divBdr>
            <w:top w:val="none" w:sz="0" w:space="0" w:color="auto"/>
            <w:left w:val="none" w:sz="0" w:space="0" w:color="auto"/>
            <w:bottom w:val="none" w:sz="0" w:space="0" w:color="auto"/>
            <w:right w:val="none" w:sz="0" w:space="0" w:color="auto"/>
          </w:divBdr>
        </w:div>
        <w:div w:id="339166929">
          <w:marLeft w:val="640"/>
          <w:marRight w:val="0"/>
          <w:marTop w:val="0"/>
          <w:marBottom w:val="0"/>
          <w:divBdr>
            <w:top w:val="none" w:sz="0" w:space="0" w:color="auto"/>
            <w:left w:val="none" w:sz="0" w:space="0" w:color="auto"/>
            <w:bottom w:val="none" w:sz="0" w:space="0" w:color="auto"/>
            <w:right w:val="none" w:sz="0" w:space="0" w:color="auto"/>
          </w:divBdr>
        </w:div>
        <w:div w:id="99296857">
          <w:marLeft w:val="640"/>
          <w:marRight w:val="0"/>
          <w:marTop w:val="0"/>
          <w:marBottom w:val="0"/>
          <w:divBdr>
            <w:top w:val="none" w:sz="0" w:space="0" w:color="auto"/>
            <w:left w:val="none" w:sz="0" w:space="0" w:color="auto"/>
            <w:bottom w:val="none" w:sz="0" w:space="0" w:color="auto"/>
            <w:right w:val="none" w:sz="0" w:space="0" w:color="auto"/>
          </w:divBdr>
        </w:div>
        <w:div w:id="1644313874">
          <w:marLeft w:val="640"/>
          <w:marRight w:val="0"/>
          <w:marTop w:val="0"/>
          <w:marBottom w:val="0"/>
          <w:divBdr>
            <w:top w:val="none" w:sz="0" w:space="0" w:color="auto"/>
            <w:left w:val="none" w:sz="0" w:space="0" w:color="auto"/>
            <w:bottom w:val="none" w:sz="0" w:space="0" w:color="auto"/>
            <w:right w:val="none" w:sz="0" w:space="0" w:color="auto"/>
          </w:divBdr>
        </w:div>
        <w:div w:id="1660886003">
          <w:marLeft w:val="640"/>
          <w:marRight w:val="0"/>
          <w:marTop w:val="0"/>
          <w:marBottom w:val="0"/>
          <w:divBdr>
            <w:top w:val="none" w:sz="0" w:space="0" w:color="auto"/>
            <w:left w:val="none" w:sz="0" w:space="0" w:color="auto"/>
            <w:bottom w:val="none" w:sz="0" w:space="0" w:color="auto"/>
            <w:right w:val="none" w:sz="0" w:space="0" w:color="auto"/>
          </w:divBdr>
        </w:div>
        <w:div w:id="1232734401">
          <w:marLeft w:val="640"/>
          <w:marRight w:val="0"/>
          <w:marTop w:val="0"/>
          <w:marBottom w:val="0"/>
          <w:divBdr>
            <w:top w:val="none" w:sz="0" w:space="0" w:color="auto"/>
            <w:left w:val="none" w:sz="0" w:space="0" w:color="auto"/>
            <w:bottom w:val="none" w:sz="0" w:space="0" w:color="auto"/>
            <w:right w:val="none" w:sz="0" w:space="0" w:color="auto"/>
          </w:divBdr>
        </w:div>
        <w:div w:id="1720593802">
          <w:marLeft w:val="640"/>
          <w:marRight w:val="0"/>
          <w:marTop w:val="0"/>
          <w:marBottom w:val="0"/>
          <w:divBdr>
            <w:top w:val="none" w:sz="0" w:space="0" w:color="auto"/>
            <w:left w:val="none" w:sz="0" w:space="0" w:color="auto"/>
            <w:bottom w:val="none" w:sz="0" w:space="0" w:color="auto"/>
            <w:right w:val="none" w:sz="0" w:space="0" w:color="auto"/>
          </w:divBdr>
        </w:div>
        <w:div w:id="1020735956">
          <w:marLeft w:val="640"/>
          <w:marRight w:val="0"/>
          <w:marTop w:val="0"/>
          <w:marBottom w:val="0"/>
          <w:divBdr>
            <w:top w:val="none" w:sz="0" w:space="0" w:color="auto"/>
            <w:left w:val="none" w:sz="0" w:space="0" w:color="auto"/>
            <w:bottom w:val="none" w:sz="0" w:space="0" w:color="auto"/>
            <w:right w:val="none" w:sz="0" w:space="0" w:color="auto"/>
          </w:divBdr>
        </w:div>
        <w:div w:id="363987131">
          <w:marLeft w:val="640"/>
          <w:marRight w:val="0"/>
          <w:marTop w:val="0"/>
          <w:marBottom w:val="0"/>
          <w:divBdr>
            <w:top w:val="none" w:sz="0" w:space="0" w:color="auto"/>
            <w:left w:val="none" w:sz="0" w:space="0" w:color="auto"/>
            <w:bottom w:val="none" w:sz="0" w:space="0" w:color="auto"/>
            <w:right w:val="none" w:sz="0" w:space="0" w:color="auto"/>
          </w:divBdr>
        </w:div>
        <w:div w:id="460079865">
          <w:marLeft w:val="640"/>
          <w:marRight w:val="0"/>
          <w:marTop w:val="0"/>
          <w:marBottom w:val="0"/>
          <w:divBdr>
            <w:top w:val="none" w:sz="0" w:space="0" w:color="auto"/>
            <w:left w:val="none" w:sz="0" w:space="0" w:color="auto"/>
            <w:bottom w:val="none" w:sz="0" w:space="0" w:color="auto"/>
            <w:right w:val="none" w:sz="0" w:space="0" w:color="auto"/>
          </w:divBdr>
        </w:div>
        <w:div w:id="291983651">
          <w:marLeft w:val="640"/>
          <w:marRight w:val="0"/>
          <w:marTop w:val="0"/>
          <w:marBottom w:val="0"/>
          <w:divBdr>
            <w:top w:val="none" w:sz="0" w:space="0" w:color="auto"/>
            <w:left w:val="none" w:sz="0" w:space="0" w:color="auto"/>
            <w:bottom w:val="none" w:sz="0" w:space="0" w:color="auto"/>
            <w:right w:val="none" w:sz="0" w:space="0" w:color="auto"/>
          </w:divBdr>
        </w:div>
        <w:div w:id="1402021397">
          <w:marLeft w:val="640"/>
          <w:marRight w:val="0"/>
          <w:marTop w:val="0"/>
          <w:marBottom w:val="0"/>
          <w:divBdr>
            <w:top w:val="none" w:sz="0" w:space="0" w:color="auto"/>
            <w:left w:val="none" w:sz="0" w:space="0" w:color="auto"/>
            <w:bottom w:val="none" w:sz="0" w:space="0" w:color="auto"/>
            <w:right w:val="none" w:sz="0" w:space="0" w:color="auto"/>
          </w:divBdr>
        </w:div>
        <w:div w:id="302777815">
          <w:marLeft w:val="640"/>
          <w:marRight w:val="0"/>
          <w:marTop w:val="0"/>
          <w:marBottom w:val="0"/>
          <w:divBdr>
            <w:top w:val="none" w:sz="0" w:space="0" w:color="auto"/>
            <w:left w:val="none" w:sz="0" w:space="0" w:color="auto"/>
            <w:bottom w:val="none" w:sz="0" w:space="0" w:color="auto"/>
            <w:right w:val="none" w:sz="0" w:space="0" w:color="auto"/>
          </w:divBdr>
        </w:div>
        <w:div w:id="1066874761">
          <w:marLeft w:val="640"/>
          <w:marRight w:val="0"/>
          <w:marTop w:val="0"/>
          <w:marBottom w:val="0"/>
          <w:divBdr>
            <w:top w:val="none" w:sz="0" w:space="0" w:color="auto"/>
            <w:left w:val="none" w:sz="0" w:space="0" w:color="auto"/>
            <w:bottom w:val="none" w:sz="0" w:space="0" w:color="auto"/>
            <w:right w:val="none" w:sz="0" w:space="0" w:color="auto"/>
          </w:divBdr>
        </w:div>
        <w:div w:id="1230651010">
          <w:marLeft w:val="640"/>
          <w:marRight w:val="0"/>
          <w:marTop w:val="0"/>
          <w:marBottom w:val="0"/>
          <w:divBdr>
            <w:top w:val="none" w:sz="0" w:space="0" w:color="auto"/>
            <w:left w:val="none" w:sz="0" w:space="0" w:color="auto"/>
            <w:bottom w:val="none" w:sz="0" w:space="0" w:color="auto"/>
            <w:right w:val="none" w:sz="0" w:space="0" w:color="auto"/>
          </w:divBdr>
        </w:div>
        <w:div w:id="1494495161">
          <w:marLeft w:val="640"/>
          <w:marRight w:val="0"/>
          <w:marTop w:val="0"/>
          <w:marBottom w:val="0"/>
          <w:divBdr>
            <w:top w:val="none" w:sz="0" w:space="0" w:color="auto"/>
            <w:left w:val="none" w:sz="0" w:space="0" w:color="auto"/>
            <w:bottom w:val="none" w:sz="0" w:space="0" w:color="auto"/>
            <w:right w:val="none" w:sz="0" w:space="0" w:color="auto"/>
          </w:divBdr>
        </w:div>
        <w:div w:id="1774090275">
          <w:marLeft w:val="640"/>
          <w:marRight w:val="0"/>
          <w:marTop w:val="0"/>
          <w:marBottom w:val="0"/>
          <w:divBdr>
            <w:top w:val="none" w:sz="0" w:space="0" w:color="auto"/>
            <w:left w:val="none" w:sz="0" w:space="0" w:color="auto"/>
            <w:bottom w:val="none" w:sz="0" w:space="0" w:color="auto"/>
            <w:right w:val="none" w:sz="0" w:space="0" w:color="auto"/>
          </w:divBdr>
        </w:div>
        <w:div w:id="1375960468">
          <w:marLeft w:val="640"/>
          <w:marRight w:val="0"/>
          <w:marTop w:val="0"/>
          <w:marBottom w:val="0"/>
          <w:divBdr>
            <w:top w:val="none" w:sz="0" w:space="0" w:color="auto"/>
            <w:left w:val="none" w:sz="0" w:space="0" w:color="auto"/>
            <w:bottom w:val="none" w:sz="0" w:space="0" w:color="auto"/>
            <w:right w:val="none" w:sz="0" w:space="0" w:color="auto"/>
          </w:divBdr>
        </w:div>
        <w:div w:id="238641446">
          <w:marLeft w:val="640"/>
          <w:marRight w:val="0"/>
          <w:marTop w:val="0"/>
          <w:marBottom w:val="0"/>
          <w:divBdr>
            <w:top w:val="none" w:sz="0" w:space="0" w:color="auto"/>
            <w:left w:val="none" w:sz="0" w:space="0" w:color="auto"/>
            <w:bottom w:val="none" w:sz="0" w:space="0" w:color="auto"/>
            <w:right w:val="none" w:sz="0" w:space="0" w:color="auto"/>
          </w:divBdr>
        </w:div>
        <w:div w:id="1138917303">
          <w:marLeft w:val="640"/>
          <w:marRight w:val="0"/>
          <w:marTop w:val="0"/>
          <w:marBottom w:val="0"/>
          <w:divBdr>
            <w:top w:val="none" w:sz="0" w:space="0" w:color="auto"/>
            <w:left w:val="none" w:sz="0" w:space="0" w:color="auto"/>
            <w:bottom w:val="none" w:sz="0" w:space="0" w:color="auto"/>
            <w:right w:val="none" w:sz="0" w:space="0" w:color="auto"/>
          </w:divBdr>
        </w:div>
        <w:div w:id="1496146035">
          <w:marLeft w:val="640"/>
          <w:marRight w:val="0"/>
          <w:marTop w:val="0"/>
          <w:marBottom w:val="0"/>
          <w:divBdr>
            <w:top w:val="none" w:sz="0" w:space="0" w:color="auto"/>
            <w:left w:val="none" w:sz="0" w:space="0" w:color="auto"/>
            <w:bottom w:val="none" w:sz="0" w:space="0" w:color="auto"/>
            <w:right w:val="none" w:sz="0" w:space="0" w:color="auto"/>
          </w:divBdr>
        </w:div>
        <w:div w:id="1495142249">
          <w:marLeft w:val="640"/>
          <w:marRight w:val="0"/>
          <w:marTop w:val="0"/>
          <w:marBottom w:val="0"/>
          <w:divBdr>
            <w:top w:val="none" w:sz="0" w:space="0" w:color="auto"/>
            <w:left w:val="none" w:sz="0" w:space="0" w:color="auto"/>
            <w:bottom w:val="none" w:sz="0" w:space="0" w:color="auto"/>
            <w:right w:val="none" w:sz="0" w:space="0" w:color="auto"/>
          </w:divBdr>
        </w:div>
        <w:div w:id="1881819837">
          <w:marLeft w:val="640"/>
          <w:marRight w:val="0"/>
          <w:marTop w:val="0"/>
          <w:marBottom w:val="0"/>
          <w:divBdr>
            <w:top w:val="none" w:sz="0" w:space="0" w:color="auto"/>
            <w:left w:val="none" w:sz="0" w:space="0" w:color="auto"/>
            <w:bottom w:val="none" w:sz="0" w:space="0" w:color="auto"/>
            <w:right w:val="none" w:sz="0" w:space="0" w:color="auto"/>
          </w:divBdr>
        </w:div>
        <w:div w:id="1099179864">
          <w:marLeft w:val="640"/>
          <w:marRight w:val="0"/>
          <w:marTop w:val="0"/>
          <w:marBottom w:val="0"/>
          <w:divBdr>
            <w:top w:val="none" w:sz="0" w:space="0" w:color="auto"/>
            <w:left w:val="none" w:sz="0" w:space="0" w:color="auto"/>
            <w:bottom w:val="none" w:sz="0" w:space="0" w:color="auto"/>
            <w:right w:val="none" w:sz="0" w:space="0" w:color="auto"/>
          </w:divBdr>
        </w:div>
        <w:div w:id="648441868">
          <w:marLeft w:val="640"/>
          <w:marRight w:val="0"/>
          <w:marTop w:val="0"/>
          <w:marBottom w:val="0"/>
          <w:divBdr>
            <w:top w:val="none" w:sz="0" w:space="0" w:color="auto"/>
            <w:left w:val="none" w:sz="0" w:space="0" w:color="auto"/>
            <w:bottom w:val="none" w:sz="0" w:space="0" w:color="auto"/>
            <w:right w:val="none" w:sz="0" w:space="0" w:color="auto"/>
          </w:divBdr>
        </w:div>
        <w:div w:id="1511915849">
          <w:marLeft w:val="640"/>
          <w:marRight w:val="0"/>
          <w:marTop w:val="0"/>
          <w:marBottom w:val="0"/>
          <w:divBdr>
            <w:top w:val="none" w:sz="0" w:space="0" w:color="auto"/>
            <w:left w:val="none" w:sz="0" w:space="0" w:color="auto"/>
            <w:bottom w:val="none" w:sz="0" w:space="0" w:color="auto"/>
            <w:right w:val="none" w:sz="0" w:space="0" w:color="auto"/>
          </w:divBdr>
        </w:div>
        <w:div w:id="263266490">
          <w:marLeft w:val="640"/>
          <w:marRight w:val="0"/>
          <w:marTop w:val="0"/>
          <w:marBottom w:val="0"/>
          <w:divBdr>
            <w:top w:val="none" w:sz="0" w:space="0" w:color="auto"/>
            <w:left w:val="none" w:sz="0" w:space="0" w:color="auto"/>
            <w:bottom w:val="none" w:sz="0" w:space="0" w:color="auto"/>
            <w:right w:val="none" w:sz="0" w:space="0" w:color="auto"/>
          </w:divBdr>
        </w:div>
        <w:div w:id="1206260177">
          <w:marLeft w:val="640"/>
          <w:marRight w:val="0"/>
          <w:marTop w:val="0"/>
          <w:marBottom w:val="0"/>
          <w:divBdr>
            <w:top w:val="none" w:sz="0" w:space="0" w:color="auto"/>
            <w:left w:val="none" w:sz="0" w:space="0" w:color="auto"/>
            <w:bottom w:val="none" w:sz="0" w:space="0" w:color="auto"/>
            <w:right w:val="none" w:sz="0" w:space="0" w:color="auto"/>
          </w:divBdr>
        </w:div>
        <w:div w:id="1071581846">
          <w:marLeft w:val="640"/>
          <w:marRight w:val="0"/>
          <w:marTop w:val="0"/>
          <w:marBottom w:val="0"/>
          <w:divBdr>
            <w:top w:val="none" w:sz="0" w:space="0" w:color="auto"/>
            <w:left w:val="none" w:sz="0" w:space="0" w:color="auto"/>
            <w:bottom w:val="none" w:sz="0" w:space="0" w:color="auto"/>
            <w:right w:val="none" w:sz="0" w:space="0" w:color="auto"/>
          </w:divBdr>
        </w:div>
        <w:div w:id="499128061">
          <w:marLeft w:val="640"/>
          <w:marRight w:val="0"/>
          <w:marTop w:val="0"/>
          <w:marBottom w:val="0"/>
          <w:divBdr>
            <w:top w:val="none" w:sz="0" w:space="0" w:color="auto"/>
            <w:left w:val="none" w:sz="0" w:space="0" w:color="auto"/>
            <w:bottom w:val="none" w:sz="0" w:space="0" w:color="auto"/>
            <w:right w:val="none" w:sz="0" w:space="0" w:color="auto"/>
          </w:divBdr>
        </w:div>
        <w:div w:id="554240390">
          <w:marLeft w:val="640"/>
          <w:marRight w:val="0"/>
          <w:marTop w:val="0"/>
          <w:marBottom w:val="0"/>
          <w:divBdr>
            <w:top w:val="none" w:sz="0" w:space="0" w:color="auto"/>
            <w:left w:val="none" w:sz="0" w:space="0" w:color="auto"/>
            <w:bottom w:val="none" w:sz="0" w:space="0" w:color="auto"/>
            <w:right w:val="none" w:sz="0" w:space="0" w:color="auto"/>
          </w:divBdr>
        </w:div>
        <w:div w:id="668483812">
          <w:marLeft w:val="640"/>
          <w:marRight w:val="0"/>
          <w:marTop w:val="0"/>
          <w:marBottom w:val="0"/>
          <w:divBdr>
            <w:top w:val="none" w:sz="0" w:space="0" w:color="auto"/>
            <w:left w:val="none" w:sz="0" w:space="0" w:color="auto"/>
            <w:bottom w:val="none" w:sz="0" w:space="0" w:color="auto"/>
            <w:right w:val="none" w:sz="0" w:space="0" w:color="auto"/>
          </w:divBdr>
        </w:div>
        <w:div w:id="857935317">
          <w:marLeft w:val="640"/>
          <w:marRight w:val="0"/>
          <w:marTop w:val="0"/>
          <w:marBottom w:val="0"/>
          <w:divBdr>
            <w:top w:val="none" w:sz="0" w:space="0" w:color="auto"/>
            <w:left w:val="none" w:sz="0" w:space="0" w:color="auto"/>
            <w:bottom w:val="none" w:sz="0" w:space="0" w:color="auto"/>
            <w:right w:val="none" w:sz="0" w:space="0" w:color="auto"/>
          </w:divBdr>
        </w:div>
        <w:div w:id="2138374539">
          <w:marLeft w:val="640"/>
          <w:marRight w:val="0"/>
          <w:marTop w:val="0"/>
          <w:marBottom w:val="0"/>
          <w:divBdr>
            <w:top w:val="none" w:sz="0" w:space="0" w:color="auto"/>
            <w:left w:val="none" w:sz="0" w:space="0" w:color="auto"/>
            <w:bottom w:val="none" w:sz="0" w:space="0" w:color="auto"/>
            <w:right w:val="none" w:sz="0" w:space="0" w:color="auto"/>
          </w:divBdr>
        </w:div>
        <w:div w:id="1936672805">
          <w:marLeft w:val="640"/>
          <w:marRight w:val="0"/>
          <w:marTop w:val="0"/>
          <w:marBottom w:val="0"/>
          <w:divBdr>
            <w:top w:val="none" w:sz="0" w:space="0" w:color="auto"/>
            <w:left w:val="none" w:sz="0" w:space="0" w:color="auto"/>
            <w:bottom w:val="none" w:sz="0" w:space="0" w:color="auto"/>
            <w:right w:val="none" w:sz="0" w:space="0" w:color="auto"/>
          </w:divBdr>
        </w:div>
        <w:div w:id="1038354785">
          <w:marLeft w:val="640"/>
          <w:marRight w:val="0"/>
          <w:marTop w:val="0"/>
          <w:marBottom w:val="0"/>
          <w:divBdr>
            <w:top w:val="none" w:sz="0" w:space="0" w:color="auto"/>
            <w:left w:val="none" w:sz="0" w:space="0" w:color="auto"/>
            <w:bottom w:val="none" w:sz="0" w:space="0" w:color="auto"/>
            <w:right w:val="none" w:sz="0" w:space="0" w:color="auto"/>
          </w:divBdr>
        </w:div>
        <w:div w:id="1476873582">
          <w:marLeft w:val="640"/>
          <w:marRight w:val="0"/>
          <w:marTop w:val="0"/>
          <w:marBottom w:val="0"/>
          <w:divBdr>
            <w:top w:val="none" w:sz="0" w:space="0" w:color="auto"/>
            <w:left w:val="none" w:sz="0" w:space="0" w:color="auto"/>
            <w:bottom w:val="none" w:sz="0" w:space="0" w:color="auto"/>
            <w:right w:val="none" w:sz="0" w:space="0" w:color="auto"/>
          </w:divBdr>
        </w:div>
        <w:div w:id="1869905683">
          <w:marLeft w:val="640"/>
          <w:marRight w:val="0"/>
          <w:marTop w:val="0"/>
          <w:marBottom w:val="0"/>
          <w:divBdr>
            <w:top w:val="none" w:sz="0" w:space="0" w:color="auto"/>
            <w:left w:val="none" w:sz="0" w:space="0" w:color="auto"/>
            <w:bottom w:val="none" w:sz="0" w:space="0" w:color="auto"/>
            <w:right w:val="none" w:sz="0" w:space="0" w:color="auto"/>
          </w:divBdr>
        </w:div>
        <w:div w:id="968436356">
          <w:marLeft w:val="640"/>
          <w:marRight w:val="0"/>
          <w:marTop w:val="0"/>
          <w:marBottom w:val="0"/>
          <w:divBdr>
            <w:top w:val="none" w:sz="0" w:space="0" w:color="auto"/>
            <w:left w:val="none" w:sz="0" w:space="0" w:color="auto"/>
            <w:bottom w:val="none" w:sz="0" w:space="0" w:color="auto"/>
            <w:right w:val="none" w:sz="0" w:space="0" w:color="auto"/>
          </w:divBdr>
        </w:div>
        <w:div w:id="1047142767">
          <w:marLeft w:val="640"/>
          <w:marRight w:val="0"/>
          <w:marTop w:val="0"/>
          <w:marBottom w:val="0"/>
          <w:divBdr>
            <w:top w:val="none" w:sz="0" w:space="0" w:color="auto"/>
            <w:left w:val="none" w:sz="0" w:space="0" w:color="auto"/>
            <w:bottom w:val="none" w:sz="0" w:space="0" w:color="auto"/>
            <w:right w:val="none" w:sz="0" w:space="0" w:color="auto"/>
          </w:divBdr>
        </w:div>
        <w:div w:id="823861323">
          <w:marLeft w:val="640"/>
          <w:marRight w:val="0"/>
          <w:marTop w:val="0"/>
          <w:marBottom w:val="0"/>
          <w:divBdr>
            <w:top w:val="none" w:sz="0" w:space="0" w:color="auto"/>
            <w:left w:val="none" w:sz="0" w:space="0" w:color="auto"/>
            <w:bottom w:val="none" w:sz="0" w:space="0" w:color="auto"/>
            <w:right w:val="none" w:sz="0" w:space="0" w:color="auto"/>
          </w:divBdr>
        </w:div>
        <w:div w:id="1915119004">
          <w:marLeft w:val="640"/>
          <w:marRight w:val="0"/>
          <w:marTop w:val="0"/>
          <w:marBottom w:val="0"/>
          <w:divBdr>
            <w:top w:val="none" w:sz="0" w:space="0" w:color="auto"/>
            <w:left w:val="none" w:sz="0" w:space="0" w:color="auto"/>
            <w:bottom w:val="none" w:sz="0" w:space="0" w:color="auto"/>
            <w:right w:val="none" w:sz="0" w:space="0" w:color="auto"/>
          </w:divBdr>
        </w:div>
        <w:div w:id="1380860007">
          <w:marLeft w:val="640"/>
          <w:marRight w:val="0"/>
          <w:marTop w:val="0"/>
          <w:marBottom w:val="0"/>
          <w:divBdr>
            <w:top w:val="none" w:sz="0" w:space="0" w:color="auto"/>
            <w:left w:val="none" w:sz="0" w:space="0" w:color="auto"/>
            <w:bottom w:val="none" w:sz="0" w:space="0" w:color="auto"/>
            <w:right w:val="none" w:sz="0" w:space="0" w:color="auto"/>
          </w:divBdr>
        </w:div>
        <w:div w:id="681392360">
          <w:marLeft w:val="640"/>
          <w:marRight w:val="0"/>
          <w:marTop w:val="0"/>
          <w:marBottom w:val="0"/>
          <w:divBdr>
            <w:top w:val="none" w:sz="0" w:space="0" w:color="auto"/>
            <w:left w:val="none" w:sz="0" w:space="0" w:color="auto"/>
            <w:bottom w:val="none" w:sz="0" w:space="0" w:color="auto"/>
            <w:right w:val="none" w:sz="0" w:space="0" w:color="auto"/>
          </w:divBdr>
        </w:div>
        <w:div w:id="1534806554">
          <w:marLeft w:val="640"/>
          <w:marRight w:val="0"/>
          <w:marTop w:val="0"/>
          <w:marBottom w:val="0"/>
          <w:divBdr>
            <w:top w:val="none" w:sz="0" w:space="0" w:color="auto"/>
            <w:left w:val="none" w:sz="0" w:space="0" w:color="auto"/>
            <w:bottom w:val="none" w:sz="0" w:space="0" w:color="auto"/>
            <w:right w:val="none" w:sz="0" w:space="0" w:color="auto"/>
          </w:divBdr>
        </w:div>
        <w:div w:id="392582497">
          <w:marLeft w:val="640"/>
          <w:marRight w:val="0"/>
          <w:marTop w:val="0"/>
          <w:marBottom w:val="0"/>
          <w:divBdr>
            <w:top w:val="none" w:sz="0" w:space="0" w:color="auto"/>
            <w:left w:val="none" w:sz="0" w:space="0" w:color="auto"/>
            <w:bottom w:val="none" w:sz="0" w:space="0" w:color="auto"/>
            <w:right w:val="none" w:sz="0" w:space="0" w:color="auto"/>
          </w:divBdr>
        </w:div>
        <w:div w:id="1369641677">
          <w:marLeft w:val="640"/>
          <w:marRight w:val="0"/>
          <w:marTop w:val="0"/>
          <w:marBottom w:val="0"/>
          <w:divBdr>
            <w:top w:val="none" w:sz="0" w:space="0" w:color="auto"/>
            <w:left w:val="none" w:sz="0" w:space="0" w:color="auto"/>
            <w:bottom w:val="none" w:sz="0" w:space="0" w:color="auto"/>
            <w:right w:val="none" w:sz="0" w:space="0" w:color="auto"/>
          </w:divBdr>
        </w:div>
        <w:div w:id="1002658314">
          <w:marLeft w:val="640"/>
          <w:marRight w:val="0"/>
          <w:marTop w:val="0"/>
          <w:marBottom w:val="0"/>
          <w:divBdr>
            <w:top w:val="none" w:sz="0" w:space="0" w:color="auto"/>
            <w:left w:val="none" w:sz="0" w:space="0" w:color="auto"/>
            <w:bottom w:val="none" w:sz="0" w:space="0" w:color="auto"/>
            <w:right w:val="none" w:sz="0" w:space="0" w:color="auto"/>
          </w:divBdr>
        </w:div>
        <w:div w:id="1274241158">
          <w:marLeft w:val="640"/>
          <w:marRight w:val="0"/>
          <w:marTop w:val="0"/>
          <w:marBottom w:val="0"/>
          <w:divBdr>
            <w:top w:val="none" w:sz="0" w:space="0" w:color="auto"/>
            <w:left w:val="none" w:sz="0" w:space="0" w:color="auto"/>
            <w:bottom w:val="none" w:sz="0" w:space="0" w:color="auto"/>
            <w:right w:val="none" w:sz="0" w:space="0" w:color="auto"/>
          </w:divBdr>
        </w:div>
        <w:div w:id="1918906208">
          <w:marLeft w:val="640"/>
          <w:marRight w:val="0"/>
          <w:marTop w:val="0"/>
          <w:marBottom w:val="0"/>
          <w:divBdr>
            <w:top w:val="none" w:sz="0" w:space="0" w:color="auto"/>
            <w:left w:val="none" w:sz="0" w:space="0" w:color="auto"/>
            <w:bottom w:val="none" w:sz="0" w:space="0" w:color="auto"/>
            <w:right w:val="none" w:sz="0" w:space="0" w:color="auto"/>
          </w:divBdr>
        </w:div>
        <w:div w:id="380175010">
          <w:marLeft w:val="640"/>
          <w:marRight w:val="0"/>
          <w:marTop w:val="0"/>
          <w:marBottom w:val="0"/>
          <w:divBdr>
            <w:top w:val="none" w:sz="0" w:space="0" w:color="auto"/>
            <w:left w:val="none" w:sz="0" w:space="0" w:color="auto"/>
            <w:bottom w:val="none" w:sz="0" w:space="0" w:color="auto"/>
            <w:right w:val="none" w:sz="0" w:space="0" w:color="auto"/>
          </w:divBdr>
        </w:div>
        <w:div w:id="749888303">
          <w:marLeft w:val="640"/>
          <w:marRight w:val="0"/>
          <w:marTop w:val="0"/>
          <w:marBottom w:val="0"/>
          <w:divBdr>
            <w:top w:val="none" w:sz="0" w:space="0" w:color="auto"/>
            <w:left w:val="none" w:sz="0" w:space="0" w:color="auto"/>
            <w:bottom w:val="none" w:sz="0" w:space="0" w:color="auto"/>
            <w:right w:val="none" w:sz="0" w:space="0" w:color="auto"/>
          </w:divBdr>
        </w:div>
        <w:div w:id="1082995360">
          <w:marLeft w:val="640"/>
          <w:marRight w:val="0"/>
          <w:marTop w:val="0"/>
          <w:marBottom w:val="0"/>
          <w:divBdr>
            <w:top w:val="none" w:sz="0" w:space="0" w:color="auto"/>
            <w:left w:val="none" w:sz="0" w:space="0" w:color="auto"/>
            <w:bottom w:val="none" w:sz="0" w:space="0" w:color="auto"/>
            <w:right w:val="none" w:sz="0" w:space="0" w:color="auto"/>
          </w:divBdr>
        </w:div>
        <w:div w:id="44453223">
          <w:marLeft w:val="640"/>
          <w:marRight w:val="0"/>
          <w:marTop w:val="0"/>
          <w:marBottom w:val="0"/>
          <w:divBdr>
            <w:top w:val="none" w:sz="0" w:space="0" w:color="auto"/>
            <w:left w:val="none" w:sz="0" w:space="0" w:color="auto"/>
            <w:bottom w:val="none" w:sz="0" w:space="0" w:color="auto"/>
            <w:right w:val="none" w:sz="0" w:space="0" w:color="auto"/>
          </w:divBdr>
        </w:div>
        <w:div w:id="24210155">
          <w:marLeft w:val="640"/>
          <w:marRight w:val="0"/>
          <w:marTop w:val="0"/>
          <w:marBottom w:val="0"/>
          <w:divBdr>
            <w:top w:val="none" w:sz="0" w:space="0" w:color="auto"/>
            <w:left w:val="none" w:sz="0" w:space="0" w:color="auto"/>
            <w:bottom w:val="none" w:sz="0" w:space="0" w:color="auto"/>
            <w:right w:val="none" w:sz="0" w:space="0" w:color="auto"/>
          </w:divBdr>
        </w:div>
        <w:div w:id="483787198">
          <w:marLeft w:val="640"/>
          <w:marRight w:val="0"/>
          <w:marTop w:val="0"/>
          <w:marBottom w:val="0"/>
          <w:divBdr>
            <w:top w:val="none" w:sz="0" w:space="0" w:color="auto"/>
            <w:left w:val="none" w:sz="0" w:space="0" w:color="auto"/>
            <w:bottom w:val="none" w:sz="0" w:space="0" w:color="auto"/>
            <w:right w:val="none" w:sz="0" w:space="0" w:color="auto"/>
          </w:divBdr>
        </w:div>
        <w:div w:id="485048302">
          <w:marLeft w:val="640"/>
          <w:marRight w:val="0"/>
          <w:marTop w:val="0"/>
          <w:marBottom w:val="0"/>
          <w:divBdr>
            <w:top w:val="none" w:sz="0" w:space="0" w:color="auto"/>
            <w:left w:val="none" w:sz="0" w:space="0" w:color="auto"/>
            <w:bottom w:val="none" w:sz="0" w:space="0" w:color="auto"/>
            <w:right w:val="none" w:sz="0" w:space="0" w:color="auto"/>
          </w:divBdr>
        </w:div>
        <w:div w:id="134033970">
          <w:marLeft w:val="640"/>
          <w:marRight w:val="0"/>
          <w:marTop w:val="0"/>
          <w:marBottom w:val="0"/>
          <w:divBdr>
            <w:top w:val="none" w:sz="0" w:space="0" w:color="auto"/>
            <w:left w:val="none" w:sz="0" w:space="0" w:color="auto"/>
            <w:bottom w:val="none" w:sz="0" w:space="0" w:color="auto"/>
            <w:right w:val="none" w:sz="0" w:space="0" w:color="auto"/>
          </w:divBdr>
        </w:div>
        <w:div w:id="385376953">
          <w:marLeft w:val="640"/>
          <w:marRight w:val="0"/>
          <w:marTop w:val="0"/>
          <w:marBottom w:val="0"/>
          <w:divBdr>
            <w:top w:val="none" w:sz="0" w:space="0" w:color="auto"/>
            <w:left w:val="none" w:sz="0" w:space="0" w:color="auto"/>
            <w:bottom w:val="none" w:sz="0" w:space="0" w:color="auto"/>
            <w:right w:val="none" w:sz="0" w:space="0" w:color="auto"/>
          </w:divBdr>
        </w:div>
        <w:div w:id="305429166">
          <w:marLeft w:val="640"/>
          <w:marRight w:val="0"/>
          <w:marTop w:val="0"/>
          <w:marBottom w:val="0"/>
          <w:divBdr>
            <w:top w:val="none" w:sz="0" w:space="0" w:color="auto"/>
            <w:left w:val="none" w:sz="0" w:space="0" w:color="auto"/>
            <w:bottom w:val="none" w:sz="0" w:space="0" w:color="auto"/>
            <w:right w:val="none" w:sz="0" w:space="0" w:color="auto"/>
          </w:divBdr>
        </w:div>
        <w:div w:id="257257049">
          <w:marLeft w:val="640"/>
          <w:marRight w:val="0"/>
          <w:marTop w:val="0"/>
          <w:marBottom w:val="0"/>
          <w:divBdr>
            <w:top w:val="none" w:sz="0" w:space="0" w:color="auto"/>
            <w:left w:val="none" w:sz="0" w:space="0" w:color="auto"/>
            <w:bottom w:val="none" w:sz="0" w:space="0" w:color="auto"/>
            <w:right w:val="none" w:sz="0" w:space="0" w:color="auto"/>
          </w:divBdr>
        </w:div>
        <w:div w:id="801117510">
          <w:marLeft w:val="640"/>
          <w:marRight w:val="0"/>
          <w:marTop w:val="0"/>
          <w:marBottom w:val="0"/>
          <w:divBdr>
            <w:top w:val="none" w:sz="0" w:space="0" w:color="auto"/>
            <w:left w:val="none" w:sz="0" w:space="0" w:color="auto"/>
            <w:bottom w:val="none" w:sz="0" w:space="0" w:color="auto"/>
            <w:right w:val="none" w:sz="0" w:space="0" w:color="auto"/>
          </w:divBdr>
        </w:div>
        <w:div w:id="1784107099">
          <w:marLeft w:val="640"/>
          <w:marRight w:val="0"/>
          <w:marTop w:val="0"/>
          <w:marBottom w:val="0"/>
          <w:divBdr>
            <w:top w:val="none" w:sz="0" w:space="0" w:color="auto"/>
            <w:left w:val="none" w:sz="0" w:space="0" w:color="auto"/>
            <w:bottom w:val="none" w:sz="0" w:space="0" w:color="auto"/>
            <w:right w:val="none" w:sz="0" w:space="0" w:color="auto"/>
          </w:divBdr>
        </w:div>
        <w:div w:id="1169708399">
          <w:marLeft w:val="640"/>
          <w:marRight w:val="0"/>
          <w:marTop w:val="0"/>
          <w:marBottom w:val="0"/>
          <w:divBdr>
            <w:top w:val="none" w:sz="0" w:space="0" w:color="auto"/>
            <w:left w:val="none" w:sz="0" w:space="0" w:color="auto"/>
            <w:bottom w:val="none" w:sz="0" w:space="0" w:color="auto"/>
            <w:right w:val="none" w:sz="0" w:space="0" w:color="auto"/>
          </w:divBdr>
        </w:div>
        <w:div w:id="110979651">
          <w:marLeft w:val="640"/>
          <w:marRight w:val="0"/>
          <w:marTop w:val="0"/>
          <w:marBottom w:val="0"/>
          <w:divBdr>
            <w:top w:val="none" w:sz="0" w:space="0" w:color="auto"/>
            <w:left w:val="none" w:sz="0" w:space="0" w:color="auto"/>
            <w:bottom w:val="none" w:sz="0" w:space="0" w:color="auto"/>
            <w:right w:val="none" w:sz="0" w:space="0" w:color="auto"/>
          </w:divBdr>
        </w:div>
        <w:div w:id="707683941">
          <w:marLeft w:val="640"/>
          <w:marRight w:val="0"/>
          <w:marTop w:val="0"/>
          <w:marBottom w:val="0"/>
          <w:divBdr>
            <w:top w:val="none" w:sz="0" w:space="0" w:color="auto"/>
            <w:left w:val="none" w:sz="0" w:space="0" w:color="auto"/>
            <w:bottom w:val="none" w:sz="0" w:space="0" w:color="auto"/>
            <w:right w:val="none" w:sz="0" w:space="0" w:color="auto"/>
          </w:divBdr>
        </w:div>
        <w:div w:id="2101829675">
          <w:marLeft w:val="640"/>
          <w:marRight w:val="0"/>
          <w:marTop w:val="0"/>
          <w:marBottom w:val="0"/>
          <w:divBdr>
            <w:top w:val="none" w:sz="0" w:space="0" w:color="auto"/>
            <w:left w:val="none" w:sz="0" w:space="0" w:color="auto"/>
            <w:bottom w:val="none" w:sz="0" w:space="0" w:color="auto"/>
            <w:right w:val="none" w:sz="0" w:space="0" w:color="auto"/>
          </w:divBdr>
        </w:div>
        <w:div w:id="575213822">
          <w:marLeft w:val="640"/>
          <w:marRight w:val="0"/>
          <w:marTop w:val="0"/>
          <w:marBottom w:val="0"/>
          <w:divBdr>
            <w:top w:val="none" w:sz="0" w:space="0" w:color="auto"/>
            <w:left w:val="none" w:sz="0" w:space="0" w:color="auto"/>
            <w:bottom w:val="none" w:sz="0" w:space="0" w:color="auto"/>
            <w:right w:val="none" w:sz="0" w:space="0" w:color="auto"/>
          </w:divBdr>
        </w:div>
        <w:div w:id="189417092">
          <w:marLeft w:val="640"/>
          <w:marRight w:val="0"/>
          <w:marTop w:val="0"/>
          <w:marBottom w:val="0"/>
          <w:divBdr>
            <w:top w:val="none" w:sz="0" w:space="0" w:color="auto"/>
            <w:left w:val="none" w:sz="0" w:space="0" w:color="auto"/>
            <w:bottom w:val="none" w:sz="0" w:space="0" w:color="auto"/>
            <w:right w:val="none" w:sz="0" w:space="0" w:color="auto"/>
          </w:divBdr>
        </w:div>
        <w:div w:id="1478574661">
          <w:marLeft w:val="640"/>
          <w:marRight w:val="0"/>
          <w:marTop w:val="0"/>
          <w:marBottom w:val="0"/>
          <w:divBdr>
            <w:top w:val="none" w:sz="0" w:space="0" w:color="auto"/>
            <w:left w:val="none" w:sz="0" w:space="0" w:color="auto"/>
            <w:bottom w:val="none" w:sz="0" w:space="0" w:color="auto"/>
            <w:right w:val="none" w:sz="0" w:space="0" w:color="auto"/>
          </w:divBdr>
        </w:div>
        <w:div w:id="1288122265">
          <w:marLeft w:val="640"/>
          <w:marRight w:val="0"/>
          <w:marTop w:val="0"/>
          <w:marBottom w:val="0"/>
          <w:divBdr>
            <w:top w:val="none" w:sz="0" w:space="0" w:color="auto"/>
            <w:left w:val="none" w:sz="0" w:space="0" w:color="auto"/>
            <w:bottom w:val="none" w:sz="0" w:space="0" w:color="auto"/>
            <w:right w:val="none" w:sz="0" w:space="0" w:color="auto"/>
          </w:divBdr>
        </w:div>
        <w:div w:id="642857339">
          <w:marLeft w:val="640"/>
          <w:marRight w:val="0"/>
          <w:marTop w:val="0"/>
          <w:marBottom w:val="0"/>
          <w:divBdr>
            <w:top w:val="none" w:sz="0" w:space="0" w:color="auto"/>
            <w:left w:val="none" w:sz="0" w:space="0" w:color="auto"/>
            <w:bottom w:val="none" w:sz="0" w:space="0" w:color="auto"/>
            <w:right w:val="none" w:sz="0" w:space="0" w:color="auto"/>
          </w:divBdr>
        </w:div>
        <w:div w:id="371465765">
          <w:marLeft w:val="640"/>
          <w:marRight w:val="0"/>
          <w:marTop w:val="0"/>
          <w:marBottom w:val="0"/>
          <w:divBdr>
            <w:top w:val="none" w:sz="0" w:space="0" w:color="auto"/>
            <w:left w:val="none" w:sz="0" w:space="0" w:color="auto"/>
            <w:bottom w:val="none" w:sz="0" w:space="0" w:color="auto"/>
            <w:right w:val="none" w:sz="0" w:space="0" w:color="auto"/>
          </w:divBdr>
        </w:div>
        <w:div w:id="997534485">
          <w:marLeft w:val="640"/>
          <w:marRight w:val="0"/>
          <w:marTop w:val="0"/>
          <w:marBottom w:val="0"/>
          <w:divBdr>
            <w:top w:val="none" w:sz="0" w:space="0" w:color="auto"/>
            <w:left w:val="none" w:sz="0" w:space="0" w:color="auto"/>
            <w:bottom w:val="none" w:sz="0" w:space="0" w:color="auto"/>
            <w:right w:val="none" w:sz="0" w:space="0" w:color="auto"/>
          </w:divBdr>
        </w:div>
        <w:div w:id="2140683454">
          <w:marLeft w:val="640"/>
          <w:marRight w:val="0"/>
          <w:marTop w:val="0"/>
          <w:marBottom w:val="0"/>
          <w:divBdr>
            <w:top w:val="none" w:sz="0" w:space="0" w:color="auto"/>
            <w:left w:val="none" w:sz="0" w:space="0" w:color="auto"/>
            <w:bottom w:val="none" w:sz="0" w:space="0" w:color="auto"/>
            <w:right w:val="none" w:sz="0" w:space="0" w:color="auto"/>
          </w:divBdr>
        </w:div>
        <w:div w:id="1081952780">
          <w:marLeft w:val="640"/>
          <w:marRight w:val="0"/>
          <w:marTop w:val="0"/>
          <w:marBottom w:val="0"/>
          <w:divBdr>
            <w:top w:val="none" w:sz="0" w:space="0" w:color="auto"/>
            <w:left w:val="none" w:sz="0" w:space="0" w:color="auto"/>
            <w:bottom w:val="none" w:sz="0" w:space="0" w:color="auto"/>
            <w:right w:val="none" w:sz="0" w:space="0" w:color="auto"/>
          </w:divBdr>
        </w:div>
        <w:div w:id="2058164388">
          <w:marLeft w:val="640"/>
          <w:marRight w:val="0"/>
          <w:marTop w:val="0"/>
          <w:marBottom w:val="0"/>
          <w:divBdr>
            <w:top w:val="none" w:sz="0" w:space="0" w:color="auto"/>
            <w:left w:val="none" w:sz="0" w:space="0" w:color="auto"/>
            <w:bottom w:val="none" w:sz="0" w:space="0" w:color="auto"/>
            <w:right w:val="none" w:sz="0" w:space="0" w:color="auto"/>
          </w:divBdr>
        </w:div>
        <w:div w:id="1152671688">
          <w:marLeft w:val="640"/>
          <w:marRight w:val="0"/>
          <w:marTop w:val="0"/>
          <w:marBottom w:val="0"/>
          <w:divBdr>
            <w:top w:val="none" w:sz="0" w:space="0" w:color="auto"/>
            <w:left w:val="none" w:sz="0" w:space="0" w:color="auto"/>
            <w:bottom w:val="none" w:sz="0" w:space="0" w:color="auto"/>
            <w:right w:val="none" w:sz="0" w:space="0" w:color="auto"/>
          </w:divBdr>
        </w:div>
        <w:div w:id="2075741778">
          <w:marLeft w:val="640"/>
          <w:marRight w:val="0"/>
          <w:marTop w:val="0"/>
          <w:marBottom w:val="0"/>
          <w:divBdr>
            <w:top w:val="none" w:sz="0" w:space="0" w:color="auto"/>
            <w:left w:val="none" w:sz="0" w:space="0" w:color="auto"/>
            <w:bottom w:val="none" w:sz="0" w:space="0" w:color="auto"/>
            <w:right w:val="none" w:sz="0" w:space="0" w:color="auto"/>
          </w:divBdr>
        </w:div>
        <w:div w:id="1119833171">
          <w:marLeft w:val="640"/>
          <w:marRight w:val="0"/>
          <w:marTop w:val="0"/>
          <w:marBottom w:val="0"/>
          <w:divBdr>
            <w:top w:val="none" w:sz="0" w:space="0" w:color="auto"/>
            <w:left w:val="none" w:sz="0" w:space="0" w:color="auto"/>
            <w:bottom w:val="none" w:sz="0" w:space="0" w:color="auto"/>
            <w:right w:val="none" w:sz="0" w:space="0" w:color="auto"/>
          </w:divBdr>
        </w:div>
        <w:div w:id="617377384">
          <w:marLeft w:val="640"/>
          <w:marRight w:val="0"/>
          <w:marTop w:val="0"/>
          <w:marBottom w:val="0"/>
          <w:divBdr>
            <w:top w:val="none" w:sz="0" w:space="0" w:color="auto"/>
            <w:left w:val="none" w:sz="0" w:space="0" w:color="auto"/>
            <w:bottom w:val="none" w:sz="0" w:space="0" w:color="auto"/>
            <w:right w:val="none" w:sz="0" w:space="0" w:color="auto"/>
          </w:divBdr>
        </w:div>
        <w:div w:id="1969049573">
          <w:marLeft w:val="640"/>
          <w:marRight w:val="0"/>
          <w:marTop w:val="0"/>
          <w:marBottom w:val="0"/>
          <w:divBdr>
            <w:top w:val="none" w:sz="0" w:space="0" w:color="auto"/>
            <w:left w:val="none" w:sz="0" w:space="0" w:color="auto"/>
            <w:bottom w:val="none" w:sz="0" w:space="0" w:color="auto"/>
            <w:right w:val="none" w:sz="0" w:space="0" w:color="auto"/>
          </w:divBdr>
        </w:div>
        <w:div w:id="1405955520">
          <w:marLeft w:val="640"/>
          <w:marRight w:val="0"/>
          <w:marTop w:val="0"/>
          <w:marBottom w:val="0"/>
          <w:divBdr>
            <w:top w:val="none" w:sz="0" w:space="0" w:color="auto"/>
            <w:left w:val="none" w:sz="0" w:space="0" w:color="auto"/>
            <w:bottom w:val="none" w:sz="0" w:space="0" w:color="auto"/>
            <w:right w:val="none" w:sz="0" w:space="0" w:color="auto"/>
          </w:divBdr>
        </w:div>
        <w:div w:id="1664117421">
          <w:marLeft w:val="640"/>
          <w:marRight w:val="0"/>
          <w:marTop w:val="0"/>
          <w:marBottom w:val="0"/>
          <w:divBdr>
            <w:top w:val="none" w:sz="0" w:space="0" w:color="auto"/>
            <w:left w:val="none" w:sz="0" w:space="0" w:color="auto"/>
            <w:bottom w:val="none" w:sz="0" w:space="0" w:color="auto"/>
            <w:right w:val="none" w:sz="0" w:space="0" w:color="auto"/>
          </w:divBdr>
        </w:div>
        <w:div w:id="1631133913">
          <w:marLeft w:val="640"/>
          <w:marRight w:val="0"/>
          <w:marTop w:val="0"/>
          <w:marBottom w:val="0"/>
          <w:divBdr>
            <w:top w:val="none" w:sz="0" w:space="0" w:color="auto"/>
            <w:left w:val="none" w:sz="0" w:space="0" w:color="auto"/>
            <w:bottom w:val="none" w:sz="0" w:space="0" w:color="auto"/>
            <w:right w:val="none" w:sz="0" w:space="0" w:color="auto"/>
          </w:divBdr>
        </w:div>
        <w:div w:id="529495863">
          <w:marLeft w:val="640"/>
          <w:marRight w:val="0"/>
          <w:marTop w:val="0"/>
          <w:marBottom w:val="0"/>
          <w:divBdr>
            <w:top w:val="none" w:sz="0" w:space="0" w:color="auto"/>
            <w:left w:val="none" w:sz="0" w:space="0" w:color="auto"/>
            <w:bottom w:val="none" w:sz="0" w:space="0" w:color="auto"/>
            <w:right w:val="none" w:sz="0" w:space="0" w:color="auto"/>
          </w:divBdr>
        </w:div>
        <w:div w:id="1846095914">
          <w:marLeft w:val="640"/>
          <w:marRight w:val="0"/>
          <w:marTop w:val="0"/>
          <w:marBottom w:val="0"/>
          <w:divBdr>
            <w:top w:val="none" w:sz="0" w:space="0" w:color="auto"/>
            <w:left w:val="none" w:sz="0" w:space="0" w:color="auto"/>
            <w:bottom w:val="none" w:sz="0" w:space="0" w:color="auto"/>
            <w:right w:val="none" w:sz="0" w:space="0" w:color="auto"/>
          </w:divBdr>
        </w:div>
        <w:div w:id="1365910967">
          <w:marLeft w:val="640"/>
          <w:marRight w:val="0"/>
          <w:marTop w:val="0"/>
          <w:marBottom w:val="0"/>
          <w:divBdr>
            <w:top w:val="none" w:sz="0" w:space="0" w:color="auto"/>
            <w:left w:val="none" w:sz="0" w:space="0" w:color="auto"/>
            <w:bottom w:val="none" w:sz="0" w:space="0" w:color="auto"/>
            <w:right w:val="none" w:sz="0" w:space="0" w:color="auto"/>
          </w:divBdr>
        </w:div>
        <w:div w:id="6833664">
          <w:marLeft w:val="640"/>
          <w:marRight w:val="0"/>
          <w:marTop w:val="0"/>
          <w:marBottom w:val="0"/>
          <w:divBdr>
            <w:top w:val="none" w:sz="0" w:space="0" w:color="auto"/>
            <w:left w:val="none" w:sz="0" w:space="0" w:color="auto"/>
            <w:bottom w:val="none" w:sz="0" w:space="0" w:color="auto"/>
            <w:right w:val="none" w:sz="0" w:space="0" w:color="auto"/>
          </w:divBdr>
        </w:div>
        <w:div w:id="1044789520">
          <w:marLeft w:val="640"/>
          <w:marRight w:val="0"/>
          <w:marTop w:val="0"/>
          <w:marBottom w:val="0"/>
          <w:divBdr>
            <w:top w:val="none" w:sz="0" w:space="0" w:color="auto"/>
            <w:left w:val="none" w:sz="0" w:space="0" w:color="auto"/>
            <w:bottom w:val="none" w:sz="0" w:space="0" w:color="auto"/>
            <w:right w:val="none" w:sz="0" w:space="0" w:color="auto"/>
          </w:divBdr>
        </w:div>
        <w:div w:id="2022075732">
          <w:marLeft w:val="640"/>
          <w:marRight w:val="0"/>
          <w:marTop w:val="0"/>
          <w:marBottom w:val="0"/>
          <w:divBdr>
            <w:top w:val="none" w:sz="0" w:space="0" w:color="auto"/>
            <w:left w:val="none" w:sz="0" w:space="0" w:color="auto"/>
            <w:bottom w:val="none" w:sz="0" w:space="0" w:color="auto"/>
            <w:right w:val="none" w:sz="0" w:space="0" w:color="auto"/>
          </w:divBdr>
        </w:div>
        <w:div w:id="1755007411">
          <w:marLeft w:val="640"/>
          <w:marRight w:val="0"/>
          <w:marTop w:val="0"/>
          <w:marBottom w:val="0"/>
          <w:divBdr>
            <w:top w:val="none" w:sz="0" w:space="0" w:color="auto"/>
            <w:left w:val="none" w:sz="0" w:space="0" w:color="auto"/>
            <w:bottom w:val="none" w:sz="0" w:space="0" w:color="auto"/>
            <w:right w:val="none" w:sz="0" w:space="0" w:color="auto"/>
          </w:divBdr>
        </w:div>
        <w:div w:id="1156724231">
          <w:marLeft w:val="640"/>
          <w:marRight w:val="0"/>
          <w:marTop w:val="0"/>
          <w:marBottom w:val="0"/>
          <w:divBdr>
            <w:top w:val="none" w:sz="0" w:space="0" w:color="auto"/>
            <w:left w:val="none" w:sz="0" w:space="0" w:color="auto"/>
            <w:bottom w:val="none" w:sz="0" w:space="0" w:color="auto"/>
            <w:right w:val="none" w:sz="0" w:space="0" w:color="auto"/>
          </w:divBdr>
        </w:div>
        <w:div w:id="1329557288">
          <w:marLeft w:val="640"/>
          <w:marRight w:val="0"/>
          <w:marTop w:val="0"/>
          <w:marBottom w:val="0"/>
          <w:divBdr>
            <w:top w:val="none" w:sz="0" w:space="0" w:color="auto"/>
            <w:left w:val="none" w:sz="0" w:space="0" w:color="auto"/>
            <w:bottom w:val="none" w:sz="0" w:space="0" w:color="auto"/>
            <w:right w:val="none" w:sz="0" w:space="0" w:color="auto"/>
          </w:divBdr>
        </w:div>
        <w:div w:id="1292902175">
          <w:marLeft w:val="640"/>
          <w:marRight w:val="0"/>
          <w:marTop w:val="0"/>
          <w:marBottom w:val="0"/>
          <w:divBdr>
            <w:top w:val="none" w:sz="0" w:space="0" w:color="auto"/>
            <w:left w:val="none" w:sz="0" w:space="0" w:color="auto"/>
            <w:bottom w:val="none" w:sz="0" w:space="0" w:color="auto"/>
            <w:right w:val="none" w:sz="0" w:space="0" w:color="auto"/>
          </w:divBdr>
        </w:div>
        <w:div w:id="1430469914">
          <w:marLeft w:val="640"/>
          <w:marRight w:val="0"/>
          <w:marTop w:val="0"/>
          <w:marBottom w:val="0"/>
          <w:divBdr>
            <w:top w:val="none" w:sz="0" w:space="0" w:color="auto"/>
            <w:left w:val="none" w:sz="0" w:space="0" w:color="auto"/>
            <w:bottom w:val="none" w:sz="0" w:space="0" w:color="auto"/>
            <w:right w:val="none" w:sz="0" w:space="0" w:color="auto"/>
          </w:divBdr>
        </w:div>
        <w:div w:id="1352340268">
          <w:marLeft w:val="640"/>
          <w:marRight w:val="0"/>
          <w:marTop w:val="0"/>
          <w:marBottom w:val="0"/>
          <w:divBdr>
            <w:top w:val="none" w:sz="0" w:space="0" w:color="auto"/>
            <w:left w:val="none" w:sz="0" w:space="0" w:color="auto"/>
            <w:bottom w:val="none" w:sz="0" w:space="0" w:color="auto"/>
            <w:right w:val="none" w:sz="0" w:space="0" w:color="auto"/>
          </w:divBdr>
        </w:div>
        <w:div w:id="353456155">
          <w:marLeft w:val="640"/>
          <w:marRight w:val="0"/>
          <w:marTop w:val="0"/>
          <w:marBottom w:val="0"/>
          <w:divBdr>
            <w:top w:val="none" w:sz="0" w:space="0" w:color="auto"/>
            <w:left w:val="none" w:sz="0" w:space="0" w:color="auto"/>
            <w:bottom w:val="none" w:sz="0" w:space="0" w:color="auto"/>
            <w:right w:val="none" w:sz="0" w:space="0" w:color="auto"/>
          </w:divBdr>
        </w:div>
        <w:div w:id="1594515471">
          <w:marLeft w:val="640"/>
          <w:marRight w:val="0"/>
          <w:marTop w:val="0"/>
          <w:marBottom w:val="0"/>
          <w:divBdr>
            <w:top w:val="none" w:sz="0" w:space="0" w:color="auto"/>
            <w:left w:val="none" w:sz="0" w:space="0" w:color="auto"/>
            <w:bottom w:val="none" w:sz="0" w:space="0" w:color="auto"/>
            <w:right w:val="none" w:sz="0" w:space="0" w:color="auto"/>
          </w:divBdr>
        </w:div>
        <w:div w:id="489638711">
          <w:marLeft w:val="640"/>
          <w:marRight w:val="0"/>
          <w:marTop w:val="0"/>
          <w:marBottom w:val="0"/>
          <w:divBdr>
            <w:top w:val="none" w:sz="0" w:space="0" w:color="auto"/>
            <w:left w:val="none" w:sz="0" w:space="0" w:color="auto"/>
            <w:bottom w:val="none" w:sz="0" w:space="0" w:color="auto"/>
            <w:right w:val="none" w:sz="0" w:space="0" w:color="auto"/>
          </w:divBdr>
        </w:div>
        <w:div w:id="814951844">
          <w:marLeft w:val="640"/>
          <w:marRight w:val="0"/>
          <w:marTop w:val="0"/>
          <w:marBottom w:val="0"/>
          <w:divBdr>
            <w:top w:val="none" w:sz="0" w:space="0" w:color="auto"/>
            <w:left w:val="none" w:sz="0" w:space="0" w:color="auto"/>
            <w:bottom w:val="none" w:sz="0" w:space="0" w:color="auto"/>
            <w:right w:val="none" w:sz="0" w:space="0" w:color="auto"/>
          </w:divBdr>
        </w:div>
        <w:div w:id="1545288113">
          <w:marLeft w:val="640"/>
          <w:marRight w:val="0"/>
          <w:marTop w:val="0"/>
          <w:marBottom w:val="0"/>
          <w:divBdr>
            <w:top w:val="none" w:sz="0" w:space="0" w:color="auto"/>
            <w:left w:val="none" w:sz="0" w:space="0" w:color="auto"/>
            <w:bottom w:val="none" w:sz="0" w:space="0" w:color="auto"/>
            <w:right w:val="none" w:sz="0" w:space="0" w:color="auto"/>
          </w:divBdr>
        </w:div>
        <w:div w:id="501747281">
          <w:marLeft w:val="640"/>
          <w:marRight w:val="0"/>
          <w:marTop w:val="0"/>
          <w:marBottom w:val="0"/>
          <w:divBdr>
            <w:top w:val="none" w:sz="0" w:space="0" w:color="auto"/>
            <w:left w:val="none" w:sz="0" w:space="0" w:color="auto"/>
            <w:bottom w:val="none" w:sz="0" w:space="0" w:color="auto"/>
            <w:right w:val="none" w:sz="0" w:space="0" w:color="auto"/>
          </w:divBdr>
        </w:div>
        <w:div w:id="501119493">
          <w:marLeft w:val="640"/>
          <w:marRight w:val="0"/>
          <w:marTop w:val="0"/>
          <w:marBottom w:val="0"/>
          <w:divBdr>
            <w:top w:val="none" w:sz="0" w:space="0" w:color="auto"/>
            <w:left w:val="none" w:sz="0" w:space="0" w:color="auto"/>
            <w:bottom w:val="none" w:sz="0" w:space="0" w:color="auto"/>
            <w:right w:val="none" w:sz="0" w:space="0" w:color="auto"/>
          </w:divBdr>
        </w:div>
        <w:div w:id="367267907">
          <w:marLeft w:val="640"/>
          <w:marRight w:val="0"/>
          <w:marTop w:val="0"/>
          <w:marBottom w:val="0"/>
          <w:divBdr>
            <w:top w:val="none" w:sz="0" w:space="0" w:color="auto"/>
            <w:left w:val="none" w:sz="0" w:space="0" w:color="auto"/>
            <w:bottom w:val="none" w:sz="0" w:space="0" w:color="auto"/>
            <w:right w:val="none" w:sz="0" w:space="0" w:color="auto"/>
          </w:divBdr>
        </w:div>
        <w:div w:id="2051833224">
          <w:marLeft w:val="640"/>
          <w:marRight w:val="0"/>
          <w:marTop w:val="0"/>
          <w:marBottom w:val="0"/>
          <w:divBdr>
            <w:top w:val="none" w:sz="0" w:space="0" w:color="auto"/>
            <w:left w:val="none" w:sz="0" w:space="0" w:color="auto"/>
            <w:bottom w:val="none" w:sz="0" w:space="0" w:color="auto"/>
            <w:right w:val="none" w:sz="0" w:space="0" w:color="auto"/>
          </w:divBdr>
        </w:div>
        <w:div w:id="90319289">
          <w:marLeft w:val="640"/>
          <w:marRight w:val="0"/>
          <w:marTop w:val="0"/>
          <w:marBottom w:val="0"/>
          <w:divBdr>
            <w:top w:val="none" w:sz="0" w:space="0" w:color="auto"/>
            <w:left w:val="none" w:sz="0" w:space="0" w:color="auto"/>
            <w:bottom w:val="none" w:sz="0" w:space="0" w:color="auto"/>
            <w:right w:val="none" w:sz="0" w:space="0" w:color="auto"/>
          </w:divBdr>
        </w:div>
        <w:div w:id="1724862200">
          <w:marLeft w:val="640"/>
          <w:marRight w:val="0"/>
          <w:marTop w:val="0"/>
          <w:marBottom w:val="0"/>
          <w:divBdr>
            <w:top w:val="none" w:sz="0" w:space="0" w:color="auto"/>
            <w:left w:val="none" w:sz="0" w:space="0" w:color="auto"/>
            <w:bottom w:val="none" w:sz="0" w:space="0" w:color="auto"/>
            <w:right w:val="none" w:sz="0" w:space="0" w:color="auto"/>
          </w:divBdr>
        </w:div>
        <w:div w:id="591008088">
          <w:marLeft w:val="640"/>
          <w:marRight w:val="0"/>
          <w:marTop w:val="0"/>
          <w:marBottom w:val="0"/>
          <w:divBdr>
            <w:top w:val="none" w:sz="0" w:space="0" w:color="auto"/>
            <w:left w:val="none" w:sz="0" w:space="0" w:color="auto"/>
            <w:bottom w:val="none" w:sz="0" w:space="0" w:color="auto"/>
            <w:right w:val="none" w:sz="0" w:space="0" w:color="auto"/>
          </w:divBdr>
        </w:div>
        <w:div w:id="1727295893">
          <w:marLeft w:val="640"/>
          <w:marRight w:val="0"/>
          <w:marTop w:val="0"/>
          <w:marBottom w:val="0"/>
          <w:divBdr>
            <w:top w:val="none" w:sz="0" w:space="0" w:color="auto"/>
            <w:left w:val="none" w:sz="0" w:space="0" w:color="auto"/>
            <w:bottom w:val="none" w:sz="0" w:space="0" w:color="auto"/>
            <w:right w:val="none" w:sz="0" w:space="0" w:color="auto"/>
          </w:divBdr>
        </w:div>
        <w:div w:id="818225857">
          <w:marLeft w:val="640"/>
          <w:marRight w:val="0"/>
          <w:marTop w:val="0"/>
          <w:marBottom w:val="0"/>
          <w:divBdr>
            <w:top w:val="none" w:sz="0" w:space="0" w:color="auto"/>
            <w:left w:val="none" w:sz="0" w:space="0" w:color="auto"/>
            <w:bottom w:val="none" w:sz="0" w:space="0" w:color="auto"/>
            <w:right w:val="none" w:sz="0" w:space="0" w:color="auto"/>
          </w:divBdr>
        </w:div>
        <w:div w:id="658847731">
          <w:marLeft w:val="640"/>
          <w:marRight w:val="0"/>
          <w:marTop w:val="0"/>
          <w:marBottom w:val="0"/>
          <w:divBdr>
            <w:top w:val="none" w:sz="0" w:space="0" w:color="auto"/>
            <w:left w:val="none" w:sz="0" w:space="0" w:color="auto"/>
            <w:bottom w:val="none" w:sz="0" w:space="0" w:color="auto"/>
            <w:right w:val="none" w:sz="0" w:space="0" w:color="auto"/>
          </w:divBdr>
        </w:div>
        <w:div w:id="115225213">
          <w:marLeft w:val="640"/>
          <w:marRight w:val="0"/>
          <w:marTop w:val="0"/>
          <w:marBottom w:val="0"/>
          <w:divBdr>
            <w:top w:val="none" w:sz="0" w:space="0" w:color="auto"/>
            <w:left w:val="none" w:sz="0" w:space="0" w:color="auto"/>
            <w:bottom w:val="none" w:sz="0" w:space="0" w:color="auto"/>
            <w:right w:val="none" w:sz="0" w:space="0" w:color="auto"/>
          </w:divBdr>
        </w:div>
        <w:div w:id="1397044891">
          <w:marLeft w:val="640"/>
          <w:marRight w:val="0"/>
          <w:marTop w:val="0"/>
          <w:marBottom w:val="0"/>
          <w:divBdr>
            <w:top w:val="none" w:sz="0" w:space="0" w:color="auto"/>
            <w:left w:val="none" w:sz="0" w:space="0" w:color="auto"/>
            <w:bottom w:val="none" w:sz="0" w:space="0" w:color="auto"/>
            <w:right w:val="none" w:sz="0" w:space="0" w:color="auto"/>
          </w:divBdr>
        </w:div>
        <w:div w:id="549611669">
          <w:marLeft w:val="640"/>
          <w:marRight w:val="0"/>
          <w:marTop w:val="0"/>
          <w:marBottom w:val="0"/>
          <w:divBdr>
            <w:top w:val="none" w:sz="0" w:space="0" w:color="auto"/>
            <w:left w:val="none" w:sz="0" w:space="0" w:color="auto"/>
            <w:bottom w:val="none" w:sz="0" w:space="0" w:color="auto"/>
            <w:right w:val="none" w:sz="0" w:space="0" w:color="auto"/>
          </w:divBdr>
        </w:div>
        <w:div w:id="1407654203">
          <w:marLeft w:val="640"/>
          <w:marRight w:val="0"/>
          <w:marTop w:val="0"/>
          <w:marBottom w:val="0"/>
          <w:divBdr>
            <w:top w:val="none" w:sz="0" w:space="0" w:color="auto"/>
            <w:left w:val="none" w:sz="0" w:space="0" w:color="auto"/>
            <w:bottom w:val="none" w:sz="0" w:space="0" w:color="auto"/>
            <w:right w:val="none" w:sz="0" w:space="0" w:color="auto"/>
          </w:divBdr>
        </w:div>
        <w:div w:id="416296022">
          <w:marLeft w:val="640"/>
          <w:marRight w:val="0"/>
          <w:marTop w:val="0"/>
          <w:marBottom w:val="0"/>
          <w:divBdr>
            <w:top w:val="none" w:sz="0" w:space="0" w:color="auto"/>
            <w:left w:val="none" w:sz="0" w:space="0" w:color="auto"/>
            <w:bottom w:val="none" w:sz="0" w:space="0" w:color="auto"/>
            <w:right w:val="none" w:sz="0" w:space="0" w:color="auto"/>
          </w:divBdr>
        </w:div>
        <w:div w:id="462233698">
          <w:marLeft w:val="640"/>
          <w:marRight w:val="0"/>
          <w:marTop w:val="0"/>
          <w:marBottom w:val="0"/>
          <w:divBdr>
            <w:top w:val="none" w:sz="0" w:space="0" w:color="auto"/>
            <w:left w:val="none" w:sz="0" w:space="0" w:color="auto"/>
            <w:bottom w:val="none" w:sz="0" w:space="0" w:color="auto"/>
            <w:right w:val="none" w:sz="0" w:space="0" w:color="auto"/>
          </w:divBdr>
        </w:div>
        <w:div w:id="1640265730">
          <w:marLeft w:val="640"/>
          <w:marRight w:val="0"/>
          <w:marTop w:val="0"/>
          <w:marBottom w:val="0"/>
          <w:divBdr>
            <w:top w:val="none" w:sz="0" w:space="0" w:color="auto"/>
            <w:left w:val="none" w:sz="0" w:space="0" w:color="auto"/>
            <w:bottom w:val="none" w:sz="0" w:space="0" w:color="auto"/>
            <w:right w:val="none" w:sz="0" w:space="0" w:color="auto"/>
          </w:divBdr>
        </w:div>
        <w:div w:id="837037649">
          <w:marLeft w:val="640"/>
          <w:marRight w:val="0"/>
          <w:marTop w:val="0"/>
          <w:marBottom w:val="0"/>
          <w:divBdr>
            <w:top w:val="none" w:sz="0" w:space="0" w:color="auto"/>
            <w:left w:val="none" w:sz="0" w:space="0" w:color="auto"/>
            <w:bottom w:val="none" w:sz="0" w:space="0" w:color="auto"/>
            <w:right w:val="none" w:sz="0" w:space="0" w:color="auto"/>
          </w:divBdr>
        </w:div>
        <w:div w:id="1734767922">
          <w:marLeft w:val="640"/>
          <w:marRight w:val="0"/>
          <w:marTop w:val="0"/>
          <w:marBottom w:val="0"/>
          <w:divBdr>
            <w:top w:val="none" w:sz="0" w:space="0" w:color="auto"/>
            <w:left w:val="none" w:sz="0" w:space="0" w:color="auto"/>
            <w:bottom w:val="none" w:sz="0" w:space="0" w:color="auto"/>
            <w:right w:val="none" w:sz="0" w:space="0" w:color="auto"/>
          </w:divBdr>
        </w:div>
        <w:div w:id="92171447">
          <w:marLeft w:val="640"/>
          <w:marRight w:val="0"/>
          <w:marTop w:val="0"/>
          <w:marBottom w:val="0"/>
          <w:divBdr>
            <w:top w:val="none" w:sz="0" w:space="0" w:color="auto"/>
            <w:left w:val="none" w:sz="0" w:space="0" w:color="auto"/>
            <w:bottom w:val="none" w:sz="0" w:space="0" w:color="auto"/>
            <w:right w:val="none" w:sz="0" w:space="0" w:color="auto"/>
          </w:divBdr>
        </w:div>
        <w:div w:id="1901163280">
          <w:marLeft w:val="640"/>
          <w:marRight w:val="0"/>
          <w:marTop w:val="0"/>
          <w:marBottom w:val="0"/>
          <w:divBdr>
            <w:top w:val="none" w:sz="0" w:space="0" w:color="auto"/>
            <w:left w:val="none" w:sz="0" w:space="0" w:color="auto"/>
            <w:bottom w:val="none" w:sz="0" w:space="0" w:color="auto"/>
            <w:right w:val="none" w:sz="0" w:space="0" w:color="auto"/>
          </w:divBdr>
        </w:div>
        <w:div w:id="1489442884">
          <w:marLeft w:val="640"/>
          <w:marRight w:val="0"/>
          <w:marTop w:val="0"/>
          <w:marBottom w:val="0"/>
          <w:divBdr>
            <w:top w:val="none" w:sz="0" w:space="0" w:color="auto"/>
            <w:left w:val="none" w:sz="0" w:space="0" w:color="auto"/>
            <w:bottom w:val="none" w:sz="0" w:space="0" w:color="auto"/>
            <w:right w:val="none" w:sz="0" w:space="0" w:color="auto"/>
          </w:divBdr>
        </w:div>
        <w:div w:id="1642229179">
          <w:marLeft w:val="640"/>
          <w:marRight w:val="0"/>
          <w:marTop w:val="0"/>
          <w:marBottom w:val="0"/>
          <w:divBdr>
            <w:top w:val="none" w:sz="0" w:space="0" w:color="auto"/>
            <w:left w:val="none" w:sz="0" w:space="0" w:color="auto"/>
            <w:bottom w:val="none" w:sz="0" w:space="0" w:color="auto"/>
            <w:right w:val="none" w:sz="0" w:space="0" w:color="auto"/>
          </w:divBdr>
        </w:div>
        <w:div w:id="298729253">
          <w:marLeft w:val="640"/>
          <w:marRight w:val="0"/>
          <w:marTop w:val="0"/>
          <w:marBottom w:val="0"/>
          <w:divBdr>
            <w:top w:val="none" w:sz="0" w:space="0" w:color="auto"/>
            <w:left w:val="none" w:sz="0" w:space="0" w:color="auto"/>
            <w:bottom w:val="none" w:sz="0" w:space="0" w:color="auto"/>
            <w:right w:val="none" w:sz="0" w:space="0" w:color="auto"/>
          </w:divBdr>
        </w:div>
        <w:div w:id="609822441">
          <w:marLeft w:val="640"/>
          <w:marRight w:val="0"/>
          <w:marTop w:val="0"/>
          <w:marBottom w:val="0"/>
          <w:divBdr>
            <w:top w:val="none" w:sz="0" w:space="0" w:color="auto"/>
            <w:left w:val="none" w:sz="0" w:space="0" w:color="auto"/>
            <w:bottom w:val="none" w:sz="0" w:space="0" w:color="auto"/>
            <w:right w:val="none" w:sz="0" w:space="0" w:color="auto"/>
          </w:divBdr>
        </w:div>
        <w:div w:id="208148960">
          <w:marLeft w:val="640"/>
          <w:marRight w:val="0"/>
          <w:marTop w:val="0"/>
          <w:marBottom w:val="0"/>
          <w:divBdr>
            <w:top w:val="none" w:sz="0" w:space="0" w:color="auto"/>
            <w:left w:val="none" w:sz="0" w:space="0" w:color="auto"/>
            <w:bottom w:val="none" w:sz="0" w:space="0" w:color="auto"/>
            <w:right w:val="none" w:sz="0" w:space="0" w:color="auto"/>
          </w:divBdr>
        </w:div>
        <w:div w:id="120421635">
          <w:marLeft w:val="640"/>
          <w:marRight w:val="0"/>
          <w:marTop w:val="0"/>
          <w:marBottom w:val="0"/>
          <w:divBdr>
            <w:top w:val="none" w:sz="0" w:space="0" w:color="auto"/>
            <w:left w:val="none" w:sz="0" w:space="0" w:color="auto"/>
            <w:bottom w:val="none" w:sz="0" w:space="0" w:color="auto"/>
            <w:right w:val="none" w:sz="0" w:space="0" w:color="auto"/>
          </w:divBdr>
        </w:div>
        <w:div w:id="1327123346">
          <w:marLeft w:val="640"/>
          <w:marRight w:val="0"/>
          <w:marTop w:val="0"/>
          <w:marBottom w:val="0"/>
          <w:divBdr>
            <w:top w:val="none" w:sz="0" w:space="0" w:color="auto"/>
            <w:left w:val="none" w:sz="0" w:space="0" w:color="auto"/>
            <w:bottom w:val="none" w:sz="0" w:space="0" w:color="auto"/>
            <w:right w:val="none" w:sz="0" w:space="0" w:color="auto"/>
          </w:divBdr>
        </w:div>
        <w:div w:id="123088101">
          <w:marLeft w:val="640"/>
          <w:marRight w:val="0"/>
          <w:marTop w:val="0"/>
          <w:marBottom w:val="0"/>
          <w:divBdr>
            <w:top w:val="none" w:sz="0" w:space="0" w:color="auto"/>
            <w:left w:val="none" w:sz="0" w:space="0" w:color="auto"/>
            <w:bottom w:val="none" w:sz="0" w:space="0" w:color="auto"/>
            <w:right w:val="none" w:sz="0" w:space="0" w:color="auto"/>
          </w:divBdr>
        </w:div>
        <w:div w:id="2023119350">
          <w:marLeft w:val="640"/>
          <w:marRight w:val="0"/>
          <w:marTop w:val="0"/>
          <w:marBottom w:val="0"/>
          <w:divBdr>
            <w:top w:val="none" w:sz="0" w:space="0" w:color="auto"/>
            <w:left w:val="none" w:sz="0" w:space="0" w:color="auto"/>
            <w:bottom w:val="none" w:sz="0" w:space="0" w:color="auto"/>
            <w:right w:val="none" w:sz="0" w:space="0" w:color="auto"/>
          </w:divBdr>
        </w:div>
        <w:div w:id="1141193433">
          <w:marLeft w:val="640"/>
          <w:marRight w:val="0"/>
          <w:marTop w:val="0"/>
          <w:marBottom w:val="0"/>
          <w:divBdr>
            <w:top w:val="none" w:sz="0" w:space="0" w:color="auto"/>
            <w:left w:val="none" w:sz="0" w:space="0" w:color="auto"/>
            <w:bottom w:val="none" w:sz="0" w:space="0" w:color="auto"/>
            <w:right w:val="none" w:sz="0" w:space="0" w:color="auto"/>
          </w:divBdr>
        </w:div>
        <w:div w:id="1914118693">
          <w:marLeft w:val="640"/>
          <w:marRight w:val="0"/>
          <w:marTop w:val="0"/>
          <w:marBottom w:val="0"/>
          <w:divBdr>
            <w:top w:val="none" w:sz="0" w:space="0" w:color="auto"/>
            <w:left w:val="none" w:sz="0" w:space="0" w:color="auto"/>
            <w:bottom w:val="none" w:sz="0" w:space="0" w:color="auto"/>
            <w:right w:val="none" w:sz="0" w:space="0" w:color="auto"/>
          </w:divBdr>
        </w:div>
        <w:div w:id="1133672287">
          <w:marLeft w:val="640"/>
          <w:marRight w:val="0"/>
          <w:marTop w:val="0"/>
          <w:marBottom w:val="0"/>
          <w:divBdr>
            <w:top w:val="none" w:sz="0" w:space="0" w:color="auto"/>
            <w:left w:val="none" w:sz="0" w:space="0" w:color="auto"/>
            <w:bottom w:val="none" w:sz="0" w:space="0" w:color="auto"/>
            <w:right w:val="none" w:sz="0" w:space="0" w:color="auto"/>
          </w:divBdr>
        </w:div>
        <w:div w:id="2144999436">
          <w:marLeft w:val="640"/>
          <w:marRight w:val="0"/>
          <w:marTop w:val="0"/>
          <w:marBottom w:val="0"/>
          <w:divBdr>
            <w:top w:val="none" w:sz="0" w:space="0" w:color="auto"/>
            <w:left w:val="none" w:sz="0" w:space="0" w:color="auto"/>
            <w:bottom w:val="none" w:sz="0" w:space="0" w:color="auto"/>
            <w:right w:val="none" w:sz="0" w:space="0" w:color="auto"/>
          </w:divBdr>
        </w:div>
        <w:div w:id="1908570981">
          <w:marLeft w:val="640"/>
          <w:marRight w:val="0"/>
          <w:marTop w:val="0"/>
          <w:marBottom w:val="0"/>
          <w:divBdr>
            <w:top w:val="none" w:sz="0" w:space="0" w:color="auto"/>
            <w:left w:val="none" w:sz="0" w:space="0" w:color="auto"/>
            <w:bottom w:val="none" w:sz="0" w:space="0" w:color="auto"/>
            <w:right w:val="none" w:sz="0" w:space="0" w:color="auto"/>
          </w:divBdr>
        </w:div>
        <w:div w:id="1298294896">
          <w:marLeft w:val="640"/>
          <w:marRight w:val="0"/>
          <w:marTop w:val="0"/>
          <w:marBottom w:val="0"/>
          <w:divBdr>
            <w:top w:val="none" w:sz="0" w:space="0" w:color="auto"/>
            <w:left w:val="none" w:sz="0" w:space="0" w:color="auto"/>
            <w:bottom w:val="none" w:sz="0" w:space="0" w:color="auto"/>
            <w:right w:val="none" w:sz="0" w:space="0" w:color="auto"/>
          </w:divBdr>
        </w:div>
        <w:div w:id="1258445237">
          <w:marLeft w:val="640"/>
          <w:marRight w:val="0"/>
          <w:marTop w:val="0"/>
          <w:marBottom w:val="0"/>
          <w:divBdr>
            <w:top w:val="none" w:sz="0" w:space="0" w:color="auto"/>
            <w:left w:val="none" w:sz="0" w:space="0" w:color="auto"/>
            <w:bottom w:val="none" w:sz="0" w:space="0" w:color="auto"/>
            <w:right w:val="none" w:sz="0" w:space="0" w:color="auto"/>
          </w:divBdr>
        </w:div>
        <w:div w:id="1728649340">
          <w:marLeft w:val="640"/>
          <w:marRight w:val="0"/>
          <w:marTop w:val="0"/>
          <w:marBottom w:val="0"/>
          <w:divBdr>
            <w:top w:val="none" w:sz="0" w:space="0" w:color="auto"/>
            <w:left w:val="none" w:sz="0" w:space="0" w:color="auto"/>
            <w:bottom w:val="none" w:sz="0" w:space="0" w:color="auto"/>
            <w:right w:val="none" w:sz="0" w:space="0" w:color="auto"/>
          </w:divBdr>
        </w:div>
        <w:div w:id="1080758366">
          <w:marLeft w:val="640"/>
          <w:marRight w:val="0"/>
          <w:marTop w:val="0"/>
          <w:marBottom w:val="0"/>
          <w:divBdr>
            <w:top w:val="none" w:sz="0" w:space="0" w:color="auto"/>
            <w:left w:val="none" w:sz="0" w:space="0" w:color="auto"/>
            <w:bottom w:val="none" w:sz="0" w:space="0" w:color="auto"/>
            <w:right w:val="none" w:sz="0" w:space="0" w:color="auto"/>
          </w:divBdr>
        </w:div>
        <w:div w:id="883248304">
          <w:marLeft w:val="640"/>
          <w:marRight w:val="0"/>
          <w:marTop w:val="0"/>
          <w:marBottom w:val="0"/>
          <w:divBdr>
            <w:top w:val="none" w:sz="0" w:space="0" w:color="auto"/>
            <w:left w:val="none" w:sz="0" w:space="0" w:color="auto"/>
            <w:bottom w:val="none" w:sz="0" w:space="0" w:color="auto"/>
            <w:right w:val="none" w:sz="0" w:space="0" w:color="auto"/>
          </w:divBdr>
        </w:div>
        <w:div w:id="222183160">
          <w:marLeft w:val="640"/>
          <w:marRight w:val="0"/>
          <w:marTop w:val="0"/>
          <w:marBottom w:val="0"/>
          <w:divBdr>
            <w:top w:val="none" w:sz="0" w:space="0" w:color="auto"/>
            <w:left w:val="none" w:sz="0" w:space="0" w:color="auto"/>
            <w:bottom w:val="none" w:sz="0" w:space="0" w:color="auto"/>
            <w:right w:val="none" w:sz="0" w:space="0" w:color="auto"/>
          </w:divBdr>
        </w:div>
        <w:div w:id="1589077840">
          <w:marLeft w:val="640"/>
          <w:marRight w:val="0"/>
          <w:marTop w:val="0"/>
          <w:marBottom w:val="0"/>
          <w:divBdr>
            <w:top w:val="none" w:sz="0" w:space="0" w:color="auto"/>
            <w:left w:val="none" w:sz="0" w:space="0" w:color="auto"/>
            <w:bottom w:val="none" w:sz="0" w:space="0" w:color="auto"/>
            <w:right w:val="none" w:sz="0" w:space="0" w:color="auto"/>
          </w:divBdr>
        </w:div>
        <w:div w:id="546450183">
          <w:marLeft w:val="640"/>
          <w:marRight w:val="0"/>
          <w:marTop w:val="0"/>
          <w:marBottom w:val="0"/>
          <w:divBdr>
            <w:top w:val="none" w:sz="0" w:space="0" w:color="auto"/>
            <w:left w:val="none" w:sz="0" w:space="0" w:color="auto"/>
            <w:bottom w:val="none" w:sz="0" w:space="0" w:color="auto"/>
            <w:right w:val="none" w:sz="0" w:space="0" w:color="auto"/>
          </w:divBdr>
        </w:div>
        <w:div w:id="1826359119">
          <w:marLeft w:val="640"/>
          <w:marRight w:val="0"/>
          <w:marTop w:val="0"/>
          <w:marBottom w:val="0"/>
          <w:divBdr>
            <w:top w:val="none" w:sz="0" w:space="0" w:color="auto"/>
            <w:left w:val="none" w:sz="0" w:space="0" w:color="auto"/>
            <w:bottom w:val="none" w:sz="0" w:space="0" w:color="auto"/>
            <w:right w:val="none" w:sz="0" w:space="0" w:color="auto"/>
          </w:divBdr>
        </w:div>
        <w:div w:id="40521070">
          <w:marLeft w:val="640"/>
          <w:marRight w:val="0"/>
          <w:marTop w:val="0"/>
          <w:marBottom w:val="0"/>
          <w:divBdr>
            <w:top w:val="none" w:sz="0" w:space="0" w:color="auto"/>
            <w:left w:val="none" w:sz="0" w:space="0" w:color="auto"/>
            <w:bottom w:val="none" w:sz="0" w:space="0" w:color="auto"/>
            <w:right w:val="none" w:sz="0" w:space="0" w:color="auto"/>
          </w:divBdr>
        </w:div>
        <w:div w:id="1201086242">
          <w:marLeft w:val="640"/>
          <w:marRight w:val="0"/>
          <w:marTop w:val="0"/>
          <w:marBottom w:val="0"/>
          <w:divBdr>
            <w:top w:val="none" w:sz="0" w:space="0" w:color="auto"/>
            <w:left w:val="none" w:sz="0" w:space="0" w:color="auto"/>
            <w:bottom w:val="none" w:sz="0" w:space="0" w:color="auto"/>
            <w:right w:val="none" w:sz="0" w:space="0" w:color="auto"/>
          </w:divBdr>
        </w:div>
        <w:div w:id="134837441">
          <w:marLeft w:val="640"/>
          <w:marRight w:val="0"/>
          <w:marTop w:val="0"/>
          <w:marBottom w:val="0"/>
          <w:divBdr>
            <w:top w:val="none" w:sz="0" w:space="0" w:color="auto"/>
            <w:left w:val="none" w:sz="0" w:space="0" w:color="auto"/>
            <w:bottom w:val="none" w:sz="0" w:space="0" w:color="auto"/>
            <w:right w:val="none" w:sz="0" w:space="0" w:color="auto"/>
          </w:divBdr>
        </w:div>
        <w:div w:id="1253010256">
          <w:marLeft w:val="640"/>
          <w:marRight w:val="0"/>
          <w:marTop w:val="0"/>
          <w:marBottom w:val="0"/>
          <w:divBdr>
            <w:top w:val="none" w:sz="0" w:space="0" w:color="auto"/>
            <w:left w:val="none" w:sz="0" w:space="0" w:color="auto"/>
            <w:bottom w:val="none" w:sz="0" w:space="0" w:color="auto"/>
            <w:right w:val="none" w:sz="0" w:space="0" w:color="auto"/>
          </w:divBdr>
        </w:div>
        <w:div w:id="927075374">
          <w:marLeft w:val="640"/>
          <w:marRight w:val="0"/>
          <w:marTop w:val="0"/>
          <w:marBottom w:val="0"/>
          <w:divBdr>
            <w:top w:val="none" w:sz="0" w:space="0" w:color="auto"/>
            <w:left w:val="none" w:sz="0" w:space="0" w:color="auto"/>
            <w:bottom w:val="none" w:sz="0" w:space="0" w:color="auto"/>
            <w:right w:val="none" w:sz="0" w:space="0" w:color="auto"/>
          </w:divBdr>
        </w:div>
        <w:div w:id="1243682235">
          <w:marLeft w:val="640"/>
          <w:marRight w:val="0"/>
          <w:marTop w:val="0"/>
          <w:marBottom w:val="0"/>
          <w:divBdr>
            <w:top w:val="none" w:sz="0" w:space="0" w:color="auto"/>
            <w:left w:val="none" w:sz="0" w:space="0" w:color="auto"/>
            <w:bottom w:val="none" w:sz="0" w:space="0" w:color="auto"/>
            <w:right w:val="none" w:sz="0" w:space="0" w:color="auto"/>
          </w:divBdr>
        </w:div>
        <w:div w:id="40443860">
          <w:marLeft w:val="640"/>
          <w:marRight w:val="0"/>
          <w:marTop w:val="0"/>
          <w:marBottom w:val="0"/>
          <w:divBdr>
            <w:top w:val="none" w:sz="0" w:space="0" w:color="auto"/>
            <w:left w:val="none" w:sz="0" w:space="0" w:color="auto"/>
            <w:bottom w:val="none" w:sz="0" w:space="0" w:color="auto"/>
            <w:right w:val="none" w:sz="0" w:space="0" w:color="auto"/>
          </w:divBdr>
        </w:div>
        <w:div w:id="895509620">
          <w:marLeft w:val="640"/>
          <w:marRight w:val="0"/>
          <w:marTop w:val="0"/>
          <w:marBottom w:val="0"/>
          <w:divBdr>
            <w:top w:val="none" w:sz="0" w:space="0" w:color="auto"/>
            <w:left w:val="none" w:sz="0" w:space="0" w:color="auto"/>
            <w:bottom w:val="none" w:sz="0" w:space="0" w:color="auto"/>
            <w:right w:val="none" w:sz="0" w:space="0" w:color="auto"/>
          </w:divBdr>
        </w:div>
        <w:div w:id="1309631233">
          <w:marLeft w:val="640"/>
          <w:marRight w:val="0"/>
          <w:marTop w:val="0"/>
          <w:marBottom w:val="0"/>
          <w:divBdr>
            <w:top w:val="none" w:sz="0" w:space="0" w:color="auto"/>
            <w:left w:val="none" w:sz="0" w:space="0" w:color="auto"/>
            <w:bottom w:val="none" w:sz="0" w:space="0" w:color="auto"/>
            <w:right w:val="none" w:sz="0" w:space="0" w:color="auto"/>
          </w:divBdr>
        </w:div>
        <w:div w:id="662198753">
          <w:marLeft w:val="640"/>
          <w:marRight w:val="0"/>
          <w:marTop w:val="0"/>
          <w:marBottom w:val="0"/>
          <w:divBdr>
            <w:top w:val="none" w:sz="0" w:space="0" w:color="auto"/>
            <w:left w:val="none" w:sz="0" w:space="0" w:color="auto"/>
            <w:bottom w:val="none" w:sz="0" w:space="0" w:color="auto"/>
            <w:right w:val="none" w:sz="0" w:space="0" w:color="auto"/>
          </w:divBdr>
        </w:div>
        <w:div w:id="1270432373">
          <w:marLeft w:val="640"/>
          <w:marRight w:val="0"/>
          <w:marTop w:val="0"/>
          <w:marBottom w:val="0"/>
          <w:divBdr>
            <w:top w:val="none" w:sz="0" w:space="0" w:color="auto"/>
            <w:left w:val="none" w:sz="0" w:space="0" w:color="auto"/>
            <w:bottom w:val="none" w:sz="0" w:space="0" w:color="auto"/>
            <w:right w:val="none" w:sz="0" w:space="0" w:color="auto"/>
          </w:divBdr>
        </w:div>
        <w:div w:id="952444008">
          <w:marLeft w:val="640"/>
          <w:marRight w:val="0"/>
          <w:marTop w:val="0"/>
          <w:marBottom w:val="0"/>
          <w:divBdr>
            <w:top w:val="none" w:sz="0" w:space="0" w:color="auto"/>
            <w:left w:val="none" w:sz="0" w:space="0" w:color="auto"/>
            <w:bottom w:val="none" w:sz="0" w:space="0" w:color="auto"/>
            <w:right w:val="none" w:sz="0" w:space="0" w:color="auto"/>
          </w:divBdr>
        </w:div>
        <w:div w:id="1626500641">
          <w:marLeft w:val="640"/>
          <w:marRight w:val="0"/>
          <w:marTop w:val="0"/>
          <w:marBottom w:val="0"/>
          <w:divBdr>
            <w:top w:val="none" w:sz="0" w:space="0" w:color="auto"/>
            <w:left w:val="none" w:sz="0" w:space="0" w:color="auto"/>
            <w:bottom w:val="none" w:sz="0" w:space="0" w:color="auto"/>
            <w:right w:val="none" w:sz="0" w:space="0" w:color="auto"/>
          </w:divBdr>
        </w:div>
        <w:div w:id="1596472339">
          <w:marLeft w:val="640"/>
          <w:marRight w:val="0"/>
          <w:marTop w:val="0"/>
          <w:marBottom w:val="0"/>
          <w:divBdr>
            <w:top w:val="none" w:sz="0" w:space="0" w:color="auto"/>
            <w:left w:val="none" w:sz="0" w:space="0" w:color="auto"/>
            <w:bottom w:val="none" w:sz="0" w:space="0" w:color="auto"/>
            <w:right w:val="none" w:sz="0" w:space="0" w:color="auto"/>
          </w:divBdr>
        </w:div>
        <w:div w:id="1910000530">
          <w:marLeft w:val="640"/>
          <w:marRight w:val="0"/>
          <w:marTop w:val="0"/>
          <w:marBottom w:val="0"/>
          <w:divBdr>
            <w:top w:val="none" w:sz="0" w:space="0" w:color="auto"/>
            <w:left w:val="none" w:sz="0" w:space="0" w:color="auto"/>
            <w:bottom w:val="none" w:sz="0" w:space="0" w:color="auto"/>
            <w:right w:val="none" w:sz="0" w:space="0" w:color="auto"/>
          </w:divBdr>
        </w:div>
        <w:div w:id="1048142217">
          <w:marLeft w:val="640"/>
          <w:marRight w:val="0"/>
          <w:marTop w:val="0"/>
          <w:marBottom w:val="0"/>
          <w:divBdr>
            <w:top w:val="none" w:sz="0" w:space="0" w:color="auto"/>
            <w:left w:val="none" w:sz="0" w:space="0" w:color="auto"/>
            <w:bottom w:val="none" w:sz="0" w:space="0" w:color="auto"/>
            <w:right w:val="none" w:sz="0" w:space="0" w:color="auto"/>
          </w:divBdr>
        </w:div>
        <w:div w:id="1615405343">
          <w:marLeft w:val="640"/>
          <w:marRight w:val="0"/>
          <w:marTop w:val="0"/>
          <w:marBottom w:val="0"/>
          <w:divBdr>
            <w:top w:val="none" w:sz="0" w:space="0" w:color="auto"/>
            <w:left w:val="none" w:sz="0" w:space="0" w:color="auto"/>
            <w:bottom w:val="none" w:sz="0" w:space="0" w:color="auto"/>
            <w:right w:val="none" w:sz="0" w:space="0" w:color="auto"/>
          </w:divBdr>
        </w:div>
        <w:div w:id="1771465417">
          <w:marLeft w:val="640"/>
          <w:marRight w:val="0"/>
          <w:marTop w:val="0"/>
          <w:marBottom w:val="0"/>
          <w:divBdr>
            <w:top w:val="none" w:sz="0" w:space="0" w:color="auto"/>
            <w:left w:val="none" w:sz="0" w:space="0" w:color="auto"/>
            <w:bottom w:val="none" w:sz="0" w:space="0" w:color="auto"/>
            <w:right w:val="none" w:sz="0" w:space="0" w:color="auto"/>
          </w:divBdr>
        </w:div>
        <w:div w:id="572736594">
          <w:marLeft w:val="640"/>
          <w:marRight w:val="0"/>
          <w:marTop w:val="0"/>
          <w:marBottom w:val="0"/>
          <w:divBdr>
            <w:top w:val="none" w:sz="0" w:space="0" w:color="auto"/>
            <w:left w:val="none" w:sz="0" w:space="0" w:color="auto"/>
            <w:bottom w:val="none" w:sz="0" w:space="0" w:color="auto"/>
            <w:right w:val="none" w:sz="0" w:space="0" w:color="auto"/>
          </w:divBdr>
        </w:div>
        <w:div w:id="1980768412">
          <w:marLeft w:val="640"/>
          <w:marRight w:val="0"/>
          <w:marTop w:val="0"/>
          <w:marBottom w:val="0"/>
          <w:divBdr>
            <w:top w:val="none" w:sz="0" w:space="0" w:color="auto"/>
            <w:left w:val="none" w:sz="0" w:space="0" w:color="auto"/>
            <w:bottom w:val="none" w:sz="0" w:space="0" w:color="auto"/>
            <w:right w:val="none" w:sz="0" w:space="0" w:color="auto"/>
          </w:divBdr>
        </w:div>
        <w:div w:id="622270521">
          <w:marLeft w:val="640"/>
          <w:marRight w:val="0"/>
          <w:marTop w:val="0"/>
          <w:marBottom w:val="0"/>
          <w:divBdr>
            <w:top w:val="none" w:sz="0" w:space="0" w:color="auto"/>
            <w:left w:val="none" w:sz="0" w:space="0" w:color="auto"/>
            <w:bottom w:val="none" w:sz="0" w:space="0" w:color="auto"/>
            <w:right w:val="none" w:sz="0" w:space="0" w:color="auto"/>
          </w:divBdr>
        </w:div>
        <w:div w:id="1385983543">
          <w:marLeft w:val="640"/>
          <w:marRight w:val="0"/>
          <w:marTop w:val="0"/>
          <w:marBottom w:val="0"/>
          <w:divBdr>
            <w:top w:val="none" w:sz="0" w:space="0" w:color="auto"/>
            <w:left w:val="none" w:sz="0" w:space="0" w:color="auto"/>
            <w:bottom w:val="none" w:sz="0" w:space="0" w:color="auto"/>
            <w:right w:val="none" w:sz="0" w:space="0" w:color="auto"/>
          </w:divBdr>
        </w:div>
        <w:div w:id="1332294006">
          <w:marLeft w:val="640"/>
          <w:marRight w:val="0"/>
          <w:marTop w:val="0"/>
          <w:marBottom w:val="0"/>
          <w:divBdr>
            <w:top w:val="none" w:sz="0" w:space="0" w:color="auto"/>
            <w:left w:val="none" w:sz="0" w:space="0" w:color="auto"/>
            <w:bottom w:val="none" w:sz="0" w:space="0" w:color="auto"/>
            <w:right w:val="none" w:sz="0" w:space="0" w:color="auto"/>
          </w:divBdr>
        </w:div>
        <w:div w:id="1026908585">
          <w:marLeft w:val="640"/>
          <w:marRight w:val="0"/>
          <w:marTop w:val="0"/>
          <w:marBottom w:val="0"/>
          <w:divBdr>
            <w:top w:val="none" w:sz="0" w:space="0" w:color="auto"/>
            <w:left w:val="none" w:sz="0" w:space="0" w:color="auto"/>
            <w:bottom w:val="none" w:sz="0" w:space="0" w:color="auto"/>
            <w:right w:val="none" w:sz="0" w:space="0" w:color="auto"/>
          </w:divBdr>
        </w:div>
        <w:div w:id="1998263559">
          <w:marLeft w:val="640"/>
          <w:marRight w:val="0"/>
          <w:marTop w:val="0"/>
          <w:marBottom w:val="0"/>
          <w:divBdr>
            <w:top w:val="none" w:sz="0" w:space="0" w:color="auto"/>
            <w:left w:val="none" w:sz="0" w:space="0" w:color="auto"/>
            <w:bottom w:val="none" w:sz="0" w:space="0" w:color="auto"/>
            <w:right w:val="none" w:sz="0" w:space="0" w:color="auto"/>
          </w:divBdr>
        </w:div>
        <w:div w:id="557547332">
          <w:marLeft w:val="640"/>
          <w:marRight w:val="0"/>
          <w:marTop w:val="0"/>
          <w:marBottom w:val="0"/>
          <w:divBdr>
            <w:top w:val="none" w:sz="0" w:space="0" w:color="auto"/>
            <w:left w:val="none" w:sz="0" w:space="0" w:color="auto"/>
            <w:bottom w:val="none" w:sz="0" w:space="0" w:color="auto"/>
            <w:right w:val="none" w:sz="0" w:space="0" w:color="auto"/>
          </w:divBdr>
        </w:div>
        <w:div w:id="344289608">
          <w:marLeft w:val="640"/>
          <w:marRight w:val="0"/>
          <w:marTop w:val="0"/>
          <w:marBottom w:val="0"/>
          <w:divBdr>
            <w:top w:val="none" w:sz="0" w:space="0" w:color="auto"/>
            <w:left w:val="none" w:sz="0" w:space="0" w:color="auto"/>
            <w:bottom w:val="none" w:sz="0" w:space="0" w:color="auto"/>
            <w:right w:val="none" w:sz="0" w:space="0" w:color="auto"/>
          </w:divBdr>
        </w:div>
        <w:div w:id="1351033864">
          <w:marLeft w:val="640"/>
          <w:marRight w:val="0"/>
          <w:marTop w:val="0"/>
          <w:marBottom w:val="0"/>
          <w:divBdr>
            <w:top w:val="none" w:sz="0" w:space="0" w:color="auto"/>
            <w:left w:val="none" w:sz="0" w:space="0" w:color="auto"/>
            <w:bottom w:val="none" w:sz="0" w:space="0" w:color="auto"/>
            <w:right w:val="none" w:sz="0" w:space="0" w:color="auto"/>
          </w:divBdr>
        </w:div>
        <w:div w:id="663776381">
          <w:marLeft w:val="640"/>
          <w:marRight w:val="0"/>
          <w:marTop w:val="0"/>
          <w:marBottom w:val="0"/>
          <w:divBdr>
            <w:top w:val="none" w:sz="0" w:space="0" w:color="auto"/>
            <w:left w:val="none" w:sz="0" w:space="0" w:color="auto"/>
            <w:bottom w:val="none" w:sz="0" w:space="0" w:color="auto"/>
            <w:right w:val="none" w:sz="0" w:space="0" w:color="auto"/>
          </w:divBdr>
        </w:div>
        <w:div w:id="1075667007">
          <w:marLeft w:val="640"/>
          <w:marRight w:val="0"/>
          <w:marTop w:val="0"/>
          <w:marBottom w:val="0"/>
          <w:divBdr>
            <w:top w:val="none" w:sz="0" w:space="0" w:color="auto"/>
            <w:left w:val="none" w:sz="0" w:space="0" w:color="auto"/>
            <w:bottom w:val="none" w:sz="0" w:space="0" w:color="auto"/>
            <w:right w:val="none" w:sz="0" w:space="0" w:color="auto"/>
          </w:divBdr>
        </w:div>
        <w:div w:id="1630933338">
          <w:marLeft w:val="640"/>
          <w:marRight w:val="0"/>
          <w:marTop w:val="0"/>
          <w:marBottom w:val="0"/>
          <w:divBdr>
            <w:top w:val="none" w:sz="0" w:space="0" w:color="auto"/>
            <w:left w:val="none" w:sz="0" w:space="0" w:color="auto"/>
            <w:bottom w:val="none" w:sz="0" w:space="0" w:color="auto"/>
            <w:right w:val="none" w:sz="0" w:space="0" w:color="auto"/>
          </w:divBdr>
        </w:div>
        <w:div w:id="1884638860">
          <w:marLeft w:val="640"/>
          <w:marRight w:val="0"/>
          <w:marTop w:val="0"/>
          <w:marBottom w:val="0"/>
          <w:divBdr>
            <w:top w:val="none" w:sz="0" w:space="0" w:color="auto"/>
            <w:left w:val="none" w:sz="0" w:space="0" w:color="auto"/>
            <w:bottom w:val="none" w:sz="0" w:space="0" w:color="auto"/>
            <w:right w:val="none" w:sz="0" w:space="0" w:color="auto"/>
          </w:divBdr>
        </w:div>
        <w:div w:id="2128231751">
          <w:marLeft w:val="640"/>
          <w:marRight w:val="0"/>
          <w:marTop w:val="0"/>
          <w:marBottom w:val="0"/>
          <w:divBdr>
            <w:top w:val="none" w:sz="0" w:space="0" w:color="auto"/>
            <w:left w:val="none" w:sz="0" w:space="0" w:color="auto"/>
            <w:bottom w:val="none" w:sz="0" w:space="0" w:color="auto"/>
            <w:right w:val="none" w:sz="0" w:space="0" w:color="auto"/>
          </w:divBdr>
        </w:div>
        <w:div w:id="738989630">
          <w:marLeft w:val="640"/>
          <w:marRight w:val="0"/>
          <w:marTop w:val="0"/>
          <w:marBottom w:val="0"/>
          <w:divBdr>
            <w:top w:val="none" w:sz="0" w:space="0" w:color="auto"/>
            <w:left w:val="none" w:sz="0" w:space="0" w:color="auto"/>
            <w:bottom w:val="none" w:sz="0" w:space="0" w:color="auto"/>
            <w:right w:val="none" w:sz="0" w:space="0" w:color="auto"/>
          </w:divBdr>
        </w:div>
        <w:div w:id="1272318683">
          <w:marLeft w:val="640"/>
          <w:marRight w:val="0"/>
          <w:marTop w:val="0"/>
          <w:marBottom w:val="0"/>
          <w:divBdr>
            <w:top w:val="none" w:sz="0" w:space="0" w:color="auto"/>
            <w:left w:val="none" w:sz="0" w:space="0" w:color="auto"/>
            <w:bottom w:val="none" w:sz="0" w:space="0" w:color="auto"/>
            <w:right w:val="none" w:sz="0" w:space="0" w:color="auto"/>
          </w:divBdr>
        </w:div>
        <w:div w:id="2105956855">
          <w:marLeft w:val="640"/>
          <w:marRight w:val="0"/>
          <w:marTop w:val="0"/>
          <w:marBottom w:val="0"/>
          <w:divBdr>
            <w:top w:val="none" w:sz="0" w:space="0" w:color="auto"/>
            <w:left w:val="none" w:sz="0" w:space="0" w:color="auto"/>
            <w:bottom w:val="none" w:sz="0" w:space="0" w:color="auto"/>
            <w:right w:val="none" w:sz="0" w:space="0" w:color="auto"/>
          </w:divBdr>
        </w:div>
        <w:div w:id="1308893911">
          <w:marLeft w:val="640"/>
          <w:marRight w:val="0"/>
          <w:marTop w:val="0"/>
          <w:marBottom w:val="0"/>
          <w:divBdr>
            <w:top w:val="none" w:sz="0" w:space="0" w:color="auto"/>
            <w:left w:val="none" w:sz="0" w:space="0" w:color="auto"/>
            <w:bottom w:val="none" w:sz="0" w:space="0" w:color="auto"/>
            <w:right w:val="none" w:sz="0" w:space="0" w:color="auto"/>
          </w:divBdr>
        </w:div>
        <w:div w:id="1478766730">
          <w:marLeft w:val="640"/>
          <w:marRight w:val="0"/>
          <w:marTop w:val="0"/>
          <w:marBottom w:val="0"/>
          <w:divBdr>
            <w:top w:val="none" w:sz="0" w:space="0" w:color="auto"/>
            <w:left w:val="none" w:sz="0" w:space="0" w:color="auto"/>
            <w:bottom w:val="none" w:sz="0" w:space="0" w:color="auto"/>
            <w:right w:val="none" w:sz="0" w:space="0" w:color="auto"/>
          </w:divBdr>
        </w:div>
        <w:div w:id="136267753">
          <w:marLeft w:val="640"/>
          <w:marRight w:val="0"/>
          <w:marTop w:val="0"/>
          <w:marBottom w:val="0"/>
          <w:divBdr>
            <w:top w:val="none" w:sz="0" w:space="0" w:color="auto"/>
            <w:left w:val="none" w:sz="0" w:space="0" w:color="auto"/>
            <w:bottom w:val="none" w:sz="0" w:space="0" w:color="auto"/>
            <w:right w:val="none" w:sz="0" w:space="0" w:color="auto"/>
          </w:divBdr>
        </w:div>
        <w:div w:id="599530821">
          <w:marLeft w:val="640"/>
          <w:marRight w:val="0"/>
          <w:marTop w:val="0"/>
          <w:marBottom w:val="0"/>
          <w:divBdr>
            <w:top w:val="none" w:sz="0" w:space="0" w:color="auto"/>
            <w:left w:val="none" w:sz="0" w:space="0" w:color="auto"/>
            <w:bottom w:val="none" w:sz="0" w:space="0" w:color="auto"/>
            <w:right w:val="none" w:sz="0" w:space="0" w:color="auto"/>
          </w:divBdr>
        </w:div>
        <w:div w:id="150609387">
          <w:marLeft w:val="640"/>
          <w:marRight w:val="0"/>
          <w:marTop w:val="0"/>
          <w:marBottom w:val="0"/>
          <w:divBdr>
            <w:top w:val="none" w:sz="0" w:space="0" w:color="auto"/>
            <w:left w:val="none" w:sz="0" w:space="0" w:color="auto"/>
            <w:bottom w:val="none" w:sz="0" w:space="0" w:color="auto"/>
            <w:right w:val="none" w:sz="0" w:space="0" w:color="auto"/>
          </w:divBdr>
        </w:div>
        <w:div w:id="1369524390">
          <w:marLeft w:val="640"/>
          <w:marRight w:val="0"/>
          <w:marTop w:val="0"/>
          <w:marBottom w:val="0"/>
          <w:divBdr>
            <w:top w:val="none" w:sz="0" w:space="0" w:color="auto"/>
            <w:left w:val="none" w:sz="0" w:space="0" w:color="auto"/>
            <w:bottom w:val="none" w:sz="0" w:space="0" w:color="auto"/>
            <w:right w:val="none" w:sz="0" w:space="0" w:color="auto"/>
          </w:divBdr>
        </w:div>
        <w:div w:id="314337182">
          <w:marLeft w:val="640"/>
          <w:marRight w:val="0"/>
          <w:marTop w:val="0"/>
          <w:marBottom w:val="0"/>
          <w:divBdr>
            <w:top w:val="none" w:sz="0" w:space="0" w:color="auto"/>
            <w:left w:val="none" w:sz="0" w:space="0" w:color="auto"/>
            <w:bottom w:val="none" w:sz="0" w:space="0" w:color="auto"/>
            <w:right w:val="none" w:sz="0" w:space="0" w:color="auto"/>
          </w:divBdr>
        </w:div>
        <w:div w:id="1932160315">
          <w:marLeft w:val="640"/>
          <w:marRight w:val="0"/>
          <w:marTop w:val="0"/>
          <w:marBottom w:val="0"/>
          <w:divBdr>
            <w:top w:val="none" w:sz="0" w:space="0" w:color="auto"/>
            <w:left w:val="none" w:sz="0" w:space="0" w:color="auto"/>
            <w:bottom w:val="none" w:sz="0" w:space="0" w:color="auto"/>
            <w:right w:val="none" w:sz="0" w:space="0" w:color="auto"/>
          </w:divBdr>
        </w:div>
        <w:div w:id="923759087">
          <w:marLeft w:val="640"/>
          <w:marRight w:val="0"/>
          <w:marTop w:val="0"/>
          <w:marBottom w:val="0"/>
          <w:divBdr>
            <w:top w:val="none" w:sz="0" w:space="0" w:color="auto"/>
            <w:left w:val="none" w:sz="0" w:space="0" w:color="auto"/>
            <w:bottom w:val="none" w:sz="0" w:space="0" w:color="auto"/>
            <w:right w:val="none" w:sz="0" w:space="0" w:color="auto"/>
          </w:divBdr>
        </w:div>
        <w:div w:id="256451115">
          <w:marLeft w:val="640"/>
          <w:marRight w:val="0"/>
          <w:marTop w:val="0"/>
          <w:marBottom w:val="0"/>
          <w:divBdr>
            <w:top w:val="none" w:sz="0" w:space="0" w:color="auto"/>
            <w:left w:val="none" w:sz="0" w:space="0" w:color="auto"/>
            <w:bottom w:val="none" w:sz="0" w:space="0" w:color="auto"/>
            <w:right w:val="none" w:sz="0" w:space="0" w:color="auto"/>
          </w:divBdr>
        </w:div>
        <w:div w:id="1064640544">
          <w:marLeft w:val="640"/>
          <w:marRight w:val="0"/>
          <w:marTop w:val="0"/>
          <w:marBottom w:val="0"/>
          <w:divBdr>
            <w:top w:val="none" w:sz="0" w:space="0" w:color="auto"/>
            <w:left w:val="none" w:sz="0" w:space="0" w:color="auto"/>
            <w:bottom w:val="none" w:sz="0" w:space="0" w:color="auto"/>
            <w:right w:val="none" w:sz="0" w:space="0" w:color="auto"/>
          </w:divBdr>
        </w:div>
        <w:div w:id="1287852211">
          <w:marLeft w:val="640"/>
          <w:marRight w:val="0"/>
          <w:marTop w:val="0"/>
          <w:marBottom w:val="0"/>
          <w:divBdr>
            <w:top w:val="none" w:sz="0" w:space="0" w:color="auto"/>
            <w:left w:val="none" w:sz="0" w:space="0" w:color="auto"/>
            <w:bottom w:val="none" w:sz="0" w:space="0" w:color="auto"/>
            <w:right w:val="none" w:sz="0" w:space="0" w:color="auto"/>
          </w:divBdr>
        </w:div>
        <w:div w:id="790394679">
          <w:marLeft w:val="640"/>
          <w:marRight w:val="0"/>
          <w:marTop w:val="0"/>
          <w:marBottom w:val="0"/>
          <w:divBdr>
            <w:top w:val="none" w:sz="0" w:space="0" w:color="auto"/>
            <w:left w:val="none" w:sz="0" w:space="0" w:color="auto"/>
            <w:bottom w:val="none" w:sz="0" w:space="0" w:color="auto"/>
            <w:right w:val="none" w:sz="0" w:space="0" w:color="auto"/>
          </w:divBdr>
        </w:div>
        <w:div w:id="1910529044">
          <w:marLeft w:val="640"/>
          <w:marRight w:val="0"/>
          <w:marTop w:val="0"/>
          <w:marBottom w:val="0"/>
          <w:divBdr>
            <w:top w:val="none" w:sz="0" w:space="0" w:color="auto"/>
            <w:left w:val="none" w:sz="0" w:space="0" w:color="auto"/>
            <w:bottom w:val="none" w:sz="0" w:space="0" w:color="auto"/>
            <w:right w:val="none" w:sz="0" w:space="0" w:color="auto"/>
          </w:divBdr>
        </w:div>
        <w:div w:id="1296914138">
          <w:marLeft w:val="640"/>
          <w:marRight w:val="0"/>
          <w:marTop w:val="0"/>
          <w:marBottom w:val="0"/>
          <w:divBdr>
            <w:top w:val="none" w:sz="0" w:space="0" w:color="auto"/>
            <w:left w:val="none" w:sz="0" w:space="0" w:color="auto"/>
            <w:bottom w:val="none" w:sz="0" w:space="0" w:color="auto"/>
            <w:right w:val="none" w:sz="0" w:space="0" w:color="auto"/>
          </w:divBdr>
        </w:div>
        <w:div w:id="1173060123">
          <w:marLeft w:val="640"/>
          <w:marRight w:val="0"/>
          <w:marTop w:val="0"/>
          <w:marBottom w:val="0"/>
          <w:divBdr>
            <w:top w:val="none" w:sz="0" w:space="0" w:color="auto"/>
            <w:left w:val="none" w:sz="0" w:space="0" w:color="auto"/>
            <w:bottom w:val="none" w:sz="0" w:space="0" w:color="auto"/>
            <w:right w:val="none" w:sz="0" w:space="0" w:color="auto"/>
          </w:divBdr>
        </w:div>
        <w:div w:id="519053212">
          <w:marLeft w:val="640"/>
          <w:marRight w:val="0"/>
          <w:marTop w:val="0"/>
          <w:marBottom w:val="0"/>
          <w:divBdr>
            <w:top w:val="none" w:sz="0" w:space="0" w:color="auto"/>
            <w:left w:val="none" w:sz="0" w:space="0" w:color="auto"/>
            <w:bottom w:val="none" w:sz="0" w:space="0" w:color="auto"/>
            <w:right w:val="none" w:sz="0" w:space="0" w:color="auto"/>
          </w:divBdr>
        </w:div>
        <w:div w:id="771515802">
          <w:marLeft w:val="640"/>
          <w:marRight w:val="0"/>
          <w:marTop w:val="0"/>
          <w:marBottom w:val="0"/>
          <w:divBdr>
            <w:top w:val="none" w:sz="0" w:space="0" w:color="auto"/>
            <w:left w:val="none" w:sz="0" w:space="0" w:color="auto"/>
            <w:bottom w:val="none" w:sz="0" w:space="0" w:color="auto"/>
            <w:right w:val="none" w:sz="0" w:space="0" w:color="auto"/>
          </w:divBdr>
        </w:div>
        <w:div w:id="777022948">
          <w:marLeft w:val="640"/>
          <w:marRight w:val="0"/>
          <w:marTop w:val="0"/>
          <w:marBottom w:val="0"/>
          <w:divBdr>
            <w:top w:val="none" w:sz="0" w:space="0" w:color="auto"/>
            <w:left w:val="none" w:sz="0" w:space="0" w:color="auto"/>
            <w:bottom w:val="none" w:sz="0" w:space="0" w:color="auto"/>
            <w:right w:val="none" w:sz="0" w:space="0" w:color="auto"/>
          </w:divBdr>
        </w:div>
        <w:div w:id="927733039">
          <w:marLeft w:val="640"/>
          <w:marRight w:val="0"/>
          <w:marTop w:val="0"/>
          <w:marBottom w:val="0"/>
          <w:divBdr>
            <w:top w:val="none" w:sz="0" w:space="0" w:color="auto"/>
            <w:left w:val="none" w:sz="0" w:space="0" w:color="auto"/>
            <w:bottom w:val="none" w:sz="0" w:space="0" w:color="auto"/>
            <w:right w:val="none" w:sz="0" w:space="0" w:color="auto"/>
          </w:divBdr>
        </w:div>
        <w:div w:id="106120688">
          <w:marLeft w:val="640"/>
          <w:marRight w:val="0"/>
          <w:marTop w:val="0"/>
          <w:marBottom w:val="0"/>
          <w:divBdr>
            <w:top w:val="none" w:sz="0" w:space="0" w:color="auto"/>
            <w:left w:val="none" w:sz="0" w:space="0" w:color="auto"/>
            <w:bottom w:val="none" w:sz="0" w:space="0" w:color="auto"/>
            <w:right w:val="none" w:sz="0" w:space="0" w:color="auto"/>
          </w:divBdr>
        </w:div>
        <w:div w:id="1561938291">
          <w:marLeft w:val="640"/>
          <w:marRight w:val="0"/>
          <w:marTop w:val="0"/>
          <w:marBottom w:val="0"/>
          <w:divBdr>
            <w:top w:val="none" w:sz="0" w:space="0" w:color="auto"/>
            <w:left w:val="none" w:sz="0" w:space="0" w:color="auto"/>
            <w:bottom w:val="none" w:sz="0" w:space="0" w:color="auto"/>
            <w:right w:val="none" w:sz="0" w:space="0" w:color="auto"/>
          </w:divBdr>
        </w:div>
        <w:div w:id="2048262389">
          <w:marLeft w:val="640"/>
          <w:marRight w:val="0"/>
          <w:marTop w:val="0"/>
          <w:marBottom w:val="0"/>
          <w:divBdr>
            <w:top w:val="none" w:sz="0" w:space="0" w:color="auto"/>
            <w:left w:val="none" w:sz="0" w:space="0" w:color="auto"/>
            <w:bottom w:val="none" w:sz="0" w:space="0" w:color="auto"/>
            <w:right w:val="none" w:sz="0" w:space="0" w:color="auto"/>
          </w:divBdr>
        </w:div>
        <w:div w:id="1539203290">
          <w:marLeft w:val="640"/>
          <w:marRight w:val="0"/>
          <w:marTop w:val="0"/>
          <w:marBottom w:val="0"/>
          <w:divBdr>
            <w:top w:val="none" w:sz="0" w:space="0" w:color="auto"/>
            <w:left w:val="none" w:sz="0" w:space="0" w:color="auto"/>
            <w:bottom w:val="none" w:sz="0" w:space="0" w:color="auto"/>
            <w:right w:val="none" w:sz="0" w:space="0" w:color="auto"/>
          </w:divBdr>
        </w:div>
        <w:div w:id="1954051959">
          <w:marLeft w:val="640"/>
          <w:marRight w:val="0"/>
          <w:marTop w:val="0"/>
          <w:marBottom w:val="0"/>
          <w:divBdr>
            <w:top w:val="none" w:sz="0" w:space="0" w:color="auto"/>
            <w:left w:val="none" w:sz="0" w:space="0" w:color="auto"/>
            <w:bottom w:val="none" w:sz="0" w:space="0" w:color="auto"/>
            <w:right w:val="none" w:sz="0" w:space="0" w:color="auto"/>
          </w:divBdr>
        </w:div>
        <w:div w:id="1554661607">
          <w:marLeft w:val="640"/>
          <w:marRight w:val="0"/>
          <w:marTop w:val="0"/>
          <w:marBottom w:val="0"/>
          <w:divBdr>
            <w:top w:val="none" w:sz="0" w:space="0" w:color="auto"/>
            <w:left w:val="none" w:sz="0" w:space="0" w:color="auto"/>
            <w:bottom w:val="none" w:sz="0" w:space="0" w:color="auto"/>
            <w:right w:val="none" w:sz="0" w:space="0" w:color="auto"/>
          </w:divBdr>
        </w:div>
        <w:div w:id="1202858443">
          <w:marLeft w:val="640"/>
          <w:marRight w:val="0"/>
          <w:marTop w:val="0"/>
          <w:marBottom w:val="0"/>
          <w:divBdr>
            <w:top w:val="none" w:sz="0" w:space="0" w:color="auto"/>
            <w:left w:val="none" w:sz="0" w:space="0" w:color="auto"/>
            <w:bottom w:val="none" w:sz="0" w:space="0" w:color="auto"/>
            <w:right w:val="none" w:sz="0" w:space="0" w:color="auto"/>
          </w:divBdr>
        </w:div>
        <w:div w:id="1050223570">
          <w:marLeft w:val="640"/>
          <w:marRight w:val="0"/>
          <w:marTop w:val="0"/>
          <w:marBottom w:val="0"/>
          <w:divBdr>
            <w:top w:val="none" w:sz="0" w:space="0" w:color="auto"/>
            <w:left w:val="none" w:sz="0" w:space="0" w:color="auto"/>
            <w:bottom w:val="none" w:sz="0" w:space="0" w:color="auto"/>
            <w:right w:val="none" w:sz="0" w:space="0" w:color="auto"/>
          </w:divBdr>
        </w:div>
        <w:div w:id="1439644783">
          <w:marLeft w:val="640"/>
          <w:marRight w:val="0"/>
          <w:marTop w:val="0"/>
          <w:marBottom w:val="0"/>
          <w:divBdr>
            <w:top w:val="none" w:sz="0" w:space="0" w:color="auto"/>
            <w:left w:val="none" w:sz="0" w:space="0" w:color="auto"/>
            <w:bottom w:val="none" w:sz="0" w:space="0" w:color="auto"/>
            <w:right w:val="none" w:sz="0" w:space="0" w:color="auto"/>
          </w:divBdr>
        </w:div>
        <w:div w:id="1774403085">
          <w:marLeft w:val="640"/>
          <w:marRight w:val="0"/>
          <w:marTop w:val="0"/>
          <w:marBottom w:val="0"/>
          <w:divBdr>
            <w:top w:val="none" w:sz="0" w:space="0" w:color="auto"/>
            <w:left w:val="none" w:sz="0" w:space="0" w:color="auto"/>
            <w:bottom w:val="none" w:sz="0" w:space="0" w:color="auto"/>
            <w:right w:val="none" w:sz="0" w:space="0" w:color="auto"/>
          </w:divBdr>
        </w:div>
        <w:div w:id="13920466">
          <w:marLeft w:val="640"/>
          <w:marRight w:val="0"/>
          <w:marTop w:val="0"/>
          <w:marBottom w:val="0"/>
          <w:divBdr>
            <w:top w:val="none" w:sz="0" w:space="0" w:color="auto"/>
            <w:left w:val="none" w:sz="0" w:space="0" w:color="auto"/>
            <w:bottom w:val="none" w:sz="0" w:space="0" w:color="auto"/>
            <w:right w:val="none" w:sz="0" w:space="0" w:color="auto"/>
          </w:divBdr>
        </w:div>
      </w:divsChild>
    </w:div>
    <w:div w:id="1594433864">
      <w:bodyDiv w:val="1"/>
      <w:marLeft w:val="0"/>
      <w:marRight w:val="0"/>
      <w:marTop w:val="0"/>
      <w:marBottom w:val="0"/>
      <w:divBdr>
        <w:top w:val="none" w:sz="0" w:space="0" w:color="auto"/>
        <w:left w:val="none" w:sz="0" w:space="0" w:color="auto"/>
        <w:bottom w:val="none" w:sz="0" w:space="0" w:color="auto"/>
        <w:right w:val="none" w:sz="0" w:space="0" w:color="auto"/>
      </w:divBdr>
      <w:divsChild>
        <w:div w:id="1864630924">
          <w:marLeft w:val="640"/>
          <w:marRight w:val="0"/>
          <w:marTop w:val="0"/>
          <w:marBottom w:val="0"/>
          <w:divBdr>
            <w:top w:val="none" w:sz="0" w:space="0" w:color="auto"/>
            <w:left w:val="none" w:sz="0" w:space="0" w:color="auto"/>
            <w:bottom w:val="none" w:sz="0" w:space="0" w:color="auto"/>
            <w:right w:val="none" w:sz="0" w:space="0" w:color="auto"/>
          </w:divBdr>
        </w:div>
        <w:div w:id="2026591595">
          <w:marLeft w:val="640"/>
          <w:marRight w:val="0"/>
          <w:marTop w:val="0"/>
          <w:marBottom w:val="0"/>
          <w:divBdr>
            <w:top w:val="none" w:sz="0" w:space="0" w:color="auto"/>
            <w:left w:val="none" w:sz="0" w:space="0" w:color="auto"/>
            <w:bottom w:val="none" w:sz="0" w:space="0" w:color="auto"/>
            <w:right w:val="none" w:sz="0" w:space="0" w:color="auto"/>
          </w:divBdr>
        </w:div>
        <w:div w:id="1613200286">
          <w:marLeft w:val="640"/>
          <w:marRight w:val="0"/>
          <w:marTop w:val="0"/>
          <w:marBottom w:val="0"/>
          <w:divBdr>
            <w:top w:val="none" w:sz="0" w:space="0" w:color="auto"/>
            <w:left w:val="none" w:sz="0" w:space="0" w:color="auto"/>
            <w:bottom w:val="none" w:sz="0" w:space="0" w:color="auto"/>
            <w:right w:val="none" w:sz="0" w:space="0" w:color="auto"/>
          </w:divBdr>
        </w:div>
        <w:div w:id="2048139773">
          <w:marLeft w:val="640"/>
          <w:marRight w:val="0"/>
          <w:marTop w:val="0"/>
          <w:marBottom w:val="0"/>
          <w:divBdr>
            <w:top w:val="none" w:sz="0" w:space="0" w:color="auto"/>
            <w:left w:val="none" w:sz="0" w:space="0" w:color="auto"/>
            <w:bottom w:val="none" w:sz="0" w:space="0" w:color="auto"/>
            <w:right w:val="none" w:sz="0" w:space="0" w:color="auto"/>
          </w:divBdr>
        </w:div>
        <w:div w:id="260719446">
          <w:marLeft w:val="640"/>
          <w:marRight w:val="0"/>
          <w:marTop w:val="0"/>
          <w:marBottom w:val="0"/>
          <w:divBdr>
            <w:top w:val="none" w:sz="0" w:space="0" w:color="auto"/>
            <w:left w:val="none" w:sz="0" w:space="0" w:color="auto"/>
            <w:bottom w:val="none" w:sz="0" w:space="0" w:color="auto"/>
            <w:right w:val="none" w:sz="0" w:space="0" w:color="auto"/>
          </w:divBdr>
        </w:div>
        <w:div w:id="2034384047">
          <w:marLeft w:val="640"/>
          <w:marRight w:val="0"/>
          <w:marTop w:val="0"/>
          <w:marBottom w:val="0"/>
          <w:divBdr>
            <w:top w:val="none" w:sz="0" w:space="0" w:color="auto"/>
            <w:left w:val="none" w:sz="0" w:space="0" w:color="auto"/>
            <w:bottom w:val="none" w:sz="0" w:space="0" w:color="auto"/>
            <w:right w:val="none" w:sz="0" w:space="0" w:color="auto"/>
          </w:divBdr>
        </w:div>
        <w:div w:id="1500273473">
          <w:marLeft w:val="640"/>
          <w:marRight w:val="0"/>
          <w:marTop w:val="0"/>
          <w:marBottom w:val="0"/>
          <w:divBdr>
            <w:top w:val="none" w:sz="0" w:space="0" w:color="auto"/>
            <w:left w:val="none" w:sz="0" w:space="0" w:color="auto"/>
            <w:bottom w:val="none" w:sz="0" w:space="0" w:color="auto"/>
            <w:right w:val="none" w:sz="0" w:space="0" w:color="auto"/>
          </w:divBdr>
        </w:div>
        <w:div w:id="677387796">
          <w:marLeft w:val="640"/>
          <w:marRight w:val="0"/>
          <w:marTop w:val="0"/>
          <w:marBottom w:val="0"/>
          <w:divBdr>
            <w:top w:val="none" w:sz="0" w:space="0" w:color="auto"/>
            <w:left w:val="none" w:sz="0" w:space="0" w:color="auto"/>
            <w:bottom w:val="none" w:sz="0" w:space="0" w:color="auto"/>
            <w:right w:val="none" w:sz="0" w:space="0" w:color="auto"/>
          </w:divBdr>
        </w:div>
        <w:div w:id="200048305">
          <w:marLeft w:val="640"/>
          <w:marRight w:val="0"/>
          <w:marTop w:val="0"/>
          <w:marBottom w:val="0"/>
          <w:divBdr>
            <w:top w:val="none" w:sz="0" w:space="0" w:color="auto"/>
            <w:left w:val="none" w:sz="0" w:space="0" w:color="auto"/>
            <w:bottom w:val="none" w:sz="0" w:space="0" w:color="auto"/>
            <w:right w:val="none" w:sz="0" w:space="0" w:color="auto"/>
          </w:divBdr>
        </w:div>
        <w:div w:id="619075128">
          <w:marLeft w:val="640"/>
          <w:marRight w:val="0"/>
          <w:marTop w:val="0"/>
          <w:marBottom w:val="0"/>
          <w:divBdr>
            <w:top w:val="none" w:sz="0" w:space="0" w:color="auto"/>
            <w:left w:val="none" w:sz="0" w:space="0" w:color="auto"/>
            <w:bottom w:val="none" w:sz="0" w:space="0" w:color="auto"/>
            <w:right w:val="none" w:sz="0" w:space="0" w:color="auto"/>
          </w:divBdr>
        </w:div>
        <w:div w:id="77333841">
          <w:marLeft w:val="640"/>
          <w:marRight w:val="0"/>
          <w:marTop w:val="0"/>
          <w:marBottom w:val="0"/>
          <w:divBdr>
            <w:top w:val="none" w:sz="0" w:space="0" w:color="auto"/>
            <w:left w:val="none" w:sz="0" w:space="0" w:color="auto"/>
            <w:bottom w:val="none" w:sz="0" w:space="0" w:color="auto"/>
            <w:right w:val="none" w:sz="0" w:space="0" w:color="auto"/>
          </w:divBdr>
        </w:div>
        <w:div w:id="846601621">
          <w:marLeft w:val="640"/>
          <w:marRight w:val="0"/>
          <w:marTop w:val="0"/>
          <w:marBottom w:val="0"/>
          <w:divBdr>
            <w:top w:val="none" w:sz="0" w:space="0" w:color="auto"/>
            <w:left w:val="none" w:sz="0" w:space="0" w:color="auto"/>
            <w:bottom w:val="none" w:sz="0" w:space="0" w:color="auto"/>
            <w:right w:val="none" w:sz="0" w:space="0" w:color="auto"/>
          </w:divBdr>
        </w:div>
        <w:div w:id="1542590921">
          <w:marLeft w:val="640"/>
          <w:marRight w:val="0"/>
          <w:marTop w:val="0"/>
          <w:marBottom w:val="0"/>
          <w:divBdr>
            <w:top w:val="none" w:sz="0" w:space="0" w:color="auto"/>
            <w:left w:val="none" w:sz="0" w:space="0" w:color="auto"/>
            <w:bottom w:val="none" w:sz="0" w:space="0" w:color="auto"/>
            <w:right w:val="none" w:sz="0" w:space="0" w:color="auto"/>
          </w:divBdr>
        </w:div>
        <w:div w:id="1627396435">
          <w:marLeft w:val="640"/>
          <w:marRight w:val="0"/>
          <w:marTop w:val="0"/>
          <w:marBottom w:val="0"/>
          <w:divBdr>
            <w:top w:val="none" w:sz="0" w:space="0" w:color="auto"/>
            <w:left w:val="none" w:sz="0" w:space="0" w:color="auto"/>
            <w:bottom w:val="none" w:sz="0" w:space="0" w:color="auto"/>
            <w:right w:val="none" w:sz="0" w:space="0" w:color="auto"/>
          </w:divBdr>
        </w:div>
        <w:div w:id="70931663">
          <w:marLeft w:val="640"/>
          <w:marRight w:val="0"/>
          <w:marTop w:val="0"/>
          <w:marBottom w:val="0"/>
          <w:divBdr>
            <w:top w:val="none" w:sz="0" w:space="0" w:color="auto"/>
            <w:left w:val="none" w:sz="0" w:space="0" w:color="auto"/>
            <w:bottom w:val="none" w:sz="0" w:space="0" w:color="auto"/>
            <w:right w:val="none" w:sz="0" w:space="0" w:color="auto"/>
          </w:divBdr>
        </w:div>
        <w:div w:id="117458591">
          <w:marLeft w:val="640"/>
          <w:marRight w:val="0"/>
          <w:marTop w:val="0"/>
          <w:marBottom w:val="0"/>
          <w:divBdr>
            <w:top w:val="none" w:sz="0" w:space="0" w:color="auto"/>
            <w:left w:val="none" w:sz="0" w:space="0" w:color="auto"/>
            <w:bottom w:val="none" w:sz="0" w:space="0" w:color="auto"/>
            <w:right w:val="none" w:sz="0" w:space="0" w:color="auto"/>
          </w:divBdr>
        </w:div>
        <w:div w:id="6913373">
          <w:marLeft w:val="640"/>
          <w:marRight w:val="0"/>
          <w:marTop w:val="0"/>
          <w:marBottom w:val="0"/>
          <w:divBdr>
            <w:top w:val="none" w:sz="0" w:space="0" w:color="auto"/>
            <w:left w:val="none" w:sz="0" w:space="0" w:color="auto"/>
            <w:bottom w:val="none" w:sz="0" w:space="0" w:color="auto"/>
            <w:right w:val="none" w:sz="0" w:space="0" w:color="auto"/>
          </w:divBdr>
        </w:div>
        <w:div w:id="254746336">
          <w:marLeft w:val="640"/>
          <w:marRight w:val="0"/>
          <w:marTop w:val="0"/>
          <w:marBottom w:val="0"/>
          <w:divBdr>
            <w:top w:val="none" w:sz="0" w:space="0" w:color="auto"/>
            <w:left w:val="none" w:sz="0" w:space="0" w:color="auto"/>
            <w:bottom w:val="none" w:sz="0" w:space="0" w:color="auto"/>
            <w:right w:val="none" w:sz="0" w:space="0" w:color="auto"/>
          </w:divBdr>
        </w:div>
        <w:div w:id="1974405209">
          <w:marLeft w:val="640"/>
          <w:marRight w:val="0"/>
          <w:marTop w:val="0"/>
          <w:marBottom w:val="0"/>
          <w:divBdr>
            <w:top w:val="none" w:sz="0" w:space="0" w:color="auto"/>
            <w:left w:val="none" w:sz="0" w:space="0" w:color="auto"/>
            <w:bottom w:val="none" w:sz="0" w:space="0" w:color="auto"/>
            <w:right w:val="none" w:sz="0" w:space="0" w:color="auto"/>
          </w:divBdr>
        </w:div>
        <w:div w:id="1110735382">
          <w:marLeft w:val="640"/>
          <w:marRight w:val="0"/>
          <w:marTop w:val="0"/>
          <w:marBottom w:val="0"/>
          <w:divBdr>
            <w:top w:val="none" w:sz="0" w:space="0" w:color="auto"/>
            <w:left w:val="none" w:sz="0" w:space="0" w:color="auto"/>
            <w:bottom w:val="none" w:sz="0" w:space="0" w:color="auto"/>
            <w:right w:val="none" w:sz="0" w:space="0" w:color="auto"/>
          </w:divBdr>
        </w:div>
        <w:div w:id="1616788831">
          <w:marLeft w:val="640"/>
          <w:marRight w:val="0"/>
          <w:marTop w:val="0"/>
          <w:marBottom w:val="0"/>
          <w:divBdr>
            <w:top w:val="none" w:sz="0" w:space="0" w:color="auto"/>
            <w:left w:val="none" w:sz="0" w:space="0" w:color="auto"/>
            <w:bottom w:val="none" w:sz="0" w:space="0" w:color="auto"/>
            <w:right w:val="none" w:sz="0" w:space="0" w:color="auto"/>
          </w:divBdr>
        </w:div>
        <w:div w:id="1630479990">
          <w:marLeft w:val="640"/>
          <w:marRight w:val="0"/>
          <w:marTop w:val="0"/>
          <w:marBottom w:val="0"/>
          <w:divBdr>
            <w:top w:val="none" w:sz="0" w:space="0" w:color="auto"/>
            <w:left w:val="none" w:sz="0" w:space="0" w:color="auto"/>
            <w:bottom w:val="none" w:sz="0" w:space="0" w:color="auto"/>
            <w:right w:val="none" w:sz="0" w:space="0" w:color="auto"/>
          </w:divBdr>
        </w:div>
        <w:div w:id="499078127">
          <w:marLeft w:val="640"/>
          <w:marRight w:val="0"/>
          <w:marTop w:val="0"/>
          <w:marBottom w:val="0"/>
          <w:divBdr>
            <w:top w:val="none" w:sz="0" w:space="0" w:color="auto"/>
            <w:left w:val="none" w:sz="0" w:space="0" w:color="auto"/>
            <w:bottom w:val="none" w:sz="0" w:space="0" w:color="auto"/>
            <w:right w:val="none" w:sz="0" w:space="0" w:color="auto"/>
          </w:divBdr>
        </w:div>
        <w:div w:id="691344606">
          <w:marLeft w:val="640"/>
          <w:marRight w:val="0"/>
          <w:marTop w:val="0"/>
          <w:marBottom w:val="0"/>
          <w:divBdr>
            <w:top w:val="none" w:sz="0" w:space="0" w:color="auto"/>
            <w:left w:val="none" w:sz="0" w:space="0" w:color="auto"/>
            <w:bottom w:val="none" w:sz="0" w:space="0" w:color="auto"/>
            <w:right w:val="none" w:sz="0" w:space="0" w:color="auto"/>
          </w:divBdr>
        </w:div>
        <w:div w:id="560943894">
          <w:marLeft w:val="640"/>
          <w:marRight w:val="0"/>
          <w:marTop w:val="0"/>
          <w:marBottom w:val="0"/>
          <w:divBdr>
            <w:top w:val="none" w:sz="0" w:space="0" w:color="auto"/>
            <w:left w:val="none" w:sz="0" w:space="0" w:color="auto"/>
            <w:bottom w:val="none" w:sz="0" w:space="0" w:color="auto"/>
            <w:right w:val="none" w:sz="0" w:space="0" w:color="auto"/>
          </w:divBdr>
        </w:div>
        <w:div w:id="760107027">
          <w:marLeft w:val="640"/>
          <w:marRight w:val="0"/>
          <w:marTop w:val="0"/>
          <w:marBottom w:val="0"/>
          <w:divBdr>
            <w:top w:val="none" w:sz="0" w:space="0" w:color="auto"/>
            <w:left w:val="none" w:sz="0" w:space="0" w:color="auto"/>
            <w:bottom w:val="none" w:sz="0" w:space="0" w:color="auto"/>
            <w:right w:val="none" w:sz="0" w:space="0" w:color="auto"/>
          </w:divBdr>
        </w:div>
        <w:div w:id="538201448">
          <w:marLeft w:val="640"/>
          <w:marRight w:val="0"/>
          <w:marTop w:val="0"/>
          <w:marBottom w:val="0"/>
          <w:divBdr>
            <w:top w:val="none" w:sz="0" w:space="0" w:color="auto"/>
            <w:left w:val="none" w:sz="0" w:space="0" w:color="auto"/>
            <w:bottom w:val="none" w:sz="0" w:space="0" w:color="auto"/>
            <w:right w:val="none" w:sz="0" w:space="0" w:color="auto"/>
          </w:divBdr>
        </w:div>
        <w:div w:id="2140412135">
          <w:marLeft w:val="640"/>
          <w:marRight w:val="0"/>
          <w:marTop w:val="0"/>
          <w:marBottom w:val="0"/>
          <w:divBdr>
            <w:top w:val="none" w:sz="0" w:space="0" w:color="auto"/>
            <w:left w:val="none" w:sz="0" w:space="0" w:color="auto"/>
            <w:bottom w:val="none" w:sz="0" w:space="0" w:color="auto"/>
            <w:right w:val="none" w:sz="0" w:space="0" w:color="auto"/>
          </w:divBdr>
        </w:div>
        <w:div w:id="1260144789">
          <w:marLeft w:val="640"/>
          <w:marRight w:val="0"/>
          <w:marTop w:val="0"/>
          <w:marBottom w:val="0"/>
          <w:divBdr>
            <w:top w:val="none" w:sz="0" w:space="0" w:color="auto"/>
            <w:left w:val="none" w:sz="0" w:space="0" w:color="auto"/>
            <w:bottom w:val="none" w:sz="0" w:space="0" w:color="auto"/>
            <w:right w:val="none" w:sz="0" w:space="0" w:color="auto"/>
          </w:divBdr>
        </w:div>
        <w:div w:id="530804746">
          <w:marLeft w:val="640"/>
          <w:marRight w:val="0"/>
          <w:marTop w:val="0"/>
          <w:marBottom w:val="0"/>
          <w:divBdr>
            <w:top w:val="none" w:sz="0" w:space="0" w:color="auto"/>
            <w:left w:val="none" w:sz="0" w:space="0" w:color="auto"/>
            <w:bottom w:val="none" w:sz="0" w:space="0" w:color="auto"/>
            <w:right w:val="none" w:sz="0" w:space="0" w:color="auto"/>
          </w:divBdr>
        </w:div>
        <w:div w:id="453791479">
          <w:marLeft w:val="640"/>
          <w:marRight w:val="0"/>
          <w:marTop w:val="0"/>
          <w:marBottom w:val="0"/>
          <w:divBdr>
            <w:top w:val="none" w:sz="0" w:space="0" w:color="auto"/>
            <w:left w:val="none" w:sz="0" w:space="0" w:color="auto"/>
            <w:bottom w:val="none" w:sz="0" w:space="0" w:color="auto"/>
            <w:right w:val="none" w:sz="0" w:space="0" w:color="auto"/>
          </w:divBdr>
        </w:div>
        <w:div w:id="1854610310">
          <w:marLeft w:val="640"/>
          <w:marRight w:val="0"/>
          <w:marTop w:val="0"/>
          <w:marBottom w:val="0"/>
          <w:divBdr>
            <w:top w:val="none" w:sz="0" w:space="0" w:color="auto"/>
            <w:left w:val="none" w:sz="0" w:space="0" w:color="auto"/>
            <w:bottom w:val="none" w:sz="0" w:space="0" w:color="auto"/>
            <w:right w:val="none" w:sz="0" w:space="0" w:color="auto"/>
          </w:divBdr>
        </w:div>
        <w:div w:id="569121000">
          <w:marLeft w:val="640"/>
          <w:marRight w:val="0"/>
          <w:marTop w:val="0"/>
          <w:marBottom w:val="0"/>
          <w:divBdr>
            <w:top w:val="none" w:sz="0" w:space="0" w:color="auto"/>
            <w:left w:val="none" w:sz="0" w:space="0" w:color="auto"/>
            <w:bottom w:val="none" w:sz="0" w:space="0" w:color="auto"/>
            <w:right w:val="none" w:sz="0" w:space="0" w:color="auto"/>
          </w:divBdr>
        </w:div>
        <w:div w:id="2052993945">
          <w:marLeft w:val="640"/>
          <w:marRight w:val="0"/>
          <w:marTop w:val="0"/>
          <w:marBottom w:val="0"/>
          <w:divBdr>
            <w:top w:val="none" w:sz="0" w:space="0" w:color="auto"/>
            <w:left w:val="none" w:sz="0" w:space="0" w:color="auto"/>
            <w:bottom w:val="none" w:sz="0" w:space="0" w:color="auto"/>
            <w:right w:val="none" w:sz="0" w:space="0" w:color="auto"/>
          </w:divBdr>
        </w:div>
        <w:div w:id="1987054311">
          <w:marLeft w:val="640"/>
          <w:marRight w:val="0"/>
          <w:marTop w:val="0"/>
          <w:marBottom w:val="0"/>
          <w:divBdr>
            <w:top w:val="none" w:sz="0" w:space="0" w:color="auto"/>
            <w:left w:val="none" w:sz="0" w:space="0" w:color="auto"/>
            <w:bottom w:val="none" w:sz="0" w:space="0" w:color="auto"/>
            <w:right w:val="none" w:sz="0" w:space="0" w:color="auto"/>
          </w:divBdr>
        </w:div>
        <w:div w:id="2135364691">
          <w:marLeft w:val="640"/>
          <w:marRight w:val="0"/>
          <w:marTop w:val="0"/>
          <w:marBottom w:val="0"/>
          <w:divBdr>
            <w:top w:val="none" w:sz="0" w:space="0" w:color="auto"/>
            <w:left w:val="none" w:sz="0" w:space="0" w:color="auto"/>
            <w:bottom w:val="none" w:sz="0" w:space="0" w:color="auto"/>
            <w:right w:val="none" w:sz="0" w:space="0" w:color="auto"/>
          </w:divBdr>
        </w:div>
        <w:div w:id="1221744898">
          <w:marLeft w:val="640"/>
          <w:marRight w:val="0"/>
          <w:marTop w:val="0"/>
          <w:marBottom w:val="0"/>
          <w:divBdr>
            <w:top w:val="none" w:sz="0" w:space="0" w:color="auto"/>
            <w:left w:val="none" w:sz="0" w:space="0" w:color="auto"/>
            <w:bottom w:val="none" w:sz="0" w:space="0" w:color="auto"/>
            <w:right w:val="none" w:sz="0" w:space="0" w:color="auto"/>
          </w:divBdr>
        </w:div>
        <w:div w:id="194582310">
          <w:marLeft w:val="640"/>
          <w:marRight w:val="0"/>
          <w:marTop w:val="0"/>
          <w:marBottom w:val="0"/>
          <w:divBdr>
            <w:top w:val="none" w:sz="0" w:space="0" w:color="auto"/>
            <w:left w:val="none" w:sz="0" w:space="0" w:color="auto"/>
            <w:bottom w:val="none" w:sz="0" w:space="0" w:color="auto"/>
            <w:right w:val="none" w:sz="0" w:space="0" w:color="auto"/>
          </w:divBdr>
        </w:div>
        <w:div w:id="462845847">
          <w:marLeft w:val="640"/>
          <w:marRight w:val="0"/>
          <w:marTop w:val="0"/>
          <w:marBottom w:val="0"/>
          <w:divBdr>
            <w:top w:val="none" w:sz="0" w:space="0" w:color="auto"/>
            <w:left w:val="none" w:sz="0" w:space="0" w:color="auto"/>
            <w:bottom w:val="none" w:sz="0" w:space="0" w:color="auto"/>
            <w:right w:val="none" w:sz="0" w:space="0" w:color="auto"/>
          </w:divBdr>
        </w:div>
        <w:div w:id="792015434">
          <w:marLeft w:val="640"/>
          <w:marRight w:val="0"/>
          <w:marTop w:val="0"/>
          <w:marBottom w:val="0"/>
          <w:divBdr>
            <w:top w:val="none" w:sz="0" w:space="0" w:color="auto"/>
            <w:left w:val="none" w:sz="0" w:space="0" w:color="auto"/>
            <w:bottom w:val="none" w:sz="0" w:space="0" w:color="auto"/>
            <w:right w:val="none" w:sz="0" w:space="0" w:color="auto"/>
          </w:divBdr>
        </w:div>
        <w:div w:id="1190148282">
          <w:marLeft w:val="640"/>
          <w:marRight w:val="0"/>
          <w:marTop w:val="0"/>
          <w:marBottom w:val="0"/>
          <w:divBdr>
            <w:top w:val="none" w:sz="0" w:space="0" w:color="auto"/>
            <w:left w:val="none" w:sz="0" w:space="0" w:color="auto"/>
            <w:bottom w:val="none" w:sz="0" w:space="0" w:color="auto"/>
            <w:right w:val="none" w:sz="0" w:space="0" w:color="auto"/>
          </w:divBdr>
        </w:div>
        <w:div w:id="244535956">
          <w:marLeft w:val="640"/>
          <w:marRight w:val="0"/>
          <w:marTop w:val="0"/>
          <w:marBottom w:val="0"/>
          <w:divBdr>
            <w:top w:val="none" w:sz="0" w:space="0" w:color="auto"/>
            <w:left w:val="none" w:sz="0" w:space="0" w:color="auto"/>
            <w:bottom w:val="none" w:sz="0" w:space="0" w:color="auto"/>
            <w:right w:val="none" w:sz="0" w:space="0" w:color="auto"/>
          </w:divBdr>
        </w:div>
        <w:div w:id="1091193677">
          <w:marLeft w:val="640"/>
          <w:marRight w:val="0"/>
          <w:marTop w:val="0"/>
          <w:marBottom w:val="0"/>
          <w:divBdr>
            <w:top w:val="none" w:sz="0" w:space="0" w:color="auto"/>
            <w:left w:val="none" w:sz="0" w:space="0" w:color="auto"/>
            <w:bottom w:val="none" w:sz="0" w:space="0" w:color="auto"/>
            <w:right w:val="none" w:sz="0" w:space="0" w:color="auto"/>
          </w:divBdr>
        </w:div>
        <w:div w:id="239413972">
          <w:marLeft w:val="640"/>
          <w:marRight w:val="0"/>
          <w:marTop w:val="0"/>
          <w:marBottom w:val="0"/>
          <w:divBdr>
            <w:top w:val="none" w:sz="0" w:space="0" w:color="auto"/>
            <w:left w:val="none" w:sz="0" w:space="0" w:color="auto"/>
            <w:bottom w:val="none" w:sz="0" w:space="0" w:color="auto"/>
            <w:right w:val="none" w:sz="0" w:space="0" w:color="auto"/>
          </w:divBdr>
        </w:div>
        <w:div w:id="1873226180">
          <w:marLeft w:val="640"/>
          <w:marRight w:val="0"/>
          <w:marTop w:val="0"/>
          <w:marBottom w:val="0"/>
          <w:divBdr>
            <w:top w:val="none" w:sz="0" w:space="0" w:color="auto"/>
            <w:left w:val="none" w:sz="0" w:space="0" w:color="auto"/>
            <w:bottom w:val="none" w:sz="0" w:space="0" w:color="auto"/>
            <w:right w:val="none" w:sz="0" w:space="0" w:color="auto"/>
          </w:divBdr>
        </w:div>
        <w:div w:id="52044724">
          <w:marLeft w:val="640"/>
          <w:marRight w:val="0"/>
          <w:marTop w:val="0"/>
          <w:marBottom w:val="0"/>
          <w:divBdr>
            <w:top w:val="none" w:sz="0" w:space="0" w:color="auto"/>
            <w:left w:val="none" w:sz="0" w:space="0" w:color="auto"/>
            <w:bottom w:val="none" w:sz="0" w:space="0" w:color="auto"/>
            <w:right w:val="none" w:sz="0" w:space="0" w:color="auto"/>
          </w:divBdr>
        </w:div>
        <w:div w:id="1563642286">
          <w:marLeft w:val="640"/>
          <w:marRight w:val="0"/>
          <w:marTop w:val="0"/>
          <w:marBottom w:val="0"/>
          <w:divBdr>
            <w:top w:val="none" w:sz="0" w:space="0" w:color="auto"/>
            <w:left w:val="none" w:sz="0" w:space="0" w:color="auto"/>
            <w:bottom w:val="none" w:sz="0" w:space="0" w:color="auto"/>
            <w:right w:val="none" w:sz="0" w:space="0" w:color="auto"/>
          </w:divBdr>
        </w:div>
        <w:div w:id="881601399">
          <w:marLeft w:val="640"/>
          <w:marRight w:val="0"/>
          <w:marTop w:val="0"/>
          <w:marBottom w:val="0"/>
          <w:divBdr>
            <w:top w:val="none" w:sz="0" w:space="0" w:color="auto"/>
            <w:left w:val="none" w:sz="0" w:space="0" w:color="auto"/>
            <w:bottom w:val="none" w:sz="0" w:space="0" w:color="auto"/>
            <w:right w:val="none" w:sz="0" w:space="0" w:color="auto"/>
          </w:divBdr>
        </w:div>
        <w:div w:id="1468939390">
          <w:marLeft w:val="640"/>
          <w:marRight w:val="0"/>
          <w:marTop w:val="0"/>
          <w:marBottom w:val="0"/>
          <w:divBdr>
            <w:top w:val="none" w:sz="0" w:space="0" w:color="auto"/>
            <w:left w:val="none" w:sz="0" w:space="0" w:color="auto"/>
            <w:bottom w:val="none" w:sz="0" w:space="0" w:color="auto"/>
            <w:right w:val="none" w:sz="0" w:space="0" w:color="auto"/>
          </w:divBdr>
        </w:div>
        <w:div w:id="417947612">
          <w:marLeft w:val="640"/>
          <w:marRight w:val="0"/>
          <w:marTop w:val="0"/>
          <w:marBottom w:val="0"/>
          <w:divBdr>
            <w:top w:val="none" w:sz="0" w:space="0" w:color="auto"/>
            <w:left w:val="none" w:sz="0" w:space="0" w:color="auto"/>
            <w:bottom w:val="none" w:sz="0" w:space="0" w:color="auto"/>
            <w:right w:val="none" w:sz="0" w:space="0" w:color="auto"/>
          </w:divBdr>
        </w:div>
        <w:div w:id="108743110">
          <w:marLeft w:val="640"/>
          <w:marRight w:val="0"/>
          <w:marTop w:val="0"/>
          <w:marBottom w:val="0"/>
          <w:divBdr>
            <w:top w:val="none" w:sz="0" w:space="0" w:color="auto"/>
            <w:left w:val="none" w:sz="0" w:space="0" w:color="auto"/>
            <w:bottom w:val="none" w:sz="0" w:space="0" w:color="auto"/>
            <w:right w:val="none" w:sz="0" w:space="0" w:color="auto"/>
          </w:divBdr>
        </w:div>
        <w:div w:id="1520242989">
          <w:marLeft w:val="640"/>
          <w:marRight w:val="0"/>
          <w:marTop w:val="0"/>
          <w:marBottom w:val="0"/>
          <w:divBdr>
            <w:top w:val="none" w:sz="0" w:space="0" w:color="auto"/>
            <w:left w:val="none" w:sz="0" w:space="0" w:color="auto"/>
            <w:bottom w:val="none" w:sz="0" w:space="0" w:color="auto"/>
            <w:right w:val="none" w:sz="0" w:space="0" w:color="auto"/>
          </w:divBdr>
        </w:div>
        <w:div w:id="742529420">
          <w:marLeft w:val="640"/>
          <w:marRight w:val="0"/>
          <w:marTop w:val="0"/>
          <w:marBottom w:val="0"/>
          <w:divBdr>
            <w:top w:val="none" w:sz="0" w:space="0" w:color="auto"/>
            <w:left w:val="none" w:sz="0" w:space="0" w:color="auto"/>
            <w:bottom w:val="none" w:sz="0" w:space="0" w:color="auto"/>
            <w:right w:val="none" w:sz="0" w:space="0" w:color="auto"/>
          </w:divBdr>
        </w:div>
        <w:div w:id="275018949">
          <w:marLeft w:val="640"/>
          <w:marRight w:val="0"/>
          <w:marTop w:val="0"/>
          <w:marBottom w:val="0"/>
          <w:divBdr>
            <w:top w:val="none" w:sz="0" w:space="0" w:color="auto"/>
            <w:left w:val="none" w:sz="0" w:space="0" w:color="auto"/>
            <w:bottom w:val="none" w:sz="0" w:space="0" w:color="auto"/>
            <w:right w:val="none" w:sz="0" w:space="0" w:color="auto"/>
          </w:divBdr>
        </w:div>
        <w:div w:id="780801772">
          <w:marLeft w:val="640"/>
          <w:marRight w:val="0"/>
          <w:marTop w:val="0"/>
          <w:marBottom w:val="0"/>
          <w:divBdr>
            <w:top w:val="none" w:sz="0" w:space="0" w:color="auto"/>
            <w:left w:val="none" w:sz="0" w:space="0" w:color="auto"/>
            <w:bottom w:val="none" w:sz="0" w:space="0" w:color="auto"/>
            <w:right w:val="none" w:sz="0" w:space="0" w:color="auto"/>
          </w:divBdr>
        </w:div>
        <w:div w:id="1806777404">
          <w:marLeft w:val="640"/>
          <w:marRight w:val="0"/>
          <w:marTop w:val="0"/>
          <w:marBottom w:val="0"/>
          <w:divBdr>
            <w:top w:val="none" w:sz="0" w:space="0" w:color="auto"/>
            <w:left w:val="none" w:sz="0" w:space="0" w:color="auto"/>
            <w:bottom w:val="none" w:sz="0" w:space="0" w:color="auto"/>
            <w:right w:val="none" w:sz="0" w:space="0" w:color="auto"/>
          </w:divBdr>
        </w:div>
        <w:div w:id="945582583">
          <w:marLeft w:val="640"/>
          <w:marRight w:val="0"/>
          <w:marTop w:val="0"/>
          <w:marBottom w:val="0"/>
          <w:divBdr>
            <w:top w:val="none" w:sz="0" w:space="0" w:color="auto"/>
            <w:left w:val="none" w:sz="0" w:space="0" w:color="auto"/>
            <w:bottom w:val="none" w:sz="0" w:space="0" w:color="auto"/>
            <w:right w:val="none" w:sz="0" w:space="0" w:color="auto"/>
          </w:divBdr>
        </w:div>
        <w:div w:id="1615668857">
          <w:marLeft w:val="640"/>
          <w:marRight w:val="0"/>
          <w:marTop w:val="0"/>
          <w:marBottom w:val="0"/>
          <w:divBdr>
            <w:top w:val="none" w:sz="0" w:space="0" w:color="auto"/>
            <w:left w:val="none" w:sz="0" w:space="0" w:color="auto"/>
            <w:bottom w:val="none" w:sz="0" w:space="0" w:color="auto"/>
            <w:right w:val="none" w:sz="0" w:space="0" w:color="auto"/>
          </w:divBdr>
        </w:div>
        <w:div w:id="56131110">
          <w:marLeft w:val="640"/>
          <w:marRight w:val="0"/>
          <w:marTop w:val="0"/>
          <w:marBottom w:val="0"/>
          <w:divBdr>
            <w:top w:val="none" w:sz="0" w:space="0" w:color="auto"/>
            <w:left w:val="none" w:sz="0" w:space="0" w:color="auto"/>
            <w:bottom w:val="none" w:sz="0" w:space="0" w:color="auto"/>
            <w:right w:val="none" w:sz="0" w:space="0" w:color="auto"/>
          </w:divBdr>
        </w:div>
        <w:div w:id="1780375244">
          <w:marLeft w:val="640"/>
          <w:marRight w:val="0"/>
          <w:marTop w:val="0"/>
          <w:marBottom w:val="0"/>
          <w:divBdr>
            <w:top w:val="none" w:sz="0" w:space="0" w:color="auto"/>
            <w:left w:val="none" w:sz="0" w:space="0" w:color="auto"/>
            <w:bottom w:val="none" w:sz="0" w:space="0" w:color="auto"/>
            <w:right w:val="none" w:sz="0" w:space="0" w:color="auto"/>
          </w:divBdr>
        </w:div>
        <w:div w:id="1434126345">
          <w:marLeft w:val="640"/>
          <w:marRight w:val="0"/>
          <w:marTop w:val="0"/>
          <w:marBottom w:val="0"/>
          <w:divBdr>
            <w:top w:val="none" w:sz="0" w:space="0" w:color="auto"/>
            <w:left w:val="none" w:sz="0" w:space="0" w:color="auto"/>
            <w:bottom w:val="none" w:sz="0" w:space="0" w:color="auto"/>
            <w:right w:val="none" w:sz="0" w:space="0" w:color="auto"/>
          </w:divBdr>
        </w:div>
        <w:div w:id="1052268689">
          <w:marLeft w:val="640"/>
          <w:marRight w:val="0"/>
          <w:marTop w:val="0"/>
          <w:marBottom w:val="0"/>
          <w:divBdr>
            <w:top w:val="none" w:sz="0" w:space="0" w:color="auto"/>
            <w:left w:val="none" w:sz="0" w:space="0" w:color="auto"/>
            <w:bottom w:val="none" w:sz="0" w:space="0" w:color="auto"/>
            <w:right w:val="none" w:sz="0" w:space="0" w:color="auto"/>
          </w:divBdr>
        </w:div>
        <w:div w:id="660692259">
          <w:marLeft w:val="640"/>
          <w:marRight w:val="0"/>
          <w:marTop w:val="0"/>
          <w:marBottom w:val="0"/>
          <w:divBdr>
            <w:top w:val="none" w:sz="0" w:space="0" w:color="auto"/>
            <w:left w:val="none" w:sz="0" w:space="0" w:color="auto"/>
            <w:bottom w:val="none" w:sz="0" w:space="0" w:color="auto"/>
            <w:right w:val="none" w:sz="0" w:space="0" w:color="auto"/>
          </w:divBdr>
        </w:div>
        <w:div w:id="242375493">
          <w:marLeft w:val="640"/>
          <w:marRight w:val="0"/>
          <w:marTop w:val="0"/>
          <w:marBottom w:val="0"/>
          <w:divBdr>
            <w:top w:val="none" w:sz="0" w:space="0" w:color="auto"/>
            <w:left w:val="none" w:sz="0" w:space="0" w:color="auto"/>
            <w:bottom w:val="none" w:sz="0" w:space="0" w:color="auto"/>
            <w:right w:val="none" w:sz="0" w:space="0" w:color="auto"/>
          </w:divBdr>
        </w:div>
        <w:div w:id="628363083">
          <w:marLeft w:val="640"/>
          <w:marRight w:val="0"/>
          <w:marTop w:val="0"/>
          <w:marBottom w:val="0"/>
          <w:divBdr>
            <w:top w:val="none" w:sz="0" w:space="0" w:color="auto"/>
            <w:left w:val="none" w:sz="0" w:space="0" w:color="auto"/>
            <w:bottom w:val="none" w:sz="0" w:space="0" w:color="auto"/>
            <w:right w:val="none" w:sz="0" w:space="0" w:color="auto"/>
          </w:divBdr>
        </w:div>
        <w:div w:id="633558946">
          <w:marLeft w:val="640"/>
          <w:marRight w:val="0"/>
          <w:marTop w:val="0"/>
          <w:marBottom w:val="0"/>
          <w:divBdr>
            <w:top w:val="none" w:sz="0" w:space="0" w:color="auto"/>
            <w:left w:val="none" w:sz="0" w:space="0" w:color="auto"/>
            <w:bottom w:val="none" w:sz="0" w:space="0" w:color="auto"/>
            <w:right w:val="none" w:sz="0" w:space="0" w:color="auto"/>
          </w:divBdr>
        </w:div>
        <w:div w:id="679621718">
          <w:marLeft w:val="640"/>
          <w:marRight w:val="0"/>
          <w:marTop w:val="0"/>
          <w:marBottom w:val="0"/>
          <w:divBdr>
            <w:top w:val="none" w:sz="0" w:space="0" w:color="auto"/>
            <w:left w:val="none" w:sz="0" w:space="0" w:color="auto"/>
            <w:bottom w:val="none" w:sz="0" w:space="0" w:color="auto"/>
            <w:right w:val="none" w:sz="0" w:space="0" w:color="auto"/>
          </w:divBdr>
        </w:div>
        <w:div w:id="1116603662">
          <w:marLeft w:val="640"/>
          <w:marRight w:val="0"/>
          <w:marTop w:val="0"/>
          <w:marBottom w:val="0"/>
          <w:divBdr>
            <w:top w:val="none" w:sz="0" w:space="0" w:color="auto"/>
            <w:left w:val="none" w:sz="0" w:space="0" w:color="auto"/>
            <w:bottom w:val="none" w:sz="0" w:space="0" w:color="auto"/>
            <w:right w:val="none" w:sz="0" w:space="0" w:color="auto"/>
          </w:divBdr>
        </w:div>
        <w:div w:id="194119492">
          <w:marLeft w:val="640"/>
          <w:marRight w:val="0"/>
          <w:marTop w:val="0"/>
          <w:marBottom w:val="0"/>
          <w:divBdr>
            <w:top w:val="none" w:sz="0" w:space="0" w:color="auto"/>
            <w:left w:val="none" w:sz="0" w:space="0" w:color="auto"/>
            <w:bottom w:val="none" w:sz="0" w:space="0" w:color="auto"/>
            <w:right w:val="none" w:sz="0" w:space="0" w:color="auto"/>
          </w:divBdr>
        </w:div>
        <w:div w:id="996810796">
          <w:marLeft w:val="640"/>
          <w:marRight w:val="0"/>
          <w:marTop w:val="0"/>
          <w:marBottom w:val="0"/>
          <w:divBdr>
            <w:top w:val="none" w:sz="0" w:space="0" w:color="auto"/>
            <w:left w:val="none" w:sz="0" w:space="0" w:color="auto"/>
            <w:bottom w:val="none" w:sz="0" w:space="0" w:color="auto"/>
            <w:right w:val="none" w:sz="0" w:space="0" w:color="auto"/>
          </w:divBdr>
        </w:div>
        <w:div w:id="286667624">
          <w:marLeft w:val="640"/>
          <w:marRight w:val="0"/>
          <w:marTop w:val="0"/>
          <w:marBottom w:val="0"/>
          <w:divBdr>
            <w:top w:val="none" w:sz="0" w:space="0" w:color="auto"/>
            <w:left w:val="none" w:sz="0" w:space="0" w:color="auto"/>
            <w:bottom w:val="none" w:sz="0" w:space="0" w:color="auto"/>
            <w:right w:val="none" w:sz="0" w:space="0" w:color="auto"/>
          </w:divBdr>
        </w:div>
        <w:div w:id="543252912">
          <w:marLeft w:val="640"/>
          <w:marRight w:val="0"/>
          <w:marTop w:val="0"/>
          <w:marBottom w:val="0"/>
          <w:divBdr>
            <w:top w:val="none" w:sz="0" w:space="0" w:color="auto"/>
            <w:left w:val="none" w:sz="0" w:space="0" w:color="auto"/>
            <w:bottom w:val="none" w:sz="0" w:space="0" w:color="auto"/>
            <w:right w:val="none" w:sz="0" w:space="0" w:color="auto"/>
          </w:divBdr>
        </w:div>
        <w:div w:id="1132744348">
          <w:marLeft w:val="640"/>
          <w:marRight w:val="0"/>
          <w:marTop w:val="0"/>
          <w:marBottom w:val="0"/>
          <w:divBdr>
            <w:top w:val="none" w:sz="0" w:space="0" w:color="auto"/>
            <w:left w:val="none" w:sz="0" w:space="0" w:color="auto"/>
            <w:bottom w:val="none" w:sz="0" w:space="0" w:color="auto"/>
            <w:right w:val="none" w:sz="0" w:space="0" w:color="auto"/>
          </w:divBdr>
        </w:div>
        <w:div w:id="1729452298">
          <w:marLeft w:val="640"/>
          <w:marRight w:val="0"/>
          <w:marTop w:val="0"/>
          <w:marBottom w:val="0"/>
          <w:divBdr>
            <w:top w:val="none" w:sz="0" w:space="0" w:color="auto"/>
            <w:left w:val="none" w:sz="0" w:space="0" w:color="auto"/>
            <w:bottom w:val="none" w:sz="0" w:space="0" w:color="auto"/>
            <w:right w:val="none" w:sz="0" w:space="0" w:color="auto"/>
          </w:divBdr>
        </w:div>
        <w:div w:id="1777670348">
          <w:marLeft w:val="640"/>
          <w:marRight w:val="0"/>
          <w:marTop w:val="0"/>
          <w:marBottom w:val="0"/>
          <w:divBdr>
            <w:top w:val="none" w:sz="0" w:space="0" w:color="auto"/>
            <w:left w:val="none" w:sz="0" w:space="0" w:color="auto"/>
            <w:bottom w:val="none" w:sz="0" w:space="0" w:color="auto"/>
            <w:right w:val="none" w:sz="0" w:space="0" w:color="auto"/>
          </w:divBdr>
        </w:div>
        <w:div w:id="1927762542">
          <w:marLeft w:val="640"/>
          <w:marRight w:val="0"/>
          <w:marTop w:val="0"/>
          <w:marBottom w:val="0"/>
          <w:divBdr>
            <w:top w:val="none" w:sz="0" w:space="0" w:color="auto"/>
            <w:left w:val="none" w:sz="0" w:space="0" w:color="auto"/>
            <w:bottom w:val="none" w:sz="0" w:space="0" w:color="auto"/>
            <w:right w:val="none" w:sz="0" w:space="0" w:color="auto"/>
          </w:divBdr>
        </w:div>
        <w:div w:id="927731896">
          <w:marLeft w:val="640"/>
          <w:marRight w:val="0"/>
          <w:marTop w:val="0"/>
          <w:marBottom w:val="0"/>
          <w:divBdr>
            <w:top w:val="none" w:sz="0" w:space="0" w:color="auto"/>
            <w:left w:val="none" w:sz="0" w:space="0" w:color="auto"/>
            <w:bottom w:val="none" w:sz="0" w:space="0" w:color="auto"/>
            <w:right w:val="none" w:sz="0" w:space="0" w:color="auto"/>
          </w:divBdr>
        </w:div>
        <w:div w:id="1041857806">
          <w:marLeft w:val="640"/>
          <w:marRight w:val="0"/>
          <w:marTop w:val="0"/>
          <w:marBottom w:val="0"/>
          <w:divBdr>
            <w:top w:val="none" w:sz="0" w:space="0" w:color="auto"/>
            <w:left w:val="none" w:sz="0" w:space="0" w:color="auto"/>
            <w:bottom w:val="none" w:sz="0" w:space="0" w:color="auto"/>
            <w:right w:val="none" w:sz="0" w:space="0" w:color="auto"/>
          </w:divBdr>
        </w:div>
        <w:div w:id="830635605">
          <w:marLeft w:val="640"/>
          <w:marRight w:val="0"/>
          <w:marTop w:val="0"/>
          <w:marBottom w:val="0"/>
          <w:divBdr>
            <w:top w:val="none" w:sz="0" w:space="0" w:color="auto"/>
            <w:left w:val="none" w:sz="0" w:space="0" w:color="auto"/>
            <w:bottom w:val="none" w:sz="0" w:space="0" w:color="auto"/>
            <w:right w:val="none" w:sz="0" w:space="0" w:color="auto"/>
          </w:divBdr>
        </w:div>
        <w:div w:id="2074355397">
          <w:marLeft w:val="640"/>
          <w:marRight w:val="0"/>
          <w:marTop w:val="0"/>
          <w:marBottom w:val="0"/>
          <w:divBdr>
            <w:top w:val="none" w:sz="0" w:space="0" w:color="auto"/>
            <w:left w:val="none" w:sz="0" w:space="0" w:color="auto"/>
            <w:bottom w:val="none" w:sz="0" w:space="0" w:color="auto"/>
            <w:right w:val="none" w:sz="0" w:space="0" w:color="auto"/>
          </w:divBdr>
        </w:div>
        <w:div w:id="2067484739">
          <w:marLeft w:val="640"/>
          <w:marRight w:val="0"/>
          <w:marTop w:val="0"/>
          <w:marBottom w:val="0"/>
          <w:divBdr>
            <w:top w:val="none" w:sz="0" w:space="0" w:color="auto"/>
            <w:left w:val="none" w:sz="0" w:space="0" w:color="auto"/>
            <w:bottom w:val="none" w:sz="0" w:space="0" w:color="auto"/>
            <w:right w:val="none" w:sz="0" w:space="0" w:color="auto"/>
          </w:divBdr>
        </w:div>
        <w:div w:id="967976039">
          <w:marLeft w:val="640"/>
          <w:marRight w:val="0"/>
          <w:marTop w:val="0"/>
          <w:marBottom w:val="0"/>
          <w:divBdr>
            <w:top w:val="none" w:sz="0" w:space="0" w:color="auto"/>
            <w:left w:val="none" w:sz="0" w:space="0" w:color="auto"/>
            <w:bottom w:val="none" w:sz="0" w:space="0" w:color="auto"/>
            <w:right w:val="none" w:sz="0" w:space="0" w:color="auto"/>
          </w:divBdr>
        </w:div>
        <w:div w:id="544634047">
          <w:marLeft w:val="640"/>
          <w:marRight w:val="0"/>
          <w:marTop w:val="0"/>
          <w:marBottom w:val="0"/>
          <w:divBdr>
            <w:top w:val="none" w:sz="0" w:space="0" w:color="auto"/>
            <w:left w:val="none" w:sz="0" w:space="0" w:color="auto"/>
            <w:bottom w:val="none" w:sz="0" w:space="0" w:color="auto"/>
            <w:right w:val="none" w:sz="0" w:space="0" w:color="auto"/>
          </w:divBdr>
        </w:div>
        <w:div w:id="375543560">
          <w:marLeft w:val="640"/>
          <w:marRight w:val="0"/>
          <w:marTop w:val="0"/>
          <w:marBottom w:val="0"/>
          <w:divBdr>
            <w:top w:val="none" w:sz="0" w:space="0" w:color="auto"/>
            <w:left w:val="none" w:sz="0" w:space="0" w:color="auto"/>
            <w:bottom w:val="none" w:sz="0" w:space="0" w:color="auto"/>
            <w:right w:val="none" w:sz="0" w:space="0" w:color="auto"/>
          </w:divBdr>
        </w:div>
        <w:div w:id="1176462173">
          <w:marLeft w:val="640"/>
          <w:marRight w:val="0"/>
          <w:marTop w:val="0"/>
          <w:marBottom w:val="0"/>
          <w:divBdr>
            <w:top w:val="none" w:sz="0" w:space="0" w:color="auto"/>
            <w:left w:val="none" w:sz="0" w:space="0" w:color="auto"/>
            <w:bottom w:val="none" w:sz="0" w:space="0" w:color="auto"/>
            <w:right w:val="none" w:sz="0" w:space="0" w:color="auto"/>
          </w:divBdr>
        </w:div>
        <w:div w:id="891426952">
          <w:marLeft w:val="640"/>
          <w:marRight w:val="0"/>
          <w:marTop w:val="0"/>
          <w:marBottom w:val="0"/>
          <w:divBdr>
            <w:top w:val="none" w:sz="0" w:space="0" w:color="auto"/>
            <w:left w:val="none" w:sz="0" w:space="0" w:color="auto"/>
            <w:bottom w:val="none" w:sz="0" w:space="0" w:color="auto"/>
            <w:right w:val="none" w:sz="0" w:space="0" w:color="auto"/>
          </w:divBdr>
        </w:div>
        <w:div w:id="1324628073">
          <w:marLeft w:val="640"/>
          <w:marRight w:val="0"/>
          <w:marTop w:val="0"/>
          <w:marBottom w:val="0"/>
          <w:divBdr>
            <w:top w:val="none" w:sz="0" w:space="0" w:color="auto"/>
            <w:left w:val="none" w:sz="0" w:space="0" w:color="auto"/>
            <w:bottom w:val="none" w:sz="0" w:space="0" w:color="auto"/>
            <w:right w:val="none" w:sz="0" w:space="0" w:color="auto"/>
          </w:divBdr>
        </w:div>
        <w:div w:id="1642687066">
          <w:marLeft w:val="640"/>
          <w:marRight w:val="0"/>
          <w:marTop w:val="0"/>
          <w:marBottom w:val="0"/>
          <w:divBdr>
            <w:top w:val="none" w:sz="0" w:space="0" w:color="auto"/>
            <w:left w:val="none" w:sz="0" w:space="0" w:color="auto"/>
            <w:bottom w:val="none" w:sz="0" w:space="0" w:color="auto"/>
            <w:right w:val="none" w:sz="0" w:space="0" w:color="auto"/>
          </w:divBdr>
        </w:div>
        <w:div w:id="940917375">
          <w:marLeft w:val="640"/>
          <w:marRight w:val="0"/>
          <w:marTop w:val="0"/>
          <w:marBottom w:val="0"/>
          <w:divBdr>
            <w:top w:val="none" w:sz="0" w:space="0" w:color="auto"/>
            <w:left w:val="none" w:sz="0" w:space="0" w:color="auto"/>
            <w:bottom w:val="none" w:sz="0" w:space="0" w:color="auto"/>
            <w:right w:val="none" w:sz="0" w:space="0" w:color="auto"/>
          </w:divBdr>
        </w:div>
        <w:div w:id="1322586622">
          <w:marLeft w:val="640"/>
          <w:marRight w:val="0"/>
          <w:marTop w:val="0"/>
          <w:marBottom w:val="0"/>
          <w:divBdr>
            <w:top w:val="none" w:sz="0" w:space="0" w:color="auto"/>
            <w:left w:val="none" w:sz="0" w:space="0" w:color="auto"/>
            <w:bottom w:val="none" w:sz="0" w:space="0" w:color="auto"/>
            <w:right w:val="none" w:sz="0" w:space="0" w:color="auto"/>
          </w:divBdr>
        </w:div>
        <w:div w:id="2055810885">
          <w:marLeft w:val="640"/>
          <w:marRight w:val="0"/>
          <w:marTop w:val="0"/>
          <w:marBottom w:val="0"/>
          <w:divBdr>
            <w:top w:val="none" w:sz="0" w:space="0" w:color="auto"/>
            <w:left w:val="none" w:sz="0" w:space="0" w:color="auto"/>
            <w:bottom w:val="none" w:sz="0" w:space="0" w:color="auto"/>
            <w:right w:val="none" w:sz="0" w:space="0" w:color="auto"/>
          </w:divBdr>
        </w:div>
        <w:div w:id="1772319560">
          <w:marLeft w:val="640"/>
          <w:marRight w:val="0"/>
          <w:marTop w:val="0"/>
          <w:marBottom w:val="0"/>
          <w:divBdr>
            <w:top w:val="none" w:sz="0" w:space="0" w:color="auto"/>
            <w:left w:val="none" w:sz="0" w:space="0" w:color="auto"/>
            <w:bottom w:val="none" w:sz="0" w:space="0" w:color="auto"/>
            <w:right w:val="none" w:sz="0" w:space="0" w:color="auto"/>
          </w:divBdr>
        </w:div>
        <w:div w:id="1949462520">
          <w:marLeft w:val="640"/>
          <w:marRight w:val="0"/>
          <w:marTop w:val="0"/>
          <w:marBottom w:val="0"/>
          <w:divBdr>
            <w:top w:val="none" w:sz="0" w:space="0" w:color="auto"/>
            <w:left w:val="none" w:sz="0" w:space="0" w:color="auto"/>
            <w:bottom w:val="none" w:sz="0" w:space="0" w:color="auto"/>
            <w:right w:val="none" w:sz="0" w:space="0" w:color="auto"/>
          </w:divBdr>
        </w:div>
        <w:div w:id="1665039364">
          <w:marLeft w:val="640"/>
          <w:marRight w:val="0"/>
          <w:marTop w:val="0"/>
          <w:marBottom w:val="0"/>
          <w:divBdr>
            <w:top w:val="none" w:sz="0" w:space="0" w:color="auto"/>
            <w:left w:val="none" w:sz="0" w:space="0" w:color="auto"/>
            <w:bottom w:val="none" w:sz="0" w:space="0" w:color="auto"/>
            <w:right w:val="none" w:sz="0" w:space="0" w:color="auto"/>
          </w:divBdr>
        </w:div>
        <w:div w:id="940793412">
          <w:marLeft w:val="640"/>
          <w:marRight w:val="0"/>
          <w:marTop w:val="0"/>
          <w:marBottom w:val="0"/>
          <w:divBdr>
            <w:top w:val="none" w:sz="0" w:space="0" w:color="auto"/>
            <w:left w:val="none" w:sz="0" w:space="0" w:color="auto"/>
            <w:bottom w:val="none" w:sz="0" w:space="0" w:color="auto"/>
            <w:right w:val="none" w:sz="0" w:space="0" w:color="auto"/>
          </w:divBdr>
        </w:div>
        <w:div w:id="433980016">
          <w:marLeft w:val="640"/>
          <w:marRight w:val="0"/>
          <w:marTop w:val="0"/>
          <w:marBottom w:val="0"/>
          <w:divBdr>
            <w:top w:val="none" w:sz="0" w:space="0" w:color="auto"/>
            <w:left w:val="none" w:sz="0" w:space="0" w:color="auto"/>
            <w:bottom w:val="none" w:sz="0" w:space="0" w:color="auto"/>
            <w:right w:val="none" w:sz="0" w:space="0" w:color="auto"/>
          </w:divBdr>
        </w:div>
        <w:div w:id="987130155">
          <w:marLeft w:val="640"/>
          <w:marRight w:val="0"/>
          <w:marTop w:val="0"/>
          <w:marBottom w:val="0"/>
          <w:divBdr>
            <w:top w:val="none" w:sz="0" w:space="0" w:color="auto"/>
            <w:left w:val="none" w:sz="0" w:space="0" w:color="auto"/>
            <w:bottom w:val="none" w:sz="0" w:space="0" w:color="auto"/>
            <w:right w:val="none" w:sz="0" w:space="0" w:color="auto"/>
          </w:divBdr>
        </w:div>
        <w:div w:id="282855408">
          <w:marLeft w:val="640"/>
          <w:marRight w:val="0"/>
          <w:marTop w:val="0"/>
          <w:marBottom w:val="0"/>
          <w:divBdr>
            <w:top w:val="none" w:sz="0" w:space="0" w:color="auto"/>
            <w:left w:val="none" w:sz="0" w:space="0" w:color="auto"/>
            <w:bottom w:val="none" w:sz="0" w:space="0" w:color="auto"/>
            <w:right w:val="none" w:sz="0" w:space="0" w:color="auto"/>
          </w:divBdr>
        </w:div>
        <w:div w:id="1770269502">
          <w:marLeft w:val="640"/>
          <w:marRight w:val="0"/>
          <w:marTop w:val="0"/>
          <w:marBottom w:val="0"/>
          <w:divBdr>
            <w:top w:val="none" w:sz="0" w:space="0" w:color="auto"/>
            <w:left w:val="none" w:sz="0" w:space="0" w:color="auto"/>
            <w:bottom w:val="none" w:sz="0" w:space="0" w:color="auto"/>
            <w:right w:val="none" w:sz="0" w:space="0" w:color="auto"/>
          </w:divBdr>
        </w:div>
        <w:div w:id="801726238">
          <w:marLeft w:val="640"/>
          <w:marRight w:val="0"/>
          <w:marTop w:val="0"/>
          <w:marBottom w:val="0"/>
          <w:divBdr>
            <w:top w:val="none" w:sz="0" w:space="0" w:color="auto"/>
            <w:left w:val="none" w:sz="0" w:space="0" w:color="auto"/>
            <w:bottom w:val="none" w:sz="0" w:space="0" w:color="auto"/>
            <w:right w:val="none" w:sz="0" w:space="0" w:color="auto"/>
          </w:divBdr>
        </w:div>
        <w:div w:id="1357124060">
          <w:marLeft w:val="640"/>
          <w:marRight w:val="0"/>
          <w:marTop w:val="0"/>
          <w:marBottom w:val="0"/>
          <w:divBdr>
            <w:top w:val="none" w:sz="0" w:space="0" w:color="auto"/>
            <w:left w:val="none" w:sz="0" w:space="0" w:color="auto"/>
            <w:bottom w:val="none" w:sz="0" w:space="0" w:color="auto"/>
            <w:right w:val="none" w:sz="0" w:space="0" w:color="auto"/>
          </w:divBdr>
        </w:div>
        <w:div w:id="1791123539">
          <w:marLeft w:val="640"/>
          <w:marRight w:val="0"/>
          <w:marTop w:val="0"/>
          <w:marBottom w:val="0"/>
          <w:divBdr>
            <w:top w:val="none" w:sz="0" w:space="0" w:color="auto"/>
            <w:left w:val="none" w:sz="0" w:space="0" w:color="auto"/>
            <w:bottom w:val="none" w:sz="0" w:space="0" w:color="auto"/>
            <w:right w:val="none" w:sz="0" w:space="0" w:color="auto"/>
          </w:divBdr>
        </w:div>
        <w:div w:id="1991905346">
          <w:marLeft w:val="640"/>
          <w:marRight w:val="0"/>
          <w:marTop w:val="0"/>
          <w:marBottom w:val="0"/>
          <w:divBdr>
            <w:top w:val="none" w:sz="0" w:space="0" w:color="auto"/>
            <w:left w:val="none" w:sz="0" w:space="0" w:color="auto"/>
            <w:bottom w:val="none" w:sz="0" w:space="0" w:color="auto"/>
            <w:right w:val="none" w:sz="0" w:space="0" w:color="auto"/>
          </w:divBdr>
        </w:div>
        <w:div w:id="457145190">
          <w:marLeft w:val="640"/>
          <w:marRight w:val="0"/>
          <w:marTop w:val="0"/>
          <w:marBottom w:val="0"/>
          <w:divBdr>
            <w:top w:val="none" w:sz="0" w:space="0" w:color="auto"/>
            <w:left w:val="none" w:sz="0" w:space="0" w:color="auto"/>
            <w:bottom w:val="none" w:sz="0" w:space="0" w:color="auto"/>
            <w:right w:val="none" w:sz="0" w:space="0" w:color="auto"/>
          </w:divBdr>
        </w:div>
        <w:div w:id="93214648">
          <w:marLeft w:val="640"/>
          <w:marRight w:val="0"/>
          <w:marTop w:val="0"/>
          <w:marBottom w:val="0"/>
          <w:divBdr>
            <w:top w:val="none" w:sz="0" w:space="0" w:color="auto"/>
            <w:left w:val="none" w:sz="0" w:space="0" w:color="auto"/>
            <w:bottom w:val="none" w:sz="0" w:space="0" w:color="auto"/>
            <w:right w:val="none" w:sz="0" w:space="0" w:color="auto"/>
          </w:divBdr>
        </w:div>
        <w:div w:id="1840997698">
          <w:marLeft w:val="640"/>
          <w:marRight w:val="0"/>
          <w:marTop w:val="0"/>
          <w:marBottom w:val="0"/>
          <w:divBdr>
            <w:top w:val="none" w:sz="0" w:space="0" w:color="auto"/>
            <w:left w:val="none" w:sz="0" w:space="0" w:color="auto"/>
            <w:bottom w:val="none" w:sz="0" w:space="0" w:color="auto"/>
            <w:right w:val="none" w:sz="0" w:space="0" w:color="auto"/>
          </w:divBdr>
        </w:div>
        <w:div w:id="824861428">
          <w:marLeft w:val="640"/>
          <w:marRight w:val="0"/>
          <w:marTop w:val="0"/>
          <w:marBottom w:val="0"/>
          <w:divBdr>
            <w:top w:val="none" w:sz="0" w:space="0" w:color="auto"/>
            <w:left w:val="none" w:sz="0" w:space="0" w:color="auto"/>
            <w:bottom w:val="none" w:sz="0" w:space="0" w:color="auto"/>
            <w:right w:val="none" w:sz="0" w:space="0" w:color="auto"/>
          </w:divBdr>
        </w:div>
        <w:div w:id="2077897350">
          <w:marLeft w:val="640"/>
          <w:marRight w:val="0"/>
          <w:marTop w:val="0"/>
          <w:marBottom w:val="0"/>
          <w:divBdr>
            <w:top w:val="none" w:sz="0" w:space="0" w:color="auto"/>
            <w:left w:val="none" w:sz="0" w:space="0" w:color="auto"/>
            <w:bottom w:val="none" w:sz="0" w:space="0" w:color="auto"/>
            <w:right w:val="none" w:sz="0" w:space="0" w:color="auto"/>
          </w:divBdr>
        </w:div>
        <w:div w:id="1606571561">
          <w:marLeft w:val="640"/>
          <w:marRight w:val="0"/>
          <w:marTop w:val="0"/>
          <w:marBottom w:val="0"/>
          <w:divBdr>
            <w:top w:val="none" w:sz="0" w:space="0" w:color="auto"/>
            <w:left w:val="none" w:sz="0" w:space="0" w:color="auto"/>
            <w:bottom w:val="none" w:sz="0" w:space="0" w:color="auto"/>
            <w:right w:val="none" w:sz="0" w:space="0" w:color="auto"/>
          </w:divBdr>
        </w:div>
        <w:div w:id="1281957080">
          <w:marLeft w:val="640"/>
          <w:marRight w:val="0"/>
          <w:marTop w:val="0"/>
          <w:marBottom w:val="0"/>
          <w:divBdr>
            <w:top w:val="none" w:sz="0" w:space="0" w:color="auto"/>
            <w:left w:val="none" w:sz="0" w:space="0" w:color="auto"/>
            <w:bottom w:val="none" w:sz="0" w:space="0" w:color="auto"/>
            <w:right w:val="none" w:sz="0" w:space="0" w:color="auto"/>
          </w:divBdr>
        </w:div>
        <w:div w:id="1519201565">
          <w:marLeft w:val="640"/>
          <w:marRight w:val="0"/>
          <w:marTop w:val="0"/>
          <w:marBottom w:val="0"/>
          <w:divBdr>
            <w:top w:val="none" w:sz="0" w:space="0" w:color="auto"/>
            <w:left w:val="none" w:sz="0" w:space="0" w:color="auto"/>
            <w:bottom w:val="none" w:sz="0" w:space="0" w:color="auto"/>
            <w:right w:val="none" w:sz="0" w:space="0" w:color="auto"/>
          </w:divBdr>
        </w:div>
        <w:div w:id="694424321">
          <w:marLeft w:val="640"/>
          <w:marRight w:val="0"/>
          <w:marTop w:val="0"/>
          <w:marBottom w:val="0"/>
          <w:divBdr>
            <w:top w:val="none" w:sz="0" w:space="0" w:color="auto"/>
            <w:left w:val="none" w:sz="0" w:space="0" w:color="auto"/>
            <w:bottom w:val="none" w:sz="0" w:space="0" w:color="auto"/>
            <w:right w:val="none" w:sz="0" w:space="0" w:color="auto"/>
          </w:divBdr>
        </w:div>
        <w:div w:id="46465059">
          <w:marLeft w:val="640"/>
          <w:marRight w:val="0"/>
          <w:marTop w:val="0"/>
          <w:marBottom w:val="0"/>
          <w:divBdr>
            <w:top w:val="none" w:sz="0" w:space="0" w:color="auto"/>
            <w:left w:val="none" w:sz="0" w:space="0" w:color="auto"/>
            <w:bottom w:val="none" w:sz="0" w:space="0" w:color="auto"/>
            <w:right w:val="none" w:sz="0" w:space="0" w:color="auto"/>
          </w:divBdr>
        </w:div>
        <w:div w:id="2032758168">
          <w:marLeft w:val="640"/>
          <w:marRight w:val="0"/>
          <w:marTop w:val="0"/>
          <w:marBottom w:val="0"/>
          <w:divBdr>
            <w:top w:val="none" w:sz="0" w:space="0" w:color="auto"/>
            <w:left w:val="none" w:sz="0" w:space="0" w:color="auto"/>
            <w:bottom w:val="none" w:sz="0" w:space="0" w:color="auto"/>
            <w:right w:val="none" w:sz="0" w:space="0" w:color="auto"/>
          </w:divBdr>
        </w:div>
        <w:div w:id="1573809143">
          <w:marLeft w:val="640"/>
          <w:marRight w:val="0"/>
          <w:marTop w:val="0"/>
          <w:marBottom w:val="0"/>
          <w:divBdr>
            <w:top w:val="none" w:sz="0" w:space="0" w:color="auto"/>
            <w:left w:val="none" w:sz="0" w:space="0" w:color="auto"/>
            <w:bottom w:val="none" w:sz="0" w:space="0" w:color="auto"/>
            <w:right w:val="none" w:sz="0" w:space="0" w:color="auto"/>
          </w:divBdr>
        </w:div>
        <w:div w:id="1500537347">
          <w:marLeft w:val="640"/>
          <w:marRight w:val="0"/>
          <w:marTop w:val="0"/>
          <w:marBottom w:val="0"/>
          <w:divBdr>
            <w:top w:val="none" w:sz="0" w:space="0" w:color="auto"/>
            <w:left w:val="none" w:sz="0" w:space="0" w:color="auto"/>
            <w:bottom w:val="none" w:sz="0" w:space="0" w:color="auto"/>
            <w:right w:val="none" w:sz="0" w:space="0" w:color="auto"/>
          </w:divBdr>
        </w:div>
        <w:div w:id="300619430">
          <w:marLeft w:val="640"/>
          <w:marRight w:val="0"/>
          <w:marTop w:val="0"/>
          <w:marBottom w:val="0"/>
          <w:divBdr>
            <w:top w:val="none" w:sz="0" w:space="0" w:color="auto"/>
            <w:left w:val="none" w:sz="0" w:space="0" w:color="auto"/>
            <w:bottom w:val="none" w:sz="0" w:space="0" w:color="auto"/>
            <w:right w:val="none" w:sz="0" w:space="0" w:color="auto"/>
          </w:divBdr>
        </w:div>
        <w:div w:id="1394230729">
          <w:marLeft w:val="640"/>
          <w:marRight w:val="0"/>
          <w:marTop w:val="0"/>
          <w:marBottom w:val="0"/>
          <w:divBdr>
            <w:top w:val="none" w:sz="0" w:space="0" w:color="auto"/>
            <w:left w:val="none" w:sz="0" w:space="0" w:color="auto"/>
            <w:bottom w:val="none" w:sz="0" w:space="0" w:color="auto"/>
            <w:right w:val="none" w:sz="0" w:space="0" w:color="auto"/>
          </w:divBdr>
        </w:div>
        <w:div w:id="690492556">
          <w:marLeft w:val="640"/>
          <w:marRight w:val="0"/>
          <w:marTop w:val="0"/>
          <w:marBottom w:val="0"/>
          <w:divBdr>
            <w:top w:val="none" w:sz="0" w:space="0" w:color="auto"/>
            <w:left w:val="none" w:sz="0" w:space="0" w:color="auto"/>
            <w:bottom w:val="none" w:sz="0" w:space="0" w:color="auto"/>
            <w:right w:val="none" w:sz="0" w:space="0" w:color="auto"/>
          </w:divBdr>
        </w:div>
        <w:div w:id="1343817094">
          <w:marLeft w:val="640"/>
          <w:marRight w:val="0"/>
          <w:marTop w:val="0"/>
          <w:marBottom w:val="0"/>
          <w:divBdr>
            <w:top w:val="none" w:sz="0" w:space="0" w:color="auto"/>
            <w:left w:val="none" w:sz="0" w:space="0" w:color="auto"/>
            <w:bottom w:val="none" w:sz="0" w:space="0" w:color="auto"/>
            <w:right w:val="none" w:sz="0" w:space="0" w:color="auto"/>
          </w:divBdr>
        </w:div>
        <w:div w:id="413942829">
          <w:marLeft w:val="640"/>
          <w:marRight w:val="0"/>
          <w:marTop w:val="0"/>
          <w:marBottom w:val="0"/>
          <w:divBdr>
            <w:top w:val="none" w:sz="0" w:space="0" w:color="auto"/>
            <w:left w:val="none" w:sz="0" w:space="0" w:color="auto"/>
            <w:bottom w:val="none" w:sz="0" w:space="0" w:color="auto"/>
            <w:right w:val="none" w:sz="0" w:space="0" w:color="auto"/>
          </w:divBdr>
        </w:div>
        <w:div w:id="388966891">
          <w:marLeft w:val="640"/>
          <w:marRight w:val="0"/>
          <w:marTop w:val="0"/>
          <w:marBottom w:val="0"/>
          <w:divBdr>
            <w:top w:val="none" w:sz="0" w:space="0" w:color="auto"/>
            <w:left w:val="none" w:sz="0" w:space="0" w:color="auto"/>
            <w:bottom w:val="none" w:sz="0" w:space="0" w:color="auto"/>
            <w:right w:val="none" w:sz="0" w:space="0" w:color="auto"/>
          </w:divBdr>
        </w:div>
        <w:div w:id="1849254406">
          <w:marLeft w:val="640"/>
          <w:marRight w:val="0"/>
          <w:marTop w:val="0"/>
          <w:marBottom w:val="0"/>
          <w:divBdr>
            <w:top w:val="none" w:sz="0" w:space="0" w:color="auto"/>
            <w:left w:val="none" w:sz="0" w:space="0" w:color="auto"/>
            <w:bottom w:val="none" w:sz="0" w:space="0" w:color="auto"/>
            <w:right w:val="none" w:sz="0" w:space="0" w:color="auto"/>
          </w:divBdr>
        </w:div>
        <w:div w:id="696468495">
          <w:marLeft w:val="640"/>
          <w:marRight w:val="0"/>
          <w:marTop w:val="0"/>
          <w:marBottom w:val="0"/>
          <w:divBdr>
            <w:top w:val="none" w:sz="0" w:space="0" w:color="auto"/>
            <w:left w:val="none" w:sz="0" w:space="0" w:color="auto"/>
            <w:bottom w:val="none" w:sz="0" w:space="0" w:color="auto"/>
            <w:right w:val="none" w:sz="0" w:space="0" w:color="auto"/>
          </w:divBdr>
        </w:div>
        <w:div w:id="360327560">
          <w:marLeft w:val="640"/>
          <w:marRight w:val="0"/>
          <w:marTop w:val="0"/>
          <w:marBottom w:val="0"/>
          <w:divBdr>
            <w:top w:val="none" w:sz="0" w:space="0" w:color="auto"/>
            <w:left w:val="none" w:sz="0" w:space="0" w:color="auto"/>
            <w:bottom w:val="none" w:sz="0" w:space="0" w:color="auto"/>
            <w:right w:val="none" w:sz="0" w:space="0" w:color="auto"/>
          </w:divBdr>
        </w:div>
        <w:div w:id="399063049">
          <w:marLeft w:val="640"/>
          <w:marRight w:val="0"/>
          <w:marTop w:val="0"/>
          <w:marBottom w:val="0"/>
          <w:divBdr>
            <w:top w:val="none" w:sz="0" w:space="0" w:color="auto"/>
            <w:left w:val="none" w:sz="0" w:space="0" w:color="auto"/>
            <w:bottom w:val="none" w:sz="0" w:space="0" w:color="auto"/>
            <w:right w:val="none" w:sz="0" w:space="0" w:color="auto"/>
          </w:divBdr>
        </w:div>
        <w:div w:id="1620455373">
          <w:marLeft w:val="640"/>
          <w:marRight w:val="0"/>
          <w:marTop w:val="0"/>
          <w:marBottom w:val="0"/>
          <w:divBdr>
            <w:top w:val="none" w:sz="0" w:space="0" w:color="auto"/>
            <w:left w:val="none" w:sz="0" w:space="0" w:color="auto"/>
            <w:bottom w:val="none" w:sz="0" w:space="0" w:color="auto"/>
            <w:right w:val="none" w:sz="0" w:space="0" w:color="auto"/>
          </w:divBdr>
        </w:div>
        <w:div w:id="732512114">
          <w:marLeft w:val="640"/>
          <w:marRight w:val="0"/>
          <w:marTop w:val="0"/>
          <w:marBottom w:val="0"/>
          <w:divBdr>
            <w:top w:val="none" w:sz="0" w:space="0" w:color="auto"/>
            <w:left w:val="none" w:sz="0" w:space="0" w:color="auto"/>
            <w:bottom w:val="none" w:sz="0" w:space="0" w:color="auto"/>
            <w:right w:val="none" w:sz="0" w:space="0" w:color="auto"/>
          </w:divBdr>
        </w:div>
        <w:div w:id="1302033086">
          <w:marLeft w:val="640"/>
          <w:marRight w:val="0"/>
          <w:marTop w:val="0"/>
          <w:marBottom w:val="0"/>
          <w:divBdr>
            <w:top w:val="none" w:sz="0" w:space="0" w:color="auto"/>
            <w:left w:val="none" w:sz="0" w:space="0" w:color="auto"/>
            <w:bottom w:val="none" w:sz="0" w:space="0" w:color="auto"/>
            <w:right w:val="none" w:sz="0" w:space="0" w:color="auto"/>
          </w:divBdr>
        </w:div>
        <w:div w:id="1375808601">
          <w:marLeft w:val="640"/>
          <w:marRight w:val="0"/>
          <w:marTop w:val="0"/>
          <w:marBottom w:val="0"/>
          <w:divBdr>
            <w:top w:val="none" w:sz="0" w:space="0" w:color="auto"/>
            <w:left w:val="none" w:sz="0" w:space="0" w:color="auto"/>
            <w:bottom w:val="none" w:sz="0" w:space="0" w:color="auto"/>
            <w:right w:val="none" w:sz="0" w:space="0" w:color="auto"/>
          </w:divBdr>
        </w:div>
        <w:div w:id="121731637">
          <w:marLeft w:val="640"/>
          <w:marRight w:val="0"/>
          <w:marTop w:val="0"/>
          <w:marBottom w:val="0"/>
          <w:divBdr>
            <w:top w:val="none" w:sz="0" w:space="0" w:color="auto"/>
            <w:left w:val="none" w:sz="0" w:space="0" w:color="auto"/>
            <w:bottom w:val="none" w:sz="0" w:space="0" w:color="auto"/>
            <w:right w:val="none" w:sz="0" w:space="0" w:color="auto"/>
          </w:divBdr>
        </w:div>
      </w:divsChild>
    </w:div>
    <w:div w:id="1609003367">
      <w:bodyDiv w:val="1"/>
      <w:marLeft w:val="0"/>
      <w:marRight w:val="0"/>
      <w:marTop w:val="0"/>
      <w:marBottom w:val="0"/>
      <w:divBdr>
        <w:top w:val="none" w:sz="0" w:space="0" w:color="auto"/>
        <w:left w:val="none" w:sz="0" w:space="0" w:color="auto"/>
        <w:bottom w:val="none" w:sz="0" w:space="0" w:color="auto"/>
        <w:right w:val="none" w:sz="0" w:space="0" w:color="auto"/>
      </w:divBdr>
      <w:divsChild>
        <w:div w:id="642779824">
          <w:marLeft w:val="640"/>
          <w:marRight w:val="0"/>
          <w:marTop w:val="0"/>
          <w:marBottom w:val="0"/>
          <w:divBdr>
            <w:top w:val="none" w:sz="0" w:space="0" w:color="auto"/>
            <w:left w:val="none" w:sz="0" w:space="0" w:color="auto"/>
            <w:bottom w:val="none" w:sz="0" w:space="0" w:color="auto"/>
            <w:right w:val="none" w:sz="0" w:space="0" w:color="auto"/>
          </w:divBdr>
        </w:div>
        <w:div w:id="1440681620">
          <w:marLeft w:val="640"/>
          <w:marRight w:val="0"/>
          <w:marTop w:val="0"/>
          <w:marBottom w:val="0"/>
          <w:divBdr>
            <w:top w:val="none" w:sz="0" w:space="0" w:color="auto"/>
            <w:left w:val="none" w:sz="0" w:space="0" w:color="auto"/>
            <w:bottom w:val="none" w:sz="0" w:space="0" w:color="auto"/>
            <w:right w:val="none" w:sz="0" w:space="0" w:color="auto"/>
          </w:divBdr>
        </w:div>
        <w:div w:id="738938118">
          <w:marLeft w:val="640"/>
          <w:marRight w:val="0"/>
          <w:marTop w:val="0"/>
          <w:marBottom w:val="0"/>
          <w:divBdr>
            <w:top w:val="none" w:sz="0" w:space="0" w:color="auto"/>
            <w:left w:val="none" w:sz="0" w:space="0" w:color="auto"/>
            <w:bottom w:val="none" w:sz="0" w:space="0" w:color="auto"/>
            <w:right w:val="none" w:sz="0" w:space="0" w:color="auto"/>
          </w:divBdr>
        </w:div>
        <w:div w:id="1355035000">
          <w:marLeft w:val="640"/>
          <w:marRight w:val="0"/>
          <w:marTop w:val="0"/>
          <w:marBottom w:val="0"/>
          <w:divBdr>
            <w:top w:val="none" w:sz="0" w:space="0" w:color="auto"/>
            <w:left w:val="none" w:sz="0" w:space="0" w:color="auto"/>
            <w:bottom w:val="none" w:sz="0" w:space="0" w:color="auto"/>
            <w:right w:val="none" w:sz="0" w:space="0" w:color="auto"/>
          </w:divBdr>
        </w:div>
        <w:div w:id="1014067197">
          <w:marLeft w:val="640"/>
          <w:marRight w:val="0"/>
          <w:marTop w:val="0"/>
          <w:marBottom w:val="0"/>
          <w:divBdr>
            <w:top w:val="none" w:sz="0" w:space="0" w:color="auto"/>
            <w:left w:val="none" w:sz="0" w:space="0" w:color="auto"/>
            <w:bottom w:val="none" w:sz="0" w:space="0" w:color="auto"/>
            <w:right w:val="none" w:sz="0" w:space="0" w:color="auto"/>
          </w:divBdr>
        </w:div>
        <w:div w:id="385111339">
          <w:marLeft w:val="640"/>
          <w:marRight w:val="0"/>
          <w:marTop w:val="0"/>
          <w:marBottom w:val="0"/>
          <w:divBdr>
            <w:top w:val="none" w:sz="0" w:space="0" w:color="auto"/>
            <w:left w:val="none" w:sz="0" w:space="0" w:color="auto"/>
            <w:bottom w:val="none" w:sz="0" w:space="0" w:color="auto"/>
            <w:right w:val="none" w:sz="0" w:space="0" w:color="auto"/>
          </w:divBdr>
        </w:div>
        <w:div w:id="1931157065">
          <w:marLeft w:val="640"/>
          <w:marRight w:val="0"/>
          <w:marTop w:val="0"/>
          <w:marBottom w:val="0"/>
          <w:divBdr>
            <w:top w:val="none" w:sz="0" w:space="0" w:color="auto"/>
            <w:left w:val="none" w:sz="0" w:space="0" w:color="auto"/>
            <w:bottom w:val="none" w:sz="0" w:space="0" w:color="auto"/>
            <w:right w:val="none" w:sz="0" w:space="0" w:color="auto"/>
          </w:divBdr>
        </w:div>
        <w:div w:id="400298903">
          <w:marLeft w:val="640"/>
          <w:marRight w:val="0"/>
          <w:marTop w:val="0"/>
          <w:marBottom w:val="0"/>
          <w:divBdr>
            <w:top w:val="none" w:sz="0" w:space="0" w:color="auto"/>
            <w:left w:val="none" w:sz="0" w:space="0" w:color="auto"/>
            <w:bottom w:val="none" w:sz="0" w:space="0" w:color="auto"/>
            <w:right w:val="none" w:sz="0" w:space="0" w:color="auto"/>
          </w:divBdr>
        </w:div>
        <w:div w:id="382103747">
          <w:marLeft w:val="640"/>
          <w:marRight w:val="0"/>
          <w:marTop w:val="0"/>
          <w:marBottom w:val="0"/>
          <w:divBdr>
            <w:top w:val="none" w:sz="0" w:space="0" w:color="auto"/>
            <w:left w:val="none" w:sz="0" w:space="0" w:color="auto"/>
            <w:bottom w:val="none" w:sz="0" w:space="0" w:color="auto"/>
            <w:right w:val="none" w:sz="0" w:space="0" w:color="auto"/>
          </w:divBdr>
        </w:div>
        <w:div w:id="1934826122">
          <w:marLeft w:val="640"/>
          <w:marRight w:val="0"/>
          <w:marTop w:val="0"/>
          <w:marBottom w:val="0"/>
          <w:divBdr>
            <w:top w:val="none" w:sz="0" w:space="0" w:color="auto"/>
            <w:left w:val="none" w:sz="0" w:space="0" w:color="auto"/>
            <w:bottom w:val="none" w:sz="0" w:space="0" w:color="auto"/>
            <w:right w:val="none" w:sz="0" w:space="0" w:color="auto"/>
          </w:divBdr>
        </w:div>
        <w:div w:id="175390497">
          <w:marLeft w:val="640"/>
          <w:marRight w:val="0"/>
          <w:marTop w:val="0"/>
          <w:marBottom w:val="0"/>
          <w:divBdr>
            <w:top w:val="none" w:sz="0" w:space="0" w:color="auto"/>
            <w:left w:val="none" w:sz="0" w:space="0" w:color="auto"/>
            <w:bottom w:val="none" w:sz="0" w:space="0" w:color="auto"/>
            <w:right w:val="none" w:sz="0" w:space="0" w:color="auto"/>
          </w:divBdr>
        </w:div>
        <w:div w:id="1564290626">
          <w:marLeft w:val="640"/>
          <w:marRight w:val="0"/>
          <w:marTop w:val="0"/>
          <w:marBottom w:val="0"/>
          <w:divBdr>
            <w:top w:val="none" w:sz="0" w:space="0" w:color="auto"/>
            <w:left w:val="none" w:sz="0" w:space="0" w:color="auto"/>
            <w:bottom w:val="none" w:sz="0" w:space="0" w:color="auto"/>
            <w:right w:val="none" w:sz="0" w:space="0" w:color="auto"/>
          </w:divBdr>
        </w:div>
        <w:div w:id="1179924022">
          <w:marLeft w:val="640"/>
          <w:marRight w:val="0"/>
          <w:marTop w:val="0"/>
          <w:marBottom w:val="0"/>
          <w:divBdr>
            <w:top w:val="none" w:sz="0" w:space="0" w:color="auto"/>
            <w:left w:val="none" w:sz="0" w:space="0" w:color="auto"/>
            <w:bottom w:val="none" w:sz="0" w:space="0" w:color="auto"/>
            <w:right w:val="none" w:sz="0" w:space="0" w:color="auto"/>
          </w:divBdr>
        </w:div>
        <w:div w:id="483591120">
          <w:marLeft w:val="640"/>
          <w:marRight w:val="0"/>
          <w:marTop w:val="0"/>
          <w:marBottom w:val="0"/>
          <w:divBdr>
            <w:top w:val="none" w:sz="0" w:space="0" w:color="auto"/>
            <w:left w:val="none" w:sz="0" w:space="0" w:color="auto"/>
            <w:bottom w:val="none" w:sz="0" w:space="0" w:color="auto"/>
            <w:right w:val="none" w:sz="0" w:space="0" w:color="auto"/>
          </w:divBdr>
        </w:div>
        <w:div w:id="1972323806">
          <w:marLeft w:val="640"/>
          <w:marRight w:val="0"/>
          <w:marTop w:val="0"/>
          <w:marBottom w:val="0"/>
          <w:divBdr>
            <w:top w:val="none" w:sz="0" w:space="0" w:color="auto"/>
            <w:left w:val="none" w:sz="0" w:space="0" w:color="auto"/>
            <w:bottom w:val="none" w:sz="0" w:space="0" w:color="auto"/>
            <w:right w:val="none" w:sz="0" w:space="0" w:color="auto"/>
          </w:divBdr>
        </w:div>
        <w:div w:id="30110470">
          <w:marLeft w:val="640"/>
          <w:marRight w:val="0"/>
          <w:marTop w:val="0"/>
          <w:marBottom w:val="0"/>
          <w:divBdr>
            <w:top w:val="none" w:sz="0" w:space="0" w:color="auto"/>
            <w:left w:val="none" w:sz="0" w:space="0" w:color="auto"/>
            <w:bottom w:val="none" w:sz="0" w:space="0" w:color="auto"/>
            <w:right w:val="none" w:sz="0" w:space="0" w:color="auto"/>
          </w:divBdr>
        </w:div>
        <w:div w:id="31350135">
          <w:marLeft w:val="640"/>
          <w:marRight w:val="0"/>
          <w:marTop w:val="0"/>
          <w:marBottom w:val="0"/>
          <w:divBdr>
            <w:top w:val="none" w:sz="0" w:space="0" w:color="auto"/>
            <w:left w:val="none" w:sz="0" w:space="0" w:color="auto"/>
            <w:bottom w:val="none" w:sz="0" w:space="0" w:color="auto"/>
            <w:right w:val="none" w:sz="0" w:space="0" w:color="auto"/>
          </w:divBdr>
        </w:div>
        <w:div w:id="94790897">
          <w:marLeft w:val="640"/>
          <w:marRight w:val="0"/>
          <w:marTop w:val="0"/>
          <w:marBottom w:val="0"/>
          <w:divBdr>
            <w:top w:val="none" w:sz="0" w:space="0" w:color="auto"/>
            <w:left w:val="none" w:sz="0" w:space="0" w:color="auto"/>
            <w:bottom w:val="none" w:sz="0" w:space="0" w:color="auto"/>
            <w:right w:val="none" w:sz="0" w:space="0" w:color="auto"/>
          </w:divBdr>
        </w:div>
        <w:div w:id="1441611258">
          <w:marLeft w:val="640"/>
          <w:marRight w:val="0"/>
          <w:marTop w:val="0"/>
          <w:marBottom w:val="0"/>
          <w:divBdr>
            <w:top w:val="none" w:sz="0" w:space="0" w:color="auto"/>
            <w:left w:val="none" w:sz="0" w:space="0" w:color="auto"/>
            <w:bottom w:val="none" w:sz="0" w:space="0" w:color="auto"/>
            <w:right w:val="none" w:sz="0" w:space="0" w:color="auto"/>
          </w:divBdr>
        </w:div>
        <w:div w:id="1578786499">
          <w:marLeft w:val="640"/>
          <w:marRight w:val="0"/>
          <w:marTop w:val="0"/>
          <w:marBottom w:val="0"/>
          <w:divBdr>
            <w:top w:val="none" w:sz="0" w:space="0" w:color="auto"/>
            <w:left w:val="none" w:sz="0" w:space="0" w:color="auto"/>
            <w:bottom w:val="none" w:sz="0" w:space="0" w:color="auto"/>
            <w:right w:val="none" w:sz="0" w:space="0" w:color="auto"/>
          </w:divBdr>
        </w:div>
        <w:div w:id="266157386">
          <w:marLeft w:val="640"/>
          <w:marRight w:val="0"/>
          <w:marTop w:val="0"/>
          <w:marBottom w:val="0"/>
          <w:divBdr>
            <w:top w:val="none" w:sz="0" w:space="0" w:color="auto"/>
            <w:left w:val="none" w:sz="0" w:space="0" w:color="auto"/>
            <w:bottom w:val="none" w:sz="0" w:space="0" w:color="auto"/>
            <w:right w:val="none" w:sz="0" w:space="0" w:color="auto"/>
          </w:divBdr>
        </w:div>
        <w:div w:id="1347705724">
          <w:marLeft w:val="640"/>
          <w:marRight w:val="0"/>
          <w:marTop w:val="0"/>
          <w:marBottom w:val="0"/>
          <w:divBdr>
            <w:top w:val="none" w:sz="0" w:space="0" w:color="auto"/>
            <w:left w:val="none" w:sz="0" w:space="0" w:color="auto"/>
            <w:bottom w:val="none" w:sz="0" w:space="0" w:color="auto"/>
            <w:right w:val="none" w:sz="0" w:space="0" w:color="auto"/>
          </w:divBdr>
        </w:div>
        <w:div w:id="1932813888">
          <w:marLeft w:val="640"/>
          <w:marRight w:val="0"/>
          <w:marTop w:val="0"/>
          <w:marBottom w:val="0"/>
          <w:divBdr>
            <w:top w:val="none" w:sz="0" w:space="0" w:color="auto"/>
            <w:left w:val="none" w:sz="0" w:space="0" w:color="auto"/>
            <w:bottom w:val="none" w:sz="0" w:space="0" w:color="auto"/>
            <w:right w:val="none" w:sz="0" w:space="0" w:color="auto"/>
          </w:divBdr>
        </w:div>
        <w:div w:id="1401173298">
          <w:marLeft w:val="640"/>
          <w:marRight w:val="0"/>
          <w:marTop w:val="0"/>
          <w:marBottom w:val="0"/>
          <w:divBdr>
            <w:top w:val="none" w:sz="0" w:space="0" w:color="auto"/>
            <w:left w:val="none" w:sz="0" w:space="0" w:color="auto"/>
            <w:bottom w:val="none" w:sz="0" w:space="0" w:color="auto"/>
            <w:right w:val="none" w:sz="0" w:space="0" w:color="auto"/>
          </w:divBdr>
        </w:div>
        <w:div w:id="75057588">
          <w:marLeft w:val="640"/>
          <w:marRight w:val="0"/>
          <w:marTop w:val="0"/>
          <w:marBottom w:val="0"/>
          <w:divBdr>
            <w:top w:val="none" w:sz="0" w:space="0" w:color="auto"/>
            <w:left w:val="none" w:sz="0" w:space="0" w:color="auto"/>
            <w:bottom w:val="none" w:sz="0" w:space="0" w:color="auto"/>
            <w:right w:val="none" w:sz="0" w:space="0" w:color="auto"/>
          </w:divBdr>
        </w:div>
        <w:div w:id="373626040">
          <w:marLeft w:val="640"/>
          <w:marRight w:val="0"/>
          <w:marTop w:val="0"/>
          <w:marBottom w:val="0"/>
          <w:divBdr>
            <w:top w:val="none" w:sz="0" w:space="0" w:color="auto"/>
            <w:left w:val="none" w:sz="0" w:space="0" w:color="auto"/>
            <w:bottom w:val="none" w:sz="0" w:space="0" w:color="auto"/>
            <w:right w:val="none" w:sz="0" w:space="0" w:color="auto"/>
          </w:divBdr>
        </w:div>
        <w:div w:id="1561093435">
          <w:marLeft w:val="640"/>
          <w:marRight w:val="0"/>
          <w:marTop w:val="0"/>
          <w:marBottom w:val="0"/>
          <w:divBdr>
            <w:top w:val="none" w:sz="0" w:space="0" w:color="auto"/>
            <w:left w:val="none" w:sz="0" w:space="0" w:color="auto"/>
            <w:bottom w:val="none" w:sz="0" w:space="0" w:color="auto"/>
            <w:right w:val="none" w:sz="0" w:space="0" w:color="auto"/>
          </w:divBdr>
        </w:div>
        <w:div w:id="1395271268">
          <w:marLeft w:val="640"/>
          <w:marRight w:val="0"/>
          <w:marTop w:val="0"/>
          <w:marBottom w:val="0"/>
          <w:divBdr>
            <w:top w:val="none" w:sz="0" w:space="0" w:color="auto"/>
            <w:left w:val="none" w:sz="0" w:space="0" w:color="auto"/>
            <w:bottom w:val="none" w:sz="0" w:space="0" w:color="auto"/>
            <w:right w:val="none" w:sz="0" w:space="0" w:color="auto"/>
          </w:divBdr>
        </w:div>
        <w:div w:id="1991708897">
          <w:marLeft w:val="640"/>
          <w:marRight w:val="0"/>
          <w:marTop w:val="0"/>
          <w:marBottom w:val="0"/>
          <w:divBdr>
            <w:top w:val="none" w:sz="0" w:space="0" w:color="auto"/>
            <w:left w:val="none" w:sz="0" w:space="0" w:color="auto"/>
            <w:bottom w:val="none" w:sz="0" w:space="0" w:color="auto"/>
            <w:right w:val="none" w:sz="0" w:space="0" w:color="auto"/>
          </w:divBdr>
        </w:div>
        <w:div w:id="2037191760">
          <w:marLeft w:val="640"/>
          <w:marRight w:val="0"/>
          <w:marTop w:val="0"/>
          <w:marBottom w:val="0"/>
          <w:divBdr>
            <w:top w:val="none" w:sz="0" w:space="0" w:color="auto"/>
            <w:left w:val="none" w:sz="0" w:space="0" w:color="auto"/>
            <w:bottom w:val="none" w:sz="0" w:space="0" w:color="auto"/>
            <w:right w:val="none" w:sz="0" w:space="0" w:color="auto"/>
          </w:divBdr>
        </w:div>
        <w:div w:id="1626695028">
          <w:marLeft w:val="640"/>
          <w:marRight w:val="0"/>
          <w:marTop w:val="0"/>
          <w:marBottom w:val="0"/>
          <w:divBdr>
            <w:top w:val="none" w:sz="0" w:space="0" w:color="auto"/>
            <w:left w:val="none" w:sz="0" w:space="0" w:color="auto"/>
            <w:bottom w:val="none" w:sz="0" w:space="0" w:color="auto"/>
            <w:right w:val="none" w:sz="0" w:space="0" w:color="auto"/>
          </w:divBdr>
        </w:div>
        <w:div w:id="1914118296">
          <w:marLeft w:val="640"/>
          <w:marRight w:val="0"/>
          <w:marTop w:val="0"/>
          <w:marBottom w:val="0"/>
          <w:divBdr>
            <w:top w:val="none" w:sz="0" w:space="0" w:color="auto"/>
            <w:left w:val="none" w:sz="0" w:space="0" w:color="auto"/>
            <w:bottom w:val="none" w:sz="0" w:space="0" w:color="auto"/>
            <w:right w:val="none" w:sz="0" w:space="0" w:color="auto"/>
          </w:divBdr>
        </w:div>
        <w:div w:id="850919521">
          <w:marLeft w:val="640"/>
          <w:marRight w:val="0"/>
          <w:marTop w:val="0"/>
          <w:marBottom w:val="0"/>
          <w:divBdr>
            <w:top w:val="none" w:sz="0" w:space="0" w:color="auto"/>
            <w:left w:val="none" w:sz="0" w:space="0" w:color="auto"/>
            <w:bottom w:val="none" w:sz="0" w:space="0" w:color="auto"/>
            <w:right w:val="none" w:sz="0" w:space="0" w:color="auto"/>
          </w:divBdr>
        </w:div>
        <w:div w:id="323630730">
          <w:marLeft w:val="640"/>
          <w:marRight w:val="0"/>
          <w:marTop w:val="0"/>
          <w:marBottom w:val="0"/>
          <w:divBdr>
            <w:top w:val="none" w:sz="0" w:space="0" w:color="auto"/>
            <w:left w:val="none" w:sz="0" w:space="0" w:color="auto"/>
            <w:bottom w:val="none" w:sz="0" w:space="0" w:color="auto"/>
            <w:right w:val="none" w:sz="0" w:space="0" w:color="auto"/>
          </w:divBdr>
        </w:div>
        <w:div w:id="1423910282">
          <w:marLeft w:val="640"/>
          <w:marRight w:val="0"/>
          <w:marTop w:val="0"/>
          <w:marBottom w:val="0"/>
          <w:divBdr>
            <w:top w:val="none" w:sz="0" w:space="0" w:color="auto"/>
            <w:left w:val="none" w:sz="0" w:space="0" w:color="auto"/>
            <w:bottom w:val="none" w:sz="0" w:space="0" w:color="auto"/>
            <w:right w:val="none" w:sz="0" w:space="0" w:color="auto"/>
          </w:divBdr>
        </w:div>
        <w:div w:id="1256595174">
          <w:marLeft w:val="640"/>
          <w:marRight w:val="0"/>
          <w:marTop w:val="0"/>
          <w:marBottom w:val="0"/>
          <w:divBdr>
            <w:top w:val="none" w:sz="0" w:space="0" w:color="auto"/>
            <w:left w:val="none" w:sz="0" w:space="0" w:color="auto"/>
            <w:bottom w:val="none" w:sz="0" w:space="0" w:color="auto"/>
            <w:right w:val="none" w:sz="0" w:space="0" w:color="auto"/>
          </w:divBdr>
        </w:div>
        <w:div w:id="1745495342">
          <w:marLeft w:val="640"/>
          <w:marRight w:val="0"/>
          <w:marTop w:val="0"/>
          <w:marBottom w:val="0"/>
          <w:divBdr>
            <w:top w:val="none" w:sz="0" w:space="0" w:color="auto"/>
            <w:left w:val="none" w:sz="0" w:space="0" w:color="auto"/>
            <w:bottom w:val="none" w:sz="0" w:space="0" w:color="auto"/>
            <w:right w:val="none" w:sz="0" w:space="0" w:color="auto"/>
          </w:divBdr>
        </w:div>
        <w:div w:id="119570369">
          <w:marLeft w:val="640"/>
          <w:marRight w:val="0"/>
          <w:marTop w:val="0"/>
          <w:marBottom w:val="0"/>
          <w:divBdr>
            <w:top w:val="none" w:sz="0" w:space="0" w:color="auto"/>
            <w:left w:val="none" w:sz="0" w:space="0" w:color="auto"/>
            <w:bottom w:val="none" w:sz="0" w:space="0" w:color="auto"/>
            <w:right w:val="none" w:sz="0" w:space="0" w:color="auto"/>
          </w:divBdr>
        </w:div>
        <w:div w:id="878934475">
          <w:marLeft w:val="640"/>
          <w:marRight w:val="0"/>
          <w:marTop w:val="0"/>
          <w:marBottom w:val="0"/>
          <w:divBdr>
            <w:top w:val="none" w:sz="0" w:space="0" w:color="auto"/>
            <w:left w:val="none" w:sz="0" w:space="0" w:color="auto"/>
            <w:bottom w:val="none" w:sz="0" w:space="0" w:color="auto"/>
            <w:right w:val="none" w:sz="0" w:space="0" w:color="auto"/>
          </w:divBdr>
        </w:div>
        <w:div w:id="495610947">
          <w:marLeft w:val="640"/>
          <w:marRight w:val="0"/>
          <w:marTop w:val="0"/>
          <w:marBottom w:val="0"/>
          <w:divBdr>
            <w:top w:val="none" w:sz="0" w:space="0" w:color="auto"/>
            <w:left w:val="none" w:sz="0" w:space="0" w:color="auto"/>
            <w:bottom w:val="none" w:sz="0" w:space="0" w:color="auto"/>
            <w:right w:val="none" w:sz="0" w:space="0" w:color="auto"/>
          </w:divBdr>
        </w:div>
        <w:div w:id="1155494198">
          <w:marLeft w:val="640"/>
          <w:marRight w:val="0"/>
          <w:marTop w:val="0"/>
          <w:marBottom w:val="0"/>
          <w:divBdr>
            <w:top w:val="none" w:sz="0" w:space="0" w:color="auto"/>
            <w:left w:val="none" w:sz="0" w:space="0" w:color="auto"/>
            <w:bottom w:val="none" w:sz="0" w:space="0" w:color="auto"/>
            <w:right w:val="none" w:sz="0" w:space="0" w:color="auto"/>
          </w:divBdr>
        </w:div>
        <w:div w:id="635912084">
          <w:marLeft w:val="640"/>
          <w:marRight w:val="0"/>
          <w:marTop w:val="0"/>
          <w:marBottom w:val="0"/>
          <w:divBdr>
            <w:top w:val="none" w:sz="0" w:space="0" w:color="auto"/>
            <w:left w:val="none" w:sz="0" w:space="0" w:color="auto"/>
            <w:bottom w:val="none" w:sz="0" w:space="0" w:color="auto"/>
            <w:right w:val="none" w:sz="0" w:space="0" w:color="auto"/>
          </w:divBdr>
        </w:div>
        <w:div w:id="163329082">
          <w:marLeft w:val="640"/>
          <w:marRight w:val="0"/>
          <w:marTop w:val="0"/>
          <w:marBottom w:val="0"/>
          <w:divBdr>
            <w:top w:val="none" w:sz="0" w:space="0" w:color="auto"/>
            <w:left w:val="none" w:sz="0" w:space="0" w:color="auto"/>
            <w:bottom w:val="none" w:sz="0" w:space="0" w:color="auto"/>
            <w:right w:val="none" w:sz="0" w:space="0" w:color="auto"/>
          </w:divBdr>
        </w:div>
        <w:div w:id="440807557">
          <w:marLeft w:val="640"/>
          <w:marRight w:val="0"/>
          <w:marTop w:val="0"/>
          <w:marBottom w:val="0"/>
          <w:divBdr>
            <w:top w:val="none" w:sz="0" w:space="0" w:color="auto"/>
            <w:left w:val="none" w:sz="0" w:space="0" w:color="auto"/>
            <w:bottom w:val="none" w:sz="0" w:space="0" w:color="auto"/>
            <w:right w:val="none" w:sz="0" w:space="0" w:color="auto"/>
          </w:divBdr>
        </w:div>
        <w:div w:id="15426547">
          <w:marLeft w:val="640"/>
          <w:marRight w:val="0"/>
          <w:marTop w:val="0"/>
          <w:marBottom w:val="0"/>
          <w:divBdr>
            <w:top w:val="none" w:sz="0" w:space="0" w:color="auto"/>
            <w:left w:val="none" w:sz="0" w:space="0" w:color="auto"/>
            <w:bottom w:val="none" w:sz="0" w:space="0" w:color="auto"/>
            <w:right w:val="none" w:sz="0" w:space="0" w:color="auto"/>
          </w:divBdr>
        </w:div>
        <w:div w:id="1937135183">
          <w:marLeft w:val="640"/>
          <w:marRight w:val="0"/>
          <w:marTop w:val="0"/>
          <w:marBottom w:val="0"/>
          <w:divBdr>
            <w:top w:val="none" w:sz="0" w:space="0" w:color="auto"/>
            <w:left w:val="none" w:sz="0" w:space="0" w:color="auto"/>
            <w:bottom w:val="none" w:sz="0" w:space="0" w:color="auto"/>
            <w:right w:val="none" w:sz="0" w:space="0" w:color="auto"/>
          </w:divBdr>
        </w:div>
        <w:div w:id="185950686">
          <w:marLeft w:val="640"/>
          <w:marRight w:val="0"/>
          <w:marTop w:val="0"/>
          <w:marBottom w:val="0"/>
          <w:divBdr>
            <w:top w:val="none" w:sz="0" w:space="0" w:color="auto"/>
            <w:left w:val="none" w:sz="0" w:space="0" w:color="auto"/>
            <w:bottom w:val="none" w:sz="0" w:space="0" w:color="auto"/>
            <w:right w:val="none" w:sz="0" w:space="0" w:color="auto"/>
          </w:divBdr>
        </w:div>
        <w:div w:id="1430538104">
          <w:marLeft w:val="640"/>
          <w:marRight w:val="0"/>
          <w:marTop w:val="0"/>
          <w:marBottom w:val="0"/>
          <w:divBdr>
            <w:top w:val="none" w:sz="0" w:space="0" w:color="auto"/>
            <w:left w:val="none" w:sz="0" w:space="0" w:color="auto"/>
            <w:bottom w:val="none" w:sz="0" w:space="0" w:color="auto"/>
            <w:right w:val="none" w:sz="0" w:space="0" w:color="auto"/>
          </w:divBdr>
        </w:div>
        <w:div w:id="2118596073">
          <w:marLeft w:val="640"/>
          <w:marRight w:val="0"/>
          <w:marTop w:val="0"/>
          <w:marBottom w:val="0"/>
          <w:divBdr>
            <w:top w:val="none" w:sz="0" w:space="0" w:color="auto"/>
            <w:left w:val="none" w:sz="0" w:space="0" w:color="auto"/>
            <w:bottom w:val="none" w:sz="0" w:space="0" w:color="auto"/>
            <w:right w:val="none" w:sz="0" w:space="0" w:color="auto"/>
          </w:divBdr>
        </w:div>
        <w:div w:id="723413420">
          <w:marLeft w:val="640"/>
          <w:marRight w:val="0"/>
          <w:marTop w:val="0"/>
          <w:marBottom w:val="0"/>
          <w:divBdr>
            <w:top w:val="none" w:sz="0" w:space="0" w:color="auto"/>
            <w:left w:val="none" w:sz="0" w:space="0" w:color="auto"/>
            <w:bottom w:val="none" w:sz="0" w:space="0" w:color="auto"/>
            <w:right w:val="none" w:sz="0" w:space="0" w:color="auto"/>
          </w:divBdr>
        </w:div>
        <w:div w:id="716319376">
          <w:marLeft w:val="640"/>
          <w:marRight w:val="0"/>
          <w:marTop w:val="0"/>
          <w:marBottom w:val="0"/>
          <w:divBdr>
            <w:top w:val="none" w:sz="0" w:space="0" w:color="auto"/>
            <w:left w:val="none" w:sz="0" w:space="0" w:color="auto"/>
            <w:bottom w:val="none" w:sz="0" w:space="0" w:color="auto"/>
            <w:right w:val="none" w:sz="0" w:space="0" w:color="auto"/>
          </w:divBdr>
        </w:div>
        <w:div w:id="1818955498">
          <w:marLeft w:val="640"/>
          <w:marRight w:val="0"/>
          <w:marTop w:val="0"/>
          <w:marBottom w:val="0"/>
          <w:divBdr>
            <w:top w:val="none" w:sz="0" w:space="0" w:color="auto"/>
            <w:left w:val="none" w:sz="0" w:space="0" w:color="auto"/>
            <w:bottom w:val="none" w:sz="0" w:space="0" w:color="auto"/>
            <w:right w:val="none" w:sz="0" w:space="0" w:color="auto"/>
          </w:divBdr>
        </w:div>
        <w:div w:id="1285842383">
          <w:marLeft w:val="640"/>
          <w:marRight w:val="0"/>
          <w:marTop w:val="0"/>
          <w:marBottom w:val="0"/>
          <w:divBdr>
            <w:top w:val="none" w:sz="0" w:space="0" w:color="auto"/>
            <w:left w:val="none" w:sz="0" w:space="0" w:color="auto"/>
            <w:bottom w:val="none" w:sz="0" w:space="0" w:color="auto"/>
            <w:right w:val="none" w:sz="0" w:space="0" w:color="auto"/>
          </w:divBdr>
        </w:div>
        <w:div w:id="1341856353">
          <w:marLeft w:val="640"/>
          <w:marRight w:val="0"/>
          <w:marTop w:val="0"/>
          <w:marBottom w:val="0"/>
          <w:divBdr>
            <w:top w:val="none" w:sz="0" w:space="0" w:color="auto"/>
            <w:left w:val="none" w:sz="0" w:space="0" w:color="auto"/>
            <w:bottom w:val="none" w:sz="0" w:space="0" w:color="auto"/>
            <w:right w:val="none" w:sz="0" w:space="0" w:color="auto"/>
          </w:divBdr>
        </w:div>
        <w:div w:id="279340607">
          <w:marLeft w:val="640"/>
          <w:marRight w:val="0"/>
          <w:marTop w:val="0"/>
          <w:marBottom w:val="0"/>
          <w:divBdr>
            <w:top w:val="none" w:sz="0" w:space="0" w:color="auto"/>
            <w:left w:val="none" w:sz="0" w:space="0" w:color="auto"/>
            <w:bottom w:val="none" w:sz="0" w:space="0" w:color="auto"/>
            <w:right w:val="none" w:sz="0" w:space="0" w:color="auto"/>
          </w:divBdr>
        </w:div>
        <w:div w:id="872032733">
          <w:marLeft w:val="640"/>
          <w:marRight w:val="0"/>
          <w:marTop w:val="0"/>
          <w:marBottom w:val="0"/>
          <w:divBdr>
            <w:top w:val="none" w:sz="0" w:space="0" w:color="auto"/>
            <w:left w:val="none" w:sz="0" w:space="0" w:color="auto"/>
            <w:bottom w:val="none" w:sz="0" w:space="0" w:color="auto"/>
            <w:right w:val="none" w:sz="0" w:space="0" w:color="auto"/>
          </w:divBdr>
        </w:div>
        <w:div w:id="1493453296">
          <w:marLeft w:val="640"/>
          <w:marRight w:val="0"/>
          <w:marTop w:val="0"/>
          <w:marBottom w:val="0"/>
          <w:divBdr>
            <w:top w:val="none" w:sz="0" w:space="0" w:color="auto"/>
            <w:left w:val="none" w:sz="0" w:space="0" w:color="auto"/>
            <w:bottom w:val="none" w:sz="0" w:space="0" w:color="auto"/>
            <w:right w:val="none" w:sz="0" w:space="0" w:color="auto"/>
          </w:divBdr>
        </w:div>
        <w:div w:id="277370183">
          <w:marLeft w:val="640"/>
          <w:marRight w:val="0"/>
          <w:marTop w:val="0"/>
          <w:marBottom w:val="0"/>
          <w:divBdr>
            <w:top w:val="none" w:sz="0" w:space="0" w:color="auto"/>
            <w:left w:val="none" w:sz="0" w:space="0" w:color="auto"/>
            <w:bottom w:val="none" w:sz="0" w:space="0" w:color="auto"/>
            <w:right w:val="none" w:sz="0" w:space="0" w:color="auto"/>
          </w:divBdr>
        </w:div>
        <w:div w:id="963459628">
          <w:marLeft w:val="640"/>
          <w:marRight w:val="0"/>
          <w:marTop w:val="0"/>
          <w:marBottom w:val="0"/>
          <w:divBdr>
            <w:top w:val="none" w:sz="0" w:space="0" w:color="auto"/>
            <w:left w:val="none" w:sz="0" w:space="0" w:color="auto"/>
            <w:bottom w:val="none" w:sz="0" w:space="0" w:color="auto"/>
            <w:right w:val="none" w:sz="0" w:space="0" w:color="auto"/>
          </w:divBdr>
        </w:div>
        <w:div w:id="612829360">
          <w:marLeft w:val="640"/>
          <w:marRight w:val="0"/>
          <w:marTop w:val="0"/>
          <w:marBottom w:val="0"/>
          <w:divBdr>
            <w:top w:val="none" w:sz="0" w:space="0" w:color="auto"/>
            <w:left w:val="none" w:sz="0" w:space="0" w:color="auto"/>
            <w:bottom w:val="none" w:sz="0" w:space="0" w:color="auto"/>
            <w:right w:val="none" w:sz="0" w:space="0" w:color="auto"/>
          </w:divBdr>
        </w:div>
        <w:div w:id="430392941">
          <w:marLeft w:val="640"/>
          <w:marRight w:val="0"/>
          <w:marTop w:val="0"/>
          <w:marBottom w:val="0"/>
          <w:divBdr>
            <w:top w:val="none" w:sz="0" w:space="0" w:color="auto"/>
            <w:left w:val="none" w:sz="0" w:space="0" w:color="auto"/>
            <w:bottom w:val="none" w:sz="0" w:space="0" w:color="auto"/>
            <w:right w:val="none" w:sz="0" w:space="0" w:color="auto"/>
          </w:divBdr>
        </w:div>
        <w:div w:id="813523617">
          <w:marLeft w:val="640"/>
          <w:marRight w:val="0"/>
          <w:marTop w:val="0"/>
          <w:marBottom w:val="0"/>
          <w:divBdr>
            <w:top w:val="none" w:sz="0" w:space="0" w:color="auto"/>
            <w:left w:val="none" w:sz="0" w:space="0" w:color="auto"/>
            <w:bottom w:val="none" w:sz="0" w:space="0" w:color="auto"/>
            <w:right w:val="none" w:sz="0" w:space="0" w:color="auto"/>
          </w:divBdr>
        </w:div>
        <w:div w:id="2063870684">
          <w:marLeft w:val="640"/>
          <w:marRight w:val="0"/>
          <w:marTop w:val="0"/>
          <w:marBottom w:val="0"/>
          <w:divBdr>
            <w:top w:val="none" w:sz="0" w:space="0" w:color="auto"/>
            <w:left w:val="none" w:sz="0" w:space="0" w:color="auto"/>
            <w:bottom w:val="none" w:sz="0" w:space="0" w:color="auto"/>
            <w:right w:val="none" w:sz="0" w:space="0" w:color="auto"/>
          </w:divBdr>
        </w:div>
        <w:div w:id="397675105">
          <w:marLeft w:val="640"/>
          <w:marRight w:val="0"/>
          <w:marTop w:val="0"/>
          <w:marBottom w:val="0"/>
          <w:divBdr>
            <w:top w:val="none" w:sz="0" w:space="0" w:color="auto"/>
            <w:left w:val="none" w:sz="0" w:space="0" w:color="auto"/>
            <w:bottom w:val="none" w:sz="0" w:space="0" w:color="auto"/>
            <w:right w:val="none" w:sz="0" w:space="0" w:color="auto"/>
          </w:divBdr>
        </w:div>
        <w:div w:id="53243606">
          <w:marLeft w:val="640"/>
          <w:marRight w:val="0"/>
          <w:marTop w:val="0"/>
          <w:marBottom w:val="0"/>
          <w:divBdr>
            <w:top w:val="none" w:sz="0" w:space="0" w:color="auto"/>
            <w:left w:val="none" w:sz="0" w:space="0" w:color="auto"/>
            <w:bottom w:val="none" w:sz="0" w:space="0" w:color="auto"/>
            <w:right w:val="none" w:sz="0" w:space="0" w:color="auto"/>
          </w:divBdr>
        </w:div>
        <w:div w:id="1700815968">
          <w:marLeft w:val="640"/>
          <w:marRight w:val="0"/>
          <w:marTop w:val="0"/>
          <w:marBottom w:val="0"/>
          <w:divBdr>
            <w:top w:val="none" w:sz="0" w:space="0" w:color="auto"/>
            <w:left w:val="none" w:sz="0" w:space="0" w:color="auto"/>
            <w:bottom w:val="none" w:sz="0" w:space="0" w:color="auto"/>
            <w:right w:val="none" w:sz="0" w:space="0" w:color="auto"/>
          </w:divBdr>
        </w:div>
        <w:div w:id="513687765">
          <w:marLeft w:val="640"/>
          <w:marRight w:val="0"/>
          <w:marTop w:val="0"/>
          <w:marBottom w:val="0"/>
          <w:divBdr>
            <w:top w:val="none" w:sz="0" w:space="0" w:color="auto"/>
            <w:left w:val="none" w:sz="0" w:space="0" w:color="auto"/>
            <w:bottom w:val="none" w:sz="0" w:space="0" w:color="auto"/>
            <w:right w:val="none" w:sz="0" w:space="0" w:color="auto"/>
          </w:divBdr>
        </w:div>
        <w:div w:id="864102293">
          <w:marLeft w:val="640"/>
          <w:marRight w:val="0"/>
          <w:marTop w:val="0"/>
          <w:marBottom w:val="0"/>
          <w:divBdr>
            <w:top w:val="none" w:sz="0" w:space="0" w:color="auto"/>
            <w:left w:val="none" w:sz="0" w:space="0" w:color="auto"/>
            <w:bottom w:val="none" w:sz="0" w:space="0" w:color="auto"/>
            <w:right w:val="none" w:sz="0" w:space="0" w:color="auto"/>
          </w:divBdr>
        </w:div>
        <w:div w:id="1611431148">
          <w:marLeft w:val="640"/>
          <w:marRight w:val="0"/>
          <w:marTop w:val="0"/>
          <w:marBottom w:val="0"/>
          <w:divBdr>
            <w:top w:val="none" w:sz="0" w:space="0" w:color="auto"/>
            <w:left w:val="none" w:sz="0" w:space="0" w:color="auto"/>
            <w:bottom w:val="none" w:sz="0" w:space="0" w:color="auto"/>
            <w:right w:val="none" w:sz="0" w:space="0" w:color="auto"/>
          </w:divBdr>
        </w:div>
        <w:div w:id="788164696">
          <w:marLeft w:val="640"/>
          <w:marRight w:val="0"/>
          <w:marTop w:val="0"/>
          <w:marBottom w:val="0"/>
          <w:divBdr>
            <w:top w:val="none" w:sz="0" w:space="0" w:color="auto"/>
            <w:left w:val="none" w:sz="0" w:space="0" w:color="auto"/>
            <w:bottom w:val="none" w:sz="0" w:space="0" w:color="auto"/>
            <w:right w:val="none" w:sz="0" w:space="0" w:color="auto"/>
          </w:divBdr>
        </w:div>
        <w:div w:id="1581060583">
          <w:marLeft w:val="640"/>
          <w:marRight w:val="0"/>
          <w:marTop w:val="0"/>
          <w:marBottom w:val="0"/>
          <w:divBdr>
            <w:top w:val="none" w:sz="0" w:space="0" w:color="auto"/>
            <w:left w:val="none" w:sz="0" w:space="0" w:color="auto"/>
            <w:bottom w:val="none" w:sz="0" w:space="0" w:color="auto"/>
            <w:right w:val="none" w:sz="0" w:space="0" w:color="auto"/>
          </w:divBdr>
        </w:div>
        <w:div w:id="1708404725">
          <w:marLeft w:val="640"/>
          <w:marRight w:val="0"/>
          <w:marTop w:val="0"/>
          <w:marBottom w:val="0"/>
          <w:divBdr>
            <w:top w:val="none" w:sz="0" w:space="0" w:color="auto"/>
            <w:left w:val="none" w:sz="0" w:space="0" w:color="auto"/>
            <w:bottom w:val="none" w:sz="0" w:space="0" w:color="auto"/>
            <w:right w:val="none" w:sz="0" w:space="0" w:color="auto"/>
          </w:divBdr>
        </w:div>
        <w:div w:id="1509976367">
          <w:marLeft w:val="640"/>
          <w:marRight w:val="0"/>
          <w:marTop w:val="0"/>
          <w:marBottom w:val="0"/>
          <w:divBdr>
            <w:top w:val="none" w:sz="0" w:space="0" w:color="auto"/>
            <w:left w:val="none" w:sz="0" w:space="0" w:color="auto"/>
            <w:bottom w:val="none" w:sz="0" w:space="0" w:color="auto"/>
            <w:right w:val="none" w:sz="0" w:space="0" w:color="auto"/>
          </w:divBdr>
        </w:div>
        <w:div w:id="997538592">
          <w:marLeft w:val="640"/>
          <w:marRight w:val="0"/>
          <w:marTop w:val="0"/>
          <w:marBottom w:val="0"/>
          <w:divBdr>
            <w:top w:val="none" w:sz="0" w:space="0" w:color="auto"/>
            <w:left w:val="none" w:sz="0" w:space="0" w:color="auto"/>
            <w:bottom w:val="none" w:sz="0" w:space="0" w:color="auto"/>
            <w:right w:val="none" w:sz="0" w:space="0" w:color="auto"/>
          </w:divBdr>
        </w:div>
        <w:div w:id="17319677">
          <w:marLeft w:val="640"/>
          <w:marRight w:val="0"/>
          <w:marTop w:val="0"/>
          <w:marBottom w:val="0"/>
          <w:divBdr>
            <w:top w:val="none" w:sz="0" w:space="0" w:color="auto"/>
            <w:left w:val="none" w:sz="0" w:space="0" w:color="auto"/>
            <w:bottom w:val="none" w:sz="0" w:space="0" w:color="auto"/>
            <w:right w:val="none" w:sz="0" w:space="0" w:color="auto"/>
          </w:divBdr>
        </w:div>
        <w:div w:id="637803838">
          <w:marLeft w:val="640"/>
          <w:marRight w:val="0"/>
          <w:marTop w:val="0"/>
          <w:marBottom w:val="0"/>
          <w:divBdr>
            <w:top w:val="none" w:sz="0" w:space="0" w:color="auto"/>
            <w:left w:val="none" w:sz="0" w:space="0" w:color="auto"/>
            <w:bottom w:val="none" w:sz="0" w:space="0" w:color="auto"/>
            <w:right w:val="none" w:sz="0" w:space="0" w:color="auto"/>
          </w:divBdr>
        </w:div>
        <w:div w:id="719012524">
          <w:marLeft w:val="640"/>
          <w:marRight w:val="0"/>
          <w:marTop w:val="0"/>
          <w:marBottom w:val="0"/>
          <w:divBdr>
            <w:top w:val="none" w:sz="0" w:space="0" w:color="auto"/>
            <w:left w:val="none" w:sz="0" w:space="0" w:color="auto"/>
            <w:bottom w:val="none" w:sz="0" w:space="0" w:color="auto"/>
            <w:right w:val="none" w:sz="0" w:space="0" w:color="auto"/>
          </w:divBdr>
        </w:div>
        <w:div w:id="689064360">
          <w:marLeft w:val="640"/>
          <w:marRight w:val="0"/>
          <w:marTop w:val="0"/>
          <w:marBottom w:val="0"/>
          <w:divBdr>
            <w:top w:val="none" w:sz="0" w:space="0" w:color="auto"/>
            <w:left w:val="none" w:sz="0" w:space="0" w:color="auto"/>
            <w:bottom w:val="none" w:sz="0" w:space="0" w:color="auto"/>
            <w:right w:val="none" w:sz="0" w:space="0" w:color="auto"/>
          </w:divBdr>
        </w:div>
        <w:div w:id="1264415037">
          <w:marLeft w:val="640"/>
          <w:marRight w:val="0"/>
          <w:marTop w:val="0"/>
          <w:marBottom w:val="0"/>
          <w:divBdr>
            <w:top w:val="none" w:sz="0" w:space="0" w:color="auto"/>
            <w:left w:val="none" w:sz="0" w:space="0" w:color="auto"/>
            <w:bottom w:val="none" w:sz="0" w:space="0" w:color="auto"/>
            <w:right w:val="none" w:sz="0" w:space="0" w:color="auto"/>
          </w:divBdr>
        </w:div>
        <w:div w:id="824126495">
          <w:marLeft w:val="640"/>
          <w:marRight w:val="0"/>
          <w:marTop w:val="0"/>
          <w:marBottom w:val="0"/>
          <w:divBdr>
            <w:top w:val="none" w:sz="0" w:space="0" w:color="auto"/>
            <w:left w:val="none" w:sz="0" w:space="0" w:color="auto"/>
            <w:bottom w:val="none" w:sz="0" w:space="0" w:color="auto"/>
            <w:right w:val="none" w:sz="0" w:space="0" w:color="auto"/>
          </w:divBdr>
        </w:div>
        <w:div w:id="213390833">
          <w:marLeft w:val="640"/>
          <w:marRight w:val="0"/>
          <w:marTop w:val="0"/>
          <w:marBottom w:val="0"/>
          <w:divBdr>
            <w:top w:val="none" w:sz="0" w:space="0" w:color="auto"/>
            <w:left w:val="none" w:sz="0" w:space="0" w:color="auto"/>
            <w:bottom w:val="none" w:sz="0" w:space="0" w:color="auto"/>
            <w:right w:val="none" w:sz="0" w:space="0" w:color="auto"/>
          </w:divBdr>
        </w:div>
        <w:div w:id="1132405452">
          <w:marLeft w:val="640"/>
          <w:marRight w:val="0"/>
          <w:marTop w:val="0"/>
          <w:marBottom w:val="0"/>
          <w:divBdr>
            <w:top w:val="none" w:sz="0" w:space="0" w:color="auto"/>
            <w:left w:val="none" w:sz="0" w:space="0" w:color="auto"/>
            <w:bottom w:val="none" w:sz="0" w:space="0" w:color="auto"/>
            <w:right w:val="none" w:sz="0" w:space="0" w:color="auto"/>
          </w:divBdr>
        </w:div>
        <w:div w:id="1301115323">
          <w:marLeft w:val="640"/>
          <w:marRight w:val="0"/>
          <w:marTop w:val="0"/>
          <w:marBottom w:val="0"/>
          <w:divBdr>
            <w:top w:val="none" w:sz="0" w:space="0" w:color="auto"/>
            <w:left w:val="none" w:sz="0" w:space="0" w:color="auto"/>
            <w:bottom w:val="none" w:sz="0" w:space="0" w:color="auto"/>
            <w:right w:val="none" w:sz="0" w:space="0" w:color="auto"/>
          </w:divBdr>
        </w:div>
        <w:div w:id="1617172161">
          <w:marLeft w:val="640"/>
          <w:marRight w:val="0"/>
          <w:marTop w:val="0"/>
          <w:marBottom w:val="0"/>
          <w:divBdr>
            <w:top w:val="none" w:sz="0" w:space="0" w:color="auto"/>
            <w:left w:val="none" w:sz="0" w:space="0" w:color="auto"/>
            <w:bottom w:val="none" w:sz="0" w:space="0" w:color="auto"/>
            <w:right w:val="none" w:sz="0" w:space="0" w:color="auto"/>
          </w:divBdr>
        </w:div>
        <w:div w:id="819349415">
          <w:marLeft w:val="640"/>
          <w:marRight w:val="0"/>
          <w:marTop w:val="0"/>
          <w:marBottom w:val="0"/>
          <w:divBdr>
            <w:top w:val="none" w:sz="0" w:space="0" w:color="auto"/>
            <w:left w:val="none" w:sz="0" w:space="0" w:color="auto"/>
            <w:bottom w:val="none" w:sz="0" w:space="0" w:color="auto"/>
            <w:right w:val="none" w:sz="0" w:space="0" w:color="auto"/>
          </w:divBdr>
        </w:div>
        <w:div w:id="1247374201">
          <w:marLeft w:val="640"/>
          <w:marRight w:val="0"/>
          <w:marTop w:val="0"/>
          <w:marBottom w:val="0"/>
          <w:divBdr>
            <w:top w:val="none" w:sz="0" w:space="0" w:color="auto"/>
            <w:left w:val="none" w:sz="0" w:space="0" w:color="auto"/>
            <w:bottom w:val="none" w:sz="0" w:space="0" w:color="auto"/>
            <w:right w:val="none" w:sz="0" w:space="0" w:color="auto"/>
          </w:divBdr>
        </w:div>
        <w:div w:id="718284680">
          <w:marLeft w:val="640"/>
          <w:marRight w:val="0"/>
          <w:marTop w:val="0"/>
          <w:marBottom w:val="0"/>
          <w:divBdr>
            <w:top w:val="none" w:sz="0" w:space="0" w:color="auto"/>
            <w:left w:val="none" w:sz="0" w:space="0" w:color="auto"/>
            <w:bottom w:val="none" w:sz="0" w:space="0" w:color="auto"/>
            <w:right w:val="none" w:sz="0" w:space="0" w:color="auto"/>
          </w:divBdr>
        </w:div>
        <w:div w:id="503982000">
          <w:marLeft w:val="640"/>
          <w:marRight w:val="0"/>
          <w:marTop w:val="0"/>
          <w:marBottom w:val="0"/>
          <w:divBdr>
            <w:top w:val="none" w:sz="0" w:space="0" w:color="auto"/>
            <w:left w:val="none" w:sz="0" w:space="0" w:color="auto"/>
            <w:bottom w:val="none" w:sz="0" w:space="0" w:color="auto"/>
            <w:right w:val="none" w:sz="0" w:space="0" w:color="auto"/>
          </w:divBdr>
        </w:div>
        <w:div w:id="1088427860">
          <w:marLeft w:val="640"/>
          <w:marRight w:val="0"/>
          <w:marTop w:val="0"/>
          <w:marBottom w:val="0"/>
          <w:divBdr>
            <w:top w:val="none" w:sz="0" w:space="0" w:color="auto"/>
            <w:left w:val="none" w:sz="0" w:space="0" w:color="auto"/>
            <w:bottom w:val="none" w:sz="0" w:space="0" w:color="auto"/>
            <w:right w:val="none" w:sz="0" w:space="0" w:color="auto"/>
          </w:divBdr>
        </w:div>
        <w:div w:id="1361930897">
          <w:marLeft w:val="640"/>
          <w:marRight w:val="0"/>
          <w:marTop w:val="0"/>
          <w:marBottom w:val="0"/>
          <w:divBdr>
            <w:top w:val="none" w:sz="0" w:space="0" w:color="auto"/>
            <w:left w:val="none" w:sz="0" w:space="0" w:color="auto"/>
            <w:bottom w:val="none" w:sz="0" w:space="0" w:color="auto"/>
            <w:right w:val="none" w:sz="0" w:space="0" w:color="auto"/>
          </w:divBdr>
        </w:div>
        <w:div w:id="567229228">
          <w:marLeft w:val="640"/>
          <w:marRight w:val="0"/>
          <w:marTop w:val="0"/>
          <w:marBottom w:val="0"/>
          <w:divBdr>
            <w:top w:val="none" w:sz="0" w:space="0" w:color="auto"/>
            <w:left w:val="none" w:sz="0" w:space="0" w:color="auto"/>
            <w:bottom w:val="none" w:sz="0" w:space="0" w:color="auto"/>
            <w:right w:val="none" w:sz="0" w:space="0" w:color="auto"/>
          </w:divBdr>
        </w:div>
        <w:div w:id="839546266">
          <w:marLeft w:val="640"/>
          <w:marRight w:val="0"/>
          <w:marTop w:val="0"/>
          <w:marBottom w:val="0"/>
          <w:divBdr>
            <w:top w:val="none" w:sz="0" w:space="0" w:color="auto"/>
            <w:left w:val="none" w:sz="0" w:space="0" w:color="auto"/>
            <w:bottom w:val="none" w:sz="0" w:space="0" w:color="auto"/>
            <w:right w:val="none" w:sz="0" w:space="0" w:color="auto"/>
          </w:divBdr>
        </w:div>
        <w:div w:id="948976221">
          <w:marLeft w:val="640"/>
          <w:marRight w:val="0"/>
          <w:marTop w:val="0"/>
          <w:marBottom w:val="0"/>
          <w:divBdr>
            <w:top w:val="none" w:sz="0" w:space="0" w:color="auto"/>
            <w:left w:val="none" w:sz="0" w:space="0" w:color="auto"/>
            <w:bottom w:val="none" w:sz="0" w:space="0" w:color="auto"/>
            <w:right w:val="none" w:sz="0" w:space="0" w:color="auto"/>
          </w:divBdr>
        </w:div>
        <w:div w:id="1512571947">
          <w:marLeft w:val="640"/>
          <w:marRight w:val="0"/>
          <w:marTop w:val="0"/>
          <w:marBottom w:val="0"/>
          <w:divBdr>
            <w:top w:val="none" w:sz="0" w:space="0" w:color="auto"/>
            <w:left w:val="none" w:sz="0" w:space="0" w:color="auto"/>
            <w:bottom w:val="none" w:sz="0" w:space="0" w:color="auto"/>
            <w:right w:val="none" w:sz="0" w:space="0" w:color="auto"/>
          </w:divBdr>
        </w:div>
        <w:div w:id="2145350973">
          <w:marLeft w:val="640"/>
          <w:marRight w:val="0"/>
          <w:marTop w:val="0"/>
          <w:marBottom w:val="0"/>
          <w:divBdr>
            <w:top w:val="none" w:sz="0" w:space="0" w:color="auto"/>
            <w:left w:val="none" w:sz="0" w:space="0" w:color="auto"/>
            <w:bottom w:val="none" w:sz="0" w:space="0" w:color="auto"/>
            <w:right w:val="none" w:sz="0" w:space="0" w:color="auto"/>
          </w:divBdr>
        </w:div>
        <w:div w:id="998533892">
          <w:marLeft w:val="640"/>
          <w:marRight w:val="0"/>
          <w:marTop w:val="0"/>
          <w:marBottom w:val="0"/>
          <w:divBdr>
            <w:top w:val="none" w:sz="0" w:space="0" w:color="auto"/>
            <w:left w:val="none" w:sz="0" w:space="0" w:color="auto"/>
            <w:bottom w:val="none" w:sz="0" w:space="0" w:color="auto"/>
            <w:right w:val="none" w:sz="0" w:space="0" w:color="auto"/>
          </w:divBdr>
        </w:div>
        <w:div w:id="1278176739">
          <w:marLeft w:val="640"/>
          <w:marRight w:val="0"/>
          <w:marTop w:val="0"/>
          <w:marBottom w:val="0"/>
          <w:divBdr>
            <w:top w:val="none" w:sz="0" w:space="0" w:color="auto"/>
            <w:left w:val="none" w:sz="0" w:space="0" w:color="auto"/>
            <w:bottom w:val="none" w:sz="0" w:space="0" w:color="auto"/>
            <w:right w:val="none" w:sz="0" w:space="0" w:color="auto"/>
          </w:divBdr>
        </w:div>
        <w:div w:id="766120654">
          <w:marLeft w:val="640"/>
          <w:marRight w:val="0"/>
          <w:marTop w:val="0"/>
          <w:marBottom w:val="0"/>
          <w:divBdr>
            <w:top w:val="none" w:sz="0" w:space="0" w:color="auto"/>
            <w:left w:val="none" w:sz="0" w:space="0" w:color="auto"/>
            <w:bottom w:val="none" w:sz="0" w:space="0" w:color="auto"/>
            <w:right w:val="none" w:sz="0" w:space="0" w:color="auto"/>
          </w:divBdr>
        </w:div>
        <w:div w:id="1951281043">
          <w:marLeft w:val="640"/>
          <w:marRight w:val="0"/>
          <w:marTop w:val="0"/>
          <w:marBottom w:val="0"/>
          <w:divBdr>
            <w:top w:val="none" w:sz="0" w:space="0" w:color="auto"/>
            <w:left w:val="none" w:sz="0" w:space="0" w:color="auto"/>
            <w:bottom w:val="none" w:sz="0" w:space="0" w:color="auto"/>
            <w:right w:val="none" w:sz="0" w:space="0" w:color="auto"/>
          </w:divBdr>
        </w:div>
        <w:div w:id="1063143531">
          <w:marLeft w:val="640"/>
          <w:marRight w:val="0"/>
          <w:marTop w:val="0"/>
          <w:marBottom w:val="0"/>
          <w:divBdr>
            <w:top w:val="none" w:sz="0" w:space="0" w:color="auto"/>
            <w:left w:val="none" w:sz="0" w:space="0" w:color="auto"/>
            <w:bottom w:val="none" w:sz="0" w:space="0" w:color="auto"/>
            <w:right w:val="none" w:sz="0" w:space="0" w:color="auto"/>
          </w:divBdr>
        </w:div>
        <w:div w:id="714892064">
          <w:marLeft w:val="640"/>
          <w:marRight w:val="0"/>
          <w:marTop w:val="0"/>
          <w:marBottom w:val="0"/>
          <w:divBdr>
            <w:top w:val="none" w:sz="0" w:space="0" w:color="auto"/>
            <w:left w:val="none" w:sz="0" w:space="0" w:color="auto"/>
            <w:bottom w:val="none" w:sz="0" w:space="0" w:color="auto"/>
            <w:right w:val="none" w:sz="0" w:space="0" w:color="auto"/>
          </w:divBdr>
        </w:div>
        <w:div w:id="382100556">
          <w:marLeft w:val="640"/>
          <w:marRight w:val="0"/>
          <w:marTop w:val="0"/>
          <w:marBottom w:val="0"/>
          <w:divBdr>
            <w:top w:val="none" w:sz="0" w:space="0" w:color="auto"/>
            <w:left w:val="none" w:sz="0" w:space="0" w:color="auto"/>
            <w:bottom w:val="none" w:sz="0" w:space="0" w:color="auto"/>
            <w:right w:val="none" w:sz="0" w:space="0" w:color="auto"/>
          </w:divBdr>
        </w:div>
        <w:div w:id="84496187">
          <w:marLeft w:val="640"/>
          <w:marRight w:val="0"/>
          <w:marTop w:val="0"/>
          <w:marBottom w:val="0"/>
          <w:divBdr>
            <w:top w:val="none" w:sz="0" w:space="0" w:color="auto"/>
            <w:left w:val="none" w:sz="0" w:space="0" w:color="auto"/>
            <w:bottom w:val="none" w:sz="0" w:space="0" w:color="auto"/>
            <w:right w:val="none" w:sz="0" w:space="0" w:color="auto"/>
          </w:divBdr>
        </w:div>
        <w:div w:id="588973925">
          <w:marLeft w:val="640"/>
          <w:marRight w:val="0"/>
          <w:marTop w:val="0"/>
          <w:marBottom w:val="0"/>
          <w:divBdr>
            <w:top w:val="none" w:sz="0" w:space="0" w:color="auto"/>
            <w:left w:val="none" w:sz="0" w:space="0" w:color="auto"/>
            <w:bottom w:val="none" w:sz="0" w:space="0" w:color="auto"/>
            <w:right w:val="none" w:sz="0" w:space="0" w:color="auto"/>
          </w:divBdr>
        </w:div>
        <w:div w:id="934050597">
          <w:marLeft w:val="640"/>
          <w:marRight w:val="0"/>
          <w:marTop w:val="0"/>
          <w:marBottom w:val="0"/>
          <w:divBdr>
            <w:top w:val="none" w:sz="0" w:space="0" w:color="auto"/>
            <w:left w:val="none" w:sz="0" w:space="0" w:color="auto"/>
            <w:bottom w:val="none" w:sz="0" w:space="0" w:color="auto"/>
            <w:right w:val="none" w:sz="0" w:space="0" w:color="auto"/>
          </w:divBdr>
        </w:div>
        <w:div w:id="957024706">
          <w:marLeft w:val="640"/>
          <w:marRight w:val="0"/>
          <w:marTop w:val="0"/>
          <w:marBottom w:val="0"/>
          <w:divBdr>
            <w:top w:val="none" w:sz="0" w:space="0" w:color="auto"/>
            <w:left w:val="none" w:sz="0" w:space="0" w:color="auto"/>
            <w:bottom w:val="none" w:sz="0" w:space="0" w:color="auto"/>
            <w:right w:val="none" w:sz="0" w:space="0" w:color="auto"/>
          </w:divBdr>
        </w:div>
        <w:div w:id="1948196653">
          <w:marLeft w:val="640"/>
          <w:marRight w:val="0"/>
          <w:marTop w:val="0"/>
          <w:marBottom w:val="0"/>
          <w:divBdr>
            <w:top w:val="none" w:sz="0" w:space="0" w:color="auto"/>
            <w:left w:val="none" w:sz="0" w:space="0" w:color="auto"/>
            <w:bottom w:val="none" w:sz="0" w:space="0" w:color="auto"/>
            <w:right w:val="none" w:sz="0" w:space="0" w:color="auto"/>
          </w:divBdr>
        </w:div>
        <w:div w:id="1243636012">
          <w:marLeft w:val="640"/>
          <w:marRight w:val="0"/>
          <w:marTop w:val="0"/>
          <w:marBottom w:val="0"/>
          <w:divBdr>
            <w:top w:val="none" w:sz="0" w:space="0" w:color="auto"/>
            <w:left w:val="none" w:sz="0" w:space="0" w:color="auto"/>
            <w:bottom w:val="none" w:sz="0" w:space="0" w:color="auto"/>
            <w:right w:val="none" w:sz="0" w:space="0" w:color="auto"/>
          </w:divBdr>
        </w:div>
        <w:div w:id="1500804593">
          <w:marLeft w:val="640"/>
          <w:marRight w:val="0"/>
          <w:marTop w:val="0"/>
          <w:marBottom w:val="0"/>
          <w:divBdr>
            <w:top w:val="none" w:sz="0" w:space="0" w:color="auto"/>
            <w:left w:val="none" w:sz="0" w:space="0" w:color="auto"/>
            <w:bottom w:val="none" w:sz="0" w:space="0" w:color="auto"/>
            <w:right w:val="none" w:sz="0" w:space="0" w:color="auto"/>
          </w:divBdr>
        </w:div>
        <w:div w:id="602882669">
          <w:marLeft w:val="640"/>
          <w:marRight w:val="0"/>
          <w:marTop w:val="0"/>
          <w:marBottom w:val="0"/>
          <w:divBdr>
            <w:top w:val="none" w:sz="0" w:space="0" w:color="auto"/>
            <w:left w:val="none" w:sz="0" w:space="0" w:color="auto"/>
            <w:bottom w:val="none" w:sz="0" w:space="0" w:color="auto"/>
            <w:right w:val="none" w:sz="0" w:space="0" w:color="auto"/>
          </w:divBdr>
        </w:div>
        <w:div w:id="1963151464">
          <w:marLeft w:val="640"/>
          <w:marRight w:val="0"/>
          <w:marTop w:val="0"/>
          <w:marBottom w:val="0"/>
          <w:divBdr>
            <w:top w:val="none" w:sz="0" w:space="0" w:color="auto"/>
            <w:left w:val="none" w:sz="0" w:space="0" w:color="auto"/>
            <w:bottom w:val="none" w:sz="0" w:space="0" w:color="auto"/>
            <w:right w:val="none" w:sz="0" w:space="0" w:color="auto"/>
          </w:divBdr>
        </w:div>
        <w:div w:id="1991666780">
          <w:marLeft w:val="640"/>
          <w:marRight w:val="0"/>
          <w:marTop w:val="0"/>
          <w:marBottom w:val="0"/>
          <w:divBdr>
            <w:top w:val="none" w:sz="0" w:space="0" w:color="auto"/>
            <w:left w:val="none" w:sz="0" w:space="0" w:color="auto"/>
            <w:bottom w:val="none" w:sz="0" w:space="0" w:color="auto"/>
            <w:right w:val="none" w:sz="0" w:space="0" w:color="auto"/>
          </w:divBdr>
        </w:div>
        <w:div w:id="2130736553">
          <w:marLeft w:val="640"/>
          <w:marRight w:val="0"/>
          <w:marTop w:val="0"/>
          <w:marBottom w:val="0"/>
          <w:divBdr>
            <w:top w:val="none" w:sz="0" w:space="0" w:color="auto"/>
            <w:left w:val="none" w:sz="0" w:space="0" w:color="auto"/>
            <w:bottom w:val="none" w:sz="0" w:space="0" w:color="auto"/>
            <w:right w:val="none" w:sz="0" w:space="0" w:color="auto"/>
          </w:divBdr>
        </w:div>
        <w:div w:id="1802461823">
          <w:marLeft w:val="640"/>
          <w:marRight w:val="0"/>
          <w:marTop w:val="0"/>
          <w:marBottom w:val="0"/>
          <w:divBdr>
            <w:top w:val="none" w:sz="0" w:space="0" w:color="auto"/>
            <w:left w:val="none" w:sz="0" w:space="0" w:color="auto"/>
            <w:bottom w:val="none" w:sz="0" w:space="0" w:color="auto"/>
            <w:right w:val="none" w:sz="0" w:space="0" w:color="auto"/>
          </w:divBdr>
        </w:div>
        <w:div w:id="1206601830">
          <w:marLeft w:val="640"/>
          <w:marRight w:val="0"/>
          <w:marTop w:val="0"/>
          <w:marBottom w:val="0"/>
          <w:divBdr>
            <w:top w:val="none" w:sz="0" w:space="0" w:color="auto"/>
            <w:left w:val="none" w:sz="0" w:space="0" w:color="auto"/>
            <w:bottom w:val="none" w:sz="0" w:space="0" w:color="auto"/>
            <w:right w:val="none" w:sz="0" w:space="0" w:color="auto"/>
          </w:divBdr>
        </w:div>
        <w:div w:id="1121411753">
          <w:marLeft w:val="640"/>
          <w:marRight w:val="0"/>
          <w:marTop w:val="0"/>
          <w:marBottom w:val="0"/>
          <w:divBdr>
            <w:top w:val="none" w:sz="0" w:space="0" w:color="auto"/>
            <w:left w:val="none" w:sz="0" w:space="0" w:color="auto"/>
            <w:bottom w:val="none" w:sz="0" w:space="0" w:color="auto"/>
            <w:right w:val="none" w:sz="0" w:space="0" w:color="auto"/>
          </w:divBdr>
        </w:div>
        <w:div w:id="2128885976">
          <w:marLeft w:val="640"/>
          <w:marRight w:val="0"/>
          <w:marTop w:val="0"/>
          <w:marBottom w:val="0"/>
          <w:divBdr>
            <w:top w:val="none" w:sz="0" w:space="0" w:color="auto"/>
            <w:left w:val="none" w:sz="0" w:space="0" w:color="auto"/>
            <w:bottom w:val="none" w:sz="0" w:space="0" w:color="auto"/>
            <w:right w:val="none" w:sz="0" w:space="0" w:color="auto"/>
          </w:divBdr>
        </w:div>
        <w:div w:id="932710488">
          <w:marLeft w:val="640"/>
          <w:marRight w:val="0"/>
          <w:marTop w:val="0"/>
          <w:marBottom w:val="0"/>
          <w:divBdr>
            <w:top w:val="none" w:sz="0" w:space="0" w:color="auto"/>
            <w:left w:val="none" w:sz="0" w:space="0" w:color="auto"/>
            <w:bottom w:val="none" w:sz="0" w:space="0" w:color="auto"/>
            <w:right w:val="none" w:sz="0" w:space="0" w:color="auto"/>
          </w:divBdr>
        </w:div>
        <w:div w:id="571818070">
          <w:marLeft w:val="640"/>
          <w:marRight w:val="0"/>
          <w:marTop w:val="0"/>
          <w:marBottom w:val="0"/>
          <w:divBdr>
            <w:top w:val="none" w:sz="0" w:space="0" w:color="auto"/>
            <w:left w:val="none" w:sz="0" w:space="0" w:color="auto"/>
            <w:bottom w:val="none" w:sz="0" w:space="0" w:color="auto"/>
            <w:right w:val="none" w:sz="0" w:space="0" w:color="auto"/>
          </w:divBdr>
        </w:div>
        <w:div w:id="1993555972">
          <w:marLeft w:val="640"/>
          <w:marRight w:val="0"/>
          <w:marTop w:val="0"/>
          <w:marBottom w:val="0"/>
          <w:divBdr>
            <w:top w:val="none" w:sz="0" w:space="0" w:color="auto"/>
            <w:left w:val="none" w:sz="0" w:space="0" w:color="auto"/>
            <w:bottom w:val="none" w:sz="0" w:space="0" w:color="auto"/>
            <w:right w:val="none" w:sz="0" w:space="0" w:color="auto"/>
          </w:divBdr>
        </w:div>
        <w:div w:id="483352994">
          <w:marLeft w:val="640"/>
          <w:marRight w:val="0"/>
          <w:marTop w:val="0"/>
          <w:marBottom w:val="0"/>
          <w:divBdr>
            <w:top w:val="none" w:sz="0" w:space="0" w:color="auto"/>
            <w:left w:val="none" w:sz="0" w:space="0" w:color="auto"/>
            <w:bottom w:val="none" w:sz="0" w:space="0" w:color="auto"/>
            <w:right w:val="none" w:sz="0" w:space="0" w:color="auto"/>
          </w:divBdr>
        </w:div>
        <w:div w:id="1929653510">
          <w:marLeft w:val="640"/>
          <w:marRight w:val="0"/>
          <w:marTop w:val="0"/>
          <w:marBottom w:val="0"/>
          <w:divBdr>
            <w:top w:val="none" w:sz="0" w:space="0" w:color="auto"/>
            <w:left w:val="none" w:sz="0" w:space="0" w:color="auto"/>
            <w:bottom w:val="none" w:sz="0" w:space="0" w:color="auto"/>
            <w:right w:val="none" w:sz="0" w:space="0" w:color="auto"/>
          </w:divBdr>
        </w:div>
        <w:div w:id="1562982960">
          <w:marLeft w:val="640"/>
          <w:marRight w:val="0"/>
          <w:marTop w:val="0"/>
          <w:marBottom w:val="0"/>
          <w:divBdr>
            <w:top w:val="none" w:sz="0" w:space="0" w:color="auto"/>
            <w:left w:val="none" w:sz="0" w:space="0" w:color="auto"/>
            <w:bottom w:val="none" w:sz="0" w:space="0" w:color="auto"/>
            <w:right w:val="none" w:sz="0" w:space="0" w:color="auto"/>
          </w:divBdr>
        </w:div>
        <w:div w:id="28147345">
          <w:marLeft w:val="640"/>
          <w:marRight w:val="0"/>
          <w:marTop w:val="0"/>
          <w:marBottom w:val="0"/>
          <w:divBdr>
            <w:top w:val="none" w:sz="0" w:space="0" w:color="auto"/>
            <w:left w:val="none" w:sz="0" w:space="0" w:color="auto"/>
            <w:bottom w:val="none" w:sz="0" w:space="0" w:color="auto"/>
            <w:right w:val="none" w:sz="0" w:space="0" w:color="auto"/>
          </w:divBdr>
        </w:div>
        <w:div w:id="1926301703">
          <w:marLeft w:val="640"/>
          <w:marRight w:val="0"/>
          <w:marTop w:val="0"/>
          <w:marBottom w:val="0"/>
          <w:divBdr>
            <w:top w:val="none" w:sz="0" w:space="0" w:color="auto"/>
            <w:left w:val="none" w:sz="0" w:space="0" w:color="auto"/>
            <w:bottom w:val="none" w:sz="0" w:space="0" w:color="auto"/>
            <w:right w:val="none" w:sz="0" w:space="0" w:color="auto"/>
          </w:divBdr>
        </w:div>
        <w:div w:id="1253590922">
          <w:marLeft w:val="640"/>
          <w:marRight w:val="0"/>
          <w:marTop w:val="0"/>
          <w:marBottom w:val="0"/>
          <w:divBdr>
            <w:top w:val="none" w:sz="0" w:space="0" w:color="auto"/>
            <w:left w:val="none" w:sz="0" w:space="0" w:color="auto"/>
            <w:bottom w:val="none" w:sz="0" w:space="0" w:color="auto"/>
            <w:right w:val="none" w:sz="0" w:space="0" w:color="auto"/>
          </w:divBdr>
        </w:div>
        <w:div w:id="1630672412">
          <w:marLeft w:val="640"/>
          <w:marRight w:val="0"/>
          <w:marTop w:val="0"/>
          <w:marBottom w:val="0"/>
          <w:divBdr>
            <w:top w:val="none" w:sz="0" w:space="0" w:color="auto"/>
            <w:left w:val="none" w:sz="0" w:space="0" w:color="auto"/>
            <w:bottom w:val="none" w:sz="0" w:space="0" w:color="auto"/>
            <w:right w:val="none" w:sz="0" w:space="0" w:color="auto"/>
          </w:divBdr>
        </w:div>
        <w:div w:id="831871773">
          <w:marLeft w:val="640"/>
          <w:marRight w:val="0"/>
          <w:marTop w:val="0"/>
          <w:marBottom w:val="0"/>
          <w:divBdr>
            <w:top w:val="none" w:sz="0" w:space="0" w:color="auto"/>
            <w:left w:val="none" w:sz="0" w:space="0" w:color="auto"/>
            <w:bottom w:val="none" w:sz="0" w:space="0" w:color="auto"/>
            <w:right w:val="none" w:sz="0" w:space="0" w:color="auto"/>
          </w:divBdr>
        </w:div>
        <w:div w:id="946695054">
          <w:marLeft w:val="640"/>
          <w:marRight w:val="0"/>
          <w:marTop w:val="0"/>
          <w:marBottom w:val="0"/>
          <w:divBdr>
            <w:top w:val="none" w:sz="0" w:space="0" w:color="auto"/>
            <w:left w:val="none" w:sz="0" w:space="0" w:color="auto"/>
            <w:bottom w:val="none" w:sz="0" w:space="0" w:color="auto"/>
            <w:right w:val="none" w:sz="0" w:space="0" w:color="auto"/>
          </w:divBdr>
        </w:div>
        <w:div w:id="601300983">
          <w:marLeft w:val="640"/>
          <w:marRight w:val="0"/>
          <w:marTop w:val="0"/>
          <w:marBottom w:val="0"/>
          <w:divBdr>
            <w:top w:val="none" w:sz="0" w:space="0" w:color="auto"/>
            <w:left w:val="none" w:sz="0" w:space="0" w:color="auto"/>
            <w:bottom w:val="none" w:sz="0" w:space="0" w:color="auto"/>
            <w:right w:val="none" w:sz="0" w:space="0" w:color="auto"/>
          </w:divBdr>
        </w:div>
        <w:div w:id="767506106">
          <w:marLeft w:val="640"/>
          <w:marRight w:val="0"/>
          <w:marTop w:val="0"/>
          <w:marBottom w:val="0"/>
          <w:divBdr>
            <w:top w:val="none" w:sz="0" w:space="0" w:color="auto"/>
            <w:left w:val="none" w:sz="0" w:space="0" w:color="auto"/>
            <w:bottom w:val="none" w:sz="0" w:space="0" w:color="auto"/>
            <w:right w:val="none" w:sz="0" w:space="0" w:color="auto"/>
          </w:divBdr>
        </w:div>
        <w:div w:id="1434087914">
          <w:marLeft w:val="640"/>
          <w:marRight w:val="0"/>
          <w:marTop w:val="0"/>
          <w:marBottom w:val="0"/>
          <w:divBdr>
            <w:top w:val="none" w:sz="0" w:space="0" w:color="auto"/>
            <w:left w:val="none" w:sz="0" w:space="0" w:color="auto"/>
            <w:bottom w:val="none" w:sz="0" w:space="0" w:color="auto"/>
            <w:right w:val="none" w:sz="0" w:space="0" w:color="auto"/>
          </w:divBdr>
        </w:div>
        <w:div w:id="242034021">
          <w:marLeft w:val="640"/>
          <w:marRight w:val="0"/>
          <w:marTop w:val="0"/>
          <w:marBottom w:val="0"/>
          <w:divBdr>
            <w:top w:val="none" w:sz="0" w:space="0" w:color="auto"/>
            <w:left w:val="none" w:sz="0" w:space="0" w:color="auto"/>
            <w:bottom w:val="none" w:sz="0" w:space="0" w:color="auto"/>
            <w:right w:val="none" w:sz="0" w:space="0" w:color="auto"/>
          </w:divBdr>
        </w:div>
        <w:div w:id="2076778905">
          <w:marLeft w:val="640"/>
          <w:marRight w:val="0"/>
          <w:marTop w:val="0"/>
          <w:marBottom w:val="0"/>
          <w:divBdr>
            <w:top w:val="none" w:sz="0" w:space="0" w:color="auto"/>
            <w:left w:val="none" w:sz="0" w:space="0" w:color="auto"/>
            <w:bottom w:val="none" w:sz="0" w:space="0" w:color="auto"/>
            <w:right w:val="none" w:sz="0" w:space="0" w:color="auto"/>
          </w:divBdr>
        </w:div>
        <w:div w:id="74400533">
          <w:marLeft w:val="640"/>
          <w:marRight w:val="0"/>
          <w:marTop w:val="0"/>
          <w:marBottom w:val="0"/>
          <w:divBdr>
            <w:top w:val="none" w:sz="0" w:space="0" w:color="auto"/>
            <w:left w:val="none" w:sz="0" w:space="0" w:color="auto"/>
            <w:bottom w:val="none" w:sz="0" w:space="0" w:color="auto"/>
            <w:right w:val="none" w:sz="0" w:space="0" w:color="auto"/>
          </w:divBdr>
        </w:div>
        <w:div w:id="663780949">
          <w:marLeft w:val="640"/>
          <w:marRight w:val="0"/>
          <w:marTop w:val="0"/>
          <w:marBottom w:val="0"/>
          <w:divBdr>
            <w:top w:val="none" w:sz="0" w:space="0" w:color="auto"/>
            <w:left w:val="none" w:sz="0" w:space="0" w:color="auto"/>
            <w:bottom w:val="none" w:sz="0" w:space="0" w:color="auto"/>
            <w:right w:val="none" w:sz="0" w:space="0" w:color="auto"/>
          </w:divBdr>
        </w:div>
        <w:div w:id="1743412333">
          <w:marLeft w:val="640"/>
          <w:marRight w:val="0"/>
          <w:marTop w:val="0"/>
          <w:marBottom w:val="0"/>
          <w:divBdr>
            <w:top w:val="none" w:sz="0" w:space="0" w:color="auto"/>
            <w:left w:val="none" w:sz="0" w:space="0" w:color="auto"/>
            <w:bottom w:val="none" w:sz="0" w:space="0" w:color="auto"/>
            <w:right w:val="none" w:sz="0" w:space="0" w:color="auto"/>
          </w:divBdr>
        </w:div>
        <w:div w:id="1932620568">
          <w:marLeft w:val="640"/>
          <w:marRight w:val="0"/>
          <w:marTop w:val="0"/>
          <w:marBottom w:val="0"/>
          <w:divBdr>
            <w:top w:val="none" w:sz="0" w:space="0" w:color="auto"/>
            <w:left w:val="none" w:sz="0" w:space="0" w:color="auto"/>
            <w:bottom w:val="none" w:sz="0" w:space="0" w:color="auto"/>
            <w:right w:val="none" w:sz="0" w:space="0" w:color="auto"/>
          </w:divBdr>
        </w:div>
        <w:div w:id="1891189620">
          <w:marLeft w:val="640"/>
          <w:marRight w:val="0"/>
          <w:marTop w:val="0"/>
          <w:marBottom w:val="0"/>
          <w:divBdr>
            <w:top w:val="none" w:sz="0" w:space="0" w:color="auto"/>
            <w:left w:val="none" w:sz="0" w:space="0" w:color="auto"/>
            <w:bottom w:val="none" w:sz="0" w:space="0" w:color="auto"/>
            <w:right w:val="none" w:sz="0" w:space="0" w:color="auto"/>
          </w:divBdr>
        </w:div>
        <w:div w:id="1361392953">
          <w:marLeft w:val="640"/>
          <w:marRight w:val="0"/>
          <w:marTop w:val="0"/>
          <w:marBottom w:val="0"/>
          <w:divBdr>
            <w:top w:val="none" w:sz="0" w:space="0" w:color="auto"/>
            <w:left w:val="none" w:sz="0" w:space="0" w:color="auto"/>
            <w:bottom w:val="none" w:sz="0" w:space="0" w:color="auto"/>
            <w:right w:val="none" w:sz="0" w:space="0" w:color="auto"/>
          </w:divBdr>
        </w:div>
        <w:div w:id="720440477">
          <w:marLeft w:val="640"/>
          <w:marRight w:val="0"/>
          <w:marTop w:val="0"/>
          <w:marBottom w:val="0"/>
          <w:divBdr>
            <w:top w:val="none" w:sz="0" w:space="0" w:color="auto"/>
            <w:left w:val="none" w:sz="0" w:space="0" w:color="auto"/>
            <w:bottom w:val="none" w:sz="0" w:space="0" w:color="auto"/>
            <w:right w:val="none" w:sz="0" w:space="0" w:color="auto"/>
          </w:divBdr>
        </w:div>
        <w:div w:id="1210847060">
          <w:marLeft w:val="640"/>
          <w:marRight w:val="0"/>
          <w:marTop w:val="0"/>
          <w:marBottom w:val="0"/>
          <w:divBdr>
            <w:top w:val="none" w:sz="0" w:space="0" w:color="auto"/>
            <w:left w:val="none" w:sz="0" w:space="0" w:color="auto"/>
            <w:bottom w:val="none" w:sz="0" w:space="0" w:color="auto"/>
            <w:right w:val="none" w:sz="0" w:space="0" w:color="auto"/>
          </w:divBdr>
        </w:div>
        <w:div w:id="1109131366">
          <w:marLeft w:val="640"/>
          <w:marRight w:val="0"/>
          <w:marTop w:val="0"/>
          <w:marBottom w:val="0"/>
          <w:divBdr>
            <w:top w:val="none" w:sz="0" w:space="0" w:color="auto"/>
            <w:left w:val="none" w:sz="0" w:space="0" w:color="auto"/>
            <w:bottom w:val="none" w:sz="0" w:space="0" w:color="auto"/>
            <w:right w:val="none" w:sz="0" w:space="0" w:color="auto"/>
          </w:divBdr>
        </w:div>
        <w:div w:id="1930888096">
          <w:marLeft w:val="640"/>
          <w:marRight w:val="0"/>
          <w:marTop w:val="0"/>
          <w:marBottom w:val="0"/>
          <w:divBdr>
            <w:top w:val="none" w:sz="0" w:space="0" w:color="auto"/>
            <w:left w:val="none" w:sz="0" w:space="0" w:color="auto"/>
            <w:bottom w:val="none" w:sz="0" w:space="0" w:color="auto"/>
            <w:right w:val="none" w:sz="0" w:space="0" w:color="auto"/>
          </w:divBdr>
        </w:div>
        <w:div w:id="494418264">
          <w:marLeft w:val="640"/>
          <w:marRight w:val="0"/>
          <w:marTop w:val="0"/>
          <w:marBottom w:val="0"/>
          <w:divBdr>
            <w:top w:val="none" w:sz="0" w:space="0" w:color="auto"/>
            <w:left w:val="none" w:sz="0" w:space="0" w:color="auto"/>
            <w:bottom w:val="none" w:sz="0" w:space="0" w:color="auto"/>
            <w:right w:val="none" w:sz="0" w:space="0" w:color="auto"/>
          </w:divBdr>
        </w:div>
        <w:div w:id="293565912">
          <w:marLeft w:val="640"/>
          <w:marRight w:val="0"/>
          <w:marTop w:val="0"/>
          <w:marBottom w:val="0"/>
          <w:divBdr>
            <w:top w:val="none" w:sz="0" w:space="0" w:color="auto"/>
            <w:left w:val="none" w:sz="0" w:space="0" w:color="auto"/>
            <w:bottom w:val="none" w:sz="0" w:space="0" w:color="auto"/>
            <w:right w:val="none" w:sz="0" w:space="0" w:color="auto"/>
          </w:divBdr>
        </w:div>
        <w:div w:id="949513941">
          <w:marLeft w:val="640"/>
          <w:marRight w:val="0"/>
          <w:marTop w:val="0"/>
          <w:marBottom w:val="0"/>
          <w:divBdr>
            <w:top w:val="none" w:sz="0" w:space="0" w:color="auto"/>
            <w:left w:val="none" w:sz="0" w:space="0" w:color="auto"/>
            <w:bottom w:val="none" w:sz="0" w:space="0" w:color="auto"/>
            <w:right w:val="none" w:sz="0" w:space="0" w:color="auto"/>
          </w:divBdr>
        </w:div>
        <w:div w:id="680281241">
          <w:marLeft w:val="640"/>
          <w:marRight w:val="0"/>
          <w:marTop w:val="0"/>
          <w:marBottom w:val="0"/>
          <w:divBdr>
            <w:top w:val="none" w:sz="0" w:space="0" w:color="auto"/>
            <w:left w:val="none" w:sz="0" w:space="0" w:color="auto"/>
            <w:bottom w:val="none" w:sz="0" w:space="0" w:color="auto"/>
            <w:right w:val="none" w:sz="0" w:space="0" w:color="auto"/>
          </w:divBdr>
        </w:div>
        <w:div w:id="2029941447">
          <w:marLeft w:val="640"/>
          <w:marRight w:val="0"/>
          <w:marTop w:val="0"/>
          <w:marBottom w:val="0"/>
          <w:divBdr>
            <w:top w:val="none" w:sz="0" w:space="0" w:color="auto"/>
            <w:left w:val="none" w:sz="0" w:space="0" w:color="auto"/>
            <w:bottom w:val="none" w:sz="0" w:space="0" w:color="auto"/>
            <w:right w:val="none" w:sz="0" w:space="0" w:color="auto"/>
          </w:divBdr>
        </w:div>
        <w:div w:id="241570804">
          <w:marLeft w:val="640"/>
          <w:marRight w:val="0"/>
          <w:marTop w:val="0"/>
          <w:marBottom w:val="0"/>
          <w:divBdr>
            <w:top w:val="none" w:sz="0" w:space="0" w:color="auto"/>
            <w:left w:val="none" w:sz="0" w:space="0" w:color="auto"/>
            <w:bottom w:val="none" w:sz="0" w:space="0" w:color="auto"/>
            <w:right w:val="none" w:sz="0" w:space="0" w:color="auto"/>
          </w:divBdr>
        </w:div>
        <w:div w:id="1402142955">
          <w:marLeft w:val="640"/>
          <w:marRight w:val="0"/>
          <w:marTop w:val="0"/>
          <w:marBottom w:val="0"/>
          <w:divBdr>
            <w:top w:val="none" w:sz="0" w:space="0" w:color="auto"/>
            <w:left w:val="none" w:sz="0" w:space="0" w:color="auto"/>
            <w:bottom w:val="none" w:sz="0" w:space="0" w:color="auto"/>
            <w:right w:val="none" w:sz="0" w:space="0" w:color="auto"/>
          </w:divBdr>
        </w:div>
        <w:div w:id="1361468670">
          <w:marLeft w:val="640"/>
          <w:marRight w:val="0"/>
          <w:marTop w:val="0"/>
          <w:marBottom w:val="0"/>
          <w:divBdr>
            <w:top w:val="none" w:sz="0" w:space="0" w:color="auto"/>
            <w:left w:val="none" w:sz="0" w:space="0" w:color="auto"/>
            <w:bottom w:val="none" w:sz="0" w:space="0" w:color="auto"/>
            <w:right w:val="none" w:sz="0" w:space="0" w:color="auto"/>
          </w:divBdr>
        </w:div>
        <w:div w:id="329799672">
          <w:marLeft w:val="640"/>
          <w:marRight w:val="0"/>
          <w:marTop w:val="0"/>
          <w:marBottom w:val="0"/>
          <w:divBdr>
            <w:top w:val="none" w:sz="0" w:space="0" w:color="auto"/>
            <w:left w:val="none" w:sz="0" w:space="0" w:color="auto"/>
            <w:bottom w:val="none" w:sz="0" w:space="0" w:color="auto"/>
            <w:right w:val="none" w:sz="0" w:space="0" w:color="auto"/>
          </w:divBdr>
        </w:div>
        <w:div w:id="1622033880">
          <w:marLeft w:val="640"/>
          <w:marRight w:val="0"/>
          <w:marTop w:val="0"/>
          <w:marBottom w:val="0"/>
          <w:divBdr>
            <w:top w:val="none" w:sz="0" w:space="0" w:color="auto"/>
            <w:left w:val="none" w:sz="0" w:space="0" w:color="auto"/>
            <w:bottom w:val="none" w:sz="0" w:space="0" w:color="auto"/>
            <w:right w:val="none" w:sz="0" w:space="0" w:color="auto"/>
          </w:divBdr>
        </w:div>
        <w:div w:id="22093092">
          <w:marLeft w:val="640"/>
          <w:marRight w:val="0"/>
          <w:marTop w:val="0"/>
          <w:marBottom w:val="0"/>
          <w:divBdr>
            <w:top w:val="none" w:sz="0" w:space="0" w:color="auto"/>
            <w:left w:val="none" w:sz="0" w:space="0" w:color="auto"/>
            <w:bottom w:val="none" w:sz="0" w:space="0" w:color="auto"/>
            <w:right w:val="none" w:sz="0" w:space="0" w:color="auto"/>
          </w:divBdr>
        </w:div>
        <w:div w:id="1044014913">
          <w:marLeft w:val="640"/>
          <w:marRight w:val="0"/>
          <w:marTop w:val="0"/>
          <w:marBottom w:val="0"/>
          <w:divBdr>
            <w:top w:val="none" w:sz="0" w:space="0" w:color="auto"/>
            <w:left w:val="none" w:sz="0" w:space="0" w:color="auto"/>
            <w:bottom w:val="none" w:sz="0" w:space="0" w:color="auto"/>
            <w:right w:val="none" w:sz="0" w:space="0" w:color="auto"/>
          </w:divBdr>
        </w:div>
        <w:div w:id="160312795">
          <w:marLeft w:val="640"/>
          <w:marRight w:val="0"/>
          <w:marTop w:val="0"/>
          <w:marBottom w:val="0"/>
          <w:divBdr>
            <w:top w:val="none" w:sz="0" w:space="0" w:color="auto"/>
            <w:left w:val="none" w:sz="0" w:space="0" w:color="auto"/>
            <w:bottom w:val="none" w:sz="0" w:space="0" w:color="auto"/>
            <w:right w:val="none" w:sz="0" w:space="0" w:color="auto"/>
          </w:divBdr>
        </w:div>
        <w:div w:id="1775905969">
          <w:marLeft w:val="640"/>
          <w:marRight w:val="0"/>
          <w:marTop w:val="0"/>
          <w:marBottom w:val="0"/>
          <w:divBdr>
            <w:top w:val="none" w:sz="0" w:space="0" w:color="auto"/>
            <w:left w:val="none" w:sz="0" w:space="0" w:color="auto"/>
            <w:bottom w:val="none" w:sz="0" w:space="0" w:color="auto"/>
            <w:right w:val="none" w:sz="0" w:space="0" w:color="auto"/>
          </w:divBdr>
        </w:div>
        <w:div w:id="583299194">
          <w:marLeft w:val="640"/>
          <w:marRight w:val="0"/>
          <w:marTop w:val="0"/>
          <w:marBottom w:val="0"/>
          <w:divBdr>
            <w:top w:val="none" w:sz="0" w:space="0" w:color="auto"/>
            <w:left w:val="none" w:sz="0" w:space="0" w:color="auto"/>
            <w:bottom w:val="none" w:sz="0" w:space="0" w:color="auto"/>
            <w:right w:val="none" w:sz="0" w:space="0" w:color="auto"/>
          </w:divBdr>
        </w:div>
        <w:div w:id="1136028769">
          <w:marLeft w:val="640"/>
          <w:marRight w:val="0"/>
          <w:marTop w:val="0"/>
          <w:marBottom w:val="0"/>
          <w:divBdr>
            <w:top w:val="none" w:sz="0" w:space="0" w:color="auto"/>
            <w:left w:val="none" w:sz="0" w:space="0" w:color="auto"/>
            <w:bottom w:val="none" w:sz="0" w:space="0" w:color="auto"/>
            <w:right w:val="none" w:sz="0" w:space="0" w:color="auto"/>
          </w:divBdr>
        </w:div>
        <w:div w:id="1543595330">
          <w:marLeft w:val="640"/>
          <w:marRight w:val="0"/>
          <w:marTop w:val="0"/>
          <w:marBottom w:val="0"/>
          <w:divBdr>
            <w:top w:val="none" w:sz="0" w:space="0" w:color="auto"/>
            <w:left w:val="none" w:sz="0" w:space="0" w:color="auto"/>
            <w:bottom w:val="none" w:sz="0" w:space="0" w:color="auto"/>
            <w:right w:val="none" w:sz="0" w:space="0" w:color="auto"/>
          </w:divBdr>
        </w:div>
        <w:div w:id="1052851235">
          <w:marLeft w:val="640"/>
          <w:marRight w:val="0"/>
          <w:marTop w:val="0"/>
          <w:marBottom w:val="0"/>
          <w:divBdr>
            <w:top w:val="none" w:sz="0" w:space="0" w:color="auto"/>
            <w:left w:val="none" w:sz="0" w:space="0" w:color="auto"/>
            <w:bottom w:val="none" w:sz="0" w:space="0" w:color="auto"/>
            <w:right w:val="none" w:sz="0" w:space="0" w:color="auto"/>
          </w:divBdr>
        </w:div>
        <w:div w:id="400717481">
          <w:marLeft w:val="640"/>
          <w:marRight w:val="0"/>
          <w:marTop w:val="0"/>
          <w:marBottom w:val="0"/>
          <w:divBdr>
            <w:top w:val="none" w:sz="0" w:space="0" w:color="auto"/>
            <w:left w:val="none" w:sz="0" w:space="0" w:color="auto"/>
            <w:bottom w:val="none" w:sz="0" w:space="0" w:color="auto"/>
            <w:right w:val="none" w:sz="0" w:space="0" w:color="auto"/>
          </w:divBdr>
        </w:div>
        <w:div w:id="1721443411">
          <w:marLeft w:val="640"/>
          <w:marRight w:val="0"/>
          <w:marTop w:val="0"/>
          <w:marBottom w:val="0"/>
          <w:divBdr>
            <w:top w:val="none" w:sz="0" w:space="0" w:color="auto"/>
            <w:left w:val="none" w:sz="0" w:space="0" w:color="auto"/>
            <w:bottom w:val="none" w:sz="0" w:space="0" w:color="auto"/>
            <w:right w:val="none" w:sz="0" w:space="0" w:color="auto"/>
          </w:divBdr>
        </w:div>
        <w:div w:id="603273222">
          <w:marLeft w:val="640"/>
          <w:marRight w:val="0"/>
          <w:marTop w:val="0"/>
          <w:marBottom w:val="0"/>
          <w:divBdr>
            <w:top w:val="none" w:sz="0" w:space="0" w:color="auto"/>
            <w:left w:val="none" w:sz="0" w:space="0" w:color="auto"/>
            <w:bottom w:val="none" w:sz="0" w:space="0" w:color="auto"/>
            <w:right w:val="none" w:sz="0" w:space="0" w:color="auto"/>
          </w:divBdr>
        </w:div>
        <w:div w:id="1503424954">
          <w:marLeft w:val="640"/>
          <w:marRight w:val="0"/>
          <w:marTop w:val="0"/>
          <w:marBottom w:val="0"/>
          <w:divBdr>
            <w:top w:val="none" w:sz="0" w:space="0" w:color="auto"/>
            <w:left w:val="none" w:sz="0" w:space="0" w:color="auto"/>
            <w:bottom w:val="none" w:sz="0" w:space="0" w:color="auto"/>
            <w:right w:val="none" w:sz="0" w:space="0" w:color="auto"/>
          </w:divBdr>
        </w:div>
        <w:div w:id="1452556166">
          <w:marLeft w:val="640"/>
          <w:marRight w:val="0"/>
          <w:marTop w:val="0"/>
          <w:marBottom w:val="0"/>
          <w:divBdr>
            <w:top w:val="none" w:sz="0" w:space="0" w:color="auto"/>
            <w:left w:val="none" w:sz="0" w:space="0" w:color="auto"/>
            <w:bottom w:val="none" w:sz="0" w:space="0" w:color="auto"/>
            <w:right w:val="none" w:sz="0" w:space="0" w:color="auto"/>
          </w:divBdr>
        </w:div>
        <w:div w:id="510722901">
          <w:marLeft w:val="640"/>
          <w:marRight w:val="0"/>
          <w:marTop w:val="0"/>
          <w:marBottom w:val="0"/>
          <w:divBdr>
            <w:top w:val="none" w:sz="0" w:space="0" w:color="auto"/>
            <w:left w:val="none" w:sz="0" w:space="0" w:color="auto"/>
            <w:bottom w:val="none" w:sz="0" w:space="0" w:color="auto"/>
            <w:right w:val="none" w:sz="0" w:space="0" w:color="auto"/>
          </w:divBdr>
        </w:div>
        <w:div w:id="658928788">
          <w:marLeft w:val="640"/>
          <w:marRight w:val="0"/>
          <w:marTop w:val="0"/>
          <w:marBottom w:val="0"/>
          <w:divBdr>
            <w:top w:val="none" w:sz="0" w:space="0" w:color="auto"/>
            <w:left w:val="none" w:sz="0" w:space="0" w:color="auto"/>
            <w:bottom w:val="none" w:sz="0" w:space="0" w:color="auto"/>
            <w:right w:val="none" w:sz="0" w:space="0" w:color="auto"/>
          </w:divBdr>
        </w:div>
        <w:div w:id="87234522">
          <w:marLeft w:val="640"/>
          <w:marRight w:val="0"/>
          <w:marTop w:val="0"/>
          <w:marBottom w:val="0"/>
          <w:divBdr>
            <w:top w:val="none" w:sz="0" w:space="0" w:color="auto"/>
            <w:left w:val="none" w:sz="0" w:space="0" w:color="auto"/>
            <w:bottom w:val="none" w:sz="0" w:space="0" w:color="auto"/>
            <w:right w:val="none" w:sz="0" w:space="0" w:color="auto"/>
          </w:divBdr>
        </w:div>
        <w:div w:id="2118787782">
          <w:marLeft w:val="640"/>
          <w:marRight w:val="0"/>
          <w:marTop w:val="0"/>
          <w:marBottom w:val="0"/>
          <w:divBdr>
            <w:top w:val="none" w:sz="0" w:space="0" w:color="auto"/>
            <w:left w:val="none" w:sz="0" w:space="0" w:color="auto"/>
            <w:bottom w:val="none" w:sz="0" w:space="0" w:color="auto"/>
            <w:right w:val="none" w:sz="0" w:space="0" w:color="auto"/>
          </w:divBdr>
        </w:div>
        <w:div w:id="614366340">
          <w:marLeft w:val="640"/>
          <w:marRight w:val="0"/>
          <w:marTop w:val="0"/>
          <w:marBottom w:val="0"/>
          <w:divBdr>
            <w:top w:val="none" w:sz="0" w:space="0" w:color="auto"/>
            <w:left w:val="none" w:sz="0" w:space="0" w:color="auto"/>
            <w:bottom w:val="none" w:sz="0" w:space="0" w:color="auto"/>
            <w:right w:val="none" w:sz="0" w:space="0" w:color="auto"/>
          </w:divBdr>
        </w:div>
        <w:div w:id="459223411">
          <w:marLeft w:val="640"/>
          <w:marRight w:val="0"/>
          <w:marTop w:val="0"/>
          <w:marBottom w:val="0"/>
          <w:divBdr>
            <w:top w:val="none" w:sz="0" w:space="0" w:color="auto"/>
            <w:left w:val="none" w:sz="0" w:space="0" w:color="auto"/>
            <w:bottom w:val="none" w:sz="0" w:space="0" w:color="auto"/>
            <w:right w:val="none" w:sz="0" w:space="0" w:color="auto"/>
          </w:divBdr>
        </w:div>
        <w:div w:id="1207060278">
          <w:marLeft w:val="640"/>
          <w:marRight w:val="0"/>
          <w:marTop w:val="0"/>
          <w:marBottom w:val="0"/>
          <w:divBdr>
            <w:top w:val="none" w:sz="0" w:space="0" w:color="auto"/>
            <w:left w:val="none" w:sz="0" w:space="0" w:color="auto"/>
            <w:bottom w:val="none" w:sz="0" w:space="0" w:color="auto"/>
            <w:right w:val="none" w:sz="0" w:space="0" w:color="auto"/>
          </w:divBdr>
        </w:div>
        <w:div w:id="1532953709">
          <w:marLeft w:val="640"/>
          <w:marRight w:val="0"/>
          <w:marTop w:val="0"/>
          <w:marBottom w:val="0"/>
          <w:divBdr>
            <w:top w:val="none" w:sz="0" w:space="0" w:color="auto"/>
            <w:left w:val="none" w:sz="0" w:space="0" w:color="auto"/>
            <w:bottom w:val="none" w:sz="0" w:space="0" w:color="auto"/>
            <w:right w:val="none" w:sz="0" w:space="0" w:color="auto"/>
          </w:divBdr>
        </w:div>
        <w:div w:id="1417701495">
          <w:marLeft w:val="640"/>
          <w:marRight w:val="0"/>
          <w:marTop w:val="0"/>
          <w:marBottom w:val="0"/>
          <w:divBdr>
            <w:top w:val="none" w:sz="0" w:space="0" w:color="auto"/>
            <w:left w:val="none" w:sz="0" w:space="0" w:color="auto"/>
            <w:bottom w:val="none" w:sz="0" w:space="0" w:color="auto"/>
            <w:right w:val="none" w:sz="0" w:space="0" w:color="auto"/>
          </w:divBdr>
        </w:div>
        <w:div w:id="506478918">
          <w:marLeft w:val="640"/>
          <w:marRight w:val="0"/>
          <w:marTop w:val="0"/>
          <w:marBottom w:val="0"/>
          <w:divBdr>
            <w:top w:val="none" w:sz="0" w:space="0" w:color="auto"/>
            <w:left w:val="none" w:sz="0" w:space="0" w:color="auto"/>
            <w:bottom w:val="none" w:sz="0" w:space="0" w:color="auto"/>
            <w:right w:val="none" w:sz="0" w:space="0" w:color="auto"/>
          </w:divBdr>
        </w:div>
        <w:div w:id="538208291">
          <w:marLeft w:val="640"/>
          <w:marRight w:val="0"/>
          <w:marTop w:val="0"/>
          <w:marBottom w:val="0"/>
          <w:divBdr>
            <w:top w:val="none" w:sz="0" w:space="0" w:color="auto"/>
            <w:left w:val="none" w:sz="0" w:space="0" w:color="auto"/>
            <w:bottom w:val="none" w:sz="0" w:space="0" w:color="auto"/>
            <w:right w:val="none" w:sz="0" w:space="0" w:color="auto"/>
          </w:divBdr>
        </w:div>
        <w:div w:id="1607498201">
          <w:marLeft w:val="640"/>
          <w:marRight w:val="0"/>
          <w:marTop w:val="0"/>
          <w:marBottom w:val="0"/>
          <w:divBdr>
            <w:top w:val="none" w:sz="0" w:space="0" w:color="auto"/>
            <w:left w:val="none" w:sz="0" w:space="0" w:color="auto"/>
            <w:bottom w:val="none" w:sz="0" w:space="0" w:color="auto"/>
            <w:right w:val="none" w:sz="0" w:space="0" w:color="auto"/>
          </w:divBdr>
        </w:div>
        <w:div w:id="1571771718">
          <w:marLeft w:val="640"/>
          <w:marRight w:val="0"/>
          <w:marTop w:val="0"/>
          <w:marBottom w:val="0"/>
          <w:divBdr>
            <w:top w:val="none" w:sz="0" w:space="0" w:color="auto"/>
            <w:left w:val="none" w:sz="0" w:space="0" w:color="auto"/>
            <w:bottom w:val="none" w:sz="0" w:space="0" w:color="auto"/>
            <w:right w:val="none" w:sz="0" w:space="0" w:color="auto"/>
          </w:divBdr>
        </w:div>
        <w:div w:id="2011324471">
          <w:marLeft w:val="640"/>
          <w:marRight w:val="0"/>
          <w:marTop w:val="0"/>
          <w:marBottom w:val="0"/>
          <w:divBdr>
            <w:top w:val="none" w:sz="0" w:space="0" w:color="auto"/>
            <w:left w:val="none" w:sz="0" w:space="0" w:color="auto"/>
            <w:bottom w:val="none" w:sz="0" w:space="0" w:color="auto"/>
            <w:right w:val="none" w:sz="0" w:space="0" w:color="auto"/>
          </w:divBdr>
        </w:div>
        <w:div w:id="2050907590">
          <w:marLeft w:val="640"/>
          <w:marRight w:val="0"/>
          <w:marTop w:val="0"/>
          <w:marBottom w:val="0"/>
          <w:divBdr>
            <w:top w:val="none" w:sz="0" w:space="0" w:color="auto"/>
            <w:left w:val="none" w:sz="0" w:space="0" w:color="auto"/>
            <w:bottom w:val="none" w:sz="0" w:space="0" w:color="auto"/>
            <w:right w:val="none" w:sz="0" w:space="0" w:color="auto"/>
          </w:divBdr>
        </w:div>
        <w:div w:id="360783864">
          <w:marLeft w:val="640"/>
          <w:marRight w:val="0"/>
          <w:marTop w:val="0"/>
          <w:marBottom w:val="0"/>
          <w:divBdr>
            <w:top w:val="none" w:sz="0" w:space="0" w:color="auto"/>
            <w:left w:val="none" w:sz="0" w:space="0" w:color="auto"/>
            <w:bottom w:val="none" w:sz="0" w:space="0" w:color="auto"/>
            <w:right w:val="none" w:sz="0" w:space="0" w:color="auto"/>
          </w:divBdr>
        </w:div>
        <w:div w:id="1281230808">
          <w:marLeft w:val="640"/>
          <w:marRight w:val="0"/>
          <w:marTop w:val="0"/>
          <w:marBottom w:val="0"/>
          <w:divBdr>
            <w:top w:val="none" w:sz="0" w:space="0" w:color="auto"/>
            <w:left w:val="none" w:sz="0" w:space="0" w:color="auto"/>
            <w:bottom w:val="none" w:sz="0" w:space="0" w:color="auto"/>
            <w:right w:val="none" w:sz="0" w:space="0" w:color="auto"/>
          </w:divBdr>
        </w:div>
        <w:div w:id="1108694893">
          <w:marLeft w:val="640"/>
          <w:marRight w:val="0"/>
          <w:marTop w:val="0"/>
          <w:marBottom w:val="0"/>
          <w:divBdr>
            <w:top w:val="none" w:sz="0" w:space="0" w:color="auto"/>
            <w:left w:val="none" w:sz="0" w:space="0" w:color="auto"/>
            <w:bottom w:val="none" w:sz="0" w:space="0" w:color="auto"/>
            <w:right w:val="none" w:sz="0" w:space="0" w:color="auto"/>
          </w:divBdr>
        </w:div>
        <w:div w:id="2047483235">
          <w:marLeft w:val="640"/>
          <w:marRight w:val="0"/>
          <w:marTop w:val="0"/>
          <w:marBottom w:val="0"/>
          <w:divBdr>
            <w:top w:val="none" w:sz="0" w:space="0" w:color="auto"/>
            <w:left w:val="none" w:sz="0" w:space="0" w:color="auto"/>
            <w:bottom w:val="none" w:sz="0" w:space="0" w:color="auto"/>
            <w:right w:val="none" w:sz="0" w:space="0" w:color="auto"/>
          </w:divBdr>
        </w:div>
        <w:div w:id="1839029426">
          <w:marLeft w:val="640"/>
          <w:marRight w:val="0"/>
          <w:marTop w:val="0"/>
          <w:marBottom w:val="0"/>
          <w:divBdr>
            <w:top w:val="none" w:sz="0" w:space="0" w:color="auto"/>
            <w:left w:val="none" w:sz="0" w:space="0" w:color="auto"/>
            <w:bottom w:val="none" w:sz="0" w:space="0" w:color="auto"/>
            <w:right w:val="none" w:sz="0" w:space="0" w:color="auto"/>
          </w:divBdr>
        </w:div>
        <w:div w:id="1591350540">
          <w:marLeft w:val="640"/>
          <w:marRight w:val="0"/>
          <w:marTop w:val="0"/>
          <w:marBottom w:val="0"/>
          <w:divBdr>
            <w:top w:val="none" w:sz="0" w:space="0" w:color="auto"/>
            <w:left w:val="none" w:sz="0" w:space="0" w:color="auto"/>
            <w:bottom w:val="none" w:sz="0" w:space="0" w:color="auto"/>
            <w:right w:val="none" w:sz="0" w:space="0" w:color="auto"/>
          </w:divBdr>
        </w:div>
        <w:div w:id="145434613">
          <w:marLeft w:val="640"/>
          <w:marRight w:val="0"/>
          <w:marTop w:val="0"/>
          <w:marBottom w:val="0"/>
          <w:divBdr>
            <w:top w:val="none" w:sz="0" w:space="0" w:color="auto"/>
            <w:left w:val="none" w:sz="0" w:space="0" w:color="auto"/>
            <w:bottom w:val="none" w:sz="0" w:space="0" w:color="auto"/>
            <w:right w:val="none" w:sz="0" w:space="0" w:color="auto"/>
          </w:divBdr>
        </w:div>
        <w:div w:id="1157767155">
          <w:marLeft w:val="640"/>
          <w:marRight w:val="0"/>
          <w:marTop w:val="0"/>
          <w:marBottom w:val="0"/>
          <w:divBdr>
            <w:top w:val="none" w:sz="0" w:space="0" w:color="auto"/>
            <w:left w:val="none" w:sz="0" w:space="0" w:color="auto"/>
            <w:bottom w:val="none" w:sz="0" w:space="0" w:color="auto"/>
            <w:right w:val="none" w:sz="0" w:space="0" w:color="auto"/>
          </w:divBdr>
        </w:div>
        <w:div w:id="400176109">
          <w:marLeft w:val="640"/>
          <w:marRight w:val="0"/>
          <w:marTop w:val="0"/>
          <w:marBottom w:val="0"/>
          <w:divBdr>
            <w:top w:val="none" w:sz="0" w:space="0" w:color="auto"/>
            <w:left w:val="none" w:sz="0" w:space="0" w:color="auto"/>
            <w:bottom w:val="none" w:sz="0" w:space="0" w:color="auto"/>
            <w:right w:val="none" w:sz="0" w:space="0" w:color="auto"/>
          </w:divBdr>
        </w:div>
        <w:div w:id="271717057">
          <w:marLeft w:val="640"/>
          <w:marRight w:val="0"/>
          <w:marTop w:val="0"/>
          <w:marBottom w:val="0"/>
          <w:divBdr>
            <w:top w:val="none" w:sz="0" w:space="0" w:color="auto"/>
            <w:left w:val="none" w:sz="0" w:space="0" w:color="auto"/>
            <w:bottom w:val="none" w:sz="0" w:space="0" w:color="auto"/>
            <w:right w:val="none" w:sz="0" w:space="0" w:color="auto"/>
          </w:divBdr>
        </w:div>
        <w:div w:id="1417938402">
          <w:marLeft w:val="640"/>
          <w:marRight w:val="0"/>
          <w:marTop w:val="0"/>
          <w:marBottom w:val="0"/>
          <w:divBdr>
            <w:top w:val="none" w:sz="0" w:space="0" w:color="auto"/>
            <w:left w:val="none" w:sz="0" w:space="0" w:color="auto"/>
            <w:bottom w:val="none" w:sz="0" w:space="0" w:color="auto"/>
            <w:right w:val="none" w:sz="0" w:space="0" w:color="auto"/>
          </w:divBdr>
        </w:div>
        <w:div w:id="2145807664">
          <w:marLeft w:val="640"/>
          <w:marRight w:val="0"/>
          <w:marTop w:val="0"/>
          <w:marBottom w:val="0"/>
          <w:divBdr>
            <w:top w:val="none" w:sz="0" w:space="0" w:color="auto"/>
            <w:left w:val="none" w:sz="0" w:space="0" w:color="auto"/>
            <w:bottom w:val="none" w:sz="0" w:space="0" w:color="auto"/>
            <w:right w:val="none" w:sz="0" w:space="0" w:color="auto"/>
          </w:divBdr>
        </w:div>
        <w:div w:id="321740475">
          <w:marLeft w:val="640"/>
          <w:marRight w:val="0"/>
          <w:marTop w:val="0"/>
          <w:marBottom w:val="0"/>
          <w:divBdr>
            <w:top w:val="none" w:sz="0" w:space="0" w:color="auto"/>
            <w:left w:val="none" w:sz="0" w:space="0" w:color="auto"/>
            <w:bottom w:val="none" w:sz="0" w:space="0" w:color="auto"/>
            <w:right w:val="none" w:sz="0" w:space="0" w:color="auto"/>
          </w:divBdr>
        </w:div>
        <w:div w:id="888421831">
          <w:marLeft w:val="640"/>
          <w:marRight w:val="0"/>
          <w:marTop w:val="0"/>
          <w:marBottom w:val="0"/>
          <w:divBdr>
            <w:top w:val="none" w:sz="0" w:space="0" w:color="auto"/>
            <w:left w:val="none" w:sz="0" w:space="0" w:color="auto"/>
            <w:bottom w:val="none" w:sz="0" w:space="0" w:color="auto"/>
            <w:right w:val="none" w:sz="0" w:space="0" w:color="auto"/>
          </w:divBdr>
        </w:div>
        <w:div w:id="1127625826">
          <w:marLeft w:val="640"/>
          <w:marRight w:val="0"/>
          <w:marTop w:val="0"/>
          <w:marBottom w:val="0"/>
          <w:divBdr>
            <w:top w:val="none" w:sz="0" w:space="0" w:color="auto"/>
            <w:left w:val="none" w:sz="0" w:space="0" w:color="auto"/>
            <w:bottom w:val="none" w:sz="0" w:space="0" w:color="auto"/>
            <w:right w:val="none" w:sz="0" w:space="0" w:color="auto"/>
          </w:divBdr>
        </w:div>
        <w:div w:id="531499012">
          <w:marLeft w:val="640"/>
          <w:marRight w:val="0"/>
          <w:marTop w:val="0"/>
          <w:marBottom w:val="0"/>
          <w:divBdr>
            <w:top w:val="none" w:sz="0" w:space="0" w:color="auto"/>
            <w:left w:val="none" w:sz="0" w:space="0" w:color="auto"/>
            <w:bottom w:val="none" w:sz="0" w:space="0" w:color="auto"/>
            <w:right w:val="none" w:sz="0" w:space="0" w:color="auto"/>
          </w:divBdr>
        </w:div>
        <w:div w:id="2038120956">
          <w:marLeft w:val="640"/>
          <w:marRight w:val="0"/>
          <w:marTop w:val="0"/>
          <w:marBottom w:val="0"/>
          <w:divBdr>
            <w:top w:val="none" w:sz="0" w:space="0" w:color="auto"/>
            <w:left w:val="none" w:sz="0" w:space="0" w:color="auto"/>
            <w:bottom w:val="none" w:sz="0" w:space="0" w:color="auto"/>
            <w:right w:val="none" w:sz="0" w:space="0" w:color="auto"/>
          </w:divBdr>
        </w:div>
        <w:div w:id="103498598">
          <w:marLeft w:val="640"/>
          <w:marRight w:val="0"/>
          <w:marTop w:val="0"/>
          <w:marBottom w:val="0"/>
          <w:divBdr>
            <w:top w:val="none" w:sz="0" w:space="0" w:color="auto"/>
            <w:left w:val="none" w:sz="0" w:space="0" w:color="auto"/>
            <w:bottom w:val="none" w:sz="0" w:space="0" w:color="auto"/>
            <w:right w:val="none" w:sz="0" w:space="0" w:color="auto"/>
          </w:divBdr>
        </w:div>
        <w:div w:id="619530387">
          <w:marLeft w:val="640"/>
          <w:marRight w:val="0"/>
          <w:marTop w:val="0"/>
          <w:marBottom w:val="0"/>
          <w:divBdr>
            <w:top w:val="none" w:sz="0" w:space="0" w:color="auto"/>
            <w:left w:val="none" w:sz="0" w:space="0" w:color="auto"/>
            <w:bottom w:val="none" w:sz="0" w:space="0" w:color="auto"/>
            <w:right w:val="none" w:sz="0" w:space="0" w:color="auto"/>
          </w:divBdr>
        </w:div>
        <w:div w:id="491071365">
          <w:marLeft w:val="640"/>
          <w:marRight w:val="0"/>
          <w:marTop w:val="0"/>
          <w:marBottom w:val="0"/>
          <w:divBdr>
            <w:top w:val="none" w:sz="0" w:space="0" w:color="auto"/>
            <w:left w:val="none" w:sz="0" w:space="0" w:color="auto"/>
            <w:bottom w:val="none" w:sz="0" w:space="0" w:color="auto"/>
            <w:right w:val="none" w:sz="0" w:space="0" w:color="auto"/>
          </w:divBdr>
        </w:div>
        <w:div w:id="1376392117">
          <w:marLeft w:val="640"/>
          <w:marRight w:val="0"/>
          <w:marTop w:val="0"/>
          <w:marBottom w:val="0"/>
          <w:divBdr>
            <w:top w:val="none" w:sz="0" w:space="0" w:color="auto"/>
            <w:left w:val="none" w:sz="0" w:space="0" w:color="auto"/>
            <w:bottom w:val="none" w:sz="0" w:space="0" w:color="auto"/>
            <w:right w:val="none" w:sz="0" w:space="0" w:color="auto"/>
          </w:divBdr>
        </w:div>
        <w:div w:id="81529761">
          <w:marLeft w:val="640"/>
          <w:marRight w:val="0"/>
          <w:marTop w:val="0"/>
          <w:marBottom w:val="0"/>
          <w:divBdr>
            <w:top w:val="none" w:sz="0" w:space="0" w:color="auto"/>
            <w:left w:val="none" w:sz="0" w:space="0" w:color="auto"/>
            <w:bottom w:val="none" w:sz="0" w:space="0" w:color="auto"/>
            <w:right w:val="none" w:sz="0" w:space="0" w:color="auto"/>
          </w:divBdr>
        </w:div>
        <w:div w:id="91323432">
          <w:marLeft w:val="640"/>
          <w:marRight w:val="0"/>
          <w:marTop w:val="0"/>
          <w:marBottom w:val="0"/>
          <w:divBdr>
            <w:top w:val="none" w:sz="0" w:space="0" w:color="auto"/>
            <w:left w:val="none" w:sz="0" w:space="0" w:color="auto"/>
            <w:bottom w:val="none" w:sz="0" w:space="0" w:color="auto"/>
            <w:right w:val="none" w:sz="0" w:space="0" w:color="auto"/>
          </w:divBdr>
        </w:div>
        <w:div w:id="121310212">
          <w:marLeft w:val="640"/>
          <w:marRight w:val="0"/>
          <w:marTop w:val="0"/>
          <w:marBottom w:val="0"/>
          <w:divBdr>
            <w:top w:val="none" w:sz="0" w:space="0" w:color="auto"/>
            <w:left w:val="none" w:sz="0" w:space="0" w:color="auto"/>
            <w:bottom w:val="none" w:sz="0" w:space="0" w:color="auto"/>
            <w:right w:val="none" w:sz="0" w:space="0" w:color="auto"/>
          </w:divBdr>
        </w:div>
        <w:div w:id="1369405124">
          <w:marLeft w:val="640"/>
          <w:marRight w:val="0"/>
          <w:marTop w:val="0"/>
          <w:marBottom w:val="0"/>
          <w:divBdr>
            <w:top w:val="none" w:sz="0" w:space="0" w:color="auto"/>
            <w:left w:val="none" w:sz="0" w:space="0" w:color="auto"/>
            <w:bottom w:val="none" w:sz="0" w:space="0" w:color="auto"/>
            <w:right w:val="none" w:sz="0" w:space="0" w:color="auto"/>
          </w:divBdr>
        </w:div>
        <w:div w:id="1283267196">
          <w:marLeft w:val="640"/>
          <w:marRight w:val="0"/>
          <w:marTop w:val="0"/>
          <w:marBottom w:val="0"/>
          <w:divBdr>
            <w:top w:val="none" w:sz="0" w:space="0" w:color="auto"/>
            <w:left w:val="none" w:sz="0" w:space="0" w:color="auto"/>
            <w:bottom w:val="none" w:sz="0" w:space="0" w:color="auto"/>
            <w:right w:val="none" w:sz="0" w:space="0" w:color="auto"/>
          </w:divBdr>
        </w:div>
        <w:div w:id="986473156">
          <w:marLeft w:val="640"/>
          <w:marRight w:val="0"/>
          <w:marTop w:val="0"/>
          <w:marBottom w:val="0"/>
          <w:divBdr>
            <w:top w:val="none" w:sz="0" w:space="0" w:color="auto"/>
            <w:left w:val="none" w:sz="0" w:space="0" w:color="auto"/>
            <w:bottom w:val="none" w:sz="0" w:space="0" w:color="auto"/>
            <w:right w:val="none" w:sz="0" w:space="0" w:color="auto"/>
          </w:divBdr>
        </w:div>
        <w:div w:id="7299310">
          <w:marLeft w:val="640"/>
          <w:marRight w:val="0"/>
          <w:marTop w:val="0"/>
          <w:marBottom w:val="0"/>
          <w:divBdr>
            <w:top w:val="none" w:sz="0" w:space="0" w:color="auto"/>
            <w:left w:val="none" w:sz="0" w:space="0" w:color="auto"/>
            <w:bottom w:val="none" w:sz="0" w:space="0" w:color="auto"/>
            <w:right w:val="none" w:sz="0" w:space="0" w:color="auto"/>
          </w:divBdr>
        </w:div>
        <w:div w:id="798884514">
          <w:marLeft w:val="640"/>
          <w:marRight w:val="0"/>
          <w:marTop w:val="0"/>
          <w:marBottom w:val="0"/>
          <w:divBdr>
            <w:top w:val="none" w:sz="0" w:space="0" w:color="auto"/>
            <w:left w:val="none" w:sz="0" w:space="0" w:color="auto"/>
            <w:bottom w:val="none" w:sz="0" w:space="0" w:color="auto"/>
            <w:right w:val="none" w:sz="0" w:space="0" w:color="auto"/>
          </w:divBdr>
        </w:div>
        <w:div w:id="1196963820">
          <w:marLeft w:val="640"/>
          <w:marRight w:val="0"/>
          <w:marTop w:val="0"/>
          <w:marBottom w:val="0"/>
          <w:divBdr>
            <w:top w:val="none" w:sz="0" w:space="0" w:color="auto"/>
            <w:left w:val="none" w:sz="0" w:space="0" w:color="auto"/>
            <w:bottom w:val="none" w:sz="0" w:space="0" w:color="auto"/>
            <w:right w:val="none" w:sz="0" w:space="0" w:color="auto"/>
          </w:divBdr>
        </w:div>
        <w:div w:id="589969078">
          <w:marLeft w:val="640"/>
          <w:marRight w:val="0"/>
          <w:marTop w:val="0"/>
          <w:marBottom w:val="0"/>
          <w:divBdr>
            <w:top w:val="none" w:sz="0" w:space="0" w:color="auto"/>
            <w:left w:val="none" w:sz="0" w:space="0" w:color="auto"/>
            <w:bottom w:val="none" w:sz="0" w:space="0" w:color="auto"/>
            <w:right w:val="none" w:sz="0" w:space="0" w:color="auto"/>
          </w:divBdr>
        </w:div>
        <w:div w:id="1665862270">
          <w:marLeft w:val="640"/>
          <w:marRight w:val="0"/>
          <w:marTop w:val="0"/>
          <w:marBottom w:val="0"/>
          <w:divBdr>
            <w:top w:val="none" w:sz="0" w:space="0" w:color="auto"/>
            <w:left w:val="none" w:sz="0" w:space="0" w:color="auto"/>
            <w:bottom w:val="none" w:sz="0" w:space="0" w:color="auto"/>
            <w:right w:val="none" w:sz="0" w:space="0" w:color="auto"/>
          </w:divBdr>
        </w:div>
        <w:div w:id="245841431">
          <w:marLeft w:val="640"/>
          <w:marRight w:val="0"/>
          <w:marTop w:val="0"/>
          <w:marBottom w:val="0"/>
          <w:divBdr>
            <w:top w:val="none" w:sz="0" w:space="0" w:color="auto"/>
            <w:left w:val="none" w:sz="0" w:space="0" w:color="auto"/>
            <w:bottom w:val="none" w:sz="0" w:space="0" w:color="auto"/>
            <w:right w:val="none" w:sz="0" w:space="0" w:color="auto"/>
          </w:divBdr>
        </w:div>
        <w:div w:id="286546226">
          <w:marLeft w:val="640"/>
          <w:marRight w:val="0"/>
          <w:marTop w:val="0"/>
          <w:marBottom w:val="0"/>
          <w:divBdr>
            <w:top w:val="none" w:sz="0" w:space="0" w:color="auto"/>
            <w:left w:val="none" w:sz="0" w:space="0" w:color="auto"/>
            <w:bottom w:val="none" w:sz="0" w:space="0" w:color="auto"/>
            <w:right w:val="none" w:sz="0" w:space="0" w:color="auto"/>
          </w:divBdr>
        </w:div>
        <w:div w:id="1970017392">
          <w:marLeft w:val="640"/>
          <w:marRight w:val="0"/>
          <w:marTop w:val="0"/>
          <w:marBottom w:val="0"/>
          <w:divBdr>
            <w:top w:val="none" w:sz="0" w:space="0" w:color="auto"/>
            <w:left w:val="none" w:sz="0" w:space="0" w:color="auto"/>
            <w:bottom w:val="none" w:sz="0" w:space="0" w:color="auto"/>
            <w:right w:val="none" w:sz="0" w:space="0" w:color="auto"/>
          </w:divBdr>
        </w:div>
        <w:div w:id="609119751">
          <w:marLeft w:val="640"/>
          <w:marRight w:val="0"/>
          <w:marTop w:val="0"/>
          <w:marBottom w:val="0"/>
          <w:divBdr>
            <w:top w:val="none" w:sz="0" w:space="0" w:color="auto"/>
            <w:left w:val="none" w:sz="0" w:space="0" w:color="auto"/>
            <w:bottom w:val="none" w:sz="0" w:space="0" w:color="auto"/>
            <w:right w:val="none" w:sz="0" w:space="0" w:color="auto"/>
          </w:divBdr>
        </w:div>
        <w:div w:id="420566599">
          <w:marLeft w:val="640"/>
          <w:marRight w:val="0"/>
          <w:marTop w:val="0"/>
          <w:marBottom w:val="0"/>
          <w:divBdr>
            <w:top w:val="none" w:sz="0" w:space="0" w:color="auto"/>
            <w:left w:val="none" w:sz="0" w:space="0" w:color="auto"/>
            <w:bottom w:val="none" w:sz="0" w:space="0" w:color="auto"/>
            <w:right w:val="none" w:sz="0" w:space="0" w:color="auto"/>
          </w:divBdr>
        </w:div>
        <w:div w:id="637612357">
          <w:marLeft w:val="640"/>
          <w:marRight w:val="0"/>
          <w:marTop w:val="0"/>
          <w:marBottom w:val="0"/>
          <w:divBdr>
            <w:top w:val="none" w:sz="0" w:space="0" w:color="auto"/>
            <w:left w:val="none" w:sz="0" w:space="0" w:color="auto"/>
            <w:bottom w:val="none" w:sz="0" w:space="0" w:color="auto"/>
            <w:right w:val="none" w:sz="0" w:space="0" w:color="auto"/>
          </w:divBdr>
        </w:div>
        <w:div w:id="7241">
          <w:marLeft w:val="640"/>
          <w:marRight w:val="0"/>
          <w:marTop w:val="0"/>
          <w:marBottom w:val="0"/>
          <w:divBdr>
            <w:top w:val="none" w:sz="0" w:space="0" w:color="auto"/>
            <w:left w:val="none" w:sz="0" w:space="0" w:color="auto"/>
            <w:bottom w:val="none" w:sz="0" w:space="0" w:color="auto"/>
            <w:right w:val="none" w:sz="0" w:space="0" w:color="auto"/>
          </w:divBdr>
        </w:div>
        <w:div w:id="1641691316">
          <w:marLeft w:val="640"/>
          <w:marRight w:val="0"/>
          <w:marTop w:val="0"/>
          <w:marBottom w:val="0"/>
          <w:divBdr>
            <w:top w:val="none" w:sz="0" w:space="0" w:color="auto"/>
            <w:left w:val="none" w:sz="0" w:space="0" w:color="auto"/>
            <w:bottom w:val="none" w:sz="0" w:space="0" w:color="auto"/>
            <w:right w:val="none" w:sz="0" w:space="0" w:color="auto"/>
          </w:divBdr>
        </w:div>
        <w:div w:id="1547375233">
          <w:marLeft w:val="640"/>
          <w:marRight w:val="0"/>
          <w:marTop w:val="0"/>
          <w:marBottom w:val="0"/>
          <w:divBdr>
            <w:top w:val="none" w:sz="0" w:space="0" w:color="auto"/>
            <w:left w:val="none" w:sz="0" w:space="0" w:color="auto"/>
            <w:bottom w:val="none" w:sz="0" w:space="0" w:color="auto"/>
            <w:right w:val="none" w:sz="0" w:space="0" w:color="auto"/>
          </w:divBdr>
        </w:div>
        <w:div w:id="1786315502">
          <w:marLeft w:val="640"/>
          <w:marRight w:val="0"/>
          <w:marTop w:val="0"/>
          <w:marBottom w:val="0"/>
          <w:divBdr>
            <w:top w:val="none" w:sz="0" w:space="0" w:color="auto"/>
            <w:left w:val="none" w:sz="0" w:space="0" w:color="auto"/>
            <w:bottom w:val="none" w:sz="0" w:space="0" w:color="auto"/>
            <w:right w:val="none" w:sz="0" w:space="0" w:color="auto"/>
          </w:divBdr>
        </w:div>
        <w:div w:id="1225873879">
          <w:marLeft w:val="640"/>
          <w:marRight w:val="0"/>
          <w:marTop w:val="0"/>
          <w:marBottom w:val="0"/>
          <w:divBdr>
            <w:top w:val="none" w:sz="0" w:space="0" w:color="auto"/>
            <w:left w:val="none" w:sz="0" w:space="0" w:color="auto"/>
            <w:bottom w:val="none" w:sz="0" w:space="0" w:color="auto"/>
            <w:right w:val="none" w:sz="0" w:space="0" w:color="auto"/>
          </w:divBdr>
        </w:div>
        <w:div w:id="1093430183">
          <w:marLeft w:val="640"/>
          <w:marRight w:val="0"/>
          <w:marTop w:val="0"/>
          <w:marBottom w:val="0"/>
          <w:divBdr>
            <w:top w:val="none" w:sz="0" w:space="0" w:color="auto"/>
            <w:left w:val="none" w:sz="0" w:space="0" w:color="auto"/>
            <w:bottom w:val="none" w:sz="0" w:space="0" w:color="auto"/>
            <w:right w:val="none" w:sz="0" w:space="0" w:color="auto"/>
          </w:divBdr>
        </w:div>
        <w:div w:id="1551307896">
          <w:marLeft w:val="640"/>
          <w:marRight w:val="0"/>
          <w:marTop w:val="0"/>
          <w:marBottom w:val="0"/>
          <w:divBdr>
            <w:top w:val="none" w:sz="0" w:space="0" w:color="auto"/>
            <w:left w:val="none" w:sz="0" w:space="0" w:color="auto"/>
            <w:bottom w:val="none" w:sz="0" w:space="0" w:color="auto"/>
            <w:right w:val="none" w:sz="0" w:space="0" w:color="auto"/>
          </w:divBdr>
        </w:div>
        <w:div w:id="318732883">
          <w:marLeft w:val="640"/>
          <w:marRight w:val="0"/>
          <w:marTop w:val="0"/>
          <w:marBottom w:val="0"/>
          <w:divBdr>
            <w:top w:val="none" w:sz="0" w:space="0" w:color="auto"/>
            <w:left w:val="none" w:sz="0" w:space="0" w:color="auto"/>
            <w:bottom w:val="none" w:sz="0" w:space="0" w:color="auto"/>
            <w:right w:val="none" w:sz="0" w:space="0" w:color="auto"/>
          </w:divBdr>
        </w:div>
        <w:div w:id="13848400">
          <w:marLeft w:val="640"/>
          <w:marRight w:val="0"/>
          <w:marTop w:val="0"/>
          <w:marBottom w:val="0"/>
          <w:divBdr>
            <w:top w:val="none" w:sz="0" w:space="0" w:color="auto"/>
            <w:left w:val="none" w:sz="0" w:space="0" w:color="auto"/>
            <w:bottom w:val="none" w:sz="0" w:space="0" w:color="auto"/>
            <w:right w:val="none" w:sz="0" w:space="0" w:color="auto"/>
          </w:divBdr>
        </w:div>
        <w:div w:id="1605455223">
          <w:marLeft w:val="640"/>
          <w:marRight w:val="0"/>
          <w:marTop w:val="0"/>
          <w:marBottom w:val="0"/>
          <w:divBdr>
            <w:top w:val="none" w:sz="0" w:space="0" w:color="auto"/>
            <w:left w:val="none" w:sz="0" w:space="0" w:color="auto"/>
            <w:bottom w:val="none" w:sz="0" w:space="0" w:color="auto"/>
            <w:right w:val="none" w:sz="0" w:space="0" w:color="auto"/>
          </w:divBdr>
        </w:div>
        <w:div w:id="1652249425">
          <w:marLeft w:val="640"/>
          <w:marRight w:val="0"/>
          <w:marTop w:val="0"/>
          <w:marBottom w:val="0"/>
          <w:divBdr>
            <w:top w:val="none" w:sz="0" w:space="0" w:color="auto"/>
            <w:left w:val="none" w:sz="0" w:space="0" w:color="auto"/>
            <w:bottom w:val="none" w:sz="0" w:space="0" w:color="auto"/>
            <w:right w:val="none" w:sz="0" w:space="0" w:color="auto"/>
          </w:divBdr>
        </w:div>
      </w:divsChild>
    </w:div>
    <w:div w:id="1612317259">
      <w:bodyDiv w:val="1"/>
      <w:marLeft w:val="0"/>
      <w:marRight w:val="0"/>
      <w:marTop w:val="0"/>
      <w:marBottom w:val="0"/>
      <w:divBdr>
        <w:top w:val="none" w:sz="0" w:space="0" w:color="auto"/>
        <w:left w:val="none" w:sz="0" w:space="0" w:color="auto"/>
        <w:bottom w:val="none" w:sz="0" w:space="0" w:color="auto"/>
        <w:right w:val="none" w:sz="0" w:space="0" w:color="auto"/>
      </w:divBdr>
      <w:divsChild>
        <w:div w:id="1982151803">
          <w:marLeft w:val="640"/>
          <w:marRight w:val="0"/>
          <w:marTop w:val="0"/>
          <w:marBottom w:val="0"/>
          <w:divBdr>
            <w:top w:val="none" w:sz="0" w:space="0" w:color="auto"/>
            <w:left w:val="none" w:sz="0" w:space="0" w:color="auto"/>
            <w:bottom w:val="none" w:sz="0" w:space="0" w:color="auto"/>
            <w:right w:val="none" w:sz="0" w:space="0" w:color="auto"/>
          </w:divBdr>
        </w:div>
        <w:div w:id="655106379">
          <w:marLeft w:val="640"/>
          <w:marRight w:val="0"/>
          <w:marTop w:val="0"/>
          <w:marBottom w:val="0"/>
          <w:divBdr>
            <w:top w:val="none" w:sz="0" w:space="0" w:color="auto"/>
            <w:left w:val="none" w:sz="0" w:space="0" w:color="auto"/>
            <w:bottom w:val="none" w:sz="0" w:space="0" w:color="auto"/>
            <w:right w:val="none" w:sz="0" w:space="0" w:color="auto"/>
          </w:divBdr>
        </w:div>
        <w:div w:id="2033875262">
          <w:marLeft w:val="640"/>
          <w:marRight w:val="0"/>
          <w:marTop w:val="0"/>
          <w:marBottom w:val="0"/>
          <w:divBdr>
            <w:top w:val="none" w:sz="0" w:space="0" w:color="auto"/>
            <w:left w:val="none" w:sz="0" w:space="0" w:color="auto"/>
            <w:bottom w:val="none" w:sz="0" w:space="0" w:color="auto"/>
            <w:right w:val="none" w:sz="0" w:space="0" w:color="auto"/>
          </w:divBdr>
        </w:div>
        <w:div w:id="2146001397">
          <w:marLeft w:val="640"/>
          <w:marRight w:val="0"/>
          <w:marTop w:val="0"/>
          <w:marBottom w:val="0"/>
          <w:divBdr>
            <w:top w:val="none" w:sz="0" w:space="0" w:color="auto"/>
            <w:left w:val="none" w:sz="0" w:space="0" w:color="auto"/>
            <w:bottom w:val="none" w:sz="0" w:space="0" w:color="auto"/>
            <w:right w:val="none" w:sz="0" w:space="0" w:color="auto"/>
          </w:divBdr>
        </w:div>
        <w:div w:id="142745716">
          <w:marLeft w:val="640"/>
          <w:marRight w:val="0"/>
          <w:marTop w:val="0"/>
          <w:marBottom w:val="0"/>
          <w:divBdr>
            <w:top w:val="none" w:sz="0" w:space="0" w:color="auto"/>
            <w:left w:val="none" w:sz="0" w:space="0" w:color="auto"/>
            <w:bottom w:val="none" w:sz="0" w:space="0" w:color="auto"/>
            <w:right w:val="none" w:sz="0" w:space="0" w:color="auto"/>
          </w:divBdr>
        </w:div>
        <w:div w:id="2063939682">
          <w:marLeft w:val="640"/>
          <w:marRight w:val="0"/>
          <w:marTop w:val="0"/>
          <w:marBottom w:val="0"/>
          <w:divBdr>
            <w:top w:val="none" w:sz="0" w:space="0" w:color="auto"/>
            <w:left w:val="none" w:sz="0" w:space="0" w:color="auto"/>
            <w:bottom w:val="none" w:sz="0" w:space="0" w:color="auto"/>
            <w:right w:val="none" w:sz="0" w:space="0" w:color="auto"/>
          </w:divBdr>
        </w:div>
        <w:div w:id="609973700">
          <w:marLeft w:val="640"/>
          <w:marRight w:val="0"/>
          <w:marTop w:val="0"/>
          <w:marBottom w:val="0"/>
          <w:divBdr>
            <w:top w:val="none" w:sz="0" w:space="0" w:color="auto"/>
            <w:left w:val="none" w:sz="0" w:space="0" w:color="auto"/>
            <w:bottom w:val="none" w:sz="0" w:space="0" w:color="auto"/>
            <w:right w:val="none" w:sz="0" w:space="0" w:color="auto"/>
          </w:divBdr>
        </w:div>
        <w:div w:id="698705616">
          <w:marLeft w:val="640"/>
          <w:marRight w:val="0"/>
          <w:marTop w:val="0"/>
          <w:marBottom w:val="0"/>
          <w:divBdr>
            <w:top w:val="none" w:sz="0" w:space="0" w:color="auto"/>
            <w:left w:val="none" w:sz="0" w:space="0" w:color="auto"/>
            <w:bottom w:val="none" w:sz="0" w:space="0" w:color="auto"/>
            <w:right w:val="none" w:sz="0" w:space="0" w:color="auto"/>
          </w:divBdr>
        </w:div>
        <w:div w:id="1032414850">
          <w:marLeft w:val="640"/>
          <w:marRight w:val="0"/>
          <w:marTop w:val="0"/>
          <w:marBottom w:val="0"/>
          <w:divBdr>
            <w:top w:val="none" w:sz="0" w:space="0" w:color="auto"/>
            <w:left w:val="none" w:sz="0" w:space="0" w:color="auto"/>
            <w:bottom w:val="none" w:sz="0" w:space="0" w:color="auto"/>
            <w:right w:val="none" w:sz="0" w:space="0" w:color="auto"/>
          </w:divBdr>
        </w:div>
        <w:div w:id="1285691416">
          <w:marLeft w:val="640"/>
          <w:marRight w:val="0"/>
          <w:marTop w:val="0"/>
          <w:marBottom w:val="0"/>
          <w:divBdr>
            <w:top w:val="none" w:sz="0" w:space="0" w:color="auto"/>
            <w:left w:val="none" w:sz="0" w:space="0" w:color="auto"/>
            <w:bottom w:val="none" w:sz="0" w:space="0" w:color="auto"/>
            <w:right w:val="none" w:sz="0" w:space="0" w:color="auto"/>
          </w:divBdr>
        </w:div>
        <w:div w:id="781261528">
          <w:marLeft w:val="640"/>
          <w:marRight w:val="0"/>
          <w:marTop w:val="0"/>
          <w:marBottom w:val="0"/>
          <w:divBdr>
            <w:top w:val="none" w:sz="0" w:space="0" w:color="auto"/>
            <w:left w:val="none" w:sz="0" w:space="0" w:color="auto"/>
            <w:bottom w:val="none" w:sz="0" w:space="0" w:color="auto"/>
            <w:right w:val="none" w:sz="0" w:space="0" w:color="auto"/>
          </w:divBdr>
        </w:div>
        <w:div w:id="71122569">
          <w:marLeft w:val="640"/>
          <w:marRight w:val="0"/>
          <w:marTop w:val="0"/>
          <w:marBottom w:val="0"/>
          <w:divBdr>
            <w:top w:val="none" w:sz="0" w:space="0" w:color="auto"/>
            <w:left w:val="none" w:sz="0" w:space="0" w:color="auto"/>
            <w:bottom w:val="none" w:sz="0" w:space="0" w:color="auto"/>
            <w:right w:val="none" w:sz="0" w:space="0" w:color="auto"/>
          </w:divBdr>
        </w:div>
        <w:div w:id="40327208">
          <w:marLeft w:val="640"/>
          <w:marRight w:val="0"/>
          <w:marTop w:val="0"/>
          <w:marBottom w:val="0"/>
          <w:divBdr>
            <w:top w:val="none" w:sz="0" w:space="0" w:color="auto"/>
            <w:left w:val="none" w:sz="0" w:space="0" w:color="auto"/>
            <w:bottom w:val="none" w:sz="0" w:space="0" w:color="auto"/>
            <w:right w:val="none" w:sz="0" w:space="0" w:color="auto"/>
          </w:divBdr>
        </w:div>
        <w:div w:id="449469286">
          <w:marLeft w:val="640"/>
          <w:marRight w:val="0"/>
          <w:marTop w:val="0"/>
          <w:marBottom w:val="0"/>
          <w:divBdr>
            <w:top w:val="none" w:sz="0" w:space="0" w:color="auto"/>
            <w:left w:val="none" w:sz="0" w:space="0" w:color="auto"/>
            <w:bottom w:val="none" w:sz="0" w:space="0" w:color="auto"/>
            <w:right w:val="none" w:sz="0" w:space="0" w:color="auto"/>
          </w:divBdr>
        </w:div>
        <w:div w:id="170336270">
          <w:marLeft w:val="640"/>
          <w:marRight w:val="0"/>
          <w:marTop w:val="0"/>
          <w:marBottom w:val="0"/>
          <w:divBdr>
            <w:top w:val="none" w:sz="0" w:space="0" w:color="auto"/>
            <w:left w:val="none" w:sz="0" w:space="0" w:color="auto"/>
            <w:bottom w:val="none" w:sz="0" w:space="0" w:color="auto"/>
            <w:right w:val="none" w:sz="0" w:space="0" w:color="auto"/>
          </w:divBdr>
        </w:div>
        <w:div w:id="10493658">
          <w:marLeft w:val="640"/>
          <w:marRight w:val="0"/>
          <w:marTop w:val="0"/>
          <w:marBottom w:val="0"/>
          <w:divBdr>
            <w:top w:val="none" w:sz="0" w:space="0" w:color="auto"/>
            <w:left w:val="none" w:sz="0" w:space="0" w:color="auto"/>
            <w:bottom w:val="none" w:sz="0" w:space="0" w:color="auto"/>
            <w:right w:val="none" w:sz="0" w:space="0" w:color="auto"/>
          </w:divBdr>
        </w:div>
        <w:div w:id="928463186">
          <w:marLeft w:val="640"/>
          <w:marRight w:val="0"/>
          <w:marTop w:val="0"/>
          <w:marBottom w:val="0"/>
          <w:divBdr>
            <w:top w:val="none" w:sz="0" w:space="0" w:color="auto"/>
            <w:left w:val="none" w:sz="0" w:space="0" w:color="auto"/>
            <w:bottom w:val="none" w:sz="0" w:space="0" w:color="auto"/>
            <w:right w:val="none" w:sz="0" w:space="0" w:color="auto"/>
          </w:divBdr>
        </w:div>
        <w:div w:id="1825469679">
          <w:marLeft w:val="640"/>
          <w:marRight w:val="0"/>
          <w:marTop w:val="0"/>
          <w:marBottom w:val="0"/>
          <w:divBdr>
            <w:top w:val="none" w:sz="0" w:space="0" w:color="auto"/>
            <w:left w:val="none" w:sz="0" w:space="0" w:color="auto"/>
            <w:bottom w:val="none" w:sz="0" w:space="0" w:color="auto"/>
            <w:right w:val="none" w:sz="0" w:space="0" w:color="auto"/>
          </w:divBdr>
        </w:div>
        <w:div w:id="224605005">
          <w:marLeft w:val="640"/>
          <w:marRight w:val="0"/>
          <w:marTop w:val="0"/>
          <w:marBottom w:val="0"/>
          <w:divBdr>
            <w:top w:val="none" w:sz="0" w:space="0" w:color="auto"/>
            <w:left w:val="none" w:sz="0" w:space="0" w:color="auto"/>
            <w:bottom w:val="none" w:sz="0" w:space="0" w:color="auto"/>
            <w:right w:val="none" w:sz="0" w:space="0" w:color="auto"/>
          </w:divBdr>
        </w:div>
        <w:div w:id="1371111152">
          <w:marLeft w:val="640"/>
          <w:marRight w:val="0"/>
          <w:marTop w:val="0"/>
          <w:marBottom w:val="0"/>
          <w:divBdr>
            <w:top w:val="none" w:sz="0" w:space="0" w:color="auto"/>
            <w:left w:val="none" w:sz="0" w:space="0" w:color="auto"/>
            <w:bottom w:val="none" w:sz="0" w:space="0" w:color="auto"/>
            <w:right w:val="none" w:sz="0" w:space="0" w:color="auto"/>
          </w:divBdr>
        </w:div>
        <w:div w:id="1747720834">
          <w:marLeft w:val="640"/>
          <w:marRight w:val="0"/>
          <w:marTop w:val="0"/>
          <w:marBottom w:val="0"/>
          <w:divBdr>
            <w:top w:val="none" w:sz="0" w:space="0" w:color="auto"/>
            <w:left w:val="none" w:sz="0" w:space="0" w:color="auto"/>
            <w:bottom w:val="none" w:sz="0" w:space="0" w:color="auto"/>
            <w:right w:val="none" w:sz="0" w:space="0" w:color="auto"/>
          </w:divBdr>
        </w:div>
      </w:divsChild>
    </w:div>
    <w:div w:id="1637446514">
      <w:bodyDiv w:val="1"/>
      <w:marLeft w:val="0"/>
      <w:marRight w:val="0"/>
      <w:marTop w:val="0"/>
      <w:marBottom w:val="0"/>
      <w:divBdr>
        <w:top w:val="none" w:sz="0" w:space="0" w:color="auto"/>
        <w:left w:val="none" w:sz="0" w:space="0" w:color="auto"/>
        <w:bottom w:val="none" w:sz="0" w:space="0" w:color="auto"/>
        <w:right w:val="none" w:sz="0" w:space="0" w:color="auto"/>
      </w:divBdr>
      <w:divsChild>
        <w:div w:id="1867526084">
          <w:marLeft w:val="640"/>
          <w:marRight w:val="0"/>
          <w:marTop w:val="0"/>
          <w:marBottom w:val="0"/>
          <w:divBdr>
            <w:top w:val="none" w:sz="0" w:space="0" w:color="auto"/>
            <w:left w:val="none" w:sz="0" w:space="0" w:color="auto"/>
            <w:bottom w:val="none" w:sz="0" w:space="0" w:color="auto"/>
            <w:right w:val="none" w:sz="0" w:space="0" w:color="auto"/>
          </w:divBdr>
        </w:div>
        <w:div w:id="1773236171">
          <w:marLeft w:val="640"/>
          <w:marRight w:val="0"/>
          <w:marTop w:val="0"/>
          <w:marBottom w:val="0"/>
          <w:divBdr>
            <w:top w:val="none" w:sz="0" w:space="0" w:color="auto"/>
            <w:left w:val="none" w:sz="0" w:space="0" w:color="auto"/>
            <w:bottom w:val="none" w:sz="0" w:space="0" w:color="auto"/>
            <w:right w:val="none" w:sz="0" w:space="0" w:color="auto"/>
          </w:divBdr>
        </w:div>
        <w:div w:id="1177384752">
          <w:marLeft w:val="640"/>
          <w:marRight w:val="0"/>
          <w:marTop w:val="0"/>
          <w:marBottom w:val="0"/>
          <w:divBdr>
            <w:top w:val="none" w:sz="0" w:space="0" w:color="auto"/>
            <w:left w:val="none" w:sz="0" w:space="0" w:color="auto"/>
            <w:bottom w:val="none" w:sz="0" w:space="0" w:color="auto"/>
            <w:right w:val="none" w:sz="0" w:space="0" w:color="auto"/>
          </w:divBdr>
        </w:div>
        <w:div w:id="1296175392">
          <w:marLeft w:val="640"/>
          <w:marRight w:val="0"/>
          <w:marTop w:val="0"/>
          <w:marBottom w:val="0"/>
          <w:divBdr>
            <w:top w:val="none" w:sz="0" w:space="0" w:color="auto"/>
            <w:left w:val="none" w:sz="0" w:space="0" w:color="auto"/>
            <w:bottom w:val="none" w:sz="0" w:space="0" w:color="auto"/>
            <w:right w:val="none" w:sz="0" w:space="0" w:color="auto"/>
          </w:divBdr>
        </w:div>
        <w:div w:id="1529560737">
          <w:marLeft w:val="640"/>
          <w:marRight w:val="0"/>
          <w:marTop w:val="0"/>
          <w:marBottom w:val="0"/>
          <w:divBdr>
            <w:top w:val="none" w:sz="0" w:space="0" w:color="auto"/>
            <w:left w:val="none" w:sz="0" w:space="0" w:color="auto"/>
            <w:bottom w:val="none" w:sz="0" w:space="0" w:color="auto"/>
            <w:right w:val="none" w:sz="0" w:space="0" w:color="auto"/>
          </w:divBdr>
        </w:div>
        <w:div w:id="433089464">
          <w:marLeft w:val="640"/>
          <w:marRight w:val="0"/>
          <w:marTop w:val="0"/>
          <w:marBottom w:val="0"/>
          <w:divBdr>
            <w:top w:val="none" w:sz="0" w:space="0" w:color="auto"/>
            <w:left w:val="none" w:sz="0" w:space="0" w:color="auto"/>
            <w:bottom w:val="none" w:sz="0" w:space="0" w:color="auto"/>
            <w:right w:val="none" w:sz="0" w:space="0" w:color="auto"/>
          </w:divBdr>
        </w:div>
        <w:div w:id="1608656345">
          <w:marLeft w:val="640"/>
          <w:marRight w:val="0"/>
          <w:marTop w:val="0"/>
          <w:marBottom w:val="0"/>
          <w:divBdr>
            <w:top w:val="none" w:sz="0" w:space="0" w:color="auto"/>
            <w:left w:val="none" w:sz="0" w:space="0" w:color="auto"/>
            <w:bottom w:val="none" w:sz="0" w:space="0" w:color="auto"/>
            <w:right w:val="none" w:sz="0" w:space="0" w:color="auto"/>
          </w:divBdr>
        </w:div>
        <w:div w:id="1427269820">
          <w:marLeft w:val="640"/>
          <w:marRight w:val="0"/>
          <w:marTop w:val="0"/>
          <w:marBottom w:val="0"/>
          <w:divBdr>
            <w:top w:val="none" w:sz="0" w:space="0" w:color="auto"/>
            <w:left w:val="none" w:sz="0" w:space="0" w:color="auto"/>
            <w:bottom w:val="none" w:sz="0" w:space="0" w:color="auto"/>
            <w:right w:val="none" w:sz="0" w:space="0" w:color="auto"/>
          </w:divBdr>
        </w:div>
        <w:div w:id="1310986925">
          <w:marLeft w:val="640"/>
          <w:marRight w:val="0"/>
          <w:marTop w:val="0"/>
          <w:marBottom w:val="0"/>
          <w:divBdr>
            <w:top w:val="none" w:sz="0" w:space="0" w:color="auto"/>
            <w:left w:val="none" w:sz="0" w:space="0" w:color="auto"/>
            <w:bottom w:val="none" w:sz="0" w:space="0" w:color="auto"/>
            <w:right w:val="none" w:sz="0" w:space="0" w:color="auto"/>
          </w:divBdr>
        </w:div>
        <w:div w:id="688339102">
          <w:marLeft w:val="640"/>
          <w:marRight w:val="0"/>
          <w:marTop w:val="0"/>
          <w:marBottom w:val="0"/>
          <w:divBdr>
            <w:top w:val="none" w:sz="0" w:space="0" w:color="auto"/>
            <w:left w:val="none" w:sz="0" w:space="0" w:color="auto"/>
            <w:bottom w:val="none" w:sz="0" w:space="0" w:color="auto"/>
            <w:right w:val="none" w:sz="0" w:space="0" w:color="auto"/>
          </w:divBdr>
        </w:div>
        <w:div w:id="15735397">
          <w:marLeft w:val="640"/>
          <w:marRight w:val="0"/>
          <w:marTop w:val="0"/>
          <w:marBottom w:val="0"/>
          <w:divBdr>
            <w:top w:val="none" w:sz="0" w:space="0" w:color="auto"/>
            <w:left w:val="none" w:sz="0" w:space="0" w:color="auto"/>
            <w:bottom w:val="none" w:sz="0" w:space="0" w:color="auto"/>
            <w:right w:val="none" w:sz="0" w:space="0" w:color="auto"/>
          </w:divBdr>
        </w:div>
        <w:div w:id="1653681382">
          <w:marLeft w:val="640"/>
          <w:marRight w:val="0"/>
          <w:marTop w:val="0"/>
          <w:marBottom w:val="0"/>
          <w:divBdr>
            <w:top w:val="none" w:sz="0" w:space="0" w:color="auto"/>
            <w:left w:val="none" w:sz="0" w:space="0" w:color="auto"/>
            <w:bottom w:val="none" w:sz="0" w:space="0" w:color="auto"/>
            <w:right w:val="none" w:sz="0" w:space="0" w:color="auto"/>
          </w:divBdr>
        </w:div>
        <w:div w:id="1207567520">
          <w:marLeft w:val="640"/>
          <w:marRight w:val="0"/>
          <w:marTop w:val="0"/>
          <w:marBottom w:val="0"/>
          <w:divBdr>
            <w:top w:val="none" w:sz="0" w:space="0" w:color="auto"/>
            <w:left w:val="none" w:sz="0" w:space="0" w:color="auto"/>
            <w:bottom w:val="none" w:sz="0" w:space="0" w:color="auto"/>
            <w:right w:val="none" w:sz="0" w:space="0" w:color="auto"/>
          </w:divBdr>
        </w:div>
        <w:div w:id="1026954314">
          <w:marLeft w:val="640"/>
          <w:marRight w:val="0"/>
          <w:marTop w:val="0"/>
          <w:marBottom w:val="0"/>
          <w:divBdr>
            <w:top w:val="none" w:sz="0" w:space="0" w:color="auto"/>
            <w:left w:val="none" w:sz="0" w:space="0" w:color="auto"/>
            <w:bottom w:val="none" w:sz="0" w:space="0" w:color="auto"/>
            <w:right w:val="none" w:sz="0" w:space="0" w:color="auto"/>
          </w:divBdr>
        </w:div>
        <w:div w:id="1437094963">
          <w:marLeft w:val="640"/>
          <w:marRight w:val="0"/>
          <w:marTop w:val="0"/>
          <w:marBottom w:val="0"/>
          <w:divBdr>
            <w:top w:val="none" w:sz="0" w:space="0" w:color="auto"/>
            <w:left w:val="none" w:sz="0" w:space="0" w:color="auto"/>
            <w:bottom w:val="none" w:sz="0" w:space="0" w:color="auto"/>
            <w:right w:val="none" w:sz="0" w:space="0" w:color="auto"/>
          </w:divBdr>
        </w:div>
        <w:div w:id="1244029452">
          <w:marLeft w:val="640"/>
          <w:marRight w:val="0"/>
          <w:marTop w:val="0"/>
          <w:marBottom w:val="0"/>
          <w:divBdr>
            <w:top w:val="none" w:sz="0" w:space="0" w:color="auto"/>
            <w:left w:val="none" w:sz="0" w:space="0" w:color="auto"/>
            <w:bottom w:val="none" w:sz="0" w:space="0" w:color="auto"/>
            <w:right w:val="none" w:sz="0" w:space="0" w:color="auto"/>
          </w:divBdr>
        </w:div>
        <w:div w:id="2009163558">
          <w:marLeft w:val="640"/>
          <w:marRight w:val="0"/>
          <w:marTop w:val="0"/>
          <w:marBottom w:val="0"/>
          <w:divBdr>
            <w:top w:val="none" w:sz="0" w:space="0" w:color="auto"/>
            <w:left w:val="none" w:sz="0" w:space="0" w:color="auto"/>
            <w:bottom w:val="none" w:sz="0" w:space="0" w:color="auto"/>
            <w:right w:val="none" w:sz="0" w:space="0" w:color="auto"/>
          </w:divBdr>
        </w:div>
        <w:div w:id="1685860667">
          <w:marLeft w:val="640"/>
          <w:marRight w:val="0"/>
          <w:marTop w:val="0"/>
          <w:marBottom w:val="0"/>
          <w:divBdr>
            <w:top w:val="none" w:sz="0" w:space="0" w:color="auto"/>
            <w:left w:val="none" w:sz="0" w:space="0" w:color="auto"/>
            <w:bottom w:val="none" w:sz="0" w:space="0" w:color="auto"/>
            <w:right w:val="none" w:sz="0" w:space="0" w:color="auto"/>
          </w:divBdr>
        </w:div>
        <w:div w:id="1506162983">
          <w:marLeft w:val="640"/>
          <w:marRight w:val="0"/>
          <w:marTop w:val="0"/>
          <w:marBottom w:val="0"/>
          <w:divBdr>
            <w:top w:val="none" w:sz="0" w:space="0" w:color="auto"/>
            <w:left w:val="none" w:sz="0" w:space="0" w:color="auto"/>
            <w:bottom w:val="none" w:sz="0" w:space="0" w:color="auto"/>
            <w:right w:val="none" w:sz="0" w:space="0" w:color="auto"/>
          </w:divBdr>
        </w:div>
        <w:div w:id="1741713138">
          <w:marLeft w:val="640"/>
          <w:marRight w:val="0"/>
          <w:marTop w:val="0"/>
          <w:marBottom w:val="0"/>
          <w:divBdr>
            <w:top w:val="none" w:sz="0" w:space="0" w:color="auto"/>
            <w:left w:val="none" w:sz="0" w:space="0" w:color="auto"/>
            <w:bottom w:val="none" w:sz="0" w:space="0" w:color="auto"/>
            <w:right w:val="none" w:sz="0" w:space="0" w:color="auto"/>
          </w:divBdr>
        </w:div>
        <w:div w:id="111099284">
          <w:marLeft w:val="640"/>
          <w:marRight w:val="0"/>
          <w:marTop w:val="0"/>
          <w:marBottom w:val="0"/>
          <w:divBdr>
            <w:top w:val="none" w:sz="0" w:space="0" w:color="auto"/>
            <w:left w:val="none" w:sz="0" w:space="0" w:color="auto"/>
            <w:bottom w:val="none" w:sz="0" w:space="0" w:color="auto"/>
            <w:right w:val="none" w:sz="0" w:space="0" w:color="auto"/>
          </w:divBdr>
        </w:div>
        <w:div w:id="2055614901">
          <w:marLeft w:val="640"/>
          <w:marRight w:val="0"/>
          <w:marTop w:val="0"/>
          <w:marBottom w:val="0"/>
          <w:divBdr>
            <w:top w:val="none" w:sz="0" w:space="0" w:color="auto"/>
            <w:left w:val="none" w:sz="0" w:space="0" w:color="auto"/>
            <w:bottom w:val="none" w:sz="0" w:space="0" w:color="auto"/>
            <w:right w:val="none" w:sz="0" w:space="0" w:color="auto"/>
          </w:divBdr>
        </w:div>
        <w:div w:id="1738241782">
          <w:marLeft w:val="640"/>
          <w:marRight w:val="0"/>
          <w:marTop w:val="0"/>
          <w:marBottom w:val="0"/>
          <w:divBdr>
            <w:top w:val="none" w:sz="0" w:space="0" w:color="auto"/>
            <w:left w:val="none" w:sz="0" w:space="0" w:color="auto"/>
            <w:bottom w:val="none" w:sz="0" w:space="0" w:color="auto"/>
            <w:right w:val="none" w:sz="0" w:space="0" w:color="auto"/>
          </w:divBdr>
        </w:div>
        <w:div w:id="562445034">
          <w:marLeft w:val="640"/>
          <w:marRight w:val="0"/>
          <w:marTop w:val="0"/>
          <w:marBottom w:val="0"/>
          <w:divBdr>
            <w:top w:val="none" w:sz="0" w:space="0" w:color="auto"/>
            <w:left w:val="none" w:sz="0" w:space="0" w:color="auto"/>
            <w:bottom w:val="none" w:sz="0" w:space="0" w:color="auto"/>
            <w:right w:val="none" w:sz="0" w:space="0" w:color="auto"/>
          </w:divBdr>
        </w:div>
        <w:div w:id="1185484111">
          <w:marLeft w:val="640"/>
          <w:marRight w:val="0"/>
          <w:marTop w:val="0"/>
          <w:marBottom w:val="0"/>
          <w:divBdr>
            <w:top w:val="none" w:sz="0" w:space="0" w:color="auto"/>
            <w:left w:val="none" w:sz="0" w:space="0" w:color="auto"/>
            <w:bottom w:val="none" w:sz="0" w:space="0" w:color="auto"/>
            <w:right w:val="none" w:sz="0" w:space="0" w:color="auto"/>
          </w:divBdr>
        </w:div>
        <w:div w:id="422723880">
          <w:marLeft w:val="640"/>
          <w:marRight w:val="0"/>
          <w:marTop w:val="0"/>
          <w:marBottom w:val="0"/>
          <w:divBdr>
            <w:top w:val="none" w:sz="0" w:space="0" w:color="auto"/>
            <w:left w:val="none" w:sz="0" w:space="0" w:color="auto"/>
            <w:bottom w:val="none" w:sz="0" w:space="0" w:color="auto"/>
            <w:right w:val="none" w:sz="0" w:space="0" w:color="auto"/>
          </w:divBdr>
        </w:div>
        <w:div w:id="1156721821">
          <w:marLeft w:val="640"/>
          <w:marRight w:val="0"/>
          <w:marTop w:val="0"/>
          <w:marBottom w:val="0"/>
          <w:divBdr>
            <w:top w:val="none" w:sz="0" w:space="0" w:color="auto"/>
            <w:left w:val="none" w:sz="0" w:space="0" w:color="auto"/>
            <w:bottom w:val="none" w:sz="0" w:space="0" w:color="auto"/>
            <w:right w:val="none" w:sz="0" w:space="0" w:color="auto"/>
          </w:divBdr>
        </w:div>
        <w:div w:id="685865222">
          <w:marLeft w:val="640"/>
          <w:marRight w:val="0"/>
          <w:marTop w:val="0"/>
          <w:marBottom w:val="0"/>
          <w:divBdr>
            <w:top w:val="none" w:sz="0" w:space="0" w:color="auto"/>
            <w:left w:val="none" w:sz="0" w:space="0" w:color="auto"/>
            <w:bottom w:val="none" w:sz="0" w:space="0" w:color="auto"/>
            <w:right w:val="none" w:sz="0" w:space="0" w:color="auto"/>
          </w:divBdr>
        </w:div>
        <w:div w:id="746541067">
          <w:marLeft w:val="640"/>
          <w:marRight w:val="0"/>
          <w:marTop w:val="0"/>
          <w:marBottom w:val="0"/>
          <w:divBdr>
            <w:top w:val="none" w:sz="0" w:space="0" w:color="auto"/>
            <w:left w:val="none" w:sz="0" w:space="0" w:color="auto"/>
            <w:bottom w:val="none" w:sz="0" w:space="0" w:color="auto"/>
            <w:right w:val="none" w:sz="0" w:space="0" w:color="auto"/>
          </w:divBdr>
        </w:div>
        <w:div w:id="678043070">
          <w:marLeft w:val="640"/>
          <w:marRight w:val="0"/>
          <w:marTop w:val="0"/>
          <w:marBottom w:val="0"/>
          <w:divBdr>
            <w:top w:val="none" w:sz="0" w:space="0" w:color="auto"/>
            <w:left w:val="none" w:sz="0" w:space="0" w:color="auto"/>
            <w:bottom w:val="none" w:sz="0" w:space="0" w:color="auto"/>
            <w:right w:val="none" w:sz="0" w:space="0" w:color="auto"/>
          </w:divBdr>
        </w:div>
        <w:div w:id="1601714145">
          <w:marLeft w:val="640"/>
          <w:marRight w:val="0"/>
          <w:marTop w:val="0"/>
          <w:marBottom w:val="0"/>
          <w:divBdr>
            <w:top w:val="none" w:sz="0" w:space="0" w:color="auto"/>
            <w:left w:val="none" w:sz="0" w:space="0" w:color="auto"/>
            <w:bottom w:val="none" w:sz="0" w:space="0" w:color="auto"/>
            <w:right w:val="none" w:sz="0" w:space="0" w:color="auto"/>
          </w:divBdr>
        </w:div>
        <w:div w:id="1667241891">
          <w:marLeft w:val="640"/>
          <w:marRight w:val="0"/>
          <w:marTop w:val="0"/>
          <w:marBottom w:val="0"/>
          <w:divBdr>
            <w:top w:val="none" w:sz="0" w:space="0" w:color="auto"/>
            <w:left w:val="none" w:sz="0" w:space="0" w:color="auto"/>
            <w:bottom w:val="none" w:sz="0" w:space="0" w:color="auto"/>
            <w:right w:val="none" w:sz="0" w:space="0" w:color="auto"/>
          </w:divBdr>
        </w:div>
        <w:div w:id="1701199203">
          <w:marLeft w:val="640"/>
          <w:marRight w:val="0"/>
          <w:marTop w:val="0"/>
          <w:marBottom w:val="0"/>
          <w:divBdr>
            <w:top w:val="none" w:sz="0" w:space="0" w:color="auto"/>
            <w:left w:val="none" w:sz="0" w:space="0" w:color="auto"/>
            <w:bottom w:val="none" w:sz="0" w:space="0" w:color="auto"/>
            <w:right w:val="none" w:sz="0" w:space="0" w:color="auto"/>
          </w:divBdr>
        </w:div>
        <w:div w:id="247813411">
          <w:marLeft w:val="640"/>
          <w:marRight w:val="0"/>
          <w:marTop w:val="0"/>
          <w:marBottom w:val="0"/>
          <w:divBdr>
            <w:top w:val="none" w:sz="0" w:space="0" w:color="auto"/>
            <w:left w:val="none" w:sz="0" w:space="0" w:color="auto"/>
            <w:bottom w:val="none" w:sz="0" w:space="0" w:color="auto"/>
            <w:right w:val="none" w:sz="0" w:space="0" w:color="auto"/>
          </w:divBdr>
        </w:div>
        <w:div w:id="1979987833">
          <w:marLeft w:val="640"/>
          <w:marRight w:val="0"/>
          <w:marTop w:val="0"/>
          <w:marBottom w:val="0"/>
          <w:divBdr>
            <w:top w:val="none" w:sz="0" w:space="0" w:color="auto"/>
            <w:left w:val="none" w:sz="0" w:space="0" w:color="auto"/>
            <w:bottom w:val="none" w:sz="0" w:space="0" w:color="auto"/>
            <w:right w:val="none" w:sz="0" w:space="0" w:color="auto"/>
          </w:divBdr>
        </w:div>
        <w:div w:id="1565489377">
          <w:marLeft w:val="640"/>
          <w:marRight w:val="0"/>
          <w:marTop w:val="0"/>
          <w:marBottom w:val="0"/>
          <w:divBdr>
            <w:top w:val="none" w:sz="0" w:space="0" w:color="auto"/>
            <w:left w:val="none" w:sz="0" w:space="0" w:color="auto"/>
            <w:bottom w:val="none" w:sz="0" w:space="0" w:color="auto"/>
            <w:right w:val="none" w:sz="0" w:space="0" w:color="auto"/>
          </w:divBdr>
        </w:div>
        <w:div w:id="1856963397">
          <w:marLeft w:val="640"/>
          <w:marRight w:val="0"/>
          <w:marTop w:val="0"/>
          <w:marBottom w:val="0"/>
          <w:divBdr>
            <w:top w:val="none" w:sz="0" w:space="0" w:color="auto"/>
            <w:left w:val="none" w:sz="0" w:space="0" w:color="auto"/>
            <w:bottom w:val="none" w:sz="0" w:space="0" w:color="auto"/>
            <w:right w:val="none" w:sz="0" w:space="0" w:color="auto"/>
          </w:divBdr>
        </w:div>
        <w:div w:id="1508255729">
          <w:marLeft w:val="640"/>
          <w:marRight w:val="0"/>
          <w:marTop w:val="0"/>
          <w:marBottom w:val="0"/>
          <w:divBdr>
            <w:top w:val="none" w:sz="0" w:space="0" w:color="auto"/>
            <w:left w:val="none" w:sz="0" w:space="0" w:color="auto"/>
            <w:bottom w:val="none" w:sz="0" w:space="0" w:color="auto"/>
            <w:right w:val="none" w:sz="0" w:space="0" w:color="auto"/>
          </w:divBdr>
        </w:div>
        <w:div w:id="1623463639">
          <w:marLeft w:val="640"/>
          <w:marRight w:val="0"/>
          <w:marTop w:val="0"/>
          <w:marBottom w:val="0"/>
          <w:divBdr>
            <w:top w:val="none" w:sz="0" w:space="0" w:color="auto"/>
            <w:left w:val="none" w:sz="0" w:space="0" w:color="auto"/>
            <w:bottom w:val="none" w:sz="0" w:space="0" w:color="auto"/>
            <w:right w:val="none" w:sz="0" w:space="0" w:color="auto"/>
          </w:divBdr>
        </w:div>
        <w:div w:id="1924096348">
          <w:marLeft w:val="640"/>
          <w:marRight w:val="0"/>
          <w:marTop w:val="0"/>
          <w:marBottom w:val="0"/>
          <w:divBdr>
            <w:top w:val="none" w:sz="0" w:space="0" w:color="auto"/>
            <w:left w:val="none" w:sz="0" w:space="0" w:color="auto"/>
            <w:bottom w:val="none" w:sz="0" w:space="0" w:color="auto"/>
            <w:right w:val="none" w:sz="0" w:space="0" w:color="auto"/>
          </w:divBdr>
        </w:div>
        <w:div w:id="1662196688">
          <w:marLeft w:val="640"/>
          <w:marRight w:val="0"/>
          <w:marTop w:val="0"/>
          <w:marBottom w:val="0"/>
          <w:divBdr>
            <w:top w:val="none" w:sz="0" w:space="0" w:color="auto"/>
            <w:left w:val="none" w:sz="0" w:space="0" w:color="auto"/>
            <w:bottom w:val="none" w:sz="0" w:space="0" w:color="auto"/>
            <w:right w:val="none" w:sz="0" w:space="0" w:color="auto"/>
          </w:divBdr>
        </w:div>
        <w:div w:id="584072673">
          <w:marLeft w:val="640"/>
          <w:marRight w:val="0"/>
          <w:marTop w:val="0"/>
          <w:marBottom w:val="0"/>
          <w:divBdr>
            <w:top w:val="none" w:sz="0" w:space="0" w:color="auto"/>
            <w:left w:val="none" w:sz="0" w:space="0" w:color="auto"/>
            <w:bottom w:val="none" w:sz="0" w:space="0" w:color="auto"/>
            <w:right w:val="none" w:sz="0" w:space="0" w:color="auto"/>
          </w:divBdr>
        </w:div>
        <w:div w:id="419182565">
          <w:marLeft w:val="640"/>
          <w:marRight w:val="0"/>
          <w:marTop w:val="0"/>
          <w:marBottom w:val="0"/>
          <w:divBdr>
            <w:top w:val="none" w:sz="0" w:space="0" w:color="auto"/>
            <w:left w:val="none" w:sz="0" w:space="0" w:color="auto"/>
            <w:bottom w:val="none" w:sz="0" w:space="0" w:color="auto"/>
            <w:right w:val="none" w:sz="0" w:space="0" w:color="auto"/>
          </w:divBdr>
        </w:div>
        <w:div w:id="1906649471">
          <w:marLeft w:val="640"/>
          <w:marRight w:val="0"/>
          <w:marTop w:val="0"/>
          <w:marBottom w:val="0"/>
          <w:divBdr>
            <w:top w:val="none" w:sz="0" w:space="0" w:color="auto"/>
            <w:left w:val="none" w:sz="0" w:space="0" w:color="auto"/>
            <w:bottom w:val="none" w:sz="0" w:space="0" w:color="auto"/>
            <w:right w:val="none" w:sz="0" w:space="0" w:color="auto"/>
          </w:divBdr>
        </w:div>
        <w:div w:id="615865678">
          <w:marLeft w:val="640"/>
          <w:marRight w:val="0"/>
          <w:marTop w:val="0"/>
          <w:marBottom w:val="0"/>
          <w:divBdr>
            <w:top w:val="none" w:sz="0" w:space="0" w:color="auto"/>
            <w:left w:val="none" w:sz="0" w:space="0" w:color="auto"/>
            <w:bottom w:val="none" w:sz="0" w:space="0" w:color="auto"/>
            <w:right w:val="none" w:sz="0" w:space="0" w:color="auto"/>
          </w:divBdr>
        </w:div>
        <w:div w:id="1587614382">
          <w:marLeft w:val="640"/>
          <w:marRight w:val="0"/>
          <w:marTop w:val="0"/>
          <w:marBottom w:val="0"/>
          <w:divBdr>
            <w:top w:val="none" w:sz="0" w:space="0" w:color="auto"/>
            <w:left w:val="none" w:sz="0" w:space="0" w:color="auto"/>
            <w:bottom w:val="none" w:sz="0" w:space="0" w:color="auto"/>
            <w:right w:val="none" w:sz="0" w:space="0" w:color="auto"/>
          </w:divBdr>
        </w:div>
        <w:div w:id="612787617">
          <w:marLeft w:val="640"/>
          <w:marRight w:val="0"/>
          <w:marTop w:val="0"/>
          <w:marBottom w:val="0"/>
          <w:divBdr>
            <w:top w:val="none" w:sz="0" w:space="0" w:color="auto"/>
            <w:left w:val="none" w:sz="0" w:space="0" w:color="auto"/>
            <w:bottom w:val="none" w:sz="0" w:space="0" w:color="auto"/>
            <w:right w:val="none" w:sz="0" w:space="0" w:color="auto"/>
          </w:divBdr>
        </w:div>
        <w:div w:id="1003701372">
          <w:marLeft w:val="640"/>
          <w:marRight w:val="0"/>
          <w:marTop w:val="0"/>
          <w:marBottom w:val="0"/>
          <w:divBdr>
            <w:top w:val="none" w:sz="0" w:space="0" w:color="auto"/>
            <w:left w:val="none" w:sz="0" w:space="0" w:color="auto"/>
            <w:bottom w:val="none" w:sz="0" w:space="0" w:color="auto"/>
            <w:right w:val="none" w:sz="0" w:space="0" w:color="auto"/>
          </w:divBdr>
        </w:div>
        <w:div w:id="2089226395">
          <w:marLeft w:val="640"/>
          <w:marRight w:val="0"/>
          <w:marTop w:val="0"/>
          <w:marBottom w:val="0"/>
          <w:divBdr>
            <w:top w:val="none" w:sz="0" w:space="0" w:color="auto"/>
            <w:left w:val="none" w:sz="0" w:space="0" w:color="auto"/>
            <w:bottom w:val="none" w:sz="0" w:space="0" w:color="auto"/>
            <w:right w:val="none" w:sz="0" w:space="0" w:color="auto"/>
          </w:divBdr>
        </w:div>
        <w:div w:id="1523782214">
          <w:marLeft w:val="640"/>
          <w:marRight w:val="0"/>
          <w:marTop w:val="0"/>
          <w:marBottom w:val="0"/>
          <w:divBdr>
            <w:top w:val="none" w:sz="0" w:space="0" w:color="auto"/>
            <w:left w:val="none" w:sz="0" w:space="0" w:color="auto"/>
            <w:bottom w:val="none" w:sz="0" w:space="0" w:color="auto"/>
            <w:right w:val="none" w:sz="0" w:space="0" w:color="auto"/>
          </w:divBdr>
        </w:div>
        <w:div w:id="623191248">
          <w:marLeft w:val="640"/>
          <w:marRight w:val="0"/>
          <w:marTop w:val="0"/>
          <w:marBottom w:val="0"/>
          <w:divBdr>
            <w:top w:val="none" w:sz="0" w:space="0" w:color="auto"/>
            <w:left w:val="none" w:sz="0" w:space="0" w:color="auto"/>
            <w:bottom w:val="none" w:sz="0" w:space="0" w:color="auto"/>
            <w:right w:val="none" w:sz="0" w:space="0" w:color="auto"/>
          </w:divBdr>
        </w:div>
        <w:div w:id="569998064">
          <w:marLeft w:val="640"/>
          <w:marRight w:val="0"/>
          <w:marTop w:val="0"/>
          <w:marBottom w:val="0"/>
          <w:divBdr>
            <w:top w:val="none" w:sz="0" w:space="0" w:color="auto"/>
            <w:left w:val="none" w:sz="0" w:space="0" w:color="auto"/>
            <w:bottom w:val="none" w:sz="0" w:space="0" w:color="auto"/>
            <w:right w:val="none" w:sz="0" w:space="0" w:color="auto"/>
          </w:divBdr>
        </w:div>
        <w:div w:id="1913735403">
          <w:marLeft w:val="640"/>
          <w:marRight w:val="0"/>
          <w:marTop w:val="0"/>
          <w:marBottom w:val="0"/>
          <w:divBdr>
            <w:top w:val="none" w:sz="0" w:space="0" w:color="auto"/>
            <w:left w:val="none" w:sz="0" w:space="0" w:color="auto"/>
            <w:bottom w:val="none" w:sz="0" w:space="0" w:color="auto"/>
            <w:right w:val="none" w:sz="0" w:space="0" w:color="auto"/>
          </w:divBdr>
        </w:div>
        <w:div w:id="1789741112">
          <w:marLeft w:val="640"/>
          <w:marRight w:val="0"/>
          <w:marTop w:val="0"/>
          <w:marBottom w:val="0"/>
          <w:divBdr>
            <w:top w:val="none" w:sz="0" w:space="0" w:color="auto"/>
            <w:left w:val="none" w:sz="0" w:space="0" w:color="auto"/>
            <w:bottom w:val="none" w:sz="0" w:space="0" w:color="auto"/>
            <w:right w:val="none" w:sz="0" w:space="0" w:color="auto"/>
          </w:divBdr>
        </w:div>
        <w:div w:id="1201283271">
          <w:marLeft w:val="640"/>
          <w:marRight w:val="0"/>
          <w:marTop w:val="0"/>
          <w:marBottom w:val="0"/>
          <w:divBdr>
            <w:top w:val="none" w:sz="0" w:space="0" w:color="auto"/>
            <w:left w:val="none" w:sz="0" w:space="0" w:color="auto"/>
            <w:bottom w:val="none" w:sz="0" w:space="0" w:color="auto"/>
            <w:right w:val="none" w:sz="0" w:space="0" w:color="auto"/>
          </w:divBdr>
        </w:div>
        <w:div w:id="164327347">
          <w:marLeft w:val="640"/>
          <w:marRight w:val="0"/>
          <w:marTop w:val="0"/>
          <w:marBottom w:val="0"/>
          <w:divBdr>
            <w:top w:val="none" w:sz="0" w:space="0" w:color="auto"/>
            <w:left w:val="none" w:sz="0" w:space="0" w:color="auto"/>
            <w:bottom w:val="none" w:sz="0" w:space="0" w:color="auto"/>
            <w:right w:val="none" w:sz="0" w:space="0" w:color="auto"/>
          </w:divBdr>
        </w:div>
        <w:div w:id="445006849">
          <w:marLeft w:val="640"/>
          <w:marRight w:val="0"/>
          <w:marTop w:val="0"/>
          <w:marBottom w:val="0"/>
          <w:divBdr>
            <w:top w:val="none" w:sz="0" w:space="0" w:color="auto"/>
            <w:left w:val="none" w:sz="0" w:space="0" w:color="auto"/>
            <w:bottom w:val="none" w:sz="0" w:space="0" w:color="auto"/>
            <w:right w:val="none" w:sz="0" w:space="0" w:color="auto"/>
          </w:divBdr>
        </w:div>
        <w:div w:id="539440145">
          <w:marLeft w:val="640"/>
          <w:marRight w:val="0"/>
          <w:marTop w:val="0"/>
          <w:marBottom w:val="0"/>
          <w:divBdr>
            <w:top w:val="none" w:sz="0" w:space="0" w:color="auto"/>
            <w:left w:val="none" w:sz="0" w:space="0" w:color="auto"/>
            <w:bottom w:val="none" w:sz="0" w:space="0" w:color="auto"/>
            <w:right w:val="none" w:sz="0" w:space="0" w:color="auto"/>
          </w:divBdr>
        </w:div>
        <w:div w:id="1438335007">
          <w:marLeft w:val="640"/>
          <w:marRight w:val="0"/>
          <w:marTop w:val="0"/>
          <w:marBottom w:val="0"/>
          <w:divBdr>
            <w:top w:val="none" w:sz="0" w:space="0" w:color="auto"/>
            <w:left w:val="none" w:sz="0" w:space="0" w:color="auto"/>
            <w:bottom w:val="none" w:sz="0" w:space="0" w:color="auto"/>
            <w:right w:val="none" w:sz="0" w:space="0" w:color="auto"/>
          </w:divBdr>
        </w:div>
        <w:div w:id="676225351">
          <w:marLeft w:val="640"/>
          <w:marRight w:val="0"/>
          <w:marTop w:val="0"/>
          <w:marBottom w:val="0"/>
          <w:divBdr>
            <w:top w:val="none" w:sz="0" w:space="0" w:color="auto"/>
            <w:left w:val="none" w:sz="0" w:space="0" w:color="auto"/>
            <w:bottom w:val="none" w:sz="0" w:space="0" w:color="auto"/>
            <w:right w:val="none" w:sz="0" w:space="0" w:color="auto"/>
          </w:divBdr>
        </w:div>
        <w:div w:id="2033795554">
          <w:marLeft w:val="640"/>
          <w:marRight w:val="0"/>
          <w:marTop w:val="0"/>
          <w:marBottom w:val="0"/>
          <w:divBdr>
            <w:top w:val="none" w:sz="0" w:space="0" w:color="auto"/>
            <w:left w:val="none" w:sz="0" w:space="0" w:color="auto"/>
            <w:bottom w:val="none" w:sz="0" w:space="0" w:color="auto"/>
            <w:right w:val="none" w:sz="0" w:space="0" w:color="auto"/>
          </w:divBdr>
        </w:div>
        <w:div w:id="1046494285">
          <w:marLeft w:val="640"/>
          <w:marRight w:val="0"/>
          <w:marTop w:val="0"/>
          <w:marBottom w:val="0"/>
          <w:divBdr>
            <w:top w:val="none" w:sz="0" w:space="0" w:color="auto"/>
            <w:left w:val="none" w:sz="0" w:space="0" w:color="auto"/>
            <w:bottom w:val="none" w:sz="0" w:space="0" w:color="auto"/>
            <w:right w:val="none" w:sz="0" w:space="0" w:color="auto"/>
          </w:divBdr>
        </w:div>
        <w:div w:id="810562976">
          <w:marLeft w:val="640"/>
          <w:marRight w:val="0"/>
          <w:marTop w:val="0"/>
          <w:marBottom w:val="0"/>
          <w:divBdr>
            <w:top w:val="none" w:sz="0" w:space="0" w:color="auto"/>
            <w:left w:val="none" w:sz="0" w:space="0" w:color="auto"/>
            <w:bottom w:val="none" w:sz="0" w:space="0" w:color="auto"/>
            <w:right w:val="none" w:sz="0" w:space="0" w:color="auto"/>
          </w:divBdr>
        </w:div>
        <w:div w:id="896093237">
          <w:marLeft w:val="640"/>
          <w:marRight w:val="0"/>
          <w:marTop w:val="0"/>
          <w:marBottom w:val="0"/>
          <w:divBdr>
            <w:top w:val="none" w:sz="0" w:space="0" w:color="auto"/>
            <w:left w:val="none" w:sz="0" w:space="0" w:color="auto"/>
            <w:bottom w:val="none" w:sz="0" w:space="0" w:color="auto"/>
            <w:right w:val="none" w:sz="0" w:space="0" w:color="auto"/>
          </w:divBdr>
        </w:div>
        <w:div w:id="904143527">
          <w:marLeft w:val="640"/>
          <w:marRight w:val="0"/>
          <w:marTop w:val="0"/>
          <w:marBottom w:val="0"/>
          <w:divBdr>
            <w:top w:val="none" w:sz="0" w:space="0" w:color="auto"/>
            <w:left w:val="none" w:sz="0" w:space="0" w:color="auto"/>
            <w:bottom w:val="none" w:sz="0" w:space="0" w:color="auto"/>
            <w:right w:val="none" w:sz="0" w:space="0" w:color="auto"/>
          </w:divBdr>
        </w:div>
        <w:div w:id="652687278">
          <w:marLeft w:val="640"/>
          <w:marRight w:val="0"/>
          <w:marTop w:val="0"/>
          <w:marBottom w:val="0"/>
          <w:divBdr>
            <w:top w:val="none" w:sz="0" w:space="0" w:color="auto"/>
            <w:left w:val="none" w:sz="0" w:space="0" w:color="auto"/>
            <w:bottom w:val="none" w:sz="0" w:space="0" w:color="auto"/>
            <w:right w:val="none" w:sz="0" w:space="0" w:color="auto"/>
          </w:divBdr>
        </w:div>
        <w:div w:id="953562414">
          <w:marLeft w:val="640"/>
          <w:marRight w:val="0"/>
          <w:marTop w:val="0"/>
          <w:marBottom w:val="0"/>
          <w:divBdr>
            <w:top w:val="none" w:sz="0" w:space="0" w:color="auto"/>
            <w:left w:val="none" w:sz="0" w:space="0" w:color="auto"/>
            <w:bottom w:val="none" w:sz="0" w:space="0" w:color="auto"/>
            <w:right w:val="none" w:sz="0" w:space="0" w:color="auto"/>
          </w:divBdr>
        </w:div>
        <w:div w:id="1057783596">
          <w:marLeft w:val="640"/>
          <w:marRight w:val="0"/>
          <w:marTop w:val="0"/>
          <w:marBottom w:val="0"/>
          <w:divBdr>
            <w:top w:val="none" w:sz="0" w:space="0" w:color="auto"/>
            <w:left w:val="none" w:sz="0" w:space="0" w:color="auto"/>
            <w:bottom w:val="none" w:sz="0" w:space="0" w:color="auto"/>
            <w:right w:val="none" w:sz="0" w:space="0" w:color="auto"/>
          </w:divBdr>
        </w:div>
        <w:div w:id="104085036">
          <w:marLeft w:val="640"/>
          <w:marRight w:val="0"/>
          <w:marTop w:val="0"/>
          <w:marBottom w:val="0"/>
          <w:divBdr>
            <w:top w:val="none" w:sz="0" w:space="0" w:color="auto"/>
            <w:left w:val="none" w:sz="0" w:space="0" w:color="auto"/>
            <w:bottom w:val="none" w:sz="0" w:space="0" w:color="auto"/>
            <w:right w:val="none" w:sz="0" w:space="0" w:color="auto"/>
          </w:divBdr>
        </w:div>
        <w:div w:id="983464923">
          <w:marLeft w:val="640"/>
          <w:marRight w:val="0"/>
          <w:marTop w:val="0"/>
          <w:marBottom w:val="0"/>
          <w:divBdr>
            <w:top w:val="none" w:sz="0" w:space="0" w:color="auto"/>
            <w:left w:val="none" w:sz="0" w:space="0" w:color="auto"/>
            <w:bottom w:val="none" w:sz="0" w:space="0" w:color="auto"/>
            <w:right w:val="none" w:sz="0" w:space="0" w:color="auto"/>
          </w:divBdr>
        </w:div>
        <w:div w:id="763183558">
          <w:marLeft w:val="640"/>
          <w:marRight w:val="0"/>
          <w:marTop w:val="0"/>
          <w:marBottom w:val="0"/>
          <w:divBdr>
            <w:top w:val="none" w:sz="0" w:space="0" w:color="auto"/>
            <w:left w:val="none" w:sz="0" w:space="0" w:color="auto"/>
            <w:bottom w:val="none" w:sz="0" w:space="0" w:color="auto"/>
            <w:right w:val="none" w:sz="0" w:space="0" w:color="auto"/>
          </w:divBdr>
        </w:div>
        <w:div w:id="1572496937">
          <w:marLeft w:val="640"/>
          <w:marRight w:val="0"/>
          <w:marTop w:val="0"/>
          <w:marBottom w:val="0"/>
          <w:divBdr>
            <w:top w:val="none" w:sz="0" w:space="0" w:color="auto"/>
            <w:left w:val="none" w:sz="0" w:space="0" w:color="auto"/>
            <w:bottom w:val="none" w:sz="0" w:space="0" w:color="auto"/>
            <w:right w:val="none" w:sz="0" w:space="0" w:color="auto"/>
          </w:divBdr>
        </w:div>
        <w:div w:id="478037413">
          <w:marLeft w:val="640"/>
          <w:marRight w:val="0"/>
          <w:marTop w:val="0"/>
          <w:marBottom w:val="0"/>
          <w:divBdr>
            <w:top w:val="none" w:sz="0" w:space="0" w:color="auto"/>
            <w:left w:val="none" w:sz="0" w:space="0" w:color="auto"/>
            <w:bottom w:val="none" w:sz="0" w:space="0" w:color="auto"/>
            <w:right w:val="none" w:sz="0" w:space="0" w:color="auto"/>
          </w:divBdr>
        </w:div>
        <w:div w:id="1896893140">
          <w:marLeft w:val="640"/>
          <w:marRight w:val="0"/>
          <w:marTop w:val="0"/>
          <w:marBottom w:val="0"/>
          <w:divBdr>
            <w:top w:val="none" w:sz="0" w:space="0" w:color="auto"/>
            <w:left w:val="none" w:sz="0" w:space="0" w:color="auto"/>
            <w:bottom w:val="none" w:sz="0" w:space="0" w:color="auto"/>
            <w:right w:val="none" w:sz="0" w:space="0" w:color="auto"/>
          </w:divBdr>
        </w:div>
        <w:div w:id="755633200">
          <w:marLeft w:val="640"/>
          <w:marRight w:val="0"/>
          <w:marTop w:val="0"/>
          <w:marBottom w:val="0"/>
          <w:divBdr>
            <w:top w:val="none" w:sz="0" w:space="0" w:color="auto"/>
            <w:left w:val="none" w:sz="0" w:space="0" w:color="auto"/>
            <w:bottom w:val="none" w:sz="0" w:space="0" w:color="auto"/>
            <w:right w:val="none" w:sz="0" w:space="0" w:color="auto"/>
          </w:divBdr>
        </w:div>
        <w:div w:id="501823021">
          <w:marLeft w:val="640"/>
          <w:marRight w:val="0"/>
          <w:marTop w:val="0"/>
          <w:marBottom w:val="0"/>
          <w:divBdr>
            <w:top w:val="none" w:sz="0" w:space="0" w:color="auto"/>
            <w:left w:val="none" w:sz="0" w:space="0" w:color="auto"/>
            <w:bottom w:val="none" w:sz="0" w:space="0" w:color="auto"/>
            <w:right w:val="none" w:sz="0" w:space="0" w:color="auto"/>
          </w:divBdr>
        </w:div>
        <w:div w:id="1728606125">
          <w:marLeft w:val="640"/>
          <w:marRight w:val="0"/>
          <w:marTop w:val="0"/>
          <w:marBottom w:val="0"/>
          <w:divBdr>
            <w:top w:val="none" w:sz="0" w:space="0" w:color="auto"/>
            <w:left w:val="none" w:sz="0" w:space="0" w:color="auto"/>
            <w:bottom w:val="none" w:sz="0" w:space="0" w:color="auto"/>
            <w:right w:val="none" w:sz="0" w:space="0" w:color="auto"/>
          </w:divBdr>
        </w:div>
        <w:div w:id="227738716">
          <w:marLeft w:val="640"/>
          <w:marRight w:val="0"/>
          <w:marTop w:val="0"/>
          <w:marBottom w:val="0"/>
          <w:divBdr>
            <w:top w:val="none" w:sz="0" w:space="0" w:color="auto"/>
            <w:left w:val="none" w:sz="0" w:space="0" w:color="auto"/>
            <w:bottom w:val="none" w:sz="0" w:space="0" w:color="auto"/>
            <w:right w:val="none" w:sz="0" w:space="0" w:color="auto"/>
          </w:divBdr>
        </w:div>
        <w:div w:id="432475772">
          <w:marLeft w:val="640"/>
          <w:marRight w:val="0"/>
          <w:marTop w:val="0"/>
          <w:marBottom w:val="0"/>
          <w:divBdr>
            <w:top w:val="none" w:sz="0" w:space="0" w:color="auto"/>
            <w:left w:val="none" w:sz="0" w:space="0" w:color="auto"/>
            <w:bottom w:val="none" w:sz="0" w:space="0" w:color="auto"/>
            <w:right w:val="none" w:sz="0" w:space="0" w:color="auto"/>
          </w:divBdr>
        </w:div>
        <w:div w:id="211042231">
          <w:marLeft w:val="640"/>
          <w:marRight w:val="0"/>
          <w:marTop w:val="0"/>
          <w:marBottom w:val="0"/>
          <w:divBdr>
            <w:top w:val="none" w:sz="0" w:space="0" w:color="auto"/>
            <w:left w:val="none" w:sz="0" w:space="0" w:color="auto"/>
            <w:bottom w:val="none" w:sz="0" w:space="0" w:color="auto"/>
            <w:right w:val="none" w:sz="0" w:space="0" w:color="auto"/>
          </w:divBdr>
        </w:div>
        <w:div w:id="201216207">
          <w:marLeft w:val="640"/>
          <w:marRight w:val="0"/>
          <w:marTop w:val="0"/>
          <w:marBottom w:val="0"/>
          <w:divBdr>
            <w:top w:val="none" w:sz="0" w:space="0" w:color="auto"/>
            <w:left w:val="none" w:sz="0" w:space="0" w:color="auto"/>
            <w:bottom w:val="none" w:sz="0" w:space="0" w:color="auto"/>
            <w:right w:val="none" w:sz="0" w:space="0" w:color="auto"/>
          </w:divBdr>
        </w:div>
        <w:div w:id="110832352">
          <w:marLeft w:val="640"/>
          <w:marRight w:val="0"/>
          <w:marTop w:val="0"/>
          <w:marBottom w:val="0"/>
          <w:divBdr>
            <w:top w:val="none" w:sz="0" w:space="0" w:color="auto"/>
            <w:left w:val="none" w:sz="0" w:space="0" w:color="auto"/>
            <w:bottom w:val="none" w:sz="0" w:space="0" w:color="auto"/>
            <w:right w:val="none" w:sz="0" w:space="0" w:color="auto"/>
          </w:divBdr>
        </w:div>
        <w:div w:id="273052376">
          <w:marLeft w:val="640"/>
          <w:marRight w:val="0"/>
          <w:marTop w:val="0"/>
          <w:marBottom w:val="0"/>
          <w:divBdr>
            <w:top w:val="none" w:sz="0" w:space="0" w:color="auto"/>
            <w:left w:val="none" w:sz="0" w:space="0" w:color="auto"/>
            <w:bottom w:val="none" w:sz="0" w:space="0" w:color="auto"/>
            <w:right w:val="none" w:sz="0" w:space="0" w:color="auto"/>
          </w:divBdr>
        </w:div>
        <w:div w:id="189530804">
          <w:marLeft w:val="640"/>
          <w:marRight w:val="0"/>
          <w:marTop w:val="0"/>
          <w:marBottom w:val="0"/>
          <w:divBdr>
            <w:top w:val="none" w:sz="0" w:space="0" w:color="auto"/>
            <w:left w:val="none" w:sz="0" w:space="0" w:color="auto"/>
            <w:bottom w:val="none" w:sz="0" w:space="0" w:color="auto"/>
            <w:right w:val="none" w:sz="0" w:space="0" w:color="auto"/>
          </w:divBdr>
        </w:div>
        <w:div w:id="1246769901">
          <w:marLeft w:val="640"/>
          <w:marRight w:val="0"/>
          <w:marTop w:val="0"/>
          <w:marBottom w:val="0"/>
          <w:divBdr>
            <w:top w:val="none" w:sz="0" w:space="0" w:color="auto"/>
            <w:left w:val="none" w:sz="0" w:space="0" w:color="auto"/>
            <w:bottom w:val="none" w:sz="0" w:space="0" w:color="auto"/>
            <w:right w:val="none" w:sz="0" w:space="0" w:color="auto"/>
          </w:divBdr>
        </w:div>
        <w:div w:id="921138196">
          <w:marLeft w:val="640"/>
          <w:marRight w:val="0"/>
          <w:marTop w:val="0"/>
          <w:marBottom w:val="0"/>
          <w:divBdr>
            <w:top w:val="none" w:sz="0" w:space="0" w:color="auto"/>
            <w:left w:val="none" w:sz="0" w:space="0" w:color="auto"/>
            <w:bottom w:val="none" w:sz="0" w:space="0" w:color="auto"/>
            <w:right w:val="none" w:sz="0" w:space="0" w:color="auto"/>
          </w:divBdr>
        </w:div>
        <w:div w:id="1395011998">
          <w:marLeft w:val="640"/>
          <w:marRight w:val="0"/>
          <w:marTop w:val="0"/>
          <w:marBottom w:val="0"/>
          <w:divBdr>
            <w:top w:val="none" w:sz="0" w:space="0" w:color="auto"/>
            <w:left w:val="none" w:sz="0" w:space="0" w:color="auto"/>
            <w:bottom w:val="none" w:sz="0" w:space="0" w:color="auto"/>
            <w:right w:val="none" w:sz="0" w:space="0" w:color="auto"/>
          </w:divBdr>
        </w:div>
        <w:div w:id="1255624969">
          <w:marLeft w:val="640"/>
          <w:marRight w:val="0"/>
          <w:marTop w:val="0"/>
          <w:marBottom w:val="0"/>
          <w:divBdr>
            <w:top w:val="none" w:sz="0" w:space="0" w:color="auto"/>
            <w:left w:val="none" w:sz="0" w:space="0" w:color="auto"/>
            <w:bottom w:val="none" w:sz="0" w:space="0" w:color="auto"/>
            <w:right w:val="none" w:sz="0" w:space="0" w:color="auto"/>
          </w:divBdr>
        </w:div>
        <w:div w:id="1515998245">
          <w:marLeft w:val="640"/>
          <w:marRight w:val="0"/>
          <w:marTop w:val="0"/>
          <w:marBottom w:val="0"/>
          <w:divBdr>
            <w:top w:val="none" w:sz="0" w:space="0" w:color="auto"/>
            <w:left w:val="none" w:sz="0" w:space="0" w:color="auto"/>
            <w:bottom w:val="none" w:sz="0" w:space="0" w:color="auto"/>
            <w:right w:val="none" w:sz="0" w:space="0" w:color="auto"/>
          </w:divBdr>
        </w:div>
        <w:div w:id="222566095">
          <w:marLeft w:val="640"/>
          <w:marRight w:val="0"/>
          <w:marTop w:val="0"/>
          <w:marBottom w:val="0"/>
          <w:divBdr>
            <w:top w:val="none" w:sz="0" w:space="0" w:color="auto"/>
            <w:left w:val="none" w:sz="0" w:space="0" w:color="auto"/>
            <w:bottom w:val="none" w:sz="0" w:space="0" w:color="auto"/>
            <w:right w:val="none" w:sz="0" w:space="0" w:color="auto"/>
          </w:divBdr>
        </w:div>
        <w:div w:id="1467429212">
          <w:marLeft w:val="640"/>
          <w:marRight w:val="0"/>
          <w:marTop w:val="0"/>
          <w:marBottom w:val="0"/>
          <w:divBdr>
            <w:top w:val="none" w:sz="0" w:space="0" w:color="auto"/>
            <w:left w:val="none" w:sz="0" w:space="0" w:color="auto"/>
            <w:bottom w:val="none" w:sz="0" w:space="0" w:color="auto"/>
            <w:right w:val="none" w:sz="0" w:space="0" w:color="auto"/>
          </w:divBdr>
        </w:div>
        <w:div w:id="266232018">
          <w:marLeft w:val="640"/>
          <w:marRight w:val="0"/>
          <w:marTop w:val="0"/>
          <w:marBottom w:val="0"/>
          <w:divBdr>
            <w:top w:val="none" w:sz="0" w:space="0" w:color="auto"/>
            <w:left w:val="none" w:sz="0" w:space="0" w:color="auto"/>
            <w:bottom w:val="none" w:sz="0" w:space="0" w:color="auto"/>
            <w:right w:val="none" w:sz="0" w:space="0" w:color="auto"/>
          </w:divBdr>
        </w:div>
        <w:div w:id="1886596309">
          <w:marLeft w:val="640"/>
          <w:marRight w:val="0"/>
          <w:marTop w:val="0"/>
          <w:marBottom w:val="0"/>
          <w:divBdr>
            <w:top w:val="none" w:sz="0" w:space="0" w:color="auto"/>
            <w:left w:val="none" w:sz="0" w:space="0" w:color="auto"/>
            <w:bottom w:val="none" w:sz="0" w:space="0" w:color="auto"/>
            <w:right w:val="none" w:sz="0" w:space="0" w:color="auto"/>
          </w:divBdr>
        </w:div>
        <w:div w:id="637149079">
          <w:marLeft w:val="640"/>
          <w:marRight w:val="0"/>
          <w:marTop w:val="0"/>
          <w:marBottom w:val="0"/>
          <w:divBdr>
            <w:top w:val="none" w:sz="0" w:space="0" w:color="auto"/>
            <w:left w:val="none" w:sz="0" w:space="0" w:color="auto"/>
            <w:bottom w:val="none" w:sz="0" w:space="0" w:color="auto"/>
            <w:right w:val="none" w:sz="0" w:space="0" w:color="auto"/>
          </w:divBdr>
        </w:div>
        <w:div w:id="1512184482">
          <w:marLeft w:val="640"/>
          <w:marRight w:val="0"/>
          <w:marTop w:val="0"/>
          <w:marBottom w:val="0"/>
          <w:divBdr>
            <w:top w:val="none" w:sz="0" w:space="0" w:color="auto"/>
            <w:left w:val="none" w:sz="0" w:space="0" w:color="auto"/>
            <w:bottom w:val="none" w:sz="0" w:space="0" w:color="auto"/>
            <w:right w:val="none" w:sz="0" w:space="0" w:color="auto"/>
          </w:divBdr>
        </w:div>
        <w:div w:id="42684463">
          <w:marLeft w:val="640"/>
          <w:marRight w:val="0"/>
          <w:marTop w:val="0"/>
          <w:marBottom w:val="0"/>
          <w:divBdr>
            <w:top w:val="none" w:sz="0" w:space="0" w:color="auto"/>
            <w:left w:val="none" w:sz="0" w:space="0" w:color="auto"/>
            <w:bottom w:val="none" w:sz="0" w:space="0" w:color="auto"/>
            <w:right w:val="none" w:sz="0" w:space="0" w:color="auto"/>
          </w:divBdr>
        </w:div>
        <w:div w:id="1877815125">
          <w:marLeft w:val="640"/>
          <w:marRight w:val="0"/>
          <w:marTop w:val="0"/>
          <w:marBottom w:val="0"/>
          <w:divBdr>
            <w:top w:val="none" w:sz="0" w:space="0" w:color="auto"/>
            <w:left w:val="none" w:sz="0" w:space="0" w:color="auto"/>
            <w:bottom w:val="none" w:sz="0" w:space="0" w:color="auto"/>
            <w:right w:val="none" w:sz="0" w:space="0" w:color="auto"/>
          </w:divBdr>
        </w:div>
        <w:div w:id="833958743">
          <w:marLeft w:val="640"/>
          <w:marRight w:val="0"/>
          <w:marTop w:val="0"/>
          <w:marBottom w:val="0"/>
          <w:divBdr>
            <w:top w:val="none" w:sz="0" w:space="0" w:color="auto"/>
            <w:left w:val="none" w:sz="0" w:space="0" w:color="auto"/>
            <w:bottom w:val="none" w:sz="0" w:space="0" w:color="auto"/>
            <w:right w:val="none" w:sz="0" w:space="0" w:color="auto"/>
          </w:divBdr>
        </w:div>
        <w:div w:id="2088960151">
          <w:marLeft w:val="640"/>
          <w:marRight w:val="0"/>
          <w:marTop w:val="0"/>
          <w:marBottom w:val="0"/>
          <w:divBdr>
            <w:top w:val="none" w:sz="0" w:space="0" w:color="auto"/>
            <w:left w:val="none" w:sz="0" w:space="0" w:color="auto"/>
            <w:bottom w:val="none" w:sz="0" w:space="0" w:color="auto"/>
            <w:right w:val="none" w:sz="0" w:space="0" w:color="auto"/>
          </w:divBdr>
        </w:div>
        <w:div w:id="1774475749">
          <w:marLeft w:val="640"/>
          <w:marRight w:val="0"/>
          <w:marTop w:val="0"/>
          <w:marBottom w:val="0"/>
          <w:divBdr>
            <w:top w:val="none" w:sz="0" w:space="0" w:color="auto"/>
            <w:left w:val="none" w:sz="0" w:space="0" w:color="auto"/>
            <w:bottom w:val="none" w:sz="0" w:space="0" w:color="auto"/>
            <w:right w:val="none" w:sz="0" w:space="0" w:color="auto"/>
          </w:divBdr>
        </w:div>
        <w:div w:id="1018582529">
          <w:marLeft w:val="640"/>
          <w:marRight w:val="0"/>
          <w:marTop w:val="0"/>
          <w:marBottom w:val="0"/>
          <w:divBdr>
            <w:top w:val="none" w:sz="0" w:space="0" w:color="auto"/>
            <w:left w:val="none" w:sz="0" w:space="0" w:color="auto"/>
            <w:bottom w:val="none" w:sz="0" w:space="0" w:color="auto"/>
            <w:right w:val="none" w:sz="0" w:space="0" w:color="auto"/>
          </w:divBdr>
        </w:div>
        <w:div w:id="239603483">
          <w:marLeft w:val="640"/>
          <w:marRight w:val="0"/>
          <w:marTop w:val="0"/>
          <w:marBottom w:val="0"/>
          <w:divBdr>
            <w:top w:val="none" w:sz="0" w:space="0" w:color="auto"/>
            <w:left w:val="none" w:sz="0" w:space="0" w:color="auto"/>
            <w:bottom w:val="none" w:sz="0" w:space="0" w:color="auto"/>
            <w:right w:val="none" w:sz="0" w:space="0" w:color="auto"/>
          </w:divBdr>
        </w:div>
        <w:div w:id="2025089135">
          <w:marLeft w:val="640"/>
          <w:marRight w:val="0"/>
          <w:marTop w:val="0"/>
          <w:marBottom w:val="0"/>
          <w:divBdr>
            <w:top w:val="none" w:sz="0" w:space="0" w:color="auto"/>
            <w:left w:val="none" w:sz="0" w:space="0" w:color="auto"/>
            <w:bottom w:val="none" w:sz="0" w:space="0" w:color="auto"/>
            <w:right w:val="none" w:sz="0" w:space="0" w:color="auto"/>
          </w:divBdr>
        </w:div>
        <w:div w:id="1440681961">
          <w:marLeft w:val="640"/>
          <w:marRight w:val="0"/>
          <w:marTop w:val="0"/>
          <w:marBottom w:val="0"/>
          <w:divBdr>
            <w:top w:val="none" w:sz="0" w:space="0" w:color="auto"/>
            <w:left w:val="none" w:sz="0" w:space="0" w:color="auto"/>
            <w:bottom w:val="none" w:sz="0" w:space="0" w:color="auto"/>
            <w:right w:val="none" w:sz="0" w:space="0" w:color="auto"/>
          </w:divBdr>
        </w:div>
        <w:div w:id="1472672010">
          <w:marLeft w:val="640"/>
          <w:marRight w:val="0"/>
          <w:marTop w:val="0"/>
          <w:marBottom w:val="0"/>
          <w:divBdr>
            <w:top w:val="none" w:sz="0" w:space="0" w:color="auto"/>
            <w:left w:val="none" w:sz="0" w:space="0" w:color="auto"/>
            <w:bottom w:val="none" w:sz="0" w:space="0" w:color="auto"/>
            <w:right w:val="none" w:sz="0" w:space="0" w:color="auto"/>
          </w:divBdr>
        </w:div>
        <w:div w:id="2068382427">
          <w:marLeft w:val="640"/>
          <w:marRight w:val="0"/>
          <w:marTop w:val="0"/>
          <w:marBottom w:val="0"/>
          <w:divBdr>
            <w:top w:val="none" w:sz="0" w:space="0" w:color="auto"/>
            <w:left w:val="none" w:sz="0" w:space="0" w:color="auto"/>
            <w:bottom w:val="none" w:sz="0" w:space="0" w:color="auto"/>
            <w:right w:val="none" w:sz="0" w:space="0" w:color="auto"/>
          </w:divBdr>
        </w:div>
        <w:div w:id="208152317">
          <w:marLeft w:val="640"/>
          <w:marRight w:val="0"/>
          <w:marTop w:val="0"/>
          <w:marBottom w:val="0"/>
          <w:divBdr>
            <w:top w:val="none" w:sz="0" w:space="0" w:color="auto"/>
            <w:left w:val="none" w:sz="0" w:space="0" w:color="auto"/>
            <w:bottom w:val="none" w:sz="0" w:space="0" w:color="auto"/>
            <w:right w:val="none" w:sz="0" w:space="0" w:color="auto"/>
          </w:divBdr>
        </w:div>
        <w:div w:id="2096439646">
          <w:marLeft w:val="640"/>
          <w:marRight w:val="0"/>
          <w:marTop w:val="0"/>
          <w:marBottom w:val="0"/>
          <w:divBdr>
            <w:top w:val="none" w:sz="0" w:space="0" w:color="auto"/>
            <w:left w:val="none" w:sz="0" w:space="0" w:color="auto"/>
            <w:bottom w:val="none" w:sz="0" w:space="0" w:color="auto"/>
            <w:right w:val="none" w:sz="0" w:space="0" w:color="auto"/>
          </w:divBdr>
        </w:div>
        <w:div w:id="566646965">
          <w:marLeft w:val="640"/>
          <w:marRight w:val="0"/>
          <w:marTop w:val="0"/>
          <w:marBottom w:val="0"/>
          <w:divBdr>
            <w:top w:val="none" w:sz="0" w:space="0" w:color="auto"/>
            <w:left w:val="none" w:sz="0" w:space="0" w:color="auto"/>
            <w:bottom w:val="none" w:sz="0" w:space="0" w:color="auto"/>
            <w:right w:val="none" w:sz="0" w:space="0" w:color="auto"/>
          </w:divBdr>
        </w:div>
        <w:div w:id="1389912571">
          <w:marLeft w:val="640"/>
          <w:marRight w:val="0"/>
          <w:marTop w:val="0"/>
          <w:marBottom w:val="0"/>
          <w:divBdr>
            <w:top w:val="none" w:sz="0" w:space="0" w:color="auto"/>
            <w:left w:val="none" w:sz="0" w:space="0" w:color="auto"/>
            <w:bottom w:val="none" w:sz="0" w:space="0" w:color="auto"/>
            <w:right w:val="none" w:sz="0" w:space="0" w:color="auto"/>
          </w:divBdr>
        </w:div>
        <w:div w:id="2013944998">
          <w:marLeft w:val="640"/>
          <w:marRight w:val="0"/>
          <w:marTop w:val="0"/>
          <w:marBottom w:val="0"/>
          <w:divBdr>
            <w:top w:val="none" w:sz="0" w:space="0" w:color="auto"/>
            <w:left w:val="none" w:sz="0" w:space="0" w:color="auto"/>
            <w:bottom w:val="none" w:sz="0" w:space="0" w:color="auto"/>
            <w:right w:val="none" w:sz="0" w:space="0" w:color="auto"/>
          </w:divBdr>
        </w:div>
        <w:div w:id="1682858437">
          <w:marLeft w:val="640"/>
          <w:marRight w:val="0"/>
          <w:marTop w:val="0"/>
          <w:marBottom w:val="0"/>
          <w:divBdr>
            <w:top w:val="none" w:sz="0" w:space="0" w:color="auto"/>
            <w:left w:val="none" w:sz="0" w:space="0" w:color="auto"/>
            <w:bottom w:val="none" w:sz="0" w:space="0" w:color="auto"/>
            <w:right w:val="none" w:sz="0" w:space="0" w:color="auto"/>
          </w:divBdr>
        </w:div>
        <w:div w:id="578251431">
          <w:marLeft w:val="640"/>
          <w:marRight w:val="0"/>
          <w:marTop w:val="0"/>
          <w:marBottom w:val="0"/>
          <w:divBdr>
            <w:top w:val="none" w:sz="0" w:space="0" w:color="auto"/>
            <w:left w:val="none" w:sz="0" w:space="0" w:color="auto"/>
            <w:bottom w:val="none" w:sz="0" w:space="0" w:color="auto"/>
            <w:right w:val="none" w:sz="0" w:space="0" w:color="auto"/>
          </w:divBdr>
        </w:div>
        <w:div w:id="41447888">
          <w:marLeft w:val="640"/>
          <w:marRight w:val="0"/>
          <w:marTop w:val="0"/>
          <w:marBottom w:val="0"/>
          <w:divBdr>
            <w:top w:val="none" w:sz="0" w:space="0" w:color="auto"/>
            <w:left w:val="none" w:sz="0" w:space="0" w:color="auto"/>
            <w:bottom w:val="none" w:sz="0" w:space="0" w:color="auto"/>
            <w:right w:val="none" w:sz="0" w:space="0" w:color="auto"/>
          </w:divBdr>
        </w:div>
        <w:div w:id="1952588843">
          <w:marLeft w:val="640"/>
          <w:marRight w:val="0"/>
          <w:marTop w:val="0"/>
          <w:marBottom w:val="0"/>
          <w:divBdr>
            <w:top w:val="none" w:sz="0" w:space="0" w:color="auto"/>
            <w:left w:val="none" w:sz="0" w:space="0" w:color="auto"/>
            <w:bottom w:val="none" w:sz="0" w:space="0" w:color="auto"/>
            <w:right w:val="none" w:sz="0" w:space="0" w:color="auto"/>
          </w:divBdr>
        </w:div>
        <w:div w:id="636766484">
          <w:marLeft w:val="640"/>
          <w:marRight w:val="0"/>
          <w:marTop w:val="0"/>
          <w:marBottom w:val="0"/>
          <w:divBdr>
            <w:top w:val="none" w:sz="0" w:space="0" w:color="auto"/>
            <w:left w:val="none" w:sz="0" w:space="0" w:color="auto"/>
            <w:bottom w:val="none" w:sz="0" w:space="0" w:color="auto"/>
            <w:right w:val="none" w:sz="0" w:space="0" w:color="auto"/>
          </w:divBdr>
        </w:div>
        <w:div w:id="1587031856">
          <w:marLeft w:val="640"/>
          <w:marRight w:val="0"/>
          <w:marTop w:val="0"/>
          <w:marBottom w:val="0"/>
          <w:divBdr>
            <w:top w:val="none" w:sz="0" w:space="0" w:color="auto"/>
            <w:left w:val="none" w:sz="0" w:space="0" w:color="auto"/>
            <w:bottom w:val="none" w:sz="0" w:space="0" w:color="auto"/>
            <w:right w:val="none" w:sz="0" w:space="0" w:color="auto"/>
          </w:divBdr>
        </w:div>
        <w:div w:id="182784907">
          <w:marLeft w:val="640"/>
          <w:marRight w:val="0"/>
          <w:marTop w:val="0"/>
          <w:marBottom w:val="0"/>
          <w:divBdr>
            <w:top w:val="none" w:sz="0" w:space="0" w:color="auto"/>
            <w:left w:val="none" w:sz="0" w:space="0" w:color="auto"/>
            <w:bottom w:val="none" w:sz="0" w:space="0" w:color="auto"/>
            <w:right w:val="none" w:sz="0" w:space="0" w:color="auto"/>
          </w:divBdr>
        </w:div>
        <w:div w:id="544753363">
          <w:marLeft w:val="640"/>
          <w:marRight w:val="0"/>
          <w:marTop w:val="0"/>
          <w:marBottom w:val="0"/>
          <w:divBdr>
            <w:top w:val="none" w:sz="0" w:space="0" w:color="auto"/>
            <w:left w:val="none" w:sz="0" w:space="0" w:color="auto"/>
            <w:bottom w:val="none" w:sz="0" w:space="0" w:color="auto"/>
            <w:right w:val="none" w:sz="0" w:space="0" w:color="auto"/>
          </w:divBdr>
        </w:div>
        <w:div w:id="711881427">
          <w:marLeft w:val="640"/>
          <w:marRight w:val="0"/>
          <w:marTop w:val="0"/>
          <w:marBottom w:val="0"/>
          <w:divBdr>
            <w:top w:val="none" w:sz="0" w:space="0" w:color="auto"/>
            <w:left w:val="none" w:sz="0" w:space="0" w:color="auto"/>
            <w:bottom w:val="none" w:sz="0" w:space="0" w:color="auto"/>
            <w:right w:val="none" w:sz="0" w:space="0" w:color="auto"/>
          </w:divBdr>
        </w:div>
        <w:div w:id="1246188056">
          <w:marLeft w:val="640"/>
          <w:marRight w:val="0"/>
          <w:marTop w:val="0"/>
          <w:marBottom w:val="0"/>
          <w:divBdr>
            <w:top w:val="none" w:sz="0" w:space="0" w:color="auto"/>
            <w:left w:val="none" w:sz="0" w:space="0" w:color="auto"/>
            <w:bottom w:val="none" w:sz="0" w:space="0" w:color="auto"/>
            <w:right w:val="none" w:sz="0" w:space="0" w:color="auto"/>
          </w:divBdr>
        </w:div>
        <w:div w:id="1037975448">
          <w:marLeft w:val="640"/>
          <w:marRight w:val="0"/>
          <w:marTop w:val="0"/>
          <w:marBottom w:val="0"/>
          <w:divBdr>
            <w:top w:val="none" w:sz="0" w:space="0" w:color="auto"/>
            <w:left w:val="none" w:sz="0" w:space="0" w:color="auto"/>
            <w:bottom w:val="none" w:sz="0" w:space="0" w:color="auto"/>
            <w:right w:val="none" w:sz="0" w:space="0" w:color="auto"/>
          </w:divBdr>
        </w:div>
        <w:div w:id="1832795395">
          <w:marLeft w:val="640"/>
          <w:marRight w:val="0"/>
          <w:marTop w:val="0"/>
          <w:marBottom w:val="0"/>
          <w:divBdr>
            <w:top w:val="none" w:sz="0" w:space="0" w:color="auto"/>
            <w:left w:val="none" w:sz="0" w:space="0" w:color="auto"/>
            <w:bottom w:val="none" w:sz="0" w:space="0" w:color="auto"/>
            <w:right w:val="none" w:sz="0" w:space="0" w:color="auto"/>
          </w:divBdr>
        </w:div>
        <w:div w:id="1297251986">
          <w:marLeft w:val="640"/>
          <w:marRight w:val="0"/>
          <w:marTop w:val="0"/>
          <w:marBottom w:val="0"/>
          <w:divBdr>
            <w:top w:val="none" w:sz="0" w:space="0" w:color="auto"/>
            <w:left w:val="none" w:sz="0" w:space="0" w:color="auto"/>
            <w:bottom w:val="none" w:sz="0" w:space="0" w:color="auto"/>
            <w:right w:val="none" w:sz="0" w:space="0" w:color="auto"/>
          </w:divBdr>
        </w:div>
        <w:div w:id="2051417341">
          <w:marLeft w:val="640"/>
          <w:marRight w:val="0"/>
          <w:marTop w:val="0"/>
          <w:marBottom w:val="0"/>
          <w:divBdr>
            <w:top w:val="none" w:sz="0" w:space="0" w:color="auto"/>
            <w:left w:val="none" w:sz="0" w:space="0" w:color="auto"/>
            <w:bottom w:val="none" w:sz="0" w:space="0" w:color="auto"/>
            <w:right w:val="none" w:sz="0" w:space="0" w:color="auto"/>
          </w:divBdr>
        </w:div>
        <w:div w:id="303774091">
          <w:marLeft w:val="640"/>
          <w:marRight w:val="0"/>
          <w:marTop w:val="0"/>
          <w:marBottom w:val="0"/>
          <w:divBdr>
            <w:top w:val="none" w:sz="0" w:space="0" w:color="auto"/>
            <w:left w:val="none" w:sz="0" w:space="0" w:color="auto"/>
            <w:bottom w:val="none" w:sz="0" w:space="0" w:color="auto"/>
            <w:right w:val="none" w:sz="0" w:space="0" w:color="auto"/>
          </w:divBdr>
        </w:div>
        <w:div w:id="1761099673">
          <w:marLeft w:val="640"/>
          <w:marRight w:val="0"/>
          <w:marTop w:val="0"/>
          <w:marBottom w:val="0"/>
          <w:divBdr>
            <w:top w:val="none" w:sz="0" w:space="0" w:color="auto"/>
            <w:left w:val="none" w:sz="0" w:space="0" w:color="auto"/>
            <w:bottom w:val="none" w:sz="0" w:space="0" w:color="auto"/>
            <w:right w:val="none" w:sz="0" w:space="0" w:color="auto"/>
          </w:divBdr>
        </w:div>
        <w:div w:id="839736584">
          <w:marLeft w:val="640"/>
          <w:marRight w:val="0"/>
          <w:marTop w:val="0"/>
          <w:marBottom w:val="0"/>
          <w:divBdr>
            <w:top w:val="none" w:sz="0" w:space="0" w:color="auto"/>
            <w:left w:val="none" w:sz="0" w:space="0" w:color="auto"/>
            <w:bottom w:val="none" w:sz="0" w:space="0" w:color="auto"/>
            <w:right w:val="none" w:sz="0" w:space="0" w:color="auto"/>
          </w:divBdr>
        </w:div>
        <w:div w:id="176117439">
          <w:marLeft w:val="640"/>
          <w:marRight w:val="0"/>
          <w:marTop w:val="0"/>
          <w:marBottom w:val="0"/>
          <w:divBdr>
            <w:top w:val="none" w:sz="0" w:space="0" w:color="auto"/>
            <w:left w:val="none" w:sz="0" w:space="0" w:color="auto"/>
            <w:bottom w:val="none" w:sz="0" w:space="0" w:color="auto"/>
            <w:right w:val="none" w:sz="0" w:space="0" w:color="auto"/>
          </w:divBdr>
        </w:div>
        <w:div w:id="731194670">
          <w:marLeft w:val="640"/>
          <w:marRight w:val="0"/>
          <w:marTop w:val="0"/>
          <w:marBottom w:val="0"/>
          <w:divBdr>
            <w:top w:val="none" w:sz="0" w:space="0" w:color="auto"/>
            <w:left w:val="none" w:sz="0" w:space="0" w:color="auto"/>
            <w:bottom w:val="none" w:sz="0" w:space="0" w:color="auto"/>
            <w:right w:val="none" w:sz="0" w:space="0" w:color="auto"/>
          </w:divBdr>
        </w:div>
        <w:div w:id="1728412914">
          <w:marLeft w:val="640"/>
          <w:marRight w:val="0"/>
          <w:marTop w:val="0"/>
          <w:marBottom w:val="0"/>
          <w:divBdr>
            <w:top w:val="none" w:sz="0" w:space="0" w:color="auto"/>
            <w:left w:val="none" w:sz="0" w:space="0" w:color="auto"/>
            <w:bottom w:val="none" w:sz="0" w:space="0" w:color="auto"/>
            <w:right w:val="none" w:sz="0" w:space="0" w:color="auto"/>
          </w:divBdr>
        </w:div>
        <w:div w:id="867718699">
          <w:marLeft w:val="640"/>
          <w:marRight w:val="0"/>
          <w:marTop w:val="0"/>
          <w:marBottom w:val="0"/>
          <w:divBdr>
            <w:top w:val="none" w:sz="0" w:space="0" w:color="auto"/>
            <w:left w:val="none" w:sz="0" w:space="0" w:color="auto"/>
            <w:bottom w:val="none" w:sz="0" w:space="0" w:color="auto"/>
            <w:right w:val="none" w:sz="0" w:space="0" w:color="auto"/>
          </w:divBdr>
        </w:div>
        <w:div w:id="1138300600">
          <w:marLeft w:val="640"/>
          <w:marRight w:val="0"/>
          <w:marTop w:val="0"/>
          <w:marBottom w:val="0"/>
          <w:divBdr>
            <w:top w:val="none" w:sz="0" w:space="0" w:color="auto"/>
            <w:left w:val="none" w:sz="0" w:space="0" w:color="auto"/>
            <w:bottom w:val="none" w:sz="0" w:space="0" w:color="auto"/>
            <w:right w:val="none" w:sz="0" w:space="0" w:color="auto"/>
          </w:divBdr>
        </w:div>
        <w:div w:id="2052074313">
          <w:marLeft w:val="640"/>
          <w:marRight w:val="0"/>
          <w:marTop w:val="0"/>
          <w:marBottom w:val="0"/>
          <w:divBdr>
            <w:top w:val="none" w:sz="0" w:space="0" w:color="auto"/>
            <w:left w:val="none" w:sz="0" w:space="0" w:color="auto"/>
            <w:bottom w:val="none" w:sz="0" w:space="0" w:color="auto"/>
            <w:right w:val="none" w:sz="0" w:space="0" w:color="auto"/>
          </w:divBdr>
        </w:div>
        <w:div w:id="1279871610">
          <w:marLeft w:val="640"/>
          <w:marRight w:val="0"/>
          <w:marTop w:val="0"/>
          <w:marBottom w:val="0"/>
          <w:divBdr>
            <w:top w:val="none" w:sz="0" w:space="0" w:color="auto"/>
            <w:left w:val="none" w:sz="0" w:space="0" w:color="auto"/>
            <w:bottom w:val="none" w:sz="0" w:space="0" w:color="auto"/>
            <w:right w:val="none" w:sz="0" w:space="0" w:color="auto"/>
          </w:divBdr>
        </w:div>
        <w:div w:id="635988929">
          <w:marLeft w:val="640"/>
          <w:marRight w:val="0"/>
          <w:marTop w:val="0"/>
          <w:marBottom w:val="0"/>
          <w:divBdr>
            <w:top w:val="none" w:sz="0" w:space="0" w:color="auto"/>
            <w:left w:val="none" w:sz="0" w:space="0" w:color="auto"/>
            <w:bottom w:val="none" w:sz="0" w:space="0" w:color="auto"/>
            <w:right w:val="none" w:sz="0" w:space="0" w:color="auto"/>
          </w:divBdr>
        </w:div>
        <w:div w:id="1647054578">
          <w:marLeft w:val="640"/>
          <w:marRight w:val="0"/>
          <w:marTop w:val="0"/>
          <w:marBottom w:val="0"/>
          <w:divBdr>
            <w:top w:val="none" w:sz="0" w:space="0" w:color="auto"/>
            <w:left w:val="none" w:sz="0" w:space="0" w:color="auto"/>
            <w:bottom w:val="none" w:sz="0" w:space="0" w:color="auto"/>
            <w:right w:val="none" w:sz="0" w:space="0" w:color="auto"/>
          </w:divBdr>
        </w:div>
        <w:div w:id="849294437">
          <w:marLeft w:val="640"/>
          <w:marRight w:val="0"/>
          <w:marTop w:val="0"/>
          <w:marBottom w:val="0"/>
          <w:divBdr>
            <w:top w:val="none" w:sz="0" w:space="0" w:color="auto"/>
            <w:left w:val="none" w:sz="0" w:space="0" w:color="auto"/>
            <w:bottom w:val="none" w:sz="0" w:space="0" w:color="auto"/>
            <w:right w:val="none" w:sz="0" w:space="0" w:color="auto"/>
          </w:divBdr>
        </w:div>
        <w:div w:id="1670404660">
          <w:marLeft w:val="640"/>
          <w:marRight w:val="0"/>
          <w:marTop w:val="0"/>
          <w:marBottom w:val="0"/>
          <w:divBdr>
            <w:top w:val="none" w:sz="0" w:space="0" w:color="auto"/>
            <w:left w:val="none" w:sz="0" w:space="0" w:color="auto"/>
            <w:bottom w:val="none" w:sz="0" w:space="0" w:color="auto"/>
            <w:right w:val="none" w:sz="0" w:space="0" w:color="auto"/>
          </w:divBdr>
        </w:div>
        <w:div w:id="1601841311">
          <w:marLeft w:val="640"/>
          <w:marRight w:val="0"/>
          <w:marTop w:val="0"/>
          <w:marBottom w:val="0"/>
          <w:divBdr>
            <w:top w:val="none" w:sz="0" w:space="0" w:color="auto"/>
            <w:left w:val="none" w:sz="0" w:space="0" w:color="auto"/>
            <w:bottom w:val="none" w:sz="0" w:space="0" w:color="auto"/>
            <w:right w:val="none" w:sz="0" w:space="0" w:color="auto"/>
          </w:divBdr>
        </w:div>
        <w:div w:id="15431139">
          <w:marLeft w:val="640"/>
          <w:marRight w:val="0"/>
          <w:marTop w:val="0"/>
          <w:marBottom w:val="0"/>
          <w:divBdr>
            <w:top w:val="none" w:sz="0" w:space="0" w:color="auto"/>
            <w:left w:val="none" w:sz="0" w:space="0" w:color="auto"/>
            <w:bottom w:val="none" w:sz="0" w:space="0" w:color="auto"/>
            <w:right w:val="none" w:sz="0" w:space="0" w:color="auto"/>
          </w:divBdr>
        </w:div>
        <w:div w:id="1718511027">
          <w:marLeft w:val="640"/>
          <w:marRight w:val="0"/>
          <w:marTop w:val="0"/>
          <w:marBottom w:val="0"/>
          <w:divBdr>
            <w:top w:val="none" w:sz="0" w:space="0" w:color="auto"/>
            <w:left w:val="none" w:sz="0" w:space="0" w:color="auto"/>
            <w:bottom w:val="none" w:sz="0" w:space="0" w:color="auto"/>
            <w:right w:val="none" w:sz="0" w:space="0" w:color="auto"/>
          </w:divBdr>
        </w:div>
        <w:div w:id="1621493256">
          <w:marLeft w:val="640"/>
          <w:marRight w:val="0"/>
          <w:marTop w:val="0"/>
          <w:marBottom w:val="0"/>
          <w:divBdr>
            <w:top w:val="none" w:sz="0" w:space="0" w:color="auto"/>
            <w:left w:val="none" w:sz="0" w:space="0" w:color="auto"/>
            <w:bottom w:val="none" w:sz="0" w:space="0" w:color="auto"/>
            <w:right w:val="none" w:sz="0" w:space="0" w:color="auto"/>
          </w:divBdr>
        </w:div>
        <w:div w:id="1429420931">
          <w:marLeft w:val="640"/>
          <w:marRight w:val="0"/>
          <w:marTop w:val="0"/>
          <w:marBottom w:val="0"/>
          <w:divBdr>
            <w:top w:val="none" w:sz="0" w:space="0" w:color="auto"/>
            <w:left w:val="none" w:sz="0" w:space="0" w:color="auto"/>
            <w:bottom w:val="none" w:sz="0" w:space="0" w:color="auto"/>
            <w:right w:val="none" w:sz="0" w:space="0" w:color="auto"/>
          </w:divBdr>
        </w:div>
        <w:div w:id="1028408931">
          <w:marLeft w:val="640"/>
          <w:marRight w:val="0"/>
          <w:marTop w:val="0"/>
          <w:marBottom w:val="0"/>
          <w:divBdr>
            <w:top w:val="none" w:sz="0" w:space="0" w:color="auto"/>
            <w:left w:val="none" w:sz="0" w:space="0" w:color="auto"/>
            <w:bottom w:val="none" w:sz="0" w:space="0" w:color="auto"/>
            <w:right w:val="none" w:sz="0" w:space="0" w:color="auto"/>
          </w:divBdr>
        </w:div>
        <w:div w:id="1592860372">
          <w:marLeft w:val="640"/>
          <w:marRight w:val="0"/>
          <w:marTop w:val="0"/>
          <w:marBottom w:val="0"/>
          <w:divBdr>
            <w:top w:val="none" w:sz="0" w:space="0" w:color="auto"/>
            <w:left w:val="none" w:sz="0" w:space="0" w:color="auto"/>
            <w:bottom w:val="none" w:sz="0" w:space="0" w:color="auto"/>
            <w:right w:val="none" w:sz="0" w:space="0" w:color="auto"/>
          </w:divBdr>
        </w:div>
        <w:div w:id="981543808">
          <w:marLeft w:val="640"/>
          <w:marRight w:val="0"/>
          <w:marTop w:val="0"/>
          <w:marBottom w:val="0"/>
          <w:divBdr>
            <w:top w:val="none" w:sz="0" w:space="0" w:color="auto"/>
            <w:left w:val="none" w:sz="0" w:space="0" w:color="auto"/>
            <w:bottom w:val="none" w:sz="0" w:space="0" w:color="auto"/>
            <w:right w:val="none" w:sz="0" w:space="0" w:color="auto"/>
          </w:divBdr>
        </w:div>
        <w:div w:id="255329895">
          <w:marLeft w:val="640"/>
          <w:marRight w:val="0"/>
          <w:marTop w:val="0"/>
          <w:marBottom w:val="0"/>
          <w:divBdr>
            <w:top w:val="none" w:sz="0" w:space="0" w:color="auto"/>
            <w:left w:val="none" w:sz="0" w:space="0" w:color="auto"/>
            <w:bottom w:val="none" w:sz="0" w:space="0" w:color="auto"/>
            <w:right w:val="none" w:sz="0" w:space="0" w:color="auto"/>
          </w:divBdr>
        </w:div>
        <w:div w:id="1946616474">
          <w:marLeft w:val="640"/>
          <w:marRight w:val="0"/>
          <w:marTop w:val="0"/>
          <w:marBottom w:val="0"/>
          <w:divBdr>
            <w:top w:val="none" w:sz="0" w:space="0" w:color="auto"/>
            <w:left w:val="none" w:sz="0" w:space="0" w:color="auto"/>
            <w:bottom w:val="none" w:sz="0" w:space="0" w:color="auto"/>
            <w:right w:val="none" w:sz="0" w:space="0" w:color="auto"/>
          </w:divBdr>
        </w:div>
        <w:div w:id="1124345256">
          <w:marLeft w:val="640"/>
          <w:marRight w:val="0"/>
          <w:marTop w:val="0"/>
          <w:marBottom w:val="0"/>
          <w:divBdr>
            <w:top w:val="none" w:sz="0" w:space="0" w:color="auto"/>
            <w:left w:val="none" w:sz="0" w:space="0" w:color="auto"/>
            <w:bottom w:val="none" w:sz="0" w:space="0" w:color="auto"/>
            <w:right w:val="none" w:sz="0" w:space="0" w:color="auto"/>
          </w:divBdr>
        </w:div>
        <w:div w:id="1096557934">
          <w:marLeft w:val="640"/>
          <w:marRight w:val="0"/>
          <w:marTop w:val="0"/>
          <w:marBottom w:val="0"/>
          <w:divBdr>
            <w:top w:val="none" w:sz="0" w:space="0" w:color="auto"/>
            <w:left w:val="none" w:sz="0" w:space="0" w:color="auto"/>
            <w:bottom w:val="none" w:sz="0" w:space="0" w:color="auto"/>
            <w:right w:val="none" w:sz="0" w:space="0" w:color="auto"/>
          </w:divBdr>
        </w:div>
        <w:div w:id="1910116006">
          <w:marLeft w:val="640"/>
          <w:marRight w:val="0"/>
          <w:marTop w:val="0"/>
          <w:marBottom w:val="0"/>
          <w:divBdr>
            <w:top w:val="none" w:sz="0" w:space="0" w:color="auto"/>
            <w:left w:val="none" w:sz="0" w:space="0" w:color="auto"/>
            <w:bottom w:val="none" w:sz="0" w:space="0" w:color="auto"/>
            <w:right w:val="none" w:sz="0" w:space="0" w:color="auto"/>
          </w:divBdr>
        </w:div>
        <w:div w:id="1504976070">
          <w:marLeft w:val="640"/>
          <w:marRight w:val="0"/>
          <w:marTop w:val="0"/>
          <w:marBottom w:val="0"/>
          <w:divBdr>
            <w:top w:val="none" w:sz="0" w:space="0" w:color="auto"/>
            <w:left w:val="none" w:sz="0" w:space="0" w:color="auto"/>
            <w:bottom w:val="none" w:sz="0" w:space="0" w:color="auto"/>
            <w:right w:val="none" w:sz="0" w:space="0" w:color="auto"/>
          </w:divBdr>
        </w:div>
        <w:div w:id="2049256808">
          <w:marLeft w:val="640"/>
          <w:marRight w:val="0"/>
          <w:marTop w:val="0"/>
          <w:marBottom w:val="0"/>
          <w:divBdr>
            <w:top w:val="none" w:sz="0" w:space="0" w:color="auto"/>
            <w:left w:val="none" w:sz="0" w:space="0" w:color="auto"/>
            <w:bottom w:val="none" w:sz="0" w:space="0" w:color="auto"/>
            <w:right w:val="none" w:sz="0" w:space="0" w:color="auto"/>
          </w:divBdr>
        </w:div>
        <w:div w:id="314381120">
          <w:marLeft w:val="640"/>
          <w:marRight w:val="0"/>
          <w:marTop w:val="0"/>
          <w:marBottom w:val="0"/>
          <w:divBdr>
            <w:top w:val="none" w:sz="0" w:space="0" w:color="auto"/>
            <w:left w:val="none" w:sz="0" w:space="0" w:color="auto"/>
            <w:bottom w:val="none" w:sz="0" w:space="0" w:color="auto"/>
            <w:right w:val="none" w:sz="0" w:space="0" w:color="auto"/>
          </w:divBdr>
        </w:div>
        <w:div w:id="1446339818">
          <w:marLeft w:val="640"/>
          <w:marRight w:val="0"/>
          <w:marTop w:val="0"/>
          <w:marBottom w:val="0"/>
          <w:divBdr>
            <w:top w:val="none" w:sz="0" w:space="0" w:color="auto"/>
            <w:left w:val="none" w:sz="0" w:space="0" w:color="auto"/>
            <w:bottom w:val="none" w:sz="0" w:space="0" w:color="auto"/>
            <w:right w:val="none" w:sz="0" w:space="0" w:color="auto"/>
          </w:divBdr>
        </w:div>
        <w:div w:id="1651597103">
          <w:marLeft w:val="640"/>
          <w:marRight w:val="0"/>
          <w:marTop w:val="0"/>
          <w:marBottom w:val="0"/>
          <w:divBdr>
            <w:top w:val="none" w:sz="0" w:space="0" w:color="auto"/>
            <w:left w:val="none" w:sz="0" w:space="0" w:color="auto"/>
            <w:bottom w:val="none" w:sz="0" w:space="0" w:color="auto"/>
            <w:right w:val="none" w:sz="0" w:space="0" w:color="auto"/>
          </w:divBdr>
        </w:div>
        <w:div w:id="952593737">
          <w:marLeft w:val="640"/>
          <w:marRight w:val="0"/>
          <w:marTop w:val="0"/>
          <w:marBottom w:val="0"/>
          <w:divBdr>
            <w:top w:val="none" w:sz="0" w:space="0" w:color="auto"/>
            <w:left w:val="none" w:sz="0" w:space="0" w:color="auto"/>
            <w:bottom w:val="none" w:sz="0" w:space="0" w:color="auto"/>
            <w:right w:val="none" w:sz="0" w:space="0" w:color="auto"/>
          </w:divBdr>
        </w:div>
        <w:div w:id="1334333408">
          <w:marLeft w:val="640"/>
          <w:marRight w:val="0"/>
          <w:marTop w:val="0"/>
          <w:marBottom w:val="0"/>
          <w:divBdr>
            <w:top w:val="none" w:sz="0" w:space="0" w:color="auto"/>
            <w:left w:val="none" w:sz="0" w:space="0" w:color="auto"/>
            <w:bottom w:val="none" w:sz="0" w:space="0" w:color="auto"/>
            <w:right w:val="none" w:sz="0" w:space="0" w:color="auto"/>
          </w:divBdr>
        </w:div>
        <w:div w:id="1590187636">
          <w:marLeft w:val="640"/>
          <w:marRight w:val="0"/>
          <w:marTop w:val="0"/>
          <w:marBottom w:val="0"/>
          <w:divBdr>
            <w:top w:val="none" w:sz="0" w:space="0" w:color="auto"/>
            <w:left w:val="none" w:sz="0" w:space="0" w:color="auto"/>
            <w:bottom w:val="none" w:sz="0" w:space="0" w:color="auto"/>
            <w:right w:val="none" w:sz="0" w:space="0" w:color="auto"/>
          </w:divBdr>
        </w:div>
        <w:div w:id="1981185900">
          <w:marLeft w:val="640"/>
          <w:marRight w:val="0"/>
          <w:marTop w:val="0"/>
          <w:marBottom w:val="0"/>
          <w:divBdr>
            <w:top w:val="none" w:sz="0" w:space="0" w:color="auto"/>
            <w:left w:val="none" w:sz="0" w:space="0" w:color="auto"/>
            <w:bottom w:val="none" w:sz="0" w:space="0" w:color="auto"/>
            <w:right w:val="none" w:sz="0" w:space="0" w:color="auto"/>
          </w:divBdr>
        </w:div>
        <w:div w:id="437719494">
          <w:marLeft w:val="640"/>
          <w:marRight w:val="0"/>
          <w:marTop w:val="0"/>
          <w:marBottom w:val="0"/>
          <w:divBdr>
            <w:top w:val="none" w:sz="0" w:space="0" w:color="auto"/>
            <w:left w:val="none" w:sz="0" w:space="0" w:color="auto"/>
            <w:bottom w:val="none" w:sz="0" w:space="0" w:color="auto"/>
            <w:right w:val="none" w:sz="0" w:space="0" w:color="auto"/>
          </w:divBdr>
        </w:div>
        <w:div w:id="143474354">
          <w:marLeft w:val="640"/>
          <w:marRight w:val="0"/>
          <w:marTop w:val="0"/>
          <w:marBottom w:val="0"/>
          <w:divBdr>
            <w:top w:val="none" w:sz="0" w:space="0" w:color="auto"/>
            <w:left w:val="none" w:sz="0" w:space="0" w:color="auto"/>
            <w:bottom w:val="none" w:sz="0" w:space="0" w:color="auto"/>
            <w:right w:val="none" w:sz="0" w:space="0" w:color="auto"/>
          </w:divBdr>
        </w:div>
        <w:div w:id="154495097">
          <w:marLeft w:val="640"/>
          <w:marRight w:val="0"/>
          <w:marTop w:val="0"/>
          <w:marBottom w:val="0"/>
          <w:divBdr>
            <w:top w:val="none" w:sz="0" w:space="0" w:color="auto"/>
            <w:left w:val="none" w:sz="0" w:space="0" w:color="auto"/>
            <w:bottom w:val="none" w:sz="0" w:space="0" w:color="auto"/>
            <w:right w:val="none" w:sz="0" w:space="0" w:color="auto"/>
          </w:divBdr>
        </w:div>
        <w:div w:id="454642602">
          <w:marLeft w:val="640"/>
          <w:marRight w:val="0"/>
          <w:marTop w:val="0"/>
          <w:marBottom w:val="0"/>
          <w:divBdr>
            <w:top w:val="none" w:sz="0" w:space="0" w:color="auto"/>
            <w:left w:val="none" w:sz="0" w:space="0" w:color="auto"/>
            <w:bottom w:val="none" w:sz="0" w:space="0" w:color="auto"/>
            <w:right w:val="none" w:sz="0" w:space="0" w:color="auto"/>
          </w:divBdr>
        </w:div>
        <w:div w:id="1331714579">
          <w:marLeft w:val="640"/>
          <w:marRight w:val="0"/>
          <w:marTop w:val="0"/>
          <w:marBottom w:val="0"/>
          <w:divBdr>
            <w:top w:val="none" w:sz="0" w:space="0" w:color="auto"/>
            <w:left w:val="none" w:sz="0" w:space="0" w:color="auto"/>
            <w:bottom w:val="none" w:sz="0" w:space="0" w:color="auto"/>
            <w:right w:val="none" w:sz="0" w:space="0" w:color="auto"/>
          </w:divBdr>
        </w:div>
        <w:div w:id="576792194">
          <w:marLeft w:val="640"/>
          <w:marRight w:val="0"/>
          <w:marTop w:val="0"/>
          <w:marBottom w:val="0"/>
          <w:divBdr>
            <w:top w:val="none" w:sz="0" w:space="0" w:color="auto"/>
            <w:left w:val="none" w:sz="0" w:space="0" w:color="auto"/>
            <w:bottom w:val="none" w:sz="0" w:space="0" w:color="auto"/>
            <w:right w:val="none" w:sz="0" w:space="0" w:color="auto"/>
          </w:divBdr>
        </w:div>
        <w:div w:id="1718159513">
          <w:marLeft w:val="640"/>
          <w:marRight w:val="0"/>
          <w:marTop w:val="0"/>
          <w:marBottom w:val="0"/>
          <w:divBdr>
            <w:top w:val="none" w:sz="0" w:space="0" w:color="auto"/>
            <w:left w:val="none" w:sz="0" w:space="0" w:color="auto"/>
            <w:bottom w:val="none" w:sz="0" w:space="0" w:color="auto"/>
            <w:right w:val="none" w:sz="0" w:space="0" w:color="auto"/>
          </w:divBdr>
        </w:div>
        <w:div w:id="367143618">
          <w:marLeft w:val="640"/>
          <w:marRight w:val="0"/>
          <w:marTop w:val="0"/>
          <w:marBottom w:val="0"/>
          <w:divBdr>
            <w:top w:val="none" w:sz="0" w:space="0" w:color="auto"/>
            <w:left w:val="none" w:sz="0" w:space="0" w:color="auto"/>
            <w:bottom w:val="none" w:sz="0" w:space="0" w:color="auto"/>
            <w:right w:val="none" w:sz="0" w:space="0" w:color="auto"/>
          </w:divBdr>
        </w:div>
        <w:div w:id="2026515591">
          <w:marLeft w:val="640"/>
          <w:marRight w:val="0"/>
          <w:marTop w:val="0"/>
          <w:marBottom w:val="0"/>
          <w:divBdr>
            <w:top w:val="none" w:sz="0" w:space="0" w:color="auto"/>
            <w:left w:val="none" w:sz="0" w:space="0" w:color="auto"/>
            <w:bottom w:val="none" w:sz="0" w:space="0" w:color="auto"/>
            <w:right w:val="none" w:sz="0" w:space="0" w:color="auto"/>
          </w:divBdr>
        </w:div>
        <w:div w:id="934896623">
          <w:marLeft w:val="640"/>
          <w:marRight w:val="0"/>
          <w:marTop w:val="0"/>
          <w:marBottom w:val="0"/>
          <w:divBdr>
            <w:top w:val="none" w:sz="0" w:space="0" w:color="auto"/>
            <w:left w:val="none" w:sz="0" w:space="0" w:color="auto"/>
            <w:bottom w:val="none" w:sz="0" w:space="0" w:color="auto"/>
            <w:right w:val="none" w:sz="0" w:space="0" w:color="auto"/>
          </w:divBdr>
        </w:div>
        <w:div w:id="445346064">
          <w:marLeft w:val="640"/>
          <w:marRight w:val="0"/>
          <w:marTop w:val="0"/>
          <w:marBottom w:val="0"/>
          <w:divBdr>
            <w:top w:val="none" w:sz="0" w:space="0" w:color="auto"/>
            <w:left w:val="none" w:sz="0" w:space="0" w:color="auto"/>
            <w:bottom w:val="none" w:sz="0" w:space="0" w:color="auto"/>
            <w:right w:val="none" w:sz="0" w:space="0" w:color="auto"/>
          </w:divBdr>
        </w:div>
        <w:div w:id="1330326213">
          <w:marLeft w:val="640"/>
          <w:marRight w:val="0"/>
          <w:marTop w:val="0"/>
          <w:marBottom w:val="0"/>
          <w:divBdr>
            <w:top w:val="none" w:sz="0" w:space="0" w:color="auto"/>
            <w:left w:val="none" w:sz="0" w:space="0" w:color="auto"/>
            <w:bottom w:val="none" w:sz="0" w:space="0" w:color="auto"/>
            <w:right w:val="none" w:sz="0" w:space="0" w:color="auto"/>
          </w:divBdr>
        </w:div>
        <w:div w:id="1823933647">
          <w:marLeft w:val="640"/>
          <w:marRight w:val="0"/>
          <w:marTop w:val="0"/>
          <w:marBottom w:val="0"/>
          <w:divBdr>
            <w:top w:val="none" w:sz="0" w:space="0" w:color="auto"/>
            <w:left w:val="none" w:sz="0" w:space="0" w:color="auto"/>
            <w:bottom w:val="none" w:sz="0" w:space="0" w:color="auto"/>
            <w:right w:val="none" w:sz="0" w:space="0" w:color="auto"/>
          </w:divBdr>
        </w:div>
        <w:div w:id="1112550891">
          <w:marLeft w:val="640"/>
          <w:marRight w:val="0"/>
          <w:marTop w:val="0"/>
          <w:marBottom w:val="0"/>
          <w:divBdr>
            <w:top w:val="none" w:sz="0" w:space="0" w:color="auto"/>
            <w:left w:val="none" w:sz="0" w:space="0" w:color="auto"/>
            <w:bottom w:val="none" w:sz="0" w:space="0" w:color="auto"/>
            <w:right w:val="none" w:sz="0" w:space="0" w:color="auto"/>
          </w:divBdr>
        </w:div>
        <w:div w:id="2094160936">
          <w:marLeft w:val="640"/>
          <w:marRight w:val="0"/>
          <w:marTop w:val="0"/>
          <w:marBottom w:val="0"/>
          <w:divBdr>
            <w:top w:val="none" w:sz="0" w:space="0" w:color="auto"/>
            <w:left w:val="none" w:sz="0" w:space="0" w:color="auto"/>
            <w:bottom w:val="none" w:sz="0" w:space="0" w:color="auto"/>
            <w:right w:val="none" w:sz="0" w:space="0" w:color="auto"/>
          </w:divBdr>
        </w:div>
        <w:div w:id="327558370">
          <w:marLeft w:val="640"/>
          <w:marRight w:val="0"/>
          <w:marTop w:val="0"/>
          <w:marBottom w:val="0"/>
          <w:divBdr>
            <w:top w:val="none" w:sz="0" w:space="0" w:color="auto"/>
            <w:left w:val="none" w:sz="0" w:space="0" w:color="auto"/>
            <w:bottom w:val="none" w:sz="0" w:space="0" w:color="auto"/>
            <w:right w:val="none" w:sz="0" w:space="0" w:color="auto"/>
          </w:divBdr>
        </w:div>
        <w:div w:id="621695757">
          <w:marLeft w:val="640"/>
          <w:marRight w:val="0"/>
          <w:marTop w:val="0"/>
          <w:marBottom w:val="0"/>
          <w:divBdr>
            <w:top w:val="none" w:sz="0" w:space="0" w:color="auto"/>
            <w:left w:val="none" w:sz="0" w:space="0" w:color="auto"/>
            <w:bottom w:val="none" w:sz="0" w:space="0" w:color="auto"/>
            <w:right w:val="none" w:sz="0" w:space="0" w:color="auto"/>
          </w:divBdr>
        </w:div>
        <w:div w:id="964770419">
          <w:marLeft w:val="640"/>
          <w:marRight w:val="0"/>
          <w:marTop w:val="0"/>
          <w:marBottom w:val="0"/>
          <w:divBdr>
            <w:top w:val="none" w:sz="0" w:space="0" w:color="auto"/>
            <w:left w:val="none" w:sz="0" w:space="0" w:color="auto"/>
            <w:bottom w:val="none" w:sz="0" w:space="0" w:color="auto"/>
            <w:right w:val="none" w:sz="0" w:space="0" w:color="auto"/>
          </w:divBdr>
        </w:div>
        <w:div w:id="1856844531">
          <w:marLeft w:val="640"/>
          <w:marRight w:val="0"/>
          <w:marTop w:val="0"/>
          <w:marBottom w:val="0"/>
          <w:divBdr>
            <w:top w:val="none" w:sz="0" w:space="0" w:color="auto"/>
            <w:left w:val="none" w:sz="0" w:space="0" w:color="auto"/>
            <w:bottom w:val="none" w:sz="0" w:space="0" w:color="auto"/>
            <w:right w:val="none" w:sz="0" w:space="0" w:color="auto"/>
          </w:divBdr>
        </w:div>
        <w:div w:id="1964119420">
          <w:marLeft w:val="640"/>
          <w:marRight w:val="0"/>
          <w:marTop w:val="0"/>
          <w:marBottom w:val="0"/>
          <w:divBdr>
            <w:top w:val="none" w:sz="0" w:space="0" w:color="auto"/>
            <w:left w:val="none" w:sz="0" w:space="0" w:color="auto"/>
            <w:bottom w:val="none" w:sz="0" w:space="0" w:color="auto"/>
            <w:right w:val="none" w:sz="0" w:space="0" w:color="auto"/>
          </w:divBdr>
        </w:div>
        <w:div w:id="842940317">
          <w:marLeft w:val="640"/>
          <w:marRight w:val="0"/>
          <w:marTop w:val="0"/>
          <w:marBottom w:val="0"/>
          <w:divBdr>
            <w:top w:val="none" w:sz="0" w:space="0" w:color="auto"/>
            <w:left w:val="none" w:sz="0" w:space="0" w:color="auto"/>
            <w:bottom w:val="none" w:sz="0" w:space="0" w:color="auto"/>
            <w:right w:val="none" w:sz="0" w:space="0" w:color="auto"/>
          </w:divBdr>
        </w:div>
        <w:div w:id="1931886557">
          <w:marLeft w:val="640"/>
          <w:marRight w:val="0"/>
          <w:marTop w:val="0"/>
          <w:marBottom w:val="0"/>
          <w:divBdr>
            <w:top w:val="none" w:sz="0" w:space="0" w:color="auto"/>
            <w:left w:val="none" w:sz="0" w:space="0" w:color="auto"/>
            <w:bottom w:val="none" w:sz="0" w:space="0" w:color="auto"/>
            <w:right w:val="none" w:sz="0" w:space="0" w:color="auto"/>
          </w:divBdr>
        </w:div>
        <w:div w:id="692002985">
          <w:marLeft w:val="640"/>
          <w:marRight w:val="0"/>
          <w:marTop w:val="0"/>
          <w:marBottom w:val="0"/>
          <w:divBdr>
            <w:top w:val="none" w:sz="0" w:space="0" w:color="auto"/>
            <w:left w:val="none" w:sz="0" w:space="0" w:color="auto"/>
            <w:bottom w:val="none" w:sz="0" w:space="0" w:color="auto"/>
            <w:right w:val="none" w:sz="0" w:space="0" w:color="auto"/>
          </w:divBdr>
        </w:div>
        <w:div w:id="1247615224">
          <w:marLeft w:val="640"/>
          <w:marRight w:val="0"/>
          <w:marTop w:val="0"/>
          <w:marBottom w:val="0"/>
          <w:divBdr>
            <w:top w:val="none" w:sz="0" w:space="0" w:color="auto"/>
            <w:left w:val="none" w:sz="0" w:space="0" w:color="auto"/>
            <w:bottom w:val="none" w:sz="0" w:space="0" w:color="auto"/>
            <w:right w:val="none" w:sz="0" w:space="0" w:color="auto"/>
          </w:divBdr>
        </w:div>
        <w:div w:id="2133161910">
          <w:marLeft w:val="640"/>
          <w:marRight w:val="0"/>
          <w:marTop w:val="0"/>
          <w:marBottom w:val="0"/>
          <w:divBdr>
            <w:top w:val="none" w:sz="0" w:space="0" w:color="auto"/>
            <w:left w:val="none" w:sz="0" w:space="0" w:color="auto"/>
            <w:bottom w:val="none" w:sz="0" w:space="0" w:color="auto"/>
            <w:right w:val="none" w:sz="0" w:space="0" w:color="auto"/>
          </w:divBdr>
        </w:div>
        <w:div w:id="1703245981">
          <w:marLeft w:val="640"/>
          <w:marRight w:val="0"/>
          <w:marTop w:val="0"/>
          <w:marBottom w:val="0"/>
          <w:divBdr>
            <w:top w:val="none" w:sz="0" w:space="0" w:color="auto"/>
            <w:left w:val="none" w:sz="0" w:space="0" w:color="auto"/>
            <w:bottom w:val="none" w:sz="0" w:space="0" w:color="auto"/>
            <w:right w:val="none" w:sz="0" w:space="0" w:color="auto"/>
          </w:divBdr>
        </w:div>
        <w:div w:id="827407105">
          <w:marLeft w:val="640"/>
          <w:marRight w:val="0"/>
          <w:marTop w:val="0"/>
          <w:marBottom w:val="0"/>
          <w:divBdr>
            <w:top w:val="none" w:sz="0" w:space="0" w:color="auto"/>
            <w:left w:val="none" w:sz="0" w:space="0" w:color="auto"/>
            <w:bottom w:val="none" w:sz="0" w:space="0" w:color="auto"/>
            <w:right w:val="none" w:sz="0" w:space="0" w:color="auto"/>
          </w:divBdr>
        </w:div>
        <w:div w:id="1693260056">
          <w:marLeft w:val="640"/>
          <w:marRight w:val="0"/>
          <w:marTop w:val="0"/>
          <w:marBottom w:val="0"/>
          <w:divBdr>
            <w:top w:val="none" w:sz="0" w:space="0" w:color="auto"/>
            <w:left w:val="none" w:sz="0" w:space="0" w:color="auto"/>
            <w:bottom w:val="none" w:sz="0" w:space="0" w:color="auto"/>
            <w:right w:val="none" w:sz="0" w:space="0" w:color="auto"/>
          </w:divBdr>
        </w:div>
        <w:div w:id="1212619588">
          <w:marLeft w:val="640"/>
          <w:marRight w:val="0"/>
          <w:marTop w:val="0"/>
          <w:marBottom w:val="0"/>
          <w:divBdr>
            <w:top w:val="none" w:sz="0" w:space="0" w:color="auto"/>
            <w:left w:val="none" w:sz="0" w:space="0" w:color="auto"/>
            <w:bottom w:val="none" w:sz="0" w:space="0" w:color="auto"/>
            <w:right w:val="none" w:sz="0" w:space="0" w:color="auto"/>
          </w:divBdr>
        </w:div>
        <w:div w:id="1540319007">
          <w:marLeft w:val="640"/>
          <w:marRight w:val="0"/>
          <w:marTop w:val="0"/>
          <w:marBottom w:val="0"/>
          <w:divBdr>
            <w:top w:val="none" w:sz="0" w:space="0" w:color="auto"/>
            <w:left w:val="none" w:sz="0" w:space="0" w:color="auto"/>
            <w:bottom w:val="none" w:sz="0" w:space="0" w:color="auto"/>
            <w:right w:val="none" w:sz="0" w:space="0" w:color="auto"/>
          </w:divBdr>
        </w:div>
        <w:div w:id="578251125">
          <w:marLeft w:val="640"/>
          <w:marRight w:val="0"/>
          <w:marTop w:val="0"/>
          <w:marBottom w:val="0"/>
          <w:divBdr>
            <w:top w:val="none" w:sz="0" w:space="0" w:color="auto"/>
            <w:left w:val="none" w:sz="0" w:space="0" w:color="auto"/>
            <w:bottom w:val="none" w:sz="0" w:space="0" w:color="auto"/>
            <w:right w:val="none" w:sz="0" w:space="0" w:color="auto"/>
          </w:divBdr>
        </w:div>
        <w:div w:id="1105658932">
          <w:marLeft w:val="640"/>
          <w:marRight w:val="0"/>
          <w:marTop w:val="0"/>
          <w:marBottom w:val="0"/>
          <w:divBdr>
            <w:top w:val="none" w:sz="0" w:space="0" w:color="auto"/>
            <w:left w:val="none" w:sz="0" w:space="0" w:color="auto"/>
            <w:bottom w:val="none" w:sz="0" w:space="0" w:color="auto"/>
            <w:right w:val="none" w:sz="0" w:space="0" w:color="auto"/>
          </w:divBdr>
        </w:div>
        <w:div w:id="1115369497">
          <w:marLeft w:val="640"/>
          <w:marRight w:val="0"/>
          <w:marTop w:val="0"/>
          <w:marBottom w:val="0"/>
          <w:divBdr>
            <w:top w:val="none" w:sz="0" w:space="0" w:color="auto"/>
            <w:left w:val="none" w:sz="0" w:space="0" w:color="auto"/>
            <w:bottom w:val="none" w:sz="0" w:space="0" w:color="auto"/>
            <w:right w:val="none" w:sz="0" w:space="0" w:color="auto"/>
          </w:divBdr>
        </w:div>
        <w:div w:id="1266768730">
          <w:marLeft w:val="640"/>
          <w:marRight w:val="0"/>
          <w:marTop w:val="0"/>
          <w:marBottom w:val="0"/>
          <w:divBdr>
            <w:top w:val="none" w:sz="0" w:space="0" w:color="auto"/>
            <w:left w:val="none" w:sz="0" w:space="0" w:color="auto"/>
            <w:bottom w:val="none" w:sz="0" w:space="0" w:color="auto"/>
            <w:right w:val="none" w:sz="0" w:space="0" w:color="auto"/>
          </w:divBdr>
        </w:div>
        <w:div w:id="1744646629">
          <w:marLeft w:val="640"/>
          <w:marRight w:val="0"/>
          <w:marTop w:val="0"/>
          <w:marBottom w:val="0"/>
          <w:divBdr>
            <w:top w:val="none" w:sz="0" w:space="0" w:color="auto"/>
            <w:left w:val="none" w:sz="0" w:space="0" w:color="auto"/>
            <w:bottom w:val="none" w:sz="0" w:space="0" w:color="auto"/>
            <w:right w:val="none" w:sz="0" w:space="0" w:color="auto"/>
          </w:divBdr>
        </w:div>
        <w:div w:id="678239814">
          <w:marLeft w:val="640"/>
          <w:marRight w:val="0"/>
          <w:marTop w:val="0"/>
          <w:marBottom w:val="0"/>
          <w:divBdr>
            <w:top w:val="none" w:sz="0" w:space="0" w:color="auto"/>
            <w:left w:val="none" w:sz="0" w:space="0" w:color="auto"/>
            <w:bottom w:val="none" w:sz="0" w:space="0" w:color="auto"/>
            <w:right w:val="none" w:sz="0" w:space="0" w:color="auto"/>
          </w:divBdr>
        </w:div>
        <w:div w:id="884409931">
          <w:marLeft w:val="640"/>
          <w:marRight w:val="0"/>
          <w:marTop w:val="0"/>
          <w:marBottom w:val="0"/>
          <w:divBdr>
            <w:top w:val="none" w:sz="0" w:space="0" w:color="auto"/>
            <w:left w:val="none" w:sz="0" w:space="0" w:color="auto"/>
            <w:bottom w:val="none" w:sz="0" w:space="0" w:color="auto"/>
            <w:right w:val="none" w:sz="0" w:space="0" w:color="auto"/>
          </w:divBdr>
        </w:div>
        <w:div w:id="832064893">
          <w:marLeft w:val="640"/>
          <w:marRight w:val="0"/>
          <w:marTop w:val="0"/>
          <w:marBottom w:val="0"/>
          <w:divBdr>
            <w:top w:val="none" w:sz="0" w:space="0" w:color="auto"/>
            <w:left w:val="none" w:sz="0" w:space="0" w:color="auto"/>
            <w:bottom w:val="none" w:sz="0" w:space="0" w:color="auto"/>
            <w:right w:val="none" w:sz="0" w:space="0" w:color="auto"/>
          </w:divBdr>
        </w:div>
        <w:div w:id="492648623">
          <w:marLeft w:val="640"/>
          <w:marRight w:val="0"/>
          <w:marTop w:val="0"/>
          <w:marBottom w:val="0"/>
          <w:divBdr>
            <w:top w:val="none" w:sz="0" w:space="0" w:color="auto"/>
            <w:left w:val="none" w:sz="0" w:space="0" w:color="auto"/>
            <w:bottom w:val="none" w:sz="0" w:space="0" w:color="auto"/>
            <w:right w:val="none" w:sz="0" w:space="0" w:color="auto"/>
          </w:divBdr>
        </w:div>
        <w:div w:id="2104911602">
          <w:marLeft w:val="640"/>
          <w:marRight w:val="0"/>
          <w:marTop w:val="0"/>
          <w:marBottom w:val="0"/>
          <w:divBdr>
            <w:top w:val="none" w:sz="0" w:space="0" w:color="auto"/>
            <w:left w:val="none" w:sz="0" w:space="0" w:color="auto"/>
            <w:bottom w:val="none" w:sz="0" w:space="0" w:color="auto"/>
            <w:right w:val="none" w:sz="0" w:space="0" w:color="auto"/>
          </w:divBdr>
        </w:div>
        <w:div w:id="1329140211">
          <w:marLeft w:val="640"/>
          <w:marRight w:val="0"/>
          <w:marTop w:val="0"/>
          <w:marBottom w:val="0"/>
          <w:divBdr>
            <w:top w:val="none" w:sz="0" w:space="0" w:color="auto"/>
            <w:left w:val="none" w:sz="0" w:space="0" w:color="auto"/>
            <w:bottom w:val="none" w:sz="0" w:space="0" w:color="auto"/>
            <w:right w:val="none" w:sz="0" w:space="0" w:color="auto"/>
          </w:divBdr>
        </w:div>
        <w:div w:id="263078456">
          <w:marLeft w:val="640"/>
          <w:marRight w:val="0"/>
          <w:marTop w:val="0"/>
          <w:marBottom w:val="0"/>
          <w:divBdr>
            <w:top w:val="none" w:sz="0" w:space="0" w:color="auto"/>
            <w:left w:val="none" w:sz="0" w:space="0" w:color="auto"/>
            <w:bottom w:val="none" w:sz="0" w:space="0" w:color="auto"/>
            <w:right w:val="none" w:sz="0" w:space="0" w:color="auto"/>
          </w:divBdr>
        </w:div>
        <w:div w:id="1084103749">
          <w:marLeft w:val="640"/>
          <w:marRight w:val="0"/>
          <w:marTop w:val="0"/>
          <w:marBottom w:val="0"/>
          <w:divBdr>
            <w:top w:val="none" w:sz="0" w:space="0" w:color="auto"/>
            <w:left w:val="none" w:sz="0" w:space="0" w:color="auto"/>
            <w:bottom w:val="none" w:sz="0" w:space="0" w:color="auto"/>
            <w:right w:val="none" w:sz="0" w:space="0" w:color="auto"/>
          </w:divBdr>
        </w:div>
        <w:div w:id="1764957388">
          <w:marLeft w:val="640"/>
          <w:marRight w:val="0"/>
          <w:marTop w:val="0"/>
          <w:marBottom w:val="0"/>
          <w:divBdr>
            <w:top w:val="none" w:sz="0" w:space="0" w:color="auto"/>
            <w:left w:val="none" w:sz="0" w:space="0" w:color="auto"/>
            <w:bottom w:val="none" w:sz="0" w:space="0" w:color="auto"/>
            <w:right w:val="none" w:sz="0" w:space="0" w:color="auto"/>
          </w:divBdr>
        </w:div>
        <w:div w:id="1413971438">
          <w:marLeft w:val="640"/>
          <w:marRight w:val="0"/>
          <w:marTop w:val="0"/>
          <w:marBottom w:val="0"/>
          <w:divBdr>
            <w:top w:val="none" w:sz="0" w:space="0" w:color="auto"/>
            <w:left w:val="none" w:sz="0" w:space="0" w:color="auto"/>
            <w:bottom w:val="none" w:sz="0" w:space="0" w:color="auto"/>
            <w:right w:val="none" w:sz="0" w:space="0" w:color="auto"/>
          </w:divBdr>
        </w:div>
        <w:div w:id="1686782232">
          <w:marLeft w:val="640"/>
          <w:marRight w:val="0"/>
          <w:marTop w:val="0"/>
          <w:marBottom w:val="0"/>
          <w:divBdr>
            <w:top w:val="none" w:sz="0" w:space="0" w:color="auto"/>
            <w:left w:val="none" w:sz="0" w:space="0" w:color="auto"/>
            <w:bottom w:val="none" w:sz="0" w:space="0" w:color="auto"/>
            <w:right w:val="none" w:sz="0" w:space="0" w:color="auto"/>
          </w:divBdr>
        </w:div>
        <w:div w:id="88742825">
          <w:marLeft w:val="640"/>
          <w:marRight w:val="0"/>
          <w:marTop w:val="0"/>
          <w:marBottom w:val="0"/>
          <w:divBdr>
            <w:top w:val="none" w:sz="0" w:space="0" w:color="auto"/>
            <w:left w:val="none" w:sz="0" w:space="0" w:color="auto"/>
            <w:bottom w:val="none" w:sz="0" w:space="0" w:color="auto"/>
            <w:right w:val="none" w:sz="0" w:space="0" w:color="auto"/>
          </w:divBdr>
        </w:div>
        <w:div w:id="11500">
          <w:marLeft w:val="640"/>
          <w:marRight w:val="0"/>
          <w:marTop w:val="0"/>
          <w:marBottom w:val="0"/>
          <w:divBdr>
            <w:top w:val="none" w:sz="0" w:space="0" w:color="auto"/>
            <w:left w:val="none" w:sz="0" w:space="0" w:color="auto"/>
            <w:bottom w:val="none" w:sz="0" w:space="0" w:color="auto"/>
            <w:right w:val="none" w:sz="0" w:space="0" w:color="auto"/>
          </w:divBdr>
        </w:div>
        <w:div w:id="1848445885">
          <w:marLeft w:val="640"/>
          <w:marRight w:val="0"/>
          <w:marTop w:val="0"/>
          <w:marBottom w:val="0"/>
          <w:divBdr>
            <w:top w:val="none" w:sz="0" w:space="0" w:color="auto"/>
            <w:left w:val="none" w:sz="0" w:space="0" w:color="auto"/>
            <w:bottom w:val="none" w:sz="0" w:space="0" w:color="auto"/>
            <w:right w:val="none" w:sz="0" w:space="0" w:color="auto"/>
          </w:divBdr>
        </w:div>
        <w:div w:id="1404181699">
          <w:marLeft w:val="640"/>
          <w:marRight w:val="0"/>
          <w:marTop w:val="0"/>
          <w:marBottom w:val="0"/>
          <w:divBdr>
            <w:top w:val="none" w:sz="0" w:space="0" w:color="auto"/>
            <w:left w:val="none" w:sz="0" w:space="0" w:color="auto"/>
            <w:bottom w:val="none" w:sz="0" w:space="0" w:color="auto"/>
            <w:right w:val="none" w:sz="0" w:space="0" w:color="auto"/>
          </w:divBdr>
        </w:div>
        <w:div w:id="626204356">
          <w:marLeft w:val="640"/>
          <w:marRight w:val="0"/>
          <w:marTop w:val="0"/>
          <w:marBottom w:val="0"/>
          <w:divBdr>
            <w:top w:val="none" w:sz="0" w:space="0" w:color="auto"/>
            <w:left w:val="none" w:sz="0" w:space="0" w:color="auto"/>
            <w:bottom w:val="none" w:sz="0" w:space="0" w:color="auto"/>
            <w:right w:val="none" w:sz="0" w:space="0" w:color="auto"/>
          </w:divBdr>
        </w:div>
        <w:div w:id="1605839436">
          <w:marLeft w:val="640"/>
          <w:marRight w:val="0"/>
          <w:marTop w:val="0"/>
          <w:marBottom w:val="0"/>
          <w:divBdr>
            <w:top w:val="none" w:sz="0" w:space="0" w:color="auto"/>
            <w:left w:val="none" w:sz="0" w:space="0" w:color="auto"/>
            <w:bottom w:val="none" w:sz="0" w:space="0" w:color="auto"/>
            <w:right w:val="none" w:sz="0" w:space="0" w:color="auto"/>
          </w:divBdr>
        </w:div>
        <w:div w:id="798112168">
          <w:marLeft w:val="640"/>
          <w:marRight w:val="0"/>
          <w:marTop w:val="0"/>
          <w:marBottom w:val="0"/>
          <w:divBdr>
            <w:top w:val="none" w:sz="0" w:space="0" w:color="auto"/>
            <w:left w:val="none" w:sz="0" w:space="0" w:color="auto"/>
            <w:bottom w:val="none" w:sz="0" w:space="0" w:color="auto"/>
            <w:right w:val="none" w:sz="0" w:space="0" w:color="auto"/>
          </w:divBdr>
        </w:div>
        <w:div w:id="1394816585">
          <w:marLeft w:val="640"/>
          <w:marRight w:val="0"/>
          <w:marTop w:val="0"/>
          <w:marBottom w:val="0"/>
          <w:divBdr>
            <w:top w:val="none" w:sz="0" w:space="0" w:color="auto"/>
            <w:left w:val="none" w:sz="0" w:space="0" w:color="auto"/>
            <w:bottom w:val="none" w:sz="0" w:space="0" w:color="auto"/>
            <w:right w:val="none" w:sz="0" w:space="0" w:color="auto"/>
          </w:divBdr>
        </w:div>
        <w:div w:id="750584270">
          <w:marLeft w:val="640"/>
          <w:marRight w:val="0"/>
          <w:marTop w:val="0"/>
          <w:marBottom w:val="0"/>
          <w:divBdr>
            <w:top w:val="none" w:sz="0" w:space="0" w:color="auto"/>
            <w:left w:val="none" w:sz="0" w:space="0" w:color="auto"/>
            <w:bottom w:val="none" w:sz="0" w:space="0" w:color="auto"/>
            <w:right w:val="none" w:sz="0" w:space="0" w:color="auto"/>
          </w:divBdr>
        </w:div>
        <w:div w:id="2059428503">
          <w:marLeft w:val="640"/>
          <w:marRight w:val="0"/>
          <w:marTop w:val="0"/>
          <w:marBottom w:val="0"/>
          <w:divBdr>
            <w:top w:val="none" w:sz="0" w:space="0" w:color="auto"/>
            <w:left w:val="none" w:sz="0" w:space="0" w:color="auto"/>
            <w:bottom w:val="none" w:sz="0" w:space="0" w:color="auto"/>
            <w:right w:val="none" w:sz="0" w:space="0" w:color="auto"/>
          </w:divBdr>
        </w:div>
        <w:div w:id="1173836943">
          <w:marLeft w:val="640"/>
          <w:marRight w:val="0"/>
          <w:marTop w:val="0"/>
          <w:marBottom w:val="0"/>
          <w:divBdr>
            <w:top w:val="none" w:sz="0" w:space="0" w:color="auto"/>
            <w:left w:val="none" w:sz="0" w:space="0" w:color="auto"/>
            <w:bottom w:val="none" w:sz="0" w:space="0" w:color="auto"/>
            <w:right w:val="none" w:sz="0" w:space="0" w:color="auto"/>
          </w:divBdr>
        </w:div>
        <w:div w:id="801188801">
          <w:marLeft w:val="640"/>
          <w:marRight w:val="0"/>
          <w:marTop w:val="0"/>
          <w:marBottom w:val="0"/>
          <w:divBdr>
            <w:top w:val="none" w:sz="0" w:space="0" w:color="auto"/>
            <w:left w:val="none" w:sz="0" w:space="0" w:color="auto"/>
            <w:bottom w:val="none" w:sz="0" w:space="0" w:color="auto"/>
            <w:right w:val="none" w:sz="0" w:space="0" w:color="auto"/>
          </w:divBdr>
        </w:div>
        <w:div w:id="489567710">
          <w:marLeft w:val="640"/>
          <w:marRight w:val="0"/>
          <w:marTop w:val="0"/>
          <w:marBottom w:val="0"/>
          <w:divBdr>
            <w:top w:val="none" w:sz="0" w:space="0" w:color="auto"/>
            <w:left w:val="none" w:sz="0" w:space="0" w:color="auto"/>
            <w:bottom w:val="none" w:sz="0" w:space="0" w:color="auto"/>
            <w:right w:val="none" w:sz="0" w:space="0" w:color="auto"/>
          </w:divBdr>
        </w:div>
        <w:div w:id="487213121">
          <w:marLeft w:val="640"/>
          <w:marRight w:val="0"/>
          <w:marTop w:val="0"/>
          <w:marBottom w:val="0"/>
          <w:divBdr>
            <w:top w:val="none" w:sz="0" w:space="0" w:color="auto"/>
            <w:left w:val="none" w:sz="0" w:space="0" w:color="auto"/>
            <w:bottom w:val="none" w:sz="0" w:space="0" w:color="auto"/>
            <w:right w:val="none" w:sz="0" w:space="0" w:color="auto"/>
          </w:divBdr>
        </w:div>
        <w:div w:id="1599212795">
          <w:marLeft w:val="640"/>
          <w:marRight w:val="0"/>
          <w:marTop w:val="0"/>
          <w:marBottom w:val="0"/>
          <w:divBdr>
            <w:top w:val="none" w:sz="0" w:space="0" w:color="auto"/>
            <w:left w:val="none" w:sz="0" w:space="0" w:color="auto"/>
            <w:bottom w:val="none" w:sz="0" w:space="0" w:color="auto"/>
            <w:right w:val="none" w:sz="0" w:space="0" w:color="auto"/>
          </w:divBdr>
        </w:div>
        <w:div w:id="1269658930">
          <w:marLeft w:val="640"/>
          <w:marRight w:val="0"/>
          <w:marTop w:val="0"/>
          <w:marBottom w:val="0"/>
          <w:divBdr>
            <w:top w:val="none" w:sz="0" w:space="0" w:color="auto"/>
            <w:left w:val="none" w:sz="0" w:space="0" w:color="auto"/>
            <w:bottom w:val="none" w:sz="0" w:space="0" w:color="auto"/>
            <w:right w:val="none" w:sz="0" w:space="0" w:color="auto"/>
          </w:divBdr>
        </w:div>
        <w:div w:id="1792020216">
          <w:marLeft w:val="640"/>
          <w:marRight w:val="0"/>
          <w:marTop w:val="0"/>
          <w:marBottom w:val="0"/>
          <w:divBdr>
            <w:top w:val="none" w:sz="0" w:space="0" w:color="auto"/>
            <w:left w:val="none" w:sz="0" w:space="0" w:color="auto"/>
            <w:bottom w:val="none" w:sz="0" w:space="0" w:color="auto"/>
            <w:right w:val="none" w:sz="0" w:space="0" w:color="auto"/>
          </w:divBdr>
        </w:div>
        <w:div w:id="1708413332">
          <w:marLeft w:val="640"/>
          <w:marRight w:val="0"/>
          <w:marTop w:val="0"/>
          <w:marBottom w:val="0"/>
          <w:divBdr>
            <w:top w:val="none" w:sz="0" w:space="0" w:color="auto"/>
            <w:left w:val="none" w:sz="0" w:space="0" w:color="auto"/>
            <w:bottom w:val="none" w:sz="0" w:space="0" w:color="auto"/>
            <w:right w:val="none" w:sz="0" w:space="0" w:color="auto"/>
          </w:divBdr>
        </w:div>
        <w:div w:id="534004931">
          <w:marLeft w:val="640"/>
          <w:marRight w:val="0"/>
          <w:marTop w:val="0"/>
          <w:marBottom w:val="0"/>
          <w:divBdr>
            <w:top w:val="none" w:sz="0" w:space="0" w:color="auto"/>
            <w:left w:val="none" w:sz="0" w:space="0" w:color="auto"/>
            <w:bottom w:val="none" w:sz="0" w:space="0" w:color="auto"/>
            <w:right w:val="none" w:sz="0" w:space="0" w:color="auto"/>
          </w:divBdr>
        </w:div>
        <w:div w:id="211426615">
          <w:marLeft w:val="640"/>
          <w:marRight w:val="0"/>
          <w:marTop w:val="0"/>
          <w:marBottom w:val="0"/>
          <w:divBdr>
            <w:top w:val="none" w:sz="0" w:space="0" w:color="auto"/>
            <w:left w:val="none" w:sz="0" w:space="0" w:color="auto"/>
            <w:bottom w:val="none" w:sz="0" w:space="0" w:color="auto"/>
            <w:right w:val="none" w:sz="0" w:space="0" w:color="auto"/>
          </w:divBdr>
        </w:div>
        <w:div w:id="1518033453">
          <w:marLeft w:val="640"/>
          <w:marRight w:val="0"/>
          <w:marTop w:val="0"/>
          <w:marBottom w:val="0"/>
          <w:divBdr>
            <w:top w:val="none" w:sz="0" w:space="0" w:color="auto"/>
            <w:left w:val="none" w:sz="0" w:space="0" w:color="auto"/>
            <w:bottom w:val="none" w:sz="0" w:space="0" w:color="auto"/>
            <w:right w:val="none" w:sz="0" w:space="0" w:color="auto"/>
          </w:divBdr>
        </w:div>
        <w:div w:id="1691956036">
          <w:marLeft w:val="640"/>
          <w:marRight w:val="0"/>
          <w:marTop w:val="0"/>
          <w:marBottom w:val="0"/>
          <w:divBdr>
            <w:top w:val="none" w:sz="0" w:space="0" w:color="auto"/>
            <w:left w:val="none" w:sz="0" w:space="0" w:color="auto"/>
            <w:bottom w:val="none" w:sz="0" w:space="0" w:color="auto"/>
            <w:right w:val="none" w:sz="0" w:space="0" w:color="auto"/>
          </w:divBdr>
        </w:div>
        <w:div w:id="1857303223">
          <w:marLeft w:val="640"/>
          <w:marRight w:val="0"/>
          <w:marTop w:val="0"/>
          <w:marBottom w:val="0"/>
          <w:divBdr>
            <w:top w:val="none" w:sz="0" w:space="0" w:color="auto"/>
            <w:left w:val="none" w:sz="0" w:space="0" w:color="auto"/>
            <w:bottom w:val="none" w:sz="0" w:space="0" w:color="auto"/>
            <w:right w:val="none" w:sz="0" w:space="0" w:color="auto"/>
          </w:divBdr>
        </w:div>
        <w:div w:id="735320564">
          <w:marLeft w:val="640"/>
          <w:marRight w:val="0"/>
          <w:marTop w:val="0"/>
          <w:marBottom w:val="0"/>
          <w:divBdr>
            <w:top w:val="none" w:sz="0" w:space="0" w:color="auto"/>
            <w:left w:val="none" w:sz="0" w:space="0" w:color="auto"/>
            <w:bottom w:val="none" w:sz="0" w:space="0" w:color="auto"/>
            <w:right w:val="none" w:sz="0" w:space="0" w:color="auto"/>
          </w:divBdr>
        </w:div>
        <w:div w:id="1815833456">
          <w:marLeft w:val="640"/>
          <w:marRight w:val="0"/>
          <w:marTop w:val="0"/>
          <w:marBottom w:val="0"/>
          <w:divBdr>
            <w:top w:val="none" w:sz="0" w:space="0" w:color="auto"/>
            <w:left w:val="none" w:sz="0" w:space="0" w:color="auto"/>
            <w:bottom w:val="none" w:sz="0" w:space="0" w:color="auto"/>
            <w:right w:val="none" w:sz="0" w:space="0" w:color="auto"/>
          </w:divBdr>
        </w:div>
        <w:div w:id="2097361350">
          <w:marLeft w:val="640"/>
          <w:marRight w:val="0"/>
          <w:marTop w:val="0"/>
          <w:marBottom w:val="0"/>
          <w:divBdr>
            <w:top w:val="none" w:sz="0" w:space="0" w:color="auto"/>
            <w:left w:val="none" w:sz="0" w:space="0" w:color="auto"/>
            <w:bottom w:val="none" w:sz="0" w:space="0" w:color="auto"/>
            <w:right w:val="none" w:sz="0" w:space="0" w:color="auto"/>
          </w:divBdr>
        </w:div>
        <w:div w:id="229658667">
          <w:marLeft w:val="640"/>
          <w:marRight w:val="0"/>
          <w:marTop w:val="0"/>
          <w:marBottom w:val="0"/>
          <w:divBdr>
            <w:top w:val="none" w:sz="0" w:space="0" w:color="auto"/>
            <w:left w:val="none" w:sz="0" w:space="0" w:color="auto"/>
            <w:bottom w:val="none" w:sz="0" w:space="0" w:color="auto"/>
            <w:right w:val="none" w:sz="0" w:space="0" w:color="auto"/>
          </w:divBdr>
        </w:div>
        <w:div w:id="510949046">
          <w:marLeft w:val="640"/>
          <w:marRight w:val="0"/>
          <w:marTop w:val="0"/>
          <w:marBottom w:val="0"/>
          <w:divBdr>
            <w:top w:val="none" w:sz="0" w:space="0" w:color="auto"/>
            <w:left w:val="none" w:sz="0" w:space="0" w:color="auto"/>
            <w:bottom w:val="none" w:sz="0" w:space="0" w:color="auto"/>
            <w:right w:val="none" w:sz="0" w:space="0" w:color="auto"/>
          </w:divBdr>
        </w:div>
      </w:divsChild>
    </w:div>
    <w:div w:id="1673802688">
      <w:bodyDiv w:val="1"/>
      <w:marLeft w:val="0"/>
      <w:marRight w:val="0"/>
      <w:marTop w:val="0"/>
      <w:marBottom w:val="0"/>
      <w:divBdr>
        <w:top w:val="none" w:sz="0" w:space="0" w:color="auto"/>
        <w:left w:val="none" w:sz="0" w:space="0" w:color="auto"/>
        <w:bottom w:val="none" w:sz="0" w:space="0" w:color="auto"/>
        <w:right w:val="none" w:sz="0" w:space="0" w:color="auto"/>
      </w:divBdr>
      <w:divsChild>
        <w:div w:id="2027753137">
          <w:marLeft w:val="640"/>
          <w:marRight w:val="0"/>
          <w:marTop w:val="0"/>
          <w:marBottom w:val="0"/>
          <w:divBdr>
            <w:top w:val="none" w:sz="0" w:space="0" w:color="auto"/>
            <w:left w:val="none" w:sz="0" w:space="0" w:color="auto"/>
            <w:bottom w:val="none" w:sz="0" w:space="0" w:color="auto"/>
            <w:right w:val="none" w:sz="0" w:space="0" w:color="auto"/>
          </w:divBdr>
        </w:div>
        <w:div w:id="670029">
          <w:marLeft w:val="640"/>
          <w:marRight w:val="0"/>
          <w:marTop w:val="0"/>
          <w:marBottom w:val="0"/>
          <w:divBdr>
            <w:top w:val="none" w:sz="0" w:space="0" w:color="auto"/>
            <w:left w:val="none" w:sz="0" w:space="0" w:color="auto"/>
            <w:bottom w:val="none" w:sz="0" w:space="0" w:color="auto"/>
            <w:right w:val="none" w:sz="0" w:space="0" w:color="auto"/>
          </w:divBdr>
        </w:div>
        <w:div w:id="1223562269">
          <w:marLeft w:val="640"/>
          <w:marRight w:val="0"/>
          <w:marTop w:val="0"/>
          <w:marBottom w:val="0"/>
          <w:divBdr>
            <w:top w:val="none" w:sz="0" w:space="0" w:color="auto"/>
            <w:left w:val="none" w:sz="0" w:space="0" w:color="auto"/>
            <w:bottom w:val="none" w:sz="0" w:space="0" w:color="auto"/>
            <w:right w:val="none" w:sz="0" w:space="0" w:color="auto"/>
          </w:divBdr>
        </w:div>
        <w:div w:id="575826267">
          <w:marLeft w:val="640"/>
          <w:marRight w:val="0"/>
          <w:marTop w:val="0"/>
          <w:marBottom w:val="0"/>
          <w:divBdr>
            <w:top w:val="none" w:sz="0" w:space="0" w:color="auto"/>
            <w:left w:val="none" w:sz="0" w:space="0" w:color="auto"/>
            <w:bottom w:val="none" w:sz="0" w:space="0" w:color="auto"/>
            <w:right w:val="none" w:sz="0" w:space="0" w:color="auto"/>
          </w:divBdr>
        </w:div>
        <w:div w:id="755781983">
          <w:marLeft w:val="640"/>
          <w:marRight w:val="0"/>
          <w:marTop w:val="0"/>
          <w:marBottom w:val="0"/>
          <w:divBdr>
            <w:top w:val="none" w:sz="0" w:space="0" w:color="auto"/>
            <w:left w:val="none" w:sz="0" w:space="0" w:color="auto"/>
            <w:bottom w:val="none" w:sz="0" w:space="0" w:color="auto"/>
            <w:right w:val="none" w:sz="0" w:space="0" w:color="auto"/>
          </w:divBdr>
        </w:div>
        <w:div w:id="337542253">
          <w:marLeft w:val="640"/>
          <w:marRight w:val="0"/>
          <w:marTop w:val="0"/>
          <w:marBottom w:val="0"/>
          <w:divBdr>
            <w:top w:val="none" w:sz="0" w:space="0" w:color="auto"/>
            <w:left w:val="none" w:sz="0" w:space="0" w:color="auto"/>
            <w:bottom w:val="none" w:sz="0" w:space="0" w:color="auto"/>
            <w:right w:val="none" w:sz="0" w:space="0" w:color="auto"/>
          </w:divBdr>
        </w:div>
        <w:div w:id="835000359">
          <w:marLeft w:val="640"/>
          <w:marRight w:val="0"/>
          <w:marTop w:val="0"/>
          <w:marBottom w:val="0"/>
          <w:divBdr>
            <w:top w:val="none" w:sz="0" w:space="0" w:color="auto"/>
            <w:left w:val="none" w:sz="0" w:space="0" w:color="auto"/>
            <w:bottom w:val="none" w:sz="0" w:space="0" w:color="auto"/>
            <w:right w:val="none" w:sz="0" w:space="0" w:color="auto"/>
          </w:divBdr>
        </w:div>
        <w:div w:id="1431968271">
          <w:marLeft w:val="640"/>
          <w:marRight w:val="0"/>
          <w:marTop w:val="0"/>
          <w:marBottom w:val="0"/>
          <w:divBdr>
            <w:top w:val="none" w:sz="0" w:space="0" w:color="auto"/>
            <w:left w:val="none" w:sz="0" w:space="0" w:color="auto"/>
            <w:bottom w:val="none" w:sz="0" w:space="0" w:color="auto"/>
            <w:right w:val="none" w:sz="0" w:space="0" w:color="auto"/>
          </w:divBdr>
        </w:div>
        <w:div w:id="120802684">
          <w:marLeft w:val="640"/>
          <w:marRight w:val="0"/>
          <w:marTop w:val="0"/>
          <w:marBottom w:val="0"/>
          <w:divBdr>
            <w:top w:val="none" w:sz="0" w:space="0" w:color="auto"/>
            <w:left w:val="none" w:sz="0" w:space="0" w:color="auto"/>
            <w:bottom w:val="none" w:sz="0" w:space="0" w:color="auto"/>
            <w:right w:val="none" w:sz="0" w:space="0" w:color="auto"/>
          </w:divBdr>
        </w:div>
        <w:div w:id="885095963">
          <w:marLeft w:val="640"/>
          <w:marRight w:val="0"/>
          <w:marTop w:val="0"/>
          <w:marBottom w:val="0"/>
          <w:divBdr>
            <w:top w:val="none" w:sz="0" w:space="0" w:color="auto"/>
            <w:left w:val="none" w:sz="0" w:space="0" w:color="auto"/>
            <w:bottom w:val="none" w:sz="0" w:space="0" w:color="auto"/>
            <w:right w:val="none" w:sz="0" w:space="0" w:color="auto"/>
          </w:divBdr>
        </w:div>
        <w:div w:id="646057289">
          <w:marLeft w:val="640"/>
          <w:marRight w:val="0"/>
          <w:marTop w:val="0"/>
          <w:marBottom w:val="0"/>
          <w:divBdr>
            <w:top w:val="none" w:sz="0" w:space="0" w:color="auto"/>
            <w:left w:val="none" w:sz="0" w:space="0" w:color="auto"/>
            <w:bottom w:val="none" w:sz="0" w:space="0" w:color="auto"/>
            <w:right w:val="none" w:sz="0" w:space="0" w:color="auto"/>
          </w:divBdr>
        </w:div>
        <w:div w:id="828909305">
          <w:marLeft w:val="640"/>
          <w:marRight w:val="0"/>
          <w:marTop w:val="0"/>
          <w:marBottom w:val="0"/>
          <w:divBdr>
            <w:top w:val="none" w:sz="0" w:space="0" w:color="auto"/>
            <w:left w:val="none" w:sz="0" w:space="0" w:color="auto"/>
            <w:bottom w:val="none" w:sz="0" w:space="0" w:color="auto"/>
            <w:right w:val="none" w:sz="0" w:space="0" w:color="auto"/>
          </w:divBdr>
        </w:div>
        <w:div w:id="385645991">
          <w:marLeft w:val="640"/>
          <w:marRight w:val="0"/>
          <w:marTop w:val="0"/>
          <w:marBottom w:val="0"/>
          <w:divBdr>
            <w:top w:val="none" w:sz="0" w:space="0" w:color="auto"/>
            <w:left w:val="none" w:sz="0" w:space="0" w:color="auto"/>
            <w:bottom w:val="none" w:sz="0" w:space="0" w:color="auto"/>
            <w:right w:val="none" w:sz="0" w:space="0" w:color="auto"/>
          </w:divBdr>
        </w:div>
        <w:div w:id="765927873">
          <w:marLeft w:val="640"/>
          <w:marRight w:val="0"/>
          <w:marTop w:val="0"/>
          <w:marBottom w:val="0"/>
          <w:divBdr>
            <w:top w:val="none" w:sz="0" w:space="0" w:color="auto"/>
            <w:left w:val="none" w:sz="0" w:space="0" w:color="auto"/>
            <w:bottom w:val="none" w:sz="0" w:space="0" w:color="auto"/>
            <w:right w:val="none" w:sz="0" w:space="0" w:color="auto"/>
          </w:divBdr>
        </w:div>
        <w:div w:id="982778016">
          <w:marLeft w:val="640"/>
          <w:marRight w:val="0"/>
          <w:marTop w:val="0"/>
          <w:marBottom w:val="0"/>
          <w:divBdr>
            <w:top w:val="none" w:sz="0" w:space="0" w:color="auto"/>
            <w:left w:val="none" w:sz="0" w:space="0" w:color="auto"/>
            <w:bottom w:val="none" w:sz="0" w:space="0" w:color="auto"/>
            <w:right w:val="none" w:sz="0" w:space="0" w:color="auto"/>
          </w:divBdr>
        </w:div>
        <w:div w:id="1258127300">
          <w:marLeft w:val="640"/>
          <w:marRight w:val="0"/>
          <w:marTop w:val="0"/>
          <w:marBottom w:val="0"/>
          <w:divBdr>
            <w:top w:val="none" w:sz="0" w:space="0" w:color="auto"/>
            <w:left w:val="none" w:sz="0" w:space="0" w:color="auto"/>
            <w:bottom w:val="none" w:sz="0" w:space="0" w:color="auto"/>
            <w:right w:val="none" w:sz="0" w:space="0" w:color="auto"/>
          </w:divBdr>
        </w:div>
        <w:div w:id="603684661">
          <w:marLeft w:val="640"/>
          <w:marRight w:val="0"/>
          <w:marTop w:val="0"/>
          <w:marBottom w:val="0"/>
          <w:divBdr>
            <w:top w:val="none" w:sz="0" w:space="0" w:color="auto"/>
            <w:left w:val="none" w:sz="0" w:space="0" w:color="auto"/>
            <w:bottom w:val="none" w:sz="0" w:space="0" w:color="auto"/>
            <w:right w:val="none" w:sz="0" w:space="0" w:color="auto"/>
          </w:divBdr>
        </w:div>
        <w:div w:id="406876898">
          <w:marLeft w:val="640"/>
          <w:marRight w:val="0"/>
          <w:marTop w:val="0"/>
          <w:marBottom w:val="0"/>
          <w:divBdr>
            <w:top w:val="none" w:sz="0" w:space="0" w:color="auto"/>
            <w:left w:val="none" w:sz="0" w:space="0" w:color="auto"/>
            <w:bottom w:val="none" w:sz="0" w:space="0" w:color="auto"/>
            <w:right w:val="none" w:sz="0" w:space="0" w:color="auto"/>
          </w:divBdr>
        </w:div>
        <w:div w:id="235945101">
          <w:marLeft w:val="640"/>
          <w:marRight w:val="0"/>
          <w:marTop w:val="0"/>
          <w:marBottom w:val="0"/>
          <w:divBdr>
            <w:top w:val="none" w:sz="0" w:space="0" w:color="auto"/>
            <w:left w:val="none" w:sz="0" w:space="0" w:color="auto"/>
            <w:bottom w:val="none" w:sz="0" w:space="0" w:color="auto"/>
            <w:right w:val="none" w:sz="0" w:space="0" w:color="auto"/>
          </w:divBdr>
        </w:div>
        <w:div w:id="2140876485">
          <w:marLeft w:val="640"/>
          <w:marRight w:val="0"/>
          <w:marTop w:val="0"/>
          <w:marBottom w:val="0"/>
          <w:divBdr>
            <w:top w:val="none" w:sz="0" w:space="0" w:color="auto"/>
            <w:left w:val="none" w:sz="0" w:space="0" w:color="auto"/>
            <w:bottom w:val="none" w:sz="0" w:space="0" w:color="auto"/>
            <w:right w:val="none" w:sz="0" w:space="0" w:color="auto"/>
          </w:divBdr>
        </w:div>
        <w:div w:id="798956478">
          <w:marLeft w:val="640"/>
          <w:marRight w:val="0"/>
          <w:marTop w:val="0"/>
          <w:marBottom w:val="0"/>
          <w:divBdr>
            <w:top w:val="none" w:sz="0" w:space="0" w:color="auto"/>
            <w:left w:val="none" w:sz="0" w:space="0" w:color="auto"/>
            <w:bottom w:val="none" w:sz="0" w:space="0" w:color="auto"/>
            <w:right w:val="none" w:sz="0" w:space="0" w:color="auto"/>
          </w:divBdr>
        </w:div>
        <w:div w:id="1538198615">
          <w:marLeft w:val="640"/>
          <w:marRight w:val="0"/>
          <w:marTop w:val="0"/>
          <w:marBottom w:val="0"/>
          <w:divBdr>
            <w:top w:val="none" w:sz="0" w:space="0" w:color="auto"/>
            <w:left w:val="none" w:sz="0" w:space="0" w:color="auto"/>
            <w:bottom w:val="none" w:sz="0" w:space="0" w:color="auto"/>
            <w:right w:val="none" w:sz="0" w:space="0" w:color="auto"/>
          </w:divBdr>
        </w:div>
        <w:div w:id="955333708">
          <w:marLeft w:val="640"/>
          <w:marRight w:val="0"/>
          <w:marTop w:val="0"/>
          <w:marBottom w:val="0"/>
          <w:divBdr>
            <w:top w:val="none" w:sz="0" w:space="0" w:color="auto"/>
            <w:left w:val="none" w:sz="0" w:space="0" w:color="auto"/>
            <w:bottom w:val="none" w:sz="0" w:space="0" w:color="auto"/>
            <w:right w:val="none" w:sz="0" w:space="0" w:color="auto"/>
          </w:divBdr>
        </w:div>
        <w:div w:id="1297487458">
          <w:marLeft w:val="640"/>
          <w:marRight w:val="0"/>
          <w:marTop w:val="0"/>
          <w:marBottom w:val="0"/>
          <w:divBdr>
            <w:top w:val="none" w:sz="0" w:space="0" w:color="auto"/>
            <w:left w:val="none" w:sz="0" w:space="0" w:color="auto"/>
            <w:bottom w:val="none" w:sz="0" w:space="0" w:color="auto"/>
            <w:right w:val="none" w:sz="0" w:space="0" w:color="auto"/>
          </w:divBdr>
        </w:div>
        <w:div w:id="1302660823">
          <w:marLeft w:val="640"/>
          <w:marRight w:val="0"/>
          <w:marTop w:val="0"/>
          <w:marBottom w:val="0"/>
          <w:divBdr>
            <w:top w:val="none" w:sz="0" w:space="0" w:color="auto"/>
            <w:left w:val="none" w:sz="0" w:space="0" w:color="auto"/>
            <w:bottom w:val="none" w:sz="0" w:space="0" w:color="auto"/>
            <w:right w:val="none" w:sz="0" w:space="0" w:color="auto"/>
          </w:divBdr>
        </w:div>
        <w:div w:id="1642299199">
          <w:marLeft w:val="640"/>
          <w:marRight w:val="0"/>
          <w:marTop w:val="0"/>
          <w:marBottom w:val="0"/>
          <w:divBdr>
            <w:top w:val="none" w:sz="0" w:space="0" w:color="auto"/>
            <w:left w:val="none" w:sz="0" w:space="0" w:color="auto"/>
            <w:bottom w:val="none" w:sz="0" w:space="0" w:color="auto"/>
            <w:right w:val="none" w:sz="0" w:space="0" w:color="auto"/>
          </w:divBdr>
        </w:div>
        <w:div w:id="1769082345">
          <w:marLeft w:val="640"/>
          <w:marRight w:val="0"/>
          <w:marTop w:val="0"/>
          <w:marBottom w:val="0"/>
          <w:divBdr>
            <w:top w:val="none" w:sz="0" w:space="0" w:color="auto"/>
            <w:left w:val="none" w:sz="0" w:space="0" w:color="auto"/>
            <w:bottom w:val="none" w:sz="0" w:space="0" w:color="auto"/>
            <w:right w:val="none" w:sz="0" w:space="0" w:color="auto"/>
          </w:divBdr>
        </w:div>
        <w:div w:id="2036953267">
          <w:marLeft w:val="640"/>
          <w:marRight w:val="0"/>
          <w:marTop w:val="0"/>
          <w:marBottom w:val="0"/>
          <w:divBdr>
            <w:top w:val="none" w:sz="0" w:space="0" w:color="auto"/>
            <w:left w:val="none" w:sz="0" w:space="0" w:color="auto"/>
            <w:bottom w:val="none" w:sz="0" w:space="0" w:color="auto"/>
            <w:right w:val="none" w:sz="0" w:space="0" w:color="auto"/>
          </w:divBdr>
        </w:div>
        <w:div w:id="724722310">
          <w:marLeft w:val="640"/>
          <w:marRight w:val="0"/>
          <w:marTop w:val="0"/>
          <w:marBottom w:val="0"/>
          <w:divBdr>
            <w:top w:val="none" w:sz="0" w:space="0" w:color="auto"/>
            <w:left w:val="none" w:sz="0" w:space="0" w:color="auto"/>
            <w:bottom w:val="none" w:sz="0" w:space="0" w:color="auto"/>
            <w:right w:val="none" w:sz="0" w:space="0" w:color="auto"/>
          </w:divBdr>
        </w:div>
        <w:div w:id="1337996735">
          <w:marLeft w:val="640"/>
          <w:marRight w:val="0"/>
          <w:marTop w:val="0"/>
          <w:marBottom w:val="0"/>
          <w:divBdr>
            <w:top w:val="none" w:sz="0" w:space="0" w:color="auto"/>
            <w:left w:val="none" w:sz="0" w:space="0" w:color="auto"/>
            <w:bottom w:val="none" w:sz="0" w:space="0" w:color="auto"/>
            <w:right w:val="none" w:sz="0" w:space="0" w:color="auto"/>
          </w:divBdr>
        </w:div>
        <w:div w:id="438650102">
          <w:marLeft w:val="640"/>
          <w:marRight w:val="0"/>
          <w:marTop w:val="0"/>
          <w:marBottom w:val="0"/>
          <w:divBdr>
            <w:top w:val="none" w:sz="0" w:space="0" w:color="auto"/>
            <w:left w:val="none" w:sz="0" w:space="0" w:color="auto"/>
            <w:bottom w:val="none" w:sz="0" w:space="0" w:color="auto"/>
            <w:right w:val="none" w:sz="0" w:space="0" w:color="auto"/>
          </w:divBdr>
        </w:div>
        <w:div w:id="1176456669">
          <w:marLeft w:val="640"/>
          <w:marRight w:val="0"/>
          <w:marTop w:val="0"/>
          <w:marBottom w:val="0"/>
          <w:divBdr>
            <w:top w:val="none" w:sz="0" w:space="0" w:color="auto"/>
            <w:left w:val="none" w:sz="0" w:space="0" w:color="auto"/>
            <w:bottom w:val="none" w:sz="0" w:space="0" w:color="auto"/>
            <w:right w:val="none" w:sz="0" w:space="0" w:color="auto"/>
          </w:divBdr>
        </w:div>
        <w:div w:id="1995254115">
          <w:marLeft w:val="640"/>
          <w:marRight w:val="0"/>
          <w:marTop w:val="0"/>
          <w:marBottom w:val="0"/>
          <w:divBdr>
            <w:top w:val="none" w:sz="0" w:space="0" w:color="auto"/>
            <w:left w:val="none" w:sz="0" w:space="0" w:color="auto"/>
            <w:bottom w:val="none" w:sz="0" w:space="0" w:color="auto"/>
            <w:right w:val="none" w:sz="0" w:space="0" w:color="auto"/>
          </w:divBdr>
        </w:div>
        <w:div w:id="1460419464">
          <w:marLeft w:val="640"/>
          <w:marRight w:val="0"/>
          <w:marTop w:val="0"/>
          <w:marBottom w:val="0"/>
          <w:divBdr>
            <w:top w:val="none" w:sz="0" w:space="0" w:color="auto"/>
            <w:left w:val="none" w:sz="0" w:space="0" w:color="auto"/>
            <w:bottom w:val="none" w:sz="0" w:space="0" w:color="auto"/>
            <w:right w:val="none" w:sz="0" w:space="0" w:color="auto"/>
          </w:divBdr>
        </w:div>
        <w:div w:id="2044162557">
          <w:marLeft w:val="640"/>
          <w:marRight w:val="0"/>
          <w:marTop w:val="0"/>
          <w:marBottom w:val="0"/>
          <w:divBdr>
            <w:top w:val="none" w:sz="0" w:space="0" w:color="auto"/>
            <w:left w:val="none" w:sz="0" w:space="0" w:color="auto"/>
            <w:bottom w:val="none" w:sz="0" w:space="0" w:color="auto"/>
            <w:right w:val="none" w:sz="0" w:space="0" w:color="auto"/>
          </w:divBdr>
        </w:div>
        <w:div w:id="785854210">
          <w:marLeft w:val="640"/>
          <w:marRight w:val="0"/>
          <w:marTop w:val="0"/>
          <w:marBottom w:val="0"/>
          <w:divBdr>
            <w:top w:val="none" w:sz="0" w:space="0" w:color="auto"/>
            <w:left w:val="none" w:sz="0" w:space="0" w:color="auto"/>
            <w:bottom w:val="none" w:sz="0" w:space="0" w:color="auto"/>
            <w:right w:val="none" w:sz="0" w:space="0" w:color="auto"/>
          </w:divBdr>
        </w:div>
        <w:div w:id="1273394644">
          <w:marLeft w:val="640"/>
          <w:marRight w:val="0"/>
          <w:marTop w:val="0"/>
          <w:marBottom w:val="0"/>
          <w:divBdr>
            <w:top w:val="none" w:sz="0" w:space="0" w:color="auto"/>
            <w:left w:val="none" w:sz="0" w:space="0" w:color="auto"/>
            <w:bottom w:val="none" w:sz="0" w:space="0" w:color="auto"/>
            <w:right w:val="none" w:sz="0" w:space="0" w:color="auto"/>
          </w:divBdr>
        </w:div>
        <w:div w:id="346373671">
          <w:marLeft w:val="640"/>
          <w:marRight w:val="0"/>
          <w:marTop w:val="0"/>
          <w:marBottom w:val="0"/>
          <w:divBdr>
            <w:top w:val="none" w:sz="0" w:space="0" w:color="auto"/>
            <w:left w:val="none" w:sz="0" w:space="0" w:color="auto"/>
            <w:bottom w:val="none" w:sz="0" w:space="0" w:color="auto"/>
            <w:right w:val="none" w:sz="0" w:space="0" w:color="auto"/>
          </w:divBdr>
        </w:div>
        <w:div w:id="1543981529">
          <w:marLeft w:val="640"/>
          <w:marRight w:val="0"/>
          <w:marTop w:val="0"/>
          <w:marBottom w:val="0"/>
          <w:divBdr>
            <w:top w:val="none" w:sz="0" w:space="0" w:color="auto"/>
            <w:left w:val="none" w:sz="0" w:space="0" w:color="auto"/>
            <w:bottom w:val="none" w:sz="0" w:space="0" w:color="auto"/>
            <w:right w:val="none" w:sz="0" w:space="0" w:color="auto"/>
          </w:divBdr>
        </w:div>
        <w:div w:id="396437142">
          <w:marLeft w:val="640"/>
          <w:marRight w:val="0"/>
          <w:marTop w:val="0"/>
          <w:marBottom w:val="0"/>
          <w:divBdr>
            <w:top w:val="none" w:sz="0" w:space="0" w:color="auto"/>
            <w:left w:val="none" w:sz="0" w:space="0" w:color="auto"/>
            <w:bottom w:val="none" w:sz="0" w:space="0" w:color="auto"/>
            <w:right w:val="none" w:sz="0" w:space="0" w:color="auto"/>
          </w:divBdr>
        </w:div>
        <w:div w:id="593518423">
          <w:marLeft w:val="640"/>
          <w:marRight w:val="0"/>
          <w:marTop w:val="0"/>
          <w:marBottom w:val="0"/>
          <w:divBdr>
            <w:top w:val="none" w:sz="0" w:space="0" w:color="auto"/>
            <w:left w:val="none" w:sz="0" w:space="0" w:color="auto"/>
            <w:bottom w:val="none" w:sz="0" w:space="0" w:color="auto"/>
            <w:right w:val="none" w:sz="0" w:space="0" w:color="auto"/>
          </w:divBdr>
        </w:div>
        <w:div w:id="907230372">
          <w:marLeft w:val="640"/>
          <w:marRight w:val="0"/>
          <w:marTop w:val="0"/>
          <w:marBottom w:val="0"/>
          <w:divBdr>
            <w:top w:val="none" w:sz="0" w:space="0" w:color="auto"/>
            <w:left w:val="none" w:sz="0" w:space="0" w:color="auto"/>
            <w:bottom w:val="none" w:sz="0" w:space="0" w:color="auto"/>
            <w:right w:val="none" w:sz="0" w:space="0" w:color="auto"/>
          </w:divBdr>
        </w:div>
        <w:div w:id="1113985439">
          <w:marLeft w:val="640"/>
          <w:marRight w:val="0"/>
          <w:marTop w:val="0"/>
          <w:marBottom w:val="0"/>
          <w:divBdr>
            <w:top w:val="none" w:sz="0" w:space="0" w:color="auto"/>
            <w:left w:val="none" w:sz="0" w:space="0" w:color="auto"/>
            <w:bottom w:val="none" w:sz="0" w:space="0" w:color="auto"/>
            <w:right w:val="none" w:sz="0" w:space="0" w:color="auto"/>
          </w:divBdr>
        </w:div>
        <w:div w:id="280067492">
          <w:marLeft w:val="640"/>
          <w:marRight w:val="0"/>
          <w:marTop w:val="0"/>
          <w:marBottom w:val="0"/>
          <w:divBdr>
            <w:top w:val="none" w:sz="0" w:space="0" w:color="auto"/>
            <w:left w:val="none" w:sz="0" w:space="0" w:color="auto"/>
            <w:bottom w:val="none" w:sz="0" w:space="0" w:color="auto"/>
            <w:right w:val="none" w:sz="0" w:space="0" w:color="auto"/>
          </w:divBdr>
        </w:div>
        <w:div w:id="37632012">
          <w:marLeft w:val="640"/>
          <w:marRight w:val="0"/>
          <w:marTop w:val="0"/>
          <w:marBottom w:val="0"/>
          <w:divBdr>
            <w:top w:val="none" w:sz="0" w:space="0" w:color="auto"/>
            <w:left w:val="none" w:sz="0" w:space="0" w:color="auto"/>
            <w:bottom w:val="none" w:sz="0" w:space="0" w:color="auto"/>
            <w:right w:val="none" w:sz="0" w:space="0" w:color="auto"/>
          </w:divBdr>
        </w:div>
        <w:div w:id="43258582">
          <w:marLeft w:val="640"/>
          <w:marRight w:val="0"/>
          <w:marTop w:val="0"/>
          <w:marBottom w:val="0"/>
          <w:divBdr>
            <w:top w:val="none" w:sz="0" w:space="0" w:color="auto"/>
            <w:left w:val="none" w:sz="0" w:space="0" w:color="auto"/>
            <w:bottom w:val="none" w:sz="0" w:space="0" w:color="auto"/>
            <w:right w:val="none" w:sz="0" w:space="0" w:color="auto"/>
          </w:divBdr>
        </w:div>
        <w:div w:id="1328286674">
          <w:marLeft w:val="640"/>
          <w:marRight w:val="0"/>
          <w:marTop w:val="0"/>
          <w:marBottom w:val="0"/>
          <w:divBdr>
            <w:top w:val="none" w:sz="0" w:space="0" w:color="auto"/>
            <w:left w:val="none" w:sz="0" w:space="0" w:color="auto"/>
            <w:bottom w:val="none" w:sz="0" w:space="0" w:color="auto"/>
            <w:right w:val="none" w:sz="0" w:space="0" w:color="auto"/>
          </w:divBdr>
        </w:div>
        <w:div w:id="1072772501">
          <w:marLeft w:val="640"/>
          <w:marRight w:val="0"/>
          <w:marTop w:val="0"/>
          <w:marBottom w:val="0"/>
          <w:divBdr>
            <w:top w:val="none" w:sz="0" w:space="0" w:color="auto"/>
            <w:left w:val="none" w:sz="0" w:space="0" w:color="auto"/>
            <w:bottom w:val="none" w:sz="0" w:space="0" w:color="auto"/>
            <w:right w:val="none" w:sz="0" w:space="0" w:color="auto"/>
          </w:divBdr>
        </w:div>
        <w:div w:id="1707834410">
          <w:marLeft w:val="640"/>
          <w:marRight w:val="0"/>
          <w:marTop w:val="0"/>
          <w:marBottom w:val="0"/>
          <w:divBdr>
            <w:top w:val="none" w:sz="0" w:space="0" w:color="auto"/>
            <w:left w:val="none" w:sz="0" w:space="0" w:color="auto"/>
            <w:bottom w:val="none" w:sz="0" w:space="0" w:color="auto"/>
            <w:right w:val="none" w:sz="0" w:space="0" w:color="auto"/>
          </w:divBdr>
        </w:div>
        <w:div w:id="2056587194">
          <w:marLeft w:val="640"/>
          <w:marRight w:val="0"/>
          <w:marTop w:val="0"/>
          <w:marBottom w:val="0"/>
          <w:divBdr>
            <w:top w:val="none" w:sz="0" w:space="0" w:color="auto"/>
            <w:left w:val="none" w:sz="0" w:space="0" w:color="auto"/>
            <w:bottom w:val="none" w:sz="0" w:space="0" w:color="auto"/>
            <w:right w:val="none" w:sz="0" w:space="0" w:color="auto"/>
          </w:divBdr>
        </w:div>
        <w:div w:id="1961447993">
          <w:marLeft w:val="640"/>
          <w:marRight w:val="0"/>
          <w:marTop w:val="0"/>
          <w:marBottom w:val="0"/>
          <w:divBdr>
            <w:top w:val="none" w:sz="0" w:space="0" w:color="auto"/>
            <w:left w:val="none" w:sz="0" w:space="0" w:color="auto"/>
            <w:bottom w:val="none" w:sz="0" w:space="0" w:color="auto"/>
            <w:right w:val="none" w:sz="0" w:space="0" w:color="auto"/>
          </w:divBdr>
        </w:div>
        <w:div w:id="463499331">
          <w:marLeft w:val="640"/>
          <w:marRight w:val="0"/>
          <w:marTop w:val="0"/>
          <w:marBottom w:val="0"/>
          <w:divBdr>
            <w:top w:val="none" w:sz="0" w:space="0" w:color="auto"/>
            <w:left w:val="none" w:sz="0" w:space="0" w:color="auto"/>
            <w:bottom w:val="none" w:sz="0" w:space="0" w:color="auto"/>
            <w:right w:val="none" w:sz="0" w:space="0" w:color="auto"/>
          </w:divBdr>
        </w:div>
        <w:div w:id="542056690">
          <w:marLeft w:val="640"/>
          <w:marRight w:val="0"/>
          <w:marTop w:val="0"/>
          <w:marBottom w:val="0"/>
          <w:divBdr>
            <w:top w:val="none" w:sz="0" w:space="0" w:color="auto"/>
            <w:left w:val="none" w:sz="0" w:space="0" w:color="auto"/>
            <w:bottom w:val="none" w:sz="0" w:space="0" w:color="auto"/>
            <w:right w:val="none" w:sz="0" w:space="0" w:color="auto"/>
          </w:divBdr>
        </w:div>
        <w:div w:id="167453657">
          <w:marLeft w:val="640"/>
          <w:marRight w:val="0"/>
          <w:marTop w:val="0"/>
          <w:marBottom w:val="0"/>
          <w:divBdr>
            <w:top w:val="none" w:sz="0" w:space="0" w:color="auto"/>
            <w:left w:val="none" w:sz="0" w:space="0" w:color="auto"/>
            <w:bottom w:val="none" w:sz="0" w:space="0" w:color="auto"/>
            <w:right w:val="none" w:sz="0" w:space="0" w:color="auto"/>
          </w:divBdr>
        </w:div>
        <w:div w:id="720789278">
          <w:marLeft w:val="640"/>
          <w:marRight w:val="0"/>
          <w:marTop w:val="0"/>
          <w:marBottom w:val="0"/>
          <w:divBdr>
            <w:top w:val="none" w:sz="0" w:space="0" w:color="auto"/>
            <w:left w:val="none" w:sz="0" w:space="0" w:color="auto"/>
            <w:bottom w:val="none" w:sz="0" w:space="0" w:color="auto"/>
            <w:right w:val="none" w:sz="0" w:space="0" w:color="auto"/>
          </w:divBdr>
        </w:div>
        <w:div w:id="763263879">
          <w:marLeft w:val="640"/>
          <w:marRight w:val="0"/>
          <w:marTop w:val="0"/>
          <w:marBottom w:val="0"/>
          <w:divBdr>
            <w:top w:val="none" w:sz="0" w:space="0" w:color="auto"/>
            <w:left w:val="none" w:sz="0" w:space="0" w:color="auto"/>
            <w:bottom w:val="none" w:sz="0" w:space="0" w:color="auto"/>
            <w:right w:val="none" w:sz="0" w:space="0" w:color="auto"/>
          </w:divBdr>
        </w:div>
        <w:div w:id="234827658">
          <w:marLeft w:val="640"/>
          <w:marRight w:val="0"/>
          <w:marTop w:val="0"/>
          <w:marBottom w:val="0"/>
          <w:divBdr>
            <w:top w:val="none" w:sz="0" w:space="0" w:color="auto"/>
            <w:left w:val="none" w:sz="0" w:space="0" w:color="auto"/>
            <w:bottom w:val="none" w:sz="0" w:space="0" w:color="auto"/>
            <w:right w:val="none" w:sz="0" w:space="0" w:color="auto"/>
          </w:divBdr>
        </w:div>
        <w:div w:id="916093711">
          <w:marLeft w:val="640"/>
          <w:marRight w:val="0"/>
          <w:marTop w:val="0"/>
          <w:marBottom w:val="0"/>
          <w:divBdr>
            <w:top w:val="none" w:sz="0" w:space="0" w:color="auto"/>
            <w:left w:val="none" w:sz="0" w:space="0" w:color="auto"/>
            <w:bottom w:val="none" w:sz="0" w:space="0" w:color="auto"/>
            <w:right w:val="none" w:sz="0" w:space="0" w:color="auto"/>
          </w:divBdr>
        </w:div>
        <w:div w:id="267737005">
          <w:marLeft w:val="640"/>
          <w:marRight w:val="0"/>
          <w:marTop w:val="0"/>
          <w:marBottom w:val="0"/>
          <w:divBdr>
            <w:top w:val="none" w:sz="0" w:space="0" w:color="auto"/>
            <w:left w:val="none" w:sz="0" w:space="0" w:color="auto"/>
            <w:bottom w:val="none" w:sz="0" w:space="0" w:color="auto"/>
            <w:right w:val="none" w:sz="0" w:space="0" w:color="auto"/>
          </w:divBdr>
        </w:div>
        <w:div w:id="323582171">
          <w:marLeft w:val="640"/>
          <w:marRight w:val="0"/>
          <w:marTop w:val="0"/>
          <w:marBottom w:val="0"/>
          <w:divBdr>
            <w:top w:val="none" w:sz="0" w:space="0" w:color="auto"/>
            <w:left w:val="none" w:sz="0" w:space="0" w:color="auto"/>
            <w:bottom w:val="none" w:sz="0" w:space="0" w:color="auto"/>
            <w:right w:val="none" w:sz="0" w:space="0" w:color="auto"/>
          </w:divBdr>
        </w:div>
        <w:div w:id="1512796923">
          <w:marLeft w:val="640"/>
          <w:marRight w:val="0"/>
          <w:marTop w:val="0"/>
          <w:marBottom w:val="0"/>
          <w:divBdr>
            <w:top w:val="none" w:sz="0" w:space="0" w:color="auto"/>
            <w:left w:val="none" w:sz="0" w:space="0" w:color="auto"/>
            <w:bottom w:val="none" w:sz="0" w:space="0" w:color="auto"/>
            <w:right w:val="none" w:sz="0" w:space="0" w:color="auto"/>
          </w:divBdr>
        </w:div>
        <w:div w:id="1298340839">
          <w:marLeft w:val="640"/>
          <w:marRight w:val="0"/>
          <w:marTop w:val="0"/>
          <w:marBottom w:val="0"/>
          <w:divBdr>
            <w:top w:val="none" w:sz="0" w:space="0" w:color="auto"/>
            <w:left w:val="none" w:sz="0" w:space="0" w:color="auto"/>
            <w:bottom w:val="none" w:sz="0" w:space="0" w:color="auto"/>
            <w:right w:val="none" w:sz="0" w:space="0" w:color="auto"/>
          </w:divBdr>
        </w:div>
        <w:div w:id="1742100871">
          <w:marLeft w:val="640"/>
          <w:marRight w:val="0"/>
          <w:marTop w:val="0"/>
          <w:marBottom w:val="0"/>
          <w:divBdr>
            <w:top w:val="none" w:sz="0" w:space="0" w:color="auto"/>
            <w:left w:val="none" w:sz="0" w:space="0" w:color="auto"/>
            <w:bottom w:val="none" w:sz="0" w:space="0" w:color="auto"/>
            <w:right w:val="none" w:sz="0" w:space="0" w:color="auto"/>
          </w:divBdr>
        </w:div>
        <w:div w:id="1395161049">
          <w:marLeft w:val="640"/>
          <w:marRight w:val="0"/>
          <w:marTop w:val="0"/>
          <w:marBottom w:val="0"/>
          <w:divBdr>
            <w:top w:val="none" w:sz="0" w:space="0" w:color="auto"/>
            <w:left w:val="none" w:sz="0" w:space="0" w:color="auto"/>
            <w:bottom w:val="none" w:sz="0" w:space="0" w:color="auto"/>
            <w:right w:val="none" w:sz="0" w:space="0" w:color="auto"/>
          </w:divBdr>
        </w:div>
        <w:div w:id="162163141">
          <w:marLeft w:val="640"/>
          <w:marRight w:val="0"/>
          <w:marTop w:val="0"/>
          <w:marBottom w:val="0"/>
          <w:divBdr>
            <w:top w:val="none" w:sz="0" w:space="0" w:color="auto"/>
            <w:left w:val="none" w:sz="0" w:space="0" w:color="auto"/>
            <w:bottom w:val="none" w:sz="0" w:space="0" w:color="auto"/>
            <w:right w:val="none" w:sz="0" w:space="0" w:color="auto"/>
          </w:divBdr>
        </w:div>
        <w:div w:id="1941598510">
          <w:marLeft w:val="640"/>
          <w:marRight w:val="0"/>
          <w:marTop w:val="0"/>
          <w:marBottom w:val="0"/>
          <w:divBdr>
            <w:top w:val="none" w:sz="0" w:space="0" w:color="auto"/>
            <w:left w:val="none" w:sz="0" w:space="0" w:color="auto"/>
            <w:bottom w:val="none" w:sz="0" w:space="0" w:color="auto"/>
            <w:right w:val="none" w:sz="0" w:space="0" w:color="auto"/>
          </w:divBdr>
        </w:div>
        <w:div w:id="1383558585">
          <w:marLeft w:val="640"/>
          <w:marRight w:val="0"/>
          <w:marTop w:val="0"/>
          <w:marBottom w:val="0"/>
          <w:divBdr>
            <w:top w:val="none" w:sz="0" w:space="0" w:color="auto"/>
            <w:left w:val="none" w:sz="0" w:space="0" w:color="auto"/>
            <w:bottom w:val="none" w:sz="0" w:space="0" w:color="auto"/>
            <w:right w:val="none" w:sz="0" w:space="0" w:color="auto"/>
          </w:divBdr>
        </w:div>
        <w:div w:id="1423254742">
          <w:marLeft w:val="640"/>
          <w:marRight w:val="0"/>
          <w:marTop w:val="0"/>
          <w:marBottom w:val="0"/>
          <w:divBdr>
            <w:top w:val="none" w:sz="0" w:space="0" w:color="auto"/>
            <w:left w:val="none" w:sz="0" w:space="0" w:color="auto"/>
            <w:bottom w:val="none" w:sz="0" w:space="0" w:color="auto"/>
            <w:right w:val="none" w:sz="0" w:space="0" w:color="auto"/>
          </w:divBdr>
        </w:div>
        <w:div w:id="2013753860">
          <w:marLeft w:val="640"/>
          <w:marRight w:val="0"/>
          <w:marTop w:val="0"/>
          <w:marBottom w:val="0"/>
          <w:divBdr>
            <w:top w:val="none" w:sz="0" w:space="0" w:color="auto"/>
            <w:left w:val="none" w:sz="0" w:space="0" w:color="auto"/>
            <w:bottom w:val="none" w:sz="0" w:space="0" w:color="auto"/>
            <w:right w:val="none" w:sz="0" w:space="0" w:color="auto"/>
          </w:divBdr>
        </w:div>
        <w:div w:id="1580947817">
          <w:marLeft w:val="640"/>
          <w:marRight w:val="0"/>
          <w:marTop w:val="0"/>
          <w:marBottom w:val="0"/>
          <w:divBdr>
            <w:top w:val="none" w:sz="0" w:space="0" w:color="auto"/>
            <w:left w:val="none" w:sz="0" w:space="0" w:color="auto"/>
            <w:bottom w:val="none" w:sz="0" w:space="0" w:color="auto"/>
            <w:right w:val="none" w:sz="0" w:space="0" w:color="auto"/>
          </w:divBdr>
        </w:div>
        <w:div w:id="1512141641">
          <w:marLeft w:val="640"/>
          <w:marRight w:val="0"/>
          <w:marTop w:val="0"/>
          <w:marBottom w:val="0"/>
          <w:divBdr>
            <w:top w:val="none" w:sz="0" w:space="0" w:color="auto"/>
            <w:left w:val="none" w:sz="0" w:space="0" w:color="auto"/>
            <w:bottom w:val="none" w:sz="0" w:space="0" w:color="auto"/>
            <w:right w:val="none" w:sz="0" w:space="0" w:color="auto"/>
          </w:divBdr>
        </w:div>
        <w:div w:id="1680933354">
          <w:marLeft w:val="640"/>
          <w:marRight w:val="0"/>
          <w:marTop w:val="0"/>
          <w:marBottom w:val="0"/>
          <w:divBdr>
            <w:top w:val="none" w:sz="0" w:space="0" w:color="auto"/>
            <w:left w:val="none" w:sz="0" w:space="0" w:color="auto"/>
            <w:bottom w:val="none" w:sz="0" w:space="0" w:color="auto"/>
            <w:right w:val="none" w:sz="0" w:space="0" w:color="auto"/>
          </w:divBdr>
        </w:div>
        <w:div w:id="488519385">
          <w:marLeft w:val="640"/>
          <w:marRight w:val="0"/>
          <w:marTop w:val="0"/>
          <w:marBottom w:val="0"/>
          <w:divBdr>
            <w:top w:val="none" w:sz="0" w:space="0" w:color="auto"/>
            <w:left w:val="none" w:sz="0" w:space="0" w:color="auto"/>
            <w:bottom w:val="none" w:sz="0" w:space="0" w:color="auto"/>
            <w:right w:val="none" w:sz="0" w:space="0" w:color="auto"/>
          </w:divBdr>
        </w:div>
        <w:div w:id="1808936391">
          <w:marLeft w:val="640"/>
          <w:marRight w:val="0"/>
          <w:marTop w:val="0"/>
          <w:marBottom w:val="0"/>
          <w:divBdr>
            <w:top w:val="none" w:sz="0" w:space="0" w:color="auto"/>
            <w:left w:val="none" w:sz="0" w:space="0" w:color="auto"/>
            <w:bottom w:val="none" w:sz="0" w:space="0" w:color="auto"/>
            <w:right w:val="none" w:sz="0" w:space="0" w:color="auto"/>
          </w:divBdr>
        </w:div>
        <w:div w:id="308216409">
          <w:marLeft w:val="640"/>
          <w:marRight w:val="0"/>
          <w:marTop w:val="0"/>
          <w:marBottom w:val="0"/>
          <w:divBdr>
            <w:top w:val="none" w:sz="0" w:space="0" w:color="auto"/>
            <w:left w:val="none" w:sz="0" w:space="0" w:color="auto"/>
            <w:bottom w:val="none" w:sz="0" w:space="0" w:color="auto"/>
            <w:right w:val="none" w:sz="0" w:space="0" w:color="auto"/>
          </w:divBdr>
        </w:div>
        <w:div w:id="2028479850">
          <w:marLeft w:val="640"/>
          <w:marRight w:val="0"/>
          <w:marTop w:val="0"/>
          <w:marBottom w:val="0"/>
          <w:divBdr>
            <w:top w:val="none" w:sz="0" w:space="0" w:color="auto"/>
            <w:left w:val="none" w:sz="0" w:space="0" w:color="auto"/>
            <w:bottom w:val="none" w:sz="0" w:space="0" w:color="auto"/>
            <w:right w:val="none" w:sz="0" w:space="0" w:color="auto"/>
          </w:divBdr>
        </w:div>
        <w:div w:id="689523786">
          <w:marLeft w:val="640"/>
          <w:marRight w:val="0"/>
          <w:marTop w:val="0"/>
          <w:marBottom w:val="0"/>
          <w:divBdr>
            <w:top w:val="none" w:sz="0" w:space="0" w:color="auto"/>
            <w:left w:val="none" w:sz="0" w:space="0" w:color="auto"/>
            <w:bottom w:val="none" w:sz="0" w:space="0" w:color="auto"/>
            <w:right w:val="none" w:sz="0" w:space="0" w:color="auto"/>
          </w:divBdr>
        </w:div>
        <w:div w:id="501243525">
          <w:marLeft w:val="640"/>
          <w:marRight w:val="0"/>
          <w:marTop w:val="0"/>
          <w:marBottom w:val="0"/>
          <w:divBdr>
            <w:top w:val="none" w:sz="0" w:space="0" w:color="auto"/>
            <w:left w:val="none" w:sz="0" w:space="0" w:color="auto"/>
            <w:bottom w:val="none" w:sz="0" w:space="0" w:color="auto"/>
            <w:right w:val="none" w:sz="0" w:space="0" w:color="auto"/>
          </w:divBdr>
        </w:div>
        <w:div w:id="2041543707">
          <w:marLeft w:val="640"/>
          <w:marRight w:val="0"/>
          <w:marTop w:val="0"/>
          <w:marBottom w:val="0"/>
          <w:divBdr>
            <w:top w:val="none" w:sz="0" w:space="0" w:color="auto"/>
            <w:left w:val="none" w:sz="0" w:space="0" w:color="auto"/>
            <w:bottom w:val="none" w:sz="0" w:space="0" w:color="auto"/>
            <w:right w:val="none" w:sz="0" w:space="0" w:color="auto"/>
          </w:divBdr>
        </w:div>
        <w:div w:id="1306735191">
          <w:marLeft w:val="640"/>
          <w:marRight w:val="0"/>
          <w:marTop w:val="0"/>
          <w:marBottom w:val="0"/>
          <w:divBdr>
            <w:top w:val="none" w:sz="0" w:space="0" w:color="auto"/>
            <w:left w:val="none" w:sz="0" w:space="0" w:color="auto"/>
            <w:bottom w:val="none" w:sz="0" w:space="0" w:color="auto"/>
            <w:right w:val="none" w:sz="0" w:space="0" w:color="auto"/>
          </w:divBdr>
        </w:div>
        <w:div w:id="857423555">
          <w:marLeft w:val="640"/>
          <w:marRight w:val="0"/>
          <w:marTop w:val="0"/>
          <w:marBottom w:val="0"/>
          <w:divBdr>
            <w:top w:val="none" w:sz="0" w:space="0" w:color="auto"/>
            <w:left w:val="none" w:sz="0" w:space="0" w:color="auto"/>
            <w:bottom w:val="none" w:sz="0" w:space="0" w:color="auto"/>
            <w:right w:val="none" w:sz="0" w:space="0" w:color="auto"/>
          </w:divBdr>
        </w:div>
        <w:div w:id="2141146998">
          <w:marLeft w:val="640"/>
          <w:marRight w:val="0"/>
          <w:marTop w:val="0"/>
          <w:marBottom w:val="0"/>
          <w:divBdr>
            <w:top w:val="none" w:sz="0" w:space="0" w:color="auto"/>
            <w:left w:val="none" w:sz="0" w:space="0" w:color="auto"/>
            <w:bottom w:val="none" w:sz="0" w:space="0" w:color="auto"/>
            <w:right w:val="none" w:sz="0" w:space="0" w:color="auto"/>
          </w:divBdr>
        </w:div>
        <w:div w:id="1117480938">
          <w:marLeft w:val="640"/>
          <w:marRight w:val="0"/>
          <w:marTop w:val="0"/>
          <w:marBottom w:val="0"/>
          <w:divBdr>
            <w:top w:val="none" w:sz="0" w:space="0" w:color="auto"/>
            <w:left w:val="none" w:sz="0" w:space="0" w:color="auto"/>
            <w:bottom w:val="none" w:sz="0" w:space="0" w:color="auto"/>
            <w:right w:val="none" w:sz="0" w:space="0" w:color="auto"/>
          </w:divBdr>
        </w:div>
        <w:div w:id="472797647">
          <w:marLeft w:val="640"/>
          <w:marRight w:val="0"/>
          <w:marTop w:val="0"/>
          <w:marBottom w:val="0"/>
          <w:divBdr>
            <w:top w:val="none" w:sz="0" w:space="0" w:color="auto"/>
            <w:left w:val="none" w:sz="0" w:space="0" w:color="auto"/>
            <w:bottom w:val="none" w:sz="0" w:space="0" w:color="auto"/>
            <w:right w:val="none" w:sz="0" w:space="0" w:color="auto"/>
          </w:divBdr>
        </w:div>
        <w:div w:id="1965575357">
          <w:marLeft w:val="640"/>
          <w:marRight w:val="0"/>
          <w:marTop w:val="0"/>
          <w:marBottom w:val="0"/>
          <w:divBdr>
            <w:top w:val="none" w:sz="0" w:space="0" w:color="auto"/>
            <w:left w:val="none" w:sz="0" w:space="0" w:color="auto"/>
            <w:bottom w:val="none" w:sz="0" w:space="0" w:color="auto"/>
            <w:right w:val="none" w:sz="0" w:space="0" w:color="auto"/>
          </w:divBdr>
        </w:div>
        <w:div w:id="1862627038">
          <w:marLeft w:val="640"/>
          <w:marRight w:val="0"/>
          <w:marTop w:val="0"/>
          <w:marBottom w:val="0"/>
          <w:divBdr>
            <w:top w:val="none" w:sz="0" w:space="0" w:color="auto"/>
            <w:left w:val="none" w:sz="0" w:space="0" w:color="auto"/>
            <w:bottom w:val="none" w:sz="0" w:space="0" w:color="auto"/>
            <w:right w:val="none" w:sz="0" w:space="0" w:color="auto"/>
          </w:divBdr>
        </w:div>
        <w:div w:id="1657345772">
          <w:marLeft w:val="640"/>
          <w:marRight w:val="0"/>
          <w:marTop w:val="0"/>
          <w:marBottom w:val="0"/>
          <w:divBdr>
            <w:top w:val="none" w:sz="0" w:space="0" w:color="auto"/>
            <w:left w:val="none" w:sz="0" w:space="0" w:color="auto"/>
            <w:bottom w:val="none" w:sz="0" w:space="0" w:color="auto"/>
            <w:right w:val="none" w:sz="0" w:space="0" w:color="auto"/>
          </w:divBdr>
        </w:div>
        <w:div w:id="114981762">
          <w:marLeft w:val="640"/>
          <w:marRight w:val="0"/>
          <w:marTop w:val="0"/>
          <w:marBottom w:val="0"/>
          <w:divBdr>
            <w:top w:val="none" w:sz="0" w:space="0" w:color="auto"/>
            <w:left w:val="none" w:sz="0" w:space="0" w:color="auto"/>
            <w:bottom w:val="none" w:sz="0" w:space="0" w:color="auto"/>
            <w:right w:val="none" w:sz="0" w:space="0" w:color="auto"/>
          </w:divBdr>
        </w:div>
        <w:div w:id="1449470009">
          <w:marLeft w:val="640"/>
          <w:marRight w:val="0"/>
          <w:marTop w:val="0"/>
          <w:marBottom w:val="0"/>
          <w:divBdr>
            <w:top w:val="none" w:sz="0" w:space="0" w:color="auto"/>
            <w:left w:val="none" w:sz="0" w:space="0" w:color="auto"/>
            <w:bottom w:val="none" w:sz="0" w:space="0" w:color="auto"/>
            <w:right w:val="none" w:sz="0" w:space="0" w:color="auto"/>
          </w:divBdr>
        </w:div>
        <w:div w:id="1259563664">
          <w:marLeft w:val="640"/>
          <w:marRight w:val="0"/>
          <w:marTop w:val="0"/>
          <w:marBottom w:val="0"/>
          <w:divBdr>
            <w:top w:val="none" w:sz="0" w:space="0" w:color="auto"/>
            <w:left w:val="none" w:sz="0" w:space="0" w:color="auto"/>
            <w:bottom w:val="none" w:sz="0" w:space="0" w:color="auto"/>
            <w:right w:val="none" w:sz="0" w:space="0" w:color="auto"/>
          </w:divBdr>
        </w:div>
        <w:div w:id="1857841048">
          <w:marLeft w:val="640"/>
          <w:marRight w:val="0"/>
          <w:marTop w:val="0"/>
          <w:marBottom w:val="0"/>
          <w:divBdr>
            <w:top w:val="none" w:sz="0" w:space="0" w:color="auto"/>
            <w:left w:val="none" w:sz="0" w:space="0" w:color="auto"/>
            <w:bottom w:val="none" w:sz="0" w:space="0" w:color="auto"/>
            <w:right w:val="none" w:sz="0" w:space="0" w:color="auto"/>
          </w:divBdr>
        </w:div>
        <w:div w:id="923610432">
          <w:marLeft w:val="640"/>
          <w:marRight w:val="0"/>
          <w:marTop w:val="0"/>
          <w:marBottom w:val="0"/>
          <w:divBdr>
            <w:top w:val="none" w:sz="0" w:space="0" w:color="auto"/>
            <w:left w:val="none" w:sz="0" w:space="0" w:color="auto"/>
            <w:bottom w:val="none" w:sz="0" w:space="0" w:color="auto"/>
            <w:right w:val="none" w:sz="0" w:space="0" w:color="auto"/>
          </w:divBdr>
        </w:div>
        <w:div w:id="1286496694">
          <w:marLeft w:val="640"/>
          <w:marRight w:val="0"/>
          <w:marTop w:val="0"/>
          <w:marBottom w:val="0"/>
          <w:divBdr>
            <w:top w:val="none" w:sz="0" w:space="0" w:color="auto"/>
            <w:left w:val="none" w:sz="0" w:space="0" w:color="auto"/>
            <w:bottom w:val="none" w:sz="0" w:space="0" w:color="auto"/>
            <w:right w:val="none" w:sz="0" w:space="0" w:color="auto"/>
          </w:divBdr>
        </w:div>
        <w:div w:id="2095978731">
          <w:marLeft w:val="640"/>
          <w:marRight w:val="0"/>
          <w:marTop w:val="0"/>
          <w:marBottom w:val="0"/>
          <w:divBdr>
            <w:top w:val="none" w:sz="0" w:space="0" w:color="auto"/>
            <w:left w:val="none" w:sz="0" w:space="0" w:color="auto"/>
            <w:bottom w:val="none" w:sz="0" w:space="0" w:color="auto"/>
            <w:right w:val="none" w:sz="0" w:space="0" w:color="auto"/>
          </w:divBdr>
        </w:div>
        <w:div w:id="736437840">
          <w:marLeft w:val="640"/>
          <w:marRight w:val="0"/>
          <w:marTop w:val="0"/>
          <w:marBottom w:val="0"/>
          <w:divBdr>
            <w:top w:val="none" w:sz="0" w:space="0" w:color="auto"/>
            <w:left w:val="none" w:sz="0" w:space="0" w:color="auto"/>
            <w:bottom w:val="none" w:sz="0" w:space="0" w:color="auto"/>
            <w:right w:val="none" w:sz="0" w:space="0" w:color="auto"/>
          </w:divBdr>
        </w:div>
        <w:div w:id="1277446960">
          <w:marLeft w:val="640"/>
          <w:marRight w:val="0"/>
          <w:marTop w:val="0"/>
          <w:marBottom w:val="0"/>
          <w:divBdr>
            <w:top w:val="none" w:sz="0" w:space="0" w:color="auto"/>
            <w:left w:val="none" w:sz="0" w:space="0" w:color="auto"/>
            <w:bottom w:val="none" w:sz="0" w:space="0" w:color="auto"/>
            <w:right w:val="none" w:sz="0" w:space="0" w:color="auto"/>
          </w:divBdr>
        </w:div>
        <w:div w:id="1992754883">
          <w:marLeft w:val="640"/>
          <w:marRight w:val="0"/>
          <w:marTop w:val="0"/>
          <w:marBottom w:val="0"/>
          <w:divBdr>
            <w:top w:val="none" w:sz="0" w:space="0" w:color="auto"/>
            <w:left w:val="none" w:sz="0" w:space="0" w:color="auto"/>
            <w:bottom w:val="none" w:sz="0" w:space="0" w:color="auto"/>
            <w:right w:val="none" w:sz="0" w:space="0" w:color="auto"/>
          </w:divBdr>
        </w:div>
        <w:div w:id="1494296335">
          <w:marLeft w:val="640"/>
          <w:marRight w:val="0"/>
          <w:marTop w:val="0"/>
          <w:marBottom w:val="0"/>
          <w:divBdr>
            <w:top w:val="none" w:sz="0" w:space="0" w:color="auto"/>
            <w:left w:val="none" w:sz="0" w:space="0" w:color="auto"/>
            <w:bottom w:val="none" w:sz="0" w:space="0" w:color="auto"/>
            <w:right w:val="none" w:sz="0" w:space="0" w:color="auto"/>
          </w:divBdr>
        </w:div>
        <w:div w:id="2101481027">
          <w:marLeft w:val="640"/>
          <w:marRight w:val="0"/>
          <w:marTop w:val="0"/>
          <w:marBottom w:val="0"/>
          <w:divBdr>
            <w:top w:val="none" w:sz="0" w:space="0" w:color="auto"/>
            <w:left w:val="none" w:sz="0" w:space="0" w:color="auto"/>
            <w:bottom w:val="none" w:sz="0" w:space="0" w:color="auto"/>
            <w:right w:val="none" w:sz="0" w:space="0" w:color="auto"/>
          </w:divBdr>
        </w:div>
        <w:div w:id="1941912735">
          <w:marLeft w:val="640"/>
          <w:marRight w:val="0"/>
          <w:marTop w:val="0"/>
          <w:marBottom w:val="0"/>
          <w:divBdr>
            <w:top w:val="none" w:sz="0" w:space="0" w:color="auto"/>
            <w:left w:val="none" w:sz="0" w:space="0" w:color="auto"/>
            <w:bottom w:val="none" w:sz="0" w:space="0" w:color="auto"/>
            <w:right w:val="none" w:sz="0" w:space="0" w:color="auto"/>
          </w:divBdr>
        </w:div>
        <w:div w:id="1872720741">
          <w:marLeft w:val="640"/>
          <w:marRight w:val="0"/>
          <w:marTop w:val="0"/>
          <w:marBottom w:val="0"/>
          <w:divBdr>
            <w:top w:val="none" w:sz="0" w:space="0" w:color="auto"/>
            <w:left w:val="none" w:sz="0" w:space="0" w:color="auto"/>
            <w:bottom w:val="none" w:sz="0" w:space="0" w:color="auto"/>
            <w:right w:val="none" w:sz="0" w:space="0" w:color="auto"/>
          </w:divBdr>
        </w:div>
        <w:div w:id="1499534565">
          <w:marLeft w:val="640"/>
          <w:marRight w:val="0"/>
          <w:marTop w:val="0"/>
          <w:marBottom w:val="0"/>
          <w:divBdr>
            <w:top w:val="none" w:sz="0" w:space="0" w:color="auto"/>
            <w:left w:val="none" w:sz="0" w:space="0" w:color="auto"/>
            <w:bottom w:val="none" w:sz="0" w:space="0" w:color="auto"/>
            <w:right w:val="none" w:sz="0" w:space="0" w:color="auto"/>
          </w:divBdr>
        </w:div>
        <w:div w:id="1683164054">
          <w:marLeft w:val="640"/>
          <w:marRight w:val="0"/>
          <w:marTop w:val="0"/>
          <w:marBottom w:val="0"/>
          <w:divBdr>
            <w:top w:val="none" w:sz="0" w:space="0" w:color="auto"/>
            <w:left w:val="none" w:sz="0" w:space="0" w:color="auto"/>
            <w:bottom w:val="none" w:sz="0" w:space="0" w:color="auto"/>
            <w:right w:val="none" w:sz="0" w:space="0" w:color="auto"/>
          </w:divBdr>
        </w:div>
        <w:div w:id="126440852">
          <w:marLeft w:val="640"/>
          <w:marRight w:val="0"/>
          <w:marTop w:val="0"/>
          <w:marBottom w:val="0"/>
          <w:divBdr>
            <w:top w:val="none" w:sz="0" w:space="0" w:color="auto"/>
            <w:left w:val="none" w:sz="0" w:space="0" w:color="auto"/>
            <w:bottom w:val="none" w:sz="0" w:space="0" w:color="auto"/>
            <w:right w:val="none" w:sz="0" w:space="0" w:color="auto"/>
          </w:divBdr>
        </w:div>
        <w:div w:id="1780907820">
          <w:marLeft w:val="640"/>
          <w:marRight w:val="0"/>
          <w:marTop w:val="0"/>
          <w:marBottom w:val="0"/>
          <w:divBdr>
            <w:top w:val="none" w:sz="0" w:space="0" w:color="auto"/>
            <w:left w:val="none" w:sz="0" w:space="0" w:color="auto"/>
            <w:bottom w:val="none" w:sz="0" w:space="0" w:color="auto"/>
            <w:right w:val="none" w:sz="0" w:space="0" w:color="auto"/>
          </w:divBdr>
        </w:div>
        <w:div w:id="1981416435">
          <w:marLeft w:val="640"/>
          <w:marRight w:val="0"/>
          <w:marTop w:val="0"/>
          <w:marBottom w:val="0"/>
          <w:divBdr>
            <w:top w:val="none" w:sz="0" w:space="0" w:color="auto"/>
            <w:left w:val="none" w:sz="0" w:space="0" w:color="auto"/>
            <w:bottom w:val="none" w:sz="0" w:space="0" w:color="auto"/>
            <w:right w:val="none" w:sz="0" w:space="0" w:color="auto"/>
          </w:divBdr>
        </w:div>
        <w:div w:id="631325645">
          <w:marLeft w:val="640"/>
          <w:marRight w:val="0"/>
          <w:marTop w:val="0"/>
          <w:marBottom w:val="0"/>
          <w:divBdr>
            <w:top w:val="none" w:sz="0" w:space="0" w:color="auto"/>
            <w:left w:val="none" w:sz="0" w:space="0" w:color="auto"/>
            <w:bottom w:val="none" w:sz="0" w:space="0" w:color="auto"/>
            <w:right w:val="none" w:sz="0" w:space="0" w:color="auto"/>
          </w:divBdr>
        </w:div>
        <w:div w:id="1343624245">
          <w:marLeft w:val="640"/>
          <w:marRight w:val="0"/>
          <w:marTop w:val="0"/>
          <w:marBottom w:val="0"/>
          <w:divBdr>
            <w:top w:val="none" w:sz="0" w:space="0" w:color="auto"/>
            <w:left w:val="none" w:sz="0" w:space="0" w:color="auto"/>
            <w:bottom w:val="none" w:sz="0" w:space="0" w:color="auto"/>
            <w:right w:val="none" w:sz="0" w:space="0" w:color="auto"/>
          </w:divBdr>
        </w:div>
        <w:div w:id="444496958">
          <w:marLeft w:val="640"/>
          <w:marRight w:val="0"/>
          <w:marTop w:val="0"/>
          <w:marBottom w:val="0"/>
          <w:divBdr>
            <w:top w:val="none" w:sz="0" w:space="0" w:color="auto"/>
            <w:left w:val="none" w:sz="0" w:space="0" w:color="auto"/>
            <w:bottom w:val="none" w:sz="0" w:space="0" w:color="auto"/>
            <w:right w:val="none" w:sz="0" w:space="0" w:color="auto"/>
          </w:divBdr>
        </w:div>
        <w:div w:id="1937902567">
          <w:marLeft w:val="640"/>
          <w:marRight w:val="0"/>
          <w:marTop w:val="0"/>
          <w:marBottom w:val="0"/>
          <w:divBdr>
            <w:top w:val="none" w:sz="0" w:space="0" w:color="auto"/>
            <w:left w:val="none" w:sz="0" w:space="0" w:color="auto"/>
            <w:bottom w:val="none" w:sz="0" w:space="0" w:color="auto"/>
            <w:right w:val="none" w:sz="0" w:space="0" w:color="auto"/>
          </w:divBdr>
        </w:div>
        <w:div w:id="375080009">
          <w:marLeft w:val="640"/>
          <w:marRight w:val="0"/>
          <w:marTop w:val="0"/>
          <w:marBottom w:val="0"/>
          <w:divBdr>
            <w:top w:val="none" w:sz="0" w:space="0" w:color="auto"/>
            <w:left w:val="none" w:sz="0" w:space="0" w:color="auto"/>
            <w:bottom w:val="none" w:sz="0" w:space="0" w:color="auto"/>
            <w:right w:val="none" w:sz="0" w:space="0" w:color="auto"/>
          </w:divBdr>
        </w:div>
        <w:div w:id="294338213">
          <w:marLeft w:val="640"/>
          <w:marRight w:val="0"/>
          <w:marTop w:val="0"/>
          <w:marBottom w:val="0"/>
          <w:divBdr>
            <w:top w:val="none" w:sz="0" w:space="0" w:color="auto"/>
            <w:left w:val="none" w:sz="0" w:space="0" w:color="auto"/>
            <w:bottom w:val="none" w:sz="0" w:space="0" w:color="auto"/>
            <w:right w:val="none" w:sz="0" w:space="0" w:color="auto"/>
          </w:divBdr>
        </w:div>
        <w:div w:id="684283435">
          <w:marLeft w:val="640"/>
          <w:marRight w:val="0"/>
          <w:marTop w:val="0"/>
          <w:marBottom w:val="0"/>
          <w:divBdr>
            <w:top w:val="none" w:sz="0" w:space="0" w:color="auto"/>
            <w:left w:val="none" w:sz="0" w:space="0" w:color="auto"/>
            <w:bottom w:val="none" w:sz="0" w:space="0" w:color="auto"/>
            <w:right w:val="none" w:sz="0" w:space="0" w:color="auto"/>
          </w:divBdr>
        </w:div>
        <w:div w:id="1848211798">
          <w:marLeft w:val="640"/>
          <w:marRight w:val="0"/>
          <w:marTop w:val="0"/>
          <w:marBottom w:val="0"/>
          <w:divBdr>
            <w:top w:val="none" w:sz="0" w:space="0" w:color="auto"/>
            <w:left w:val="none" w:sz="0" w:space="0" w:color="auto"/>
            <w:bottom w:val="none" w:sz="0" w:space="0" w:color="auto"/>
            <w:right w:val="none" w:sz="0" w:space="0" w:color="auto"/>
          </w:divBdr>
        </w:div>
        <w:div w:id="2137915821">
          <w:marLeft w:val="640"/>
          <w:marRight w:val="0"/>
          <w:marTop w:val="0"/>
          <w:marBottom w:val="0"/>
          <w:divBdr>
            <w:top w:val="none" w:sz="0" w:space="0" w:color="auto"/>
            <w:left w:val="none" w:sz="0" w:space="0" w:color="auto"/>
            <w:bottom w:val="none" w:sz="0" w:space="0" w:color="auto"/>
            <w:right w:val="none" w:sz="0" w:space="0" w:color="auto"/>
          </w:divBdr>
        </w:div>
        <w:div w:id="1184588424">
          <w:marLeft w:val="640"/>
          <w:marRight w:val="0"/>
          <w:marTop w:val="0"/>
          <w:marBottom w:val="0"/>
          <w:divBdr>
            <w:top w:val="none" w:sz="0" w:space="0" w:color="auto"/>
            <w:left w:val="none" w:sz="0" w:space="0" w:color="auto"/>
            <w:bottom w:val="none" w:sz="0" w:space="0" w:color="auto"/>
            <w:right w:val="none" w:sz="0" w:space="0" w:color="auto"/>
          </w:divBdr>
        </w:div>
        <w:div w:id="1472019">
          <w:marLeft w:val="640"/>
          <w:marRight w:val="0"/>
          <w:marTop w:val="0"/>
          <w:marBottom w:val="0"/>
          <w:divBdr>
            <w:top w:val="none" w:sz="0" w:space="0" w:color="auto"/>
            <w:left w:val="none" w:sz="0" w:space="0" w:color="auto"/>
            <w:bottom w:val="none" w:sz="0" w:space="0" w:color="auto"/>
            <w:right w:val="none" w:sz="0" w:space="0" w:color="auto"/>
          </w:divBdr>
        </w:div>
        <w:div w:id="293025262">
          <w:marLeft w:val="640"/>
          <w:marRight w:val="0"/>
          <w:marTop w:val="0"/>
          <w:marBottom w:val="0"/>
          <w:divBdr>
            <w:top w:val="none" w:sz="0" w:space="0" w:color="auto"/>
            <w:left w:val="none" w:sz="0" w:space="0" w:color="auto"/>
            <w:bottom w:val="none" w:sz="0" w:space="0" w:color="auto"/>
            <w:right w:val="none" w:sz="0" w:space="0" w:color="auto"/>
          </w:divBdr>
        </w:div>
        <w:div w:id="1547445530">
          <w:marLeft w:val="640"/>
          <w:marRight w:val="0"/>
          <w:marTop w:val="0"/>
          <w:marBottom w:val="0"/>
          <w:divBdr>
            <w:top w:val="none" w:sz="0" w:space="0" w:color="auto"/>
            <w:left w:val="none" w:sz="0" w:space="0" w:color="auto"/>
            <w:bottom w:val="none" w:sz="0" w:space="0" w:color="auto"/>
            <w:right w:val="none" w:sz="0" w:space="0" w:color="auto"/>
          </w:divBdr>
        </w:div>
        <w:div w:id="1025788074">
          <w:marLeft w:val="640"/>
          <w:marRight w:val="0"/>
          <w:marTop w:val="0"/>
          <w:marBottom w:val="0"/>
          <w:divBdr>
            <w:top w:val="none" w:sz="0" w:space="0" w:color="auto"/>
            <w:left w:val="none" w:sz="0" w:space="0" w:color="auto"/>
            <w:bottom w:val="none" w:sz="0" w:space="0" w:color="auto"/>
            <w:right w:val="none" w:sz="0" w:space="0" w:color="auto"/>
          </w:divBdr>
        </w:div>
        <w:div w:id="1698458476">
          <w:marLeft w:val="640"/>
          <w:marRight w:val="0"/>
          <w:marTop w:val="0"/>
          <w:marBottom w:val="0"/>
          <w:divBdr>
            <w:top w:val="none" w:sz="0" w:space="0" w:color="auto"/>
            <w:left w:val="none" w:sz="0" w:space="0" w:color="auto"/>
            <w:bottom w:val="none" w:sz="0" w:space="0" w:color="auto"/>
            <w:right w:val="none" w:sz="0" w:space="0" w:color="auto"/>
          </w:divBdr>
        </w:div>
        <w:div w:id="887572341">
          <w:marLeft w:val="640"/>
          <w:marRight w:val="0"/>
          <w:marTop w:val="0"/>
          <w:marBottom w:val="0"/>
          <w:divBdr>
            <w:top w:val="none" w:sz="0" w:space="0" w:color="auto"/>
            <w:left w:val="none" w:sz="0" w:space="0" w:color="auto"/>
            <w:bottom w:val="none" w:sz="0" w:space="0" w:color="auto"/>
            <w:right w:val="none" w:sz="0" w:space="0" w:color="auto"/>
          </w:divBdr>
        </w:div>
        <w:div w:id="1468163822">
          <w:marLeft w:val="640"/>
          <w:marRight w:val="0"/>
          <w:marTop w:val="0"/>
          <w:marBottom w:val="0"/>
          <w:divBdr>
            <w:top w:val="none" w:sz="0" w:space="0" w:color="auto"/>
            <w:left w:val="none" w:sz="0" w:space="0" w:color="auto"/>
            <w:bottom w:val="none" w:sz="0" w:space="0" w:color="auto"/>
            <w:right w:val="none" w:sz="0" w:space="0" w:color="auto"/>
          </w:divBdr>
        </w:div>
        <w:div w:id="1897161961">
          <w:marLeft w:val="640"/>
          <w:marRight w:val="0"/>
          <w:marTop w:val="0"/>
          <w:marBottom w:val="0"/>
          <w:divBdr>
            <w:top w:val="none" w:sz="0" w:space="0" w:color="auto"/>
            <w:left w:val="none" w:sz="0" w:space="0" w:color="auto"/>
            <w:bottom w:val="none" w:sz="0" w:space="0" w:color="auto"/>
            <w:right w:val="none" w:sz="0" w:space="0" w:color="auto"/>
          </w:divBdr>
        </w:div>
        <w:div w:id="1204295162">
          <w:marLeft w:val="640"/>
          <w:marRight w:val="0"/>
          <w:marTop w:val="0"/>
          <w:marBottom w:val="0"/>
          <w:divBdr>
            <w:top w:val="none" w:sz="0" w:space="0" w:color="auto"/>
            <w:left w:val="none" w:sz="0" w:space="0" w:color="auto"/>
            <w:bottom w:val="none" w:sz="0" w:space="0" w:color="auto"/>
            <w:right w:val="none" w:sz="0" w:space="0" w:color="auto"/>
          </w:divBdr>
        </w:div>
        <w:div w:id="375467362">
          <w:marLeft w:val="640"/>
          <w:marRight w:val="0"/>
          <w:marTop w:val="0"/>
          <w:marBottom w:val="0"/>
          <w:divBdr>
            <w:top w:val="none" w:sz="0" w:space="0" w:color="auto"/>
            <w:left w:val="none" w:sz="0" w:space="0" w:color="auto"/>
            <w:bottom w:val="none" w:sz="0" w:space="0" w:color="auto"/>
            <w:right w:val="none" w:sz="0" w:space="0" w:color="auto"/>
          </w:divBdr>
        </w:div>
        <w:div w:id="1368529717">
          <w:marLeft w:val="640"/>
          <w:marRight w:val="0"/>
          <w:marTop w:val="0"/>
          <w:marBottom w:val="0"/>
          <w:divBdr>
            <w:top w:val="none" w:sz="0" w:space="0" w:color="auto"/>
            <w:left w:val="none" w:sz="0" w:space="0" w:color="auto"/>
            <w:bottom w:val="none" w:sz="0" w:space="0" w:color="auto"/>
            <w:right w:val="none" w:sz="0" w:space="0" w:color="auto"/>
          </w:divBdr>
        </w:div>
        <w:div w:id="306476882">
          <w:marLeft w:val="640"/>
          <w:marRight w:val="0"/>
          <w:marTop w:val="0"/>
          <w:marBottom w:val="0"/>
          <w:divBdr>
            <w:top w:val="none" w:sz="0" w:space="0" w:color="auto"/>
            <w:left w:val="none" w:sz="0" w:space="0" w:color="auto"/>
            <w:bottom w:val="none" w:sz="0" w:space="0" w:color="auto"/>
            <w:right w:val="none" w:sz="0" w:space="0" w:color="auto"/>
          </w:divBdr>
        </w:div>
      </w:divsChild>
    </w:div>
    <w:div w:id="1692217595">
      <w:bodyDiv w:val="1"/>
      <w:marLeft w:val="0"/>
      <w:marRight w:val="0"/>
      <w:marTop w:val="0"/>
      <w:marBottom w:val="0"/>
      <w:divBdr>
        <w:top w:val="none" w:sz="0" w:space="0" w:color="auto"/>
        <w:left w:val="none" w:sz="0" w:space="0" w:color="auto"/>
        <w:bottom w:val="none" w:sz="0" w:space="0" w:color="auto"/>
        <w:right w:val="none" w:sz="0" w:space="0" w:color="auto"/>
      </w:divBdr>
      <w:divsChild>
        <w:div w:id="481388086">
          <w:marLeft w:val="640"/>
          <w:marRight w:val="0"/>
          <w:marTop w:val="0"/>
          <w:marBottom w:val="0"/>
          <w:divBdr>
            <w:top w:val="none" w:sz="0" w:space="0" w:color="auto"/>
            <w:left w:val="none" w:sz="0" w:space="0" w:color="auto"/>
            <w:bottom w:val="none" w:sz="0" w:space="0" w:color="auto"/>
            <w:right w:val="none" w:sz="0" w:space="0" w:color="auto"/>
          </w:divBdr>
        </w:div>
        <w:div w:id="1814060133">
          <w:marLeft w:val="640"/>
          <w:marRight w:val="0"/>
          <w:marTop w:val="0"/>
          <w:marBottom w:val="0"/>
          <w:divBdr>
            <w:top w:val="none" w:sz="0" w:space="0" w:color="auto"/>
            <w:left w:val="none" w:sz="0" w:space="0" w:color="auto"/>
            <w:bottom w:val="none" w:sz="0" w:space="0" w:color="auto"/>
            <w:right w:val="none" w:sz="0" w:space="0" w:color="auto"/>
          </w:divBdr>
        </w:div>
        <w:div w:id="659162074">
          <w:marLeft w:val="640"/>
          <w:marRight w:val="0"/>
          <w:marTop w:val="0"/>
          <w:marBottom w:val="0"/>
          <w:divBdr>
            <w:top w:val="none" w:sz="0" w:space="0" w:color="auto"/>
            <w:left w:val="none" w:sz="0" w:space="0" w:color="auto"/>
            <w:bottom w:val="none" w:sz="0" w:space="0" w:color="auto"/>
            <w:right w:val="none" w:sz="0" w:space="0" w:color="auto"/>
          </w:divBdr>
        </w:div>
        <w:div w:id="1871456894">
          <w:marLeft w:val="640"/>
          <w:marRight w:val="0"/>
          <w:marTop w:val="0"/>
          <w:marBottom w:val="0"/>
          <w:divBdr>
            <w:top w:val="none" w:sz="0" w:space="0" w:color="auto"/>
            <w:left w:val="none" w:sz="0" w:space="0" w:color="auto"/>
            <w:bottom w:val="none" w:sz="0" w:space="0" w:color="auto"/>
            <w:right w:val="none" w:sz="0" w:space="0" w:color="auto"/>
          </w:divBdr>
        </w:div>
        <w:div w:id="555941969">
          <w:marLeft w:val="640"/>
          <w:marRight w:val="0"/>
          <w:marTop w:val="0"/>
          <w:marBottom w:val="0"/>
          <w:divBdr>
            <w:top w:val="none" w:sz="0" w:space="0" w:color="auto"/>
            <w:left w:val="none" w:sz="0" w:space="0" w:color="auto"/>
            <w:bottom w:val="none" w:sz="0" w:space="0" w:color="auto"/>
            <w:right w:val="none" w:sz="0" w:space="0" w:color="auto"/>
          </w:divBdr>
        </w:div>
        <w:div w:id="306711262">
          <w:marLeft w:val="640"/>
          <w:marRight w:val="0"/>
          <w:marTop w:val="0"/>
          <w:marBottom w:val="0"/>
          <w:divBdr>
            <w:top w:val="none" w:sz="0" w:space="0" w:color="auto"/>
            <w:left w:val="none" w:sz="0" w:space="0" w:color="auto"/>
            <w:bottom w:val="none" w:sz="0" w:space="0" w:color="auto"/>
            <w:right w:val="none" w:sz="0" w:space="0" w:color="auto"/>
          </w:divBdr>
        </w:div>
        <w:div w:id="1630821824">
          <w:marLeft w:val="640"/>
          <w:marRight w:val="0"/>
          <w:marTop w:val="0"/>
          <w:marBottom w:val="0"/>
          <w:divBdr>
            <w:top w:val="none" w:sz="0" w:space="0" w:color="auto"/>
            <w:left w:val="none" w:sz="0" w:space="0" w:color="auto"/>
            <w:bottom w:val="none" w:sz="0" w:space="0" w:color="auto"/>
            <w:right w:val="none" w:sz="0" w:space="0" w:color="auto"/>
          </w:divBdr>
        </w:div>
        <w:div w:id="71004942">
          <w:marLeft w:val="640"/>
          <w:marRight w:val="0"/>
          <w:marTop w:val="0"/>
          <w:marBottom w:val="0"/>
          <w:divBdr>
            <w:top w:val="none" w:sz="0" w:space="0" w:color="auto"/>
            <w:left w:val="none" w:sz="0" w:space="0" w:color="auto"/>
            <w:bottom w:val="none" w:sz="0" w:space="0" w:color="auto"/>
            <w:right w:val="none" w:sz="0" w:space="0" w:color="auto"/>
          </w:divBdr>
        </w:div>
        <w:div w:id="2121752313">
          <w:marLeft w:val="640"/>
          <w:marRight w:val="0"/>
          <w:marTop w:val="0"/>
          <w:marBottom w:val="0"/>
          <w:divBdr>
            <w:top w:val="none" w:sz="0" w:space="0" w:color="auto"/>
            <w:left w:val="none" w:sz="0" w:space="0" w:color="auto"/>
            <w:bottom w:val="none" w:sz="0" w:space="0" w:color="auto"/>
            <w:right w:val="none" w:sz="0" w:space="0" w:color="auto"/>
          </w:divBdr>
        </w:div>
        <w:div w:id="1529219354">
          <w:marLeft w:val="640"/>
          <w:marRight w:val="0"/>
          <w:marTop w:val="0"/>
          <w:marBottom w:val="0"/>
          <w:divBdr>
            <w:top w:val="none" w:sz="0" w:space="0" w:color="auto"/>
            <w:left w:val="none" w:sz="0" w:space="0" w:color="auto"/>
            <w:bottom w:val="none" w:sz="0" w:space="0" w:color="auto"/>
            <w:right w:val="none" w:sz="0" w:space="0" w:color="auto"/>
          </w:divBdr>
        </w:div>
        <w:div w:id="1678926098">
          <w:marLeft w:val="640"/>
          <w:marRight w:val="0"/>
          <w:marTop w:val="0"/>
          <w:marBottom w:val="0"/>
          <w:divBdr>
            <w:top w:val="none" w:sz="0" w:space="0" w:color="auto"/>
            <w:left w:val="none" w:sz="0" w:space="0" w:color="auto"/>
            <w:bottom w:val="none" w:sz="0" w:space="0" w:color="auto"/>
            <w:right w:val="none" w:sz="0" w:space="0" w:color="auto"/>
          </w:divBdr>
        </w:div>
        <w:div w:id="863398445">
          <w:marLeft w:val="640"/>
          <w:marRight w:val="0"/>
          <w:marTop w:val="0"/>
          <w:marBottom w:val="0"/>
          <w:divBdr>
            <w:top w:val="none" w:sz="0" w:space="0" w:color="auto"/>
            <w:left w:val="none" w:sz="0" w:space="0" w:color="auto"/>
            <w:bottom w:val="none" w:sz="0" w:space="0" w:color="auto"/>
            <w:right w:val="none" w:sz="0" w:space="0" w:color="auto"/>
          </w:divBdr>
        </w:div>
        <w:div w:id="1747414284">
          <w:marLeft w:val="640"/>
          <w:marRight w:val="0"/>
          <w:marTop w:val="0"/>
          <w:marBottom w:val="0"/>
          <w:divBdr>
            <w:top w:val="none" w:sz="0" w:space="0" w:color="auto"/>
            <w:left w:val="none" w:sz="0" w:space="0" w:color="auto"/>
            <w:bottom w:val="none" w:sz="0" w:space="0" w:color="auto"/>
            <w:right w:val="none" w:sz="0" w:space="0" w:color="auto"/>
          </w:divBdr>
        </w:div>
        <w:div w:id="1525900787">
          <w:marLeft w:val="640"/>
          <w:marRight w:val="0"/>
          <w:marTop w:val="0"/>
          <w:marBottom w:val="0"/>
          <w:divBdr>
            <w:top w:val="none" w:sz="0" w:space="0" w:color="auto"/>
            <w:left w:val="none" w:sz="0" w:space="0" w:color="auto"/>
            <w:bottom w:val="none" w:sz="0" w:space="0" w:color="auto"/>
            <w:right w:val="none" w:sz="0" w:space="0" w:color="auto"/>
          </w:divBdr>
        </w:div>
        <w:div w:id="294604290">
          <w:marLeft w:val="640"/>
          <w:marRight w:val="0"/>
          <w:marTop w:val="0"/>
          <w:marBottom w:val="0"/>
          <w:divBdr>
            <w:top w:val="none" w:sz="0" w:space="0" w:color="auto"/>
            <w:left w:val="none" w:sz="0" w:space="0" w:color="auto"/>
            <w:bottom w:val="none" w:sz="0" w:space="0" w:color="auto"/>
            <w:right w:val="none" w:sz="0" w:space="0" w:color="auto"/>
          </w:divBdr>
        </w:div>
        <w:div w:id="799957511">
          <w:marLeft w:val="640"/>
          <w:marRight w:val="0"/>
          <w:marTop w:val="0"/>
          <w:marBottom w:val="0"/>
          <w:divBdr>
            <w:top w:val="none" w:sz="0" w:space="0" w:color="auto"/>
            <w:left w:val="none" w:sz="0" w:space="0" w:color="auto"/>
            <w:bottom w:val="none" w:sz="0" w:space="0" w:color="auto"/>
            <w:right w:val="none" w:sz="0" w:space="0" w:color="auto"/>
          </w:divBdr>
        </w:div>
        <w:div w:id="204567906">
          <w:marLeft w:val="640"/>
          <w:marRight w:val="0"/>
          <w:marTop w:val="0"/>
          <w:marBottom w:val="0"/>
          <w:divBdr>
            <w:top w:val="none" w:sz="0" w:space="0" w:color="auto"/>
            <w:left w:val="none" w:sz="0" w:space="0" w:color="auto"/>
            <w:bottom w:val="none" w:sz="0" w:space="0" w:color="auto"/>
            <w:right w:val="none" w:sz="0" w:space="0" w:color="auto"/>
          </w:divBdr>
        </w:div>
        <w:div w:id="603730451">
          <w:marLeft w:val="640"/>
          <w:marRight w:val="0"/>
          <w:marTop w:val="0"/>
          <w:marBottom w:val="0"/>
          <w:divBdr>
            <w:top w:val="none" w:sz="0" w:space="0" w:color="auto"/>
            <w:left w:val="none" w:sz="0" w:space="0" w:color="auto"/>
            <w:bottom w:val="none" w:sz="0" w:space="0" w:color="auto"/>
            <w:right w:val="none" w:sz="0" w:space="0" w:color="auto"/>
          </w:divBdr>
        </w:div>
        <w:div w:id="1638797056">
          <w:marLeft w:val="640"/>
          <w:marRight w:val="0"/>
          <w:marTop w:val="0"/>
          <w:marBottom w:val="0"/>
          <w:divBdr>
            <w:top w:val="none" w:sz="0" w:space="0" w:color="auto"/>
            <w:left w:val="none" w:sz="0" w:space="0" w:color="auto"/>
            <w:bottom w:val="none" w:sz="0" w:space="0" w:color="auto"/>
            <w:right w:val="none" w:sz="0" w:space="0" w:color="auto"/>
          </w:divBdr>
        </w:div>
        <w:div w:id="152792799">
          <w:marLeft w:val="640"/>
          <w:marRight w:val="0"/>
          <w:marTop w:val="0"/>
          <w:marBottom w:val="0"/>
          <w:divBdr>
            <w:top w:val="none" w:sz="0" w:space="0" w:color="auto"/>
            <w:left w:val="none" w:sz="0" w:space="0" w:color="auto"/>
            <w:bottom w:val="none" w:sz="0" w:space="0" w:color="auto"/>
            <w:right w:val="none" w:sz="0" w:space="0" w:color="auto"/>
          </w:divBdr>
        </w:div>
        <w:div w:id="776407895">
          <w:marLeft w:val="640"/>
          <w:marRight w:val="0"/>
          <w:marTop w:val="0"/>
          <w:marBottom w:val="0"/>
          <w:divBdr>
            <w:top w:val="none" w:sz="0" w:space="0" w:color="auto"/>
            <w:left w:val="none" w:sz="0" w:space="0" w:color="auto"/>
            <w:bottom w:val="none" w:sz="0" w:space="0" w:color="auto"/>
            <w:right w:val="none" w:sz="0" w:space="0" w:color="auto"/>
          </w:divBdr>
        </w:div>
        <w:div w:id="1143501494">
          <w:marLeft w:val="640"/>
          <w:marRight w:val="0"/>
          <w:marTop w:val="0"/>
          <w:marBottom w:val="0"/>
          <w:divBdr>
            <w:top w:val="none" w:sz="0" w:space="0" w:color="auto"/>
            <w:left w:val="none" w:sz="0" w:space="0" w:color="auto"/>
            <w:bottom w:val="none" w:sz="0" w:space="0" w:color="auto"/>
            <w:right w:val="none" w:sz="0" w:space="0" w:color="auto"/>
          </w:divBdr>
        </w:div>
        <w:div w:id="722871047">
          <w:marLeft w:val="640"/>
          <w:marRight w:val="0"/>
          <w:marTop w:val="0"/>
          <w:marBottom w:val="0"/>
          <w:divBdr>
            <w:top w:val="none" w:sz="0" w:space="0" w:color="auto"/>
            <w:left w:val="none" w:sz="0" w:space="0" w:color="auto"/>
            <w:bottom w:val="none" w:sz="0" w:space="0" w:color="auto"/>
            <w:right w:val="none" w:sz="0" w:space="0" w:color="auto"/>
          </w:divBdr>
        </w:div>
        <w:div w:id="1467315944">
          <w:marLeft w:val="640"/>
          <w:marRight w:val="0"/>
          <w:marTop w:val="0"/>
          <w:marBottom w:val="0"/>
          <w:divBdr>
            <w:top w:val="none" w:sz="0" w:space="0" w:color="auto"/>
            <w:left w:val="none" w:sz="0" w:space="0" w:color="auto"/>
            <w:bottom w:val="none" w:sz="0" w:space="0" w:color="auto"/>
            <w:right w:val="none" w:sz="0" w:space="0" w:color="auto"/>
          </w:divBdr>
        </w:div>
        <w:div w:id="1627471190">
          <w:marLeft w:val="640"/>
          <w:marRight w:val="0"/>
          <w:marTop w:val="0"/>
          <w:marBottom w:val="0"/>
          <w:divBdr>
            <w:top w:val="none" w:sz="0" w:space="0" w:color="auto"/>
            <w:left w:val="none" w:sz="0" w:space="0" w:color="auto"/>
            <w:bottom w:val="none" w:sz="0" w:space="0" w:color="auto"/>
            <w:right w:val="none" w:sz="0" w:space="0" w:color="auto"/>
          </w:divBdr>
        </w:div>
        <w:div w:id="1309290092">
          <w:marLeft w:val="640"/>
          <w:marRight w:val="0"/>
          <w:marTop w:val="0"/>
          <w:marBottom w:val="0"/>
          <w:divBdr>
            <w:top w:val="none" w:sz="0" w:space="0" w:color="auto"/>
            <w:left w:val="none" w:sz="0" w:space="0" w:color="auto"/>
            <w:bottom w:val="none" w:sz="0" w:space="0" w:color="auto"/>
            <w:right w:val="none" w:sz="0" w:space="0" w:color="auto"/>
          </w:divBdr>
        </w:div>
        <w:div w:id="987634154">
          <w:marLeft w:val="640"/>
          <w:marRight w:val="0"/>
          <w:marTop w:val="0"/>
          <w:marBottom w:val="0"/>
          <w:divBdr>
            <w:top w:val="none" w:sz="0" w:space="0" w:color="auto"/>
            <w:left w:val="none" w:sz="0" w:space="0" w:color="auto"/>
            <w:bottom w:val="none" w:sz="0" w:space="0" w:color="auto"/>
            <w:right w:val="none" w:sz="0" w:space="0" w:color="auto"/>
          </w:divBdr>
        </w:div>
        <w:div w:id="1751849197">
          <w:marLeft w:val="640"/>
          <w:marRight w:val="0"/>
          <w:marTop w:val="0"/>
          <w:marBottom w:val="0"/>
          <w:divBdr>
            <w:top w:val="none" w:sz="0" w:space="0" w:color="auto"/>
            <w:left w:val="none" w:sz="0" w:space="0" w:color="auto"/>
            <w:bottom w:val="none" w:sz="0" w:space="0" w:color="auto"/>
            <w:right w:val="none" w:sz="0" w:space="0" w:color="auto"/>
          </w:divBdr>
        </w:div>
        <w:div w:id="240793767">
          <w:marLeft w:val="640"/>
          <w:marRight w:val="0"/>
          <w:marTop w:val="0"/>
          <w:marBottom w:val="0"/>
          <w:divBdr>
            <w:top w:val="none" w:sz="0" w:space="0" w:color="auto"/>
            <w:left w:val="none" w:sz="0" w:space="0" w:color="auto"/>
            <w:bottom w:val="none" w:sz="0" w:space="0" w:color="auto"/>
            <w:right w:val="none" w:sz="0" w:space="0" w:color="auto"/>
          </w:divBdr>
        </w:div>
        <w:div w:id="1328247380">
          <w:marLeft w:val="640"/>
          <w:marRight w:val="0"/>
          <w:marTop w:val="0"/>
          <w:marBottom w:val="0"/>
          <w:divBdr>
            <w:top w:val="none" w:sz="0" w:space="0" w:color="auto"/>
            <w:left w:val="none" w:sz="0" w:space="0" w:color="auto"/>
            <w:bottom w:val="none" w:sz="0" w:space="0" w:color="auto"/>
            <w:right w:val="none" w:sz="0" w:space="0" w:color="auto"/>
          </w:divBdr>
        </w:div>
        <w:div w:id="263811053">
          <w:marLeft w:val="640"/>
          <w:marRight w:val="0"/>
          <w:marTop w:val="0"/>
          <w:marBottom w:val="0"/>
          <w:divBdr>
            <w:top w:val="none" w:sz="0" w:space="0" w:color="auto"/>
            <w:left w:val="none" w:sz="0" w:space="0" w:color="auto"/>
            <w:bottom w:val="none" w:sz="0" w:space="0" w:color="auto"/>
            <w:right w:val="none" w:sz="0" w:space="0" w:color="auto"/>
          </w:divBdr>
        </w:div>
        <w:div w:id="483591607">
          <w:marLeft w:val="640"/>
          <w:marRight w:val="0"/>
          <w:marTop w:val="0"/>
          <w:marBottom w:val="0"/>
          <w:divBdr>
            <w:top w:val="none" w:sz="0" w:space="0" w:color="auto"/>
            <w:left w:val="none" w:sz="0" w:space="0" w:color="auto"/>
            <w:bottom w:val="none" w:sz="0" w:space="0" w:color="auto"/>
            <w:right w:val="none" w:sz="0" w:space="0" w:color="auto"/>
          </w:divBdr>
        </w:div>
        <w:div w:id="1007173798">
          <w:marLeft w:val="640"/>
          <w:marRight w:val="0"/>
          <w:marTop w:val="0"/>
          <w:marBottom w:val="0"/>
          <w:divBdr>
            <w:top w:val="none" w:sz="0" w:space="0" w:color="auto"/>
            <w:left w:val="none" w:sz="0" w:space="0" w:color="auto"/>
            <w:bottom w:val="none" w:sz="0" w:space="0" w:color="auto"/>
            <w:right w:val="none" w:sz="0" w:space="0" w:color="auto"/>
          </w:divBdr>
        </w:div>
        <w:div w:id="1402216229">
          <w:marLeft w:val="640"/>
          <w:marRight w:val="0"/>
          <w:marTop w:val="0"/>
          <w:marBottom w:val="0"/>
          <w:divBdr>
            <w:top w:val="none" w:sz="0" w:space="0" w:color="auto"/>
            <w:left w:val="none" w:sz="0" w:space="0" w:color="auto"/>
            <w:bottom w:val="none" w:sz="0" w:space="0" w:color="auto"/>
            <w:right w:val="none" w:sz="0" w:space="0" w:color="auto"/>
          </w:divBdr>
        </w:div>
        <w:div w:id="1761634603">
          <w:marLeft w:val="640"/>
          <w:marRight w:val="0"/>
          <w:marTop w:val="0"/>
          <w:marBottom w:val="0"/>
          <w:divBdr>
            <w:top w:val="none" w:sz="0" w:space="0" w:color="auto"/>
            <w:left w:val="none" w:sz="0" w:space="0" w:color="auto"/>
            <w:bottom w:val="none" w:sz="0" w:space="0" w:color="auto"/>
            <w:right w:val="none" w:sz="0" w:space="0" w:color="auto"/>
          </w:divBdr>
        </w:div>
        <w:div w:id="589968958">
          <w:marLeft w:val="640"/>
          <w:marRight w:val="0"/>
          <w:marTop w:val="0"/>
          <w:marBottom w:val="0"/>
          <w:divBdr>
            <w:top w:val="none" w:sz="0" w:space="0" w:color="auto"/>
            <w:left w:val="none" w:sz="0" w:space="0" w:color="auto"/>
            <w:bottom w:val="none" w:sz="0" w:space="0" w:color="auto"/>
            <w:right w:val="none" w:sz="0" w:space="0" w:color="auto"/>
          </w:divBdr>
        </w:div>
        <w:div w:id="416631752">
          <w:marLeft w:val="640"/>
          <w:marRight w:val="0"/>
          <w:marTop w:val="0"/>
          <w:marBottom w:val="0"/>
          <w:divBdr>
            <w:top w:val="none" w:sz="0" w:space="0" w:color="auto"/>
            <w:left w:val="none" w:sz="0" w:space="0" w:color="auto"/>
            <w:bottom w:val="none" w:sz="0" w:space="0" w:color="auto"/>
            <w:right w:val="none" w:sz="0" w:space="0" w:color="auto"/>
          </w:divBdr>
        </w:div>
        <w:div w:id="1916740310">
          <w:marLeft w:val="640"/>
          <w:marRight w:val="0"/>
          <w:marTop w:val="0"/>
          <w:marBottom w:val="0"/>
          <w:divBdr>
            <w:top w:val="none" w:sz="0" w:space="0" w:color="auto"/>
            <w:left w:val="none" w:sz="0" w:space="0" w:color="auto"/>
            <w:bottom w:val="none" w:sz="0" w:space="0" w:color="auto"/>
            <w:right w:val="none" w:sz="0" w:space="0" w:color="auto"/>
          </w:divBdr>
        </w:div>
        <w:div w:id="118031592">
          <w:marLeft w:val="640"/>
          <w:marRight w:val="0"/>
          <w:marTop w:val="0"/>
          <w:marBottom w:val="0"/>
          <w:divBdr>
            <w:top w:val="none" w:sz="0" w:space="0" w:color="auto"/>
            <w:left w:val="none" w:sz="0" w:space="0" w:color="auto"/>
            <w:bottom w:val="none" w:sz="0" w:space="0" w:color="auto"/>
            <w:right w:val="none" w:sz="0" w:space="0" w:color="auto"/>
          </w:divBdr>
        </w:div>
        <w:div w:id="390545720">
          <w:marLeft w:val="640"/>
          <w:marRight w:val="0"/>
          <w:marTop w:val="0"/>
          <w:marBottom w:val="0"/>
          <w:divBdr>
            <w:top w:val="none" w:sz="0" w:space="0" w:color="auto"/>
            <w:left w:val="none" w:sz="0" w:space="0" w:color="auto"/>
            <w:bottom w:val="none" w:sz="0" w:space="0" w:color="auto"/>
            <w:right w:val="none" w:sz="0" w:space="0" w:color="auto"/>
          </w:divBdr>
        </w:div>
        <w:div w:id="2119595835">
          <w:marLeft w:val="640"/>
          <w:marRight w:val="0"/>
          <w:marTop w:val="0"/>
          <w:marBottom w:val="0"/>
          <w:divBdr>
            <w:top w:val="none" w:sz="0" w:space="0" w:color="auto"/>
            <w:left w:val="none" w:sz="0" w:space="0" w:color="auto"/>
            <w:bottom w:val="none" w:sz="0" w:space="0" w:color="auto"/>
            <w:right w:val="none" w:sz="0" w:space="0" w:color="auto"/>
          </w:divBdr>
        </w:div>
        <w:div w:id="2088529684">
          <w:marLeft w:val="640"/>
          <w:marRight w:val="0"/>
          <w:marTop w:val="0"/>
          <w:marBottom w:val="0"/>
          <w:divBdr>
            <w:top w:val="none" w:sz="0" w:space="0" w:color="auto"/>
            <w:left w:val="none" w:sz="0" w:space="0" w:color="auto"/>
            <w:bottom w:val="none" w:sz="0" w:space="0" w:color="auto"/>
            <w:right w:val="none" w:sz="0" w:space="0" w:color="auto"/>
          </w:divBdr>
        </w:div>
        <w:div w:id="191723053">
          <w:marLeft w:val="640"/>
          <w:marRight w:val="0"/>
          <w:marTop w:val="0"/>
          <w:marBottom w:val="0"/>
          <w:divBdr>
            <w:top w:val="none" w:sz="0" w:space="0" w:color="auto"/>
            <w:left w:val="none" w:sz="0" w:space="0" w:color="auto"/>
            <w:bottom w:val="none" w:sz="0" w:space="0" w:color="auto"/>
            <w:right w:val="none" w:sz="0" w:space="0" w:color="auto"/>
          </w:divBdr>
        </w:div>
        <w:div w:id="342628817">
          <w:marLeft w:val="640"/>
          <w:marRight w:val="0"/>
          <w:marTop w:val="0"/>
          <w:marBottom w:val="0"/>
          <w:divBdr>
            <w:top w:val="none" w:sz="0" w:space="0" w:color="auto"/>
            <w:left w:val="none" w:sz="0" w:space="0" w:color="auto"/>
            <w:bottom w:val="none" w:sz="0" w:space="0" w:color="auto"/>
            <w:right w:val="none" w:sz="0" w:space="0" w:color="auto"/>
          </w:divBdr>
        </w:div>
        <w:div w:id="672339350">
          <w:marLeft w:val="640"/>
          <w:marRight w:val="0"/>
          <w:marTop w:val="0"/>
          <w:marBottom w:val="0"/>
          <w:divBdr>
            <w:top w:val="none" w:sz="0" w:space="0" w:color="auto"/>
            <w:left w:val="none" w:sz="0" w:space="0" w:color="auto"/>
            <w:bottom w:val="none" w:sz="0" w:space="0" w:color="auto"/>
            <w:right w:val="none" w:sz="0" w:space="0" w:color="auto"/>
          </w:divBdr>
        </w:div>
        <w:div w:id="1538814658">
          <w:marLeft w:val="640"/>
          <w:marRight w:val="0"/>
          <w:marTop w:val="0"/>
          <w:marBottom w:val="0"/>
          <w:divBdr>
            <w:top w:val="none" w:sz="0" w:space="0" w:color="auto"/>
            <w:left w:val="none" w:sz="0" w:space="0" w:color="auto"/>
            <w:bottom w:val="none" w:sz="0" w:space="0" w:color="auto"/>
            <w:right w:val="none" w:sz="0" w:space="0" w:color="auto"/>
          </w:divBdr>
        </w:div>
        <w:div w:id="1667979282">
          <w:marLeft w:val="640"/>
          <w:marRight w:val="0"/>
          <w:marTop w:val="0"/>
          <w:marBottom w:val="0"/>
          <w:divBdr>
            <w:top w:val="none" w:sz="0" w:space="0" w:color="auto"/>
            <w:left w:val="none" w:sz="0" w:space="0" w:color="auto"/>
            <w:bottom w:val="none" w:sz="0" w:space="0" w:color="auto"/>
            <w:right w:val="none" w:sz="0" w:space="0" w:color="auto"/>
          </w:divBdr>
        </w:div>
        <w:div w:id="1360201923">
          <w:marLeft w:val="640"/>
          <w:marRight w:val="0"/>
          <w:marTop w:val="0"/>
          <w:marBottom w:val="0"/>
          <w:divBdr>
            <w:top w:val="none" w:sz="0" w:space="0" w:color="auto"/>
            <w:left w:val="none" w:sz="0" w:space="0" w:color="auto"/>
            <w:bottom w:val="none" w:sz="0" w:space="0" w:color="auto"/>
            <w:right w:val="none" w:sz="0" w:space="0" w:color="auto"/>
          </w:divBdr>
        </w:div>
        <w:div w:id="1530871169">
          <w:marLeft w:val="640"/>
          <w:marRight w:val="0"/>
          <w:marTop w:val="0"/>
          <w:marBottom w:val="0"/>
          <w:divBdr>
            <w:top w:val="none" w:sz="0" w:space="0" w:color="auto"/>
            <w:left w:val="none" w:sz="0" w:space="0" w:color="auto"/>
            <w:bottom w:val="none" w:sz="0" w:space="0" w:color="auto"/>
            <w:right w:val="none" w:sz="0" w:space="0" w:color="auto"/>
          </w:divBdr>
        </w:div>
        <w:div w:id="1434134844">
          <w:marLeft w:val="640"/>
          <w:marRight w:val="0"/>
          <w:marTop w:val="0"/>
          <w:marBottom w:val="0"/>
          <w:divBdr>
            <w:top w:val="none" w:sz="0" w:space="0" w:color="auto"/>
            <w:left w:val="none" w:sz="0" w:space="0" w:color="auto"/>
            <w:bottom w:val="none" w:sz="0" w:space="0" w:color="auto"/>
            <w:right w:val="none" w:sz="0" w:space="0" w:color="auto"/>
          </w:divBdr>
        </w:div>
        <w:div w:id="178276484">
          <w:marLeft w:val="640"/>
          <w:marRight w:val="0"/>
          <w:marTop w:val="0"/>
          <w:marBottom w:val="0"/>
          <w:divBdr>
            <w:top w:val="none" w:sz="0" w:space="0" w:color="auto"/>
            <w:left w:val="none" w:sz="0" w:space="0" w:color="auto"/>
            <w:bottom w:val="none" w:sz="0" w:space="0" w:color="auto"/>
            <w:right w:val="none" w:sz="0" w:space="0" w:color="auto"/>
          </w:divBdr>
        </w:div>
        <w:div w:id="884944491">
          <w:marLeft w:val="640"/>
          <w:marRight w:val="0"/>
          <w:marTop w:val="0"/>
          <w:marBottom w:val="0"/>
          <w:divBdr>
            <w:top w:val="none" w:sz="0" w:space="0" w:color="auto"/>
            <w:left w:val="none" w:sz="0" w:space="0" w:color="auto"/>
            <w:bottom w:val="none" w:sz="0" w:space="0" w:color="auto"/>
            <w:right w:val="none" w:sz="0" w:space="0" w:color="auto"/>
          </w:divBdr>
        </w:div>
        <w:div w:id="1774353698">
          <w:marLeft w:val="640"/>
          <w:marRight w:val="0"/>
          <w:marTop w:val="0"/>
          <w:marBottom w:val="0"/>
          <w:divBdr>
            <w:top w:val="none" w:sz="0" w:space="0" w:color="auto"/>
            <w:left w:val="none" w:sz="0" w:space="0" w:color="auto"/>
            <w:bottom w:val="none" w:sz="0" w:space="0" w:color="auto"/>
            <w:right w:val="none" w:sz="0" w:space="0" w:color="auto"/>
          </w:divBdr>
        </w:div>
        <w:div w:id="1542592938">
          <w:marLeft w:val="640"/>
          <w:marRight w:val="0"/>
          <w:marTop w:val="0"/>
          <w:marBottom w:val="0"/>
          <w:divBdr>
            <w:top w:val="none" w:sz="0" w:space="0" w:color="auto"/>
            <w:left w:val="none" w:sz="0" w:space="0" w:color="auto"/>
            <w:bottom w:val="none" w:sz="0" w:space="0" w:color="auto"/>
            <w:right w:val="none" w:sz="0" w:space="0" w:color="auto"/>
          </w:divBdr>
        </w:div>
        <w:div w:id="1686252566">
          <w:marLeft w:val="640"/>
          <w:marRight w:val="0"/>
          <w:marTop w:val="0"/>
          <w:marBottom w:val="0"/>
          <w:divBdr>
            <w:top w:val="none" w:sz="0" w:space="0" w:color="auto"/>
            <w:left w:val="none" w:sz="0" w:space="0" w:color="auto"/>
            <w:bottom w:val="none" w:sz="0" w:space="0" w:color="auto"/>
            <w:right w:val="none" w:sz="0" w:space="0" w:color="auto"/>
          </w:divBdr>
        </w:div>
        <w:div w:id="1360358132">
          <w:marLeft w:val="640"/>
          <w:marRight w:val="0"/>
          <w:marTop w:val="0"/>
          <w:marBottom w:val="0"/>
          <w:divBdr>
            <w:top w:val="none" w:sz="0" w:space="0" w:color="auto"/>
            <w:left w:val="none" w:sz="0" w:space="0" w:color="auto"/>
            <w:bottom w:val="none" w:sz="0" w:space="0" w:color="auto"/>
            <w:right w:val="none" w:sz="0" w:space="0" w:color="auto"/>
          </w:divBdr>
        </w:div>
        <w:div w:id="1058821362">
          <w:marLeft w:val="640"/>
          <w:marRight w:val="0"/>
          <w:marTop w:val="0"/>
          <w:marBottom w:val="0"/>
          <w:divBdr>
            <w:top w:val="none" w:sz="0" w:space="0" w:color="auto"/>
            <w:left w:val="none" w:sz="0" w:space="0" w:color="auto"/>
            <w:bottom w:val="none" w:sz="0" w:space="0" w:color="auto"/>
            <w:right w:val="none" w:sz="0" w:space="0" w:color="auto"/>
          </w:divBdr>
        </w:div>
        <w:div w:id="1362241338">
          <w:marLeft w:val="640"/>
          <w:marRight w:val="0"/>
          <w:marTop w:val="0"/>
          <w:marBottom w:val="0"/>
          <w:divBdr>
            <w:top w:val="none" w:sz="0" w:space="0" w:color="auto"/>
            <w:left w:val="none" w:sz="0" w:space="0" w:color="auto"/>
            <w:bottom w:val="none" w:sz="0" w:space="0" w:color="auto"/>
            <w:right w:val="none" w:sz="0" w:space="0" w:color="auto"/>
          </w:divBdr>
        </w:div>
        <w:div w:id="1519536891">
          <w:marLeft w:val="640"/>
          <w:marRight w:val="0"/>
          <w:marTop w:val="0"/>
          <w:marBottom w:val="0"/>
          <w:divBdr>
            <w:top w:val="none" w:sz="0" w:space="0" w:color="auto"/>
            <w:left w:val="none" w:sz="0" w:space="0" w:color="auto"/>
            <w:bottom w:val="none" w:sz="0" w:space="0" w:color="auto"/>
            <w:right w:val="none" w:sz="0" w:space="0" w:color="auto"/>
          </w:divBdr>
        </w:div>
        <w:div w:id="1805466070">
          <w:marLeft w:val="640"/>
          <w:marRight w:val="0"/>
          <w:marTop w:val="0"/>
          <w:marBottom w:val="0"/>
          <w:divBdr>
            <w:top w:val="none" w:sz="0" w:space="0" w:color="auto"/>
            <w:left w:val="none" w:sz="0" w:space="0" w:color="auto"/>
            <w:bottom w:val="none" w:sz="0" w:space="0" w:color="auto"/>
            <w:right w:val="none" w:sz="0" w:space="0" w:color="auto"/>
          </w:divBdr>
        </w:div>
        <w:div w:id="1917861914">
          <w:marLeft w:val="640"/>
          <w:marRight w:val="0"/>
          <w:marTop w:val="0"/>
          <w:marBottom w:val="0"/>
          <w:divBdr>
            <w:top w:val="none" w:sz="0" w:space="0" w:color="auto"/>
            <w:left w:val="none" w:sz="0" w:space="0" w:color="auto"/>
            <w:bottom w:val="none" w:sz="0" w:space="0" w:color="auto"/>
            <w:right w:val="none" w:sz="0" w:space="0" w:color="auto"/>
          </w:divBdr>
        </w:div>
        <w:div w:id="182088251">
          <w:marLeft w:val="640"/>
          <w:marRight w:val="0"/>
          <w:marTop w:val="0"/>
          <w:marBottom w:val="0"/>
          <w:divBdr>
            <w:top w:val="none" w:sz="0" w:space="0" w:color="auto"/>
            <w:left w:val="none" w:sz="0" w:space="0" w:color="auto"/>
            <w:bottom w:val="none" w:sz="0" w:space="0" w:color="auto"/>
            <w:right w:val="none" w:sz="0" w:space="0" w:color="auto"/>
          </w:divBdr>
        </w:div>
        <w:div w:id="559513390">
          <w:marLeft w:val="640"/>
          <w:marRight w:val="0"/>
          <w:marTop w:val="0"/>
          <w:marBottom w:val="0"/>
          <w:divBdr>
            <w:top w:val="none" w:sz="0" w:space="0" w:color="auto"/>
            <w:left w:val="none" w:sz="0" w:space="0" w:color="auto"/>
            <w:bottom w:val="none" w:sz="0" w:space="0" w:color="auto"/>
            <w:right w:val="none" w:sz="0" w:space="0" w:color="auto"/>
          </w:divBdr>
        </w:div>
        <w:div w:id="625161824">
          <w:marLeft w:val="640"/>
          <w:marRight w:val="0"/>
          <w:marTop w:val="0"/>
          <w:marBottom w:val="0"/>
          <w:divBdr>
            <w:top w:val="none" w:sz="0" w:space="0" w:color="auto"/>
            <w:left w:val="none" w:sz="0" w:space="0" w:color="auto"/>
            <w:bottom w:val="none" w:sz="0" w:space="0" w:color="auto"/>
            <w:right w:val="none" w:sz="0" w:space="0" w:color="auto"/>
          </w:divBdr>
        </w:div>
        <w:div w:id="1556627594">
          <w:marLeft w:val="640"/>
          <w:marRight w:val="0"/>
          <w:marTop w:val="0"/>
          <w:marBottom w:val="0"/>
          <w:divBdr>
            <w:top w:val="none" w:sz="0" w:space="0" w:color="auto"/>
            <w:left w:val="none" w:sz="0" w:space="0" w:color="auto"/>
            <w:bottom w:val="none" w:sz="0" w:space="0" w:color="auto"/>
            <w:right w:val="none" w:sz="0" w:space="0" w:color="auto"/>
          </w:divBdr>
        </w:div>
        <w:div w:id="1749503067">
          <w:marLeft w:val="640"/>
          <w:marRight w:val="0"/>
          <w:marTop w:val="0"/>
          <w:marBottom w:val="0"/>
          <w:divBdr>
            <w:top w:val="none" w:sz="0" w:space="0" w:color="auto"/>
            <w:left w:val="none" w:sz="0" w:space="0" w:color="auto"/>
            <w:bottom w:val="none" w:sz="0" w:space="0" w:color="auto"/>
            <w:right w:val="none" w:sz="0" w:space="0" w:color="auto"/>
          </w:divBdr>
        </w:div>
        <w:div w:id="231355424">
          <w:marLeft w:val="640"/>
          <w:marRight w:val="0"/>
          <w:marTop w:val="0"/>
          <w:marBottom w:val="0"/>
          <w:divBdr>
            <w:top w:val="none" w:sz="0" w:space="0" w:color="auto"/>
            <w:left w:val="none" w:sz="0" w:space="0" w:color="auto"/>
            <w:bottom w:val="none" w:sz="0" w:space="0" w:color="auto"/>
            <w:right w:val="none" w:sz="0" w:space="0" w:color="auto"/>
          </w:divBdr>
        </w:div>
        <w:div w:id="1603221167">
          <w:marLeft w:val="640"/>
          <w:marRight w:val="0"/>
          <w:marTop w:val="0"/>
          <w:marBottom w:val="0"/>
          <w:divBdr>
            <w:top w:val="none" w:sz="0" w:space="0" w:color="auto"/>
            <w:left w:val="none" w:sz="0" w:space="0" w:color="auto"/>
            <w:bottom w:val="none" w:sz="0" w:space="0" w:color="auto"/>
            <w:right w:val="none" w:sz="0" w:space="0" w:color="auto"/>
          </w:divBdr>
        </w:div>
        <w:div w:id="992879058">
          <w:marLeft w:val="640"/>
          <w:marRight w:val="0"/>
          <w:marTop w:val="0"/>
          <w:marBottom w:val="0"/>
          <w:divBdr>
            <w:top w:val="none" w:sz="0" w:space="0" w:color="auto"/>
            <w:left w:val="none" w:sz="0" w:space="0" w:color="auto"/>
            <w:bottom w:val="none" w:sz="0" w:space="0" w:color="auto"/>
            <w:right w:val="none" w:sz="0" w:space="0" w:color="auto"/>
          </w:divBdr>
        </w:div>
        <w:div w:id="2026127243">
          <w:marLeft w:val="640"/>
          <w:marRight w:val="0"/>
          <w:marTop w:val="0"/>
          <w:marBottom w:val="0"/>
          <w:divBdr>
            <w:top w:val="none" w:sz="0" w:space="0" w:color="auto"/>
            <w:left w:val="none" w:sz="0" w:space="0" w:color="auto"/>
            <w:bottom w:val="none" w:sz="0" w:space="0" w:color="auto"/>
            <w:right w:val="none" w:sz="0" w:space="0" w:color="auto"/>
          </w:divBdr>
        </w:div>
        <w:div w:id="387151949">
          <w:marLeft w:val="640"/>
          <w:marRight w:val="0"/>
          <w:marTop w:val="0"/>
          <w:marBottom w:val="0"/>
          <w:divBdr>
            <w:top w:val="none" w:sz="0" w:space="0" w:color="auto"/>
            <w:left w:val="none" w:sz="0" w:space="0" w:color="auto"/>
            <w:bottom w:val="none" w:sz="0" w:space="0" w:color="auto"/>
            <w:right w:val="none" w:sz="0" w:space="0" w:color="auto"/>
          </w:divBdr>
        </w:div>
        <w:div w:id="2111972888">
          <w:marLeft w:val="640"/>
          <w:marRight w:val="0"/>
          <w:marTop w:val="0"/>
          <w:marBottom w:val="0"/>
          <w:divBdr>
            <w:top w:val="none" w:sz="0" w:space="0" w:color="auto"/>
            <w:left w:val="none" w:sz="0" w:space="0" w:color="auto"/>
            <w:bottom w:val="none" w:sz="0" w:space="0" w:color="auto"/>
            <w:right w:val="none" w:sz="0" w:space="0" w:color="auto"/>
          </w:divBdr>
        </w:div>
        <w:div w:id="537553048">
          <w:marLeft w:val="640"/>
          <w:marRight w:val="0"/>
          <w:marTop w:val="0"/>
          <w:marBottom w:val="0"/>
          <w:divBdr>
            <w:top w:val="none" w:sz="0" w:space="0" w:color="auto"/>
            <w:left w:val="none" w:sz="0" w:space="0" w:color="auto"/>
            <w:bottom w:val="none" w:sz="0" w:space="0" w:color="auto"/>
            <w:right w:val="none" w:sz="0" w:space="0" w:color="auto"/>
          </w:divBdr>
        </w:div>
        <w:div w:id="1592160524">
          <w:marLeft w:val="640"/>
          <w:marRight w:val="0"/>
          <w:marTop w:val="0"/>
          <w:marBottom w:val="0"/>
          <w:divBdr>
            <w:top w:val="none" w:sz="0" w:space="0" w:color="auto"/>
            <w:left w:val="none" w:sz="0" w:space="0" w:color="auto"/>
            <w:bottom w:val="none" w:sz="0" w:space="0" w:color="auto"/>
            <w:right w:val="none" w:sz="0" w:space="0" w:color="auto"/>
          </w:divBdr>
        </w:div>
        <w:div w:id="732310748">
          <w:marLeft w:val="640"/>
          <w:marRight w:val="0"/>
          <w:marTop w:val="0"/>
          <w:marBottom w:val="0"/>
          <w:divBdr>
            <w:top w:val="none" w:sz="0" w:space="0" w:color="auto"/>
            <w:left w:val="none" w:sz="0" w:space="0" w:color="auto"/>
            <w:bottom w:val="none" w:sz="0" w:space="0" w:color="auto"/>
            <w:right w:val="none" w:sz="0" w:space="0" w:color="auto"/>
          </w:divBdr>
        </w:div>
        <w:div w:id="273899965">
          <w:marLeft w:val="640"/>
          <w:marRight w:val="0"/>
          <w:marTop w:val="0"/>
          <w:marBottom w:val="0"/>
          <w:divBdr>
            <w:top w:val="none" w:sz="0" w:space="0" w:color="auto"/>
            <w:left w:val="none" w:sz="0" w:space="0" w:color="auto"/>
            <w:bottom w:val="none" w:sz="0" w:space="0" w:color="auto"/>
            <w:right w:val="none" w:sz="0" w:space="0" w:color="auto"/>
          </w:divBdr>
        </w:div>
        <w:div w:id="1136148130">
          <w:marLeft w:val="640"/>
          <w:marRight w:val="0"/>
          <w:marTop w:val="0"/>
          <w:marBottom w:val="0"/>
          <w:divBdr>
            <w:top w:val="none" w:sz="0" w:space="0" w:color="auto"/>
            <w:left w:val="none" w:sz="0" w:space="0" w:color="auto"/>
            <w:bottom w:val="none" w:sz="0" w:space="0" w:color="auto"/>
            <w:right w:val="none" w:sz="0" w:space="0" w:color="auto"/>
          </w:divBdr>
        </w:div>
        <w:div w:id="1388453318">
          <w:marLeft w:val="640"/>
          <w:marRight w:val="0"/>
          <w:marTop w:val="0"/>
          <w:marBottom w:val="0"/>
          <w:divBdr>
            <w:top w:val="none" w:sz="0" w:space="0" w:color="auto"/>
            <w:left w:val="none" w:sz="0" w:space="0" w:color="auto"/>
            <w:bottom w:val="none" w:sz="0" w:space="0" w:color="auto"/>
            <w:right w:val="none" w:sz="0" w:space="0" w:color="auto"/>
          </w:divBdr>
        </w:div>
        <w:div w:id="1512060355">
          <w:marLeft w:val="640"/>
          <w:marRight w:val="0"/>
          <w:marTop w:val="0"/>
          <w:marBottom w:val="0"/>
          <w:divBdr>
            <w:top w:val="none" w:sz="0" w:space="0" w:color="auto"/>
            <w:left w:val="none" w:sz="0" w:space="0" w:color="auto"/>
            <w:bottom w:val="none" w:sz="0" w:space="0" w:color="auto"/>
            <w:right w:val="none" w:sz="0" w:space="0" w:color="auto"/>
          </w:divBdr>
        </w:div>
        <w:div w:id="1774666708">
          <w:marLeft w:val="640"/>
          <w:marRight w:val="0"/>
          <w:marTop w:val="0"/>
          <w:marBottom w:val="0"/>
          <w:divBdr>
            <w:top w:val="none" w:sz="0" w:space="0" w:color="auto"/>
            <w:left w:val="none" w:sz="0" w:space="0" w:color="auto"/>
            <w:bottom w:val="none" w:sz="0" w:space="0" w:color="auto"/>
            <w:right w:val="none" w:sz="0" w:space="0" w:color="auto"/>
          </w:divBdr>
        </w:div>
        <w:div w:id="741679350">
          <w:marLeft w:val="640"/>
          <w:marRight w:val="0"/>
          <w:marTop w:val="0"/>
          <w:marBottom w:val="0"/>
          <w:divBdr>
            <w:top w:val="none" w:sz="0" w:space="0" w:color="auto"/>
            <w:left w:val="none" w:sz="0" w:space="0" w:color="auto"/>
            <w:bottom w:val="none" w:sz="0" w:space="0" w:color="auto"/>
            <w:right w:val="none" w:sz="0" w:space="0" w:color="auto"/>
          </w:divBdr>
        </w:div>
        <w:div w:id="1650673160">
          <w:marLeft w:val="640"/>
          <w:marRight w:val="0"/>
          <w:marTop w:val="0"/>
          <w:marBottom w:val="0"/>
          <w:divBdr>
            <w:top w:val="none" w:sz="0" w:space="0" w:color="auto"/>
            <w:left w:val="none" w:sz="0" w:space="0" w:color="auto"/>
            <w:bottom w:val="none" w:sz="0" w:space="0" w:color="auto"/>
            <w:right w:val="none" w:sz="0" w:space="0" w:color="auto"/>
          </w:divBdr>
        </w:div>
        <w:div w:id="2109348342">
          <w:marLeft w:val="640"/>
          <w:marRight w:val="0"/>
          <w:marTop w:val="0"/>
          <w:marBottom w:val="0"/>
          <w:divBdr>
            <w:top w:val="none" w:sz="0" w:space="0" w:color="auto"/>
            <w:left w:val="none" w:sz="0" w:space="0" w:color="auto"/>
            <w:bottom w:val="none" w:sz="0" w:space="0" w:color="auto"/>
            <w:right w:val="none" w:sz="0" w:space="0" w:color="auto"/>
          </w:divBdr>
        </w:div>
        <w:div w:id="1979337107">
          <w:marLeft w:val="640"/>
          <w:marRight w:val="0"/>
          <w:marTop w:val="0"/>
          <w:marBottom w:val="0"/>
          <w:divBdr>
            <w:top w:val="none" w:sz="0" w:space="0" w:color="auto"/>
            <w:left w:val="none" w:sz="0" w:space="0" w:color="auto"/>
            <w:bottom w:val="none" w:sz="0" w:space="0" w:color="auto"/>
            <w:right w:val="none" w:sz="0" w:space="0" w:color="auto"/>
          </w:divBdr>
        </w:div>
        <w:div w:id="761953509">
          <w:marLeft w:val="640"/>
          <w:marRight w:val="0"/>
          <w:marTop w:val="0"/>
          <w:marBottom w:val="0"/>
          <w:divBdr>
            <w:top w:val="none" w:sz="0" w:space="0" w:color="auto"/>
            <w:left w:val="none" w:sz="0" w:space="0" w:color="auto"/>
            <w:bottom w:val="none" w:sz="0" w:space="0" w:color="auto"/>
            <w:right w:val="none" w:sz="0" w:space="0" w:color="auto"/>
          </w:divBdr>
        </w:div>
        <w:div w:id="1636763963">
          <w:marLeft w:val="640"/>
          <w:marRight w:val="0"/>
          <w:marTop w:val="0"/>
          <w:marBottom w:val="0"/>
          <w:divBdr>
            <w:top w:val="none" w:sz="0" w:space="0" w:color="auto"/>
            <w:left w:val="none" w:sz="0" w:space="0" w:color="auto"/>
            <w:bottom w:val="none" w:sz="0" w:space="0" w:color="auto"/>
            <w:right w:val="none" w:sz="0" w:space="0" w:color="auto"/>
          </w:divBdr>
        </w:div>
        <w:div w:id="422797965">
          <w:marLeft w:val="640"/>
          <w:marRight w:val="0"/>
          <w:marTop w:val="0"/>
          <w:marBottom w:val="0"/>
          <w:divBdr>
            <w:top w:val="none" w:sz="0" w:space="0" w:color="auto"/>
            <w:left w:val="none" w:sz="0" w:space="0" w:color="auto"/>
            <w:bottom w:val="none" w:sz="0" w:space="0" w:color="auto"/>
            <w:right w:val="none" w:sz="0" w:space="0" w:color="auto"/>
          </w:divBdr>
        </w:div>
        <w:div w:id="1023552590">
          <w:marLeft w:val="640"/>
          <w:marRight w:val="0"/>
          <w:marTop w:val="0"/>
          <w:marBottom w:val="0"/>
          <w:divBdr>
            <w:top w:val="none" w:sz="0" w:space="0" w:color="auto"/>
            <w:left w:val="none" w:sz="0" w:space="0" w:color="auto"/>
            <w:bottom w:val="none" w:sz="0" w:space="0" w:color="auto"/>
            <w:right w:val="none" w:sz="0" w:space="0" w:color="auto"/>
          </w:divBdr>
        </w:div>
        <w:div w:id="911354287">
          <w:marLeft w:val="640"/>
          <w:marRight w:val="0"/>
          <w:marTop w:val="0"/>
          <w:marBottom w:val="0"/>
          <w:divBdr>
            <w:top w:val="none" w:sz="0" w:space="0" w:color="auto"/>
            <w:left w:val="none" w:sz="0" w:space="0" w:color="auto"/>
            <w:bottom w:val="none" w:sz="0" w:space="0" w:color="auto"/>
            <w:right w:val="none" w:sz="0" w:space="0" w:color="auto"/>
          </w:divBdr>
        </w:div>
        <w:div w:id="1540245491">
          <w:marLeft w:val="640"/>
          <w:marRight w:val="0"/>
          <w:marTop w:val="0"/>
          <w:marBottom w:val="0"/>
          <w:divBdr>
            <w:top w:val="none" w:sz="0" w:space="0" w:color="auto"/>
            <w:left w:val="none" w:sz="0" w:space="0" w:color="auto"/>
            <w:bottom w:val="none" w:sz="0" w:space="0" w:color="auto"/>
            <w:right w:val="none" w:sz="0" w:space="0" w:color="auto"/>
          </w:divBdr>
        </w:div>
        <w:div w:id="1185944441">
          <w:marLeft w:val="640"/>
          <w:marRight w:val="0"/>
          <w:marTop w:val="0"/>
          <w:marBottom w:val="0"/>
          <w:divBdr>
            <w:top w:val="none" w:sz="0" w:space="0" w:color="auto"/>
            <w:left w:val="none" w:sz="0" w:space="0" w:color="auto"/>
            <w:bottom w:val="none" w:sz="0" w:space="0" w:color="auto"/>
            <w:right w:val="none" w:sz="0" w:space="0" w:color="auto"/>
          </w:divBdr>
        </w:div>
        <w:div w:id="1215315823">
          <w:marLeft w:val="640"/>
          <w:marRight w:val="0"/>
          <w:marTop w:val="0"/>
          <w:marBottom w:val="0"/>
          <w:divBdr>
            <w:top w:val="none" w:sz="0" w:space="0" w:color="auto"/>
            <w:left w:val="none" w:sz="0" w:space="0" w:color="auto"/>
            <w:bottom w:val="none" w:sz="0" w:space="0" w:color="auto"/>
            <w:right w:val="none" w:sz="0" w:space="0" w:color="auto"/>
          </w:divBdr>
        </w:div>
        <w:div w:id="1673995193">
          <w:marLeft w:val="640"/>
          <w:marRight w:val="0"/>
          <w:marTop w:val="0"/>
          <w:marBottom w:val="0"/>
          <w:divBdr>
            <w:top w:val="none" w:sz="0" w:space="0" w:color="auto"/>
            <w:left w:val="none" w:sz="0" w:space="0" w:color="auto"/>
            <w:bottom w:val="none" w:sz="0" w:space="0" w:color="auto"/>
            <w:right w:val="none" w:sz="0" w:space="0" w:color="auto"/>
          </w:divBdr>
        </w:div>
        <w:div w:id="1568877684">
          <w:marLeft w:val="640"/>
          <w:marRight w:val="0"/>
          <w:marTop w:val="0"/>
          <w:marBottom w:val="0"/>
          <w:divBdr>
            <w:top w:val="none" w:sz="0" w:space="0" w:color="auto"/>
            <w:left w:val="none" w:sz="0" w:space="0" w:color="auto"/>
            <w:bottom w:val="none" w:sz="0" w:space="0" w:color="auto"/>
            <w:right w:val="none" w:sz="0" w:space="0" w:color="auto"/>
          </w:divBdr>
        </w:div>
        <w:div w:id="1133324373">
          <w:marLeft w:val="640"/>
          <w:marRight w:val="0"/>
          <w:marTop w:val="0"/>
          <w:marBottom w:val="0"/>
          <w:divBdr>
            <w:top w:val="none" w:sz="0" w:space="0" w:color="auto"/>
            <w:left w:val="none" w:sz="0" w:space="0" w:color="auto"/>
            <w:bottom w:val="none" w:sz="0" w:space="0" w:color="auto"/>
            <w:right w:val="none" w:sz="0" w:space="0" w:color="auto"/>
          </w:divBdr>
        </w:div>
        <w:div w:id="1615095064">
          <w:marLeft w:val="640"/>
          <w:marRight w:val="0"/>
          <w:marTop w:val="0"/>
          <w:marBottom w:val="0"/>
          <w:divBdr>
            <w:top w:val="none" w:sz="0" w:space="0" w:color="auto"/>
            <w:left w:val="none" w:sz="0" w:space="0" w:color="auto"/>
            <w:bottom w:val="none" w:sz="0" w:space="0" w:color="auto"/>
            <w:right w:val="none" w:sz="0" w:space="0" w:color="auto"/>
          </w:divBdr>
        </w:div>
        <w:div w:id="713042039">
          <w:marLeft w:val="640"/>
          <w:marRight w:val="0"/>
          <w:marTop w:val="0"/>
          <w:marBottom w:val="0"/>
          <w:divBdr>
            <w:top w:val="none" w:sz="0" w:space="0" w:color="auto"/>
            <w:left w:val="none" w:sz="0" w:space="0" w:color="auto"/>
            <w:bottom w:val="none" w:sz="0" w:space="0" w:color="auto"/>
            <w:right w:val="none" w:sz="0" w:space="0" w:color="auto"/>
          </w:divBdr>
        </w:div>
        <w:div w:id="1821918167">
          <w:marLeft w:val="640"/>
          <w:marRight w:val="0"/>
          <w:marTop w:val="0"/>
          <w:marBottom w:val="0"/>
          <w:divBdr>
            <w:top w:val="none" w:sz="0" w:space="0" w:color="auto"/>
            <w:left w:val="none" w:sz="0" w:space="0" w:color="auto"/>
            <w:bottom w:val="none" w:sz="0" w:space="0" w:color="auto"/>
            <w:right w:val="none" w:sz="0" w:space="0" w:color="auto"/>
          </w:divBdr>
        </w:div>
        <w:div w:id="1209957046">
          <w:marLeft w:val="640"/>
          <w:marRight w:val="0"/>
          <w:marTop w:val="0"/>
          <w:marBottom w:val="0"/>
          <w:divBdr>
            <w:top w:val="none" w:sz="0" w:space="0" w:color="auto"/>
            <w:left w:val="none" w:sz="0" w:space="0" w:color="auto"/>
            <w:bottom w:val="none" w:sz="0" w:space="0" w:color="auto"/>
            <w:right w:val="none" w:sz="0" w:space="0" w:color="auto"/>
          </w:divBdr>
        </w:div>
        <w:div w:id="411783072">
          <w:marLeft w:val="640"/>
          <w:marRight w:val="0"/>
          <w:marTop w:val="0"/>
          <w:marBottom w:val="0"/>
          <w:divBdr>
            <w:top w:val="none" w:sz="0" w:space="0" w:color="auto"/>
            <w:left w:val="none" w:sz="0" w:space="0" w:color="auto"/>
            <w:bottom w:val="none" w:sz="0" w:space="0" w:color="auto"/>
            <w:right w:val="none" w:sz="0" w:space="0" w:color="auto"/>
          </w:divBdr>
        </w:div>
        <w:div w:id="311256323">
          <w:marLeft w:val="640"/>
          <w:marRight w:val="0"/>
          <w:marTop w:val="0"/>
          <w:marBottom w:val="0"/>
          <w:divBdr>
            <w:top w:val="none" w:sz="0" w:space="0" w:color="auto"/>
            <w:left w:val="none" w:sz="0" w:space="0" w:color="auto"/>
            <w:bottom w:val="none" w:sz="0" w:space="0" w:color="auto"/>
            <w:right w:val="none" w:sz="0" w:space="0" w:color="auto"/>
          </w:divBdr>
        </w:div>
        <w:div w:id="1716199250">
          <w:marLeft w:val="640"/>
          <w:marRight w:val="0"/>
          <w:marTop w:val="0"/>
          <w:marBottom w:val="0"/>
          <w:divBdr>
            <w:top w:val="none" w:sz="0" w:space="0" w:color="auto"/>
            <w:left w:val="none" w:sz="0" w:space="0" w:color="auto"/>
            <w:bottom w:val="none" w:sz="0" w:space="0" w:color="auto"/>
            <w:right w:val="none" w:sz="0" w:space="0" w:color="auto"/>
          </w:divBdr>
        </w:div>
        <w:div w:id="393048511">
          <w:marLeft w:val="640"/>
          <w:marRight w:val="0"/>
          <w:marTop w:val="0"/>
          <w:marBottom w:val="0"/>
          <w:divBdr>
            <w:top w:val="none" w:sz="0" w:space="0" w:color="auto"/>
            <w:left w:val="none" w:sz="0" w:space="0" w:color="auto"/>
            <w:bottom w:val="none" w:sz="0" w:space="0" w:color="auto"/>
            <w:right w:val="none" w:sz="0" w:space="0" w:color="auto"/>
          </w:divBdr>
        </w:div>
        <w:div w:id="1947885993">
          <w:marLeft w:val="640"/>
          <w:marRight w:val="0"/>
          <w:marTop w:val="0"/>
          <w:marBottom w:val="0"/>
          <w:divBdr>
            <w:top w:val="none" w:sz="0" w:space="0" w:color="auto"/>
            <w:left w:val="none" w:sz="0" w:space="0" w:color="auto"/>
            <w:bottom w:val="none" w:sz="0" w:space="0" w:color="auto"/>
            <w:right w:val="none" w:sz="0" w:space="0" w:color="auto"/>
          </w:divBdr>
        </w:div>
        <w:div w:id="1006636224">
          <w:marLeft w:val="640"/>
          <w:marRight w:val="0"/>
          <w:marTop w:val="0"/>
          <w:marBottom w:val="0"/>
          <w:divBdr>
            <w:top w:val="none" w:sz="0" w:space="0" w:color="auto"/>
            <w:left w:val="none" w:sz="0" w:space="0" w:color="auto"/>
            <w:bottom w:val="none" w:sz="0" w:space="0" w:color="auto"/>
            <w:right w:val="none" w:sz="0" w:space="0" w:color="auto"/>
          </w:divBdr>
        </w:div>
        <w:div w:id="1327055533">
          <w:marLeft w:val="640"/>
          <w:marRight w:val="0"/>
          <w:marTop w:val="0"/>
          <w:marBottom w:val="0"/>
          <w:divBdr>
            <w:top w:val="none" w:sz="0" w:space="0" w:color="auto"/>
            <w:left w:val="none" w:sz="0" w:space="0" w:color="auto"/>
            <w:bottom w:val="none" w:sz="0" w:space="0" w:color="auto"/>
            <w:right w:val="none" w:sz="0" w:space="0" w:color="auto"/>
          </w:divBdr>
        </w:div>
        <w:div w:id="58211279">
          <w:marLeft w:val="640"/>
          <w:marRight w:val="0"/>
          <w:marTop w:val="0"/>
          <w:marBottom w:val="0"/>
          <w:divBdr>
            <w:top w:val="none" w:sz="0" w:space="0" w:color="auto"/>
            <w:left w:val="none" w:sz="0" w:space="0" w:color="auto"/>
            <w:bottom w:val="none" w:sz="0" w:space="0" w:color="auto"/>
            <w:right w:val="none" w:sz="0" w:space="0" w:color="auto"/>
          </w:divBdr>
        </w:div>
        <w:div w:id="1678540283">
          <w:marLeft w:val="640"/>
          <w:marRight w:val="0"/>
          <w:marTop w:val="0"/>
          <w:marBottom w:val="0"/>
          <w:divBdr>
            <w:top w:val="none" w:sz="0" w:space="0" w:color="auto"/>
            <w:left w:val="none" w:sz="0" w:space="0" w:color="auto"/>
            <w:bottom w:val="none" w:sz="0" w:space="0" w:color="auto"/>
            <w:right w:val="none" w:sz="0" w:space="0" w:color="auto"/>
          </w:divBdr>
        </w:div>
        <w:div w:id="184442950">
          <w:marLeft w:val="640"/>
          <w:marRight w:val="0"/>
          <w:marTop w:val="0"/>
          <w:marBottom w:val="0"/>
          <w:divBdr>
            <w:top w:val="none" w:sz="0" w:space="0" w:color="auto"/>
            <w:left w:val="none" w:sz="0" w:space="0" w:color="auto"/>
            <w:bottom w:val="none" w:sz="0" w:space="0" w:color="auto"/>
            <w:right w:val="none" w:sz="0" w:space="0" w:color="auto"/>
          </w:divBdr>
        </w:div>
        <w:div w:id="1716126368">
          <w:marLeft w:val="640"/>
          <w:marRight w:val="0"/>
          <w:marTop w:val="0"/>
          <w:marBottom w:val="0"/>
          <w:divBdr>
            <w:top w:val="none" w:sz="0" w:space="0" w:color="auto"/>
            <w:left w:val="none" w:sz="0" w:space="0" w:color="auto"/>
            <w:bottom w:val="none" w:sz="0" w:space="0" w:color="auto"/>
            <w:right w:val="none" w:sz="0" w:space="0" w:color="auto"/>
          </w:divBdr>
        </w:div>
        <w:div w:id="709569622">
          <w:marLeft w:val="640"/>
          <w:marRight w:val="0"/>
          <w:marTop w:val="0"/>
          <w:marBottom w:val="0"/>
          <w:divBdr>
            <w:top w:val="none" w:sz="0" w:space="0" w:color="auto"/>
            <w:left w:val="none" w:sz="0" w:space="0" w:color="auto"/>
            <w:bottom w:val="none" w:sz="0" w:space="0" w:color="auto"/>
            <w:right w:val="none" w:sz="0" w:space="0" w:color="auto"/>
          </w:divBdr>
        </w:div>
        <w:div w:id="1443109288">
          <w:marLeft w:val="640"/>
          <w:marRight w:val="0"/>
          <w:marTop w:val="0"/>
          <w:marBottom w:val="0"/>
          <w:divBdr>
            <w:top w:val="none" w:sz="0" w:space="0" w:color="auto"/>
            <w:left w:val="none" w:sz="0" w:space="0" w:color="auto"/>
            <w:bottom w:val="none" w:sz="0" w:space="0" w:color="auto"/>
            <w:right w:val="none" w:sz="0" w:space="0" w:color="auto"/>
          </w:divBdr>
        </w:div>
        <w:div w:id="205072962">
          <w:marLeft w:val="640"/>
          <w:marRight w:val="0"/>
          <w:marTop w:val="0"/>
          <w:marBottom w:val="0"/>
          <w:divBdr>
            <w:top w:val="none" w:sz="0" w:space="0" w:color="auto"/>
            <w:left w:val="none" w:sz="0" w:space="0" w:color="auto"/>
            <w:bottom w:val="none" w:sz="0" w:space="0" w:color="auto"/>
            <w:right w:val="none" w:sz="0" w:space="0" w:color="auto"/>
          </w:divBdr>
        </w:div>
        <w:div w:id="913930891">
          <w:marLeft w:val="640"/>
          <w:marRight w:val="0"/>
          <w:marTop w:val="0"/>
          <w:marBottom w:val="0"/>
          <w:divBdr>
            <w:top w:val="none" w:sz="0" w:space="0" w:color="auto"/>
            <w:left w:val="none" w:sz="0" w:space="0" w:color="auto"/>
            <w:bottom w:val="none" w:sz="0" w:space="0" w:color="auto"/>
            <w:right w:val="none" w:sz="0" w:space="0" w:color="auto"/>
          </w:divBdr>
        </w:div>
        <w:div w:id="1154301589">
          <w:marLeft w:val="640"/>
          <w:marRight w:val="0"/>
          <w:marTop w:val="0"/>
          <w:marBottom w:val="0"/>
          <w:divBdr>
            <w:top w:val="none" w:sz="0" w:space="0" w:color="auto"/>
            <w:left w:val="none" w:sz="0" w:space="0" w:color="auto"/>
            <w:bottom w:val="none" w:sz="0" w:space="0" w:color="auto"/>
            <w:right w:val="none" w:sz="0" w:space="0" w:color="auto"/>
          </w:divBdr>
        </w:div>
        <w:div w:id="892273398">
          <w:marLeft w:val="640"/>
          <w:marRight w:val="0"/>
          <w:marTop w:val="0"/>
          <w:marBottom w:val="0"/>
          <w:divBdr>
            <w:top w:val="none" w:sz="0" w:space="0" w:color="auto"/>
            <w:left w:val="none" w:sz="0" w:space="0" w:color="auto"/>
            <w:bottom w:val="none" w:sz="0" w:space="0" w:color="auto"/>
            <w:right w:val="none" w:sz="0" w:space="0" w:color="auto"/>
          </w:divBdr>
        </w:div>
        <w:div w:id="1709840218">
          <w:marLeft w:val="640"/>
          <w:marRight w:val="0"/>
          <w:marTop w:val="0"/>
          <w:marBottom w:val="0"/>
          <w:divBdr>
            <w:top w:val="none" w:sz="0" w:space="0" w:color="auto"/>
            <w:left w:val="none" w:sz="0" w:space="0" w:color="auto"/>
            <w:bottom w:val="none" w:sz="0" w:space="0" w:color="auto"/>
            <w:right w:val="none" w:sz="0" w:space="0" w:color="auto"/>
          </w:divBdr>
        </w:div>
        <w:div w:id="221019283">
          <w:marLeft w:val="640"/>
          <w:marRight w:val="0"/>
          <w:marTop w:val="0"/>
          <w:marBottom w:val="0"/>
          <w:divBdr>
            <w:top w:val="none" w:sz="0" w:space="0" w:color="auto"/>
            <w:left w:val="none" w:sz="0" w:space="0" w:color="auto"/>
            <w:bottom w:val="none" w:sz="0" w:space="0" w:color="auto"/>
            <w:right w:val="none" w:sz="0" w:space="0" w:color="auto"/>
          </w:divBdr>
        </w:div>
        <w:div w:id="1703245922">
          <w:marLeft w:val="640"/>
          <w:marRight w:val="0"/>
          <w:marTop w:val="0"/>
          <w:marBottom w:val="0"/>
          <w:divBdr>
            <w:top w:val="none" w:sz="0" w:space="0" w:color="auto"/>
            <w:left w:val="none" w:sz="0" w:space="0" w:color="auto"/>
            <w:bottom w:val="none" w:sz="0" w:space="0" w:color="auto"/>
            <w:right w:val="none" w:sz="0" w:space="0" w:color="auto"/>
          </w:divBdr>
        </w:div>
        <w:div w:id="2011784444">
          <w:marLeft w:val="640"/>
          <w:marRight w:val="0"/>
          <w:marTop w:val="0"/>
          <w:marBottom w:val="0"/>
          <w:divBdr>
            <w:top w:val="none" w:sz="0" w:space="0" w:color="auto"/>
            <w:left w:val="none" w:sz="0" w:space="0" w:color="auto"/>
            <w:bottom w:val="none" w:sz="0" w:space="0" w:color="auto"/>
            <w:right w:val="none" w:sz="0" w:space="0" w:color="auto"/>
          </w:divBdr>
        </w:div>
        <w:div w:id="1198933492">
          <w:marLeft w:val="640"/>
          <w:marRight w:val="0"/>
          <w:marTop w:val="0"/>
          <w:marBottom w:val="0"/>
          <w:divBdr>
            <w:top w:val="none" w:sz="0" w:space="0" w:color="auto"/>
            <w:left w:val="none" w:sz="0" w:space="0" w:color="auto"/>
            <w:bottom w:val="none" w:sz="0" w:space="0" w:color="auto"/>
            <w:right w:val="none" w:sz="0" w:space="0" w:color="auto"/>
          </w:divBdr>
        </w:div>
        <w:div w:id="1058237661">
          <w:marLeft w:val="640"/>
          <w:marRight w:val="0"/>
          <w:marTop w:val="0"/>
          <w:marBottom w:val="0"/>
          <w:divBdr>
            <w:top w:val="none" w:sz="0" w:space="0" w:color="auto"/>
            <w:left w:val="none" w:sz="0" w:space="0" w:color="auto"/>
            <w:bottom w:val="none" w:sz="0" w:space="0" w:color="auto"/>
            <w:right w:val="none" w:sz="0" w:space="0" w:color="auto"/>
          </w:divBdr>
        </w:div>
        <w:div w:id="1284577846">
          <w:marLeft w:val="640"/>
          <w:marRight w:val="0"/>
          <w:marTop w:val="0"/>
          <w:marBottom w:val="0"/>
          <w:divBdr>
            <w:top w:val="none" w:sz="0" w:space="0" w:color="auto"/>
            <w:left w:val="none" w:sz="0" w:space="0" w:color="auto"/>
            <w:bottom w:val="none" w:sz="0" w:space="0" w:color="auto"/>
            <w:right w:val="none" w:sz="0" w:space="0" w:color="auto"/>
          </w:divBdr>
        </w:div>
        <w:div w:id="732122879">
          <w:marLeft w:val="640"/>
          <w:marRight w:val="0"/>
          <w:marTop w:val="0"/>
          <w:marBottom w:val="0"/>
          <w:divBdr>
            <w:top w:val="none" w:sz="0" w:space="0" w:color="auto"/>
            <w:left w:val="none" w:sz="0" w:space="0" w:color="auto"/>
            <w:bottom w:val="none" w:sz="0" w:space="0" w:color="auto"/>
            <w:right w:val="none" w:sz="0" w:space="0" w:color="auto"/>
          </w:divBdr>
        </w:div>
        <w:div w:id="63378591">
          <w:marLeft w:val="640"/>
          <w:marRight w:val="0"/>
          <w:marTop w:val="0"/>
          <w:marBottom w:val="0"/>
          <w:divBdr>
            <w:top w:val="none" w:sz="0" w:space="0" w:color="auto"/>
            <w:left w:val="none" w:sz="0" w:space="0" w:color="auto"/>
            <w:bottom w:val="none" w:sz="0" w:space="0" w:color="auto"/>
            <w:right w:val="none" w:sz="0" w:space="0" w:color="auto"/>
          </w:divBdr>
        </w:div>
        <w:div w:id="1692684509">
          <w:marLeft w:val="640"/>
          <w:marRight w:val="0"/>
          <w:marTop w:val="0"/>
          <w:marBottom w:val="0"/>
          <w:divBdr>
            <w:top w:val="none" w:sz="0" w:space="0" w:color="auto"/>
            <w:left w:val="none" w:sz="0" w:space="0" w:color="auto"/>
            <w:bottom w:val="none" w:sz="0" w:space="0" w:color="auto"/>
            <w:right w:val="none" w:sz="0" w:space="0" w:color="auto"/>
          </w:divBdr>
        </w:div>
        <w:div w:id="1225603514">
          <w:marLeft w:val="640"/>
          <w:marRight w:val="0"/>
          <w:marTop w:val="0"/>
          <w:marBottom w:val="0"/>
          <w:divBdr>
            <w:top w:val="none" w:sz="0" w:space="0" w:color="auto"/>
            <w:left w:val="none" w:sz="0" w:space="0" w:color="auto"/>
            <w:bottom w:val="none" w:sz="0" w:space="0" w:color="auto"/>
            <w:right w:val="none" w:sz="0" w:space="0" w:color="auto"/>
          </w:divBdr>
        </w:div>
        <w:div w:id="580019737">
          <w:marLeft w:val="640"/>
          <w:marRight w:val="0"/>
          <w:marTop w:val="0"/>
          <w:marBottom w:val="0"/>
          <w:divBdr>
            <w:top w:val="none" w:sz="0" w:space="0" w:color="auto"/>
            <w:left w:val="none" w:sz="0" w:space="0" w:color="auto"/>
            <w:bottom w:val="none" w:sz="0" w:space="0" w:color="auto"/>
            <w:right w:val="none" w:sz="0" w:space="0" w:color="auto"/>
          </w:divBdr>
        </w:div>
        <w:div w:id="1902670441">
          <w:marLeft w:val="640"/>
          <w:marRight w:val="0"/>
          <w:marTop w:val="0"/>
          <w:marBottom w:val="0"/>
          <w:divBdr>
            <w:top w:val="none" w:sz="0" w:space="0" w:color="auto"/>
            <w:left w:val="none" w:sz="0" w:space="0" w:color="auto"/>
            <w:bottom w:val="none" w:sz="0" w:space="0" w:color="auto"/>
            <w:right w:val="none" w:sz="0" w:space="0" w:color="auto"/>
          </w:divBdr>
        </w:div>
        <w:div w:id="1673755466">
          <w:marLeft w:val="640"/>
          <w:marRight w:val="0"/>
          <w:marTop w:val="0"/>
          <w:marBottom w:val="0"/>
          <w:divBdr>
            <w:top w:val="none" w:sz="0" w:space="0" w:color="auto"/>
            <w:left w:val="none" w:sz="0" w:space="0" w:color="auto"/>
            <w:bottom w:val="none" w:sz="0" w:space="0" w:color="auto"/>
            <w:right w:val="none" w:sz="0" w:space="0" w:color="auto"/>
          </w:divBdr>
        </w:div>
        <w:div w:id="1984583010">
          <w:marLeft w:val="640"/>
          <w:marRight w:val="0"/>
          <w:marTop w:val="0"/>
          <w:marBottom w:val="0"/>
          <w:divBdr>
            <w:top w:val="none" w:sz="0" w:space="0" w:color="auto"/>
            <w:left w:val="none" w:sz="0" w:space="0" w:color="auto"/>
            <w:bottom w:val="none" w:sz="0" w:space="0" w:color="auto"/>
            <w:right w:val="none" w:sz="0" w:space="0" w:color="auto"/>
          </w:divBdr>
        </w:div>
        <w:div w:id="138347027">
          <w:marLeft w:val="640"/>
          <w:marRight w:val="0"/>
          <w:marTop w:val="0"/>
          <w:marBottom w:val="0"/>
          <w:divBdr>
            <w:top w:val="none" w:sz="0" w:space="0" w:color="auto"/>
            <w:left w:val="none" w:sz="0" w:space="0" w:color="auto"/>
            <w:bottom w:val="none" w:sz="0" w:space="0" w:color="auto"/>
            <w:right w:val="none" w:sz="0" w:space="0" w:color="auto"/>
          </w:divBdr>
        </w:div>
        <w:div w:id="77024832">
          <w:marLeft w:val="640"/>
          <w:marRight w:val="0"/>
          <w:marTop w:val="0"/>
          <w:marBottom w:val="0"/>
          <w:divBdr>
            <w:top w:val="none" w:sz="0" w:space="0" w:color="auto"/>
            <w:left w:val="none" w:sz="0" w:space="0" w:color="auto"/>
            <w:bottom w:val="none" w:sz="0" w:space="0" w:color="auto"/>
            <w:right w:val="none" w:sz="0" w:space="0" w:color="auto"/>
          </w:divBdr>
        </w:div>
        <w:div w:id="83956969">
          <w:marLeft w:val="640"/>
          <w:marRight w:val="0"/>
          <w:marTop w:val="0"/>
          <w:marBottom w:val="0"/>
          <w:divBdr>
            <w:top w:val="none" w:sz="0" w:space="0" w:color="auto"/>
            <w:left w:val="none" w:sz="0" w:space="0" w:color="auto"/>
            <w:bottom w:val="none" w:sz="0" w:space="0" w:color="auto"/>
            <w:right w:val="none" w:sz="0" w:space="0" w:color="auto"/>
          </w:divBdr>
        </w:div>
        <w:div w:id="411707131">
          <w:marLeft w:val="640"/>
          <w:marRight w:val="0"/>
          <w:marTop w:val="0"/>
          <w:marBottom w:val="0"/>
          <w:divBdr>
            <w:top w:val="none" w:sz="0" w:space="0" w:color="auto"/>
            <w:left w:val="none" w:sz="0" w:space="0" w:color="auto"/>
            <w:bottom w:val="none" w:sz="0" w:space="0" w:color="auto"/>
            <w:right w:val="none" w:sz="0" w:space="0" w:color="auto"/>
          </w:divBdr>
        </w:div>
        <w:div w:id="645430618">
          <w:marLeft w:val="640"/>
          <w:marRight w:val="0"/>
          <w:marTop w:val="0"/>
          <w:marBottom w:val="0"/>
          <w:divBdr>
            <w:top w:val="none" w:sz="0" w:space="0" w:color="auto"/>
            <w:left w:val="none" w:sz="0" w:space="0" w:color="auto"/>
            <w:bottom w:val="none" w:sz="0" w:space="0" w:color="auto"/>
            <w:right w:val="none" w:sz="0" w:space="0" w:color="auto"/>
          </w:divBdr>
        </w:div>
        <w:div w:id="1914049621">
          <w:marLeft w:val="640"/>
          <w:marRight w:val="0"/>
          <w:marTop w:val="0"/>
          <w:marBottom w:val="0"/>
          <w:divBdr>
            <w:top w:val="none" w:sz="0" w:space="0" w:color="auto"/>
            <w:left w:val="none" w:sz="0" w:space="0" w:color="auto"/>
            <w:bottom w:val="none" w:sz="0" w:space="0" w:color="auto"/>
            <w:right w:val="none" w:sz="0" w:space="0" w:color="auto"/>
          </w:divBdr>
        </w:div>
        <w:div w:id="1347634403">
          <w:marLeft w:val="640"/>
          <w:marRight w:val="0"/>
          <w:marTop w:val="0"/>
          <w:marBottom w:val="0"/>
          <w:divBdr>
            <w:top w:val="none" w:sz="0" w:space="0" w:color="auto"/>
            <w:left w:val="none" w:sz="0" w:space="0" w:color="auto"/>
            <w:bottom w:val="none" w:sz="0" w:space="0" w:color="auto"/>
            <w:right w:val="none" w:sz="0" w:space="0" w:color="auto"/>
          </w:divBdr>
        </w:div>
        <w:div w:id="443499296">
          <w:marLeft w:val="640"/>
          <w:marRight w:val="0"/>
          <w:marTop w:val="0"/>
          <w:marBottom w:val="0"/>
          <w:divBdr>
            <w:top w:val="none" w:sz="0" w:space="0" w:color="auto"/>
            <w:left w:val="none" w:sz="0" w:space="0" w:color="auto"/>
            <w:bottom w:val="none" w:sz="0" w:space="0" w:color="auto"/>
            <w:right w:val="none" w:sz="0" w:space="0" w:color="auto"/>
          </w:divBdr>
        </w:div>
        <w:div w:id="992176387">
          <w:marLeft w:val="640"/>
          <w:marRight w:val="0"/>
          <w:marTop w:val="0"/>
          <w:marBottom w:val="0"/>
          <w:divBdr>
            <w:top w:val="none" w:sz="0" w:space="0" w:color="auto"/>
            <w:left w:val="none" w:sz="0" w:space="0" w:color="auto"/>
            <w:bottom w:val="none" w:sz="0" w:space="0" w:color="auto"/>
            <w:right w:val="none" w:sz="0" w:space="0" w:color="auto"/>
          </w:divBdr>
        </w:div>
        <w:div w:id="299966297">
          <w:marLeft w:val="640"/>
          <w:marRight w:val="0"/>
          <w:marTop w:val="0"/>
          <w:marBottom w:val="0"/>
          <w:divBdr>
            <w:top w:val="none" w:sz="0" w:space="0" w:color="auto"/>
            <w:left w:val="none" w:sz="0" w:space="0" w:color="auto"/>
            <w:bottom w:val="none" w:sz="0" w:space="0" w:color="auto"/>
            <w:right w:val="none" w:sz="0" w:space="0" w:color="auto"/>
          </w:divBdr>
        </w:div>
        <w:div w:id="282418638">
          <w:marLeft w:val="640"/>
          <w:marRight w:val="0"/>
          <w:marTop w:val="0"/>
          <w:marBottom w:val="0"/>
          <w:divBdr>
            <w:top w:val="none" w:sz="0" w:space="0" w:color="auto"/>
            <w:left w:val="none" w:sz="0" w:space="0" w:color="auto"/>
            <w:bottom w:val="none" w:sz="0" w:space="0" w:color="auto"/>
            <w:right w:val="none" w:sz="0" w:space="0" w:color="auto"/>
          </w:divBdr>
        </w:div>
        <w:div w:id="581183449">
          <w:marLeft w:val="640"/>
          <w:marRight w:val="0"/>
          <w:marTop w:val="0"/>
          <w:marBottom w:val="0"/>
          <w:divBdr>
            <w:top w:val="none" w:sz="0" w:space="0" w:color="auto"/>
            <w:left w:val="none" w:sz="0" w:space="0" w:color="auto"/>
            <w:bottom w:val="none" w:sz="0" w:space="0" w:color="auto"/>
            <w:right w:val="none" w:sz="0" w:space="0" w:color="auto"/>
          </w:divBdr>
        </w:div>
      </w:divsChild>
    </w:div>
    <w:div w:id="1692367297">
      <w:bodyDiv w:val="1"/>
      <w:marLeft w:val="0"/>
      <w:marRight w:val="0"/>
      <w:marTop w:val="0"/>
      <w:marBottom w:val="0"/>
      <w:divBdr>
        <w:top w:val="none" w:sz="0" w:space="0" w:color="auto"/>
        <w:left w:val="none" w:sz="0" w:space="0" w:color="auto"/>
        <w:bottom w:val="none" w:sz="0" w:space="0" w:color="auto"/>
        <w:right w:val="none" w:sz="0" w:space="0" w:color="auto"/>
      </w:divBdr>
      <w:divsChild>
        <w:div w:id="1794052626">
          <w:marLeft w:val="640"/>
          <w:marRight w:val="0"/>
          <w:marTop w:val="0"/>
          <w:marBottom w:val="0"/>
          <w:divBdr>
            <w:top w:val="none" w:sz="0" w:space="0" w:color="auto"/>
            <w:left w:val="none" w:sz="0" w:space="0" w:color="auto"/>
            <w:bottom w:val="none" w:sz="0" w:space="0" w:color="auto"/>
            <w:right w:val="none" w:sz="0" w:space="0" w:color="auto"/>
          </w:divBdr>
        </w:div>
        <w:div w:id="1813062639">
          <w:marLeft w:val="640"/>
          <w:marRight w:val="0"/>
          <w:marTop w:val="0"/>
          <w:marBottom w:val="0"/>
          <w:divBdr>
            <w:top w:val="none" w:sz="0" w:space="0" w:color="auto"/>
            <w:left w:val="none" w:sz="0" w:space="0" w:color="auto"/>
            <w:bottom w:val="none" w:sz="0" w:space="0" w:color="auto"/>
            <w:right w:val="none" w:sz="0" w:space="0" w:color="auto"/>
          </w:divBdr>
        </w:div>
        <w:div w:id="1010831802">
          <w:marLeft w:val="640"/>
          <w:marRight w:val="0"/>
          <w:marTop w:val="0"/>
          <w:marBottom w:val="0"/>
          <w:divBdr>
            <w:top w:val="none" w:sz="0" w:space="0" w:color="auto"/>
            <w:left w:val="none" w:sz="0" w:space="0" w:color="auto"/>
            <w:bottom w:val="none" w:sz="0" w:space="0" w:color="auto"/>
            <w:right w:val="none" w:sz="0" w:space="0" w:color="auto"/>
          </w:divBdr>
        </w:div>
        <w:div w:id="674958552">
          <w:marLeft w:val="640"/>
          <w:marRight w:val="0"/>
          <w:marTop w:val="0"/>
          <w:marBottom w:val="0"/>
          <w:divBdr>
            <w:top w:val="none" w:sz="0" w:space="0" w:color="auto"/>
            <w:left w:val="none" w:sz="0" w:space="0" w:color="auto"/>
            <w:bottom w:val="none" w:sz="0" w:space="0" w:color="auto"/>
            <w:right w:val="none" w:sz="0" w:space="0" w:color="auto"/>
          </w:divBdr>
        </w:div>
        <w:div w:id="1090468877">
          <w:marLeft w:val="640"/>
          <w:marRight w:val="0"/>
          <w:marTop w:val="0"/>
          <w:marBottom w:val="0"/>
          <w:divBdr>
            <w:top w:val="none" w:sz="0" w:space="0" w:color="auto"/>
            <w:left w:val="none" w:sz="0" w:space="0" w:color="auto"/>
            <w:bottom w:val="none" w:sz="0" w:space="0" w:color="auto"/>
            <w:right w:val="none" w:sz="0" w:space="0" w:color="auto"/>
          </w:divBdr>
        </w:div>
        <w:div w:id="574248309">
          <w:marLeft w:val="640"/>
          <w:marRight w:val="0"/>
          <w:marTop w:val="0"/>
          <w:marBottom w:val="0"/>
          <w:divBdr>
            <w:top w:val="none" w:sz="0" w:space="0" w:color="auto"/>
            <w:left w:val="none" w:sz="0" w:space="0" w:color="auto"/>
            <w:bottom w:val="none" w:sz="0" w:space="0" w:color="auto"/>
            <w:right w:val="none" w:sz="0" w:space="0" w:color="auto"/>
          </w:divBdr>
        </w:div>
        <w:div w:id="1172065146">
          <w:marLeft w:val="640"/>
          <w:marRight w:val="0"/>
          <w:marTop w:val="0"/>
          <w:marBottom w:val="0"/>
          <w:divBdr>
            <w:top w:val="none" w:sz="0" w:space="0" w:color="auto"/>
            <w:left w:val="none" w:sz="0" w:space="0" w:color="auto"/>
            <w:bottom w:val="none" w:sz="0" w:space="0" w:color="auto"/>
            <w:right w:val="none" w:sz="0" w:space="0" w:color="auto"/>
          </w:divBdr>
        </w:div>
        <w:div w:id="1896044238">
          <w:marLeft w:val="640"/>
          <w:marRight w:val="0"/>
          <w:marTop w:val="0"/>
          <w:marBottom w:val="0"/>
          <w:divBdr>
            <w:top w:val="none" w:sz="0" w:space="0" w:color="auto"/>
            <w:left w:val="none" w:sz="0" w:space="0" w:color="auto"/>
            <w:bottom w:val="none" w:sz="0" w:space="0" w:color="auto"/>
            <w:right w:val="none" w:sz="0" w:space="0" w:color="auto"/>
          </w:divBdr>
        </w:div>
        <w:div w:id="2069109645">
          <w:marLeft w:val="640"/>
          <w:marRight w:val="0"/>
          <w:marTop w:val="0"/>
          <w:marBottom w:val="0"/>
          <w:divBdr>
            <w:top w:val="none" w:sz="0" w:space="0" w:color="auto"/>
            <w:left w:val="none" w:sz="0" w:space="0" w:color="auto"/>
            <w:bottom w:val="none" w:sz="0" w:space="0" w:color="auto"/>
            <w:right w:val="none" w:sz="0" w:space="0" w:color="auto"/>
          </w:divBdr>
        </w:div>
        <w:div w:id="916012224">
          <w:marLeft w:val="640"/>
          <w:marRight w:val="0"/>
          <w:marTop w:val="0"/>
          <w:marBottom w:val="0"/>
          <w:divBdr>
            <w:top w:val="none" w:sz="0" w:space="0" w:color="auto"/>
            <w:left w:val="none" w:sz="0" w:space="0" w:color="auto"/>
            <w:bottom w:val="none" w:sz="0" w:space="0" w:color="auto"/>
            <w:right w:val="none" w:sz="0" w:space="0" w:color="auto"/>
          </w:divBdr>
        </w:div>
        <w:div w:id="1132362181">
          <w:marLeft w:val="640"/>
          <w:marRight w:val="0"/>
          <w:marTop w:val="0"/>
          <w:marBottom w:val="0"/>
          <w:divBdr>
            <w:top w:val="none" w:sz="0" w:space="0" w:color="auto"/>
            <w:left w:val="none" w:sz="0" w:space="0" w:color="auto"/>
            <w:bottom w:val="none" w:sz="0" w:space="0" w:color="auto"/>
            <w:right w:val="none" w:sz="0" w:space="0" w:color="auto"/>
          </w:divBdr>
        </w:div>
        <w:div w:id="1728844658">
          <w:marLeft w:val="640"/>
          <w:marRight w:val="0"/>
          <w:marTop w:val="0"/>
          <w:marBottom w:val="0"/>
          <w:divBdr>
            <w:top w:val="none" w:sz="0" w:space="0" w:color="auto"/>
            <w:left w:val="none" w:sz="0" w:space="0" w:color="auto"/>
            <w:bottom w:val="none" w:sz="0" w:space="0" w:color="auto"/>
            <w:right w:val="none" w:sz="0" w:space="0" w:color="auto"/>
          </w:divBdr>
        </w:div>
        <w:div w:id="1360354251">
          <w:marLeft w:val="640"/>
          <w:marRight w:val="0"/>
          <w:marTop w:val="0"/>
          <w:marBottom w:val="0"/>
          <w:divBdr>
            <w:top w:val="none" w:sz="0" w:space="0" w:color="auto"/>
            <w:left w:val="none" w:sz="0" w:space="0" w:color="auto"/>
            <w:bottom w:val="none" w:sz="0" w:space="0" w:color="auto"/>
            <w:right w:val="none" w:sz="0" w:space="0" w:color="auto"/>
          </w:divBdr>
        </w:div>
        <w:div w:id="1585994393">
          <w:marLeft w:val="640"/>
          <w:marRight w:val="0"/>
          <w:marTop w:val="0"/>
          <w:marBottom w:val="0"/>
          <w:divBdr>
            <w:top w:val="none" w:sz="0" w:space="0" w:color="auto"/>
            <w:left w:val="none" w:sz="0" w:space="0" w:color="auto"/>
            <w:bottom w:val="none" w:sz="0" w:space="0" w:color="auto"/>
            <w:right w:val="none" w:sz="0" w:space="0" w:color="auto"/>
          </w:divBdr>
        </w:div>
        <w:div w:id="427697731">
          <w:marLeft w:val="640"/>
          <w:marRight w:val="0"/>
          <w:marTop w:val="0"/>
          <w:marBottom w:val="0"/>
          <w:divBdr>
            <w:top w:val="none" w:sz="0" w:space="0" w:color="auto"/>
            <w:left w:val="none" w:sz="0" w:space="0" w:color="auto"/>
            <w:bottom w:val="none" w:sz="0" w:space="0" w:color="auto"/>
            <w:right w:val="none" w:sz="0" w:space="0" w:color="auto"/>
          </w:divBdr>
        </w:div>
        <w:div w:id="1064065252">
          <w:marLeft w:val="640"/>
          <w:marRight w:val="0"/>
          <w:marTop w:val="0"/>
          <w:marBottom w:val="0"/>
          <w:divBdr>
            <w:top w:val="none" w:sz="0" w:space="0" w:color="auto"/>
            <w:left w:val="none" w:sz="0" w:space="0" w:color="auto"/>
            <w:bottom w:val="none" w:sz="0" w:space="0" w:color="auto"/>
            <w:right w:val="none" w:sz="0" w:space="0" w:color="auto"/>
          </w:divBdr>
        </w:div>
        <w:div w:id="315113426">
          <w:marLeft w:val="640"/>
          <w:marRight w:val="0"/>
          <w:marTop w:val="0"/>
          <w:marBottom w:val="0"/>
          <w:divBdr>
            <w:top w:val="none" w:sz="0" w:space="0" w:color="auto"/>
            <w:left w:val="none" w:sz="0" w:space="0" w:color="auto"/>
            <w:bottom w:val="none" w:sz="0" w:space="0" w:color="auto"/>
            <w:right w:val="none" w:sz="0" w:space="0" w:color="auto"/>
          </w:divBdr>
        </w:div>
        <w:div w:id="2071689779">
          <w:marLeft w:val="640"/>
          <w:marRight w:val="0"/>
          <w:marTop w:val="0"/>
          <w:marBottom w:val="0"/>
          <w:divBdr>
            <w:top w:val="none" w:sz="0" w:space="0" w:color="auto"/>
            <w:left w:val="none" w:sz="0" w:space="0" w:color="auto"/>
            <w:bottom w:val="none" w:sz="0" w:space="0" w:color="auto"/>
            <w:right w:val="none" w:sz="0" w:space="0" w:color="auto"/>
          </w:divBdr>
        </w:div>
        <w:div w:id="5257953">
          <w:marLeft w:val="640"/>
          <w:marRight w:val="0"/>
          <w:marTop w:val="0"/>
          <w:marBottom w:val="0"/>
          <w:divBdr>
            <w:top w:val="none" w:sz="0" w:space="0" w:color="auto"/>
            <w:left w:val="none" w:sz="0" w:space="0" w:color="auto"/>
            <w:bottom w:val="none" w:sz="0" w:space="0" w:color="auto"/>
            <w:right w:val="none" w:sz="0" w:space="0" w:color="auto"/>
          </w:divBdr>
        </w:div>
        <w:div w:id="353305339">
          <w:marLeft w:val="640"/>
          <w:marRight w:val="0"/>
          <w:marTop w:val="0"/>
          <w:marBottom w:val="0"/>
          <w:divBdr>
            <w:top w:val="none" w:sz="0" w:space="0" w:color="auto"/>
            <w:left w:val="none" w:sz="0" w:space="0" w:color="auto"/>
            <w:bottom w:val="none" w:sz="0" w:space="0" w:color="auto"/>
            <w:right w:val="none" w:sz="0" w:space="0" w:color="auto"/>
          </w:divBdr>
        </w:div>
        <w:div w:id="646477978">
          <w:marLeft w:val="640"/>
          <w:marRight w:val="0"/>
          <w:marTop w:val="0"/>
          <w:marBottom w:val="0"/>
          <w:divBdr>
            <w:top w:val="none" w:sz="0" w:space="0" w:color="auto"/>
            <w:left w:val="none" w:sz="0" w:space="0" w:color="auto"/>
            <w:bottom w:val="none" w:sz="0" w:space="0" w:color="auto"/>
            <w:right w:val="none" w:sz="0" w:space="0" w:color="auto"/>
          </w:divBdr>
        </w:div>
        <w:div w:id="40636294">
          <w:marLeft w:val="640"/>
          <w:marRight w:val="0"/>
          <w:marTop w:val="0"/>
          <w:marBottom w:val="0"/>
          <w:divBdr>
            <w:top w:val="none" w:sz="0" w:space="0" w:color="auto"/>
            <w:left w:val="none" w:sz="0" w:space="0" w:color="auto"/>
            <w:bottom w:val="none" w:sz="0" w:space="0" w:color="auto"/>
            <w:right w:val="none" w:sz="0" w:space="0" w:color="auto"/>
          </w:divBdr>
        </w:div>
        <w:div w:id="225144835">
          <w:marLeft w:val="640"/>
          <w:marRight w:val="0"/>
          <w:marTop w:val="0"/>
          <w:marBottom w:val="0"/>
          <w:divBdr>
            <w:top w:val="none" w:sz="0" w:space="0" w:color="auto"/>
            <w:left w:val="none" w:sz="0" w:space="0" w:color="auto"/>
            <w:bottom w:val="none" w:sz="0" w:space="0" w:color="auto"/>
            <w:right w:val="none" w:sz="0" w:space="0" w:color="auto"/>
          </w:divBdr>
        </w:div>
        <w:div w:id="1130130622">
          <w:marLeft w:val="640"/>
          <w:marRight w:val="0"/>
          <w:marTop w:val="0"/>
          <w:marBottom w:val="0"/>
          <w:divBdr>
            <w:top w:val="none" w:sz="0" w:space="0" w:color="auto"/>
            <w:left w:val="none" w:sz="0" w:space="0" w:color="auto"/>
            <w:bottom w:val="none" w:sz="0" w:space="0" w:color="auto"/>
            <w:right w:val="none" w:sz="0" w:space="0" w:color="auto"/>
          </w:divBdr>
        </w:div>
        <w:div w:id="930428455">
          <w:marLeft w:val="640"/>
          <w:marRight w:val="0"/>
          <w:marTop w:val="0"/>
          <w:marBottom w:val="0"/>
          <w:divBdr>
            <w:top w:val="none" w:sz="0" w:space="0" w:color="auto"/>
            <w:left w:val="none" w:sz="0" w:space="0" w:color="auto"/>
            <w:bottom w:val="none" w:sz="0" w:space="0" w:color="auto"/>
            <w:right w:val="none" w:sz="0" w:space="0" w:color="auto"/>
          </w:divBdr>
        </w:div>
        <w:div w:id="2010017509">
          <w:marLeft w:val="640"/>
          <w:marRight w:val="0"/>
          <w:marTop w:val="0"/>
          <w:marBottom w:val="0"/>
          <w:divBdr>
            <w:top w:val="none" w:sz="0" w:space="0" w:color="auto"/>
            <w:left w:val="none" w:sz="0" w:space="0" w:color="auto"/>
            <w:bottom w:val="none" w:sz="0" w:space="0" w:color="auto"/>
            <w:right w:val="none" w:sz="0" w:space="0" w:color="auto"/>
          </w:divBdr>
        </w:div>
        <w:div w:id="1342732011">
          <w:marLeft w:val="640"/>
          <w:marRight w:val="0"/>
          <w:marTop w:val="0"/>
          <w:marBottom w:val="0"/>
          <w:divBdr>
            <w:top w:val="none" w:sz="0" w:space="0" w:color="auto"/>
            <w:left w:val="none" w:sz="0" w:space="0" w:color="auto"/>
            <w:bottom w:val="none" w:sz="0" w:space="0" w:color="auto"/>
            <w:right w:val="none" w:sz="0" w:space="0" w:color="auto"/>
          </w:divBdr>
        </w:div>
        <w:div w:id="491065951">
          <w:marLeft w:val="640"/>
          <w:marRight w:val="0"/>
          <w:marTop w:val="0"/>
          <w:marBottom w:val="0"/>
          <w:divBdr>
            <w:top w:val="none" w:sz="0" w:space="0" w:color="auto"/>
            <w:left w:val="none" w:sz="0" w:space="0" w:color="auto"/>
            <w:bottom w:val="none" w:sz="0" w:space="0" w:color="auto"/>
            <w:right w:val="none" w:sz="0" w:space="0" w:color="auto"/>
          </w:divBdr>
        </w:div>
        <w:div w:id="627128695">
          <w:marLeft w:val="640"/>
          <w:marRight w:val="0"/>
          <w:marTop w:val="0"/>
          <w:marBottom w:val="0"/>
          <w:divBdr>
            <w:top w:val="none" w:sz="0" w:space="0" w:color="auto"/>
            <w:left w:val="none" w:sz="0" w:space="0" w:color="auto"/>
            <w:bottom w:val="none" w:sz="0" w:space="0" w:color="auto"/>
            <w:right w:val="none" w:sz="0" w:space="0" w:color="auto"/>
          </w:divBdr>
        </w:div>
        <w:div w:id="1558202148">
          <w:marLeft w:val="640"/>
          <w:marRight w:val="0"/>
          <w:marTop w:val="0"/>
          <w:marBottom w:val="0"/>
          <w:divBdr>
            <w:top w:val="none" w:sz="0" w:space="0" w:color="auto"/>
            <w:left w:val="none" w:sz="0" w:space="0" w:color="auto"/>
            <w:bottom w:val="none" w:sz="0" w:space="0" w:color="auto"/>
            <w:right w:val="none" w:sz="0" w:space="0" w:color="auto"/>
          </w:divBdr>
        </w:div>
        <w:div w:id="1644385350">
          <w:marLeft w:val="640"/>
          <w:marRight w:val="0"/>
          <w:marTop w:val="0"/>
          <w:marBottom w:val="0"/>
          <w:divBdr>
            <w:top w:val="none" w:sz="0" w:space="0" w:color="auto"/>
            <w:left w:val="none" w:sz="0" w:space="0" w:color="auto"/>
            <w:bottom w:val="none" w:sz="0" w:space="0" w:color="auto"/>
            <w:right w:val="none" w:sz="0" w:space="0" w:color="auto"/>
          </w:divBdr>
        </w:div>
        <w:div w:id="1516308503">
          <w:marLeft w:val="640"/>
          <w:marRight w:val="0"/>
          <w:marTop w:val="0"/>
          <w:marBottom w:val="0"/>
          <w:divBdr>
            <w:top w:val="none" w:sz="0" w:space="0" w:color="auto"/>
            <w:left w:val="none" w:sz="0" w:space="0" w:color="auto"/>
            <w:bottom w:val="none" w:sz="0" w:space="0" w:color="auto"/>
            <w:right w:val="none" w:sz="0" w:space="0" w:color="auto"/>
          </w:divBdr>
        </w:div>
        <w:div w:id="319430229">
          <w:marLeft w:val="640"/>
          <w:marRight w:val="0"/>
          <w:marTop w:val="0"/>
          <w:marBottom w:val="0"/>
          <w:divBdr>
            <w:top w:val="none" w:sz="0" w:space="0" w:color="auto"/>
            <w:left w:val="none" w:sz="0" w:space="0" w:color="auto"/>
            <w:bottom w:val="none" w:sz="0" w:space="0" w:color="auto"/>
            <w:right w:val="none" w:sz="0" w:space="0" w:color="auto"/>
          </w:divBdr>
        </w:div>
        <w:div w:id="1191407641">
          <w:marLeft w:val="640"/>
          <w:marRight w:val="0"/>
          <w:marTop w:val="0"/>
          <w:marBottom w:val="0"/>
          <w:divBdr>
            <w:top w:val="none" w:sz="0" w:space="0" w:color="auto"/>
            <w:left w:val="none" w:sz="0" w:space="0" w:color="auto"/>
            <w:bottom w:val="none" w:sz="0" w:space="0" w:color="auto"/>
            <w:right w:val="none" w:sz="0" w:space="0" w:color="auto"/>
          </w:divBdr>
        </w:div>
        <w:div w:id="1356345210">
          <w:marLeft w:val="640"/>
          <w:marRight w:val="0"/>
          <w:marTop w:val="0"/>
          <w:marBottom w:val="0"/>
          <w:divBdr>
            <w:top w:val="none" w:sz="0" w:space="0" w:color="auto"/>
            <w:left w:val="none" w:sz="0" w:space="0" w:color="auto"/>
            <w:bottom w:val="none" w:sz="0" w:space="0" w:color="auto"/>
            <w:right w:val="none" w:sz="0" w:space="0" w:color="auto"/>
          </w:divBdr>
        </w:div>
        <w:div w:id="2014335851">
          <w:marLeft w:val="640"/>
          <w:marRight w:val="0"/>
          <w:marTop w:val="0"/>
          <w:marBottom w:val="0"/>
          <w:divBdr>
            <w:top w:val="none" w:sz="0" w:space="0" w:color="auto"/>
            <w:left w:val="none" w:sz="0" w:space="0" w:color="auto"/>
            <w:bottom w:val="none" w:sz="0" w:space="0" w:color="auto"/>
            <w:right w:val="none" w:sz="0" w:space="0" w:color="auto"/>
          </w:divBdr>
        </w:div>
        <w:div w:id="1418942137">
          <w:marLeft w:val="640"/>
          <w:marRight w:val="0"/>
          <w:marTop w:val="0"/>
          <w:marBottom w:val="0"/>
          <w:divBdr>
            <w:top w:val="none" w:sz="0" w:space="0" w:color="auto"/>
            <w:left w:val="none" w:sz="0" w:space="0" w:color="auto"/>
            <w:bottom w:val="none" w:sz="0" w:space="0" w:color="auto"/>
            <w:right w:val="none" w:sz="0" w:space="0" w:color="auto"/>
          </w:divBdr>
        </w:div>
        <w:div w:id="1196653153">
          <w:marLeft w:val="640"/>
          <w:marRight w:val="0"/>
          <w:marTop w:val="0"/>
          <w:marBottom w:val="0"/>
          <w:divBdr>
            <w:top w:val="none" w:sz="0" w:space="0" w:color="auto"/>
            <w:left w:val="none" w:sz="0" w:space="0" w:color="auto"/>
            <w:bottom w:val="none" w:sz="0" w:space="0" w:color="auto"/>
            <w:right w:val="none" w:sz="0" w:space="0" w:color="auto"/>
          </w:divBdr>
        </w:div>
        <w:div w:id="366837634">
          <w:marLeft w:val="640"/>
          <w:marRight w:val="0"/>
          <w:marTop w:val="0"/>
          <w:marBottom w:val="0"/>
          <w:divBdr>
            <w:top w:val="none" w:sz="0" w:space="0" w:color="auto"/>
            <w:left w:val="none" w:sz="0" w:space="0" w:color="auto"/>
            <w:bottom w:val="none" w:sz="0" w:space="0" w:color="auto"/>
            <w:right w:val="none" w:sz="0" w:space="0" w:color="auto"/>
          </w:divBdr>
        </w:div>
        <w:div w:id="452290903">
          <w:marLeft w:val="640"/>
          <w:marRight w:val="0"/>
          <w:marTop w:val="0"/>
          <w:marBottom w:val="0"/>
          <w:divBdr>
            <w:top w:val="none" w:sz="0" w:space="0" w:color="auto"/>
            <w:left w:val="none" w:sz="0" w:space="0" w:color="auto"/>
            <w:bottom w:val="none" w:sz="0" w:space="0" w:color="auto"/>
            <w:right w:val="none" w:sz="0" w:space="0" w:color="auto"/>
          </w:divBdr>
        </w:div>
        <w:div w:id="1156841835">
          <w:marLeft w:val="640"/>
          <w:marRight w:val="0"/>
          <w:marTop w:val="0"/>
          <w:marBottom w:val="0"/>
          <w:divBdr>
            <w:top w:val="none" w:sz="0" w:space="0" w:color="auto"/>
            <w:left w:val="none" w:sz="0" w:space="0" w:color="auto"/>
            <w:bottom w:val="none" w:sz="0" w:space="0" w:color="auto"/>
            <w:right w:val="none" w:sz="0" w:space="0" w:color="auto"/>
          </w:divBdr>
        </w:div>
        <w:div w:id="1207789901">
          <w:marLeft w:val="640"/>
          <w:marRight w:val="0"/>
          <w:marTop w:val="0"/>
          <w:marBottom w:val="0"/>
          <w:divBdr>
            <w:top w:val="none" w:sz="0" w:space="0" w:color="auto"/>
            <w:left w:val="none" w:sz="0" w:space="0" w:color="auto"/>
            <w:bottom w:val="none" w:sz="0" w:space="0" w:color="auto"/>
            <w:right w:val="none" w:sz="0" w:space="0" w:color="auto"/>
          </w:divBdr>
        </w:div>
        <w:div w:id="399713955">
          <w:marLeft w:val="640"/>
          <w:marRight w:val="0"/>
          <w:marTop w:val="0"/>
          <w:marBottom w:val="0"/>
          <w:divBdr>
            <w:top w:val="none" w:sz="0" w:space="0" w:color="auto"/>
            <w:left w:val="none" w:sz="0" w:space="0" w:color="auto"/>
            <w:bottom w:val="none" w:sz="0" w:space="0" w:color="auto"/>
            <w:right w:val="none" w:sz="0" w:space="0" w:color="auto"/>
          </w:divBdr>
        </w:div>
        <w:div w:id="1926499088">
          <w:marLeft w:val="640"/>
          <w:marRight w:val="0"/>
          <w:marTop w:val="0"/>
          <w:marBottom w:val="0"/>
          <w:divBdr>
            <w:top w:val="none" w:sz="0" w:space="0" w:color="auto"/>
            <w:left w:val="none" w:sz="0" w:space="0" w:color="auto"/>
            <w:bottom w:val="none" w:sz="0" w:space="0" w:color="auto"/>
            <w:right w:val="none" w:sz="0" w:space="0" w:color="auto"/>
          </w:divBdr>
        </w:div>
        <w:div w:id="1641034889">
          <w:marLeft w:val="640"/>
          <w:marRight w:val="0"/>
          <w:marTop w:val="0"/>
          <w:marBottom w:val="0"/>
          <w:divBdr>
            <w:top w:val="none" w:sz="0" w:space="0" w:color="auto"/>
            <w:left w:val="none" w:sz="0" w:space="0" w:color="auto"/>
            <w:bottom w:val="none" w:sz="0" w:space="0" w:color="auto"/>
            <w:right w:val="none" w:sz="0" w:space="0" w:color="auto"/>
          </w:divBdr>
        </w:div>
        <w:div w:id="1843356253">
          <w:marLeft w:val="640"/>
          <w:marRight w:val="0"/>
          <w:marTop w:val="0"/>
          <w:marBottom w:val="0"/>
          <w:divBdr>
            <w:top w:val="none" w:sz="0" w:space="0" w:color="auto"/>
            <w:left w:val="none" w:sz="0" w:space="0" w:color="auto"/>
            <w:bottom w:val="none" w:sz="0" w:space="0" w:color="auto"/>
            <w:right w:val="none" w:sz="0" w:space="0" w:color="auto"/>
          </w:divBdr>
        </w:div>
        <w:div w:id="319888328">
          <w:marLeft w:val="640"/>
          <w:marRight w:val="0"/>
          <w:marTop w:val="0"/>
          <w:marBottom w:val="0"/>
          <w:divBdr>
            <w:top w:val="none" w:sz="0" w:space="0" w:color="auto"/>
            <w:left w:val="none" w:sz="0" w:space="0" w:color="auto"/>
            <w:bottom w:val="none" w:sz="0" w:space="0" w:color="auto"/>
            <w:right w:val="none" w:sz="0" w:space="0" w:color="auto"/>
          </w:divBdr>
        </w:div>
        <w:div w:id="1596403696">
          <w:marLeft w:val="640"/>
          <w:marRight w:val="0"/>
          <w:marTop w:val="0"/>
          <w:marBottom w:val="0"/>
          <w:divBdr>
            <w:top w:val="none" w:sz="0" w:space="0" w:color="auto"/>
            <w:left w:val="none" w:sz="0" w:space="0" w:color="auto"/>
            <w:bottom w:val="none" w:sz="0" w:space="0" w:color="auto"/>
            <w:right w:val="none" w:sz="0" w:space="0" w:color="auto"/>
          </w:divBdr>
        </w:div>
        <w:div w:id="1070421751">
          <w:marLeft w:val="640"/>
          <w:marRight w:val="0"/>
          <w:marTop w:val="0"/>
          <w:marBottom w:val="0"/>
          <w:divBdr>
            <w:top w:val="none" w:sz="0" w:space="0" w:color="auto"/>
            <w:left w:val="none" w:sz="0" w:space="0" w:color="auto"/>
            <w:bottom w:val="none" w:sz="0" w:space="0" w:color="auto"/>
            <w:right w:val="none" w:sz="0" w:space="0" w:color="auto"/>
          </w:divBdr>
        </w:div>
        <w:div w:id="878510454">
          <w:marLeft w:val="640"/>
          <w:marRight w:val="0"/>
          <w:marTop w:val="0"/>
          <w:marBottom w:val="0"/>
          <w:divBdr>
            <w:top w:val="none" w:sz="0" w:space="0" w:color="auto"/>
            <w:left w:val="none" w:sz="0" w:space="0" w:color="auto"/>
            <w:bottom w:val="none" w:sz="0" w:space="0" w:color="auto"/>
            <w:right w:val="none" w:sz="0" w:space="0" w:color="auto"/>
          </w:divBdr>
        </w:div>
        <w:div w:id="136920173">
          <w:marLeft w:val="640"/>
          <w:marRight w:val="0"/>
          <w:marTop w:val="0"/>
          <w:marBottom w:val="0"/>
          <w:divBdr>
            <w:top w:val="none" w:sz="0" w:space="0" w:color="auto"/>
            <w:left w:val="none" w:sz="0" w:space="0" w:color="auto"/>
            <w:bottom w:val="none" w:sz="0" w:space="0" w:color="auto"/>
            <w:right w:val="none" w:sz="0" w:space="0" w:color="auto"/>
          </w:divBdr>
        </w:div>
        <w:div w:id="1891915665">
          <w:marLeft w:val="640"/>
          <w:marRight w:val="0"/>
          <w:marTop w:val="0"/>
          <w:marBottom w:val="0"/>
          <w:divBdr>
            <w:top w:val="none" w:sz="0" w:space="0" w:color="auto"/>
            <w:left w:val="none" w:sz="0" w:space="0" w:color="auto"/>
            <w:bottom w:val="none" w:sz="0" w:space="0" w:color="auto"/>
            <w:right w:val="none" w:sz="0" w:space="0" w:color="auto"/>
          </w:divBdr>
        </w:div>
        <w:div w:id="388069220">
          <w:marLeft w:val="640"/>
          <w:marRight w:val="0"/>
          <w:marTop w:val="0"/>
          <w:marBottom w:val="0"/>
          <w:divBdr>
            <w:top w:val="none" w:sz="0" w:space="0" w:color="auto"/>
            <w:left w:val="none" w:sz="0" w:space="0" w:color="auto"/>
            <w:bottom w:val="none" w:sz="0" w:space="0" w:color="auto"/>
            <w:right w:val="none" w:sz="0" w:space="0" w:color="auto"/>
          </w:divBdr>
        </w:div>
        <w:div w:id="1159226578">
          <w:marLeft w:val="640"/>
          <w:marRight w:val="0"/>
          <w:marTop w:val="0"/>
          <w:marBottom w:val="0"/>
          <w:divBdr>
            <w:top w:val="none" w:sz="0" w:space="0" w:color="auto"/>
            <w:left w:val="none" w:sz="0" w:space="0" w:color="auto"/>
            <w:bottom w:val="none" w:sz="0" w:space="0" w:color="auto"/>
            <w:right w:val="none" w:sz="0" w:space="0" w:color="auto"/>
          </w:divBdr>
        </w:div>
        <w:div w:id="1541237545">
          <w:marLeft w:val="640"/>
          <w:marRight w:val="0"/>
          <w:marTop w:val="0"/>
          <w:marBottom w:val="0"/>
          <w:divBdr>
            <w:top w:val="none" w:sz="0" w:space="0" w:color="auto"/>
            <w:left w:val="none" w:sz="0" w:space="0" w:color="auto"/>
            <w:bottom w:val="none" w:sz="0" w:space="0" w:color="auto"/>
            <w:right w:val="none" w:sz="0" w:space="0" w:color="auto"/>
          </w:divBdr>
        </w:div>
        <w:div w:id="787700563">
          <w:marLeft w:val="640"/>
          <w:marRight w:val="0"/>
          <w:marTop w:val="0"/>
          <w:marBottom w:val="0"/>
          <w:divBdr>
            <w:top w:val="none" w:sz="0" w:space="0" w:color="auto"/>
            <w:left w:val="none" w:sz="0" w:space="0" w:color="auto"/>
            <w:bottom w:val="none" w:sz="0" w:space="0" w:color="auto"/>
            <w:right w:val="none" w:sz="0" w:space="0" w:color="auto"/>
          </w:divBdr>
        </w:div>
        <w:div w:id="1226136532">
          <w:marLeft w:val="640"/>
          <w:marRight w:val="0"/>
          <w:marTop w:val="0"/>
          <w:marBottom w:val="0"/>
          <w:divBdr>
            <w:top w:val="none" w:sz="0" w:space="0" w:color="auto"/>
            <w:left w:val="none" w:sz="0" w:space="0" w:color="auto"/>
            <w:bottom w:val="none" w:sz="0" w:space="0" w:color="auto"/>
            <w:right w:val="none" w:sz="0" w:space="0" w:color="auto"/>
          </w:divBdr>
        </w:div>
        <w:div w:id="1781489473">
          <w:marLeft w:val="640"/>
          <w:marRight w:val="0"/>
          <w:marTop w:val="0"/>
          <w:marBottom w:val="0"/>
          <w:divBdr>
            <w:top w:val="none" w:sz="0" w:space="0" w:color="auto"/>
            <w:left w:val="none" w:sz="0" w:space="0" w:color="auto"/>
            <w:bottom w:val="none" w:sz="0" w:space="0" w:color="auto"/>
            <w:right w:val="none" w:sz="0" w:space="0" w:color="auto"/>
          </w:divBdr>
        </w:div>
        <w:div w:id="1978873483">
          <w:marLeft w:val="640"/>
          <w:marRight w:val="0"/>
          <w:marTop w:val="0"/>
          <w:marBottom w:val="0"/>
          <w:divBdr>
            <w:top w:val="none" w:sz="0" w:space="0" w:color="auto"/>
            <w:left w:val="none" w:sz="0" w:space="0" w:color="auto"/>
            <w:bottom w:val="none" w:sz="0" w:space="0" w:color="auto"/>
            <w:right w:val="none" w:sz="0" w:space="0" w:color="auto"/>
          </w:divBdr>
        </w:div>
        <w:div w:id="1071849278">
          <w:marLeft w:val="640"/>
          <w:marRight w:val="0"/>
          <w:marTop w:val="0"/>
          <w:marBottom w:val="0"/>
          <w:divBdr>
            <w:top w:val="none" w:sz="0" w:space="0" w:color="auto"/>
            <w:left w:val="none" w:sz="0" w:space="0" w:color="auto"/>
            <w:bottom w:val="none" w:sz="0" w:space="0" w:color="auto"/>
            <w:right w:val="none" w:sz="0" w:space="0" w:color="auto"/>
          </w:divBdr>
        </w:div>
        <w:div w:id="1003699335">
          <w:marLeft w:val="640"/>
          <w:marRight w:val="0"/>
          <w:marTop w:val="0"/>
          <w:marBottom w:val="0"/>
          <w:divBdr>
            <w:top w:val="none" w:sz="0" w:space="0" w:color="auto"/>
            <w:left w:val="none" w:sz="0" w:space="0" w:color="auto"/>
            <w:bottom w:val="none" w:sz="0" w:space="0" w:color="auto"/>
            <w:right w:val="none" w:sz="0" w:space="0" w:color="auto"/>
          </w:divBdr>
        </w:div>
        <w:div w:id="54396954">
          <w:marLeft w:val="640"/>
          <w:marRight w:val="0"/>
          <w:marTop w:val="0"/>
          <w:marBottom w:val="0"/>
          <w:divBdr>
            <w:top w:val="none" w:sz="0" w:space="0" w:color="auto"/>
            <w:left w:val="none" w:sz="0" w:space="0" w:color="auto"/>
            <w:bottom w:val="none" w:sz="0" w:space="0" w:color="auto"/>
            <w:right w:val="none" w:sz="0" w:space="0" w:color="auto"/>
          </w:divBdr>
        </w:div>
        <w:div w:id="1797261647">
          <w:marLeft w:val="640"/>
          <w:marRight w:val="0"/>
          <w:marTop w:val="0"/>
          <w:marBottom w:val="0"/>
          <w:divBdr>
            <w:top w:val="none" w:sz="0" w:space="0" w:color="auto"/>
            <w:left w:val="none" w:sz="0" w:space="0" w:color="auto"/>
            <w:bottom w:val="none" w:sz="0" w:space="0" w:color="auto"/>
            <w:right w:val="none" w:sz="0" w:space="0" w:color="auto"/>
          </w:divBdr>
        </w:div>
        <w:div w:id="1570462084">
          <w:marLeft w:val="640"/>
          <w:marRight w:val="0"/>
          <w:marTop w:val="0"/>
          <w:marBottom w:val="0"/>
          <w:divBdr>
            <w:top w:val="none" w:sz="0" w:space="0" w:color="auto"/>
            <w:left w:val="none" w:sz="0" w:space="0" w:color="auto"/>
            <w:bottom w:val="none" w:sz="0" w:space="0" w:color="auto"/>
            <w:right w:val="none" w:sz="0" w:space="0" w:color="auto"/>
          </w:divBdr>
        </w:div>
        <w:div w:id="1088235024">
          <w:marLeft w:val="640"/>
          <w:marRight w:val="0"/>
          <w:marTop w:val="0"/>
          <w:marBottom w:val="0"/>
          <w:divBdr>
            <w:top w:val="none" w:sz="0" w:space="0" w:color="auto"/>
            <w:left w:val="none" w:sz="0" w:space="0" w:color="auto"/>
            <w:bottom w:val="none" w:sz="0" w:space="0" w:color="auto"/>
            <w:right w:val="none" w:sz="0" w:space="0" w:color="auto"/>
          </w:divBdr>
        </w:div>
        <w:div w:id="1598951539">
          <w:marLeft w:val="640"/>
          <w:marRight w:val="0"/>
          <w:marTop w:val="0"/>
          <w:marBottom w:val="0"/>
          <w:divBdr>
            <w:top w:val="none" w:sz="0" w:space="0" w:color="auto"/>
            <w:left w:val="none" w:sz="0" w:space="0" w:color="auto"/>
            <w:bottom w:val="none" w:sz="0" w:space="0" w:color="auto"/>
            <w:right w:val="none" w:sz="0" w:space="0" w:color="auto"/>
          </w:divBdr>
        </w:div>
        <w:div w:id="794712745">
          <w:marLeft w:val="640"/>
          <w:marRight w:val="0"/>
          <w:marTop w:val="0"/>
          <w:marBottom w:val="0"/>
          <w:divBdr>
            <w:top w:val="none" w:sz="0" w:space="0" w:color="auto"/>
            <w:left w:val="none" w:sz="0" w:space="0" w:color="auto"/>
            <w:bottom w:val="none" w:sz="0" w:space="0" w:color="auto"/>
            <w:right w:val="none" w:sz="0" w:space="0" w:color="auto"/>
          </w:divBdr>
        </w:div>
        <w:div w:id="469521119">
          <w:marLeft w:val="640"/>
          <w:marRight w:val="0"/>
          <w:marTop w:val="0"/>
          <w:marBottom w:val="0"/>
          <w:divBdr>
            <w:top w:val="none" w:sz="0" w:space="0" w:color="auto"/>
            <w:left w:val="none" w:sz="0" w:space="0" w:color="auto"/>
            <w:bottom w:val="none" w:sz="0" w:space="0" w:color="auto"/>
            <w:right w:val="none" w:sz="0" w:space="0" w:color="auto"/>
          </w:divBdr>
        </w:div>
        <w:div w:id="1337346317">
          <w:marLeft w:val="640"/>
          <w:marRight w:val="0"/>
          <w:marTop w:val="0"/>
          <w:marBottom w:val="0"/>
          <w:divBdr>
            <w:top w:val="none" w:sz="0" w:space="0" w:color="auto"/>
            <w:left w:val="none" w:sz="0" w:space="0" w:color="auto"/>
            <w:bottom w:val="none" w:sz="0" w:space="0" w:color="auto"/>
            <w:right w:val="none" w:sz="0" w:space="0" w:color="auto"/>
          </w:divBdr>
        </w:div>
        <w:div w:id="1207370903">
          <w:marLeft w:val="640"/>
          <w:marRight w:val="0"/>
          <w:marTop w:val="0"/>
          <w:marBottom w:val="0"/>
          <w:divBdr>
            <w:top w:val="none" w:sz="0" w:space="0" w:color="auto"/>
            <w:left w:val="none" w:sz="0" w:space="0" w:color="auto"/>
            <w:bottom w:val="none" w:sz="0" w:space="0" w:color="auto"/>
            <w:right w:val="none" w:sz="0" w:space="0" w:color="auto"/>
          </w:divBdr>
        </w:div>
        <w:div w:id="732779074">
          <w:marLeft w:val="640"/>
          <w:marRight w:val="0"/>
          <w:marTop w:val="0"/>
          <w:marBottom w:val="0"/>
          <w:divBdr>
            <w:top w:val="none" w:sz="0" w:space="0" w:color="auto"/>
            <w:left w:val="none" w:sz="0" w:space="0" w:color="auto"/>
            <w:bottom w:val="none" w:sz="0" w:space="0" w:color="auto"/>
            <w:right w:val="none" w:sz="0" w:space="0" w:color="auto"/>
          </w:divBdr>
        </w:div>
        <w:div w:id="219756202">
          <w:marLeft w:val="640"/>
          <w:marRight w:val="0"/>
          <w:marTop w:val="0"/>
          <w:marBottom w:val="0"/>
          <w:divBdr>
            <w:top w:val="none" w:sz="0" w:space="0" w:color="auto"/>
            <w:left w:val="none" w:sz="0" w:space="0" w:color="auto"/>
            <w:bottom w:val="none" w:sz="0" w:space="0" w:color="auto"/>
            <w:right w:val="none" w:sz="0" w:space="0" w:color="auto"/>
          </w:divBdr>
        </w:div>
        <w:div w:id="548538362">
          <w:marLeft w:val="640"/>
          <w:marRight w:val="0"/>
          <w:marTop w:val="0"/>
          <w:marBottom w:val="0"/>
          <w:divBdr>
            <w:top w:val="none" w:sz="0" w:space="0" w:color="auto"/>
            <w:left w:val="none" w:sz="0" w:space="0" w:color="auto"/>
            <w:bottom w:val="none" w:sz="0" w:space="0" w:color="auto"/>
            <w:right w:val="none" w:sz="0" w:space="0" w:color="auto"/>
          </w:divBdr>
        </w:div>
        <w:div w:id="1198591811">
          <w:marLeft w:val="640"/>
          <w:marRight w:val="0"/>
          <w:marTop w:val="0"/>
          <w:marBottom w:val="0"/>
          <w:divBdr>
            <w:top w:val="none" w:sz="0" w:space="0" w:color="auto"/>
            <w:left w:val="none" w:sz="0" w:space="0" w:color="auto"/>
            <w:bottom w:val="none" w:sz="0" w:space="0" w:color="auto"/>
            <w:right w:val="none" w:sz="0" w:space="0" w:color="auto"/>
          </w:divBdr>
        </w:div>
        <w:div w:id="1209147512">
          <w:marLeft w:val="640"/>
          <w:marRight w:val="0"/>
          <w:marTop w:val="0"/>
          <w:marBottom w:val="0"/>
          <w:divBdr>
            <w:top w:val="none" w:sz="0" w:space="0" w:color="auto"/>
            <w:left w:val="none" w:sz="0" w:space="0" w:color="auto"/>
            <w:bottom w:val="none" w:sz="0" w:space="0" w:color="auto"/>
            <w:right w:val="none" w:sz="0" w:space="0" w:color="auto"/>
          </w:divBdr>
        </w:div>
        <w:div w:id="1443914542">
          <w:marLeft w:val="640"/>
          <w:marRight w:val="0"/>
          <w:marTop w:val="0"/>
          <w:marBottom w:val="0"/>
          <w:divBdr>
            <w:top w:val="none" w:sz="0" w:space="0" w:color="auto"/>
            <w:left w:val="none" w:sz="0" w:space="0" w:color="auto"/>
            <w:bottom w:val="none" w:sz="0" w:space="0" w:color="auto"/>
            <w:right w:val="none" w:sz="0" w:space="0" w:color="auto"/>
          </w:divBdr>
        </w:div>
        <w:div w:id="1571622127">
          <w:marLeft w:val="640"/>
          <w:marRight w:val="0"/>
          <w:marTop w:val="0"/>
          <w:marBottom w:val="0"/>
          <w:divBdr>
            <w:top w:val="none" w:sz="0" w:space="0" w:color="auto"/>
            <w:left w:val="none" w:sz="0" w:space="0" w:color="auto"/>
            <w:bottom w:val="none" w:sz="0" w:space="0" w:color="auto"/>
            <w:right w:val="none" w:sz="0" w:space="0" w:color="auto"/>
          </w:divBdr>
        </w:div>
        <w:div w:id="1744638823">
          <w:marLeft w:val="640"/>
          <w:marRight w:val="0"/>
          <w:marTop w:val="0"/>
          <w:marBottom w:val="0"/>
          <w:divBdr>
            <w:top w:val="none" w:sz="0" w:space="0" w:color="auto"/>
            <w:left w:val="none" w:sz="0" w:space="0" w:color="auto"/>
            <w:bottom w:val="none" w:sz="0" w:space="0" w:color="auto"/>
            <w:right w:val="none" w:sz="0" w:space="0" w:color="auto"/>
          </w:divBdr>
        </w:div>
        <w:div w:id="636689562">
          <w:marLeft w:val="640"/>
          <w:marRight w:val="0"/>
          <w:marTop w:val="0"/>
          <w:marBottom w:val="0"/>
          <w:divBdr>
            <w:top w:val="none" w:sz="0" w:space="0" w:color="auto"/>
            <w:left w:val="none" w:sz="0" w:space="0" w:color="auto"/>
            <w:bottom w:val="none" w:sz="0" w:space="0" w:color="auto"/>
            <w:right w:val="none" w:sz="0" w:space="0" w:color="auto"/>
          </w:divBdr>
        </w:div>
        <w:div w:id="318272593">
          <w:marLeft w:val="640"/>
          <w:marRight w:val="0"/>
          <w:marTop w:val="0"/>
          <w:marBottom w:val="0"/>
          <w:divBdr>
            <w:top w:val="none" w:sz="0" w:space="0" w:color="auto"/>
            <w:left w:val="none" w:sz="0" w:space="0" w:color="auto"/>
            <w:bottom w:val="none" w:sz="0" w:space="0" w:color="auto"/>
            <w:right w:val="none" w:sz="0" w:space="0" w:color="auto"/>
          </w:divBdr>
        </w:div>
        <w:div w:id="886796498">
          <w:marLeft w:val="640"/>
          <w:marRight w:val="0"/>
          <w:marTop w:val="0"/>
          <w:marBottom w:val="0"/>
          <w:divBdr>
            <w:top w:val="none" w:sz="0" w:space="0" w:color="auto"/>
            <w:left w:val="none" w:sz="0" w:space="0" w:color="auto"/>
            <w:bottom w:val="none" w:sz="0" w:space="0" w:color="auto"/>
            <w:right w:val="none" w:sz="0" w:space="0" w:color="auto"/>
          </w:divBdr>
        </w:div>
        <w:div w:id="964428060">
          <w:marLeft w:val="640"/>
          <w:marRight w:val="0"/>
          <w:marTop w:val="0"/>
          <w:marBottom w:val="0"/>
          <w:divBdr>
            <w:top w:val="none" w:sz="0" w:space="0" w:color="auto"/>
            <w:left w:val="none" w:sz="0" w:space="0" w:color="auto"/>
            <w:bottom w:val="none" w:sz="0" w:space="0" w:color="auto"/>
            <w:right w:val="none" w:sz="0" w:space="0" w:color="auto"/>
          </w:divBdr>
        </w:div>
        <w:div w:id="2106263499">
          <w:marLeft w:val="640"/>
          <w:marRight w:val="0"/>
          <w:marTop w:val="0"/>
          <w:marBottom w:val="0"/>
          <w:divBdr>
            <w:top w:val="none" w:sz="0" w:space="0" w:color="auto"/>
            <w:left w:val="none" w:sz="0" w:space="0" w:color="auto"/>
            <w:bottom w:val="none" w:sz="0" w:space="0" w:color="auto"/>
            <w:right w:val="none" w:sz="0" w:space="0" w:color="auto"/>
          </w:divBdr>
        </w:div>
        <w:div w:id="802775355">
          <w:marLeft w:val="640"/>
          <w:marRight w:val="0"/>
          <w:marTop w:val="0"/>
          <w:marBottom w:val="0"/>
          <w:divBdr>
            <w:top w:val="none" w:sz="0" w:space="0" w:color="auto"/>
            <w:left w:val="none" w:sz="0" w:space="0" w:color="auto"/>
            <w:bottom w:val="none" w:sz="0" w:space="0" w:color="auto"/>
            <w:right w:val="none" w:sz="0" w:space="0" w:color="auto"/>
          </w:divBdr>
        </w:div>
        <w:div w:id="1519074898">
          <w:marLeft w:val="640"/>
          <w:marRight w:val="0"/>
          <w:marTop w:val="0"/>
          <w:marBottom w:val="0"/>
          <w:divBdr>
            <w:top w:val="none" w:sz="0" w:space="0" w:color="auto"/>
            <w:left w:val="none" w:sz="0" w:space="0" w:color="auto"/>
            <w:bottom w:val="none" w:sz="0" w:space="0" w:color="auto"/>
            <w:right w:val="none" w:sz="0" w:space="0" w:color="auto"/>
          </w:divBdr>
        </w:div>
        <w:div w:id="1493109430">
          <w:marLeft w:val="640"/>
          <w:marRight w:val="0"/>
          <w:marTop w:val="0"/>
          <w:marBottom w:val="0"/>
          <w:divBdr>
            <w:top w:val="none" w:sz="0" w:space="0" w:color="auto"/>
            <w:left w:val="none" w:sz="0" w:space="0" w:color="auto"/>
            <w:bottom w:val="none" w:sz="0" w:space="0" w:color="auto"/>
            <w:right w:val="none" w:sz="0" w:space="0" w:color="auto"/>
          </w:divBdr>
        </w:div>
        <w:div w:id="107894754">
          <w:marLeft w:val="640"/>
          <w:marRight w:val="0"/>
          <w:marTop w:val="0"/>
          <w:marBottom w:val="0"/>
          <w:divBdr>
            <w:top w:val="none" w:sz="0" w:space="0" w:color="auto"/>
            <w:left w:val="none" w:sz="0" w:space="0" w:color="auto"/>
            <w:bottom w:val="none" w:sz="0" w:space="0" w:color="auto"/>
            <w:right w:val="none" w:sz="0" w:space="0" w:color="auto"/>
          </w:divBdr>
        </w:div>
        <w:div w:id="936595179">
          <w:marLeft w:val="640"/>
          <w:marRight w:val="0"/>
          <w:marTop w:val="0"/>
          <w:marBottom w:val="0"/>
          <w:divBdr>
            <w:top w:val="none" w:sz="0" w:space="0" w:color="auto"/>
            <w:left w:val="none" w:sz="0" w:space="0" w:color="auto"/>
            <w:bottom w:val="none" w:sz="0" w:space="0" w:color="auto"/>
            <w:right w:val="none" w:sz="0" w:space="0" w:color="auto"/>
          </w:divBdr>
        </w:div>
        <w:div w:id="1061951923">
          <w:marLeft w:val="640"/>
          <w:marRight w:val="0"/>
          <w:marTop w:val="0"/>
          <w:marBottom w:val="0"/>
          <w:divBdr>
            <w:top w:val="none" w:sz="0" w:space="0" w:color="auto"/>
            <w:left w:val="none" w:sz="0" w:space="0" w:color="auto"/>
            <w:bottom w:val="none" w:sz="0" w:space="0" w:color="auto"/>
            <w:right w:val="none" w:sz="0" w:space="0" w:color="auto"/>
          </w:divBdr>
        </w:div>
        <w:div w:id="1880773499">
          <w:marLeft w:val="640"/>
          <w:marRight w:val="0"/>
          <w:marTop w:val="0"/>
          <w:marBottom w:val="0"/>
          <w:divBdr>
            <w:top w:val="none" w:sz="0" w:space="0" w:color="auto"/>
            <w:left w:val="none" w:sz="0" w:space="0" w:color="auto"/>
            <w:bottom w:val="none" w:sz="0" w:space="0" w:color="auto"/>
            <w:right w:val="none" w:sz="0" w:space="0" w:color="auto"/>
          </w:divBdr>
        </w:div>
        <w:div w:id="1480686446">
          <w:marLeft w:val="640"/>
          <w:marRight w:val="0"/>
          <w:marTop w:val="0"/>
          <w:marBottom w:val="0"/>
          <w:divBdr>
            <w:top w:val="none" w:sz="0" w:space="0" w:color="auto"/>
            <w:left w:val="none" w:sz="0" w:space="0" w:color="auto"/>
            <w:bottom w:val="none" w:sz="0" w:space="0" w:color="auto"/>
            <w:right w:val="none" w:sz="0" w:space="0" w:color="auto"/>
          </w:divBdr>
        </w:div>
        <w:div w:id="1958363950">
          <w:marLeft w:val="640"/>
          <w:marRight w:val="0"/>
          <w:marTop w:val="0"/>
          <w:marBottom w:val="0"/>
          <w:divBdr>
            <w:top w:val="none" w:sz="0" w:space="0" w:color="auto"/>
            <w:left w:val="none" w:sz="0" w:space="0" w:color="auto"/>
            <w:bottom w:val="none" w:sz="0" w:space="0" w:color="auto"/>
            <w:right w:val="none" w:sz="0" w:space="0" w:color="auto"/>
          </w:divBdr>
        </w:div>
        <w:div w:id="1798792250">
          <w:marLeft w:val="640"/>
          <w:marRight w:val="0"/>
          <w:marTop w:val="0"/>
          <w:marBottom w:val="0"/>
          <w:divBdr>
            <w:top w:val="none" w:sz="0" w:space="0" w:color="auto"/>
            <w:left w:val="none" w:sz="0" w:space="0" w:color="auto"/>
            <w:bottom w:val="none" w:sz="0" w:space="0" w:color="auto"/>
            <w:right w:val="none" w:sz="0" w:space="0" w:color="auto"/>
          </w:divBdr>
        </w:div>
        <w:div w:id="1160081159">
          <w:marLeft w:val="640"/>
          <w:marRight w:val="0"/>
          <w:marTop w:val="0"/>
          <w:marBottom w:val="0"/>
          <w:divBdr>
            <w:top w:val="none" w:sz="0" w:space="0" w:color="auto"/>
            <w:left w:val="none" w:sz="0" w:space="0" w:color="auto"/>
            <w:bottom w:val="none" w:sz="0" w:space="0" w:color="auto"/>
            <w:right w:val="none" w:sz="0" w:space="0" w:color="auto"/>
          </w:divBdr>
        </w:div>
        <w:div w:id="1142428162">
          <w:marLeft w:val="640"/>
          <w:marRight w:val="0"/>
          <w:marTop w:val="0"/>
          <w:marBottom w:val="0"/>
          <w:divBdr>
            <w:top w:val="none" w:sz="0" w:space="0" w:color="auto"/>
            <w:left w:val="none" w:sz="0" w:space="0" w:color="auto"/>
            <w:bottom w:val="none" w:sz="0" w:space="0" w:color="auto"/>
            <w:right w:val="none" w:sz="0" w:space="0" w:color="auto"/>
          </w:divBdr>
        </w:div>
        <w:div w:id="1528640651">
          <w:marLeft w:val="640"/>
          <w:marRight w:val="0"/>
          <w:marTop w:val="0"/>
          <w:marBottom w:val="0"/>
          <w:divBdr>
            <w:top w:val="none" w:sz="0" w:space="0" w:color="auto"/>
            <w:left w:val="none" w:sz="0" w:space="0" w:color="auto"/>
            <w:bottom w:val="none" w:sz="0" w:space="0" w:color="auto"/>
            <w:right w:val="none" w:sz="0" w:space="0" w:color="auto"/>
          </w:divBdr>
        </w:div>
        <w:div w:id="540023859">
          <w:marLeft w:val="640"/>
          <w:marRight w:val="0"/>
          <w:marTop w:val="0"/>
          <w:marBottom w:val="0"/>
          <w:divBdr>
            <w:top w:val="none" w:sz="0" w:space="0" w:color="auto"/>
            <w:left w:val="none" w:sz="0" w:space="0" w:color="auto"/>
            <w:bottom w:val="none" w:sz="0" w:space="0" w:color="auto"/>
            <w:right w:val="none" w:sz="0" w:space="0" w:color="auto"/>
          </w:divBdr>
        </w:div>
        <w:div w:id="166405983">
          <w:marLeft w:val="640"/>
          <w:marRight w:val="0"/>
          <w:marTop w:val="0"/>
          <w:marBottom w:val="0"/>
          <w:divBdr>
            <w:top w:val="none" w:sz="0" w:space="0" w:color="auto"/>
            <w:left w:val="none" w:sz="0" w:space="0" w:color="auto"/>
            <w:bottom w:val="none" w:sz="0" w:space="0" w:color="auto"/>
            <w:right w:val="none" w:sz="0" w:space="0" w:color="auto"/>
          </w:divBdr>
        </w:div>
        <w:div w:id="98112411">
          <w:marLeft w:val="640"/>
          <w:marRight w:val="0"/>
          <w:marTop w:val="0"/>
          <w:marBottom w:val="0"/>
          <w:divBdr>
            <w:top w:val="none" w:sz="0" w:space="0" w:color="auto"/>
            <w:left w:val="none" w:sz="0" w:space="0" w:color="auto"/>
            <w:bottom w:val="none" w:sz="0" w:space="0" w:color="auto"/>
            <w:right w:val="none" w:sz="0" w:space="0" w:color="auto"/>
          </w:divBdr>
        </w:div>
        <w:div w:id="803277522">
          <w:marLeft w:val="640"/>
          <w:marRight w:val="0"/>
          <w:marTop w:val="0"/>
          <w:marBottom w:val="0"/>
          <w:divBdr>
            <w:top w:val="none" w:sz="0" w:space="0" w:color="auto"/>
            <w:left w:val="none" w:sz="0" w:space="0" w:color="auto"/>
            <w:bottom w:val="none" w:sz="0" w:space="0" w:color="auto"/>
            <w:right w:val="none" w:sz="0" w:space="0" w:color="auto"/>
          </w:divBdr>
        </w:div>
        <w:div w:id="1946764896">
          <w:marLeft w:val="640"/>
          <w:marRight w:val="0"/>
          <w:marTop w:val="0"/>
          <w:marBottom w:val="0"/>
          <w:divBdr>
            <w:top w:val="none" w:sz="0" w:space="0" w:color="auto"/>
            <w:left w:val="none" w:sz="0" w:space="0" w:color="auto"/>
            <w:bottom w:val="none" w:sz="0" w:space="0" w:color="auto"/>
            <w:right w:val="none" w:sz="0" w:space="0" w:color="auto"/>
          </w:divBdr>
        </w:div>
        <w:div w:id="854809400">
          <w:marLeft w:val="640"/>
          <w:marRight w:val="0"/>
          <w:marTop w:val="0"/>
          <w:marBottom w:val="0"/>
          <w:divBdr>
            <w:top w:val="none" w:sz="0" w:space="0" w:color="auto"/>
            <w:left w:val="none" w:sz="0" w:space="0" w:color="auto"/>
            <w:bottom w:val="none" w:sz="0" w:space="0" w:color="auto"/>
            <w:right w:val="none" w:sz="0" w:space="0" w:color="auto"/>
          </w:divBdr>
        </w:div>
        <w:div w:id="864631466">
          <w:marLeft w:val="640"/>
          <w:marRight w:val="0"/>
          <w:marTop w:val="0"/>
          <w:marBottom w:val="0"/>
          <w:divBdr>
            <w:top w:val="none" w:sz="0" w:space="0" w:color="auto"/>
            <w:left w:val="none" w:sz="0" w:space="0" w:color="auto"/>
            <w:bottom w:val="none" w:sz="0" w:space="0" w:color="auto"/>
            <w:right w:val="none" w:sz="0" w:space="0" w:color="auto"/>
          </w:divBdr>
        </w:div>
        <w:div w:id="718629026">
          <w:marLeft w:val="640"/>
          <w:marRight w:val="0"/>
          <w:marTop w:val="0"/>
          <w:marBottom w:val="0"/>
          <w:divBdr>
            <w:top w:val="none" w:sz="0" w:space="0" w:color="auto"/>
            <w:left w:val="none" w:sz="0" w:space="0" w:color="auto"/>
            <w:bottom w:val="none" w:sz="0" w:space="0" w:color="auto"/>
            <w:right w:val="none" w:sz="0" w:space="0" w:color="auto"/>
          </w:divBdr>
        </w:div>
        <w:div w:id="816145616">
          <w:marLeft w:val="640"/>
          <w:marRight w:val="0"/>
          <w:marTop w:val="0"/>
          <w:marBottom w:val="0"/>
          <w:divBdr>
            <w:top w:val="none" w:sz="0" w:space="0" w:color="auto"/>
            <w:left w:val="none" w:sz="0" w:space="0" w:color="auto"/>
            <w:bottom w:val="none" w:sz="0" w:space="0" w:color="auto"/>
            <w:right w:val="none" w:sz="0" w:space="0" w:color="auto"/>
          </w:divBdr>
        </w:div>
        <w:div w:id="191698675">
          <w:marLeft w:val="640"/>
          <w:marRight w:val="0"/>
          <w:marTop w:val="0"/>
          <w:marBottom w:val="0"/>
          <w:divBdr>
            <w:top w:val="none" w:sz="0" w:space="0" w:color="auto"/>
            <w:left w:val="none" w:sz="0" w:space="0" w:color="auto"/>
            <w:bottom w:val="none" w:sz="0" w:space="0" w:color="auto"/>
            <w:right w:val="none" w:sz="0" w:space="0" w:color="auto"/>
          </w:divBdr>
        </w:div>
        <w:div w:id="994379138">
          <w:marLeft w:val="640"/>
          <w:marRight w:val="0"/>
          <w:marTop w:val="0"/>
          <w:marBottom w:val="0"/>
          <w:divBdr>
            <w:top w:val="none" w:sz="0" w:space="0" w:color="auto"/>
            <w:left w:val="none" w:sz="0" w:space="0" w:color="auto"/>
            <w:bottom w:val="none" w:sz="0" w:space="0" w:color="auto"/>
            <w:right w:val="none" w:sz="0" w:space="0" w:color="auto"/>
          </w:divBdr>
        </w:div>
        <w:div w:id="1052189631">
          <w:marLeft w:val="640"/>
          <w:marRight w:val="0"/>
          <w:marTop w:val="0"/>
          <w:marBottom w:val="0"/>
          <w:divBdr>
            <w:top w:val="none" w:sz="0" w:space="0" w:color="auto"/>
            <w:left w:val="none" w:sz="0" w:space="0" w:color="auto"/>
            <w:bottom w:val="none" w:sz="0" w:space="0" w:color="auto"/>
            <w:right w:val="none" w:sz="0" w:space="0" w:color="auto"/>
          </w:divBdr>
        </w:div>
        <w:div w:id="831333283">
          <w:marLeft w:val="640"/>
          <w:marRight w:val="0"/>
          <w:marTop w:val="0"/>
          <w:marBottom w:val="0"/>
          <w:divBdr>
            <w:top w:val="none" w:sz="0" w:space="0" w:color="auto"/>
            <w:left w:val="none" w:sz="0" w:space="0" w:color="auto"/>
            <w:bottom w:val="none" w:sz="0" w:space="0" w:color="auto"/>
            <w:right w:val="none" w:sz="0" w:space="0" w:color="auto"/>
          </w:divBdr>
        </w:div>
        <w:div w:id="2037584325">
          <w:marLeft w:val="640"/>
          <w:marRight w:val="0"/>
          <w:marTop w:val="0"/>
          <w:marBottom w:val="0"/>
          <w:divBdr>
            <w:top w:val="none" w:sz="0" w:space="0" w:color="auto"/>
            <w:left w:val="none" w:sz="0" w:space="0" w:color="auto"/>
            <w:bottom w:val="none" w:sz="0" w:space="0" w:color="auto"/>
            <w:right w:val="none" w:sz="0" w:space="0" w:color="auto"/>
          </w:divBdr>
        </w:div>
        <w:div w:id="104926238">
          <w:marLeft w:val="640"/>
          <w:marRight w:val="0"/>
          <w:marTop w:val="0"/>
          <w:marBottom w:val="0"/>
          <w:divBdr>
            <w:top w:val="none" w:sz="0" w:space="0" w:color="auto"/>
            <w:left w:val="none" w:sz="0" w:space="0" w:color="auto"/>
            <w:bottom w:val="none" w:sz="0" w:space="0" w:color="auto"/>
            <w:right w:val="none" w:sz="0" w:space="0" w:color="auto"/>
          </w:divBdr>
        </w:div>
        <w:div w:id="633102698">
          <w:marLeft w:val="640"/>
          <w:marRight w:val="0"/>
          <w:marTop w:val="0"/>
          <w:marBottom w:val="0"/>
          <w:divBdr>
            <w:top w:val="none" w:sz="0" w:space="0" w:color="auto"/>
            <w:left w:val="none" w:sz="0" w:space="0" w:color="auto"/>
            <w:bottom w:val="none" w:sz="0" w:space="0" w:color="auto"/>
            <w:right w:val="none" w:sz="0" w:space="0" w:color="auto"/>
          </w:divBdr>
        </w:div>
        <w:div w:id="766654023">
          <w:marLeft w:val="640"/>
          <w:marRight w:val="0"/>
          <w:marTop w:val="0"/>
          <w:marBottom w:val="0"/>
          <w:divBdr>
            <w:top w:val="none" w:sz="0" w:space="0" w:color="auto"/>
            <w:left w:val="none" w:sz="0" w:space="0" w:color="auto"/>
            <w:bottom w:val="none" w:sz="0" w:space="0" w:color="auto"/>
            <w:right w:val="none" w:sz="0" w:space="0" w:color="auto"/>
          </w:divBdr>
        </w:div>
        <w:div w:id="614679477">
          <w:marLeft w:val="640"/>
          <w:marRight w:val="0"/>
          <w:marTop w:val="0"/>
          <w:marBottom w:val="0"/>
          <w:divBdr>
            <w:top w:val="none" w:sz="0" w:space="0" w:color="auto"/>
            <w:left w:val="none" w:sz="0" w:space="0" w:color="auto"/>
            <w:bottom w:val="none" w:sz="0" w:space="0" w:color="auto"/>
            <w:right w:val="none" w:sz="0" w:space="0" w:color="auto"/>
          </w:divBdr>
        </w:div>
        <w:div w:id="64450274">
          <w:marLeft w:val="640"/>
          <w:marRight w:val="0"/>
          <w:marTop w:val="0"/>
          <w:marBottom w:val="0"/>
          <w:divBdr>
            <w:top w:val="none" w:sz="0" w:space="0" w:color="auto"/>
            <w:left w:val="none" w:sz="0" w:space="0" w:color="auto"/>
            <w:bottom w:val="none" w:sz="0" w:space="0" w:color="auto"/>
            <w:right w:val="none" w:sz="0" w:space="0" w:color="auto"/>
          </w:divBdr>
        </w:div>
        <w:div w:id="640036550">
          <w:marLeft w:val="640"/>
          <w:marRight w:val="0"/>
          <w:marTop w:val="0"/>
          <w:marBottom w:val="0"/>
          <w:divBdr>
            <w:top w:val="none" w:sz="0" w:space="0" w:color="auto"/>
            <w:left w:val="none" w:sz="0" w:space="0" w:color="auto"/>
            <w:bottom w:val="none" w:sz="0" w:space="0" w:color="auto"/>
            <w:right w:val="none" w:sz="0" w:space="0" w:color="auto"/>
          </w:divBdr>
        </w:div>
        <w:div w:id="2126000919">
          <w:marLeft w:val="640"/>
          <w:marRight w:val="0"/>
          <w:marTop w:val="0"/>
          <w:marBottom w:val="0"/>
          <w:divBdr>
            <w:top w:val="none" w:sz="0" w:space="0" w:color="auto"/>
            <w:left w:val="none" w:sz="0" w:space="0" w:color="auto"/>
            <w:bottom w:val="none" w:sz="0" w:space="0" w:color="auto"/>
            <w:right w:val="none" w:sz="0" w:space="0" w:color="auto"/>
          </w:divBdr>
        </w:div>
        <w:div w:id="33240834">
          <w:marLeft w:val="640"/>
          <w:marRight w:val="0"/>
          <w:marTop w:val="0"/>
          <w:marBottom w:val="0"/>
          <w:divBdr>
            <w:top w:val="none" w:sz="0" w:space="0" w:color="auto"/>
            <w:left w:val="none" w:sz="0" w:space="0" w:color="auto"/>
            <w:bottom w:val="none" w:sz="0" w:space="0" w:color="auto"/>
            <w:right w:val="none" w:sz="0" w:space="0" w:color="auto"/>
          </w:divBdr>
        </w:div>
        <w:div w:id="1727794984">
          <w:marLeft w:val="640"/>
          <w:marRight w:val="0"/>
          <w:marTop w:val="0"/>
          <w:marBottom w:val="0"/>
          <w:divBdr>
            <w:top w:val="none" w:sz="0" w:space="0" w:color="auto"/>
            <w:left w:val="none" w:sz="0" w:space="0" w:color="auto"/>
            <w:bottom w:val="none" w:sz="0" w:space="0" w:color="auto"/>
            <w:right w:val="none" w:sz="0" w:space="0" w:color="auto"/>
          </w:divBdr>
        </w:div>
        <w:div w:id="1967547132">
          <w:marLeft w:val="640"/>
          <w:marRight w:val="0"/>
          <w:marTop w:val="0"/>
          <w:marBottom w:val="0"/>
          <w:divBdr>
            <w:top w:val="none" w:sz="0" w:space="0" w:color="auto"/>
            <w:left w:val="none" w:sz="0" w:space="0" w:color="auto"/>
            <w:bottom w:val="none" w:sz="0" w:space="0" w:color="auto"/>
            <w:right w:val="none" w:sz="0" w:space="0" w:color="auto"/>
          </w:divBdr>
        </w:div>
        <w:div w:id="667098110">
          <w:marLeft w:val="640"/>
          <w:marRight w:val="0"/>
          <w:marTop w:val="0"/>
          <w:marBottom w:val="0"/>
          <w:divBdr>
            <w:top w:val="none" w:sz="0" w:space="0" w:color="auto"/>
            <w:left w:val="none" w:sz="0" w:space="0" w:color="auto"/>
            <w:bottom w:val="none" w:sz="0" w:space="0" w:color="auto"/>
            <w:right w:val="none" w:sz="0" w:space="0" w:color="auto"/>
          </w:divBdr>
        </w:div>
        <w:div w:id="149831960">
          <w:marLeft w:val="640"/>
          <w:marRight w:val="0"/>
          <w:marTop w:val="0"/>
          <w:marBottom w:val="0"/>
          <w:divBdr>
            <w:top w:val="none" w:sz="0" w:space="0" w:color="auto"/>
            <w:left w:val="none" w:sz="0" w:space="0" w:color="auto"/>
            <w:bottom w:val="none" w:sz="0" w:space="0" w:color="auto"/>
            <w:right w:val="none" w:sz="0" w:space="0" w:color="auto"/>
          </w:divBdr>
        </w:div>
        <w:div w:id="1957176718">
          <w:marLeft w:val="640"/>
          <w:marRight w:val="0"/>
          <w:marTop w:val="0"/>
          <w:marBottom w:val="0"/>
          <w:divBdr>
            <w:top w:val="none" w:sz="0" w:space="0" w:color="auto"/>
            <w:left w:val="none" w:sz="0" w:space="0" w:color="auto"/>
            <w:bottom w:val="none" w:sz="0" w:space="0" w:color="auto"/>
            <w:right w:val="none" w:sz="0" w:space="0" w:color="auto"/>
          </w:divBdr>
        </w:div>
        <w:div w:id="1935086901">
          <w:marLeft w:val="640"/>
          <w:marRight w:val="0"/>
          <w:marTop w:val="0"/>
          <w:marBottom w:val="0"/>
          <w:divBdr>
            <w:top w:val="none" w:sz="0" w:space="0" w:color="auto"/>
            <w:left w:val="none" w:sz="0" w:space="0" w:color="auto"/>
            <w:bottom w:val="none" w:sz="0" w:space="0" w:color="auto"/>
            <w:right w:val="none" w:sz="0" w:space="0" w:color="auto"/>
          </w:divBdr>
        </w:div>
        <w:div w:id="687682233">
          <w:marLeft w:val="640"/>
          <w:marRight w:val="0"/>
          <w:marTop w:val="0"/>
          <w:marBottom w:val="0"/>
          <w:divBdr>
            <w:top w:val="none" w:sz="0" w:space="0" w:color="auto"/>
            <w:left w:val="none" w:sz="0" w:space="0" w:color="auto"/>
            <w:bottom w:val="none" w:sz="0" w:space="0" w:color="auto"/>
            <w:right w:val="none" w:sz="0" w:space="0" w:color="auto"/>
          </w:divBdr>
        </w:div>
        <w:div w:id="1863401152">
          <w:marLeft w:val="640"/>
          <w:marRight w:val="0"/>
          <w:marTop w:val="0"/>
          <w:marBottom w:val="0"/>
          <w:divBdr>
            <w:top w:val="none" w:sz="0" w:space="0" w:color="auto"/>
            <w:left w:val="none" w:sz="0" w:space="0" w:color="auto"/>
            <w:bottom w:val="none" w:sz="0" w:space="0" w:color="auto"/>
            <w:right w:val="none" w:sz="0" w:space="0" w:color="auto"/>
          </w:divBdr>
        </w:div>
        <w:div w:id="1537624249">
          <w:marLeft w:val="640"/>
          <w:marRight w:val="0"/>
          <w:marTop w:val="0"/>
          <w:marBottom w:val="0"/>
          <w:divBdr>
            <w:top w:val="none" w:sz="0" w:space="0" w:color="auto"/>
            <w:left w:val="none" w:sz="0" w:space="0" w:color="auto"/>
            <w:bottom w:val="none" w:sz="0" w:space="0" w:color="auto"/>
            <w:right w:val="none" w:sz="0" w:space="0" w:color="auto"/>
          </w:divBdr>
        </w:div>
        <w:div w:id="1201745959">
          <w:marLeft w:val="640"/>
          <w:marRight w:val="0"/>
          <w:marTop w:val="0"/>
          <w:marBottom w:val="0"/>
          <w:divBdr>
            <w:top w:val="none" w:sz="0" w:space="0" w:color="auto"/>
            <w:left w:val="none" w:sz="0" w:space="0" w:color="auto"/>
            <w:bottom w:val="none" w:sz="0" w:space="0" w:color="auto"/>
            <w:right w:val="none" w:sz="0" w:space="0" w:color="auto"/>
          </w:divBdr>
        </w:div>
        <w:div w:id="117378266">
          <w:marLeft w:val="640"/>
          <w:marRight w:val="0"/>
          <w:marTop w:val="0"/>
          <w:marBottom w:val="0"/>
          <w:divBdr>
            <w:top w:val="none" w:sz="0" w:space="0" w:color="auto"/>
            <w:left w:val="none" w:sz="0" w:space="0" w:color="auto"/>
            <w:bottom w:val="none" w:sz="0" w:space="0" w:color="auto"/>
            <w:right w:val="none" w:sz="0" w:space="0" w:color="auto"/>
          </w:divBdr>
        </w:div>
        <w:div w:id="439224449">
          <w:marLeft w:val="640"/>
          <w:marRight w:val="0"/>
          <w:marTop w:val="0"/>
          <w:marBottom w:val="0"/>
          <w:divBdr>
            <w:top w:val="none" w:sz="0" w:space="0" w:color="auto"/>
            <w:left w:val="none" w:sz="0" w:space="0" w:color="auto"/>
            <w:bottom w:val="none" w:sz="0" w:space="0" w:color="auto"/>
            <w:right w:val="none" w:sz="0" w:space="0" w:color="auto"/>
          </w:divBdr>
        </w:div>
        <w:div w:id="1495298056">
          <w:marLeft w:val="640"/>
          <w:marRight w:val="0"/>
          <w:marTop w:val="0"/>
          <w:marBottom w:val="0"/>
          <w:divBdr>
            <w:top w:val="none" w:sz="0" w:space="0" w:color="auto"/>
            <w:left w:val="none" w:sz="0" w:space="0" w:color="auto"/>
            <w:bottom w:val="none" w:sz="0" w:space="0" w:color="auto"/>
            <w:right w:val="none" w:sz="0" w:space="0" w:color="auto"/>
          </w:divBdr>
        </w:div>
        <w:div w:id="1894847556">
          <w:marLeft w:val="640"/>
          <w:marRight w:val="0"/>
          <w:marTop w:val="0"/>
          <w:marBottom w:val="0"/>
          <w:divBdr>
            <w:top w:val="none" w:sz="0" w:space="0" w:color="auto"/>
            <w:left w:val="none" w:sz="0" w:space="0" w:color="auto"/>
            <w:bottom w:val="none" w:sz="0" w:space="0" w:color="auto"/>
            <w:right w:val="none" w:sz="0" w:space="0" w:color="auto"/>
          </w:divBdr>
        </w:div>
        <w:div w:id="1360471587">
          <w:marLeft w:val="640"/>
          <w:marRight w:val="0"/>
          <w:marTop w:val="0"/>
          <w:marBottom w:val="0"/>
          <w:divBdr>
            <w:top w:val="none" w:sz="0" w:space="0" w:color="auto"/>
            <w:left w:val="none" w:sz="0" w:space="0" w:color="auto"/>
            <w:bottom w:val="none" w:sz="0" w:space="0" w:color="auto"/>
            <w:right w:val="none" w:sz="0" w:space="0" w:color="auto"/>
          </w:divBdr>
        </w:div>
        <w:div w:id="1816295178">
          <w:marLeft w:val="640"/>
          <w:marRight w:val="0"/>
          <w:marTop w:val="0"/>
          <w:marBottom w:val="0"/>
          <w:divBdr>
            <w:top w:val="none" w:sz="0" w:space="0" w:color="auto"/>
            <w:left w:val="none" w:sz="0" w:space="0" w:color="auto"/>
            <w:bottom w:val="none" w:sz="0" w:space="0" w:color="auto"/>
            <w:right w:val="none" w:sz="0" w:space="0" w:color="auto"/>
          </w:divBdr>
        </w:div>
        <w:div w:id="1562398322">
          <w:marLeft w:val="640"/>
          <w:marRight w:val="0"/>
          <w:marTop w:val="0"/>
          <w:marBottom w:val="0"/>
          <w:divBdr>
            <w:top w:val="none" w:sz="0" w:space="0" w:color="auto"/>
            <w:left w:val="none" w:sz="0" w:space="0" w:color="auto"/>
            <w:bottom w:val="none" w:sz="0" w:space="0" w:color="auto"/>
            <w:right w:val="none" w:sz="0" w:space="0" w:color="auto"/>
          </w:divBdr>
        </w:div>
        <w:div w:id="1115514436">
          <w:marLeft w:val="640"/>
          <w:marRight w:val="0"/>
          <w:marTop w:val="0"/>
          <w:marBottom w:val="0"/>
          <w:divBdr>
            <w:top w:val="none" w:sz="0" w:space="0" w:color="auto"/>
            <w:left w:val="none" w:sz="0" w:space="0" w:color="auto"/>
            <w:bottom w:val="none" w:sz="0" w:space="0" w:color="auto"/>
            <w:right w:val="none" w:sz="0" w:space="0" w:color="auto"/>
          </w:divBdr>
        </w:div>
        <w:div w:id="736782811">
          <w:marLeft w:val="640"/>
          <w:marRight w:val="0"/>
          <w:marTop w:val="0"/>
          <w:marBottom w:val="0"/>
          <w:divBdr>
            <w:top w:val="none" w:sz="0" w:space="0" w:color="auto"/>
            <w:left w:val="none" w:sz="0" w:space="0" w:color="auto"/>
            <w:bottom w:val="none" w:sz="0" w:space="0" w:color="auto"/>
            <w:right w:val="none" w:sz="0" w:space="0" w:color="auto"/>
          </w:divBdr>
        </w:div>
        <w:div w:id="2089300738">
          <w:marLeft w:val="640"/>
          <w:marRight w:val="0"/>
          <w:marTop w:val="0"/>
          <w:marBottom w:val="0"/>
          <w:divBdr>
            <w:top w:val="none" w:sz="0" w:space="0" w:color="auto"/>
            <w:left w:val="none" w:sz="0" w:space="0" w:color="auto"/>
            <w:bottom w:val="none" w:sz="0" w:space="0" w:color="auto"/>
            <w:right w:val="none" w:sz="0" w:space="0" w:color="auto"/>
          </w:divBdr>
        </w:div>
        <w:div w:id="534654024">
          <w:marLeft w:val="640"/>
          <w:marRight w:val="0"/>
          <w:marTop w:val="0"/>
          <w:marBottom w:val="0"/>
          <w:divBdr>
            <w:top w:val="none" w:sz="0" w:space="0" w:color="auto"/>
            <w:left w:val="none" w:sz="0" w:space="0" w:color="auto"/>
            <w:bottom w:val="none" w:sz="0" w:space="0" w:color="auto"/>
            <w:right w:val="none" w:sz="0" w:space="0" w:color="auto"/>
          </w:divBdr>
        </w:div>
        <w:div w:id="515850144">
          <w:marLeft w:val="640"/>
          <w:marRight w:val="0"/>
          <w:marTop w:val="0"/>
          <w:marBottom w:val="0"/>
          <w:divBdr>
            <w:top w:val="none" w:sz="0" w:space="0" w:color="auto"/>
            <w:left w:val="none" w:sz="0" w:space="0" w:color="auto"/>
            <w:bottom w:val="none" w:sz="0" w:space="0" w:color="auto"/>
            <w:right w:val="none" w:sz="0" w:space="0" w:color="auto"/>
          </w:divBdr>
        </w:div>
        <w:div w:id="447969118">
          <w:marLeft w:val="640"/>
          <w:marRight w:val="0"/>
          <w:marTop w:val="0"/>
          <w:marBottom w:val="0"/>
          <w:divBdr>
            <w:top w:val="none" w:sz="0" w:space="0" w:color="auto"/>
            <w:left w:val="none" w:sz="0" w:space="0" w:color="auto"/>
            <w:bottom w:val="none" w:sz="0" w:space="0" w:color="auto"/>
            <w:right w:val="none" w:sz="0" w:space="0" w:color="auto"/>
          </w:divBdr>
        </w:div>
        <w:div w:id="281739765">
          <w:marLeft w:val="640"/>
          <w:marRight w:val="0"/>
          <w:marTop w:val="0"/>
          <w:marBottom w:val="0"/>
          <w:divBdr>
            <w:top w:val="none" w:sz="0" w:space="0" w:color="auto"/>
            <w:left w:val="none" w:sz="0" w:space="0" w:color="auto"/>
            <w:bottom w:val="none" w:sz="0" w:space="0" w:color="auto"/>
            <w:right w:val="none" w:sz="0" w:space="0" w:color="auto"/>
          </w:divBdr>
        </w:div>
        <w:div w:id="1774546614">
          <w:marLeft w:val="640"/>
          <w:marRight w:val="0"/>
          <w:marTop w:val="0"/>
          <w:marBottom w:val="0"/>
          <w:divBdr>
            <w:top w:val="none" w:sz="0" w:space="0" w:color="auto"/>
            <w:left w:val="none" w:sz="0" w:space="0" w:color="auto"/>
            <w:bottom w:val="none" w:sz="0" w:space="0" w:color="auto"/>
            <w:right w:val="none" w:sz="0" w:space="0" w:color="auto"/>
          </w:divBdr>
        </w:div>
        <w:div w:id="687409164">
          <w:marLeft w:val="640"/>
          <w:marRight w:val="0"/>
          <w:marTop w:val="0"/>
          <w:marBottom w:val="0"/>
          <w:divBdr>
            <w:top w:val="none" w:sz="0" w:space="0" w:color="auto"/>
            <w:left w:val="none" w:sz="0" w:space="0" w:color="auto"/>
            <w:bottom w:val="none" w:sz="0" w:space="0" w:color="auto"/>
            <w:right w:val="none" w:sz="0" w:space="0" w:color="auto"/>
          </w:divBdr>
        </w:div>
        <w:div w:id="661667929">
          <w:marLeft w:val="640"/>
          <w:marRight w:val="0"/>
          <w:marTop w:val="0"/>
          <w:marBottom w:val="0"/>
          <w:divBdr>
            <w:top w:val="none" w:sz="0" w:space="0" w:color="auto"/>
            <w:left w:val="none" w:sz="0" w:space="0" w:color="auto"/>
            <w:bottom w:val="none" w:sz="0" w:space="0" w:color="auto"/>
            <w:right w:val="none" w:sz="0" w:space="0" w:color="auto"/>
          </w:divBdr>
        </w:div>
        <w:div w:id="1509441926">
          <w:marLeft w:val="640"/>
          <w:marRight w:val="0"/>
          <w:marTop w:val="0"/>
          <w:marBottom w:val="0"/>
          <w:divBdr>
            <w:top w:val="none" w:sz="0" w:space="0" w:color="auto"/>
            <w:left w:val="none" w:sz="0" w:space="0" w:color="auto"/>
            <w:bottom w:val="none" w:sz="0" w:space="0" w:color="auto"/>
            <w:right w:val="none" w:sz="0" w:space="0" w:color="auto"/>
          </w:divBdr>
        </w:div>
        <w:div w:id="968435231">
          <w:marLeft w:val="640"/>
          <w:marRight w:val="0"/>
          <w:marTop w:val="0"/>
          <w:marBottom w:val="0"/>
          <w:divBdr>
            <w:top w:val="none" w:sz="0" w:space="0" w:color="auto"/>
            <w:left w:val="none" w:sz="0" w:space="0" w:color="auto"/>
            <w:bottom w:val="none" w:sz="0" w:space="0" w:color="auto"/>
            <w:right w:val="none" w:sz="0" w:space="0" w:color="auto"/>
          </w:divBdr>
        </w:div>
        <w:div w:id="1227032771">
          <w:marLeft w:val="640"/>
          <w:marRight w:val="0"/>
          <w:marTop w:val="0"/>
          <w:marBottom w:val="0"/>
          <w:divBdr>
            <w:top w:val="none" w:sz="0" w:space="0" w:color="auto"/>
            <w:left w:val="none" w:sz="0" w:space="0" w:color="auto"/>
            <w:bottom w:val="none" w:sz="0" w:space="0" w:color="auto"/>
            <w:right w:val="none" w:sz="0" w:space="0" w:color="auto"/>
          </w:divBdr>
        </w:div>
      </w:divsChild>
    </w:div>
    <w:div w:id="16924878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8">
          <w:marLeft w:val="640"/>
          <w:marRight w:val="0"/>
          <w:marTop w:val="0"/>
          <w:marBottom w:val="0"/>
          <w:divBdr>
            <w:top w:val="none" w:sz="0" w:space="0" w:color="auto"/>
            <w:left w:val="none" w:sz="0" w:space="0" w:color="auto"/>
            <w:bottom w:val="none" w:sz="0" w:space="0" w:color="auto"/>
            <w:right w:val="none" w:sz="0" w:space="0" w:color="auto"/>
          </w:divBdr>
        </w:div>
        <w:div w:id="13919770">
          <w:marLeft w:val="640"/>
          <w:marRight w:val="0"/>
          <w:marTop w:val="0"/>
          <w:marBottom w:val="0"/>
          <w:divBdr>
            <w:top w:val="none" w:sz="0" w:space="0" w:color="auto"/>
            <w:left w:val="none" w:sz="0" w:space="0" w:color="auto"/>
            <w:bottom w:val="none" w:sz="0" w:space="0" w:color="auto"/>
            <w:right w:val="none" w:sz="0" w:space="0" w:color="auto"/>
          </w:divBdr>
        </w:div>
        <w:div w:id="2105220280">
          <w:marLeft w:val="640"/>
          <w:marRight w:val="0"/>
          <w:marTop w:val="0"/>
          <w:marBottom w:val="0"/>
          <w:divBdr>
            <w:top w:val="none" w:sz="0" w:space="0" w:color="auto"/>
            <w:left w:val="none" w:sz="0" w:space="0" w:color="auto"/>
            <w:bottom w:val="none" w:sz="0" w:space="0" w:color="auto"/>
            <w:right w:val="none" w:sz="0" w:space="0" w:color="auto"/>
          </w:divBdr>
        </w:div>
        <w:div w:id="433600548">
          <w:marLeft w:val="640"/>
          <w:marRight w:val="0"/>
          <w:marTop w:val="0"/>
          <w:marBottom w:val="0"/>
          <w:divBdr>
            <w:top w:val="none" w:sz="0" w:space="0" w:color="auto"/>
            <w:left w:val="none" w:sz="0" w:space="0" w:color="auto"/>
            <w:bottom w:val="none" w:sz="0" w:space="0" w:color="auto"/>
            <w:right w:val="none" w:sz="0" w:space="0" w:color="auto"/>
          </w:divBdr>
        </w:div>
        <w:div w:id="1171724874">
          <w:marLeft w:val="640"/>
          <w:marRight w:val="0"/>
          <w:marTop w:val="0"/>
          <w:marBottom w:val="0"/>
          <w:divBdr>
            <w:top w:val="none" w:sz="0" w:space="0" w:color="auto"/>
            <w:left w:val="none" w:sz="0" w:space="0" w:color="auto"/>
            <w:bottom w:val="none" w:sz="0" w:space="0" w:color="auto"/>
            <w:right w:val="none" w:sz="0" w:space="0" w:color="auto"/>
          </w:divBdr>
        </w:div>
        <w:div w:id="818813470">
          <w:marLeft w:val="640"/>
          <w:marRight w:val="0"/>
          <w:marTop w:val="0"/>
          <w:marBottom w:val="0"/>
          <w:divBdr>
            <w:top w:val="none" w:sz="0" w:space="0" w:color="auto"/>
            <w:left w:val="none" w:sz="0" w:space="0" w:color="auto"/>
            <w:bottom w:val="none" w:sz="0" w:space="0" w:color="auto"/>
            <w:right w:val="none" w:sz="0" w:space="0" w:color="auto"/>
          </w:divBdr>
        </w:div>
        <w:div w:id="435291507">
          <w:marLeft w:val="640"/>
          <w:marRight w:val="0"/>
          <w:marTop w:val="0"/>
          <w:marBottom w:val="0"/>
          <w:divBdr>
            <w:top w:val="none" w:sz="0" w:space="0" w:color="auto"/>
            <w:left w:val="none" w:sz="0" w:space="0" w:color="auto"/>
            <w:bottom w:val="none" w:sz="0" w:space="0" w:color="auto"/>
            <w:right w:val="none" w:sz="0" w:space="0" w:color="auto"/>
          </w:divBdr>
        </w:div>
        <w:div w:id="69157531">
          <w:marLeft w:val="640"/>
          <w:marRight w:val="0"/>
          <w:marTop w:val="0"/>
          <w:marBottom w:val="0"/>
          <w:divBdr>
            <w:top w:val="none" w:sz="0" w:space="0" w:color="auto"/>
            <w:left w:val="none" w:sz="0" w:space="0" w:color="auto"/>
            <w:bottom w:val="none" w:sz="0" w:space="0" w:color="auto"/>
            <w:right w:val="none" w:sz="0" w:space="0" w:color="auto"/>
          </w:divBdr>
        </w:div>
        <w:div w:id="234511600">
          <w:marLeft w:val="640"/>
          <w:marRight w:val="0"/>
          <w:marTop w:val="0"/>
          <w:marBottom w:val="0"/>
          <w:divBdr>
            <w:top w:val="none" w:sz="0" w:space="0" w:color="auto"/>
            <w:left w:val="none" w:sz="0" w:space="0" w:color="auto"/>
            <w:bottom w:val="none" w:sz="0" w:space="0" w:color="auto"/>
            <w:right w:val="none" w:sz="0" w:space="0" w:color="auto"/>
          </w:divBdr>
        </w:div>
        <w:div w:id="1022168750">
          <w:marLeft w:val="640"/>
          <w:marRight w:val="0"/>
          <w:marTop w:val="0"/>
          <w:marBottom w:val="0"/>
          <w:divBdr>
            <w:top w:val="none" w:sz="0" w:space="0" w:color="auto"/>
            <w:left w:val="none" w:sz="0" w:space="0" w:color="auto"/>
            <w:bottom w:val="none" w:sz="0" w:space="0" w:color="auto"/>
            <w:right w:val="none" w:sz="0" w:space="0" w:color="auto"/>
          </w:divBdr>
        </w:div>
        <w:div w:id="489911547">
          <w:marLeft w:val="640"/>
          <w:marRight w:val="0"/>
          <w:marTop w:val="0"/>
          <w:marBottom w:val="0"/>
          <w:divBdr>
            <w:top w:val="none" w:sz="0" w:space="0" w:color="auto"/>
            <w:left w:val="none" w:sz="0" w:space="0" w:color="auto"/>
            <w:bottom w:val="none" w:sz="0" w:space="0" w:color="auto"/>
            <w:right w:val="none" w:sz="0" w:space="0" w:color="auto"/>
          </w:divBdr>
        </w:div>
        <w:div w:id="40788804">
          <w:marLeft w:val="640"/>
          <w:marRight w:val="0"/>
          <w:marTop w:val="0"/>
          <w:marBottom w:val="0"/>
          <w:divBdr>
            <w:top w:val="none" w:sz="0" w:space="0" w:color="auto"/>
            <w:left w:val="none" w:sz="0" w:space="0" w:color="auto"/>
            <w:bottom w:val="none" w:sz="0" w:space="0" w:color="auto"/>
            <w:right w:val="none" w:sz="0" w:space="0" w:color="auto"/>
          </w:divBdr>
        </w:div>
        <w:div w:id="3939140">
          <w:marLeft w:val="640"/>
          <w:marRight w:val="0"/>
          <w:marTop w:val="0"/>
          <w:marBottom w:val="0"/>
          <w:divBdr>
            <w:top w:val="none" w:sz="0" w:space="0" w:color="auto"/>
            <w:left w:val="none" w:sz="0" w:space="0" w:color="auto"/>
            <w:bottom w:val="none" w:sz="0" w:space="0" w:color="auto"/>
            <w:right w:val="none" w:sz="0" w:space="0" w:color="auto"/>
          </w:divBdr>
        </w:div>
        <w:div w:id="1841698499">
          <w:marLeft w:val="640"/>
          <w:marRight w:val="0"/>
          <w:marTop w:val="0"/>
          <w:marBottom w:val="0"/>
          <w:divBdr>
            <w:top w:val="none" w:sz="0" w:space="0" w:color="auto"/>
            <w:left w:val="none" w:sz="0" w:space="0" w:color="auto"/>
            <w:bottom w:val="none" w:sz="0" w:space="0" w:color="auto"/>
            <w:right w:val="none" w:sz="0" w:space="0" w:color="auto"/>
          </w:divBdr>
        </w:div>
        <w:div w:id="603849828">
          <w:marLeft w:val="640"/>
          <w:marRight w:val="0"/>
          <w:marTop w:val="0"/>
          <w:marBottom w:val="0"/>
          <w:divBdr>
            <w:top w:val="none" w:sz="0" w:space="0" w:color="auto"/>
            <w:left w:val="none" w:sz="0" w:space="0" w:color="auto"/>
            <w:bottom w:val="none" w:sz="0" w:space="0" w:color="auto"/>
            <w:right w:val="none" w:sz="0" w:space="0" w:color="auto"/>
          </w:divBdr>
        </w:div>
        <w:div w:id="2102334228">
          <w:marLeft w:val="640"/>
          <w:marRight w:val="0"/>
          <w:marTop w:val="0"/>
          <w:marBottom w:val="0"/>
          <w:divBdr>
            <w:top w:val="none" w:sz="0" w:space="0" w:color="auto"/>
            <w:left w:val="none" w:sz="0" w:space="0" w:color="auto"/>
            <w:bottom w:val="none" w:sz="0" w:space="0" w:color="auto"/>
            <w:right w:val="none" w:sz="0" w:space="0" w:color="auto"/>
          </w:divBdr>
        </w:div>
        <w:div w:id="795637635">
          <w:marLeft w:val="640"/>
          <w:marRight w:val="0"/>
          <w:marTop w:val="0"/>
          <w:marBottom w:val="0"/>
          <w:divBdr>
            <w:top w:val="none" w:sz="0" w:space="0" w:color="auto"/>
            <w:left w:val="none" w:sz="0" w:space="0" w:color="auto"/>
            <w:bottom w:val="none" w:sz="0" w:space="0" w:color="auto"/>
            <w:right w:val="none" w:sz="0" w:space="0" w:color="auto"/>
          </w:divBdr>
        </w:div>
        <w:div w:id="1876187992">
          <w:marLeft w:val="640"/>
          <w:marRight w:val="0"/>
          <w:marTop w:val="0"/>
          <w:marBottom w:val="0"/>
          <w:divBdr>
            <w:top w:val="none" w:sz="0" w:space="0" w:color="auto"/>
            <w:left w:val="none" w:sz="0" w:space="0" w:color="auto"/>
            <w:bottom w:val="none" w:sz="0" w:space="0" w:color="auto"/>
            <w:right w:val="none" w:sz="0" w:space="0" w:color="auto"/>
          </w:divBdr>
        </w:div>
        <w:div w:id="767583437">
          <w:marLeft w:val="640"/>
          <w:marRight w:val="0"/>
          <w:marTop w:val="0"/>
          <w:marBottom w:val="0"/>
          <w:divBdr>
            <w:top w:val="none" w:sz="0" w:space="0" w:color="auto"/>
            <w:left w:val="none" w:sz="0" w:space="0" w:color="auto"/>
            <w:bottom w:val="none" w:sz="0" w:space="0" w:color="auto"/>
            <w:right w:val="none" w:sz="0" w:space="0" w:color="auto"/>
          </w:divBdr>
        </w:div>
        <w:div w:id="1596404768">
          <w:marLeft w:val="640"/>
          <w:marRight w:val="0"/>
          <w:marTop w:val="0"/>
          <w:marBottom w:val="0"/>
          <w:divBdr>
            <w:top w:val="none" w:sz="0" w:space="0" w:color="auto"/>
            <w:left w:val="none" w:sz="0" w:space="0" w:color="auto"/>
            <w:bottom w:val="none" w:sz="0" w:space="0" w:color="auto"/>
            <w:right w:val="none" w:sz="0" w:space="0" w:color="auto"/>
          </w:divBdr>
        </w:div>
        <w:div w:id="544410854">
          <w:marLeft w:val="640"/>
          <w:marRight w:val="0"/>
          <w:marTop w:val="0"/>
          <w:marBottom w:val="0"/>
          <w:divBdr>
            <w:top w:val="none" w:sz="0" w:space="0" w:color="auto"/>
            <w:left w:val="none" w:sz="0" w:space="0" w:color="auto"/>
            <w:bottom w:val="none" w:sz="0" w:space="0" w:color="auto"/>
            <w:right w:val="none" w:sz="0" w:space="0" w:color="auto"/>
          </w:divBdr>
        </w:div>
        <w:div w:id="1115834585">
          <w:marLeft w:val="640"/>
          <w:marRight w:val="0"/>
          <w:marTop w:val="0"/>
          <w:marBottom w:val="0"/>
          <w:divBdr>
            <w:top w:val="none" w:sz="0" w:space="0" w:color="auto"/>
            <w:left w:val="none" w:sz="0" w:space="0" w:color="auto"/>
            <w:bottom w:val="none" w:sz="0" w:space="0" w:color="auto"/>
            <w:right w:val="none" w:sz="0" w:space="0" w:color="auto"/>
          </w:divBdr>
        </w:div>
        <w:div w:id="937834259">
          <w:marLeft w:val="640"/>
          <w:marRight w:val="0"/>
          <w:marTop w:val="0"/>
          <w:marBottom w:val="0"/>
          <w:divBdr>
            <w:top w:val="none" w:sz="0" w:space="0" w:color="auto"/>
            <w:left w:val="none" w:sz="0" w:space="0" w:color="auto"/>
            <w:bottom w:val="none" w:sz="0" w:space="0" w:color="auto"/>
            <w:right w:val="none" w:sz="0" w:space="0" w:color="auto"/>
          </w:divBdr>
        </w:div>
        <w:div w:id="629558817">
          <w:marLeft w:val="640"/>
          <w:marRight w:val="0"/>
          <w:marTop w:val="0"/>
          <w:marBottom w:val="0"/>
          <w:divBdr>
            <w:top w:val="none" w:sz="0" w:space="0" w:color="auto"/>
            <w:left w:val="none" w:sz="0" w:space="0" w:color="auto"/>
            <w:bottom w:val="none" w:sz="0" w:space="0" w:color="auto"/>
            <w:right w:val="none" w:sz="0" w:space="0" w:color="auto"/>
          </w:divBdr>
        </w:div>
        <w:div w:id="1024013647">
          <w:marLeft w:val="640"/>
          <w:marRight w:val="0"/>
          <w:marTop w:val="0"/>
          <w:marBottom w:val="0"/>
          <w:divBdr>
            <w:top w:val="none" w:sz="0" w:space="0" w:color="auto"/>
            <w:left w:val="none" w:sz="0" w:space="0" w:color="auto"/>
            <w:bottom w:val="none" w:sz="0" w:space="0" w:color="auto"/>
            <w:right w:val="none" w:sz="0" w:space="0" w:color="auto"/>
          </w:divBdr>
        </w:div>
        <w:div w:id="1303921003">
          <w:marLeft w:val="640"/>
          <w:marRight w:val="0"/>
          <w:marTop w:val="0"/>
          <w:marBottom w:val="0"/>
          <w:divBdr>
            <w:top w:val="none" w:sz="0" w:space="0" w:color="auto"/>
            <w:left w:val="none" w:sz="0" w:space="0" w:color="auto"/>
            <w:bottom w:val="none" w:sz="0" w:space="0" w:color="auto"/>
            <w:right w:val="none" w:sz="0" w:space="0" w:color="auto"/>
          </w:divBdr>
        </w:div>
        <w:div w:id="157770808">
          <w:marLeft w:val="640"/>
          <w:marRight w:val="0"/>
          <w:marTop w:val="0"/>
          <w:marBottom w:val="0"/>
          <w:divBdr>
            <w:top w:val="none" w:sz="0" w:space="0" w:color="auto"/>
            <w:left w:val="none" w:sz="0" w:space="0" w:color="auto"/>
            <w:bottom w:val="none" w:sz="0" w:space="0" w:color="auto"/>
            <w:right w:val="none" w:sz="0" w:space="0" w:color="auto"/>
          </w:divBdr>
        </w:div>
        <w:div w:id="1176728726">
          <w:marLeft w:val="640"/>
          <w:marRight w:val="0"/>
          <w:marTop w:val="0"/>
          <w:marBottom w:val="0"/>
          <w:divBdr>
            <w:top w:val="none" w:sz="0" w:space="0" w:color="auto"/>
            <w:left w:val="none" w:sz="0" w:space="0" w:color="auto"/>
            <w:bottom w:val="none" w:sz="0" w:space="0" w:color="auto"/>
            <w:right w:val="none" w:sz="0" w:space="0" w:color="auto"/>
          </w:divBdr>
        </w:div>
        <w:div w:id="644239801">
          <w:marLeft w:val="640"/>
          <w:marRight w:val="0"/>
          <w:marTop w:val="0"/>
          <w:marBottom w:val="0"/>
          <w:divBdr>
            <w:top w:val="none" w:sz="0" w:space="0" w:color="auto"/>
            <w:left w:val="none" w:sz="0" w:space="0" w:color="auto"/>
            <w:bottom w:val="none" w:sz="0" w:space="0" w:color="auto"/>
            <w:right w:val="none" w:sz="0" w:space="0" w:color="auto"/>
          </w:divBdr>
        </w:div>
        <w:div w:id="1017119116">
          <w:marLeft w:val="640"/>
          <w:marRight w:val="0"/>
          <w:marTop w:val="0"/>
          <w:marBottom w:val="0"/>
          <w:divBdr>
            <w:top w:val="none" w:sz="0" w:space="0" w:color="auto"/>
            <w:left w:val="none" w:sz="0" w:space="0" w:color="auto"/>
            <w:bottom w:val="none" w:sz="0" w:space="0" w:color="auto"/>
            <w:right w:val="none" w:sz="0" w:space="0" w:color="auto"/>
          </w:divBdr>
        </w:div>
        <w:div w:id="517668897">
          <w:marLeft w:val="640"/>
          <w:marRight w:val="0"/>
          <w:marTop w:val="0"/>
          <w:marBottom w:val="0"/>
          <w:divBdr>
            <w:top w:val="none" w:sz="0" w:space="0" w:color="auto"/>
            <w:left w:val="none" w:sz="0" w:space="0" w:color="auto"/>
            <w:bottom w:val="none" w:sz="0" w:space="0" w:color="auto"/>
            <w:right w:val="none" w:sz="0" w:space="0" w:color="auto"/>
          </w:divBdr>
        </w:div>
        <w:div w:id="746539871">
          <w:marLeft w:val="640"/>
          <w:marRight w:val="0"/>
          <w:marTop w:val="0"/>
          <w:marBottom w:val="0"/>
          <w:divBdr>
            <w:top w:val="none" w:sz="0" w:space="0" w:color="auto"/>
            <w:left w:val="none" w:sz="0" w:space="0" w:color="auto"/>
            <w:bottom w:val="none" w:sz="0" w:space="0" w:color="auto"/>
            <w:right w:val="none" w:sz="0" w:space="0" w:color="auto"/>
          </w:divBdr>
        </w:div>
        <w:div w:id="324014386">
          <w:marLeft w:val="640"/>
          <w:marRight w:val="0"/>
          <w:marTop w:val="0"/>
          <w:marBottom w:val="0"/>
          <w:divBdr>
            <w:top w:val="none" w:sz="0" w:space="0" w:color="auto"/>
            <w:left w:val="none" w:sz="0" w:space="0" w:color="auto"/>
            <w:bottom w:val="none" w:sz="0" w:space="0" w:color="auto"/>
            <w:right w:val="none" w:sz="0" w:space="0" w:color="auto"/>
          </w:divBdr>
        </w:div>
        <w:div w:id="47649896">
          <w:marLeft w:val="640"/>
          <w:marRight w:val="0"/>
          <w:marTop w:val="0"/>
          <w:marBottom w:val="0"/>
          <w:divBdr>
            <w:top w:val="none" w:sz="0" w:space="0" w:color="auto"/>
            <w:left w:val="none" w:sz="0" w:space="0" w:color="auto"/>
            <w:bottom w:val="none" w:sz="0" w:space="0" w:color="auto"/>
            <w:right w:val="none" w:sz="0" w:space="0" w:color="auto"/>
          </w:divBdr>
        </w:div>
        <w:div w:id="1657220858">
          <w:marLeft w:val="640"/>
          <w:marRight w:val="0"/>
          <w:marTop w:val="0"/>
          <w:marBottom w:val="0"/>
          <w:divBdr>
            <w:top w:val="none" w:sz="0" w:space="0" w:color="auto"/>
            <w:left w:val="none" w:sz="0" w:space="0" w:color="auto"/>
            <w:bottom w:val="none" w:sz="0" w:space="0" w:color="auto"/>
            <w:right w:val="none" w:sz="0" w:space="0" w:color="auto"/>
          </w:divBdr>
        </w:div>
        <w:div w:id="68574451">
          <w:marLeft w:val="640"/>
          <w:marRight w:val="0"/>
          <w:marTop w:val="0"/>
          <w:marBottom w:val="0"/>
          <w:divBdr>
            <w:top w:val="none" w:sz="0" w:space="0" w:color="auto"/>
            <w:left w:val="none" w:sz="0" w:space="0" w:color="auto"/>
            <w:bottom w:val="none" w:sz="0" w:space="0" w:color="auto"/>
            <w:right w:val="none" w:sz="0" w:space="0" w:color="auto"/>
          </w:divBdr>
        </w:div>
        <w:div w:id="222065390">
          <w:marLeft w:val="640"/>
          <w:marRight w:val="0"/>
          <w:marTop w:val="0"/>
          <w:marBottom w:val="0"/>
          <w:divBdr>
            <w:top w:val="none" w:sz="0" w:space="0" w:color="auto"/>
            <w:left w:val="none" w:sz="0" w:space="0" w:color="auto"/>
            <w:bottom w:val="none" w:sz="0" w:space="0" w:color="auto"/>
            <w:right w:val="none" w:sz="0" w:space="0" w:color="auto"/>
          </w:divBdr>
        </w:div>
        <w:div w:id="1042484248">
          <w:marLeft w:val="640"/>
          <w:marRight w:val="0"/>
          <w:marTop w:val="0"/>
          <w:marBottom w:val="0"/>
          <w:divBdr>
            <w:top w:val="none" w:sz="0" w:space="0" w:color="auto"/>
            <w:left w:val="none" w:sz="0" w:space="0" w:color="auto"/>
            <w:bottom w:val="none" w:sz="0" w:space="0" w:color="auto"/>
            <w:right w:val="none" w:sz="0" w:space="0" w:color="auto"/>
          </w:divBdr>
        </w:div>
        <w:div w:id="1131436095">
          <w:marLeft w:val="640"/>
          <w:marRight w:val="0"/>
          <w:marTop w:val="0"/>
          <w:marBottom w:val="0"/>
          <w:divBdr>
            <w:top w:val="none" w:sz="0" w:space="0" w:color="auto"/>
            <w:left w:val="none" w:sz="0" w:space="0" w:color="auto"/>
            <w:bottom w:val="none" w:sz="0" w:space="0" w:color="auto"/>
            <w:right w:val="none" w:sz="0" w:space="0" w:color="auto"/>
          </w:divBdr>
        </w:div>
        <w:div w:id="1411776782">
          <w:marLeft w:val="640"/>
          <w:marRight w:val="0"/>
          <w:marTop w:val="0"/>
          <w:marBottom w:val="0"/>
          <w:divBdr>
            <w:top w:val="none" w:sz="0" w:space="0" w:color="auto"/>
            <w:left w:val="none" w:sz="0" w:space="0" w:color="auto"/>
            <w:bottom w:val="none" w:sz="0" w:space="0" w:color="auto"/>
            <w:right w:val="none" w:sz="0" w:space="0" w:color="auto"/>
          </w:divBdr>
        </w:div>
        <w:div w:id="1000615927">
          <w:marLeft w:val="640"/>
          <w:marRight w:val="0"/>
          <w:marTop w:val="0"/>
          <w:marBottom w:val="0"/>
          <w:divBdr>
            <w:top w:val="none" w:sz="0" w:space="0" w:color="auto"/>
            <w:left w:val="none" w:sz="0" w:space="0" w:color="auto"/>
            <w:bottom w:val="none" w:sz="0" w:space="0" w:color="auto"/>
            <w:right w:val="none" w:sz="0" w:space="0" w:color="auto"/>
          </w:divBdr>
        </w:div>
        <w:div w:id="2125610472">
          <w:marLeft w:val="640"/>
          <w:marRight w:val="0"/>
          <w:marTop w:val="0"/>
          <w:marBottom w:val="0"/>
          <w:divBdr>
            <w:top w:val="none" w:sz="0" w:space="0" w:color="auto"/>
            <w:left w:val="none" w:sz="0" w:space="0" w:color="auto"/>
            <w:bottom w:val="none" w:sz="0" w:space="0" w:color="auto"/>
            <w:right w:val="none" w:sz="0" w:space="0" w:color="auto"/>
          </w:divBdr>
        </w:div>
        <w:div w:id="1612010512">
          <w:marLeft w:val="640"/>
          <w:marRight w:val="0"/>
          <w:marTop w:val="0"/>
          <w:marBottom w:val="0"/>
          <w:divBdr>
            <w:top w:val="none" w:sz="0" w:space="0" w:color="auto"/>
            <w:left w:val="none" w:sz="0" w:space="0" w:color="auto"/>
            <w:bottom w:val="none" w:sz="0" w:space="0" w:color="auto"/>
            <w:right w:val="none" w:sz="0" w:space="0" w:color="auto"/>
          </w:divBdr>
        </w:div>
        <w:div w:id="268513744">
          <w:marLeft w:val="640"/>
          <w:marRight w:val="0"/>
          <w:marTop w:val="0"/>
          <w:marBottom w:val="0"/>
          <w:divBdr>
            <w:top w:val="none" w:sz="0" w:space="0" w:color="auto"/>
            <w:left w:val="none" w:sz="0" w:space="0" w:color="auto"/>
            <w:bottom w:val="none" w:sz="0" w:space="0" w:color="auto"/>
            <w:right w:val="none" w:sz="0" w:space="0" w:color="auto"/>
          </w:divBdr>
        </w:div>
        <w:div w:id="526333656">
          <w:marLeft w:val="640"/>
          <w:marRight w:val="0"/>
          <w:marTop w:val="0"/>
          <w:marBottom w:val="0"/>
          <w:divBdr>
            <w:top w:val="none" w:sz="0" w:space="0" w:color="auto"/>
            <w:left w:val="none" w:sz="0" w:space="0" w:color="auto"/>
            <w:bottom w:val="none" w:sz="0" w:space="0" w:color="auto"/>
            <w:right w:val="none" w:sz="0" w:space="0" w:color="auto"/>
          </w:divBdr>
        </w:div>
        <w:div w:id="276640646">
          <w:marLeft w:val="640"/>
          <w:marRight w:val="0"/>
          <w:marTop w:val="0"/>
          <w:marBottom w:val="0"/>
          <w:divBdr>
            <w:top w:val="none" w:sz="0" w:space="0" w:color="auto"/>
            <w:left w:val="none" w:sz="0" w:space="0" w:color="auto"/>
            <w:bottom w:val="none" w:sz="0" w:space="0" w:color="auto"/>
            <w:right w:val="none" w:sz="0" w:space="0" w:color="auto"/>
          </w:divBdr>
        </w:div>
        <w:div w:id="1774663236">
          <w:marLeft w:val="640"/>
          <w:marRight w:val="0"/>
          <w:marTop w:val="0"/>
          <w:marBottom w:val="0"/>
          <w:divBdr>
            <w:top w:val="none" w:sz="0" w:space="0" w:color="auto"/>
            <w:left w:val="none" w:sz="0" w:space="0" w:color="auto"/>
            <w:bottom w:val="none" w:sz="0" w:space="0" w:color="auto"/>
            <w:right w:val="none" w:sz="0" w:space="0" w:color="auto"/>
          </w:divBdr>
        </w:div>
        <w:div w:id="2049985291">
          <w:marLeft w:val="640"/>
          <w:marRight w:val="0"/>
          <w:marTop w:val="0"/>
          <w:marBottom w:val="0"/>
          <w:divBdr>
            <w:top w:val="none" w:sz="0" w:space="0" w:color="auto"/>
            <w:left w:val="none" w:sz="0" w:space="0" w:color="auto"/>
            <w:bottom w:val="none" w:sz="0" w:space="0" w:color="auto"/>
            <w:right w:val="none" w:sz="0" w:space="0" w:color="auto"/>
          </w:divBdr>
        </w:div>
        <w:div w:id="65153605">
          <w:marLeft w:val="640"/>
          <w:marRight w:val="0"/>
          <w:marTop w:val="0"/>
          <w:marBottom w:val="0"/>
          <w:divBdr>
            <w:top w:val="none" w:sz="0" w:space="0" w:color="auto"/>
            <w:left w:val="none" w:sz="0" w:space="0" w:color="auto"/>
            <w:bottom w:val="none" w:sz="0" w:space="0" w:color="auto"/>
            <w:right w:val="none" w:sz="0" w:space="0" w:color="auto"/>
          </w:divBdr>
        </w:div>
        <w:div w:id="1858807778">
          <w:marLeft w:val="640"/>
          <w:marRight w:val="0"/>
          <w:marTop w:val="0"/>
          <w:marBottom w:val="0"/>
          <w:divBdr>
            <w:top w:val="none" w:sz="0" w:space="0" w:color="auto"/>
            <w:left w:val="none" w:sz="0" w:space="0" w:color="auto"/>
            <w:bottom w:val="none" w:sz="0" w:space="0" w:color="auto"/>
            <w:right w:val="none" w:sz="0" w:space="0" w:color="auto"/>
          </w:divBdr>
        </w:div>
        <w:div w:id="1464150013">
          <w:marLeft w:val="640"/>
          <w:marRight w:val="0"/>
          <w:marTop w:val="0"/>
          <w:marBottom w:val="0"/>
          <w:divBdr>
            <w:top w:val="none" w:sz="0" w:space="0" w:color="auto"/>
            <w:left w:val="none" w:sz="0" w:space="0" w:color="auto"/>
            <w:bottom w:val="none" w:sz="0" w:space="0" w:color="auto"/>
            <w:right w:val="none" w:sz="0" w:space="0" w:color="auto"/>
          </w:divBdr>
        </w:div>
        <w:div w:id="459495846">
          <w:marLeft w:val="640"/>
          <w:marRight w:val="0"/>
          <w:marTop w:val="0"/>
          <w:marBottom w:val="0"/>
          <w:divBdr>
            <w:top w:val="none" w:sz="0" w:space="0" w:color="auto"/>
            <w:left w:val="none" w:sz="0" w:space="0" w:color="auto"/>
            <w:bottom w:val="none" w:sz="0" w:space="0" w:color="auto"/>
            <w:right w:val="none" w:sz="0" w:space="0" w:color="auto"/>
          </w:divBdr>
        </w:div>
        <w:div w:id="897979578">
          <w:marLeft w:val="640"/>
          <w:marRight w:val="0"/>
          <w:marTop w:val="0"/>
          <w:marBottom w:val="0"/>
          <w:divBdr>
            <w:top w:val="none" w:sz="0" w:space="0" w:color="auto"/>
            <w:left w:val="none" w:sz="0" w:space="0" w:color="auto"/>
            <w:bottom w:val="none" w:sz="0" w:space="0" w:color="auto"/>
            <w:right w:val="none" w:sz="0" w:space="0" w:color="auto"/>
          </w:divBdr>
        </w:div>
        <w:div w:id="780026347">
          <w:marLeft w:val="640"/>
          <w:marRight w:val="0"/>
          <w:marTop w:val="0"/>
          <w:marBottom w:val="0"/>
          <w:divBdr>
            <w:top w:val="none" w:sz="0" w:space="0" w:color="auto"/>
            <w:left w:val="none" w:sz="0" w:space="0" w:color="auto"/>
            <w:bottom w:val="none" w:sz="0" w:space="0" w:color="auto"/>
            <w:right w:val="none" w:sz="0" w:space="0" w:color="auto"/>
          </w:divBdr>
        </w:div>
        <w:div w:id="1008025370">
          <w:marLeft w:val="640"/>
          <w:marRight w:val="0"/>
          <w:marTop w:val="0"/>
          <w:marBottom w:val="0"/>
          <w:divBdr>
            <w:top w:val="none" w:sz="0" w:space="0" w:color="auto"/>
            <w:left w:val="none" w:sz="0" w:space="0" w:color="auto"/>
            <w:bottom w:val="none" w:sz="0" w:space="0" w:color="auto"/>
            <w:right w:val="none" w:sz="0" w:space="0" w:color="auto"/>
          </w:divBdr>
        </w:div>
        <w:div w:id="415786868">
          <w:marLeft w:val="640"/>
          <w:marRight w:val="0"/>
          <w:marTop w:val="0"/>
          <w:marBottom w:val="0"/>
          <w:divBdr>
            <w:top w:val="none" w:sz="0" w:space="0" w:color="auto"/>
            <w:left w:val="none" w:sz="0" w:space="0" w:color="auto"/>
            <w:bottom w:val="none" w:sz="0" w:space="0" w:color="auto"/>
            <w:right w:val="none" w:sz="0" w:space="0" w:color="auto"/>
          </w:divBdr>
        </w:div>
        <w:div w:id="2081172311">
          <w:marLeft w:val="640"/>
          <w:marRight w:val="0"/>
          <w:marTop w:val="0"/>
          <w:marBottom w:val="0"/>
          <w:divBdr>
            <w:top w:val="none" w:sz="0" w:space="0" w:color="auto"/>
            <w:left w:val="none" w:sz="0" w:space="0" w:color="auto"/>
            <w:bottom w:val="none" w:sz="0" w:space="0" w:color="auto"/>
            <w:right w:val="none" w:sz="0" w:space="0" w:color="auto"/>
          </w:divBdr>
        </w:div>
        <w:div w:id="1049763698">
          <w:marLeft w:val="640"/>
          <w:marRight w:val="0"/>
          <w:marTop w:val="0"/>
          <w:marBottom w:val="0"/>
          <w:divBdr>
            <w:top w:val="none" w:sz="0" w:space="0" w:color="auto"/>
            <w:left w:val="none" w:sz="0" w:space="0" w:color="auto"/>
            <w:bottom w:val="none" w:sz="0" w:space="0" w:color="auto"/>
            <w:right w:val="none" w:sz="0" w:space="0" w:color="auto"/>
          </w:divBdr>
        </w:div>
        <w:div w:id="2138327949">
          <w:marLeft w:val="640"/>
          <w:marRight w:val="0"/>
          <w:marTop w:val="0"/>
          <w:marBottom w:val="0"/>
          <w:divBdr>
            <w:top w:val="none" w:sz="0" w:space="0" w:color="auto"/>
            <w:left w:val="none" w:sz="0" w:space="0" w:color="auto"/>
            <w:bottom w:val="none" w:sz="0" w:space="0" w:color="auto"/>
            <w:right w:val="none" w:sz="0" w:space="0" w:color="auto"/>
          </w:divBdr>
        </w:div>
        <w:div w:id="885793285">
          <w:marLeft w:val="640"/>
          <w:marRight w:val="0"/>
          <w:marTop w:val="0"/>
          <w:marBottom w:val="0"/>
          <w:divBdr>
            <w:top w:val="none" w:sz="0" w:space="0" w:color="auto"/>
            <w:left w:val="none" w:sz="0" w:space="0" w:color="auto"/>
            <w:bottom w:val="none" w:sz="0" w:space="0" w:color="auto"/>
            <w:right w:val="none" w:sz="0" w:space="0" w:color="auto"/>
          </w:divBdr>
        </w:div>
        <w:div w:id="1770082372">
          <w:marLeft w:val="640"/>
          <w:marRight w:val="0"/>
          <w:marTop w:val="0"/>
          <w:marBottom w:val="0"/>
          <w:divBdr>
            <w:top w:val="none" w:sz="0" w:space="0" w:color="auto"/>
            <w:left w:val="none" w:sz="0" w:space="0" w:color="auto"/>
            <w:bottom w:val="none" w:sz="0" w:space="0" w:color="auto"/>
            <w:right w:val="none" w:sz="0" w:space="0" w:color="auto"/>
          </w:divBdr>
        </w:div>
        <w:div w:id="1032341844">
          <w:marLeft w:val="640"/>
          <w:marRight w:val="0"/>
          <w:marTop w:val="0"/>
          <w:marBottom w:val="0"/>
          <w:divBdr>
            <w:top w:val="none" w:sz="0" w:space="0" w:color="auto"/>
            <w:left w:val="none" w:sz="0" w:space="0" w:color="auto"/>
            <w:bottom w:val="none" w:sz="0" w:space="0" w:color="auto"/>
            <w:right w:val="none" w:sz="0" w:space="0" w:color="auto"/>
          </w:divBdr>
        </w:div>
        <w:div w:id="1798907681">
          <w:marLeft w:val="640"/>
          <w:marRight w:val="0"/>
          <w:marTop w:val="0"/>
          <w:marBottom w:val="0"/>
          <w:divBdr>
            <w:top w:val="none" w:sz="0" w:space="0" w:color="auto"/>
            <w:left w:val="none" w:sz="0" w:space="0" w:color="auto"/>
            <w:bottom w:val="none" w:sz="0" w:space="0" w:color="auto"/>
            <w:right w:val="none" w:sz="0" w:space="0" w:color="auto"/>
          </w:divBdr>
        </w:div>
        <w:div w:id="47606781">
          <w:marLeft w:val="640"/>
          <w:marRight w:val="0"/>
          <w:marTop w:val="0"/>
          <w:marBottom w:val="0"/>
          <w:divBdr>
            <w:top w:val="none" w:sz="0" w:space="0" w:color="auto"/>
            <w:left w:val="none" w:sz="0" w:space="0" w:color="auto"/>
            <w:bottom w:val="none" w:sz="0" w:space="0" w:color="auto"/>
            <w:right w:val="none" w:sz="0" w:space="0" w:color="auto"/>
          </w:divBdr>
        </w:div>
        <w:div w:id="795568871">
          <w:marLeft w:val="640"/>
          <w:marRight w:val="0"/>
          <w:marTop w:val="0"/>
          <w:marBottom w:val="0"/>
          <w:divBdr>
            <w:top w:val="none" w:sz="0" w:space="0" w:color="auto"/>
            <w:left w:val="none" w:sz="0" w:space="0" w:color="auto"/>
            <w:bottom w:val="none" w:sz="0" w:space="0" w:color="auto"/>
            <w:right w:val="none" w:sz="0" w:space="0" w:color="auto"/>
          </w:divBdr>
        </w:div>
        <w:div w:id="278219120">
          <w:marLeft w:val="640"/>
          <w:marRight w:val="0"/>
          <w:marTop w:val="0"/>
          <w:marBottom w:val="0"/>
          <w:divBdr>
            <w:top w:val="none" w:sz="0" w:space="0" w:color="auto"/>
            <w:left w:val="none" w:sz="0" w:space="0" w:color="auto"/>
            <w:bottom w:val="none" w:sz="0" w:space="0" w:color="auto"/>
            <w:right w:val="none" w:sz="0" w:space="0" w:color="auto"/>
          </w:divBdr>
        </w:div>
        <w:div w:id="98070376">
          <w:marLeft w:val="640"/>
          <w:marRight w:val="0"/>
          <w:marTop w:val="0"/>
          <w:marBottom w:val="0"/>
          <w:divBdr>
            <w:top w:val="none" w:sz="0" w:space="0" w:color="auto"/>
            <w:left w:val="none" w:sz="0" w:space="0" w:color="auto"/>
            <w:bottom w:val="none" w:sz="0" w:space="0" w:color="auto"/>
            <w:right w:val="none" w:sz="0" w:space="0" w:color="auto"/>
          </w:divBdr>
        </w:div>
        <w:div w:id="849561981">
          <w:marLeft w:val="640"/>
          <w:marRight w:val="0"/>
          <w:marTop w:val="0"/>
          <w:marBottom w:val="0"/>
          <w:divBdr>
            <w:top w:val="none" w:sz="0" w:space="0" w:color="auto"/>
            <w:left w:val="none" w:sz="0" w:space="0" w:color="auto"/>
            <w:bottom w:val="none" w:sz="0" w:space="0" w:color="auto"/>
            <w:right w:val="none" w:sz="0" w:space="0" w:color="auto"/>
          </w:divBdr>
        </w:div>
        <w:div w:id="997852628">
          <w:marLeft w:val="640"/>
          <w:marRight w:val="0"/>
          <w:marTop w:val="0"/>
          <w:marBottom w:val="0"/>
          <w:divBdr>
            <w:top w:val="none" w:sz="0" w:space="0" w:color="auto"/>
            <w:left w:val="none" w:sz="0" w:space="0" w:color="auto"/>
            <w:bottom w:val="none" w:sz="0" w:space="0" w:color="auto"/>
            <w:right w:val="none" w:sz="0" w:space="0" w:color="auto"/>
          </w:divBdr>
        </w:div>
        <w:div w:id="1822387179">
          <w:marLeft w:val="640"/>
          <w:marRight w:val="0"/>
          <w:marTop w:val="0"/>
          <w:marBottom w:val="0"/>
          <w:divBdr>
            <w:top w:val="none" w:sz="0" w:space="0" w:color="auto"/>
            <w:left w:val="none" w:sz="0" w:space="0" w:color="auto"/>
            <w:bottom w:val="none" w:sz="0" w:space="0" w:color="auto"/>
            <w:right w:val="none" w:sz="0" w:space="0" w:color="auto"/>
          </w:divBdr>
        </w:div>
        <w:div w:id="902444532">
          <w:marLeft w:val="640"/>
          <w:marRight w:val="0"/>
          <w:marTop w:val="0"/>
          <w:marBottom w:val="0"/>
          <w:divBdr>
            <w:top w:val="none" w:sz="0" w:space="0" w:color="auto"/>
            <w:left w:val="none" w:sz="0" w:space="0" w:color="auto"/>
            <w:bottom w:val="none" w:sz="0" w:space="0" w:color="auto"/>
            <w:right w:val="none" w:sz="0" w:space="0" w:color="auto"/>
          </w:divBdr>
        </w:div>
        <w:div w:id="187107149">
          <w:marLeft w:val="640"/>
          <w:marRight w:val="0"/>
          <w:marTop w:val="0"/>
          <w:marBottom w:val="0"/>
          <w:divBdr>
            <w:top w:val="none" w:sz="0" w:space="0" w:color="auto"/>
            <w:left w:val="none" w:sz="0" w:space="0" w:color="auto"/>
            <w:bottom w:val="none" w:sz="0" w:space="0" w:color="auto"/>
            <w:right w:val="none" w:sz="0" w:space="0" w:color="auto"/>
          </w:divBdr>
        </w:div>
        <w:div w:id="888495712">
          <w:marLeft w:val="640"/>
          <w:marRight w:val="0"/>
          <w:marTop w:val="0"/>
          <w:marBottom w:val="0"/>
          <w:divBdr>
            <w:top w:val="none" w:sz="0" w:space="0" w:color="auto"/>
            <w:left w:val="none" w:sz="0" w:space="0" w:color="auto"/>
            <w:bottom w:val="none" w:sz="0" w:space="0" w:color="auto"/>
            <w:right w:val="none" w:sz="0" w:space="0" w:color="auto"/>
          </w:divBdr>
        </w:div>
        <w:div w:id="235240142">
          <w:marLeft w:val="640"/>
          <w:marRight w:val="0"/>
          <w:marTop w:val="0"/>
          <w:marBottom w:val="0"/>
          <w:divBdr>
            <w:top w:val="none" w:sz="0" w:space="0" w:color="auto"/>
            <w:left w:val="none" w:sz="0" w:space="0" w:color="auto"/>
            <w:bottom w:val="none" w:sz="0" w:space="0" w:color="auto"/>
            <w:right w:val="none" w:sz="0" w:space="0" w:color="auto"/>
          </w:divBdr>
        </w:div>
        <w:div w:id="2038307153">
          <w:marLeft w:val="640"/>
          <w:marRight w:val="0"/>
          <w:marTop w:val="0"/>
          <w:marBottom w:val="0"/>
          <w:divBdr>
            <w:top w:val="none" w:sz="0" w:space="0" w:color="auto"/>
            <w:left w:val="none" w:sz="0" w:space="0" w:color="auto"/>
            <w:bottom w:val="none" w:sz="0" w:space="0" w:color="auto"/>
            <w:right w:val="none" w:sz="0" w:space="0" w:color="auto"/>
          </w:divBdr>
        </w:div>
        <w:div w:id="30302351">
          <w:marLeft w:val="640"/>
          <w:marRight w:val="0"/>
          <w:marTop w:val="0"/>
          <w:marBottom w:val="0"/>
          <w:divBdr>
            <w:top w:val="none" w:sz="0" w:space="0" w:color="auto"/>
            <w:left w:val="none" w:sz="0" w:space="0" w:color="auto"/>
            <w:bottom w:val="none" w:sz="0" w:space="0" w:color="auto"/>
            <w:right w:val="none" w:sz="0" w:space="0" w:color="auto"/>
          </w:divBdr>
        </w:div>
        <w:div w:id="1024483932">
          <w:marLeft w:val="640"/>
          <w:marRight w:val="0"/>
          <w:marTop w:val="0"/>
          <w:marBottom w:val="0"/>
          <w:divBdr>
            <w:top w:val="none" w:sz="0" w:space="0" w:color="auto"/>
            <w:left w:val="none" w:sz="0" w:space="0" w:color="auto"/>
            <w:bottom w:val="none" w:sz="0" w:space="0" w:color="auto"/>
            <w:right w:val="none" w:sz="0" w:space="0" w:color="auto"/>
          </w:divBdr>
        </w:div>
        <w:div w:id="1239710981">
          <w:marLeft w:val="640"/>
          <w:marRight w:val="0"/>
          <w:marTop w:val="0"/>
          <w:marBottom w:val="0"/>
          <w:divBdr>
            <w:top w:val="none" w:sz="0" w:space="0" w:color="auto"/>
            <w:left w:val="none" w:sz="0" w:space="0" w:color="auto"/>
            <w:bottom w:val="none" w:sz="0" w:space="0" w:color="auto"/>
            <w:right w:val="none" w:sz="0" w:space="0" w:color="auto"/>
          </w:divBdr>
        </w:div>
        <w:div w:id="609313681">
          <w:marLeft w:val="640"/>
          <w:marRight w:val="0"/>
          <w:marTop w:val="0"/>
          <w:marBottom w:val="0"/>
          <w:divBdr>
            <w:top w:val="none" w:sz="0" w:space="0" w:color="auto"/>
            <w:left w:val="none" w:sz="0" w:space="0" w:color="auto"/>
            <w:bottom w:val="none" w:sz="0" w:space="0" w:color="auto"/>
            <w:right w:val="none" w:sz="0" w:space="0" w:color="auto"/>
          </w:divBdr>
        </w:div>
        <w:div w:id="895044018">
          <w:marLeft w:val="640"/>
          <w:marRight w:val="0"/>
          <w:marTop w:val="0"/>
          <w:marBottom w:val="0"/>
          <w:divBdr>
            <w:top w:val="none" w:sz="0" w:space="0" w:color="auto"/>
            <w:left w:val="none" w:sz="0" w:space="0" w:color="auto"/>
            <w:bottom w:val="none" w:sz="0" w:space="0" w:color="auto"/>
            <w:right w:val="none" w:sz="0" w:space="0" w:color="auto"/>
          </w:divBdr>
        </w:div>
        <w:div w:id="798769669">
          <w:marLeft w:val="640"/>
          <w:marRight w:val="0"/>
          <w:marTop w:val="0"/>
          <w:marBottom w:val="0"/>
          <w:divBdr>
            <w:top w:val="none" w:sz="0" w:space="0" w:color="auto"/>
            <w:left w:val="none" w:sz="0" w:space="0" w:color="auto"/>
            <w:bottom w:val="none" w:sz="0" w:space="0" w:color="auto"/>
            <w:right w:val="none" w:sz="0" w:space="0" w:color="auto"/>
          </w:divBdr>
        </w:div>
        <w:div w:id="1793089928">
          <w:marLeft w:val="640"/>
          <w:marRight w:val="0"/>
          <w:marTop w:val="0"/>
          <w:marBottom w:val="0"/>
          <w:divBdr>
            <w:top w:val="none" w:sz="0" w:space="0" w:color="auto"/>
            <w:left w:val="none" w:sz="0" w:space="0" w:color="auto"/>
            <w:bottom w:val="none" w:sz="0" w:space="0" w:color="auto"/>
            <w:right w:val="none" w:sz="0" w:space="0" w:color="auto"/>
          </w:divBdr>
        </w:div>
        <w:div w:id="261303483">
          <w:marLeft w:val="640"/>
          <w:marRight w:val="0"/>
          <w:marTop w:val="0"/>
          <w:marBottom w:val="0"/>
          <w:divBdr>
            <w:top w:val="none" w:sz="0" w:space="0" w:color="auto"/>
            <w:left w:val="none" w:sz="0" w:space="0" w:color="auto"/>
            <w:bottom w:val="none" w:sz="0" w:space="0" w:color="auto"/>
            <w:right w:val="none" w:sz="0" w:space="0" w:color="auto"/>
          </w:divBdr>
        </w:div>
        <w:div w:id="1671638319">
          <w:marLeft w:val="640"/>
          <w:marRight w:val="0"/>
          <w:marTop w:val="0"/>
          <w:marBottom w:val="0"/>
          <w:divBdr>
            <w:top w:val="none" w:sz="0" w:space="0" w:color="auto"/>
            <w:left w:val="none" w:sz="0" w:space="0" w:color="auto"/>
            <w:bottom w:val="none" w:sz="0" w:space="0" w:color="auto"/>
            <w:right w:val="none" w:sz="0" w:space="0" w:color="auto"/>
          </w:divBdr>
        </w:div>
        <w:div w:id="1681740738">
          <w:marLeft w:val="640"/>
          <w:marRight w:val="0"/>
          <w:marTop w:val="0"/>
          <w:marBottom w:val="0"/>
          <w:divBdr>
            <w:top w:val="none" w:sz="0" w:space="0" w:color="auto"/>
            <w:left w:val="none" w:sz="0" w:space="0" w:color="auto"/>
            <w:bottom w:val="none" w:sz="0" w:space="0" w:color="auto"/>
            <w:right w:val="none" w:sz="0" w:space="0" w:color="auto"/>
          </w:divBdr>
        </w:div>
        <w:div w:id="1019429815">
          <w:marLeft w:val="640"/>
          <w:marRight w:val="0"/>
          <w:marTop w:val="0"/>
          <w:marBottom w:val="0"/>
          <w:divBdr>
            <w:top w:val="none" w:sz="0" w:space="0" w:color="auto"/>
            <w:left w:val="none" w:sz="0" w:space="0" w:color="auto"/>
            <w:bottom w:val="none" w:sz="0" w:space="0" w:color="auto"/>
            <w:right w:val="none" w:sz="0" w:space="0" w:color="auto"/>
          </w:divBdr>
        </w:div>
        <w:div w:id="1462920789">
          <w:marLeft w:val="640"/>
          <w:marRight w:val="0"/>
          <w:marTop w:val="0"/>
          <w:marBottom w:val="0"/>
          <w:divBdr>
            <w:top w:val="none" w:sz="0" w:space="0" w:color="auto"/>
            <w:left w:val="none" w:sz="0" w:space="0" w:color="auto"/>
            <w:bottom w:val="none" w:sz="0" w:space="0" w:color="auto"/>
            <w:right w:val="none" w:sz="0" w:space="0" w:color="auto"/>
          </w:divBdr>
        </w:div>
        <w:div w:id="2124223182">
          <w:marLeft w:val="640"/>
          <w:marRight w:val="0"/>
          <w:marTop w:val="0"/>
          <w:marBottom w:val="0"/>
          <w:divBdr>
            <w:top w:val="none" w:sz="0" w:space="0" w:color="auto"/>
            <w:left w:val="none" w:sz="0" w:space="0" w:color="auto"/>
            <w:bottom w:val="none" w:sz="0" w:space="0" w:color="auto"/>
            <w:right w:val="none" w:sz="0" w:space="0" w:color="auto"/>
          </w:divBdr>
        </w:div>
        <w:div w:id="930967045">
          <w:marLeft w:val="640"/>
          <w:marRight w:val="0"/>
          <w:marTop w:val="0"/>
          <w:marBottom w:val="0"/>
          <w:divBdr>
            <w:top w:val="none" w:sz="0" w:space="0" w:color="auto"/>
            <w:left w:val="none" w:sz="0" w:space="0" w:color="auto"/>
            <w:bottom w:val="none" w:sz="0" w:space="0" w:color="auto"/>
            <w:right w:val="none" w:sz="0" w:space="0" w:color="auto"/>
          </w:divBdr>
        </w:div>
        <w:div w:id="1587837706">
          <w:marLeft w:val="640"/>
          <w:marRight w:val="0"/>
          <w:marTop w:val="0"/>
          <w:marBottom w:val="0"/>
          <w:divBdr>
            <w:top w:val="none" w:sz="0" w:space="0" w:color="auto"/>
            <w:left w:val="none" w:sz="0" w:space="0" w:color="auto"/>
            <w:bottom w:val="none" w:sz="0" w:space="0" w:color="auto"/>
            <w:right w:val="none" w:sz="0" w:space="0" w:color="auto"/>
          </w:divBdr>
        </w:div>
        <w:div w:id="1093890105">
          <w:marLeft w:val="640"/>
          <w:marRight w:val="0"/>
          <w:marTop w:val="0"/>
          <w:marBottom w:val="0"/>
          <w:divBdr>
            <w:top w:val="none" w:sz="0" w:space="0" w:color="auto"/>
            <w:left w:val="none" w:sz="0" w:space="0" w:color="auto"/>
            <w:bottom w:val="none" w:sz="0" w:space="0" w:color="auto"/>
            <w:right w:val="none" w:sz="0" w:space="0" w:color="auto"/>
          </w:divBdr>
        </w:div>
        <w:div w:id="406223014">
          <w:marLeft w:val="640"/>
          <w:marRight w:val="0"/>
          <w:marTop w:val="0"/>
          <w:marBottom w:val="0"/>
          <w:divBdr>
            <w:top w:val="none" w:sz="0" w:space="0" w:color="auto"/>
            <w:left w:val="none" w:sz="0" w:space="0" w:color="auto"/>
            <w:bottom w:val="none" w:sz="0" w:space="0" w:color="auto"/>
            <w:right w:val="none" w:sz="0" w:space="0" w:color="auto"/>
          </w:divBdr>
        </w:div>
        <w:div w:id="740715685">
          <w:marLeft w:val="640"/>
          <w:marRight w:val="0"/>
          <w:marTop w:val="0"/>
          <w:marBottom w:val="0"/>
          <w:divBdr>
            <w:top w:val="none" w:sz="0" w:space="0" w:color="auto"/>
            <w:left w:val="none" w:sz="0" w:space="0" w:color="auto"/>
            <w:bottom w:val="none" w:sz="0" w:space="0" w:color="auto"/>
            <w:right w:val="none" w:sz="0" w:space="0" w:color="auto"/>
          </w:divBdr>
        </w:div>
        <w:div w:id="768476711">
          <w:marLeft w:val="640"/>
          <w:marRight w:val="0"/>
          <w:marTop w:val="0"/>
          <w:marBottom w:val="0"/>
          <w:divBdr>
            <w:top w:val="none" w:sz="0" w:space="0" w:color="auto"/>
            <w:left w:val="none" w:sz="0" w:space="0" w:color="auto"/>
            <w:bottom w:val="none" w:sz="0" w:space="0" w:color="auto"/>
            <w:right w:val="none" w:sz="0" w:space="0" w:color="auto"/>
          </w:divBdr>
        </w:div>
        <w:div w:id="1245916676">
          <w:marLeft w:val="640"/>
          <w:marRight w:val="0"/>
          <w:marTop w:val="0"/>
          <w:marBottom w:val="0"/>
          <w:divBdr>
            <w:top w:val="none" w:sz="0" w:space="0" w:color="auto"/>
            <w:left w:val="none" w:sz="0" w:space="0" w:color="auto"/>
            <w:bottom w:val="none" w:sz="0" w:space="0" w:color="auto"/>
            <w:right w:val="none" w:sz="0" w:space="0" w:color="auto"/>
          </w:divBdr>
        </w:div>
        <w:div w:id="770202726">
          <w:marLeft w:val="640"/>
          <w:marRight w:val="0"/>
          <w:marTop w:val="0"/>
          <w:marBottom w:val="0"/>
          <w:divBdr>
            <w:top w:val="none" w:sz="0" w:space="0" w:color="auto"/>
            <w:left w:val="none" w:sz="0" w:space="0" w:color="auto"/>
            <w:bottom w:val="none" w:sz="0" w:space="0" w:color="auto"/>
            <w:right w:val="none" w:sz="0" w:space="0" w:color="auto"/>
          </w:divBdr>
        </w:div>
        <w:div w:id="365982160">
          <w:marLeft w:val="640"/>
          <w:marRight w:val="0"/>
          <w:marTop w:val="0"/>
          <w:marBottom w:val="0"/>
          <w:divBdr>
            <w:top w:val="none" w:sz="0" w:space="0" w:color="auto"/>
            <w:left w:val="none" w:sz="0" w:space="0" w:color="auto"/>
            <w:bottom w:val="none" w:sz="0" w:space="0" w:color="auto"/>
            <w:right w:val="none" w:sz="0" w:space="0" w:color="auto"/>
          </w:divBdr>
        </w:div>
        <w:div w:id="1042171090">
          <w:marLeft w:val="640"/>
          <w:marRight w:val="0"/>
          <w:marTop w:val="0"/>
          <w:marBottom w:val="0"/>
          <w:divBdr>
            <w:top w:val="none" w:sz="0" w:space="0" w:color="auto"/>
            <w:left w:val="none" w:sz="0" w:space="0" w:color="auto"/>
            <w:bottom w:val="none" w:sz="0" w:space="0" w:color="auto"/>
            <w:right w:val="none" w:sz="0" w:space="0" w:color="auto"/>
          </w:divBdr>
        </w:div>
        <w:div w:id="2054186597">
          <w:marLeft w:val="640"/>
          <w:marRight w:val="0"/>
          <w:marTop w:val="0"/>
          <w:marBottom w:val="0"/>
          <w:divBdr>
            <w:top w:val="none" w:sz="0" w:space="0" w:color="auto"/>
            <w:left w:val="none" w:sz="0" w:space="0" w:color="auto"/>
            <w:bottom w:val="none" w:sz="0" w:space="0" w:color="auto"/>
            <w:right w:val="none" w:sz="0" w:space="0" w:color="auto"/>
          </w:divBdr>
        </w:div>
        <w:div w:id="1722826790">
          <w:marLeft w:val="640"/>
          <w:marRight w:val="0"/>
          <w:marTop w:val="0"/>
          <w:marBottom w:val="0"/>
          <w:divBdr>
            <w:top w:val="none" w:sz="0" w:space="0" w:color="auto"/>
            <w:left w:val="none" w:sz="0" w:space="0" w:color="auto"/>
            <w:bottom w:val="none" w:sz="0" w:space="0" w:color="auto"/>
            <w:right w:val="none" w:sz="0" w:space="0" w:color="auto"/>
          </w:divBdr>
        </w:div>
        <w:div w:id="591593746">
          <w:marLeft w:val="640"/>
          <w:marRight w:val="0"/>
          <w:marTop w:val="0"/>
          <w:marBottom w:val="0"/>
          <w:divBdr>
            <w:top w:val="none" w:sz="0" w:space="0" w:color="auto"/>
            <w:left w:val="none" w:sz="0" w:space="0" w:color="auto"/>
            <w:bottom w:val="none" w:sz="0" w:space="0" w:color="auto"/>
            <w:right w:val="none" w:sz="0" w:space="0" w:color="auto"/>
          </w:divBdr>
        </w:div>
        <w:div w:id="372778857">
          <w:marLeft w:val="640"/>
          <w:marRight w:val="0"/>
          <w:marTop w:val="0"/>
          <w:marBottom w:val="0"/>
          <w:divBdr>
            <w:top w:val="none" w:sz="0" w:space="0" w:color="auto"/>
            <w:left w:val="none" w:sz="0" w:space="0" w:color="auto"/>
            <w:bottom w:val="none" w:sz="0" w:space="0" w:color="auto"/>
            <w:right w:val="none" w:sz="0" w:space="0" w:color="auto"/>
          </w:divBdr>
        </w:div>
        <w:div w:id="524758575">
          <w:marLeft w:val="640"/>
          <w:marRight w:val="0"/>
          <w:marTop w:val="0"/>
          <w:marBottom w:val="0"/>
          <w:divBdr>
            <w:top w:val="none" w:sz="0" w:space="0" w:color="auto"/>
            <w:left w:val="none" w:sz="0" w:space="0" w:color="auto"/>
            <w:bottom w:val="none" w:sz="0" w:space="0" w:color="auto"/>
            <w:right w:val="none" w:sz="0" w:space="0" w:color="auto"/>
          </w:divBdr>
        </w:div>
        <w:div w:id="564485146">
          <w:marLeft w:val="640"/>
          <w:marRight w:val="0"/>
          <w:marTop w:val="0"/>
          <w:marBottom w:val="0"/>
          <w:divBdr>
            <w:top w:val="none" w:sz="0" w:space="0" w:color="auto"/>
            <w:left w:val="none" w:sz="0" w:space="0" w:color="auto"/>
            <w:bottom w:val="none" w:sz="0" w:space="0" w:color="auto"/>
            <w:right w:val="none" w:sz="0" w:space="0" w:color="auto"/>
          </w:divBdr>
        </w:div>
        <w:div w:id="291717262">
          <w:marLeft w:val="640"/>
          <w:marRight w:val="0"/>
          <w:marTop w:val="0"/>
          <w:marBottom w:val="0"/>
          <w:divBdr>
            <w:top w:val="none" w:sz="0" w:space="0" w:color="auto"/>
            <w:left w:val="none" w:sz="0" w:space="0" w:color="auto"/>
            <w:bottom w:val="none" w:sz="0" w:space="0" w:color="auto"/>
            <w:right w:val="none" w:sz="0" w:space="0" w:color="auto"/>
          </w:divBdr>
        </w:div>
        <w:div w:id="809203947">
          <w:marLeft w:val="640"/>
          <w:marRight w:val="0"/>
          <w:marTop w:val="0"/>
          <w:marBottom w:val="0"/>
          <w:divBdr>
            <w:top w:val="none" w:sz="0" w:space="0" w:color="auto"/>
            <w:left w:val="none" w:sz="0" w:space="0" w:color="auto"/>
            <w:bottom w:val="none" w:sz="0" w:space="0" w:color="auto"/>
            <w:right w:val="none" w:sz="0" w:space="0" w:color="auto"/>
          </w:divBdr>
        </w:div>
        <w:div w:id="913397916">
          <w:marLeft w:val="640"/>
          <w:marRight w:val="0"/>
          <w:marTop w:val="0"/>
          <w:marBottom w:val="0"/>
          <w:divBdr>
            <w:top w:val="none" w:sz="0" w:space="0" w:color="auto"/>
            <w:left w:val="none" w:sz="0" w:space="0" w:color="auto"/>
            <w:bottom w:val="none" w:sz="0" w:space="0" w:color="auto"/>
            <w:right w:val="none" w:sz="0" w:space="0" w:color="auto"/>
          </w:divBdr>
        </w:div>
      </w:divsChild>
    </w:div>
    <w:div w:id="1711109817">
      <w:bodyDiv w:val="1"/>
      <w:marLeft w:val="0"/>
      <w:marRight w:val="0"/>
      <w:marTop w:val="0"/>
      <w:marBottom w:val="0"/>
      <w:divBdr>
        <w:top w:val="none" w:sz="0" w:space="0" w:color="auto"/>
        <w:left w:val="none" w:sz="0" w:space="0" w:color="auto"/>
        <w:bottom w:val="none" w:sz="0" w:space="0" w:color="auto"/>
        <w:right w:val="none" w:sz="0" w:space="0" w:color="auto"/>
      </w:divBdr>
      <w:divsChild>
        <w:div w:id="957104674">
          <w:marLeft w:val="640"/>
          <w:marRight w:val="0"/>
          <w:marTop w:val="0"/>
          <w:marBottom w:val="0"/>
          <w:divBdr>
            <w:top w:val="none" w:sz="0" w:space="0" w:color="auto"/>
            <w:left w:val="none" w:sz="0" w:space="0" w:color="auto"/>
            <w:bottom w:val="none" w:sz="0" w:space="0" w:color="auto"/>
            <w:right w:val="none" w:sz="0" w:space="0" w:color="auto"/>
          </w:divBdr>
        </w:div>
        <w:div w:id="1188329382">
          <w:marLeft w:val="640"/>
          <w:marRight w:val="0"/>
          <w:marTop w:val="0"/>
          <w:marBottom w:val="0"/>
          <w:divBdr>
            <w:top w:val="none" w:sz="0" w:space="0" w:color="auto"/>
            <w:left w:val="none" w:sz="0" w:space="0" w:color="auto"/>
            <w:bottom w:val="none" w:sz="0" w:space="0" w:color="auto"/>
            <w:right w:val="none" w:sz="0" w:space="0" w:color="auto"/>
          </w:divBdr>
        </w:div>
        <w:div w:id="714432772">
          <w:marLeft w:val="640"/>
          <w:marRight w:val="0"/>
          <w:marTop w:val="0"/>
          <w:marBottom w:val="0"/>
          <w:divBdr>
            <w:top w:val="none" w:sz="0" w:space="0" w:color="auto"/>
            <w:left w:val="none" w:sz="0" w:space="0" w:color="auto"/>
            <w:bottom w:val="none" w:sz="0" w:space="0" w:color="auto"/>
            <w:right w:val="none" w:sz="0" w:space="0" w:color="auto"/>
          </w:divBdr>
        </w:div>
        <w:div w:id="215286980">
          <w:marLeft w:val="640"/>
          <w:marRight w:val="0"/>
          <w:marTop w:val="0"/>
          <w:marBottom w:val="0"/>
          <w:divBdr>
            <w:top w:val="none" w:sz="0" w:space="0" w:color="auto"/>
            <w:left w:val="none" w:sz="0" w:space="0" w:color="auto"/>
            <w:bottom w:val="none" w:sz="0" w:space="0" w:color="auto"/>
            <w:right w:val="none" w:sz="0" w:space="0" w:color="auto"/>
          </w:divBdr>
        </w:div>
        <w:div w:id="790324014">
          <w:marLeft w:val="640"/>
          <w:marRight w:val="0"/>
          <w:marTop w:val="0"/>
          <w:marBottom w:val="0"/>
          <w:divBdr>
            <w:top w:val="none" w:sz="0" w:space="0" w:color="auto"/>
            <w:left w:val="none" w:sz="0" w:space="0" w:color="auto"/>
            <w:bottom w:val="none" w:sz="0" w:space="0" w:color="auto"/>
            <w:right w:val="none" w:sz="0" w:space="0" w:color="auto"/>
          </w:divBdr>
        </w:div>
        <w:div w:id="1446845512">
          <w:marLeft w:val="640"/>
          <w:marRight w:val="0"/>
          <w:marTop w:val="0"/>
          <w:marBottom w:val="0"/>
          <w:divBdr>
            <w:top w:val="none" w:sz="0" w:space="0" w:color="auto"/>
            <w:left w:val="none" w:sz="0" w:space="0" w:color="auto"/>
            <w:bottom w:val="none" w:sz="0" w:space="0" w:color="auto"/>
            <w:right w:val="none" w:sz="0" w:space="0" w:color="auto"/>
          </w:divBdr>
        </w:div>
        <w:div w:id="2054036869">
          <w:marLeft w:val="640"/>
          <w:marRight w:val="0"/>
          <w:marTop w:val="0"/>
          <w:marBottom w:val="0"/>
          <w:divBdr>
            <w:top w:val="none" w:sz="0" w:space="0" w:color="auto"/>
            <w:left w:val="none" w:sz="0" w:space="0" w:color="auto"/>
            <w:bottom w:val="none" w:sz="0" w:space="0" w:color="auto"/>
            <w:right w:val="none" w:sz="0" w:space="0" w:color="auto"/>
          </w:divBdr>
        </w:div>
        <w:div w:id="1808619540">
          <w:marLeft w:val="640"/>
          <w:marRight w:val="0"/>
          <w:marTop w:val="0"/>
          <w:marBottom w:val="0"/>
          <w:divBdr>
            <w:top w:val="none" w:sz="0" w:space="0" w:color="auto"/>
            <w:left w:val="none" w:sz="0" w:space="0" w:color="auto"/>
            <w:bottom w:val="none" w:sz="0" w:space="0" w:color="auto"/>
            <w:right w:val="none" w:sz="0" w:space="0" w:color="auto"/>
          </w:divBdr>
        </w:div>
        <w:div w:id="1501388029">
          <w:marLeft w:val="640"/>
          <w:marRight w:val="0"/>
          <w:marTop w:val="0"/>
          <w:marBottom w:val="0"/>
          <w:divBdr>
            <w:top w:val="none" w:sz="0" w:space="0" w:color="auto"/>
            <w:left w:val="none" w:sz="0" w:space="0" w:color="auto"/>
            <w:bottom w:val="none" w:sz="0" w:space="0" w:color="auto"/>
            <w:right w:val="none" w:sz="0" w:space="0" w:color="auto"/>
          </w:divBdr>
        </w:div>
        <w:div w:id="86773303">
          <w:marLeft w:val="640"/>
          <w:marRight w:val="0"/>
          <w:marTop w:val="0"/>
          <w:marBottom w:val="0"/>
          <w:divBdr>
            <w:top w:val="none" w:sz="0" w:space="0" w:color="auto"/>
            <w:left w:val="none" w:sz="0" w:space="0" w:color="auto"/>
            <w:bottom w:val="none" w:sz="0" w:space="0" w:color="auto"/>
            <w:right w:val="none" w:sz="0" w:space="0" w:color="auto"/>
          </w:divBdr>
        </w:div>
        <w:div w:id="1606499373">
          <w:marLeft w:val="640"/>
          <w:marRight w:val="0"/>
          <w:marTop w:val="0"/>
          <w:marBottom w:val="0"/>
          <w:divBdr>
            <w:top w:val="none" w:sz="0" w:space="0" w:color="auto"/>
            <w:left w:val="none" w:sz="0" w:space="0" w:color="auto"/>
            <w:bottom w:val="none" w:sz="0" w:space="0" w:color="auto"/>
            <w:right w:val="none" w:sz="0" w:space="0" w:color="auto"/>
          </w:divBdr>
        </w:div>
        <w:div w:id="366873829">
          <w:marLeft w:val="640"/>
          <w:marRight w:val="0"/>
          <w:marTop w:val="0"/>
          <w:marBottom w:val="0"/>
          <w:divBdr>
            <w:top w:val="none" w:sz="0" w:space="0" w:color="auto"/>
            <w:left w:val="none" w:sz="0" w:space="0" w:color="auto"/>
            <w:bottom w:val="none" w:sz="0" w:space="0" w:color="auto"/>
            <w:right w:val="none" w:sz="0" w:space="0" w:color="auto"/>
          </w:divBdr>
        </w:div>
        <w:div w:id="1658071747">
          <w:marLeft w:val="640"/>
          <w:marRight w:val="0"/>
          <w:marTop w:val="0"/>
          <w:marBottom w:val="0"/>
          <w:divBdr>
            <w:top w:val="none" w:sz="0" w:space="0" w:color="auto"/>
            <w:left w:val="none" w:sz="0" w:space="0" w:color="auto"/>
            <w:bottom w:val="none" w:sz="0" w:space="0" w:color="auto"/>
            <w:right w:val="none" w:sz="0" w:space="0" w:color="auto"/>
          </w:divBdr>
        </w:div>
        <w:div w:id="1096176364">
          <w:marLeft w:val="640"/>
          <w:marRight w:val="0"/>
          <w:marTop w:val="0"/>
          <w:marBottom w:val="0"/>
          <w:divBdr>
            <w:top w:val="none" w:sz="0" w:space="0" w:color="auto"/>
            <w:left w:val="none" w:sz="0" w:space="0" w:color="auto"/>
            <w:bottom w:val="none" w:sz="0" w:space="0" w:color="auto"/>
            <w:right w:val="none" w:sz="0" w:space="0" w:color="auto"/>
          </w:divBdr>
        </w:div>
        <w:div w:id="349525705">
          <w:marLeft w:val="640"/>
          <w:marRight w:val="0"/>
          <w:marTop w:val="0"/>
          <w:marBottom w:val="0"/>
          <w:divBdr>
            <w:top w:val="none" w:sz="0" w:space="0" w:color="auto"/>
            <w:left w:val="none" w:sz="0" w:space="0" w:color="auto"/>
            <w:bottom w:val="none" w:sz="0" w:space="0" w:color="auto"/>
            <w:right w:val="none" w:sz="0" w:space="0" w:color="auto"/>
          </w:divBdr>
        </w:div>
        <w:div w:id="1769304061">
          <w:marLeft w:val="640"/>
          <w:marRight w:val="0"/>
          <w:marTop w:val="0"/>
          <w:marBottom w:val="0"/>
          <w:divBdr>
            <w:top w:val="none" w:sz="0" w:space="0" w:color="auto"/>
            <w:left w:val="none" w:sz="0" w:space="0" w:color="auto"/>
            <w:bottom w:val="none" w:sz="0" w:space="0" w:color="auto"/>
            <w:right w:val="none" w:sz="0" w:space="0" w:color="auto"/>
          </w:divBdr>
        </w:div>
        <w:div w:id="574777381">
          <w:marLeft w:val="640"/>
          <w:marRight w:val="0"/>
          <w:marTop w:val="0"/>
          <w:marBottom w:val="0"/>
          <w:divBdr>
            <w:top w:val="none" w:sz="0" w:space="0" w:color="auto"/>
            <w:left w:val="none" w:sz="0" w:space="0" w:color="auto"/>
            <w:bottom w:val="none" w:sz="0" w:space="0" w:color="auto"/>
            <w:right w:val="none" w:sz="0" w:space="0" w:color="auto"/>
          </w:divBdr>
        </w:div>
        <w:div w:id="1111435108">
          <w:marLeft w:val="640"/>
          <w:marRight w:val="0"/>
          <w:marTop w:val="0"/>
          <w:marBottom w:val="0"/>
          <w:divBdr>
            <w:top w:val="none" w:sz="0" w:space="0" w:color="auto"/>
            <w:left w:val="none" w:sz="0" w:space="0" w:color="auto"/>
            <w:bottom w:val="none" w:sz="0" w:space="0" w:color="auto"/>
            <w:right w:val="none" w:sz="0" w:space="0" w:color="auto"/>
          </w:divBdr>
        </w:div>
        <w:div w:id="1508205412">
          <w:marLeft w:val="640"/>
          <w:marRight w:val="0"/>
          <w:marTop w:val="0"/>
          <w:marBottom w:val="0"/>
          <w:divBdr>
            <w:top w:val="none" w:sz="0" w:space="0" w:color="auto"/>
            <w:left w:val="none" w:sz="0" w:space="0" w:color="auto"/>
            <w:bottom w:val="none" w:sz="0" w:space="0" w:color="auto"/>
            <w:right w:val="none" w:sz="0" w:space="0" w:color="auto"/>
          </w:divBdr>
        </w:div>
        <w:div w:id="209079313">
          <w:marLeft w:val="640"/>
          <w:marRight w:val="0"/>
          <w:marTop w:val="0"/>
          <w:marBottom w:val="0"/>
          <w:divBdr>
            <w:top w:val="none" w:sz="0" w:space="0" w:color="auto"/>
            <w:left w:val="none" w:sz="0" w:space="0" w:color="auto"/>
            <w:bottom w:val="none" w:sz="0" w:space="0" w:color="auto"/>
            <w:right w:val="none" w:sz="0" w:space="0" w:color="auto"/>
          </w:divBdr>
        </w:div>
        <w:div w:id="383868515">
          <w:marLeft w:val="640"/>
          <w:marRight w:val="0"/>
          <w:marTop w:val="0"/>
          <w:marBottom w:val="0"/>
          <w:divBdr>
            <w:top w:val="none" w:sz="0" w:space="0" w:color="auto"/>
            <w:left w:val="none" w:sz="0" w:space="0" w:color="auto"/>
            <w:bottom w:val="none" w:sz="0" w:space="0" w:color="auto"/>
            <w:right w:val="none" w:sz="0" w:space="0" w:color="auto"/>
          </w:divBdr>
        </w:div>
        <w:div w:id="613052122">
          <w:marLeft w:val="640"/>
          <w:marRight w:val="0"/>
          <w:marTop w:val="0"/>
          <w:marBottom w:val="0"/>
          <w:divBdr>
            <w:top w:val="none" w:sz="0" w:space="0" w:color="auto"/>
            <w:left w:val="none" w:sz="0" w:space="0" w:color="auto"/>
            <w:bottom w:val="none" w:sz="0" w:space="0" w:color="auto"/>
            <w:right w:val="none" w:sz="0" w:space="0" w:color="auto"/>
          </w:divBdr>
        </w:div>
        <w:div w:id="1806778719">
          <w:marLeft w:val="640"/>
          <w:marRight w:val="0"/>
          <w:marTop w:val="0"/>
          <w:marBottom w:val="0"/>
          <w:divBdr>
            <w:top w:val="none" w:sz="0" w:space="0" w:color="auto"/>
            <w:left w:val="none" w:sz="0" w:space="0" w:color="auto"/>
            <w:bottom w:val="none" w:sz="0" w:space="0" w:color="auto"/>
            <w:right w:val="none" w:sz="0" w:space="0" w:color="auto"/>
          </w:divBdr>
        </w:div>
        <w:div w:id="409428164">
          <w:marLeft w:val="640"/>
          <w:marRight w:val="0"/>
          <w:marTop w:val="0"/>
          <w:marBottom w:val="0"/>
          <w:divBdr>
            <w:top w:val="none" w:sz="0" w:space="0" w:color="auto"/>
            <w:left w:val="none" w:sz="0" w:space="0" w:color="auto"/>
            <w:bottom w:val="none" w:sz="0" w:space="0" w:color="auto"/>
            <w:right w:val="none" w:sz="0" w:space="0" w:color="auto"/>
          </w:divBdr>
        </w:div>
        <w:div w:id="1934630446">
          <w:marLeft w:val="640"/>
          <w:marRight w:val="0"/>
          <w:marTop w:val="0"/>
          <w:marBottom w:val="0"/>
          <w:divBdr>
            <w:top w:val="none" w:sz="0" w:space="0" w:color="auto"/>
            <w:left w:val="none" w:sz="0" w:space="0" w:color="auto"/>
            <w:bottom w:val="none" w:sz="0" w:space="0" w:color="auto"/>
            <w:right w:val="none" w:sz="0" w:space="0" w:color="auto"/>
          </w:divBdr>
        </w:div>
        <w:div w:id="1118911839">
          <w:marLeft w:val="640"/>
          <w:marRight w:val="0"/>
          <w:marTop w:val="0"/>
          <w:marBottom w:val="0"/>
          <w:divBdr>
            <w:top w:val="none" w:sz="0" w:space="0" w:color="auto"/>
            <w:left w:val="none" w:sz="0" w:space="0" w:color="auto"/>
            <w:bottom w:val="none" w:sz="0" w:space="0" w:color="auto"/>
            <w:right w:val="none" w:sz="0" w:space="0" w:color="auto"/>
          </w:divBdr>
        </w:div>
        <w:div w:id="2045670542">
          <w:marLeft w:val="640"/>
          <w:marRight w:val="0"/>
          <w:marTop w:val="0"/>
          <w:marBottom w:val="0"/>
          <w:divBdr>
            <w:top w:val="none" w:sz="0" w:space="0" w:color="auto"/>
            <w:left w:val="none" w:sz="0" w:space="0" w:color="auto"/>
            <w:bottom w:val="none" w:sz="0" w:space="0" w:color="auto"/>
            <w:right w:val="none" w:sz="0" w:space="0" w:color="auto"/>
          </w:divBdr>
        </w:div>
        <w:div w:id="1911423640">
          <w:marLeft w:val="640"/>
          <w:marRight w:val="0"/>
          <w:marTop w:val="0"/>
          <w:marBottom w:val="0"/>
          <w:divBdr>
            <w:top w:val="none" w:sz="0" w:space="0" w:color="auto"/>
            <w:left w:val="none" w:sz="0" w:space="0" w:color="auto"/>
            <w:bottom w:val="none" w:sz="0" w:space="0" w:color="auto"/>
            <w:right w:val="none" w:sz="0" w:space="0" w:color="auto"/>
          </w:divBdr>
        </w:div>
        <w:div w:id="387531087">
          <w:marLeft w:val="640"/>
          <w:marRight w:val="0"/>
          <w:marTop w:val="0"/>
          <w:marBottom w:val="0"/>
          <w:divBdr>
            <w:top w:val="none" w:sz="0" w:space="0" w:color="auto"/>
            <w:left w:val="none" w:sz="0" w:space="0" w:color="auto"/>
            <w:bottom w:val="none" w:sz="0" w:space="0" w:color="auto"/>
            <w:right w:val="none" w:sz="0" w:space="0" w:color="auto"/>
          </w:divBdr>
        </w:div>
        <w:div w:id="1031225603">
          <w:marLeft w:val="640"/>
          <w:marRight w:val="0"/>
          <w:marTop w:val="0"/>
          <w:marBottom w:val="0"/>
          <w:divBdr>
            <w:top w:val="none" w:sz="0" w:space="0" w:color="auto"/>
            <w:left w:val="none" w:sz="0" w:space="0" w:color="auto"/>
            <w:bottom w:val="none" w:sz="0" w:space="0" w:color="auto"/>
            <w:right w:val="none" w:sz="0" w:space="0" w:color="auto"/>
          </w:divBdr>
        </w:div>
        <w:div w:id="86972159">
          <w:marLeft w:val="640"/>
          <w:marRight w:val="0"/>
          <w:marTop w:val="0"/>
          <w:marBottom w:val="0"/>
          <w:divBdr>
            <w:top w:val="none" w:sz="0" w:space="0" w:color="auto"/>
            <w:left w:val="none" w:sz="0" w:space="0" w:color="auto"/>
            <w:bottom w:val="none" w:sz="0" w:space="0" w:color="auto"/>
            <w:right w:val="none" w:sz="0" w:space="0" w:color="auto"/>
          </w:divBdr>
        </w:div>
        <w:div w:id="1051612660">
          <w:marLeft w:val="640"/>
          <w:marRight w:val="0"/>
          <w:marTop w:val="0"/>
          <w:marBottom w:val="0"/>
          <w:divBdr>
            <w:top w:val="none" w:sz="0" w:space="0" w:color="auto"/>
            <w:left w:val="none" w:sz="0" w:space="0" w:color="auto"/>
            <w:bottom w:val="none" w:sz="0" w:space="0" w:color="auto"/>
            <w:right w:val="none" w:sz="0" w:space="0" w:color="auto"/>
          </w:divBdr>
        </w:div>
        <w:div w:id="408311212">
          <w:marLeft w:val="640"/>
          <w:marRight w:val="0"/>
          <w:marTop w:val="0"/>
          <w:marBottom w:val="0"/>
          <w:divBdr>
            <w:top w:val="none" w:sz="0" w:space="0" w:color="auto"/>
            <w:left w:val="none" w:sz="0" w:space="0" w:color="auto"/>
            <w:bottom w:val="none" w:sz="0" w:space="0" w:color="auto"/>
            <w:right w:val="none" w:sz="0" w:space="0" w:color="auto"/>
          </w:divBdr>
        </w:div>
        <w:div w:id="837572399">
          <w:marLeft w:val="640"/>
          <w:marRight w:val="0"/>
          <w:marTop w:val="0"/>
          <w:marBottom w:val="0"/>
          <w:divBdr>
            <w:top w:val="none" w:sz="0" w:space="0" w:color="auto"/>
            <w:left w:val="none" w:sz="0" w:space="0" w:color="auto"/>
            <w:bottom w:val="none" w:sz="0" w:space="0" w:color="auto"/>
            <w:right w:val="none" w:sz="0" w:space="0" w:color="auto"/>
          </w:divBdr>
        </w:div>
        <w:div w:id="645090779">
          <w:marLeft w:val="640"/>
          <w:marRight w:val="0"/>
          <w:marTop w:val="0"/>
          <w:marBottom w:val="0"/>
          <w:divBdr>
            <w:top w:val="none" w:sz="0" w:space="0" w:color="auto"/>
            <w:left w:val="none" w:sz="0" w:space="0" w:color="auto"/>
            <w:bottom w:val="none" w:sz="0" w:space="0" w:color="auto"/>
            <w:right w:val="none" w:sz="0" w:space="0" w:color="auto"/>
          </w:divBdr>
        </w:div>
        <w:div w:id="1038048357">
          <w:marLeft w:val="640"/>
          <w:marRight w:val="0"/>
          <w:marTop w:val="0"/>
          <w:marBottom w:val="0"/>
          <w:divBdr>
            <w:top w:val="none" w:sz="0" w:space="0" w:color="auto"/>
            <w:left w:val="none" w:sz="0" w:space="0" w:color="auto"/>
            <w:bottom w:val="none" w:sz="0" w:space="0" w:color="auto"/>
            <w:right w:val="none" w:sz="0" w:space="0" w:color="auto"/>
          </w:divBdr>
        </w:div>
        <w:div w:id="915675569">
          <w:marLeft w:val="640"/>
          <w:marRight w:val="0"/>
          <w:marTop w:val="0"/>
          <w:marBottom w:val="0"/>
          <w:divBdr>
            <w:top w:val="none" w:sz="0" w:space="0" w:color="auto"/>
            <w:left w:val="none" w:sz="0" w:space="0" w:color="auto"/>
            <w:bottom w:val="none" w:sz="0" w:space="0" w:color="auto"/>
            <w:right w:val="none" w:sz="0" w:space="0" w:color="auto"/>
          </w:divBdr>
        </w:div>
        <w:div w:id="1706783578">
          <w:marLeft w:val="640"/>
          <w:marRight w:val="0"/>
          <w:marTop w:val="0"/>
          <w:marBottom w:val="0"/>
          <w:divBdr>
            <w:top w:val="none" w:sz="0" w:space="0" w:color="auto"/>
            <w:left w:val="none" w:sz="0" w:space="0" w:color="auto"/>
            <w:bottom w:val="none" w:sz="0" w:space="0" w:color="auto"/>
            <w:right w:val="none" w:sz="0" w:space="0" w:color="auto"/>
          </w:divBdr>
        </w:div>
        <w:div w:id="1631472243">
          <w:marLeft w:val="640"/>
          <w:marRight w:val="0"/>
          <w:marTop w:val="0"/>
          <w:marBottom w:val="0"/>
          <w:divBdr>
            <w:top w:val="none" w:sz="0" w:space="0" w:color="auto"/>
            <w:left w:val="none" w:sz="0" w:space="0" w:color="auto"/>
            <w:bottom w:val="none" w:sz="0" w:space="0" w:color="auto"/>
            <w:right w:val="none" w:sz="0" w:space="0" w:color="auto"/>
          </w:divBdr>
        </w:div>
        <w:div w:id="1836342491">
          <w:marLeft w:val="640"/>
          <w:marRight w:val="0"/>
          <w:marTop w:val="0"/>
          <w:marBottom w:val="0"/>
          <w:divBdr>
            <w:top w:val="none" w:sz="0" w:space="0" w:color="auto"/>
            <w:left w:val="none" w:sz="0" w:space="0" w:color="auto"/>
            <w:bottom w:val="none" w:sz="0" w:space="0" w:color="auto"/>
            <w:right w:val="none" w:sz="0" w:space="0" w:color="auto"/>
          </w:divBdr>
        </w:div>
        <w:div w:id="2059238268">
          <w:marLeft w:val="640"/>
          <w:marRight w:val="0"/>
          <w:marTop w:val="0"/>
          <w:marBottom w:val="0"/>
          <w:divBdr>
            <w:top w:val="none" w:sz="0" w:space="0" w:color="auto"/>
            <w:left w:val="none" w:sz="0" w:space="0" w:color="auto"/>
            <w:bottom w:val="none" w:sz="0" w:space="0" w:color="auto"/>
            <w:right w:val="none" w:sz="0" w:space="0" w:color="auto"/>
          </w:divBdr>
        </w:div>
        <w:div w:id="557862381">
          <w:marLeft w:val="640"/>
          <w:marRight w:val="0"/>
          <w:marTop w:val="0"/>
          <w:marBottom w:val="0"/>
          <w:divBdr>
            <w:top w:val="none" w:sz="0" w:space="0" w:color="auto"/>
            <w:left w:val="none" w:sz="0" w:space="0" w:color="auto"/>
            <w:bottom w:val="none" w:sz="0" w:space="0" w:color="auto"/>
            <w:right w:val="none" w:sz="0" w:space="0" w:color="auto"/>
          </w:divBdr>
        </w:div>
        <w:div w:id="664865345">
          <w:marLeft w:val="640"/>
          <w:marRight w:val="0"/>
          <w:marTop w:val="0"/>
          <w:marBottom w:val="0"/>
          <w:divBdr>
            <w:top w:val="none" w:sz="0" w:space="0" w:color="auto"/>
            <w:left w:val="none" w:sz="0" w:space="0" w:color="auto"/>
            <w:bottom w:val="none" w:sz="0" w:space="0" w:color="auto"/>
            <w:right w:val="none" w:sz="0" w:space="0" w:color="auto"/>
          </w:divBdr>
        </w:div>
        <w:div w:id="1217400210">
          <w:marLeft w:val="640"/>
          <w:marRight w:val="0"/>
          <w:marTop w:val="0"/>
          <w:marBottom w:val="0"/>
          <w:divBdr>
            <w:top w:val="none" w:sz="0" w:space="0" w:color="auto"/>
            <w:left w:val="none" w:sz="0" w:space="0" w:color="auto"/>
            <w:bottom w:val="none" w:sz="0" w:space="0" w:color="auto"/>
            <w:right w:val="none" w:sz="0" w:space="0" w:color="auto"/>
          </w:divBdr>
        </w:div>
        <w:div w:id="1106778586">
          <w:marLeft w:val="640"/>
          <w:marRight w:val="0"/>
          <w:marTop w:val="0"/>
          <w:marBottom w:val="0"/>
          <w:divBdr>
            <w:top w:val="none" w:sz="0" w:space="0" w:color="auto"/>
            <w:left w:val="none" w:sz="0" w:space="0" w:color="auto"/>
            <w:bottom w:val="none" w:sz="0" w:space="0" w:color="auto"/>
            <w:right w:val="none" w:sz="0" w:space="0" w:color="auto"/>
          </w:divBdr>
        </w:div>
        <w:div w:id="166212885">
          <w:marLeft w:val="640"/>
          <w:marRight w:val="0"/>
          <w:marTop w:val="0"/>
          <w:marBottom w:val="0"/>
          <w:divBdr>
            <w:top w:val="none" w:sz="0" w:space="0" w:color="auto"/>
            <w:left w:val="none" w:sz="0" w:space="0" w:color="auto"/>
            <w:bottom w:val="none" w:sz="0" w:space="0" w:color="auto"/>
            <w:right w:val="none" w:sz="0" w:space="0" w:color="auto"/>
          </w:divBdr>
        </w:div>
        <w:div w:id="1998462651">
          <w:marLeft w:val="640"/>
          <w:marRight w:val="0"/>
          <w:marTop w:val="0"/>
          <w:marBottom w:val="0"/>
          <w:divBdr>
            <w:top w:val="none" w:sz="0" w:space="0" w:color="auto"/>
            <w:left w:val="none" w:sz="0" w:space="0" w:color="auto"/>
            <w:bottom w:val="none" w:sz="0" w:space="0" w:color="auto"/>
            <w:right w:val="none" w:sz="0" w:space="0" w:color="auto"/>
          </w:divBdr>
        </w:div>
        <w:div w:id="2074886234">
          <w:marLeft w:val="640"/>
          <w:marRight w:val="0"/>
          <w:marTop w:val="0"/>
          <w:marBottom w:val="0"/>
          <w:divBdr>
            <w:top w:val="none" w:sz="0" w:space="0" w:color="auto"/>
            <w:left w:val="none" w:sz="0" w:space="0" w:color="auto"/>
            <w:bottom w:val="none" w:sz="0" w:space="0" w:color="auto"/>
            <w:right w:val="none" w:sz="0" w:space="0" w:color="auto"/>
          </w:divBdr>
        </w:div>
        <w:div w:id="1354502714">
          <w:marLeft w:val="640"/>
          <w:marRight w:val="0"/>
          <w:marTop w:val="0"/>
          <w:marBottom w:val="0"/>
          <w:divBdr>
            <w:top w:val="none" w:sz="0" w:space="0" w:color="auto"/>
            <w:left w:val="none" w:sz="0" w:space="0" w:color="auto"/>
            <w:bottom w:val="none" w:sz="0" w:space="0" w:color="auto"/>
            <w:right w:val="none" w:sz="0" w:space="0" w:color="auto"/>
          </w:divBdr>
        </w:div>
        <w:div w:id="2106728430">
          <w:marLeft w:val="640"/>
          <w:marRight w:val="0"/>
          <w:marTop w:val="0"/>
          <w:marBottom w:val="0"/>
          <w:divBdr>
            <w:top w:val="none" w:sz="0" w:space="0" w:color="auto"/>
            <w:left w:val="none" w:sz="0" w:space="0" w:color="auto"/>
            <w:bottom w:val="none" w:sz="0" w:space="0" w:color="auto"/>
            <w:right w:val="none" w:sz="0" w:space="0" w:color="auto"/>
          </w:divBdr>
        </w:div>
        <w:div w:id="681980557">
          <w:marLeft w:val="640"/>
          <w:marRight w:val="0"/>
          <w:marTop w:val="0"/>
          <w:marBottom w:val="0"/>
          <w:divBdr>
            <w:top w:val="none" w:sz="0" w:space="0" w:color="auto"/>
            <w:left w:val="none" w:sz="0" w:space="0" w:color="auto"/>
            <w:bottom w:val="none" w:sz="0" w:space="0" w:color="auto"/>
            <w:right w:val="none" w:sz="0" w:space="0" w:color="auto"/>
          </w:divBdr>
        </w:div>
        <w:div w:id="2042129274">
          <w:marLeft w:val="640"/>
          <w:marRight w:val="0"/>
          <w:marTop w:val="0"/>
          <w:marBottom w:val="0"/>
          <w:divBdr>
            <w:top w:val="none" w:sz="0" w:space="0" w:color="auto"/>
            <w:left w:val="none" w:sz="0" w:space="0" w:color="auto"/>
            <w:bottom w:val="none" w:sz="0" w:space="0" w:color="auto"/>
            <w:right w:val="none" w:sz="0" w:space="0" w:color="auto"/>
          </w:divBdr>
        </w:div>
        <w:div w:id="1286542004">
          <w:marLeft w:val="640"/>
          <w:marRight w:val="0"/>
          <w:marTop w:val="0"/>
          <w:marBottom w:val="0"/>
          <w:divBdr>
            <w:top w:val="none" w:sz="0" w:space="0" w:color="auto"/>
            <w:left w:val="none" w:sz="0" w:space="0" w:color="auto"/>
            <w:bottom w:val="none" w:sz="0" w:space="0" w:color="auto"/>
            <w:right w:val="none" w:sz="0" w:space="0" w:color="auto"/>
          </w:divBdr>
        </w:div>
        <w:div w:id="1839225956">
          <w:marLeft w:val="640"/>
          <w:marRight w:val="0"/>
          <w:marTop w:val="0"/>
          <w:marBottom w:val="0"/>
          <w:divBdr>
            <w:top w:val="none" w:sz="0" w:space="0" w:color="auto"/>
            <w:left w:val="none" w:sz="0" w:space="0" w:color="auto"/>
            <w:bottom w:val="none" w:sz="0" w:space="0" w:color="auto"/>
            <w:right w:val="none" w:sz="0" w:space="0" w:color="auto"/>
          </w:divBdr>
        </w:div>
        <w:div w:id="2017032038">
          <w:marLeft w:val="640"/>
          <w:marRight w:val="0"/>
          <w:marTop w:val="0"/>
          <w:marBottom w:val="0"/>
          <w:divBdr>
            <w:top w:val="none" w:sz="0" w:space="0" w:color="auto"/>
            <w:left w:val="none" w:sz="0" w:space="0" w:color="auto"/>
            <w:bottom w:val="none" w:sz="0" w:space="0" w:color="auto"/>
            <w:right w:val="none" w:sz="0" w:space="0" w:color="auto"/>
          </w:divBdr>
        </w:div>
        <w:div w:id="1937706504">
          <w:marLeft w:val="640"/>
          <w:marRight w:val="0"/>
          <w:marTop w:val="0"/>
          <w:marBottom w:val="0"/>
          <w:divBdr>
            <w:top w:val="none" w:sz="0" w:space="0" w:color="auto"/>
            <w:left w:val="none" w:sz="0" w:space="0" w:color="auto"/>
            <w:bottom w:val="none" w:sz="0" w:space="0" w:color="auto"/>
            <w:right w:val="none" w:sz="0" w:space="0" w:color="auto"/>
          </w:divBdr>
        </w:div>
        <w:div w:id="1344017375">
          <w:marLeft w:val="640"/>
          <w:marRight w:val="0"/>
          <w:marTop w:val="0"/>
          <w:marBottom w:val="0"/>
          <w:divBdr>
            <w:top w:val="none" w:sz="0" w:space="0" w:color="auto"/>
            <w:left w:val="none" w:sz="0" w:space="0" w:color="auto"/>
            <w:bottom w:val="none" w:sz="0" w:space="0" w:color="auto"/>
            <w:right w:val="none" w:sz="0" w:space="0" w:color="auto"/>
          </w:divBdr>
        </w:div>
        <w:div w:id="1981574288">
          <w:marLeft w:val="640"/>
          <w:marRight w:val="0"/>
          <w:marTop w:val="0"/>
          <w:marBottom w:val="0"/>
          <w:divBdr>
            <w:top w:val="none" w:sz="0" w:space="0" w:color="auto"/>
            <w:left w:val="none" w:sz="0" w:space="0" w:color="auto"/>
            <w:bottom w:val="none" w:sz="0" w:space="0" w:color="auto"/>
            <w:right w:val="none" w:sz="0" w:space="0" w:color="auto"/>
          </w:divBdr>
        </w:div>
        <w:div w:id="1626546383">
          <w:marLeft w:val="640"/>
          <w:marRight w:val="0"/>
          <w:marTop w:val="0"/>
          <w:marBottom w:val="0"/>
          <w:divBdr>
            <w:top w:val="none" w:sz="0" w:space="0" w:color="auto"/>
            <w:left w:val="none" w:sz="0" w:space="0" w:color="auto"/>
            <w:bottom w:val="none" w:sz="0" w:space="0" w:color="auto"/>
            <w:right w:val="none" w:sz="0" w:space="0" w:color="auto"/>
          </w:divBdr>
        </w:div>
        <w:div w:id="2126926294">
          <w:marLeft w:val="640"/>
          <w:marRight w:val="0"/>
          <w:marTop w:val="0"/>
          <w:marBottom w:val="0"/>
          <w:divBdr>
            <w:top w:val="none" w:sz="0" w:space="0" w:color="auto"/>
            <w:left w:val="none" w:sz="0" w:space="0" w:color="auto"/>
            <w:bottom w:val="none" w:sz="0" w:space="0" w:color="auto"/>
            <w:right w:val="none" w:sz="0" w:space="0" w:color="auto"/>
          </w:divBdr>
        </w:div>
        <w:div w:id="1452671895">
          <w:marLeft w:val="640"/>
          <w:marRight w:val="0"/>
          <w:marTop w:val="0"/>
          <w:marBottom w:val="0"/>
          <w:divBdr>
            <w:top w:val="none" w:sz="0" w:space="0" w:color="auto"/>
            <w:left w:val="none" w:sz="0" w:space="0" w:color="auto"/>
            <w:bottom w:val="none" w:sz="0" w:space="0" w:color="auto"/>
            <w:right w:val="none" w:sz="0" w:space="0" w:color="auto"/>
          </w:divBdr>
        </w:div>
        <w:div w:id="1524249661">
          <w:marLeft w:val="640"/>
          <w:marRight w:val="0"/>
          <w:marTop w:val="0"/>
          <w:marBottom w:val="0"/>
          <w:divBdr>
            <w:top w:val="none" w:sz="0" w:space="0" w:color="auto"/>
            <w:left w:val="none" w:sz="0" w:space="0" w:color="auto"/>
            <w:bottom w:val="none" w:sz="0" w:space="0" w:color="auto"/>
            <w:right w:val="none" w:sz="0" w:space="0" w:color="auto"/>
          </w:divBdr>
        </w:div>
        <w:div w:id="806363985">
          <w:marLeft w:val="640"/>
          <w:marRight w:val="0"/>
          <w:marTop w:val="0"/>
          <w:marBottom w:val="0"/>
          <w:divBdr>
            <w:top w:val="none" w:sz="0" w:space="0" w:color="auto"/>
            <w:left w:val="none" w:sz="0" w:space="0" w:color="auto"/>
            <w:bottom w:val="none" w:sz="0" w:space="0" w:color="auto"/>
            <w:right w:val="none" w:sz="0" w:space="0" w:color="auto"/>
          </w:divBdr>
        </w:div>
        <w:div w:id="1442609058">
          <w:marLeft w:val="640"/>
          <w:marRight w:val="0"/>
          <w:marTop w:val="0"/>
          <w:marBottom w:val="0"/>
          <w:divBdr>
            <w:top w:val="none" w:sz="0" w:space="0" w:color="auto"/>
            <w:left w:val="none" w:sz="0" w:space="0" w:color="auto"/>
            <w:bottom w:val="none" w:sz="0" w:space="0" w:color="auto"/>
            <w:right w:val="none" w:sz="0" w:space="0" w:color="auto"/>
          </w:divBdr>
        </w:div>
        <w:div w:id="738670485">
          <w:marLeft w:val="640"/>
          <w:marRight w:val="0"/>
          <w:marTop w:val="0"/>
          <w:marBottom w:val="0"/>
          <w:divBdr>
            <w:top w:val="none" w:sz="0" w:space="0" w:color="auto"/>
            <w:left w:val="none" w:sz="0" w:space="0" w:color="auto"/>
            <w:bottom w:val="none" w:sz="0" w:space="0" w:color="auto"/>
            <w:right w:val="none" w:sz="0" w:space="0" w:color="auto"/>
          </w:divBdr>
        </w:div>
        <w:div w:id="631247414">
          <w:marLeft w:val="640"/>
          <w:marRight w:val="0"/>
          <w:marTop w:val="0"/>
          <w:marBottom w:val="0"/>
          <w:divBdr>
            <w:top w:val="none" w:sz="0" w:space="0" w:color="auto"/>
            <w:left w:val="none" w:sz="0" w:space="0" w:color="auto"/>
            <w:bottom w:val="none" w:sz="0" w:space="0" w:color="auto"/>
            <w:right w:val="none" w:sz="0" w:space="0" w:color="auto"/>
          </w:divBdr>
        </w:div>
        <w:div w:id="567767801">
          <w:marLeft w:val="640"/>
          <w:marRight w:val="0"/>
          <w:marTop w:val="0"/>
          <w:marBottom w:val="0"/>
          <w:divBdr>
            <w:top w:val="none" w:sz="0" w:space="0" w:color="auto"/>
            <w:left w:val="none" w:sz="0" w:space="0" w:color="auto"/>
            <w:bottom w:val="none" w:sz="0" w:space="0" w:color="auto"/>
            <w:right w:val="none" w:sz="0" w:space="0" w:color="auto"/>
          </w:divBdr>
        </w:div>
        <w:div w:id="1577204796">
          <w:marLeft w:val="640"/>
          <w:marRight w:val="0"/>
          <w:marTop w:val="0"/>
          <w:marBottom w:val="0"/>
          <w:divBdr>
            <w:top w:val="none" w:sz="0" w:space="0" w:color="auto"/>
            <w:left w:val="none" w:sz="0" w:space="0" w:color="auto"/>
            <w:bottom w:val="none" w:sz="0" w:space="0" w:color="auto"/>
            <w:right w:val="none" w:sz="0" w:space="0" w:color="auto"/>
          </w:divBdr>
        </w:div>
        <w:div w:id="1893226840">
          <w:marLeft w:val="640"/>
          <w:marRight w:val="0"/>
          <w:marTop w:val="0"/>
          <w:marBottom w:val="0"/>
          <w:divBdr>
            <w:top w:val="none" w:sz="0" w:space="0" w:color="auto"/>
            <w:left w:val="none" w:sz="0" w:space="0" w:color="auto"/>
            <w:bottom w:val="none" w:sz="0" w:space="0" w:color="auto"/>
            <w:right w:val="none" w:sz="0" w:space="0" w:color="auto"/>
          </w:divBdr>
        </w:div>
        <w:div w:id="1744568612">
          <w:marLeft w:val="640"/>
          <w:marRight w:val="0"/>
          <w:marTop w:val="0"/>
          <w:marBottom w:val="0"/>
          <w:divBdr>
            <w:top w:val="none" w:sz="0" w:space="0" w:color="auto"/>
            <w:left w:val="none" w:sz="0" w:space="0" w:color="auto"/>
            <w:bottom w:val="none" w:sz="0" w:space="0" w:color="auto"/>
            <w:right w:val="none" w:sz="0" w:space="0" w:color="auto"/>
          </w:divBdr>
        </w:div>
        <w:div w:id="2125952324">
          <w:marLeft w:val="640"/>
          <w:marRight w:val="0"/>
          <w:marTop w:val="0"/>
          <w:marBottom w:val="0"/>
          <w:divBdr>
            <w:top w:val="none" w:sz="0" w:space="0" w:color="auto"/>
            <w:left w:val="none" w:sz="0" w:space="0" w:color="auto"/>
            <w:bottom w:val="none" w:sz="0" w:space="0" w:color="auto"/>
            <w:right w:val="none" w:sz="0" w:space="0" w:color="auto"/>
          </w:divBdr>
        </w:div>
        <w:div w:id="1306620263">
          <w:marLeft w:val="640"/>
          <w:marRight w:val="0"/>
          <w:marTop w:val="0"/>
          <w:marBottom w:val="0"/>
          <w:divBdr>
            <w:top w:val="none" w:sz="0" w:space="0" w:color="auto"/>
            <w:left w:val="none" w:sz="0" w:space="0" w:color="auto"/>
            <w:bottom w:val="none" w:sz="0" w:space="0" w:color="auto"/>
            <w:right w:val="none" w:sz="0" w:space="0" w:color="auto"/>
          </w:divBdr>
        </w:div>
        <w:div w:id="176237008">
          <w:marLeft w:val="640"/>
          <w:marRight w:val="0"/>
          <w:marTop w:val="0"/>
          <w:marBottom w:val="0"/>
          <w:divBdr>
            <w:top w:val="none" w:sz="0" w:space="0" w:color="auto"/>
            <w:left w:val="none" w:sz="0" w:space="0" w:color="auto"/>
            <w:bottom w:val="none" w:sz="0" w:space="0" w:color="auto"/>
            <w:right w:val="none" w:sz="0" w:space="0" w:color="auto"/>
          </w:divBdr>
        </w:div>
        <w:div w:id="711618931">
          <w:marLeft w:val="640"/>
          <w:marRight w:val="0"/>
          <w:marTop w:val="0"/>
          <w:marBottom w:val="0"/>
          <w:divBdr>
            <w:top w:val="none" w:sz="0" w:space="0" w:color="auto"/>
            <w:left w:val="none" w:sz="0" w:space="0" w:color="auto"/>
            <w:bottom w:val="none" w:sz="0" w:space="0" w:color="auto"/>
            <w:right w:val="none" w:sz="0" w:space="0" w:color="auto"/>
          </w:divBdr>
        </w:div>
        <w:div w:id="1562209168">
          <w:marLeft w:val="640"/>
          <w:marRight w:val="0"/>
          <w:marTop w:val="0"/>
          <w:marBottom w:val="0"/>
          <w:divBdr>
            <w:top w:val="none" w:sz="0" w:space="0" w:color="auto"/>
            <w:left w:val="none" w:sz="0" w:space="0" w:color="auto"/>
            <w:bottom w:val="none" w:sz="0" w:space="0" w:color="auto"/>
            <w:right w:val="none" w:sz="0" w:space="0" w:color="auto"/>
          </w:divBdr>
        </w:div>
        <w:div w:id="196356395">
          <w:marLeft w:val="640"/>
          <w:marRight w:val="0"/>
          <w:marTop w:val="0"/>
          <w:marBottom w:val="0"/>
          <w:divBdr>
            <w:top w:val="none" w:sz="0" w:space="0" w:color="auto"/>
            <w:left w:val="none" w:sz="0" w:space="0" w:color="auto"/>
            <w:bottom w:val="none" w:sz="0" w:space="0" w:color="auto"/>
            <w:right w:val="none" w:sz="0" w:space="0" w:color="auto"/>
          </w:divBdr>
        </w:div>
        <w:div w:id="1126777335">
          <w:marLeft w:val="640"/>
          <w:marRight w:val="0"/>
          <w:marTop w:val="0"/>
          <w:marBottom w:val="0"/>
          <w:divBdr>
            <w:top w:val="none" w:sz="0" w:space="0" w:color="auto"/>
            <w:left w:val="none" w:sz="0" w:space="0" w:color="auto"/>
            <w:bottom w:val="none" w:sz="0" w:space="0" w:color="auto"/>
            <w:right w:val="none" w:sz="0" w:space="0" w:color="auto"/>
          </w:divBdr>
        </w:div>
        <w:div w:id="1454791277">
          <w:marLeft w:val="640"/>
          <w:marRight w:val="0"/>
          <w:marTop w:val="0"/>
          <w:marBottom w:val="0"/>
          <w:divBdr>
            <w:top w:val="none" w:sz="0" w:space="0" w:color="auto"/>
            <w:left w:val="none" w:sz="0" w:space="0" w:color="auto"/>
            <w:bottom w:val="none" w:sz="0" w:space="0" w:color="auto"/>
            <w:right w:val="none" w:sz="0" w:space="0" w:color="auto"/>
          </w:divBdr>
        </w:div>
        <w:div w:id="1666013643">
          <w:marLeft w:val="640"/>
          <w:marRight w:val="0"/>
          <w:marTop w:val="0"/>
          <w:marBottom w:val="0"/>
          <w:divBdr>
            <w:top w:val="none" w:sz="0" w:space="0" w:color="auto"/>
            <w:left w:val="none" w:sz="0" w:space="0" w:color="auto"/>
            <w:bottom w:val="none" w:sz="0" w:space="0" w:color="auto"/>
            <w:right w:val="none" w:sz="0" w:space="0" w:color="auto"/>
          </w:divBdr>
        </w:div>
        <w:div w:id="2141798855">
          <w:marLeft w:val="640"/>
          <w:marRight w:val="0"/>
          <w:marTop w:val="0"/>
          <w:marBottom w:val="0"/>
          <w:divBdr>
            <w:top w:val="none" w:sz="0" w:space="0" w:color="auto"/>
            <w:left w:val="none" w:sz="0" w:space="0" w:color="auto"/>
            <w:bottom w:val="none" w:sz="0" w:space="0" w:color="auto"/>
            <w:right w:val="none" w:sz="0" w:space="0" w:color="auto"/>
          </w:divBdr>
        </w:div>
        <w:div w:id="1687710693">
          <w:marLeft w:val="640"/>
          <w:marRight w:val="0"/>
          <w:marTop w:val="0"/>
          <w:marBottom w:val="0"/>
          <w:divBdr>
            <w:top w:val="none" w:sz="0" w:space="0" w:color="auto"/>
            <w:left w:val="none" w:sz="0" w:space="0" w:color="auto"/>
            <w:bottom w:val="none" w:sz="0" w:space="0" w:color="auto"/>
            <w:right w:val="none" w:sz="0" w:space="0" w:color="auto"/>
          </w:divBdr>
        </w:div>
        <w:div w:id="2084183169">
          <w:marLeft w:val="640"/>
          <w:marRight w:val="0"/>
          <w:marTop w:val="0"/>
          <w:marBottom w:val="0"/>
          <w:divBdr>
            <w:top w:val="none" w:sz="0" w:space="0" w:color="auto"/>
            <w:left w:val="none" w:sz="0" w:space="0" w:color="auto"/>
            <w:bottom w:val="none" w:sz="0" w:space="0" w:color="auto"/>
            <w:right w:val="none" w:sz="0" w:space="0" w:color="auto"/>
          </w:divBdr>
        </w:div>
        <w:div w:id="293759537">
          <w:marLeft w:val="640"/>
          <w:marRight w:val="0"/>
          <w:marTop w:val="0"/>
          <w:marBottom w:val="0"/>
          <w:divBdr>
            <w:top w:val="none" w:sz="0" w:space="0" w:color="auto"/>
            <w:left w:val="none" w:sz="0" w:space="0" w:color="auto"/>
            <w:bottom w:val="none" w:sz="0" w:space="0" w:color="auto"/>
            <w:right w:val="none" w:sz="0" w:space="0" w:color="auto"/>
          </w:divBdr>
        </w:div>
        <w:div w:id="1457526379">
          <w:marLeft w:val="640"/>
          <w:marRight w:val="0"/>
          <w:marTop w:val="0"/>
          <w:marBottom w:val="0"/>
          <w:divBdr>
            <w:top w:val="none" w:sz="0" w:space="0" w:color="auto"/>
            <w:left w:val="none" w:sz="0" w:space="0" w:color="auto"/>
            <w:bottom w:val="none" w:sz="0" w:space="0" w:color="auto"/>
            <w:right w:val="none" w:sz="0" w:space="0" w:color="auto"/>
          </w:divBdr>
        </w:div>
        <w:div w:id="28652550">
          <w:marLeft w:val="640"/>
          <w:marRight w:val="0"/>
          <w:marTop w:val="0"/>
          <w:marBottom w:val="0"/>
          <w:divBdr>
            <w:top w:val="none" w:sz="0" w:space="0" w:color="auto"/>
            <w:left w:val="none" w:sz="0" w:space="0" w:color="auto"/>
            <w:bottom w:val="none" w:sz="0" w:space="0" w:color="auto"/>
            <w:right w:val="none" w:sz="0" w:space="0" w:color="auto"/>
          </w:divBdr>
        </w:div>
        <w:div w:id="690110045">
          <w:marLeft w:val="640"/>
          <w:marRight w:val="0"/>
          <w:marTop w:val="0"/>
          <w:marBottom w:val="0"/>
          <w:divBdr>
            <w:top w:val="none" w:sz="0" w:space="0" w:color="auto"/>
            <w:left w:val="none" w:sz="0" w:space="0" w:color="auto"/>
            <w:bottom w:val="none" w:sz="0" w:space="0" w:color="auto"/>
            <w:right w:val="none" w:sz="0" w:space="0" w:color="auto"/>
          </w:divBdr>
        </w:div>
        <w:div w:id="76051518">
          <w:marLeft w:val="640"/>
          <w:marRight w:val="0"/>
          <w:marTop w:val="0"/>
          <w:marBottom w:val="0"/>
          <w:divBdr>
            <w:top w:val="none" w:sz="0" w:space="0" w:color="auto"/>
            <w:left w:val="none" w:sz="0" w:space="0" w:color="auto"/>
            <w:bottom w:val="none" w:sz="0" w:space="0" w:color="auto"/>
            <w:right w:val="none" w:sz="0" w:space="0" w:color="auto"/>
          </w:divBdr>
        </w:div>
        <w:div w:id="156966348">
          <w:marLeft w:val="640"/>
          <w:marRight w:val="0"/>
          <w:marTop w:val="0"/>
          <w:marBottom w:val="0"/>
          <w:divBdr>
            <w:top w:val="none" w:sz="0" w:space="0" w:color="auto"/>
            <w:left w:val="none" w:sz="0" w:space="0" w:color="auto"/>
            <w:bottom w:val="none" w:sz="0" w:space="0" w:color="auto"/>
            <w:right w:val="none" w:sz="0" w:space="0" w:color="auto"/>
          </w:divBdr>
        </w:div>
        <w:div w:id="986741494">
          <w:marLeft w:val="640"/>
          <w:marRight w:val="0"/>
          <w:marTop w:val="0"/>
          <w:marBottom w:val="0"/>
          <w:divBdr>
            <w:top w:val="none" w:sz="0" w:space="0" w:color="auto"/>
            <w:left w:val="none" w:sz="0" w:space="0" w:color="auto"/>
            <w:bottom w:val="none" w:sz="0" w:space="0" w:color="auto"/>
            <w:right w:val="none" w:sz="0" w:space="0" w:color="auto"/>
          </w:divBdr>
        </w:div>
        <w:div w:id="450369511">
          <w:marLeft w:val="640"/>
          <w:marRight w:val="0"/>
          <w:marTop w:val="0"/>
          <w:marBottom w:val="0"/>
          <w:divBdr>
            <w:top w:val="none" w:sz="0" w:space="0" w:color="auto"/>
            <w:left w:val="none" w:sz="0" w:space="0" w:color="auto"/>
            <w:bottom w:val="none" w:sz="0" w:space="0" w:color="auto"/>
            <w:right w:val="none" w:sz="0" w:space="0" w:color="auto"/>
          </w:divBdr>
        </w:div>
        <w:div w:id="1228803633">
          <w:marLeft w:val="640"/>
          <w:marRight w:val="0"/>
          <w:marTop w:val="0"/>
          <w:marBottom w:val="0"/>
          <w:divBdr>
            <w:top w:val="none" w:sz="0" w:space="0" w:color="auto"/>
            <w:left w:val="none" w:sz="0" w:space="0" w:color="auto"/>
            <w:bottom w:val="none" w:sz="0" w:space="0" w:color="auto"/>
            <w:right w:val="none" w:sz="0" w:space="0" w:color="auto"/>
          </w:divBdr>
        </w:div>
        <w:div w:id="809371893">
          <w:marLeft w:val="640"/>
          <w:marRight w:val="0"/>
          <w:marTop w:val="0"/>
          <w:marBottom w:val="0"/>
          <w:divBdr>
            <w:top w:val="none" w:sz="0" w:space="0" w:color="auto"/>
            <w:left w:val="none" w:sz="0" w:space="0" w:color="auto"/>
            <w:bottom w:val="none" w:sz="0" w:space="0" w:color="auto"/>
            <w:right w:val="none" w:sz="0" w:space="0" w:color="auto"/>
          </w:divBdr>
        </w:div>
        <w:div w:id="315761607">
          <w:marLeft w:val="640"/>
          <w:marRight w:val="0"/>
          <w:marTop w:val="0"/>
          <w:marBottom w:val="0"/>
          <w:divBdr>
            <w:top w:val="none" w:sz="0" w:space="0" w:color="auto"/>
            <w:left w:val="none" w:sz="0" w:space="0" w:color="auto"/>
            <w:bottom w:val="none" w:sz="0" w:space="0" w:color="auto"/>
            <w:right w:val="none" w:sz="0" w:space="0" w:color="auto"/>
          </w:divBdr>
        </w:div>
        <w:div w:id="257058694">
          <w:marLeft w:val="640"/>
          <w:marRight w:val="0"/>
          <w:marTop w:val="0"/>
          <w:marBottom w:val="0"/>
          <w:divBdr>
            <w:top w:val="none" w:sz="0" w:space="0" w:color="auto"/>
            <w:left w:val="none" w:sz="0" w:space="0" w:color="auto"/>
            <w:bottom w:val="none" w:sz="0" w:space="0" w:color="auto"/>
            <w:right w:val="none" w:sz="0" w:space="0" w:color="auto"/>
          </w:divBdr>
        </w:div>
        <w:div w:id="644159498">
          <w:marLeft w:val="640"/>
          <w:marRight w:val="0"/>
          <w:marTop w:val="0"/>
          <w:marBottom w:val="0"/>
          <w:divBdr>
            <w:top w:val="none" w:sz="0" w:space="0" w:color="auto"/>
            <w:left w:val="none" w:sz="0" w:space="0" w:color="auto"/>
            <w:bottom w:val="none" w:sz="0" w:space="0" w:color="auto"/>
            <w:right w:val="none" w:sz="0" w:space="0" w:color="auto"/>
          </w:divBdr>
        </w:div>
        <w:div w:id="1016884380">
          <w:marLeft w:val="640"/>
          <w:marRight w:val="0"/>
          <w:marTop w:val="0"/>
          <w:marBottom w:val="0"/>
          <w:divBdr>
            <w:top w:val="none" w:sz="0" w:space="0" w:color="auto"/>
            <w:left w:val="none" w:sz="0" w:space="0" w:color="auto"/>
            <w:bottom w:val="none" w:sz="0" w:space="0" w:color="auto"/>
            <w:right w:val="none" w:sz="0" w:space="0" w:color="auto"/>
          </w:divBdr>
        </w:div>
        <w:div w:id="2076126864">
          <w:marLeft w:val="640"/>
          <w:marRight w:val="0"/>
          <w:marTop w:val="0"/>
          <w:marBottom w:val="0"/>
          <w:divBdr>
            <w:top w:val="none" w:sz="0" w:space="0" w:color="auto"/>
            <w:left w:val="none" w:sz="0" w:space="0" w:color="auto"/>
            <w:bottom w:val="none" w:sz="0" w:space="0" w:color="auto"/>
            <w:right w:val="none" w:sz="0" w:space="0" w:color="auto"/>
          </w:divBdr>
        </w:div>
        <w:div w:id="136992709">
          <w:marLeft w:val="640"/>
          <w:marRight w:val="0"/>
          <w:marTop w:val="0"/>
          <w:marBottom w:val="0"/>
          <w:divBdr>
            <w:top w:val="none" w:sz="0" w:space="0" w:color="auto"/>
            <w:left w:val="none" w:sz="0" w:space="0" w:color="auto"/>
            <w:bottom w:val="none" w:sz="0" w:space="0" w:color="auto"/>
            <w:right w:val="none" w:sz="0" w:space="0" w:color="auto"/>
          </w:divBdr>
        </w:div>
        <w:div w:id="1825774898">
          <w:marLeft w:val="640"/>
          <w:marRight w:val="0"/>
          <w:marTop w:val="0"/>
          <w:marBottom w:val="0"/>
          <w:divBdr>
            <w:top w:val="none" w:sz="0" w:space="0" w:color="auto"/>
            <w:left w:val="none" w:sz="0" w:space="0" w:color="auto"/>
            <w:bottom w:val="none" w:sz="0" w:space="0" w:color="auto"/>
            <w:right w:val="none" w:sz="0" w:space="0" w:color="auto"/>
          </w:divBdr>
        </w:div>
        <w:div w:id="1972973033">
          <w:marLeft w:val="640"/>
          <w:marRight w:val="0"/>
          <w:marTop w:val="0"/>
          <w:marBottom w:val="0"/>
          <w:divBdr>
            <w:top w:val="none" w:sz="0" w:space="0" w:color="auto"/>
            <w:left w:val="none" w:sz="0" w:space="0" w:color="auto"/>
            <w:bottom w:val="none" w:sz="0" w:space="0" w:color="auto"/>
            <w:right w:val="none" w:sz="0" w:space="0" w:color="auto"/>
          </w:divBdr>
        </w:div>
        <w:div w:id="1846551173">
          <w:marLeft w:val="640"/>
          <w:marRight w:val="0"/>
          <w:marTop w:val="0"/>
          <w:marBottom w:val="0"/>
          <w:divBdr>
            <w:top w:val="none" w:sz="0" w:space="0" w:color="auto"/>
            <w:left w:val="none" w:sz="0" w:space="0" w:color="auto"/>
            <w:bottom w:val="none" w:sz="0" w:space="0" w:color="auto"/>
            <w:right w:val="none" w:sz="0" w:space="0" w:color="auto"/>
          </w:divBdr>
        </w:div>
        <w:div w:id="949243349">
          <w:marLeft w:val="640"/>
          <w:marRight w:val="0"/>
          <w:marTop w:val="0"/>
          <w:marBottom w:val="0"/>
          <w:divBdr>
            <w:top w:val="none" w:sz="0" w:space="0" w:color="auto"/>
            <w:left w:val="none" w:sz="0" w:space="0" w:color="auto"/>
            <w:bottom w:val="none" w:sz="0" w:space="0" w:color="auto"/>
            <w:right w:val="none" w:sz="0" w:space="0" w:color="auto"/>
          </w:divBdr>
        </w:div>
        <w:div w:id="851148793">
          <w:marLeft w:val="640"/>
          <w:marRight w:val="0"/>
          <w:marTop w:val="0"/>
          <w:marBottom w:val="0"/>
          <w:divBdr>
            <w:top w:val="none" w:sz="0" w:space="0" w:color="auto"/>
            <w:left w:val="none" w:sz="0" w:space="0" w:color="auto"/>
            <w:bottom w:val="none" w:sz="0" w:space="0" w:color="auto"/>
            <w:right w:val="none" w:sz="0" w:space="0" w:color="auto"/>
          </w:divBdr>
        </w:div>
        <w:div w:id="1485270347">
          <w:marLeft w:val="640"/>
          <w:marRight w:val="0"/>
          <w:marTop w:val="0"/>
          <w:marBottom w:val="0"/>
          <w:divBdr>
            <w:top w:val="none" w:sz="0" w:space="0" w:color="auto"/>
            <w:left w:val="none" w:sz="0" w:space="0" w:color="auto"/>
            <w:bottom w:val="none" w:sz="0" w:space="0" w:color="auto"/>
            <w:right w:val="none" w:sz="0" w:space="0" w:color="auto"/>
          </w:divBdr>
        </w:div>
        <w:div w:id="1695500543">
          <w:marLeft w:val="640"/>
          <w:marRight w:val="0"/>
          <w:marTop w:val="0"/>
          <w:marBottom w:val="0"/>
          <w:divBdr>
            <w:top w:val="none" w:sz="0" w:space="0" w:color="auto"/>
            <w:left w:val="none" w:sz="0" w:space="0" w:color="auto"/>
            <w:bottom w:val="none" w:sz="0" w:space="0" w:color="auto"/>
            <w:right w:val="none" w:sz="0" w:space="0" w:color="auto"/>
          </w:divBdr>
        </w:div>
        <w:div w:id="987974593">
          <w:marLeft w:val="640"/>
          <w:marRight w:val="0"/>
          <w:marTop w:val="0"/>
          <w:marBottom w:val="0"/>
          <w:divBdr>
            <w:top w:val="none" w:sz="0" w:space="0" w:color="auto"/>
            <w:left w:val="none" w:sz="0" w:space="0" w:color="auto"/>
            <w:bottom w:val="none" w:sz="0" w:space="0" w:color="auto"/>
            <w:right w:val="none" w:sz="0" w:space="0" w:color="auto"/>
          </w:divBdr>
        </w:div>
        <w:div w:id="1459108861">
          <w:marLeft w:val="640"/>
          <w:marRight w:val="0"/>
          <w:marTop w:val="0"/>
          <w:marBottom w:val="0"/>
          <w:divBdr>
            <w:top w:val="none" w:sz="0" w:space="0" w:color="auto"/>
            <w:left w:val="none" w:sz="0" w:space="0" w:color="auto"/>
            <w:bottom w:val="none" w:sz="0" w:space="0" w:color="auto"/>
            <w:right w:val="none" w:sz="0" w:space="0" w:color="auto"/>
          </w:divBdr>
        </w:div>
        <w:div w:id="1960988241">
          <w:marLeft w:val="640"/>
          <w:marRight w:val="0"/>
          <w:marTop w:val="0"/>
          <w:marBottom w:val="0"/>
          <w:divBdr>
            <w:top w:val="none" w:sz="0" w:space="0" w:color="auto"/>
            <w:left w:val="none" w:sz="0" w:space="0" w:color="auto"/>
            <w:bottom w:val="none" w:sz="0" w:space="0" w:color="auto"/>
            <w:right w:val="none" w:sz="0" w:space="0" w:color="auto"/>
          </w:divBdr>
        </w:div>
        <w:div w:id="640619844">
          <w:marLeft w:val="640"/>
          <w:marRight w:val="0"/>
          <w:marTop w:val="0"/>
          <w:marBottom w:val="0"/>
          <w:divBdr>
            <w:top w:val="none" w:sz="0" w:space="0" w:color="auto"/>
            <w:left w:val="none" w:sz="0" w:space="0" w:color="auto"/>
            <w:bottom w:val="none" w:sz="0" w:space="0" w:color="auto"/>
            <w:right w:val="none" w:sz="0" w:space="0" w:color="auto"/>
          </w:divBdr>
        </w:div>
        <w:div w:id="989140944">
          <w:marLeft w:val="640"/>
          <w:marRight w:val="0"/>
          <w:marTop w:val="0"/>
          <w:marBottom w:val="0"/>
          <w:divBdr>
            <w:top w:val="none" w:sz="0" w:space="0" w:color="auto"/>
            <w:left w:val="none" w:sz="0" w:space="0" w:color="auto"/>
            <w:bottom w:val="none" w:sz="0" w:space="0" w:color="auto"/>
            <w:right w:val="none" w:sz="0" w:space="0" w:color="auto"/>
          </w:divBdr>
        </w:div>
        <w:div w:id="513345774">
          <w:marLeft w:val="640"/>
          <w:marRight w:val="0"/>
          <w:marTop w:val="0"/>
          <w:marBottom w:val="0"/>
          <w:divBdr>
            <w:top w:val="none" w:sz="0" w:space="0" w:color="auto"/>
            <w:left w:val="none" w:sz="0" w:space="0" w:color="auto"/>
            <w:bottom w:val="none" w:sz="0" w:space="0" w:color="auto"/>
            <w:right w:val="none" w:sz="0" w:space="0" w:color="auto"/>
          </w:divBdr>
        </w:div>
        <w:div w:id="1410157318">
          <w:marLeft w:val="640"/>
          <w:marRight w:val="0"/>
          <w:marTop w:val="0"/>
          <w:marBottom w:val="0"/>
          <w:divBdr>
            <w:top w:val="none" w:sz="0" w:space="0" w:color="auto"/>
            <w:left w:val="none" w:sz="0" w:space="0" w:color="auto"/>
            <w:bottom w:val="none" w:sz="0" w:space="0" w:color="auto"/>
            <w:right w:val="none" w:sz="0" w:space="0" w:color="auto"/>
          </w:divBdr>
        </w:div>
        <w:div w:id="1191726236">
          <w:marLeft w:val="640"/>
          <w:marRight w:val="0"/>
          <w:marTop w:val="0"/>
          <w:marBottom w:val="0"/>
          <w:divBdr>
            <w:top w:val="none" w:sz="0" w:space="0" w:color="auto"/>
            <w:left w:val="none" w:sz="0" w:space="0" w:color="auto"/>
            <w:bottom w:val="none" w:sz="0" w:space="0" w:color="auto"/>
            <w:right w:val="none" w:sz="0" w:space="0" w:color="auto"/>
          </w:divBdr>
        </w:div>
        <w:div w:id="1105228868">
          <w:marLeft w:val="640"/>
          <w:marRight w:val="0"/>
          <w:marTop w:val="0"/>
          <w:marBottom w:val="0"/>
          <w:divBdr>
            <w:top w:val="none" w:sz="0" w:space="0" w:color="auto"/>
            <w:left w:val="none" w:sz="0" w:space="0" w:color="auto"/>
            <w:bottom w:val="none" w:sz="0" w:space="0" w:color="auto"/>
            <w:right w:val="none" w:sz="0" w:space="0" w:color="auto"/>
          </w:divBdr>
        </w:div>
        <w:div w:id="708379149">
          <w:marLeft w:val="640"/>
          <w:marRight w:val="0"/>
          <w:marTop w:val="0"/>
          <w:marBottom w:val="0"/>
          <w:divBdr>
            <w:top w:val="none" w:sz="0" w:space="0" w:color="auto"/>
            <w:left w:val="none" w:sz="0" w:space="0" w:color="auto"/>
            <w:bottom w:val="none" w:sz="0" w:space="0" w:color="auto"/>
            <w:right w:val="none" w:sz="0" w:space="0" w:color="auto"/>
          </w:divBdr>
        </w:div>
        <w:div w:id="511187523">
          <w:marLeft w:val="640"/>
          <w:marRight w:val="0"/>
          <w:marTop w:val="0"/>
          <w:marBottom w:val="0"/>
          <w:divBdr>
            <w:top w:val="none" w:sz="0" w:space="0" w:color="auto"/>
            <w:left w:val="none" w:sz="0" w:space="0" w:color="auto"/>
            <w:bottom w:val="none" w:sz="0" w:space="0" w:color="auto"/>
            <w:right w:val="none" w:sz="0" w:space="0" w:color="auto"/>
          </w:divBdr>
        </w:div>
        <w:div w:id="1644046022">
          <w:marLeft w:val="640"/>
          <w:marRight w:val="0"/>
          <w:marTop w:val="0"/>
          <w:marBottom w:val="0"/>
          <w:divBdr>
            <w:top w:val="none" w:sz="0" w:space="0" w:color="auto"/>
            <w:left w:val="none" w:sz="0" w:space="0" w:color="auto"/>
            <w:bottom w:val="none" w:sz="0" w:space="0" w:color="auto"/>
            <w:right w:val="none" w:sz="0" w:space="0" w:color="auto"/>
          </w:divBdr>
        </w:div>
        <w:div w:id="1533686768">
          <w:marLeft w:val="640"/>
          <w:marRight w:val="0"/>
          <w:marTop w:val="0"/>
          <w:marBottom w:val="0"/>
          <w:divBdr>
            <w:top w:val="none" w:sz="0" w:space="0" w:color="auto"/>
            <w:left w:val="none" w:sz="0" w:space="0" w:color="auto"/>
            <w:bottom w:val="none" w:sz="0" w:space="0" w:color="auto"/>
            <w:right w:val="none" w:sz="0" w:space="0" w:color="auto"/>
          </w:divBdr>
        </w:div>
        <w:div w:id="664477168">
          <w:marLeft w:val="640"/>
          <w:marRight w:val="0"/>
          <w:marTop w:val="0"/>
          <w:marBottom w:val="0"/>
          <w:divBdr>
            <w:top w:val="none" w:sz="0" w:space="0" w:color="auto"/>
            <w:left w:val="none" w:sz="0" w:space="0" w:color="auto"/>
            <w:bottom w:val="none" w:sz="0" w:space="0" w:color="auto"/>
            <w:right w:val="none" w:sz="0" w:space="0" w:color="auto"/>
          </w:divBdr>
        </w:div>
        <w:div w:id="1168520367">
          <w:marLeft w:val="640"/>
          <w:marRight w:val="0"/>
          <w:marTop w:val="0"/>
          <w:marBottom w:val="0"/>
          <w:divBdr>
            <w:top w:val="none" w:sz="0" w:space="0" w:color="auto"/>
            <w:left w:val="none" w:sz="0" w:space="0" w:color="auto"/>
            <w:bottom w:val="none" w:sz="0" w:space="0" w:color="auto"/>
            <w:right w:val="none" w:sz="0" w:space="0" w:color="auto"/>
          </w:divBdr>
        </w:div>
      </w:divsChild>
    </w:div>
    <w:div w:id="1715735285">
      <w:bodyDiv w:val="1"/>
      <w:marLeft w:val="0"/>
      <w:marRight w:val="0"/>
      <w:marTop w:val="0"/>
      <w:marBottom w:val="0"/>
      <w:divBdr>
        <w:top w:val="none" w:sz="0" w:space="0" w:color="auto"/>
        <w:left w:val="none" w:sz="0" w:space="0" w:color="auto"/>
        <w:bottom w:val="none" w:sz="0" w:space="0" w:color="auto"/>
        <w:right w:val="none" w:sz="0" w:space="0" w:color="auto"/>
      </w:divBdr>
      <w:divsChild>
        <w:div w:id="226916693">
          <w:marLeft w:val="640"/>
          <w:marRight w:val="0"/>
          <w:marTop w:val="0"/>
          <w:marBottom w:val="0"/>
          <w:divBdr>
            <w:top w:val="none" w:sz="0" w:space="0" w:color="auto"/>
            <w:left w:val="none" w:sz="0" w:space="0" w:color="auto"/>
            <w:bottom w:val="none" w:sz="0" w:space="0" w:color="auto"/>
            <w:right w:val="none" w:sz="0" w:space="0" w:color="auto"/>
          </w:divBdr>
        </w:div>
        <w:div w:id="187066429">
          <w:marLeft w:val="640"/>
          <w:marRight w:val="0"/>
          <w:marTop w:val="0"/>
          <w:marBottom w:val="0"/>
          <w:divBdr>
            <w:top w:val="none" w:sz="0" w:space="0" w:color="auto"/>
            <w:left w:val="none" w:sz="0" w:space="0" w:color="auto"/>
            <w:bottom w:val="none" w:sz="0" w:space="0" w:color="auto"/>
            <w:right w:val="none" w:sz="0" w:space="0" w:color="auto"/>
          </w:divBdr>
        </w:div>
        <w:div w:id="1216700636">
          <w:marLeft w:val="640"/>
          <w:marRight w:val="0"/>
          <w:marTop w:val="0"/>
          <w:marBottom w:val="0"/>
          <w:divBdr>
            <w:top w:val="none" w:sz="0" w:space="0" w:color="auto"/>
            <w:left w:val="none" w:sz="0" w:space="0" w:color="auto"/>
            <w:bottom w:val="none" w:sz="0" w:space="0" w:color="auto"/>
            <w:right w:val="none" w:sz="0" w:space="0" w:color="auto"/>
          </w:divBdr>
        </w:div>
        <w:div w:id="1024211369">
          <w:marLeft w:val="640"/>
          <w:marRight w:val="0"/>
          <w:marTop w:val="0"/>
          <w:marBottom w:val="0"/>
          <w:divBdr>
            <w:top w:val="none" w:sz="0" w:space="0" w:color="auto"/>
            <w:left w:val="none" w:sz="0" w:space="0" w:color="auto"/>
            <w:bottom w:val="none" w:sz="0" w:space="0" w:color="auto"/>
            <w:right w:val="none" w:sz="0" w:space="0" w:color="auto"/>
          </w:divBdr>
        </w:div>
        <w:div w:id="1425029037">
          <w:marLeft w:val="640"/>
          <w:marRight w:val="0"/>
          <w:marTop w:val="0"/>
          <w:marBottom w:val="0"/>
          <w:divBdr>
            <w:top w:val="none" w:sz="0" w:space="0" w:color="auto"/>
            <w:left w:val="none" w:sz="0" w:space="0" w:color="auto"/>
            <w:bottom w:val="none" w:sz="0" w:space="0" w:color="auto"/>
            <w:right w:val="none" w:sz="0" w:space="0" w:color="auto"/>
          </w:divBdr>
        </w:div>
        <w:div w:id="1275482081">
          <w:marLeft w:val="640"/>
          <w:marRight w:val="0"/>
          <w:marTop w:val="0"/>
          <w:marBottom w:val="0"/>
          <w:divBdr>
            <w:top w:val="none" w:sz="0" w:space="0" w:color="auto"/>
            <w:left w:val="none" w:sz="0" w:space="0" w:color="auto"/>
            <w:bottom w:val="none" w:sz="0" w:space="0" w:color="auto"/>
            <w:right w:val="none" w:sz="0" w:space="0" w:color="auto"/>
          </w:divBdr>
        </w:div>
        <w:div w:id="410346845">
          <w:marLeft w:val="640"/>
          <w:marRight w:val="0"/>
          <w:marTop w:val="0"/>
          <w:marBottom w:val="0"/>
          <w:divBdr>
            <w:top w:val="none" w:sz="0" w:space="0" w:color="auto"/>
            <w:left w:val="none" w:sz="0" w:space="0" w:color="auto"/>
            <w:bottom w:val="none" w:sz="0" w:space="0" w:color="auto"/>
            <w:right w:val="none" w:sz="0" w:space="0" w:color="auto"/>
          </w:divBdr>
        </w:div>
        <w:div w:id="32729935">
          <w:marLeft w:val="640"/>
          <w:marRight w:val="0"/>
          <w:marTop w:val="0"/>
          <w:marBottom w:val="0"/>
          <w:divBdr>
            <w:top w:val="none" w:sz="0" w:space="0" w:color="auto"/>
            <w:left w:val="none" w:sz="0" w:space="0" w:color="auto"/>
            <w:bottom w:val="none" w:sz="0" w:space="0" w:color="auto"/>
            <w:right w:val="none" w:sz="0" w:space="0" w:color="auto"/>
          </w:divBdr>
        </w:div>
        <w:div w:id="2119567103">
          <w:marLeft w:val="640"/>
          <w:marRight w:val="0"/>
          <w:marTop w:val="0"/>
          <w:marBottom w:val="0"/>
          <w:divBdr>
            <w:top w:val="none" w:sz="0" w:space="0" w:color="auto"/>
            <w:left w:val="none" w:sz="0" w:space="0" w:color="auto"/>
            <w:bottom w:val="none" w:sz="0" w:space="0" w:color="auto"/>
            <w:right w:val="none" w:sz="0" w:space="0" w:color="auto"/>
          </w:divBdr>
        </w:div>
        <w:div w:id="527917840">
          <w:marLeft w:val="640"/>
          <w:marRight w:val="0"/>
          <w:marTop w:val="0"/>
          <w:marBottom w:val="0"/>
          <w:divBdr>
            <w:top w:val="none" w:sz="0" w:space="0" w:color="auto"/>
            <w:left w:val="none" w:sz="0" w:space="0" w:color="auto"/>
            <w:bottom w:val="none" w:sz="0" w:space="0" w:color="auto"/>
            <w:right w:val="none" w:sz="0" w:space="0" w:color="auto"/>
          </w:divBdr>
        </w:div>
        <w:div w:id="1565599678">
          <w:marLeft w:val="640"/>
          <w:marRight w:val="0"/>
          <w:marTop w:val="0"/>
          <w:marBottom w:val="0"/>
          <w:divBdr>
            <w:top w:val="none" w:sz="0" w:space="0" w:color="auto"/>
            <w:left w:val="none" w:sz="0" w:space="0" w:color="auto"/>
            <w:bottom w:val="none" w:sz="0" w:space="0" w:color="auto"/>
            <w:right w:val="none" w:sz="0" w:space="0" w:color="auto"/>
          </w:divBdr>
        </w:div>
        <w:div w:id="749238004">
          <w:marLeft w:val="640"/>
          <w:marRight w:val="0"/>
          <w:marTop w:val="0"/>
          <w:marBottom w:val="0"/>
          <w:divBdr>
            <w:top w:val="none" w:sz="0" w:space="0" w:color="auto"/>
            <w:left w:val="none" w:sz="0" w:space="0" w:color="auto"/>
            <w:bottom w:val="none" w:sz="0" w:space="0" w:color="auto"/>
            <w:right w:val="none" w:sz="0" w:space="0" w:color="auto"/>
          </w:divBdr>
        </w:div>
        <w:div w:id="1612081859">
          <w:marLeft w:val="640"/>
          <w:marRight w:val="0"/>
          <w:marTop w:val="0"/>
          <w:marBottom w:val="0"/>
          <w:divBdr>
            <w:top w:val="none" w:sz="0" w:space="0" w:color="auto"/>
            <w:left w:val="none" w:sz="0" w:space="0" w:color="auto"/>
            <w:bottom w:val="none" w:sz="0" w:space="0" w:color="auto"/>
            <w:right w:val="none" w:sz="0" w:space="0" w:color="auto"/>
          </w:divBdr>
        </w:div>
        <w:div w:id="1641157450">
          <w:marLeft w:val="640"/>
          <w:marRight w:val="0"/>
          <w:marTop w:val="0"/>
          <w:marBottom w:val="0"/>
          <w:divBdr>
            <w:top w:val="none" w:sz="0" w:space="0" w:color="auto"/>
            <w:left w:val="none" w:sz="0" w:space="0" w:color="auto"/>
            <w:bottom w:val="none" w:sz="0" w:space="0" w:color="auto"/>
            <w:right w:val="none" w:sz="0" w:space="0" w:color="auto"/>
          </w:divBdr>
        </w:div>
        <w:div w:id="2082558735">
          <w:marLeft w:val="640"/>
          <w:marRight w:val="0"/>
          <w:marTop w:val="0"/>
          <w:marBottom w:val="0"/>
          <w:divBdr>
            <w:top w:val="none" w:sz="0" w:space="0" w:color="auto"/>
            <w:left w:val="none" w:sz="0" w:space="0" w:color="auto"/>
            <w:bottom w:val="none" w:sz="0" w:space="0" w:color="auto"/>
            <w:right w:val="none" w:sz="0" w:space="0" w:color="auto"/>
          </w:divBdr>
        </w:div>
        <w:div w:id="613754341">
          <w:marLeft w:val="640"/>
          <w:marRight w:val="0"/>
          <w:marTop w:val="0"/>
          <w:marBottom w:val="0"/>
          <w:divBdr>
            <w:top w:val="none" w:sz="0" w:space="0" w:color="auto"/>
            <w:left w:val="none" w:sz="0" w:space="0" w:color="auto"/>
            <w:bottom w:val="none" w:sz="0" w:space="0" w:color="auto"/>
            <w:right w:val="none" w:sz="0" w:space="0" w:color="auto"/>
          </w:divBdr>
        </w:div>
        <w:div w:id="426465928">
          <w:marLeft w:val="640"/>
          <w:marRight w:val="0"/>
          <w:marTop w:val="0"/>
          <w:marBottom w:val="0"/>
          <w:divBdr>
            <w:top w:val="none" w:sz="0" w:space="0" w:color="auto"/>
            <w:left w:val="none" w:sz="0" w:space="0" w:color="auto"/>
            <w:bottom w:val="none" w:sz="0" w:space="0" w:color="auto"/>
            <w:right w:val="none" w:sz="0" w:space="0" w:color="auto"/>
          </w:divBdr>
        </w:div>
        <w:div w:id="303856153">
          <w:marLeft w:val="640"/>
          <w:marRight w:val="0"/>
          <w:marTop w:val="0"/>
          <w:marBottom w:val="0"/>
          <w:divBdr>
            <w:top w:val="none" w:sz="0" w:space="0" w:color="auto"/>
            <w:left w:val="none" w:sz="0" w:space="0" w:color="auto"/>
            <w:bottom w:val="none" w:sz="0" w:space="0" w:color="auto"/>
            <w:right w:val="none" w:sz="0" w:space="0" w:color="auto"/>
          </w:divBdr>
        </w:div>
        <w:div w:id="1144589579">
          <w:marLeft w:val="640"/>
          <w:marRight w:val="0"/>
          <w:marTop w:val="0"/>
          <w:marBottom w:val="0"/>
          <w:divBdr>
            <w:top w:val="none" w:sz="0" w:space="0" w:color="auto"/>
            <w:left w:val="none" w:sz="0" w:space="0" w:color="auto"/>
            <w:bottom w:val="none" w:sz="0" w:space="0" w:color="auto"/>
            <w:right w:val="none" w:sz="0" w:space="0" w:color="auto"/>
          </w:divBdr>
        </w:div>
        <w:div w:id="641735634">
          <w:marLeft w:val="640"/>
          <w:marRight w:val="0"/>
          <w:marTop w:val="0"/>
          <w:marBottom w:val="0"/>
          <w:divBdr>
            <w:top w:val="none" w:sz="0" w:space="0" w:color="auto"/>
            <w:left w:val="none" w:sz="0" w:space="0" w:color="auto"/>
            <w:bottom w:val="none" w:sz="0" w:space="0" w:color="auto"/>
            <w:right w:val="none" w:sz="0" w:space="0" w:color="auto"/>
          </w:divBdr>
        </w:div>
        <w:div w:id="1444963367">
          <w:marLeft w:val="640"/>
          <w:marRight w:val="0"/>
          <w:marTop w:val="0"/>
          <w:marBottom w:val="0"/>
          <w:divBdr>
            <w:top w:val="none" w:sz="0" w:space="0" w:color="auto"/>
            <w:left w:val="none" w:sz="0" w:space="0" w:color="auto"/>
            <w:bottom w:val="none" w:sz="0" w:space="0" w:color="auto"/>
            <w:right w:val="none" w:sz="0" w:space="0" w:color="auto"/>
          </w:divBdr>
        </w:div>
        <w:div w:id="1853105788">
          <w:marLeft w:val="640"/>
          <w:marRight w:val="0"/>
          <w:marTop w:val="0"/>
          <w:marBottom w:val="0"/>
          <w:divBdr>
            <w:top w:val="none" w:sz="0" w:space="0" w:color="auto"/>
            <w:left w:val="none" w:sz="0" w:space="0" w:color="auto"/>
            <w:bottom w:val="none" w:sz="0" w:space="0" w:color="auto"/>
            <w:right w:val="none" w:sz="0" w:space="0" w:color="auto"/>
          </w:divBdr>
        </w:div>
        <w:div w:id="2100717128">
          <w:marLeft w:val="640"/>
          <w:marRight w:val="0"/>
          <w:marTop w:val="0"/>
          <w:marBottom w:val="0"/>
          <w:divBdr>
            <w:top w:val="none" w:sz="0" w:space="0" w:color="auto"/>
            <w:left w:val="none" w:sz="0" w:space="0" w:color="auto"/>
            <w:bottom w:val="none" w:sz="0" w:space="0" w:color="auto"/>
            <w:right w:val="none" w:sz="0" w:space="0" w:color="auto"/>
          </w:divBdr>
        </w:div>
        <w:div w:id="390811460">
          <w:marLeft w:val="640"/>
          <w:marRight w:val="0"/>
          <w:marTop w:val="0"/>
          <w:marBottom w:val="0"/>
          <w:divBdr>
            <w:top w:val="none" w:sz="0" w:space="0" w:color="auto"/>
            <w:left w:val="none" w:sz="0" w:space="0" w:color="auto"/>
            <w:bottom w:val="none" w:sz="0" w:space="0" w:color="auto"/>
            <w:right w:val="none" w:sz="0" w:space="0" w:color="auto"/>
          </w:divBdr>
        </w:div>
        <w:div w:id="1094742598">
          <w:marLeft w:val="640"/>
          <w:marRight w:val="0"/>
          <w:marTop w:val="0"/>
          <w:marBottom w:val="0"/>
          <w:divBdr>
            <w:top w:val="none" w:sz="0" w:space="0" w:color="auto"/>
            <w:left w:val="none" w:sz="0" w:space="0" w:color="auto"/>
            <w:bottom w:val="none" w:sz="0" w:space="0" w:color="auto"/>
            <w:right w:val="none" w:sz="0" w:space="0" w:color="auto"/>
          </w:divBdr>
        </w:div>
        <w:div w:id="1784962462">
          <w:marLeft w:val="640"/>
          <w:marRight w:val="0"/>
          <w:marTop w:val="0"/>
          <w:marBottom w:val="0"/>
          <w:divBdr>
            <w:top w:val="none" w:sz="0" w:space="0" w:color="auto"/>
            <w:left w:val="none" w:sz="0" w:space="0" w:color="auto"/>
            <w:bottom w:val="none" w:sz="0" w:space="0" w:color="auto"/>
            <w:right w:val="none" w:sz="0" w:space="0" w:color="auto"/>
          </w:divBdr>
        </w:div>
        <w:div w:id="1576479111">
          <w:marLeft w:val="640"/>
          <w:marRight w:val="0"/>
          <w:marTop w:val="0"/>
          <w:marBottom w:val="0"/>
          <w:divBdr>
            <w:top w:val="none" w:sz="0" w:space="0" w:color="auto"/>
            <w:left w:val="none" w:sz="0" w:space="0" w:color="auto"/>
            <w:bottom w:val="none" w:sz="0" w:space="0" w:color="auto"/>
            <w:right w:val="none" w:sz="0" w:space="0" w:color="auto"/>
          </w:divBdr>
        </w:div>
        <w:div w:id="1160775128">
          <w:marLeft w:val="640"/>
          <w:marRight w:val="0"/>
          <w:marTop w:val="0"/>
          <w:marBottom w:val="0"/>
          <w:divBdr>
            <w:top w:val="none" w:sz="0" w:space="0" w:color="auto"/>
            <w:left w:val="none" w:sz="0" w:space="0" w:color="auto"/>
            <w:bottom w:val="none" w:sz="0" w:space="0" w:color="auto"/>
            <w:right w:val="none" w:sz="0" w:space="0" w:color="auto"/>
          </w:divBdr>
        </w:div>
        <w:div w:id="1894199171">
          <w:marLeft w:val="640"/>
          <w:marRight w:val="0"/>
          <w:marTop w:val="0"/>
          <w:marBottom w:val="0"/>
          <w:divBdr>
            <w:top w:val="none" w:sz="0" w:space="0" w:color="auto"/>
            <w:left w:val="none" w:sz="0" w:space="0" w:color="auto"/>
            <w:bottom w:val="none" w:sz="0" w:space="0" w:color="auto"/>
            <w:right w:val="none" w:sz="0" w:space="0" w:color="auto"/>
          </w:divBdr>
        </w:div>
        <w:div w:id="1014499635">
          <w:marLeft w:val="640"/>
          <w:marRight w:val="0"/>
          <w:marTop w:val="0"/>
          <w:marBottom w:val="0"/>
          <w:divBdr>
            <w:top w:val="none" w:sz="0" w:space="0" w:color="auto"/>
            <w:left w:val="none" w:sz="0" w:space="0" w:color="auto"/>
            <w:bottom w:val="none" w:sz="0" w:space="0" w:color="auto"/>
            <w:right w:val="none" w:sz="0" w:space="0" w:color="auto"/>
          </w:divBdr>
        </w:div>
        <w:div w:id="981540961">
          <w:marLeft w:val="640"/>
          <w:marRight w:val="0"/>
          <w:marTop w:val="0"/>
          <w:marBottom w:val="0"/>
          <w:divBdr>
            <w:top w:val="none" w:sz="0" w:space="0" w:color="auto"/>
            <w:left w:val="none" w:sz="0" w:space="0" w:color="auto"/>
            <w:bottom w:val="none" w:sz="0" w:space="0" w:color="auto"/>
            <w:right w:val="none" w:sz="0" w:space="0" w:color="auto"/>
          </w:divBdr>
        </w:div>
        <w:div w:id="373622587">
          <w:marLeft w:val="640"/>
          <w:marRight w:val="0"/>
          <w:marTop w:val="0"/>
          <w:marBottom w:val="0"/>
          <w:divBdr>
            <w:top w:val="none" w:sz="0" w:space="0" w:color="auto"/>
            <w:left w:val="none" w:sz="0" w:space="0" w:color="auto"/>
            <w:bottom w:val="none" w:sz="0" w:space="0" w:color="auto"/>
            <w:right w:val="none" w:sz="0" w:space="0" w:color="auto"/>
          </w:divBdr>
        </w:div>
        <w:div w:id="1627928833">
          <w:marLeft w:val="640"/>
          <w:marRight w:val="0"/>
          <w:marTop w:val="0"/>
          <w:marBottom w:val="0"/>
          <w:divBdr>
            <w:top w:val="none" w:sz="0" w:space="0" w:color="auto"/>
            <w:left w:val="none" w:sz="0" w:space="0" w:color="auto"/>
            <w:bottom w:val="none" w:sz="0" w:space="0" w:color="auto"/>
            <w:right w:val="none" w:sz="0" w:space="0" w:color="auto"/>
          </w:divBdr>
        </w:div>
        <w:div w:id="1143425475">
          <w:marLeft w:val="640"/>
          <w:marRight w:val="0"/>
          <w:marTop w:val="0"/>
          <w:marBottom w:val="0"/>
          <w:divBdr>
            <w:top w:val="none" w:sz="0" w:space="0" w:color="auto"/>
            <w:left w:val="none" w:sz="0" w:space="0" w:color="auto"/>
            <w:bottom w:val="none" w:sz="0" w:space="0" w:color="auto"/>
            <w:right w:val="none" w:sz="0" w:space="0" w:color="auto"/>
          </w:divBdr>
        </w:div>
        <w:div w:id="779958848">
          <w:marLeft w:val="640"/>
          <w:marRight w:val="0"/>
          <w:marTop w:val="0"/>
          <w:marBottom w:val="0"/>
          <w:divBdr>
            <w:top w:val="none" w:sz="0" w:space="0" w:color="auto"/>
            <w:left w:val="none" w:sz="0" w:space="0" w:color="auto"/>
            <w:bottom w:val="none" w:sz="0" w:space="0" w:color="auto"/>
            <w:right w:val="none" w:sz="0" w:space="0" w:color="auto"/>
          </w:divBdr>
        </w:div>
        <w:div w:id="1295257835">
          <w:marLeft w:val="640"/>
          <w:marRight w:val="0"/>
          <w:marTop w:val="0"/>
          <w:marBottom w:val="0"/>
          <w:divBdr>
            <w:top w:val="none" w:sz="0" w:space="0" w:color="auto"/>
            <w:left w:val="none" w:sz="0" w:space="0" w:color="auto"/>
            <w:bottom w:val="none" w:sz="0" w:space="0" w:color="auto"/>
            <w:right w:val="none" w:sz="0" w:space="0" w:color="auto"/>
          </w:divBdr>
        </w:div>
        <w:div w:id="1687630133">
          <w:marLeft w:val="640"/>
          <w:marRight w:val="0"/>
          <w:marTop w:val="0"/>
          <w:marBottom w:val="0"/>
          <w:divBdr>
            <w:top w:val="none" w:sz="0" w:space="0" w:color="auto"/>
            <w:left w:val="none" w:sz="0" w:space="0" w:color="auto"/>
            <w:bottom w:val="none" w:sz="0" w:space="0" w:color="auto"/>
            <w:right w:val="none" w:sz="0" w:space="0" w:color="auto"/>
          </w:divBdr>
        </w:div>
        <w:div w:id="885143339">
          <w:marLeft w:val="640"/>
          <w:marRight w:val="0"/>
          <w:marTop w:val="0"/>
          <w:marBottom w:val="0"/>
          <w:divBdr>
            <w:top w:val="none" w:sz="0" w:space="0" w:color="auto"/>
            <w:left w:val="none" w:sz="0" w:space="0" w:color="auto"/>
            <w:bottom w:val="none" w:sz="0" w:space="0" w:color="auto"/>
            <w:right w:val="none" w:sz="0" w:space="0" w:color="auto"/>
          </w:divBdr>
        </w:div>
        <w:div w:id="924461895">
          <w:marLeft w:val="640"/>
          <w:marRight w:val="0"/>
          <w:marTop w:val="0"/>
          <w:marBottom w:val="0"/>
          <w:divBdr>
            <w:top w:val="none" w:sz="0" w:space="0" w:color="auto"/>
            <w:left w:val="none" w:sz="0" w:space="0" w:color="auto"/>
            <w:bottom w:val="none" w:sz="0" w:space="0" w:color="auto"/>
            <w:right w:val="none" w:sz="0" w:space="0" w:color="auto"/>
          </w:divBdr>
        </w:div>
        <w:div w:id="611591242">
          <w:marLeft w:val="640"/>
          <w:marRight w:val="0"/>
          <w:marTop w:val="0"/>
          <w:marBottom w:val="0"/>
          <w:divBdr>
            <w:top w:val="none" w:sz="0" w:space="0" w:color="auto"/>
            <w:left w:val="none" w:sz="0" w:space="0" w:color="auto"/>
            <w:bottom w:val="none" w:sz="0" w:space="0" w:color="auto"/>
            <w:right w:val="none" w:sz="0" w:space="0" w:color="auto"/>
          </w:divBdr>
        </w:div>
        <w:div w:id="1260258871">
          <w:marLeft w:val="640"/>
          <w:marRight w:val="0"/>
          <w:marTop w:val="0"/>
          <w:marBottom w:val="0"/>
          <w:divBdr>
            <w:top w:val="none" w:sz="0" w:space="0" w:color="auto"/>
            <w:left w:val="none" w:sz="0" w:space="0" w:color="auto"/>
            <w:bottom w:val="none" w:sz="0" w:space="0" w:color="auto"/>
            <w:right w:val="none" w:sz="0" w:space="0" w:color="auto"/>
          </w:divBdr>
        </w:div>
        <w:div w:id="347369900">
          <w:marLeft w:val="640"/>
          <w:marRight w:val="0"/>
          <w:marTop w:val="0"/>
          <w:marBottom w:val="0"/>
          <w:divBdr>
            <w:top w:val="none" w:sz="0" w:space="0" w:color="auto"/>
            <w:left w:val="none" w:sz="0" w:space="0" w:color="auto"/>
            <w:bottom w:val="none" w:sz="0" w:space="0" w:color="auto"/>
            <w:right w:val="none" w:sz="0" w:space="0" w:color="auto"/>
          </w:divBdr>
        </w:div>
        <w:div w:id="596400897">
          <w:marLeft w:val="640"/>
          <w:marRight w:val="0"/>
          <w:marTop w:val="0"/>
          <w:marBottom w:val="0"/>
          <w:divBdr>
            <w:top w:val="none" w:sz="0" w:space="0" w:color="auto"/>
            <w:left w:val="none" w:sz="0" w:space="0" w:color="auto"/>
            <w:bottom w:val="none" w:sz="0" w:space="0" w:color="auto"/>
            <w:right w:val="none" w:sz="0" w:space="0" w:color="auto"/>
          </w:divBdr>
        </w:div>
        <w:div w:id="1585993151">
          <w:marLeft w:val="640"/>
          <w:marRight w:val="0"/>
          <w:marTop w:val="0"/>
          <w:marBottom w:val="0"/>
          <w:divBdr>
            <w:top w:val="none" w:sz="0" w:space="0" w:color="auto"/>
            <w:left w:val="none" w:sz="0" w:space="0" w:color="auto"/>
            <w:bottom w:val="none" w:sz="0" w:space="0" w:color="auto"/>
            <w:right w:val="none" w:sz="0" w:space="0" w:color="auto"/>
          </w:divBdr>
        </w:div>
        <w:div w:id="119499910">
          <w:marLeft w:val="640"/>
          <w:marRight w:val="0"/>
          <w:marTop w:val="0"/>
          <w:marBottom w:val="0"/>
          <w:divBdr>
            <w:top w:val="none" w:sz="0" w:space="0" w:color="auto"/>
            <w:left w:val="none" w:sz="0" w:space="0" w:color="auto"/>
            <w:bottom w:val="none" w:sz="0" w:space="0" w:color="auto"/>
            <w:right w:val="none" w:sz="0" w:space="0" w:color="auto"/>
          </w:divBdr>
        </w:div>
        <w:div w:id="2004039895">
          <w:marLeft w:val="640"/>
          <w:marRight w:val="0"/>
          <w:marTop w:val="0"/>
          <w:marBottom w:val="0"/>
          <w:divBdr>
            <w:top w:val="none" w:sz="0" w:space="0" w:color="auto"/>
            <w:left w:val="none" w:sz="0" w:space="0" w:color="auto"/>
            <w:bottom w:val="none" w:sz="0" w:space="0" w:color="auto"/>
            <w:right w:val="none" w:sz="0" w:space="0" w:color="auto"/>
          </w:divBdr>
        </w:div>
        <w:div w:id="56710942">
          <w:marLeft w:val="640"/>
          <w:marRight w:val="0"/>
          <w:marTop w:val="0"/>
          <w:marBottom w:val="0"/>
          <w:divBdr>
            <w:top w:val="none" w:sz="0" w:space="0" w:color="auto"/>
            <w:left w:val="none" w:sz="0" w:space="0" w:color="auto"/>
            <w:bottom w:val="none" w:sz="0" w:space="0" w:color="auto"/>
            <w:right w:val="none" w:sz="0" w:space="0" w:color="auto"/>
          </w:divBdr>
        </w:div>
        <w:div w:id="1934052829">
          <w:marLeft w:val="640"/>
          <w:marRight w:val="0"/>
          <w:marTop w:val="0"/>
          <w:marBottom w:val="0"/>
          <w:divBdr>
            <w:top w:val="none" w:sz="0" w:space="0" w:color="auto"/>
            <w:left w:val="none" w:sz="0" w:space="0" w:color="auto"/>
            <w:bottom w:val="none" w:sz="0" w:space="0" w:color="auto"/>
            <w:right w:val="none" w:sz="0" w:space="0" w:color="auto"/>
          </w:divBdr>
        </w:div>
        <w:div w:id="1609700228">
          <w:marLeft w:val="640"/>
          <w:marRight w:val="0"/>
          <w:marTop w:val="0"/>
          <w:marBottom w:val="0"/>
          <w:divBdr>
            <w:top w:val="none" w:sz="0" w:space="0" w:color="auto"/>
            <w:left w:val="none" w:sz="0" w:space="0" w:color="auto"/>
            <w:bottom w:val="none" w:sz="0" w:space="0" w:color="auto"/>
            <w:right w:val="none" w:sz="0" w:space="0" w:color="auto"/>
          </w:divBdr>
        </w:div>
        <w:div w:id="1927956214">
          <w:marLeft w:val="640"/>
          <w:marRight w:val="0"/>
          <w:marTop w:val="0"/>
          <w:marBottom w:val="0"/>
          <w:divBdr>
            <w:top w:val="none" w:sz="0" w:space="0" w:color="auto"/>
            <w:left w:val="none" w:sz="0" w:space="0" w:color="auto"/>
            <w:bottom w:val="none" w:sz="0" w:space="0" w:color="auto"/>
            <w:right w:val="none" w:sz="0" w:space="0" w:color="auto"/>
          </w:divBdr>
        </w:div>
        <w:div w:id="230434937">
          <w:marLeft w:val="640"/>
          <w:marRight w:val="0"/>
          <w:marTop w:val="0"/>
          <w:marBottom w:val="0"/>
          <w:divBdr>
            <w:top w:val="none" w:sz="0" w:space="0" w:color="auto"/>
            <w:left w:val="none" w:sz="0" w:space="0" w:color="auto"/>
            <w:bottom w:val="none" w:sz="0" w:space="0" w:color="auto"/>
            <w:right w:val="none" w:sz="0" w:space="0" w:color="auto"/>
          </w:divBdr>
        </w:div>
        <w:div w:id="1969508755">
          <w:marLeft w:val="640"/>
          <w:marRight w:val="0"/>
          <w:marTop w:val="0"/>
          <w:marBottom w:val="0"/>
          <w:divBdr>
            <w:top w:val="none" w:sz="0" w:space="0" w:color="auto"/>
            <w:left w:val="none" w:sz="0" w:space="0" w:color="auto"/>
            <w:bottom w:val="none" w:sz="0" w:space="0" w:color="auto"/>
            <w:right w:val="none" w:sz="0" w:space="0" w:color="auto"/>
          </w:divBdr>
        </w:div>
        <w:div w:id="1555965092">
          <w:marLeft w:val="640"/>
          <w:marRight w:val="0"/>
          <w:marTop w:val="0"/>
          <w:marBottom w:val="0"/>
          <w:divBdr>
            <w:top w:val="none" w:sz="0" w:space="0" w:color="auto"/>
            <w:left w:val="none" w:sz="0" w:space="0" w:color="auto"/>
            <w:bottom w:val="none" w:sz="0" w:space="0" w:color="auto"/>
            <w:right w:val="none" w:sz="0" w:space="0" w:color="auto"/>
          </w:divBdr>
        </w:div>
        <w:div w:id="1054891994">
          <w:marLeft w:val="640"/>
          <w:marRight w:val="0"/>
          <w:marTop w:val="0"/>
          <w:marBottom w:val="0"/>
          <w:divBdr>
            <w:top w:val="none" w:sz="0" w:space="0" w:color="auto"/>
            <w:left w:val="none" w:sz="0" w:space="0" w:color="auto"/>
            <w:bottom w:val="none" w:sz="0" w:space="0" w:color="auto"/>
            <w:right w:val="none" w:sz="0" w:space="0" w:color="auto"/>
          </w:divBdr>
        </w:div>
        <w:div w:id="15036006">
          <w:marLeft w:val="640"/>
          <w:marRight w:val="0"/>
          <w:marTop w:val="0"/>
          <w:marBottom w:val="0"/>
          <w:divBdr>
            <w:top w:val="none" w:sz="0" w:space="0" w:color="auto"/>
            <w:left w:val="none" w:sz="0" w:space="0" w:color="auto"/>
            <w:bottom w:val="none" w:sz="0" w:space="0" w:color="auto"/>
            <w:right w:val="none" w:sz="0" w:space="0" w:color="auto"/>
          </w:divBdr>
        </w:div>
        <w:div w:id="1993557062">
          <w:marLeft w:val="640"/>
          <w:marRight w:val="0"/>
          <w:marTop w:val="0"/>
          <w:marBottom w:val="0"/>
          <w:divBdr>
            <w:top w:val="none" w:sz="0" w:space="0" w:color="auto"/>
            <w:left w:val="none" w:sz="0" w:space="0" w:color="auto"/>
            <w:bottom w:val="none" w:sz="0" w:space="0" w:color="auto"/>
            <w:right w:val="none" w:sz="0" w:space="0" w:color="auto"/>
          </w:divBdr>
        </w:div>
        <w:div w:id="1384213754">
          <w:marLeft w:val="640"/>
          <w:marRight w:val="0"/>
          <w:marTop w:val="0"/>
          <w:marBottom w:val="0"/>
          <w:divBdr>
            <w:top w:val="none" w:sz="0" w:space="0" w:color="auto"/>
            <w:left w:val="none" w:sz="0" w:space="0" w:color="auto"/>
            <w:bottom w:val="none" w:sz="0" w:space="0" w:color="auto"/>
            <w:right w:val="none" w:sz="0" w:space="0" w:color="auto"/>
          </w:divBdr>
        </w:div>
        <w:div w:id="731777106">
          <w:marLeft w:val="640"/>
          <w:marRight w:val="0"/>
          <w:marTop w:val="0"/>
          <w:marBottom w:val="0"/>
          <w:divBdr>
            <w:top w:val="none" w:sz="0" w:space="0" w:color="auto"/>
            <w:left w:val="none" w:sz="0" w:space="0" w:color="auto"/>
            <w:bottom w:val="none" w:sz="0" w:space="0" w:color="auto"/>
            <w:right w:val="none" w:sz="0" w:space="0" w:color="auto"/>
          </w:divBdr>
        </w:div>
        <w:div w:id="1427531692">
          <w:marLeft w:val="640"/>
          <w:marRight w:val="0"/>
          <w:marTop w:val="0"/>
          <w:marBottom w:val="0"/>
          <w:divBdr>
            <w:top w:val="none" w:sz="0" w:space="0" w:color="auto"/>
            <w:left w:val="none" w:sz="0" w:space="0" w:color="auto"/>
            <w:bottom w:val="none" w:sz="0" w:space="0" w:color="auto"/>
            <w:right w:val="none" w:sz="0" w:space="0" w:color="auto"/>
          </w:divBdr>
        </w:div>
        <w:div w:id="982731276">
          <w:marLeft w:val="640"/>
          <w:marRight w:val="0"/>
          <w:marTop w:val="0"/>
          <w:marBottom w:val="0"/>
          <w:divBdr>
            <w:top w:val="none" w:sz="0" w:space="0" w:color="auto"/>
            <w:left w:val="none" w:sz="0" w:space="0" w:color="auto"/>
            <w:bottom w:val="none" w:sz="0" w:space="0" w:color="auto"/>
            <w:right w:val="none" w:sz="0" w:space="0" w:color="auto"/>
          </w:divBdr>
        </w:div>
        <w:div w:id="1649626556">
          <w:marLeft w:val="640"/>
          <w:marRight w:val="0"/>
          <w:marTop w:val="0"/>
          <w:marBottom w:val="0"/>
          <w:divBdr>
            <w:top w:val="none" w:sz="0" w:space="0" w:color="auto"/>
            <w:left w:val="none" w:sz="0" w:space="0" w:color="auto"/>
            <w:bottom w:val="none" w:sz="0" w:space="0" w:color="auto"/>
            <w:right w:val="none" w:sz="0" w:space="0" w:color="auto"/>
          </w:divBdr>
        </w:div>
        <w:div w:id="1364332304">
          <w:marLeft w:val="640"/>
          <w:marRight w:val="0"/>
          <w:marTop w:val="0"/>
          <w:marBottom w:val="0"/>
          <w:divBdr>
            <w:top w:val="none" w:sz="0" w:space="0" w:color="auto"/>
            <w:left w:val="none" w:sz="0" w:space="0" w:color="auto"/>
            <w:bottom w:val="none" w:sz="0" w:space="0" w:color="auto"/>
            <w:right w:val="none" w:sz="0" w:space="0" w:color="auto"/>
          </w:divBdr>
        </w:div>
        <w:div w:id="64495797">
          <w:marLeft w:val="640"/>
          <w:marRight w:val="0"/>
          <w:marTop w:val="0"/>
          <w:marBottom w:val="0"/>
          <w:divBdr>
            <w:top w:val="none" w:sz="0" w:space="0" w:color="auto"/>
            <w:left w:val="none" w:sz="0" w:space="0" w:color="auto"/>
            <w:bottom w:val="none" w:sz="0" w:space="0" w:color="auto"/>
            <w:right w:val="none" w:sz="0" w:space="0" w:color="auto"/>
          </w:divBdr>
        </w:div>
        <w:div w:id="513301388">
          <w:marLeft w:val="640"/>
          <w:marRight w:val="0"/>
          <w:marTop w:val="0"/>
          <w:marBottom w:val="0"/>
          <w:divBdr>
            <w:top w:val="none" w:sz="0" w:space="0" w:color="auto"/>
            <w:left w:val="none" w:sz="0" w:space="0" w:color="auto"/>
            <w:bottom w:val="none" w:sz="0" w:space="0" w:color="auto"/>
            <w:right w:val="none" w:sz="0" w:space="0" w:color="auto"/>
          </w:divBdr>
        </w:div>
        <w:div w:id="511723500">
          <w:marLeft w:val="640"/>
          <w:marRight w:val="0"/>
          <w:marTop w:val="0"/>
          <w:marBottom w:val="0"/>
          <w:divBdr>
            <w:top w:val="none" w:sz="0" w:space="0" w:color="auto"/>
            <w:left w:val="none" w:sz="0" w:space="0" w:color="auto"/>
            <w:bottom w:val="none" w:sz="0" w:space="0" w:color="auto"/>
            <w:right w:val="none" w:sz="0" w:space="0" w:color="auto"/>
          </w:divBdr>
        </w:div>
        <w:div w:id="111872472">
          <w:marLeft w:val="640"/>
          <w:marRight w:val="0"/>
          <w:marTop w:val="0"/>
          <w:marBottom w:val="0"/>
          <w:divBdr>
            <w:top w:val="none" w:sz="0" w:space="0" w:color="auto"/>
            <w:left w:val="none" w:sz="0" w:space="0" w:color="auto"/>
            <w:bottom w:val="none" w:sz="0" w:space="0" w:color="auto"/>
            <w:right w:val="none" w:sz="0" w:space="0" w:color="auto"/>
          </w:divBdr>
        </w:div>
        <w:div w:id="2014260388">
          <w:marLeft w:val="640"/>
          <w:marRight w:val="0"/>
          <w:marTop w:val="0"/>
          <w:marBottom w:val="0"/>
          <w:divBdr>
            <w:top w:val="none" w:sz="0" w:space="0" w:color="auto"/>
            <w:left w:val="none" w:sz="0" w:space="0" w:color="auto"/>
            <w:bottom w:val="none" w:sz="0" w:space="0" w:color="auto"/>
            <w:right w:val="none" w:sz="0" w:space="0" w:color="auto"/>
          </w:divBdr>
        </w:div>
        <w:div w:id="1801410793">
          <w:marLeft w:val="640"/>
          <w:marRight w:val="0"/>
          <w:marTop w:val="0"/>
          <w:marBottom w:val="0"/>
          <w:divBdr>
            <w:top w:val="none" w:sz="0" w:space="0" w:color="auto"/>
            <w:left w:val="none" w:sz="0" w:space="0" w:color="auto"/>
            <w:bottom w:val="none" w:sz="0" w:space="0" w:color="auto"/>
            <w:right w:val="none" w:sz="0" w:space="0" w:color="auto"/>
          </w:divBdr>
        </w:div>
        <w:div w:id="627513800">
          <w:marLeft w:val="640"/>
          <w:marRight w:val="0"/>
          <w:marTop w:val="0"/>
          <w:marBottom w:val="0"/>
          <w:divBdr>
            <w:top w:val="none" w:sz="0" w:space="0" w:color="auto"/>
            <w:left w:val="none" w:sz="0" w:space="0" w:color="auto"/>
            <w:bottom w:val="none" w:sz="0" w:space="0" w:color="auto"/>
            <w:right w:val="none" w:sz="0" w:space="0" w:color="auto"/>
          </w:divBdr>
        </w:div>
        <w:div w:id="1714378108">
          <w:marLeft w:val="640"/>
          <w:marRight w:val="0"/>
          <w:marTop w:val="0"/>
          <w:marBottom w:val="0"/>
          <w:divBdr>
            <w:top w:val="none" w:sz="0" w:space="0" w:color="auto"/>
            <w:left w:val="none" w:sz="0" w:space="0" w:color="auto"/>
            <w:bottom w:val="none" w:sz="0" w:space="0" w:color="auto"/>
            <w:right w:val="none" w:sz="0" w:space="0" w:color="auto"/>
          </w:divBdr>
        </w:div>
        <w:div w:id="7876796">
          <w:marLeft w:val="640"/>
          <w:marRight w:val="0"/>
          <w:marTop w:val="0"/>
          <w:marBottom w:val="0"/>
          <w:divBdr>
            <w:top w:val="none" w:sz="0" w:space="0" w:color="auto"/>
            <w:left w:val="none" w:sz="0" w:space="0" w:color="auto"/>
            <w:bottom w:val="none" w:sz="0" w:space="0" w:color="auto"/>
            <w:right w:val="none" w:sz="0" w:space="0" w:color="auto"/>
          </w:divBdr>
        </w:div>
        <w:div w:id="811213415">
          <w:marLeft w:val="640"/>
          <w:marRight w:val="0"/>
          <w:marTop w:val="0"/>
          <w:marBottom w:val="0"/>
          <w:divBdr>
            <w:top w:val="none" w:sz="0" w:space="0" w:color="auto"/>
            <w:left w:val="none" w:sz="0" w:space="0" w:color="auto"/>
            <w:bottom w:val="none" w:sz="0" w:space="0" w:color="auto"/>
            <w:right w:val="none" w:sz="0" w:space="0" w:color="auto"/>
          </w:divBdr>
        </w:div>
        <w:div w:id="1756778377">
          <w:marLeft w:val="640"/>
          <w:marRight w:val="0"/>
          <w:marTop w:val="0"/>
          <w:marBottom w:val="0"/>
          <w:divBdr>
            <w:top w:val="none" w:sz="0" w:space="0" w:color="auto"/>
            <w:left w:val="none" w:sz="0" w:space="0" w:color="auto"/>
            <w:bottom w:val="none" w:sz="0" w:space="0" w:color="auto"/>
            <w:right w:val="none" w:sz="0" w:space="0" w:color="auto"/>
          </w:divBdr>
        </w:div>
        <w:div w:id="1404379405">
          <w:marLeft w:val="640"/>
          <w:marRight w:val="0"/>
          <w:marTop w:val="0"/>
          <w:marBottom w:val="0"/>
          <w:divBdr>
            <w:top w:val="none" w:sz="0" w:space="0" w:color="auto"/>
            <w:left w:val="none" w:sz="0" w:space="0" w:color="auto"/>
            <w:bottom w:val="none" w:sz="0" w:space="0" w:color="auto"/>
            <w:right w:val="none" w:sz="0" w:space="0" w:color="auto"/>
          </w:divBdr>
        </w:div>
        <w:div w:id="1067191755">
          <w:marLeft w:val="640"/>
          <w:marRight w:val="0"/>
          <w:marTop w:val="0"/>
          <w:marBottom w:val="0"/>
          <w:divBdr>
            <w:top w:val="none" w:sz="0" w:space="0" w:color="auto"/>
            <w:left w:val="none" w:sz="0" w:space="0" w:color="auto"/>
            <w:bottom w:val="none" w:sz="0" w:space="0" w:color="auto"/>
            <w:right w:val="none" w:sz="0" w:space="0" w:color="auto"/>
          </w:divBdr>
        </w:div>
        <w:div w:id="1011565843">
          <w:marLeft w:val="640"/>
          <w:marRight w:val="0"/>
          <w:marTop w:val="0"/>
          <w:marBottom w:val="0"/>
          <w:divBdr>
            <w:top w:val="none" w:sz="0" w:space="0" w:color="auto"/>
            <w:left w:val="none" w:sz="0" w:space="0" w:color="auto"/>
            <w:bottom w:val="none" w:sz="0" w:space="0" w:color="auto"/>
            <w:right w:val="none" w:sz="0" w:space="0" w:color="auto"/>
          </w:divBdr>
        </w:div>
        <w:div w:id="1489325624">
          <w:marLeft w:val="640"/>
          <w:marRight w:val="0"/>
          <w:marTop w:val="0"/>
          <w:marBottom w:val="0"/>
          <w:divBdr>
            <w:top w:val="none" w:sz="0" w:space="0" w:color="auto"/>
            <w:left w:val="none" w:sz="0" w:space="0" w:color="auto"/>
            <w:bottom w:val="none" w:sz="0" w:space="0" w:color="auto"/>
            <w:right w:val="none" w:sz="0" w:space="0" w:color="auto"/>
          </w:divBdr>
        </w:div>
        <w:div w:id="1113401339">
          <w:marLeft w:val="640"/>
          <w:marRight w:val="0"/>
          <w:marTop w:val="0"/>
          <w:marBottom w:val="0"/>
          <w:divBdr>
            <w:top w:val="none" w:sz="0" w:space="0" w:color="auto"/>
            <w:left w:val="none" w:sz="0" w:space="0" w:color="auto"/>
            <w:bottom w:val="none" w:sz="0" w:space="0" w:color="auto"/>
            <w:right w:val="none" w:sz="0" w:space="0" w:color="auto"/>
          </w:divBdr>
        </w:div>
        <w:div w:id="771977156">
          <w:marLeft w:val="640"/>
          <w:marRight w:val="0"/>
          <w:marTop w:val="0"/>
          <w:marBottom w:val="0"/>
          <w:divBdr>
            <w:top w:val="none" w:sz="0" w:space="0" w:color="auto"/>
            <w:left w:val="none" w:sz="0" w:space="0" w:color="auto"/>
            <w:bottom w:val="none" w:sz="0" w:space="0" w:color="auto"/>
            <w:right w:val="none" w:sz="0" w:space="0" w:color="auto"/>
          </w:divBdr>
        </w:div>
        <w:div w:id="440152793">
          <w:marLeft w:val="640"/>
          <w:marRight w:val="0"/>
          <w:marTop w:val="0"/>
          <w:marBottom w:val="0"/>
          <w:divBdr>
            <w:top w:val="none" w:sz="0" w:space="0" w:color="auto"/>
            <w:left w:val="none" w:sz="0" w:space="0" w:color="auto"/>
            <w:bottom w:val="none" w:sz="0" w:space="0" w:color="auto"/>
            <w:right w:val="none" w:sz="0" w:space="0" w:color="auto"/>
          </w:divBdr>
        </w:div>
        <w:div w:id="1233781178">
          <w:marLeft w:val="640"/>
          <w:marRight w:val="0"/>
          <w:marTop w:val="0"/>
          <w:marBottom w:val="0"/>
          <w:divBdr>
            <w:top w:val="none" w:sz="0" w:space="0" w:color="auto"/>
            <w:left w:val="none" w:sz="0" w:space="0" w:color="auto"/>
            <w:bottom w:val="none" w:sz="0" w:space="0" w:color="auto"/>
            <w:right w:val="none" w:sz="0" w:space="0" w:color="auto"/>
          </w:divBdr>
        </w:div>
        <w:div w:id="2107801527">
          <w:marLeft w:val="640"/>
          <w:marRight w:val="0"/>
          <w:marTop w:val="0"/>
          <w:marBottom w:val="0"/>
          <w:divBdr>
            <w:top w:val="none" w:sz="0" w:space="0" w:color="auto"/>
            <w:left w:val="none" w:sz="0" w:space="0" w:color="auto"/>
            <w:bottom w:val="none" w:sz="0" w:space="0" w:color="auto"/>
            <w:right w:val="none" w:sz="0" w:space="0" w:color="auto"/>
          </w:divBdr>
        </w:div>
        <w:div w:id="493574354">
          <w:marLeft w:val="640"/>
          <w:marRight w:val="0"/>
          <w:marTop w:val="0"/>
          <w:marBottom w:val="0"/>
          <w:divBdr>
            <w:top w:val="none" w:sz="0" w:space="0" w:color="auto"/>
            <w:left w:val="none" w:sz="0" w:space="0" w:color="auto"/>
            <w:bottom w:val="none" w:sz="0" w:space="0" w:color="auto"/>
            <w:right w:val="none" w:sz="0" w:space="0" w:color="auto"/>
          </w:divBdr>
        </w:div>
        <w:div w:id="141123293">
          <w:marLeft w:val="640"/>
          <w:marRight w:val="0"/>
          <w:marTop w:val="0"/>
          <w:marBottom w:val="0"/>
          <w:divBdr>
            <w:top w:val="none" w:sz="0" w:space="0" w:color="auto"/>
            <w:left w:val="none" w:sz="0" w:space="0" w:color="auto"/>
            <w:bottom w:val="none" w:sz="0" w:space="0" w:color="auto"/>
            <w:right w:val="none" w:sz="0" w:space="0" w:color="auto"/>
          </w:divBdr>
        </w:div>
        <w:div w:id="656958651">
          <w:marLeft w:val="640"/>
          <w:marRight w:val="0"/>
          <w:marTop w:val="0"/>
          <w:marBottom w:val="0"/>
          <w:divBdr>
            <w:top w:val="none" w:sz="0" w:space="0" w:color="auto"/>
            <w:left w:val="none" w:sz="0" w:space="0" w:color="auto"/>
            <w:bottom w:val="none" w:sz="0" w:space="0" w:color="auto"/>
            <w:right w:val="none" w:sz="0" w:space="0" w:color="auto"/>
          </w:divBdr>
        </w:div>
        <w:div w:id="1655914103">
          <w:marLeft w:val="640"/>
          <w:marRight w:val="0"/>
          <w:marTop w:val="0"/>
          <w:marBottom w:val="0"/>
          <w:divBdr>
            <w:top w:val="none" w:sz="0" w:space="0" w:color="auto"/>
            <w:left w:val="none" w:sz="0" w:space="0" w:color="auto"/>
            <w:bottom w:val="none" w:sz="0" w:space="0" w:color="auto"/>
            <w:right w:val="none" w:sz="0" w:space="0" w:color="auto"/>
          </w:divBdr>
        </w:div>
        <w:div w:id="36048484">
          <w:marLeft w:val="640"/>
          <w:marRight w:val="0"/>
          <w:marTop w:val="0"/>
          <w:marBottom w:val="0"/>
          <w:divBdr>
            <w:top w:val="none" w:sz="0" w:space="0" w:color="auto"/>
            <w:left w:val="none" w:sz="0" w:space="0" w:color="auto"/>
            <w:bottom w:val="none" w:sz="0" w:space="0" w:color="auto"/>
            <w:right w:val="none" w:sz="0" w:space="0" w:color="auto"/>
          </w:divBdr>
        </w:div>
        <w:div w:id="1668558372">
          <w:marLeft w:val="640"/>
          <w:marRight w:val="0"/>
          <w:marTop w:val="0"/>
          <w:marBottom w:val="0"/>
          <w:divBdr>
            <w:top w:val="none" w:sz="0" w:space="0" w:color="auto"/>
            <w:left w:val="none" w:sz="0" w:space="0" w:color="auto"/>
            <w:bottom w:val="none" w:sz="0" w:space="0" w:color="auto"/>
            <w:right w:val="none" w:sz="0" w:space="0" w:color="auto"/>
          </w:divBdr>
        </w:div>
        <w:div w:id="746077713">
          <w:marLeft w:val="640"/>
          <w:marRight w:val="0"/>
          <w:marTop w:val="0"/>
          <w:marBottom w:val="0"/>
          <w:divBdr>
            <w:top w:val="none" w:sz="0" w:space="0" w:color="auto"/>
            <w:left w:val="none" w:sz="0" w:space="0" w:color="auto"/>
            <w:bottom w:val="none" w:sz="0" w:space="0" w:color="auto"/>
            <w:right w:val="none" w:sz="0" w:space="0" w:color="auto"/>
          </w:divBdr>
        </w:div>
        <w:div w:id="964046162">
          <w:marLeft w:val="640"/>
          <w:marRight w:val="0"/>
          <w:marTop w:val="0"/>
          <w:marBottom w:val="0"/>
          <w:divBdr>
            <w:top w:val="none" w:sz="0" w:space="0" w:color="auto"/>
            <w:left w:val="none" w:sz="0" w:space="0" w:color="auto"/>
            <w:bottom w:val="none" w:sz="0" w:space="0" w:color="auto"/>
            <w:right w:val="none" w:sz="0" w:space="0" w:color="auto"/>
          </w:divBdr>
        </w:div>
        <w:div w:id="19742706">
          <w:marLeft w:val="640"/>
          <w:marRight w:val="0"/>
          <w:marTop w:val="0"/>
          <w:marBottom w:val="0"/>
          <w:divBdr>
            <w:top w:val="none" w:sz="0" w:space="0" w:color="auto"/>
            <w:left w:val="none" w:sz="0" w:space="0" w:color="auto"/>
            <w:bottom w:val="none" w:sz="0" w:space="0" w:color="auto"/>
            <w:right w:val="none" w:sz="0" w:space="0" w:color="auto"/>
          </w:divBdr>
        </w:div>
        <w:div w:id="1811821055">
          <w:marLeft w:val="640"/>
          <w:marRight w:val="0"/>
          <w:marTop w:val="0"/>
          <w:marBottom w:val="0"/>
          <w:divBdr>
            <w:top w:val="none" w:sz="0" w:space="0" w:color="auto"/>
            <w:left w:val="none" w:sz="0" w:space="0" w:color="auto"/>
            <w:bottom w:val="none" w:sz="0" w:space="0" w:color="auto"/>
            <w:right w:val="none" w:sz="0" w:space="0" w:color="auto"/>
          </w:divBdr>
        </w:div>
        <w:div w:id="167139517">
          <w:marLeft w:val="640"/>
          <w:marRight w:val="0"/>
          <w:marTop w:val="0"/>
          <w:marBottom w:val="0"/>
          <w:divBdr>
            <w:top w:val="none" w:sz="0" w:space="0" w:color="auto"/>
            <w:left w:val="none" w:sz="0" w:space="0" w:color="auto"/>
            <w:bottom w:val="none" w:sz="0" w:space="0" w:color="auto"/>
            <w:right w:val="none" w:sz="0" w:space="0" w:color="auto"/>
          </w:divBdr>
        </w:div>
        <w:div w:id="1421633430">
          <w:marLeft w:val="640"/>
          <w:marRight w:val="0"/>
          <w:marTop w:val="0"/>
          <w:marBottom w:val="0"/>
          <w:divBdr>
            <w:top w:val="none" w:sz="0" w:space="0" w:color="auto"/>
            <w:left w:val="none" w:sz="0" w:space="0" w:color="auto"/>
            <w:bottom w:val="none" w:sz="0" w:space="0" w:color="auto"/>
            <w:right w:val="none" w:sz="0" w:space="0" w:color="auto"/>
          </w:divBdr>
        </w:div>
        <w:div w:id="1128204349">
          <w:marLeft w:val="640"/>
          <w:marRight w:val="0"/>
          <w:marTop w:val="0"/>
          <w:marBottom w:val="0"/>
          <w:divBdr>
            <w:top w:val="none" w:sz="0" w:space="0" w:color="auto"/>
            <w:left w:val="none" w:sz="0" w:space="0" w:color="auto"/>
            <w:bottom w:val="none" w:sz="0" w:space="0" w:color="auto"/>
            <w:right w:val="none" w:sz="0" w:space="0" w:color="auto"/>
          </w:divBdr>
        </w:div>
        <w:div w:id="1306198221">
          <w:marLeft w:val="640"/>
          <w:marRight w:val="0"/>
          <w:marTop w:val="0"/>
          <w:marBottom w:val="0"/>
          <w:divBdr>
            <w:top w:val="none" w:sz="0" w:space="0" w:color="auto"/>
            <w:left w:val="none" w:sz="0" w:space="0" w:color="auto"/>
            <w:bottom w:val="none" w:sz="0" w:space="0" w:color="auto"/>
            <w:right w:val="none" w:sz="0" w:space="0" w:color="auto"/>
          </w:divBdr>
        </w:div>
        <w:div w:id="403769874">
          <w:marLeft w:val="640"/>
          <w:marRight w:val="0"/>
          <w:marTop w:val="0"/>
          <w:marBottom w:val="0"/>
          <w:divBdr>
            <w:top w:val="none" w:sz="0" w:space="0" w:color="auto"/>
            <w:left w:val="none" w:sz="0" w:space="0" w:color="auto"/>
            <w:bottom w:val="none" w:sz="0" w:space="0" w:color="auto"/>
            <w:right w:val="none" w:sz="0" w:space="0" w:color="auto"/>
          </w:divBdr>
        </w:div>
        <w:div w:id="582877944">
          <w:marLeft w:val="640"/>
          <w:marRight w:val="0"/>
          <w:marTop w:val="0"/>
          <w:marBottom w:val="0"/>
          <w:divBdr>
            <w:top w:val="none" w:sz="0" w:space="0" w:color="auto"/>
            <w:left w:val="none" w:sz="0" w:space="0" w:color="auto"/>
            <w:bottom w:val="none" w:sz="0" w:space="0" w:color="auto"/>
            <w:right w:val="none" w:sz="0" w:space="0" w:color="auto"/>
          </w:divBdr>
        </w:div>
        <w:div w:id="1646734428">
          <w:marLeft w:val="640"/>
          <w:marRight w:val="0"/>
          <w:marTop w:val="0"/>
          <w:marBottom w:val="0"/>
          <w:divBdr>
            <w:top w:val="none" w:sz="0" w:space="0" w:color="auto"/>
            <w:left w:val="none" w:sz="0" w:space="0" w:color="auto"/>
            <w:bottom w:val="none" w:sz="0" w:space="0" w:color="auto"/>
            <w:right w:val="none" w:sz="0" w:space="0" w:color="auto"/>
          </w:divBdr>
        </w:div>
        <w:div w:id="517895283">
          <w:marLeft w:val="640"/>
          <w:marRight w:val="0"/>
          <w:marTop w:val="0"/>
          <w:marBottom w:val="0"/>
          <w:divBdr>
            <w:top w:val="none" w:sz="0" w:space="0" w:color="auto"/>
            <w:left w:val="none" w:sz="0" w:space="0" w:color="auto"/>
            <w:bottom w:val="none" w:sz="0" w:space="0" w:color="auto"/>
            <w:right w:val="none" w:sz="0" w:space="0" w:color="auto"/>
          </w:divBdr>
        </w:div>
        <w:div w:id="1276255190">
          <w:marLeft w:val="640"/>
          <w:marRight w:val="0"/>
          <w:marTop w:val="0"/>
          <w:marBottom w:val="0"/>
          <w:divBdr>
            <w:top w:val="none" w:sz="0" w:space="0" w:color="auto"/>
            <w:left w:val="none" w:sz="0" w:space="0" w:color="auto"/>
            <w:bottom w:val="none" w:sz="0" w:space="0" w:color="auto"/>
            <w:right w:val="none" w:sz="0" w:space="0" w:color="auto"/>
          </w:divBdr>
        </w:div>
        <w:div w:id="2134132824">
          <w:marLeft w:val="640"/>
          <w:marRight w:val="0"/>
          <w:marTop w:val="0"/>
          <w:marBottom w:val="0"/>
          <w:divBdr>
            <w:top w:val="none" w:sz="0" w:space="0" w:color="auto"/>
            <w:left w:val="none" w:sz="0" w:space="0" w:color="auto"/>
            <w:bottom w:val="none" w:sz="0" w:space="0" w:color="auto"/>
            <w:right w:val="none" w:sz="0" w:space="0" w:color="auto"/>
          </w:divBdr>
        </w:div>
        <w:div w:id="1157460873">
          <w:marLeft w:val="640"/>
          <w:marRight w:val="0"/>
          <w:marTop w:val="0"/>
          <w:marBottom w:val="0"/>
          <w:divBdr>
            <w:top w:val="none" w:sz="0" w:space="0" w:color="auto"/>
            <w:left w:val="none" w:sz="0" w:space="0" w:color="auto"/>
            <w:bottom w:val="none" w:sz="0" w:space="0" w:color="auto"/>
            <w:right w:val="none" w:sz="0" w:space="0" w:color="auto"/>
          </w:divBdr>
        </w:div>
        <w:div w:id="1028530604">
          <w:marLeft w:val="640"/>
          <w:marRight w:val="0"/>
          <w:marTop w:val="0"/>
          <w:marBottom w:val="0"/>
          <w:divBdr>
            <w:top w:val="none" w:sz="0" w:space="0" w:color="auto"/>
            <w:left w:val="none" w:sz="0" w:space="0" w:color="auto"/>
            <w:bottom w:val="none" w:sz="0" w:space="0" w:color="auto"/>
            <w:right w:val="none" w:sz="0" w:space="0" w:color="auto"/>
          </w:divBdr>
        </w:div>
        <w:div w:id="1065301004">
          <w:marLeft w:val="640"/>
          <w:marRight w:val="0"/>
          <w:marTop w:val="0"/>
          <w:marBottom w:val="0"/>
          <w:divBdr>
            <w:top w:val="none" w:sz="0" w:space="0" w:color="auto"/>
            <w:left w:val="none" w:sz="0" w:space="0" w:color="auto"/>
            <w:bottom w:val="none" w:sz="0" w:space="0" w:color="auto"/>
            <w:right w:val="none" w:sz="0" w:space="0" w:color="auto"/>
          </w:divBdr>
        </w:div>
        <w:div w:id="1690981429">
          <w:marLeft w:val="640"/>
          <w:marRight w:val="0"/>
          <w:marTop w:val="0"/>
          <w:marBottom w:val="0"/>
          <w:divBdr>
            <w:top w:val="none" w:sz="0" w:space="0" w:color="auto"/>
            <w:left w:val="none" w:sz="0" w:space="0" w:color="auto"/>
            <w:bottom w:val="none" w:sz="0" w:space="0" w:color="auto"/>
            <w:right w:val="none" w:sz="0" w:space="0" w:color="auto"/>
          </w:divBdr>
        </w:div>
        <w:div w:id="1458642455">
          <w:marLeft w:val="640"/>
          <w:marRight w:val="0"/>
          <w:marTop w:val="0"/>
          <w:marBottom w:val="0"/>
          <w:divBdr>
            <w:top w:val="none" w:sz="0" w:space="0" w:color="auto"/>
            <w:left w:val="none" w:sz="0" w:space="0" w:color="auto"/>
            <w:bottom w:val="none" w:sz="0" w:space="0" w:color="auto"/>
            <w:right w:val="none" w:sz="0" w:space="0" w:color="auto"/>
          </w:divBdr>
        </w:div>
        <w:div w:id="1958291967">
          <w:marLeft w:val="640"/>
          <w:marRight w:val="0"/>
          <w:marTop w:val="0"/>
          <w:marBottom w:val="0"/>
          <w:divBdr>
            <w:top w:val="none" w:sz="0" w:space="0" w:color="auto"/>
            <w:left w:val="none" w:sz="0" w:space="0" w:color="auto"/>
            <w:bottom w:val="none" w:sz="0" w:space="0" w:color="auto"/>
            <w:right w:val="none" w:sz="0" w:space="0" w:color="auto"/>
          </w:divBdr>
        </w:div>
        <w:div w:id="894707909">
          <w:marLeft w:val="640"/>
          <w:marRight w:val="0"/>
          <w:marTop w:val="0"/>
          <w:marBottom w:val="0"/>
          <w:divBdr>
            <w:top w:val="none" w:sz="0" w:space="0" w:color="auto"/>
            <w:left w:val="none" w:sz="0" w:space="0" w:color="auto"/>
            <w:bottom w:val="none" w:sz="0" w:space="0" w:color="auto"/>
            <w:right w:val="none" w:sz="0" w:space="0" w:color="auto"/>
          </w:divBdr>
        </w:div>
        <w:div w:id="1757627697">
          <w:marLeft w:val="640"/>
          <w:marRight w:val="0"/>
          <w:marTop w:val="0"/>
          <w:marBottom w:val="0"/>
          <w:divBdr>
            <w:top w:val="none" w:sz="0" w:space="0" w:color="auto"/>
            <w:left w:val="none" w:sz="0" w:space="0" w:color="auto"/>
            <w:bottom w:val="none" w:sz="0" w:space="0" w:color="auto"/>
            <w:right w:val="none" w:sz="0" w:space="0" w:color="auto"/>
          </w:divBdr>
        </w:div>
        <w:div w:id="715348700">
          <w:marLeft w:val="640"/>
          <w:marRight w:val="0"/>
          <w:marTop w:val="0"/>
          <w:marBottom w:val="0"/>
          <w:divBdr>
            <w:top w:val="none" w:sz="0" w:space="0" w:color="auto"/>
            <w:left w:val="none" w:sz="0" w:space="0" w:color="auto"/>
            <w:bottom w:val="none" w:sz="0" w:space="0" w:color="auto"/>
            <w:right w:val="none" w:sz="0" w:space="0" w:color="auto"/>
          </w:divBdr>
        </w:div>
        <w:div w:id="1977250008">
          <w:marLeft w:val="640"/>
          <w:marRight w:val="0"/>
          <w:marTop w:val="0"/>
          <w:marBottom w:val="0"/>
          <w:divBdr>
            <w:top w:val="none" w:sz="0" w:space="0" w:color="auto"/>
            <w:left w:val="none" w:sz="0" w:space="0" w:color="auto"/>
            <w:bottom w:val="none" w:sz="0" w:space="0" w:color="auto"/>
            <w:right w:val="none" w:sz="0" w:space="0" w:color="auto"/>
          </w:divBdr>
        </w:div>
        <w:div w:id="813567607">
          <w:marLeft w:val="640"/>
          <w:marRight w:val="0"/>
          <w:marTop w:val="0"/>
          <w:marBottom w:val="0"/>
          <w:divBdr>
            <w:top w:val="none" w:sz="0" w:space="0" w:color="auto"/>
            <w:left w:val="none" w:sz="0" w:space="0" w:color="auto"/>
            <w:bottom w:val="none" w:sz="0" w:space="0" w:color="auto"/>
            <w:right w:val="none" w:sz="0" w:space="0" w:color="auto"/>
          </w:divBdr>
        </w:div>
        <w:div w:id="805666248">
          <w:marLeft w:val="640"/>
          <w:marRight w:val="0"/>
          <w:marTop w:val="0"/>
          <w:marBottom w:val="0"/>
          <w:divBdr>
            <w:top w:val="none" w:sz="0" w:space="0" w:color="auto"/>
            <w:left w:val="none" w:sz="0" w:space="0" w:color="auto"/>
            <w:bottom w:val="none" w:sz="0" w:space="0" w:color="auto"/>
            <w:right w:val="none" w:sz="0" w:space="0" w:color="auto"/>
          </w:divBdr>
        </w:div>
        <w:div w:id="420832277">
          <w:marLeft w:val="640"/>
          <w:marRight w:val="0"/>
          <w:marTop w:val="0"/>
          <w:marBottom w:val="0"/>
          <w:divBdr>
            <w:top w:val="none" w:sz="0" w:space="0" w:color="auto"/>
            <w:left w:val="none" w:sz="0" w:space="0" w:color="auto"/>
            <w:bottom w:val="none" w:sz="0" w:space="0" w:color="auto"/>
            <w:right w:val="none" w:sz="0" w:space="0" w:color="auto"/>
          </w:divBdr>
        </w:div>
        <w:div w:id="340085107">
          <w:marLeft w:val="640"/>
          <w:marRight w:val="0"/>
          <w:marTop w:val="0"/>
          <w:marBottom w:val="0"/>
          <w:divBdr>
            <w:top w:val="none" w:sz="0" w:space="0" w:color="auto"/>
            <w:left w:val="none" w:sz="0" w:space="0" w:color="auto"/>
            <w:bottom w:val="none" w:sz="0" w:space="0" w:color="auto"/>
            <w:right w:val="none" w:sz="0" w:space="0" w:color="auto"/>
          </w:divBdr>
        </w:div>
        <w:div w:id="1002974021">
          <w:marLeft w:val="640"/>
          <w:marRight w:val="0"/>
          <w:marTop w:val="0"/>
          <w:marBottom w:val="0"/>
          <w:divBdr>
            <w:top w:val="none" w:sz="0" w:space="0" w:color="auto"/>
            <w:left w:val="none" w:sz="0" w:space="0" w:color="auto"/>
            <w:bottom w:val="none" w:sz="0" w:space="0" w:color="auto"/>
            <w:right w:val="none" w:sz="0" w:space="0" w:color="auto"/>
          </w:divBdr>
        </w:div>
        <w:div w:id="1877038201">
          <w:marLeft w:val="640"/>
          <w:marRight w:val="0"/>
          <w:marTop w:val="0"/>
          <w:marBottom w:val="0"/>
          <w:divBdr>
            <w:top w:val="none" w:sz="0" w:space="0" w:color="auto"/>
            <w:left w:val="none" w:sz="0" w:space="0" w:color="auto"/>
            <w:bottom w:val="none" w:sz="0" w:space="0" w:color="auto"/>
            <w:right w:val="none" w:sz="0" w:space="0" w:color="auto"/>
          </w:divBdr>
        </w:div>
        <w:div w:id="717894669">
          <w:marLeft w:val="640"/>
          <w:marRight w:val="0"/>
          <w:marTop w:val="0"/>
          <w:marBottom w:val="0"/>
          <w:divBdr>
            <w:top w:val="none" w:sz="0" w:space="0" w:color="auto"/>
            <w:left w:val="none" w:sz="0" w:space="0" w:color="auto"/>
            <w:bottom w:val="none" w:sz="0" w:space="0" w:color="auto"/>
            <w:right w:val="none" w:sz="0" w:space="0" w:color="auto"/>
          </w:divBdr>
        </w:div>
        <w:div w:id="115948951">
          <w:marLeft w:val="640"/>
          <w:marRight w:val="0"/>
          <w:marTop w:val="0"/>
          <w:marBottom w:val="0"/>
          <w:divBdr>
            <w:top w:val="none" w:sz="0" w:space="0" w:color="auto"/>
            <w:left w:val="none" w:sz="0" w:space="0" w:color="auto"/>
            <w:bottom w:val="none" w:sz="0" w:space="0" w:color="auto"/>
            <w:right w:val="none" w:sz="0" w:space="0" w:color="auto"/>
          </w:divBdr>
        </w:div>
        <w:div w:id="1488547539">
          <w:marLeft w:val="640"/>
          <w:marRight w:val="0"/>
          <w:marTop w:val="0"/>
          <w:marBottom w:val="0"/>
          <w:divBdr>
            <w:top w:val="none" w:sz="0" w:space="0" w:color="auto"/>
            <w:left w:val="none" w:sz="0" w:space="0" w:color="auto"/>
            <w:bottom w:val="none" w:sz="0" w:space="0" w:color="auto"/>
            <w:right w:val="none" w:sz="0" w:space="0" w:color="auto"/>
          </w:divBdr>
        </w:div>
        <w:div w:id="155994603">
          <w:marLeft w:val="640"/>
          <w:marRight w:val="0"/>
          <w:marTop w:val="0"/>
          <w:marBottom w:val="0"/>
          <w:divBdr>
            <w:top w:val="none" w:sz="0" w:space="0" w:color="auto"/>
            <w:left w:val="none" w:sz="0" w:space="0" w:color="auto"/>
            <w:bottom w:val="none" w:sz="0" w:space="0" w:color="auto"/>
            <w:right w:val="none" w:sz="0" w:space="0" w:color="auto"/>
          </w:divBdr>
        </w:div>
      </w:divsChild>
    </w:div>
    <w:div w:id="1735817062">
      <w:bodyDiv w:val="1"/>
      <w:marLeft w:val="0"/>
      <w:marRight w:val="0"/>
      <w:marTop w:val="0"/>
      <w:marBottom w:val="0"/>
      <w:divBdr>
        <w:top w:val="none" w:sz="0" w:space="0" w:color="auto"/>
        <w:left w:val="none" w:sz="0" w:space="0" w:color="auto"/>
        <w:bottom w:val="none" w:sz="0" w:space="0" w:color="auto"/>
        <w:right w:val="none" w:sz="0" w:space="0" w:color="auto"/>
      </w:divBdr>
      <w:divsChild>
        <w:div w:id="2141066535">
          <w:marLeft w:val="640"/>
          <w:marRight w:val="0"/>
          <w:marTop w:val="0"/>
          <w:marBottom w:val="0"/>
          <w:divBdr>
            <w:top w:val="none" w:sz="0" w:space="0" w:color="auto"/>
            <w:left w:val="none" w:sz="0" w:space="0" w:color="auto"/>
            <w:bottom w:val="none" w:sz="0" w:space="0" w:color="auto"/>
            <w:right w:val="none" w:sz="0" w:space="0" w:color="auto"/>
          </w:divBdr>
        </w:div>
        <w:div w:id="1392195655">
          <w:marLeft w:val="640"/>
          <w:marRight w:val="0"/>
          <w:marTop w:val="0"/>
          <w:marBottom w:val="0"/>
          <w:divBdr>
            <w:top w:val="none" w:sz="0" w:space="0" w:color="auto"/>
            <w:left w:val="none" w:sz="0" w:space="0" w:color="auto"/>
            <w:bottom w:val="none" w:sz="0" w:space="0" w:color="auto"/>
            <w:right w:val="none" w:sz="0" w:space="0" w:color="auto"/>
          </w:divBdr>
        </w:div>
        <w:div w:id="1871794833">
          <w:marLeft w:val="640"/>
          <w:marRight w:val="0"/>
          <w:marTop w:val="0"/>
          <w:marBottom w:val="0"/>
          <w:divBdr>
            <w:top w:val="none" w:sz="0" w:space="0" w:color="auto"/>
            <w:left w:val="none" w:sz="0" w:space="0" w:color="auto"/>
            <w:bottom w:val="none" w:sz="0" w:space="0" w:color="auto"/>
            <w:right w:val="none" w:sz="0" w:space="0" w:color="auto"/>
          </w:divBdr>
        </w:div>
        <w:div w:id="219096762">
          <w:marLeft w:val="640"/>
          <w:marRight w:val="0"/>
          <w:marTop w:val="0"/>
          <w:marBottom w:val="0"/>
          <w:divBdr>
            <w:top w:val="none" w:sz="0" w:space="0" w:color="auto"/>
            <w:left w:val="none" w:sz="0" w:space="0" w:color="auto"/>
            <w:bottom w:val="none" w:sz="0" w:space="0" w:color="auto"/>
            <w:right w:val="none" w:sz="0" w:space="0" w:color="auto"/>
          </w:divBdr>
        </w:div>
        <w:div w:id="1731150484">
          <w:marLeft w:val="640"/>
          <w:marRight w:val="0"/>
          <w:marTop w:val="0"/>
          <w:marBottom w:val="0"/>
          <w:divBdr>
            <w:top w:val="none" w:sz="0" w:space="0" w:color="auto"/>
            <w:left w:val="none" w:sz="0" w:space="0" w:color="auto"/>
            <w:bottom w:val="none" w:sz="0" w:space="0" w:color="auto"/>
            <w:right w:val="none" w:sz="0" w:space="0" w:color="auto"/>
          </w:divBdr>
        </w:div>
        <w:div w:id="1863666829">
          <w:marLeft w:val="640"/>
          <w:marRight w:val="0"/>
          <w:marTop w:val="0"/>
          <w:marBottom w:val="0"/>
          <w:divBdr>
            <w:top w:val="none" w:sz="0" w:space="0" w:color="auto"/>
            <w:left w:val="none" w:sz="0" w:space="0" w:color="auto"/>
            <w:bottom w:val="none" w:sz="0" w:space="0" w:color="auto"/>
            <w:right w:val="none" w:sz="0" w:space="0" w:color="auto"/>
          </w:divBdr>
        </w:div>
        <w:div w:id="1005284871">
          <w:marLeft w:val="640"/>
          <w:marRight w:val="0"/>
          <w:marTop w:val="0"/>
          <w:marBottom w:val="0"/>
          <w:divBdr>
            <w:top w:val="none" w:sz="0" w:space="0" w:color="auto"/>
            <w:left w:val="none" w:sz="0" w:space="0" w:color="auto"/>
            <w:bottom w:val="none" w:sz="0" w:space="0" w:color="auto"/>
            <w:right w:val="none" w:sz="0" w:space="0" w:color="auto"/>
          </w:divBdr>
        </w:div>
        <w:div w:id="1485849246">
          <w:marLeft w:val="640"/>
          <w:marRight w:val="0"/>
          <w:marTop w:val="0"/>
          <w:marBottom w:val="0"/>
          <w:divBdr>
            <w:top w:val="none" w:sz="0" w:space="0" w:color="auto"/>
            <w:left w:val="none" w:sz="0" w:space="0" w:color="auto"/>
            <w:bottom w:val="none" w:sz="0" w:space="0" w:color="auto"/>
            <w:right w:val="none" w:sz="0" w:space="0" w:color="auto"/>
          </w:divBdr>
        </w:div>
        <w:div w:id="1438526899">
          <w:marLeft w:val="640"/>
          <w:marRight w:val="0"/>
          <w:marTop w:val="0"/>
          <w:marBottom w:val="0"/>
          <w:divBdr>
            <w:top w:val="none" w:sz="0" w:space="0" w:color="auto"/>
            <w:left w:val="none" w:sz="0" w:space="0" w:color="auto"/>
            <w:bottom w:val="none" w:sz="0" w:space="0" w:color="auto"/>
            <w:right w:val="none" w:sz="0" w:space="0" w:color="auto"/>
          </w:divBdr>
        </w:div>
        <w:div w:id="464814052">
          <w:marLeft w:val="640"/>
          <w:marRight w:val="0"/>
          <w:marTop w:val="0"/>
          <w:marBottom w:val="0"/>
          <w:divBdr>
            <w:top w:val="none" w:sz="0" w:space="0" w:color="auto"/>
            <w:left w:val="none" w:sz="0" w:space="0" w:color="auto"/>
            <w:bottom w:val="none" w:sz="0" w:space="0" w:color="auto"/>
            <w:right w:val="none" w:sz="0" w:space="0" w:color="auto"/>
          </w:divBdr>
        </w:div>
        <w:div w:id="343674600">
          <w:marLeft w:val="640"/>
          <w:marRight w:val="0"/>
          <w:marTop w:val="0"/>
          <w:marBottom w:val="0"/>
          <w:divBdr>
            <w:top w:val="none" w:sz="0" w:space="0" w:color="auto"/>
            <w:left w:val="none" w:sz="0" w:space="0" w:color="auto"/>
            <w:bottom w:val="none" w:sz="0" w:space="0" w:color="auto"/>
            <w:right w:val="none" w:sz="0" w:space="0" w:color="auto"/>
          </w:divBdr>
        </w:div>
        <w:div w:id="1716928120">
          <w:marLeft w:val="640"/>
          <w:marRight w:val="0"/>
          <w:marTop w:val="0"/>
          <w:marBottom w:val="0"/>
          <w:divBdr>
            <w:top w:val="none" w:sz="0" w:space="0" w:color="auto"/>
            <w:left w:val="none" w:sz="0" w:space="0" w:color="auto"/>
            <w:bottom w:val="none" w:sz="0" w:space="0" w:color="auto"/>
            <w:right w:val="none" w:sz="0" w:space="0" w:color="auto"/>
          </w:divBdr>
        </w:div>
        <w:div w:id="1180504158">
          <w:marLeft w:val="640"/>
          <w:marRight w:val="0"/>
          <w:marTop w:val="0"/>
          <w:marBottom w:val="0"/>
          <w:divBdr>
            <w:top w:val="none" w:sz="0" w:space="0" w:color="auto"/>
            <w:left w:val="none" w:sz="0" w:space="0" w:color="auto"/>
            <w:bottom w:val="none" w:sz="0" w:space="0" w:color="auto"/>
            <w:right w:val="none" w:sz="0" w:space="0" w:color="auto"/>
          </w:divBdr>
        </w:div>
        <w:div w:id="986514549">
          <w:marLeft w:val="640"/>
          <w:marRight w:val="0"/>
          <w:marTop w:val="0"/>
          <w:marBottom w:val="0"/>
          <w:divBdr>
            <w:top w:val="none" w:sz="0" w:space="0" w:color="auto"/>
            <w:left w:val="none" w:sz="0" w:space="0" w:color="auto"/>
            <w:bottom w:val="none" w:sz="0" w:space="0" w:color="auto"/>
            <w:right w:val="none" w:sz="0" w:space="0" w:color="auto"/>
          </w:divBdr>
        </w:div>
        <w:div w:id="2112120260">
          <w:marLeft w:val="640"/>
          <w:marRight w:val="0"/>
          <w:marTop w:val="0"/>
          <w:marBottom w:val="0"/>
          <w:divBdr>
            <w:top w:val="none" w:sz="0" w:space="0" w:color="auto"/>
            <w:left w:val="none" w:sz="0" w:space="0" w:color="auto"/>
            <w:bottom w:val="none" w:sz="0" w:space="0" w:color="auto"/>
            <w:right w:val="none" w:sz="0" w:space="0" w:color="auto"/>
          </w:divBdr>
        </w:div>
        <w:div w:id="1578663614">
          <w:marLeft w:val="640"/>
          <w:marRight w:val="0"/>
          <w:marTop w:val="0"/>
          <w:marBottom w:val="0"/>
          <w:divBdr>
            <w:top w:val="none" w:sz="0" w:space="0" w:color="auto"/>
            <w:left w:val="none" w:sz="0" w:space="0" w:color="auto"/>
            <w:bottom w:val="none" w:sz="0" w:space="0" w:color="auto"/>
            <w:right w:val="none" w:sz="0" w:space="0" w:color="auto"/>
          </w:divBdr>
        </w:div>
        <w:div w:id="62609272">
          <w:marLeft w:val="640"/>
          <w:marRight w:val="0"/>
          <w:marTop w:val="0"/>
          <w:marBottom w:val="0"/>
          <w:divBdr>
            <w:top w:val="none" w:sz="0" w:space="0" w:color="auto"/>
            <w:left w:val="none" w:sz="0" w:space="0" w:color="auto"/>
            <w:bottom w:val="none" w:sz="0" w:space="0" w:color="auto"/>
            <w:right w:val="none" w:sz="0" w:space="0" w:color="auto"/>
          </w:divBdr>
        </w:div>
        <w:div w:id="437407466">
          <w:marLeft w:val="640"/>
          <w:marRight w:val="0"/>
          <w:marTop w:val="0"/>
          <w:marBottom w:val="0"/>
          <w:divBdr>
            <w:top w:val="none" w:sz="0" w:space="0" w:color="auto"/>
            <w:left w:val="none" w:sz="0" w:space="0" w:color="auto"/>
            <w:bottom w:val="none" w:sz="0" w:space="0" w:color="auto"/>
            <w:right w:val="none" w:sz="0" w:space="0" w:color="auto"/>
          </w:divBdr>
        </w:div>
        <w:div w:id="1286621212">
          <w:marLeft w:val="640"/>
          <w:marRight w:val="0"/>
          <w:marTop w:val="0"/>
          <w:marBottom w:val="0"/>
          <w:divBdr>
            <w:top w:val="none" w:sz="0" w:space="0" w:color="auto"/>
            <w:left w:val="none" w:sz="0" w:space="0" w:color="auto"/>
            <w:bottom w:val="none" w:sz="0" w:space="0" w:color="auto"/>
            <w:right w:val="none" w:sz="0" w:space="0" w:color="auto"/>
          </w:divBdr>
        </w:div>
        <w:div w:id="1202286195">
          <w:marLeft w:val="640"/>
          <w:marRight w:val="0"/>
          <w:marTop w:val="0"/>
          <w:marBottom w:val="0"/>
          <w:divBdr>
            <w:top w:val="none" w:sz="0" w:space="0" w:color="auto"/>
            <w:left w:val="none" w:sz="0" w:space="0" w:color="auto"/>
            <w:bottom w:val="none" w:sz="0" w:space="0" w:color="auto"/>
            <w:right w:val="none" w:sz="0" w:space="0" w:color="auto"/>
          </w:divBdr>
        </w:div>
        <w:div w:id="758404089">
          <w:marLeft w:val="640"/>
          <w:marRight w:val="0"/>
          <w:marTop w:val="0"/>
          <w:marBottom w:val="0"/>
          <w:divBdr>
            <w:top w:val="none" w:sz="0" w:space="0" w:color="auto"/>
            <w:left w:val="none" w:sz="0" w:space="0" w:color="auto"/>
            <w:bottom w:val="none" w:sz="0" w:space="0" w:color="auto"/>
            <w:right w:val="none" w:sz="0" w:space="0" w:color="auto"/>
          </w:divBdr>
        </w:div>
        <w:div w:id="848720059">
          <w:marLeft w:val="640"/>
          <w:marRight w:val="0"/>
          <w:marTop w:val="0"/>
          <w:marBottom w:val="0"/>
          <w:divBdr>
            <w:top w:val="none" w:sz="0" w:space="0" w:color="auto"/>
            <w:left w:val="none" w:sz="0" w:space="0" w:color="auto"/>
            <w:bottom w:val="none" w:sz="0" w:space="0" w:color="auto"/>
            <w:right w:val="none" w:sz="0" w:space="0" w:color="auto"/>
          </w:divBdr>
        </w:div>
        <w:div w:id="1814712498">
          <w:marLeft w:val="640"/>
          <w:marRight w:val="0"/>
          <w:marTop w:val="0"/>
          <w:marBottom w:val="0"/>
          <w:divBdr>
            <w:top w:val="none" w:sz="0" w:space="0" w:color="auto"/>
            <w:left w:val="none" w:sz="0" w:space="0" w:color="auto"/>
            <w:bottom w:val="none" w:sz="0" w:space="0" w:color="auto"/>
            <w:right w:val="none" w:sz="0" w:space="0" w:color="auto"/>
          </w:divBdr>
        </w:div>
        <w:div w:id="979650039">
          <w:marLeft w:val="640"/>
          <w:marRight w:val="0"/>
          <w:marTop w:val="0"/>
          <w:marBottom w:val="0"/>
          <w:divBdr>
            <w:top w:val="none" w:sz="0" w:space="0" w:color="auto"/>
            <w:left w:val="none" w:sz="0" w:space="0" w:color="auto"/>
            <w:bottom w:val="none" w:sz="0" w:space="0" w:color="auto"/>
            <w:right w:val="none" w:sz="0" w:space="0" w:color="auto"/>
          </w:divBdr>
        </w:div>
        <w:div w:id="1375733994">
          <w:marLeft w:val="640"/>
          <w:marRight w:val="0"/>
          <w:marTop w:val="0"/>
          <w:marBottom w:val="0"/>
          <w:divBdr>
            <w:top w:val="none" w:sz="0" w:space="0" w:color="auto"/>
            <w:left w:val="none" w:sz="0" w:space="0" w:color="auto"/>
            <w:bottom w:val="none" w:sz="0" w:space="0" w:color="auto"/>
            <w:right w:val="none" w:sz="0" w:space="0" w:color="auto"/>
          </w:divBdr>
        </w:div>
        <w:div w:id="913513896">
          <w:marLeft w:val="640"/>
          <w:marRight w:val="0"/>
          <w:marTop w:val="0"/>
          <w:marBottom w:val="0"/>
          <w:divBdr>
            <w:top w:val="none" w:sz="0" w:space="0" w:color="auto"/>
            <w:left w:val="none" w:sz="0" w:space="0" w:color="auto"/>
            <w:bottom w:val="none" w:sz="0" w:space="0" w:color="auto"/>
            <w:right w:val="none" w:sz="0" w:space="0" w:color="auto"/>
          </w:divBdr>
        </w:div>
        <w:div w:id="784080303">
          <w:marLeft w:val="640"/>
          <w:marRight w:val="0"/>
          <w:marTop w:val="0"/>
          <w:marBottom w:val="0"/>
          <w:divBdr>
            <w:top w:val="none" w:sz="0" w:space="0" w:color="auto"/>
            <w:left w:val="none" w:sz="0" w:space="0" w:color="auto"/>
            <w:bottom w:val="none" w:sz="0" w:space="0" w:color="auto"/>
            <w:right w:val="none" w:sz="0" w:space="0" w:color="auto"/>
          </w:divBdr>
        </w:div>
        <w:div w:id="2001275141">
          <w:marLeft w:val="640"/>
          <w:marRight w:val="0"/>
          <w:marTop w:val="0"/>
          <w:marBottom w:val="0"/>
          <w:divBdr>
            <w:top w:val="none" w:sz="0" w:space="0" w:color="auto"/>
            <w:left w:val="none" w:sz="0" w:space="0" w:color="auto"/>
            <w:bottom w:val="none" w:sz="0" w:space="0" w:color="auto"/>
            <w:right w:val="none" w:sz="0" w:space="0" w:color="auto"/>
          </w:divBdr>
        </w:div>
        <w:div w:id="175341246">
          <w:marLeft w:val="640"/>
          <w:marRight w:val="0"/>
          <w:marTop w:val="0"/>
          <w:marBottom w:val="0"/>
          <w:divBdr>
            <w:top w:val="none" w:sz="0" w:space="0" w:color="auto"/>
            <w:left w:val="none" w:sz="0" w:space="0" w:color="auto"/>
            <w:bottom w:val="none" w:sz="0" w:space="0" w:color="auto"/>
            <w:right w:val="none" w:sz="0" w:space="0" w:color="auto"/>
          </w:divBdr>
        </w:div>
        <w:div w:id="16086342">
          <w:marLeft w:val="640"/>
          <w:marRight w:val="0"/>
          <w:marTop w:val="0"/>
          <w:marBottom w:val="0"/>
          <w:divBdr>
            <w:top w:val="none" w:sz="0" w:space="0" w:color="auto"/>
            <w:left w:val="none" w:sz="0" w:space="0" w:color="auto"/>
            <w:bottom w:val="none" w:sz="0" w:space="0" w:color="auto"/>
            <w:right w:val="none" w:sz="0" w:space="0" w:color="auto"/>
          </w:divBdr>
        </w:div>
        <w:div w:id="1979912964">
          <w:marLeft w:val="640"/>
          <w:marRight w:val="0"/>
          <w:marTop w:val="0"/>
          <w:marBottom w:val="0"/>
          <w:divBdr>
            <w:top w:val="none" w:sz="0" w:space="0" w:color="auto"/>
            <w:left w:val="none" w:sz="0" w:space="0" w:color="auto"/>
            <w:bottom w:val="none" w:sz="0" w:space="0" w:color="auto"/>
            <w:right w:val="none" w:sz="0" w:space="0" w:color="auto"/>
          </w:divBdr>
        </w:div>
        <w:div w:id="1928228940">
          <w:marLeft w:val="640"/>
          <w:marRight w:val="0"/>
          <w:marTop w:val="0"/>
          <w:marBottom w:val="0"/>
          <w:divBdr>
            <w:top w:val="none" w:sz="0" w:space="0" w:color="auto"/>
            <w:left w:val="none" w:sz="0" w:space="0" w:color="auto"/>
            <w:bottom w:val="none" w:sz="0" w:space="0" w:color="auto"/>
            <w:right w:val="none" w:sz="0" w:space="0" w:color="auto"/>
          </w:divBdr>
        </w:div>
        <w:div w:id="981737383">
          <w:marLeft w:val="640"/>
          <w:marRight w:val="0"/>
          <w:marTop w:val="0"/>
          <w:marBottom w:val="0"/>
          <w:divBdr>
            <w:top w:val="none" w:sz="0" w:space="0" w:color="auto"/>
            <w:left w:val="none" w:sz="0" w:space="0" w:color="auto"/>
            <w:bottom w:val="none" w:sz="0" w:space="0" w:color="auto"/>
            <w:right w:val="none" w:sz="0" w:space="0" w:color="auto"/>
          </w:divBdr>
        </w:div>
        <w:div w:id="83386378">
          <w:marLeft w:val="640"/>
          <w:marRight w:val="0"/>
          <w:marTop w:val="0"/>
          <w:marBottom w:val="0"/>
          <w:divBdr>
            <w:top w:val="none" w:sz="0" w:space="0" w:color="auto"/>
            <w:left w:val="none" w:sz="0" w:space="0" w:color="auto"/>
            <w:bottom w:val="none" w:sz="0" w:space="0" w:color="auto"/>
            <w:right w:val="none" w:sz="0" w:space="0" w:color="auto"/>
          </w:divBdr>
        </w:div>
        <w:div w:id="878904855">
          <w:marLeft w:val="640"/>
          <w:marRight w:val="0"/>
          <w:marTop w:val="0"/>
          <w:marBottom w:val="0"/>
          <w:divBdr>
            <w:top w:val="none" w:sz="0" w:space="0" w:color="auto"/>
            <w:left w:val="none" w:sz="0" w:space="0" w:color="auto"/>
            <w:bottom w:val="none" w:sz="0" w:space="0" w:color="auto"/>
            <w:right w:val="none" w:sz="0" w:space="0" w:color="auto"/>
          </w:divBdr>
        </w:div>
        <w:div w:id="844976000">
          <w:marLeft w:val="640"/>
          <w:marRight w:val="0"/>
          <w:marTop w:val="0"/>
          <w:marBottom w:val="0"/>
          <w:divBdr>
            <w:top w:val="none" w:sz="0" w:space="0" w:color="auto"/>
            <w:left w:val="none" w:sz="0" w:space="0" w:color="auto"/>
            <w:bottom w:val="none" w:sz="0" w:space="0" w:color="auto"/>
            <w:right w:val="none" w:sz="0" w:space="0" w:color="auto"/>
          </w:divBdr>
        </w:div>
        <w:div w:id="1699355083">
          <w:marLeft w:val="640"/>
          <w:marRight w:val="0"/>
          <w:marTop w:val="0"/>
          <w:marBottom w:val="0"/>
          <w:divBdr>
            <w:top w:val="none" w:sz="0" w:space="0" w:color="auto"/>
            <w:left w:val="none" w:sz="0" w:space="0" w:color="auto"/>
            <w:bottom w:val="none" w:sz="0" w:space="0" w:color="auto"/>
            <w:right w:val="none" w:sz="0" w:space="0" w:color="auto"/>
          </w:divBdr>
        </w:div>
        <w:div w:id="578103971">
          <w:marLeft w:val="640"/>
          <w:marRight w:val="0"/>
          <w:marTop w:val="0"/>
          <w:marBottom w:val="0"/>
          <w:divBdr>
            <w:top w:val="none" w:sz="0" w:space="0" w:color="auto"/>
            <w:left w:val="none" w:sz="0" w:space="0" w:color="auto"/>
            <w:bottom w:val="none" w:sz="0" w:space="0" w:color="auto"/>
            <w:right w:val="none" w:sz="0" w:space="0" w:color="auto"/>
          </w:divBdr>
        </w:div>
        <w:div w:id="1877891507">
          <w:marLeft w:val="640"/>
          <w:marRight w:val="0"/>
          <w:marTop w:val="0"/>
          <w:marBottom w:val="0"/>
          <w:divBdr>
            <w:top w:val="none" w:sz="0" w:space="0" w:color="auto"/>
            <w:left w:val="none" w:sz="0" w:space="0" w:color="auto"/>
            <w:bottom w:val="none" w:sz="0" w:space="0" w:color="auto"/>
            <w:right w:val="none" w:sz="0" w:space="0" w:color="auto"/>
          </w:divBdr>
        </w:div>
        <w:div w:id="1923947906">
          <w:marLeft w:val="640"/>
          <w:marRight w:val="0"/>
          <w:marTop w:val="0"/>
          <w:marBottom w:val="0"/>
          <w:divBdr>
            <w:top w:val="none" w:sz="0" w:space="0" w:color="auto"/>
            <w:left w:val="none" w:sz="0" w:space="0" w:color="auto"/>
            <w:bottom w:val="none" w:sz="0" w:space="0" w:color="auto"/>
            <w:right w:val="none" w:sz="0" w:space="0" w:color="auto"/>
          </w:divBdr>
        </w:div>
        <w:div w:id="1467161895">
          <w:marLeft w:val="640"/>
          <w:marRight w:val="0"/>
          <w:marTop w:val="0"/>
          <w:marBottom w:val="0"/>
          <w:divBdr>
            <w:top w:val="none" w:sz="0" w:space="0" w:color="auto"/>
            <w:left w:val="none" w:sz="0" w:space="0" w:color="auto"/>
            <w:bottom w:val="none" w:sz="0" w:space="0" w:color="auto"/>
            <w:right w:val="none" w:sz="0" w:space="0" w:color="auto"/>
          </w:divBdr>
        </w:div>
        <w:div w:id="993677281">
          <w:marLeft w:val="640"/>
          <w:marRight w:val="0"/>
          <w:marTop w:val="0"/>
          <w:marBottom w:val="0"/>
          <w:divBdr>
            <w:top w:val="none" w:sz="0" w:space="0" w:color="auto"/>
            <w:left w:val="none" w:sz="0" w:space="0" w:color="auto"/>
            <w:bottom w:val="none" w:sz="0" w:space="0" w:color="auto"/>
            <w:right w:val="none" w:sz="0" w:space="0" w:color="auto"/>
          </w:divBdr>
        </w:div>
        <w:div w:id="598101927">
          <w:marLeft w:val="640"/>
          <w:marRight w:val="0"/>
          <w:marTop w:val="0"/>
          <w:marBottom w:val="0"/>
          <w:divBdr>
            <w:top w:val="none" w:sz="0" w:space="0" w:color="auto"/>
            <w:left w:val="none" w:sz="0" w:space="0" w:color="auto"/>
            <w:bottom w:val="none" w:sz="0" w:space="0" w:color="auto"/>
            <w:right w:val="none" w:sz="0" w:space="0" w:color="auto"/>
          </w:divBdr>
        </w:div>
        <w:div w:id="685135115">
          <w:marLeft w:val="640"/>
          <w:marRight w:val="0"/>
          <w:marTop w:val="0"/>
          <w:marBottom w:val="0"/>
          <w:divBdr>
            <w:top w:val="none" w:sz="0" w:space="0" w:color="auto"/>
            <w:left w:val="none" w:sz="0" w:space="0" w:color="auto"/>
            <w:bottom w:val="none" w:sz="0" w:space="0" w:color="auto"/>
            <w:right w:val="none" w:sz="0" w:space="0" w:color="auto"/>
          </w:divBdr>
        </w:div>
        <w:div w:id="706684823">
          <w:marLeft w:val="640"/>
          <w:marRight w:val="0"/>
          <w:marTop w:val="0"/>
          <w:marBottom w:val="0"/>
          <w:divBdr>
            <w:top w:val="none" w:sz="0" w:space="0" w:color="auto"/>
            <w:left w:val="none" w:sz="0" w:space="0" w:color="auto"/>
            <w:bottom w:val="none" w:sz="0" w:space="0" w:color="auto"/>
            <w:right w:val="none" w:sz="0" w:space="0" w:color="auto"/>
          </w:divBdr>
        </w:div>
        <w:div w:id="187766033">
          <w:marLeft w:val="640"/>
          <w:marRight w:val="0"/>
          <w:marTop w:val="0"/>
          <w:marBottom w:val="0"/>
          <w:divBdr>
            <w:top w:val="none" w:sz="0" w:space="0" w:color="auto"/>
            <w:left w:val="none" w:sz="0" w:space="0" w:color="auto"/>
            <w:bottom w:val="none" w:sz="0" w:space="0" w:color="auto"/>
            <w:right w:val="none" w:sz="0" w:space="0" w:color="auto"/>
          </w:divBdr>
        </w:div>
        <w:div w:id="820537446">
          <w:marLeft w:val="640"/>
          <w:marRight w:val="0"/>
          <w:marTop w:val="0"/>
          <w:marBottom w:val="0"/>
          <w:divBdr>
            <w:top w:val="none" w:sz="0" w:space="0" w:color="auto"/>
            <w:left w:val="none" w:sz="0" w:space="0" w:color="auto"/>
            <w:bottom w:val="none" w:sz="0" w:space="0" w:color="auto"/>
            <w:right w:val="none" w:sz="0" w:space="0" w:color="auto"/>
          </w:divBdr>
        </w:div>
        <w:div w:id="1065109449">
          <w:marLeft w:val="640"/>
          <w:marRight w:val="0"/>
          <w:marTop w:val="0"/>
          <w:marBottom w:val="0"/>
          <w:divBdr>
            <w:top w:val="none" w:sz="0" w:space="0" w:color="auto"/>
            <w:left w:val="none" w:sz="0" w:space="0" w:color="auto"/>
            <w:bottom w:val="none" w:sz="0" w:space="0" w:color="auto"/>
            <w:right w:val="none" w:sz="0" w:space="0" w:color="auto"/>
          </w:divBdr>
        </w:div>
        <w:div w:id="101583273">
          <w:marLeft w:val="640"/>
          <w:marRight w:val="0"/>
          <w:marTop w:val="0"/>
          <w:marBottom w:val="0"/>
          <w:divBdr>
            <w:top w:val="none" w:sz="0" w:space="0" w:color="auto"/>
            <w:left w:val="none" w:sz="0" w:space="0" w:color="auto"/>
            <w:bottom w:val="none" w:sz="0" w:space="0" w:color="auto"/>
            <w:right w:val="none" w:sz="0" w:space="0" w:color="auto"/>
          </w:divBdr>
        </w:div>
        <w:div w:id="1233202814">
          <w:marLeft w:val="640"/>
          <w:marRight w:val="0"/>
          <w:marTop w:val="0"/>
          <w:marBottom w:val="0"/>
          <w:divBdr>
            <w:top w:val="none" w:sz="0" w:space="0" w:color="auto"/>
            <w:left w:val="none" w:sz="0" w:space="0" w:color="auto"/>
            <w:bottom w:val="none" w:sz="0" w:space="0" w:color="auto"/>
            <w:right w:val="none" w:sz="0" w:space="0" w:color="auto"/>
          </w:divBdr>
        </w:div>
        <w:div w:id="1108282973">
          <w:marLeft w:val="640"/>
          <w:marRight w:val="0"/>
          <w:marTop w:val="0"/>
          <w:marBottom w:val="0"/>
          <w:divBdr>
            <w:top w:val="none" w:sz="0" w:space="0" w:color="auto"/>
            <w:left w:val="none" w:sz="0" w:space="0" w:color="auto"/>
            <w:bottom w:val="none" w:sz="0" w:space="0" w:color="auto"/>
            <w:right w:val="none" w:sz="0" w:space="0" w:color="auto"/>
          </w:divBdr>
        </w:div>
        <w:div w:id="816606144">
          <w:marLeft w:val="640"/>
          <w:marRight w:val="0"/>
          <w:marTop w:val="0"/>
          <w:marBottom w:val="0"/>
          <w:divBdr>
            <w:top w:val="none" w:sz="0" w:space="0" w:color="auto"/>
            <w:left w:val="none" w:sz="0" w:space="0" w:color="auto"/>
            <w:bottom w:val="none" w:sz="0" w:space="0" w:color="auto"/>
            <w:right w:val="none" w:sz="0" w:space="0" w:color="auto"/>
          </w:divBdr>
        </w:div>
        <w:div w:id="576283543">
          <w:marLeft w:val="640"/>
          <w:marRight w:val="0"/>
          <w:marTop w:val="0"/>
          <w:marBottom w:val="0"/>
          <w:divBdr>
            <w:top w:val="none" w:sz="0" w:space="0" w:color="auto"/>
            <w:left w:val="none" w:sz="0" w:space="0" w:color="auto"/>
            <w:bottom w:val="none" w:sz="0" w:space="0" w:color="auto"/>
            <w:right w:val="none" w:sz="0" w:space="0" w:color="auto"/>
          </w:divBdr>
        </w:div>
        <w:div w:id="2054767477">
          <w:marLeft w:val="640"/>
          <w:marRight w:val="0"/>
          <w:marTop w:val="0"/>
          <w:marBottom w:val="0"/>
          <w:divBdr>
            <w:top w:val="none" w:sz="0" w:space="0" w:color="auto"/>
            <w:left w:val="none" w:sz="0" w:space="0" w:color="auto"/>
            <w:bottom w:val="none" w:sz="0" w:space="0" w:color="auto"/>
            <w:right w:val="none" w:sz="0" w:space="0" w:color="auto"/>
          </w:divBdr>
        </w:div>
        <w:div w:id="1069382112">
          <w:marLeft w:val="640"/>
          <w:marRight w:val="0"/>
          <w:marTop w:val="0"/>
          <w:marBottom w:val="0"/>
          <w:divBdr>
            <w:top w:val="none" w:sz="0" w:space="0" w:color="auto"/>
            <w:left w:val="none" w:sz="0" w:space="0" w:color="auto"/>
            <w:bottom w:val="none" w:sz="0" w:space="0" w:color="auto"/>
            <w:right w:val="none" w:sz="0" w:space="0" w:color="auto"/>
          </w:divBdr>
        </w:div>
        <w:div w:id="644046363">
          <w:marLeft w:val="640"/>
          <w:marRight w:val="0"/>
          <w:marTop w:val="0"/>
          <w:marBottom w:val="0"/>
          <w:divBdr>
            <w:top w:val="none" w:sz="0" w:space="0" w:color="auto"/>
            <w:left w:val="none" w:sz="0" w:space="0" w:color="auto"/>
            <w:bottom w:val="none" w:sz="0" w:space="0" w:color="auto"/>
            <w:right w:val="none" w:sz="0" w:space="0" w:color="auto"/>
          </w:divBdr>
        </w:div>
        <w:div w:id="1290018003">
          <w:marLeft w:val="640"/>
          <w:marRight w:val="0"/>
          <w:marTop w:val="0"/>
          <w:marBottom w:val="0"/>
          <w:divBdr>
            <w:top w:val="none" w:sz="0" w:space="0" w:color="auto"/>
            <w:left w:val="none" w:sz="0" w:space="0" w:color="auto"/>
            <w:bottom w:val="none" w:sz="0" w:space="0" w:color="auto"/>
            <w:right w:val="none" w:sz="0" w:space="0" w:color="auto"/>
          </w:divBdr>
        </w:div>
        <w:div w:id="1790082891">
          <w:marLeft w:val="640"/>
          <w:marRight w:val="0"/>
          <w:marTop w:val="0"/>
          <w:marBottom w:val="0"/>
          <w:divBdr>
            <w:top w:val="none" w:sz="0" w:space="0" w:color="auto"/>
            <w:left w:val="none" w:sz="0" w:space="0" w:color="auto"/>
            <w:bottom w:val="none" w:sz="0" w:space="0" w:color="auto"/>
            <w:right w:val="none" w:sz="0" w:space="0" w:color="auto"/>
          </w:divBdr>
        </w:div>
        <w:div w:id="1335493854">
          <w:marLeft w:val="640"/>
          <w:marRight w:val="0"/>
          <w:marTop w:val="0"/>
          <w:marBottom w:val="0"/>
          <w:divBdr>
            <w:top w:val="none" w:sz="0" w:space="0" w:color="auto"/>
            <w:left w:val="none" w:sz="0" w:space="0" w:color="auto"/>
            <w:bottom w:val="none" w:sz="0" w:space="0" w:color="auto"/>
            <w:right w:val="none" w:sz="0" w:space="0" w:color="auto"/>
          </w:divBdr>
        </w:div>
        <w:div w:id="900484434">
          <w:marLeft w:val="640"/>
          <w:marRight w:val="0"/>
          <w:marTop w:val="0"/>
          <w:marBottom w:val="0"/>
          <w:divBdr>
            <w:top w:val="none" w:sz="0" w:space="0" w:color="auto"/>
            <w:left w:val="none" w:sz="0" w:space="0" w:color="auto"/>
            <w:bottom w:val="none" w:sz="0" w:space="0" w:color="auto"/>
            <w:right w:val="none" w:sz="0" w:space="0" w:color="auto"/>
          </w:divBdr>
        </w:div>
        <w:div w:id="476848644">
          <w:marLeft w:val="640"/>
          <w:marRight w:val="0"/>
          <w:marTop w:val="0"/>
          <w:marBottom w:val="0"/>
          <w:divBdr>
            <w:top w:val="none" w:sz="0" w:space="0" w:color="auto"/>
            <w:left w:val="none" w:sz="0" w:space="0" w:color="auto"/>
            <w:bottom w:val="none" w:sz="0" w:space="0" w:color="auto"/>
            <w:right w:val="none" w:sz="0" w:space="0" w:color="auto"/>
          </w:divBdr>
        </w:div>
        <w:div w:id="136192525">
          <w:marLeft w:val="640"/>
          <w:marRight w:val="0"/>
          <w:marTop w:val="0"/>
          <w:marBottom w:val="0"/>
          <w:divBdr>
            <w:top w:val="none" w:sz="0" w:space="0" w:color="auto"/>
            <w:left w:val="none" w:sz="0" w:space="0" w:color="auto"/>
            <w:bottom w:val="none" w:sz="0" w:space="0" w:color="auto"/>
            <w:right w:val="none" w:sz="0" w:space="0" w:color="auto"/>
          </w:divBdr>
        </w:div>
        <w:div w:id="1632900404">
          <w:marLeft w:val="640"/>
          <w:marRight w:val="0"/>
          <w:marTop w:val="0"/>
          <w:marBottom w:val="0"/>
          <w:divBdr>
            <w:top w:val="none" w:sz="0" w:space="0" w:color="auto"/>
            <w:left w:val="none" w:sz="0" w:space="0" w:color="auto"/>
            <w:bottom w:val="none" w:sz="0" w:space="0" w:color="auto"/>
            <w:right w:val="none" w:sz="0" w:space="0" w:color="auto"/>
          </w:divBdr>
        </w:div>
        <w:div w:id="301691440">
          <w:marLeft w:val="640"/>
          <w:marRight w:val="0"/>
          <w:marTop w:val="0"/>
          <w:marBottom w:val="0"/>
          <w:divBdr>
            <w:top w:val="none" w:sz="0" w:space="0" w:color="auto"/>
            <w:left w:val="none" w:sz="0" w:space="0" w:color="auto"/>
            <w:bottom w:val="none" w:sz="0" w:space="0" w:color="auto"/>
            <w:right w:val="none" w:sz="0" w:space="0" w:color="auto"/>
          </w:divBdr>
        </w:div>
        <w:div w:id="1858737546">
          <w:marLeft w:val="640"/>
          <w:marRight w:val="0"/>
          <w:marTop w:val="0"/>
          <w:marBottom w:val="0"/>
          <w:divBdr>
            <w:top w:val="none" w:sz="0" w:space="0" w:color="auto"/>
            <w:left w:val="none" w:sz="0" w:space="0" w:color="auto"/>
            <w:bottom w:val="none" w:sz="0" w:space="0" w:color="auto"/>
            <w:right w:val="none" w:sz="0" w:space="0" w:color="auto"/>
          </w:divBdr>
        </w:div>
        <w:div w:id="655841369">
          <w:marLeft w:val="640"/>
          <w:marRight w:val="0"/>
          <w:marTop w:val="0"/>
          <w:marBottom w:val="0"/>
          <w:divBdr>
            <w:top w:val="none" w:sz="0" w:space="0" w:color="auto"/>
            <w:left w:val="none" w:sz="0" w:space="0" w:color="auto"/>
            <w:bottom w:val="none" w:sz="0" w:space="0" w:color="auto"/>
            <w:right w:val="none" w:sz="0" w:space="0" w:color="auto"/>
          </w:divBdr>
        </w:div>
        <w:div w:id="1168403950">
          <w:marLeft w:val="640"/>
          <w:marRight w:val="0"/>
          <w:marTop w:val="0"/>
          <w:marBottom w:val="0"/>
          <w:divBdr>
            <w:top w:val="none" w:sz="0" w:space="0" w:color="auto"/>
            <w:left w:val="none" w:sz="0" w:space="0" w:color="auto"/>
            <w:bottom w:val="none" w:sz="0" w:space="0" w:color="auto"/>
            <w:right w:val="none" w:sz="0" w:space="0" w:color="auto"/>
          </w:divBdr>
        </w:div>
        <w:div w:id="940652127">
          <w:marLeft w:val="640"/>
          <w:marRight w:val="0"/>
          <w:marTop w:val="0"/>
          <w:marBottom w:val="0"/>
          <w:divBdr>
            <w:top w:val="none" w:sz="0" w:space="0" w:color="auto"/>
            <w:left w:val="none" w:sz="0" w:space="0" w:color="auto"/>
            <w:bottom w:val="none" w:sz="0" w:space="0" w:color="auto"/>
            <w:right w:val="none" w:sz="0" w:space="0" w:color="auto"/>
          </w:divBdr>
        </w:div>
        <w:div w:id="982540437">
          <w:marLeft w:val="640"/>
          <w:marRight w:val="0"/>
          <w:marTop w:val="0"/>
          <w:marBottom w:val="0"/>
          <w:divBdr>
            <w:top w:val="none" w:sz="0" w:space="0" w:color="auto"/>
            <w:left w:val="none" w:sz="0" w:space="0" w:color="auto"/>
            <w:bottom w:val="none" w:sz="0" w:space="0" w:color="auto"/>
            <w:right w:val="none" w:sz="0" w:space="0" w:color="auto"/>
          </w:divBdr>
        </w:div>
        <w:div w:id="898512136">
          <w:marLeft w:val="640"/>
          <w:marRight w:val="0"/>
          <w:marTop w:val="0"/>
          <w:marBottom w:val="0"/>
          <w:divBdr>
            <w:top w:val="none" w:sz="0" w:space="0" w:color="auto"/>
            <w:left w:val="none" w:sz="0" w:space="0" w:color="auto"/>
            <w:bottom w:val="none" w:sz="0" w:space="0" w:color="auto"/>
            <w:right w:val="none" w:sz="0" w:space="0" w:color="auto"/>
          </w:divBdr>
        </w:div>
        <w:div w:id="1129012323">
          <w:marLeft w:val="640"/>
          <w:marRight w:val="0"/>
          <w:marTop w:val="0"/>
          <w:marBottom w:val="0"/>
          <w:divBdr>
            <w:top w:val="none" w:sz="0" w:space="0" w:color="auto"/>
            <w:left w:val="none" w:sz="0" w:space="0" w:color="auto"/>
            <w:bottom w:val="none" w:sz="0" w:space="0" w:color="auto"/>
            <w:right w:val="none" w:sz="0" w:space="0" w:color="auto"/>
          </w:divBdr>
        </w:div>
        <w:div w:id="909583719">
          <w:marLeft w:val="640"/>
          <w:marRight w:val="0"/>
          <w:marTop w:val="0"/>
          <w:marBottom w:val="0"/>
          <w:divBdr>
            <w:top w:val="none" w:sz="0" w:space="0" w:color="auto"/>
            <w:left w:val="none" w:sz="0" w:space="0" w:color="auto"/>
            <w:bottom w:val="none" w:sz="0" w:space="0" w:color="auto"/>
            <w:right w:val="none" w:sz="0" w:space="0" w:color="auto"/>
          </w:divBdr>
        </w:div>
        <w:div w:id="1861818393">
          <w:marLeft w:val="640"/>
          <w:marRight w:val="0"/>
          <w:marTop w:val="0"/>
          <w:marBottom w:val="0"/>
          <w:divBdr>
            <w:top w:val="none" w:sz="0" w:space="0" w:color="auto"/>
            <w:left w:val="none" w:sz="0" w:space="0" w:color="auto"/>
            <w:bottom w:val="none" w:sz="0" w:space="0" w:color="auto"/>
            <w:right w:val="none" w:sz="0" w:space="0" w:color="auto"/>
          </w:divBdr>
        </w:div>
        <w:div w:id="1028915803">
          <w:marLeft w:val="640"/>
          <w:marRight w:val="0"/>
          <w:marTop w:val="0"/>
          <w:marBottom w:val="0"/>
          <w:divBdr>
            <w:top w:val="none" w:sz="0" w:space="0" w:color="auto"/>
            <w:left w:val="none" w:sz="0" w:space="0" w:color="auto"/>
            <w:bottom w:val="none" w:sz="0" w:space="0" w:color="auto"/>
            <w:right w:val="none" w:sz="0" w:space="0" w:color="auto"/>
          </w:divBdr>
        </w:div>
        <w:div w:id="1018893455">
          <w:marLeft w:val="640"/>
          <w:marRight w:val="0"/>
          <w:marTop w:val="0"/>
          <w:marBottom w:val="0"/>
          <w:divBdr>
            <w:top w:val="none" w:sz="0" w:space="0" w:color="auto"/>
            <w:left w:val="none" w:sz="0" w:space="0" w:color="auto"/>
            <w:bottom w:val="none" w:sz="0" w:space="0" w:color="auto"/>
            <w:right w:val="none" w:sz="0" w:space="0" w:color="auto"/>
          </w:divBdr>
        </w:div>
        <w:div w:id="1840775681">
          <w:marLeft w:val="640"/>
          <w:marRight w:val="0"/>
          <w:marTop w:val="0"/>
          <w:marBottom w:val="0"/>
          <w:divBdr>
            <w:top w:val="none" w:sz="0" w:space="0" w:color="auto"/>
            <w:left w:val="none" w:sz="0" w:space="0" w:color="auto"/>
            <w:bottom w:val="none" w:sz="0" w:space="0" w:color="auto"/>
            <w:right w:val="none" w:sz="0" w:space="0" w:color="auto"/>
          </w:divBdr>
        </w:div>
        <w:div w:id="662244634">
          <w:marLeft w:val="640"/>
          <w:marRight w:val="0"/>
          <w:marTop w:val="0"/>
          <w:marBottom w:val="0"/>
          <w:divBdr>
            <w:top w:val="none" w:sz="0" w:space="0" w:color="auto"/>
            <w:left w:val="none" w:sz="0" w:space="0" w:color="auto"/>
            <w:bottom w:val="none" w:sz="0" w:space="0" w:color="auto"/>
            <w:right w:val="none" w:sz="0" w:space="0" w:color="auto"/>
          </w:divBdr>
        </w:div>
        <w:div w:id="1698433335">
          <w:marLeft w:val="640"/>
          <w:marRight w:val="0"/>
          <w:marTop w:val="0"/>
          <w:marBottom w:val="0"/>
          <w:divBdr>
            <w:top w:val="none" w:sz="0" w:space="0" w:color="auto"/>
            <w:left w:val="none" w:sz="0" w:space="0" w:color="auto"/>
            <w:bottom w:val="none" w:sz="0" w:space="0" w:color="auto"/>
            <w:right w:val="none" w:sz="0" w:space="0" w:color="auto"/>
          </w:divBdr>
        </w:div>
        <w:div w:id="1910725101">
          <w:marLeft w:val="640"/>
          <w:marRight w:val="0"/>
          <w:marTop w:val="0"/>
          <w:marBottom w:val="0"/>
          <w:divBdr>
            <w:top w:val="none" w:sz="0" w:space="0" w:color="auto"/>
            <w:left w:val="none" w:sz="0" w:space="0" w:color="auto"/>
            <w:bottom w:val="none" w:sz="0" w:space="0" w:color="auto"/>
            <w:right w:val="none" w:sz="0" w:space="0" w:color="auto"/>
          </w:divBdr>
        </w:div>
        <w:div w:id="213930246">
          <w:marLeft w:val="640"/>
          <w:marRight w:val="0"/>
          <w:marTop w:val="0"/>
          <w:marBottom w:val="0"/>
          <w:divBdr>
            <w:top w:val="none" w:sz="0" w:space="0" w:color="auto"/>
            <w:left w:val="none" w:sz="0" w:space="0" w:color="auto"/>
            <w:bottom w:val="none" w:sz="0" w:space="0" w:color="auto"/>
            <w:right w:val="none" w:sz="0" w:space="0" w:color="auto"/>
          </w:divBdr>
        </w:div>
        <w:div w:id="1108937923">
          <w:marLeft w:val="640"/>
          <w:marRight w:val="0"/>
          <w:marTop w:val="0"/>
          <w:marBottom w:val="0"/>
          <w:divBdr>
            <w:top w:val="none" w:sz="0" w:space="0" w:color="auto"/>
            <w:left w:val="none" w:sz="0" w:space="0" w:color="auto"/>
            <w:bottom w:val="none" w:sz="0" w:space="0" w:color="auto"/>
            <w:right w:val="none" w:sz="0" w:space="0" w:color="auto"/>
          </w:divBdr>
        </w:div>
        <w:div w:id="1502545254">
          <w:marLeft w:val="640"/>
          <w:marRight w:val="0"/>
          <w:marTop w:val="0"/>
          <w:marBottom w:val="0"/>
          <w:divBdr>
            <w:top w:val="none" w:sz="0" w:space="0" w:color="auto"/>
            <w:left w:val="none" w:sz="0" w:space="0" w:color="auto"/>
            <w:bottom w:val="none" w:sz="0" w:space="0" w:color="auto"/>
            <w:right w:val="none" w:sz="0" w:space="0" w:color="auto"/>
          </w:divBdr>
        </w:div>
        <w:div w:id="876746105">
          <w:marLeft w:val="640"/>
          <w:marRight w:val="0"/>
          <w:marTop w:val="0"/>
          <w:marBottom w:val="0"/>
          <w:divBdr>
            <w:top w:val="none" w:sz="0" w:space="0" w:color="auto"/>
            <w:left w:val="none" w:sz="0" w:space="0" w:color="auto"/>
            <w:bottom w:val="none" w:sz="0" w:space="0" w:color="auto"/>
            <w:right w:val="none" w:sz="0" w:space="0" w:color="auto"/>
          </w:divBdr>
        </w:div>
        <w:div w:id="1383797359">
          <w:marLeft w:val="640"/>
          <w:marRight w:val="0"/>
          <w:marTop w:val="0"/>
          <w:marBottom w:val="0"/>
          <w:divBdr>
            <w:top w:val="none" w:sz="0" w:space="0" w:color="auto"/>
            <w:left w:val="none" w:sz="0" w:space="0" w:color="auto"/>
            <w:bottom w:val="none" w:sz="0" w:space="0" w:color="auto"/>
            <w:right w:val="none" w:sz="0" w:space="0" w:color="auto"/>
          </w:divBdr>
        </w:div>
        <w:div w:id="837498625">
          <w:marLeft w:val="640"/>
          <w:marRight w:val="0"/>
          <w:marTop w:val="0"/>
          <w:marBottom w:val="0"/>
          <w:divBdr>
            <w:top w:val="none" w:sz="0" w:space="0" w:color="auto"/>
            <w:left w:val="none" w:sz="0" w:space="0" w:color="auto"/>
            <w:bottom w:val="none" w:sz="0" w:space="0" w:color="auto"/>
            <w:right w:val="none" w:sz="0" w:space="0" w:color="auto"/>
          </w:divBdr>
        </w:div>
        <w:div w:id="2082946448">
          <w:marLeft w:val="640"/>
          <w:marRight w:val="0"/>
          <w:marTop w:val="0"/>
          <w:marBottom w:val="0"/>
          <w:divBdr>
            <w:top w:val="none" w:sz="0" w:space="0" w:color="auto"/>
            <w:left w:val="none" w:sz="0" w:space="0" w:color="auto"/>
            <w:bottom w:val="none" w:sz="0" w:space="0" w:color="auto"/>
            <w:right w:val="none" w:sz="0" w:space="0" w:color="auto"/>
          </w:divBdr>
        </w:div>
        <w:div w:id="1012758174">
          <w:marLeft w:val="640"/>
          <w:marRight w:val="0"/>
          <w:marTop w:val="0"/>
          <w:marBottom w:val="0"/>
          <w:divBdr>
            <w:top w:val="none" w:sz="0" w:space="0" w:color="auto"/>
            <w:left w:val="none" w:sz="0" w:space="0" w:color="auto"/>
            <w:bottom w:val="none" w:sz="0" w:space="0" w:color="auto"/>
            <w:right w:val="none" w:sz="0" w:space="0" w:color="auto"/>
          </w:divBdr>
        </w:div>
        <w:div w:id="1838837510">
          <w:marLeft w:val="640"/>
          <w:marRight w:val="0"/>
          <w:marTop w:val="0"/>
          <w:marBottom w:val="0"/>
          <w:divBdr>
            <w:top w:val="none" w:sz="0" w:space="0" w:color="auto"/>
            <w:left w:val="none" w:sz="0" w:space="0" w:color="auto"/>
            <w:bottom w:val="none" w:sz="0" w:space="0" w:color="auto"/>
            <w:right w:val="none" w:sz="0" w:space="0" w:color="auto"/>
          </w:divBdr>
        </w:div>
        <w:div w:id="495803276">
          <w:marLeft w:val="640"/>
          <w:marRight w:val="0"/>
          <w:marTop w:val="0"/>
          <w:marBottom w:val="0"/>
          <w:divBdr>
            <w:top w:val="none" w:sz="0" w:space="0" w:color="auto"/>
            <w:left w:val="none" w:sz="0" w:space="0" w:color="auto"/>
            <w:bottom w:val="none" w:sz="0" w:space="0" w:color="auto"/>
            <w:right w:val="none" w:sz="0" w:space="0" w:color="auto"/>
          </w:divBdr>
        </w:div>
        <w:div w:id="79983654">
          <w:marLeft w:val="640"/>
          <w:marRight w:val="0"/>
          <w:marTop w:val="0"/>
          <w:marBottom w:val="0"/>
          <w:divBdr>
            <w:top w:val="none" w:sz="0" w:space="0" w:color="auto"/>
            <w:left w:val="none" w:sz="0" w:space="0" w:color="auto"/>
            <w:bottom w:val="none" w:sz="0" w:space="0" w:color="auto"/>
            <w:right w:val="none" w:sz="0" w:space="0" w:color="auto"/>
          </w:divBdr>
        </w:div>
        <w:div w:id="1849442301">
          <w:marLeft w:val="640"/>
          <w:marRight w:val="0"/>
          <w:marTop w:val="0"/>
          <w:marBottom w:val="0"/>
          <w:divBdr>
            <w:top w:val="none" w:sz="0" w:space="0" w:color="auto"/>
            <w:left w:val="none" w:sz="0" w:space="0" w:color="auto"/>
            <w:bottom w:val="none" w:sz="0" w:space="0" w:color="auto"/>
            <w:right w:val="none" w:sz="0" w:space="0" w:color="auto"/>
          </w:divBdr>
        </w:div>
        <w:div w:id="1042169031">
          <w:marLeft w:val="640"/>
          <w:marRight w:val="0"/>
          <w:marTop w:val="0"/>
          <w:marBottom w:val="0"/>
          <w:divBdr>
            <w:top w:val="none" w:sz="0" w:space="0" w:color="auto"/>
            <w:left w:val="none" w:sz="0" w:space="0" w:color="auto"/>
            <w:bottom w:val="none" w:sz="0" w:space="0" w:color="auto"/>
            <w:right w:val="none" w:sz="0" w:space="0" w:color="auto"/>
          </w:divBdr>
        </w:div>
        <w:div w:id="124661540">
          <w:marLeft w:val="640"/>
          <w:marRight w:val="0"/>
          <w:marTop w:val="0"/>
          <w:marBottom w:val="0"/>
          <w:divBdr>
            <w:top w:val="none" w:sz="0" w:space="0" w:color="auto"/>
            <w:left w:val="none" w:sz="0" w:space="0" w:color="auto"/>
            <w:bottom w:val="none" w:sz="0" w:space="0" w:color="auto"/>
            <w:right w:val="none" w:sz="0" w:space="0" w:color="auto"/>
          </w:divBdr>
        </w:div>
        <w:div w:id="2060198997">
          <w:marLeft w:val="640"/>
          <w:marRight w:val="0"/>
          <w:marTop w:val="0"/>
          <w:marBottom w:val="0"/>
          <w:divBdr>
            <w:top w:val="none" w:sz="0" w:space="0" w:color="auto"/>
            <w:left w:val="none" w:sz="0" w:space="0" w:color="auto"/>
            <w:bottom w:val="none" w:sz="0" w:space="0" w:color="auto"/>
            <w:right w:val="none" w:sz="0" w:space="0" w:color="auto"/>
          </w:divBdr>
        </w:div>
        <w:div w:id="375784362">
          <w:marLeft w:val="640"/>
          <w:marRight w:val="0"/>
          <w:marTop w:val="0"/>
          <w:marBottom w:val="0"/>
          <w:divBdr>
            <w:top w:val="none" w:sz="0" w:space="0" w:color="auto"/>
            <w:left w:val="none" w:sz="0" w:space="0" w:color="auto"/>
            <w:bottom w:val="none" w:sz="0" w:space="0" w:color="auto"/>
            <w:right w:val="none" w:sz="0" w:space="0" w:color="auto"/>
          </w:divBdr>
        </w:div>
        <w:div w:id="81531210">
          <w:marLeft w:val="640"/>
          <w:marRight w:val="0"/>
          <w:marTop w:val="0"/>
          <w:marBottom w:val="0"/>
          <w:divBdr>
            <w:top w:val="none" w:sz="0" w:space="0" w:color="auto"/>
            <w:left w:val="none" w:sz="0" w:space="0" w:color="auto"/>
            <w:bottom w:val="none" w:sz="0" w:space="0" w:color="auto"/>
            <w:right w:val="none" w:sz="0" w:space="0" w:color="auto"/>
          </w:divBdr>
        </w:div>
        <w:div w:id="1954748236">
          <w:marLeft w:val="640"/>
          <w:marRight w:val="0"/>
          <w:marTop w:val="0"/>
          <w:marBottom w:val="0"/>
          <w:divBdr>
            <w:top w:val="none" w:sz="0" w:space="0" w:color="auto"/>
            <w:left w:val="none" w:sz="0" w:space="0" w:color="auto"/>
            <w:bottom w:val="none" w:sz="0" w:space="0" w:color="auto"/>
            <w:right w:val="none" w:sz="0" w:space="0" w:color="auto"/>
          </w:divBdr>
        </w:div>
        <w:div w:id="1714378574">
          <w:marLeft w:val="640"/>
          <w:marRight w:val="0"/>
          <w:marTop w:val="0"/>
          <w:marBottom w:val="0"/>
          <w:divBdr>
            <w:top w:val="none" w:sz="0" w:space="0" w:color="auto"/>
            <w:left w:val="none" w:sz="0" w:space="0" w:color="auto"/>
            <w:bottom w:val="none" w:sz="0" w:space="0" w:color="auto"/>
            <w:right w:val="none" w:sz="0" w:space="0" w:color="auto"/>
          </w:divBdr>
        </w:div>
        <w:div w:id="1321350998">
          <w:marLeft w:val="640"/>
          <w:marRight w:val="0"/>
          <w:marTop w:val="0"/>
          <w:marBottom w:val="0"/>
          <w:divBdr>
            <w:top w:val="none" w:sz="0" w:space="0" w:color="auto"/>
            <w:left w:val="none" w:sz="0" w:space="0" w:color="auto"/>
            <w:bottom w:val="none" w:sz="0" w:space="0" w:color="auto"/>
            <w:right w:val="none" w:sz="0" w:space="0" w:color="auto"/>
          </w:divBdr>
        </w:div>
        <w:div w:id="1387492613">
          <w:marLeft w:val="640"/>
          <w:marRight w:val="0"/>
          <w:marTop w:val="0"/>
          <w:marBottom w:val="0"/>
          <w:divBdr>
            <w:top w:val="none" w:sz="0" w:space="0" w:color="auto"/>
            <w:left w:val="none" w:sz="0" w:space="0" w:color="auto"/>
            <w:bottom w:val="none" w:sz="0" w:space="0" w:color="auto"/>
            <w:right w:val="none" w:sz="0" w:space="0" w:color="auto"/>
          </w:divBdr>
        </w:div>
        <w:div w:id="1255941235">
          <w:marLeft w:val="640"/>
          <w:marRight w:val="0"/>
          <w:marTop w:val="0"/>
          <w:marBottom w:val="0"/>
          <w:divBdr>
            <w:top w:val="none" w:sz="0" w:space="0" w:color="auto"/>
            <w:left w:val="none" w:sz="0" w:space="0" w:color="auto"/>
            <w:bottom w:val="none" w:sz="0" w:space="0" w:color="auto"/>
            <w:right w:val="none" w:sz="0" w:space="0" w:color="auto"/>
          </w:divBdr>
        </w:div>
        <w:div w:id="58674816">
          <w:marLeft w:val="640"/>
          <w:marRight w:val="0"/>
          <w:marTop w:val="0"/>
          <w:marBottom w:val="0"/>
          <w:divBdr>
            <w:top w:val="none" w:sz="0" w:space="0" w:color="auto"/>
            <w:left w:val="none" w:sz="0" w:space="0" w:color="auto"/>
            <w:bottom w:val="none" w:sz="0" w:space="0" w:color="auto"/>
            <w:right w:val="none" w:sz="0" w:space="0" w:color="auto"/>
          </w:divBdr>
        </w:div>
        <w:div w:id="1914578540">
          <w:marLeft w:val="640"/>
          <w:marRight w:val="0"/>
          <w:marTop w:val="0"/>
          <w:marBottom w:val="0"/>
          <w:divBdr>
            <w:top w:val="none" w:sz="0" w:space="0" w:color="auto"/>
            <w:left w:val="none" w:sz="0" w:space="0" w:color="auto"/>
            <w:bottom w:val="none" w:sz="0" w:space="0" w:color="auto"/>
            <w:right w:val="none" w:sz="0" w:space="0" w:color="auto"/>
          </w:divBdr>
        </w:div>
        <w:div w:id="409808918">
          <w:marLeft w:val="640"/>
          <w:marRight w:val="0"/>
          <w:marTop w:val="0"/>
          <w:marBottom w:val="0"/>
          <w:divBdr>
            <w:top w:val="none" w:sz="0" w:space="0" w:color="auto"/>
            <w:left w:val="none" w:sz="0" w:space="0" w:color="auto"/>
            <w:bottom w:val="none" w:sz="0" w:space="0" w:color="auto"/>
            <w:right w:val="none" w:sz="0" w:space="0" w:color="auto"/>
          </w:divBdr>
        </w:div>
        <w:div w:id="212425259">
          <w:marLeft w:val="640"/>
          <w:marRight w:val="0"/>
          <w:marTop w:val="0"/>
          <w:marBottom w:val="0"/>
          <w:divBdr>
            <w:top w:val="none" w:sz="0" w:space="0" w:color="auto"/>
            <w:left w:val="none" w:sz="0" w:space="0" w:color="auto"/>
            <w:bottom w:val="none" w:sz="0" w:space="0" w:color="auto"/>
            <w:right w:val="none" w:sz="0" w:space="0" w:color="auto"/>
          </w:divBdr>
        </w:div>
        <w:div w:id="950161261">
          <w:marLeft w:val="640"/>
          <w:marRight w:val="0"/>
          <w:marTop w:val="0"/>
          <w:marBottom w:val="0"/>
          <w:divBdr>
            <w:top w:val="none" w:sz="0" w:space="0" w:color="auto"/>
            <w:left w:val="none" w:sz="0" w:space="0" w:color="auto"/>
            <w:bottom w:val="none" w:sz="0" w:space="0" w:color="auto"/>
            <w:right w:val="none" w:sz="0" w:space="0" w:color="auto"/>
          </w:divBdr>
        </w:div>
        <w:div w:id="1790278328">
          <w:marLeft w:val="640"/>
          <w:marRight w:val="0"/>
          <w:marTop w:val="0"/>
          <w:marBottom w:val="0"/>
          <w:divBdr>
            <w:top w:val="none" w:sz="0" w:space="0" w:color="auto"/>
            <w:left w:val="none" w:sz="0" w:space="0" w:color="auto"/>
            <w:bottom w:val="none" w:sz="0" w:space="0" w:color="auto"/>
            <w:right w:val="none" w:sz="0" w:space="0" w:color="auto"/>
          </w:divBdr>
        </w:div>
        <w:div w:id="1871722726">
          <w:marLeft w:val="640"/>
          <w:marRight w:val="0"/>
          <w:marTop w:val="0"/>
          <w:marBottom w:val="0"/>
          <w:divBdr>
            <w:top w:val="none" w:sz="0" w:space="0" w:color="auto"/>
            <w:left w:val="none" w:sz="0" w:space="0" w:color="auto"/>
            <w:bottom w:val="none" w:sz="0" w:space="0" w:color="auto"/>
            <w:right w:val="none" w:sz="0" w:space="0" w:color="auto"/>
          </w:divBdr>
        </w:div>
        <w:div w:id="1393577401">
          <w:marLeft w:val="640"/>
          <w:marRight w:val="0"/>
          <w:marTop w:val="0"/>
          <w:marBottom w:val="0"/>
          <w:divBdr>
            <w:top w:val="none" w:sz="0" w:space="0" w:color="auto"/>
            <w:left w:val="none" w:sz="0" w:space="0" w:color="auto"/>
            <w:bottom w:val="none" w:sz="0" w:space="0" w:color="auto"/>
            <w:right w:val="none" w:sz="0" w:space="0" w:color="auto"/>
          </w:divBdr>
        </w:div>
        <w:div w:id="1310209316">
          <w:marLeft w:val="640"/>
          <w:marRight w:val="0"/>
          <w:marTop w:val="0"/>
          <w:marBottom w:val="0"/>
          <w:divBdr>
            <w:top w:val="none" w:sz="0" w:space="0" w:color="auto"/>
            <w:left w:val="none" w:sz="0" w:space="0" w:color="auto"/>
            <w:bottom w:val="none" w:sz="0" w:space="0" w:color="auto"/>
            <w:right w:val="none" w:sz="0" w:space="0" w:color="auto"/>
          </w:divBdr>
        </w:div>
        <w:div w:id="1671910774">
          <w:marLeft w:val="640"/>
          <w:marRight w:val="0"/>
          <w:marTop w:val="0"/>
          <w:marBottom w:val="0"/>
          <w:divBdr>
            <w:top w:val="none" w:sz="0" w:space="0" w:color="auto"/>
            <w:left w:val="none" w:sz="0" w:space="0" w:color="auto"/>
            <w:bottom w:val="none" w:sz="0" w:space="0" w:color="auto"/>
            <w:right w:val="none" w:sz="0" w:space="0" w:color="auto"/>
          </w:divBdr>
        </w:div>
        <w:div w:id="677387964">
          <w:marLeft w:val="640"/>
          <w:marRight w:val="0"/>
          <w:marTop w:val="0"/>
          <w:marBottom w:val="0"/>
          <w:divBdr>
            <w:top w:val="none" w:sz="0" w:space="0" w:color="auto"/>
            <w:left w:val="none" w:sz="0" w:space="0" w:color="auto"/>
            <w:bottom w:val="none" w:sz="0" w:space="0" w:color="auto"/>
            <w:right w:val="none" w:sz="0" w:space="0" w:color="auto"/>
          </w:divBdr>
        </w:div>
        <w:div w:id="608270738">
          <w:marLeft w:val="640"/>
          <w:marRight w:val="0"/>
          <w:marTop w:val="0"/>
          <w:marBottom w:val="0"/>
          <w:divBdr>
            <w:top w:val="none" w:sz="0" w:space="0" w:color="auto"/>
            <w:left w:val="none" w:sz="0" w:space="0" w:color="auto"/>
            <w:bottom w:val="none" w:sz="0" w:space="0" w:color="auto"/>
            <w:right w:val="none" w:sz="0" w:space="0" w:color="auto"/>
          </w:divBdr>
        </w:div>
        <w:div w:id="1265116096">
          <w:marLeft w:val="640"/>
          <w:marRight w:val="0"/>
          <w:marTop w:val="0"/>
          <w:marBottom w:val="0"/>
          <w:divBdr>
            <w:top w:val="none" w:sz="0" w:space="0" w:color="auto"/>
            <w:left w:val="none" w:sz="0" w:space="0" w:color="auto"/>
            <w:bottom w:val="none" w:sz="0" w:space="0" w:color="auto"/>
            <w:right w:val="none" w:sz="0" w:space="0" w:color="auto"/>
          </w:divBdr>
        </w:div>
        <w:div w:id="590160848">
          <w:marLeft w:val="640"/>
          <w:marRight w:val="0"/>
          <w:marTop w:val="0"/>
          <w:marBottom w:val="0"/>
          <w:divBdr>
            <w:top w:val="none" w:sz="0" w:space="0" w:color="auto"/>
            <w:left w:val="none" w:sz="0" w:space="0" w:color="auto"/>
            <w:bottom w:val="none" w:sz="0" w:space="0" w:color="auto"/>
            <w:right w:val="none" w:sz="0" w:space="0" w:color="auto"/>
          </w:divBdr>
        </w:div>
        <w:div w:id="1264725128">
          <w:marLeft w:val="640"/>
          <w:marRight w:val="0"/>
          <w:marTop w:val="0"/>
          <w:marBottom w:val="0"/>
          <w:divBdr>
            <w:top w:val="none" w:sz="0" w:space="0" w:color="auto"/>
            <w:left w:val="none" w:sz="0" w:space="0" w:color="auto"/>
            <w:bottom w:val="none" w:sz="0" w:space="0" w:color="auto"/>
            <w:right w:val="none" w:sz="0" w:space="0" w:color="auto"/>
          </w:divBdr>
        </w:div>
        <w:div w:id="728455830">
          <w:marLeft w:val="640"/>
          <w:marRight w:val="0"/>
          <w:marTop w:val="0"/>
          <w:marBottom w:val="0"/>
          <w:divBdr>
            <w:top w:val="none" w:sz="0" w:space="0" w:color="auto"/>
            <w:left w:val="none" w:sz="0" w:space="0" w:color="auto"/>
            <w:bottom w:val="none" w:sz="0" w:space="0" w:color="auto"/>
            <w:right w:val="none" w:sz="0" w:space="0" w:color="auto"/>
          </w:divBdr>
        </w:div>
        <w:div w:id="244999656">
          <w:marLeft w:val="640"/>
          <w:marRight w:val="0"/>
          <w:marTop w:val="0"/>
          <w:marBottom w:val="0"/>
          <w:divBdr>
            <w:top w:val="none" w:sz="0" w:space="0" w:color="auto"/>
            <w:left w:val="none" w:sz="0" w:space="0" w:color="auto"/>
            <w:bottom w:val="none" w:sz="0" w:space="0" w:color="auto"/>
            <w:right w:val="none" w:sz="0" w:space="0" w:color="auto"/>
          </w:divBdr>
        </w:div>
        <w:div w:id="604195735">
          <w:marLeft w:val="640"/>
          <w:marRight w:val="0"/>
          <w:marTop w:val="0"/>
          <w:marBottom w:val="0"/>
          <w:divBdr>
            <w:top w:val="none" w:sz="0" w:space="0" w:color="auto"/>
            <w:left w:val="none" w:sz="0" w:space="0" w:color="auto"/>
            <w:bottom w:val="none" w:sz="0" w:space="0" w:color="auto"/>
            <w:right w:val="none" w:sz="0" w:space="0" w:color="auto"/>
          </w:divBdr>
        </w:div>
        <w:div w:id="1953440943">
          <w:marLeft w:val="640"/>
          <w:marRight w:val="0"/>
          <w:marTop w:val="0"/>
          <w:marBottom w:val="0"/>
          <w:divBdr>
            <w:top w:val="none" w:sz="0" w:space="0" w:color="auto"/>
            <w:left w:val="none" w:sz="0" w:space="0" w:color="auto"/>
            <w:bottom w:val="none" w:sz="0" w:space="0" w:color="auto"/>
            <w:right w:val="none" w:sz="0" w:space="0" w:color="auto"/>
          </w:divBdr>
        </w:div>
      </w:divsChild>
    </w:div>
    <w:div w:id="1743063823">
      <w:bodyDiv w:val="1"/>
      <w:marLeft w:val="0"/>
      <w:marRight w:val="0"/>
      <w:marTop w:val="0"/>
      <w:marBottom w:val="0"/>
      <w:divBdr>
        <w:top w:val="none" w:sz="0" w:space="0" w:color="auto"/>
        <w:left w:val="none" w:sz="0" w:space="0" w:color="auto"/>
        <w:bottom w:val="none" w:sz="0" w:space="0" w:color="auto"/>
        <w:right w:val="none" w:sz="0" w:space="0" w:color="auto"/>
      </w:divBdr>
      <w:divsChild>
        <w:div w:id="1744907330">
          <w:marLeft w:val="640"/>
          <w:marRight w:val="0"/>
          <w:marTop w:val="0"/>
          <w:marBottom w:val="0"/>
          <w:divBdr>
            <w:top w:val="none" w:sz="0" w:space="0" w:color="auto"/>
            <w:left w:val="none" w:sz="0" w:space="0" w:color="auto"/>
            <w:bottom w:val="none" w:sz="0" w:space="0" w:color="auto"/>
            <w:right w:val="none" w:sz="0" w:space="0" w:color="auto"/>
          </w:divBdr>
        </w:div>
        <w:div w:id="319504985">
          <w:marLeft w:val="640"/>
          <w:marRight w:val="0"/>
          <w:marTop w:val="0"/>
          <w:marBottom w:val="0"/>
          <w:divBdr>
            <w:top w:val="none" w:sz="0" w:space="0" w:color="auto"/>
            <w:left w:val="none" w:sz="0" w:space="0" w:color="auto"/>
            <w:bottom w:val="none" w:sz="0" w:space="0" w:color="auto"/>
            <w:right w:val="none" w:sz="0" w:space="0" w:color="auto"/>
          </w:divBdr>
        </w:div>
        <w:div w:id="319627257">
          <w:marLeft w:val="640"/>
          <w:marRight w:val="0"/>
          <w:marTop w:val="0"/>
          <w:marBottom w:val="0"/>
          <w:divBdr>
            <w:top w:val="none" w:sz="0" w:space="0" w:color="auto"/>
            <w:left w:val="none" w:sz="0" w:space="0" w:color="auto"/>
            <w:bottom w:val="none" w:sz="0" w:space="0" w:color="auto"/>
            <w:right w:val="none" w:sz="0" w:space="0" w:color="auto"/>
          </w:divBdr>
        </w:div>
        <w:div w:id="1832335502">
          <w:marLeft w:val="640"/>
          <w:marRight w:val="0"/>
          <w:marTop w:val="0"/>
          <w:marBottom w:val="0"/>
          <w:divBdr>
            <w:top w:val="none" w:sz="0" w:space="0" w:color="auto"/>
            <w:left w:val="none" w:sz="0" w:space="0" w:color="auto"/>
            <w:bottom w:val="none" w:sz="0" w:space="0" w:color="auto"/>
            <w:right w:val="none" w:sz="0" w:space="0" w:color="auto"/>
          </w:divBdr>
        </w:div>
        <w:div w:id="1300266432">
          <w:marLeft w:val="640"/>
          <w:marRight w:val="0"/>
          <w:marTop w:val="0"/>
          <w:marBottom w:val="0"/>
          <w:divBdr>
            <w:top w:val="none" w:sz="0" w:space="0" w:color="auto"/>
            <w:left w:val="none" w:sz="0" w:space="0" w:color="auto"/>
            <w:bottom w:val="none" w:sz="0" w:space="0" w:color="auto"/>
            <w:right w:val="none" w:sz="0" w:space="0" w:color="auto"/>
          </w:divBdr>
        </w:div>
        <w:div w:id="1378044599">
          <w:marLeft w:val="640"/>
          <w:marRight w:val="0"/>
          <w:marTop w:val="0"/>
          <w:marBottom w:val="0"/>
          <w:divBdr>
            <w:top w:val="none" w:sz="0" w:space="0" w:color="auto"/>
            <w:left w:val="none" w:sz="0" w:space="0" w:color="auto"/>
            <w:bottom w:val="none" w:sz="0" w:space="0" w:color="auto"/>
            <w:right w:val="none" w:sz="0" w:space="0" w:color="auto"/>
          </w:divBdr>
        </w:div>
        <w:div w:id="1680355114">
          <w:marLeft w:val="640"/>
          <w:marRight w:val="0"/>
          <w:marTop w:val="0"/>
          <w:marBottom w:val="0"/>
          <w:divBdr>
            <w:top w:val="none" w:sz="0" w:space="0" w:color="auto"/>
            <w:left w:val="none" w:sz="0" w:space="0" w:color="auto"/>
            <w:bottom w:val="none" w:sz="0" w:space="0" w:color="auto"/>
            <w:right w:val="none" w:sz="0" w:space="0" w:color="auto"/>
          </w:divBdr>
        </w:div>
        <w:div w:id="295187336">
          <w:marLeft w:val="640"/>
          <w:marRight w:val="0"/>
          <w:marTop w:val="0"/>
          <w:marBottom w:val="0"/>
          <w:divBdr>
            <w:top w:val="none" w:sz="0" w:space="0" w:color="auto"/>
            <w:left w:val="none" w:sz="0" w:space="0" w:color="auto"/>
            <w:bottom w:val="none" w:sz="0" w:space="0" w:color="auto"/>
            <w:right w:val="none" w:sz="0" w:space="0" w:color="auto"/>
          </w:divBdr>
        </w:div>
        <w:div w:id="99759367">
          <w:marLeft w:val="640"/>
          <w:marRight w:val="0"/>
          <w:marTop w:val="0"/>
          <w:marBottom w:val="0"/>
          <w:divBdr>
            <w:top w:val="none" w:sz="0" w:space="0" w:color="auto"/>
            <w:left w:val="none" w:sz="0" w:space="0" w:color="auto"/>
            <w:bottom w:val="none" w:sz="0" w:space="0" w:color="auto"/>
            <w:right w:val="none" w:sz="0" w:space="0" w:color="auto"/>
          </w:divBdr>
        </w:div>
        <w:div w:id="1821536033">
          <w:marLeft w:val="640"/>
          <w:marRight w:val="0"/>
          <w:marTop w:val="0"/>
          <w:marBottom w:val="0"/>
          <w:divBdr>
            <w:top w:val="none" w:sz="0" w:space="0" w:color="auto"/>
            <w:left w:val="none" w:sz="0" w:space="0" w:color="auto"/>
            <w:bottom w:val="none" w:sz="0" w:space="0" w:color="auto"/>
            <w:right w:val="none" w:sz="0" w:space="0" w:color="auto"/>
          </w:divBdr>
        </w:div>
        <w:div w:id="2100632904">
          <w:marLeft w:val="640"/>
          <w:marRight w:val="0"/>
          <w:marTop w:val="0"/>
          <w:marBottom w:val="0"/>
          <w:divBdr>
            <w:top w:val="none" w:sz="0" w:space="0" w:color="auto"/>
            <w:left w:val="none" w:sz="0" w:space="0" w:color="auto"/>
            <w:bottom w:val="none" w:sz="0" w:space="0" w:color="auto"/>
            <w:right w:val="none" w:sz="0" w:space="0" w:color="auto"/>
          </w:divBdr>
        </w:div>
        <w:div w:id="916524778">
          <w:marLeft w:val="640"/>
          <w:marRight w:val="0"/>
          <w:marTop w:val="0"/>
          <w:marBottom w:val="0"/>
          <w:divBdr>
            <w:top w:val="none" w:sz="0" w:space="0" w:color="auto"/>
            <w:left w:val="none" w:sz="0" w:space="0" w:color="auto"/>
            <w:bottom w:val="none" w:sz="0" w:space="0" w:color="auto"/>
            <w:right w:val="none" w:sz="0" w:space="0" w:color="auto"/>
          </w:divBdr>
        </w:div>
        <w:div w:id="868760287">
          <w:marLeft w:val="640"/>
          <w:marRight w:val="0"/>
          <w:marTop w:val="0"/>
          <w:marBottom w:val="0"/>
          <w:divBdr>
            <w:top w:val="none" w:sz="0" w:space="0" w:color="auto"/>
            <w:left w:val="none" w:sz="0" w:space="0" w:color="auto"/>
            <w:bottom w:val="none" w:sz="0" w:space="0" w:color="auto"/>
            <w:right w:val="none" w:sz="0" w:space="0" w:color="auto"/>
          </w:divBdr>
        </w:div>
        <w:div w:id="307899747">
          <w:marLeft w:val="640"/>
          <w:marRight w:val="0"/>
          <w:marTop w:val="0"/>
          <w:marBottom w:val="0"/>
          <w:divBdr>
            <w:top w:val="none" w:sz="0" w:space="0" w:color="auto"/>
            <w:left w:val="none" w:sz="0" w:space="0" w:color="auto"/>
            <w:bottom w:val="none" w:sz="0" w:space="0" w:color="auto"/>
            <w:right w:val="none" w:sz="0" w:space="0" w:color="auto"/>
          </w:divBdr>
        </w:div>
        <w:div w:id="1497839104">
          <w:marLeft w:val="640"/>
          <w:marRight w:val="0"/>
          <w:marTop w:val="0"/>
          <w:marBottom w:val="0"/>
          <w:divBdr>
            <w:top w:val="none" w:sz="0" w:space="0" w:color="auto"/>
            <w:left w:val="none" w:sz="0" w:space="0" w:color="auto"/>
            <w:bottom w:val="none" w:sz="0" w:space="0" w:color="auto"/>
            <w:right w:val="none" w:sz="0" w:space="0" w:color="auto"/>
          </w:divBdr>
        </w:div>
        <w:div w:id="866679475">
          <w:marLeft w:val="640"/>
          <w:marRight w:val="0"/>
          <w:marTop w:val="0"/>
          <w:marBottom w:val="0"/>
          <w:divBdr>
            <w:top w:val="none" w:sz="0" w:space="0" w:color="auto"/>
            <w:left w:val="none" w:sz="0" w:space="0" w:color="auto"/>
            <w:bottom w:val="none" w:sz="0" w:space="0" w:color="auto"/>
            <w:right w:val="none" w:sz="0" w:space="0" w:color="auto"/>
          </w:divBdr>
        </w:div>
        <w:div w:id="1996569958">
          <w:marLeft w:val="640"/>
          <w:marRight w:val="0"/>
          <w:marTop w:val="0"/>
          <w:marBottom w:val="0"/>
          <w:divBdr>
            <w:top w:val="none" w:sz="0" w:space="0" w:color="auto"/>
            <w:left w:val="none" w:sz="0" w:space="0" w:color="auto"/>
            <w:bottom w:val="none" w:sz="0" w:space="0" w:color="auto"/>
            <w:right w:val="none" w:sz="0" w:space="0" w:color="auto"/>
          </w:divBdr>
        </w:div>
        <w:div w:id="2133402077">
          <w:marLeft w:val="640"/>
          <w:marRight w:val="0"/>
          <w:marTop w:val="0"/>
          <w:marBottom w:val="0"/>
          <w:divBdr>
            <w:top w:val="none" w:sz="0" w:space="0" w:color="auto"/>
            <w:left w:val="none" w:sz="0" w:space="0" w:color="auto"/>
            <w:bottom w:val="none" w:sz="0" w:space="0" w:color="auto"/>
            <w:right w:val="none" w:sz="0" w:space="0" w:color="auto"/>
          </w:divBdr>
        </w:div>
      </w:divsChild>
    </w:div>
    <w:div w:id="1747799509">
      <w:bodyDiv w:val="1"/>
      <w:marLeft w:val="0"/>
      <w:marRight w:val="0"/>
      <w:marTop w:val="0"/>
      <w:marBottom w:val="0"/>
      <w:divBdr>
        <w:top w:val="none" w:sz="0" w:space="0" w:color="auto"/>
        <w:left w:val="none" w:sz="0" w:space="0" w:color="auto"/>
        <w:bottom w:val="none" w:sz="0" w:space="0" w:color="auto"/>
        <w:right w:val="none" w:sz="0" w:space="0" w:color="auto"/>
      </w:divBdr>
      <w:divsChild>
        <w:div w:id="378363115">
          <w:marLeft w:val="640"/>
          <w:marRight w:val="0"/>
          <w:marTop w:val="0"/>
          <w:marBottom w:val="0"/>
          <w:divBdr>
            <w:top w:val="none" w:sz="0" w:space="0" w:color="auto"/>
            <w:left w:val="none" w:sz="0" w:space="0" w:color="auto"/>
            <w:bottom w:val="none" w:sz="0" w:space="0" w:color="auto"/>
            <w:right w:val="none" w:sz="0" w:space="0" w:color="auto"/>
          </w:divBdr>
        </w:div>
        <w:div w:id="1369178951">
          <w:marLeft w:val="640"/>
          <w:marRight w:val="0"/>
          <w:marTop w:val="0"/>
          <w:marBottom w:val="0"/>
          <w:divBdr>
            <w:top w:val="none" w:sz="0" w:space="0" w:color="auto"/>
            <w:left w:val="none" w:sz="0" w:space="0" w:color="auto"/>
            <w:bottom w:val="none" w:sz="0" w:space="0" w:color="auto"/>
            <w:right w:val="none" w:sz="0" w:space="0" w:color="auto"/>
          </w:divBdr>
        </w:div>
        <w:div w:id="1191649309">
          <w:marLeft w:val="640"/>
          <w:marRight w:val="0"/>
          <w:marTop w:val="0"/>
          <w:marBottom w:val="0"/>
          <w:divBdr>
            <w:top w:val="none" w:sz="0" w:space="0" w:color="auto"/>
            <w:left w:val="none" w:sz="0" w:space="0" w:color="auto"/>
            <w:bottom w:val="none" w:sz="0" w:space="0" w:color="auto"/>
            <w:right w:val="none" w:sz="0" w:space="0" w:color="auto"/>
          </w:divBdr>
        </w:div>
        <w:div w:id="180748630">
          <w:marLeft w:val="640"/>
          <w:marRight w:val="0"/>
          <w:marTop w:val="0"/>
          <w:marBottom w:val="0"/>
          <w:divBdr>
            <w:top w:val="none" w:sz="0" w:space="0" w:color="auto"/>
            <w:left w:val="none" w:sz="0" w:space="0" w:color="auto"/>
            <w:bottom w:val="none" w:sz="0" w:space="0" w:color="auto"/>
            <w:right w:val="none" w:sz="0" w:space="0" w:color="auto"/>
          </w:divBdr>
        </w:div>
        <w:div w:id="1964189971">
          <w:marLeft w:val="640"/>
          <w:marRight w:val="0"/>
          <w:marTop w:val="0"/>
          <w:marBottom w:val="0"/>
          <w:divBdr>
            <w:top w:val="none" w:sz="0" w:space="0" w:color="auto"/>
            <w:left w:val="none" w:sz="0" w:space="0" w:color="auto"/>
            <w:bottom w:val="none" w:sz="0" w:space="0" w:color="auto"/>
            <w:right w:val="none" w:sz="0" w:space="0" w:color="auto"/>
          </w:divBdr>
        </w:div>
        <w:div w:id="490871927">
          <w:marLeft w:val="640"/>
          <w:marRight w:val="0"/>
          <w:marTop w:val="0"/>
          <w:marBottom w:val="0"/>
          <w:divBdr>
            <w:top w:val="none" w:sz="0" w:space="0" w:color="auto"/>
            <w:left w:val="none" w:sz="0" w:space="0" w:color="auto"/>
            <w:bottom w:val="none" w:sz="0" w:space="0" w:color="auto"/>
            <w:right w:val="none" w:sz="0" w:space="0" w:color="auto"/>
          </w:divBdr>
        </w:div>
        <w:div w:id="2140609512">
          <w:marLeft w:val="640"/>
          <w:marRight w:val="0"/>
          <w:marTop w:val="0"/>
          <w:marBottom w:val="0"/>
          <w:divBdr>
            <w:top w:val="none" w:sz="0" w:space="0" w:color="auto"/>
            <w:left w:val="none" w:sz="0" w:space="0" w:color="auto"/>
            <w:bottom w:val="none" w:sz="0" w:space="0" w:color="auto"/>
            <w:right w:val="none" w:sz="0" w:space="0" w:color="auto"/>
          </w:divBdr>
        </w:div>
        <w:div w:id="1932154814">
          <w:marLeft w:val="640"/>
          <w:marRight w:val="0"/>
          <w:marTop w:val="0"/>
          <w:marBottom w:val="0"/>
          <w:divBdr>
            <w:top w:val="none" w:sz="0" w:space="0" w:color="auto"/>
            <w:left w:val="none" w:sz="0" w:space="0" w:color="auto"/>
            <w:bottom w:val="none" w:sz="0" w:space="0" w:color="auto"/>
            <w:right w:val="none" w:sz="0" w:space="0" w:color="auto"/>
          </w:divBdr>
        </w:div>
        <w:div w:id="1164052525">
          <w:marLeft w:val="640"/>
          <w:marRight w:val="0"/>
          <w:marTop w:val="0"/>
          <w:marBottom w:val="0"/>
          <w:divBdr>
            <w:top w:val="none" w:sz="0" w:space="0" w:color="auto"/>
            <w:left w:val="none" w:sz="0" w:space="0" w:color="auto"/>
            <w:bottom w:val="none" w:sz="0" w:space="0" w:color="auto"/>
            <w:right w:val="none" w:sz="0" w:space="0" w:color="auto"/>
          </w:divBdr>
        </w:div>
        <w:div w:id="915357940">
          <w:marLeft w:val="640"/>
          <w:marRight w:val="0"/>
          <w:marTop w:val="0"/>
          <w:marBottom w:val="0"/>
          <w:divBdr>
            <w:top w:val="none" w:sz="0" w:space="0" w:color="auto"/>
            <w:left w:val="none" w:sz="0" w:space="0" w:color="auto"/>
            <w:bottom w:val="none" w:sz="0" w:space="0" w:color="auto"/>
            <w:right w:val="none" w:sz="0" w:space="0" w:color="auto"/>
          </w:divBdr>
        </w:div>
        <w:div w:id="208996378">
          <w:marLeft w:val="640"/>
          <w:marRight w:val="0"/>
          <w:marTop w:val="0"/>
          <w:marBottom w:val="0"/>
          <w:divBdr>
            <w:top w:val="none" w:sz="0" w:space="0" w:color="auto"/>
            <w:left w:val="none" w:sz="0" w:space="0" w:color="auto"/>
            <w:bottom w:val="none" w:sz="0" w:space="0" w:color="auto"/>
            <w:right w:val="none" w:sz="0" w:space="0" w:color="auto"/>
          </w:divBdr>
        </w:div>
        <w:div w:id="1008141244">
          <w:marLeft w:val="640"/>
          <w:marRight w:val="0"/>
          <w:marTop w:val="0"/>
          <w:marBottom w:val="0"/>
          <w:divBdr>
            <w:top w:val="none" w:sz="0" w:space="0" w:color="auto"/>
            <w:left w:val="none" w:sz="0" w:space="0" w:color="auto"/>
            <w:bottom w:val="none" w:sz="0" w:space="0" w:color="auto"/>
            <w:right w:val="none" w:sz="0" w:space="0" w:color="auto"/>
          </w:divBdr>
        </w:div>
        <w:div w:id="741876109">
          <w:marLeft w:val="640"/>
          <w:marRight w:val="0"/>
          <w:marTop w:val="0"/>
          <w:marBottom w:val="0"/>
          <w:divBdr>
            <w:top w:val="none" w:sz="0" w:space="0" w:color="auto"/>
            <w:left w:val="none" w:sz="0" w:space="0" w:color="auto"/>
            <w:bottom w:val="none" w:sz="0" w:space="0" w:color="auto"/>
            <w:right w:val="none" w:sz="0" w:space="0" w:color="auto"/>
          </w:divBdr>
        </w:div>
        <w:div w:id="366226031">
          <w:marLeft w:val="640"/>
          <w:marRight w:val="0"/>
          <w:marTop w:val="0"/>
          <w:marBottom w:val="0"/>
          <w:divBdr>
            <w:top w:val="none" w:sz="0" w:space="0" w:color="auto"/>
            <w:left w:val="none" w:sz="0" w:space="0" w:color="auto"/>
            <w:bottom w:val="none" w:sz="0" w:space="0" w:color="auto"/>
            <w:right w:val="none" w:sz="0" w:space="0" w:color="auto"/>
          </w:divBdr>
        </w:div>
        <w:div w:id="1642348205">
          <w:marLeft w:val="640"/>
          <w:marRight w:val="0"/>
          <w:marTop w:val="0"/>
          <w:marBottom w:val="0"/>
          <w:divBdr>
            <w:top w:val="none" w:sz="0" w:space="0" w:color="auto"/>
            <w:left w:val="none" w:sz="0" w:space="0" w:color="auto"/>
            <w:bottom w:val="none" w:sz="0" w:space="0" w:color="auto"/>
            <w:right w:val="none" w:sz="0" w:space="0" w:color="auto"/>
          </w:divBdr>
        </w:div>
        <w:div w:id="796723365">
          <w:marLeft w:val="640"/>
          <w:marRight w:val="0"/>
          <w:marTop w:val="0"/>
          <w:marBottom w:val="0"/>
          <w:divBdr>
            <w:top w:val="none" w:sz="0" w:space="0" w:color="auto"/>
            <w:left w:val="none" w:sz="0" w:space="0" w:color="auto"/>
            <w:bottom w:val="none" w:sz="0" w:space="0" w:color="auto"/>
            <w:right w:val="none" w:sz="0" w:space="0" w:color="auto"/>
          </w:divBdr>
        </w:div>
        <w:div w:id="1067192479">
          <w:marLeft w:val="640"/>
          <w:marRight w:val="0"/>
          <w:marTop w:val="0"/>
          <w:marBottom w:val="0"/>
          <w:divBdr>
            <w:top w:val="none" w:sz="0" w:space="0" w:color="auto"/>
            <w:left w:val="none" w:sz="0" w:space="0" w:color="auto"/>
            <w:bottom w:val="none" w:sz="0" w:space="0" w:color="auto"/>
            <w:right w:val="none" w:sz="0" w:space="0" w:color="auto"/>
          </w:divBdr>
        </w:div>
        <w:div w:id="806437100">
          <w:marLeft w:val="640"/>
          <w:marRight w:val="0"/>
          <w:marTop w:val="0"/>
          <w:marBottom w:val="0"/>
          <w:divBdr>
            <w:top w:val="none" w:sz="0" w:space="0" w:color="auto"/>
            <w:left w:val="none" w:sz="0" w:space="0" w:color="auto"/>
            <w:bottom w:val="none" w:sz="0" w:space="0" w:color="auto"/>
            <w:right w:val="none" w:sz="0" w:space="0" w:color="auto"/>
          </w:divBdr>
        </w:div>
        <w:div w:id="505439246">
          <w:marLeft w:val="640"/>
          <w:marRight w:val="0"/>
          <w:marTop w:val="0"/>
          <w:marBottom w:val="0"/>
          <w:divBdr>
            <w:top w:val="none" w:sz="0" w:space="0" w:color="auto"/>
            <w:left w:val="none" w:sz="0" w:space="0" w:color="auto"/>
            <w:bottom w:val="none" w:sz="0" w:space="0" w:color="auto"/>
            <w:right w:val="none" w:sz="0" w:space="0" w:color="auto"/>
          </w:divBdr>
        </w:div>
        <w:div w:id="143351397">
          <w:marLeft w:val="640"/>
          <w:marRight w:val="0"/>
          <w:marTop w:val="0"/>
          <w:marBottom w:val="0"/>
          <w:divBdr>
            <w:top w:val="none" w:sz="0" w:space="0" w:color="auto"/>
            <w:left w:val="none" w:sz="0" w:space="0" w:color="auto"/>
            <w:bottom w:val="none" w:sz="0" w:space="0" w:color="auto"/>
            <w:right w:val="none" w:sz="0" w:space="0" w:color="auto"/>
          </w:divBdr>
        </w:div>
        <w:div w:id="2017265100">
          <w:marLeft w:val="640"/>
          <w:marRight w:val="0"/>
          <w:marTop w:val="0"/>
          <w:marBottom w:val="0"/>
          <w:divBdr>
            <w:top w:val="none" w:sz="0" w:space="0" w:color="auto"/>
            <w:left w:val="none" w:sz="0" w:space="0" w:color="auto"/>
            <w:bottom w:val="none" w:sz="0" w:space="0" w:color="auto"/>
            <w:right w:val="none" w:sz="0" w:space="0" w:color="auto"/>
          </w:divBdr>
        </w:div>
        <w:div w:id="133914681">
          <w:marLeft w:val="640"/>
          <w:marRight w:val="0"/>
          <w:marTop w:val="0"/>
          <w:marBottom w:val="0"/>
          <w:divBdr>
            <w:top w:val="none" w:sz="0" w:space="0" w:color="auto"/>
            <w:left w:val="none" w:sz="0" w:space="0" w:color="auto"/>
            <w:bottom w:val="none" w:sz="0" w:space="0" w:color="auto"/>
            <w:right w:val="none" w:sz="0" w:space="0" w:color="auto"/>
          </w:divBdr>
        </w:div>
        <w:div w:id="341706178">
          <w:marLeft w:val="640"/>
          <w:marRight w:val="0"/>
          <w:marTop w:val="0"/>
          <w:marBottom w:val="0"/>
          <w:divBdr>
            <w:top w:val="none" w:sz="0" w:space="0" w:color="auto"/>
            <w:left w:val="none" w:sz="0" w:space="0" w:color="auto"/>
            <w:bottom w:val="none" w:sz="0" w:space="0" w:color="auto"/>
            <w:right w:val="none" w:sz="0" w:space="0" w:color="auto"/>
          </w:divBdr>
        </w:div>
        <w:div w:id="864440283">
          <w:marLeft w:val="640"/>
          <w:marRight w:val="0"/>
          <w:marTop w:val="0"/>
          <w:marBottom w:val="0"/>
          <w:divBdr>
            <w:top w:val="none" w:sz="0" w:space="0" w:color="auto"/>
            <w:left w:val="none" w:sz="0" w:space="0" w:color="auto"/>
            <w:bottom w:val="none" w:sz="0" w:space="0" w:color="auto"/>
            <w:right w:val="none" w:sz="0" w:space="0" w:color="auto"/>
          </w:divBdr>
        </w:div>
        <w:div w:id="858468766">
          <w:marLeft w:val="640"/>
          <w:marRight w:val="0"/>
          <w:marTop w:val="0"/>
          <w:marBottom w:val="0"/>
          <w:divBdr>
            <w:top w:val="none" w:sz="0" w:space="0" w:color="auto"/>
            <w:left w:val="none" w:sz="0" w:space="0" w:color="auto"/>
            <w:bottom w:val="none" w:sz="0" w:space="0" w:color="auto"/>
            <w:right w:val="none" w:sz="0" w:space="0" w:color="auto"/>
          </w:divBdr>
        </w:div>
        <w:div w:id="745348003">
          <w:marLeft w:val="640"/>
          <w:marRight w:val="0"/>
          <w:marTop w:val="0"/>
          <w:marBottom w:val="0"/>
          <w:divBdr>
            <w:top w:val="none" w:sz="0" w:space="0" w:color="auto"/>
            <w:left w:val="none" w:sz="0" w:space="0" w:color="auto"/>
            <w:bottom w:val="none" w:sz="0" w:space="0" w:color="auto"/>
            <w:right w:val="none" w:sz="0" w:space="0" w:color="auto"/>
          </w:divBdr>
        </w:div>
        <w:div w:id="1410926807">
          <w:marLeft w:val="640"/>
          <w:marRight w:val="0"/>
          <w:marTop w:val="0"/>
          <w:marBottom w:val="0"/>
          <w:divBdr>
            <w:top w:val="none" w:sz="0" w:space="0" w:color="auto"/>
            <w:left w:val="none" w:sz="0" w:space="0" w:color="auto"/>
            <w:bottom w:val="none" w:sz="0" w:space="0" w:color="auto"/>
            <w:right w:val="none" w:sz="0" w:space="0" w:color="auto"/>
          </w:divBdr>
        </w:div>
        <w:div w:id="361325994">
          <w:marLeft w:val="640"/>
          <w:marRight w:val="0"/>
          <w:marTop w:val="0"/>
          <w:marBottom w:val="0"/>
          <w:divBdr>
            <w:top w:val="none" w:sz="0" w:space="0" w:color="auto"/>
            <w:left w:val="none" w:sz="0" w:space="0" w:color="auto"/>
            <w:bottom w:val="none" w:sz="0" w:space="0" w:color="auto"/>
            <w:right w:val="none" w:sz="0" w:space="0" w:color="auto"/>
          </w:divBdr>
        </w:div>
        <w:div w:id="450243145">
          <w:marLeft w:val="640"/>
          <w:marRight w:val="0"/>
          <w:marTop w:val="0"/>
          <w:marBottom w:val="0"/>
          <w:divBdr>
            <w:top w:val="none" w:sz="0" w:space="0" w:color="auto"/>
            <w:left w:val="none" w:sz="0" w:space="0" w:color="auto"/>
            <w:bottom w:val="none" w:sz="0" w:space="0" w:color="auto"/>
            <w:right w:val="none" w:sz="0" w:space="0" w:color="auto"/>
          </w:divBdr>
        </w:div>
        <w:div w:id="1598171268">
          <w:marLeft w:val="640"/>
          <w:marRight w:val="0"/>
          <w:marTop w:val="0"/>
          <w:marBottom w:val="0"/>
          <w:divBdr>
            <w:top w:val="none" w:sz="0" w:space="0" w:color="auto"/>
            <w:left w:val="none" w:sz="0" w:space="0" w:color="auto"/>
            <w:bottom w:val="none" w:sz="0" w:space="0" w:color="auto"/>
            <w:right w:val="none" w:sz="0" w:space="0" w:color="auto"/>
          </w:divBdr>
        </w:div>
        <w:div w:id="77749269">
          <w:marLeft w:val="640"/>
          <w:marRight w:val="0"/>
          <w:marTop w:val="0"/>
          <w:marBottom w:val="0"/>
          <w:divBdr>
            <w:top w:val="none" w:sz="0" w:space="0" w:color="auto"/>
            <w:left w:val="none" w:sz="0" w:space="0" w:color="auto"/>
            <w:bottom w:val="none" w:sz="0" w:space="0" w:color="auto"/>
            <w:right w:val="none" w:sz="0" w:space="0" w:color="auto"/>
          </w:divBdr>
        </w:div>
        <w:div w:id="324481524">
          <w:marLeft w:val="640"/>
          <w:marRight w:val="0"/>
          <w:marTop w:val="0"/>
          <w:marBottom w:val="0"/>
          <w:divBdr>
            <w:top w:val="none" w:sz="0" w:space="0" w:color="auto"/>
            <w:left w:val="none" w:sz="0" w:space="0" w:color="auto"/>
            <w:bottom w:val="none" w:sz="0" w:space="0" w:color="auto"/>
            <w:right w:val="none" w:sz="0" w:space="0" w:color="auto"/>
          </w:divBdr>
        </w:div>
        <w:div w:id="1997102404">
          <w:marLeft w:val="640"/>
          <w:marRight w:val="0"/>
          <w:marTop w:val="0"/>
          <w:marBottom w:val="0"/>
          <w:divBdr>
            <w:top w:val="none" w:sz="0" w:space="0" w:color="auto"/>
            <w:left w:val="none" w:sz="0" w:space="0" w:color="auto"/>
            <w:bottom w:val="none" w:sz="0" w:space="0" w:color="auto"/>
            <w:right w:val="none" w:sz="0" w:space="0" w:color="auto"/>
          </w:divBdr>
        </w:div>
        <w:div w:id="745036368">
          <w:marLeft w:val="640"/>
          <w:marRight w:val="0"/>
          <w:marTop w:val="0"/>
          <w:marBottom w:val="0"/>
          <w:divBdr>
            <w:top w:val="none" w:sz="0" w:space="0" w:color="auto"/>
            <w:left w:val="none" w:sz="0" w:space="0" w:color="auto"/>
            <w:bottom w:val="none" w:sz="0" w:space="0" w:color="auto"/>
            <w:right w:val="none" w:sz="0" w:space="0" w:color="auto"/>
          </w:divBdr>
        </w:div>
        <w:div w:id="1116487736">
          <w:marLeft w:val="640"/>
          <w:marRight w:val="0"/>
          <w:marTop w:val="0"/>
          <w:marBottom w:val="0"/>
          <w:divBdr>
            <w:top w:val="none" w:sz="0" w:space="0" w:color="auto"/>
            <w:left w:val="none" w:sz="0" w:space="0" w:color="auto"/>
            <w:bottom w:val="none" w:sz="0" w:space="0" w:color="auto"/>
            <w:right w:val="none" w:sz="0" w:space="0" w:color="auto"/>
          </w:divBdr>
        </w:div>
        <w:div w:id="57478233">
          <w:marLeft w:val="640"/>
          <w:marRight w:val="0"/>
          <w:marTop w:val="0"/>
          <w:marBottom w:val="0"/>
          <w:divBdr>
            <w:top w:val="none" w:sz="0" w:space="0" w:color="auto"/>
            <w:left w:val="none" w:sz="0" w:space="0" w:color="auto"/>
            <w:bottom w:val="none" w:sz="0" w:space="0" w:color="auto"/>
            <w:right w:val="none" w:sz="0" w:space="0" w:color="auto"/>
          </w:divBdr>
        </w:div>
        <w:div w:id="1478180604">
          <w:marLeft w:val="640"/>
          <w:marRight w:val="0"/>
          <w:marTop w:val="0"/>
          <w:marBottom w:val="0"/>
          <w:divBdr>
            <w:top w:val="none" w:sz="0" w:space="0" w:color="auto"/>
            <w:left w:val="none" w:sz="0" w:space="0" w:color="auto"/>
            <w:bottom w:val="none" w:sz="0" w:space="0" w:color="auto"/>
            <w:right w:val="none" w:sz="0" w:space="0" w:color="auto"/>
          </w:divBdr>
        </w:div>
        <w:div w:id="1267732845">
          <w:marLeft w:val="640"/>
          <w:marRight w:val="0"/>
          <w:marTop w:val="0"/>
          <w:marBottom w:val="0"/>
          <w:divBdr>
            <w:top w:val="none" w:sz="0" w:space="0" w:color="auto"/>
            <w:left w:val="none" w:sz="0" w:space="0" w:color="auto"/>
            <w:bottom w:val="none" w:sz="0" w:space="0" w:color="auto"/>
            <w:right w:val="none" w:sz="0" w:space="0" w:color="auto"/>
          </w:divBdr>
        </w:div>
        <w:div w:id="97531056">
          <w:marLeft w:val="640"/>
          <w:marRight w:val="0"/>
          <w:marTop w:val="0"/>
          <w:marBottom w:val="0"/>
          <w:divBdr>
            <w:top w:val="none" w:sz="0" w:space="0" w:color="auto"/>
            <w:left w:val="none" w:sz="0" w:space="0" w:color="auto"/>
            <w:bottom w:val="none" w:sz="0" w:space="0" w:color="auto"/>
            <w:right w:val="none" w:sz="0" w:space="0" w:color="auto"/>
          </w:divBdr>
        </w:div>
        <w:div w:id="763306263">
          <w:marLeft w:val="640"/>
          <w:marRight w:val="0"/>
          <w:marTop w:val="0"/>
          <w:marBottom w:val="0"/>
          <w:divBdr>
            <w:top w:val="none" w:sz="0" w:space="0" w:color="auto"/>
            <w:left w:val="none" w:sz="0" w:space="0" w:color="auto"/>
            <w:bottom w:val="none" w:sz="0" w:space="0" w:color="auto"/>
            <w:right w:val="none" w:sz="0" w:space="0" w:color="auto"/>
          </w:divBdr>
        </w:div>
        <w:div w:id="1031153665">
          <w:marLeft w:val="640"/>
          <w:marRight w:val="0"/>
          <w:marTop w:val="0"/>
          <w:marBottom w:val="0"/>
          <w:divBdr>
            <w:top w:val="none" w:sz="0" w:space="0" w:color="auto"/>
            <w:left w:val="none" w:sz="0" w:space="0" w:color="auto"/>
            <w:bottom w:val="none" w:sz="0" w:space="0" w:color="auto"/>
            <w:right w:val="none" w:sz="0" w:space="0" w:color="auto"/>
          </w:divBdr>
        </w:div>
        <w:div w:id="1625499167">
          <w:marLeft w:val="640"/>
          <w:marRight w:val="0"/>
          <w:marTop w:val="0"/>
          <w:marBottom w:val="0"/>
          <w:divBdr>
            <w:top w:val="none" w:sz="0" w:space="0" w:color="auto"/>
            <w:left w:val="none" w:sz="0" w:space="0" w:color="auto"/>
            <w:bottom w:val="none" w:sz="0" w:space="0" w:color="auto"/>
            <w:right w:val="none" w:sz="0" w:space="0" w:color="auto"/>
          </w:divBdr>
        </w:div>
        <w:div w:id="553273140">
          <w:marLeft w:val="640"/>
          <w:marRight w:val="0"/>
          <w:marTop w:val="0"/>
          <w:marBottom w:val="0"/>
          <w:divBdr>
            <w:top w:val="none" w:sz="0" w:space="0" w:color="auto"/>
            <w:left w:val="none" w:sz="0" w:space="0" w:color="auto"/>
            <w:bottom w:val="none" w:sz="0" w:space="0" w:color="auto"/>
            <w:right w:val="none" w:sz="0" w:space="0" w:color="auto"/>
          </w:divBdr>
        </w:div>
        <w:div w:id="1975023062">
          <w:marLeft w:val="640"/>
          <w:marRight w:val="0"/>
          <w:marTop w:val="0"/>
          <w:marBottom w:val="0"/>
          <w:divBdr>
            <w:top w:val="none" w:sz="0" w:space="0" w:color="auto"/>
            <w:left w:val="none" w:sz="0" w:space="0" w:color="auto"/>
            <w:bottom w:val="none" w:sz="0" w:space="0" w:color="auto"/>
            <w:right w:val="none" w:sz="0" w:space="0" w:color="auto"/>
          </w:divBdr>
        </w:div>
        <w:div w:id="1415591815">
          <w:marLeft w:val="640"/>
          <w:marRight w:val="0"/>
          <w:marTop w:val="0"/>
          <w:marBottom w:val="0"/>
          <w:divBdr>
            <w:top w:val="none" w:sz="0" w:space="0" w:color="auto"/>
            <w:left w:val="none" w:sz="0" w:space="0" w:color="auto"/>
            <w:bottom w:val="none" w:sz="0" w:space="0" w:color="auto"/>
            <w:right w:val="none" w:sz="0" w:space="0" w:color="auto"/>
          </w:divBdr>
        </w:div>
        <w:div w:id="1216701423">
          <w:marLeft w:val="640"/>
          <w:marRight w:val="0"/>
          <w:marTop w:val="0"/>
          <w:marBottom w:val="0"/>
          <w:divBdr>
            <w:top w:val="none" w:sz="0" w:space="0" w:color="auto"/>
            <w:left w:val="none" w:sz="0" w:space="0" w:color="auto"/>
            <w:bottom w:val="none" w:sz="0" w:space="0" w:color="auto"/>
            <w:right w:val="none" w:sz="0" w:space="0" w:color="auto"/>
          </w:divBdr>
        </w:div>
        <w:div w:id="1136408526">
          <w:marLeft w:val="640"/>
          <w:marRight w:val="0"/>
          <w:marTop w:val="0"/>
          <w:marBottom w:val="0"/>
          <w:divBdr>
            <w:top w:val="none" w:sz="0" w:space="0" w:color="auto"/>
            <w:left w:val="none" w:sz="0" w:space="0" w:color="auto"/>
            <w:bottom w:val="none" w:sz="0" w:space="0" w:color="auto"/>
            <w:right w:val="none" w:sz="0" w:space="0" w:color="auto"/>
          </w:divBdr>
        </w:div>
        <w:div w:id="1600336201">
          <w:marLeft w:val="640"/>
          <w:marRight w:val="0"/>
          <w:marTop w:val="0"/>
          <w:marBottom w:val="0"/>
          <w:divBdr>
            <w:top w:val="none" w:sz="0" w:space="0" w:color="auto"/>
            <w:left w:val="none" w:sz="0" w:space="0" w:color="auto"/>
            <w:bottom w:val="none" w:sz="0" w:space="0" w:color="auto"/>
            <w:right w:val="none" w:sz="0" w:space="0" w:color="auto"/>
          </w:divBdr>
        </w:div>
        <w:div w:id="1050423247">
          <w:marLeft w:val="640"/>
          <w:marRight w:val="0"/>
          <w:marTop w:val="0"/>
          <w:marBottom w:val="0"/>
          <w:divBdr>
            <w:top w:val="none" w:sz="0" w:space="0" w:color="auto"/>
            <w:left w:val="none" w:sz="0" w:space="0" w:color="auto"/>
            <w:bottom w:val="none" w:sz="0" w:space="0" w:color="auto"/>
            <w:right w:val="none" w:sz="0" w:space="0" w:color="auto"/>
          </w:divBdr>
        </w:div>
        <w:div w:id="1542863495">
          <w:marLeft w:val="640"/>
          <w:marRight w:val="0"/>
          <w:marTop w:val="0"/>
          <w:marBottom w:val="0"/>
          <w:divBdr>
            <w:top w:val="none" w:sz="0" w:space="0" w:color="auto"/>
            <w:left w:val="none" w:sz="0" w:space="0" w:color="auto"/>
            <w:bottom w:val="none" w:sz="0" w:space="0" w:color="auto"/>
            <w:right w:val="none" w:sz="0" w:space="0" w:color="auto"/>
          </w:divBdr>
        </w:div>
        <w:div w:id="1697779279">
          <w:marLeft w:val="640"/>
          <w:marRight w:val="0"/>
          <w:marTop w:val="0"/>
          <w:marBottom w:val="0"/>
          <w:divBdr>
            <w:top w:val="none" w:sz="0" w:space="0" w:color="auto"/>
            <w:left w:val="none" w:sz="0" w:space="0" w:color="auto"/>
            <w:bottom w:val="none" w:sz="0" w:space="0" w:color="auto"/>
            <w:right w:val="none" w:sz="0" w:space="0" w:color="auto"/>
          </w:divBdr>
        </w:div>
        <w:div w:id="416174506">
          <w:marLeft w:val="640"/>
          <w:marRight w:val="0"/>
          <w:marTop w:val="0"/>
          <w:marBottom w:val="0"/>
          <w:divBdr>
            <w:top w:val="none" w:sz="0" w:space="0" w:color="auto"/>
            <w:left w:val="none" w:sz="0" w:space="0" w:color="auto"/>
            <w:bottom w:val="none" w:sz="0" w:space="0" w:color="auto"/>
            <w:right w:val="none" w:sz="0" w:space="0" w:color="auto"/>
          </w:divBdr>
        </w:div>
        <w:div w:id="458883863">
          <w:marLeft w:val="640"/>
          <w:marRight w:val="0"/>
          <w:marTop w:val="0"/>
          <w:marBottom w:val="0"/>
          <w:divBdr>
            <w:top w:val="none" w:sz="0" w:space="0" w:color="auto"/>
            <w:left w:val="none" w:sz="0" w:space="0" w:color="auto"/>
            <w:bottom w:val="none" w:sz="0" w:space="0" w:color="auto"/>
            <w:right w:val="none" w:sz="0" w:space="0" w:color="auto"/>
          </w:divBdr>
        </w:div>
        <w:div w:id="1235167572">
          <w:marLeft w:val="640"/>
          <w:marRight w:val="0"/>
          <w:marTop w:val="0"/>
          <w:marBottom w:val="0"/>
          <w:divBdr>
            <w:top w:val="none" w:sz="0" w:space="0" w:color="auto"/>
            <w:left w:val="none" w:sz="0" w:space="0" w:color="auto"/>
            <w:bottom w:val="none" w:sz="0" w:space="0" w:color="auto"/>
            <w:right w:val="none" w:sz="0" w:space="0" w:color="auto"/>
          </w:divBdr>
        </w:div>
        <w:div w:id="3674771">
          <w:marLeft w:val="640"/>
          <w:marRight w:val="0"/>
          <w:marTop w:val="0"/>
          <w:marBottom w:val="0"/>
          <w:divBdr>
            <w:top w:val="none" w:sz="0" w:space="0" w:color="auto"/>
            <w:left w:val="none" w:sz="0" w:space="0" w:color="auto"/>
            <w:bottom w:val="none" w:sz="0" w:space="0" w:color="auto"/>
            <w:right w:val="none" w:sz="0" w:space="0" w:color="auto"/>
          </w:divBdr>
        </w:div>
        <w:div w:id="1224102794">
          <w:marLeft w:val="640"/>
          <w:marRight w:val="0"/>
          <w:marTop w:val="0"/>
          <w:marBottom w:val="0"/>
          <w:divBdr>
            <w:top w:val="none" w:sz="0" w:space="0" w:color="auto"/>
            <w:left w:val="none" w:sz="0" w:space="0" w:color="auto"/>
            <w:bottom w:val="none" w:sz="0" w:space="0" w:color="auto"/>
            <w:right w:val="none" w:sz="0" w:space="0" w:color="auto"/>
          </w:divBdr>
        </w:div>
        <w:div w:id="1416588877">
          <w:marLeft w:val="640"/>
          <w:marRight w:val="0"/>
          <w:marTop w:val="0"/>
          <w:marBottom w:val="0"/>
          <w:divBdr>
            <w:top w:val="none" w:sz="0" w:space="0" w:color="auto"/>
            <w:left w:val="none" w:sz="0" w:space="0" w:color="auto"/>
            <w:bottom w:val="none" w:sz="0" w:space="0" w:color="auto"/>
            <w:right w:val="none" w:sz="0" w:space="0" w:color="auto"/>
          </w:divBdr>
        </w:div>
        <w:div w:id="265508085">
          <w:marLeft w:val="640"/>
          <w:marRight w:val="0"/>
          <w:marTop w:val="0"/>
          <w:marBottom w:val="0"/>
          <w:divBdr>
            <w:top w:val="none" w:sz="0" w:space="0" w:color="auto"/>
            <w:left w:val="none" w:sz="0" w:space="0" w:color="auto"/>
            <w:bottom w:val="none" w:sz="0" w:space="0" w:color="auto"/>
            <w:right w:val="none" w:sz="0" w:space="0" w:color="auto"/>
          </w:divBdr>
        </w:div>
        <w:div w:id="707411338">
          <w:marLeft w:val="640"/>
          <w:marRight w:val="0"/>
          <w:marTop w:val="0"/>
          <w:marBottom w:val="0"/>
          <w:divBdr>
            <w:top w:val="none" w:sz="0" w:space="0" w:color="auto"/>
            <w:left w:val="none" w:sz="0" w:space="0" w:color="auto"/>
            <w:bottom w:val="none" w:sz="0" w:space="0" w:color="auto"/>
            <w:right w:val="none" w:sz="0" w:space="0" w:color="auto"/>
          </w:divBdr>
        </w:div>
        <w:div w:id="1902713555">
          <w:marLeft w:val="640"/>
          <w:marRight w:val="0"/>
          <w:marTop w:val="0"/>
          <w:marBottom w:val="0"/>
          <w:divBdr>
            <w:top w:val="none" w:sz="0" w:space="0" w:color="auto"/>
            <w:left w:val="none" w:sz="0" w:space="0" w:color="auto"/>
            <w:bottom w:val="none" w:sz="0" w:space="0" w:color="auto"/>
            <w:right w:val="none" w:sz="0" w:space="0" w:color="auto"/>
          </w:divBdr>
        </w:div>
        <w:div w:id="505750458">
          <w:marLeft w:val="640"/>
          <w:marRight w:val="0"/>
          <w:marTop w:val="0"/>
          <w:marBottom w:val="0"/>
          <w:divBdr>
            <w:top w:val="none" w:sz="0" w:space="0" w:color="auto"/>
            <w:left w:val="none" w:sz="0" w:space="0" w:color="auto"/>
            <w:bottom w:val="none" w:sz="0" w:space="0" w:color="auto"/>
            <w:right w:val="none" w:sz="0" w:space="0" w:color="auto"/>
          </w:divBdr>
        </w:div>
        <w:div w:id="1738740485">
          <w:marLeft w:val="640"/>
          <w:marRight w:val="0"/>
          <w:marTop w:val="0"/>
          <w:marBottom w:val="0"/>
          <w:divBdr>
            <w:top w:val="none" w:sz="0" w:space="0" w:color="auto"/>
            <w:left w:val="none" w:sz="0" w:space="0" w:color="auto"/>
            <w:bottom w:val="none" w:sz="0" w:space="0" w:color="auto"/>
            <w:right w:val="none" w:sz="0" w:space="0" w:color="auto"/>
          </w:divBdr>
        </w:div>
        <w:div w:id="1713842356">
          <w:marLeft w:val="640"/>
          <w:marRight w:val="0"/>
          <w:marTop w:val="0"/>
          <w:marBottom w:val="0"/>
          <w:divBdr>
            <w:top w:val="none" w:sz="0" w:space="0" w:color="auto"/>
            <w:left w:val="none" w:sz="0" w:space="0" w:color="auto"/>
            <w:bottom w:val="none" w:sz="0" w:space="0" w:color="auto"/>
            <w:right w:val="none" w:sz="0" w:space="0" w:color="auto"/>
          </w:divBdr>
        </w:div>
        <w:div w:id="1727411284">
          <w:marLeft w:val="640"/>
          <w:marRight w:val="0"/>
          <w:marTop w:val="0"/>
          <w:marBottom w:val="0"/>
          <w:divBdr>
            <w:top w:val="none" w:sz="0" w:space="0" w:color="auto"/>
            <w:left w:val="none" w:sz="0" w:space="0" w:color="auto"/>
            <w:bottom w:val="none" w:sz="0" w:space="0" w:color="auto"/>
            <w:right w:val="none" w:sz="0" w:space="0" w:color="auto"/>
          </w:divBdr>
        </w:div>
        <w:div w:id="746262">
          <w:marLeft w:val="640"/>
          <w:marRight w:val="0"/>
          <w:marTop w:val="0"/>
          <w:marBottom w:val="0"/>
          <w:divBdr>
            <w:top w:val="none" w:sz="0" w:space="0" w:color="auto"/>
            <w:left w:val="none" w:sz="0" w:space="0" w:color="auto"/>
            <w:bottom w:val="none" w:sz="0" w:space="0" w:color="auto"/>
            <w:right w:val="none" w:sz="0" w:space="0" w:color="auto"/>
          </w:divBdr>
        </w:div>
        <w:div w:id="918058141">
          <w:marLeft w:val="640"/>
          <w:marRight w:val="0"/>
          <w:marTop w:val="0"/>
          <w:marBottom w:val="0"/>
          <w:divBdr>
            <w:top w:val="none" w:sz="0" w:space="0" w:color="auto"/>
            <w:left w:val="none" w:sz="0" w:space="0" w:color="auto"/>
            <w:bottom w:val="none" w:sz="0" w:space="0" w:color="auto"/>
            <w:right w:val="none" w:sz="0" w:space="0" w:color="auto"/>
          </w:divBdr>
        </w:div>
        <w:div w:id="1493911761">
          <w:marLeft w:val="640"/>
          <w:marRight w:val="0"/>
          <w:marTop w:val="0"/>
          <w:marBottom w:val="0"/>
          <w:divBdr>
            <w:top w:val="none" w:sz="0" w:space="0" w:color="auto"/>
            <w:left w:val="none" w:sz="0" w:space="0" w:color="auto"/>
            <w:bottom w:val="none" w:sz="0" w:space="0" w:color="auto"/>
            <w:right w:val="none" w:sz="0" w:space="0" w:color="auto"/>
          </w:divBdr>
        </w:div>
        <w:div w:id="1001813487">
          <w:marLeft w:val="640"/>
          <w:marRight w:val="0"/>
          <w:marTop w:val="0"/>
          <w:marBottom w:val="0"/>
          <w:divBdr>
            <w:top w:val="none" w:sz="0" w:space="0" w:color="auto"/>
            <w:left w:val="none" w:sz="0" w:space="0" w:color="auto"/>
            <w:bottom w:val="none" w:sz="0" w:space="0" w:color="auto"/>
            <w:right w:val="none" w:sz="0" w:space="0" w:color="auto"/>
          </w:divBdr>
        </w:div>
        <w:div w:id="1687365018">
          <w:marLeft w:val="640"/>
          <w:marRight w:val="0"/>
          <w:marTop w:val="0"/>
          <w:marBottom w:val="0"/>
          <w:divBdr>
            <w:top w:val="none" w:sz="0" w:space="0" w:color="auto"/>
            <w:left w:val="none" w:sz="0" w:space="0" w:color="auto"/>
            <w:bottom w:val="none" w:sz="0" w:space="0" w:color="auto"/>
            <w:right w:val="none" w:sz="0" w:space="0" w:color="auto"/>
          </w:divBdr>
        </w:div>
        <w:div w:id="57099394">
          <w:marLeft w:val="640"/>
          <w:marRight w:val="0"/>
          <w:marTop w:val="0"/>
          <w:marBottom w:val="0"/>
          <w:divBdr>
            <w:top w:val="none" w:sz="0" w:space="0" w:color="auto"/>
            <w:left w:val="none" w:sz="0" w:space="0" w:color="auto"/>
            <w:bottom w:val="none" w:sz="0" w:space="0" w:color="auto"/>
            <w:right w:val="none" w:sz="0" w:space="0" w:color="auto"/>
          </w:divBdr>
        </w:div>
        <w:div w:id="1603101437">
          <w:marLeft w:val="640"/>
          <w:marRight w:val="0"/>
          <w:marTop w:val="0"/>
          <w:marBottom w:val="0"/>
          <w:divBdr>
            <w:top w:val="none" w:sz="0" w:space="0" w:color="auto"/>
            <w:left w:val="none" w:sz="0" w:space="0" w:color="auto"/>
            <w:bottom w:val="none" w:sz="0" w:space="0" w:color="auto"/>
            <w:right w:val="none" w:sz="0" w:space="0" w:color="auto"/>
          </w:divBdr>
        </w:div>
        <w:div w:id="1794791119">
          <w:marLeft w:val="640"/>
          <w:marRight w:val="0"/>
          <w:marTop w:val="0"/>
          <w:marBottom w:val="0"/>
          <w:divBdr>
            <w:top w:val="none" w:sz="0" w:space="0" w:color="auto"/>
            <w:left w:val="none" w:sz="0" w:space="0" w:color="auto"/>
            <w:bottom w:val="none" w:sz="0" w:space="0" w:color="auto"/>
            <w:right w:val="none" w:sz="0" w:space="0" w:color="auto"/>
          </w:divBdr>
        </w:div>
        <w:div w:id="328291664">
          <w:marLeft w:val="640"/>
          <w:marRight w:val="0"/>
          <w:marTop w:val="0"/>
          <w:marBottom w:val="0"/>
          <w:divBdr>
            <w:top w:val="none" w:sz="0" w:space="0" w:color="auto"/>
            <w:left w:val="none" w:sz="0" w:space="0" w:color="auto"/>
            <w:bottom w:val="none" w:sz="0" w:space="0" w:color="auto"/>
            <w:right w:val="none" w:sz="0" w:space="0" w:color="auto"/>
          </w:divBdr>
        </w:div>
        <w:div w:id="725836814">
          <w:marLeft w:val="640"/>
          <w:marRight w:val="0"/>
          <w:marTop w:val="0"/>
          <w:marBottom w:val="0"/>
          <w:divBdr>
            <w:top w:val="none" w:sz="0" w:space="0" w:color="auto"/>
            <w:left w:val="none" w:sz="0" w:space="0" w:color="auto"/>
            <w:bottom w:val="none" w:sz="0" w:space="0" w:color="auto"/>
            <w:right w:val="none" w:sz="0" w:space="0" w:color="auto"/>
          </w:divBdr>
        </w:div>
        <w:div w:id="1123695237">
          <w:marLeft w:val="640"/>
          <w:marRight w:val="0"/>
          <w:marTop w:val="0"/>
          <w:marBottom w:val="0"/>
          <w:divBdr>
            <w:top w:val="none" w:sz="0" w:space="0" w:color="auto"/>
            <w:left w:val="none" w:sz="0" w:space="0" w:color="auto"/>
            <w:bottom w:val="none" w:sz="0" w:space="0" w:color="auto"/>
            <w:right w:val="none" w:sz="0" w:space="0" w:color="auto"/>
          </w:divBdr>
        </w:div>
        <w:div w:id="210773417">
          <w:marLeft w:val="640"/>
          <w:marRight w:val="0"/>
          <w:marTop w:val="0"/>
          <w:marBottom w:val="0"/>
          <w:divBdr>
            <w:top w:val="none" w:sz="0" w:space="0" w:color="auto"/>
            <w:left w:val="none" w:sz="0" w:space="0" w:color="auto"/>
            <w:bottom w:val="none" w:sz="0" w:space="0" w:color="auto"/>
            <w:right w:val="none" w:sz="0" w:space="0" w:color="auto"/>
          </w:divBdr>
        </w:div>
        <w:div w:id="731126248">
          <w:marLeft w:val="640"/>
          <w:marRight w:val="0"/>
          <w:marTop w:val="0"/>
          <w:marBottom w:val="0"/>
          <w:divBdr>
            <w:top w:val="none" w:sz="0" w:space="0" w:color="auto"/>
            <w:left w:val="none" w:sz="0" w:space="0" w:color="auto"/>
            <w:bottom w:val="none" w:sz="0" w:space="0" w:color="auto"/>
            <w:right w:val="none" w:sz="0" w:space="0" w:color="auto"/>
          </w:divBdr>
        </w:div>
        <w:div w:id="2083795116">
          <w:marLeft w:val="640"/>
          <w:marRight w:val="0"/>
          <w:marTop w:val="0"/>
          <w:marBottom w:val="0"/>
          <w:divBdr>
            <w:top w:val="none" w:sz="0" w:space="0" w:color="auto"/>
            <w:left w:val="none" w:sz="0" w:space="0" w:color="auto"/>
            <w:bottom w:val="none" w:sz="0" w:space="0" w:color="auto"/>
            <w:right w:val="none" w:sz="0" w:space="0" w:color="auto"/>
          </w:divBdr>
        </w:div>
        <w:div w:id="735473753">
          <w:marLeft w:val="640"/>
          <w:marRight w:val="0"/>
          <w:marTop w:val="0"/>
          <w:marBottom w:val="0"/>
          <w:divBdr>
            <w:top w:val="none" w:sz="0" w:space="0" w:color="auto"/>
            <w:left w:val="none" w:sz="0" w:space="0" w:color="auto"/>
            <w:bottom w:val="none" w:sz="0" w:space="0" w:color="auto"/>
            <w:right w:val="none" w:sz="0" w:space="0" w:color="auto"/>
          </w:divBdr>
        </w:div>
        <w:div w:id="87047075">
          <w:marLeft w:val="640"/>
          <w:marRight w:val="0"/>
          <w:marTop w:val="0"/>
          <w:marBottom w:val="0"/>
          <w:divBdr>
            <w:top w:val="none" w:sz="0" w:space="0" w:color="auto"/>
            <w:left w:val="none" w:sz="0" w:space="0" w:color="auto"/>
            <w:bottom w:val="none" w:sz="0" w:space="0" w:color="auto"/>
            <w:right w:val="none" w:sz="0" w:space="0" w:color="auto"/>
          </w:divBdr>
        </w:div>
        <w:div w:id="2102989635">
          <w:marLeft w:val="640"/>
          <w:marRight w:val="0"/>
          <w:marTop w:val="0"/>
          <w:marBottom w:val="0"/>
          <w:divBdr>
            <w:top w:val="none" w:sz="0" w:space="0" w:color="auto"/>
            <w:left w:val="none" w:sz="0" w:space="0" w:color="auto"/>
            <w:bottom w:val="none" w:sz="0" w:space="0" w:color="auto"/>
            <w:right w:val="none" w:sz="0" w:space="0" w:color="auto"/>
          </w:divBdr>
        </w:div>
        <w:div w:id="1900090004">
          <w:marLeft w:val="640"/>
          <w:marRight w:val="0"/>
          <w:marTop w:val="0"/>
          <w:marBottom w:val="0"/>
          <w:divBdr>
            <w:top w:val="none" w:sz="0" w:space="0" w:color="auto"/>
            <w:left w:val="none" w:sz="0" w:space="0" w:color="auto"/>
            <w:bottom w:val="none" w:sz="0" w:space="0" w:color="auto"/>
            <w:right w:val="none" w:sz="0" w:space="0" w:color="auto"/>
          </w:divBdr>
        </w:div>
        <w:div w:id="1596130857">
          <w:marLeft w:val="640"/>
          <w:marRight w:val="0"/>
          <w:marTop w:val="0"/>
          <w:marBottom w:val="0"/>
          <w:divBdr>
            <w:top w:val="none" w:sz="0" w:space="0" w:color="auto"/>
            <w:left w:val="none" w:sz="0" w:space="0" w:color="auto"/>
            <w:bottom w:val="none" w:sz="0" w:space="0" w:color="auto"/>
            <w:right w:val="none" w:sz="0" w:space="0" w:color="auto"/>
          </w:divBdr>
        </w:div>
        <w:div w:id="1335642241">
          <w:marLeft w:val="640"/>
          <w:marRight w:val="0"/>
          <w:marTop w:val="0"/>
          <w:marBottom w:val="0"/>
          <w:divBdr>
            <w:top w:val="none" w:sz="0" w:space="0" w:color="auto"/>
            <w:left w:val="none" w:sz="0" w:space="0" w:color="auto"/>
            <w:bottom w:val="none" w:sz="0" w:space="0" w:color="auto"/>
            <w:right w:val="none" w:sz="0" w:space="0" w:color="auto"/>
          </w:divBdr>
        </w:div>
        <w:div w:id="48307759">
          <w:marLeft w:val="640"/>
          <w:marRight w:val="0"/>
          <w:marTop w:val="0"/>
          <w:marBottom w:val="0"/>
          <w:divBdr>
            <w:top w:val="none" w:sz="0" w:space="0" w:color="auto"/>
            <w:left w:val="none" w:sz="0" w:space="0" w:color="auto"/>
            <w:bottom w:val="none" w:sz="0" w:space="0" w:color="auto"/>
            <w:right w:val="none" w:sz="0" w:space="0" w:color="auto"/>
          </w:divBdr>
        </w:div>
        <w:div w:id="910114578">
          <w:marLeft w:val="640"/>
          <w:marRight w:val="0"/>
          <w:marTop w:val="0"/>
          <w:marBottom w:val="0"/>
          <w:divBdr>
            <w:top w:val="none" w:sz="0" w:space="0" w:color="auto"/>
            <w:left w:val="none" w:sz="0" w:space="0" w:color="auto"/>
            <w:bottom w:val="none" w:sz="0" w:space="0" w:color="auto"/>
            <w:right w:val="none" w:sz="0" w:space="0" w:color="auto"/>
          </w:divBdr>
        </w:div>
        <w:div w:id="961307807">
          <w:marLeft w:val="640"/>
          <w:marRight w:val="0"/>
          <w:marTop w:val="0"/>
          <w:marBottom w:val="0"/>
          <w:divBdr>
            <w:top w:val="none" w:sz="0" w:space="0" w:color="auto"/>
            <w:left w:val="none" w:sz="0" w:space="0" w:color="auto"/>
            <w:bottom w:val="none" w:sz="0" w:space="0" w:color="auto"/>
            <w:right w:val="none" w:sz="0" w:space="0" w:color="auto"/>
          </w:divBdr>
        </w:div>
        <w:div w:id="140466670">
          <w:marLeft w:val="640"/>
          <w:marRight w:val="0"/>
          <w:marTop w:val="0"/>
          <w:marBottom w:val="0"/>
          <w:divBdr>
            <w:top w:val="none" w:sz="0" w:space="0" w:color="auto"/>
            <w:left w:val="none" w:sz="0" w:space="0" w:color="auto"/>
            <w:bottom w:val="none" w:sz="0" w:space="0" w:color="auto"/>
            <w:right w:val="none" w:sz="0" w:space="0" w:color="auto"/>
          </w:divBdr>
        </w:div>
        <w:div w:id="1377782082">
          <w:marLeft w:val="640"/>
          <w:marRight w:val="0"/>
          <w:marTop w:val="0"/>
          <w:marBottom w:val="0"/>
          <w:divBdr>
            <w:top w:val="none" w:sz="0" w:space="0" w:color="auto"/>
            <w:left w:val="none" w:sz="0" w:space="0" w:color="auto"/>
            <w:bottom w:val="none" w:sz="0" w:space="0" w:color="auto"/>
            <w:right w:val="none" w:sz="0" w:space="0" w:color="auto"/>
          </w:divBdr>
        </w:div>
        <w:div w:id="1596746271">
          <w:marLeft w:val="640"/>
          <w:marRight w:val="0"/>
          <w:marTop w:val="0"/>
          <w:marBottom w:val="0"/>
          <w:divBdr>
            <w:top w:val="none" w:sz="0" w:space="0" w:color="auto"/>
            <w:left w:val="none" w:sz="0" w:space="0" w:color="auto"/>
            <w:bottom w:val="none" w:sz="0" w:space="0" w:color="auto"/>
            <w:right w:val="none" w:sz="0" w:space="0" w:color="auto"/>
          </w:divBdr>
        </w:div>
        <w:div w:id="644235328">
          <w:marLeft w:val="640"/>
          <w:marRight w:val="0"/>
          <w:marTop w:val="0"/>
          <w:marBottom w:val="0"/>
          <w:divBdr>
            <w:top w:val="none" w:sz="0" w:space="0" w:color="auto"/>
            <w:left w:val="none" w:sz="0" w:space="0" w:color="auto"/>
            <w:bottom w:val="none" w:sz="0" w:space="0" w:color="auto"/>
            <w:right w:val="none" w:sz="0" w:space="0" w:color="auto"/>
          </w:divBdr>
        </w:div>
        <w:div w:id="1295718305">
          <w:marLeft w:val="640"/>
          <w:marRight w:val="0"/>
          <w:marTop w:val="0"/>
          <w:marBottom w:val="0"/>
          <w:divBdr>
            <w:top w:val="none" w:sz="0" w:space="0" w:color="auto"/>
            <w:left w:val="none" w:sz="0" w:space="0" w:color="auto"/>
            <w:bottom w:val="none" w:sz="0" w:space="0" w:color="auto"/>
            <w:right w:val="none" w:sz="0" w:space="0" w:color="auto"/>
          </w:divBdr>
        </w:div>
        <w:div w:id="2032880509">
          <w:marLeft w:val="640"/>
          <w:marRight w:val="0"/>
          <w:marTop w:val="0"/>
          <w:marBottom w:val="0"/>
          <w:divBdr>
            <w:top w:val="none" w:sz="0" w:space="0" w:color="auto"/>
            <w:left w:val="none" w:sz="0" w:space="0" w:color="auto"/>
            <w:bottom w:val="none" w:sz="0" w:space="0" w:color="auto"/>
            <w:right w:val="none" w:sz="0" w:space="0" w:color="auto"/>
          </w:divBdr>
        </w:div>
        <w:div w:id="1307932136">
          <w:marLeft w:val="640"/>
          <w:marRight w:val="0"/>
          <w:marTop w:val="0"/>
          <w:marBottom w:val="0"/>
          <w:divBdr>
            <w:top w:val="none" w:sz="0" w:space="0" w:color="auto"/>
            <w:left w:val="none" w:sz="0" w:space="0" w:color="auto"/>
            <w:bottom w:val="none" w:sz="0" w:space="0" w:color="auto"/>
            <w:right w:val="none" w:sz="0" w:space="0" w:color="auto"/>
          </w:divBdr>
        </w:div>
        <w:div w:id="916937965">
          <w:marLeft w:val="640"/>
          <w:marRight w:val="0"/>
          <w:marTop w:val="0"/>
          <w:marBottom w:val="0"/>
          <w:divBdr>
            <w:top w:val="none" w:sz="0" w:space="0" w:color="auto"/>
            <w:left w:val="none" w:sz="0" w:space="0" w:color="auto"/>
            <w:bottom w:val="none" w:sz="0" w:space="0" w:color="auto"/>
            <w:right w:val="none" w:sz="0" w:space="0" w:color="auto"/>
          </w:divBdr>
        </w:div>
        <w:div w:id="546794164">
          <w:marLeft w:val="640"/>
          <w:marRight w:val="0"/>
          <w:marTop w:val="0"/>
          <w:marBottom w:val="0"/>
          <w:divBdr>
            <w:top w:val="none" w:sz="0" w:space="0" w:color="auto"/>
            <w:left w:val="none" w:sz="0" w:space="0" w:color="auto"/>
            <w:bottom w:val="none" w:sz="0" w:space="0" w:color="auto"/>
            <w:right w:val="none" w:sz="0" w:space="0" w:color="auto"/>
          </w:divBdr>
        </w:div>
        <w:div w:id="1238633162">
          <w:marLeft w:val="640"/>
          <w:marRight w:val="0"/>
          <w:marTop w:val="0"/>
          <w:marBottom w:val="0"/>
          <w:divBdr>
            <w:top w:val="none" w:sz="0" w:space="0" w:color="auto"/>
            <w:left w:val="none" w:sz="0" w:space="0" w:color="auto"/>
            <w:bottom w:val="none" w:sz="0" w:space="0" w:color="auto"/>
            <w:right w:val="none" w:sz="0" w:space="0" w:color="auto"/>
          </w:divBdr>
        </w:div>
        <w:div w:id="243296286">
          <w:marLeft w:val="640"/>
          <w:marRight w:val="0"/>
          <w:marTop w:val="0"/>
          <w:marBottom w:val="0"/>
          <w:divBdr>
            <w:top w:val="none" w:sz="0" w:space="0" w:color="auto"/>
            <w:left w:val="none" w:sz="0" w:space="0" w:color="auto"/>
            <w:bottom w:val="none" w:sz="0" w:space="0" w:color="auto"/>
            <w:right w:val="none" w:sz="0" w:space="0" w:color="auto"/>
          </w:divBdr>
        </w:div>
        <w:div w:id="1464811307">
          <w:marLeft w:val="640"/>
          <w:marRight w:val="0"/>
          <w:marTop w:val="0"/>
          <w:marBottom w:val="0"/>
          <w:divBdr>
            <w:top w:val="none" w:sz="0" w:space="0" w:color="auto"/>
            <w:left w:val="none" w:sz="0" w:space="0" w:color="auto"/>
            <w:bottom w:val="none" w:sz="0" w:space="0" w:color="auto"/>
            <w:right w:val="none" w:sz="0" w:space="0" w:color="auto"/>
          </w:divBdr>
        </w:div>
        <w:div w:id="587159989">
          <w:marLeft w:val="640"/>
          <w:marRight w:val="0"/>
          <w:marTop w:val="0"/>
          <w:marBottom w:val="0"/>
          <w:divBdr>
            <w:top w:val="none" w:sz="0" w:space="0" w:color="auto"/>
            <w:left w:val="none" w:sz="0" w:space="0" w:color="auto"/>
            <w:bottom w:val="none" w:sz="0" w:space="0" w:color="auto"/>
            <w:right w:val="none" w:sz="0" w:space="0" w:color="auto"/>
          </w:divBdr>
        </w:div>
        <w:div w:id="559051892">
          <w:marLeft w:val="640"/>
          <w:marRight w:val="0"/>
          <w:marTop w:val="0"/>
          <w:marBottom w:val="0"/>
          <w:divBdr>
            <w:top w:val="none" w:sz="0" w:space="0" w:color="auto"/>
            <w:left w:val="none" w:sz="0" w:space="0" w:color="auto"/>
            <w:bottom w:val="none" w:sz="0" w:space="0" w:color="auto"/>
            <w:right w:val="none" w:sz="0" w:space="0" w:color="auto"/>
          </w:divBdr>
        </w:div>
        <w:div w:id="894894282">
          <w:marLeft w:val="640"/>
          <w:marRight w:val="0"/>
          <w:marTop w:val="0"/>
          <w:marBottom w:val="0"/>
          <w:divBdr>
            <w:top w:val="none" w:sz="0" w:space="0" w:color="auto"/>
            <w:left w:val="none" w:sz="0" w:space="0" w:color="auto"/>
            <w:bottom w:val="none" w:sz="0" w:space="0" w:color="auto"/>
            <w:right w:val="none" w:sz="0" w:space="0" w:color="auto"/>
          </w:divBdr>
        </w:div>
        <w:div w:id="1227297316">
          <w:marLeft w:val="640"/>
          <w:marRight w:val="0"/>
          <w:marTop w:val="0"/>
          <w:marBottom w:val="0"/>
          <w:divBdr>
            <w:top w:val="none" w:sz="0" w:space="0" w:color="auto"/>
            <w:left w:val="none" w:sz="0" w:space="0" w:color="auto"/>
            <w:bottom w:val="none" w:sz="0" w:space="0" w:color="auto"/>
            <w:right w:val="none" w:sz="0" w:space="0" w:color="auto"/>
          </w:divBdr>
        </w:div>
        <w:div w:id="968899875">
          <w:marLeft w:val="640"/>
          <w:marRight w:val="0"/>
          <w:marTop w:val="0"/>
          <w:marBottom w:val="0"/>
          <w:divBdr>
            <w:top w:val="none" w:sz="0" w:space="0" w:color="auto"/>
            <w:left w:val="none" w:sz="0" w:space="0" w:color="auto"/>
            <w:bottom w:val="none" w:sz="0" w:space="0" w:color="auto"/>
            <w:right w:val="none" w:sz="0" w:space="0" w:color="auto"/>
          </w:divBdr>
        </w:div>
        <w:div w:id="2002584136">
          <w:marLeft w:val="640"/>
          <w:marRight w:val="0"/>
          <w:marTop w:val="0"/>
          <w:marBottom w:val="0"/>
          <w:divBdr>
            <w:top w:val="none" w:sz="0" w:space="0" w:color="auto"/>
            <w:left w:val="none" w:sz="0" w:space="0" w:color="auto"/>
            <w:bottom w:val="none" w:sz="0" w:space="0" w:color="auto"/>
            <w:right w:val="none" w:sz="0" w:space="0" w:color="auto"/>
          </w:divBdr>
        </w:div>
        <w:div w:id="1181241925">
          <w:marLeft w:val="640"/>
          <w:marRight w:val="0"/>
          <w:marTop w:val="0"/>
          <w:marBottom w:val="0"/>
          <w:divBdr>
            <w:top w:val="none" w:sz="0" w:space="0" w:color="auto"/>
            <w:left w:val="none" w:sz="0" w:space="0" w:color="auto"/>
            <w:bottom w:val="none" w:sz="0" w:space="0" w:color="auto"/>
            <w:right w:val="none" w:sz="0" w:space="0" w:color="auto"/>
          </w:divBdr>
        </w:div>
        <w:div w:id="207650203">
          <w:marLeft w:val="640"/>
          <w:marRight w:val="0"/>
          <w:marTop w:val="0"/>
          <w:marBottom w:val="0"/>
          <w:divBdr>
            <w:top w:val="none" w:sz="0" w:space="0" w:color="auto"/>
            <w:left w:val="none" w:sz="0" w:space="0" w:color="auto"/>
            <w:bottom w:val="none" w:sz="0" w:space="0" w:color="auto"/>
            <w:right w:val="none" w:sz="0" w:space="0" w:color="auto"/>
          </w:divBdr>
        </w:div>
        <w:div w:id="130483385">
          <w:marLeft w:val="640"/>
          <w:marRight w:val="0"/>
          <w:marTop w:val="0"/>
          <w:marBottom w:val="0"/>
          <w:divBdr>
            <w:top w:val="none" w:sz="0" w:space="0" w:color="auto"/>
            <w:left w:val="none" w:sz="0" w:space="0" w:color="auto"/>
            <w:bottom w:val="none" w:sz="0" w:space="0" w:color="auto"/>
            <w:right w:val="none" w:sz="0" w:space="0" w:color="auto"/>
          </w:divBdr>
        </w:div>
        <w:div w:id="738593658">
          <w:marLeft w:val="640"/>
          <w:marRight w:val="0"/>
          <w:marTop w:val="0"/>
          <w:marBottom w:val="0"/>
          <w:divBdr>
            <w:top w:val="none" w:sz="0" w:space="0" w:color="auto"/>
            <w:left w:val="none" w:sz="0" w:space="0" w:color="auto"/>
            <w:bottom w:val="none" w:sz="0" w:space="0" w:color="auto"/>
            <w:right w:val="none" w:sz="0" w:space="0" w:color="auto"/>
          </w:divBdr>
        </w:div>
        <w:div w:id="905066207">
          <w:marLeft w:val="640"/>
          <w:marRight w:val="0"/>
          <w:marTop w:val="0"/>
          <w:marBottom w:val="0"/>
          <w:divBdr>
            <w:top w:val="none" w:sz="0" w:space="0" w:color="auto"/>
            <w:left w:val="none" w:sz="0" w:space="0" w:color="auto"/>
            <w:bottom w:val="none" w:sz="0" w:space="0" w:color="auto"/>
            <w:right w:val="none" w:sz="0" w:space="0" w:color="auto"/>
          </w:divBdr>
        </w:div>
        <w:div w:id="1109007015">
          <w:marLeft w:val="640"/>
          <w:marRight w:val="0"/>
          <w:marTop w:val="0"/>
          <w:marBottom w:val="0"/>
          <w:divBdr>
            <w:top w:val="none" w:sz="0" w:space="0" w:color="auto"/>
            <w:left w:val="none" w:sz="0" w:space="0" w:color="auto"/>
            <w:bottom w:val="none" w:sz="0" w:space="0" w:color="auto"/>
            <w:right w:val="none" w:sz="0" w:space="0" w:color="auto"/>
          </w:divBdr>
        </w:div>
        <w:div w:id="679357161">
          <w:marLeft w:val="640"/>
          <w:marRight w:val="0"/>
          <w:marTop w:val="0"/>
          <w:marBottom w:val="0"/>
          <w:divBdr>
            <w:top w:val="none" w:sz="0" w:space="0" w:color="auto"/>
            <w:left w:val="none" w:sz="0" w:space="0" w:color="auto"/>
            <w:bottom w:val="none" w:sz="0" w:space="0" w:color="auto"/>
            <w:right w:val="none" w:sz="0" w:space="0" w:color="auto"/>
          </w:divBdr>
        </w:div>
        <w:div w:id="77794462">
          <w:marLeft w:val="640"/>
          <w:marRight w:val="0"/>
          <w:marTop w:val="0"/>
          <w:marBottom w:val="0"/>
          <w:divBdr>
            <w:top w:val="none" w:sz="0" w:space="0" w:color="auto"/>
            <w:left w:val="none" w:sz="0" w:space="0" w:color="auto"/>
            <w:bottom w:val="none" w:sz="0" w:space="0" w:color="auto"/>
            <w:right w:val="none" w:sz="0" w:space="0" w:color="auto"/>
          </w:divBdr>
        </w:div>
        <w:div w:id="1740901682">
          <w:marLeft w:val="640"/>
          <w:marRight w:val="0"/>
          <w:marTop w:val="0"/>
          <w:marBottom w:val="0"/>
          <w:divBdr>
            <w:top w:val="none" w:sz="0" w:space="0" w:color="auto"/>
            <w:left w:val="none" w:sz="0" w:space="0" w:color="auto"/>
            <w:bottom w:val="none" w:sz="0" w:space="0" w:color="auto"/>
            <w:right w:val="none" w:sz="0" w:space="0" w:color="auto"/>
          </w:divBdr>
        </w:div>
        <w:div w:id="630554556">
          <w:marLeft w:val="640"/>
          <w:marRight w:val="0"/>
          <w:marTop w:val="0"/>
          <w:marBottom w:val="0"/>
          <w:divBdr>
            <w:top w:val="none" w:sz="0" w:space="0" w:color="auto"/>
            <w:left w:val="none" w:sz="0" w:space="0" w:color="auto"/>
            <w:bottom w:val="none" w:sz="0" w:space="0" w:color="auto"/>
            <w:right w:val="none" w:sz="0" w:space="0" w:color="auto"/>
          </w:divBdr>
        </w:div>
        <w:div w:id="723524252">
          <w:marLeft w:val="640"/>
          <w:marRight w:val="0"/>
          <w:marTop w:val="0"/>
          <w:marBottom w:val="0"/>
          <w:divBdr>
            <w:top w:val="none" w:sz="0" w:space="0" w:color="auto"/>
            <w:left w:val="none" w:sz="0" w:space="0" w:color="auto"/>
            <w:bottom w:val="none" w:sz="0" w:space="0" w:color="auto"/>
            <w:right w:val="none" w:sz="0" w:space="0" w:color="auto"/>
          </w:divBdr>
        </w:div>
        <w:div w:id="77605252">
          <w:marLeft w:val="640"/>
          <w:marRight w:val="0"/>
          <w:marTop w:val="0"/>
          <w:marBottom w:val="0"/>
          <w:divBdr>
            <w:top w:val="none" w:sz="0" w:space="0" w:color="auto"/>
            <w:left w:val="none" w:sz="0" w:space="0" w:color="auto"/>
            <w:bottom w:val="none" w:sz="0" w:space="0" w:color="auto"/>
            <w:right w:val="none" w:sz="0" w:space="0" w:color="auto"/>
          </w:divBdr>
        </w:div>
        <w:div w:id="69231333">
          <w:marLeft w:val="640"/>
          <w:marRight w:val="0"/>
          <w:marTop w:val="0"/>
          <w:marBottom w:val="0"/>
          <w:divBdr>
            <w:top w:val="none" w:sz="0" w:space="0" w:color="auto"/>
            <w:left w:val="none" w:sz="0" w:space="0" w:color="auto"/>
            <w:bottom w:val="none" w:sz="0" w:space="0" w:color="auto"/>
            <w:right w:val="none" w:sz="0" w:space="0" w:color="auto"/>
          </w:divBdr>
        </w:div>
        <w:div w:id="1216769738">
          <w:marLeft w:val="640"/>
          <w:marRight w:val="0"/>
          <w:marTop w:val="0"/>
          <w:marBottom w:val="0"/>
          <w:divBdr>
            <w:top w:val="none" w:sz="0" w:space="0" w:color="auto"/>
            <w:left w:val="none" w:sz="0" w:space="0" w:color="auto"/>
            <w:bottom w:val="none" w:sz="0" w:space="0" w:color="auto"/>
            <w:right w:val="none" w:sz="0" w:space="0" w:color="auto"/>
          </w:divBdr>
        </w:div>
        <w:div w:id="322903082">
          <w:marLeft w:val="640"/>
          <w:marRight w:val="0"/>
          <w:marTop w:val="0"/>
          <w:marBottom w:val="0"/>
          <w:divBdr>
            <w:top w:val="none" w:sz="0" w:space="0" w:color="auto"/>
            <w:left w:val="none" w:sz="0" w:space="0" w:color="auto"/>
            <w:bottom w:val="none" w:sz="0" w:space="0" w:color="auto"/>
            <w:right w:val="none" w:sz="0" w:space="0" w:color="auto"/>
          </w:divBdr>
        </w:div>
        <w:div w:id="746651972">
          <w:marLeft w:val="640"/>
          <w:marRight w:val="0"/>
          <w:marTop w:val="0"/>
          <w:marBottom w:val="0"/>
          <w:divBdr>
            <w:top w:val="none" w:sz="0" w:space="0" w:color="auto"/>
            <w:left w:val="none" w:sz="0" w:space="0" w:color="auto"/>
            <w:bottom w:val="none" w:sz="0" w:space="0" w:color="auto"/>
            <w:right w:val="none" w:sz="0" w:space="0" w:color="auto"/>
          </w:divBdr>
        </w:div>
        <w:div w:id="1683775175">
          <w:marLeft w:val="640"/>
          <w:marRight w:val="0"/>
          <w:marTop w:val="0"/>
          <w:marBottom w:val="0"/>
          <w:divBdr>
            <w:top w:val="none" w:sz="0" w:space="0" w:color="auto"/>
            <w:left w:val="none" w:sz="0" w:space="0" w:color="auto"/>
            <w:bottom w:val="none" w:sz="0" w:space="0" w:color="auto"/>
            <w:right w:val="none" w:sz="0" w:space="0" w:color="auto"/>
          </w:divBdr>
        </w:div>
        <w:div w:id="1750229203">
          <w:marLeft w:val="640"/>
          <w:marRight w:val="0"/>
          <w:marTop w:val="0"/>
          <w:marBottom w:val="0"/>
          <w:divBdr>
            <w:top w:val="none" w:sz="0" w:space="0" w:color="auto"/>
            <w:left w:val="none" w:sz="0" w:space="0" w:color="auto"/>
            <w:bottom w:val="none" w:sz="0" w:space="0" w:color="auto"/>
            <w:right w:val="none" w:sz="0" w:space="0" w:color="auto"/>
          </w:divBdr>
        </w:div>
        <w:div w:id="1909414042">
          <w:marLeft w:val="640"/>
          <w:marRight w:val="0"/>
          <w:marTop w:val="0"/>
          <w:marBottom w:val="0"/>
          <w:divBdr>
            <w:top w:val="none" w:sz="0" w:space="0" w:color="auto"/>
            <w:left w:val="none" w:sz="0" w:space="0" w:color="auto"/>
            <w:bottom w:val="none" w:sz="0" w:space="0" w:color="auto"/>
            <w:right w:val="none" w:sz="0" w:space="0" w:color="auto"/>
          </w:divBdr>
        </w:div>
        <w:div w:id="907880807">
          <w:marLeft w:val="640"/>
          <w:marRight w:val="0"/>
          <w:marTop w:val="0"/>
          <w:marBottom w:val="0"/>
          <w:divBdr>
            <w:top w:val="none" w:sz="0" w:space="0" w:color="auto"/>
            <w:left w:val="none" w:sz="0" w:space="0" w:color="auto"/>
            <w:bottom w:val="none" w:sz="0" w:space="0" w:color="auto"/>
            <w:right w:val="none" w:sz="0" w:space="0" w:color="auto"/>
          </w:divBdr>
        </w:div>
        <w:div w:id="281113424">
          <w:marLeft w:val="640"/>
          <w:marRight w:val="0"/>
          <w:marTop w:val="0"/>
          <w:marBottom w:val="0"/>
          <w:divBdr>
            <w:top w:val="none" w:sz="0" w:space="0" w:color="auto"/>
            <w:left w:val="none" w:sz="0" w:space="0" w:color="auto"/>
            <w:bottom w:val="none" w:sz="0" w:space="0" w:color="auto"/>
            <w:right w:val="none" w:sz="0" w:space="0" w:color="auto"/>
          </w:divBdr>
        </w:div>
        <w:div w:id="518008839">
          <w:marLeft w:val="640"/>
          <w:marRight w:val="0"/>
          <w:marTop w:val="0"/>
          <w:marBottom w:val="0"/>
          <w:divBdr>
            <w:top w:val="none" w:sz="0" w:space="0" w:color="auto"/>
            <w:left w:val="none" w:sz="0" w:space="0" w:color="auto"/>
            <w:bottom w:val="none" w:sz="0" w:space="0" w:color="auto"/>
            <w:right w:val="none" w:sz="0" w:space="0" w:color="auto"/>
          </w:divBdr>
        </w:div>
        <w:div w:id="1031686043">
          <w:marLeft w:val="640"/>
          <w:marRight w:val="0"/>
          <w:marTop w:val="0"/>
          <w:marBottom w:val="0"/>
          <w:divBdr>
            <w:top w:val="none" w:sz="0" w:space="0" w:color="auto"/>
            <w:left w:val="none" w:sz="0" w:space="0" w:color="auto"/>
            <w:bottom w:val="none" w:sz="0" w:space="0" w:color="auto"/>
            <w:right w:val="none" w:sz="0" w:space="0" w:color="auto"/>
          </w:divBdr>
        </w:div>
        <w:div w:id="1961956927">
          <w:marLeft w:val="640"/>
          <w:marRight w:val="0"/>
          <w:marTop w:val="0"/>
          <w:marBottom w:val="0"/>
          <w:divBdr>
            <w:top w:val="none" w:sz="0" w:space="0" w:color="auto"/>
            <w:left w:val="none" w:sz="0" w:space="0" w:color="auto"/>
            <w:bottom w:val="none" w:sz="0" w:space="0" w:color="auto"/>
            <w:right w:val="none" w:sz="0" w:space="0" w:color="auto"/>
          </w:divBdr>
        </w:div>
        <w:div w:id="2024210761">
          <w:marLeft w:val="640"/>
          <w:marRight w:val="0"/>
          <w:marTop w:val="0"/>
          <w:marBottom w:val="0"/>
          <w:divBdr>
            <w:top w:val="none" w:sz="0" w:space="0" w:color="auto"/>
            <w:left w:val="none" w:sz="0" w:space="0" w:color="auto"/>
            <w:bottom w:val="none" w:sz="0" w:space="0" w:color="auto"/>
            <w:right w:val="none" w:sz="0" w:space="0" w:color="auto"/>
          </w:divBdr>
        </w:div>
        <w:div w:id="804393709">
          <w:marLeft w:val="640"/>
          <w:marRight w:val="0"/>
          <w:marTop w:val="0"/>
          <w:marBottom w:val="0"/>
          <w:divBdr>
            <w:top w:val="none" w:sz="0" w:space="0" w:color="auto"/>
            <w:left w:val="none" w:sz="0" w:space="0" w:color="auto"/>
            <w:bottom w:val="none" w:sz="0" w:space="0" w:color="auto"/>
            <w:right w:val="none" w:sz="0" w:space="0" w:color="auto"/>
          </w:divBdr>
        </w:div>
        <w:div w:id="1094016962">
          <w:marLeft w:val="640"/>
          <w:marRight w:val="0"/>
          <w:marTop w:val="0"/>
          <w:marBottom w:val="0"/>
          <w:divBdr>
            <w:top w:val="none" w:sz="0" w:space="0" w:color="auto"/>
            <w:left w:val="none" w:sz="0" w:space="0" w:color="auto"/>
            <w:bottom w:val="none" w:sz="0" w:space="0" w:color="auto"/>
            <w:right w:val="none" w:sz="0" w:space="0" w:color="auto"/>
          </w:divBdr>
        </w:div>
        <w:div w:id="502670567">
          <w:marLeft w:val="640"/>
          <w:marRight w:val="0"/>
          <w:marTop w:val="0"/>
          <w:marBottom w:val="0"/>
          <w:divBdr>
            <w:top w:val="none" w:sz="0" w:space="0" w:color="auto"/>
            <w:left w:val="none" w:sz="0" w:space="0" w:color="auto"/>
            <w:bottom w:val="none" w:sz="0" w:space="0" w:color="auto"/>
            <w:right w:val="none" w:sz="0" w:space="0" w:color="auto"/>
          </w:divBdr>
        </w:div>
        <w:div w:id="1897819143">
          <w:marLeft w:val="640"/>
          <w:marRight w:val="0"/>
          <w:marTop w:val="0"/>
          <w:marBottom w:val="0"/>
          <w:divBdr>
            <w:top w:val="none" w:sz="0" w:space="0" w:color="auto"/>
            <w:left w:val="none" w:sz="0" w:space="0" w:color="auto"/>
            <w:bottom w:val="none" w:sz="0" w:space="0" w:color="auto"/>
            <w:right w:val="none" w:sz="0" w:space="0" w:color="auto"/>
          </w:divBdr>
        </w:div>
        <w:div w:id="847401170">
          <w:marLeft w:val="640"/>
          <w:marRight w:val="0"/>
          <w:marTop w:val="0"/>
          <w:marBottom w:val="0"/>
          <w:divBdr>
            <w:top w:val="none" w:sz="0" w:space="0" w:color="auto"/>
            <w:left w:val="none" w:sz="0" w:space="0" w:color="auto"/>
            <w:bottom w:val="none" w:sz="0" w:space="0" w:color="auto"/>
            <w:right w:val="none" w:sz="0" w:space="0" w:color="auto"/>
          </w:divBdr>
        </w:div>
        <w:div w:id="1826126684">
          <w:marLeft w:val="640"/>
          <w:marRight w:val="0"/>
          <w:marTop w:val="0"/>
          <w:marBottom w:val="0"/>
          <w:divBdr>
            <w:top w:val="none" w:sz="0" w:space="0" w:color="auto"/>
            <w:left w:val="none" w:sz="0" w:space="0" w:color="auto"/>
            <w:bottom w:val="none" w:sz="0" w:space="0" w:color="auto"/>
            <w:right w:val="none" w:sz="0" w:space="0" w:color="auto"/>
          </w:divBdr>
        </w:div>
        <w:div w:id="227155946">
          <w:marLeft w:val="640"/>
          <w:marRight w:val="0"/>
          <w:marTop w:val="0"/>
          <w:marBottom w:val="0"/>
          <w:divBdr>
            <w:top w:val="none" w:sz="0" w:space="0" w:color="auto"/>
            <w:left w:val="none" w:sz="0" w:space="0" w:color="auto"/>
            <w:bottom w:val="none" w:sz="0" w:space="0" w:color="auto"/>
            <w:right w:val="none" w:sz="0" w:space="0" w:color="auto"/>
          </w:divBdr>
        </w:div>
        <w:div w:id="340014555">
          <w:marLeft w:val="640"/>
          <w:marRight w:val="0"/>
          <w:marTop w:val="0"/>
          <w:marBottom w:val="0"/>
          <w:divBdr>
            <w:top w:val="none" w:sz="0" w:space="0" w:color="auto"/>
            <w:left w:val="none" w:sz="0" w:space="0" w:color="auto"/>
            <w:bottom w:val="none" w:sz="0" w:space="0" w:color="auto"/>
            <w:right w:val="none" w:sz="0" w:space="0" w:color="auto"/>
          </w:divBdr>
        </w:div>
        <w:div w:id="836574829">
          <w:marLeft w:val="640"/>
          <w:marRight w:val="0"/>
          <w:marTop w:val="0"/>
          <w:marBottom w:val="0"/>
          <w:divBdr>
            <w:top w:val="none" w:sz="0" w:space="0" w:color="auto"/>
            <w:left w:val="none" w:sz="0" w:space="0" w:color="auto"/>
            <w:bottom w:val="none" w:sz="0" w:space="0" w:color="auto"/>
            <w:right w:val="none" w:sz="0" w:space="0" w:color="auto"/>
          </w:divBdr>
        </w:div>
        <w:div w:id="1431781571">
          <w:marLeft w:val="640"/>
          <w:marRight w:val="0"/>
          <w:marTop w:val="0"/>
          <w:marBottom w:val="0"/>
          <w:divBdr>
            <w:top w:val="none" w:sz="0" w:space="0" w:color="auto"/>
            <w:left w:val="none" w:sz="0" w:space="0" w:color="auto"/>
            <w:bottom w:val="none" w:sz="0" w:space="0" w:color="auto"/>
            <w:right w:val="none" w:sz="0" w:space="0" w:color="auto"/>
          </w:divBdr>
        </w:div>
        <w:div w:id="1667972900">
          <w:marLeft w:val="640"/>
          <w:marRight w:val="0"/>
          <w:marTop w:val="0"/>
          <w:marBottom w:val="0"/>
          <w:divBdr>
            <w:top w:val="none" w:sz="0" w:space="0" w:color="auto"/>
            <w:left w:val="none" w:sz="0" w:space="0" w:color="auto"/>
            <w:bottom w:val="none" w:sz="0" w:space="0" w:color="auto"/>
            <w:right w:val="none" w:sz="0" w:space="0" w:color="auto"/>
          </w:divBdr>
        </w:div>
        <w:div w:id="1190140899">
          <w:marLeft w:val="640"/>
          <w:marRight w:val="0"/>
          <w:marTop w:val="0"/>
          <w:marBottom w:val="0"/>
          <w:divBdr>
            <w:top w:val="none" w:sz="0" w:space="0" w:color="auto"/>
            <w:left w:val="none" w:sz="0" w:space="0" w:color="auto"/>
            <w:bottom w:val="none" w:sz="0" w:space="0" w:color="auto"/>
            <w:right w:val="none" w:sz="0" w:space="0" w:color="auto"/>
          </w:divBdr>
        </w:div>
        <w:div w:id="1818302178">
          <w:marLeft w:val="640"/>
          <w:marRight w:val="0"/>
          <w:marTop w:val="0"/>
          <w:marBottom w:val="0"/>
          <w:divBdr>
            <w:top w:val="none" w:sz="0" w:space="0" w:color="auto"/>
            <w:left w:val="none" w:sz="0" w:space="0" w:color="auto"/>
            <w:bottom w:val="none" w:sz="0" w:space="0" w:color="auto"/>
            <w:right w:val="none" w:sz="0" w:space="0" w:color="auto"/>
          </w:divBdr>
        </w:div>
        <w:div w:id="1984498984">
          <w:marLeft w:val="640"/>
          <w:marRight w:val="0"/>
          <w:marTop w:val="0"/>
          <w:marBottom w:val="0"/>
          <w:divBdr>
            <w:top w:val="none" w:sz="0" w:space="0" w:color="auto"/>
            <w:left w:val="none" w:sz="0" w:space="0" w:color="auto"/>
            <w:bottom w:val="none" w:sz="0" w:space="0" w:color="auto"/>
            <w:right w:val="none" w:sz="0" w:space="0" w:color="auto"/>
          </w:divBdr>
        </w:div>
        <w:div w:id="1882133548">
          <w:marLeft w:val="640"/>
          <w:marRight w:val="0"/>
          <w:marTop w:val="0"/>
          <w:marBottom w:val="0"/>
          <w:divBdr>
            <w:top w:val="none" w:sz="0" w:space="0" w:color="auto"/>
            <w:left w:val="none" w:sz="0" w:space="0" w:color="auto"/>
            <w:bottom w:val="none" w:sz="0" w:space="0" w:color="auto"/>
            <w:right w:val="none" w:sz="0" w:space="0" w:color="auto"/>
          </w:divBdr>
        </w:div>
        <w:div w:id="1800294045">
          <w:marLeft w:val="640"/>
          <w:marRight w:val="0"/>
          <w:marTop w:val="0"/>
          <w:marBottom w:val="0"/>
          <w:divBdr>
            <w:top w:val="none" w:sz="0" w:space="0" w:color="auto"/>
            <w:left w:val="none" w:sz="0" w:space="0" w:color="auto"/>
            <w:bottom w:val="none" w:sz="0" w:space="0" w:color="auto"/>
            <w:right w:val="none" w:sz="0" w:space="0" w:color="auto"/>
          </w:divBdr>
        </w:div>
        <w:div w:id="334039192">
          <w:marLeft w:val="640"/>
          <w:marRight w:val="0"/>
          <w:marTop w:val="0"/>
          <w:marBottom w:val="0"/>
          <w:divBdr>
            <w:top w:val="none" w:sz="0" w:space="0" w:color="auto"/>
            <w:left w:val="none" w:sz="0" w:space="0" w:color="auto"/>
            <w:bottom w:val="none" w:sz="0" w:space="0" w:color="auto"/>
            <w:right w:val="none" w:sz="0" w:space="0" w:color="auto"/>
          </w:divBdr>
        </w:div>
        <w:div w:id="1735154875">
          <w:marLeft w:val="640"/>
          <w:marRight w:val="0"/>
          <w:marTop w:val="0"/>
          <w:marBottom w:val="0"/>
          <w:divBdr>
            <w:top w:val="none" w:sz="0" w:space="0" w:color="auto"/>
            <w:left w:val="none" w:sz="0" w:space="0" w:color="auto"/>
            <w:bottom w:val="none" w:sz="0" w:space="0" w:color="auto"/>
            <w:right w:val="none" w:sz="0" w:space="0" w:color="auto"/>
          </w:divBdr>
        </w:div>
        <w:div w:id="1036731964">
          <w:marLeft w:val="640"/>
          <w:marRight w:val="0"/>
          <w:marTop w:val="0"/>
          <w:marBottom w:val="0"/>
          <w:divBdr>
            <w:top w:val="none" w:sz="0" w:space="0" w:color="auto"/>
            <w:left w:val="none" w:sz="0" w:space="0" w:color="auto"/>
            <w:bottom w:val="none" w:sz="0" w:space="0" w:color="auto"/>
            <w:right w:val="none" w:sz="0" w:space="0" w:color="auto"/>
          </w:divBdr>
        </w:div>
        <w:div w:id="1908494918">
          <w:marLeft w:val="640"/>
          <w:marRight w:val="0"/>
          <w:marTop w:val="0"/>
          <w:marBottom w:val="0"/>
          <w:divBdr>
            <w:top w:val="none" w:sz="0" w:space="0" w:color="auto"/>
            <w:left w:val="none" w:sz="0" w:space="0" w:color="auto"/>
            <w:bottom w:val="none" w:sz="0" w:space="0" w:color="auto"/>
            <w:right w:val="none" w:sz="0" w:space="0" w:color="auto"/>
          </w:divBdr>
        </w:div>
        <w:div w:id="964849738">
          <w:marLeft w:val="640"/>
          <w:marRight w:val="0"/>
          <w:marTop w:val="0"/>
          <w:marBottom w:val="0"/>
          <w:divBdr>
            <w:top w:val="none" w:sz="0" w:space="0" w:color="auto"/>
            <w:left w:val="none" w:sz="0" w:space="0" w:color="auto"/>
            <w:bottom w:val="none" w:sz="0" w:space="0" w:color="auto"/>
            <w:right w:val="none" w:sz="0" w:space="0" w:color="auto"/>
          </w:divBdr>
        </w:div>
        <w:div w:id="1868103895">
          <w:marLeft w:val="640"/>
          <w:marRight w:val="0"/>
          <w:marTop w:val="0"/>
          <w:marBottom w:val="0"/>
          <w:divBdr>
            <w:top w:val="none" w:sz="0" w:space="0" w:color="auto"/>
            <w:left w:val="none" w:sz="0" w:space="0" w:color="auto"/>
            <w:bottom w:val="none" w:sz="0" w:space="0" w:color="auto"/>
            <w:right w:val="none" w:sz="0" w:space="0" w:color="auto"/>
          </w:divBdr>
        </w:div>
        <w:div w:id="90859510">
          <w:marLeft w:val="640"/>
          <w:marRight w:val="0"/>
          <w:marTop w:val="0"/>
          <w:marBottom w:val="0"/>
          <w:divBdr>
            <w:top w:val="none" w:sz="0" w:space="0" w:color="auto"/>
            <w:left w:val="none" w:sz="0" w:space="0" w:color="auto"/>
            <w:bottom w:val="none" w:sz="0" w:space="0" w:color="auto"/>
            <w:right w:val="none" w:sz="0" w:space="0" w:color="auto"/>
          </w:divBdr>
        </w:div>
        <w:div w:id="1370228742">
          <w:marLeft w:val="640"/>
          <w:marRight w:val="0"/>
          <w:marTop w:val="0"/>
          <w:marBottom w:val="0"/>
          <w:divBdr>
            <w:top w:val="none" w:sz="0" w:space="0" w:color="auto"/>
            <w:left w:val="none" w:sz="0" w:space="0" w:color="auto"/>
            <w:bottom w:val="none" w:sz="0" w:space="0" w:color="auto"/>
            <w:right w:val="none" w:sz="0" w:space="0" w:color="auto"/>
          </w:divBdr>
        </w:div>
        <w:div w:id="1752314753">
          <w:marLeft w:val="640"/>
          <w:marRight w:val="0"/>
          <w:marTop w:val="0"/>
          <w:marBottom w:val="0"/>
          <w:divBdr>
            <w:top w:val="none" w:sz="0" w:space="0" w:color="auto"/>
            <w:left w:val="none" w:sz="0" w:space="0" w:color="auto"/>
            <w:bottom w:val="none" w:sz="0" w:space="0" w:color="auto"/>
            <w:right w:val="none" w:sz="0" w:space="0" w:color="auto"/>
          </w:divBdr>
        </w:div>
        <w:div w:id="1934242714">
          <w:marLeft w:val="640"/>
          <w:marRight w:val="0"/>
          <w:marTop w:val="0"/>
          <w:marBottom w:val="0"/>
          <w:divBdr>
            <w:top w:val="none" w:sz="0" w:space="0" w:color="auto"/>
            <w:left w:val="none" w:sz="0" w:space="0" w:color="auto"/>
            <w:bottom w:val="none" w:sz="0" w:space="0" w:color="auto"/>
            <w:right w:val="none" w:sz="0" w:space="0" w:color="auto"/>
          </w:divBdr>
        </w:div>
        <w:div w:id="1216774129">
          <w:marLeft w:val="640"/>
          <w:marRight w:val="0"/>
          <w:marTop w:val="0"/>
          <w:marBottom w:val="0"/>
          <w:divBdr>
            <w:top w:val="none" w:sz="0" w:space="0" w:color="auto"/>
            <w:left w:val="none" w:sz="0" w:space="0" w:color="auto"/>
            <w:bottom w:val="none" w:sz="0" w:space="0" w:color="auto"/>
            <w:right w:val="none" w:sz="0" w:space="0" w:color="auto"/>
          </w:divBdr>
        </w:div>
        <w:div w:id="533005745">
          <w:marLeft w:val="640"/>
          <w:marRight w:val="0"/>
          <w:marTop w:val="0"/>
          <w:marBottom w:val="0"/>
          <w:divBdr>
            <w:top w:val="none" w:sz="0" w:space="0" w:color="auto"/>
            <w:left w:val="none" w:sz="0" w:space="0" w:color="auto"/>
            <w:bottom w:val="none" w:sz="0" w:space="0" w:color="auto"/>
            <w:right w:val="none" w:sz="0" w:space="0" w:color="auto"/>
          </w:divBdr>
        </w:div>
        <w:div w:id="1259026777">
          <w:marLeft w:val="640"/>
          <w:marRight w:val="0"/>
          <w:marTop w:val="0"/>
          <w:marBottom w:val="0"/>
          <w:divBdr>
            <w:top w:val="none" w:sz="0" w:space="0" w:color="auto"/>
            <w:left w:val="none" w:sz="0" w:space="0" w:color="auto"/>
            <w:bottom w:val="none" w:sz="0" w:space="0" w:color="auto"/>
            <w:right w:val="none" w:sz="0" w:space="0" w:color="auto"/>
          </w:divBdr>
        </w:div>
        <w:div w:id="269052679">
          <w:marLeft w:val="640"/>
          <w:marRight w:val="0"/>
          <w:marTop w:val="0"/>
          <w:marBottom w:val="0"/>
          <w:divBdr>
            <w:top w:val="none" w:sz="0" w:space="0" w:color="auto"/>
            <w:left w:val="none" w:sz="0" w:space="0" w:color="auto"/>
            <w:bottom w:val="none" w:sz="0" w:space="0" w:color="auto"/>
            <w:right w:val="none" w:sz="0" w:space="0" w:color="auto"/>
          </w:divBdr>
        </w:div>
        <w:div w:id="158423272">
          <w:marLeft w:val="640"/>
          <w:marRight w:val="0"/>
          <w:marTop w:val="0"/>
          <w:marBottom w:val="0"/>
          <w:divBdr>
            <w:top w:val="none" w:sz="0" w:space="0" w:color="auto"/>
            <w:left w:val="none" w:sz="0" w:space="0" w:color="auto"/>
            <w:bottom w:val="none" w:sz="0" w:space="0" w:color="auto"/>
            <w:right w:val="none" w:sz="0" w:space="0" w:color="auto"/>
          </w:divBdr>
        </w:div>
        <w:div w:id="1099447333">
          <w:marLeft w:val="640"/>
          <w:marRight w:val="0"/>
          <w:marTop w:val="0"/>
          <w:marBottom w:val="0"/>
          <w:divBdr>
            <w:top w:val="none" w:sz="0" w:space="0" w:color="auto"/>
            <w:left w:val="none" w:sz="0" w:space="0" w:color="auto"/>
            <w:bottom w:val="none" w:sz="0" w:space="0" w:color="auto"/>
            <w:right w:val="none" w:sz="0" w:space="0" w:color="auto"/>
          </w:divBdr>
        </w:div>
        <w:div w:id="671687023">
          <w:marLeft w:val="640"/>
          <w:marRight w:val="0"/>
          <w:marTop w:val="0"/>
          <w:marBottom w:val="0"/>
          <w:divBdr>
            <w:top w:val="none" w:sz="0" w:space="0" w:color="auto"/>
            <w:left w:val="none" w:sz="0" w:space="0" w:color="auto"/>
            <w:bottom w:val="none" w:sz="0" w:space="0" w:color="auto"/>
            <w:right w:val="none" w:sz="0" w:space="0" w:color="auto"/>
          </w:divBdr>
        </w:div>
        <w:div w:id="324667074">
          <w:marLeft w:val="640"/>
          <w:marRight w:val="0"/>
          <w:marTop w:val="0"/>
          <w:marBottom w:val="0"/>
          <w:divBdr>
            <w:top w:val="none" w:sz="0" w:space="0" w:color="auto"/>
            <w:left w:val="none" w:sz="0" w:space="0" w:color="auto"/>
            <w:bottom w:val="none" w:sz="0" w:space="0" w:color="auto"/>
            <w:right w:val="none" w:sz="0" w:space="0" w:color="auto"/>
          </w:divBdr>
        </w:div>
        <w:div w:id="1519853736">
          <w:marLeft w:val="640"/>
          <w:marRight w:val="0"/>
          <w:marTop w:val="0"/>
          <w:marBottom w:val="0"/>
          <w:divBdr>
            <w:top w:val="none" w:sz="0" w:space="0" w:color="auto"/>
            <w:left w:val="none" w:sz="0" w:space="0" w:color="auto"/>
            <w:bottom w:val="none" w:sz="0" w:space="0" w:color="auto"/>
            <w:right w:val="none" w:sz="0" w:space="0" w:color="auto"/>
          </w:divBdr>
        </w:div>
        <w:div w:id="630474034">
          <w:marLeft w:val="640"/>
          <w:marRight w:val="0"/>
          <w:marTop w:val="0"/>
          <w:marBottom w:val="0"/>
          <w:divBdr>
            <w:top w:val="none" w:sz="0" w:space="0" w:color="auto"/>
            <w:left w:val="none" w:sz="0" w:space="0" w:color="auto"/>
            <w:bottom w:val="none" w:sz="0" w:space="0" w:color="auto"/>
            <w:right w:val="none" w:sz="0" w:space="0" w:color="auto"/>
          </w:divBdr>
        </w:div>
        <w:div w:id="1215198395">
          <w:marLeft w:val="640"/>
          <w:marRight w:val="0"/>
          <w:marTop w:val="0"/>
          <w:marBottom w:val="0"/>
          <w:divBdr>
            <w:top w:val="none" w:sz="0" w:space="0" w:color="auto"/>
            <w:left w:val="none" w:sz="0" w:space="0" w:color="auto"/>
            <w:bottom w:val="none" w:sz="0" w:space="0" w:color="auto"/>
            <w:right w:val="none" w:sz="0" w:space="0" w:color="auto"/>
          </w:divBdr>
        </w:div>
        <w:div w:id="1489902065">
          <w:marLeft w:val="640"/>
          <w:marRight w:val="0"/>
          <w:marTop w:val="0"/>
          <w:marBottom w:val="0"/>
          <w:divBdr>
            <w:top w:val="none" w:sz="0" w:space="0" w:color="auto"/>
            <w:left w:val="none" w:sz="0" w:space="0" w:color="auto"/>
            <w:bottom w:val="none" w:sz="0" w:space="0" w:color="auto"/>
            <w:right w:val="none" w:sz="0" w:space="0" w:color="auto"/>
          </w:divBdr>
        </w:div>
        <w:div w:id="1169444648">
          <w:marLeft w:val="640"/>
          <w:marRight w:val="0"/>
          <w:marTop w:val="0"/>
          <w:marBottom w:val="0"/>
          <w:divBdr>
            <w:top w:val="none" w:sz="0" w:space="0" w:color="auto"/>
            <w:left w:val="none" w:sz="0" w:space="0" w:color="auto"/>
            <w:bottom w:val="none" w:sz="0" w:space="0" w:color="auto"/>
            <w:right w:val="none" w:sz="0" w:space="0" w:color="auto"/>
          </w:divBdr>
        </w:div>
        <w:div w:id="1041511653">
          <w:marLeft w:val="640"/>
          <w:marRight w:val="0"/>
          <w:marTop w:val="0"/>
          <w:marBottom w:val="0"/>
          <w:divBdr>
            <w:top w:val="none" w:sz="0" w:space="0" w:color="auto"/>
            <w:left w:val="none" w:sz="0" w:space="0" w:color="auto"/>
            <w:bottom w:val="none" w:sz="0" w:space="0" w:color="auto"/>
            <w:right w:val="none" w:sz="0" w:space="0" w:color="auto"/>
          </w:divBdr>
        </w:div>
        <w:div w:id="2002078734">
          <w:marLeft w:val="640"/>
          <w:marRight w:val="0"/>
          <w:marTop w:val="0"/>
          <w:marBottom w:val="0"/>
          <w:divBdr>
            <w:top w:val="none" w:sz="0" w:space="0" w:color="auto"/>
            <w:left w:val="none" w:sz="0" w:space="0" w:color="auto"/>
            <w:bottom w:val="none" w:sz="0" w:space="0" w:color="auto"/>
            <w:right w:val="none" w:sz="0" w:space="0" w:color="auto"/>
          </w:divBdr>
        </w:div>
        <w:div w:id="71322249">
          <w:marLeft w:val="640"/>
          <w:marRight w:val="0"/>
          <w:marTop w:val="0"/>
          <w:marBottom w:val="0"/>
          <w:divBdr>
            <w:top w:val="none" w:sz="0" w:space="0" w:color="auto"/>
            <w:left w:val="none" w:sz="0" w:space="0" w:color="auto"/>
            <w:bottom w:val="none" w:sz="0" w:space="0" w:color="auto"/>
            <w:right w:val="none" w:sz="0" w:space="0" w:color="auto"/>
          </w:divBdr>
        </w:div>
        <w:div w:id="1395079464">
          <w:marLeft w:val="640"/>
          <w:marRight w:val="0"/>
          <w:marTop w:val="0"/>
          <w:marBottom w:val="0"/>
          <w:divBdr>
            <w:top w:val="none" w:sz="0" w:space="0" w:color="auto"/>
            <w:left w:val="none" w:sz="0" w:space="0" w:color="auto"/>
            <w:bottom w:val="none" w:sz="0" w:space="0" w:color="auto"/>
            <w:right w:val="none" w:sz="0" w:space="0" w:color="auto"/>
          </w:divBdr>
        </w:div>
        <w:div w:id="1420637694">
          <w:marLeft w:val="640"/>
          <w:marRight w:val="0"/>
          <w:marTop w:val="0"/>
          <w:marBottom w:val="0"/>
          <w:divBdr>
            <w:top w:val="none" w:sz="0" w:space="0" w:color="auto"/>
            <w:left w:val="none" w:sz="0" w:space="0" w:color="auto"/>
            <w:bottom w:val="none" w:sz="0" w:space="0" w:color="auto"/>
            <w:right w:val="none" w:sz="0" w:space="0" w:color="auto"/>
          </w:divBdr>
        </w:div>
        <w:div w:id="656033731">
          <w:marLeft w:val="640"/>
          <w:marRight w:val="0"/>
          <w:marTop w:val="0"/>
          <w:marBottom w:val="0"/>
          <w:divBdr>
            <w:top w:val="none" w:sz="0" w:space="0" w:color="auto"/>
            <w:left w:val="none" w:sz="0" w:space="0" w:color="auto"/>
            <w:bottom w:val="none" w:sz="0" w:space="0" w:color="auto"/>
            <w:right w:val="none" w:sz="0" w:space="0" w:color="auto"/>
          </w:divBdr>
        </w:div>
        <w:div w:id="758212470">
          <w:marLeft w:val="640"/>
          <w:marRight w:val="0"/>
          <w:marTop w:val="0"/>
          <w:marBottom w:val="0"/>
          <w:divBdr>
            <w:top w:val="none" w:sz="0" w:space="0" w:color="auto"/>
            <w:left w:val="none" w:sz="0" w:space="0" w:color="auto"/>
            <w:bottom w:val="none" w:sz="0" w:space="0" w:color="auto"/>
            <w:right w:val="none" w:sz="0" w:space="0" w:color="auto"/>
          </w:divBdr>
        </w:div>
        <w:div w:id="591940014">
          <w:marLeft w:val="640"/>
          <w:marRight w:val="0"/>
          <w:marTop w:val="0"/>
          <w:marBottom w:val="0"/>
          <w:divBdr>
            <w:top w:val="none" w:sz="0" w:space="0" w:color="auto"/>
            <w:left w:val="none" w:sz="0" w:space="0" w:color="auto"/>
            <w:bottom w:val="none" w:sz="0" w:space="0" w:color="auto"/>
            <w:right w:val="none" w:sz="0" w:space="0" w:color="auto"/>
          </w:divBdr>
        </w:div>
        <w:div w:id="1554270559">
          <w:marLeft w:val="640"/>
          <w:marRight w:val="0"/>
          <w:marTop w:val="0"/>
          <w:marBottom w:val="0"/>
          <w:divBdr>
            <w:top w:val="none" w:sz="0" w:space="0" w:color="auto"/>
            <w:left w:val="none" w:sz="0" w:space="0" w:color="auto"/>
            <w:bottom w:val="none" w:sz="0" w:space="0" w:color="auto"/>
            <w:right w:val="none" w:sz="0" w:space="0" w:color="auto"/>
          </w:divBdr>
        </w:div>
        <w:div w:id="358629333">
          <w:marLeft w:val="640"/>
          <w:marRight w:val="0"/>
          <w:marTop w:val="0"/>
          <w:marBottom w:val="0"/>
          <w:divBdr>
            <w:top w:val="none" w:sz="0" w:space="0" w:color="auto"/>
            <w:left w:val="none" w:sz="0" w:space="0" w:color="auto"/>
            <w:bottom w:val="none" w:sz="0" w:space="0" w:color="auto"/>
            <w:right w:val="none" w:sz="0" w:space="0" w:color="auto"/>
          </w:divBdr>
        </w:div>
        <w:div w:id="385371167">
          <w:marLeft w:val="640"/>
          <w:marRight w:val="0"/>
          <w:marTop w:val="0"/>
          <w:marBottom w:val="0"/>
          <w:divBdr>
            <w:top w:val="none" w:sz="0" w:space="0" w:color="auto"/>
            <w:left w:val="none" w:sz="0" w:space="0" w:color="auto"/>
            <w:bottom w:val="none" w:sz="0" w:space="0" w:color="auto"/>
            <w:right w:val="none" w:sz="0" w:space="0" w:color="auto"/>
          </w:divBdr>
        </w:div>
        <w:div w:id="628363710">
          <w:marLeft w:val="640"/>
          <w:marRight w:val="0"/>
          <w:marTop w:val="0"/>
          <w:marBottom w:val="0"/>
          <w:divBdr>
            <w:top w:val="none" w:sz="0" w:space="0" w:color="auto"/>
            <w:left w:val="none" w:sz="0" w:space="0" w:color="auto"/>
            <w:bottom w:val="none" w:sz="0" w:space="0" w:color="auto"/>
            <w:right w:val="none" w:sz="0" w:space="0" w:color="auto"/>
          </w:divBdr>
        </w:div>
        <w:div w:id="1298030111">
          <w:marLeft w:val="640"/>
          <w:marRight w:val="0"/>
          <w:marTop w:val="0"/>
          <w:marBottom w:val="0"/>
          <w:divBdr>
            <w:top w:val="none" w:sz="0" w:space="0" w:color="auto"/>
            <w:left w:val="none" w:sz="0" w:space="0" w:color="auto"/>
            <w:bottom w:val="none" w:sz="0" w:space="0" w:color="auto"/>
            <w:right w:val="none" w:sz="0" w:space="0" w:color="auto"/>
          </w:divBdr>
        </w:div>
        <w:div w:id="467167246">
          <w:marLeft w:val="640"/>
          <w:marRight w:val="0"/>
          <w:marTop w:val="0"/>
          <w:marBottom w:val="0"/>
          <w:divBdr>
            <w:top w:val="none" w:sz="0" w:space="0" w:color="auto"/>
            <w:left w:val="none" w:sz="0" w:space="0" w:color="auto"/>
            <w:bottom w:val="none" w:sz="0" w:space="0" w:color="auto"/>
            <w:right w:val="none" w:sz="0" w:space="0" w:color="auto"/>
          </w:divBdr>
        </w:div>
        <w:div w:id="141118558">
          <w:marLeft w:val="640"/>
          <w:marRight w:val="0"/>
          <w:marTop w:val="0"/>
          <w:marBottom w:val="0"/>
          <w:divBdr>
            <w:top w:val="none" w:sz="0" w:space="0" w:color="auto"/>
            <w:left w:val="none" w:sz="0" w:space="0" w:color="auto"/>
            <w:bottom w:val="none" w:sz="0" w:space="0" w:color="auto"/>
            <w:right w:val="none" w:sz="0" w:space="0" w:color="auto"/>
          </w:divBdr>
        </w:div>
        <w:div w:id="471220543">
          <w:marLeft w:val="640"/>
          <w:marRight w:val="0"/>
          <w:marTop w:val="0"/>
          <w:marBottom w:val="0"/>
          <w:divBdr>
            <w:top w:val="none" w:sz="0" w:space="0" w:color="auto"/>
            <w:left w:val="none" w:sz="0" w:space="0" w:color="auto"/>
            <w:bottom w:val="none" w:sz="0" w:space="0" w:color="auto"/>
            <w:right w:val="none" w:sz="0" w:space="0" w:color="auto"/>
          </w:divBdr>
        </w:div>
        <w:div w:id="143014000">
          <w:marLeft w:val="640"/>
          <w:marRight w:val="0"/>
          <w:marTop w:val="0"/>
          <w:marBottom w:val="0"/>
          <w:divBdr>
            <w:top w:val="none" w:sz="0" w:space="0" w:color="auto"/>
            <w:left w:val="none" w:sz="0" w:space="0" w:color="auto"/>
            <w:bottom w:val="none" w:sz="0" w:space="0" w:color="auto"/>
            <w:right w:val="none" w:sz="0" w:space="0" w:color="auto"/>
          </w:divBdr>
        </w:div>
        <w:div w:id="2127187942">
          <w:marLeft w:val="640"/>
          <w:marRight w:val="0"/>
          <w:marTop w:val="0"/>
          <w:marBottom w:val="0"/>
          <w:divBdr>
            <w:top w:val="none" w:sz="0" w:space="0" w:color="auto"/>
            <w:left w:val="none" w:sz="0" w:space="0" w:color="auto"/>
            <w:bottom w:val="none" w:sz="0" w:space="0" w:color="auto"/>
            <w:right w:val="none" w:sz="0" w:space="0" w:color="auto"/>
          </w:divBdr>
        </w:div>
        <w:div w:id="2138912371">
          <w:marLeft w:val="640"/>
          <w:marRight w:val="0"/>
          <w:marTop w:val="0"/>
          <w:marBottom w:val="0"/>
          <w:divBdr>
            <w:top w:val="none" w:sz="0" w:space="0" w:color="auto"/>
            <w:left w:val="none" w:sz="0" w:space="0" w:color="auto"/>
            <w:bottom w:val="none" w:sz="0" w:space="0" w:color="auto"/>
            <w:right w:val="none" w:sz="0" w:space="0" w:color="auto"/>
          </w:divBdr>
        </w:div>
        <w:div w:id="551815269">
          <w:marLeft w:val="640"/>
          <w:marRight w:val="0"/>
          <w:marTop w:val="0"/>
          <w:marBottom w:val="0"/>
          <w:divBdr>
            <w:top w:val="none" w:sz="0" w:space="0" w:color="auto"/>
            <w:left w:val="none" w:sz="0" w:space="0" w:color="auto"/>
            <w:bottom w:val="none" w:sz="0" w:space="0" w:color="auto"/>
            <w:right w:val="none" w:sz="0" w:space="0" w:color="auto"/>
          </w:divBdr>
        </w:div>
        <w:div w:id="725185813">
          <w:marLeft w:val="640"/>
          <w:marRight w:val="0"/>
          <w:marTop w:val="0"/>
          <w:marBottom w:val="0"/>
          <w:divBdr>
            <w:top w:val="none" w:sz="0" w:space="0" w:color="auto"/>
            <w:left w:val="none" w:sz="0" w:space="0" w:color="auto"/>
            <w:bottom w:val="none" w:sz="0" w:space="0" w:color="auto"/>
            <w:right w:val="none" w:sz="0" w:space="0" w:color="auto"/>
          </w:divBdr>
        </w:div>
        <w:div w:id="1962346279">
          <w:marLeft w:val="640"/>
          <w:marRight w:val="0"/>
          <w:marTop w:val="0"/>
          <w:marBottom w:val="0"/>
          <w:divBdr>
            <w:top w:val="none" w:sz="0" w:space="0" w:color="auto"/>
            <w:left w:val="none" w:sz="0" w:space="0" w:color="auto"/>
            <w:bottom w:val="none" w:sz="0" w:space="0" w:color="auto"/>
            <w:right w:val="none" w:sz="0" w:space="0" w:color="auto"/>
          </w:divBdr>
        </w:div>
        <w:div w:id="1275863733">
          <w:marLeft w:val="640"/>
          <w:marRight w:val="0"/>
          <w:marTop w:val="0"/>
          <w:marBottom w:val="0"/>
          <w:divBdr>
            <w:top w:val="none" w:sz="0" w:space="0" w:color="auto"/>
            <w:left w:val="none" w:sz="0" w:space="0" w:color="auto"/>
            <w:bottom w:val="none" w:sz="0" w:space="0" w:color="auto"/>
            <w:right w:val="none" w:sz="0" w:space="0" w:color="auto"/>
          </w:divBdr>
        </w:div>
        <w:div w:id="675159369">
          <w:marLeft w:val="640"/>
          <w:marRight w:val="0"/>
          <w:marTop w:val="0"/>
          <w:marBottom w:val="0"/>
          <w:divBdr>
            <w:top w:val="none" w:sz="0" w:space="0" w:color="auto"/>
            <w:left w:val="none" w:sz="0" w:space="0" w:color="auto"/>
            <w:bottom w:val="none" w:sz="0" w:space="0" w:color="auto"/>
            <w:right w:val="none" w:sz="0" w:space="0" w:color="auto"/>
          </w:divBdr>
        </w:div>
        <w:div w:id="1333802051">
          <w:marLeft w:val="640"/>
          <w:marRight w:val="0"/>
          <w:marTop w:val="0"/>
          <w:marBottom w:val="0"/>
          <w:divBdr>
            <w:top w:val="none" w:sz="0" w:space="0" w:color="auto"/>
            <w:left w:val="none" w:sz="0" w:space="0" w:color="auto"/>
            <w:bottom w:val="none" w:sz="0" w:space="0" w:color="auto"/>
            <w:right w:val="none" w:sz="0" w:space="0" w:color="auto"/>
          </w:divBdr>
        </w:div>
        <w:div w:id="1368794385">
          <w:marLeft w:val="640"/>
          <w:marRight w:val="0"/>
          <w:marTop w:val="0"/>
          <w:marBottom w:val="0"/>
          <w:divBdr>
            <w:top w:val="none" w:sz="0" w:space="0" w:color="auto"/>
            <w:left w:val="none" w:sz="0" w:space="0" w:color="auto"/>
            <w:bottom w:val="none" w:sz="0" w:space="0" w:color="auto"/>
            <w:right w:val="none" w:sz="0" w:space="0" w:color="auto"/>
          </w:divBdr>
        </w:div>
        <w:div w:id="1177496557">
          <w:marLeft w:val="640"/>
          <w:marRight w:val="0"/>
          <w:marTop w:val="0"/>
          <w:marBottom w:val="0"/>
          <w:divBdr>
            <w:top w:val="none" w:sz="0" w:space="0" w:color="auto"/>
            <w:left w:val="none" w:sz="0" w:space="0" w:color="auto"/>
            <w:bottom w:val="none" w:sz="0" w:space="0" w:color="auto"/>
            <w:right w:val="none" w:sz="0" w:space="0" w:color="auto"/>
          </w:divBdr>
        </w:div>
        <w:div w:id="2110269053">
          <w:marLeft w:val="640"/>
          <w:marRight w:val="0"/>
          <w:marTop w:val="0"/>
          <w:marBottom w:val="0"/>
          <w:divBdr>
            <w:top w:val="none" w:sz="0" w:space="0" w:color="auto"/>
            <w:left w:val="none" w:sz="0" w:space="0" w:color="auto"/>
            <w:bottom w:val="none" w:sz="0" w:space="0" w:color="auto"/>
            <w:right w:val="none" w:sz="0" w:space="0" w:color="auto"/>
          </w:divBdr>
        </w:div>
        <w:div w:id="1788504287">
          <w:marLeft w:val="640"/>
          <w:marRight w:val="0"/>
          <w:marTop w:val="0"/>
          <w:marBottom w:val="0"/>
          <w:divBdr>
            <w:top w:val="none" w:sz="0" w:space="0" w:color="auto"/>
            <w:left w:val="none" w:sz="0" w:space="0" w:color="auto"/>
            <w:bottom w:val="none" w:sz="0" w:space="0" w:color="auto"/>
            <w:right w:val="none" w:sz="0" w:space="0" w:color="auto"/>
          </w:divBdr>
        </w:div>
        <w:div w:id="1679575271">
          <w:marLeft w:val="640"/>
          <w:marRight w:val="0"/>
          <w:marTop w:val="0"/>
          <w:marBottom w:val="0"/>
          <w:divBdr>
            <w:top w:val="none" w:sz="0" w:space="0" w:color="auto"/>
            <w:left w:val="none" w:sz="0" w:space="0" w:color="auto"/>
            <w:bottom w:val="none" w:sz="0" w:space="0" w:color="auto"/>
            <w:right w:val="none" w:sz="0" w:space="0" w:color="auto"/>
          </w:divBdr>
        </w:div>
        <w:div w:id="1712459588">
          <w:marLeft w:val="640"/>
          <w:marRight w:val="0"/>
          <w:marTop w:val="0"/>
          <w:marBottom w:val="0"/>
          <w:divBdr>
            <w:top w:val="none" w:sz="0" w:space="0" w:color="auto"/>
            <w:left w:val="none" w:sz="0" w:space="0" w:color="auto"/>
            <w:bottom w:val="none" w:sz="0" w:space="0" w:color="auto"/>
            <w:right w:val="none" w:sz="0" w:space="0" w:color="auto"/>
          </w:divBdr>
        </w:div>
        <w:div w:id="1237127171">
          <w:marLeft w:val="640"/>
          <w:marRight w:val="0"/>
          <w:marTop w:val="0"/>
          <w:marBottom w:val="0"/>
          <w:divBdr>
            <w:top w:val="none" w:sz="0" w:space="0" w:color="auto"/>
            <w:left w:val="none" w:sz="0" w:space="0" w:color="auto"/>
            <w:bottom w:val="none" w:sz="0" w:space="0" w:color="auto"/>
            <w:right w:val="none" w:sz="0" w:space="0" w:color="auto"/>
          </w:divBdr>
        </w:div>
        <w:div w:id="372923117">
          <w:marLeft w:val="640"/>
          <w:marRight w:val="0"/>
          <w:marTop w:val="0"/>
          <w:marBottom w:val="0"/>
          <w:divBdr>
            <w:top w:val="none" w:sz="0" w:space="0" w:color="auto"/>
            <w:left w:val="none" w:sz="0" w:space="0" w:color="auto"/>
            <w:bottom w:val="none" w:sz="0" w:space="0" w:color="auto"/>
            <w:right w:val="none" w:sz="0" w:space="0" w:color="auto"/>
          </w:divBdr>
        </w:div>
        <w:div w:id="1874270785">
          <w:marLeft w:val="640"/>
          <w:marRight w:val="0"/>
          <w:marTop w:val="0"/>
          <w:marBottom w:val="0"/>
          <w:divBdr>
            <w:top w:val="none" w:sz="0" w:space="0" w:color="auto"/>
            <w:left w:val="none" w:sz="0" w:space="0" w:color="auto"/>
            <w:bottom w:val="none" w:sz="0" w:space="0" w:color="auto"/>
            <w:right w:val="none" w:sz="0" w:space="0" w:color="auto"/>
          </w:divBdr>
        </w:div>
        <w:div w:id="2049989847">
          <w:marLeft w:val="640"/>
          <w:marRight w:val="0"/>
          <w:marTop w:val="0"/>
          <w:marBottom w:val="0"/>
          <w:divBdr>
            <w:top w:val="none" w:sz="0" w:space="0" w:color="auto"/>
            <w:left w:val="none" w:sz="0" w:space="0" w:color="auto"/>
            <w:bottom w:val="none" w:sz="0" w:space="0" w:color="auto"/>
            <w:right w:val="none" w:sz="0" w:space="0" w:color="auto"/>
          </w:divBdr>
        </w:div>
        <w:div w:id="1496217582">
          <w:marLeft w:val="640"/>
          <w:marRight w:val="0"/>
          <w:marTop w:val="0"/>
          <w:marBottom w:val="0"/>
          <w:divBdr>
            <w:top w:val="none" w:sz="0" w:space="0" w:color="auto"/>
            <w:left w:val="none" w:sz="0" w:space="0" w:color="auto"/>
            <w:bottom w:val="none" w:sz="0" w:space="0" w:color="auto"/>
            <w:right w:val="none" w:sz="0" w:space="0" w:color="auto"/>
          </w:divBdr>
        </w:div>
        <w:div w:id="339281221">
          <w:marLeft w:val="640"/>
          <w:marRight w:val="0"/>
          <w:marTop w:val="0"/>
          <w:marBottom w:val="0"/>
          <w:divBdr>
            <w:top w:val="none" w:sz="0" w:space="0" w:color="auto"/>
            <w:left w:val="none" w:sz="0" w:space="0" w:color="auto"/>
            <w:bottom w:val="none" w:sz="0" w:space="0" w:color="auto"/>
            <w:right w:val="none" w:sz="0" w:space="0" w:color="auto"/>
          </w:divBdr>
        </w:div>
        <w:div w:id="652175597">
          <w:marLeft w:val="640"/>
          <w:marRight w:val="0"/>
          <w:marTop w:val="0"/>
          <w:marBottom w:val="0"/>
          <w:divBdr>
            <w:top w:val="none" w:sz="0" w:space="0" w:color="auto"/>
            <w:left w:val="none" w:sz="0" w:space="0" w:color="auto"/>
            <w:bottom w:val="none" w:sz="0" w:space="0" w:color="auto"/>
            <w:right w:val="none" w:sz="0" w:space="0" w:color="auto"/>
          </w:divBdr>
        </w:div>
        <w:div w:id="1993756599">
          <w:marLeft w:val="640"/>
          <w:marRight w:val="0"/>
          <w:marTop w:val="0"/>
          <w:marBottom w:val="0"/>
          <w:divBdr>
            <w:top w:val="none" w:sz="0" w:space="0" w:color="auto"/>
            <w:left w:val="none" w:sz="0" w:space="0" w:color="auto"/>
            <w:bottom w:val="none" w:sz="0" w:space="0" w:color="auto"/>
            <w:right w:val="none" w:sz="0" w:space="0" w:color="auto"/>
          </w:divBdr>
        </w:div>
        <w:div w:id="360058003">
          <w:marLeft w:val="640"/>
          <w:marRight w:val="0"/>
          <w:marTop w:val="0"/>
          <w:marBottom w:val="0"/>
          <w:divBdr>
            <w:top w:val="none" w:sz="0" w:space="0" w:color="auto"/>
            <w:left w:val="none" w:sz="0" w:space="0" w:color="auto"/>
            <w:bottom w:val="none" w:sz="0" w:space="0" w:color="auto"/>
            <w:right w:val="none" w:sz="0" w:space="0" w:color="auto"/>
          </w:divBdr>
        </w:div>
        <w:div w:id="1240485950">
          <w:marLeft w:val="640"/>
          <w:marRight w:val="0"/>
          <w:marTop w:val="0"/>
          <w:marBottom w:val="0"/>
          <w:divBdr>
            <w:top w:val="none" w:sz="0" w:space="0" w:color="auto"/>
            <w:left w:val="none" w:sz="0" w:space="0" w:color="auto"/>
            <w:bottom w:val="none" w:sz="0" w:space="0" w:color="auto"/>
            <w:right w:val="none" w:sz="0" w:space="0" w:color="auto"/>
          </w:divBdr>
        </w:div>
        <w:div w:id="1466654272">
          <w:marLeft w:val="640"/>
          <w:marRight w:val="0"/>
          <w:marTop w:val="0"/>
          <w:marBottom w:val="0"/>
          <w:divBdr>
            <w:top w:val="none" w:sz="0" w:space="0" w:color="auto"/>
            <w:left w:val="none" w:sz="0" w:space="0" w:color="auto"/>
            <w:bottom w:val="none" w:sz="0" w:space="0" w:color="auto"/>
            <w:right w:val="none" w:sz="0" w:space="0" w:color="auto"/>
          </w:divBdr>
        </w:div>
        <w:div w:id="1484618138">
          <w:marLeft w:val="640"/>
          <w:marRight w:val="0"/>
          <w:marTop w:val="0"/>
          <w:marBottom w:val="0"/>
          <w:divBdr>
            <w:top w:val="none" w:sz="0" w:space="0" w:color="auto"/>
            <w:left w:val="none" w:sz="0" w:space="0" w:color="auto"/>
            <w:bottom w:val="none" w:sz="0" w:space="0" w:color="auto"/>
            <w:right w:val="none" w:sz="0" w:space="0" w:color="auto"/>
          </w:divBdr>
        </w:div>
        <w:div w:id="1875265040">
          <w:marLeft w:val="640"/>
          <w:marRight w:val="0"/>
          <w:marTop w:val="0"/>
          <w:marBottom w:val="0"/>
          <w:divBdr>
            <w:top w:val="none" w:sz="0" w:space="0" w:color="auto"/>
            <w:left w:val="none" w:sz="0" w:space="0" w:color="auto"/>
            <w:bottom w:val="none" w:sz="0" w:space="0" w:color="auto"/>
            <w:right w:val="none" w:sz="0" w:space="0" w:color="auto"/>
          </w:divBdr>
        </w:div>
        <w:div w:id="398670501">
          <w:marLeft w:val="640"/>
          <w:marRight w:val="0"/>
          <w:marTop w:val="0"/>
          <w:marBottom w:val="0"/>
          <w:divBdr>
            <w:top w:val="none" w:sz="0" w:space="0" w:color="auto"/>
            <w:left w:val="none" w:sz="0" w:space="0" w:color="auto"/>
            <w:bottom w:val="none" w:sz="0" w:space="0" w:color="auto"/>
            <w:right w:val="none" w:sz="0" w:space="0" w:color="auto"/>
          </w:divBdr>
        </w:div>
        <w:div w:id="175386521">
          <w:marLeft w:val="640"/>
          <w:marRight w:val="0"/>
          <w:marTop w:val="0"/>
          <w:marBottom w:val="0"/>
          <w:divBdr>
            <w:top w:val="none" w:sz="0" w:space="0" w:color="auto"/>
            <w:left w:val="none" w:sz="0" w:space="0" w:color="auto"/>
            <w:bottom w:val="none" w:sz="0" w:space="0" w:color="auto"/>
            <w:right w:val="none" w:sz="0" w:space="0" w:color="auto"/>
          </w:divBdr>
        </w:div>
        <w:div w:id="1694990165">
          <w:marLeft w:val="640"/>
          <w:marRight w:val="0"/>
          <w:marTop w:val="0"/>
          <w:marBottom w:val="0"/>
          <w:divBdr>
            <w:top w:val="none" w:sz="0" w:space="0" w:color="auto"/>
            <w:left w:val="none" w:sz="0" w:space="0" w:color="auto"/>
            <w:bottom w:val="none" w:sz="0" w:space="0" w:color="auto"/>
            <w:right w:val="none" w:sz="0" w:space="0" w:color="auto"/>
          </w:divBdr>
        </w:div>
        <w:div w:id="1358583758">
          <w:marLeft w:val="640"/>
          <w:marRight w:val="0"/>
          <w:marTop w:val="0"/>
          <w:marBottom w:val="0"/>
          <w:divBdr>
            <w:top w:val="none" w:sz="0" w:space="0" w:color="auto"/>
            <w:left w:val="none" w:sz="0" w:space="0" w:color="auto"/>
            <w:bottom w:val="none" w:sz="0" w:space="0" w:color="auto"/>
            <w:right w:val="none" w:sz="0" w:space="0" w:color="auto"/>
          </w:divBdr>
        </w:div>
        <w:div w:id="1421296527">
          <w:marLeft w:val="640"/>
          <w:marRight w:val="0"/>
          <w:marTop w:val="0"/>
          <w:marBottom w:val="0"/>
          <w:divBdr>
            <w:top w:val="none" w:sz="0" w:space="0" w:color="auto"/>
            <w:left w:val="none" w:sz="0" w:space="0" w:color="auto"/>
            <w:bottom w:val="none" w:sz="0" w:space="0" w:color="auto"/>
            <w:right w:val="none" w:sz="0" w:space="0" w:color="auto"/>
          </w:divBdr>
        </w:div>
        <w:div w:id="2000577735">
          <w:marLeft w:val="640"/>
          <w:marRight w:val="0"/>
          <w:marTop w:val="0"/>
          <w:marBottom w:val="0"/>
          <w:divBdr>
            <w:top w:val="none" w:sz="0" w:space="0" w:color="auto"/>
            <w:left w:val="none" w:sz="0" w:space="0" w:color="auto"/>
            <w:bottom w:val="none" w:sz="0" w:space="0" w:color="auto"/>
            <w:right w:val="none" w:sz="0" w:space="0" w:color="auto"/>
          </w:divBdr>
        </w:div>
        <w:div w:id="985858292">
          <w:marLeft w:val="640"/>
          <w:marRight w:val="0"/>
          <w:marTop w:val="0"/>
          <w:marBottom w:val="0"/>
          <w:divBdr>
            <w:top w:val="none" w:sz="0" w:space="0" w:color="auto"/>
            <w:left w:val="none" w:sz="0" w:space="0" w:color="auto"/>
            <w:bottom w:val="none" w:sz="0" w:space="0" w:color="auto"/>
            <w:right w:val="none" w:sz="0" w:space="0" w:color="auto"/>
          </w:divBdr>
        </w:div>
        <w:div w:id="978802321">
          <w:marLeft w:val="640"/>
          <w:marRight w:val="0"/>
          <w:marTop w:val="0"/>
          <w:marBottom w:val="0"/>
          <w:divBdr>
            <w:top w:val="none" w:sz="0" w:space="0" w:color="auto"/>
            <w:left w:val="none" w:sz="0" w:space="0" w:color="auto"/>
            <w:bottom w:val="none" w:sz="0" w:space="0" w:color="auto"/>
            <w:right w:val="none" w:sz="0" w:space="0" w:color="auto"/>
          </w:divBdr>
        </w:div>
        <w:div w:id="236062131">
          <w:marLeft w:val="640"/>
          <w:marRight w:val="0"/>
          <w:marTop w:val="0"/>
          <w:marBottom w:val="0"/>
          <w:divBdr>
            <w:top w:val="none" w:sz="0" w:space="0" w:color="auto"/>
            <w:left w:val="none" w:sz="0" w:space="0" w:color="auto"/>
            <w:bottom w:val="none" w:sz="0" w:space="0" w:color="auto"/>
            <w:right w:val="none" w:sz="0" w:space="0" w:color="auto"/>
          </w:divBdr>
        </w:div>
        <w:div w:id="1854874652">
          <w:marLeft w:val="640"/>
          <w:marRight w:val="0"/>
          <w:marTop w:val="0"/>
          <w:marBottom w:val="0"/>
          <w:divBdr>
            <w:top w:val="none" w:sz="0" w:space="0" w:color="auto"/>
            <w:left w:val="none" w:sz="0" w:space="0" w:color="auto"/>
            <w:bottom w:val="none" w:sz="0" w:space="0" w:color="auto"/>
            <w:right w:val="none" w:sz="0" w:space="0" w:color="auto"/>
          </w:divBdr>
        </w:div>
        <w:div w:id="427820656">
          <w:marLeft w:val="640"/>
          <w:marRight w:val="0"/>
          <w:marTop w:val="0"/>
          <w:marBottom w:val="0"/>
          <w:divBdr>
            <w:top w:val="none" w:sz="0" w:space="0" w:color="auto"/>
            <w:left w:val="none" w:sz="0" w:space="0" w:color="auto"/>
            <w:bottom w:val="none" w:sz="0" w:space="0" w:color="auto"/>
            <w:right w:val="none" w:sz="0" w:space="0" w:color="auto"/>
          </w:divBdr>
        </w:div>
        <w:div w:id="1553925098">
          <w:marLeft w:val="640"/>
          <w:marRight w:val="0"/>
          <w:marTop w:val="0"/>
          <w:marBottom w:val="0"/>
          <w:divBdr>
            <w:top w:val="none" w:sz="0" w:space="0" w:color="auto"/>
            <w:left w:val="none" w:sz="0" w:space="0" w:color="auto"/>
            <w:bottom w:val="none" w:sz="0" w:space="0" w:color="auto"/>
            <w:right w:val="none" w:sz="0" w:space="0" w:color="auto"/>
          </w:divBdr>
        </w:div>
        <w:div w:id="620645350">
          <w:marLeft w:val="640"/>
          <w:marRight w:val="0"/>
          <w:marTop w:val="0"/>
          <w:marBottom w:val="0"/>
          <w:divBdr>
            <w:top w:val="none" w:sz="0" w:space="0" w:color="auto"/>
            <w:left w:val="none" w:sz="0" w:space="0" w:color="auto"/>
            <w:bottom w:val="none" w:sz="0" w:space="0" w:color="auto"/>
            <w:right w:val="none" w:sz="0" w:space="0" w:color="auto"/>
          </w:divBdr>
        </w:div>
        <w:div w:id="1798572231">
          <w:marLeft w:val="640"/>
          <w:marRight w:val="0"/>
          <w:marTop w:val="0"/>
          <w:marBottom w:val="0"/>
          <w:divBdr>
            <w:top w:val="none" w:sz="0" w:space="0" w:color="auto"/>
            <w:left w:val="none" w:sz="0" w:space="0" w:color="auto"/>
            <w:bottom w:val="none" w:sz="0" w:space="0" w:color="auto"/>
            <w:right w:val="none" w:sz="0" w:space="0" w:color="auto"/>
          </w:divBdr>
        </w:div>
        <w:div w:id="2013953051">
          <w:marLeft w:val="640"/>
          <w:marRight w:val="0"/>
          <w:marTop w:val="0"/>
          <w:marBottom w:val="0"/>
          <w:divBdr>
            <w:top w:val="none" w:sz="0" w:space="0" w:color="auto"/>
            <w:left w:val="none" w:sz="0" w:space="0" w:color="auto"/>
            <w:bottom w:val="none" w:sz="0" w:space="0" w:color="auto"/>
            <w:right w:val="none" w:sz="0" w:space="0" w:color="auto"/>
          </w:divBdr>
        </w:div>
        <w:div w:id="109784204">
          <w:marLeft w:val="640"/>
          <w:marRight w:val="0"/>
          <w:marTop w:val="0"/>
          <w:marBottom w:val="0"/>
          <w:divBdr>
            <w:top w:val="none" w:sz="0" w:space="0" w:color="auto"/>
            <w:left w:val="none" w:sz="0" w:space="0" w:color="auto"/>
            <w:bottom w:val="none" w:sz="0" w:space="0" w:color="auto"/>
            <w:right w:val="none" w:sz="0" w:space="0" w:color="auto"/>
          </w:divBdr>
        </w:div>
        <w:div w:id="1179924324">
          <w:marLeft w:val="640"/>
          <w:marRight w:val="0"/>
          <w:marTop w:val="0"/>
          <w:marBottom w:val="0"/>
          <w:divBdr>
            <w:top w:val="none" w:sz="0" w:space="0" w:color="auto"/>
            <w:left w:val="none" w:sz="0" w:space="0" w:color="auto"/>
            <w:bottom w:val="none" w:sz="0" w:space="0" w:color="auto"/>
            <w:right w:val="none" w:sz="0" w:space="0" w:color="auto"/>
          </w:divBdr>
        </w:div>
        <w:div w:id="590429578">
          <w:marLeft w:val="640"/>
          <w:marRight w:val="0"/>
          <w:marTop w:val="0"/>
          <w:marBottom w:val="0"/>
          <w:divBdr>
            <w:top w:val="none" w:sz="0" w:space="0" w:color="auto"/>
            <w:left w:val="none" w:sz="0" w:space="0" w:color="auto"/>
            <w:bottom w:val="none" w:sz="0" w:space="0" w:color="auto"/>
            <w:right w:val="none" w:sz="0" w:space="0" w:color="auto"/>
          </w:divBdr>
        </w:div>
      </w:divsChild>
    </w:div>
    <w:div w:id="1769621513">
      <w:bodyDiv w:val="1"/>
      <w:marLeft w:val="0"/>
      <w:marRight w:val="0"/>
      <w:marTop w:val="0"/>
      <w:marBottom w:val="0"/>
      <w:divBdr>
        <w:top w:val="none" w:sz="0" w:space="0" w:color="auto"/>
        <w:left w:val="none" w:sz="0" w:space="0" w:color="auto"/>
        <w:bottom w:val="none" w:sz="0" w:space="0" w:color="auto"/>
        <w:right w:val="none" w:sz="0" w:space="0" w:color="auto"/>
      </w:divBdr>
      <w:divsChild>
        <w:div w:id="181282914">
          <w:marLeft w:val="640"/>
          <w:marRight w:val="0"/>
          <w:marTop w:val="0"/>
          <w:marBottom w:val="0"/>
          <w:divBdr>
            <w:top w:val="none" w:sz="0" w:space="0" w:color="auto"/>
            <w:left w:val="none" w:sz="0" w:space="0" w:color="auto"/>
            <w:bottom w:val="none" w:sz="0" w:space="0" w:color="auto"/>
            <w:right w:val="none" w:sz="0" w:space="0" w:color="auto"/>
          </w:divBdr>
        </w:div>
        <w:div w:id="795834293">
          <w:marLeft w:val="640"/>
          <w:marRight w:val="0"/>
          <w:marTop w:val="0"/>
          <w:marBottom w:val="0"/>
          <w:divBdr>
            <w:top w:val="none" w:sz="0" w:space="0" w:color="auto"/>
            <w:left w:val="none" w:sz="0" w:space="0" w:color="auto"/>
            <w:bottom w:val="none" w:sz="0" w:space="0" w:color="auto"/>
            <w:right w:val="none" w:sz="0" w:space="0" w:color="auto"/>
          </w:divBdr>
        </w:div>
        <w:div w:id="1487087289">
          <w:marLeft w:val="640"/>
          <w:marRight w:val="0"/>
          <w:marTop w:val="0"/>
          <w:marBottom w:val="0"/>
          <w:divBdr>
            <w:top w:val="none" w:sz="0" w:space="0" w:color="auto"/>
            <w:left w:val="none" w:sz="0" w:space="0" w:color="auto"/>
            <w:bottom w:val="none" w:sz="0" w:space="0" w:color="auto"/>
            <w:right w:val="none" w:sz="0" w:space="0" w:color="auto"/>
          </w:divBdr>
        </w:div>
        <w:div w:id="805240865">
          <w:marLeft w:val="640"/>
          <w:marRight w:val="0"/>
          <w:marTop w:val="0"/>
          <w:marBottom w:val="0"/>
          <w:divBdr>
            <w:top w:val="none" w:sz="0" w:space="0" w:color="auto"/>
            <w:left w:val="none" w:sz="0" w:space="0" w:color="auto"/>
            <w:bottom w:val="none" w:sz="0" w:space="0" w:color="auto"/>
            <w:right w:val="none" w:sz="0" w:space="0" w:color="auto"/>
          </w:divBdr>
        </w:div>
        <w:div w:id="1626691688">
          <w:marLeft w:val="640"/>
          <w:marRight w:val="0"/>
          <w:marTop w:val="0"/>
          <w:marBottom w:val="0"/>
          <w:divBdr>
            <w:top w:val="none" w:sz="0" w:space="0" w:color="auto"/>
            <w:left w:val="none" w:sz="0" w:space="0" w:color="auto"/>
            <w:bottom w:val="none" w:sz="0" w:space="0" w:color="auto"/>
            <w:right w:val="none" w:sz="0" w:space="0" w:color="auto"/>
          </w:divBdr>
        </w:div>
        <w:div w:id="1823232669">
          <w:marLeft w:val="640"/>
          <w:marRight w:val="0"/>
          <w:marTop w:val="0"/>
          <w:marBottom w:val="0"/>
          <w:divBdr>
            <w:top w:val="none" w:sz="0" w:space="0" w:color="auto"/>
            <w:left w:val="none" w:sz="0" w:space="0" w:color="auto"/>
            <w:bottom w:val="none" w:sz="0" w:space="0" w:color="auto"/>
            <w:right w:val="none" w:sz="0" w:space="0" w:color="auto"/>
          </w:divBdr>
        </w:div>
        <w:div w:id="86004999">
          <w:marLeft w:val="640"/>
          <w:marRight w:val="0"/>
          <w:marTop w:val="0"/>
          <w:marBottom w:val="0"/>
          <w:divBdr>
            <w:top w:val="none" w:sz="0" w:space="0" w:color="auto"/>
            <w:left w:val="none" w:sz="0" w:space="0" w:color="auto"/>
            <w:bottom w:val="none" w:sz="0" w:space="0" w:color="auto"/>
            <w:right w:val="none" w:sz="0" w:space="0" w:color="auto"/>
          </w:divBdr>
        </w:div>
        <w:div w:id="100952199">
          <w:marLeft w:val="640"/>
          <w:marRight w:val="0"/>
          <w:marTop w:val="0"/>
          <w:marBottom w:val="0"/>
          <w:divBdr>
            <w:top w:val="none" w:sz="0" w:space="0" w:color="auto"/>
            <w:left w:val="none" w:sz="0" w:space="0" w:color="auto"/>
            <w:bottom w:val="none" w:sz="0" w:space="0" w:color="auto"/>
            <w:right w:val="none" w:sz="0" w:space="0" w:color="auto"/>
          </w:divBdr>
        </w:div>
        <w:div w:id="84956150">
          <w:marLeft w:val="640"/>
          <w:marRight w:val="0"/>
          <w:marTop w:val="0"/>
          <w:marBottom w:val="0"/>
          <w:divBdr>
            <w:top w:val="none" w:sz="0" w:space="0" w:color="auto"/>
            <w:left w:val="none" w:sz="0" w:space="0" w:color="auto"/>
            <w:bottom w:val="none" w:sz="0" w:space="0" w:color="auto"/>
            <w:right w:val="none" w:sz="0" w:space="0" w:color="auto"/>
          </w:divBdr>
        </w:div>
        <w:div w:id="323629052">
          <w:marLeft w:val="640"/>
          <w:marRight w:val="0"/>
          <w:marTop w:val="0"/>
          <w:marBottom w:val="0"/>
          <w:divBdr>
            <w:top w:val="none" w:sz="0" w:space="0" w:color="auto"/>
            <w:left w:val="none" w:sz="0" w:space="0" w:color="auto"/>
            <w:bottom w:val="none" w:sz="0" w:space="0" w:color="auto"/>
            <w:right w:val="none" w:sz="0" w:space="0" w:color="auto"/>
          </w:divBdr>
        </w:div>
        <w:div w:id="2028363573">
          <w:marLeft w:val="640"/>
          <w:marRight w:val="0"/>
          <w:marTop w:val="0"/>
          <w:marBottom w:val="0"/>
          <w:divBdr>
            <w:top w:val="none" w:sz="0" w:space="0" w:color="auto"/>
            <w:left w:val="none" w:sz="0" w:space="0" w:color="auto"/>
            <w:bottom w:val="none" w:sz="0" w:space="0" w:color="auto"/>
            <w:right w:val="none" w:sz="0" w:space="0" w:color="auto"/>
          </w:divBdr>
        </w:div>
        <w:div w:id="1325209697">
          <w:marLeft w:val="640"/>
          <w:marRight w:val="0"/>
          <w:marTop w:val="0"/>
          <w:marBottom w:val="0"/>
          <w:divBdr>
            <w:top w:val="none" w:sz="0" w:space="0" w:color="auto"/>
            <w:left w:val="none" w:sz="0" w:space="0" w:color="auto"/>
            <w:bottom w:val="none" w:sz="0" w:space="0" w:color="auto"/>
            <w:right w:val="none" w:sz="0" w:space="0" w:color="auto"/>
          </w:divBdr>
        </w:div>
        <w:div w:id="218398460">
          <w:marLeft w:val="640"/>
          <w:marRight w:val="0"/>
          <w:marTop w:val="0"/>
          <w:marBottom w:val="0"/>
          <w:divBdr>
            <w:top w:val="none" w:sz="0" w:space="0" w:color="auto"/>
            <w:left w:val="none" w:sz="0" w:space="0" w:color="auto"/>
            <w:bottom w:val="none" w:sz="0" w:space="0" w:color="auto"/>
            <w:right w:val="none" w:sz="0" w:space="0" w:color="auto"/>
          </w:divBdr>
        </w:div>
        <w:div w:id="377126362">
          <w:marLeft w:val="640"/>
          <w:marRight w:val="0"/>
          <w:marTop w:val="0"/>
          <w:marBottom w:val="0"/>
          <w:divBdr>
            <w:top w:val="none" w:sz="0" w:space="0" w:color="auto"/>
            <w:left w:val="none" w:sz="0" w:space="0" w:color="auto"/>
            <w:bottom w:val="none" w:sz="0" w:space="0" w:color="auto"/>
            <w:right w:val="none" w:sz="0" w:space="0" w:color="auto"/>
          </w:divBdr>
        </w:div>
        <w:div w:id="450056880">
          <w:marLeft w:val="640"/>
          <w:marRight w:val="0"/>
          <w:marTop w:val="0"/>
          <w:marBottom w:val="0"/>
          <w:divBdr>
            <w:top w:val="none" w:sz="0" w:space="0" w:color="auto"/>
            <w:left w:val="none" w:sz="0" w:space="0" w:color="auto"/>
            <w:bottom w:val="none" w:sz="0" w:space="0" w:color="auto"/>
            <w:right w:val="none" w:sz="0" w:space="0" w:color="auto"/>
          </w:divBdr>
        </w:div>
        <w:div w:id="1313943360">
          <w:marLeft w:val="640"/>
          <w:marRight w:val="0"/>
          <w:marTop w:val="0"/>
          <w:marBottom w:val="0"/>
          <w:divBdr>
            <w:top w:val="none" w:sz="0" w:space="0" w:color="auto"/>
            <w:left w:val="none" w:sz="0" w:space="0" w:color="auto"/>
            <w:bottom w:val="none" w:sz="0" w:space="0" w:color="auto"/>
            <w:right w:val="none" w:sz="0" w:space="0" w:color="auto"/>
          </w:divBdr>
        </w:div>
        <w:div w:id="1369068222">
          <w:marLeft w:val="640"/>
          <w:marRight w:val="0"/>
          <w:marTop w:val="0"/>
          <w:marBottom w:val="0"/>
          <w:divBdr>
            <w:top w:val="none" w:sz="0" w:space="0" w:color="auto"/>
            <w:left w:val="none" w:sz="0" w:space="0" w:color="auto"/>
            <w:bottom w:val="none" w:sz="0" w:space="0" w:color="auto"/>
            <w:right w:val="none" w:sz="0" w:space="0" w:color="auto"/>
          </w:divBdr>
        </w:div>
        <w:div w:id="2044866797">
          <w:marLeft w:val="640"/>
          <w:marRight w:val="0"/>
          <w:marTop w:val="0"/>
          <w:marBottom w:val="0"/>
          <w:divBdr>
            <w:top w:val="none" w:sz="0" w:space="0" w:color="auto"/>
            <w:left w:val="none" w:sz="0" w:space="0" w:color="auto"/>
            <w:bottom w:val="none" w:sz="0" w:space="0" w:color="auto"/>
            <w:right w:val="none" w:sz="0" w:space="0" w:color="auto"/>
          </w:divBdr>
        </w:div>
        <w:div w:id="1667901781">
          <w:marLeft w:val="640"/>
          <w:marRight w:val="0"/>
          <w:marTop w:val="0"/>
          <w:marBottom w:val="0"/>
          <w:divBdr>
            <w:top w:val="none" w:sz="0" w:space="0" w:color="auto"/>
            <w:left w:val="none" w:sz="0" w:space="0" w:color="auto"/>
            <w:bottom w:val="none" w:sz="0" w:space="0" w:color="auto"/>
            <w:right w:val="none" w:sz="0" w:space="0" w:color="auto"/>
          </w:divBdr>
        </w:div>
        <w:div w:id="47802133">
          <w:marLeft w:val="640"/>
          <w:marRight w:val="0"/>
          <w:marTop w:val="0"/>
          <w:marBottom w:val="0"/>
          <w:divBdr>
            <w:top w:val="none" w:sz="0" w:space="0" w:color="auto"/>
            <w:left w:val="none" w:sz="0" w:space="0" w:color="auto"/>
            <w:bottom w:val="none" w:sz="0" w:space="0" w:color="auto"/>
            <w:right w:val="none" w:sz="0" w:space="0" w:color="auto"/>
          </w:divBdr>
        </w:div>
        <w:div w:id="559941684">
          <w:marLeft w:val="640"/>
          <w:marRight w:val="0"/>
          <w:marTop w:val="0"/>
          <w:marBottom w:val="0"/>
          <w:divBdr>
            <w:top w:val="none" w:sz="0" w:space="0" w:color="auto"/>
            <w:left w:val="none" w:sz="0" w:space="0" w:color="auto"/>
            <w:bottom w:val="none" w:sz="0" w:space="0" w:color="auto"/>
            <w:right w:val="none" w:sz="0" w:space="0" w:color="auto"/>
          </w:divBdr>
        </w:div>
        <w:div w:id="1792507351">
          <w:marLeft w:val="640"/>
          <w:marRight w:val="0"/>
          <w:marTop w:val="0"/>
          <w:marBottom w:val="0"/>
          <w:divBdr>
            <w:top w:val="none" w:sz="0" w:space="0" w:color="auto"/>
            <w:left w:val="none" w:sz="0" w:space="0" w:color="auto"/>
            <w:bottom w:val="none" w:sz="0" w:space="0" w:color="auto"/>
            <w:right w:val="none" w:sz="0" w:space="0" w:color="auto"/>
          </w:divBdr>
        </w:div>
        <w:div w:id="845482205">
          <w:marLeft w:val="640"/>
          <w:marRight w:val="0"/>
          <w:marTop w:val="0"/>
          <w:marBottom w:val="0"/>
          <w:divBdr>
            <w:top w:val="none" w:sz="0" w:space="0" w:color="auto"/>
            <w:left w:val="none" w:sz="0" w:space="0" w:color="auto"/>
            <w:bottom w:val="none" w:sz="0" w:space="0" w:color="auto"/>
            <w:right w:val="none" w:sz="0" w:space="0" w:color="auto"/>
          </w:divBdr>
        </w:div>
        <w:div w:id="774246718">
          <w:marLeft w:val="640"/>
          <w:marRight w:val="0"/>
          <w:marTop w:val="0"/>
          <w:marBottom w:val="0"/>
          <w:divBdr>
            <w:top w:val="none" w:sz="0" w:space="0" w:color="auto"/>
            <w:left w:val="none" w:sz="0" w:space="0" w:color="auto"/>
            <w:bottom w:val="none" w:sz="0" w:space="0" w:color="auto"/>
            <w:right w:val="none" w:sz="0" w:space="0" w:color="auto"/>
          </w:divBdr>
        </w:div>
        <w:div w:id="146869643">
          <w:marLeft w:val="640"/>
          <w:marRight w:val="0"/>
          <w:marTop w:val="0"/>
          <w:marBottom w:val="0"/>
          <w:divBdr>
            <w:top w:val="none" w:sz="0" w:space="0" w:color="auto"/>
            <w:left w:val="none" w:sz="0" w:space="0" w:color="auto"/>
            <w:bottom w:val="none" w:sz="0" w:space="0" w:color="auto"/>
            <w:right w:val="none" w:sz="0" w:space="0" w:color="auto"/>
          </w:divBdr>
        </w:div>
        <w:div w:id="2144302137">
          <w:marLeft w:val="640"/>
          <w:marRight w:val="0"/>
          <w:marTop w:val="0"/>
          <w:marBottom w:val="0"/>
          <w:divBdr>
            <w:top w:val="none" w:sz="0" w:space="0" w:color="auto"/>
            <w:left w:val="none" w:sz="0" w:space="0" w:color="auto"/>
            <w:bottom w:val="none" w:sz="0" w:space="0" w:color="auto"/>
            <w:right w:val="none" w:sz="0" w:space="0" w:color="auto"/>
          </w:divBdr>
        </w:div>
        <w:div w:id="1970431387">
          <w:marLeft w:val="640"/>
          <w:marRight w:val="0"/>
          <w:marTop w:val="0"/>
          <w:marBottom w:val="0"/>
          <w:divBdr>
            <w:top w:val="none" w:sz="0" w:space="0" w:color="auto"/>
            <w:left w:val="none" w:sz="0" w:space="0" w:color="auto"/>
            <w:bottom w:val="none" w:sz="0" w:space="0" w:color="auto"/>
            <w:right w:val="none" w:sz="0" w:space="0" w:color="auto"/>
          </w:divBdr>
        </w:div>
        <w:div w:id="1653633534">
          <w:marLeft w:val="640"/>
          <w:marRight w:val="0"/>
          <w:marTop w:val="0"/>
          <w:marBottom w:val="0"/>
          <w:divBdr>
            <w:top w:val="none" w:sz="0" w:space="0" w:color="auto"/>
            <w:left w:val="none" w:sz="0" w:space="0" w:color="auto"/>
            <w:bottom w:val="none" w:sz="0" w:space="0" w:color="auto"/>
            <w:right w:val="none" w:sz="0" w:space="0" w:color="auto"/>
          </w:divBdr>
        </w:div>
        <w:div w:id="97989482">
          <w:marLeft w:val="640"/>
          <w:marRight w:val="0"/>
          <w:marTop w:val="0"/>
          <w:marBottom w:val="0"/>
          <w:divBdr>
            <w:top w:val="none" w:sz="0" w:space="0" w:color="auto"/>
            <w:left w:val="none" w:sz="0" w:space="0" w:color="auto"/>
            <w:bottom w:val="none" w:sz="0" w:space="0" w:color="auto"/>
            <w:right w:val="none" w:sz="0" w:space="0" w:color="auto"/>
          </w:divBdr>
        </w:div>
        <w:div w:id="1312562463">
          <w:marLeft w:val="640"/>
          <w:marRight w:val="0"/>
          <w:marTop w:val="0"/>
          <w:marBottom w:val="0"/>
          <w:divBdr>
            <w:top w:val="none" w:sz="0" w:space="0" w:color="auto"/>
            <w:left w:val="none" w:sz="0" w:space="0" w:color="auto"/>
            <w:bottom w:val="none" w:sz="0" w:space="0" w:color="auto"/>
            <w:right w:val="none" w:sz="0" w:space="0" w:color="auto"/>
          </w:divBdr>
        </w:div>
        <w:div w:id="1232421356">
          <w:marLeft w:val="640"/>
          <w:marRight w:val="0"/>
          <w:marTop w:val="0"/>
          <w:marBottom w:val="0"/>
          <w:divBdr>
            <w:top w:val="none" w:sz="0" w:space="0" w:color="auto"/>
            <w:left w:val="none" w:sz="0" w:space="0" w:color="auto"/>
            <w:bottom w:val="none" w:sz="0" w:space="0" w:color="auto"/>
            <w:right w:val="none" w:sz="0" w:space="0" w:color="auto"/>
          </w:divBdr>
        </w:div>
        <w:div w:id="52193380">
          <w:marLeft w:val="640"/>
          <w:marRight w:val="0"/>
          <w:marTop w:val="0"/>
          <w:marBottom w:val="0"/>
          <w:divBdr>
            <w:top w:val="none" w:sz="0" w:space="0" w:color="auto"/>
            <w:left w:val="none" w:sz="0" w:space="0" w:color="auto"/>
            <w:bottom w:val="none" w:sz="0" w:space="0" w:color="auto"/>
            <w:right w:val="none" w:sz="0" w:space="0" w:color="auto"/>
          </w:divBdr>
        </w:div>
        <w:div w:id="728040620">
          <w:marLeft w:val="640"/>
          <w:marRight w:val="0"/>
          <w:marTop w:val="0"/>
          <w:marBottom w:val="0"/>
          <w:divBdr>
            <w:top w:val="none" w:sz="0" w:space="0" w:color="auto"/>
            <w:left w:val="none" w:sz="0" w:space="0" w:color="auto"/>
            <w:bottom w:val="none" w:sz="0" w:space="0" w:color="auto"/>
            <w:right w:val="none" w:sz="0" w:space="0" w:color="auto"/>
          </w:divBdr>
        </w:div>
        <w:div w:id="1441949188">
          <w:marLeft w:val="640"/>
          <w:marRight w:val="0"/>
          <w:marTop w:val="0"/>
          <w:marBottom w:val="0"/>
          <w:divBdr>
            <w:top w:val="none" w:sz="0" w:space="0" w:color="auto"/>
            <w:left w:val="none" w:sz="0" w:space="0" w:color="auto"/>
            <w:bottom w:val="none" w:sz="0" w:space="0" w:color="auto"/>
            <w:right w:val="none" w:sz="0" w:space="0" w:color="auto"/>
          </w:divBdr>
        </w:div>
        <w:div w:id="1983997688">
          <w:marLeft w:val="640"/>
          <w:marRight w:val="0"/>
          <w:marTop w:val="0"/>
          <w:marBottom w:val="0"/>
          <w:divBdr>
            <w:top w:val="none" w:sz="0" w:space="0" w:color="auto"/>
            <w:left w:val="none" w:sz="0" w:space="0" w:color="auto"/>
            <w:bottom w:val="none" w:sz="0" w:space="0" w:color="auto"/>
            <w:right w:val="none" w:sz="0" w:space="0" w:color="auto"/>
          </w:divBdr>
        </w:div>
        <w:div w:id="1243026002">
          <w:marLeft w:val="640"/>
          <w:marRight w:val="0"/>
          <w:marTop w:val="0"/>
          <w:marBottom w:val="0"/>
          <w:divBdr>
            <w:top w:val="none" w:sz="0" w:space="0" w:color="auto"/>
            <w:left w:val="none" w:sz="0" w:space="0" w:color="auto"/>
            <w:bottom w:val="none" w:sz="0" w:space="0" w:color="auto"/>
            <w:right w:val="none" w:sz="0" w:space="0" w:color="auto"/>
          </w:divBdr>
        </w:div>
        <w:div w:id="1797409747">
          <w:marLeft w:val="640"/>
          <w:marRight w:val="0"/>
          <w:marTop w:val="0"/>
          <w:marBottom w:val="0"/>
          <w:divBdr>
            <w:top w:val="none" w:sz="0" w:space="0" w:color="auto"/>
            <w:left w:val="none" w:sz="0" w:space="0" w:color="auto"/>
            <w:bottom w:val="none" w:sz="0" w:space="0" w:color="auto"/>
            <w:right w:val="none" w:sz="0" w:space="0" w:color="auto"/>
          </w:divBdr>
        </w:div>
        <w:div w:id="774786337">
          <w:marLeft w:val="640"/>
          <w:marRight w:val="0"/>
          <w:marTop w:val="0"/>
          <w:marBottom w:val="0"/>
          <w:divBdr>
            <w:top w:val="none" w:sz="0" w:space="0" w:color="auto"/>
            <w:left w:val="none" w:sz="0" w:space="0" w:color="auto"/>
            <w:bottom w:val="none" w:sz="0" w:space="0" w:color="auto"/>
            <w:right w:val="none" w:sz="0" w:space="0" w:color="auto"/>
          </w:divBdr>
        </w:div>
        <w:div w:id="2085183794">
          <w:marLeft w:val="640"/>
          <w:marRight w:val="0"/>
          <w:marTop w:val="0"/>
          <w:marBottom w:val="0"/>
          <w:divBdr>
            <w:top w:val="none" w:sz="0" w:space="0" w:color="auto"/>
            <w:left w:val="none" w:sz="0" w:space="0" w:color="auto"/>
            <w:bottom w:val="none" w:sz="0" w:space="0" w:color="auto"/>
            <w:right w:val="none" w:sz="0" w:space="0" w:color="auto"/>
          </w:divBdr>
        </w:div>
        <w:div w:id="76174165">
          <w:marLeft w:val="640"/>
          <w:marRight w:val="0"/>
          <w:marTop w:val="0"/>
          <w:marBottom w:val="0"/>
          <w:divBdr>
            <w:top w:val="none" w:sz="0" w:space="0" w:color="auto"/>
            <w:left w:val="none" w:sz="0" w:space="0" w:color="auto"/>
            <w:bottom w:val="none" w:sz="0" w:space="0" w:color="auto"/>
            <w:right w:val="none" w:sz="0" w:space="0" w:color="auto"/>
          </w:divBdr>
        </w:div>
        <w:div w:id="917445957">
          <w:marLeft w:val="640"/>
          <w:marRight w:val="0"/>
          <w:marTop w:val="0"/>
          <w:marBottom w:val="0"/>
          <w:divBdr>
            <w:top w:val="none" w:sz="0" w:space="0" w:color="auto"/>
            <w:left w:val="none" w:sz="0" w:space="0" w:color="auto"/>
            <w:bottom w:val="none" w:sz="0" w:space="0" w:color="auto"/>
            <w:right w:val="none" w:sz="0" w:space="0" w:color="auto"/>
          </w:divBdr>
        </w:div>
        <w:div w:id="1101877718">
          <w:marLeft w:val="640"/>
          <w:marRight w:val="0"/>
          <w:marTop w:val="0"/>
          <w:marBottom w:val="0"/>
          <w:divBdr>
            <w:top w:val="none" w:sz="0" w:space="0" w:color="auto"/>
            <w:left w:val="none" w:sz="0" w:space="0" w:color="auto"/>
            <w:bottom w:val="none" w:sz="0" w:space="0" w:color="auto"/>
            <w:right w:val="none" w:sz="0" w:space="0" w:color="auto"/>
          </w:divBdr>
        </w:div>
        <w:div w:id="1431730570">
          <w:marLeft w:val="640"/>
          <w:marRight w:val="0"/>
          <w:marTop w:val="0"/>
          <w:marBottom w:val="0"/>
          <w:divBdr>
            <w:top w:val="none" w:sz="0" w:space="0" w:color="auto"/>
            <w:left w:val="none" w:sz="0" w:space="0" w:color="auto"/>
            <w:bottom w:val="none" w:sz="0" w:space="0" w:color="auto"/>
            <w:right w:val="none" w:sz="0" w:space="0" w:color="auto"/>
          </w:divBdr>
        </w:div>
        <w:div w:id="1573202206">
          <w:marLeft w:val="640"/>
          <w:marRight w:val="0"/>
          <w:marTop w:val="0"/>
          <w:marBottom w:val="0"/>
          <w:divBdr>
            <w:top w:val="none" w:sz="0" w:space="0" w:color="auto"/>
            <w:left w:val="none" w:sz="0" w:space="0" w:color="auto"/>
            <w:bottom w:val="none" w:sz="0" w:space="0" w:color="auto"/>
            <w:right w:val="none" w:sz="0" w:space="0" w:color="auto"/>
          </w:divBdr>
        </w:div>
        <w:div w:id="1934820655">
          <w:marLeft w:val="640"/>
          <w:marRight w:val="0"/>
          <w:marTop w:val="0"/>
          <w:marBottom w:val="0"/>
          <w:divBdr>
            <w:top w:val="none" w:sz="0" w:space="0" w:color="auto"/>
            <w:left w:val="none" w:sz="0" w:space="0" w:color="auto"/>
            <w:bottom w:val="none" w:sz="0" w:space="0" w:color="auto"/>
            <w:right w:val="none" w:sz="0" w:space="0" w:color="auto"/>
          </w:divBdr>
        </w:div>
        <w:div w:id="1831865575">
          <w:marLeft w:val="640"/>
          <w:marRight w:val="0"/>
          <w:marTop w:val="0"/>
          <w:marBottom w:val="0"/>
          <w:divBdr>
            <w:top w:val="none" w:sz="0" w:space="0" w:color="auto"/>
            <w:left w:val="none" w:sz="0" w:space="0" w:color="auto"/>
            <w:bottom w:val="none" w:sz="0" w:space="0" w:color="auto"/>
            <w:right w:val="none" w:sz="0" w:space="0" w:color="auto"/>
          </w:divBdr>
        </w:div>
        <w:div w:id="375004945">
          <w:marLeft w:val="640"/>
          <w:marRight w:val="0"/>
          <w:marTop w:val="0"/>
          <w:marBottom w:val="0"/>
          <w:divBdr>
            <w:top w:val="none" w:sz="0" w:space="0" w:color="auto"/>
            <w:left w:val="none" w:sz="0" w:space="0" w:color="auto"/>
            <w:bottom w:val="none" w:sz="0" w:space="0" w:color="auto"/>
            <w:right w:val="none" w:sz="0" w:space="0" w:color="auto"/>
          </w:divBdr>
        </w:div>
        <w:div w:id="192696883">
          <w:marLeft w:val="640"/>
          <w:marRight w:val="0"/>
          <w:marTop w:val="0"/>
          <w:marBottom w:val="0"/>
          <w:divBdr>
            <w:top w:val="none" w:sz="0" w:space="0" w:color="auto"/>
            <w:left w:val="none" w:sz="0" w:space="0" w:color="auto"/>
            <w:bottom w:val="none" w:sz="0" w:space="0" w:color="auto"/>
            <w:right w:val="none" w:sz="0" w:space="0" w:color="auto"/>
          </w:divBdr>
        </w:div>
        <w:div w:id="460418082">
          <w:marLeft w:val="640"/>
          <w:marRight w:val="0"/>
          <w:marTop w:val="0"/>
          <w:marBottom w:val="0"/>
          <w:divBdr>
            <w:top w:val="none" w:sz="0" w:space="0" w:color="auto"/>
            <w:left w:val="none" w:sz="0" w:space="0" w:color="auto"/>
            <w:bottom w:val="none" w:sz="0" w:space="0" w:color="auto"/>
            <w:right w:val="none" w:sz="0" w:space="0" w:color="auto"/>
          </w:divBdr>
        </w:div>
        <w:div w:id="1618877627">
          <w:marLeft w:val="640"/>
          <w:marRight w:val="0"/>
          <w:marTop w:val="0"/>
          <w:marBottom w:val="0"/>
          <w:divBdr>
            <w:top w:val="none" w:sz="0" w:space="0" w:color="auto"/>
            <w:left w:val="none" w:sz="0" w:space="0" w:color="auto"/>
            <w:bottom w:val="none" w:sz="0" w:space="0" w:color="auto"/>
            <w:right w:val="none" w:sz="0" w:space="0" w:color="auto"/>
          </w:divBdr>
        </w:div>
        <w:div w:id="441808757">
          <w:marLeft w:val="640"/>
          <w:marRight w:val="0"/>
          <w:marTop w:val="0"/>
          <w:marBottom w:val="0"/>
          <w:divBdr>
            <w:top w:val="none" w:sz="0" w:space="0" w:color="auto"/>
            <w:left w:val="none" w:sz="0" w:space="0" w:color="auto"/>
            <w:bottom w:val="none" w:sz="0" w:space="0" w:color="auto"/>
            <w:right w:val="none" w:sz="0" w:space="0" w:color="auto"/>
          </w:divBdr>
        </w:div>
        <w:div w:id="1715883591">
          <w:marLeft w:val="640"/>
          <w:marRight w:val="0"/>
          <w:marTop w:val="0"/>
          <w:marBottom w:val="0"/>
          <w:divBdr>
            <w:top w:val="none" w:sz="0" w:space="0" w:color="auto"/>
            <w:left w:val="none" w:sz="0" w:space="0" w:color="auto"/>
            <w:bottom w:val="none" w:sz="0" w:space="0" w:color="auto"/>
            <w:right w:val="none" w:sz="0" w:space="0" w:color="auto"/>
          </w:divBdr>
        </w:div>
        <w:div w:id="2096320285">
          <w:marLeft w:val="640"/>
          <w:marRight w:val="0"/>
          <w:marTop w:val="0"/>
          <w:marBottom w:val="0"/>
          <w:divBdr>
            <w:top w:val="none" w:sz="0" w:space="0" w:color="auto"/>
            <w:left w:val="none" w:sz="0" w:space="0" w:color="auto"/>
            <w:bottom w:val="none" w:sz="0" w:space="0" w:color="auto"/>
            <w:right w:val="none" w:sz="0" w:space="0" w:color="auto"/>
          </w:divBdr>
        </w:div>
        <w:div w:id="1188375045">
          <w:marLeft w:val="640"/>
          <w:marRight w:val="0"/>
          <w:marTop w:val="0"/>
          <w:marBottom w:val="0"/>
          <w:divBdr>
            <w:top w:val="none" w:sz="0" w:space="0" w:color="auto"/>
            <w:left w:val="none" w:sz="0" w:space="0" w:color="auto"/>
            <w:bottom w:val="none" w:sz="0" w:space="0" w:color="auto"/>
            <w:right w:val="none" w:sz="0" w:space="0" w:color="auto"/>
          </w:divBdr>
        </w:div>
        <w:div w:id="866062129">
          <w:marLeft w:val="640"/>
          <w:marRight w:val="0"/>
          <w:marTop w:val="0"/>
          <w:marBottom w:val="0"/>
          <w:divBdr>
            <w:top w:val="none" w:sz="0" w:space="0" w:color="auto"/>
            <w:left w:val="none" w:sz="0" w:space="0" w:color="auto"/>
            <w:bottom w:val="none" w:sz="0" w:space="0" w:color="auto"/>
            <w:right w:val="none" w:sz="0" w:space="0" w:color="auto"/>
          </w:divBdr>
        </w:div>
        <w:div w:id="904724937">
          <w:marLeft w:val="640"/>
          <w:marRight w:val="0"/>
          <w:marTop w:val="0"/>
          <w:marBottom w:val="0"/>
          <w:divBdr>
            <w:top w:val="none" w:sz="0" w:space="0" w:color="auto"/>
            <w:left w:val="none" w:sz="0" w:space="0" w:color="auto"/>
            <w:bottom w:val="none" w:sz="0" w:space="0" w:color="auto"/>
            <w:right w:val="none" w:sz="0" w:space="0" w:color="auto"/>
          </w:divBdr>
        </w:div>
        <w:div w:id="645478208">
          <w:marLeft w:val="640"/>
          <w:marRight w:val="0"/>
          <w:marTop w:val="0"/>
          <w:marBottom w:val="0"/>
          <w:divBdr>
            <w:top w:val="none" w:sz="0" w:space="0" w:color="auto"/>
            <w:left w:val="none" w:sz="0" w:space="0" w:color="auto"/>
            <w:bottom w:val="none" w:sz="0" w:space="0" w:color="auto"/>
            <w:right w:val="none" w:sz="0" w:space="0" w:color="auto"/>
          </w:divBdr>
        </w:div>
        <w:div w:id="1013649863">
          <w:marLeft w:val="640"/>
          <w:marRight w:val="0"/>
          <w:marTop w:val="0"/>
          <w:marBottom w:val="0"/>
          <w:divBdr>
            <w:top w:val="none" w:sz="0" w:space="0" w:color="auto"/>
            <w:left w:val="none" w:sz="0" w:space="0" w:color="auto"/>
            <w:bottom w:val="none" w:sz="0" w:space="0" w:color="auto"/>
            <w:right w:val="none" w:sz="0" w:space="0" w:color="auto"/>
          </w:divBdr>
        </w:div>
        <w:div w:id="1591505813">
          <w:marLeft w:val="640"/>
          <w:marRight w:val="0"/>
          <w:marTop w:val="0"/>
          <w:marBottom w:val="0"/>
          <w:divBdr>
            <w:top w:val="none" w:sz="0" w:space="0" w:color="auto"/>
            <w:left w:val="none" w:sz="0" w:space="0" w:color="auto"/>
            <w:bottom w:val="none" w:sz="0" w:space="0" w:color="auto"/>
            <w:right w:val="none" w:sz="0" w:space="0" w:color="auto"/>
          </w:divBdr>
        </w:div>
        <w:div w:id="744451570">
          <w:marLeft w:val="640"/>
          <w:marRight w:val="0"/>
          <w:marTop w:val="0"/>
          <w:marBottom w:val="0"/>
          <w:divBdr>
            <w:top w:val="none" w:sz="0" w:space="0" w:color="auto"/>
            <w:left w:val="none" w:sz="0" w:space="0" w:color="auto"/>
            <w:bottom w:val="none" w:sz="0" w:space="0" w:color="auto"/>
            <w:right w:val="none" w:sz="0" w:space="0" w:color="auto"/>
          </w:divBdr>
        </w:div>
        <w:div w:id="667706498">
          <w:marLeft w:val="640"/>
          <w:marRight w:val="0"/>
          <w:marTop w:val="0"/>
          <w:marBottom w:val="0"/>
          <w:divBdr>
            <w:top w:val="none" w:sz="0" w:space="0" w:color="auto"/>
            <w:left w:val="none" w:sz="0" w:space="0" w:color="auto"/>
            <w:bottom w:val="none" w:sz="0" w:space="0" w:color="auto"/>
            <w:right w:val="none" w:sz="0" w:space="0" w:color="auto"/>
          </w:divBdr>
        </w:div>
        <w:div w:id="2036885915">
          <w:marLeft w:val="640"/>
          <w:marRight w:val="0"/>
          <w:marTop w:val="0"/>
          <w:marBottom w:val="0"/>
          <w:divBdr>
            <w:top w:val="none" w:sz="0" w:space="0" w:color="auto"/>
            <w:left w:val="none" w:sz="0" w:space="0" w:color="auto"/>
            <w:bottom w:val="none" w:sz="0" w:space="0" w:color="auto"/>
            <w:right w:val="none" w:sz="0" w:space="0" w:color="auto"/>
          </w:divBdr>
        </w:div>
        <w:div w:id="236062289">
          <w:marLeft w:val="640"/>
          <w:marRight w:val="0"/>
          <w:marTop w:val="0"/>
          <w:marBottom w:val="0"/>
          <w:divBdr>
            <w:top w:val="none" w:sz="0" w:space="0" w:color="auto"/>
            <w:left w:val="none" w:sz="0" w:space="0" w:color="auto"/>
            <w:bottom w:val="none" w:sz="0" w:space="0" w:color="auto"/>
            <w:right w:val="none" w:sz="0" w:space="0" w:color="auto"/>
          </w:divBdr>
        </w:div>
        <w:div w:id="419643350">
          <w:marLeft w:val="640"/>
          <w:marRight w:val="0"/>
          <w:marTop w:val="0"/>
          <w:marBottom w:val="0"/>
          <w:divBdr>
            <w:top w:val="none" w:sz="0" w:space="0" w:color="auto"/>
            <w:left w:val="none" w:sz="0" w:space="0" w:color="auto"/>
            <w:bottom w:val="none" w:sz="0" w:space="0" w:color="auto"/>
            <w:right w:val="none" w:sz="0" w:space="0" w:color="auto"/>
          </w:divBdr>
        </w:div>
        <w:div w:id="1875847193">
          <w:marLeft w:val="640"/>
          <w:marRight w:val="0"/>
          <w:marTop w:val="0"/>
          <w:marBottom w:val="0"/>
          <w:divBdr>
            <w:top w:val="none" w:sz="0" w:space="0" w:color="auto"/>
            <w:left w:val="none" w:sz="0" w:space="0" w:color="auto"/>
            <w:bottom w:val="none" w:sz="0" w:space="0" w:color="auto"/>
            <w:right w:val="none" w:sz="0" w:space="0" w:color="auto"/>
          </w:divBdr>
        </w:div>
        <w:div w:id="59719492">
          <w:marLeft w:val="640"/>
          <w:marRight w:val="0"/>
          <w:marTop w:val="0"/>
          <w:marBottom w:val="0"/>
          <w:divBdr>
            <w:top w:val="none" w:sz="0" w:space="0" w:color="auto"/>
            <w:left w:val="none" w:sz="0" w:space="0" w:color="auto"/>
            <w:bottom w:val="none" w:sz="0" w:space="0" w:color="auto"/>
            <w:right w:val="none" w:sz="0" w:space="0" w:color="auto"/>
          </w:divBdr>
        </w:div>
        <w:div w:id="1493570252">
          <w:marLeft w:val="640"/>
          <w:marRight w:val="0"/>
          <w:marTop w:val="0"/>
          <w:marBottom w:val="0"/>
          <w:divBdr>
            <w:top w:val="none" w:sz="0" w:space="0" w:color="auto"/>
            <w:left w:val="none" w:sz="0" w:space="0" w:color="auto"/>
            <w:bottom w:val="none" w:sz="0" w:space="0" w:color="auto"/>
            <w:right w:val="none" w:sz="0" w:space="0" w:color="auto"/>
          </w:divBdr>
        </w:div>
        <w:div w:id="1807893346">
          <w:marLeft w:val="640"/>
          <w:marRight w:val="0"/>
          <w:marTop w:val="0"/>
          <w:marBottom w:val="0"/>
          <w:divBdr>
            <w:top w:val="none" w:sz="0" w:space="0" w:color="auto"/>
            <w:left w:val="none" w:sz="0" w:space="0" w:color="auto"/>
            <w:bottom w:val="none" w:sz="0" w:space="0" w:color="auto"/>
            <w:right w:val="none" w:sz="0" w:space="0" w:color="auto"/>
          </w:divBdr>
        </w:div>
        <w:div w:id="1331759327">
          <w:marLeft w:val="640"/>
          <w:marRight w:val="0"/>
          <w:marTop w:val="0"/>
          <w:marBottom w:val="0"/>
          <w:divBdr>
            <w:top w:val="none" w:sz="0" w:space="0" w:color="auto"/>
            <w:left w:val="none" w:sz="0" w:space="0" w:color="auto"/>
            <w:bottom w:val="none" w:sz="0" w:space="0" w:color="auto"/>
            <w:right w:val="none" w:sz="0" w:space="0" w:color="auto"/>
          </w:divBdr>
        </w:div>
        <w:div w:id="557085986">
          <w:marLeft w:val="640"/>
          <w:marRight w:val="0"/>
          <w:marTop w:val="0"/>
          <w:marBottom w:val="0"/>
          <w:divBdr>
            <w:top w:val="none" w:sz="0" w:space="0" w:color="auto"/>
            <w:left w:val="none" w:sz="0" w:space="0" w:color="auto"/>
            <w:bottom w:val="none" w:sz="0" w:space="0" w:color="auto"/>
            <w:right w:val="none" w:sz="0" w:space="0" w:color="auto"/>
          </w:divBdr>
        </w:div>
        <w:div w:id="1821388902">
          <w:marLeft w:val="640"/>
          <w:marRight w:val="0"/>
          <w:marTop w:val="0"/>
          <w:marBottom w:val="0"/>
          <w:divBdr>
            <w:top w:val="none" w:sz="0" w:space="0" w:color="auto"/>
            <w:left w:val="none" w:sz="0" w:space="0" w:color="auto"/>
            <w:bottom w:val="none" w:sz="0" w:space="0" w:color="auto"/>
            <w:right w:val="none" w:sz="0" w:space="0" w:color="auto"/>
          </w:divBdr>
        </w:div>
        <w:div w:id="1321927945">
          <w:marLeft w:val="640"/>
          <w:marRight w:val="0"/>
          <w:marTop w:val="0"/>
          <w:marBottom w:val="0"/>
          <w:divBdr>
            <w:top w:val="none" w:sz="0" w:space="0" w:color="auto"/>
            <w:left w:val="none" w:sz="0" w:space="0" w:color="auto"/>
            <w:bottom w:val="none" w:sz="0" w:space="0" w:color="auto"/>
            <w:right w:val="none" w:sz="0" w:space="0" w:color="auto"/>
          </w:divBdr>
        </w:div>
        <w:div w:id="2082674592">
          <w:marLeft w:val="640"/>
          <w:marRight w:val="0"/>
          <w:marTop w:val="0"/>
          <w:marBottom w:val="0"/>
          <w:divBdr>
            <w:top w:val="none" w:sz="0" w:space="0" w:color="auto"/>
            <w:left w:val="none" w:sz="0" w:space="0" w:color="auto"/>
            <w:bottom w:val="none" w:sz="0" w:space="0" w:color="auto"/>
            <w:right w:val="none" w:sz="0" w:space="0" w:color="auto"/>
          </w:divBdr>
        </w:div>
        <w:div w:id="1338195678">
          <w:marLeft w:val="640"/>
          <w:marRight w:val="0"/>
          <w:marTop w:val="0"/>
          <w:marBottom w:val="0"/>
          <w:divBdr>
            <w:top w:val="none" w:sz="0" w:space="0" w:color="auto"/>
            <w:left w:val="none" w:sz="0" w:space="0" w:color="auto"/>
            <w:bottom w:val="none" w:sz="0" w:space="0" w:color="auto"/>
            <w:right w:val="none" w:sz="0" w:space="0" w:color="auto"/>
          </w:divBdr>
        </w:div>
        <w:div w:id="436828407">
          <w:marLeft w:val="640"/>
          <w:marRight w:val="0"/>
          <w:marTop w:val="0"/>
          <w:marBottom w:val="0"/>
          <w:divBdr>
            <w:top w:val="none" w:sz="0" w:space="0" w:color="auto"/>
            <w:left w:val="none" w:sz="0" w:space="0" w:color="auto"/>
            <w:bottom w:val="none" w:sz="0" w:space="0" w:color="auto"/>
            <w:right w:val="none" w:sz="0" w:space="0" w:color="auto"/>
          </w:divBdr>
        </w:div>
        <w:div w:id="364672451">
          <w:marLeft w:val="640"/>
          <w:marRight w:val="0"/>
          <w:marTop w:val="0"/>
          <w:marBottom w:val="0"/>
          <w:divBdr>
            <w:top w:val="none" w:sz="0" w:space="0" w:color="auto"/>
            <w:left w:val="none" w:sz="0" w:space="0" w:color="auto"/>
            <w:bottom w:val="none" w:sz="0" w:space="0" w:color="auto"/>
            <w:right w:val="none" w:sz="0" w:space="0" w:color="auto"/>
          </w:divBdr>
        </w:div>
        <w:div w:id="779030309">
          <w:marLeft w:val="640"/>
          <w:marRight w:val="0"/>
          <w:marTop w:val="0"/>
          <w:marBottom w:val="0"/>
          <w:divBdr>
            <w:top w:val="none" w:sz="0" w:space="0" w:color="auto"/>
            <w:left w:val="none" w:sz="0" w:space="0" w:color="auto"/>
            <w:bottom w:val="none" w:sz="0" w:space="0" w:color="auto"/>
            <w:right w:val="none" w:sz="0" w:space="0" w:color="auto"/>
          </w:divBdr>
        </w:div>
        <w:div w:id="897322029">
          <w:marLeft w:val="640"/>
          <w:marRight w:val="0"/>
          <w:marTop w:val="0"/>
          <w:marBottom w:val="0"/>
          <w:divBdr>
            <w:top w:val="none" w:sz="0" w:space="0" w:color="auto"/>
            <w:left w:val="none" w:sz="0" w:space="0" w:color="auto"/>
            <w:bottom w:val="none" w:sz="0" w:space="0" w:color="auto"/>
            <w:right w:val="none" w:sz="0" w:space="0" w:color="auto"/>
          </w:divBdr>
        </w:div>
        <w:div w:id="421872959">
          <w:marLeft w:val="640"/>
          <w:marRight w:val="0"/>
          <w:marTop w:val="0"/>
          <w:marBottom w:val="0"/>
          <w:divBdr>
            <w:top w:val="none" w:sz="0" w:space="0" w:color="auto"/>
            <w:left w:val="none" w:sz="0" w:space="0" w:color="auto"/>
            <w:bottom w:val="none" w:sz="0" w:space="0" w:color="auto"/>
            <w:right w:val="none" w:sz="0" w:space="0" w:color="auto"/>
          </w:divBdr>
        </w:div>
        <w:div w:id="939608137">
          <w:marLeft w:val="640"/>
          <w:marRight w:val="0"/>
          <w:marTop w:val="0"/>
          <w:marBottom w:val="0"/>
          <w:divBdr>
            <w:top w:val="none" w:sz="0" w:space="0" w:color="auto"/>
            <w:left w:val="none" w:sz="0" w:space="0" w:color="auto"/>
            <w:bottom w:val="none" w:sz="0" w:space="0" w:color="auto"/>
            <w:right w:val="none" w:sz="0" w:space="0" w:color="auto"/>
          </w:divBdr>
        </w:div>
        <w:div w:id="1022053864">
          <w:marLeft w:val="640"/>
          <w:marRight w:val="0"/>
          <w:marTop w:val="0"/>
          <w:marBottom w:val="0"/>
          <w:divBdr>
            <w:top w:val="none" w:sz="0" w:space="0" w:color="auto"/>
            <w:left w:val="none" w:sz="0" w:space="0" w:color="auto"/>
            <w:bottom w:val="none" w:sz="0" w:space="0" w:color="auto"/>
            <w:right w:val="none" w:sz="0" w:space="0" w:color="auto"/>
          </w:divBdr>
        </w:div>
        <w:div w:id="1358770199">
          <w:marLeft w:val="640"/>
          <w:marRight w:val="0"/>
          <w:marTop w:val="0"/>
          <w:marBottom w:val="0"/>
          <w:divBdr>
            <w:top w:val="none" w:sz="0" w:space="0" w:color="auto"/>
            <w:left w:val="none" w:sz="0" w:space="0" w:color="auto"/>
            <w:bottom w:val="none" w:sz="0" w:space="0" w:color="auto"/>
            <w:right w:val="none" w:sz="0" w:space="0" w:color="auto"/>
          </w:divBdr>
        </w:div>
        <w:div w:id="1659385349">
          <w:marLeft w:val="640"/>
          <w:marRight w:val="0"/>
          <w:marTop w:val="0"/>
          <w:marBottom w:val="0"/>
          <w:divBdr>
            <w:top w:val="none" w:sz="0" w:space="0" w:color="auto"/>
            <w:left w:val="none" w:sz="0" w:space="0" w:color="auto"/>
            <w:bottom w:val="none" w:sz="0" w:space="0" w:color="auto"/>
            <w:right w:val="none" w:sz="0" w:space="0" w:color="auto"/>
          </w:divBdr>
        </w:div>
        <w:div w:id="1524516719">
          <w:marLeft w:val="640"/>
          <w:marRight w:val="0"/>
          <w:marTop w:val="0"/>
          <w:marBottom w:val="0"/>
          <w:divBdr>
            <w:top w:val="none" w:sz="0" w:space="0" w:color="auto"/>
            <w:left w:val="none" w:sz="0" w:space="0" w:color="auto"/>
            <w:bottom w:val="none" w:sz="0" w:space="0" w:color="auto"/>
            <w:right w:val="none" w:sz="0" w:space="0" w:color="auto"/>
          </w:divBdr>
        </w:div>
        <w:div w:id="998536962">
          <w:marLeft w:val="640"/>
          <w:marRight w:val="0"/>
          <w:marTop w:val="0"/>
          <w:marBottom w:val="0"/>
          <w:divBdr>
            <w:top w:val="none" w:sz="0" w:space="0" w:color="auto"/>
            <w:left w:val="none" w:sz="0" w:space="0" w:color="auto"/>
            <w:bottom w:val="none" w:sz="0" w:space="0" w:color="auto"/>
            <w:right w:val="none" w:sz="0" w:space="0" w:color="auto"/>
          </w:divBdr>
        </w:div>
        <w:div w:id="1344551878">
          <w:marLeft w:val="640"/>
          <w:marRight w:val="0"/>
          <w:marTop w:val="0"/>
          <w:marBottom w:val="0"/>
          <w:divBdr>
            <w:top w:val="none" w:sz="0" w:space="0" w:color="auto"/>
            <w:left w:val="none" w:sz="0" w:space="0" w:color="auto"/>
            <w:bottom w:val="none" w:sz="0" w:space="0" w:color="auto"/>
            <w:right w:val="none" w:sz="0" w:space="0" w:color="auto"/>
          </w:divBdr>
        </w:div>
        <w:div w:id="7023942">
          <w:marLeft w:val="640"/>
          <w:marRight w:val="0"/>
          <w:marTop w:val="0"/>
          <w:marBottom w:val="0"/>
          <w:divBdr>
            <w:top w:val="none" w:sz="0" w:space="0" w:color="auto"/>
            <w:left w:val="none" w:sz="0" w:space="0" w:color="auto"/>
            <w:bottom w:val="none" w:sz="0" w:space="0" w:color="auto"/>
            <w:right w:val="none" w:sz="0" w:space="0" w:color="auto"/>
          </w:divBdr>
        </w:div>
        <w:div w:id="1173567409">
          <w:marLeft w:val="640"/>
          <w:marRight w:val="0"/>
          <w:marTop w:val="0"/>
          <w:marBottom w:val="0"/>
          <w:divBdr>
            <w:top w:val="none" w:sz="0" w:space="0" w:color="auto"/>
            <w:left w:val="none" w:sz="0" w:space="0" w:color="auto"/>
            <w:bottom w:val="none" w:sz="0" w:space="0" w:color="auto"/>
            <w:right w:val="none" w:sz="0" w:space="0" w:color="auto"/>
          </w:divBdr>
        </w:div>
        <w:div w:id="1495141931">
          <w:marLeft w:val="640"/>
          <w:marRight w:val="0"/>
          <w:marTop w:val="0"/>
          <w:marBottom w:val="0"/>
          <w:divBdr>
            <w:top w:val="none" w:sz="0" w:space="0" w:color="auto"/>
            <w:left w:val="none" w:sz="0" w:space="0" w:color="auto"/>
            <w:bottom w:val="none" w:sz="0" w:space="0" w:color="auto"/>
            <w:right w:val="none" w:sz="0" w:space="0" w:color="auto"/>
          </w:divBdr>
        </w:div>
        <w:div w:id="227498757">
          <w:marLeft w:val="640"/>
          <w:marRight w:val="0"/>
          <w:marTop w:val="0"/>
          <w:marBottom w:val="0"/>
          <w:divBdr>
            <w:top w:val="none" w:sz="0" w:space="0" w:color="auto"/>
            <w:left w:val="none" w:sz="0" w:space="0" w:color="auto"/>
            <w:bottom w:val="none" w:sz="0" w:space="0" w:color="auto"/>
            <w:right w:val="none" w:sz="0" w:space="0" w:color="auto"/>
          </w:divBdr>
        </w:div>
        <w:div w:id="430204914">
          <w:marLeft w:val="640"/>
          <w:marRight w:val="0"/>
          <w:marTop w:val="0"/>
          <w:marBottom w:val="0"/>
          <w:divBdr>
            <w:top w:val="none" w:sz="0" w:space="0" w:color="auto"/>
            <w:left w:val="none" w:sz="0" w:space="0" w:color="auto"/>
            <w:bottom w:val="none" w:sz="0" w:space="0" w:color="auto"/>
            <w:right w:val="none" w:sz="0" w:space="0" w:color="auto"/>
          </w:divBdr>
        </w:div>
        <w:div w:id="451706230">
          <w:marLeft w:val="640"/>
          <w:marRight w:val="0"/>
          <w:marTop w:val="0"/>
          <w:marBottom w:val="0"/>
          <w:divBdr>
            <w:top w:val="none" w:sz="0" w:space="0" w:color="auto"/>
            <w:left w:val="none" w:sz="0" w:space="0" w:color="auto"/>
            <w:bottom w:val="none" w:sz="0" w:space="0" w:color="auto"/>
            <w:right w:val="none" w:sz="0" w:space="0" w:color="auto"/>
          </w:divBdr>
        </w:div>
        <w:div w:id="1601257257">
          <w:marLeft w:val="640"/>
          <w:marRight w:val="0"/>
          <w:marTop w:val="0"/>
          <w:marBottom w:val="0"/>
          <w:divBdr>
            <w:top w:val="none" w:sz="0" w:space="0" w:color="auto"/>
            <w:left w:val="none" w:sz="0" w:space="0" w:color="auto"/>
            <w:bottom w:val="none" w:sz="0" w:space="0" w:color="auto"/>
            <w:right w:val="none" w:sz="0" w:space="0" w:color="auto"/>
          </w:divBdr>
        </w:div>
        <w:div w:id="1226407553">
          <w:marLeft w:val="640"/>
          <w:marRight w:val="0"/>
          <w:marTop w:val="0"/>
          <w:marBottom w:val="0"/>
          <w:divBdr>
            <w:top w:val="none" w:sz="0" w:space="0" w:color="auto"/>
            <w:left w:val="none" w:sz="0" w:space="0" w:color="auto"/>
            <w:bottom w:val="none" w:sz="0" w:space="0" w:color="auto"/>
            <w:right w:val="none" w:sz="0" w:space="0" w:color="auto"/>
          </w:divBdr>
        </w:div>
        <w:div w:id="2133666556">
          <w:marLeft w:val="640"/>
          <w:marRight w:val="0"/>
          <w:marTop w:val="0"/>
          <w:marBottom w:val="0"/>
          <w:divBdr>
            <w:top w:val="none" w:sz="0" w:space="0" w:color="auto"/>
            <w:left w:val="none" w:sz="0" w:space="0" w:color="auto"/>
            <w:bottom w:val="none" w:sz="0" w:space="0" w:color="auto"/>
            <w:right w:val="none" w:sz="0" w:space="0" w:color="auto"/>
          </w:divBdr>
        </w:div>
        <w:div w:id="1668166839">
          <w:marLeft w:val="640"/>
          <w:marRight w:val="0"/>
          <w:marTop w:val="0"/>
          <w:marBottom w:val="0"/>
          <w:divBdr>
            <w:top w:val="none" w:sz="0" w:space="0" w:color="auto"/>
            <w:left w:val="none" w:sz="0" w:space="0" w:color="auto"/>
            <w:bottom w:val="none" w:sz="0" w:space="0" w:color="auto"/>
            <w:right w:val="none" w:sz="0" w:space="0" w:color="auto"/>
          </w:divBdr>
        </w:div>
        <w:div w:id="1436053565">
          <w:marLeft w:val="640"/>
          <w:marRight w:val="0"/>
          <w:marTop w:val="0"/>
          <w:marBottom w:val="0"/>
          <w:divBdr>
            <w:top w:val="none" w:sz="0" w:space="0" w:color="auto"/>
            <w:left w:val="none" w:sz="0" w:space="0" w:color="auto"/>
            <w:bottom w:val="none" w:sz="0" w:space="0" w:color="auto"/>
            <w:right w:val="none" w:sz="0" w:space="0" w:color="auto"/>
          </w:divBdr>
        </w:div>
        <w:div w:id="621814314">
          <w:marLeft w:val="640"/>
          <w:marRight w:val="0"/>
          <w:marTop w:val="0"/>
          <w:marBottom w:val="0"/>
          <w:divBdr>
            <w:top w:val="none" w:sz="0" w:space="0" w:color="auto"/>
            <w:left w:val="none" w:sz="0" w:space="0" w:color="auto"/>
            <w:bottom w:val="none" w:sz="0" w:space="0" w:color="auto"/>
            <w:right w:val="none" w:sz="0" w:space="0" w:color="auto"/>
          </w:divBdr>
        </w:div>
        <w:div w:id="439648063">
          <w:marLeft w:val="640"/>
          <w:marRight w:val="0"/>
          <w:marTop w:val="0"/>
          <w:marBottom w:val="0"/>
          <w:divBdr>
            <w:top w:val="none" w:sz="0" w:space="0" w:color="auto"/>
            <w:left w:val="none" w:sz="0" w:space="0" w:color="auto"/>
            <w:bottom w:val="none" w:sz="0" w:space="0" w:color="auto"/>
            <w:right w:val="none" w:sz="0" w:space="0" w:color="auto"/>
          </w:divBdr>
        </w:div>
        <w:div w:id="805241553">
          <w:marLeft w:val="640"/>
          <w:marRight w:val="0"/>
          <w:marTop w:val="0"/>
          <w:marBottom w:val="0"/>
          <w:divBdr>
            <w:top w:val="none" w:sz="0" w:space="0" w:color="auto"/>
            <w:left w:val="none" w:sz="0" w:space="0" w:color="auto"/>
            <w:bottom w:val="none" w:sz="0" w:space="0" w:color="auto"/>
            <w:right w:val="none" w:sz="0" w:space="0" w:color="auto"/>
          </w:divBdr>
        </w:div>
        <w:div w:id="938878131">
          <w:marLeft w:val="640"/>
          <w:marRight w:val="0"/>
          <w:marTop w:val="0"/>
          <w:marBottom w:val="0"/>
          <w:divBdr>
            <w:top w:val="none" w:sz="0" w:space="0" w:color="auto"/>
            <w:left w:val="none" w:sz="0" w:space="0" w:color="auto"/>
            <w:bottom w:val="none" w:sz="0" w:space="0" w:color="auto"/>
            <w:right w:val="none" w:sz="0" w:space="0" w:color="auto"/>
          </w:divBdr>
        </w:div>
        <w:div w:id="540940842">
          <w:marLeft w:val="640"/>
          <w:marRight w:val="0"/>
          <w:marTop w:val="0"/>
          <w:marBottom w:val="0"/>
          <w:divBdr>
            <w:top w:val="none" w:sz="0" w:space="0" w:color="auto"/>
            <w:left w:val="none" w:sz="0" w:space="0" w:color="auto"/>
            <w:bottom w:val="none" w:sz="0" w:space="0" w:color="auto"/>
            <w:right w:val="none" w:sz="0" w:space="0" w:color="auto"/>
          </w:divBdr>
        </w:div>
        <w:div w:id="390278237">
          <w:marLeft w:val="640"/>
          <w:marRight w:val="0"/>
          <w:marTop w:val="0"/>
          <w:marBottom w:val="0"/>
          <w:divBdr>
            <w:top w:val="none" w:sz="0" w:space="0" w:color="auto"/>
            <w:left w:val="none" w:sz="0" w:space="0" w:color="auto"/>
            <w:bottom w:val="none" w:sz="0" w:space="0" w:color="auto"/>
            <w:right w:val="none" w:sz="0" w:space="0" w:color="auto"/>
          </w:divBdr>
        </w:div>
        <w:div w:id="805003170">
          <w:marLeft w:val="640"/>
          <w:marRight w:val="0"/>
          <w:marTop w:val="0"/>
          <w:marBottom w:val="0"/>
          <w:divBdr>
            <w:top w:val="none" w:sz="0" w:space="0" w:color="auto"/>
            <w:left w:val="none" w:sz="0" w:space="0" w:color="auto"/>
            <w:bottom w:val="none" w:sz="0" w:space="0" w:color="auto"/>
            <w:right w:val="none" w:sz="0" w:space="0" w:color="auto"/>
          </w:divBdr>
        </w:div>
        <w:div w:id="1188175548">
          <w:marLeft w:val="640"/>
          <w:marRight w:val="0"/>
          <w:marTop w:val="0"/>
          <w:marBottom w:val="0"/>
          <w:divBdr>
            <w:top w:val="none" w:sz="0" w:space="0" w:color="auto"/>
            <w:left w:val="none" w:sz="0" w:space="0" w:color="auto"/>
            <w:bottom w:val="none" w:sz="0" w:space="0" w:color="auto"/>
            <w:right w:val="none" w:sz="0" w:space="0" w:color="auto"/>
          </w:divBdr>
        </w:div>
        <w:div w:id="1482621524">
          <w:marLeft w:val="640"/>
          <w:marRight w:val="0"/>
          <w:marTop w:val="0"/>
          <w:marBottom w:val="0"/>
          <w:divBdr>
            <w:top w:val="none" w:sz="0" w:space="0" w:color="auto"/>
            <w:left w:val="none" w:sz="0" w:space="0" w:color="auto"/>
            <w:bottom w:val="none" w:sz="0" w:space="0" w:color="auto"/>
            <w:right w:val="none" w:sz="0" w:space="0" w:color="auto"/>
          </w:divBdr>
        </w:div>
        <w:div w:id="1383596196">
          <w:marLeft w:val="640"/>
          <w:marRight w:val="0"/>
          <w:marTop w:val="0"/>
          <w:marBottom w:val="0"/>
          <w:divBdr>
            <w:top w:val="none" w:sz="0" w:space="0" w:color="auto"/>
            <w:left w:val="none" w:sz="0" w:space="0" w:color="auto"/>
            <w:bottom w:val="none" w:sz="0" w:space="0" w:color="auto"/>
            <w:right w:val="none" w:sz="0" w:space="0" w:color="auto"/>
          </w:divBdr>
        </w:div>
        <w:div w:id="1528566171">
          <w:marLeft w:val="640"/>
          <w:marRight w:val="0"/>
          <w:marTop w:val="0"/>
          <w:marBottom w:val="0"/>
          <w:divBdr>
            <w:top w:val="none" w:sz="0" w:space="0" w:color="auto"/>
            <w:left w:val="none" w:sz="0" w:space="0" w:color="auto"/>
            <w:bottom w:val="none" w:sz="0" w:space="0" w:color="auto"/>
            <w:right w:val="none" w:sz="0" w:space="0" w:color="auto"/>
          </w:divBdr>
        </w:div>
        <w:div w:id="757094003">
          <w:marLeft w:val="640"/>
          <w:marRight w:val="0"/>
          <w:marTop w:val="0"/>
          <w:marBottom w:val="0"/>
          <w:divBdr>
            <w:top w:val="none" w:sz="0" w:space="0" w:color="auto"/>
            <w:left w:val="none" w:sz="0" w:space="0" w:color="auto"/>
            <w:bottom w:val="none" w:sz="0" w:space="0" w:color="auto"/>
            <w:right w:val="none" w:sz="0" w:space="0" w:color="auto"/>
          </w:divBdr>
        </w:div>
        <w:div w:id="846483812">
          <w:marLeft w:val="640"/>
          <w:marRight w:val="0"/>
          <w:marTop w:val="0"/>
          <w:marBottom w:val="0"/>
          <w:divBdr>
            <w:top w:val="none" w:sz="0" w:space="0" w:color="auto"/>
            <w:left w:val="none" w:sz="0" w:space="0" w:color="auto"/>
            <w:bottom w:val="none" w:sz="0" w:space="0" w:color="auto"/>
            <w:right w:val="none" w:sz="0" w:space="0" w:color="auto"/>
          </w:divBdr>
        </w:div>
        <w:div w:id="859705845">
          <w:marLeft w:val="640"/>
          <w:marRight w:val="0"/>
          <w:marTop w:val="0"/>
          <w:marBottom w:val="0"/>
          <w:divBdr>
            <w:top w:val="none" w:sz="0" w:space="0" w:color="auto"/>
            <w:left w:val="none" w:sz="0" w:space="0" w:color="auto"/>
            <w:bottom w:val="none" w:sz="0" w:space="0" w:color="auto"/>
            <w:right w:val="none" w:sz="0" w:space="0" w:color="auto"/>
          </w:divBdr>
        </w:div>
        <w:div w:id="302469538">
          <w:marLeft w:val="640"/>
          <w:marRight w:val="0"/>
          <w:marTop w:val="0"/>
          <w:marBottom w:val="0"/>
          <w:divBdr>
            <w:top w:val="none" w:sz="0" w:space="0" w:color="auto"/>
            <w:left w:val="none" w:sz="0" w:space="0" w:color="auto"/>
            <w:bottom w:val="none" w:sz="0" w:space="0" w:color="auto"/>
            <w:right w:val="none" w:sz="0" w:space="0" w:color="auto"/>
          </w:divBdr>
        </w:div>
        <w:div w:id="532159064">
          <w:marLeft w:val="640"/>
          <w:marRight w:val="0"/>
          <w:marTop w:val="0"/>
          <w:marBottom w:val="0"/>
          <w:divBdr>
            <w:top w:val="none" w:sz="0" w:space="0" w:color="auto"/>
            <w:left w:val="none" w:sz="0" w:space="0" w:color="auto"/>
            <w:bottom w:val="none" w:sz="0" w:space="0" w:color="auto"/>
            <w:right w:val="none" w:sz="0" w:space="0" w:color="auto"/>
          </w:divBdr>
        </w:div>
        <w:div w:id="1774209260">
          <w:marLeft w:val="640"/>
          <w:marRight w:val="0"/>
          <w:marTop w:val="0"/>
          <w:marBottom w:val="0"/>
          <w:divBdr>
            <w:top w:val="none" w:sz="0" w:space="0" w:color="auto"/>
            <w:left w:val="none" w:sz="0" w:space="0" w:color="auto"/>
            <w:bottom w:val="none" w:sz="0" w:space="0" w:color="auto"/>
            <w:right w:val="none" w:sz="0" w:space="0" w:color="auto"/>
          </w:divBdr>
        </w:div>
        <w:div w:id="1115708318">
          <w:marLeft w:val="640"/>
          <w:marRight w:val="0"/>
          <w:marTop w:val="0"/>
          <w:marBottom w:val="0"/>
          <w:divBdr>
            <w:top w:val="none" w:sz="0" w:space="0" w:color="auto"/>
            <w:left w:val="none" w:sz="0" w:space="0" w:color="auto"/>
            <w:bottom w:val="none" w:sz="0" w:space="0" w:color="auto"/>
            <w:right w:val="none" w:sz="0" w:space="0" w:color="auto"/>
          </w:divBdr>
        </w:div>
        <w:div w:id="1177815473">
          <w:marLeft w:val="640"/>
          <w:marRight w:val="0"/>
          <w:marTop w:val="0"/>
          <w:marBottom w:val="0"/>
          <w:divBdr>
            <w:top w:val="none" w:sz="0" w:space="0" w:color="auto"/>
            <w:left w:val="none" w:sz="0" w:space="0" w:color="auto"/>
            <w:bottom w:val="none" w:sz="0" w:space="0" w:color="auto"/>
            <w:right w:val="none" w:sz="0" w:space="0" w:color="auto"/>
          </w:divBdr>
        </w:div>
        <w:div w:id="166143226">
          <w:marLeft w:val="640"/>
          <w:marRight w:val="0"/>
          <w:marTop w:val="0"/>
          <w:marBottom w:val="0"/>
          <w:divBdr>
            <w:top w:val="none" w:sz="0" w:space="0" w:color="auto"/>
            <w:left w:val="none" w:sz="0" w:space="0" w:color="auto"/>
            <w:bottom w:val="none" w:sz="0" w:space="0" w:color="auto"/>
            <w:right w:val="none" w:sz="0" w:space="0" w:color="auto"/>
          </w:divBdr>
        </w:div>
        <w:div w:id="78214252">
          <w:marLeft w:val="640"/>
          <w:marRight w:val="0"/>
          <w:marTop w:val="0"/>
          <w:marBottom w:val="0"/>
          <w:divBdr>
            <w:top w:val="none" w:sz="0" w:space="0" w:color="auto"/>
            <w:left w:val="none" w:sz="0" w:space="0" w:color="auto"/>
            <w:bottom w:val="none" w:sz="0" w:space="0" w:color="auto"/>
            <w:right w:val="none" w:sz="0" w:space="0" w:color="auto"/>
          </w:divBdr>
        </w:div>
        <w:div w:id="2068723211">
          <w:marLeft w:val="640"/>
          <w:marRight w:val="0"/>
          <w:marTop w:val="0"/>
          <w:marBottom w:val="0"/>
          <w:divBdr>
            <w:top w:val="none" w:sz="0" w:space="0" w:color="auto"/>
            <w:left w:val="none" w:sz="0" w:space="0" w:color="auto"/>
            <w:bottom w:val="none" w:sz="0" w:space="0" w:color="auto"/>
            <w:right w:val="none" w:sz="0" w:space="0" w:color="auto"/>
          </w:divBdr>
        </w:div>
        <w:div w:id="738359979">
          <w:marLeft w:val="640"/>
          <w:marRight w:val="0"/>
          <w:marTop w:val="0"/>
          <w:marBottom w:val="0"/>
          <w:divBdr>
            <w:top w:val="none" w:sz="0" w:space="0" w:color="auto"/>
            <w:left w:val="none" w:sz="0" w:space="0" w:color="auto"/>
            <w:bottom w:val="none" w:sz="0" w:space="0" w:color="auto"/>
            <w:right w:val="none" w:sz="0" w:space="0" w:color="auto"/>
          </w:divBdr>
        </w:div>
        <w:div w:id="1152984589">
          <w:marLeft w:val="640"/>
          <w:marRight w:val="0"/>
          <w:marTop w:val="0"/>
          <w:marBottom w:val="0"/>
          <w:divBdr>
            <w:top w:val="none" w:sz="0" w:space="0" w:color="auto"/>
            <w:left w:val="none" w:sz="0" w:space="0" w:color="auto"/>
            <w:bottom w:val="none" w:sz="0" w:space="0" w:color="auto"/>
            <w:right w:val="none" w:sz="0" w:space="0" w:color="auto"/>
          </w:divBdr>
        </w:div>
        <w:div w:id="1148278325">
          <w:marLeft w:val="640"/>
          <w:marRight w:val="0"/>
          <w:marTop w:val="0"/>
          <w:marBottom w:val="0"/>
          <w:divBdr>
            <w:top w:val="none" w:sz="0" w:space="0" w:color="auto"/>
            <w:left w:val="none" w:sz="0" w:space="0" w:color="auto"/>
            <w:bottom w:val="none" w:sz="0" w:space="0" w:color="auto"/>
            <w:right w:val="none" w:sz="0" w:space="0" w:color="auto"/>
          </w:divBdr>
        </w:div>
        <w:div w:id="527639607">
          <w:marLeft w:val="640"/>
          <w:marRight w:val="0"/>
          <w:marTop w:val="0"/>
          <w:marBottom w:val="0"/>
          <w:divBdr>
            <w:top w:val="none" w:sz="0" w:space="0" w:color="auto"/>
            <w:left w:val="none" w:sz="0" w:space="0" w:color="auto"/>
            <w:bottom w:val="none" w:sz="0" w:space="0" w:color="auto"/>
            <w:right w:val="none" w:sz="0" w:space="0" w:color="auto"/>
          </w:divBdr>
        </w:div>
        <w:div w:id="1128935008">
          <w:marLeft w:val="640"/>
          <w:marRight w:val="0"/>
          <w:marTop w:val="0"/>
          <w:marBottom w:val="0"/>
          <w:divBdr>
            <w:top w:val="none" w:sz="0" w:space="0" w:color="auto"/>
            <w:left w:val="none" w:sz="0" w:space="0" w:color="auto"/>
            <w:bottom w:val="none" w:sz="0" w:space="0" w:color="auto"/>
            <w:right w:val="none" w:sz="0" w:space="0" w:color="auto"/>
          </w:divBdr>
        </w:div>
        <w:div w:id="408960757">
          <w:marLeft w:val="640"/>
          <w:marRight w:val="0"/>
          <w:marTop w:val="0"/>
          <w:marBottom w:val="0"/>
          <w:divBdr>
            <w:top w:val="none" w:sz="0" w:space="0" w:color="auto"/>
            <w:left w:val="none" w:sz="0" w:space="0" w:color="auto"/>
            <w:bottom w:val="none" w:sz="0" w:space="0" w:color="auto"/>
            <w:right w:val="none" w:sz="0" w:space="0" w:color="auto"/>
          </w:divBdr>
        </w:div>
        <w:div w:id="1057703727">
          <w:marLeft w:val="640"/>
          <w:marRight w:val="0"/>
          <w:marTop w:val="0"/>
          <w:marBottom w:val="0"/>
          <w:divBdr>
            <w:top w:val="none" w:sz="0" w:space="0" w:color="auto"/>
            <w:left w:val="none" w:sz="0" w:space="0" w:color="auto"/>
            <w:bottom w:val="none" w:sz="0" w:space="0" w:color="auto"/>
            <w:right w:val="none" w:sz="0" w:space="0" w:color="auto"/>
          </w:divBdr>
        </w:div>
        <w:div w:id="324168741">
          <w:marLeft w:val="640"/>
          <w:marRight w:val="0"/>
          <w:marTop w:val="0"/>
          <w:marBottom w:val="0"/>
          <w:divBdr>
            <w:top w:val="none" w:sz="0" w:space="0" w:color="auto"/>
            <w:left w:val="none" w:sz="0" w:space="0" w:color="auto"/>
            <w:bottom w:val="none" w:sz="0" w:space="0" w:color="auto"/>
            <w:right w:val="none" w:sz="0" w:space="0" w:color="auto"/>
          </w:divBdr>
        </w:div>
        <w:div w:id="1801343337">
          <w:marLeft w:val="640"/>
          <w:marRight w:val="0"/>
          <w:marTop w:val="0"/>
          <w:marBottom w:val="0"/>
          <w:divBdr>
            <w:top w:val="none" w:sz="0" w:space="0" w:color="auto"/>
            <w:left w:val="none" w:sz="0" w:space="0" w:color="auto"/>
            <w:bottom w:val="none" w:sz="0" w:space="0" w:color="auto"/>
            <w:right w:val="none" w:sz="0" w:space="0" w:color="auto"/>
          </w:divBdr>
        </w:div>
        <w:div w:id="172769397">
          <w:marLeft w:val="640"/>
          <w:marRight w:val="0"/>
          <w:marTop w:val="0"/>
          <w:marBottom w:val="0"/>
          <w:divBdr>
            <w:top w:val="none" w:sz="0" w:space="0" w:color="auto"/>
            <w:left w:val="none" w:sz="0" w:space="0" w:color="auto"/>
            <w:bottom w:val="none" w:sz="0" w:space="0" w:color="auto"/>
            <w:right w:val="none" w:sz="0" w:space="0" w:color="auto"/>
          </w:divBdr>
        </w:div>
        <w:div w:id="187061236">
          <w:marLeft w:val="640"/>
          <w:marRight w:val="0"/>
          <w:marTop w:val="0"/>
          <w:marBottom w:val="0"/>
          <w:divBdr>
            <w:top w:val="none" w:sz="0" w:space="0" w:color="auto"/>
            <w:left w:val="none" w:sz="0" w:space="0" w:color="auto"/>
            <w:bottom w:val="none" w:sz="0" w:space="0" w:color="auto"/>
            <w:right w:val="none" w:sz="0" w:space="0" w:color="auto"/>
          </w:divBdr>
        </w:div>
        <w:div w:id="1899507700">
          <w:marLeft w:val="640"/>
          <w:marRight w:val="0"/>
          <w:marTop w:val="0"/>
          <w:marBottom w:val="0"/>
          <w:divBdr>
            <w:top w:val="none" w:sz="0" w:space="0" w:color="auto"/>
            <w:left w:val="none" w:sz="0" w:space="0" w:color="auto"/>
            <w:bottom w:val="none" w:sz="0" w:space="0" w:color="auto"/>
            <w:right w:val="none" w:sz="0" w:space="0" w:color="auto"/>
          </w:divBdr>
        </w:div>
        <w:div w:id="1200823869">
          <w:marLeft w:val="640"/>
          <w:marRight w:val="0"/>
          <w:marTop w:val="0"/>
          <w:marBottom w:val="0"/>
          <w:divBdr>
            <w:top w:val="none" w:sz="0" w:space="0" w:color="auto"/>
            <w:left w:val="none" w:sz="0" w:space="0" w:color="auto"/>
            <w:bottom w:val="none" w:sz="0" w:space="0" w:color="auto"/>
            <w:right w:val="none" w:sz="0" w:space="0" w:color="auto"/>
          </w:divBdr>
        </w:div>
        <w:div w:id="1048608490">
          <w:marLeft w:val="640"/>
          <w:marRight w:val="0"/>
          <w:marTop w:val="0"/>
          <w:marBottom w:val="0"/>
          <w:divBdr>
            <w:top w:val="none" w:sz="0" w:space="0" w:color="auto"/>
            <w:left w:val="none" w:sz="0" w:space="0" w:color="auto"/>
            <w:bottom w:val="none" w:sz="0" w:space="0" w:color="auto"/>
            <w:right w:val="none" w:sz="0" w:space="0" w:color="auto"/>
          </w:divBdr>
        </w:div>
        <w:div w:id="561523400">
          <w:marLeft w:val="640"/>
          <w:marRight w:val="0"/>
          <w:marTop w:val="0"/>
          <w:marBottom w:val="0"/>
          <w:divBdr>
            <w:top w:val="none" w:sz="0" w:space="0" w:color="auto"/>
            <w:left w:val="none" w:sz="0" w:space="0" w:color="auto"/>
            <w:bottom w:val="none" w:sz="0" w:space="0" w:color="auto"/>
            <w:right w:val="none" w:sz="0" w:space="0" w:color="auto"/>
          </w:divBdr>
        </w:div>
        <w:div w:id="424695100">
          <w:marLeft w:val="640"/>
          <w:marRight w:val="0"/>
          <w:marTop w:val="0"/>
          <w:marBottom w:val="0"/>
          <w:divBdr>
            <w:top w:val="none" w:sz="0" w:space="0" w:color="auto"/>
            <w:left w:val="none" w:sz="0" w:space="0" w:color="auto"/>
            <w:bottom w:val="none" w:sz="0" w:space="0" w:color="auto"/>
            <w:right w:val="none" w:sz="0" w:space="0" w:color="auto"/>
          </w:divBdr>
        </w:div>
        <w:div w:id="106899405">
          <w:marLeft w:val="640"/>
          <w:marRight w:val="0"/>
          <w:marTop w:val="0"/>
          <w:marBottom w:val="0"/>
          <w:divBdr>
            <w:top w:val="none" w:sz="0" w:space="0" w:color="auto"/>
            <w:left w:val="none" w:sz="0" w:space="0" w:color="auto"/>
            <w:bottom w:val="none" w:sz="0" w:space="0" w:color="auto"/>
            <w:right w:val="none" w:sz="0" w:space="0" w:color="auto"/>
          </w:divBdr>
        </w:div>
        <w:div w:id="1909264623">
          <w:marLeft w:val="640"/>
          <w:marRight w:val="0"/>
          <w:marTop w:val="0"/>
          <w:marBottom w:val="0"/>
          <w:divBdr>
            <w:top w:val="none" w:sz="0" w:space="0" w:color="auto"/>
            <w:left w:val="none" w:sz="0" w:space="0" w:color="auto"/>
            <w:bottom w:val="none" w:sz="0" w:space="0" w:color="auto"/>
            <w:right w:val="none" w:sz="0" w:space="0" w:color="auto"/>
          </w:divBdr>
        </w:div>
        <w:div w:id="1696272197">
          <w:marLeft w:val="640"/>
          <w:marRight w:val="0"/>
          <w:marTop w:val="0"/>
          <w:marBottom w:val="0"/>
          <w:divBdr>
            <w:top w:val="none" w:sz="0" w:space="0" w:color="auto"/>
            <w:left w:val="none" w:sz="0" w:space="0" w:color="auto"/>
            <w:bottom w:val="none" w:sz="0" w:space="0" w:color="auto"/>
            <w:right w:val="none" w:sz="0" w:space="0" w:color="auto"/>
          </w:divBdr>
        </w:div>
        <w:div w:id="1270356008">
          <w:marLeft w:val="640"/>
          <w:marRight w:val="0"/>
          <w:marTop w:val="0"/>
          <w:marBottom w:val="0"/>
          <w:divBdr>
            <w:top w:val="none" w:sz="0" w:space="0" w:color="auto"/>
            <w:left w:val="none" w:sz="0" w:space="0" w:color="auto"/>
            <w:bottom w:val="none" w:sz="0" w:space="0" w:color="auto"/>
            <w:right w:val="none" w:sz="0" w:space="0" w:color="auto"/>
          </w:divBdr>
        </w:div>
        <w:div w:id="1468936272">
          <w:marLeft w:val="640"/>
          <w:marRight w:val="0"/>
          <w:marTop w:val="0"/>
          <w:marBottom w:val="0"/>
          <w:divBdr>
            <w:top w:val="none" w:sz="0" w:space="0" w:color="auto"/>
            <w:left w:val="none" w:sz="0" w:space="0" w:color="auto"/>
            <w:bottom w:val="none" w:sz="0" w:space="0" w:color="auto"/>
            <w:right w:val="none" w:sz="0" w:space="0" w:color="auto"/>
          </w:divBdr>
        </w:div>
        <w:div w:id="1725132753">
          <w:marLeft w:val="640"/>
          <w:marRight w:val="0"/>
          <w:marTop w:val="0"/>
          <w:marBottom w:val="0"/>
          <w:divBdr>
            <w:top w:val="none" w:sz="0" w:space="0" w:color="auto"/>
            <w:left w:val="none" w:sz="0" w:space="0" w:color="auto"/>
            <w:bottom w:val="none" w:sz="0" w:space="0" w:color="auto"/>
            <w:right w:val="none" w:sz="0" w:space="0" w:color="auto"/>
          </w:divBdr>
        </w:div>
        <w:div w:id="926428018">
          <w:marLeft w:val="640"/>
          <w:marRight w:val="0"/>
          <w:marTop w:val="0"/>
          <w:marBottom w:val="0"/>
          <w:divBdr>
            <w:top w:val="none" w:sz="0" w:space="0" w:color="auto"/>
            <w:left w:val="none" w:sz="0" w:space="0" w:color="auto"/>
            <w:bottom w:val="none" w:sz="0" w:space="0" w:color="auto"/>
            <w:right w:val="none" w:sz="0" w:space="0" w:color="auto"/>
          </w:divBdr>
        </w:div>
        <w:div w:id="375663485">
          <w:marLeft w:val="640"/>
          <w:marRight w:val="0"/>
          <w:marTop w:val="0"/>
          <w:marBottom w:val="0"/>
          <w:divBdr>
            <w:top w:val="none" w:sz="0" w:space="0" w:color="auto"/>
            <w:left w:val="none" w:sz="0" w:space="0" w:color="auto"/>
            <w:bottom w:val="none" w:sz="0" w:space="0" w:color="auto"/>
            <w:right w:val="none" w:sz="0" w:space="0" w:color="auto"/>
          </w:divBdr>
        </w:div>
        <w:div w:id="615336494">
          <w:marLeft w:val="640"/>
          <w:marRight w:val="0"/>
          <w:marTop w:val="0"/>
          <w:marBottom w:val="0"/>
          <w:divBdr>
            <w:top w:val="none" w:sz="0" w:space="0" w:color="auto"/>
            <w:left w:val="none" w:sz="0" w:space="0" w:color="auto"/>
            <w:bottom w:val="none" w:sz="0" w:space="0" w:color="auto"/>
            <w:right w:val="none" w:sz="0" w:space="0" w:color="auto"/>
          </w:divBdr>
        </w:div>
        <w:div w:id="1743479033">
          <w:marLeft w:val="640"/>
          <w:marRight w:val="0"/>
          <w:marTop w:val="0"/>
          <w:marBottom w:val="0"/>
          <w:divBdr>
            <w:top w:val="none" w:sz="0" w:space="0" w:color="auto"/>
            <w:left w:val="none" w:sz="0" w:space="0" w:color="auto"/>
            <w:bottom w:val="none" w:sz="0" w:space="0" w:color="auto"/>
            <w:right w:val="none" w:sz="0" w:space="0" w:color="auto"/>
          </w:divBdr>
        </w:div>
        <w:div w:id="1441103771">
          <w:marLeft w:val="640"/>
          <w:marRight w:val="0"/>
          <w:marTop w:val="0"/>
          <w:marBottom w:val="0"/>
          <w:divBdr>
            <w:top w:val="none" w:sz="0" w:space="0" w:color="auto"/>
            <w:left w:val="none" w:sz="0" w:space="0" w:color="auto"/>
            <w:bottom w:val="none" w:sz="0" w:space="0" w:color="auto"/>
            <w:right w:val="none" w:sz="0" w:space="0" w:color="auto"/>
          </w:divBdr>
        </w:div>
        <w:div w:id="309867397">
          <w:marLeft w:val="640"/>
          <w:marRight w:val="0"/>
          <w:marTop w:val="0"/>
          <w:marBottom w:val="0"/>
          <w:divBdr>
            <w:top w:val="none" w:sz="0" w:space="0" w:color="auto"/>
            <w:left w:val="none" w:sz="0" w:space="0" w:color="auto"/>
            <w:bottom w:val="none" w:sz="0" w:space="0" w:color="auto"/>
            <w:right w:val="none" w:sz="0" w:space="0" w:color="auto"/>
          </w:divBdr>
        </w:div>
      </w:divsChild>
    </w:div>
    <w:div w:id="1776054641">
      <w:bodyDiv w:val="1"/>
      <w:marLeft w:val="0"/>
      <w:marRight w:val="0"/>
      <w:marTop w:val="0"/>
      <w:marBottom w:val="0"/>
      <w:divBdr>
        <w:top w:val="none" w:sz="0" w:space="0" w:color="auto"/>
        <w:left w:val="none" w:sz="0" w:space="0" w:color="auto"/>
        <w:bottom w:val="none" w:sz="0" w:space="0" w:color="auto"/>
        <w:right w:val="none" w:sz="0" w:space="0" w:color="auto"/>
      </w:divBdr>
      <w:divsChild>
        <w:div w:id="897395748">
          <w:marLeft w:val="640"/>
          <w:marRight w:val="0"/>
          <w:marTop w:val="0"/>
          <w:marBottom w:val="0"/>
          <w:divBdr>
            <w:top w:val="none" w:sz="0" w:space="0" w:color="auto"/>
            <w:left w:val="none" w:sz="0" w:space="0" w:color="auto"/>
            <w:bottom w:val="none" w:sz="0" w:space="0" w:color="auto"/>
            <w:right w:val="none" w:sz="0" w:space="0" w:color="auto"/>
          </w:divBdr>
        </w:div>
        <w:div w:id="67194964">
          <w:marLeft w:val="640"/>
          <w:marRight w:val="0"/>
          <w:marTop w:val="0"/>
          <w:marBottom w:val="0"/>
          <w:divBdr>
            <w:top w:val="none" w:sz="0" w:space="0" w:color="auto"/>
            <w:left w:val="none" w:sz="0" w:space="0" w:color="auto"/>
            <w:bottom w:val="none" w:sz="0" w:space="0" w:color="auto"/>
            <w:right w:val="none" w:sz="0" w:space="0" w:color="auto"/>
          </w:divBdr>
        </w:div>
        <w:div w:id="1440029948">
          <w:marLeft w:val="640"/>
          <w:marRight w:val="0"/>
          <w:marTop w:val="0"/>
          <w:marBottom w:val="0"/>
          <w:divBdr>
            <w:top w:val="none" w:sz="0" w:space="0" w:color="auto"/>
            <w:left w:val="none" w:sz="0" w:space="0" w:color="auto"/>
            <w:bottom w:val="none" w:sz="0" w:space="0" w:color="auto"/>
            <w:right w:val="none" w:sz="0" w:space="0" w:color="auto"/>
          </w:divBdr>
        </w:div>
        <w:div w:id="1055665398">
          <w:marLeft w:val="640"/>
          <w:marRight w:val="0"/>
          <w:marTop w:val="0"/>
          <w:marBottom w:val="0"/>
          <w:divBdr>
            <w:top w:val="none" w:sz="0" w:space="0" w:color="auto"/>
            <w:left w:val="none" w:sz="0" w:space="0" w:color="auto"/>
            <w:bottom w:val="none" w:sz="0" w:space="0" w:color="auto"/>
            <w:right w:val="none" w:sz="0" w:space="0" w:color="auto"/>
          </w:divBdr>
        </w:div>
        <w:div w:id="642857059">
          <w:marLeft w:val="640"/>
          <w:marRight w:val="0"/>
          <w:marTop w:val="0"/>
          <w:marBottom w:val="0"/>
          <w:divBdr>
            <w:top w:val="none" w:sz="0" w:space="0" w:color="auto"/>
            <w:left w:val="none" w:sz="0" w:space="0" w:color="auto"/>
            <w:bottom w:val="none" w:sz="0" w:space="0" w:color="auto"/>
            <w:right w:val="none" w:sz="0" w:space="0" w:color="auto"/>
          </w:divBdr>
        </w:div>
        <w:div w:id="502476208">
          <w:marLeft w:val="640"/>
          <w:marRight w:val="0"/>
          <w:marTop w:val="0"/>
          <w:marBottom w:val="0"/>
          <w:divBdr>
            <w:top w:val="none" w:sz="0" w:space="0" w:color="auto"/>
            <w:left w:val="none" w:sz="0" w:space="0" w:color="auto"/>
            <w:bottom w:val="none" w:sz="0" w:space="0" w:color="auto"/>
            <w:right w:val="none" w:sz="0" w:space="0" w:color="auto"/>
          </w:divBdr>
        </w:div>
        <w:div w:id="726614648">
          <w:marLeft w:val="640"/>
          <w:marRight w:val="0"/>
          <w:marTop w:val="0"/>
          <w:marBottom w:val="0"/>
          <w:divBdr>
            <w:top w:val="none" w:sz="0" w:space="0" w:color="auto"/>
            <w:left w:val="none" w:sz="0" w:space="0" w:color="auto"/>
            <w:bottom w:val="none" w:sz="0" w:space="0" w:color="auto"/>
            <w:right w:val="none" w:sz="0" w:space="0" w:color="auto"/>
          </w:divBdr>
        </w:div>
        <w:div w:id="1801191722">
          <w:marLeft w:val="640"/>
          <w:marRight w:val="0"/>
          <w:marTop w:val="0"/>
          <w:marBottom w:val="0"/>
          <w:divBdr>
            <w:top w:val="none" w:sz="0" w:space="0" w:color="auto"/>
            <w:left w:val="none" w:sz="0" w:space="0" w:color="auto"/>
            <w:bottom w:val="none" w:sz="0" w:space="0" w:color="auto"/>
            <w:right w:val="none" w:sz="0" w:space="0" w:color="auto"/>
          </w:divBdr>
        </w:div>
        <w:div w:id="233972278">
          <w:marLeft w:val="640"/>
          <w:marRight w:val="0"/>
          <w:marTop w:val="0"/>
          <w:marBottom w:val="0"/>
          <w:divBdr>
            <w:top w:val="none" w:sz="0" w:space="0" w:color="auto"/>
            <w:left w:val="none" w:sz="0" w:space="0" w:color="auto"/>
            <w:bottom w:val="none" w:sz="0" w:space="0" w:color="auto"/>
            <w:right w:val="none" w:sz="0" w:space="0" w:color="auto"/>
          </w:divBdr>
        </w:div>
        <w:div w:id="121315054">
          <w:marLeft w:val="640"/>
          <w:marRight w:val="0"/>
          <w:marTop w:val="0"/>
          <w:marBottom w:val="0"/>
          <w:divBdr>
            <w:top w:val="none" w:sz="0" w:space="0" w:color="auto"/>
            <w:left w:val="none" w:sz="0" w:space="0" w:color="auto"/>
            <w:bottom w:val="none" w:sz="0" w:space="0" w:color="auto"/>
            <w:right w:val="none" w:sz="0" w:space="0" w:color="auto"/>
          </w:divBdr>
        </w:div>
        <w:div w:id="402995228">
          <w:marLeft w:val="640"/>
          <w:marRight w:val="0"/>
          <w:marTop w:val="0"/>
          <w:marBottom w:val="0"/>
          <w:divBdr>
            <w:top w:val="none" w:sz="0" w:space="0" w:color="auto"/>
            <w:left w:val="none" w:sz="0" w:space="0" w:color="auto"/>
            <w:bottom w:val="none" w:sz="0" w:space="0" w:color="auto"/>
            <w:right w:val="none" w:sz="0" w:space="0" w:color="auto"/>
          </w:divBdr>
        </w:div>
        <w:div w:id="1112284003">
          <w:marLeft w:val="640"/>
          <w:marRight w:val="0"/>
          <w:marTop w:val="0"/>
          <w:marBottom w:val="0"/>
          <w:divBdr>
            <w:top w:val="none" w:sz="0" w:space="0" w:color="auto"/>
            <w:left w:val="none" w:sz="0" w:space="0" w:color="auto"/>
            <w:bottom w:val="none" w:sz="0" w:space="0" w:color="auto"/>
            <w:right w:val="none" w:sz="0" w:space="0" w:color="auto"/>
          </w:divBdr>
        </w:div>
        <w:div w:id="1997298009">
          <w:marLeft w:val="640"/>
          <w:marRight w:val="0"/>
          <w:marTop w:val="0"/>
          <w:marBottom w:val="0"/>
          <w:divBdr>
            <w:top w:val="none" w:sz="0" w:space="0" w:color="auto"/>
            <w:left w:val="none" w:sz="0" w:space="0" w:color="auto"/>
            <w:bottom w:val="none" w:sz="0" w:space="0" w:color="auto"/>
            <w:right w:val="none" w:sz="0" w:space="0" w:color="auto"/>
          </w:divBdr>
        </w:div>
        <w:div w:id="1561599226">
          <w:marLeft w:val="640"/>
          <w:marRight w:val="0"/>
          <w:marTop w:val="0"/>
          <w:marBottom w:val="0"/>
          <w:divBdr>
            <w:top w:val="none" w:sz="0" w:space="0" w:color="auto"/>
            <w:left w:val="none" w:sz="0" w:space="0" w:color="auto"/>
            <w:bottom w:val="none" w:sz="0" w:space="0" w:color="auto"/>
            <w:right w:val="none" w:sz="0" w:space="0" w:color="auto"/>
          </w:divBdr>
        </w:div>
        <w:div w:id="471138724">
          <w:marLeft w:val="640"/>
          <w:marRight w:val="0"/>
          <w:marTop w:val="0"/>
          <w:marBottom w:val="0"/>
          <w:divBdr>
            <w:top w:val="none" w:sz="0" w:space="0" w:color="auto"/>
            <w:left w:val="none" w:sz="0" w:space="0" w:color="auto"/>
            <w:bottom w:val="none" w:sz="0" w:space="0" w:color="auto"/>
            <w:right w:val="none" w:sz="0" w:space="0" w:color="auto"/>
          </w:divBdr>
        </w:div>
        <w:div w:id="1472212497">
          <w:marLeft w:val="640"/>
          <w:marRight w:val="0"/>
          <w:marTop w:val="0"/>
          <w:marBottom w:val="0"/>
          <w:divBdr>
            <w:top w:val="none" w:sz="0" w:space="0" w:color="auto"/>
            <w:left w:val="none" w:sz="0" w:space="0" w:color="auto"/>
            <w:bottom w:val="none" w:sz="0" w:space="0" w:color="auto"/>
            <w:right w:val="none" w:sz="0" w:space="0" w:color="auto"/>
          </w:divBdr>
        </w:div>
        <w:div w:id="1840458651">
          <w:marLeft w:val="640"/>
          <w:marRight w:val="0"/>
          <w:marTop w:val="0"/>
          <w:marBottom w:val="0"/>
          <w:divBdr>
            <w:top w:val="none" w:sz="0" w:space="0" w:color="auto"/>
            <w:left w:val="none" w:sz="0" w:space="0" w:color="auto"/>
            <w:bottom w:val="none" w:sz="0" w:space="0" w:color="auto"/>
            <w:right w:val="none" w:sz="0" w:space="0" w:color="auto"/>
          </w:divBdr>
        </w:div>
        <w:div w:id="1533570047">
          <w:marLeft w:val="640"/>
          <w:marRight w:val="0"/>
          <w:marTop w:val="0"/>
          <w:marBottom w:val="0"/>
          <w:divBdr>
            <w:top w:val="none" w:sz="0" w:space="0" w:color="auto"/>
            <w:left w:val="none" w:sz="0" w:space="0" w:color="auto"/>
            <w:bottom w:val="none" w:sz="0" w:space="0" w:color="auto"/>
            <w:right w:val="none" w:sz="0" w:space="0" w:color="auto"/>
          </w:divBdr>
        </w:div>
        <w:div w:id="1269773905">
          <w:marLeft w:val="640"/>
          <w:marRight w:val="0"/>
          <w:marTop w:val="0"/>
          <w:marBottom w:val="0"/>
          <w:divBdr>
            <w:top w:val="none" w:sz="0" w:space="0" w:color="auto"/>
            <w:left w:val="none" w:sz="0" w:space="0" w:color="auto"/>
            <w:bottom w:val="none" w:sz="0" w:space="0" w:color="auto"/>
            <w:right w:val="none" w:sz="0" w:space="0" w:color="auto"/>
          </w:divBdr>
        </w:div>
        <w:div w:id="556818870">
          <w:marLeft w:val="640"/>
          <w:marRight w:val="0"/>
          <w:marTop w:val="0"/>
          <w:marBottom w:val="0"/>
          <w:divBdr>
            <w:top w:val="none" w:sz="0" w:space="0" w:color="auto"/>
            <w:left w:val="none" w:sz="0" w:space="0" w:color="auto"/>
            <w:bottom w:val="none" w:sz="0" w:space="0" w:color="auto"/>
            <w:right w:val="none" w:sz="0" w:space="0" w:color="auto"/>
          </w:divBdr>
        </w:div>
        <w:div w:id="1785998787">
          <w:marLeft w:val="640"/>
          <w:marRight w:val="0"/>
          <w:marTop w:val="0"/>
          <w:marBottom w:val="0"/>
          <w:divBdr>
            <w:top w:val="none" w:sz="0" w:space="0" w:color="auto"/>
            <w:left w:val="none" w:sz="0" w:space="0" w:color="auto"/>
            <w:bottom w:val="none" w:sz="0" w:space="0" w:color="auto"/>
            <w:right w:val="none" w:sz="0" w:space="0" w:color="auto"/>
          </w:divBdr>
        </w:div>
        <w:div w:id="2095129507">
          <w:marLeft w:val="640"/>
          <w:marRight w:val="0"/>
          <w:marTop w:val="0"/>
          <w:marBottom w:val="0"/>
          <w:divBdr>
            <w:top w:val="none" w:sz="0" w:space="0" w:color="auto"/>
            <w:left w:val="none" w:sz="0" w:space="0" w:color="auto"/>
            <w:bottom w:val="none" w:sz="0" w:space="0" w:color="auto"/>
            <w:right w:val="none" w:sz="0" w:space="0" w:color="auto"/>
          </w:divBdr>
        </w:div>
        <w:div w:id="1706364112">
          <w:marLeft w:val="640"/>
          <w:marRight w:val="0"/>
          <w:marTop w:val="0"/>
          <w:marBottom w:val="0"/>
          <w:divBdr>
            <w:top w:val="none" w:sz="0" w:space="0" w:color="auto"/>
            <w:left w:val="none" w:sz="0" w:space="0" w:color="auto"/>
            <w:bottom w:val="none" w:sz="0" w:space="0" w:color="auto"/>
            <w:right w:val="none" w:sz="0" w:space="0" w:color="auto"/>
          </w:divBdr>
        </w:div>
        <w:div w:id="1200430485">
          <w:marLeft w:val="640"/>
          <w:marRight w:val="0"/>
          <w:marTop w:val="0"/>
          <w:marBottom w:val="0"/>
          <w:divBdr>
            <w:top w:val="none" w:sz="0" w:space="0" w:color="auto"/>
            <w:left w:val="none" w:sz="0" w:space="0" w:color="auto"/>
            <w:bottom w:val="none" w:sz="0" w:space="0" w:color="auto"/>
            <w:right w:val="none" w:sz="0" w:space="0" w:color="auto"/>
          </w:divBdr>
        </w:div>
        <w:div w:id="1335374603">
          <w:marLeft w:val="640"/>
          <w:marRight w:val="0"/>
          <w:marTop w:val="0"/>
          <w:marBottom w:val="0"/>
          <w:divBdr>
            <w:top w:val="none" w:sz="0" w:space="0" w:color="auto"/>
            <w:left w:val="none" w:sz="0" w:space="0" w:color="auto"/>
            <w:bottom w:val="none" w:sz="0" w:space="0" w:color="auto"/>
            <w:right w:val="none" w:sz="0" w:space="0" w:color="auto"/>
          </w:divBdr>
        </w:div>
        <w:div w:id="694888678">
          <w:marLeft w:val="640"/>
          <w:marRight w:val="0"/>
          <w:marTop w:val="0"/>
          <w:marBottom w:val="0"/>
          <w:divBdr>
            <w:top w:val="none" w:sz="0" w:space="0" w:color="auto"/>
            <w:left w:val="none" w:sz="0" w:space="0" w:color="auto"/>
            <w:bottom w:val="none" w:sz="0" w:space="0" w:color="auto"/>
            <w:right w:val="none" w:sz="0" w:space="0" w:color="auto"/>
          </w:divBdr>
        </w:div>
        <w:div w:id="1854226589">
          <w:marLeft w:val="640"/>
          <w:marRight w:val="0"/>
          <w:marTop w:val="0"/>
          <w:marBottom w:val="0"/>
          <w:divBdr>
            <w:top w:val="none" w:sz="0" w:space="0" w:color="auto"/>
            <w:left w:val="none" w:sz="0" w:space="0" w:color="auto"/>
            <w:bottom w:val="none" w:sz="0" w:space="0" w:color="auto"/>
            <w:right w:val="none" w:sz="0" w:space="0" w:color="auto"/>
          </w:divBdr>
        </w:div>
        <w:div w:id="1897935285">
          <w:marLeft w:val="640"/>
          <w:marRight w:val="0"/>
          <w:marTop w:val="0"/>
          <w:marBottom w:val="0"/>
          <w:divBdr>
            <w:top w:val="none" w:sz="0" w:space="0" w:color="auto"/>
            <w:left w:val="none" w:sz="0" w:space="0" w:color="auto"/>
            <w:bottom w:val="none" w:sz="0" w:space="0" w:color="auto"/>
            <w:right w:val="none" w:sz="0" w:space="0" w:color="auto"/>
          </w:divBdr>
        </w:div>
        <w:div w:id="2144884038">
          <w:marLeft w:val="640"/>
          <w:marRight w:val="0"/>
          <w:marTop w:val="0"/>
          <w:marBottom w:val="0"/>
          <w:divBdr>
            <w:top w:val="none" w:sz="0" w:space="0" w:color="auto"/>
            <w:left w:val="none" w:sz="0" w:space="0" w:color="auto"/>
            <w:bottom w:val="none" w:sz="0" w:space="0" w:color="auto"/>
            <w:right w:val="none" w:sz="0" w:space="0" w:color="auto"/>
          </w:divBdr>
        </w:div>
        <w:div w:id="47730297">
          <w:marLeft w:val="640"/>
          <w:marRight w:val="0"/>
          <w:marTop w:val="0"/>
          <w:marBottom w:val="0"/>
          <w:divBdr>
            <w:top w:val="none" w:sz="0" w:space="0" w:color="auto"/>
            <w:left w:val="none" w:sz="0" w:space="0" w:color="auto"/>
            <w:bottom w:val="none" w:sz="0" w:space="0" w:color="auto"/>
            <w:right w:val="none" w:sz="0" w:space="0" w:color="auto"/>
          </w:divBdr>
        </w:div>
        <w:div w:id="781461147">
          <w:marLeft w:val="640"/>
          <w:marRight w:val="0"/>
          <w:marTop w:val="0"/>
          <w:marBottom w:val="0"/>
          <w:divBdr>
            <w:top w:val="none" w:sz="0" w:space="0" w:color="auto"/>
            <w:left w:val="none" w:sz="0" w:space="0" w:color="auto"/>
            <w:bottom w:val="none" w:sz="0" w:space="0" w:color="auto"/>
            <w:right w:val="none" w:sz="0" w:space="0" w:color="auto"/>
          </w:divBdr>
        </w:div>
        <w:div w:id="1481342259">
          <w:marLeft w:val="640"/>
          <w:marRight w:val="0"/>
          <w:marTop w:val="0"/>
          <w:marBottom w:val="0"/>
          <w:divBdr>
            <w:top w:val="none" w:sz="0" w:space="0" w:color="auto"/>
            <w:left w:val="none" w:sz="0" w:space="0" w:color="auto"/>
            <w:bottom w:val="none" w:sz="0" w:space="0" w:color="auto"/>
            <w:right w:val="none" w:sz="0" w:space="0" w:color="auto"/>
          </w:divBdr>
        </w:div>
        <w:div w:id="1865053782">
          <w:marLeft w:val="640"/>
          <w:marRight w:val="0"/>
          <w:marTop w:val="0"/>
          <w:marBottom w:val="0"/>
          <w:divBdr>
            <w:top w:val="none" w:sz="0" w:space="0" w:color="auto"/>
            <w:left w:val="none" w:sz="0" w:space="0" w:color="auto"/>
            <w:bottom w:val="none" w:sz="0" w:space="0" w:color="auto"/>
            <w:right w:val="none" w:sz="0" w:space="0" w:color="auto"/>
          </w:divBdr>
        </w:div>
        <w:div w:id="1055860347">
          <w:marLeft w:val="640"/>
          <w:marRight w:val="0"/>
          <w:marTop w:val="0"/>
          <w:marBottom w:val="0"/>
          <w:divBdr>
            <w:top w:val="none" w:sz="0" w:space="0" w:color="auto"/>
            <w:left w:val="none" w:sz="0" w:space="0" w:color="auto"/>
            <w:bottom w:val="none" w:sz="0" w:space="0" w:color="auto"/>
            <w:right w:val="none" w:sz="0" w:space="0" w:color="auto"/>
          </w:divBdr>
        </w:div>
        <w:div w:id="739449929">
          <w:marLeft w:val="640"/>
          <w:marRight w:val="0"/>
          <w:marTop w:val="0"/>
          <w:marBottom w:val="0"/>
          <w:divBdr>
            <w:top w:val="none" w:sz="0" w:space="0" w:color="auto"/>
            <w:left w:val="none" w:sz="0" w:space="0" w:color="auto"/>
            <w:bottom w:val="none" w:sz="0" w:space="0" w:color="auto"/>
            <w:right w:val="none" w:sz="0" w:space="0" w:color="auto"/>
          </w:divBdr>
        </w:div>
        <w:div w:id="1256982591">
          <w:marLeft w:val="640"/>
          <w:marRight w:val="0"/>
          <w:marTop w:val="0"/>
          <w:marBottom w:val="0"/>
          <w:divBdr>
            <w:top w:val="none" w:sz="0" w:space="0" w:color="auto"/>
            <w:left w:val="none" w:sz="0" w:space="0" w:color="auto"/>
            <w:bottom w:val="none" w:sz="0" w:space="0" w:color="auto"/>
            <w:right w:val="none" w:sz="0" w:space="0" w:color="auto"/>
          </w:divBdr>
        </w:div>
        <w:div w:id="1619290841">
          <w:marLeft w:val="640"/>
          <w:marRight w:val="0"/>
          <w:marTop w:val="0"/>
          <w:marBottom w:val="0"/>
          <w:divBdr>
            <w:top w:val="none" w:sz="0" w:space="0" w:color="auto"/>
            <w:left w:val="none" w:sz="0" w:space="0" w:color="auto"/>
            <w:bottom w:val="none" w:sz="0" w:space="0" w:color="auto"/>
            <w:right w:val="none" w:sz="0" w:space="0" w:color="auto"/>
          </w:divBdr>
        </w:div>
        <w:div w:id="1490629670">
          <w:marLeft w:val="640"/>
          <w:marRight w:val="0"/>
          <w:marTop w:val="0"/>
          <w:marBottom w:val="0"/>
          <w:divBdr>
            <w:top w:val="none" w:sz="0" w:space="0" w:color="auto"/>
            <w:left w:val="none" w:sz="0" w:space="0" w:color="auto"/>
            <w:bottom w:val="none" w:sz="0" w:space="0" w:color="auto"/>
            <w:right w:val="none" w:sz="0" w:space="0" w:color="auto"/>
          </w:divBdr>
        </w:div>
        <w:div w:id="276302591">
          <w:marLeft w:val="640"/>
          <w:marRight w:val="0"/>
          <w:marTop w:val="0"/>
          <w:marBottom w:val="0"/>
          <w:divBdr>
            <w:top w:val="none" w:sz="0" w:space="0" w:color="auto"/>
            <w:left w:val="none" w:sz="0" w:space="0" w:color="auto"/>
            <w:bottom w:val="none" w:sz="0" w:space="0" w:color="auto"/>
            <w:right w:val="none" w:sz="0" w:space="0" w:color="auto"/>
          </w:divBdr>
        </w:div>
        <w:div w:id="1323660651">
          <w:marLeft w:val="640"/>
          <w:marRight w:val="0"/>
          <w:marTop w:val="0"/>
          <w:marBottom w:val="0"/>
          <w:divBdr>
            <w:top w:val="none" w:sz="0" w:space="0" w:color="auto"/>
            <w:left w:val="none" w:sz="0" w:space="0" w:color="auto"/>
            <w:bottom w:val="none" w:sz="0" w:space="0" w:color="auto"/>
            <w:right w:val="none" w:sz="0" w:space="0" w:color="auto"/>
          </w:divBdr>
        </w:div>
        <w:div w:id="742725540">
          <w:marLeft w:val="640"/>
          <w:marRight w:val="0"/>
          <w:marTop w:val="0"/>
          <w:marBottom w:val="0"/>
          <w:divBdr>
            <w:top w:val="none" w:sz="0" w:space="0" w:color="auto"/>
            <w:left w:val="none" w:sz="0" w:space="0" w:color="auto"/>
            <w:bottom w:val="none" w:sz="0" w:space="0" w:color="auto"/>
            <w:right w:val="none" w:sz="0" w:space="0" w:color="auto"/>
          </w:divBdr>
        </w:div>
        <w:div w:id="1172182669">
          <w:marLeft w:val="640"/>
          <w:marRight w:val="0"/>
          <w:marTop w:val="0"/>
          <w:marBottom w:val="0"/>
          <w:divBdr>
            <w:top w:val="none" w:sz="0" w:space="0" w:color="auto"/>
            <w:left w:val="none" w:sz="0" w:space="0" w:color="auto"/>
            <w:bottom w:val="none" w:sz="0" w:space="0" w:color="auto"/>
            <w:right w:val="none" w:sz="0" w:space="0" w:color="auto"/>
          </w:divBdr>
        </w:div>
        <w:div w:id="1505516554">
          <w:marLeft w:val="640"/>
          <w:marRight w:val="0"/>
          <w:marTop w:val="0"/>
          <w:marBottom w:val="0"/>
          <w:divBdr>
            <w:top w:val="none" w:sz="0" w:space="0" w:color="auto"/>
            <w:left w:val="none" w:sz="0" w:space="0" w:color="auto"/>
            <w:bottom w:val="none" w:sz="0" w:space="0" w:color="auto"/>
            <w:right w:val="none" w:sz="0" w:space="0" w:color="auto"/>
          </w:divBdr>
        </w:div>
        <w:div w:id="522784142">
          <w:marLeft w:val="640"/>
          <w:marRight w:val="0"/>
          <w:marTop w:val="0"/>
          <w:marBottom w:val="0"/>
          <w:divBdr>
            <w:top w:val="none" w:sz="0" w:space="0" w:color="auto"/>
            <w:left w:val="none" w:sz="0" w:space="0" w:color="auto"/>
            <w:bottom w:val="none" w:sz="0" w:space="0" w:color="auto"/>
            <w:right w:val="none" w:sz="0" w:space="0" w:color="auto"/>
          </w:divBdr>
        </w:div>
        <w:div w:id="1854568067">
          <w:marLeft w:val="640"/>
          <w:marRight w:val="0"/>
          <w:marTop w:val="0"/>
          <w:marBottom w:val="0"/>
          <w:divBdr>
            <w:top w:val="none" w:sz="0" w:space="0" w:color="auto"/>
            <w:left w:val="none" w:sz="0" w:space="0" w:color="auto"/>
            <w:bottom w:val="none" w:sz="0" w:space="0" w:color="auto"/>
            <w:right w:val="none" w:sz="0" w:space="0" w:color="auto"/>
          </w:divBdr>
        </w:div>
        <w:div w:id="1324317686">
          <w:marLeft w:val="640"/>
          <w:marRight w:val="0"/>
          <w:marTop w:val="0"/>
          <w:marBottom w:val="0"/>
          <w:divBdr>
            <w:top w:val="none" w:sz="0" w:space="0" w:color="auto"/>
            <w:left w:val="none" w:sz="0" w:space="0" w:color="auto"/>
            <w:bottom w:val="none" w:sz="0" w:space="0" w:color="auto"/>
            <w:right w:val="none" w:sz="0" w:space="0" w:color="auto"/>
          </w:divBdr>
        </w:div>
        <w:div w:id="1793161970">
          <w:marLeft w:val="640"/>
          <w:marRight w:val="0"/>
          <w:marTop w:val="0"/>
          <w:marBottom w:val="0"/>
          <w:divBdr>
            <w:top w:val="none" w:sz="0" w:space="0" w:color="auto"/>
            <w:left w:val="none" w:sz="0" w:space="0" w:color="auto"/>
            <w:bottom w:val="none" w:sz="0" w:space="0" w:color="auto"/>
            <w:right w:val="none" w:sz="0" w:space="0" w:color="auto"/>
          </w:divBdr>
        </w:div>
        <w:div w:id="905990126">
          <w:marLeft w:val="640"/>
          <w:marRight w:val="0"/>
          <w:marTop w:val="0"/>
          <w:marBottom w:val="0"/>
          <w:divBdr>
            <w:top w:val="none" w:sz="0" w:space="0" w:color="auto"/>
            <w:left w:val="none" w:sz="0" w:space="0" w:color="auto"/>
            <w:bottom w:val="none" w:sz="0" w:space="0" w:color="auto"/>
            <w:right w:val="none" w:sz="0" w:space="0" w:color="auto"/>
          </w:divBdr>
        </w:div>
        <w:div w:id="960500993">
          <w:marLeft w:val="640"/>
          <w:marRight w:val="0"/>
          <w:marTop w:val="0"/>
          <w:marBottom w:val="0"/>
          <w:divBdr>
            <w:top w:val="none" w:sz="0" w:space="0" w:color="auto"/>
            <w:left w:val="none" w:sz="0" w:space="0" w:color="auto"/>
            <w:bottom w:val="none" w:sz="0" w:space="0" w:color="auto"/>
            <w:right w:val="none" w:sz="0" w:space="0" w:color="auto"/>
          </w:divBdr>
        </w:div>
        <w:div w:id="85617033">
          <w:marLeft w:val="640"/>
          <w:marRight w:val="0"/>
          <w:marTop w:val="0"/>
          <w:marBottom w:val="0"/>
          <w:divBdr>
            <w:top w:val="none" w:sz="0" w:space="0" w:color="auto"/>
            <w:left w:val="none" w:sz="0" w:space="0" w:color="auto"/>
            <w:bottom w:val="none" w:sz="0" w:space="0" w:color="auto"/>
            <w:right w:val="none" w:sz="0" w:space="0" w:color="auto"/>
          </w:divBdr>
        </w:div>
        <w:div w:id="532966440">
          <w:marLeft w:val="640"/>
          <w:marRight w:val="0"/>
          <w:marTop w:val="0"/>
          <w:marBottom w:val="0"/>
          <w:divBdr>
            <w:top w:val="none" w:sz="0" w:space="0" w:color="auto"/>
            <w:left w:val="none" w:sz="0" w:space="0" w:color="auto"/>
            <w:bottom w:val="none" w:sz="0" w:space="0" w:color="auto"/>
            <w:right w:val="none" w:sz="0" w:space="0" w:color="auto"/>
          </w:divBdr>
        </w:div>
        <w:div w:id="971322218">
          <w:marLeft w:val="640"/>
          <w:marRight w:val="0"/>
          <w:marTop w:val="0"/>
          <w:marBottom w:val="0"/>
          <w:divBdr>
            <w:top w:val="none" w:sz="0" w:space="0" w:color="auto"/>
            <w:left w:val="none" w:sz="0" w:space="0" w:color="auto"/>
            <w:bottom w:val="none" w:sz="0" w:space="0" w:color="auto"/>
            <w:right w:val="none" w:sz="0" w:space="0" w:color="auto"/>
          </w:divBdr>
        </w:div>
        <w:div w:id="1146967804">
          <w:marLeft w:val="640"/>
          <w:marRight w:val="0"/>
          <w:marTop w:val="0"/>
          <w:marBottom w:val="0"/>
          <w:divBdr>
            <w:top w:val="none" w:sz="0" w:space="0" w:color="auto"/>
            <w:left w:val="none" w:sz="0" w:space="0" w:color="auto"/>
            <w:bottom w:val="none" w:sz="0" w:space="0" w:color="auto"/>
            <w:right w:val="none" w:sz="0" w:space="0" w:color="auto"/>
          </w:divBdr>
        </w:div>
        <w:div w:id="1864123928">
          <w:marLeft w:val="640"/>
          <w:marRight w:val="0"/>
          <w:marTop w:val="0"/>
          <w:marBottom w:val="0"/>
          <w:divBdr>
            <w:top w:val="none" w:sz="0" w:space="0" w:color="auto"/>
            <w:left w:val="none" w:sz="0" w:space="0" w:color="auto"/>
            <w:bottom w:val="none" w:sz="0" w:space="0" w:color="auto"/>
            <w:right w:val="none" w:sz="0" w:space="0" w:color="auto"/>
          </w:divBdr>
        </w:div>
        <w:div w:id="1448308385">
          <w:marLeft w:val="640"/>
          <w:marRight w:val="0"/>
          <w:marTop w:val="0"/>
          <w:marBottom w:val="0"/>
          <w:divBdr>
            <w:top w:val="none" w:sz="0" w:space="0" w:color="auto"/>
            <w:left w:val="none" w:sz="0" w:space="0" w:color="auto"/>
            <w:bottom w:val="none" w:sz="0" w:space="0" w:color="auto"/>
            <w:right w:val="none" w:sz="0" w:space="0" w:color="auto"/>
          </w:divBdr>
        </w:div>
        <w:div w:id="1761680792">
          <w:marLeft w:val="640"/>
          <w:marRight w:val="0"/>
          <w:marTop w:val="0"/>
          <w:marBottom w:val="0"/>
          <w:divBdr>
            <w:top w:val="none" w:sz="0" w:space="0" w:color="auto"/>
            <w:left w:val="none" w:sz="0" w:space="0" w:color="auto"/>
            <w:bottom w:val="none" w:sz="0" w:space="0" w:color="auto"/>
            <w:right w:val="none" w:sz="0" w:space="0" w:color="auto"/>
          </w:divBdr>
        </w:div>
        <w:div w:id="1242257729">
          <w:marLeft w:val="640"/>
          <w:marRight w:val="0"/>
          <w:marTop w:val="0"/>
          <w:marBottom w:val="0"/>
          <w:divBdr>
            <w:top w:val="none" w:sz="0" w:space="0" w:color="auto"/>
            <w:left w:val="none" w:sz="0" w:space="0" w:color="auto"/>
            <w:bottom w:val="none" w:sz="0" w:space="0" w:color="auto"/>
            <w:right w:val="none" w:sz="0" w:space="0" w:color="auto"/>
          </w:divBdr>
        </w:div>
        <w:div w:id="1355351497">
          <w:marLeft w:val="640"/>
          <w:marRight w:val="0"/>
          <w:marTop w:val="0"/>
          <w:marBottom w:val="0"/>
          <w:divBdr>
            <w:top w:val="none" w:sz="0" w:space="0" w:color="auto"/>
            <w:left w:val="none" w:sz="0" w:space="0" w:color="auto"/>
            <w:bottom w:val="none" w:sz="0" w:space="0" w:color="auto"/>
            <w:right w:val="none" w:sz="0" w:space="0" w:color="auto"/>
          </w:divBdr>
        </w:div>
        <w:div w:id="560097275">
          <w:marLeft w:val="640"/>
          <w:marRight w:val="0"/>
          <w:marTop w:val="0"/>
          <w:marBottom w:val="0"/>
          <w:divBdr>
            <w:top w:val="none" w:sz="0" w:space="0" w:color="auto"/>
            <w:left w:val="none" w:sz="0" w:space="0" w:color="auto"/>
            <w:bottom w:val="none" w:sz="0" w:space="0" w:color="auto"/>
            <w:right w:val="none" w:sz="0" w:space="0" w:color="auto"/>
          </w:divBdr>
        </w:div>
        <w:div w:id="1110010735">
          <w:marLeft w:val="640"/>
          <w:marRight w:val="0"/>
          <w:marTop w:val="0"/>
          <w:marBottom w:val="0"/>
          <w:divBdr>
            <w:top w:val="none" w:sz="0" w:space="0" w:color="auto"/>
            <w:left w:val="none" w:sz="0" w:space="0" w:color="auto"/>
            <w:bottom w:val="none" w:sz="0" w:space="0" w:color="auto"/>
            <w:right w:val="none" w:sz="0" w:space="0" w:color="auto"/>
          </w:divBdr>
        </w:div>
        <w:div w:id="121465140">
          <w:marLeft w:val="640"/>
          <w:marRight w:val="0"/>
          <w:marTop w:val="0"/>
          <w:marBottom w:val="0"/>
          <w:divBdr>
            <w:top w:val="none" w:sz="0" w:space="0" w:color="auto"/>
            <w:left w:val="none" w:sz="0" w:space="0" w:color="auto"/>
            <w:bottom w:val="none" w:sz="0" w:space="0" w:color="auto"/>
            <w:right w:val="none" w:sz="0" w:space="0" w:color="auto"/>
          </w:divBdr>
        </w:div>
        <w:div w:id="1096638434">
          <w:marLeft w:val="640"/>
          <w:marRight w:val="0"/>
          <w:marTop w:val="0"/>
          <w:marBottom w:val="0"/>
          <w:divBdr>
            <w:top w:val="none" w:sz="0" w:space="0" w:color="auto"/>
            <w:left w:val="none" w:sz="0" w:space="0" w:color="auto"/>
            <w:bottom w:val="none" w:sz="0" w:space="0" w:color="auto"/>
            <w:right w:val="none" w:sz="0" w:space="0" w:color="auto"/>
          </w:divBdr>
        </w:div>
        <w:div w:id="1591619091">
          <w:marLeft w:val="640"/>
          <w:marRight w:val="0"/>
          <w:marTop w:val="0"/>
          <w:marBottom w:val="0"/>
          <w:divBdr>
            <w:top w:val="none" w:sz="0" w:space="0" w:color="auto"/>
            <w:left w:val="none" w:sz="0" w:space="0" w:color="auto"/>
            <w:bottom w:val="none" w:sz="0" w:space="0" w:color="auto"/>
            <w:right w:val="none" w:sz="0" w:space="0" w:color="auto"/>
          </w:divBdr>
        </w:div>
        <w:div w:id="1240291631">
          <w:marLeft w:val="640"/>
          <w:marRight w:val="0"/>
          <w:marTop w:val="0"/>
          <w:marBottom w:val="0"/>
          <w:divBdr>
            <w:top w:val="none" w:sz="0" w:space="0" w:color="auto"/>
            <w:left w:val="none" w:sz="0" w:space="0" w:color="auto"/>
            <w:bottom w:val="none" w:sz="0" w:space="0" w:color="auto"/>
            <w:right w:val="none" w:sz="0" w:space="0" w:color="auto"/>
          </w:divBdr>
        </w:div>
        <w:div w:id="2029477883">
          <w:marLeft w:val="640"/>
          <w:marRight w:val="0"/>
          <w:marTop w:val="0"/>
          <w:marBottom w:val="0"/>
          <w:divBdr>
            <w:top w:val="none" w:sz="0" w:space="0" w:color="auto"/>
            <w:left w:val="none" w:sz="0" w:space="0" w:color="auto"/>
            <w:bottom w:val="none" w:sz="0" w:space="0" w:color="auto"/>
            <w:right w:val="none" w:sz="0" w:space="0" w:color="auto"/>
          </w:divBdr>
        </w:div>
        <w:div w:id="75594306">
          <w:marLeft w:val="640"/>
          <w:marRight w:val="0"/>
          <w:marTop w:val="0"/>
          <w:marBottom w:val="0"/>
          <w:divBdr>
            <w:top w:val="none" w:sz="0" w:space="0" w:color="auto"/>
            <w:left w:val="none" w:sz="0" w:space="0" w:color="auto"/>
            <w:bottom w:val="none" w:sz="0" w:space="0" w:color="auto"/>
            <w:right w:val="none" w:sz="0" w:space="0" w:color="auto"/>
          </w:divBdr>
        </w:div>
        <w:div w:id="2087654575">
          <w:marLeft w:val="640"/>
          <w:marRight w:val="0"/>
          <w:marTop w:val="0"/>
          <w:marBottom w:val="0"/>
          <w:divBdr>
            <w:top w:val="none" w:sz="0" w:space="0" w:color="auto"/>
            <w:left w:val="none" w:sz="0" w:space="0" w:color="auto"/>
            <w:bottom w:val="none" w:sz="0" w:space="0" w:color="auto"/>
            <w:right w:val="none" w:sz="0" w:space="0" w:color="auto"/>
          </w:divBdr>
        </w:div>
        <w:div w:id="1273978047">
          <w:marLeft w:val="640"/>
          <w:marRight w:val="0"/>
          <w:marTop w:val="0"/>
          <w:marBottom w:val="0"/>
          <w:divBdr>
            <w:top w:val="none" w:sz="0" w:space="0" w:color="auto"/>
            <w:left w:val="none" w:sz="0" w:space="0" w:color="auto"/>
            <w:bottom w:val="none" w:sz="0" w:space="0" w:color="auto"/>
            <w:right w:val="none" w:sz="0" w:space="0" w:color="auto"/>
          </w:divBdr>
        </w:div>
        <w:div w:id="1614676780">
          <w:marLeft w:val="640"/>
          <w:marRight w:val="0"/>
          <w:marTop w:val="0"/>
          <w:marBottom w:val="0"/>
          <w:divBdr>
            <w:top w:val="none" w:sz="0" w:space="0" w:color="auto"/>
            <w:left w:val="none" w:sz="0" w:space="0" w:color="auto"/>
            <w:bottom w:val="none" w:sz="0" w:space="0" w:color="auto"/>
            <w:right w:val="none" w:sz="0" w:space="0" w:color="auto"/>
          </w:divBdr>
        </w:div>
        <w:div w:id="1217887712">
          <w:marLeft w:val="640"/>
          <w:marRight w:val="0"/>
          <w:marTop w:val="0"/>
          <w:marBottom w:val="0"/>
          <w:divBdr>
            <w:top w:val="none" w:sz="0" w:space="0" w:color="auto"/>
            <w:left w:val="none" w:sz="0" w:space="0" w:color="auto"/>
            <w:bottom w:val="none" w:sz="0" w:space="0" w:color="auto"/>
            <w:right w:val="none" w:sz="0" w:space="0" w:color="auto"/>
          </w:divBdr>
        </w:div>
        <w:div w:id="399716980">
          <w:marLeft w:val="640"/>
          <w:marRight w:val="0"/>
          <w:marTop w:val="0"/>
          <w:marBottom w:val="0"/>
          <w:divBdr>
            <w:top w:val="none" w:sz="0" w:space="0" w:color="auto"/>
            <w:left w:val="none" w:sz="0" w:space="0" w:color="auto"/>
            <w:bottom w:val="none" w:sz="0" w:space="0" w:color="auto"/>
            <w:right w:val="none" w:sz="0" w:space="0" w:color="auto"/>
          </w:divBdr>
        </w:div>
        <w:div w:id="1296449364">
          <w:marLeft w:val="640"/>
          <w:marRight w:val="0"/>
          <w:marTop w:val="0"/>
          <w:marBottom w:val="0"/>
          <w:divBdr>
            <w:top w:val="none" w:sz="0" w:space="0" w:color="auto"/>
            <w:left w:val="none" w:sz="0" w:space="0" w:color="auto"/>
            <w:bottom w:val="none" w:sz="0" w:space="0" w:color="auto"/>
            <w:right w:val="none" w:sz="0" w:space="0" w:color="auto"/>
          </w:divBdr>
        </w:div>
        <w:div w:id="294990414">
          <w:marLeft w:val="640"/>
          <w:marRight w:val="0"/>
          <w:marTop w:val="0"/>
          <w:marBottom w:val="0"/>
          <w:divBdr>
            <w:top w:val="none" w:sz="0" w:space="0" w:color="auto"/>
            <w:left w:val="none" w:sz="0" w:space="0" w:color="auto"/>
            <w:bottom w:val="none" w:sz="0" w:space="0" w:color="auto"/>
            <w:right w:val="none" w:sz="0" w:space="0" w:color="auto"/>
          </w:divBdr>
        </w:div>
        <w:div w:id="1712917809">
          <w:marLeft w:val="640"/>
          <w:marRight w:val="0"/>
          <w:marTop w:val="0"/>
          <w:marBottom w:val="0"/>
          <w:divBdr>
            <w:top w:val="none" w:sz="0" w:space="0" w:color="auto"/>
            <w:left w:val="none" w:sz="0" w:space="0" w:color="auto"/>
            <w:bottom w:val="none" w:sz="0" w:space="0" w:color="auto"/>
            <w:right w:val="none" w:sz="0" w:space="0" w:color="auto"/>
          </w:divBdr>
        </w:div>
        <w:div w:id="1856260367">
          <w:marLeft w:val="640"/>
          <w:marRight w:val="0"/>
          <w:marTop w:val="0"/>
          <w:marBottom w:val="0"/>
          <w:divBdr>
            <w:top w:val="none" w:sz="0" w:space="0" w:color="auto"/>
            <w:left w:val="none" w:sz="0" w:space="0" w:color="auto"/>
            <w:bottom w:val="none" w:sz="0" w:space="0" w:color="auto"/>
            <w:right w:val="none" w:sz="0" w:space="0" w:color="auto"/>
          </w:divBdr>
        </w:div>
        <w:div w:id="1396121644">
          <w:marLeft w:val="640"/>
          <w:marRight w:val="0"/>
          <w:marTop w:val="0"/>
          <w:marBottom w:val="0"/>
          <w:divBdr>
            <w:top w:val="none" w:sz="0" w:space="0" w:color="auto"/>
            <w:left w:val="none" w:sz="0" w:space="0" w:color="auto"/>
            <w:bottom w:val="none" w:sz="0" w:space="0" w:color="auto"/>
            <w:right w:val="none" w:sz="0" w:space="0" w:color="auto"/>
          </w:divBdr>
        </w:div>
        <w:div w:id="616831352">
          <w:marLeft w:val="640"/>
          <w:marRight w:val="0"/>
          <w:marTop w:val="0"/>
          <w:marBottom w:val="0"/>
          <w:divBdr>
            <w:top w:val="none" w:sz="0" w:space="0" w:color="auto"/>
            <w:left w:val="none" w:sz="0" w:space="0" w:color="auto"/>
            <w:bottom w:val="none" w:sz="0" w:space="0" w:color="auto"/>
            <w:right w:val="none" w:sz="0" w:space="0" w:color="auto"/>
          </w:divBdr>
        </w:div>
        <w:div w:id="1998537061">
          <w:marLeft w:val="640"/>
          <w:marRight w:val="0"/>
          <w:marTop w:val="0"/>
          <w:marBottom w:val="0"/>
          <w:divBdr>
            <w:top w:val="none" w:sz="0" w:space="0" w:color="auto"/>
            <w:left w:val="none" w:sz="0" w:space="0" w:color="auto"/>
            <w:bottom w:val="none" w:sz="0" w:space="0" w:color="auto"/>
            <w:right w:val="none" w:sz="0" w:space="0" w:color="auto"/>
          </w:divBdr>
        </w:div>
        <w:div w:id="276913926">
          <w:marLeft w:val="640"/>
          <w:marRight w:val="0"/>
          <w:marTop w:val="0"/>
          <w:marBottom w:val="0"/>
          <w:divBdr>
            <w:top w:val="none" w:sz="0" w:space="0" w:color="auto"/>
            <w:left w:val="none" w:sz="0" w:space="0" w:color="auto"/>
            <w:bottom w:val="none" w:sz="0" w:space="0" w:color="auto"/>
            <w:right w:val="none" w:sz="0" w:space="0" w:color="auto"/>
          </w:divBdr>
        </w:div>
        <w:div w:id="63375633">
          <w:marLeft w:val="640"/>
          <w:marRight w:val="0"/>
          <w:marTop w:val="0"/>
          <w:marBottom w:val="0"/>
          <w:divBdr>
            <w:top w:val="none" w:sz="0" w:space="0" w:color="auto"/>
            <w:left w:val="none" w:sz="0" w:space="0" w:color="auto"/>
            <w:bottom w:val="none" w:sz="0" w:space="0" w:color="auto"/>
            <w:right w:val="none" w:sz="0" w:space="0" w:color="auto"/>
          </w:divBdr>
        </w:div>
        <w:div w:id="1378505666">
          <w:marLeft w:val="640"/>
          <w:marRight w:val="0"/>
          <w:marTop w:val="0"/>
          <w:marBottom w:val="0"/>
          <w:divBdr>
            <w:top w:val="none" w:sz="0" w:space="0" w:color="auto"/>
            <w:left w:val="none" w:sz="0" w:space="0" w:color="auto"/>
            <w:bottom w:val="none" w:sz="0" w:space="0" w:color="auto"/>
            <w:right w:val="none" w:sz="0" w:space="0" w:color="auto"/>
          </w:divBdr>
        </w:div>
        <w:div w:id="260452371">
          <w:marLeft w:val="640"/>
          <w:marRight w:val="0"/>
          <w:marTop w:val="0"/>
          <w:marBottom w:val="0"/>
          <w:divBdr>
            <w:top w:val="none" w:sz="0" w:space="0" w:color="auto"/>
            <w:left w:val="none" w:sz="0" w:space="0" w:color="auto"/>
            <w:bottom w:val="none" w:sz="0" w:space="0" w:color="auto"/>
            <w:right w:val="none" w:sz="0" w:space="0" w:color="auto"/>
          </w:divBdr>
        </w:div>
        <w:div w:id="1843743005">
          <w:marLeft w:val="640"/>
          <w:marRight w:val="0"/>
          <w:marTop w:val="0"/>
          <w:marBottom w:val="0"/>
          <w:divBdr>
            <w:top w:val="none" w:sz="0" w:space="0" w:color="auto"/>
            <w:left w:val="none" w:sz="0" w:space="0" w:color="auto"/>
            <w:bottom w:val="none" w:sz="0" w:space="0" w:color="auto"/>
            <w:right w:val="none" w:sz="0" w:space="0" w:color="auto"/>
          </w:divBdr>
        </w:div>
        <w:div w:id="1721323583">
          <w:marLeft w:val="640"/>
          <w:marRight w:val="0"/>
          <w:marTop w:val="0"/>
          <w:marBottom w:val="0"/>
          <w:divBdr>
            <w:top w:val="none" w:sz="0" w:space="0" w:color="auto"/>
            <w:left w:val="none" w:sz="0" w:space="0" w:color="auto"/>
            <w:bottom w:val="none" w:sz="0" w:space="0" w:color="auto"/>
            <w:right w:val="none" w:sz="0" w:space="0" w:color="auto"/>
          </w:divBdr>
        </w:div>
        <w:div w:id="1706061513">
          <w:marLeft w:val="640"/>
          <w:marRight w:val="0"/>
          <w:marTop w:val="0"/>
          <w:marBottom w:val="0"/>
          <w:divBdr>
            <w:top w:val="none" w:sz="0" w:space="0" w:color="auto"/>
            <w:left w:val="none" w:sz="0" w:space="0" w:color="auto"/>
            <w:bottom w:val="none" w:sz="0" w:space="0" w:color="auto"/>
            <w:right w:val="none" w:sz="0" w:space="0" w:color="auto"/>
          </w:divBdr>
        </w:div>
        <w:div w:id="2125534883">
          <w:marLeft w:val="640"/>
          <w:marRight w:val="0"/>
          <w:marTop w:val="0"/>
          <w:marBottom w:val="0"/>
          <w:divBdr>
            <w:top w:val="none" w:sz="0" w:space="0" w:color="auto"/>
            <w:left w:val="none" w:sz="0" w:space="0" w:color="auto"/>
            <w:bottom w:val="none" w:sz="0" w:space="0" w:color="auto"/>
            <w:right w:val="none" w:sz="0" w:space="0" w:color="auto"/>
          </w:divBdr>
        </w:div>
        <w:div w:id="1316255148">
          <w:marLeft w:val="640"/>
          <w:marRight w:val="0"/>
          <w:marTop w:val="0"/>
          <w:marBottom w:val="0"/>
          <w:divBdr>
            <w:top w:val="none" w:sz="0" w:space="0" w:color="auto"/>
            <w:left w:val="none" w:sz="0" w:space="0" w:color="auto"/>
            <w:bottom w:val="none" w:sz="0" w:space="0" w:color="auto"/>
            <w:right w:val="none" w:sz="0" w:space="0" w:color="auto"/>
          </w:divBdr>
        </w:div>
        <w:div w:id="257756364">
          <w:marLeft w:val="640"/>
          <w:marRight w:val="0"/>
          <w:marTop w:val="0"/>
          <w:marBottom w:val="0"/>
          <w:divBdr>
            <w:top w:val="none" w:sz="0" w:space="0" w:color="auto"/>
            <w:left w:val="none" w:sz="0" w:space="0" w:color="auto"/>
            <w:bottom w:val="none" w:sz="0" w:space="0" w:color="auto"/>
            <w:right w:val="none" w:sz="0" w:space="0" w:color="auto"/>
          </w:divBdr>
        </w:div>
        <w:div w:id="1385375751">
          <w:marLeft w:val="640"/>
          <w:marRight w:val="0"/>
          <w:marTop w:val="0"/>
          <w:marBottom w:val="0"/>
          <w:divBdr>
            <w:top w:val="none" w:sz="0" w:space="0" w:color="auto"/>
            <w:left w:val="none" w:sz="0" w:space="0" w:color="auto"/>
            <w:bottom w:val="none" w:sz="0" w:space="0" w:color="auto"/>
            <w:right w:val="none" w:sz="0" w:space="0" w:color="auto"/>
          </w:divBdr>
        </w:div>
        <w:div w:id="1912151750">
          <w:marLeft w:val="640"/>
          <w:marRight w:val="0"/>
          <w:marTop w:val="0"/>
          <w:marBottom w:val="0"/>
          <w:divBdr>
            <w:top w:val="none" w:sz="0" w:space="0" w:color="auto"/>
            <w:left w:val="none" w:sz="0" w:space="0" w:color="auto"/>
            <w:bottom w:val="none" w:sz="0" w:space="0" w:color="auto"/>
            <w:right w:val="none" w:sz="0" w:space="0" w:color="auto"/>
          </w:divBdr>
        </w:div>
        <w:div w:id="560288896">
          <w:marLeft w:val="640"/>
          <w:marRight w:val="0"/>
          <w:marTop w:val="0"/>
          <w:marBottom w:val="0"/>
          <w:divBdr>
            <w:top w:val="none" w:sz="0" w:space="0" w:color="auto"/>
            <w:left w:val="none" w:sz="0" w:space="0" w:color="auto"/>
            <w:bottom w:val="none" w:sz="0" w:space="0" w:color="auto"/>
            <w:right w:val="none" w:sz="0" w:space="0" w:color="auto"/>
          </w:divBdr>
        </w:div>
        <w:div w:id="885680622">
          <w:marLeft w:val="640"/>
          <w:marRight w:val="0"/>
          <w:marTop w:val="0"/>
          <w:marBottom w:val="0"/>
          <w:divBdr>
            <w:top w:val="none" w:sz="0" w:space="0" w:color="auto"/>
            <w:left w:val="none" w:sz="0" w:space="0" w:color="auto"/>
            <w:bottom w:val="none" w:sz="0" w:space="0" w:color="auto"/>
            <w:right w:val="none" w:sz="0" w:space="0" w:color="auto"/>
          </w:divBdr>
        </w:div>
        <w:div w:id="10572318">
          <w:marLeft w:val="640"/>
          <w:marRight w:val="0"/>
          <w:marTop w:val="0"/>
          <w:marBottom w:val="0"/>
          <w:divBdr>
            <w:top w:val="none" w:sz="0" w:space="0" w:color="auto"/>
            <w:left w:val="none" w:sz="0" w:space="0" w:color="auto"/>
            <w:bottom w:val="none" w:sz="0" w:space="0" w:color="auto"/>
            <w:right w:val="none" w:sz="0" w:space="0" w:color="auto"/>
          </w:divBdr>
        </w:div>
        <w:div w:id="1545170819">
          <w:marLeft w:val="640"/>
          <w:marRight w:val="0"/>
          <w:marTop w:val="0"/>
          <w:marBottom w:val="0"/>
          <w:divBdr>
            <w:top w:val="none" w:sz="0" w:space="0" w:color="auto"/>
            <w:left w:val="none" w:sz="0" w:space="0" w:color="auto"/>
            <w:bottom w:val="none" w:sz="0" w:space="0" w:color="auto"/>
            <w:right w:val="none" w:sz="0" w:space="0" w:color="auto"/>
          </w:divBdr>
        </w:div>
        <w:div w:id="1802193256">
          <w:marLeft w:val="640"/>
          <w:marRight w:val="0"/>
          <w:marTop w:val="0"/>
          <w:marBottom w:val="0"/>
          <w:divBdr>
            <w:top w:val="none" w:sz="0" w:space="0" w:color="auto"/>
            <w:left w:val="none" w:sz="0" w:space="0" w:color="auto"/>
            <w:bottom w:val="none" w:sz="0" w:space="0" w:color="auto"/>
            <w:right w:val="none" w:sz="0" w:space="0" w:color="auto"/>
          </w:divBdr>
        </w:div>
        <w:div w:id="694573281">
          <w:marLeft w:val="640"/>
          <w:marRight w:val="0"/>
          <w:marTop w:val="0"/>
          <w:marBottom w:val="0"/>
          <w:divBdr>
            <w:top w:val="none" w:sz="0" w:space="0" w:color="auto"/>
            <w:left w:val="none" w:sz="0" w:space="0" w:color="auto"/>
            <w:bottom w:val="none" w:sz="0" w:space="0" w:color="auto"/>
            <w:right w:val="none" w:sz="0" w:space="0" w:color="auto"/>
          </w:divBdr>
        </w:div>
        <w:div w:id="1857383324">
          <w:marLeft w:val="640"/>
          <w:marRight w:val="0"/>
          <w:marTop w:val="0"/>
          <w:marBottom w:val="0"/>
          <w:divBdr>
            <w:top w:val="none" w:sz="0" w:space="0" w:color="auto"/>
            <w:left w:val="none" w:sz="0" w:space="0" w:color="auto"/>
            <w:bottom w:val="none" w:sz="0" w:space="0" w:color="auto"/>
            <w:right w:val="none" w:sz="0" w:space="0" w:color="auto"/>
          </w:divBdr>
        </w:div>
        <w:div w:id="809518354">
          <w:marLeft w:val="640"/>
          <w:marRight w:val="0"/>
          <w:marTop w:val="0"/>
          <w:marBottom w:val="0"/>
          <w:divBdr>
            <w:top w:val="none" w:sz="0" w:space="0" w:color="auto"/>
            <w:left w:val="none" w:sz="0" w:space="0" w:color="auto"/>
            <w:bottom w:val="none" w:sz="0" w:space="0" w:color="auto"/>
            <w:right w:val="none" w:sz="0" w:space="0" w:color="auto"/>
          </w:divBdr>
        </w:div>
        <w:div w:id="2048291563">
          <w:marLeft w:val="640"/>
          <w:marRight w:val="0"/>
          <w:marTop w:val="0"/>
          <w:marBottom w:val="0"/>
          <w:divBdr>
            <w:top w:val="none" w:sz="0" w:space="0" w:color="auto"/>
            <w:left w:val="none" w:sz="0" w:space="0" w:color="auto"/>
            <w:bottom w:val="none" w:sz="0" w:space="0" w:color="auto"/>
            <w:right w:val="none" w:sz="0" w:space="0" w:color="auto"/>
          </w:divBdr>
        </w:div>
        <w:div w:id="34428910">
          <w:marLeft w:val="640"/>
          <w:marRight w:val="0"/>
          <w:marTop w:val="0"/>
          <w:marBottom w:val="0"/>
          <w:divBdr>
            <w:top w:val="none" w:sz="0" w:space="0" w:color="auto"/>
            <w:left w:val="none" w:sz="0" w:space="0" w:color="auto"/>
            <w:bottom w:val="none" w:sz="0" w:space="0" w:color="auto"/>
            <w:right w:val="none" w:sz="0" w:space="0" w:color="auto"/>
          </w:divBdr>
        </w:div>
        <w:div w:id="1172986249">
          <w:marLeft w:val="640"/>
          <w:marRight w:val="0"/>
          <w:marTop w:val="0"/>
          <w:marBottom w:val="0"/>
          <w:divBdr>
            <w:top w:val="none" w:sz="0" w:space="0" w:color="auto"/>
            <w:left w:val="none" w:sz="0" w:space="0" w:color="auto"/>
            <w:bottom w:val="none" w:sz="0" w:space="0" w:color="auto"/>
            <w:right w:val="none" w:sz="0" w:space="0" w:color="auto"/>
          </w:divBdr>
        </w:div>
        <w:div w:id="468523929">
          <w:marLeft w:val="640"/>
          <w:marRight w:val="0"/>
          <w:marTop w:val="0"/>
          <w:marBottom w:val="0"/>
          <w:divBdr>
            <w:top w:val="none" w:sz="0" w:space="0" w:color="auto"/>
            <w:left w:val="none" w:sz="0" w:space="0" w:color="auto"/>
            <w:bottom w:val="none" w:sz="0" w:space="0" w:color="auto"/>
            <w:right w:val="none" w:sz="0" w:space="0" w:color="auto"/>
          </w:divBdr>
        </w:div>
        <w:div w:id="71700507">
          <w:marLeft w:val="640"/>
          <w:marRight w:val="0"/>
          <w:marTop w:val="0"/>
          <w:marBottom w:val="0"/>
          <w:divBdr>
            <w:top w:val="none" w:sz="0" w:space="0" w:color="auto"/>
            <w:left w:val="none" w:sz="0" w:space="0" w:color="auto"/>
            <w:bottom w:val="none" w:sz="0" w:space="0" w:color="auto"/>
            <w:right w:val="none" w:sz="0" w:space="0" w:color="auto"/>
          </w:divBdr>
        </w:div>
        <w:div w:id="1787776806">
          <w:marLeft w:val="640"/>
          <w:marRight w:val="0"/>
          <w:marTop w:val="0"/>
          <w:marBottom w:val="0"/>
          <w:divBdr>
            <w:top w:val="none" w:sz="0" w:space="0" w:color="auto"/>
            <w:left w:val="none" w:sz="0" w:space="0" w:color="auto"/>
            <w:bottom w:val="none" w:sz="0" w:space="0" w:color="auto"/>
            <w:right w:val="none" w:sz="0" w:space="0" w:color="auto"/>
          </w:divBdr>
        </w:div>
        <w:div w:id="1707411518">
          <w:marLeft w:val="640"/>
          <w:marRight w:val="0"/>
          <w:marTop w:val="0"/>
          <w:marBottom w:val="0"/>
          <w:divBdr>
            <w:top w:val="none" w:sz="0" w:space="0" w:color="auto"/>
            <w:left w:val="none" w:sz="0" w:space="0" w:color="auto"/>
            <w:bottom w:val="none" w:sz="0" w:space="0" w:color="auto"/>
            <w:right w:val="none" w:sz="0" w:space="0" w:color="auto"/>
          </w:divBdr>
        </w:div>
        <w:div w:id="1162353612">
          <w:marLeft w:val="640"/>
          <w:marRight w:val="0"/>
          <w:marTop w:val="0"/>
          <w:marBottom w:val="0"/>
          <w:divBdr>
            <w:top w:val="none" w:sz="0" w:space="0" w:color="auto"/>
            <w:left w:val="none" w:sz="0" w:space="0" w:color="auto"/>
            <w:bottom w:val="none" w:sz="0" w:space="0" w:color="auto"/>
            <w:right w:val="none" w:sz="0" w:space="0" w:color="auto"/>
          </w:divBdr>
        </w:div>
        <w:div w:id="1643004821">
          <w:marLeft w:val="640"/>
          <w:marRight w:val="0"/>
          <w:marTop w:val="0"/>
          <w:marBottom w:val="0"/>
          <w:divBdr>
            <w:top w:val="none" w:sz="0" w:space="0" w:color="auto"/>
            <w:left w:val="none" w:sz="0" w:space="0" w:color="auto"/>
            <w:bottom w:val="none" w:sz="0" w:space="0" w:color="auto"/>
            <w:right w:val="none" w:sz="0" w:space="0" w:color="auto"/>
          </w:divBdr>
        </w:div>
        <w:div w:id="1929119458">
          <w:marLeft w:val="640"/>
          <w:marRight w:val="0"/>
          <w:marTop w:val="0"/>
          <w:marBottom w:val="0"/>
          <w:divBdr>
            <w:top w:val="none" w:sz="0" w:space="0" w:color="auto"/>
            <w:left w:val="none" w:sz="0" w:space="0" w:color="auto"/>
            <w:bottom w:val="none" w:sz="0" w:space="0" w:color="auto"/>
            <w:right w:val="none" w:sz="0" w:space="0" w:color="auto"/>
          </w:divBdr>
        </w:div>
        <w:div w:id="201551577">
          <w:marLeft w:val="640"/>
          <w:marRight w:val="0"/>
          <w:marTop w:val="0"/>
          <w:marBottom w:val="0"/>
          <w:divBdr>
            <w:top w:val="none" w:sz="0" w:space="0" w:color="auto"/>
            <w:left w:val="none" w:sz="0" w:space="0" w:color="auto"/>
            <w:bottom w:val="none" w:sz="0" w:space="0" w:color="auto"/>
            <w:right w:val="none" w:sz="0" w:space="0" w:color="auto"/>
          </w:divBdr>
        </w:div>
        <w:div w:id="310407722">
          <w:marLeft w:val="640"/>
          <w:marRight w:val="0"/>
          <w:marTop w:val="0"/>
          <w:marBottom w:val="0"/>
          <w:divBdr>
            <w:top w:val="none" w:sz="0" w:space="0" w:color="auto"/>
            <w:left w:val="none" w:sz="0" w:space="0" w:color="auto"/>
            <w:bottom w:val="none" w:sz="0" w:space="0" w:color="auto"/>
            <w:right w:val="none" w:sz="0" w:space="0" w:color="auto"/>
          </w:divBdr>
        </w:div>
        <w:div w:id="1832285943">
          <w:marLeft w:val="640"/>
          <w:marRight w:val="0"/>
          <w:marTop w:val="0"/>
          <w:marBottom w:val="0"/>
          <w:divBdr>
            <w:top w:val="none" w:sz="0" w:space="0" w:color="auto"/>
            <w:left w:val="none" w:sz="0" w:space="0" w:color="auto"/>
            <w:bottom w:val="none" w:sz="0" w:space="0" w:color="auto"/>
            <w:right w:val="none" w:sz="0" w:space="0" w:color="auto"/>
          </w:divBdr>
        </w:div>
        <w:div w:id="1390491191">
          <w:marLeft w:val="640"/>
          <w:marRight w:val="0"/>
          <w:marTop w:val="0"/>
          <w:marBottom w:val="0"/>
          <w:divBdr>
            <w:top w:val="none" w:sz="0" w:space="0" w:color="auto"/>
            <w:left w:val="none" w:sz="0" w:space="0" w:color="auto"/>
            <w:bottom w:val="none" w:sz="0" w:space="0" w:color="auto"/>
            <w:right w:val="none" w:sz="0" w:space="0" w:color="auto"/>
          </w:divBdr>
        </w:div>
        <w:div w:id="1692761616">
          <w:marLeft w:val="640"/>
          <w:marRight w:val="0"/>
          <w:marTop w:val="0"/>
          <w:marBottom w:val="0"/>
          <w:divBdr>
            <w:top w:val="none" w:sz="0" w:space="0" w:color="auto"/>
            <w:left w:val="none" w:sz="0" w:space="0" w:color="auto"/>
            <w:bottom w:val="none" w:sz="0" w:space="0" w:color="auto"/>
            <w:right w:val="none" w:sz="0" w:space="0" w:color="auto"/>
          </w:divBdr>
        </w:div>
        <w:div w:id="1124232086">
          <w:marLeft w:val="640"/>
          <w:marRight w:val="0"/>
          <w:marTop w:val="0"/>
          <w:marBottom w:val="0"/>
          <w:divBdr>
            <w:top w:val="none" w:sz="0" w:space="0" w:color="auto"/>
            <w:left w:val="none" w:sz="0" w:space="0" w:color="auto"/>
            <w:bottom w:val="none" w:sz="0" w:space="0" w:color="auto"/>
            <w:right w:val="none" w:sz="0" w:space="0" w:color="auto"/>
          </w:divBdr>
        </w:div>
        <w:div w:id="1252742634">
          <w:marLeft w:val="640"/>
          <w:marRight w:val="0"/>
          <w:marTop w:val="0"/>
          <w:marBottom w:val="0"/>
          <w:divBdr>
            <w:top w:val="none" w:sz="0" w:space="0" w:color="auto"/>
            <w:left w:val="none" w:sz="0" w:space="0" w:color="auto"/>
            <w:bottom w:val="none" w:sz="0" w:space="0" w:color="auto"/>
            <w:right w:val="none" w:sz="0" w:space="0" w:color="auto"/>
          </w:divBdr>
        </w:div>
        <w:div w:id="1278830851">
          <w:marLeft w:val="640"/>
          <w:marRight w:val="0"/>
          <w:marTop w:val="0"/>
          <w:marBottom w:val="0"/>
          <w:divBdr>
            <w:top w:val="none" w:sz="0" w:space="0" w:color="auto"/>
            <w:left w:val="none" w:sz="0" w:space="0" w:color="auto"/>
            <w:bottom w:val="none" w:sz="0" w:space="0" w:color="auto"/>
            <w:right w:val="none" w:sz="0" w:space="0" w:color="auto"/>
          </w:divBdr>
        </w:div>
        <w:div w:id="158811291">
          <w:marLeft w:val="640"/>
          <w:marRight w:val="0"/>
          <w:marTop w:val="0"/>
          <w:marBottom w:val="0"/>
          <w:divBdr>
            <w:top w:val="none" w:sz="0" w:space="0" w:color="auto"/>
            <w:left w:val="none" w:sz="0" w:space="0" w:color="auto"/>
            <w:bottom w:val="none" w:sz="0" w:space="0" w:color="auto"/>
            <w:right w:val="none" w:sz="0" w:space="0" w:color="auto"/>
          </w:divBdr>
        </w:div>
        <w:div w:id="1127969393">
          <w:marLeft w:val="640"/>
          <w:marRight w:val="0"/>
          <w:marTop w:val="0"/>
          <w:marBottom w:val="0"/>
          <w:divBdr>
            <w:top w:val="none" w:sz="0" w:space="0" w:color="auto"/>
            <w:left w:val="none" w:sz="0" w:space="0" w:color="auto"/>
            <w:bottom w:val="none" w:sz="0" w:space="0" w:color="auto"/>
            <w:right w:val="none" w:sz="0" w:space="0" w:color="auto"/>
          </w:divBdr>
        </w:div>
        <w:div w:id="1678314454">
          <w:marLeft w:val="640"/>
          <w:marRight w:val="0"/>
          <w:marTop w:val="0"/>
          <w:marBottom w:val="0"/>
          <w:divBdr>
            <w:top w:val="none" w:sz="0" w:space="0" w:color="auto"/>
            <w:left w:val="none" w:sz="0" w:space="0" w:color="auto"/>
            <w:bottom w:val="none" w:sz="0" w:space="0" w:color="auto"/>
            <w:right w:val="none" w:sz="0" w:space="0" w:color="auto"/>
          </w:divBdr>
        </w:div>
        <w:div w:id="1370718110">
          <w:marLeft w:val="640"/>
          <w:marRight w:val="0"/>
          <w:marTop w:val="0"/>
          <w:marBottom w:val="0"/>
          <w:divBdr>
            <w:top w:val="none" w:sz="0" w:space="0" w:color="auto"/>
            <w:left w:val="none" w:sz="0" w:space="0" w:color="auto"/>
            <w:bottom w:val="none" w:sz="0" w:space="0" w:color="auto"/>
            <w:right w:val="none" w:sz="0" w:space="0" w:color="auto"/>
          </w:divBdr>
        </w:div>
        <w:div w:id="1356925543">
          <w:marLeft w:val="640"/>
          <w:marRight w:val="0"/>
          <w:marTop w:val="0"/>
          <w:marBottom w:val="0"/>
          <w:divBdr>
            <w:top w:val="none" w:sz="0" w:space="0" w:color="auto"/>
            <w:left w:val="none" w:sz="0" w:space="0" w:color="auto"/>
            <w:bottom w:val="none" w:sz="0" w:space="0" w:color="auto"/>
            <w:right w:val="none" w:sz="0" w:space="0" w:color="auto"/>
          </w:divBdr>
        </w:div>
        <w:div w:id="632759178">
          <w:marLeft w:val="640"/>
          <w:marRight w:val="0"/>
          <w:marTop w:val="0"/>
          <w:marBottom w:val="0"/>
          <w:divBdr>
            <w:top w:val="none" w:sz="0" w:space="0" w:color="auto"/>
            <w:left w:val="none" w:sz="0" w:space="0" w:color="auto"/>
            <w:bottom w:val="none" w:sz="0" w:space="0" w:color="auto"/>
            <w:right w:val="none" w:sz="0" w:space="0" w:color="auto"/>
          </w:divBdr>
        </w:div>
        <w:div w:id="1370765589">
          <w:marLeft w:val="640"/>
          <w:marRight w:val="0"/>
          <w:marTop w:val="0"/>
          <w:marBottom w:val="0"/>
          <w:divBdr>
            <w:top w:val="none" w:sz="0" w:space="0" w:color="auto"/>
            <w:left w:val="none" w:sz="0" w:space="0" w:color="auto"/>
            <w:bottom w:val="none" w:sz="0" w:space="0" w:color="auto"/>
            <w:right w:val="none" w:sz="0" w:space="0" w:color="auto"/>
          </w:divBdr>
        </w:div>
        <w:div w:id="1416779257">
          <w:marLeft w:val="640"/>
          <w:marRight w:val="0"/>
          <w:marTop w:val="0"/>
          <w:marBottom w:val="0"/>
          <w:divBdr>
            <w:top w:val="none" w:sz="0" w:space="0" w:color="auto"/>
            <w:left w:val="none" w:sz="0" w:space="0" w:color="auto"/>
            <w:bottom w:val="none" w:sz="0" w:space="0" w:color="auto"/>
            <w:right w:val="none" w:sz="0" w:space="0" w:color="auto"/>
          </w:divBdr>
        </w:div>
        <w:div w:id="1515412193">
          <w:marLeft w:val="640"/>
          <w:marRight w:val="0"/>
          <w:marTop w:val="0"/>
          <w:marBottom w:val="0"/>
          <w:divBdr>
            <w:top w:val="none" w:sz="0" w:space="0" w:color="auto"/>
            <w:left w:val="none" w:sz="0" w:space="0" w:color="auto"/>
            <w:bottom w:val="none" w:sz="0" w:space="0" w:color="auto"/>
            <w:right w:val="none" w:sz="0" w:space="0" w:color="auto"/>
          </w:divBdr>
        </w:div>
        <w:div w:id="619727996">
          <w:marLeft w:val="640"/>
          <w:marRight w:val="0"/>
          <w:marTop w:val="0"/>
          <w:marBottom w:val="0"/>
          <w:divBdr>
            <w:top w:val="none" w:sz="0" w:space="0" w:color="auto"/>
            <w:left w:val="none" w:sz="0" w:space="0" w:color="auto"/>
            <w:bottom w:val="none" w:sz="0" w:space="0" w:color="auto"/>
            <w:right w:val="none" w:sz="0" w:space="0" w:color="auto"/>
          </w:divBdr>
        </w:div>
        <w:div w:id="2116243806">
          <w:marLeft w:val="640"/>
          <w:marRight w:val="0"/>
          <w:marTop w:val="0"/>
          <w:marBottom w:val="0"/>
          <w:divBdr>
            <w:top w:val="none" w:sz="0" w:space="0" w:color="auto"/>
            <w:left w:val="none" w:sz="0" w:space="0" w:color="auto"/>
            <w:bottom w:val="none" w:sz="0" w:space="0" w:color="auto"/>
            <w:right w:val="none" w:sz="0" w:space="0" w:color="auto"/>
          </w:divBdr>
        </w:div>
        <w:div w:id="1877694059">
          <w:marLeft w:val="640"/>
          <w:marRight w:val="0"/>
          <w:marTop w:val="0"/>
          <w:marBottom w:val="0"/>
          <w:divBdr>
            <w:top w:val="none" w:sz="0" w:space="0" w:color="auto"/>
            <w:left w:val="none" w:sz="0" w:space="0" w:color="auto"/>
            <w:bottom w:val="none" w:sz="0" w:space="0" w:color="auto"/>
            <w:right w:val="none" w:sz="0" w:space="0" w:color="auto"/>
          </w:divBdr>
        </w:div>
        <w:div w:id="843476522">
          <w:marLeft w:val="640"/>
          <w:marRight w:val="0"/>
          <w:marTop w:val="0"/>
          <w:marBottom w:val="0"/>
          <w:divBdr>
            <w:top w:val="none" w:sz="0" w:space="0" w:color="auto"/>
            <w:left w:val="none" w:sz="0" w:space="0" w:color="auto"/>
            <w:bottom w:val="none" w:sz="0" w:space="0" w:color="auto"/>
            <w:right w:val="none" w:sz="0" w:space="0" w:color="auto"/>
          </w:divBdr>
        </w:div>
        <w:div w:id="1866014071">
          <w:marLeft w:val="640"/>
          <w:marRight w:val="0"/>
          <w:marTop w:val="0"/>
          <w:marBottom w:val="0"/>
          <w:divBdr>
            <w:top w:val="none" w:sz="0" w:space="0" w:color="auto"/>
            <w:left w:val="none" w:sz="0" w:space="0" w:color="auto"/>
            <w:bottom w:val="none" w:sz="0" w:space="0" w:color="auto"/>
            <w:right w:val="none" w:sz="0" w:space="0" w:color="auto"/>
          </w:divBdr>
        </w:div>
        <w:div w:id="1813329125">
          <w:marLeft w:val="640"/>
          <w:marRight w:val="0"/>
          <w:marTop w:val="0"/>
          <w:marBottom w:val="0"/>
          <w:divBdr>
            <w:top w:val="none" w:sz="0" w:space="0" w:color="auto"/>
            <w:left w:val="none" w:sz="0" w:space="0" w:color="auto"/>
            <w:bottom w:val="none" w:sz="0" w:space="0" w:color="auto"/>
            <w:right w:val="none" w:sz="0" w:space="0" w:color="auto"/>
          </w:divBdr>
        </w:div>
        <w:div w:id="838350008">
          <w:marLeft w:val="640"/>
          <w:marRight w:val="0"/>
          <w:marTop w:val="0"/>
          <w:marBottom w:val="0"/>
          <w:divBdr>
            <w:top w:val="none" w:sz="0" w:space="0" w:color="auto"/>
            <w:left w:val="none" w:sz="0" w:space="0" w:color="auto"/>
            <w:bottom w:val="none" w:sz="0" w:space="0" w:color="auto"/>
            <w:right w:val="none" w:sz="0" w:space="0" w:color="auto"/>
          </w:divBdr>
        </w:div>
        <w:div w:id="349261765">
          <w:marLeft w:val="640"/>
          <w:marRight w:val="0"/>
          <w:marTop w:val="0"/>
          <w:marBottom w:val="0"/>
          <w:divBdr>
            <w:top w:val="none" w:sz="0" w:space="0" w:color="auto"/>
            <w:left w:val="none" w:sz="0" w:space="0" w:color="auto"/>
            <w:bottom w:val="none" w:sz="0" w:space="0" w:color="auto"/>
            <w:right w:val="none" w:sz="0" w:space="0" w:color="auto"/>
          </w:divBdr>
        </w:div>
        <w:div w:id="409887095">
          <w:marLeft w:val="640"/>
          <w:marRight w:val="0"/>
          <w:marTop w:val="0"/>
          <w:marBottom w:val="0"/>
          <w:divBdr>
            <w:top w:val="none" w:sz="0" w:space="0" w:color="auto"/>
            <w:left w:val="none" w:sz="0" w:space="0" w:color="auto"/>
            <w:bottom w:val="none" w:sz="0" w:space="0" w:color="auto"/>
            <w:right w:val="none" w:sz="0" w:space="0" w:color="auto"/>
          </w:divBdr>
        </w:div>
        <w:div w:id="474686061">
          <w:marLeft w:val="640"/>
          <w:marRight w:val="0"/>
          <w:marTop w:val="0"/>
          <w:marBottom w:val="0"/>
          <w:divBdr>
            <w:top w:val="none" w:sz="0" w:space="0" w:color="auto"/>
            <w:left w:val="none" w:sz="0" w:space="0" w:color="auto"/>
            <w:bottom w:val="none" w:sz="0" w:space="0" w:color="auto"/>
            <w:right w:val="none" w:sz="0" w:space="0" w:color="auto"/>
          </w:divBdr>
        </w:div>
        <w:div w:id="910655361">
          <w:marLeft w:val="640"/>
          <w:marRight w:val="0"/>
          <w:marTop w:val="0"/>
          <w:marBottom w:val="0"/>
          <w:divBdr>
            <w:top w:val="none" w:sz="0" w:space="0" w:color="auto"/>
            <w:left w:val="none" w:sz="0" w:space="0" w:color="auto"/>
            <w:bottom w:val="none" w:sz="0" w:space="0" w:color="auto"/>
            <w:right w:val="none" w:sz="0" w:space="0" w:color="auto"/>
          </w:divBdr>
        </w:div>
        <w:div w:id="1380015708">
          <w:marLeft w:val="640"/>
          <w:marRight w:val="0"/>
          <w:marTop w:val="0"/>
          <w:marBottom w:val="0"/>
          <w:divBdr>
            <w:top w:val="none" w:sz="0" w:space="0" w:color="auto"/>
            <w:left w:val="none" w:sz="0" w:space="0" w:color="auto"/>
            <w:bottom w:val="none" w:sz="0" w:space="0" w:color="auto"/>
            <w:right w:val="none" w:sz="0" w:space="0" w:color="auto"/>
          </w:divBdr>
        </w:div>
        <w:div w:id="1775713744">
          <w:marLeft w:val="640"/>
          <w:marRight w:val="0"/>
          <w:marTop w:val="0"/>
          <w:marBottom w:val="0"/>
          <w:divBdr>
            <w:top w:val="none" w:sz="0" w:space="0" w:color="auto"/>
            <w:left w:val="none" w:sz="0" w:space="0" w:color="auto"/>
            <w:bottom w:val="none" w:sz="0" w:space="0" w:color="auto"/>
            <w:right w:val="none" w:sz="0" w:space="0" w:color="auto"/>
          </w:divBdr>
        </w:div>
        <w:div w:id="6947516">
          <w:marLeft w:val="640"/>
          <w:marRight w:val="0"/>
          <w:marTop w:val="0"/>
          <w:marBottom w:val="0"/>
          <w:divBdr>
            <w:top w:val="none" w:sz="0" w:space="0" w:color="auto"/>
            <w:left w:val="none" w:sz="0" w:space="0" w:color="auto"/>
            <w:bottom w:val="none" w:sz="0" w:space="0" w:color="auto"/>
            <w:right w:val="none" w:sz="0" w:space="0" w:color="auto"/>
          </w:divBdr>
        </w:div>
        <w:div w:id="476217240">
          <w:marLeft w:val="640"/>
          <w:marRight w:val="0"/>
          <w:marTop w:val="0"/>
          <w:marBottom w:val="0"/>
          <w:divBdr>
            <w:top w:val="none" w:sz="0" w:space="0" w:color="auto"/>
            <w:left w:val="none" w:sz="0" w:space="0" w:color="auto"/>
            <w:bottom w:val="none" w:sz="0" w:space="0" w:color="auto"/>
            <w:right w:val="none" w:sz="0" w:space="0" w:color="auto"/>
          </w:divBdr>
        </w:div>
        <w:div w:id="890993880">
          <w:marLeft w:val="640"/>
          <w:marRight w:val="0"/>
          <w:marTop w:val="0"/>
          <w:marBottom w:val="0"/>
          <w:divBdr>
            <w:top w:val="none" w:sz="0" w:space="0" w:color="auto"/>
            <w:left w:val="none" w:sz="0" w:space="0" w:color="auto"/>
            <w:bottom w:val="none" w:sz="0" w:space="0" w:color="auto"/>
            <w:right w:val="none" w:sz="0" w:space="0" w:color="auto"/>
          </w:divBdr>
        </w:div>
        <w:div w:id="297339717">
          <w:marLeft w:val="640"/>
          <w:marRight w:val="0"/>
          <w:marTop w:val="0"/>
          <w:marBottom w:val="0"/>
          <w:divBdr>
            <w:top w:val="none" w:sz="0" w:space="0" w:color="auto"/>
            <w:left w:val="none" w:sz="0" w:space="0" w:color="auto"/>
            <w:bottom w:val="none" w:sz="0" w:space="0" w:color="auto"/>
            <w:right w:val="none" w:sz="0" w:space="0" w:color="auto"/>
          </w:divBdr>
        </w:div>
        <w:div w:id="920796996">
          <w:marLeft w:val="640"/>
          <w:marRight w:val="0"/>
          <w:marTop w:val="0"/>
          <w:marBottom w:val="0"/>
          <w:divBdr>
            <w:top w:val="none" w:sz="0" w:space="0" w:color="auto"/>
            <w:left w:val="none" w:sz="0" w:space="0" w:color="auto"/>
            <w:bottom w:val="none" w:sz="0" w:space="0" w:color="auto"/>
            <w:right w:val="none" w:sz="0" w:space="0" w:color="auto"/>
          </w:divBdr>
        </w:div>
        <w:div w:id="876968013">
          <w:marLeft w:val="640"/>
          <w:marRight w:val="0"/>
          <w:marTop w:val="0"/>
          <w:marBottom w:val="0"/>
          <w:divBdr>
            <w:top w:val="none" w:sz="0" w:space="0" w:color="auto"/>
            <w:left w:val="none" w:sz="0" w:space="0" w:color="auto"/>
            <w:bottom w:val="none" w:sz="0" w:space="0" w:color="auto"/>
            <w:right w:val="none" w:sz="0" w:space="0" w:color="auto"/>
          </w:divBdr>
        </w:div>
        <w:div w:id="558904845">
          <w:marLeft w:val="640"/>
          <w:marRight w:val="0"/>
          <w:marTop w:val="0"/>
          <w:marBottom w:val="0"/>
          <w:divBdr>
            <w:top w:val="none" w:sz="0" w:space="0" w:color="auto"/>
            <w:left w:val="none" w:sz="0" w:space="0" w:color="auto"/>
            <w:bottom w:val="none" w:sz="0" w:space="0" w:color="auto"/>
            <w:right w:val="none" w:sz="0" w:space="0" w:color="auto"/>
          </w:divBdr>
        </w:div>
        <w:div w:id="1733577521">
          <w:marLeft w:val="640"/>
          <w:marRight w:val="0"/>
          <w:marTop w:val="0"/>
          <w:marBottom w:val="0"/>
          <w:divBdr>
            <w:top w:val="none" w:sz="0" w:space="0" w:color="auto"/>
            <w:left w:val="none" w:sz="0" w:space="0" w:color="auto"/>
            <w:bottom w:val="none" w:sz="0" w:space="0" w:color="auto"/>
            <w:right w:val="none" w:sz="0" w:space="0" w:color="auto"/>
          </w:divBdr>
        </w:div>
        <w:div w:id="1494374555">
          <w:marLeft w:val="640"/>
          <w:marRight w:val="0"/>
          <w:marTop w:val="0"/>
          <w:marBottom w:val="0"/>
          <w:divBdr>
            <w:top w:val="none" w:sz="0" w:space="0" w:color="auto"/>
            <w:left w:val="none" w:sz="0" w:space="0" w:color="auto"/>
            <w:bottom w:val="none" w:sz="0" w:space="0" w:color="auto"/>
            <w:right w:val="none" w:sz="0" w:space="0" w:color="auto"/>
          </w:divBdr>
        </w:div>
        <w:div w:id="1314725224">
          <w:marLeft w:val="640"/>
          <w:marRight w:val="0"/>
          <w:marTop w:val="0"/>
          <w:marBottom w:val="0"/>
          <w:divBdr>
            <w:top w:val="none" w:sz="0" w:space="0" w:color="auto"/>
            <w:left w:val="none" w:sz="0" w:space="0" w:color="auto"/>
            <w:bottom w:val="none" w:sz="0" w:space="0" w:color="auto"/>
            <w:right w:val="none" w:sz="0" w:space="0" w:color="auto"/>
          </w:divBdr>
        </w:div>
        <w:div w:id="2117213238">
          <w:marLeft w:val="640"/>
          <w:marRight w:val="0"/>
          <w:marTop w:val="0"/>
          <w:marBottom w:val="0"/>
          <w:divBdr>
            <w:top w:val="none" w:sz="0" w:space="0" w:color="auto"/>
            <w:left w:val="none" w:sz="0" w:space="0" w:color="auto"/>
            <w:bottom w:val="none" w:sz="0" w:space="0" w:color="auto"/>
            <w:right w:val="none" w:sz="0" w:space="0" w:color="auto"/>
          </w:divBdr>
        </w:div>
        <w:div w:id="1792093458">
          <w:marLeft w:val="640"/>
          <w:marRight w:val="0"/>
          <w:marTop w:val="0"/>
          <w:marBottom w:val="0"/>
          <w:divBdr>
            <w:top w:val="none" w:sz="0" w:space="0" w:color="auto"/>
            <w:left w:val="none" w:sz="0" w:space="0" w:color="auto"/>
            <w:bottom w:val="none" w:sz="0" w:space="0" w:color="auto"/>
            <w:right w:val="none" w:sz="0" w:space="0" w:color="auto"/>
          </w:divBdr>
        </w:div>
        <w:div w:id="320548057">
          <w:marLeft w:val="640"/>
          <w:marRight w:val="0"/>
          <w:marTop w:val="0"/>
          <w:marBottom w:val="0"/>
          <w:divBdr>
            <w:top w:val="none" w:sz="0" w:space="0" w:color="auto"/>
            <w:left w:val="none" w:sz="0" w:space="0" w:color="auto"/>
            <w:bottom w:val="none" w:sz="0" w:space="0" w:color="auto"/>
            <w:right w:val="none" w:sz="0" w:space="0" w:color="auto"/>
          </w:divBdr>
        </w:div>
        <w:div w:id="1724477649">
          <w:marLeft w:val="640"/>
          <w:marRight w:val="0"/>
          <w:marTop w:val="0"/>
          <w:marBottom w:val="0"/>
          <w:divBdr>
            <w:top w:val="none" w:sz="0" w:space="0" w:color="auto"/>
            <w:left w:val="none" w:sz="0" w:space="0" w:color="auto"/>
            <w:bottom w:val="none" w:sz="0" w:space="0" w:color="auto"/>
            <w:right w:val="none" w:sz="0" w:space="0" w:color="auto"/>
          </w:divBdr>
        </w:div>
        <w:div w:id="1627926684">
          <w:marLeft w:val="640"/>
          <w:marRight w:val="0"/>
          <w:marTop w:val="0"/>
          <w:marBottom w:val="0"/>
          <w:divBdr>
            <w:top w:val="none" w:sz="0" w:space="0" w:color="auto"/>
            <w:left w:val="none" w:sz="0" w:space="0" w:color="auto"/>
            <w:bottom w:val="none" w:sz="0" w:space="0" w:color="auto"/>
            <w:right w:val="none" w:sz="0" w:space="0" w:color="auto"/>
          </w:divBdr>
        </w:div>
        <w:div w:id="137456882">
          <w:marLeft w:val="640"/>
          <w:marRight w:val="0"/>
          <w:marTop w:val="0"/>
          <w:marBottom w:val="0"/>
          <w:divBdr>
            <w:top w:val="none" w:sz="0" w:space="0" w:color="auto"/>
            <w:left w:val="none" w:sz="0" w:space="0" w:color="auto"/>
            <w:bottom w:val="none" w:sz="0" w:space="0" w:color="auto"/>
            <w:right w:val="none" w:sz="0" w:space="0" w:color="auto"/>
          </w:divBdr>
        </w:div>
        <w:div w:id="1524248939">
          <w:marLeft w:val="640"/>
          <w:marRight w:val="0"/>
          <w:marTop w:val="0"/>
          <w:marBottom w:val="0"/>
          <w:divBdr>
            <w:top w:val="none" w:sz="0" w:space="0" w:color="auto"/>
            <w:left w:val="none" w:sz="0" w:space="0" w:color="auto"/>
            <w:bottom w:val="none" w:sz="0" w:space="0" w:color="auto"/>
            <w:right w:val="none" w:sz="0" w:space="0" w:color="auto"/>
          </w:divBdr>
        </w:div>
        <w:div w:id="139158493">
          <w:marLeft w:val="640"/>
          <w:marRight w:val="0"/>
          <w:marTop w:val="0"/>
          <w:marBottom w:val="0"/>
          <w:divBdr>
            <w:top w:val="none" w:sz="0" w:space="0" w:color="auto"/>
            <w:left w:val="none" w:sz="0" w:space="0" w:color="auto"/>
            <w:bottom w:val="none" w:sz="0" w:space="0" w:color="auto"/>
            <w:right w:val="none" w:sz="0" w:space="0" w:color="auto"/>
          </w:divBdr>
        </w:div>
        <w:div w:id="1923686352">
          <w:marLeft w:val="640"/>
          <w:marRight w:val="0"/>
          <w:marTop w:val="0"/>
          <w:marBottom w:val="0"/>
          <w:divBdr>
            <w:top w:val="none" w:sz="0" w:space="0" w:color="auto"/>
            <w:left w:val="none" w:sz="0" w:space="0" w:color="auto"/>
            <w:bottom w:val="none" w:sz="0" w:space="0" w:color="auto"/>
            <w:right w:val="none" w:sz="0" w:space="0" w:color="auto"/>
          </w:divBdr>
        </w:div>
        <w:div w:id="1025600830">
          <w:marLeft w:val="640"/>
          <w:marRight w:val="0"/>
          <w:marTop w:val="0"/>
          <w:marBottom w:val="0"/>
          <w:divBdr>
            <w:top w:val="none" w:sz="0" w:space="0" w:color="auto"/>
            <w:left w:val="none" w:sz="0" w:space="0" w:color="auto"/>
            <w:bottom w:val="none" w:sz="0" w:space="0" w:color="auto"/>
            <w:right w:val="none" w:sz="0" w:space="0" w:color="auto"/>
          </w:divBdr>
        </w:div>
        <w:div w:id="655720350">
          <w:marLeft w:val="640"/>
          <w:marRight w:val="0"/>
          <w:marTop w:val="0"/>
          <w:marBottom w:val="0"/>
          <w:divBdr>
            <w:top w:val="none" w:sz="0" w:space="0" w:color="auto"/>
            <w:left w:val="none" w:sz="0" w:space="0" w:color="auto"/>
            <w:bottom w:val="none" w:sz="0" w:space="0" w:color="auto"/>
            <w:right w:val="none" w:sz="0" w:space="0" w:color="auto"/>
          </w:divBdr>
        </w:div>
        <w:div w:id="1053651964">
          <w:marLeft w:val="640"/>
          <w:marRight w:val="0"/>
          <w:marTop w:val="0"/>
          <w:marBottom w:val="0"/>
          <w:divBdr>
            <w:top w:val="none" w:sz="0" w:space="0" w:color="auto"/>
            <w:left w:val="none" w:sz="0" w:space="0" w:color="auto"/>
            <w:bottom w:val="none" w:sz="0" w:space="0" w:color="auto"/>
            <w:right w:val="none" w:sz="0" w:space="0" w:color="auto"/>
          </w:divBdr>
        </w:div>
        <w:div w:id="800921050">
          <w:marLeft w:val="640"/>
          <w:marRight w:val="0"/>
          <w:marTop w:val="0"/>
          <w:marBottom w:val="0"/>
          <w:divBdr>
            <w:top w:val="none" w:sz="0" w:space="0" w:color="auto"/>
            <w:left w:val="none" w:sz="0" w:space="0" w:color="auto"/>
            <w:bottom w:val="none" w:sz="0" w:space="0" w:color="auto"/>
            <w:right w:val="none" w:sz="0" w:space="0" w:color="auto"/>
          </w:divBdr>
        </w:div>
        <w:div w:id="763651366">
          <w:marLeft w:val="640"/>
          <w:marRight w:val="0"/>
          <w:marTop w:val="0"/>
          <w:marBottom w:val="0"/>
          <w:divBdr>
            <w:top w:val="none" w:sz="0" w:space="0" w:color="auto"/>
            <w:left w:val="none" w:sz="0" w:space="0" w:color="auto"/>
            <w:bottom w:val="none" w:sz="0" w:space="0" w:color="auto"/>
            <w:right w:val="none" w:sz="0" w:space="0" w:color="auto"/>
          </w:divBdr>
        </w:div>
        <w:div w:id="606892236">
          <w:marLeft w:val="640"/>
          <w:marRight w:val="0"/>
          <w:marTop w:val="0"/>
          <w:marBottom w:val="0"/>
          <w:divBdr>
            <w:top w:val="none" w:sz="0" w:space="0" w:color="auto"/>
            <w:left w:val="none" w:sz="0" w:space="0" w:color="auto"/>
            <w:bottom w:val="none" w:sz="0" w:space="0" w:color="auto"/>
            <w:right w:val="none" w:sz="0" w:space="0" w:color="auto"/>
          </w:divBdr>
        </w:div>
        <w:div w:id="919875042">
          <w:marLeft w:val="640"/>
          <w:marRight w:val="0"/>
          <w:marTop w:val="0"/>
          <w:marBottom w:val="0"/>
          <w:divBdr>
            <w:top w:val="none" w:sz="0" w:space="0" w:color="auto"/>
            <w:left w:val="none" w:sz="0" w:space="0" w:color="auto"/>
            <w:bottom w:val="none" w:sz="0" w:space="0" w:color="auto"/>
            <w:right w:val="none" w:sz="0" w:space="0" w:color="auto"/>
          </w:divBdr>
        </w:div>
        <w:div w:id="378283202">
          <w:marLeft w:val="640"/>
          <w:marRight w:val="0"/>
          <w:marTop w:val="0"/>
          <w:marBottom w:val="0"/>
          <w:divBdr>
            <w:top w:val="none" w:sz="0" w:space="0" w:color="auto"/>
            <w:left w:val="none" w:sz="0" w:space="0" w:color="auto"/>
            <w:bottom w:val="none" w:sz="0" w:space="0" w:color="auto"/>
            <w:right w:val="none" w:sz="0" w:space="0" w:color="auto"/>
          </w:divBdr>
        </w:div>
        <w:div w:id="2116289311">
          <w:marLeft w:val="640"/>
          <w:marRight w:val="0"/>
          <w:marTop w:val="0"/>
          <w:marBottom w:val="0"/>
          <w:divBdr>
            <w:top w:val="none" w:sz="0" w:space="0" w:color="auto"/>
            <w:left w:val="none" w:sz="0" w:space="0" w:color="auto"/>
            <w:bottom w:val="none" w:sz="0" w:space="0" w:color="auto"/>
            <w:right w:val="none" w:sz="0" w:space="0" w:color="auto"/>
          </w:divBdr>
        </w:div>
        <w:div w:id="1618102905">
          <w:marLeft w:val="640"/>
          <w:marRight w:val="0"/>
          <w:marTop w:val="0"/>
          <w:marBottom w:val="0"/>
          <w:divBdr>
            <w:top w:val="none" w:sz="0" w:space="0" w:color="auto"/>
            <w:left w:val="none" w:sz="0" w:space="0" w:color="auto"/>
            <w:bottom w:val="none" w:sz="0" w:space="0" w:color="auto"/>
            <w:right w:val="none" w:sz="0" w:space="0" w:color="auto"/>
          </w:divBdr>
        </w:div>
        <w:div w:id="347296988">
          <w:marLeft w:val="640"/>
          <w:marRight w:val="0"/>
          <w:marTop w:val="0"/>
          <w:marBottom w:val="0"/>
          <w:divBdr>
            <w:top w:val="none" w:sz="0" w:space="0" w:color="auto"/>
            <w:left w:val="none" w:sz="0" w:space="0" w:color="auto"/>
            <w:bottom w:val="none" w:sz="0" w:space="0" w:color="auto"/>
            <w:right w:val="none" w:sz="0" w:space="0" w:color="auto"/>
          </w:divBdr>
        </w:div>
        <w:div w:id="152573655">
          <w:marLeft w:val="640"/>
          <w:marRight w:val="0"/>
          <w:marTop w:val="0"/>
          <w:marBottom w:val="0"/>
          <w:divBdr>
            <w:top w:val="none" w:sz="0" w:space="0" w:color="auto"/>
            <w:left w:val="none" w:sz="0" w:space="0" w:color="auto"/>
            <w:bottom w:val="none" w:sz="0" w:space="0" w:color="auto"/>
            <w:right w:val="none" w:sz="0" w:space="0" w:color="auto"/>
          </w:divBdr>
        </w:div>
        <w:div w:id="1826045612">
          <w:marLeft w:val="640"/>
          <w:marRight w:val="0"/>
          <w:marTop w:val="0"/>
          <w:marBottom w:val="0"/>
          <w:divBdr>
            <w:top w:val="none" w:sz="0" w:space="0" w:color="auto"/>
            <w:left w:val="none" w:sz="0" w:space="0" w:color="auto"/>
            <w:bottom w:val="none" w:sz="0" w:space="0" w:color="auto"/>
            <w:right w:val="none" w:sz="0" w:space="0" w:color="auto"/>
          </w:divBdr>
        </w:div>
        <w:div w:id="1115712400">
          <w:marLeft w:val="640"/>
          <w:marRight w:val="0"/>
          <w:marTop w:val="0"/>
          <w:marBottom w:val="0"/>
          <w:divBdr>
            <w:top w:val="none" w:sz="0" w:space="0" w:color="auto"/>
            <w:left w:val="none" w:sz="0" w:space="0" w:color="auto"/>
            <w:bottom w:val="none" w:sz="0" w:space="0" w:color="auto"/>
            <w:right w:val="none" w:sz="0" w:space="0" w:color="auto"/>
          </w:divBdr>
        </w:div>
        <w:div w:id="940453670">
          <w:marLeft w:val="640"/>
          <w:marRight w:val="0"/>
          <w:marTop w:val="0"/>
          <w:marBottom w:val="0"/>
          <w:divBdr>
            <w:top w:val="none" w:sz="0" w:space="0" w:color="auto"/>
            <w:left w:val="none" w:sz="0" w:space="0" w:color="auto"/>
            <w:bottom w:val="none" w:sz="0" w:space="0" w:color="auto"/>
            <w:right w:val="none" w:sz="0" w:space="0" w:color="auto"/>
          </w:divBdr>
        </w:div>
        <w:div w:id="739913683">
          <w:marLeft w:val="640"/>
          <w:marRight w:val="0"/>
          <w:marTop w:val="0"/>
          <w:marBottom w:val="0"/>
          <w:divBdr>
            <w:top w:val="none" w:sz="0" w:space="0" w:color="auto"/>
            <w:left w:val="none" w:sz="0" w:space="0" w:color="auto"/>
            <w:bottom w:val="none" w:sz="0" w:space="0" w:color="auto"/>
            <w:right w:val="none" w:sz="0" w:space="0" w:color="auto"/>
          </w:divBdr>
        </w:div>
        <w:div w:id="1371422064">
          <w:marLeft w:val="640"/>
          <w:marRight w:val="0"/>
          <w:marTop w:val="0"/>
          <w:marBottom w:val="0"/>
          <w:divBdr>
            <w:top w:val="none" w:sz="0" w:space="0" w:color="auto"/>
            <w:left w:val="none" w:sz="0" w:space="0" w:color="auto"/>
            <w:bottom w:val="none" w:sz="0" w:space="0" w:color="auto"/>
            <w:right w:val="none" w:sz="0" w:space="0" w:color="auto"/>
          </w:divBdr>
        </w:div>
        <w:div w:id="896935296">
          <w:marLeft w:val="640"/>
          <w:marRight w:val="0"/>
          <w:marTop w:val="0"/>
          <w:marBottom w:val="0"/>
          <w:divBdr>
            <w:top w:val="none" w:sz="0" w:space="0" w:color="auto"/>
            <w:left w:val="none" w:sz="0" w:space="0" w:color="auto"/>
            <w:bottom w:val="none" w:sz="0" w:space="0" w:color="auto"/>
            <w:right w:val="none" w:sz="0" w:space="0" w:color="auto"/>
          </w:divBdr>
        </w:div>
        <w:div w:id="1905872336">
          <w:marLeft w:val="640"/>
          <w:marRight w:val="0"/>
          <w:marTop w:val="0"/>
          <w:marBottom w:val="0"/>
          <w:divBdr>
            <w:top w:val="none" w:sz="0" w:space="0" w:color="auto"/>
            <w:left w:val="none" w:sz="0" w:space="0" w:color="auto"/>
            <w:bottom w:val="none" w:sz="0" w:space="0" w:color="auto"/>
            <w:right w:val="none" w:sz="0" w:space="0" w:color="auto"/>
          </w:divBdr>
        </w:div>
        <w:div w:id="62945685">
          <w:marLeft w:val="640"/>
          <w:marRight w:val="0"/>
          <w:marTop w:val="0"/>
          <w:marBottom w:val="0"/>
          <w:divBdr>
            <w:top w:val="none" w:sz="0" w:space="0" w:color="auto"/>
            <w:left w:val="none" w:sz="0" w:space="0" w:color="auto"/>
            <w:bottom w:val="none" w:sz="0" w:space="0" w:color="auto"/>
            <w:right w:val="none" w:sz="0" w:space="0" w:color="auto"/>
          </w:divBdr>
        </w:div>
        <w:div w:id="939994161">
          <w:marLeft w:val="640"/>
          <w:marRight w:val="0"/>
          <w:marTop w:val="0"/>
          <w:marBottom w:val="0"/>
          <w:divBdr>
            <w:top w:val="none" w:sz="0" w:space="0" w:color="auto"/>
            <w:left w:val="none" w:sz="0" w:space="0" w:color="auto"/>
            <w:bottom w:val="none" w:sz="0" w:space="0" w:color="auto"/>
            <w:right w:val="none" w:sz="0" w:space="0" w:color="auto"/>
          </w:divBdr>
        </w:div>
        <w:div w:id="64498620">
          <w:marLeft w:val="640"/>
          <w:marRight w:val="0"/>
          <w:marTop w:val="0"/>
          <w:marBottom w:val="0"/>
          <w:divBdr>
            <w:top w:val="none" w:sz="0" w:space="0" w:color="auto"/>
            <w:left w:val="none" w:sz="0" w:space="0" w:color="auto"/>
            <w:bottom w:val="none" w:sz="0" w:space="0" w:color="auto"/>
            <w:right w:val="none" w:sz="0" w:space="0" w:color="auto"/>
          </w:divBdr>
        </w:div>
        <w:div w:id="6637305">
          <w:marLeft w:val="640"/>
          <w:marRight w:val="0"/>
          <w:marTop w:val="0"/>
          <w:marBottom w:val="0"/>
          <w:divBdr>
            <w:top w:val="none" w:sz="0" w:space="0" w:color="auto"/>
            <w:left w:val="none" w:sz="0" w:space="0" w:color="auto"/>
            <w:bottom w:val="none" w:sz="0" w:space="0" w:color="auto"/>
            <w:right w:val="none" w:sz="0" w:space="0" w:color="auto"/>
          </w:divBdr>
        </w:div>
        <w:div w:id="1058821980">
          <w:marLeft w:val="640"/>
          <w:marRight w:val="0"/>
          <w:marTop w:val="0"/>
          <w:marBottom w:val="0"/>
          <w:divBdr>
            <w:top w:val="none" w:sz="0" w:space="0" w:color="auto"/>
            <w:left w:val="none" w:sz="0" w:space="0" w:color="auto"/>
            <w:bottom w:val="none" w:sz="0" w:space="0" w:color="auto"/>
            <w:right w:val="none" w:sz="0" w:space="0" w:color="auto"/>
          </w:divBdr>
        </w:div>
        <w:div w:id="1237326345">
          <w:marLeft w:val="640"/>
          <w:marRight w:val="0"/>
          <w:marTop w:val="0"/>
          <w:marBottom w:val="0"/>
          <w:divBdr>
            <w:top w:val="none" w:sz="0" w:space="0" w:color="auto"/>
            <w:left w:val="none" w:sz="0" w:space="0" w:color="auto"/>
            <w:bottom w:val="none" w:sz="0" w:space="0" w:color="auto"/>
            <w:right w:val="none" w:sz="0" w:space="0" w:color="auto"/>
          </w:divBdr>
        </w:div>
        <w:div w:id="660039457">
          <w:marLeft w:val="640"/>
          <w:marRight w:val="0"/>
          <w:marTop w:val="0"/>
          <w:marBottom w:val="0"/>
          <w:divBdr>
            <w:top w:val="none" w:sz="0" w:space="0" w:color="auto"/>
            <w:left w:val="none" w:sz="0" w:space="0" w:color="auto"/>
            <w:bottom w:val="none" w:sz="0" w:space="0" w:color="auto"/>
            <w:right w:val="none" w:sz="0" w:space="0" w:color="auto"/>
          </w:divBdr>
        </w:div>
        <w:div w:id="294024078">
          <w:marLeft w:val="640"/>
          <w:marRight w:val="0"/>
          <w:marTop w:val="0"/>
          <w:marBottom w:val="0"/>
          <w:divBdr>
            <w:top w:val="none" w:sz="0" w:space="0" w:color="auto"/>
            <w:left w:val="none" w:sz="0" w:space="0" w:color="auto"/>
            <w:bottom w:val="none" w:sz="0" w:space="0" w:color="auto"/>
            <w:right w:val="none" w:sz="0" w:space="0" w:color="auto"/>
          </w:divBdr>
        </w:div>
        <w:div w:id="479734384">
          <w:marLeft w:val="640"/>
          <w:marRight w:val="0"/>
          <w:marTop w:val="0"/>
          <w:marBottom w:val="0"/>
          <w:divBdr>
            <w:top w:val="none" w:sz="0" w:space="0" w:color="auto"/>
            <w:left w:val="none" w:sz="0" w:space="0" w:color="auto"/>
            <w:bottom w:val="none" w:sz="0" w:space="0" w:color="auto"/>
            <w:right w:val="none" w:sz="0" w:space="0" w:color="auto"/>
          </w:divBdr>
        </w:div>
        <w:div w:id="314380841">
          <w:marLeft w:val="640"/>
          <w:marRight w:val="0"/>
          <w:marTop w:val="0"/>
          <w:marBottom w:val="0"/>
          <w:divBdr>
            <w:top w:val="none" w:sz="0" w:space="0" w:color="auto"/>
            <w:left w:val="none" w:sz="0" w:space="0" w:color="auto"/>
            <w:bottom w:val="none" w:sz="0" w:space="0" w:color="auto"/>
            <w:right w:val="none" w:sz="0" w:space="0" w:color="auto"/>
          </w:divBdr>
        </w:div>
        <w:div w:id="56711709">
          <w:marLeft w:val="640"/>
          <w:marRight w:val="0"/>
          <w:marTop w:val="0"/>
          <w:marBottom w:val="0"/>
          <w:divBdr>
            <w:top w:val="none" w:sz="0" w:space="0" w:color="auto"/>
            <w:left w:val="none" w:sz="0" w:space="0" w:color="auto"/>
            <w:bottom w:val="none" w:sz="0" w:space="0" w:color="auto"/>
            <w:right w:val="none" w:sz="0" w:space="0" w:color="auto"/>
          </w:divBdr>
        </w:div>
        <w:div w:id="1194460542">
          <w:marLeft w:val="640"/>
          <w:marRight w:val="0"/>
          <w:marTop w:val="0"/>
          <w:marBottom w:val="0"/>
          <w:divBdr>
            <w:top w:val="none" w:sz="0" w:space="0" w:color="auto"/>
            <w:left w:val="none" w:sz="0" w:space="0" w:color="auto"/>
            <w:bottom w:val="none" w:sz="0" w:space="0" w:color="auto"/>
            <w:right w:val="none" w:sz="0" w:space="0" w:color="auto"/>
          </w:divBdr>
        </w:div>
        <w:div w:id="1486386455">
          <w:marLeft w:val="640"/>
          <w:marRight w:val="0"/>
          <w:marTop w:val="0"/>
          <w:marBottom w:val="0"/>
          <w:divBdr>
            <w:top w:val="none" w:sz="0" w:space="0" w:color="auto"/>
            <w:left w:val="none" w:sz="0" w:space="0" w:color="auto"/>
            <w:bottom w:val="none" w:sz="0" w:space="0" w:color="auto"/>
            <w:right w:val="none" w:sz="0" w:space="0" w:color="auto"/>
          </w:divBdr>
        </w:div>
        <w:div w:id="2008172167">
          <w:marLeft w:val="640"/>
          <w:marRight w:val="0"/>
          <w:marTop w:val="0"/>
          <w:marBottom w:val="0"/>
          <w:divBdr>
            <w:top w:val="none" w:sz="0" w:space="0" w:color="auto"/>
            <w:left w:val="none" w:sz="0" w:space="0" w:color="auto"/>
            <w:bottom w:val="none" w:sz="0" w:space="0" w:color="auto"/>
            <w:right w:val="none" w:sz="0" w:space="0" w:color="auto"/>
          </w:divBdr>
        </w:div>
        <w:div w:id="856692877">
          <w:marLeft w:val="640"/>
          <w:marRight w:val="0"/>
          <w:marTop w:val="0"/>
          <w:marBottom w:val="0"/>
          <w:divBdr>
            <w:top w:val="none" w:sz="0" w:space="0" w:color="auto"/>
            <w:left w:val="none" w:sz="0" w:space="0" w:color="auto"/>
            <w:bottom w:val="none" w:sz="0" w:space="0" w:color="auto"/>
            <w:right w:val="none" w:sz="0" w:space="0" w:color="auto"/>
          </w:divBdr>
        </w:div>
        <w:div w:id="419907723">
          <w:marLeft w:val="640"/>
          <w:marRight w:val="0"/>
          <w:marTop w:val="0"/>
          <w:marBottom w:val="0"/>
          <w:divBdr>
            <w:top w:val="none" w:sz="0" w:space="0" w:color="auto"/>
            <w:left w:val="none" w:sz="0" w:space="0" w:color="auto"/>
            <w:bottom w:val="none" w:sz="0" w:space="0" w:color="auto"/>
            <w:right w:val="none" w:sz="0" w:space="0" w:color="auto"/>
          </w:divBdr>
        </w:div>
        <w:div w:id="67969621">
          <w:marLeft w:val="640"/>
          <w:marRight w:val="0"/>
          <w:marTop w:val="0"/>
          <w:marBottom w:val="0"/>
          <w:divBdr>
            <w:top w:val="none" w:sz="0" w:space="0" w:color="auto"/>
            <w:left w:val="none" w:sz="0" w:space="0" w:color="auto"/>
            <w:bottom w:val="none" w:sz="0" w:space="0" w:color="auto"/>
            <w:right w:val="none" w:sz="0" w:space="0" w:color="auto"/>
          </w:divBdr>
        </w:div>
        <w:div w:id="1552838003">
          <w:marLeft w:val="640"/>
          <w:marRight w:val="0"/>
          <w:marTop w:val="0"/>
          <w:marBottom w:val="0"/>
          <w:divBdr>
            <w:top w:val="none" w:sz="0" w:space="0" w:color="auto"/>
            <w:left w:val="none" w:sz="0" w:space="0" w:color="auto"/>
            <w:bottom w:val="none" w:sz="0" w:space="0" w:color="auto"/>
            <w:right w:val="none" w:sz="0" w:space="0" w:color="auto"/>
          </w:divBdr>
        </w:div>
        <w:div w:id="837311806">
          <w:marLeft w:val="640"/>
          <w:marRight w:val="0"/>
          <w:marTop w:val="0"/>
          <w:marBottom w:val="0"/>
          <w:divBdr>
            <w:top w:val="none" w:sz="0" w:space="0" w:color="auto"/>
            <w:left w:val="none" w:sz="0" w:space="0" w:color="auto"/>
            <w:bottom w:val="none" w:sz="0" w:space="0" w:color="auto"/>
            <w:right w:val="none" w:sz="0" w:space="0" w:color="auto"/>
          </w:divBdr>
        </w:div>
        <w:div w:id="1127158445">
          <w:marLeft w:val="640"/>
          <w:marRight w:val="0"/>
          <w:marTop w:val="0"/>
          <w:marBottom w:val="0"/>
          <w:divBdr>
            <w:top w:val="none" w:sz="0" w:space="0" w:color="auto"/>
            <w:left w:val="none" w:sz="0" w:space="0" w:color="auto"/>
            <w:bottom w:val="none" w:sz="0" w:space="0" w:color="auto"/>
            <w:right w:val="none" w:sz="0" w:space="0" w:color="auto"/>
          </w:divBdr>
        </w:div>
        <w:div w:id="645739627">
          <w:marLeft w:val="640"/>
          <w:marRight w:val="0"/>
          <w:marTop w:val="0"/>
          <w:marBottom w:val="0"/>
          <w:divBdr>
            <w:top w:val="none" w:sz="0" w:space="0" w:color="auto"/>
            <w:left w:val="none" w:sz="0" w:space="0" w:color="auto"/>
            <w:bottom w:val="none" w:sz="0" w:space="0" w:color="auto"/>
            <w:right w:val="none" w:sz="0" w:space="0" w:color="auto"/>
          </w:divBdr>
        </w:div>
        <w:div w:id="658389624">
          <w:marLeft w:val="640"/>
          <w:marRight w:val="0"/>
          <w:marTop w:val="0"/>
          <w:marBottom w:val="0"/>
          <w:divBdr>
            <w:top w:val="none" w:sz="0" w:space="0" w:color="auto"/>
            <w:left w:val="none" w:sz="0" w:space="0" w:color="auto"/>
            <w:bottom w:val="none" w:sz="0" w:space="0" w:color="auto"/>
            <w:right w:val="none" w:sz="0" w:space="0" w:color="auto"/>
          </w:divBdr>
        </w:div>
        <w:div w:id="146167256">
          <w:marLeft w:val="640"/>
          <w:marRight w:val="0"/>
          <w:marTop w:val="0"/>
          <w:marBottom w:val="0"/>
          <w:divBdr>
            <w:top w:val="none" w:sz="0" w:space="0" w:color="auto"/>
            <w:left w:val="none" w:sz="0" w:space="0" w:color="auto"/>
            <w:bottom w:val="none" w:sz="0" w:space="0" w:color="auto"/>
            <w:right w:val="none" w:sz="0" w:space="0" w:color="auto"/>
          </w:divBdr>
        </w:div>
        <w:div w:id="94982853">
          <w:marLeft w:val="640"/>
          <w:marRight w:val="0"/>
          <w:marTop w:val="0"/>
          <w:marBottom w:val="0"/>
          <w:divBdr>
            <w:top w:val="none" w:sz="0" w:space="0" w:color="auto"/>
            <w:left w:val="none" w:sz="0" w:space="0" w:color="auto"/>
            <w:bottom w:val="none" w:sz="0" w:space="0" w:color="auto"/>
            <w:right w:val="none" w:sz="0" w:space="0" w:color="auto"/>
          </w:divBdr>
        </w:div>
        <w:div w:id="202641743">
          <w:marLeft w:val="640"/>
          <w:marRight w:val="0"/>
          <w:marTop w:val="0"/>
          <w:marBottom w:val="0"/>
          <w:divBdr>
            <w:top w:val="none" w:sz="0" w:space="0" w:color="auto"/>
            <w:left w:val="none" w:sz="0" w:space="0" w:color="auto"/>
            <w:bottom w:val="none" w:sz="0" w:space="0" w:color="auto"/>
            <w:right w:val="none" w:sz="0" w:space="0" w:color="auto"/>
          </w:divBdr>
        </w:div>
        <w:div w:id="929922630">
          <w:marLeft w:val="640"/>
          <w:marRight w:val="0"/>
          <w:marTop w:val="0"/>
          <w:marBottom w:val="0"/>
          <w:divBdr>
            <w:top w:val="none" w:sz="0" w:space="0" w:color="auto"/>
            <w:left w:val="none" w:sz="0" w:space="0" w:color="auto"/>
            <w:bottom w:val="none" w:sz="0" w:space="0" w:color="auto"/>
            <w:right w:val="none" w:sz="0" w:space="0" w:color="auto"/>
          </w:divBdr>
        </w:div>
        <w:div w:id="1462267504">
          <w:marLeft w:val="640"/>
          <w:marRight w:val="0"/>
          <w:marTop w:val="0"/>
          <w:marBottom w:val="0"/>
          <w:divBdr>
            <w:top w:val="none" w:sz="0" w:space="0" w:color="auto"/>
            <w:left w:val="none" w:sz="0" w:space="0" w:color="auto"/>
            <w:bottom w:val="none" w:sz="0" w:space="0" w:color="auto"/>
            <w:right w:val="none" w:sz="0" w:space="0" w:color="auto"/>
          </w:divBdr>
        </w:div>
        <w:div w:id="608970077">
          <w:marLeft w:val="640"/>
          <w:marRight w:val="0"/>
          <w:marTop w:val="0"/>
          <w:marBottom w:val="0"/>
          <w:divBdr>
            <w:top w:val="none" w:sz="0" w:space="0" w:color="auto"/>
            <w:left w:val="none" w:sz="0" w:space="0" w:color="auto"/>
            <w:bottom w:val="none" w:sz="0" w:space="0" w:color="auto"/>
            <w:right w:val="none" w:sz="0" w:space="0" w:color="auto"/>
          </w:divBdr>
        </w:div>
        <w:div w:id="2032610897">
          <w:marLeft w:val="640"/>
          <w:marRight w:val="0"/>
          <w:marTop w:val="0"/>
          <w:marBottom w:val="0"/>
          <w:divBdr>
            <w:top w:val="none" w:sz="0" w:space="0" w:color="auto"/>
            <w:left w:val="none" w:sz="0" w:space="0" w:color="auto"/>
            <w:bottom w:val="none" w:sz="0" w:space="0" w:color="auto"/>
            <w:right w:val="none" w:sz="0" w:space="0" w:color="auto"/>
          </w:divBdr>
        </w:div>
        <w:div w:id="357315679">
          <w:marLeft w:val="640"/>
          <w:marRight w:val="0"/>
          <w:marTop w:val="0"/>
          <w:marBottom w:val="0"/>
          <w:divBdr>
            <w:top w:val="none" w:sz="0" w:space="0" w:color="auto"/>
            <w:left w:val="none" w:sz="0" w:space="0" w:color="auto"/>
            <w:bottom w:val="none" w:sz="0" w:space="0" w:color="auto"/>
            <w:right w:val="none" w:sz="0" w:space="0" w:color="auto"/>
          </w:divBdr>
        </w:div>
        <w:div w:id="268509160">
          <w:marLeft w:val="640"/>
          <w:marRight w:val="0"/>
          <w:marTop w:val="0"/>
          <w:marBottom w:val="0"/>
          <w:divBdr>
            <w:top w:val="none" w:sz="0" w:space="0" w:color="auto"/>
            <w:left w:val="none" w:sz="0" w:space="0" w:color="auto"/>
            <w:bottom w:val="none" w:sz="0" w:space="0" w:color="auto"/>
            <w:right w:val="none" w:sz="0" w:space="0" w:color="auto"/>
          </w:divBdr>
        </w:div>
        <w:div w:id="1035421365">
          <w:marLeft w:val="640"/>
          <w:marRight w:val="0"/>
          <w:marTop w:val="0"/>
          <w:marBottom w:val="0"/>
          <w:divBdr>
            <w:top w:val="none" w:sz="0" w:space="0" w:color="auto"/>
            <w:left w:val="none" w:sz="0" w:space="0" w:color="auto"/>
            <w:bottom w:val="none" w:sz="0" w:space="0" w:color="auto"/>
            <w:right w:val="none" w:sz="0" w:space="0" w:color="auto"/>
          </w:divBdr>
        </w:div>
        <w:div w:id="911238094">
          <w:marLeft w:val="640"/>
          <w:marRight w:val="0"/>
          <w:marTop w:val="0"/>
          <w:marBottom w:val="0"/>
          <w:divBdr>
            <w:top w:val="none" w:sz="0" w:space="0" w:color="auto"/>
            <w:left w:val="none" w:sz="0" w:space="0" w:color="auto"/>
            <w:bottom w:val="none" w:sz="0" w:space="0" w:color="auto"/>
            <w:right w:val="none" w:sz="0" w:space="0" w:color="auto"/>
          </w:divBdr>
        </w:div>
        <w:div w:id="1121724501">
          <w:marLeft w:val="640"/>
          <w:marRight w:val="0"/>
          <w:marTop w:val="0"/>
          <w:marBottom w:val="0"/>
          <w:divBdr>
            <w:top w:val="none" w:sz="0" w:space="0" w:color="auto"/>
            <w:left w:val="none" w:sz="0" w:space="0" w:color="auto"/>
            <w:bottom w:val="none" w:sz="0" w:space="0" w:color="auto"/>
            <w:right w:val="none" w:sz="0" w:space="0" w:color="auto"/>
          </w:divBdr>
        </w:div>
        <w:div w:id="447890906">
          <w:marLeft w:val="640"/>
          <w:marRight w:val="0"/>
          <w:marTop w:val="0"/>
          <w:marBottom w:val="0"/>
          <w:divBdr>
            <w:top w:val="none" w:sz="0" w:space="0" w:color="auto"/>
            <w:left w:val="none" w:sz="0" w:space="0" w:color="auto"/>
            <w:bottom w:val="none" w:sz="0" w:space="0" w:color="auto"/>
            <w:right w:val="none" w:sz="0" w:space="0" w:color="auto"/>
          </w:divBdr>
        </w:div>
        <w:div w:id="628779076">
          <w:marLeft w:val="640"/>
          <w:marRight w:val="0"/>
          <w:marTop w:val="0"/>
          <w:marBottom w:val="0"/>
          <w:divBdr>
            <w:top w:val="none" w:sz="0" w:space="0" w:color="auto"/>
            <w:left w:val="none" w:sz="0" w:space="0" w:color="auto"/>
            <w:bottom w:val="none" w:sz="0" w:space="0" w:color="auto"/>
            <w:right w:val="none" w:sz="0" w:space="0" w:color="auto"/>
          </w:divBdr>
        </w:div>
        <w:div w:id="873888173">
          <w:marLeft w:val="640"/>
          <w:marRight w:val="0"/>
          <w:marTop w:val="0"/>
          <w:marBottom w:val="0"/>
          <w:divBdr>
            <w:top w:val="none" w:sz="0" w:space="0" w:color="auto"/>
            <w:left w:val="none" w:sz="0" w:space="0" w:color="auto"/>
            <w:bottom w:val="none" w:sz="0" w:space="0" w:color="auto"/>
            <w:right w:val="none" w:sz="0" w:space="0" w:color="auto"/>
          </w:divBdr>
        </w:div>
        <w:div w:id="341585873">
          <w:marLeft w:val="640"/>
          <w:marRight w:val="0"/>
          <w:marTop w:val="0"/>
          <w:marBottom w:val="0"/>
          <w:divBdr>
            <w:top w:val="none" w:sz="0" w:space="0" w:color="auto"/>
            <w:left w:val="none" w:sz="0" w:space="0" w:color="auto"/>
            <w:bottom w:val="none" w:sz="0" w:space="0" w:color="auto"/>
            <w:right w:val="none" w:sz="0" w:space="0" w:color="auto"/>
          </w:divBdr>
        </w:div>
        <w:div w:id="695349343">
          <w:marLeft w:val="640"/>
          <w:marRight w:val="0"/>
          <w:marTop w:val="0"/>
          <w:marBottom w:val="0"/>
          <w:divBdr>
            <w:top w:val="none" w:sz="0" w:space="0" w:color="auto"/>
            <w:left w:val="none" w:sz="0" w:space="0" w:color="auto"/>
            <w:bottom w:val="none" w:sz="0" w:space="0" w:color="auto"/>
            <w:right w:val="none" w:sz="0" w:space="0" w:color="auto"/>
          </w:divBdr>
        </w:div>
        <w:div w:id="66149247">
          <w:marLeft w:val="640"/>
          <w:marRight w:val="0"/>
          <w:marTop w:val="0"/>
          <w:marBottom w:val="0"/>
          <w:divBdr>
            <w:top w:val="none" w:sz="0" w:space="0" w:color="auto"/>
            <w:left w:val="none" w:sz="0" w:space="0" w:color="auto"/>
            <w:bottom w:val="none" w:sz="0" w:space="0" w:color="auto"/>
            <w:right w:val="none" w:sz="0" w:space="0" w:color="auto"/>
          </w:divBdr>
        </w:div>
        <w:div w:id="1575625316">
          <w:marLeft w:val="640"/>
          <w:marRight w:val="0"/>
          <w:marTop w:val="0"/>
          <w:marBottom w:val="0"/>
          <w:divBdr>
            <w:top w:val="none" w:sz="0" w:space="0" w:color="auto"/>
            <w:left w:val="none" w:sz="0" w:space="0" w:color="auto"/>
            <w:bottom w:val="none" w:sz="0" w:space="0" w:color="auto"/>
            <w:right w:val="none" w:sz="0" w:space="0" w:color="auto"/>
          </w:divBdr>
        </w:div>
        <w:div w:id="1730806649">
          <w:marLeft w:val="640"/>
          <w:marRight w:val="0"/>
          <w:marTop w:val="0"/>
          <w:marBottom w:val="0"/>
          <w:divBdr>
            <w:top w:val="none" w:sz="0" w:space="0" w:color="auto"/>
            <w:left w:val="none" w:sz="0" w:space="0" w:color="auto"/>
            <w:bottom w:val="none" w:sz="0" w:space="0" w:color="auto"/>
            <w:right w:val="none" w:sz="0" w:space="0" w:color="auto"/>
          </w:divBdr>
        </w:div>
        <w:div w:id="1865053626">
          <w:marLeft w:val="640"/>
          <w:marRight w:val="0"/>
          <w:marTop w:val="0"/>
          <w:marBottom w:val="0"/>
          <w:divBdr>
            <w:top w:val="none" w:sz="0" w:space="0" w:color="auto"/>
            <w:left w:val="none" w:sz="0" w:space="0" w:color="auto"/>
            <w:bottom w:val="none" w:sz="0" w:space="0" w:color="auto"/>
            <w:right w:val="none" w:sz="0" w:space="0" w:color="auto"/>
          </w:divBdr>
        </w:div>
        <w:div w:id="162089585">
          <w:marLeft w:val="640"/>
          <w:marRight w:val="0"/>
          <w:marTop w:val="0"/>
          <w:marBottom w:val="0"/>
          <w:divBdr>
            <w:top w:val="none" w:sz="0" w:space="0" w:color="auto"/>
            <w:left w:val="none" w:sz="0" w:space="0" w:color="auto"/>
            <w:bottom w:val="none" w:sz="0" w:space="0" w:color="auto"/>
            <w:right w:val="none" w:sz="0" w:space="0" w:color="auto"/>
          </w:divBdr>
        </w:div>
        <w:div w:id="1217744801">
          <w:marLeft w:val="640"/>
          <w:marRight w:val="0"/>
          <w:marTop w:val="0"/>
          <w:marBottom w:val="0"/>
          <w:divBdr>
            <w:top w:val="none" w:sz="0" w:space="0" w:color="auto"/>
            <w:left w:val="none" w:sz="0" w:space="0" w:color="auto"/>
            <w:bottom w:val="none" w:sz="0" w:space="0" w:color="auto"/>
            <w:right w:val="none" w:sz="0" w:space="0" w:color="auto"/>
          </w:divBdr>
        </w:div>
        <w:div w:id="561869187">
          <w:marLeft w:val="640"/>
          <w:marRight w:val="0"/>
          <w:marTop w:val="0"/>
          <w:marBottom w:val="0"/>
          <w:divBdr>
            <w:top w:val="none" w:sz="0" w:space="0" w:color="auto"/>
            <w:left w:val="none" w:sz="0" w:space="0" w:color="auto"/>
            <w:bottom w:val="none" w:sz="0" w:space="0" w:color="auto"/>
            <w:right w:val="none" w:sz="0" w:space="0" w:color="auto"/>
          </w:divBdr>
        </w:div>
        <w:div w:id="874583959">
          <w:marLeft w:val="640"/>
          <w:marRight w:val="0"/>
          <w:marTop w:val="0"/>
          <w:marBottom w:val="0"/>
          <w:divBdr>
            <w:top w:val="none" w:sz="0" w:space="0" w:color="auto"/>
            <w:left w:val="none" w:sz="0" w:space="0" w:color="auto"/>
            <w:bottom w:val="none" w:sz="0" w:space="0" w:color="auto"/>
            <w:right w:val="none" w:sz="0" w:space="0" w:color="auto"/>
          </w:divBdr>
        </w:div>
        <w:div w:id="191193070">
          <w:marLeft w:val="640"/>
          <w:marRight w:val="0"/>
          <w:marTop w:val="0"/>
          <w:marBottom w:val="0"/>
          <w:divBdr>
            <w:top w:val="none" w:sz="0" w:space="0" w:color="auto"/>
            <w:left w:val="none" w:sz="0" w:space="0" w:color="auto"/>
            <w:bottom w:val="none" w:sz="0" w:space="0" w:color="auto"/>
            <w:right w:val="none" w:sz="0" w:space="0" w:color="auto"/>
          </w:divBdr>
        </w:div>
        <w:div w:id="282156418">
          <w:marLeft w:val="640"/>
          <w:marRight w:val="0"/>
          <w:marTop w:val="0"/>
          <w:marBottom w:val="0"/>
          <w:divBdr>
            <w:top w:val="none" w:sz="0" w:space="0" w:color="auto"/>
            <w:left w:val="none" w:sz="0" w:space="0" w:color="auto"/>
            <w:bottom w:val="none" w:sz="0" w:space="0" w:color="auto"/>
            <w:right w:val="none" w:sz="0" w:space="0" w:color="auto"/>
          </w:divBdr>
        </w:div>
        <w:div w:id="194393579">
          <w:marLeft w:val="640"/>
          <w:marRight w:val="0"/>
          <w:marTop w:val="0"/>
          <w:marBottom w:val="0"/>
          <w:divBdr>
            <w:top w:val="none" w:sz="0" w:space="0" w:color="auto"/>
            <w:left w:val="none" w:sz="0" w:space="0" w:color="auto"/>
            <w:bottom w:val="none" w:sz="0" w:space="0" w:color="auto"/>
            <w:right w:val="none" w:sz="0" w:space="0" w:color="auto"/>
          </w:divBdr>
        </w:div>
        <w:div w:id="2095738820">
          <w:marLeft w:val="640"/>
          <w:marRight w:val="0"/>
          <w:marTop w:val="0"/>
          <w:marBottom w:val="0"/>
          <w:divBdr>
            <w:top w:val="none" w:sz="0" w:space="0" w:color="auto"/>
            <w:left w:val="none" w:sz="0" w:space="0" w:color="auto"/>
            <w:bottom w:val="none" w:sz="0" w:space="0" w:color="auto"/>
            <w:right w:val="none" w:sz="0" w:space="0" w:color="auto"/>
          </w:divBdr>
        </w:div>
        <w:div w:id="1647735474">
          <w:marLeft w:val="640"/>
          <w:marRight w:val="0"/>
          <w:marTop w:val="0"/>
          <w:marBottom w:val="0"/>
          <w:divBdr>
            <w:top w:val="none" w:sz="0" w:space="0" w:color="auto"/>
            <w:left w:val="none" w:sz="0" w:space="0" w:color="auto"/>
            <w:bottom w:val="none" w:sz="0" w:space="0" w:color="auto"/>
            <w:right w:val="none" w:sz="0" w:space="0" w:color="auto"/>
          </w:divBdr>
        </w:div>
        <w:div w:id="1981689021">
          <w:marLeft w:val="640"/>
          <w:marRight w:val="0"/>
          <w:marTop w:val="0"/>
          <w:marBottom w:val="0"/>
          <w:divBdr>
            <w:top w:val="none" w:sz="0" w:space="0" w:color="auto"/>
            <w:left w:val="none" w:sz="0" w:space="0" w:color="auto"/>
            <w:bottom w:val="none" w:sz="0" w:space="0" w:color="auto"/>
            <w:right w:val="none" w:sz="0" w:space="0" w:color="auto"/>
          </w:divBdr>
        </w:div>
        <w:div w:id="1650865012">
          <w:marLeft w:val="640"/>
          <w:marRight w:val="0"/>
          <w:marTop w:val="0"/>
          <w:marBottom w:val="0"/>
          <w:divBdr>
            <w:top w:val="none" w:sz="0" w:space="0" w:color="auto"/>
            <w:left w:val="none" w:sz="0" w:space="0" w:color="auto"/>
            <w:bottom w:val="none" w:sz="0" w:space="0" w:color="auto"/>
            <w:right w:val="none" w:sz="0" w:space="0" w:color="auto"/>
          </w:divBdr>
        </w:div>
        <w:div w:id="2114587276">
          <w:marLeft w:val="640"/>
          <w:marRight w:val="0"/>
          <w:marTop w:val="0"/>
          <w:marBottom w:val="0"/>
          <w:divBdr>
            <w:top w:val="none" w:sz="0" w:space="0" w:color="auto"/>
            <w:left w:val="none" w:sz="0" w:space="0" w:color="auto"/>
            <w:bottom w:val="none" w:sz="0" w:space="0" w:color="auto"/>
            <w:right w:val="none" w:sz="0" w:space="0" w:color="auto"/>
          </w:divBdr>
        </w:div>
        <w:div w:id="1435327806">
          <w:marLeft w:val="640"/>
          <w:marRight w:val="0"/>
          <w:marTop w:val="0"/>
          <w:marBottom w:val="0"/>
          <w:divBdr>
            <w:top w:val="none" w:sz="0" w:space="0" w:color="auto"/>
            <w:left w:val="none" w:sz="0" w:space="0" w:color="auto"/>
            <w:bottom w:val="none" w:sz="0" w:space="0" w:color="auto"/>
            <w:right w:val="none" w:sz="0" w:space="0" w:color="auto"/>
          </w:divBdr>
        </w:div>
        <w:div w:id="34477027">
          <w:marLeft w:val="640"/>
          <w:marRight w:val="0"/>
          <w:marTop w:val="0"/>
          <w:marBottom w:val="0"/>
          <w:divBdr>
            <w:top w:val="none" w:sz="0" w:space="0" w:color="auto"/>
            <w:left w:val="none" w:sz="0" w:space="0" w:color="auto"/>
            <w:bottom w:val="none" w:sz="0" w:space="0" w:color="auto"/>
            <w:right w:val="none" w:sz="0" w:space="0" w:color="auto"/>
          </w:divBdr>
        </w:div>
        <w:div w:id="2140957317">
          <w:marLeft w:val="640"/>
          <w:marRight w:val="0"/>
          <w:marTop w:val="0"/>
          <w:marBottom w:val="0"/>
          <w:divBdr>
            <w:top w:val="none" w:sz="0" w:space="0" w:color="auto"/>
            <w:left w:val="none" w:sz="0" w:space="0" w:color="auto"/>
            <w:bottom w:val="none" w:sz="0" w:space="0" w:color="auto"/>
            <w:right w:val="none" w:sz="0" w:space="0" w:color="auto"/>
          </w:divBdr>
        </w:div>
        <w:div w:id="1881894625">
          <w:marLeft w:val="640"/>
          <w:marRight w:val="0"/>
          <w:marTop w:val="0"/>
          <w:marBottom w:val="0"/>
          <w:divBdr>
            <w:top w:val="none" w:sz="0" w:space="0" w:color="auto"/>
            <w:left w:val="none" w:sz="0" w:space="0" w:color="auto"/>
            <w:bottom w:val="none" w:sz="0" w:space="0" w:color="auto"/>
            <w:right w:val="none" w:sz="0" w:space="0" w:color="auto"/>
          </w:divBdr>
        </w:div>
      </w:divsChild>
    </w:div>
    <w:div w:id="1826386815">
      <w:bodyDiv w:val="1"/>
      <w:marLeft w:val="0"/>
      <w:marRight w:val="0"/>
      <w:marTop w:val="0"/>
      <w:marBottom w:val="0"/>
      <w:divBdr>
        <w:top w:val="none" w:sz="0" w:space="0" w:color="auto"/>
        <w:left w:val="none" w:sz="0" w:space="0" w:color="auto"/>
        <w:bottom w:val="none" w:sz="0" w:space="0" w:color="auto"/>
        <w:right w:val="none" w:sz="0" w:space="0" w:color="auto"/>
      </w:divBdr>
      <w:divsChild>
        <w:div w:id="2142965420">
          <w:marLeft w:val="640"/>
          <w:marRight w:val="0"/>
          <w:marTop w:val="0"/>
          <w:marBottom w:val="0"/>
          <w:divBdr>
            <w:top w:val="none" w:sz="0" w:space="0" w:color="auto"/>
            <w:left w:val="none" w:sz="0" w:space="0" w:color="auto"/>
            <w:bottom w:val="none" w:sz="0" w:space="0" w:color="auto"/>
            <w:right w:val="none" w:sz="0" w:space="0" w:color="auto"/>
          </w:divBdr>
        </w:div>
        <w:div w:id="650409445">
          <w:marLeft w:val="640"/>
          <w:marRight w:val="0"/>
          <w:marTop w:val="0"/>
          <w:marBottom w:val="0"/>
          <w:divBdr>
            <w:top w:val="none" w:sz="0" w:space="0" w:color="auto"/>
            <w:left w:val="none" w:sz="0" w:space="0" w:color="auto"/>
            <w:bottom w:val="none" w:sz="0" w:space="0" w:color="auto"/>
            <w:right w:val="none" w:sz="0" w:space="0" w:color="auto"/>
          </w:divBdr>
        </w:div>
        <w:div w:id="1222401987">
          <w:marLeft w:val="640"/>
          <w:marRight w:val="0"/>
          <w:marTop w:val="0"/>
          <w:marBottom w:val="0"/>
          <w:divBdr>
            <w:top w:val="none" w:sz="0" w:space="0" w:color="auto"/>
            <w:left w:val="none" w:sz="0" w:space="0" w:color="auto"/>
            <w:bottom w:val="none" w:sz="0" w:space="0" w:color="auto"/>
            <w:right w:val="none" w:sz="0" w:space="0" w:color="auto"/>
          </w:divBdr>
        </w:div>
        <w:div w:id="1602758274">
          <w:marLeft w:val="640"/>
          <w:marRight w:val="0"/>
          <w:marTop w:val="0"/>
          <w:marBottom w:val="0"/>
          <w:divBdr>
            <w:top w:val="none" w:sz="0" w:space="0" w:color="auto"/>
            <w:left w:val="none" w:sz="0" w:space="0" w:color="auto"/>
            <w:bottom w:val="none" w:sz="0" w:space="0" w:color="auto"/>
            <w:right w:val="none" w:sz="0" w:space="0" w:color="auto"/>
          </w:divBdr>
        </w:div>
        <w:div w:id="1812746123">
          <w:marLeft w:val="640"/>
          <w:marRight w:val="0"/>
          <w:marTop w:val="0"/>
          <w:marBottom w:val="0"/>
          <w:divBdr>
            <w:top w:val="none" w:sz="0" w:space="0" w:color="auto"/>
            <w:left w:val="none" w:sz="0" w:space="0" w:color="auto"/>
            <w:bottom w:val="none" w:sz="0" w:space="0" w:color="auto"/>
            <w:right w:val="none" w:sz="0" w:space="0" w:color="auto"/>
          </w:divBdr>
        </w:div>
        <w:div w:id="99765731">
          <w:marLeft w:val="640"/>
          <w:marRight w:val="0"/>
          <w:marTop w:val="0"/>
          <w:marBottom w:val="0"/>
          <w:divBdr>
            <w:top w:val="none" w:sz="0" w:space="0" w:color="auto"/>
            <w:left w:val="none" w:sz="0" w:space="0" w:color="auto"/>
            <w:bottom w:val="none" w:sz="0" w:space="0" w:color="auto"/>
            <w:right w:val="none" w:sz="0" w:space="0" w:color="auto"/>
          </w:divBdr>
        </w:div>
        <w:div w:id="1566523064">
          <w:marLeft w:val="640"/>
          <w:marRight w:val="0"/>
          <w:marTop w:val="0"/>
          <w:marBottom w:val="0"/>
          <w:divBdr>
            <w:top w:val="none" w:sz="0" w:space="0" w:color="auto"/>
            <w:left w:val="none" w:sz="0" w:space="0" w:color="auto"/>
            <w:bottom w:val="none" w:sz="0" w:space="0" w:color="auto"/>
            <w:right w:val="none" w:sz="0" w:space="0" w:color="auto"/>
          </w:divBdr>
        </w:div>
        <w:div w:id="1398629833">
          <w:marLeft w:val="640"/>
          <w:marRight w:val="0"/>
          <w:marTop w:val="0"/>
          <w:marBottom w:val="0"/>
          <w:divBdr>
            <w:top w:val="none" w:sz="0" w:space="0" w:color="auto"/>
            <w:left w:val="none" w:sz="0" w:space="0" w:color="auto"/>
            <w:bottom w:val="none" w:sz="0" w:space="0" w:color="auto"/>
            <w:right w:val="none" w:sz="0" w:space="0" w:color="auto"/>
          </w:divBdr>
        </w:div>
        <w:div w:id="112746633">
          <w:marLeft w:val="640"/>
          <w:marRight w:val="0"/>
          <w:marTop w:val="0"/>
          <w:marBottom w:val="0"/>
          <w:divBdr>
            <w:top w:val="none" w:sz="0" w:space="0" w:color="auto"/>
            <w:left w:val="none" w:sz="0" w:space="0" w:color="auto"/>
            <w:bottom w:val="none" w:sz="0" w:space="0" w:color="auto"/>
            <w:right w:val="none" w:sz="0" w:space="0" w:color="auto"/>
          </w:divBdr>
        </w:div>
        <w:div w:id="2099591511">
          <w:marLeft w:val="640"/>
          <w:marRight w:val="0"/>
          <w:marTop w:val="0"/>
          <w:marBottom w:val="0"/>
          <w:divBdr>
            <w:top w:val="none" w:sz="0" w:space="0" w:color="auto"/>
            <w:left w:val="none" w:sz="0" w:space="0" w:color="auto"/>
            <w:bottom w:val="none" w:sz="0" w:space="0" w:color="auto"/>
            <w:right w:val="none" w:sz="0" w:space="0" w:color="auto"/>
          </w:divBdr>
        </w:div>
        <w:div w:id="699816010">
          <w:marLeft w:val="640"/>
          <w:marRight w:val="0"/>
          <w:marTop w:val="0"/>
          <w:marBottom w:val="0"/>
          <w:divBdr>
            <w:top w:val="none" w:sz="0" w:space="0" w:color="auto"/>
            <w:left w:val="none" w:sz="0" w:space="0" w:color="auto"/>
            <w:bottom w:val="none" w:sz="0" w:space="0" w:color="auto"/>
            <w:right w:val="none" w:sz="0" w:space="0" w:color="auto"/>
          </w:divBdr>
        </w:div>
        <w:div w:id="1784961597">
          <w:marLeft w:val="640"/>
          <w:marRight w:val="0"/>
          <w:marTop w:val="0"/>
          <w:marBottom w:val="0"/>
          <w:divBdr>
            <w:top w:val="none" w:sz="0" w:space="0" w:color="auto"/>
            <w:left w:val="none" w:sz="0" w:space="0" w:color="auto"/>
            <w:bottom w:val="none" w:sz="0" w:space="0" w:color="auto"/>
            <w:right w:val="none" w:sz="0" w:space="0" w:color="auto"/>
          </w:divBdr>
        </w:div>
        <w:div w:id="2105882280">
          <w:marLeft w:val="640"/>
          <w:marRight w:val="0"/>
          <w:marTop w:val="0"/>
          <w:marBottom w:val="0"/>
          <w:divBdr>
            <w:top w:val="none" w:sz="0" w:space="0" w:color="auto"/>
            <w:left w:val="none" w:sz="0" w:space="0" w:color="auto"/>
            <w:bottom w:val="none" w:sz="0" w:space="0" w:color="auto"/>
            <w:right w:val="none" w:sz="0" w:space="0" w:color="auto"/>
          </w:divBdr>
        </w:div>
        <w:div w:id="1478759540">
          <w:marLeft w:val="640"/>
          <w:marRight w:val="0"/>
          <w:marTop w:val="0"/>
          <w:marBottom w:val="0"/>
          <w:divBdr>
            <w:top w:val="none" w:sz="0" w:space="0" w:color="auto"/>
            <w:left w:val="none" w:sz="0" w:space="0" w:color="auto"/>
            <w:bottom w:val="none" w:sz="0" w:space="0" w:color="auto"/>
            <w:right w:val="none" w:sz="0" w:space="0" w:color="auto"/>
          </w:divBdr>
        </w:div>
        <w:div w:id="182132683">
          <w:marLeft w:val="640"/>
          <w:marRight w:val="0"/>
          <w:marTop w:val="0"/>
          <w:marBottom w:val="0"/>
          <w:divBdr>
            <w:top w:val="none" w:sz="0" w:space="0" w:color="auto"/>
            <w:left w:val="none" w:sz="0" w:space="0" w:color="auto"/>
            <w:bottom w:val="none" w:sz="0" w:space="0" w:color="auto"/>
            <w:right w:val="none" w:sz="0" w:space="0" w:color="auto"/>
          </w:divBdr>
        </w:div>
        <w:div w:id="2096901713">
          <w:marLeft w:val="640"/>
          <w:marRight w:val="0"/>
          <w:marTop w:val="0"/>
          <w:marBottom w:val="0"/>
          <w:divBdr>
            <w:top w:val="none" w:sz="0" w:space="0" w:color="auto"/>
            <w:left w:val="none" w:sz="0" w:space="0" w:color="auto"/>
            <w:bottom w:val="none" w:sz="0" w:space="0" w:color="auto"/>
            <w:right w:val="none" w:sz="0" w:space="0" w:color="auto"/>
          </w:divBdr>
        </w:div>
        <w:div w:id="564685177">
          <w:marLeft w:val="640"/>
          <w:marRight w:val="0"/>
          <w:marTop w:val="0"/>
          <w:marBottom w:val="0"/>
          <w:divBdr>
            <w:top w:val="none" w:sz="0" w:space="0" w:color="auto"/>
            <w:left w:val="none" w:sz="0" w:space="0" w:color="auto"/>
            <w:bottom w:val="none" w:sz="0" w:space="0" w:color="auto"/>
            <w:right w:val="none" w:sz="0" w:space="0" w:color="auto"/>
          </w:divBdr>
        </w:div>
        <w:div w:id="2003972463">
          <w:marLeft w:val="640"/>
          <w:marRight w:val="0"/>
          <w:marTop w:val="0"/>
          <w:marBottom w:val="0"/>
          <w:divBdr>
            <w:top w:val="none" w:sz="0" w:space="0" w:color="auto"/>
            <w:left w:val="none" w:sz="0" w:space="0" w:color="auto"/>
            <w:bottom w:val="none" w:sz="0" w:space="0" w:color="auto"/>
            <w:right w:val="none" w:sz="0" w:space="0" w:color="auto"/>
          </w:divBdr>
        </w:div>
        <w:div w:id="909735188">
          <w:marLeft w:val="640"/>
          <w:marRight w:val="0"/>
          <w:marTop w:val="0"/>
          <w:marBottom w:val="0"/>
          <w:divBdr>
            <w:top w:val="none" w:sz="0" w:space="0" w:color="auto"/>
            <w:left w:val="none" w:sz="0" w:space="0" w:color="auto"/>
            <w:bottom w:val="none" w:sz="0" w:space="0" w:color="auto"/>
            <w:right w:val="none" w:sz="0" w:space="0" w:color="auto"/>
          </w:divBdr>
        </w:div>
        <w:div w:id="1597133759">
          <w:marLeft w:val="640"/>
          <w:marRight w:val="0"/>
          <w:marTop w:val="0"/>
          <w:marBottom w:val="0"/>
          <w:divBdr>
            <w:top w:val="none" w:sz="0" w:space="0" w:color="auto"/>
            <w:left w:val="none" w:sz="0" w:space="0" w:color="auto"/>
            <w:bottom w:val="none" w:sz="0" w:space="0" w:color="auto"/>
            <w:right w:val="none" w:sz="0" w:space="0" w:color="auto"/>
          </w:divBdr>
        </w:div>
        <w:div w:id="1650749223">
          <w:marLeft w:val="640"/>
          <w:marRight w:val="0"/>
          <w:marTop w:val="0"/>
          <w:marBottom w:val="0"/>
          <w:divBdr>
            <w:top w:val="none" w:sz="0" w:space="0" w:color="auto"/>
            <w:left w:val="none" w:sz="0" w:space="0" w:color="auto"/>
            <w:bottom w:val="none" w:sz="0" w:space="0" w:color="auto"/>
            <w:right w:val="none" w:sz="0" w:space="0" w:color="auto"/>
          </w:divBdr>
        </w:div>
        <w:div w:id="468058654">
          <w:marLeft w:val="640"/>
          <w:marRight w:val="0"/>
          <w:marTop w:val="0"/>
          <w:marBottom w:val="0"/>
          <w:divBdr>
            <w:top w:val="none" w:sz="0" w:space="0" w:color="auto"/>
            <w:left w:val="none" w:sz="0" w:space="0" w:color="auto"/>
            <w:bottom w:val="none" w:sz="0" w:space="0" w:color="auto"/>
            <w:right w:val="none" w:sz="0" w:space="0" w:color="auto"/>
          </w:divBdr>
        </w:div>
        <w:div w:id="421532811">
          <w:marLeft w:val="640"/>
          <w:marRight w:val="0"/>
          <w:marTop w:val="0"/>
          <w:marBottom w:val="0"/>
          <w:divBdr>
            <w:top w:val="none" w:sz="0" w:space="0" w:color="auto"/>
            <w:left w:val="none" w:sz="0" w:space="0" w:color="auto"/>
            <w:bottom w:val="none" w:sz="0" w:space="0" w:color="auto"/>
            <w:right w:val="none" w:sz="0" w:space="0" w:color="auto"/>
          </w:divBdr>
        </w:div>
        <w:div w:id="668294094">
          <w:marLeft w:val="640"/>
          <w:marRight w:val="0"/>
          <w:marTop w:val="0"/>
          <w:marBottom w:val="0"/>
          <w:divBdr>
            <w:top w:val="none" w:sz="0" w:space="0" w:color="auto"/>
            <w:left w:val="none" w:sz="0" w:space="0" w:color="auto"/>
            <w:bottom w:val="none" w:sz="0" w:space="0" w:color="auto"/>
            <w:right w:val="none" w:sz="0" w:space="0" w:color="auto"/>
          </w:divBdr>
        </w:div>
        <w:div w:id="1596405849">
          <w:marLeft w:val="640"/>
          <w:marRight w:val="0"/>
          <w:marTop w:val="0"/>
          <w:marBottom w:val="0"/>
          <w:divBdr>
            <w:top w:val="none" w:sz="0" w:space="0" w:color="auto"/>
            <w:left w:val="none" w:sz="0" w:space="0" w:color="auto"/>
            <w:bottom w:val="none" w:sz="0" w:space="0" w:color="auto"/>
            <w:right w:val="none" w:sz="0" w:space="0" w:color="auto"/>
          </w:divBdr>
        </w:div>
        <w:div w:id="168374126">
          <w:marLeft w:val="640"/>
          <w:marRight w:val="0"/>
          <w:marTop w:val="0"/>
          <w:marBottom w:val="0"/>
          <w:divBdr>
            <w:top w:val="none" w:sz="0" w:space="0" w:color="auto"/>
            <w:left w:val="none" w:sz="0" w:space="0" w:color="auto"/>
            <w:bottom w:val="none" w:sz="0" w:space="0" w:color="auto"/>
            <w:right w:val="none" w:sz="0" w:space="0" w:color="auto"/>
          </w:divBdr>
        </w:div>
        <w:div w:id="36591964">
          <w:marLeft w:val="640"/>
          <w:marRight w:val="0"/>
          <w:marTop w:val="0"/>
          <w:marBottom w:val="0"/>
          <w:divBdr>
            <w:top w:val="none" w:sz="0" w:space="0" w:color="auto"/>
            <w:left w:val="none" w:sz="0" w:space="0" w:color="auto"/>
            <w:bottom w:val="none" w:sz="0" w:space="0" w:color="auto"/>
            <w:right w:val="none" w:sz="0" w:space="0" w:color="auto"/>
          </w:divBdr>
        </w:div>
        <w:div w:id="1164315563">
          <w:marLeft w:val="640"/>
          <w:marRight w:val="0"/>
          <w:marTop w:val="0"/>
          <w:marBottom w:val="0"/>
          <w:divBdr>
            <w:top w:val="none" w:sz="0" w:space="0" w:color="auto"/>
            <w:left w:val="none" w:sz="0" w:space="0" w:color="auto"/>
            <w:bottom w:val="none" w:sz="0" w:space="0" w:color="auto"/>
            <w:right w:val="none" w:sz="0" w:space="0" w:color="auto"/>
          </w:divBdr>
        </w:div>
        <w:div w:id="181556745">
          <w:marLeft w:val="640"/>
          <w:marRight w:val="0"/>
          <w:marTop w:val="0"/>
          <w:marBottom w:val="0"/>
          <w:divBdr>
            <w:top w:val="none" w:sz="0" w:space="0" w:color="auto"/>
            <w:left w:val="none" w:sz="0" w:space="0" w:color="auto"/>
            <w:bottom w:val="none" w:sz="0" w:space="0" w:color="auto"/>
            <w:right w:val="none" w:sz="0" w:space="0" w:color="auto"/>
          </w:divBdr>
        </w:div>
        <w:div w:id="576090615">
          <w:marLeft w:val="640"/>
          <w:marRight w:val="0"/>
          <w:marTop w:val="0"/>
          <w:marBottom w:val="0"/>
          <w:divBdr>
            <w:top w:val="none" w:sz="0" w:space="0" w:color="auto"/>
            <w:left w:val="none" w:sz="0" w:space="0" w:color="auto"/>
            <w:bottom w:val="none" w:sz="0" w:space="0" w:color="auto"/>
            <w:right w:val="none" w:sz="0" w:space="0" w:color="auto"/>
          </w:divBdr>
        </w:div>
        <w:div w:id="1927306732">
          <w:marLeft w:val="640"/>
          <w:marRight w:val="0"/>
          <w:marTop w:val="0"/>
          <w:marBottom w:val="0"/>
          <w:divBdr>
            <w:top w:val="none" w:sz="0" w:space="0" w:color="auto"/>
            <w:left w:val="none" w:sz="0" w:space="0" w:color="auto"/>
            <w:bottom w:val="none" w:sz="0" w:space="0" w:color="auto"/>
            <w:right w:val="none" w:sz="0" w:space="0" w:color="auto"/>
          </w:divBdr>
        </w:div>
        <w:div w:id="198276042">
          <w:marLeft w:val="640"/>
          <w:marRight w:val="0"/>
          <w:marTop w:val="0"/>
          <w:marBottom w:val="0"/>
          <w:divBdr>
            <w:top w:val="none" w:sz="0" w:space="0" w:color="auto"/>
            <w:left w:val="none" w:sz="0" w:space="0" w:color="auto"/>
            <w:bottom w:val="none" w:sz="0" w:space="0" w:color="auto"/>
            <w:right w:val="none" w:sz="0" w:space="0" w:color="auto"/>
          </w:divBdr>
        </w:div>
        <w:div w:id="511456470">
          <w:marLeft w:val="640"/>
          <w:marRight w:val="0"/>
          <w:marTop w:val="0"/>
          <w:marBottom w:val="0"/>
          <w:divBdr>
            <w:top w:val="none" w:sz="0" w:space="0" w:color="auto"/>
            <w:left w:val="none" w:sz="0" w:space="0" w:color="auto"/>
            <w:bottom w:val="none" w:sz="0" w:space="0" w:color="auto"/>
            <w:right w:val="none" w:sz="0" w:space="0" w:color="auto"/>
          </w:divBdr>
        </w:div>
        <w:div w:id="1136993522">
          <w:marLeft w:val="640"/>
          <w:marRight w:val="0"/>
          <w:marTop w:val="0"/>
          <w:marBottom w:val="0"/>
          <w:divBdr>
            <w:top w:val="none" w:sz="0" w:space="0" w:color="auto"/>
            <w:left w:val="none" w:sz="0" w:space="0" w:color="auto"/>
            <w:bottom w:val="none" w:sz="0" w:space="0" w:color="auto"/>
            <w:right w:val="none" w:sz="0" w:space="0" w:color="auto"/>
          </w:divBdr>
        </w:div>
        <w:div w:id="982275774">
          <w:marLeft w:val="640"/>
          <w:marRight w:val="0"/>
          <w:marTop w:val="0"/>
          <w:marBottom w:val="0"/>
          <w:divBdr>
            <w:top w:val="none" w:sz="0" w:space="0" w:color="auto"/>
            <w:left w:val="none" w:sz="0" w:space="0" w:color="auto"/>
            <w:bottom w:val="none" w:sz="0" w:space="0" w:color="auto"/>
            <w:right w:val="none" w:sz="0" w:space="0" w:color="auto"/>
          </w:divBdr>
        </w:div>
        <w:div w:id="3746373">
          <w:marLeft w:val="640"/>
          <w:marRight w:val="0"/>
          <w:marTop w:val="0"/>
          <w:marBottom w:val="0"/>
          <w:divBdr>
            <w:top w:val="none" w:sz="0" w:space="0" w:color="auto"/>
            <w:left w:val="none" w:sz="0" w:space="0" w:color="auto"/>
            <w:bottom w:val="none" w:sz="0" w:space="0" w:color="auto"/>
            <w:right w:val="none" w:sz="0" w:space="0" w:color="auto"/>
          </w:divBdr>
        </w:div>
        <w:div w:id="501050975">
          <w:marLeft w:val="640"/>
          <w:marRight w:val="0"/>
          <w:marTop w:val="0"/>
          <w:marBottom w:val="0"/>
          <w:divBdr>
            <w:top w:val="none" w:sz="0" w:space="0" w:color="auto"/>
            <w:left w:val="none" w:sz="0" w:space="0" w:color="auto"/>
            <w:bottom w:val="none" w:sz="0" w:space="0" w:color="auto"/>
            <w:right w:val="none" w:sz="0" w:space="0" w:color="auto"/>
          </w:divBdr>
        </w:div>
        <w:div w:id="1990860165">
          <w:marLeft w:val="640"/>
          <w:marRight w:val="0"/>
          <w:marTop w:val="0"/>
          <w:marBottom w:val="0"/>
          <w:divBdr>
            <w:top w:val="none" w:sz="0" w:space="0" w:color="auto"/>
            <w:left w:val="none" w:sz="0" w:space="0" w:color="auto"/>
            <w:bottom w:val="none" w:sz="0" w:space="0" w:color="auto"/>
            <w:right w:val="none" w:sz="0" w:space="0" w:color="auto"/>
          </w:divBdr>
        </w:div>
        <w:div w:id="828716746">
          <w:marLeft w:val="640"/>
          <w:marRight w:val="0"/>
          <w:marTop w:val="0"/>
          <w:marBottom w:val="0"/>
          <w:divBdr>
            <w:top w:val="none" w:sz="0" w:space="0" w:color="auto"/>
            <w:left w:val="none" w:sz="0" w:space="0" w:color="auto"/>
            <w:bottom w:val="none" w:sz="0" w:space="0" w:color="auto"/>
            <w:right w:val="none" w:sz="0" w:space="0" w:color="auto"/>
          </w:divBdr>
        </w:div>
        <w:div w:id="1616135021">
          <w:marLeft w:val="640"/>
          <w:marRight w:val="0"/>
          <w:marTop w:val="0"/>
          <w:marBottom w:val="0"/>
          <w:divBdr>
            <w:top w:val="none" w:sz="0" w:space="0" w:color="auto"/>
            <w:left w:val="none" w:sz="0" w:space="0" w:color="auto"/>
            <w:bottom w:val="none" w:sz="0" w:space="0" w:color="auto"/>
            <w:right w:val="none" w:sz="0" w:space="0" w:color="auto"/>
          </w:divBdr>
        </w:div>
        <w:div w:id="706877133">
          <w:marLeft w:val="640"/>
          <w:marRight w:val="0"/>
          <w:marTop w:val="0"/>
          <w:marBottom w:val="0"/>
          <w:divBdr>
            <w:top w:val="none" w:sz="0" w:space="0" w:color="auto"/>
            <w:left w:val="none" w:sz="0" w:space="0" w:color="auto"/>
            <w:bottom w:val="none" w:sz="0" w:space="0" w:color="auto"/>
            <w:right w:val="none" w:sz="0" w:space="0" w:color="auto"/>
          </w:divBdr>
        </w:div>
        <w:div w:id="856966607">
          <w:marLeft w:val="640"/>
          <w:marRight w:val="0"/>
          <w:marTop w:val="0"/>
          <w:marBottom w:val="0"/>
          <w:divBdr>
            <w:top w:val="none" w:sz="0" w:space="0" w:color="auto"/>
            <w:left w:val="none" w:sz="0" w:space="0" w:color="auto"/>
            <w:bottom w:val="none" w:sz="0" w:space="0" w:color="auto"/>
            <w:right w:val="none" w:sz="0" w:space="0" w:color="auto"/>
          </w:divBdr>
        </w:div>
        <w:div w:id="221794158">
          <w:marLeft w:val="640"/>
          <w:marRight w:val="0"/>
          <w:marTop w:val="0"/>
          <w:marBottom w:val="0"/>
          <w:divBdr>
            <w:top w:val="none" w:sz="0" w:space="0" w:color="auto"/>
            <w:left w:val="none" w:sz="0" w:space="0" w:color="auto"/>
            <w:bottom w:val="none" w:sz="0" w:space="0" w:color="auto"/>
            <w:right w:val="none" w:sz="0" w:space="0" w:color="auto"/>
          </w:divBdr>
        </w:div>
        <w:div w:id="264923934">
          <w:marLeft w:val="640"/>
          <w:marRight w:val="0"/>
          <w:marTop w:val="0"/>
          <w:marBottom w:val="0"/>
          <w:divBdr>
            <w:top w:val="none" w:sz="0" w:space="0" w:color="auto"/>
            <w:left w:val="none" w:sz="0" w:space="0" w:color="auto"/>
            <w:bottom w:val="none" w:sz="0" w:space="0" w:color="auto"/>
            <w:right w:val="none" w:sz="0" w:space="0" w:color="auto"/>
          </w:divBdr>
        </w:div>
        <w:div w:id="1901163683">
          <w:marLeft w:val="640"/>
          <w:marRight w:val="0"/>
          <w:marTop w:val="0"/>
          <w:marBottom w:val="0"/>
          <w:divBdr>
            <w:top w:val="none" w:sz="0" w:space="0" w:color="auto"/>
            <w:left w:val="none" w:sz="0" w:space="0" w:color="auto"/>
            <w:bottom w:val="none" w:sz="0" w:space="0" w:color="auto"/>
            <w:right w:val="none" w:sz="0" w:space="0" w:color="auto"/>
          </w:divBdr>
        </w:div>
        <w:div w:id="7488173">
          <w:marLeft w:val="640"/>
          <w:marRight w:val="0"/>
          <w:marTop w:val="0"/>
          <w:marBottom w:val="0"/>
          <w:divBdr>
            <w:top w:val="none" w:sz="0" w:space="0" w:color="auto"/>
            <w:left w:val="none" w:sz="0" w:space="0" w:color="auto"/>
            <w:bottom w:val="none" w:sz="0" w:space="0" w:color="auto"/>
            <w:right w:val="none" w:sz="0" w:space="0" w:color="auto"/>
          </w:divBdr>
        </w:div>
        <w:div w:id="1194927464">
          <w:marLeft w:val="640"/>
          <w:marRight w:val="0"/>
          <w:marTop w:val="0"/>
          <w:marBottom w:val="0"/>
          <w:divBdr>
            <w:top w:val="none" w:sz="0" w:space="0" w:color="auto"/>
            <w:left w:val="none" w:sz="0" w:space="0" w:color="auto"/>
            <w:bottom w:val="none" w:sz="0" w:space="0" w:color="auto"/>
            <w:right w:val="none" w:sz="0" w:space="0" w:color="auto"/>
          </w:divBdr>
        </w:div>
        <w:div w:id="2041977974">
          <w:marLeft w:val="640"/>
          <w:marRight w:val="0"/>
          <w:marTop w:val="0"/>
          <w:marBottom w:val="0"/>
          <w:divBdr>
            <w:top w:val="none" w:sz="0" w:space="0" w:color="auto"/>
            <w:left w:val="none" w:sz="0" w:space="0" w:color="auto"/>
            <w:bottom w:val="none" w:sz="0" w:space="0" w:color="auto"/>
            <w:right w:val="none" w:sz="0" w:space="0" w:color="auto"/>
          </w:divBdr>
        </w:div>
        <w:div w:id="544172390">
          <w:marLeft w:val="640"/>
          <w:marRight w:val="0"/>
          <w:marTop w:val="0"/>
          <w:marBottom w:val="0"/>
          <w:divBdr>
            <w:top w:val="none" w:sz="0" w:space="0" w:color="auto"/>
            <w:left w:val="none" w:sz="0" w:space="0" w:color="auto"/>
            <w:bottom w:val="none" w:sz="0" w:space="0" w:color="auto"/>
            <w:right w:val="none" w:sz="0" w:space="0" w:color="auto"/>
          </w:divBdr>
        </w:div>
        <w:div w:id="1999190334">
          <w:marLeft w:val="640"/>
          <w:marRight w:val="0"/>
          <w:marTop w:val="0"/>
          <w:marBottom w:val="0"/>
          <w:divBdr>
            <w:top w:val="none" w:sz="0" w:space="0" w:color="auto"/>
            <w:left w:val="none" w:sz="0" w:space="0" w:color="auto"/>
            <w:bottom w:val="none" w:sz="0" w:space="0" w:color="auto"/>
            <w:right w:val="none" w:sz="0" w:space="0" w:color="auto"/>
          </w:divBdr>
        </w:div>
        <w:div w:id="1574927289">
          <w:marLeft w:val="640"/>
          <w:marRight w:val="0"/>
          <w:marTop w:val="0"/>
          <w:marBottom w:val="0"/>
          <w:divBdr>
            <w:top w:val="none" w:sz="0" w:space="0" w:color="auto"/>
            <w:left w:val="none" w:sz="0" w:space="0" w:color="auto"/>
            <w:bottom w:val="none" w:sz="0" w:space="0" w:color="auto"/>
            <w:right w:val="none" w:sz="0" w:space="0" w:color="auto"/>
          </w:divBdr>
        </w:div>
        <w:div w:id="731655116">
          <w:marLeft w:val="640"/>
          <w:marRight w:val="0"/>
          <w:marTop w:val="0"/>
          <w:marBottom w:val="0"/>
          <w:divBdr>
            <w:top w:val="none" w:sz="0" w:space="0" w:color="auto"/>
            <w:left w:val="none" w:sz="0" w:space="0" w:color="auto"/>
            <w:bottom w:val="none" w:sz="0" w:space="0" w:color="auto"/>
            <w:right w:val="none" w:sz="0" w:space="0" w:color="auto"/>
          </w:divBdr>
        </w:div>
        <w:div w:id="459423004">
          <w:marLeft w:val="640"/>
          <w:marRight w:val="0"/>
          <w:marTop w:val="0"/>
          <w:marBottom w:val="0"/>
          <w:divBdr>
            <w:top w:val="none" w:sz="0" w:space="0" w:color="auto"/>
            <w:left w:val="none" w:sz="0" w:space="0" w:color="auto"/>
            <w:bottom w:val="none" w:sz="0" w:space="0" w:color="auto"/>
            <w:right w:val="none" w:sz="0" w:space="0" w:color="auto"/>
          </w:divBdr>
        </w:div>
        <w:div w:id="437146149">
          <w:marLeft w:val="640"/>
          <w:marRight w:val="0"/>
          <w:marTop w:val="0"/>
          <w:marBottom w:val="0"/>
          <w:divBdr>
            <w:top w:val="none" w:sz="0" w:space="0" w:color="auto"/>
            <w:left w:val="none" w:sz="0" w:space="0" w:color="auto"/>
            <w:bottom w:val="none" w:sz="0" w:space="0" w:color="auto"/>
            <w:right w:val="none" w:sz="0" w:space="0" w:color="auto"/>
          </w:divBdr>
        </w:div>
        <w:div w:id="696659594">
          <w:marLeft w:val="640"/>
          <w:marRight w:val="0"/>
          <w:marTop w:val="0"/>
          <w:marBottom w:val="0"/>
          <w:divBdr>
            <w:top w:val="none" w:sz="0" w:space="0" w:color="auto"/>
            <w:left w:val="none" w:sz="0" w:space="0" w:color="auto"/>
            <w:bottom w:val="none" w:sz="0" w:space="0" w:color="auto"/>
            <w:right w:val="none" w:sz="0" w:space="0" w:color="auto"/>
          </w:divBdr>
        </w:div>
        <w:div w:id="1682317760">
          <w:marLeft w:val="640"/>
          <w:marRight w:val="0"/>
          <w:marTop w:val="0"/>
          <w:marBottom w:val="0"/>
          <w:divBdr>
            <w:top w:val="none" w:sz="0" w:space="0" w:color="auto"/>
            <w:left w:val="none" w:sz="0" w:space="0" w:color="auto"/>
            <w:bottom w:val="none" w:sz="0" w:space="0" w:color="auto"/>
            <w:right w:val="none" w:sz="0" w:space="0" w:color="auto"/>
          </w:divBdr>
        </w:div>
        <w:div w:id="633366027">
          <w:marLeft w:val="640"/>
          <w:marRight w:val="0"/>
          <w:marTop w:val="0"/>
          <w:marBottom w:val="0"/>
          <w:divBdr>
            <w:top w:val="none" w:sz="0" w:space="0" w:color="auto"/>
            <w:left w:val="none" w:sz="0" w:space="0" w:color="auto"/>
            <w:bottom w:val="none" w:sz="0" w:space="0" w:color="auto"/>
            <w:right w:val="none" w:sz="0" w:space="0" w:color="auto"/>
          </w:divBdr>
        </w:div>
        <w:div w:id="1105661666">
          <w:marLeft w:val="640"/>
          <w:marRight w:val="0"/>
          <w:marTop w:val="0"/>
          <w:marBottom w:val="0"/>
          <w:divBdr>
            <w:top w:val="none" w:sz="0" w:space="0" w:color="auto"/>
            <w:left w:val="none" w:sz="0" w:space="0" w:color="auto"/>
            <w:bottom w:val="none" w:sz="0" w:space="0" w:color="auto"/>
            <w:right w:val="none" w:sz="0" w:space="0" w:color="auto"/>
          </w:divBdr>
        </w:div>
        <w:div w:id="2131433866">
          <w:marLeft w:val="640"/>
          <w:marRight w:val="0"/>
          <w:marTop w:val="0"/>
          <w:marBottom w:val="0"/>
          <w:divBdr>
            <w:top w:val="none" w:sz="0" w:space="0" w:color="auto"/>
            <w:left w:val="none" w:sz="0" w:space="0" w:color="auto"/>
            <w:bottom w:val="none" w:sz="0" w:space="0" w:color="auto"/>
            <w:right w:val="none" w:sz="0" w:space="0" w:color="auto"/>
          </w:divBdr>
        </w:div>
        <w:div w:id="548881256">
          <w:marLeft w:val="640"/>
          <w:marRight w:val="0"/>
          <w:marTop w:val="0"/>
          <w:marBottom w:val="0"/>
          <w:divBdr>
            <w:top w:val="none" w:sz="0" w:space="0" w:color="auto"/>
            <w:left w:val="none" w:sz="0" w:space="0" w:color="auto"/>
            <w:bottom w:val="none" w:sz="0" w:space="0" w:color="auto"/>
            <w:right w:val="none" w:sz="0" w:space="0" w:color="auto"/>
          </w:divBdr>
        </w:div>
        <w:div w:id="1417748602">
          <w:marLeft w:val="640"/>
          <w:marRight w:val="0"/>
          <w:marTop w:val="0"/>
          <w:marBottom w:val="0"/>
          <w:divBdr>
            <w:top w:val="none" w:sz="0" w:space="0" w:color="auto"/>
            <w:left w:val="none" w:sz="0" w:space="0" w:color="auto"/>
            <w:bottom w:val="none" w:sz="0" w:space="0" w:color="auto"/>
            <w:right w:val="none" w:sz="0" w:space="0" w:color="auto"/>
          </w:divBdr>
        </w:div>
        <w:div w:id="1990553298">
          <w:marLeft w:val="640"/>
          <w:marRight w:val="0"/>
          <w:marTop w:val="0"/>
          <w:marBottom w:val="0"/>
          <w:divBdr>
            <w:top w:val="none" w:sz="0" w:space="0" w:color="auto"/>
            <w:left w:val="none" w:sz="0" w:space="0" w:color="auto"/>
            <w:bottom w:val="none" w:sz="0" w:space="0" w:color="auto"/>
            <w:right w:val="none" w:sz="0" w:space="0" w:color="auto"/>
          </w:divBdr>
        </w:div>
        <w:div w:id="1820071007">
          <w:marLeft w:val="640"/>
          <w:marRight w:val="0"/>
          <w:marTop w:val="0"/>
          <w:marBottom w:val="0"/>
          <w:divBdr>
            <w:top w:val="none" w:sz="0" w:space="0" w:color="auto"/>
            <w:left w:val="none" w:sz="0" w:space="0" w:color="auto"/>
            <w:bottom w:val="none" w:sz="0" w:space="0" w:color="auto"/>
            <w:right w:val="none" w:sz="0" w:space="0" w:color="auto"/>
          </w:divBdr>
        </w:div>
        <w:div w:id="1275746395">
          <w:marLeft w:val="640"/>
          <w:marRight w:val="0"/>
          <w:marTop w:val="0"/>
          <w:marBottom w:val="0"/>
          <w:divBdr>
            <w:top w:val="none" w:sz="0" w:space="0" w:color="auto"/>
            <w:left w:val="none" w:sz="0" w:space="0" w:color="auto"/>
            <w:bottom w:val="none" w:sz="0" w:space="0" w:color="auto"/>
            <w:right w:val="none" w:sz="0" w:space="0" w:color="auto"/>
          </w:divBdr>
        </w:div>
        <w:div w:id="638152672">
          <w:marLeft w:val="640"/>
          <w:marRight w:val="0"/>
          <w:marTop w:val="0"/>
          <w:marBottom w:val="0"/>
          <w:divBdr>
            <w:top w:val="none" w:sz="0" w:space="0" w:color="auto"/>
            <w:left w:val="none" w:sz="0" w:space="0" w:color="auto"/>
            <w:bottom w:val="none" w:sz="0" w:space="0" w:color="auto"/>
            <w:right w:val="none" w:sz="0" w:space="0" w:color="auto"/>
          </w:divBdr>
        </w:div>
        <w:div w:id="1766220121">
          <w:marLeft w:val="640"/>
          <w:marRight w:val="0"/>
          <w:marTop w:val="0"/>
          <w:marBottom w:val="0"/>
          <w:divBdr>
            <w:top w:val="none" w:sz="0" w:space="0" w:color="auto"/>
            <w:left w:val="none" w:sz="0" w:space="0" w:color="auto"/>
            <w:bottom w:val="none" w:sz="0" w:space="0" w:color="auto"/>
            <w:right w:val="none" w:sz="0" w:space="0" w:color="auto"/>
          </w:divBdr>
        </w:div>
        <w:div w:id="1861353862">
          <w:marLeft w:val="640"/>
          <w:marRight w:val="0"/>
          <w:marTop w:val="0"/>
          <w:marBottom w:val="0"/>
          <w:divBdr>
            <w:top w:val="none" w:sz="0" w:space="0" w:color="auto"/>
            <w:left w:val="none" w:sz="0" w:space="0" w:color="auto"/>
            <w:bottom w:val="none" w:sz="0" w:space="0" w:color="auto"/>
            <w:right w:val="none" w:sz="0" w:space="0" w:color="auto"/>
          </w:divBdr>
        </w:div>
        <w:div w:id="1601182994">
          <w:marLeft w:val="640"/>
          <w:marRight w:val="0"/>
          <w:marTop w:val="0"/>
          <w:marBottom w:val="0"/>
          <w:divBdr>
            <w:top w:val="none" w:sz="0" w:space="0" w:color="auto"/>
            <w:left w:val="none" w:sz="0" w:space="0" w:color="auto"/>
            <w:bottom w:val="none" w:sz="0" w:space="0" w:color="auto"/>
            <w:right w:val="none" w:sz="0" w:space="0" w:color="auto"/>
          </w:divBdr>
        </w:div>
        <w:div w:id="44644123">
          <w:marLeft w:val="640"/>
          <w:marRight w:val="0"/>
          <w:marTop w:val="0"/>
          <w:marBottom w:val="0"/>
          <w:divBdr>
            <w:top w:val="none" w:sz="0" w:space="0" w:color="auto"/>
            <w:left w:val="none" w:sz="0" w:space="0" w:color="auto"/>
            <w:bottom w:val="none" w:sz="0" w:space="0" w:color="auto"/>
            <w:right w:val="none" w:sz="0" w:space="0" w:color="auto"/>
          </w:divBdr>
        </w:div>
        <w:div w:id="895747766">
          <w:marLeft w:val="640"/>
          <w:marRight w:val="0"/>
          <w:marTop w:val="0"/>
          <w:marBottom w:val="0"/>
          <w:divBdr>
            <w:top w:val="none" w:sz="0" w:space="0" w:color="auto"/>
            <w:left w:val="none" w:sz="0" w:space="0" w:color="auto"/>
            <w:bottom w:val="none" w:sz="0" w:space="0" w:color="auto"/>
            <w:right w:val="none" w:sz="0" w:space="0" w:color="auto"/>
          </w:divBdr>
        </w:div>
        <w:div w:id="500924119">
          <w:marLeft w:val="640"/>
          <w:marRight w:val="0"/>
          <w:marTop w:val="0"/>
          <w:marBottom w:val="0"/>
          <w:divBdr>
            <w:top w:val="none" w:sz="0" w:space="0" w:color="auto"/>
            <w:left w:val="none" w:sz="0" w:space="0" w:color="auto"/>
            <w:bottom w:val="none" w:sz="0" w:space="0" w:color="auto"/>
            <w:right w:val="none" w:sz="0" w:space="0" w:color="auto"/>
          </w:divBdr>
        </w:div>
        <w:div w:id="462427599">
          <w:marLeft w:val="640"/>
          <w:marRight w:val="0"/>
          <w:marTop w:val="0"/>
          <w:marBottom w:val="0"/>
          <w:divBdr>
            <w:top w:val="none" w:sz="0" w:space="0" w:color="auto"/>
            <w:left w:val="none" w:sz="0" w:space="0" w:color="auto"/>
            <w:bottom w:val="none" w:sz="0" w:space="0" w:color="auto"/>
            <w:right w:val="none" w:sz="0" w:space="0" w:color="auto"/>
          </w:divBdr>
        </w:div>
        <w:div w:id="1154562175">
          <w:marLeft w:val="640"/>
          <w:marRight w:val="0"/>
          <w:marTop w:val="0"/>
          <w:marBottom w:val="0"/>
          <w:divBdr>
            <w:top w:val="none" w:sz="0" w:space="0" w:color="auto"/>
            <w:left w:val="none" w:sz="0" w:space="0" w:color="auto"/>
            <w:bottom w:val="none" w:sz="0" w:space="0" w:color="auto"/>
            <w:right w:val="none" w:sz="0" w:space="0" w:color="auto"/>
          </w:divBdr>
        </w:div>
        <w:div w:id="1153985201">
          <w:marLeft w:val="640"/>
          <w:marRight w:val="0"/>
          <w:marTop w:val="0"/>
          <w:marBottom w:val="0"/>
          <w:divBdr>
            <w:top w:val="none" w:sz="0" w:space="0" w:color="auto"/>
            <w:left w:val="none" w:sz="0" w:space="0" w:color="auto"/>
            <w:bottom w:val="none" w:sz="0" w:space="0" w:color="auto"/>
            <w:right w:val="none" w:sz="0" w:space="0" w:color="auto"/>
          </w:divBdr>
        </w:div>
        <w:div w:id="1416777808">
          <w:marLeft w:val="640"/>
          <w:marRight w:val="0"/>
          <w:marTop w:val="0"/>
          <w:marBottom w:val="0"/>
          <w:divBdr>
            <w:top w:val="none" w:sz="0" w:space="0" w:color="auto"/>
            <w:left w:val="none" w:sz="0" w:space="0" w:color="auto"/>
            <w:bottom w:val="none" w:sz="0" w:space="0" w:color="auto"/>
            <w:right w:val="none" w:sz="0" w:space="0" w:color="auto"/>
          </w:divBdr>
        </w:div>
        <w:div w:id="1701078725">
          <w:marLeft w:val="640"/>
          <w:marRight w:val="0"/>
          <w:marTop w:val="0"/>
          <w:marBottom w:val="0"/>
          <w:divBdr>
            <w:top w:val="none" w:sz="0" w:space="0" w:color="auto"/>
            <w:left w:val="none" w:sz="0" w:space="0" w:color="auto"/>
            <w:bottom w:val="none" w:sz="0" w:space="0" w:color="auto"/>
            <w:right w:val="none" w:sz="0" w:space="0" w:color="auto"/>
          </w:divBdr>
        </w:div>
        <w:div w:id="1447964798">
          <w:marLeft w:val="640"/>
          <w:marRight w:val="0"/>
          <w:marTop w:val="0"/>
          <w:marBottom w:val="0"/>
          <w:divBdr>
            <w:top w:val="none" w:sz="0" w:space="0" w:color="auto"/>
            <w:left w:val="none" w:sz="0" w:space="0" w:color="auto"/>
            <w:bottom w:val="none" w:sz="0" w:space="0" w:color="auto"/>
            <w:right w:val="none" w:sz="0" w:space="0" w:color="auto"/>
          </w:divBdr>
        </w:div>
        <w:div w:id="193618424">
          <w:marLeft w:val="640"/>
          <w:marRight w:val="0"/>
          <w:marTop w:val="0"/>
          <w:marBottom w:val="0"/>
          <w:divBdr>
            <w:top w:val="none" w:sz="0" w:space="0" w:color="auto"/>
            <w:left w:val="none" w:sz="0" w:space="0" w:color="auto"/>
            <w:bottom w:val="none" w:sz="0" w:space="0" w:color="auto"/>
            <w:right w:val="none" w:sz="0" w:space="0" w:color="auto"/>
          </w:divBdr>
        </w:div>
        <w:div w:id="292030462">
          <w:marLeft w:val="640"/>
          <w:marRight w:val="0"/>
          <w:marTop w:val="0"/>
          <w:marBottom w:val="0"/>
          <w:divBdr>
            <w:top w:val="none" w:sz="0" w:space="0" w:color="auto"/>
            <w:left w:val="none" w:sz="0" w:space="0" w:color="auto"/>
            <w:bottom w:val="none" w:sz="0" w:space="0" w:color="auto"/>
            <w:right w:val="none" w:sz="0" w:space="0" w:color="auto"/>
          </w:divBdr>
        </w:div>
        <w:div w:id="420226808">
          <w:marLeft w:val="640"/>
          <w:marRight w:val="0"/>
          <w:marTop w:val="0"/>
          <w:marBottom w:val="0"/>
          <w:divBdr>
            <w:top w:val="none" w:sz="0" w:space="0" w:color="auto"/>
            <w:left w:val="none" w:sz="0" w:space="0" w:color="auto"/>
            <w:bottom w:val="none" w:sz="0" w:space="0" w:color="auto"/>
            <w:right w:val="none" w:sz="0" w:space="0" w:color="auto"/>
          </w:divBdr>
        </w:div>
        <w:div w:id="1927834795">
          <w:marLeft w:val="640"/>
          <w:marRight w:val="0"/>
          <w:marTop w:val="0"/>
          <w:marBottom w:val="0"/>
          <w:divBdr>
            <w:top w:val="none" w:sz="0" w:space="0" w:color="auto"/>
            <w:left w:val="none" w:sz="0" w:space="0" w:color="auto"/>
            <w:bottom w:val="none" w:sz="0" w:space="0" w:color="auto"/>
            <w:right w:val="none" w:sz="0" w:space="0" w:color="auto"/>
          </w:divBdr>
        </w:div>
        <w:div w:id="1736926418">
          <w:marLeft w:val="640"/>
          <w:marRight w:val="0"/>
          <w:marTop w:val="0"/>
          <w:marBottom w:val="0"/>
          <w:divBdr>
            <w:top w:val="none" w:sz="0" w:space="0" w:color="auto"/>
            <w:left w:val="none" w:sz="0" w:space="0" w:color="auto"/>
            <w:bottom w:val="none" w:sz="0" w:space="0" w:color="auto"/>
            <w:right w:val="none" w:sz="0" w:space="0" w:color="auto"/>
          </w:divBdr>
        </w:div>
        <w:div w:id="333579815">
          <w:marLeft w:val="640"/>
          <w:marRight w:val="0"/>
          <w:marTop w:val="0"/>
          <w:marBottom w:val="0"/>
          <w:divBdr>
            <w:top w:val="none" w:sz="0" w:space="0" w:color="auto"/>
            <w:left w:val="none" w:sz="0" w:space="0" w:color="auto"/>
            <w:bottom w:val="none" w:sz="0" w:space="0" w:color="auto"/>
            <w:right w:val="none" w:sz="0" w:space="0" w:color="auto"/>
          </w:divBdr>
        </w:div>
        <w:div w:id="1566212032">
          <w:marLeft w:val="640"/>
          <w:marRight w:val="0"/>
          <w:marTop w:val="0"/>
          <w:marBottom w:val="0"/>
          <w:divBdr>
            <w:top w:val="none" w:sz="0" w:space="0" w:color="auto"/>
            <w:left w:val="none" w:sz="0" w:space="0" w:color="auto"/>
            <w:bottom w:val="none" w:sz="0" w:space="0" w:color="auto"/>
            <w:right w:val="none" w:sz="0" w:space="0" w:color="auto"/>
          </w:divBdr>
        </w:div>
        <w:div w:id="933979561">
          <w:marLeft w:val="640"/>
          <w:marRight w:val="0"/>
          <w:marTop w:val="0"/>
          <w:marBottom w:val="0"/>
          <w:divBdr>
            <w:top w:val="none" w:sz="0" w:space="0" w:color="auto"/>
            <w:left w:val="none" w:sz="0" w:space="0" w:color="auto"/>
            <w:bottom w:val="none" w:sz="0" w:space="0" w:color="auto"/>
            <w:right w:val="none" w:sz="0" w:space="0" w:color="auto"/>
          </w:divBdr>
        </w:div>
        <w:div w:id="1898082616">
          <w:marLeft w:val="640"/>
          <w:marRight w:val="0"/>
          <w:marTop w:val="0"/>
          <w:marBottom w:val="0"/>
          <w:divBdr>
            <w:top w:val="none" w:sz="0" w:space="0" w:color="auto"/>
            <w:left w:val="none" w:sz="0" w:space="0" w:color="auto"/>
            <w:bottom w:val="none" w:sz="0" w:space="0" w:color="auto"/>
            <w:right w:val="none" w:sz="0" w:space="0" w:color="auto"/>
          </w:divBdr>
        </w:div>
        <w:div w:id="1948004357">
          <w:marLeft w:val="640"/>
          <w:marRight w:val="0"/>
          <w:marTop w:val="0"/>
          <w:marBottom w:val="0"/>
          <w:divBdr>
            <w:top w:val="none" w:sz="0" w:space="0" w:color="auto"/>
            <w:left w:val="none" w:sz="0" w:space="0" w:color="auto"/>
            <w:bottom w:val="none" w:sz="0" w:space="0" w:color="auto"/>
            <w:right w:val="none" w:sz="0" w:space="0" w:color="auto"/>
          </w:divBdr>
        </w:div>
        <w:div w:id="392242984">
          <w:marLeft w:val="640"/>
          <w:marRight w:val="0"/>
          <w:marTop w:val="0"/>
          <w:marBottom w:val="0"/>
          <w:divBdr>
            <w:top w:val="none" w:sz="0" w:space="0" w:color="auto"/>
            <w:left w:val="none" w:sz="0" w:space="0" w:color="auto"/>
            <w:bottom w:val="none" w:sz="0" w:space="0" w:color="auto"/>
            <w:right w:val="none" w:sz="0" w:space="0" w:color="auto"/>
          </w:divBdr>
        </w:div>
        <w:div w:id="1678191165">
          <w:marLeft w:val="640"/>
          <w:marRight w:val="0"/>
          <w:marTop w:val="0"/>
          <w:marBottom w:val="0"/>
          <w:divBdr>
            <w:top w:val="none" w:sz="0" w:space="0" w:color="auto"/>
            <w:left w:val="none" w:sz="0" w:space="0" w:color="auto"/>
            <w:bottom w:val="none" w:sz="0" w:space="0" w:color="auto"/>
            <w:right w:val="none" w:sz="0" w:space="0" w:color="auto"/>
          </w:divBdr>
        </w:div>
        <w:div w:id="1207715646">
          <w:marLeft w:val="640"/>
          <w:marRight w:val="0"/>
          <w:marTop w:val="0"/>
          <w:marBottom w:val="0"/>
          <w:divBdr>
            <w:top w:val="none" w:sz="0" w:space="0" w:color="auto"/>
            <w:left w:val="none" w:sz="0" w:space="0" w:color="auto"/>
            <w:bottom w:val="none" w:sz="0" w:space="0" w:color="auto"/>
            <w:right w:val="none" w:sz="0" w:space="0" w:color="auto"/>
          </w:divBdr>
        </w:div>
        <w:div w:id="1641576799">
          <w:marLeft w:val="640"/>
          <w:marRight w:val="0"/>
          <w:marTop w:val="0"/>
          <w:marBottom w:val="0"/>
          <w:divBdr>
            <w:top w:val="none" w:sz="0" w:space="0" w:color="auto"/>
            <w:left w:val="none" w:sz="0" w:space="0" w:color="auto"/>
            <w:bottom w:val="none" w:sz="0" w:space="0" w:color="auto"/>
            <w:right w:val="none" w:sz="0" w:space="0" w:color="auto"/>
          </w:divBdr>
        </w:div>
        <w:div w:id="2066025681">
          <w:marLeft w:val="640"/>
          <w:marRight w:val="0"/>
          <w:marTop w:val="0"/>
          <w:marBottom w:val="0"/>
          <w:divBdr>
            <w:top w:val="none" w:sz="0" w:space="0" w:color="auto"/>
            <w:left w:val="none" w:sz="0" w:space="0" w:color="auto"/>
            <w:bottom w:val="none" w:sz="0" w:space="0" w:color="auto"/>
            <w:right w:val="none" w:sz="0" w:space="0" w:color="auto"/>
          </w:divBdr>
        </w:div>
        <w:div w:id="168565633">
          <w:marLeft w:val="640"/>
          <w:marRight w:val="0"/>
          <w:marTop w:val="0"/>
          <w:marBottom w:val="0"/>
          <w:divBdr>
            <w:top w:val="none" w:sz="0" w:space="0" w:color="auto"/>
            <w:left w:val="none" w:sz="0" w:space="0" w:color="auto"/>
            <w:bottom w:val="none" w:sz="0" w:space="0" w:color="auto"/>
            <w:right w:val="none" w:sz="0" w:space="0" w:color="auto"/>
          </w:divBdr>
        </w:div>
        <w:div w:id="2113237444">
          <w:marLeft w:val="640"/>
          <w:marRight w:val="0"/>
          <w:marTop w:val="0"/>
          <w:marBottom w:val="0"/>
          <w:divBdr>
            <w:top w:val="none" w:sz="0" w:space="0" w:color="auto"/>
            <w:left w:val="none" w:sz="0" w:space="0" w:color="auto"/>
            <w:bottom w:val="none" w:sz="0" w:space="0" w:color="auto"/>
            <w:right w:val="none" w:sz="0" w:space="0" w:color="auto"/>
          </w:divBdr>
        </w:div>
        <w:div w:id="918755951">
          <w:marLeft w:val="640"/>
          <w:marRight w:val="0"/>
          <w:marTop w:val="0"/>
          <w:marBottom w:val="0"/>
          <w:divBdr>
            <w:top w:val="none" w:sz="0" w:space="0" w:color="auto"/>
            <w:left w:val="none" w:sz="0" w:space="0" w:color="auto"/>
            <w:bottom w:val="none" w:sz="0" w:space="0" w:color="auto"/>
            <w:right w:val="none" w:sz="0" w:space="0" w:color="auto"/>
          </w:divBdr>
        </w:div>
        <w:div w:id="1798336483">
          <w:marLeft w:val="640"/>
          <w:marRight w:val="0"/>
          <w:marTop w:val="0"/>
          <w:marBottom w:val="0"/>
          <w:divBdr>
            <w:top w:val="none" w:sz="0" w:space="0" w:color="auto"/>
            <w:left w:val="none" w:sz="0" w:space="0" w:color="auto"/>
            <w:bottom w:val="none" w:sz="0" w:space="0" w:color="auto"/>
            <w:right w:val="none" w:sz="0" w:space="0" w:color="auto"/>
          </w:divBdr>
        </w:div>
        <w:div w:id="1487747156">
          <w:marLeft w:val="640"/>
          <w:marRight w:val="0"/>
          <w:marTop w:val="0"/>
          <w:marBottom w:val="0"/>
          <w:divBdr>
            <w:top w:val="none" w:sz="0" w:space="0" w:color="auto"/>
            <w:left w:val="none" w:sz="0" w:space="0" w:color="auto"/>
            <w:bottom w:val="none" w:sz="0" w:space="0" w:color="auto"/>
            <w:right w:val="none" w:sz="0" w:space="0" w:color="auto"/>
          </w:divBdr>
        </w:div>
        <w:div w:id="942028279">
          <w:marLeft w:val="640"/>
          <w:marRight w:val="0"/>
          <w:marTop w:val="0"/>
          <w:marBottom w:val="0"/>
          <w:divBdr>
            <w:top w:val="none" w:sz="0" w:space="0" w:color="auto"/>
            <w:left w:val="none" w:sz="0" w:space="0" w:color="auto"/>
            <w:bottom w:val="none" w:sz="0" w:space="0" w:color="auto"/>
            <w:right w:val="none" w:sz="0" w:space="0" w:color="auto"/>
          </w:divBdr>
        </w:div>
        <w:div w:id="1383290761">
          <w:marLeft w:val="640"/>
          <w:marRight w:val="0"/>
          <w:marTop w:val="0"/>
          <w:marBottom w:val="0"/>
          <w:divBdr>
            <w:top w:val="none" w:sz="0" w:space="0" w:color="auto"/>
            <w:left w:val="none" w:sz="0" w:space="0" w:color="auto"/>
            <w:bottom w:val="none" w:sz="0" w:space="0" w:color="auto"/>
            <w:right w:val="none" w:sz="0" w:space="0" w:color="auto"/>
          </w:divBdr>
        </w:div>
        <w:div w:id="1227301318">
          <w:marLeft w:val="640"/>
          <w:marRight w:val="0"/>
          <w:marTop w:val="0"/>
          <w:marBottom w:val="0"/>
          <w:divBdr>
            <w:top w:val="none" w:sz="0" w:space="0" w:color="auto"/>
            <w:left w:val="none" w:sz="0" w:space="0" w:color="auto"/>
            <w:bottom w:val="none" w:sz="0" w:space="0" w:color="auto"/>
            <w:right w:val="none" w:sz="0" w:space="0" w:color="auto"/>
          </w:divBdr>
        </w:div>
        <w:div w:id="1484855306">
          <w:marLeft w:val="640"/>
          <w:marRight w:val="0"/>
          <w:marTop w:val="0"/>
          <w:marBottom w:val="0"/>
          <w:divBdr>
            <w:top w:val="none" w:sz="0" w:space="0" w:color="auto"/>
            <w:left w:val="none" w:sz="0" w:space="0" w:color="auto"/>
            <w:bottom w:val="none" w:sz="0" w:space="0" w:color="auto"/>
            <w:right w:val="none" w:sz="0" w:space="0" w:color="auto"/>
          </w:divBdr>
        </w:div>
        <w:div w:id="625090150">
          <w:marLeft w:val="640"/>
          <w:marRight w:val="0"/>
          <w:marTop w:val="0"/>
          <w:marBottom w:val="0"/>
          <w:divBdr>
            <w:top w:val="none" w:sz="0" w:space="0" w:color="auto"/>
            <w:left w:val="none" w:sz="0" w:space="0" w:color="auto"/>
            <w:bottom w:val="none" w:sz="0" w:space="0" w:color="auto"/>
            <w:right w:val="none" w:sz="0" w:space="0" w:color="auto"/>
          </w:divBdr>
        </w:div>
        <w:div w:id="2066558749">
          <w:marLeft w:val="640"/>
          <w:marRight w:val="0"/>
          <w:marTop w:val="0"/>
          <w:marBottom w:val="0"/>
          <w:divBdr>
            <w:top w:val="none" w:sz="0" w:space="0" w:color="auto"/>
            <w:left w:val="none" w:sz="0" w:space="0" w:color="auto"/>
            <w:bottom w:val="none" w:sz="0" w:space="0" w:color="auto"/>
            <w:right w:val="none" w:sz="0" w:space="0" w:color="auto"/>
          </w:divBdr>
        </w:div>
        <w:div w:id="289282425">
          <w:marLeft w:val="640"/>
          <w:marRight w:val="0"/>
          <w:marTop w:val="0"/>
          <w:marBottom w:val="0"/>
          <w:divBdr>
            <w:top w:val="none" w:sz="0" w:space="0" w:color="auto"/>
            <w:left w:val="none" w:sz="0" w:space="0" w:color="auto"/>
            <w:bottom w:val="none" w:sz="0" w:space="0" w:color="auto"/>
            <w:right w:val="none" w:sz="0" w:space="0" w:color="auto"/>
          </w:divBdr>
        </w:div>
        <w:div w:id="2012567033">
          <w:marLeft w:val="640"/>
          <w:marRight w:val="0"/>
          <w:marTop w:val="0"/>
          <w:marBottom w:val="0"/>
          <w:divBdr>
            <w:top w:val="none" w:sz="0" w:space="0" w:color="auto"/>
            <w:left w:val="none" w:sz="0" w:space="0" w:color="auto"/>
            <w:bottom w:val="none" w:sz="0" w:space="0" w:color="auto"/>
            <w:right w:val="none" w:sz="0" w:space="0" w:color="auto"/>
          </w:divBdr>
        </w:div>
        <w:div w:id="1951351615">
          <w:marLeft w:val="640"/>
          <w:marRight w:val="0"/>
          <w:marTop w:val="0"/>
          <w:marBottom w:val="0"/>
          <w:divBdr>
            <w:top w:val="none" w:sz="0" w:space="0" w:color="auto"/>
            <w:left w:val="none" w:sz="0" w:space="0" w:color="auto"/>
            <w:bottom w:val="none" w:sz="0" w:space="0" w:color="auto"/>
            <w:right w:val="none" w:sz="0" w:space="0" w:color="auto"/>
          </w:divBdr>
        </w:div>
        <w:div w:id="1146050351">
          <w:marLeft w:val="640"/>
          <w:marRight w:val="0"/>
          <w:marTop w:val="0"/>
          <w:marBottom w:val="0"/>
          <w:divBdr>
            <w:top w:val="none" w:sz="0" w:space="0" w:color="auto"/>
            <w:left w:val="none" w:sz="0" w:space="0" w:color="auto"/>
            <w:bottom w:val="none" w:sz="0" w:space="0" w:color="auto"/>
            <w:right w:val="none" w:sz="0" w:space="0" w:color="auto"/>
          </w:divBdr>
        </w:div>
        <w:div w:id="945236822">
          <w:marLeft w:val="640"/>
          <w:marRight w:val="0"/>
          <w:marTop w:val="0"/>
          <w:marBottom w:val="0"/>
          <w:divBdr>
            <w:top w:val="none" w:sz="0" w:space="0" w:color="auto"/>
            <w:left w:val="none" w:sz="0" w:space="0" w:color="auto"/>
            <w:bottom w:val="none" w:sz="0" w:space="0" w:color="auto"/>
            <w:right w:val="none" w:sz="0" w:space="0" w:color="auto"/>
          </w:divBdr>
        </w:div>
        <w:div w:id="290525126">
          <w:marLeft w:val="640"/>
          <w:marRight w:val="0"/>
          <w:marTop w:val="0"/>
          <w:marBottom w:val="0"/>
          <w:divBdr>
            <w:top w:val="none" w:sz="0" w:space="0" w:color="auto"/>
            <w:left w:val="none" w:sz="0" w:space="0" w:color="auto"/>
            <w:bottom w:val="none" w:sz="0" w:space="0" w:color="auto"/>
            <w:right w:val="none" w:sz="0" w:space="0" w:color="auto"/>
          </w:divBdr>
        </w:div>
        <w:div w:id="196745079">
          <w:marLeft w:val="640"/>
          <w:marRight w:val="0"/>
          <w:marTop w:val="0"/>
          <w:marBottom w:val="0"/>
          <w:divBdr>
            <w:top w:val="none" w:sz="0" w:space="0" w:color="auto"/>
            <w:left w:val="none" w:sz="0" w:space="0" w:color="auto"/>
            <w:bottom w:val="none" w:sz="0" w:space="0" w:color="auto"/>
            <w:right w:val="none" w:sz="0" w:space="0" w:color="auto"/>
          </w:divBdr>
        </w:div>
        <w:div w:id="1362438450">
          <w:marLeft w:val="640"/>
          <w:marRight w:val="0"/>
          <w:marTop w:val="0"/>
          <w:marBottom w:val="0"/>
          <w:divBdr>
            <w:top w:val="none" w:sz="0" w:space="0" w:color="auto"/>
            <w:left w:val="none" w:sz="0" w:space="0" w:color="auto"/>
            <w:bottom w:val="none" w:sz="0" w:space="0" w:color="auto"/>
            <w:right w:val="none" w:sz="0" w:space="0" w:color="auto"/>
          </w:divBdr>
        </w:div>
        <w:div w:id="142475484">
          <w:marLeft w:val="640"/>
          <w:marRight w:val="0"/>
          <w:marTop w:val="0"/>
          <w:marBottom w:val="0"/>
          <w:divBdr>
            <w:top w:val="none" w:sz="0" w:space="0" w:color="auto"/>
            <w:left w:val="none" w:sz="0" w:space="0" w:color="auto"/>
            <w:bottom w:val="none" w:sz="0" w:space="0" w:color="auto"/>
            <w:right w:val="none" w:sz="0" w:space="0" w:color="auto"/>
          </w:divBdr>
        </w:div>
        <w:div w:id="532353521">
          <w:marLeft w:val="640"/>
          <w:marRight w:val="0"/>
          <w:marTop w:val="0"/>
          <w:marBottom w:val="0"/>
          <w:divBdr>
            <w:top w:val="none" w:sz="0" w:space="0" w:color="auto"/>
            <w:left w:val="none" w:sz="0" w:space="0" w:color="auto"/>
            <w:bottom w:val="none" w:sz="0" w:space="0" w:color="auto"/>
            <w:right w:val="none" w:sz="0" w:space="0" w:color="auto"/>
          </w:divBdr>
        </w:div>
        <w:div w:id="1239708624">
          <w:marLeft w:val="640"/>
          <w:marRight w:val="0"/>
          <w:marTop w:val="0"/>
          <w:marBottom w:val="0"/>
          <w:divBdr>
            <w:top w:val="none" w:sz="0" w:space="0" w:color="auto"/>
            <w:left w:val="none" w:sz="0" w:space="0" w:color="auto"/>
            <w:bottom w:val="none" w:sz="0" w:space="0" w:color="auto"/>
            <w:right w:val="none" w:sz="0" w:space="0" w:color="auto"/>
          </w:divBdr>
        </w:div>
        <w:div w:id="1489857705">
          <w:marLeft w:val="640"/>
          <w:marRight w:val="0"/>
          <w:marTop w:val="0"/>
          <w:marBottom w:val="0"/>
          <w:divBdr>
            <w:top w:val="none" w:sz="0" w:space="0" w:color="auto"/>
            <w:left w:val="none" w:sz="0" w:space="0" w:color="auto"/>
            <w:bottom w:val="none" w:sz="0" w:space="0" w:color="auto"/>
            <w:right w:val="none" w:sz="0" w:space="0" w:color="auto"/>
          </w:divBdr>
        </w:div>
        <w:div w:id="1719355025">
          <w:marLeft w:val="640"/>
          <w:marRight w:val="0"/>
          <w:marTop w:val="0"/>
          <w:marBottom w:val="0"/>
          <w:divBdr>
            <w:top w:val="none" w:sz="0" w:space="0" w:color="auto"/>
            <w:left w:val="none" w:sz="0" w:space="0" w:color="auto"/>
            <w:bottom w:val="none" w:sz="0" w:space="0" w:color="auto"/>
            <w:right w:val="none" w:sz="0" w:space="0" w:color="auto"/>
          </w:divBdr>
        </w:div>
        <w:div w:id="2084259848">
          <w:marLeft w:val="640"/>
          <w:marRight w:val="0"/>
          <w:marTop w:val="0"/>
          <w:marBottom w:val="0"/>
          <w:divBdr>
            <w:top w:val="none" w:sz="0" w:space="0" w:color="auto"/>
            <w:left w:val="none" w:sz="0" w:space="0" w:color="auto"/>
            <w:bottom w:val="none" w:sz="0" w:space="0" w:color="auto"/>
            <w:right w:val="none" w:sz="0" w:space="0" w:color="auto"/>
          </w:divBdr>
        </w:div>
        <w:div w:id="618875689">
          <w:marLeft w:val="640"/>
          <w:marRight w:val="0"/>
          <w:marTop w:val="0"/>
          <w:marBottom w:val="0"/>
          <w:divBdr>
            <w:top w:val="none" w:sz="0" w:space="0" w:color="auto"/>
            <w:left w:val="none" w:sz="0" w:space="0" w:color="auto"/>
            <w:bottom w:val="none" w:sz="0" w:space="0" w:color="auto"/>
            <w:right w:val="none" w:sz="0" w:space="0" w:color="auto"/>
          </w:divBdr>
        </w:div>
        <w:div w:id="535317472">
          <w:marLeft w:val="640"/>
          <w:marRight w:val="0"/>
          <w:marTop w:val="0"/>
          <w:marBottom w:val="0"/>
          <w:divBdr>
            <w:top w:val="none" w:sz="0" w:space="0" w:color="auto"/>
            <w:left w:val="none" w:sz="0" w:space="0" w:color="auto"/>
            <w:bottom w:val="none" w:sz="0" w:space="0" w:color="auto"/>
            <w:right w:val="none" w:sz="0" w:space="0" w:color="auto"/>
          </w:divBdr>
        </w:div>
        <w:div w:id="1058895026">
          <w:marLeft w:val="640"/>
          <w:marRight w:val="0"/>
          <w:marTop w:val="0"/>
          <w:marBottom w:val="0"/>
          <w:divBdr>
            <w:top w:val="none" w:sz="0" w:space="0" w:color="auto"/>
            <w:left w:val="none" w:sz="0" w:space="0" w:color="auto"/>
            <w:bottom w:val="none" w:sz="0" w:space="0" w:color="auto"/>
            <w:right w:val="none" w:sz="0" w:space="0" w:color="auto"/>
          </w:divBdr>
        </w:div>
        <w:div w:id="865755567">
          <w:marLeft w:val="640"/>
          <w:marRight w:val="0"/>
          <w:marTop w:val="0"/>
          <w:marBottom w:val="0"/>
          <w:divBdr>
            <w:top w:val="none" w:sz="0" w:space="0" w:color="auto"/>
            <w:left w:val="none" w:sz="0" w:space="0" w:color="auto"/>
            <w:bottom w:val="none" w:sz="0" w:space="0" w:color="auto"/>
            <w:right w:val="none" w:sz="0" w:space="0" w:color="auto"/>
          </w:divBdr>
        </w:div>
        <w:div w:id="582378326">
          <w:marLeft w:val="640"/>
          <w:marRight w:val="0"/>
          <w:marTop w:val="0"/>
          <w:marBottom w:val="0"/>
          <w:divBdr>
            <w:top w:val="none" w:sz="0" w:space="0" w:color="auto"/>
            <w:left w:val="none" w:sz="0" w:space="0" w:color="auto"/>
            <w:bottom w:val="none" w:sz="0" w:space="0" w:color="auto"/>
            <w:right w:val="none" w:sz="0" w:space="0" w:color="auto"/>
          </w:divBdr>
        </w:div>
      </w:divsChild>
    </w:div>
    <w:div w:id="1848246703">
      <w:bodyDiv w:val="1"/>
      <w:marLeft w:val="0"/>
      <w:marRight w:val="0"/>
      <w:marTop w:val="0"/>
      <w:marBottom w:val="0"/>
      <w:divBdr>
        <w:top w:val="none" w:sz="0" w:space="0" w:color="auto"/>
        <w:left w:val="none" w:sz="0" w:space="0" w:color="auto"/>
        <w:bottom w:val="none" w:sz="0" w:space="0" w:color="auto"/>
        <w:right w:val="none" w:sz="0" w:space="0" w:color="auto"/>
      </w:divBdr>
      <w:divsChild>
        <w:div w:id="1872107028">
          <w:marLeft w:val="640"/>
          <w:marRight w:val="0"/>
          <w:marTop w:val="0"/>
          <w:marBottom w:val="0"/>
          <w:divBdr>
            <w:top w:val="none" w:sz="0" w:space="0" w:color="auto"/>
            <w:left w:val="none" w:sz="0" w:space="0" w:color="auto"/>
            <w:bottom w:val="none" w:sz="0" w:space="0" w:color="auto"/>
            <w:right w:val="none" w:sz="0" w:space="0" w:color="auto"/>
          </w:divBdr>
        </w:div>
        <w:div w:id="1835947547">
          <w:marLeft w:val="640"/>
          <w:marRight w:val="0"/>
          <w:marTop w:val="0"/>
          <w:marBottom w:val="0"/>
          <w:divBdr>
            <w:top w:val="none" w:sz="0" w:space="0" w:color="auto"/>
            <w:left w:val="none" w:sz="0" w:space="0" w:color="auto"/>
            <w:bottom w:val="none" w:sz="0" w:space="0" w:color="auto"/>
            <w:right w:val="none" w:sz="0" w:space="0" w:color="auto"/>
          </w:divBdr>
        </w:div>
        <w:div w:id="1174686244">
          <w:marLeft w:val="640"/>
          <w:marRight w:val="0"/>
          <w:marTop w:val="0"/>
          <w:marBottom w:val="0"/>
          <w:divBdr>
            <w:top w:val="none" w:sz="0" w:space="0" w:color="auto"/>
            <w:left w:val="none" w:sz="0" w:space="0" w:color="auto"/>
            <w:bottom w:val="none" w:sz="0" w:space="0" w:color="auto"/>
            <w:right w:val="none" w:sz="0" w:space="0" w:color="auto"/>
          </w:divBdr>
        </w:div>
        <w:div w:id="833842148">
          <w:marLeft w:val="640"/>
          <w:marRight w:val="0"/>
          <w:marTop w:val="0"/>
          <w:marBottom w:val="0"/>
          <w:divBdr>
            <w:top w:val="none" w:sz="0" w:space="0" w:color="auto"/>
            <w:left w:val="none" w:sz="0" w:space="0" w:color="auto"/>
            <w:bottom w:val="none" w:sz="0" w:space="0" w:color="auto"/>
            <w:right w:val="none" w:sz="0" w:space="0" w:color="auto"/>
          </w:divBdr>
        </w:div>
        <w:div w:id="1172839182">
          <w:marLeft w:val="640"/>
          <w:marRight w:val="0"/>
          <w:marTop w:val="0"/>
          <w:marBottom w:val="0"/>
          <w:divBdr>
            <w:top w:val="none" w:sz="0" w:space="0" w:color="auto"/>
            <w:left w:val="none" w:sz="0" w:space="0" w:color="auto"/>
            <w:bottom w:val="none" w:sz="0" w:space="0" w:color="auto"/>
            <w:right w:val="none" w:sz="0" w:space="0" w:color="auto"/>
          </w:divBdr>
        </w:div>
        <w:div w:id="252445779">
          <w:marLeft w:val="640"/>
          <w:marRight w:val="0"/>
          <w:marTop w:val="0"/>
          <w:marBottom w:val="0"/>
          <w:divBdr>
            <w:top w:val="none" w:sz="0" w:space="0" w:color="auto"/>
            <w:left w:val="none" w:sz="0" w:space="0" w:color="auto"/>
            <w:bottom w:val="none" w:sz="0" w:space="0" w:color="auto"/>
            <w:right w:val="none" w:sz="0" w:space="0" w:color="auto"/>
          </w:divBdr>
        </w:div>
        <w:div w:id="236331669">
          <w:marLeft w:val="640"/>
          <w:marRight w:val="0"/>
          <w:marTop w:val="0"/>
          <w:marBottom w:val="0"/>
          <w:divBdr>
            <w:top w:val="none" w:sz="0" w:space="0" w:color="auto"/>
            <w:left w:val="none" w:sz="0" w:space="0" w:color="auto"/>
            <w:bottom w:val="none" w:sz="0" w:space="0" w:color="auto"/>
            <w:right w:val="none" w:sz="0" w:space="0" w:color="auto"/>
          </w:divBdr>
        </w:div>
        <w:div w:id="664207754">
          <w:marLeft w:val="640"/>
          <w:marRight w:val="0"/>
          <w:marTop w:val="0"/>
          <w:marBottom w:val="0"/>
          <w:divBdr>
            <w:top w:val="none" w:sz="0" w:space="0" w:color="auto"/>
            <w:left w:val="none" w:sz="0" w:space="0" w:color="auto"/>
            <w:bottom w:val="none" w:sz="0" w:space="0" w:color="auto"/>
            <w:right w:val="none" w:sz="0" w:space="0" w:color="auto"/>
          </w:divBdr>
        </w:div>
        <w:div w:id="110170505">
          <w:marLeft w:val="640"/>
          <w:marRight w:val="0"/>
          <w:marTop w:val="0"/>
          <w:marBottom w:val="0"/>
          <w:divBdr>
            <w:top w:val="none" w:sz="0" w:space="0" w:color="auto"/>
            <w:left w:val="none" w:sz="0" w:space="0" w:color="auto"/>
            <w:bottom w:val="none" w:sz="0" w:space="0" w:color="auto"/>
            <w:right w:val="none" w:sz="0" w:space="0" w:color="auto"/>
          </w:divBdr>
        </w:div>
        <w:div w:id="1418134393">
          <w:marLeft w:val="640"/>
          <w:marRight w:val="0"/>
          <w:marTop w:val="0"/>
          <w:marBottom w:val="0"/>
          <w:divBdr>
            <w:top w:val="none" w:sz="0" w:space="0" w:color="auto"/>
            <w:left w:val="none" w:sz="0" w:space="0" w:color="auto"/>
            <w:bottom w:val="none" w:sz="0" w:space="0" w:color="auto"/>
            <w:right w:val="none" w:sz="0" w:space="0" w:color="auto"/>
          </w:divBdr>
        </w:div>
        <w:div w:id="1592468562">
          <w:marLeft w:val="640"/>
          <w:marRight w:val="0"/>
          <w:marTop w:val="0"/>
          <w:marBottom w:val="0"/>
          <w:divBdr>
            <w:top w:val="none" w:sz="0" w:space="0" w:color="auto"/>
            <w:left w:val="none" w:sz="0" w:space="0" w:color="auto"/>
            <w:bottom w:val="none" w:sz="0" w:space="0" w:color="auto"/>
            <w:right w:val="none" w:sz="0" w:space="0" w:color="auto"/>
          </w:divBdr>
        </w:div>
        <w:div w:id="2123726011">
          <w:marLeft w:val="640"/>
          <w:marRight w:val="0"/>
          <w:marTop w:val="0"/>
          <w:marBottom w:val="0"/>
          <w:divBdr>
            <w:top w:val="none" w:sz="0" w:space="0" w:color="auto"/>
            <w:left w:val="none" w:sz="0" w:space="0" w:color="auto"/>
            <w:bottom w:val="none" w:sz="0" w:space="0" w:color="auto"/>
            <w:right w:val="none" w:sz="0" w:space="0" w:color="auto"/>
          </w:divBdr>
        </w:div>
        <w:div w:id="130095978">
          <w:marLeft w:val="640"/>
          <w:marRight w:val="0"/>
          <w:marTop w:val="0"/>
          <w:marBottom w:val="0"/>
          <w:divBdr>
            <w:top w:val="none" w:sz="0" w:space="0" w:color="auto"/>
            <w:left w:val="none" w:sz="0" w:space="0" w:color="auto"/>
            <w:bottom w:val="none" w:sz="0" w:space="0" w:color="auto"/>
            <w:right w:val="none" w:sz="0" w:space="0" w:color="auto"/>
          </w:divBdr>
        </w:div>
        <w:div w:id="1869290744">
          <w:marLeft w:val="640"/>
          <w:marRight w:val="0"/>
          <w:marTop w:val="0"/>
          <w:marBottom w:val="0"/>
          <w:divBdr>
            <w:top w:val="none" w:sz="0" w:space="0" w:color="auto"/>
            <w:left w:val="none" w:sz="0" w:space="0" w:color="auto"/>
            <w:bottom w:val="none" w:sz="0" w:space="0" w:color="auto"/>
            <w:right w:val="none" w:sz="0" w:space="0" w:color="auto"/>
          </w:divBdr>
        </w:div>
        <w:div w:id="2063022131">
          <w:marLeft w:val="640"/>
          <w:marRight w:val="0"/>
          <w:marTop w:val="0"/>
          <w:marBottom w:val="0"/>
          <w:divBdr>
            <w:top w:val="none" w:sz="0" w:space="0" w:color="auto"/>
            <w:left w:val="none" w:sz="0" w:space="0" w:color="auto"/>
            <w:bottom w:val="none" w:sz="0" w:space="0" w:color="auto"/>
            <w:right w:val="none" w:sz="0" w:space="0" w:color="auto"/>
          </w:divBdr>
        </w:div>
        <w:div w:id="626812768">
          <w:marLeft w:val="640"/>
          <w:marRight w:val="0"/>
          <w:marTop w:val="0"/>
          <w:marBottom w:val="0"/>
          <w:divBdr>
            <w:top w:val="none" w:sz="0" w:space="0" w:color="auto"/>
            <w:left w:val="none" w:sz="0" w:space="0" w:color="auto"/>
            <w:bottom w:val="none" w:sz="0" w:space="0" w:color="auto"/>
            <w:right w:val="none" w:sz="0" w:space="0" w:color="auto"/>
          </w:divBdr>
        </w:div>
        <w:div w:id="198595901">
          <w:marLeft w:val="640"/>
          <w:marRight w:val="0"/>
          <w:marTop w:val="0"/>
          <w:marBottom w:val="0"/>
          <w:divBdr>
            <w:top w:val="none" w:sz="0" w:space="0" w:color="auto"/>
            <w:left w:val="none" w:sz="0" w:space="0" w:color="auto"/>
            <w:bottom w:val="none" w:sz="0" w:space="0" w:color="auto"/>
            <w:right w:val="none" w:sz="0" w:space="0" w:color="auto"/>
          </w:divBdr>
        </w:div>
        <w:div w:id="791939143">
          <w:marLeft w:val="640"/>
          <w:marRight w:val="0"/>
          <w:marTop w:val="0"/>
          <w:marBottom w:val="0"/>
          <w:divBdr>
            <w:top w:val="none" w:sz="0" w:space="0" w:color="auto"/>
            <w:left w:val="none" w:sz="0" w:space="0" w:color="auto"/>
            <w:bottom w:val="none" w:sz="0" w:space="0" w:color="auto"/>
            <w:right w:val="none" w:sz="0" w:space="0" w:color="auto"/>
          </w:divBdr>
        </w:div>
        <w:div w:id="1636720828">
          <w:marLeft w:val="640"/>
          <w:marRight w:val="0"/>
          <w:marTop w:val="0"/>
          <w:marBottom w:val="0"/>
          <w:divBdr>
            <w:top w:val="none" w:sz="0" w:space="0" w:color="auto"/>
            <w:left w:val="none" w:sz="0" w:space="0" w:color="auto"/>
            <w:bottom w:val="none" w:sz="0" w:space="0" w:color="auto"/>
            <w:right w:val="none" w:sz="0" w:space="0" w:color="auto"/>
          </w:divBdr>
        </w:div>
        <w:div w:id="359355523">
          <w:marLeft w:val="640"/>
          <w:marRight w:val="0"/>
          <w:marTop w:val="0"/>
          <w:marBottom w:val="0"/>
          <w:divBdr>
            <w:top w:val="none" w:sz="0" w:space="0" w:color="auto"/>
            <w:left w:val="none" w:sz="0" w:space="0" w:color="auto"/>
            <w:bottom w:val="none" w:sz="0" w:space="0" w:color="auto"/>
            <w:right w:val="none" w:sz="0" w:space="0" w:color="auto"/>
          </w:divBdr>
        </w:div>
        <w:div w:id="273292312">
          <w:marLeft w:val="640"/>
          <w:marRight w:val="0"/>
          <w:marTop w:val="0"/>
          <w:marBottom w:val="0"/>
          <w:divBdr>
            <w:top w:val="none" w:sz="0" w:space="0" w:color="auto"/>
            <w:left w:val="none" w:sz="0" w:space="0" w:color="auto"/>
            <w:bottom w:val="none" w:sz="0" w:space="0" w:color="auto"/>
            <w:right w:val="none" w:sz="0" w:space="0" w:color="auto"/>
          </w:divBdr>
        </w:div>
        <w:div w:id="661347642">
          <w:marLeft w:val="640"/>
          <w:marRight w:val="0"/>
          <w:marTop w:val="0"/>
          <w:marBottom w:val="0"/>
          <w:divBdr>
            <w:top w:val="none" w:sz="0" w:space="0" w:color="auto"/>
            <w:left w:val="none" w:sz="0" w:space="0" w:color="auto"/>
            <w:bottom w:val="none" w:sz="0" w:space="0" w:color="auto"/>
            <w:right w:val="none" w:sz="0" w:space="0" w:color="auto"/>
          </w:divBdr>
        </w:div>
        <w:div w:id="283538188">
          <w:marLeft w:val="640"/>
          <w:marRight w:val="0"/>
          <w:marTop w:val="0"/>
          <w:marBottom w:val="0"/>
          <w:divBdr>
            <w:top w:val="none" w:sz="0" w:space="0" w:color="auto"/>
            <w:left w:val="none" w:sz="0" w:space="0" w:color="auto"/>
            <w:bottom w:val="none" w:sz="0" w:space="0" w:color="auto"/>
            <w:right w:val="none" w:sz="0" w:space="0" w:color="auto"/>
          </w:divBdr>
        </w:div>
        <w:div w:id="2140489819">
          <w:marLeft w:val="640"/>
          <w:marRight w:val="0"/>
          <w:marTop w:val="0"/>
          <w:marBottom w:val="0"/>
          <w:divBdr>
            <w:top w:val="none" w:sz="0" w:space="0" w:color="auto"/>
            <w:left w:val="none" w:sz="0" w:space="0" w:color="auto"/>
            <w:bottom w:val="none" w:sz="0" w:space="0" w:color="auto"/>
            <w:right w:val="none" w:sz="0" w:space="0" w:color="auto"/>
          </w:divBdr>
        </w:div>
        <w:div w:id="808670207">
          <w:marLeft w:val="640"/>
          <w:marRight w:val="0"/>
          <w:marTop w:val="0"/>
          <w:marBottom w:val="0"/>
          <w:divBdr>
            <w:top w:val="none" w:sz="0" w:space="0" w:color="auto"/>
            <w:left w:val="none" w:sz="0" w:space="0" w:color="auto"/>
            <w:bottom w:val="none" w:sz="0" w:space="0" w:color="auto"/>
            <w:right w:val="none" w:sz="0" w:space="0" w:color="auto"/>
          </w:divBdr>
        </w:div>
        <w:div w:id="1791196005">
          <w:marLeft w:val="640"/>
          <w:marRight w:val="0"/>
          <w:marTop w:val="0"/>
          <w:marBottom w:val="0"/>
          <w:divBdr>
            <w:top w:val="none" w:sz="0" w:space="0" w:color="auto"/>
            <w:left w:val="none" w:sz="0" w:space="0" w:color="auto"/>
            <w:bottom w:val="none" w:sz="0" w:space="0" w:color="auto"/>
            <w:right w:val="none" w:sz="0" w:space="0" w:color="auto"/>
          </w:divBdr>
        </w:div>
        <w:div w:id="922833026">
          <w:marLeft w:val="640"/>
          <w:marRight w:val="0"/>
          <w:marTop w:val="0"/>
          <w:marBottom w:val="0"/>
          <w:divBdr>
            <w:top w:val="none" w:sz="0" w:space="0" w:color="auto"/>
            <w:left w:val="none" w:sz="0" w:space="0" w:color="auto"/>
            <w:bottom w:val="none" w:sz="0" w:space="0" w:color="auto"/>
            <w:right w:val="none" w:sz="0" w:space="0" w:color="auto"/>
          </w:divBdr>
        </w:div>
        <w:div w:id="1419475581">
          <w:marLeft w:val="640"/>
          <w:marRight w:val="0"/>
          <w:marTop w:val="0"/>
          <w:marBottom w:val="0"/>
          <w:divBdr>
            <w:top w:val="none" w:sz="0" w:space="0" w:color="auto"/>
            <w:left w:val="none" w:sz="0" w:space="0" w:color="auto"/>
            <w:bottom w:val="none" w:sz="0" w:space="0" w:color="auto"/>
            <w:right w:val="none" w:sz="0" w:space="0" w:color="auto"/>
          </w:divBdr>
        </w:div>
        <w:div w:id="92826982">
          <w:marLeft w:val="640"/>
          <w:marRight w:val="0"/>
          <w:marTop w:val="0"/>
          <w:marBottom w:val="0"/>
          <w:divBdr>
            <w:top w:val="none" w:sz="0" w:space="0" w:color="auto"/>
            <w:left w:val="none" w:sz="0" w:space="0" w:color="auto"/>
            <w:bottom w:val="none" w:sz="0" w:space="0" w:color="auto"/>
            <w:right w:val="none" w:sz="0" w:space="0" w:color="auto"/>
          </w:divBdr>
        </w:div>
        <w:div w:id="660037313">
          <w:marLeft w:val="640"/>
          <w:marRight w:val="0"/>
          <w:marTop w:val="0"/>
          <w:marBottom w:val="0"/>
          <w:divBdr>
            <w:top w:val="none" w:sz="0" w:space="0" w:color="auto"/>
            <w:left w:val="none" w:sz="0" w:space="0" w:color="auto"/>
            <w:bottom w:val="none" w:sz="0" w:space="0" w:color="auto"/>
            <w:right w:val="none" w:sz="0" w:space="0" w:color="auto"/>
          </w:divBdr>
        </w:div>
        <w:div w:id="1927760990">
          <w:marLeft w:val="640"/>
          <w:marRight w:val="0"/>
          <w:marTop w:val="0"/>
          <w:marBottom w:val="0"/>
          <w:divBdr>
            <w:top w:val="none" w:sz="0" w:space="0" w:color="auto"/>
            <w:left w:val="none" w:sz="0" w:space="0" w:color="auto"/>
            <w:bottom w:val="none" w:sz="0" w:space="0" w:color="auto"/>
            <w:right w:val="none" w:sz="0" w:space="0" w:color="auto"/>
          </w:divBdr>
        </w:div>
        <w:div w:id="2139571123">
          <w:marLeft w:val="640"/>
          <w:marRight w:val="0"/>
          <w:marTop w:val="0"/>
          <w:marBottom w:val="0"/>
          <w:divBdr>
            <w:top w:val="none" w:sz="0" w:space="0" w:color="auto"/>
            <w:left w:val="none" w:sz="0" w:space="0" w:color="auto"/>
            <w:bottom w:val="none" w:sz="0" w:space="0" w:color="auto"/>
            <w:right w:val="none" w:sz="0" w:space="0" w:color="auto"/>
          </w:divBdr>
        </w:div>
        <w:div w:id="204173565">
          <w:marLeft w:val="640"/>
          <w:marRight w:val="0"/>
          <w:marTop w:val="0"/>
          <w:marBottom w:val="0"/>
          <w:divBdr>
            <w:top w:val="none" w:sz="0" w:space="0" w:color="auto"/>
            <w:left w:val="none" w:sz="0" w:space="0" w:color="auto"/>
            <w:bottom w:val="none" w:sz="0" w:space="0" w:color="auto"/>
            <w:right w:val="none" w:sz="0" w:space="0" w:color="auto"/>
          </w:divBdr>
        </w:div>
        <w:div w:id="39482766">
          <w:marLeft w:val="640"/>
          <w:marRight w:val="0"/>
          <w:marTop w:val="0"/>
          <w:marBottom w:val="0"/>
          <w:divBdr>
            <w:top w:val="none" w:sz="0" w:space="0" w:color="auto"/>
            <w:left w:val="none" w:sz="0" w:space="0" w:color="auto"/>
            <w:bottom w:val="none" w:sz="0" w:space="0" w:color="auto"/>
            <w:right w:val="none" w:sz="0" w:space="0" w:color="auto"/>
          </w:divBdr>
        </w:div>
        <w:div w:id="743574533">
          <w:marLeft w:val="640"/>
          <w:marRight w:val="0"/>
          <w:marTop w:val="0"/>
          <w:marBottom w:val="0"/>
          <w:divBdr>
            <w:top w:val="none" w:sz="0" w:space="0" w:color="auto"/>
            <w:left w:val="none" w:sz="0" w:space="0" w:color="auto"/>
            <w:bottom w:val="none" w:sz="0" w:space="0" w:color="auto"/>
            <w:right w:val="none" w:sz="0" w:space="0" w:color="auto"/>
          </w:divBdr>
        </w:div>
        <w:div w:id="955479119">
          <w:marLeft w:val="640"/>
          <w:marRight w:val="0"/>
          <w:marTop w:val="0"/>
          <w:marBottom w:val="0"/>
          <w:divBdr>
            <w:top w:val="none" w:sz="0" w:space="0" w:color="auto"/>
            <w:left w:val="none" w:sz="0" w:space="0" w:color="auto"/>
            <w:bottom w:val="none" w:sz="0" w:space="0" w:color="auto"/>
            <w:right w:val="none" w:sz="0" w:space="0" w:color="auto"/>
          </w:divBdr>
        </w:div>
        <w:div w:id="896864682">
          <w:marLeft w:val="640"/>
          <w:marRight w:val="0"/>
          <w:marTop w:val="0"/>
          <w:marBottom w:val="0"/>
          <w:divBdr>
            <w:top w:val="none" w:sz="0" w:space="0" w:color="auto"/>
            <w:left w:val="none" w:sz="0" w:space="0" w:color="auto"/>
            <w:bottom w:val="none" w:sz="0" w:space="0" w:color="auto"/>
            <w:right w:val="none" w:sz="0" w:space="0" w:color="auto"/>
          </w:divBdr>
        </w:div>
        <w:div w:id="461994859">
          <w:marLeft w:val="640"/>
          <w:marRight w:val="0"/>
          <w:marTop w:val="0"/>
          <w:marBottom w:val="0"/>
          <w:divBdr>
            <w:top w:val="none" w:sz="0" w:space="0" w:color="auto"/>
            <w:left w:val="none" w:sz="0" w:space="0" w:color="auto"/>
            <w:bottom w:val="none" w:sz="0" w:space="0" w:color="auto"/>
            <w:right w:val="none" w:sz="0" w:space="0" w:color="auto"/>
          </w:divBdr>
        </w:div>
        <w:div w:id="1544637035">
          <w:marLeft w:val="640"/>
          <w:marRight w:val="0"/>
          <w:marTop w:val="0"/>
          <w:marBottom w:val="0"/>
          <w:divBdr>
            <w:top w:val="none" w:sz="0" w:space="0" w:color="auto"/>
            <w:left w:val="none" w:sz="0" w:space="0" w:color="auto"/>
            <w:bottom w:val="none" w:sz="0" w:space="0" w:color="auto"/>
            <w:right w:val="none" w:sz="0" w:space="0" w:color="auto"/>
          </w:divBdr>
        </w:div>
        <w:div w:id="81148455">
          <w:marLeft w:val="640"/>
          <w:marRight w:val="0"/>
          <w:marTop w:val="0"/>
          <w:marBottom w:val="0"/>
          <w:divBdr>
            <w:top w:val="none" w:sz="0" w:space="0" w:color="auto"/>
            <w:left w:val="none" w:sz="0" w:space="0" w:color="auto"/>
            <w:bottom w:val="none" w:sz="0" w:space="0" w:color="auto"/>
            <w:right w:val="none" w:sz="0" w:space="0" w:color="auto"/>
          </w:divBdr>
        </w:div>
        <w:div w:id="812064367">
          <w:marLeft w:val="640"/>
          <w:marRight w:val="0"/>
          <w:marTop w:val="0"/>
          <w:marBottom w:val="0"/>
          <w:divBdr>
            <w:top w:val="none" w:sz="0" w:space="0" w:color="auto"/>
            <w:left w:val="none" w:sz="0" w:space="0" w:color="auto"/>
            <w:bottom w:val="none" w:sz="0" w:space="0" w:color="auto"/>
            <w:right w:val="none" w:sz="0" w:space="0" w:color="auto"/>
          </w:divBdr>
        </w:div>
        <w:div w:id="1646004035">
          <w:marLeft w:val="640"/>
          <w:marRight w:val="0"/>
          <w:marTop w:val="0"/>
          <w:marBottom w:val="0"/>
          <w:divBdr>
            <w:top w:val="none" w:sz="0" w:space="0" w:color="auto"/>
            <w:left w:val="none" w:sz="0" w:space="0" w:color="auto"/>
            <w:bottom w:val="none" w:sz="0" w:space="0" w:color="auto"/>
            <w:right w:val="none" w:sz="0" w:space="0" w:color="auto"/>
          </w:divBdr>
        </w:div>
        <w:div w:id="332729203">
          <w:marLeft w:val="640"/>
          <w:marRight w:val="0"/>
          <w:marTop w:val="0"/>
          <w:marBottom w:val="0"/>
          <w:divBdr>
            <w:top w:val="none" w:sz="0" w:space="0" w:color="auto"/>
            <w:left w:val="none" w:sz="0" w:space="0" w:color="auto"/>
            <w:bottom w:val="none" w:sz="0" w:space="0" w:color="auto"/>
            <w:right w:val="none" w:sz="0" w:space="0" w:color="auto"/>
          </w:divBdr>
        </w:div>
        <w:div w:id="16662093">
          <w:marLeft w:val="640"/>
          <w:marRight w:val="0"/>
          <w:marTop w:val="0"/>
          <w:marBottom w:val="0"/>
          <w:divBdr>
            <w:top w:val="none" w:sz="0" w:space="0" w:color="auto"/>
            <w:left w:val="none" w:sz="0" w:space="0" w:color="auto"/>
            <w:bottom w:val="none" w:sz="0" w:space="0" w:color="auto"/>
            <w:right w:val="none" w:sz="0" w:space="0" w:color="auto"/>
          </w:divBdr>
        </w:div>
        <w:div w:id="1949308505">
          <w:marLeft w:val="640"/>
          <w:marRight w:val="0"/>
          <w:marTop w:val="0"/>
          <w:marBottom w:val="0"/>
          <w:divBdr>
            <w:top w:val="none" w:sz="0" w:space="0" w:color="auto"/>
            <w:left w:val="none" w:sz="0" w:space="0" w:color="auto"/>
            <w:bottom w:val="none" w:sz="0" w:space="0" w:color="auto"/>
            <w:right w:val="none" w:sz="0" w:space="0" w:color="auto"/>
          </w:divBdr>
        </w:div>
        <w:div w:id="822548674">
          <w:marLeft w:val="640"/>
          <w:marRight w:val="0"/>
          <w:marTop w:val="0"/>
          <w:marBottom w:val="0"/>
          <w:divBdr>
            <w:top w:val="none" w:sz="0" w:space="0" w:color="auto"/>
            <w:left w:val="none" w:sz="0" w:space="0" w:color="auto"/>
            <w:bottom w:val="none" w:sz="0" w:space="0" w:color="auto"/>
            <w:right w:val="none" w:sz="0" w:space="0" w:color="auto"/>
          </w:divBdr>
        </w:div>
        <w:div w:id="1640182103">
          <w:marLeft w:val="640"/>
          <w:marRight w:val="0"/>
          <w:marTop w:val="0"/>
          <w:marBottom w:val="0"/>
          <w:divBdr>
            <w:top w:val="none" w:sz="0" w:space="0" w:color="auto"/>
            <w:left w:val="none" w:sz="0" w:space="0" w:color="auto"/>
            <w:bottom w:val="none" w:sz="0" w:space="0" w:color="auto"/>
            <w:right w:val="none" w:sz="0" w:space="0" w:color="auto"/>
          </w:divBdr>
        </w:div>
        <w:div w:id="924925127">
          <w:marLeft w:val="640"/>
          <w:marRight w:val="0"/>
          <w:marTop w:val="0"/>
          <w:marBottom w:val="0"/>
          <w:divBdr>
            <w:top w:val="none" w:sz="0" w:space="0" w:color="auto"/>
            <w:left w:val="none" w:sz="0" w:space="0" w:color="auto"/>
            <w:bottom w:val="none" w:sz="0" w:space="0" w:color="auto"/>
            <w:right w:val="none" w:sz="0" w:space="0" w:color="auto"/>
          </w:divBdr>
        </w:div>
        <w:div w:id="529487695">
          <w:marLeft w:val="640"/>
          <w:marRight w:val="0"/>
          <w:marTop w:val="0"/>
          <w:marBottom w:val="0"/>
          <w:divBdr>
            <w:top w:val="none" w:sz="0" w:space="0" w:color="auto"/>
            <w:left w:val="none" w:sz="0" w:space="0" w:color="auto"/>
            <w:bottom w:val="none" w:sz="0" w:space="0" w:color="auto"/>
            <w:right w:val="none" w:sz="0" w:space="0" w:color="auto"/>
          </w:divBdr>
        </w:div>
        <w:div w:id="747771601">
          <w:marLeft w:val="640"/>
          <w:marRight w:val="0"/>
          <w:marTop w:val="0"/>
          <w:marBottom w:val="0"/>
          <w:divBdr>
            <w:top w:val="none" w:sz="0" w:space="0" w:color="auto"/>
            <w:left w:val="none" w:sz="0" w:space="0" w:color="auto"/>
            <w:bottom w:val="none" w:sz="0" w:space="0" w:color="auto"/>
            <w:right w:val="none" w:sz="0" w:space="0" w:color="auto"/>
          </w:divBdr>
        </w:div>
        <w:div w:id="1510172629">
          <w:marLeft w:val="640"/>
          <w:marRight w:val="0"/>
          <w:marTop w:val="0"/>
          <w:marBottom w:val="0"/>
          <w:divBdr>
            <w:top w:val="none" w:sz="0" w:space="0" w:color="auto"/>
            <w:left w:val="none" w:sz="0" w:space="0" w:color="auto"/>
            <w:bottom w:val="none" w:sz="0" w:space="0" w:color="auto"/>
            <w:right w:val="none" w:sz="0" w:space="0" w:color="auto"/>
          </w:divBdr>
        </w:div>
        <w:div w:id="480005107">
          <w:marLeft w:val="640"/>
          <w:marRight w:val="0"/>
          <w:marTop w:val="0"/>
          <w:marBottom w:val="0"/>
          <w:divBdr>
            <w:top w:val="none" w:sz="0" w:space="0" w:color="auto"/>
            <w:left w:val="none" w:sz="0" w:space="0" w:color="auto"/>
            <w:bottom w:val="none" w:sz="0" w:space="0" w:color="auto"/>
            <w:right w:val="none" w:sz="0" w:space="0" w:color="auto"/>
          </w:divBdr>
        </w:div>
        <w:div w:id="1355570834">
          <w:marLeft w:val="640"/>
          <w:marRight w:val="0"/>
          <w:marTop w:val="0"/>
          <w:marBottom w:val="0"/>
          <w:divBdr>
            <w:top w:val="none" w:sz="0" w:space="0" w:color="auto"/>
            <w:left w:val="none" w:sz="0" w:space="0" w:color="auto"/>
            <w:bottom w:val="none" w:sz="0" w:space="0" w:color="auto"/>
            <w:right w:val="none" w:sz="0" w:space="0" w:color="auto"/>
          </w:divBdr>
        </w:div>
        <w:div w:id="1484153997">
          <w:marLeft w:val="640"/>
          <w:marRight w:val="0"/>
          <w:marTop w:val="0"/>
          <w:marBottom w:val="0"/>
          <w:divBdr>
            <w:top w:val="none" w:sz="0" w:space="0" w:color="auto"/>
            <w:left w:val="none" w:sz="0" w:space="0" w:color="auto"/>
            <w:bottom w:val="none" w:sz="0" w:space="0" w:color="auto"/>
            <w:right w:val="none" w:sz="0" w:space="0" w:color="auto"/>
          </w:divBdr>
        </w:div>
        <w:div w:id="579871923">
          <w:marLeft w:val="640"/>
          <w:marRight w:val="0"/>
          <w:marTop w:val="0"/>
          <w:marBottom w:val="0"/>
          <w:divBdr>
            <w:top w:val="none" w:sz="0" w:space="0" w:color="auto"/>
            <w:left w:val="none" w:sz="0" w:space="0" w:color="auto"/>
            <w:bottom w:val="none" w:sz="0" w:space="0" w:color="auto"/>
            <w:right w:val="none" w:sz="0" w:space="0" w:color="auto"/>
          </w:divBdr>
        </w:div>
        <w:div w:id="2074427922">
          <w:marLeft w:val="640"/>
          <w:marRight w:val="0"/>
          <w:marTop w:val="0"/>
          <w:marBottom w:val="0"/>
          <w:divBdr>
            <w:top w:val="none" w:sz="0" w:space="0" w:color="auto"/>
            <w:left w:val="none" w:sz="0" w:space="0" w:color="auto"/>
            <w:bottom w:val="none" w:sz="0" w:space="0" w:color="auto"/>
            <w:right w:val="none" w:sz="0" w:space="0" w:color="auto"/>
          </w:divBdr>
        </w:div>
        <w:div w:id="2035687907">
          <w:marLeft w:val="640"/>
          <w:marRight w:val="0"/>
          <w:marTop w:val="0"/>
          <w:marBottom w:val="0"/>
          <w:divBdr>
            <w:top w:val="none" w:sz="0" w:space="0" w:color="auto"/>
            <w:left w:val="none" w:sz="0" w:space="0" w:color="auto"/>
            <w:bottom w:val="none" w:sz="0" w:space="0" w:color="auto"/>
            <w:right w:val="none" w:sz="0" w:space="0" w:color="auto"/>
          </w:divBdr>
        </w:div>
        <w:div w:id="1193954730">
          <w:marLeft w:val="640"/>
          <w:marRight w:val="0"/>
          <w:marTop w:val="0"/>
          <w:marBottom w:val="0"/>
          <w:divBdr>
            <w:top w:val="none" w:sz="0" w:space="0" w:color="auto"/>
            <w:left w:val="none" w:sz="0" w:space="0" w:color="auto"/>
            <w:bottom w:val="none" w:sz="0" w:space="0" w:color="auto"/>
            <w:right w:val="none" w:sz="0" w:space="0" w:color="auto"/>
          </w:divBdr>
        </w:div>
        <w:div w:id="206842529">
          <w:marLeft w:val="640"/>
          <w:marRight w:val="0"/>
          <w:marTop w:val="0"/>
          <w:marBottom w:val="0"/>
          <w:divBdr>
            <w:top w:val="none" w:sz="0" w:space="0" w:color="auto"/>
            <w:left w:val="none" w:sz="0" w:space="0" w:color="auto"/>
            <w:bottom w:val="none" w:sz="0" w:space="0" w:color="auto"/>
            <w:right w:val="none" w:sz="0" w:space="0" w:color="auto"/>
          </w:divBdr>
        </w:div>
        <w:div w:id="129828309">
          <w:marLeft w:val="640"/>
          <w:marRight w:val="0"/>
          <w:marTop w:val="0"/>
          <w:marBottom w:val="0"/>
          <w:divBdr>
            <w:top w:val="none" w:sz="0" w:space="0" w:color="auto"/>
            <w:left w:val="none" w:sz="0" w:space="0" w:color="auto"/>
            <w:bottom w:val="none" w:sz="0" w:space="0" w:color="auto"/>
            <w:right w:val="none" w:sz="0" w:space="0" w:color="auto"/>
          </w:divBdr>
        </w:div>
        <w:div w:id="1767581598">
          <w:marLeft w:val="640"/>
          <w:marRight w:val="0"/>
          <w:marTop w:val="0"/>
          <w:marBottom w:val="0"/>
          <w:divBdr>
            <w:top w:val="none" w:sz="0" w:space="0" w:color="auto"/>
            <w:left w:val="none" w:sz="0" w:space="0" w:color="auto"/>
            <w:bottom w:val="none" w:sz="0" w:space="0" w:color="auto"/>
            <w:right w:val="none" w:sz="0" w:space="0" w:color="auto"/>
          </w:divBdr>
        </w:div>
        <w:div w:id="668290638">
          <w:marLeft w:val="640"/>
          <w:marRight w:val="0"/>
          <w:marTop w:val="0"/>
          <w:marBottom w:val="0"/>
          <w:divBdr>
            <w:top w:val="none" w:sz="0" w:space="0" w:color="auto"/>
            <w:left w:val="none" w:sz="0" w:space="0" w:color="auto"/>
            <w:bottom w:val="none" w:sz="0" w:space="0" w:color="auto"/>
            <w:right w:val="none" w:sz="0" w:space="0" w:color="auto"/>
          </w:divBdr>
        </w:div>
        <w:div w:id="1097754206">
          <w:marLeft w:val="640"/>
          <w:marRight w:val="0"/>
          <w:marTop w:val="0"/>
          <w:marBottom w:val="0"/>
          <w:divBdr>
            <w:top w:val="none" w:sz="0" w:space="0" w:color="auto"/>
            <w:left w:val="none" w:sz="0" w:space="0" w:color="auto"/>
            <w:bottom w:val="none" w:sz="0" w:space="0" w:color="auto"/>
            <w:right w:val="none" w:sz="0" w:space="0" w:color="auto"/>
          </w:divBdr>
        </w:div>
        <w:div w:id="193227212">
          <w:marLeft w:val="640"/>
          <w:marRight w:val="0"/>
          <w:marTop w:val="0"/>
          <w:marBottom w:val="0"/>
          <w:divBdr>
            <w:top w:val="none" w:sz="0" w:space="0" w:color="auto"/>
            <w:left w:val="none" w:sz="0" w:space="0" w:color="auto"/>
            <w:bottom w:val="none" w:sz="0" w:space="0" w:color="auto"/>
            <w:right w:val="none" w:sz="0" w:space="0" w:color="auto"/>
          </w:divBdr>
        </w:div>
        <w:div w:id="1399479701">
          <w:marLeft w:val="640"/>
          <w:marRight w:val="0"/>
          <w:marTop w:val="0"/>
          <w:marBottom w:val="0"/>
          <w:divBdr>
            <w:top w:val="none" w:sz="0" w:space="0" w:color="auto"/>
            <w:left w:val="none" w:sz="0" w:space="0" w:color="auto"/>
            <w:bottom w:val="none" w:sz="0" w:space="0" w:color="auto"/>
            <w:right w:val="none" w:sz="0" w:space="0" w:color="auto"/>
          </w:divBdr>
        </w:div>
        <w:div w:id="508251354">
          <w:marLeft w:val="640"/>
          <w:marRight w:val="0"/>
          <w:marTop w:val="0"/>
          <w:marBottom w:val="0"/>
          <w:divBdr>
            <w:top w:val="none" w:sz="0" w:space="0" w:color="auto"/>
            <w:left w:val="none" w:sz="0" w:space="0" w:color="auto"/>
            <w:bottom w:val="none" w:sz="0" w:space="0" w:color="auto"/>
            <w:right w:val="none" w:sz="0" w:space="0" w:color="auto"/>
          </w:divBdr>
        </w:div>
        <w:div w:id="610934222">
          <w:marLeft w:val="640"/>
          <w:marRight w:val="0"/>
          <w:marTop w:val="0"/>
          <w:marBottom w:val="0"/>
          <w:divBdr>
            <w:top w:val="none" w:sz="0" w:space="0" w:color="auto"/>
            <w:left w:val="none" w:sz="0" w:space="0" w:color="auto"/>
            <w:bottom w:val="none" w:sz="0" w:space="0" w:color="auto"/>
            <w:right w:val="none" w:sz="0" w:space="0" w:color="auto"/>
          </w:divBdr>
        </w:div>
        <w:div w:id="1968274266">
          <w:marLeft w:val="640"/>
          <w:marRight w:val="0"/>
          <w:marTop w:val="0"/>
          <w:marBottom w:val="0"/>
          <w:divBdr>
            <w:top w:val="none" w:sz="0" w:space="0" w:color="auto"/>
            <w:left w:val="none" w:sz="0" w:space="0" w:color="auto"/>
            <w:bottom w:val="none" w:sz="0" w:space="0" w:color="auto"/>
            <w:right w:val="none" w:sz="0" w:space="0" w:color="auto"/>
          </w:divBdr>
        </w:div>
        <w:div w:id="1826511981">
          <w:marLeft w:val="640"/>
          <w:marRight w:val="0"/>
          <w:marTop w:val="0"/>
          <w:marBottom w:val="0"/>
          <w:divBdr>
            <w:top w:val="none" w:sz="0" w:space="0" w:color="auto"/>
            <w:left w:val="none" w:sz="0" w:space="0" w:color="auto"/>
            <w:bottom w:val="none" w:sz="0" w:space="0" w:color="auto"/>
            <w:right w:val="none" w:sz="0" w:space="0" w:color="auto"/>
          </w:divBdr>
        </w:div>
        <w:div w:id="209073977">
          <w:marLeft w:val="640"/>
          <w:marRight w:val="0"/>
          <w:marTop w:val="0"/>
          <w:marBottom w:val="0"/>
          <w:divBdr>
            <w:top w:val="none" w:sz="0" w:space="0" w:color="auto"/>
            <w:left w:val="none" w:sz="0" w:space="0" w:color="auto"/>
            <w:bottom w:val="none" w:sz="0" w:space="0" w:color="auto"/>
            <w:right w:val="none" w:sz="0" w:space="0" w:color="auto"/>
          </w:divBdr>
        </w:div>
        <w:div w:id="1449590957">
          <w:marLeft w:val="640"/>
          <w:marRight w:val="0"/>
          <w:marTop w:val="0"/>
          <w:marBottom w:val="0"/>
          <w:divBdr>
            <w:top w:val="none" w:sz="0" w:space="0" w:color="auto"/>
            <w:left w:val="none" w:sz="0" w:space="0" w:color="auto"/>
            <w:bottom w:val="none" w:sz="0" w:space="0" w:color="auto"/>
            <w:right w:val="none" w:sz="0" w:space="0" w:color="auto"/>
          </w:divBdr>
        </w:div>
        <w:div w:id="567153387">
          <w:marLeft w:val="640"/>
          <w:marRight w:val="0"/>
          <w:marTop w:val="0"/>
          <w:marBottom w:val="0"/>
          <w:divBdr>
            <w:top w:val="none" w:sz="0" w:space="0" w:color="auto"/>
            <w:left w:val="none" w:sz="0" w:space="0" w:color="auto"/>
            <w:bottom w:val="none" w:sz="0" w:space="0" w:color="auto"/>
            <w:right w:val="none" w:sz="0" w:space="0" w:color="auto"/>
          </w:divBdr>
        </w:div>
        <w:div w:id="1338342639">
          <w:marLeft w:val="640"/>
          <w:marRight w:val="0"/>
          <w:marTop w:val="0"/>
          <w:marBottom w:val="0"/>
          <w:divBdr>
            <w:top w:val="none" w:sz="0" w:space="0" w:color="auto"/>
            <w:left w:val="none" w:sz="0" w:space="0" w:color="auto"/>
            <w:bottom w:val="none" w:sz="0" w:space="0" w:color="auto"/>
            <w:right w:val="none" w:sz="0" w:space="0" w:color="auto"/>
          </w:divBdr>
        </w:div>
        <w:div w:id="473563649">
          <w:marLeft w:val="640"/>
          <w:marRight w:val="0"/>
          <w:marTop w:val="0"/>
          <w:marBottom w:val="0"/>
          <w:divBdr>
            <w:top w:val="none" w:sz="0" w:space="0" w:color="auto"/>
            <w:left w:val="none" w:sz="0" w:space="0" w:color="auto"/>
            <w:bottom w:val="none" w:sz="0" w:space="0" w:color="auto"/>
            <w:right w:val="none" w:sz="0" w:space="0" w:color="auto"/>
          </w:divBdr>
        </w:div>
        <w:div w:id="470025675">
          <w:marLeft w:val="640"/>
          <w:marRight w:val="0"/>
          <w:marTop w:val="0"/>
          <w:marBottom w:val="0"/>
          <w:divBdr>
            <w:top w:val="none" w:sz="0" w:space="0" w:color="auto"/>
            <w:left w:val="none" w:sz="0" w:space="0" w:color="auto"/>
            <w:bottom w:val="none" w:sz="0" w:space="0" w:color="auto"/>
            <w:right w:val="none" w:sz="0" w:space="0" w:color="auto"/>
          </w:divBdr>
        </w:div>
        <w:div w:id="87972351">
          <w:marLeft w:val="640"/>
          <w:marRight w:val="0"/>
          <w:marTop w:val="0"/>
          <w:marBottom w:val="0"/>
          <w:divBdr>
            <w:top w:val="none" w:sz="0" w:space="0" w:color="auto"/>
            <w:left w:val="none" w:sz="0" w:space="0" w:color="auto"/>
            <w:bottom w:val="none" w:sz="0" w:space="0" w:color="auto"/>
            <w:right w:val="none" w:sz="0" w:space="0" w:color="auto"/>
          </w:divBdr>
        </w:div>
        <w:div w:id="500658115">
          <w:marLeft w:val="640"/>
          <w:marRight w:val="0"/>
          <w:marTop w:val="0"/>
          <w:marBottom w:val="0"/>
          <w:divBdr>
            <w:top w:val="none" w:sz="0" w:space="0" w:color="auto"/>
            <w:left w:val="none" w:sz="0" w:space="0" w:color="auto"/>
            <w:bottom w:val="none" w:sz="0" w:space="0" w:color="auto"/>
            <w:right w:val="none" w:sz="0" w:space="0" w:color="auto"/>
          </w:divBdr>
        </w:div>
        <w:div w:id="1766415849">
          <w:marLeft w:val="640"/>
          <w:marRight w:val="0"/>
          <w:marTop w:val="0"/>
          <w:marBottom w:val="0"/>
          <w:divBdr>
            <w:top w:val="none" w:sz="0" w:space="0" w:color="auto"/>
            <w:left w:val="none" w:sz="0" w:space="0" w:color="auto"/>
            <w:bottom w:val="none" w:sz="0" w:space="0" w:color="auto"/>
            <w:right w:val="none" w:sz="0" w:space="0" w:color="auto"/>
          </w:divBdr>
        </w:div>
        <w:div w:id="848326861">
          <w:marLeft w:val="640"/>
          <w:marRight w:val="0"/>
          <w:marTop w:val="0"/>
          <w:marBottom w:val="0"/>
          <w:divBdr>
            <w:top w:val="none" w:sz="0" w:space="0" w:color="auto"/>
            <w:left w:val="none" w:sz="0" w:space="0" w:color="auto"/>
            <w:bottom w:val="none" w:sz="0" w:space="0" w:color="auto"/>
            <w:right w:val="none" w:sz="0" w:space="0" w:color="auto"/>
          </w:divBdr>
        </w:div>
        <w:div w:id="1212963785">
          <w:marLeft w:val="640"/>
          <w:marRight w:val="0"/>
          <w:marTop w:val="0"/>
          <w:marBottom w:val="0"/>
          <w:divBdr>
            <w:top w:val="none" w:sz="0" w:space="0" w:color="auto"/>
            <w:left w:val="none" w:sz="0" w:space="0" w:color="auto"/>
            <w:bottom w:val="none" w:sz="0" w:space="0" w:color="auto"/>
            <w:right w:val="none" w:sz="0" w:space="0" w:color="auto"/>
          </w:divBdr>
        </w:div>
        <w:div w:id="2000190698">
          <w:marLeft w:val="640"/>
          <w:marRight w:val="0"/>
          <w:marTop w:val="0"/>
          <w:marBottom w:val="0"/>
          <w:divBdr>
            <w:top w:val="none" w:sz="0" w:space="0" w:color="auto"/>
            <w:left w:val="none" w:sz="0" w:space="0" w:color="auto"/>
            <w:bottom w:val="none" w:sz="0" w:space="0" w:color="auto"/>
            <w:right w:val="none" w:sz="0" w:space="0" w:color="auto"/>
          </w:divBdr>
        </w:div>
        <w:div w:id="1010525971">
          <w:marLeft w:val="640"/>
          <w:marRight w:val="0"/>
          <w:marTop w:val="0"/>
          <w:marBottom w:val="0"/>
          <w:divBdr>
            <w:top w:val="none" w:sz="0" w:space="0" w:color="auto"/>
            <w:left w:val="none" w:sz="0" w:space="0" w:color="auto"/>
            <w:bottom w:val="none" w:sz="0" w:space="0" w:color="auto"/>
            <w:right w:val="none" w:sz="0" w:space="0" w:color="auto"/>
          </w:divBdr>
        </w:div>
        <w:div w:id="972052866">
          <w:marLeft w:val="640"/>
          <w:marRight w:val="0"/>
          <w:marTop w:val="0"/>
          <w:marBottom w:val="0"/>
          <w:divBdr>
            <w:top w:val="none" w:sz="0" w:space="0" w:color="auto"/>
            <w:left w:val="none" w:sz="0" w:space="0" w:color="auto"/>
            <w:bottom w:val="none" w:sz="0" w:space="0" w:color="auto"/>
            <w:right w:val="none" w:sz="0" w:space="0" w:color="auto"/>
          </w:divBdr>
        </w:div>
        <w:div w:id="545946072">
          <w:marLeft w:val="640"/>
          <w:marRight w:val="0"/>
          <w:marTop w:val="0"/>
          <w:marBottom w:val="0"/>
          <w:divBdr>
            <w:top w:val="none" w:sz="0" w:space="0" w:color="auto"/>
            <w:left w:val="none" w:sz="0" w:space="0" w:color="auto"/>
            <w:bottom w:val="none" w:sz="0" w:space="0" w:color="auto"/>
            <w:right w:val="none" w:sz="0" w:space="0" w:color="auto"/>
          </w:divBdr>
        </w:div>
        <w:div w:id="1790779339">
          <w:marLeft w:val="640"/>
          <w:marRight w:val="0"/>
          <w:marTop w:val="0"/>
          <w:marBottom w:val="0"/>
          <w:divBdr>
            <w:top w:val="none" w:sz="0" w:space="0" w:color="auto"/>
            <w:left w:val="none" w:sz="0" w:space="0" w:color="auto"/>
            <w:bottom w:val="none" w:sz="0" w:space="0" w:color="auto"/>
            <w:right w:val="none" w:sz="0" w:space="0" w:color="auto"/>
          </w:divBdr>
        </w:div>
        <w:div w:id="526481989">
          <w:marLeft w:val="640"/>
          <w:marRight w:val="0"/>
          <w:marTop w:val="0"/>
          <w:marBottom w:val="0"/>
          <w:divBdr>
            <w:top w:val="none" w:sz="0" w:space="0" w:color="auto"/>
            <w:left w:val="none" w:sz="0" w:space="0" w:color="auto"/>
            <w:bottom w:val="none" w:sz="0" w:space="0" w:color="auto"/>
            <w:right w:val="none" w:sz="0" w:space="0" w:color="auto"/>
          </w:divBdr>
        </w:div>
        <w:div w:id="1885406004">
          <w:marLeft w:val="640"/>
          <w:marRight w:val="0"/>
          <w:marTop w:val="0"/>
          <w:marBottom w:val="0"/>
          <w:divBdr>
            <w:top w:val="none" w:sz="0" w:space="0" w:color="auto"/>
            <w:left w:val="none" w:sz="0" w:space="0" w:color="auto"/>
            <w:bottom w:val="none" w:sz="0" w:space="0" w:color="auto"/>
            <w:right w:val="none" w:sz="0" w:space="0" w:color="auto"/>
          </w:divBdr>
        </w:div>
        <w:div w:id="766121399">
          <w:marLeft w:val="640"/>
          <w:marRight w:val="0"/>
          <w:marTop w:val="0"/>
          <w:marBottom w:val="0"/>
          <w:divBdr>
            <w:top w:val="none" w:sz="0" w:space="0" w:color="auto"/>
            <w:left w:val="none" w:sz="0" w:space="0" w:color="auto"/>
            <w:bottom w:val="none" w:sz="0" w:space="0" w:color="auto"/>
            <w:right w:val="none" w:sz="0" w:space="0" w:color="auto"/>
          </w:divBdr>
        </w:div>
        <w:div w:id="578561290">
          <w:marLeft w:val="640"/>
          <w:marRight w:val="0"/>
          <w:marTop w:val="0"/>
          <w:marBottom w:val="0"/>
          <w:divBdr>
            <w:top w:val="none" w:sz="0" w:space="0" w:color="auto"/>
            <w:left w:val="none" w:sz="0" w:space="0" w:color="auto"/>
            <w:bottom w:val="none" w:sz="0" w:space="0" w:color="auto"/>
            <w:right w:val="none" w:sz="0" w:space="0" w:color="auto"/>
          </w:divBdr>
        </w:div>
        <w:div w:id="959264122">
          <w:marLeft w:val="640"/>
          <w:marRight w:val="0"/>
          <w:marTop w:val="0"/>
          <w:marBottom w:val="0"/>
          <w:divBdr>
            <w:top w:val="none" w:sz="0" w:space="0" w:color="auto"/>
            <w:left w:val="none" w:sz="0" w:space="0" w:color="auto"/>
            <w:bottom w:val="none" w:sz="0" w:space="0" w:color="auto"/>
            <w:right w:val="none" w:sz="0" w:space="0" w:color="auto"/>
          </w:divBdr>
        </w:div>
        <w:div w:id="739793385">
          <w:marLeft w:val="640"/>
          <w:marRight w:val="0"/>
          <w:marTop w:val="0"/>
          <w:marBottom w:val="0"/>
          <w:divBdr>
            <w:top w:val="none" w:sz="0" w:space="0" w:color="auto"/>
            <w:left w:val="none" w:sz="0" w:space="0" w:color="auto"/>
            <w:bottom w:val="none" w:sz="0" w:space="0" w:color="auto"/>
            <w:right w:val="none" w:sz="0" w:space="0" w:color="auto"/>
          </w:divBdr>
        </w:div>
        <w:div w:id="217395946">
          <w:marLeft w:val="640"/>
          <w:marRight w:val="0"/>
          <w:marTop w:val="0"/>
          <w:marBottom w:val="0"/>
          <w:divBdr>
            <w:top w:val="none" w:sz="0" w:space="0" w:color="auto"/>
            <w:left w:val="none" w:sz="0" w:space="0" w:color="auto"/>
            <w:bottom w:val="none" w:sz="0" w:space="0" w:color="auto"/>
            <w:right w:val="none" w:sz="0" w:space="0" w:color="auto"/>
          </w:divBdr>
        </w:div>
        <w:div w:id="706754754">
          <w:marLeft w:val="640"/>
          <w:marRight w:val="0"/>
          <w:marTop w:val="0"/>
          <w:marBottom w:val="0"/>
          <w:divBdr>
            <w:top w:val="none" w:sz="0" w:space="0" w:color="auto"/>
            <w:left w:val="none" w:sz="0" w:space="0" w:color="auto"/>
            <w:bottom w:val="none" w:sz="0" w:space="0" w:color="auto"/>
            <w:right w:val="none" w:sz="0" w:space="0" w:color="auto"/>
          </w:divBdr>
        </w:div>
        <w:div w:id="1563053850">
          <w:marLeft w:val="640"/>
          <w:marRight w:val="0"/>
          <w:marTop w:val="0"/>
          <w:marBottom w:val="0"/>
          <w:divBdr>
            <w:top w:val="none" w:sz="0" w:space="0" w:color="auto"/>
            <w:left w:val="none" w:sz="0" w:space="0" w:color="auto"/>
            <w:bottom w:val="none" w:sz="0" w:space="0" w:color="auto"/>
            <w:right w:val="none" w:sz="0" w:space="0" w:color="auto"/>
          </w:divBdr>
        </w:div>
        <w:div w:id="581336680">
          <w:marLeft w:val="640"/>
          <w:marRight w:val="0"/>
          <w:marTop w:val="0"/>
          <w:marBottom w:val="0"/>
          <w:divBdr>
            <w:top w:val="none" w:sz="0" w:space="0" w:color="auto"/>
            <w:left w:val="none" w:sz="0" w:space="0" w:color="auto"/>
            <w:bottom w:val="none" w:sz="0" w:space="0" w:color="auto"/>
            <w:right w:val="none" w:sz="0" w:space="0" w:color="auto"/>
          </w:divBdr>
        </w:div>
        <w:div w:id="273097251">
          <w:marLeft w:val="640"/>
          <w:marRight w:val="0"/>
          <w:marTop w:val="0"/>
          <w:marBottom w:val="0"/>
          <w:divBdr>
            <w:top w:val="none" w:sz="0" w:space="0" w:color="auto"/>
            <w:left w:val="none" w:sz="0" w:space="0" w:color="auto"/>
            <w:bottom w:val="none" w:sz="0" w:space="0" w:color="auto"/>
            <w:right w:val="none" w:sz="0" w:space="0" w:color="auto"/>
          </w:divBdr>
        </w:div>
        <w:div w:id="547684657">
          <w:marLeft w:val="640"/>
          <w:marRight w:val="0"/>
          <w:marTop w:val="0"/>
          <w:marBottom w:val="0"/>
          <w:divBdr>
            <w:top w:val="none" w:sz="0" w:space="0" w:color="auto"/>
            <w:left w:val="none" w:sz="0" w:space="0" w:color="auto"/>
            <w:bottom w:val="none" w:sz="0" w:space="0" w:color="auto"/>
            <w:right w:val="none" w:sz="0" w:space="0" w:color="auto"/>
          </w:divBdr>
        </w:div>
        <w:div w:id="1815490483">
          <w:marLeft w:val="640"/>
          <w:marRight w:val="0"/>
          <w:marTop w:val="0"/>
          <w:marBottom w:val="0"/>
          <w:divBdr>
            <w:top w:val="none" w:sz="0" w:space="0" w:color="auto"/>
            <w:left w:val="none" w:sz="0" w:space="0" w:color="auto"/>
            <w:bottom w:val="none" w:sz="0" w:space="0" w:color="auto"/>
            <w:right w:val="none" w:sz="0" w:space="0" w:color="auto"/>
          </w:divBdr>
        </w:div>
        <w:div w:id="505747830">
          <w:marLeft w:val="640"/>
          <w:marRight w:val="0"/>
          <w:marTop w:val="0"/>
          <w:marBottom w:val="0"/>
          <w:divBdr>
            <w:top w:val="none" w:sz="0" w:space="0" w:color="auto"/>
            <w:left w:val="none" w:sz="0" w:space="0" w:color="auto"/>
            <w:bottom w:val="none" w:sz="0" w:space="0" w:color="auto"/>
            <w:right w:val="none" w:sz="0" w:space="0" w:color="auto"/>
          </w:divBdr>
        </w:div>
        <w:div w:id="201672416">
          <w:marLeft w:val="640"/>
          <w:marRight w:val="0"/>
          <w:marTop w:val="0"/>
          <w:marBottom w:val="0"/>
          <w:divBdr>
            <w:top w:val="none" w:sz="0" w:space="0" w:color="auto"/>
            <w:left w:val="none" w:sz="0" w:space="0" w:color="auto"/>
            <w:bottom w:val="none" w:sz="0" w:space="0" w:color="auto"/>
            <w:right w:val="none" w:sz="0" w:space="0" w:color="auto"/>
          </w:divBdr>
        </w:div>
        <w:div w:id="1321929493">
          <w:marLeft w:val="640"/>
          <w:marRight w:val="0"/>
          <w:marTop w:val="0"/>
          <w:marBottom w:val="0"/>
          <w:divBdr>
            <w:top w:val="none" w:sz="0" w:space="0" w:color="auto"/>
            <w:left w:val="none" w:sz="0" w:space="0" w:color="auto"/>
            <w:bottom w:val="none" w:sz="0" w:space="0" w:color="auto"/>
            <w:right w:val="none" w:sz="0" w:space="0" w:color="auto"/>
          </w:divBdr>
        </w:div>
        <w:div w:id="42290189">
          <w:marLeft w:val="640"/>
          <w:marRight w:val="0"/>
          <w:marTop w:val="0"/>
          <w:marBottom w:val="0"/>
          <w:divBdr>
            <w:top w:val="none" w:sz="0" w:space="0" w:color="auto"/>
            <w:left w:val="none" w:sz="0" w:space="0" w:color="auto"/>
            <w:bottom w:val="none" w:sz="0" w:space="0" w:color="auto"/>
            <w:right w:val="none" w:sz="0" w:space="0" w:color="auto"/>
          </w:divBdr>
        </w:div>
        <w:div w:id="461577049">
          <w:marLeft w:val="640"/>
          <w:marRight w:val="0"/>
          <w:marTop w:val="0"/>
          <w:marBottom w:val="0"/>
          <w:divBdr>
            <w:top w:val="none" w:sz="0" w:space="0" w:color="auto"/>
            <w:left w:val="none" w:sz="0" w:space="0" w:color="auto"/>
            <w:bottom w:val="none" w:sz="0" w:space="0" w:color="auto"/>
            <w:right w:val="none" w:sz="0" w:space="0" w:color="auto"/>
          </w:divBdr>
        </w:div>
        <w:div w:id="1623422159">
          <w:marLeft w:val="640"/>
          <w:marRight w:val="0"/>
          <w:marTop w:val="0"/>
          <w:marBottom w:val="0"/>
          <w:divBdr>
            <w:top w:val="none" w:sz="0" w:space="0" w:color="auto"/>
            <w:left w:val="none" w:sz="0" w:space="0" w:color="auto"/>
            <w:bottom w:val="none" w:sz="0" w:space="0" w:color="auto"/>
            <w:right w:val="none" w:sz="0" w:space="0" w:color="auto"/>
          </w:divBdr>
        </w:div>
        <w:div w:id="813760643">
          <w:marLeft w:val="640"/>
          <w:marRight w:val="0"/>
          <w:marTop w:val="0"/>
          <w:marBottom w:val="0"/>
          <w:divBdr>
            <w:top w:val="none" w:sz="0" w:space="0" w:color="auto"/>
            <w:left w:val="none" w:sz="0" w:space="0" w:color="auto"/>
            <w:bottom w:val="none" w:sz="0" w:space="0" w:color="auto"/>
            <w:right w:val="none" w:sz="0" w:space="0" w:color="auto"/>
          </w:divBdr>
        </w:div>
        <w:div w:id="2088065504">
          <w:marLeft w:val="640"/>
          <w:marRight w:val="0"/>
          <w:marTop w:val="0"/>
          <w:marBottom w:val="0"/>
          <w:divBdr>
            <w:top w:val="none" w:sz="0" w:space="0" w:color="auto"/>
            <w:left w:val="none" w:sz="0" w:space="0" w:color="auto"/>
            <w:bottom w:val="none" w:sz="0" w:space="0" w:color="auto"/>
            <w:right w:val="none" w:sz="0" w:space="0" w:color="auto"/>
          </w:divBdr>
        </w:div>
        <w:div w:id="1332097348">
          <w:marLeft w:val="640"/>
          <w:marRight w:val="0"/>
          <w:marTop w:val="0"/>
          <w:marBottom w:val="0"/>
          <w:divBdr>
            <w:top w:val="none" w:sz="0" w:space="0" w:color="auto"/>
            <w:left w:val="none" w:sz="0" w:space="0" w:color="auto"/>
            <w:bottom w:val="none" w:sz="0" w:space="0" w:color="auto"/>
            <w:right w:val="none" w:sz="0" w:space="0" w:color="auto"/>
          </w:divBdr>
        </w:div>
        <w:div w:id="2023818890">
          <w:marLeft w:val="640"/>
          <w:marRight w:val="0"/>
          <w:marTop w:val="0"/>
          <w:marBottom w:val="0"/>
          <w:divBdr>
            <w:top w:val="none" w:sz="0" w:space="0" w:color="auto"/>
            <w:left w:val="none" w:sz="0" w:space="0" w:color="auto"/>
            <w:bottom w:val="none" w:sz="0" w:space="0" w:color="auto"/>
            <w:right w:val="none" w:sz="0" w:space="0" w:color="auto"/>
          </w:divBdr>
        </w:div>
        <w:div w:id="1190028884">
          <w:marLeft w:val="640"/>
          <w:marRight w:val="0"/>
          <w:marTop w:val="0"/>
          <w:marBottom w:val="0"/>
          <w:divBdr>
            <w:top w:val="none" w:sz="0" w:space="0" w:color="auto"/>
            <w:left w:val="none" w:sz="0" w:space="0" w:color="auto"/>
            <w:bottom w:val="none" w:sz="0" w:space="0" w:color="auto"/>
            <w:right w:val="none" w:sz="0" w:space="0" w:color="auto"/>
          </w:divBdr>
        </w:div>
        <w:div w:id="957881218">
          <w:marLeft w:val="640"/>
          <w:marRight w:val="0"/>
          <w:marTop w:val="0"/>
          <w:marBottom w:val="0"/>
          <w:divBdr>
            <w:top w:val="none" w:sz="0" w:space="0" w:color="auto"/>
            <w:left w:val="none" w:sz="0" w:space="0" w:color="auto"/>
            <w:bottom w:val="none" w:sz="0" w:space="0" w:color="auto"/>
            <w:right w:val="none" w:sz="0" w:space="0" w:color="auto"/>
          </w:divBdr>
        </w:div>
        <w:div w:id="947543597">
          <w:marLeft w:val="640"/>
          <w:marRight w:val="0"/>
          <w:marTop w:val="0"/>
          <w:marBottom w:val="0"/>
          <w:divBdr>
            <w:top w:val="none" w:sz="0" w:space="0" w:color="auto"/>
            <w:left w:val="none" w:sz="0" w:space="0" w:color="auto"/>
            <w:bottom w:val="none" w:sz="0" w:space="0" w:color="auto"/>
            <w:right w:val="none" w:sz="0" w:space="0" w:color="auto"/>
          </w:divBdr>
        </w:div>
        <w:div w:id="430979492">
          <w:marLeft w:val="640"/>
          <w:marRight w:val="0"/>
          <w:marTop w:val="0"/>
          <w:marBottom w:val="0"/>
          <w:divBdr>
            <w:top w:val="none" w:sz="0" w:space="0" w:color="auto"/>
            <w:left w:val="none" w:sz="0" w:space="0" w:color="auto"/>
            <w:bottom w:val="none" w:sz="0" w:space="0" w:color="auto"/>
            <w:right w:val="none" w:sz="0" w:space="0" w:color="auto"/>
          </w:divBdr>
        </w:div>
        <w:div w:id="2033722486">
          <w:marLeft w:val="640"/>
          <w:marRight w:val="0"/>
          <w:marTop w:val="0"/>
          <w:marBottom w:val="0"/>
          <w:divBdr>
            <w:top w:val="none" w:sz="0" w:space="0" w:color="auto"/>
            <w:left w:val="none" w:sz="0" w:space="0" w:color="auto"/>
            <w:bottom w:val="none" w:sz="0" w:space="0" w:color="auto"/>
            <w:right w:val="none" w:sz="0" w:space="0" w:color="auto"/>
          </w:divBdr>
        </w:div>
        <w:div w:id="1889417913">
          <w:marLeft w:val="640"/>
          <w:marRight w:val="0"/>
          <w:marTop w:val="0"/>
          <w:marBottom w:val="0"/>
          <w:divBdr>
            <w:top w:val="none" w:sz="0" w:space="0" w:color="auto"/>
            <w:left w:val="none" w:sz="0" w:space="0" w:color="auto"/>
            <w:bottom w:val="none" w:sz="0" w:space="0" w:color="auto"/>
            <w:right w:val="none" w:sz="0" w:space="0" w:color="auto"/>
          </w:divBdr>
        </w:div>
        <w:div w:id="324626119">
          <w:marLeft w:val="640"/>
          <w:marRight w:val="0"/>
          <w:marTop w:val="0"/>
          <w:marBottom w:val="0"/>
          <w:divBdr>
            <w:top w:val="none" w:sz="0" w:space="0" w:color="auto"/>
            <w:left w:val="none" w:sz="0" w:space="0" w:color="auto"/>
            <w:bottom w:val="none" w:sz="0" w:space="0" w:color="auto"/>
            <w:right w:val="none" w:sz="0" w:space="0" w:color="auto"/>
          </w:divBdr>
        </w:div>
        <w:div w:id="688411001">
          <w:marLeft w:val="640"/>
          <w:marRight w:val="0"/>
          <w:marTop w:val="0"/>
          <w:marBottom w:val="0"/>
          <w:divBdr>
            <w:top w:val="none" w:sz="0" w:space="0" w:color="auto"/>
            <w:left w:val="none" w:sz="0" w:space="0" w:color="auto"/>
            <w:bottom w:val="none" w:sz="0" w:space="0" w:color="auto"/>
            <w:right w:val="none" w:sz="0" w:space="0" w:color="auto"/>
          </w:divBdr>
        </w:div>
        <w:div w:id="1489057798">
          <w:marLeft w:val="640"/>
          <w:marRight w:val="0"/>
          <w:marTop w:val="0"/>
          <w:marBottom w:val="0"/>
          <w:divBdr>
            <w:top w:val="none" w:sz="0" w:space="0" w:color="auto"/>
            <w:left w:val="none" w:sz="0" w:space="0" w:color="auto"/>
            <w:bottom w:val="none" w:sz="0" w:space="0" w:color="auto"/>
            <w:right w:val="none" w:sz="0" w:space="0" w:color="auto"/>
          </w:divBdr>
        </w:div>
        <w:div w:id="1910769413">
          <w:marLeft w:val="640"/>
          <w:marRight w:val="0"/>
          <w:marTop w:val="0"/>
          <w:marBottom w:val="0"/>
          <w:divBdr>
            <w:top w:val="none" w:sz="0" w:space="0" w:color="auto"/>
            <w:left w:val="none" w:sz="0" w:space="0" w:color="auto"/>
            <w:bottom w:val="none" w:sz="0" w:space="0" w:color="auto"/>
            <w:right w:val="none" w:sz="0" w:space="0" w:color="auto"/>
          </w:divBdr>
        </w:div>
        <w:div w:id="195429883">
          <w:marLeft w:val="640"/>
          <w:marRight w:val="0"/>
          <w:marTop w:val="0"/>
          <w:marBottom w:val="0"/>
          <w:divBdr>
            <w:top w:val="none" w:sz="0" w:space="0" w:color="auto"/>
            <w:left w:val="none" w:sz="0" w:space="0" w:color="auto"/>
            <w:bottom w:val="none" w:sz="0" w:space="0" w:color="auto"/>
            <w:right w:val="none" w:sz="0" w:space="0" w:color="auto"/>
          </w:divBdr>
        </w:div>
        <w:div w:id="1189221876">
          <w:marLeft w:val="640"/>
          <w:marRight w:val="0"/>
          <w:marTop w:val="0"/>
          <w:marBottom w:val="0"/>
          <w:divBdr>
            <w:top w:val="none" w:sz="0" w:space="0" w:color="auto"/>
            <w:left w:val="none" w:sz="0" w:space="0" w:color="auto"/>
            <w:bottom w:val="none" w:sz="0" w:space="0" w:color="auto"/>
            <w:right w:val="none" w:sz="0" w:space="0" w:color="auto"/>
          </w:divBdr>
        </w:div>
        <w:div w:id="523860032">
          <w:marLeft w:val="640"/>
          <w:marRight w:val="0"/>
          <w:marTop w:val="0"/>
          <w:marBottom w:val="0"/>
          <w:divBdr>
            <w:top w:val="none" w:sz="0" w:space="0" w:color="auto"/>
            <w:left w:val="none" w:sz="0" w:space="0" w:color="auto"/>
            <w:bottom w:val="none" w:sz="0" w:space="0" w:color="auto"/>
            <w:right w:val="none" w:sz="0" w:space="0" w:color="auto"/>
          </w:divBdr>
        </w:div>
        <w:div w:id="1073510320">
          <w:marLeft w:val="640"/>
          <w:marRight w:val="0"/>
          <w:marTop w:val="0"/>
          <w:marBottom w:val="0"/>
          <w:divBdr>
            <w:top w:val="none" w:sz="0" w:space="0" w:color="auto"/>
            <w:left w:val="none" w:sz="0" w:space="0" w:color="auto"/>
            <w:bottom w:val="none" w:sz="0" w:space="0" w:color="auto"/>
            <w:right w:val="none" w:sz="0" w:space="0" w:color="auto"/>
          </w:divBdr>
        </w:div>
        <w:div w:id="1144590480">
          <w:marLeft w:val="640"/>
          <w:marRight w:val="0"/>
          <w:marTop w:val="0"/>
          <w:marBottom w:val="0"/>
          <w:divBdr>
            <w:top w:val="none" w:sz="0" w:space="0" w:color="auto"/>
            <w:left w:val="none" w:sz="0" w:space="0" w:color="auto"/>
            <w:bottom w:val="none" w:sz="0" w:space="0" w:color="auto"/>
            <w:right w:val="none" w:sz="0" w:space="0" w:color="auto"/>
          </w:divBdr>
        </w:div>
        <w:div w:id="326708664">
          <w:marLeft w:val="640"/>
          <w:marRight w:val="0"/>
          <w:marTop w:val="0"/>
          <w:marBottom w:val="0"/>
          <w:divBdr>
            <w:top w:val="none" w:sz="0" w:space="0" w:color="auto"/>
            <w:left w:val="none" w:sz="0" w:space="0" w:color="auto"/>
            <w:bottom w:val="none" w:sz="0" w:space="0" w:color="auto"/>
            <w:right w:val="none" w:sz="0" w:space="0" w:color="auto"/>
          </w:divBdr>
        </w:div>
        <w:div w:id="1995257176">
          <w:marLeft w:val="640"/>
          <w:marRight w:val="0"/>
          <w:marTop w:val="0"/>
          <w:marBottom w:val="0"/>
          <w:divBdr>
            <w:top w:val="none" w:sz="0" w:space="0" w:color="auto"/>
            <w:left w:val="none" w:sz="0" w:space="0" w:color="auto"/>
            <w:bottom w:val="none" w:sz="0" w:space="0" w:color="auto"/>
            <w:right w:val="none" w:sz="0" w:space="0" w:color="auto"/>
          </w:divBdr>
        </w:div>
        <w:div w:id="1798989780">
          <w:marLeft w:val="640"/>
          <w:marRight w:val="0"/>
          <w:marTop w:val="0"/>
          <w:marBottom w:val="0"/>
          <w:divBdr>
            <w:top w:val="none" w:sz="0" w:space="0" w:color="auto"/>
            <w:left w:val="none" w:sz="0" w:space="0" w:color="auto"/>
            <w:bottom w:val="none" w:sz="0" w:space="0" w:color="auto"/>
            <w:right w:val="none" w:sz="0" w:space="0" w:color="auto"/>
          </w:divBdr>
        </w:div>
        <w:div w:id="1462575600">
          <w:marLeft w:val="640"/>
          <w:marRight w:val="0"/>
          <w:marTop w:val="0"/>
          <w:marBottom w:val="0"/>
          <w:divBdr>
            <w:top w:val="none" w:sz="0" w:space="0" w:color="auto"/>
            <w:left w:val="none" w:sz="0" w:space="0" w:color="auto"/>
            <w:bottom w:val="none" w:sz="0" w:space="0" w:color="auto"/>
            <w:right w:val="none" w:sz="0" w:space="0" w:color="auto"/>
          </w:divBdr>
        </w:div>
        <w:div w:id="2013022963">
          <w:marLeft w:val="640"/>
          <w:marRight w:val="0"/>
          <w:marTop w:val="0"/>
          <w:marBottom w:val="0"/>
          <w:divBdr>
            <w:top w:val="none" w:sz="0" w:space="0" w:color="auto"/>
            <w:left w:val="none" w:sz="0" w:space="0" w:color="auto"/>
            <w:bottom w:val="none" w:sz="0" w:space="0" w:color="auto"/>
            <w:right w:val="none" w:sz="0" w:space="0" w:color="auto"/>
          </w:divBdr>
        </w:div>
        <w:div w:id="32123539">
          <w:marLeft w:val="640"/>
          <w:marRight w:val="0"/>
          <w:marTop w:val="0"/>
          <w:marBottom w:val="0"/>
          <w:divBdr>
            <w:top w:val="none" w:sz="0" w:space="0" w:color="auto"/>
            <w:left w:val="none" w:sz="0" w:space="0" w:color="auto"/>
            <w:bottom w:val="none" w:sz="0" w:space="0" w:color="auto"/>
            <w:right w:val="none" w:sz="0" w:space="0" w:color="auto"/>
          </w:divBdr>
        </w:div>
        <w:div w:id="361176903">
          <w:marLeft w:val="640"/>
          <w:marRight w:val="0"/>
          <w:marTop w:val="0"/>
          <w:marBottom w:val="0"/>
          <w:divBdr>
            <w:top w:val="none" w:sz="0" w:space="0" w:color="auto"/>
            <w:left w:val="none" w:sz="0" w:space="0" w:color="auto"/>
            <w:bottom w:val="none" w:sz="0" w:space="0" w:color="auto"/>
            <w:right w:val="none" w:sz="0" w:space="0" w:color="auto"/>
          </w:divBdr>
        </w:div>
        <w:div w:id="83887049">
          <w:marLeft w:val="640"/>
          <w:marRight w:val="0"/>
          <w:marTop w:val="0"/>
          <w:marBottom w:val="0"/>
          <w:divBdr>
            <w:top w:val="none" w:sz="0" w:space="0" w:color="auto"/>
            <w:left w:val="none" w:sz="0" w:space="0" w:color="auto"/>
            <w:bottom w:val="none" w:sz="0" w:space="0" w:color="auto"/>
            <w:right w:val="none" w:sz="0" w:space="0" w:color="auto"/>
          </w:divBdr>
        </w:div>
        <w:div w:id="1318805687">
          <w:marLeft w:val="640"/>
          <w:marRight w:val="0"/>
          <w:marTop w:val="0"/>
          <w:marBottom w:val="0"/>
          <w:divBdr>
            <w:top w:val="none" w:sz="0" w:space="0" w:color="auto"/>
            <w:left w:val="none" w:sz="0" w:space="0" w:color="auto"/>
            <w:bottom w:val="none" w:sz="0" w:space="0" w:color="auto"/>
            <w:right w:val="none" w:sz="0" w:space="0" w:color="auto"/>
          </w:divBdr>
        </w:div>
        <w:div w:id="1170750960">
          <w:marLeft w:val="640"/>
          <w:marRight w:val="0"/>
          <w:marTop w:val="0"/>
          <w:marBottom w:val="0"/>
          <w:divBdr>
            <w:top w:val="none" w:sz="0" w:space="0" w:color="auto"/>
            <w:left w:val="none" w:sz="0" w:space="0" w:color="auto"/>
            <w:bottom w:val="none" w:sz="0" w:space="0" w:color="auto"/>
            <w:right w:val="none" w:sz="0" w:space="0" w:color="auto"/>
          </w:divBdr>
        </w:div>
        <w:div w:id="395402529">
          <w:marLeft w:val="640"/>
          <w:marRight w:val="0"/>
          <w:marTop w:val="0"/>
          <w:marBottom w:val="0"/>
          <w:divBdr>
            <w:top w:val="none" w:sz="0" w:space="0" w:color="auto"/>
            <w:left w:val="none" w:sz="0" w:space="0" w:color="auto"/>
            <w:bottom w:val="none" w:sz="0" w:space="0" w:color="auto"/>
            <w:right w:val="none" w:sz="0" w:space="0" w:color="auto"/>
          </w:divBdr>
        </w:div>
        <w:div w:id="1444955689">
          <w:marLeft w:val="640"/>
          <w:marRight w:val="0"/>
          <w:marTop w:val="0"/>
          <w:marBottom w:val="0"/>
          <w:divBdr>
            <w:top w:val="none" w:sz="0" w:space="0" w:color="auto"/>
            <w:left w:val="none" w:sz="0" w:space="0" w:color="auto"/>
            <w:bottom w:val="none" w:sz="0" w:space="0" w:color="auto"/>
            <w:right w:val="none" w:sz="0" w:space="0" w:color="auto"/>
          </w:divBdr>
        </w:div>
        <w:div w:id="2035035512">
          <w:marLeft w:val="640"/>
          <w:marRight w:val="0"/>
          <w:marTop w:val="0"/>
          <w:marBottom w:val="0"/>
          <w:divBdr>
            <w:top w:val="none" w:sz="0" w:space="0" w:color="auto"/>
            <w:left w:val="none" w:sz="0" w:space="0" w:color="auto"/>
            <w:bottom w:val="none" w:sz="0" w:space="0" w:color="auto"/>
            <w:right w:val="none" w:sz="0" w:space="0" w:color="auto"/>
          </w:divBdr>
        </w:div>
        <w:div w:id="1727096506">
          <w:marLeft w:val="640"/>
          <w:marRight w:val="0"/>
          <w:marTop w:val="0"/>
          <w:marBottom w:val="0"/>
          <w:divBdr>
            <w:top w:val="none" w:sz="0" w:space="0" w:color="auto"/>
            <w:left w:val="none" w:sz="0" w:space="0" w:color="auto"/>
            <w:bottom w:val="none" w:sz="0" w:space="0" w:color="auto"/>
            <w:right w:val="none" w:sz="0" w:space="0" w:color="auto"/>
          </w:divBdr>
        </w:div>
        <w:div w:id="1104688674">
          <w:marLeft w:val="640"/>
          <w:marRight w:val="0"/>
          <w:marTop w:val="0"/>
          <w:marBottom w:val="0"/>
          <w:divBdr>
            <w:top w:val="none" w:sz="0" w:space="0" w:color="auto"/>
            <w:left w:val="none" w:sz="0" w:space="0" w:color="auto"/>
            <w:bottom w:val="none" w:sz="0" w:space="0" w:color="auto"/>
            <w:right w:val="none" w:sz="0" w:space="0" w:color="auto"/>
          </w:divBdr>
        </w:div>
        <w:div w:id="412046026">
          <w:marLeft w:val="640"/>
          <w:marRight w:val="0"/>
          <w:marTop w:val="0"/>
          <w:marBottom w:val="0"/>
          <w:divBdr>
            <w:top w:val="none" w:sz="0" w:space="0" w:color="auto"/>
            <w:left w:val="none" w:sz="0" w:space="0" w:color="auto"/>
            <w:bottom w:val="none" w:sz="0" w:space="0" w:color="auto"/>
            <w:right w:val="none" w:sz="0" w:space="0" w:color="auto"/>
          </w:divBdr>
        </w:div>
        <w:div w:id="1811439089">
          <w:marLeft w:val="640"/>
          <w:marRight w:val="0"/>
          <w:marTop w:val="0"/>
          <w:marBottom w:val="0"/>
          <w:divBdr>
            <w:top w:val="none" w:sz="0" w:space="0" w:color="auto"/>
            <w:left w:val="none" w:sz="0" w:space="0" w:color="auto"/>
            <w:bottom w:val="none" w:sz="0" w:space="0" w:color="auto"/>
            <w:right w:val="none" w:sz="0" w:space="0" w:color="auto"/>
          </w:divBdr>
        </w:div>
        <w:div w:id="729233858">
          <w:marLeft w:val="640"/>
          <w:marRight w:val="0"/>
          <w:marTop w:val="0"/>
          <w:marBottom w:val="0"/>
          <w:divBdr>
            <w:top w:val="none" w:sz="0" w:space="0" w:color="auto"/>
            <w:left w:val="none" w:sz="0" w:space="0" w:color="auto"/>
            <w:bottom w:val="none" w:sz="0" w:space="0" w:color="auto"/>
            <w:right w:val="none" w:sz="0" w:space="0" w:color="auto"/>
          </w:divBdr>
        </w:div>
        <w:div w:id="298456143">
          <w:marLeft w:val="640"/>
          <w:marRight w:val="0"/>
          <w:marTop w:val="0"/>
          <w:marBottom w:val="0"/>
          <w:divBdr>
            <w:top w:val="none" w:sz="0" w:space="0" w:color="auto"/>
            <w:left w:val="none" w:sz="0" w:space="0" w:color="auto"/>
            <w:bottom w:val="none" w:sz="0" w:space="0" w:color="auto"/>
            <w:right w:val="none" w:sz="0" w:space="0" w:color="auto"/>
          </w:divBdr>
        </w:div>
        <w:div w:id="1858889605">
          <w:marLeft w:val="640"/>
          <w:marRight w:val="0"/>
          <w:marTop w:val="0"/>
          <w:marBottom w:val="0"/>
          <w:divBdr>
            <w:top w:val="none" w:sz="0" w:space="0" w:color="auto"/>
            <w:left w:val="none" w:sz="0" w:space="0" w:color="auto"/>
            <w:bottom w:val="none" w:sz="0" w:space="0" w:color="auto"/>
            <w:right w:val="none" w:sz="0" w:space="0" w:color="auto"/>
          </w:divBdr>
        </w:div>
        <w:div w:id="1074470868">
          <w:marLeft w:val="640"/>
          <w:marRight w:val="0"/>
          <w:marTop w:val="0"/>
          <w:marBottom w:val="0"/>
          <w:divBdr>
            <w:top w:val="none" w:sz="0" w:space="0" w:color="auto"/>
            <w:left w:val="none" w:sz="0" w:space="0" w:color="auto"/>
            <w:bottom w:val="none" w:sz="0" w:space="0" w:color="auto"/>
            <w:right w:val="none" w:sz="0" w:space="0" w:color="auto"/>
          </w:divBdr>
        </w:div>
        <w:div w:id="493691341">
          <w:marLeft w:val="640"/>
          <w:marRight w:val="0"/>
          <w:marTop w:val="0"/>
          <w:marBottom w:val="0"/>
          <w:divBdr>
            <w:top w:val="none" w:sz="0" w:space="0" w:color="auto"/>
            <w:left w:val="none" w:sz="0" w:space="0" w:color="auto"/>
            <w:bottom w:val="none" w:sz="0" w:space="0" w:color="auto"/>
            <w:right w:val="none" w:sz="0" w:space="0" w:color="auto"/>
          </w:divBdr>
        </w:div>
        <w:div w:id="436876805">
          <w:marLeft w:val="640"/>
          <w:marRight w:val="0"/>
          <w:marTop w:val="0"/>
          <w:marBottom w:val="0"/>
          <w:divBdr>
            <w:top w:val="none" w:sz="0" w:space="0" w:color="auto"/>
            <w:left w:val="none" w:sz="0" w:space="0" w:color="auto"/>
            <w:bottom w:val="none" w:sz="0" w:space="0" w:color="auto"/>
            <w:right w:val="none" w:sz="0" w:space="0" w:color="auto"/>
          </w:divBdr>
        </w:div>
        <w:div w:id="1716657167">
          <w:marLeft w:val="640"/>
          <w:marRight w:val="0"/>
          <w:marTop w:val="0"/>
          <w:marBottom w:val="0"/>
          <w:divBdr>
            <w:top w:val="none" w:sz="0" w:space="0" w:color="auto"/>
            <w:left w:val="none" w:sz="0" w:space="0" w:color="auto"/>
            <w:bottom w:val="none" w:sz="0" w:space="0" w:color="auto"/>
            <w:right w:val="none" w:sz="0" w:space="0" w:color="auto"/>
          </w:divBdr>
        </w:div>
        <w:div w:id="1603993810">
          <w:marLeft w:val="640"/>
          <w:marRight w:val="0"/>
          <w:marTop w:val="0"/>
          <w:marBottom w:val="0"/>
          <w:divBdr>
            <w:top w:val="none" w:sz="0" w:space="0" w:color="auto"/>
            <w:left w:val="none" w:sz="0" w:space="0" w:color="auto"/>
            <w:bottom w:val="none" w:sz="0" w:space="0" w:color="auto"/>
            <w:right w:val="none" w:sz="0" w:space="0" w:color="auto"/>
          </w:divBdr>
        </w:div>
        <w:div w:id="942303234">
          <w:marLeft w:val="640"/>
          <w:marRight w:val="0"/>
          <w:marTop w:val="0"/>
          <w:marBottom w:val="0"/>
          <w:divBdr>
            <w:top w:val="none" w:sz="0" w:space="0" w:color="auto"/>
            <w:left w:val="none" w:sz="0" w:space="0" w:color="auto"/>
            <w:bottom w:val="none" w:sz="0" w:space="0" w:color="auto"/>
            <w:right w:val="none" w:sz="0" w:space="0" w:color="auto"/>
          </w:divBdr>
        </w:div>
        <w:div w:id="473256935">
          <w:marLeft w:val="640"/>
          <w:marRight w:val="0"/>
          <w:marTop w:val="0"/>
          <w:marBottom w:val="0"/>
          <w:divBdr>
            <w:top w:val="none" w:sz="0" w:space="0" w:color="auto"/>
            <w:left w:val="none" w:sz="0" w:space="0" w:color="auto"/>
            <w:bottom w:val="none" w:sz="0" w:space="0" w:color="auto"/>
            <w:right w:val="none" w:sz="0" w:space="0" w:color="auto"/>
          </w:divBdr>
        </w:div>
        <w:div w:id="1281495742">
          <w:marLeft w:val="640"/>
          <w:marRight w:val="0"/>
          <w:marTop w:val="0"/>
          <w:marBottom w:val="0"/>
          <w:divBdr>
            <w:top w:val="none" w:sz="0" w:space="0" w:color="auto"/>
            <w:left w:val="none" w:sz="0" w:space="0" w:color="auto"/>
            <w:bottom w:val="none" w:sz="0" w:space="0" w:color="auto"/>
            <w:right w:val="none" w:sz="0" w:space="0" w:color="auto"/>
          </w:divBdr>
        </w:div>
        <w:div w:id="464584878">
          <w:marLeft w:val="640"/>
          <w:marRight w:val="0"/>
          <w:marTop w:val="0"/>
          <w:marBottom w:val="0"/>
          <w:divBdr>
            <w:top w:val="none" w:sz="0" w:space="0" w:color="auto"/>
            <w:left w:val="none" w:sz="0" w:space="0" w:color="auto"/>
            <w:bottom w:val="none" w:sz="0" w:space="0" w:color="auto"/>
            <w:right w:val="none" w:sz="0" w:space="0" w:color="auto"/>
          </w:divBdr>
        </w:div>
        <w:div w:id="1547722338">
          <w:marLeft w:val="640"/>
          <w:marRight w:val="0"/>
          <w:marTop w:val="0"/>
          <w:marBottom w:val="0"/>
          <w:divBdr>
            <w:top w:val="none" w:sz="0" w:space="0" w:color="auto"/>
            <w:left w:val="none" w:sz="0" w:space="0" w:color="auto"/>
            <w:bottom w:val="none" w:sz="0" w:space="0" w:color="auto"/>
            <w:right w:val="none" w:sz="0" w:space="0" w:color="auto"/>
          </w:divBdr>
        </w:div>
        <w:div w:id="1348142120">
          <w:marLeft w:val="640"/>
          <w:marRight w:val="0"/>
          <w:marTop w:val="0"/>
          <w:marBottom w:val="0"/>
          <w:divBdr>
            <w:top w:val="none" w:sz="0" w:space="0" w:color="auto"/>
            <w:left w:val="none" w:sz="0" w:space="0" w:color="auto"/>
            <w:bottom w:val="none" w:sz="0" w:space="0" w:color="auto"/>
            <w:right w:val="none" w:sz="0" w:space="0" w:color="auto"/>
          </w:divBdr>
        </w:div>
        <w:div w:id="317806766">
          <w:marLeft w:val="640"/>
          <w:marRight w:val="0"/>
          <w:marTop w:val="0"/>
          <w:marBottom w:val="0"/>
          <w:divBdr>
            <w:top w:val="none" w:sz="0" w:space="0" w:color="auto"/>
            <w:left w:val="none" w:sz="0" w:space="0" w:color="auto"/>
            <w:bottom w:val="none" w:sz="0" w:space="0" w:color="auto"/>
            <w:right w:val="none" w:sz="0" w:space="0" w:color="auto"/>
          </w:divBdr>
        </w:div>
        <w:div w:id="1034772681">
          <w:marLeft w:val="640"/>
          <w:marRight w:val="0"/>
          <w:marTop w:val="0"/>
          <w:marBottom w:val="0"/>
          <w:divBdr>
            <w:top w:val="none" w:sz="0" w:space="0" w:color="auto"/>
            <w:left w:val="none" w:sz="0" w:space="0" w:color="auto"/>
            <w:bottom w:val="none" w:sz="0" w:space="0" w:color="auto"/>
            <w:right w:val="none" w:sz="0" w:space="0" w:color="auto"/>
          </w:divBdr>
        </w:div>
        <w:div w:id="252468998">
          <w:marLeft w:val="640"/>
          <w:marRight w:val="0"/>
          <w:marTop w:val="0"/>
          <w:marBottom w:val="0"/>
          <w:divBdr>
            <w:top w:val="none" w:sz="0" w:space="0" w:color="auto"/>
            <w:left w:val="none" w:sz="0" w:space="0" w:color="auto"/>
            <w:bottom w:val="none" w:sz="0" w:space="0" w:color="auto"/>
            <w:right w:val="none" w:sz="0" w:space="0" w:color="auto"/>
          </w:divBdr>
        </w:div>
        <w:div w:id="1308321089">
          <w:marLeft w:val="640"/>
          <w:marRight w:val="0"/>
          <w:marTop w:val="0"/>
          <w:marBottom w:val="0"/>
          <w:divBdr>
            <w:top w:val="none" w:sz="0" w:space="0" w:color="auto"/>
            <w:left w:val="none" w:sz="0" w:space="0" w:color="auto"/>
            <w:bottom w:val="none" w:sz="0" w:space="0" w:color="auto"/>
            <w:right w:val="none" w:sz="0" w:space="0" w:color="auto"/>
          </w:divBdr>
        </w:div>
        <w:div w:id="869148290">
          <w:marLeft w:val="640"/>
          <w:marRight w:val="0"/>
          <w:marTop w:val="0"/>
          <w:marBottom w:val="0"/>
          <w:divBdr>
            <w:top w:val="none" w:sz="0" w:space="0" w:color="auto"/>
            <w:left w:val="none" w:sz="0" w:space="0" w:color="auto"/>
            <w:bottom w:val="none" w:sz="0" w:space="0" w:color="auto"/>
            <w:right w:val="none" w:sz="0" w:space="0" w:color="auto"/>
          </w:divBdr>
        </w:div>
        <w:div w:id="1571620612">
          <w:marLeft w:val="640"/>
          <w:marRight w:val="0"/>
          <w:marTop w:val="0"/>
          <w:marBottom w:val="0"/>
          <w:divBdr>
            <w:top w:val="none" w:sz="0" w:space="0" w:color="auto"/>
            <w:left w:val="none" w:sz="0" w:space="0" w:color="auto"/>
            <w:bottom w:val="none" w:sz="0" w:space="0" w:color="auto"/>
            <w:right w:val="none" w:sz="0" w:space="0" w:color="auto"/>
          </w:divBdr>
        </w:div>
        <w:div w:id="967590778">
          <w:marLeft w:val="640"/>
          <w:marRight w:val="0"/>
          <w:marTop w:val="0"/>
          <w:marBottom w:val="0"/>
          <w:divBdr>
            <w:top w:val="none" w:sz="0" w:space="0" w:color="auto"/>
            <w:left w:val="none" w:sz="0" w:space="0" w:color="auto"/>
            <w:bottom w:val="none" w:sz="0" w:space="0" w:color="auto"/>
            <w:right w:val="none" w:sz="0" w:space="0" w:color="auto"/>
          </w:divBdr>
        </w:div>
        <w:div w:id="964845544">
          <w:marLeft w:val="640"/>
          <w:marRight w:val="0"/>
          <w:marTop w:val="0"/>
          <w:marBottom w:val="0"/>
          <w:divBdr>
            <w:top w:val="none" w:sz="0" w:space="0" w:color="auto"/>
            <w:left w:val="none" w:sz="0" w:space="0" w:color="auto"/>
            <w:bottom w:val="none" w:sz="0" w:space="0" w:color="auto"/>
            <w:right w:val="none" w:sz="0" w:space="0" w:color="auto"/>
          </w:divBdr>
        </w:div>
        <w:div w:id="306399235">
          <w:marLeft w:val="640"/>
          <w:marRight w:val="0"/>
          <w:marTop w:val="0"/>
          <w:marBottom w:val="0"/>
          <w:divBdr>
            <w:top w:val="none" w:sz="0" w:space="0" w:color="auto"/>
            <w:left w:val="none" w:sz="0" w:space="0" w:color="auto"/>
            <w:bottom w:val="none" w:sz="0" w:space="0" w:color="auto"/>
            <w:right w:val="none" w:sz="0" w:space="0" w:color="auto"/>
          </w:divBdr>
        </w:div>
        <w:div w:id="1180924722">
          <w:marLeft w:val="640"/>
          <w:marRight w:val="0"/>
          <w:marTop w:val="0"/>
          <w:marBottom w:val="0"/>
          <w:divBdr>
            <w:top w:val="none" w:sz="0" w:space="0" w:color="auto"/>
            <w:left w:val="none" w:sz="0" w:space="0" w:color="auto"/>
            <w:bottom w:val="none" w:sz="0" w:space="0" w:color="auto"/>
            <w:right w:val="none" w:sz="0" w:space="0" w:color="auto"/>
          </w:divBdr>
        </w:div>
        <w:div w:id="2075740760">
          <w:marLeft w:val="640"/>
          <w:marRight w:val="0"/>
          <w:marTop w:val="0"/>
          <w:marBottom w:val="0"/>
          <w:divBdr>
            <w:top w:val="none" w:sz="0" w:space="0" w:color="auto"/>
            <w:left w:val="none" w:sz="0" w:space="0" w:color="auto"/>
            <w:bottom w:val="none" w:sz="0" w:space="0" w:color="auto"/>
            <w:right w:val="none" w:sz="0" w:space="0" w:color="auto"/>
          </w:divBdr>
        </w:div>
        <w:div w:id="995717749">
          <w:marLeft w:val="640"/>
          <w:marRight w:val="0"/>
          <w:marTop w:val="0"/>
          <w:marBottom w:val="0"/>
          <w:divBdr>
            <w:top w:val="none" w:sz="0" w:space="0" w:color="auto"/>
            <w:left w:val="none" w:sz="0" w:space="0" w:color="auto"/>
            <w:bottom w:val="none" w:sz="0" w:space="0" w:color="auto"/>
            <w:right w:val="none" w:sz="0" w:space="0" w:color="auto"/>
          </w:divBdr>
        </w:div>
        <w:div w:id="2058777761">
          <w:marLeft w:val="640"/>
          <w:marRight w:val="0"/>
          <w:marTop w:val="0"/>
          <w:marBottom w:val="0"/>
          <w:divBdr>
            <w:top w:val="none" w:sz="0" w:space="0" w:color="auto"/>
            <w:left w:val="none" w:sz="0" w:space="0" w:color="auto"/>
            <w:bottom w:val="none" w:sz="0" w:space="0" w:color="auto"/>
            <w:right w:val="none" w:sz="0" w:space="0" w:color="auto"/>
          </w:divBdr>
        </w:div>
        <w:div w:id="1588029572">
          <w:marLeft w:val="640"/>
          <w:marRight w:val="0"/>
          <w:marTop w:val="0"/>
          <w:marBottom w:val="0"/>
          <w:divBdr>
            <w:top w:val="none" w:sz="0" w:space="0" w:color="auto"/>
            <w:left w:val="none" w:sz="0" w:space="0" w:color="auto"/>
            <w:bottom w:val="none" w:sz="0" w:space="0" w:color="auto"/>
            <w:right w:val="none" w:sz="0" w:space="0" w:color="auto"/>
          </w:divBdr>
        </w:div>
        <w:div w:id="433404810">
          <w:marLeft w:val="640"/>
          <w:marRight w:val="0"/>
          <w:marTop w:val="0"/>
          <w:marBottom w:val="0"/>
          <w:divBdr>
            <w:top w:val="none" w:sz="0" w:space="0" w:color="auto"/>
            <w:left w:val="none" w:sz="0" w:space="0" w:color="auto"/>
            <w:bottom w:val="none" w:sz="0" w:space="0" w:color="auto"/>
            <w:right w:val="none" w:sz="0" w:space="0" w:color="auto"/>
          </w:divBdr>
        </w:div>
        <w:div w:id="60107716">
          <w:marLeft w:val="640"/>
          <w:marRight w:val="0"/>
          <w:marTop w:val="0"/>
          <w:marBottom w:val="0"/>
          <w:divBdr>
            <w:top w:val="none" w:sz="0" w:space="0" w:color="auto"/>
            <w:left w:val="none" w:sz="0" w:space="0" w:color="auto"/>
            <w:bottom w:val="none" w:sz="0" w:space="0" w:color="auto"/>
            <w:right w:val="none" w:sz="0" w:space="0" w:color="auto"/>
          </w:divBdr>
        </w:div>
        <w:div w:id="1365327388">
          <w:marLeft w:val="640"/>
          <w:marRight w:val="0"/>
          <w:marTop w:val="0"/>
          <w:marBottom w:val="0"/>
          <w:divBdr>
            <w:top w:val="none" w:sz="0" w:space="0" w:color="auto"/>
            <w:left w:val="none" w:sz="0" w:space="0" w:color="auto"/>
            <w:bottom w:val="none" w:sz="0" w:space="0" w:color="auto"/>
            <w:right w:val="none" w:sz="0" w:space="0" w:color="auto"/>
          </w:divBdr>
        </w:div>
        <w:div w:id="72360831">
          <w:marLeft w:val="640"/>
          <w:marRight w:val="0"/>
          <w:marTop w:val="0"/>
          <w:marBottom w:val="0"/>
          <w:divBdr>
            <w:top w:val="none" w:sz="0" w:space="0" w:color="auto"/>
            <w:left w:val="none" w:sz="0" w:space="0" w:color="auto"/>
            <w:bottom w:val="none" w:sz="0" w:space="0" w:color="auto"/>
            <w:right w:val="none" w:sz="0" w:space="0" w:color="auto"/>
          </w:divBdr>
        </w:div>
        <w:div w:id="1357388576">
          <w:marLeft w:val="640"/>
          <w:marRight w:val="0"/>
          <w:marTop w:val="0"/>
          <w:marBottom w:val="0"/>
          <w:divBdr>
            <w:top w:val="none" w:sz="0" w:space="0" w:color="auto"/>
            <w:left w:val="none" w:sz="0" w:space="0" w:color="auto"/>
            <w:bottom w:val="none" w:sz="0" w:space="0" w:color="auto"/>
            <w:right w:val="none" w:sz="0" w:space="0" w:color="auto"/>
          </w:divBdr>
        </w:div>
        <w:div w:id="1233934112">
          <w:marLeft w:val="640"/>
          <w:marRight w:val="0"/>
          <w:marTop w:val="0"/>
          <w:marBottom w:val="0"/>
          <w:divBdr>
            <w:top w:val="none" w:sz="0" w:space="0" w:color="auto"/>
            <w:left w:val="none" w:sz="0" w:space="0" w:color="auto"/>
            <w:bottom w:val="none" w:sz="0" w:space="0" w:color="auto"/>
            <w:right w:val="none" w:sz="0" w:space="0" w:color="auto"/>
          </w:divBdr>
        </w:div>
        <w:div w:id="252982875">
          <w:marLeft w:val="640"/>
          <w:marRight w:val="0"/>
          <w:marTop w:val="0"/>
          <w:marBottom w:val="0"/>
          <w:divBdr>
            <w:top w:val="none" w:sz="0" w:space="0" w:color="auto"/>
            <w:left w:val="none" w:sz="0" w:space="0" w:color="auto"/>
            <w:bottom w:val="none" w:sz="0" w:space="0" w:color="auto"/>
            <w:right w:val="none" w:sz="0" w:space="0" w:color="auto"/>
          </w:divBdr>
        </w:div>
        <w:div w:id="1297757044">
          <w:marLeft w:val="640"/>
          <w:marRight w:val="0"/>
          <w:marTop w:val="0"/>
          <w:marBottom w:val="0"/>
          <w:divBdr>
            <w:top w:val="none" w:sz="0" w:space="0" w:color="auto"/>
            <w:left w:val="none" w:sz="0" w:space="0" w:color="auto"/>
            <w:bottom w:val="none" w:sz="0" w:space="0" w:color="auto"/>
            <w:right w:val="none" w:sz="0" w:space="0" w:color="auto"/>
          </w:divBdr>
        </w:div>
        <w:div w:id="657076049">
          <w:marLeft w:val="640"/>
          <w:marRight w:val="0"/>
          <w:marTop w:val="0"/>
          <w:marBottom w:val="0"/>
          <w:divBdr>
            <w:top w:val="none" w:sz="0" w:space="0" w:color="auto"/>
            <w:left w:val="none" w:sz="0" w:space="0" w:color="auto"/>
            <w:bottom w:val="none" w:sz="0" w:space="0" w:color="auto"/>
            <w:right w:val="none" w:sz="0" w:space="0" w:color="auto"/>
          </w:divBdr>
        </w:div>
        <w:div w:id="810487853">
          <w:marLeft w:val="640"/>
          <w:marRight w:val="0"/>
          <w:marTop w:val="0"/>
          <w:marBottom w:val="0"/>
          <w:divBdr>
            <w:top w:val="none" w:sz="0" w:space="0" w:color="auto"/>
            <w:left w:val="none" w:sz="0" w:space="0" w:color="auto"/>
            <w:bottom w:val="none" w:sz="0" w:space="0" w:color="auto"/>
            <w:right w:val="none" w:sz="0" w:space="0" w:color="auto"/>
          </w:divBdr>
        </w:div>
        <w:div w:id="1739090989">
          <w:marLeft w:val="640"/>
          <w:marRight w:val="0"/>
          <w:marTop w:val="0"/>
          <w:marBottom w:val="0"/>
          <w:divBdr>
            <w:top w:val="none" w:sz="0" w:space="0" w:color="auto"/>
            <w:left w:val="none" w:sz="0" w:space="0" w:color="auto"/>
            <w:bottom w:val="none" w:sz="0" w:space="0" w:color="auto"/>
            <w:right w:val="none" w:sz="0" w:space="0" w:color="auto"/>
          </w:divBdr>
        </w:div>
        <w:div w:id="1338462181">
          <w:marLeft w:val="640"/>
          <w:marRight w:val="0"/>
          <w:marTop w:val="0"/>
          <w:marBottom w:val="0"/>
          <w:divBdr>
            <w:top w:val="none" w:sz="0" w:space="0" w:color="auto"/>
            <w:left w:val="none" w:sz="0" w:space="0" w:color="auto"/>
            <w:bottom w:val="none" w:sz="0" w:space="0" w:color="auto"/>
            <w:right w:val="none" w:sz="0" w:space="0" w:color="auto"/>
          </w:divBdr>
        </w:div>
        <w:div w:id="298267627">
          <w:marLeft w:val="640"/>
          <w:marRight w:val="0"/>
          <w:marTop w:val="0"/>
          <w:marBottom w:val="0"/>
          <w:divBdr>
            <w:top w:val="none" w:sz="0" w:space="0" w:color="auto"/>
            <w:left w:val="none" w:sz="0" w:space="0" w:color="auto"/>
            <w:bottom w:val="none" w:sz="0" w:space="0" w:color="auto"/>
            <w:right w:val="none" w:sz="0" w:space="0" w:color="auto"/>
          </w:divBdr>
        </w:div>
        <w:div w:id="892623413">
          <w:marLeft w:val="640"/>
          <w:marRight w:val="0"/>
          <w:marTop w:val="0"/>
          <w:marBottom w:val="0"/>
          <w:divBdr>
            <w:top w:val="none" w:sz="0" w:space="0" w:color="auto"/>
            <w:left w:val="none" w:sz="0" w:space="0" w:color="auto"/>
            <w:bottom w:val="none" w:sz="0" w:space="0" w:color="auto"/>
            <w:right w:val="none" w:sz="0" w:space="0" w:color="auto"/>
          </w:divBdr>
        </w:div>
        <w:div w:id="463475399">
          <w:marLeft w:val="640"/>
          <w:marRight w:val="0"/>
          <w:marTop w:val="0"/>
          <w:marBottom w:val="0"/>
          <w:divBdr>
            <w:top w:val="none" w:sz="0" w:space="0" w:color="auto"/>
            <w:left w:val="none" w:sz="0" w:space="0" w:color="auto"/>
            <w:bottom w:val="none" w:sz="0" w:space="0" w:color="auto"/>
            <w:right w:val="none" w:sz="0" w:space="0" w:color="auto"/>
          </w:divBdr>
        </w:div>
        <w:div w:id="1828745384">
          <w:marLeft w:val="640"/>
          <w:marRight w:val="0"/>
          <w:marTop w:val="0"/>
          <w:marBottom w:val="0"/>
          <w:divBdr>
            <w:top w:val="none" w:sz="0" w:space="0" w:color="auto"/>
            <w:left w:val="none" w:sz="0" w:space="0" w:color="auto"/>
            <w:bottom w:val="none" w:sz="0" w:space="0" w:color="auto"/>
            <w:right w:val="none" w:sz="0" w:space="0" w:color="auto"/>
          </w:divBdr>
        </w:div>
        <w:div w:id="1191260933">
          <w:marLeft w:val="640"/>
          <w:marRight w:val="0"/>
          <w:marTop w:val="0"/>
          <w:marBottom w:val="0"/>
          <w:divBdr>
            <w:top w:val="none" w:sz="0" w:space="0" w:color="auto"/>
            <w:left w:val="none" w:sz="0" w:space="0" w:color="auto"/>
            <w:bottom w:val="none" w:sz="0" w:space="0" w:color="auto"/>
            <w:right w:val="none" w:sz="0" w:space="0" w:color="auto"/>
          </w:divBdr>
        </w:div>
        <w:div w:id="2070883627">
          <w:marLeft w:val="640"/>
          <w:marRight w:val="0"/>
          <w:marTop w:val="0"/>
          <w:marBottom w:val="0"/>
          <w:divBdr>
            <w:top w:val="none" w:sz="0" w:space="0" w:color="auto"/>
            <w:left w:val="none" w:sz="0" w:space="0" w:color="auto"/>
            <w:bottom w:val="none" w:sz="0" w:space="0" w:color="auto"/>
            <w:right w:val="none" w:sz="0" w:space="0" w:color="auto"/>
          </w:divBdr>
        </w:div>
        <w:div w:id="898054709">
          <w:marLeft w:val="640"/>
          <w:marRight w:val="0"/>
          <w:marTop w:val="0"/>
          <w:marBottom w:val="0"/>
          <w:divBdr>
            <w:top w:val="none" w:sz="0" w:space="0" w:color="auto"/>
            <w:left w:val="none" w:sz="0" w:space="0" w:color="auto"/>
            <w:bottom w:val="none" w:sz="0" w:space="0" w:color="auto"/>
            <w:right w:val="none" w:sz="0" w:space="0" w:color="auto"/>
          </w:divBdr>
        </w:div>
        <w:div w:id="126121824">
          <w:marLeft w:val="640"/>
          <w:marRight w:val="0"/>
          <w:marTop w:val="0"/>
          <w:marBottom w:val="0"/>
          <w:divBdr>
            <w:top w:val="none" w:sz="0" w:space="0" w:color="auto"/>
            <w:left w:val="none" w:sz="0" w:space="0" w:color="auto"/>
            <w:bottom w:val="none" w:sz="0" w:space="0" w:color="auto"/>
            <w:right w:val="none" w:sz="0" w:space="0" w:color="auto"/>
          </w:divBdr>
        </w:div>
        <w:div w:id="293218161">
          <w:marLeft w:val="640"/>
          <w:marRight w:val="0"/>
          <w:marTop w:val="0"/>
          <w:marBottom w:val="0"/>
          <w:divBdr>
            <w:top w:val="none" w:sz="0" w:space="0" w:color="auto"/>
            <w:left w:val="none" w:sz="0" w:space="0" w:color="auto"/>
            <w:bottom w:val="none" w:sz="0" w:space="0" w:color="auto"/>
            <w:right w:val="none" w:sz="0" w:space="0" w:color="auto"/>
          </w:divBdr>
        </w:div>
        <w:div w:id="1200897397">
          <w:marLeft w:val="640"/>
          <w:marRight w:val="0"/>
          <w:marTop w:val="0"/>
          <w:marBottom w:val="0"/>
          <w:divBdr>
            <w:top w:val="none" w:sz="0" w:space="0" w:color="auto"/>
            <w:left w:val="none" w:sz="0" w:space="0" w:color="auto"/>
            <w:bottom w:val="none" w:sz="0" w:space="0" w:color="auto"/>
            <w:right w:val="none" w:sz="0" w:space="0" w:color="auto"/>
          </w:divBdr>
        </w:div>
        <w:div w:id="293483306">
          <w:marLeft w:val="640"/>
          <w:marRight w:val="0"/>
          <w:marTop w:val="0"/>
          <w:marBottom w:val="0"/>
          <w:divBdr>
            <w:top w:val="none" w:sz="0" w:space="0" w:color="auto"/>
            <w:left w:val="none" w:sz="0" w:space="0" w:color="auto"/>
            <w:bottom w:val="none" w:sz="0" w:space="0" w:color="auto"/>
            <w:right w:val="none" w:sz="0" w:space="0" w:color="auto"/>
          </w:divBdr>
        </w:div>
        <w:div w:id="1947155166">
          <w:marLeft w:val="640"/>
          <w:marRight w:val="0"/>
          <w:marTop w:val="0"/>
          <w:marBottom w:val="0"/>
          <w:divBdr>
            <w:top w:val="none" w:sz="0" w:space="0" w:color="auto"/>
            <w:left w:val="none" w:sz="0" w:space="0" w:color="auto"/>
            <w:bottom w:val="none" w:sz="0" w:space="0" w:color="auto"/>
            <w:right w:val="none" w:sz="0" w:space="0" w:color="auto"/>
          </w:divBdr>
        </w:div>
        <w:div w:id="784928030">
          <w:marLeft w:val="640"/>
          <w:marRight w:val="0"/>
          <w:marTop w:val="0"/>
          <w:marBottom w:val="0"/>
          <w:divBdr>
            <w:top w:val="none" w:sz="0" w:space="0" w:color="auto"/>
            <w:left w:val="none" w:sz="0" w:space="0" w:color="auto"/>
            <w:bottom w:val="none" w:sz="0" w:space="0" w:color="auto"/>
            <w:right w:val="none" w:sz="0" w:space="0" w:color="auto"/>
          </w:divBdr>
        </w:div>
        <w:div w:id="273829822">
          <w:marLeft w:val="640"/>
          <w:marRight w:val="0"/>
          <w:marTop w:val="0"/>
          <w:marBottom w:val="0"/>
          <w:divBdr>
            <w:top w:val="none" w:sz="0" w:space="0" w:color="auto"/>
            <w:left w:val="none" w:sz="0" w:space="0" w:color="auto"/>
            <w:bottom w:val="none" w:sz="0" w:space="0" w:color="auto"/>
            <w:right w:val="none" w:sz="0" w:space="0" w:color="auto"/>
          </w:divBdr>
        </w:div>
        <w:div w:id="84348930">
          <w:marLeft w:val="640"/>
          <w:marRight w:val="0"/>
          <w:marTop w:val="0"/>
          <w:marBottom w:val="0"/>
          <w:divBdr>
            <w:top w:val="none" w:sz="0" w:space="0" w:color="auto"/>
            <w:left w:val="none" w:sz="0" w:space="0" w:color="auto"/>
            <w:bottom w:val="none" w:sz="0" w:space="0" w:color="auto"/>
            <w:right w:val="none" w:sz="0" w:space="0" w:color="auto"/>
          </w:divBdr>
        </w:div>
        <w:div w:id="1080635124">
          <w:marLeft w:val="640"/>
          <w:marRight w:val="0"/>
          <w:marTop w:val="0"/>
          <w:marBottom w:val="0"/>
          <w:divBdr>
            <w:top w:val="none" w:sz="0" w:space="0" w:color="auto"/>
            <w:left w:val="none" w:sz="0" w:space="0" w:color="auto"/>
            <w:bottom w:val="none" w:sz="0" w:space="0" w:color="auto"/>
            <w:right w:val="none" w:sz="0" w:space="0" w:color="auto"/>
          </w:divBdr>
        </w:div>
        <w:div w:id="1980576805">
          <w:marLeft w:val="640"/>
          <w:marRight w:val="0"/>
          <w:marTop w:val="0"/>
          <w:marBottom w:val="0"/>
          <w:divBdr>
            <w:top w:val="none" w:sz="0" w:space="0" w:color="auto"/>
            <w:left w:val="none" w:sz="0" w:space="0" w:color="auto"/>
            <w:bottom w:val="none" w:sz="0" w:space="0" w:color="auto"/>
            <w:right w:val="none" w:sz="0" w:space="0" w:color="auto"/>
          </w:divBdr>
        </w:div>
        <w:div w:id="515315339">
          <w:marLeft w:val="640"/>
          <w:marRight w:val="0"/>
          <w:marTop w:val="0"/>
          <w:marBottom w:val="0"/>
          <w:divBdr>
            <w:top w:val="none" w:sz="0" w:space="0" w:color="auto"/>
            <w:left w:val="none" w:sz="0" w:space="0" w:color="auto"/>
            <w:bottom w:val="none" w:sz="0" w:space="0" w:color="auto"/>
            <w:right w:val="none" w:sz="0" w:space="0" w:color="auto"/>
          </w:divBdr>
        </w:div>
        <w:div w:id="1646396357">
          <w:marLeft w:val="640"/>
          <w:marRight w:val="0"/>
          <w:marTop w:val="0"/>
          <w:marBottom w:val="0"/>
          <w:divBdr>
            <w:top w:val="none" w:sz="0" w:space="0" w:color="auto"/>
            <w:left w:val="none" w:sz="0" w:space="0" w:color="auto"/>
            <w:bottom w:val="none" w:sz="0" w:space="0" w:color="auto"/>
            <w:right w:val="none" w:sz="0" w:space="0" w:color="auto"/>
          </w:divBdr>
        </w:div>
        <w:div w:id="2107538426">
          <w:marLeft w:val="640"/>
          <w:marRight w:val="0"/>
          <w:marTop w:val="0"/>
          <w:marBottom w:val="0"/>
          <w:divBdr>
            <w:top w:val="none" w:sz="0" w:space="0" w:color="auto"/>
            <w:left w:val="none" w:sz="0" w:space="0" w:color="auto"/>
            <w:bottom w:val="none" w:sz="0" w:space="0" w:color="auto"/>
            <w:right w:val="none" w:sz="0" w:space="0" w:color="auto"/>
          </w:divBdr>
        </w:div>
        <w:div w:id="631518191">
          <w:marLeft w:val="640"/>
          <w:marRight w:val="0"/>
          <w:marTop w:val="0"/>
          <w:marBottom w:val="0"/>
          <w:divBdr>
            <w:top w:val="none" w:sz="0" w:space="0" w:color="auto"/>
            <w:left w:val="none" w:sz="0" w:space="0" w:color="auto"/>
            <w:bottom w:val="none" w:sz="0" w:space="0" w:color="auto"/>
            <w:right w:val="none" w:sz="0" w:space="0" w:color="auto"/>
          </w:divBdr>
        </w:div>
        <w:div w:id="1848592113">
          <w:marLeft w:val="640"/>
          <w:marRight w:val="0"/>
          <w:marTop w:val="0"/>
          <w:marBottom w:val="0"/>
          <w:divBdr>
            <w:top w:val="none" w:sz="0" w:space="0" w:color="auto"/>
            <w:left w:val="none" w:sz="0" w:space="0" w:color="auto"/>
            <w:bottom w:val="none" w:sz="0" w:space="0" w:color="auto"/>
            <w:right w:val="none" w:sz="0" w:space="0" w:color="auto"/>
          </w:divBdr>
        </w:div>
        <w:div w:id="1882741518">
          <w:marLeft w:val="640"/>
          <w:marRight w:val="0"/>
          <w:marTop w:val="0"/>
          <w:marBottom w:val="0"/>
          <w:divBdr>
            <w:top w:val="none" w:sz="0" w:space="0" w:color="auto"/>
            <w:left w:val="none" w:sz="0" w:space="0" w:color="auto"/>
            <w:bottom w:val="none" w:sz="0" w:space="0" w:color="auto"/>
            <w:right w:val="none" w:sz="0" w:space="0" w:color="auto"/>
          </w:divBdr>
        </w:div>
        <w:div w:id="1789201462">
          <w:marLeft w:val="640"/>
          <w:marRight w:val="0"/>
          <w:marTop w:val="0"/>
          <w:marBottom w:val="0"/>
          <w:divBdr>
            <w:top w:val="none" w:sz="0" w:space="0" w:color="auto"/>
            <w:left w:val="none" w:sz="0" w:space="0" w:color="auto"/>
            <w:bottom w:val="none" w:sz="0" w:space="0" w:color="auto"/>
            <w:right w:val="none" w:sz="0" w:space="0" w:color="auto"/>
          </w:divBdr>
        </w:div>
        <w:div w:id="2138913783">
          <w:marLeft w:val="640"/>
          <w:marRight w:val="0"/>
          <w:marTop w:val="0"/>
          <w:marBottom w:val="0"/>
          <w:divBdr>
            <w:top w:val="none" w:sz="0" w:space="0" w:color="auto"/>
            <w:left w:val="none" w:sz="0" w:space="0" w:color="auto"/>
            <w:bottom w:val="none" w:sz="0" w:space="0" w:color="auto"/>
            <w:right w:val="none" w:sz="0" w:space="0" w:color="auto"/>
          </w:divBdr>
        </w:div>
        <w:div w:id="2028556827">
          <w:marLeft w:val="640"/>
          <w:marRight w:val="0"/>
          <w:marTop w:val="0"/>
          <w:marBottom w:val="0"/>
          <w:divBdr>
            <w:top w:val="none" w:sz="0" w:space="0" w:color="auto"/>
            <w:left w:val="none" w:sz="0" w:space="0" w:color="auto"/>
            <w:bottom w:val="none" w:sz="0" w:space="0" w:color="auto"/>
            <w:right w:val="none" w:sz="0" w:space="0" w:color="auto"/>
          </w:divBdr>
        </w:div>
        <w:div w:id="1422683157">
          <w:marLeft w:val="640"/>
          <w:marRight w:val="0"/>
          <w:marTop w:val="0"/>
          <w:marBottom w:val="0"/>
          <w:divBdr>
            <w:top w:val="none" w:sz="0" w:space="0" w:color="auto"/>
            <w:left w:val="none" w:sz="0" w:space="0" w:color="auto"/>
            <w:bottom w:val="none" w:sz="0" w:space="0" w:color="auto"/>
            <w:right w:val="none" w:sz="0" w:space="0" w:color="auto"/>
          </w:divBdr>
        </w:div>
        <w:div w:id="1460488230">
          <w:marLeft w:val="640"/>
          <w:marRight w:val="0"/>
          <w:marTop w:val="0"/>
          <w:marBottom w:val="0"/>
          <w:divBdr>
            <w:top w:val="none" w:sz="0" w:space="0" w:color="auto"/>
            <w:left w:val="none" w:sz="0" w:space="0" w:color="auto"/>
            <w:bottom w:val="none" w:sz="0" w:space="0" w:color="auto"/>
            <w:right w:val="none" w:sz="0" w:space="0" w:color="auto"/>
          </w:divBdr>
        </w:div>
        <w:div w:id="104350696">
          <w:marLeft w:val="640"/>
          <w:marRight w:val="0"/>
          <w:marTop w:val="0"/>
          <w:marBottom w:val="0"/>
          <w:divBdr>
            <w:top w:val="none" w:sz="0" w:space="0" w:color="auto"/>
            <w:left w:val="none" w:sz="0" w:space="0" w:color="auto"/>
            <w:bottom w:val="none" w:sz="0" w:space="0" w:color="auto"/>
            <w:right w:val="none" w:sz="0" w:space="0" w:color="auto"/>
          </w:divBdr>
        </w:div>
        <w:div w:id="1210146588">
          <w:marLeft w:val="640"/>
          <w:marRight w:val="0"/>
          <w:marTop w:val="0"/>
          <w:marBottom w:val="0"/>
          <w:divBdr>
            <w:top w:val="none" w:sz="0" w:space="0" w:color="auto"/>
            <w:left w:val="none" w:sz="0" w:space="0" w:color="auto"/>
            <w:bottom w:val="none" w:sz="0" w:space="0" w:color="auto"/>
            <w:right w:val="none" w:sz="0" w:space="0" w:color="auto"/>
          </w:divBdr>
        </w:div>
        <w:div w:id="819813610">
          <w:marLeft w:val="640"/>
          <w:marRight w:val="0"/>
          <w:marTop w:val="0"/>
          <w:marBottom w:val="0"/>
          <w:divBdr>
            <w:top w:val="none" w:sz="0" w:space="0" w:color="auto"/>
            <w:left w:val="none" w:sz="0" w:space="0" w:color="auto"/>
            <w:bottom w:val="none" w:sz="0" w:space="0" w:color="auto"/>
            <w:right w:val="none" w:sz="0" w:space="0" w:color="auto"/>
          </w:divBdr>
        </w:div>
        <w:div w:id="1486824501">
          <w:marLeft w:val="640"/>
          <w:marRight w:val="0"/>
          <w:marTop w:val="0"/>
          <w:marBottom w:val="0"/>
          <w:divBdr>
            <w:top w:val="none" w:sz="0" w:space="0" w:color="auto"/>
            <w:left w:val="none" w:sz="0" w:space="0" w:color="auto"/>
            <w:bottom w:val="none" w:sz="0" w:space="0" w:color="auto"/>
            <w:right w:val="none" w:sz="0" w:space="0" w:color="auto"/>
          </w:divBdr>
        </w:div>
        <w:div w:id="1634673908">
          <w:marLeft w:val="640"/>
          <w:marRight w:val="0"/>
          <w:marTop w:val="0"/>
          <w:marBottom w:val="0"/>
          <w:divBdr>
            <w:top w:val="none" w:sz="0" w:space="0" w:color="auto"/>
            <w:left w:val="none" w:sz="0" w:space="0" w:color="auto"/>
            <w:bottom w:val="none" w:sz="0" w:space="0" w:color="auto"/>
            <w:right w:val="none" w:sz="0" w:space="0" w:color="auto"/>
          </w:divBdr>
        </w:div>
        <w:div w:id="1632713437">
          <w:marLeft w:val="640"/>
          <w:marRight w:val="0"/>
          <w:marTop w:val="0"/>
          <w:marBottom w:val="0"/>
          <w:divBdr>
            <w:top w:val="none" w:sz="0" w:space="0" w:color="auto"/>
            <w:left w:val="none" w:sz="0" w:space="0" w:color="auto"/>
            <w:bottom w:val="none" w:sz="0" w:space="0" w:color="auto"/>
            <w:right w:val="none" w:sz="0" w:space="0" w:color="auto"/>
          </w:divBdr>
        </w:div>
        <w:div w:id="744297825">
          <w:marLeft w:val="640"/>
          <w:marRight w:val="0"/>
          <w:marTop w:val="0"/>
          <w:marBottom w:val="0"/>
          <w:divBdr>
            <w:top w:val="none" w:sz="0" w:space="0" w:color="auto"/>
            <w:left w:val="none" w:sz="0" w:space="0" w:color="auto"/>
            <w:bottom w:val="none" w:sz="0" w:space="0" w:color="auto"/>
            <w:right w:val="none" w:sz="0" w:space="0" w:color="auto"/>
          </w:divBdr>
        </w:div>
        <w:div w:id="879971974">
          <w:marLeft w:val="640"/>
          <w:marRight w:val="0"/>
          <w:marTop w:val="0"/>
          <w:marBottom w:val="0"/>
          <w:divBdr>
            <w:top w:val="none" w:sz="0" w:space="0" w:color="auto"/>
            <w:left w:val="none" w:sz="0" w:space="0" w:color="auto"/>
            <w:bottom w:val="none" w:sz="0" w:space="0" w:color="auto"/>
            <w:right w:val="none" w:sz="0" w:space="0" w:color="auto"/>
          </w:divBdr>
        </w:div>
        <w:div w:id="905527784">
          <w:marLeft w:val="640"/>
          <w:marRight w:val="0"/>
          <w:marTop w:val="0"/>
          <w:marBottom w:val="0"/>
          <w:divBdr>
            <w:top w:val="none" w:sz="0" w:space="0" w:color="auto"/>
            <w:left w:val="none" w:sz="0" w:space="0" w:color="auto"/>
            <w:bottom w:val="none" w:sz="0" w:space="0" w:color="auto"/>
            <w:right w:val="none" w:sz="0" w:space="0" w:color="auto"/>
          </w:divBdr>
        </w:div>
        <w:div w:id="1802066604">
          <w:marLeft w:val="640"/>
          <w:marRight w:val="0"/>
          <w:marTop w:val="0"/>
          <w:marBottom w:val="0"/>
          <w:divBdr>
            <w:top w:val="none" w:sz="0" w:space="0" w:color="auto"/>
            <w:left w:val="none" w:sz="0" w:space="0" w:color="auto"/>
            <w:bottom w:val="none" w:sz="0" w:space="0" w:color="auto"/>
            <w:right w:val="none" w:sz="0" w:space="0" w:color="auto"/>
          </w:divBdr>
        </w:div>
        <w:div w:id="1915044332">
          <w:marLeft w:val="640"/>
          <w:marRight w:val="0"/>
          <w:marTop w:val="0"/>
          <w:marBottom w:val="0"/>
          <w:divBdr>
            <w:top w:val="none" w:sz="0" w:space="0" w:color="auto"/>
            <w:left w:val="none" w:sz="0" w:space="0" w:color="auto"/>
            <w:bottom w:val="none" w:sz="0" w:space="0" w:color="auto"/>
            <w:right w:val="none" w:sz="0" w:space="0" w:color="auto"/>
          </w:divBdr>
        </w:div>
        <w:div w:id="404378539">
          <w:marLeft w:val="640"/>
          <w:marRight w:val="0"/>
          <w:marTop w:val="0"/>
          <w:marBottom w:val="0"/>
          <w:divBdr>
            <w:top w:val="none" w:sz="0" w:space="0" w:color="auto"/>
            <w:left w:val="none" w:sz="0" w:space="0" w:color="auto"/>
            <w:bottom w:val="none" w:sz="0" w:space="0" w:color="auto"/>
            <w:right w:val="none" w:sz="0" w:space="0" w:color="auto"/>
          </w:divBdr>
        </w:div>
        <w:div w:id="365524924">
          <w:marLeft w:val="640"/>
          <w:marRight w:val="0"/>
          <w:marTop w:val="0"/>
          <w:marBottom w:val="0"/>
          <w:divBdr>
            <w:top w:val="none" w:sz="0" w:space="0" w:color="auto"/>
            <w:left w:val="none" w:sz="0" w:space="0" w:color="auto"/>
            <w:bottom w:val="none" w:sz="0" w:space="0" w:color="auto"/>
            <w:right w:val="none" w:sz="0" w:space="0" w:color="auto"/>
          </w:divBdr>
        </w:div>
        <w:div w:id="1336810260">
          <w:marLeft w:val="640"/>
          <w:marRight w:val="0"/>
          <w:marTop w:val="0"/>
          <w:marBottom w:val="0"/>
          <w:divBdr>
            <w:top w:val="none" w:sz="0" w:space="0" w:color="auto"/>
            <w:left w:val="none" w:sz="0" w:space="0" w:color="auto"/>
            <w:bottom w:val="none" w:sz="0" w:space="0" w:color="auto"/>
            <w:right w:val="none" w:sz="0" w:space="0" w:color="auto"/>
          </w:divBdr>
        </w:div>
        <w:div w:id="288171782">
          <w:marLeft w:val="640"/>
          <w:marRight w:val="0"/>
          <w:marTop w:val="0"/>
          <w:marBottom w:val="0"/>
          <w:divBdr>
            <w:top w:val="none" w:sz="0" w:space="0" w:color="auto"/>
            <w:left w:val="none" w:sz="0" w:space="0" w:color="auto"/>
            <w:bottom w:val="none" w:sz="0" w:space="0" w:color="auto"/>
            <w:right w:val="none" w:sz="0" w:space="0" w:color="auto"/>
          </w:divBdr>
        </w:div>
        <w:div w:id="1666326203">
          <w:marLeft w:val="640"/>
          <w:marRight w:val="0"/>
          <w:marTop w:val="0"/>
          <w:marBottom w:val="0"/>
          <w:divBdr>
            <w:top w:val="none" w:sz="0" w:space="0" w:color="auto"/>
            <w:left w:val="none" w:sz="0" w:space="0" w:color="auto"/>
            <w:bottom w:val="none" w:sz="0" w:space="0" w:color="auto"/>
            <w:right w:val="none" w:sz="0" w:space="0" w:color="auto"/>
          </w:divBdr>
        </w:div>
        <w:div w:id="264047018">
          <w:marLeft w:val="640"/>
          <w:marRight w:val="0"/>
          <w:marTop w:val="0"/>
          <w:marBottom w:val="0"/>
          <w:divBdr>
            <w:top w:val="none" w:sz="0" w:space="0" w:color="auto"/>
            <w:left w:val="none" w:sz="0" w:space="0" w:color="auto"/>
            <w:bottom w:val="none" w:sz="0" w:space="0" w:color="auto"/>
            <w:right w:val="none" w:sz="0" w:space="0" w:color="auto"/>
          </w:divBdr>
        </w:div>
        <w:div w:id="584992468">
          <w:marLeft w:val="640"/>
          <w:marRight w:val="0"/>
          <w:marTop w:val="0"/>
          <w:marBottom w:val="0"/>
          <w:divBdr>
            <w:top w:val="none" w:sz="0" w:space="0" w:color="auto"/>
            <w:left w:val="none" w:sz="0" w:space="0" w:color="auto"/>
            <w:bottom w:val="none" w:sz="0" w:space="0" w:color="auto"/>
            <w:right w:val="none" w:sz="0" w:space="0" w:color="auto"/>
          </w:divBdr>
        </w:div>
        <w:div w:id="479660486">
          <w:marLeft w:val="640"/>
          <w:marRight w:val="0"/>
          <w:marTop w:val="0"/>
          <w:marBottom w:val="0"/>
          <w:divBdr>
            <w:top w:val="none" w:sz="0" w:space="0" w:color="auto"/>
            <w:left w:val="none" w:sz="0" w:space="0" w:color="auto"/>
            <w:bottom w:val="none" w:sz="0" w:space="0" w:color="auto"/>
            <w:right w:val="none" w:sz="0" w:space="0" w:color="auto"/>
          </w:divBdr>
        </w:div>
        <w:div w:id="893739005">
          <w:marLeft w:val="640"/>
          <w:marRight w:val="0"/>
          <w:marTop w:val="0"/>
          <w:marBottom w:val="0"/>
          <w:divBdr>
            <w:top w:val="none" w:sz="0" w:space="0" w:color="auto"/>
            <w:left w:val="none" w:sz="0" w:space="0" w:color="auto"/>
            <w:bottom w:val="none" w:sz="0" w:space="0" w:color="auto"/>
            <w:right w:val="none" w:sz="0" w:space="0" w:color="auto"/>
          </w:divBdr>
        </w:div>
        <w:div w:id="2064912965">
          <w:marLeft w:val="640"/>
          <w:marRight w:val="0"/>
          <w:marTop w:val="0"/>
          <w:marBottom w:val="0"/>
          <w:divBdr>
            <w:top w:val="none" w:sz="0" w:space="0" w:color="auto"/>
            <w:left w:val="none" w:sz="0" w:space="0" w:color="auto"/>
            <w:bottom w:val="none" w:sz="0" w:space="0" w:color="auto"/>
            <w:right w:val="none" w:sz="0" w:space="0" w:color="auto"/>
          </w:divBdr>
        </w:div>
        <w:div w:id="1603604994">
          <w:marLeft w:val="640"/>
          <w:marRight w:val="0"/>
          <w:marTop w:val="0"/>
          <w:marBottom w:val="0"/>
          <w:divBdr>
            <w:top w:val="none" w:sz="0" w:space="0" w:color="auto"/>
            <w:left w:val="none" w:sz="0" w:space="0" w:color="auto"/>
            <w:bottom w:val="none" w:sz="0" w:space="0" w:color="auto"/>
            <w:right w:val="none" w:sz="0" w:space="0" w:color="auto"/>
          </w:divBdr>
        </w:div>
        <w:div w:id="1984575743">
          <w:marLeft w:val="640"/>
          <w:marRight w:val="0"/>
          <w:marTop w:val="0"/>
          <w:marBottom w:val="0"/>
          <w:divBdr>
            <w:top w:val="none" w:sz="0" w:space="0" w:color="auto"/>
            <w:left w:val="none" w:sz="0" w:space="0" w:color="auto"/>
            <w:bottom w:val="none" w:sz="0" w:space="0" w:color="auto"/>
            <w:right w:val="none" w:sz="0" w:space="0" w:color="auto"/>
          </w:divBdr>
        </w:div>
        <w:div w:id="244848107">
          <w:marLeft w:val="640"/>
          <w:marRight w:val="0"/>
          <w:marTop w:val="0"/>
          <w:marBottom w:val="0"/>
          <w:divBdr>
            <w:top w:val="none" w:sz="0" w:space="0" w:color="auto"/>
            <w:left w:val="none" w:sz="0" w:space="0" w:color="auto"/>
            <w:bottom w:val="none" w:sz="0" w:space="0" w:color="auto"/>
            <w:right w:val="none" w:sz="0" w:space="0" w:color="auto"/>
          </w:divBdr>
        </w:div>
        <w:div w:id="1222448050">
          <w:marLeft w:val="640"/>
          <w:marRight w:val="0"/>
          <w:marTop w:val="0"/>
          <w:marBottom w:val="0"/>
          <w:divBdr>
            <w:top w:val="none" w:sz="0" w:space="0" w:color="auto"/>
            <w:left w:val="none" w:sz="0" w:space="0" w:color="auto"/>
            <w:bottom w:val="none" w:sz="0" w:space="0" w:color="auto"/>
            <w:right w:val="none" w:sz="0" w:space="0" w:color="auto"/>
          </w:divBdr>
        </w:div>
        <w:div w:id="1455246645">
          <w:marLeft w:val="640"/>
          <w:marRight w:val="0"/>
          <w:marTop w:val="0"/>
          <w:marBottom w:val="0"/>
          <w:divBdr>
            <w:top w:val="none" w:sz="0" w:space="0" w:color="auto"/>
            <w:left w:val="none" w:sz="0" w:space="0" w:color="auto"/>
            <w:bottom w:val="none" w:sz="0" w:space="0" w:color="auto"/>
            <w:right w:val="none" w:sz="0" w:space="0" w:color="auto"/>
          </w:divBdr>
        </w:div>
        <w:div w:id="187063792">
          <w:marLeft w:val="640"/>
          <w:marRight w:val="0"/>
          <w:marTop w:val="0"/>
          <w:marBottom w:val="0"/>
          <w:divBdr>
            <w:top w:val="none" w:sz="0" w:space="0" w:color="auto"/>
            <w:left w:val="none" w:sz="0" w:space="0" w:color="auto"/>
            <w:bottom w:val="none" w:sz="0" w:space="0" w:color="auto"/>
            <w:right w:val="none" w:sz="0" w:space="0" w:color="auto"/>
          </w:divBdr>
        </w:div>
      </w:divsChild>
    </w:div>
    <w:div w:id="1863977679">
      <w:bodyDiv w:val="1"/>
      <w:marLeft w:val="0"/>
      <w:marRight w:val="0"/>
      <w:marTop w:val="0"/>
      <w:marBottom w:val="0"/>
      <w:divBdr>
        <w:top w:val="none" w:sz="0" w:space="0" w:color="auto"/>
        <w:left w:val="none" w:sz="0" w:space="0" w:color="auto"/>
        <w:bottom w:val="none" w:sz="0" w:space="0" w:color="auto"/>
        <w:right w:val="none" w:sz="0" w:space="0" w:color="auto"/>
      </w:divBdr>
      <w:divsChild>
        <w:div w:id="1947931127">
          <w:marLeft w:val="640"/>
          <w:marRight w:val="0"/>
          <w:marTop w:val="0"/>
          <w:marBottom w:val="0"/>
          <w:divBdr>
            <w:top w:val="none" w:sz="0" w:space="0" w:color="auto"/>
            <w:left w:val="none" w:sz="0" w:space="0" w:color="auto"/>
            <w:bottom w:val="none" w:sz="0" w:space="0" w:color="auto"/>
            <w:right w:val="none" w:sz="0" w:space="0" w:color="auto"/>
          </w:divBdr>
        </w:div>
        <w:div w:id="1507135519">
          <w:marLeft w:val="640"/>
          <w:marRight w:val="0"/>
          <w:marTop w:val="0"/>
          <w:marBottom w:val="0"/>
          <w:divBdr>
            <w:top w:val="none" w:sz="0" w:space="0" w:color="auto"/>
            <w:left w:val="none" w:sz="0" w:space="0" w:color="auto"/>
            <w:bottom w:val="none" w:sz="0" w:space="0" w:color="auto"/>
            <w:right w:val="none" w:sz="0" w:space="0" w:color="auto"/>
          </w:divBdr>
        </w:div>
        <w:div w:id="1447264128">
          <w:marLeft w:val="640"/>
          <w:marRight w:val="0"/>
          <w:marTop w:val="0"/>
          <w:marBottom w:val="0"/>
          <w:divBdr>
            <w:top w:val="none" w:sz="0" w:space="0" w:color="auto"/>
            <w:left w:val="none" w:sz="0" w:space="0" w:color="auto"/>
            <w:bottom w:val="none" w:sz="0" w:space="0" w:color="auto"/>
            <w:right w:val="none" w:sz="0" w:space="0" w:color="auto"/>
          </w:divBdr>
        </w:div>
        <w:div w:id="193543384">
          <w:marLeft w:val="640"/>
          <w:marRight w:val="0"/>
          <w:marTop w:val="0"/>
          <w:marBottom w:val="0"/>
          <w:divBdr>
            <w:top w:val="none" w:sz="0" w:space="0" w:color="auto"/>
            <w:left w:val="none" w:sz="0" w:space="0" w:color="auto"/>
            <w:bottom w:val="none" w:sz="0" w:space="0" w:color="auto"/>
            <w:right w:val="none" w:sz="0" w:space="0" w:color="auto"/>
          </w:divBdr>
        </w:div>
        <w:div w:id="561404401">
          <w:marLeft w:val="640"/>
          <w:marRight w:val="0"/>
          <w:marTop w:val="0"/>
          <w:marBottom w:val="0"/>
          <w:divBdr>
            <w:top w:val="none" w:sz="0" w:space="0" w:color="auto"/>
            <w:left w:val="none" w:sz="0" w:space="0" w:color="auto"/>
            <w:bottom w:val="none" w:sz="0" w:space="0" w:color="auto"/>
            <w:right w:val="none" w:sz="0" w:space="0" w:color="auto"/>
          </w:divBdr>
        </w:div>
        <w:div w:id="1527475077">
          <w:marLeft w:val="640"/>
          <w:marRight w:val="0"/>
          <w:marTop w:val="0"/>
          <w:marBottom w:val="0"/>
          <w:divBdr>
            <w:top w:val="none" w:sz="0" w:space="0" w:color="auto"/>
            <w:left w:val="none" w:sz="0" w:space="0" w:color="auto"/>
            <w:bottom w:val="none" w:sz="0" w:space="0" w:color="auto"/>
            <w:right w:val="none" w:sz="0" w:space="0" w:color="auto"/>
          </w:divBdr>
        </w:div>
        <w:div w:id="1001154622">
          <w:marLeft w:val="640"/>
          <w:marRight w:val="0"/>
          <w:marTop w:val="0"/>
          <w:marBottom w:val="0"/>
          <w:divBdr>
            <w:top w:val="none" w:sz="0" w:space="0" w:color="auto"/>
            <w:left w:val="none" w:sz="0" w:space="0" w:color="auto"/>
            <w:bottom w:val="none" w:sz="0" w:space="0" w:color="auto"/>
            <w:right w:val="none" w:sz="0" w:space="0" w:color="auto"/>
          </w:divBdr>
        </w:div>
        <w:div w:id="1251424243">
          <w:marLeft w:val="640"/>
          <w:marRight w:val="0"/>
          <w:marTop w:val="0"/>
          <w:marBottom w:val="0"/>
          <w:divBdr>
            <w:top w:val="none" w:sz="0" w:space="0" w:color="auto"/>
            <w:left w:val="none" w:sz="0" w:space="0" w:color="auto"/>
            <w:bottom w:val="none" w:sz="0" w:space="0" w:color="auto"/>
            <w:right w:val="none" w:sz="0" w:space="0" w:color="auto"/>
          </w:divBdr>
        </w:div>
        <w:div w:id="1789160832">
          <w:marLeft w:val="640"/>
          <w:marRight w:val="0"/>
          <w:marTop w:val="0"/>
          <w:marBottom w:val="0"/>
          <w:divBdr>
            <w:top w:val="none" w:sz="0" w:space="0" w:color="auto"/>
            <w:left w:val="none" w:sz="0" w:space="0" w:color="auto"/>
            <w:bottom w:val="none" w:sz="0" w:space="0" w:color="auto"/>
            <w:right w:val="none" w:sz="0" w:space="0" w:color="auto"/>
          </w:divBdr>
        </w:div>
        <w:div w:id="993875536">
          <w:marLeft w:val="640"/>
          <w:marRight w:val="0"/>
          <w:marTop w:val="0"/>
          <w:marBottom w:val="0"/>
          <w:divBdr>
            <w:top w:val="none" w:sz="0" w:space="0" w:color="auto"/>
            <w:left w:val="none" w:sz="0" w:space="0" w:color="auto"/>
            <w:bottom w:val="none" w:sz="0" w:space="0" w:color="auto"/>
            <w:right w:val="none" w:sz="0" w:space="0" w:color="auto"/>
          </w:divBdr>
        </w:div>
        <w:div w:id="1700817031">
          <w:marLeft w:val="640"/>
          <w:marRight w:val="0"/>
          <w:marTop w:val="0"/>
          <w:marBottom w:val="0"/>
          <w:divBdr>
            <w:top w:val="none" w:sz="0" w:space="0" w:color="auto"/>
            <w:left w:val="none" w:sz="0" w:space="0" w:color="auto"/>
            <w:bottom w:val="none" w:sz="0" w:space="0" w:color="auto"/>
            <w:right w:val="none" w:sz="0" w:space="0" w:color="auto"/>
          </w:divBdr>
        </w:div>
        <w:div w:id="557783475">
          <w:marLeft w:val="640"/>
          <w:marRight w:val="0"/>
          <w:marTop w:val="0"/>
          <w:marBottom w:val="0"/>
          <w:divBdr>
            <w:top w:val="none" w:sz="0" w:space="0" w:color="auto"/>
            <w:left w:val="none" w:sz="0" w:space="0" w:color="auto"/>
            <w:bottom w:val="none" w:sz="0" w:space="0" w:color="auto"/>
            <w:right w:val="none" w:sz="0" w:space="0" w:color="auto"/>
          </w:divBdr>
        </w:div>
        <w:div w:id="827598544">
          <w:marLeft w:val="640"/>
          <w:marRight w:val="0"/>
          <w:marTop w:val="0"/>
          <w:marBottom w:val="0"/>
          <w:divBdr>
            <w:top w:val="none" w:sz="0" w:space="0" w:color="auto"/>
            <w:left w:val="none" w:sz="0" w:space="0" w:color="auto"/>
            <w:bottom w:val="none" w:sz="0" w:space="0" w:color="auto"/>
            <w:right w:val="none" w:sz="0" w:space="0" w:color="auto"/>
          </w:divBdr>
        </w:div>
        <w:div w:id="1833763210">
          <w:marLeft w:val="640"/>
          <w:marRight w:val="0"/>
          <w:marTop w:val="0"/>
          <w:marBottom w:val="0"/>
          <w:divBdr>
            <w:top w:val="none" w:sz="0" w:space="0" w:color="auto"/>
            <w:left w:val="none" w:sz="0" w:space="0" w:color="auto"/>
            <w:bottom w:val="none" w:sz="0" w:space="0" w:color="auto"/>
            <w:right w:val="none" w:sz="0" w:space="0" w:color="auto"/>
          </w:divBdr>
        </w:div>
        <w:div w:id="1262373425">
          <w:marLeft w:val="640"/>
          <w:marRight w:val="0"/>
          <w:marTop w:val="0"/>
          <w:marBottom w:val="0"/>
          <w:divBdr>
            <w:top w:val="none" w:sz="0" w:space="0" w:color="auto"/>
            <w:left w:val="none" w:sz="0" w:space="0" w:color="auto"/>
            <w:bottom w:val="none" w:sz="0" w:space="0" w:color="auto"/>
            <w:right w:val="none" w:sz="0" w:space="0" w:color="auto"/>
          </w:divBdr>
        </w:div>
        <w:div w:id="804349077">
          <w:marLeft w:val="640"/>
          <w:marRight w:val="0"/>
          <w:marTop w:val="0"/>
          <w:marBottom w:val="0"/>
          <w:divBdr>
            <w:top w:val="none" w:sz="0" w:space="0" w:color="auto"/>
            <w:left w:val="none" w:sz="0" w:space="0" w:color="auto"/>
            <w:bottom w:val="none" w:sz="0" w:space="0" w:color="auto"/>
            <w:right w:val="none" w:sz="0" w:space="0" w:color="auto"/>
          </w:divBdr>
        </w:div>
        <w:div w:id="1589345938">
          <w:marLeft w:val="640"/>
          <w:marRight w:val="0"/>
          <w:marTop w:val="0"/>
          <w:marBottom w:val="0"/>
          <w:divBdr>
            <w:top w:val="none" w:sz="0" w:space="0" w:color="auto"/>
            <w:left w:val="none" w:sz="0" w:space="0" w:color="auto"/>
            <w:bottom w:val="none" w:sz="0" w:space="0" w:color="auto"/>
            <w:right w:val="none" w:sz="0" w:space="0" w:color="auto"/>
          </w:divBdr>
        </w:div>
        <w:div w:id="1246692925">
          <w:marLeft w:val="640"/>
          <w:marRight w:val="0"/>
          <w:marTop w:val="0"/>
          <w:marBottom w:val="0"/>
          <w:divBdr>
            <w:top w:val="none" w:sz="0" w:space="0" w:color="auto"/>
            <w:left w:val="none" w:sz="0" w:space="0" w:color="auto"/>
            <w:bottom w:val="none" w:sz="0" w:space="0" w:color="auto"/>
            <w:right w:val="none" w:sz="0" w:space="0" w:color="auto"/>
          </w:divBdr>
        </w:div>
        <w:div w:id="1069494924">
          <w:marLeft w:val="640"/>
          <w:marRight w:val="0"/>
          <w:marTop w:val="0"/>
          <w:marBottom w:val="0"/>
          <w:divBdr>
            <w:top w:val="none" w:sz="0" w:space="0" w:color="auto"/>
            <w:left w:val="none" w:sz="0" w:space="0" w:color="auto"/>
            <w:bottom w:val="none" w:sz="0" w:space="0" w:color="auto"/>
            <w:right w:val="none" w:sz="0" w:space="0" w:color="auto"/>
          </w:divBdr>
        </w:div>
        <w:div w:id="1189225088">
          <w:marLeft w:val="640"/>
          <w:marRight w:val="0"/>
          <w:marTop w:val="0"/>
          <w:marBottom w:val="0"/>
          <w:divBdr>
            <w:top w:val="none" w:sz="0" w:space="0" w:color="auto"/>
            <w:left w:val="none" w:sz="0" w:space="0" w:color="auto"/>
            <w:bottom w:val="none" w:sz="0" w:space="0" w:color="auto"/>
            <w:right w:val="none" w:sz="0" w:space="0" w:color="auto"/>
          </w:divBdr>
        </w:div>
        <w:div w:id="2095004044">
          <w:marLeft w:val="640"/>
          <w:marRight w:val="0"/>
          <w:marTop w:val="0"/>
          <w:marBottom w:val="0"/>
          <w:divBdr>
            <w:top w:val="none" w:sz="0" w:space="0" w:color="auto"/>
            <w:left w:val="none" w:sz="0" w:space="0" w:color="auto"/>
            <w:bottom w:val="none" w:sz="0" w:space="0" w:color="auto"/>
            <w:right w:val="none" w:sz="0" w:space="0" w:color="auto"/>
          </w:divBdr>
        </w:div>
        <w:div w:id="1225293586">
          <w:marLeft w:val="640"/>
          <w:marRight w:val="0"/>
          <w:marTop w:val="0"/>
          <w:marBottom w:val="0"/>
          <w:divBdr>
            <w:top w:val="none" w:sz="0" w:space="0" w:color="auto"/>
            <w:left w:val="none" w:sz="0" w:space="0" w:color="auto"/>
            <w:bottom w:val="none" w:sz="0" w:space="0" w:color="auto"/>
            <w:right w:val="none" w:sz="0" w:space="0" w:color="auto"/>
          </w:divBdr>
        </w:div>
        <w:div w:id="469252505">
          <w:marLeft w:val="640"/>
          <w:marRight w:val="0"/>
          <w:marTop w:val="0"/>
          <w:marBottom w:val="0"/>
          <w:divBdr>
            <w:top w:val="none" w:sz="0" w:space="0" w:color="auto"/>
            <w:left w:val="none" w:sz="0" w:space="0" w:color="auto"/>
            <w:bottom w:val="none" w:sz="0" w:space="0" w:color="auto"/>
            <w:right w:val="none" w:sz="0" w:space="0" w:color="auto"/>
          </w:divBdr>
        </w:div>
        <w:div w:id="215893870">
          <w:marLeft w:val="640"/>
          <w:marRight w:val="0"/>
          <w:marTop w:val="0"/>
          <w:marBottom w:val="0"/>
          <w:divBdr>
            <w:top w:val="none" w:sz="0" w:space="0" w:color="auto"/>
            <w:left w:val="none" w:sz="0" w:space="0" w:color="auto"/>
            <w:bottom w:val="none" w:sz="0" w:space="0" w:color="auto"/>
            <w:right w:val="none" w:sz="0" w:space="0" w:color="auto"/>
          </w:divBdr>
        </w:div>
        <w:div w:id="831219267">
          <w:marLeft w:val="640"/>
          <w:marRight w:val="0"/>
          <w:marTop w:val="0"/>
          <w:marBottom w:val="0"/>
          <w:divBdr>
            <w:top w:val="none" w:sz="0" w:space="0" w:color="auto"/>
            <w:left w:val="none" w:sz="0" w:space="0" w:color="auto"/>
            <w:bottom w:val="none" w:sz="0" w:space="0" w:color="auto"/>
            <w:right w:val="none" w:sz="0" w:space="0" w:color="auto"/>
          </w:divBdr>
        </w:div>
        <w:div w:id="902375440">
          <w:marLeft w:val="640"/>
          <w:marRight w:val="0"/>
          <w:marTop w:val="0"/>
          <w:marBottom w:val="0"/>
          <w:divBdr>
            <w:top w:val="none" w:sz="0" w:space="0" w:color="auto"/>
            <w:left w:val="none" w:sz="0" w:space="0" w:color="auto"/>
            <w:bottom w:val="none" w:sz="0" w:space="0" w:color="auto"/>
            <w:right w:val="none" w:sz="0" w:space="0" w:color="auto"/>
          </w:divBdr>
        </w:div>
        <w:div w:id="382608173">
          <w:marLeft w:val="640"/>
          <w:marRight w:val="0"/>
          <w:marTop w:val="0"/>
          <w:marBottom w:val="0"/>
          <w:divBdr>
            <w:top w:val="none" w:sz="0" w:space="0" w:color="auto"/>
            <w:left w:val="none" w:sz="0" w:space="0" w:color="auto"/>
            <w:bottom w:val="none" w:sz="0" w:space="0" w:color="auto"/>
            <w:right w:val="none" w:sz="0" w:space="0" w:color="auto"/>
          </w:divBdr>
        </w:div>
        <w:div w:id="18627913">
          <w:marLeft w:val="640"/>
          <w:marRight w:val="0"/>
          <w:marTop w:val="0"/>
          <w:marBottom w:val="0"/>
          <w:divBdr>
            <w:top w:val="none" w:sz="0" w:space="0" w:color="auto"/>
            <w:left w:val="none" w:sz="0" w:space="0" w:color="auto"/>
            <w:bottom w:val="none" w:sz="0" w:space="0" w:color="auto"/>
            <w:right w:val="none" w:sz="0" w:space="0" w:color="auto"/>
          </w:divBdr>
        </w:div>
        <w:div w:id="1142193582">
          <w:marLeft w:val="640"/>
          <w:marRight w:val="0"/>
          <w:marTop w:val="0"/>
          <w:marBottom w:val="0"/>
          <w:divBdr>
            <w:top w:val="none" w:sz="0" w:space="0" w:color="auto"/>
            <w:left w:val="none" w:sz="0" w:space="0" w:color="auto"/>
            <w:bottom w:val="none" w:sz="0" w:space="0" w:color="auto"/>
            <w:right w:val="none" w:sz="0" w:space="0" w:color="auto"/>
          </w:divBdr>
        </w:div>
        <w:div w:id="1411349119">
          <w:marLeft w:val="640"/>
          <w:marRight w:val="0"/>
          <w:marTop w:val="0"/>
          <w:marBottom w:val="0"/>
          <w:divBdr>
            <w:top w:val="none" w:sz="0" w:space="0" w:color="auto"/>
            <w:left w:val="none" w:sz="0" w:space="0" w:color="auto"/>
            <w:bottom w:val="none" w:sz="0" w:space="0" w:color="auto"/>
            <w:right w:val="none" w:sz="0" w:space="0" w:color="auto"/>
          </w:divBdr>
        </w:div>
        <w:div w:id="1666128288">
          <w:marLeft w:val="640"/>
          <w:marRight w:val="0"/>
          <w:marTop w:val="0"/>
          <w:marBottom w:val="0"/>
          <w:divBdr>
            <w:top w:val="none" w:sz="0" w:space="0" w:color="auto"/>
            <w:left w:val="none" w:sz="0" w:space="0" w:color="auto"/>
            <w:bottom w:val="none" w:sz="0" w:space="0" w:color="auto"/>
            <w:right w:val="none" w:sz="0" w:space="0" w:color="auto"/>
          </w:divBdr>
        </w:div>
        <w:div w:id="1165851924">
          <w:marLeft w:val="640"/>
          <w:marRight w:val="0"/>
          <w:marTop w:val="0"/>
          <w:marBottom w:val="0"/>
          <w:divBdr>
            <w:top w:val="none" w:sz="0" w:space="0" w:color="auto"/>
            <w:left w:val="none" w:sz="0" w:space="0" w:color="auto"/>
            <w:bottom w:val="none" w:sz="0" w:space="0" w:color="auto"/>
            <w:right w:val="none" w:sz="0" w:space="0" w:color="auto"/>
          </w:divBdr>
        </w:div>
        <w:div w:id="1956060412">
          <w:marLeft w:val="640"/>
          <w:marRight w:val="0"/>
          <w:marTop w:val="0"/>
          <w:marBottom w:val="0"/>
          <w:divBdr>
            <w:top w:val="none" w:sz="0" w:space="0" w:color="auto"/>
            <w:left w:val="none" w:sz="0" w:space="0" w:color="auto"/>
            <w:bottom w:val="none" w:sz="0" w:space="0" w:color="auto"/>
            <w:right w:val="none" w:sz="0" w:space="0" w:color="auto"/>
          </w:divBdr>
        </w:div>
        <w:div w:id="2089812470">
          <w:marLeft w:val="640"/>
          <w:marRight w:val="0"/>
          <w:marTop w:val="0"/>
          <w:marBottom w:val="0"/>
          <w:divBdr>
            <w:top w:val="none" w:sz="0" w:space="0" w:color="auto"/>
            <w:left w:val="none" w:sz="0" w:space="0" w:color="auto"/>
            <w:bottom w:val="none" w:sz="0" w:space="0" w:color="auto"/>
            <w:right w:val="none" w:sz="0" w:space="0" w:color="auto"/>
          </w:divBdr>
        </w:div>
        <w:div w:id="1347098341">
          <w:marLeft w:val="640"/>
          <w:marRight w:val="0"/>
          <w:marTop w:val="0"/>
          <w:marBottom w:val="0"/>
          <w:divBdr>
            <w:top w:val="none" w:sz="0" w:space="0" w:color="auto"/>
            <w:left w:val="none" w:sz="0" w:space="0" w:color="auto"/>
            <w:bottom w:val="none" w:sz="0" w:space="0" w:color="auto"/>
            <w:right w:val="none" w:sz="0" w:space="0" w:color="auto"/>
          </w:divBdr>
        </w:div>
        <w:div w:id="617414733">
          <w:marLeft w:val="640"/>
          <w:marRight w:val="0"/>
          <w:marTop w:val="0"/>
          <w:marBottom w:val="0"/>
          <w:divBdr>
            <w:top w:val="none" w:sz="0" w:space="0" w:color="auto"/>
            <w:left w:val="none" w:sz="0" w:space="0" w:color="auto"/>
            <w:bottom w:val="none" w:sz="0" w:space="0" w:color="auto"/>
            <w:right w:val="none" w:sz="0" w:space="0" w:color="auto"/>
          </w:divBdr>
        </w:div>
        <w:div w:id="64500288">
          <w:marLeft w:val="640"/>
          <w:marRight w:val="0"/>
          <w:marTop w:val="0"/>
          <w:marBottom w:val="0"/>
          <w:divBdr>
            <w:top w:val="none" w:sz="0" w:space="0" w:color="auto"/>
            <w:left w:val="none" w:sz="0" w:space="0" w:color="auto"/>
            <w:bottom w:val="none" w:sz="0" w:space="0" w:color="auto"/>
            <w:right w:val="none" w:sz="0" w:space="0" w:color="auto"/>
          </w:divBdr>
        </w:div>
        <w:div w:id="1638872998">
          <w:marLeft w:val="640"/>
          <w:marRight w:val="0"/>
          <w:marTop w:val="0"/>
          <w:marBottom w:val="0"/>
          <w:divBdr>
            <w:top w:val="none" w:sz="0" w:space="0" w:color="auto"/>
            <w:left w:val="none" w:sz="0" w:space="0" w:color="auto"/>
            <w:bottom w:val="none" w:sz="0" w:space="0" w:color="auto"/>
            <w:right w:val="none" w:sz="0" w:space="0" w:color="auto"/>
          </w:divBdr>
        </w:div>
        <w:div w:id="1902516832">
          <w:marLeft w:val="640"/>
          <w:marRight w:val="0"/>
          <w:marTop w:val="0"/>
          <w:marBottom w:val="0"/>
          <w:divBdr>
            <w:top w:val="none" w:sz="0" w:space="0" w:color="auto"/>
            <w:left w:val="none" w:sz="0" w:space="0" w:color="auto"/>
            <w:bottom w:val="none" w:sz="0" w:space="0" w:color="auto"/>
            <w:right w:val="none" w:sz="0" w:space="0" w:color="auto"/>
          </w:divBdr>
        </w:div>
        <w:div w:id="2136366469">
          <w:marLeft w:val="640"/>
          <w:marRight w:val="0"/>
          <w:marTop w:val="0"/>
          <w:marBottom w:val="0"/>
          <w:divBdr>
            <w:top w:val="none" w:sz="0" w:space="0" w:color="auto"/>
            <w:left w:val="none" w:sz="0" w:space="0" w:color="auto"/>
            <w:bottom w:val="none" w:sz="0" w:space="0" w:color="auto"/>
            <w:right w:val="none" w:sz="0" w:space="0" w:color="auto"/>
          </w:divBdr>
        </w:div>
        <w:div w:id="1106576315">
          <w:marLeft w:val="640"/>
          <w:marRight w:val="0"/>
          <w:marTop w:val="0"/>
          <w:marBottom w:val="0"/>
          <w:divBdr>
            <w:top w:val="none" w:sz="0" w:space="0" w:color="auto"/>
            <w:left w:val="none" w:sz="0" w:space="0" w:color="auto"/>
            <w:bottom w:val="none" w:sz="0" w:space="0" w:color="auto"/>
            <w:right w:val="none" w:sz="0" w:space="0" w:color="auto"/>
          </w:divBdr>
        </w:div>
        <w:div w:id="1075399817">
          <w:marLeft w:val="640"/>
          <w:marRight w:val="0"/>
          <w:marTop w:val="0"/>
          <w:marBottom w:val="0"/>
          <w:divBdr>
            <w:top w:val="none" w:sz="0" w:space="0" w:color="auto"/>
            <w:left w:val="none" w:sz="0" w:space="0" w:color="auto"/>
            <w:bottom w:val="none" w:sz="0" w:space="0" w:color="auto"/>
            <w:right w:val="none" w:sz="0" w:space="0" w:color="auto"/>
          </w:divBdr>
        </w:div>
        <w:div w:id="1336029247">
          <w:marLeft w:val="640"/>
          <w:marRight w:val="0"/>
          <w:marTop w:val="0"/>
          <w:marBottom w:val="0"/>
          <w:divBdr>
            <w:top w:val="none" w:sz="0" w:space="0" w:color="auto"/>
            <w:left w:val="none" w:sz="0" w:space="0" w:color="auto"/>
            <w:bottom w:val="none" w:sz="0" w:space="0" w:color="auto"/>
            <w:right w:val="none" w:sz="0" w:space="0" w:color="auto"/>
          </w:divBdr>
        </w:div>
        <w:div w:id="1828861664">
          <w:marLeft w:val="640"/>
          <w:marRight w:val="0"/>
          <w:marTop w:val="0"/>
          <w:marBottom w:val="0"/>
          <w:divBdr>
            <w:top w:val="none" w:sz="0" w:space="0" w:color="auto"/>
            <w:left w:val="none" w:sz="0" w:space="0" w:color="auto"/>
            <w:bottom w:val="none" w:sz="0" w:space="0" w:color="auto"/>
            <w:right w:val="none" w:sz="0" w:space="0" w:color="auto"/>
          </w:divBdr>
        </w:div>
        <w:div w:id="358046293">
          <w:marLeft w:val="640"/>
          <w:marRight w:val="0"/>
          <w:marTop w:val="0"/>
          <w:marBottom w:val="0"/>
          <w:divBdr>
            <w:top w:val="none" w:sz="0" w:space="0" w:color="auto"/>
            <w:left w:val="none" w:sz="0" w:space="0" w:color="auto"/>
            <w:bottom w:val="none" w:sz="0" w:space="0" w:color="auto"/>
            <w:right w:val="none" w:sz="0" w:space="0" w:color="auto"/>
          </w:divBdr>
        </w:div>
        <w:div w:id="1094742686">
          <w:marLeft w:val="640"/>
          <w:marRight w:val="0"/>
          <w:marTop w:val="0"/>
          <w:marBottom w:val="0"/>
          <w:divBdr>
            <w:top w:val="none" w:sz="0" w:space="0" w:color="auto"/>
            <w:left w:val="none" w:sz="0" w:space="0" w:color="auto"/>
            <w:bottom w:val="none" w:sz="0" w:space="0" w:color="auto"/>
            <w:right w:val="none" w:sz="0" w:space="0" w:color="auto"/>
          </w:divBdr>
        </w:div>
        <w:div w:id="196166054">
          <w:marLeft w:val="640"/>
          <w:marRight w:val="0"/>
          <w:marTop w:val="0"/>
          <w:marBottom w:val="0"/>
          <w:divBdr>
            <w:top w:val="none" w:sz="0" w:space="0" w:color="auto"/>
            <w:left w:val="none" w:sz="0" w:space="0" w:color="auto"/>
            <w:bottom w:val="none" w:sz="0" w:space="0" w:color="auto"/>
            <w:right w:val="none" w:sz="0" w:space="0" w:color="auto"/>
          </w:divBdr>
        </w:div>
        <w:div w:id="1430158807">
          <w:marLeft w:val="640"/>
          <w:marRight w:val="0"/>
          <w:marTop w:val="0"/>
          <w:marBottom w:val="0"/>
          <w:divBdr>
            <w:top w:val="none" w:sz="0" w:space="0" w:color="auto"/>
            <w:left w:val="none" w:sz="0" w:space="0" w:color="auto"/>
            <w:bottom w:val="none" w:sz="0" w:space="0" w:color="auto"/>
            <w:right w:val="none" w:sz="0" w:space="0" w:color="auto"/>
          </w:divBdr>
        </w:div>
        <w:div w:id="649292675">
          <w:marLeft w:val="640"/>
          <w:marRight w:val="0"/>
          <w:marTop w:val="0"/>
          <w:marBottom w:val="0"/>
          <w:divBdr>
            <w:top w:val="none" w:sz="0" w:space="0" w:color="auto"/>
            <w:left w:val="none" w:sz="0" w:space="0" w:color="auto"/>
            <w:bottom w:val="none" w:sz="0" w:space="0" w:color="auto"/>
            <w:right w:val="none" w:sz="0" w:space="0" w:color="auto"/>
          </w:divBdr>
        </w:div>
        <w:div w:id="1529947935">
          <w:marLeft w:val="640"/>
          <w:marRight w:val="0"/>
          <w:marTop w:val="0"/>
          <w:marBottom w:val="0"/>
          <w:divBdr>
            <w:top w:val="none" w:sz="0" w:space="0" w:color="auto"/>
            <w:left w:val="none" w:sz="0" w:space="0" w:color="auto"/>
            <w:bottom w:val="none" w:sz="0" w:space="0" w:color="auto"/>
            <w:right w:val="none" w:sz="0" w:space="0" w:color="auto"/>
          </w:divBdr>
        </w:div>
        <w:div w:id="1942491425">
          <w:marLeft w:val="640"/>
          <w:marRight w:val="0"/>
          <w:marTop w:val="0"/>
          <w:marBottom w:val="0"/>
          <w:divBdr>
            <w:top w:val="none" w:sz="0" w:space="0" w:color="auto"/>
            <w:left w:val="none" w:sz="0" w:space="0" w:color="auto"/>
            <w:bottom w:val="none" w:sz="0" w:space="0" w:color="auto"/>
            <w:right w:val="none" w:sz="0" w:space="0" w:color="auto"/>
          </w:divBdr>
        </w:div>
        <w:div w:id="628247931">
          <w:marLeft w:val="640"/>
          <w:marRight w:val="0"/>
          <w:marTop w:val="0"/>
          <w:marBottom w:val="0"/>
          <w:divBdr>
            <w:top w:val="none" w:sz="0" w:space="0" w:color="auto"/>
            <w:left w:val="none" w:sz="0" w:space="0" w:color="auto"/>
            <w:bottom w:val="none" w:sz="0" w:space="0" w:color="auto"/>
            <w:right w:val="none" w:sz="0" w:space="0" w:color="auto"/>
          </w:divBdr>
        </w:div>
        <w:div w:id="1139112938">
          <w:marLeft w:val="640"/>
          <w:marRight w:val="0"/>
          <w:marTop w:val="0"/>
          <w:marBottom w:val="0"/>
          <w:divBdr>
            <w:top w:val="none" w:sz="0" w:space="0" w:color="auto"/>
            <w:left w:val="none" w:sz="0" w:space="0" w:color="auto"/>
            <w:bottom w:val="none" w:sz="0" w:space="0" w:color="auto"/>
            <w:right w:val="none" w:sz="0" w:space="0" w:color="auto"/>
          </w:divBdr>
        </w:div>
        <w:div w:id="838958440">
          <w:marLeft w:val="640"/>
          <w:marRight w:val="0"/>
          <w:marTop w:val="0"/>
          <w:marBottom w:val="0"/>
          <w:divBdr>
            <w:top w:val="none" w:sz="0" w:space="0" w:color="auto"/>
            <w:left w:val="none" w:sz="0" w:space="0" w:color="auto"/>
            <w:bottom w:val="none" w:sz="0" w:space="0" w:color="auto"/>
            <w:right w:val="none" w:sz="0" w:space="0" w:color="auto"/>
          </w:divBdr>
        </w:div>
        <w:div w:id="510027562">
          <w:marLeft w:val="640"/>
          <w:marRight w:val="0"/>
          <w:marTop w:val="0"/>
          <w:marBottom w:val="0"/>
          <w:divBdr>
            <w:top w:val="none" w:sz="0" w:space="0" w:color="auto"/>
            <w:left w:val="none" w:sz="0" w:space="0" w:color="auto"/>
            <w:bottom w:val="none" w:sz="0" w:space="0" w:color="auto"/>
            <w:right w:val="none" w:sz="0" w:space="0" w:color="auto"/>
          </w:divBdr>
        </w:div>
        <w:div w:id="334184776">
          <w:marLeft w:val="640"/>
          <w:marRight w:val="0"/>
          <w:marTop w:val="0"/>
          <w:marBottom w:val="0"/>
          <w:divBdr>
            <w:top w:val="none" w:sz="0" w:space="0" w:color="auto"/>
            <w:left w:val="none" w:sz="0" w:space="0" w:color="auto"/>
            <w:bottom w:val="none" w:sz="0" w:space="0" w:color="auto"/>
            <w:right w:val="none" w:sz="0" w:space="0" w:color="auto"/>
          </w:divBdr>
        </w:div>
        <w:div w:id="1037972483">
          <w:marLeft w:val="640"/>
          <w:marRight w:val="0"/>
          <w:marTop w:val="0"/>
          <w:marBottom w:val="0"/>
          <w:divBdr>
            <w:top w:val="none" w:sz="0" w:space="0" w:color="auto"/>
            <w:left w:val="none" w:sz="0" w:space="0" w:color="auto"/>
            <w:bottom w:val="none" w:sz="0" w:space="0" w:color="auto"/>
            <w:right w:val="none" w:sz="0" w:space="0" w:color="auto"/>
          </w:divBdr>
        </w:div>
        <w:div w:id="1109931307">
          <w:marLeft w:val="640"/>
          <w:marRight w:val="0"/>
          <w:marTop w:val="0"/>
          <w:marBottom w:val="0"/>
          <w:divBdr>
            <w:top w:val="none" w:sz="0" w:space="0" w:color="auto"/>
            <w:left w:val="none" w:sz="0" w:space="0" w:color="auto"/>
            <w:bottom w:val="none" w:sz="0" w:space="0" w:color="auto"/>
            <w:right w:val="none" w:sz="0" w:space="0" w:color="auto"/>
          </w:divBdr>
        </w:div>
        <w:div w:id="924730738">
          <w:marLeft w:val="640"/>
          <w:marRight w:val="0"/>
          <w:marTop w:val="0"/>
          <w:marBottom w:val="0"/>
          <w:divBdr>
            <w:top w:val="none" w:sz="0" w:space="0" w:color="auto"/>
            <w:left w:val="none" w:sz="0" w:space="0" w:color="auto"/>
            <w:bottom w:val="none" w:sz="0" w:space="0" w:color="auto"/>
            <w:right w:val="none" w:sz="0" w:space="0" w:color="auto"/>
          </w:divBdr>
        </w:div>
        <w:div w:id="860900105">
          <w:marLeft w:val="640"/>
          <w:marRight w:val="0"/>
          <w:marTop w:val="0"/>
          <w:marBottom w:val="0"/>
          <w:divBdr>
            <w:top w:val="none" w:sz="0" w:space="0" w:color="auto"/>
            <w:left w:val="none" w:sz="0" w:space="0" w:color="auto"/>
            <w:bottom w:val="none" w:sz="0" w:space="0" w:color="auto"/>
            <w:right w:val="none" w:sz="0" w:space="0" w:color="auto"/>
          </w:divBdr>
        </w:div>
        <w:div w:id="1654136836">
          <w:marLeft w:val="640"/>
          <w:marRight w:val="0"/>
          <w:marTop w:val="0"/>
          <w:marBottom w:val="0"/>
          <w:divBdr>
            <w:top w:val="none" w:sz="0" w:space="0" w:color="auto"/>
            <w:left w:val="none" w:sz="0" w:space="0" w:color="auto"/>
            <w:bottom w:val="none" w:sz="0" w:space="0" w:color="auto"/>
            <w:right w:val="none" w:sz="0" w:space="0" w:color="auto"/>
          </w:divBdr>
        </w:div>
        <w:div w:id="77412277">
          <w:marLeft w:val="640"/>
          <w:marRight w:val="0"/>
          <w:marTop w:val="0"/>
          <w:marBottom w:val="0"/>
          <w:divBdr>
            <w:top w:val="none" w:sz="0" w:space="0" w:color="auto"/>
            <w:left w:val="none" w:sz="0" w:space="0" w:color="auto"/>
            <w:bottom w:val="none" w:sz="0" w:space="0" w:color="auto"/>
            <w:right w:val="none" w:sz="0" w:space="0" w:color="auto"/>
          </w:divBdr>
        </w:div>
        <w:div w:id="631522791">
          <w:marLeft w:val="640"/>
          <w:marRight w:val="0"/>
          <w:marTop w:val="0"/>
          <w:marBottom w:val="0"/>
          <w:divBdr>
            <w:top w:val="none" w:sz="0" w:space="0" w:color="auto"/>
            <w:left w:val="none" w:sz="0" w:space="0" w:color="auto"/>
            <w:bottom w:val="none" w:sz="0" w:space="0" w:color="auto"/>
            <w:right w:val="none" w:sz="0" w:space="0" w:color="auto"/>
          </w:divBdr>
        </w:div>
        <w:div w:id="1950774802">
          <w:marLeft w:val="640"/>
          <w:marRight w:val="0"/>
          <w:marTop w:val="0"/>
          <w:marBottom w:val="0"/>
          <w:divBdr>
            <w:top w:val="none" w:sz="0" w:space="0" w:color="auto"/>
            <w:left w:val="none" w:sz="0" w:space="0" w:color="auto"/>
            <w:bottom w:val="none" w:sz="0" w:space="0" w:color="auto"/>
            <w:right w:val="none" w:sz="0" w:space="0" w:color="auto"/>
          </w:divBdr>
        </w:div>
        <w:div w:id="1553540820">
          <w:marLeft w:val="640"/>
          <w:marRight w:val="0"/>
          <w:marTop w:val="0"/>
          <w:marBottom w:val="0"/>
          <w:divBdr>
            <w:top w:val="none" w:sz="0" w:space="0" w:color="auto"/>
            <w:left w:val="none" w:sz="0" w:space="0" w:color="auto"/>
            <w:bottom w:val="none" w:sz="0" w:space="0" w:color="auto"/>
            <w:right w:val="none" w:sz="0" w:space="0" w:color="auto"/>
          </w:divBdr>
        </w:div>
        <w:div w:id="129791552">
          <w:marLeft w:val="640"/>
          <w:marRight w:val="0"/>
          <w:marTop w:val="0"/>
          <w:marBottom w:val="0"/>
          <w:divBdr>
            <w:top w:val="none" w:sz="0" w:space="0" w:color="auto"/>
            <w:left w:val="none" w:sz="0" w:space="0" w:color="auto"/>
            <w:bottom w:val="none" w:sz="0" w:space="0" w:color="auto"/>
            <w:right w:val="none" w:sz="0" w:space="0" w:color="auto"/>
          </w:divBdr>
        </w:div>
        <w:div w:id="1168442737">
          <w:marLeft w:val="640"/>
          <w:marRight w:val="0"/>
          <w:marTop w:val="0"/>
          <w:marBottom w:val="0"/>
          <w:divBdr>
            <w:top w:val="none" w:sz="0" w:space="0" w:color="auto"/>
            <w:left w:val="none" w:sz="0" w:space="0" w:color="auto"/>
            <w:bottom w:val="none" w:sz="0" w:space="0" w:color="auto"/>
            <w:right w:val="none" w:sz="0" w:space="0" w:color="auto"/>
          </w:divBdr>
        </w:div>
        <w:div w:id="1692412644">
          <w:marLeft w:val="640"/>
          <w:marRight w:val="0"/>
          <w:marTop w:val="0"/>
          <w:marBottom w:val="0"/>
          <w:divBdr>
            <w:top w:val="none" w:sz="0" w:space="0" w:color="auto"/>
            <w:left w:val="none" w:sz="0" w:space="0" w:color="auto"/>
            <w:bottom w:val="none" w:sz="0" w:space="0" w:color="auto"/>
            <w:right w:val="none" w:sz="0" w:space="0" w:color="auto"/>
          </w:divBdr>
        </w:div>
        <w:div w:id="687409556">
          <w:marLeft w:val="640"/>
          <w:marRight w:val="0"/>
          <w:marTop w:val="0"/>
          <w:marBottom w:val="0"/>
          <w:divBdr>
            <w:top w:val="none" w:sz="0" w:space="0" w:color="auto"/>
            <w:left w:val="none" w:sz="0" w:space="0" w:color="auto"/>
            <w:bottom w:val="none" w:sz="0" w:space="0" w:color="auto"/>
            <w:right w:val="none" w:sz="0" w:space="0" w:color="auto"/>
          </w:divBdr>
        </w:div>
        <w:div w:id="159540494">
          <w:marLeft w:val="640"/>
          <w:marRight w:val="0"/>
          <w:marTop w:val="0"/>
          <w:marBottom w:val="0"/>
          <w:divBdr>
            <w:top w:val="none" w:sz="0" w:space="0" w:color="auto"/>
            <w:left w:val="none" w:sz="0" w:space="0" w:color="auto"/>
            <w:bottom w:val="none" w:sz="0" w:space="0" w:color="auto"/>
            <w:right w:val="none" w:sz="0" w:space="0" w:color="auto"/>
          </w:divBdr>
        </w:div>
        <w:div w:id="1266621097">
          <w:marLeft w:val="640"/>
          <w:marRight w:val="0"/>
          <w:marTop w:val="0"/>
          <w:marBottom w:val="0"/>
          <w:divBdr>
            <w:top w:val="none" w:sz="0" w:space="0" w:color="auto"/>
            <w:left w:val="none" w:sz="0" w:space="0" w:color="auto"/>
            <w:bottom w:val="none" w:sz="0" w:space="0" w:color="auto"/>
            <w:right w:val="none" w:sz="0" w:space="0" w:color="auto"/>
          </w:divBdr>
        </w:div>
        <w:div w:id="1039085293">
          <w:marLeft w:val="640"/>
          <w:marRight w:val="0"/>
          <w:marTop w:val="0"/>
          <w:marBottom w:val="0"/>
          <w:divBdr>
            <w:top w:val="none" w:sz="0" w:space="0" w:color="auto"/>
            <w:left w:val="none" w:sz="0" w:space="0" w:color="auto"/>
            <w:bottom w:val="none" w:sz="0" w:space="0" w:color="auto"/>
            <w:right w:val="none" w:sz="0" w:space="0" w:color="auto"/>
          </w:divBdr>
        </w:div>
        <w:div w:id="2048791825">
          <w:marLeft w:val="640"/>
          <w:marRight w:val="0"/>
          <w:marTop w:val="0"/>
          <w:marBottom w:val="0"/>
          <w:divBdr>
            <w:top w:val="none" w:sz="0" w:space="0" w:color="auto"/>
            <w:left w:val="none" w:sz="0" w:space="0" w:color="auto"/>
            <w:bottom w:val="none" w:sz="0" w:space="0" w:color="auto"/>
            <w:right w:val="none" w:sz="0" w:space="0" w:color="auto"/>
          </w:divBdr>
        </w:div>
        <w:div w:id="955022863">
          <w:marLeft w:val="640"/>
          <w:marRight w:val="0"/>
          <w:marTop w:val="0"/>
          <w:marBottom w:val="0"/>
          <w:divBdr>
            <w:top w:val="none" w:sz="0" w:space="0" w:color="auto"/>
            <w:left w:val="none" w:sz="0" w:space="0" w:color="auto"/>
            <w:bottom w:val="none" w:sz="0" w:space="0" w:color="auto"/>
            <w:right w:val="none" w:sz="0" w:space="0" w:color="auto"/>
          </w:divBdr>
        </w:div>
        <w:div w:id="833494965">
          <w:marLeft w:val="640"/>
          <w:marRight w:val="0"/>
          <w:marTop w:val="0"/>
          <w:marBottom w:val="0"/>
          <w:divBdr>
            <w:top w:val="none" w:sz="0" w:space="0" w:color="auto"/>
            <w:left w:val="none" w:sz="0" w:space="0" w:color="auto"/>
            <w:bottom w:val="none" w:sz="0" w:space="0" w:color="auto"/>
            <w:right w:val="none" w:sz="0" w:space="0" w:color="auto"/>
          </w:divBdr>
        </w:div>
        <w:div w:id="1088694642">
          <w:marLeft w:val="640"/>
          <w:marRight w:val="0"/>
          <w:marTop w:val="0"/>
          <w:marBottom w:val="0"/>
          <w:divBdr>
            <w:top w:val="none" w:sz="0" w:space="0" w:color="auto"/>
            <w:left w:val="none" w:sz="0" w:space="0" w:color="auto"/>
            <w:bottom w:val="none" w:sz="0" w:space="0" w:color="auto"/>
            <w:right w:val="none" w:sz="0" w:space="0" w:color="auto"/>
          </w:divBdr>
        </w:div>
        <w:div w:id="625042181">
          <w:marLeft w:val="640"/>
          <w:marRight w:val="0"/>
          <w:marTop w:val="0"/>
          <w:marBottom w:val="0"/>
          <w:divBdr>
            <w:top w:val="none" w:sz="0" w:space="0" w:color="auto"/>
            <w:left w:val="none" w:sz="0" w:space="0" w:color="auto"/>
            <w:bottom w:val="none" w:sz="0" w:space="0" w:color="auto"/>
            <w:right w:val="none" w:sz="0" w:space="0" w:color="auto"/>
          </w:divBdr>
        </w:div>
        <w:div w:id="1930506164">
          <w:marLeft w:val="640"/>
          <w:marRight w:val="0"/>
          <w:marTop w:val="0"/>
          <w:marBottom w:val="0"/>
          <w:divBdr>
            <w:top w:val="none" w:sz="0" w:space="0" w:color="auto"/>
            <w:left w:val="none" w:sz="0" w:space="0" w:color="auto"/>
            <w:bottom w:val="none" w:sz="0" w:space="0" w:color="auto"/>
            <w:right w:val="none" w:sz="0" w:space="0" w:color="auto"/>
          </w:divBdr>
        </w:div>
        <w:div w:id="704334763">
          <w:marLeft w:val="640"/>
          <w:marRight w:val="0"/>
          <w:marTop w:val="0"/>
          <w:marBottom w:val="0"/>
          <w:divBdr>
            <w:top w:val="none" w:sz="0" w:space="0" w:color="auto"/>
            <w:left w:val="none" w:sz="0" w:space="0" w:color="auto"/>
            <w:bottom w:val="none" w:sz="0" w:space="0" w:color="auto"/>
            <w:right w:val="none" w:sz="0" w:space="0" w:color="auto"/>
          </w:divBdr>
        </w:div>
        <w:div w:id="1873222403">
          <w:marLeft w:val="640"/>
          <w:marRight w:val="0"/>
          <w:marTop w:val="0"/>
          <w:marBottom w:val="0"/>
          <w:divBdr>
            <w:top w:val="none" w:sz="0" w:space="0" w:color="auto"/>
            <w:left w:val="none" w:sz="0" w:space="0" w:color="auto"/>
            <w:bottom w:val="none" w:sz="0" w:space="0" w:color="auto"/>
            <w:right w:val="none" w:sz="0" w:space="0" w:color="auto"/>
          </w:divBdr>
        </w:div>
        <w:div w:id="1166434332">
          <w:marLeft w:val="640"/>
          <w:marRight w:val="0"/>
          <w:marTop w:val="0"/>
          <w:marBottom w:val="0"/>
          <w:divBdr>
            <w:top w:val="none" w:sz="0" w:space="0" w:color="auto"/>
            <w:left w:val="none" w:sz="0" w:space="0" w:color="auto"/>
            <w:bottom w:val="none" w:sz="0" w:space="0" w:color="auto"/>
            <w:right w:val="none" w:sz="0" w:space="0" w:color="auto"/>
          </w:divBdr>
        </w:div>
        <w:div w:id="886065776">
          <w:marLeft w:val="640"/>
          <w:marRight w:val="0"/>
          <w:marTop w:val="0"/>
          <w:marBottom w:val="0"/>
          <w:divBdr>
            <w:top w:val="none" w:sz="0" w:space="0" w:color="auto"/>
            <w:left w:val="none" w:sz="0" w:space="0" w:color="auto"/>
            <w:bottom w:val="none" w:sz="0" w:space="0" w:color="auto"/>
            <w:right w:val="none" w:sz="0" w:space="0" w:color="auto"/>
          </w:divBdr>
        </w:div>
        <w:div w:id="1222181636">
          <w:marLeft w:val="640"/>
          <w:marRight w:val="0"/>
          <w:marTop w:val="0"/>
          <w:marBottom w:val="0"/>
          <w:divBdr>
            <w:top w:val="none" w:sz="0" w:space="0" w:color="auto"/>
            <w:left w:val="none" w:sz="0" w:space="0" w:color="auto"/>
            <w:bottom w:val="none" w:sz="0" w:space="0" w:color="auto"/>
            <w:right w:val="none" w:sz="0" w:space="0" w:color="auto"/>
          </w:divBdr>
        </w:div>
        <w:div w:id="442842763">
          <w:marLeft w:val="640"/>
          <w:marRight w:val="0"/>
          <w:marTop w:val="0"/>
          <w:marBottom w:val="0"/>
          <w:divBdr>
            <w:top w:val="none" w:sz="0" w:space="0" w:color="auto"/>
            <w:left w:val="none" w:sz="0" w:space="0" w:color="auto"/>
            <w:bottom w:val="none" w:sz="0" w:space="0" w:color="auto"/>
            <w:right w:val="none" w:sz="0" w:space="0" w:color="auto"/>
          </w:divBdr>
        </w:div>
        <w:div w:id="1510218756">
          <w:marLeft w:val="640"/>
          <w:marRight w:val="0"/>
          <w:marTop w:val="0"/>
          <w:marBottom w:val="0"/>
          <w:divBdr>
            <w:top w:val="none" w:sz="0" w:space="0" w:color="auto"/>
            <w:left w:val="none" w:sz="0" w:space="0" w:color="auto"/>
            <w:bottom w:val="none" w:sz="0" w:space="0" w:color="auto"/>
            <w:right w:val="none" w:sz="0" w:space="0" w:color="auto"/>
          </w:divBdr>
        </w:div>
        <w:div w:id="1615362619">
          <w:marLeft w:val="640"/>
          <w:marRight w:val="0"/>
          <w:marTop w:val="0"/>
          <w:marBottom w:val="0"/>
          <w:divBdr>
            <w:top w:val="none" w:sz="0" w:space="0" w:color="auto"/>
            <w:left w:val="none" w:sz="0" w:space="0" w:color="auto"/>
            <w:bottom w:val="none" w:sz="0" w:space="0" w:color="auto"/>
            <w:right w:val="none" w:sz="0" w:space="0" w:color="auto"/>
          </w:divBdr>
        </w:div>
        <w:div w:id="994335875">
          <w:marLeft w:val="640"/>
          <w:marRight w:val="0"/>
          <w:marTop w:val="0"/>
          <w:marBottom w:val="0"/>
          <w:divBdr>
            <w:top w:val="none" w:sz="0" w:space="0" w:color="auto"/>
            <w:left w:val="none" w:sz="0" w:space="0" w:color="auto"/>
            <w:bottom w:val="none" w:sz="0" w:space="0" w:color="auto"/>
            <w:right w:val="none" w:sz="0" w:space="0" w:color="auto"/>
          </w:divBdr>
        </w:div>
        <w:div w:id="899823715">
          <w:marLeft w:val="640"/>
          <w:marRight w:val="0"/>
          <w:marTop w:val="0"/>
          <w:marBottom w:val="0"/>
          <w:divBdr>
            <w:top w:val="none" w:sz="0" w:space="0" w:color="auto"/>
            <w:left w:val="none" w:sz="0" w:space="0" w:color="auto"/>
            <w:bottom w:val="none" w:sz="0" w:space="0" w:color="auto"/>
            <w:right w:val="none" w:sz="0" w:space="0" w:color="auto"/>
          </w:divBdr>
        </w:div>
        <w:div w:id="1994751760">
          <w:marLeft w:val="640"/>
          <w:marRight w:val="0"/>
          <w:marTop w:val="0"/>
          <w:marBottom w:val="0"/>
          <w:divBdr>
            <w:top w:val="none" w:sz="0" w:space="0" w:color="auto"/>
            <w:left w:val="none" w:sz="0" w:space="0" w:color="auto"/>
            <w:bottom w:val="none" w:sz="0" w:space="0" w:color="auto"/>
            <w:right w:val="none" w:sz="0" w:space="0" w:color="auto"/>
          </w:divBdr>
        </w:div>
        <w:div w:id="1160315027">
          <w:marLeft w:val="640"/>
          <w:marRight w:val="0"/>
          <w:marTop w:val="0"/>
          <w:marBottom w:val="0"/>
          <w:divBdr>
            <w:top w:val="none" w:sz="0" w:space="0" w:color="auto"/>
            <w:left w:val="none" w:sz="0" w:space="0" w:color="auto"/>
            <w:bottom w:val="none" w:sz="0" w:space="0" w:color="auto"/>
            <w:right w:val="none" w:sz="0" w:space="0" w:color="auto"/>
          </w:divBdr>
        </w:div>
        <w:div w:id="1156458787">
          <w:marLeft w:val="640"/>
          <w:marRight w:val="0"/>
          <w:marTop w:val="0"/>
          <w:marBottom w:val="0"/>
          <w:divBdr>
            <w:top w:val="none" w:sz="0" w:space="0" w:color="auto"/>
            <w:left w:val="none" w:sz="0" w:space="0" w:color="auto"/>
            <w:bottom w:val="none" w:sz="0" w:space="0" w:color="auto"/>
            <w:right w:val="none" w:sz="0" w:space="0" w:color="auto"/>
          </w:divBdr>
        </w:div>
        <w:div w:id="1692145528">
          <w:marLeft w:val="640"/>
          <w:marRight w:val="0"/>
          <w:marTop w:val="0"/>
          <w:marBottom w:val="0"/>
          <w:divBdr>
            <w:top w:val="none" w:sz="0" w:space="0" w:color="auto"/>
            <w:left w:val="none" w:sz="0" w:space="0" w:color="auto"/>
            <w:bottom w:val="none" w:sz="0" w:space="0" w:color="auto"/>
            <w:right w:val="none" w:sz="0" w:space="0" w:color="auto"/>
          </w:divBdr>
        </w:div>
        <w:div w:id="542210040">
          <w:marLeft w:val="640"/>
          <w:marRight w:val="0"/>
          <w:marTop w:val="0"/>
          <w:marBottom w:val="0"/>
          <w:divBdr>
            <w:top w:val="none" w:sz="0" w:space="0" w:color="auto"/>
            <w:left w:val="none" w:sz="0" w:space="0" w:color="auto"/>
            <w:bottom w:val="none" w:sz="0" w:space="0" w:color="auto"/>
            <w:right w:val="none" w:sz="0" w:space="0" w:color="auto"/>
          </w:divBdr>
        </w:div>
        <w:div w:id="93979728">
          <w:marLeft w:val="640"/>
          <w:marRight w:val="0"/>
          <w:marTop w:val="0"/>
          <w:marBottom w:val="0"/>
          <w:divBdr>
            <w:top w:val="none" w:sz="0" w:space="0" w:color="auto"/>
            <w:left w:val="none" w:sz="0" w:space="0" w:color="auto"/>
            <w:bottom w:val="none" w:sz="0" w:space="0" w:color="auto"/>
            <w:right w:val="none" w:sz="0" w:space="0" w:color="auto"/>
          </w:divBdr>
        </w:div>
        <w:div w:id="827021419">
          <w:marLeft w:val="640"/>
          <w:marRight w:val="0"/>
          <w:marTop w:val="0"/>
          <w:marBottom w:val="0"/>
          <w:divBdr>
            <w:top w:val="none" w:sz="0" w:space="0" w:color="auto"/>
            <w:left w:val="none" w:sz="0" w:space="0" w:color="auto"/>
            <w:bottom w:val="none" w:sz="0" w:space="0" w:color="auto"/>
            <w:right w:val="none" w:sz="0" w:space="0" w:color="auto"/>
          </w:divBdr>
        </w:div>
        <w:div w:id="36243702">
          <w:marLeft w:val="640"/>
          <w:marRight w:val="0"/>
          <w:marTop w:val="0"/>
          <w:marBottom w:val="0"/>
          <w:divBdr>
            <w:top w:val="none" w:sz="0" w:space="0" w:color="auto"/>
            <w:left w:val="none" w:sz="0" w:space="0" w:color="auto"/>
            <w:bottom w:val="none" w:sz="0" w:space="0" w:color="auto"/>
            <w:right w:val="none" w:sz="0" w:space="0" w:color="auto"/>
          </w:divBdr>
        </w:div>
        <w:div w:id="1277057909">
          <w:marLeft w:val="640"/>
          <w:marRight w:val="0"/>
          <w:marTop w:val="0"/>
          <w:marBottom w:val="0"/>
          <w:divBdr>
            <w:top w:val="none" w:sz="0" w:space="0" w:color="auto"/>
            <w:left w:val="none" w:sz="0" w:space="0" w:color="auto"/>
            <w:bottom w:val="none" w:sz="0" w:space="0" w:color="auto"/>
            <w:right w:val="none" w:sz="0" w:space="0" w:color="auto"/>
          </w:divBdr>
        </w:div>
        <w:div w:id="455609643">
          <w:marLeft w:val="640"/>
          <w:marRight w:val="0"/>
          <w:marTop w:val="0"/>
          <w:marBottom w:val="0"/>
          <w:divBdr>
            <w:top w:val="none" w:sz="0" w:space="0" w:color="auto"/>
            <w:left w:val="none" w:sz="0" w:space="0" w:color="auto"/>
            <w:bottom w:val="none" w:sz="0" w:space="0" w:color="auto"/>
            <w:right w:val="none" w:sz="0" w:space="0" w:color="auto"/>
          </w:divBdr>
        </w:div>
        <w:div w:id="1178036800">
          <w:marLeft w:val="640"/>
          <w:marRight w:val="0"/>
          <w:marTop w:val="0"/>
          <w:marBottom w:val="0"/>
          <w:divBdr>
            <w:top w:val="none" w:sz="0" w:space="0" w:color="auto"/>
            <w:left w:val="none" w:sz="0" w:space="0" w:color="auto"/>
            <w:bottom w:val="none" w:sz="0" w:space="0" w:color="auto"/>
            <w:right w:val="none" w:sz="0" w:space="0" w:color="auto"/>
          </w:divBdr>
        </w:div>
        <w:div w:id="658652648">
          <w:marLeft w:val="640"/>
          <w:marRight w:val="0"/>
          <w:marTop w:val="0"/>
          <w:marBottom w:val="0"/>
          <w:divBdr>
            <w:top w:val="none" w:sz="0" w:space="0" w:color="auto"/>
            <w:left w:val="none" w:sz="0" w:space="0" w:color="auto"/>
            <w:bottom w:val="none" w:sz="0" w:space="0" w:color="auto"/>
            <w:right w:val="none" w:sz="0" w:space="0" w:color="auto"/>
          </w:divBdr>
        </w:div>
        <w:div w:id="1346638837">
          <w:marLeft w:val="640"/>
          <w:marRight w:val="0"/>
          <w:marTop w:val="0"/>
          <w:marBottom w:val="0"/>
          <w:divBdr>
            <w:top w:val="none" w:sz="0" w:space="0" w:color="auto"/>
            <w:left w:val="none" w:sz="0" w:space="0" w:color="auto"/>
            <w:bottom w:val="none" w:sz="0" w:space="0" w:color="auto"/>
            <w:right w:val="none" w:sz="0" w:space="0" w:color="auto"/>
          </w:divBdr>
        </w:div>
        <w:div w:id="530462132">
          <w:marLeft w:val="640"/>
          <w:marRight w:val="0"/>
          <w:marTop w:val="0"/>
          <w:marBottom w:val="0"/>
          <w:divBdr>
            <w:top w:val="none" w:sz="0" w:space="0" w:color="auto"/>
            <w:left w:val="none" w:sz="0" w:space="0" w:color="auto"/>
            <w:bottom w:val="none" w:sz="0" w:space="0" w:color="auto"/>
            <w:right w:val="none" w:sz="0" w:space="0" w:color="auto"/>
          </w:divBdr>
        </w:div>
        <w:div w:id="2126729995">
          <w:marLeft w:val="640"/>
          <w:marRight w:val="0"/>
          <w:marTop w:val="0"/>
          <w:marBottom w:val="0"/>
          <w:divBdr>
            <w:top w:val="none" w:sz="0" w:space="0" w:color="auto"/>
            <w:left w:val="none" w:sz="0" w:space="0" w:color="auto"/>
            <w:bottom w:val="none" w:sz="0" w:space="0" w:color="auto"/>
            <w:right w:val="none" w:sz="0" w:space="0" w:color="auto"/>
          </w:divBdr>
        </w:div>
        <w:div w:id="857423664">
          <w:marLeft w:val="640"/>
          <w:marRight w:val="0"/>
          <w:marTop w:val="0"/>
          <w:marBottom w:val="0"/>
          <w:divBdr>
            <w:top w:val="none" w:sz="0" w:space="0" w:color="auto"/>
            <w:left w:val="none" w:sz="0" w:space="0" w:color="auto"/>
            <w:bottom w:val="none" w:sz="0" w:space="0" w:color="auto"/>
            <w:right w:val="none" w:sz="0" w:space="0" w:color="auto"/>
          </w:divBdr>
        </w:div>
        <w:div w:id="2026863545">
          <w:marLeft w:val="640"/>
          <w:marRight w:val="0"/>
          <w:marTop w:val="0"/>
          <w:marBottom w:val="0"/>
          <w:divBdr>
            <w:top w:val="none" w:sz="0" w:space="0" w:color="auto"/>
            <w:left w:val="none" w:sz="0" w:space="0" w:color="auto"/>
            <w:bottom w:val="none" w:sz="0" w:space="0" w:color="auto"/>
            <w:right w:val="none" w:sz="0" w:space="0" w:color="auto"/>
          </w:divBdr>
        </w:div>
        <w:div w:id="682240984">
          <w:marLeft w:val="640"/>
          <w:marRight w:val="0"/>
          <w:marTop w:val="0"/>
          <w:marBottom w:val="0"/>
          <w:divBdr>
            <w:top w:val="none" w:sz="0" w:space="0" w:color="auto"/>
            <w:left w:val="none" w:sz="0" w:space="0" w:color="auto"/>
            <w:bottom w:val="none" w:sz="0" w:space="0" w:color="auto"/>
            <w:right w:val="none" w:sz="0" w:space="0" w:color="auto"/>
          </w:divBdr>
        </w:div>
        <w:div w:id="1860316434">
          <w:marLeft w:val="640"/>
          <w:marRight w:val="0"/>
          <w:marTop w:val="0"/>
          <w:marBottom w:val="0"/>
          <w:divBdr>
            <w:top w:val="none" w:sz="0" w:space="0" w:color="auto"/>
            <w:left w:val="none" w:sz="0" w:space="0" w:color="auto"/>
            <w:bottom w:val="none" w:sz="0" w:space="0" w:color="auto"/>
            <w:right w:val="none" w:sz="0" w:space="0" w:color="auto"/>
          </w:divBdr>
        </w:div>
        <w:div w:id="1009061198">
          <w:marLeft w:val="640"/>
          <w:marRight w:val="0"/>
          <w:marTop w:val="0"/>
          <w:marBottom w:val="0"/>
          <w:divBdr>
            <w:top w:val="none" w:sz="0" w:space="0" w:color="auto"/>
            <w:left w:val="none" w:sz="0" w:space="0" w:color="auto"/>
            <w:bottom w:val="none" w:sz="0" w:space="0" w:color="auto"/>
            <w:right w:val="none" w:sz="0" w:space="0" w:color="auto"/>
          </w:divBdr>
        </w:div>
        <w:div w:id="219481893">
          <w:marLeft w:val="640"/>
          <w:marRight w:val="0"/>
          <w:marTop w:val="0"/>
          <w:marBottom w:val="0"/>
          <w:divBdr>
            <w:top w:val="none" w:sz="0" w:space="0" w:color="auto"/>
            <w:left w:val="none" w:sz="0" w:space="0" w:color="auto"/>
            <w:bottom w:val="none" w:sz="0" w:space="0" w:color="auto"/>
            <w:right w:val="none" w:sz="0" w:space="0" w:color="auto"/>
          </w:divBdr>
        </w:div>
        <w:div w:id="1792632075">
          <w:marLeft w:val="640"/>
          <w:marRight w:val="0"/>
          <w:marTop w:val="0"/>
          <w:marBottom w:val="0"/>
          <w:divBdr>
            <w:top w:val="none" w:sz="0" w:space="0" w:color="auto"/>
            <w:left w:val="none" w:sz="0" w:space="0" w:color="auto"/>
            <w:bottom w:val="none" w:sz="0" w:space="0" w:color="auto"/>
            <w:right w:val="none" w:sz="0" w:space="0" w:color="auto"/>
          </w:divBdr>
        </w:div>
        <w:div w:id="1974941570">
          <w:marLeft w:val="640"/>
          <w:marRight w:val="0"/>
          <w:marTop w:val="0"/>
          <w:marBottom w:val="0"/>
          <w:divBdr>
            <w:top w:val="none" w:sz="0" w:space="0" w:color="auto"/>
            <w:left w:val="none" w:sz="0" w:space="0" w:color="auto"/>
            <w:bottom w:val="none" w:sz="0" w:space="0" w:color="auto"/>
            <w:right w:val="none" w:sz="0" w:space="0" w:color="auto"/>
          </w:divBdr>
        </w:div>
        <w:div w:id="936711066">
          <w:marLeft w:val="640"/>
          <w:marRight w:val="0"/>
          <w:marTop w:val="0"/>
          <w:marBottom w:val="0"/>
          <w:divBdr>
            <w:top w:val="none" w:sz="0" w:space="0" w:color="auto"/>
            <w:left w:val="none" w:sz="0" w:space="0" w:color="auto"/>
            <w:bottom w:val="none" w:sz="0" w:space="0" w:color="auto"/>
            <w:right w:val="none" w:sz="0" w:space="0" w:color="auto"/>
          </w:divBdr>
        </w:div>
        <w:div w:id="1962295833">
          <w:marLeft w:val="640"/>
          <w:marRight w:val="0"/>
          <w:marTop w:val="0"/>
          <w:marBottom w:val="0"/>
          <w:divBdr>
            <w:top w:val="none" w:sz="0" w:space="0" w:color="auto"/>
            <w:left w:val="none" w:sz="0" w:space="0" w:color="auto"/>
            <w:bottom w:val="none" w:sz="0" w:space="0" w:color="auto"/>
            <w:right w:val="none" w:sz="0" w:space="0" w:color="auto"/>
          </w:divBdr>
        </w:div>
        <w:div w:id="703140272">
          <w:marLeft w:val="640"/>
          <w:marRight w:val="0"/>
          <w:marTop w:val="0"/>
          <w:marBottom w:val="0"/>
          <w:divBdr>
            <w:top w:val="none" w:sz="0" w:space="0" w:color="auto"/>
            <w:left w:val="none" w:sz="0" w:space="0" w:color="auto"/>
            <w:bottom w:val="none" w:sz="0" w:space="0" w:color="auto"/>
            <w:right w:val="none" w:sz="0" w:space="0" w:color="auto"/>
          </w:divBdr>
        </w:div>
        <w:div w:id="57020558">
          <w:marLeft w:val="640"/>
          <w:marRight w:val="0"/>
          <w:marTop w:val="0"/>
          <w:marBottom w:val="0"/>
          <w:divBdr>
            <w:top w:val="none" w:sz="0" w:space="0" w:color="auto"/>
            <w:left w:val="none" w:sz="0" w:space="0" w:color="auto"/>
            <w:bottom w:val="none" w:sz="0" w:space="0" w:color="auto"/>
            <w:right w:val="none" w:sz="0" w:space="0" w:color="auto"/>
          </w:divBdr>
        </w:div>
        <w:div w:id="190538973">
          <w:marLeft w:val="640"/>
          <w:marRight w:val="0"/>
          <w:marTop w:val="0"/>
          <w:marBottom w:val="0"/>
          <w:divBdr>
            <w:top w:val="none" w:sz="0" w:space="0" w:color="auto"/>
            <w:left w:val="none" w:sz="0" w:space="0" w:color="auto"/>
            <w:bottom w:val="none" w:sz="0" w:space="0" w:color="auto"/>
            <w:right w:val="none" w:sz="0" w:space="0" w:color="auto"/>
          </w:divBdr>
        </w:div>
        <w:div w:id="2079134742">
          <w:marLeft w:val="640"/>
          <w:marRight w:val="0"/>
          <w:marTop w:val="0"/>
          <w:marBottom w:val="0"/>
          <w:divBdr>
            <w:top w:val="none" w:sz="0" w:space="0" w:color="auto"/>
            <w:left w:val="none" w:sz="0" w:space="0" w:color="auto"/>
            <w:bottom w:val="none" w:sz="0" w:space="0" w:color="auto"/>
            <w:right w:val="none" w:sz="0" w:space="0" w:color="auto"/>
          </w:divBdr>
        </w:div>
        <w:div w:id="1255935075">
          <w:marLeft w:val="640"/>
          <w:marRight w:val="0"/>
          <w:marTop w:val="0"/>
          <w:marBottom w:val="0"/>
          <w:divBdr>
            <w:top w:val="none" w:sz="0" w:space="0" w:color="auto"/>
            <w:left w:val="none" w:sz="0" w:space="0" w:color="auto"/>
            <w:bottom w:val="none" w:sz="0" w:space="0" w:color="auto"/>
            <w:right w:val="none" w:sz="0" w:space="0" w:color="auto"/>
          </w:divBdr>
        </w:div>
        <w:div w:id="158541535">
          <w:marLeft w:val="640"/>
          <w:marRight w:val="0"/>
          <w:marTop w:val="0"/>
          <w:marBottom w:val="0"/>
          <w:divBdr>
            <w:top w:val="none" w:sz="0" w:space="0" w:color="auto"/>
            <w:left w:val="none" w:sz="0" w:space="0" w:color="auto"/>
            <w:bottom w:val="none" w:sz="0" w:space="0" w:color="auto"/>
            <w:right w:val="none" w:sz="0" w:space="0" w:color="auto"/>
          </w:divBdr>
        </w:div>
        <w:div w:id="1780223983">
          <w:marLeft w:val="640"/>
          <w:marRight w:val="0"/>
          <w:marTop w:val="0"/>
          <w:marBottom w:val="0"/>
          <w:divBdr>
            <w:top w:val="none" w:sz="0" w:space="0" w:color="auto"/>
            <w:left w:val="none" w:sz="0" w:space="0" w:color="auto"/>
            <w:bottom w:val="none" w:sz="0" w:space="0" w:color="auto"/>
            <w:right w:val="none" w:sz="0" w:space="0" w:color="auto"/>
          </w:divBdr>
        </w:div>
        <w:div w:id="1354116618">
          <w:marLeft w:val="640"/>
          <w:marRight w:val="0"/>
          <w:marTop w:val="0"/>
          <w:marBottom w:val="0"/>
          <w:divBdr>
            <w:top w:val="none" w:sz="0" w:space="0" w:color="auto"/>
            <w:left w:val="none" w:sz="0" w:space="0" w:color="auto"/>
            <w:bottom w:val="none" w:sz="0" w:space="0" w:color="auto"/>
            <w:right w:val="none" w:sz="0" w:space="0" w:color="auto"/>
          </w:divBdr>
        </w:div>
        <w:div w:id="529076079">
          <w:marLeft w:val="640"/>
          <w:marRight w:val="0"/>
          <w:marTop w:val="0"/>
          <w:marBottom w:val="0"/>
          <w:divBdr>
            <w:top w:val="none" w:sz="0" w:space="0" w:color="auto"/>
            <w:left w:val="none" w:sz="0" w:space="0" w:color="auto"/>
            <w:bottom w:val="none" w:sz="0" w:space="0" w:color="auto"/>
            <w:right w:val="none" w:sz="0" w:space="0" w:color="auto"/>
          </w:divBdr>
        </w:div>
        <w:div w:id="1969164850">
          <w:marLeft w:val="640"/>
          <w:marRight w:val="0"/>
          <w:marTop w:val="0"/>
          <w:marBottom w:val="0"/>
          <w:divBdr>
            <w:top w:val="none" w:sz="0" w:space="0" w:color="auto"/>
            <w:left w:val="none" w:sz="0" w:space="0" w:color="auto"/>
            <w:bottom w:val="none" w:sz="0" w:space="0" w:color="auto"/>
            <w:right w:val="none" w:sz="0" w:space="0" w:color="auto"/>
          </w:divBdr>
        </w:div>
        <w:div w:id="1144395750">
          <w:marLeft w:val="640"/>
          <w:marRight w:val="0"/>
          <w:marTop w:val="0"/>
          <w:marBottom w:val="0"/>
          <w:divBdr>
            <w:top w:val="none" w:sz="0" w:space="0" w:color="auto"/>
            <w:left w:val="none" w:sz="0" w:space="0" w:color="auto"/>
            <w:bottom w:val="none" w:sz="0" w:space="0" w:color="auto"/>
            <w:right w:val="none" w:sz="0" w:space="0" w:color="auto"/>
          </w:divBdr>
        </w:div>
        <w:div w:id="150416143">
          <w:marLeft w:val="640"/>
          <w:marRight w:val="0"/>
          <w:marTop w:val="0"/>
          <w:marBottom w:val="0"/>
          <w:divBdr>
            <w:top w:val="none" w:sz="0" w:space="0" w:color="auto"/>
            <w:left w:val="none" w:sz="0" w:space="0" w:color="auto"/>
            <w:bottom w:val="none" w:sz="0" w:space="0" w:color="auto"/>
            <w:right w:val="none" w:sz="0" w:space="0" w:color="auto"/>
          </w:divBdr>
        </w:div>
        <w:div w:id="454980204">
          <w:marLeft w:val="640"/>
          <w:marRight w:val="0"/>
          <w:marTop w:val="0"/>
          <w:marBottom w:val="0"/>
          <w:divBdr>
            <w:top w:val="none" w:sz="0" w:space="0" w:color="auto"/>
            <w:left w:val="none" w:sz="0" w:space="0" w:color="auto"/>
            <w:bottom w:val="none" w:sz="0" w:space="0" w:color="auto"/>
            <w:right w:val="none" w:sz="0" w:space="0" w:color="auto"/>
          </w:divBdr>
        </w:div>
        <w:div w:id="164976491">
          <w:marLeft w:val="640"/>
          <w:marRight w:val="0"/>
          <w:marTop w:val="0"/>
          <w:marBottom w:val="0"/>
          <w:divBdr>
            <w:top w:val="none" w:sz="0" w:space="0" w:color="auto"/>
            <w:left w:val="none" w:sz="0" w:space="0" w:color="auto"/>
            <w:bottom w:val="none" w:sz="0" w:space="0" w:color="auto"/>
            <w:right w:val="none" w:sz="0" w:space="0" w:color="auto"/>
          </w:divBdr>
        </w:div>
        <w:div w:id="1906794409">
          <w:marLeft w:val="640"/>
          <w:marRight w:val="0"/>
          <w:marTop w:val="0"/>
          <w:marBottom w:val="0"/>
          <w:divBdr>
            <w:top w:val="none" w:sz="0" w:space="0" w:color="auto"/>
            <w:left w:val="none" w:sz="0" w:space="0" w:color="auto"/>
            <w:bottom w:val="none" w:sz="0" w:space="0" w:color="auto"/>
            <w:right w:val="none" w:sz="0" w:space="0" w:color="auto"/>
          </w:divBdr>
        </w:div>
        <w:div w:id="816458033">
          <w:marLeft w:val="640"/>
          <w:marRight w:val="0"/>
          <w:marTop w:val="0"/>
          <w:marBottom w:val="0"/>
          <w:divBdr>
            <w:top w:val="none" w:sz="0" w:space="0" w:color="auto"/>
            <w:left w:val="none" w:sz="0" w:space="0" w:color="auto"/>
            <w:bottom w:val="none" w:sz="0" w:space="0" w:color="auto"/>
            <w:right w:val="none" w:sz="0" w:space="0" w:color="auto"/>
          </w:divBdr>
        </w:div>
        <w:div w:id="820970290">
          <w:marLeft w:val="640"/>
          <w:marRight w:val="0"/>
          <w:marTop w:val="0"/>
          <w:marBottom w:val="0"/>
          <w:divBdr>
            <w:top w:val="none" w:sz="0" w:space="0" w:color="auto"/>
            <w:left w:val="none" w:sz="0" w:space="0" w:color="auto"/>
            <w:bottom w:val="none" w:sz="0" w:space="0" w:color="auto"/>
            <w:right w:val="none" w:sz="0" w:space="0" w:color="auto"/>
          </w:divBdr>
        </w:div>
        <w:div w:id="441729337">
          <w:marLeft w:val="640"/>
          <w:marRight w:val="0"/>
          <w:marTop w:val="0"/>
          <w:marBottom w:val="0"/>
          <w:divBdr>
            <w:top w:val="none" w:sz="0" w:space="0" w:color="auto"/>
            <w:left w:val="none" w:sz="0" w:space="0" w:color="auto"/>
            <w:bottom w:val="none" w:sz="0" w:space="0" w:color="auto"/>
            <w:right w:val="none" w:sz="0" w:space="0" w:color="auto"/>
          </w:divBdr>
        </w:div>
        <w:div w:id="323972446">
          <w:marLeft w:val="640"/>
          <w:marRight w:val="0"/>
          <w:marTop w:val="0"/>
          <w:marBottom w:val="0"/>
          <w:divBdr>
            <w:top w:val="none" w:sz="0" w:space="0" w:color="auto"/>
            <w:left w:val="none" w:sz="0" w:space="0" w:color="auto"/>
            <w:bottom w:val="none" w:sz="0" w:space="0" w:color="auto"/>
            <w:right w:val="none" w:sz="0" w:space="0" w:color="auto"/>
          </w:divBdr>
        </w:div>
        <w:div w:id="91554192">
          <w:marLeft w:val="640"/>
          <w:marRight w:val="0"/>
          <w:marTop w:val="0"/>
          <w:marBottom w:val="0"/>
          <w:divBdr>
            <w:top w:val="none" w:sz="0" w:space="0" w:color="auto"/>
            <w:left w:val="none" w:sz="0" w:space="0" w:color="auto"/>
            <w:bottom w:val="none" w:sz="0" w:space="0" w:color="auto"/>
            <w:right w:val="none" w:sz="0" w:space="0" w:color="auto"/>
          </w:divBdr>
        </w:div>
        <w:div w:id="374625256">
          <w:marLeft w:val="640"/>
          <w:marRight w:val="0"/>
          <w:marTop w:val="0"/>
          <w:marBottom w:val="0"/>
          <w:divBdr>
            <w:top w:val="none" w:sz="0" w:space="0" w:color="auto"/>
            <w:left w:val="none" w:sz="0" w:space="0" w:color="auto"/>
            <w:bottom w:val="none" w:sz="0" w:space="0" w:color="auto"/>
            <w:right w:val="none" w:sz="0" w:space="0" w:color="auto"/>
          </w:divBdr>
        </w:div>
        <w:div w:id="570432294">
          <w:marLeft w:val="640"/>
          <w:marRight w:val="0"/>
          <w:marTop w:val="0"/>
          <w:marBottom w:val="0"/>
          <w:divBdr>
            <w:top w:val="none" w:sz="0" w:space="0" w:color="auto"/>
            <w:left w:val="none" w:sz="0" w:space="0" w:color="auto"/>
            <w:bottom w:val="none" w:sz="0" w:space="0" w:color="auto"/>
            <w:right w:val="none" w:sz="0" w:space="0" w:color="auto"/>
          </w:divBdr>
        </w:div>
        <w:div w:id="2080905675">
          <w:marLeft w:val="640"/>
          <w:marRight w:val="0"/>
          <w:marTop w:val="0"/>
          <w:marBottom w:val="0"/>
          <w:divBdr>
            <w:top w:val="none" w:sz="0" w:space="0" w:color="auto"/>
            <w:left w:val="none" w:sz="0" w:space="0" w:color="auto"/>
            <w:bottom w:val="none" w:sz="0" w:space="0" w:color="auto"/>
            <w:right w:val="none" w:sz="0" w:space="0" w:color="auto"/>
          </w:divBdr>
        </w:div>
      </w:divsChild>
    </w:div>
    <w:div w:id="1869294423">
      <w:bodyDiv w:val="1"/>
      <w:marLeft w:val="0"/>
      <w:marRight w:val="0"/>
      <w:marTop w:val="0"/>
      <w:marBottom w:val="0"/>
      <w:divBdr>
        <w:top w:val="none" w:sz="0" w:space="0" w:color="auto"/>
        <w:left w:val="none" w:sz="0" w:space="0" w:color="auto"/>
        <w:bottom w:val="none" w:sz="0" w:space="0" w:color="auto"/>
        <w:right w:val="none" w:sz="0" w:space="0" w:color="auto"/>
      </w:divBdr>
      <w:divsChild>
        <w:div w:id="1386374704">
          <w:marLeft w:val="640"/>
          <w:marRight w:val="0"/>
          <w:marTop w:val="0"/>
          <w:marBottom w:val="0"/>
          <w:divBdr>
            <w:top w:val="none" w:sz="0" w:space="0" w:color="auto"/>
            <w:left w:val="none" w:sz="0" w:space="0" w:color="auto"/>
            <w:bottom w:val="none" w:sz="0" w:space="0" w:color="auto"/>
            <w:right w:val="none" w:sz="0" w:space="0" w:color="auto"/>
          </w:divBdr>
        </w:div>
        <w:div w:id="675619954">
          <w:marLeft w:val="640"/>
          <w:marRight w:val="0"/>
          <w:marTop w:val="0"/>
          <w:marBottom w:val="0"/>
          <w:divBdr>
            <w:top w:val="none" w:sz="0" w:space="0" w:color="auto"/>
            <w:left w:val="none" w:sz="0" w:space="0" w:color="auto"/>
            <w:bottom w:val="none" w:sz="0" w:space="0" w:color="auto"/>
            <w:right w:val="none" w:sz="0" w:space="0" w:color="auto"/>
          </w:divBdr>
        </w:div>
        <w:div w:id="1745369035">
          <w:marLeft w:val="640"/>
          <w:marRight w:val="0"/>
          <w:marTop w:val="0"/>
          <w:marBottom w:val="0"/>
          <w:divBdr>
            <w:top w:val="none" w:sz="0" w:space="0" w:color="auto"/>
            <w:left w:val="none" w:sz="0" w:space="0" w:color="auto"/>
            <w:bottom w:val="none" w:sz="0" w:space="0" w:color="auto"/>
            <w:right w:val="none" w:sz="0" w:space="0" w:color="auto"/>
          </w:divBdr>
        </w:div>
        <w:div w:id="105085057">
          <w:marLeft w:val="640"/>
          <w:marRight w:val="0"/>
          <w:marTop w:val="0"/>
          <w:marBottom w:val="0"/>
          <w:divBdr>
            <w:top w:val="none" w:sz="0" w:space="0" w:color="auto"/>
            <w:left w:val="none" w:sz="0" w:space="0" w:color="auto"/>
            <w:bottom w:val="none" w:sz="0" w:space="0" w:color="auto"/>
            <w:right w:val="none" w:sz="0" w:space="0" w:color="auto"/>
          </w:divBdr>
        </w:div>
        <w:div w:id="1809665018">
          <w:marLeft w:val="640"/>
          <w:marRight w:val="0"/>
          <w:marTop w:val="0"/>
          <w:marBottom w:val="0"/>
          <w:divBdr>
            <w:top w:val="none" w:sz="0" w:space="0" w:color="auto"/>
            <w:left w:val="none" w:sz="0" w:space="0" w:color="auto"/>
            <w:bottom w:val="none" w:sz="0" w:space="0" w:color="auto"/>
            <w:right w:val="none" w:sz="0" w:space="0" w:color="auto"/>
          </w:divBdr>
        </w:div>
        <w:div w:id="1800562725">
          <w:marLeft w:val="640"/>
          <w:marRight w:val="0"/>
          <w:marTop w:val="0"/>
          <w:marBottom w:val="0"/>
          <w:divBdr>
            <w:top w:val="none" w:sz="0" w:space="0" w:color="auto"/>
            <w:left w:val="none" w:sz="0" w:space="0" w:color="auto"/>
            <w:bottom w:val="none" w:sz="0" w:space="0" w:color="auto"/>
            <w:right w:val="none" w:sz="0" w:space="0" w:color="auto"/>
          </w:divBdr>
        </w:div>
        <w:div w:id="1940864953">
          <w:marLeft w:val="640"/>
          <w:marRight w:val="0"/>
          <w:marTop w:val="0"/>
          <w:marBottom w:val="0"/>
          <w:divBdr>
            <w:top w:val="none" w:sz="0" w:space="0" w:color="auto"/>
            <w:left w:val="none" w:sz="0" w:space="0" w:color="auto"/>
            <w:bottom w:val="none" w:sz="0" w:space="0" w:color="auto"/>
            <w:right w:val="none" w:sz="0" w:space="0" w:color="auto"/>
          </w:divBdr>
        </w:div>
        <w:div w:id="301085595">
          <w:marLeft w:val="640"/>
          <w:marRight w:val="0"/>
          <w:marTop w:val="0"/>
          <w:marBottom w:val="0"/>
          <w:divBdr>
            <w:top w:val="none" w:sz="0" w:space="0" w:color="auto"/>
            <w:left w:val="none" w:sz="0" w:space="0" w:color="auto"/>
            <w:bottom w:val="none" w:sz="0" w:space="0" w:color="auto"/>
            <w:right w:val="none" w:sz="0" w:space="0" w:color="auto"/>
          </w:divBdr>
        </w:div>
        <w:div w:id="669450910">
          <w:marLeft w:val="640"/>
          <w:marRight w:val="0"/>
          <w:marTop w:val="0"/>
          <w:marBottom w:val="0"/>
          <w:divBdr>
            <w:top w:val="none" w:sz="0" w:space="0" w:color="auto"/>
            <w:left w:val="none" w:sz="0" w:space="0" w:color="auto"/>
            <w:bottom w:val="none" w:sz="0" w:space="0" w:color="auto"/>
            <w:right w:val="none" w:sz="0" w:space="0" w:color="auto"/>
          </w:divBdr>
        </w:div>
        <w:div w:id="667831327">
          <w:marLeft w:val="640"/>
          <w:marRight w:val="0"/>
          <w:marTop w:val="0"/>
          <w:marBottom w:val="0"/>
          <w:divBdr>
            <w:top w:val="none" w:sz="0" w:space="0" w:color="auto"/>
            <w:left w:val="none" w:sz="0" w:space="0" w:color="auto"/>
            <w:bottom w:val="none" w:sz="0" w:space="0" w:color="auto"/>
            <w:right w:val="none" w:sz="0" w:space="0" w:color="auto"/>
          </w:divBdr>
        </w:div>
        <w:div w:id="1064642428">
          <w:marLeft w:val="640"/>
          <w:marRight w:val="0"/>
          <w:marTop w:val="0"/>
          <w:marBottom w:val="0"/>
          <w:divBdr>
            <w:top w:val="none" w:sz="0" w:space="0" w:color="auto"/>
            <w:left w:val="none" w:sz="0" w:space="0" w:color="auto"/>
            <w:bottom w:val="none" w:sz="0" w:space="0" w:color="auto"/>
            <w:right w:val="none" w:sz="0" w:space="0" w:color="auto"/>
          </w:divBdr>
        </w:div>
        <w:div w:id="1571694247">
          <w:marLeft w:val="640"/>
          <w:marRight w:val="0"/>
          <w:marTop w:val="0"/>
          <w:marBottom w:val="0"/>
          <w:divBdr>
            <w:top w:val="none" w:sz="0" w:space="0" w:color="auto"/>
            <w:left w:val="none" w:sz="0" w:space="0" w:color="auto"/>
            <w:bottom w:val="none" w:sz="0" w:space="0" w:color="auto"/>
            <w:right w:val="none" w:sz="0" w:space="0" w:color="auto"/>
          </w:divBdr>
        </w:div>
        <w:div w:id="1104299268">
          <w:marLeft w:val="640"/>
          <w:marRight w:val="0"/>
          <w:marTop w:val="0"/>
          <w:marBottom w:val="0"/>
          <w:divBdr>
            <w:top w:val="none" w:sz="0" w:space="0" w:color="auto"/>
            <w:left w:val="none" w:sz="0" w:space="0" w:color="auto"/>
            <w:bottom w:val="none" w:sz="0" w:space="0" w:color="auto"/>
            <w:right w:val="none" w:sz="0" w:space="0" w:color="auto"/>
          </w:divBdr>
        </w:div>
        <w:div w:id="1766413605">
          <w:marLeft w:val="640"/>
          <w:marRight w:val="0"/>
          <w:marTop w:val="0"/>
          <w:marBottom w:val="0"/>
          <w:divBdr>
            <w:top w:val="none" w:sz="0" w:space="0" w:color="auto"/>
            <w:left w:val="none" w:sz="0" w:space="0" w:color="auto"/>
            <w:bottom w:val="none" w:sz="0" w:space="0" w:color="auto"/>
            <w:right w:val="none" w:sz="0" w:space="0" w:color="auto"/>
          </w:divBdr>
        </w:div>
        <w:div w:id="1814520495">
          <w:marLeft w:val="640"/>
          <w:marRight w:val="0"/>
          <w:marTop w:val="0"/>
          <w:marBottom w:val="0"/>
          <w:divBdr>
            <w:top w:val="none" w:sz="0" w:space="0" w:color="auto"/>
            <w:left w:val="none" w:sz="0" w:space="0" w:color="auto"/>
            <w:bottom w:val="none" w:sz="0" w:space="0" w:color="auto"/>
            <w:right w:val="none" w:sz="0" w:space="0" w:color="auto"/>
          </w:divBdr>
        </w:div>
        <w:div w:id="145898013">
          <w:marLeft w:val="640"/>
          <w:marRight w:val="0"/>
          <w:marTop w:val="0"/>
          <w:marBottom w:val="0"/>
          <w:divBdr>
            <w:top w:val="none" w:sz="0" w:space="0" w:color="auto"/>
            <w:left w:val="none" w:sz="0" w:space="0" w:color="auto"/>
            <w:bottom w:val="none" w:sz="0" w:space="0" w:color="auto"/>
            <w:right w:val="none" w:sz="0" w:space="0" w:color="auto"/>
          </w:divBdr>
        </w:div>
        <w:div w:id="349528697">
          <w:marLeft w:val="640"/>
          <w:marRight w:val="0"/>
          <w:marTop w:val="0"/>
          <w:marBottom w:val="0"/>
          <w:divBdr>
            <w:top w:val="none" w:sz="0" w:space="0" w:color="auto"/>
            <w:left w:val="none" w:sz="0" w:space="0" w:color="auto"/>
            <w:bottom w:val="none" w:sz="0" w:space="0" w:color="auto"/>
            <w:right w:val="none" w:sz="0" w:space="0" w:color="auto"/>
          </w:divBdr>
        </w:div>
        <w:div w:id="1484859562">
          <w:marLeft w:val="640"/>
          <w:marRight w:val="0"/>
          <w:marTop w:val="0"/>
          <w:marBottom w:val="0"/>
          <w:divBdr>
            <w:top w:val="none" w:sz="0" w:space="0" w:color="auto"/>
            <w:left w:val="none" w:sz="0" w:space="0" w:color="auto"/>
            <w:bottom w:val="none" w:sz="0" w:space="0" w:color="auto"/>
            <w:right w:val="none" w:sz="0" w:space="0" w:color="auto"/>
          </w:divBdr>
        </w:div>
        <w:div w:id="1940795336">
          <w:marLeft w:val="640"/>
          <w:marRight w:val="0"/>
          <w:marTop w:val="0"/>
          <w:marBottom w:val="0"/>
          <w:divBdr>
            <w:top w:val="none" w:sz="0" w:space="0" w:color="auto"/>
            <w:left w:val="none" w:sz="0" w:space="0" w:color="auto"/>
            <w:bottom w:val="none" w:sz="0" w:space="0" w:color="auto"/>
            <w:right w:val="none" w:sz="0" w:space="0" w:color="auto"/>
          </w:divBdr>
        </w:div>
        <w:div w:id="140776782">
          <w:marLeft w:val="640"/>
          <w:marRight w:val="0"/>
          <w:marTop w:val="0"/>
          <w:marBottom w:val="0"/>
          <w:divBdr>
            <w:top w:val="none" w:sz="0" w:space="0" w:color="auto"/>
            <w:left w:val="none" w:sz="0" w:space="0" w:color="auto"/>
            <w:bottom w:val="none" w:sz="0" w:space="0" w:color="auto"/>
            <w:right w:val="none" w:sz="0" w:space="0" w:color="auto"/>
          </w:divBdr>
        </w:div>
        <w:div w:id="98259807">
          <w:marLeft w:val="640"/>
          <w:marRight w:val="0"/>
          <w:marTop w:val="0"/>
          <w:marBottom w:val="0"/>
          <w:divBdr>
            <w:top w:val="none" w:sz="0" w:space="0" w:color="auto"/>
            <w:left w:val="none" w:sz="0" w:space="0" w:color="auto"/>
            <w:bottom w:val="none" w:sz="0" w:space="0" w:color="auto"/>
            <w:right w:val="none" w:sz="0" w:space="0" w:color="auto"/>
          </w:divBdr>
        </w:div>
        <w:div w:id="464394228">
          <w:marLeft w:val="640"/>
          <w:marRight w:val="0"/>
          <w:marTop w:val="0"/>
          <w:marBottom w:val="0"/>
          <w:divBdr>
            <w:top w:val="none" w:sz="0" w:space="0" w:color="auto"/>
            <w:left w:val="none" w:sz="0" w:space="0" w:color="auto"/>
            <w:bottom w:val="none" w:sz="0" w:space="0" w:color="auto"/>
            <w:right w:val="none" w:sz="0" w:space="0" w:color="auto"/>
          </w:divBdr>
        </w:div>
        <w:div w:id="176043005">
          <w:marLeft w:val="640"/>
          <w:marRight w:val="0"/>
          <w:marTop w:val="0"/>
          <w:marBottom w:val="0"/>
          <w:divBdr>
            <w:top w:val="none" w:sz="0" w:space="0" w:color="auto"/>
            <w:left w:val="none" w:sz="0" w:space="0" w:color="auto"/>
            <w:bottom w:val="none" w:sz="0" w:space="0" w:color="auto"/>
            <w:right w:val="none" w:sz="0" w:space="0" w:color="auto"/>
          </w:divBdr>
        </w:div>
        <w:div w:id="2704407">
          <w:marLeft w:val="640"/>
          <w:marRight w:val="0"/>
          <w:marTop w:val="0"/>
          <w:marBottom w:val="0"/>
          <w:divBdr>
            <w:top w:val="none" w:sz="0" w:space="0" w:color="auto"/>
            <w:left w:val="none" w:sz="0" w:space="0" w:color="auto"/>
            <w:bottom w:val="none" w:sz="0" w:space="0" w:color="auto"/>
            <w:right w:val="none" w:sz="0" w:space="0" w:color="auto"/>
          </w:divBdr>
        </w:div>
        <w:div w:id="77946188">
          <w:marLeft w:val="640"/>
          <w:marRight w:val="0"/>
          <w:marTop w:val="0"/>
          <w:marBottom w:val="0"/>
          <w:divBdr>
            <w:top w:val="none" w:sz="0" w:space="0" w:color="auto"/>
            <w:left w:val="none" w:sz="0" w:space="0" w:color="auto"/>
            <w:bottom w:val="none" w:sz="0" w:space="0" w:color="auto"/>
            <w:right w:val="none" w:sz="0" w:space="0" w:color="auto"/>
          </w:divBdr>
        </w:div>
        <w:div w:id="1463573853">
          <w:marLeft w:val="640"/>
          <w:marRight w:val="0"/>
          <w:marTop w:val="0"/>
          <w:marBottom w:val="0"/>
          <w:divBdr>
            <w:top w:val="none" w:sz="0" w:space="0" w:color="auto"/>
            <w:left w:val="none" w:sz="0" w:space="0" w:color="auto"/>
            <w:bottom w:val="none" w:sz="0" w:space="0" w:color="auto"/>
            <w:right w:val="none" w:sz="0" w:space="0" w:color="auto"/>
          </w:divBdr>
        </w:div>
        <w:div w:id="1539586774">
          <w:marLeft w:val="640"/>
          <w:marRight w:val="0"/>
          <w:marTop w:val="0"/>
          <w:marBottom w:val="0"/>
          <w:divBdr>
            <w:top w:val="none" w:sz="0" w:space="0" w:color="auto"/>
            <w:left w:val="none" w:sz="0" w:space="0" w:color="auto"/>
            <w:bottom w:val="none" w:sz="0" w:space="0" w:color="auto"/>
            <w:right w:val="none" w:sz="0" w:space="0" w:color="auto"/>
          </w:divBdr>
        </w:div>
        <w:div w:id="2040735451">
          <w:marLeft w:val="640"/>
          <w:marRight w:val="0"/>
          <w:marTop w:val="0"/>
          <w:marBottom w:val="0"/>
          <w:divBdr>
            <w:top w:val="none" w:sz="0" w:space="0" w:color="auto"/>
            <w:left w:val="none" w:sz="0" w:space="0" w:color="auto"/>
            <w:bottom w:val="none" w:sz="0" w:space="0" w:color="auto"/>
            <w:right w:val="none" w:sz="0" w:space="0" w:color="auto"/>
          </w:divBdr>
        </w:div>
        <w:div w:id="1794984423">
          <w:marLeft w:val="640"/>
          <w:marRight w:val="0"/>
          <w:marTop w:val="0"/>
          <w:marBottom w:val="0"/>
          <w:divBdr>
            <w:top w:val="none" w:sz="0" w:space="0" w:color="auto"/>
            <w:left w:val="none" w:sz="0" w:space="0" w:color="auto"/>
            <w:bottom w:val="none" w:sz="0" w:space="0" w:color="auto"/>
            <w:right w:val="none" w:sz="0" w:space="0" w:color="auto"/>
          </w:divBdr>
        </w:div>
        <w:div w:id="2090032075">
          <w:marLeft w:val="640"/>
          <w:marRight w:val="0"/>
          <w:marTop w:val="0"/>
          <w:marBottom w:val="0"/>
          <w:divBdr>
            <w:top w:val="none" w:sz="0" w:space="0" w:color="auto"/>
            <w:left w:val="none" w:sz="0" w:space="0" w:color="auto"/>
            <w:bottom w:val="none" w:sz="0" w:space="0" w:color="auto"/>
            <w:right w:val="none" w:sz="0" w:space="0" w:color="auto"/>
          </w:divBdr>
        </w:div>
        <w:div w:id="954751966">
          <w:marLeft w:val="640"/>
          <w:marRight w:val="0"/>
          <w:marTop w:val="0"/>
          <w:marBottom w:val="0"/>
          <w:divBdr>
            <w:top w:val="none" w:sz="0" w:space="0" w:color="auto"/>
            <w:left w:val="none" w:sz="0" w:space="0" w:color="auto"/>
            <w:bottom w:val="none" w:sz="0" w:space="0" w:color="auto"/>
            <w:right w:val="none" w:sz="0" w:space="0" w:color="auto"/>
          </w:divBdr>
        </w:div>
        <w:div w:id="1007757647">
          <w:marLeft w:val="640"/>
          <w:marRight w:val="0"/>
          <w:marTop w:val="0"/>
          <w:marBottom w:val="0"/>
          <w:divBdr>
            <w:top w:val="none" w:sz="0" w:space="0" w:color="auto"/>
            <w:left w:val="none" w:sz="0" w:space="0" w:color="auto"/>
            <w:bottom w:val="none" w:sz="0" w:space="0" w:color="auto"/>
            <w:right w:val="none" w:sz="0" w:space="0" w:color="auto"/>
          </w:divBdr>
        </w:div>
        <w:div w:id="1002971960">
          <w:marLeft w:val="640"/>
          <w:marRight w:val="0"/>
          <w:marTop w:val="0"/>
          <w:marBottom w:val="0"/>
          <w:divBdr>
            <w:top w:val="none" w:sz="0" w:space="0" w:color="auto"/>
            <w:left w:val="none" w:sz="0" w:space="0" w:color="auto"/>
            <w:bottom w:val="none" w:sz="0" w:space="0" w:color="auto"/>
            <w:right w:val="none" w:sz="0" w:space="0" w:color="auto"/>
          </w:divBdr>
        </w:div>
        <w:div w:id="1824813446">
          <w:marLeft w:val="640"/>
          <w:marRight w:val="0"/>
          <w:marTop w:val="0"/>
          <w:marBottom w:val="0"/>
          <w:divBdr>
            <w:top w:val="none" w:sz="0" w:space="0" w:color="auto"/>
            <w:left w:val="none" w:sz="0" w:space="0" w:color="auto"/>
            <w:bottom w:val="none" w:sz="0" w:space="0" w:color="auto"/>
            <w:right w:val="none" w:sz="0" w:space="0" w:color="auto"/>
          </w:divBdr>
        </w:div>
        <w:div w:id="1153834401">
          <w:marLeft w:val="640"/>
          <w:marRight w:val="0"/>
          <w:marTop w:val="0"/>
          <w:marBottom w:val="0"/>
          <w:divBdr>
            <w:top w:val="none" w:sz="0" w:space="0" w:color="auto"/>
            <w:left w:val="none" w:sz="0" w:space="0" w:color="auto"/>
            <w:bottom w:val="none" w:sz="0" w:space="0" w:color="auto"/>
            <w:right w:val="none" w:sz="0" w:space="0" w:color="auto"/>
          </w:divBdr>
        </w:div>
        <w:div w:id="1686058702">
          <w:marLeft w:val="640"/>
          <w:marRight w:val="0"/>
          <w:marTop w:val="0"/>
          <w:marBottom w:val="0"/>
          <w:divBdr>
            <w:top w:val="none" w:sz="0" w:space="0" w:color="auto"/>
            <w:left w:val="none" w:sz="0" w:space="0" w:color="auto"/>
            <w:bottom w:val="none" w:sz="0" w:space="0" w:color="auto"/>
            <w:right w:val="none" w:sz="0" w:space="0" w:color="auto"/>
          </w:divBdr>
        </w:div>
        <w:div w:id="388841458">
          <w:marLeft w:val="640"/>
          <w:marRight w:val="0"/>
          <w:marTop w:val="0"/>
          <w:marBottom w:val="0"/>
          <w:divBdr>
            <w:top w:val="none" w:sz="0" w:space="0" w:color="auto"/>
            <w:left w:val="none" w:sz="0" w:space="0" w:color="auto"/>
            <w:bottom w:val="none" w:sz="0" w:space="0" w:color="auto"/>
            <w:right w:val="none" w:sz="0" w:space="0" w:color="auto"/>
          </w:divBdr>
        </w:div>
        <w:div w:id="1690794090">
          <w:marLeft w:val="640"/>
          <w:marRight w:val="0"/>
          <w:marTop w:val="0"/>
          <w:marBottom w:val="0"/>
          <w:divBdr>
            <w:top w:val="none" w:sz="0" w:space="0" w:color="auto"/>
            <w:left w:val="none" w:sz="0" w:space="0" w:color="auto"/>
            <w:bottom w:val="none" w:sz="0" w:space="0" w:color="auto"/>
            <w:right w:val="none" w:sz="0" w:space="0" w:color="auto"/>
          </w:divBdr>
        </w:div>
        <w:div w:id="1600681046">
          <w:marLeft w:val="640"/>
          <w:marRight w:val="0"/>
          <w:marTop w:val="0"/>
          <w:marBottom w:val="0"/>
          <w:divBdr>
            <w:top w:val="none" w:sz="0" w:space="0" w:color="auto"/>
            <w:left w:val="none" w:sz="0" w:space="0" w:color="auto"/>
            <w:bottom w:val="none" w:sz="0" w:space="0" w:color="auto"/>
            <w:right w:val="none" w:sz="0" w:space="0" w:color="auto"/>
          </w:divBdr>
        </w:div>
        <w:div w:id="942490570">
          <w:marLeft w:val="640"/>
          <w:marRight w:val="0"/>
          <w:marTop w:val="0"/>
          <w:marBottom w:val="0"/>
          <w:divBdr>
            <w:top w:val="none" w:sz="0" w:space="0" w:color="auto"/>
            <w:left w:val="none" w:sz="0" w:space="0" w:color="auto"/>
            <w:bottom w:val="none" w:sz="0" w:space="0" w:color="auto"/>
            <w:right w:val="none" w:sz="0" w:space="0" w:color="auto"/>
          </w:divBdr>
        </w:div>
        <w:div w:id="943390788">
          <w:marLeft w:val="640"/>
          <w:marRight w:val="0"/>
          <w:marTop w:val="0"/>
          <w:marBottom w:val="0"/>
          <w:divBdr>
            <w:top w:val="none" w:sz="0" w:space="0" w:color="auto"/>
            <w:left w:val="none" w:sz="0" w:space="0" w:color="auto"/>
            <w:bottom w:val="none" w:sz="0" w:space="0" w:color="auto"/>
            <w:right w:val="none" w:sz="0" w:space="0" w:color="auto"/>
          </w:divBdr>
        </w:div>
        <w:div w:id="1953391874">
          <w:marLeft w:val="640"/>
          <w:marRight w:val="0"/>
          <w:marTop w:val="0"/>
          <w:marBottom w:val="0"/>
          <w:divBdr>
            <w:top w:val="none" w:sz="0" w:space="0" w:color="auto"/>
            <w:left w:val="none" w:sz="0" w:space="0" w:color="auto"/>
            <w:bottom w:val="none" w:sz="0" w:space="0" w:color="auto"/>
            <w:right w:val="none" w:sz="0" w:space="0" w:color="auto"/>
          </w:divBdr>
        </w:div>
        <w:div w:id="1561134625">
          <w:marLeft w:val="640"/>
          <w:marRight w:val="0"/>
          <w:marTop w:val="0"/>
          <w:marBottom w:val="0"/>
          <w:divBdr>
            <w:top w:val="none" w:sz="0" w:space="0" w:color="auto"/>
            <w:left w:val="none" w:sz="0" w:space="0" w:color="auto"/>
            <w:bottom w:val="none" w:sz="0" w:space="0" w:color="auto"/>
            <w:right w:val="none" w:sz="0" w:space="0" w:color="auto"/>
          </w:divBdr>
        </w:div>
        <w:div w:id="478692074">
          <w:marLeft w:val="640"/>
          <w:marRight w:val="0"/>
          <w:marTop w:val="0"/>
          <w:marBottom w:val="0"/>
          <w:divBdr>
            <w:top w:val="none" w:sz="0" w:space="0" w:color="auto"/>
            <w:left w:val="none" w:sz="0" w:space="0" w:color="auto"/>
            <w:bottom w:val="none" w:sz="0" w:space="0" w:color="auto"/>
            <w:right w:val="none" w:sz="0" w:space="0" w:color="auto"/>
          </w:divBdr>
        </w:div>
        <w:div w:id="1868179265">
          <w:marLeft w:val="640"/>
          <w:marRight w:val="0"/>
          <w:marTop w:val="0"/>
          <w:marBottom w:val="0"/>
          <w:divBdr>
            <w:top w:val="none" w:sz="0" w:space="0" w:color="auto"/>
            <w:left w:val="none" w:sz="0" w:space="0" w:color="auto"/>
            <w:bottom w:val="none" w:sz="0" w:space="0" w:color="auto"/>
            <w:right w:val="none" w:sz="0" w:space="0" w:color="auto"/>
          </w:divBdr>
        </w:div>
        <w:div w:id="1291933329">
          <w:marLeft w:val="640"/>
          <w:marRight w:val="0"/>
          <w:marTop w:val="0"/>
          <w:marBottom w:val="0"/>
          <w:divBdr>
            <w:top w:val="none" w:sz="0" w:space="0" w:color="auto"/>
            <w:left w:val="none" w:sz="0" w:space="0" w:color="auto"/>
            <w:bottom w:val="none" w:sz="0" w:space="0" w:color="auto"/>
            <w:right w:val="none" w:sz="0" w:space="0" w:color="auto"/>
          </w:divBdr>
        </w:div>
        <w:div w:id="952397608">
          <w:marLeft w:val="640"/>
          <w:marRight w:val="0"/>
          <w:marTop w:val="0"/>
          <w:marBottom w:val="0"/>
          <w:divBdr>
            <w:top w:val="none" w:sz="0" w:space="0" w:color="auto"/>
            <w:left w:val="none" w:sz="0" w:space="0" w:color="auto"/>
            <w:bottom w:val="none" w:sz="0" w:space="0" w:color="auto"/>
            <w:right w:val="none" w:sz="0" w:space="0" w:color="auto"/>
          </w:divBdr>
        </w:div>
        <w:div w:id="122239702">
          <w:marLeft w:val="640"/>
          <w:marRight w:val="0"/>
          <w:marTop w:val="0"/>
          <w:marBottom w:val="0"/>
          <w:divBdr>
            <w:top w:val="none" w:sz="0" w:space="0" w:color="auto"/>
            <w:left w:val="none" w:sz="0" w:space="0" w:color="auto"/>
            <w:bottom w:val="none" w:sz="0" w:space="0" w:color="auto"/>
            <w:right w:val="none" w:sz="0" w:space="0" w:color="auto"/>
          </w:divBdr>
        </w:div>
        <w:div w:id="1546479551">
          <w:marLeft w:val="640"/>
          <w:marRight w:val="0"/>
          <w:marTop w:val="0"/>
          <w:marBottom w:val="0"/>
          <w:divBdr>
            <w:top w:val="none" w:sz="0" w:space="0" w:color="auto"/>
            <w:left w:val="none" w:sz="0" w:space="0" w:color="auto"/>
            <w:bottom w:val="none" w:sz="0" w:space="0" w:color="auto"/>
            <w:right w:val="none" w:sz="0" w:space="0" w:color="auto"/>
          </w:divBdr>
        </w:div>
        <w:div w:id="1791314774">
          <w:marLeft w:val="640"/>
          <w:marRight w:val="0"/>
          <w:marTop w:val="0"/>
          <w:marBottom w:val="0"/>
          <w:divBdr>
            <w:top w:val="none" w:sz="0" w:space="0" w:color="auto"/>
            <w:left w:val="none" w:sz="0" w:space="0" w:color="auto"/>
            <w:bottom w:val="none" w:sz="0" w:space="0" w:color="auto"/>
            <w:right w:val="none" w:sz="0" w:space="0" w:color="auto"/>
          </w:divBdr>
        </w:div>
        <w:div w:id="28534019">
          <w:marLeft w:val="640"/>
          <w:marRight w:val="0"/>
          <w:marTop w:val="0"/>
          <w:marBottom w:val="0"/>
          <w:divBdr>
            <w:top w:val="none" w:sz="0" w:space="0" w:color="auto"/>
            <w:left w:val="none" w:sz="0" w:space="0" w:color="auto"/>
            <w:bottom w:val="none" w:sz="0" w:space="0" w:color="auto"/>
            <w:right w:val="none" w:sz="0" w:space="0" w:color="auto"/>
          </w:divBdr>
        </w:div>
        <w:div w:id="1123034796">
          <w:marLeft w:val="640"/>
          <w:marRight w:val="0"/>
          <w:marTop w:val="0"/>
          <w:marBottom w:val="0"/>
          <w:divBdr>
            <w:top w:val="none" w:sz="0" w:space="0" w:color="auto"/>
            <w:left w:val="none" w:sz="0" w:space="0" w:color="auto"/>
            <w:bottom w:val="none" w:sz="0" w:space="0" w:color="auto"/>
            <w:right w:val="none" w:sz="0" w:space="0" w:color="auto"/>
          </w:divBdr>
        </w:div>
        <w:div w:id="50619042">
          <w:marLeft w:val="640"/>
          <w:marRight w:val="0"/>
          <w:marTop w:val="0"/>
          <w:marBottom w:val="0"/>
          <w:divBdr>
            <w:top w:val="none" w:sz="0" w:space="0" w:color="auto"/>
            <w:left w:val="none" w:sz="0" w:space="0" w:color="auto"/>
            <w:bottom w:val="none" w:sz="0" w:space="0" w:color="auto"/>
            <w:right w:val="none" w:sz="0" w:space="0" w:color="auto"/>
          </w:divBdr>
        </w:div>
        <w:div w:id="427890515">
          <w:marLeft w:val="640"/>
          <w:marRight w:val="0"/>
          <w:marTop w:val="0"/>
          <w:marBottom w:val="0"/>
          <w:divBdr>
            <w:top w:val="none" w:sz="0" w:space="0" w:color="auto"/>
            <w:left w:val="none" w:sz="0" w:space="0" w:color="auto"/>
            <w:bottom w:val="none" w:sz="0" w:space="0" w:color="auto"/>
            <w:right w:val="none" w:sz="0" w:space="0" w:color="auto"/>
          </w:divBdr>
        </w:div>
        <w:div w:id="1800997440">
          <w:marLeft w:val="640"/>
          <w:marRight w:val="0"/>
          <w:marTop w:val="0"/>
          <w:marBottom w:val="0"/>
          <w:divBdr>
            <w:top w:val="none" w:sz="0" w:space="0" w:color="auto"/>
            <w:left w:val="none" w:sz="0" w:space="0" w:color="auto"/>
            <w:bottom w:val="none" w:sz="0" w:space="0" w:color="auto"/>
            <w:right w:val="none" w:sz="0" w:space="0" w:color="auto"/>
          </w:divBdr>
        </w:div>
        <w:div w:id="2123719721">
          <w:marLeft w:val="640"/>
          <w:marRight w:val="0"/>
          <w:marTop w:val="0"/>
          <w:marBottom w:val="0"/>
          <w:divBdr>
            <w:top w:val="none" w:sz="0" w:space="0" w:color="auto"/>
            <w:left w:val="none" w:sz="0" w:space="0" w:color="auto"/>
            <w:bottom w:val="none" w:sz="0" w:space="0" w:color="auto"/>
            <w:right w:val="none" w:sz="0" w:space="0" w:color="auto"/>
          </w:divBdr>
        </w:div>
        <w:div w:id="1676496660">
          <w:marLeft w:val="640"/>
          <w:marRight w:val="0"/>
          <w:marTop w:val="0"/>
          <w:marBottom w:val="0"/>
          <w:divBdr>
            <w:top w:val="none" w:sz="0" w:space="0" w:color="auto"/>
            <w:left w:val="none" w:sz="0" w:space="0" w:color="auto"/>
            <w:bottom w:val="none" w:sz="0" w:space="0" w:color="auto"/>
            <w:right w:val="none" w:sz="0" w:space="0" w:color="auto"/>
          </w:divBdr>
        </w:div>
        <w:div w:id="882909158">
          <w:marLeft w:val="640"/>
          <w:marRight w:val="0"/>
          <w:marTop w:val="0"/>
          <w:marBottom w:val="0"/>
          <w:divBdr>
            <w:top w:val="none" w:sz="0" w:space="0" w:color="auto"/>
            <w:left w:val="none" w:sz="0" w:space="0" w:color="auto"/>
            <w:bottom w:val="none" w:sz="0" w:space="0" w:color="auto"/>
            <w:right w:val="none" w:sz="0" w:space="0" w:color="auto"/>
          </w:divBdr>
        </w:div>
        <w:div w:id="109593227">
          <w:marLeft w:val="640"/>
          <w:marRight w:val="0"/>
          <w:marTop w:val="0"/>
          <w:marBottom w:val="0"/>
          <w:divBdr>
            <w:top w:val="none" w:sz="0" w:space="0" w:color="auto"/>
            <w:left w:val="none" w:sz="0" w:space="0" w:color="auto"/>
            <w:bottom w:val="none" w:sz="0" w:space="0" w:color="auto"/>
            <w:right w:val="none" w:sz="0" w:space="0" w:color="auto"/>
          </w:divBdr>
        </w:div>
        <w:div w:id="220793927">
          <w:marLeft w:val="640"/>
          <w:marRight w:val="0"/>
          <w:marTop w:val="0"/>
          <w:marBottom w:val="0"/>
          <w:divBdr>
            <w:top w:val="none" w:sz="0" w:space="0" w:color="auto"/>
            <w:left w:val="none" w:sz="0" w:space="0" w:color="auto"/>
            <w:bottom w:val="none" w:sz="0" w:space="0" w:color="auto"/>
            <w:right w:val="none" w:sz="0" w:space="0" w:color="auto"/>
          </w:divBdr>
        </w:div>
        <w:div w:id="844631241">
          <w:marLeft w:val="640"/>
          <w:marRight w:val="0"/>
          <w:marTop w:val="0"/>
          <w:marBottom w:val="0"/>
          <w:divBdr>
            <w:top w:val="none" w:sz="0" w:space="0" w:color="auto"/>
            <w:left w:val="none" w:sz="0" w:space="0" w:color="auto"/>
            <w:bottom w:val="none" w:sz="0" w:space="0" w:color="auto"/>
            <w:right w:val="none" w:sz="0" w:space="0" w:color="auto"/>
          </w:divBdr>
        </w:div>
        <w:div w:id="970355810">
          <w:marLeft w:val="640"/>
          <w:marRight w:val="0"/>
          <w:marTop w:val="0"/>
          <w:marBottom w:val="0"/>
          <w:divBdr>
            <w:top w:val="none" w:sz="0" w:space="0" w:color="auto"/>
            <w:left w:val="none" w:sz="0" w:space="0" w:color="auto"/>
            <w:bottom w:val="none" w:sz="0" w:space="0" w:color="auto"/>
            <w:right w:val="none" w:sz="0" w:space="0" w:color="auto"/>
          </w:divBdr>
        </w:div>
        <w:div w:id="1843818011">
          <w:marLeft w:val="640"/>
          <w:marRight w:val="0"/>
          <w:marTop w:val="0"/>
          <w:marBottom w:val="0"/>
          <w:divBdr>
            <w:top w:val="none" w:sz="0" w:space="0" w:color="auto"/>
            <w:left w:val="none" w:sz="0" w:space="0" w:color="auto"/>
            <w:bottom w:val="none" w:sz="0" w:space="0" w:color="auto"/>
            <w:right w:val="none" w:sz="0" w:space="0" w:color="auto"/>
          </w:divBdr>
        </w:div>
        <w:div w:id="1979407923">
          <w:marLeft w:val="640"/>
          <w:marRight w:val="0"/>
          <w:marTop w:val="0"/>
          <w:marBottom w:val="0"/>
          <w:divBdr>
            <w:top w:val="none" w:sz="0" w:space="0" w:color="auto"/>
            <w:left w:val="none" w:sz="0" w:space="0" w:color="auto"/>
            <w:bottom w:val="none" w:sz="0" w:space="0" w:color="auto"/>
            <w:right w:val="none" w:sz="0" w:space="0" w:color="auto"/>
          </w:divBdr>
        </w:div>
        <w:div w:id="32463339">
          <w:marLeft w:val="640"/>
          <w:marRight w:val="0"/>
          <w:marTop w:val="0"/>
          <w:marBottom w:val="0"/>
          <w:divBdr>
            <w:top w:val="none" w:sz="0" w:space="0" w:color="auto"/>
            <w:left w:val="none" w:sz="0" w:space="0" w:color="auto"/>
            <w:bottom w:val="none" w:sz="0" w:space="0" w:color="auto"/>
            <w:right w:val="none" w:sz="0" w:space="0" w:color="auto"/>
          </w:divBdr>
        </w:div>
        <w:div w:id="467017947">
          <w:marLeft w:val="640"/>
          <w:marRight w:val="0"/>
          <w:marTop w:val="0"/>
          <w:marBottom w:val="0"/>
          <w:divBdr>
            <w:top w:val="none" w:sz="0" w:space="0" w:color="auto"/>
            <w:left w:val="none" w:sz="0" w:space="0" w:color="auto"/>
            <w:bottom w:val="none" w:sz="0" w:space="0" w:color="auto"/>
            <w:right w:val="none" w:sz="0" w:space="0" w:color="auto"/>
          </w:divBdr>
        </w:div>
        <w:div w:id="130445165">
          <w:marLeft w:val="640"/>
          <w:marRight w:val="0"/>
          <w:marTop w:val="0"/>
          <w:marBottom w:val="0"/>
          <w:divBdr>
            <w:top w:val="none" w:sz="0" w:space="0" w:color="auto"/>
            <w:left w:val="none" w:sz="0" w:space="0" w:color="auto"/>
            <w:bottom w:val="none" w:sz="0" w:space="0" w:color="auto"/>
            <w:right w:val="none" w:sz="0" w:space="0" w:color="auto"/>
          </w:divBdr>
        </w:div>
        <w:div w:id="865606254">
          <w:marLeft w:val="640"/>
          <w:marRight w:val="0"/>
          <w:marTop w:val="0"/>
          <w:marBottom w:val="0"/>
          <w:divBdr>
            <w:top w:val="none" w:sz="0" w:space="0" w:color="auto"/>
            <w:left w:val="none" w:sz="0" w:space="0" w:color="auto"/>
            <w:bottom w:val="none" w:sz="0" w:space="0" w:color="auto"/>
            <w:right w:val="none" w:sz="0" w:space="0" w:color="auto"/>
          </w:divBdr>
        </w:div>
        <w:div w:id="529612718">
          <w:marLeft w:val="640"/>
          <w:marRight w:val="0"/>
          <w:marTop w:val="0"/>
          <w:marBottom w:val="0"/>
          <w:divBdr>
            <w:top w:val="none" w:sz="0" w:space="0" w:color="auto"/>
            <w:left w:val="none" w:sz="0" w:space="0" w:color="auto"/>
            <w:bottom w:val="none" w:sz="0" w:space="0" w:color="auto"/>
            <w:right w:val="none" w:sz="0" w:space="0" w:color="auto"/>
          </w:divBdr>
        </w:div>
        <w:div w:id="561407160">
          <w:marLeft w:val="640"/>
          <w:marRight w:val="0"/>
          <w:marTop w:val="0"/>
          <w:marBottom w:val="0"/>
          <w:divBdr>
            <w:top w:val="none" w:sz="0" w:space="0" w:color="auto"/>
            <w:left w:val="none" w:sz="0" w:space="0" w:color="auto"/>
            <w:bottom w:val="none" w:sz="0" w:space="0" w:color="auto"/>
            <w:right w:val="none" w:sz="0" w:space="0" w:color="auto"/>
          </w:divBdr>
        </w:div>
        <w:div w:id="2055932057">
          <w:marLeft w:val="640"/>
          <w:marRight w:val="0"/>
          <w:marTop w:val="0"/>
          <w:marBottom w:val="0"/>
          <w:divBdr>
            <w:top w:val="none" w:sz="0" w:space="0" w:color="auto"/>
            <w:left w:val="none" w:sz="0" w:space="0" w:color="auto"/>
            <w:bottom w:val="none" w:sz="0" w:space="0" w:color="auto"/>
            <w:right w:val="none" w:sz="0" w:space="0" w:color="auto"/>
          </w:divBdr>
        </w:div>
        <w:div w:id="594901394">
          <w:marLeft w:val="640"/>
          <w:marRight w:val="0"/>
          <w:marTop w:val="0"/>
          <w:marBottom w:val="0"/>
          <w:divBdr>
            <w:top w:val="none" w:sz="0" w:space="0" w:color="auto"/>
            <w:left w:val="none" w:sz="0" w:space="0" w:color="auto"/>
            <w:bottom w:val="none" w:sz="0" w:space="0" w:color="auto"/>
            <w:right w:val="none" w:sz="0" w:space="0" w:color="auto"/>
          </w:divBdr>
        </w:div>
        <w:div w:id="1404333946">
          <w:marLeft w:val="640"/>
          <w:marRight w:val="0"/>
          <w:marTop w:val="0"/>
          <w:marBottom w:val="0"/>
          <w:divBdr>
            <w:top w:val="none" w:sz="0" w:space="0" w:color="auto"/>
            <w:left w:val="none" w:sz="0" w:space="0" w:color="auto"/>
            <w:bottom w:val="none" w:sz="0" w:space="0" w:color="auto"/>
            <w:right w:val="none" w:sz="0" w:space="0" w:color="auto"/>
          </w:divBdr>
        </w:div>
        <w:div w:id="1857963421">
          <w:marLeft w:val="640"/>
          <w:marRight w:val="0"/>
          <w:marTop w:val="0"/>
          <w:marBottom w:val="0"/>
          <w:divBdr>
            <w:top w:val="none" w:sz="0" w:space="0" w:color="auto"/>
            <w:left w:val="none" w:sz="0" w:space="0" w:color="auto"/>
            <w:bottom w:val="none" w:sz="0" w:space="0" w:color="auto"/>
            <w:right w:val="none" w:sz="0" w:space="0" w:color="auto"/>
          </w:divBdr>
        </w:div>
        <w:div w:id="1595899800">
          <w:marLeft w:val="640"/>
          <w:marRight w:val="0"/>
          <w:marTop w:val="0"/>
          <w:marBottom w:val="0"/>
          <w:divBdr>
            <w:top w:val="none" w:sz="0" w:space="0" w:color="auto"/>
            <w:left w:val="none" w:sz="0" w:space="0" w:color="auto"/>
            <w:bottom w:val="none" w:sz="0" w:space="0" w:color="auto"/>
            <w:right w:val="none" w:sz="0" w:space="0" w:color="auto"/>
          </w:divBdr>
        </w:div>
        <w:div w:id="501507272">
          <w:marLeft w:val="640"/>
          <w:marRight w:val="0"/>
          <w:marTop w:val="0"/>
          <w:marBottom w:val="0"/>
          <w:divBdr>
            <w:top w:val="none" w:sz="0" w:space="0" w:color="auto"/>
            <w:left w:val="none" w:sz="0" w:space="0" w:color="auto"/>
            <w:bottom w:val="none" w:sz="0" w:space="0" w:color="auto"/>
            <w:right w:val="none" w:sz="0" w:space="0" w:color="auto"/>
          </w:divBdr>
        </w:div>
        <w:div w:id="773860434">
          <w:marLeft w:val="640"/>
          <w:marRight w:val="0"/>
          <w:marTop w:val="0"/>
          <w:marBottom w:val="0"/>
          <w:divBdr>
            <w:top w:val="none" w:sz="0" w:space="0" w:color="auto"/>
            <w:left w:val="none" w:sz="0" w:space="0" w:color="auto"/>
            <w:bottom w:val="none" w:sz="0" w:space="0" w:color="auto"/>
            <w:right w:val="none" w:sz="0" w:space="0" w:color="auto"/>
          </w:divBdr>
        </w:div>
        <w:div w:id="1369987889">
          <w:marLeft w:val="640"/>
          <w:marRight w:val="0"/>
          <w:marTop w:val="0"/>
          <w:marBottom w:val="0"/>
          <w:divBdr>
            <w:top w:val="none" w:sz="0" w:space="0" w:color="auto"/>
            <w:left w:val="none" w:sz="0" w:space="0" w:color="auto"/>
            <w:bottom w:val="none" w:sz="0" w:space="0" w:color="auto"/>
            <w:right w:val="none" w:sz="0" w:space="0" w:color="auto"/>
          </w:divBdr>
        </w:div>
        <w:div w:id="1499492159">
          <w:marLeft w:val="640"/>
          <w:marRight w:val="0"/>
          <w:marTop w:val="0"/>
          <w:marBottom w:val="0"/>
          <w:divBdr>
            <w:top w:val="none" w:sz="0" w:space="0" w:color="auto"/>
            <w:left w:val="none" w:sz="0" w:space="0" w:color="auto"/>
            <w:bottom w:val="none" w:sz="0" w:space="0" w:color="auto"/>
            <w:right w:val="none" w:sz="0" w:space="0" w:color="auto"/>
          </w:divBdr>
        </w:div>
        <w:div w:id="1137064657">
          <w:marLeft w:val="640"/>
          <w:marRight w:val="0"/>
          <w:marTop w:val="0"/>
          <w:marBottom w:val="0"/>
          <w:divBdr>
            <w:top w:val="none" w:sz="0" w:space="0" w:color="auto"/>
            <w:left w:val="none" w:sz="0" w:space="0" w:color="auto"/>
            <w:bottom w:val="none" w:sz="0" w:space="0" w:color="auto"/>
            <w:right w:val="none" w:sz="0" w:space="0" w:color="auto"/>
          </w:divBdr>
        </w:div>
        <w:div w:id="1411807445">
          <w:marLeft w:val="640"/>
          <w:marRight w:val="0"/>
          <w:marTop w:val="0"/>
          <w:marBottom w:val="0"/>
          <w:divBdr>
            <w:top w:val="none" w:sz="0" w:space="0" w:color="auto"/>
            <w:left w:val="none" w:sz="0" w:space="0" w:color="auto"/>
            <w:bottom w:val="none" w:sz="0" w:space="0" w:color="auto"/>
            <w:right w:val="none" w:sz="0" w:space="0" w:color="auto"/>
          </w:divBdr>
        </w:div>
        <w:div w:id="726996464">
          <w:marLeft w:val="640"/>
          <w:marRight w:val="0"/>
          <w:marTop w:val="0"/>
          <w:marBottom w:val="0"/>
          <w:divBdr>
            <w:top w:val="none" w:sz="0" w:space="0" w:color="auto"/>
            <w:left w:val="none" w:sz="0" w:space="0" w:color="auto"/>
            <w:bottom w:val="none" w:sz="0" w:space="0" w:color="auto"/>
            <w:right w:val="none" w:sz="0" w:space="0" w:color="auto"/>
          </w:divBdr>
        </w:div>
        <w:div w:id="346449878">
          <w:marLeft w:val="640"/>
          <w:marRight w:val="0"/>
          <w:marTop w:val="0"/>
          <w:marBottom w:val="0"/>
          <w:divBdr>
            <w:top w:val="none" w:sz="0" w:space="0" w:color="auto"/>
            <w:left w:val="none" w:sz="0" w:space="0" w:color="auto"/>
            <w:bottom w:val="none" w:sz="0" w:space="0" w:color="auto"/>
            <w:right w:val="none" w:sz="0" w:space="0" w:color="auto"/>
          </w:divBdr>
        </w:div>
        <w:div w:id="597373335">
          <w:marLeft w:val="640"/>
          <w:marRight w:val="0"/>
          <w:marTop w:val="0"/>
          <w:marBottom w:val="0"/>
          <w:divBdr>
            <w:top w:val="none" w:sz="0" w:space="0" w:color="auto"/>
            <w:left w:val="none" w:sz="0" w:space="0" w:color="auto"/>
            <w:bottom w:val="none" w:sz="0" w:space="0" w:color="auto"/>
            <w:right w:val="none" w:sz="0" w:space="0" w:color="auto"/>
          </w:divBdr>
        </w:div>
        <w:div w:id="1756173407">
          <w:marLeft w:val="640"/>
          <w:marRight w:val="0"/>
          <w:marTop w:val="0"/>
          <w:marBottom w:val="0"/>
          <w:divBdr>
            <w:top w:val="none" w:sz="0" w:space="0" w:color="auto"/>
            <w:left w:val="none" w:sz="0" w:space="0" w:color="auto"/>
            <w:bottom w:val="none" w:sz="0" w:space="0" w:color="auto"/>
            <w:right w:val="none" w:sz="0" w:space="0" w:color="auto"/>
          </w:divBdr>
        </w:div>
        <w:div w:id="782842223">
          <w:marLeft w:val="640"/>
          <w:marRight w:val="0"/>
          <w:marTop w:val="0"/>
          <w:marBottom w:val="0"/>
          <w:divBdr>
            <w:top w:val="none" w:sz="0" w:space="0" w:color="auto"/>
            <w:left w:val="none" w:sz="0" w:space="0" w:color="auto"/>
            <w:bottom w:val="none" w:sz="0" w:space="0" w:color="auto"/>
            <w:right w:val="none" w:sz="0" w:space="0" w:color="auto"/>
          </w:divBdr>
        </w:div>
        <w:div w:id="170220553">
          <w:marLeft w:val="640"/>
          <w:marRight w:val="0"/>
          <w:marTop w:val="0"/>
          <w:marBottom w:val="0"/>
          <w:divBdr>
            <w:top w:val="none" w:sz="0" w:space="0" w:color="auto"/>
            <w:left w:val="none" w:sz="0" w:space="0" w:color="auto"/>
            <w:bottom w:val="none" w:sz="0" w:space="0" w:color="auto"/>
            <w:right w:val="none" w:sz="0" w:space="0" w:color="auto"/>
          </w:divBdr>
        </w:div>
        <w:div w:id="844125274">
          <w:marLeft w:val="640"/>
          <w:marRight w:val="0"/>
          <w:marTop w:val="0"/>
          <w:marBottom w:val="0"/>
          <w:divBdr>
            <w:top w:val="none" w:sz="0" w:space="0" w:color="auto"/>
            <w:left w:val="none" w:sz="0" w:space="0" w:color="auto"/>
            <w:bottom w:val="none" w:sz="0" w:space="0" w:color="auto"/>
            <w:right w:val="none" w:sz="0" w:space="0" w:color="auto"/>
          </w:divBdr>
        </w:div>
        <w:div w:id="1886790301">
          <w:marLeft w:val="640"/>
          <w:marRight w:val="0"/>
          <w:marTop w:val="0"/>
          <w:marBottom w:val="0"/>
          <w:divBdr>
            <w:top w:val="none" w:sz="0" w:space="0" w:color="auto"/>
            <w:left w:val="none" w:sz="0" w:space="0" w:color="auto"/>
            <w:bottom w:val="none" w:sz="0" w:space="0" w:color="auto"/>
            <w:right w:val="none" w:sz="0" w:space="0" w:color="auto"/>
          </w:divBdr>
        </w:div>
        <w:div w:id="1686595562">
          <w:marLeft w:val="640"/>
          <w:marRight w:val="0"/>
          <w:marTop w:val="0"/>
          <w:marBottom w:val="0"/>
          <w:divBdr>
            <w:top w:val="none" w:sz="0" w:space="0" w:color="auto"/>
            <w:left w:val="none" w:sz="0" w:space="0" w:color="auto"/>
            <w:bottom w:val="none" w:sz="0" w:space="0" w:color="auto"/>
            <w:right w:val="none" w:sz="0" w:space="0" w:color="auto"/>
          </w:divBdr>
        </w:div>
        <w:div w:id="1246039079">
          <w:marLeft w:val="640"/>
          <w:marRight w:val="0"/>
          <w:marTop w:val="0"/>
          <w:marBottom w:val="0"/>
          <w:divBdr>
            <w:top w:val="none" w:sz="0" w:space="0" w:color="auto"/>
            <w:left w:val="none" w:sz="0" w:space="0" w:color="auto"/>
            <w:bottom w:val="none" w:sz="0" w:space="0" w:color="auto"/>
            <w:right w:val="none" w:sz="0" w:space="0" w:color="auto"/>
          </w:divBdr>
        </w:div>
        <w:div w:id="20324554">
          <w:marLeft w:val="640"/>
          <w:marRight w:val="0"/>
          <w:marTop w:val="0"/>
          <w:marBottom w:val="0"/>
          <w:divBdr>
            <w:top w:val="none" w:sz="0" w:space="0" w:color="auto"/>
            <w:left w:val="none" w:sz="0" w:space="0" w:color="auto"/>
            <w:bottom w:val="none" w:sz="0" w:space="0" w:color="auto"/>
            <w:right w:val="none" w:sz="0" w:space="0" w:color="auto"/>
          </w:divBdr>
        </w:div>
        <w:div w:id="2973899">
          <w:marLeft w:val="640"/>
          <w:marRight w:val="0"/>
          <w:marTop w:val="0"/>
          <w:marBottom w:val="0"/>
          <w:divBdr>
            <w:top w:val="none" w:sz="0" w:space="0" w:color="auto"/>
            <w:left w:val="none" w:sz="0" w:space="0" w:color="auto"/>
            <w:bottom w:val="none" w:sz="0" w:space="0" w:color="auto"/>
            <w:right w:val="none" w:sz="0" w:space="0" w:color="auto"/>
          </w:divBdr>
        </w:div>
        <w:div w:id="1314988196">
          <w:marLeft w:val="640"/>
          <w:marRight w:val="0"/>
          <w:marTop w:val="0"/>
          <w:marBottom w:val="0"/>
          <w:divBdr>
            <w:top w:val="none" w:sz="0" w:space="0" w:color="auto"/>
            <w:left w:val="none" w:sz="0" w:space="0" w:color="auto"/>
            <w:bottom w:val="none" w:sz="0" w:space="0" w:color="auto"/>
            <w:right w:val="none" w:sz="0" w:space="0" w:color="auto"/>
          </w:divBdr>
        </w:div>
        <w:div w:id="1681203137">
          <w:marLeft w:val="640"/>
          <w:marRight w:val="0"/>
          <w:marTop w:val="0"/>
          <w:marBottom w:val="0"/>
          <w:divBdr>
            <w:top w:val="none" w:sz="0" w:space="0" w:color="auto"/>
            <w:left w:val="none" w:sz="0" w:space="0" w:color="auto"/>
            <w:bottom w:val="none" w:sz="0" w:space="0" w:color="auto"/>
            <w:right w:val="none" w:sz="0" w:space="0" w:color="auto"/>
          </w:divBdr>
        </w:div>
        <w:div w:id="1012605363">
          <w:marLeft w:val="640"/>
          <w:marRight w:val="0"/>
          <w:marTop w:val="0"/>
          <w:marBottom w:val="0"/>
          <w:divBdr>
            <w:top w:val="none" w:sz="0" w:space="0" w:color="auto"/>
            <w:left w:val="none" w:sz="0" w:space="0" w:color="auto"/>
            <w:bottom w:val="none" w:sz="0" w:space="0" w:color="auto"/>
            <w:right w:val="none" w:sz="0" w:space="0" w:color="auto"/>
          </w:divBdr>
        </w:div>
        <w:div w:id="393504017">
          <w:marLeft w:val="640"/>
          <w:marRight w:val="0"/>
          <w:marTop w:val="0"/>
          <w:marBottom w:val="0"/>
          <w:divBdr>
            <w:top w:val="none" w:sz="0" w:space="0" w:color="auto"/>
            <w:left w:val="none" w:sz="0" w:space="0" w:color="auto"/>
            <w:bottom w:val="none" w:sz="0" w:space="0" w:color="auto"/>
            <w:right w:val="none" w:sz="0" w:space="0" w:color="auto"/>
          </w:divBdr>
        </w:div>
        <w:div w:id="1302804215">
          <w:marLeft w:val="640"/>
          <w:marRight w:val="0"/>
          <w:marTop w:val="0"/>
          <w:marBottom w:val="0"/>
          <w:divBdr>
            <w:top w:val="none" w:sz="0" w:space="0" w:color="auto"/>
            <w:left w:val="none" w:sz="0" w:space="0" w:color="auto"/>
            <w:bottom w:val="none" w:sz="0" w:space="0" w:color="auto"/>
            <w:right w:val="none" w:sz="0" w:space="0" w:color="auto"/>
          </w:divBdr>
        </w:div>
        <w:div w:id="966083680">
          <w:marLeft w:val="640"/>
          <w:marRight w:val="0"/>
          <w:marTop w:val="0"/>
          <w:marBottom w:val="0"/>
          <w:divBdr>
            <w:top w:val="none" w:sz="0" w:space="0" w:color="auto"/>
            <w:left w:val="none" w:sz="0" w:space="0" w:color="auto"/>
            <w:bottom w:val="none" w:sz="0" w:space="0" w:color="auto"/>
            <w:right w:val="none" w:sz="0" w:space="0" w:color="auto"/>
          </w:divBdr>
        </w:div>
        <w:div w:id="1364015074">
          <w:marLeft w:val="640"/>
          <w:marRight w:val="0"/>
          <w:marTop w:val="0"/>
          <w:marBottom w:val="0"/>
          <w:divBdr>
            <w:top w:val="none" w:sz="0" w:space="0" w:color="auto"/>
            <w:left w:val="none" w:sz="0" w:space="0" w:color="auto"/>
            <w:bottom w:val="none" w:sz="0" w:space="0" w:color="auto"/>
            <w:right w:val="none" w:sz="0" w:space="0" w:color="auto"/>
          </w:divBdr>
        </w:div>
        <w:div w:id="1484590436">
          <w:marLeft w:val="640"/>
          <w:marRight w:val="0"/>
          <w:marTop w:val="0"/>
          <w:marBottom w:val="0"/>
          <w:divBdr>
            <w:top w:val="none" w:sz="0" w:space="0" w:color="auto"/>
            <w:left w:val="none" w:sz="0" w:space="0" w:color="auto"/>
            <w:bottom w:val="none" w:sz="0" w:space="0" w:color="auto"/>
            <w:right w:val="none" w:sz="0" w:space="0" w:color="auto"/>
          </w:divBdr>
        </w:div>
        <w:div w:id="1427652911">
          <w:marLeft w:val="640"/>
          <w:marRight w:val="0"/>
          <w:marTop w:val="0"/>
          <w:marBottom w:val="0"/>
          <w:divBdr>
            <w:top w:val="none" w:sz="0" w:space="0" w:color="auto"/>
            <w:left w:val="none" w:sz="0" w:space="0" w:color="auto"/>
            <w:bottom w:val="none" w:sz="0" w:space="0" w:color="auto"/>
            <w:right w:val="none" w:sz="0" w:space="0" w:color="auto"/>
          </w:divBdr>
        </w:div>
        <w:div w:id="1195968343">
          <w:marLeft w:val="640"/>
          <w:marRight w:val="0"/>
          <w:marTop w:val="0"/>
          <w:marBottom w:val="0"/>
          <w:divBdr>
            <w:top w:val="none" w:sz="0" w:space="0" w:color="auto"/>
            <w:left w:val="none" w:sz="0" w:space="0" w:color="auto"/>
            <w:bottom w:val="none" w:sz="0" w:space="0" w:color="auto"/>
            <w:right w:val="none" w:sz="0" w:space="0" w:color="auto"/>
          </w:divBdr>
        </w:div>
        <w:div w:id="2028484217">
          <w:marLeft w:val="640"/>
          <w:marRight w:val="0"/>
          <w:marTop w:val="0"/>
          <w:marBottom w:val="0"/>
          <w:divBdr>
            <w:top w:val="none" w:sz="0" w:space="0" w:color="auto"/>
            <w:left w:val="none" w:sz="0" w:space="0" w:color="auto"/>
            <w:bottom w:val="none" w:sz="0" w:space="0" w:color="auto"/>
            <w:right w:val="none" w:sz="0" w:space="0" w:color="auto"/>
          </w:divBdr>
        </w:div>
        <w:div w:id="692078808">
          <w:marLeft w:val="640"/>
          <w:marRight w:val="0"/>
          <w:marTop w:val="0"/>
          <w:marBottom w:val="0"/>
          <w:divBdr>
            <w:top w:val="none" w:sz="0" w:space="0" w:color="auto"/>
            <w:left w:val="none" w:sz="0" w:space="0" w:color="auto"/>
            <w:bottom w:val="none" w:sz="0" w:space="0" w:color="auto"/>
            <w:right w:val="none" w:sz="0" w:space="0" w:color="auto"/>
          </w:divBdr>
        </w:div>
        <w:div w:id="1288701237">
          <w:marLeft w:val="640"/>
          <w:marRight w:val="0"/>
          <w:marTop w:val="0"/>
          <w:marBottom w:val="0"/>
          <w:divBdr>
            <w:top w:val="none" w:sz="0" w:space="0" w:color="auto"/>
            <w:left w:val="none" w:sz="0" w:space="0" w:color="auto"/>
            <w:bottom w:val="none" w:sz="0" w:space="0" w:color="auto"/>
            <w:right w:val="none" w:sz="0" w:space="0" w:color="auto"/>
          </w:divBdr>
        </w:div>
        <w:div w:id="1979066891">
          <w:marLeft w:val="640"/>
          <w:marRight w:val="0"/>
          <w:marTop w:val="0"/>
          <w:marBottom w:val="0"/>
          <w:divBdr>
            <w:top w:val="none" w:sz="0" w:space="0" w:color="auto"/>
            <w:left w:val="none" w:sz="0" w:space="0" w:color="auto"/>
            <w:bottom w:val="none" w:sz="0" w:space="0" w:color="auto"/>
            <w:right w:val="none" w:sz="0" w:space="0" w:color="auto"/>
          </w:divBdr>
        </w:div>
        <w:div w:id="1880044464">
          <w:marLeft w:val="640"/>
          <w:marRight w:val="0"/>
          <w:marTop w:val="0"/>
          <w:marBottom w:val="0"/>
          <w:divBdr>
            <w:top w:val="none" w:sz="0" w:space="0" w:color="auto"/>
            <w:left w:val="none" w:sz="0" w:space="0" w:color="auto"/>
            <w:bottom w:val="none" w:sz="0" w:space="0" w:color="auto"/>
            <w:right w:val="none" w:sz="0" w:space="0" w:color="auto"/>
          </w:divBdr>
        </w:div>
        <w:div w:id="299001780">
          <w:marLeft w:val="640"/>
          <w:marRight w:val="0"/>
          <w:marTop w:val="0"/>
          <w:marBottom w:val="0"/>
          <w:divBdr>
            <w:top w:val="none" w:sz="0" w:space="0" w:color="auto"/>
            <w:left w:val="none" w:sz="0" w:space="0" w:color="auto"/>
            <w:bottom w:val="none" w:sz="0" w:space="0" w:color="auto"/>
            <w:right w:val="none" w:sz="0" w:space="0" w:color="auto"/>
          </w:divBdr>
        </w:div>
        <w:div w:id="210770369">
          <w:marLeft w:val="640"/>
          <w:marRight w:val="0"/>
          <w:marTop w:val="0"/>
          <w:marBottom w:val="0"/>
          <w:divBdr>
            <w:top w:val="none" w:sz="0" w:space="0" w:color="auto"/>
            <w:left w:val="none" w:sz="0" w:space="0" w:color="auto"/>
            <w:bottom w:val="none" w:sz="0" w:space="0" w:color="auto"/>
            <w:right w:val="none" w:sz="0" w:space="0" w:color="auto"/>
          </w:divBdr>
        </w:div>
        <w:div w:id="2069573850">
          <w:marLeft w:val="640"/>
          <w:marRight w:val="0"/>
          <w:marTop w:val="0"/>
          <w:marBottom w:val="0"/>
          <w:divBdr>
            <w:top w:val="none" w:sz="0" w:space="0" w:color="auto"/>
            <w:left w:val="none" w:sz="0" w:space="0" w:color="auto"/>
            <w:bottom w:val="none" w:sz="0" w:space="0" w:color="auto"/>
            <w:right w:val="none" w:sz="0" w:space="0" w:color="auto"/>
          </w:divBdr>
        </w:div>
        <w:div w:id="726998461">
          <w:marLeft w:val="640"/>
          <w:marRight w:val="0"/>
          <w:marTop w:val="0"/>
          <w:marBottom w:val="0"/>
          <w:divBdr>
            <w:top w:val="none" w:sz="0" w:space="0" w:color="auto"/>
            <w:left w:val="none" w:sz="0" w:space="0" w:color="auto"/>
            <w:bottom w:val="none" w:sz="0" w:space="0" w:color="auto"/>
            <w:right w:val="none" w:sz="0" w:space="0" w:color="auto"/>
          </w:divBdr>
        </w:div>
        <w:div w:id="1227767679">
          <w:marLeft w:val="640"/>
          <w:marRight w:val="0"/>
          <w:marTop w:val="0"/>
          <w:marBottom w:val="0"/>
          <w:divBdr>
            <w:top w:val="none" w:sz="0" w:space="0" w:color="auto"/>
            <w:left w:val="none" w:sz="0" w:space="0" w:color="auto"/>
            <w:bottom w:val="none" w:sz="0" w:space="0" w:color="auto"/>
            <w:right w:val="none" w:sz="0" w:space="0" w:color="auto"/>
          </w:divBdr>
        </w:div>
        <w:div w:id="113646696">
          <w:marLeft w:val="640"/>
          <w:marRight w:val="0"/>
          <w:marTop w:val="0"/>
          <w:marBottom w:val="0"/>
          <w:divBdr>
            <w:top w:val="none" w:sz="0" w:space="0" w:color="auto"/>
            <w:left w:val="none" w:sz="0" w:space="0" w:color="auto"/>
            <w:bottom w:val="none" w:sz="0" w:space="0" w:color="auto"/>
            <w:right w:val="none" w:sz="0" w:space="0" w:color="auto"/>
          </w:divBdr>
        </w:div>
        <w:div w:id="700783525">
          <w:marLeft w:val="640"/>
          <w:marRight w:val="0"/>
          <w:marTop w:val="0"/>
          <w:marBottom w:val="0"/>
          <w:divBdr>
            <w:top w:val="none" w:sz="0" w:space="0" w:color="auto"/>
            <w:left w:val="none" w:sz="0" w:space="0" w:color="auto"/>
            <w:bottom w:val="none" w:sz="0" w:space="0" w:color="auto"/>
            <w:right w:val="none" w:sz="0" w:space="0" w:color="auto"/>
          </w:divBdr>
        </w:div>
        <w:div w:id="1043793725">
          <w:marLeft w:val="640"/>
          <w:marRight w:val="0"/>
          <w:marTop w:val="0"/>
          <w:marBottom w:val="0"/>
          <w:divBdr>
            <w:top w:val="none" w:sz="0" w:space="0" w:color="auto"/>
            <w:left w:val="none" w:sz="0" w:space="0" w:color="auto"/>
            <w:bottom w:val="none" w:sz="0" w:space="0" w:color="auto"/>
            <w:right w:val="none" w:sz="0" w:space="0" w:color="auto"/>
          </w:divBdr>
        </w:div>
        <w:div w:id="1655790126">
          <w:marLeft w:val="640"/>
          <w:marRight w:val="0"/>
          <w:marTop w:val="0"/>
          <w:marBottom w:val="0"/>
          <w:divBdr>
            <w:top w:val="none" w:sz="0" w:space="0" w:color="auto"/>
            <w:left w:val="none" w:sz="0" w:space="0" w:color="auto"/>
            <w:bottom w:val="none" w:sz="0" w:space="0" w:color="auto"/>
            <w:right w:val="none" w:sz="0" w:space="0" w:color="auto"/>
          </w:divBdr>
        </w:div>
        <w:div w:id="401370198">
          <w:marLeft w:val="640"/>
          <w:marRight w:val="0"/>
          <w:marTop w:val="0"/>
          <w:marBottom w:val="0"/>
          <w:divBdr>
            <w:top w:val="none" w:sz="0" w:space="0" w:color="auto"/>
            <w:left w:val="none" w:sz="0" w:space="0" w:color="auto"/>
            <w:bottom w:val="none" w:sz="0" w:space="0" w:color="auto"/>
            <w:right w:val="none" w:sz="0" w:space="0" w:color="auto"/>
          </w:divBdr>
        </w:div>
        <w:div w:id="1679497933">
          <w:marLeft w:val="640"/>
          <w:marRight w:val="0"/>
          <w:marTop w:val="0"/>
          <w:marBottom w:val="0"/>
          <w:divBdr>
            <w:top w:val="none" w:sz="0" w:space="0" w:color="auto"/>
            <w:left w:val="none" w:sz="0" w:space="0" w:color="auto"/>
            <w:bottom w:val="none" w:sz="0" w:space="0" w:color="auto"/>
            <w:right w:val="none" w:sz="0" w:space="0" w:color="auto"/>
          </w:divBdr>
        </w:div>
        <w:div w:id="649409391">
          <w:marLeft w:val="640"/>
          <w:marRight w:val="0"/>
          <w:marTop w:val="0"/>
          <w:marBottom w:val="0"/>
          <w:divBdr>
            <w:top w:val="none" w:sz="0" w:space="0" w:color="auto"/>
            <w:left w:val="none" w:sz="0" w:space="0" w:color="auto"/>
            <w:bottom w:val="none" w:sz="0" w:space="0" w:color="auto"/>
            <w:right w:val="none" w:sz="0" w:space="0" w:color="auto"/>
          </w:divBdr>
        </w:div>
        <w:div w:id="66614802">
          <w:marLeft w:val="640"/>
          <w:marRight w:val="0"/>
          <w:marTop w:val="0"/>
          <w:marBottom w:val="0"/>
          <w:divBdr>
            <w:top w:val="none" w:sz="0" w:space="0" w:color="auto"/>
            <w:left w:val="none" w:sz="0" w:space="0" w:color="auto"/>
            <w:bottom w:val="none" w:sz="0" w:space="0" w:color="auto"/>
            <w:right w:val="none" w:sz="0" w:space="0" w:color="auto"/>
          </w:divBdr>
        </w:div>
        <w:div w:id="183130095">
          <w:marLeft w:val="640"/>
          <w:marRight w:val="0"/>
          <w:marTop w:val="0"/>
          <w:marBottom w:val="0"/>
          <w:divBdr>
            <w:top w:val="none" w:sz="0" w:space="0" w:color="auto"/>
            <w:left w:val="none" w:sz="0" w:space="0" w:color="auto"/>
            <w:bottom w:val="none" w:sz="0" w:space="0" w:color="auto"/>
            <w:right w:val="none" w:sz="0" w:space="0" w:color="auto"/>
          </w:divBdr>
        </w:div>
        <w:div w:id="1604148405">
          <w:marLeft w:val="640"/>
          <w:marRight w:val="0"/>
          <w:marTop w:val="0"/>
          <w:marBottom w:val="0"/>
          <w:divBdr>
            <w:top w:val="none" w:sz="0" w:space="0" w:color="auto"/>
            <w:left w:val="none" w:sz="0" w:space="0" w:color="auto"/>
            <w:bottom w:val="none" w:sz="0" w:space="0" w:color="auto"/>
            <w:right w:val="none" w:sz="0" w:space="0" w:color="auto"/>
          </w:divBdr>
        </w:div>
        <w:div w:id="6837722">
          <w:marLeft w:val="640"/>
          <w:marRight w:val="0"/>
          <w:marTop w:val="0"/>
          <w:marBottom w:val="0"/>
          <w:divBdr>
            <w:top w:val="none" w:sz="0" w:space="0" w:color="auto"/>
            <w:left w:val="none" w:sz="0" w:space="0" w:color="auto"/>
            <w:bottom w:val="none" w:sz="0" w:space="0" w:color="auto"/>
            <w:right w:val="none" w:sz="0" w:space="0" w:color="auto"/>
          </w:divBdr>
        </w:div>
        <w:div w:id="193691354">
          <w:marLeft w:val="640"/>
          <w:marRight w:val="0"/>
          <w:marTop w:val="0"/>
          <w:marBottom w:val="0"/>
          <w:divBdr>
            <w:top w:val="none" w:sz="0" w:space="0" w:color="auto"/>
            <w:left w:val="none" w:sz="0" w:space="0" w:color="auto"/>
            <w:bottom w:val="none" w:sz="0" w:space="0" w:color="auto"/>
            <w:right w:val="none" w:sz="0" w:space="0" w:color="auto"/>
          </w:divBdr>
        </w:div>
        <w:div w:id="771435278">
          <w:marLeft w:val="640"/>
          <w:marRight w:val="0"/>
          <w:marTop w:val="0"/>
          <w:marBottom w:val="0"/>
          <w:divBdr>
            <w:top w:val="none" w:sz="0" w:space="0" w:color="auto"/>
            <w:left w:val="none" w:sz="0" w:space="0" w:color="auto"/>
            <w:bottom w:val="none" w:sz="0" w:space="0" w:color="auto"/>
            <w:right w:val="none" w:sz="0" w:space="0" w:color="auto"/>
          </w:divBdr>
        </w:div>
        <w:div w:id="1174032721">
          <w:marLeft w:val="640"/>
          <w:marRight w:val="0"/>
          <w:marTop w:val="0"/>
          <w:marBottom w:val="0"/>
          <w:divBdr>
            <w:top w:val="none" w:sz="0" w:space="0" w:color="auto"/>
            <w:left w:val="none" w:sz="0" w:space="0" w:color="auto"/>
            <w:bottom w:val="none" w:sz="0" w:space="0" w:color="auto"/>
            <w:right w:val="none" w:sz="0" w:space="0" w:color="auto"/>
          </w:divBdr>
        </w:div>
        <w:div w:id="1101219132">
          <w:marLeft w:val="640"/>
          <w:marRight w:val="0"/>
          <w:marTop w:val="0"/>
          <w:marBottom w:val="0"/>
          <w:divBdr>
            <w:top w:val="none" w:sz="0" w:space="0" w:color="auto"/>
            <w:left w:val="none" w:sz="0" w:space="0" w:color="auto"/>
            <w:bottom w:val="none" w:sz="0" w:space="0" w:color="auto"/>
            <w:right w:val="none" w:sz="0" w:space="0" w:color="auto"/>
          </w:divBdr>
        </w:div>
        <w:div w:id="1340504359">
          <w:marLeft w:val="640"/>
          <w:marRight w:val="0"/>
          <w:marTop w:val="0"/>
          <w:marBottom w:val="0"/>
          <w:divBdr>
            <w:top w:val="none" w:sz="0" w:space="0" w:color="auto"/>
            <w:left w:val="none" w:sz="0" w:space="0" w:color="auto"/>
            <w:bottom w:val="none" w:sz="0" w:space="0" w:color="auto"/>
            <w:right w:val="none" w:sz="0" w:space="0" w:color="auto"/>
          </w:divBdr>
        </w:div>
        <w:div w:id="2120641757">
          <w:marLeft w:val="640"/>
          <w:marRight w:val="0"/>
          <w:marTop w:val="0"/>
          <w:marBottom w:val="0"/>
          <w:divBdr>
            <w:top w:val="none" w:sz="0" w:space="0" w:color="auto"/>
            <w:left w:val="none" w:sz="0" w:space="0" w:color="auto"/>
            <w:bottom w:val="none" w:sz="0" w:space="0" w:color="auto"/>
            <w:right w:val="none" w:sz="0" w:space="0" w:color="auto"/>
          </w:divBdr>
        </w:div>
        <w:div w:id="1534268601">
          <w:marLeft w:val="640"/>
          <w:marRight w:val="0"/>
          <w:marTop w:val="0"/>
          <w:marBottom w:val="0"/>
          <w:divBdr>
            <w:top w:val="none" w:sz="0" w:space="0" w:color="auto"/>
            <w:left w:val="none" w:sz="0" w:space="0" w:color="auto"/>
            <w:bottom w:val="none" w:sz="0" w:space="0" w:color="auto"/>
            <w:right w:val="none" w:sz="0" w:space="0" w:color="auto"/>
          </w:divBdr>
        </w:div>
        <w:div w:id="2028170052">
          <w:marLeft w:val="640"/>
          <w:marRight w:val="0"/>
          <w:marTop w:val="0"/>
          <w:marBottom w:val="0"/>
          <w:divBdr>
            <w:top w:val="none" w:sz="0" w:space="0" w:color="auto"/>
            <w:left w:val="none" w:sz="0" w:space="0" w:color="auto"/>
            <w:bottom w:val="none" w:sz="0" w:space="0" w:color="auto"/>
            <w:right w:val="none" w:sz="0" w:space="0" w:color="auto"/>
          </w:divBdr>
        </w:div>
        <w:div w:id="1443064349">
          <w:marLeft w:val="640"/>
          <w:marRight w:val="0"/>
          <w:marTop w:val="0"/>
          <w:marBottom w:val="0"/>
          <w:divBdr>
            <w:top w:val="none" w:sz="0" w:space="0" w:color="auto"/>
            <w:left w:val="none" w:sz="0" w:space="0" w:color="auto"/>
            <w:bottom w:val="none" w:sz="0" w:space="0" w:color="auto"/>
            <w:right w:val="none" w:sz="0" w:space="0" w:color="auto"/>
          </w:divBdr>
        </w:div>
        <w:div w:id="963001076">
          <w:marLeft w:val="640"/>
          <w:marRight w:val="0"/>
          <w:marTop w:val="0"/>
          <w:marBottom w:val="0"/>
          <w:divBdr>
            <w:top w:val="none" w:sz="0" w:space="0" w:color="auto"/>
            <w:left w:val="none" w:sz="0" w:space="0" w:color="auto"/>
            <w:bottom w:val="none" w:sz="0" w:space="0" w:color="auto"/>
            <w:right w:val="none" w:sz="0" w:space="0" w:color="auto"/>
          </w:divBdr>
        </w:div>
        <w:div w:id="2025132139">
          <w:marLeft w:val="640"/>
          <w:marRight w:val="0"/>
          <w:marTop w:val="0"/>
          <w:marBottom w:val="0"/>
          <w:divBdr>
            <w:top w:val="none" w:sz="0" w:space="0" w:color="auto"/>
            <w:left w:val="none" w:sz="0" w:space="0" w:color="auto"/>
            <w:bottom w:val="none" w:sz="0" w:space="0" w:color="auto"/>
            <w:right w:val="none" w:sz="0" w:space="0" w:color="auto"/>
          </w:divBdr>
        </w:div>
        <w:div w:id="1240098341">
          <w:marLeft w:val="640"/>
          <w:marRight w:val="0"/>
          <w:marTop w:val="0"/>
          <w:marBottom w:val="0"/>
          <w:divBdr>
            <w:top w:val="none" w:sz="0" w:space="0" w:color="auto"/>
            <w:left w:val="none" w:sz="0" w:space="0" w:color="auto"/>
            <w:bottom w:val="none" w:sz="0" w:space="0" w:color="auto"/>
            <w:right w:val="none" w:sz="0" w:space="0" w:color="auto"/>
          </w:divBdr>
        </w:div>
        <w:div w:id="754516094">
          <w:marLeft w:val="640"/>
          <w:marRight w:val="0"/>
          <w:marTop w:val="0"/>
          <w:marBottom w:val="0"/>
          <w:divBdr>
            <w:top w:val="none" w:sz="0" w:space="0" w:color="auto"/>
            <w:left w:val="none" w:sz="0" w:space="0" w:color="auto"/>
            <w:bottom w:val="none" w:sz="0" w:space="0" w:color="auto"/>
            <w:right w:val="none" w:sz="0" w:space="0" w:color="auto"/>
          </w:divBdr>
        </w:div>
        <w:div w:id="1694258592">
          <w:marLeft w:val="640"/>
          <w:marRight w:val="0"/>
          <w:marTop w:val="0"/>
          <w:marBottom w:val="0"/>
          <w:divBdr>
            <w:top w:val="none" w:sz="0" w:space="0" w:color="auto"/>
            <w:left w:val="none" w:sz="0" w:space="0" w:color="auto"/>
            <w:bottom w:val="none" w:sz="0" w:space="0" w:color="auto"/>
            <w:right w:val="none" w:sz="0" w:space="0" w:color="auto"/>
          </w:divBdr>
        </w:div>
        <w:div w:id="653528295">
          <w:marLeft w:val="640"/>
          <w:marRight w:val="0"/>
          <w:marTop w:val="0"/>
          <w:marBottom w:val="0"/>
          <w:divBdr>
            <w:top w:val="none" w:sz="0" w:space="0" w:color="auto"/>
            <w:left w:val="none" w:sz="0" w:space="0" w:color="auto"/>
            <w:bottom w:val="none" w:sz="0" w:space="0" w:color="auto"/>
            <w:right w:val="none" w:sz="0" w:space="0" w:color="auto"/>
          </w:divBdr>
        </w:div>
        <w:div w:id="1048380984">
          <w:marLeft w:val="640"/>
          <w:marRight w:val="0"/>
          <w:marTop w:val="0"/>
          <w:marBottom w:val="0"/>
          <w:divBdr>
            <w:top w:val="none" w:sz="0" w:space="0" w:color="auto"/>
            <w:left w:val="none" w:sz="0" w:space="0" w:color="auto"/>
            <w:bottom w:val="none" w:sz="0" w:space="0" w:color="auto"/>
            <w:right w:val="none" w:sz="0" w:space="0" w:color="auto"/>
          </w:divBdr>
        </w:div>
        <w:div w:id="165705853">
          <w:marLeft w:val="640"/>
          <w:marRight w:val="0"/>
          <w:marTop w:val="0"/>
          <w:marBottom w:val="0"/>
          <w:divBdr>
            <w:top w:val="none" w:sz="0" w:space="0" w:color="auto"/>
            <w:left w:val="none" w:sz="0" w:space="0" w:color="auto"/>
            <w:bottom w:val="none" w:sz="0" w:space="0" w:color="auto"/>
            <w:right w:val="none" w:sz="0" w:space="0" w:color="auto"/>
          </w:divBdr>
        </w:div>
        <w:div w:id="2037803080">
          <w:marLeft w:val="640"/>
          <w:marRight w:val="0"/>
          <w:marTop w:val="0"/>
          <w:marBottom w:val="0"/>
          <w:divBdr>
            <w:top w:val="none" w:sz="0" w:space="0" w:color="auto"/>
            <w:left w:val="none" w:sz="0" w:space="0" w:color="auto"/>
            <w:bottom w:val="none" w:sz="0" w:space="0" w:color="auto"/>
            <w:right w:val="none" w:sz="0" w:space="0" w:color="auto"/>
          </w:divBdr>
        </w:div>
        <w:div w:id="1377118204">
          <w:marLeft w:val="640"/>
          <w:marRight w:val="0"/>
          <w:marTop w:val="0"/>
          <w:marBottom w:val="0"/>
          <w:divBdr>
            <w:top w:val="none" w:sz="0" w:space="0" w:color="auto"/>
            <w:left w:val="none" w:sz="0" w:space="0" w:color="auto"/>
            <w:bottom w:val="none" w:sz="0" w:space="0" w:color="auto"/>
            <w:right w:val="none" w:sz="0" w:space="0" w:color="auto"/>
          </w:divBdr>
        </w:div>
        <w:div w:id="1408306364">
          <w:marLeft w:val="640"/>
          <w:marRight w:val="0"/>
          <w:marTop w:val="0"/>
          <w:marBottom w:val="0"/>
          <w:divBdr>
            <w:top w:val="none" w:sz="0" w:space="0" w:color="auto"/>
            <w:left w:val="none" w:sz="0" w:space="0" w:color="auto"/>
            <w:bottom w:val="none" w:sz="0" w:space="0" w:color="auto"/>
            <w:right w:val="none" w:sz="0" w:space="0" w:color="auto"/>
          </w:divBdr>
        </w:div>
      </w:divsChild>
    </w:div>
    <w:div w:id="1874465983">
      <w:bodyDiv w:val="1"/>
      <w:marLeft w:val="0"/>
      <w:marRight w:val="0"/>
      <w:marTop w:val="0"/>
      <w:marBottom w:val="0"/>
      <w:divBdr>
        <w:top w:val="none" w:sz="0" w:space="0" w:color="auto"/>
        <w:left w:val="none" w:sz="0" w:space="0" w:color="auto"/>
        <w:bottom w:val="none" w:sz="0" w:space="0" w:color="auto"/>
        <w:right w:val="none" w:sz="0" w:space="0" w:color="auto"/>
      </w:divBdr>
      <w:divsChild>
        <w:div w:id="1747336746">
          <w:marLeft w:val="640"/>
          <w:marRight w:val="0"/>
          <w:marTop w:val="0"/>
          <w:marBottom w:val="0"/>
          <w:divBdr>
            <w:top w:val="none" w:sz="0" w:space="0" w:color="auto"/>
            <w:left w:val="none" w:sz="0" w:space="0" w:color="auto"/>
            <w:bottom w:val="none" w:sz="0" w:space="0" w:color="auto"/>
            <w:right w:val="none" w:sz="0" w:space="0" w:color="auto"/>
          </w:divBdr>
        </w:div>
        <w:div w:id="484056994">
          <w:marLeft w:val="640"/>
          <w:marRight w:val="0"/>
          <w:marTop w:val="0"/>
          <w:marBottom w:val="0"/>
          <w:divBdr>
            <w:top w:val="none" w:sz="0" w:space="0" w:color="auto"/>
            <w:left w:val="none" w:sz="0" w:space="0" w:color="auto"/>
            <w:bottom w:val="none" w:sz="0" w:space="0" w:color="auto"/>
            <w:right w:val="none" w:sz="0" w:space="0" w:color="auto"/>
          </w:divBdr>
        </w:div>
        <w:div w:id="2001423734">
          <w:marLeft w:val="640"/>
          <w:marRight w:val="0"/>
          <w:marTop w:val="0"/>
          <w:marBottom w:val="0"/>
          <w:divBdr>
            <w:top w:val="none" w:sz="0" w:space="0" w:color="auto"/>
            <w:left w:val="none" w:sz="0" w:space="0" w:color="auto"/>
            <w:bottom w:val="none" w:sz="0" w:space="0" w:color="auto"/>
            <w:right w:val="none" w:sz="0" w:space="0" w:color="auto"/>
          </w:divBdr>
        </w:div>
        <w:div w:id="2127429804">
          <w:marLeft w:val="640"/>
          <w:marRight w:val="0"/>
          <w:marTop w:val="0"/>
          <w:marBottom w:val="0"/>
          <w:divBdr>
            <w:top w:val="none" w:sz="0" w:space="0" w:color="auto"/>
            <w:left w:val="none" w:sz="0" w:space="0" w:color="auto"/>
            <w:bottom w:val="none" w:sz="0" w:space="0" w:color="auto"/>
            <w:right w:val="none" w:sz="0" w:space="0" w:color="auto"/>
          </w:divBdr>
        </w:div>
        <w:div w:id="70590109">
          <w:marLeft w:val="640"/>
          <w:marRight w:val="0"/>
          <w:marTop w:val="0"/>
          <w:marBottom w:val="0"/>
          <w:divBdr>
            <w:top w:val="none" w:sz="0" w:space="0" w:color="auto"/>
            <w:left w:val="none" w:sz="0" w:space="0" w:color="auto"/>
            <w:bottom w:val="none" w:sz="0" w:space="0" w:color="auto"/>
            <w:right w:val="none" w:sz="0" w:space="0" w:color="auto"/>
          </w:divBdr>
        </w:div>
        <w:div w:id="1981495070">
          <w:marLeft w:val="640"/>
          <w:marRight w:val="0"/>
          <w:marTop w:val="0"/>
          <w:marBottom w:val="0"/>
          <w:divBdr>
            <w:top w:val="none" w:sz="0" w:space="0" w:color="auto"/>
            <w:left w:val="none" w:sz="0" w:space="0" w:color="auto"/>
            <w:bottom w:val="none" w:sz="0" w:space="0" w:color="auto"/>
            <w:right w:val="none" w:sz="0" w:space="0" w:color="auto"/>
          </w:divBdr>
        </w:div>
        <w:div w:id="172956060">
          <w:marLeft w:val="640"/>
          <w:marRight w:val="0"/>
          <w:marTop w:val="0"/>
          <w:marBottom w:val="0"/>
          <w:divBdr>
            <w:top w:val="none" w:sz="0" w:space="0" w:color="auto"/>
            <w:left w:val="none" w:sz="0" w:space="0" w:color="auto"/>
            <w:bottom w:val="none" w:sz="0" w:space="0" w:color="auto"/>
            <w:right w:val="none" w:sz="0" w:space="0" w:color="auto"/>
          </w:divBdr>
        </w:div>
        <w:div w:id="791749610">
          <w:marLeft w:val="640"/>
          <w:marRight w:val="0"/>
          <w:marTop w:val="0"/>
          <w:marBottom w:val="0"/>
          <w:divBdr>
            <w:top w:val="none" w:sz="0" w:space="0" w:color="auto"/>
            <w:left w:val="none" w:sz="0" w:space="0" w:color="auto"/>
            <w:bottom w:val="none" w:sz="0" w:space="0" w:color="auto"/>
            <w:right w:val="none" w:sz="0" w:space="0" w:color="auto"/>
          </w:divBdr>
        </w:div>
        <w:div w:id="597836230">
          <w:marLeft w:val="640"/>
          <w:marRight w:val="0"/>
          <w:marTop w:val="0"/>
          <w:marBottom w:val="0"/>
          <w:divBdr>
            <w:top w:val="none" w:sz="0" w:space="0" w:color="auto"/>
            <w:left w:val="none" w:sz="0" w:space="0" w:color="auto"/>
            <w:bottom w:val="none" w:sz="0" w:space="0" w:color="auto"/>
            <w:right w:val="none" w:sz="0" w:space="0" w:color="auto"/>
          </w:divBdr>
        </w:div>
        <w:div w:id="1429933197">
          <w:marLeft w:val="640"/>
          <w:marRight w:val="0"/>
          <w:marTop w:val="0"/>
          <w:marBottom w:val="0"/>
          <w:divBdr>
            <w:top w:val="none" w:sz="0" w:space="0" w:color="auto"/>
            <w:left w:val="none" w:sz="0" w:space="0" w:color="auto"/>
            <w:bottom w:val="none" w:sz="0" w:space="0" w:color="auto"/>
            <w:right w:val="none" w:sz="0" w:space="0" w:color="auto"/>
          </w:divBdr>
        </w:div>
        <w:div w:id="382756472">
          <w:marLeft w:val="640"/>
          <w:marRight w:val="0"/>
          <w:marTop w:val="0"/>
          <w:marBottom w:val="0"/>
          <w:divBdr>
            <w:top w:val="none" w:sz="0" w:space="0" w:color="auto"/>
            <w:left w:val="none" w:sz="0" w:space="0" w:color="auto"/>
            <w:bottom w:val="none" w:sz="0" w:space="0" w:color="auto"/>
            <w:right w:val="none" w:sz="0" w:space="0" w:color="auto"/>
          </w:divBdr>
        </w:div>
        <w:div w:id="1526485453">
          <w:marLeft w:val="640"/>
          <w:marRight w:val="0"/>
          <w:marTop w:val="0"/>
          <w:marBottom w:val="0"/>
          <w:divBdr>
            <w:top w:val="none" w:sz="0" w:space="0" w:color="auto"/>
            <w:left w:val="none" w:sz="0" w:space="0" w:color="auto"/>
            <w:bottom w:val="none" w:sz="0" w:space="0" w:color="auto"/>
            <w:right w:val="none" w:sz="0" w:space="0" w:color="auto"/>
          </w:divBdr>
        </w:div>
        <w:div w:id="1636834070">
          <w:marLeft w:val="640"/>
          <w:marRight w:val="0"/>
          <w:marTop w:val="0"/>
          <w:marBottom w:val="0"/>
          <w:divBdr>
            <w:top w:val="none" w:sz="0" w:space="0" w:color="auto"/>
            <w:left w:val="none" w:sz="0" w:space="0" w:color="auto"/>
            <w:bottom w:val="none" w:sz="0" w:space="0" w:color="auto"/>
            <w:right w:val="none" w:sz="0" w:space="0" w:color="auto"/>
          </w:divBdr>
        </w:div>
        <w:div w:id="332806709">
          <w:marLeft w:val="640"/>
          <w:marRight w:val="0"/>
          <w:marTop w:val="0"/>
          <w:marBottom w:val="0"/>
          <w:divBdr>
            <w:top w:val="none" w:sz="0" w:space="0" w:color="auto"/>
            <w:left w:val="none" w:sz="0" w:space="0" w:color="auto"/>
            <w:bottom w:val="none" w:sz="0" w:space="0" w:color="auto"/>
            <w:right w:val="none" w:sz="0" w:space="0" w:color="auto"/>
          </w:divBdr>
        </w:div>
        <w:div w:id="743182062">
          <w:marLeft w:val="640"/>
          <w:marRight w:val="0"/>
          <w:marTop w:val="0"/>
          <w:marBottom w:val="0"/>
          <w:divBdr>
            <w:top w:val="none" w:sz="0" w:space="0" w:color="auto"/>
            <w:left w:val="none" w:sz="0" w:space="0" w:color="auto"/>
            <w:bottom w:val="none" w:sz="0" w:space="0" w:color="auto"/>
            <w:right w:val="none" w:sz="0" w:space="0" w:color="auto"/>
          </w:divBdr>
        </w:div>
        <w:div w:id="864441115">
          <w:marLeft w:val="640"/>
          <w:marRight w:val="0"/>
          <w:marTop w:val="0"/>
          <w:marBottom w:val="0"/>
          <w:divBdr>
            <w:top w:val="none" w:sz="0" w:space="0" w:color="auto"/>
            <w:left w:val="none" w:sz="0" w:space="0" w:color="auto"/>
            <w:bottom w:val="none" w:sz="0" w:space="0" w:color="auto"/>
            <w:right w:val="none" w:sz="0" w:space="0" w:color="auto"/>
          </w:divBdr>
        </w:div>
        <w:div w:id="1221021326">
          <w:marLeft w:val="640"/>
          <w:marRight w:val="0"/>
          <w:marTop w:val="0"/>
          <w:marBottom w:val="0"/>
          <w:divBdr>
            <w:top w:val="none" w:sz="0" w:space="0" w:color="auto"/>
            <w:left w:val="none" w:sz="0" w:space="0" w:color="auto"/>
            <w:bottom w:val="none" w:sz="0" w:space="0" w:color="auto"/>
            <w:right w:val="none" w:sz="0" w:space="0" w:color="auto"/>
          </w:divBdr>
        </w:div>
        <w:div w:id="1336304893">
          <w:marLeft w:val="640"/>
          <w:marRight w:val="0"/>
          <w:marTop w:val="0"/>
          <w:marBottom w:val="0"/>
          <w:divBdr>
            <w:top w:val="none" w:sz="0" w:space="0" w:color="auto"/>
            <w:left w:val="none" w:sz="0" w:space="0" w:color="auto"/>
            <w:bottom w:val="none" w:sz="0" w:space="0" w:color="auto"/>
            <w:right w:val="none" w:sz="0" w:space="0" w:color="auto"/>
          </w:divBdr>
        </w:div>
        <w:div w:id="1800143039">
          <w:marLeft w:val="640"/>
          <w:marRight w:val="0"/>
          <w:marTop w:val="0"/>
          <w:marBottom w:val="0"/>
          <w:divBdr>
            <w:top w:val="none" w:sz="0" w:space="0" w:color="auto"/>
            <w:left w:val="none" w:sz="0" w:space="0" w:color="auto"/>
            <w:bottom w:val="none" w:sz="0" w:space="0" w:color="auto"/>
            <w:right w:val="none" w:sz="0" w:space="0" w:color="auto"/>
          </w:divBdr>
        </w:div>
        <w:div w:id="1408309014">
          <w:marLeft w:val="640"/>
          <w:marRight w:val="0"/>
          <w:marTop w:val="0"/>
          <w:marBottom w:val="0"/>
          <w:divBdr>
            <w:top w:val="none" w:sz="0" w:space="0" w:color="auto"/>
            <w:left w:val="none" w:sz="0" w:space="0" w:color="auto"/>
            <w:bottom w:val="none" w:sz="0" w:space="0" w:color="auto"/>
            <w:right w:val="none" w:sz="0" w:space="0" w:color="auto"/>
          </w:divBdr>
        </w:div>
        <w:div w:id="806048342">
          <w:marLeft w:val="640"/>
          <w:marRight w:val="0"/>
          <w:marTop w:val="0"/>
          <w:marBottom w:val="0"/>
          <w:divBdr>
            <w:top w:val="none" w:sz="0" w:space="0" w:color="auto"/>
            <w:left w:val="none" w:sz="0" w:space="0" w:color="auto"/>
            <w:bottom w:val="none" w:sz="0" w:space="0" w:color="auto"/>
            <w:right w:val="none" w:sz="0" w:space="0" w:color="auto"/>
          </w:divBdr>
        </w:div>
        <w:div w:id="420376289">
          <w:marLeft w:val="640"/>
          <w:marRight w:val="0"/>
          <w:marTop w:val="0"/>
          <w:marBottom w:val="0"/>
          <w:divBdr>
            <w:top w:val="none" w:sz="0" w:space="0" w:color="auto"/>
            <w:left w:val="none" w:sz="0" w:space="0" w:color="auto"/>
            <w:bottom w:val="none" w:sz="0" w:space="0" w:color="auto"/>
            <w:right w:val="none" w:sz="0" w:space="0" w:color="auto"/>
          </w:divBdr>
        </w:div>
        <w:div w:id="1865744829">
          <w:marLeft w:val="640"/>
          <w:marRight w:val="0"/>
          <w:marTop w:val="0"/>
          <w:marBottom w:val="0"/>
          <w:divBdr>
            <w:top w:val="none" w:sz="0" w:space="0" w:color="auto"/>
            <w:left w:val="none" w:sz="0" w:space="0" w:color="auto"/>
            <w:bottom w:val="none" w:sz="0" w:space="0" w:color="auto"/>
            <w:right w:val="none" w:sz="0" w:space="0" w:color="auto"/>
          </w:divBdr>
        </w:div>
        <w:div w:id="1238172367">
          <w:marLeft w:val="640"/>
          <w:marRight w:val="0"/>
          <w:marTop w:val="0"/>
          <w:marBottom w:val="0"/>
          <w:divBdr>
            <w:top w:val="none" w:sz="0" w:space="0" w:color="auto"/>
            <w:left w:val="none" w:sz="0" w:space="0" w:color="auto"/>
            <w:bottom w:val="none" w:sz="0" w:space="0" w:color="auto"/>
            <w:right w:val="none" w:sz="0" w:space="0" w:color="auto"/>
          </w:divBdr>
        </w:div>
        <w:div w:id="1496725459">
          <w:marLeft w:val="640"/>
          <w:marRight w:val="0"/>
          <w:marTop w:val="0"/>
          <w:marBottom w:val="0"/>
          <w:divBdr>
            <w:top w:val="none" w:sz="0" w:space="0" w:color="auto"/>
            <w:left w:val="none" w:sz="0" w:space="0" w:color="auto"/>
            <w:bottom w:val="none" w:sz="0" w:space="0" w:color="auto"/>
            <w:right w:val="none" w:sz="0" w:space="0" w:color="auto"/>
          </w:divBdr>
        </w:div>
        <w:div w:id="1454666752">
          <w:marLeft w:val="640"/>
          <w:marRight w:val="0"/>
          <w:marTop w:val="0"/>
          <w:marBottom w:val="0"/>
          <w:divBdr>
            <w:top w:val="none" w:sz="0" w:space="0" w:color="auto"/>
            <w:left w:val="none" w:sz="0" w:space="0" w:color="auto"/>
            <w:bottom w:val="none" w:sz="0" w:space="0" w:color="auto"/>
            <w:right w:val="none" w:sz="0" w:space="0" w:color="auto"/>
          </w:divBdr>
        </w:div>
        <w:div w:id="1878546318">
          <w:marLeft w:val="640"/>
          <w:marRight w:val="0"/>
          <w:marTop w:val="0"/>
          <w:marBottom w:val="0"/>
          <w:divBdr>
            <w:top w:val="none" w:sz="0" w:space="0" w:color="auto"/>
            <w:left w:val="none" w:sz="0" w:space="0" w:color="auto"/>
            <w:bottom w:val="none" w:sz="0" w:space="0" w:color="auto"/>
            <w:right w:val="none" w:sz="0" w:space="0" w:color="auto"/>
          </w:divBdr>
        </w:div>
        <w:div w:id="940408216">
          <w:marLeft w:val="640"/>
          <w:marRight w:val="0"/>
          <w:marTop w:val="0"/>
          <w:marBottom w:val="0"/>
          <w:divBdr>
            <w:top w:val="none" w:sz="0" w:space="0" w:color="auto"/>
            <w:left w:val="none" w:sz="0" w:space="0" w:color="auto"/>
            <w:bottom w:val="none" w:sz="0" w:space="0" w:color="auto"/>
            <w:right w:val="none" w:sz="0" w:space="0" w:color="auto"/>
          </w:divBdr>
        </w:div>
        <w:div w:id="339234265">
          <w:marLeft w:val="640"/>
          <w:marRight w:val="0"/>
          <w:marTop w:val="0"/>
          <w:marBottom w:val="0"/>
          <w:divBdr>
            <w:top w:val="none" w:sz="0" w:space="0" w:color="auto"/>
            <w:left w:val="none" w:sz="0" w:space="0" w:color="auto"/>
            <w:bottom w:val="none" w:sz="0" w:space="0" w:color="auto"/>
            <w:right w:val="none" w:sz="0" w:space="0" w:color="auto"/>
          </w:divBdr>
        </w:div>
        <w:div w:id="472412295">
          <w:marLeft w:val="640"/>
          <w:marRight w:val="0"/>
          <w:marTop w:val="0"/>
          <w:marBottom w:val="0"/>
          <w:divBdr>
            <w:top w:val="none" w:sz="0" w:space="0" w:color="auto"/>
            <w:left w:val="none" w:sz="0" w:space="0" w:color="auto"/>
            <w:bottom w:val="none" w:sz="0" w:space="0" w:color="auto"/>
            <w:right w:val="none" w:sz="0" w:space="0" w:color="auto"/>
          </w:divBdr>
        </w:div>
        <w:div w:id="1629628073">
          <w:marLeft w:val="640"/>
          <w:marRight w:val="0"/>
          <w:marTop w:val="0"/>
          <w:marBottom w:val="0"/>
          <w:divBdr>
            <w:top w:val="none" w:sz="0" w:space="0" w:color="auto"/>
            <w:left w:val="none" w:sz="0" w:space="0" w:color="auto"/>
            <w:bottom w:val="none" w:sz="0" w:space="0" w:color="auto"/>
            <w:right w:val="none" w:sz="0" w:space="0" w:color="auto"/>
          </w:divBdr>
        </w:div>
        <w:div w:id="1637443362">
          <w:marLeft w:val="640"/>
          <w:marRight w:val="0"/>
          <w:marTop w:val="0"/>
          <w:marBottom w:val="0"/>
          <w:divBdr>
            <w:top w:val="none" w:sz="0" w:space="0" w:color="auto"/>
            <w:left w:val="none" w:sz="0" w:space="0" w:color="auto"/>
            <w:bottom w:val="none" w:sz="0" w:space="0" w:color="auto"/>
            <w:right w:val="none" w:sz="0" w:space="0" w:color="auto"/>
          </w:divBdr>
        </w:div>
        <w:div w:id="1314800082">
          <w:marLeft w:val="640"/>
          <w:marRight w:val="0"/>
          <w:marTop w:val="0"/>
          <w:marBottom w:val="0"/>
          <w:divBdr>
            <w:top w:val="none" w:sz="0" w:space="0" w:color="auto"/>
            <w:left w:val="none" w:sz="0" w:space="0" w:color="auto"/>
            <w:bottom w:val="none" w:sz="0" w:space="0" w:color="auto"/>
            <w:right w:val="none" w:sz="0" w:space="0" w:color="auto"/>
          </w:divBdr>
        </w:div>
        <w:div w:id="1770464271">
          <w:marLeft w:val="640"/>
          <w:marRight w:val="0"/>
          <w:marTop w:val="0"/>
          <w:marBottom w:val="0"/>
          <w:divBdr>
            <w:top w:val="none" w:sz="0" w:space="0" w:color="auto"/>
            <w:left w:val="none" w:sz="0" w:space="0" w:color="auto"/>
            <w:bottom w:val="none" w:sz="0" w:space="0" w:color="auto"/>
            <w:right w:val="none" w:sz="0" w:space="0" w:color="auto"/>
          </w:divBdr>
        </w:div>
        <w:div w:id="425659415">
          <w:marLeft w:val="640"/>
          <w:marRight w:val="0"/>
          <w:marTop w:val="0"/>
          <w:marBottom w:val="0"/>
          <w:divBdr>
            <w:top w:val="none" w:sz="0" w:space="0" w:color="auto"/>
            <w:left w:val="none" w:sz="0" w:space="0" w:color="auto"/>
            <w:bottom w:val="none" w:sz="0" w:space="0" w:color="auto"/>
            <w:right w:val="none" w:sz="0" w:space="0" w:color="auto"/>
          </w:divBdr>
        </w:div>
        <w:div w:id="1380789563">
          <w:marLeft w:val="640"/>
          <w:marRight w:val="0"/>
          <w:marTop w:val="0"/>
          <w:marBottom w:val="0"/>
          <w:divBdr>
            <w:top w:val="none" w:sz="0" w:space="0" w:color="auto"/>
            <w:left w:val="none" w:sz="0" w:space="0" w:color="auto"/>
            <w:bottom w:val="none" w:sz="0" w:space="0" w:color="auto"/>
            <w:right w:val="none" w:sz="0" w:space="0" w:color="auto"/>
          </w:divBdr>
        </w:div>
        <w:div w:id="919947531">
          <w:marLeft w:val="640"/>
          <w:marRight w:val="0"/>
          <w:marTop w:val="0"/>
          <w:marBottom w:val="0"/>
          <w:divBdr>
            <w:top w:val="none" w:sz="0" w:space="0" w:color="auto"/>
            <w:left w:val="none" w:sz="0" w:space="0" w:color="auto"/>
            <w:bottom w:val="none" w:sz="0" w:space="0" w:color="auto"/>
            <w:right w:val="none" w:sz="0" w:space="0" w:color="auto"/>
          </w:divBdr>
        </w:div>
        <w:div w:id="41640990">
          <w:marLeft w:val="640"/>
          <w:marRight w:val="0"/>
          <w:marTop w:val="0"/>
          <w:marBottom w:val="0"/>
          <w:divBdr>
            <w:top w:val="none" w:sz="0" w:space="0" w:color="auto"/>
            <w:left w:val="none" w:sz="0" w:space="0" w:color="auto"/>
            <w:bottom w:val="none" w:sz="0" w:space="0" w:color="auto"/>
            <w:right w:val="none" w:sz="0" w:space="0" w:color="auto"/>
          </w:divBdr>
        </w:div>
        <w:div w:id="2068802189">
          <w:marLeft w:val="640"/>
          <w:marRight w:val="0"/>
          <w:marTop w:val="0"/>
          <w:marBottom w:val="0"/>
          <w:divBdr>
            <w:top w:val="none" w:sz="0" w:space="0" w:color="auto"/>
            <w:left w:val="none" w:sz="0" w:space="0" w:color="auto"/>
            <w:bottom w:val="none" w:sz="0" w:space="0" w:color="auto"/>
            <w:right w:val="none" w:sz="0" w:space="0" w:color="auto"/>
          </w:divBdr>
        </w:div>
        <w:div w:id="108743111">
          <w:marLeft w:val="640"/>
          <w:marRight w:val="0"/>
          <w:marTop w:val="0"/>
          <w:marBottom w:val="0"/>
          <w:divBdr>
            <w:top w:val="none" w:sz="0" w:space="0" w:color="auto"/>
            <w:left w:val="none" w:sz="0" w:space="0" w:color="auto"/>
            <w:bottom w:val="none" w:sz="0" w:space="0" w:color="auto"/>
            <w:right w:val="none" w:sz="0" w:space="0" w:color="auto"/>
          </w:divBdr>
        </w:div>
        <w:div w:id="1098987238">
          <w:marLeft w:val="640"/>
          <w:marRight w:val="0"/>
          <w:marTop w:val="0"/>
          <w:marBottom w:val="0"/>
          <w:divBdr>
            <w:top w:val="none" w:sz="0" w:space="0" w:color="auto"/>
            <w:left w:val="none" w:sz="0" w:space="0" w:color="auto"/>
            <w:bottom w:val="none" w:sz="0" w:space="0" w:color="auto"/>
            <w:right w:val="none" w:sz="0" w:space="0" w:color="auto"/>
          </w:divBdr>
        </w:div>
        <w:div w:id="570195695">
          <w:marLeft w:val="640"/>
          <w:marRight w:val="0"/>
          <w:marTop w:val="0"/>
          <w:marBottom w:val="0"/>
          <w:divBdr>
            <w:top w:val="none" w:sz="0" w:space="0" w:color="auto"/>
            <w:left w:val="none" w:sz="0" w:space="0" w:color="auto"/>
            <w:bottom w:val="none" w:sz="0" w:space="0" w:color="auto"/>
            <w:right w:val="none" w:sz="0" w:space="0" w:color="auto"/>
          </w:divBdr>
        </w:div>
        <w:div w:id="1751737384">
          <w:marLeft w:val="640"/>
          <w:marRight w:val="0"/>
          <w:marTop w:val="0"/>
          <w:marBottom w:val="0"/>
          <w:divBdr>
            <w:top w:val="none" w:sz="0" w:space="0" w:color="auto"/>
            <w:left w:val="none" w:sz="0" w:space="0" w:color="auto"/>
            <w:bottom w:val="none" w:sz="0" w:space="0" w:color="auto"/>
            <w:right w:val="none" w:sz="0" w:space="0" w:color="auto"/>
          </w:divBdr>
        </w:div>
        <w:div w:id="762603299">
          <w:marLeft w:val="640"/>
          <w:marRight w:val="0"/>
          <w:marTop w:val="0"/>
          <w:marBottom w:val="0"/>
          <w:divBdr>
            <w:top w:val="none" w:sz="0" w:space="0" w:color="auto"/>
            <w:left w:val="none" w:sz="0" w:space="0" w:color="auto"/>
            <w:bottom w:val="none" w:sz="0" w:space="0" w:color="auto"/>
            <w:right w:val="none" w:sz="0" w:space="0" w:color="auto"/>
          </w:divBdr>
        </w:div>
        <w:div w:id="2017919085">
          <w:marLeft w:val="640"/>
          <w:marRight w:val="0"/>
          <w:marTop w:val="0"/>
          <w:marBottom w:val="0"/>
          <w:divBdr>
            <w:top w:val="none" w:sz="0" w:space="0" w:color="auto"/>
            <w:left w:val="none" w:sz="0" w:space="0" w:color="auto"/>
            <w:bottom w:val="none" w:sz="0" w:space="0" w:color="auto"/>
            <w:right w:val="none" w:sz="0" w:space="0" w:color="auto"/>
          </w:divBdr>
        </w:div>
        <w:div w:id="657686159">
          <w:marLeft w:val="640"/>
          <w:marRight w:val="0"/>
          <w:marTop w:val="0"/>
          <w:marBottom w:val="0"/>
          <w:divBdr>
            <w:top w:val="none" w:sz="0" w:space="0" w:color="auto"/>
            <w:left w:val="none" w:sz="0" w:space="0" w:color="auto"/>
            <w:bottom w:val="none" w:sz="0" w:space="0" w:color="auto"/>
            <w:right w:val="none" w:sz="0" w:space="0" w:color="auto"/>
          </w:divBdr>
        </w:div>
        <w:div w:id="442652995">
          <w:marLeft w:val="640"/>
          <w:marRight w:val="0"/>
          <w:marTop w:val="0"/>
          <w:marBottom w:val="0"/>
          <w:divBdr>
            <w:top w:val="none" w:sz="0" w:space="0" w:color="auto"/>
            <w:left w:val="none" w:sz="0" w:space="0" w:color="auto"/>
            <w:bottom w:val="none" w:sz="0" w:space="0" w:color="auto"/>
            <w:right w:val="none" w:sz="0" w:space="0" w:color="auto"/>
          </w:divBdr>
        </w:div>
        <w:div w:id="1451167834">
          <w:marLeft w:val="640"/>
          <w:marRight w:val="0"/>
          <w:marTop w:val="0"/>
          <w:marBottom w:val="0"/>
          <w:divBdr>
            <w:top w:val="none" w:sz="0" w:space="0" w:color="auto"/>
            <w:left w:val="none" w:sz="0" w:space="0" w:color="auto"/>
            <w:bottom w:val="none" w:sz="0" w:space="0" w:color="auto"/>
            <w:right w:val="none" w:sz="0" w:space="0" w:color="auto"/>
          </w:divBdr>
        </w:div>
        <w:div w:id="424227795">
          <w:marLeft w:val="640"/>
          <w:marRight w:val="0"/>
          <w:marTop w:val="0"/>
          <w:marBottom w:val="0"/>
          <w:divBdr>
            <w:top w:val="none" w:sz="0" w:space="0" w:color="auto"/>
            <w:left w:val="none" w:sz="0" w:space="0" w:color="auto"/>
            <w:bottom w:val="none" w:sz="0" w:space="0" w:color="auto"/>
            <w:right w:val="none" w:sz="0" w:space="0" w:color="auto"/>
          </w:divBdr>
        </w:div>
        <w:div w:id="64839972">
          <w:marLeft w:val="640"/>
          <w:marRight w:val="0"/>
          <w:marTop w:val="0"/>
          <w:marBottom w:val="0"/>
          <w:divBdr>
            <w:top w:val="none" w:sz="0" w:space="0" w:color="auto"/>
            <w:left w:val="none" w:sz="0" w:space="0" w:color="auto"/>
            <w:bottom w:val="none" w:sz="0" w:space="0" w:color="auto"/>
            <w:right w:val="none" w:sz="0" w:space="0" w:color="auto"/>
          </w:divBdr>
        </w:div>
        <w:div w:id="874269254">
          <w:marLeft w:val="640"/>
          <w:marRight w:val="0"/>
          <w:marTop w:val="0"/>
          <w:marBottom w:val="0"/>
          <w:divBdr>
            <w:top w:val="none" w:sz="0" w:space="0" w:color="auto"/>
            <w:left w:val="none" w:sz="0" w:space="0" w:color="auto"/>
            <w:bottom w:val="none" w:sz="0" w:space="0" w:color="auto"/>
            <w:right w:val="none" w:sz="0" w:space="0" w:color="auto"/>
          </w:divBdr>
        </w:div>
        <w:div w:id="1527477713">
          <w:marLeft w:val="640"/>
          <w:marRight w:val="0"/>
          <w:marTop w:val="0"/>
          <w:marBottom w:val="0"/>
          <w:divBdr>
            <w:top w:val="none" w:sz="0" w:space="0" w:color="auto"/>
            <w:left w:val="none" w:sz="0" w:space="0" w:color="auto"/>
            <w:bottom w:val="none" w:sz="0" w:space="0" w:color="auto"/>
            <w:right w:val="none" w:sz="0" w:space="0" w:color="auto"/>
          </w:divBdr>
        </w:div>
        <w:div w:id="1079523460">
          <w:marLeft w:val="640"/>
          <w:marRight w:val="0"/>
          <w:marTop w:val="0"/>
          <w:marBottom w:val="0"/>
          <w:divBdr>
            <w:top w:val="none" w:sz="0" w:space="0" w:color="auto"/>
            <w:left w:val="none" w:sz="0" w:space="0" w:color="auto"/>
            <w:bottom w:val="none" w:sz="0" w:space="0" w:color="auto"/>
            <w:right w:val="none" w:sz="0" w:space="0" w:color="auto"/>
          </w:divBdr>
        </w:div>
        <w:div w:id="1914272449">
          <w:marLeft w:val="640"/>
          <w:marRight w:val="0"/>
          <w:marTop w:val="0"/>
          <w:marBottom w:val="0"/>
          <w:divBdr>
            <w:top w:val="none" w:sz="0" w:space="0" w:color="auto"/>
            <w:left w:val="none" w:sz="0" w:space="0" w:color="auto"/>
            <w:bottom w:val="none" w:sz="0" w:space="0" w:color="auto"/>
            <w:right w:val="none" w:sz="0" w:space="0" w:color="auto"/>
          </w:divBdr>
        </w:div>
        <w:div w:id="64963252">
          <w:marLeft w:val="640"/>
          <w:marRight w:val="0"/>
          <w:marTop w:val="0"/>
          <w:marBottom w:val="0"/>
          <w:divBdr>
            <w:top w:val="none" w:sz="0" w:space="0" w:color="auto"/>
            <w:left w:val="none" w:sz="0" w:space="0" w:color="auto"/>
            <w:bottom w:val="none" w:sz="0" w:space="0" w:color="auto"/>
            <w:right w:val="none" w:sz="0" w:space="0" w:color="auto"/>
          </w:divBdr>
        </w:div>
        <w:div w:id="1416971145">
          <w:marLeft w:val="640"/>
          <w:marRight w:val="0"/>
          <w:marTop w:val="0"/>
          <w:marBottom w:val="0"/>
          <w:divBdr>
            <w:top w:val="none" w:sz="0" w:space="0" w:color="auto"/>
            <w:left w:val="none" w:sz="0" w:space="0" w:color="auto"/>
            <w:bottom w:val="none" w:sz="0" w:space="0" w:color="auto"/>
            <w:right w:val="none" w:sz="0" w:space="0" w:color="auto"/>
          </w:divBdr>
        </w:div>
        <w:div w:id="941450652">
          <w:marLeft w:val="640"/>
          <w:marRight w:val="0"/>
          <w:marTop w:val="0"/>
          <w:marBottom w:val="0"/>
          <w:divBdr>
            <w:top w:val="none" w:sz="0" w:space="0" w:color="auto"/>
            <w:left w:val="none" w:sz="0" w:space="0" w:color="auto"/>
            <w:bottom w:val="none" w:sz="0" w:space="0" w:color="auto"/>
            <w:right w:val="none" w:sz="0" w:space="0" w:color="auto"/>
          </w:divBdr>
        </w:div>
        <w:div w:id="2094006323">
          <w:marLeft w:val="640"/>
          <w:marRight w:val="0"/>
          <w:marTop w:val="0"/>
          <w:marBottom w:val="0"/>
          <w:divBdr>
            <w:top w:val="none" w:sz="0" w:space="0" w:color="auto"/>
            <w:left w:val="none" w:sz="0" w:space="0" w:color="auto"/>
            <w:bottom w:val="none" w:sz="0" w:space="0" w:color="auto"/>
            <w:right w:val="none" w:sz="0" w:space="0" w:color="auto"/>
          </w:divBdr>
        </w:div>
        <w:div w:id="1623726252">
          <w:marLeft w:val="640"/>
          <w:marRight w:val="0"/>
          <w:marTop w:val="0"/>
          <w:marBottom w:val="0"/>
          <w:divBdr>
            <w:top w:val="none" w:sz="0" w:space="0" w:color="auto"/>
            <w:left w:val="none" w:sz="0" w:space="0" w:color="auto"/>
            <w:bottom w:val="none" w:sz="0" w:space="0" w:color="auto"/>
            <w:right w:val="none" w:sz="0" w:space="0" w:color="auto"/>
          </w:divBdr>
        </w:div>
        <w:div w:id="737827074">
          <w:marLeft w:val="640"/>
          <w:marRight w:val="0"/>
          <w:marTop w:val="0"/>
          <w:marBottom w:val="0"/>
          <w:divBdr>
            <w:top w:val="none" w:sz="0" w:space="0" w:color="auto"/>
            <w:left w:val="none" w:sz="0" w:space="0" w:color="auto"/>
            <w:bottom w:val="none" w:sz="0" w:space="0" w:color="auto"/>
            <w:right w:val="none" w:sz="0" w:space="0" w:color="auto"/>
          </w:divBdr>
        </w:div>
        <w:div w:id="1155073260">
          <w:marLeft w:val="640"/>
          <w:marRight w:val="0"/>
          <w:marTop w:val="0"/>
          <w:marBottom w:val="0"/>
          <w:divBdr>
            <w:top w:val="none" w:sz="0" w:space="0" w:color="auto"/>
            <w:left w:val="none" w:sz="0" w:space="0" w:color="auto"/>
            <w:bottom w:val="none" w:sz="0" w:space="0" w:color="auto"/>
            <w:right w:val="none" w:sz="0" w:space="0" w:color="auto"/>
          </w:divBdr>
        </w:div>
        <w:div w:id="1240017029">
          <w:marLeft w:val="640"/>
          <w:marRight w:val="0"/>
          <w:marTop w:val="0"/>
          <w:marBottom w:val="0"/>
          <w:divBdr>
            <w:top w:val="none" w:sz="0" w:space="0" w:color="auto"/>
            <w:left w:val="none" w:sz="0" w:space="0" w:color="auto"/>
            <w:bottom w:val="none" w:sz="0" w:space="0" w:color="auto"/>
            <w:right w:val="none" w:sz="0" w:space="0" w:color="auto"/>
          </w:divBdr>
        </w:div>
        <w:div w:id="1307928985">
          <w:marLeft w:val="640"/>
          <w:marRight w:val="0"/>
          <w:marTop w:val="0"/>
          <w:marBottom w:val="0"/>
          <w:divBdr>
            <w:top w:val="none" w:sz="0" w:space="0" w:color="auto"/>
            <w:left w:val="none" w:sz="0" w:space="0" w:color="auto"/>
            <w:bottom w:val="none" w:sz="0" w:space="0" w:color="auto"/>
            <w:right w:val="none" w:sz="0" w:space="0" w:color="auto"/>
          </w:divBdr>
        </w:div>
        <w:div w:id="2067751270">
          <w:marLeft w:val="640"/>
          <w:marRight w:val="0"/>
          <w:marTop w:val="0"/>
          <w:marBottom w:val="0"/>
          <w:divBdr>
            <w:top w:val="none" w:sz="0" w:space="0" w:color="auto"/>
            <w:left w:val="none" w:sz="0" w:space="0" w:color="auto"/>
            <w:bottom w:val="none" w:sz="0" w:space="0" w:color="auto"/>
            <w:right w:val="none" w:sz="0" w:space="0" w:color="auto"/>
          </w:divBdr>
        </w:div>
        <w:div w:id="1290161678">
          <w:marLeft w:val="640"/>
          <w:marRight w:val="0"/>
          <w:marTop w:val="0"/>
          <w:marBottom w:val="0"/>
          <w:divBdr>
            <w:top w:val="none" w:sz="0" w:space="0" w:color="auto"/>
            <w:left w:val="none" w:sz="0" w:space="0" w:color="auto"/>
            <w:bottom w:val="none" w:sz="0" w:space="0" w:color="auto"/>
            <w:right w:val="none" w:sz="0" w:space="0" w:color="auto"/>
          </w:divBdr>
        </w:div>
        <w:div w:id="194856398">
          <w:marLeft w:val="640"/>
          <w:marRight w:val="0"/>
          <w:marTop w:val="0"/>
          <w:marBottom w:val="0"/>
          <w:divBdr>
            <w:top w:val="none" w:sz="0" w:space="0" w:color="auto"/>
            <w:left w:val="none" w:sz="0" w:space="0" w:color="auto"/>
            <w:bottom w:val="none" w:sz="0" w:space="0" w:color="auto"/>
            <w:right w:val="none" w:sz="0" w:space="0" w:color="auto"/>
          </w:divBdr>
        </w:div>
        <w:div w:id="875198457">
          <w:marLeft w:val="640"/>
          <w:marRight w:val="0"/>
          <w:marTop w:val="0"/>
          <w:marBottom w:val="0"/>
          <w:divBdr>
            <w:top w:val="none" w:sz="0" w:space="0" w:color="auto"/>
            <w:left w:val="none" w:sz="0" w:space="0" w:color="auto"/>
            <w:bottom w:val="none" w:sz="0" w:space="0" w:color="auto"/>
            <w:right w:val="none" w:sz="0" w:space="0" w:color="auto"/>
          </w:divBdr>
        </w:div>
        <w:div w:id="1926914895">
          <w:marLeft w:val="640"/>
          <w:marRight w:val="0"/>
          <w:marTop w:val="0"/>
          <w:marBottom w:val="0"/>
          <w:divBdr>
            <w:top w:val="none" w:sz="0" w:space="0" w:color="auto"/>
            <w:left w:val="none" w:sz="0" w:space="0" w:color="auto"/>
            <w:bottom w:val="none" w:sz="0" w:space="0" w:color="auto"/>
            <w:right w:val="none" w:sz="0" w:space="0" w:color="auto"/>
          </w:divBdr>
        </w:div>
        <w:div w:id="1941788878">
          <w:marLeft w:val="640"/>
          <w:marRight w:val="0"/>
          <w:marTop w:val="0"/>
          <w:marBottom w:val="0"/>
          <w:divBdr>
            <w:top w:val="none" w:sz="0" w:space="0" w:color="auto"/>
            <w:left w:val="none" w:sz="0" w:space="0" w:color="auto"/>
            <w:bottom w:val="none" w:sz="0" w:space="0" w:color="auto"/>
            <w:right w:val="none" w:sz="0" w:space="0" w:color="auto"/>
          </w:divBdr>
        </w:div>
        <w:div w:id="1093626136">
          <w:marLeft w:val="640"/>
          <w:marRight w:val="0"/>
          <w:marTop w:val="0"/>
          <w:marBottom w:val="0"/>
          <w:divBdr>
            <w:top w:val="none" w:sz="0" w:space="0" w:color="auto"/>
            <w:left w:val="none" w:sz="0" w:space="0" w:color="auto"/>
            <w:bottom w:val="none" w:sz="0" w:space="0" w:color="auto"/>
            <w:right w:val="none" w:sz="0" w:space="0" w:color="auto"/>
          </w:divBdr>
        </w:div>
        <w:div w:id="916786124">
          <w:marLeft w:val="640"/>
          <w:marRight w:val="0"/>
          <w:marTop w:val="0"/>
          <w:marBottom w:val="0"/>
          <w:divBdr>
            <w:top w:val="none" w:sz="0" w:space="0" w:color="auto"/>
            <w:left w:val="none" w:sz="0" w:space="0" w:color="auto"/>
            <w:bottom w:val="none" w:sz="0" w:space="0" w:color="auto"/>
            <w:right w:val="none" w:sz="0" w:space="0" w:color="auto"/>
          </w:divBdr>
        </w:div>
        <w:div w:id="39475448">
          <w:marLeft w:val="640"/>
          <w:marRight w:val="0"/>
          <w:marTop w:val="0"/>
          <w:marBottom w:val="0"/>
          <w:divBdr>
            <w:top w:val="none" w:sz="0" w:space="0" w:color="auto"/>
            <w:left w:val="none" w:sz="0" w:space="0" w:color="auto"/>
            <w:bottom w:val="none" w:sz="0" w:space="0" w:color="auto"/>
            <w:right w:val="none" w:sz="0" w:space="0" w:color="auto"/>
          </w:divBdr>
        </w:div>
        <w:div w:id="2023244590">
          <w:marLeft w:val="640"/>
          <w:marRight w:val="0"/>
          <w:marTop w:val="0"/>
          <w:marBottom w:val="0"/>
          <w:divBdr>
            <w:top w:val="none" w:sz="0" w:space="0" w:color="auto"/>
            <w:left w:val="none" w:sz="0" w:space="0" w:color="auto"/>
            <w:bottom w:val="none" w:sz="0" w:space="0" w:color="auto"/>
            <w:right w:val="none" w:sz="0" w:space="0" w:color="auto"/>
          </w:divBdr>
        </w:div>
        <w:div w:id="61149617">
          <w:marLeft w:val="640"/>
          <w:marRight w:val="0"/>
          <w:marTop w:val="0"/>
          <w:marBottom w:val="0"/>
          <w:divBdr>
            <w:top w:val="none" w:sz="0" w:space="0" w:color="auto"/>
            <w:left w:val="none" w:sz="0" w:space="0" w:color="auto"/>
            <w:bottom w:val="none" w:sz="0" w:space="0" w:color="auto"/>
            <w:right w:val="none" w:sz="0" w:space="0" w:color="auto"/>
          </w:divBdr>
        </w:div>
        <w:div w:id="1418743934">
          <w:marLeft w:val="640"/>
          <w:marRight w:val="0"/>
          <w:marTop w:val="0"/>
          <w:marBottom w:val="0"/>
          <w:divBdr>
            <w:top w:val="none" w:sz="0" w:space="0" w:color="auto"/>
            <w:left w:val="none" w:sz="0" w:space="0" w:color="auto"/>
            <w:bottom w:val="none" w:sz="0" w:space="0" w:color="auto"/>
            <w:right w:val="none" w:sz="0" w:space="0" w:color="auto"/>
          </w:divBdr>
        </w:div>
        <w:div w:id="1072120829">
          <w:marLeft w:val="640"/>
          <w:marRight w:val="0"/>
          <w:marTop w:val="0"/>
          <w:marBottom w:val="0"/>
          <w:divBdr>
            <w:top w:val="none" w:sz="0" w:space="0" w:color="auto"/>
            <w:left w:val="none" w:sz="0" w:space="0" w:color="auto"/>
            <w:bottom w:val="none" w:sz="0" w:space="0" w:color="auto"/>
            <w:right w:val="none" w:sz="0" w:space="0" w:color="auto"/>
          </w:divBdr>
        </w:div>
        <w:div w:id="1183592969">
          <w:marLeft w:val="640"/>
          <w:marRight w:val="0"/>
          <w:marTop w:val="0"/>
          <w:marBottom w:val="0"/>
          <w:divBdr>
            <w:top w:val="none" w:sz="0" w:space="0" w:color="auto"/>
            <w:left w:val="none" w:sz="0" w:space="0" w:color="auto"/>
            <w:bottom w:val="none" w:sz="0" w:space="0" w:color="auto"/>
            <w:right w:val="none" w:sz="0" w:space="0" w:color="auto"/>
          </w:divBdr>
        </w:div>
        <w:div w:id="756901986">
          <w:marLeft w:val="640"/>
          <w:marRight w:val="0"/>
          <w:marTop w:val="0"/>
          <w:marBottom w:val="0"/>
          <w:divBdr>
            <w:top w:val="none" w:sz="0" w:space="0" w:color="auto"/>
            <w:left w:val="none" w:sz="0" w:space="0" w:color="auto"/>
            <w:bottom w:val="none" w:sz="0" w:space="0" w:color="auto"/>
            <w:right w:val="none" w:sz="0" w:space="0" w:color="auto"/>
          </w:divBdr>
        </w:div>
        <w:div w:id="815145681">
          <w:marLeft w:val="640"/>
          <w:marRight w:val="0"/>
          <w:marTop w:val="0"/>
          <w:marBottom w:val="0"/>
          <w:divBdr>
            <w:top w:val="none" w:sz="0" w:space="0" w:color="auto"/>
            <w:left w:val="none" w:sz="0" w:space="0" w:color="auto"/>
            <w:bottom w:val="none" w:sz="0" w:space="0" w:color="auto"/>
            <w:right w:val="none" w:sz="0" w:space="0" w:color="auto"/>
          </w:divBdr>
        </w:div>
        <w:div w:id="1785922730">
          <w:marLeft w:val="640"/>
          <w:marRight w:val="0"/>
          <w:marTop w:val="0"/>
          <w:marBottom w:val="0"/>
          <w:divBdr>
            <w:top w:val="none" w:sz="0" w:space="0" w:color="auto"/>
            <w:left w:val="none" w:sz="0" w:space="0" w:color="auto"/>
            <w:bottom w:val="none" w:sz="0" w:space="0" w:color="auto"/>
            <w:right w:val="none" w:sz="0" w:space="0" w:color="auto"/>
          </w:divBdr>
        </w:div>
        <w:div w:id="1540430469">
          <w:marLeft w:val="640"/>
          <w:marRight w:val="0"/>
          <w:marTop w:val="0"/>
          <w:marBottom w:val="0"/>
          <w:divBdr>
            <w:top w:val="none" w:sz="0" w:space="0" w:color="auto"/>
            <w:left w:val="none" w:sz="0" w:space="0" w:color="auto"/>
            <w:bottom w:val="none" w:sz="0" w:space="0" w:color="auto"/>
            <w:right w:val="none" w:sz="0" w:space="0" w:color="auto"/>
          </w:divBdr>
        </w:div>
        <w:div w:id="1634751320">
          <w:marLeft w:val="640"/>
          <w:marRight w:val="0"/>
          <w:marTop w:val="0"/>
          <w:marBottom w:val="0"/>
          <w:divBdr>
            <w:top w:val="none" w:sz="0" w:space="0" w:color="auto"/>
            <w:left w:val="none" w:sz="0" w:space="0" w:color="auto"/>
            <w:bottom w:val="none" w:sz="0" w:space="0" w:color="auto"/>
            <w:right w:val="none" w:sz="0" w:space="0" w:color="auto"/>
          </w:divBdr>
        </w:div>
        <w:div w:id="1544751280">
          <w:marLeft w:val="640"/>
          <w:marRight w:val="0"/>
          <w:marTop w:val="0"/>
          <w:marBottom w:val="0"/>
          <w:divBdr>
            <w:top w:val="none" w:sz="0" w:space="0" w:color="auto"/>
            <w:left w:val="none" w:sz="0" w:space="0" w:color="auto"/>
            <w:bottom w:val="none" w:sz="0" w:space="0" w:color="auto"/>
            <w:right w:val="none" w:sz="0" w:space="0" w:color="auto"/>
          </w:divBdr>
        </w:div>
        <w:div w:id="53356005">
          <w:marLeft w:val="640"/>
          <w:marRight w:val="0"/>
          <w:marTop w:val="0"/>
          <w:marBottom w:val="0"/>
          <w:divBdr>
            <w:top w:val="none" w:sz="0" w:space="0" w:color="auto"/>
            <w:left w:val="none" w:sz="0" w:space="0" w:color="auto"/>
            <w:bottom w:val="none" w:sz="0" w:space="0" w:color="auto"/>
            <w:right w:val="none" w:sz="0" w:space="0" w:color="auto"/>
          </w:divBdr>
        </w:div>
        <w:div w:id="1295528746">
          <w:marLeft w:val="640"/>
          <w:marRight w:val="0"/>
          <w:marTop w:val="0"/>
          <w:marBottom w:val="0"/>
          <w:divBdr>
            <w:top w:val="none" w:sz="0" w:space="0" w:color="auto"/>
            <w:left w:val="none" w:sz="0" w:space="0" w:color="auto"/>
            <w:bottom w:val="none" w:sz="0" w:space="0" w:color="auto"/>
            <w:right w:val="none" w:sz="0" w:space="0" w:color="auto"/>
          </w:divBdr>
        </w:div>
        <w:div w:id="178786352">
          <w:marLeft w:val="640"/>
          <w:marRight w:val="0"/>
          <w:marTop w:val="0"/>
          <w:marBottom w:val="0"/>
          <w:divBdr>
            <w:top w:val="none" w:sz="0" w:space="0" w:color="auto"/>
            <w:left w:val="none" w:sz="0" w:space="0" w:color="auto"/>
            <w:bottom w:val="none" w:sz="0" w:space="0" w:color="auto"/>
            <w:right w:val="none" w:sz="0" w:space="0" w:color="auto"/>
          </w:divBdr>
        </w:div>
        <w:div w:id="121968837">
          <w:marLeft w:val="640"/>
          <w:marRight w:val="0"/>
          <w:marTop w:val="0"/>
          <w:marBottom w:val="0"/>
          <w:divBdr>
            <w:top w:val="none" w:sz="0" w:space="0" w:color="auto"/>
            <w:left w:val="none" w:sz="0" w:space="0" w:color="auto"/>
            <w:bottom w:val="none" w:sz="0" w:space="0" w:color="auto"/>
            <w:right w:val="none" w:sz="0" w:space="0" w:color="auto"/>
          </w:divBdr>
        </w:div>
        <w:div w:id="362484167">
          <w:marLeft w:val="640"/>
          <w:marRight w:val="0"/>
          <w:marTop w:val="0"/>
          <w:marBottom w:val="0"/>
          <w:divBdr>
            <w:top w:val="none" w:sz="0" w:space="0" w:color="auto"/>
            <w:left w:val="none" w:sz="0" w:space="0" w:color="auto"/>
            <w:bottom w:val="none" w:sz="0" w:space="0" w:color="auto"/>
            <w:right w:val="none" w:sz="0" w:space="0" w:color="auto"/>
          </w:divBdr>
        </w:div>
        <w:div w:id="1469057056">
          <w:marLeft w:val="640"/>
          <w:marRight w:val="0"/>
          <w:marTop w:val="0"/>
          <w:marBottom w:val="0"/>
          <w:divBdr>
            <w:top w:val="none" w:sz="0" w:space="0" w:color="auto"/>
            <w:left w:val="none" w:sz="0" w:space="0" w:color="auto"/>
            <w:bottom w:val="none" w:sz="0" w:space="0" w:color="auto"/>
            <w:right w:val="none" w:sz="0" w:space="0" w:color="auto"/>
          </w:divBdr>
        </w:div>
        <w:div w:id="2087609491">
          <w:marLeft w:val="640"/>
          <w:marRight w:val="0"/>
          <w:marTop w:val="0"/>
          <w:marBottom w:val="0"/>
          <w:divBdr>
            <w:top w:val="none" w:sz="0" w:space="0" w:color="auto"/>
            <w:left w:val="none" w:sz="0" w:space="0" w:color="auto"/>
            <w:bottom w:val="none" w:sz="0" w:space="0" w:color="auto"/>
            <w:right w:val="none" w:sz="0" w:space="0" w:color="auto"/>
          </w:divBdr>
        </w:div>
        <w:div w:id="1199783418">
          <w:marLeft w:val="640"/>
          <w:marRight w:val="0"/>
          <w:marTop w:val="0"/>
          <w:marBottom w:val="0"/>
          <w:divBdr>
            <w:top w:val="none" w:sz="0" w:space="0" w:color="auto"/>
            <w:left w:val="none" w:sz="0" w:space="0" w:color="auto"/>
            <w:bottom w:val="none" w:sz="0" w:space="0" w:color="auto"/>
            <w:right w:val="none" w:sz="0" w:space="0" w:color="auto"/>
          </w:divBdr>
        </w:div>
        <w:div w:id="1088696526">
          <w:marLeft w:val="640"/>
          <w:marRight w:val="0"/>
          <w:marTop w:val="0"/>
          <w:marBottom w:val="0"/>
          <w:divBdr>
            <w:top w:val="none" w:sz="0" w:space="0" w:color="auto"/>
            <w:left w:val="none" w:sz="0" w:space="0" w:color="auto"/>
            <w:bottom w:val="none" w:sz="0" w:space="0" w:color="auto"/>
            <w:right w:val="none" w:sz="0" w:space="0" w:color="auto"/>
          </w:divBdr>
        </w:div>
        <w:div w:id="1435706498">
          <w:marLeft w:val="640"/>
          <w:marRight w:val="0"/>
          <w:marTop w:val="0"/>
          <w:marBottom w:val="0"/>
          <w:divBdr>
            <w:top w:val="none" w:sz="0" w:space="0" w:color="auto"/>
            <w:left w:val="none" w:sz="0" w:space="0" w:color="auto"/>
            <w:bottom w:val="none" w:sz="0" w:space="0" w:color="auto"/>
            <w:right w:val="none" w:sz="0" w:space="0" w:color="auto"/>
          </w:divBdr>
        </w:div>
        <w:div w:id="1007252877">
          <w:marLeft w:val="640"/>
          <w:marRight w:val="0"/>
          <w:marTop w:val="0"/>
          <w:marBottom w:val="0"/>
          <w:divBdr>
            <w:top w:val="none" w:sz="0" w:space="0" w:color="auto"/>
            <w:left w:val="none" w:sz="0" w:space="0" w:color="auto"/>
            <w:bottom w:val="none" w:sz="0" w:space="0" w:color="auto"/>
            <w:right w:val="none" w:sz="0" w:space="0" w:color="auto"/>
          </w:divBdr>
        </w:div>
        <w:div w:id="1201169385">
          <w:marLeft w:val="640"/>
          <w:marRight w:val="0"/>
          <w:marTop w:val="0"/>
          <w:marBottom w:val="0"/>
          <w:divBdr>
            <w:top w:val="none" w:sz="0" w:space="0" w:color="auto"/>
            <w:left w:val="none" w:sz="0" w:space="0" w:color="auto"/>
            <w:bottom w:val="none" w:sz="0" w:space="0" w:color="auto"/>
            <w:right w:val="none" w:sz="0" w:space="0" w:color="auto"/>
          </w:divBdr>
        </w:div>
        <w:div w:id="1104375403">
          <w:marLeft w:val="640"/>
          <w:marRight w:val="0"/>
          <w:marTop w:val="0"/>
          <w:marBottom w:val="0"/>
          <w:divBdr>
            <w:top w:val="none" w:sz="0" w:space="0" w:color="auto"/>
            <w:left w:val="none" w:sz="0" w:space="0" w:color="auto"/>
            <w:bottom w:val="none" w:sz="0" w:space="0" w:color="auto"/>
            <w:right w:val="none" w:sz="0" w:space="0" w:color="auto"/>
          </w:divBdr>
        </w:div>
        <w:div w:id="554707215">
          <w:marLeft w:val="640"/>
          <w:marRight w:val="0"/>
          <w:marTop w:val="0"/>
          <w:marBottom w:val="0"/>
          <w:divBdr>
            <w:top w:val="none" w:sz="0" w:space="0" w:color="auto"/>
            <w:left w:val="none" w:sz="0" w:space="0" w:color="auto"/>
            <w:bottom w:val="none" w:sz="0" w:space="0" w:color="auto"/>
            <w:right w:val="none" w:sz="0" w:space="0" w:color="auto"/>
          </w:divBdr>
        </w:div>
        <w:div w:id="841702366">
          <w:marLeft w:val="640"/>
          <w:marRight w:val="0"/>
          <w:marTop w:val="0"/>
          <w:marBottom w:val="0"/>
          <w:divBdr>
            <w:top w:val="none" w:sz="0" w:space="0" w:color="auto"/>
            <w:left w:val="none" w:sz="0" w:space="0" w:color="auto"/>
            <w:bottom w:val="none" w:sz="0" w:space="0" w:color="auto"/>
            <w:right w:val="none" w:sz="0" w:space="0" w:color="auto"/>
          </w:divBdr>
        </w:div>
        <w:div w:id="839000533">
          <w:marLeft w:val="640"/>
          <w:marRight w:val="0"/>
          <w:marTop w:val="0"/>
          <w:marBottom w:val="0"/>
          <w:divBdr>
            <w:top w:val="none" w:sz="0" w:space="0" w:color="auto"/>
            <w:left w:val="none" w:sz="0" w:space="0" w:color="auto"/>
            <w:bottom w:val="none" w:sz="0" w:space="0" w:color="auto"/>
            <w:right w:val="none" w:sz="0" w:space="0" w:color="auto"/>
          </w:divBdr>
        </w:div>
        <w:div w:id="1496334391">
          <w:marLeft w:val="640"/>
          <w:marRight w:val="0"/>
          <w:marTop w:val="0"/>
          <w:marBottom w:val="0"/>
          <w:divBdr>
            <w:top w:val="none" w:sz="0" w:space="0" w:color="auto"/>
            <w:left w:val="none" w:sz="0" w:space="0" w:color="auto"/>
            <w:bottom w:val="none" w:sz="0" w:space="0" w:color="auto"/>
            <w:right w:val="none" w:sz="0" w:space="0" w:color="auto"/>
          </w:divBdr>
        </w:div>
        <w:div w:id="1405181960">
          <w:marLeft w:val="640"/>
          <w:marRight w:val="0"/>
          <w:marTop w:val="0"/>
          <w:marBottom w:val="0"/>
          <w:divBdr>
            <w:top w:val="none" w:sz="0" w:space="0" w:color="auto"/>
            <w:left w:val="none" w:sz="0" w:space="0" w:color="auto"/>
            <w:bottom w:val="none" w:sz="0" w:space="0" w:color="auto"/>
            <w:right w:val="none" w:sz="0" w:space="0" w:color="auto"/>
          </w:divBdr>
        </w:div>
        <w:div w:id="40173626">
          <w:marLeft w:val="640"/>
          <w:marRight w:val="0"/>
          <w:marTop w:val="0"/>
          <w:marBottom w:val="0"/>
          <w:divBdr>
            <w:top w:val="none" w:sz="0" w:space="0" w:color="auto"/>
            <w:left w:val="none" w:sz="0" w:space="0" w:color="auto"/>
            <w:bottom w:val="none" w:sz="0" w:space="0" w:color="auto"/>
            <w:right w:val="none" w:sz="0" w:space="0" w:color="auto"/>
          </w:divBdr>
        </w:div>
        <w:div w:id="1255551168">
          <w:marLeft w:val="640"/>
          <w:marRight w:val="0"/>
          <w:marTop w:val="0"/>
          <w:marBottom w:val="0"/>
          <w:divBdr>
            <w:top w:val="none" w:sz="0" w:space="0" w:color="auto"/>
            <w:left w:val="none" w:sz="0" w:space="0" w:color="auto"/>
            <w:bottom w:val="none" w:sz="0" w:space="0" w:color="auto"/>
            <w:right w:val="none" w:sz="0" w:space="0" w:color="auto"/>
          </w:divBdr>
        </w:div>
        <w:div w:id="1386222974">
          <w:marLeft w:val="640"/>
          <w:marRight w:val="0"/>
          <w:marTop w:val="0"/>
          <w:marBottom w:val="0"/>
          <w:divBdr>
            <w:top w:val="none" w:sz="0" w:space="0" w:color="auto"/>
            <w:left w:val="none" w:sz="0" w:space="0" w:color="auto"/>
            <w:bottom w:val="none" w:sz="0" w:space="0" w:color="auto"/>
            <w:right w:val="none" w:sz="0" w:space="0" w:color="auto"/>
          </w:divBdr>
        </w:div>
        <w:div w:id="1139224157">
          <w:marLeft w:val="640"/>
          <w:marRight w:val="0"/>
          <w:marTop w:val="0"/>
          <w:marBottom w:val="0"/>
          <w:divBdr>
            <w:top w:val="none" w:sz="0" w:space="0" w:color="auto"/>
            <w:left w:val="none" w:sz="0" w:space="0" w:color="auto"/>
            <w:bottom w:val="none" w:sz="0" w:space="0" w:color="auto"/>
            <w:right w:val="none" w:sz="0" w:space="0" w:color="auto"/>
          </w:divBdr>
        </w:div>
        <w:div w:id="620724038">
          <w:marLeft w:val="640"/>
          <w:marRight w:val="0"/>
          <w:marTop w:val="0"/>
          <w:marBottom w:val="0"/>
          <w:divBdr>
            <w:top w:val="none" w:sz="0" w:space="0" w:color="auto"/>
            <w:left w:val="none" w:sz="0" w:space="0" w:color="auto"/>
            <w:bottom w:val="none" w:sz="0" w:space="0" w:color="auto"/>
            <w:right w:val="none" w:sz="0" w:space="0" w:color="auto"/>
          </w:divBdr>
        </w:div>
        <w:div w:id="225334737">
          <w:marLeft w:val="640"/>
          <w:marRight w:val="0"/>
          <w:marTop w:val="0"/>
          <w:marBottom w:val="0"/>
          <w:divBdr>
            <w:top w:val="none" w:sz="0" w:space="0" w:color="auto"/>
            <w:left w:val="none" w:sz="0" w:space="0" w:color="auto"/>
            <w:bottom w:val="none" w:sz="0" w:space="0" w:color="auto"/>
            <w:right w:val="none" w:sz="0" w:space="0" w:color="auto"/>
          </w:divBdr>
        </w:div>
        <w:div w:id="1640186804">
          <w:marLeft w:val="640"/>
          <w:marRight w:val="0"/>
          <w:marTop w:val="0"/>
          <w:marBottom w:val="0"/>
          <w:divBdr>
            <w:top w:val="none" w:sz="0" w:space="0" w:color="auto"/>
            <w:left w:val="none" w:sz="0" w:space="0" w:color="auto"/>
            <w:bottom w:val="none" w:sz="0" w:space="0" w:color="auto"/>
            <w:right w:val="none" w:sz="0" w:space="0" w:color="auto"/>
          </w:divBdr>
        </w:div>
        <w:div w:id="1424569809">
          <w:marLeft w:val="640"/>
          <w:marRight w:val="0"/>
          <w:marTop w:val="0"/>
          <w:marBottom w:val="0"/>
          <w:divBdr>
            <w:top w:val="none" w:sz="0" w:space="0" w:color="auto"/>
            <w:left w:val="none" w:sz="0" w:space="0" w:color="auto"/>
            <w:bottom w:val="none" w:sz="0" w:space="0" w:color="auto"/>
            <w:right w:val="none" w:sz="0" w:space="0" w:color="auto"/>
          </w:divBdr>
        </w:div>
        <w:div w:id="206720667">
          <w:marLeft w:val="640"/>
          <w:marRight w:val="0"/>
          <w:marTop w:val="0"/>
          <w:marBottom w:val="0"/>
          <w:divBdr>
            <w:top w:val="none" w:sz="0" w:space="0" w:color="auto"/>
            <w:left w:val="none" w:sz="0" w:space="0" w:color="auto"/>
            <w:bottom w:val="none" w:sz="0" w:space="0" w:color="auto"/>
            <w:right w:val="none" w:sz="0" w:space="0" w:color="auto"/>
          </w:divBdr>
        </w:div>
        <w:div w:id="1943368760">
          <w:marLeft w:val="640"/>
          <w:marRight w:val="0"/>
          <w:marTop w:val="0"/>
          <w:marBottom w:val="0"/>
          <w:divBdr>
            <w:top w:val="none" w:sz="0" w:space="0" w:color="auto"/>
            <w:left w:val="none" w:sz="0" w:space="0" w:color="auto"/>
            <w:bottom w:val="none" w:sz="0" w:space="0" w:color="auto"/>
            <w:right w:val="none" w:sz="0" w:space="0" w:color="auto"/>
          </w:divBdr>
        </w:div>
        <w:div w:id="1737825073">
          <w:marLeft w:val="640"/>
          <w:marRight w:val="0"/>
          <w:marTop w:val="0"/>
          <w:marBottom w:val="0"/>
          <w:divBdr>
            <w:top w:val="none" w:sz="0" w:space="0" w:color="auto"/>
            <w:left w:val="none" w:sz="0" w:space="0" w:color="auto"/>
            <w:bottom w:val="none" w:sz="0" w:space="0" w:color="auto"/>
            <w:right w:val="none" w:sz="0" w:space="0" w:color="auto"/>
          </w:divBdr>
        </w:div>
        <w:div w:id="1089496708">
          <w:marLeft w:val="640"/>
          <w:marRight w:val="0"/>
          <w:marTop w:val="0"/>
          <w:marBottom w:val="0"/>
          <w:divBdr>
            <w:top w:val="none" w:sz="0" w:space="0" w:color="auto"/>
            <w:left w:val="none" w:sz="0" w:space="0" w:color="auto"/>
            <w:bottom w:val="none" w:sz="0" w:space="0" w:color="auto"/>
            <w:right w:val="none" w:sz="0" w:space="0" w:color="auto"/>
          </w:divBdr>
        </w:div>
        <w:div w:id="2003578375">
          <w:marLeft w:val="640"/>
          <w:marRight w:val="0"/>
          <w:marTop w:val="0"/>
          <w:marBottom w:val="0"/>
          <w:divBdr>
            <w:top w:val="none" w:sz="0" w:space="0" w:color="auto"/>
            <w:left w:val="none" w:sz="0" w:space="0" w:color="auto"/>
            <w:bottom w:val="none" w:sz="0" w:space="0" w:color="auto"/>
            <w:right w:val="none" w:sz="0" w:space="0" w:color="auto"/>
          </w:divBdr>
        </w:div>
        <w:div w:id="759260551">
          <w:marLeft w:val="640"/>
          <w:marRight w:val="0"/>
          <w:marTop w:val="0"/>
          <w:marBottom w:val="0"/>
          <w:divBdr>
            <w:top w:val="none" w:sz="0" w:space="0" w:color="auto"/>
            <w:left w:val="none" w:sz="0" w:space="0" w:color="auto"/>
            <w:bottom w:val="none" w:sz="0" w:space="0" w:color="auto"/>
            <w:right w:val="none" w:sz="0" w:space="0" w:color="auto"/>
          </w:divBdr>
        </w:div>
        <w:div w:id="208811497">
          <w:marLeft w:val="640"/>
          <w:marRight w:val="0"/>
          <w:marTop w:val="0"/>
          <w:marBottom w:val="0"/>
          <w:divBdr>
            <w:top w:val="none" w:sz="0" w:space="0" w:color="auto"/>
            <w:left w:val="none" w:sz="0" w:space="0" w:color="auto"/>
            <w:bottom w:val="none" w:sz="0" w:space="0" w:color="auto"/>
            <w:right w:val="none" w:sz="0" w:space="0" w:color="auto"/>
          </w:divBdr>
        </w:div>
        <w:div w:id="1704600030">
          <w:marLeft w:val="640"/>
          <w:marRight w:val="0"/>
          <w:marTop w:val="0"/>
          <w:marBottom w:val="0"/>
          <w:divBdr>
            <w:top w:val="none" w:sz="0" w:space="0" w:color="auto"/>
            <w:left w:val="none" w:sz="0" w:space="0" w:color="auto"/>
            <w:bottom w:val="none" w:sz="0" w:space="0" w:color="auto"/>
            <w:right w:val="none" w:sz="0" w:space="0" w:color="auto"/>
          </w:divBdr>
        </w:div>
        <w:div w:id="1566330567">
          <w:marLeft w:val="640"/>
          <w:marRight w:val="0"/>
          <w:marTop w:val="0"/>
          <w:marBottom w:val="0"/>
          <w:divBdr>
            <w:top w:val="none" w:sz="0" w:space="0" w:color="auto"/>
            <w:left w:val="none" w:sz="0" w:space="0" w:color="auto"/>
            <w:bottom w:val="none" w:sz="0" w:space="0" w:color="auto"/>
            <w:right w:val="none" w:sz="0" w:space="0" w:color="auto"/>
          </w:divBdr>
        </w:div>
        <w:div w:id="1107653027">
          <w:marLeft w:val="640"/>
          <w:marRight w:val="0"/>
          <w:marTop w:val="0"/>
          <w:marBottom w:val="0"/>
          <w:divBdr>
            <w:top w:val="none" w:sz="0" w:space="0" w:color="auto"/>
            <w:left w:val="none" w:sz="0" w:space="0" w:color="auto"/>
            <w:bottom w:val="none" w:sz="0" w:space="0" w:color="auto"/>
            <w:right w:val="none" w:sz="0" w:space="0" w:color="auto"/>
          </w:divBdr>
        </w:div>
        <w:div w:id="170995964">
          <w:marLeft w:val="640"/>
          <w:marRight w:val="0"/>
          <w:marTop w:val="0"/>
          <w:marBottom w:val="0"/>
          <w:divBdr>
            <w:top w:val="none" w:sz="0" w:space="0" w:color="auto"/>
            <w:left w:val="none" w:sz="0" w:space="0" w:color="auto"/>
            <w:bottom w:val="none" w:sz="0" w:space="0" w:color="auto"/>
            <w:right w:val="none" w:sz="0" w:space="0" w:color="auto"/>
          </w:divBdr>
        </w:div>
      </w:divsChild>
    </w:div>
    <w:div w:id="1875314670">
      <w:bodyDiv w:val="1"/>
      <w:marLeft w:val="0"/>
      <w:marRight w:val="0"/>
      <w:marTop w:val="0"/>
      <w:marBottom w:val="0"/>
      <w:divBdr>
        <w:top w:val="none" w:sz="0" w:space="0" w:color="auto"/>
        <w:left w:val="none" w:sz="0" w:space="0" w:color="auto"/>
        <w:bottom w:val="none" w:sz="0" w:space="0" w:color="auto"/>
        <w:right w:val="none" w:sz="0" w:space="0" w:color="auto"/>
      </w:divBdr>
      <w:divsChild>
        <w:div w:id="1678188173">
          <w:marLeft w:val="640"/>
          <w:marRight w:val="0"/>
          <w:marTop w:val="0"/>
          <w:marBottom w:val="0"/>
          <w:divBdr>
            <w:top w:val="none" w:sz="0" w:space="0" w:color="auto"/>
            <w:left w:val="none" w:sz="0" w:space="0" w:color="auto"/>
            <w:bottom w:val="none" w:sz="0" w:space="0" w:color="auto"/>
            <w:right w:val="none" w:sz="0" w:space="0" w:color="auto"/>
          </w:divBdr>
        </w:div>
        <w:div w:id="346445329">
          <w:marLeft w:val="640"/>
          <w:marRight w:val="0"/>
          <w:marTop w:val="0"/>
          <w:marBottom w:val="0"/>
          <w:divBdr>
            <w:top w:val="none" w:sz="0" w:space="0" w:color="auto"/>
            <w:left w:val="none" w:sz="0" w:space="0" w:color="auto"/>
            <w:bottom w:val="none" w:sz="0" w:space="0" w:color="auto"/>
            <w:right w:val="none" w:sz="0" w:space="0" w:color="auto"/>
          </w:divBdr>
        </w:div>
        <w:div w:id="851188072">
          <w:marLeft w:val="640"/>
          <w:marRight w:val="0"/>
          <w:marTop w:val="0"/>
          <w:marBottom w:val="0"/>
          <w:divBdr>
            <w:top w:val="none" w:sz="0" w:space="0" w:color="auto"/>
            <w:left w:val="none" w:sz="0" w:space="0" w:color="auto"/>
            <w:bottom w:val="none" w:sz="0" w:space="0" w:color="auto"/>
            <w:right w:val="none" w:sz="0" w:space="0" w:color="auto"/>
          </w:divBdr>
        </w:div>
        <w:div w:id="1840464680">
          <w:marLeft w:val="640"/>
          <w:marRight w:val="0"/>
          <w:marTop w:val="0"/>
          <w:marBottom w:val="0"/>
          <w:divBdr>
            <w:top w:val="none" w:sz="0" w:space="0" w:color="auto"/>
            <w:left w:val="none" w:sz="0" w:space="0" w:color="auto"/>
            <w:bottom w:val="none" w:sz="0" w:space="0" w:color="auto"/>
            <w:right w:val="none" w:sz="0" w:space="0" w:color="auto"/>
          </w:divBdr>
        </w:div>
        <w:div w:id="1387679375">
          <w:marLeft w:val="640"/>
          <w:marRight w:val="0"/>
          <w:marTop w:val="0"/>
          <w:marBottom w:val="0"/>
          <w:divBdr>
            <w:top w:val="none" w:sz="0" w:space="0" w:color="auto"/>
            <w:left w:val="none" w:sz="0" w:space="0" w:color="auto"/>
            <w:bottom w:val="none" w:sz="0" w:space="0" w:color="auto"/>
            <w:right w:val="none" w:sz="0" w:space="0" w:color="auto"/>
          </w:divBdr>
        </w:div>
        <w:div w:id="1840660683">
          <w:marLeft w:val="640"/>
          <w:marRight w:val="0"/>
          <w:marTop w:val="0"/>
          <w:marBottom w:val="0"/>
          <w:divBdr>
            <w:top w:val="none" w:sz="0" w:space="0" w:color="auto"/>
            <w:left w:val="none" w:sz="0" w:space="0" w:color="auto"/>
            <w:bottom w:val="none" w:sz="0" w:space="0" w:color="auto"/>
            <w:right w:val="none" w:sz="0" w:space="0" w:color="auto"/>
          </w:divBdr>
        </w:div>
        <w:div w:id="969091661">
          <w:marLeft w:val="640"/>
          <w:marRight w:val="0"/>
          <w:marTop w:val="0"/>
          <w:marBottom w:val="0"/>
          <w:divBdr>
            <w:top w:val="none" w:sz="0" w:space="0" w:color="auto"/>
            <w:left w:val="none" w:sz="0" w:space="0" w:color="auto"/>
            <w:bottom w:val="none" w:sz="0" w:space="0" w:color="auto"/>
            <w:right w:val="none" w:sz="0" w:space="0" w:color="auto"/>
          </w:divBdr>
        </w:div>
        <w:div w:id="886992608">
          <w:marLeft w:val="640"/>
          <w:marRight w:val="0"/>
          <w:marTop w:val="0"/>
          <w:marBottom w:val="0"/>
          <w:divBdr>
            <w:top w:val="none" w:sz="0" w:space="0" w:color="auto"/>
            <w:left w:val="none" w:sz="0" w:space="0" w:color="auto"/>
            <w:bottom w:val="none" w:sz="0" w:space="0" w:color="auto"/>
            <w:right w:val="none" w:sz="0" w:space="0" w:color="auto"/>
          </w:divBdr>
        </w:div>
        <w:div w:id="44187269">
          <w:marLeft w:val="640"/>
          <w:marRight w:val="0"/>
          <w:marTop w:val="0"/>
          <w:marBottom w:val="0"/>
          <w:divBdr>
            <w:top w:val="none" w:sz="0" w:space="0" w:color="auto"/>
            <w:left w:val="none" w:sz="0" w:space="0" w:color="auto"/>
            <w:bottom w:val="none" w:sz="0" w:space="0" w:color="auto"/>
            <w:right w:val="none" w:sz="0" w:space="0" w:color="auto"/>
          </w:divBdr>
        </w:div>
        <w:div w:id="1570575321">
          <w:marLeft w:val="640"/>
          <w:marRight w:val="0"/>
          <w:marTop w:val="0"/>
          <w:marBottom w:val="0"/>
          <w:divBdr>
            <w:top w:val="none" w:sz="0" w:space="0" w:color="auto"/>
            <w:left w:val="none" w:sz="0" w:space="0" w:color="auto"/>
            <w:bottom w:val="none" w:sz="0" w:space="0" w:color="auto"/>
            <w:right w:val="none" w:sz="0" w:space="0" w:color="auto"/>
          </w:divBdr>
        </w:div>
        <w:div w:id="939071899">
          <w:marLeft w:val="640"/>
          <w:marRight w:val="0"/>
          <w:marTop w:val="0"/>
          <w:marBottom w:val="0"/>
          <w:divBdr>
            <w:top w:val="none" w:sz="0" w:space="0" w:color="auto"/>
            <w:left w:val="none" w:sz="0" w:space="0" w:color="auto"/>
            <w:bottom w:val="none" w:sz="0" w:space="0" w:color="auto"/>
            <w:right w:val="none" w:sz="0" w:space="0" w:color="auto"/>
          </w:divBdr>
        </w:div>
        <w:div w:id="2010061658">
          <w:marLeft w:val="640"/>
          <w:marRight w:val="0"/>
          <w:marTop w:val="0"/>
          <w:marBottom w:val="0"/>
          <w:divBdr>
            <w:top w:val="none" w:sz="0" w:space="0" w:color="auto"/>
            <w:left w:val="none" w:sz="0" w:space="0" w:color="auto"/>
            <w:bottom w:val="none" w:sz="0" w:space="0" w:color="auto"/>
            <w:right w:val="none" w:sz="0" w:space="0" w:color="auto"/>
          </w:divBdr>
        </w:div>
        <w:div w:id="564800694">
          <w:marLeft w:val="640"/>
          <w:marRight w:val="0"/>
          <w:marTop w:val="0"/>
          <w:marBottom w:val="0"/>
          <w:divBdr>
            <w:top w:val="none" w:sz="0" w:space="0" w:color="auto"/>
            <w:left w:val="none" w:sz="0" w:space="0" w:color="auto"/>
            <w:bottom w:val="none" w:sz="0" w:space="0" w:color="auto"/>
            <w:right w:val="none" w:sz="0" w:space="0" w:color="auto"/>
          </w:divBdr>
        </w:div>
        <w:div w:id="728844831">
          <w:marLeft w:val="640"/>
          <w:marRight w:val="0"/>
          <w:marTop w:val="0"/>
          <w:marBottom w:val="0"/>
          <w:divBdr>
            <w:top w:val="none" w:sz="0" w:space="0" w:color="auto"/>
            <w:left w:val="none" w:sz="0" w:space="0" w:color="auto"/>
            <w:bottom w:val="none" w:sz="0" w:space="0" w:color="auto"/>
            <w:right w:val="none" w:sz="0" w:space="0" w:color="auto"/>
          </w:divBdr>
        </w:div>
        <w:div w:id="1116605705">
          <w:marLeft w:val="640"/>
          <w:marRight w:val="0"/>
          <w:marTop w:val="0"/>
          <w:marBottom w:val="0"/>
          <w:divBdr>
            <w:top w:val="none" w:sz="0" w:space="0" w:color="auto"/>
            <w:left w:val="none" w:sz="0" w:space="0" w:color="auto"/>
            <w:bottom w:val="none" w:sz="0" w:space="0" w:color="auto"/>
            <w:right w:val="none" w:sz="0" w:space="0" w:color="auto"/>
          </w:divBdr>
        </w:div>
        <w:div w:id="725033294">
          <w:marLeft w:val="640"/>
          <w:marRight w:val="0"/>
          <w:marTop w:val="0"/>
          <w:marBottom w:val="0"/>
          <w:divBdr>
            <w:top w:val="none" w:sz="0" w:space="0" w:color="auto"/>
            <w:left w:val="none" w:sz="0" w:space="0" w:color="auto"/>
            <w:bottom w:val="none" w:sz="0" w:space="0" w:color="auto"/>
            <w:right w:val="none" w:sz="0" w:space="0" w:color="auto"/>
          </w:divBdr>
        </w:div>
        <w:div w:id="1990741237">
          <w:marLeft w:val="640"/>
          <w:marRight w:val="0"/>
          <w:marTop w:val="0"/>
          <w:marBottom w:val="0"/>
          <w:divBdr>
            <w:top w:val="none" w:sz="0" w:space="0" w:color="auto"/>
            <w:left w:val="none" w:sz="0" w:space="0" w:color="auto"/>
            <w:bottom w:val="none" w:sz="0" w:space="0" w:color="auto"/>
            <w:right w:val="none" w:sz="0" w:space="0" w:color="auto"/>
          </w:divBdr>
        </w:div>
        <w:div w:id="1887983640">
          <w:marLeft w:val="640"/>
          <w:marRight w:val="0"/>
          <w:marTop w:val="0"/>
          <w:marBottom w:val="0"/>
          <w:divBdr>
            <w:top w:val="none" w:sz="0" w:space="0" w:color="auto"/>
            <w:left w:val="none" w:sz="0" w:space="0" w:color="auto"/>
            <w:bottom w:val="none" w:sz="0" w:space="0" w:color="auto"/>
            <w:right w:val="none" w:sz="0" w:space="0" w:color="auto"/>
          </w:divBdr>
        </w:div>
        <w:div w:id="1788742295">
          <w:marLeft w:val="640"/>
          <w:marRight w:val="0"/>
          <w:marTop w:val="0"/>
          <w:marBottom w:val="0"/>
          <w:divBdr>
            <w:top w:val="none" w:sz="0" w:space="0" w:color="auto"/>
            <w:left w:val="none" w:sz="0" w:space="0" w:color="auto"/>
            <w:bottom w:val="none" w:sz="0" w:space="0" w:color="auto"/>
            <w:right w:val="none" w:sz="0" w:space="0" w:color="auto"/>
          </w:divBdr>
        </w:div>
        <w:div w:id="686103467">
          <w:marLeft w:val="640"/>
          <w:marRight w:val="0"/>
          <w:marTop w:val="0"/>
          <w:marBottom w:val="0"/>
          <w:divBdr>
            <w:top w:val="none" w:sz="0" w:space="0" w:color="auto"/>
            <w:left w:val="none" w:sz="0" w:space="0" w:color="auto"/>
            <w:bottom w:val="none" w:sz="0" w:space="0" w:color="auto"/>
            <w:right w:val="none" w:sz="0" w:space="0" w:color="auto"/>
          </w:divBdr>
        </w:div>
        <w:div w:id="1116174821">
          <w:marLeft w:val="640"/>
          <w:marRight w:val="0"/>
          <w:marTop w:val="0"/>
          <w:marBottom w:val="0"/>
          <w:divBdr>
            <w:top w:val="none" w:sz="0" w:space="0" w:color="auto"/>
            <w:left w:val="none" w:sz="0" w:space="0" w:color="auto"/>
            <w:bottom w:val="none" w:sz="0" w:space="0" w:color="auto"/>
            <w:right w:val="none" w:sz="0" w:space="0" w:color="auto"/>
          </w:divBdr>
        </w:div>
        <w:div w:id="2028940258">
          <w:marLeft w:val="640"/>
          <w:marRight w:val="0"/>
          <w:marTop w:val="0"/>
          <w:marBottom w:val="0"/>
          <w:divBdr>
            <w:top w:val="none" w:sz="0" w:space="0" w:color="auto"/>
            <w:left w:val="none" w:sz="0" w:space="0" w:color="auto"/>
            <w:bottom w:val="none" w:sz="0" w:space="0" w:color="auto"/>
            <w:right w:val="none" w:sz="0" w:space="0" w:color="auto"/>
          </w:divBdr>
        </w:div>
        <w:div w:id="1781490056">
          <w:marLeft w:val="640"/>
          <w:marRight w:val="0"/>
          <w:marTop w:val="0"/>
          <w:marBottom w:val="0"/>
          <w:divBdr>
            <w:top w:val="none" w:sz="0" w:space="0" w:color="auto"/>
            <w:left w:val="none" w:sz="0" w:space="0" w:color="auto"/>
            <w:bottom w:val="none" w:sz="0" w:space="0" w:color="auto"/>
            <w:right w:val="none" w:sz="0" w:space="0" w:color="auto"/>
          </w:divBdr>
        </w:div>
        <w:div w:id="400055294">
          <w:marLeft w:val="640"/>
          <w:marRight w:val="0"/>
          <w:marTop w:val="0"/>
          <w:marBottom w:val="0"/>
          <w:divBdr>
            <w:top w:val="none" w:sz="0" w:space="0" w:color="auto"/>
            <w:left w:val="none" w:sz="0" w:space="0" w:color="auto"/>
            <w:bottom w:val="none" w:sz="0" w:space="0" w:color="auto"/>
            <w:right w:val="none" w:sz="0" w:space="0" w:color="auto"/>
          </w:divBdr>
        </w:div>
        <w:div w:id="1281960698">
          <w:marLeft w:val="640"/>
          <w:marRight w:val="0"/>
          <w:marTop w:val="0"/>
          <w:marBottom w:val="0"/>
          <w:divBdr>
            <w:top w:val="none" w:sz="0" w:space="0" w:color="auto"/>
            <w:left w:val="none" w:sz="0" w:space="0" w:color="auto"/>
            <w:bottom w:val="none" w:sz="0" w:space="0" w:color="auto"/>
            <w:right w:val="none" w:sz="0" w:space="0" w:color="auto"/>
          </w:divBdr>
        </w:div>
        <w:div w:id="80640992">
          <w:marLeft w:val="640"/>
          <w:marRight w:val="0"/>
          <w:marTop w:val="0"/>
          <w:marBottom w:val="0"/>
          <w:divBdr>
            <w:top w:val="none" w:sz="0" w:space="0" w:color="auto"/>
            <w:left w:val="none" w:sz="0" w:space="0" w:color="auto"/>
            <w:bottom w:val="none" w:sz="0" w:space="0" w:color="auto"/>
            <w:right w:val="none" w:sz="0" w:space="0" w:color="auto"/>
          </w:divBdr>
        </w:div>
        <w:div w:id="1582182870">
          <w:marLeft w:val="640"/>
          <w:marRight w:val="0"/>
          <w:marTop w:val="0"/>
          <w:marBottom w:val="0"/>
          <w:divBdr>
            <w:top w:val="none" w:sz="0" w:space="0" w:color="auto"/>
            <w:left w:val="none" w:sz="0" w:space="0" w:color="auto"/>
            <w:bottom w:val="none" w:sz="0" w:space="0" w:color="auto"/>
            <w:right w:val="none" w:sz="0" w:space="0" w:color="auto"/>
          </w:divBdr>
        </w:div>
        <w:div w:id="893589022">
          <w:marLeft w:val="640"/>
          <w:marRight w:val="0"/>
          <w:marTop w:val="0"/>
          <w:marBottom w:val="0"/>
          <w:divBdr>
            <w:top w:val="none" w:sz="0" w:space="0" w:color="auto"/>
            <w:left w:val="none" w:sz="0" w:space="0" w:color="auto"/>
            <w:bottom w:val="none" w:sz="0" w:space="0" w:color="auto"/>
            <w:right w:val="none" w:sz="0" w:space="0" w:color="auto"/>
          </w:divBdr>
        </w:div>
        <w:div w:id="769356110">
          <w:marLeft w:val="640"/>
          <w:marRight w:val="0"/>
          <w:marTop w:val="0"/>
          <w:marBottom w:val="0"/>
          <w:divBdr>
            <w:top w:val="none" w:sz="0" w:space="0" w:color="auto"/>
            <w:left w:val="none" w:sz="0" w:space="0" w:color="auto"/>
            <w:bottom w:val="none" w:sz="0" w:space="0" w:color="auto"/>
            <w:right w:val="none" w:sz="0" w:space="0" w:color="auto"/>
          </w:divBdr>
        </w:div>
        <w:div w:id="1920863172">
          <w:marLeft w:val="640"/>
          <w:marRight w:val="0"/>
          <w:marTop w:val="0"/>
          <w:marBottom w:val="0"/>
          <w:divBdr>
            <w:top w:val="none" w:sz="0" w:space="0" w:color="auto"/>
            <w:left w:val="none" w:sz="0" w:space="0" w:color="auto"/>
            <w:bottom w:val="none" w:sz="0" w:space="0" w:color="auto"/>
            <w:right w:val="none" w:sz="0" w:space="0" w:color="auto"/>
          </w:divBdr>
        </w:div>
        <w:div w:id="1680159236">
          <w:marLeft w:val="640"/>
          <w:marRight w:val="0"/>
          <w:marTop w:val="0"/>
          <w:marBottom w:val="0"/>
          <w:divBdr>
            <w:top w:val="none" w:sz="0" w:space="0" w:color="auto"/>
            <w:left w:val="none" w:sz="0" w:space="0" w:color="auto"/>
            <w:bottom w:val="none" w:sz="0" w:space="0" w:color="auto"/>
            <w:right w:val="none" w:sz="0" w:space="0" w:color="auto"/>
          </w:divBdr>
        </w:div>
        <w:div w:id="1061556477">
          <w:marLeft w:val="640"/>
          <w:marRight w:val="0"/>
          <w:marTop w:val="0"/>
          <w:marBottom w:val="0"/>
          <w:divBdr>
            <w:top w:val="none" w:sz="0" w:space="0" w:color="auto"/>
            <w:left w:val="none" w:sz="0" w:space="0" w:color="auto"/>
            <w:bottom w:val="none" w:sz="0" w:space="0" w:color="auto"/>
            <w:right w:val="none" w:sz="0" w:space="0" w:color="auto"/>
          </w:divBdr>
        </w:div>
        <w:div w:id="1581329236">
          <w:marLeft w:val="640"/>
          <w:marRight w:val="0"/>
          <w:marTop w:val="0"/>
          <w:marBottom w:val="0"/>
          <w:divBdr>
            <w:top w:val="none" w:sz="0" w:space="0" w:color="auto"/>
            <w:left w:val="none" w:sz="0" w:space="0" w:color="auto"/>
            <w:bottom w:val="none" w:sz="0" w:space="0" w:color="auto"/>
            <w:right w:val="none" w:sz="0" w:space="0" w:color="auto"/>
          </w:divBdr>
        </w:div>
        <w:div w:id="38669805">
          <w:marLeft w:val="640"/>
          <w:marRight w:val="0"/>
          <w:marTop w:val="0"/>
          <w:marBottom w:val="0"/>
          <w:divBdr>
            <w:top w:val="none" w:sz="0" w:space="0" w:color="auto"/>
            <w:left w:val="none" w:sz="0" w:space="0" w:color="auto"/>
            <w:bottom w:val="none" w:sz="0" w:space="0" w:color="auto"/>
            <w:right w:val="none" w:sz="0" w:space="0" w:color="auto"/>
          </w:divBdr>
        </w:div>
        <w:div w:id="189538266">
          <w:marLeft w:val="640"/>
          <w:marRight w:val="0"/>
          <w:marTop w:val="0"/>
          <w:marBottom w:val="0"/>
          <w:divBdr>
            <w:top w:val="none" w:sz="0" w:space="0" w:color="auto"/>
            <w:left w:val="none" w:sz="0" w:space="0" w:color="auto"/>
            <w:bottom w:val="none" w:sz="0" w:space="0" w:color="auto"/>
            <w:right w:val="none" w:sz="0" w:space="0" w:color="auto"/>
          </w:divBdr>
        </w:div>
        <w:div w:id="1206943521">
          <w:marLeft w:val="640"/>
          <w:marRight w:val="0"/>
          <w:marTop w:val="0"/>
          <w:marBottom w:val="0"/>
          <w:divBdr>
            <w:top w:val="none" w:sz="0" w:space="0" w:color="auto"/>
            <w:left w:val="none" w:sz="0" w:space="0" w:color="auto"/>
            <w:bottom w:val="none" w:sz="0" w:space="0" w:color="auto"/>
            <w:right w:val="none" w:sz="0" w:space="0" w:color="auto"/>
          </w:divBdr>
        </w:div>
        <w:div w:id="269092081">
          <w:marLeft w:val="640"/>
          <w:marRight w:val="0"/>
          <w:marTop w:val="0"/>
          <w:marBottom w:val="0"/>
          <w:divBdr>
            <w:top w:val="none" w:sz="0" w:space="0" w:color="auto"/>
            <w:left w:val="none" w:sz="0" w:space="0" w:color="auto"/>
            <w:bottom w:val="none" w:sz="0" w:space="0" w:color="auto"/>
            <w:right w:val="none" w:sz="0" w:space="0" w:color="auto"/>
          </w:divBdr>
        </w:div>
        <w:div w:id="1568877160">
          <w:marLeft w:val="640"/>
          <w:marRight w:val="0"/>
          <w:marTop w:val="0"/>
          <w:marBottom w:val="0"/>
          <w:divBdr>
            <w:top w:val="none" w:sz="0" w:space="0" w:color="auto"/>
            <w:left w:val="none" w:sz="0" w:space="0" w:color="auto"/>
            <w:bottom w:val="none" w:sz="0" w:space="0" w:color="auto"/>
            <w:right w:val="none" w:sz="0" w:space="0" w:color="auto"/>
          </w:divBdr>
        </w:div>
        <w:div w:id="39523485">
          <w:marLeft w:val="640"/>
          <w:marRight w:val="0"/>
          <w:marTop w:val="0"/>
          <w:marBottom w:val="0"/>
          <w:divBdr>
            <w:top w:val="none" w:sz="0" w:space="0" w:color="auto"/>
            <w:left w:val="none" w:sz="0" w:space="0" w:color="auto"/>
            <w:bottom w:val="none" w:sz="0" w:space="0" w:color="auto"/>
            <w:right w:val="none" w:sz="0" w:space="0" w:color="auto"/>
          </w:divBdr>
        </w:div>
        <w:div w:id="1352147788">
          <w:marLeft w:val="640"/>
          <w:marRight w:val="0"/>
          <w:marTop w:val="0"/>
          <w:marBottom w:val="0"/>
          <w:divBdr>
            <w:top w:val="none" w:sz="0" w:space="0" w:color="auto"/>
            <w:left w:val="none" w:sz="0" w:space="0" w:color="auto"/>
            <w:bottom w:val="none" w:sz="0" w:space="0" w:color="auto"/>
            <w:right w:val="none" w:sz="0" w:space="0" w:color="auto"/>
          </w:divBdr>
        </w:div>
        <w:div w:id="1540706326">
          <w:marLeft w:val="640"/>
          <w:marRight w:val="0"/>
          <w:marTop w:val="0"/>
          <w:marBottom w:val="0"/>
          <w:divBdr>
            <w:top w:val="none" w:sz="0" w:space="0" w:color="auto"/>
            <w:left w:val="none" w:sz="0" w:space="0" w:color="auto"/>
            <w:bottom w:val="none" w:sz="0" w:space="0" w:color="auto"/>
            <w:right w:val="none" w:sz="0" w:space="0" w:color="auto"/>
          </w:divBdr>
        </w:div>
        <w:div w:id="1852062992">
          <w:marLeft w:val="640"/>
          <w:marRight w:val="0"/>
          <w:marTop w:val="0"/>
          <w:marBottom w:val="0"/>
          <w:divBdr>
            <w:top w:val="none" w:sz="0" w:space="0" w:color="auto"/>
            <w:left w:val="none" w:sz="0" w:space="0" w:color="auto"/>
            <w:bottom w:val="none" w:sz="0" w:space="0" w:color="auto"/>
            <w:right w:val="none" w:sz="0" w:space="0" w:color="auto"/>
          </w:divBdr>
        </w:div>
        <w:div w:id="301466473">
          <w:marLeft w:val="640"/>
          <w:marRight w:val="0"/>
          <w:marTop w:val="0"/>
          <w:marBottom w:val="0"/>
          <w:divBdr>
            <w:top w:val="none" w:sz="0" w:space="0" w:color="auto"/>
            <w:left w:val="none" w:sz="0" w:space="0" w:color="auto"/>
            <w:bottom w:val="none" w:sz="0" w:space="0" w:color="auto"/>
            <w:right w:val="none" w:sz="0" w:space="0" w:color="auto"/>
          </w:divBdr>
        </w:div>
        <w:div w:id="474420091">
          <w:marLeft w:val="640"/>
          <w:marRight w:val="0"/>
          <w:marTop w:val="0"/>
          <w:marBottom w:val="0"/>
          <w:divBdr>
            <w:top w:val="none" w:sz="0" w:space="0" w:color="auto"/>
            <w:left w:val="none" w:sz="0" w:space="0" w:color="auto"/>
            <w:bottom w:val="none" w:sz="0" w:space="0" w:color="auto"/>
            <w:right w:val="none" w:sz="0" w:space="0" w:color="auto"/>
          </w:divBdr>
        </w:div>
        <w:div w:id="1999183734">
          <w:marLeft w:val="640"/>
          <w:marRight w:val="0"/>
          <w:marTop w:val="0"/>
          <w:marBottom w:val="0"/>
          <w:divBdr>
            <w:top w:val="none" w:sz="0" w:space="0" w:color="auto"/>
            <w:left w:val="none" w:sz="0" w:space="0" w:color="auto"/>
            <w:bottom w:val="none" w:sz="0" w:space="0" w:color="auto"/>
            <w:right w:val="none" w:sz="0" w:space="0" w:color="auto"/>
          </w:divBdr>
        </w:div>
        <w:div w:id="98837130">
          <w:marLeft w:val="640"/>
          <w:marRight w:val="0"/>
          <w:marTop w:val="0"/>
          <w:marBottom w:val="0"/>
          <w:divBdr>
            <w:top w:val="none" w:sz="0" w:space="0" w:color="auto"/>
            <w:left w:val="none" w:sz="0" w:space="0" w:color="auto"/>
            <w:bottom w:val="none" w:sz="0" w:space="0" w:color="auto"/>
            <w:right w:val="none" w:sz="0" w:space="0" w:color="auto"/>
          </w:divBdr>
        </w:div>
        <w:div w:id="1183084144">
          <w:marLeft w:val="640"/>
          <w:marRight w:val="0"/>
          <w:marTop w:val="0"/>
          <w:marBottom w:val="0"/>
          <w:divBdr>
            <w:top w:val="none" w:sz="0" w:space="0" w:color="auto"/>
            <w:left w:val="none" w:sz="0" w:space="0" w:color="auto"/>
            <w:bottom w:val="none" w:sz="0" w:space="0" w:color="auto"/>
            <w:right w:val="none" w:sz="0" w:space="0" w:color="auto"/>
          </w:divBdr>
        </w:div>
        <w:div w:id="1069841868">
          <w:marLeft w:val="640"/>
          <w:marRight w:val="0"/>
          <w:marTop w:val="0"/>
          <w:marBottom w:val="0"/>
          <w:divBdr>
            <w:top w:val="none" w:sz="0" w:space="0" w:color="auto"/>
            <w:left w:val="none" w:sz="0" w:space="0" w:color="auto"/>
            <w:bottom w:val="none" w:sz="0" w:space="0" w:color="auto"/>
            <w:right w:val="none" w:sz="0" w:space="0" w:color="auto"/>
          </w:divBdr>
        </w:div>
        <w:div w:id="1570383172">
          <w:marLeft w:val="640"/>
          <w:marRight w:val="0"/>
          <w:marTop w:val="0"/>
          <w:marBottom w:val="0"/>
          <w:divBdr>
            <w:top w:val="none" w:sz="0" w:space="0" w:color="auto"/>
            <w:left w:val="none" w:sz="0" w:space="0" w:color="auto"/>
            <w:bottom w:val="none" w:sz="0" w:space="0" w:color="auto"/>
            <w:right w:val="none" w:sz="0" w:space="0" w:color="auto"/>
          </w:divBdr>
        </w:div>
        <w:div w:id="1304657244">
          <w:marLeft w:val="640"/>
          <w:marRight w:val="0"/>
          <w:marTop w:val="0"/>
          <w:marBottom w:val="0"/>
          <w:divBdr>
            <w:top w:val="none" w:sz="0" w:space="0" w:color="auto"/>
            <w:left w:val="none" w:sz="0" w:space="0" w:color="auto"/>
            <w:bottom w:val="none" w:sz="0" w:space="0" w:color="auto"/>
            <w:right w:val="none" w:sz="0" w:space="0" w:color="auto"/>
          </w:divBdr>
        </w:div>
        <w:div w:id="1445227722">
          <w:marLeft w:val="640"/>
          <w:marRight w:val="0"/>
          <w:marTop w:val="0"/>
          <w:marBottom w:val="0"/>
          <w:divBdr>
            <w:top w:val="none" w:sz="0" w:space="0" w:color="auto"/>
            <w:left w:val="none" w:sz="0" w:space="0" w:color="auto"/>
            <w:bottom w:val="none" w:sz="0" w:space="0" w:color="auto"/>
            <w:right w:val="none" w:sz="0" w:space="0" w:color="auto"/>
          </w:divBdr>
        </w:div>
        <w:div w:id="1441531153">
          <w:marLeft w:val="640"/>
          <w:marRight w:val="0"/>
          <w:marTop w:val="0"/>
          <w:marBottom w:val="0"/>
          <w:divBdr>
            <w:top w:val="none" w:sz="0" w:space="0" w:color="auto"/>
            <w:left w:val="none" w:sz="0" w:space="0" w:color="auto"/>
            <w:bottom w:val="none" w:sz="0" w:space="0" w:color="auto"/>
            <w:right w:val="none" w:sz="0" w:space="0" w:color="auto"/>
          </w:divBdr>
        </w:div>
        <w:div w:id="1015350568">
          <w:marLeft w:val="640"/>
          <w:marRight w:val="0"/>
          <w:marTop w:val="0"/>
          <w:marBottom w:val="0"/>
          <w:divBdr>
            <w:top w:val="none" w:sz="0" w:space="0" w:color="auto"/>
            <w:left w:val="none" w:sz="0" w:space="0" w:color="auto"/>
            <w:bottom w:val="none" w:sz="0" w:space="0" w:color="auto"/>
            <w:right w:val="none" w:sz="0" w:space="0" w:color="auto"/>
          </w:divBdr>
        </w:div>
        <w:div w:id="641008208">
          <w:marLeft w:val="640"/>
          <w:marRight w:val="0"/>
          <w:marTop w:val="0"/>
          <w:marBottom w:val="0"/>
          <w:divBdr>
            <w:top w:val="none" w:sz="0" w:space="0" w:color="auto"/>
            <w:left w:val="none" w:sz="0" w:space="0" w:color="auto"/>
            <w:bottom w:val="none" w:sz="0" w:space="0" w:color="auto"/>
            <w:right w:val="none" w:sz="0" w:space="0" w:color="auto"/>
          </w:divBdr>
        </w:div>
        <w:div w:id="835997561">
          <w:marLeft w:val="640"/>
          <w:marRight w:val="0"/>
          <w:marTop w:val="0"/>
          <w:marBottom w:val="0"/>
          <w:divBdr>
            <w:top w:val="none" w:sz="0" w:space="0" w:color="auto"/>
            <w:left w:val="none" w:sz="0" w:space="0" w:color="auto"/>
            <w:bottom w:val="none" w:sz="0" w:space="0" w:color="auto"/>
            <w:right w:val="none" w:sz="0" w:space="0" w:color="auto"/>
          </w:divBdr>
        </w:div>
        <w:div w:id="1117330262">
          <w:marLeft w:val="640"/>
          <w:marRight w:val="0"/>
          <w:marTop w:val="0"/>
          <w:marBottom w:val="0"/>
          <w:divBdr>
            <w:top w:val="none" w:sz="0" w:space="0" w:color="auto"/>
            <w:left w:val="none" w:sz="0" w:space="0" w:color="auto"/>
            <w:bottom w:val="none" w:sz="0" w:space="0" w:color="auto"/>
            <w:right w:val="none" w:sz="0" w:space="0" w:color="auto"/>
          </w:divBdr>
        </w:div>
        <w:div w:id="196159201">
          <w:marLeft w:val="640"/>
          <w:marRight w:val="0"/>
          <w:marTop w:val="0"/>
          <w:marBottom w:val="0"/>
          <w:divBdr>
            <w:top w:val="none" w:sz="0" w:space="0" w:color="auto"/>
            <w:left w:val="none" w:sz="0" w:space="0" w:color="auto"/>
            <w:bottom w:val="none" w:sz="0" w:space="0" w:color="auto"/>
            <w:right w:val="none" w:sz="0" w:space="0" w:color="auto"/>
          </w:divBdr>
        </w:div>
        <w:div w:id="1902909419">
          <w:marLeft w:val="640"/>
          <w:marRight w:val="0"/>
          <w:marTop w:val="0"/>
          <w:marBottom w:val="0"/>
          <w:divBdr>
            <w:top w:val="none" w:sz="0" w:space="0" w:color="auto"/>
            <w:left w:val="none" w:sz="0" w:space="0" w:color="auto"/>
            <w:bottom w:val="none" w:sz="0" w:space="0" w:color="auto"/>
            <w:right w:val="none" w:sz="0" w:space="0" w:color="auto"/>
          </w:divBdr>
        </w:div>
        <w:div w:id="1328316348">
          <w:marLeft w:val="640"/>
          <w:marRight w:val="0"/>
          <w:marTop w:val="0"/>
          <w:marBottom w:val="0"/>
          <w:divBdr>
            <w:top w:val="none" w:sz="0" w:space="0" w:color="auto"/>
            <w:left w:val="none" w:sz="0" w:space="0" w:color="auto"/>
            <w:bottom w:val="none" w:sz="0" w:space="0" w:color="auto"/>
            <w:right w:val="none" w:sz="0" w:space="0" w:color="auto"/>
          </w:divBdr>
        </w:div>
        <w:div w:id="1930039507">
          <w:marLeft w:val="640"/>
          <w:marRight w:val="0"/>
          <w:marTop w:val="0"/>
          <w:marBottom w:val="0"/>
          <w:divBdr>
            <w:top w:val="none" w:sz="0" w:space="0" w:color="auto"/>
            <w:left w:val="none" w:sz="0" w:space="0" w:color="auto"/>
            <w:bottom w:val="none" w:sz="0" w:space="0" w:color="auto"/>
            <w:right w:val="none" w:sz="0" w:space="0" w:color="auto"/>
          </w:divBdr>
        </w:div>
        <w:div w:id="46609931">
          <w:marLeft w:val="640"/>
          <w:marRight w:val="0"/>
          <w:marTop w:val="0"/>
          <w:marBottom w:val="0"/>
          <w:divBdr>
            <w:top w:val="none" w:sz="0" w:space="0" w:color="auto"/>
            <w:left w:val="none" w:sz="0" w:space="0" w:color="auto"/>
            <w:bottom w:val="none" w:sz="0" w:space="0" w:color="auto"/>
            <w:right w:val="none" w:sz="0" w:space="0" w:color="auto"/>
          </w:divBdr>
        </w:div>
        <w:div w:id="417598250">
          <w:marLeft w:val="640"/>
          <w:marRight w:val="0"/>
          <w:marTop w:val="0"/>
          <w:marBottom w:val="0"/>
          <w:divBdr>
            <w:top w:val="none" w:sz="0" w:space="0" w:color="auto"/>
            <w:left w:val="none" w:sz="0" w:space="0" w:color="auto"/>
            <w:bottom w:val="none" w:sz="0" w:space="0" w:color="auto"/>
            <w:right w:val="none" w:sz="0" w:space="0" w:color="auto"/>
          </w:divBdr>
        </w:div>
        <w:div w:id="1848863931">
          <w:marLeft w:val="640"/>
          <w:marRight w:val="0"/>
          <w:marTop w:val="0"/>
          <w:marBottom w:val="0"/>
          <w:divBdr>
            <w:top w:val="none" w:sz="0" w:space="0" w:color="auto"/>
            <w:left w:val="none" w:sz="0" w:space="0" w:color="auto"/>
            <w:bottom w:val="none" w:sz="0" w:space="0" w:color="auto"/>
            <w:right w:val="none" w:sz="0" w:space="0" w:color="auto"/>
          </w:divBdr>
        </w:div>
        <w:div w:id="1152134629">
          <w:marLeft w:val="640"/>
          <w:marRight w:val="0"/>
          <w:marTop w:val="0"/>
          <w:marBottom w:val="0"/>
          <w:divBdr>
            <w:top w:val="none" w:sz="0" w:space="0" w:color="auto"/>
            <w:left w:val="none" w:sz="0" w:space="0" w:color="auto"/>
            <w:bottom w:val="none" w:sz="0" w:space="0" w:color="auto"/>
            <w:right w:val="none" w:sz="0" w:space="0" w:color="auto"/>
          </w:divBdr>
        </w:div>
        <w:div w:id="1372994086">
          <w:marLeft w:val="640"/>
          <w:marRight w:val="0"/>
          <w:marTop w:val="0"/>
          <w:marBottom w:val="0"/>
          <w:divBdr>
            <w:top w:val="none" w:sz="0" w:space="0" w:color="auto"/>
            <w:left w:val="none" w:sz="0" w:space="0" w:color="auto"/>
            <w:bottom w:val="none" w:sz="0" w:space="0" w:color="auto"/>
            <w:right w:val="none" w:sz="0" w:space="0" w:color="auto"/>
          </w:divBdr>
        </w:div>
        <w:div w:id="1370302817">
          <w:marLeft w:val="640"/>
          <w:marRight w:val="0"/>
          <w:marTop w:val="0"/>
          <w:marBottom w:val="0"/>
          <w:divBdr>
            <w:top w:val="none" w:sz="0" w:space="0" w:color="auto"/>
            <w:left w:val="none" w:sz="0" w:space="0" w:color="auto"/>
            <w:bottom w:val="none" w:sz="0" w:space="0" w:color="auto"/>
            <w:right w:val="none" w:sz="0" w:space="0" w:color="auto"/>
          </w:divBdr>
        </w:div>
        <w:div w:id="1203402647">
          <w:marLeft w:val="640"/>
          <w:marRight w:val="0"/>
          <w:marTop w:val="0"/>
          <w:marBottom w:val="0"/>
          <w:divBdr>
            <w:top w:val="none" w:sz="0" w:space="0" w:color="auto"/>
            <w:left w:val="none" w:sz="0" w:space="0" w:color="auto"/>
            <w:bottom w:val="none" w:sz="0" w:space="0" w:color="auto"/>
            <w:right w:val="none" w:sz="0" w:space="0" w:color="auto"/>
          </w:divBdr>
        </w:div>
        <w:div w:id="66155241">
          <w:marLeft w:val="640"/>
          <w:marRight w:val="0"/>
          <w:marTop w:val="0"/>
          <w:marBottom w:val="0"/>
          <w:divBdr>
            <w:top w:val="none" w:sz="0" w:space="0" w:color="auto"/>
            <w:left w:val="none" w:sz="0" w:space="0" w:color="auto"/>
            <w:bottom w:val="none" w:sz="0" w:space="0" w:color="auto"/>
            <w:right w:val="none" w:sz="0" w:space="0" w:color="auto"/>
          </w:divBdr>
        </w:div>
        <w:div w:id="1684167056">
          <w:marLeft w:val="640"/>
          <w:marRight w:val="0"/>
          <w:marTop w:val="0"/>
          <w:marBottom w:val="0"/>
          <w:divBdr>
            <w:top w:val="none" w:sz="0" w:space="0" w:color="auto"/>
            <w:left w:val="none" w:sz="0" w:space="0" w:color="auto"/>
            <w:bottom w:val="none" w:sz="0" w:space="0" w:color="auto"/>
            <w:right w:val="none" w:sz="0" w:space="0" w:color="auto"/>
          </w:divBdr>
        </w:div>
        <w:div w:id="1270696997">
          <w:marLeft w:val="640"/>
          <w:marRight w:val="0"/>
          <w:marTop w:val="0"/>
          <w:marBottom w:val="0"/>
          <w:divBdr>
            <w:top w:val="none" w:sz="0" w:space="0" w:color="auto"/>
            <w:left w:val="none" w:sz="0" w:space="0" w:color="auto"/>
            <w:bottom w:val="none" w:sz="0" w:space="0" w:color="auto"/>
            <w:right w:val="none" w:sz="0" w:space="0" w:color="auto"/>
          </w:divBdr>
        </w:div>
        <w:div w:id="1676607796">
          <w:marLeft w:val="640"/>
          <w:marRight w:val="0"/>
          <w:marTop w:val="0"/>
          <w:marBottom w:val="0"/>
          <w:divBdr>
            <w:top w:val="none" w:sz="0" w:space="0" w:color="auto"/>
            <w:left w:val="none" w:sz="0" w:space="0" w:color="auto"/>
            <w:bottom w:val="none" w:sz="0" w:space="0" w:color="auto"/>
            <w:right w:val="none" w:sz="0" w:space="0" w:color="auto"/>
          </w:divBdr>
        </w:div>
        <w:div w:id="707492076">
          <w:marLeft w:val="640"/>
          <w:marRight w:val="0"/>
          <w:marTop w:val="0"/>
          <w:marBottom w:val="0"/>
          <w:divBdr>
            <w:top w:val="none" w:sz="0" w:space="0" w:color="auto"/>
            <w:left w:val="none" w:sz="0" w:space="0" w:color="auto"/>
            <w:bottom w:val="none" w:sz="0" w:space="0" w:color="auto"/>
            <w:right w:val="none" w:sz="0" w:space="0" w:color="auto"/>
          </w:divBdr>
        </w:div>
        <w:div w:id="1856579581">
          <w:marLeft w:val="640"/>
          <w:marRight w:val="0"/>
          <w:marTop w:val="0"/>
          <w:marBottom w:val="0"/>
          <w:divBdr>
            <w:top w:val="none" w:sz="0" w:space="0" w:color="auto"/>
            <w:left w:val="none" w:sz="0" w:space="0" w:color="auto"/>
            <w:bottom w:val="none" w:sz="0" w:space="0" w:color="auto"/>
            <w:right w:val="none" w:sz="0" w:space="0" w:color="auto"/>
          </w:divBdr>
        </w:div>
        <w:div w:id="863445053">
          <w:marLeft w:val="640"/>
          <w:marRight w:val="0"/>
          <w:marTop w:val="0"/>
          <w:marBottom w:val="0"/>
          <w:divBdr>
            <w:top w:val="none" w:sz="0" w:space="0" w:color="auto"/>
            <w:left w:val="none" w:sz="0" w:space="0" w:color="auto"/>
            <w:bottom w:val="none" w:sz="0" w:space="0" w:color="auto"/>
            <w:right w:val="none" w:sz="0" w:space="0" w:color="auto"/>
          </w:divBdr>
        </w:div>
        <w:div w:id="687633930">
          <w:marLeft w:val="640"/>
          <w:marRight w:val="0"/>
          <w:marTop w:val="0"/>
          <w:marBottom w:val="0"/>
          <w:divBdr>
            <w:top w:val="none" w:sz="0" w:space="0" w:color="auto"/>
            <w:left w:val="none" w:sz="0" w:space="0" w:color="auto"/>
            <w:bottom w:val="none" w:sz="0" w:space="0" w:color="auto"/>
            <w:right w:val="none" w:sz="0" w:space="0" w:color="auto"/>
          </w:divBdr>
        </w:div>
        <w:div w:id="1457945039">
          <w:marLeft w:val="640"/>
          <w:marRight w:val="0"/>
          <w:marTop w:val="0"/>
          <w:marBottom w:val="0"/>
          <w:divBdr>
            <w:top w:val="none" w:sz="0" w:space="0" w:color="auto"/>
            <w:left w:val="none" w:sz="0" w:space="0" w:color="auto"/>
            <w:bottom w:val="none" w:sz="0" w:space="0" w:color="auto"/>
            <w:right w:val="none" w:sz="0" w:space="0" w:color="auto"/>
          </w:divBdr>
        </w:div>
        <w:div w:id="1779788830">
          <w:marLeft w:val="640"/>
          <w:marRight w:val="0"/>
          <w:marTop w:val="0"/>
          <w:marBottom w:val="0"/>
          <w:divBdr>
            <w:top w:val="none" w:sz="0" w:space="0" w:color="auto"/>
            <w:left w:val="none" w:sz="0" w:space="0" w:color="auto"/>
            <w:bottom w:val="none" w:sz="0" w:space="0" w:color="auto"/>
            <w:right w:val="none" w:sz="0" w:space="0" w:color="auto"/>
          </w:divBdr>
        </w:div>
        <w:div w:id="161094172">
          <w:marLeft w:val="640"/>
          <w:marRight w:val="0"/>
          <w:marTop w:val="0"/>
          <w:marBottom w:val="0"/>
          <w:divBdr>
            <w:top w:val="none" w:sz="0" w:space="0" w:color="auto"/>
            <w:left w:val="none" w:sz="0" w:space="0" w:color="auto"/>
            <w:bottom w:val="none" w:sz="0" w:space="0" w:color="auto"/>
            <w:right w:val="none" w:sz="0" w:space="0" w:color="auto"/>
          </w:divBdr>
        </w:div>
        <w:div w:id="1613784951">
          <w:marLeft w:val="640"/>
          <w:marRight w:val="0"/>
          <w:marTop w:val="0"/>
          <w:marBottom w:val="0"/>
          <w:divBdr>
            <w:top w:val="none" w:sz="0" w:space="0" w:color="auto"/>
            <w:left w:val="none" w:sz="0" w:space="0" w:color="auto"/>
            <w:bottom w:val="none" w:sz="0" w:space="0" w:color="auto"/>
            <w:right w:val="none" w:sz="0" w:space="0" w:color="auto"/>
          </w:divBdr>
        </w:div>
        <w:div w:id="1538663143">
          <w:marLeft w:val="640"/>
          <w:marRight w:val="0"/>
          <w:marTop w:val="0"/>
          <w:marBottom w:val="0"/>
          <w:divBdr>
            <w:top w:val="none" w:sz="0" w:space="0" w:color="auto"/>
            <w:left w:val="none" w:sz="0" w:space="0" w:color="auto"/>
            <w:bottom w:val="none" w:sz="0" w:space="0" w:color="auto"/>
            <w:right w:val="none" w:sz="0" w:space="0" w:color="auto"/>
          </w:divBdr>
        </w:div>
        <w:div w:id="1946687735">
          <w:marLeft w:val="640"/>
          <w:marRight w:val="0"/>
          <w:marTop w:val="0"/>
          <w:marBottom w:val="0"/>
          <w:divBdr>
            <w:top w:val="none" w:sz="0" w:space="0" w:color="auto"/>
            <w:left w:val="none" w:sz="0" w:space="0" w:color="auto"/>
            <w:bottom w:val="none" w:sz="0" w:space="0" w:color="auto"/>
            <w:right w:val="none" w:sz="0" w:space="0" w:color="auto"/>
          </w:divBdr>
        </w:div>
        <w:div w:id="1100829770">
          <w:marLeft w:val="640"/>
          <w:marRight w:val="0"/>
          <w:marTop w:val="0"/>
          <w:marBottom w:val="0"/>
          <w:divBdr>
            <w:top w:val="none" w:sz="0" w:space="0" w:color="auto"/>
            <w:left w:val="none" w:sz="0" w:space="0" w:color="auto"/>
            <w:bottom w:val="none" w:sz="0" w:space="0" w:color="auto"/>
            <w:right w:val="none" w:sz="0" w:space="0" w:color="auto"/>
          </w:divBdr>
        </w:div>
        <w:div w:id="2026051148">
          <w:marLeft w:val="640"/>
          <w:marRight w:val="0"/>
          <w:marTop w:val="0"/>
          <w:marBottom w:val="0"/>
          <w:divBdr>
            <w:top w:val="none" w:sz="0" w:space="0" w:color="auto"/>
            <w:left w:val="none" w:sz="0" w:space="0" w:color="auto"/>
            <w:bottom w:val="none" w:sz="0" w:space="0" w:color="auto"/>
            <w:right w:val="none" w:sz="0" w:space="0" w:color="auto"/>
          </w:divBdr>
        </w:div>
        <w:div w:id="1693871827">
          <w:marLeft w:val="640"/>
          <w:marRight w:val="0"/>
          <w:marTop w:val="0"/>
          <w:marBottom w:val="0"/>
          <w:divBdr>
            <w:top w:val="none" w:sz="0" w:space="0" w:color="auto"/>
            <w:left w:val="none" w:sz="0" w:space="0" w:color="auto"/>
            <w:bottom w:val="none" w:sz="0" w:space="0" w:color="auto"/>
            <w:right w:val="none" w:sz="0" w:space="0" w:color="auto"/>
          </w:divBdr>
        </w:div>
        <w:div w:id="1675498661">
          <w:marLeft w:val="640"/>
          <w:marRight w:val="0"/>
          <w:marTop w:val="0"/>
          <w:marBottom w:val="0"/>
          <w:divBdr>
            <w:top w:val="none" w:sz="0" w:space="0" w:color="auto"/>
            <w:left w:val="none" w:sz="0" w:space="0" w:color="auto"/>
            <w:bottom w:val="none" w:sz="0" w:space="0" w:color="auto"/>
            <w:right w:val="none" w:sz="0" w:space="0" w:color="auto"/>
          </w:divBdr>
        </w:div>
        <w:div w:id="1973098688">
          <w:marLeft w:val="640"/>
          <w:marRight w:val="0"/>
          <w:marTop w:val="0"/>
          <w:marBottom w:val="0"/>
          <w:divBdr>
            <w:top w:val="none" w:sz="0" w:space="0" w:color="auto"/>
            <w:left w:val="none" w:sz="0" w:space="0" w:color="auto"/>
            <w:bottom w:val="none" w:sz="0" w:space="0" w:color="auto"/>
            <w:right w:val="none" w:sz="0" w:space="0" w:color="auto"/>
          </w:divBdr>
        </w:div>
        <w:div w:id="940180540">
          <w:marLeft w:val="640"/>
          <w:marRight w:val="0"/>
          <w:marTop w:val="0"/>
          <w:marBottom w:val="0"/>
          <w:divBdr>
            <w:top w:val="none" w:sz="0" w:space="0" w:color="auto"/>
            <w:left w:val="none" w:sz="0" w:space="0" w:color="auto"/>
            <w:bottom w:val="none" w:sz="0" w:space="0" w:color="auto"/>
            <w:right w:val="none" w:sz="0" w:space="0" w:color="auto"/>
          </w:divBdr>
        </w:div>
        <w:div w:id="261299773">
          <w:marLeft w:val="640"/>
          <w:marRight w:val="0"/>
          <w:marTop w:val="0"/>
          <w:marBottom w:val="0"/>
          <w:divBdr>
            <w:top w:val="none" w:sz="0" w:space="0" w:color="auto"/>
            <w:left w:val="none" w:sz="0" w:space="0" w:color="auto"/>
            <w:bottom w:val="none" w:sz="0" w:space="0" w:color="auto"/>
            <w:right w:val="none" w:sz="0" w:space="0" w:color="auto"/>
          </w:divBdr>
        </w:div>
        <w:div w:id="1183318825">
          <w:marLeft w:val="640"/>
          <w:marRight w:val="0"/>
          <w:marTop w:val="0"/>
          <w:marBottom w:val="0"/>
          <w:divBdr>
            <w:top w:val="none" w:sz="0" w:space="0" w:color="auto"/>
            <w:left w:val="none" w:sz="0" w:space="0" w:color="auto"/>
            <w:bottom w:val="none" w:sz="0" w:space="0" w:color="auto"/>
            <w:right w:val="none" w:sz="0" w:space="0" w:color="auto"/>
          </w:divBdr>
        </w:div>
        <w:div w:id="711156687">
          <w:marLeft w:val="640"/>
          <w:marRight w:val="0"/>
          <w:marTop w:val="0"/>
          <w:marBottom w:val="0"/>
          <w:divBdr>
            <w:top w:val="none" w:sz="0" w:space="0" w:color="auto"/>
            <w:left w:val="none" w:sz="0" w:space="0" w:color="auto"/>
            <w:bottom w:val="none" w:sz="0" w:space="0" w:color="auto"/>
            <w:right w:val="none" w:sz="0" w:space="0" w:color="auto"/>
          </w:divBdr>
        </w:div>
        <w:div w:id="1127745992">
          <w:marLeft w:val="640"/>
          <w:marRight w:val="0"/>
          <w:marTop w:val="0"/>
          <w:marBottom w:val="0"/>
          <w:divBdr>
            <w:top w:val="none" w:sz="0" w:space="0" w:color="auto"/>
            <w:left w:val="none" w:sz="0" w:space="0" w:color="auto"/>
            <w:bottom w:val="none" w:sz="0" w:space="0" w:color="auto"/>
            <w:right w:val="none" w:sz="0" w:space="0" w:color="auto"/>
          </w:divBdr>
        </w:div>
        <w:div w:id="613711666">
          <w:marLeft w:val="640"/>
          <w:marRight w:val="0"/>
          <w:marTop w:val="0"/>
          <w:marBottom w:val="0"/>
          <w:divBdr>
            <w:top w:val="none" w:sz="0" w:space="0" w:color="auto"/>
            <w:left w:val="none" w:sz="0" w:space="0" w:color="auto"/>
            <w:bottom w:val="none" w:sz="0" w:space="0" w:color="auto"/>
            <w:right w:val="none" w:sz="0" w:space="0" w:color="auto"/>
          </w:divBdr>
        </w:div>
        <w:div w:id="1294100809">
          <w:marLeft w:val="640"/>
          <w:marRight w:val="0"/>
          <w:marTop w:val="0"/>
          <w:marBottom w:val="0"/>
          <w:divBdr>
            <w:top w:val="none" w:sz="0" w:space="0" w:color="auto"/>
            <w:left w:val="none" w:sz="0" w:space="0" w:color="auto"/>
            <w:bottom w:val="none" w:sz="0" w:space="0" w:color="auto"/>
            <w:right w:val="none" w:sz="0" w:space="0" w:color="auto"/>
          </w:divBdr>
        </w:div>
        <w:div w:id="1100223441">
          <w:marLeft w:val="640"/>
          <w:marRight w:val="0"/>
          <w:marTop w:val="0"/>
          <w:marBottom w:val="0"/>
          <w:divBdr>
            <w:top w:val="none" w:sz="0" w:space="0" w:color="auto"/>
            <w:left w:val="none" w:sz="0" w:space="0" w:color="auto"/>
            <w:bottom w:val="none" w:sz="0" w:space="0" w:color="auto"/>
            <w:right w:val="none" w:sz="0" w:space="0" w:color="auto"/>
          </w:divBdr>
        </w:div>
        <w:div w:id="365835226">
          <w:marLeft w:val="640"/>
          <w:marRight w:val="0"/>
          <w:marTop w:val="0"/>
          <w:marBottom w:val="0"/>
          <w:divBdr>
            <w:top w:val="none" w:sz="0" w:space="0" w:color="auto"/>
            <w:left w:val="none" w:sz="0" w:space="0" w:color="auto"/>
            <w:bottom w:val="none" w:sz="0" w:space="0" w:color="auto"/>
            <w:right w:val="none" w:sz="0" w:space="0" w:color="auto"/>
          </w:divBdr>
        </w:div>
        <w:div w:id="829179945">
          <w:marLeft w:val="640"/>
          <w:marRight w:val="0"/>
          <w:marTop w:val="0"/>
          <w:marBottom w:val="0"/>
          <w:divBdr>
            <w:top w:val="none" w:sz="0" w:space="0" w:color="auto"/>
            <w:left w:val="none" w:sz="0" w:space="0" w:color="auto"/>
            <w:bottom w:val="none" w:sz="0" w:space="0" w:color="auto"/>
            <w:right w:val="none" w:sz="0" w:space="0" w:color="auto"/>
          </w:divBdr>
        </w:div>
        <w:div w:id="349842534">
          <w:marLeft w:val="640"/>
          <w:marRight w:val="0"/>
          <w:marTop w:val="0"/>
          <w:marBottom w:val="0"/>
          <w:divBdr>
            <w:top w:val="none" w:sz="0" w:space="0" w:color="auto"/>
            <w:left w:val="none" w:sz="0" w:space="0" w:color="auto"/>
            <w:bottom w:val="none" w:sz="0" w:space="0" w:color="auto"/>
            <w:right w:val="none" w:sz="0" w:space="0" w:color="auto"/>
          </w:divBdr>
        </w:div>
        <w:div w:id="630328663">
          <w:marLeft w:val="640"/>
          <w:marRight w:val="0"/>
          <w:marTop w:val="0"/>
          <w:marBottom w:val="0"/>
          <w:divBdr>
            <w:top w:val="none" w:sz="0" w:space="0" w:color="auto"/>
            <w:left w:val="none" w:sz="0" w:space="0" w:color="auto"/>
            <w:bottom w:val="none" w:sz="0" w:space="0" w:color="auto"/>
            <w:right w:val="none" w:sz="0" w:space="0" w:color="auto"/>
          </w:divBdr>
        </w:div>
        <w:div w:id="471168337">
          <w:marLeft w:val="640"/>
          <w:marRight w:val="0"/>
          <w:marTop w:val="0"/>
          <w:marBottom w:val="0"/>
          <w:divBdr>
            <w:top w:val="none" w:sz="0" w:space="0" w:color="auto"/>
            <w:left w:val="none" w:sz="0" w:space="0" w:color="auto"/>
            <w:bottom w:val="none" w:sz="0" w:space="0" w:color="auto"/>
            <w:right w:val="none" w:sz="0" w:space="0" w:color="auto"/>
          </w:divBdr>
        </w:div>
        <w:div w:id="57947476">
          <w:marLeft w:val="640"/>
          <w:marRight w:val="0"/>
          <w:marTop w:val="0"/>
          <w:marBottom w:val="0"/>
          <w:divBdr>
            <w:top w:val="none" w:sz="0" w:space="0" w:color="auto"/>
            <w:left w:val="none" w:sz="0" w:space="0" w:color="auto"/>
            <w:bottom w:val="none" w:sz="0" w:space="0" w:color="auto"/>
            <w:right w:val="none" w:sz="0" w:space="0" w:color="auto"/>
          </w:divBdr>
        </w:div>
        <w:div w:id="154222099">
          <w:marLeft w:val="640"/>
          <w:marRight w:val="0"/>
          <w:marTop w:val="0"/>
          <w:marBottom w:val="0"/>
          <w:divBdr>
            <w:top w:val="none" w:sz="0" w:space="0" w:color="auto"/>
            <w:left w:val="none" w:sz="0" w:space="0" w:color="auto"/>
            <w:bottom w:val="none" w:sz="0" w:space="0" w:color="auto"/>
            <w:right w:val="none" w:sz="0" w:space="0" w:color="auto"/>
          </w:divBdr>
        </w:div>
        <w:div w:id="743140994">
          <w:marLeft w:val="640"/>
          <w:marRight w:val="0"/>
          <w:marTop w:val="0"/>
          <w:marBottom w:val="0"/>
          <w:divBdr>
            <w:top w:val="none" w:sz="0" w:space="0" w:color="auto"/>
            <w:left w:val="none" w:sz="0" w:space="0" w:color="auto"/>
            <w:bottom w:val="none" w:sz="0" w:space="0" w:color="auto"/>
            <w:right w:val="none" w:sz="0" w:space="0" w:color="auto"/>
          </w:divBdr>
        </w:div>
        <w:div w:id="165948892">
          <w:marLeft w:val="640"/>
          <w:marRight w:val="0"/>
          <w:marTop w:val="0"/>
          <w:marBottom w:val="0"/>
          <w:divBdr>
            <w:top w:val="none" w:sz="0" w:space="0" w:color="auto"/>
            <w:left w:val="none" w:sz="0" w:space="0" w:color="auto"/>
            <w:bottom w:val="none" w:sz="0" w:space="0" w:color="auto"/>
            <w:right w:val="none" w:sz="0" w:space="0" w:color="auto"/>
          </w:divBdr>
        </w:div>
        <w:div w:id="390617241">
          <w:marLeft w:val="640"/>
          <w:marRight w:val="0"/>
          <w:marTop w:val="0"/>
          <w:marBottom w:val="0"/>
          <w:divBdr>
            <w:top w:val="none" w:sz="0" w:space="0" w:color="auto"/>
            <w:left w:val="none" w:sz="0" w:space="0" w:color="auto"/>
            <w:bottom w:val="none" w:sz="0" w:space="0" w:color="auto"/>
            <w:right w:val="none" w:sz="0" w:space="0" w:color="auto"/>
          </w:divBdr>
        </w:div>
        <w:div w:id="1610315879">
          <w:marLeft w:val="640"/>
          <w:marRight w:val="0"/>
          <w:marTop w:val="0"/>
          <w:marBottom w:val="0"/>
          <w:divBdr>
            <w:top w:val="none" w:sz="0" w:space="0" w:color="auto"/>
            <w:left w:val="none" w:sz="0" w:space="0" w:color="auto"/>
            <w:bottom w:val="none" w:sz="0" w:space="0" w:color="auto"/>
            <w:right w:val="none" w:sz="0" w:space="0" w:color="auto"/>
          </w:divBdr>
        </w:div>
        <w:div w:id="1814105793">
          <w:marLeft w:val="640"/>
          <w:marRight w:val="0"/>
          <w:marTop w:val="0"/>
          <w:marBottom w:val="0"/>
          <w:divBdr>
            <w:top w:val="none" w:sz="0" w:space="0" w:color="auto"/>
            <w:left w:val="none" w:sz="0" w:space="0" w:color="auto"/>
            <w:bottom w:val="none" w:sz="0" w:space="0" w:color="auto"/>
            <w:right w:val="none" w:sz="0" w:space="0" w:color="auto"/>
          </w:divBdr>
        </w:div>
        <w:div w:id="1410152064">
          <w:marLeft w:val="640"/>
          <w:marRight w:val="0"/>
          <w:marTop w:val="0"/>
          <w:marBottom w:val="0"/>
          <w:divBdr>
            <w:top w:val="none" w:sz="0" w:space="0" w:color="auto"/>
            <w:left w:val="none" w:sz="0" w:space="0" w:color="auto"/>
            <w:bottom w:val="none" w:sz="0" w:space="0" w:color="auto"/>
            <w:right w:val="none" w:sz="0" w:space="0" w:color="auto"/>
          </w:divBdr>
        </w:div>
        <w:div w:id="1861822610">
          <w:marLeft w:val="640"/>
          <w:marRight w:val="0"/>
          <w:marTop w:val="0"/>
          <w:marBottom w:val="0"/>
          <w:divBdr>
            <w:top w:val="none" w:sz="0" w:space="0" w:color="auto"/>
            <w:left w:val="none" w:sz="0" w:space="0" w:color="auto"/>
            <w:bottom w:val="none" w:sz="0" w:space="0" w:color="auto"/>
            <w:right w:val="none" w:sz="0" w:space="0" w:color="auto"/>
          </w:divBdr>
        </w:div>
        <w:div w:id="1127511893">
          <w:marLeft w:val="640"/>
          <w:marRight w:val="0"/>
          <w:marTop w:val="0"/>
          <w:marBottom w:val="0"/>
          <w:divBdr>
            <w:top w:val="none" w:sz="0" w:space="0" w:color="auto"/>
            <w:left w:val="none" w:sz="0" w:space="0" w:color="auto"/>
            <w:bottom w:val="none" w:sz="0" w:space="0" w:color="auto"/>
            <w:right w:val="none" w:sz="0" w:space="0" w:color="auto"/>
          </w:divBdr>
        </w:div>
        <w:div w:id="345598467">
          <w:marLeft w:val="640"/>
          <w:marRight w:val="0"/>
          <w:marTop w:val="0"/>
          <w:marBottom w:val="0"/>
          <w:divBdr>
            <w:top w:val="none" w:sz="0" w:space="0" w:color="auto"/>
            <w:left w:val="none" w:sz="0" w:space="0" w:color="auto"/>
            <w:bottom w:val="none" w:sz="0" w:space="0" w:color="auto"/>
            <w:right w:val="none" w:sz="0" w:space="0" w:color="auto"/>
          </w:divBdr>
        </w:div>
        <w:div w:id="69668469">
          <w:marLeft w:val="640"/>
          <w:marRight w:val="0"/>
          <w:marTop w:val="0"/>
          <w:marBottom w:val="0"/>
          <w:divBdr>
            <w:top w:val="none" w:sz="0" w:space="0" w:color="auto"/>
            <w:left w:val="none" w:sz="0" w:space="0" w:color="auto"/>
            <w:bottom w:val="none" w:sz="0" w:space="0" w:color="auto"/>
            <w:right w:val="none" w:sz="0" w:space="0" w:color="auto"/>
          </w:divBdr>
        </w:div>
        <w:div w:id="931662583">
          <w:marLeft w:val="640"/>
          <w:marRight w:val="0"/>
          <w:marTop w:val="0"/>
          <w:marBottom w:val="0"/>
          <w:divBdr>
            <w:top w:val="none" w:sz="0" w:space="0" w:color="auto"/>
            <w:left w:val="none" w:sz="0" w:space="0" w:color="auto"/>
            <w:bottom w:val="none" w:sz="0" w:space="0" w:color="auto"/>
            <w:right w:val="none" w:sz="0" w:space="0" w:color="auto"/>
          </w:divBdr>
        </w:div>
        <w:div w:id="1603493867">
          <w:marLeft w:val="640"/>
          <w:marRight w:val="0"/>
          <w:marTop w:val="0"/>
          <w:marBottom w:val="0"/>
          <w:divBdr>
            <w:top w:val="none" w:sz="0" w:space="0" w:color="auto"/>
            <w:left w:val="none" w:sz="0" w:space="0" w:color="auto"/>
            <w:bottom w:val="none" w:sz="0" w:space="0" w:color="auto"/>
            <w:right w:val="none" w:sz="0" w:space="0" w:color="auto"/>
          </w:divBdr>
        </w:div>
        <w:div w:id="844520170">
          <w:marLeft w:val="640"/>
          <w:marRight w:val="0"/>
          <w:marTop w:val="0"/>
          <w:marBottom w:val="0"/>
          <w:divBdr>
            <w:top w:val="none" w:sz="0" w:space="0" w:color="auto"/>
            <w:left w:val="none" w:sz="0" w:space="0" w:color="auto"/>
            <w:bottom w:val="none" w:sz="0" w:space="0" w:color="auto"/>
            <w:right w:val="none" w:sz="0" w:space="0" w:color="auto"/>
          </w:divBdr>
        </w:div>
        <w:div w:id="710227844">
          <w:marLeft w:val="640"/>
          <w:marRight w:val="0"/>
          <w:marTop w:val="0"/>
          <w:marBottom w:val="0"/>
          <w:divBdr>
            <w:top w:val="none" w:sz="0" w:space="0" w:color="auto"/>
            <w:left w:val="none" w:sz="0" w:space="0" w:color="auto"/>
            <w:bottom w:val="none" w:sz="0" w:space="0" w:color="auto"/>
            <w:right w:val="none" w:sz="0" w:space="0" w:color="auto"/>
          </w:divBdr>
        </w:div>
        <w:div w:id="1620602664">
          <w:marLeft w:val="640"/>
          <w:marRight w:val="0"/>
          <w:marTop w:val="0"/>
          <w:marBottom w:val="0"/>
          <w:divBdr>
            <w:top w:val="none" w:sz="0" w:space="0" w:color="auto"/>
            <w:left w:val="none" w:sz="0" w:space="0" w:color="auto"/>
            <w:bottom w:val="none" w:sz="0" w:space="0" w:color="auto"/>
            <w:right w:val="none" w:sz="0" w:space="0" w:color="auto"/>
          </w:divBdr>
        </w:div>
        <w:div w:id="1506092175">
          <w:marLeft w:val="640"/>
          <w:marRight w:val="0"/>
          <w:marTop w:val="0"/>
          <w:marBottom w:val="0"/>
          <w:divBdr>
            <w:top w:val="none" w:sz="0" w:space="0" w:color="auto"/>
            <w:left w:val="none" w:sz="0" w:space="0" w:color="auto"/>
            <w:bottom w:val="none" w:sz="0" w:space="0" w:color="auto"/>
            <w:right w:val="none" w:sz="0" w:space="0" w:color="auto"/>
          </w:divBdr>
        </w:div>
        <w:div w:id="1480726653">
          <w:marLeft w:val="640"/>
          <w:marRight w:val="0"/>
          <w:marTop w:val="0"/>
          <w:marBottom w:val="0"/>
          <w:divBdr>
            <w:top w:val="none" w:sz="0" w:space="0" w:color="auto"/>
            <w:left w:val="none" w:sz="0" w:space="0" w:color="auto"/>
            <w:bottom w:val="none" w:sz="0" w:space="0" w:color="auto"/>
            <w:right w:val="none" w:sz="0" w:space="0" w:color="auto"/>
          </w:divBdr>
        </w:div>
        <w:div w:id="1575509411">
          <w:marLeft w:val="640"/>
          <w:marRight w:val="0"/>
          <w:marTop w:val="0"/>
          <w:marBottom w:val="0"/>
          <w:divBdr>
            <w:top w:val="none" w:sz="0" w:space="0" w:color="auto"/>
            <w:left w:val="none" w:sz="0" w:space="0" w:color="auto"/>
            <w:bottom w:val="none" w:sz="0" w:space="0" w:color="auto"/>
            <w:right w:val="none" w:sz="0" w:space="0" w:color="auto"/>
          </w:divBdr>
        </w:div>
        <w:div w:id="1033461871">
          <w:marLeft w:val="640"/>
          <w:marRight w:val="0"/>
          <w:marTop w:val="0"/>
          <w:marBottom w:val="0"/>
          <w:divBdr>
            <w:top w:val="none" w:sz="0" w:space="0" w:color="auto"/>
            <w:left w:val="none" w:sz="0" w:space="0" w:color="auto"/>
            <w:bottom w:val="none" w:sz="0" w:space="0" w:color="auto"/>
            <w:right w:val="none" w:sz="0" w:space="0" w:color="auto"/>
          </w:divBdr>
        </w:div>
        <w:div w:id="939800647">
          <w:marLeft w:val="640"/>
          <w:marRight w:val="0"/>
          <w:marTop w:val="0"/>
          <w:marBottom w:val="0"/>
          <w:divBdr>
            <w:top w:val="none" w:sz="0" w:space="0" w:color="auto"/>
            <w:left w:val="none" w:sz="0" w:space="0" w:color="auto"/>
            <w:bottom w:val="none" w:sz="0" w:space="0" w:color="auto"/>
            <w:right w:val="none" w:sz="0" w:space="0" w:color="auto"/>
          </w:divBdr>
        </w:div>
        <w:div w:id="334773037">
          <w:marLeft w:val="640"/>
          <w:marRight w:val="0"/>
          <w:marTop w:val="0"/>
          <w:marBottom w:val="0"/>
          <w:divBdr>
            <w:top w:val="none" w:sz="0" w:space="0" w:color="auto"/>
            <w:left w:val="none" w:sz="0" w:space="0" w:color="auto"/>
            <w:bottom w:val="none" w:sz="0" w:space="0" w:color="auto"/>
            <w:right w:val="none" w:sz="0" w:space="0" w:color="auto"/>
          </w:divBdr>
        </w:div>
        <w:div w:id="651641613">
          <w:marLeft w:val="640"/>
          <w:marRight w:val="0"/>
          <w:marTop w:val="0"/>
          <w:marBottom w:val="0"/>
          <w:divBdr>
            <w:top w:val="none" w:sz="0" w:space="0" w:color="auto"/>
            <w:left w:val="none" w:sz="0" w:space="0" w:color="auto"/>
            <w:bottom w:val="none" w:sz="0" w:space="0" w:color="auto"/>
            <w:right w:val="none" w:sz="0" w:space="0" w:color="auto"/>
          </w:divBdr>
        </w:div>
        <w:div w:id="798838812">
          <w:marLeft w:val="640"/>
          <w:marRight w:val="0"/>
          <w:marTop w:val="0"/>
          <w:marBottom w:val="0"/>
          <w:divBdr>
            <w:top w:val="none" w:sz="0" w:space="0" w:color="auto"/>
            <w:left w:val="none" w:sz="0" w:space="0" w:color="auto"/>
            <w:bottom w:val="none" w:sz="0" w:space="0" w:color="auto"/>
            <w:right w:val="none" w:sz="0" w:space="0" w:color="auto"/>
          </w:divBdr>
        </w:div>
        <w:div w:id="1852646128">
          <w:marLeft w:val="640"/>
          <w:marRight w:val="0"/>
          <w:marTop w:val="0"/>
          <w:marBottom w:val="0"/>
          <w:divBdr>
            <w:top w:val="none" w:sz="0" w:space="0" w:color="auto"/>
            <w:left w:val="none" w:sz="0" w:space="0" w:color="auto"/>
            <w:bottom w:val="none" w:sz="0" w:space="0" w:color="auto"/>
            <w:right w:val="none" w:sz="0" w:space="0" w:color="auto"/>
          </w:divBdr>
        </w:div>
        <w:div w:id="307243892">
          <w:marLeft w:val="640"/>
          <w:marRight w:val="0"/>
          <w:marTop w:val="0"/>
          <w:marBottom w:val="0"/>
          <w:divBdr>
            <w:top w:val="none" w:sz="0" w:space="0" w:color="auto"/>
            <w:left w:val="none" w:sz="0" w:space="0" w:color="auto"/>
            <w:bottom w:val="none" w:sz="0" w:space="0" w:color="auto"/>
            <w:right w:val="none" w:sz="0" w:space="0" w:color="auto"/>
          </w:divBdr>
        </w:div>
        <w:div w:id="1291009493">
          <w:marLeft w:val="640"/>
          <w:marRight w:val="0"/>
          <w:marTop w:val="0"/>
          <w:marBottom w:val="0"/>
          <w:divBdr>
            <w:top w:val="none" w:sz="0" w:space="0" w:color="auto"/>
            <w:left w:val="none" w:sz="0" w:space="0" w:color="auto"/>
            <w:bottom w:val="none" w:sz="0" w:space="0" w:color="auto"/>
            <w:right w:val="none" w:sz="0" w:space="0" w:color="auto"/>
          </w:divBdr>
        </w:div>
        <w:div w:id="1065032873">
          <w:marLeft w:val="640"/>
          <w:marRight w:val="0"/>
          <w:marTop w:val="0"/>
          <w:marBottom w:val="0"/>
          <w:divBdr>
            <w:top w:val="none" w:sz="0" w:space="0" w:color="auto"/>
            <w:left w:val="none" w:sz="0" w:space="0" w:color="auto"/>
            <w:bottom w:val="none" w:sz="0" w:space="0" w:color="auto"/>
            <w:right w:val="none" w:sz="0" w:space="0" w:color="auto"/>
          </w:divBdr>
        </w:div>
        <w:div w:id="904491448">
          <w:marLeft w:val="640"/>
          <w:marRight w:val="0"/>
          <w:marTop w:val="0"/>
          <w:marBottom w:val="0"/>
          <w:divBdr>
            <w:top w:val="none" w:sz="0" w:space="0" w:color="auto"/>
            <w:left w:val="none" w:sz="0" w:space="0" w:color="auto"/>
            <w:bottom w:val="none" w:sz="0" w:space="0" w:color="auto"/>
            <w:right w:val="none" w:sz="0" w:space="0" w:color="auto"/>
          </w:divBdr>
        </w:div>
        <w:div w:id="645472793">
          <w:marLeft w:val="640"/>
          <w:marRight w:val="0"/>
          <w:marTop w:val="0"/>
          <w:marBottom w:val="0"/>
          <w:divBdr>
            <w:top w:val="none" w:sz="0" w:space="0" w:color="auto"/>
            <w:left w:val="none" w:sz="0" w:space="0" w:color="auto"/>
            <w:bottom w:val="none" w:sz="0" w:space="0" w:color="auto"/>
            <w:right w:val="none" w:sz="0" w:space="0" w:color="auto"/>
          </w:divBdr>
        </w:div>
        <w:div w:id="1712877047">
          <w:marLeft w:val="640"/>
          <w:marRight w:val="0"/>
          <w:marTop w:val="0"/>
          <w:marBottom w:val="0"/>
          <w:divBdr>
            <w:top w:val="none" w:sz="0" w:space="0" w:color="auto"/>
            <w:left w:val="none" w:sz="0" w:space="0" w:color="auto"/>
            <w:bottom w:val="none" w:sz="0" w:space="0" w:color="auto"/>
            <w:right w:val="none" w:sz="0" w:space="0" w:color="auto"/>
          </w:divBdr>
        </w:div>
        <w:div w:id="1329869717">
          <w:marLeft w:val="640"/>
          <w:marRight w:val="0"/>
          <w:marTop w:val="0"/>
          <w:marBottom w:val="0"/>
          <w:divBdr>
            <w:top w:val="none" w:sz="0" w:space="0" w:color="auto"/>
            <w:left w:val="none" w:sz="0" w:space="0" w:color="auto"/>
            <w:bottom w:val="none" w:sz="0" w:space="0" w:color="auto"/>
            <w:right w:val="none" w:sz="0" w:space="0" w:color="auto"/>
          </w:divBdr>
        </w:div>
        <w:div w:id="728920032">
          <w:marLeft w:val="640"/>
          <w:marRight w:val="0"/>
          <w:marTop w:val="0"/>
          <w:marBottom w:val="0"/>
          <w:divBdr>
            <w:top w:val="none" w:sz="0" w:space="0" w:color="auto"/>
            <w:left w:val="none" w:sz="0" w:space="0" w:color="auto"/>
            <w:bottom w:val="none" w:sz="0" w:space="0" w:color="auto"/>
            <w:right w:val="none" w:sz="0" w:space="0" w:color="auto"/>
          </w:divBdr>
        </w:div>
        <w:div w:id="1509514539">
          <w:marLeft w:val="640"/>
          <w:marRight w:val="0"/>
          <w:marTop w:val="0"/>
          <w:marBottom w:val="0"/>
          <w:divBdr>
            <w:top w:val="none" w:sz="0" w:space="0" w:color="auto"/>
            <w:left w:val="none" w:sz="0" w:space="0" w:color="auto"/>
            <w:bottom w:val="none" w:sz="0" w:space="0" w:color="auto"/>
            <w:right w:val="none" w:sz="0" w:space="0" w:color="auto"/>
          </w:divBdr>
        </w:div>
        <w:div w:id="998339057">
          <w:marLeft w:val="640"/>
          <w:marRight w:val="0"/>
          <w:marTop w:val="0"/>
          <w:marBottom w:val="0"/>
          <w:divBdr>
            <w:top w:val="none" w:sz="0" w:space="0" w:color="auto"/>
            <w:left w:val="none" w:sz="0" w:space="0" w:color="auto"/>
            <w:bottom w:val="none" w:sz="0" w:space="0" w:color="auto"/>
            <w:right w:val="none" w:sz="0" w:space="0" w:color="auto"/>
          </w:divBdr>
        </w:div>
        <w:div w:id="1580825154">
          <w:marLeft w:val="640"/>
          <w:marRight w:val="0"/>
          <w:marTop w:val="0"/>
          <w:marBottom w:val="0"/>
          <w:divBdr>
            <w:top w:val="none" w:sz="0" w:space="0" w:color="auto"/>
            <w:left w:val="none" w:sz="0" w:space="0" w:color="auto"/>
            <w:bottom w:val="none" w:sz="0" w:space="0" w:color="auto"/>
            <w:right w:val="none" w:sz="0" w:space="0" w:color="auto"/>
          </w:divBdr>
        </w:div>
        <w:div w:id="517742177">
          <w:marLeft w:val="640"/>
          <w:marRight w:val="0"/>
          <w:marTop w:val="0"/>
          <w:marBottom w:val="0"/>
          <w:divBdr>
            <w:top w:val="none" w:sz="0" w:space="0" w:color="auto"/>
            <w:left w:val="none" w:sz="0" w:space="0" w:color="auto"/>
            <w:bottom w:val="none" w:sz="0" w:space="0" w:color="auto"/>
            <w:right w:val="none" w:sz="0" w:space="0" w:color="auto"/>
          </w:divBdr>
        </w:div>
        <w:div w:id="575092935">
          <w:marLeft w:val="640"/>
          <w:marRight w:val="0"/>
          <w:marTop w:val="0"/>
          <w:marBottom w:val="0"/>
          <w:divBdr>
            <w:top w:val="none" w:sz="0" w:space="0" w:color="auto"/>
            <w:left w:val="none" w:sz="0" w:space="0" w:color="auto"/>
            <w:bottom w:val="none" w:sz="0" w:space="0" w:color="auto"/>
            <w:right w:val="none" w:sz="0" w:space="0" w:color="auto"/>
          </w:divBdr>
        </w:div>
        <w:div w:id="986789253">
          <w:marLeft w:val="640"/>
          <w:marRight w:val="0"/>
          <w:marTop w:val="0"/>
          <w:marBottom w:val="0"/>
          <w:divBdr>
            <w:top w:val="none" w:sz="0" w:space="0" w:color="auto"/>
            <w:left w:val="none" w:sz="0" w:space="0" w:color="auto"/>
            <w:bottom w:val="none" w:sz="0" w:space="0" w:color="auto"/>
            <w:right w:val="none" w:sz="0" w:space="0" w:color="auto"/>
          </w:divBdr>
        </w:div>
        <w:div w:id="1560938595">
          <w:marLeft w:val="640"/>
          <w:marRight w:val="0"/>
          <w:marTop w:val="0"/>
          <w:marBottom w:val="0"/>
          <w:divBdr>
            <w:top w:val="none" w:sz="0" w:space="0" w:color="auto"/>
            <w:left w:val="none" w:sz="0" w:space="0" w:color="auto"/>
            <w:bottom w:val="none" w:sz="0" w:space="0" w:color="auto"/>
            <w:right w:val="none" w:sz="0" w:space="0" w:color="auto"/>
          </w:divBdr>
        </w:div>
        <w:div w:id="616375717">
          <w:marLeft w:val="640"/>
          <w:marRight w:val="0"/>
          <w:marTop w:val="0"/>
          <w:marBottom w:val="0"/>
          <w:divBdr>
            <w:top w:val="none" w:sz="0" w:space="0" w:color="auto"/>
            <w:left w:val="none" w:sz="0" w:space="0" w:color="auto"/>
            <w:bottom w:val="none" w:sz="0" w:space="0" w:color="auto"/>
            <w:right w:val="none" w:sz="0" w:space="0" w:color="auto"/>
          </w:divBdr>
        </w:div>
        <w:div w:id="1881670485">
          <w:marLeft w:val="640"/>
          <w:marRight w:val="0"/>
          <w:marTop w:val="0"/>
          <w:marBottom w:val="0"/>
          <w:divBdr>
            <w:top w:val="none" w:sz="0" w:space="0" w:color="auto"/>
            <w:left w:val="none" w:sz="0" w:space="0" w:color="auto"/>
            <w:bottom w:val="none" w:sz="0" w:space="0" w:color="auto"/>
            <w:right w:val="none" w:sz="0" w:space="0" w:color="auto"/>
          </w:divBdr>
        </w:div>
        <w:div w:id="455569433">
          <w:marLeft w:val="640"/>
          <w:marRight w:val="0"/>
          <w:marTop w:val="0"/>
          <w:marBottom w:val="0"/>
          <w:divBdr>
            <w:top w:val="none" w:sz="0" w:space="0" w:color="auto"/>
            <w:left w:val="none" w:sz="0" w:space="0" w:color="auto"/>
            <w:bottom w:val="none" w:sz="0" w:space="0" w:color="auto"/>
            <w:right w:val="none" w:sz="0" w:space="0" w:color="auto"/>
          </w:divBdr>
        </w:div>
        <w:div w:id="988746078">
          <w:marLeft w:val="640"/>
          <w:marRight w:val="0"/>
          <w:marTop w:val="0"/>
          <w:marBottom w:val="0"/>
          <w:divBdr>
            <w:top w:val="none" w:sz="0" w:space="0" w:color="auto"/>
            <w:left w:val="none" w:sz="0" w:space="0" w:color="auto"/>
            <w:bottom w:val="none" w:sz="0" w:space="0" w:color="auto"/>
            <w:right w:val="none" w:sz="0" w:space="0" w:color="auto"/>
          </w:divBdr>
        </w:div>
        <w:div w:id="219438874">
          <w:marLeft w:val="640"/>
          <w:marRight w:val="0"/>
          <w:marTop w:val="0"/>
          <w:marBottom w:val="0"/>
          <w:divBdr>
            <w:top w:val="none" w:sz="0" w:space="0" w:color="auto"/>
            <w:left w:val="none" w:sz="0" w:space="0" w:color="auto"/>
            <w:bottom w:val="none" w:sz="0" w:space="0" w:color="auto"/>
            <w:right w:val="none" w:sz="0" w:space="0" w:color="auto"/>
          </w:divBdr>
        </w:div>
        <w:div w:id="586891498">
          <w:marLeft w:val="640"/>
          <w:marRight w:val="0"/>
          <w:marTop w:val="0"/>
          <w:marBottom w:val="0"/>
          <w:divBdr>
            <w:top w:val="none" w:sz="0" w:space="0" w:color="auto"/>
            <w:left w:val="none" w:sz="0" w:space="0" w:color="auto"/>
            <w:bottom w:val="none" w:sz="0" w:space="0" w:color="auto"/>
            <w:right w:val="none" w:sz="0" w:space="0" w:color="auto"/>
          </w:divBdr>
        </w:div>
        <w:div w:id="1368525242">
          <w:marLeft w:val="640"/>
          <w:marRight w:val="0"/>
          <w:marTop w:val="0"/>
          <w:marBottom w:val="0"/>
          <w:divBdr>
            <w:top w:val="none" w:sz="0" w:space="0" w:color="auto"/>
            <w:left w:val="none" w:sz="0" w:space="0" w:color="auto"/>
            <w:bottom w:val="none" w:sz="0" w:space="0" w:color="auto"/>
            <w:right w:val="none" w:sz="0" w:space="0" w:color="auto"/>
          </w:divBdr>
        </w:div>
        <w:div w:id="1458332352">
          <w:marLeft w:val="640"/>
          <w:marRight w:val="0"/>
          <w:marTop w:val="0"/>
          <w:marBottom w:val="0"/>
          <w:divBdr>
            <w:top w:val="none" w:sz="0" w:space="0" w:color="auto"/>
            <w:left w:val="none" w:sz="0" w:space="0" w:color="auto"/>
            <w:bottom w:val="none" w:sz="0" w:space="0" w:color="auto"/>
            <w:right w:val="none" w:sz="0" w:space="0" w:color="auto"/>
          </w:divBdr>
        </w:div>
        <w:div w:id="1522159482">
          <w:marLeft w:val="640"/>
          <w:marRight w:val="0"/>
          <w:marTop w:val="0"/>
          <w:marBottom w:val="0"/>
          <w:divBdr>
            <w:top w:val="none" w:sz="0" w:space="0" w:color="auto"/>
            <w:left w:val="none" w:sz="0" w:space="0" w:color="auto"/>
            <w:bottom w:val="none" w:sz="0" w:space="0" w:color="auto"/>
            <w:right w:val="none" w:sz="0" w:space="0" w:color="auto"/>
          </w:divBdr>
        </w:div>
        <w:div w:id="2092696492">
          <w:marLeft w:val="640"/>
          <w:marRight w:val="0"/>
          <w:marTop w:val="0"/>
          <w:marBottom w:val="0"/>
          <w:divBdr>
            <w:top w:val="none" w:sz="0" w:space="0" w:color="auto"/>
            <w:left w:val="none" w:sz="0" w:space="0" w:color="auto"/>
            <w:bottom w:val="none" w:sz="0" w:space="0" w:color="auto"/>
            <w:right w:val="none" w:sz="0" w:space="0" w:color="auto"/>
          </w:divBdr>
        </w:div>
        <w:div w:id="1143617935">
          <w:marLeft w:val="640"/>
          <w:marRight w:val="0"/>
          <w:marTop w:val="0"/>
          <w:marBottom w:val="0"/>
          <w:divBdr>
            <w:top w:val="none" w:sz="0" w:space="0" w:color="auto"/>
            <w:left w:val="none" w:sz="0" w:space="0" w:color="auto"/>
            <w:bottom w:val="none" w:sz="0" w:space="0" w:color="auto"/>
            <w:right w:val="none" w:sz="0" w:space="0" w:color="auto"/>
          </w:divBdr>
        </w:div>
        <w:div w:id="1651472300">
          <w:marLeft w:val="640"/>
          <w:marRight w:val="0"/>
          <w:marTop w:val="0"/>
          <w:marBottom w:val="0"/>
          <w:divBdr>
            <w:top w:val="none" w:sz="0" w:space="0" w:color="auto"/>
            <w:left w:val="none" w:sz="0" w:space="0" w:color="auto"/>
            <w:bottom w:val="none" w:sz="0" w:space="0" w:color="auto"/>
            <w:right w:val="none" w:sz="0" w:space="0" w:color="auto"/>
          </w:divBdr>
        </w:div>
        <w:div w:id="798647977">
          <w:marLeft w:val="640"/>
          <w:marRight w:val="0"/>
          <w:marTop w:val="0"/>
          <w:marBottom w:val="0"/>
          <w:divBdr>
            <w:top w:val="none" w:sz="0" w:space="0" w:color="auto"/>
            <w:left w:val="none" w:sz="0" w:space="0" w:color="auto"/>
            <w:bottom w:val="none" w:sz="0" w:space="0" w:color="auto"/>
            <w:right w:val="none" w:sz="0" w:space="0" w:color="auto"/>
          </w:divBdr>
        </w:div>
        <w:div w:id="1310668803">
          <w:marLeft w:val="640"/>
          <w:marRight w:val="0"/>
          <w:marTop w:val="0"/>
          <w:marBottom w:val="0"/>
          <w:divBdr>
            <w:top w:val="none" w:sz="0" w:space="0" w:color="auto"/>
            <w:left w:val="none" w:sz="0" w:space="0" w:color="auto"/>
            <w:bottom w:val="none" w:sz="0" w:space="0" w:color="auto"/>
            <w:right w:val="none" w:sz="0" w:space="0" w:color="auto"/>
          </w:divBdr>
        </w:div>
        <w:div w:id="1093279188">
          <w:marLeft w:val="640"/>
          <w:marRight w:val="0"/>
          <w:marTop w:val="0"/>
          <w:marBottom w:val="0"/>
          <w:divBdr>
            <w:top w:val="none" w:sz="0" w:space="0" w:color="auto"/>
            <w:left w:val="none" w:sz="0" w:space="0" w:color="auto"/>
            <w:bottom w:val="none" w:sz="0" w:space="0" w:color="auto"/>
            <w:right w:val="none" w:sz="0" w:space="0" w:color="auto"/>
          </w:divBdr>
        </w:div>
        <w:div w:id="1257204800">
          <w:marLeft w:val="640"/>
          <w:marRight w:val="0"/>
          <w:marTop w:val="0"/>
          <w:marBottom w:val="0"/>
          <w:divBdr>
            <w:top w:val="none" w:sz="0" w:space="0" w:color="auto"/>
            <w:left w:val="none" w:sz="0" w:space="0" w:color="auto"/>
            <w:bottom w:val="none" w:sz="0" w:space="0" w:color="auto"/>
            <w:right w:val="none" w:sz="0" w:space="0" w:color="auto"/>
          </w:divBdr>
        </w:div>
        <w:div w:id="409230426">
          <w:marLeft w:val="640"/>
          <w:marRight w:val="0"/>
          <w:marTop w:val="0"/>
          <w:marBottom w:val="0"/>
          <w:divBdr>
            <w:top w:val="none" w:sz="0" w:space="0" w:color="auto"/>
            <w:left w:val="none" w:sz="0" w:space="0" w:color="auto"/>
            <w:bottom w:val="none" w:sz="0" w:space="0" w:color="auto"/>
            <w:right w:val="none" w:sz="0" w:space="0" w:color="auto"/>
          </w:divBdr>
        </w:div>
        <w:div w:id="158693082">
          <w:marLeft w:val="640"/>
          <w:marRight w:val="0"/>
          <w:marTop w:val="0"/>
          <w:marBottom w:val="0"/>
          <w:divBdr>
            <w:top w:val="none" w:sz="0" w:space="0" w:color="auto"/>
            <w:left w:val="none" w:sz="0" w:space="0" w:color="auto"/>
            <w:bottom w:val="none" w:sz="0" w:space="0" w:color="auto"/>
            <w:right w:val="none" w:sz="0" w:space="0" w:color="auto"/>
          </w:divBdr>
        </w:div>
        <w:div w:id="1025716026">
          <w:marLeft w:val="640"/>
          <w:marRight w:val="0"/>
          <w:marTop w:val="0"/>
          <w:marBottom w:val="0"/>
          <w:divBdr>
            <w:top w:val="none" w:sz="0" w:space="0" w:color="auto"/>
            <w:left w:val="none" w:sz="0" w:space="0" w:color="auto"/>
            <w:bottom w:val="none" w:sz="0" w:space="0" w:color="auto"/>
            <w:right w:val="none" w:sz="0" w:space="0" w:color="auto"/>
          </w:divBdr>
        </w:div>
        <w:div w:id="199557507">
          <w:marLeft w:val="640"/>
          <w:marRight w:val="0"/>
          <w:marTop w:val="0"/>
          <w:marBottom w:val="0"/>
          <w:divBdr>
            <w:top w:val="none" w:sz="0" w:space="0" w:color="auto"/>
            <w:left w:val="none" w:sz="0" w:space="0" w:color="auto"/>
            <w:bottom w:val="none" w:sz="0" w:space="0" w:color="auto"/>
            <w:right w:val="none" w:sz="0" w:space="0" w:color="auto"/>
          </w:divBdr>
        </w:div>
        <w:div w:id="1079208335">
          <w:marLeft w:val="640"/>
          <w:marRight w:val="0"/>
          <w:marTop w:val="0"/>
          <w:marBottom w:val="0"/>
          <w:divBdr>
            <w:top w:val="none" w:sz="0" w:space="0" w:color="auto"/>
            <w:left w:val="none" w:sz="0" w:space="0" w:color="auto"/>
            <w:bottom w:val="none" w:sz="0" w:space="0" w:color="auto"/>
            <w:right w:val="none" w:sz="0" w:space="0" w:color="auto"/>
          </w:divBdr>
        </w:div>
        <w:div w:id="1705934600">
          <w:marLeft w:val="640"/>
          <w:marRight w:val="0"/>
          <w:marTop w:val="0"/>
          <w:marBottom w:val="0"/>
          <w:divBdr>
            <w:top w:val="none" w:sz="0" w:space="0" w:color="auto"/>
            <w:left w:val="none" w:sz="0" w:space="0" w:color="auto"/>
            <w:bottom w:val="none" w:sz="0" w:space="0" w:color="auto"/>
            <w:right w:val="none" w:sz="0" w:space="0" w:color="auto"/>
          </w:divBdr>
        </w:div>
        <w:div w:id="1184826318">
          <w:marLeft w:val="640"/>
          <w:marRight w:val="0"/>
          <w:marTop w:val="0"/>
          <w:marBottom w:val="0"/>
          <w:divBdr>
            <w:top w:val="none" w:sz="0" w:space="0" w:color="auto"/>
            <w:left w:val="none" w:sz="0" w:space="0" w:color="auto"/>
            <w:bottom w:val="none" w:sz="0" w:space="0" w:color="auto"/>
            <w:right w:val="none" w:sz="0" w:space="0" w:color="auto"/>
          </w:divBdr>
        </w:div>
        <w:div w:id="961424062">
          <w:marLeft w:val="640"/>
          <w:marRight w:val="0"/>
          <w:marTop w:val="0"/>
          <w:marBottom w:val="0"/>
          <w:divBdr>
            <w:top w:val="none" w:sz="0" w:space="0" w:color="auto"/>
            <w:left w:val="none" w:sz="0" w:space="0" w:color="auto"/>
            <w:bottom w:val="none" w:sz="0" w:space="0" w:color="auto"/>
            <w:right w:val="none" w:sz="0" w:space="0" w:color="auto"/>
          </w:divBdr>
        </w:div>
        <w:div w:id="212162121">
          <w:marLeft w:val="640"/>
          <w:marRight w:val="0"/>
          <w:marTop w:val="0"/>
          <w:marBottom w:val="0"/>
          <w:divBdr>
            <w:top w:val="none" w:sz="0" w:space="0" w:color="auto"/>
            <w:left w:val="none" w:sz="0" w:space="0" w:color="auto"/>
            <w:bottom w:val="none" w:sz="0" w:space="0" w:color="auto"/>
            <w:right w:val="none" w:sz="0" w:space="0" w:color="auto"/>
          </w:divBdr>
        </w:div>
        <w:div w:id="1142381969">
          <w:marLeft w:val="640"/>
          <w:marRight w:val="0"/>
          <w:marTop w:val="0"/>
          <w:marBottom w:val="0"/>
          <w:divBdr>
            <w:top w:val="none" w:sz="0" w:space="0" w:color="auto"/>
            <w:left w:val="none" w:sz="0" w:space="0" w:color="auto"/>
            <w:bottom w:val="none" w:sz="0" w:space="0" w:color="auto"/>
            <w:right w:val="none" w:sz="0" w:space="0" w:color="auto"/>
          </w:divBdr>
        </w:div>
        <w:div w:id="629701291">
          <w:marLeft w:val="640"/>
          <w:marRight w:val="0"/>
          <w:marTop w:val="0"/>
          <w:marBottom w:val="0"/>
          <w:divBdr>
            <w:top w:val="none" w:sz="0" w:space="0" w:color="auto"/>
            <w:left w:val="none" w:sz="0" w:space="0" w:color="auto"/>
            <w:bottom w:val="none" w:sz="0" w:space="0" w:color="auto"/>
            <w:right w:val="none" w:sz="0" w:space="0" w:color="auto"/>
          </w:divBdr>
        </w:div>
        <w:div w:id="382749645">
          <w:marLeft w:val="640"/>
          <w:marRight w:val="0"/>
          <w:marTop w:val="0"/>
          <w:marBottom w:val="0"/>
          <w:divBdr>
            <w:top w:val="none" w:sz="0" w:space="0" w:color="auto"/>
            <w:left w:val="none" w:sz="0" w:space="0" w:color="auto"/>
            <w:bottom w:val="none" w:sz="0" w:space="0" w:color="auto"/>
            <w:right w:val="none" w:sz="0" w:space="0" w:color="auto"/>
          </w:divBdr>
        </w:div>
        <w:div w:id="2005432167">
          <w:marLeft w:val="640"/>
          <w:marRight w:val="0"/>
          <w:marTop w:val="0"/>
          <w:marBottom w:val="0"/>
          <w:divBdr>
            <w:top w:val="none" w:sz="0" w:space="0" w:color="auto"/>
            <w:left w:val="none" w:sz="0" w:space="0" w:color="auto"/>
            <w:bottom w:val="none" w:sz="0" w:space="0" w:color="auto"/>
            <w:right w:val="none" w:sz="0" w:space="0" w:color="auto"/>
          </w:divBdr>
        </w:div>
        <w:div w:id="248278059">
          <w:marLeft w:val="640"/>
          <w:marRight w:val="0"/>
          <w:marTop w:val="0"/>
          <w:marBottom w:val="0"/>
          <w:divBdr>
            <w:top w:val="none" w:sz="0" w:space="0" w:color="auto"/>
            <w:left w:val="none" w:sz="0" w:space="0" w:color="auto"/>
            <w:bottom w:val="none" w:sz="0" w:space="0" w:color="auto"/>
            <w:right w:val="none" w:sz="0" w:space="0" w:color="auto"/>
          </w:divBdr>
        </w:div>
        <w:div w:id="2016686613">
          <w:marLeft w:val="640"/>
          <w:marRight w:val="0"/>
          <w:marTop w:val="0"/>
          <w:marBottom w:val="0"/>
          <w:divBdr>
            <w:top w:val="none" w:sz="0" w:space="0" w:color="auto"/>
            <w:left w:val="none" w:sz="0" w:space="0" w:color="auto"/>
            <w:bottom w:val="none" w:sz="0" w:space="0" w:color="auto"/>
            <w:right w:val="none" w:sz="0" w:space="0" w:color="auto"/>
          </w:divBdr>
        </w:div>
        <w:div w:id="363988226">
          <w:marLeft w:val="640"/>
          <w:marRight w:val="0"/>
          <w:marTop w:val="0"/>
          <w:marBottom w:val="0"/>
          <w:divBdr>
            <w:top w:val="none" w:sz="0" w:space="0" w:color="auto"/>
            <w:left w:val="none" w:sz="0" w:space="0" w:color="auto"/>
            <w:bottom w:val="none" w:sz="0" w:space="0" w:color="auto"/>
            <w:right w:val="none" w:sz="0" w:space="0" w:color="auto"/>
          </w:divBdr>
        </w:div>
        <w:div w:id="881525021">
          <w:marLeft w:val="640"/>
          <w:marRight w:val="0"/>
          <w:marTop w:val="0"/>
          <w:marBottom w:val="0"/>
          <w:divBdr>
            <w:top w:val="none" w:sz="0" w:space="0" w:color="auto"/>
            <w:left w:val="none" w:sz="0" w:space="0" w:color="auto"/>
            <w:bottom w:val="none" w:sz="0" w:space="0" w:color="auto"/>
            <w:right w:val="none" w:sz="0" w:space="0" w:color="auto"/>
          </w:divBdr>
        </w:div>
        <w:div w:id="908266099">
          <w:marLeft w:val="640"/>
          <w:marRight w:val="0"/>
          <w:marTop w:val="0"/>
          <w:marBottom w:val="0"/>
          <w:divBdr>
            <w:top w:val="none" w:sz="0" w:space="0" w:color="auto"/>
            <w:left w:val="none" w:sz="0" w:space="0" w:color="auto"/>
            <w:bottom w:val="none" w:sz="0" w:space="0" w:color="auto"/>
            <w:right w:val="none" w:sz="0" w:space="0" w:color="auto"/>
          </w:divBdr>
        </w:div>
        <w:div w:id="2071994370">
          <w:marLeft w:val="640"/>
          <w:marRight w:val="0"/>
          <w:marTop w:val="0"/>
          <w:marBottom w:val="0"/>
          <w:divBdr>
            <w:top w:val="none" w:sz="0" w:space="0" w:color="auto"/>
            <w:left w:val="none" w:sz="0" w:space="0" w:color="auto"/>
            <w:bottom w:val="none" w:sz="0" w:space="0" w:color="auto"/>
            <w:right w:val="none" w:sz="0" w:space="0" w:color="auto"/>
          </w:divBdr>
        </w:div>
        <w:div w:id="1292789685">
          <w:marLeft w:val="640"/>
          <w:marRight w:val="0"/>
          <w:marTop w:val="0"/>
          <w:marBottom w:val="0"/>
          <w:divBdr>
            <w:top w:val="none" w:sz="0" w:space="0" w:color="auto"/>
            <w:left w:val="none" w:sz="0" w:space="0" w:color="auto"/>
            <w:bottom w:val="none" w:sz="0" w:space="0" w:color="auto"/>
            <w:right w:val="none" w:sz="0" w:space="0" w:color="auto"/>
          </w:divBdr>
        </w:div>
        <w:div w:id="589581190">
          <w:marLeft w:val="640"/>
          <w:marRight w:val="0"/>
          <w:marTop w:val="0"/>
          <w:marBottom w:val="0"/>
          <w:divBdr>
            <w:top w:val="none" w:sz="0" w:space="0" w:color="auto"/>
            <w:left w:val="none" w:sz="0" w:space="0" w:color="auto"/>
            <w:bottom w:val="none" w:sz="0" w:space="0" w:color="auto"/>
            <w:right w:val="none" w:sz="0" w:space="0" w:color="auto"/>
          </w:divBdr>
        </w:div>
        <w:div w:id="1836267173">
          <w:marLeft w:val="640"/>
          <w:marRight w:val="0"/>
          <w:marTop w:val="0"/>
          <w:marBottom w:val="0"/>
          <w:divBdr>
            <w:top w:val="none" w:sz="0" w:space="0" w:color="auto"/>
            <w:left w:val="none" w:sz="0" w:space="0" w:color="auto"/>
            <w:bottom w:val="none" w:sz="0" w:space="0" w:color="auto"/>
            <w:right w:val="none" w:sz="0" w:space="0" w:color="auto"/>
          </w:divBdr>
        </w:div>
        <w:div w:id="1764764285">
          <w:marLeft w:val="640"/>
          <w:marRight w:val="0"/>
          <w:marTop w:val="0"/>
          <w:marBottom w:val="0"/>
          <w:divBdr>
            <w:top w:val="none" w:sz="0" w:space="0" w:color="auto"/>
            <w:left w:val="none" w:sz="0" w:space="0" w:color="auto"/>
            <w:bottom w:val="none" w:sz="0" w:space="0" w:color="auto"/>
            <w:right w:val="none" w:sz="0" w:space="0" w:color="auto"/>
          </w:divBdr>
        </w:div>
        <w:div w:id="2074965145">
          <w:marLeft w:val="640"/>
          <w:marRight w:val="0"/>
          <w:marTop w:val="0"/>
          <w:marBottom w:val="0"/>
          <w:divBdr>
            <w:top w:val="none" w:sz="0" w:space="0" w:color="auto"/>
            <w:left w:val="none" w:sz="0" w:space="0" w:color="auto"/>
            <w:bottom w:val="none" w:sz="0" w:space="0" w:color="auto"/>
            <w:right w:val="none" w:sz="0" w:space="0" w:color="auto"/>
          </w:divBdr>
        </w:div>
        <w:div w:id="450899719">
          <w:marLeft w:val="640"/>
          <w:marRight w:val="0"/>
          <w:marTop w:val="0"/>
          <w:marBottom w:val="0"/>
          <w:divBdr>
            <w:top w:val="none" w:sz="0" w:space="0" w:color="auto"/>
            <w:left w:val="none" w:sz="0" w:space="0" w:color="auto"/>
            <w:bottom w:val="none" w:sz="0" w:space="0" w:color="auto"/>
            <w:right w:val="none" w:sz="0" w:space="0" w:color="auto"/>
          </w:divBdr>
        </w:div>
        <w:div w:id="2063946930">
          <w:marLeft w:val="640"/>
          <w:marRight w:val="0"/>
          <w:marTop w:val="0"/>
          <w:marBottom w:val="0"/>
          <w:divBdr>
            <w:top w:val="none" w:sz="0" w:space="0" w:color="auto"/>
            <w:left w:val="none" w:sz="0" w:space="0" w:color="auto"/>
            <w:bottom w:val="none" w:sz="0" w:space="0" w:color="auto"/>
            <w:right w:val="none" w:sz="0" w:space="0" w:color="auto"/>
          </w:divBdr>
        </w:div>
        <w:div w:id="1995139705">
          <w:marLeft w:val="640"/>
          <w:marRight w:val="0"/>
          <w:marTop w:val="0"/>
          <w:marBottom w:val="0"/>
          <w:divBdr>
            <w:top w:val="none" w:sz="0" w:space="0" w:color="auto"/>
            <w:left w:val="none" w:sz="0" w:space="0" w:color="auto"/>
            <w:bottom w:val="none" w:sz="0" w:space="0" w:color="auto"/>
            <w:right w:val="none" w:sz="0" w:space="0" w:color="auto"/>
          </w:divBdr>
        </w:div>
        <w:div w:id="1270888287">
          <w:marLeft w:val="640"/>
          <w:marRight w:val="0"/>
          <w:marTop w:val="0"/>
          <w:marBottom w:val="0"/>
          <w:divBdr>
            <w:top w:val="none" w:sz="0" w:space="0" w:color="auto"/>
            <w:left w:val="none" w:sz="0" w:space="0" w:color="auto"/>
            <w:bottom w:val="none" w:sz="0" w:space="0" w:color="auto"/>
            <w:right w:val="none" w:sz="0" w:space="0" w:color="auto"/>
          </w:divBdr>
        </w:div>
        <w:div w:id="453327911">
          <w:marLeft w:val="640"/>
          <w:marRight w:val="0"/>
          <w:marTop w:val="0"/>
          <w:marBottom w:val="0"/>
          <w:divBdr>
            <w:top w:val="none" w:sz="0" w:space="0" w:color="auto"/>
            <w:left w:val="none" w:sz="0" w:space="0" w:color="auto"/>
            <w:bottom w:val="none" w:sz="0" w:space="0" w:color="auto"/>
            <w:right w:val="none" w:sz="0" w:space="0" w:color="auto"/>
          </w:divBdr>
        </w:div>
        <w:div w:id="1806771445">
          <w:marLeft w:val="640"/>
          <w:marRight w:val="0"/>
          <w:marTop w:val="0"/>
          <w:marBottom w:val="0"/>
          <w:divBdr>
            <w:top w:val="none" w:sz="0" w:space="0" w:color="auto"/>
            <w:left w:val="none" w:sz="0" w:space="0" w:color="auto"/>
            <w:bottom w:val="none" w:sz="0" w:space="0" w:color="auto"/>
            <w:right w:val="none" w:sz="0" w:space="0" w:color="auto"/>
          </w:divBdr>
        </w:div>
        <w:div w:id="760180431">
          <w:marLeft w:val="640"/>
          <w:marRight w:val="0"/>
          <w:marTop w:val="0"/>
          <w:marBottom w:val="0"/>
          <w:divBdr>
            <w:top w:val="none" w:sz="0" w:space="0" w:color="auto"/>
            <w:left w:val="none" w:sz="0" w:space="0" w:color="auto"/>
            <w:bottom w:val="none" w:sz="0" w:space="0" w:color="auto"/>
            <w:right w:val="none" w:sz="0" w:space="0" w:color="auto"/>
          </w:divBdr>
        </w:div>
        <w:div w:id="2033653722">
          <w:marLeft w:val="640"/>
          <w:marRight w:val="0"/>
          <w:marTop w:val="0"/>
          <w:marBottom w:val="0"/>
          <w:divBdr>
            <w:top w:val="none" w:sz="0" w:space="0" w:color="auto"/>
            <w:left w:val="none" w:sz="0" w:space="0" w:color="auto"/>
            <w:bottom w:val="none" w:sz="0" w:space="0" w:color="auto"/>
            <w:right w:val="none" w:sz="0" w:space="0" w:color="auto"/>
          </w:divBdr>
        </w:div>
        <w:div w:id="1448355640">
          <w:marLeft w:val="640"/>
          <w:marRight w:val="0"/>
          <w:marTop w:val="0"/>
          <w:marBottom w:val="0"/>
          <w:divBdr>
            <w:top w:val="none" w:sz="0" w:space="0" w:color="auto"/>
            <w:left w:val="none" w:sz="0" w:space="0" w:color="auto"/>
            <w:bottom w:val="none" w:sz="0" w:space="0" w:color="auto"/>
            <w:right w:val="none" w:sz="0" w:space="0" w:color="auto"/>
          </w:divBdr>
        </w:div>
        <w:div w:id="790706999">
          <w:marLeft w:val="640"/>
          <w:marRight w:val="0"/>
          <w:marTop w:val="0"/>
          <w:marBottom w:val="0"/>
          <w:divBdr>
            <w:top w:val="none" w:sz="0" w:space="0" w:color="auto"/>
            <w:left w:val="none" w:sz="0" w:space="0" w:color="auto"/>
            <w:bottom w:val="none" w:sz="0" w:space="0" w:color="auto"/>
            <w:right w:val="none" w:sz="0" w:space="0" w:color="auto"/>
          </w:divBdr>
        </w:div>
        <w:div w:id="47189437">
          <w:marLeft w:val="640"/>
          <w:marRight w:val="0"/>
          <w:marTop w:val="0"/>
          <w:marBottom w:val="0"/>
          <w:divBdr>
            <w:top w:val="none" w:sz="0" w:space="0" w:color="auto"/>
            <w:left w:val="none" w:sz="0" w:space="0" w:color="auto"/>
            <w:bottom w:val="none" w:sz="0" w:space="0" w:color="auto"/>
            <w:right w:val="none" w:sz="0" w:space="0" w:color="auto"/>
          </w:divBdr>
        </w:div>
        <w:div w:id="80370929">
          <w:marLeft w:val="640"/>
          <w:marRight w:val="0"/>
          <w:marTop w:val="0"/>
          <w:marBottom w:val="0"/>
          <w:divBdr>
            <w:top w:val="none" w:sz="0" w:space="0" w:color="auto"/>
            <w:left w:val="none" w:sz="0" w:space="0" w:color="auto"/>
            <w:bottom w:val="none" w:sz="0" w:space="0" w:color="auto"/>
            <w:right w:val="none" w:sz="0" w:space="0" w:color="auto"/>
          </w:divBdr>
        </w:div>
        <w:div w:id="192235735">
          <w:marLeft w:val="640"/>
          <w:marRight w:val="0"/>
          <w:marTop w:val="0"/>
          <w:marBottom w:val="0"/>
          <w:divBdr>
            <w:top w:val="none" w:sz="0" w:space="0" w:color="auto"/>
            <w:left w:val="none" w:sz="0" w:space="0" w:color="auto"/>
            <w:bottom w:val="none" w:sz="0" w:space="0" w:color="auto"/>
            <w:right w:val="none" w:sz="0" w:space="0" w:color="auto"/>
          </w:divBdr>
        </w:div>
        <w:div w:id="171796326">
          <w:marLeft w:val="640"/>
          <w:marRight w:val="0"/>
          <w:marTop w:val="0"/>
          <w:marBottom w:val="0"/>
          <w:divBdr>
            <w:top w:val="none" w:sz="0" w:space="0" w:color="auto"/>
            <w:left w:val="none" w:sz="0" w:space="0" w:color="auto"/>
            <w:bottom w:val="none" w:sz="0" w:space="0" w:color="auto"/>
            <w:right w:val="none" w:sz="0" w:space="0" w:color="auto"/>
          </w:divBdr>
        </w:div>
        <w:div w:id="627735593">
          <w:marLeft w:val="640"/>
          <w:marRight w:val="0"/>
          <w:marTop w:val="0"/>
          <w:marBottom w:val="0"/>
          <w:divBdr>
            <w:top w:val="none" w:sz="0" w:space="0" w:color="auto"/>
            <w:left w:val="none" w:sz="0" w:space="0" w:color="auto"/>
            <w:bottom w:val="none" w:sz="0" w:space="0" w:color="auto"/>
            <w:right w:val="none" w:sz="0" w:space="0" w:color="auto"/>
          </w:divBdr>
        </w:div>
        <w:div w:id="747270332">
          <w:marLeft w:val="640"/>
          <w:marRight w:val="0"/>
          <w:marTop w:val="0"/>
          <w:marBottom w:val="0"/>
          <w:divBdr>
            <w:top w:val="none" w:sz="0" w:space="0" w:color="auto"/>
            <w:left w:val="none" w:sz="0" w:space="0" w:color="auto"/>
            <w:bottom w:val="none" w:sz="0" w:space="0" w:color="auto"/>
            <w:right w:val="none" w:sz="0" w:space="0" w:color="auto"/>
          </w:divBdr>
        </w:div>
        <w:div w:id="179928695">
          <w:marLeft w:val="640"/>
          <w:marRight w:val="0"/>
          <w:marTop w:val="0"/>
          <w:marBottom w:val="0"/>
          <w:divBdr>
            <w:top w:val="none" w:sz="0" w:space="0" w:color="auto"/>
            <w:left w:val="none" w:sz="0" w:space="0" w:color="auto"/>
            <w:bottom w:val="none" w:sz="0" w:space="0" w:color="auto"/>
            <w:right w:val="none" w:sz="0" w:space="0" w:color="auto"/>
          </w:divBdr>
        </w:div>
        <w:div w:id="624387180">
          <w:marLeft w:val="640"/>
          <w:marRight w:val="0"/>
          <w:marTop w:val="0"/>
          <w:marBottom w:val="0"/>
          <w:divBdr>
            <w:top w:val="none" w:sz="0" w:space="0" w:color="auto"/>
            <w:left w:val="none" w:sz="0" w:space="0" w:color="auto"/>
            <w:bottom w:val="none" w:sz="0" w:space="0" w:color="auto"/>
            <w:right w:val="none" w:sz="0" w:space="0" w:color="auto"/>
          </w:divBdr>
        </w:div>
        <w:div w:id="777065499">
          <w:marLeft w:val="640"/>
          <w:marRight w:val="0"/>
          <w:marTop w:val="0"/>
          <w:marBottom w:val="0"/>
          <w:divBdr>
            <w:top w:val="none" w:sz="0" w:space="0" w:color="auto"/>
            <w:left w:val="none" w:sz="0" w:space="0" w:color="auto"/>
            <w:bottom w:val="none" w:sz="0" w:space="0" w:color="auto"/>
            <w:right w:val="none" w:sz="0" w:space="0" w:color="auto"/>
          </w:divBdr>
        </w:div>
        <w:div w:id="225185658">
          <w:marLeft w:val="640"/>
          <w:marRight w:val="0"/>
          <w:marTop w:val="0"/>
          <w:marBottom w:val="0"/>
          <w:divBdr>
            <w:top w:val="none" w:sz="0" w:space="0" w:color="auto"/>
            <w:left w:val="none" w:sz="0" w:space="0" w:color="auto"/>
            <w:bottom w:val="none" w:sz="0" w:space="0" w:color="auto"/>
            <w:right w:val="none" w:sz="0" w:space="0" w:color="auto"/>
          </w:divBdr>
        </w:div>
        <w:div w:id="1591767743">
          <w:marLeft w:val="640"/>
          <w:marRight w:val="0"/>
          <w:marTop w:val="0"/>
          <w:marBottom w:val="0"/>
          <w:divBdr>
            <w:top w:val="none" w:sz="0" w:space="0" w:color="auto"/>
            <w:left w:val="none" w:sz="0" w:space="0" w:color="auto"/>
            <w:bottom w:val="none" w:sz="0" w:space="0" w:color="auto"/>
            <w:right w:val="none" w:sz="0" w:space="0" w:color="auto"/>
          </w:divBdr>
        </w:div>
        <w:div w:id="1130250425">
          <w:marLeft w:val="640"/>
          <w:marRight w:val="0"/>
          <w:marTop w:val="0"/>
          <w:marBottom w:val="0"/>
          <w:divBdr>
            <w:top w:val="none" w:sz="0" w:space="0" w:color="auto"/>
            <w:left w:val="none" w:sz="0" w:space="0" w:color="auto"/>
            <w:bottom w:val="none" w:sz="0" w:space="0" w:color="auto"/>
            <w:right w:val="none" w:sz="0" w:space="0" w:color="auto"/>
          </w:divBdr>
        </w:div>
        <w:div w:id="1099445938">
          <w:marLeft w:val="640"/>
          <w:marRight w:val="0"/>
          <w:marTop w:val="0"/>
          <w:marBottom w:val="0"/>
          <w:divBdr>
            <w:top w:val="none" w:sz="0" w:space="0" w:color="auto"/>
            <w:left w:val="none" w:sz="0" w:space="0" w:color="auto"/>
            <w:bottom w:val="none" w:sz="0" w:space="0" w:color="auto"/>
            <w:right w:val="none" w:sz="0" w:space="0" w:color="auto"/>
          </w:divBdr>
        </w:div>
        <w:div w:id="1888225260">
          <w:marLeft w:val="640"/>
          <w:marRight w:val="0"/>
          <w:marTop w:val="0"/>
          <w:marBottom w:val="0"/>
          <w:divBdr>
            <w:top w:val="none" w:sz="0" w:space="0" w:color="auto"/>
            <w:left w:val="none" w:sz="0" w:space="0" w:color="auto"/>
            <w:bottom w:val="none" w:sz="0" w:space="0" w:color="auto"/>
            <w:right w:val="none" w:sz="0" w:space="0" w:color="auto"/>
          </w:divBdr>
        </w:div>
        <w:div w:id="812335966">
          <w:marLeft w:val="640"/>
          <w:marRight w:val="0"/>
          <w:marTop w:val="0"/>
          <w:marBottom w:val="0"/>
          <w:divBdr>
            <w:top w:val="none" w:sz="0" w:space="0" w:color="auto"/>
            <w:left w:val="none" w:sz="0" w:space="0" w:color="auto"/>
            <w:bottom w:val="none" w:sz="0" w:space="0" w:color="auto"/>
            <w:right w:val="none" w:sz="0" w:space="0" w:color="auto"/>
          </w:divBdr>
        </w:div>
        <w:div w:id="1360009034">
          <w:marLeft w:val="640"/>
          <w:marRight w:val="0"/>
          <w:marTop w:val="0"/>
          <w:marBottom w:val="0"/>
          <w:divBdr>
            <w:top w:val="none" w:sz="0" w:space="0" w:color="auto"/>
            <w:left w:val="none" w:sz="0" w:space="0" w:color="auto"/>
            <w:bottom w:val="none" w:sz="0" w:space="0" w:color="auto"/>
            <w:right w:val="none" w:sz="0" w:space="0" w:color="auto"/>
          </w:divBdr>
        </w:div>
        <w:div w:id="119275588">
          <w:marLeft w:val="640"/>
          <w:marRight w:val="0"/>
          <w:marTop w:val="0"/>
          <w:marBottom w:val="0"/>
          <w:divBdr>
            <w:top w:val="none" w:sz="0" w:space="0" w:color="auto"/>
            <w:left w:val="none" w:sz="0" w:space="0" w:color="auto"/>
            <w:bottom w:val="none" w:sz="0" w:space="0" w:color="auto"/>
            <w:right w:val="none" w:sz="0" w:space="0" w:color="auto"/>
          </w:divBdr>
        </w:div>
        <w:div w:id="1154953596">
          <w:marLeft w:val="640"/>
          <w:marRight w:val="0"/>
          <w:marTop w:val="0"/>
          <w:marBottom w:val="0"/>
          <w:divBdr>
            <w:top w:val="none" w:sz="0" w:space="0" w:color="auto"/>
            <w:left w:val="none" w:sz="0" w:space="0" w:color="auto"/>
            <w:bottom w:val="none" w:sz="0" w:space="0" w:color="auto"/>
            <w:right w:val="none" w:sz="0" w:space="0" w:color="auto"/>
          </w:divBdr>
        </w:div>
        <w:div w:id="457727291">
          <w:marLeft w:val="640"/>
          <w:marRight w:val="0"/>
          <w:marTop w:val="0"/>
          <w:marBottom w:val="0"/>
          <w:divBdr>
            <w:top w:val="none" w:sz="0" w:space="0" w:color="auto"/>
            <w:left w:val="none" w:sz="0" w:space="0" w:color="auto"/>
            <w:bottom w:val="none" w:sz="0" w:space="0" w:color="auto"/>
            <w:right w:val="none" w:sz="0" w:space="0" w:color="auto"/>
          </w:divBdr>
        </w:div>
        <w:div w:id="1873610284">
          <w:marLeft w:val="640"/>
          <w:marRight w:val="0"/>
          <w:marTop w:val="0"/>
          <w:marBottom w:val="0"/>
          <w:divBdr>
            <w:top w:val="none" w:sz="0" w:space="0" w:color="auto"/>
            <w:left w:val="none" w:sz="0" w:space="0" w:color="auto"/>
            <w:bottom w:val="none" w:sz="0" w:space="0" w:color="auto"/>
            <w:right w:val="none" w:sz="0" w:space="0" w:color="auto"/>
          </w:divBdr>
        </w:div>
        <w:div w:id="908156709">
          <w:marLeft w:val="640"/>
          <w:marRight w:val="0"/>
          <w:marTop w:val="0"/>
          <w:marBottom w:val="0"/>
          <w:divBdr>
            <w:top w:val="none" w:sz="0" w:space="0" w:color="auto"/>
            <w:left w:val="none" w:sz="0" w:space="0" w:color="auto"/>
            <w:bottom w:val="none" w:sz="0" w:space="0" w:color="auto"/>
            <w:right w:val="none" w:sz="0" w:space="0" w:color="auto"/>
          </w:divBdr>
        </w:div>
        <w:div w:id="830826683">
          <w:marLeft w:val="640"/>
          <w:marRight w:val="0"/>
          <w:marTop w:val="0"/>
          <w:marBottom w:val="0"/>
          <w:divBdr>
            <w:top w:val="none" w:sz="0" w:space="0" w:color="auto"/>
            <w:left w:val="none" w:sz="0" w:space="0" w:color="auto"/>
            <w:bottom w:val="none" w:sz="0" w:space="0" w:color="auto"/>
            <w:right w:val="none" w:sz="0" w:space="0" w:color="auto"/>
          </w:divBdr>
        </w:div>
        <w:div w:id="267734098">
          <w:marLeft w:val="640"/>
          <w:marRight w:val="0"/>
          <w:marTop w:val="0"/>
          <w:marBottom w:val="0"/>
          <w:divBdr>
            <w:top w:val="none" w:sz="0" w:space="0" w:color="auto"/>
            <w:left w:val="none" w:sz="0" w:space="0" w:color="auto"/>
            <w:bottom w:val="none" w:sz="0" w:space="0" w:color="auto"/>
            <w:right w:val="none" w:sz="0" w:space="0" w:color="auto"/>
          </w:divBdr>
        </w:div>
        <w:div w:id="1470325338">
          <w:marLeft w:val="640"/>
          <w:marRight w:val="0"/>
          <w:marTop w:val="0"/>
          <w:marBottom w:val="0"/>
          <w:divBdr>
            <w:top w:val="none" w:sz="0" w:space="0" w:color="auto"/>
            <w:left w:val="none" w:sz="0" w:space="0" w:color="auto"/>
            <w:bottom w:val="none" w:sz="0" w:space="0" w:color="auto"/>
            <w:right w:val="none" w:sz="0" w:space="0" w:color="auto"/>
          </w:divBdr>
        </w:div>
        <w:div w:id="1044251880">
          <w:marLeft w:val="640"/>
          <w:marRight w:val="0"/>
          <w:marTop w:val="0"/>
          <w:marBottom w:val="0"/>
          <w:divBdr>
            <w:top w:val="none" w:sz="0" w:space="0" w:color="auto"/>
            <w:left w:val="none" w:sz="0" w:space="0" w:color="auto"/>
            <w:bottom w:val="none" w:sz="0" w:space="0" w:color="auto"/>
            <w:right w:val="none" w:sz="0" w:space="0" w:color="auto"/>
          </w:divBdr>
        </w:div>
        <w:div w:id="747651599">
          <w:marLeft w:val="640"/>
          <w:marRight w:val="0"/>
          <w:marTop w:val="0"/>
          <w:marBottom w:val="0"/>
          <w:divBdr>
            <w:top w:val="none" w:sz="0" w:space="0" w:color="auto"/>
            <w:left w:val="none" w:sz="0" w:space="0" w:color="auto"/>
            <w:bottom w:val="none" w:sz="0" w:space="0" w:color="auto"/>
            <w:right w:val="none" w:sz="0" w:space="0" w:color="auto"/>
          </w:divBdr>
        </w:div>
        <w:div w:id="488524538">
          <w:marLeft w:val="640"/>
          <w:marRight w:val="0"/>
          <w:marTop w:val="0"/>
          <w:marBottom w:val="0"/>
          <w:divBdr>
            <w:top w:val="none" w:sz="0" w:space="0" w:color="auto"/>
            <w:left w:val="none" w:sz="0" w:space="0" w:color="auto"/>
            <w:bottom w:val="none" w:sz="0" w:space="0" w:color="auto"/>
            <w:right w:val="none" w:sz="0" w:space="0" w:color="auto"/>
          </w:divBdr>
        </w:div>
        <w:div w:id="1835754429">
          <w:marLeft w:val="640"/>
          <w:marRight w:val="0"/>
          <w:marTop w:val="0"/>
          <w:marBottom w:val="0"/>
          <w:divBdr>
            <w:top w:val="none" w:sz="0" w:space="0" w:color="auto"/>
            <w:left w:val="none" w:sz="0" w:space="0" w:color="auto"/>
            <w:bottom w:val="none" w:sz="0" w:space="0" w:color="auto"/>
            <w:right w:val="none" w:sz="0" w:space="0" w:color="auto"/>
          </w:divBdr>
        </w:div>
        <w:div w:id="390812528">
          <w:marLeft w:val="640"/>
          <w:marRight w:val="0"/>
          <w:marTop w:val="0"/>
          <w:marBottom w:val="0"/>
          <w:divBdr>
            <w:top w:val="none" w:sz="0" w:space="0" w:color="auto"/>
            <w:left w:val="none" w:sz="0" w:space="0" w:color="auto"/>
            <w:bottom w:val="none" w:sz="0" w:space="0" w:color="auto"/>
            <w:right w:val="none" w:sz="0" w:space="0" w:color="auto"/>
          </w:divBdr>
        </w:div>
        <w:div w:id="63186774">
          <w:marLeft w:val="640"/>
          <w:marRight w:val="0"/>
          <w:marTop w:val="0"/>
          <w:marBottom w:val="0"/>
          <w:divBdr>
            <w:top w:val="none" w:sz="0" w:space="0" w:color="auto"/>
            <w:left w:val="none" w:sz="0" w:space="0" w:color="auto"/>
            <w:bottom w:val="none" w:sz="0" w:space="0" w:color="auto"/>
            <w:right w:val="none" w:sz="0" w:space="0" w:color="auto"/>
          </w:divBdr>
        </w:div>
        <w:div w:id="129514692">
          <w:marLeft w:val="640"/>
          <w:marRight w:val="0"/>
          <w:marTop w:val="0"/>
          <w:marBottom w:val="0"/>
          <w:divBdr>
            <w:top w:val="none" w:sz="0" w:space="0" w:color="auto"/>
            <w:left w:val="none" w:sz="0" w:space="0" w:color="auto"/>
            <w:bottom w:val="none" w:sz="0" w:space="0" w:color="auto"/>
            <w:right w:val="none" w:sz="0" w:space="0" w:color="auto"/>
          </w:divBdr>
        </w:div>
        <w:div w:id="1089614696">
          <w:marLeft w:val="640"/>
          <w:marRight w:val="0"/>
          <w:marTop w:val="0"/>
          <w:marBottom w:val="0"/>
          <w:divBdr>
            <w:top w:val="none" w:sz="0" w:space="0" w:color="auto"/>
            <w:left w:val="none" w:sz="0" w:space="0" w:color="auto"/>
            <w:bottom w:val="none" w:sz="0" w:space="0" w:color="auto"/>
            <w:right w:val="none" w:sz="0" w:space="0" w:color="auto"/>
          </w:divBdr>
        </w:div>
        <w:div w:id="1775900503">
          <w:marLeft w:val="640"/>
          <w:marRight w:val="0"/>
          <w:marTop w:val="0"/>
          <w:marBottom w:val="0"/>
          <w:divBdr>
            <w:top w:val="none" w:sz="0" w:space="0" w:color="auto"/>
            <w:left w:val="none" w:sz="0" w:space="0" w:color="auto"/>
            <w:bottom w:val="none" w:sz="0" w:space="0" w:color="auto"/>
            <w:right w:val="none" w:sz="0" w:space="0" w:color="auto"/>
          </w:divBdr>
        </w:div>
        <w:div w:id="1699502482">
          <w:marLeft w:val="640"/>
          <w:marRight w:val="0"/>
          <w:marTop w:val="0"/>
          <w:marBottom w:val="0"/>
          <w:divBdr>
            <w:top w:val="none" w:sz="0" w:space="0" w:color="auto"/>
            <w:left w:val="none" w:sz="0" w:space="0" w:color="auto"/>
            <w:bottom w:val="none" w:sz="0" w:space="0" w:color="auto"/>
            <w:right w:val="none" w:sz="0" w:space="0" w:color="auto"/>
          </w:divBdr>
        </w:div>
        <w:div w:id="863707852">
          <w:marLeft w:val="640"/>
          <w:marRight w:val="0"/>
          <w:marTop w:val="0"/>
          <w:marBottom w:val="0"/>
          <w:divBdr>
            <w:top w:val="none" w:sz="0" w:space="0" w:color="auto"/>
            <w:left w:val="none" w:sz="0" w:space="0" w:color="auto"/>
            <w:bottom w:val="none" w:sz="0" w:space="0" w:color="auto"/>
            <w:right w:val="none" w:sz="0" w:space="0" w:color="auto"/>
          </w:divBdr>
        </w:div>
        <w:div w:id="1417751924">
          <w:marLeft w:val="640"/>
          <w:marRight w:val="0"/>
          <w:marTop w:val="0"/>
          <w:marBottom w:val="0"/>
          <w:divBdr>
            <w:top w:val="none" w:sz="0" w:space="0" w:color="auto"/>
            <w:left w:val="none" w:sz="0" w:space="0" w:color="auto"/>
            <w:bottom w:val="none" w:sz="0" w:space="0" w:color="auto"/>
            <w:right w:val="none" w:sz="0" w:space="0" w:color="auto"/>
          </w:divBdr>
        </w:div>
        <w:div w:id="157045113">
          <w:marLeft w:val="640"/>
          <w:marRight w:val="0"/>
          <w:marTop w:val="0"/>
          <w:marBottom w:val="0"/>
          <w:divBdr>
            <w:top w:val="none" w:sz="0" w:space="0" w:color="auto"/>
            <w:left w:val="none" w:sz="0" w:space="0" w:color="auto"/>
            <w:bottom w:val="none" w:sz="0" w:space="0" w:color="auto"/>
            <w:right w:val="none" w:sz="0" w:space="0" w:color="auto"/>
          </w:divBdr>
        </w:div>
        <w:div w:id="1435248433">
          <w:marLeft w:val="640"/>
          <w:marRight w:val="0"/>
          <w:marTop w:val="0"/>
          <w:marBottom w:val="0"/>
          <w:divBdr>
            <w:top w:val="none" w:sz="0" w:space="0" w:color="auto"/>
            <w:left w:val="none" w:sz="0" w:space="0" w:color="auto"/>
            <w:bottom w:val="none" w:sz="0" w:space="0" w:color="auto"/>
            <w:right w:val="none" w:sz="0" w:space="0" w:color="auto"/>
          </w:divBdr>
        </w:div>
        <w:div w:id="176623076">
          <w:marLeft w:val="640"/>
          <w:marRight w:val="0"/>
          <w:marTop w:val="0"/>
          <w:marBottom w:val="0"/>
          <w:divBdr>
            <w:top w:val="none" w:sz="0" w:space="0" w:color="auto"/>
            <w:left w:val="none" w:sz="0" w:space="0" w:color="auto"/>
            <w:bottom w:val="none" w:sz="0" w:space="0" w:color="auto"/>
            <w:right w:val="none" w:sz="0" w:space="0" w:color="auto"/>
          </w:divBdr>
        </w:div>
        <w:div w:id="748380256">
          <w:marLeft w:val="640"/>
          <w:marRight w:val="0"/>
          <w:marTop w:val="0"/>
          <w:marBottom w:val="0"/>
          <w:divBdr>
            <w:top w:val="none" w:sz="0" w:space="0" w:color="auto"/>
            <w:left w:val="none" w:sz="0" w:space="0" w:color="auto"/>
            <w:bottom w:val="none" w:sz="0" w:space="0" w:color="auto"/>
            <w:right w:val="none" w:sz="0" w:space="0" w:color="auto"/>
          </w:divBdr>
        </w:div>
        <w:div w:id="1332873447">
          <w:marLeft w:val="640"/>
          <w:marRight w:val="0"/>
          <w:marTop w:val="0"/>
          <w:marBottom w:val="0"/>
          <w:divBdr>
            <w:top w:val="none" w:sz="0" w:space="0" w:color="auto"/>
            <w:left w:val="none" w:sz="0" w:space="0" w:color="auto"/>
            <w:bottom w:val="none" w:sz="0" w:space="0" w:color="auto"/>
            <w:right w:val="none" w:sz="0" w:space="0" w:color="auto"/>
          </w:divBdr>
        </w:div>
        <w:div w:id="674914578">
          <w:marLeft w:val="640"/>
          <w:marRight w:val="0"/>
          <w:marTop w:val="0"/>
          <w:marBottom w:val="0"/>
          <w:divBdr>
            <w:top w:val="none" w:sz="0" w:space="0" w:color="auto"/>
            <w:left w:val="none" w:sz="0" w:space="0" w:color="auto"/>
            <w:bottom w:val="none" w:sz="0" w:space="0" w:color="auto"/>
            <w:right w:val="none" w:sz="0" w:space="0" w:color="auto"/>
          </w:divBdr>
        </w:div>
        <w:div w:id="62417137">
          <w:marLeft w:val="640"/>
          <w:marRight w:val="0"/>
          <w:marTop w:val="0"/>
          <w:marBottom w:val="0"/>
          <w:divBdr>
            <w:top w:val="none" w:sz="0" w:space="0" w:color="auto"/>
            <w:left w:val="none" w:sz="0" w:space="0" w:color="auto"/>
            <w:bottom w:val="none" w:sz="0" w:space="0" w:color="auto"/>
            <w:right w:val="none" w:sz="0" w:space="0" w:color="auto"/>
          </w:divBdr>
        </w:div>
        <w:div w:id="1465849376">
          <w:marLeft w:val="640"/>
          <w:marRight w:val="0"/>
          <w:marTop w:val="0"/>
          <w:marBottom w:val="0"/>
          <w:divBdr>
            <w:top w:val="none" w:sz="0" w:space="0" w:color="auto"/>
            <w:left w:val="none" w:sz="0" w:space="0" w:color="auto"/>
            <w:bottom w:val="none" w:sz="0" w:space="0" w:color="auto"/>
            <w:right w:val="none" w:sz="0" w:space="0" w:color="auto"/>
          </w:divBdr>
        </w:div>
        <w:div w:id="521358214">
          <w:marLeft w:val="640"/>
          <w:marRight w:val="0"/>
          <w:marTop w:val="0"/>
          <w:marBottom w:val="0"/>
          <w:divBdr>
            <w:top w:val="none" w:sz="0" w:space="0" w:color="auto"/>
            <w:left w:val="none" w:sz="0" w:space="0" w:color="auto"/>
            <w:bottom w:val="none" w:sz="0" w:space="0" w:color="auto"/>
            <w:right w:val="none" w:sz="0" w:space="0" w:color="auto"/>
          </w:divBdr>
        </w:div>
      </w:divsChild>
    </w:div>
    <w:div w:id="1889997089">
      <w:bodyDiv w:val="1"/>
      <w:marLeft w:val="0"/>
      <w:marRight w:val="0"/>
      <w:marTop w:val="0"/>
      <w:marBottom w:val="0"/>
      <w:divBdr>
        <w:top w:val="none" w:sz="0" w:space="0" w:color="auto"/>
        <w:left w:val="none" w:sz="0" w:space="0" w:color="auto"/>
        <w:bottom w:val="none" w:sz="0" w:space="0" w:color="auto"/>
        <w:right w:val="none" w:sz="0" w:space="0" w:color="auto"/>
      </w:divBdr>
      <w:divsChild>
        <w:div w:id="1706635144">
          <w:marLeft w:val="640"/>
          <w:marRight w:val="0"/>
          <w:marTop w:val="0"/>
          <w:marBottom w:val="0"/>
          <w:divBdr>
            <w:top w:val="none" w:sz="0" w:space="0" w:color="auto"/>
            <w:left w:val="none" w:sz="0" w:space="0" w:color="auto"/>
            <w:bottom w:val="none" w:sz="0" w:space="0" w:color="auto"/>
            <w:right w:val="none" w:sz="0" w:space="0" w:color="auto"/>
          </w:divBdr>
        </w:div>
        <w:div w:id="957102943">
          <w:marLeft w:val="640"/>
          <w:marRight w:val="0"/>
          <w:marTop w:val="0"/>
          <w:marBottom w:val="0"/>
          <w:divBdr>
            <w:top w:val="none" w:sz="0" w:space="0" w:color="auto"/>
            <w:left w:val="none" w:sz="0" w:space="0" w:color="auto"/>
            <w:bottom w:val="none" w:sz="0" w:space="0" w:color="auto"/>
            <w:right w:val="none" w:sz="0" w:space="0" w:color="auto"/>
          </w:divBdr>
        </w:div>
        <w:div w:id="1338312307">
          <w:marLeft w:val="640"/>
          <w:marRight w:val="0"/>
          <w:marTop w:val="0"/>
          <w:marBottom w:val="0"/>
          <w:divBdr>
            <w:top w:val="none" w:sz="0" w:space="0" w:color="auto"/>
            <w:left w:val="none" w:sz="0" w:space="0" w:color="auto"/>
            <w:bottom w:val="none" w:sz="0" w:space="0" w:color="auto"/>
            <w:right w:val="none" w:sz="0" w:space="0" w:color="auto"/>
          </w:divBdr>
        </w:div>
        <w:div w:id="1245141916">
          <w:marLeft w:val="640"/>
          <w:marRight w:val="0"/>
          <w:marTop w:val="0"/>
          <w:marBottom w:val="0"/>
          <w:divBdr>
            <w:top w:val="none" w:sz="0" w:space="0" w:color="auto"/>
            <w:left w:val="none" w:sz="0" w:space="0" w:color="auto"/>
            <w:bottom w:val="none" w:sz="0" w:space="0" w:color="auto"/>
            <w:right w:val="none" w:sz="0" w:space="0" w:color="auto"/>
          </w:divBdr>
        </w:div>
        <w:div w:id="1430544008">
          <w:marLeft w:val="640"/>
          <w:marRight w:val="0"/>
          <w:marTop w:val="0"/>
          <w:marBottom w:val="0"/>
          <w:divBdr>
            <w:top w:val="none" w:sz="0" w:space="0" w:color="auto"/>
            <w:left w:val="none" w:sz="0" w:space="0" w:color="auto"/>
            <w:bottom w:val="none" w:sz="0" w:space="0" w:color="auto"/>
            <w:right w:val="none" w:sz="0" w:space="0" w:color="auto"/>
          </w:divBdr>
        </w:div>
        <w:div w:id="919827022">
          <w:marLeft w:val="640"/>
          <w:marRight w:val="0"/>
          <w:marTop w:val="0"/>
          <w:marBottom w:val="0"/>
          <w:divBdr>
            <w:top w:val="none" w:sz="0" w:space="0" w:color="auto"/>
            <w:left w:val="none" w:sz="0" w:space="0" w:color="auto"/>
            <w:bottom w:val="none" w:sz="0" w:space="0" w:color="auto"/>
            <w:right w:val="none" w:sz="0" w:space="0" w:color="auto"/>
          </w:divBdr>
        </w:div>
        <w:div w:id="24596640">
          <w:marLeft w:val="640"/>
          <w:marRight w:val="0"/>
          <w:marTop w:val="0"/>
          <w:marBottom w:val="0"/>
          <w:divBdr>
            <w:top w:val="none" w:sz="0" w:space="0" w:color="auto"/>
            <w:left w:val="none" w:sz="0" w:space="0" w:color="auto"/>
            <w:bottom w:val="none" w:sz="0" w:space="0" w:color="auto"/>
            <w:right w:val="none" w:sz="0" w:space="0" w:color="auto"/>
          </w:divBdr>
        </w:div>
        <w:div w:id="1359818620">
          <w:marLeft w:val="640"/>
          <w:marRight w:val="0"/>
          <w:marTop w:val="0"/>
          <w:marBottom w:val="0"/>
          <w:divBdr>
            <w:top w:val="none" w:sz="0" w:space="0" w:color="auto"/>
            <w:left w:val="none" w:sz="0" w:space="0" w:color="auto"/>
            <w:bottom w:val="none" w:sz="0" w:space="0" w:color="auto"/>
            <w:right w:val="none" w:sz="0" w:space="0" w:color="auto"/>
          </w:divBdr>
        </w:div>
        <w:div w:id="1827160396">
          <w:marLeft w:val="640"/>
          <w:marRight w:val="0"/>
          <w:marTop w:val="0"/>
          <w:marBottom w:val="0"/>
          <w:divBdr>
            <w:top w:val="none" w:sz="0" w:space="0" w:color="auto"/>
            <w:left w:val="none" w:sz="0" w:space="0" w:color="auto"/>
            <w:bottom w:val="none" w:sz="0" w:space="0" w:color="auto"/>
            <w:right w:val="none" w:sz="0" w:space="0" w:color="auto"/>
          </w:divBdr>
        </w:div>
        <w:div w:id="58333806">
          <w:marLeft w:val="640"/>
          <w:marRight w:val="0"/>
          <w:marTop w:val="0"/>
          <w:marBottom w:val="0"/>
          <w:divBdr>
            <w:top w:val="none" w:sz="0" w:space="0" w:color="auto"/>
            <w:left w:val="none" w:sz="0" w:space="0" w:color="auto"/>
            <w:bottom w:val="none" w:sz="0" w:space="0" w:color="auto"/>
            <w:right w:val="none" w:sz="0" w:space="0" w:color="auto"/>
          </w:divBdr>
        </w:div>
        <w:div w:id="1529752677">
          <w:marLeft w:val="640"/>
          <w:marRight w:val="0"/>
          <w:marTop w:val="0"/>
          <w:marBottom w:val="0"/>
          <w:divBdr>
            <w:top w:val="none" w:sz="0" w:space="0" w:color="auto"/>
            <w:left w:val="none" w:sz="0" w:space="0" w:color="auto"/>
            <w:bottom w:val="none" w:sz="0" w:space="0" w:color="auto"/>
            <w:right w:val="none" w:sz="0" w:space="0" w:color="auto"/>
          </w:divBdr>
        </w:div>
        <w:div w:id="952787819">
          <w:marLeft w:val="640"/>
          <w:marRight w:val="0"/>
          <w:marTop w:val="0"/>
          <w:marBottom w:val="0"/>
          <w:divBdr>
            <w:top w:val="none" w:sz="0" w:space="0" w:color="auto"/>
            <w:left w:val="none" w:sz="0" w:space="0" w:color="auto"/>
            <w:bottom w:val="none" w:sz="0" w:space="0" w:color="auto"/>
            <w:right w:val="none" w:sz="0" w:space="0" w:color="auto"/>
          </w:divBdr>
        </w:div>
        <w:div w:id="1381318670">
          <w:marLeft w:val="640"/>
          <w:marRight w:val="0"/>
          <w:marTop w:val="0"/>
          <w:marBottom w:val="0"/>
          <w:divBdr>
            <w:top w:val="none" w:sz="0" w:space="0" w:color="auto"/>
            <w:left w:val="none" w:sz="0" w:space="0" w:color="auto"/>
            <w:bottom w:val="none" w:sz="0" w:space="0" w:color="auto"/>
            <w:right w:val="none" w:sz="0" w:space="0" w:color="auto"/>
          </w:divBdr>
        </w:div>
        <w:div w:id="279264758">
          <w:marLeft w:val="640"/>
          <w:marRight w:val="0"/>
          <w:marTop w:val="0"/>
          <w:marBottom w:val="0"/>
          <w:divBdr>
            <w:top w:val="none" w:sz="0" w:space="0" w:color="auto"/>
            <w:left w:val="none" w:sz="0" w:space="0" w:color="auto"/>
            <w:bottom w:val="none" w:sz="0" w:space="0" w:color="auto"/>
            <w:right w:val="none" w:sz="0" w:space="0" w:color="auto"/>
          </w:divBdr>
        </w:div>
        <w:div w:id="1961257647">
          <w:marLeft w:val="640"/>
          <w:marRight w:val="0"/>
          <w:marTop w:val="0"/>
          <w:marBottom w:val="0"/>
          <w:divBdr>
            <w:top w:val="none" w:sz="0" w:space="0" w:color="auto"/>
            <w:left w:val="none" w:sz="0" w:space="0" w:color="auto"/>
            <w:bottom w:val="none" w:sz="0" w:space="0" w:color="auto"/>
            <w:right w:val="none" w:sz="0" w:space="0" w:color="auto"/>
          </w:divBdr>
        </w:div>
        <w:div w:id="1164011957">
          <w:marLeft w:val="640"/>
          <w:marRight w:val="0"/>
          <w:marTop w:val="0"/>
          <w:marBottom w:val="0"/>
          <w:divBdr>
            <w:top w:val="none" w:sz="0" w:space="0" w:color="auto"/>
            <w:left w:val="none" w:sz="0" w:space="0" w:color="auto"/>
            <w:bottom w:val="none" w:sz="0" w:space="0" w:color="auto"/>
            <w:right w:val="none" w:sz="0" w:space="0" w:color="auto"/>
          </w:divBdr>
        </w:div>
        <w:div w:id="892697183">
          <w:marLeft w:val="640"/>
          <w:marRight w:val="0"/>
          <w:marTop w:val="0"/>
          <w:marBottom w:val="0"/>
          <w:divBdr>
            <w:top w:val="none" w:sz="0" w:space="0" w:color="auto"/>
            <w:left w:val="none" w:sz="0" w:space="0" w:color="auto"/>
            <w:bottom w:val="none" w:sz="0" w:space="0" w:color="auto"/>
            <w:right w:val="none" w:sz="0" w:space="0" w:color="auto"/>
          </w:divBdr>
        </w:div>
        <w:div w:id="1725253498">
          <w:marLeft w:val="640"/>
          <w:marRight w:val="0"/>
          <w:marTop w:val="0"/>
          <w:marBottom w:val="0"/>
          <w:divBdr>
            <w:top w:val="none" w:sz="0" w:space="0" w:color="auto"/>
            <w:left w:val="none" w:sz="0" w:space="0" w:color="auto"/>
            <w:bottom w:val="none" w:sz="0" w:space="0" w:color="auto"/>
            <w:right w:val="none" w:sz="0" w:space="0" w:color="auto"/>
          </w:divBdr>
        </w:div>
        <w:div w:id="1813476914">
          <w:marLeft w:val="640"/>
          <w:marRight w:val="0"/>
          <w:marTop w:val="0"/>
          <w:marBottom w:val="0"/>
          <w:divBdr>
            <w:top w:val="none" w:sz="0" w:space="0" w:color="auto"/>
            <w:left w:val="none" w:sz="0" w:space="0" w:color="auto"/>
            <w:bottom w:val="none" w:sz="0" w:space="0" w:color="auto"/>
            <w:right w:val="none" w:sz="0" w:space="0" w:color="auto"/>
          </w:divBdr>
        </w:div>
        <w:div w:id="1661692309">
          <w:marLeft w:val="640"/>
          <w:marRight w:val="0"/>
          <w:marTop w:val="0"/>
          <w:marBottom w:val="0"/>
          <w:divBdr>
            <w:top w:val="none" w:sz="0" w:space="0" w:color="auto"/>
            <w:left w:val="none" w:sz="0" w:space="0" w:color="auto"/>
            <w:bottom w:val="none" w:sz="0" w:space="0" w:color="auto"/>
            <w:right w:val="none" w:sz="0" w:space="0" w:color="auto"/>
          </w:divBdr>
        </w:div>
        <w:div w:id="751317696">
          <w:marLeft w:val="640"/>
          <w:marRight w:val="0"/>
          <w:marTop w:val="0"/>
          <w:marBottom w:val="0"/>
          <w:divBdr>
            <w:top w:val="none" w:sz="0" w:space="0" w:color="auto"/>
            <w:left w:val="none" w:sz="0" w:space="0" w:color="auto"/>
            <w:bottom w:val="none" w:sz="0" w:space="0" w:color="auto"/>
            <w:right w:val="none" w:sz="0" w:space="0" w:color="auto"/>
          </w:divBdr>
        </w:div>
        <w:div w:id="1930380550">
          <w:marLeft w:val="640"/>
          <w:marRight w:val="0"/>
          <w:marTop w:val="0"/>
          <w:marBottom w:val="0"/>
          <w:divBdr>
            <w:top w:val="none" w:sz="0" w:space="0" w:color="auto"/>
            <w:left w:val="none" w:sz="0" w:space="0" w:color="auto"/>
            <w:bottom w:val="none" w:sz="0" w:space="0" w:color="auto"/>
            <w:right w:val="none" w:sz="0" w:space="0" w:color="auto"/>
          </w:divBdr>
        </w:div>
        <w:div w:id="1392659394">
          <w:marLeft w:val="640"/>
          <w:marRight w:val="0"/>
          <w:marTop w:val="0"/>
          <w:marBottom w:val="0"/>
          <w:divBdr>
            <w:top w:val="none" w:sz="0" w:space="0" w:color="auto"/>
            <w:left w:val="none" w:sz="0" w:space="0" w:color="auto"/>
            <w:bottom w:val="none" w:sz="0" w:space="0" w:color="auto"/>
            <w:right w:val="none" w:sz="0" w:space="0" w:color="auto"/>
          </w:divBdr>
        </w:div>
        <w:div w:id="21591257">
          <w:marLeft w:val="640"/>
          <w:marRight w:val="0"/>
          <w:marTop w:val="0"/>
          <w:marBottom w:val="0"/>
          <w:divBdr>
            <w:top w:val="none" w:sz="0" w:space="0" w:color="auto"/>
            <w:left w:val="none" w:sz="0" w:space="0" w:color="auto"/>
            <w:bottom w:val="none" w:sz="0" w:space="0" w:color="auto"/>
            <w:right w:val="none" w:sz="0" w:space="0" w:color="auto"/>
          </w:divBdr>
        </w:div>
        <w:div w:id="1769080561">
          <w:marLeft w:val="640"/>
          <w:marRight w:val="0"/>
          <w:marTop w:val="0"/>
          <w:marBottom w:val="0"/>
          <w:divBdr>
            <w:top w:val="none" w:sz="0" w:space="0" w:color="auto"/>
            <w:left w:val="none" w:sz="0" w:space="0" w:color="auto"/>
            <w:bottom w:val="none" w:sz="0" w:space="0" w:color="auto"/>
            <w:right w:val="none" w:sz="0" w:space="0" w:color="auto"/>
          </w:divBdr>
        </w:div>
        <w:div w:id="1581520585">
          <w:marLeft w:val="640"/>
          <w:marRight w:val="0"/>
          <w:marTop w:val="0"/>
          <w:marBottom w:val="0"/>
          <w:divBdr>
            <w:top w:val="none" w:sz="0" w:space="0" w:color="auto"/>
            <w:left w:val="none" w:sz="0" w:space="0" w:color="auto"/>
            <w:bottom w:val="none" w:sz="0" w:space="0" w:color="auto"/>
            <w:right w:val="none" w:sz="0" w:space="0" w:color="auto"/>
          </w:divBdr>
        </w:div>
        <w:div w:id="490103189">
          <w:marLeft w:val="640"/>
          <w:marRight w:val="0"/>
          <w:marTop w:val="0"/>
          <w:marBottom w:val="0"/>
          <w:divBdr>
            <w:top w:val="none" w:sz="0" w:space="0" w:color="auto"/>
            <w:left w:val="none" w:sz="0" w:space="0" w:color="auto"/>
            <w:bottom w:val="none" w:sz="0" w:space="0" w:color="auto"/>
            <w:right w:val="none" w:sz="0" w:space="0" w:color="auto"/>
          </w:divBdr>
        </w:div>
        <w:div w:id="1260454295">
          <w:marLeft w:val="640"/>
          <w:marRight w:val="0"/>
          <w:marTop w:val="0"/>
          <w:marBottom w:val="0"/>
          <w:divBdr>
            <w:top w:val="none" w:sz="0" w:space="0" w:color="auto"/>
            <w:left w:val="none" w:sz="0" w:space="0" w:color="auto"/>
            <w:bottom w:val="none" w:sz="0" w:space="0" w:color="auto"/>
            <w:right w:val="none" w:sz="0" w:space="0" w:color="auto"/>
          </w:divBdr>
        </w:div>
        <w:div w:id="751270526">
          <w:marLeft w:val="640"/>
          <w:marRight w:val="0"/>
          <w:marTop w:val="0"/>
          <w:marBottom w:val="0"/>
          <w:divBdr>
            <w:top w:val="none" w:sz="0" w:space="0" w:color="auto"/>
            <w:left w:val="none" w:sz="0" w:space="0" w:color="auto"/>
            <w:bottom w:val="none" w:sz="0" w:space="0" w:color="auto"/>
            <w:right w:val="none" w:sz="0" w:space="0" w:color="auto"/>
          </w:divBdr>
        </w:div>
        <w:div w:id="1425223163">
          <w:marLeft w:val="640"/>
          <w:marRight w:val="0"/>
          <w:marTop w:val="0"/>
          <w:marBottom w:val="0"/>
          <w:divBdr>
            <w:top w:val="none" w:sz="0" w:space="0" w:color="auto"/>
            <w:left w:val="none" w:sz="0" w:space="0" w:color="auto"/>
            <w:bottom w:val="none" w:sz="0" w:space="0" w:color="auto"/>
            <w:right w:val="none" w:sz="0" w:space="0" w:color="auto"/>
          </w:divBdr>
        </w:div>
        <w:div w:id="901716999">
          <w:marLeft w:val="640"/>
          <w:marRight w:val="0"/>
          <w:marTop w:val="0"/>
          <w:marBottom w:val="0"/>
          <w:divBdr>
            <w:top w:val="none" w:sz="0" w:space="0" w:color="auto"/>
            <w:left w:val="none" w:sz="0" w:space="0" w:color="auto"/>
            <w:bottom w:val="none" w:sz="0" w:space="0" w:color="auto"/>
            <w:right w:val="none" w:sz="0" w:space="0" w:color="auto"/>
          </w:divBdr>
        </w:div>
        <w:div w:id="1838379852">
          <w:marLeft w:val="640"/>
          <w:marRight w:val="0"/>
          <w:marTop w:val="0"/>
          <w:marBottom w:val="0"/>
          <w:divBdr>
            <w:top w:val="none" w:sz="0" w:space="0" w:color="auto"/>
            <w:left w:val="none" w:sz="0" w:space="0" w:color="auto"/>
            <w:bottom w:val="none" w:sz="0" w:space="0" w:color="auto"/>
            <w:right w:val="none" w:sz="0" w:space="0" w:color="auto"/>
          </w:divBdr>
        </w:div>
        <w:div w:id="823816034">
          <w:marLeft w:val="640"/>
          <w:marRight w:val="0"/>
          <w:marTop w:val="0"/>
          <w:marBottom w:val="0"/>
          <w:divBdr>
            <w:top w:val="none" w:sz="0" w:space="0" w:color="auto"/>
            <w:left w:val="none" w:sz="0" w:space="0" w:color="auto"/>
            <w:bottom w:val="none" w:sz="0" w:space="0" w:color="auto"/>
            <w:right w:val="none" w:sz="0" w:space="0" w:color="auto"/>
          </w:divBdr>
        </w:div>
        <w:div w:id="831800022">
          <w:marLeft w:val="640"/>
          <w:marRight w:val="0"/>
          <w:marTop w:val="0"/>
          <w:marBottom w:val="0"/>
          <w:divBdr>
            <w:top w:val="none" w:sz="0" w:space="0" w:color="auto"/>
            <w:left w:val="none" w:sz="0" w:space="0" w:color="auto"/>
            <w:bottom w:val="none" w:sz="0" w:space="0" w:color="auto"/>
            <w:right w:val="none" w:sz="0" w:space="0" w:color="auto"/>
          </w:divBdr>
        </w:div>
        <w:div w:id="368653245">
          <w:marLeft w:val="640"/>
          <w:marRight w:val="0"/>
          <w:marTop w:val="0"/>
          <w:marBottom w:val="0"/>
          <w:divBdr>
            <w:top w:val="none" w:sz="0" w:space="0" w:color="auto"/>
            <w:left w:val="none" w:sz="0" w:space="0" w:color="auto"/>
            <w:bottom w:val="none" w:sz="0" w:space="0" w:color="auto"/>
            <w:right w:val="none" w:sz="0" w:space="0" w:color="auto"/>
          </w:divBdr>
        </w:div>
        <w:div w:id="1816608552">
          <w:marLeft w:val="640"/>
          <w:marRight w:val="0"/>
          <w:marTop w:val="0"/>
          <w:marBottom w:val="0"/>
          <w:divBdr>
            <w:top w:val="none" w:sz="0" w:space="0" w:color="auto"/>
            <w:left w:val="none" w:sz="0" w:space="0" w:color="auto"/>
            <w:bottom w:val="none" w:sz="0" w:space="0" w:color="auto"/>
            <w:right w:val="none" w:sz="0" w:space="0" w:color="auto"/>
          </w:divBdr>
        </w:div>
        <w:div w:id="1426027501">
          <w:marLeft w:val="640"/>
          <w:marRight w:val="0"/>
          <w:marTop w:val="0"/>
          <w:marBottom w:val="0"/>
          <w:divBdr>
            <w:top w:val="none" w:sz="0" w:space="0" w:color="auto"/>
            <w:left w:val="none" w:sz="0" w:space="0" w:color="auto"/>
            <w:bottom w:val="none" w:sz="0" w:space="0" w:color="auto"/>
            <w:right w:val="none" w:sz="0" w:space="0" w:color="auto"/>
          </w:divBdr>
        </w:div>
        <w:div w:id="1163355026">
          <w:marLeft w:val="640"/>
          <w:marRight w:val="0"/>
          <w:marTop w:val="0"/>
          <w:marBottom w:val="0"/>
          <w:divBdr>
            <w:top w:val="none" w:sz="0" w:space="0" w:color="auto"/>
            <w:left w:val="none" w:sz="0" w:space="0" w:color="auto"/>
            <w:bottom w:val="none" w:sz="0" w:space="0" w:color="auto"/>
            <w:right w:val="none" w:sz="0" w:space="0" w:color="auto"/>
          </w:divBdr>
        </w:div>
        <w:div w:id="1543250616">
          <w:marLeft w:val="640"/>
          <w:marRight w:val="0"/>
          <w:marTop w:val="0"/>
          <w:marBottom w:val="0"/>
          <w:divBdr>
            <w:top w:val="none" w:sz="0" w:space="0" w:color="auto"/>
            <w:left w:val="none" w:sz="0" w:space="0" w:color="auto"/>
            <w:bottom w:val="none" w:sz="0" w:space="0" w:color="auto"/>
            <w:right w:val="none" w:sz="0" w:space="0" w:color="auto"/>
          </w:divBdr>
        </w:div>
        <w:div w:id="999848968">
          <w:marLeft w:val="640"/>
          <w:marRight w:val="0"/>
          <w:marTop w:val="0"/>
          <w:marBottom w:val="0"/>
          <w:divBdr>
            <w:top w:val="none" w:sz="0" w:space="0" w:color="auto"/>
            <w:left w:val="none" w:sz="0" w:space="0" w:color="auto"/>
            <w:bottom w:val="none" w:sz="0" w:space="0" w:color="auto"/>
            <w:right w:val="none" w:sz="0" w:space="0" w:color="auto"/>
          </w:divBdr>
        </w:div>
        <w:div w:id="1870339228">
          <w:marLeft w:val="640"/>
          <w:marRight w:val="0"/>
          <w:marTop w:val="0"/>
          <w:marBottom w:val="0"/>
          <w:divBdr>
            <w:top w:val="none" w:sz="0" w:space="0" w:color="auto"/>
            <w:left w:val="none" w:sz="0" w:space="0" w:color="auto"/>
            <w:bottom w:val="none" w:sz="0" w:space="0" w:color="auto"/>
            <w:right w:val="none" w:sz="0" w:space="0" w:color="auto"/>
          </w:divBdr>
        </w:div>
        <w:div w:id="1862350856">
          <w:marLeft w:val="640"/>
          <w:marRight w:val="0"/>
          <w:marTop w:val="0"/>
          <w:marBottom w:val="0"/>
          <w:divBdr>
            <w:top w:val="none" w:sz="0" w:space="0" w:color="auto"/>
            <w:left w:val="none" w:sz="0" w:space="0" w:color="auto"/>
            <w:bottom w:val="none" w:sz="0" w:space="0" w:color="auto"/>
            <w:right w:val="none" w:sz="0" w:space="0" w:color="auto"/>
          </w:divBdr>
        </w:div>
        <w:div w:id="1977492164">
          <w:marLeft w:val="640"/>
          <w:marRight w:val="0"/>
          <w:marTop w:val="0"/>
          <w:marBottom w:val="0"/>
          <w:divBdr>
            <w:top w:val="none" w:sz="0" w:space="0" w:color="auto"/>
            <w:left w:val="none" w:sz="0" w:space="0" w:color="auto"/>
            <w:bottom w:val="none" w:sz="0" w:space="0" w:color="auto"/>
            <w:right w:val="none" w:sz="0" w:space="0" w:color="auto"/>
          </w:divBdr>
        </w:div>
        <w:div w:id="1529374006">
          <w:marLeft w:val="640"/>
          <w:marRight w:val="0"/>
          <w:marTop w:val="0"/>
          <w:marBottom w:val="0"/>
          <w:divBdr>
            <w:top w:val="none" w:sz="0" w:space="0" w:color="auto"/>
            <w:left w:val="none" w:sz="0" w:space="0" w:color="auto"/>
            <w:bottom w:val="none" w:sz="0" w:space="0" w:color="auto"/>
            <w:right w:val="none" w:sz="0" w:space="0" w:color="auto"/>
          </w:divBdr>
        </w:div>
        <w:div w:id="1119489011">
          <w:marLeft w:val="640"/>
          <w:marRight w:val="0"/>
          <w:marTop w:val="0"/>
          <w:marBottom w:val="0"/>
          <w:divBdr>
            <w:top w:val="none" w:sz="0" w:space="0" w:color="auto"/>
            <w:left w:val="none" w:sz="0" w:space="0" w:color="auto"/>
            <w:bottom w:val="none" w:sz="0" w:space="0" w:color="auto"/>
            <w:right w:val="none" w:sz="0" w:space="0" w:color="auto"/>
          </w:divBdr>
        </w:div>
        <w:div w:id="1622226732">
          <w:marLeft w:val="640"/>
          <w:marRight w:val="0"/>
          <w:marTop w:val="0"/>
          <w:marBottom w:val="0"/>
          <w:divBdr>
            <w:top w:val="none" w:sz="0" w:space="0" w:color="auto"/>
            <w:left w:val="none" w:sz="0" w:space="0" w:color="auto"/>
            <w:bottom w:val="none" w:sz="0" w:space="0" w:color="auto"/>
            <w:right w:val="none" w:sz="0" w:space="0" w:color="auto"/>
          </w:divBdr>
        </w:div>
        <w:div w:id="402148322">
          <w:marLeft w:val="640"/>
          <w:marRight w:val="0"/>
          <w:marTop w:val="0"/>
          <w:marBottom w:val="0"/>
          <w:divBdr>
            <w:top w:val="none" w:sz="0" w:space="0" w:color="auto"/>
            <w:left w:val="none" w:sz="0" w:space="0" w:color="auto"/>
            <w:bottom w:val="none" w:sz="0" w:space="0" w:color="auto"/>
            <w:right w:val="none" w:sz="0" w:space="0" w:color="auto"/>
          </w:divBdr>
        </w:div>
        <w:div w:id="392891164">
          <w:marLeft w:val="640"/>
          <w:marRight w:val="0"/>
          <w:marTop w:val="0"/>
          <w:marBottom w:val="0"/>
          <w:divBdr>
            <w:top w:val="none" w:sz="0" w:space="0" w:color="auto"/>
            <w:left w:val="none" w:sz="0" w:space="0" w:color="auto"/>
            <w:bottom w:val="none" w:sz="0" w:space="0" w:color="auto"/>
            <w:right w:val="none" w:sz="0" w:space="0" w:color="auto"/>
          </w:divBdr>
        </w:div>
        <w:div w:id="2079479319">
          <w:marLeft w:val="640"/>
          <w:marRight w:val="0"/>
          <w:marTop w:val="0"/>
          <w:marBottom w:val="0"/>
          <w:divBdr>
            <w:top w:val="none" w:sz="0" w:space="0" w:color="auto"/>
            <w:left w:val="none" w:sz="0" w:space="0" w:color="auto"/>
            <w:bottom w:val="none" w:sz="0" w:space="0" w:color="auto"/>
            <w:right w:val="none" w:sz="0" w:space="0" w:color="auto"/>
          </w:divBdr>
        </w:div>
        <w:div w:id="1370378028">
          <w:marLeft w:val="640"/>
          <w:marRight w:val="0"/>
          <w:marTop w:val="0"/>
          <w:marBottom w:val="0"/>
          <w:divBdr>
            <w:top w:val="none" w:sz="0" w:space="0" w:color="auto"/>
            <w:left w:val="none" w:sz="0" w:space="0" w:color="auto"/>
            <w:bottom w:val="none" w:sz="0" w:space="0" w:color="auto"/>
            <w:right w:val="none" w:sz="0" w:space="0" w:color="auto"/>
          </w:divBdr>
        </w:div>
        <w:div w:id="664281671">
          <w:marLeft w:val="640"/>
          <w:marRight w:val="0"/>
          <w:marTop w:val="0"/>
          <w:marBottom w:val="0"/>
          <w:divBdr>
            <w:top w:val="none" w:sz="0" w:space="0" w:color="auto"/>
            <w:left w:val="none" w:sz="0" w:space="0" w:color="auto"/>
            <w:bottom w:val="none" w:sz="0" w:space="0" w:color="auto"/>
            <w:right w:val="none" w:sz="0" w:space="0" w:color="auto"/>
          </w:divBdr>
        </w:div>
        <w:div w:id="472213191">
          <w:marLeft w:val="640"/>
          <w:marRight w:val="0"/>
          <w:marTop w:val="0"/>
          <w:marBottom w:val="0"/>
          <w:divBdr>
            <w:top w:val="none" w:sz="0" w:space="0" w:color="auto"/>
            <w:left w:val="none" w:sz="0" w:space="0" w:color="auto"/>
            <w:bottom w:val="none" w:sz="0" w:space="0" w:color="auto"/>
            <w:right w:val="none" w:sz="0" w:space="0" w:color="auto"/>
          </w:divBdr>
        </w:div>
        <w:div w:id="1268077926">
          <w:marLeft w:val="640"/>
          <w:marRight w:val="0"/>
          <w:marTop w:val="0"/>
          <w:marBottom w:val="0"/>
          <w:divBdr>
            <w:top w:val="none" w:sz="0" w:space="0" w:color="auto"/>
            <w:left w:val="none" w:sz="0" w:space="0" w:color="auto"/>
            <w:bottom w:val="none" w:sz="0" w:space="0" w:color="auto"/>
            <w:right w:val="none" w:sz="0" w:space="0" w:color="auto"/>
          </w:divBdr>
        </w:div>
        <w:div w:id="668949776">
          <w:marLeft w:val="640"/>
          <w:marRight w:val="0"/>
          <w:marTop w:val="0"/>
          <w:marBottom w:val="0"/>
          <w:divBdr>
            <w:top w:val="none" w:sz="0" w:space="0" w:color="auto"/>
            <w:left w:val="none" w:sz="0" w:space="0" w:color="auto"/>
            <w:bottom w:val="none" w:sz="0" w:space="0" w:color="auto"/>
            <w:right w:val="none" w:sz="0" w:space="0" w:color="auto"/>
          </w:divBdr>
        </w:div>
        <w:div w:id="145443090">
          <w:marLeft w:val="640"/>
          <w:marRight w:val="0"/>
          <w:marTop w:val="0"/>
          <w:marBottom w:val="0"/>
          <w:divBdr>
            <w:top w:val="none" w:sz="0" w:space="0" w:color="auto"/>
            <w:left w:val="none" w:sz="0" w:space="0" w:color="auto"/>
            <w:bottom w:val="none" w:sz="0" w:space="0" w:color="auto"/>
            <w:right w:val="none" w:sz="0" w:space="0" w:color="auto"/>
          </w:divBdr>
        </w:div>
        <w:div w:id="911888023">
          <w:marLeft w:val="640"/>
          <w:marRight w:val="0"/>
          <w:marTop w:val="0"/>
          <w:marBottom w:val="0"/>
          <w:divBdr>
            <w:top w:val="none" w:sz="0" w:space="0" w:color="auto"/>
            <w:left w:val="none" w:sz="0" w:space="0" w:color="auto"/>
            <w:bottom w:val="none" w:sz="0" w:space="0" w:color="auto"/>
            <w:right w:val="none" w:sz="0" w:space="0" w:color="auto"/>
          </w:divBdr>
        </w:div>
        <w:div w:id="638150828">
          <w:marLeft w:val="640"/>
          <w:marRight w:val="0"/>
          <w:marTop w:val="0"/>
          <w:marBottom w:val="0"/>
          <w:divBdr>
            <w:top w:val="none" w:sz="0" w:space="0" w:color="auto"/>
            <w:left w:val="none" w:sz="0" w:space="0" w:color="auto"/>
            <w:bottom w:val="none" w:sz="0" w:space="0" w:color="auto"/>
            <w:right w:val="none" w:sz="0" w:space="0" w:color="auto"/>
          </w:divBdr>
        </w:div>
        <w:div w:id="1882473957">
          <w:marLeft w:val="640"/>
          <w:marRight w:val="0"/>
          <w:marTop w:val="0"/>
          <w:marBottom w:val="0"/>
          <w:divBdr>
            <w:top w:val="none" w:sz="0" w:space="0" w:color="auto"/>
            <w:left w:val="none" w:sz="0" w:space="0" w:color="auto"/>
            <w:bottom w:val="none" w:sz="0" w:space="0" w:color="auto"/>
            <w:right w:val="none" w:sz="0" w:space="0" w:color="auto"/>
          </w:divBdr>
        </w:div>
        <w:div w:id="1846357071">
          <w:marLeft w:val="640"/>
          <w:marRight w:val="0"/>
          <w:marTop w:val="0"/>
          <w:marBottom w:val="0"/>
          <w:divBdr>
            <w:top w:val="none" w:sz="0" w:space="0" w:color="auto"/>
            <w:left w:val="none" w:sz="0" w:space="0" w:color="auto"/>
            <w:bottom w:val="none" w:sz="0" w:space="0" w:color="auto"/>
            <w:right w:val="none" w:sz="0" w:space="0" w:color="auto"/>
          </w:divBdr>
        </w:div>
        <w:div w:id="1947955151">
          <w:marLeft w:val="640"/>
          <w:marRight w:val="0"/>
          <w:marTop w:val="0"/>
          <w:marBottom w:val="0"/>
          <w:divBdr>
            <w:top w:val="none" w:sz="0" w:space="0" w:color="auto"/>
            <w:left w:val="none" w:sz="0" w:space="0" w:color="auto"/>
            <w:bottom w:val="none" w:sz="0" w:space="0" w:color="auto"/>
            <w:right w:val="none" w:sz="0" w:space="0" w:color="auto"/>
          </w:divBdr>
        </w:div>
        <w:div w:id="342634754">
          <w:marLeft w:val="640"/>
          <w:marRight w:val="0"/>
          <w:marTop w:val="0"/>
          <w:marBottom w:val="0"/>
          <w:divBdr>
            <w:top w:val="none" w:sz="0" w:space="0" w:color="auto"/>
            <w:left w:val="none" w:sz="0" w:space="0" w:color="auto"/>
            <w:bottom w:val="none" w:sz="0" w:space="0" w:color="auto"/>
            <w:right w:val="none" w:sz="0" w:space="0" w:color="auto"/>
          </w:divBdr>
        </w:div>
        <w:div w:id="1858352710">
          <w:marLeft w:val="640"/>
          <w:marRight w:val="0"/>
          <w:marTop w:val="0"/>
          <w:marBottom w:val="0"/>
          <w:divBdr>
            <w:top w:val="none" w:sz="0" w:space="0" w:color="auto"/>
            <w:left w:val="none" w:sz="0" w:space="0" w:color="auto"/>
            <w:bottom w:val="none" w:sz="0" w:space="0" w:color="auto"/>
            <w:right w:val="none" w:sz="0" w:space="0" w:color="auto"/>
          </w:divBdr>
        </w:div>
        <w:div w:id="1736511571">
          <w:marLeft w:val="640"/>
          <w:marRight w:val="0"/>
          <w:marTop w:val="0"/>
          <w:marBottom w:val="0"/>
          <w:divBdr>
            <w:top w:val="none" w:sz="0" w:space="0" w:color="auto"/>
            <w:left w:val="none" w:sz="0" w:space="0" w:color="auto"/>
            <w:bottom w:val="none" w:sz="0" w:space="0" w:color="auto"/>
            <w:right w:val="none" w:sz="0" w:space="0" w:color="auto"/>
          </w:divBdr>
        </w:div>
        <w:div w:id="1566064189">
          <w:marLeft w:val="640"/>
          <w:marRight w:val="0"/>
          <w:marTop w:val="0"/>
          <w:marBottom w:val="0"/>
          <w:divBdr>
            <w:top w:val="none" w:sz="0" w:space="0" w:color="auto"/>
            <w:left w:val="none" w:sz="0" w:space="0" w:color="auto"/>
            <w:bottom w:val="none" w:sz="0" w:space="0" w:color="auto"/>
            <w:right w:val="none" w:sz="0" w:space="0" w:color="auto"/>
          </w:divBdr>
        </w:div>
        <w:div w:id="470634984">
          <w:marLeft w:val="640"/>
          <w:marRight w:val="0"/>
          <w:marTop w:val="0"/>
          <w:marBottom w:val="0"/>
          <w:divBdr>
            <w:top w:val="none" w:sz="0" w:space="0" w:color="auto"/>
            <w:left w:val="none" w:sz="0" w:space="0" w:color="auto"/>
            <w:bottom w:val="none" w:sz="0" w:space="0" w:color="auto"/>
            <w:right w:val="none" w:sz="0" w:space="0" w:color="auto"/>
          </w:divBdr>
        </w:div>
        <w:div w:id="126123045">
          <w:marLeft w:val="640"/>
          <w:marRight w:val="0"/>
          <w:marTop w:val="0"/>
          <w:marBottom w:val="0"/>
          <w:divBdr>
            <w:top w:val="none" w:sz="0" w:space="0" w:color="auto"/>
            <w:left w:val="none" w:sz="0" w:space="0" w:color="auto"/>
            <w:bottom w:val="none" w:sz="0" w:space="0" w:color="auto"/>
            <w:right w:val="none" w:sz="0" w:space="0" w:color="auto"/>
          </w:divBdr>
        </w:div>
        <w:div w:id="1965378384">
          <w:marLeft w:val="640"/>
          <w:marRight w:val="0"/>
          <w:marTop w:val="0"/>
          <w:marBottom w:val="0"/>
          <w:divBdr>
            <w:top w:val="none" w:sz="0" w:space="0" w:color="auto"/>
            <w:left w:val="none" w:sz="0" w:space="0" w:color="auto"/>
            <w:bottom w:val="none" w:sz="0" w:space="0" w:color="auto"/>
            <w:right w:val="none" w:sz="0" w:space="0" w:color="auto"/>
          </w:divBdr>
        </w:div>
        <w:div w:id="2092920657">
          <w:marLeft w:val="640"/>
          <w:marRight w:val="0"/>
          <w:marTop w:val="0"/>
          <w:marBottom w:val="0"/>
          <w:divBdr>
            <w:top w:val="none" w:sz="0" w:space="0" w:color="auto"/>
            <w:left w:val="none" w:sz="0" w:space="0" w:color="auto"/>
            <w:bottom w:val="none" w:sz="0" w:space="0" w:color="auto"/>
            <w:right w:val="none" w:sz="0" w:space="0" w:color="auto"/>
          </w:divBdr>
        </w:div>
        <w:div w:id="170998831">
          <w:marLeft w:val="640"/>
          <w:marRight w:val="0"/>
          <w:marTop w:val="0"/>
          <w:marBottom w:val="0"/>
          <w:divBdr>
            <w:top w:val="none" w:sz="0" w:space="0" w:color="auto"/>
            <w:left w:val="none" w:sz="0" w:space="0" w:color="auto"/>
            <w:bottom w:val="none" w:sz="0" w:space="0" w:color="auto"/>
            <w:right w:val="none" w:sz="0" w:space="0" w:color="auto"/>
          </w:divBdr>
        </w:div>
        <w:div w:id="129515457">
          <w:marLeft w:val="640"/>
          <w:marRight w:val="0"/>
          <w:marTop w:val="0"/>
          <w:marBottom w:val="0"/>
          <w:divBdr>
            <w:top w:val="none" w:sz="0" w:space="0" w:color="auto"/>
            <w:left w:val="none" w:sz="0" w:space="0" w:color="auto"/>
            <w:bottom w:val="none" w:sz="0" w:space="0" w:color="auto"/>
            <w:right w:val="none" w:sz="0" w:space="0" w:color="auto"/>
          </w:divBdr>
        </w:div>
        <w:div w:id="264577436">
          <w:marLeft w:val="640"/>
          <w:marRight w:val="0"/>
          <w:marTop w:val="0"/>
          <w:marBottom w:val="0"/>
          <w:divBdr>
            <w:top w:val="none" w:sz="0" w:space="0" w:color="auto"/>
            <w:left w:val="none" w:sz="0" w:space="0" w:color="auto"/>
            <w:bottom w:val="none" w:sz="0" w:space="0" w:color="auto"/>
            <w:right w:val="none" w:sz="0" w:space="0" w:color="auto"/>
          </w:divBdr>
        </w:div>
        <w:div w:id="1697581855">
          <w:marLeft w:val="640"/>
          <w:marRight w:val="0"/>
          <w:marTop w:val="0"/>
          <w:marBottom w:val="0"/>
          <w:divBdr>
            <w:top w:val="none" w:sz="0" w:space="0" w:color="auto"/>
            <w:left w:val="none" w:sz="0" w:space="0" w:color="auto"/>
            <w:bottom w:val="none" w:sz="0" w:space="0" w:color="auto"/>
            <w:right w:val="none" w:sz="0" w:space="0" w:color="auto"/>
          </w:divBdr>
        </w:div>
        <w:div w:id="1224175125">
          <w:marLeft w:val="640"/>
          <w:marRight w:val="0"/>
          <w:marTop w:val="0"/>
          <w:marBottom w:val="0"/>
          <w:divBdr>
            <w:top w:val="none" w:sz="0" w:space="0" w:color="auto"/>
            <w:left w:val="none" w:sz="0" w:space="0" w:color="auto"/>
            <w:bottom w:val="none" w:sz="0" w:space="0" w:color="auto"/>
            <w:right w:val="none" w:sz="0" w:space="0" w:color="auto"/>
          </w:divBdr>
        </w:div>
        <w:div w:id="1077751348">
          <w:marLeft w:val="640"/>
          <w:marRight w:val="0"/>
          <w:marTop w:val="0"/>
          <w:marBottom w:val="0"/>
          <w:divBdr>
            <w:top w:val="none" w:sz="0" w:space="0" w:color="auto"/>
            <w:left w:val="none" w:sz="0" w:space="0" w:color="auto"/>
            <w:bottom w:val="none" w:sz="0" w:space="0" w:color="auto"/>
            <w:right w:val="none" w:sz="0" w:space="0" w:color="auto"/>
          </w:divBdr>
        </w:div>
        <w:div w:id="1527983733">
          <w:marLeft w:val="640"/>
          <w:marRight w:val="0"/>
          <w:marTop w:val="0"/>
          <w:marBottom w:val="0"/>
          <w:divBdr>
            <w:top w:val="none" w:sz="0" w:space="0" w:color="auto"/>
            <w:left w:val="none" w:sz="0" w:space="0" w:color="auto"/>
            <w:bottom w:val="none" w:sz="0" w:space="0" w:color="auto"/>
            <w:right w:val="none" w:sz="0" w:space="0" w:color="auto"/>
          </w:divBdr>
        </w:div>
        <w:div w:id="831917163">
          <w:marLeft w:val="640"/>
          <w:marRight w:val="0"/>
          <w:marTop w:val="0"/>
          <w:marBottom w:val="0"/>
          <w:divBdr>
            <w:top w:val="none" w:sz="0" w:space="0" w:color="auto"/>
            <w:left w:val="none" w:sz="0" w:space="0" w:color="auto"/>
            <w:bottom w:val="none" w:sz="0" w:space="0" w:color="auto"/>
            <w:right w:val="none" w:sz="0" w:space="0" w:color="auto"/>
          </w:divBdr>
        </w:div>
        <w:div w:id="2102873629">
          <w:marLeft w:val="640"/>
          <w:marRight w:val="0"/>
          <w:marTop w:val="0"/>
          <w:marBottom w:val="0"/>
          <w:divBdr>
            <w:top w:val="none" w:sz="0" w:space="0" w:color="auto"/>
            <w:left w:val="none" w:sz="0" w:space="0" w:color="auto"/>
            <w:bottom w:val="none" w:sz="0" w:space="0" w:color="auto"/>
            <w:right w:val="none" w:sz="0" w:space="0" w:color="auto"/>
          </w:divBdr>
        </w:div>
        <w:div w:id="31685976">
          <w:marLeft w:val="640"/>
          <w:marRight w:val="0"/>
          <w:marTop w:val="0"/>
          <w:marBottom w:val="0"/>
          <w:divBdr>
            <w:top w:val="none" w:sz="0" w:space="0" w:color="auto"/>
            <w:left w:val="none" w:sz="0" w:space="0" w:color="auto"/>
            <w:bottom w:val="none" w:sz="0" w:space="0" w:color="auto"/>
            <w:right w:val="none" w:sz="0" w:space="0" w:color="auto"/>
          </w:divBdr>
        </w:div>
        <w:div w:id="17856622">
          <w:marLeft w:val="640"/>
          <w:marRight w:val="0"/>
          <w:marTop w:val="0"/>
          <w:marBottom w:val="0"/>
          <w:divBdr>
            <w:top w:val="none" w:sz="0" w:space="0" w:color="auto"/>
            <w:left w:val="none" w:sz="0" w:space="0" w:color="auto"/>
            <w:bottom w:val="none" w:sz="0" w:space="0" w:color="auto"/>
            <w:right w:val="none" w:sz="0" w:space="0" w:color="auto"/>
          </w:divBdr>
        </w:div>
        <w:div w:id="121582882">
          <w:marLeft w:val="640"/>
          <w:marRight w:val="0"/>
          <w:marTop w:val="0"/>
          <w:marBottom w:val="0"/>
          <w:divBdr>
            <w:top w:val="none" w:sz="0" w:space="0" w:color="auto"/>
            <w:left w:val="none" w:sz="0" w:space="0" w:color="auto"/>
            <w:bottom w:val="none" w:sz="0" w:space="0" w:color="auto"/>
            <w:right w:val="none" w:sz="0" w:space="0" w:color="auto"/>
          </w:divBdr>
        </w:div>
        <w:div w:id="682561017">
          <w:marLeft w:val="640"/>
          <w:marRight w:val="0"/>
          <w:marTop w:val="0"/>
          <w:marBottom w:val="0"/>
          <w:divBdr>
            <w:top w:val="none" w:sz="0" w:space="0" w:color="auto"/>
            <w:left w:val="none" w:sz="0" w:space="0" w:color="auto"/>
            <w:bottom w:val="none" w:sz="0" w:space="0" w:color="auto"/>
            <w:right w:val="none" w:sz="0" w:space="0" w:color="auto"/>
          </w:divBdr>
        </w:div>
        <w:div w:id="2039894056">
          <w:marLeft w:val="640"/>
          <w:marRight w:val="0"/>
          <w:marTop w:val="0"/>
          <w:marBottom w:val="0"/>
          <w:divBdr>
            <w:top w:val="none" w:sz="0" w:space="0" w:color="auto"/>
            <w:left w:val="none" w:sz="0" w:space="0" w:color="auto"/>
            <w:bottom w:val="none" w:sz="0" w:space="0" w:color="auto"/>
            <w:right w:val="none" w:sz="0" w:space="0" w:color="auto"/>
          </w:divBdr>
        </w:div>
        <w:div w:id="438447511">
          <w:marLeft w:val="640"/>
          <w:marRight w:val="0"/>
          <w:marTop w:val="0"/>
          <w:marBottom w:val="0"/>
          <w:divBdr>
            <w:top w:val="none" w:sz="0" w:space="0" w:color="auto"/>
            <w:left w:val="none" w:sz="0" w:space="0" w:color="auto"/>
            <w:bottom w:val="none" w:sz="0" w:space="0" w:color="auto"/>
            <w:right w:val="none" w:sz="0" w:space="0" w:color="auto"/>
          </w:divBdr>
        </w:div>
        <w:div w:id="1320420836">
          <w:marLeft w:val="640"/>
          <w:marRight w:val="0"/>
          <w:marTop w:val="0"/>
          <w:marBottom w:val="0"/>
          <w:divBdr>
            <w:top w:val="none" w:sz="0" w:space="0" w:color="auto"/>
            <w:left w:val="none" w:sz="0" w:space="0" w:color="auto"/>
            <w:bottom w:val="none" w:sz="0" w:space="0" w:color="auto"/>
            <w:right w:val="none" w:sz="0" w:space="0" w:color="auto"/>
          </w:divBdr>
        </w:div>
        <w:div w:id="1481193438">
          <w:marLeft w:val="640"/>
          <w:marRight w:val="0"/>
          <w:marTop w:val="0"/>
          <w:marBottom w:val="0"/>
          <w:divBdr>
            <w:top w:val="none" w:sz="0" w:space="0" w:color="auto"/>
            <w:left w:val="none" w:sz="0" w:space="0" w:color="auto"/>
            <w:bottom w:val="none" w:sz="0" w:space="0" w:color="auto"/>
            <w:right w:val="none" w:sz="0" w:space="0" w:color="auto"/>
          </w:divBdr>
        </w:div>
        <w:div w:id="233705589">
          <w:marLeft w:val="640"/>
          <w:marRight w:val="0"/>
          <w:marTop w:val="0"/>
          <w:marBottom w:val="0"/>
          <w:divBdr>
            <w:top w:val="none" w:sz="0" w:space="0" w:color="auto"/>
            <w:left w:val="none" w:sz="0" w:space="0" w:color="auto"/>
            <w:bottom w:val="none" w:sz="0" w:space="0" w:color="auto"/>
            <w:right w:val="none" w:sz="0" w:space="0" w:color="auto"/>
          </w:divBdr>
        </w:div>
        <w:div w:id="727656051">
          <w:marLeft w:val="640"/>
          <w:marRight w:val="0"/>
          <w:marTop w:val="0"/>
          <w:marBottom w:val="0"/>
          <w:divBdr>
            <w:top w:val="none" w:sz="0" w:space="0" w:color="auto"/>
            <w:left w:val="none" w:sz="0" w:space="0" w:color="auto"/>
            <w:bottom w:val="none" w:sz="0" w:space="0" w:color="auto"/>
            <w:right w:val="none" w:sz="0" w:space="0" w:color="auto"/>
          </w:divBdr>
        </w:div>
        <w:div w:id="1332220721">
          <w:marLeft w:val="640"/>
          <w:marRight w:val="0"/>
          <w:marTop w:val="0"/>
          <w:marBottom w:val="0"/>
          <w:divBdr>
            <w:top w:val="none" w:sz="0" w:space="0" w:color="auto"/>
            <w:left w:val="none" w:sz="0" w:space="0" w:color="auto"/>
            <w:bottom w:val="none" w:sz="0" w:space="0" w:color="auto"/>
            <w:right w:val="none" w:sz="0" w:space="0" w:color="auto"/>
          </w:divBdr>
        </w:div>
        <w:div w:id="214044518">
          <w:marLeft w:val="640"/>
          <w:marRight w:val="0"/>
          <w:marTop w:val="0"/>
          <w:marBottom w:val="0"/>
          <w:divBdr>
            <w:top w:val="none" w:sz="0" w:space="0" w:color="auto"/>
            <w:left w:val="none" w:sz="0" w:space="0" w:color="auto"/>
            <w:bottom w:val="none" w:sz="0" w:space="0" w:color="auto"/>
            <w:right w:val="none" w:sz="0" w:space="0" w:color="auto"/>
          </w:divBdr>
        </w:div>
        <w:div w:id="1222711798">
          <w:marLeft w:val="640"/>
          <w:marRight w:val="0"/>
          <w:marTop w:val="0"/>
          <w:marBottom w:val="0"/>
          <w:divBdr>
            <w:top w:val="none" w:sz="0" w:space="0" w:color="auto"/>
            <w:left w:val="none" w:sz="0" w:space="0" w:color="auto"/>
            <w:bottom w:val="none" w:sz="0" w:space="0" w:color="auto"/>
            <w:right w:val="none" w:sz="0" w:space="0" w:color="auto"/>
          </w:divBdr>
        </w:div>
        <w:div w:id="891816889">
          <w:marLeft w:val="640"/>
          <w:marRight w:val="0"/>
          <w:marTop w:val="0"/>
          <w:marBottom w:val="0"/>
          <w:divBdr>
            <w:top w:val="none" w:sz="0" w:space="0" w:color="auto"/>
            <w:left w:val="none" w:sz="0" w:space="0" w:color="auto"/>
            <w:bottom w:val="none" w:sz="0" w:space="0" w:color="auto"/>
            <w:right w:val="none" w:sz="0" w:space="0" w:color="auto"/>
          </w:divBdr>
        </w:div>
        <w:div w:id="1200506960">
          <w:marLeft w:val="640"/>
          <w:marRight w:val="0"/>
          <w:marTop w:val="0"/>
          <w:marBottom w:val="0"/>
          <w:divBdr>
            <w:top w:val="none" w:sz="0" w:space="0" w:color="auto"/>
            <w:left w:val="none" w:sz="0" w:space="0" w:color="auto"/>
            <w:bottom w:val="none" w:sz="0" w:space="0" w:color="auto"/>
            <w:right w:val="none" w:sz="0" w:space="0" w:color="auto"/>
          </w:divBdr>
        </w:div>
        <w:div w:id="1759717324">
          <w:marLeft w:val="640"/>
          <w:marRight w:val="0"/>
          <w:marTop w:val="0"/>
          <w:marBottom w:val="0"/>
          <w:divBdr>
            <w:top w:val="none" w:sz="0" w:space="0" w:color="auto"/>
            <w:left w:val="none" w:sz="0" w:space="0" w:color="auto"/>
            <w:bottom w:val="none" w:sz="0" w:space="0" w:color="auto"/>
            <w:right w:val="none" w:sz="0" w:space="0" w:color="auto"/>
          </w:divBdr>
        </w:div>
        <w:div w:id="1228613794">
          <w:marLeft w:val="640"/>
          <w:marRight w:val="0"/>
          <w:marTop w:val="0"/>
          <w:marBottom w:val="0"/>
          <w:divBdr>
            <w:top w:val="none" w:sz="0" w:space="0" w:color="auto"/>
            <w:left w:val="none" w:sz="0" w:space="0" w:color="auto"/>
            <w:bottom w:val="none" w:sz="0" w:space="0" w:color="auto"/>
            <w:right w:val="none" w:sz="0" w:space="0" w:color="auto"/>
          </w:divBdr>
        </w:div>
        <w:div w:id="192885885">
          <w:marLeft w:val="640"/>
          <w:marRight w:val="0"/>
          <w:marTop w:val="0"/>
          <w:marBottom w:val="0"/>
          <w:divBdr>
            <w:top w:val="none" w:sz="0" w:space="0" w:color="auto"/>
            <w:left w:val="none" w:sz="0" w:space="0" w:color="auto"/>
            <w:bottom w:val="none" w:sz="0" w:space="0" w:color="auto"/>
            <w:right w:val="none" w:sz="0" w:space="0" w:color="auto"/>
          </w:divBdr>
        </w:div>
        <w:div w:id="1723366774">
          <w:marLeft w:val="640"/>
          <w:marRight w:val="0"/>
          <w:marTop w:val="0"/>
          <w:marBottom w:val="0"/>
          <w:divBdr>
            <w:top w:val="none" w:sz="0" w:space="0" w:color="auto"/>
            <w:left w:val="none" w:sz="0" w:space="0" w:color="auto"/>
            <w:bottom w:val="none" w:sz="0" w:space="0" w:color="auto"/>
            <w:right w:val="none" w:sz="0" w:space="0" w:color="auto"/>
          </w:divBdr>
        </w:div>
        <w:div w:id="1383869499">
          <w:marLeft w:val="640"/>
          <w:marRight w:val="0"/>
          <w:marTop w:val="0"/>
          <w:marBottom w:val="0"/>
          <w:divBdr>
            <w:top w:val="none" w:sz="0" w:space="0" w:color="auto"/>
            <w:left w:val="none" w:sz="0" w:space="0" w:color="auto"/>
            <w:bottom w:val="none" w:sz="0" w:space="0" w:color="auto"/>
            <w:right w:val="none" w:sz="0" w:space="0" w:color="auto"/>
          </w:divBdr>
        </w:div>
        <w:div w:id="2090537797">
          <w:marLeft w:val="640"/>
          <w:marRight w:val="0"/>
          <w:marTop w:val="0"/>
          <w:marBottom w:val="0"/>
          <w:divBdr>
            <w:top w:val="none" w:sz="0" w:space="0" w:color="auto"/>
            <w:left w:val="none" w:sz="0" w:space="0" w:color="auto"/>
            <w:bottom w:val="none" w:sz="0" w:space="0" w:color="auto"/>
            <w:right w:val="none" w:sz="0" w:space="0" w:color="auto"/>
          </w:divBdr>
        </w:div>
        <w:div w:id="1462966915">
          <w:marLeft w:val="640"/>
          <w:marRight w:val="0"/>
          <w:marTop w:val="0"/>
          <w:marBottom w:val="0"/>
          <w:divBdr>
            <w:top w:val="none" w:sz="0" w:space="0" w:color="auto"/>
            <w:left w:val="none" w:sz="0" w:space="0" w:color="auto"/>
            <w:bottom w:val="none" w:sz="0" w:space="0" w:color="auto"/>
            <w:right w:val="none" w:sz="0" w:space="0" w:color="auto"/>
          </w:divBdr>
        </w:div>
        <w:div w:id="863979869">
          <w:marLeft w:val="640"/>
          <w:marRight w:val="0"/>
          <w:marTop w:val="0"/>
          <w:marBottom w:val="0"/>
          <w:divBdr>
            <w:top w:val="none" w:sz="0" w:space="0" w:color="auto"/>
            <w:left w:val="none" w:sz="0" w:space="0" w:color="auto"/>
            <w:bottom w:val="none" w:sz="0" w:space="0" w:color="auto"/>
            <w:right w:val="none" w:sz="0" w:space="0" w:color="auto"/>
          </w:divBdr>
        </w:div>
        <w:div w:id="1218126571">
          <w:marLeft w:val="640"/>
          <w:marRight w:val="0"/>
          <w:marTop w:val="0"/>
          <w:marBottom w:val="0"/>
          <w:divBdr>
            <w:top w:val="none" w:sz="0" w:space="0" w:color="auto"/>
            <w:left w:val="none" w:sz="0" w:space="0" w:color="auto"/>
            <w:bottom w:val="none" w:sz="0" w:space="0" w:color="auto"/>
            <w:right w:val="none" w:sz="0" w:space="0" w:color="auto"/>
          </w:divBdr>
        </w:div>
        <w:div w:id="1864394621">
          <w:marLeft w:val="640"/>
          <w:marRight w:val="0"/>
          <w:marTop w:val="0"/>
          <w:marBottom w:val="0"/>
          <w:divBdr>
            <w:top w:val="none" w:sz="0" w:space="0" w:color="auto"/>
            <w:left w:val="none" w:sz="0" w:space="0" w:color="auto"/>
            <w:bottom w:val="none" w:sz="0" w:space="0" w:color="auto"/>
            <w:right w:val="none" w:sz="0" w:space="0" w:color="auto"/>
          </w:divBdr>
        </w:div>
        <w:div w:id="387218990">
          <w:marLeft w:val="640"/>
          <w:marRight w:val="0"/>
          <w:marTop w:val="0"/>
          <w:marBottom w:val="0"/>
          <w:divBdr>
            <w:top w:val="none" w:sz="0" w:space="0" w:color="auto"/>
            <w:left w:val="none" w:sz="0" w:space="0" w:color="auto"/>
            <w:bottom w:val="none" w:sz="0" w:space="0" w:color="auto"/>
            <w:right w:val="none" w:sz="0" w:space="0" w:color="auto"/>
          </w:divBdr>
        </w:div>
        <w:div w:id="1958289247">
          <w:marLeft w:val="640"/>
          <w:marRight w:val="0"/>
          <w:marTop w:val="0"/>
          <w:marBottom w:val="0"/>
          <w:divBdr>
            <w:top w:val="none" w:sz="0" w:space="0" w:color="auto"/>
            <w:left w:val="none" w:sz="0" w:space="0" w:color="auto"/>
            <w:bottom w:val="none" w:sz="0" w:space="0" w:color="auto"/>
            <w:right w:val="none" w:sz="0" w:space="0" w:color="auto"/>
          </w:divBdr>
        </w:div>
        <w:div w:id="565534668">
          <w:marLeft w:val="640"/>
          <w:marRight w:val="0"/>
          <w:marTop w:val="0"/>
          <w:marBottom w:val="0"/>
          <w:divBdr>
            <w:top w:val="none" w:sz="0" w:space="0" w:color="auto"/>
            <w:left w:val="none" w:sz="0" w:space="0" w:color="auto"/>
            <w:bottom w:val="none" w:sz="0" w:space="0" w:color="auto"/>
            <w:right w:val="none" w:sz="0" w:space="0" w:color="auto"/>
          </w:divBdr>
        </w:div>
        <w:div w:id="1912353537">
          <w:marLeft w:val="640"/>
          <w:marRight w:val="0"/>
          <w:marTop w:val="0"/>
          <w:marBottom w:val="0"/>
          <w:divBdr>
            <w:top w:val="none" w:sz="0" w:space="0" w:color="auto"/>
            <w:left w:val="none" w:sz="0" w:space="0" w:color="auto"/>
            <w:bottom w:val="none" w:sz="0" w:space="0" w:color="auto"/>
            <w:right w:val="none" w:sz="0" w:space="0" w:color="auto"/>
          </w:divBdr>
        </w:div>
        <w:div w:id="1411268830">
          <w:marLeft w:val="640"/>
          <w:marRight w:val="0"/>
          <w:marTop w:val="0"/>
          <w:marBottom w:val="0"/>
          <w:divBdr>
            <w:top w:val="none" w:sz="0" w:space="0" w:color="auto"/>
            <w:left w:val="none" w:sz="0" w:space="0" w:color="auto"/>
            <w:bottom w:val="none" w:sz="0" w:space="0" w:color="auto"/>
            <w:right w:val="none" w:sz="0" w:space="0" w:color="auto"/>
          </w:divBdr>
        </w:div>
        <w:div w:id="1126852607">
          <w:marLeft w:val="640"/>
          <w:marRight w:val="0"/>
          <w:marTop w:val="0"/>
          <w:marBottom w:val="0"/>
          <w:divBdr>
            <w:top w:val="none" w:sz="0" w:space="0" w:color="auto"/>
            <w:left w:val="none" w:sz="0" w:space="0" w:color="auto"/>
            <w:bottom w:val="none" w:sz="0" w:space="0" w:color="auto"/>
            <w:right w:val="none" w:sz="0" w:space="0" w:color="auto"/>
          </w:divBdr>
        </w:div>
        <w:div w:id="1649283383">
          <w:marLeft w:val="640"/>
          <w:marRight w:val="0"/>
          <w:marTop w:val="0"/>
          <w:marBottom w:val="0"/>
          <w:divBdr>
            <w:top w:val="none" w:sz="0" w:space="0" w:color="auto"/>
            <w:left w:val="none" w:sz="0" w:space="0" w:color="auto"/>
            <w:bottom w:val="none" w:sz="0" w:space="0" w:color="auto"/>
            <w:right w:val="none" w:sz="0" w:space="0" w:color="auto"/>
          </w:divBdr>
        </w:div>
        <w:div w:id="2138335327">
          <w:marLeft w:val="640"/>
          <w:marRight w:val="0"/>
          <w:marTop w:val="0"/>
          <w:marBottom w:val="0"/>
          <w:divBdr>
            <w:top w:val="none" w:sz="0" w:space="0" w:color="auto"/>
            <w:left w:val="none" w:sz="0" w:space="0" w:color="auto"/>
            <w:bottom w:val="none" w:sz="0" w:space="0" w:color="auto"/>
            <w:right w:val="none" w:sz="0" w:space="0" w:color="auto"/>
          </w:divBdr>
        </w:div>
        <w:div w:id="908537951">
          <w:marLeft w:val="640"/>
          <w:marRight w:val="0"/>
          <w:marTop w:val="0"/>
          <w:marBottom w:val="0"/>
          <w:divBdr>
            <w:top w:val="none" w:sz="0" w:space="0" w:color="auto"/>
            <w:left w:val="none" w:sz="0" w:space="0" w:color="auto"/>
            <w:bottom w:val="none" w:sz="0" w:space="0" w:color="auto"/>
            <w:right w:val="none" w:sz="0" w:space="0" w:color="auto"/>
          </w:divBdr>
        </w:div>
        <w:div w:id="306325498">
          <w:marLeft w:val="640"/>
          <w:marRight w:val="0"/>
          <w:marTop w:val="0"/>
          <w:marBottom w:val="0"/>
          <w:divBdr>
            <w:top w:val="none" w:sz="0" w:space="0" w:color="auto"/>
            <w:left w:val="none" w:sz="0" w:space="0" w:color="auto"/>
            <w:bottom w:val="none" w:sz="0" w:space="0" w:color="auto"/>
            <w:right w:val="none" w:sz="0" w:space="0" w:color="auto"/>
          </w:divBdr>
        </w:div>
        <w:div w:id="1870364247">
          <w:marLeft w:val="640"/>
          <w:marRight w:val="0"/>
          <w:marTop w:val="0"/>
          <w:marBottom w:val="0"/>
          <w:divBdr>
            <w:top w:val="none" w:sz="0" w:space="0" w:color="auto"/>
            <w:left w:val="none" w:sz="0" w:space="0" w:color="auto"/>
            <w:bottom w:val="none" w:sz="0" w:space="0" w:color="auto"/>
            <w:right w:val="none" w:sz="0" w:space="0" w:color="auto"/>
          </w:divBdr>
        </w:div>
      </w:divsChild>
    </w:div>
    <w:div w:id="1918518058">
      <w:bodyDiv w:val="1"/>
      <w:marLeft w:val="0"/>
      <w:marRight w:val="0"/>
      <w:marTop w:val="0"/>
      <w:marBottom w:val="0"/>
      <w:divBdr>
        <w:top w:val="none" w:sz="0" w:space="0" w:color="auto"/>
        <w:left w:val="none" w:sz="0" w:space="0" w:color="auto"/>
        <w:bottom w:val="none" w:sz="0" w:space="0" w:color="auto"/>
        <w:right w:val="none" w:sz="0" w:space="0" w:color="auto"/>
      </w:divBdr>
      <w:divsChild>
        <w:div w:id="254673500">
          <w:marLeft w:val="640"/>
          <w:marRight w:val="0"/>
          <w:marTop w:val="0"/>
          <w:marBottom w:val="0"/>
          <w:divBdr>
            <w:top w:val="none" w:sz="0" w:space="0" w:color="auto"/>
            <w:left w:val="none" w:sz="0" w:space="0" w:color="auto"/>
            <w:bottom w:val="none" w:sz="0" w:space="0" w:color="auto"/>
            <w:right w:val="none" w:sz="0" w:space="0" w:color="auto"/>
          </w:divBdr>
        </w:div>
        <w:div w:id="1522821060">
          <w:marLeft w:val="640"/>
          <w:marRight w:val="0"/>
          <w:marTop w:val="0"/>
          <w:marBottom w:val="0"/>
          <w:divBdr>
            <w:top w:val="none" w:sz="0" w:space="0" w:color="auto"/>
            <w:left w:val="none" w:sz="0" w:space="0" w:color="auto"/>
            <w:bottom w:val="none" w:sz="0" w:space="0" w:color="auto"/>
            <w:right w:val="none" w:sz="0" w:space="0" w:color="auto"/>
          </w:divBdr>
        </w:div>
        <w:div w:id="2005163188">
          <w:marLeft w:val="640"/>
          <w:marRight w:val="0"/>
          <w:marTop w:val="0"/>
          <w:marBottom w:val="0"/>
          <w:divBdr>
            <w:top w:val="none" w:sz="0" w:space="0" w:color="auto"/>
            <w:left w:val="none" w:sz="0" w:space="0" w:color="auto"/>
            <w:bottom w:val="none" w:sz="0" w:space="0" w:color="auto"/>
            <w:right w:val="none" w:sz="0" w:space="0" w:color="auto"/>
          </w:divBdr>
        </w:div>
        <w:div w:id="15468280">
          <w:marLeft w:val="640"/>
          <w:marRight w:val="0"/>
          <w:marTop w:val="0"/>
          <w:marBottom w:val="0"/>
          <w:divBdr>
            <w:top w:val="none" w:sz="0" w:space="0" w:color="auto"/>
            <w:left w:val="none" w:sz="0" w:space="0" w:color="auto"/>
            <w:bottom w:val="none" w:sz="0" w:space="0" w:color="auto"/>
            <w:right w:val="none" w:sz="0" w:space="0" w:color="auto"/>
          </w:divBdr>
        </w:div>
        <w:div w:id="1995639175">
          <w:marLeft w:val="640"/>
          <w:marRight w:val="0"/>
          <w:marTop w:val="0"/>
          <w:marBottom w:val="0"/>
          <w:divBdr>
            <w:top w:val="none" w:sz="0" w:space="0" w:color="auto"/>
            <w:left w:val="none" w:sz="0" w:space="0" w:color="auto"/>
            <w:bottom w:val="none" w:sz="0" w:space="0" w:color="auto"/>
            <w:right w:val="none" w:sz="0" w:space="0" w:color="auto"/>
          </w:divBdr>
        </w:div>
        <w:div w:id="1965692567">
          <w:marLeft w:val="640"/>
          <w:marRight w:val="0"/>
          <w:marTop w:val="0"/>
          <w:marBottom w:val="0"/>
          <w:divBdr>
            <w:top w:val="none" w:sz="0" w:space="0" w:color="auto"/>
            <w:left w:val="none" w:sz="0" w:space="0" w:color="auto"/>
            <w:bottom w:val="none" w:sz="0" w:space="0" w:color="auto"/>
            <w:right w:val="none" w:sz="0" w:space="0" w:color="auto"/>
          </w:divBdr>
        </w:div>
        <w:div w:id="2132281618">
          <w:marLeft w:val="640"/>
          <w:marRight w:val="0"/>
          <w:marTop w:val="0"/>
          <w:marBottom w:val="0"/>
          <w:divBdr>
            <w:top w:val="none" w:sz="0" w:space="0" w:color="auto"/>
            <w:left w:val="none" w:sz="0" w:space="0" w:color="auto"/>
            <w:bottom w:val="none" w:sz="0" w:space="0" w:color="auto"/>
            <w:right w:val="none" w:sz="0" w:space="0" w:color="auto"/>
          </w:divBdr>
        </w:div>
        <w:div w:id="698629090">
          <w:marLeft w:val="640"/>
          <w:marRight w:val="0"/>
          <w:marTop w:val="0"/>
          <w:marBottom w:val="0"/>
          <w:divBdr>
            <w:top w:val="none" w:sz="0" w:space="0" w:color="auto"/>
            <w:left w:val="none" w:sz="0" w:space="0" w:color="auto"/>
            <w:bottom w:val="none" w:sz="0" w:space="0" w:color="auto"/>
            <w:right w:val="none" w:sz="0" w:space="0" w:color="auto"/>
          </w:divBdr>
        </w:div>
        <w:div w:id="420758676">
          <w:marLeft w:val="640"/>
          <w:marRight w:val="0"/>
          <w:marTop w:val="0"/>
          <w:marBottom w:val="0"/>
          <w:divBdr>
            <w:top w:val="none" w:sz="0" w:space="0" w:color="auto"/>
            <w:left w:val="none" w:sz="0" w:space="0" w:color="auto"/>
            <w:bottom w:val="none" w:sz="0" w:space="0" w:color="auto"/>
            <w:right w:val="none" w:sz="0" w:space="0" w:color="auto"/>
          </w:divBdr>
        </w:div>
        <w:div w:id="98379807">
          <w:marLeft w:val="640"/>
          <w:marRight w:val="0"/>
          <w:marTop w:val="0"/>
          <w:marBottom w:val="0"/>
          <w:divBdr>
            <w:top w:val="none" w:sz="0" w:space="0" w:color="auto"/>
            <w:left w:val="none" w:sz="0" w:space="0" w:color="auto"/>
            <w:bottom w:val="none" w:sz="0" w:space="0" w:color="auto"/>
            <w:right w:val="none" w:sz="0" w:space="0" w:color="auto"/>
          </w:divBdr>
        </w:div>
        <w:div w:id="1120953653">
          <w:marLeft w:val="640"/>
          <w:marRight w:val="0"/>
          <w:marTop w:val="0"/>
          <w:marBottom w:val="0"/>
          <w:divBdr>
            <w:top w:val="none" w:sz="0" w:space="0" w:color="auto"/>
            <w:left w:val="none" w:sz="0" w:space="0" w:color="auto"/>
            <w:bottom w:val="none" w:sz="0" w:space="0" w:color="auto"/>
            <w:right w:val="none" w:sz="0" w:space="0" w:color="auto"/>
          </w:divBdr>
        </w:div>
        <w:div w:id="1157038700">
          <w:marLeft w:val="640"/>
          <w:marRight w:val="0"/>
          <w:marTop w:val="0"/>
          <w:marBottom w:val="0"/>
          <w:divBdr>
            <w:top w:val="none" w:sz="0" w:space="0" w:color="auto"/>
            <w:left w:val="none" w:sz="0" w:space="0" w:color="auto"/>
            <w:bottom w:val="none" w:sz="0" w:space="0" w:color="auto"/>
            <w:right w:val="none" w:sz="0" w:space="0" w:color="auto"/>
          </w:divBdr>
        </w:div>
        <w:div w:id="522205657">
          <w:marLeft w:val="640"/>
          <w:marRight w:val="0"/>
          <w:marTop w:val="0"/>
          <w:marBottom w:val="0"/>
          <w:divBdr>
            <w:top w:val="none" w:sz="0" w:space="0" w:color="auto"/>
            <w:left w:val="none" w:sz="0" w:space="0" w:color="auto"/>
            <w:bottom w:val="none" w:sz="0" w:space="0" w:color="auto"/>
            <w:right w:val="none" w:sz="0" w:space="0" w:color="auto"/>
          </w:divBdr>
        </w:div>
        <w:div w:id="1534734325">
          <w:marLeft w:val="640"/>
          <w:marRight w:val="0"/>
          <w:marTop w:val="0"/>
          <w:marBottom w:val="0"/>
          <w:divBdr>
            <w:top w:val="none" w:sz="0" w:space="0" w:color="auto"/>
            <w:left w:val="none" w:sz="0" w:space="0" w:color="auto"/>
            <w:bottom w:val="none" w:sz="0" w:space="0" w:color="auto"/>
            <w:right w:val="none" w:sz="0" w:space="0" w:color="auto"/>
          </w:divBdr>
        </w:div>
        <w:div w:id="267322521">
          <w:marLeft w:val="640"/>
          <w:marRight w:val="0"/>
          <w:marTop w:val="0"/>
          <w:marBottom w:val="0"/>
          <w:divBdr>
            <w:top w:val="none" w:sz="0" w:space="0" w:color="auto"/>
            <w:left w:val="none" w:sz="0" w:space="0" w:color="auto"/>
            <w:bottom w:val="none" w:sz="0" w:space="0" w:color="auto"/>
            <w:right w:val="none" w:sz="0" w:space="0" w:color="auto"/>
          </w:divBdr>
        </w:div>
        <w:div w:id="541210049">
          <w:marLeft w:val="640"/>
          <w:marRight w:val="0"/>
          <w:marTop w:val="0"/>
          <w:marBottom w:val="0"/>
          <w:divBdr>
            <w:top w:val="none" w:sz="0" w:space="0" w:color="auto"/>
            <w:left w:val="none" w:sz="0" w:space="0" w:color="auto"/>
            <w:bottom w:val="none" w:sz="0" w:space="0" w:color="auto"/>
            <w:right w:val="none" w:sz="0" w:space="0" w:color="auto"/>
          </w:divBdr>
        </w:div>
        <w:div w:id="2067602442">
          <w:marLeft w:val="640"/>
          <w:marRight w:val="0"/>
          <w:marTop w:val="0"/>
          <w:marBottom w:val="0"/>
          <w:divBdr>
            <w:top w:val="none" w:sz="0" w:space="0" w:color="auto"/>
            <w:left w:val="none" w:sz="0" w:space="0" w:color="auto"/>
            <w:bottom w:val="none" w:sz="0" w:space="0" w:color="auto"/>
            <w:right w:val="none" w:sz="0" w:space="0" w:color="auto"/>
          </w:divBdr>
        </w:div>
        <w:div w:id="241335336">
          <w:marLeft w:val="640"/>
          <w:marRight w:val="0"/>
          <w:marTop w:val="0"/>
          <w:marBottom w:val="0"/>
          <w:divBdr>
            <w:top w:val="none" w:sz="0" w:space="0" w:color="auto"/>
            <w:left w:val="none" w:sz="0" w:space="0" w:color="auto"/>
            <w:bottom w:val="none" w:sz="0" w:space="0" w:color="auto"/>
            <w:right w:val="none" w:sz="0" w:space="0" w:color="auto"/>
          </w:divBdr>
        </w:div>
        <w:div w:id="472210642">
          <w:marLeft w:val="640"/>
          <w:marRight w:val="0"/>
          <w:marTop w:val="0"/>
          <w:marBottom w:val="0"/>
          <w:divBdr>
            <w:top w:val="none" w:sz="0" w:space="0" w:color="auto"/>
            <w:left w:val="none" w:sz="0" w:space="0" w:color="auto"/>
            <w:bottom w:val="none" w:sz="0" w:space="0" w:color="auto"/>
            <w:right w:val="none" w:sz="0" w:space="0" w:color="auto"/>
          </w:divBdr>
        </w:div>
        <w:div w:id="1923175855">
          <w:marLeft w:val="640"/>
          <w:marRight w:val="0"/>
          <w:marTop w:val="0"/>
          <w:marBottom w:val="0"/>
          <w:divBdr>
            <w:top w:val="none" w:sz="0" w:space="0" w:color="auto"/>
            <w:left w:val="none" w:sz="0" w:space="0" w:color="auto"/>
            <w:bottom w:val="none" w:sz="0" w:space="0" w:color="auto"/>
            <w:right w:val="none" w:sz="0" w:space="0" w:color="auto"/>
          </w:divBdr>
        </w:div>
        <w:div w:id="126435071">
          <w:marLeft w:val="640"/>
          <w:marRight w:val="0"/>
          <w:marTop w:val="0"/>
          <w:marBottom w:val="0"/>
          <w:divBdr>
            <w:top w:val="none" w:sz="0" w:space="0" w:color="auto"/>
            <w:left w:val="none" w:sz="0" w:space="0" w:color="auto"/>
            <w:bottom w:val="none" w:sz="0" w:space="0" w:color="auto"/>
            <w:right w:val="none" w:sz="0" w:space="0" w:color="auto"/>
          </w:divBdr>
        </w:div>
        <w:div w:id="1916695698">
          <w:marLeft w:val="640"/>
          <w:marRight w:val="0"/>
          <w:marTop w:val="0"/>
          <w:marBottom w:val="0"/>
          <w:divBdr>
            <w:top w:val="none" w:sz="0" w:space="0" w:color="auto"/>
            <w:left w:val="none" w:sz="0" w:space="0" w:color="auto"/>
            <w:bottom w:val="none" w:sz="0" w:space="0" w:color="auto"/>
            <w:right w:val="none" w:sz="0" w:space="0" w:color="auto"/>
          </w:divBdr>
        </w:div>
        <w:div w:id="1695032397">
          <w:marLeft w:val="640"/>
          <w:marRight w:val="0"/>
          <w:marTop w:val="0"/>
          <w:marBottom w:val="0"/>
          <w:divBdr>
            <w:top w:val="none" w:sz="0" w:space="0" w:color="auto"/>
            <w:left w:val="none" w:sz="0" w:space="0" w:color="auto"/>
            <w:bottom w:val="none" w:sz="0" w:space="0" w:color="auto"/>
            <w:right w:val="none" w:sz="0" w:space="0" w:color="auto"/>
          </w:divBdr>
        </w:div>
        <w:div w:id="759374667">
          <w:marLeft w:val="640"/>
          <w:marRight w:val="0"/>
          <w:marTop w:val="0"/>
          <w:marBottom w:val="0"/>
          <w:divBdr>
            <w:top w:val="none" w:sz="0" w:space="0" w:color="auto"/>
            <w:left w:val="none" w:sz="0" w:space="0" w:color="auto"/>
            <w:bottom w:val="none" w:sz="0" w:space="0" w:color="auto"/>
            <w:right w:val="none" w:sz="0" w:space="0" w:color="auto"/>
          </w:divBdr>
        </w:div>
        <w:div w:id="907304518">
          <w:marLeft w:val="640"/>
          <w:marRight w:val="0"/>
          <w:marTop w:val="0"/>
          <w:marBottom w:val="0"/>
          <w:divBdr>
            <w:top w:val="none" w:sz="0" w:space="0" w:color="auto"/>
            <w:left w:val="none" w:sz="0" w:space="0" w:color="auto"/>
            <w:bottom w:val="none" w:sz="0" w:space="0" w:color="auto"/>
            <w:right w:val="none" w:sz="0" w:space="0" w:color="auto"/>
          </w:divBdr>
        </w:div>
        <w:div w:id="1856572726">
          <w:marLeft w:val="640"/>
          <w:marRight w:val="0"/>
          <w:marTop w:val="0"/>
          <w:marBottom w:val="0"/>
          <w:divBdr>
            <w:top w:val="none" w:sz="0" w:space="0" w:color="auto"/>
            <w:left w:val="none" w:sz="0" w:space="0" w:color="auto"/>
            <w:bottom w:val="none" w:sz="0" w:space="0" w:color="auto"/>
            <w:right w:val="none" w:sz="0" w:space="0" w:color="auto"/>
          </w:divBdr>
        </w:div>
        <w:div w:id="1973436325">
          <w:marLeft w:val="640"/>
          <w:marRight w:val="0"/>
          <w:marTop w:val="0"/>
          <w:marBottom w:val="0"/>
          <w:divBdr>
            <w:top w:val="none" w:sz="0" w:space="0" w:color="auto"/>
            <w:left w:val="none" w:sz="0" w:space="0" w:color="auto"/>
            <w:bottom w:val="none" w:sz="0" w:space="0" w:color="auto"/>
            <w:right w:val="none" w:sz="0" w:space="0" w:color="auto"/>
          </w:divBdr>
        </w:div>
        <w:div w:id="1364330258">
          <w:marLeft w:val="640"/>
          <w:marRight w:val="0"/>
          <w:marTop w:val="0"/>
          <w:marBottom w:val="0"/>
          <w:divBdr>
            <w:top w:val="none" w:sz="0" w:space="0" w:color="auto"/>
            <w:left w:val="none" w:sz="0" w:space="0" w:color="auto"/>
            <w:bottom w:val="none" w:sz="0" w:space="0" w:color="auto"/>
            <w:right w:val="none" w:sz="0" w:space="0" w:color="auto"/>
          </w:divBdr>
        </w:div>
        <w:div w:id="1754667640">
          <w:marLeft w:val="640"/>
          <w:marRight w:val="0"/>
          <w:marTop w:val="0"/>
          <w:marBottom w:val="0"/>
          <w:divBdr>
            <w:top w:val="none" w:sz="0" w:space="0" w:color="auto"/>
            <w:left w:val="none" w:sz="0" w:space="0" w:color="auto"/>
            <w:bottom w:val="none" w:sz="0" w:space="0" w:color="auto"/>
            <w:right w:val="none" w:sz="0" w:space="0" w:color="auto"/>
          </w:divBdr>
        </w:div>
        <w:div w:id="575631346">
          <w:marLeft w:val="640"/>
          <w:marRight w:val="0"/>
          <w:marTop w:val="0"/>
          <w:marBottom w:val="0"/>
          <w:divBdr>
            <w:top w:val="none" w:sz="0" w:space="0" w:color="auto"/>
            <w:left w:val="none" w:sz="0" w:space="0" w:color="auto"/>
            <w:bottom w:val="none" w:sz="0" w:space="0" w:color="auto"/>
            <w:right w:val="none" w:sz="0" w:space="0" w:color="auto"/>
          </w:divBdr>
        </w:div>
        <w:div w:id="1366953682">
          <w:marLeft w:val="640"/>
          <w:marRight w:val="0"/>
          <w:marTop w:val="0"/>
          <w:marBottom w:val="0"/>
          <w:divBdr>
            <w:top w:val="none" w:sz="0" w:space="0" w:color="auto"/>
            <w:left w:val="none" w:sz="0" w:space="0" w:color="auto"/>
            <w:bottom w:val="none" w:sz="0" w:space="0" w:color="auto"/>
            <w:right w:val="none" w:sz="0" w:space="0" w:color="auto"/>
          </w:divBdr>
        </w:div>
        <w:div w:id="312803935">
          <w:marLeft w:val="640"/>
          <w:marRight w:val="0"/>
          <w:marTop w:val="0"/>
          <w:marBottom w:val="0"/>
          <w:divBdr>
            <w:top w:val="none" w:sz="0" w:space="0" w:color="auto"/>
            <w:left w:val="none" w:sz="0" w:space="0" w:color="auto"/>
            <w:bottom w:val="none" w:sz="0" w:space="0" w:color="auto"/>
            <w:right w:val="none" w:sz="0" w:space="0" w:color="auto"/>
          </w:divBdr>
        </w:div>
        <w:div w:id="879711877">
          <w:marLeft w:val="640"/>
          <w:marRight w:val="0"/>
          <w:marTop w:val="0"/>
          <w:marBottom w:val="0"/>
          <w:divBdr>
            <w:top w:val="none" w:sz="0" w:space="0" w:color="auto"/>
            <w:left w:val="none" w:sz="0" w:space="0" w:color="auto"/>
            <w:bottom w:val="none" w:sz="0" w:space="0" w:color="auto"/>
            <w:right w:val="none" w:sz="0" w:space="0" w:color="auto"/>
          </w:divBdr>
        </w:div>
        <w:div w:id="1417937622">
          <w:marLeft w:val="640"/>
          <w:marRight w:val="0"/>
          <w:marTop w:val="0"/>
          <w:marBottom w:val="0"/>
          <w:divBdr>
            <w:top w:val="none" w:sz="0" w:space="0" w:color="auto"/>
            <w:left w:val="none" w:sz="0" w:space="0" w:color="auto"/>
            <w:bottom w:val="none" w:sz="0" w:space="0" w:color="auto"/>
            <w:right w:val="none" w:sz="0" w:space="0" w:color="auto"/>
          </w:divBdr>
        </w:div>
        <w:div w:id="2069180978">
          <w:marLeft w:val="640"/>
          <w:marRight w:val="0"/>
          <w:marTop w:val="0"/>
          <w:marBottom w:val="0"/>
          <w:divBdr>
            <w:top w:val="none" w:sz="0" w:space="0" w:color="auto"/>
            <w:left w:val="none" w:sz="0" w:space="0" w:color="auto"/>
            <w:bottom w:val="none" w:sz="0" w:space="0" w:color="auto"/>
            <w:right w:val="none" w:sz="0" w:space="0" w:color="auto"/>
          </w:divBdr>
        </w:div>
        <w:div w:id="290283486">
          <w:marLeft w:val="640"/>
          <w:marRight w:val="0"/>
          <w:marTop w:val="0"/>
          <w:marBottom w:val="0"/>
          <w:divBdr>
            <w:top w:val="none" w:sz="0" w:space="0" w:color="auto"/>
            <w:left w:val="none" w:sz="0" w:space="0" w:color="auto"/>
            <w:bottom w:val="none" w:sz="0" w:space="0" w:color="auto"/>
            <w:right w:val="none" w:sz="0" w:space="0" w:color="auto"/>
          </w:divBdr>
        </w:div>
        <w:div w:id="1129586153">
          <w:marLeft w:val="640"/>
          <w:marRight w:val="0"/>
          <w:marTop w:val="0"/>
          <w:marBottom w:val="0"/>
          <w:divBdr>
            <w:top w:val="none" w:sz="0" w:space="0" w:color="auto"/>
            <w:left w:val="none" w:sz="0" w:space="0" w:color="auto"/>
            <w:bottom w:val="none" w:sz="0" w:space="0" w:color="auto"/>
            <w:right w:val="none" w:sz="0" w:space="0" w:color="auto"/>
          </w:divBdr>
        </w:div>
        <w:div w:id="1380011479">
          <w:marLeft w:val="640"/>
          <w:marRight w:val="0"/>
          <w:marTop w:val="0"/>
          <w:marBottom w:val="0"/>
          <w:divBdr>
            <w:top w:val="none" w:sz="0" w:space="0" w:color="auto"/>
            <w:left w:val="none" w:sz="0" w:space="0" w:color="auto"/>
            <w:bottom w:val="none" w:sz="0" w:space="0" w:color="auto"/>
            <w:right w:val="none" w:sz="0" w:space="0" w:color="auto"/>
          </w:divBdr>
        </w:div>
        <w:div w:id="1980644794">
          <w:marLeft w:val="640"/>
          <w:marRight w:val="0"/>
          <w:marTop w:val="0"/>
          <w:marBottom w:val="0"/>
          <w:divBdr>
            <w:top w:val="none" w:sz="0" w:space="0" w:color="auto"/>
            <w:left w:val="none" w:sz="0" w:space="0" w:color="auto"/>
            <w:bottom w:val="none" w:sz="0" w:space="0" w:color="auto"/>
            <w:right w:val="none" w:sz="0" w:space="0" w:color="auto"/>
          </w:divBdr>
        </w:div>
        <w:div w:id="1807703117">
          <w:marLeft w:val="640"/>
          <w:marRight w:val="0"/>
          <w:marTop w:val="0"/>
          <w:marBottom w:val="0"/>
          <w:divBdr>
            <w:top w:val="none" w:sz="0" w:space="0" w:color="auto"/>
            <w:left w:val="none" w:sz="0" w:space="0" w:color="auto"/>
            <w:bottom w:val="none" w:sz="0" w:space="0" w:color="auto"/>
            <w:right w:val="none" w:sz="0" w:space="0" w:color="auto"/>
          </w:divBdr>
        </w:div>
        <w:div w:id="1230655696">
          <w:marLeft w:val="640"/>
          <w:marRight w:val="0"/>
          <w:marTop w:val="0"/>
          <w:marBottom w:val="0"/>
          <w:divBdr>
            <w:top w:val="none" w:sz="0" w:space="0" w:color="auto"/>
            <w:left w:val="none" w:sz="0" w:space="0" w:color="auto"/>
            <w:bottom w:val="none" w:sz="0" w:space="0" w:color="auto"/>
            <w:right w:val="none" w:sz="0" w:space="0" w:color="auto"/>
          </w:divBdr>
        </w:div>
        <w:div w:id="1468429374">
          <w:marLeft w:val="640"/>
          <w:marRight w:val="0"/>
          <w:marTop w:val="0"/>
          <w:marBottom w:val="0"/>
          <w:divBdr>
            <w:top w:val="none" w:sz="0" w:space="0" w:color="auto"/>
            <w:left w:val="none" w:sz="0" w:space="0" w:color="auto"/>
            <w:bottom w:val="none" w:sz="0" w:space="0" w:color="auto"/>
            <w:right w:val="none" w:sz="0" w:space="0" w:color="auto"/>
          </w:divBdr>
        </w:div>
        <w:div w:id="1001851162">
          <w:marLeft w:val="640"/>
          <w:marRight w:val="0"/>
          <w:marTop w:val="0"/>
          <w:marBottom w:val="0"/>
          <w:divBdr>
            <w:top w:val="none" w:sz="0" w:space="0" w:color="auto"/>
            <w:left w:val="none" w:sz="0" w:space="0" w:color="auto"/>
            <w:bottom w:val="none" w:sz="0" w:space="0" w:color="auto"/>
            <w:right w:val="none" w:sz="0" w:space="0" w:color="auto"/>
          </w:divBdr>
        </w:div>
        <w:div w:id="1287159053">
          <w:marLeft w:val="640"/>
          <w:marRight w:val="0"/>
          <w:marTop w:val="0"/>
          <w:marBottom w:val="0"/>
          <w:divBdr>
            <w:top w:val="none" w:sz="0" w:space="0" w:color="auto"/>
            <w:left w:val="none" w:sz="0" w:space="0" w:color="auto"/>
            <w:bottom w:val="none" w:sz="0" w:space="0" w:color="auto"/>
            <w:right w:val="none" w:sz="0" w:space="0" w:color="auto"/>
          </w:divBdr>
        </w:div>
        <w:div w:id="1334868676">
          <w:marLeft w:val="640"/>
          <w:marRight w:val="0"/>
          <w:marTop w:val="0"/>
          <w:marBottom w:val="0"/>
          <w:divBdr>
            <w:top w:val="none" w:sz="0" w:space="0" w:color="auto"/>
            <w:left w:val="none" w:sz="0" w:space="0" w:color="auto"/>
            <w:bottom w:val="none" w:sz="0" w:space="0" w:color="auto"/>
            <w:right w:val="none" w:sz="0" w:space="0" w:color="auto"/>
          </w:divBdr>
        </w:div>
        <w:div w:id="689646411">
          <w:marLeft w:val="640"/>
          <w:marRight w:val="0"/>
          <w:marTop w:val="0"/>
          <w:marBottom w:val="0"/>
          <w:divBdr>
            <w:top w:val="none" w:sz="0" w:space="0" w:color="auto"/>
            <w:left w:val="none" w:sz="0" w:space="0" w:color="auto"/>
            <w:bottom w:val="none" w:sz="0" w:space="0" w:color="auto"/>
            <w:right w:val="none" w:sz="0" w:space="0" w:color="auto"/>
          </w:divBdr>
        </w:div>
        <w:div w:id="218056923">
          <w:marLeft w:val="640"/>
          <w:marRight w:val="0"/>
          <w:marTop w:val="0"/>
          <w:marBottom w:val="0"/>
          <w:divBdr>
            <w:top w:val="none" w:sz="0" w:space="0" w:color="auto"/>
            <w:left w:val="none" w:sz="0" w:space="0" w:color="auto"/>
            <w:bottom w:val="none" w:sz="0" w:space="0" w:color="auto"/>
            <w:right w:val="none" w:sz="0" w:space="0" w:color="auto"/>
          </w:divBdr>
        </w:div>
        <w:div w:id="1161389635">
          <w:marLeft w:val="640"/>
          <w:marRight w:val="0"/>
          <w:marTop w:val="0"/>
          <w:marBottom w:val="0"/>
          <w:divBdr>
            <w:top w:val="none" w:sz="0" w:space="0" w:color="auto"/>
            <w:left w:val="none" w:sz="0" w:space="0" w:color="auto"/>
            <w:bottom w:val="none" w:sz="0" w:space="0" w:color="auto"/>
            <w:right w:val="none" w:sz="0" w:space="0" w:color="auto"/>
          </w:divBdr>
        </w:div>
        <w:div w:id="1506162478">
          <w:marLeft w:val="640"/>
          <w:marRight w:val="0"/>
          <w:marTop w:val="0"/>
          <w:marBottom w:val="0"/>
          <w:divBdr>
            <w:top w:val="none" w:sz="0" w:space="0" w:color="auto"/>
            <w:left w:val="none" w:sz="0" w:space="0" w:color="auto"/>
            <w:bottom w:val="none" w:sz="0" w:space="0" w:color="auto"/>
            <w:right w:val="none" w:sz="0" w:space="0" w:color="auto"/>
          </w:divBdr>
        </w:div>
        <w:div w:id="1734355339">
          <w:marLeft w:val="640"/>
          <w:marRight w:val="0"/>
          <w:marTop w:val="0"/>
          <w:marBottom w:val="0"/>
          <w:divBdr>
            <w:top w:val="none" w:sz="0" w:space="0" w:color="auto"/>
            <w:left w:val="none" w:sz="0" w:space="0" w:color="auto"/>
            <w:bottom w:val="none" w:sz="0" w:space="0" w:color="auto"/>
            <w:right w:val="none" w:sz="0" w:space="0" w:color="auto"/>
          </w:divBdr>
        </w:div>
        <w:div w:id="816606866">
          <w:marLeft w:val="640"/>
          <w:marRight w:val="0"/>
          <w:marTop w:val="0"/>
          <w:marBottom w:val="0"/>
          <w:divBdr>
            <w:top w:val="none" w:sz="0" w:space="0" w:color="auto"/>
            <w:left w:val="none" w:sz="0" w:space="0" w:color="auto"/>
            <w:bottom w:val="none" w:sz="0" w:space="0" w:color="auto"/>
            <w:right w:val="none" w:sz="0" w:space="0" w:color="auto"/>
          </w:divBdr>
        </w:div>
        <w:div w:id="1842240003">
          <w:marLeft w:val="640"/>
          <w:marRight w:val="0"/>
          <w:marTop w:val="0"/>
          <w:marBottom w:val="0"/>
          <w:divBdr>
            <w:top w:val="none" w:sz="0" w:space="0" w:color="auto"/>
            <w:left w:val="none" w:sz="0" w:space="0" w:color="auto"/>
            <w:bottom w:val="none" w:sz="0" w:space="0" w:color="auto"/>
            <w:right w:val="none" w:sz="0" w:space="0" w:color="auto"/>
          </w:divBdr>
        </w:div>
        <w:div w:id="1469781367">
          <w:marLeft w:val="640"/>
          <w:marRight w:val="0"/>
          <w:marTop w:val="0"/>
          <w:marBottom w:val="0"/>
          <w:divBdr>
            <w:top w:val="none" w:sz="0" w:space="0" w:color="auto"/>
            <w:left w:val="none" w:sz="0" w:space="0" w:color="auto"/>
            <w:bottom w:val="none" w:sz="0" w:space="0" w:color="auto"/>
            <w:right w:val="none" w:sz="0" w:space="0" w:color="auto"/>
          </w:divBdr>
        </w:div>
        <w:div w:id="539130761">
          <w:marLeft w:val="640"/>
          <w:marRight w:val="0"/>
          <w:marTop w:val="0"/>
          <w:marBottom w:val="0"/>
          <w:divBdr>
            <w:top w:val="none" w:sz="0" w:space="0" w:color="auto"/>
            <w:left w:val="none" w:sz="0" w:space="0" w:color="auto"/>
            <w:bottom w:val="none" w:sz="0" w:space="0" w:color="auto"/>
            <w:right w:val="none" w:sz="0" w:space="0" w:color="auto"/>
          </w:divBdr>
        </w:div>
        <w:div w:id="1858500613">
          <w:marLeft w:val="640"/>
          <w:marRight w:val="0"/>
          <w:marTop w:val="0"/>
          <w:marBottom w:val="0"/>
          <w:divBdr>
            <w:top w:val="none" w:sz="0" w:space="0" w:color="auto"/>
            <w:left w:val="none" w:sz="0" w:space="0" w:color="auto"/>
            <w:bottom w:val="none" w:sz="0" w:space="0" w:color="auto"/>
            <w:right w:val="none" w:sz="0" w:space="0" w:color="auto"/>
          </w:divBdr>
        </w:div>
        <w:div w:id="603536614">
          <w:marLeft w:val="640"/>
          <w:marRight w:val="0"/>
          <w:marTop w:val="0"/>
          <w:marBottom w:val="0"/>
          <w:divBdr>
            <w:top w:val="none" w:sz="0" w:space="0" w:color="auto"/>
            <w:left w:val="none" w:sz="0" w:space="0" w:color="auto"/>
            <w:bottom w:val="none" w:sz="0" w:space="0" w:color="auto"/>
            <w:right w:val="none" w:sz="0" w:space="0" w:color="auto"/>
          </w:divBdr>
        </w:div>
        <w:div w:id="741292917">
          <w:marLeft w:val="640"/>
          <w:marRight w:val="0"/>
          <w:marTop w:val="0"/>
          <w:marBottom w:val="0"/>
          <w:divBdr>
            <w:top w:val="none" w:sz="0" w:space="0" w:color="auto"/>
            <w:left w:val="none" w:sz="0" w:space="0" w:color="auto"/>
            <w:bottom w:val="none" w:sz="0" w:space="0" w:color="auto"/>
            <w:right w:val="none" w:sz="0" w:space="0" w:color="auto"/>
          </w:divBdr>
        </w:div>
        <w:div w:id="1655404441">
          <w:marLeft w:val="640"/>
          <w:marRight w:val="0"/>
          <w:marTop w:val="0"/>
          <w:marBottom w:val="0"/>
          <w:divBdr>
            <w:top w:val="none" w:sz="0" w:space="0" w:color="auto"/>
            <w:left w:val="none" w:sz="0" w:space="0" w:color="auto"/>
            <w:bottom w:val="none" w:sz="0" w:space="0" w:color="auto"/>
            <w:right w:val="none" w:sz="0" w:space="0" w:color="auto"/>
          </w:divBdr>
        </w:div>
        <w:div w:id="1339504122">
          <w:marLeft w:val="640"/>
          <w:marRight w:val="0"/>
          <w:marTop w:val="0"/>
          <w:marBottom w:val="0"/>
          <w:divBdr>
            <w:top w:val="none" w:sz="0" w:space="0" w:color="auto"/>
            <w:left w:val="none" w:sz="0" w:space="0" w:color="auto"/>
            <w:bottom w:val="none" w:sz="0" w:space="0" w:color="auto"/>
            <w:right w:val="none" w:sz="0" w:space="0" w:color="auto"/>
          </w:divBdr>
        </w:div>
        <w:div w:id="911112660">
          <w:marLeft w:val="640"/>
          <w:marRight w:val="0"/>
          <w:marTop w:val="0"/>
          <w:marBottom w:val="0"/>
          <w:divBdr>
            <w:top w:val="none" w:sz="0" w:space="0" w:color="auto"/>
            <w:left w:val="none" w:sz="0" w:space="0" w:color="auto"/>
            <w:bottom w:val="none" w:sz="0" w:space="0" w:color="auto"/>
            <w:right w:val="none" w:sz="0" w:space="0" w:color="auto"/>
          </w:divBdr>
        </w:div>
        <w:div w:id="50352409">
          <w:marLeft w:val="640"/>
          <w:marRight w:val="0"/>
          <w:marTop w:val="0"/>
          <w:marBottom w:val="0"/>
          <w:divBdr>
            <w:top w:val="none" w:sz="0" w:space="0" w:color="auto"/>
            <w:left w:val="none" w:sz="0" w:space="0" w:color="auto"/>
            <w:bottom w:val="none" w:sz="0" w:space="0" w:color="auto"/>
            <w:right w:val="none" w:sz="0" w:space="0" w:color="auto"/>
          </w:divBdr>
        </w:div>
        <w:div w:id="991174881">
          <w:marLeft w:val="640"/>
          <w:marRight w:val="0"/>
          <w:marTop w:val="0"/>
          <w:marBottom w:val="0"/>
          <w:divBdr>
            <w:top w:val="none" w:sz="0" w:space="0" w:color="auto"/>
            <w:left w:val="none" w:sz="0" w:space="0" w:color="auto"/>
            <w:bottom w:val="none" w:sz="0" w:space="0" w:color="auto"/>
            <w:right w:val="none" w:sz="0" w:space="0" w:color="auto"/>
          </w:divBdr>
        </w:div>
        <w:div w:id="338235050">
          <w:marLeft w:val="640"/>
          <w:marRight w:val="0"/>
          <w:marTop w:val="0"/>
          <w:marBottom w:val="0"/>
          <w:divBdr>
            <w:top w:val="none" w:sz="0" w:space="0" w:color="auto"/>
            <w:left w:val="none" w:sz="0" w:space="0" w:color="auto"/>
            <w:bottom w:val="none" w:sz="0" w:space="0" w:color="auto"/>
            <w:right w:val="none" w:sz="0" w:space="0" w:color="auto"/>
          </w:divBdr>
        </w:div>
        <w:div w:id="1501851471">
          <w:marLeft w:val="640"/>
          <w:marRight w:val="0"/>
          <w:marTop w:val="0"/>
          <w:marBottom w:val="0"/>
          <w:divBdr>
            <w:top w:val="none" w:sz="0" w:space="0" w:color="auto"/>
            <w:left w:val="none" w:sz="0" w:space="0" w:color="auto"/>
            <w:bottom w:val="none" w:sz="0" w:space="0" w:color="auto"/>
            <w:right w:val="none" w:sz="0" w:space="0" w:color="auto"/>
          </w:divBdr>
        </w:div>
        <w:div w:id="534856153">
          <w:marLeft w:val="640"/>
          <w:marRight w:val="0"/>
          <w:marTop w:val="0"/>
          <w:marBottom w:val="0"/>
          <w:divBdr>
            <w:top w:val="none" w:sz="0" w:space="0" w:color="auto"/>
            <w:left w:val="none" w:sz="0" w:space="0" w:color="auto"/>
            <w:bottom w:val="none" w:sz="0" w:space="0" w:color="auto"/>
            <w:right w:val="none" w:sz="0" w:space="0" w:color="auto"/>
          </w:divBdr>
        </w:div>
        <w:div w:id="1426875716">
          <w:marLeft w:val="640"/>
          <w:marRight w:val="0"/>
          <w:marTop w:val="0"/>
          <w:marBottom w:val="0"/>
          <w:divBdr>
            <w:top w:val="none" w:sz="0" w:space="0" w:color="auto"/>
            <w:left w:val="none" w:sz="0" w:space="0" w:color="auto"/>
            <w:bottom w:val="none" w:sz="0" w:space="0" w:color="auto"/>
            <w:right w:val="none" w:sz="0" w:space="0" w:color="auto"/>
          </w:divBdr>
        </w:div>
        <w:div w:id="655887063">
          <w:marLeft w:val="640"/>
          <w:marRight w:val="0"/>
          <w:marTop w:val="0"/>
          <w:marBottom w:val="0"/>
          <w:divBdr>
            <w:top w:val="none" w:sz="0" w:space="0" w:color="auto"/>
            <w:left w:val="none" w:sz="0" w:space="0" w:color="auto"/>
            <w:bottom w:val="none" w:sz="0" w:space="0" w:color="auto"/>
            <w:right w:val="none" w:sz="0" w:space="0" w:color="auto"/>
          </w:divBdr>
        </w:div>
        <w:div w:id="16543033">
          <w:marLeft w:val="640"/>
          <w:marRight w:val="0"/>
          <w:marTop w:val="0"/>
          <w:marBottom w:val="0"/>
          <w:divBdr>
            <w:top w:val="none" w:sz="0" w:space="0" w:color="auto"/>
            <w:left w:val="none" w:sz="0" w:space="0" w:color="auto"/>
            <w:bottom w:val="none" w:sz="0" w:space="0" w:color="auto"/>
            <w:right w:val="none" w:sz="0" w:space="0" w:color="auto"/>
          </w:divBdr>
        </w:div>
        <w:div w:id="1661301613">
          <w:marLeft w:val="640"/>
          <w:marRight w:val="0"/>
          <w:marTop w:val="0"/>
          <w:marBottom w:val="0"/>
          <w:divBdr>
            <w:top w:val="none" w:sz="0" w:space="0" w:color="auto"/>
            <w:left w:val="none" w:sz="0" w:space="0" w:color="auto"/>
            <w:bottom w:val="none" w:sz="0" w:space="0" w:color="auto"/>
            <w:right w:val="none" w:sz="0" w:space="0" w:color="auto"/>
          </w:divBdr>
        </w:div>
        <w:div w:id="211428995">
          <w:marLeft w:val="640"/>
          <w:marRight w:val="0"/>
          <w:marTop w:val="0"/>
          <w:marBottom w:val="0"/>
          <w:divBdr>
            <w:top w:val="none" w:sz="0" w:space="0" w:color="auto"/>
            <w:left w:val="none" w:sz="0" w:space="0" w:color="auto"/>
            <w:bottom w:val="none" w:sz="0" w:space="0" w:color="auto"/>
            <w:right w:val="none" w:sz="0" w:space="0" w:color="auto"/>
          </w:divBdr>
        </w:div>
        <w:div w:id="2054573186">
          <w:marLeft w:val="640"/>
          <w:marRight w:val="0"/>
          <w:marTop w:val="0"/>
          <w:marBottom w:val="0"/>
          <w:divBdr>
            <w:top w:val="none" w:sz="0" w:space="0" w:color="auto"/>
            <w:left w:val="none" w:sz="0" w:space="0" w:color="auto"/>
            <w:bottom w:val="none" w:sz="0" w:space="0" w:color="auto"/>
            <w:right w:val="none" w:sz="0" w:space="0" w:color="auto"/>
          </w:divBdr>
        </w:div>
        <w:div w:id="1182553666">
          <w:marLeft w:val="640"/>
          <w:marRight w:val="0"/>
          <w:marTop w:val="0"/>
          <w:marBottom w:val="0"/>
          <w:divBdr>
            <w:top w:val="none" w:sz="0" w:space="0" w:color="auto"/>
            <w:left w:val="none" w:sz="0" w:space="0" w:color="auto"/>
            <w:bottom w:val="none" w:sz="0" w:space="0" w:color="auto"/>
            <w:right w:val="none" w:sz="0" w:space="0" w:color="auto"/>
          </w:divBdr>
        </w:div>
        <w:div w:id="274798493">
          <w:marLeft w:val="640"/>
          <w:marRight w:val="0"/>
          <w:marTop w:val="0"/>
          <w:marBottom w:val="0"/>
          <w:divBdr>
            <w:top w:val="none" w:sz="0" w:space="0" w:color="auto"/>
            <w:left w:val="none" w:sz="0" w:space="0" w:color="auto"/>
            <w:bottom w:val="none" w:sz="0" w:space="0" w:color="auto"/>
            <w:right w:val="none" w:sz="0" w:space="0" w:color="auto"/>
          </w:divBdr>
        </w:div>
        <w:div w:id="422143964">
          <w:marLeft w:val="640"/>
          <w:marRight w:val="0"/>
          <w:marTop w:val="0"/>
          <w:marBottom w:val="0"/>
          <w:divBdr>
            <w:top w:val="none" w:sz="0" w:space="0" w:color="auto"/>
            <w:left w:val="none" w:sz="0" w:space="0" w:color="auto"/>
            <w:bottom w:val="none" w:sz="0" w:space="0" w:color="auto"/>
            <w:right w:val="none" w:sz="0" w:space="0" w:color="auto"/>
          </w:divBdr>
        </w:div>
        <w:div w:id="1650788063">
          <w:marLeft w:val="640"/>
          <w:marRight w:val="0"/>
          <w:marTop w:val="0"/>
          <w:marBottom w:val="0"/>
          <w:divBdr>
            <w:top w:val="none" w:sz="0" w:space="0" w:color="auto"/>
            <w:left w:val="none" w:sz="0" w:space="0" w:color="auto"/>
            <w:bottom w:val="none" w:sz="0" w:space="0" w:color="auto"/>
            <w:right w:val="none" w:sz="0" w:space="0" w:color="auto"/>
          </w:divBdr>
        </w:div>
        <w:div w:id="1508983369">
          <w:marLeft w:val="640"/>
          <w:marRight w:val="0"/>
          <w:marTop w:val="0"/>
          <w:marBottom w:val="0"/>
          <w:divBdr>
            <w:top w:val="none" w:sz="0" w:space="0" w:color="auto"/>
            <w:left w:val="none" w:sz="0" w:space="0" w:color="auto"/>
            <w:bottom w:val="none" w:sz="0" w:space="0" w:color="auto"/>
            <w:right w:val="none" w:sz="0" w:space="0" w:color="auto"/>
          </w:divBdr>
        </w:div>
        <w:div w:id="1318223320">
          <w:marLeft w:val="640"/>
          <w:marRight w:val="0"/>
          <w:marTop w:val="0"/>
          <w:marBottom w:val="0"/>
          <w:divBdr>
            <w:top w:val="none" w:sz="0" w:space="0" w:color="auto"/>
            <w:left w:val="none" w:sz="0" w:space="0" w:color="auto"/>
            <w:bottom w:val="none" w:sz="0" w:space="0" w:color="auto"/>
            <w:right w:val="none" w:sz="0" w:space="0" w:color="auto"/>
          </w:divBdr>
        </w:div>
        <w:div w:id="990213988">
          <w:marLeft w:val="640"/>
          <w:marRight w:val="0"/>
          <w:marTop w:val="0"/>
          <w:marBottom w:val="0"/>
          <w:divBdr>
            <w:top w:val="none" w:sz="0" w:space="0" w:color="auto"/>
            <w:left w:val="none" w:sz="0" w:space="0" w:color="auto"/>
            <w:bottom w:val="none" w:sz="0" w:space="0" w:color="auto"/>
            <w:right w:val="none" w:sz="0" w:space="0" w:color="auto"/>
          </w:divBdr>
        </w:div>
        <w:div w:id="1817796201">
          <w:marLeft w:val="640"/>
          <w:marRight w:val="0"/>
          <w:marTop w:val="0"/>
          <w:marBottom w:val="0"/>
          <w:divBdr>
            <w:top w:val="none" w:sz="0" w:space="0" w:color="auto"/>
            <w:left w:val="none" w:sz="0" w:space="0" w:color="auto"/>
            <w:bottom w:val="none" w:sz="0" w:space="0" w:color="auto"/>
            <w:right w:val="none" w:sz="0" w:space="0" w:color="auto"/>
          </w:divBdr>
        </w:div>
        <w:div w:id="1081751883">
          <w:marLeft w:val="640"/>
          <w:marRight w:val="0"/>
          <w:marTop w:val="0"/>
          <w:marBottom w:val="0"/>
          <w:divBdr>
            <w:top w:val="none" w:sz="0" w:space="0" w:color="auto"/>
            <w:left w:val="none" w:sz="0" w:space="0" w:color="auto"/>
            <w:bottom w:val="none" w:sz="0" w:space="0" w:color="auto"/>
            <w:right w:val="none" w:sz="0" w:space="0" w:color="auto"/>
          </w:divBdr>
        </w:div>
        <w:div w:id="1758087249">
          <w:marLeft w:val="640"/>
          <w:marRight w:val="0"/>
          <w:marTop w:val="0"/>
          <w:marBottom w:val="0"/>
          <w:divBdr>
            <w:top w:val="none" w:sz="0" w:space="0" w:color="auto"/>
            <w:left w:val="none" w:sz="0" w:space="0" w:color="auto"/>
            <w:bottom w:val="none" w:sz="0" w:space="0" w:color="auto"/>
            <w:right w:val="none" w:sz="0" w:space="0" w:color="auto"/>
          </w:divBdr>
        </w:div>
        <w:div w:id="972710733">
          <w:marLeft w:val="640"/>
          <w:marRight w:val="0"/>
          <w:marTop w:val="0"/>
          <w:marBottom w:val="0"/>
          <w:divBdr>
            <w:top w:val="none" w:sz="0" w:space="0" w:color="auto"/>
            <w:left w:val="none" w:sz="0" w:space="0" w:color="auto"/>
            <w:bottom w:val="none" w:sz="0" w:space="0" w:color="auto"/>
            <w:right w:val="none" w:sz="0" w:space="0" w:color="auto"/>
          </w:divBdr>
        </w:div>
        <w:div w:id="788814311">
          <w:marLeft w:val="640"/>
          <w:marRight w:val="0"/>
          <w:marTop w:val="0"/>
          <w:marBottom w:val="0"/>
          <w:divBdr>
            <w:top w:val="none" w:sz="0" w:space="0" w:color="auto"/>
            <w:left w:val="none" w:sz="0" w:space="0" w:color="auto"/>
            <w:bottom w:val="none" w:sz="0" w:space="0" w:color="auto"/>
            <w:right w:val="none" w:sz="0" w:space="0" w:color="auto"/>
          </w:divBdr>
        </w:div>
        <w:div w:id="1107000313">
          <w:marLeft w:val="640"/>
          <w:marRight w:val="0"/>
          <w:marTop w:val="0"/>
          <w:marBottom w:val="0"/>
          <w:divBdr>
            <w:top w:val="none" w:sz="0" w:space="0" w:color="auto"/>
            <w:left w:val="none" w:sz="0" w:space="0" w:color="auto"/>
            <w:bottom w:val="none" w:sz="0" w:space="0" w:color="auto"/>
            <w:right w:val="none" w:sz="0" w:space="0" w:color="auto"/>
          </w:divBdr>
        </w:div>
        <w:div w:id="1048921692">
          <w:marLeft w:val="640"/>
          <w:marRight w:val="0"/>
          <w:marTop w:val="0"/>
          <w:marBottom w:val="0"/>
          <w:divBdr>
            <w:top w:val="none" w:sz="0" w:space="0" w:color="auto"/>
            <w:left w:val="none" w:sz="0" w:space="0" w:color="auto"/>
            <w:bottom w:val="none" w:sz="0" w:space="0" w:color="auto"/>
            <w:right w:val="none" w:sz="0" w:space="0" w:color="auto"/>
          </w:divBdr>
        </w:div>
        <w:div w:id="233784393">
          <w:marLeft w:val="640"/>
          <w:marRight w:val="0"/>
          <w:marTop w:val="0"/>
          <w:marBottom w:val="0"/>
          <w:divBdr>
            <w:top w:val="none" w:sz="0" w:space="0" w:color="auto"/>
            <w:left w:val="none" w:sz="0" w:space="0" w:color="auto"/>
            <w:bottom w:val="none" w:sz="0" w:space="0" w:color="auto"/>
            <w:right w:val="none" w:sz="0" w:space="0" w:color="auto"/>
          </w:divBdr>
        </w:div>
        <w:div w:id="1602685700">
          <w:marLeft w:val="640"/>
          <w:marRight w:val="0"/>
          <w:marTop w:val="0"/>
          <w:marBottom w:val="0"/>
          <w:divBdr>
            <w:top w:val="none" w:sz="0" w:space="0" w:color="auto"/>
            <w:left w:val="none" w:sz="0" w:space="0" w:color="auto"/>
            <w:bottom w:val="none" w:sz="0" w:space="0" w:color="auto"/>
            <w:right w:val="none" w:sz="0" w:space="0" w:color="auto"/>
          </w:divBdr>
        </w:div>
        <w:div w:id="1117598281">
          <w:marLeft w:val="640"/>
          <w:marRight w:val="0"/>
          <w:marTop w:val="0"/>
          <w:marBottom w:val="0"/>
          <w:divBdr>
            <w:top w:val="none" w:sz="0" w:space="0" w:color="auto"/>
            <w:left w:val="none" w:sz="0" w:space="0" w:color="auto"/>
            <w:bottom w:val="none" w:sz="0" w:space="0" w:color="auto"/>
            <w:right w:val="none" w:sz="0" w:space="0" w:color="auto"/>
          </w:divBdr>
        </w:div>
        <w:div w:id="2140613466">
          <w:marLeft w:val="640"/>
          <w:marRight w:val="0"/>
          <w:marTop w:val="0"/>
          <w:marBottom w:val="0"/>
          <w:divBdr>
            <w:top w:val="none" w:sz="0" w:space="0" w:color="auto"/>
            <w:left w:val="none" w:sz="0" w:space="0" w:color="auto"/>
            <w:bottom w:val="none" w:sz="0" w:space="0" w:color="auto"/>
            <w:right w:val="none" w:sz="0" w:space="0" w:color="auto"/>
          </w:divBdr>
        </w:div>
        <w:div w:id="1537696454">
          <w:marLeft w:val="640"/>
          <w:marRight w:val="0"/>
          <w:marTop w:val="0"/>
          <w:marBottom w:val="0"/>
          <w:divBdr>
            <w:top w:val="none" w:sz="0" w:space="0" w:color="auto"/>
            <w:left w:val="none" w:sz="0" w:space="0" w:color="auto"/>
            <w:bottom w:val="none" w:sz="0" w:space="0" w:color="auto"/>
            <w:right w:val="none" w:sz="0" w:space="0" w:color="auto"/>
          </w:divBdr>
        </w:div>
        <w:div w:id="1312710153">
          <w:marLeft w:val="640"/>
          <w:marRight w:val="0"/>
          <w:marTop w:val="0"/>
          <w:marBottom w:val="0"/>
          <w:divBdr>
            <w:top w:val="none" w:sz="0" w:space="0" w:color="auto"/>
            <w:left w:val="none" w:sz="0" w:space="0" w:color="auto"/>
            <w:bottom w:val="none" w:sz="0" w:space="0" w:color="auto"/>
            <w:right w:val="none" w:sz="0" w:space="0" w:color="auto"/>
          </w:divBdr>
        </w:div>
        <w:div w:id="1627541884">
          <w:marLeft w:val="640"/>
          <w:marRight w:val="0"/>
          <w:marTop w:val="0"/>
          <w:marBottom w:val="0"/>
          <w:divBdr>
            <w:top w:val="none" w:sz="0" w:space="0" w:color="auto"/>
            <w:left w:val="none" w:sz="0" w:space="0" w:color="auto"/>
            <w:bottom w:val="none" w:sz="0" w:space="0" w:color="auto"/>
            <w:right w:val="none" w:sz="0" w:space="0" w:color="auto"/>
          </w:divBdr>
        </w:div>
        <w:div w:id="1363045751">
          <w:marLeft w:val="640"/>
          <w:marRight w:val="0"/>
          <w:marTop w:val="0"/>
          <w:marBottom w:val="0"/>
          <w:divBdr>
            <w:top w:val="none" w:sz="0" w:space="0" w:color="auto"/>
            <w:left w:val="none" w:sz="0" w:space="0" w:color="auto"/>
            <w:bottom w:val="none" w:sz="0" w:space="0" w:color="auto"/>
            <w:right w:val="none" w:sz="0" w:space="0" w:color="auto"/>
          </w:divBdr>
        </w:div>
        <w:div w:id="1876194169">
          <w:marLeft w:val="640"/>
          <w:marRight w:val="0"/>
          <w:marTop w:val="0"/>
          <w:marBottom w:val="0"/>
          <w:divBdr>
            <w:top w:val="none" w:sz="0" w:space="0" w:color="auto"/>
            <w:left w:val="none" w:sz="0" w:space="0" w:color="auto"/>
            <w:bottom w:val="none" w:sz="0" w:space="0" w:color="auto"/>
            <w:right w:val="none" w:sz="0" w:space="0" w:color="auto"/>
          </w:divBdr>
        </w:div>
        <w:div w:id="867179403">
          <w:marLeft w:val="640"/>
          <w:marRight w:val="0"/>
          <w:marTop w:val="0"/>
          <w:marBottom w:val="0"/>
          <w:divBdr>
            <w:top w:val="none" w:sz="0" w:space="0" w:color="auto"/>
            <w:left w:val="none" w:sz="0" w:space="0" w:color="auto"/>
            <w:bottom w:val="none" w:sz="0" w:space="0" w:color="auto"/>
            <w:right w:val="none" w:sz="0" w:space="0" w:color="auto"/>
          </w:divBdr>
        </w:div>
        <w:div w:id="1379016248">
          <w:marLeft w:val="640"/>
          <w:marRight w:val="0"/>
          <w:marTop w:val="0"/>
          <w:marBottom w:val="0"/>
          <w:divBdr>
            <w:top w:val="none" w:sz="0" w:space="0" w:color="auto"/>
            <w:left w:val="none" w:sz="0" w:space="0" w:color="auto"/>
            <w:bottom w:val="none" w:sz="0" w:space="0" w:color="auto"/>
            <w:right w:val="none" w:sz="0" w:space="0" w:color="auto"/>
          </w:divBdr>
        </w:div>
        <w:div w:id="855653661">
          <w:marLeft w:val="640"/>
          <w:marRight w:val="0"/>
          <w:marTop w:val="0"/>
          <w:marBottom w:val="0"/>
          <w:divBdr>
            <w:top w:val="none" w:sz="0" w:space="0" w:color="auto"/>
            <w:left w:val="none" w:sz="0" w:space="0" w:color="auto"/>
            <w:bottom w:val="none" w:sz="0" w:space="0" w:color="auto"/>
            <w:right w:val="none" w:sz="0" w:space="0" w:color="auto"/>
          </w:divBdr>
        </w:div>
        <w:div w:id="1884361889">
          <w:marLeft w:val="640"/>
          <w:marRight w:val="0"/>
          <w:marTop w:val="0"/>
          <w:marBottom w:val="0"/>
          <w:divBdr>
            <w:top w:val="none" w:sz="0" w:space="0" w:color="auto"/>
            <w:left w:val="none" w:sz="0" w:space="0" w:color="auto"/>
            <w:bottom w:val="none" w:sz="0" w:space="0" w:color="auto"/>
            <w:right w:val="none" w:sz="0" w:space="0" w:color="auto"/>
          </w:divBdr>
        </w:div>
        <w:div w:id="1507750536">
          <w:marLeft w:val="640"/>
          <w:marRight w:val="0"/>
          <w:marTop w:val="0"/>
          <w:marBottom w:val="0"/>
          <w:divBdr>
            <w:top w:val="none" w:sz="0" w:space="0" w:color="auto"/>
            <w:left w:val="none" w:sz="0" w:space="0" w:color="auto"/>
            <w:bottom w:val="none" w:sz="0" w:space="0" w:color="auto"/>
            <w:right w:val="none" w:sz="0" w:space="0" w:color="auto"/>
          </w:divBdr>
        </w:div>
        <w:div w:id="381029397">
          <w:marLeft w:val="640"/>
          <w:marRight w:val="0"/>
          <w:marTop w:val="0"/>
          <w:marBottom w:val="0"/>
          <w:divBdr>
            <w:top w:val="none" w:sz="0" w:space="0" w:color="auto"/>
            <w:left w:val="none" w:sz="0" w:space="0" w:color="auto"/>
            <w:bottom w:val="none" w:sz="0" w:space="0" w:color="auto"/>
            <w:right w:val="none" w:sz="0" w:space="0" w:color="auto"/>
          </w:divBdr>
        </w:div>
        <w:div w:id="159782293">
          <w:marLeft w:val="640"/>
          <w:marRight w:val="0"/>
          <w:marTop w:val="0"/>
          <w:marBottom w:val="0"/>
          <w:divBdr>
            <w:top w:val="none" w:sz="0" w:space="0" w:color="auto"/>
            <w:left w:val="none" w:sz="0" w:space="0" w:color="auto"/>
            <w:bottom w:val="none" w:sz="0" w:space="0" w:color="auto"/>
            <w:right w:val="none" w:sz="0" w:space="0" w:color="auto"/>
          </w:divBdr>
        </w:div>
        <w:div w:id="471598475">
          <w:marLeft w:val="640"/>
          <w:marRight w:val="0"/>
          <w:marTop w:val="0"/>
          <w:marBottom w:val="0"/>
          <w:divBdr>
            <w:top w:val="none" w:sz="0" w:space="0" w:color="auto"/>
            <w:left w:val="none" w:sz="0" w:space="0" w:color="auto"/>
            <w:bottom w:val="none" w:sz="0" w:space="0" w:color="auto"/>
            <w:right w:val="none" w:sz="0" w:space="0" w:color="auto"/>
          </w:divBdr>
        </w:div>
        <w:div w:id="1817606106">
          <w:marLeft w:val="640"/>
          <w:marRight w:val="0"/>
          <w:marTop w:val="0"/>
          <w:marBottom w:val="0"/>
          <w:divBdr>
            <w:top w:val="none" w:sz="0" w:space="0" w:color="auto"/>
            <w:left w:val="none" w:sz="0" w:space="0" w:color="auto"/>
            <w:bottom w:val="none" w:sz="0" w:space="0" w:color="auto"/>
            <w:right w:val="none" w:sz="0" w:space="0" w:color="auto"/>
          </w:divBdr>
        </w:div>
        <w:div w:id="868759342">
          <w:marLeft w:val="640"/>
          <w:marRight w:val="0"/>
          <w:marTop w:val="0"/>
          <w:marBottom w:val="0"/>
          <w:divBdr>
            <w:top w:val="none" w:sz="0" w:space="0" w:color="auto"/>
            <w:left w:val="none" w:sz="0" w:space="0" w:color="auto"/>
            <w:bottom w:val="none" w:sz="0" w:space="0" w:color="auto"/>
            <w:right w:val="none" w:sz="0" w:space="0" w:color="auto"/>
          </w:divBdr>
        </w:div>
        <w:div w:id="2063559393">
          <w:marLeft w:val="640"/>
          <w:marRight w:val="0"/>
          <w:marTop w:val="0"/>
          <w:marBottom w:val="0"/>
          <w:divBdr>
            <w:top w:val="none" w:sz="0" w:space="0" w:color="auto"/>
            <w:left w:val="none" w:sz="0" w:space="0" w:color="auto"/>
            <w:bottom w:val="none" w:sz="0" w:space="0" w:color="auto"/>
            <w:right w:val="none" w:sz="0" w:space="0" w:color="auto"/>
          </w:divBdr>
        </w:div>
        <w:div w:id="774860430">
          <w:marLeft w:val="640"/>
          <w:marRight w:val="0"/>
          <w:marTop w:val="0"/>
          <w:marBottom w:val="0"/>
          <w:divBdr>
            <w:top w:val="none" w:sz="0" w:space="0" w:color="auto"/>
            <w:left w:val="none" w:sz="0" w:space="0" w:color="auto"/>
            <w:bottom w:val="none" w:sz="0" w:space="0" w:color="auto"/>
            <w:right w:val="none" w:sz="0" w:space="0" w:color="auto"/>
          </w:divBdr>
        </w:div>
        <w:div w:id="1703018802">
          <w:marLeft w:val="640"/>
          <w:marRight w:val="0"/>
          <w:marTop w:val="0"/>
          <w:marBottom w:val="0"/>
          <w:divBdr>
            <w:top w:val="none" w:sz="0" w:space="0" w:color="auto"/>
            <w:left w:val="none" w:sz="0" w:space="0" w:color="auto"/>
            <w:bottom w:val="none" w:sz="0" w:space="0" w:color="auto"/>
            <w:right w:val="none" w:sz="0" w:space="0" w:color="auto"/>
          </w:divBdr>
        </w:div>
        <w:div w:id="61879342">
          <w:marLeft w:val="640"/>
          <w:marRight w:val="0"/>
          <w:marTop w:val="0"/>
          <w:marBottom w:val="0"/>
          <w:divBdr>
            <w:top w:val="none" w:sz="0" w:space="0" w:color="auto"/>
            <w:left w:val="none" w:sz="0" w:space="0" w:color="auto"/>
            <w:bottom w:val="none" w:sz="0" w:space="0" w:color="auto"/>
            <w:right w:val="none" w:sz="0" w:space="0" w:color="auto"/>
          </w:divBdr>
        </w:div>
        <w:div w:id="140269813">
          <w:marLeft w:val="640"/>
          <w:marRight w:val="0"/>
          <w:marTop w:val="0"/>
          <w:marBottom w:val="0"/>
          <w:divBdr>
            <w:top w:val="none" w:sz="0" w:space="0" w:color="auto"/>
            <w:left w:val="none" w:sz="0" w:space="0" w:color="auto"/>
            <w:bottom w:val="none" w:sz="0" w:space="0" w:color="auto"/>
            <w:right w:val="none" w:sz="0" w:space="0" w:color="auto"/>
          </w:divBdr>
        </w:div>
        <w:div w:id="155418120">
          <w:marLeft w:val="640"/>
          <w:marRight w:val="0"/>
          <w:marTop w:val="0"/>
          <w:marBottom w:val="0"/>
          <w:divBdr>
            <w:top w:val="none" w:sz="0" w:space="0" w:color="auto"/>
            <w:left w:val="none" w:sz="0" w:space="0" w:color="auto"/>
            <w:bottom w:val="none" w:sz="0" w:space="0" w:color="auto"/>
            <w:right w:val="none" w:sz="0" w:space="0" w:color="auto"/>
          </w:divBdr>
        </w:div>
        <w:div w:id="224411104">
          <w:marLeft w:val="640"/>
          <w:marRight w:val="0"/>
          <w:marTop w:val="0"/>
          <w:marBottom w:val="0"/>
          <w:divBdr>
            <w:top w:val="none" w:sz="0" w:space="0" w:color="auto"/>
            <w:left w:val="none" w:sz="0" w:space="0" w:color="auto"/>
            <w:bottom w:val="none" w:sz="0" w:space="0" w:color="auto"/>
            <w:right w:val="none" w:sz="0" w:space="0" w:color="auto"/>
          </w:divBdr>
        </w:div>
        <w:div w:id="1382632803">
          <w:marLeft w:val="640"/>
          <w:marRight w:val="0"/>
          <w:marTop w:val="0"/>
          <w:marBottom w:val="0"/>
          <w:divBdr>
            <w:top w:val="none" w:sz="0" w:space="0" w:color="auto"/>
            <w:left w:val="none" w:sz="0" w:space="0" w:color="auto"/>
            <w:bottom w:val="none" w:sz="0" w:space="0" w:color="auto"/>
            <w:right w:val="none" w:sz="0" w:space="0" w:color="auto"/>
          </w:divBdr>
        </w:div>
        <w:div w:id="1279676040">
          <w:marLeft w:val="640"/>
          <w:marRight w:val="0"/>
          <w:marTop w:val="0"/>
          <w:marBottom w:val="0"/>
          <w:divBdr>
            <w:top w:val="none" w:sz="0" w:space="0" w:color="auto"/>
            <w:left w:val="none" w:sz="0" w:space="0" w:color="auto"/>
            <w:bottom w:val="none" w:sz="0" w:space="0" w:color="auto"/>
            <w:right w:val="none" w:sz="0" w:space="0" w:color="auto"/>
          </w:divBdr>
        </w:div>
        <w:div w:id="1499270857">
          <w:marLeft w:val="640"/>
          <w:marRight w:val="0"/>
          <w:marTop w:val="0"/>
          <w:marBottom w:val="0"/>
          <w:divBdr>
            <w:top w:val="none" w:sz="0" w:space="0" w:color="auto"/>
            <w:left w:val="none" w:sz="0" w:space="0" w:color="auto"/>
            <w:bottom w:val="none" w:sz="0" w:space="0" w:color="auto"/>
            <w:right w:val="none" w:sz="0" w:space="0" w:color="auto"/>
          </w:divBdr>
        </w:div>
        <w:div w:id="1037045562">
          <w:marLeft w:val="640"/>
          <w:marRight w:val="0"/>
          <w:marTop w:val="0"/>
          <w:marBottom w:val="0"/>
          <w:divBdr>
            <w:top w:val="none" w:sz="0" w:space="0" w:color="auto"/>
            <w:left w:val="none" w:sz="0" w:space="0" w:color="auto"/>
            <w:bottom w:val="none" w:sz="0" w:space="0" w:color="auto"/>
            <w:right w:val="none" w:sz="0" w:space="0" w:color="auto"/>
          </w:divBdr>
        </w:div>
        <w:div w:id="1015109484">
          <w:marLeft w:val="640"/>
          <w:marRight w:val="0"/>
          <w:marTop w:val="0"/>
          <w:marBottom w:val="0"/>
          <w:divBdr>
            <w:top w:val="none" w:sz="0" w:space="0" w:color="auto"/>
            <w:left w:val="none" w:sz="0" w:space="0" w:color="auto"/>
            <w:bottom w:val="none" w:sz="0" w:space="0" w:color="auto"/>
            <w:right w:val="none" w:sz="0" w:space="0" w:color="auto"/>
          </w:divBdr>
        </w:div>
        <w:div w:id="755636215">
          <w:marLeft w:val="640"/>
          <w:marRight w:val="0"/>
          <w:marTop w:val="0"/>
          <w:marBottom w:val="0"/>
          <w:divBdr>
            <w:top w:val="none" w:sz="0" w:space="0" w:color="auto"/>
            <w:left w:val="none" w:sz="0" w:space="0" w:color="auto"/>
            <w:bottom w:val="none" w:sz="0" w:space="0" w:color="auto"/>
            <w:right w:val="none" w:sz="0" w:space="0" w:color="auto"/>
          </w:divBdr>
        </w:div>
        <w:div w:id="1952661934">
          <w:marLeft w:val="640"/>
          <w:marRight w:val="0"/>
          <w:marTop w:val="0"/>
          <w:marBottom w:val="0"/>
          <w:divBdr>
            <w:top w:val="none" w:sz="0" w:space="0" w:color="auto"/>
            <w:left w:val="none" w:sz="0" w:space="0" w:color="auto"/>
            <w:bottom w:val="none" w:sz="0" w:space="0" w:color="auto"/>
            <w:right w:val="none" w:sz="0" w:space="0" w:color="auto"/>
          </w:divBdr>
        </w:div>
        <w:div w:id="1950507863">
          <w:marLeft w:val="640"/>
          <w:marRight w:val="0"/>
          <w:marTop w:val="0"/>
          <w:marBottom w:val="0"/>
          <w:divBdr>
            <w:top w:val="none" w:sz="0" w:space="0" w:color="auto"/>
            <w:left w:val="none" w:sz="0" w:space="0" w:color="auto"/>
            <w:bottom w:val="none" w:sz="0" w:space="0" w:color="auto"/>
            <w:right w:val="none" w:sz="0" w:space="0" w:color="auto"/>
          </w:divBdr>
        </w:div>
        <w:div w:id="1521314888">
          <w:marLeft w:val="640"/>
          <w:marRight w:val="0"/>
          <w:marTop w:val="0"/>
          <w:marBottom w:val="0"/>
          <w:divBdr>
            <w:top w:val="none" w:sz="0" w:space="0" w:color="auto"/>
            <w:left w:val="none" w:sz="0" w:space="0" w:color="auto"/>
            <w:bottom w:val="none" w:sz="0" w:space="0" w:color="auto"/>
            <w:right w:val="none" w:sz="0" w:space="0" w:color="auto"/>
          </w:divBdr>
        </w:div>
        <w:div w:id="1815441116">
          <w:marLeft w:val="640"/>
          <w:marRight w:val="0"/>
          <w:marTop w:val="0"/>
          <w:marBottom w:val="0"/>
          <w:divBdr>
            <w:top w:val="none" w:sz="0" w:space="0" w:color="auto"/>
            <w:left w:val="none" w:sz="0" w:space="0" w:color="auto"/>
            <w:bottom w:val="none" w:sz="0" w:space="0" w:color="auto"/>
            <w:right w:val="none" w:sz="0" w:space="0" w:color="auto"/>
          </w:divBdr>
        </w:div>
        <w:div w:id="513425377">
          <w:marLeft w:val="640"/>
          <w:marRight w:val="0"/>
          <w:marTop w:val="0"/>
          <w:marBottom w:val="0"/>
          <w:divBdr>
            <w:top w:val="none" w:sz="0" w:space="0" w:color="auto"/>
            <w:left w:val="none" w:sz="0" w:space="0" w:color="auto"/>
            <w:bottom w:val="none" w:sz="0" w:space="0" w:color="auto"/>
            <w:right w:val="none" w:sz="0" w:space="0" w:color="auto"/>
          </w:divBdr>
        </w:div>
        <w:div w:id="440496908">
          <w:marLeft w:val="640"/>
          <w:marRight w:val="0"/>
          <w:marTop w:val="0"/>
          <w:marBottom w:val="0"/>
          <w:divBdr>
            <w:top w:val="none" w:sz="0" w:space="0" w:color="auto"/>
            <w:left w:val="none" w:sz="0" w:space="0" w:color="auto"/>
            <w:bottom w:val="none" w:sz="0" w:space="0" w:color="auto"/>
            <w:right w:val="none" w:sz="0" w:space="0" w:color="auto"/>
          </w:divBdr>
        </w:div>
        <w:div w:id="1856915258">
          <w:marLeft w:val="640"/>
          <w:marRight w:val="0"/>
          <w:marTop w:val="0"/>
          <w:marBottom w:val="0"/>
          <w:divBdr>
            <w:top w:val="none" w:sz="0" w:space="0" w:color="auto"/>
            <w:left w:val="none" w:sz="0" w:space="0" w:color="auto"/>
            <w:bottom w:val="none" w:sz="0" w:space="0" w:color="auto"/>
            <w:right w:val="none" w:sz="0" w:space="0" w:color="auto"/>
          </w:divBdr>
        </w:div>
        <w:div w:id="118570408">
          <w:marLeft w:val="640"/>
          <w:marRight w:val="0"/>
          <w:marTop w:val="0"/>
          <w:marBottom w:val="0"/>
          <w:divBdr>
            <w:top w:val="none" w:sz="0" w:space="0" w:color="auto"/>
            <w:left w:val="none" w:sz="0" w:space="0" w:color="auto"/>
            <w:bottom w:val="none" w:sz="0" w:space="0" w:color="auto"/>
            <w:right w:val="none" w:sz="0" w:space="0" w:color="auto"/>
          </w:divBdr>
        </w:div>
        <w:div w:id="535385745">
          <w:marLeft w:val="640"/>
          <w:marRight w:val="0"/>
          <w:marTop w:val="0"/>
          <w:marBottom w:val="0"/>
          <w:divBdr>
            <w:top w:val="none" w:sz="0" w:space="0" w:color="auto"/>
            <w:left w:val="none" w:sz="0" w:space="0" w:color="auto"/>
            <w:bottom w:val="none" w:sz="0" w:space="0" w:color="auto"/>
            <w:right w:val="none" w:sz="0" w:space="0" w:color="auto"/>
          </w:divBdr>
        </w:div>
        <w:div w:id="339158010">
          <w:marLeft w:val="640"/>
          <w:marRight w:val="0"/>
          <w:marTop w:val="0"/>
          <w:marBottom w:val="0"/>
          <w:divBdr>
            <w:top w:val="none" w:sz="0" w:space="0" w:color="auto"/>
            <w:left w:val="none" w:sz="0" w:space="0" w:color="auto"/>
            <w:bottom w:val="none" w:sz="0" w:space="0" w:color="auto"/>
            <w:right w:val="none" w:sz="0" w:space="0" w:color="auto"/>
          </w:divBdr>
        </w:div>
        <w:div w:id="558781723">
          <w:marLeft w:val="640"/>
          <w:marRight w:val="0"/>
          <w:marTop w:val="0"/>
          <w:marBottom w:val="0"/>
          <w:divBdr>
            <w:top w:val="none" w:sz="0" w:space="0" w:color="auto"/>
            <w:left w:val="none" w:sz="0" w:space="0" w:color="auto"/>
            <w:bottom w:val="none" w:sz="0" w:space="0" w:color="auto"/>
            <w:right w:val="none" w:sz="0" w:space="0" w:color="auto"/>
          </w:divBdr>
        </w:div>
        <w:div w:id="2028749920">
          <w:marLeft w:val="640"/>
          <w:marRight w:val="0"/>
          <w:marTop w:val="0"/>
          <w:marBottom w:val="0"/>
          <w:divBdr>
            <w:top w:val="none" w:sz="0" w:space="0" w:color="auto"/>
            <w:left w:val="none" w:sz="0" w:space="0" w:color="auto"/>
            <w:bottom w:val="none" w:sz="0" w:space="0" w:color="auto"/>
            <w:right w:val="none" w:sz="0" w:space="0" w:color="auto"/>
          </w:divBdr>
        </w:div>
        <w:div w:id="786126026">
          <w:marLeft w:val="640"/>
          <w:marRight w:val="0"/>
          <w:marTop w:val="0"/>
          <w:marBottom w:val="0"/>
          <w:divBdr>
            <w:top w:val="none" w:sz="0" w:space="0" w:color="auto"/>
            <w:left w:val="none" w:sz="0" w:space="0" w:color="auto"/>
            <w:bottom w:val="none" w:sz="0" w:space="0" w:color="auto"/>
            <w:right w:val="none" w:sz="0" w:space="0" w:color="auto"/>
          </w:divBdr>
        </w:div>
        <w:div w:id="810950176">
          <w:marLeft w:val="640"/>
          <w:marRight w:val="0"/>
          <w:marTop w:val="0"/>
          <w:marBottom w:val="0"/>
          <w:divBdr>
            <w:top w:val="none" w:sz="0" w:space="0" w:color="auto"/>
            <w:left w:val="none" w:sz="0" w:space="0" w:color="auto"/>
            <w:bottom w:val="none" w:sz="0" w:space="0" w:color="auto"/>
            <w:right w:val="none" w:sz="0" w:space="0" w:color="auto"/>
          </w:divBdr>
        </w:div>
        <w:div w:id="1349717995">
          <w:marLeft w:val="640"/>
          <w:marRight w:val="0"/>
          <w:marTop w:val="0"/>
          <w:marBottom w:val="0"/>
          <w:divBdr>
            <w:top w:val="none" w:sz="0" w:space="0" w:color="auto"/>
            <w:left w:val="none" w:sz="0" w:space="0" w:color="auto"/>
            <w:bottom w:val="none" w:sz="0" w:space="0" w:color="auto"/>
            <w:right w:val="none" w:sz="0" w:space="0" w:color="auto"/>
          </w:divBdr>
        </w:div>
        <w:div w:id="2023974956">
          <w:marLeft w:val="640"/>
          <w:marRight w:val="0"/>
          <w:marTop w:val="0"/>
          <w:marBottom w:val="0"/>
          <w:divBdr>
            <w:top w:val="none" w:sz="0" w:space="0" w:color="auto"/>
            <w:left w:val="none" w:sz="0" w:space="0" w:color="auto"/>
            <w:bottom w:val="none" w:sz="0" w:space="0" w:color="auto"/>
            <w:right w:val="none" w:sz="0" w:space="0" w:color="auto"/>
          </w:divBdr>
        </w:div>
        <w:div w:id="818306520">
          <w:marLeft w:val="640"/>
          <w:marRight w:val="0"/>
          <w:marTop w:val="0"/>
          <w:marBottom w:val="0"/>
          <w:divBdr>
            <w:top w:val="none" w:sz="0" w:space="0" w:color="auto"/>
            <w:left w:val="none" w:sz="0" w:space="0" w:color="auto"/>
            <w:bottom w:val="none" w:sz="0" w:space="0" w:color="auto"/>
            <w:right w:val="none" w:sz="0" w:space="0" w:color="auto"/>
          </w:divBdr>
        </w:div>
        <w:div w:id="1317494569">
          <w:marLeft w:val="640"/>
          <w:marRight w:val="0"/>
          <w:marTop w:val="0"/>
          <w:marBottom w:val="0"/>
          <w:divBdr>
            <w:top w:val="none" w:sz="0" w:space="0" w:color="auto"/>
            <w:left w:val="none" w:sz="0" w:space="0" w:color="auto"/>
            <w:bottom w:val="none" w:sz="0" w:space="0" w:color="auto"/>
            <w:right w:val="none" w:sz="0" w:space="0" w:color="auto"/>
          </w:divBdr>
        </w:div>
        <w:div w:id="1918512085">
          <w:marLeft w:val="640"/>
          <w:marRight w:val="0"/>
          <w:marTop w:val="0"/>
          <w:marBottom w:val="0"/>
          <w:divBdr>
            <w:top w:val="none" w:sz="0" w:space="0" w:color="auto"/>
            <w:left w:val="none" w:sz="0" w:space="0" w:color="auto"/>
            <w:bottom w:val="none" w:sz="0" w:space="0" w:color="auto"/>
            <w:right w:val="none" w:sz="0" w:space="0" w:color="auto"/>
          </w:divBdr>
        </w:div>
        <w:div w:id="780614123">
          <w:marLeft w:val="640"/>
          <w:marRight w:val="0"/>
          <w:marTop w:val="0"/>
          <w:marBottom w:val="0"/>
          <w:divBdr>
            <w:top w:val="none" w:sz="0" w:space="0" w:color="auto"/>
            <w:left w:val="none" w:sz="0" w:space="0" w:color="auto"/>
            <w:bottom w:val="none" w:sz="0" w:space="0" w:color="auto"/>
            <w:right w:val="none" w:sz="0" w:space="0" w:color="auto"/>
          </w:divBdr>
        </w:div>
      </w:divsChild>
    </w:div>
    <w:div w:id="1924870079">
      <w:bodyDiv w:val="1"/>
      <w:marLeft w:val="0"/>
      <w:marRight w:val="0"/>
      <w:marTop w:val="0"/>
      <w:marBottom w:val="0"/>
      <w:divBdr>
        <w:top w:val="none" w:sz="0" w:space="0" w:color="auto"/>
        <w:left w:val="none" w:sz="0" w:space="0" w:color="auto"/>
        <w:bottom w:val="none" w:sz="0" w:space="0" w:color="auto"/>
        <w:right w:val="none" w:sz="0" w:space="0" w:color="auto"/>
      </w:divBdr>
      <w:divsChild>
        <w:div w:id="701441605">
          <w:marLeft w:val="640"/>
          <w:marRight w:val="0"/>
          <w:marTop w:val="0"/>
          <w:marBottom w:val="0"/>
          <w:divBdr>
            <w:top w:val="none" w:sz="0" w:space="0" w:color="auto"/>
            <w:left w:val="none" w:sz="0" w:space="0" w:color="auto"/>
            <w:bottom w:val="none" w:sz="0" w:space="0" w:color="auto"/>
            <w:right w:val="none" w:sz="0" w:space="0" w:color="auto"/>
          </w:divBdr>
        </w:div>
        <w:div w:id="405151259">
          <w:marLeft w:val="640"/>
          <w:marRight w:val="0"/>
          <w:marTop w:val="0"/>
          <w:marBottom w:val="0"/>
          <w:divBdr>
            <w:top w:val="none" w:sz="0" w:space="0" w:color="auto"/>
            <w:left w:val="none" w:sz="0" w:space="0" w:color="auto"/>
            <w:bottom w:val="none" w:sz="0" w:space="0" w:color="auto"/>
            <w:right w:val="none" w:sz="0" w:space="0" w:color="auto"/>
          </w:divBdr>
        </w:div>
        <w:div w:id="1832403052">
          <w:marLeft w:val="640"/>
          <w:marRight w:val="0"/>
          <w:marTop w:val="0"/>
          <w:marBottom w:val="0"/>
          <w:divBdr>
            <w:top w:val="none" w:sz="0" w:space="0" w:color="auto"/>
            <w:left w:val="none" w:sz="0" w:space="0" w:color="auto"/>
            <w:bottom w:val="none" w:sz="0" w:space="0" w:color="auto"/>
            <w:right w:val="none" w:sz="0" w:space="0" w:color="auto"/>
          </w:divBdr>
        </w:div>
        <w:div w:id="891503205">
          <w:marLeft w:val="640"/>
          <w:marRight w:val="0"/>
          <w:marTop w:val="0"/>
          <w:marBottom w:val="0"/>
          <w:divBdr>
            <w:top w:val="none" w:sz="0" w:space="0" w:color="auto"/>
            <w:left w:val="none" w:sz="0" w:space="0" w:color="auto"/>
            <w:bottom w:val="none" w:sz="0" w:space="0" w:color="auto"/>
            <w:right w:val="none" w:sz="0" w:space="0" w:color="auto"/>
          </w:divBdr>
        </w:div>
        <w:div w:id="1228803508">
          <w:marLeft w:val="640"/>
          <w:marRight w:val="0"/>
          <w:marTop w:val="0"/>
          <w:marBottom w:val="0"/>
          <w:divBdr>
            <w:top w:val="none" w:sz="0" w:space="0" w:color="auto"/>
            <w:left w:val="none" w:sz="0" w:space="0" w:color="auto"/>
            <w:bottom w:val="none" w:sz="0" w:space="0" w:color="auto"/>
            <w:right w:val="none" w:sz="0" w:space="0" w:color="auto"/>
          </w:divBdr>
        </w:div>
        <w:div w:id="1382166892">
          <w:marLeft w:val="640"/>
          <w:marRight w:val="0"/>
          <w:marTop w:val="0"/>
          <w:marBottom w:val="0"/>
          <w:divBdr>
            <w:top w:val="none" w:sz="0" w:space="0" w:color="auto"/>
            <w:left w:val="none" w:sz="0" w:space="0" w:color="auto"/>
            <w:bottom w:val="none" w:sz="0" w:space="0" w:color="auto"/>
            <w:right w:val="none" w:sz="0" w:space="0" w:color="auto"/>
          </w:divBdr>
        </w:div>
        <w:div w:id="359474802">
          <w:marLeft w:val="640"/>
          <w:marRight w:val="0"/>
          <w:marTop w:val="0"/>
          <w:marBottom w:val="0"/>
          <w:divBdr>
            <w:top w:val="none" w:sz="0" w:space="0" w:color="auto"/>
            <w:left w:val="none" w:sz="0" w:space="0" w:color="auto"/>
            <w:bottom w:val="none" w:sz="0" w:space="0" w:color="auto"/>
            <w:right w:val="none" w:sz="0" w:space="0" w:color="auto"/>
          </w:divBdr>
        </w:div>
        <w:div w:id="1895582183">
          <w:marLeft w:val="640"/>
          <w:marRight w:val="0"/>
          <w:marTop w:val="0"/>
          <w:marBottom w:val="0"/>
          <w:divBdr>
            <w:top w:val="none" w:sz="0" w:space="0" w:color="auto"/>
            <w:left w:val="none" w:sz="0" w:space="0" w:color="auto"/>
            <w:bottom w:val="none" w:sz="0" w:space="0" w:color="auto"/>
            <w:right w:val="none" w:sz="0" w:space="0" w:color="auto"/>
          </w:divBdr>
        </w:div>
        <w:div w:id="2012024736">
          <w:marLeft w:val="640"/>
          <w:marRight w:val="0"/>
          <w:marTop w:val="0"/>
          <w:marBottom w:val="0"/>
          <w:divBdr>
            <w:top w:val="none" w:sz="0" w:space="0" w:color="auto"/>
            <w:left w:val="none" w:sz="0" w:space="0" w:color="auto"/>
            <w:bottom w:val="none" w:sz="0" w:space="0" w:color="auto"/>
            <w:right w:val="none" w:sz="0" w:space="0" w:color="auto"/>
          </w:divBdr>
        </w:div>
        <w:div w:id="790562655">
          <w:marLeft w:val="640"/>
          <w:marRight w:val="0"/>
          <w:marTop w:val="0"/>
          <w:marBottom w:val="0"/>
          <w:divBdr>
            <w:top w:val="none" w:sz="0" w:space="0" w:color="auto"/>
            <w:left w:val="none" w:sz="0" w:space="0" w:color="auto"/>
            <w:bottom w:val="none" w:sz="0" w:space="0" w:color="auto"/>
            <w:right w:val="none" w:sz="0" w:space="0" w:color="auto"/>
          </w:divBdr>
        </w:div>
        <w:div w:id="1192762860">
          <w:marLeft w:val="640"/>
          <w:marRight w:val="0"/>
          <w:marTop w:val="0"/>
          <w:marBottom w:val="0"/>
          <w:divBdr>
            <w:top w:val="none" w:sz="0" w:space="0" w:color="auto"/>
            <w:left w:val="none" w:sz="0" w:space="0" w:color="auto"/>
            <w:bottom w:val="none" w:sz="0" w:space="0" w:color="auto"/>
            <w:right w:val="none" w:sz="0" w:space="0" w:color="auto"/>
          </w:divBdr>
        </w:div>
        <w:div w:id="1757556834">
          <w:marLeft w:val="640"/>
          <w:marRight w:val="0"/>
          <w:marTop w:val="0"/>
          <w:marBottom w:val="0"/>
          <w:divBdr>
            <w:top w:val="none" w:sz="0" w:space="0" w:color="auto"/>
            <w:left w:val="none" w:sz="0" w:space="0" w:color="auto"/>
            <w:bottom w:val="none" w:sz="0" w:space="0" w:color="auto"/>
            <w:right w:val="none" w:sz="0" w:space="0" w:color="auto"/>
          </w:divBdr>
        </w:div>
        <w:div w:id="1561405692">
          <w:marLeft w:val="640"/>
          <w:marRight w:val="0"/>
          <w:marTop w:val="0"/>
          <w:marBottom w:val="0"/>
          <w:divBdr>
            <w:top w:val="none" w:sz="0" w:space="0" w:color="auto"/>
            <w:left w:val="none" w:sz="0" w:space="0" w:color="auto"/>
            <w:bottom w:val="none" w:sz="0" w:space="0" w:color="auto"/>
            <w:right w:val="none" w:sz="0" w:space="0" w:color="auto"/>
          </w:divBdr>
        </w:div>
        <w:div w:id="1786539256">
          <w:marLeft w:val="640"/>
          <w:marRight w:val="0"/>
          <w:marTop w:val="0"/>
          <w:marBottom w:val="0"/>
          <w:divBdr>
            <w:top w:val="none" w:sz="0" w:space="0" w:color="auto"/>
            <w:left w:val="none" w:sz="0" w:space="0" w:color="auto"/>
            <w:bottom w:val="none" w:sz="0" w:space="0" w:color="auto"/>
            <w:right w:val="none" w:sz="0" w:space="0" w:color="auto"/>
          </w:divBdr>
        </w:div>
        <w:div w:id="886184357">
          <w:marLeft w:val="640"/>
          <w:marRight w:val="0"/>
          <w:marTop w:val="0"/>
          <w:marBottom w:val="0"/>
          <w:divBdr>
            <w:top w:val="none" w:sz="0" w:space="0" w:color="auto"/>
            <w:left w:val="none" w:sz="0" w:space="0" w:color="auto"/>
            <w:bottom w:val="none" w:sz="0" w:space="0" w:color="auto"/>
            <w:right w:val="none" w:sz="0" w:space="0" w:color="auto"/>
          </w:divBdr>
        </w:div>
        <w:div w:id="1088841912">
          <w:marLeft w:val="640"/>
          <w:marRight w:val="0"/>
          <w:marTop w:val="0"/>
          <w:marBottom w:val="0"/>
          <w:divBdr>
            <w:top w:val="none" w:sz="0" w:space="0" w:color="auto"/>
            <w:left w:val="none" w:sz="0" w:space="0" w:color="auto"/>
            <w:bottom w:val="none" w:sz="0" w:space="0" w:color="auto"/>
            <w:right w:val="none" w:sz="0" w:space="0" w:color="auto"/>
          </w:divBdr>
        </w:div>
        <w:div w:id="303001125">
          <w:marLeft w:val="640"/>
          <w:marRight w:val="0"/>
          <w:marTop w:val="0"/>
          <w:marBottom w:val="0"/>
          <w:divBdr>
            <w:top w:val="none" w:sz="0" w:space="0" w:color="auto"/>
            <w:left w:val="none" w:sz="0" w:space="0" w:color="auto"/>
            <w:bottom w:val="none" w:sz="0" w:space="0" w:color="auto"/>
            <w:right w:val="none" w:sz="0" w:space="0" w:color="auto"/>
          </w:divBdr>
        </w:div>
        <w:div w:id="1630821357">
          <w:marLeft w:val="640"/>
          <w:marRight w:val="0"/>
          <w:marTop w:val="0"/>
          <w:marBottom w:val="0"/>
          <w:divBdr>
            <w:top w:val="none" w:sz="0" w:space="0" w:color="auto"/>
            <w:left w:val="none" w:sz="0" w:space="0" w:color="auto"/>
            <w:bottom w:val="none" w:sz="0" w:space="0" w:color="auto"/>
            <w:right w:val="none" w:sz="0" w:space="0" w:color="auto"/>
          </w:divBdr>
        </w:div>
        <w:div w:id="562985322">
          <w:marLeft w:val="640"/>
          <w:marRight w:val="0"/>
          <w:marTop w:val="0"/>
          <w:marBottom w:val="0"/>
          <w:divBdr>
            <w:top w:val="none" w:sz="0" w:space="0" w:color="auto"/>
            <w:left w:val="none" w:sz="0" w:space="0" w:color="auto"/>
            <w:bottom w:val="none" w:sz="0" w:space="0" w:color="auto"/>
            <w:right w:val="none" w:sz="0" w:space="0" w:color="auto"/>
          </w:divBdr>
        </w:div>
        <w:div w:id="2086414559">
          <w:marLeft w:val="640"/>
          <w:marRight w:val="0"/>
          <w:marTop w:val="0"/>
          <w:marBottom w:val="0"/>
          <w:divBdr>
            <w:top w:val="none" w:sz="0" w:space="0" w:color="auto"/>
            <w:left w:val="none" w:sz="0" w:space="0" w:color="auto"/>
            <w:bottom w:val="none" w:sz="0" w:space="0" w:color="auto"/>
            <w:right w:val="none" w:sz="0" w:space="0" w:color="auto"/>
          </w:divBdr>
        </w:div>
        <w:div w:id="1294795738">
          <w:marLeft w:val="640"/>
          <w:marRight w:val="0"/>
          <w:marTop w:val="0"/>
          <w:marBottom w:val="0"/>
          <w:divBdr>
            <w:top w:val="none" w:sz="0" w:space="0" w:color="auto"/>
            <w:left w:val="none" w:sz="0" w:space="0" w:color="auto"/>
            <w:bottom w:val="none" w:sz="0" w:space="0" w:color="auto"/>
            <w:right w:val="none" w:sz="0" w:space="0" w:color="auto"/>
          </w:divBdr>
        </w:div>
        <w:div w:id="2022466605">
          <w:marLeft w:val="640"/>
          <w:marRight w:val="0"/>
          <w:marTop w:val="0"/>
          <w:marBottom w:val="0"/>
          <w:divBdr>
            <w:top w:val="none" w:sz="0" w:space="0" w:color="auto"/>
            <w:left w:val="none" w:sz="0" w:space="0" w:color="auto"/>
            <w:bottom w:val="none" w:sz="0" w:space="0" w:color="auto"/>
            <w:right w:val="none" w:sz="0" w:space="0" w:color="auto"/>
          </w:divBdr>
        </w:div>
        <w:div w:id="1715422919">
          <w:marLeft w:val="640"/>
          <w:marRight w:val="0"/>
          <w:marTop w:val="0"/>
          <w:marBottom w:val="0"/>
          <w:divBdr>
            <w:top w:val="none" w:sz="0" w:space="0" w:color="auto"/>
            <w:left w:val="none" w:sz="0" w:space="0" w:color="auto"/>
            <w:bottom w:val="none" w:sz="0" w:space="0" w:color="auto"/>
            <w:right w:val="none" w:sz="0" w:space="0" w:color="auto"/>
          </w:divBdr>
        </w:div>
        <w:div w:id="848956083">
          <w:marLeft w:val="640"/>
          <w:marRight w:val="0"/>
          <w:marTop w:val="0"/>
          <w:marBottom w:val="0"/>
          <w:divBdr>
            <w:top w:val="none" w:sz="0" w:space="0" w:color="auto"/>
            <w:left w:val="none" w:sz="0" w:space="0" w:color="auto"/>
            <w:bottom w:val="none" w:sz="0" w:space="0" w:color="auto"/>
            <w:right w:val="none" w:sz="0" w:space="0" w:color="auto"/>
          </w:divBdr>
        </w:div>
        <w:div w:id="1628274114">
          <w:marLeft w:val="640"/>
          <w:marRight w:val="0"/>
          <w:marTop w:val="0"/>
          <w:marBottom w:val="0"/>
          <w:divBdr>
            <w:top w:val="none" w:sz="0" w:space="0" w:color="auto"/>
            <w:left w:val="none" w:sz="0" w:space="0" w:color="auto"/>
            <w:bottom w:val="none" w:sz="0" w:space="0" w:color="auto"/>
            <w:right w:val="none" w:sz="0" w:space="0" w:color="auto"/>
          </w:divBdr>
        </w:div>
        <w:div w:id="1331640764">
          <w:marLeft w:val="640"/>
          <w:marRight w:val="0"/>
          <w:marTop w:val="0"/>
          <w:marBottom w:val="0"/>
          <w:divBdr>
            <w:top w:val="none" w:sz="0" w:space="0" w:color="auto"/>
            <w:left w:val="none" w:sz="0" w:space="0" w:color="auto"/>
            <w:bottom w:val="none" w:sz="0" w:space="0" w:color="auto"/>
            <w:right w:val="none" w:sz="0" w:space="0" w:color="auto"/>
          </w:divBdr>
        </w:div>
        <w:div w:id="1207571689">
          <w:marLeft w:val="640"/>
          <w:marRight w:val="0"/>
          <w:marTop w:val="0"/>
          <w:marBottom w:val="0"/>
          <w:divBdr>
            <w:top w:val="none" w:sz="0" w:space="0" w:color="auto"/>
            <w:left w:val="none" w:sz="0" w:space="0" w:color="auto"/>
            <w:bottom w:val="none" w:sz="0" w:space="0" w:color="auto"/>
            <w:right w:val="none" w:sz="0" w:space="0" w:color="auto"/>
          </w:divBdr>
        </w:div>
        <w:div w:id="1274626777">
          <w:marLeft w:val="640"/>
          <w:marRight w:val="0"/>
          <w:marTop w:val="0"/>
          <w:marBottom w:val="0"/>
          <w:divBdr>
            <w:top w:val="none" w:sz="0" w:space="0" w:color="auto"/>
            <w:left w:val="none" w:sz="0" w:space="0" w:color="auto"/>
            <w:bottom w:val="none" w:sz="0" w:space="0" w:color="auto"/>
            <w:right w:val="none" w:sz="0" w:space="0" w:color="auto"/>
          </w:divBdr>
        </w:div>
        <w:div w:id="61106753">
          <w:marLeft w:val="640"/>
          <w:marRight w:val="0"/>
          <w:marTop w:val="0"/>
          <w:marBottom w:val="0"/>
          <w:divBdr>
            <w:top w:val="none" w:sz="0" w:space="0" w:color="auto"/>
            <w:left w:val="none" w:sz="0" w:space="0" w:color="auto"/>
            <w:bottom w:val="none" w:sz="0" w:space="0" w:color="auto"/>
            <w:right w:val="none" w:sz="0" w:space="0" w:color="auto"/>
          </w:divBdr>
        </w:div>
        <w:div w:id="1085683349">
          <w:marLeft w:val="640"/>
          <w:marRight w:val="0"/>
          <w:marTop w:val="0"/>
          <w:marBottom w:val="0"/>
          <w:divBdr>
            <w:top w:val="none" w:sz="0" w:space="0" w:color="auto"/>
            <w:left w:val="none" w:sz="0" w:space="0" w:color="auto"/>
            <w:bottom w:val="none" w:sz="0" w:space="0" w:color="auto"/>
            <w:right w:val="none" w:sz="0" w:space="0" w:color="auto"/>
          </w:divBdr>
        </w:div>
        <w:div w:id="1127820426">
          <w:marLeft w:val="640"/>
          <w:marRight w:val="0"/>
          <w:marTop w:val="0"/>
          <w:marBottom w:val="0"/>
          <w:divBdr>
            <w:top w:val="none" w:sz="0" w:space="0" w:color="auto"/>
            <w:left w:val="none" w:sz="0" w:space="0" w:color="auto"/>
            <w:bottom w:val="none" w:sz="0" w:space="0" w:color="auto"/>
            <w:right w:val="none" w:sz="0" w:space="0" w:color="auto"/>
          </w:divBdr>
        </w:div>
        <w:div w:id="1909529707">
          <w:marLeft w:val="640"/>
          <w:marRight w:val="0"/>
          <w:marTop w:val="0"/>
          <w:marBottom w:val="0"/>
          <w:divBdr>
            <w:top w:val="none" w:sz="0" w:space="0" w:color="auto"/>
            <w:left w:val="none" w:sz="0" w:space="0" w:color="auto"/>
            <w:bottom w:val="none" w:sz="0" w:space="0" w:color="auto"/>
            <w:right w:val="none" w:sz="0" w:space="0" w:color="auto"/>
          </w:divBdr>
        </w:div>
        <w:div w:id="1165240510">
          <w:marLeft w:val="640"/>
          <w:marRight w:val="0"/>
          <w:marTop w:val="0"/>
          <w:marBottom w:val="0"/>
          <w:divBdr>
            <w:top w:val="none" w:sz="0" w:space="0" w:color="auto"/>
            <w:left w:val="none" w:sz="0" w:space="0" w:color="auto"/>
            <w:bottom w:val="none" w:sz="0" w:space="0" w:color="auto"/>
            <w:right w:val="none" w:sz="0" w:space="0" w:color="auto"/>
          </w:divBdr>
        </w:div>
        <w:div w:id="309752857">
          <w:marLeft w:val="640"/>
          <w:marRight w:val="0"/>
          <w:marTop w:val="0"/>
          <w:marBottom w:val="0"/>
          <w:divBdr>
            <w:top w:val="none" w:sz="0" w:space="0" w:color="auto"/>
            <w:left w:val="none" w:sz="0" w:space="0" w:color="auto"/>
            <w:bottom w:val="none" w:sz="0" w:space="0" w:color="auto"/>
            <w:right w:val="none" w:sz="0" w:space="0" w:color="auto"/>
          </w:divBdr>
        </w:div>
        <w:div w:id="2132047609">
          <w:marLeft w:val="640"/>
          <w:marRight w:val="0"/>
          <w:marTop w:val="0"/>
          <w:marBottom w:val="0"/>
          <w:divBdr>
            <w:top w:val="none" w:sz="0" w:space="0" w:color="auto"/>
            <w:left w:val="none" w:sz="0" w:space="0" w:color="auto"/>
            <w:bottom w:val="none" w:sz="0" w:space="0" w:color="auto"/>
            <w:right w:val="none" w:sz="0" w:space="0" w:color="auto"/>
          </w:divBdr>
        </w:div>
        <w:div w:id="1737244344">
          <w:marLeft w:val="640"/>
          <w:marRight w:val="0"/>
          <w:marTop w:val="0"/>
          <w:marBottom w:val="0"/>
          <w:divBdr>
            <w:top w:val="none" w:sz="0" w:space="0" w:color="auto"/>
            <w:left w:val="none" w:sz="0" w:space="0" w:color="auto"/>
            <w:bottom w:val="none" w:sz="0" w:space="0" w:color="auto"/>
            <w:right w:val="none" w:sz="0" w:space="0" w:color="auto"/>
          </w:divBdr>
        </w:div>
        <w:div w:id="311913522">
          <w:marLeft w:val="640"/>
          <w:marRight w:val="0"/>
          <w:marTop w:val="0"/>
          <w:marBottom w:val="0"/>
          <w:divBdr>
            <w:top w:val="none" w:sz="0" w:space="0" w:color="auto"/>
            <w:left w:val="none" w:sz="0" w:space="0" w:color="auto"/>
            <w:bottom w:val="none" w:sz="0" w:space="0" w:color="auto"/>
            <w:right w:val="none" w:sz="0" w:space="0" w:color="auto"/>
          </w:divBdr>
        </w:div>
        <w:div w:id="1809007438">
          <w:marLeft w:val="640"/>
          <w:marRight w:val="0"/>
          <w:marTop w:val="0"/>
          <w:marBottom w:val="0"/>
          <w:divBdr>
            <w:top w:val="none" w:sz="0" w:space="0" w:color="auto"/>
            <w:left w:val="none" w:sz="0" w:space="0" w:color="auto"/>
            <w:bottom w:val="none" w:sz="0" w:space="0" w:color="auto"/>
            <w:right w:val="none" w:sz="0" w:space="0" w:color="auto"/>
          </w:divBdr>
        </w:div>
        <w:div w:id="1649168436">
          <w:marLeft w:val="640"/>
          <w:marRight w:val="0"/>
          <w:marTop w:val="0"/>
          <w:marBottom w:val="0"/>
          <w:divBdr>
            <w:top w:val="none" w:sz="0" w:space="0" w:color="auto"/>
            <w:left w:val="none" w:sz="0" w:space="0" w:color="auto"/>
            <w:bottom w:val="none" w:sz="0" w:space="0" w:color="auto"/>
            <w:right w:val="none" w:sz="0" w:space="0" w:color="auto"/>
          </w:divBdr>
        </w:div>
        <w:div w:id="639652692">
          <w:marLeft w:val="640"/>
          <w:marRight w:val="0"/>
          <w:marTop w:val="0"/>
          <w:marBottom w:val="0"/>
          <w:divBdr>
            <w:top w:val="none" w:sz="0" w:space="0" w:color="auto"/>
            <w:left w:val="none" w:sz="0" w:space="0" w:color="auto"/>
            <w:bottom w:val="none" w:sz="0" w:space="0" w:color="auto"/>
            <w:right w:val="none" w:sz="0" w:space="0" w:color="auto"/>
          </w:divBdr>
        </w:div>
        <w:div w:id="1398044767">
          <w:marLeft w:val="640"/>
          <w:marRight w:val="0"/>
          <w:marTop w:val="0"/>
          <w:marBottom w:val="0"/>
          <w:divBdr>
            <w:top w:val="none" w:sz="0" w:space="0" w:color="auto"/>
            <w:left w:val="none" w:sz="0" w:space="0" w:color="auto"/>
            <w:bottom w:val="none" w:sz="0" w:space="0" w:color="auto"/>
            <w:right w:val="none" w:sz="0" w:space="0" w:color="auto"/>
          </w:divBdr>
        </w:div>
        <w:div w:id="2038195970">
          <w:marLeft w:val="640"/>
          <w:marRight w:val="0"/>
          <w:marTop w:val="0"/>
          <w:marBottom w:val="0"/>
          <w:divBdr>
            <w:top w:val="none" w:sz="0" w:space="0" w:color="auto"/>
            <w:left w:val="none" w:sz="0" w:space="0" w:color="auto"/>
            <w:bottom w:val="none" w:sz="0" w:space="0" w:color="auto"/>
            <w:right w:val="none" w:sz="0" w:space="0" w:color="auto"/>
          </w:divBdr>
        </w:div>
        <w:div w:id="967517954">
          <w:marLeft w:val="640"/>
          <w:marRight w:val="0"/>
          <w:marTop w:val="0"/>
          <w:marBottom w:val="0"/>
          <w:divBdr>
            <w:top w:val="none" w:sz="0" w:space="0" w:color="auto"/>
            <w:left w:val="none" w:sz="0" w:space="0" w:color="auto"/>
            <w:bottom w:val="none" w:sz="0" w:space="0" w:color="auto"/>
            <w:right w:val="none" w:sz="0" w:space="0" w:color="auto"/>
          </w:divBdr>
        </w:div>
        <w:div w:id="1107310837">
          <w:marLeft w:val="640"/>
          <w:marRight w:val="0"/>
          <w:marTop w:val="0"/>
          <w:marBottom w:val="0"/>
          <w:divBdr>
            <w:top w:val="none" w:sz="0" w:space="0" w:color="auto"/>
            <w:left w:val="none" w:sz="0" w:space="0" w:color="auto"/>
            <w:bottom w:val="none" w:sz="0" w:space="0" w:color="auto"/>
            <w:right w:val="none" w:sz="0" w:space="0" w:color="auto"/>
          </w:divBdr>
        </w:div>
        <w:div w:id="1476027476">
          <w:marLeft w:val="640"/>
          <w:marRight w:val="0"/>
          <w:marTop w:val="0"/>
          <w:marBottom w:val="0"/>
          <w:divBdr>
            <w:top w:val="none" w:sz="0" w:space="0" w:color="auto"/>
            <w:left w:val="none" w:sz="0" w:space="0" w:color="auto"/>
            <w:bottom w:val="none" w:sz="0" w:space="0" w:color="auto"/>
            <w:right w:val="none" w:sz="0" w:space="0" w:color="auto"/>
          </w:divBdr>
        </w:div>
        <w:div w:id="1506359042">
          <w:marLeft w:val="640"/>
          <w:marRight w:val="0"/>
          <w:marTop w:val="0"/>
          <w:marBottom w:val="0"/>
          <w:divBdr>
            <w:top w:val="none" w:sz="0" w:space="0" w:color="auto"/>
            <w:left w:val="none" w:sz="0" w:space="0" w:color="auto"/>
            <w:bottom w:val="none" w:sz="0" w:space="0" w:color="auto"/>
            <w:right w:val="none" w:sz="0" w:space="0" w:color="auto"/>
          </w:divBdr>
        </w:div>
        <w:div w:id="1005211262">
          <w:marLeft w:val="640"/>
          <w:marRight w:val="0"/>
          <w:marTop w:val="0"/>
          <w:marBottom w:val="0"/>
          <w:divBdr>
            <w:top w:val="none" w:sz="0" w:space="0" w:color="auto"/>
            <w:left w:val="none" w:sz="0" w:space="0" w:color="auto"/>
            <w:bottom w:val="none" w:sz="0" w:space="0" w:color="auto"/>
            <w:right w:val="none" w:sz="0" w:space="0" w:color="auto"/>
          </w:divBdr>
        </w:div>
        <w:div w:id="1336686256">
          <w:marLeft w:val="640"/>
          <w:marRight w:val="0"/>
          <w:marTop w:val="0"/>
          <w:marBottom w:val="0"/>
          <w:divBdr>
            <w:top w:val="none" w:sz="0" w:space="0" w:color="auto"/>
            <w:left w:val="none" w:sz="0" w:space="0" w:color="auto"/>
            <w:bottom w:val="none" w:sz="0" w:space="0" w:color="auto"/>
            <w:right w:val="none" w:sz="0" w:space="0" w:color="auto"/>
          </w:divBdr>
        </w:div>
        <w:div w:id="512188941">
          <w:marLeft w:val="640"/>
          <w:marRight w:val="0"/>
          <w:marTop w:val="0"/>
          <w:marBottom w:val="0"/>
          <w:divBdr>
            <w:top w:val="none" w:sz="0" w:space="0" w:color="auto"/>
            <w:left w:val="none" w:sz="0" w:space="0" w:color="auto"/>
            <w:bottom w:val="none" w:sz="0" w:space="0" w:color="auto"/>
            <w:right w:val="none" w:sz="0" w:space="0" w:color="auto"/>
          </w:divBdr>
        </w:div>
        <w:div w:id="1776704842">
          <w:marLeft w:val="640"/>
          <w:marRight w:val="0"/>
          <w:marTop w:val="0"/>
          <w:marBottom w:val="0"/>
          <w:divBdr>
            <w:top w:val="none" w:sz="0" w:space="0" w:color="auto"/>
            <w:left w:val="none" w:sz="0" w:space="0" w:color="auto"/>
            <w:bottom w:val="none" w:sz="0" w:space="0" w:color="auto"/>
            <w:right w:val="none" w:sz="0" w:space="0" w:color="auto"/>
          </w:divBdr>
        </w:div>
        <w:div w:id="561450255">
          <w:marLeft w:val="640"/>
          <w:marRight w:val="0"/>
          <w:marTop w:val="0"/>
          <w:marBottom w:val="0"/>
          <w:divBdr>
            <w:top w:val="none" w:sz="0" w:space="0" w:color="auto"/>
            <w:left w:val="none" w:sz="0" w:space="0" w:color="auto"/>
            <w:bottom w:val="none" w:sz="0" w:space="0" w:color="auto"/>
            <w:right w:val="none" w:sz="0" w:space="0" w:color="auto"/>
          </w:divBdr>
        </w:div>
        <w:div w:id="311836135">
          <w:marLeft w:val="640"/>
          <w:marRight w:val="0"/>
          <w:marTop w:val="0"/>
          <w:marBottom w:val="0"/>
          <w:divBdr>
            <w:top w:val="none" w:sz="0" w:space="0" w:color="auto"/>
            <w:left w:val="none" w:sz="0" w:space="0" w:color="auto"/>
            <w:bottom w:val="none" w:sz="0" w:space="0" w:color="auto"/>
            <w:right w:val="none" w:sz="0" w:space="0" w:color="auto"/>
          </w:divBdr>
        </w:div>
        <w:div w:id="1953827588">
          <w:marLeft w:val="640"/>
          <w:marRight w:val="0"/>
          <w:marTop w:val="0"/>
          <w:marBottom w:val="0"/>
          <w:divBdr>
            <w:top w:val="none" w:sz="0" w:space="0" w:color="auto"/>
            <w:left w:val="none" w:sz="0" w:space="0" w:color="auto"/>
            <w:bottom w:val="none" w:sz="0" w:space="0" w:color="auto"/>
            <w:right w:val="none" w:sz="0" w:space="0" w:color="auto"/>
          </w:divBdr>
        </w:div>
        <w:div w:id="369959145">
          <w:marLeft w:val="640"/>
          <w:marRight w:val="0"/>
          <w:marTop w:val="0"/>
          <w:marBottom w:val="0"/>
          <w:divBdr>
            <w:top w:val="none" w:sz="0" w:space="0" w:color="auto"/>
            <w:left w:val="none" w:sz="0" w:space="0" w:color="auto"/>
            <w:bottom w:val="none" w:sz="0" w:space="0" w:color="auto"/>
            <w:right w:val="none" w:sz="0" w:space="0" w:color="auto"/>
          </w:divBdr>
        </w:div>
        <w:div w:id="1984238480">
          <w:marLeft w:val="640"/>
          <w:marRight w:val="0"/>
          <w:marTop w:val="0"/>
          <w:marBottom w:val="0"/>
          <w:divBdr>
            <w:top w:val="none" w:sz="0" w:space="0" w:color="auto"/>
            <w:left w:val="none" w:sz="0" w:space="0" w:color="auto"/>
            <w:bottom w:val="none" w:sz="0" w:space="0" w:color="auto"/>
            <w:right w:val="none" w:sz="0" w:space="0" w:color="auto"/>
          </w:divBdr>
        </w:div>
        <w:div w:id="556626353">
          <w:marLeft w:val="640"/>
          <w:marRight w:val="0"/>
          <w:marTop w:val="0"/>
          <w:marBottom w:val="0"/>
          <w:divBdr>
            <w:top w:val="none" w:sz="0" w:space="0" w:color="auto"/>
            <w:left w:val="none" w:sz="0" w:space="0" w:color="auto"/>
            <w:bottom w:val="none" w:sz="0" w:space="0" w:color="auto"/>
            <w:right w:val="none" w:sz="0" w:space="0" w:color="auto"/>
          </w:divBdr>
        </w:div>
        <w:div w:id="2070810005">
          <w:marLeft w:val="640"/>
          <w:marRight w:val="0"/>
          <w:marTop w:val="0"/>
          <w:marBottom w:val="0"/>
          <w:divBdr>
            <w:top w:val="none" w:sz="0" w:space="0" w:color="auto"/>
            <w:left w:val="none" w:sz="0" w:space="0" w:color="auto"/>
            <w:bottom w:val="none" w:sz="0" w:space="0" w:color="auto"/>
            <w:right w:val="none" w:sz="0" w:space="0" w:color="auto"/>
          </w:divBdr>
        </w:div>
        <w:div w:id="891767568">
          <w:marLeft w:val="640"/>
          <w:marRight w:val="0"/>
          <w:marTop w:val="0"/>
          <w:marBottom w:val="0"/>
          <w:divBdr>
            <w:top w:val="none" w:sz="0" w:space="0" w:color="auto"/>
            <w:left w:val="none" w:sz="0" w:space="0" w:color="auto"/>
            <w:bottom w:val="none" w:sz="0" w:space="0" w:color="auto"/>
            <w:right w:val="none" w:sz="0" w:space="0" w:color="auto"/>
          </w:divBdr>
        </w:div>
        <w:div w:id="1806006330">
          <w:marLeft w:val="640"/>
          <w:marRight w:val="0"/>
          <w:marTop w:val="0"/>
          <w:marBottom w:val="0"/>
          <w:divBdr>
            <w:top w:val="none" w:sz="0" w:space="0" w:color="auto"/>
            <w:left w:val="none" w:sz="0" w:space="0" w:color="auto"/>
            <w:bottom w:val="none" w:sz="0" w:space="0" w:color="auto"/>
            <w:right w:val="none" w:sz="0" w:space="0" w:color="auto"/>
          </w:divBdr>
        </w:div>
        <w:div w:id="1018703324">
          <w:marLeft w:val="640"/>
          <w:marRight w:val="0"/>
          <w:marTop w:val="0"/>
          <w:marBottom w:val="0"/>
          <w:divBdr>
            <w:top w:val="none" w:sz="0" w:space="0" w:color="auto"/>
            <w:left w:val="none" w:sz="0" w:space="0" w:color="auto"/>
            <w:bottom w:val="none" w:sz="0" w:space="0" w:color="auto"/>
            <w:right w:val="none" w:sz="0" w:space="0" w:color="auto"/>
          </w:divBdr>
        </w:div>
        <w:div w:id="599606975">
          <w:marLeft w:val="640"/>
          <w:marRight w:val="0"/>
          <w:marTop w:val="0"/>
          <w:marBottom w:val="0"/>
          <w:divBdr>
            <w:top w:val="none" w:sz="0" w:space="0" w:color="auto"/>
            <w:left w:val="none" w:sz="0" w:space="0" w:color="auto"/>
            <w:bottom w:val="none" w:sz="0" w:space="0" w:color="auto"/>
            <w:right w:val="none" w:sz="0" w:space="0" w:color="auto"/>
          </w:divBdr>
        </w:div>
        <w:div w:id="1229725219">
          <w:marLeft w:val="640"/>
          <w:marRight w:val="0"/>
          <w:marTop w:val="0"/>
          <w:marBottom w:val="0"/>
          <w:divBdr>
            <w:top w:val="none" w:sz="0" w:space="0" w:color="auto"/>
            <w:left w:val="none" w:sz="0" w:space="0" w:color="auto"/>
            <w:bottom w:val="none" w:sz="0" w:space="0" w:color="auto"/>
            <w:right w:val="none" w:sz="0" w:space="0" w:color="auto"/>
          </w:divBdr>
        </w:div>
        <w:div w:id="1388141341">
          <w:marLeft w:val="640"/>
          <w:marRight w:val="0"/>
          <w:marTop w:val="0"/>
          <w:marBottom w:val="0"/>
          <w:divBdr>
            <w:top w:val="none" w:sz="0" w:space="0" w:color="auto"/>
            <w:left w:val="none" w:sz="0" w:space="0" w:color="auto"/>
            <w:bottom w:val="none" w:sz="0" w:space="0" w:color="auto"/>
            <w:right w:val="none" w:sz="0" w:space="0" w:color="auto"/>
          </w:divBdr>
        </w:div>
        <w:div w:id="481656027">
          <w:marLeft w:val="640"/>
          <w:marRight w:val="0"/>
          <w:marTop w:val="0"/>
          <w:marBottom w:val="0"/>
          <w:divBdr>
            <w:top w:val="none" w:sz="0" w:space="0" w:color="auto"/>
            <w:left w:val="none" w:sz="0" w:space="0" w:color="auto"/>
            <w:bottom w:val="none" w:sz="0" w:space="0" w:color="auto"/>
            <w:right w:val="none" w:sz="0" w:space="0" w:color="auto"/>
          </w:divBdr>
        </w:div>
        <w:div w:id="336035732">
          <w:marLeft w:val="640"/>
          <w:marRight w:val="0"/>
          <w:marTop w:val="0"/>
          <w:marBottom w:val="0"/>
          <w:divBdr>
            <w:top w:val="none" w:sz="0" w:space="0" w:color="auto"/>
            <w:left w:val="none" w:sz="0" w:space="0" w:color="auto"/>
            <w:bottom w:val="none" w:sz="0" w:space="0" w:color="auto"/>
            <w:right w:val="none" w:sz="0" w:space="0" w:color="auto"/>
          </w:divBdr>
        </w:div>
        <w:div w:id="47922031">
          <w:marLeft w:val="640"/>
          <w:marRight w:val="0"/>
          <w:marTop w:val="0"/>
          <w:marBottom w:val="0"/>
          <w:divBdr>
            <w:top w:val="none" w:sz="0" w:space="0" w:color="auto"/>
            <w:left w:val="none" w:sz="0" w:space="0" w:color="auto"/>
            <w:bottom w:val="none" w:sz="0" w:space="0" w:color="auto"/>
            <w:right w:val="none" w:sz="0" w:space="0" w:color="auto"/>
          </w:divBdr>
        </w:div>
        <w:div w:id="766845934">
          <w:marLeft w:val="640"/>
          <w:marRight w:val="0"/>
          <w:marTop w:val="0"/>
          <w:marBottom w:val="0"/>
          <w:divBdr>
            <w:top w:val="none" w:sz="0" w:space="0" w:color="auto"/>
            <w:left w:val="none" w:sz="0" w:space="0" w:color="auto"/>
            <w:bottom w:val="none" w:sz="0" w:space="0" w:color="auto"/>
            <w:right w:val="none" w:sz="0" w:space="0" w:color="auto"/>
          </w:divBdr>
        </w:div>
        <w:div w:id="1691567379">
          <w:marLeft w:val="640"/>
          <w:marRight w:val="0"/>
          <w:marTop w:val="0"/>
          <w:marBottom w:val="0"/>
          <w:divBdr>
            <w:top w:val="none" w:sz="0" w:space="0" w:color="auto"/>
            <w:left w:val="none" w:sz="0" w:space="0" w:color="auto"/>
            <w:bottom w:val="none" w:sz="0" w:space="0" w:color="auto"/>
            <w:right w:val="none" w:sz="0" w:space="0" w:color="auto"/>
          </w:divBdr>
        </w:div>
        <w:div w:id="1638223373">
          <w:marLeft w:val="640"/>
          <w:marRight w:val="0"/>
          <w:marTop w:val="0"/>
          <w:marBottom w:val="0"/>
          <w:divBdr>
            <w:top w:val="none" w:sz="0" w:space="0" w:color="auto"/>
            <w:left w:val="none" w:sz="0" w:space="0" w:color="auto"/>
            <w:bottom w:val="none" w:sz="0" w:space="0" w:color="auto"/>
            <w:right w:val="none" w:sz="0" w:space="0" w:color="auto"/>
          </w:divBdr>
        </w:div>
        <w:div w:id="2136868038">
          <w:marLeft w:val="640"/>
          <w:marRight w:val="0"/>
          <w:marTop w:val="0"/>
          <w:marBottom w:val="0"/>
          <w:divBdr>
            <w:top w:val="none" w:sz="0" w:space="0" w:color="auto"/>
            <w:left w:val="none" w:sz="0" w:space="0" w:color="auto"/>
            <w:bottom w:val="none" w:sz="0" w:space="0" w:color="auto"/>
            <w:right w:val="none" w:sz="0" w:space="0" w:color="auto"/>
          </w:divBdr>
        </w:div>
        <w:div w:id="1636526782">
          <w:marLeft w:val="640"/>
          <w:marRight w:val="0"/>
          <w:marTop w:val="0"/>
          <w:marBottom w:val="0"/>
          <w:divBdr>
            <w:top w:val="none" w:sz="0" w:space="0" w:color="auto"/>
            <w:left w:val="none" w:sz="0" w:space="0" w:color="auto"/>
            <w:bottom w:val="none" w:sz="0" w:space="0" w:color="auto"/>
            <w:right w:val="none" w:sz="0" w:space="0" w:color="auto"/>
          </w:divBdr>
        </w:div>
        <w:div w:id="861556126">
          <w:marLeft w:val="640"/>
          <w:marRight w:val="0"/>
          <w:marTop w:val="0"/>
          <w:marBottom w:val="0"/>
          <w:divBdr>
            <w:top w:val="none" w:sz="0" w:space="0" w:color="auto"/>
            <w:left w:val="none" w:sz="0" w:space="0" w:color="auto"/>
            <w:bottom w:val="none" w:sz="0" w:space="0" w:color="auto"/>
            <w:right w:val="none" w:sz="0" w:space="0" w:color="auto"/>
          </w:divBdr>
        </w:div>
        <w:div w:id="207421654">
          <w:marLeft w:val="640"/>
          <w:marRight w:val="0"/>
          <w:marTop w:val="0"/>
          <w:marBottom w:val="0"/>
          <w:divBdr>
            <w:top w:val="none" w:sz="0" w:space="0" w:color="auto"/>
            <w:left w:val="none" w:sz="0" w:space="0" w:color="auto"/>
            <w:bottom w:val="none" w:sz="0" w:space="0" w:color="auto"/>
            <w:right w:val="none" w:sz="0" w:space="0" w:color="auto"/>
          </w:divBdr>
        </w:div>
        <w:div w:id="2069375573">
          <w:marLeft w:val="640"/>
          <w:marRight w:val="0"/>
          <w:marTop w:val="0"/>
          <w:marBottom w:val="0"/>
          <w:divBdr>
            <w:top w:val="none" w:sz="0" w:space="0" w:color="auto"/>
            <w:left w:val="none" w:sz="0" w:space="0" w:color="auto"/>
            <w:bottom w:val="none" w:sz="0" w:space="0" w:color="auto"/>
            <w:right w:val="none" w:sz="0" w:space="0" w:color="auto"/>
          </w:divBdr>
        </w:div>
        <w:div w:id="312685498">
          <w:marLeft w:val="640"/>
          <w:marRight w:val="0"/>
          <w:marTop w:val="0"/>
          <w:marBottom w:val="0"/>
          <w:divBdr>
            <w:top w:val="none" w:sz="0" w:space="0" w:color="auto"/>
            <w:left w:val="none" w:sz="0" w:space="0" w:color="auto"/>
            <w:bottom w:val="none" w:sz="0" w:space="0" w:color="auto"/>
            <w:right w:val="none" w:sz="0" w:space="0" w:color="auto"/>
          </w:divBdr>
        </w:div>
        <w:div w:id="970742204">
          <w:marLeft w:val="640"/>
          <w:marRight w:val="0"/>
          <w:marTop w:val="0"/>
          <w:marBottom w:val="0"/>
          <w:divBdr>
            <w:top w:val="none" w:sz="0" w:space="0" w:color="auto"/>
            <w:left w:val="none" w:sz="0" w:space="0" w:color="auto"/>
            <w:bottom w:val="none" w:sz="0" w:space="0" w:color="auto"/>
            <w:right w:val="none" w:sz="0" w:space="0" w:color="auto"/>
          </w:divBdr>
        </w:div>
        <w:div w:id="1974018968">
          <w:marLeft w:val="640"/>
          <w:marRight w:val="0"/>
          <w:marTop w:val="0"/>
          <w:marBottom w:val="0"/>
          <w:divBdr>
            <w:top w:val="none" w:sz="0" w:space="0" w:color="auto"/>
            <w:left w:val="none" w:sz="0" w:space="0" w:color="auto"/>
            <w:bottom w:val="none" w:sz="0" w:space="0" w:color="auto"/>
            <w:right w:val="none" w:sz="0" w:space="0" w:color="auto"/>
          </w:divBdr>
        </w:div>
        <w:div w:id="373316030">
          <w:marLeft w:val="640"/>
          <w:marRight w:val="0"/>
          <w:marTop w:val="0"/>
          <w:marBottom w:val="0"/>
          <w:divBdr>
            <w:top w:val="none" w:sz="0" w:space="0" w:color="auto"/>
            <w:left w:val="none" w:sz="0" w:space="0" w:color="auto"/>
            <w:bottom w:val="none" w:sz="0" w:space="0" w:color="auto"/>
            <w:right w:val="none" w:sz="0" w:space="0" w:color="auto"/>
          </w:divBdr>
        </w:div>
        <w:div w:id="1970474750">
          <w:marLeft w:val="640"/>
          <w:marRight w:val="0"/>
          <w:marTop w:val="0"/>
          <w:marBottom w:val="0"/>
          <w:divBdr>
            <w:top w:val="none" w:sz="0" w:space="0" w:color="auto"/>
            <w:left w:val="none" w:sz="0" w:space="0" w:color="auto"/>
            <w:bottom w:val="none" w:sz="0" w:space="0" w:color="auto"/>
            <w:right w:val="none" w:sz="0" w:space="0" w:color="auto"/>
          </w:divBdr>
        </w:div>
        <w:div w:id="1170873084">
          <w:marLeft w:val="640"/>
          <w:marRight w:val="0"/>
          <w:marTop w:val="0"/>
          <w:marBottom w:val="0"/>
          <w:divBdr>
            <w:top w:val="none" w:sz="0" w:space="0" w:color="auto"/>
            <w:left w:val="none" w:sz="0" w:space="0" w:color="auto"/>
            <w:bottom w:val="none" w:sz="0" w:space="0" w:color="auto"/>
            <w:right w:val="none" w:sz="0" w:space="0" w:color="auto"/>
          </w:divBdr>
        </w:div>
        <w:div w:id="525295650">
          <w:marLeft w:val="640"/>
          <w:marRight w:val="0"/>
          <w:marTop w:val="0"/>
          <w:marBottom w:val="0"/>
          <w:divBdr>
            <w:top w:val="none" w:sz="0" w:space="0" w:color="auto"/>
            <w:left w:val="none" w:sz="0" w:space="0" w:color="auto"/>
            <w:bottom w:val="none" w:sz="0" w:space="0" w:color="auto"/>
            <w:right w:val="none" w:sz="0" w:space="0" w:color="auto"/>
          </w:divBdr>
        </w:div>
        <w:div w:id="796339377">
          <w:marLeft w:val="640"/>
          <w:marRight w:val="0"/>
          <w:marTop w:val="0"/>
          <w:marBottom w:val="0"/>
          <w:divBdr>
            <w:top w:val="none" w:sz="0" w:space="0" w:color="auto"/>
            <w:left w:val="none" w:sz="0" w:space="0" w:color="auto"/>
            <w:bottom w:val="none" w:sz="0" w:space="0" w:color="auto"/>
            <w:right w:val="none" w:sz="0" w:space="0" w:color="auto"/>
          </w:divBdr>
        </w:div>
        <w:div w:id="1962958946">
          <w:marLeft w:val="640"/>
          <w:marRight w:val="0"/>
          <w:marTop w:val="0"/>
          <w:marBottom w:val="0"/>
          <w:divBdr>
            <w:top w:val="none" w:sz="0" w:space="0" w:color="auto"/>
            <w:left w:val="none" w:sz="0" w:space="0" w:color="auto"/>
            <w:bottom w:val="none" w:sz="0" w:space="0" w:color="auto"/>
            <w:right w:val="none" w:sz="0" w:space="0" w:color="auto"/>
          </w:divBdr>
        </w:div>
        <w:div w:id="341399833">
          <w:marLeft w:val="640"/>
          <w:marRight w:val="0"/>
          <w:marTop w:val="0"/>
          <w:marBottom w:val="0"/>
          <w:divBdr>
            <w:top w:val="none" w:sz="0" w:space="0" w:color="auto"/>
            <w:left w:val="none" w:sz="0" w:space="0" w:color="auto"/>
            <w:bottom w:val="none" w:sz="0" w:space="0" w:color="auto"/>
            <w:right w:val="none" w:sz="0" w:space="0" w:color="auto"/>
          </w:divBdr>
        </w:div>
        <w:div w:id="159976872">
          <w:marLeft w:val="640"/>
          <w:marRight w:val="0"/>
          <w:marTop w:val="0"/>
          <w:marBottom w:val="0"/>
          <w:divBdr>
            <w:top w:val="none" w:sz="0" w:space="0" w:color="auto"/>
            <w:left w:val="none" w:sz="0" w:space="0" w:color="auto"/>
            <w:bottom w:val="none" w:sz="0" w:space="0" w:color="auto"/>
            <w:right w:val="none" w:sz="0" w:space="0" w:color="auto"/>
          </w:divBdr>
        </w:div>
        <w:div w:id="683673353">
          <w:marLeft w:val="640"/>
          <w:marRight w:val="0"/>
          <w:marTop w:val="0"/>
          <w:marBottom w:val="0"/>
          <w:divBdr>
            <w:top w:val="none" w:sz="0" w:space="0" w:color="auto"/>
            <w:left w:val="none" w:sz="0" w:space="0" w:color="auto"/>
            <w:bottom w:val="none" w:sz="0" w:space="0" w:color="auto"/>
            <w:right w:val="none" w:sz="0" w:space="0" w:color="auto"/>
          </w:divBdr>
        </w:div>
        <w:div w:id="1370885304">
          <w:marLeft w:val="640"/>
          <w:marRight w:val="0"/>
          <w:marTop w:val="0"/>
          <w:marBottom w:val="0"/>
          <w:divBdr>
            <w:top w:val="none" w:sz="0" w:space="0" w:color="auto"/>
            <w:left w:val="none" w:sz="0" w:space="0" w:color="auto"/>
            <w:bottom w:val="none" w:sz="0" w:space="0" w:color="auto"/>
            <w:right w:val="none" w:sz="0" w:space="0" w:color="auto"/>
          </w:divBdr>
        </w:div>
        <w:div w:id="231742966">
          <w:marLeft w:val="640"/>
          <w:marRight w:val="0"/>
          <w:marTop w:val="0"/>
          <w:marBottom w:val="0"/>
          <w:divBdr>
            <w:top w:val="none" w:sz="0" w:space="0" w:color="auto"/>
            <w:left w:val="none" w:sz="0" w:space="0" w:color="auto"/>
            <w:bottom w:val="none" w:sz="0" w:space="0" w:color="auto"/>
            <w:right w:val="none" w:sz="0" w:space="0" w:color="auto"/>
          </w:divBdr>
        </w:div>
        <w:div w:id="1686052371">
          <w:marLeft w:val="640"/>
          <w:marRight w:val="0"/>
          <w:marTop w:val="0"/>
          <w:marBottom w:val="0"/>
          <w:divBdr>
            <w:top w:val="none" w:sz="0" w:space="0" w:color="auto"/>
            <w:left w:val="none" w:sz="0" w:space="0" w:color="auto"/>
            <w:bottom w:val="none" w:sz="0" w:space="0" w:color="auto"/>
            <w:right w:val="none" w:sz="0" w:space="0" w:color="auto"/>
          </w:divBdr>
        </w:div>
        <w:div w:id="2014600771">
          <w:marLeft w:val="640"/>
          <w:marRight w:val="0"/>
          <w:marTop w:val="0"/>
          <w:marBottom w:val="0"/>
          <w:divBdr>
            <w:top w:val="none" w:sz="0" w:space="0" w:color="auto"/>
            <w:left w:val="none" w:sz="0" w:space="0" w:color="auto"/>
            <w:bottom w:val="none" w:sz="0" w:space="0" w:color="auto"/>
            <w:right w:val="none" w:sz="0" w:space="0" w:color="auto"/>
          </w:divBdr>
        </w:div>
        <w:div w:id="2123725067">
          <w:marLeft w:val="640"/>
          <w:marRight w:val="0"/>
          <w:marTop w:val="0"/>
          <w:marBottom w:val="0"/>
          <w:divBdr>
            <w:top w:val="none" w:sz="0" w:space="0" w:color="auto"/>
            <w:left w:val="none" w:sz="0" w:space="0" w:color="auto"/>
            <w:bottom w:val="none" w:sz="0" w:space="0" w:color="auto"/>
            <w:right w:val="none" w:sz="0" w:space="0" w:color="auto"/>
          </w:divBdr>
        </w:div>
        <w:div w:id="685521878">
          <w:marLeft w:val="640"/>
          <w:marRight w:val="0"/>
          <w:marTop w:val="0"/>
          <w:marBottom w:val="0"/>
          <w:divBdr>
            <w:top w:val="none" w:sz="0" w:space="0" w:color="auto"/>
            <w:left w:val="none" w:sz="0" w:space="0" w:color="auto"/>
            <w:bottom w:val="none" w:sz="0" w:space="0" w:color="auto"/>
            <w:right w:val="none" w:sz="0" w:space="0" w:color="auto"/>
          </w:divBdr>
        </w:div>
        <w:div w:id="919631907">
          <w:marLeft w:val="640"/>
          <w:marRight w:val="0"/>
          <w:marTop w:val="0"/>
          <w:marBottom w:val="0"/>
          <w:divBdr>
            <w:top w:val="none" w:sz="0" w:space="0" w:color="auto"/>
            <w:left w:val="none" w:sz="0" w:space="0" w:color="auto"/>
            <w:bottom w:val="none" w:sz="0" w:space="0" w:color="auto"/>
            <w:right w:val="none" w:sz="0" w:space="0" w:color="auto"/>
          </w:divBdr>
        </w:div>
        <w:div w:id="1010568701">
          <w:marLeft w:val="640"/>
          <w:marRight w:val="0"/>
          <w:marTop w:val="0"/>
          <w:marBottom w:val="0"/>
          <w:divBdr>
            <w:top w:val="none" w:sz="0" w:space="0" w:color="auto"/>
            <w:left w:val="none" w:sz="0" w:space="0" w:color="auto"/>
            <w:bottom w:val="none" w:sz="0" w:space="0" w:color="auto"/>
            <w:right w:val="none" w:sz="0" w:space="0" w:color="auto"/>
          </w:divBdr>
        </w:div>
        <w:div w:id="1775517670">
          <w:marLeft w:val="640"/>
          <w:marRight w:val="0"/>
          <w:marTop w:val="0"/>
          <w:marBottom w:val="0"/>
          <w:divBdr>
            <w:top w:val="none" w:sz="0" w:space="0" w:color="auto"/>
            <w:left w:val="none" w:sz="0" w:space="0" w:color="auto"/>
            <w:bottom w:val="none" w:sz="0" w:space="0" w:color="auto"/>
            <w:right w:val="none" w:sz="0" w:space="0" w:color="auto"/>
          </w:divBdr>
        </w:div>
        <w:div w:id="1265382627">
          <w:marLeft w:val="640"/>
          <w:marRight w:val="0"/>
          <w:marTop w:val="0"/>
          <w:marBottom w:val="0"/>
          <w:divBdr>
            <w:top w:val="none" w:sz="0" w:space="0" w:color="auto"/>
            <w:left w:val="none" w:sz="0" w:space="0" w:color="auto"/>
            <w:bottom w:val="none" w:sz="0" w:space="0" w:color="auto"/>
            <w:right w:val="none" w:sz="0" w:space="0" w:color="auto"/>
          </w:divBdr>
        </w:div>
        <w:div w:id="1250046884">
          <w:marLeft w:val="640"/>
          <w:marRight w:val="0"/>
          <w:marTop w:val="0"/>
          <w:marBottom w:val="0"/>
          <w:divBdr>
            <w:top w:val="none" w:sz="0" w:space="0" w:color="auto"/>
            <w:left w:val="none" w:sz="0" w:space="0" w:color="auto"/>
            <w:bottom w:val="none" w:sz="0" w:space="0" w:color="auto"/>
            <w:right w:val="none" w:sz="0" w:space="0" w:color="auto"/>
          </w:divBdr>
        </w:div>
        <w:div w:id="819268776">
          <w:marLeft w:val="640"/>
          <w:marRight w:val="0"/>
          <w:marTop w:val="0"/>
          <w:marBottom w:val="0"/>
          <w:divBdr>
            <w:top w:val="none" w:sz="0" w:space="0" w:color="auto"/>
            <w:left w:val="none" w:sz="0" w:space="0" w:color="auto"/>
            <w:bottom w:val="none" w:sz="0" w:space="0" w:color="auto"/>
            <w:right w:val="none" w:sz="0" w:space="0" w:color="auto"/>
          </w:divBdr>
        </w:div>
        <w:div w:id="2056611823">
          <w:marLeft w:val="640"/>
          <w:marRight w:val="0"/>
          <w:marTop w:val="0"/>
          <w:marBottom w:val="0"/>
          <w:divBdr>
            <w:top w:val="none" w:sz="0" w:space="0" w:color="auto"/>
            <w:left w:val="none" w:sz="0" w:space="0" w:color="auto"/>
            <w:bottom w:val="none" w:sz="0" w:space="0" w:color="auto"/>
            <w:right w:val="none" w:sz="0" w:space="0" w:color="auto"/>
          </w:divBdr>
        </w:div>
        <w:div w:id="79647373">
          <w:marLeft w:val="640"/>
          <w:marRight w:val="0"/>
          <w:marTop w:val="0"/>
          <w:marBottom w:val="0"/>
          <w:divBdr>
            <w:top w:val="none" w:sz="0" w:space="0" w:color="auto"/>
            <w:left w:val="none" w:sz="0" w:space="0" w:color="auto"/>
            <w:bottom w:val="none" w:sz="0" w:space="0" w:color="auto"/>
            <w:right w:val="none" w:sz="0" w:space="0" w:color="auto"/>
          </w:divBdr>
        </w:div>
        <w:div w:id="192378891">
          <w:marLeft w:val="640"/>
          <w:marRight w:val="0"/>
          <w:marTop w:val="0"/>
          <w:marBottom w:val="0"/>
          <w:divBdr>
            <w:top w:val="none" w:sz="0" w:space="0" w:color="auto"/>
            <w:left w:val="none" w:sz="0" w:space="0" w:color="auto"/>
            <w:bottom w:val="none" w:sz="0" w:space="0" w:color="auto"/>
            <w:right w:val="none" w:sz="0" w:space="0" w:color="auto"/>
          </w:divBdr>
        </w:div>
        <w:div w:id="445320246">
          <w:marLeft w:val="640"/>
          <w:marRight w:val="0"/>
          <w:marTop w:val="0"/>
          <w:marBottom w:val="0"/>
          <w:divBdr>
            <w:top w:val="none" w:sz="0" w:space="0" w:color="auto"/>
            <w:left w:val="none" w:sz="0" w:space="0" w:color="auto"/>
            <w:bottom w:val="none" w:sz="0" w:space="0" w:color="auto"/>
            <w:right w:val="none" w:sz="0" w:space="0" w:color="auto"/>
          </w:divBdr>
        </w:div>
        <w:div w:id="924336332">
          <w:marLeft w:val="640"/>
          <w:marRight w:val="0"/>
          <w:marTop w:val="0"/>
          <w:marBottom w:val="0"/>
          <w:divBdr>
            <w:top w:val="none" w:sz="0" w:space="0" w:color="auto"/>
            <w:left w:val="none" w:sz="0" w:space="0" w:color="auto"/>
            <w:bottom w:val="none" w:sz="0" w:space="0" w:color="auto"/>
            <w:right w:val="none" w:sz="0" w:space="0" w:color="auto"/>
          </w:divBdr>
        </w:div>
        <w:div w:id="318390123">
          <w:marLeft w:val="640"/>
          <w:marRight w:val="0"/>
          <w:marTop w:val="0"/>
          <w:marBottom w:val="0"/>
          <w:divBdr>
            <w:top w:val="none" w:sz="0" w:space="0" w:color="auto"/>
            <w:left w:val="none" w:sz="0" w:space="0" w:color="auto"/>
            <w:bottom w:val="none" w:sz="0" w:space="0" w:color="auto"/>
            <w:right w:val="none" w:sz="0" w:space="0" w:color="auto"/>
          </w:divBdr>
        </w:div>
        <w:div w:id="1497839824">
          <w:marLeft w:val="640"/>
          <w:marRight w:val="0"/>
          <w:marTop w:val="0"/>
          <w:marBottom w:val="0"/>
          <w:divBdr>
            <w:top w:val="none" w:sz="0" w:space="0" w:color="auto"/>
            <w:left w:val="none" w:sz="0" w:space="0" w:color="auto"/>
            <w:bottom w:val="none" w:sz="0" w:space="0" w:color="auto"/>
            <w:right w:val="none" w:sz="0" w:space="0" w:color="auto"/>
          </w:divBdr>
        </w:div>
        <w:div w:id="1312712860">
          <w:marLeft w:val="640"/>
          <w:marRight w:val="0"/>
          <w:marTop w:val="0"/>
          <w:marBottom w:val="0"/>
          <w:divBdr>
            <w:top w:val="none" w:sz="0" w:space="0" w:color="auto"/>
            <w:left w:val="none" w:sz="0" w:space="0" w:color="auto"/>
            <w:bottom w:val="none" w:sz="0" w:space="0" w:color="auto"/>
            <w:right w:val="none" w:sz="0" w:space="0" w:color="auto"/>
          </w:divBdr>
        </w:div>
        <w:div w:id="645815594">
          <w:marLeft w:val="640"/>
          <w:marRight w:val="0"/>
          <w:marTop w:val="0"/>
          <w:marBottom w:val="0"/>
          <w:divBdr>
            <w:top w:val="none" w:sz="0" w:space="0" w:color="auto"/>
            <w:left w:val="none" w:sz="0" w:space="0" w:color="auto"/>
            <w:bottom w:val="none" w:sz="0" w:space="0" w:color="auto"/>
            <w:right w:val="none" w:sz="0" w:space="0" w:color="auto"/>
          </w:divBdr>
        </w:div>
        <w:div w:id="995693970">
          <w:marLeft w:val="640"/>
          <w:marRight w:val="0"/>
          <w:marTop w:val="0"/>
          <w:marBottom w:val="0"/>
          <w:divBdr>
            <w:top w:val="none" w:sz="0" w:space="0" w:color="auto"/>
            <w:left w:val="none" w:sz="0" w:space="0" w:color="auto"/>
            <w:bottom w:val="none" w:sz="0" w:space="0" w:color="auto"/>
            <w:right w:val="none" w:sz="0" w:space="0" w:color="auto"/>
          </w:divBdr>
        </w:div>
        <w:div w:id="417948688">
          <w:marLeft w:val="640"/>
          <w:marRight w:val="0"/>
          <w:marTop w:val="0"/>
          <w:marBottom w:val="0"/>
          <w:divBdr>
            <w:top w:val="none" w:sz="0" w:space="0" w:color="auto"/>
            <w:left w:val="none" w:sz="0" w:space="0" w:color="auto"/>
            <w:bottom w:val="none" w:sz="0" w:space="0" w:color="auto"/>
            <w:right w:val="none" w:sz="0" w:space="0" w:color="auto"/>
          </w:divBdr>
        </w:div>
        <w:div w:id="932203650">
          <w:marLeft w:val="640"/>
          <w:marRight w:val="0"/>
          <w:marTop w:val="0"/>
          <w:marBottom w:val="0"/>
          <w:divBdr>
            <w:top w:val="none" w:sz="0" w:space="0" w:color="auto"/>
            <w:left w:val="none" w:sz="0" w:space="0" w:color="auto"/>
            <w:bottom w:val="none" w:sz="0" w:space="0" w:color="auto"/>
            <w:right w:val="none" w:sz="0" w:space="0" w:color="auto"/>
          </w:divBdr>
        </w:div>
        <w:div w:id="524944764">
          <w:marLeft w:val="640"/>
          <w:marRight w:val="0"/>
          <w:marTop w:val="0"/>
          <w:marBottom w:val="0"/>
          <w:divBdr>
            <w:top w:val="none" w:sz="0" w:space="0" w:color="auto"/>
            <w:left w:val="none" w:sz="0" w:space="0" w:color="auto"/>
            <w:bottom w:val="none" w:sz="0" w:space="0" w:color="auto"/>
            <w:right w:val="none" w:sz="0" w:space="0" w:color="auto"/>
          </w:divBdr>
        </w:div>
        <w:div w:id="1110592156">
          <w:marLeft w:val="640"/>
          <w:marRight w:val="0"/>
          <w:marTop w:val="0"/>
          <w:marBottom w:val="0"/>
          <w:divBdr>
            <w:top w:val="none" w:sz="0" w:space="0" w:color="auto"/>
            <w:left w:val="none" w:sz="0" w:space="0" w:color="auto"/>
            <w:bottom w:val="none" w:sz="0" w:space="0" w:color="auto"/>
            <w:right w:val="none" w:sz="0" w:space="0" w:color="auto"/>
          </w:divBdr>
        </w:div>
        <w:div w:id="439300960">
          <w:marLeft w:val="640"/>
          <w:marRight w:val="0"/>
          <w:marTop w:val="0"/>
          <w:marBottom w:val="0"/>
          <w:divBdr>
            <w:top w:val="none" w:sz="0" w:space="0" w:color="auto"/>
            <w:left w:val="none" w:sz="0" w:space="0" w:color="auto"/>
            <w:bottom w:val="none" w:sz="0" w:space="0" w:color="auto"/>
            <w:right w:val="none" w:sz="0" w:space="0" w:color="auto"/>
          </w:divBdr>
        </w:div>
        <w:div w:id="1307734296">
          <w:marLeft w:val="640"/>
          <w:marRight w:val="0"/>
          <w:marTop w:val="0"/>
          <w:marBottom w:val="0"/>
          <w:divBdr>
            <w:top w:val="none" w:sz="0" w:space="0" w:color="auto"/>
            <w:left w:val="none" w:sz="0" w:space="0" w:color="auto"/>
            <w:bottom w:val="none" w:sz="0" w:space="0" w:color="auto"/>
            <w:right w:val="none" w:sz="0" w:space="0" w:color="auto"/>
          </w:divBdr>
        </w:div>
        <w:div w:id="766120562">
          <w:marLeft w:val="640"/>
          <w:marRight w:val="0"/>
          <w:marTop w:val="0"/>
          <w:marBottom w:val="0"/>
          <w:divBdr>
            <w:top w:val="none" w:sz="0" w:space="0" w:color="auto"/>
            <w:left w:val="none" w:sz="0" w:space="0" w:color="auto"/>
            <w:bottom w:val="none" w:sz="0" w:space="0" w:color="auto"/>
            <w:right w:val="none" w:sz="0" w:space="0" w:color="auto"/>
          </w:divBdr>
        </w:div>
        <w:div w:id="1627814578">
          <w:marLeft w:val="640"/>
          <w:marRight w:val="0"/>
          <w:marTop w:val="0"/>
          <w:marBottom w:val="0"/>
          <w:divBdr>
            <w:top w:val="none" w:sz="0" w:space="0" w:color="auto"/>
            <w:left w:val="none" w:sz="0" w:space="0" w:color="auto"/>
            <w:bottom w:val="none" w:sz="0" w:space="0" w:color="auto"/>
            <w:right w:val="none" w:sz="0" w:space="0" w:color="auto"/>
          </w:divBdr>
        </w:div>
        <w:div w:id="1446272800">
          <w:marLeft w:val="640"/>
          <w:marRight w:val="0"/>
          <w:marTop w:val="0"/>
          <w:marBottom w:val="0"/>
          <w:divBdr>
            <w:top w:val="none" w:sz="0" w:space="0" w:color="auto"/>
            <w:left w:val="none" w:sz="0" w:space="0" w:color="auto"/>
            <w:bottom w:val="none" w:sz="0" w:space="0" w:color="auto"/>
            <w:right w:val="none" w:sz="0" w:space="0" w:color="auto"/>
          </w:divBdr>
        </w:div>
        <w:div w:id="1588684531">
          <w:marLeft w:val="640"/>
          <w:marRight w:val="0"/>
          <w:marTop w:val="0"/>
          <w:marBottom w:val="0"/>
          <w:divBdr>
            <w:top w:val="none" w:sz="0" w:space="0" w:color="auto"/>
            <w:left w:val="none" w:sz="0" w:space="0" w:color="auto"/>
            <w:bottom w:val="none" w:sz="0" w:space="0" w:color="auto"/>
            <w:right w:val="none" w:sz="0" w:space="0" w:color="auto"/>
          </w:divBdr>
        </w:div>
        <w:div w:id="1659504381">
          <w:marLeft w:val="640"/>
          <w:marRight w:val="0"/>
          <w:marTop w:val="0"/>
          <w:marBottom w:val="0"/>
          <w:divBdr>
            <w:top w:val="none" w:sz="0" w:space="0" w:color="auto"/>
            <w:left w:val="none" w:sz="0" w:space="0" w:color="auto"/>
            <w:bottom w:val="none" w:sz="0" w:space="0" w:color="auto"/>
            <w:right w:val="none" w:sz="0" w:space="0" w:color="auto"/>
          </w:divBdr>
        </w:div>
        <w:div w:id="318850981">
          <w:marLeft w:val="640"/>
          <w:marRight w:val="0"/>
          <w:marTop w:val="0"/>
          <w:marBottom w:val="0"/>
          <w:divBdr>
            <w:top w:val="none" w:sz="0" w:space="0" w:color="auto"/>
            <w:left w:val="none" w:sz="0" w:space="0" w:color="auto"/>
            <w:bottom w:val="none" w:sz="0" w:space="0" w:color="auto"/>
            <w:right w:val="none" w:sz="0" w:space="0" w:color="auto"/>
          </w:divBdr>
        </w:div>
        <w:div w:id="564069174">
          <w:marLeft w:val="640"/>
          <w:marRight w:val="0"/>
          <w:marTop w:val="0"/>
          <w:marBottom w:val="0"/>
          <w:divBdr>
            <w:top w:val="none" w:sz="0" w:space="0" w:color="auto"/>
            <w:left w:val="none" w:sz="0" w:space="0" w:color="auto"/>
            <w:bottom w:val="none" w:sz="0" w:space="0" w:color="auto"/>
            <w:right w:val="none" w:sz="0" w:space="0" w:color="auto"/>
          </w:divBdr>
        </w:div>
        <w:div w:id="423499059">
          <w:marLeft w:val="640"/>
          <w:marRight w:val="0"/>
          <w:marTop w:val="0"/>
          <w:marBottom w:val="0"/>
          <w:divBdr>
            <w:top w:val="none" w:sz="0" w:space="0" w:color="auto"/>
            <w:left w:val="none" w:sz="0" w:space="0" w:color="auto"/>
            <w:bottom w:val="none" w:sz="0" w:space="0" w:color="auto"/>
            <w:right w:val="none" w:sz="0" w:space="0" w:color="auto"/>
          </w:divBdr>
        </w:div>
        <w:div w:id="1384672717">
          <w:marLeft w:val="640"/>
          <w:marRight w:val="0"/>
          <w:marTop w:val="0"/>
          <w:marBottom w:val="0"/>
          <w:divBdr>
            <w:top w:val="none" w:sz="0" w:space="0" w:color="auto"/>
            <w:left w:val="none" w:sz="0" w:space="0" w:color="auto"/>
            <w:bottom w:val="none" w:sz="0" w:space="0" w:color="auto"/>
            <w:right w:val="none" w:sz="0" w:space="0" w:color="auto"/>
          </w:divBdr>
        </w:div>
        <w:div w:id="2078504683">
          <w:marLeft w:val="640"/>
          <w:marRight w:val="0"/>
          <w:marTop w:val="0"/>
          <w:marBottom w:val="0"/>
          <w:divBdr>
            <w:top w:val="none" w:sz="0" w:space="0" w:color="auto"/>
            <w:left w:val="none" w:sz="0" w:space="0" w:color="auto"/>
            <w:bottom w:val="none" w:sz="0" w:space="0" w:color="auto"/>
            <w:right w:val="none" w:sz="0" w:space="0" w:color="auto"/>
          </w:divBdr>
        </w:div>
        <w:div w:id="225991229">
          <w:marLeft w:val="640"/>
          <w:marRight w:val="0"/>
          <w:marTop w:val="0"/>
          <w:marBottom w:val="0"/>
          <w:divBdr>
            <w:top w:val="none" w:sz="0" w:space="0" w:color="auto"/>
            <w:left w:val="none" w:sz="0" w:space="0" w:color="auto"/>
            <w:bottom w:val="none" w:sz="0" w:space="0" w:color="auto"/>
            <w:right w:val="none" w:sz="0" w:space="0" w:color="auto"/>
          </w:divBdr>
        </w:div>
        <w:div w:id="883904995">
          <w:marLeft w:val="640"/>
          <w:marRight w:val="0"/>
          <w:marTop w:val="0"/>
          <w:marBottom w:val="0"/>
          <w:divBdr>
            <w:top w:val="none" w:sz="0" w:space="0" w:color="auto"/>
            <w:left w:val="none" w:sz="0" w:space="0" w:color="auto"/>
            <w:bottom w:val="none" w:sz="0" w:space="0" w:color="auto"/>
            <w:right w:val="none" w:sz="0" w:space="0" w:color="auto"/>
          </w:divBdr>
        </w:div>
        <w:div w:id="504591333">
          <w:marLeft w:val="640"/>
          <w:marRight w:val="0"/>
          <w:marTop w:val="0"/>
          <w:marBottom w:val="0"/>
          <w:divBdr>
            <w:top w:val="none" w:sz="0" w:space="0" w:color="auto"/>
            <w:left w:val="none" w:sz="0" w:space="0" w:color="auto"/>
            <w:bottom w:val="none" w:sz="0" w:space="0" w:color="auto"/>
            <w:right w:val="none" w:sz="0" w:space="0" w:color="auto"/>
          </w:divBdr>
        </w:div>
        <w:div w:id="887379171">
          <w:marLeft w:val="640"/>
          <w:marRight w:val="0"/>
          <w:marTop w:val="0"/>
          <w:marBottom w:val="0"/>
          <w:divBdr>
            <w:top w:val="none" w:sz="0" w:space="0" w:color="auto"/>
            <w:left w:val="none" w:sz="0" w:space="0" w:color="auto"/>
            <w:bottom w:val="none" w:sz="0" w:space="0" w:color="auto"/>
            <w:right w:val="none" w:sz="0" w:space="0" w:color="auto"/>
          </w:divBdr>
        </w:div>
        <w:div w:id="24136392">
          <w:marLeft w:val="640"/>
          <w:marRight w:val="0"/>
          <w:marTop w:val="0"/>
          <w:marBottom w:val="0"/>
          <w:divBdr>
            <w:top w:val="none" w:sz="0" w:space="0" w:color="auto"/>
            <w:left w:val="none" w:sz="0" w:space="0" w:color="auto"/>
            <w:bottom w:val="none" w:sz="0" w:space="0" w:color="auto"/>
            <w:right w:val="none" w:sz="0" w:space="0" w:color="auto"/>
          </w:divBdr>
        </w:div>
        <w:div w:id="1691056582">
          <w:marLeft w:val="640"/>
          <w:marRight w:val="0"/>
          <w:marTop w:val="0"/>
          <w:marBottom w:val="0"/>
          <w:divBdr>
            <w:top w:val="none" w:sz="0" w:space="0" w:color="auto"/>
            <w:left w:val="none" w:sz="0" w:space="0" w:color="auto"/>
            <w:bottom w:val="none" w:sz="0" w:space="0" w:color="auto"/>
            <w:right w:val="none" w:sz="0" w:space="0" w:color="auto"/>
          </w:divBdr>
        </w:div>
        <w:div w:id="1116482277">
          <w:marLeft w:val="640"/>
          <w:marRight w:val="0"/>
          <w:marTop w:val="0"/>
          <w:marBottom w:val="0"/>
          <w:divBdr>
            <w:top w:val="none" w:sz="0" w:space="0" w:color="auto"/>
            <w:left w:val="none" w:sz="0" w:space="0" w:color="auto"/>
            <w:bottom w:val="none" w:sz="0" w:space="0" w:color="auto"/>
            <w:right w:val="none" w:sz="0" w:space="0" w:color="auto"/>
          </w:divBdr>
        </w:div>
        <w:div w:id="1601595931">
          <w:marLeft w:val="640"/>
          <w:marRight w:val="0"/>
          <w:marTop w:val="0"/>
          <w:marBottom w:val="0"/>
          <w:divBdr>
            <w:top w:val="none" w:sz="0" w:space="0" w:color="auto"/>
            <w:left w:val="none" w:sz="0" w:space="0" w:color="auto"/>
            <w:bottom w:val="none" w:sz="0" w:space="0" w:color="auto"/>
            <w:right w:val="none" w:sz="0" w:space="0" w:color="auto"/>
          </w:divBdr>
        </w:div>
        <w:div w:id="106051226">
          <w:marLeft w:val="640"/>
          <w:marRight w:val="0"/>
          <w:marTop w:val="0"/>
          <w:marBottom w:val="0"/>
          <w:divBdr>
            <w:top w:val="none" w:sz="0" w:space="0" w:color="auto"/>
            <w:left w:val="none" w:sz="0" w:space="0" w:color="auto"/>
            <w:bottom w:val="none" w:sz="0" w:space="0" w:color="auto"/>
            <w:right w:val="none" w:sz="0" w:space="0" w:color="auto"/>
          </w:divBdr>
        </w:div>
        <w:div w:id="1474326073">
          <w:marLeft w:val="640"/>
          <w:marRight w:val="0"/>
          <w:marTop w:val="0"/>
          <w:marBottom w:val="0"/>
          <w:divBdr>
            <w:top w:val="none" w:sz="0" w:space="0" w:color="auto"/>
            <w:left w:val="none" w:sz="0" w:space="0" w:color="auto"/>
            <w:bottom w:val="none" w:sz="0" w:space="0" w:color="auto"/>
            <w:right w:val="none" w:sz="0" w:space="0" w:color="auto"/>
          </w:divBdr>
        </w:div>
        <w:div w:id="1162769648">
          <w:marLeft w:val="640"/>
          <w:marRight w:val="0"/>
          <w:marTop w:val="0"/>
          <w:marBottom w:val="0"/>
          <w:divBdr>
            <w:top w:val="none" w:sz="0" w:space="0" w:color="auto"/>
            <w:left w:val="none" w:sz="0" w:space="0" w:color="auto"/>
            <w:bottom w:val="none" w:sz="0" w:space="0" w:color="auto"/>
            <w:right w:val="none" w:sz="0" w:space="0" w:color="auto"/>
          </w:divBdr>
        </w:div>
        <w:div w:id="345912039">
          <w:marLeft w:val="640"/>
          <w:marRight w:val="0"/>
          <w:marTop w:val="0"/>
          <w:marBottom w:val="0"/>
          <w:divBdr>
            <w:top w:val="none" w:sz="0" w:space="0" w:color="auto"/>
            <w:left w:val="none" w:sz="0" w:space="0" w:color="auto"/>
            <w:bottom w:val="none" w:sz="0" w:space="0" w:color="auto"/>
            <w:right w:val="none" w:sz="0" w:space="0" w:color="auto"/>
          </w:divBdr>
        </w:div>
        <w:div w:id="1909880242">
          <w:marLeft w:val="640"/>
          <w:marRight w:val="0"/>
          <w:marTop w:val="0"/>
          <w:marBottom w:val="0"/>
          <w:divBdr>
            <w:top w:val="none" w:sz="0" w:space="0" w:color="auto"/>
            <w:left w:val="none" w:sz="0" w:space="0" w:color="auto"/>
            <w:bottom w:val="none" w:sz="0" w:space="0" w:color="auto"/>
            <w:right w:val="none" w:sz="0" w:space="0" w:color="auto"/>
          </w:divBdr>
        </w:div>
        <w:div w:id="181207700">
          <w:marLeft w:val="640"/>
          <w:marRight w:val="0"/>
          <w:marTop w:val="0"/>
          <w:marBottom w:val="0"/>
          <w:divBdr>
            <w:top w:val="none" w:sz="0" w:space="0" w:color="auto"/>
            <w:left w:val="none" w:sz="0" w:space="0" w:color="auto"/>
            <w:bottom w:val="none" w:sz="0" w:space="0" w:color="auto"/>
            <w:right w:val="none" w:sz="0" w:space="0" w:color="auto"/>
          </w:divBdr>
        </w:div>
        <w:div w:id="42104276">
          <w:marLeft w:val="640"/>
          <w:marRight w:val="0"/>
          <w:marTop w:val="0"/>
          <w:marBottom w:val="0"/>
          <w:divBdr>
            <w:top w:val="none" w:sz="0" w:space="0" w:color="auto"/>
            <w:left w:val="none" w:sz="0" w:space="0" w:color="auto"/>
            <w:bottom w:val="none" w:sz="0" w:space="0" w:color="auto"/>
            <w:right w:val="none" w:sz="0" w:space="0" w:color="auto"/>
          </w:divBdr>
        </w:div>
        <w:div w:id="1914777900">
          <w:marLeft w:val="640"/>
          <w:marRight w:val="0"/>
          <w:marTop w:val="0"/>
          <w:marBottom w:val="0"/>
          <w:divBdr>
            <w:top w:val="none" w:sz="0" w:space="0" w:color="auto"/>
            <w:left w:val="none" w:sz="0" w:space="0" w:color="auto"/>
            <w:bottom w:val="none" w:sz="0" w:space="0" w:color="auto"/>
            <w:right w:val="none" w:sz="0" w:space="0" w:color="auto"/>
          </w:divBdr>
        </w:div>
        <w:div w:id="263001251">
          <w:marLeft w:val="640"/>
          <w:marRight w:val="0"/>
          <w:marTop w:val="0"/>
          <w:marBottom w:val="0"/>
          <w:divBdr>
            <w:top w:val="none" w:sz="0" w:space="0" w:color="auto"/>
            <w:left w:val="none" w:sz="0" w:space="0" w:color="auto"/>
            <w:bottom w:val="none" w:sz="0" w:space="0" w:color="auto"/>
            <w:right w:val="none" w:sz="0" w:space="0" w:color="auto"/>
          </w:divBdr>
        </w:div>
        <w:div w:id="835731831">
          <w:marLeft w:val="640"/>
          <w:marRight w:val="0"/>
          <w:marTop w:val="0"/>
          <w:marBottom w:val="0"/>
          <w:divBdr>
            <w:top w:val="none" w:sz="0" w:space="0" w:color="auto"/>
            <w:left w:val="none" w:sz="0" w:space="0" w:color="auto"/>
            <w:bottom w:val="none" w:sz="0" w:space="0" w:color="auto"/>
            <w:right w:val="none" w:sz="0" w:space="0" w:color="auto"/>
          </w:divBdr>
        </w:div>
        <w:div w:id="1108426409">
          <w:marLeft w:val="640"/>
          <w:marRight w:val="0"/>
          <w:marTop w:val="0"/>
          <w:marBottom w:val="0"/>
          <w:divBdr>
            <w:top w:val="none" w:sz="0" w:space="0" w:color="auto"/>
            <w:left w:val="none" w:sz="0" w:space="0" w:color="auto"/>
            <w:bottom w:val="none" w:sz="0" w:space="0" w:color="auto"/>
            <w:right w:val="none" w:sz="0" w:space="0" w:color="auto"/>
          </w:divBdr>
        </w:div>
        <w:div w:id="612859016">
          <w:marLeft w:val="640"/>
          <w:marRight w:val="0"/>
          <w:marTop w:val="0"/>
          <w:marBottom w:val="0"/>
          <w:divBdr>
            <w:top w:val="none" w:sz="0" w:space="0" w:color="auto"/>
            <w:left w:val="none" w:sz="0" w:space="0" w:color="auto"/>
            <w:bottom w:val="none" w:sz="0" w:space="0" w:color="auto"/>
            <w:right w:val="none" w:sz="0" w:space="0" w:color="auto"/>
          </w:divBdr>
        </w:div>
      </w:divsChild>
    </w:div>
    <w:div w:id="1945071137">
      <w:bodyDiv w:val="1"/>
      <w:marLeft w:val="0"/>
      <w:marRight w:val="0"/>
      <w:marTop w:val="0"/>
      <w:marBottom w:val="0"/>
      <w:divBdr>
        <w:top w:val="none" w:sz="0" w:space="0" w:color="auto"/>
        <w:left w:val="none" w:sz="0" w:space="0" w:color="auto"/>
        <w:bottom w:val="none" w:sz="0" w:space="0" w:color="auto"/>
        <w:right w:val="none" w:sz="0" w:space="0" w:color="auto"/>
      </w:divBdr>
      <w:divsChild>
        <w:div w:id="1424719101">
          <w:marLeft w:val="640"/>
          <w:marRight w:val="0"/>
          <w:marTop w:val="0"/>
          <w:marBottom w:val="0"/>
          <w:divBdr>
            <w:top w:val="none" w:sz="0" w:space="0" w:color="auto"/>
            <w:left w:val="none" w:sz="0" w:space="0" w:color="auto"/>
            <w:bottom w:val="none" w:sz="0" w:space="0" w:color="auto"/>
            <w:right w:val="none" w:sz="0" w:space="0" w:color="auto"/>
          </w:divBdr>
        </w:div>
        <w:div w:id="939218357">
          <w:marLeft w:val="640"/>
          <w:marRight w:val="0"/>
          <w:marTop w:val="0"/>
          <w:marBottom w:val="0"/>
          <w:divBdr>
            <w:top w:val="none" w:sz="0" w:space="0" w:color="auto"/>
            <w:left w:val="none" w:sz="0" w:space="0" w:color="auto"/>
            <w:bottom w:val="none" w:sz="0" w:space="0" w:color="auto"/>
            <w:right w:val="none" w:sz="0" w:space="0" w:color="auto"/>
          </w:divBdr>
        </w:div>
        <w:div w:id="127817805">
          <w:marLeft w:val="640"/>
          <w:marRight w:val="0"/>
          <w:marTop w:val="0"/>
          <w:marBottom w:val="0"/>
          <w:divBdr>
            <w:top w:val="none" w:sz="0" w:space="0" w:color="auto"/>
            <w:left w:val="none" w:sz="0" w:space="0" w:color="auto"/>
            <w:bottom w:val="none" w:sz="0" w:space="0" w:color="auto"/>
            <w:right w:val="none" w:sz="0" w:space="0" w:color="auto"/>
          </w:divBdr>
        </w:div>
        <w:div w:id="683944959">
          <w:marLeft w:val="640"/>
          <w:marRight w:val="0"/>
          <w:marTop w:val="0"/>
          <w:marBottom w:val="0"/>
          <w:divBdr>
            <w:top w:val="none" w:sz="0" w:space="0" w:color="auto"/>
            <w:left w:val="none" w:sz="0" w:space="0" w:color="auto"/>
            <w:bottom w:val="none" w:sz="0" w:space="0" w:color="auto"/>
            <w:right w:val="none" w:sz="0" w:space="0" w:color="auto"/>
          </w:divBdr>
        </w:div>
        <w:div w:id="209919445">
          <w:marLeft w:val="640"/>
          <w:marRight w:val="0"/>
          <w:marTop w:val="0"/>
          <w:marBottom w:val="0"/>
          <w:divBdr>
            <w:top w:val="none" w:sz="0" w:space="0" w:color="auto"/>
            <w:left w:val="none" w:sz="0" w:space="0" w:color="auto"/>
            <w:bottom w:val="none" w:sz="0" w:space="0" w:color="auto"/>
            <w:right w:val="none" w:sz="0" w:space="0" w:color="auto"/>
          </w:divBdr>
        </w:div>
        <w:div w:id="221870096">
          <w:marLeft w:val="640"/>
          <w:marRight w:val="0"/>
          <w:marTop w:val="0"/>
          <w:marBottom w:val="0"/>
          <w:divBdr>
            <w:top w:val="none" w:sz="0" w:space="0" w:color="auto"/>
            <w:left w:val="none" w:sz="0" w:space="0" w:color="auto"/>
            <w:bottom w:val="none" w:sz="0" w:space="0" w:color="auto"/>
            <w:right w:val="none" w:sz="0" w:space="0" w:color="auto"/>
          </w:divBdr>
        </w:div>
        <w:div w:id="1517572938">
          <w:marLeft w:val="640"/>
          <w:marRight w:val="0"/>
          <w:marTop w:val="0"/>
          <w:marBottom w:val="0"/>
          <w:divBdr>
            <w:top w:val="none" w:sz="0" w:space="0" w:color="auto"/>
            <w:left w:val="none" w:sz="0" w:space="0" w:color="auto"/>
            <w:bottom w:val="none" w:sz="0" w:space="0" w:color="auto"/>
            <w:right w:val="none" w:sz="0" w:space="0" w:color="auto"/>
          </w:divBdr>
        </w:div>
        <w:div w:id="1919365569">
          <w:marLeft w:val="640"/>
          <w:marRight w:val="0"/>
          <w:marTop w:val="0"/>
          <w:marBottom w:val="0"/>
          <w:divBdr>
            <w:top w:val="none" w:sz="0" w:space="0" w:color="auto"/>
            <w:left w:val="none" w:sz="0" w:space="0" w:color="auto"/>
            <w:bottom w:val="none" w:sz="0" w:space="0" w:color="auto"/>
            <w:right w:val="none" w:sz="0" w:space="0" w:color="auto"/>
          </w:divBdr>
        </w:div>
        <w:div w:id="421878593">
          <w:marLeft w:val="640"/>
          <w:marRight w:val="0"/>
          <w:marTop w:val="0"/>
          <w:marBottom w:val="0"/>
          <w:divBdr>
            <w:top w:val="none" w:sz="0" w:space="0" w:color="auto"/>
            <w:left w:val="none" w:sz="0" w:space="0" w:color="auto"/>
            <w:bottom w:val="none" w:sz="0" w:space="0" w:color="auto"/>
            <w:right w:val="none" w:sz="0" w:space="0" w:color="auto"/>
          </w:divBdr>
        </w:div>
        <w:div w:id="1309092901">
          <w:marLeft w:val="640"/>
          <w:marRight w:val="0"/>
          <w:marTop w:val="0"/>
          <w:marBottom w:val="0"/>
          <w:divBdr>
            <w:top w:val="none" w:sz="0" w:space="0" w:color="auto"/>
            <w:left w:val="none" w:sz="0" w:space="0" w:color="auto"/>
            <w:bottom w:val="none" w:sz="0" w:space="0" w:color="auto"/>
            <w:right w:val="none" w:sz="0" w:space="0" w:color="auto"/>
          </w:divBdr>
        </w:div>
        <w:div w:id="1716273056">
          <w:marLeft w:val="640"/>
          <w:marRight w:val="0"/>
          <w:marTop w:val="0"/>
          <w:marBottom w:val="0"/>
          <w:divBdr>
            <w:top w:val="none" w:sz="0" w:space="0" w:color="auto"/>
            <w:left w:val="none" w:sz="0" w:space="0" w:color="auto"/>
            <w:bottom w:val="none" w:sz="0" w:space="0" w:color="auto"/>
            <w:right w:val="none" w:sz="0" w:space="0" w:color="auto"/>
          </w:divBdr>
        </w:div>
        <w:div w:id="1668827746">
          <w:marLeft w:val="640"/>
          <w:marRight w:val="0"/>
          <w:marTop w:val="0"/>
          <w:marBottom w:val="0"/>
          <w:divBdr>
            <w:top w:val="none" w:sz="0" w:space="0" w:color="auto"/>
            <w:left w:val="none" w:sz="0" w:space="0" w:color="auto"/>
            <w:bottom w:val="none" w:sz="0" w:space="0" w:color="auto"/>
            <w:right w:val="none" w:sz="0" w:space="0" w:color="auto"/>
          </w:divBdr>
        </w:div>
        <w:div w:id="2061248116">
          <w:marLeft w:val="640"/>
          <w:marRight w:val="0"/>
          <w:marTop w:val="0"/>
          <w:marBottom w:val="0"/>
          <w:divBdr>
            <w:top w:val="none" w:sz="0" w:space="0" w:color="auto"/>
            <w:left w:val="none" w:sz="0" w:space="0" w:color="auto"/>
            <w:bottom w:val="none" w:sz="0" w:space="0" w:color="auto"/>
            <w:right w:val="none" w:sz="0" w:space="0" w:color="auto"/>
          </w:divBdr>
        </w:div>
        <w:div w:id="136651889">
          <w:marLeft w:val="640"/>
          <w:marRight w:val="0"/>
          <w:marTop w:val="0"/>
          <w:marBottom w:val="0"/>
          <w:divBdr>
            <w:top w:val="none" w:sz="0" w:space="0" w:color="auto"/>
            <w:left w:val="none" w:sz="0" w:space="0" w:color="auto"/>
            <w:bottom w:val="none" w:sz="0" w:space="0" w:color="auto"/>
            <w:right w:val="none" w:sz="0" w:space="0" w:color="auto"/>
          </w:divBdr>
        </w:div>
        <w:div w:id="10648855">
          <w:marLeft w:val="640"/>
          <w:marRight w:val="0"/>
          <w:marTop w:val="0"/>
          <w:marBottom w:val="0"/>
          <w:divBdr>
            <w:top w:val="none" w:sz="0" w:space="0" w:color="auto"/>
            <w:left w:val="none" w:sz="0" w:space="0" w:color="auto"/>
            <w:bottom w:val="none" w:sz="0" w:space="0" w:color="auto"/>
            <w:right w:val="none" w:sz="0" w:space="0" w:color="auto"/>
          </w:divBdr>
        </w:div>
        <w:div w:id="284585830">
          <w:marLeft w:val="640"/>
          <w:marRight w:val="0"/>
          <w:marTop w:val="0"/>
          <w:marBottom w:val="0"/>
          <w:divBdr>
            <w:top w:val="none" w:sz="0" w:space="0" w:color="auto"/>
            <w:left w:val="none" w:sz="0" w:space="0" w:color="auto"/>
            <w:bottom w:val="none" w:sz="0" w:space="0" w:color="auto"/>
            <w:right w:val="none" w:sz="0" w:space="0" w:color="auto"/>
          </w:divBdr>
        </w:div>
        <w:div w:id="214778294">
          <w:marLeft w:val="640"/>
          <w:marRight w:val="0"/>
          <w:marTop w:val="0"/>
          <w:marBottom w:val="0"/>
          <w:divBdr>
            <w:top w:val="none" w:sz="0" w:space="0" w:color="auto"/>
            <w:left w:val="none" w:sz="0" w:space="0" w:color="auto"/>
            <w:bottom w:val="none" w:sz="0" w:space="0" w:color="auto"/>
            <w:right w:val="none" w:sz="0" w:space="0" w:color="auto"/>
          </w:divBdr>
        </w:div>
        <w:div w:id="182862654">
          <w:marLeft w:val="640"/>
          <w:marRight w:val="0"/>
          <w:marTop w:val="0"/>
          <w:marBottom w:val="0"/>
          <w:divBdr>
            <w:top w:val="none" w:sz="0" w:space="0" w:color="auto"/>
            <w:left w:val="none" w:sz="0" w:space="0" w:color="auto"/>
            <w:bottom w:val="none" w:sz="0" w:space="0" w:color="auto"/>
            <w:right w:val="none" w:sz="0" w:space="0" w:color="auto"/>
          </w:divBdr>
        </w:div>
        <w:div w:id="1290235304">
          <w:marLeft w:val="640"/>
          <w:marRight w:val="0"/>
          <w:marTop w:val="0"/>
          <w:marBottom w:val="0"/>
          <w:divBdr>
            <w:top w:val="none" w:sz="0" w:space="0" w:color="auto"/>
            <w:left w:val="none" w:sz="0" w:space="0" w:color="auto"/>
            <w:bottom w:val="none" w:sz="0" w:space="0" w:color="auto"/>
            <w:right w:val="none" w:sz="0" w:space="0" w:color="auto"/>
          </w:divBdr>
        </w:div>
        <w:div w:id="1417821819">
          <w:marLeft w:val="640"/>
          <w:marRight w:val="0"/>
          <w:marTop w:val="0"/>
          <w:marBottom w:val="0"/>
          <w:divBdr>
            <w:top w:val="none" w:sz="0" w:space="0" w:color="auto"/>
            <w:left w:val="none" w:sz="0" w:space="0" w:color="auto"/>
            <w:bottom w:val="none" w:sz="0" w:space="0" w:color="auto"/>
            <w:right w:val="none" w:sz="0" w:space="0" w:color="auto"/>
          </w:divBdr>
        </w:div>
        <w:div w:id="1609000038">
          <w:marLeft w:val="640"/>
          <w:marRight w:val="0"/>
          <w:marTop w:val="0"/>
          <w:marBottom w:val="0"/>
          <w:divBdr>
            <w:top w:val="none" w:sz="0" w:space="0" w:color="auto"/>
            <w:left w:val="none" w:sz="0" w:space="0" w:color="auto"/>
            <w:bottom w:val="none" w:sz="0" w:space="0" w:color="auto"/>
            <w:right w:val="none" w:sz="0" w:space="0" w:color="auto"/>
          </w:divBdr>
        </w:div>
        <w:div w:id="1324578115">
          <w:marLeft w:val="640"/>
          <w:marRight w:val="0"/>
          <w:marTop w:val="0"/>
          <w:marBottom w:val="0"/>
          <w:divBdr>
            <w:top w:val="none" w:sz="0" w:space="0" w:color="auto"/>
            <w:left w:val="none" w:sz="0" w:space="0" w:color="auto"/>
            <w:bottom w:val="none" w:sz="0" w:space="0" w:color="auto"/>
            <w:right w:val="none" w:sz="0" w:space="0" w:color="auto"/>
          </w:divBdr>
        </w:div>
        <w:div w:id="1682245074">
          <w:marLeft w:val="640"/>
          <w:marRight w:val="0"/>
          <w:marTop w:val="0"/>
          <w:marBottom w:val="0"/>
          <w:divBdr>
            <w:top w:val="none" w:sz="0" w:space="0" w:color="auto"/>
            <w:left w:val="none" w:sz="0" w:space="0" w:color="auto"/>
            <w:bottom w:val="none" w:sz="0" w:space="0" w:color="auto"/>
            <w:right w:val="none" w:sz="0" w:space="0" w:color="auto"/>
          </w:divBdr>
        </w:div>
        <w:div w:id="105658661">
          <w:marLeft w:val="640"/>
          <w:marRight w:val="0"/>
          <w:marTop w:val="0"/>
          <w:marBottom w:val="0"/>
          <w:divBdr>
            <w:top w:val="none" w:sz="0" w:space="0" w:color="auto"/>
            <w:left w:val="none" w:sz="0" w:space="0" w:color="auto"/>
            <w:bottom w:val="none" w:sz="0" w:space="0" w:color="auto"/>
            <w:right w:val="none" w:sz="0" w:space="0" w:color="auto"/>
          </w:divBdr>
        </w:div>
        <w:div w:id="1681086370">
          <w:marLeft w:val="640"/>
          <w:marRight w:val="0"/>
          <w:marTop w:val="0"/>
          <w:marBottom w:val="0"/>
          <w:divBdr>
            <w:top w:val="none" w:sz="0" w:space="0" w:color="auto"/>
            <w:left w:val="none" w:sz="0" w:space="0" w:color="auto"/>
            <w:bottom w:val="none" w:sz="0" w:space="0" w:color="auto"/>
            <w:right w:val="none" w:sz="0" w:space="0" w:color="auto"/>
          </w:divBdr>
        </w:div>
        <w:div w:id="1188564045">
          <w:marLeft w:val="640"/>
          <w:marRight w:val="0"/>
          <w:marTop w:val="0"/>
          <w:marBottom w:val="0"/>
          <w:divBdr>
            <w:top w:val="none" w:sz="0" w:space="0" w:color="auto"/>
            <w:left w:val="none" w:sz="0" w:space="0" w:color="auto"/>
            <w:bottom w:val="none" w:sz="0" w:space="0" w:color="auto"/>
            <w:right w:val="none" w:sz="0" w:space="0" w:color="auto"/>
          </w:divBdr>
        </w:div>
        <w:div w:id="1457944013">
          <w:marLeft w:val="640"/>
          <w:marRight w:val="0"/>
          <w:marTop w:val="0"/>
          <w:marBottom w:val="0"/>
          <w:divBdr>
            <w:top w:val="none" w:sz="0" w:space="0" w:color="auto"/>
            <w:left w:val="none" w:sz="0" w:space="0" w:color="auto"/>
            <w:bottom w:val="none" w:sz="0" w:space="0" w:color="auto"/>
            <w:right w:val="none" w:sz="0" w:space="0" w:color="auto"/>
          </w:divBdr>
        </w:div>
        <w:div w:id="942808586">
          <w:marLeft w:val="640"/>
          <w:marRight w:val="0"/>
          <w:marTop w:val="0"/>
          <w:marBottom w:val="0"/>
          <w:divBdr>
            <w:top w:val="none" w:sz="0" w:space="0" w:color="auto"/>
            <w:left w:val="none" w:sz="0" w:space="0" w:color="auto"/>
            <w:bottom w:val="none" w:sz="0" w:space="0" w:color="auto"/>
            <w:right w:val="none" w:sz="0" w:space="0" w:color="auto"/>
          </w:divBdr>
        </w:div>
        <w:div w:id="1092629247">
          <w:marLeft w:val="640"/>
          <w:marRight w:val="0"/>
          <w:marTop w:val="0"/>
          <w:marBottom w:val="0"/>
          <w:divBdr>
            <w:top w:val="none" w:sz="0" w:space="0" w:color="auto"/>
            <w:left w:val="none" w:sz="0" w:space="0" w:color="auto"/>
            <w:bottom w:val="none" w:sz="0" w:space="0" w:color="auto"/>
            <w:right w:val="none" w:sz="0" w:space="0" w:color="auto"/>
          </w:divBdr>
        </w:div>
        <w:div w:id="597296305">
          <w:marLeft w:val="640"/>
          <w:marRight w:val="0"/>
          <w:marTop w:val="0"/>
          <w:marBottom w:val="0"/>
          <w:divBdr>
            <w:top w:val="none" w:sz="0" w:space="0" w:color="auto"/>
            <w:left w:val="none" w:sz="0" w:space="0" w:color="auto"/>
            <w:bottom w:val="none" w:sz="0" w:space="0" w:color="auto"/>
            <w:right w:val="none" w:sz="0" w:space="0" w:color="auto"/>
          </w:divBdr>
        </w:div>
        <w:div w:id="890847647">
          <w:marLeft w:val="640"/>
          <w:marRight w:val="0"/>
          <w:marTop w:val="0"/>
          <w:marBottom w:val="0"/>
          <w:divBdr>
            <w:top w:val="none" w:sz="0" w:space="0" w:color="auto"/>
            <w:left w:val="none" w:sz="0" w:space="0" w:color="auto"/>
            <w:bottom w:val="none" w:sz="0" w:space="0" w:color="auto"/>
            <w:right w:val="none" w:sz="0" w:space="0" w:color="auto"/>
          </w:divBdr>
        </w:div>
        <w:div w:id="750395230">
          <w:marLeft w:val="640"/>
          <w:marRight w:val="0"/>
          <w:marTop w:val="0"/>
          <w:marBottom w:val="0"/>
          <w:divBdr>
            <w:top w:val="none" w:sz="0" w:space="0" w:color="auto"/>
            <w:left w:val="none" w:sz="0" w:space="0" w:color="auto"/>
            <w:bottom w:val="none" w:sz="0" w:space="0" w:color="auto"/>
            <w:right w:val="none" w:sz="0" w:space="0" w:color="auto"/>
          </w:divBdr>
        </w:div>
        <w:div w:id="1629890790">
          <w:marLeft w:val="640"/>
          <w:marRight w:val="0"/>
          <w:marTop w:val="0"/>
          <w:marBottom w:val="0"/>
          <w:divBdr>
            <w:top w:val="none" w:sz="0" w:space="0" w:color="auto"/>
            <w:left w:val="none" w:sz="0" w:space="0" w:color="auto"/>
            <w:bottom w:val="none" w:sz="0" w:space="0" w:color="auto"/>
            <w:right w:val="none" w:sz="0" w:space="0" w:color="auto"/>
          </w:divBdr>
        </w:div>
        <w:div w:id="994146758">
          <w:marLeft w:val="640"/>
          <w:marRight w:val="0"/>
          <w:marTop w:val="0"/>
          <w:marBottom w:val="0"/>
          <w:divBdr>
            <w:top w:val="none" w:sz="0" w:space="0" w:color="auto"/>
            <w:left w:val="none" w:sz="0" w:space="0" w:color="auto"/>
            <w:bottom w:val="none" w:sz="0" w:space="0" w:color="auto"/>
            <w:right w:val="none" w:sz="0" w:space="0" w:color="auto"/>
          </w:divBdr>
        </w:div>
        <w:div w:id="2086950514">
          <w:marLeft w:val="640"/>
          <w:marRight w:val="0"/>
          <w:marTop w:val="0"/>
          <w:marBottom w:val="0"/>
          <w:divBdr>
            <w:top w:val="none" w:sz="0" w:space="0" w:color="auto"/>
            <w:left w:val="none" w:sz="0" w:space="0" w:color="auto"/>
            <w:bottom w:val="none" w:sz="0" w:space="0" w:color="auto"/>
            <w:right w:val="none" w:sz="0" w:space="0" w:color="auto"/>
          </w:divBdr>
        </w:div>
        <w:div w:id="806974539">
          <w:marLeft w:val="640"/>
          <w:marRight w:val="0"/>
          <w:marTop w:val="0"/>
          <w:marBottom w:val="0"/>
          <w:divBdr>
            <w:top w:val="none" w:sz="0" w:space="0" w:color="auto"/>
            <w:left w:val="none" w:sz="0" w:space="0" w:color="auto"/>
            <w:bottom w:val="none" w:sz="0" w:space="0" w:color="auto"/>
            <w:right w:val="none" w:sz="0" w:space="0" w:color="auto"/>
          </w:divBdr>
        </w:div>
        <w:div w:id="20128967">
          <w:marLeft w:val="640"/>
          <w:marRight w:val="0"/>
          <w:marTop w:val="0"/>
          <w:marBottom w:val="0"/>
          <w:divBdr>
            <w:top w:val="none" w:sz="0" w:space="0" w:color="auto"/>
            <w:left w:val="none" w:sz="0" w:space="0" w:color="auto"/>
            <w:bottom w:val="none" w:sz="0" w:space="0" w:color="auto"/>
            <w:right w:val="none" w:sz="0" w:space="0" w:color="auto"/>
          </w:divBdr>
        </w:div>
        <w:div w:id="430441120">
          <w:marLeft w:val="640"/>
          <w:marRight w:val="0"/>
          <w:marTop w:val="0"/>
          <w:marBottom w:val="0"/>
          <w:divBdr>
            <w:top w:val="none" w:sz="0" w:space="0" w:color="auto"/>
            <w:left w:val="none" w:sz="0" w:space="0" w:color="auto"/>
            <w:bottom w:val="none" w:sz="0" w:space="0" w:color="auto"/>
            <w:right w:val="none" w:sz="0" w:space="0" w:color="auto"/>
          </w:divBdr>
        </w:div>
        <w:div w:id="1845435250">
          <w:marLeft w:val="640"/>
          <w:marRight w:val="0"/>
          <w:marTop w:val="0"/>
          <w:marBottom w:val="0"/>
          <w:divBdr>
            <w:top w:val="none" w:sz="0" w:space="0" w:color="auto"/>
            <w:left w:val="none" w:sz="0" w:space="0" w:color="auto"/>
            <w:bottom w:val="none" w:sz="0" w:space="0" w:color="auto"/>
            <w:right w:val="none" w:sz="0" w:space="0" w:color="auto"/>
          </w:divBdr>
        </w:div>
        <w:div w:id="808745555">
          <w:marLeft w:val="640"/>
          <w:marRight w:val="0"/>
          <w:marTop w:val="0"/>
          <w:marBottom w:val="0"/>
          <w:divBdr>
            <w:top w:val="none" w:sz="0" w:space="0" w:color="auto"/>
            <w:left w:val="none" w:sz="0" w:space="0" w:color="auto"/>
            <w:bottom w:val="none" w:sz="0" w:space="0" w:color="auto"/>
            <w:right w:val="none" w:sz="0" w:space="0" w:color="auto"/>
          </w:divBdr>
        </w:div>
        <w:div w:id="221256691">
          <w:marLeft w:val="640"/>
          <w:marRight w:val="0"/>
          <w:marTop w:val="0"/>
          <w:marBottom w:val="0"/>
          <w:divBdr>
            <w:top w:val="none" w:sz="0" w:space="0" w:color="auto"/>
            <w:left w:val="none" w:sz="0" w:space="0" w:color="auto"/>
            <w:bottom w:val="none" w:sz="0" w:space="0" w:color="auto"/>
            <w:right w:val="none" w:sz="0" w:space="0" w:color="auto"/>
          </w:divBdr>
        </w:div>
        <w:div w:id="859857345">
          <w:marLeft w:val="640"/>
          <w:marRight w:val="0"/>
          <w:marTop w:val="0"/>
          <w:marBottom w:val="0"/>
          <w:divBdr>
            <w:top w:val="none" w:sz="0" w:space="0" w:color="auto"/>
            <w:left w:val="none" w:sz="0" w:space="0" w:color="auto"/>
            <w:bottom w:val="none" w:sz="0" w:space="0" w:color="auto"/>
            <w:right w:val="none" w:sz="0" w:space="0" w:color="auto"/>
          </w:divBdr>
        </w:div>
        <w:div w:id="1354720081">
          <w:marLeft w:val="640"/>
          <w:marRight w:val="0"/>
          <w:marTop w:val="0"/>
          <w:marBottom w:val="0"/>
          <w:divBdr>
            <w:top w:val="none" w:sz="0" w:space="0" w:color="auto"/>
            <w:left w:val="none" w:sz="0" w:space="0" w:color="auto"/>
            <w:bottom w:val="none" w:sz="0" w:space="0" w:color="auto"/>
            <w:right w:val="none" w:sz="0" w:space="0" w:color="auto"/>
          </w:divBdr>
        </w:div>
        <w:div w:id="1898710888">
          <w:marLeft w:val="640"/>
          <w:marRight w:val="0"/>
          <w:marTop w:val="0"/>
          <w:marBottom w:val="0"/>
          <w:divBdr>
            <w:top w:val="none" w:sz="0" w:space="0" w:color="auto"/>
            <w:left w:val="none" w:sz="0" w:space="0" w:color="auto"/>
            <w:bottom w:val="none" w:sz="0" w:space="0" w:color="auto"/>
            <w:right w:val="none" w:sz="0" w:space="0" w:color="auto"/>
          </w:divBdr>
        </w:div>
        <w:div w:id="1383094673">
          <w:marLeft w:val="640"/>
          <w:marRight w:val="0"/>
          <w:marTop w:val="0"/>
          <w:marBottom w:val="0"/>
          <w:divBdr>
            <w:top w:val="none" w:sz="0" w:space="0" w:color="auto"/>
            <w:left w:val="none" w:sz="0" w:space="0" w:color="auto"/>
            <w:bottom w:val="none" w:sz="0" w:space="0" w:color="auto"/>
            <w:right w:val="none" w:sz="0" w:space="0" w:color="auto"/>
          </w:divBdr>
        </w:div>
        <w:div w:id="1193763477">
          <w:marLeft w:val="640"/>
          <w:marRight w:val="0"/>
          <w:marTop w:val="0"/>
          <w:marBottom w:val="0"/>
          <w:divBdr>
            <w:top w:val="none" w:sz="0" w:space="0" w:color="auto"/>
            <w:left w:val="none" w:sz="0" w:space="0" w:color="auto"/>
            <w:bottom w:val="none" w:sz="0" w:space="0" w:color="auto"/>
            <w:right w:val="none" w:sz="0" w:space="0" w:color="auto"/>
          </w:divBdr>
        </w:div>
        <w:div w:id="164823653">
          <w:marLeft w:val="640"/>
          <w:marRight w:val="0"/>
          <w:marTop w:val="0"/>
          <w:marBottom w:val="0"/>
          <w:divBdr>
            <w:top w:val="none" w:sz="0" w:space="0" w:color="auto"/>
            <w:left w:val="none" w:sz="0" w:space="0" w:color="auto"/>
            <w:bottom w:val="none" w:sz="0" w:space="0" w:color="auto"/>
            <w:right w:val="none" w:sz="0" w:space="0" w:color="auto"/>
          </w:divBdr>
        </w:div>
        <w:div w:id="254175155">
          <w:marLeft w:val="640"/>
          <w:marRight w:val="0"/>
          <w:marTop w:val="0"/>
          <w:marBottom w:val="0"/>
          <w:divBdr>
            <w:top w:val="none" w:sz="0" w:space="0" w:color="auto"/>
            <w:left w:val="none" w:sz="0" w:space="0" w:color="auto"/>
            <w:bottom w:val="none" w:sz="0" w:space="0" w:color="auto"/>
            <w:right w:val="none" w:sz="0" w:space="0" w:color="auto"/>
          </w:divBdr>
        </w:div>
        <w:div w:id="1377849752">
          <w:marLeft w:val="640"/>
          <w:marRight w:val="0"/>
          <w:marTop w:val="0"/>
          <w:marBottom w:val="0"/>
          <w:divBdr>
            <w:top w:val="none" w:sz="0" w:space="0" w:color="auto"/>
            <w:left w:val="none" w:sz="0" w:space="0" w:color="auto"/>
            <w:bottom w:val="none" w:sz="0" w:space="0" w:color="auto"/>
            <w:right w:val="none" w:sz="0" w:space="0" w:color="auto"/>
          </w:divBdr>
        </w:div>
        <w:div w:id="723023967">
          <w:marLeft w:val="640"/>
          <w:marRight w:val="0"/>
          <w:marTop w:val="0"/>
          <w:marBottom w:val="0"/>
          <w:divBdr>
            <w:top w:val="none" w:sz="0" w:space="0" w:color="auto"/>
            <w:left w:val="none" w:sz="0" w:space="0" w:color="auto"/>
            <w:bottom w:val="none" w:sz="0" w:space="0" w:color="auto"/>
            <w:right w:val="none" w:sz="0" w:space="0" w:color="auto"/>
          </w:divBdr>
        </w:div>
        <w:div w:id="1382054719">
          <w:marLeft w:val="640"/>
          <w:marRight w:val="0"/>
          <w:marTop w:val="0"/>
          <w:marBottom w:val="0"/>
          <w:divBdr>
            <w:top w:val="none" w:sz="0" w:space="0" w:color="auto"/>
            <w:left w:val="none" w:sz="0" w:space="0" w:color="auto"/>
            <w:bottom w:val="none" w:sz="0" w:space="0" w:color="auto"/>
            <w:right w:val="none" w:sz="0" w:space="0" w:color="auto"/>
          </w:divBdr>
        </w:div>
        <w:div w:id="663239829">
          <w:marLeft w:val="640"/>
          <w:marRight w:val="0"/>
          <w:marTop w:val="0"/>
          <w:marBottom w:val="0"/>
          <w:divBdr>
            <w:top w:val="none" w:sz="0" w:space="0" w:color="auto"/>
            <w:left w:val="none" w:sz="0" w:space="0" w:color="auto"/>
            <w:bottom w:val="none" w:sz="0" w:space="0" w:color="auto"/>
            <w:right w:val="none" w:sz="0" w:space="0" w:color="auto"/>
          </w:divBdr>
        </w:div>
        <w:div w:id="880827138">
          <w:marLeft w:val="640"/>
          <w:marRight w:val="0"/>
          <w:marTop w:val="0"/>
          <w:marBottom w:val="0"/>
          <w:divBdr>
            <w:top w:val="none" w:sz="0" w:space="0" w:color="auto"/>
            <w:left w:val="none" w:sz="0" w:space="0" w:color="auto"/>
            <w:bottom w:val="none" w:sz="0" w:space="0" w:color="auto"/>
            <w:right w:val="none" w:sz="0" w:space="0" w:color="auto"/>
          </w:divBdr>
        </w:div>
        <w:div w:id="330565194">
          <w:marLeft w:val="640"/>
          <w:marRight w:val="0"/>
          <w:marTop w:val="0"/>
          <w:marBottom w:val="0"/>
          <w:divBdr>
            <w:top w:val="none" w:sz="0" w:space="0" w:color="auto"/>
            <w:left w:val="none" w:sz="0" w:space="0" w:color="auto"/>
            <w:bottom w:val="none" w:sz="0" w:space="0" w:color="auto"/>
            <w:right w:val="none" w:sz="0" w:space="0" w:color="auto"/>
          </w:divBdr>
        </w:div>
        <w:div w:id="1476795546">
          <w:marLeft w:val="640"/>
          <w:marRight w:val="0"/>
          <w:marTop w:val="0"/>
          <w:marBottom w:val="0"/>
          <w:divBdr>
            <w:top w:val="none" w:sz="0" w:space="0" w:color="auto"/>
            <w:left w:val="none" w:sz="0" w:space="0" w:color="auto"/>
            <w:bottom w:val="none" w:sz="0" w:space="0" w:color="auto"/>
            <w:right w:val="none" w:sz="0" w:space="0" w:color="auto"/>
          </w:divBdr>
        </w:div>
        <w:div w:id="453402558">
          <w:marLeft w:val="640"/>
          <w:marRight w:val="0"/>
          <w:marTop w:val="0"/>
          <w:marBottom w:val="0"/>
          <w:divBdr>
            <w:top w:val="none" w:sz="0" w:space="0" w:color="auto"/>
            <w:left w:val="none" w:sz="0" w:space="0" w:color="auto"/>
            <w:bottom w:val="none" w:sz="0" w:space="0" w:color="auto"/>
            <w:right w:val="none" w:sz="0" w:space="0" w:color="auto"/>
          </w:divBdr>
        </w:div>
        <w:div w:id="548804256">
          <w:marLeft w:val="640"/>
          <w:marRight w:val="0"/>
          <w:marTop w:val="0"/>
          <w:marBottom w:val="0"/>
          <w:divBdr>
            <w:top w:val="none" w:sz="0" w:space="0" w:color="auto"/>
            <w:left w:val="none" w:sz="0" w:space="0" w:color="auto"/>
            <w:bottom w:val="none" w:sz="0" w:space="0" w:color="auto"/>
            <w:right w:val="none" w:sz="0" w:space="0" w:color="auto"/>
          </w:divBdr>
        </w:div>
        <w:div w:id="1006709554">
          <w:marLeft w:val="640"/>
          <w:marRight w:val="0"/>
          <w:marTop w:val="0"/>
          <w:marBottom w:val="0"/>
          <w:divBdr>
            <w:top w:val="none" w:sz="0" w:space="0" w:color="auto"/>
            <w:left w:val="none" w:sz="0" w:space="0" w:color="auto"/>
            <w:bottom w:val="none" w:sz="0" w:space="0" w:color="auto"/>
            <w:right w:val="none" w:sz="0" w:space="0" w:color="auto"/>
          </w:divBdr>
        </w:div>
        <w:div w:id="344937527">
          <w:marLeft w:val="640"/>
          <w:marRight w:val="0"/>
          <w:marTop w:val="0"/>
          <w:marBottom w:val="0"/>
          <w:divBdr>
            <w:top w:val="none" w:sz="0" w:space="0" w:color="auto"/>
            <w:left w:val="none" w:sz="0" w:space="0" w:color="auto"/>
            <w:bottom w:val="none" w:sz="0" w:space="0" w:color="auto"/>
            <w:right w:val="none" w:sz="0" w:space="0" w:color="auto"/>
          </w:divBdr>
        </w:div>
        <w:div w:id="855002220">
          <w:marLeft w:val="640"/>
          <w:marRight w:val="0"/>
          <w:marTop w:val="0"/>
          <w:marBottom w:val="0"/>
          <w:divBdr>
            <w:top w:val="none" w:sz="0" w:space="0" w:color="auto"/>
            <w:left w:val="none" w:sz="0" w:space="0" w:color="auto"/>
            <w:bottom w:val="none" w:sz="0" w:space="0" w:color="auto"/>
            <w:right w:val="none" w:sz="0" w:space="0" w:color="auto"/>
          </w:divBdr>
        </w:div>
        <w:div w:id="1534029305">
          <w:marLeft w:val="640"/>
          <w:marRight w:val="0"/>
          <w:marTop w:val="0"/>
          <w:marBottom w:val="0"/>
          <w:divBdr>
            <w:top w:val="none" w:sz="0" w:space="0" w:color="auto"/>
            <w:left w:val="none" w:sz="0" w:space="0" w:color="auto"/>
            <w:bottom w:val="none" w:sz="0" w:space="0" w:color="auto"/>
            <w:right w:val="none" w:sz="0" w:space="0" w:color="auto"/>
          </w:divBdr>
        </w:div>
        <w:div w:id="1863130776">
          <w:marLeft w:val="640"/>
          <w:marRight w:val="0"/>
          <w:marTop w:val="0"/>
          <w:marBottom w:val="0"/>
          <w:divBdr>
            <w:top w:val="none" w:sz="0" w:space="0" w:color="auto"/>
            <w:left w:val="none" w:sz="0" w:space="0" w:color="auto"/>
            <w:bottom w:val="none" w:sz="0" w:space="0" w:color="auto"/>
            <w:right w:val="none" w:sz="0" w:space="0" w:color="auto"/>
          </w:divBdr>
        </w:div>
        <w:div w:id="2063408431">
          <w:marLeft w:val="640"/>
          <w:marRight w:val="0"/>
          <w:marTop w:val="0"/>
          <w:marBottom w:val="0"/>
          <w:divBdr>
            <w:top w:val="none" w:sz="0" w:space="0" w:color="auto"/>
            <w:left w:val="none" w:sz="0" w:space="0" w:color="auto"/>
            <w:bottom w:val="none" w:sz="0" w:space="0" w:color="auto"/>
            <w:right w:val="none" w:sz="0" w:space="0" w:color="auto"/>
          </w:divBdr>
        </w:div>
        <w:div w:id="470365416">
          <w:marLeft w:val="640"/>
          <w:marRight w:val="0"/>
          <w:marTop w:val="0"/>
          <w:marBottom w:val="0"/>
          <w:divBdr>
            <w:top w:val="none" w:sz="0" w:space="0" w:color="auto"/>
            <w:left w:val="none" w:sz="0" w:space="0" w:color="auto"/>
            <w:bottom w:val="none" w:sz="0" w:space="0" w:color="auto"/>
            <w:right w:val="none" w:sz="0" w:space="0" w:color="auto"/>
          </w:divBdr>
        </w:div>
        <w:div w:id="1523468800">
          <w:marLeft w:val="640"/>
          <w:marRight w:val="0"/>
          <w:marTop w:val="0"/>
          <w:marBottom w:val="0"/>
          <w:divBdr>
            <w:top w:val="none" w:sz="0" w:space="0" w:color="auto"/>
            <w:left w:val="none" w:sz="0" w:space="0" w:color="auto"/>
            <w:bottom w:val="none" w:sz="0" w:space="0" w:color="auto"/>
            <w:right w:val="none" w:sz="0" w:space="0" w:color="auto"/>
          </w:divBdr>
        </w:div>
        <w:div w:id="860165212">
          <w:marLeft w:val="640"/>
          <w:marRight w:val="0"/>
          <w:marTop w:val="0"/>
          <w:marBottom w:val="0"/>
          <w:divBdr>
            <w:top w:val="none" w:sz="0" w:space="0" w:color="auto"/>
            <w:left w:val="none" w:sz="0" w:space="0" w:color="auto"/>
            <w:bottom w:val="none" w:sz="0" w:space="0" w:color="auto"/>
            <w:right w:val="none" w:sz="0" w:space="0" w:color="auto"/>
          </w:divBdr>
        </w:div>
        <w:div w:id="1732730792">
          <w:marLeft w:val="640"/>
          <w:marRight w:val="0"/>
          <w:marTop w:val="0"/>
          <w:marBottom w:val="0"/>
          <w:divBdr>
            <w:top w:val="none" w:sz="0" w:space="0" w:color="auto"/>
            <w:left w:val="none" w:sz="0" w:space="0" w:color="auto"/>
            <w:bottom w:val="none" w:sz="0" w:space="0" w:color="auto"/>
            <w:right w:val="none" w:sz="0" w:space="0" w:color="auto"/>
          </w:divBdr>
        </w:div>
        <w:div w:id="1227691574">
          <w:marLeft w:val="640"/>
          <w:marRight w:val="0"/>
          <w:marTop w:val="0"/>
          <w:marBottom w:val="0"/>
          <w:divBdr>
            <w:top w:val="none" w:sz="0" w:space="0" w:color="auto"/>
            <w:left w:val="none" w:sz="0" w:space="0" w:color="auto"/>
            <w:bottom w:val="none" w:sz="0" w:space="0" w:color="auto"/>
            <w:right w:val="none" w:sz="0" w:space="0" w:color="auto"/>
          </w:divBdr>
        </w:div>
        <w:div w:id="525485349">
          <w:marLeft w:val="640"/>
          <w:marRight w:val="0"/>
          <w:marTop w:val="0"/>
          <w:marBottom w:val="0"/>
          <w:divBdr>
            <w:top w:val="none" w:sz="0" w:space="0" w:color="auto"/>
            <w:left w:val="none" w:sz="0" w:space="0" w:color="auto"/>
            <w:bottom w:val="none" w:sz="0" w:space="0" w:color="auto"/>
            <w:right w:val="none" w:sz="0" w:space="0" w:color="auto"/>
          </w:divBdr>
        </w:div>
        <w:div w:id="522061130">
          <w:marLeft w:val="640"/>
          <w:marRight w:val="0"/>
          <w:marTop w:val="0"/>
          <w:marBottom w:val="0"/>
          <w:divBdr>
            <w:top w:val="none" w:sz="0" w:space="0" w:color="auto"/>
            <w:left w:val="none" w:sz="0" w:space="0" w:color="auto"/>
            <w:bottom w:val="none" w:sz="0" w:space="0" w:color="auto"/>
            <w:right w:val="none" w:sz="0" w:space="0" w:color="auto"/>
          </w:divBdr>
        </w:div>
        <w:div w:id="270630862">
          <w:marLeft w:val="640"/>
          <w:marRight w:val="0"/>
          <w:marTop w:val="0"/>
          <w:marBottom w:val="0"/>
          <w:divBdr>
            <w:top w:val="none" w:sz="0" w:space="0" w:color="auto"/>
            <w:left w:val="none" w:sz="0" w:space="0" w:color="auto"/>
            <w:bottom w:val="none" w:sz="0" w:space="0" w:color="auto"/>
            <w:right w:val="none" w:sz="0" w:space="0" w:color="auto"/>
          </w:divBdr>
        </w:div>
        <w:div w:id="1240406471">
          <w:marLeft w:val="640"/>
          <w:marRight w:val="0"/>
          <w:marTop w:val="0"/>
          <w:marBottom w:val="0"/>
          <w:divBdr>
            <w:top w:val="none" w:sz="0" w:space="0" w:color="auto"/>
            <w:left w:val="none" w:sz="0" w:space="0" w:color="auto"/>
            <w:bottom w:val="none" w:sz="0" w:space="0" w:color="auto"/>
            <w:right w:val="none" w:sz="0" w:space="0" w:color="auto"/>
          </w:divBdr>
        </w:div>
        <w:div w:id="356392656">
          <w:marLeft w:val="640"/>
          <w:marRight w:val="0"/>
          <w:marTop w:val="0"/>
          <w:marBottom w:val="0"/>
          <w:divBdr>
            <w:top w:val="none" w:sz="0" w:space="0" w:color="auto"/>
            <w:left w:val="none" w:sz="0" w:space="0" w:color="auto"/>
            <w:bottom w:val="none" w:sz="0" w:space="0" w:color="auto"/>
            <w:right w:val="none" w:sz="0" w:space="0" w:color="auto"/>
          </w:divBdr>
        </w:div>
        <w:div w:id="2046514121">
          <w:marLeft w:val="640"/>
          <w:marRight w:val="0"/>
          <w:marTop w:val="0"/>
          <w:marBottom w:val="0"/>
          <w:divBdr>
            <w:top w:val="none" w:sz="0" w:space="0" w:color="auto"/>
            <w:left w:val="none" w:sz="0" w:space="0" w:color="auto"/>
            <w:bottom w:val="none" w:sz="0" w:space="0" w:color="auto"/>
            <w:right w:val="none" w:sz="0" w:space="0" w:color="auto"/>
          </w:divBdr>
        </w:div>
        <w:div w:id="1043094916">
          <w:marLeft w:val="640"/>
          <w:marRight w:val="0"/>
          <w:marTop w:val="0"/>
          <w:marBottom w:val="0"/>
          <w:divBdr>
            <w:top w:val="none" w:sz="0" w:space="0" w:color="auto"/>
            <w:left w:val="none" w:sz="0" w:space="0" w:color="auto"/>
            <w:bottom w:val="none" w:sz="0" w:space="0" w:color="auto"/>
            <w:right w:val="none" w:sz="0" w:space="0" w:color="auto"/>
          </w:divBdr>
        </w:div>
        <w:div w:id="1623262275">
          <w:marLeft w:val="640"/>
          <w:marRight w:val="0"/>
          <w:marTop w:val="0"/>
          <w:marBottom w:val="0"/>
          <w:divBdr>
            <w:top w:val="none" w:sz="0" w:space="0" w:color="auto"/>
            <w:left w:val="none" w:sz="0" w:space="0" w:color="auto"/>
            <w:bottom w:val="none" w:sz="0" w:space="0" w:color="auto"/>
            <w:right w:val="none" w:sz="0" w:space="0" w:color="auto"/>
          </w:divBdr>
        </w:div>
        <w:div w:id="843057295">
          <w:marLeft w:val="640"/>
          <w:marRight w:val="0"/>
          <w:marTop w:val="0"/>
          <w:marBottom w:val="0"/>
          <w:divBdr>
            <w:top w:val="none" w:sz="0" w:space="0" w:color="auto"/>
            <w:left w:val="none" w:sz="0" w:space="0" w:color="auto"/>
            <w:bottom w:val="none" w:sz="0" w:space="0" w:color="auto"/>
            <w:right w:val="none" w:sz="0" w:space="0" w:color="auto"/>
          </w:divBdr>
        </w:div>
        <w:div w:id="1389650575">
          <w:marLeft w:val="640"/>
          <w:marRight w:val="0"/>
          <w:marTop w:val="0"/>
          <w:marBottom w:val="0"/>
          <w:divBdr>
            <w:top w:val="none" w:sz="0" w:space="0" w:color="auto"/>
            <w:left w:val="none" w:sz="0" w:space="0" w:color="auto"/>
            <w:bottom w:val="none" w:sz="0" w:space="0" w:color="auto"/>
            <w:right w:val="none" w:sz="0" w:space="0" w:color="auto"/>
          </w:divBdr>
        </w:div>
        <w:div w:id="716780873">
          <w:marLeft w:val="640"/>
          <w:marRight w:val="0"/>
          <w:marTop w:val="0"/>
          <w:marBottom w:val="0"/>
          <w:divBdr>
            <w:top w:val="none" w:sz="0" w:space="0" w:color="auto"/>
            <w:left w:val="none" w:sz="0" w:space="0" w:color="auto"/>
            <w:bottom w:val="none" w:sz="0" w:space="0" w:color="auto"/>
            <w:right w:val="none" w:sz="0" w:space="0" w:color="auto"/>
          </w:divBdr>
        </w:div>
        <w:div w:id="232206617">
          <w:marLeft w:val="640"/>
          <w:marRight w:val="0"/>
          <w:marTop w:val="0"/>
          <w:marBottom w:val="0"/>
          <w:divBdr>
            <w:top w:val="none" w:sz="0" w:space="0" w:color="auto"/>
            <w:left w:val="none" w:sz="0" w:space="0" w:color="auto"/>
            <w:bottom w:val="none" w:sz="0" w:space="0" w:color="auto"/>
            <w:right w:val="none" w:sz="0" w:space="0" w:color="auto"/>
          </w:divBdr>
        </w:div>
        <w:div w:id="929587673">
          <w:marLeft w:val="640"/>
          <w:marRight w:val="0"/>
          <w:marTop w:val="0"/>
          <w:marBottom w:val="0"/>
          <w:divBdr>
            <w:top w:val="none" w:sz="0" w:space="0" w:color="auto"/>
            <w:left w:val="none" w:sz="0" w:space="0" w:color="auto"/>
            <w:bottom w:val="none" w:sz="0" w:space="0" w:color="auto"/>
            <w:right w:val="none" w:sz="0" w:space="0" w:color="auto"/>
          </w:divBdr>
        </w:div>
        <w:div w:id="762917773">
          <w:marLeft w:val="640"/>
          <w:marRight w:val="0"/>
          <w:marTop w:val="0"/>
          <w:marBottom w:val="0"/>
          <w:divBdr>
            <w:top w:val="none" w:sz="0" w:space="0" w:color="auto"/>
            <w:left w:val="none" w:sz="0" w:space="0" w:color="auto"/>
            <w:bottom w:val="none" w:sz="0" w:space="0" w:color="auto"/>
            <w:right w:val="none" w:sz="0" w:space="0" w:color="auto"/>
          </w:divBdr>
        </w:div>
        <w:div w:id="704332877">
          <w:marLeft w:val="640"/>
          <w:marRight w:val="0"/>
          <w:marTop w:val="0"/>
          <w:marBottom w:val="0"/>
          <w:divBdr>
            <w:top w:val="none" w:sz="0" w:space="0" w:color="auto"/>
            <w:left w:val="none" w:sz="0" w:space="0" w:color="auto"/>
            <w:bottom w:val="none" w:sz="0" w:space="0" w:color="auto"/>
            <w:right w:val="none" w:sz="0" w:space="0" w:color="auto"/>
          </w:divBdr>
        </w:div>
        <w:div w:id="1240602007">
          <w:marLeft w:val="640"/>
          <w:marRight w:val="0"/>
          <w:marTop w:val="0"/>
          <w:marBottom w:val="0"/>
          <w:divBdr>
            <w:top w:val="none" w:sz="0" w:space="0" w:color="auto"/>
            <w:left w:val="none" w:sz="0" w:space="0" w:color="auto"/>
            <w:bottom w:val="none" w:sz="0" w:space="0" w:color="auto"/>
            <w:right w:val="none" w:sz="0" w:space="0" w:color="auto"/>
          </w:divBdr>
        </w:div>
        <w:div w:id="1229918319">
          <w:marLeft w:val="640"/>
          <w:marRight w:val="0"/>
          <w:marTop w:val="0"/>
          <w:marBottom w:val="0"/>
          <w:divBdr>
            <w:top w:val="none" w:sz="0" w:space="0" w:color="auto"/>
            <w:left w:val="none" w:sz="0" w:space="0" w:color="auto"/>
            <w:bottom w:val="none" w:sz="0" w:space="0" w:color="auto"/>
            <w:right w:val="none" w:sz="0" w:space="0" w:color="auto"/>
          </w:divBdr>
        </w:div>
        <w:div w:id="873614573">
          <w:marLeft w:val="640"/>
          <w:marRight w:val="0"/>
          <w:marTop w:val="0"/>
          <w:marBottom w:val="0"/>
          <w:divBdr>
            <w:top w:val="none" w:sz="0" w:space="0" w:color="auto"/>
            <w:left w:val="none" w:sz="0" w:space="0" w:color="auto"/>
            <w:bottom w:val="none" w:sz="0" w:space="0" w:color="auto"/>
            <w:right w:val="none" w:sz="0" w:space="0" w:color="auto"/>
          </w:divBdr>
        </w:div>
        <w:div w:id="1684042987">
          <w:marLeft w:val="640"/>
          <w:marRight w:val="0"/>
          <w:marTop w:val="0"/>
          <w:marBottom w:val="0"/>
          <w:divBdr>
            <w:top w:val="none" w:sz="0" w:space="0" w:color="auto"/>
            <w:left w:val="none" w:sz="0" w:space="0" w:color="auto"/>
            <w:bottom w:val="none" w:sz="0" w:space="0" w:color="auto"/>
            <w:right w:val="none" w:sz="0" w:space="0" w:color="auto"/>
          </w:divBdr>
        </w:div>
        <w:div w:id="880828234">
          <w:marLeft w:val="640"/>
          <w:marRight w:val="0"/>
          <w:marTop w:val="0"/>
          <w:marBottom w:val="0"/>
          <w:divBdr>
            <w:top w:val="none" w:sz="0" w:space="0" w:color="auto"/>
            <w:left w:val="none" w:sz="0" w:space="0" w:color="auto"/>
            <w:bottom w:val="none" w:sz="0" w:space="0" w:color="auto"/>
            <w:right w:val="none" w:sz="0" w:space="0" w:color="auto"/>
          </w:divBdr>
        </w:div>
        <w:div w:id="1989816963">
          <w:marLeft w:val="640"/>
          <w:marRight w:val="0"/>
          <w:marTop w:val="0"/>
          <w:marBottom w:val="0"/>
          <w:divBdr>
            <w:top w:val="none" w:sz="0" w:space="0" w:color="auto"/>
            <w:left w:val="none" w:sz="0" w:space="0" w:color="auto"/>
            <w:bottom w:val="none" w:sz="0" w:space="0" w:color="auto"/>
            <w:right w:val="none" w:sz="0" w:space="0" w:color="auto"/>
          </w:divBdr>
        </w:div>
        <w:div w:id="978000497">
          <w:marLeft w:val="640"/>
          <w:marRight w:val="0"/>
          <w:marTop w:val="0"/>
          <w:marBottom w:val="0"/>
          <w:divBdr>
            <w:top w:val="none" w:sz="0" w:space="0" w:color="auto"/>
            <w:left w:val="none" w:sz="0" w:space="0" w:color="auto"/>
            <w:bottom w:val="none" w:sz="0" w:space="0" w:color="auto"/>
            <w:right w:val="none" w:sz="0" w:space="0" w:color="auto"/>
          </w:divBdr>
        </w:div>
        <w:div w:id="39864332">
          <w:marLeft w:val="640"/>
          <w:marRight w:val="0"/>
          <w:marTop w:val="0"/>
          <w:marBottom w:val="0"/>
          <w:divBdr>
            <w:top w:val="none" w:sz="0" w:space="0" w:color="auto"/>
            <w:left w:val="none" w:sz="0" w:space="0" w:color="auto"/>
            <w:bottom w:val="none" w:sz="0" w:space="0" w:color="auto"/>
            <w:right w:val="none" w:sz="0" w:space="0" w:color="auto"/>
          </w:divBdr>
        </w:div>
        <w:div w:id="635795993">
          <w:marLeft w:val="640"/>
          <w:marRight w:val="0"/>
          <w:marTop w:val="0"/>
          <w:marBottom w:val="0"/>
          <w:divBdr>
            <w:top w:val="none" w:sz="0" w:space="0" w:color="auto"/>
            <w:left w:val="none" w:sz="0" w:space="0" w:color="auto"/>
            <w:bottom w:val="none" w:sz="0" w:space="0" w:color="auto"/>
            <w:right w:val="none" w:sz="0" w:space="0" w:color="auto"/>
          </w:divBdr>
        </w:div>
        <w:div w:id="1843159347">
          <w:marLeft w:val="640"/>
          <w:marRight w:val="0"/>
          <w:marTop w:val="0"/>
          <w:marBottom w:val="0"/>
          <w:divBdr>
            <w:top w:val="none" w:sz="0" w:space="0" w:color="auto"/>
            <w:left w:val="none" w:sz="0" w:space="0" w:color="auto"/>
            <w:bottom w:val="none" w:sz="0" w:space="0" w:color="auto"/>
            <w:right w:val="none" w:sz="0" w:space="0" w:color="auto"/>
          </w:divBdr>
        </w:div>
        <w:div w:id="1442457588">
          <w:marLeft w:val="640"/>
          <w:marRight w:val="0"/>
          <w:marTop w:val="0"/>
          <w:marBottom w:val="0"/>
          <w:divBdr>
            <w:top w:val="none" w:sz="0" w:space="0" w:color="auto"/>
            <w:left w:val="none" w:sz="0" w:space="0" w:color="auto"/>
            <w:bottom w:val="none" w:sz="0" w:space="0" w:color="auto"/>
            <w:right w:val="none" w:sz="0" w:space="0" w:color="auto"/>
          </w:divBdr>
        </w:div>
        <w:div w:id="1867869156">
          <w:marLeft w:val="640"/>
          <w:marRight w:val="0"/>
          <w:marTop w:val="0"/>
          <w:marBottom w:val="0"/>
          <w:divBdr>
            <w:top w:val="none" w:sz="0" w:space="0" w:color="auto"/>
            <w:left w:val="none" w:sz="0" w:space="0" w:color="auto"/>
            <w:bottom w:val="none" w:sz="0" w:space="0" w:color="auto"/>
            <w:right w:val="none" w:sz="0" w:space="0" w:color="auto"/>
          </w:divBdr>
        </w:div>
        <w:div w:id="1615866312">
          <w:marLeft w:val="640"/>
          <w:marRight w:val="0"/>
          <w:marTop w:val="0"/>
          <w:marBottom w:val="0"/>
          <w:divBdr>
            <w:top w:val="none" w:sz="0" w:space="0" w:color="auto"/>
            <w:left w:val="none" w:sz="0" w:space="0" w:color="auto"/>
            <w:bottom w:val="none" w:sz="0" w:space="0" w:color="auto"/>
            <w:right w:val="none" w:sz="0" w:space="0" w:color="auto"/>
          </w:divBdr>
        </w:div>
        <w:div w:id="833181115">
          <w:marLeft w:val="640"/>
          <w:marRight w:val="0"/>
          <w:marTop w:val="0"/>
          <w:marBottom w:val="0"/>
          <w:divBdr>
            <w:top w:val="none" w:sz="0" w:space="0" w:color="auto"/>
            <w:left w:val="none" w:sz="0" w:space="0" w:color="auto"/>
            <w:bottom w:val="none" w:sz="0" w:space="0" w:color="auto"/>
            <w:right w:val="none" w:sz="0" w:space="0" w:color="auto"/>
          </w:divBdr>
        </w:div>
        <w:div w:id="2124767180">
          <w:marLeft w:val="640"/>
          <w:marRight w:val="0"/>
          <w:marTop w:val="0"/>
          <w:marBottom w:val="0"/>
          <w:divBdr>
            <w:top w:val="none" w:sz="0" w:space="0" w:color="auto"/>
            <w:left w:val="none" w:sz="0" w:space="0" w:color="auto"/>
            <w:bottom w:val="none" w:sz="0" w:space="0" w:color="auto"/>
            <w:right w:val="none" w:sz="0" w:space="0" w:color="auto"/>
          </w:divBdr>
        </w:div>
        <w:div w:id="221722927">
          <w:marLeft w:val="640"/>
          <w:marRight w:val="0"/>
          <w:marTop w:val="0"/>
          <w:marBottom w:val="0"/>
          <w:divBdr>
            <w:top w:val="none" w:sz="0" w:space="0" w:color="auto"/>
            <w:left w:val="none" w:sz="0" w:space="0" w:color="auto"/>
            <w:bottom w:val="none" w:sz="0" w:space="0" w:color="auto"/>
            <w:right w:val="none" w:sz="0" w:space="0" w:color="auto"/>
          </w:divBdr>
        </w:div>
        <w:div w:id="2122138317">
          <w:marLeft w:val="640"/>
          <w:marRight w:val="0"/>
          <w:marTop w:val="0"/>
          <w:marBottom w:val="0"/>
          <w:divBdr>
            <w:top w:val="none" w:sz="0" w:space="0" w:color="auto"/>
            <w:left w:val="none" w:sz="0" w:space="0" w:color="auto"/>
            <w:bottom w:val="none" w:sz="0" w:space="0" w:color="auto"/>
            <w:right w:val="none" w:sz="0" w:space="0" w:color="auto"/>
          </w:divBdr>
        </w:div>
        <w:div w:id="1637296241">
          <w:marLeft w:val="640"/>
          <w:marRight w:val="0"/>
          <w:marTop w:val="0"/>
          <w:marBottom w:val="0"/>
          <w:divBdr>
            <w:top w:val="none" w:sz="0" w:space="0" w:color="auto"/>
            <w:left w:val="none" w:sz="0" w:space="0" w:color="auto"/>
            <w:bottom w:val="none" w:sz="0" w:space="0" w:color="auto"/>
            <w:right w:val="none" w:sz="0" w:space="0" w:color="auto"/>
          </w:divBdr>
        </w:div>
        <w:div w:id="952593011">
          <w:marLeft w:val="640"/>
          <w:marRight w:val="0"/>
          <w:marTop w:val="0"/>
          <w:marBottom w:val="0"/>
          <w:divBdr>
            <w:top w:val="none" w:sz="0" w:space="0" w:color="auto"/>
            <w:left w:val="none" w:sz="0" w:space="0" w:color="auto"/>
            <w:bottom w:val="none" w:sz="0" w:space="0" w:color="auto"/>
            <w:right w:val="none" w:sz="0" w:space="0" w:color="auto"/>
          </w:divBdr>
        </w:div>
        <w:div w:id="1871920254">
          <w:marLeft w:val="640"/>
          <w:marRight w:val="0"/>
          <w:marTop w:val="0"/>
          <w:marBottom w:val="0"/>
          <w:divBdr>
            <w:top w:val="none" w:sz="0" w:space="0" w:color="auto"/>
            <w:left w:val="none" w:sz="0" w:space="0" w:color="auto"/>
            <w:bottom w:val="none" w:sz="0" w:space="0" w:color="auto"/>
            <w:right w:val="none" w:sz="0" w:space="0" w:color="auto"/>
          </w:divBdr>
        </w:div>
        <w:div w:id="277179832">
          <w:marLeft w:val="640"/>
          <w:marRight w:val="0"/>
          <w:marTop w:val="0"/>
          <w:marBottom w:val="0"/>
          <w:divBdr>
            <w:top w:val="none" w:sz="0" w:space="0" w:color="auto"/>
            <w:left w:val="none" w:sz="0" w:space="0" w:color="auto"/>
            <w:bottom w:val="none" w:sz="0" w:space="0" w:color="auto"/>
            <w:right w:val="none" w:sz="0" w:space="0" w:color="auto"/>
          </w:divBdr>
        </w:div>
        <w:div w:id="744107704">
          <w:marLeft w:val="640"/>
          <w:marRight w:val="0"/>
          <w:marTop w:val="0"/>
          <w:marBottom w:val="0"/>
          <w:divBdr>
            <w:top w:val="none" w:sz="0" w:space="0" w:color="auto"/>
            <w:left w:val="none" w:sz="0" w:space="0" w:color="auto"/>
            <w:bottom w:val="none" w:sz="0" w:space="0" w:color="auto"/>
            <w:right w:val="none" w:sz="0" w:space="0" w:color="auto"/>
          </w:divBdr>
        </w:div>
        <w:div w:id="887956782">
          <w:marLeft w:val="640"/>
          <w:marRight w:val="0"/>
          <w:marTop w:val="0"/>
          <w:marBottom w:val="0"/>
          <w:divBdr>
            <w:top w:val="none" w:sz="0" w:space="0" w:color="auto"/>
            <w:left w:val="none" w:sz="0" w:space="0" w:color="auto"/>
            <w:bottom w:val="none" w:sz="0" w:space="0" w:color="auto"/>
            <w:right w:val="none" w:sz="0" w:space="0" w:color="auto"/>
          </w:divBdr>
        </w:div>
        <w:div w:id="1801990965">
          <w:marLeft w:val="640"/>
          <w:marRight w:val="0"/>
          <w:marTop w:val="0"/>
          <w:marBottom w:val="0"/>
          <w:divBdr>
            <w:top w:val="none" w:sz="0" w:space="0" w:color="auto"/>
            <w:left w:val="none" w:sz="0" w:space="0" w:color="auto"/>
            <w:bottom w:val="none" w:sz="0" w:space="0" w:color="auto"/>
            <w:right w:val="none" w:sz="0" w:space="0" w:color="auto"/>
          </w:divBdr>
        </w:div>
        <w:div w:id="336618093">
          <w:marLeft w:val="640"/>
          <w:marRight w:val="0"/>
          <w:marTop w:val="0"/>
          <w:marBottom w:val="0"/>
          <w:divBdr>
            <w:top w:val="none" w:sz="0" w:space="0" w:color="auto"/>
            <w:left w:val="none" w:sz="0" w:space="0" w:color="auto"/>
            <w:bottom w:val="none" w:sz="0" w:space="0" w:color="auto"/>
            <w:right w:val="none" w:sz="0" w:space="0" w:color="auto"/>
          </w:divBdr>
        </w:div>
        <w:div w:id="452288248">
          <w:marLeft w:val="640"/>
          <w:marRight w:val="0"/>
          <w:marTop w:val="0"/>
          <w:marBottom w:val="0"/>
          <w:divBdr>
            <w:top w:val="none" w:sz="0" w:space="0" w:color="auto"/>
            <w:left w:val="none" w:sz="0" w:space="0" w:color="auto"/>
            <w:bottom w:val="none" w:sz="0" w:space="0" w:color="auto"/>
            <w:right w:val="none" w:sz="0" w:space="0" w:color="auto"/>
          </w:divBdr>
        </w:div>
        <w:div w:id="2093889523">
          <w:marLeft w:val="640"/>
          <w:marRight w:val="0"/>
          <w:marTop w:val="0"/>
          <w:marBottom w:val="0"/>
          <w:divBdr>
            <w:top w:val="none" w:sz="0" w:space="0" w:color="auto"/>
            <w:left w:val="none" w:sz="0" w:space="0" w:color="auto"/>
            <w:bottom w:val="none" w:sz="0" w:space="0" w:color="auto"/>
            <w:right w:val="none" w:sz="0" w:space="0" w:color="auto"/>
          </w:divBdr>
        </w:div>
        <w:div w:id="548882221">
          <w:marLeft w:val="640"/>
          <w:marRight w:val="0"/>
          <w:marTop w:val="0"/>
          <w:marBottom w:val="0"/>
          <w:divBdr>
            <w:top w:val="none" w:sz="0" w:space="0" w:color="auto"/>
            <w:left w:val="none" w:sz="0" w:space="0" w:color="auto"/>
            <w:bottom w:val="none" w:sz="0" w:space="0" w:color="auto"/>
            <w:right w:val="none" w:sz="0" w:space="0" w:color="auto"/>
          </w:divBdr>
        </w:div>
        <w:div w:id="1606501381">
          <w:marLeft w:val="640"/>
          <w:marRight w:val="0"/>
          <w:marTop w:val="0"/>
          <w:marBottom w:val="0"/>
          <w:divBdr>
            <w:top w:val="none" w:sz="0" w:space="0" w:color="auto"/>
            <w:left w:val="none" w:sz="0" w:space="0" w:color="auto"/>
            <w:bottom w:val="none" w:sz="0" w:space="0" w:color="auto"/>
            <w:right w:val="none" w:sz="0" w:space="0" w:color="auto"/>
          </w:divBdr>
        </w:div>
        <w:div w:id="1360202539">
          <w:marLeft w:val="640"/>
          <w:marRight w:val="0"/>
          <w:marTop w:val="0"/>
          <w:marBottom w:val="0"/>
          <w:divBdr>
            <w:top w:val="none" w:sz="0" w:space="0" w:color="auto"/>
            <w:left w:val="none" w:sz="0" w:space="0" w:color="auto"/>
            <w:bottom w:val="none" w:sz="0" w:space="0" w:color="auto"/>
            <w:right w:val="none" w:sz="0" w:space="0" w:color="auto"/>
          </w:divBdr>
        </w:div>
        <w:div w:id="1380517785">
          <w:marLeft w:val="640"/>
          <w:marRight w:val="0"/>
          <w:marTop w:val="0"/>
          <w:marBottom w:val="0"/>
          <w:divBdr>
            <w:top w:val="none" w:sz="0" w:space="0" w:color="auto"/>
            <w:left w:val="none" w:sz="0" w:space="0" w:color="auto"/>
            <w:bottom w:val="none" w:sz="0" w:space="0" w:color="auto"/>
            <w:right w:val="none" w:sz="0" w:space="0" w:color="auto"/>
          </w:divBdr>
        </w:div>
        <w:div w:id="290677496">
          <w:marLeft w:val="640"/>
          <w:marRight w:val="0"/>
          <w:marTop w:val="0"/>
          <w:marBottom w:val="0"/>
          <w:divBdr>
            <w:top w:val="none" w:sz="0" w:space="0" w:color="auto"/>
            <w:left w:val="none" w:sz="0" w:space="0" w:color="auto"/>
            <w:bottom w:val="none" w:sz="0" w:space="0" w:color="auto"/>
            <w:right w:val="none" w:sz="0" w:space="0" w:color="auto"/>
          </w:divBdr>
        </w:div>
        <w:div w:id="219900605">
          <w:marLeft w:val="640"/>
          <w:marRight w:val="0"/>
          <w:marTop w:val="0"/>
          <w:marBottom w:val="0"/>
          <w:divBdr>
            <w:top w:val="none" w:sz="0" w:space="0" w:color="auto"/>
            <w:left w:val="none" w:sz="0" w:space="0" w:color="auto"/>
            <w:bottom w:val="none" w:sz="0" w:space="0" w:color="auto"/>
            <w:right w:val="none" w:sz="0" w:space="0" w:color="auto"/>
          </w:divBdr>
        </w:div>
        <w:div w:id="1828129326">
          <w:marLeft w:val="640"/>
          <w:marRight w:val="0"/>
          <w:marTop w:val="0"/>
          <w:marBottom w:val="0"/>
          <w:divBdr>
            <w:top w:val="none" w:sz="0" w:space="0" w:color="auto"/>
            <w:left w:val="none" w:sz="0" w:space="0" w:color="auto"/>
            <w:bottom w:val="none" w:sz="0" w:space="0" w:color="auto"/>
            <w:right w:val="none" w:sz="0" w:space="0" w:color="auto"/>
          </w:divBdr>
        </w:div>
        <w:div w:id="1310131419">
          <w:marLeft w:val="640"/>
          <w:marRight w:val="0"/>
          <w:marTop w:val="0"/>
          <w:marBottom w:val="0"/>
          <w:divBdr>
            <w:top w:val="none" w:sz="0" w:space="0" w:color="auto"/>
            <w:left w:val="none" w:sz="0" w:space="0" w:color="auto"/>
            <w:bottom w:val="none" w:sz="0" w:space="0" w:color="auto"/>
            <w:right w:val="none" w:sz="0" w:space="0" w:color="auto"/>
          </w:divBdr>
        </w:div>
        <w:div w:id="182794181">
          <w:marLeft w:val="640"/>
          <w:marRight w:val="0"/>
          <w:marTop w:val="0"/>
          <w:marBottom w:val="0"/>
          <w:divBdr>
            <w:top w:val="none" w:sz="0" w:space="0" w:color="auto"/>
            <w:left w:val="none" w:sz="0" w:space="0" w:color="auto"/>
            <w:bottom w:val="none" w:sz="0" w:space="0" w:color="auto"/>
            <w:right w:val="none" w:sz="0" w:space="0" w:color="auto"/>
          </w:divBdr>
        </w:div>
        <w:div w:id="82915101">
          <w:marLeft w:val="640"/>
          <w:marRight w:val="0"/>
          <w:marTop w:val="0"/>
          <w:marBottom w:val="0"/>
          <w:divBdr>
            <w:top w:val="none" w:sz="0" w:space="0" w:color="auto"/>
            <w:left w:val="none" w:sz="0" w:space="0" w:color="auto"/>
            <w:bottom w:val="none" w:sz="0" w:space="0" w:color="auto"/>
            <w:right w:val="none" w:sz="0" w:space="0" w:color="auto"/>
          </w:divBdr>
        </w:div>
        <w:div w:id="570703503">
          <w:marLeft w:val="640"/>
          <w:marRight w:val="0"/>
          <w:marTop w:val="0"/>
          <w:marBottom w:val="0"/>
          <w:divBdr>
            <w:top w:val="none" w:sz="0" w:space="0" w:color="auto"/>
            <w:left w:val="none" w:sz="0" w:space="0" w:color="auto"/>
            <w:bottom w:val="none" w:sz="0" w:space="0" w:color="auto"/>
            <w:right w:val="none" w:sz="0" w:space="0" w:color="auto"/>
          </w:divBdr>
        </w:div>
        <w:div w:id="534658767">
          <w:marLeft w:val="640"/>
          <w:marRight w:val="0"/>
          <w:marTop w:val="0"/>
          <w:marBottom w:val="0"/>
          <w:divBdr>
            <w:top w:val="none" w:sz="0" w:space="0" w:color="auto"/>
            <w:left w:val="none" w:sz="0" w:space="0" w:color="auto"/>
            <w:bottom w:val="none" w:sz="0" w:space="0" w:color="auto"/>
            <w:right w:val="none" w:sz="0" w:space="0" w:color="auto"/>
          </w:divBdr>
        </w:div>
        <w:div w:id="539051055">
          <w:marLeft w:val="640"/>
          <w:marRight w:val="0"/>
          <w:marTop w:val="0"/>
          <w:marBottom w:val="0"/>
          <w:divBdr>
            <w:top w:val="none" w:sz="0" w:space="0" w:color="auto"/>
            <w:left w:val="none" w:sz="0" w:space="0" w:color="auto"/>
            <w:bottom w:val="none" w:sz="0" w:space="0" w:color="auto"/>
            <w:right w:val="none" w:sz="0" w:space="0" w:color="auto"/>
          </w:divBdr>
        </w:div>
        <w:div w:id="806556040">
          <w:marLeft w:val="640"/>
          <w:marRight w:val="0"/>
          <w:marTop w:val="0"/>
          <w:marBottom w:val="0"/>
          <w:divBdr>
            <w:top w:val="none" w:sz="0" w:space="0" w:color="auto"/>
            <w:left w:val="none" w:sz="0" w:space="0" w:color="auto"/>
            <w:bottom w:val="none" w:sz="0" w:space="0" w:color="auto"/>
            <w:right w:val="none" w:sz="0" w:space="0" w:color="auto"/>
          </w:divBdr>
        </w:div>
        <w:div w:id="1743521773">
          <w:marLeft w:val="640"/>
          <w:marRight w:val="0"/>
          <w:marTop w:val="0"/>
          <w:marBottom w:val="0"/>
          <w:divBdr>
            <w:top w:val="none" w:sz="0" w:space="0" w:color="auto"/>
            <w:left w:val="none" w:sz="0" w:space="0" w:color="auto"/>
            <w:bottom w:val="none" w:sz="0" w:space="0" w:color="auto"/>
            <w:right w:val="none" w:sz="0" w:space="0" w:color="auto"/>
          </w:divBdr>
        </w:div>
        <w:div w:id="923876997">
          <w:marLeft w:val="640"/>
          <w:marRight w:val="0"/>
          <w:marTop w:val="0"/>
          <w:marBottom w:val="0"/>
          <w:divBdr>
            <w:top w:val="none" w:sz="0" w:space="0" w:color="auto"/>
            <w:left w:val="none" w:sz="0" w:space="0" w:color="auto"/>
            <w:bottom w:val="none" w:sz="0" w:space="0" w:color="auto"/>
            <w:right w:val="none" w:sz="0" w:space="0" w:color="auto"/>
          </w:divBdr>
        </w:div>
        <w:div w:id="1705789168">
          <w:marLeft w:val="640"/>
          <w:marRight w:val="0"/>
          <w:marTop w:val="0"/>
          <w:marBottom w:val="0"/>
          <w:divBdr>
            <w:top w:val="none" w:sz="0" w:space="0" w:color="auto"/>
            <w:left w:val="none" w:sz="0" w:space="0" w:color="auto"/>
            <w:bottom w:val="none" w:sz="0" w:space="0" w:color="auto"/>
            <w:right w:val="none" w:sz="0" w:space="0" w:color="auto"/>
          </w:divBdr>
        </w:div>
        <w:div w:id="255210477">
          <w:marLeft w:val="640"/>
          <w:marRight w:val="0"/>
          <w:marTop w:val="0"/>
          <w:marBottom w:val="0"/>
          <w:divBdr>
            <w:top w:val="none" w:sz="0" w:space="0" w:color="auto"/>
            <w:left w:val="none" w:sz="0" w:space="0" w:color="auto"/>
            <w:bottom w:val="none" w:sz="0" w:space="0" w:color="auto"/>
            <w:right w:val="none" w:sz="0" w:space="0" w:color="auto"/>
          </w:divBdr>
        </w:div>
        <w:div w:id="421688198">
          <w:marLeft w:val="640"/>
          <w:marRight w:val="0"/>
          <w:marTop w:val="0"/>
          <w:marBottom w:val="0"/>
          <w:divBdr>
            <w:top w:val="none" w:sz="0" w:space="0" w:color="auto"/>
            <w:left w:val="none" w:sz="0" w:space="0" w:color="auto"/>
            <w:bottom w:val="none" w:sz="0" w:space="0" w:color="auto"/>
            <w:right w:val="none" w:sz="0" w:space="0" w:color="auto"/>
          </w:divBdr>
        </w:div>
        <w:div w:id="770324251">
          <w:marLeft w:val="640"/>
          <w:marRight w:val="0"/>
          <w:marTop w:val="0"/>
          <w:marBottom w:val="0"/>
          <w:divBdr>
            <w:top w:val="none" w:sz="0" w:space="0" w:color="auto"/>
            <w:left w:val="none" w:sz="0" w:space="0" w:color="auto"/>
            <w:bottom w:val="none" w:sz="0" w:space="0" w:color="auto"/>
            <w:right w:val="none" w:sz="0" w:space="0" w:color="auto"/>
          </w:divBdr>
        </w:div>
        <w:div w:id="967515468">
          <w:marLeft w:val="640"/>
          <w:marRight w:val="0"/>
          <w:marTop w:val="0"/>
          <w:marBottom w:val="0"/>
          <w:divBdr>
            <w:top w:val="none" w:sz="0" w:space="0" w:color="auto"/>
            <w:left w:val="none" w:sz="0" w:space="0" w:color="auto"/>
            <w:bottom w:val="none" w:sz="0" w:space="0" w:color="auto"/>
            <w:right w:val="none" w:sz="0" w:space="0" w:color="auto"/>
          </w:divBdr>
        </w:div>
        <w:div w:id="1479613948">
          <w:marLeft w:val="640"/>
          <w:marRight w:val="0"/>
          <w:marTop w:val="0"/>
          <w:marBottom w:val="0"/>
          <w:divBdr>
            <w:top w:val="none" w:sz="0" w:space="0" w:color="auto"/>
            <w:left w:val="none" w:sz="0" w:space="0" w:color="auto"/>
            <w:bottom w:val="none" w:sz="0" w:space="0" w:color="auto"/>
            <w:right w:val="none" w:sz="0" w:space="0" w:color="auto"/>
          </w:divBdr>
        </w:div>
        <w:div w:id="1466850778">
          <w:marLeft w:val="640"/>
          <w:marRight w:val="0"/>
          <w:marTop w:val="0"/>
          <w:marBottom w:val="0"/>
          <w:divBdr>
            <w:top w:val="none" w:sz="0" w:space="0" w:color="auto"/>
            <w:left w:val="none" w:sz="0" w:space="0" w:color="auto"/>
            <w:bottom w:val="none" w:sz="0" w:space="0" w:color="auto"/>
            <w:right w:val="none" w:sz="0" w:space="0" w:color="auto"/>
          </w:divBdr>
        </w:div>
        <w:div w:id="560601530">
          <w:marLeft w:val="640"/>
          <w:marRight w:val="0"/>
          <w:marTop w:val="0"/>
          <w:marBottom w:val="0"/>
          <w:divBdr>
            <w:top w:val="none" w:sz="0" w:space="0" w:color="auto"/>
            <w:left w:val="none" w:sz="0" w:space="0" w:color="auto"/>
            <w:bottom w:val="none" w:sz="0" w:space="0" w:color="auto"/>
            <w:right w:val="none" w:sz="0" w:space="0" w:color="auto"/>
          </w:divBdr>
        </w:div>
        <w:div w:id="1949390507">
          <w:marLeft w:val="640"/>
          <w:marRight w:val="0"/>
          <w:marTop w:val="0"/>
          <w:marBottom w:val="0"/>
          <w:divBdr>
            <w:top w:val="none" w:sz="0" w:space="0" w:color="auto"/>
            <w:left w:val="none" w:sz="0" w:space="0" w:color="auto"/>
            <w:bottom w:val="none" w:sz="0" w:space="0" w:color="auto"/>
            <w:right w:val="none" w:sz="0" w:space="0" w:color="auto"/>
          </w:divBdr>
        </w:div>
        <w:div w:id="27488102">
          <w:marLeft w:val="640"/>
          <w:marRight w:val="0"/>
          <w:marTop w:val="0"/>
          <w:marBottom w:val="0"/>
          <w:divBdr>
            <w:top w:val="none" w:sz="0" w:space="0" w:color="auto"/>
            <w:left w:val="none" w:sz="0" w:space="0" w:color="auto"/>
            <w:bottom w:val="none" w:sz="0" w:space="0" w:color="auto"/>
            <w:right w:val="none" w:sz="0" w:space="0" w:color="auto"/>
          </w:divBdr>
        </w:div>
        <w:div w:id="1227644148">
          <w:marLeft w:val="640"/>
          <w:marRight w:val="0"/>
          <w:marTop w:val="0"/>
          <w:marBottom w:val="0"/>
          <w:divBdr>
            <w:top w:val="none" w:sz="0" w:space="0" w:color="auto"/>
            <w:left w:val="none" w:sz="0" w:space="0" w:color="auto"/>
            <w:bottom w:val="none" w:sz="0" w:space="0" w:color="auto"/>
            <w:right w:val="none" w:sz="0" w:space="0" w:color="auto"/>
          </w:divBdr>
        </w:div>
        <w:div w:id="864944709">
          <w:marLeft w:val="640"/>
          <w:marRight w:val="0"/>
          <w:marTop w:val="0"/>
          <w:marBottom w:val="0"/>
          <w:divBdr>
            <w:top w:val="none" w:sz="0" w:space="0" w:color="auto"/>
            <w:left w:val="none" w:sz="0" w:space="0" w:color="auto"/>
            <w:bottom w:val="none" w:sz="0" w:space="0" w:color="auto"/>
            <w:right w:val="none" w:sz="0" w:space="0" w:color="auto"/>
          </w:divBdr>
        </w:div>
        <w:div w:id="2022971137">
          <w:marLeft w:val="640"/>
          <w:marRight w:val="0"/>
          <w:marTop w:val="0"/>
          <w:marBottom w:val="0"/>
          <w:divBdr>
            <w:top w:val="none" w:sz="0" w:space="0" w:color="auto"/>
            <w:left w:val="none" w:sz="0" w:space="0" w:color="auto"/>
            <w:bottom w:val="none" w:sz="0" w:space="0" w:color="auto"/>
            <w:right w:val="none" w:sz="0" w:space="0" w:color="auto"/>
          </w:divBdr>
        </w:div>
        <w:div w:id="1179583979">
          <w:marLeft w:val="640"/>
          <w:marRight w:val="0"/>
          <w:marTop w:val="0"/>
          <w:marBottom w:val="0"/>
          <w:divBdr>
            <w:top w:val="none" w:sz="0" w:space="0" w:color="auto"/>
            <w:left w:val="none" w:sz="0" w:space="0" w:color="auto"/>
            <w:bottom w:val="none" w:sz="0" w:space="0" w:color="auto"/>
            <w:right w:val="none" w:sz="0" w:space="0" w:color="auto"/>
          </w:divBdr>
        </w:div>
        <w:div w:id="105079732">
          <w:marLeft w:val="640"/>
          <w:marRight w:val="0"/>
          <w:marTop w:val="0"/>
          <w:marBottom w:val="0"/>
          <w:divBdr>
            <w:top w:val="none" w:sz="0" w:space="0" w:color="auto"/>
            <w:left w:val="none" w:sz="0" w:space="0" w:color="auto"/>
            <w:bottom w:val="none" w:sz="0" w:space="0" w:color="auto"/>
            <w:right w:val="none" w:sz="0" w:space="0" w:color="auto"/>
          </w:divBdr>
        </w:div>
        <w:div w:id="575745915">
          <w:marLeft w:val="640"/>
          <w:marRight w:val="0"/>
          <w:marTop w:val="0"/>
          <w:marBottom w:val="0"/>
          <w:divBdr>
            <w:top w:val="none" w:sz="0" w:space="0" w:color="auto"/>
            <w:left w:val="none" w:sz="0" w:space="0" w:color="auto"/>
            <w:bottom w:val="none" w:sz="0" w:space="0" w:color="auto"/>
            <w:right w:val="none" w:sz="0" w:space="0" w:color="auto"/>
          </w:divBdr>
        </w:div>
        <w:div w:id="1957373399">
          <w:marLeft w:val="640"/>
          <w:marRight w:val="0"/>
          <w:marTop w:val="0"/>
          <w:marBottom w:val="0"/>
          <w:divBdr>
            <w:top w:val="none" w:sz="0" w:space="0" w:color="auto"/>
            <w:left w:val="none" w:sz="0" w:space="0" w:color="auto"/>
            <w:bottom w:val="none" w:sz="0" w:space="0" w:color="auto"/>
            <w:right w:val="none" w:sz="0" w:space="0" w:color="auto"/>
          </w:divBdr>
        </w:div>
        <w:div w:id="716511207">
          <w:marLeft w:val="640"/>
          <w:marRight w:val="0"/>
          <w:marTop w:val="0"/>
          <w:marBottom w:val="0"/>
          <w:divBdr>
            <w:top w:val="none" w:sz="0" w:space="0" w:color="auto"/>
            <w:left w:val="none" w:sz="0" w:space="0" w:color="auto"/>
            <w:bottom w:val="none" w:sz="0" w:space="0" w:color="auto"/>
            <w:right w:val="none" w:sz="0" w:space="0" w:color="auto"/>
          </w:divBdr>
        </w:div>
        <w:div w:id="887108855">
          <w:marLeft w:val="640"/>
          <w:marRight w:val="0"/>
          <w:marTop w:val="0"/>
          <w:marBottom w:val="0"/>
          <w:divBdr>
            <w:top w:val="none" w:sz="0" w:space="0" w:color="auto"/>
            <w:left w:val="none" w:sz="0" w:space="0" w:color="auto"/>
            <w:bottom w:val="none" w:sz="0" w:space="0" w:color="auto"/>
            <w:right w:val="none" w:sz="0" w:space="0" w:color="auto"/>
          </w:divBdr>
        </w:div>
        <w:div w:id="328287896">
          <w:marLeft w:val="640"/>
          <w:marRight w:val="0"/>
          <w:marTop w:val="0"/>
          <w:marBottom w:val="0"/>
          <w:divBdr>
            <w:top w:val="none" w:sz="0" w:space="0" w:color="auto"/>
            <w:left w:val="none" w:sz="0" w:space="0" w:color="auto"/>
            <w:bottom w:val="none" w:sz="0" w:space="0" w:color="auto"/>
            <w:right w:val="none" w:sz="0" w:space="0" w:color="auto"/>
          </w:divBdr>
        </w:div>
        <w:div w:id="2006202306">
          <w:marLeft w:val="640"/>
          <w:marRight w:val="0"/>
          <w:marTop w:val="0"/>
          <w:marBottom w:val="0"/>
          <w:divBdr>
            <w:top w:val="none" w:sz="0" w:space="0" w:color="auto"/>
            <w:left w:val="none" w:sz="0" w:space="0" w:color="auto"/>
            <w:bottom w:val="none" w:sz="0" w:space="0" w:color="auto"/>
            <w:right w:val="none" w:sz="0" w:space="0" w:color="auto"/>
          </w:divBdr>
        </w:div>
        <w:div w:id="111243836">
          <w:marLeft w:val="640"/>
          <w:marRight w:val="0"/>
          <w:marTop w:val="0"/>
          <w:marBottom w:val="0"/>
          <w:divBdr>
            <w:top w:val="none" w:sz="0" w:space="0" w:color="auto"/>
            <w:left w:val="none" w:sz="0" w:space="0" w:color="auto"/>
            <w:bottom w:val="none" w:sz="0" w:space="0" w:color="auto"/>
            <w:right w:val="none" w:sz="0" w:space="0" w:color="auto"/>
          </w:divBdr>
        </w:div>
        <w:div w:id="442187908">
          <w:marLeft w:val="640"/>
          <w:marRight w:val="0"/>
          <w:marTop w:val="0"/>
          <w:marBottom w:val="0"/>
          <w:divBdr>
            <w:top w:val="none" w:sz="0" w:space="0" w:color="auto"/>
            <w:left w:val="none" w:sz="0" w:space="0" w:color="auto"/>
            <w:bottom w:val="none" w:sz="0" w:space="0" w:color="auto"/>
            <w:right w:val="none" w:sz="0" w:space="0" w:color="auto"/>
          </w:divBdr>
        </w:div>
        <w:div w:id="731125613">
          <w:marLeft w:val="640"/>
          <w:marRight w:val="0"/>
          <w:marTop w:val="0"/>
          <w:marBottom w:val="0"/>
          <w:divBdr>
            <w:top w:val="none" w:sz="0" w:space="0" w:color="auto"/>
            <w:left w:val="none" w:sz="0" w:space="0" w:color="auto"/>
            <w:bottom w:val="none" w:sz="0" w:space="0" w:color="auto"/>
            <w:right w:val="none" w:sz="0" w:space="0" w:color="auto"/>
          </w:divBdr>
        </w:div>
        <w:div w:id="1310282607">
          <w:marLeft w:val="640"/>
          <w:marRight w:val="0"/>
          <w:marTop w:val="0"/>
          <w:marBottom w:val="0"/>
          <w:divBdr>
            <w:top w:val="none" w:sz="0" w:space="0" w:color="auto"/>
            <w:left w:val="none" w:sz="0" w:space="0" w:color="auto"/>
            <w:bottom w:val="none" w:sz="0" w:space="0" w:color="auto"/>
            <w:right w:val="none" w:sz="0" w:space="0" w:color="auto"/>
          </w:divBdr>
        </w:div>
        <w:div w:id="2081176484">
          <w:marLeft w:val="640"/>
          <w:marRight w:val="0"/>
          <w:marTop w:val="0"/>
          <w:marBottom w:val="0"/>
          <w:divBdr>
            <w:top w:val="none" w:sz="0" w:space="0" w:color="auto"/>
            <w:left w:val="none" w:sz="0" w:space="0" w:color="auto"/>
            <w:bottom w:val="none" w:sz="0" w:space="0" w:color="auto"/>
            <w:right w:val="none" w:sz="0" w:space="0" w:color="auto"/>
          </w:divBdr>
        </w:div>
        <w:div w:id="898441233">
          <w:marLeft w:val="640"/>
          <w:marRight w:val="0"/>
          <w:marTop w:val="0"/>
          <w:marBottom w:val="0"/>
          <w:divBdr>
            <w:top w:val="none" w:sz="0" w:space="0" w:color="auto"/>
            <w:left w:val="none" w:sz="0" w:space="0" w:color="auto"/>
            <w:bottom w:val="none" w:sz="0" w:space="0" w:color="auto"/>
            <w:right w:val="none" w:sz="0" w:space="0" w:color="auto"/>
          </w:divBdr>
        </w:div>
        <w:div w:id="1126968991">
          <w:marLeft w:val="640"/>
          <w:marRight w:val="0"/>
          <w:marTop w:val="0"/>
          <w:marBottom w:val="0"/>
          <w:divBdr>
            <w:top w:val="none" w:sz="0" w:space="0" w:color="auto"/>
            <w:left w:val="none" w:sz="0" w:space="0" w:color="auto"/>
            <w:bottom w:val="none" w:sz="0" w:space="0" w:color="auto"/>
            <w:right w:val="none" w:sz="0" w:space="0" w:color="auto"/>
          </w:divBdr>
        </w:div>
        <w:div w:id="1693914759">
          <w:marLeft w:val="640"/>
          <w:marRight w:val="0"/>
          <w:marTop w:val="0"/>
          <w:marBottom w:val="0"/>
          <w:divBdr>
            <w:top w:val="none" w:sz="0" w:space="0" w:color="auto"/>
            <w:left w:val="none" w:sz="0" w:space="0" w:color="auto"/>
            <w:bottom w:val="none" w:sz="0" w:space="0" w:color="auto"/>
            <w:right w:val="none" w:sz="0" w:space="0" w:color="auto"/>
          </w:divBdr>
        </w:div>
        <w:div w:id="1496141843">
          <w:marLeft w:val="640"/>
          <w:marRight w:val="0"/>
          <w:marTop w:val="0"/>
          <w:marBottom w:val="0"/>
          <w:divBdr>
            <w:top w:val="none" w:sz="0" w:space="0" w:color="auto"/>
            <w:left w:val="none" w:sz="0" w:space="0" w:color="auto"/>
            <w:bottom w:val="none" w:sz="0" w:space="0" w:color="auto"/>
            <w:right w:val="none" w:sz="0" w:space="0" w:color="auto"/>
          </w:divBdr>
        </w:div>
        <w:div w:id="1495875226">
          <w:marLeft w:val="640"/>
          <w:marRight w:val="0"/>
          <w:marTop w:val="0"/>
          <w:marBottom w:val="0"/>
          <w:divBdr>
            <w:top w:val="none" w:sz="0" w:space="0" w:color="auto"/>
            <w:left w:val="none" w:sz="0" w:space="0" w:color="auto"/>
            <w:bottom w:val="none" w:sz="0" w:space="0" w:color="auto"/>
            <w:right w:val="none" w:sz="0" w:space="0" w:color="auto"/>
          </w:divBdr>
        </w:div>
        <w:div w:id="1887522174">
          <w:marLeft w:val="640"/>
          <w:marRight w:val="0"/>
          <w:marTop w:val="0"/>
          <w:marBottom w:val="0"/>
          <w:divBdr>
            <w:top w:val="none" w:sz="0" w:space="0" w:color="auto"/>
            <w:left w:val="none" w:sz="0" w:space="0" w:color="auto"/>
            <w:bottom w:val="none" w:sz="0" w:space="0" w:color="auto"/>
            <w:right w:val="none" w:sz="0" w:space="0" w:color="auto"/>
          </w:divBdr>
        </w:div>
        <w:div w:id="539241245">
          <w:marLeft w:val="640"/>
          <w:marRight w:val="0"/>
          <w:marTop w:val="0"/>
          <w:marBottom w:val="0"/>
          <w:divBdr>
            <w:top w:val="none" w:sz="0" w:space="0" w:color="auto"/>
            <w:left w:val="none" w:sz="0" w:space="0" w:color="auto"/>
            <w:bottom w:val="none" w:sz="0" w:space="0" w:color="auto"/>
            <w:right w:val="none" w:sz="0" w:space="0" w:color="auto"/>
          </w:divBdr>
        </w:div>
        <w:div w:id="851409871">
          <w:marLeft w:val="640"/>
          <w:marRight w:val="0"/>
          <w:marTop w:val="0"/>
          <w:marBottom w:val="0"/>
          <w:divBdr>
            <w:top w:val="none" w:sz="0" w:space="0" w:color="auto"/>
            <w:left w:val="none" w:sz="0" w:space="0" w:color="auto"/>
            <w:bottom w:val="none" w:sz="0" w:space="0" w:color="auto"/>
            <w:right w:val="none" w:sz="0" w:space="0" w:color="auto"/>
          </w:divBdr>
        </w:div>
        <w:div w:id="121001858">
          <w:marLeft w:val="640"/>
          <w:marRight w:val="0"/>
          <w:marTop w:val="0"/>
          <w:marBottom w:val="0"/>
          <w:divBdr>
            <w:top w:val="none" w:sz="0" w:space="0" w:color="auto"/>
            <w:left w:val="none" w:sz="0" w:space="0" w:color="auto"/>
            <w:bottom w:val="none" w:sz="0" w:space="0" w:color="auto"/>
            <w:right w:val="none" w:sz="0" w:space="0" w:color="auto"/>
          </w:divBdr>
        </w:div>
        <w:div w:id="532614116">
          <w:marLeft w:val="640"/>
          <w:marRight w:val="0"/>
          <w:marTop w:val="0"/>
          <w:marBottom w:val="0"/>
          <w:divBdr>
            <w:top w:val="none" w:sz="0" w:space="0" w:color="auto"/>
            <w:left w:val="none" w:sz="0" w:space="0" w:color="auto"/>
            <w:bottom w:val="none" w:sz="0" w:space="0" w:color="auto"/>
            <w:right w:val="none" w:sz="0" w:space="0" w:color="auto"/>
          </w:divBdr>
        </w:div>
        <w:div w:id="1591156359">
          <w:marLeft w:val="640"/>
          <w:marRight w:val="0"/>
          <w:marTop w:val="0"/>
          <w:marBottom w:val="0"/>
          <w:divBdr>
            <w:top w:val="none" w:sz="0" w:space="0" w:color="auto"/>
            <w:left w:val="none" w:sz="0" w:space="0" w:color="auto"/>
            <w:bottom w:val="none" w:sz="0" w:space="0" w:color="auto"/>
            <w:right w:val="none" w:sz="0" w:space="0" w:color="auto"/>
          </w:divBdr>
        </w:div>
        <w:div w:id="347026116">
          <w:marLeft w:val="640"/>
          <w:marRight w:val="0"/>
          <w:marTop w:val="0"/>
          <w:marBottom w:val="0"/>
          <w:divBdr>
            <w:top w:val="none" w:sz="0" w:space="0" w:color="auto"/>
            <w:left w:val="none" w:sz="0" w:space="0" w:color="auto"/>
            <w:bottom w:val="none" w:sz="0" w:space="0" w:color="auto"/>
            <w:right w:val="none" w:sz="0" w:space="0" w:color="auto"/>
          </w:divBdr>
        </w:div>
        <w:div w:id="412819537">
          <w:marLeft w:val="640"/>
          <w:marRight w:val="0"/>
          <w:marTop w:val="0"/>
          <w:marBottom w:val="0"/>
          <w:divBdr>
            <w:top w:val="none" w:sz="0" w:space="0" w:color="auto"/>
            <w:left w:val="none" w:sz="0" w:space="0" w:color="auto"/>
            <w:bottom w:val="none" w:sz="0" w:space="0" w:color="auto"/>
            <w:right w:val="none" w:sz="0" w:space="0" w:color="auto"/>
          </w:divBdr>
        </w:div>
        <w:div w:id="1571234264">
          <w:marLeft w:val="640"/>
          <w:marRight w:val="0"/>
          <w:marTop w:val="0"/>
          <w:marBottom w:val="0"/>
          <w:divBdr>
            <w:top w:val="none" w:sz="0" w:space="0" w:color="auto"/>
            <w:left w:val="none" w:sz="0" w:space="0" w:color="auto"/>
            <w:bottom w:val="none" w:sz="0" w:space="0" w:color="auto"/>
            <w:right w:val="none" w:sz="0" w:space="0" w:color="auto"/>
          </w:divBdr>
        </w:div>
        <w:div w:id="1415518392">
          <w:marLeft w:val="640"/>
          <w:marRight w:val="0"/>
          <w:marTop w:val="0"/>
          <w:marBottom w:val="0"/>
          <w:divBdr>
            <w:top w:val="none" w:sz="0" w:space="0" w:color="auto"/>
            <w:left w:val="none" w:sz="0" w:space="0" w:color="auto"/>
            <w:bottom w:val="none" w:sz="0" w:space="0" w:color="auto"/>
            <w:right w:val="none" w:sz="0" w:space="0" w:color="auto"/>
          </w:divBdr>
        </w:div>
        <w:div w:id="1672174950">
          <w:marLeft w:val="640"/>
          <w:marRight w:val="0"/>
          <w:marTop w:val="0"/>
          <w:marBottom w:val="0"/>
          <w:divBdr>
            <w:top w:val="none" w:sz="0" w:space="0" w:color="auto"/>
            <w:left w:val="none" w:sz="0" w:space="0" w:color="auto"/>
            <w:bottom w:val="none" w:sz="0" w:space="0" w:color="auto"/>
            <w:right w:val="none" w:sz="0" w:space="0" w:color="auto"/>
          </w:divBdr>
        </w:div>
        <w:div w:id="1295597512">
          <w:marLeft w:val="640"/>
          <w:marRight w:val="0"/>
          <w:marTop w:val="0"/>
          <w:marBottom w:val="0"/>
          <w:divBdr>
            <w:top w:val="none" w:sz="0" w:space="0" w:color="auto"/>
            <w:left w:val="none" w:sz="0" w:space="0" w:color="auto"/>
            <w:bottom w:val="none" w:sz="0" w:space="0" w:color="auto"/>
            <w:right w:val="none" w:sz="0" w:space="0" w:color="auto"/>
          </w:divBdr>
        </w:div>
        <w:div w:id="909077613">
          <w:marLeft w:val="640"/>
          <w:marRight w:val="0"/>
          <w:marTop w:val="0"/>
          <w:marBottom w:val="0"/>
          <w:divBdr>
            <w:top w:val="none" w:sz="0" w:space="0" w:color="auto"/>
            <w:left w:val="none" w:sz="0" w:space="0" w:color="auto"/>
            <w:bottom w:val="none" w:sz="0" w:space="0" w:color="auto"/>
            <w:right w:val="none" w:sz="0" w:space="0" w:color="auto"/>
          </w:divBdr>
        </w:div>
        <w:div w:id="745611524">
          <w:marLeft w:val="640"/>
          <w:marRight w:val="0"/>
          <w:marTop w:val="0"/>
          <w:marBottom w:val="0"/>
          <w:divBdr>
            <w:top w:val="none" w:sz="0" w:space="0" w:color="auto"/>
            <w:left w:val="none" w:sz="0" w:space="0" w:color="auto"/>
            <w:bottom w:val="none" w:sz="0" w:space="0" w:color="auto"/>
            <w:right w:val="none" w:sz="0" w:space="0" w:color="auto"/>
          </w:divBdr>
        </w:div>
        <w:div w:id="231162354">
          <w:marLeft w:val="640"/>
          <w:marRight w:val="0"/>
          <w:marTop w:val="0"/>
          <w:marBottom w:val="0"/>
          <w:divBdr>
            <w:top w:val="none" w:sz="0" w:space="0" w:color="auto"/>
            <w:left w:val="none" w:sz="0" w:space="0" w:color="auto"/>
            <w:bottom w:val="none" w:sz="0" w:space="0" w:color="auto"/>
            <w:right w:val="none" w:sz="0" w:space="0" w:color="auto"/>
          </w:divBdr>
        </w:div>
        <w:div w:id="492987954">
          <w:marLeft w:val="640"/>
          <w:marRight w:val="0"/>
          <w:marTop w:val="0"/>
          <w:marBottom w:val="0"/>
          <w:divBdr>
            <w:top w:val="none" w:sz="0" w:space="0" w:color="auto"/>
            <w:left w:val="none" w:sz="0" w:space="0" w:color="auto"/>
            <w:bottom w:val="none" w:sz="0" w:space="0" w:color="auto"/>
            <w:right w:val="none" w:sz="0" w:space="0" w:color="auto"/>
          </w:divBdr>
        </w:div>
        <w:div w:id="351304149">
          <w:marLeft w:val="640"/>
          <w:marRight w:val="0"/>
          <w:marTop w:val="0"/>
          <w:marBottom w:val="0"/>
          <w:divBdr>
            <w:top w:val="none" w:sz="0" w:space="0" w:color="auto"/>
            <w:left w:val="none" w:sz="0" w:space="0" w:color="auto"/>
            <w:bottom w:val="none" w:sz="0" w:space="0" w:color="auto"/>
            <w:right w:val="none" w:sz="0" w:space="0" w:color="auto"/>
          </w:divBdr>
        </w:div>
        <w:div w:id="1849833625">
          <w:marLeft w:val="640"/>
          <w:marRight w:val="0"/>
          <w:marTop w:val="0"/>
          <w:marBottom w:val="0"/>
          <w:divBdr>
            <w:top w:val="none" w:sz="0" w:space="0" w:color="auto"/>
            <w:left w:val="none" w:sz="0" w:space="0" w:color="auto"/>
            <w:bottom w:val="none" w:sz="0" w:space="0" w:color="auto"/>
            <w:right w:val="none" w:sz="0" w:space="0" w:color="auto"/>
          </w:divBdr>
        </w:div>
        <w:div w:id="1938441830">
          <w:marLeft w:val="640"/>
          <w:marRight w:val="0"/>
          <w:marTop w:val="0"/>
          <w:marBottom w:val="0"/>
          <w:divBdr>
            <w:top w:val="none" w:sz="0" w:space="0" w:color="auto"/>
            <w:left w:val="none" w:sz="0" w:space="0" w:color="auto"/>
            <w:bottom w:val="none" w:sz="0" w:space="0" w:color="auto"/>
            <w:right w:val="none" w:sz="0" w:space="0" w:color="auto"/>
          </w:divBdr>
        </w:div>
        <w:div w:id="1615937042">
          <w:marLeft w:val="640"/>
          <w:marRight w:val="0"/>
          <w:marTop w:val="0"/>
          <w:marBottom w:val="0"/>
          <w:divBdr>
            <w:top w:val="none" w:sz="0" w:space="0" w:color="auto"/>
            <w:left w:val="none" w:sz="0" w:space="0" w:color="auto"/>
            <w:bottom w:val="none" w:sz="0" w:space="0" w:color="auto"/>
            <w:right w:val="none" w:sz="0" w:space="0" w:color="auto"/>
          </w:divBdr>
        </w:div>
        <w:div w:id="1774207175">
          <w:marLeft w:val="640"/>
          <w:marRight w:val="0"/>
          <w:marTop w:val="0"/>
          <w:marBottom w:val="0"/>
          <w:divBdr>
            <w:top w:val="none" w:sz="0" w:space="0" w:color="auto"/>
            <w:left w:val="none" w:sz="0" w:space="0" w:color="auto"/>
            <w:bottom w:val="none" w:sz="0" w:space="0" w:color="auto"/>
            <w:right w:val="none" w:sz="0" w:space="0" w:color="auto"/>
          </w:divBdr>
        </w:div>
        <w:div w:id="112210787">
          <w:marLeft w:val="640"/>
          <w:marRight w:val="0"/>
          <w:marTop w:val="0"/>
          <w:marBottom w:val="0"/>
          <w:divBdr>
            <w:top w:val="none" w:sz="0" w:space="0" w:color="auto"/>
            <w:left w:val="none" w:sz="0" w:space="0" w:color="auto"/>
            <w:bottom w:val="none" w:sz="0" w:space="0" w:color="auto"/>
            <w:right w:val="none" w:sz="0" w:space="0" w:color="auto"/>
          </w:divBdr>
        </w:div>
        <w:div w:id="882248752">
          <w:marLeft w:val="640"/>
          <w:marRight w:val="0"/>
          <w:marTop w:val="0"/>
          <w:marBottom w:val="0"/>
          <w:divBdr>
            <w:top w:val="none" w:sz="0" w:space="0" w:color="auto"/>
            <w:left w:val="none" w:sz="0" w:space="0" w:color="auto"/>
            <w:bottom w:val="none" w:sz="0" w:space="0" w:color="auto"/>
            <w:right w:val="none" w:sz="0" w:space="0" w:color="auto"/>
          </w:divBdr>
        </w:div>
        <w:div w:id="118571725">
          <w:marLeft w:val="640"/>
          <w:marRight w:val="0"/>
          <w:marTop w:val="0"/>
          <w:marBottom w:val="0"/>
          <w:divBdr>
            <w:top w:val="none" w:sz="0" w:space="0" w:color="auto"/>
            <w:left w:val="none" w:sz="0" w:space="0" w:color="auto"/>
            <w:bottom w:val="none" w:sz="0" w:space="0" w:color="auto"/>
            <w:right w:val="none" w:sz="0" w:space="0" w:color="auto"/>
          </w:divBdr>
        </w:div>
        <w:div w:id="1727948999">
          <w:marLeft w:val="640"/>
          <w:marRight w:val="0"/>
          <w:marTop w:val="0"/>
          <w:marBottom w:val="0"/>
          <w:divBdr>
            <w:top w:val="none" w:sz="0" w:space="0" w:color="auto"/>
            <w:left w:val="none" w:sz="0" w:space="0" w:color="auto"/>
            <w:bottom w:val="none" w:sz="0" w:space="0" w:color="auto"/>
            <w:right w:val="none" w:sz="0" w:space="0" w:color="auto"/>
          </w:divBdr>
        </w:div>
        <w:div w:id="1100949849">
          <w:marLeft w:val="640"/>
          <w:marRight w:val="0"/>
          <w:marTop w:val="0"/>
          <w:marBottom w:val="0"/>
          <w:divBdr>
            <w:top w:val="none" w:sz="0" w:space="0" w:color="auto"/>
            <w:left w:val="none" w:sz="0" w:space="0" w:color="auto"/>
            <w:bottom w:val="none" w:sz="0" w:space="0" w:color="auto"/>
            <w:right w:val="none" w:sz="0" w:space="0" w:color="auto"/>
          </w:divBdr>
        </w:div>
        <w:div w:id="1748065556">
          <w:marLeft w:val="640"/>
          <w:marRight w:val="0"/>
          <w:marTop w:val="0"/>
          <w:marBottom w:val="0"/>
          <w:divBdr>
            <w:top w:val="none" w:sz="0" w:space="0" w:color="auto"/>
            <w:left w:val="none" w:sz="0" w:space="0" w:color="auto"/>
            <w:bottom w:val="none" w:sz="0" w:space="0" w:color="auto"/>
            <w:right w:val="none" w:sz="0" w:space="0" w:color="auto"/>
          </w:divBdr>
        </w:div>
        <w:div w:id="1601791483">
          <w:marLeft w:val="640"/>
          <w:marRight w:val="0"/>
          <w:marTop w:val="0"/>
          <w:marBottom w:val="0"/>
          <w:divBdr>
            <w:top w:val="none" w:sz="0" w:space="0" w:color="auto"/>
            <w:left w:val="none" w:sz="0" w:space="0" w:color="auto"/>
            <w:bottom w:val="none" w:sz="0" w:space="0" w:color="auto"/>
            <w:right w:val="none" w:sz="0" w:space="0" w:color="auto"/>
          </w:divBdr>
        </w:div>
        <w:div w:id="1770537426">
          <w:marLeft w:val="640"/>
          <w:marRight w:val="0"/>
          <w:marTop w:val="0"/>
          <w:marBottom w:val="0"/>
          <w:divBdr>
            <w:top w:val="none" w:sz="0" w:space="0" w:color="auto"/>
            <w:left w:val="none" w:sz="0" w:space="0" w:color="auto"/>
            <w:bottom w:val="none" w:sz="0" w:space="0" w:color="auto"/>
            <w:right w:val="none" w:sz="0" w:space="0" w:color="auto"/>
          </w:divBdr>
        </w:div>
        <w:div w:id="1739742084">
          <w:marLeft w:val="640"/>
          <w:marRight w:val="0"/>
          <w:marTop w:val="0"/>
          <w:marBottom w:val="0"/>
          <w:divBdr>
            <w:top w:val="none" w:sz="0" w:space="0" w:color="auto"/>
            <w:left w:val="none" w:sz="0" w:space="0" w:color="auto"/>
            <w:bottom w:val="none" w:sz="0" w:space="0" w:color="auto"/>
            <w:right w:val="none" w:sz="0" w:space="0" w:color="auto"/>
          </w:divBdr>
        </w:div>
        <w:div w:id="780730597">
          <w:marLeft w:val="640"/>
          <w:marRight w:val="0"/>
          <w:marTop w:val="0"/>
          <w:marBottom w:val="0"/>
          <w:divBdr>
            <w:top w:val="none" w:sz="0" w:space="0" w:color="auto"/>
            <w:left w:val="none" w:sz="0" w:space="0" w:color="auto"/>
            <w:bottom w:val="none" w:sz="0" w:space="0" w:color="auto"/>
            <w:right w:val="none" w:sz="0" w:space="0" w:color="auto"/>
          </w:divBdr>
        </w:div>
        <w:div w:id="1407192851">
          <w:marLeft w:val="640"/>
          <w:marRight w:val="0"/>
          <w:marTop w:val="0"/>
          <w:marBottom w:val="0"/>
          <w:divBdr>
            <w:top w:val="none" w:sz="0" w:space="0" w:color="auto"/>
            <w:left w:val="none" w:sz="0" w:space="0" w:color="auto"/>
            <w:bottom w:val="none" w:sz="0" w:space="0" w:color="auto"/>
            <w:right w:val="none" w:sz="0" w:space="0" w:color="auto"/>
          </w:divBdr>
        </w:div>
        <w:div w:id="630403731">
          <w:marLeft w:val="640"/>
          <w:marRight w:val="0"/>
          <w:marTop w:val="0"/>
          <w:marBottom w:val="0"/>
          <w:divBdr>
            <w:top w:val="none" w:sz="0" w:space="0" w:color="auto"/>
            <w:left w:val="none" w:sz="0" w:space="0" w:color="auto"/>
            <w:bottom w:val="none" w:sz="0" w:space="0" w:color="auto"/>
            <w:right w:val="none" w:sz="0" w:space="0" w:color="auto"/>
          </w:divBdr>
        </w:div>
        <w:div w:id="841430638">
          <w:marLeft w:val="640"/>
          <w:marRight w:val="0"/>
          <w:marTop w:val="0"/>
          <w:marBottom w:val="0"/>
          <w:divBdr>
            <w:top w:val="none" w:sz="0" w:space="0" w:color="auto"/>
            <w:left w:val="none" w:sz="0" w:space="0" w:color="auto"/>
            <w:bottom w:val="none" w:sz="0" w:space="0" w:color="auto"/>
            <w:right w:val="none" w:sz="0" w:space="0" w:color="auto"/>
          </w:divBdr>
        </w:div>
        <w:div w:id="537208327">
          <w:marLeft w:val="640"/>
          <w:marRight w:val="0"/>
          <w:marTop w:val="0"/>
          <w:marBottom w:val="0"/>
          <w:divBdr>
            <w:top w:val="none" w:sz="0" w:space="0" w:color="auto"/>
            <w:left w:val="none" w:sz="0" w:space="0" w:color="auto"/>
            <w:bottom w:val="none" w:sz="0" w:space="0" w:color="auto"/>
            <w:right w:val="none" w:sz="0" w:space="0" w:color="auto"/>
          </w:divBdr>
        </w:div>
        <w:div w:id="682167612">
          <w:marLeft w:val="640"/>
          <w:marRight w:val="0"/>
          <w:marTop w:val="0"/>
          <w:marBottom w:val="0"/>
          <w:divBdr>
            <w:top w:val="none" w:sz="0" w:space="0" w:color="auto"/>
            <w:left w:val="none" w:sz="0" w:space="0" w:color="auto"/>
            <w:bottom w:val="none" w:sz="0" w:space="0" w:color="auto"/>
            <w:right w:val="none" w:sz="0" w:space="0" w:color="auto"/>
          </w:divBdr>
        </w:div>
        <w:div w:id="508103740">
          <w:marLeft w:val="640"/>
          <w:marRight w:val="0"/>
          <w:marTop w:val="0"/>
          <w:marBottom w:val="0"/>
          <w:divBdr>
            <w:top w:val="none" w:sz="0" w:space="0" w:color="auto"/>
            <w:left w:val="none" w:sz="0" w:space="0" w:color="auto"/>
            <w:bottom w:val="none" w:sz="0" w:space="0" w:color="auto"/>
            <w:right w:val="none" w:sz="0" w:space="0" w:color="auto"/>
          </w:divBdr>
        </w:div>
        <w:div w:id="290592998">
          <w:marLeft w:val="640"/>
          <w:marRight w:val="0"/>
          <w:marTop w:val="0"/>
          <w:marBottom w:val="0"/>
          <w:divBdr>
            <w:top w:val="none" w:sz="0" w:space="0" w:color="auto"/>
            <w:left w:val="none" w:sz="0" w:space="0" w:color="auto"/>
            <w:bottom w:val="none" w:sz="0" w:space="0" w:color="auto"/>
            <w:right w:val="none" w:sz="0" w:space="0" w:color="auto"/>
          </w:divBdr>
        </w:div>
        <w:div w:id="326522454">
          <w:marLeft w:val="640"/>
          <w:marRight w:val="0"/>
          <w:marTop w:val="0"/>
          <w:marBottom w:val="0"/>
          <w:divBdr>
            <w:top w:val="none" w:sz="0" w:space="0" w:color="auto"/>
            <w:left w:val="none" w:sz="0" w:space="0" w:color="auto"/>
            <w:bottom w:val="none" w:sz="0" w:space="0" w:color="auto"/>
            <w:right w:val="none" w:sz="0" w:space="0" w:color="auto"/>
          </w:divBdr>
        </w:div>
        <w:div w:id="1101997839">
          <w:marLeft w:val="640"/>
          <w:marRight w:val="0"/>
          <w:marTop w:val="0"/>
          <w:marBottom w:val="0"/>
          <w:divBdr>
            <w:top w:val="none" w:sz="0" w:space="0" w:color="auto"/>
            <w:left w:val="none" w:sz="0" w:space="0" w:color="auto"/>
            <w:bottom w:val="none" w:sz="0" w:space="0" w:color="auto"/>
            <w:right w:val="none" w:sz="0" w:space="0" w:color="auto"/>
          </w:divBdr>
        </w:div>
        <w:div w:id="209152025">
          <w:marLeft w:val="640"/>
          <w:marRight w:val="0"/>
          <w:marTop w:val="0"/>
          <w:marBottom w:val="0"/>
          <w:divBdr>
            <w:top w:val="none" w:sz="0" w:space="0" w:color="auto"/>
            <w:left w:val="none" w:sz="0" w:space="0" w:color="auto"/>
            <w:bottom w:val="none" w:sz="0" w:space="0" w:color="auto"/>
            <w:right w:val="none" w:sz="0" w:space="0" w:color="auto"/>
          </w:divBdr>
        </w:div>
        <w:div w:id="1787966875">
          <w:marLeft w:val="640"/>
          <w:marRight w:val="0"/>
          <w:marTop w:val="0"/>
          <w:marBottom w:val="0"/>
          <w:divBdr>
            <w:top w:val="none" w:sz="0" w:space="0" w:color="auto"/>
            <w:left w:val="none" w:sz="0" w:space="0" w:color="auto"/>
            <w:bottom w:val="none" w:sz="0" w:space="0" w:color="auto"/>
            <w:right w:val="none" w:sz="0" w:space="0" w:color="auto"/>
          </w:divBdr>
        </w:div>
        <w:div w:id="307831279">
          <w:marLeft w:val="640"/>
          <w:marRight w:val="0"/>
          <w:marTop w:val="0"/>
          <w:marBottom w:val="0"/>
          <w:divBdr>
            <w:top w:val="none" w:sz="0" w:space="0" w:color="auto"/>
            <w:left w:val="none" w:sz="0" w:space="0" w:color="auto"/>
            <w:bottom w:val="none" w:sz="0" w:space="0" w:color="auto"/>
            <w:right w:val="none" w:sz="0" w:space="0" w:color="auto"/>
          </w:divBdr>
        </w:div>
        <w:div w:id="1889221480">
          <w:marLeft w:val="640"/>
          <w:marRight w:val="0"/>
          <w:marTop w:val="0"/>
          <w:marBottom w:val="0"/>
          <w:divBdr>
            <w:top w:val="none" w:sz="0" w:space="0" w:color="auto"/>
            <w:left w:val="none" w:sz="0" w:space="0" w:color="auto"/>
            <w:bottom w:val="none" w:sz="0" w:space="0" w:color="auto"/>
            <w:right w:val="none" w:sz="0" w:space="0" w:color="auto"/>
          </w:divBdr>
        </w:div>
        <w:div w:id="1018502365">
          <w:marLeft w:val="640"/>
          <w:marRight w:val="0"/>
          <w:marTop w:val="0"/>
          <w:marBottom w:val="0"/>
          <w:divBdr>
            <w:top w:val="none" w:sz="0" w:space="0" w:color="auto"/>
            <w:left w:val="none" w:sz="0" w:space="0" w:color="auto"/>
            <w:bottom w:val="none" w:sz="0" w:space="0" w:color="auto"/>
            <w:right w:val="none" w:sz="0" w:space="0" w:color="auto"/>
          </w:divBdr>
        </w:div>
        <w:div w:id="1512061507">
          <w:marLeft w:val="640"/>
          <w:marRight w:val="0"/>
          <w:marTop w:val="0"/>
          <w:marBottom w:val="0"/>
          <w:divBdr>
            <w:top w:val="none" w:sz="0" w:space="0" w:color="auto"/>
            <w:left w:val="none" w:sz="0" w:space="0" w:color="auto"/>
            <w:bottom w:val="none" w:sz="0" w:space="0" w:color="auto"/>
            <w:right w:val="none" w:sz="0" w:space="0" w:color="auto"/>
          </w:divBdr>
        </w:div>
        <w:div w:id="104423845">
          <w:marLeft w:val="640"/>
          <w:marRight w:val="0"/>
          <w:marTop w:val="0"/>
          <w:marBottom w:val="0"/>
          <w:divBdr>
            <w:top w:val="none" w:sz="0" w:space="0" w:color="auto"/>
            <w:left w:val="none" w:sz="0" w:space="0" w:color="auto"/>
            <w:bottom w:val="none" w:sz="0" w:space="0" w:color="auto"/>
            <w:right w:val="none" w:sz="0" w:space="0" w:color="auto"/>
          </w:divBdr>
        </w:div>
        <w:div w:id="939215458">
          <w:marLeft w:val="640"/>
          <w:marRight w:val="0"/>
          <w:marTop w:val="0"/>
          <w:marBottom w:val="0"/>
          <w:divBdr>
            <w:top w:val="none" w:sz="0" w:space="0" w:color="auto"/>
            <w:left w:val="none" w:sz="0" w:space="0" w:color="auto"/>
            <w:bottom w:val="none" w:sz="0" w:space="0" w:color="auto"/>
            <w:right w:val="none" w:sz="0" w:space="0" w:color="auto"/>
          </w:divBdr>
        </w:div>
        <w:div w:id="1565949338">
          <w:marLeft w:val="640"/>
          <w:marRight w:val="0"/>
          <w:marTop w:val="0"/>
          <w:marBottom w:val="0"/>
          <w:divBdr>
            <w:top w:val="none" w:sz="0" w:space="0" w:color="auto"/>
            <w:left w:val="none" w:sz="0" w:space="0" w:color="auto"/>
            <w:bottom w:val="none" w:sz="0" w:space="0" w:color="auto"/>
            <w:right w:val="none" w:sz="0" w:space="0" w:color="auto"/>
          </w:divBdr>
        </w:div>
        <w:div w:id="324095050">
          <w:marLeft w:val="640"/>
          <w:marRight w:val="0"/>
          <w:marTop w:val="0"/>
          <w:marBottom w:val="0"/>
          <w:divBdr>
            <w:top w:val="none" w:sz="0" w:space="0" w:color="auto"/>
            <w:left w:val="none" w:sz="0" w:space="0" w:color="auto"/>
            <w:bottom w:val="none" w:sz="0" w:space="0" w:color="auto"/>
            <w:right w:val="none" w:sz="0" w:space="0" w:color="auto"/>
          </w:divBdr>
        </w:div>
        <w:div w:id="1280069857">
          <w:marLeft w:val="640"/>
          <w:marRight w:val="0"/>
          <w:marTop w:val="0"/>
          <w:marBottom w:val="0"/>
          <w:divBdr>
            <w:top w:val="none" w:sz="0" w:space="0" w:color="auto"/>
            <w:left w:val="none" w:sz="0" w:space="0" w:color="auto"/>
            <w:bottom w:val="none" w:sz="0" w:space="0" w:color="auto"/>
            <w:right w:val="none" w:sz="0" w:space="0" w:color="auto"/>
          </w:divBdr>
        </w:div>
        <w:div w:id="620915271">
          <w:marLeft w:val="640"/>
          <w:marRight w:val="0"/>
          <w:marTop w:val="0"/>
          <w:marBottom w:val="0"/>
          <w:divBdr>
            <w:top w:val="none" w:sz="0" w:space="0" w:color="auto"/>
            <w:left w:val="none" w:sz="0" w:space="0" w:color="auto"/>
            <w:bottom w:val="none" w:sz="0" w:space="0" w:color="auto"/>
            <w:right w:val="none" w:sz="0" w:space="0" w:color="auto"/>
          </w:divBdr>
        </w:div>
        <w:div w:id="714812384">
          <w:marLeft w:val="640"/>
          <w:marRight w:val="0"/>
          <w:marTop w:val="0"/>
          <w:marBottom w:val="0"/>
          <w:divBdr>
            <w:top w:val="none" w:sz="0" w:space="0" w:color="auto"/>
            <w:left w:val="none" w:sz="0" w:space="0" w:color="auto"/>
            <w:bottom w:val="none" w:sz="0" w:space="0" w:color="auto"/>
            <w:right w:val="none" w:sz="0" w:space="0" w:color="auto"/>
          </w:divBdr>
        </w:div>
        <w:div w:id="1933930542">
          <w:marLeft w:val="640"/>
          <w:marRight w:val="0"/>
          <w:marTop w:val="0"/>
          <w:marBottom w:val="0"/>
          <w:divBdr>
            <w:top w:val="none" w:sz="0" w:space="0" w:color="auto"/>
            <w:left w:val="none" w:sz="0" w:space="0" w:color="auto"/>
            <w:bottom w:val="none" w:sz="0" w:space="0" w:color="auto"/>
            <w:right w:val="none" w:sz="0" w:space="0" w:color="auto"/>
          </w:divBdr>
        </w:div>
        <w:div w:id="110325772">
          <w:marLeft w:val="640"/>
          <w:marRight w:val="0"/>
          <w:marTop w:val="0"/>
          <w:marBottom w:val="0"/>
          <w:divBdr>
            <w:top w:val="none" w:sz="0" w:space="0" w:color="auto"/>
            <w:left w:val="none" w:sz="0" w:space="0" w:color="auto"/>
            <w:bottom w:val="none" w:sz="0" w:space="0" w:color="auto"/>
            <w:right w:val="none" w:sz="0" w:space="0" w:color="auto"/>
          </w:divBdr>
        </w:div>
        <w:div w:id="472018041">
          <w:marLeft w:val="640"/>
          <w:marRight w:val="0"/>
          <w:marTop w:val="0"/>
          <w:marBottom w:val="0"/>
          <w:divBdr>
            <w:top w:val="none" w:sz="0" w:space="0" w:color="auto"/>
            <w:left w:val="none" w:sz="0" w:space="0" w:color="auto"/>
            <w:bottom w:val="none" w:sz="0" w:space="0" w:color="auto"/>
            <w:right w:val="none" w:sz="0" w:space="0" w:color="auto"/>
          </w:divBdr>
        </w:div>
        <w:div w:id="1422137919">
          <w:marLeft w:val="640"/>
          <w:marRight w:val="0"/>
          <w:marTop w:val="0"/>
          <w:marBottom w:val="0"/>
          <w:divBdr>
            <w:top w:val="none" w:sz="0" w:space="0" w:color="auto"/>
            <w:left w:val="none" w:sz="0" w:space="0" w:color="auto"/>
            <w:bottom w:val="none" w:sz="0" w:space="0" w:color="auto"/>
            <w:right w:val="none" w:sz="0" w:space="0" w:color="auto"/>
          </w:divBdr>
        </w:div>
        <w:div w:id="561058366">
          <w:marLeft w:val="640"/>
          <w:marRight w:val="0"/>
          <w:marTop w:val="0"/>
          <w:marBottom w:val="0"/>
          <w:divBdr>
            <w:top w:val="none" w:sz="0" w:space="0" w:color="auto"/>
            <w:left w:val="none" w:sz="0" w:space="0" w:color="auto"/>
            <w:bottom w:val="none" w:sz="0" w:space="0" w:color="auto"/>
            <w:right w:val="none" w:sz="0" w:space="0" w:color="auto"/>
          </w:divBdr>
        </w:div>
        <w:div w:id="1057358695">
          <w:marLeft w:val="640"/>
          <w:marRight w:val="0"/>
          <w:marTop w:val="0"/>
          <w:marBottom w:val="0"/>
          <w:divBdr>
            <w:top w:val="none" w:sz="0" w:space="0" w:color="auto"/>
            <w:left w:val="none" w:sz="0" w:space="0" w:color="auto"/>
            <w:bottom w:val="none" w:sz="0" w:space="0" w:color="auto"/>
            <w:right w:val="none" w:sz="0" w:space="0" w:color="auto"/>
          </w:divBdr>
        </w:div>
        <w:div w:id="303392058">
          <w:marLeft w:val="640"/>
          <w:marRight w:val="0"/>
          <w:marTop w:val="0"/>
          <w:marBottom w:val="0"/>
          <w:divBdr>
            <w:top w:val="none" w:sz="0" w:space="0" w:color="auto"/>
            <w:left w:val="none" w:sz="0" w:space="0" w:color="auto"/>
            <w:bottom w:val="none" w:sz="0" w:space="0" w:color="auto"/>
            <w:right w:val="none" w:sz="0" w:space="0" w:color="auto"/>
          </w:divBdr>
        </w:div>
        <w:div w:id="169957394">
          <w:marLeft w:val="640"/>
          <w:marRight w:val="0"/>
          <w:marTop w:val="0"/>
          <w:marBottom w:val="0"/>
          <w:divBdr>
            <w:top w:val="none" w:sz="0" w:space="0" w:color="auto"/>
            <w:left w:val="none" w:sz="0" w:space="0" w:color="auto"/>
            <w:bottom w:val="none" w:sz="0" w:space="0" w:color="auto"/>
            <w:right w:val="none" w:sz="0" w:space="0" w:color="auto"/>
          </w:divBdr>
        </w:div>
        <w:div w:id="246571566">
          <w:marLeft w:val="640"/>
          <w:marRight w:val="0"/>
          <w:marTop w:val="0"/>
          <w:marBottom w:val="0"/>
          <w:divBdr>
            <w:top w:val="none" w:sz="0" w:space="0" w:color="auto"/>
            <w:left w:val="none" w:sz="0" w:space="0" w:color="auto"/>
            <w:bottom w:val="none" w:sz="0" w:space="0" w:color="auto"/>
            <w:right w:val="none" w:sz="0" w:space="0" w:color="auto"/>
          </w:divBdr>
        </w:div>
        <w:div w:id="1798521197">
          <w:marLeft w:val="640"/>
          <w:marRight w:val="0"/>
          <w:marTop w:val="0"/>
          <w:marBottom w:val="0"/>
          <w:divBdr>
            <w:top w:val="none" w:sz="0" w:space="0" w:color="auto"/>
            <w:left w:val="none" w:sz="0" w:space="0" w:color="auto"/>
            <w:bottom w:val="none" w:sz="0" w:space="0" w:color="auto"/>
            <w:right w:val="none" w:sz="0" w:space="0" w:color="auto"/>
          </w:divBdr>
        </w:div>
        <w:div w:id="1925534179">
          <w:marLeft w:val="640"/>
          <w:marRight w:val="0"/>
          <w:marTop w:val="0"/>
          <w:marBottom w:val="0"/>
          <w:divBdr>
            <w:top w:val="none" w:sz="0" w:space="0" w:color="auto"/>
            <w:left w:val="none" w:sz="0" w:space="0" w:color="auto"/>
            <w:bottom w:val="none" w:sz="0" w:space="0" w:color="auto"/>
            <w:right w:val="none" w:sz="0" w:space="0" w:color="auto"/>
          </w:divBdr>
        </w:div>
        <w:div w:id="1477843920">
          <w:marLeft w:val="640"/>
          <w:marRight w:val="0"/>
          <w:marTop w:val="0"/>
          <w:marBottom w:val="0"/>
          <w:divBdr>
            <w:top w:val="none" w:sz="0" w:space="0" w:color="auto"/>
            <w:left w:val="none" w:sz="0" w:space="0" w:color="auto"/>
            <w:bottom w:val="none" w:sz="0" w:space="0" w:color="auto"/>
            <w:right w:val="none" w:sz="0" w:space="0" w:color="auto"/>
          </w:divBdr>
        </w:div>
        <w:div w:id="341200741">
          <w:marLeft w:val="640"/>
          <w:marRight w:val="0"/>
          <w:marTop w:val="0"/>
          <w:marBottom w:val="0"/>
          <w:divBdr>
            <w:top w:val="none" w:sz="0" w:space="0" w:color="auto"/>
            <w:left w:val="none" w:sz="0" w:space="0" w:color="auto"/>
            <w:bottom w:val="none" w:sz="0" w:space="0" w:color="auto"/>
            <w:right w:val="none" w:sz="0" w:space="0" w:color="auto"/>
          </w:divBdr>
        </w:div>
        <w:div w:id="549146463">
          <w:marLeft w:val="640"/>
          <w:marRight w:val="0"/>
          <w:marTop w:val="0"/>
          <w:marBottom w:val="0"/>
          <w:divBdr>
            <w:top w:val="none" w:sz="0" w:space="0" w:color="auto"/>
            <w:left w:val="none" w:sz="0" w:space="0" w:color="auto"/>
            <w:bottom w:val="none" w:sz="0" w:space="0" w:color="auto"/>
            <w:right w:val="none" w:sz="0" w:space="0" w:color="auto"/>
          </w:divBdr>
        </w:div>
        <w:div w:id="442040471">
          <w:marLeft w:val="640"/>
          <w:marRight w:val="0"/>
          <w:marTop w:val="0"/>
          <w:marBottom w:val="0"/>
          <w:divBdr>
            <w:top w:val="none" w:sz="0" w:space="0" w:color="auto"/>
            <w:left w:val="none" w:sz="0" w:space="0" w:color="auto"/>
            <w:bottom w:val="none" w:sz="0" w:space="0" w:color="auto"/>
            <w:right w:val="none" w:sz="0" w:space="0" w:color="auto"/>
          </w:divBdr>
        </w:div>
        <w:div w:id="252863593">
          <w:marLeft w:val="640"/>
          <w:marRight w:val="0"/>
          <w:marTop w:val="0"/>
          <w:marBottom w:val="0"/>
          <w:divBdr>
            <w:top w:val="none" w:sz="0" w:space="0" w:color="auto"/>
            <w:left w:val="none" w:sz="0" w:space="0" w:color="auto"/>
            <w:bottom w:val="none" w:sz="0" w:space="0" w:color="auto"/>
            <w:right w:val="none" w:sz="0" w:space="0" w:color="auto"/>
          </w:divBdr>
        </w:div>
        <w:div w:id="995956459">
          <w:marLeft w:val="640"/>
          <w:marRight w:val="0"/>
          <w:marTop w:val="0"/>
          <w:marBottom w:val="0"/>
          <w:divBdr>
            <w:top w:val="none" w:sz="0" w:space="0" w:color="auto"/>
            <w:left w:val="none" w:sz="0" w:space="0" w:color="auto"/>
            <w:bottom w:val="none" w:sz="0" w:space="0" w:color="auto"/>
            <w:right w:val="none" w:sz="0" w:space="0" w:color="auto"/>
          </w:divBdr>
        </w:div>
        <w:div w:id="1965692665">
          <w:marLeft w:val="640"/>
          <w:marRight w:val="0"/>
          <w:marTop w:val="0"/>
          <w:marBottom w:val="0"/>
          <w:divBdr>
            <w:top w:val="none" w:sz="0" w:space="0" w:color="auto"/>
            <w:left w:val="none" w:sz="0" w:space="0" w:color="auto"/>
            <w:bottom w:val="none" w:sz="0" w:space="0" w:color="auto"/>
            <w:right w:val="none" w:sz="0" w:space="0" w:color="auto"/>
          </w:divBdr>
        </w:div>
        <w:div w:id="733353300">
          <w:marLeft w:val="640"/>
          <w:marRight w:val="0"/>
          <w:marTop w:val="0"/>
          <w:marBottom w:val="0"/>
          <w:divBdr>
            <w:top w:val="none" w:sz="0" w:space="0" w:color="auto"/>
            <w:left w:val="none" w:sz="0" w:space="0" w:color="auto"/>
            <w:bottom w:val="none" w:sz="0" w:space="0" w:color="auto"/>
            <w:right w:val="none" w:sz="0" w:space="0" w:color="auto"/>
          </w:divBdr>
        </w:div>
        <w:div w:id="672074395">
          <w:marLeft w:val="640"/>
          <w:marRight w:val="0"/>
          <w:marTop w:val="0"/>
          <w:marBottom w:val="0"/>
          <w:divBdr>
            <w:top w:val="none" w:sz="0" w:space="0" w:color="auto"/>
            <w:left w:val="none" w:sz="0" w:space="0" w:color="auto"/>
            <w:bottom w:val="none" w:sz="0" w:space="0" w:color="auto"/>
            <w:right w:val="none" w:sz="0" w:space="0" w:color="auto"/>
          </w:divBdr>
        </w:div>
        <w:div w:id="1409613937">
          <w:marLeft w:val="640"/>
          <w:marRight w:val="0"/>
          <w:marTop w:val="0"/>
          <w:marBottom w:val="0"/>
          <w:divBdr>
            <w:top w:val="none" w:sz="0" w:space="0" w:color="auto"/>
            <w:left w:val="none" w:sz="0" w:space="0" w:color="auto"/>
            <w:bottom w:val="none" w:sz="0" w:space="0" w:color="auto"/>
            <w:right w:val="none" w:sz="0" w:space="0" w:color="auto"/>
          </w:divBdr>
        </w:div>
      </w:divsChild>
    </w:div>
    <w:div w:id="1973124881">
      <w:bodyDiv w:val="1"/>
      <w:marLeft w:val="0"/>
      <w:marRight w:val="0"/>
      <w:marTop w:val="0"/>
      <w:marBottom w:val="0"/>
      <w:divBdr>
        <w:top w:val="none" w:sz="0" w:space="0" w:color="auto"/>
        <w:left w:val="none" w:sz="0" w:space="0" w:color="auto"/>
        <w:bottom w:val="none" w:sz="0" w:space="0" w:color="auto"/>
        <w:right w:val="none" w:sz="0" w:space="0" w:color="auto"/>
      </w:divBdr>
      <w:divsChild>
        <w:div w:id="84158245">
          <w:marLeft w:val="640"/>
          <w:marRight w:val="0"/>
          <w:marTop w:val="0"/>
          <w:marBottom w:val="0"/>
          <w:divBdr>
            <w:top w:val="none" w:sz="0" w:space="0" w:color="auto"/>
            <w:left w:val="none" w:sz="0" w:space="0" w:color="auto"/>
            <w:bottom w:val="none" w:sz="0" w:space="0" w:color="auto"/>
            <w:right w:val="none" w:sz="0" w:space="0" w:color="auto"/>
          </w:divBdr>
        </w:div>
        <w:div w:id="1172449320">
          <w:marLeft w:val="640"/>
          <w:marRight w:val="0"/>
          <w:marTop w:val="0"/>
          <w:marBottom w:val="0"/>
          <w:divBdr>
            <w:top w:val="none" w:sz="0" w:space="0" w:color="auto"/>
            <w:left w:val="none" w:sz="0" w:space="0" w:color="auto"/>
            <w:bottom w:val="none" w:sz="0" w:space="0" w:color="auto"/>
            <w:right w:val="none" w:sz="0" w:space="0" w:color="auto"/>
          </w:divBdr>
        </w:div>
        <w:div w:id="408887305">
          <w:marLeft w:val="640"/>
          <w:marRight w:val="0"/>
          <w:marTop w:val="0"/>
          <w:marBottom w:val="0"/>
          <w:divBdr>
            <w:top w:val="none" w:sz="0" w:space="0" w:color="auto"/>
            <w:left w:val="none" w:sz="0" w:space="0" w:color="auto"/>
            <w:bottom w:val="none" w:sz="0" w:space="0" w:color="auto"/>
            <w:right w:val="none" w:sz="0" w:space="0" w:color="auto"/>
          </w:divBdr>
        </w:div>
        <w:div w:id="922834355">
          <w:marLeft w:val="640"/>
          <w:marRight w:val="0"/>
          <w:marTop w:val="0"/>
          <w:marBottom w:val="0"/>
          <w:divBdr>
            <w:top w:val="none" w:sz="0" w:space="0" w:color="auto"/>
            <w:left w:val="none" w:sz="0" w:space="0" w:color="auto"/>
            <w:bottom w:val="none" w:sz="0" w:space="0" w:color="auto"/>
            <w:right w:val="none" w:sz="0" w:space="0" w:color="auto"/>
          </w:divBdr>
        </w:div>
        <w:div w:id="1638563137">
          <w:marLeft w:val="640"/>
          <w:marRight w:val="0"/>
          <w:marTop w:val="0"/>
          <w:marBottom w:val="0"/>
          <w:divBdr>
            <w:top w:val="none" w:sz="0" w:space="0" w:color="auto"/>
            <w:left w:val="none" w:sz="0" w:space="0" w:color="auto"/>
            <w:bottom w:val="none" w:sz="0" w:space="0" w:color="auto"/>
            <w:right w:val="none" w:sz="0" w:space="0" w:color="auto"/>
          </w:divBdr>
        </w:div>
        <w:div w:id="1062948238">
          <w:marLeft w:val="640"/>
          <w:marRight w:val="0"/>
          <w:marTop w:val="0"/>
          <w:marBottom w:val="0"/>
          <w:divBdr>
            <w:top w:val="none" w:sz="0" w:space="0" w:color="auto"/>
            <w:left w:val="none" w:sz="0" w:space="0" w:color="auto"/>
            <w:bottom w:val="none" w:sz="0" w:space="0" w:color="auto"/>
            <w:right w:val="none" w:sz="0" w:space="0" w:color="auto"/>
          </w:divBdr>
        </w:div>
        <w:div w:id="1144348112">
          <w:marLeft w:val="640"/>
          <w:marRight w:val="0"/>
          <w:marTop w:val="0"/>
          <w:marBottom w:val="0"/>
          <w:divBdr>
            <w:top w:val="none" w:sz="0" w:space="0" w:color="auto"/>
            <w:left w:val="none" w:sz="0" w:space="0" w:color="auto"/>
            <w:bottom w:val="none" w:sz="0" w:space="0" w:color="auto"/>
            <w:right w:val="none" w:sz="0" w:space="0" w:color="auto"/>
          </w:divBdr>
        </w:div>
        <w:div w:id="1209873115">
          <w:marLeft w:val="640"/>
          <w:marRight w:val="0"/>
          <w:marTop w:val="0"/>
          <w:marBottom w:val="0"/>
          <w:divBdr>
            <w:top w:val="none" w:sz="0" w:space="0" w:color="auto"/>
            <w:left w:val="none" w:sz="0" w:space="0" w:color="auto"/>
            <w:bottom w:val="none" w:sz="0" w:space="0" w:color="auto"/>
            <w:right w:val="none" w:sz="0" w:space="0" w:color="auto"/>
          </w:divBdr>
        </w:div>
        <w:div w:id="266696027">
          <w:marLeft w:val="640"/>
          <w:marRight w:val="0"/>
          <w:marTop w:val="0"/>
          <w:marBottom w:val="0"/>
          <w:divBdr>
            <w:top w:val="none" w:sz="0" w:space="0" w:color="auto"/>
            <w:left w:val="none" w:sz="0" w:space="0" w:color="auto"/>
            <w:bottom w:val="none" w:sz="0" w:space="0" w:color="auto"/>
            <w:right w:val="none" w:sz="0" w:space="0" w:color="auto"/>
          </w:divBdr>
        </w:div>
        <w:div w:id="714432152">
          <w:marLeft w:val="640"/>
          <w:marRight w:val="0"/>
          <w:marTop w:val="0"/>
          <w:marBottom w:val="0"/>
          <w:divBdr>
            <w:top w:val="none" w:sz="0" w:space="0" w:color="auto"/>
            <w:left w:val="none" w:sz="0" w:space="0" w:color="auto"/>
            <w:bottom w:val="none" w:sz="0" w:space="0" w:color="auto"/>
            <w:right w:val="none" w:sz="0" w:space="0" w:color="auto"/>
          </w:divBdr>
        </w:div>
        <w:div w:id="35397549">
          <w:marLeft w:val="640"/>
          <w:marRight w:val="0"/>
          <w:marTop w:val="0"/>
          <w:marBottom w:val="0"/>
          <w:divBdr>
            <w:top w:val="none" w:sz="0" w:space="0" w:color="auto"/>
            <w:left w:val="none" w:sz="0" w:space="0" w:color="auto"/>
            <w:bottom w:val="none" w:sz="0" w:space="0" w:color="auto"/>
            <w:right w:val="none" w:sz="0" w:space="0" w:color="auto"/>
          </w:divBdr>
        </w:div>
        <w:div w:id="351491034">
          <w:marLeft w:val="640"/>
          <w:marRight w:val="0"/>
          <w:marTop w:val="0"/>
          <w:marBottom w:val="0"/>
          <w:divBdr>
            <w:top w:val="none" w:sz="0" w:space="0" w:color="auto"/>
            <w:left w:val="none" w:sz="0" w:space="0" w:color="auto"/>
            <w:bottom w:val="none" w:sz="0" w:space="0" w:color="auto"/>
            <w:right w:val="none" w:sz="0" w:space="0" w:color="auto"/>
          </w:divBdr>
        </w:div>
        <w:div w:id="1932815986">
          <w:marLeft w:val="640"/>
          <w:marRight w:val="0"/>
          <w:marTop w:val="0"/>
          <w:marBottom w:val="0"/>
          <w:divBdr>
            <w:top w:val="none" w:sz="0" w:space="0" w:color="auto"/>
            <w:left w:val="none" w:sz="0" w:space="0" w:color="auto"/>
            <w:bottom w:val="none" w:sz="0" w:space="0" w:color="auto"/>
            <w:right w:val="none" w:sz="0" w:space="0" w:color="auto"/>
          </w:divBdr>
        </w:div>
        <w:div w:id="1757826055">
          <w:marLeft w:val="640"/>
          <w:marRight w:val="0"/>
          <w:marTop w:val="0"/>
          <w:marBottom w:val="0"/>
          <w:divBdr>
            <w:top w:val="none" w:sz="0" w:space="0" w:color="auto"/>
            <w:left w:val="none" w:sz="0" w:space="0" w:color="auto"/>
            <w:bottom w:val="none" w:sz="0" w:space="0" w:color="auto"/>
            <w:right w:val="none" w:sz="0" w:space="0" w:color="auto"/>
          </w:divBdr>
        </w:div>
        <w:div w:id="601189695">
          <w:marLeft w:val="640"/>
          <w:marRight w:val="0"/>
          <w:marTop w:val="0"/>
          <w:marBottom w:val="0"/>
          <w:divBdr>
            <w:top w:val="none" w:sz="0" w:space="0" w:color="auto"/>
            <w:left w:val="none" w:sz="0" w:space="0" w:color="auto"/>
            <w:bottom w:val="none" w:sz="0" w:space="0" w:color="auto"/>
            <w:right w:val="none" w:sz="0" w:space="0" w:color="auto"/>
          </w:divBdr>
        </w:div>
        <w:div w:id="1329989993">
          <w:marLeft w:val="640"/>
          <w:marRight w:val="0"/>
          <w:marTop w:val="0"/>
          <w:marBottom w:val="0"/>
          <w:divBdr>
            <w:top w:val="none" w:sz="0" w:space="0" w:color="auto"/>
            <w:left w:val="none" w:sz="0" w:space="0" w:color="auto"/>
            <w:bottom w:val="none" w:sz="0" w:space="0" w:color="auto"/>
            <w:right w:val="none" w:sz="0" w:space="0" w:color="auto"/>
          </w:divBdr>
        </w:div>
        <w:div w:id="1135567162">
          <w:marLeft w:val="640"/>
          <w:marRight w:val="0"/>
          <w:marTop w:val="0"/>
          <w:marBottom w:val="0"/>
          <w:divBdr>
            <w:top w:val="none" w:sz="0" w:space="0" w:color="auto"/>
            <w:left w:val="none" w:sz="0" w:space="0" w:color="auto"/>
            <w:bottom w:val="none" w:sz="0" w:space="0" w:color="auto"/>
            <w:right w:val="none" w:sz="0" w:space="0" w:color="auto"/>
          </w:divBdr>
        </w:div>
        <w:div w:id="2063166615">
          <w:marLeft w:val="640"/>
          <w:marRight w:val="0"/>
          <w:marTop w:val="0"/>
          <w:marBottom w:val="0"/>
          <w:divBdr>
            <w:top w:val="none" w:sz="0" w:space="0" w:color="auto"/>
            <w:left w:val="none" w:sz="0" w:space="0" w:color="auto"/>
            <w:bottom w:val="none" w:sz="0" w:space="0" w:color="auto"/>
            <w:right w:val="none" w:sz="0" w:space="0" w:color="auto"/>
          </w:divBdr>
        </w:div>
        <w:div w:id="1213224419">
          <w:marLeft w:val="640"/>
          <w:marRight w:val="0"/>
          <w:marTop w:val="0"/>
          <w:marBottom w:val="0"/>
          <w:divBdr>
            <w:top w:val="none" w:sz="0" w:space="0" w:color="auto"/>
            <w:left w:val="none" w:sz="0" w:space="0" w:color="auto"/>
            <w:bottom w:val="none" w:sz="0" w:space="0" w:color="auto"/>
            <w:right w:val="none" w:sz="0" w:space="0" w:color="auto"/>
          </w:divBdr>
        </w:div>
        <w:div w:id="1234119117">
          <w:marLeft w:val="640"/>
          <w:marRight w:val="0"/>
          <w:marTop w:val="0"/>
          <w:marBottom w:val="0"/>
          <w:divBdr>
            <w:top w:val="none" w:sz="0" w:space="0" w:color="auto"/>
            <w:left w:val="none" w:sz="0" w:space="0" w:color="auto"/>
            <w:bottom w:val="none" w:sz="0" w:space="0" w:color="auto"/>
            <w:right w:val="none" w:sz="0" w:space="0" w:color="auto"/>
          </w:divBdr>
        </w:div>
        <w:div w:id="1690253855">
          <w:marLeft w:val="640"/>
          <w:marRight w:val="0"/>
          <w:marTop w:val="0"/>
          <w:marBottom w:val="0"/>
          <w:divBdr>
            <w:top w:val="none" w:sz="0" w:space="0" w:color="auto"/>
            <w:left w:val="none" w:sz="0" w:space="0" w:color="auto"/>
            <w:bottom w:val="none" w:sz="0" w:space="0" w:color="auto"/>
            <w:right w:val="none" w:sz="0" w:space="0" w:color="auto"/>
          </w:divBdr>
        </w:div>
        <w:div w:id="154801852">
          <w:marLeft w:val="640"/>
          <w:marRight w:val="0"/>
          <w:marTop w:val="0"/>
          <w:marBottom w:val="0"/>
          <w:divBdr>
            <w:top w:val="none" w:sz="0" w:space="0" w:color="auto"/>
            <w:left w:val="none" w:sz="0" w:space="0" w:color="auto"/>
            <w:bottom w:val="none" w:sz="0" w:space="0" w:color="auto"/>
            <w:right w:val="none" w:sz="0" w:space="0" w:color="auto"/>
          </w:divBdr>
        </w:div>
        <w:div w:id="502404750">
          <w:marLeft w:val="640"/>
          <w:marRight w:val="0"/>
          <w:marTop w:val="0"/>
          <w:marBottom w:val="0"/>
          <w:divBdr>
            <w:top w:val="none" w:sz="0" w:space="0" w:color="auto"/>
            <w:left w:val="none" w:sz="0" w:space="0" w:color="auto"/>
            <w:bottom w:val="none" w:sz="0" w:space="0" w:color="auto"/>
            <w:right w:val="none" w:sz="0" w:space="0" w:color="auto"/>
          </w:divBdr>
        </w:div>
        <w:div w:id="99450196">
          <w:marLeft w:val="640"/>
          <w:marRight w:val="0"/>
          <w:marTop w:val="0"/>
          <w:marBottom w:val="0"/>
          <w:divBdr>
            <w:top w:val="none" w:sz="0" w:space="0" w:color="auto"/>
            <w:left w:val="none" w:sz="0" w:space="0" w:color="auto"/>
            <w:bottom w:val="none" w:sz="0" w:space="0" w:color="auto"/>
            <w:right w:val="none" w:sz="0" w:space="0" w:color="auto"/>
          </w:divBdr>
        </w:div>
        <w:div w:id="1138109436">
          <w:marLeft w:val="640"/>
          <w:marRight w:val="0"/>
          <w:marTop w:val="0"/>
          <w:marBottom w:val="0"/>
          <w:divBdr>
            <w:top w:val="none" w:sz="0" w:space="0" w:color="auto"/>
            <w:left w:val="none" w:sz="0" w:space="0" w:color="auto"/>
            <w:bottom w:val="none" w:sz="0" w:space="0" w:color="auto"/>
            <w:right w:val="none" w:sz="0" w:space="0" w:color="auto"/>
          </w:divBdr>
        </w:div>
        <w:div w:id="1113751120">
          <w:marLeft w:val="640"/>
          <w:marRight w:val="0"/>
          <w:marTop w:val="0"/>
          <w:marBottom w:val="0"/>
          <w:divBdr>
            <w:top w:val="none" w:sz="0" w:space="0" w:color="auto"/>
            <w:left w:val="none" w:sz="0" w:space="0" w:color="auto"/>
            <w:bottom w:val="none" w:sz="0" w:space="0" w:color="auto"/>
            <w:right w:val="none" w:sz="0" w:space="0" w:color="auto"/>
          </w:divBdr>
        </w:div>
        <w:div w:id="2107921850">
          <w:marLeft w:val="640"/>
          <w:marRight w:val="0"/>
          <w:marTop w:val="0"/>
          <w:marBottom w:val="0"/>
          <w:divBdr>
            <w:top w:val="none" w:sz="0" w:space="0" w:color="auto"/>
            <w:left w:val="none" w:sz="0" w:space="0" w:color="auto"/>
            <w:bottom w:val="none" w:sz="0" w:space="0" w:color="auto"/>
            <w:right w:val="none" w:sz="0" w:space="0" w:color="auto"/>
          </w:divBdr>
        </w:div>
        <w:div w:id="1960795934">
          <w:marLeft w:val="640"/>
          <w:marRight w:val="0"/>
          <w:marTop w:val="0"/>
          <w:marBottom w:val="0"/>
          <w:divBdr>
            <w:top w:val="none" w:sz="0" w:space="0" w:color="auto"/>
            <w:left w:val="none" w:sz="0" w:space="0" w:color="auto"/>
            <w:bottom w:val="none" w:sz="0" w:space="0" w:color="auto"/>
            <w:right w:val="none" w:sz="0" w:space="0" w:color="auto"/>
          </w:divBdr>
        </w:div>
        <w:div w:id="490097078">
          <w:marLeft w:val="640"/>
          <w:marRight w:val="0"/>
          <w:marTop w:val="0"/>
          <w:marBottom w:val="0"/>
          <w:divBdr>
            <w:top w:val="none" w:sz="0" w:space="0" w:color="auto"/>
            <w:left w:val="none" w:sz="0" w:space="0" w:color="auto"/>
            <w:bottom w:val="none" w:sz="0" w:space="0" w:color="auto"/>
            <w:right w:val="none" w:sz="0" w:space="0" w:color="auto"/>
          </w:divBdr>
        </w:div>
        <w:div w:id="937955075">
          <w:marLeft w:val="640"/>
          <w:marRight w:val="0"/>
          <w:marTop w:val="0"/>
          <w:marBottom w:val="0"/>
          <w:divBdr>
            <w:top w:val="none" w:sz="0" w:space="0" w:color="auto"/>
            <w:left w:val="none" w:sz="0" w:space="0" w:color="auto"/>
            <w:bottom w:val="none" w:sz="0" w:space="0" w:color="auto"/>
            <w:right w:val="none" w:sz="0" w:space="0" w:color="auto"/>
          </w:divBdr>
        </w:div>
        <w:div w:id="1095251031">
          <w:marLeft w:val="640"/>
          <w:marRight w:val="0"/>
          <w:marTop w:val="0"/>
          <w:marBottom w:val="0"/>
          <w:divBdr>
            <w:top w:val="none" w:sz="0" w:space="0" w:color="auto"/>
            <w:left w:val="none" w:sz="0" w:space="0" w:color="auto"/>
            <w:bottom w:val="none" w:sz="0" w:space="0" w:color="auto"/>
            <w:right w:val="none" w:sz="0" w:space="0" w:color="auto"/>
          </w:divBdr>
        </w:div>
        <w:div w:id="1713266315">
          <w:marLeft w:val="640"/>
          <w:marRight w:val="0"/>
          <w:marTop w:val="0"/>
          <w:marBottom w:val="0"/>
          <w:divBdr>
            <w:top w:val="none" w:sz="0" w:space="0" w:color="auto"/>
            <w:left w:val="none" w:sz="0" w:space="0" w:color="auto"/>
            <w:bottom w:val="none" w:sz="0" w:space="0" w:color="auto"/>
            <w:right w:val="none" w:sz="0" w:space="0" w:color="auto"/>
          </w:divBdr>
        </w:div>
        <w:div w:id="1116145851">
          <w:marLeft w:val="640"/>
          <w:marRight w:val="0"/>
          <w:marTop w:val="0"/>
          <w:marBottom w:val="0"/>
          <w:divBdr>
            <w:top w:val="none" w:sz="0" w:space="0" w:color="auto"/>
            <w:left w:val="none" w:sz="0" w:space="0" w:color="auto"/>
            <w:bottom w:val="none" w:sz="0" w:space="0" w:color="auto"/>
            <w:right w:val="none" w:sz="0" w:space="0" w:color="auto"/>
          </w:divBdr>
        </w:div>
        <w:div w:id="1706904248">
          <w:marLeft w:val="640"/>
          <w:marRight w:val="0"/>
          <w:marTop w:val="0"/>
          <w:marBottom w:val="0"/>
          <w:divBdr>
            <w:top w:val="none" w:sz="0" w:space="0" w:color="auto"/>
            <w:left w:val="none" w:sz="0" w:space="0" w:color="auto"/>
            <w:bottom w:val="none" w:sz="0" w:space="0" w:color="auto"/>
            <w:right w:val="none" w:sz="0" w:space="0" w:color="auto"/>
          </w:divBdr>
        </w:div>
        <w:div w:id="557518574">
          <w:marLeft w:val="640"/>
          <w:marRight w:val="0"/>
          <w:marTop w:val="0"/>
          <w:marBottom w:val="0"/>
          <w:divBdr>
            <w:top w:val="none" w:sz="0" w:space="0" w:color="auto"/>
            <w:left w:val="none" w:sz="0" w:space="0" w:color="auto"/>
            <w:bottom w:val="none" w:sz="0" w:space="0" w:color="auto"/>
            <w:right w:val="none" w:sz="0" w:space="0" w:color="auto"/>
          </w:divBdr>
        </w:div>
        <w:div w:id="1495797920">
          <w:marLeft w:val="640"/>
          <w:marRight w:val="0"/>
          <w:marTop w:val="0"/>
          <w:marBottom w:val="0"/>
          <w:divBdr>
            <w:top w:val="none" w:sz="0" w:space="0" w:color="auto"/>
            <w:left w:val="none" w:sz="0" w:space="0" w:color="auto"/>
            <w:bottom w:val="none" w:sz="0" w:space="0" w:color="auto"/>
            <w:right w:val="none" w:sz="0" w:space="0" w:color="auto"/>
          </w:divBdr>
        </w:div>
        <w:div w:id="1965841572">
          <w:marLeft w:val="640"/>
          <w:marRight w:val="0"/>
          <w:marTop w:val="0"/>
          <w:marBottom w:val="0"/>
          <w:divBdr>
            <w:top w:val="none" w:sz="0" w:space="0" w:color="auto"/>
            <w:left w:val="none" w:sz="0" w:space="0" w:color="auto"/>
            <w:bottom w:val="none" w:sz="0" w:space="0" w:color="auto"/>
            <w:right w:val="none" w:sz="0" w:space="0" w:color="auto"/>
          </w:divBdr>
        </w:div>
        <w:div w:id="1048918982">
          <w:marLeft w:val="640"/>
          <w:marRight w:val="0"/>
          <w:marTop w:val="0"/>
          <w:marBottom w:val="0"/>
          <w:divBdr>
            <w:top w:val="none" w:sz="0" w:space="0" w:color="auto"/>
            <w:left w:val="none" w:sz="0" w:space="0" w:color="auto"/>
            <w:bottom w:val="none" w:sz="0" w:space="0" w:color="auto"/>
            <w:right w:val="none" w:sz="0" w:space="0" w:color="auto"/>
          </w:divBdr>
        </w:div>
        <w:div w:id="1453939131">
          <w:marLeft w:val="640"/>
          <w:marRight w:val="0"/>
          <w:marTop w:val="0"/>
          <w:marBottom w:val="0"/>
          <w:divBdr>
            <w:top w:val="none" w:sz="0" w:space="0" w:color="auto"/>
            <w:left w:val="none" w:sz="0" w:space="0" w:color="auto"/>
            <w:bottom w:val="none" w:sz="0" w:space="0" w:color="auto"/>
            <w:right w:val="none" w:sz="0" w:space="0" w:color="auto"/>
          </w:divBdr>
        </w:div>
        <w:div w:id="502743546">
          <w:marLeft w:val="640"/>
          <w:marRight w:val="0"/>
          <w:marTop w:val="0"/>
          <w:marBottom w:val="0"/>
          <w:divBdr>
            <w:top w:val="none" w:sz="0" w:space="0" w:color="auto"/>
            <w:left w:val="none" w:sz="0" w:space="0" w:color="auto"/>
            <w:bottom w:val="none" w:sz="0" w:space="0" w:color="auto"/>
            <w:right w:val="none" w:sz="0" w:space="0" w:color="auto"/>
          </w:divBdr>
        </w:div>
        <w:div w:id="1719238010">
          <w:marLeft w:val="640"/>
          <w:marRight w:val="0"/>
          <w:marTop w:val="0"/>
          <w:marBottom w:val="0"/>
          <w:divBdr>
            <w:top w:val="none" w:sz="0" w:space="0" w:color="auto"/>
            <w:left w:val="none" w:sz="0" w:space="0" w:color="auto"/>
            <w:bottom w:val="none" w:sz="0" w:space="0" w:color="auto"/>
            <w:right w:val="none" w:sz="0" w:space="0" w:color="auto"/>
          </w:divBdr>
        </w:div>
        <w:div w:id="31540173">
          <w:marLeft w:val="640"/>
          <w:marRight w:val="0"/>
          <w:marTop w:val="0"/>
          <w:marBottom w:val="0"/>
          <w:divBdr>
            <w:top w:val="none" w:sz="0" w:space="0" w:color="auto"/>
            <w:left w:val="none" w:sz="0" w:space="0" w:color="auto"/>
            <w:bottom w:val="none" w:sz="0" w:space="0" w:color="auto"/>
            <w:right w:val="none" w:sz="0" w:space="0" w:color="auto"/>
          </w:divBdr>
        </w:div>
        <w:div w:id="1740245928">
          <w:marLeft w:val="640"/>
          <w:marRight w:val="0"/>
          <w:marTop w:val="0"/>
          <w:marBottom w:val="0"/>
          <w:divBdr>
            <w:top w:val="none" w:sz="0" w:space="0" w:color="auto"/>
            <w:left w:val="none" w:sz="0" w:space="0" w:color="auto"/>
            <w:bottom w:val="none" w:sz="0" w:space="0" w:color="auto"/>
            <w:right w:val="none" w:sz="0" w:space="0" w:color="auto"/>
          </w:divBdr>
        </w:div>
        <w:div w:id="286393547">
          <w:marLeft w:val="640"/>
          <w:marRight w:val="0"/>
          <w:marTop w:val="0"/>
          <w:marBottom w:val="0"/>
          <w:divBdr>
            <w:top w:val="none" w:sz="0" w:space="0" w:color="auto"/>
            <w:left w:val="none" w:sz="0" w:space="0" w:color="auto"/>
            <w:bottom w:val="none" w:sz="0" w:space="0" w:color="auto"/>
            <w:right w:val="none" w:sz="0" w:space="0" w:color="auto"/>
          </w:divBdr>
        </w:div>
        <w:div w:id="422992684">
          <w:marLeft w:val="640"/>
          <w:marRight w:val="0"/>
          <w:marTop w:val="0"/>
          <w:marBottom w:val="0"/>
          <w:divBdr>
            <w:top w:val="none" w:sz="0" w:space="0" w:color="auto"/>
            <w:left w:val="none" w:sz="0" w:space="0" w:color="auto"/>
            <w:bottom w:val="none" w:sz="0" w:space="0" w:color="auto"/>
            <w:right w:val="none" w:sz="0" w:space="0" w:color="auto"/>
          </w:divBdr>
        </w:div>
        <w:div w:id="1733694683">
          <w:marLeft w:val="640"/>
          <w:marRight w:val="0"/>
          <w:marTop w:val="0"/>
          <w:marBottom w:val="0"/>
          <w:divBdr>
            <w:top w:val="none" w:sz="0" w:space="0" w:color="auto"/>
            <w:left w:val="none" w:sz="0" w:space="0" w:color="auto"/>
            <w:bottom w:val="none" w:sz="0" w:space="0" w:color="auto"/>
            <w:right w:val="none" w:sz="0" w:space="0" w:color="auto"/>
          </w:divBdr>
        </w:div>
        <w:div w:id="2137870166">
          <w:marLeft w:val="640"/>
          <w:marRight w:val="0"/>
          <w:marTop w:val="0"/>
          <w:marBottom w:val="0"/>
          <w:divBdr>
            <w:top w:val="none" w:sz="0" w:space="0" w:color="auto"/>
            <w:left w:val="none" w:sz="0" w:space="0" w:color="auto"/>
            <w:bottom w:val="none" w:sz="0" w:space="0" w:color="auto"/>
            <w:right w:val="none" w:sz="0" w:space="0" w:color="auto"/>
          </w:divBdr>
        </w:div>
        <w:div w:id="889463961">
          <w:marLeft w:val="640"/>
          <w:marRight w:val="0"/>
          <w:marTop w:val="0"/>
          <w:marBottom w:val="0"/>
          <w:divBdr>
            <w:top w:val="none" w:sz="0" w:space="0" w:color="auto"/>
            <w:left w:val="none" w:sz="0" w:space="0" w:color="auto"/>
            <w:bottom w:val="none" w:sz="0" w:space="0" w:color="auto"/>
            <w:right w:val="none" w:sz="0" w:space="0" w:color="auto"/>
          </w:divBdr>
        </w:div>
        <w:div w:id="1764230183">
          <w:marLeft w:val="640"/>
          <w:marRight w:val="0"/>
          <w:marTop w:val="0"/>
          <w:marBottom w:val="0"/>
          <w:divBdr>
            <w:top w:val="none" w:sz="0" w:space="0" w:color="auto"/>
            <w:left w:val="none" w:sz="0" w:space="0" w:color="auto"/>
            <w:bottom w:val="none" w:sz="0" w:space="0" w:color="auto"/>
            <w:right w:val="none" w:sz="0" w:space="0" w:color="auto"/>
          </w:divBdr>
        </w:div>
        <w:div w:id="1091660043">
          <w:marLeft w:val="640"/>
          <w:marRight w:val="0"/>
          <w:marTop w:val="0"/>
          <w:marBottom w:val="0"/>
          <w:divBdr>
            <w:top w:val="none" w:sz="0" w:space="0" w:color="auto"/>
            <w:left w:val="none" w:sz="0" w:space="0" w:color="auto"/>
            <w:bottom w:val="none" w:sz="0" w:space="0" w:color="auto"/>
            <w:right w:val="none" w:sz="0" w:space="0" w:color="auto"/>
          </w:divBdr>
        </w:div>
        <w:div w:id="949898225">
          <w:marLeft w:val="640"/>
          <w:marRight w:val="0"/>
          <w:marTop w:val="0"/>
          <w:marBottom w:val="0"/>
          <w:divBdr>
            <w:top w:val="none" w:sz="0" w:space="0" w:color="auto"/>
            <w:left w:val="none" w:sz="0" w:space="0" w:color="auto"/>
            <w:bottom w:val="none" w:sz="0" w:space="0" w:color="auto"/>
            <w:right w:val="none" w:sz="0" w:space="0" w:color="auto"/>
          </w:divBdr>
        </w:div>
        <w:div w:id="716777298">
          <w:marLeft w:val="640"/>
          <w:marRight w:val="0"/>
          <w:marTop w:val="0"/>
          <w:marBottom w:val="0"/>
          <w:divBdr>
            <w:top w:val="none" w:sz="0" w:space="0" w:color="auto"/>
            <w:left w:val="none" w:sz="0" w:space="0" w:color="auto"/>
            <w:bottom w:val="none" w:sz="0" w:space="0" w:color="auto"/>
            <w:right w:val="none" w:sz="0" w:space="0" w:color="auto"/>
          </w:divBdr>
        </w:div>
        <w:div w:id="1184628961">
          <w:marLeft w:val="640"/>
          <w:marRight w:val="0"/>
          <w:marTop w:val="0"/>
          <w:marBottom w:val="0"/>
          <w:divBdr>
            <w:top w:val="none" w:sz="0" w:space="0" w:color="auto"/>
            <w:left w:val="none" w:sz="0" w:space="0" w:color="auto"/>
            <w:bottom w:val="none" w:sz="0" w:space="0" w:color="auto"/>
            <w:right w:val="none" w:sz="0" w:space="0" w:color="auto"/>
          </w:divBdr>
        </w:div>
        <w:div w:id="518081426">
          <w:marLeft w:val="640"/>
          <w:marRight w:val="0"/>
          <w:marTop w:val="0"/>
          <w:marBottom w:val="0"/>
          <w:divBdr>
            <w:top w:val="none" w:sz="0" w:space="0" w:color="auto"/>
            <w:left w:val="none" w:sz="0" w:space="0" w:color="auto"/>
            <w:bottom w:val="none" w:sz="0" w:space="0" w:color="auto"/>
            <w:right w:val="none" w:sz="0" w:space="0" w:color="auto"/>
          </w:divBdr>
        </w:div>
        <w:div w:id="759109842">
          <w:marLeft w:val="640"/>
          <w:marRight w:val="0"/>
          <w:marTop w:val="0"/>
          <w:marBottom w:val="0"/>
          <w:divBdr>
            <w:top w:val="none" w:sz="0" w:space="0" w:color="auto"/>
            <w:left w:val="none" w:sz="0" w:space="0" w:color="auto"/>
            <w:bottom w:val="none" w:sz="0" w:space="0" w:color="auto"/>
            <w:right w:val="none" w:sz="0" w:space="0" w:color="auto"/>
          </w:divBdr>
        </w:div>
        <w:div w:id="1854372144">
          <w:marLeft w:val="640"/>
          <w:marRight w:val="0"/>
          <w:marTop w:val="0"/>
          <w:marBottom w:val="0"/>
          <w:divBdr>
            <w:top w:val="none" w:sz="0" w:space="0" w:color="auto"/>
            <w:left w:val="none" w:sz="0" w:space="0" w:color="auto"/>
            <w:bottom w:val="none" w:sz="0" w:space="0" w:color="auto"/>
            <w:right w:val="none" w:sz="0" w:space="0" w:color="auto"/>
          </w:divBdr>
        </w:div>
        <w:div w:id="882792853">
          <w:marLeft w:val="640"/>
          <w:marRight w:val="0"/>
          <w:marTop w:val="0"/>
          <w:marBottom w:val="0"/>
          <w:divBdr>
            <w:top w:val="none" w:sz="0" w:space="0" w:color="auto"/>
            <w:left w:val="none" w:sz="0" w:space="0" w:color="auto"/>
            <w:bottom w:val="none" w:sz="0" w:space="0" w:color="auto"/>
            <w:right w:val="none" w:sz="0" w:space="0" w:color="auto"/>
          </w:divBdr>
        </w:div>
        <w:div w:id="1570186189">
          <w:marLeft w:val="640"/>
          <w:marRight w:val="0"/>
          <w:marTop w:val="0"/>
          <w:marBottom w:val="0"/>
          <w:divBdr>
            <w:top w:val="none" w:sz="0" w:space="0" w:color="auto"/>
            <w:left w:val="none" w:sz="0" w:space="0" w:color="auto"/>
            <w:bottom w:val="none" w:sz="0" w:space="0" w:color="auto"/>
            <w:right w:val="none" w:sz="0" w:space="0" w:color="auto"/>
          </w:divBdr>
        </w:div>
        <w:div w:id="1167477710">
          <w:marLeft w:val="640"/>
          <w:marRight w:val="0"/>
          <w:marTop w:val="0"/>
          <w:marBottom w:val="0"/>
          <w:divBdr>
            <w:top w:val="none" w:sz="0" w:space="0" w:color="auto"/>
            <w:left w:val="none" w:sz="0" w:space="0" w:color="auto"/>
            <w:bottom w:val="none" w:sz="0" w:space="0" w:color="auto"/>
            <w:right w:val="none" w:sz="0" w:space="0" w:color="auto"/>
          </w:divBdr>
        </w:div>
        <w:div w:id="1458794883">
          <w:marLeft w:val="640"/>
          <w:marRight w:val="0"/>
          <w:marTop w:val="0"/>
          <w:marBottom w:val="0"/>
          <w:divBdr>
            <w:top w:val="none" w:sz="0" w:space="0" w:color="auto"/>
            <w:left w:val="none" w:sz="0" w:space="0" w:color="auto"/>
            <w:bottom w:val="none" w:sz="0" w:space="0" w:color="auto"/>
            <w:right w:val="none" w:sz="0" w:space="0" w:color="auto"/>
          </w:divBdr>
        </w:div>
        <w:div w:id="2005933025">
          <w:marLeft w:val="640"/>
          <w:marRight w:val="0"/>
          <w:marTop w:val="0"/>
          <w:marBottom w:val="0"/>
          <w:divBdr>
            <w:top w:val="none" w:sz="0" w:space="0" w:color="auto"/>
            <w:left w:val="none" w:sz="0" w:space="0" w:color="auto"/>
            <w:bottom w:val="none" w:sz="0" w:space="0" w:color="auto"/>
            <w:right w:val="none" w:sz="0" w:space="0" w:color="auto"/>
          </w:divBdr>
        </w:div>
        <w:div w:id="1221599172">
          <w:marLeft w:val="640"/>
          <w:marRight w:val="0"/>
          <w:marTop w:val="0"/>
          <w:marBottom w:val="0"/>
          <w:divBdr>
            <w:top w:val="none" w:sz="0" w:space="0" w:color="auto"/>
            <w:left w:val="none" w:sz="0" w:space="0" w:color="auto"/>
            <w:bottom w:val="none" w:sz="0" w:space="0" w:color="auto"/>
            <w:right w:val="none" w:sz="0" w:space="0" w:color="auto"/>
          </w:divBdr>
        </w:div>
        <w:div w:id="1448543190">
          <w:marLeft w:val="640"/>
          <w:marRight w:val="0"/>
          <w:marTop w:val="0"/>
          <w:marBottom w:val="0"/>
          <w:divBdr>
            <w:top w:val="none" w:sz="0" w:space="0" w:color="auto"/>
            <w:left w:val="none" w:sz="0" w:space="0" w:color="auto"/>
            <w:bottom w:val="none" w:sz="0" w:space="0" w:color="auto"/>
            <w:right w:val="none" w:sz="0" w:space="0" w:color="auto"/>
          </w:divBdr>
        </w:div>
        <w:div w:id="67533816">
          <w:marLeft w:val="640"/>
          <w:marRight w:val="0"/>
          <w:marTop w:val="0"/>
          <w:marBottom w:val="0"/>
          <w:divBdr>
            <w:top w:val="none" w:sz="0" w:space="0" w:color="auto"/>
            <w:left w:val="none" w:sz="0" w:space="0" w:color="auto"/>
            <w:bottom w:val="none" w:sz="0" w:space="0" w:color="auto"/>
            <w:right w:val="none" w:sz="0" w:space="0" w:color="auto"/>
          </w:divBdr>
        </w:div>
        <w:div w:id="1716075702">
          <w:marLeft w:val="640"/>
          <w:marRight w:val="0"/>
          <w:marTop w:val="0"/>
          <w:marBottom w:val="0"/>
          <w:divBdr>
            <w:top w:val="none" w:sz="0" w:space="0" w:color="auto"/>
            <w:left w:val="none" w:sz="0" w:space="0" w:color="auto"/>
            <w:bottom w:val="none" w:sz="0" w:space="0" w:color="auto"/>
            <w:right w:val="none" w:sz="0" w:space="0" w:color="auto"/>
          </w:divBdr>
        </w:div>
        <w:div w:id="1389916693">
          <w:marLeft w:val="640"/>
          <w:marRight w:val="0"/>
          <w:marTop w:val="0"/>
          <w:marBottom w:val="0"/>
          <w:divBdr>
            <w:top w:val="none" w:sz="0" w:space="0" w:color="auto"/>
            <w:left w:val="none" w:sz="0" w:space="0" w:color="auto"/>
            <w:bottom w:val="none" w:sz="0" w:space="0" w:color="auto"/>
            <w:right w:val="none" w:sz="0" w:space="0" w:color="auto"/>
          </w:divBdr>
        </w:div>
        <w:div w:id="1644698727">
          <w:marLeft w:val="640"/>
          <w:marRight w:val="0"/>
          <w:marTop w:val="0"/>
          <w:marBottom w:val="0"/>
          <w:divBdr>
            <w:top w:val="none" w:sz="0" w:space="0" w:color="auto"/>
            <w:left w:val="none" w:sz="0" w:space="0" w:color="auto"/>
            <w:bottom w:val="none" w:sz="0" w:space="0" w:color="auto"/>
            <w:right w:val="none" w:sz="0" w:space="0" w:color="auto"/>
          </w:divBdr>
        </w:div>
        <w:div w:id="586035590">
          <w:marLeft w:val="640"/>
          <w:marRight w:val="0"/>
          <w:marTop w:val="0"/>
          <w:marBottom w:val="0"/>
          <w:divBdr>
            <w:top w:val="none" w:sz="0" w:space="0" w:color="auto"/>
            <w:left w:val="none" w:sz="0" w:space="0" w:color="auto"/>
            <w:bottom w:val="none" w:sz="0" w:space="0" w:color="auto"/>
            <w:right w:val="none" w:sz="0" w:space="0" w:color="auto"/>
          </w:divBdr>
        </w:div>
        <w:div w:id="759255958">
          <w:marLeft w:val="640"/>
          <w:marRight w:val="0"/>
          <w:marTop w:val="0"/>
          <w:marBottom w:val="0"/>
          <w:divBdr>
            <w:top w:val="none" w:sz="0" w:space="0" w:color="auto"/>
            <w:left w:val="none" w:sz="0" w:space="0" w:color="auto"/>
            <w:bottom w:val="none" w:sz="0" w:space="0" w:color="auto"/>
            <w:right w:val="none" w:sz="0" w:space="0" w:color="auto"/>
          </w:divBdr>
        </w:div>
        <w:div w:id="114250263">
          <w:marLeft w:val="640"/>
          <w:marRight w:val="0"/>
          <w:marTop w:val="0"/>
          <w:marBottom w:val="0"/>
          <w:divBdr>
            <w:top w:val="none" w:sz="0" w:space="0" w:color="auto"/>
            <w:left w:val="none" w:sz="0" w:space="0" w:color="auto"/>
            <w:bottom w:val="none" w:sz="0" w:space="0" w:color="auto"/>
            <w:right w:val="none" w:sz="0" w:space="0" w:color="auto"/>
          </w:divBdr>
        </w:div>
        <w:div w:id="1616212747">
          <w:marLeft w:val="640"/>
          <w:marRight w:val="0"/>
          <w:marTop w:val="0"/>
          <w:marBottom w:val="0"/>
          <w:divBdr>
            <w:top w:val="none" w:sz="0" w:space="0" w:color="auto"/>
            <w:left w:val="none" w:sz="0" w:space="0" w:color="auto"/>
            <w:bottom w:val="none" w:sz="0" w:space="0" w:color="auto"/>
            <w:right w:val="none" w:sz="0" w:space="0" w:color="auto"/>
          </w:divBdr>
        </w:div>
        <w:div w:id="1547718805">
          <w:marLeft w:val="640"/>
          <w:marRight w:val="0"/>
          <w:marTop w:val="0"/>
          <w:marBottom w:val="0"/>
          <w:divBdr>
            <w:top w:val="none" w:sz="0" w:space="0" w:color="auto"/>
            <w:left w:val="none" w:sz="0" w:space="0" w:color="auto"/>
            <w:bottom w:val="none" w:sz="0" w:space="0" w:color="auto"/>
            <w:right w:val="none" w:sz="0" w:space="0" w:color="auto"/>
          </w:divBdr>
        </w:div>
        <w:div w:id="638995390">
          <w:marLeft w:val="640"/>
          <w:marRight w:val="0"/>
          <w:marTop w:val="0"/>
          <w:marBottom w:val="0"/>
          <w:divBdr>
            <w:top w:val="none" w:sz="0" w:space="0" w:color="auto"/>
            <w:left w:val="none" w:sz="0" w:space="0" w:color="auto"/>
            <w:bottom w:val="none" w:sz="0" w:space="0" w:color="auto"/>
            <w:right w:val="none" w:sz="0" w:space="0" w:color="auto"/>
          </w:divBdr>
        </w:div>
        <w:div w:id="641930187">
          <w:marLeft w:val="640"/>
          <w:marRight w:val="0"/>
          <w:marTop w:val="0"/>
          <w:marBottom w:val="0"/>
          <w:divBdr>
            <w:top w:val="none" w:sz="0" w:space="0" w:color="auto"/>
            <w:left w:val="none" w:sz="0" w:space="0" w:color="auto"/>
            <w:bottom w:val="none" w:sz="0" w:space="0" w:color="auto"/>
            <w:right w:val="none" w:sz="0" w:space="0" w:color="auto"/>
          </w:divBdr>
        </w:div>
        <w:div w:id="1269197955">
          <w:marLeft w:val="640"/>
          <w:marRight w:val="0"/>
          <w:marTop w:val="0"/>
          <w:marBottom w:val="0"/>
          <w:divBdr>
            <w:top w:val="none" w:sz="0" w:space="0" w:color="auto"/>
            <w:left w:val="none" w:sz="0" w:space="0" w:color="auto"/>
            <w:bottom w:val="none" w:sz="0" w:space="0" w:color="auto"/>
            <w:right w:val="none" w:sz="0" w:space="0" w:color="auto"/>
          </w:divBdr>
        </w:div>
        <w:div w:id="428277954">
          <w:marLeft w:val="640"/>
          <w:marRight w:val="0"/>
          <w:marTop w:val="0"/>
          <w:marBottom w:val="0"/>
          <w:divBdr>
            <w:top w:val="none" w:sz="0" w:space="0" w:color="auto"/>
            <w:left w:val="none" w:sz="0" w:space="0" w:color="auto"/>
            <w:bottom w:val="none" w:sz="0" w:space="0" w:color="auto"/>
            <w:right w:val="none" w:sz="0" w:space="0" w:color="auto"/>
          </w:divBdr>
        </w:div>
        <w:div w:id="1220940221">
          <w:marLeft w:val="640"/>
          <w:marRight w:val="0"/>
          <w:marTop w:val="0"/>
          <w:marBottom w:val="0"/>
          <w:divBdr>
            <w:top w:val="none" w:sz="0" w:space="0" w:color="auto"/>
            <w:left w:val="none" w:sz="0" w:space="0" w:color="auto"/>
            <w:bottom w:val="none" w:sz="0" w:space="0" w:color="auto"/>
            <w:right w:val="none" w:sz="0" w:space="0" w:color="auto"/>
          </w:divBdr>
        </w:div>
        <w:div w:id="482696531">
          <w:marLeft w:val="640"/>
          <w:marRight w:val="0"/>
          <w:marTop w:val="0"/>
          <w:marBottom w:val="0"/>
          <w:divBdr>
            <w:top w:val="none" w:sz="0" w:space="0" w:color="auto"/>
            <w:left w:val="none" w:sz="0" w:space="0" w:color="auto"/>
            <w:bottom w:val="none" w:sz="0" w:space="0" w:color="auto"/>
            <w:right w:val="none" w:sz="0" w:space="0" w:color="auto"/>
          </w:divBdr>
        </w:div>
        <w:div w:id="893665742">
          <w:marLeft w:val="640"/>
          <w:marRight w:val="0"/>
          <w:marTop w:val="0"/>
          <w:marBottom w:val="0"/>
          <w:divBdr>
            <w:top w:val="none" w:sz="0" w:space="0" w:color="auto"/>
            <w:left w:val="none" w:sz="0" w:space="0" w:color="auto"/>
            <w:bottom w:val="none" w:sz="0" w:space="0" w:color="auto"/>
            <w:right w:val="none" w:sz="0" w:space="0" w:color="auto"/>
          </w:divBdr>
        </w:div>
        <w:div w:id="556474064">
          <w:marLeft w:val="640"/>
          <w:marRight w:val="0"/>
          <w:marTop w:val="0"/>
          <w:marBottom w:val="0"/>
          <w:divBdr>
            <w:top w:val="none" w:sz="0" w:space="0" w:color="auto"/>
            <w:left w:val="none" w:sz="0" w:space="0" w:color="auto"/>
            <w:bottom w:val="none" w:sz="0" w:space="0" w:color="auto"/>
            <w:right w:val="none" w:sz="0" w:space="0" w:color="auto"/>
          </w:divBdr>
        </w:div>
        <w:div w:id="1887183114">
          <w:marLeft w:val="640"/>
          <w:marRight w:val="0"/>
          <w:marTop w:val="0"/>
          <w:marBottom w:val="0"/>
          <w:divBdr>
            <w:top w:val="none" w:sz="0" w:space="0" w:color="auto"/>
            <w:left w:val="none" w:sz="0" w:space="0" w:color="auto"/>
            <w:bottom w:val="none" w:sz="0" w:space="0" w:color="auto"/>
            <w:right w:val="none" w:sz="0" w:space="0" w:color="auto"/>
          </w:divBdr>
        </w:div>
        <w:div w:id="784615566">
          <w:marLeft w:val="640"/>
          <w:marRight w:val="0"/>
          <w:marTop w:val="0"/>
          <w:marBottom w:val="0"/>
          <w:divBdr>
            <w:top w:val="none" w:sz="0" w:space="0" w:color="auto"/>
            <w:left w:val="none" w:sz="0" w:space="0" w:color="auto"/>
            <w:bottom w:val="none" w:sz="0" w:space="0" w:color="auto"/>
            <w:right w:val="none" w:sz="0" w:space="0" w:color="auto"/>
          </w:divBdr>
        </w:div>
        <w:div w:id="445126552">
          <w:marLeft w:val="640"/>
          <w:marRight w:val="0"/>
          <w:marTop w:val="0"/>
          <w:marBottom w:val="0"/>
          <w:divBdr>
            <w:top w:val="none" w:sz="0" w:space="0" w:color="auto"/>
            <w:left w:val="none" w:sz="0" w:space="0" w:color="auto"/>
            <w:bottom w:val="none" w:sz="0" w:space="0" w:color="auto"/>
            <w:right w:val="none" w:sz="0" w:space="0" w:color="auto"/>
          </w:divBdr>
        </w:div>
        <w:div w:id="1615281396">
          <w:marLeft w:val="640"/>
          <w:marRight w:val="0"/>
          <w:marTop w:val="0"/>
          <w:marBottom w:val="0"/>
          <w:divBdr>
            <w:top w:val="none" w:sz="0" w:space="0" w:color="auto"/>
            <w:left w:val="none" w:sz="0" w:space="0" w:color="auto"/>
            <w:bottom w:val="none" w:sz="0" w:space="0" w:color="auto"/>
            <w:right w:val="none" w:sz="0" w:space="0" w:color="auto"/>
          </w:divBdr>
        </w:div>
        <w:div w:id="1064336462">
          <w:marLeft w:val="640"/>
          <w:marRight w:val="0"/>
          <w:marTop w:val="0"/>
          <w:marBottom w:val="0"/>
          <w:divBdr>
            <w:top w:val="none" w:sz="0" w:space="0" w:color="auto"/>
            <w:left w:val="none" w:sz="0" w:space="0" w:color="auto"/>
            <w:bottom w:val="none" w:sz="0" w:space="0" w:color="auto"/>
            <w:right w:val="none" w:sz="0" w:space="0" w:color="auto"/>
          </w:divBdr>
        </w:div>
        <w:div w:id="523792778">
          <w:marLeft w:val="640"/>
          <w:marRight w:val="0"/>
          <w:marTop w:val="0"/>
          <w:marBottom w:val="0"/>
          <w:divBdr>
            <w:top w:val="none" w:sz="0" w:space="0" w:color="auto"/>
            <w:left w:val="none" w:sz="0" w:space="0" w:color="auto"/>
            <w:bottom w:val="none" w:sz="0" w:space="0" w:color="auto"/>
            <w:right w:val="none" w:sz="0" w:space="0" w:color="auto"/>
          </w:divBdr>
        </w:div>
        <w:div w:id="220679006">
          <w:marLeft w:val="640"/>
          <w:marRight w:val="0"/>
          <w:marTop w:val="0"/>
          <w:marBottom w:val="0"/>
          <w:divBdr>
            <w:top w:val="none" w:sz="0" w:space="0" w:color="auto"/>
            <w:left w:val="none" w:sz="0" w:space="0" w:color="auto"/>
            <w:bottom w:val="none" w:sz="0" w:space="0" w:color="auto"/>
            <w:right w:val="none" w:sz="0" w:space="0" w:color="auto"/>
          </w:divBdr>
        </w:div>
        <w:div w:id="592124479">
          <w:marLeft w:val="640"/>
          <w:marRight w:val="0"/>
          <w:marTop w:val="0"/>
          <w:marBottom w:val="0"/>
          <w:divBdr>
            <w:top w:val="none" w:sz="0" w:space="0" w:color="auto"/>
            <w:left w:val="none" w:sz="0" w:space="0" w:color="auto"/>
            <w:bottom w:val="none" w:sz="0" w:space="0" w:color="auto"/>
            <w:right w:val="none" w:sz="0" w:space="0" w:color="auto"/>
          </w:divBdr>
        </w:div>
        <w:div w:id="1798061364">
          <w:marLeft w:val="640"/>
          <w:marRight w:val="0"/>
          <w:marTop w:val="0"/>
          <w:marBottom w:val="0"/>
          <w:divBdr>
            <w:top w:val="none" w:sz="0" w:space="0" w:color="auto"/>
            <w:left w:val="none" w:sz="0" w:space="0" w:color="auto"/>
            <w:bottom w:val="none" w:sz="0" w:space="0" w:color="auto"/>
            <w:right w:val="none" w:sz="0" w:space="0" w:color="auto"/>
          </w:divBdr>
        </w:div>
        <w:div w:id="265696938">
          <w:marLeft w:val="640"/>
          <w:marRight w:val="0"/>
          <w:marTop w:val="0"/>
          <w:marBottom w:val="0"/>
          <w:divBdr>
            <w:top w:val="none" w:sz="0" w:space="0" w:color="auto"/>
            <w:left w:val="none" w:sz="0" w:space="0" w:color="auto"/>
            <w:bottom w:val="none" w:sz="0" w:space="0" w:color="auto"/>
            <w:right w:val="none" w:sz="0" w:space="0" w:color="auto"/>
          </w:divBdr>
        </w:div>
        <w:div w:id="121660677">
          <w:marLeft w:val="640"/>
          <w:marRight w:val="0"/>
          <w:marTop w:val="0"/>
          <w:marBottom w:val="0"/>
          <w:divBdr>
            <w:top w:val="none" w:sz="0" w:space="0" w:color="auto"/>
            <w:left w:val="none" w:sz="0" w:space="0" w:color="auto"/>
            <w:bottom w:val="none" w:sz="0" w:space="0" w:color="auto"/>
            <w:right w:val="none" w:sz="0" w:space="0" w:color="auto"/>
          </w:divBdr>
        </w:div>
        <w:div w:id="1757284690">
          <w:marLeft w:val="640"/>
          <w:marRight w:val="0"/>
          <w:marTop w:val="0"/>
          <w:marBottom w:val="0"/>
          <w:divBdr>
            <w:top w:val="none" w:sz="0" w:space="0" w:color="auto"/>
            <w:left w:val="none" w:sz="0" w:space="0" w:color="auto"/>
            <w:bottom w:val="none" w:sz="0" w:space="0" w:color="auto"/>
            <w:right w:val="none" w:sz="0" w:space="0" w:color="auto"/>
          </w:divBdr>
        </w:div>
        <w:div w:id="1200631824">
          <w:marLeft w:val="640"/>
          <w:marRight w:val="0"/>
          <w:marTop w:val="0"/>
          <w:marBottom w:val="0"/>
          <w:divBdr>
            <w:top w:val="none" w:sz="0" w:space="0" w:color="auto"/>
            <w:left w:val="none" w:sz="0" w:space="0" w:color="auto"/>
            <w:bottom w:val="none" w:sz="0" w:space="0" w:color="auto"/>
            <w:right w:val="none" w:sz="0" w:space="0" w:color="auto"/>
          </w:divBdr>
        </w:div>
        <w:div w:id="692727223">
          <w:marLeft w:val="640"/>
          <w:marRight w:val="0"/>
          <w:marTop w:val="0"/>
          <w:marBottom w:val="0"/>
          <w:divBdr>
            <w:top w:val="none" w:sz="0" w:space="0" w:color="auto"/>
            <w:left w:val="none" w:sz="0" w:space="0" w:color="auto"/>
            <w:bottom w:val="none" w:sz="0" w:space="0" w:color="auto"/>
            <w:right w:val="none" w:sz="0" w:space="0" w:color="auto"/>
          </w:divBdr>
        </w:div>
        <w:div w:id="900479992">
          <w:marLeft w:val="640"/>
          <w:marRight w:val="0"/>
          <w:marTop w:val="0"/>
          <w:marBottom w:val="0"/>
          <w:divBdr>
            <w:top w:val="none" w:sz="0" w:space="0" w:color="auto"/>
            <w:left w:val="none" w:sz="0" w:space="0" w:color="auto"/>
            <w:bottom w:val="none" w:sz="0" w:space="0" w:color="auto"/>
            <w:right w:val="none" w:sz="0" w:space="0" w:color="auto"/>
          </w:divBdr>
        </w:div>
        <w:div w:id="1115170651">
          <w:marLeft w:val="640"/>
          <w:marRight w:val="0"/>
          <w:marTop w:val="0"/>
          <w:marBottom w:val="0"/>
          <w:divBdr>
            <w:top w:val="none" w:sz="0" w:space="0" w:color="auto"/>
            <w:left w:val="none" w:sz="0" w:space="0" w:color="auto"/>
            <w:bottom w:val="none" w:sz="0" w:space="0" w:color="auto"/>
            <w:right w:val="none" w:sz="0" w:space="0" w:color="auto"/>
          </w:divBdr>
        </w:div>
        <w:div w:id="1943953627">
          <w:marLeft w:val="640"/>
          <w:marRight w:val="0"/>
          <w:marTop w:val="0"/>
          <w:marBottom w:val="0"/>
          <w:divBdr>
            <w:top w:val="none" w:sz="0" w:space="0" w:color="auto"/>
            <w:left w:val="none" w:sz="0" w:space="0" w:color="auto"/>
            <w:bottom w:val="none" w:sz="0" w:space="0" w:color="auto"/>
            <w:right w:val="none" w:sz="0" w:space="0" w:color="auto"/>
          </w:divBdr>
        </w:div>
        <w:div w:id="589506168">
          <w:marLeft w:val="640"/>
          <w:marRight w:val="0"/>
          <w:marTop w:val="0"/>
          <w:marBottom w:val="0"/>
          <w:divBdr>
            <w:top w:val="none" w:sz="0" w:space="0" w:color="auto"/>
            <w:left w:val="none" w:sz="0" w:space="0" w:color="auto"/>
            <w:bottom w:val="none" w:sz="0" w:space="0" w:color="auto"/>
            <w:right w:val="none" w:sz="0" w:space="0" w:color="auto"/>
          </w:divBdr>
        </w:div>
        <w:div w:id="1260916723">
          <w:marLeft w:val="640"/>
          <w:marRight w:val="0"/>
          <w:marTop w:val="0"/>
          <w:marBottom w:val="0"/>
          <w:divBdr>
            <w:top w:val="none" w:sz="0" w:space="0" w:color="auto"/>
            <w:left w:val="none" w:sz="0" w:space="0" w:color="auto"/>
            <w:bottom w:val="none" w:sz="0" w:space="0" w:color="auto"/>
            <w:right w:val="none" w:sz="0" w:space="0" w:color="auto"/>
          </w:divBdr>
        </w:div>
        <w:div w:id="918758268">
          <w:marLeft w:val="640"/>
          <w:marRight w:val="0"/>
          <w:marTop w:val="0"/>
          <w:marBottom w:val="0"/>
          <w:divBdr>
            <w:top w:val="none" w:sz="0" w:space="0" w:color="auto"/>
            <w:left w:val="none" w:sz="0" w:space="0" w:color="auto"/>
            <w:bottom w:val="none" w:sz="0" w:space="0" w:color="auto"/>
            <w:right w:val="none" w:sz="0" w:space="0" w:color="auto"/>
          </w:divBdr>
        </w:div>
        <w:div w:id="680006115">
          <w:marLeft w:val="640"/>
          <w:marRight w:val="0"/>
          <w:marTop w:val="0"/>
          <w:marBottom w:val="0"/>
          <w:divBdr>
            <w:top w:val="none" w:sz="0" w:space="0" w:color="auto"/>
            <w:left w:val="none" w:sz="0" w:space="0" w:color="auto"/>
            <w:bottom w:val="none" w:sz="0" w:space="0" w:color="auto"/>
            <w:right w:val="none" w:sz="0" w:space="0" w:color="auto"/>
          </w:divBdr>
        </w:div>
        <w:div w:id="536510382">
          <w:marLeft w:val="640"/>
          <w:marRight w:val="0"/>
          <w:marTop w:val="0"/>
          <w:marBottom w:val="0"/>
          <w:divBdr>
            <w:top w:val="none" w:sz="0" w:space="0" w:color="auto"/>
            <w:left w:val="none" w:sz="0" w:space="0" w:color="auto"/>
            <w:bottom w:val="none" w:sz="0" w:space="0" w:color="auto"/>
            <w:right w:val="none" w:sz="0" w:space="0" w:color="auto"/>
          </w:divBdr>
        </w:div>
        <w:div w:id="1245067625">
          <w:marLeft w:val="640"/>
          <w:marRight w:val="0"/>
          <w:marTop w:val="0"/>
          <w:marBottom w:val="0"/>
          <w:divBdr>
            <w:top w:val="none" w:sz="0" w:space="0" w:color="auto"/>
            <w:left w:val="none" w:sz="0" w:space="0" w:color="auto"/>
            <w:bottom w:val="none" w:sz="0" w:space="0" w:color="auto"/>
            <w:right w:val="none" w:sz="0" w:space="0" w:color="auto"/>
          </w:divBdr>
        </w:div>
        <w:div w:id="1706249336">
          <w:marLeft w:val="640"/>
          <w:marRight w:val="0"/>
          <w:marTop w:val="0"/>
          <w:marBottom w:val="0"/>
          <w:divBdr>
            <w:top w:val="none" w:sz="0" w:space="0" w:color="auto"/>
            <w:left w:val="none" w:sz="0" w:space="0" w:color="auto"/>
            <w:bottom w:val="none" w:sz="0" w:space="0" w:color="auto"/>
            <w:right w:val="none" w:sz="0" w:space="0" w:color="auto"/>
          </w:divBdr>
        </w:div>
        <w:div w:id="1525898327">
          <w:marLeft w:val="640"/>
          <w:marRight w:val="0"/>
          <w:marTop w:val="0"/>
          <w:marBottom w:val="0"/>
          <w:divBdr>
            <w:top w:val="none" w:sz="0" w:space="0" w:color="auto"/>
            <w:left w:val="none" w:sz="0" w:space="0" w:color="auto"/>
            <w:bottom w:val="none" w:sz="0" w:space="0" w:color="auto"/>
            <w:right w:val="none" w:sz="0" w:space="0" w:color="auto"/>
          </w:divBdr>
        </w:div>
        <w:div w:id="1609662050">
          <w:marLeft w:val="640"/>
          <w:marRight w:val="0"/>
          <w:marTop w:val="0"/>
          <w:marBottom w:val="0"/>
          <w:divBdr>
            <w:top w:val="none" w:sz="0" w:space="0" w:color="auto"/>
            <w:left w:val="none" w:sz="0" w:space="0" w:color="auto"/>
            <w:bottom w:val="none" w:sz="0" w:space="0" w:color="auto"/>
            <w:right w:val="none" w:sz="0" w:space="0" w:color="auto"/>
          </w:divBdr>
        </w:div>
        <w:div w:id="391123576">
          <w:marLeft w:val="640"/>
          <w:marRight w:val="0"/>
          <w:marTop w:val="0"/>
          <w:marBottom w:val="0"/>
          <w:divBdr>
            <w:top w:val="none" w:sz="0" w:space="0" w:color="auto"/>
            <w:left w:val="none" w:sz="0" w:space="0" w:color="auto"/>
            <w:bottom w:val="none" w:sz="0" w:space="0" w:color="auto"/>
            <w:right w:val="none" w:sz="0" w:space="0" w:color="auto"/>
          </w:divBdr>
        </w:div>
        <w:div w:id="1036924318">
          <w:marLeft w:val="640"/>
          <w:marRight w:val="0"/>
          <w:marTop w:val="0"/>
          <w:marBottom w:val="0"/>
          <w:divBdr>
            <w:top w:val="none" w:sz="0" w:space="0" w:color="auto"/>
            <w:left w:val="none" w:sz="0" w:space="0" w:color="auto"/>
            <w:bottom w:val="none" w:sz="0" w:space="0" w:color="auto"/>
            <w:right w:val="none" w:sz="0" w:space="0" w:color="auto"/>
          </w:divBdr>
        </w:div>
        <w:div w:id="860895688">
          <w:marLeft w:val="640"/>
          <w:marRight w:val="0"/>
          <w:marTop w:val="0"/>
          <w:marBottom w:val="0"/>
          <w:divBdr>
            <w:top w:val="none" w:sz="0" w:space="0" w:color="auto"/>
            <w:left w:val="none" w:sz="0" w:space="0" w:color="auto"/>
            <w:bottom w:val="none" w:sz="0" w:space="0" w:color="auto"/>
            <w:right w:val="none" w:sz="0" w:space="0" w:color="auto"/>
          </w:divBdr>
        </w:div>
        <w:div w:id="1203713875">
          <w:marLeft w:val="640"/>
          <w:marRight w:val="0"/>
          <w:marTop w:val="0"/>
          <w:marBottom w:val="0"/>
          <w:divBdr>
            <w:top w:val="none" w:sz="0" w:space="0" w:color="auto"/>
            <w:left w:val="none" w:sz="0" w:space="0" w:color="auto"/>
            <w:bottom w:val="none" w:sz="0" w:space="0" w:color="auto"/>
            <w:right w:val="none" w:sz="0" w:space="0" w:color="auto"/>
          </w:divBdr>
        </w:div>
        <w:div w:id="2106609822">
          <w:marLeft w:val="640"/>
          <w:marRight w:val="0"/>
          <w:marTop w:val="0"/>
          <w:marBottom w:val="0"/>
          <w:divBdr>
            <w:top w:val="none" w:sz="0" w:space="0" w:color="auto"/>
            <w:left w:val="none" w:sz="0" w:space="0" w:color="auto"/>
            <w:bottom w:val="none" w:sz="0" w:space="0" w:color="auto"/>
            <w:right w:val="none" w:sz="0" w:space="0" w:color="auto"/>
          </w:divBdr>
        </w:div>
        <w:div w:id="981883934">
          <w:marLeft w:val="640"/>
          <w:marRight w:val="0"/>
          <w:marTop w:val="0"/>
          <w:marBottom w:val="0"/>
          <w:divBdr>
            <w:top w:val="none" w:sz="0" w:space="0" w:color="auto"/>
            <w:left w:val="none" w:sz="0" w:space="0" w:color="auto"/>
            <w:bottom w:val="none" w:sz="0" w:space="0" w:color="auto"/>
            <w:right w:val="none" w:sz="0" w:space="0" w:color="auto"/>
          </w:divBdr>
        </w:div>
        <w:div w:id="976224473">
          <w:marLeft w:val="640"/>
          <w:marRight w:val="0"/>
          <w:marTop w:val="0"/>
          <w:marBottom w:val="0"/>
          <w:divBdr>
            <w:top w:val="none" w:sz="0" w:space="0" w:color="auto"/>
            <w:left w:val="none" w:sz="0" w:space="0" w:color="auto"/>
            <w:bottom w:val="none" w:sz="0" w:space="0" w:color="auto"/>
            <w:right w:val="none" w:sz="0" w:space="0" w:color="auto"/>
          </w:divBdr>
        </w:div>
        <w:div w:id="41105069">
          <w:marLeft w:val="640"/>
          <w:marRight w:val="0"/>
          <w:marTop w:val="0"/>
          <w:marBottom w:val="0"/>
          <w:divBdr>
            <w:top w:val="none" w:sz="0" w:space="0" w:color="auto"/>
            <w:left w:val="none" w:sz="0" w:space="0" w:color="auto"/>
            <w:bottom w:val="none" w:sz="0" w:space="0" w:color="auto"/>
            <w:right w:val="none" w:sz="0" w:space="0" w:color="auto"/>
          </w:divBdr>
        </w:div>
        <w:div w:id="1746686884">
          <w:marLeft w:val="640"/>
          <w:marRight w:val="0"/>
          <w:marTop w:val="0"/>
          <w:marBottom w:val="0"/>
          <w:divBdr>
            <w:top w:val="none" w:sz="0" w:space="0" w:color="auto"/>
            <w:left w:val="none" w:sz="0" w:space="0" w:color="auto"/>
            <w:bottom w:val="none" w:sz="0" w:space="0" w:color="auto"/>
            <w:right w:val="none" w:sz="0" w:space="0" w:color="auto"/>
          </w:divBdr>
        </w:div>
        <w:div w:id="983924416">
          <w:marLeft w:val="640"/>
          <w:marRight w:val="0"/>
          <w:marTop w:val="0"/>
          <w:marBottom w:val="0"/>
          <w:divBdr>
            <w:top w:val="none" w:sz="0" w:space="0" w:color="auto"/>
            <w:left w:val="none" w:sz="0" w:space="0" w:color="auto"/>
            <w:bottom w:val="none" w:sz="0" w:space="0" w:color="auto"/>
            <w:right w:val="none" w:sz="0" w:space="0" w:color="auto"/>
          </w:divBdr>
        </w:div>
        <w:div w:id="188687943">
          <w:marLeft w:val="640"/>
          <w:marRight w:val="0"/>
          <w:marTop w:val="0"/>
          <w:marBottom w:val="0"/>
          <w:divBdr>
            <w:top w:val="none" w:sz="0" w:space="0" w:color="auto"/>
            <w:left w:val="none" w:sz="0" w:space="0" w:color="auto"/>
            <w:bottom w:val="none" w:sz="0" w:space="0" w:color="auto"/>
            <w:right w:val="none" w:sz="0" w:space="0" w:color="auto"/>
          </w:divBdr>
        </w:div>
        <w:div w:id="1769890397">
          <w:marLeft w:val="640"/>
          <w:marRight w:val="0"/>
          <w:marTop w:val="0"/>
          <w:marBottom w:val="0"/>
          <w:divBdr>
            <w:top w:val="none" w:sz="0" w:space="0" w:color="auto"/>
            <w:left w:val="none" w:sz="0" w:space="0" w:color="auto"/>
            <w:bottom w:val="none" w:sz="0" w:space="0" w:color="auto"/>
            <w:right w:val="none" w:sz="0" w:space="0" w:color="auto"/>
          </w:divBdr>
        </w:div>
        <w:div w:id="669912714">
          <w:marLeft w:val="640"/>
          <w:marRight w:val="0"/>
          <w:marTop w:val="0"/>
          <w:marBottom w:val="0"/>
          <w:divBdr>
            <w:top w:val="none" w:sz="0" w:space="0" w:color="auto"/>
            <w:left w:val="none" w:sz="0" w:space="0" w:color="auto"/>
            <w:bottom w:val="none" w:sz="0" w:space="0" w:color="auto"/>
            <w:right w:val="none" w:sz="0" w:space="0" w:color="auto"/>
          </w:divBdr>
        </w:div>
        <w:div w:id="1052925830">
          <w:marLeft w:val="640"/>
          <w:marRight w:val="0"/>
          <w:marTop w:val="0"/>
          <w:marBottom w:val="0"/>
          <w:divBdr>
            <w:top w:val="none" w:sz="0" w:space="0" w:color="auto"/>
            <w:left w:val="none" w:sz="0" w:space="0" w:color="auto"/>
            <w:bottom w:val="none" w:sz="0" w:space="0" w:color="auto"/>
            <w:right w:val="none" w:sz="0" w:space="0" w:color="auto"/>
          </w:divBdr>
        </w:div>
        <w:div w:id="83846165">
          <w:marLeft w:val="640"/>
          <w:marRight w:val="0"/>
          <w:marTop w:val="0"/>
          <w:marBottom w:val="0"/>
          <w:divBdr>
            <w:top w:val="none" w:sz="0" w:space="0" w:color="auto"/>
            <w:left w:val="none" w:sz="0" w:space="0" w:color="auto"/>
            <w:bottom w:val="none" w:sz="0" w:space="0" w:color="auto"/>
            <w:right w:val="none" w:sz="0" w:space="0" w:color="auto"/>
          </w:divBdr>
        </w:div>
        <w:div w:id="1318150692">
          <w:marLeft w:val="640"/>
          <w:marRight w:val="0"/>
          <w:marTop w:val="0"/>
          <w:marBottom w:val="0"/>
          <w:divBdr>
            <w:top w:val="none" w:sz="0" w:space="0" w:color="auto"/>
            <w:left w:val="none" w:sz="0" w:space="0" w:color="auto"/>
            <w:bottom w:val="none" w:sz="0" w:space="0" w:color="auto"/>
            <w:right w:val="none" w:sz="0" w:space="0" w:color="auto"/>
          </w:divBdr>
        </w:div>
        <w:div w:id="1344436040">
          <w:marLeft w:val="640"/>
          <w:marRight w:val="0"/>
          <w:marTop w:val="0"/>
          <w:marBottom w:val="0"/>
          <w:divBdr>
            <w:top w:val="none" w:sz="0" w:space="0" w:color="auto"/>
            <w:left w:val="none" w:sz="0" w:space="0" w:color="auto"/>
            <w:bottom w:val="none" w:sz="0" w:space="0" w:color="auto"/>
            <w:right w:val="none" w:sz="0" w:space="0" w:color="auto"/>
          </w:divBdr>
        </w:div>
        <w:div w:id="1082145168">
          <w:marLeft w:val="640"/>
          <w:marRight w:val="0"/>
          <w:marTop w:val="0"/>
          <w:marBottom w:val="0"/>
          <w:divBdr>
            <w:top w:val="none" w:sz="0" w:space="0" w:color="auto"/>
            <w:left w:val="none" w:sz="0" w:space="0" w:color="auto"/>
            <w:bottom w:val="none" w:sz="0" w:space="0" w:color="auto"/>
            <w:right w:val="none" w:sz="0" w:space="0" w:color="auto"/>
          </w:divBdr>
        </w:div>
        <w:div w:id="1683624478">
          <w:marLeft w:val="640"/>
          <w:marRight w:val="0"/>
          <w:marTop w:val="0"/>
          <w:marBottom w:val="0"/>
          <w:divBdr>
            <w:top w:val="none" w:sz="0" w:space="0" w:color="auto"/>
            <w:left w:val="none" w:sz="0" w:space="0" w:color="auto"/>
            <w:bottom w:val="none" w:sz="0" w:space="0" w:color="auto"/>
            <w:right w:val="none" w:sz="0" w:space="0" w:color="auto"/>
          </w:divBdr>
        </w:div>
        <w:div w:id="1431390004">
          <w:marLeft w:val="640"/>
          <w:marRight w:val="0"/>
          <w:marTop w:val="0"/>
          <w:marBottom w:val="0"/>
          <w:divBdr>
            <w:top w:val="none" w:sz="0" w:space="0" w:color="auto"/>
            <w:left w:val="none" w:sz="0" w:space="0" w:color="auto"/>
            <w:bottom w:val="none" w:sz="0" w:space="0" w:color="auto"/>
            <w:right w:val="none" w:sz="0" w:space="0" w:color="auto"/>
          </w:divBdr>
        </w:div>
        <w:div w:id="1005785065">
          <w:marLeft w:val="640"/>
          <w:marRight w:val="0"/>
          <w:marTop w:val="0"/>
          <w:marBottom w:val="0"/>
          <w:divBdr>
            <w:top w:val="none" w:sz="0" w:space="0" w:color="auto"/>
            <w:left w:val="none" w:sz="0" w:space="0" w:color="auto"/>
            <w:bottom w:val="none" w:sz="0" w:space="0" w:color="auto"/>
            <w:right w:val="none" w:sz="0" w:space="0" w:color="auto"/>
          </w:divBdr>
        </w:div>
        <w:div w:id="1065106689">
          <w:marLeft w:val="640"/>
          <w:marRight w:val="0"/>
          <w:marTop w:val="0"/>
          <w:marBottom w:val="0"/>
          <w:divBdr>
            <w:top w:val="none" w:sz="0" w:space="0" w:color="auto"/>
            <w:left w:val="none" w:sz="0" w:space="0" w:color="auto"/>
            <w:bottom w:val="none" w:sz="0" w:space="0" w:color="auto"/>
            <w:right w:val="none" w:sz="0" w:space="0" w:color="auto"/>
          </w:divBdr>
        </w:div>
        <w:div w:id="1703749656">
          <w:marLeft w:val="640"/>
          <w:marRight w:val="0"/>
          <w:marTop w:val="0"/>
          <w:marBottom w:val="0"/>
          <w:divBdr>
            <w:top w:val="none" w:sz="0" w:space="0" w:color="auto"/>
            <w:left w:val="none" w:sz="0" w:space="0" w:color="auto"/>
            <w:bottom w:val="none" w:sz="0" w:space="0" w:color="auto"/>
            <w:right w:val="none" w:sz="0" w:space="0" w:color="auto"/>
          </w:divBdr>
        </w:div>
      </w:divsChild>
    </w:div>
    <w:div w:id="1981029374">
      <w:bodyDiv w:val="1"/>
      <w:marLeft w:val="0"/>
      <w:marRight w:val="0"/>
      <w:marTop w:val="0"/>
      <w:marBottom w:val="0"/>
      <w:divBdr>
        <w:top w:val="none" w:sz="0" w:space="0" w:color="auto"/>
        <w:left w:val="none" w:sz="0" w:space="0" w:color="auto"/>
        <w:bottom w:val="none" w:sz="0" w:space="0" w:color="auto"/>
        <w:right w:val="none" w:sz="0" w:space="0" w:color="auto"/>
      </w:divBdr>
      <w:divsChild>
        <w:div w:id="946501474">
          <w:marLeft w:val="640"/>
          <w:marRight w:val="0"/>
          <w:marTop w:val="0"/>
          <w:marBottom w:val="0"/>
          <w:divBdr>
            <w:top w:val="none" w:sz="0" w:space="0" w:color="auto"/>
            <w:left w:val="none" w:sz="0" w:space="0" w:color="auto"/>
            <w:bottom w:val="none" w:sz="0" w:space="0" w:color="auto"/>
            <w:right w:val="none" w:sz="0" w:space="0" w:color="auto"/>
          </w:divBdr>
        </w:div>
        <w:div w:id="1314677217">
          <w:marLeft w:val="640"/>
          <w:marRight w:val="0"/>
          <w:marTop w:val="0"/>
          <w:marBottom w:val="0"/>
          <w:divBdr>
            <w:top w:val="none" w:sz="0" w:space="0" w:color="auto"/>
            <w:left w:val="none" w:sz="0" w:space="0" w:color="auto"/>
            <w:bottom w:val="none" w:sz="0" w:space="0" w:color="auto"/>
            <w:right w:val="none" w:sz="0" w:space="0" w:color="auto"/>
          </w:divBdr>
        </w:div>
        <w:div w:id="366103628">
          <w:marLeft w:val="640"/>
          <w:marRight w:val="0"/>
          <w:marTop w:val="0"/>
          <w:marBottom w:val="0"/>
          <w:divBdr>
            <w:top w:val="none" w:sz="0" w:space="0" w:color="auto"/>
            <w:left w:val="none" w:sz="0" w:space="0" w:color="auto"/>
            <w:bottom w:val="none" w:sz="0" w:space="0" w:color="auto"/>
            <w:right w:val="none" w:sz="0" w:space="0" w:color="auto"/>
          </w:divBdr>
        </w:div>
        <w:div w:id="1603100862">
          <w:marLeft w:val="640"/>
          <w:marRight w:val="0"/>
          <w:marTop w:val="0"/>
          <w:marBottom w:val="0"/>
          <w:divBdr>
            <w:top w:val="none" w:sz="0" w:space="0" w:color="auto"/>
            <w:left w:val="none" w:sz="0" w:space="0" w:color="auto"/>
            <w:bottom w:val="none" w:sz="0" w:space="0" w:color="auto"/>
            <w:right w:val="none" w:sz="0" w:space="0" w:color="auto"/>
          </w:divBdr>
        </w:div>
        <w:div w:id="967902736">
          <w:marLeft w:val="640"/>
          <w:marRight w:val="0"/>
          <w:marTop w:val="0"/>
          <w:marBottom w:val="0"/>
          <w:divBdr>
            <w:top w:val="none" w:sz="0" w:space="0" w:color="auto"/>
            <w:left w:val="none" w:sz="0" w:space="0" w:color="auto"/>
            <w:bottom w:val="none" w:sz="0" w:space="0" w:color="auto"/>
            <w:right w:val="none" w:sz="0" w:space="0" w:color="auto"/>
          </w:divBdr>
        </w:div>
        <w:div w:id="2062097530">
          <w:marLeft w:val="640"/>
          <w:marRight w:val="0"/>
          <w:marTop w:val="0"/>
          <w:marBottom w:val="0"/>
          <w:divBdr>
            <w:top w:val="none" w:sz="0" w:space="0" w:color="auto"/>
            <w:left w:val="none" w:sz="0" w:space="0" w:color="auto"/>
            <w:bottom w:val="none" w:sz="0" w:space="0" w:color="auto"/>
            <w:right w:val="none" w:sz="0" w:space="0" w:color="auto"/>
          </w:divBdr>
        </w:div>
        <w:div w:id="1113205938">
          <w:marLeft w:val="640"/>
          <w:marRight w:val="0"/>
          <w:marTop w:val="0"/>
          <w:marBottom w:val="0"/>
          <w:divBdr>
            <w:top w:val="none" w:sz="0" w:space="0" w:color="auto"/>
            <w:left w:val="none" w:sz="0" w:space="0" w:color="auto"/>
            <w:bottom w:val="none" w:sz="0" w:space="0" w:color="auto"/>
            <w:right w:val="none" w:sz="0" w:space="0" w:color="auto"/>
          </w:divBdr>
        </w:div>
        <w:div w:id="1189178896">
          <w:marLeft w:val="640"/>
          <w:marRight w:val="0"/>
          <w:marTop w:val="0"/>
          <w:marBottom w:val="0"/>
          <w:divBdr>
            <w:top w:val="none" w:sz="0" w:space="0" w:color="auto"/>
            <w:left w:val="none" w:sz="0" w:space="0" w:color="auto"/>
            <w:bottom w:val="none" w:sz="0" w:space="0" w:color="auto"/>
            <w:right w:val="none" w:sz="0" w:space="0" w:color="auto"/>
          </w:divBdr>
        </w:div>
        <w:div w:id="945161065">
          <w:marLeft w:val="640"/>
          <w:marRight w:val="0"/>
          <w:marTop w:val="0"/>
          <w:marBottom w:val="0"/>
          <w:divBdr>
            <w:top w:val="none" w:sz="0" w:space="0" w:color="auto"/>
            <w:left w:val="none" w:sz="0" w:space="0" w:color="auto"/>
            <w:bottom w:val="none" w:sz="0" w:space="0" w:color="auto"/>
            <w:right w:val="none" w:sz="0" w:space="0" w:color="auto"/>
          </w:divBdr>
        </w:div>
        <w:div w:id="263461149">
          <w:marLeft w:val="640"/>
          <w:marRight w:val="0"/>
          <w:marTop w:val="0"/>
          <w:marBottom w:val="0"/>
          <w:divBdr>
            <w:top w:val="none" w:sz="0" w:space="0" w:color="auto"/>
            <w:left w:val="none" w:sz="0" w:space="0" w:color="auto"/>
            <w:bottom w:val="none" w:sz="0" w:space="0" w:color="auto"/>
            <w:right w:val="none" w:sz="0" w:space="0" w:color="auto"/>
          </w:divBdr>
        </w:div>
        <w:div w:id="1726558955">
          <w:marLeft w:val="640"/>
          <w:marRight w:val="0"/>
          <w:marTop w:val="0"/>
          <w:marBottom w:val="0"/>
          <w:divBdr>
            <w:top w:val="none" w:sz="0" w:space="0" w:color="auto"/>
            <w:left w:val="none" w:sz="0" w:space="0" w:color="auto"/>
            <w:bottom w:val="none" w:sz="0" w:space="0" w:color="auto"/>
            <w:right w:val="none" w:sz="0" w:space="0" w:color="auto"/>
          </w:divBdr>
        </w:div>
        <w:div w:id="170683209">
          <w:marLeft w:val="640"/>
          <w:marRight w:val="0"/>
          <w:marTop w:val="0"/>
          <w:marBottom w:val="0"/>
          <w:divBdr>
            <w:top w:val="none" w:sz="0" w:space="0" w:color="auto"/>
            <w:left w:val="none" w:sz="0" w:space="0" w:color="auto"/>
            <w:bottom w:val="none" w:sz="0" w:space="0" w:color="auto"/>
            <w:right w:val="none" w:sz="0" w:space="0" w:color="auto"/>
          </w:divBdr>
        </w:div>
        <w:div w:id="2017682450">
          <w:marLeft w:val="640"/>
          <w:marRight w:val="0"/>
          <w:marTop w:val="0"/>
          <w:marBottom w:val="0"/>
          <w:divBdr>
            <w:top w:val="none" w:sz="0" w:space="0" w:color="auto"/>
            <w:left w:val="none" w:sz="0" w:space="0" w:color="auto"/>
            <w:bottom w:val="none" w:sz="0" w:space="0" w:color="auto"/>
            <w:right w:val="none" w:sz="0" w:space="0" w:color="auto"/>
          </w:divBdr>
        </w:div>
        <w:div w:id="399180504">
          <w:marLeft w:val="640"/>
          <w:marRight w:val="0"/>
          <w:marTop w:val="0"/>
          <w:marBottom w:val="0"/>
          <w:divBdr>
            <w:top w:val="none" w:sz="0" w:space="0" w:color="auto"/>
            <w:left w:val="none" w:sz="0" w:space="0" w:color="auto"/>
            <w:bottom w:val="none" w:sz="0" w:space="0" w:color="auto"/>
            <w:right w:val="none" w:sz="0" w:space="0" w:color="auto"/>
          </w:divBdr>
        </w:div>
        <w:div w:id="1197040847">
          <w:marLeft w:val="640"/>
          <w:marRight w:val="0"/>
          <w:marTop w:val="0"/>
          <w:marBottom w:val="0"/>
          <w:divBdr>
            <w:top w:val="none" w:sz="0" w:space="0" w:color="auto"/>
            <w:left w:val="none" w:sz="0" w:space="0" w:color="auto"/>
            <w:bottom w:val="none" w:sz="0" w:space="0" w:color="auto"/>
            <w:right w:val="none" w:sz="0" w:space="0" w:color="auto"/>
          </w:divBdr>
        </w:div>
        <w:div w:id="612322853">
          <w:marLeft w:val="640"/>
          <w:marRight w:val="0"/>
          <w:marTop w:val="0"/>
          <w:marBottom w:val="0"/>
          <w:divBdr>
            <w:top w:val="none" w:sz="0" w:space="0" w:color="auto"/>
            <w:left w:val="none" w:sz="0" w:space="0" w:color="auto"/>
            <w:bottom w:val="none" w:sz="0" w:space="0" w:color="auto"/>
            <w:right w:val="none" w:sz="0" w:space="0" w:color="auto"/>
          </w:divBdr>
        </w:div>
        <w:div w:id="62069229">
          <w:marLeft w:val="640"/>
          <w:marRight w:val="0"/>
          <w:marTop w:val="0"/>
          <w:marBottom w:val="0"/>
          <w:divBdr>
            <w:top w:val="none" w:sz="0" w:space="0" w:color="auto"/>
            <w:left w:val="none" w:sz="0" w:space="0" w:color="auto"/>
            <w:bottom w:val="none" w:sz="0" w:space="0" w:color="auto"/>
            <w:right w:val="none" w:sz="0" w:space="0" w:color="auto"/>
          </w:divBdr>
        </w:div>
        <w:div w:id="892078881">
          <w:marLeft w:val="640"/>
          <w:marRight w:val="0"/>
          <w:marTop w:val="0"/>
          <w:marBottom w:val="0"/>
          <w:divBdr>
            <w:top w:val="none" w:sz="0" w:space="0" w:color="auto"/>
            <w:left w:val="none" w:sz="0" w:space="0" w:color="auto"/>
            <w:bottom w:val="none" w:sz="0" w:space="0" w:color="auto"/>
            <w:right w:val="none" w:sz="0" w:space="0" w:color="auto"/>
          </w:divBdr>
        </w:div>
        <w:div w:id="905334298">
          <w:marLeft w:val="640"/>
          <w:marRight w:val="0"/>
          <w:marTop w:val="0"/>
          <w:marBottom w:val="0"/>
          <w:divBdr>
            <w:top w:val="none" w:sz="0" w:space="0" w:color="auto"/>
            <w:left w:val="none" w:sz="0" w:space="0" w:color="auto"/>
            <w:bottom w:val="none" w:sz="0" w:space="0" w:color="auto"/>
            <w:right w:val="none" w:sz="0" w:space="0" w:color="auto"/>
          </w:divBdr>
        </w:div>
        <w:div w:id="385840886">
          <w:marLeft w:val="640"/>
          <w:marRight w:val="0"/>
          <w:marTop w:val="0"/>
          <w:marBottom w:val="0"/>
          <w:divBdr>
            <w:top w:val="none" w:sz="0" w:space="0" w:color="auto"/>
            <w:left w:val="none" w:sz="0" w:space="0" w:color="auto"/>
            <w:bottom w:val="none" w:sz="0" w:space="0" w:color="auto"/>
            <w:right w:val="none" w:sz="0" w:space="0" w:color="auto"/>
          </w:divBdr>
        </w:div>
        <w:div w:id="775977435">
          <w:marLeft w:val="640"/>
          <w:marRight w:val="0"/>
          <w:marTop w:val="0"/>
          <w:marBottom w:val="0"/>
          <w:divBdr>
            <w:top w:val="none" w:sz="0" w:space="0" w:color="auto"/>
            <w:left w:val="none" w:sz="0" w:space="0" w:color="auto"/>
            <w:bottom w:val="none" w:sz="0" w:space="0" w:color="auto"/>
            <w:right w:val="none" w:sz="0" w:space="0" w:color="auto"/>
          </w:divBdr>
        </w:div>
        <w:div w:id="1874657968">
          <w:marLeft w:val="640"/>
          <w:marRight w:val="0"/>
          <w:marTop w:val="0"/>
          <w:marBottom w:val="0"/>
          <w:divBdr>
            <w:top w:val="none" w:sz="0" w:space="0" w:color="auto"/>
            <w:left w:val="none" w:sz="0" w:space="0" w:color="auto"/>
            <w:bottom w:val="none" w:sz="0" w:space="0" w:color="auto"/>
            <w:right w:val="none" w:sz="0" w:space="0" w:color="auto"/>
          </w:divBdr>
        </w:div>
        <w:div w:id="568616885">
          <w:marLeft w:val="640"/>
          <w:marRight w:val="0"/>
          <w:marTop w:val="0"/>
          <w:marBottom w:val="0"/>
          <w:divBdr>
            <w:top w:val="none" w:sz="0" w:space="0" w:color="auto"/>
            <w:left w:val="none" w:sz="0" w:space="0" w:color="auto"/>
            <w:bottom w:val="none" w:sz="0" w:space="0" w:color="auto"/>
            <w:right w:val="none" w:sz="0" w:space="0" w:color="auto"/>
          </w:divBdr>
        </w:div>
        <w:div w:id="311105491">
          <w:marLeft w:val="640"/>
          <w:marRight w:val="0"/>
          <w:marTop w:val="0"/>
          <w:marBottom w:val="0"/>
          <w:divBdr>
            <w:top w:val="none" w:sz="0" w:space="0" w:color="auto"/>
            <w:left w:val="none" w:sz="0" w:space="0" w:color="auto"/>
            <w:bottom w:val="none" w:sz="0" w:space="0" w:color="auto"/>
            <w:right w:val="none" w:sz="0" w:space="0" w:color="auto"/>
          </w:divBdr>
        </w:div>
        <w:div w:id="482623504">
          <w:marLeft w:val="640"/>
          <w:marRight w:val="0"/>
          <w:marTop w:val="0"/>
          <w:marBottom w:val="0"/>
          <w:divBdr>
            <w:top w:val="none" w:sz="0" w:space="0" w:color="auto"/>
            <w:left w:val="none" w:sz="0" w:space="0" w:color="auto"/>
            <w:bottom w:val="none" w:sz="0" w:space="0" w:color="auto"/>
            <w:right w:val="none" w:sz="0" w:space="0" w:color="auto"/>
          </w:divBdr>
        </w:div>
        <w:div w:id="8720663">
          <w:marLeft w:val="640"/>
          <w:marRight w:val="0"/>
          <w:marTop w:val="0"/>
          <w:marBottom w:val="0"/>
          <w:divBdr>
            <w:top w:val="none" w:sz="0" w:space="0" w:color="auto"/>
            <w:left w:val="none" w:sz="0" w:space="0" w:color="auto"/>
            <w:bottom w:val="none" w:sz="0" w:space="0" w:color="auto"/>
            <w:right w:val="none" w:sz="0" w:space="0" w:color="auto"/>
          </w:divBdr>
        </w:div>
        <w:div w:id="2083136706">
          <w:marLeft w:val="640"/>
          <w:marRight w:val="0"/>
          <w:marTop w:val="0"/>
          <w:marBottom w:val="0"/>
          <w:divBdr>
            <w:top w:val="none" w:sz="0" w:space="0" w:color="auto"/>
            <w:left w:val="none" w:sz="0" w:space="0" w:color="auto"/>
            <w:bottom w:val="none" w:sz="0" w:space="0" w:color="auto"/>
            <w:right w:val="none" w:sz="0" w:space="0" w:color="auto"/>
          </w:divBdr>
        </w:div>
        <w:div w:id="805053192">
          <w:marLeft w:val="640"/>
          <w:marRight w:val="0"/>
          <w:marTop w:val="0"/>
          <w:marBottom w:val="0"/>
          <w:divBdr>
            <w:top w:val="none" w:sz="0" w:space="0" w:color="auto"/>
            <w:left w:val="none" w:sz="0" w:space="0" w:color="auto"/>
            <w:bottom w:val="none" w:sz="0" w:space="0" w:color="auto"/>
            <w:right w:val="none" w:sz="0" w:space="0" w:color="auto"/>
          </w:divBdr>
        </w:div>
        <w:div w:id="886450694">
          <w:marLeft w:val="640"/>
          <w:marRight w:val="0"/>
          <w:marTop w:val="0"/>
          <w:marBottom w:val="0"/>
          <w:divBdr>
            <w:top w:val="none" w:sz="0" w:space="0" w:color="auto"/>
            <w:left w:val="none" w:sz="0" w:space="0" w:color="auto"/>
            <w:bottom w:val="none" w:sz="0" w:space="0" w:color="auto"/>
            <w:right w:val="none" w:sz="0" w:space="0" w:color="auto"/>
          </w:divBdr>
        </w:div>
        <w:div w:id="1873611066">
          <w:marLeft w:val="640"/>
          <w:marRight w:val="0"/>
          <w:marTop w:val="0"/>
          <w:marBottom w:val="0"/>
          <w:divBdr>
            <w:top w:val="none" w:sz="0" w:space="0" w:color="auto"/>
            <w:left w:val="none" w:sz="0" w:space="0" w:color="auto"/>
            <w:bottom w:val="none" w:sz="0" w:space="0" w:color="auto"/>
            <w:right w:val="none" w:sz="0" w:space="0" w:color="auto"/>
          </w:divBdr>
        </w:div>
        <w:div w:id="17657859">
          <w:marLeft w:val="640"/>
          <w:marRight w:val="0"/>
          <w:marTop w:val="0"/>
          <w:marBottom w:val="0"/>
          <w:divBdr>
            <w:top w:val="none" w:sz="0" w:space="0" w:color="auto"/>
            <w:left w:val="none" w:sz="0" w:space="0" w:color="auto"/>
            <w:bottom w:val="none" w:sz="0" w:space="0" w:color="auto"/>
            <w:right w:val="none" w:sz="0" w:space="0" w:color="auto"/>
          </w:divBdr>
        </w:div>
        <w:div w:id="463936018">
          <w:marLeft w:val="640"/>
          <w:marRight w:val="0"/>
          <w:marTop w:val="0"/>
          <w:marBottom w:val="0"/>
          <w:divBdr>
            <w:top w:val="none" w:sz="0" w:space="0" w:color="auto"/>
            <w:left w:val="none" w:sz="0" w:space="0" w:color="auto"/>
            <w:bottom w:val="none" w:sz="0" w:space="0" w:color="auto"/>
            <w:right w:val="none" w:sz="0" w:space="0" w:color="auto"/>
          </w:divBdr>
        </w:div>
        <w:div w:id="1867062913">
          <w:marLeft w:val="640"/>
          <w:marRight w:val="0"/>
          <w:marTop w:val="0"/>
          <w:marBottom w:val="0"/>
          <w:divBdr>
            <w:top w:val="none" w:sz="0" w:space="0" w:color="auto"/>
            <w:left w:val="none" w:sz="0" w:space="0" w:color="auto"/>
            <w:bottom w:val="none" w:sz="0" w:space="0" w:color="auto"/>
            <w:right w:val="none" w:sz="0" w:space="0" w:color="auto"/>
          </w:divBdr>
        </w:div>
        <w:div w:id="384378744">
          <w:marLeft w:val="640"/>
          <w:marRight w:val="0"/>
          <w:marTop w:val="0"/>
          <w:marBottom w:val="0"/>
          <w:divBdr>
            <w:top w:val="none" w:sz="0" w:space="0" w:color="auto"/>
            <w:left w:val="none" w:sz="0" w:space="0" w:color="auto"/>
            <w:bottom w:val="none" w:sz="0" w:space="0" w:color="auto"/>
            <w:right w:val="none" w:sz="0" w:space="0" w:color="auto"/>
          </w:divBdr>
        </w:div>
        <w:div w:id="1665545408">
          <w:marLeft w:val="640"/>
          <w:marRight w:val="0"/>
          <w:marTop w:val="0"/>
          <w:marBottom w:val="0"/>
          <w:divBdr>
            <w:top w:val="none" w:sz="0" w:space="0" w:color="auto"/>
            <w:left w:val="none" w:sz="0" w:space="0" w:color="auto"/>
            <w:bottom w:val="none" w:sz="0" w:space="0" w:color="auto"/>
            <w:right w:val="none" w:sz="0" w:space="0" w:color="auto"/>
          </w:divBdr>
        </w:div>
        <w:div w:id="1308124961">
          <w:marLeft w:val="640"/>
          <w:marRight w:val="0"/>
          <w:marTop w:val="0"/>
          <w:marBottom w:val="0"/>
          <w:divBdr>
            <w:top w:val="none" w:sz="0" w:space="0" w:color="auto"/>
            <w:left w:val="none" w:sz="0" w:space="0" w:color="auto"/>
            <w:bottom w:val="none" w:sz="0" w:space="0" w:color="auto"/>
            <w:right w:val="none" w:sz="0" w:space="0" w:color="auto"/>
          </w:divBdr>
        </w:div>
        <w:div w:id="172763093">
          <w:marLeft w:val="640"/>
          <w:marRight w:val="0"/>
          <w:marTop w:val="0"/>
          <w:marBottom w:val="0"/>
          <w:divBdr>
            <w:top w:val="none" w:sz="0" w:space="0" w:color="auto"/>
            <w:left w:val="none" w:sz="0" w:space="0" w:color="auto"/>
            <w:bottom w:val="none" w:sz="0" w:space="0" w:color="auto"/>
            <w:right w:val="none" w:sz="0" w:space="0" w:color="auto"/>
          </w:divBdr>
        </w:div>
        <w:div w:id="58480812">
          <w:marLeft w:val="640"/>
          <w:marRight w:val="0"/>
          <w:marTop w:val="0"/>
          <w:marBottom w:val="0"/>
          <w:divBdr>
            <w:top w:val="none" w:sz="0" w:space="0" w:color="auto"/>
            <w:left w:val="none" w:sz="0" w:space="0" w:color="auto"/>
            <w:bottom w:val="none" w:sz="0" w:space="0" w:color="auto"/>
            <w:right w:val="none" w:sz="0" w:space="0" w:color="auto"/>
          </w:divBdr>
        </w:div>
        <w:div w:id="1838685418">
          <w:marLeft w:val="640"/>
          <w:marRight w:val="0"/>
          <w:marTop w:val="0"/>
          <w:marBottom w:val="0"/>
          <w:divBdr>
            <w:top w:val="none" w:sz="0" w:space="0" w:color="auto"/>
            <w:left w:val="none" w:sz="0" w:space="0" w:color="auto"/>
            <w:bottom w:val="none" w:sz="0" w:space="0" w:color="auto"/>
            <w:right w:val="none" w:sz="0" w:space="0" w:color="auto"/>
          </w:divBdr>
        </w:div>
        <w:div w:id="542449474">
          <w:marLeft w:val="640"/>
          <w:marRight w:val="0"/>
          <w:marTop w:val="0"/>
          <w:marBottom w:val="0"/>
          <w:divBdr>
            <w:top w:val="none" w:sz="0" w:space="0" w:color="auto"/>
            <w:left w:val="none" w:sz="0" w:space="0" w:color="auto"/>
            <w:bottom w:val="none" w:sz="0" w:space="0" w:color="auto"/>
            <w:right w:val="none" w:sz="0" w:space="0" w:color="auto"/>
          </w:divBdr>
        </w:div>
        <w:div w:id="727151052">
          <w:marLeft w:val="640"/>
          <w:marRight w:val="0"/>
          <w:marTop w:val="0"/>
          <w:marBottom w:val="0"/>
          <w:divBdr>
            <w:top w:val="none" w:sz="0" w:space="0" w:color="auto"/>
            <w:left w:val="none" w:sz="0" w:space="0" w:color="auto"/>
            <w:bottom w:val="none" w:sz="0" w:space="0" w:color="auto"/>
            <w:right w:val="none" w:sz="0" w:space="0" w:color="auto"/>
          </w:divBdr>
        </w:div>
        <w:div w:id="725252686">
          <w:marLeft w:val="640"/>
          <w:marRight w:val="0"/>
          <w:marTop w:val="0"/>
          <w:marBottom w:val="0"/>
          <w:divBdr>
            <w:top w:val="none" w:sz="0" w:space="0" w:color="auto"/>
            <w:left w:val="none" w:sz="0" w:space="0" w:color="auto"/>
            <w:bottom w:val="none" w:sz="0" w:space="0" w:color="auto"/>
            <w:right w:val="none" w:sz="0" w:space="0" w:color="auto"/>
          </w:divBdr>
        </w:div>
        <w:div w:id="1012491514">
          <w:marLeft w:val="640"/>
          <w:marRight w:val="0"/>
          <w:marTop w:val="0"/>
          <w:marBottom w:val="0"/>
          <w:divBdr>
            <w:top w:val="none" w:sz="0" w:space="0" w:color="auto"/>
            <w:left w:val="none" w:sz="0" w:space="0" w:color="auto"/>
            <w:bottom w:val="none" w:sz="0" w:space="0" w:color="auto"/>
            <w:right w:val="none" w:sz="0" w:space="0" w:color="auto"/>
          </w:divBdr>
        </w:div>
        <w:div w:id="1563833875">
          <w:marLeft w:val="640"/>
          <w:marRight w:val="0"/>
          <w:marTop w:val="0"/>
          <w:marBottom w:val="0"/>
          <w:divBdr>
            <w:top w:val="none" w:sz="0" w:space="0" w:color="auto"/>
            <w:left w:val="none" w:sz="0" w:space="0" w:color="auto"/>
            <w:bottom w:val="none" w:sz="0" w:space="0" w:color="auto"/>
            <w:right w:val="none" w:sz="0" w:space="0" w:color="auto"/>
          </w:divBdr>
        </w:div>
        <w:div w:id="2090690761">
          <w:marLeft w:val="640"/>
          <w:marRight w:val="0"/>
          <w:marTop w:val="0"/>
          <w:marBottom w:val="0"/>
          <w:divBdr>
            <w:top w:val="none" w:sz="0" w:space="0" w:color="auto"/>
            <w:left w:val="none" w:sz="0" w:space="0" w:color="auto"/>
            <w:bottom w:val="none" w:sz="0" w:space="0" w:color="auto"/>
            <w:right w:val="none" w:sz="0" w:space="0" w:color="auto"/>
          </w:divBdr>
        </w:div>
        <w:div w:id="1984769459">
          <w:marLeft w:val="640"/>
          <w:marRight w:val="0"/>
          <w:marTop w:val="0"/>
          <w:marBottom w:val="0"/>
          <w:divBdr>
            <w:top w:val="none" w:sz="0" w:space="0" w:color="auto"/>
            <w:left w:val="none" w:sz="0" w:space="0" w:color="auto"/>
            <w:bottom w:val="none" w:sz="0" w:space="0" w:color="auto"/>
            <w:right w:val="none" w:sz="0" w:space="0" w:color="auto"/>
          </w:divBdr>
        </w:div>
        <w:div w:id="1240597137">
          <w:marLeft w:val="640"/>
          <w:marRight w:val="0"/>
          <w:marTop w:val="0"/>
          <w:marBottom w:val="0"/>
          <w:divBdr>
            <w:top w:val="none" w:sz="0" w:space="0" w:color="auto"/>
            <w:left w:val="none" w:sz="0" w:space="0" w:color="auto"/>
            <w:bottom w:val="none" w:sz="0" w:space="0" w:color="auto"/>
            <w:right w:val="none" w:sz="0" w:space="0" w:color="auto"/>
          </w:divBdr>
        </w:div>
        <w:div w:id="1138760654">
          <w:marLeft w:val="640"/>
          <w:marRight w:val="0"/>
          <w:marTop w:val="0"/>
          <w:marBottom w:val="0"/>
          <w:divBdr>
            <w:top w:val="none" w:sz="0" w:space="0" w:color="auto"/>
            <w:left w:val="none" w:sz="0" w:space="0" w:color="auto"/>
            <w:bottom w:val="none" w:sz="0" w:space="0" w:color="auto"/>
            <w:right w:val="none" w:sz="0" w:space="0" w:color="auto"/>
          </w:divBdr>
        </w:div>
        <w:div w:id="23987835">
          <w:marLeft w:val="640"/>
          <w:marRight w:val="0"/>
          <w:marTop w:val="0"/>
          <w:marBottom w:val="0"/>
          <w:divBdr>
            <w:top w:val="none" w:sz="0" w:space="0" w:color="auto"/>
            <w:left w:val="none" w:sz="0" w:space="0" w:color="auto"/>
            <w:bottom w:val="none" w:sz="0" w:space="0" w:color="auto"/>
            <w:right w:val="none" w:sz="0" w:space="0" w:color="auto"/>
          </w:divBdr>
        </w:div>
        <w:div w:id="1253709361">
          <w:marLeft w:val="640"/>
          <w:marRight w:val="0"/>
          <w:marTop w:val="0"/>
          <w:marBottom w:val="0"/>
          <w:divBdr>
            <w:top w:val="none" w:sz="0" w:space="0" w:color="auto"/>
            <w:left w:val="none" w:sz="0" w:space="0" w:color="auto"/>
            <w:bottom w:val="none" w:sz="0" w:space="0" w:color="auto"/>
            <w:right w:val="none" w:sz="0" w:space="0" w:color="auto"/>
          </w:divBdr>
        </w:div>
        <w:div w:id="1496844991">
          <w:marLeft w:val="640"/>
          <w:marRight w:val="0"/>
          <w:marTop w:val="0"/>
          <w:marBottom w:val="0"/>
          <w:divBdr>
            <w:top w:val="none" w:sz="0" w:space="0" w:color="auto"/>
            <w:left w:val="none" w:sz="0" w:space="0" w:color="auto"/>
            <w:bottom w:val="none" w:sz="0" w:space="0" w:color="auto"/>
            <w:right w:val="none" w:sz="0" w:space="0" w:color="auto"/>
          </w:divBdr>
        </w:div>
        <w:div w:id="765463065">
          <w:marLeft w:val="640"/>
          <w:marRight w:val="0"/>
          <w:marTop w:val="0"/>
          <w:marBottom w:val="0"/>
          <w:divBdr>
            <w:top w:val="none" w:sz="0" w:space="0" w:color="auto"/>
            <w:left w:val="none" w:sz="0" w:space="0" w:color="auto"/>
            <w:bottom w:val="none" w:sz="0" w:space="0" w:color="auto"/>
            <w:right w:val="none" w:sz="0" w:space="0" w:color="auto"/>
          </w:divBdr>
        </w:div>
        <w:div w:id="189491548">
          <w:marLeft w:val="640"/>
          <w:marRight w:val="0"/>
          <w:marTop w:val="0"/>
          <w:marBottom w:val="0"/>
          <w:divBdr>
            <w:top w:val="none" w:sz="0" w:space="0" w:color="auto"/>
            <w:left w:val="none" w:sz="0" w:space="0" w:color="auto"/>
            <w:bottom w:val="none" w:sz="0" w:space="0" w:color="auto"/>
            <w:right w:val="none" w:sz="0" w:space="0" w:color="auto"/>
          </w:divBdr>
        </w:div>
        <w:div w:id="1471826814">
          <w:marLeft w:val="640"/>
          <w:marRight w:val="0"/>
          <w:marTop w:val="0"/>
          <w:marBottom w:val="0"/>
          <w:divBdr>
            <w:top w:val="none" w:sz="0" w:space="0" w:color="auto"/>
            <w:left w:val="none" w:sz="0" w:space="0" w:color="auto"/>
            <w:bottom w:val="none" w:sz="0" w:space="0" w:color="auto"/>
            <w:right w:val="none" w:sz="0" w:space="0" w:color="auto"/>
          </w:divBdr>
        </w:div>
        <w:div w:id="55474618">
          <w:marLeft w:val="640"/>
          <w:marRight w:val="0"/>
          <w:marTop w:val="0"/>
          <w:marBottom w:val="0"/>
          <w:divBdr>
            <w:top w:val="none" w:sz="0" w:space="0" w:color="auto"/>
            <w:left w:val="none" w:sz="0" w:space="0" w:color="auto"/>
            <w:bottom w:val="none" w:sz="0" w:space="0" w:color="auto"/>
            <w:right w:val="none" w:sz="0" w:space="0" w:color="auto"/>
          </w:divBdr>
        </w:div>
        <w:div w:id="1400903081">
          <w:marLeft w:val="640"/>
          <w:marRight w:val="0"/>
          <w:marTop w:val="0"/>
          <w:marBottom w:val="0"/>
          <w:divBdr>
            <w:top w:val="none" w:sz="0" w:space="0" w:color="auto"/>
            <w:left w:val="none" w:sz="0" w:space="0" w:color="auto"/>
            <w:bottom w:val="none" w:sz="0" w:space="0" w:color="auto"/>
            <w:right w:val="none" w:sz="0" w:space="0" w:color="auto"/>
          </w:divBdr>
        </w:div>
        <w:div w:id="36127684">
          <w:marLeft w:val="640"/>
          <w:marRight w:val="0"/>
          <w:marTop w:val="0"/>
          <w:marBottom w:val="0"/>
          <w:divBdr>
            <w:top w:val="none" w:sz="0" w:space="0" w:color="auto"/>
            <w:left w:val="none" w:sz="0" w:space="0" w:color="auto"/>
            <w:bottom w:val="none" w:sz="0" w:space="0" w:color="auto"/>
            <w:right w:val="none" w:sz="0" w:space="0" w:color="auto"/>
          </w:divBdr>
        </w:div>
        <w:div w:id="1473793755">
          <w:marLeft w:val="640"/>
          <w:marRight w:val="0"/>
          <w:marTop w:val="0"/>
          <w:marBottom w:val="0"/>
          <w:divBdr>
            <w:top w:val="none" w:sz="0" w:space="0" w:color="auto"/>
            <w:left w:val="none" w:sz="0" w:space="0" w:color="auto"/>
            <w:bottom w:val="none" w:sz="0" w:space="0" w:color="auto"/>
            <w:right w:val="none" w:sz="0" w:space="0" w:color="auto"/>
          </w:divBdr>
        </w:div>
        <w:div w:id="810057357">
          <w:marLeft w:val="640"/>
          <w:marRight w:val="0"/>
          <w:marTop w:val="0"/>
          <w:marBottom w:val="0"/>
          <w:divBdr>
            <w:top w:val="none" w:sz="0" w:space="0" w:color="auto"/>
            <w:left w:val="none" w:sz="0" w:space="0" w:color="auto"/>
            <w:bottom w:val="none" w:sz="0" w:space="0" w:color="auto"/>
            <w:right w:val="none" w:sz="0" w:space="0" w:color="auto"/>
          </w:divBdr>
        </w:div>
        <w:div w:id="542668970">
          <w:marLeft w:val="640"/>
          <w:marRight w:val="0"/>
          <w:marTop w:val="0"/>
          <w:marBottom w:val="0"/>
          <w:divBdr>
            <w:top w:val="none" w:sz="0" w:space="0" w:color="auto"/>
            <w:left w:val="none" w:sz="0" w:space="0" w:color="auto"/>
            <w:bottom w:val="none" w:sz="0" w:space="0" w:color="auto"/>
            <w:right w:val="none" w:sz="0" w:space="0" w:color="auto"/>
          </w:divBdr>
        </w:div>
        <w:div w:id="932130729">
          <w:marLeft w:val="640"/>
          <w:marRight w:val="0"/>
          <w:marTop w:val="0"/>
          <w:marBottom w:val="0"/>
          <w:divBdr>
            <w:top w:val="none" w:sz="0" w:space="0" w:color="auto"/>
            <w:left w:val="none" w:sz="0" w:space="0" w:color="auto"/>
            <w:bottom w:val="none" w:sz="0" w:space="0" w:color="auto"/>
            <w:right w:val="none" w:sz="0" w:space="0" w:color="auto"/>
          </w:divBdr>
        </w:div>
        <w:div w:id="810439836">
          <w:marLeft w:val="640"/>
          <w:marRight w:val="0"/>
          <w:marTop w:val="0"/>
          <w:marBottom w:val="0"/>
          <w:divBdr>
            <w:top w:val="none" w:sz="0" w:space="0" w:color="auto"/>
            <w:left w:val="none" w:sz="0" w:space="0" w:color="auto"/>
            <w:bottom w:val="none" w:sz="0" w:space="0" w:color="auto"/>
            <w:right w:val="none" w:sz="0" w:space="0" w:color="auto"/>
          </w:divBdr>
        </w:div>
        <w:div w:id="341787337">
          <w:marLeft w:val="640"/>
          <w:marRight w:val="0"/>
          <w:marTop w:val="0"/>
          <w:marBottom w:val="0"/>
          <w:divBdr>
            <w:top w:val="none" w:sz="0" w:space="0" w:color="auto"/>
            <w:left w:val="none" w:sz="0" w:space="0" w:color="auto"/>
            <w:bottom w:val="none" w:sz="0" w:space="0" w:color="auto"/>
            <w:right w:val="none" w:sz="0" w:space="0" w:color="auto"/>
          </w:divBdr>
        </w:div>
        <w:div w:id="1475216243">
          <w:marLeft w:val="640"/>
          <w:marRight w:val="0"/>
          <w:marTop w:val="0"/>
          <w:marBottom w:val="0"/>
          <w:divBdr>
            <w:top w:val="none" w:sz="0" w:space="0" w:color="auto"/>
            <w:left w:val="none" w:sz="0" w:space="0" w:color="auto"/>
            <w:bottom w:val="none" w:sz="0" w:space="0" w:color="auto"/>
            <w:right w:val="none" w:sz="0" w:space="0" w:color="auto"/>
          </w:divBdr>
        </w:div>
        <w:div w:id="865173178">
          <w:marLeft w:val="640"/>
          <w:marRight w:val="0"/>
          <w:marTop w:val="0"/>
          <w:marBottom w:val="0"/>
          <w:divBdr>
            <w:top w:val="none" w:sz="0" w:space="0" w:color="auto"/>
            <w:left w:val="none" w:sz="0" w:space="0" w:color="auto"/>
            <w:bottom w:val="none" w:sz="0" w:space="0" w:color="auto"/>
            <w:right w:val="none" w:sz="0" w:space="0" w:color="auto"/>
          </w:divBdr>
        </w:div>
        <w:div w:id="91321942">
          <w:marLeft w:val="640"/>
          <w:marRight w:val="0"/>
          <w:marTop w:val="0"/>
          <w:marBottom w:val="0"/>
          <w:divBdr>
            <w:top w:val="none" w:sz="0" w:space="0" w:color="auto"/>
            <w:left w:val="none" w:sz="0" w:space="0" w:color="auto"/>
            <w:bottom w:val="none" w:sz="0" w:space="0" w:color="auto"/>
            <w:right w:val="none" w:sz="0" w:space="0" w:color="auto"/>
          </w:divBdr>
        </w:div>
        <w:div w:id="1132479752">
          <w:marLeft w:val="640"/>
          <w:marRight w:val="0"/>
          <w:marTop w:val="0"/>
          <w:marBottom w:val="0"/>
          <w:divBdr>
            <w:top w:val="none" w:sz="0" w:space="0" w:color="auto"/>
            <w:left w:val="none" w:sz="0" w:space="0" w:color="auto"/>
            <w:bottom w:val="none" w:sz="0" w:space="0" w:color="auto"/>
            <w:right w:val="none" w:sz="0" w:space="0" w:color="auto"/>
          </w:divBdr>
        </w:div>
        <w:div w:id="1841038021">
          <w:marLeft w:val="640"/>
          <w:marRight w:val="0"/>
          <w:marTop w:val="0"/>
          <w:marBottom w:val="0"/>
          <w:divBdr>
            <w:top w:val="none" w:sz="0" w:space="0" w:color="auto"/>
            <w:left w:val="none" w:sz="0" w:space="0" w:color="auto"/>
            <w:bottom w:val="none" w:sz="0" w:space="0" w:color="auto"/>
            <w:right w:val="none" w:sz="0" w:space="0" w:color="auto"/>
          </w:divBdr>
        </w:div>
        <w:div w:id="1453473621">
          <w:marLeft w:val="640"/>
          <w:marRight w:val="0"/>
          <w:marTop w:val="0"/>
          <w:marBottom w:val="0"/>
          <w:divBdr>
            <w:top w:val="none" w:sz="0" w:space="0" w:color="auto"/>
            <w:left w:val="none" w:sz="0" w:space="0" w:color="auto"/>
            <w:bottom w:val="none" w:sz="0" w:space="0" w:color="auto"/>
            <w:right w:val="none" w:sz="0" w:space="0" w:color="auto"/>
          </w:divBdr>
        </w:div>
        <w:div w:id="900021452">
          <w:marLeft w:val="640"/>
          <w:marRight w:val="0"/>
          <w:marTop w:val="0"/>
          <w:marBottom w:val="0"/>
          <w:divBdr>
            <w:top w:val="none" w:sz="0" w:space="0" w:color="auto"/>
            <w:left w:val="none" w:sz="0" w:space="0" w:color="auto"/>
            <w:bottom w:val="none" w:sz="0" w:space="0" w:color="auto"/>
            <w:right w:val="none" w:sz="0" w:space="0" w:color="auto"/>
          </w:divBdr>
        </w:div>
        <w:div w:id="690299709">
          <w:marLeft w:val="640"/>
          <w:marRight w:val="0"/>
          <w:marTop w:val="0"/>
          <w:marBottom w:val="0"/>
          <w:divBdr>
            <w:top w:val="none" w:sz="0" w:space="0" w:color="auto"/>
            <w:left w:val="none" w:sz="0" w:space="0" w:color="auto"/>
            <w:bottom w:val="none" w:sz="0" w:space="0" w:color="auto"/>
            <w:right w:val="none" w:sz="0" w:space="0" w:color="auto"/>
          </w:divBdr>
        </w:div>
        <w:div w:id="239407541">
          <w:marLeft w:val="640"/>
          <w:marRight w:val="0"/>
          <w:marTop w:val="0"/>
          <w:marBottom w:val="0"/>
          <w:divBdr>
            <w:top w:val="none" w:sz="0" w:space="0" w:color="auto"/>
            <w:left w:val="none" w:sz="0" w:space="0" w:color="auto"/>
            <w:bottom w:val="none" w:sz="0" w:space="0" w:color="auto"/>
            <w:right w:val="none" w:sz="0" w:space="0" w:color="auto"/>
          </w:divBdr>
        </w:div>
        <w:div w:id="899637895">
          <w:marLeft w:val="640"/>
          <w:marRight w:val="0"/>
          <w:marTop w:val="0"/>
          <w:marBottom w:val="0"/>
          <w:divBdr>
            <w:top w:val="none" w:sz="0" w:space="0" w:color="auto"/>
            <w:left w:val="none" w:sz="0" w:space="0" w:color="auto"/>
            <w:bottom w:val="none" w:sz="0" w:space="0" w:color="auto"/>
            <w:right w:val="none" w:sz="0" w:space="0" w:color="auto"/>
          </w:divBdr>
        </w:div>
        <w:div w:id="1672567539">
          <w:marLeft w:val="640"/>
          <w:marRight w:val="0"/>
          <w:marTop w:val="0"/>
          <w:marBottom w:val="0"/>
          <w:divBdr>
            <w:top w:val="none" w:sz="0" w:space="0" w:color="auto"/>
            <w:left w:val="none" w:sz="0" w:space="0" w:color="auto"/>
            <w:bottom w:val="none" w:sz="0" w:space="0" w:color="auto"/>
            <w:right w:val="none" w:sz="0" w:space="0" w:color="auto"/>
          </w:divBdr>
        </w:div>
        <w:div w:id="1690447982">
          <w:marLeft w:val="640"/>
          <w:marRight w:val="0"/>
          <w:marTop w:val="0"/>
          <w:marBottom w:val="0"/>
          <w:divBdr>
            <w:top w:val="none" w:sz="0" w:space="0" w:color="auto"/>
            <w:left w:val="none" w:sz="0" w:space="0" w:color="auto"/>
            <w:bottom w:val="none" w:sz="0" w:space="0" w:color="auto"/>
            <w:right w:val="none" w:sz="0" w:space="0" w:color="auto"/>
          </w:divBdr>
        </w:div>
        <w:div w:id="1256327131">
          <w:marLeft w:val="640"/>
          <w:marRight w:val="0"/>
          <w:marTop w:val="0"/>
          <w:marBottom w:val="0"/>
          <w:divBdr>
            <w:top w:val="none" w:sz="0" w:space="0" w:color="auto"/>
            <w:left w:val="none" w:sz="0" w:space="0" w:color="auto"/>
            <w:bottom w:val="none" w:sz="0" w:space="0" w:color="auto"/>
            <w:right w:val="none" w:sz="0" w:space="0" w:color="auto"/>
          </w:divBdr>
        </w:div>
        <w:div w:id="229853994">
          <w:marLeft w:val="640"/>
          <w:marRight w:val="0"/>
          <w:marTop w:val="0"/>
          <w:marBottom w:val="0"/>
          <w:divBdr>
            <w:top w:val="none" w:sz="0" w:space="0" w:color="auto"/>
            <w:left w:val="none" w:sz="0" w:space="0" w:color="auto"/>
            <w:bottom w:val="none" w:sz="0" w:space="0" w:color="auto"/>
            <w:right w:val="none" w:sz="0" w:space="0" w:color="auto"/>
          </w:divBdr>
        </w:div>
        <w:div w:id="557859700">
          <w:marLeft w:val="640"/>
          <w:marRight w:val="0"/>
          <w:marTop w:val="0"/>
          <w:marBottom w:val="0"/>
          <w:divBdr>
            <w:top w:val="none" w:sz="0" w:space="0" w:color="auto"/>
            <w:left w:val="none" w:sz="0" w:space="0" w:color="auto"/>
            <w:bottom w:val="none" w:sz="0" w:space="0" w:color="auto"/>
            <w:right w:val="none" w:sz="0" w:space="0" w:color="auto"/>
          </w:divBdr>
        </w:div>
        <w:div w:id="471606575">
          <w:marLeft w:val="640"/>
          <w:marRight w:val="0"/>
          <w:marTop w:val="0"/>
          <w:marBottom w:val="0"/>
          <w:divBdr>
            <w:top w:val="none" w:sz="0" w:space="0" w:color="auto"/>
            <w:left w:val="none" w:sz="0" w:space="0" w:color="auto"/>
            <w:bottom w:val="none" w:sz="0" w:space="0" w:color="auto"/>
            <w:right w:val="none" w:sz="0" w:space="0" w:color="auto"/>
          </w:divBdr>
        </w:div>
        <w:div w:id="1609510983">
          <w:marLeft w:val="640"/>
          <w:marRight w:val="0"/>
          <w:marTop w:val="0"/>
          <w:marBottom w:val="0"/>
          <w:divBdr>
            <w:top w:val="none" w:sz="0" w:space="0" w:color="auto"/>
            <w:left w:val="none" w:sz="0" w:space="0" w:color="auto"/>
            <w:bottom w:val="none" w:sz="0" w:space="0" w:color="auto"/>
            <w:right w:val="none" w:sz="0" w:space="0" w:color="auto"/>
          </w:divBdr>
        </w:div>
        <w:div w:id="1768035259">
          <w:marLeft w:val="640"/>
          <w:marRight w:val="0"/>
          <w:marTop w:val="0"/>
          <w:marBottom w:val="0"/>
          <w:divBdr>
            <w:top w:val="none" w:sz="0" w:space="0" w:color="auto"/>
            <w:left w:val="none" w:sz="0" w:space="0" w:color="auto"/>
            <w:bottom w:val="none" w:sz="0" w:space="0" w:color="auto"/>
            <w:right w:val="none" w:sz="0" w:space="0" w:color="auto"/>
          </w:divBdr>
        </w:div>
        <w:div w:id="125466741">
          <w:marLeft w:val="640"/>
          <w:marRight w:val="0"/>
          <w:marTop w:val="0"/>
          <w:marBottom w:val="0"/>
          <w:divBdr>
            <w:top w:val="none" w:sz="0" w:space="0" w:color="auto"/>
            <w:left w:val="none" w:sz="0" w:space="0" w:color="auto"/>
            <w:bottom w:val="none" w:sz="0" w:space="0" w:color="auto"/>
            <w:right w:val="none" w:sz="0" w:space="0" w:color="auto"/>
          </w:divBdr>
        </w:div>
        <w:div w:id="20668179">
          <w:marLeft w:val="640"/>
          <w:marRight w:val="0"/>
          <w:marTop w:val="0"/>
          <w:marBottom w:val="0"/>
          <w:divBdr>
            <w:top w:val="none" w:sz="0" w:space="0" w:color="auto"/>
            <w:left w:val="none" w:sz="0" w:space="0" w:color="auto"/>
            <w:bottom w:val="none" w:sz="0" w:space="0" w:color="auto"/>
            <w:right w:val="none" w:sz="0" w:space="0" w:color="auto"/>
          </w:divBdr>
        </w:div>
        <w:div w:id="1978684223">
          <w:marLeft w:val="640"/>
          <w:marRight w:val="0"/>
          <w:marTop w:val="0"/>
          <w:marBottom w:val="0"/>
          <w:divBdr>
            <w:top w:val="none" w:sz="0" w:space="0" w:color="auto"/>
            <w:left w:val="none" w:sz="0" w:space="0" w:color="auto"/>
            <w:bottom w:val="none" w:sz="0" w:space="0" w:color="auto"/>
            <w:right w:val="none" w:sz="0" w:space="0" w:color="auto"/>
          </w:divBdr>
        </w:div>
        <w:div w:id="1234242971">
          <w:marLeft w:val="640"/>
          <w:marRight w:val="0"/>
          <w:marTop w:val="0"/>
          <w:marBottom w:val="0"/>
          <w:divBdr>
            <w:top w:val="none" w:sz="0" w:space="0" w:color="auto"/>
            <w:left w:val="none" w:sz="0" w:space="0" w:color="auto"/>
            <w:bottom w:val="none" w:sz="0" w:space="0" w:color="auto"/>
            <w:right w:val="none" w:sz="0" w:space="0" w:color="auto"/>
          </w:divBdr>
        </w:div>
        <w:div w:id="259334692">
          <w:marLeft w:val="640"/>
          <w:marRight w:val="0"/>
          <w:marTop w:val="0"/>
          <w:marBottom w:val="0"/>
          <w:divBdr>
            <w:top w:val="none" w:sz="0" w:space="0" w:color="auto"/>
            <w:left w:val="none" w:sz="0" w:space="0" w:color="auto"/>
            <w:bottom w:val="none" w:sz="0" w:space="0" w:color="auto"/>
            <w:right w:val="none" w:sz="0" w:space="0" w:color="auto"/>
          </w:divBdr>
        </w:div>
        <w:div w:id="757019983">
          <w:marLeft w:val="640"/>
          <w:marRight w:val="0"/>
          <w:marTop w:val="0"/>
          <w:marBottom w:val="0"/>
          <w:divBdr>
            <w:top w:val="none" w:sz="0" w:space="0" w:color="auto"/>
            <w:left w:val="none" w:sz="0" w:space="0" w:color="auto"/>
            <w:bottom w:val="none" w:sz="0" w:space="0" w:color="auto"/>
            <w:right w:val="none" w:sz="0" w:space="0" w:color="auto"/>
          </w:divBdr>
        </w:div>
        <w:div w:id="1206452660">
          <w:marLeft w:val="640"/>
          <w:marRight w:val="0"/>
          <w:marTop w:val="0"/>
          <w:marBottom w:val="0"/>
          <w:divBdr>
            <w:top w:val="none" w:sz="0" w:space="0" w:color="auto"/>
            <w:left w:val="none" w:sz="0" w:space="0" w:color="auto"/>
            <w:bottom w:val="none" w:sz="0" w:space="0" w:color="auto"/>
            <w:right w:val="none" w:sz="0" w:space="0" w:color="auto"/>
          </w:divBdr>
        </w:div>
        <w:div w:id="2123988172">
          <w:marLeft w:val="640"/>
          <w:marRight w:val="0"/>
          <w:marTop w:val="0"/>
          <w:marBottom w:val="0"/>
          <w:divBdr>
            <w:top w:val="none" w:sz="0" w:space="0" w:color="auto"/>
            <w:left w:val="none" w:sz="0" w:space="0" w:color="auto"/>
            <w:bottom w:val="none" w:sz="0" w:space="0" w:color="auto"/>
            <w:right w:val="none" w:sz="0" w:space="0" w:color="auto"/>
          </w:divBdr>
        </w:div>
        <w:div w:id="357119976">
          <w:marLeft w:val="640"/>
          <w:marRight w:val="0"/>
          <w:marTop w:val="0"/>
          <w:marBottom w:val="0"/>
          <w:divBdr>
            <w:top w:val="none" w:sz="0" w:space="0" w:color="auto"/>
            <w:left w:val="none" w:sz="0" w:space="0" w:color="auto"/>
            <w:bottom w:val="none" w:sz="0" w:space="0" w:color="auto"/>
            <w:right w:val="none" w:sz="0" w:space="0" w:color="auto"/>
          </w:divBdr>
        </w:div>
        <w:div w:id="132793905">
          <w:marLeft w:val="640"/>
          <w:marRight w:val="0"/>
          <w:marTop w:val="0"/>
          <w:marBottom w:val="0"/>
          <w:divBdr>
            <w:top w:val="none" w:sz="0" w:space="0" w:color="auto"/>
            <w:left w:val="none" w:sz="0" w:space="0" w:color="auto"/>
            <w:bottom w:val="none" w:sz="0" w:space="0" w:color="auto"/>
            <w:right w:val="none" w:sz="0" w:space="0" w:color="auto"/>
          </w:divBdr>
        </w:div>
        <w:div w:id="1234779462">
          <w:marLeft w:val="640"/>
          <w:marRight w:val="0"/>
          <w:marTop w:val="0"/>
          <w:marBottom w:val="0"/>
          <w:divBdr>
            <w:top w:val="none" w:sz="0" w:space="0" w:color="auto"/>
            <w:left w:val="none" w:sz="0" w:space="0" w:color="auto"/>
            <w:bottom w:val="none" w:sz="0" w:space="0" w:color="auto"/>
            <w:right w:val="none" w:sz="0" w:space="0" w:color="auto"/>
          </w:divBdr>
        </w:div>
        <w:div w:id="181356065">
          <w:marLeft w:val="640"/>
          <w:marRight w:val="0"/>
          <w:marTop w:val="0"/>
          <w:marBottom w:val="0"/>
          <w:divBdr>
            <w:top w:val="none" w:sz="0" w:space="0" w:color="auto"/>
            <w:left w:val="none" w:sz="0" w:space="0" w:color="auto"/>
            <w:bottom w:val="none" w:sz="0" w:space="0" w:color="auto"/>
            <w:right w:val="none" w:sz="0" w:space="0" w:color="auto"/>
          </w:divBdr>
        </w:div>
        <w:div w:id="1948804823">
          <w:marLeft w:val="640"/>
          <w:marRight w:val="0"/>
          <w:marTop w:val="0"/>
          <w:marBottom w:val="0"/>
          <w:divBdr>
            <w:top w:val="none" w:sz="0" w:space="0" w:color="auto"/>
            <w:left w:val="none" w:sz="0" w:space="0" w:color="auto"/>
            <w:bottom w:val="none" w:sz="0" w:space="0" w:color="auto"/>
            <w:right w:val="none" w:sz="0" w:space="0" w:color="auto"/>
          </w:divBdr>
        </w:div>
        <w:div w:id="2118256260">
          <w:marLeft w:val="640"/>
          <w:marRight w:val="0"/>
          <w:marTop w:val="0"/>
          <w:marBottom w:val="0"/>
          <w:divBdr>
            <w:top w:val="none" w:sz="0" w:space="0" w:color="auto"/>
            <w:left w:val="none" w:sz="0" w:space="0" w:color="auto"/>
            <w:bottom w:val="none" w:sz="0" w:space="0" w:color="auto"/>
            <w:right w:val="none" w:sz="0" w:space="0" w:color="auto"/>
          </w:divBdr>
        </w:div>
        <w:div w:id="904026294">
          <w:marLeft w:val="640"/>
          <w:marRight w:val="0"/>
          <w:marTop w:val="0"/>
          <w:marBottom w:val="0"/>
          <w:divBdr>
            <w:top w:val="none" w:sz="0" w:space="0" w:color="auto"/>
            <w:left w:val="none" w:sz="0" w:space="0" w:color="auto"/>
            <w:bottom w:val="none" w:sz="0" w:space="0" w:color="auto"/>
            <w:right w:val="none" w:sz="0" w:space="0" w:color="auto"/>
          </w:divBdr>
        </w:div>
        <w:div w:id="857813645">
          <w:marLeft w:val="640"/>
          <w:marRight w:val="0"/>
          <w:marTop w:val="0"/>
          <w:marBottom w:val="0"/>
          <w:divBdr>
            <w:top w:val="none" w:sz="0" w:space="0" w:color="auto"/>
            <w:left w:val="none" w:sz="0" w:space="0" w:color="auto"/>
            <w:bottom w:val="none" w:sz="0" w:space="0" w:color="auto"/>
            <w:right w:val="none" w:sz="0" w:space="0" w:color="auto"/>
          </w:divBdr>
        </w:div>
        <w:div w:id="1721661299">
          <w:marLeft w:val="640"/>
          <w:marRight w:val="0"/>
          <w:marTop w:val="0"/>
          <w:marBottom w:val="0"/>
          <w:divBdr>
            <w:top w:val="none" w:sz="0" w:space="0" w:color="auto"/>
            <w:left w:val="none" w:sz="0" w:space="0" w:color="auto"/>
            <w:bottom w:val="none" w:sz="0" w:space="0" w:color="auto"/>
            <w:right w:val="none" w:sz="0" w:space="0" w:color="auto"/>
          </w:divBdr>
        </w:div>
        <w:div w:id="1387219699">
          <w:marLeft w:val="640"/>
          <w:marRight w:val="0"/>
          <w:marTop w:val="0"/>
          <w:marBottom w:val="0"/>
          <w:divBdr>
            <w:top w:val="none" w:sz="0" w:space="0" w:color="auto"/>
            <w:left w:val="none" w:sz="0" w:space="0" w:color="auto"/>
            <w:bottom w:val="none" w:sz="0" w:space="0" w:color="auto"/>
            <w:right w:val="none" w:sz="0" w:space="0" w:color="auto"/>
          </w:divBdr>
        </w:div>
        <w:div w:id="348651913">
          <w:marLeft w:val="640"/>
          <w:marRight w:val="0"/>
          <w:marTop w:val="0"/>
          <w:marBottom w:val="0"/>
          <w:divBdr>
            <w:top w:val="none" w:sz="0" w:space="0" w:color="auto"/>
            <w:left w:val="none" w:sz="0" w:space="0" w:color="auto"/>
            <w:bottom w:val="none" w:sz="0" w:space="0" w:color="auto"/>
            <w:right w:val="none" w:sz="0" w:space="0" w:color="auto"/>
          </w:divBdr>
        </w:div>
        <w:div w:id="1640455316">
          <w:marLeft w:val="640"/>
          <w:marRight w:val="0"/>
          <w:marTop w:val="0"/>
          <w:marBottom w:val="0"/>
          <w:divBdr>
            <w:top w:val="none" w:sz="0" w:space="0" w:color="auto"/>
            <w:left w:val="none" w:sz="0" w:space="0" w:color="auto"/>
            <w:bottom w:val="none" w:sz="0" w:space="0" w:color="auto"/>
            <w:right w:val="none" w:sz="0" w:space="0" w:color="auto"/>
          </w:divBdr>
        </w:div>
        <w:div w:id="1495296066">
          <w:marLeft w:val="640"/>
          <w:marRight w:val="0"/>
          <w:marTop w:val="0"/>
          <w:marBottom w:val="0"/>
          <w:divBdr>
            <w:top w:val="none" w:sz="0" w:space="0" w:color="auto"/>
            <w:left w:val="none" w:sz="0" w:space="0" w:color="auto"/>
            <w:bottom w:val="none" w:sz="0" w:space="0" w:color="auto"/>
            <w:right w:val="none" w:sz="0" w:space="0" w:color="auto"/>
          </w:divBdr>
        </w:div>
        <w:div w:id="270012283">
          <w:marLeft w:val="640"/>
          <w:marRight w:val="0"/>
          <w:marTop w:val="0"/>
          <w:marBottom w:val="0"/>
          <w:divBdr>
            <w:top w:val="none" w:sz="0" w:space="0" w:color="auto"/>
            <w:left w:val="none" w:sz="0" w:space="0" w:color="auto"/>
            <w:bottom w:val="none" w:sz="0" w:space="0" w:color="auto"/>
            <w:right w:val="none" w:sz="0" w:space="0" w:color="auto"/>
          </w:divBdr>
        </w:div>
        <w:div w:id="1651059236">
          <w:marLeft w:val="640"/>
          <w:marRight w:val="0"/>
          <w:marTop w:val="0"/>
          <w:marBottom w:val="0"/>
          <w:divBdr>
            <w:top w:val="none" w:sz="0" w:space="0" w:color="auto"/>
            <w:left w:val="none" w:sz="0" w:space="0" w:color="auto"/>
            <w:bottom w:val="none" w:sz="0" w:space="0" w:color="auto"/>
            <w:right w:val="none" w:sz="0" w:space="0" w:color="auto"/>
          </w:divBdr>
        </w:div>
        <w:div w:id="1592615379">
          <w:marLeft w:val="640"/>
          <w:marRight w:val="0"/>
          <w:marTop w:val="0"/>
          <w:marBottom w:val="0"/>
          <w:divBdr>
            <w:top w:val="none" w:sz="0" w:space="0" w:color="auto"/>
            <w:left w:val="none" w:sz="0" w:space="0" w:color="auto"/>
            <w:bottom w:val="none" w:sz="0" w:space="0" w:color="auto"/>
            <w:right w:val="none" w:sz="0" w:space="0" w:color="auto"/>
          </w:divBdr>
        </w:div>
        <w:div w:id="1855682758">
          <w:marLeft w:val="640"/>
          <w:marRight w:val="0"/>
          <w:marTop w:val="0"/>
          <w:marBottom w:val="0"/>
          <w:divBdr>
            <w:top w:val="none" w:sz="0" w:space="0" w:color="auto"/>
            <w:left w:val="none" w:sz="0" w:space="0" w:color="auto"/>
            <w:bottom w:val="none" w:sz="0" w:space="0" w:color="auto"/>
            <w:right w:val="none" w:sz="0" w:space="0" w:color="auto"/>
          </w:divBdr>
        </w:div>
        <w:div w:id="1679965130">
          <w:marLeft w:val="640"/>
          <w:marRight w:val="0"/>
          <w:marTop w:val="0"/>
          <w:marBottom w:val="0"/>
          <w:divBdr>
            <w:top w:val="none" w:sz="0" w:space="0" w:color="auto"/>
            <w:left w:val="none" w:sz="0" w:space="0" w:color="auto"/>
            <w:bottom w:val="none" w:sz="0" w:space="0" w:color="auto"/>
            <w:right w:val="none" w:sz="0" w:space="0" w:color="auto"/>
          </w:divBdr>
        </w:div>
        <w:div w:id="1237401969">
          <w:marLeft w:val="640"/>
          <w:marRight w:val="0"/>
          <w:marTop w:val="0"/>
          <w:marBottom w:val="0"/>
          <w:divBdr>
            <w:top w:val="none" w:sz="0" w:space="0" w:color="auto"/>
            <w:left w:val="none" w:sz="0" w:space="0" w:color="auto"/>
            <w:bottom w:val="none" w:sz="0" w:space="0" w:color="auto"/>
            <w:right w:val="none" w:sz="0" w:space="0" w:color="auto"/>
          </w:divBdr>
        </w:div>
        <w:div w:id="773331343">
          <w:marLeft w:val="640"/>
          <w:marRight w:val="0"/>
          <w:marTop w:val="0"/>
          <w:marBottom w:val="0"/>
          <w:divBdr>
            <w:top w:val="none" w:sz="0" w:space="0" w:color="auto"/>
            <w:left w:val="none" w:sz="0" w:space="0" w:color="auto"/>
            <w:bottom w:val="none" w:sz="0" w:space="0" w:color="auto"/>
            <w:right w:val="none" w:sz="0" w:space="0" w:color="auto"/>
          </w:divBdr>
        </w:div>
        <w:div w:id="585498730">
          <w:marLeft w:val="640"/>
          <w:marRight w:val="0"/>
          <w:marTop w:val="0"/>
          <w:marBottom w:val="0"/>
          <w:divBdr>
            <w:top w:val="none" w:sz="0" w:space="0" w:color="auto"/>
            <w:left w:val="none" w:sz="0" w:space="0" w:color="auto"/>
            <w:bottom w:val="none" w:sz="0" w:space="0" w:color="auto"/>
            <w:right w:val="none" w:sz="0" w:space="0" w:color="auto"/>
          </w:divBdr>
        </w:div>
        <w:div w:id="1088042842">
          <w:marLeft w:val="640"/>
          <w:marRight w:val="0"/>
          <w:marTop w:val="0"/>
          <w:marBottom w:val="0"/>
          <w:divBdr>
            <w:top w:val="none" w:sz="0" w:space="0" w:color="auto"/>
            <w:left w:val="none" w:sz="0" w:space="0" w:color="auto"/>
            <w:bottom w:val="none" w:sz="0" w:space="0" w:color="auto"/>
            <w:right w:val="none" w:sz="0" w:space="0" w:color="auto"/>
          </w:divBdr>
        </w:div>
        <w:div w:id="880678310">
          <w:marLeft w:val="640"/>
          <w:marRight w:val="0"/>
          <w:marTop w:val="0"/>
          <w:marBottom w:val="0"/>
          <w:divBdr>
            <w:top w:val="none" w:sz="0" w:space="0" w:color="auto"/>
            <w:left w:val="none" w:sz="0" w:space="0" w:color="auto"/>
            <w:bottom w:val="none" w:sz="0" w:space="0" w:color="auto"/>
            <w:right w:val="none" w:sz="0" w:space="0" w:color="auto"/>
          </w:divBdr>
        </w:div>
        <w:div w:id="1646158111">
          <w:marLeft w:val="640"/>
          <w:marRight w:val="0"/>
          <w:marTop w:val="0"/>
          <w:marBottom w:val="0"/>
          <w:divBdr>
            <w:top w:val="none" w:sz="0" w:space="0" w:color="auto"/>
            <w:left w:val="none" w:sz="0" w:space="0" w:color="auto"/>
            <w:bottom w:val="none" w:sz="0" w:space="0" w:color="auto"/>
            <w:right w:val="none" w:sz="0" w:space="0" w:color="auto"/>
          </w:divBdr>
        </w:div>
        <w:div w:id="440608397">
          <w:marLeft w:val="640"/>
          <w:marRight w:val="0"/>
          <w:marTop w:val="0"/>
          <w:marBottom w:val="0"/>
          <w:divBdr>
            <w:top w:val="none" w:sz="0" w:space="0" w:color="auto"/>
            <w:left w:val="none" w:sz="0" w:space="0" w:color="auto"/>
            <w:bottom w:val="none" w:sz="0" w:space="0" w:color="auto"/>
            <w:right w:val="none" w:sz="0" w:space="0" w:color="auto"/>
          </w:divBdr>
        </w:div>
        <w:div w:id="1714111741">
          <w:marLeft w:val="640"/>
          <w:marRight w:val="0"/>
          <w:marTop w:val="0"/>
          <w:marBottom w:val="0"/>
          <w:divBdr>
            <w:top w:val="none" w:sz="0" w:space="0" w:color="auto"/>
            <w:left w:val="none" w:sz="0" w:space="0" w:color="auto"/>
            <w:bottom w:val="none" w:sz="0" w:space="0" w:color="auto"/>
            <w:right w:val="none" w:sz="0" w:space="0" w:color="auto"/>
          </w:divBdr>
        </w:div>
        <w:div w:id="1965577508">
          <w:marLeft w:val="640"/>
          <w:marRight w:val="0"/>
          <w:marTop w:val="0"/>
          <w:marBottom w:val="0"/>
          <w:divBdr>
            <w:top w:val="none" w:sz="0" w:space="0" w:color="auto"/>
            <w:left w:val="none" w:sz="0" w:space="0" w:color="auto"/>
            <w:bottom w:val="none" w:sz="0" w:space="0" w:color="auto"/>
            <w:right w:val="none" w:sz="0" w:space="0" w:color="auto"/>
          </w:divBdr>
        </w:div>
        <w:div w:id="717629427">
          <w:marLeft w:val="640"/>
          <w:marRight w:val="0"/>
          <w:marTop w:val="0"/>
          <w:marBottom w:val="0"/>
          <w:divBdr>
            <w:top w:val="none" w:sz="0" w:space="0" w:color="auto"/>
            <w:left w:val="none" w:sz="0" w:space="0" w:color="auto"/>
            <w:bottom w:val="none" w:sz="0" w:space="0" w:color="auto"/>
            <w:right w:val="none" w:sz="0" w:space="0" w:color="auto"/>
          </w:divBdr>
        </w:div>
      </w:divsChild>
    </w:div>
    <w:div w:id="1999531927">
      <w:bodyDiv w:val="1"/>
      <w:marLeft w:val="0"/>
      <w:marRight w:val="0"/>
      <w:marTop w:val="0"/>
      <w:marBottom w:val="0"/>
      <w:divBdr>
        <w:top w:val="none" w:sz="0" w:space="0" w:color="auto"/>
        <w:left w:val="none" w:sz="0" w:space="0" w:color="auto"/>
        <w:bottom w:val="none" w:sz="0" w:space="0" w:color="auto"/>
        <w:right w:val="none" w:sz="0" w:space="0" w:color="auto"/>
      </w:divBdr>
      <w:divsChild>
        <w:div w:id="2101753604">
          <w:marLeft w:val="640"/>
          <w:marRight w:val="0"/>
          <w:marTop w:val="0"/>
          <w:marBottom w:val="0"/>
          <w:divBdr>
            <w:top w:val="none" w:sz="0" w:space="0" w:color="auto"/>
            <w:left w:val="none" w:sz="0" w:space="0" w:color="auto"/>
            <w:bottom w:val="none" w:sz="0" w:space="0" w:color="auto"/>
            <w:right w:val="none" w:sz="0" w:space="0" w:color="auto"/>
          </w:divBdr>
        </w:div>
        <w:div w:id="242958060">
          <w:marLeft w:val="640"/>
          <w:marRight w:val="0"/>
          <w:marTop w:val="0"/>
          <w:marBottom w:val="0"/>
          <w:divBdr>
            <w:top w:val="none" w:sz="0" w:space="0" w:color="auto"/>
            <w:left w:val="none" w:sz="0" w:space="0" w:color="auto"/>
            <w:bottom w:val="none" w:sz="0" w:space="0" w:color="auto"/>
            <w:right w:val="none" w:sz="0" w:space="0" w:color="auto"/>
          </w:divBdr>
        </w:div>
        <w:div w:id="970793508">
          <w:marLeft w:val="640"/>
          <w:marRight w:val="0"/>
          <w:marTop w:val="0"/>
          <w:marBottom w:val="0"/>
          <w:divBdr>
            <w:top w:val="none" w:sz="0" w:space="0" w:color="auto"/>
            <w:left w:val="none" w:sz="0" w:space="0" w:color="auto"/>
            <w:bottom w:val="none" w:sz="0" w:space="0" w:color="auto"/>
            <w:right w:val="none" w:sz="0" w:space="0" w:color="auto"/>
          </w:divBdr>
        </w:div>
        <w:div w:id="724767054">
          <w:marLeft w:val="640"/>
          <w:marRight w:val="0"/>
          <w:marTop w:val="0"/>
          <w:marBottom w:val="0"/>
          <w:divBdr>
            <w:top w:val="none" w:sz="0" w:space="0" w:color="auto"/>
            <w:left w:val="none" w:sz="0" w:space="0" w:color="auto"/>
            <w:bottom w:val="none" w:sz="0" w:space="0" w:color="auto"/>
            <w:right w:val="none" w:sz="0" w:space="0" w:color="auto"/>
          </w:divBdr>
        </w:div>
        <w:div w:id="1693918080">
          <w:marLeft w:val="640"/>
          <w:marRight w:val="0"/>
          <w:marTop w:val="0"/>
          <w:marBottom w:val="0"/>
          <w:divBdr>
            <w:top w:val="none" w:sz="0" w:space="0" w:color="auto"/>
            <w:left w:val="none" w:sz="0" w:space="0" w:color="auto"/>
            <w:bottom w:val="none" w:sz="0" w:space="0" w:color="auto"/>
            <w:right w:val="none" w:sz="0" w:space="0" w:color="auto"/>
          </w:divBdr>
        </w:div>
        <w:div w:id="947466409">
          <w:marLeft w:val="640"/>
          <w:marRight w:val="0"/>
          <w:marTop w:val="0"/>
          <w:marBottom w:val="0"/>
          <w:divBdr>
            <w:top w:val="none" w:sz="0" w:space="0" w:color="auto"/>
            <w:left w:val="none" w:sz="0" w:space="0" w:color="auto"/>
            <w:bottom w:val="none" w:sz="0" w:space="0" w:color="auto"/>
            <w:right w:val="none" w:sz="0" w:space="0" w:color="auto"/>
          </w:divBdr>
        </w:div>
        <w:div w:id="1277714716">
          <w:marLeft w:val="640"/>
          <w:marRight w:val="0"/>
          <w:marTop w:val="0"/>
          <w:marBottom w:val="0"/>
          <w:divBdr>
            <w:top w:val="none" w:sz="0" w:space="0" w:color="auto"/>
            <w:left w:val="none" w:sz="0" w:space="0" w:color="auto"/>
            <w:bottom w:val="none" w:sz="0" w:space="0" w:color="auto"/>
            <w:right w:val="none" w:sz="0" w:space="0" w:color="auto"/>
          </w:divBdr>
        </w:div>
        <w:div w:id="1761099777">
          <w:marLeft w:val="640"/>
          <w:marRight w:val="0"/>
          <w:marTop w:val="0"/>
          <w:marBottom w:val="0"/>
          <w:divBdr>
            <w:top w:val="none" w:sz="0" w:space="0" w:color="auto"/>
            <w:left w:val="none" w:sz="0" w:space="0" w:color="auto"/>
            <w:bottom w:val="none" w:sz="0" w:space="0" w:color="auto"/>
            <w:right w:val="none" w:sz="0" w:space="0" w:color="auto"/>
          </w:divBdr>
        </w:div>
        <w:div w:id="302349896">
          <w:marLeft w:val="640"/>
          <w:marRight w:val="0"/>
          <w:marTop w:val="0"/>
          <w:marBottom w:val="0"/>
          <w:divBdr>
            <w:top w:val="none" w:sz="0" w:space="0" w:color="auto"/>
            <w:left w:val="none" w:sz="0" w:space="0" w:color="auto"/>
            <w:bottom w:val="none" w:sz="0" w:space="0" w:color="auto"/>
            <w:right w:val="none" w:sz="0" w:space="0" w:color="auto"/>
          </w:divBdr>
        </w:div>
        <w:div w:id="892892468">
          <w:marLeft w:val="640"/>
          <w:marRight w:val="0"/>
          <w:marTop w:val="0"/>
          <w:marBottom w:val="0"/>
          <w:divBdr>
            <w:top w:val="none" w:sz="0" w:space="0" w:color="auto"/>
            <w:left w:val="none" w:sz="0" w:space="0" w:color="auto"/>
            <w:bottom w:val="none" w:sz="0" w:space="0" w:color="auto"/>
            <w:right w:val="none" w:sz="0" w:space="0" w:color="auto"/>
          </w:divBdr>
        </w:div>
        <w:div w:id="1286355669">
          <w:marLeft w:val="640"/>
          <w:marRight w:val="0"/>
          <w:marTop w:val="0"/>
          <w:marBottom w:val="0"/>
          <w:divBdr>
            <w:top w:val="none" w:sz="0" w:space="0" w:color="auto"/>
            <w:left w:val="none" w:sz="0" w:space="0" w:color="auto"/>
            <w:bottom w:val="none" w:sz="0" w:space="0" w:color="auto"/>
            <w:right w:val="none" w:sz="0" w:space="0" w:color="auto"/>
          </w:divBdr>
        </w:div>
        <w:div w:id="1138765547">
          <w:marLeft w:val="640"/>
          <w:marRight w:val="0"/>
          <w:marTop w:val="0"/>
          <w:marBottom w:val="0"/>
          <w:divBdr>
            <w:top w:val="none" w:sz="0" w:space="0" w:color="auto"/>
            <w:left w:val="none" w:sz="0" w:space="0" w:color="auto"/>
            <w:bottom w:val="none" w:sz="0" w:space="0" w:color="auto"/>
            <w:right w:val="none" w:sz="0" w:space="0" w:color="auto"/>
          </w:divBdr>
        </w:div>
        <w:div w:id="2033873086">
          <w:marLeft w:val="640"/>
          <w:marRight w:val="0"/>
          <w:marTop w:val="0"/>
          <w:marBottom w:val="0"/>
          <w:divBdr>
            <w:top w:val="none" w:sz="0" w:space="0" w:color="auto"/>
            <w:left w:val="none" w:sz="0" w:space="0" w:color="auto"/>
            <w:bottom w:val="none" w:sz="0" w:space="0" w:color="auto"/>
            <w:right w:val="none" w:sz="0" w:space="0" w:color="auto"/>
          </w:divBdr>
        </w:div>
        <w:div w:id="1764061594">
          <w:marLeft w:val="640"/>
          <w:marRight w:val="0"/>
          <w:marTop w:val="0"/>
          <w:marBottom w:val="0"/>
          <w:divBdr>
            <w:top w:val="none" w:sz="0" w:space="0" w:color="auto"/>
            <w:left w:val="none" w:sz="0" w:space="0" w:color="auto"/>
            <w:bottom w:val="none" w:sz="0" w:space="0" w:color="auto"/>
            <w:right w:val="none" w:sz="0" w:space="0" w:color="auto"/>
          </w:divBdr>
        </w:div>
        <w:div w:id="951518935">
          <w:marLeft w:val="640"/>
          <w:marRight w:val="0"/>
          <w:marTop w:val="0"/>
          <w:marBottom w:val="0"/>
          <w:divBdr>
            <w:top w:val="none" w:sz="0" w:space="0" w:color="auto"/>
            <w:left w:val="none" w:sz="0" w:space="0" w:color="auto"/>
            <w:bottom w:val="none" w:sz="0" w:space="0" w:color="auto"/>
            <w:right w:val="none" w:sz="0" w:space="0" w:color="auto"/>
          </w:divBdr>
        </w:div>
        <w:div w:id="697242686">
          <w:marLeft w:val="640"/>
          <w:marRight w:val="0"/>
          <w:marTop w:val="0"/>
          <w:marBottom w:val="0"/>
          <w:divBdr>
            <w:top w:val="none" w:sz="0" w:space="0" w:color="auto"/>
            <w:left w:val="none" w:sz="0" w:space="0" w:color="auto"/>
            <w:bottom w:val="none" w:sz="0" w:space="0" w:color="auto"/>
            <w:right w:val="none" w:sz="0" w:space="0" w:color="auto"/>
          </w:divBdr>
        </w:div>
        <w:div w:id="999894023">
          <w:marLeft w:val="640"/>
          <w:marRight w:val="0"/>
          <w:marTop w:val="0"/>
          <w:marBottom w:val="0"/>
          <w:divBdr>
            <w:top w:val="none" w:sz="0" w:space="0" w:color="auto"/>
            <w:left w:val="none" w:sz="0" w:space="0" w:color="auto"/>
            <w:bottom w:val="none" w:sz="0" w:space="0" w:color="auto"/>
            <w:right w:val="none" w:sz="0" w:space="0" w:color="auto"/>
          </w:divBdr>
        </w:div>
        <w:div w:id="1275986426">
          <w:marLeft w:val="640"/>
          <w:marRight w:val="0"/>
          <w:marTop w:val="0"/>
          <w:marBottom w:val="0"/>
          <w:divBdr>
            <w:top w:val="none" w:sz="0" w:space="0" w:color="auto"/>
            <w:left w:val="none" w:sz="0" w:space="0" w:color="auto"/>
            <w:bottom w:val="none" w:sz="0" w:space="0" w:color="auto"/>
            <w:right w:val="none" w:sz="0" w:space="0" w:color="auto"/>
          </w:divBdr>
        </w:div>
        <w:div w:id="1117483437">
          <w:marLeft w:val="640"/>
          <w:marRight w:val="0"/>
          <w:marTop w:val="0"/>
          <w:marBottom w:val="0"/>
          <w:divBdr>
            <w:top w:val="none" w:sz="0" w:space="0" w:color="auto"/>
            <w:left w:val="none" w:sz="0" w:space="0" w:color="auto"/>
            <w:bottom w:val="none" w:sz="0" w:space="0" w:color="auto"/>
            <w:right w:val="none" w:sz="0" w:space="0" w:color="auto"/>
          </w:divBdr>
        </w:div>
        <w:div w:id="175581722">
          <w:marLeft w:val="640"/>
          <w:marRight w:val="0"/>
          <w:marTop w:val="0"/>
          <w:marBottom w:val="0"/>
          <w:divBdr>
            <w:top w:val="none" w:sz="0" w:space="0" w:color="auto"/>
            <w:left w:val="none" w:sz="0" w:space="0" w:color="auto"/>
            <w:bottom w:val="none" w:sz="0" w:space="0" w:color="auto"/>
            <w:right w:val="none" w:sz="0" w:space="0" w:color="auto"/>
          </w:divBdr>
        </w:div>
        <w:div w:id="75985351">
          <w:marLeft w:val="640"/>
          <w:marRight w:val="0"/>
          <w:marTop w:val="0"/>
          <w:marBottom w:val="0"/>
          <w:divBdr>
            <w:top w:val="none" w:sz="0" w:space="0" w:color="auto"/>
            <w:left w:val="none" w:sz="0" w:space="0" w:color="auto"/>
            <w:bottom w:val="none" w:sz="0" w:space="0" w:color="auto"/>
            <w:right w:val="none" w:sz="0" w:space="0" w:color="auto"/>
          </w:divBdr>
        </w:div>
        <w:div w:id="1186137299">
          <w:marLeft w:val="640"/>
          <w:marRight w:val="0"/>
          <w:marTop w:val="0"/>
          <w:marBottom w:val="0"/>
          <w:divBdr>
            <w:top w:val="none" w:sz="0" w:space="0" w:color="auto"/>
            <w:left w:val="none" w:sz="0" w:space="0" w:color="auto"/>
            <w:bottom w:val="none" w:sz="0" w:space="0" w:color="auto"/>
            <w:right w:val="none" w:sz="0" w:space="0" w:color="auto"/>
          </w:divBdr>
        </w:div>
        <w:div w:id="301156527">
          <w:marLeft w:val="640"/>
          <w:marRight w:val="0"/>
          <w:marTop w:val="0"/>
          <w:marBottom w:val="0"/>
          <w:divBdr>
            <w:top w:val="none" w:sz="0" w:space="0" w:color="auto"/>
            <w:left w:val="none" w:sz="0" w:space="0" w:color="auto"/>
            <w:bottom w:val="none" w:sz="0" w:space="0" w:color="auto"/>
            <w:right w:val="none" w:sz="0" w:space="0" w:color="auto"/>
          </w:divBdr>
        </w:div>
        <w:div w:id="881405818">
          <w:marLeft w:val="640"/>
          <w:marRight w:val="0"/>
          <w:marTop w:val="0"/>
          <w:marBottom w:val="0"/>
          <w:divBdr>
            <w:top w:val="none" w:sz="0" w:space="0" w:color="auto"/>
            <w:left w:val="none" w:sz="0" w:space="0" w:color="auto"/>
            <w:bottom w:val="none" w:sz="0" w:space="0" w:color="auto"/>
            <w:right w:val="none" w:sz="0" w:space="0" w:color="auto"/>
          </w:divBdr>
        </w:div>
        <w:div w:id="1760903579">
          <w:marLeft w:val="640"/>
          <w:marRight w:val="0"/>
          <w:marTop w:val="0"/>
          <w:marBottom w:val="0"/>
          <w:divBdr>
            <w:top w:val="none" w:sz="0" w:space="0" w:color="auto"/>
            <w:left w:val="none" w:sz="0" w:space="0" w:color="auto"/>
            <w:bottom w:val="none" w:sz="0" w:space="0" w:color="auto"/>
            <w:right w:val="none" w:sz="0" w:space="0" w:color="auto"/>
          </w:divBdr>
        </w:div>
        <w:div w:id="2031372780">
          <w:marLeft w:val="640"/>
          <w:marRight w:val="0"/>
          <w:marTop w:val="0"/>
          <w:marBottom w:val="0"/>
          <w:divBdr>
            <w:top w:val="none" w:sz="0" w:space="0" w:color="auto"/>
            <w:left w:val="none" w:sz="0" w:space="0" w:color="auto"/>
            <w:bottom w:val="none" w:sz="0" w:space="0" w:color="auto"/>
            <w:right w:val="none" w:sz="0" w:space="0" w:color="auto"/>
          </w:divBdr>
        </w:div>
        <w:div w:id="1688628990">
          <w:marLeft w:val="640"/>
          <w:marRight w:val="0"/>
          <w:marTop w:val="0"/>
          <w:marBottom w:val="0"/>
          <w:divBdr>
            <w:top w:val="none" w:sz="0" w:space="0" w:color="auto"/>
            <w:left w:val="none" w:sz="0" w:space="0" w:color="auto"/>
            <w:bottom w:val="none" w:sz="0" w:space="0" w:color="auto"/>
            <w:right w:val="none" w:sz="0" w:space="0" w:color="auto"/>
          </w:divBdr>
        </w:div>
        <w:div w:id="928999130">
          <w:marLeft w:val="640"/>
          <w:marRight w:val="0"/>
          <w:marTop w:val="0"/>
          <w:marBottom w:val="0"/>
          <w:divBdr>
            <w:top w:val="none" w:sz="0" w:space="0" w:color="auto"/>
            <w:left w:val="none" w:sz="0" w:space="0" w:color="auto"/>
            <w:bottom w:val="none" w:sz="0" w:space="0" w:color="auto"/>
            <w:right w:val="none" w:sz="0" w:space="0" w:color="auto"/>
          </w:divBdr>
        </w:div>
        <w:div w:id="692147500">
          <w:marLeft w:val="640"/>
          <w:marRight w:val="0"/>
          <w:marTop w:val="0"/>
          <w:marBottom w:val="0"/>
          <w:divBdr>
            <w:top w:val="none" w:sz="0" w:space="0" w:color="auto"/>
            <w:left w:val="none" w:sz="0" w:space="0" w:color="auto"/>
            <w:bottom w:val="none" w:sz="0" w:space="0" w:color="auto"/>
            <w:right w:val="none" w:sz="0" w:space="0" w:color="auto"/>
          </w:divBdr>
        </w:div>
        <w:div w:id="1028792667">
          <w:marLeft w:val="640"/>
          <w:marRight w:val="0"/>
          <w:marTop w:val="0"/>
          <w:marBottom w:val="0"/>
          <w:divBdr>
            <w:top w:val="none" w:sz="0" w:space="0" w:color="auto"/>
            <w:left w:val="none" w:sz="0" w:space="0" w:color="auto"/>
            <w:bottom w:val="none" w:sz="0" w:space="0" w:color="auto"/>
            <w:right w:val="none" w:sz="0" w:space="0" w:color="auto"/>
          </w:divBdr>
        </w:div>
        <w:div w:id="782649937">
          <w:marLeft w:val="640"/>
          <w:marRight w:val="0"/>
          <w:marTop w:val="0"/>
          <w:marBottom w:val="0"/>
          <w:divBdr>
            <w:top w:val="none" w:sz="0" w:space="0" w:color="auto"/>
            <w:left w:val="none" w:sz="0" w:space="0" w:color="auto"/>
            <w:bottom w:val="none" w:sz="0" w:space="0" w:color="auto"/>
            <w:right w:val="none" w:sz="0" w:space="0" w:color="auto"/>
          </w:divBdr>
        </w:div>
        <w:div w:id="893155681">
          <w:marLeft w:val="640"/>
          <w:marRight w:val="0"/>
          <w:marTop w:val="0"/>
          <w:marBottom w:val="0"/>
          <w:divBdr>
            <w:top w:val="none" w:sz="0" w:space="0" w:color="auto"/>
            <w:left w:val="none" w:sz="0" w:space="0" w:color="auto"/>
            <w:bottom w:val="none" w:sz="0" w:space="0" w:color="auto"/>
            <w:right w:val="none" w:sz="0" w:space="0" w:color="auto"/>
          </w:divBdr>
        </w:div>
        <w:div w:id="161624597">
          <w:marLeft w:val="640"/>
          <w:marRight w:val="0"/>
          <w:marTop w:val="0"/>
          <w:marBottom w:val="0"/>
          <w:divBdr>
            <w:top w:val="none" w:sz="0" w:space="0" w:color="auto"/>
            <w:left w:val="none" w:sz="0" w:space="0" w:color="auto"/>
            <w:bottom w:val="none" w:sz="0" w:space="0" w:color="auto"/>
            <w:right w:val="none" w:sz="0" w:space="0" w:color="auto"/>
          </w:divBdr>
        </w:div>
        <w:div w:id="221790035">
          <w:marLeft w:val="640"/>
          <w:marRight w:val="0"/>
          <w:marTop w:val="0"/>
          <w:marBottom w:val="0"/>
          <w:divBdr>
            <w:top w:val="none" w:sz="0" w:space="0" w:color="auto"/>
            <w:left w:val="none" w:sz="0" w:space="0" w:color="auto"/>
            <w:bottom w:val="none" w:sz="0" w:space="0" w:color="auto"/>
            <w:right w:val="none" w:sz="0" w:space="0" w:color="auto"/>
          </w:divBdr>
        </w:div>
        <w:div w:id="1023242073">
          <w:marLeft w:val="640"/>
          <w:marRight w:val="0"/>
          <w:marTop w:val="0"/>
          <w:marBottom w:val="0"/>
          <w:divBdr>
            <w:top w:val="none" w:sz="0" w:space="0" w:color="auto"/>
            <w:left w:val="none" w:sz="0" w:space="0" w:color="auto"/>
            <w:bottom w:val="none" w:sz="0" w:space="0" w:color="auto"/>
            <w:right w:val="none" w:sz="0" w:space="0" w:color="auto"/>
          </w:divBdr>
        </w:div>
        <w:div w:id="982809660">
          <w:marLeft w:val="640"/>
          <w:marRight w:val="0"/>
          <w:marTop w:val="0"/>
          <w:marBottom w:val="0"/>
          <w:divBdr>
            <w:top w:val="none" w:sz="0" w:space="0" w:color="auto"/>
            <w:left w:val="none" w:sz="0" w:space="0" w:color="auto"/>
            <w:bottom w:val="none" w:sz="0" w:space="0" w:color="auto"/>
            <w:right w:val="none" w:sz="0" w:space="0" w:color="auto"/>
          </w:divBdr>
        </w:div>
        <w:div w:id="1766532098">
          <w:marLeft w:val="640"/>
          <w:marRight w:val="0"/>
          <w:marTop w:val="0"/>
          <w:marBottom w:val="0"/>
          <w:divBdr>
            <w:top w:val="none" w:sz="0" w:space="0" w:color="auto"/>
            <w:left w:val="none" w:sz="0" w:space="0" w:color="auto"/>
            <w:bottom w:val="none" w:sz="0" w:space="0" w:color="auto"/>
            <w:right w:val="none" w:sz="0" w:space="0" w:color="auto"/>
          </w:divBdr>
        </w:div>
        <w:div w:id="690572802">
          <w:marLeft w:val="640"/>
          <w:marRight w:val="0"/>
          <w:marTop w:val="0"/>
          <w:marBottom w:val="0"/>
          <w:divBdr>
            <w:top w:val="none" w:sz="0" w:space="0" w:color="auto"/>
            <w:left w:val="none" w:sz="0" w:space="0" w:color="auto"/>
            <w:bottom w:val="none" w:sz="0" w:space="0" w:color="auto"/>
            <w:right w:val="none" w:sz="0" w:space="0" w:color="auto"/>
          </w:divBdr>
        </w:div>
        <w:div w:id="1157724152">
          <w:marLeft w:val="640"/>
          <w:marRight w:val="0"/>
          <w:marTop w:val="0"/>
          <w:marBottom w:val="0"/>
          <w:divBdr>
            <w:top w:val="none" w:sz="0" w:space="0" w:color="auto"/>
            <w:left w:val="none" w:sz="0" w:space="0" w:color="auto"/>
            <w:bottom w:val="none" w:sz="0" w:space="0" w:color="auto"/>
            <w:right w:val="none" w:sz="0" w:space="0" w:color="auto"/>
          </w:divBdr>
        </w:div>
        <w:div w:id="1126967979">
          <w:marLeft w:val="640"/>
          <w:marRight w:val="0"/>
          <w:marTop w:val="0"/>
          <w:marBottom w:val="0"/>
          <w:divBdr>
            <w:top w:val="none" w:sz="0" w:space="0" w:color="auto"/>
            <w:left w:val="none" w:sz="0" w:space="0" w:color="auto"/>
            <w:bottom w:val="none" w:sz="0" w:space="0" w:color="auto"/>
            <w:right w:val="none" w:sz="0" w:space="0" w:color="auto"/>
          </w:divBdr>
        </w:div>
        <w:div w:id="354960288">
          <w:marLeft w:val="640"/>
          <w:marRight w:val="0"/>
          <w:marTop w:val="0"/>
          <w:marBottom w:val="0"/>
          <w:divBdr>
            <w:top w:val="none" w:sz="0" w:space="0" w:color="auto"/>
            <w:left w:val="none" w:sz="0" w:space="0" w:color="auto"/>
            <w:bottom w:val="none" w:sz="0" w:space="0" w:color="auto"/>
            <w:right w:val="none" w:sz="0" w:space="0" w:color="auto"/>
          </w:divBdr>
        </w:div>
        <w:div w:id="1865630997">
          <w:marLeft w:val="640"/>
          <w:marRight w:val="0"/>
          <w:marTop w:val="0"/>
          <w:marBottom w:val="0"/>
          <w:divBdr>
            <w:top w:val="none" w:sz="0" w:space="0" w:color="auto"/>
            <w:left w:val="none" w:sz="0" w:space="0" w:color="auto"/>
            <w:bottom w:val="none" w:sz="0" w:space="0" w:color="auto"/>
            <w:right w:val="none" w:sz="0" w:space="0" w:color="auto"/>
          </w:divBdr>
        </w:div>
        <w:div w:id="879706610">
          <w:marLeft w:val="640"/>
          <w:marRight w:val="0"/>
          <w:marTop w:val="0"/>
          <w:marBottom w:val="0"/>
          <w:divBdr>
            <w:top w:val="none" w:sz="0" w:space="0" w:color="auto"/>
            <w:left w:val="none" w:sz="0" w:space="0" w:color="auto"/>
            <w:bottom w:val="none" w:sz="0" w:space="0" w:color="auto"/>
            <w:right w:val="none" w:sz="0" w:space="0" w:color="auto"/>
          </w:divBdr>
        </w:div>
        <w:div w:id="61024399">
          <w:marLeft w:val="640"/>
          <w:marRight w:val="0"/>
          <w:marTop w:val="0"/>
          <w:marBottom w:val="0"/>
          <w:divBdr>
            <w:top w:val="none" w:sz="0" w:space="0" w:color="auto"/>
            <w:left w:val="none" w:sz="0" w:space="0" w:color="auto"/>
            <w:bottom w:val="none" w:sz="0" w:space="0" w:color="auto"/>
            <w:right w:val="none" w:sz="0" w:space="0" w:color="auto"/>
          </w:divBdr>
        </w:div>
        <w:div w:id="804659551">
          <w:marLeft w:val="640"/>
          <w:marRight w:val="0"/>
          <w:marTop w:val="0"/>
          <w:marBottom w:val="0"/>
          <w:divBdr>
            <w:top w:val="none" w:sz="0" w:space="0" w:color="auto"/>
            <w:left w:val="none" w:sz="0" w:space="0" w:color="auto"/>
            <w:bottom w:val="none" w:sz="0" w:space="0" w:color="auto"/>
            <w:right w:val="none" w:sz="0" w:space="0" w:color="auto"/>
          </w:divBdr>
        </w:div>
        <w:div w:id="957104697">
          <w:marLeft w:val="640"/>
          <w:marRight w:val="0"/>
          <w:marTop w:val="0"/>
          <w:marBottom w:val="0"/>
          <w:divBdr>
            <w:top w:val="none" w:sz="0" w:space="0" w:color="auto"/>
            <w:left w:val="none" w:sz="0" w:space="0" w:color="auto"/>
            <w:bottom w:val="none" w:sz="0" w:space="0" w:color="auto"/>
            <w:right w:val="none" w:sz="0" w:space="0" w:color="auto"/>
          </w:divBdr>
        </w:div>
        <w:div w:id="611985145">
          <w:marLeft w:val="640"/>
          <w:marRight w:val="0"/>
          <w:marTop w:val="0"/>
          <w:marBottom w:val="0"/>
          <w:divBdr>
            <w:top w:val="none" w:sz="0" w:space="0" w:color="auto"/>
            <w:left w:val="none" w:sz="0" w:space="0" w:color="auto"/>
            <w:bottom w:val="none" w:sz="0" w:space="0" w:color="auto"/>
            <w:right w:val="none" w:sz="0" w:space="0" w:color="auto"/>
          </w:divBdr>
        </w:div>
        <w:div w:id="765930981">
          <w:marLeft w:val="640"/>
          <w:marRight w:val="0"/>
          <w:marTop w:val="0"/>
          <w:marBottom w:val="0"/>
          <w:divBdr>
            <w:top w:val="none" w:sz="0" w:space="0" w:color="auto"/>
            <w:left w:val="none" w:sz="0" w:space="0" w:color="auto"/>
            <w:bottom w:val="none" w:sz="0" w:space="0" w:color="auto"/>
            <w:right w:val="none" w:sz="0" w:space="0" w:color="auto"/>
          </w:divBdr>
        </w:div>
        <w:div w:id="1489979762">
          <w:marLeft w:val="640"/>
          <w:marRight w:val="0"/>
          <w:marTop w:val="0"/>
          <w:marBottom w:val="0"/>
          <w:divBdr>
            <w:top w:val="none" w:sz="0" w:space="0" w:color="auto"/>
            <w:left w:val="none" w:sz="0" w:space="0" w:color="auto"/>
            <w:bottom w:val="none" w:sz="0" w:space="0" w:color="auto"/>
            <w:right w:val="none" w:sz="0" w:space="0" w:color="auto"/>
          </w:divBdr>
        </w:div>
        <w:div w:id="139082165">
          <w:marLeft w:val="640"/>
          <w:marRight w:val="0"/>
          <w:marTop w:val="0"/>
          <w:marBottom w:val="0"/>
          <w:divBdr>
            <w:top w:val="none" w:sz="0" w:space="0" w:color="auto"/>
            <w:left w:val="none" w:sz="0" w:space="0" w:color="auto"/>
            <w:bottom w:val="none" w:sz="0" w:space="0" w:color="auto"/>
            <w:right w:val="none" w:sz="0" w:space="0" w:color="auto"/>
          </w:divBdr>
        </w:div>
        <w:div w:id="2128086514">
          <w:marLeft w:val="640"/>
          <w:marRight w:val="0"/>
          <w:marTop w:val="0"/>
          <w:marBottom w:val="0"/>
          <w:divBdr>
            <w:top w:val="none" w:sz="0" w:space="0" w:color="auto"/>
            <w:left w:val="none" w:sz="0" w:space="0" w:color="auto"/>
            <w:bottom w:val="none" w:sz="0" w:space="0" w:color="auto"/>
            <w:right w:val="none" w:sz="0" w:space="0" w:color="auto"/>
          </w:divBdr>
        </w:div>
        <w:div w:id="1599556540">
          <w:marLeft w:val="640"/>
          <w:marRight w:val="0"/>
          <w:marTop w:val="0"/>
          <w:marBottom w:val="0"/>
          <w:divBdr>
            <w:top w:val="none" w:sz="0" w:space="0" w:color="auto"/>
            <w:left w:val="none" w:sz="0" w:space="0" w:color="auto"/>
            <w:bottom w:val="none" w:sz="0" w:space="0" w:color="auto"/>
            <w:right w:val="none" w:sz="0" w:space="0" w:color="auto"/>
          </w:divBdr>
        </w:div>
        <w:div w:id="1374573231">
          <w:marLeft w:val="640"/>
          <w:marRight w:val="0"/>
          <w:marTop w:val="0"/>
          <w:marBottom w:val="0"/>
          <w:divBdr>
            <w:top w:val="none" w:sz="0" w:space="0" w:color="auto"/>
            <w:left w:val="none" w:sz="0" w:space="0" w:color="auto"/>
            <w:bottom w:val="none" w:sz="0" w:space="0" w:color="auto"/>
            <w:right w:val="none" w:sz="0" w:space="0" w:color="auto"/>
          </w:divBdr>
        </w:div>
        <w:div w:id="1984305985">
          <w:marLeft w:val="640"/>
          <w:marRight w:val="0"/>
          <w:marTop w:val="0"/>
          <w:marBottom w:val="0"/>
          <w:divBdr>
            <w:top w:val="none" w:sz="0" w:space="0" w:color="auto"/>
            <w:left w:val="none" w:sz="0" w:space="0" w:color="auto"/>
            <w:bottom w:val="none" w:sz="0" w:space="0" w:color="auto"/>
            <w:right w:val="none" w:sz="0" w:space="0" w:color="auto"/>
          </w:divBdr>
        </w:div>
        <w:div w:id="907232732">
          <w:marLeft w:val="640"/>
          <w:marRight w:val="0"/>
          <w:marTop w:val="0"/>
          <w:marBottom w:val="0"/>
          <w:divBdr>
            <w:top w:val="none" w:sz="0" w:space="0" w:color="auto"/>
            <w:left w:val="none" w:sz="0" w:space="0" w:color="auto"/>
            <w:bottom w:val="none" w:sz="0" w:space="0" w:color="auto"/>
            <w:right w:val="none" w:sz="0" w:space="0" w:color="auto"/>
          </w:divBdr>
        </w:div>
        <w:div w:id="1250697542">
          <w:marLeft w:val="640"/>
          <w:marRight w:val="0"/>
          <w:marTop w:val="0"/>
          <w:marBottom w:val="0"/>
          <w:divBdr>
            <w:top w:val="none" w:sz="0" w:space="0" w:color="auto"/>
            <w:left w:val="none" w:sz="0" w:space="0" w:color="auto"/>
            <w:bottom w:val="none" w:sz="0" w:space="0" w:color="auto"/>
            <w:right w:val="none" w:sz="0" w:space="0" w:color="auto"/>
          </w:divBdr>
        </w:div>
        <w:div w:id="1150176777">
          <w:marLeft w:val="640"/>
          <w:marRight w:val="0"/>
          <w:marTop w:val="0"/>
          <w:marBottom w:val="0"/>
          <w:divBdr>
            <w:top w:val="none" w:sz="0" w:space="0" w:color="auto"/>
            <w:left w:val="none" w:sz="0" w:space="0" w:color="auto"/>
            <w:bottom w:val="none" w:sz="0" w:space="0" w:color="auto"/>
            <w:right w:val="none" w:sz="0" w:space="0" w:color="auto"/>
          </w:divBdr>
        </w:div>
        <w:div w:id="1987009995">
          <w:marLeft w:val="640"/>
          <w:marRight w:val="0"/>
          <w:marTop w:val="0"/>
          <w:marBottom w:val="0"/>
          <w:divBdr>
            <w:top w:val="none" w:sz="0" w:space="0" w:color="auto"/>
            <w:left w:val="none" w:sz="0" w:space="0" w:color="auto"/>
            <w:bottom w:val="none" w:sz="0" w:space="0" w:color="auto"/>
            <w:right w:val="none" w:sz="0" w:space="0" w:color="auto"/>
          </w:divBdr>
        </w:div>
        <w:div w:id="195239850">
          <w:marLeft w:val="640"/>
          <w:marRight w:val="0"/>
          <w:marTop w:val="0"/>
          <w:marBottom w:val="0"/>
          <w:divBdr>
            <w:top w:val="none" w:sz="0" w:space="0" w:color="auto"/>
            <w:left w:val="none" w:sz="0" w:space="0" w:color="auto"/>
            <w:bottom w:val="none" w:sz="0" w:space="0" w:color="auto"/>
            <w:right w:val="none" w:sz="0" w:space="0" w:color="auto"/>
          </w:divBdr>
        </w:div>
        <w:div w:id="1771118592">
          <w:marLeft w:val="640"/>
          <w:marRight w:val="0"/>
          <w:marTop w:val="0"/>
          <w:marBottom w:val="0"/>
          <w:divBdr>
            <w:top w:val="none" w:sz="0" w:space="0" w:color="auto"/>
            <w:left w:val="none" w:sz="0" w:space="0" w:color="auto"/>
            <w:bottom w:val="none" w:sz="0" w:space="0" w:color="auto"/>
            <w:right w:val="none" w:sz="0" w:space="0" w:color="auto"/>
          </w:divBdr>
        </w:div>
        <w:div w:id="332414324">
          <w:marLeft w:val="640"/>
          <w:marRight w:val="0"/>
          <w:marTop w:val="0"/>
          <w:marBottom w:val="0"/>
          <w:divBdr>
            <w:top w:val="none" w:sz="0" w:space="0" w:color="auto"/>
            <w:left w:val="none" w:sz="0" w:space="0" w:color="auto"/>
            <w:bottom w:val="none" w:sz="0" w:space="0" w:color="auto"/>
            <w:right w:val="none" w:sz="0" w:space="0" w:color="auto"/>
          </w:divBdr>
        </w:div>
        <w:div w:id="153109868">
          <w:marLeft w:val="640"/>
          <w:marRight w:val="0"/>
          <w:marTop w:val="0"/>
          <w:marBottom w:val="0"/>
          <w:divBdr>
            <w:top w:val="none" w:sz="0" w:space="0" w:color="auto"/>
            <w:left w:val="none" w:sz="0" w:space="0" w:color="auto"/>
            <w:bottom w:val="none" w:sz="0" w:space="0" w:color="auto"/>
            <w:right w:val="none" w:sz="0" w:space="0" w:color="auto"/>
          </w:divBdr>
        </w:div>
        <w:div w:id="2080975050">
          <w:marLeft w:val="640"/>
          <w:marRight w:val="0"/>
          <w:marTop w:val="0"/>
          <w:marBottom w:val="0"/>
          <w:divBdr>
            <w:top w:val="none" w:sz="0" w:space="0" w:color="auto"/>
            <w:left w:val="none" w:sz="0" w:space="0" w:color="auto"/>
            <w:bottom w:val="none" w:sz="0" w:space="0" w:color="auto"/>
            <w:right w:val="none" w:sz="0" w:space="0" w:color="auto"/>
          </w:divBdr>
        </w:div>
        <w:div w:id="874805815">
          <w:marLeft w:val="640"/>
          <w:marRight w:val="0"/>
          <w:marTop w:val="0"/>
          <w:marBottom w:val="0"/>
          <w:divBdr>
            <w:top w:val="none" w:sz="0" w:space="0" w:color="auto"/>
            <w:left w:val="none" w:sz="0" w:space="0" w:color="auto"/>
            <w:bottom w:val="none" w:sz="0" w:space="0" w:color="auto"/>
            <w:right w:val="none" w:sz="0" w:space="0" w:color="auto"/>
          </w:divBdr>
        </w:div>
        <w:div w:id="1605919186">
          <w:marLeft w:val="640"/>
          <w:marRight w:val="0"/>
          <w:marTop w:val="0"/>
          <w:marBottom w:val="0"/>
          <w:divBdr>
            <w:top w:val="none" w:sz="0" w:space="0" w:color="auto"/>
            <w:left w:val="none" w:sz="0" w:space="0" w:color="auto"/>
            <w:bottom w:val="none" w:sz="0" w:space="0" w:color="auto"/>
            <w:right w:val="none" w:sz="0" w:space="0" w:color="auto"/>
          </w:divBdr>
        </w:div>
        <w:div w:id="694037837">
          <w:marLeft w:val="640"/>
          <w:marRight w:val="0"/>
          <w:marTop w:val="0"/>
          <w:marBottom w:val="0"/>
          <w:divBdr>
            <w:top w:val="none" w:sz="0" w:space="0" w:color="auto"/>
            <w:left w:val="none" w:sz="0" w:space="0" w:color="auto"/>
            <w:bottom w:val="none" w:sz="0" w:space="0" w:color="auto"/>
            <w:right w:val="none" w:sz="0" w:space="0" w:color="auto"/>
          </w:divBdr>
        </w:div>
        <w:div w:id="1881434707">
          <w:marLeft w:val="640"/>
          <w:marRight w:val="0"/>
          <w:marTop w:val="0"/>
          <w:marBottom w:val="0"/>
          <w:divBdr>
            <w:top w:val="none" w:sz="0" w:space="0" w:color="auto"/>
            <w:left w:val="none" w:sz="0" w:space="0" w:color="auto"/>
            <w:bottom w:val="none" w:sz="0" w:space="0" w:color="auto"/>
            <w:right w:val="none" w:sz="0" w:space="0" w:color="auto"/>
          </w:divBdr>
        </w:div>
        <w:div w:id="413093761">
          <w:marLeft w:val="640"/>
          <w:marRight w:val="0"/>
          <w:marTop w:val="0"/>
          <w:marBottom w:val="0"/>
          <w:divBdr>
            <w:top w:val="none" w:sz="0" w:space="0" w:color="auto"/>
            <w:left w:val="none" w:sz="0" w:space="0" w:color="auto"/>
            <w:bottom w:val="none" w:sz="0" w:space="0" w:color="auto"/>
            <w:right w:val="none" w:sz="0" w:space="0" w:color="auto"/>
          </w:divBdr>
        </w:div>
        <w:div w:id="1259755375">
          <w:marLeft w:val="640"/>
          <w:marRight w:val="0"/>
          <w:marTop w:val="0"/>
          <w:marBottom w:val="0"/>
          <w:divBdr>
            <w:top w:val="none" w:sz="0" w:space="0" w:color="auto"/>
            <w:left w:val="none" w:sz="0" w:space="0" w:color="auto"/>
            <w:bottom w:val="none" w:sz="0" w:space="0" w:color="auto"/>
            <w:right w:val="none" w:sz="0" w:space="0" w:color="auto"/>
          </w:divBdr>
        </w:div>
        <w:div w:id="874923747">
          <w:marLeft w:val="640"/>
          <w:marRight w:val="0"/>
          <w:marTop w:val="0"/>
          <w:marBottom w:val="0"/>
          <w:divBdr>
            <w:top w:val="none" w:sz="0" w:space="0" w:color="auto"/>
            <w:left w:val="none" w:sz="0" w:space="0" w:color="auto"/>
            <w:bottom w:val="none" w:sz="0" w:space="0" w:color="auto"/>
            <w:right w:val="none" w:sz="0" w:space="0" w:color="auto"/>
          </w:divBdr>
        </w:div>
        <w:div w:id="23141438">
          <w:marLeft w:val="640"/>
          <w:marRight w:val="0"/>
          <w:marTop w:val="0"/>
          <w:marBottom w:val="0"/>
          <w:divBdr>
            <w:top w:val="none" w:sz="0" w:space="0" w:color="auto"/>
            <w:left w:val="none" w:sz="0" w:space="0" w:color="auto"/>
            <w:bottom w:val="none" w:sz="0" w:space="0" w:color="auto"/>
            <w:right w:val="none" w:sz="0" w:space="0" w:color="auto"/>
          </w:divBdr>
        </w:div>
        <w:div w:id="341855926">
          <w:marLeft w:val="640"/>
          <w:marRight w:val="0"/>
          <w:marTop w:val="0"/>
          <w:marBottom w:val="0"/>
          <w:divBdr>
            <w:top w:val="none" w:sz="0" w:space="0" w:color="auto"/>
            <w:left w:val="none" w:sz="0" w:space="0" w:color="auto"/>
            <w:bottom w:val="none" w:sz="0" w:space="0" w:color="auto"/>
            <w:right w:val="none" w:sz="0" w:space="0" w:color="auto"/>
          </w:divBdr>
        </w:div>
        <w:div w:id="1738162337">
          <w:marLeft w:val="640"/>
          <w:marRight w:val="0"/>
          <w:marTop w:val="0"/>
          <w:marBottom w:val="0"/>
          <w:divBdr>
            <w:top w:val="none" w:sz="0" w:space="0" w:color="auto"/>
            <w:left w:val="none" w:sz="0" w:space="0" w:color="auto"/>
            <w:bottom w:val="none" w:sz="0" w:space="0" w:color="auto"/>
            <w:right w:val="none" w:sz="0" w:space="0" w:color="auto"/>
          </w:divBdr>
        </w:div>
        <w:div w:id="899054576">
          <w:marLeft w:val="640"/>
          <w:marRight w:val="0"/>
          <w:marTop w:val="0"/>
          <w:marBottom w:val="0"/>
          <w:divBdr>
            <w:top w:val="none" w:sz="0" w:space="0" w:color="auto"/>
            <w:left w:val="none" w:sz="0" w:space="0" w:color="auto"/>
            <w:bottom w:val="none" w:sz="0" w:space="0" w:color="auto"/>
            <w:right w:val="none" w:sz="0" w:space="0" w:color="auto"/>
          </w:divBdr>
        </w:div>
        <w:div w:id="597324467">
          <w:marLeft w:val="640"/>
          <w:marRight w:val="0"/>
          <w:marTop w:val="0"/>
          <w:marBottom w:val="0"/>
          <w:divBdr>
            <w:top w:val="none" w:sz="0" w:space="0" w:color="auto"/>
            <w:left w:val="none" w:sz="0" w:space="0" w:color="auto"/>
            <w:bottom w:val="none" w:sz="0" w:space="0" w:color="auto"/>
            <w:right w:val="none" w:sz="0" w:space="0" w:color="auto"/>
          </w:divBdr>
        </w:div>
        <w:div w:id="31662827">
          <w:marLeft w:val="640"/>
          <w:marRight w:val="0"/>
          <w:marTop w:val="0"/>
          <w:marBottom w:val="0"/>
          <w:divBdr>
            <w:top w:val="none" w:sz="0" w:space="0" w:color="auto"/>
            <w:left w:val="none" w:sz="0" w:space="0" w:color="auto"/>
            <w:bottom w:val="none" w:sz="0" w:space="0" w:color="auto"/>
            <w:right w:val="none" w:sz="0" w:space="0" w:color="auto"/>
          </w:divBdr>
        </w:div>
        <w:div w:id="446434653">
          <w:marLeft w:val="640"/>
          <w:marRight w:val="0"/>
          <w:marTop w:val="0"/>
          <w:marBottom w:val="0"/>
          <w:divBdr>
            <w:top w:val="none" w:sz="0" w:space="0" w:color="auto"/>
            <w:left w:val="none" w:sz="0" w:space="0" w:color="auto"/>
            <w:bottom w:val="none" w:sz="0" w:space="0" w:color="auto"/>
            <w:right w:val="none" w:sz="0" w:space="0" w:color="auto"/>
          </w:divBdr>
        </w:div>
        <w:div w:id="24018477">
          <w:marLeft w:val="640"/>
          <w:marRight w:val="0"/>
          <w:marTop w:val="0"/>
          <w:marBottom w:val="0"/>
          <w:divBdr>
            <w:top w:val="none" w:sz="0" w:space="0" w:color="auto"/>
            <w:left w:val="none" w:sz="0" w:space="0" w:color="auto"/>
            <w:bottom w:val="none" w:sz="0" w:space="0" w:color="auto"/>
            <w:right w:val="none" w:sz="0" w:space="0" w:color="auto"/>
          </w:divBdr>
        </w:div>
        <w:div w:id="1108626815">
          <w:marLeft w:val="640"/>
          <w:marRight w:val="0"/>
          <w:marTop w:val="0"/>
          <w:marBottom w:val="0"/>
          <w:divBdr>
            <w:top w:val="none" w:sz="0" w:space="0" w:color="auto"/>
            <w:left w:val="none" w:sz="0" w:space="0" w:color="auto"/>
            <w:bottom w:val="none" w:sz="0" w:space="0" w:color="auto"/>
            <w:right w:val="none" w:sz="0" w:space="0" w:color="auto"/>
          </w:divBdr>
        </w:div>
        <w:div w:id="1672177167">
          <w:marLeft w:val="640"/>
          <w:marRight w:val="0"/>
          <w:marTop w:val="0"/>
          <w:marBottom w:val="0"/>
          <w:divBdr>
            <w:top w:val="none" w:sz="0" w:space="0" w:color="auto"/>
            <w:left w:val="none" w:sz="0" w:space="0" w:color="auto"/>
            <w:bottom w:val="none" w:sz="0" w:space="0" w:color="auto"/>
            <w:right w:val="none" w:sz="0" w:space="0" w:color="auto"/>
          </w:divBdr>
        </w:div>
        <w:div w:id="234248983">
          <w:marLeft w:val="640"/>
          <w:marRight w:val="0"/>
          <w:marTop w:val="0"/>
          <w:marBottom w:val="0"/>
          <w:divBdr>
            <w:top w:val="none" w:sz="0" w:space="0" w:color="auto"/>
            <w:left w:val="none" w:sz="0" w:space="0" w:color="auto"/>
            <w:bottom w:val="none" w:sz="0" w:space="0" w:color="auto"/>
            <w:right w:val="none" w:sz="0" w:space="0" w:color="auto"/>
          </w:divBdr>
        </w:div>
        <w:div w:id="1614899591">
          <w:marLeft w:val="640"/>
          <w:marRight w:val="0"/>
          <w:marTop w:val="0"/>
          <w:marBottom w:val="0"/>
          <w:divBdr>
            <w:top w:val="none" w:sz="0" w:space="0" w:color="auto"/>
            <w:left w:val="none" w:sz="0" w:space="0" w:color="auto"/>
            <w:bottom w:val="none" w:sz="0" w:space="0" w:color="auto"/>
            <w:right w:val="none" w:sz="0" w:space="0" w:color="auto"/>
          </w:divBdr>
        </w:div>
        <w:div w:id="390926257">
          <w:marLeft w:val="640"/>
          <w:marRight w:val="0"/>
          <w:marTop w:val="0"/>
          <w:marBottom w:val="0"/>
          <w:divBdr>
            <w:top w:val="none" w:sz="0" w:space="0" w:color="auto"/>
            <w:left w:val="none" w:sz="0" w:space="0" w:color="auto"/>
            <w:bottom w:val="none" w:sz="0" w:space="0" w:color="auto"/>
            <w:right w:val="none" w:sz="0" w:space="0" w:color="auto"/>
          </w:divBdr>
        </w:div>
        <w:div w:id="1052654005">
          <w:marLeft w:val="640"/>
          <w:marRight w:val="0"/>
          <w:marTop w:val="0"/>
          <w:marBottom w:val="0"/>
          <w:divBdr>
            <w:top w:val="none" w:sz="0" w:space="0" w:color="auto"/>
            <w:left w:val="none" w:sz="0" w:space="0" w:color="auto"/>
            <w:bottom w:val="none" w:sz="0" w:space="0" w:color="auto"/>
            <w:right w:val="none" w:sz="0" w:space="0" w:color="auto"/>
          </w:divBdr>
        </w:div>
        <w:div w:id="955137755">
          <w:marLeft w:val="640"/>
          <w:marRight w:val="0"/>
          <w:marTop w:val="0"/>
          <w:marBottom w:val="0"/>
          <w:divBdr>
            <w:top w:val="none" w:sz="0" w:space="0" w:color="auto"/>
            <w:left w:val="none" w:sz="0" w:space="0" w:color="auto"/>
            <w:bottom w:val="none" w:sz="0" w:space="0" w:color="auto"/>
            <w:right w:val="none" w:sz="0" w:space="0" w:color="auto"/>
          </w:divBdr>
        </w:div>
        <w:div w:id="1829207453">
          <w:marLeft w:val="640"/>
          <w:marRight w:val="0"/>
          <w:marTop w:val="0"/>
          <w:marBottom w:val="0"/>
          <w:divBdr>
            <w:top w:val="none" w:sz="0" w:space="0" w:color="auto"/>
            <w:left w:val="none" w:sz="0" w:space="0" w:color="auto"/>
            <w:bottom w:val="none" w:sz="0" w:space="0" w:color="auto"/>
            <w:right w:val="none" w:sz="0" w:space="0" w:color="auto"/>
          </w:divBdr>
        </w:div>
        <w:div w:id="607154580">
          <w:marLeft w:val="640"/>
          <w:marRight w:val="0"/>
          <w:marTop w:val="0"/>
          <w:marBottom w:val="0"/>
          <w:divBdr>
            <w:top w:val="none" w:sz="0" w:space="0" w:color="auto"/>
            <w:left w:val="none" w:sz="0" w:space="0" w:color="auto"/>
            <w:bottom w:val="none" w:sz="0" w:space="0" w:color="auto"/>
            <w:right w:val="none" w:sz="0" w:space="0" w:color="auto"/>
          </w:divBdr>
        </w:div>
        <w:div w:id="8337071">
          <w:marLeft w:val="640"/>
          <w:marRight w:val="0"/>
          <w:marTop w:val="0"/>
          <w:marBottom w:val="0"/>
          <w:divBdr>
            <w:top w:val="none" w:sz="0" w:space="0" w:color="auto"/>
            <w:left w:val="none" w:sz="0" w:space="0" w:color="auto"/>
            <w:bottom w:val="none" w:sz="0" w:space="0" w:color="auto"/>
            <w:right w:val="none" w:sz="0" w:space="0" w:color="auto"/>
          </w:divBdr>
        </w:div>
        <w:div w:id="809445444">
          <w:marLeft w:val="640"/>
          <w:marRight w:val="0"/>
          <w:marTop w:val="0"/>
          <w:marBottom w:val="0"/>
          <w:divBdr>
            <w:top w:val="none" w:sz="0" w:space="0" w:color="auto"/>
            <w:left w:val="none" w:sz="0" w:space="0" w:color="auto"/>
            <w:bottom w:val="none" w:sz="0" w:space="0" w:color="auto"/>
            <w:right w:val="none" w:sz="0" w:space="0" w:color="auto"/>
          </w:divBdr>
        </w:div>
        <w:div w:id="890192982">
          <w:marLeft w:val="640"/>
          <w:marRight w:val="0"/>
          <w:marTop w:val="0"/>
          <w:marBottom w:val="0"/>
          <w:divBdr>
            <w:top w:val="none" w:sz="0" w:space="0" w:color="auto"/>
            <w:left w:val="none" w:sz="0" w:space="0" w:color="auto"/>
            <w:bottom w:val="none" w:sz="0" w:space="0" w:color="auto"/>
            <w:right w:val="none" w:sz="0" w:space="0" w:color="auto"/>
          </w:divBdr>
        </w:div>
        <w:div w:id="350033631">
          <w:marLeft w:val="640"/>
          <w:marRight w:val="0"/>
          <w:marTop w:val="0"/>
          <w:marBottom w:val="0"/>
          <w:divBdr>
            <w:top w:val="none" w:sz="0" w:space="0" w:color="auto"/>
            <w:left w:val="none" w:sz="0" w:space="0" w:color="auto"/>
            <w:bottom w:val="none" w:sz="0" w:space="0" w:color="auto"/>
            <w:right w:val="none" w:sz="0" w:space="0" w:color="auto"/>
          </w:divBdr>
        </w:div>
        <w:div w:id="322510137">
          <w:marLeft w:val="640"/>
          <w:marRight w:val="0"/>
          <w:marTop w:val="0"/>
          <w:marBottom w:val="0"/>
          <w:divBdr>
            <w:top w:val="none" w:sz="0" w:space="0" w:color="auto"/>
            <w:left w:val="none" w:sz="0" w:space="0" w:color="auto"/>
            <w:bottom w:val="none" w:sz="0" w:space="0" w:color="auto"/>
            <w:right w:val="none" w:sz="0" w:space="0" w:color="auto"/>
          </w:divBdr>
        </w:div>
        <w:div w:id="2109226807">
          <w:marLeft w:val="640"/>
          <w:marRight w:val="0"/>
          <w:marTop w:val="0"/>
          <w:marBottom w:val="0"/>
          <w:divBdr>
            <w:top w:val="none" w:sz="0" w:space="0" w:color="auto"/>
            <w:left w:val="none" w:sz="0" w:space="0" w:color="auto"/>
            <w:bottom w:val="none" w:sz="0" w:space="0" w:color="auto"/>
            <w:right w:val="none" w:sz="0" w:space="0" w:color="auto"/>
          </w:divBdr>
        </w:div>
        <w:div w:id="770396402">
          <w:marLeft w:val="640"/>
          <w:marRight w:val="0"/>
          <w:marTop w:val="0"/>
          <w:marBottom w:val="0"/>
          <w:divBdr>
            <w:top w:val="none" w:sz="0" w:space="0" w:color="auto"/>
            <w:left w:val="none" w:sz="0" w:space="0" w:color="auto"/>
            <w:bottom w:val="none" w:sz="0" w:space="0" w:color="auto"/>
            <w:right w:val="none" w:sz="0" w:space="0" w:color="auto"/>
          </w:divBdr>
        </w:div>
        <w:div w:id="1134255100">
          <w:marLeft w:val="640"/>
          <w:marRight w:val="0"/>
          <w:marTop w:val="0"/>
          <w:marBottom w:val="0"/>
          <w:divBdr>
            <w:top w:val="none" w:sz="0" w:space="0" w:color="auto"/>
            <w:left w:val="none" w:sz="0" w:space="0" w:color="auto"/>
            <w:bottom w:val="none" w:sz="0" w:space="0" w:color="auto"/>
            <w:right w:val="none" w:sz="0" w:space="0" w:color="auto"/>
          </w:divBdr>
        </w:div>
        <w:div w:id="1637297134">
          <w:marLeft w:val="640"/>
          <w:marRight w:val="0"/>
          <w:marTop w:val="0"/>
          <w:marBottom w:val="0"/>
          <w:divBdr>
            <w:top w:val="none" w:sz="0" w:space="0" w:color="auto"/>
            <w:left w:val="none" w:sz="0" w:space="0" w:color="auto"/>
            <w:bottom w:val="none" w:sz="0" w:space="0" w:color="auto"/>
            <w:right w:val="none" w:sz="0" w:space="0" w:color="auto"/>
          </w:divBdr>
        </w:div>
        <w:div w:id="1941914727">
          <w:marLeft w:val="640"/>
          <w:marRight w:val="0"/>
          <w:marTop w:val="0"/>
          <w:marBottom w:val="0"/>
          <w:divBdr>
            <w:top w:val="none" w:sz="0" w:space="0" w:color="auto"/>
            <w:left w:val="none" w:sz="0" w:space="0" w:color="auto"/>
            <w:bottom w:val="none" w:sz="0" w:space="0" w:color="auto"/>
            <w:right w:val="none" w:sz="0" w:space="0" w:color="auto"/>
          </w:divBdr>
        </w:div>
        <w:div w:id="1027681952">
          <w:marLeft w:val="640"/>
          <w:marRight w:val="0"/>
          <w:marTop w:val="0"/>
          <w:marBottom w:val="0"/>
          <w:divBdr>
            <w:top w:val="none" w:sz="0" w:space="0" w:color="auto"/>
            <w:left w:val="none" w:sz="0" w:space="0" w:color="auto"/>
            <w:bottom w:val="none" w:sz="0" w:space="0" w:color="auto"/>
            <w:right w:val="none" w:sz="0" w:space="0" w:color="auto"/>
          </w:divBdr>
        </w:div>
        <w:div w:id="772557407">
          <w:marLeft w:val="640"/>
          <w:marRight w:val="0"/>
          <w:marTop w:val="0"/>
          <w:marBottom w:val="0"/>
          <w:divBdr>
            <w:top w:val="none" w:sz="0" w:space="0" w:color="auto"/>
            <w:left w:val="none" w:sz="0" w:space="0" w:color="auto"/>
            <w:bottom w:val="none" w:sz="0" w:space="0" w:color="auto"/>
            <w:right w:val="none" w:sz="0" w:space="0" w:color="auto"/>
          </w:divBdr>
        </w:div>
        <w:div w:id="453598872">
          <w:marLeft w:val="640"/>
          <w:marRight w:val="0"/>
          <w:marTop w:val="0"/>
          <w:marBottom w:val="0"/>
          <w:divBdr>
            <w:top w:val="none" w:sz="0" w:space="0" w:color="auto"/>
            <w:left w:val="none" w:sz="0" w:space="0" w:color="auto"/>
            <w:bottom w:val="none" w:sz="0" w:space="0" w:color="auto"/>
            <w:right w:val="none" w:sz="0" w:space="0" w:color="auto"/>
          </w:divBdr>
        </w:div>
        <w:div w:id="1819416041">
          <w:marLeft w:val="640"/>
          <w:marRight w:val="0"/>
          <w:marTop w:val="0"/>
          <w:marBottom w:val="0"/>
          <w:divBdr>
            <w:top w:val="none" w:sz="0" w:space="0" w:color="auto"/>
            <w:left w:val="none" w:sz="0" w:space="0" w:color="auto"/>
            <w:bottom w:val="none" w:sz="0" w:space="0" w:color="auto"/>
            <w:right w:val="none" w:sz="0" w:space="0" w:color="auto"/>
          </w:divBdr>
        </w:div>
        <w:div w:id="587076523">
          <w:marLeft w:val="640"/>
          <w:marRight w:val="0"/>
          <w:marTop w:val="0"/>
          <w:marBottom w:val="0"/>
          <w:divBdr>
            <w:top w:val="none" w:sz="0" w:space="0" w:color="auto"/>
            <w:left w:val="none" w:sz="0" w:space="0" w:color="auto"/>
            <w:bottom w:val="none" w:sz="0" w:space="0" w:color="auto"/>
            <w:right w:val="none" w:sz="0" w:space="0" w:color="auto"/>
          </w:divBdr>
        </w:div>
        <w:div w:id="961571448">
          <w:marLeft w:val="640"/>
          <w:marRight w:val="0"/>
          <w:marTop w:val="0"/>
          <w:marBottom w:val="0"/>
          <w:divBdr>
            <w:top w:val="none" w:sz="0" w:space="0" w:color="auto"/>
            <w:left w:val="none" w:sz="0" w:space="0" w:color="auto"/>
            <w:bottom w:val="none" w:sz="0" w:space="0" w:color="auto"/>
            <w:right w:val="none" w:sz="0" w:space="0" w:color="auto"/>
          </w:divBdr>
        </w:div>
        <w:div w:id="2020306395">
          <w:marLeft w:val="640"/>
          <w:marRight w:val="0"/>
          <w:marTop w:val="0"/>
          <w:marBottom w:val="0"/>
          <w:divBdr>
            <w:top w:val="none" w:sz="0" w:space="0" w:color="auto"/>
            <w:left w:val="none" w:sz="0" w:space="0" w:color="auto"/>
            <w:bottom w:val="none" w:sz="0" w:space="0" w:color="auto"/>
            <w:right w:val="none" w:sz="0" w:space="0" w:color="auto"/>
          </w:divBdr>
        </w:div>
        <w:div w:id="406995912">
          <w:marLeft w:val="640"/>
          <w:marRight w:val="0"/>
          <w:marTop w:val="0"/>
          <w:marBottom w:val="0"/>
          <w:divBdr>
            <w:top w:val="none" w:sz="0" w:space="0" w:color="auto"/>
            <w:left w:val="none" w:sz="0" w:space="0" w:color="auto"/>
            <w:bottom w:val="none" w:sz="0" w:space="0" w:color="auto"/>
            <w:right w:val="none" w:sz="0" w:space="0" w:color="auto"/>
          </w:divBdr>
        </w:div>
        <w:div w:id="454952216">
          <w:marLeft w:val="640"/>
          <w:marRight w:val="0"/>
          <w:marTop w:val="0"/>
          <w:marBottom w:val="0"/>
          <w:divBdr>
            <w:top w:val="none" w:sz="0" w:space="0" w:color="auto"/>
            <w:left w:val="none" w:sz="0" w:space="0" w:color="auto"/>
            <w:bottom w:val="none" w:sz="0" w:space="0" w:color="auto"/>
            <w:right w:val="none" w:sz="0" w:space="0" w:color="auto"/>
          </w:divBdr>
        </w:div>
        <w:div w:id="1911454822">
          <w:marLeft w:val="640"/>
          <w:marRight w:val="0"/>
          <w:marTop w:val="0"/>
          <w:marBottom w:val="0"/>
          <w:divBdr>
            <w:top w:val="none" w:sz="0" w:space="0" w:color="auto"/>
            <w:left w:val="none" w:sz="0" w:space="0" w:color="auto"/>
            <w:bottom w:val="none" w:sz="0" w:space="0" w:color="auto"/>
            <w:right w:val="none" w:sz="0" w:space="0" w:color="auto"/>
          </w:divBdr>
        </w:div>
      </w:divsChild>
    </w:div>
    <w:div w:id="2002077247">
      <w:bodyDiv w:val="1"/>
      <w:marLeft w:val="0"/>
      <w:marRight w:val="0"/>
      <w:marTop w:val="0"/>
      <w:marBottom w:val="0"/>
      <w:divBdr>
        <w:top w:val="none" w:sz="0" w:space="0" w:color="auto"/>
        <w:left w:val="none" w:sz="0" w:space="0" w:color="auto"/>
        <w:bottom w:val="none" w:sz="0" w:space="0" w:color="auto"/>
        <w:right w:val="none" w:sz="0" w:space="0" w:color="auto"/>
      </w:divBdr>
      <w:divsChild>
        <w:div w:id="596251048">
          <w:marLeft w:val="640"/>
          <w:marRight w:val="0"/>
          <w:marTop w:val="0"/>
          <w:marBottom w:val="0"/>
          <w:divBdr>
            <w:top w:val="none" w:sz="0" w:space="0" w:color="auto"/>
            <w:left w:val="none" w:sz="0" w:space="0" w:color="auto"/>
            <w:bottom w:val="none" w:sz="0" w:space="0" w:color="auto"/>
            <w:right w:val="none" w:sz="0" w:space="0" w:color="auto"/>
          </w:divBdr>
        </w:div>
        <w:div w:id="993023760">
          <w:marLeft w:val="640"/>
          <w:marRight w:val="0"/>
          <w:marTop w:val="0"/>
          <w:marBottom w:val="0"/>
          <w:divBdr>
            <w:top w:val="none" w:sz="0" w:space="0" w:color="auto"/>
            <w:left w:val="none" w:sz="0" w:space="0" w:color="auto"/>
            <w:bottom w:val="none" w:sz="0" w:space="0" w:color="auto"/>
            <w:right w:val="none" w:sz="0" w:space="0" w:color="auto"/>
          </w:divBdr>
        </w:div>
        <w:div w:id="520821269">
          <w:marLeft w:val="640"/>
          <w:marRight w:val="0"/>
          <w:marTop w:val="0"/>
          <w:marBottom w:val="0"/>
          <w:divBdr>
            <w:top w:val="none" w:sz="0" w:space="0" w:color="auto"/>
            <w:left w:val="none" w:sz="0" w:space="0" w:color="auto"/>
            <w:bottom w:val="none" w:sz="0" w:space="0" w:color="auto"/>
            <w:right w:val="none" w:sz="0" w:space="0" w:color="auto"/>
          </w:divBdr>
        </w:div>
        <w:div w:id="573929075">
          <w:marLeft w:val="640"/>
          <w:marRight w:val="0"/>
          <w:marTop w:val="0"/>
          <w:marBottom w:val="0"/>
          <w:divBdr>
            <w:top w:val="none" w:sz="0" w:space="0" w:color="auto"/>
            <w:left w:val="none" w:sz="0" w:space="0" w:color="auto"/>
            <w:bottom w:val="none" w:sz="0" w:space="0" w:color="auto"/>
            <w:right w:val="none" w:sz="0" w:space="0" w:color="auto"/>
          </w:divBdr>
        </w:div>
        <w:div w:id="82995424">
          <w:marLeft w:val="640"/>
          <w:marRight w:val="0"/>
          <w:marTop w:val="0"/>
          <w:marBottom w:val="0"/>
          <w:divBdr>
            <w:top w:val="none" w:sz="0" w:space="0" w:color="auto"/>
            <w:left w:val="none" w:sz="0" w:space="0" w:color="auto"/>
            <w:bottom w:val="none" w:sz="0" w:space="0" w:color="auto"/>
            <w:right w:val="none" w:sz="0" w:space="0" w:color="auto"/>
          </w:divBdr>
        </w:div>
        <w:div w:id="267083729">
          <w:marLeft w:val="640"/>
          <w:marRight w:val="0"/>
          <w:marTop w:val="0"/>
          <w:marBottom w:val="0"/>
          <w:divBdr>
            <w:top w:val="none" w:sz="0" w:space="0" w:color="auto"/>
            <w:left w:val="none" w:sz="0" w:space="0" w:color="auto"/>
            <w:bottom w:val="none" w:sz="0" w:space="0" w:color="auto"/>
            <w:right w:val="none" w:sz="0" w:space="0" w:color="auto"/>
          </w:divBdr>
        </w:div>
        <w:div w:id="1964116891">
          <w:marLeft w:val="640"/>
          <w:marRight w:val="0"/>
          <w:marTop w:val="0"/>
          <w:marBottom w:val="0"/>
          <w:divBdr>
            <w:top w:val="none" w:sz="0" w:space="0" w:color="auto"/>
            <w:left w:val="none" w:sz="0" w:space="0" w:color="auto"/>
            <w:bottom w:val="none" w:sz="0" w:space="0" w:color="auto"/>
            <w:right w:val="none" w:sz="0" w:space="0" w:color="auto"/>
          </w:divBdr>
        </w:div>
        <w:div w:id="1811289778">
          <w:marLeft w:val="640"/>
          <w:marRight w:val="0"/>
          <w:marTop w:val="0"/>
          <w:marBottom w:val="0"/>
          <w:divBdr>
            <w:top w:val="none" w:sz="0" w:space="0" w:color="auto"/>
            <w:left w:val="none" w:sz="0" w:space="0" w:color="auto"/>
            <w:bottom w:val="none" w:sz="0" w:space="0" w:color="auto"/>
            <w:right w:val="none" w:sz="0" w:space="0" w:color="auto"/>
          </w:divBdr>
        </w:div>
        <w:div w:id="1135025960">
          <w:marLeft w:val="640"/>
          <w:marRight w:val="0"/>
          <w:marTop w:val="0"/>
          <w:marBottom w:val="0"/>
          <w:divBdr>
            <w:top w:val="none" w:sz="0" w:space="0" w:color="auto"/>
            <w:left w:val="none" w:sz="0" w:space="0" w:color="auto"/>
            <w:bottom w:val="none" w:sz="0" w:space="0" w:color="auto"/>
            <w:right w:val="none" w:sz="0" w:space="0" w:color="auto"/>
          </w:divBdr>
        </w:div>
        <w:div w:id="542526864">
          <w:marLeft w:val="640"/>
          <w:marRight w:val="0"/>
          <w:marTop w:val="0"/>
          <w:marBottom w:val="0"/>
          <w:divBdr>
            <w:top w:val="none" w:sz="0" w:space="0" w:color="auto"/>
            <w:left w:val="none" w:sz="0" w:space="0" w:color="auto"/>
            <w:bottom w:val="none" w:sz="0" w:space="0" w:color="auto"/>
            <w:right w:val="none" w:sz="0" w:space="0" w:color="auto"/>
          </w:divBdr>
        </w:div>
        <w:div w:id="1710103912">
          <w:marLeft w:val="640"/>
          <w:marRight w:val="0"/>
          <w:marTop w:val="0"/>
          <w:marBottom w:val="0"/>
          <w:divBdr>
            <w:top w:val="none" w:sz="0" w:space="0" w:color="auto"/>
            <w:left w:val="none" w:sz="0" w:space="0" w:color="auto"/>
            <w:bottom w:val="none" w:sz="0" w:space="0" w:color="auto"/>
            <w:right w:val="none" w:sz="0" w:space="0" w:color="auto"/>
          </w:divBdr>
        </w:div>
        <w:div w:id="2019040876">
          <w:marLeft w:val="640"/>
          <w:marRight w:val="0"/>
          <w:marTop w:val="0"/>
          <w:marBottom w:val="0"/>
          <w:divBdr>
            <w:top w:val="none" w:sz="0" w:space="0" w:color="auto"/>
            <w:left w:val="none" w:sz="0" w:space="0" w:color="auto"/>
            <w:bottom w:val="none" w:sz="0" w:space="0" w:color="auto"/>
            <w:right w:val="none" w:sz="0" w:space="0" w:color="auto"/>
          </w:divBdr>
        </w:div>
        <w:div w:id="1074084634">
          <w:marLeft w:val="640"/>
          <w:marRight w:val="0"/>
          <w:marTop w:val="0"/>
          <w:marBottom w:val="0"/>
          <w:divBdr>
            <w:top w:val="none" w:sz="0" w:space="0" w:color="auto"/>
            <w:left w:val="none" w:sz="0" w:space="0" w:color="auto"/>
            <w:bottom w:val="none" w:sz="0" w:space="0" w:color="auto"/>
            <w:right w:val="none" w:sz="0" w:space="0" w:color="auto"/>
          </w:divBdr>
        </w:div>
        <w:div w:id="222638421">
          <w:marLeft w:val="640"/>
          <w:marRight w:val="0"/>
          <w:marTop w:val="0"/>
          <w:marBottom w:val="0"/>
          <w:divBdr>
            <w:top w:val="none" w:sz="0" w:space="0" w:color="auto"/>
            <w:left w:val="none" w:sz="0" w:space="0" w:color="auto"/>
            <w:bottom w:val="none" w:sz="0" w:space="0" w:color="auto"/>
            <w:right w:val="none" w:sz="0" w:space="0" w:color="auto"/>
          </w:divBdr>
        </w:div>
        <w:div w:id="161746829">
          <w:marLeft w:val="640"/>
          <w:marRight w:val="0"/>
          <w:marTop w:val="0"/>
          <w:marBottom w:val="0"/>
          <w:divBdr>
            <w:top w:val="none" w:sz="0" w:space="0" w:color="auto"/>
            <w:left w:val="none" w:sz="0" w:space="0" w:color="auto"/>
            <w:bottom w:val="none" w:sz="0" w:space="0" w:color="auto"/>
            <w:right w:val="none" w:sz="0" w:space="0" w:color="auto"/>
          </w:divBdr>
        </w:div>
        <w:div w:id="1664045782">
          <w:marLeft w:val="640"/>
          <w:marRight w:val="0"/>
          <w:marTop w:val="0"/>
          <w:marBottom w:val="0"/>
          <w:divBdr>
            <w:top w:val="none" w:sz="0" w:space="0" w:color="auto"/>
            <w:left w:val="none" w:sz="0" w:space="0" w:color="auto"/>
            <w:bottom w:val="none" w:sz="0" w:space="0" w:color="auto"/>
            <w:right w:val="none" w:sz="0" w:space="0" w:color="auto"/>
          </w:divBdr>
        </w:div>
        <w:div w:id="464201456">
          <w:marLeft w:val="640"/>
          <w:marRight w:val="0"/>
          <w:marTop w:val="0"/>
          <w:marBottom w:val="0"/>
          <w:divBdr>
            <w:top w:val="none" w:sz="0" w:space="0" w:color="auto"/>
            <w:left w:val="none" w:sz="0" w:space="0" w:color="auto"/>
            <w:bottom w:val="none" w:sz="0" w:space="0" w:color="auto"/>
            <w:right w:val="none" w:sz="0" w:space="0" w:color="auto"/>
          </w:divBdr>
        </w:div>
        <w:div w:id="349449380">
          <w:marLeft w:val="640"/>
          <w:marRight w:val="0"/>
          <w:marTop w:val="0"/>
          <w:marBottom w:val="0"/>
          <w:divBdr>
            <w:top w:val="none" w:sz="0" w:space="0" w:color="auto"/>
            <w:left w:val="none" w:sz="0" w:space="0" w:color="auto"/>
            <w:bottom w:val="none" w:sz="0" w:space="0" w:color="auto"/>
            <w:right w:val="none" w:sz="0" w:space="0" w:color="auto"/>
          </w:divBdr>
        </w:div>
        <w:div w:id="162429806">
          <w:marLeft w:val="640"/>
          <w:marRight w:val="0"/>
          <w:marTop w:val="0"/>
          <w:marBottom w:val="0"/>
          <w:divBdr>
            <w:top w:val="none" w:sz="0" w:space="0" w:color="auto"/>
            <w:left w:val="none" w:sz="0" w:space="0" w:color="auto"/>
            <w:bottom w:val="none" w:sz="0" w:space="0" w:color="auto"/>
            <w:right w:val="none" w:sz="0" w:space="0" w:color="auto"/>
          </w:divBdr>
        </w:div>
        <w:div w:id="688219815">
          <w:marLeft w:val="640"/>
          <w:marRight w:val="0"/>
          <w:marTop w:val="0"/>
          <w:marBottom w:val="0"/>
          <w:divBdr>
            <w:top w:val="none" w:sz="0" w:space="0" w:color="auto"/>
            <w:left w:val="none" w:sz="0" w:space="0" w:color="auto"/>
            <w:bottom w:val="none" w:sz="0" w:space="0" w:color="auto"/>
            <w:right w:val="none" w:sz="0" w:space="0" w:color="auto"/>
          </w:divBdr>
        </w:div>
        <w:div w:id="2026126435">
          <w:marLeft w:val="640"/>
          <w:marRight w:val="0"/>
          <w:marTop w:val="0"/>
          <w:marBottom w:val="0"/>
          <w:divBdr>
            <w:top w:val="none" w:sz="0" w:space="0" w:color="auto"/>
            <w:left w:val="none" w:sz="0" w:space="0" w:color="auto"/>
            <w:bottom w:val="none" w:sz="0" w:space="0" w:color="auto"/>
            <w:right w:val="none" w:sz="0" w:space="0" w:color="auto"/>
          </w:divBdr>
        </w:div>
        <w:div w:id="846673837">
          <w:marLeft w:val="640"/>
          <w:marRight w:val="0"/>
          <w:marTop w:val="0"/>
          <w:marBottom w:val="0"/>
          <w:divBdr>
            <w:top w:val="none" w:sz="0" w:space="0" w:color="auto"/>
            <w:left w:val="none" w:sz="0" w:space="0" w:color="auto"/>
            <w:bottom w:val="none" w:sz="0" w:space="0" w:color="auto"/>
            <w:right w:val="none" w:sz="0" w:space="0" w:color="auto"/>
          </w:divBdr>
        </w:div>
        <w:div w:id="1806193558">
          <w:marLeft w:val="640"/>
          <w:marRight w:val="0"/>
          <w:marTop w:val="0"/>
          <w:marBottom w:val="0"/>
          <w:divBdr>
            <w:top w:val="none" w:sz="0" w:space="0" w:color="auto"/>
            <w:left w:val="none" w:sz="0" w:space="0" w:color="auto"/>
            <w:bottom w:val="none" w:sz="0" w:space="0" w:color="auto"/>
            <w:right w:val="none" w:sz="0" w:space="0" w:color="auto"/>
          </w:divBdr>
        </w:div>
        <w:div w:id="404843105">
          <w:marLeft w:val="640"/>
          <w:marRight w:val="0"/>
          <w:marTop w:val="0"/>
          <w:marBottom w:val="0"/>
          <w:divBdr>
            <w:top w:val="none" w:sz="0" w:space="0" w:color="auto"/>
            <w:left w:val="none" w:sz="0" w:space="0" w:color="auto"/>
            <w:bottom w:val="none" w:sz="0" w:space="0" w:color="auto"/>
            <w:right w:val="none" w:sz="0" w:space="0" w:color="auto"/>
          </w:divBdr>
        </w:div>
        <w:div w:id="1993605717">
          <w:marLeft w:val="640"/>
          <w:marRight w:val="0"/>
          <w:marTop w:val="0"/>
          <w:marBottom w:val="0"/>
          <w:divBdr>
            <w:top w:val="none" w:sz="0" w:space="0" w:color="auto"/>
            <w:left w:val="none" w:sz="0" w:space="0" w:color="auto"/>
            <w:bottom w:val="none" w:sz="0" w:space="0" w:color="auto"/>
            <w:right w:val="none" w:sz="0" w:space="0" w:color="auto"/>
          </w:divBdr>
        </w:div>
        <w:div w:id="81143754">
          <w:marLeft w:val="640"/>
          <w:marRight w:val="0"/>
          <w:marTop w:val="0"/>
          <w:marBottom w:val="0"/>
          <w:divBdr>
            <w:top w:val="none" w:sz="0" w:space="0" w:color="auto"/>
            <w:left w:val="none" w:sz="0" w:space="0" w:color="auto"/>
            <w:bottom w:val="none" w:sz="0" w:space="0" w:color="auto"/>
            <w:right w:val="none" w:sz="0" w:space="0" w:color="auto"/>
          </w:divBdr>
        </w:div>
        <w:div w:id="57436624">
          <w:marLeft w:val="640"/>
          <w:marRight w:val="0"/>
          <w:marTop w:val="0"/>
          <w:marBottom w:val="0"/>
          <w:divBdr>
            <w:top w:val="none" w:sz="0" w:space="0" w:color="auto"/>
            <w:left w:val="none" w:sz="0" w:space="0" w:color="auto"/>
            <w:bottom w:val="none" w:sz="0" w:space="0" w:color="auto"/>
            <w:right w:val="none" w:sz="0" w:space="0" w:color="auto"/>
          </w:divBdr>
        </w:div>
        <w:div w:id="19554770">
          <w:marLeft w:val="640"/>
          <w:marRight w:val="0"/>
          <w:marTop w:val="0"/>
          <w:marBottom w:val="0"/>
          <w:divBdr>
            <w:top w:val="none" w:sz="0" w:space="0" w:color="auto"/>
            <w:left w:val="none" w:sz="0" w:space="0" w:color="auto"/>
            <w:bottom w:val="none" w:sz="0" w:space="0" w:color="auto"/>
            <w:right w:val="none" w:sz="0" w:space="0" w:color="auto"/>
          </w:divBdr>
        </w:div>
        <w:div w:id="160513149">
          <w:marLeft w:val="640"/>
          <w:marRight w:val="0"/>
          <w:marTop w:val="0"/>
          <w:marBottom w:val="0"/>
          <w:divBdr>
            <w:top w:val="none" w:sz="0" w:space="0" w:color="auto"/>
            <w:left w:val="none" w:sz="0" w:space="0" w:color="auto"/>
            <w:bottom w:val="none" w:sz="0" w:space="0" w:color="auto"/>
            <w:right w:val="none" w:sz="0" w:space="0" w:color="auto"/>
          </w:divBdr>
        </w:div>
        <w:div w:id="1499223234">
          <w:marLeft w:val="640"/>
          <w:marRight w:val="0"/>
          <w:marTop w:val="0"/>
          <w:marBottom w:val="0"/>
          <w:divBdr>
            <w:top w:val="none" w:sz="0" w:space="0" w:color="auto"/>
            <w:left w:val="none" w:sz="0" w:space="0" w:color="auto"/>
            <w:bottom w:val="none" w:sz="0" w:space="0" w:color="auto"/>
            <w:right w:val="none" w:sz="0" w:space="0" w:color="auto"/>
          </w:divBdr>
        </w:div>
        <w:div w:id="1733195890">
          <w:marLeft w:val="640"/>
          <w:marRight w:val="0"/>
          <w:marTop w:val="0"/>
          <w:marBottom w:val="0"/>
          <w:divBdr>
            <w:top w:val="none" w:sz="0" w:space="0" w:color="auto"/>
            <w:left w:val="none" w:sz="0" w:space="0" w:color="auto"/>
            <w:bottom w:val="none" w:sz="0" w:space="0" w:color="auto"/>
            <w:right w:val="none" w:sz="0" w:space="0" w:color="auto"/>
          </w:divBdr>
        </w:div>
        <w:div w:id="968050490">
          <w:marLeft w:val="640"/>
          <w:marRight w:val="0"/>
          <w:marTop w:val="0"/>
          <w:marBottom w:val="0"/>
          <w:divBdr>
            <w:top w:val="none" w:sz="0" w:space="0" w:color="auto"/>
            <w:left w:val="none" w:sz="0" w:space="0" w:color="auto"/>
            <w:bottom w:val="none" w:sz="0" w:space="0" w:color="auto"/>
            <w:right w:val="none" w:sz="0" w:space="0" w:color="auto"/>
          </w:divBdr>
        </w:div>
        <w:div w:id="1528252402">
          <w:marLeft w:val="640"/>
          <w:marRight w:val="0"/>
          <w:marTop w:val="0"/>
          <w:marBottom w:val="0"/>
          <w:divBdr>
            <w:top w:val="none" w:sz="0" w:space="0" w:color="auto"/>
            <w:left w:val="none" w:sz="0" w:space="0" w:color="auto"/>
            <w:bottom w:val="none" w:sz="0" w:space="0" w:color="auto"/>
            <w:right w:val="none" w:sz="0" w:space="0" w:color="auto"/>
          </w:divBdr>
        </w:div>
        <w:div w:id="71507064">
          <w:marLeft w:val="640"/>
          <w:marRight w:val="0"/>
          <w:marTop w:val="0"/>
          <w:marBottom w:val="0"/>
          <w:divBdr>
            <w:top w:val="none" w:sz="0" w:space="0" w:color="auto"/>
            <w:left w:val="none" w:sz="0" w:space="0" w:color="auto"/>
            <w:bottom w:val="none" w:sz="0" w:space="0" w:color="auto"/>
            <w:right w:val="none" w:sz="0" w:space="0" w:color="auto"/>
          </w:divBdr>
        </w:div>
        <w:div w:id="257299010">
          <w:marLeft w:val="640"/>
          <w:marRight w:val="0"/>
          <w:marTop w:val="0"/>
          <w:marBottom w:val="0"/>
          <w:divBdr>
            <w:top w:val="none" w:sz="0" w:space="0" w:color="auto"/>
            <w:left w:val="none" w:sz="0" w:space="0" w:color="auto"/>
            <w:bottom w:val="none" w:sz="0" w:space="0" w:color="auto"/>
            <w:right w:val="none" w:sz="0" w:space="0" w:color="auto"/>
          </w:divBdr>
        </w:div>
        <w:div w:id="949630908">
          <w:marLeft w:val="640"/>
          <w:marRight w:val="0"/>
          <w:marTop w:val="0"/>
          <w:marBottom w:val="0"/>
          <w:divBdr>
            <w:top w:val="none" w:sz="0" w:space="0" w:color="auto"/>
            <w:left w:val="none" w:sz="0" w:space="0" w:color="auto"/>
            <w:bottom w:val="none" w:sz="0" w:space="0" w:color="auto"/>
            <w:right w:val="none" w:sz="0" w:space="0" w:color="auto"/>
          </w:divBdr>
        </w:div>
        <w:div w:id="2014800144">
          <w:marLeft w:val="640"/>
          <w:marRight w:val="0"/>
          <w:marTop w:val="0"/>
          <w:marBottom w:val="0"/>
          <w:divBdr>
            <w:top w:val="none" w:sz="0" w:space="0" w:color="auto"/>
            <w:left w:val="none" w:sz="0" w:space="0" w:color="auto"/>
            <w:bottom w:val="none" w:sz="0" w:space="0" w:color="auto"/>
            <w:right w:val="none" w:sz="0" w:space="0" w:color="auto"/>
          </w:divBdr>
        </w:div>
        <w:div w:id="96756974">
          <w:marLeft w:val="640"/>
          <w:marRight w:val="0"/>
          <w:marTop w:val="0"/>
          <w:marBottom w:val="0"/>
          <w:divBdr>
            <w:top w:val="none" w:sz="0" w:space="0" w:color="auto"/>
            <w:left w:val="none" w:sz="0" w:space="0" w:color="auto"/>
            <w:bottom w:val="none" w:sz="0" w:space="0" w:color="auto"/>
            <w:right w:val="none" w:sz="0" w:space="0" w:color="auto"/>
          </w:divBdr>
        </w:div>
        <w:div w:id="269437464">
          <w:marLeft w:val="640"/>
          <w:marRight w:val="0"/>
          <w:marTop w:val="0"/>
          <w:marBottom w:val="0"/>
          <w:divBdr>
            <w:top w:val="none" w:sz="0" w:space="0" w:color="auto"/>
            <w:left w:val="none" w:sz="0" w:space="0" w:color="auto"/>
            <w:bottom w:val="none" w:sz="0" w:space="0" w:color="auto"/>
            <w:right w:val="none" w:sz="0" w:space="0" w:color="auto"/>
          </w:divBdr>
        </w:div>
        <w:div w:id="447622773">
          <w:marLeft w:val="640"/>
          <w:marRight w:val="0"/>
          <w:marTop w:val="0"/>
          <w:marBottom w:val="0"/>
          <w:divBdr>
            <w:top w:val="none" w:sz="0" w:space="0" w:color="auto"/>
            <w:left w:val="none" w:sz="0" w:space="0" w:color="auto"/>
            <w:bottom w:val="none" w:sz="0" w:space="0" w:color="auto"/>
            <w:right w:val="none" w:sz="0" w:space="0" w:color="auto"/>
          </w:divBdr>
        </w:div>
        <w:div w:id="1124735943">
          <w:marLeft w:val="640"/>
          <w:marRight w:val="0"/>
          <w:marTop w:val="0"/>
          <w:marBottom w:val="0"/>
          <w:divBdr>
            <w:top w:val="none" w:sz="0" w:space="0" w:color="auto"/>
            <w:left w:val="none" w:sz="0" w:space="0" w:color="auto"/>
            <w:bottom w:val="none" w:sz="0" w:space="0" w:color="auto"/>
            <w:right w:val="none" w:sz="0" w:space="0" w:color="auto"/>
          </w:divBdr>
        </w:div>
        <w:div w:id="757602492">
          <w:marLeft w:val="640"/>
          <w:marRight w:val="0"/>
          <w:marTop w:val="0"/>
          <w:marBottom w:val="0"/>
          <w:divBdr>
            <w:top w:val="none" w:sz="0" w:space="0" w:color="auto"/>
            <w:left w:val="none" w:sz="0" w:space="0" w:color="auto"/>
            <w:bottom w:val="none" w:sz="0" w:space="0" w:color="auto"/>
            <w:right w:val="none" w:sz="0" w:space="0" w:color="auto"/>
          </w:divBdr>
        </w:div>
        <w:div w:id="1066101528">
          <w:marLeft w:val="640"/>
          <w:marRight w:val="0"/>
          <w:marTop w:val="0"/>
          <w:marBottom w:val="0"/>
          <w:divBdr>
            <w:top w:val="none" w:sz="0" w:space="0" w:color="auto"/>
            <w:left w:val="none" w:sz="0" w:space="0" w:color="auto"/>
            <w:bottom w:val="none" w:sz="0" w:space="0" w:color="auto"/>
            <w:right w:val="none" w:sz="0" w:space="0" w:color="auto"/>
          </w:divBdr>
        </w:div>
        <w:div w:id="1938519966">
          <w:marLeft w:val="640"/>
          <w:marRight w:val="0"/>
          <w:marTop w:val="0"/>
          <w:marBottom w:val="0"/>
          <w:divBdr>
            <w:top w:val="none" w:sz="0" w:space="0" w:color="auto"/>
            <w:left w:val="none" w:sz="0" w:space="0" w:color="auto"/>
            <w:bottom w:val="none" w:sz="0" w:space="0" w:color="auto"/>
            <w:right w:val="none" w:sz="0" w:space="0" w:color="auto"/>
          </w:divBdr>
        </w:div>
        <w:div w:id="1806508614">
          <w:marLeft w:val="640"/>
          <w:marRight w:val="0"/>
          <w:marTop w:val="0"/>
          <w:marBottom w:val="0"/>
          <w:divBdr>
            <w:top w:val="none" w:sz="0" w:space="0" w:color="auto"/>
            <w:left w:val="none" w:sz="0" w:space="0" w:color="auto"/>
            <w:bottom w:val="none" w:sz="0" w:space="0" w:color="auto"/>
            <w:right w:val="none" w:sz="0" w:space="0" w:color="auto"/>
          </w:divBdr>
        </w:div>
        <w:div w:id="1851215278">
          <w:marLeft w:val="640"/>
          <w:marRight w:val="0"/>
          <w:marTop w:val="0"/>
          <w:marBottom w:val="0"/>
          <w:divBdr>
            <w:top w:val="none" w:sz="0" w:space="0" w:color="auto"/>
            <w:left w:val="none" w:sz="0" w:space="0" w:color="auto"/>
            <w:bottom w:val="none" w:sz="0" w:space="0" w:color="auto"/>
            <w:right w:val="none" w:sz="0" w:space="0" w:color="auto"/>
          </w:divBdr>
        </w:div>
        <w:div w:id="176117209">
          <w:marLeft w:val="640"/>
          <w:marRight w:val="0"/>
          <w:marTop w:val="0"/>
          <w:marBottom w:val="0"/>
          <w:divBdr>
            <w:top w:val="none" w:sz="0" w:space="0" w:color="auto"/>
            <w:left w:val="none" w:sz="0" w:space="0" w:color="auto"/>
            <w:bottom w:val="none" w:sz="0" w:space="0" w:color="auto"/>
            <w:right w:val="none" w:sz="0" w:space="0" w:color="auto"/>
          </w:divBdr>
        </w:div>
        <w:div w:id="2020501489">
          <w:marLeft w:val="640"/>
          <w:marRight w:val="0"/>
          <w:marTop w:val="0"/>
          <w:marBottom w:val="0"/>
          <w:divBdr>
            <w:top w:val="none" w:sz="0" w:space="0" w:color="auto"/>
            <w:left w:val="none" w:sz="0" w:space="0" w:color="auto"/>
            <w:bottom w:val="none" w:sz="0" w:space="0" w:color="auto"/>
            <w:right w:val="none" w:sz="0" w:space="0" w:color="auto"/>
          </w:divBdr>
        </w:div>
        <w:div w:id="808324816">
          <w:marLeft w:val="640"/>
          <w:marRight w:val="0"/>
          <w:marTop w:val="0"/>
          <w:marBottom w:val="0"/>
          <w:divBdr>
            <w:top w:val="none" w:sz="0" w:space="0" w:color="auto"/>
            <w:left w:val="none" w:sz="0" w:space="0" w:color="auto"/>
            <w:bottom w:val="none" w:sz="0" w:space="0" w:color="auto"/>
            <w:right w:val="none" w:sz="0" w:space="0" w:color="auto"/>
          </w:divBdr>
        </w:div>
        <w:div w:id="1605840108">
          <w:marLeft w:val="640"/>
          <w:marRight w:val="0"/>
          <w:marTop w:val="0"/>
          <w:marBottom w:val="0"/>
          <w:divBdr>
            <w:top w:val="none" w:sz="0" w:space="0" w:color="auto"/>
            <w:left w:val="none" w:sz="0" w:space="0" w:color="auto"/>
            <w:bottom w:val="none" w:sz="0" w:space="0" w:color="auto"/>
            <w:right w:val="none" w:sz="0" w:space="0" w:color="auto"/>
          </w:divBdr>
        </w:div>
        <w:div w:id="976687743">
          <w:marLeft w:val="640"/>
          <w:marRight w:val="0"/>
          <w:marTop w:val="0"/>
          <w:marBottom w:val="0"/>
          <w:divBdr>
            <w:top w:val="none" w:sz="0" w:space="0" w:color="auto"/>
            <w:left w:val="none" w:sz="0" w:space="0" w:color="auto"/>
            <w:bottom w:val="none" w:sz="0" w:space="0" w:color="auto"/>
            <w:right w:val="none" w:sz="0" w:space="0" w:color="auto"/>
          </w:divBdr>
        </w:div>
        <w:div w:id="1738701283">
          <w:marLeft w:val="640"/>
          <w:marRight w:val="0"/>
          <w:marTop w:val="0"/>
          <w:marBottom w:val="0"/>
          <w:divBdr>
            <w:top w:val="none" w:sz="0" w:space="0" w:color="auto"/>
            <w:left w:val="none" w:sz="0" w:space="0" w:color="auto"/>
            <w:bottom w:val="none" w:sz="0" w:space="0" w:color="auto"/>
            <w:right w:val="none" w:sz="0" w:space="0" w:color="auto"/>
          </w:divBdr>
        </w:div>
        <w:div w:id="1124419730">
          <w:marLeft w:val="640"/>
          <w:marRight w:val="0"/>
          <w:marTop w:val="0"/>
          <w:marBottom w:val="0"/>
          <w:divBdr>
            <w:top w:val="none" w:sz="0" w:space="0" w:color="auto"/>
            <w:left w:val="none" w:sz="0" w:space="0" w:color="auto"/>
            <w:bottom w:val="none" w:sz="0" w:space="0" w:color="auto"/>
            <w:right w:val="none" w:sz="0" w:space="0" w:color="auto"/>
          </w:divBdr>
        </w:div>
        <w:div w:id="1329092498">
          <w:marLeft w:val="640"/>
          <w:marRight w:val="0"/>
          <w:marTop w:val="0"/>
          <w:marBottom w:val="0"/>
          <w:divBdr>
            <w:top w:val="none" w:sz="0" w:space="0" w:color="auto"/>
            <w:left w:val="none" w:sz="0" w:space="0" w:color="auto"/>
            <w:bottom w:val="none" w:sz="0" w:space="0" w:color="auto"/>
            <w:right w:val="none" w:sz="0" w:space="0" w:color="auto"/>
          </w:divBdr>
        </w:div>
        <w:div w:id="85730143">
          <w:marLeft w:val="640"/>
          <w:marRight w:val="0"/>
          <w:marTop w:val="0"/>
          <w:marBottom w:val="0"/>
          <w:divBdr>
            <w:top w:val="none" w:sz="0" w:space="0" w:color="auto"/>
            <w:left w:val="none" w:sz="0" w:space="0" w:color="auto"/>
            <w:bottom w:val="none" w:sz="0" w:space="0" w:color="auto"/>
            <w:right w:val="none" w:sz="0" w:space="0" w:color="auto"/>
          </w:divBdr>
        </w:div>
        <w:div w:id="1244998169">
          <w:marLeft w:val="640"/>
          <w:marRight w:val="0"/>
          <w:marTop w:val="0"/>
          <w:marBottom w:val="0"/>
          <w:divBdr>
            <w:top w:val="none" w:sz="0" w:space="0" w:color="auto"/>
            <w:left w:val="none" w:sz="0" w:space="0" w:color="auto"/>
            <w:bottom w:val="none" w:sz="0" w:space="0" w:color="auto"/>
            <w:right w:val="none" w:sz="0" w:space="0" w:color="auto"/>
          </w:divBdr>
        </w:div>
        <w:div w:id="411512960">
          <w:marLeft w:val="640"/>
          <w:marRight w:val="0"/>
          <w:marTop w:val="0"/>
          <w:marBottom w:val="0"/>
          <w:divBdr>
            <w:top w:val="none" w:sz="0" w:space="0" w:color="auto"/>
            <w:left w:val="none" w:sz="0" w:space="0" w:color="auto"/>
            <w:bottom w:val="none" w:sz="0" w:space="0" w:color="auto"/>
            <w:right w:val="none" w:sz="0" w:space="0" w:color="auto"/>
          </w:divBdr>
        </w:div>
        <w:div w:id="2106266852">
          <w:marLeft w:val="640"/>
          <w:marRight w:val="0"/>
          <w:marTop w:val="0"/>
          <w:marBottom w:val="0"/>
          <w:divBdr>
            <w:top w:val="none" w:sz="0" w:space="0" w:color="auto"/>
            <w:left w:val="none" w:sz="0" w:space="0" w:color="auto"/>
            <w:bottom w:val="none" w:sz="0" w:space="0" w:color="auto"/>
            <w:right w:val="none" w:sz="0" w:space="0" w:color="auto"/>
          </w:divBdr>
        </w:div>
        <w:div w:id="457182618">
          <w:marLeft w:val="640"/>
          <w:marRight w:val="0"/>
          <w:marTop w:val="0"/>
          <w:marBottom w:val="0"/>
          <w:divBdr>
            <w:top w:val="none" w:sz="0" w:space="0" w:color="auto"/>
            <w:left w:val="none" w:sz="0" w:space="0" w:color="auto"/>
            <w:bottom w:val="none" w:sz="0" w:space="0" w:color="auto"/>
            <w:right w:val="none" w:sz="0" w:space="0" w:color="auto"/>
          </w:divBdr>
        </w:div>
        <w:div w:id="350034870">
          <w:marLeft w:val="640"/>
          <w:marRight w:val="0"/>
          <w:marTop w:val="0"/>
          <w:marBottom w:val="0"/>
          <w:divBdr>
            <w:top w:val="none" w:sz="0" w:space="0" w:color="auto"/>
            <w:left w:val="none" w:sz="0" w:space="0" w:color="auto"/>
            <w:bottom w:val="none" w:sz="0" w:space="0" w:color="auto"/>
            <w:right w:val="none" w:sz="0" w:space="0" w:color="auto"/>
          </w:divBdr>
        </w:div>
        <w:div w:id="917713241">
          <w:marLeft w:val="640"/>
          <w:marRight w:val="0"/>
          <w:marTop w:val="0"/>
          <w:marBottom w:val="0"/>
          <w:divBdr>
            <w:top w:val="none" w:sz="0" w:space="0" w:color="auto"/>
            <w:left w:val="none" w:sz="0" w:space="0" w:color="auto"/>
            <w:bottom w:val="none" w:sz="0" w:space="0" w:color="auto"/>
            <w:right w:val="none" w:sz="0" w:space="0" w:color="auto"/>
          </w:divBdr>
        </w:div>
        <w:div w:id="1837838761">
          <w:marLeft w:val="640"/>
          <w:marRight w:val="0"/>
          <w:marTop w:val="0"/>
          <w:marBottom w:val="0"/>
          <w:divBdr>
            <w:top w:val="none" w:sz="0" w:space="0" w:color="auto"/>
            <w:left w:val="none" w:sz="0" w:space="0" w:color="auto"/>
            <w:bottom w:val="none" w:sz="0" w:space="0" w:color="auto"/>
            <w:right w:val="none" w:sz="0" w:space="0" w:color="auto"/>
          </w:divBdr>
        </w:div>
        <w:div w:id="717322171">
          <w:marLeft w:val="640"/>
          <w:marRight w:val="0"/>
          <w:marTop w:val="0"/>
          <w:marBottom w:val="0"/>
          <w:divBdr>
            <w:top w:val="none" w:sz="0" w:space="0" w:color="auto"/>
            <w:left w:val="none" w:sz="0" w:space="0" w:color="auto"/>
            <w:bottom w:val="none" w:sz="0" w:space="0" w:color="auto"/>
            <w:right w:val="none" w:sz="0" w:space="0" w:color="auto"/>
          </w:divBdr>
        </w:div>
        <w:div w:id="246768600">
          <w:marLeft w:val="640"/>
          <w:marRight w:val="0"/>
          <w:marTop w:val="0"/>
          <w:marBottom w:val="0"/>
          <w:divBdr>
            <w:top w:val="none" w:sz="0" w:space="0" w:color="auto"/>
            <w:left w:val="none" w:sz="0" w:space="0" w:color="auto"/>
            <w:bottom w:val="none" w:sz="0" w:space="0" w:color="auto"/>
            <w:right w:val="none" w:sz="0" w:space="0" w:color="auto"/>
          </w:divBdr>
        </w:div>
        <w:div w:id="1132674744">
          <w:marLeft w:val="640"/>
          <w:marRight w:val="0"/>
          <w:marTop w:val="0"/>
          <w:marBottom w:val="0"/>
          <w:divBdr>
            <w:top w:val="none" w:sz="0" w:space="0" w:color="auto"/>
            <w:left w:val="none" w:sz="0" w:space="0" w:color="auto"/>
            <w:bottom w:val="none" w:sz="0" w:space="0" w:color="auto"/>
            <w:right w:val="none" w:sz="0" w:space="0" w:color="auto"/>
          </w:divBdr>
        </w:div>
        <w:div w:id="1429110609">
          <w:marLeft w:val="640"/>
          <w:marRight w:val="0"/>
          <w:marTop w:val="0"/>
          <w:marBottom w:val="0"/>
          <w:divBdr>
            <w:top w:val="none" w:sz="0" w:space="0" w:color="auto"/>
            <w:left w:val="none" w:sz="0" w:space="0" w:color="auto"/>
            <w:bottom w:val="none" w:sz="0" w:space="0" w:color="auto"/>
            <w:right w:val="none" w:sz="0" w:space="0" w:color="auto"/>
          </w:divBdr>
        </w:div>
        <w:div w:id="1299143112">
          <w:marLeft w:val="640"/>
          <w:marRight w:val="0"/>
          <w:marTop w:val="0"/>
          <w:marBottom w:val="0"/>
          <w:divBdr>
            <w:top w:val="none" w:sz="0" w:space="0" w:color="auto"/>
            <w:left w:val="none" w:sz="0" w:space="0" w:color="auto"/>
            <w:bottom w:val="none" w:sz="0" w:space="0" w:color="auto"/>
            <w:right w:val="none" w:sz="0" w:space="0" w:color="auto"/>
          </w:divBdr>
        </w:div>
        <w:div w:id="1098478215">
          <w:marLeft w:val="640"/>
          <w:marRight w:val="0"/>
          <w:marTop w:val="0"/>
          <w:marBottom w:val="0"/>
          <w:divBdr>
            <w:top w:val="none" w:sz="0" w:space="0" w:color="auto"/>
            <w:left w:val="none" w:sz="0" w:space="0" w:color="auto"/>
            <w:bottom w:val="none" w:sz="0" w:space="0" w:color="auto"/>
            <w:right w:val="none" w:sz="0" w:space="0" w:color="auto"/>
          </w:divBdr>
        </w:div>
        <w:div w:id="419300704">
          <w:marLeft w:val="640"/>
          <w:marRight w:val="0"/>
          <w:marTop w:val="0"/>
          <w:marBottom w:val="0"/>
          <w:divBdr>
            <w:top w:val="none" w:sz="0" w:space="0" w:color="auto"/>
            <w:left w:val="none" w:sz="0" w:space="0" w:color="auto"/>
            <w:bottom w:val="none" w:sz="0" w:space="0" w:color="auto"/>
            <w:right w:val="none" w:sz="0" w:space="0" w:color="auto"/>
          </w:divBdr>
        </w:div>
        <w:div w:id="1887137801">
          <w:marLeft w:val="640"/>
          <w:marRight w:val="0"/>
          <w:marTop w:val="0"/>
          <w:marBottom w:val="0"/>
          <w:divBdr>
            <w:top w:val="none" w:sz="0" w:space="0" w:color="auto"/>
            <w:left w:val="none" w:sz="0" w:space="0" w:color="auto"/>
            <w:bottom w:val="none" w:sz="0" w:space="0" w:color="auto"/>
            <w:right w:val="none" w:sz="0" w:space="0" w:color="auto"/>
          </w:divBdr>
        </w:div>
        <w:div w:id="1206286946">
          <w:marLeft w:val="640"/>
          <w:marRight w:val="0"/>
          <w:marTop w:val="0"/>
          <w:marBottom w:val="0"/>
          <w:divBdr>
            <w:top w:val="none" w:sz="0" w:space="0" w:color="auto"/>
            <w:left w:val="none" w:sz="0" w:space="0" w:color="auto"/>
            <w:bottom w:val="none" w:sz="0" w:space="0" w:color="auto"/>
            <w:right w:val="none" w:sz="0" w:space="0" w:color="auto"/>
          </w:divBdr>
        </w:div>
        <w:div w:id="381713055">
          <w:marLeft w:val="640"/>
          <w:marRight w:val="0"/>
          <w:marTop w:val="0"/>
          <w:marBottom w:val="0"/>
          <w:divBdr>
            <w:top w:val="none" w:sz="0" w:space="0" w:color="auto"/>
            <w:left w:val="none" w:sz="0" w:space="0" w:color="auto"/>
            <w:bottom w:val="none" w:sz="0" w:space="0" w:color="auto"/>
            <w:right w:val="none" w:sz="0" w:space="0" w:color="auto"/>
          </w:divBdr>
        </w:div>
        <w:div w:id="1299993080">
          <w:marLeft w:val="640"/>
          <w:marRight w:val="0"/>
          <w:marTop w:val="0"/>
          <w:marBottom w:val="0"/>
          <w:divBdr>
            <w:top w:val="none" w:sz="0" w:space="0" w:color="auto"/>
            <w:left w:val="none" w:sz="0" w:space="0" w:color="auto"/>
            <w:bottom w:val="none" w:sz="0" w:space="0" w:color="auto"/>
            <w:right w:val="none" w:sz="0" w:space="0" w:color="auto"/>
          </w:divBdr>
        </w:div>
        <w:div w:id="2110808722">
          <w:marLeft w:val="640"/>
          <w:marRight w:val="0"/>
          <w:marTop w:val="0"/>
          <w:marBottom w:val="0"/>
          <w:divBdr>
            <w:top w:val="none" w:sz="0" w:space="0" w:color="auto"/>
            <w:left w:val="none" w:sz="0" w:space="0" w:color="auto"/>
            <w:bottom w:val="none" w:sz="0" w:space="0" w:color="auto"/>
            <w:right w:val="none" w:sz="0" w:space="0" w:color="auto"/>
          </w:divBdr>
        </w:div>
        <w:div w:id="708994971">
          <w:marLeft w:val="640"/>
          <w:marRight w:val="0"/>
          <w:marTop w:val="0"/>
          <w:marBottom w:val="0"/>
          <w:divBdr>
            <w:top w:val="none" w:sz="0" w:space="0" w:color="auto"/>
            <w:left w:val="none" w:sz="0" w:space="0" w:color="auto"/>
            <w:bottom w:val="none" w:sz="0" w:space="0" w:color="auto"/>
            <w:right w:val="none" w:sz="0" w:space="0" w:color="auto"/>
          </w:divBdr>
        </w:div>
        <w:div w:id="1887524120">
          <w:marLeft w:val="640"/>
          <w:marRight w:val="0"/>
          <w:marTop w:val="0"/>
          <w:marBottom w:val="0"/>
          <w:divBdr>
            <w:top w:val="none" w:sz="0" w:space="0" w:color="auto"/>
            <w:left w:val="none" w:sz="0" w:space="0" w:color="auto"/>
            <w:bottom w:val="none" w:sz="0" w:space="0" w:color="auto"/>
            <w:right w:val="none" w:sz="0" w:space="0" w:color="auto"/>
          </w:divBdr>
        </w:div>
        <w:div w:id="2122872212">
          <w:marLeft w:val="640"/>
          <w:marRight w:val="0"/>
          <w:marTop w:val="0"/>
          <w:marBottom w:val="0"/>
          <w:divBdr>
            <w:top w:val="none" w:sz="0" w:space="0" w:color="auto"/>
            <w:left w:val="none" w:sz="0" w:space="0" w:color="auto"/>
            <w:bottom w:val="none" w:sz="0" w:space="0" w:color="auto"/>
            <w:right w:val="none" w:sz="0" w:space="0" w:color="auto"/>
          </w:divBdr>
        </w:div>
        <w:div w:id="792864250">
          <w:marLeft w:val="640"/>
          <w:marRight w:val="0"/>
          <w:marTop w:val="0"/>
          <w:marBottom w:val="0"/>
          <w:divBdr>
            <w:top w:val="none" w:sz="0" w:space="0" w:color="auto"/>
            <w:left w:val="none" w:sz="0" w:space="0" w:color="auto"/>
            <w:bottom w:val="none" w:sz="0" w:space="0" w:color="auto"/>
            <w:right w:val="none" w:sz="0" w:space="0" w:color="auto"/>
          </w:divBdr>
        </w:div>
        <w:div w:id="1896966464">
          <w:marLeft w:val="640"/>
          <w:marRight w:val="0"/>
          <w:marTop w:val="0"/>
          <w:marBottom w:val="0"/>
          <w:divBdr>
            <w:top w:val="none" w:sz="0" w:space="0" w:color="auto"/>
            <w:left w:val="none" w:sz="0" w:space="0" w:color="auto"/>
            <w:bottom w:val="none" w:sz="0" w:space="0" w:color="auto"/>
            <w:right w:val="none" w:sz="0" w:space="0" w:color="auto"/>
          </w:divBdr>
        </w:div>
        <w:div w:id="1715084494">
          <w:marLeft w:val="640"/>
          <w:marRight w:val="0"/>
          <w:marTop w:val="0"/>
          <w:marBottom w:val="0"/>
          <w:divBdr>
            <w:top w:val="none" w:sz="0" w:space="0" w:color="auto"/>
            <w:left w:val="none" w:sz="0" w:space="0" w:color="auto"/>
            <w:bottom w:val="none" w:sz="0" w:space="0" w:color="auto"/>
            <w:right w:val="none" w:sz="0" w:space="0" w:color="auto"/>
          </w:divBdr>
        </w:div>
        <w:div w:id="1177888889">
          <w:marLeft w:val="640"/>
          <w:marRight w:val="0"/>
          <w:marTop w:val="0"/>
          <w:marBottom w:val="0"/>
          <w:divBdr>
            <w:top w:val="none" w:sz="0" w:space="0" w:color="auto"/>
            <w:left w:val="none" w:sz="0" w:space="0" w:color="auto"/>
            <w:bottom w:val="none" w:sz="0" w:space="0" w:color="auto"/>
            <w:right w:val="none" w:sz="0" w:space="0" w:color="auto"/>
          </w:divBdr>
        </w:div>
        <w:div w:id="253828615">
          <w:marLeft w:val="640"/>
          <w:marRight w:val="0"/>
          <w:marTop w:val="0"/>
          <w:marBottom w:val="0"/>
          <w:divBdr>
            <w:top w:val="none" w:sz="0" w:space="0" w:color="auto"/>
            <w:left w:val="none" w:sz="0" w:space="0" w:color="auto"/>
            <w:bottom w:val="none" w:sz="0" w:space="0" w:color="auto"/>
            <w:right w:val="none" w:sz="0" w:space="0" w:color="auto"/>
          </w:divBdr>
        </w:div>
        <w:div w:id="172229135">
          <w:marLeft w:val="640"/>
          <w:marRight w:val="0"/>
          <w:marTop w:val="0"/>
          <w:marBottom w:val="0"/>
          <w:divBdr>
            <w:top w:val="none" w:sz="0" w:space="0" w:color="auto"/>
            <w:left w:val="none" w:sz="0" w:space="0" w:color="auto"/>
            <w:bottom w:val="none" w:sz="0" w:space="0" w:color="auto"/>
            <w:right w:val="none" w:sz="0" w:space="0" w:color="auto"/>
          </w:divBdr>
        </w:div>
        <w:div w:id="1733580629">
          <w:marLeft w:val="640"/>
          <w:marRight w:val="0"/>
          <w:marTop w:val="0"/>
          <w:marBottom w:val="0"/>
          <w:divBdr>
            <w:top w:val="none" w:sz="0" w:space="0" w:color="auto"/>
            <w:left w:val="none" w:sz="0" w:space="0" w:color="auto"/>
            <w:bottom w:val="none" w:sz="0" w:space="0" w:color="auto"/>
            <w:right w:val="none" w:sz="0" w:space="0" w:color="auto"/>
          </w:divBdr>
        </w:div>
        <w:div w:id="1517504167">
          <w:marLeft w:val="640"/>
          <w:marRight w:val="0"/>
          <w:marTop w:val="0"/>
          <w:marBottom w:val="0"/>
          <w:divBdr>
            <w:top w:val="none" w:sz="0" w:space="0" w:color="auto"/>
            <w:left w:val="none" w:sz="0" w:space="0" w:color="auto"/>
            <w:bottom w:val="none" w:sz="0" w:space="0" w:color="auto"/>
            <w:right w:val="none" w:sz="0" w:space="0" w:color="auto"/>
          </w:divBdr>
        </w:div>
        <w:div w:id="195967484">
          <w:marLeft w:val="640"/>
          <w:marRight w:val="0"/>
          <w:marTop w:val="0"/>
          <w:marBottom w:val="0"/>
          <w:divBdr>
            <w:top w:val="none" w:sz="0" w:space="0" w:color="auto"/>
            <w:left w:val="none" w:sz="0" w:space="0" w:color="auto"/>
            <w:bottom w:val="none" w:sz="0" w:space="0" w:color="auto"/>
            <w:right w:val="none" w:sz="0" w:space="0" w:color="auto"/>
          </w:divBdr>
        </w:div>
        <w:div w:id="1550218026">
          <w:marLeft w:val="640"/>
          <w:marRight w:val="0"/>
          <w:marTop w:val="0"/>
          <w:marBottom w:val="0"/>
          <w:divBdr>
            <w:top w:val="none" w:sz="0" w:space="0" w:color="auto"/>
            <w:left w:val="none" w:sz="0" w:space="0" w:color="auto"/>
            <w:bottom w:val="none" w:sz="0" w:space="0" w:color="auto"/>
            <w:right w:val="none" w:sz="0" w:space="0" w:color="auto"/>
          </w:divBdr>
        </w:div>
        <w:div w:id="797527802">
          <w:marLeft w:val="640"/>
          <w:marRight w:val="0"/>
          <w:marTop w:val="0"/>
          <w:marBottom w:val="0"/>
          <w:divBdr>
            <w:top w:val="none" w:sz="0" w:space="0" w:color="auto"/>
            <w:left w:val="none" w:sz="0" w:space="0" w:color="auto"/>
            <w:bottom w:val="none" w:sz="0" w:space="0" w:color="auto"/>
            <w:right w:val="none" w:sz="0" w:space="0" w:color="auto"/>
          </w:divBdr>
        </w:div>
        <w:div w:id="319233559">
          <w:marLeft w:val="640"/>
          <w:marRight w:val="0"/>
          <w:marTop w:val="0"/>
          <w:marBottom w:val="0"/>
          <w:divBdr>
            <w:top w:val="none" w:sz="0" w:space="0" w:color="auto"/>
            <w:left w:val="none" w:sz="0" w:space="0" w:color="auto"/>
            <w:bottom w:val="none" w:sz="0" w:space="0" w:color="auto"/>
            <w:right w:val="none" w:sz="0" w:space="0" w:color="auto"/>
          </w:divBdr>
        </w:div>
        <w:div w:id="871646791">
          <w:marLeft w:val="640"/>
          <w:marRight w:val="0"/>
          <w:marTop w:val="0"/>
          <w:marBottom w:val="0"/>
          <w:divBdr>
            <w:top w:val="none" w:sz="0" w:space="0" w:color="auto"/>
            <w:left w:val="none" w:sz="0" w:space="0" w:color="auto"/>
            <w:bottom w:val="none" w:sz="0" w:space="0" w:color="auto"/>
            <w:right w:val="none" w:sz="0" w:space="0" w:color="auto"/>
          </w:divBdr>
        </w:div>
        <w:div w:id="1501695989">
          <w:marLeft w:val="640"/>
          <w:marRight w:val="0"/>
          <w:marTop w:val="0"/>
          <w:marBottom w:val="0"/>
          <w:divBdr>
            <w:top w:val="none" w:sz="0" w:space="0" w:color="auto"/>
            <w:left w:val="none" w:sz="0" w:space="0" w:color="auto"/>
            <w:bottom w:val="none" w:sz="0" w:space="0" w:color="auto"/>
            <w:right w:val="none" w:sz="0" w:space="0" w:color="auto"/>
          </w:divBdr>
        </w:div>
        <w:div w:id="1599830708">
          <w:marLeft w:val="640"/>
          <w:marRight w:val="0"/>
          <w:marTop w:val="0"/>
          <w:marBottom w:val="0"/>
          <w:divBdr>
            <w:top w:val="none" w:sz="0" w:space="0" w:color="auto"/>
            <w:left w:val="none" w:sz="0" w:space="0" w:color="auto"/>
            <w:bottom w:val="none" w:sz="0" w:space="0" w:color="auto"/>
            <w:right w:val="none" w:sz="0" w:space="0" w:color="auto"/>
          </w:divBdr>
        </w:div>
        <w:div w:id="578447097">
          <w:marLeft w:val="640"/>
          <w:marRight w:val="0"/>
          <w:marTop w:val="0"/>
          <w:marBottom w:val="0"/>
          <w:divBdr>
            <w:top w:val="none" w:sz="0" w:space="0" w:color="auto"/>
            <w:left w:val="none" w:sz="0" w:space="0" w:color="auto"/>
            <w:bottom w:val="none" w:sz="0" w:space="0" w:color="auto"/>
            <w:right w:val="none" w:sz="0" w:space="0" w:color="auto"/>
          </w:divBdr>
        </w:div>
        <w:div w:id="188027746">
          <w:marLeft w:val="640"/>
          <w:marRight w:val="0"/>
          <w:marTop w:val="0"/>
          <w:marBottom w:val="0"/>
          <w:divBdr>
            <w:top w:val="none" w:sz="0" w:space="0" w:color="auto"/>
            <w:left w:val="none" w:sz="0" w:space="0" w:color="auto"/>
            <w:bottom w:val="none" w:sz="0" w:space="0" w:color="auto"/>
            <w:right w:val="none" w:sz="0" w:space="0" w:color="auto"/>
          </w:divBdr>
        </w:div>
        <w:div w:id="1884245056">
          <w:marLeft w:val="640"/>
          <w:marRight w:val="0"/>
          <w:marTop w:val="0"/>
          <w:marBottom w:val="0"/>
          <w:divBdr>
            <w:top w:val="none" w:sz="0" w:space="0" w:color="auto"/>
            <w:left w:val="none" w:sz="0" w:space="0" w:color="auto"/>
            <w:bottom w:val="none" w:sz="0" w:space="0" w:color="auto"/>
            <w:right w:val="none" w:sz="0" w:space="0" w:color="auto"/>
          </w:divBdr>
        </w:div>
        <w:div w:id="1365904810">
          <w:marLeft w:val="640"/>
          <w:marRight w:val="0"/>
          <w:marTop w:val="0"/>
          <w:marBottom w:val="0"/>
          <w:divBdr>
            <w:top w:val="none" w:sz="0" w:space="0" w:color="auto"/>
            <w:left w:val="none" w:sz="0" w:space="0" w:color="auto"/>
            <w:bottom w:val="none" w:sz="0" w:space="0" w:color="auto"/>
            <w:right w:val="none" w:sz="0" w:space="0" w:color="auto"/>
          </w:divBdr>
        </w:div>
        <w:div w:id="1298954623">
          <w:marLeft w:val="640"/>
          <w:marRight w:val="0"/>
          <w:marTop w:val="0"/>
          <w:marBottom w:val="0"/>
          <w:divBdr>
            <w:top w:val="none" w:sz="0" w:space="0" w:color="auto"/>
            <w:left w:val="none" w:sz="0" w:space="0" w:color="auto"/>
            <w:bottom w:val="none" w:sz="0" w:space="0" w:color="auto"/>
            <w:right w:val="none" w:sz="0" w:space="0" w:color="auto"/>
          </w:divBdr>
        </w:div>
        <w:div w:id="1422486223">
          <w:marLeft w:val="640"/>
          <w:marRight w:val="0"/>
          <w:marTop w:val="0"/>
          <w:marBottom w:val="0"/>
          <w:divBdr>
            <w:top w:val="none" w:sz="0" w:space="0" w:color="auto"/>
            <w:left w:val="none" w:sz="0" w:space="0" w:color="auto"/>
            <w:bottom w:val="none" w:sz="0" w:space="0" w:color="auto"/>
            <w:right w:val="none" w:sz="0" w:space="0" w:color="auto"/>
          </w:divBdr>
        </w:div>
        <w:div w:id="586352233">
          <w:marLeft w:val="640"/>
          <w:marRight w:val="0"/>
          <w:marTop w:val="0"/>
          <w:marBottom w:val="0"/>
          <w:divBdr>
            <w:top w:val="none" w:sz="0" w:space="0" w:color="auto"/>
            <w:left w:val="none" w:sz="0" w:space="0" w:color="auto"/>
            <w:bottom w:val="none" w:sz="0" w:space="0" w:color="auto"/>
            <w:right w:val="none" w:sz="0" w:space="0" w:color="auto"/>
          </w:divBdr>
        </w:div>
        <w:div w:id="2127506301">
          <w:marLeft w:val="640"/>
          <w:marRight w:val="0"/>
          <w:marTop w:val="0"/>
          <w:marBottom w:val="0"/>
          <w:divBdr>
            <w:top w:val="none" w:sz="0" w:space="0" w:color="auto"/>
            <w:left w:val="none" w:sz="0" w:space="0" w:color="auto"/>
            <w:bottom w:val="none" w:sz="0" w:space="0" w:color="auto"/>
            <w:right w:val="none" w:sz="0" w:space="0" w:color="auto"/>
          </w:divBdr>
        </w:div>
        <w:div w:id="167719217">
          <w:marLeft w:val="640"/>
          <w:marRight w:val="0"/>
          <w:marTop w:val="0"/>
          <w:marBottom w:val="0"/>
          <w:divBdr>
            <w:top w:val="none" w:sz="0" w:space="0" w:color="auto"/>
            <w:left w:val="none" w:sz="0" w:space="0" w:color="auto"/>
            <w:bottom w:val="none" w:sz="0" w:space="0" w:color="auto"/>
            <w:right w:val="none" w:sz="0" w:space="0" w:color="auto"/>
          </w:divBdr>
        </w:div>
        <w:div w:id="1871649786">
          <w:marLeft w:val="640"/>
          <w:marRight w:val="0"/>
          <w:marTop w:val="0"/>
          <w:marBottom w:val="0"/>
          <w:divBdr>
            <w:top w:val="none" w:sz="0" w:space="0" w:color="auto"/>
            <w:left w:val="none" w:sz="0" w:space="0" w:color="auto"/>
            <w:bottom w:val="none" w:sz="0" w:space="0" w:color="auto"/>
            <w:right w:val="none" w:sz="0" w:space="0" w:color="auto"/>
          </w:divBdr>
        </w:div>
        <w:div w:id="1021584593">
          <w:marLeft w:val="640"/>
          <w:marRight w:val="0"/>
          <w:marTop w:val="0"/>
          <w:marBottom w:val="0"/>
          <w:divBdr>
            <w:top w:val="none" w:sz="0" w:space="0" w:color="auto"/>
            <w:left w:val="none" w:sz="0" w:space="0" w:color="auto"/>
            <w:bottom w:val="none" w:sz="0" w:space="0" w:color="auto"/>
            <w:right w:val="none" w:sz="0" w:space="0" w:color="auto"/>
          </w:divBdr>
        </w:div>
        <w:div w:id="382869038">
          <w:marLeft w:val="640"/>
          <w:marRight w:val="0"/>
          <w:marTop w:val="0"/>
          <w:marBottom w:val="0"/>
          <w:divBdr>
            <w:top w:val="none" w:sz="0" w:space="0" w:color="auto"/>
            <w:left w:val="none" w:sz="0" w:space="0" w:color="auto"/>
            <w:bottom w:val="none" w:sz="0" w:space="0" w:color="auto"/>
            <w:right w:val="none" w:sz="0" w:space="0" w:color="auto"/>
          </w:divBdr>
        </w:div>
        <w:div w:id="238830291">
          <w:marLeft w:val="640"/>
          <w:marRight w:val="0"/>
          <w:marTop w:val="0"/>
          <w:marBottom w:val="0"/>
          <w:divBdr>
            <w:top w:val="none" w:sz="0" w:space="0" w:color="auto"/>
            <w:left w:val="none" w:sz="0" w:space="0" w:color="auto"/>
            <w:bottom w:val="none" w:sz="0" w:space="0" w:color="auto"/>
            <w:right w:val="none" w:sz="0" w:space="0" w:color="auto"/>
          </w:divBdr>
        </w:div>
        <w:div w:id="2125808380">
          <w:marLeft w:val="640"/>
          <w:marRight w:val="0"/>
          <w:marTop w:val="0"/>
          <w:marBottom w:val="0"/>
          <w:divBdr>
            <w:top w:val="none" w:sz="0" w:space="0" w:color="auto"/>
            <w:left w:val="none" w:sz="0" w:space="0" w:color="auto"/>
            <w:bottom w:val="none" w:sz="0" w:space="0" w:color="auto"/>
            <w:right w:val="none" w:sz="0" w:space="0" w:color="auto"/>
          </w:divBdr>
        </w:div>
        <w:div w:id="1035351785">
          <w:marLeft w:val="640"/>
          <w:marRight w:val="0"/>
          <w:marTop w:val="0"/>
          <w:marBottom w:val="0"/>
          <w:divBdr>
            <w:top w:val="none" w:sz="0" w:space="0" w:color="auto"/>
            <w:left w:val="none" w:sz="0" w:space="0" w:color="auto"/>
            <w:bottom w:val="none" w:sz="0" w:space="0" w:color="auto"/>
            <w:right w:val="none" w:sz="0" w:space="0" w:color="auto"/>
          </w:divBdr>
        </w:div>
        <w:div w:id="646057076">
          <w:marLeft w:val="640"/>
          <w:marRight w:val="0"/>
          <w:marTop w:val="0"/>
          <w:marBottom w:val="0"/>
          <w:divBdr>
            <w:top w:val="none" w:sz="0" w:space="0" w:color="auto"/>
            <w:left w:val="none" w:sz="0" w:space="0" w:color="auto"/>
            <w:bottom w:val="none" w:sz="0" w:space="0" w:color="auto"/>
            <w:right w:val="none" w:sz="0" w:space="0" w:color="auto"/>
          </w:divBdr>
        </w:div>
        <w:div w:id="1552770565">
          <w:marLeft w:val="640"/>
          <w:marRight w:val="0"/>
          <w:marTop w:val="0"/>
          <w:marBottom w:val="0"/>
          <w:divBdr>
            <w:top w:val="none" w:sz="0" w:space="0" w:color="auto"/>
            <w:left w:val="none" w:sz="0" w:space="0" w:color="auto"/>
            <w:bottom w:val="none" w:sz="0" w:space="0" w:color="auto"/>
            <w:right w:val="none" w:sz="0" w:space="0" w:color="auto"/>
          </w:divBdr>
        </w:div>
        <w:div w:id="1596789181">
          <w:marLeft w:val="640"/>
          <w:marRight w:val="0"/>
          <w:marTop w:val="0"/>
          <w:marBottom w:val="0"/>
          <w:divBdr>
            <w:top w:val="none" w:sz="0" w:space="0" w:color="auto"/>
            <w:left w:val="none" w:sz="0" w:space="0" w:color="auto"/>
            <w:bottom w:val="none" w:sz="0" w:space="0" w:color="auto"/>
            <w:right w:val="none" w:sz="0" w:space="0" w:color="auto"/>
          </w:divBdr>
        </w:div>
        <w:div w:id="141311698">
          <w:marLeft w:val="640"/>
          <w:marRight w:val="0"/>
          <w:marTop w:val="0"/>
          <w:marBottom w:val="0"/>
          <w:divBdr>
            <w:top w:val="none" w:sz="0" w:space="0" w:color="auto"/>
            <w:left w:val="none" w:sz="0" w:space="0" w:color="auto"/>
            <w:bottom w:val="none" w:sz="0" w:space="0" w:color="auto"/>
            <w:right w:val="none" w:sz="0" w:space="0" w:color="auto"/>
          </w:divBdr>
        </w:div>
        <w:div w:id="625158679">
          <w:marLeft w:val="640"/>
          <w:marRight w:val="0"/>
          <w:marTop w:val="0"/>
          <w:marBottom w:val="0"/>
          <w:divBdr>
            <w:top w:val="none" w:sz="0" w:space="0" w:color="auto"/>
            <w:left w:val="none" w:sz="0" w:space="0" w:color="auto"/>
            <w:bottom w:val="none" w:sz="0" w:space="0" w:color="auto"/>
            <w:right w:val="none" w:sz="0" w:space="0" w:color="auto"/>
          </w:divBdr>
        </w:div>
        <w:div w:id="355077864">
          <w:marLeft w:val="640"/>
          <w:marRight w:val="0"/>
          <w:marTop w:val="0"/>
          <w:marBottom w:val="0"/>
          <w:divBdr>
            <w:top w:val="none" w:sz="0" w:space="0" w:color="auto"/>
            <w:left w:val="none" w:sz="0" w:space="0" w:color="auto"/>
            <w:bottom w:val="none" w:sz="0" w:space="0" w:color="auto"/>
            <w:right w:val="none" w:sz="0" w:space="0" w:color="auto"/>
          </w:divBdr>
        </w:div>
        <w:div w:id="543102408">
          <w:marLeft w:val="640"/>
          <w:marRight w:val="0"/>
          <w:marTop w:val="0"/>
          <w:marBottom w:val="0"/>
          <w:divBdr>
            <w:top w:val="none" w:sz="0" w:space="0" w:color="auto"/>
            <w:left w:val="none" w:sz="0" w:space="0" w:color="auto"/>
            <w:bottom w:val="none" w:sz="0" w:space="0" w:color="auto"/>
            <w:right w:val="none" w:sz="0" w:space="0" w:color="auto"/>
          </w:divBdr>
        </w:div>
        <w:div w:id="1362126753">
          <w:marLeft w:val="640"/>
          <w:marRight w:val="0"/>
          <w:marTop w:val="0"/>
          <w:marBottom w:val="0"/>
          <w:divBdr>
            <w:top w:val="none" w:sz="0" w:space="0" w:color="auto"/>
            <w:left w:val="none" w:sz="0" w:space="0" w:color="auto"/>
            <w:bottom w:val="none" w:sz="0" w:space="0" w:color="auto"/>
            <w:right w:val="none" w:sz="0" w:space="0" w:color="auto"/>
          </w:divBdr>
        </w:div>
        <w:div w:id="2114669543">
          <w:marLeft w:val="640"/>
          <w:marRight w:val="0"/>
          <w:marTop w:val="0"/>
          <w:marBottom w:val="0"/>
          <w:divBdr>
            <w:top w:val="none" w:sz="0" w:space="0" w:color="auto"/>
            <w:left w:val="none" w:sz="0" w:space="0" w:color="auto"/>
            <w:bottom w:val="none" w:sz="0" w:space="0" w:color="auto"/>
            <w:right w:val="none" w:sz="0" w:space="0" w:color="auto"/>
          </w:divBdr>
        </w:div>
        <w:div w:id="722798121">
          <w:marLeft w:val="640"/>
          <w:marRight w:val="0"/>
          <w:marTop w:val="0"/>
          <w:marBottom w:val="0"/>
          <w:divBdr>
            <w:top w:val="none" w:sz="0" w:space="0" w:color="auto"/>
            <w:left w:val="none" w:sz="0" w:space="0" w:color="auto"/>
            <w:bottom w:val="none" w:sz="0" w:space="0" w:color="auto"/>
            <w:right w:val="none" w:sz="0" w:space="0" w:color="auto"/>
          </w:divBdr>
        </w:div>
        <w:div w:id="721753767">
          <w:marLeft w:val="640"/>
          <w:marRight w:val="0"/>
          <w:marTop w:val="0"/>
          <w:marBottom w:val="0"/>
          <w:divBdr>
            <w:top w:val="none" w:sz="0" w:space="0" w:color="auto"/>
            <w:left w:val="none" w:sz="0" w:space="0" w:color="auto"/>
            <w:bottom w:val="none" w:sz="0" w:space="0" w:color="auto"/>
            <w:right w:val="none" w:sz="0" w:space="0" w:color="auto"/>
          </w:divBdr>
        </w:div>
        <w:div w:id="358776620">
          <w:marLeft w:val="640"/>
          <w:marRight w:val="0"/>
          <w:marTop w:val="0"/>
          <w:marBottom w:val="0"/>
          <w:divBdr>
            <w:top w:val="none" w:sz="0" w:space="0" w:color="auto"/>
            <w:left w:val="none" w:sz="0" w:space="0" w:color="auto"/>
            <w:bottom w:val="none" w:sz="0" w:space="0" w:color="auto"/>
            <w:right w:val="none" w:sz="0" w:space="0" w:color="auto"/>
          </w:divBdr>
        </w:div>
        <w:div w:id="2064020973">
          <w:marLeft w:val="640"/>
          <w:marRight w:val="0"/>
          <w:marTop w:val="0"/>
          <w:marBottom w:val="0"/>
          <w:divBdr>
            <w:top w:val="none" w:sz="0" w:space="0" w:color="auto"/>
            <w:left w:val="none" w:sz="0" w:space="0" w:color="auto"/>
            <w:bottom w:val="none" w:sz="0" w:space="0" w:color="auto"/>
            <w:right w:val="none" w:sz="0" w:space="0" w:color="auto"/>
          </w:divBdr>
        </w:div>
        <w:div w:id="1545215989">
          <w:marLeft w:val="640"/>
          <w:marRight w:val="0"/>
          <w:marTop w:val="0"/>
          <w:marBottom w:val="0"/>
          <w:divBdr>
            <w:top w:val="none" w:sz="0" w:space="0" w:color="auto"/>
            <w:left w:val="none" w:sz="0" w:space="0" w:color="auto"/>
            <w:bottom w:val="none" w:sz="0" w:space="0" w:color="auto"/>
            <w:right w:val="none" w:sz="0" w:space="0" w:color="auto"/>
          </w:divBdr>
        </w:div>
        <w:div w:id="1970936639">
          <w:marLeft w:val="640"/>
          <w:marRight w:val="0"/>
          <w:marTop w:val="0"/>
          <w:marBottom w:val="0"/>
          <w:divBdr>
            <w:top w:val="none" w:sz="0" w:space="0" w:color="auto"/>
            <w:left w:val="none" w:sz="0" w:space="0" w:color="auto"/>
            <w:bottom w:val="none" w:sz="0" w:space="0" w:color="auto"/>
            <w:right w:val="none" w:sz="0" w:space="0" w:color="auto"/>
          </w:divBdr>
        </w:div>
        <w:div w:id="13770414">
          <w:marLeft w:val="640"/>
          <w:marRight w:val="0"/>
          <w:marTop w:val="0"/>
          <w:marBottom w:val="0"/>
          <w:divBdr>
            <w:top w:val="none" w:sz="0" w:space="0" w:color="auto"/>
            <w:left w:val="none" w:sz="0" w:space="0" w:color="auto"/>
            <w:bottom w:val="none" w:sz="0" w:space="0" w:color="auto"/>
            <w:right w:val="none" w:sz="0" w:space="0" w:color="auto"/>
          </w:divBdr>
        </w:div>
        <w:div w:id="1674725379">
          <w:marLeft w:val="640"/>
          <w:marRight w:val="0"/>
          <w:marTop w:val="0"/>
          <w:marBottom w:val="0"/>
          <w:divBdr>
            <w:top w:val="none" w:sz="0" w:space="0" w:color="auto"/>
            <w:left w:val="none" w:sz="0" w:space="0" w:color="auto"/>
            <w:bottom w:val="none" w:sz="0" w:space="0" w:color="auto"/>
            <w:right w:val="none" w:sz="0" w:space="0" w:color="auto"/>
          </w:divBdr>
        </w:div>
        <w:div w:id="983462480">
          <w:marLeft w:val="640"/>
          <w:marRight w:val="0"/>
          <w:marTop w:val="0"/>
          <w:marBottom w:val="0"/>
          <w:divBdr>
            <w:top w:val="none" w:sz="0" w:space="0" w:color="auto"/>
            <w:left w:val="none" w:sz="0" w:space="0" w:color="auto"/>
            <w:bottom w:val="none" w:sz="0" w:space="0" w:color="auto"/>
            <w:right w:val="none" w:sz="0" w:space="0" w:color="auto"/>
          </w:divBdr>
        </w:div>
        <w:div w:id="1567228945">
          <w:marLeft w:val="640"/>
          <w:marRight w:val="0"/>
          <w:marTop w:val="0"/>
          <w:marBottom w:val="0"/>
          <w:divBdr>
            <w:top w:val="none" w:sz="0" w:space="0" w:color="auto"/>
            <w:left w:val="none" w:sz="0" w:space="0" w:color="auto"/>
            <w:bottom w:val="none" w:sz="0" w:space="0" w:color="auto"/>
            <w:right w:val="none" w:sz="0" w:space="0" w:color="auto"/>
          </w:divBdr>
        </w:div>
        <w:div w:id="363554765">
          <w:marLeft w:val="640"/>
          <w:marRight w:val="0"/>
          <w:marTop w:val="0"/>
          <w:marBottom w:val="0"/>
          <w:divBdr>
            <w:top w:val="none" w:sz="0" w:space="0" w:color="auto"/>
            <w:left w:val="none" w:sz="0" w:space="0" w:color="auto"/>
            <w:bottom w:val="none" w:sz="0" w:space="0" w:color="auto"/>
            <w:right w:val="none" w:sz="0" w:space="0" w:color="auto"/>
          </w:divBdr>
        </w:div>
        <w:div w:id="1259603375">
          <w:marLeft w:val="640"/>
          <w:marRight w:val="0"/>
          <w:marTop w:val="0"/>
          <w:marBottom w:val="0"/>
          <w:divBdr>
            <w:top w:val="none" w:sz="0" w:space="0" w:color="auto"/>
            <w:left w:val="none" w:sz="0" w:space="0" w:color="auto"/>
            <w:bottom w:val="none" w:sz="0" w:space="0" w:color="auto"/>
            <w:right w:val="none" w:sz="0" w:space="0" w:color="auto"/>
          </w:divBdr>
        </w:div>
        <w:div w:id="299576296">
          <w:marLeft w:val="640"/>
          <w:marRight w:val="0"/>
          <w:marTop w:val="0"/>
          <w:marBottom w:val="0"/>
          <w:divBdr>
            <w:top w:val="none" w:sz="0" w:space="0" w:color="auto"/>
            <w:left w:val="none" w:sz="0" w:space="0" w:color="auto"/>
            <w:bottom w:val="none" w:sz="0" w:space="0" w:color="auto"/>
            <w:right w:val="none" w:sz="0" w:space="0" w:color="auto"/>
          </w:divBdr>
        </w:div>
        <w:div w:id="663045404">
          <w:marLeft w:val="640"/>
          <w:marRight w:val="0"/>
          <w:marTop w:val="0"/>
          <w:marBottom w:val="0"/>
          <w:divBdr>
            <w:top w:val="none" w:sz="0" w:space="0" w:color="auto"/>
            <w:left w:val="none" w:sz="0" w:space="0" w:color="auto"/>
            <w:bottom w:val="none" w:sz="0" w:space="0" w:color="auto"/>
            <w:right w:val="none" w:sz="0" w:space="0" w:color="auto"/>
          </w:divBdr>
        </w:div>
        <w:div w:id="47531972">
          <w:marLeft w:val="640"/>
          <w:marRight w:val="0"/>
          <w:marTop w:val="0"/>
          <w:marBottom w:val="0"/>
          <w:divBdr>
            <w:top w:val="none" w:sz="0" w:space="0" w:color="auto"/>
            <w:left w:val="none" w:sz="0" w:space="0" w:color="auto"/>
            <w:bottom w:val="none" w:sz="0" w:space="0" w:color="auto"/>
            <w:right w:val="none" w:sz="0" w:space="0" w:color="auto"/>
          </w:divBdr>
        </w:div>
        <w:div w:id="512690770">
          <w:marLeft w:val="640"/>
          <w:marRight w:val="0"/>
          <w:marTop w:val="0"/>
          <w:marBottom w:val="0"/>
          <w:divBdr>
            <w:top w:val="none" w:sz="0" w:space="0" w:color="auto"/>
            <w:left w:val="none" w:sz="0" w:space="0" w:color="auto"/>
            <w:bottom w:val="none" w:sz="0" w:space="0" w:color="auto"/>
            <w:right w:val="none" w:sz="0" w:space="0" w:color="auto"/>
          </w:divBdr>
        </w:div>
        <w:div w:id="1789886389">
          <w:marLeft w:val="640"/>
          <w:marRight w:val="0"/>
          <w:marTop w:val="0"/>
          <w:marBottom w:val="0"/>
          <w:divBdr>
            <w:top w:val="none" w:sz="0" w:space="0" w:color="auto"/>
            <w:left w:val="none" w:sz="0" w:space="0" w:color="auto"/>
            <w:bottom w:val="none" w:sz="0" w:space="0" w:color="auto"/>
            <w:right w:val="none" w:sz="0" w:space="0" w:color="auto"/>
          </w:divBdr>
        </w:div>
        <w:div w:id="1433404363">
          <w:marLeft w:val="640"/>
          <w:marRight w:val="0"/>
          <w:marTop w:val="0"/>
          <w:marBottom w:val="0"/>
          <w:divBdr>
            <w:top w:val="none" w:sz="0" w:space="0" w:color="auto"/>
            <w:left w:val="none" w:sz="0" w:space="0" w:color="auto"/>
            <w:bottom w:val="none" w:sz="0" w:space="0" w:color="auto"/>
            <w:right w:val="none" w:sz="0" w:space="0" w:color="auto"/>
          </w:divBdr>
        </w:div>
        <w:div w:id="1475223282">
          <w:marLeft w:val="640"/>
          <w:marRight w:val="0"/>
          <w:marTop w:val="0"/>
          <w:marBottom w:val="0"/>
          <w:divBdr>
            <w:top w:val="none" w:sz="0" w:space="0" w:color="auto"/>
            <w:left w:val="none" w:sz="0" w:space="0" w:color="auto"/>
            <w:bottom w:val="none" w:sz="0" w:space="0" w:color="auto"/>
            <w:right w:val="none" w:sz="0" w:space="0" w:color="auto"/>
          </w:divBdr>
        </w:div>
        <w:div w:id="144514849">
          <w:marLeft w:val="640"/>
          <w:marRight w:val="0"/>
          <w:marTop w:val="0"/>
          <w:marBottom w:val="0"/>
          <w:divBdr>
            <w:top w:val="none" w:sz="0" w:space="0" w:color="auto"/>
            <w:left w:val="none" w:sz="0" w:space="0" w:color="auto"/>
            <w:bottom w:val="none" w:sz="0" w:space="0" w:color="auto"/>
            <w:right w:val="none" w:sz="0" w:space="0" w:color="auto"/>
          </w:divBdr>
        </w:div>
        <w:div w:id="303588318">
          <w:marLeft w:val="640"/>
          <w:marRight w:val="0"/>
          <w:marTop w:val="0"/>
          <w:marBottom w:val="0"/>
          <w:divBdr>
            <w:top w:val="none" w:sz="0" w:space="0" w:color="auto"/>
            <w:left w:val="none" w:sz="0" w:space="0" w:color="auto"/>
            <w:bottom w:val="none" w:sz="0" w:space="0" w:color="auto"/>
            <w:right w:val="none" w:sz="0" w:space="0" w:color="auto"/>
          </w:divBdr>
        </w:div>
        <w:div w:id="1993021972">
          <w:marLeft w:val="640"/>
          <w:marRight w:val="0"/>
          <w:marTop w:val="0"/>
          <w:marBottom w:val="0"/>
          <w:divBdr>
            <w:top w:val="none" w:sz="0" w:space="0" w:color="auto"/>
            <w:left w:val="none" w:sz="0" w:space="0" w:color="auto"/>
            <w:bottom w:val="none" w:sz="0" w:space="0" w:color="auto"/>
            <w:right w:val="none" w:sz="0" w:space="0" w:color="auto"/>
          </w:divBdr>
        </w:div>
        <w:div w:id="523060625">
          <w:marLeft w:val="640"/>
          <w:marRight w:val="0"/>
          <w:marTop w:val="0"/>
          <w:marBottom w:val="0"/>
          <w:divBdr>
            <w:top w:val="none" w:sz="0" w:space="0" w:color="auto"/>
            <w:left w:val="none" w:sz="0" w:space="0" w:color="auto"/>
            <w:bottom w:val="none" w:sz="0" w:space="0" w:color="auto"/>
            <w:right w:val="none" w:sz="0" w:space="0" w:color="auto"/>
          </w:divBdr>
        </w:div>
        <w:div w:id="1347950380">
          <w:marLeft w:val="640"/>
          <w:marRight w:val="0"/>
          <w:marTop w:val="0"/>
          <w:marBottom w:val="0"/>
          <w:divBdr>
            <w:top w:val="none" w:sz="0" w:space="0" w:color="auto"/>
            <w:left w:val="none" w:sz="0" w:space="0" w:color="auto"/>
            <w:bottom w:val="none" w:sz="0" w:space="0" w:color="auto"/>
            <w:right w:val="none" w:sz="0" w:space="0" w:color="auto"/>
          </w:divBdr>
        </w:div>
        <w:div w:id="800342969">
          <w:marLeft w:val="640"/>
          <w:marRight w:val="0"/>
          <w:marTop w:val="0"/>
          <w:marBottom w:val="0"/>
          <w:divBdr>
            <w:top w:val="none" w:sz="0" w:space="0" w:color="auto"/>
            <w:left w:val="none" w:sz="0" w:space="0" w:color="auto"/>
            <w:bottom w:val="none" w:sz="0" w:space="0" w:color="auto"/>
            <w:right w:val="none" w:sz="0" w:space="0" w:color="auto"/>
          </w:divBdr>
        </w:div>
      </w:divsChild>
    </w:div>
    <w:div w:id="2003270229">
      <w:bodyDiv w:val="1"/>
      <w:marLeft w:val="0"/>
      <w:marRight w:val="0"/>
      <w:marTop w:val="0"/>
      <w:marBottom w:val="0"/>
      <w:divBdr>
        <w:top w:val="none" w:sz="0" w:space="0" w:color="auto"/>
        <w:left w:val="none" w:sz="0" w:space="0" w:color="auto"/>
        <w:bottom w:val="none" w:sz="0" w:space="0" w:color="auto"/>
        <w:right w:val="none" w:sz="0" w:space="0" w:color="auto"/>
      </w:divBdr>
      <w:divsChild>
        <w:div w:id="1083719515">
          <w:marLeft w:val="640"/>
          <w:marRight w:val="0"/>
          <w:marTop w:val="0"/>
          <w:marBottom w:val="0"/>
          <w:divBdr>
            <w:top w:val="none" w:sz="0" w:space="0" w:color="auto"/>
            <w:left w:val="none" w:sz="0" w:space="0" w:color="auto"/>
            <w:bottom w:val="none" w:sz="0" w:space="0" w:color="auto"/>
            <w:right w:val="none" w:sz="0" w:space="0" w:color="auto"/>
          </w:divBdr>
        </w:div>
        <w:div w:id="1643189487">
          <w:marLeft w:val="640"/>
          <w:marRight w:val="0"/>
          <w:marTop w:val="0"/>
          <w:marBottom w:val="0"/>
          <w:divBdr>
            <w:top w:val="none" w:sz="0" w:space="0" w:color="auto"/>
            <w:left w:val="none" w:sz="0" w:space="0" w:color="auto"/>
            <w:bottom w:val="none" w:sz="0" w:space="0" w:color="auto"/>
            <w:right w:val="none" w:sz="0" w:space="0" w:color="auto"/>
          </w:divBdr>
        </w:div>
        <w:div w:id="963584549">
          <w:marLeft w:val="640"/>
          <w:marRight w:val="0"/>
          <w:marTop w:val="0"/>
          <w:marBottom w:val="0"/>
          <w:divBdr>
            <w:top w:val="none" w:sz="0" w:space="0" w:color="auto"/>
            <w:left w:val="none" w:sz="0" w:space="0" w:color="auto"/>
            <w:bottom w:val="none" w:sz="0" w:space="0" w:color="auto"/>
            <w:right w:val="none" w:sz="0" w:space="0" w:color="auto"/>
          </w:divBdr>
        </w:div>
        <w:div w:id="1276599048">
          <w:marLeft w:val="640"/>
          <w:marRight w:val="0"/>
          <w:marTop w:val="0"/>
          <w:marBottom w:val="0"/>
          <w:divBdr>
            <w:top w:val="none" w:sz="0" w:space="0" w:color="auto"/>
            <w:left w:val="none" w:sz="0" w:space="0" w:color="auto"/>
            <w:bottom w:val="none" w:sz="0" w:space="0" w:color="auto"/>
            <w:right w:val="none" w:sz="0" w:space="0" w:color="auto"/>
          </w:divBdr>
        </w:div>
        <w:div w:id="893352268">
          <w:marLeft w:val="640"/>
          <w:marRight w:val="0"/>
          <w:marTop w:val="0"/>
          <w:marBottom w:val="0"/>
          <w:divBdr>
            <w:top w:val="none" w:sz="0" w:space="0" w:color="auto"/>
            <w:left w:val="none" w:sz="0" w:space="0" w:color="auto"/>
            <w:bottom w:val="none" w:sz="0" w:space="0" w:color="auto"/>
            <w:right w:val="none" w:sz="0" w:space="0" w:color="auto"/>
          </w:divBdr>
        </w:div>
        <w:div w:id="576941490">
          <w:marLeft w:val="640"/>
          <w:marRight w:val="0"/>
          <w:marTop w:val="0"/>
          <w:marBottom w:val="0"/>
          <w:divBdr>
            <w:top w:val="none" w:sz="0" w:space="0" w:color="auto"/>
            <w:left w:val="none" w:sz="0" w:space="0" w:color="auto"/>
            <w:bottom w:val="none" w:sz="0" w:space="0" w:color="auto"/>
            <w:right w:val="none" w:sz="0" w:space="0" w:color="auto"/>
          </w:divBdr>
        </w:div>
        <w:div w:id="547687770">
          <w:marLeft w:val="640"/>
          <w:marRight w:val="0"/>
          <w:marTop w:val="0"/>
          <w:marBottom w:val="0"/>
          <w:divBdr>
            <w:top w:val="none" w:sz="0" w:space="0" w:color="auto"/>
            <w:left w:val="none" w:sz="0" w:space="0" w:color="auto"/>
            <w:bottom w:val="none" w:sz="0" w:space="0" w:color="auto"/>
            <w:right w:val="none" w:sz="0" w:space="0" w:color="auto"/>
          </w:divBdr>
        </w:div>
        <w:div w:id="1592368">
          <w:marLeft w:val="640"/>
          <w:marRight w:val="0"/>
          <w:marTop w:val="0"/>
          <w:marBottom w:val="0"/>
          <w:divBdr>
            <w:top w:val="none" w:sz="0" w:space="0" w:color="auto"/>
            <w:left w:val="none" w:sz="0" w:space="0" w:color="auto"/>
            <w:bottom w:val="none" w:sz="0" w:space="0" w:color="auto"/>
            <w:right w:val="none" w:sz="0" w:space="0" w:color="auto"/>
          </w:divBdr>
        </w:div>
        <w:div w:id="2057194002">
          <w:marLeft w:val="640"/>
          <w:marRight w:val="0"/>
          <w:marTop w:val="0"/>
          <w:marBottom w:val="0"/>
          <w:divBdr>
            <w:top w:val="none" w:sz="0" w:space="0" w:color="auto"/>
            <w:left w:val="none" w:sz="0" w:space="0" w:color="auto"/>
            <w:bottom w:val="none" w:sz="0" w:space="0" w:color="auto"/>
            <w:right w:val="none" w:sz="0" w:space="0" w:color="auto"/>
          </w:divBdr>
        </w:div>
        <w:div w:id="492258299">
          <w:marLeft w:val="640"/>
          <w:marRight w:val="0"/>
          <w:marTop w:val="0"/>
          <w:marBottom w:val="0"/>
          <w:divBdr>
            <w:top w:val="none" w:sz="0" w:space="0" w:color="auto"/>
            <w:left w:val="none" w:sz="0" w:space="0" w:color="auto"/>
            <w:bottom w:val="none" w:sz="0" w:space="0" w:color="auto"/>
            <w:right w:val="none" w:sz="0" w:space="0" w:color="auto"/>
          </w:divBdr>
        </w:div>
        <w:div w:id="593634309">
          <w:marLeft w:val="640"/>
          <w:marRight w:val="0"/>
          <w:marTop w:val="0"/>
          <w:marBottom w:val="0"/>
          <w:divBdr>
            <w:top w:val="none" w:sz="0" w:space="0" w:color="auto"/>
            <w:left w:val="none" w:sz="0" w:space="0" w:color="auto"/>
            <w:bottom w:val="none" w:sz="0" w:space="0" w:color="auto"/>
            <w:right w:val="none" w:sz="0" w:space="0" w:color="auto"/>
          </w:divBdr>
        </w:div>
        <w:div w:id="1615794320">
          <w:marLeft w:val="640"/>
          <w:marRight w:val="0"/>
          <w:marTop w:val="0"/>
          <w:marBottom w:val="0"/>
          <w:divBdr>
            <w:top w:val="none" w:sz="0" w:space="0" w:color="auto"/>
            <w:left w:val="none" w:sz="0" w:space="0" w:color="auto"/>
            <w:bottom w:val="none" w:sz="0" w:space="0" w:color="auto"/>
            <w:right w:val="none" w:sz="0" w:space="0" w:color="auto"/>
          </w:divBdr>
        </w:div>
        <w:div w:id="1764451014">
          <w:marLeft w:val="640"/>
          <w:marRight w:val="0"/>
          <w:marTop w:val="0"/>
          <w:marBottom w:val="0"/>
          <w:divBdr>
            <w:top w:val="none" w:sz="0" w:space="0" w:color="auto"/>
            <w:left w:val="none" w:sz="0" w:space="0" w:color="auto"/>
            <w:bottom w:val="none" w:sz="0" w:space="0" w:color="auto"/>
            <w:right w:val="none" w:sz="0" w:space="0" w:color="auto"/>
          </w:divBdr>
        </w:div>
        <w:div w:id="463623209">
          <w:marLeft w:val="640"/>
          <w:marRight w:val="0"/>
          <w:marTop w:val="0"/>
          <w:marBottom w:val="0"/>
          <w:divBdr>
            <w:top w:val="none" w:sz="0" w:space="0" w:color="auto"/>
            <w:left w:val="none" w:sz="0" w:space="0" w:color="auto"/>
            <w:bottom w:val="none" w:sz="0" w:space="0" w:color="auto"/>
            <w:right w:val="none" w:sz="0" w:space="0" w:color="auto"/>
          </w:divBdr>
        </w:div>
        <w:div w:id="1013729627">
          <w:marLeft w:val="640"/>
          <w:marRight w:val="0"/>
          <w:marTop w:val="0"/>
          <w:marBottom w:val="0"/>
          <w:divBdr>
            <w:top w:val="none" w:sz="0" w:space="0" w:color="auto"/>
            <w:left w:val="none" w:sz="0" w:space="0" w:color="auto"/>
            <w:bottom w:val="none" w:sz="0" w:space="0" w:color="auto"/>
            <w:right w:val="none" w:sz="0" w:space="0" w:color="auto"/>
          </w:divBdr>
        </w:div>
        <w:div w:id="142819699">
          <w:marLeft w:val="640"/>
          <w:marRight w:val="0"/>
          <w:marTop w:val="0"/>
          <w:marBottom w:val="0"/>
          <w:divBdr>
            <w:top w:val="none" w:sz="0" w:space="0" w:color="auto"/>
            <w:left w:val="none" w:sz="0" w:space="0" w:color="auto"/>
            <w:bottom w:val="none" w:sz="0" w:space="0" w:color="auto"/>
            <w:right w:val="none" w:sz="0" w:space="0" w:color="auto"/>
          </w:divBdr>
        </w:div>
        <w:div w:id="772752307">
          <w:marLeft w:val="640"/>
          <w:marRight w:val="0"/>
          <w:marTop w:val="0"/>
          <w:marBottom w:val="0"/>
          <w:divBdr>
            <w:top w:val="none" w:sz="0" w:space="0" w:color="auto"/>
            <w:left w:val="none" w:sz="0" w:space="0" w:color="auto"/>
            <w:bottom w:val="none" w:sz="0" w:space="0" w:color="auto"/>
            <w:right w:val="none" w:sz="0" w:space="0" w:color="auto"/>
          </w:divBdr>
        </w:div>
        <w:div w:id="1510562143">
          <w:marLeft w:val="640"/>
          <w:marRight w:val="0"/>
          <w:marTop w:val="0"/>
          <w:marBottom w:val="0"/>
          <w:divBdr>
            <w:top w:val="none" w:sz="0" w:space="0" w:color="auto"/>
            <w:left w:val="none" w:sz="0" w:space="0" w:color="auto"/>
            <w:bottom w:val="none" w:sz="0" w:space="0" w:color="auto"/>
            <w:right w:val="none" w:sz="0" w:space="0" w:color="auto"/>
          </w:divBdr>
        </w:div>
        <w:div w:id="1487555676">
          <w:marLeft w:val="640"/>
          <w:marRight w:val="0"/>
          <w:marTop w:val="0"/>
          <w:marBottom w:val="0"/>
          <w:divBdr>
            <w:top w:val="none" w:sz="0" w:space="0" w:color="auto"/>
            <w:left w:val="none" w:sz="0" w:space="0" w:color="auto"/>
            <w:bottom w:val="none" w:sz="0" w:space="0" w:color="auto"/>
            <w:right w:val="none" w:sz="0" w:space="0" w:color="auto"/>
          </w:divBdr>
        </w:div>
        <w:div w:id="1222017008">
          <w:marLeft w:val="640"/>
          <w:marRight w:val="0"/>
          <w:marTop w:val="0"/>
          <w:marBottom w:val="0"/>
          <w:divBdr>
            <w:top w:val="none" w:sz="0" w:space="0" w:color="auto"/>
            <w:left w:val="none" w:sz="0" w:space="0" w:color="auto"/>
            <w:bottom w:val="none" w:sz="0" w:space="0" w:color="auto"/>
            <w:right w:val="none" w:sz="0" w:space="0" w:color="auto"/>
          </w:divBdr>
        </w:div>
        <w:div w:id="1775325280">
          <w:marLeft w:val="640"/>
          <w:marRight w:val="0"/>
          <w:marTop w:val="0"/>
          <w:marBottom w:val="0"/>
          <w:divBdr>
            <w:top w:val="none" w:sz="0" w:space="0" w:color="auto"/>
            <w:left w:val="none" w:sz="0" w:space="0" w:color="auto"/>
            <w:bottom w:val="none" w:sz="0" w:space="0" w:color="auto"/>
            <w:right w:val="none" w:sz="0" w:space="0" w:color="auto"/>
          </w:divBdr>
        </w:div>
        <w:div w:id="1916890787">
          <w:marLeft w:val="640"/>
          <w:marRight w:val="0"/>
          <w:marTop w:val="0"/>
          <w:marBottom w:val="0"/>
          <w:divBdr>
            <w:top w:val="none" w:sz="0" w:space="0" w:color="auto"/>
            <w:left w:val="none" w:sz="0" w:space="0" w:color="auto"/>
            <w:bottom w:val="none" w:sz="0" w:space="0" w:color="auto"/>
            <w:right w:val="none" w:sz="0" w:space="0" w:color="auto"/>
          </w:divBdr>
        </w:div>
        <w:div w:id="259605969">
          <w:marLeft w:val="640"/>
          <w:marRight w:val="0"/>
          <w:marTop w:val="0"/>
          <w:marBottom w:val="0"/>
          <w:divBdr>
            <w:top w:val="none" w:sz="0" w:space="0" w:color="auto"/>
            <w:left w:val="none" w:sz="0" w:space="0" w:color="auto"/>
            <w:bottom w:val="none" w:sz="0" w:space="0" w:color="auto"/>
            <w:right w:val="none" w:sz="0" w:space="0" w:color="auto"/>
          </w:divBdr>
        </w:div>
        <w:div w:id="1264805419">
          <w:marLeft w:val="640"/>
          <w:marRight w:val="0"/>
          <w:marTop w:val="0"/>
          <w:marBottom w:val="0"/>
          <w:divBdr>
            <w:top w:val="none" w:sz="0" w:space="0" w:color="auto"/>
            <w:left w:val="none" w:sz="0" w:space="0" w:color="auto"/>
            <w:bottom w:val="none" w:sz="0" w:space="0" w:color="auto"/>
            <w:right w:val="none" w:sz="0" w:space="0" w:color="auto"/>
          </w:divBdr>
        </w:div>
        <w:div w:id="1078672072">
          <w:marLeft w:val="640"/>
          <w:marRight w:val="0"/>
          <w:marTop w:val="0"/>
          <w:marBottom w:val="0"/>
          <w:divBdr>
            <w:top w:val="none" w:sz="0" w:space="0" w:color="auto"/>
            <w:left w:val="none" w:sz="0" w:space="0" w:color="auto"/>
            <w:bottom w:val="none" w:sz="0" w:space="0" w:color="auto"/>
            <w:right w:val="none" w:sz="0" w:space="0" w:color="auto"/>
          </w:divBdr>
        </w:div>
        <w:div w:id="1784374753">
          <w:marLeft w:val="640"/>
          <w:marRight w:val="0"/>
          <w:marTop w:val="0"/>
          <w:marBottom w:val="0"/>
          <w:divBdr>
            <w:top w:val="none" w:sz="0" w:space="0" w:color="auto"/>
            <w:left w:val="none" w:sz="0" w:space="0" w:color="auto"/>
            <w:bottom w:val="none" w:sz="0" w:space="0" w:color="auto"/>
            <w:right w:val="none" w:sz="0" w:space="0" w:color="auto"/>
          </w:divBdr>
        </w:div>
        <w:div w:id="914433825">
          <w:marLeft w:val="640"/>
          <w:marRight w:val="0"/>
          <w:marTop w:val="0"/>
          <w:marBottom w:val="0"/>
          <w:divBdr>
            <w:top w:val="none" w:sz="0" w:space="0" w:color="auto"/>
            <w:left w:val="none" w:sz="0" w:space="0" w:color="auto"/>
            <w:bottom w:val="none" w:sz="0" w:space="0" w:color="auto"/>
            <w:right w:val="none" w:sz="0" w:space="0" w:color="auto"/>
          </w:divBdr>
        </w:div>
        <w:div w:id="1443577415">
          <w:marLeft w:val="640"/>
          <w:marRight w:val="0"/>
          <w:marTop w:val="0"/>
          <w:marBottom w:val="0"/>
          <w:divBdr>
            <w:top w:val="none" w:sz="0" w:space="0" w:color="auto"/>
            <w:left w:val="none" w:sz="0" w:space="0" w:color="auto"/>
            <w:bottom w:val="none" w:sz="0" w:space="0" w:color="auto"/>
            <w:right w:val="none" w:sz="0" w:space="0" w:color="auto"/>
          </w:divBdr>
        </w:div>
        <w:div w:id="1623683746">
          <w:marLeft w:val="640"/>
          <w:marRight w:val="0"/>
          <w:marTop w:val="0"/>
          <w:marBottom w:val="0"/>
          <w:divBdr>
            <w:top w:val="none" w:sz="0" w:space="0" w:color="auto"/>
            <w:left w:val="none" w:sz="0" w:space="0" w:color="auto"/>
            <w:bottom w:val="none" w:sz="0" w:space="0" w:color="auto"/>
            <w:right w:val="none" w:sz="0" w:space="0" w:color="auto"/>
          </w:divBdr>
        </w:div>
        <w:div w:id="1807550247">
          <w:marLeft w:val="640"/>
          <w:marRight w:val="0"/>
          <w:marTop w:val="0"/>
          <w:marBottom w:val="0"/>
          <w:divBdr>
            <w:top w:val="none" w:sz="0" w:space="0" w:color="auto"/>
            <w:left w:val="none" w:sz="0" w:space="0" w:color="auto"/>
            <w:bottom w:val="none" w:sz="0" w:space="0" w:color="auto"/>
            <w:right w:val="none" w:sz="0" w:space="0" w:color="auto"/>
          </w:divBdr>
        </w:div>
        <w:div w:id="798836853">
          <w:marLeft w:val="640"/>
          <w:marRight w:val="0"/>
          <w:marTop w:val="0"/>
          <w:marBottom w:val="0"/>
          <w:divBdr>
            <w:top w:val="none" w:sz="0" w:space="0" w:color="auto"/>
            <w:left w:val="none" w:sz="0" w:space="0" w:color="auto"/>
            <w:bottom w:val="none" w:sz="0" w:space="0" w:color="auto"/>
            <w:right w:val="none" w:sz="0" w:space="0" w:color="auto"/>
          </w:divBdr>
        </w:div>
        <w:div w:id="368728945">
          <w:marLeft w:val="640"/>
          <w:marRight w:val="0"/>
          <w:marTop w:val="0"/>
          <w:marBottom w:val="0"/>
          <w:divBdr>
            <w:top w:val="none" w:sz="0" w:space="0" w:color="auto"/>
            <w:left w:val="none" w:sz="0" w:space="0" w:color="auto"/>
            <w:bottom w:val="none" w:sz="0" w:space="0" w:color="auto"/>
            <w:right w:val="none" w:sz="0" w:space="0" w:color="auto"/>
          </w:divBdr>
        </w:div>
        <w:div w:id="1597470980">
          <w:marLeft w:val="640"/>
          <w:marRight w:val="0"/>
          <w:marTop w:val="0"/>
          <w:marBottom w:val="0"/>
          <w:divBdr>
            <w:top w:val="none" w:sz="0" w:space="0" w:color="auto"/>
            <w:left w:val="none" w:sz="0" w:space="0" w:color="auto"/>
            <w:bottom w:val="none" w:sz="0" w:space="0" w:color="auto"/>
            <w:right w:val="none" w:sz="0" w:space="0" w:color="auto"/>
          </w:divBdr>
        </w:div>
        <w:div w:id="238751323">
          <w:marLeft w:val="640"/>
          <w:marRight w:val="0"/>
          <w:marTop w:val="0"/>
          <w:marBottom w:val="0"/>
          <w:divBdr>
            <w:top w:val="none" w:sz="0" w:space="0" w:color="auto"/>
            <w:left w:val="none" w:sz="0" w:space="0" w:color="auto"/>
            <w:bottom w:val="none" w:sz="0" w:space="0" w:color="auto"/>
            <w:right w:val="none" w:sz="0" w:space="0" w:color="auto"/>
          </w:divBdr>
        </w:div>
        <w:div w:id="515265072">
          <w:marLeft w:val="640"/>
          <w:marRight w:val="0"/>
          <w:marTop w:val="0"/>
          <w:marBottom w:val="0"/>
          <w:divBdr>
            <w:top w:val="none" w:sz="0" w:space="0" w:color="auto"/>
            <w:left w:val="none" w:sz="0" w:space="0" w:color="auto"/>
            <w:bottom w:val="none" w:sz="0" w:space="0" w:color="auto"/>
            <w:right w:val="none" w:sz="0" w:space="0" w:color="auto"/>
          </w:divBdr>
        </w:div>
        <w:div w:id="1734893057">
          <w:marLeft w:val="640"/>
          <w:marRight w:val="0"/>
          <w:marTop w:val="0"/>
          <w:marBottom w:val="0"/>
          <w:divBdr>
            <w:top w:val="none" w:sz="0" w:space="0" w:color="auto"/>
            <w:left w:val="none" w:sz="0" w:space="0" w:color="auto"/>
            <w:bottom w:val="none" w:sz="0" w:space="0" w:color="auto"/>
            <w:right w:val="none" w:sz="0" w:space="0" w:color="auto"/>
          </w:divBdr>
        </w:div>
        <w:div w:id="2133085141">
          <w:marLeft w:val="640"/>
          <w:marRight w:val="0"/>
          <w:marTop w:val="0"/>
          <w:marBottom w:val="0"/>
          <w:divBdr>
            <w:top w:val="none" w:sz="0" w:space="0" w:color="auto"/>
            <w:left w:val="none" w:sz="0" w:space="0" w:color="auto"/>
            <w:bottom w:val="none" w:sz="0" w:space="0" w:color="auto"/>
            <w:right w:val="none" w:sz="0" w:space="0" w:color="auto"/>
          </w:divBdr>
        </w:div>
        <w:div w:id="1466116957">
          <w:marLeft w:val="640"/>
          <w:marRight w:val="0"/>
          <w:marTop w:val="0"/>
          <w:marBottom w:val="0"/>
          <w:divBdr>
            <w:top w:val="none" w:sz="0" w:space="0" w:color="auto"/>
            <w:left w:val="none" w:sz="0" w:space="0" w:color="auto"/>
            <w:bottom w:val="none" w:sz="0" w:space="0" w:color="auto"/>
            <w:right w:val="none" w:sz="0" w:space="0" w:color="auto"/>
          </w:divBdr>
        </w:div>
        <w:div w:id="2101219244">
          <w:marLeft w:val="640"/>
          <w:marRight w:val="0"/>
          <w:marTop w:val="0"/>
          <w:marBottom w:val="0"/>
          <w:divBdr>
            <w:top w:val="none" w:sz="0" w:space="0" w:color="auto"/>
            <w:left w:val="none" w:sz="0" w:space="0" w:color="auto"/>
            <w:bottom w:val="none" w:sz="0" w:space="0" w:color="auto"/>
            <w:right w:val="none" w:sz="0" w:space="0" w:color="auto"/>
          </w:divBdr>
        </w:div>
        <w:div w:id="1343122679">
          <w:marLeft w:val="640"/>
          <w:marRight w:val="0"/>
          <w:marTop w:val="0"/>
          <w:marBottom w:val="0"/>
          <w:divBdr>
            <w:top w:val="none" w:sz="0" w:space="0" w:color="auto"/>
            <w:left w:val="none" w:sz="0" w:space="0" w:color="auto"/>
            <w:bottom w:val="none" w:sz="0" w:space="0" w:color="auto"/>
            <w:right w:val="none" w:sz="0" w:space="0" w:color="auto"/>
          </w:divBdr>
        </w:div>
        <w:div w:id="1458257513">
          <w:marLeft w:val="640"/>
          <w:marRight w:val="0"/>
          <w:marTop w:val="0"/>
          <w:marBottom w:val="0"/>
          <w:divBdr>
            <w:top w:val="none" w:sz="0" w:space="0" w:color="auto"/>
            <w:left w:val="none" w:sz="0" w:space="0" w:color="auto"/>
            <w:bottom w:val="none" w:sz="0" w:space="0" w:color="auto"/>
            <w:right w:val="none" w:sz="0" w:space="0" w:color="auto"/>
          </w:divBdr>
        </w:div>
        <w:div w:id="1173182797">
          <w:marLeft w:val="640"/>
          <w:marRight w:val="0"/>
          <w:marTop w:val="0"/>
          <w:marBottom w:val="0"/>
          <w:divBdr>
            <w:top w:val="none" w:sz="0" w:space="0" w:color="auto"/>
            <w:left w:val="none" w:sz="0" w:space="0" w:color="auto"/>
            <w:bottom w:val="none" w:sz="0" w:space="0" w:color="auto"/>
            <w:right w:val="none" w:sz="0" w:space="0" w:color="auto"/>
          </w:divBdr>
        </w:div>
        <w:div w:id="1064647604">
          <w:marLeft w:val="640"/>
          <w:marRight w:val="0"/>
          <w:marTop w:val="0"/>
          <w:marBottom w:val="0"/>
          <w:divBdr>
            <w:top w:val="none" w:sz="0" w:space="0" w:color="auto"/>
            <w:left w:val="none" w:sz="0" w:space="0" w:color="auto"/>
            <w:bottom w:val="none" w:sz="0" w:space="0" w:color="auto"/>
            <w:right w:val="none" w:sz="0" w:space="0" w:color="auto"/>
          </w:divBdr>
        </w:div>
        <w:div w:id="381829098">
          <w:marLeft w:val="640"/>
          <w:marRight w:val="0"/>
          <w:marTop w:val="0"/>
          <w:marBottom w:val="0"/>
          <w:divBdr>
            <w:top w:val="none" w:sz="0" w:space="0" w:color="auto"/>
            <w:left w:val="none" w:sz="0" w:space="0" w:color="auto"/>
            <w:bottom w:val="none" w:sz="0" w:space="0" w:color="auto"/>
            <w:right w:val="none" w:sz="0" w:space="0" w:color="auto"/>
          </w:divBdr>
        </w:div>
        <w:div w:id="377508235">
          <w:marLeft w:val="640"/>
          <w:marRight w:val="0"/>
          <w:marTop w:val="0"/>
          <w:marBottom w:val="0"/>
          <w:divBdr>
            <w:top w:val="none" w:sz="0" w:space="0" w:color="auto"/>
            <w:left w:val="none" w:sz="0" w:space="0" w:color="auto"/>
            <w:bottom w:val="none" w:sz="0" w:space="0" w:color="auto"/>
            <w:right w:val="none" w:sz="0" w:space="0" w:color="auto"/>
          </w:divBdr>
        </w:div>
        <w:div w:id="384258419">
          <w:marLeft w:val="640"/>
          <w:marRight w:val="0"/>
          <w:marTop w:val="0"/>
          <w:marBottom w:val="0"/>
          <w:divBdr>
            <w:top w:val="none" w:sz="0" w:space="0" w:color="auto"/>
            <w:left w:val="none" w:sz="0" w:space="0" w:color="auto"/>
            <w:bottom w:val="none" w:sz="0" w:space="0" w:color="auto"/>
            <w:right w:val="none" w:sz="0" w:space="0" w:color="auto"/>
          </w:divBdr>
        </w:div>
        <w:div w:id="1945649606">
          <w:marLeft w:val="640"/>
          <w:marRight w:val="0"/>
          <w:marTop w:val="0"/>
          <w:marBottom w:val="0"/>
          <w:divBdr>
            <w:top w:val="none" w:sz="0" w:space="0" w:color="auto"/>
            <w:left w:val="none" w:sz="0" w:space="0" w:color="auto"/>
            <w:bottom w:val="none" w:sz="0" w:space="0" w:color="auto"/>
            <w:right w:val="none" w:sz="0" w:space="0" w:color="auto"/>
          </w:divBdr>
        </w:div>
        <w:div w:id="581834062">
          <w:marLeft w:val="640"/>
          <w:marRight w:val="0"/>
          <w:marTop w:val="0"/>
          <w:marBottom w:val="0"/>
          <w:divBdr>
            <w:top w:val="none" w:sz="0" w:space="0" w:color="auto"/>
            <w:left w:val="none" w:sz="0" w:space="0" w:color="auto"/>
            <w:bottom w:val="none" w:sz="0" w:space="0" w:color="auto"/>
            <w:right w:val="none" w:sz="0" w:space="0" w:color="auto"/>
          </w:divBdr>
        </w:div>
        <w:div w:id="1719235862">
          <w:marLeft w:val="640"/>
          <w:marRight w:val="0"/>
          <w:marTop w:val="0"/>
          <w:marBottom w:val="0"/>
          <w:divBdr>
            <w:top w:val="none" w:sz="0" w:space="0" w:color="auto"/>
            <w:left w:val="none" w:sz="0" w:space="0" w:color="auto"/>
            <w:bottom w:val="none" w:sz="0" w:space="0" w:color="auto"/>
            <w:right w:val="none" w:sz="0" w:space="0" w:color="auto"/>
          </w:divBdr>
        </w:div>
        <w:div w:id="138691414">
          <w:marLeft w:val="640"/>
          <w:marRight w:val="0"/>
          <w:marTop w:val="0"/>
          <w:marBottom w:val="0"/>
          <w:divBdr>
            <w:top w:val="none" w:sz="0" w:space="0" w:color="auto"/>
            <w:left w:val="none" w:sz="0" w:space="0" w:color="auto"/>
            <w:bottom w:val="none" w:sz="0" w:space="0" w:color="auto"/>
            <w:right w:val="none" w:sz="0" w:space="0" w:color="auto"/>
          </w:divBdr>
        </w:div>
        <w:div w:id="559249610">
          <w:marLeft w:val="640"/>
          <w:marRight w:val="0"/>
          <w:marTop w:val="0"/>
          <w:marBottom w:val="0"/>
          <w:divBdr>
            <w:top w:val="none" w:sz="0" w:space="0" w:color="auto"/>
            <w:left w:val="none" w:sz="0" w:space="0" w:color="auto"/>
            <w:bottom w:val="none" w:sz="0" w:space="0" w:color="auto"/>
            <w:right w:val="none" w:sz="0" w:space="0" w:color="auto"/>
          </w:divBdr>
        </w:div>
        <w:div w:id="1250042959">
          <w:marLeft w:val="640"/>
          <w:marRight w:val="0"/>
          <w:marTop w:val="0"/>
          <w:marBottom w:val="0"/>
          <w:divBdr>
            <w:top w:val="none" w:sz="0" w:space="0" w:color="auto"/>
            <w:left w:val="none" w:sz="0" w:space="0" w:color="auto"/>
            <w:bottom w:val="none" w:sz="0" w:space="0" w:color="auto"/>
            <w:right w:val="none" w:sz="0" w:space="0" w:color="auto"/>
          </w:divBdr>
        </w:div>
        <w:div w:id="1028795193">
          <w:marLeft w:val="640"/>
          <w:marRight w:val="0"/>
          <w:marTop w:val="0"/>
          <w:marBottom w:val="0"/>
          <w:divBdr>
            <w:top w:val="none" w:sz="0" w:space="0" w:color="auto"/>
            <w:left w:val="none" w:sz="0" w:space="0" w:color="auto"/>
            <w:bottom w:val="none" w:sz="0" w:space="0" w:color="auto"/>
            <w:right w:val="none" w:sz="0" w:space="0" w:color="auto"/>
          </w:divBdr>
        </w:div>
        <w:div w:id="139468437">
          <w:marLeft w:val="640"/>
          <w:marRight w:val="0"/>
          <w:marTop w:val="0"/>
          <w:marBottom w:val="0"/>
          <w:divBdr>
            <w:top w:val="none" w:sz="0" w:space="0" w:color="auto"/>
            <w:left w:val="none" w:sz="0" w:space="0" w:color="auto"/>
            <w:bottom w:val="none" w:sz="0" w:space="0" w:color="auto"/>
            <w:right w:val="none" w:sz="0" w:space="0" w:color="auto"/>
          </w:divBdr>
        </w:div>
        <w:div w:id="277954252">
          <w:marLeft w:val="640"/>
          <w:marRight w:val="0"/>
          <w:marTop w:val="0"/>
          <w:marBottom w:val="0"/>
          <w:divBdr>
            <w:top w:val="none" w:sz="0" w:space="0" w:color="auto"/>
            <w:left w:val="none" w:sz="0" w:space="0" w:color="auto"/>
            <w:bottom w:val="none" w:sz="0" w:space="0" w:color="auto"/>
            <w:right w:val="none" w:sz="0" w:space="0" w:color="auto"/>
          </w:divBdr>
        </w:div>
        <w:div w:id="1776170327">
          <w:marLeft w:val="640"/>
          <w:marRight w:val="0"/>
          <w:marTop w:val="0"/>
          <w:marBottom w:val="0"/>
          <w:divBdr>
            <w:top w:val="none" w:sz="0" w:space="0" w:color="auto"/>
            <w:left w:val="none" w:sz="0" w:space="0" w:color="auto"/>
            <w:bottom w:val="none" w:sz="0" w:space="0" w:color="auto"/>
            <w:right w:val="none" w:sz="0" w:space="0" w:color="auto"/>
          </w:divBdr>
        </w:div>
        <w:div w:id="610821153">
          <w:marLeft w:val="640"/>
          <w:marRight w:val="0"/>
          <w:marTop w:val="0"/>
          <w:marBottom w:val="0"/>
          <w:divBdr>
            <w:top w:val="none" w:sz="0" w:space="0" w:color="auto"/>
            <w:left w:val="none" w:sz="0" w:space="0" w:color="auto"/>
            <w:bottom w:val="none" w:sz="0" w:space="0" w:color="auto"/>
            <w:right w:val="none" w:sz="0" w:space="0" w:color="auto"/>
          </w:divBdr>
        </w:div>
        <w:div w:id="187137114">
          <w:marLeft w:val="640"/>
          <w:marRight w:val="0"/>
          <w:marTop w:val="0"/>
          <w:marBottom w:val="0"/>
          <w:divBdr>
            <w:top w:val="none" w:sz="0" w:space="0" w:color="auto"/>
            <w:left w:val="none" w:sz="0" w:space="0" w:color="auto"/>
            <w:bottom w:val="none" w:sz="0" w:space="0" w:color="auto"/>
            <w:right w:val="none" w:sz="0" w:space="0" w:color="auto"/>
          </w:divBdr>
        </w:div>
        <w:div w:id="1572080293">
          <w:marLeft w:val="640"/>
          <w:marRight w:val="0"/>
          <w:marTop w:val="0"/>
          <w:marBottom w:val="0"/>
          <w:divBdr>
            <w:top w:val="none" w:sz="0" w:space="0" w:color="auto"/>
            <w:left w:val="none" w:sz="0" w:space="0" w:color="auto"/>
            <w:bottom w:val="none" w:sz="0" w:space="0" w:color="auto"/>
            <w:right w:val="none" w:sz="0" w:space="0" w:color="auto"/>
          </w:divBdr>
        </w:div>
        <w:div w:id="1860848234">
          <w:marLeft w:val="640"/>
          <w:marRight w:val="0"/>
          <w:marTop w:val="0"/>
          <w:marBottom w:val="0"/>
          <w:divBdr>
            <w:top w:val="none" w:sz="0" w:space="0" w:color="auto"/>
            <w:left w:val="none" w:sz="0" w:space="0" w:color="auto"/>
            <w:bottom w:val="none" w:sz="0" w:space="0" w:color="auto"/>
            <w:right w:val="none" w:sz="0" w:space="0" w:color="auto"/>
          </w:divBdr>
        </w:div>
        <w:div w:id="1196118380">
          <w:marLeft w:val="640"/>
          <w:marRight w:val="0"/>
          <w:marTop w:val="0"/>
          <w:marBottom w:val="0"/>
          <w:divBdr>
            <w:top w:val="none" w:sz="0" w:space="0" w:color="auto"/>
            <w:left w:val="none" w:sz="0" w:space="0" w:color="auto"/>
            <w:bottom w:val="none" w:sz="0" w:space="0" w:color="auto"/>
            <w:right w:val="none" w:sz="0" w:space="0" w:color="auto"/>
          </w:divBdr>
        </w:div>
        <w:div w:id="1916626835">
          <w:marLeft w:val="640"/>
          <w:marRight w:val="0"/>
          <w:marTop w:val="0"/>
          <w:marBottom w:val="0"/>
          <w:divBdr>
            <w:top w:val="none" w:sz="0" w:space="0" w:color="auto"/>
            <w:left w:val="none" w:sz="0" w:space="0" w:color="auto"/>
            <w:bottom w:val="none" w:sz="0" w:space="0" w:color="auto"/>
            <w:right w:val="none" w:sz="0" w:space="0" w:color="auto"/>
          </w:divBdr>
        </w:div>
        <w:div w:id="313223376">
          <w:marLeft w:val="640"/>
          <w:marRight w:val="0"/>
          <w:marTop w:val="0"/>
          <w:marBottom w:val="0"/>
          <w:divBdr>
            <w:top w:val="none" w:sz="0" w:space="0" w:color="auto"/>
            <w:left w:val="none" w:sz="0" w:space="0" w:color="auto"/>
            <w:bottom w:val="none" w:sz="0" w:space="0" w:color="auto"/>
            <w:right w:val="none" w:sz="0" w:space="0" w:color="auto"/>
          </w:divBdr>
        </w:div>
        <w:div w:id="3944390">
          <w:marLeft w:val="640"/>
          <w:marRight w:val="0"/>
          <w:marTop w:val="0"/>
          <w:marBottom w:val="0"/>
          <w:divBdr>
            <w:top w:val="none" w:sz="0" w:space="0" w:color="auto"/>
            <w:left w:val="none" w:sz="0" w:space="0" w:color="auto"/>
            <w:bottom w:val="none" w:sz="0" w:space="0" w:color="auto"/>
            <w:right w:val="none" w:sz="0" w:space="0" w:color="auto"/>
          </w:divBdr>
        </w:div>
        <w:div w:id="1719086851">
          <w:marLeft w:val="640"/>
          <w:marRight w:val="0"/>
          <w:marTop w:val="0"/>
          <w:marBottom w:val="0"/>
          <w:divBdr>
            <w:top w:val="none" w:sz="0" w:space="0" w:color="auto"/>
            <w:left w:val="none" w:sz="0" w:space="0" w:color="auto"/>
            <w:bottom w:val="none" w:sz="0" w:space="0" w:color="auto"/>
            <w:right w:val="none" w:sz="0" w:space="0" w:color="auto"/>
          </w:divBdr>
        </w:div>
        <w:div w:id="1826361243">
          <w:marLeft w:val="640"/>
          <w:marRight w:val="0"/>
          <w:marTop w:val="0"/>
          <w:marBottom w:val="0"/>
          <w:divBdr>
            <w:top w:val="none" w:sz="0" w:space="0" w:color="auto"/>
            <w:left w:val="none" w:sz="0" w:space="0" w:color="auto"/>
            <w:bottom w:val="none" w:sz="0" w:space="0" w:color="auto"/>
            <w:right w:val="none" w:sz="0" w:space="0" w:color="auto"/>
          </w:divBdr>
        </w:div>
        <w:div w:id="337391836">
          <w:marLeft w:val="640"/>
          <w:marRight w:val="0"/>
          <w:marTop w:val="0"/>
          <w:marBottom w:val="0"/>
          <w:divBdr>
            <w:top w:val="none" w:sz="0" w:space="0" w:color="auto"/>
            <w:left w:val="none" w:sz="0" w:space="0" w:color="auto"/>
            <w:bottom w:val="none" w:sz="0" w:space="0" w:color="auto"/>
            <w:right w:val="none" w:sz="0" w:space="0" w:color="auto"/>
          </w:divBdr>
        </w:div>
        <w:div w:id="1920213915">
          <w:marLeft w:val="640"/>
          <w:marRight w:val="0"/>
          <w:marTop w:val="0"/>
          <w:marBottom w:val="0"/>
          <w:divBdr>
            <w:top w:val="none" w:sz="0" w:space="0" w:color="auto"/>
            <w:left w:val="none" w:sz="0" w:space="0" w:color="auto"/>
            <w:bottom w:val="none" w:sz="0" w:space="0" w:color="auto"/>
            <w:right w:val="none" w:sz="0" w:space="0" w:color="auto"/>
          </w:divBdr>
        </w:div>
        <w:div w:id="1423526213">
          <w:marLeft w:val="640"/>
          <w:marRight w:val="0"/>
          <w:marTop w:val="0"/>
          <w:marBottom w:val="0"/>
          <w:divBdr>
            <w:top w:val="none" w:sz="0" w:space="0" w:color="auto"/>
            <w:left w:val="none" w:sz="0" w:space="0" w:color="auto"/>
            <w:bottom w:val="none" w:sz="0" w:space="0" w:color="auto"/>
            <w:right w:val="none" w:sz="0" w:space="0" w:color="auto"/>
          </w:divBdr>
        </w:div>
        <w:div w:id="679164244">
          <w:marLeft w:val="640"/>
          <w:marRight w:val="0"/>
          <w:marTop w:val="0"/>
          <w:marBottom w:val="0"/>
          <w:divBdr>
            <w:top w:val="none" w:sz="0" w:space="0" w:color="auto"/>
            <w:left w:val="none" w:sz="0" w:space="0" w:color="auto"/>
            <w:bottom w:val="none" w:sz="0" w:space="0" w:color="auto"/>
            <w:right w:val="none" w:sz="0" w:space="0" w:color="auto"/>
          </w:divBdr>
        </w:div>
        <w:div w:id="687407470">
          <w:marLeft w:val="640"/>
          <w:marRight w:val="0"/>
          <w:marTop w:val="0"/>
          <w:marBottom w:val="0"/>
          <w:divBdr>
            <w:top w:val="none" w:sz="0" w:space="0" w:color="auto"/>
            <w:left w:val="none" w:sz="0" w:space="0" w:color="auto"/>
            <w:bottom w:val="none" w:sz="0" w:space="0" w:color="auto"/>
            <w:right w:val="none" w:sz="0" w:space="0" w:color="auto"/>
          </w:divBdr>
        </w:div>
        <w:div w:id="259995685">
          <w:marLeft w:val="640"/>
          <w:marRight w:val="0"/>
          <w:marTop w:val="0"/>
          <w:marBottom w:val="0"/>
          <w:divBdr>
            <w:top w:val="none" w:sz="0" w:space="0" w:color="auto"/>
            <w:left w:val="none" w:sz="0" w:space="0" w:color="auto"/>
            <w:bottom w:val="none" w:sz="0" w:space="0" w:color="auto"/>
            <w:right w:val="none" w:sz="0" w:space="0" w:color="auto"/>
          </w:divBdr>
        </w:div>
        <w:div w:id="1149133646">
          <w:marLeft w:val="640"/>
          <w:marRight w:val="0"/>
          <w:marTop w:val="0"/>
          <w:marBottom w:val="0"/>
          <w:divBdr>
            <w:top w:val="none" w:sz="0" w:space="0" w:color="auto"/>
            <w:left w:val="none" w:sz="0" w:space="0" w:color="auto"/>
            <w:bottom w:val="none" w:sz="0" w:space="0" w:color="auto"/>
            <w:right w:val="none" w:sz="0" w:space="0" w:color="auto"/>
          </w:divBdr>
        </w:div>
        <w:div w:id="1427313107">
          <w:marLeft w:val="640"/>
          <w:marRight w:val="0"/>
          <w:marTop w:val="0"/>
          <w:marBottom w:val="0"/>
          <w:divBdr>
            <w:top w:val="none" w:sz="0" w:space="0" w:color="auto"/>
            <w:left w:val="none" w:sz="0" w:space="0" w:color="auto"/>
            <w:bottom w:val="none" w:sz="0" w:space="0" w:color="auto"/>
            <w:right w:val="none" w:sz="0" w:space="0" w:color="auto"/>
          </w:divBdr>
        </w:div>
        <w:div w:id="1988777735">
          <w:marLeft w:val="640"/>
          <w:marRight w:val="0"/>
          <w:marTop w:val="0"/>
          <w:marBottom w:val="0"/>
          <w:divBdr>
            <w:top w:val="none" w:sz="0" w:space="0" w:color="auto"/>
            <w:left w:val="none" w:sz="0" w:space="0" w:color="auto"/>
            <w:bottom w:val="none" w:sz="0" w:space="0" w:color="auto"/>
            <w:right w:val="none" w:sz="0" w:space="0" w:color="auto"/>
          </w:divBdr>
        </w:div>
        <w:div w:id="412046858">
          <w:marLeft w:val="640"/>
          <w:marRight w:val="0"/>
          <w:marTop w:val="0"/>
          <w:marBottom w:val="0"/>
          <w:divBdr>
            <w:top w:val="none" w:sz="0" w:space="0" w:color="auto"/>
            <w:left w:val="none" w:sz="0" w:space="0" w:color="auto"/>
            <w:bottom w:val="none" w:sz="0" w:space="0" w:color="auto"/>
            <w:right w:val="none" w:sz="0" w:space="0" w:color="auto"/>
          </w:divBdr>
        </w:div>
        <w:div w:id="1112827141">
          <w:marLeft w:val="640"/>
          <w:marRight w:val="0"/>
          <w:marTop w:val="0"/>
          <w:marBottom w:val="0"/>
          <w:divBdr>
            <w:top w:val="none" w:sz="0" w:space="0" w:color="auto"/>
            <w:left w:val="none" w:sz="0" w:space="0" w:color="auto"/>
            <w:bottom w:val="none" w:sz="0" w:space="0" w:color="auto"/>
            <w:right w:val="none" w:sz="0" w:space="0" w:color="auto"/>
          </w:divBdr>
        </w:div>
        <w:div w:id="998270396">
          <w:marLeft w:val="640"/>
          <w:marRight w:val="0"/>
          <w:marTop w:val="0"/>
          <w:marBottom w:val="0"/>
          <w:divBdr>
            <w:top w:val="none" w:sz="0" w:space="0" w:color="auto"/>
            <w:left w:val="none" w:sz="0" w:space="0" w:color="auto"/>
            <w:bottom w:val="none" w:sz="0" w:space="0" w:color="auto"/>
            <w:right w:val="none" w:sz="0" w:space="0" w:color="auto"/>
          </w:divBdr>
        </w:div>
        <w:div w:id="585698728">
          <w:marLeft w:val="640"/>
          <w:marRight w:val="0"/>
          <w:marTop w:val="0"/>
          <w:marBottom w:val="0"/>
          <w:divBdr>
            <w:top w:val="none" w:sz="0" w:space="0" w:color="auto"/>
            <w:left w:val="none" w:sz="0" w:space="0" w:color="auto"/>
            <w:bottom w:val="none" w:sz="0" w:space="0" w:color="auto"/>
            <w:right w:val="none" w:sz="0" w:space="0" w:color="auto"/>
          </w:divBdr>
        </w:div>
        <w:div w:id="961227051">
          <w:marLeft w:val="640"/>
          <w:marRight w:val="0"/>
          <w:marTop w:val="0"/>
          <w:marBottom w:val="0"/>
          <w:divBdr>
            <w:top w:val="none" w:sz="0" w:space="0" w:color="auto"/>
            <w:left w:val="none" w:sz="0" w:space="0" w:color="auto"/>
            <w:bottom w:val="none" w:sz="0" w:space="0" w:color="auto"/>
            <w:right w:val="none" w:sz="0" w:space="0" w:color="auto"/>
          </w:divBdr>
        </w:div>
        <w:div w:id="1610435316">
          <w:marLeft w:val="640"/>
          <w:marRight w:val="0"/>
          <w:marTop w:val="0"/>
          <w:marBottom w:val="0"/>
          <w:divBdr>
            <w:top w:val="none" w:sz="0" w:space="0" w:color="auto"/>
            <w:left w:val="none" w:sz="0" w:space="0" w:color="auto"/>
            <w:bottom w:val="none" w:sz="0" w:space="0" w:color="auto"/>
            <w:right w:val="none" w:sz="0" w:space="0" w:color="auto"/>
          </w:divBdr>
        </w:div>
        <w:div w:id="152380646">
          <w:marLeft w:val="640"/>
          <w:marRight w:val="0"/>
          <w:marTop w:val="0"/>
          <w:marBottom w:val="0"/>
          <w:divBdr>
            <w:top w:val="none" w:sz="0" w:space="0" w:color="auto"/>
            <w:left w:val="none" w:sz="0" w:space="0" w:color="auto"/>
            <w:bottom w:val="none" w:sz="0" w:space="0" w:color="auto"/>
            <w:right w:val="none" w:sz="0" w:space="0" w:color="auto"/>
          </w:divBdr>
        </w:div>
        <w:div w:id="209074598">
          <w:marLeft w:val="640"/>
          <w:marRight w:val="0"/>
          <w:marTop w:val="0"/>
          <w:marBottom w:val="0"/>
          <w:divBdr>
            <w:top w:val="none" w:sz="0" w:space="0" w:color="auto"/>
            <w:left w:val="none" w:sz="0" w:space="0" w:color="auto"/>
            <w:bottom w:val="none" w:sz="0" w:space="0" w:color="auto"/>
            <w:right w:val="none" w:sz="0" w:space="0" w:color="auto"/>
          </w:divBdr>
        </w:div>
        <w:div w:id="179897235">
          <w:marLeft w:val="640"/>
          <w:marRight w:val="0"/>
          <w:marTop w:val="0"/>
          <w:marBottom w:val="0"/>
          <w:divBdr>
            <w:top w:val="none" w:sz="0" w:space="0" w:color="auto"/>
            <w:left w:val="none" w:sz="0" w:space="0" w:color="auto"/>
            <w:bottom w:val="none" w:sz="0" w:space="0" w:color="auto"/>
            <w:right w:val="none" w:sz="0" w:space="0" w:color="auto"/>
          </w:divBdr>
        </w:div>
        <w:div w:id="971833790">
          <w:marLeft w:val="640"/>
          <w:marRight w:val="0"/>
          <w:marTop w:val="0"/>
          <w:marBottom w:val="0"/>
          <w:divBdr>
            <w:top w:val="none" w:sz="0" w:space="0" w:color="auto"/>
            <w:left w:val="none" w:sz="0" w:space="0" w:color="auto"/>
            <w:bottom w:val="none" w:sz="0" w:space="0" w:color="auto"/>
            <w:right w:val="none" w:sz="0" w:space="0" w:color="auto"/>
          </w:divBdr>
        </w:div>
        <w:div w:id="277567281">
          <w:marLeft w:val="640"/>
          <w:marRight w:val="0"/>
          <w:marTop w:val="0"/>
          <w:marBottom w:val="0"/>
          <w:divBdr>
            <w:top w:val="none" w:sz="0" w:space="0" w:color="auto"/>
            <w:left w:val="none" w:sz="0" w:space="0" w:color="auto"/>
            <w:bottom w:val="none" w:sz="0" w:space="0" w:color="auto"/>
            <w:right w:val="none" w:sz="0" w:space="0" w:color="auto"/>
          </w:divBdr>
        </w:div>
        <w:div w:id="95104431">
          <w:marLeft w:val="640"/>
          <w:marRight w:val="0"/>
          <w:marTop w:val="0"/>
          <w:marBottom w:val="0"/>
          <w:divBdr>
            <w:top w:val="none" w:sz="0" w:space="0" w:color="auto"/>
            <w:left w:val="none" w:sz="0" w:space="0" w:color="auto"/>
            <w:bottom w:val="none" w:sz="0" w:space="0" w:color="auto"/>
            <w:right w:val="none" w:sz="0" w:space="0" w:color="auto"/>
          </w:divBdr>
        </w:div>
        <w:div w:id="949706570">
          <w:marLeft w:val="640"/>
          <w:marRight w:val="0"/>
          <w:marTop w:val="0"/>
          <w:marBottom w:val="0"/>
          <w:divBdr>
            <w:top w:val="none" w:sz="0" w:space="0" w:color="auto"/>
            <w:left w:val="none" w:sz="0" w:space="0" w:color="auto"/>
            <w:bottom w:val="none" w:sz="0" w:space="0" w:color="auto"/>
            <w:right w:val="none" w:sz="0" w:space="0" w:color="auto"/>
          </w:divBdr>
        </w:div>
        <w:div w:id="1655839360">
          <w:marLeft w:val="640"/>
          <w:marRight w:val="0"/>
          <w:marTop w:val="0"/>
          <w:marBottom w:val="0"/>
          <w:divBdr>
            <w:top w:val="none" w:sz="0" w:space="0" w:color="auto"/>
            <w:left w:val="none" w:sz="0" w:space="0" w:color="auto"/>
            <w:bottom w:val="none" w:sz="0" w:space="0" w:color="auto"/>
            <w:right w:val="none" w:sz="0" w:space="0" w:color="auto"/>
          </w:divBdr>
        </w:div>
        <w:div w:id="639770704">
          <w:marLeft w:val="640"/>
          <w:marRight w:val="0"/>
          <w:marTop w:val="0"/>
          <w:marBottom w:val="0"/>
          <w:divBdr>
            <w:top w:val="none" w:sz="0" w:space="0" w:color="auto"/>
            <w:left w:val="none" w:sz="0" w:space="0" w:color="auto"/>
            <w:bottom w:val="none" w:sz="0" w:space="0" w:color="auto"/>
            <w:right w:val="none" w:sz="0" w:space="0" w:color="auto"/>
          </w:divBdr>
        </w:div>
        <w:div w:id="1325474751">
          <w:marLeft w:val="640"/>
          <w:marRight w:val="0"/>
          <w:marTop w:val="0"/>
          <w:marBottom w:val="0"/>
          <w:divBdr>
            <w:top w:val="none" w:sz="0" w:space="0" w:color="auto"/>
            <w:left w:val="none" w:sz="0" w:space="0" w:color="auto"/>
            <w:bottom w:val="none" w:sz="0" w:space="0" w:color="auto"/>
            <w:right w:val="none" w:sz="0" w:space="0" w:color="auto"/>
          </w:divBdr>
        </w:div>
        <w:div w:id="1859614335">
          <w:marLeft w:val="640"/>
          <w:marRight w:val="0"/>
          <w:marTop w:val="0"/>
          <w:marBottom w:val="0"/>
          <w:divBdr>
            <w:top w:val="none" w:sz="0" w:space="0" w:color="auto"/>
            <w:left w:val="none" w:sz="0" w:space="0" w:color="auto"/>
            <w:bottom w:val="none" w:sz="0" w:space="0" w:color="auto"/>
            <w:right w:val="none" w:sz="0" w:space="0" w:color="auto"/>
          </w:divBdr>
        </w:div>
        <w:div w:id="1922830904">
          <w:marLeft w:val="640"/>
          <w:marRight w:val="0"/>
          <w:marTop w:val="0"/>
          <w:marBottom w:val="0"/>
          <w:divBdr>
            <w:top w:val="none" w:sz="0" w:space="0" w:color="auto"/>
            <w:left w:val="none" w:sz="0" w:space="0" w:color="auto"/>
            <w:bottom w:val="none" w:sz="0" w:space="0" w:color="auto"/>
            <w:right w:val="none" w:sz="0" w:space="0" w:color="auto"/>
          </w:divBdr>
        </w:div>
        <w:div w:id="680858982">
          <w:marLeft w:val="640"/>
          <w:marRight w:val="0"/>
          <w:marTop w:val="0"/>
          <w:marBottom w:val="0"/>
          <w:divBdr>
            <w:top w:val="none" w:sz="0" w:space="0" w:color="auto"/>
            <w:left w:val="none" w:sz="0" w:space="0" w:color="auto"/>
            <w:bottom w:val="none" w:sz="0" w:space="0" w:color="auto"/>
            <w:right w:val="none" w:sz="0" w:space="0" w:color="auto"/>
          </w:divBdr>
        </w:div>
        <w:div w:id="1318681461">
          <w:marLeft w:val="640"/>
          <w:marRight w:val="0"/>
          <w:marTop w:val="0"/>
          <w:marBottom w:val="0"/>
          <w:divBdr>
            <w:top w:val="none" w:sz="0" w:space="0" w:color="auto"/>
            <w:left w:val="none" w:sz="0" w:space="0" w:color="auto"/>
            <w:bottom w:val="none" w:sz="0" w:space="0" w:color="auto"/>
            <w:right w:val="none" w:sz="0" w:space="0" w:color="auto"/>
          </w:divBdr>
        </w:div>
        <w:div w:id="99498389">
          <w:marLeft w:val="640"/>
          <w:marRight w:val="0"/>
          <w:marTop w:val="0"/>
          <w:marBottom w:val="0"/>
          <w:divBdr>
            <w:top w:val="none" w:sz="0" w:space="0" w:color="auto"/>
            <w:left w:val="none" w:sz="0" w:space="0" w:color="auto"/>
            <w:bottom w:val="none" w:sz="0" w:space="0" w:color="auto"/>
            <w:right w:val="none" w:sz="0" w:space="0" w:color="auto"/>
          </w:divBdr>
        </w:div>
        <w:div w:id="2130200302">
          <w:marLeft w:val="640"/>
          <w:marRight w:val="0"/>
          <w:marTop w:val="0"/>
          <w:marBottom w:val="0"/>
          <w:divBdr>
            <w:top w:val="none" w:sz="0" w:space="0" w:color="auto"/>
            <w:left w:val="none" w:sz="0" w:space="0" w:color="auto"/>
            <w:bottom w:val="none" w:sz="0" w:space="0" w:color="auto"/>
            <w:right w:val="none" w:sz="0" w:space="0" w:color="auto"/>
          </w:divBdr>
        </w:div>
        <w:div w:id="1273629732">
          <w:marLeft w:val="640"/>
          <w:marRight w:val="0"/>
          <w:marTop w:val="0"/>
          <w:marBottom w:val="0"/>
          <w:divBdr>
            <w:top w:val="none" w:sz="0" w:space="0" w:color="auto"/>
            <w:left w:val="none" w:sz="0" w:space="0" w:color="auto"/>
            <w:bottom w:val="none" w:sz="0" w:space="0" w:color="auto"/>
            <w:right w:val="none" w:sz="0" w:space="0" w:color="auto"/>
          </w:divBdr>
        </w:div>
        <w:div w:id="2097554631">
          <w:marLeft w:val="640"/>
          <w:marRight w:val="0"/>
          <w:marTop w:val="0"/>
          <w:marBottom w:val="0"/>
          <w:divBdr>
            <w:top w:val="none" w:sz="0" w:space="0" w:color="auto"/>
            <w:left w:val="none" w:sz="0" w:space="0" w:color="auto"/>
            <w:bottom w:val="none" w:sz="0" w:space="0" w:color="auto"/>
            <w:right w:val="none" w:sz="0" w:space="0" w:color="auto"/>
          </w:divBdr>
        </w:div>
        <w:div w:id="1873418060">
          <w:marLeft w:val="640"/>
          <w:marRight w:val="0"/>
          <w:marTop w:val="0"/>
          <w:marBottom w:val="0"/>
          <w:divBdr>
            <w:top w:val="none" w:sz="0" w:space="0" w:color="auto"/>
            <w:left w:val="none" w:sz="0" w:space="0" w:color="auto"/>
            <w:bottom w:val="none" w:sz="0" w:space="0" w:color="auto"/>
            <w:right w:val="none" w:sz="0" w:space="0" w:color="auto"/>
          </w:divBdr>
        </w:div>
        <w:div w:id="427314416">
          <w:marLeft w:val="640"/>
          <w:marRight w:val="0"/>
          <w:marTop w:val="0"/>
          <w:marBottom w:val="0"/>
          <w:divBdr>
            <w:top w:val="none" w:sz="0" w:space="0" w:color="auto"/>
            <w:left w:val="none" w:sz="0" w:space="0" w:color="auto"/>
            <w:bottom w:val="none" w:sz="0" w:space="0" w:color="auto"/>
            <w:right w:val="none" w:sz="0" w:space="0" w:color="auto"/>
          </w:divBdr>
        </w:div>
        <w:div w:id="424155100">
          <w:marLeft w:val="640"/>
          <w:marRight w:val="0"/>
          <w:marTop w:val="0"/>
          <w:marBottom w:val="0"/>
          <w:divBdr>
            <w:top w:val="none" w:sz="0" w:space="0" w:color="auto"/>
            <w:left w:val="none" w:sz="0" w:space="0" w:color="auto"/>
            <w:bottom w:val="none" w:sz="0" w:space="0" w:color="auto"/>
            <w:right w:val="none" w:sz="0" w:space="0" w:color="auto"/>
          </w:divBdr>
        </w:div>
        <w:div w:id="1480462908">
          <w:marLeft w:val="640"/>
          <w:marRight w:val="0"/>
          <w:marTop w:val="0"/>
          <w:marBottom w:val="0"/>
          <w:divBdr>
            <w:top w:val="none" w:sz="0" w:space="0" w:color="auto"/>
            <w:left w:val="none" w:sz="0" w:space="0" w:color="auto"/>
            <w:bottom w:val="none" w:sz="0" w:space="0" w:color="auto"/>
            <w:right w:val="none" w:sz="0" w:space="0" w:color="auto"/>
          </w:divBdr>
        </w:div>
        <w:div w:id="431047498">
          <w:marLeft w:val="640"/>
          <w:marRight w:val="0"/>
          <w:marTop w:val="0"/>
          <w:marBottom w:val="0"/>
          <w:divBdr>
            <w:top w:val="none" w:sz="0" w:space="0" w:color="auto"/>
            <w:left w:val="none" w:sz="0" w:space="0" w:color="auto"/>
            <w:bottom w:val="none" w:sz="0" w:space="0" w:color="auto"/>
            <w:right w:val="none" w:sz="0" w:space="0" w:color="auto"/>
          </w:divBdr>
        </w:div>
        <w:div w:id="694889350">
          <w:marLeft w:val="640"/>
          <w:marRight w:val="0"/>
          <w:marTop w:val="0"/>
          <w:marBottom w:val="0"/>
          <w:divBdr>
            <w:top w:val="none" w:sz="0" w:space="0" w:color="auto"/>
            <w:left w:val="none" w:sz="0" w:space="0" w:color="auto"/>
            <w:bottom w:val="none" w:sz="0" w:space="0" w:color="auto"/>
            <w:right w:val="none" w:sz="0" w:space="0" w:color="auto"/>
          </w:divBdr>
        </w:div>
        <w:div w:id="2064476054">
          <w:marLeft w:val="640"/>
          <w:marRight w:val="0"/>
          <w:marTop w:val="0"/>
          <w:marBottom w:val="0"/>
          <w:divBdr>
            <w:top w:val="none" w:sz="0" w:space="0" w:color="auto"/>
            <w:left w:val="none" w:sz="0" w:space="0" w:color="auto"/>
            <w:bottom w:val="none" w:sz="0" w:space="0" w:color="auto"/>
            <w:right w:val="none" w:sz="0" w:space="0" w:color="auto"/>
          </w:divBdr>
        </w:div>
        <w:div w:id="1734888899">
          <w:marLeft w:val="640"/>
          <w:marRight w:val="0"/>
          <w:marTop w:val="0"/>
          <w:marBottom w:val="0"/>
          <w:divBdr>
            <w:top w:val="none" w:sz="0" w:space="0" w:color="auto"/>
            <w:left w:val="none" w:sz="0" w:space="0" w:color="auto"/>
            <w:bottom w:val="none" w:sz="0" w:space="0" w:color="auto"/>
            <w:right w:val="none" w:sz="0" w:space="0" w:color="auto"/>
          </w:divBdr>
        </w:div>
        <w:div w:id="1782726825">
          <w:marLeft w:val="640"/>
          <w:marRight w:val="0"/>
          <w:marTop w:val="0"/>
          <w:marBottom w:val="0"/>
          <w:divBdr>
            <w:top w:val="none" w:sz="0" w:space="0" w:color="auto"/>
            <w:left w:val="none" w:sz="0" w:space="0" w:color="auto"/>
            <w:bottom w:val="none" w:sz="0" w:space="0" w:color="auto"/>
            <w:right w:val="none" w:sz="0" w:space="0" w:color="auto"/>
          </w:divBdr>
        </w:div>
        <w:div w:id="54741476">
          <w:marLeft w:val="640"/>
          <w:marRight w:val="0"/>
          <w:marTop w:val="0"/>
          <w:marBottom w:val="0"/>
          <w:divBdr>
            <w:top w:val="none" w:sz="0" w:space="0" w:color="auto"/>
            <w:left w:val="none" w:sz="0" w:space="0" w:color="auto"/>
            <w:bottom w:val="none" w:sz="0" w:space="0" w:color="auto"/>
            <w:right w:val="none" w:sz="0" w:space="0" w:color="auto"/>
          </w:divBdr>
        </w:div>
        <w:div w:id="1013410464">
          <w:marLeft w:val="640"/>
          <w:marRight w:val="0"/>
          <w:marTop w:val="0"/>
          <w:marBottom w:val="0"/>
          <w:divBdr>
            <w:top w:val="none" w:sz="0" w:space="0" w:color="auto"/>
            <w:left w:val="none" w:sz="0" w:space="0" w:color="auto"/>
            <w:bottom w:val="none" w:sz="0" w:space="0" w:color="auto"/>
            <w:right w:val="none" w:sz="0" w:space="0" w:color="auto"/>
          </w:divBdr>
        </w:div>
        <w:div w:id="1386221020">
          <w:marLeft w:val="640"/>
          <w:marRight w:val="0"/>
          <w:marTop w:val="0"/>
          <w:marBottom w:val="0"/>
          <w:divBdr>
            <w:top w:val="none" w:sz="0" w:space="0" w:color="auto"/>
            <w:left w:val="none" w:sz="0" w:space="0" w:color="auto"/>
            <w:bottom w:val="none" w:sz="0" w:space="0" w:color="auto"/>
            <w:right w:val="none" w:sz="0" w:space="0" w:color="auto"/>
          </w:divBdr>
        </w:div>
        <w:div w:id="195238591">
          <w:marLeft w:val="640"/>
          <w:marRight w:val="0"/>
          <w:marTop w:val="0"/>
          <w:marBottom w:val="0"/>
          <w:divBdr>
            <w:top w:val="none" w:sz="0" w:space="0" w:color="auto"/>
            <w:left w:val="none" w:sz="0" w:space="0" w:color="auto"/>
            <w:bottom w:val="none" w:sz="0" w:space="0" w:color="auto"/>
            <w:right w:val="none" w:sz="0" w:space="0" w:color="auto"/>
          </w:divBdr>
        </w:div>
        <w:div w:id="1940024327">
          <w:marLeft w:val="640"/>
          <w:marRight w:val="0"/>
          <w:marTop w:val="0"/>
          <w:marBottom w:val="0"/>
          <w:divBdr>
            <w:top w:val="none" w:sz="0" w:space="0" w:color="auto"/>
            <w:left w:val="none" w:sz="0" w:space="0" w:color="auto"/>
            <w:bottom w:val="none" w:sz="0" w:space="0" w:color="auto"/>
            <w:right w:val="none" w:sz="0" w:space="0" w:color="auto"/>
          </w:divBdr>
        </w:div>
        <w:div w:id="108357266">
          <w:marLeft w:val="640"/>
          <w:marRight w:val="0"/>
          <w:marTop w:val="0"/>
          <w:marBottom w:val="0"/>
          <w:divBdr>
            <w:top w:val="none" w:sz="0" w:space="0" w:color="auto"/>
            <w:left w:val="none" w:sz="0" w:space="0" w:color="auto"/>
            <w:bottom w:val="none" w:sz="0" w:space="0" w:color="auto"/>
            <w:right w:val="none" w:sz="0" w:space="0" w:color="auto"/>
          </w:divBdr>
        </w:div>
      </w:divsChild>
    </w:div>
    <w:div w:id="2009095026">
      <w:bodyDiv w:val="1"/>
      <w:marLeft w:val="0"/>
      <w:marRight w:val="0"/>
      <w:marTop w:val="0"/>
      <w:marBottom w:val="0"/>
      <w:divBdr>
        <w:top w:val="none" w:sz="0" w:space="0" w:color="auto"/>
        <w:left w:val="none" w:sz="0" w:space="0" w:color="auto"/>
        <w:bottom w:val="none" w:sz="0" w:space="0" w:color="auto"/>
        <w:right w:val="none" w:sz="0" w:space="0" w:color="auto"/>
      </w:divBdr>
      <w:divsChild>
        <w:div w:id="1088841620">
          <w:marLeft w:val="640"/>
          <w:marRight w:val="0"/>
          <w:marTop w:val="0"/>
          <w:marBottom w:val="0"/>
          <w:divBdr>
            <w:top w:val="none" w:sz="0" w:space="0" w:color="auto"/>
            <w:left w:val="none" w:sz="0" w:space="0" w:color="auto"/>
            <w:bottom w:val="none" w:sz="0" w:space="0" w:color="auto"/>
            <w:right w:val="none" w:sz="0" w:space="0" w:color="auto"/>
          </w:divBdr>
        </w:div>
        <w:div w:id="1224678178">
          <w:marLeft w:val="640"/>
          <w:marRight w:val="0"/>
          <w:marTop w:val="0"/>
          <w:marBottom w:val="0"/>
          <w:divBdr>
            <w:top w:val="none" w:sz="0" w:space="0" w:color="auto"/>
            <w:left w:val="none" w:sz="0" w:space="0" w:color="auto"/>
            <w:bottom w:val="none" w:sz="0" w:space="0" w:color="auto"/>
            <w:right w:val="none" w:sz="0" w:space="0" w:color="auto"/>
          </w:divBdr>
        </w:div>
        <w:div w:id="72550727">
          <w:marLeft w:val="640"/>
          <w:marRight w:val="0"/>
          <w:marTop w:val="0"/>
          <w:marBottom w:val="0"/>
          <w:divBdr>
            <w:top w:val="none" w:sz="0" w:space="0" w:color="auto"/>
            <w:left w:val="none" w:sz="0" w:space="0" w:color="auto"/>
            <w:bottom w:val="none" w:sz="0" w:space="0" w:color="auto"/>
            <w:right w:val="none" w:sz="0" w:space="0" w:color="auto"/>
          </w:divBdr>
        </w:div>
        <w:div w:id="720903782">
          <w:marLeft w:val="640"/>
          <w:marRight w:val="0"/>
          <w:marTop w:val="0"/>
          <w:marBottom w:val="0"/>
          <w:divBdr>
            <w:top w:val="none" w:sz="0" w:space="0" w:color="auto"/>
            <w:left w:val="none" w:sz="0" w:space="0" w:color="auto"/>
            <w:bottom w:val="none" w:sz="0" w:space="0" w:color="auto"/>
            <w:right w:val="none" w:sz="0" w:space="0" w:color="auto"/>
          </w:divBdr>
        </w:div>
        <w:div w:id="1290091711">
          <w:marLeft w:val="640"/>
          <w:marRight w:val="0"/>
          <w:marTop w:val="0"/>
          <w:marBottom w:val="0"/>
          <w:divBdr>
            <w:top w:val="none" w:sz="0" w:space="0" w:color="auto"/>
            <w:left w:val="none" w:sz="0" w:space="0" w:color="auto"/>
            <w:bottom w:val="none" w:sz="0" w:space="0" w:color="auto"/>
            <w:right w:val="none" w:sz="0" w:space="0" w:color="auto"/>
          </w:divBdr>
        </w:div>
        <w:div w:id="636181661">
          <w:marLeft w:val="640"/>
          <w:marRight w:val="0"/>
          <w:marTop w:val="0"/>
          <w:marBottom w:val="0"/>
          <w:divBdr>
            <w:top w:val="none" w:sz="0" w:space="0" w:color="auto"/>
            <w:left w:val="none" w:sz="0" w:space="0" w:color="auto"/>
            <w:bottom w:val="none" w:sz="0" w:space="0" w:color="auto"/>
            <w:right w:val="none" w:sz="0" w:space="0" w:color="auto"/>
          </w:divBdr>
        </w:div>
        <w:div w:id="1965621943">
          <w:marLeft w:val="640"/>
          <w:marRight w:val="0"/>
          <w:marTop w:val="0"/>
          <w:marBottom w:val="0"/>
          <w:divBdr>
            <w:top w:val="none" w:sz="0" w:space="0" w:color="auto"/>
            <w:left w:val="none" w:sz="0" w:space="0" w:color="auto"/>
            <w:bottom w:val="none" w:sz="0" w:space="0" w:color="auto"/>
            <w:right w:val="none" w:sz="0" w:space="0" w:color="auto"/>
          </w:divBdr>
        </w:div>
        <w:div w:id="261685410">
          <w:marLeft w:val="640"/>
          <w:marRight w:val="0"/>
          <w:marTop w:val="0"/>
          <w:marBottom w:val="0"/>
          <w:divBdr>
            <w:top w:val="none" w:sz="0" w:space="0" w:color="auto"/>
            <w:left w:val="none" w:sz="0" w:space="0" w:color="auto"/>
            <w:bottom w:val="none" w:sz="0" w:space="0" w:color="auto"/>
            <w:right w:val="none" w:sz="0" w:space="0" w:color="auto"/>
          </w:divBdr>
        </w:div>
        <w:div w:id="1334408878">
          <w:marLeft w:val="640"/>
          <w:marRight w:val="0"/>
          <w:marTop w:val="0"/>
          <w:marBottom w:val="0"/>
          <w:divBdr>
            <w:top w:val="none" w:sz="0" w:space="0" w:color="auto"/>
            <w:left w:val="none" w:sz="0" w:space="0" w:color="auto"/>
            <w:bottom w:val="none" w:sz="0" w:space="0" w:color="auto"/>
            <w:right w:val="none" w:sz="0" w:space="0" w:color="auto"/>
          </w:divBdr>
        </w:div>
        <w:div w:id="1936790753">
          <w:marLeft w:val="640"/>
          <w:marRight w:val="0"/>
          <w:marTop w:val="0"/>
          <w:marBottom w:val="0"/>
          <w:divBdr>
            <w:top w:val="none" w:sz="0" w:space="0" w:color="auto"/>
            <w:left w:val="none" w:sz="0" w:space="0" w:color="auto"/>
            <w:bottom w:val="none" w:sz="0" w:space="0" w:color="auto"/>
            <w:right w:val="none" w:sz="0" w:space="0" w:color="auto"/>
          </w:divBdr>
        </w:div>
        <w:div w:id="497188505">
          <w:marLeft w:val="640"/>
          <w:marRight w:val="0"/>
          <w:marTop w:val="0"/>
          <w:marBottom w:val="0"/>
          <w:divBdr>
            <w:top w:val="none" w:sz="0" w:space="0" w:color="auto"/>
            <w:left w:val="none" w:sz="0" w:space="0" w:color="auto"/>
            <w:bottom w:val="none" w:sz="0" w:space="0" w:color="auto"/>
            <w:right w:val="none" w:sz="0" w:space="0" w:color="auto"/>
          </w:divBdr>
        </w:div>
        <w:div w:id="559370154">
          <w:marLeft w:val="640"/>
          <w:marRight w:val="0"/>
          <w:marTop w:val="0"/>
          <w:marBottom w:val="0"/>
          <w:divBdr>
            <w:top w:val="none" w:sz="0" w:space="0" w:color="auto"/>
            <w:left w:val="none" w:sz="0" w:space="0" w:color="auto"/>
            <w:bottom w:val="none" w:sz="0" w:space="0" w:color="auto"/>
            <w:right w:val="none" w:sz="0" w:space="0" w:color="auto"/>
          </w:divBdr>
        </w:div>
        <w:div w:id="2027175651">
          <w:marLeft w:val="640"/>
          <w:marRight w:val="0"/>
          <w:marTop w:val="0"/>
          <w:marBottom w:val="0"/>
          <w:divBdr>
            <w:top w:val="none" w:sz="0" w:space="0" w:color="auto"/>
            <w:left w:val="none" w:sz="0" w:space="0" w:color="auto"/>
            <w:bottom w:val="none" w:sz="0" w:space="0" w:color="auto"/>
            <w:right w:val="none" w:sz="0" w:space="0" w:color="auto"/>
          </w:divBdr>
        </w:div>
        <w:div w:id="2049067648">
          <w:marLeft w:val="640"/>
          <w:marRight w:val="0"/>
          <w:marTop w:val="0"/>
          <w:marBottom w:val="0"/>
          <w:divBdr>
            <w:top w:val="none" w:sz="0" w:space="0" w:color="auto"/>
            <w:left w:val="none" w:sz="0" w:space="0" w:color="auto"/>
            <w:bottom w:val="none" w:sz="0" w:space="0" w:color="auto"/>
            <w:right w:val="none" w:sz="0" w:space="0" w:color="auto"/>
          </w:divBdr>
        </w:div>
        <w:div w:id="1781992362">
          <w:marLeft w:val="640"/>
          <w:marRight w:val="0"/>
          <w:marTop w:val="0"/>
          <w:marBottom w:val="0"/>
          <w:divBdr>
            <w:top w:val="none" w:sz="0" w:space="0" w:color="auto"/>
            <w:left w:val="none" w:sz="0" w:space="0" w:color="auto"/>
            <w:bottom w:val="none" w:sz="0" w:space="0" w:color="auto"/>
            <w:right w:val="none" w:sz="0" w:space="0" w:color="auto"/>
          </w:divBdr>
        </w:div>
        <w:div w:id="693727017">
          <w:marLeft w:val="640"/>
          <w:marRight w:val="0"/>
          <w:marTop w:val="0"/>
          <w:marBottom w:val="0"/>
          <w:divBdr>
            <w:top w:val="none" w:sz="0" w:space="0" w:color="auto"/>
            <w:left w:val="none" w:sz="0" w:space="0" w:color="auto"/>
            <w:bottom w:val="none" w:sz="0" w:space="0" w:color="auto"/>
            <w:right w:val="none" w:sz="0" w:space="0" w:color="auto"/>
          </w:divBdr>
        </w:div>
        <w:div w:id="1879858436">
          <w:marLeft w:val="640"/>
          <w:marRight w:val="0"/>
          <w:marTop w:val="0"/>
          <w:marBottom w:val="0"/>
          <w:divBdr>
            <w:top w:val="none" w:sz="0" w:space="0" w:color="auto"/>
            <w:left w:val="none" w:sz="0" w:space="0" w:color="auto"/>
            <w:bottom w:val="none" w:sz="0" w:space="0" w:color="auto"/>
            <w:right w:val="none" w:sz="0" w:space="0" w:color="auto"/>
          </w:divBdr>
        </w:div>
        <w:div w:id="969288979">
          <w:marLeft w:val="640"/>
          <w:marRight w:val="0"/>
          <w:marTop w:val="0"/>
          <w:marBottom w:val="0"/>
          <w:divBdr>
            <w:top w:val="none" w:sz="0" w:space="0" w:color="auto"/>
            <w:left w:val="none" w:sz="0" w:space="0" w:color="auto"/>
            <w:bottom w:val="none" w:sz="0" w:space="0" w:color="auto"/>
            <w:right w:val="none" w:sz="0" w:space="0" w:color="auto"/>
          </w:divBdr>
        </w:div>
        <w:div w:id="961769727">
          <w:marLeft w:val="640"/>
          <w:marRight w:val="0"/>
          <w:marTop w:val="0"/>
          <w:marBottom w:val="0"/>
          <w:divBdr>
            <w:top w:val="none" w:sz="0" w:space="0" w:color="auto"/>
            <w:left w:val="none" w:sz="0" w:space="0" w:color="auto"/>
            <w:bottom w:val="none" w:sz="0" w:space="0" w:color="auto"/>
            <w:right w:val="none" w:sz="0" w:space="0" w:color="auto"/>
          </w:divBdr>
        </w:div>
        <w:div w:id="1403141251">
          <w:marLeft w:val="640"/>
          <w:marRight w:val="0"/>
          <w:marTop w:val="0"/>
          <w:marBottom w:val="0"/>
          <w:divBdr>
            <w:top w:val="none" w:sz="0" w:space="0" w:color="auto"/>
            <w:left w:val="none" w:sz="0" w:space="0" w:color="auto"/>
            <w:bottom w:val="none" w:sz="0" w:space="0" w:color="auto"/>
            <w:right w:val="none" w:sz="0" w:space="0" w:color="auto"/>
          </w:divBdr>
        </w:div>
        <w:div w:id="1746875975">
          <w:marLeft w:val="640"/>
          <w:marRight w:val="0"/>
          <w:marTop w:val="0"/>
          <w:marBottom w:val="0"/>
          <w:divBdr>
            <w:top w:val="none" w:sz="0" w:space="0" w:color="auto"/>
            <w:left w:val="none" w:sz="0" w:space="0" w:color="auto"/>
            <w:bottom w:val="none" w:sz="0" w:space="0" w:color="auto"/>
            <w:right w:val="none" w:sz="0" w:space="0" w:color="auto"/>
          </w:divBdr>
        </w:div>
        <w:div w:id="698749452">
          <w:marLeft w:val="640"/>
          <w:marRight w:val="0"/>
          <w:marTop w:val="0"/>
          <w:marBottom w:val="0"/>
          <w:divBdr>
            <w:top w:val="none" w:sz="0" w:space="0" w:color="auto"/>
            <w:left w:val="none" w:sz="0" w:space="0" w:color="auto"/>
            <w:bottom w:val="none" w:sz="0" w:space="0" w:color="auto"/>
            <w:right w:val="none" w:sz="0" w:space="0" w:color="auto"/>
          </w:divBdr>
        </w:div>
        <w:div w:id="1456753197">
          <w:marLeft w:val="640"/>
          <w:marRight w:val="0"/>
          <w:marTop w:val="0"/>
          <w:marBottom w:val="0"/>
          <w:divBdr>
            <w:top w:val="none" w:sz="0" w:space="0" w:color="auto"/>
            <w:left w:val="none" w:sz="0" w:space="0" w:color="auto"/>
            <w:bottom w:val="none" w:sz="0" w:space="0" w:color="auto"/>
            <w:right w:val="none" w:sz="0" w:space="0" w:color="auto"/>
          </w:divBdr>
        </w:div>
        <w:div w:id="1243176731">
          <w:marLeft w:val="640"/>
          <w:marRight w:val="0"/>
          <w:marTop w:val="0"/>
          <w:marBottom w:val="0"/>
          <w:divBdr>
            <w:top w:val="none" w:sz="0" w:space="0" w:color="auto"/>
            <w:left w:val="none" w:sz="0" w:space="0" w:color="auto"/>
            <w:bottom w:val="none" w:sz="0" w:space="0" w:color="auto"/>
            <w:right w:val="none" w:sz="0" w:space="0" w:color="auto"/>
          </w:divBdr>
        </w:div>
        <w:div w:id="1277250999">
          <w:marLeft w:val="640"/>
          <w:marRight w:val="0"/>
          <w:marTop w:val="0"/>
          <w:marBottom w:val="0"/>
          <w:divBdr>
            <w:top w:val="none" w:sz="0" w:space="0" w:color="auto"/>
            <w:left w:val="none" w:sz="0" w:space="0" w:color="auto"/>
            <w:bottom w:val="none" w:sz="0" w:space="0" w:color="auto"/>
            <w:right w:val="none" w:sz="0" w:space="0" w:color="auto"/>
          </w:divBdr>
        </w:div>
        <w:div w:id="833377067">
          <w:marLeft w:val="640"/>
          <w:marRight w:val="0"/>
          <w:marTop w:val="0"/>
          <w:marBottom w:val="0"/>
          <w:divBdr>
            <w:top w:val="none" w:sz="0" w:space="0" w:color="auto"/>
            <w:left w:val="none" w:sz="0" w:space="0" w:color="auto"/>
            <w:bottom w:val="none" w:sz="0" w:space="0" w:color="auto"/>
            <w:right w:val="none" w:sz="0" w:space="0" w:color="auto"/>
          </w:divBdr>
        </w:div>
        <w:div w:id="2138376584">
          <w:marLeft w:val="640"/>
          <w:marRight w:val="0"/>
          <w:marTop w:val="0"/>
          <w:marBottom w:val="0"/>
          <w:divBdr>
            <w:top w:val="none" w:sz="0" w:space="0" w:color="auto"/>
            <w:left w:val="none" w:sz="0" w:space="0" w:color="auto"/>
            <w:bottom w:val="none" w:sz="0" w:space="0" w:color="auto"/>
            <w:right w:val="none" w:sz="0" w:space="0" w:color="auto"/>
          </w:divBdr>
        </w:div>
        <w:div w:id="1462268947">
          <w:marLeft w:val="640"/>
          <w:marRight w:val="0"/>
          <w:marTop w:val="0"/>
          <w:marBottom w:val="0"/>
          <w:divBdr>
            <w:top w:val="none" w:sz="0" w:space="0" w:color="auto"/>
            <w:left w:val="none" w:sz="0" w:space="0" w:color="auto"/>
            <w:bottom w:val="none" w:sz="0" w:space="0" w:color="auto"/>
            <w:right w:val="none" w:sz="0" w:space="0" w:color="auto"/>
          </w:divBdr>
        </w:div>
        <w:div w:id="1257711852">
          <w:marLeft w:val="640"/>
          <w:marRight w:val="0"/>
          <w:marTop w:val="0"/>
          <w:marBottom w:val="0"/>
          <w:divBdr>
            <w:top w:val="none" w:sz="0" w:space="0" w:color="auto"/>
            <w:left w:val="none" w:sz="0" w:space="0" w:color="auto"/>
            <w:bottom w:val="none" w:sz="0" w:space="0" w:color="auto"/>
            <w:right w:val="none" w:sz="0" w:space="0" w:color="auto"/>
          </w:divBdr>
        </w:div>
        <w:div w:id="408501402">
          <w:marLeft w:val="640"/>
          <w:marRight w:val="0"/>
          <w:marTop w:val="0"/>
          <w:marBottom w:val="0"/>
          <w:divBdr>
            <w:top w:val="none" w:sz="0" w:space="0" w:color="auto"/>
            <w:left w:val="none" w:sz="0" w:space="0" w:color="auto"/>
            <w:bottom w:val="none" w:sz="0" w:space="0" w:color="auto"/>
            <w:right w:val="none" w:sz="0" w:space="0" w:color="auto"/>
          </w:divBdr>
        </w:div>
        <w:div w:id="258832451">
          <w:marLeft w:val="640"/>
          <w:marRight w:val="0"/>
          <w:marTop w:val="0"/>
          <w:marBottom w:val="0"/>
          <w:divBdr>
            <w:top w:val="none" w:sz="0" w:space="0" w:color="auto"/>
            <w:left w:val="none" w:sz="0" w:space="0" w:color="auto"/>
            <w:bottom w:val="none" w:sz="0" w:space="0" w:color="auto"/>
            <w:right w:val="none" w:sz="0" w:space="0" w:color="auto"/>
          </w:divBdr>
        </w:div>
        <w:div w:id="2117753912">
          <w:marLeft w:val="640"/>
          <w:marRight w:val="0"/>
          <w:marTop w:val="0"/>
          <w:marBottom w:val="0"/>
          <w:divBdr>
            <w:top w:val="none" w:sz="0" w:space="0" w:color="auto"/>
            <w:left w:val="none" w:sz="0" w:space="0" w:color="auto"/>
            <w:bottom w:val="none" w:sz="0" w:space="0" w:color="auto"/>
            <w:right w:val="none" w:sz="0" w:space="0" w:color="auto"/>
          </w:divBdr>
        </w:div>
        <w:div w:id="2064791186">
          <w:marLeft w:val="640"/>
          <w:marRight w:val="0"/>
          <w:marTop w:val="0"/>
          <w:marBottom w:val="0"/>
          <w:divBdr>
            <w:top w:val="none" w:sz="0" w:space="0" w:color="auto"/>
            <w:left w:val="none" w:sz="0" w:space="0" w:color="auto"/>
            <w:bottom w:val="none" w:sz="0" w:space="0" w:color="auto"/>
            <w:right w:val="none" w:sz="0" w:space="0" w:color="auto"/>
          </w:divBdr>
        </w:div>
        <w:div w:id="2097625405">
          <w:marLeft w:val="640"/>
          <w:marRight w:val="0"/>
          <w:marTop w:val="0"/>
          <w:marBottom w:val="0"/>
          <w:divBdr>
            <w:top w:val="none" w:sz="0" w:space="0" w:color="auto"/>
            <w:left w:val="none" w:sz="0" w:space="0" w:color="auto"/>
            <w:bottom w:val="none" w:sz="0" w:space="0" w:color="auto"/>
            <w:right w:val="none" w:sz="0" w:space="0" w:color="auto"/>
          </w:divBdr>
        </w:div>
        <w:div w:id="183254060">
          <w:marLeft w:val="640"/>
          <w:marRight w:val="0"/>
          <w:marTop w:val="0"/>
          <w:marBottom w:val="0"/>
          <w:divBdr>
            <w:top w:val="none" w:sz="0" w:space="0" w:color="auto"/>
            <w:left w:val="none" w:sz="0" w:space="0" w:color="auto"/>
            <w:bottom w:val="none" w:sz="0" w:space="0" w:color="auto"/>
            <w:right w:val="none" w:sz="0" w:space="0" w:color="auto"/>
          </w:divBdr>
        </w:div>
        <w:div w:id="324627728">
          <w:marLeft w:val="640"/>
          <w:marRight w:val="0"/>
          <w:marTop w:val="0"/>
          <w:marBottom w:val="0"/>
          <w:divBdr>
            <w:top w:val="none" w:sz="0" w:space="0" w:color="auto"/>
            <w:left w:val="none" w:sz="0" w:space="0" w:color="auto"/>
            <w:bottom w:val="none" w:sz="0" w:space="0" w:color="auto"/>
            <w:right w:val="none" w:sz="0" w:space="0" w:color="auto"/>
          </w:divBdr>
        </w:div>
        <w:div w:id="36853052">
          <w:marLeft w:val="640"/>
          <w:marRight w:val="0"/>
          <w:marTop w:val="0"/>
          <w:marBottom w:val="0"/>
          <w:divBdr>
            <w:top w:val="none" w:sz="0" w:space="0" w:color="auto"/>
            <w:left w:val="none" w:sz="0" w:space="0" w:color="auto"/>
            <w:bottom w:val="none" w:sz="0" w:space="0" w:color="auto"/>
            <w:right w:val="none" w:sz="0" w:space="0" w:color="auto"/>
          </w:divBdr>
        </w:div>
        <w:div w:id="1558316477">
          <w:marLeft w:val="640"/>
          <w:marRight w:val="0"/>
          <w:marTop w:val="0"/>
          <w:marBottom w:val="0"/>
          <w:divBdr>
            <w:top w:val="none" w:sz="0" w:space="0" w:color="auto"/>
            <w:left w:val="none" w:sz="0" w:space="0" w:color="auto"/>
            <w:bottom w:val="none" w:sz="0" w:space="0" w:color="auto"/>
            <w:right w:val="none" w:sz="0" w:space="0" w:color="auto"/>
          </w:divBdr>
        </w:div>
        <w:div w:id="1057818151">
          <w:marLeft w:val="640"/>
          <w:marRight w:val="0"/>
          <w:marTop w:val="0"/>
          <w:marBottom w:val="0"/>
          <w:divBdr>
            <w:top w:val="none" w:sz="0" w:space="0" w:color="auto"/>
            <w:left w:val="none" w:sz="0" w:space="0" w:color="auto"/>
            <w:bottom w:val="none" w:sz="0" w:space="0" w:color="auto"/>
            <w:right w:val="none" w:sz="0" w:space="0" w:color="auto"/>
          </w:divBdr>
        </w:div>
        <w:div w:id="1441293750">
          <w:marLeft w:val="640"/>
          <w:marRight w:val="0"/>
          <w:marTop w:val="0"/>
          <w:marBottom w:val="0"/>
          <w:divBdr>
            <w:top w:val="none" w:sz="0" w:space="0" w:color="auto"/>
            <w:left w:val="none" w:sz="0" w:space="0" w:color="auto"/>
            <w:bottom w:val="none" w:sz="0" w:space="0" w:color="auto"/>
            <w:right w:val="none" w:sz="0" w:space="0" w:color="auto"/>
          </w:divBdr>
        </w:div>
        <w:div w:id="1627082338">
          <w:marLeft w:val="640"/>
          <w:marRight w:val="0"/>
          <w:marTop w:val="0"/>
          <w:marBottom w:val="0"/>
          <w:divBdr>
            <w:top w:val="none" w:sz="0" w:space="0" w:color="auto"/>
            <w:left w:val="none" w:sz="0" w:space="0" w:color="auto"/>
            <w:bottom w:val="none" w:sz="0" w:space="0" w:color="auto"/>
            <w:right w:val="none" w:sz="0" w:space="0" w:color="auto"/>
          </w:divBdr>
        </w:div>
        <w:div w:id="105927207">
          <w:marLeft w:val="640"/>
          <w:marRight w:val="0"/>
          <w:marTop w:val="0"/>
          <w:marBottom w:val="0"/>
          <w:divBdr>
            <w:top w:val="none" w:sz="0" w:space="0" w:color="auto"/>
            <w:left w:val="none" w:sz="0" w:space="0" w:color="auto"/>
            <w:bottom w:val="none" w:sz="0" w:space="0" w:color="auto"/>
            <w:right w:val="none" w:sz="0" w:space="0" w:color="auto"/>
          </w:divBdr>
        </w:div>
        <w:div w:id="1192305555">
          <w:marLeft w:val="640"/>
          <w:marRight w:val="0"/>
          <w:marTop w:val="0"/>
          <w:marBottom w:val="0"/>
          <w:divBdr>
            <w:top w:val="none" w:sz="0" w:space="0" w:color="auto"/>
            <w:left w:val="none" w:sz="0" w:space="0" w:color="auto"/>
            <w:bottom w:val="none" w:sz="0" w:space="0" w:color="auto"/>
            <w:right w:val="none" w:sz="0" w:space="0" w:color="auto"/>
          </w:divBdr>
        </w:div>
        <w:div w:id="137962573">
          <w:marLeft w:val="640"/>
          <w:marRight w:val="0"/>
          <w:marTop w:val="0"/>
          <w:marBottom w:val="0"/>
          <w:divBdr>
            <w:top w:val="none" w:sz="0" w:space="0" w:color="auto"/>
            <w:left w:val="none" w:sz="0" w:space="0" w:color="auto"/>
            <w:bottom w:val="none" w:sz="0" w:space="0" w:color="auto"/>
            <w:right w:val="none" w:sz="0" w:space="0" w:color="auto"/>
          </w:divBdr>
        </w:div>
        <w:div w:id="1365404616">
          <w:marLeft w:val="640"/>
          <w:marRight w:val="0"/>
          <w:marTop w:val="0"/>
          <w:marBottom w:val="0"/>
          <w:divBdr>
            <w:top w:val="none" w:sz="0" w:space="0" w:color="auto"/>
            <w:left w:val="none" w:sz="0" w:space="0" w:color="auto"/>
            <w:bottom w:val="none" w:sz="0" w:space="0" w:color="auto"/>
            <w:right w:val="none" w:sz="0" w:space="0" w:color="auto"/>
          </w:divBdr>
        </w:div>
        <w:div w:id="1783262973">
          <w:marLeft w:val="640"/>
          <w:marRight w:val="0"/>
          <w:marTop w:val="0"/>
          <w:marBottom w:val="0"/>
          <w:divBdr>
            <w:top w:val="none" w:sz="0" w:space="0" w:color="auto"/>
            <w:left w:val="none" w:sz="0" w:space="0" w:color="auto"/>
            <w:bottom w:val="none" w:sz="0" w:space="0" w:color="auto"/>
            <w:right w:val="none" w:sz="0" w:space="0" w:color="auto"/>
          </w:divBdr>
        </w:div>
        <w:div w:id="202138319">
          <w:marLeft w:val="640"/>
          <w:marRight w:val="0"/>
          <w:marTop w:val="0"/>
          <w:marBottom w:val="0"/>
          <w:divBdr>
            <w:top w:val="none" w:sz="0" w:space="0" w:color="auto"/>
            <w:left w:val="none" w:sz="0" w:space="0" w:color="auto"/>
            <w:bottom w:val="none" w:sz="0" w:space="0" w:color="auto"/>
            <w:right w:val="none" w:sz="0" w:space="0" w:color="auto"/>
          </w:divBdr>
        </w:div>
        <w:div w:id="1045183831">
          <w:marLeft w:val="640"/>
          <w:marRight w:val="0"/>
          <w:marTop w:val="0"/>
          <w:marBottom w:val="0"/>
          <w:divBdr>
            <w:top w:val="none" w:sz="0" w:space="0" w:color="auto"/>
            <w:left w:val="none" w:sz="0" w:space="0" w:color="auto"/>
            <w:bottom w:val="none" w:sz="0" w:space="0" w:color="auto"/>
            <w:right w:val="none" w:sz="0" w:space="0" w:color="auto"/>
          </w:divBdr>
        </w:div>
        <w:div w:id="903562892">
          <w:marLeft w:val="640"/>
          <w:marRight w:val="0"/>
          <w:marTop w:val="0"/>
          <w:marBottom w:val="0"/>
          <w:divBdr>
            <w:top w:val="none" w:sz="0" w:space="0" w:color="auto"/>
            <w:left w:val="none" w:sz="0" w:space="0" w:color="auto"/>
            <w:bottom w:val="none" w:sz="0" w:space="0" w:color="auto"/>
            <w:right w:val="none" w:sz="0" w:space="0" w:color="auto"/>
          </w:divBdr>
        </w:div>
        <w:div w:id="1738672861">
          <w:marLeft w:val="640"/>
          <w:marRight w:val="0"/>
          <w:marTop w:val="0"/>
          <w:marBottom w:val="0"/>
          <w:divBdr>
            <w:top w:val="none" w:sz="0" w:space="0" w:color="auto"/>
            <w:left w:val="none" w:sz="0" w:space="0" w:color="auto"/>
            <w:bottom w:val="none" w:sz="0" w:space="0" w:color="auto"/>
            <w:right w:val="none" w:sz="0" w:space="0" w:color="auto"/>
          </w:divBdr>
        </w:div>
        <w:div w:id="1553421928">
          <w:marLeft w:val="640"/>
          <w:marRight w:val="0"/>
          <w:marTop w:val="0"/>
          <w:marBottom w:val="0"/>
          <w:divBdr>
            <w:top w:val="none" w:sz="0" w:space="0" w:color="auto"/>
            <w:left w:val="none" w:sz="0" w:space="0" w:color="auto"/>
            <w:bottom w:val="none" w:sz="0" w:space="0" w:color="auto"/>
            <w:right w:val="none" w:sz="0" w:space="0" w:color="auto"/>
          </w:divBdr>
        </w:div>
        <w:div w:id="583533195">
          <w:marLeft w:val="640"/>
          <w:marRight w:val="0"/>
          <w:marTop w:val="0"/>
          <w:marBottom w:val="0"/>
          <w:divBdr>
            <w:top w:val="none" w:sz="0" w:space="0" w:color="auto"/>
            <w:left w:val="none" w:sz="0" w:space="0" w:color="auto"/>
            <w:bottom w:val="none" w:sz="0" w:space="0" w:color="auto"/>
            <w:right w:val="none" w:sz="0" w:space="0" w:color="auto"/>
          </w:divBdr>
        </w:div>
        <w:div w:id="2025553003">
          <w:marLeft w:val="640"/>
          <w:marRight w:val="0"/>
          <w:marTop w:val="0"/>
          <w:marBottom w:val="0"/>
          <w:divBdr>
            <w:top w:val="none" w:sz="0" w:space="0" w:color="auto"/>
            <w:left w:val="none" w:sz="0" w:space="0" w:color="auto"/>
            <w:bottom w:val="none" w:sz="0" w:space="0" w:color="auto"/>
            <w:right w:val="none" w:sz="0" w:space="0" w:color="auto"/>
          </w:divBdr>
        </w:div>
        <w:div w:id="517234189">
          <w:marLeft w:val="640"/>
          <w:marRight w:val="0"/>
          <w:marTop w:val="0"/>
          <w:marBottom w:val="0"/>
          <w:divBdr>
            <w:top w:val="none" w:sz="0" w:space="0" w:color="auto"/>
            <w:left w:val="none" w:sz="0" w:space="0" w:color="auto"/>
            <w:bottom w:val="none" w:sz="0" w:space="0" w:color="auto"/>
            <w:right w:val="none" w:sz="0" w:space="0" w:color="auto"/>
          </w:divBdr>
        </w:div>
        <w:div w:id="1801219754">
          <w:marLeft w:val="640"/>
          <w:marRight w:val="0"/>
          <w:marTop w:val="0"/>
          <w:marBottom w:val="0"/>
          <w:divBdr>
            <w:top w:val="none" w:sz="0" w:space="0" w:color="auto"/>
            <w:left w:val="none" w:sz="0" w:space="0" w:color="auto"/>
            <w:bottom w:val="none" w:sz="0" w:space="0" w:color="auto"/>
            <w:right w:val="none" w:sz="0" w:space="0" w:color="auto"/>
          </w:divBdr>
        </w:div>
        <w:div w:id="823160285">
          <w:marLeft w:val="640"/>
          <w:marRight w:val="0"/>
          <w:marTop w:val="0"/>
          <w:marBottom w:val="0"/>
          <w:divBdr>
            <w:top w:val="none" w:sz="0" w:space="0" w:color="auto"/>
            <w:left w:val="none" w:sz="0" w:space="0" w:color="auto"/>
            <w:bottom w:val="none" w:sz="0" w:space="0" w:color="auto"/>
            <w:right w:val="none" w:sz="0" w:space="0" w:color="auto"/>
          </w:divBdr>
        </w:div>
        <w:div w:id="1426145417">
          <w:marLeft w:val="640"/>
          <w:marRight w:val="0"/>
          <w:marTop w:val="0"/>
          <w:marBottom w:val="0"/>
          <w:divBdr>
            <w:top w:val="none" w:sz="0" w:space="0" w:color="auto"/>
            <w:left w:val="none" w:sz="0" w:space="0" w:color="auto"/>
            <w:bottom w:val="none" w:sz="0" w:space="0" w:color="auto"/>
            <w:right w:val="none" w:sz="0" w:space="0" w:color="auto"/>
          </w:divBdr>
        </w:div>
        <w:div w:id="2096776919">
          <w:marLeft w:val="640"/>
          <w:marRight w:val="0"/>
          <w:marTop w:val="0"/>
          <w:marBottom w:val="0"/>
          <w:divBdr>
            <w:top w:val="none" w:sz="0" w:space="0" w:color="auto"/>
            <w:left w:val="none" w:sz="0" w:space="0" w:color="auto"/>
            <w:bottom w:val="none" w:sz="0" w:space="0" w:color="auto"/>
            <w:right w:val="none" w:sz="0" w:space="0" w:color="auto"/>
          </w:divBdr>
        </w:div>
        <w:div w:id="1012410918">
          <w:marLeft w:val="640"/>
          <w:marRight w:val="0"/>
          <w:marTop w:val="0"/>
          <w:marBottom w:val="0"/>
          <w:divBdr>
            <w:top w:val="none" w:sz="0" w:space="0" w:color="auto"/>
            <w:left w:val="none" w:sz="0" w:space="0" w:color="auto"/>
            <w:bottom w:val="none" w:sz="0" w:space="0" w:color="auto"/>
            <w:right w:val="none" w:sz="0" w:space="0" w:color="auto"/>
          </w:divBdr>
        </w:div>
        <w:div w:id="682244163">
          <w:marLeft w:val="640"/>
          <w:marRight w:val="0"/>
          <w:marTop w:val="0"/>
          <w:marBottom w:val="0"/>
          <w:divBdr>
            <w:top w:val="none" w:sz="0" w:space="0" w:color="auto"/>
            <w:left w:val="none" w:sz="0" w:space="0" w:color="auto"/>
            <w:bottom w:val="none" w:sz="0" w:space="0" w:color="auto"/>
            <w:right w:val="none" w:sz="0" w:space="0" w:color="auto"/>
          </w:divBdr>
        </w:div>
        <w:div w:id="1341933928">
          <w:marLeft w:val="640"/>
          <w:marRight w:val="0"/>
          <w:marTop w:val="0"/>
          <w:marBottom w:val="0"/>
          <w:divBdr>
            <w:top w:val="none" w:sz="0" w:space="0" w:color="auto"/>
            <w:left w:val="none" w:sz="0" w:space="0" w:color="auto"/>
            <w:bottom w:val="none" w:sz="0" w:space="0" w:color="auto"/>
            <w:right w:val="none" w:sz="0" w:space="0" w:color="auto"/>
          </w:divBdr>
        </w:div>
        <w:div w:id="997225421">
          <w:marLeft w:val="640"/>
          <w:marRight w:val="0"/>
          <w:marTop w:val="0"/>
          <w:marBottom w:val="0"/>
          <w:divBdr>
            <w:top w:val="none" w:sz="0" w:space="0" w:color="auto"/>
            <w:left w:val="none" w:sz="0" w:space="0" w:color="auto"/>
            <w:bottom w:val="none" w:sz="0" w:space="0" w:color="auto"/>
            <w:right w:val="none" w:sz="0" w:space="0" w:color="auto"/>
          </w:divBdr>
        </w:div>
        <w:div w:id="589853895">
          <w:marLeft w:val="640"/>
          <w:marRight w:val="0"/>
          <w:marTop w:val="0"/>
          <w:marBottom w:val="0"/>
          <w:divBdr>
            <w:top w:val="none" w:sz="0" w:space="0" w:color="auto"/>
            <w:left w:val="none" w:sz="0" w:space="0" w:color="auto"/>
            <w:bottom w:val="none" w:sz="0" w:space="0" w:color="auto"/>
            <w:right w:val="none" w:sz="0" w:space="0" w:color="auto"/>
          </w:divBdr>
        </w:div>
        <w:div w:id="1193616325">
          <w:marLeft w:val="640"/>
          <w:marRight w:val="0"/>
          <w:marTop w:val="0"/>
          <w:marBottom w:val="0"/>
          <w:divBdr>
            <w:top w:val="none" w:sz="0" w:space="0" w:color="auto"/>
            <w:left w:val="none" w:sz="0" w:space="0" w:color="auto"/>
            <w:bottom w:val="none" w:sz="0" w:space="0" w:color="auto"/>
            <w:right w:val="none" w:sz="0" w:space="0" w:color="auto"/>
          </w:divBdr>
        </w:div>
        <w:div w:id="889415709">
          <w:marLeft w:val="640"/>
          <w:marRight w:val="0"/>
          <w:marTop w:val="0"/>
          <w:marBottom w:val="0"/>
          <w:divBdr>
            <w:top w:val="none" w:sz="0" w:space="0" w:color="auto"/>
            <w:left w:val="none" w:sz="0" w:space="0" w:color="auto"/>
            <w:bottom w:val="none" w:sz="0" w:space="0" w:color="auto"/>
            <w:right w:val="none" w:sz="0" w:space="0" w:color="auto"/>
          </w:divBdr>
        </w:div>
        <w:div w:id="376200870">
          <w:marLeft w:val="640"/>
          <w:marRight w:val="0"/>
          <w:marTop w:val="0"/>
          <w:marBottom w:val="0"/>
          <w:divBdr>
            <w:top w:val="none" w:sz="0" w:space="0" w:color="auto"/>
            <w:left w:val="none" w:sz="0" w:space="0" w:color="auto"/>
            <w:bottom w:val="none" w:sz="0" w:space="0" w:color="auto"/>
            <w:right w:val="none" w:sz="0" w:space="0" w:color="auto"/>
          </w:divBdr>
        </w:div>
        <w:div w:id="1547789631">
          <w:marLeft w:val="640"/>
          <w:marRight w:val="0"/>
          <w:marTop w:val="0"/>
          <w:marBottom w:val="0"/>
          <w:divBdr>
            <w:top w:val="none" w:sz="0" w:space="0" w:color="auto"/>
            <w:left w:val="none" w:sz="0" w:space="0" w:color="auto"/>
            <w:bottom w:val="none" w:sz="0" w:space="0" w:color="auto"/>
            <w:right w:val="none" w:sz="0" w:space="0" w:color="auto"/>
          </w:divBdr>
        </w:div>
        <w:div w:id="194346638">
          <w:marLeft w:val="640"/>
          <w:marRight w:val="0"/>
          <w:marTop w:val="0"/>
          <w:marBottom w:val="0"/>
          <w:divBdr>
            <w:top w:val="none" w:sz="0" w:space="0" w:color="auto"/>
            <w:left w:val="none" w:sz="0" w:space="0" w:color="auto"/>
            <w:bottom w:val="none" w:sz="0" w:space="0" w:color="auto"/>
            <w:right w:val="none" w:sz="0" w:space="0" w:color="auto"/>
          </w:divBdr>
        </w:div>
        <w:div w:id="1462843172">
          <w:marLeft w:val="640"/>
          <w:marRight w:val="0"/>
          <w:marTop w:val="0"/>
          <w:marBottom w:val="0"/>
          <w:divBdr>
            <w:top w:val="none" w:sz="0" w:space="0" w:color="auto"/>
            <w:left w:val="none" w:sz="0" w:space="0" w:color="auto"/>
            <w:bottom w:val="none" w:sz="0" w:space="0" w:color="auto"/>
            <w:right w:val="none" w:sz="0" w:space="0" w:color="auto"/>
          </w:divBdr>
        </w:div>
        <w:div w:id="714237608">
          <w:marLeft w:val="640"/>
          <w:marRight w:val="0"/>
          <w:marTop w:val="0"/>
          <w:marBottom w:val="0"/>
          <w:divBdr>
            <w:top w:val="none" w:sz="0" w:space="0" w:color="auto"/>
            <w:left w:val="none" w:sz="0" w:space="0" w:color="auto"/>
            <w:bottom w:val="none" w:sz="0" w:space="0" w:color="auto"/>
            <w:right w:val="none" w:sz="0" w:space="0" w:color="auto"/>
          </w:divBdr>
        </w:div>
        <w:div w:id="1063288282">
          <w:marLeft w:val="640"/>
          <w:marRight w:val="0"/>
          <w:marTop w:val="0"/>
          <w:marBottom w:val="0"/>
          <w:divBdr>
            <w:top w:val="none" w:sz="0" w:space="0" w:color="auto"/>
            <w:left w:val="none" w:sz="0" w:space="0" w:color="auto"/>
            <w:bottom w:val="none" w:sz="0" w:space="0" w:color="auto"/>
            <w:right w:val="none" w:sz="0" w:space="0" w:color="auto"/>
          </w:divBdr>
        </w:div>
        <w:div w:id="482501933">
          <w:marLeft w:val="640"/>
          <w:marRight w:val="0"/>
          <w:marTop w:val="0"/>
          <w:marBottom w:val="0"/>
          <w:divBdr>
            <w:top w:val="none" w:sz="0" w:space="0" w:color="auto"/>
            <w:left w:val="none" w:sz="0" w:space="0" w:color="auto"/>
            <w:bottom w:val="none" w:sz="0" w:space="0" w:color="auto"/>
            <w:right w:val="none" w:sz="0" w:space="0" w:color="auto"/>
          </w:divBdr>
        </w:div>
        <w:div w:id="1031613582">
          <w:marLeft w:val="640"/>
          <w:marRight w:val="0"/>
          <w:marTop w:val="0"/>
          <w:marBottom w:val="0"/>
          <w:divBdr>
            <w:top w:val="none" w:sz="0" w:space="0" w:color="auto"/>
            <w:left w:val="none" w:sz="0" w:space="0" w:color="auto"/>
            <w:bottom w:val="none" w:sz="0" w:space="0" w:color="auto"/>
            <w:right w:val="none" w:sz="0" w:space="0" w:color="auto"/>
          </w:divBdr>
        </w:div>
        <w:div w:id="888497781">
          <w:marLeft w:val="640"/>
          <w:marRight w:val="0"/>
          <w:marTop w:val="0"/>
          <w:marBottom w:val="0"/>
          <w:divBdr>
            <w:top w:val="none" w:sz="0" w:space="0" w:color="auto"/>
            <w:left w:val="none" w:sz="0" w:space="0" w:color="auto"/>
            <w:bottom w:val="none" w:sz="0" w:space="0" w:color="auto"/>
            <w:right w:val="none" w:sz="0" w:space="0" w:color="auto"/>
          </w:divBdr>
        </w:div>
        <w:div w:id="587615740">
          <w:marLeft w:val="640"/>
          <w:marRight w:val="0"/>
          <w:marTop w:val="0"/>
          <w:marBottom w:val="0"/>
          <w:divBdr>
            <w:top w:val="none" w:sz="0" w:space="0" w:color="auto"/>
            <w:left w:val="none" w:sz="0" w:space="0" w:color="auto"/>
            <w:bottom w:val="none" w:sz="0" w:space="0" w:color="auto"/>
            <w:right w:val="none" w:sz="0" w:space="0" w:color="auto"/>
          </w:divBdr>
        </w:div>
        <w:div w:id="575864835">
          <w:marLeft w:val="640"/>
          <w:marRight w:val="0"/>
          <w:marTop w:val="0"/>
          <w:marBottom w:val="0"/>
          <w:divBdr>
            <w:top w:val="none" w:sz="0" w:space="0" w:color="auto"/>
            <w:left w:val="none" w:sz="0" w:space="0" w:color="auto"/>
            <w:bottom w:val="none" w:sz="0" w:space="0" w:color="auto"/>
            <w:right w:val="none" w:sz="0" w:space="0" w:color="auto"/>
          </w:divBdr>
        </w:div>
        <w:div w:id="623924298">
          <w:marLeft w:val="640"/>
          <w:marRight w:val="0"/>
          <w:marTop w:val="0"/>
          <w:marBottom w:val="0"/>
          <w:divBdr>
            <w:top w:val="none" w:sz="0" w:space="0" w:color="auto"/>
            <w:left w:val="none" w:sz="0" w:space="0" w:color="auto"/>
            <w:bottom w:val="none" w:sz="0" w:space="0" w:color="auto"/>
            <w:right w:val="none" w:sz="0" w:space="0" w:color="auto"/>
          </w:divBdr>
        </w:div>
        <w:div w:id="1021974452">
          <w:marLeft w:val="640"/>
          <w:marRight w:val="0"/>
          <w:marTop w:val="0"/>
          <w:marBottom w:val="0"/>
          <w:divBdr>
            <w:top w:val="none" w:sz="0" w:space="0" w:color="auto"/>
            <w:left w:val="none" w:sz="0" w:space="0" w:color="auto"/>
            <w:bottom w:val="none" w:sz="0" w:space="0" w:color="auto"/>
            <w:right w:val="none" w:sz="0" w:space="0" w:color="auto"/>
          </w:divBdr>
        </w:div>
        <w:div w:id="2124377626">
          <w:marLeft w:val="640"/>
          <w:marRight w:val="0"/>
          <w:marTop w:val="0"/>
          <w:marBottom w:val="0"/>
          <w:divBdr>
            <w:top w:val="none" w:sz="0" w:space="0" w:color="auto"/>
            <w:left w:val="none" w:sz="0" w:space="0" w:color="auto"/>
            <w:bottom w:val="none" w:sz="0" w:space="0" w:color="auto"/>
            <w:right w:val="none" w:sz="0" w:space="0" w:color="auto"/>
          </w:divBdr>
        </w:div>
        <w:div w:id="698356348">
          <w:marLeft w:val="640"/>
          <w:marRight w:val="0"/>
          <w:marTop w:val="0"/>
          <w:marBottom w:val="0"/>
          <w:divBdr>
            <w:top w:val="none" w:sz="0" w:space="0" w:color="auto"/>
            <w:left w:val="none" w:sz="0" w:space="0" w:color="auto"/>
            <w:bottom w:val="none" w:sz="0" w:space="0" w:color="auto"/>
            <w:right w:val="none" w:sz="0" w:space="0" w:color="auto"/>
          </w:divBdr>
        </w:div>
        <w:div w:id="1029070772">
          <w:marLeft w:val="640"/>
          <w:marRight w:val="0"/>
          <w:marTop w:val="0"/>
          <w:marBottom w:val="0"/>
          <w:divBdr>
            <w:top w:val="none" w:sz="0" w:space="0" w:color="auto"/>
            <w:left w:val="none" w:sz="0" w:space="0" w:color="auto"/>
            <w:bottom w:val="none" w:sz="0" w:space="0" w:color="auto"/>
            <w:right w:val="none" w:sz="0" w:space="0" w:color="auto"/>
          </w:divBdr>
        </w:div>
        <w:div w:id="446897911">
          <w:marLeft w:val="640"/>
          <w:marRight w:val="0"/>
          <w:marTop w:val="0"/>
          <w:marBottom w:val="0"/>
          <w:divBdr>
            <w:top w:val="none" w:sz="0" w:space="0" w:color="auto"/>
            <w:left w:val="none" w:sz="0" w:space="0" w:color="auto"/>
            <w:bottom w:val="none" w:sz="0" w:space="0" w:color="auto"/>
            <w:right w:val="none" w:sz="0" w:space="0" w:color="auto"/>
          </w:divBdr>
        </w:div>
        <w:div w:id="659503305">
          <w:marLeft w:val="640"/>
          <w:marRight w:val="0"/>
          <w:marTop w:val="0"/>
          <w:marBottom w:val="0"/>
          <w:divBdr>
            <w:top w:val="none" w:sz="0" w:space="0" w:color="auto"/>
            <w:left w:val="none" w:sz="0" w:space="0" w:color="auto"/>
            <w:bottom w:val="none" w:sz="0" w:space="0" w:color="auto"/>
            <w:right w:val="none" w:sz="0" w:space="0" w:color="auto"/>
          </w:divBdr>
        </w:div>
        <w:div w:id="897132647">
          <w:marLeft w:val="640"/>
          <w:marRight w:val="0"/>
          <w:marTop w:val="0"/>
          <w:marBottom w:val="0"/>
          <w:divBdr>
            <w:top w:val="none" w:sz="0" w:space="0" w:color="auto"/>
            <w:left w:val="none" w:sz="0" w:space="0" w:color="auto"/>
            <w:bottom w:val="none" w:sz="0" w:space="0" w:color="auto"/>
            <w:right w:val="none" w:sz="0" w:space="0" w:color="auto"/>
          </w:divBdr>
        </w:div>
        <w:div w:id="44835150">
          <w:marLeft w:val="640"/>
          <w:marRight w:val="0"/>
          <w:marTop w:val="0"/>
          <w:marBottom w:val="0"/>
          <w:divBdr>
            <w:top w:val="none" w:sz="0" w:space="0" w:color="auto"/>
            <w:left w:val="none" w:sz="0" w:space="0" w:color="auto"/>
            <w:bottom w:val="none" w:sz="0" w:space="0" w:color="auto"/>
            <w:right w:val="none" w:sz="0" w:space="0" w:color="auto"/>
          </w:divBdr>
        </w:div>
        <w:div w:id="1522013979">
          <w:marLeft w:val="640"/>
          <w:marRight w:val="0"/>
          <w:marTop w:val="0"/>
          <w:marBottom w:val="0"/>
          <w:divBdr>
            <w:top w:val="none" w:sz="0" w:space="0" w:color="auto"/>
            <w:left w:val="none" w:sz="0" w:space="0" w:color="auto"/>
            <w:bottom w:val="none" w:sz="0" w:space="0" w:color="auto"/>
            <w:right w:val="none" w:sz="0" w:space="0" w:color="auto"/>
          </w:divBdr>
        </w:div>
        <w:div w:id="1519276146">
          <w:marLeft w:val="640"/>
          <w:marRight w:val="0"/>
          <w:marTop w:val="0"/>
          <w:marBottom w:val="0"/>
          <w:divBdr>
            <w:top w:val="none" w:sz="0" w:space="0" w:color="auto"/>
            <w:left w:val="none" w:sz="0" w:space="0" w:color="auto"/>
            <w:bottom w:val="none" w:sz="0" w:space="0" w:color="auto"/>
            <w:right w:val="none" w:sz="0" w:space="0" w:color="auto"/>
          </w:divBdr>
        </w:div>
        <w:div w:id="1478573849">
          <w:marLeft w:val="640"/>
          <w:marRight w:val="0"/>
          <w:marTop w:val="0"/>
          <w:marBottom w:val="0"/>
          <w:divBdr>
            <w:top w:val="none" w:sz="0" w:space="0" w:color="auto"/>
            <w:left w:val="none" w:sz="0" w:space="0" w:color="auto"/>
            <w:bottom w:val="none" w:sz="0" w:space="0" w:color="auto"/>
            <w:right w:val="none" w:sz="0" w:space="0" w:color="auto"/>
          </w:divBdr>
        </w:div>
        <w:div w:id="606235014">
          <w:marLeft w:val="640"/>
          <w:marRight w:val="0"/>
          <w:marTop w:val="0"/>
          <w:marBottom w:val="0"/>
          <w:divBdr>
            <w:top w:val="none" w:sz="0" w:space="0" w:color="auto"/>
            <w:left w:val="none" w:sz="0" w:space="0" w:color="auto"/>
            <w:bottom w:val="none" w:sz="0" w:space="0" w:color="auto"/>
            <w:right w:val="none" w:sz="0" w:space="0" w:color="auto"/>
          </w:divBdr>
        </w:div>
        <w:div w:id="397020260">
          <w:marLeft w:val="640"/>
          <w:marRight w:val="0"/>
          <w:marTop w:val="0"/>
          <w:marBottom w:val="0"/>
          <w:divBdr>
            <w:top w:val="none" w:sz="0" w:space="0" w:color="auto"/>
            <w:left w:val="none" w:sz="0" w:space="0" w:color="auto"/>
            <w:bottom w:val="none" w:sz="0" w:space="0" w:color="auto"/>
            <w:right w:val="none" w:sz="0" w:space="0" w:color="auto"/>
          </w:divBdr>
        </w:div>
        <w:div w:id="1104107908">
          <w:marLeft w:val="640"/>
          <w:marRight w:val="0"/>
          <w:marTop w:val="0"/>
          <w:marBottom w:val="0"/>
          <w:divBdr>
            <w:top w:val="none" w:sz="0" w:space="0" w:color="auto"/>
            <w:left w:val="none" w:sz="0" w:space="0" w:color="auto"/>
            <w:bottom w:val="none" w:sz="0" w:space="0" w:color="auto"/>
            <w:right w:val="none" w:sz="0" w:space="0" w:color="auto"/>
          </w:divBdr>
        </w:div>
        <w:div w:id="1641960655">
          <w:marLeft w:val="640"/>
          <w:marRight w:val="0"/>
          <w:marTop w:val="0"/>
          <w:marBottom w:val="0"/>
          <w:divBdr>
            <w:top w:val="none" w:sz="0" w:space="0" w:color="auto"/>
            <w:left w:val="none" w:sz="0" w:space="0" w:color="auto"/>
            <w:bottom w:val="none" w:sz="0" w:space="0" w:color="auto"/>
            <w:right w:val="none" w:sz="0" w:space="0" w:color="auto"/>
          </w:divBdr>
        </w:div>
        <w:div w:id="109131388">
          <w:marLeft w:val="640"/>
          <w:marRight w:val="0"/>
          <w:marTop w:val="0"/>
          <w:marBottom w:val="0"/>
          <w:divBdr>
            <w:top w:val="none" w:sz="0" w:space="0" w:color="auto"/>
            <w:left w:val="none" w:sz="0" w:space="0" w:color="auto"/>
            <w:bottom w:val="none" w:sz="0" w:space="0" w:color="auto"/>
            <w:right w:val="none" w:sz="0" w:space="0" w:color="auto"/>
          </w:divBdr>
        </w:div>
        <w:div w:id="1812018249">
          <w:marLeft w:val="640"/>
          <w:marRight w:val="0"/>
          <w:marTop w:val="0"/>
          <w:marBottom w:val="0"/>
          <w:divBdr>
            <w:top w:val="none" w:sz="0" w:space="0" w:color="auto"/>
            <w:left w:val="none" w:sz="0" w:space="0" w:color="auto"/>
            <w:bottom w:val="none" w:sz="0" w:space="0" w:color="auto"/>
            <w:right w:val="none" w:sz="0" w:space="0" w:color="auto"/>
          </w:divBdr>
        </w:div>
        <w:div w:id="1643466911">
          <w:marLeft w:val="640"/>
          <w:marRight w:val="0"/>
          <w:marTop w:val="0"/>
          <w:marBottom w:val="0"/>
          <w:divBdr>
            <w:top w:val="none" w:sz="0" w:space="0" w:color="auto"/>
            <w:left w:val="none" w:sz="0" w:space="0" w:color="auto"/>
            <w:bottom w:val="none" w:sz="0" w:space="0" w:color="auto"/>
            <w:right w:val="none" w:sz="0" w:space="0" w:color="auto"/>
          </w:divBdr>
        </w:div>
        <w:div w:id="445589654">
          <w:marLeft w:val="640"/>
          <w:marRight w:val="0"/>
          <w:marTop w:val="0"/>
          <w:marBottom w:val="0"/>
          <w:divBdr>
            <w:top w:val="none" w:sz="0" w:space="0" w:color="auto"/>
            <w:left w:val="none" w:sz="0" w:space="0" w:color="auto"/>
            <w:bottom w:val="none" w:sz="0" w:space="0" w:color="auto"/>
            <w:right w:val="none" w:sz="0" w:space="0" w:color="auto"/>
          </w:divBdr>
        </w:div>
        <w:div w:id="1222257259">
          <w:marLeft w:val="640"/>
          <w:marRight w:val="0"/>
          <w:marTop w:val="0"/>
          <w:marBottom w:val="0"/>
          <w:divBdr>
            <w:top w:val="none" w:sz="0" w:space="0" w:color="auto"/>
            <w:left w:val="none" w:sz="0" w:space="0" w:color="auto"/>
            <w:bottom w:val="none" w:sz="0" w:space="0" w:color="auto"/>
            <w:right w:val="none" w:sz="0" w:space="0" w:color="auto"/>
          </w:divBdr>
        </w:div>
        <w:div w:id="1965114250">
          <w:marLeft w:val="640"/>
          <w:marRight w:val="0"/>
          <w:marTop w:val="0"/>
          <w:marBottom w:val="0"/>
          <w:divBdr>
            <w:top w:val="none" w:sz="0" w:space="0" w:color="auto"/>
            <w:left w:val="none" w:sz="0" w:space="0" w:color="auto"/>
            <w:bottom w:val="none" w:sz="0" w:space="0" w:color="auto"/>
            <w:right w:val="none" w:sz="0" w:space="0" w:color="auto"/>
          </w:divBdr>
        </w:div>
        <w:div w:id="831138774">
          <w:marLeft w:val="640"/>
          <w:marRight w:val="0"/>
          <w:marTop w:val="0"/>
          <w:marBottom w:val="0"/>
          <w:divBdr>
            <w:top w:val="none" w:sz="0" w:space="0" w:color="auto"/>
            <w:left w:val="none" w:sz="0" w:space="0" w:color="auto"/>
            <w:bottom w:val="none" w:sz="0" w:space="0" w:color="auto"/>
            <w:right w:val="none" w:sz="0" w:space="0" w:color="auto"/>
          </w:divBdr>
        </w:div>
        <w:div w:id="407772242">
          <w:marLeft w:val="640"/>
          <w:marRight w:val="0"/>
          <w:marTop w:val="0"/>
          <w:marBottom w:val="0"/>
          <w:divBdr>
            <w:top w:val="none" w:sz="0" w:space="0" w:color="auto"/>
            <w:left w:val="none" w:sz="0" w:space="0" w:color="auto"/>
            <w:bottom w:val="none" w:sz="0" w:space="0" w:color="auto"/>
            <w:right w:val="none" w:sz="0" w:space="0" w:color="auto"/>
          </w:divBdr>
        </w:div>
        <w:div w:id="1063941979">
          <w:marLeft w:val="640"/>
          <w:marRight w:val="0"/>
          <w:marTop w:val="0"/>
          <w:marBottom w:val="0"/>
          <w:divBdr>
            <w:top w:val="none" w:sz="0" w:space="0" w:color="auto"/>
            <w:left w:val="none" w:sz="0" w:space="0" w:color="auto"/>
            <w:bottom w:val="none" w:sz="0" w:space="0" w:color="auto"/>
            <w:right w:val="none" w:sz="0" w:space="0" w:color="auto"/>
          </w:divBdr>
        </w:div>
        <w:div w:id="1040594915">
          <w:marLeft w:val="640"/>
          <w:marRight w:val="0"/>
          <w:marTop w:val="0"/>
          <w:marBottom w:val="0"/>
          <w:divBdr>
            <w:top w:val="none" w:sz="0" w:space="0" w:color="auto"/>
            <w:left w:val="none" w:sz="0" w:space="0" w:color="auto"/>
            <w:bottom w:val="none" w:sz="0" w:space="0" w:color="auto"/>
            <w:right w:val="none" w:sz="0" w:space="0" w:color="auto"/>
          </w:divBdr>
        </w:div>
        <w:div w:id="1497259424">
          <w:marLeft w:val="640"/>
          <w:marRight w:val="0"/>
          <w:marTop w:val="0"/>
          <w:marBottom w:val="0"/>
          <w:divBdr>
            <w:top w:val="none" w:sz="0" w:space="0" w:color="auto"/>
            <w:left w:val="none" w:sz="0" w:space="0" w:color="auto"/>
            <w:bottom w:val="none" w:sz="0" w:space="0" w:color="auto"/>
            <w:right w:val="none" w:sz="0" w:space="0" w:color="auto"/>
          </w:divBdr>
        </w:div>
        <w:div w:id="1155341168">
          <w:marLeft w:val="640"/>
          <w:marRight w:val="0"/>
          <w:marTop w:val="0"/>
          <w:marBottom w:val="0"/>
          <w:divBdr>
            <w:top w:val="none" w:sz="0" w:space="0" w:color="auto"/>
            <w:left w:val="none" w:sz="0" w:space="0" w:color="auto"/>
            <w:bottom w:val="none" w:sz="0" w:space="0" w:color="auto"/>
            <w:right w:val="none" w:sz="0" w:space="0" w:color="auto"/>
          </w:divBdr>
        </w:div>
        <w:div w:id="811143595">
          <w:marLeft w:val="640"/>
          <w:marRight w:val="0"/>
          <w:marTop w:val="0"/>
          <w:marBottom w:val="0"/>
          <w:divBdr>
            <w:top w:val="none" w:sz="0" w:space="0" w:color="auto"/>
            <w:left w:val="none" w:sz="0" w:space="0" w:color="auto"/>
            <w:bottom w:val="none" w:sz="0" w:space="0" w:color="auto"/>
            <w:right w:val="none" w:sz="0" w:space="0" w:color="auto"/>
          </w:divBdr>
        </w:div>
        <w:div w:id="713772419">
          <w:marLeft w:val="640"/>
          <w:marRight w:val="0"/>
          <w:marTop w:val="0"/>
          <w:marBottom w:val="0"/>
          <w:divBdr>
            <w:top w:val="none" w:sz="0" w:space="0" w:color="auto"/>
            <w:left w:val="none" w:sz="0" w:space="0" w:color="auto"/>
            <w:bottom w:val="none" w:sz="0" w:space="0" w:color="auto"/>
            <w:right w:val="none" w:sz="0" w:space="0" w:color="auto"/>
          </w:divBdr>
        </w:div>
        <w:div w:id="1369332530">
          <w:marLeft w:val="640"/>
          <w:marRight w:val="0"/>
          <w:marTop w:val="0"/>
          <w:marBottom w:val="0"/>
          <w:divBdr>
            <w:top w:val="none" w:sz="0" w:space="0" w:color="auto"/>
            <w:left w:val="none" w:sz="0" w:space="0" w:color="auto"/>
            <w:bottom w:val="none" w:sz="0" w:space="0" w:color="auto"/>
            <w:right w:val="none" w:sz="0" w:space="0" w:color="auto"/>
          </w:divBdr>
        </w:div>
        <w:div w:id="1513762073">
          <w:marLeft w:val="640"/>
          <w:marRight w:val="0"/>
          <w:marTop w:val="0"/>
          <w:marBottom w:val="0"/>
          <w:divBdr>
            <w:top w:val="none" w:sz="0" w:space="0" w:color="auto"/>
            <w:left w:val="none" w:sz="0" w:space="0" w:color="auto"/>
            <w:bottom w:val="none" w:sz="0" w:space="0" w:color="auto"/>
            <w:right w:val="none" w:sz="0" w:space="0" w:color="auto"/>
          </w:divBdr>
        </w:div>
        <w:div w:id="1664241556">
          <w:marLeft w:val="640"/>
          <w:marRight w:val="0"/>
          <w:marTop w:val="0"/>
          <w:marBottom w:val="0"/>
          <w:divBdr>
            <w:top w:val="none" w:sz="0" w:space="0" w:color="auto"/>
            <w:left w:val="none" w:sz="0" w:space="0" w:color="auto"/>
            <w:bottom w:val="none" w:sz="0" w:space="0" w:color="auto"/>
            <w:right w:val="none" w:sz="0" w:space="0" w:color="auto"/>
          </w:divBdr>
        </w:div>
        <w:div w:id="1403675341">
          <w:marLeft w:val="640"/>
          <w:marRight w:val="0"/>
          <w:marTop w:val="0"/>
          <w:marBottom w:val="0"/>
          <w:divBdr>
            <w:top w:val="none" w:sz="0" w:space="0" w:color="auto"/>
            <w:left w:val="none" w:sz="0" w:space="0" w:color="auto"/>
            <w:bottom w:val="none" w:sz="0" w:space="0" w:color="auto"/>
            <w:right w:val="none" w:sz="0" w:space="0" w:color="auto"/>
          </w:divBdr>
        </w:div>
        <w:div w:id="1703357152">
          <w:marLeft w:val="640"/>
          <w:marRight w:val="0"/>
          <w:marTop w:val="0"/>
          <w:marBottom w:val="0"/>
          <w:divBdr>
            <w:top w:val="none" w:sz="0" w:space="0" w:color="auto"/>
            <w:left w:val="none" w:sz="0" w:space="0" w:color="auto"/>
            <w:bottom w:val="none" w:sz="0" w:space="0" w:color="auto"/>
            <w:right w:val="none" w:sz="0" w:space="0" w:color="auto"/>
          </w:divBdr>
        </w:div>
        <w:div w:id="1707875278">
          <w:marLeft w:val="640"/>
          <w:marRight w:val="0"/>
          <w:marTop w:val="0"/>
          <w:marBottom w:val="0"/>
          <w:divBdr>
            <w:top w:val="none" w:sz="0" w:space="0" w:color="auto"/>
            <w:left w:val="none" w:sz="0" w:space="0" w:color="auto"/>
            <w:bottom w:val="none" w:sz="0" w:space="0" w:color="auto"/>
            <w:right w:val="none" w:sz="0" w:space="0" w:color="auto"/>
          </w:divBdr>
        </w:div>
        <w:div w:id="1195076229">
          <w:marLeft w:val="640"/>
          <w:marRight w:val="0"/>
          <w:marTop w:val="0"/>
          <w:marBottom w:val="0"/>
          <w:divBdr>
            <w:top w:val="none" w:sz="0" w:space="0" w:color="auto"/>
            <w:left w:val="none" w:sz="0" w:space="0" w:color="auto"/>
            <w:bottom w:val="none" w:sz="0" w:space="0" w:color="auto"/>
            <w:right w:val="none" w:sz="0" w:space="0" w:color="auto"/>
          </w:divBdr>
        </w:div>
      </w:divsChild>
    </w:div>
    <w:div w:id="2018463152">
      <w:bodyDiv w:val="1"/>
      <w:marLeft w:val="0"/>
      <w:marRight w:val="0"/>
      <w:marTop w:val="0"/>
      <w:marBottom w:val="0"/>
      <w:divBdr>
        <w:top w:val="none" w:sz="0" w:space="0" w:color="auto"/>
        <w:left w:val="none" w:sz="0" w:space="0" w:color="auto"/>
        <w:bottom w:val="none" w:sz="0" w:space="0" w:color="auto"/>
        <w:right w:val="none" w:sz="0" w:space="0" w:color="auto"/>
      </w:divBdr>
      <w:divsChild>
        <w:div w:id="1117212768">
          <w:marLeft w:val="640"/>
          <w:marRight w:val="0"/>
          <w:marTop w:val="0"/>
          <w:marBottom w:val="0"/>
          <w:divBdr>
            <w:top w:val="none" w:sz="0" w:space="0" w:color="auto"/>
            <w:left w:val="none" w:sz="0" w:space="0" w:color="auto"/>
            <w:bottom w:val="none" w:sz="0" w:space="0" w:color="auto"/>
            <w:right w:val="none" w:sz="0" w:space="0" w:color="auto"/>
          </w:divBdr>
        </w:div>
        <w:div w:id="1049305053">
          <w:marLeft w:val="640"/>
          <w:marRight w:val="0"/>
          <w:marTop w:val="0"/>
          <w:marBottom w:val="0"/>
          <w:divBdr>
            <w:top w:val="none" w:sz="0" w:space="0" w:color="auto"/>
            <w:left w:val="none" w:sz="0" w:space="0" w:color="auto"/>
            <w:bottom w:val="none" w:sz="0" w:space="0" w:color="auto"/>
            <w:right w:val="none" w:sz="0" w:space="0" w:color="auto"/>
          </w:divBdr>
        </w:div>
        <w:div w:id="1547333147">
          <w:marLeft w:val="640"/>
          <w:marRight w:val="0"/>
          <w:marTop w:val="0"/>
          <w:marBottom w:val="0"/>
          <w:divBdr>
            <w:top w:val="none" w:sz="0" w:space="0" w:color="auto"/>
            <w:left w:val="none" w:sz="0" w:space="0" w:color="auto"/>
            <w:bottom w:val="none" w:sz="0" w:space="0" w:color="auto"/>
            <w:right w:val="none" w:sz="0" w:space="0" w:color="auto"/>
          </w:divBdr>
        </w:div>
        <w:div w:id="832062255">
          <w:marLeft w:val="640"/>
          <w:marRight w:val="0"/>
          <w:marTop w:val="0"/>
          <w:marBottom w:val="0"/>
          <w:divBdr>
            <w:top w:val="none" w:sz="0" w:space="0" w:color="auto"/>
            <w:left w:val="none" w:sz="0" w:space="0" w:color="auto"/>
            <w:bottom w:val="none" w:sz="0" w:space="0" w:color="auto"/>
            <w:right w:val="none" w:sz="0" w:space="0" w:color="auto"/>
          </w:divBdr>
        </w:div>
        <w:div w:id="66809812">
          <w:marLeft w:val="640"/>
          <w:marRight w:val="0"/>
          <w:marTop w:val="0"/>
          <w:marBottom w:val="0"/>
          <w:divBdr>
            <w:top w:val="none" w:sz="0" w:space="0" w:color="auto"/>
            <w:left w:val="none" w:sz="0" w:space="0" w:color="auto"/>
            <w:bottom w:val="none" w:sz="0" w:space="0" w:color="auto"/>
            <w:right w:val="none" w:sz="0" w:space="0" w:color="auto"/>
          </w:divBdr>
        </w:div>
        <w:div w:id="547031267">
          <w:marLeft w:val="640"/>
          <w:marRight w:val="0"/>
          <w:marTop w:val="0"/>
          <w:marBottom w:val="0"/>
          <w:divBdr>
            <w:top w:val="none" w:sz="0" w:space="0" w:color="auto"/>
            <w:left w:val="none" w:sz="0" w:space="0" w:color="auto"/>
            <w:bottom w:val="none" w:sz="0" w:space="0" w:color="auto"/>
            <w:right w:val="none" w:sz="0" w:space="0" w:color="auto"/>
          </w:divBdr>
        </w:div>
        <w:div w:id="1447695351">
          <w:marLeft w:val="640"/>
          <w:marRight w:val="0"/>
          <w:marTop w:val="0"/>
          <w:marBottom w:val="0"/>
          <w:divBdr>
            <w:top w:val="none" w:sz="0" w:space="0" w:color="auto"/>
            <w:left w:val="none" w:sz="0" w:space="0" w:color="auto"/>
            <w:bottom w:val="none" w:sz="0" w:space="0" w:color="auto"/>
            <w:right w:val="none" w:sz="0" w:space="0" w:color="auto"/>
          </w:divBdr>
        </w:div>
        <w:div w:id="159542618">
          <w:marLeft w:val="640"/>
          <w:marRight w:val="0"/>
          <w:marTop w:val="0"/>
          <w:marBottom w:val="0"/>
          <w:divBdr>
            <w:top w:val="none" w:sz="0" w:space="0" w:color="auto"/>
            <w:left w:val="none" w:sz="0" w:space="0" w:color="auto"/>
            <w:bottom w:val="none" w:sz="0" w:space="0" w:color="auto"/>
            <w:right w:val="none" w:sz="0" w:space="0" w:color="auto"/>
          </w:divBdr>
        </w:div>
        <w:div w:id="421294107">
          <w:marLeft w:val="640"/>
          <w:marRight w:val="0"/>
          <w:marTop w:val="0"/>
          <w:marBottom w:val="0"/>
          <w:divBdr>
            <w:top w:val="none" w:sz="0" w:space="0" w:color="auto"/>
            <w:left w:val="none" w:sz="0" w:space="0" w:color="auto"/>
            <w:bottom w:val="none" w:sz="0" w:space="0" w:color="auto"/>
            <w:right w:val="none" w:sz="0" w:space="0" w:color="auto"/>
          </w:divBdr>
        </w:div>
        <w:div w:id="97718086">
          <w:marLeft w:val="640"/>
          <w:marRight w:val="0"/>
          <w:marTop w:val="0"/>
          <w:marBottom w:val="0"/>
          <w:divBdr>
            <w:top w:val="none" w:sz="0" w:space="0" w:color="auto"/>
            <w:left w:val="none" w:sz="0" w:space="0" w:color="auto"/>
            <w:bottom w:val="none" w:sz="0" w:space="0" w:color="auto"/>
            <w:right w:val="none" w:sz="0" w:space="0" w:color="auto"/>
          </w:divBdr>
        </w:div>
        <w:div w:id="712658387">
          <w:marLeft w:val="640"/>
          <w:marRight w:val="0"/>
          <w:marTop w:val="0"/>
          <w:marBottom w:val="0"/>
          <w:divBdr>
            <w:top w:val="none" w:sz="0" w:space="0" w:color="auto"/>
            <w:left w:val="none" w:sz="0" w:space="0" w:color="auto"/>
            <w:bottom w:val="none" w:sz="0" w:space="0" w:color="auto"/>
            <w:right w:val="none" w:sz="0" w:space="0" w:color="auto"/>
          </w:divBdr>
        </w:div>
        <w:div w:id="733703596">
          <w:marLeft w:val="640"/>
          <w:marRight w:val="0"/>
          <w:marTop w:val="0"/>
          <w:marBottom w:val="0"/>
          <w:divBdr>
            <w:top w:val="none" w:sz="0" w:space="0" w:color="auto"/>
            <w:left w:val="none" w:sz="0" w:space="0" w:color="auto"/>
            <w:bottom w:val="none" w:sz="0" w:space="0" w:color="auto"/>
            <w:right w:val="none" w:sz="0" w:space="0" w:color="auto"/>
          </w:divBdr>
        </w:div>
        <w:div w:id="26570903">
          <w:marLeft w:val="640"/>
          <w:marRight w:val="0"/>
          <w:marTop w:val="0"/>
          <w:marBottom w:val="0"/>
          <w:divBdr>
            <w:top w:val="none" w:sz="0" w:space="0" w:color="auto"/>
            <w:left w:val="none" w:sz="0" w:space="0" w:color="auto"/>
            <w:bottom w:val="none" w:sz="0" w:space="0" w:color="auto"/>
            <w:right w:val="none" w:sz="0" w:space="0" w:color="auto"/>
          </w:divBdr>
        </w:div>
        <w:div w:id="717321779">
          <w:marLeft w:val="640"/>
          <w:marRight w:val="0"/>
          <w:marTop w:val="0"/>
          <w:marBottom w:val="0"/>
          <w:divBdr>
            <w:top w:val="none" w:sz="0" w:space="0" w:color="auto"/>
            <w:left w:val="none" w:sz="0" w:space="0" w:color="auto"/>
            <w:bottom w:val="none" w:sz="0" w:space="0" w:color="auto"/>
            <w:right w:val="none" w:sz="0" w:space="0" w:color="auto"/>
          </w:divBdr>
        </w:div>
        <w:div w:id="1952128689">
          <w:marLeft w:val="640"/>
          <w:marRight w:val="0"/>
          <w:marTop w:val="0"/>
          <w:marBottom w:val="0"/>
          <w:divBdr>
            <w:top w:val="none" w:sz="0" w:space="0" w:color="auto"/>
            <w:left w:val="none" w:sz="0" w:space="0" w:color="auto"/>
            <w:bottom w:val="none" w:sz="0" w:space="0" w:color="auto"/>
            <w:right w:val="none" w:sz="0" w:space="0" w:color="auto"/>
          </w:divBdr>
        </w:div>
        <w:div w:id="1317994631">
          <w:marLeft w:val="640"/>
          <w:marRight w:val="0"/>
          <w:marTop w:val="0"/>
          <w:marBottom w:val="0"/>
          <w:divBdr>
            <w:top w:val="none" w:sz="0" w:space="0" w:color="auto"/>
            <w:left w:val="none" w:sz="0" w:space="0" w:color="auto"/>
            <w:bottom w:val="none" w:sz="0" w:space="0" w:color="auto"/>
            <w:right w:val="none" w:sz="0" w:space="0" w:color="auto"/>
          </w:divBdr>
        </w:div>
        <w:div w:id="1218009301">
          <w:marLeft w:val="640"/>
          <w:marRight w:val="0"/>
          <w:marTop w:val="0"/>
          <w:marBottom w:val="0"/>
          <w:divBdr>
            <w:top w:val="none" w:sz="0" w:space="0" w:color="auto"/>
            <w:left w:val="none" w:sz="0" w:space="0" w:color="auto"/>
            <w:bottom w:val="none" w:sz="0" w:space="0" w:color="auto"/>
            <w:right w:val="none" w:sz="0" w:space="0" w:color="auto"/>
          </w:divBdr>
        </w:div>
        <w:div w:id="2038894545">
          <w:marLeft w:val="640"/>
          <w:marRight w:val="0"/>
          <w:marTop w:val="0"/>
          <w:marBottom w:val="0"/>
          <w:divBdr>
            <w:top w:val="none" w:sz="0" w:space="0" w:color="auto"/>
            <w:left w:val="none" w:sz="0" w:space="0" w:color="auto"/>
            <w:bottom w:val="none" w:sz="0" w:space="0" w:color="auto"/>
            <w:right w:val="none" w:sz="0" w:space="0" w:color="auto"/>
          </w:divBdr>
        </w:div>
        <w:div w:id="1064135697">
          <w:marLeft w:val="640"/>
          <w:marRight w:val="0"/>
          <w:marTop w:val="0"/>
          <w:marBottom w:val="0"/>
          <w:divBdr>
            <w:top w:val="none" w:sz="0" w:space="0" w:color="auto"/>
            <w:left w:val="none" w:sz="0" w:space="0" w:color="auto"/>
            <w:bottom w:val="none" w:sz="0" w:space="0" w:color="auto"/>
            <w:right w:val="none" w:sz="0" w:space="0" w:color="auto"/>
          </w:divBdr>
        </w:div>
        <w:div w:id="1506554105">
          <w:marLeft w:val="640"/>
          <w:marRight w:val="0"/>
          <w:marTop w:val="0"/>
          <w:marBottom w:val="0"/>
          <w:divBdr>
            <w:top w:val="none" w:sz="0" w:space="0" w:color="auto"/>
            <w:left w:val="none" w:sz="0" w:space="0" w:color="auto"/>
            <w:bottom w:val="none" w:sz="0" w:space="0" w:color="auto"/>
            <w:right w:val="none" w:sz="0" w:space="0" w:color="auto"/>
          </w:divBdr>
        </w:div>
        <w:div w:id="182592669">
          <w:marLeft w:val="640"/>
          <w:marRight w:val="0"/>
          <w:marTop w:val="0"/>
          <w:marBottom w:val="0"/>
          <w:divBdr>
            <w:top w:val="none" w:sz="0" w:space="0" w:color="auto"/>
            <w:left w:val="none" w:sz="0" w:space="0" w:color="auto"/>
            <w:bottom w:val="none" w:sz="0" w:space="0" w:color="auto"/>
            <w:right w:val="none" w:sz="0" w:space="0" w:color="auto"/>
          </w:divBdr>
        </w:div>
        <w:div w:id="1354066913">
          <w:marLeft w:val="640"/>
          <w:marRight w:val="0"/>
          <w:marTop w:val="0"/>
          <w:marBottom w:val="0"/>
          <w:divBdr>
            <w:top w:val="none" w:sz="0" w:space="0" w:color="auto"/>
            <w:left w:val="none" w:sz="0" w:space="0" w:color="auto"/>
            <w:bottom w:val="none" w:sz="0" w:space="0" w:color="auto"/>
            <w:right w:val="none" w:sz="0" w:space="0" w:color="auto"/>
          </w:divBdr>
        </w:div>
        <w:div w:id="173765444">
          <w:marLeft w:val="640"/>
          <w:marRight w:val="0"/>
          <w:marTop w:val="0"/>
          <w:marBottom w:val="0"/>
          <w:divBdr>
            <w:top w:val="none" w:sz="0" w:space="0" w:color="auto"/>
            <w:left w:val="none" w:sz="0" w:space="0" w:color="auto"/>
            <w:bottom w:val="none" w:sz="0" w:space="0" w:color="auto"/>
            <w:right w:val="none" w:sz="0" w:space="0" w:color="auto"/>
          </w:divBdr>
        </w:div>
        <w:div w:id="1101796266">
          <w:marLeft w:val="640"/>
          <w:marRight w:val="0"/>
          <w:marTop w:val="0"/>
          <w:marBottom w:val="0"/>
          <w:divBdr>
            <w:top w:val="none" w:sz="0" w:space="0" w:color="auto"/>
            <w:left w:val="none" w:sz="0" w:space="0" w:color="auto"/>
            <w:bottom w:val="none" w:sz="0" w:space="0" w:color="auto"/>
            <w:right w:val="none" w:sz="0" w:space="0" w:color="auto"/>
          </w:divBdr>
        </w:div>
        <w:div w:id="247735282">
          <w:marLeft w:val="640"/>
          <w:marRight w:val="0"/>
          <w:marTop w:val="0"/>
          <w:marBottom w:val="0"/>
          <w:divBdr>
            <w:top w:val="none" w:sz="0" w:space="0" w:color="auto"/>
            <w:left w:val="none" w:sz="0" w:space="0" w:color="auto"/>
            <w:bottom w:val="none" w:sz="0" w:space="0" w:color="auto"/>
            <w:right w:val="none" w:sz="0" w:space="0" w:color="auto"/>
          </w:divBdr>
        </w:div>
        <w:div w:id="1824931941">
          <w:marLeft w:val="640"/>
          <w:marRight w:val="0"/>
          <w:marTop w:val="0"/>
          <w:marBottom w:val="0"/>
          <w:divBdr>
            <w:top w:val="none" w:sz="0" w:space="0" w:color="auto"/>
            <w:left w:val="none" w:sz="0" w:space="0" w:color="auto"/>
            <w:bottom w:val="none" w:sz="0" w:space="0" w:color="auto"/>
            <w:right w:val="none" w:sz="0" w:space="0" w:color="auto"/>
          </w:divBdr>
        </w:div>
        <w:div w:id="700201349">
          <w:marLeft w:val="640"/>
          <w:marRight w:val="0"/>
          <w:marTop w:val="0"/>
          <w:marBottom w:val="0"/>
          <w:divBdr>
            <w:top w:val="none" w:sz="0" w:space="0" w:color="auto"/>
            <w:left w:val="none" w:sz="0" w:space="0" w:color="auto"/>
            <w:bottom w:val="none" w:sz="0" w:space="0" w:color="auto"/>
            <w:right w:val="none" w:sz="0" w:space="0" w:color="auto"/>
          </w:divBdr>
        </w:div>
        <w:div w:id="880508740">
          <w:marLeft w:val="640"/>
          <w:marRight w:val="0"/>
          <w:marTop w:val="0"/>
          <w:marBottom w:val="0"/>
          <w:divBdr>
            <w:top w:val="none" w:sz="0" w:space="0" w:color="auto"/>
            <w:left w:val="none" w:sz="0" w:space="0" w:color="auto"/>
            <w:bottom w:val="none" w:sz="0" w:space="0" w:color="auto"/>
            <w:right w:val="none" w:sz="0" w:space="0" w:color="auto"/>
          </w:divBdr>
        </w:div>
        <w:div w:id="106896795">
          <w:marLeft w:val="640"/>
          <w:marRight w:val="0"/>
          <w:marTop w:val="0"/>
          <w:marBottom w:val="0"/>
          <w:divBdr>
            <w:top w:val="none" w:sz="0" w:space="0" w:color="auto"/>
            <w:left w:val="none" w:sz="0" w:space="0" w:color="auto"/>
            <w:bottom w:val="none" w:sz="0" w:space="0" w:color="auto"/>
            <w:right w:val="none" w:sz="0" w:space="0" w:color="auto"/>
          </w:divBdr>
        </w:div>
        <w:div w:id="1079055749">
          <w:marLeft w:val="640"/>
          <w:marRight w:val="0"/>
          <w:marTop w:val="0"/>
          <w:marBottom w:val="0"/>
          <w:divBdr>
            <w:top w:val="none" w:sz="0" w:space="0" w:color="auto"/>
            <w:left w:val="none" w:sz="0" w:space="0" w:color="auto"/>
            <w:bottom w:val="none" w:sz="0" w:space="0" w:color="auto"/>
            <w:right w:val="none" w:sz="0" w:space="0" w:color="auto"/>
          </w:divBdr>
        </w:div>
        <w:div w:id="1354769679">
          <w:marLeft w:val="640"/>
          <w:marRight w:val="0"/>
          <w:marTop w:val="0"/>
          <w:marBottom w:val="0"/>
          <w:divBdr>
            <w:top w:val="none" w:sz="0" w:space="0" w:color="auto"/>
            <w:left w:val="none" w:sz="0" w:space="0" w:color="auto"/>
            <w:bottom w:val="none" w:sz="0" w:space="0" w:color="auto"/>
            <w:right w:val="none" w:sz="0" w:space="0" w:color="auto"/>
          </w:divBdr>
        </w:div>
        <w:div w:id="869341148">
          <w:marLeft w:val="640"/>
          <w:marRight w:val="0"/>
          <w:marTop w:val="0"/>
          <w:marBottom w:val="0"/>
          <w:divBdr>
            <w:top w:val="none" w:sz="0" w:space="0" w:color="auto"/>
            <w:left w:val="none" w:sz="0" w:space="0" w:color="auto"/>
            <w:bottom w:val="none" w:sz="0" w:space="0" w:color="auto"/>
            <w:right w:val="none" w:sz="0" w:space="0" w:color="auto"/>
          </w:divBdr>
        </w:div>
        <w:div w:id="117259477">
          <w:marLeft w:val="640"/>
          <w:marRight w:val="0"/>
          <w:marTop w:val="0"/>
          <w:marBottom w:val="0"/>
          <w:divBdr>
            <w:top w:val="none" w:sz="0" w:space="0" w:color="auto"/>
            <w:left w:val="none" w:sz="0" w:space="0" w:color="auto"/>
            <w:bottom w:val="none" w:sz="0" w:space="0" w:color="auto"/>
            <w:right w:val="none" w:sz="0" w:space="0" w:color="auto"/>
          </w:divBdr>
        </w:div>
        <w:div w:id="693464393">
          <w:marLeft w:val="640"/>
          <w:marRight w:val="0"/>
          <w:marTop w:val="0"/>
          <w:marBottom w:val="0"/>
          <w:divBdr>
            <w:top w:val="none" w:sz="0" w:space="0" w:color="auto"/>
            <w:left w:val="none" w:sz="0" w:space="0" w:color="auto"/>
            <w:bottom w:val="none" w:sz="0" w:space="0" w:color="auto"/>
            <w:right w:val="none" w:sz="0" w:space="0" w:color="auto"/>
          </w:divBdr>
        </w:div>
        <w:div w:id="471945872">
          <w:marLeft w:val="640"/>
          <w:marRight w:val="0"/>
          <w:marTop w:val="0"/>
          <w:marBottom w:val="0"/>
          <w:divBdr>
            <w:top w:val="none" w:sz="0" w:space="0" w:color="auto"/>
            <w:left w:val="none" w:sz="0" w:space="0" w:color="auto"/>
            <w:bottom w:val="none" w:sz="0" w:space="0" w:color="auto"/>
            <w:right w:val="none" w:sz="0" w:space="0" w:color="auto"/>
          </w:divBdr>
        </w:div>
        <w:div w:id="1786852482">
          <w:marLeft w:val="640"/>
          <w:marRight w:val="0"/>
          <w:marTop w:val="0"/>
          <w:marBottom w:val="0"/>
          <w:divBdr>
            <w:top w:val="none" w:sz="0" w:space="0" w:color="auto"/>
            <w:left w:val="none" w:sz="0" w:space="0" w:color="auto"/>
            <w:bottom w:val="none" w:sz="0" w:space="0" w:color="auto"/>
            <w:right w:val="none" w:sz="0" w:space="0" w:color="auto"/>
          </w:divBdr>
        </w:div>
        <w:div w:id="1687754719">
          <w:marLeft w:val="640"/>
          <w:marRight w:val="0"/>
          <w:marTop w:val="0"/>
          <w:marBottom w:val="0"/>
          <w:divBdr>
            <w:top w:val="none" w:sz="0" w:space="0" w:color="auto"/>
            <w:left w:val="none" w:sz="0" w:space="0" w:color="auto"/>
            <w:bottom w:val="none" w:sz="0" w:space="0" w:color="auto"/>
            <w:right w:val="none" w:sz="0" w:space="0" w:color="auto"/>
          </w:divBdr>
        </w:div>
        <w:div w:id="243612825">
          <w:marLeft w:val="640"/>
          <w:marRight w:val="0"/>
          <w:marTop w:val="0"/>
          <w:marBottom w:val="0"/>
          <w:divBdr>
            <w:top w:val="none" w:sz="0" w:space="0" w:color="auto"/>
            <w:left w:val="none" w:sz="0" w:space="0" w:color="auto"/>
            <w:bottom w:val="none" w:sz="0" w:space="0" w:color="auto"/>
            <w:right w:val="none" w:sz="0" w:space="0" w:color="auto"/>
          </w:divBdr>
        </w:div>
        <w:div w:id="1727798093">
          <w:marLeft w:val="640"/>
          <w:marRight w:val="0"/>
          <w:marTop w:val="0"/>
          <w:marBottom w:val="0"/>
          <w:divBdr>
            <w:top w:val="none" w:sz="0" w:space="0" w:color="auto"/>
            <w:left w:val="none" w:sz="0" w:space="0" w:color="auto"/>
            <w:bottom w:val="none" w:sz="0" w:space="0" w:color="auto"/>
            <w:right w:val="none" w:sz="0" w:space="0" w:color="auto"/>
          </w:divBdr>
        </w:div>
        <w:div w:id="730929219">
          <w:marLeft w:val="640"/>
          <w:marRight w:val="0"/>
          <w:marTop w:val="0"/>
          <w:marBottom w:val="0"/>
          <w:divBdr>
            <w:top w:val="none" w:sz="0" w:space="0" w:color="auto"/>
            <w:left w:val="none" w:sz="0" w:space="0" w:color="auto"/>
            <w:bottom w:val="none" w:sz="0" w:space="0" w:color="auto"/>
            <w:right w:val="none" w:sz="0" w:space="0" w:color="auto"/>
          </w:divBdr>
        </w:div>
        <w:div w:id="2074884925">
          <w:marLeft w:val="640"/>
          <w:marRight w:val="0"/>
          <w:marTop w:val="0"/>
          <w:marBottom w:val="0"/>
          <w:divBdr>
            <w:top w:val="none" w:sz="0" w:space="0" w:color="auto"/>
            <w:left w:val="none" w:sz="0" w:space="0" w:color="auto"/>
            <w:bottom w:val="none" w:sz="0" w:space="0" w:color="auto"/>
            <w:right w:val="none" w:sz="0" w:space="0" w:color="auto"/>
          </w:divBdr>
        </w:div>
        <w:div w:id="5788297">
          <w:marLeft w:val="640"/>
          <w:marRight w:val="0"/>
          <w:marTop w:val="0"/>
          <w:marBottom w:val="0"/>
          <w:divBdr>
            <w:top w:val="none" w:sz="0" w:space="0" w:color="auto"/>
            <w:left w:val="none" w:sz="0" w:space="0" w:color="auto"/>
            <w:bottom w:val="none" w:sz="0" w:space="0" w:color="auto"/>
            <w:right w:val="none" w:sz="0" w:space="0" w:color="auto"/>
          </w:divBdr>
        </w:div>
        <w:div w:id="1073159086">
          <w:marLeft w:val="640"/>
          <w:marRight w:val="0"/>
          <w:marTop w:val="0"/>
          <w:marBottom w:val="0"/>
          <w:divBdr>
            <w:top w:val="none" w:sz="0" w:space="0" w:color="auto"/>
            <w:left w:val="none" w:sz="0" w:space="0" w:color="auto"/>
            <w:bottom w:val="none" w:sz="0" w:space="0" w:color="auto"/>
            <w:right w:val="none" w:sz="0" w:space="0" w:color="auto"/>
          </w:divBdr>
        </w:div>
        <w:div w:id="1430664772">
          <w:marLeft w:val="640"/>
          <w:marRight w:val="0"/>
          <w:marTop w:val="0"/>
          <w:marBottom w:val="0"/>
          <w:divBdr>
            <w:top w:val="none" w:sz="0" w:space="0" w:color="auto"/>
            <w:left w:val="none" w:sz="0" w:space="0" w:color="auto"/>
            <w:bottom w:val="none" w:sz="0" w:space="0" w:color="auto"/>
            <w:right w:val="none" w:sz="0" w:space="0" w:color="auto"/>
          </w:divBdr>
        </w:div>
        <w:div w:id="187106091">
          <w:marLeft w:val="640"/>
          <w:marRight w:val="0"/>
          <w:marTop w:val="0"/>
          <w:marBottom w:val="0"/>
          <w:divBdr>
            <w:top w:val="none" w:sz="0" w:space="0" w:color="auto"/>
            <w:left w:val="none" w:sz="0" w:space="0" w:color="auto"/>
            <w:bottom w:val="none" w:sz="0" w:space="0" w:color="auto"/>
            <w:right w:val="none" w:sz="0" w:space="0" w:color="auto"/>
          </w:divBdr>
        </w:div>
        <w:div w:id="839464206">
          <w:marLeft w:val="640"/>
          <w:marRight w:val="0"/>
          <w:marTop w:val="0"/>
          <w:marBottom w:val="0"/>
          <w:divBdr>
            <w:top w:val="none" w:sz="0" w:space="0" w:color="auto"/>
            <w:left w:val="none" w:sz="0" w:space="0" w:color="auto"/>
            <w:bottom w:val="none" w:sz="0" w:space="0" w:color="auto"/>
            <w:right w:val="none" w:sz="0" w:space="0" w:color="auto"/>
          </w:divBdr>
        </w:div>
        <w:div w:id="124465616">
          <w:marLeft w:val="640"/>
          <w:marRight w:val="0"/>
          <w:marTop w:val="0"/>
          <w:marBottom w:val="0"/>
          <w:divBdr>
            <w:top w:val="none" w:sz="0" w:space="0" w:color="auto"/>
            <w:left w:val="none" w:sz="0" w:space="0" w:color="auto"/>
            <w:bottom w:val="none" w:sz="0" w:space="0" w:color="auto"/>
            <w:right w:val="none" w:sz="0" w:space="0" w:color="auto"/>
          </w:divBdr>
        </w:div>
        <w:div w:id="959536220">
          <w:marLeft w:val="640"/>
          <w:marRight w:val="0"/>
          <w:marTop w:val="0"/>
          <w:marBottom w:val="0"/>
          <w:divBdr>
            <w:top w:val="none" w:sz="0" w:space="0" w:color="auto"/>
            <w:left w:val="none" w:sz="0" w:space="0" w:color="auto"/>
            <w:bottom w:val="none" w:sz="0" w:space="0" w:color="auto"/>
            <w:right w:val="none" w:sz="0" w:space="0" w:color="auto"/>
          </w:divBdr>
        </w:div>
        <w:div w:id="1786537523">
          <w:marLeft w:val="640"/>
          <w:marRight w:val="0"/>
          <w:marTop w:val="0"/>
          <w:marBottom w:val="0"/>
          <w:divBdr>
            <w:top w:val="none" w:sz="0" w:space="0" w:color="auto"/>
            <w:left w:val="none" w:sz="0" w:space="0" w:color="auto"/>
            <w:bottom w:val="none" w:sz="0" w:space="0" w:color="auto"/>
            <w:right w:val="none" w:sz="0" w:space="0" w:color="auto"/>
          </w:divBdr>
        </w:div>
        <w:div w:id="929124468">
          <w:marLeft w:val="640"/>
          <w:marRight w:val="0"/>
          <w:marTop w:val="0"/>
          <w:marBottom w:val="0"/>
          <w:divBdr>
            <w:top w:val="none" w:sz="0" w:space="0" w:color="auto"/>
            <w:left w:val="none" w:sz="0" w:space="0" w:color="auto"/>
            <w:bottom w:val="none" w:sz="0" w:space="0" w:color="auto"/>
            <w:right w:val="none" w:sz="0" w:space="0" w:color="auto"/>
          </w:divBdr>
        </w:div>
        <w:div w:id="1224297157">
          <w:marLeft w:val="640"/>
          <w:marRight w:val="0"/>
          <w:marTop w:val="0"/>
          <w:marBottom w:val="0"/>
          <w:divBdr>
            <w:top w:val="none" w:sz="0" w:space="0" w:color="auto"/>
            <w:left w:val="none" w:sz="0" w:space="0" w:color="auto"/>
            <w:bottom w:val="none" w:sz="0" w:space="0" w:color="auto"/>
            <w:right w:val="none" w:sz="0" w:space="0" w:color="auto"/>
          </w:divBdr>
        </w:div>
        <w:div w:id="1474445821">
          <w:marLeft w:val="640"/>
          <w:marRight w:val="0"/>
          <w:marTop w:val="0"/>
          <w:marBottom w:val="0"/>
          <w:divBdr>
            <w:top w:val="none" w:sz="0" w:space="0" w:color="auto"/>
            <w:left w:val="none" w:sz="0" w:space="0" w:color="auto"/>
            <w:bottom w:val="none" w:sz="0" w:space="0" w:color="auto"/>
            <w:right w:val="none" w:sz="0" w:space="0" w:color="auto"/>
          </w:divBdr>
        </w:div>
        <w:div w:id="749959067">
          <w:marLeft w:val="640"/>
          <w:marRight w:val="0"/>
          <w:marTop w:val="0"/>
          <w:marBottom w:val="0"/>
          <w:divBdr>
            <w:top w:val="none" w:sz="0" w:space="0" w:color="auto"/>
            <w:left w:val="none" w:sz="0" w:space="0" w:color="auto"/>
            <w:bottom w:val="none" w:sz="0" w:space="0" w:color="auto"/>
            <w:right w:val="none" w:sz="0" w:space="0" w:color="auto"/>
          </w:divBdr>
        </w:div>
        <w:div w:id="2124303498">
          <w:marLeft w:val="640"/>
          <w:marRight w:val="0"/>
          <w:marTop w:val="0"/>
          <w:marBottom w:val="0"/>
          <w:divBdr>
            <w:top w:val="none" w:sz="0" w:space="0" w:color="auto"/>
            <w:left w:val="none" w:sz="0" w:space="0" w:color="auto"/>
            <w:bottom w:val="none" w:sz="0" w:space="0" w:color="auto"/>
            <w:right w:val="none" w:sz="0" w:space="0" w:color="auto"/>
          </w:divBdr>
        </w:div>
        <w:div w:id="106430889">
          <w:marLeft w:val="640"/>
          <w:marRight w:val="0"/>
          <w:marTop w:val="0"/>
          <w:marBottom w:val="0"/>
          <w:divBdr>
            <w:top w:val="none" w:sz="0" w:space="0" w:color="auto"/>
            <w:left w:val="none" w:sz="0" w:space="0" w:color="auto"/>
            <w:bottom w:val="none" w:sz="0" w:space="0" w:color="auto"/>
            <w:right w:val="none" w:sz="0" w:space="0" w:color="auto"/>
          </w:divBdr>
        </w:div>
        <w:div w:id="614673568">
          <w:marLeft w:val="640"/>
          <w:marRight w:val="0"/>
          <w:marTop w:val="0"/>
          <w:marBottom w:val="0"/>
          <w:divBdr>
            <w:top w:val="none" w:sz="0" w:space="0" w:color="auto"/>
            <w:left w:val="none" w:sz="0" w:space="0" w:color="auto"/>
            <w:bottom w:val="none" w:sz="0" w:space="0" w:color="auto"/>
            <w:right w:val="none" w:sz="0" w:space="0" w:color="auto"/>
          </w:divBdr>
        </w:div>
        <w:div w:id="461389094">
          <w:marLeft w:val="640"/>
          <w:marRight w:val="0"/>
          <w:marTop w:val="0"/>
          <w:marBottom w:val="0"/>
          <w:divBdr>
            <w:top w:val="none" w:sz="0" w:space="0" w:color="auto"/>
            <w:left w:val="none" w:sz="0" w:space="0" w:color="auto"/>
            <w:bottom w:val="none" w:sz="0" w:space="0" w:color="auto"/>
            <w:right w:val="none" w:sz="0" w:space="0" w:color="auto"/>
          </w:divBdr>
        </w:div>
        <w:div w:id="424613736">
          <w:marLeft w:val="640"/>
          <w:marRight w:val="0"/>
          <w:marTop w:val="0"/>
          <w:marBottom w:val="0"/>
          <w:divBdr>
            <w:top w:val="none" w:sz="0" w:space="0" w:color="auto"/>
            <w:left w:val="none" w:sz="0" w:space="0" w:color="auto"/>
            <w:bottom w:val="none" w:sz="0" w:space="0" w:color="auto"/>
            <w:right w:val="none" w:sz="0" w:space="0" w:color="auto"/>
          </w:divBdr>
        </w:div>
        <w:div w:id="1789279853">
          <w:marLeft w:val="640"/>
          <w:marRight w:val="0"/>
          <w:marTop w:val="0"/>
          <w:marBottom w:val="0"/>
          <w:divBdr>
            <w:top w:val="none" w:sz="0" w:space="0" w:color="auto"/>
            <w:left w:val="none" w:sz="0" w:space="0" w:color="auto"/>
            <w:bottom w:val="none" w:sz="0" w:space="0" w:color="auto"/>
            <w:right w:val="none" w:sz="0" w:space="0" w:color="auto"/>
          </w:divBdr>
        </w:div>
        <w:div w:id="698899621">
          <w:marLeft w:val="640"/>
          <w:marRight w:val="0"/>
          <w:marTop w:val="0"/>
          <w:marBottom w:val="0"/>
          <w:divBdr>
            <w:top w:val="none" w:sz="0" w:space="0" w:color="auto"/>
            <w:left w:val="none" w:sz="0" w:space="0" w:color="auto"/>
            <w:bottom w:val="none" w:sz="0" w:space="0" w:color="auto"/>
            <w:right w:val="none" w:sz="0" w:space="0" w:color="auto"/>
          </w:divBdr>
        </w:div>
        <w:div w:id="683167826">
          <w:marLeft w:val="640"/>
          <w:marRight w:val="0"/>
          <w:marTop w:val="0"/>
          <w:marBottom w:val="0"/>
          <w:divBdr>
            <w:top w:val="none" w:sz="0" w:space="0" w:color="auto"/>
            <w:left w:val="none" w:sz="0" w:space="0" w:color="auto"/>
            <w:bottom w:val="none" w:sz="0" w:space="0" w:color="auto"/>
            <w:right w:val="none" w:sz="0" w:space="0" w:color="auto"/>
          </w:divBdr>
        </w:div>
        <w:div w:id="474419221">
          <w:marLeft w:val="640"/>
          <w:marRight w:val="0"/>
          <w:marTop w:val="0"/>
          <w:marBottom w:val="0"/>
          <w:divBdr>
            <w:top w:val="none" w:sz="0" w:space="0" w:color="auto"/>
            <w:left w:val="none" w:sz="0" w:space="0" w:color="auto"/>
            <w:bottom w:val="none" w:sz="0" w:space="0" w:color="auto"/>
            <w:right w:val="none" w:sz="0" w:space="0" w:color="auto"/>
          </w:divBdr>
        </w:div>
        <w:div w:id="62875666">
          <w:marLeft w:val="640"/>
          <w:marRight w:val="0"/>
          <w:marTop w:val="0"/>
          <w:marBottom w:val="0"/>
          <w:divBdr>
            <w:top w:val="none" w:sz="0" w:space="0" w:color="auto"/>
            <w:left w:val="none" w:sz="0" w:space="0" w:color="auto"/>
            <w:bottom w:val="none" w:sz="0" w:space="0" w:color="auto"/>
            <w:right w:val="none" w:sz="0" w:space="0" w:color="auto"/>
          </w:divBdr>
        </w:div>
        <w:div w:id="1414544011">
          <w:marLeft w:val="640"/>
          <w:marRight w:val="0"/>
          <w:marTop w:val="0"/>
          <w:marBottom w:val="0"/>
          <w:divBdr>
            <w:top w:val="none" w:sz="0" w:space="0" w:color="auto"/>
            <w:left w:val="none" w:sz="0" w:space="0" w:color="auto"/>
            <w:bottom w:val="none" w:sz="0" w:space="0" w:color="auto"/>
            <w:right w:val="none" w:sz="0" w:space="0" w:color="auto"/>
          </w:divBdr>
        </w:div>
        <w:div w:id="875585359">
          <w:marLeft w:val="640"/>
          <w:marRight w:val="0"/>
          <w:marTop w:val="0"/>
          <w:marBottom w:val="0"/>
          <w:divBdr>
            <w:top w:val="none" w:sz="0" w:space="0" w:color="auto"/>
            <w:left w:val="none" w:sz="0" w:space="0" w:color="auto"/>
            <w:bottom w:val="none" w:sz="0" w:space="0" w:color="auto"/>
            <w:right w:val="none" w:sz="0" w:space="0" w:color="auto"/>
          </w:divBdr>
        </w:div>
        <w:div w:id="2144078266">
          <w:marLeft w:val="640"/>
          <w:marRight w:val="0"/>
          <w:marTop w:val="0"/>
          <w:marBottom w:val="0"/>
          <w:divBdr>
            <w:top w:val="none" w:sz="0" w:space="0" w:color="auto"/>
            <w:left w:val="none" w:sz="0" w:space="0" w:color="auto"/>
            <w:bottom w:val="none" w:sz="0" w:space="0" w:color="auto"/>
            <w:right w:val="none" w:sz="0" w:space="0" w:color="auto"/>
          </w:divBdr>
        </w:div>
        <w:div w:id="1876042342">
          <w:marLeft w:val="640"/>
          <w:marRight w:val="0"/>
          <w:marTop w:val="0"/>
          <w:marBottom w:val="0"/>
          <w:divBdr>
            <w:top w:val="none" w:sz="0" w:space="0" w:color="auto"/>
            <w:left w:val="none" w:sz="0" w:space="0" w:color="auto"/>
            <w:bottom w:val="none" w:sz="0" w:space="0" w:color="auto"/>
            <w:right w:val="none" w:sz="0" w:space="0" w:color="auto"/>
          </w:divBdr>
        </w:div>
        <w:div w:id="40442859">
          <w:marLeft w:val="640"/>
          <w:marRight w:val="0"/>
          <w:marTop w:val="0"/>
          <w:marBottom w:val="0"/>
          <w:divBdr>
            <w:top w:val="none" w:sz="0" w:space="0" w:color="auto"/>
            <w:left w:val="none" w:sz="0" w:space="0" w:color="auto"/>
            <w:bottom w:val="none" w:sz="0" w:space="0" w:color="auto"/>
            <w:right w:val="none" w:sz="0" w:space="0" w:color="auto"/>
          </w:divBdr>
        </w:div>
        <w:div w:id="545794881">
          <w:marLeft w:val="640"/>
          <w:marRight w:val="0"/>
          <w:marTop w:val="0"/>
          <w:marBottom w:val="0"/>
          <w:divBdr>
            <w:top w:val="none" w:sz="0" w:space="0" w:color="auto"/>
            <w:left w:val="none" w:sz="0" w:space="0" w:color="auto"/>
            <w:bottom w:val="none" w:sz="0" w:space="0" w:color="auto"/>
            <w:right w:val="none" w:sz="0" w:space="0" w:color="auto"/>
          </w:divBdr>
        </w:div>
        <w:div w:id="617369480">
          <w:marLeft w:val="640"/>
          <w:marRight w:val="0"/>
          <w:marTop w:val="0"/>
          <w:marBottom w:val="0"/>
          <w:divBdr>
            <w:top w:val="none" w:sz="0" w:space="0" w:color="auto"/>
            <w:left w:val="none" w:sz="0" w:space="0" w:color="auto"/>
            <w:bottom w:val="none" w:sz="0" w:space="0" w:color="auto"/>
            <w:right w:val="none" w:sz="0" w:space="0" w:color="auto"/>
          </w:divBdr>
        </w:div>
        <w:div w:id="1307974868">
          <w:marLeft w:val="640"/>
          <w:marRight w:val="0"/>
          <w:marTop w:val="0"/>
          <w:marBottom w:val="0"/>
          <w:divBdr>
            <w:top w:val="none" w:sz="0" w:space="0" w:color="auto"/>
            <w:left w:val="none" w:sz="0" w:space="0" w:color="auto"/>
            <w:bottom w:val="none" w:sz="0" w:space="0" w:color="auto"/>
            <w:right w:val="none" w:sz="0" w:space="0" w:color="auto"/>
          </w:divBdr>
        </w:div>
        <w:div w:id="229776627">
          <w:marLeft w:val="640"/>
          <w:marRight w:val="0"/>
          <w:marTop w:val="0"/>
          <w:marBottom w:val="0"/>
          <w:divBdr>
            <w:top w:val="none" w:sz="0" w:space="0" w:color="auto"/>
            <w:left w:val="none" w:sz="0" w:space="0" w:color="auto"/>
            <w:bottom w:val="none" w:sz="0" w:space="0" w:color="auto"/>
            <w:right w:val="none" w:sz="0" w:space="0" w:color="auto"/>
          </w:divBdr>
        </w:div>
        <w:div w:id="909928504">
          <w:marLeft w:val="640"/>
          <w:marRight w:val="0"/>
          <w:marTop w:val="0"/>
          <w:marBottom w:val="0"/>
          <w:divBdr>
            <w:top w:val="none" w:sz="0" w:space="0" w:color="auto"/>
            <w:left w:val="none" w:sz="0" w:space="0" w:color="auto"/>
            <w:bottom w:val="none" w:sz="0" w:space="0" w:color="auto"/>
            <w:right w:val="none" w:sz="0" w:space="0" w:color="auto"/>
          </w:divBdr>
        </w:div>
        <w:div w:id="1171214898">
          <w:marLeft w:val="640"/>
          <w:marRight w:val="0"/>
          <w:marTop w:val="0"/>
          <w:marBottom w:val="0"/>
          <w:divBdr>
            <w:top w:val="none" w:sz="0" w:space="0" w:color="auto"/>
            <w:left w:val="none" w:sz="0" w:space="0" w:color="auto"/>
            <w:bottom w:val="none" w:sz="0" w:space="0" w:color="auto"/>
            <w:right w:val="none" w:sz="0" w:space="0" w:color="auto"/>
          </w:divBdr>
        </w:div>
        <w:div w:id="1988238979">
          <w:marLeft w:val="640"/>
          <w:marRight w:val="0"/>
          <w:marTop w:val="0"/>
          <w:marBottom w:val="0"/>
          <w:divBdr>
            <w:top w:val="none" w:sz="0" w:space="0" w:color="auto"/>
            <w:left w:val="none" w:sz="0" w:space="0" w:color="auto"/>
            <w:bottom w:val="none" w:sz="0" w:space="0" w:color="auto"/>
            <w:right w:val="none" w:sz="0" w:space="0" w:color="auto"/>
          </w:divBdr>
        </w:div>
        <w:div w:id="428695010">
          <w:marLeft w:val="640"/>
          <w:marRight w:val="0"/>
          <w:marTop w:val="0"/>
          <w:marBottom w:val="0"/>
          <w:divBdr>
            <w:top w:val="none" w:sz="0" w:space="0" w:color="auto"/>
            <w:left w:val="none" w:sz="0" w:space="0" w:color="auto"/>
            <w:bottom w:val="none" w:sz="0" w:space="0" w:color="auto"/>
            <w:right w:val="none" w:sz="0" w:space="0" w:color="auto"/>
          </w:divBdr>
        </w:div>
        <w:div w:id="1416394286">
          <w:marLeft w:val="640"/>
          <w:marRight w:val="0"/>
          <w:marTop w:val="0"/>
          <w:marBottom w:val="0"/>
          <w:divBdr>
            <w:top w:val="none" w:sz="0" w:space="0" w:color="auto"/>
            <w:left w:val="none" w:sz="0" w:space="0" w:color="auto"/>
            <w:bottom w:val="none" w:sz="0" w:space="0" w:color="auto"/>
            <w:right w:val="none" w:sz="0" w:space="0" w:color="auto"/>
          </w:divBdr>
        </w:div>
        <w:div w:id="82773036">
          <w:marLeft w:val="640"/>
          <w:marRight w:val="0"/>
          <w:marTop w:val="0"/>
          <w:marBottom w:val="0"/>
          <w:divBdr>
            <w:top w:val="none" w:sz="0" w:space="0" w:color="auto"/>
            <w:left w:val="none" w:sz="0" w:space="0" w:color="auto"/>
            <w:bottom w:val="none" w:sz="0" w:space="0" w:color="auto"/>
            <w:right w:val="none" w:sz="0" w:space="0" w:color="auto"/>
          </w:divBdr>
        </w:div>
        <w:div w:id="786200063">
          <w:marLeft w:val="640"/>
          <w:marRight w:val="0"/>
          <w:marTop w:val="0"/>
          <w:marBottom w:val="0"/>
          <w:divBdr>
            <w:top w:val="none" w:sz="0" w:space="0" w:color="auto"/>
            <w:left w:val="none" w:sz="0" w:space="0" w:color="auto"/>
            <w:bottom w:val="none" w:sz="0" w:space="0" w:color="auto"/>
            <w:right w:val="none" w:sz="0" w:space="0" w:color="auto"/>
          </w:divBdr>
        </w:div>
        <w:div w:id="2133985191">
          <w:marLeft w:val="640"/>
          <w:marRight w:val="0"/>
          <w:marTop w:val="0"/>
          <w:marBottom w:val="0"/>
          <w:divBdr>
            <w:top w:val="none" w:sz="0" w:space="0" w:color="auto"/>
            <w:left w:val="none" w:sz="0" w:space="0" w:color="auto"/>
            <w:bottom w:val="none" w:sz="0" w:space="0" w:color="auto"/>
            <w:right w:val="none" w:sz="0" w:space="0" w:color="auto"/>
          </w:divBdr>
        </w:div>
        <w:div w:id="559024354">
          <w:marLeft w:val="640"/>
          <w:marRight w:val="0"/>
          <w:marTop w:val="0"/>
          <w:marBottom w:val="0"/>
          <w:divBdr>
            <w:top w:val="none" w:sz="0" w:space="0" w:color="auto"/>
            <w:left w:val="none" w:sz="0" w:space="0" w:color="auto"/>
            <w:bottom w:val="none" w:sz="0" w:space="0" w:color="auto"/>
            <w:right w:val="none" w:sz="0" w:space="0" w:color="auto"/>
          </w:divBdr>
        </w:div>
        <w:div w:id="1400860502">
          <w:marLeft w:val="640"/>
          <w:marRight w:val="0"/>
          <w:marTop w:val="0"/>
          <w:marBottom w:val="0"/>
          <w:divBdr>
            <w:top w:val="none" w:sz="0" w:space="0" w:color="auto"/>
            <w:left w:val="none" w:sz="0" w:space="0" w:color="auto"/>
            <w:bottom w:val="none" w:sz="0" w:space="0" w:color="auto"/>
            <w:right w:val="none" w:sz="0" w:space="0" w:color="auto"/>
          </w:divBdr>
        </w:div>
        <w:div w:id="136803456">
          <w:marLeft w:val="640"/>
          <w:marRight w:val="0"/>
          <w:marTop w:val="0"/>
          <w:marBottom w:val="0"/>
          <w:divBdr>
            <w:top w:val="none" w:sz="0" w:space="0" w:color="auto"/>
            <w:left w:val="none" w:sz="0" w:space="0" w:color="auto"/>
            <w:bottom w:val="none" w:sz="0" w:space="0" w:color="auto"/>
            <w:right w:val="none" w:sz="0" w:space="0" w:color="auto"/>
          </w:divBdr>
        </w:div>
        <w:div w:id="596403306">
          <w:marLeft w:val="640"/>
          <w:marRight w:val="0"/>
          <w:marTop w:val="0"/>
          <w:marBottom w:val="0"/>
          <w:divBdr>
            <w:top w:val="none" w:sz="0" w:space="0" w:color="auto"/>
            <w:left w:val="none" w:sz="0" w:space="0" w:color="auto"/>
            <w:bottom w:val="none" w:sz="0" w:space="0" w:color="auto"/>
            <w:right w:val="none" w:sz="0" w:space="0" w:color="auto"/>
          </w:divBdr>
        </w:div>
        <w:div w:id="1178499849">
          <w:marLeft w:val="640"/>
          <w:marRight w:val="0"/>
          <w:marTop w:val="0"/>
          <w:marBottom w:val="0"/>
          <w:divBdr>
            <w:top w:val="none" w:sz="0" w:space="0" w:color="auto"/>
            <w:left w:val="none" w:sz="0" w:space="0" w:color="auto"/>
            <w:bottom w:val="none" w:sz="0" w:space="0" w:color="auto"/>
            <w:right w:val="none" w:sz="0" w:space="0" w:color="auto"/>
          </w:divBdr>
        </w:div>
        <w:div w:id="2045445687">
          <w:marLeft w:val="640"/>
          <w:marRight w:val="0"/>
          <w:marTop w:val="0"/>
          <w:marBottom w:val="0"/>
          <w:divBdr>
            <w:top w:val="none" w:sz="0" w:space="0" w:color="auto"/>
            <w:left w:val="none" w:sz="0" w:space="0" w:color="auto"/>
            <w:bottom w:val="none" w:sz="0" w:space="0" w:color="auto"/>
            <w:right w:val="none" w:sz="0" w:space="0" w:color="auto"/>
          </w:divBdr>
        </w:div>
        <w:div w:id="1806578043">
          <w:marLeft w:val="640"/>
          <w:marRight w:val="0"/>
          <w:marTop w:val="0"/>
          <w:marBottom w:val="0"/>
          <w:divBdr>
            <w:top w:val="none" w:sz="0" w:space="0" w:color="auto"/>
            <w:left w:val="none" w:sz="0" w:space="0" w:color="auto"/>
            <w:bottom w:val="none" w:sz="0" w:space="0" w:color="auto"/>
            <w:right w:val="none" w:sz="0" w:space="0" w:color="auto"/>
          </w:divBdr>
        </w:div>
        <w:div w:id="1310551998">
          <w:marLeft w:val="640"/>
          <w:marRight w:val="0"/>
          <w:marTop w:val="0"/>
          <w:marBottom w:val="0"/>
          <w:divBdr>
            <w:top w:val="none" w:sz="0" w:space="0" w:color="auto"/>
            <w:left w:val="none" w:sz="0" w:space="0" w:color="auto"/>
            <w:bottom w:val="none" w:sz="0" w:space="0" w:color="auto"/>
            <w:right w:val="none" w:sz="0" w:space="0" w:color="auto"/>
          </w:divBdr>
        </w:div>
        <w:div w:id="1425373112">
          <w:marLeft w:val="640"/>
          <w:marRight w:val="0"/>
          <w:marTop w:val="0"/>
          <w:marBottom w:val="0"/>
          <w:divBdr>
            <w:top w:val="none" w:sz="0" w:space="0" w:color="auto"/>
            <w:left w:val="none" w:sz="0" w:space="0" w:color="auto"/>
            <w:bottom w:val="none" w:sz="0" w:space="0" w:color="auto"/>
            <w:right w:val="none" w:sz="0" w:space="0" w:color="auto"/>
          </w:divBdr>
        </w:div>
        <w:div w:id="564491660">
          <w:marLeft w:val="640"/>
          <w:marRight w:val="0"/>
          <w:marTop w:val="0"/>
          <w:marBottom w:val="0"/>
          <w:divBdr>
            <w:top w:val="none" w:sz="0" w:space="0" w:color="auto"/>
            <w:left w:val="none" w:sz="0" w:space="0" w:color="auto"/>
            <w:bottom w:val="none" w:sz="0" w:space="0" w:color="auto"/>
            <w:right w:val="none" w:sz="0" w:space="0" w:color="auto"/>
          </w:divBdr>
        </w:div>
        <w:div w:id="1642612606">
          <w:marLeft w:val="640"/>
          <w:marRight w:val="0"/>
          <w:marTop w:val="0"/>
          <w:marBottom w:val="0"/>
          <w:divBdr>
            <w:top w:val="none" w:sz="0" w:space="0" w:color="auto"/>
            <w:left w:val="none" w:sz="0" w:space="0" w:color="auto"/>
            <w:bottom w:val="none" w:sz="0" w:space="0" w:color="auto"/>
            <w:right w:val="none" w:sz="0" w:space="0" w:color="auto"/>
          </w:divBdr>
        </w:div>
        <w:div w:id="590433937">
          <w:marLeft w:val="640"/>
          <w:marRight w:val="0"/>
          <w:marTop w:val="0"/>
          <w:marBottom w:val="0"/>
          <w:divBdr>
            <w:top w:val="none" w:sz="0" w:space="0" w:color="auto"/>
            <w:left w:val="none" w:sz="0" w:space="0" w:color="auto"/>
            <w:bottom w:val="none" w:sz="0" w:space="0" w:color="auto"/>
            <w:right w:val="none" w:sz="0" w:space="0" w:color="auto"/>
          </w:divBdr>
        </w:div>
        <w:div w:id="1187216305">
          <w:marLeft w:val="640"/>
          <w:marRight w:val="0"/>
          <w:marTop w:val="0"/>
          <w:marBottom w:val="0"/>
          <w:divBdr>
            <w:top w:val="none" w:sz="0" w:space="0" w:color="auto"/>
            <w:left w:val="none" w:sz="0" w:space="0" w:color="auto"/>
            <w:bottom w:val="none" w:sz="0" w:space="0" w:color="auto"/>
            <w:right w:val="none" w:sz="0" w:space="0" w:color="auto"/>
          </w:divBdr>
        </w:div>
        <w:div w:id="2060400607">
          <w:marLeft w:val="640"/>
          <w:marRight w:val="0"/>
          <w:marTop w:val="0"/>
          <w:marBottom w:val="0"/>
          <w:divBdr>
            <w:top w:val="none" w:sz="0" w:space="0" w:color="auto"/>
            <w:left w:val="none" w:sz="0" w:space="0" w:color="auto"/>
            <w:bottom w:val="none" w:sz="0" w:space="0" w:color="auto"/>
            <w:right w:val="none" w:sz="0" w:space="0" w:color="auto"/>
          </w:divBdr>
        </w:div>
        <w:div w:id="1661234121">
          <w:marLeft w:val="640"/>
          <w:marRight w:val="0"/>
          <w:marTop w:val="0"/>
          <w:marBottom w:val="0"/>
          <w:divBdr>
            <w:top w:val="none" w:sz="0" w:space="0" w:color="auto"/>
            <w:left w:val="none" w:sz="0" w:space="0" w:color="auto"/>
            <w:bottom w:val="none" w:sz="0" w:space="0" w:color="auto"/>
            <w:right w:val="none" w:sz="0" w:space="0" w:color="auto"/>
          </w:divBdr>
        </w:div>
        <w:div w:id="868881251">
          <w:marLeft w:val="640"/>
          <w:marRight w:val="0"/>
          <w:marTop w:val="0"/>
          <w:marBottom w:val="0"/>
          <w:divBdr>
            <w:top w:val="none" w:sz="0" w:space="0" w:color="auto"/>
            <w:left w:val="none" w:sz="0" w:space="0" w:color="auto"/>
            <w:bottom w:val="none" w:sz="0" w:space="0" w:color="auto"/>
            <w:right w:val="none" w:sz="0" w:space="0" w:color="auto"/>
          </w:divBdr>
        </w:div>
        <w:div w:id="1289236075">
          <w:marLeft w:val="640"/>
          <w:marRight w:val="0"/>
          <w:marTop w:val="0"/>
          <w:marBottom w:val="0"/>
          <w:divBdr>
            <w:top w:val="none" w:sz="0" w:space="0" w:color="auto"/>
            <w:left w:val="none" w:sz="0" w:space="0" w:color="auto"/>
            <w:bottom w:val="none" w:sz="0" w:space="0" w:color="auto"/>
            <w:right w:val="none" w:sz="0" w:space="0" w:color="auto"/>
          </w:divBdr>
        </w:div>
        <w:div w:id="1310162812">
          <w:marLeft w:val="640"/>
          <w:marRight w:val="0"/>
          <w:marTop w:val="0"/>
          <w:marBottom w:val="0"/>
          <w:divBdr>
            <w:top w:val="none" w:sz="0" w:space="0" w:color="auto"/>
            <w:left w:val="none" w:sz="0" w:space="0" w:color="auto"/>
            <w:bottom w:val="none" w:sz="0" w:space="0" w:color="auto"/>
            <w:right w:val="none" w:sz="0" w:space="0" w:color="auto"/>
          </w:divBdr>
        </w:div>
        <w:div w:id="1162239026">
          <w:marLeft w:val="640"/>
          <w:marRight w:val="0"/>
          <w:marTop w:val="0"/>
          <w:marBottom w:val="0"/>
          <w:divBdr>
            <w:top w:val="none" w:sz="0" w:space="0" w:color="auto"/>
            <w:left w:val="none" w:sz="0" w:space="0" w:color="auto"/>
            <w:bottom w:val="none" w:sz="0" w:space="0" w:color="auto"/>
            <w:right w:val="none" w:sz="0" w:space="0" w:color="auto"/>
          </w:divBdr>
        </w:div>
        <w:div w:id="385102662">
          <w:marLeft w:val="640"/>
          <w:marRight w:val="0"/>
          <w:marTop w:val="0"/>
          <w:marBottom w:val="0"/>
          <w:divBdr>
            <w:top w:val="none" w:sz="0" w:space="0" w:color="auto"/>
            <w:left w:val="none" w:sz="0" w:space="0" w:color="auto"/>
            <w:bottom w:val="none" w:sz="0" w:space="0" w:color="auto"/>
            <w:right w:val="none" w:sz="0" w:space="0" w:color="auto"/>
          </w:divBdr>
        </w:div>
        <w:div w:id="509026043">
          <w:marLeft w:val="640"/>
          <w:marRight w:val="0"/>
          <w:marTop w:val="0"/>
          <w:marBottom w:val="0"/>
          <w:divBdr>
            <w:top w:val="none" w:sz="0" w:space="0" w:color="auto"/>
            <w:left w:val="none" w:sz="0" w:space="0" w:color="auto"/>
            <w:bottom w:val="none" w:sz="0" w:space="0" w:color="auto"/>
            <w:right w:val="none" w:sz="0" w:space="0" w:color="auto"/>
          </w:divBdr>
        </w:div>
        <w:div w:id="568156030">
          <w:marLeft w:val="640"/>
          <w:marRight w:val="0"/>
          <w:marTop w:val="0"/>
          <w:marBottom w:val="0"/>
          <w:divBdr>
            <w:top w:val="none" w:sz="0" w:space="0" w:color="auto"/>
            <w:left w:val="none" w:sz="0" w:space="0" w:color="auto"/>
            <w:bottom w:val="none" w:sz="0" w:space="0" w:color="auto"/>
            <w:right w:val="none" w:sz="0" w:space="0" w:color="auto"/>
          </w:divBdr>
        </w:div>
        <w:div w:id="215092513">
          <w:marLeft w:val="640"/>
          <w:marRight w:val="0"/>
          <w:marTop w:val="0"/>
          <w:marBottom w:val="0"/>
          <w:divBdr>
            <w:top w:val="none" w:sz="0" w:space="0" w:color="auto"/>
            <w:left w:val="none" w:sz="0" w:space="0" w:color="auto"/>
            <w:bottom w:val="none" w:sz="0" w:space="0" w:color="auto"/>
            <w:right w:val="none" w:sz="0" w:space="0" w:color="auto"/>
          </w:divBdr>
        </w:div>
        <w:div w:id="2131780548">
          <w:marLeft w:val="640"/>
          <w:marRight w:val="0"/>
          <w:marTop w:val="0"/>
          <w:marBottom w:val="0"/>
          <w:divBdr>
            <w:top w:val="none" w:sz="0" w:space="0" w:color="auto"/>
            <w:left w:val="none" w:sz="0" w:space="0" w:color="auto"/>
            <w:bottom w:val="none" w:sz="0" w:space="0" w:color="auto"/>
            <w:right w:val="none" w:sz="0" w:space="0" w:color="auto"/>
          </w:divBdr>
        </w:div>
        <w:div w:id="1199775767">
          <w:marLeft w:val="640"/>
          <w:marRight w:val="0"/>
          <w:marTop w:val="0"/>
          <w:marBottom w:val="0"/>
          <w:divBdr>
            <w:top w:val="none" w:sz="0" w:space="0" w:color="auto"/>
            <w:left w:val="none" w:sz="0" w:space="0" w:color="auto"/>
            <w:bottom w:val="none" w:sz="0" w:space="0" w:color="auto"/>
            <w:right w:val="none" w:sz="0" w:space="0" w:color="auto"/>
          </w:divBdr>
        </w:div>
        <w:div w:id="1979650486">
          <w:marLeft w:val="640"/>
          <w:marRight w:val="0"/>
          <w:marTop w:val="0"/>
          <w:marBottom w:val="0"/>
          <w:divBdr>
            <w:top w:val="none" w:sz="0" w:space="0" w:color="auto"/>
            <w:left w:val="none" w:sz="0" w:space="0" w:color="auto"/>
            <w:bottom w:val="none" w:sz="0" w:space="0" w:color="auto"/>
            <w:right w:val="none" w:sz="0" w:space="0" w:color="auto"/>
          </w:divBdr>
        </w:div>
        <w:div w:id="1070889308">
          <w:marLeft w:val="640"/>
          <w:marRight w:val="0"/>
          <w:marTop w:val="0"/>
          <w:marBottom w:val="0"/>
          <w:divBdr>
            <w:top w:val="none" w:sz="0" w:space="0" w:color="auto"/>
            <w:left w:val="none" w:sz="0" w:space="0" w:color="auto"/>
            <w:bottom w:val="none" w:sz="0" w:space="0" w:color="auto"/>
            <w:right w:val="none" w:sz="0" w:space="0" w:color="auto"/>
          </w:divBdr>
        </w:div>
        <w:div w:id="1687245486">
          <w:marLeft w:val="640"/>
          <w:marRight w:val="0"/>
          <w:marTop w:val="0"/>
          <w:marBottom w:val="0"/>
          <w:divBdr>
            <w:top w:val="none" w:sz="0" w:space="0" w:color="auto"/>
            <w:left w:val="none" w:sz="0" w:space="0" w:color="auto"/>
            <w:bottom w:val="none" w:sz="0" w:space="0" w:color="auto"/>
            <w:right w:val="none" w:sz="0" w:space="0" w:color="auto"/>
          </w:divBdr>
        </w:div>
        <w:div w:id="786391442">
          <w:marLeft w:val="640"/>
          <w:marRight w:val="0"/>
          <w:marTop w:val="0"/>
          <w:marBottom w:val="0"/>
          <w:divBdr>
            <w:top w:val="none" w:sz="0" w:space="0" w:color="auto"/>
            <w:left w:val="none" w:sz="0" w:space="0" w:color="auto"/>
            <w:bottom w:val="none" w:sz="0" w:space="0" w:color="auto"/>
            <w:right w:val="none" w:sz="0" w:space="0" w:color="auto"/>
          </w:divBdr>
        </w:div>
        <w:div w:id="1799453356">
          <w:marLeft w:val="640"/>
          <w:marRight w:val="0"/>
          <w:marTop w:val="0"/>
          <w:marBottom w:val="0"/>
          <w:divBdr>
            <w:top w:val="none" w:sz="0" w:space="0" w:color="auto"/>
            <w:left w:val="none" w:sz="0" w:space="0" w:color="auto"/>
            <w:bottom w:val="none" w:sz="0" w:space="0" w:color="auto"/>
            <w:right w:val="none" w:sz="0" w:space="0" w:color="auto"/>
          </w:divBdr>
        </w:div>
        <w:div w:id="1685861499">
          <w:marLeft w:val="640"/>
          <w:marRight w:val="0"/>
          <w:marTop w:val="0"/>
          <w:marBottom w:val="0"/>
          <w:divBdr>
            <w:top w:val="none" w:sz="0" w:space="0" w:color="auto"/>
            <w:left w:val="none" w:sz="0" w:space="0" w:color="auto"/>
            <w:bottom w:val="none" w:sz="0" w:space="0" w:color="auto"/>
            <w:right w:val="none" w:sz="0" w:space="0" w:color="auto"/>
          </w:divBdr>
        </w:div>
        <w:div w:id="1646817819">
          <w:marLeft w:val="640"/>
          <w:marRight w:val="0"/>
          <w:marTop w:val="0"/>
          <w:marBottom w:val="0"/>
          <w:divBdr>
            <w:top w:val="none" w:sz="0" w:space="0" w:color="auto"/>
            <w:left w:val="none" w:sz="0" w:space="0" w:color="auto"/>
            <w:bottom w:val="none" w:sz="0" w:space="0" w:color="auto"/>
            <w:right w:val="none" w:sz="0" w:space="0" w:color="auto"/>
          </w:divBdr>
        </w:div>
        <w:div w:id="1763992379">
          <w:marLeft w:val="640"/>
          <w:marRight w:val="0"/>
          <w:marTop w:val="0"/>
          <w:marBottom w:val="0"/>
          <w:divBdr>
            <w:top w:val="none" w:sz="0" w:space="0" w:color="auto"/>
            <w:left w:val="none" w:sz="0" w:space="0" w:color="auto"/>
            <w:bottom w:val="none" w:sz="0" w:space="0" w:color="auto"/>
            <w:right w:val="none" w:sz="0" w:space="0" w:color="auto"/>
          </w:divBdr>
        </w:div>
        <w:div w:id="1264262416">
          <w:marLeft w:val="640"/>
          <w:marRight w:val="0"/>
          <w:marTop w:val="0"/>
          <w:marBottom w:val="0"/>
          <w:divBdr>
            <w:top w:val="none" w:sz="0" w:space="0" w:color="auto"/>
            <w:left w:val="none" w:sz="0" w:space="0" w:color="auto"/>
            <w:bottom w:val="none" w:sz="0" w:space="0" w:color="auto"/>
            <w:right w:val="none" w:sz="0" w:space="0" w:color="auto"/>
          </w:divBdr>
        </w:div>
        <w:div w:id="505635415">
          <w:marLeft w:val="640"/>
          <w:marRight w:val="0"/>
          <w:marTop w:val="0"/>
          <w:marBottom w:val="0"/>
          <w:divBdr>
            <w:top w:val="none" w:sz="0" w:space="0" w:color="auto"/>
            <w:left w:val="none" w:sz="0" w:space="0" w:color="auto"/>
            <w:bottom w:val="none" w:sz="0" w:space="0" w:color="auto"/>
            <w:right w:val="none" w:sz="0" w:space="0" w:color="auto"/>
          </w:divBdr>
        </w:div>
        <w:div w:id="1032194453">
          <w:marLeft w:val="640"/>
          <w:marRight w:val="0"/>
          <w:marTop w:val="0"/>
          <w:marBottom w:val="0"/>
          <w:divBdr>
            <w:top w:val="none" w:sz="0" w:space="0" w:color="auto"/>
            <w:left w:val="none" w:sz="0" w:space="0" w:color="auto"/>
            <w:bottom w:val="none" w:sz="0" w:space="0" w:color="auto"/>
            <w:right w:val="none" w:sz="0" w:space="0" w:color="auto"/>
          </w:divBdr>
        </w:div>
        <w:div w:id="1792820947">
          <w:marLeft w:val="640"/>
          <w:marRight w:val="0"/>
          <w:marTop w:val="0"/>
          <w:marBottom w:val="0"/>
          <w:divBdr>
            <w:top w:val="none" w:sz="0" w:space="0" w:color="auto"/>
            <w:left w:val="none" w:sz="0" w:space="0" w:color="auto"/>
            <w:bottom w:val="none" w:sz="0" w:space="0" w:color="auto"/>
            <w:right w:val="none" w:sz="0" w:space="0" w:color="auto"/>
          </w:divBdr>
        </w:div>
        <w:div w:id="669214173">
          <w:marLeft w:val="640"/>
          <w:marRight w:val="0"/>
          <w:marTop w:val="0"/>
          <w:marBottom w:val="0"/>
          <w:divBdr>
            <w:top w:val="none" w:sz="0" w:space="0" w:color="auto"/>
            <w:left w:val="none" w:sz="0" w:space="0" w:color="auto"/>
            <w:bottom w:val="none" w:sz="0" w:space="0" w:color="auto"/>
            <w:right w:val="none" w:sz="0" w:space="0" w:color="auto"/>
          </w:divBdr>
        </w:div>
        <w:div w:id="666401203">
          <w:marLeft w:val="640"/>
          <w:marRight w:val="0"/>
          <w:marTop w:val="0"/>
          <w:marBottom w:val="0"/>
          <w:divBdr>
            <w:top w:val="none" w:sz="0" w:space="0" w:color="auto"/>
            <w:left w:val="none" w:sz="0" w:space="0" w:color="auto"/>
            <w:bottom w:val="none" w:sz="0" w:space="0" w:color="auto"/>
            <w:right w:val="none" w:sz="0" w:space="0" w:color="auto"/>
          </w:divBdr>
        </w:div>
        <w:div w:id="1851211140">
          <w:marLeft w:val="640"/>
          <w:marRight w:val="0"/>
          <w:marTop w:val="0"/>
          <w:marBottom w:val="0"/>
          <w:divBdr>
            <w:top w:val="none" w:sz="0" w:space="0" w:color="auto"/>
            <w:left w:val="none" w:sz="0" w:space="0" w:color="auto"/>
            <w:bottom w:val="none" w:sz="0" w:space="0" w:color="auto"/>
            <w:right w:val="none" w:sz="0" w:space="0" w:color="auto"/>
          </w:divBdr>
        </w:div>
        <w:div w:id="1586911357">
          <w:marLeft w:val="640"/>
          <w:marRight w:val="0"/>
          <w:marTop w:val="0"/>
          <w:marBottom w:val="0"/>
          <w:divBdr>
            <w:top w:val="none" w:sz="0" w:space="0" w:color="auto"/>
            <w:left w:val="none" w:sz="0" w:space="0" w:color="auto"/>
            <w:bottom w:val="none" w:sz="0" w:space="0" w:color="auto"/>
            <w:right w:val="none" w:sz="0" w:space="0" w:color="auto"/>
          </w:divBdr>
        </w:div>
        <w:div w:id="188566497">
          <w:marLeft w:val="640"/>
          <w:marRight w:val="0"/>
          <w:marTop w:val="0"/>
          <w:marBottom w:val="0"/>
          <w:divBdr>
            <w:top w:val="none" w:sz="0" w:space="0" w:color="auto"/>
            <w:left w:val="none" w:sz="0" w:space="0" w:color="auto"/>
            <w:bottom w:val="none" w:sz="0" w:space="0" w:color="auto"/>
            <w:right w:val="none" w:sz="0" w:space="0" w:color="auto"/>
          </w:divBdr>
        </w:div>
        <w:div w:id="684283838">
          <w:marLeft w:val="640"/>
          <w:marRight w:val="0"/>
          <w:marTop w:val="0"/>
          <w:marBottom w:val="0"/>
          <w:divBdr>
            <w:top w:val="none" w:sz="0" w:space="0" w:color="auto"/>
            <w:left w:val="none" w:sz="0" w:space="0" w:color="auto"/>
            <w:bottom w:val="none" w:sz="0" w:space="0" w:color="auto"/>
            <w:right w:val="none" w:sz="0" w:space="0" w:color="auto"/>
          </w:divBdr>
        </w:div>
        <w:div w:id="985401515">
          <w:marLeft w:val="640"/>
          <w:marRight w:val="0"/>
          <w:marTop w:val="0"/>
          <w:marBottom w:val="0"/>
          <w:divBdr>
            <w:top w:val="none" w:sz="0" w:space="0" w:color="auto"/>
            <w:left w:val="none" w:sz="0" w:space="0" w:color="auto"/>
            <w:bottom w:val="none" w:sz="0" w:space="0" w:color="auto"/>
            <w:right w:val="none" w:sz="0" w:space="0" w:color="auto"/>
          </w:divBdr>
        </w:div>
        <w:div w:id="2131167634">
          <w:marLeft w:val="640"/>
          <w:marRight w:val="0"/>
          <w:marTop w:val="0"/>
          <w:marBottom w:val="0"/>
          <w:divBdr>
            <w:top w:val="none" w:sz="0" w:space="0" w:color="auto"/>
            <w:left w:val="none" w:sz="0" w:space="0" w:color="auto"/>
            <w:bottom w:val="none" w:sz="0" w:space="0" w:color="auto"/>
            <w:right w:val="none" w:sz="0" w:space="0" w:color="auto"/>
          </w:divBdr>
        </w:div>
        <w:div w:id="689142941">
          <w:marLeft w:val="640"/>
          <w:marRight w:val="0"/>
          <w:marTop w:val="0"/>
          <w:marBottom w:val="0"/>
          <w:divBdr>
            <w:top w:val="none" w:sz="0" w:space="0" w:color="auto"/>
            <w:left w:val="none" w:sz="0" w:space="0" w:color="auto"/>
            <w:bottom w:val="none" w:sz="0" w:space="0" w:color="auto"/>
            <w:right w:val="none" w:sz="0" w:space="0" w:color="auto"/>
          </w:divBdr>
        </w:div>
        <w:div w:id="1696879022">
          <w:marLeft w:val="640"/>
          <w:marRight w:val="0"/>
          <w:marTop w:val="0"/>
          <w:marBottom w:val="0"/>
          <w:divBdr>
            <w:top w:val="none" w:sz="0" w:space="0" w:color="auto"/>
            <w:left w:val="none" w:sz="0" w:space="0" w:color="auto"/>
            <w:bottom w:val="none" w:sz="0" w:space="0" w:color="auto"/>
            <w:right w:val="none" w:sz="0" w:space="0" w:color="auto"/>
          </w:divBdr>
        </w:div>
        <w:div w:id="1318411798">
          <w:marLeft w:val="640"/>
          <w:marRight w:val="0"/>
          <w:marTop w:val="0"/>
          <w:marBottom w:val="0"/>
          <w:divBdr>
            <w:top w:val="none" w:sz="0" w:space="0" w:color="auto"/>
            <w:left w:val="none" w:sz="0" w:space="0" w:color="auto"/>
            <w:bottom w:val="none" w:sz="0" w:space="0" w:color="auto"/>
            <w:right w:val="none" w:sz="0" w:space="0" w:color="auto"/>
          </w:divBdr>
        </w:div>
        <w:div w:id="799499349">
          <w:marLeft w:val="640"/>
          <w:marRight w:val="0"/>
          <w:marTop w:val="0"/>
          <w:marBottom w:val="0"/>
          <w:divBdr>
            <w:top w:val="none" w:sz="0" w:space="0" w:color="auto"/>
            <w:left w:val="none" w:sz="0" w:space="0" w:color="auto"/>
            <w:bottom w:val="none" w:sz="0" w:space="0" w:color="auto"/>
            <w:right w:val="none" w:sz="0" w:space="0" w:color="auto"/>
          </w:divBdr>
        </w:div>
        <w:div w:id="1740439845">
          <w:marLeft w:val="640"/>
          <w:marRight w:val="0"/>
          <w:marTop w:val="0"/>
          <w:marBottom w:val="0"/>
          <w:divBdr>
            <w:top w:val="none" w:sz="0" w:space="0" w:color="auto"/>
            <w:left w:val="none" w:sz="0" w:space="0" w:color="auto"/>
            <w:bottom w:val="none" w:sz="0" w:space="0" w:color="auto"/>
            <w:right w:val="none" w:sz="0" w:space="0" w:color="auto"/>
          </w:divBdr>
        </w:div>
        <w:div w:id="1148743503">
          <w:marLeft w:val="640"/>
          <w:marRight w:val="0"/>
          <w:marTop w:val="0"/>
          <w:marBottom w:val="0"/>
          <w:divBdr>
            <w:top w:val="none" w:sz="0" w:space="0" w:color="auto"/>
            <w:left w:val="none" w:sz="0" w:space="0" w:color="auto"/>
            <w:bottom w:val="none" w:sz="0" w:space="0" w:color="auto"/>
            <w:right w:val="none" w:sz="0" w:space="0" w:color="auto"/>
          </w:divBdr>
        </w:div>
        <w:div w:id="667555801">
          <w:marLeft w:val="640"/>
          <w:marRight w:val="0"/>
          <w:marTop w:val="0"/>
          <w:marBottom w:val="0"/>
          <w:divBdr>
            <w:top w:val="none" w:sz="0" w:space="0" w:color="auto"/>
            <w:left w:val="none" w:sz="0" w:space="0" w:color="auto"/>
            <w:bottom w:val="none" w:sz="0" w:space="0" w:color="auto"/>
            <w:right w:val="none" w:sz="0" w:space="0" w:color="auto"/>
          </w:divBdr>
        </w:div>
        <w:div w:id="656885882">
          <w:marLeft w:val="640"/>
          <w:marRight w:val="0"/>
          <w:marTop w:val="0"/>
          <w:marBottom w:val="0"/>
          <w:divBdr>
            <w:top w:val="none" w:sz="0" w:space="0" w:color="auto"/>
            <w:left w:val="none" w:sz="0" w:space="0" w:color="auto"/>
            <w:bottom w:val="none" w:sz="0" w:space="0" w:color="auto"/>
            <w:right w:val="none" w:sz="0" w:space="0" w:color="auto"/>
          </w:divBdr>
        </w:div>
        <w:div w:id="175003770">
          <w:marLeft w:val="640"/>
          <w:marRight w:val="0"/>
          <w:marTop w:val="0"/>
          <w:marBottom w:val="0"/>
          <w:divBdr>
            <w:top w:val="none" w:sz="0" w:space="0" w:color="auto"/>
            <w:left w:val="none" w:sz="0" w:space="0" w:color="auto"/>
            <w:bottom w:val="none" w:sz="0" w:space="0" w:color="auto"/>
            <w:right w:val="none" w:sz="0" w:space="0" w:color="auto"/>
          </w:divBdr>
        </w:div>
        <w:div w:id="1982883470">
          <w:marLeft w:val="640"/>
          <w:marRight w:val="0"/>
          <w:marTop w:val="0"/>
          <w:marBottom w:val="0"/>
          <w:divBdr>
            <w:top w:val="none" w:sz="0" w:space="0" w:color="auto"/>
            <w:left w:val="none" w:sz="0" w:space="0" w:color="auto"/>
            <w:bottom w:val="none" w:sz="0" w:space="0" w:color="auto"/>
            <w:right w:val="none" w:sz="0" w:space="0" w:color="auto"/>
          </w:divBdr>
        </w:div>
        <w:div w:id="842891087">
          <w:marLeft w:val="640"/>
          <w:marRight w:val="0"/>
          <w:marTop w:val="0"/>
          <w:marBottom w:val="0"/>
          <w:divBdr>
            <w:top w:val="none" w:sz="0" w:space="0" w:color="auto"/>
            <w:left w:val="none" w:sz="0" w:space="0" w:color="auto"/>
            <w:bottom w:val="none" w:sz="0" w:space="0" w:color="auto"/>
            <w:right w:val="none" w:sz="0" w:space="0" w:color="auto"/>
          </w:divBdr>
        </w:div>
        <w:div w:id="1087574442">
          <w:marLeft w:val="640"/>
          <w:marRight w:val="0"/>
          <w:marTop w:val="0"/>
          <w:marBottom w:val="0"/>
          <w:divBdr>
            <w:top w:val="none" w:sz="0" w:space="0" w:color="auto"/>
            <w:left w:val="none" w:sz="0" w:space="0" w:color="auto"/>
            <w:bottom w:val="none" w:sz="0" w:space="0" w:color="auto"/>
            <w:right w:val="none" w:sz="0" w:space="0" w:color="auto"/>
          </w:divBdr>
        </w:div>
        <w:div w:id="1830050470">
          <w:marLeft w:val="640"/>
          <w:marRight w:val="0"/>
          <w:marTop w:val="0"/>
          <w:marBottom w:val="0"/>
          <w:divBdr>
            <w:top w:val="none" w:sz="0" w:space="0" w:color="auto"/>
            <w:left w:val="none" w:sz="0" w:space="0" w:color="auto"/>
            <w:bottom w:val="none" w:sz="0" w:space="0" w:color="auto"/>
            <w:right w:val="none" w:sz="0" w:space="0" w:color="auto"/>
          </w:divBdr>
        </w:div>
        <w:div w:id="1321496637">
          <w:marLeft w:val="640"/>
          <w:marRight w:val="0"/>
          <w:marTop w:val="0"/>
          <w:marBottom w:val="0"/>
          <w:divBdr>
            <w:top w:val="none" w:sz="0" w:space="0" w:color="auto"/>
            <w:left w:val="none" w:sz="0" w:space="0" w:color="auto"/>
            <w:bottom w:val="none" w:sz="0" w:space="0" w:color="auto"/>
            <w:right w:val="none" w:sz="0" w:space="0" w:color="auto"/>
          </w:divBdr>
        </w:div>
        <w:div w:id="901142075">
          <w:marLeft w:val="640"/>
          <w:marRight w:val="0"/>
          <w:marTop w:val="0"/>
          <w:marBottom w:val="0"/>
          <w:divBdr>
            <w:top w:val="none" w:sz="0" w:space="0" w:color="auto"/>
            <w:left w:val="none" w:sz="0" w:space="0" w:color="auto"/>
            <w:bottom w:val="none" w:sz="0" w:space="0" w:color="auto"/>
            <w:right w:val="none" w:sz="0" w:space="0" w:color="auto"/>
          </w:divBdr>
        </w:div>
        <w:div w:id="74909268">
          <w:marLeft w:val="640"/>
          <w:marRight w:val="0"/>
          <w:marTop w:val="0"/>
          <w:marBottom w:val="0"/>
          <w:divBdr>
            <w:top w:val="none" w:sz="0" w:space="0" w:color="auto"/>
            <w:left w:val="none" w:sz="0" w:space="0" w:color="auto"/>
            <w:bottom w:val="none" w:sz="0" w:space="0" w:color="auto"/>
            <w:right w:val="none" w:sz="0" w:space="0" w:color="auto"/>
          </w:divBdr>
        </w:div>
        <w:div w:id="529103594">
          <w:marLeft w:val="640"/>
          <w:marRight w:val="0"/>
          <w:marTop w:val="0"/>
          <w:marBottom w:val="0"/>
          <w:divBdr>
            <w:top w:val="none" w:sz="0" w:space="0" w:color="auto"/>
            <w:left w:val="none" w:sz="0" w:space="0" w:color="auto"/>
            <w:bottom w:val="none" w:sz="0" w:space="0" w:color="auto"/>
            <w:right w:val="none" w:sz="0" w:space="0" w:color="auto"/>
          </w:divBdr>
        </w:div>
        <w:div w:id="1867987139">
          <w:marLeft w:val="640"/>
          <w:marRight w:val="0"/>
          <w:marTop w:val="0"/>
          <w:marBottom w:val="0"/>
          <w:divBdr>
            <w:top w:val="none" w:sz="0" w:space="0" w:color="auto"/>
            <w:left w:val="none" w:sz="0" w:space="0" w:color="auto"/>
            <w:bottom w:val="none" w:sz="0" w:space="0" w:color="auto"/>
            <w:right w:val="none" w:sz="0" w:space="0" w:color="auto"/>
          </w:divBdr>
        </w:div>
        <w:div w:id="1463380119">
          <w:marLeft w:val="640"/>
          <w:marRight w:val="0"/>
          <w:marTop w:val="0"/>
          <w:marBottom w:val="0"/>
          <w:divBdr>
            <w:top w:val="none" w:sz="0" w:space="0" w:color="auto"/>
            <w:left w:val="none" w:sz="0" w:space="0" w:color="auto"/>
            <w:bottom w:val="none" w:sz="0" w:space="0" w:color="auto"/>
            <w:right w:val="none" w:sz="0" w:space="0" w:color="auto"/>
          </w:divBdr>
        </w:div>
        <w:div w:id="1455102518">
          <w:marLeft w:val="640"/>
          <w:marRight w:val="0"/>
          <w:marTop w:val="0"/>
          <w:marBottom w:val="0"/>
          <w:divBdr>
            <w:top w:val="none" w:sz="0" w:space="0" w:color="auto"/>
            <w:left w:val="none" w:sz="0" w:space="0" w:color="auto"/>
            <w:bottom w:val="none" w:sz="0" w:space="0" w:color="auto"/>
            <w:right w:val="none" w:sz="0" w:space="0" w:color="auto"/>
          </w:divBdr>
        </w:div>
        <w:div w:id="1015232104">
          <w:marLeft w:val="640"/>
          <w:marRight w:val="0"/>
          <w:marTop w:val="0"/>
          <w:marBottom w:val="0"/>
          <w:divBdr>
            <w:top w:val="none" w:sz="0" w:space="0" w:color="auto"/>
            <w:left w:val="none" w:sz="0" w:space="0" w:color="auto"/>
            <w:bottom w:val="none" w:sz="0" w:space="0" w:color="auto"/>
            <w:right w:val="none" w:sz="0" w:space="0" w:color="auto"/>
          </w:divBdr>
        </w:div>
        <w:div w:id="935290519">
          <w:marLeft w:val="640"/>
          <w:marRight w:val="0"/>
          <w:marTop w:val="0"/>
          <w:marBottom w:val="0"/>
          <w:divBdr>
            <w:top w:val="none" w:sz="0" w:space="0" w:color="auto"/>
            <w:left w:val="none" w:sz="0" w:space="0" w:color="auto"/>
            <w:bottom w:val="none" w:sz="0" w:space="0" w:color="auto"/>
            <w:right w:val="none" w:sz="0" w:space="0" w:color="auto"/>
          </w:divBdr>
        </w:div>
        <w:div w:id="1397631409">
          <w:marLeft w:val="640"/>
          <w:marRight w:val="0"/>
          <w:marTop w:val="0"/>
          <w:marBottom w:val="0"/>
          <w:divBdr>
            <w:top w:val="none" w:sz="0" w:space="0" w:color="auto"/>
            <w:left w:val="none" w:sz="0" w:space="0" w:color="auto"/>
            <w:bottom w:val="none" w:sz="0" w:space="0" w:color="auto"/>
            <w:right w:val="none" w:sz="0" w:space="0" w:color="auto"/>
          </w:divBdr>
        </w:div>
        <w:div w:id="356392472">
          <w:marLeft w:val="640"/>
          <w:marRight w:val="0"/>
          <w:marTop w:val="0"/>
          <w:marBottom w:val="0"/>
          <w:divBdr>
            <w:top w:val="none" w:sz="0" w:space="0" w:color="auto"/>
            <w:left w:val="none" w:sz="0" w:space="0" w:color="auto"/>
            <w:bottom w:val="none" w:sz="0" w:space="0" w:color="auto"/>
            <w:right w:val="none" w:sz="0" w:space="0" w:color="auto"/>
          </w:divBdr>
        </w:div>
        <w:div w:id="1296181903">
          <w:marLeft w:val="640"/>
          <w:marRight w:val="0"/>
          <w:marTop w:val="0"/>
          <w:marBottom w:val="0"/>
          <w:divBdr>
            <w:top w:val="none" w:sz="0" w:space="0" w:color="auto"/>
            <w:left w:val="none" w:sz="0" w:space="0" w:color="auto"/>
            <w:bottom w:val="none" w:sz="0" w:space="0" w:color="auto"/>
            <w:right w:val="none" w:sz="0" w:space="0" w:color="auto"/>
          </w:divBdr>
        </w:div>
        <w:div w:id="1204098786">
          <w:marLeft w:val="640"/>
          <w:marRight w:val="0"/>
          <w:marTop w:val="0"/>
          <w:marBottom w:val="0"/>
          <w:divBdr>
            <w:top w:val="none" w:sz="0" w:space="0" w:color="auto"/>
            <w:left w:val="none" w:sz="0" w:space="0" w:color="auto"/>
            <w:bottom w:val="none" w:sz="0" w:space="0" w:color="auto"/>
            <w:right w:val="none" w:sz="0" w:space="0" w:color="auto"/>
          </w:divBdr>
        </w:div>
        <w:div w:id="697463216">
          <w:marLeft w:val="640"/>
          <w:marRight w:val="0"/>
          <w:marTop w:val="0"/>
          <w:marBottom w:val="0"/>
          <w:divBdr>
            <w:top w:val="none" w:sz="0" w:space="0" w:color="auto"/>
            <w:left w:val="none" w:sz="0" w:space="0" w:color="auto"/>
            <w:bottom w:val="none" w:sz="0" w:space="0" w:color="auto"/>
            <w:right w:val="none" w:sz="0" w:space="0" w:color="auto"/>
          </w:divBdr>
        </w:div>
        <w:div w:id="906576604">
          <w:marLeft w:val="640"/>
          <w:marRight w:val="0"/>
          <w:marTop w:val="0"/>
          <w:marBottom w:val="0"/>
          <w:divBdr>
            <w:top w:val="none" w:sz="0" w:space="0" w:color="auto"/>
            <w:left w:val="none" w:sz="0" w:space="0" w:color="auto"/>
            <w:bottom w:val="none" w:sz="0" w:space="0" w:color="auto"/>
            <w:right w:val="none" w:sz="0" w:space="0" w:color="auto"/>
          </w:divBdr>
        </w:div>
        <w:div w:id="1943298994">
          <w:marLeft w:val="640"/>
          <w:marRight w:val="0"/>
          <w:marTop w:val="0"/>
          <w:marBottom w:val="0"/>
          <w:divBdr>
            <w:top w:val="none" w:sz="0" w:space="0" w:color="auto"/>
            <w:left w:val="none" w:sz="0" w:space="0" w:color="auto"/>
            <w:bottom w:val="none" w:sz="0" w:space="0" w:color="auto"/>
            <w:right w:val="none" w:sz="0" w:space="0" w:color="auto"/>
          </w:divBdr>
        </w:div>
        <w:div w:id="470756661">
          <w:marLeft w:val="640"/>
          <w:marRight w:val="0"/>
          <w:marTop w:val="0"/>
          <w:marBottom w:val="0"/>
          <w:divBdr>
            <w:top w:val="none" w:sz="0" w:space="0" w:color="auto"/>
            <w:left w:val="none" w:sz="0" w:space="0" w:color="auto"/>
            <w:bottom w:val="none" w:sz="0" w:space="0" w:color="auto"/>
            <w:right w:val="none" w:sz="0" w:space="0" w:color="auto"/>
          </w:divBdr>
        </w:div>
        <w:div w:id="1255016106">
          <w:marLeft w:val="640"/>
          <w:marRight w:val="0"/>
          <w:marTop w:val="0"/>
          <w:marBottom w:val="0"/>
          <w:divBdr>
            <w:top w:val="none" w:sz="0" w:space="0" w:color="auto"/>
            <w:left w:val="none" w:sz="0" w:space="0" w:color="auto"/>
            <w:bottom w:val="none" w:sz="0" w:space="0" w:color="auto"/>
            <w:right w:val="none" w:sz="0" w:space="0" w:color="auto"/>
          </w:divBdr>
        </w:div>
        <w:div w:id="1140222513">
          <w:marLeft w:val="640"/>
          <w:marRight w:val="0"/>
          <w:marTop w:val="0"/>
          <w:marBottom w:val="0"/>
          <w:divBdr>
            <w:top w:val="none" w:sz="0" w:space="0" w:color="auto"/>
            <w:left w:val="none" w:sz="0" w:space="0" w:color="auto"/>
            <w:bottom w:val="none" w:sz="0" w:space="0" w:color="auto"/>
            <w:right w:val="none" w:sz="0" w:space="0" w:color="auto"/>
          </w:divBdr>
        </w:div>
        <w:div w:id="1301572529">
          <w:marLeft w:val="640"/>
          <w:marRight w:val="0"/>
          <w:marTop w:val="0"/>
          <w:marBottom w:val="0"/>
          <w:divBdr>
            <w:top w:val="none" w:sz="0" w:space="0" w:color="auto"/>
            <w:left w:val="none" w:sz="0" w:space="0" w:color="auto"/>
            <w:bottom w:val="none" w:sz="0" w:space="0" w:color="auto"/>
            <w:right w:val="none" w:sz="0" w:space="0" w:color="auto"/>
          </w:divBdr>
        </w:div>
        <w:div w:id="1746680780">
          <w:marLeft w:val="640"/>
          <w:marRight w:val="0"/>
          <w:marTop w:val="0"/>
          <w:marBottom w:val="0"/>
          <w:divBdr>
            <w:top w:val="none" w:sz="0" w:space="0" w:color="auto"/>
            <w:left w:val="none" w:sz="0" w:space="0" w:color="auto"/>
            <w:bottom w:val="none" w:sz="0" w:space="0" w:color="auto"/>
            <w:right w:val="none" w:sz="0" w:space="0" w:color="auto"/>
          </w:divBdr>
        </w:div>
        <w:div w:id="1572080804">
          <w:marLeft w:val="640"/>
          <w:marRight w:val="0"/>
          <w:marTop w:val="0"/>
          <w:marBottom w:val="0"/>
          <w:divBdr>
            <w:top w:val="none" w:sz="0" w:space="0" w:color="auto"/>
            <w:left w:val="none" w:sz="0" w:space="0" w:color="auto"/>
            <w:bottom w:val="none" w:sz="0" w:space="0" w:color="auto"/>
            <w:right w:val="none" w:sz="0" w:space="0" w:color="auto"/>
          </w:divBdr>
        </w:div>
        <w:div w:id="59443172">
          <w:marLeft w:val="640"/>
          <w:marRight w:val="0"/>
          <w:marTop w:val="0"/>
          <w:marBottom w:val="0"/>
          <w:divBdr>
            <w:top w:val="none" w:sz="0" w:space="0" w:color="auto"/>
            <w:left w:val="none" w:sz="0" w:space="0" w:color="auto"/>
            <w:bottom w:val="none" w:sz="0" w:space="0" w:color="auto"/>
            <w:right w:val="none" w:sz="0" w:space="0" w:color="auto"/>
          </w:divBdr>
        </w:div>
        <w:div w:id="675574456">
          <w:marLeft w:val="640"/>
          <w:marRight w:val="0"/>
          <w:marTop w:val="0"/>
          <w:marBottom w:val="0"/>
          <w:divBdr>
            <w:top w:val="none" w:sz="0" w:space="0" w:color="auto"/>
            <w:left w:val="none" w:sz="0" w:space="0" w:color="auto"/>
            <w:bottom w:val="none" w:sz="0" w:space="0" w:color="auto"/>
            <w:right w:val="none" w:sz="0" w:space="0" w:color="auto"/>
          </w:divBdr>
        </w:div>
        <w:div w:id="2085755125">
          <w:marLeft w:val="640"/>
          <w:marRight w:val="0"/>
          <w:marTop w:val="0"/>
          <w:marBottom w:val="0"/>
          <w:divBdr>
            <w:top w:val="none" w:sz="0" w:space="0" w:color="auto"/>
            <w:left w:val="none" w:sz="0" w:space="0" w:color="auto"/>
            <w:bottom w:val="none" w:sz="0" w:space="0" w:color="auto"/>
            <w:right w:val="none" w:sz="0" w:space="0" w:color="auto"/>
          </w:divBdr>
        </w:div>
        <w:div w:id="1078789917">
          <w:marLeft w:val="640"/>
          <w:marRight w:val="0"/>
          <w:marTop w:val="0"/>
          <w:marBottom w:val="0"/>
          <w:divBdr>
            <w:top w:val="none" w:sz="0" w:space="0" w:color="auto"/>
            <w:left w:val="none" w:sz="0" w:space="0" w:color="auto"/>
            <w:bottom w:val="none" w:sz="0" w:space="0" w:color="auto"/>
            <w:right w:val="none" w:sz="0" w:space="0" w:color="auto"/>
          </w:divBdr>
        </w:div>
        <w:div w:id="1432164182">
          <w:marLeft w:val="640"/>
          <w:marRight w:val="0"/>
          <w:marTop w:val="0"/>
          <w:marBottom w:val="0"/>
          <w:divBdr>
            <w:top w:val="none" w:sz="0" w:space="0" w:color="auto"/>
            <w:left w:val="none" w:sz="0" w:space="0" w:color="auto"/>
            <w:bottom w:val="none" w:sz="0" w:space="0" w:color="auto"/>
            <w:right w:val="none" w:sz="0" w:space="0" w:color="auto"/>
          </w:divBdr>
        </w:div>
        <w:div w:id="702291613">
          <w:marLeft w:val="640"/>
          <w:marRight w:val="0"/>
          <w:marTop w:val="0"/>
          <w:marBottom w:val="0"/>
          <w:divBdr>
            <w:top w:val="none" w:sz="0" w:space="0" w:color="auto"/>
            <w:left w:val="none" w:sz="0" w:space="0" w:color="auto"/>
            <w:bottom w:val="none" w:sz="0" w:space="0" w:color="auto"/>
            <w:right w:val="none" w:sz="0" w:space="0" w:color="auto"/>
          </w:divBdr>
        </w:div>
        <w:div w:id="1048262817">
          <w:marLeft w:val="640"/>
          <w:marRight w:val="0"/>
          <w:marTop w:val="0"/>
          <w:marBottom w:val="0"/>
          <w:divBdr>
            <w:top w:val="none" w:sz="0" w:space="0" w:color="auto"/>
            <w:left w:val="none" w:sz="0" w:space="0" w:color="auto"/>
            <w:bottom w:val="none" w:sz="0" w:space="0" w:color="auto"/>
            <w:right w:val="none" w:sz="0" w:space="0" w:color="auto"/>
          </w:divBdr>
        </w:div>
        <w:div w:id="329021707">
          <w:marLeft w:val="640"/>
          <w:marRight w:val="0"/>
          <w:marTop w:val="0"/>
          <w:marBottom w:val="0"/>
          <w:divBdr>
            <w:top w:val="none" w:sz="0" w:space="0" w:color="auto"/>
            <w:left w:val="none" w:sz="0" w:space="0" w:color="auto"/>
            <w:bottom w:val="none" w:sz="0" w:space="0" w:color="auto"/>
            <w:right w:val="none" w:sz="0" w:space="0" w:color="auto"/>
          </w:divBdr>
        </w:div>
        <w:div w:id="235477186">
          <w:marLeft w:val="640"/>
          <w:marRight w:val="0"/>
          <w:marTop w:val="0"/>
          <w:marBottom w:val="0"/>
          <w:divBdr>
            <w:top w:val="none" w:sz="0" w:space="0" w:color="auto"/>
            <w:left w:val="none" w:sz="0" w:space="0" w:color="auto"/>
            <w:bottom w:val="none" w:sz="0" w:space="0" w:color="auto"/>
            <w:right w:val="none" w:sz="0" w:space="0" w:color="auto"/>
          </w:divBdr>
        </w:div>
        <w:div w:id="1493762464">
          <w:marLeft w:val="640"/>
          <w:marRight w:val="0"/>
          <w:marTop w:val="0"/>
          <w:marBottom w:val="0"/>
          <w:divBdr>
            <w:top w:val="none" w:sz="0" w:space="0" w:color="auto"/>
            <w:left w:val="none" w:sz="0" w:space="0" w:color="auto"/>
            <w:bottom w:val="none" w:sz="0" w:space="0" w:color="auto"/>
            <w:right w:val="none" w:sz="0" w:space="0" w:color="auto"/>
          </w:divBdr>
        </w:div>
        <w:div w:id="600727619">
          <w:marLeft w:val="640"/>
          <w:marRight w:val="0"/>
          <w:marTop w:val="0"/>
          <w:marBottom w:val="0"/>
          <w:divBdr>
            <w:top w:val="none" w:sz="0" w:space="0" w:color="auto"/>
            <w:left w:val="none" w:sz="0" w:space="0" w:color="auto"/>
            <w:bottom w:val="none" w:sz="0" w:space="0" w:color="auto"/>
            <w:right w:val="none" w:sz="0" w:space="0" w:color="auto"/>
          </w:divBdr>
        </w:div>
        <w:div w:id="1071348272">
          <w:marLeft w:val="640"/>
          <w:marRight w:val="0"/>
          <w:marTop w:val="0"/>
          <w:marBottom w:val="0"/>
          <w:divBdr>
            <w:top w:val="none" w:sz="0" w:space="0" w:color="auto"/>
            <w:left w:val="none" w:sz="0" w:space="0" w:color="auto"/>
            <w:bottom w:val="none" w:sz="0" w:space="0" w:color="auto"/>
            <w:right w:val="none" w:sz="0" w:space="0" w:color="auto"/>
          </w:divBdr>
        </w:div>
        <w:div w:id="1332609992">
          <w:marLeft w:val="640"/>
          <w:marRight w:val="0"/>
          <w:marTop w:val="0"/>
          <w:marBottom w:val="0"/>
          <w:divBdr>
            <w:top w:val="none" w:sz="0" w:space="0" w:color="auto"/>
            <w:left w:val="none" w:sz="0" w:space="0" w:color="auto"/>
            <w:bottom w:val="none" w:sz="0" w:space="0" w:color="auto"/>
            <w:right w:val="none" w:sz="0" w:space="0" w:color="auto"/>
          </w:divBdr>
        </w:div>
        <w:div w:id="2012219404">
          <w:marLeft w:val="640"/>
          <w:marRight w:val="0"/>
          <w:marTop w:val="0"/>
          <w:marBottom w:val="0"/>
          <w:divBdr>
            <w:top w:val="none" w:sz="0" w:space="0" w:color="auto"/>
            <w:left w:val="none" w:sz="0" w:space="0" w:color="auto"/>
            <w:bottom w:val="none" w:sz="0" w:space="0" w:color="auto"/>
            <w:right w:val="none" w:sz="0" w:space="0" w:color="auto"/>
          </w:divBdr>
        </w:div>
        <w:div w:id="1478767948">
          <w:marLeft w:val="640"/>
          <w:marRight w:val="0"/>
          <w:marTop w:val="0"/>
          <w:marBottom w:val="0"/>
          <w:divBdr>
            <w:top w:val="none" w:sz="0" w:space="0" w:color="auto"/>
            <w:left w:val="none" w:sz="0" w:space="0" w:color="auto"/>
            <w:bottom w:val="none" w:sz="0" w:space="0" w:color="auto"/>
            <w:right w:val="none" w:sz="0" w:space="0" w:color="auto"/>
          </w:divBdr>
        </w:div>
        <w:div w:id="1500776225">
          <w:marLeft w:val="640"/>
          <w:marRight w:val="0"/>
          <w:marTop w:val="0"/>
          <w:marBottom w:val="0"/>
          <w:divBdr>
            <w:top w:val="none" w:sz="0" w:space="0" w:color="auto"/>
            <w:left w:val="none" w:sz="0" w:space="0" w:color="auto"/>
            <w:bottom w:val="none" w:sz="0" w:space="0" w:color="auto"/>
            <w:right w:val="none" w:sz="0" w:space="0" w:color="auto"/>
          </w:divBdr>
        </w:div>
        <w:div w:id="384333513">
          <w:marLeft w:val="640"/>
          <w:marRight w:val="0"/>
          <w:marTop w:val="0"/>
          <w:marBottom w:val="0"/>
          <w:divBdr>
            <w:top w:val="none" w:sz="0" w:space="0" w:color="auto"/>
            <w:left w:val="none" w:sz="0" w:space="0" w:color="auto"/>
            <w:bottom w:val="none" w:sz="0" w:space="0" w:color="auto"/>
            <w:right w:val="none" w:sz="0" w:space="0" w:color="auto"/>
          </w:divBdr>
        </w:div>
        <w:div w:id="487013376">
          <w:marLeft w:val="640"/>
          <w:marRight w:val="0"/>
          <w:marTop w:val="0"/>
          <w:marBottom w:val="0"/>
          <w:divBdr>
            <w:top w:val="none" w:sz="0" w:space="0" w:color="auto"/>
            <w:left w:val="none" w:sz="0" w:space="0" w:color="auto"/>
            <w:bottom w:val="none" w:sz="0" w:space="0" w:color="auto"/>
            <w:right w:val="none" w:sz="0" w:space="0" w:color="auto"/>
          </w:divBdr>
        </w:div>
        <w:div w:id="1414625927">
          <w:marLeft w:val="640"/>
          <w:marRight w:val="0"/>
          <w:marTop w:val="0"/>
          <w:marBottom w:val="0"/>
          <w:divBdr>
            <w:top w:val="none" w:sz="0" w:space="0" w:color="auto"/>
            <w:left w:val="none" w:sz="0" w:space="0" w:color="auto"/>
            <w:bottom w:val="none" w:sz="0" w:space="0" w:color="auto"/>
            <w:right w:val="none" w:sz="0" w:space="0" w:color="auto"/>
          </w:divBdr>
        </w:div>
        <w:div w:id="864362956">
          <w:marLeft w:val="640"/>
          <w:marRight w:val="0"/>
          <w:marTop w:val="0"/>
          <w:marBottom w:val="0"/>
          <w:divBdr>
            <w:top w:val="none" w:sz="0" w:space="0" w:color="auto"/>
            <w:left w:val="none" w:sz="0" w:space="0" w:color="auto"/>
            <w:bottom w:val="none" w:sz="0" w:space="0" w:color="auto"/>
            <w:right w:val="none" w:sz="0" w:space="0" w:color="auto"/>
          </w:divBdr>
        </w:div>
        <w:div w:id="2009210726">
          <w:marLeft w:val="640"/>
          <w:marRight w:val="0"/>
          <w:marTop w:val="0"/>
          <w:marBottom w:val="0"/>
          <w:divBdr>
            <w:top w:val="none" w:sz="0" w:space="0" w:color="auto"/>
            <w:left w:val="none" w:sz="0" w:space="0" w:color="auto"/>
            <w:bottom w:val="none" w:sz="0" w:space="0" w:color="auto"/>
            <w:right w:val="none" w:sz="0" w:space="0" w:color="auto"/>
          </w:divBdr>
        </w:div>
        <w:div w:id="1206525448">
          <w:marLeft w:val="640"/>
          <w:marRight w:val="0"/>
          <w:marTop w:val="0"/>
          <w:marBottom w:val="0"/>
          <w:divBdr>
            <w:top w:val="none" w:sz="0" w:space="0" w:color="auto"/>
            <w:left w:val="none" w:sz="0" w:space="0" w:color="auto"/>
            <w:bottom w:val="none" w:sz="0" w:space="0" w:color="auto"/>
            <w:right w:val="none" w:sz="0" w:space="0" w:color="auto"/>
          </w:divBdr>
        </w:div>
        <w:div w:id="1045131954">
          <w:marLeft w:val="640"/>
          <w:marRight w:val="0"/>
          <w:marTop w:val="0"/>
          <w:marBottom w:val="0"/>
          <w:divBdr>
            <w:top w:val="none" w:sz="0" w:space="0" w:color="auto"/>
            <w:left w:val="none" w:sz="0" w:space="0" w:color="auto"/>
            <w:bottom w:val="none" w:sz="0" w:space="0" w:color="auto"/>
            <w:right w:val="none" w:sz="0" w:space="0" w:color="auto"/>
          </w:divBdr>
        </w:div>
        <w:div w:id="10182545">
          <w:marLeft w:val="640"/>
          <w:marRight w:val="0"/>
          <w:marTop w:val="0"/>
          <w:marBottom w:val="0"/>
          <w:divBdr>
            <w:top w:val="none" w:sz="0" w:space="0" w:color="auto"/>
            <w:left w:val="none" w:sz="0" w:space="0" w:color="auto"/>
            <w:bottom w:val="none" w:sz="0" w:space="0" w:color="auto"/>
            <w:right w:val="none" w:sz="0" w:space="0" w:color="auto"/>
          </w:divBdr>
        </w:div>
        <w:div w:id="89590976">
          <w:marLeft w:val="640"/>
          <w:marRight w:val="0"/>
          <w:marTop w:val="0"/>
          <w:marBottom w:val="0"/>
          <w:divBdr>
            <w:top w:val="none" w:sz="0" w:space="0" w:color="auto"/>
            <w:left w:val="none" w:sz="0" w:space="0" w:color="auto"/>
            <w:bottom w:val="none" w:sz="0" w:space="0" w:color="auto"/>
            <w:right w:val="none" w:sz="0" w:space="0" w:color="auto"/>
          </w:divBdr>
        </w:div>
        <w:div w:id="218251405">
          <w:marLeft w:val="640"/>
          <w:marRight w:val="0"/>
          <w:marTop w:val="0"/>
          <w:marBottom w:val="0"/>
          <w:divBdr>
            <w:top w:val="none" w:sz="0" w:space="0" w:color="auto"/>
            <w:left w:val="none" w:sz="0" w:space="0" w:color="auto"/>
            <w:bottom w:val="none" w:sz="0" w:space="0" w:color="auto"/>
            <w:right w:val="none" w:sz="0" w:space="0" w:color="auto"/>
          </w:divBdr>
        </w:div>
        <w:div w:id="27265847">
          <w:marLeft w:val="640"/>
          <w:marRight w:val="0"/>
          <w:marTop w:val="0"/>
          <w:marBottom w:val="0"/>
          <w:divBdr>
            <w:top w:val="none" w:sz="0" w:space="0" w:color="auto"/>
            <w:left w:val="none" w:sz="0" w:space="0" w:color="auto"/>
            <w:bottom w:val="none" w:sz="0" w:space="0" w:color="auto"/>
            <w:right w:val="none" w:sz="0" w:space="0" w:color="auto"/>
          </w:divBdr>
        </w:div>
        <w:div w:id="793252532">
          <w:marLeft w:val="640"/>
          <w:marRight w:val="0"/>
          <w:marTop w:val="0"/>
          <w:marBottom w:val="0"/>
          <w:divBdr>
            <w:top w:val="none" w:sz="0" w:space="0" w:color="auto"/>
            <w:left w:val="none" w:sz="0" w:space="0" w:color="auto"/>
            <w:bottom w:val="none" w:sz="0" w:space="0" w:color="auto"/>
            <w:right w:val="none" w:sz="0" w:space="0" w:color="auto"/>
          </w:divBdr>
        </w:div>
        <w:div w:id="2064137104">
          <w:marLeft w:val="640"/>
          <w:marRight w:val="0"/>
          <w:marTop w:val="0"/>
          <w:marBottom w:val="0"/>
          <w:divBdr>
            <w:top w:val="none" w:sz="0" w:space="0" w:color="auto"/>
            <w:left w:val="none" w:sz="0" w:space="0" w:color="auto"/>
            <w:bottom w:val="none" w:sz="0" w:space="0" w:color="auto"/>
            <w:right w:val="none" w:sz="0" w:space="0" w:color="auto"/>
          </w:divBdr>
        </w:div>
        <w:div w:id="1608387034">
          <w:marLeft w:val="640"/>
          <w:marRight w:val="0"/>
          <w:marTop w:val="0"/>
          <w:marBottom w:val="0"/>
          <w:divBdr>
            <w:top w:val="none" w:sz="0" w:space="0" w:color="auto"/>
            <w:left w:val="none" w:sz="0" w:space="0" w:color="auto"/>
            <w:bottom w:val="none" w:sz="0" w:space="0" w:color="auto"/>
            <w:right w:val="none" w:sz="0" w:space="0" w:color="auto"/>
          </w:divBdr>
        </w:div>
        <w:div w:id="1529105089">
          <w:marLeft w:val="640"/>
          <w:marRight w:val="0"/>
          <w:marTop w:val="0"/>
          <w:marBottom w:val="0"/>
          <w:divBdr>
            <w:top w:val="none" w:sz="0" w:space="0" w:color="auto"/>
            <w:left w:val="none" w:sz="0" w:space="0" w:color="auto"/>
            <w:bottom w:val="none" w:sz="0" w:space="0" w:color="auto"/>
            <w:right w:val="none" w:sz="0" w:space="0" w:color="auto"/>
          </w:divBdr>
        </w:div>
        <w:div w:id="942035492">
          <w:marLeft w:val="640"/>
          <w:marRight w:val="0"/>
          <w:marTop w:val="0"/>
          <w:marBottom w:val="0"/>
          <w:divBdr>
            <w:top w:val="none" w:sz="0" w:space="0" w:color="auto"/>
            <w:left w:val="none" w:sz="0" w:space="0" w:color="auto"/>
            <w:bottom w:val="none" w:sz="0" w:space="0" w:color="auto"/>
            <w:right w:val="none" w:sz="0" w:space="0" w:color="auto"/>
          </w:divBdr>
        </w:div>
        <w:div w:id="103306236">
          <w:marLeft w:val="640"/>
          <w:marRight w:val="0"/>
          <w:marTop w:val="0"/>
          <w:marBottom w:val="0"/>
          <w:divBdr>
            <w:top w:val="none" w:sz="0" w:space="0" w:color="auto"/>
            <w:left w:val="none" w:sz="0" w:space="0" w:color="auto"/>
            <w:bottom w:val="none" w:sz="0" w:space="0" w:color="auto"/>
            <w:right w:val="none" w:sz="0" w:space="0" w:color="auto"/>
          </w:divBdr>
        </w:div>
        <w:div w:id="193156682">
          <w:marLeft w:val="640"/>
          <w:marRight w:val="0"/>
          <w:marTop w:val="0"/>
          <w:marBottom w:val="0"/>
          <w:divBdr>
            <w:top w:val="none" w:sz="0" w:space="0" w:color="auto"/>
            <w:left w:val="none" w:sz="0" w:space="0" w:color="auto"/>
            <w:bottom w:val="none" w:sz="0" w:space="0" w:color="auto"/>
            <w:right w:val="none" w:sz="0" w:space="0" w:color="auto"/>
          </w:divBdr>
        </w:div>
        <w:div w:id="1185364845">
          <w:marLeft w:val="640"/>
          <w:marRight w:val="0"/>
          <w:marTop w:val="0"/>
          <w:marBottom w:val="0"/>
          <w:divBdr>
            <w:top w:val="none" w:sz="0" w:space="0" w:color="auto"/>
            <w:left w:val="none" w:sz="0" w:space="0" w:color="auto"/>
            <w:bottom w:val="none" w:sz="0" w:space="0" w:color="auto"/>
            <w:right w:val="none" w:sz="0" w:space="0" w:color="auto"/>
          </w:divBdr>
        </w:div>
        <w:div w:id="765342356">
          <w:marLeft w:val="640"/>
          <w:marRight w:val="0"/>
          <w:marTop w:val="0"/>
          <w:marBottom w:val="0"/>
          <w:divBdr>
            <w:top w:val="none" w:sz="0" w:space="0" w:color="auto"/>
            <w:left w:val="none" w:sz="0" w:space="0" w:color="auto"/>
            <w:bottom w:val="none" w:sz="0" w:space="0" w:color="auto"/>
            <w:right w:val="none" w:sz="0" w:space="0" w:color="auto"/>
          </w:divBdr>
        </w:div>
        <w:div w:id="1746806533">
          <w:marLeft w:val="640"/>
          <w:marRight w:val="0"/>
          <w:marTop w:val="0"/>
          <w:marBottom w:val="0"/>
          <w:divBdr>
            <w:top w:val="none" w:sz="0" w:space="0" w:color="auto"/>
            <w:left w:val="none" w:sz="0" w:space="0" w:color="auto"/>
            <w:bottom w:val="none" w:sz="0" w:space="0" w:color="auto"/>
            <w:right w:val="none" w:sz="0" w:space="0" w:color="auto"/>
          </w:divBdr>
        </w:div>
        <w:div w:id="1034573334">
          <w:marLeft w:val="640"/>
          <w:marRight w:val="0"/>
          <w:marTop w:val="0"/>
          <w:marBottom w:val="0"/>
          <w:divBdr>
            <w:top w:val="none" w:sz="0" w:space="0" w:color="auto"/>
            <w:left w:val="none" w:sz="0" w:space="0" w:color="auto"/>
            <w:bottom w:val="none" w:sz="0" w:space="0" w:color="auto"/>
            <w:right w:val="none" w:sz="0" w:space="0" w:color="auto"/>
          </w:divBdr>
        </w:div>
        <w:div w:id="1872575227">
          <w:marLeft w:val="640"/>
          <w:marRight w:val="0"/>
          <w:marTop w:val="0"/>
          <w:marBottom w:val="0"/>
          <w:divBdr>
            <w:top w:val="none" w:sz="0" w:space="0" w:color="auto"/>
            <w:left w:val="none" w:sz="0" w:space="0" w:color="auto"/>
            <w:bottom w:val="none" w:sz="0" w:space="0" w:color="auto"/>
            <w:right w:val="none" w:sz="0" w:space="0" w:color="auto"/>
          </w:divBdr>
        </w:div>
        <w:div w:id="1557930165">
          <w:marLeft w:val="640"/>
          <w:marRight w:val="0"/>
          <w:marTop w:val="0"/>
          <w:marBottom w:val="0"/>
          <w:divBdr>
            <w:top w:val="none" w:sz="0" w:space="0" w:color="auto"/>
            <w:left w:val="none" w:sz="0" w:space="0" w:color="auto"/>
            <w:bottom w:val="none" w:sz="0" w:space="0" w:color="auto"/>
            <w:right w:val="none" w:sz="0" w:space="0" w:color="auto"/>
          </w:divBdr>
        </w:div>
        <w:div w:id="934478402">
          <w:marLeft w:val="640"/>
          <w:marRight w:val="0"/>
          <w:marTop w:val="0"/>
          <w:marBottom w:val="0"/>
          <w:divBdr>
            <w:top w:val="none" w:sz="0" w:space="0" w:color="auto"/>
            <w:left w:val="none" w:sz="0" w:space="0" w:color="auto"/>
            <w:bottom w:val="none" w:sz="0" w:space="0" w:color="auto"/>
            <w:right w:val="none" w:sz="0" w:space="0" w:color="auto"/>
          </w:divBdr>
        </w:div>
        <w:div w:id="183907277">
          <w:marLeft w:val="640"/>
          <w:marRight w:val="0"/>
          <w:marTop w:val="0"/>
          <w:marBottom w:val="0"/>
          <w:divBdr>
            <w:top w:val="none" w:sz="0" w:space="0" w:color="auto"/>
            <w:left w:val="none" w:sz="0" w:space="0" w:color="auto"/>
            <w:bottom w:val="none" w:sz="0" w:space="0" w:color="auto"/>
            <w:right w:val="none" w:sz="0" w:space="0" w:color="auto"/>
          </w:divBdr>
        </w:div>
        <w:div w:id="287126603">
          <w:marLeft w:val="640"/>
          <w:marRight w:val="0"/>
          <w:marTop w:val="0"/>
          <w:marBottom w:val="0"/>
          <w:divBdr>
            <w:top w:val="none" w:sz="0" w:space="0" w:color="auto"/>
            <w:left w:val="none" w:sz="0" w:space="0" w:color="auto"/>
            <w:bottom w:val="none" w:sz="0" w:space="0" w:color="auto"/>
            <w:right w:val="none" w:sz="0" w:space="0" w:color="auto"/>
          </w:divBdr>
        </w:div>
        <w:div w:id="2109346111">
          <w:marLeft w:val="640"/>
          <w:marRight w:val="0"/>
          <w:marTop w:val="0"/>
          <w:marBottom w:val="0"/>
          <w:divBdr>
            <w:top w:val="none" w:sz="0" w:space="0" w:color="auto"/>
            <w:left w:val="none" w:sz="0" w:space="0" w:color="auto"/>
            <w:bottom w:val="none" w:sz="0" w:space="0" w:color="auto"/>
            <w:right w:val="none" w:sz="0" w:space="0" w:color="auto"/>
          </w:divBdr>
        </w:div>
        <w:div w:id="1890456197">
          <w:marLeft w:val="640"/>
          <w:marRight w:val="0"/>
          <w:marTop w:val="0"/>
          <w:marBottom w:val="0"/>
          <w:divBdr>
            <w:top w:val="none" w:sz="0" w:space="0" w:color="auto"/>
            <w:left w:val="none" w:sz="0" w:space="0" w:color="auto"/>
            <w:bottom w:val="none" w:sz="0" w:space="0" w:color="auto"/>
            <w:right w:val="none" w:sz="0" w:space="0" w:color="auto"/>
          </w:divBdr>
        </w:div>
        <w:div w:id="924024746">
          <w:marLeft w:val="640"/>
          <w:marRight w:val="0"/>
          <w:marTop w:val="0"/>
          <w:marBottom w:val="0"/>
          <w:divBdr>
            <w:top w:val="none" w:sz="0" w:space="0" w:color="auto"/>
            <w:left w:val="none" w:sz="0" w:space="0" w:color="auto"/>
            <w:bottom w:val="none" w:sz="0" w:space="0" w:color="auto"/>
            <w:right w:val="none" w:sz="0" w:space="0" w:color="auto"/>
          </w:divBdr>
        </w:div>
        <w:div w:id="532961790">
          <w:marLeft w:val="640"/>
          <w:marRight w:val="0"/>
          <w:marTop w:val="0"/>
          <w:marBottom w:val="0"/>
          <w:divBdr>
            <w:top w:val="none" w:sz="0" w:space="0" w:color="auto"/>
            <w:left w:val="none" w:sz="0" w:space="0" w:color="auto"/>
            <w:bottom w:val="none" w:sz="0" w:space="0" w:color="auto"/>
            <w:right w:val="none" w:sz="0" w:space="0" w:color="auto"/>
          </w:divBdr>
        </w:div>
        <w:div w:id="734622058">
          <w:marLeft w:val="640"/>
          <w:marRight w:val="0"/>
          <w:marTop w:val="0"/>
          <w:marBottom w:val="0"/>
          <w:divBdr>
            <w:top w:val="none" w:sz="0" w:space="0" w:color="auto"/>
            <w:left w:val="none" w:sz="0" w:space="0" w:color="auto"/>
            <w:bottom w:val="none" w:sz="0" w:space="0" w:color="auto"/>
            <w:right w:val="none" w:sz="0" w:space="0" w:color="auto"/>
          </w:divBdr>
        </w:div>
        <w:div w:id="664286737">
          <w:marLeft w:val="640"/>
          <w:marRight w:val="0"/>
          <w:marTop w:val="0"/>
          <w:marBottom w:val="0"/>
          <w:divBdr>
            <w:top w:val="none" w:sz="0" w:space="0" w:color="auto"/>
            <w:left w:val="none" w:sz="0" w:space="0" w:color="auto"/>
            <w:bottom w:val="none" w:sz="0" w:space="0" w:color="auto"/>
            <w:right w:val="none" w:sz="0" w:space="0" w:color="auto"/>
          </w:divBdr>
        </w:div>
        <w:div w:id="129323579">
          <w:marLeft w:val="640"/>
          <w:marRight w:val="0"/>
          <w:marTop w:val="0"/>
          <w:marBottom w:val="0"/>
          <w:divBdr>
            <w:top w:val="none" w:sz="0" w:space="0" w:color="auto"/>
            <w:left w:val="none" w:sz="0" w:space="0" w:color="auto"/>
            <w:bottom w:val="none" w:sz="0" w:space="0" w:color="auto"/>
            <w:right w:val="none" w:sz="0" w:space="0" w:color="auto"/>
          </w:divBdr>
        </w:div>
        <w:div w:id="1912033156">
          <w:marLeft w:val="640"/>
          <w:marRight w:val="0"/>
          <w:marTop w:val="0"/>
          <w:marBottom w:val="0"/>
          <w:divBdr>
            <w:top w:val="none" w:sz="0" w:space="0" w:color="auto"/>
            <w:left w:val="none" w:sz="0" w:space="0" w:color="auto"/>
            <w:bottom w:val="none" w:sz="0" w:space="0" w:color="auto"/>
            <w:right w:val="none" w:sz="0" w:space="0" w:color="auto"/>
          </w:divBdr>
        </w:div>
        <w:div w:id="171116140">
          <w:marLeft w:val="640"/>
          <w:marRight w:val="0"/>
          <w:marTop w:val="0"/>
          <w:marBottom w:val="0"/>
          <w:divBdr>
            <w:top w:val="none" w:sz="0" w:space="0" w:color="auto"/>
            <w:left w:val="none" w:sz="0" w:space="0" w:color="auto"/>
            <w:bottom w:val="none" w:sz="0" w:space="0" w:color="auto"/>
            <w:right w:val="none" w:sz="0" w:space="0" w:color="auto"/>
          </w:divBdr>
        </w:div>
        <w:div w:id="809635316">
          <w:marLeft w:val="640"/>
          <w:marRight w:val="0"/>
          <w:marTop w:val="0"/>
          <w:marBottom w:val="0"/>
          <w:divBdr>
            <w:top w:val="none" w:sz="0" w:space="0" w:color="auto"/>
            <w:left w:val="none" w:sz="0" w:space="0" w:color="auto"/>
            <w:bottom w:val="none" w:sz="0" w:space="0" w:color="auto"/>
            <w:right w:val="none" w:sz="0" w:space="0" w:color="auto"/>
          </w:divBdr>
        </w:div>
        <w:div w:id="185489066">
          <w:marLeft w:val="640"/>
          <w:marRight w:val="0"/>
          <w:marTop w:val="0"/>
          <w:marBottom w:val="0"/>
          <w:divBdr>
            <w:top w:val="none" w:sz="0" w:space="0" w:color="auto"/>
            <w:left w:val="none" w:sz="0" w:space="0" w:color="auto"/>
            <w:bottom w:val="none" w:sz="0" w:space="0" w:color="auto"/>
            <w:right w:val="none" w:sz="0" w:space="0" w:color="auto"/>
          </w:divBdr>
        </w:div>
        <w:div w:id="428701040">
          <w:marLeft w:val="640"/>
          <w:marRight w:val="0"/>
          <w:marTop w:val="0"/>
          <w:marBottom w:val="0"/>
          <w:divBdr>
            <w:top w:val="none" w:sz="0" w:space="0" w:color="auto"/>
            <w:left w:val="none" w:sz="0" w:space="0" w:color="auto"/>
            <w:bottom w:val="none" w:sz="0" w:space="0" w:color="auto"/>
            <w:right w:val="none" w:sz="0" w:space="0" w:color="auto"/>
          </w:divBdr>
        </w:div>
        <w:div w:id="198854943">
          <w:marLeft w:val="640"/>
          <w:marRight w:val="0"/>
          <w:marTop w:val="0"/>
          <w:marBottom w:val="0"/>
          <w:divBdr>
            <w:top w:val="none" w:sz="0" w:space="0" w:color="auto"/>
            <w:left w:val="none" w:sz="0" w:space="0" w:color="auto"/>
            <w:bottom w:val="none" w:sz="0" w:space="0" w:color="auto"/>
            <w:right w:val="none" w:sz="0" w:space="0" w:color="auto"/>
          </w:divBdr>
        </w:div>
        <w:div w:id="492915160">
          <w:marLeft w:val="640"/>
          <w:marRight w:val="0"/>
          <w:marTop w:val="0"/>
          <w:marBottom w:val="0"/>
          <w:divBdr>
            <w:top w:val="none" w:sz="0" w:space="0" w:color="auto"/>
            <w:left w:val="none" w:sz="0" w:space="0" w:color="auto"/>
            <w:bottom w:val="none" w:sz="0" w:space="0" w:color="auto"/>
            <w:right w:val="none" w:sz="0" w:space="0" w:color="auto"/>
          </w:divBdr>
        </w:div>
        <w:div w:id="1215852824">
          <w:marLeft w:val="640"/>
          <w:marRight w:val="0"/>
          <w:marTop w:val="0"/>
          <w:marBottom w:val="0"/>
          <w:divBdr>
            <w:top w:val="none" w:sz="0" w:space="0" w:color="auto"/>
            <w:left w:val="none" w:sz="0" w:space="0" w:color="auto"/>
            <w:bottom w:val="none" w:sz="0" w:space="0" w:color="auto"/>
            <w:right w:val="none" w:sz="0" w:space="0" w:color="auto"/>
          </w:divBdr>
        </w:div>
        <w:div w:id="280579285">
          <w:marLeft w:val="640"/>
          <w:marRight w:val="0"/>
          <w:marTop w:val="0"/>
          <w:marBottom w:val="0"/>
          <w:divBdr>
            <w:top w:val="none" w:sz="0" w:space="0" w:color="auto"/>
            <w:left w:val="none" w:sz="0" w:space="0" w:color="auto"/>
            <w:bottom w:val="none" w:sz="0" w:space="0" w:color="auto"/>
            <w:right w:val="none" w:sz="0" w:space="0" w:color="auto"/>
          </w:divBdr>
        </w:div>
        <w:div w:id="1242763282">
          <w:marLeft w:val="640"/>
          <w:marRight w:val="0"/>
          <w:marTop w:val="0"/>
          <w:marBottom w:val="0"/>
          <w:divBdr>
            <w:top w:val="none" w:sz="0" w:space="0" w:color="auto"/>
            <w:left w:val="none" w:sz="0" w:space="0" w:color="auto"/>
            <w:bottom w:val="none" w:sz="0" w:space="0" w:color="auto"/>
            <w:right w:val="none" w:sz="0" w:space="0" w:color="auto"/>
          </w:divBdr>
        </w:div>
        <w:div w:id="1009528565">
          <w:marLeft w:val="640"/>
          <w:marRight w:val="0"/>
          <w:marTop w:val="0"/>
          <w:marBottom w:val="0"/>
          <w:divBdr>
            <w:top w:val="none" w:sz="0" w:space="0" w:color="auto"/>
            <w:left w:val="none" w:sz="0" w:space="0" w:color="auto"/>
            <w:bottom w:val="none" w:sz="0" w:space="0" w:color="auto"/>
            <w:right w:val="none" w:sz="0" w:space="0" w:color="auto"/>
          </w:divBdr>
        </w:div>
        <w:div w:id="852575875">
          <w:marLeft w:val="640"/>
          <w:marRight w:val="0"/>
          <w:marTop w:val="0"/>
          <w:marBottom w:val="0"/>
          <w:divBdr>
            <w:top w:val="none" w:sz="0" w:space="0" w:color="auto"/>
            <w:left w:val="none" w:sz="0" w:space="0" w:color="auto"/>
            <w:bottom w:val="none" w:sz="0" w:space="0" w:color="auto"/>
            <w:right w:val="none" w:sz="0" w:space="0" w:color="auto"/>
          </w:divBdr>
        </w:div>
        <w:div w:id="1157455203">
          <w:marLeft w:val="640"/>
          <w:marRight w:val="0"/>
          <w:marTop w:val="0"/>
          <w:marBottom w:val="0"/>
          <w:divBdr>
            <w:top w:val="none" w:sz="0" w:space="0" w:color="auto"/>
            <w:left w:val="none" w:sz="0" w:space="0" w:color="auto"/>
            <w:bottom w:val="none" w:sz="0" w:space="0" w:color="auto"/>
            <w:right w:val="none" w:sz="0" w:space="0" w:color="auto"/>
          </w:divBdr>
        </w:div>
        <w:div w:id="1019164953">
          <w:marLeft w:val="640"/>
          <w:marRight w:val="0"/>
          <w:marTop w:val="0"/>
          <w:marBottom w:val="0"/>
          <w:divBdr>
            <w:top w:val="none" w:sz="0" w:space="0" w:color="auto"/>
            <w:left w:val="none" w:sz="0" w:space="0" w:color="auto"/>
            <w:bottom w:val="none" w:sz="0" w:space="0" w:color="auto"/>
            <w:right w:val="none" w:sz="0" w:space="0" w:color="auto"/>
          </w:divBdr>
        </w:div>
        <w:div w:id="1583179185">
          <w:marLeft w:val="640"/>
          <w:marRight w:val="0"/>
          <w:marTop w:val="0"/>
          <w:marBottom w:val="0"/>
          <w:divBdr>
            <w:top w:val="none" w:sz="0" w:space="0" w:color="auto"/>
            <w:left w:val="none" w:sz="0" w:space="0" w:color="auto"/>
            <w:bottom w:val="none" w:sz="0" w:space="0" w:color="auto"/>
            <w:right w:val="none" w:sz="0" w:space="0" w:color="auto"/>
          </w:divBdr>
        </w:div>
        <w:div w:id="666833792">
          <w:marLeft w:val="640"/>
          <w:marRight w:val="0"/>
          <w:marTop w:val="0"/>
          <w:marBottom w:val="0"/>
          <w:divBdr>
            <w:top w:val="none" w:sz="0" w:space="0" w:color="auto"/>
            <w:left w:val="none" w:sz="0" w:space="0" w:color="auto"/>
            <w:bottom w:val="none" w:sz="0" w:space="0" w:color="auto"/>
            <w:right w:val="none" w:sz="0" w:space="0" w:color="auto"/>
          </w:divBdr>
        </w:div>
        <w:div w:id="162858273">
          <w:marLeft w:val="640"/>
          <w:marRight w:val="0"/>
          <w:marTop w:val="0"/>
          <w:marBottom w:val="0"/>
          <w:divBdr>
            <w:top w:val="none" w:sz="0" w:space="0" w:color="auto"/>
            <w:left w:val="none" w:sz="0" w:space="0" w:color="auto"/>
            <w:bottom w:val="none" w:sz="0" w:space="0" w:color="auto"/>
            <w:right w:val="none" w:sz="0" w:space="0" w:color="auto"/>
          </w:divBdr>
        </w:div>
        <w:div w:id="464083262">
          <w:marLeft w:val="640"/>
          <w:marRight w:val="0"/>
          <w:marTop w:val="0"/>
          <w:marBottom w:val="0"/>
          <w:divBdr>
            <w:top w:val="none" w:sz="0" w:space="0" w:color="auto"/>
            <w:left w:val="none" w:sz="0" w:space="0" w:color="auto"/>
            <w:bottom w:val="none" w:sz="0" w:space="0" w:color="auto"/>
            <w:right w:val="none" w:sz="0" w:space="0" w:color="auto"/>
          </w:divBdr>
        </w:div>
        <w:div w:id="1345479515">
          <w:marLeft w:val="640"/>
          <w:marRight w:val="0"/>
          <w:marTop w:val="0"/>
          <w:marBottom w:val="0"/>
          <w:divBdr>
            <w:top w:val="none" w:sz="0" w:space="0" w:color="auto"/>
            <w:left w:val="none" w:sz="0" w:space="0" w:color="auto"/>
            <w:bottom w:val="none" w:sz="0" w:space="0" w:color="auto"/>
            <w:right w:val="none" w:sz="0" w:space="0" w:color="auto"/>
          </w:divBdr>
        </w:div>
        <w:div w:id="1442721709">
          <w:marLeft w:val="640"/>
          <w:marRight w:val="0"/>
          <w:marTop w:val="0"/>
          <w:marBottom w:val="0"/>
          <w:divBdr>
            <w:top w:val="none" w:sz="0" w:space="0" w:color="auto"/>
            <w:left w:val="none" w:sz="0" w:space="0" w:color="auto"/>
            <w:bottom w:val="none" w:sz="0" w:space="0" w:color="auto"/>
            <w:right w:val="none" w:sz="0" w:space="0" w:color="auto"/>
          </w:divBdr>
        </w:div>
        <w:div w:id="183713967">
          <w:marLeft w:val="640"/>
          <w:marRight w:val="0"/>
          <w:marTop w:val="0"/>
          <w:marBottom w:val="0"/>
          <w:divBdr>
            <w:top w:val="none" w:sz="0" w:space="0" w:color="auto"/>
            <w:left w:val="none" w:sz="0" w:space="0" w:color="auto"/>
            <w:bottom w:val="none" w:sz="0" w:space="0" w:color="auto"/>
            <w:right w:val="none" w:sz="0" w:space="0" w:color="auto"/>
          </w:divBdr>
        </w:div>
      </w:divsChild>
    </w:div>
    <w:div w:id="2020547742">
      <w:bodyDiv w:val="1"/>
      <w:marLeft w:val="0"/>
      <w:marRight w:val="0"/>
      <w:marTop w:val="0"/>
      <w:marBottom w:val="0"/>
      <w:divBdr>
        <w:top w:val="none" w:sz="0" w:space="0" w:color="auto"/>
        <w:left w:val="none" w:sz="0" w:space="0" w:color="auto"/>
        <w:bottom w:val="none" w:sz="0" w:space="0" w:color="auto"/>
        <w:right w:val="none" w:sz="0" w:space="0" w:color="auto"/>
      </w:divBdr>
      <w:divsChild>
        <w:div w:id="1659074291">
          <w:marLeft w:val="640"/>
          <w:marRight w:val="0"/>
          <w:marTop w:val="0"/>
          <w:marBottom w:val="0"/>
          <w:divBdr>
            <w:top w:val="none" w:sz="0" w:space="0" w:color="auto"/>
            <w:left w:val="none" w:sz="0" w:space="0" w:color="auto"/>
            <w:bottom w:val="none" w:sz="0" w:space="0" w:color="auto"/>
            <w:right w:val="none" w:sz="0" w:space="0" w:color="auto"/>
          </w:divBdr>
        </w:div>
        <w:div w:id="1527215010">
          <w:marLeft w:val="640"/>
          <w:marRight w:val="0"/>
          <w:marTop w:val="0"/>
          <w:marBottom w:val="0"/>
          <w:divBdr>
            <w:top w:val="none" w:sz="0" w:space="0" w:color="auto"/>
            <w:left w:val="none" w:sz="0" w:space="0" w:color="auto"/>
            <w:bottom w:val="none" w:sz="0" w:space="0" w:color="auto"/>
            <w:right w:val="none" w:sz="0" w:space="0" w:color="auto"/>
          </w:divBdr>
        </w:div>
        <w:div w:id="362218870">
          <w:marLeft w:val="640"/>
          <w:marRight w:val="0"/>
          <w:marTop w:val="0"/>
          <w:marBottom w:val="0"/>
          <w:divBdr>
            <w:top w:val="none" w:sz="0" w:space="0" w:color="auto"/>
            <w:left w:val="none" w:sz="0" w:space="0" w:color="auto"/>
            <w:bottom w:val="none" w:sz="0" w:space="0" w:color="auto"/>
            <w:right w:val="none" w:sz="0" w:space="0" w:color="auto"/>
          </w:divBdr>
        </w:div>
        <w:div w:id="267350143">
          <w:marLeft w:val="640"/>
          <w:marRight w:val="0"/>
          <w:marTop w:val="0"/>
          <w:marBottom w:val="0"/>
          <w:divBdr>
            <w:top w:val="none" w:sz="0" w:space="0" w:color="auto"/>
            <w:left w:val="none" w:sz="0" w:space="0" w:color="auto"/>
            <w:bottom w:val="none" w:sz="0" w:space="0" w:color="auto"/>
            <w:right w:val="none" w:sz="0" w:space="0" w:color="auto"/>
          </w:divBdr>
        </w:div>
        <w:div w:id="508444880">
          <w:marLeft w:val="640"/>
          <w:marRight w:val="0"/>
          <w:marTop w:val="0"/>
          <w:marBottom w:val="0"/>
          <w:divBdr>
            <w:top w:val="none" w:sz="0" w:space="0" w:color="auto"/>
            <w:left w:val="none" w:sz="0" w:space="0" w:color="auto"/>
            <w:bottom w:val="none" w:sz="0" w:space="0" w:color="auto"/>
            <w:right w:val="none" w:sz="0" w:space="0" w:color="auto"/>
          </w:divBdr>
        </w:div>
        <w:div w:id="517617769">
          <w:marLeft w:val="640"/>
          <w:marRight w:val="0"/>
          <w:marTop w:val="0"/>
          <w:marBottom w:val="0"/>
          <w:divBdr>
            <w:top w:val="none" w:sz="0" w:space="0" w:color="auto"/>
            <w:left w:val="none" w:sz="0" w:space="0" w:color="auto"/>
            <w:bottom w:val="none" w:sz="0" w:space="0" w:color="auto"/>
            <w:right w:val="none" w:sz="0" w:space="0" w:color="auto"/>
          </w:divBdr>
        </w:div>
        <w:div w:id="1028218979">
          <w:marLeft w:val="640"/>
          <w:marRight w:val="0"/>
          <w:marTop w:val="0"/>
          <w:marBottom w:val="0"/>
          <w:divBdr>
            <w:top w:val="none" w:sz="0" w:space="0" w:color="auto"/>
            <w:left w:val="none" w:sz="0" w:space="0" w:color="auto"/>
            <w:bottom w:val="none" w:sz="0" w:space="0" w:color="auto"/>
            <w:right w:val="none" w:sz="0" w:space="0" w:color="auto"/>
          </w:divBdr>
        </w:div>
        <w:div w:id="71322433">
          <w:marLeft w:val="640"/>
          <w:marRight w:val="0"/>
          <w:marTop w:val="0"/>
          <w:marBottom w:val="0"/>
          <w:divBdr>
            <w:top w:val="none" w:sz="0" w:space="0" w:color="auto"/>
            <w:left w:val="none" w:sz="0" w:space="0" w:color="auto"/>
            <w:bottom w:val="none" w:sz="0" w:space="0" w:color="auto"/>
            <w:right w:val="none" w:sz="0" w:space="0" w:color="auto"/>
          </w:divBdr>
        </w:div>
        <w:div w:id="1525823211">
          <w:marLeft w:val="640"/>
          <w:marRight w:val="0"/>
          <w:marTop w:val="0"/>
          <w:marBottom w:val="0"/>
          <w:divBdr>
            <w:top w:val="none" w:sz="0" w:space="0" w:color="auto"/>
            <w:left w:val="none" w:sz="0" w:space="0" w:color="auto"/>
            <w:bottom w:val="none" w:sz="0" w:space="0" w:color="auto"/>
            <w:right w:val="none" w:sz="0" w:space="0" w:color="auto"/>
          </w:divBdr>
        </w:div>
        <w:div w:id="1618563868">
          <w:marLeft w:val="640"/>
          <w:marRight w:val="0"/>
          <w:marTop w:val="0"/>
          <w:marBottom w:val="0"/>
          <w:divBdr>
            <w:top w:val="none" w:sz="0" w:space="0" w:color="auto"/>
            <w:left w:val="none" w:sz="0" w:space="0" w:color="auto"/>
            <w:bottom w:val="none" w:sz="0" w:space="0" w:color="auto"/>
            <w:right w:val="none" w:sz="0" w:space="0" w:color="auto"/>
          </w:divBdr>
        </w:div>
        <w:div w:id="1046836004">
          <w:marLeft w:val="640"/>
          <w:marRight w:val="0"/>
          <w:marTop w:val="0"/>
          <w:marBottom w:val="0"/>
          <w:divBdr>
            <w:top w:val="none" w:sz="0" w:space="0" w:color="auto"/>
            <w:left w:val="none" w:sz="0" w:space="0" w:color="auto"/>
            <w:bottom w:val="none" w:sz="0" w:space="0" w:color="auto"/>
            <w:right w:val="none" w:sz="0" w:space="0" w:color="auto"/>
          </w:divBdr>
        </w:div>
        <w:div w:id="544104325">
          <w:marLeft w:val="640"/>
          <w:marRight w:val="0"/>
          <w:marTop w:val="0"/>
          <w:marBottom w:val="0"/>
          <w:divBdr>
            <w:top w:val="none" w:sz="0" w:space="0" w:color="auto"/>
            <w:left w:val="none" w:sz="0" w:space="0" w:color="auto"/>
            <w:bottom w:val="none" w:sz="0" w:space="0" w:color="auto"/>
            <w:right w:val="none" w:sz="0" w:space="0" w:color="auto"/>
          </w:divBdr>
        </w:div>
        <w:div w:id="783816365">
          <w:marLeft w:val="640"/>
          <w:marRight w:val="0"/>
          <w:marTop w:val="0"/>
          <w:marBottom w:val="0"/>
          <w:divBdr>
            <w:top w:val="none" w:sz="0" w:space="0" w:color="auto"/>
            <w:left w:val="none" w:sz="0" w:space="0" w:color="auto"/>
            <w:bottom w:val="none" w:sz="0" w:space="0" w:color="auto"/>
            <w:right w:val="none" w:sz="0" w:space="0" w:color="auto"/>
          </w:divBdr>
        </w:div>
        <w:div w:id="2020310158">
          <w:marLeft w:val="640"/>
          <w:marRight w:val="0"/>
          <w:marTop w:val="0"/>
          <w:marBottom w:val="0"/>
          <w:divBdr>
            <w:top w:val="none" w:sz="0" w:space="0" w:color="auto"/>
            <w:left w:val="none" w:sz="0" w:space="0" w:color="auto"/>
            <w:bottom w:val="none" w:sz="0" w:space="0" w:color="auto"/>
            <w:right w:val="none" w:sz="0" w:space="0" w:color="auto"/>
          </w:divBdr>
        </w:div>
        <w:div w:id="1129594270">
          <w:marLeft w:val="640"/>
          <w:marRight w:val="0"/>
          <w:marTop w:val="0"/>
          <w:marBottom w:val="0"/>
          <w:divBdr>
            <w:top w:val="none" w:sz="0" w:space="0" w:color="auto"/>
            <w:left w:val="none" w:sz="0" w:space="0" w:color="auto"/>
            <w:bottom w:val="none" w:sz="0" w:space="0" w:color="auto"/>
            <w:right w:val="none" w:sz="0" w:space="0" w:color="auto"/>
          </w:divBdr>
        </w:div>
        <w:div w:id="1800762162">
          <w:marLeft w:val="640"/>
          <w:marRight w:val="0"/>
          <w:marTop w:val="0"/>
          <w:marBottom w:val="0"/>
          <w:divBdr>
            <w:top w:val="none" w:sz="0" w:space="0" w:color="auto"/>
            <w:left w:val="none" w:sz="0" w:space="0" w:color="auto"/>
            <w:bottom w:val="none" w:sz="0" w:space="0" w:color="auto"/>
            <w:right w:val="none" w:sz="0" w:space="0" w:color="auto"/>
          </w:divBdr>
        </w:div>
        <w:div w:id="85856136">
          <w:marLeft w:val="640"/>
          <w:marRight w:val="0"/>
          <w:marTop w:val="0"/>
          <w:marBottom w:val="0"/>
          <w:divBdr>
            <w:top w:val="none" w:sz="0" w:space="0" w:color="auto"/>
            <w:left w:val="none" w:sz="0" w:space="0" w:color="auto"/>
            <w:bottom w:val="none" w:sz="0" w:space="0" w:color="auto"/>
            <w:right w:val="none" w:sz="0" w:space="0" w:color="auto"/>
          </w:divBdr>
        </w:div>
        <w:div w:id="362559150">
          <w:marLeft w:val="640"/>
          <w:marRight w:val="0"/>
          <w:marTop w:val="0"/>
          <w:marBottom w:val="0"/>
          <w:divBdr>
            <w:top w:val="none" w:sz="0" w:space="0" w:color="auto"/>
            <w:left w:val="none" w:sz="0" w:space="0" w:color="auto"/>
            <w:bottom w:val="none" w:sz="0" w:space="0" w:color="auto"/>
            <w:right w:val="none" w:sz="0" w:space="0" w:color="auto"/>
          </w:divBdr>
        </w:div>
        <w:div w:id="586501759">
          <w:marLeft w:val="640"/>
          <w:marRight w:val="0"/>
          <w:marTop w:val="0"/>
          <w:marBottom w:val="0"/>
          <w:divBdr>
            <w:top w:val="none" w:sz="0" w:space="0" w:color="auto"/>
            <w:left w:val="none" w:sz="0" w:space="0" w:color="auto"/>
            <w:bottom w:val="none" w:sz="0" w:space="0" w:color="auto"/>
            <w:right w:val="none" w:sz="0" w:space="0" w:color="auto"/>
          </w:divBdr>
        </w:div>
        <w:div w:id="40441530">
          <w:marLeft w:val="640"/>
          <w:marRight w:val="0"/>
          <w:marTop w:val="0"/>
          <w:marBottom w:val="0"/>
          <w:divBdr>
            <w:top w:val="none" w:sz="0" w:space="0" w:color="auto"/>
            <w:left w:val="none" w:sz="0" w:space="0" w:color="auto"/>
            <w:bottom w:val="none" w:sz="0" w:space="0" w:color="auto"/>
            <w:right w:val="none" w:sz="0" w:space="0" w:color="auto"/>
          </w:divBdr>
        </w:div>
        <w:div w:id="1474981477">
          <w:marLeft w:val="640"/>
          <w:marRight w:val="0"/>
          <w:marTop w:val="0"/>
          <w:marBottom w:val="0"/>
          <w:divBdr>
            <w:top w:val="none" w:sz="0" w:space="0" w:color="auto"/>
            <w:left w:val="none" w:sz="0" w:space="0" w:color="auto"/>
            <w:bottom w:val="none" w:sz="0" w:space="0" w:color="auto"/>
            <w:right w:val="none" w:sz="0" w:space="0" w:color="auto"/>
          </w:divBdr>
        </w:div>
        <w:div w:id="14352403">
          <w:marLeft w:val="640"/>
          <w:marRight w:val="0"/>
          <w:marTop w:val="0"/>
          <w:marBottom w:val="0"/>
          <w:divBdr>
            <w:top w:val="none" w:sz="0" w:space="0" w:color="auto"/>
            <w:left w:val="none" w:sz="0" w:space="0" w:color="auto"/>
            <w:bottom w:val="none" w:sz="0" w:space="0" w:color="auto"/>
            <w:right w:val="none" w:sz="0" w:space="0" w:color="auto"/>
          </w:divBdr>
        </w:div>
        <w:div w:id="327515282">
          <w:marLeft w:val="640"/>
          <w:marRight w:val="0"/>
          <w:marTop w:val="0"/>
          <w:marBottom w:val="0"/>
          <w:divBdr>
            <w:top w:val="none" w:sz="0" w:space="0" w:color="auto"/>
            <w:left w:val="none" w:sz="0" w:space="0" w:color="auto"/>
            <w:bottom w:val="none" w:sz="0" w:space="0" w:color="auto"/>
            <w:right w:val="none" w:sz="0" w:space="0" w:color="auto"/>
          </w:divBdr>
        </w:div>
        <w:div w:id="426847678">
          <w:marLeft w:val="640"/>
          <w:marRight w:val="0"/>
          <w:marTop w:val="0"/>
          <w:marBottom w:val="0"/>
          <w:divBdr>
            <w:top w:val="none" w:sz="0" w:space="0" w:color="auto"/>
            <w:left w:val="none" w:sz="0" w:space="0" w:color="auto"/>
            <w:bottom w:val="none" w:sz="0" w:space="0" w:color="auto"/>
            <w:right w:val="none" w:sz="0" w:space="0" w:color="auto"/>
          </w:divBdr>
        </w:div>
        <w:div w:id="2136563897">
          <w:marLeft w:val="640"/>
          <w:marRight w:val="0"/>
          <w:marTop w:val="0"/>
          <w:marBottom w:val="0"/>
          <w:divBdr>
            <w:top w:val="none" w:sz="0" w:space="0" w:color="auto"/>
            <w:left w:val="none" w:sz="0" w:space="0" w:color="auto"/>
            <w:bottom w:val="none" w:sz="0" w:space="0" w:color="auto"/>
            <w:right w:val="none" w:sz="0" w:space="0" w:color="auto"/>
          </w:divBdr>
        </w:div>
        <w:div w:id="2015256845">
          <w:marLeft w:val="640"/>
          <w:marRight w:val="0"/>
          <w:marTop w:val="0"/>
          <w:marBottom w:val="0"/>
          <w:divBdr>
            <w:top w:val="none" w:sz="0" w:space="0" w:color="auto"/>
            <w:left w:val="none" w:sz="0" w:space="0" w:color="auto"/>
            <w:bottom w:val="none" w:sz="0" w:space="0" w:color="auto"/>
            <w:right w:val="none" w:sz="0" w:space="0" w:color="auto"/>
          </w:divBdr>
        </w:div>
        <w:div w:id="1128088655">
          <w:marLeft w:val="640"/>
          <w:marRight w:val="0"/>
          <w:marTop w:val="0"/>
          <w:marBottom w:val="0"/>
          <w:divBdr>
            <w:top w:val="none" w:sz="0" w:space="0" w:color="auto"/>
            <w:left w:val="none" w:sz="0" w:space="0" w:color="auto"/>
            <w:bottom w:val="none" w:sz="0" w:space="0" w:color="auto"/>
            <w:right w:val="none" w:sz="0" w:space="0" w:color="auto"/>
          </w:divBdr>
        </w:div>
        <w:div w:id="1124544249">
          <w:marLeft w:val="640"/>
          <w:marRight w:val="0"/>
          <w:marTop w:val="0"/>
          <w:marBottom w:val="0"/>
          <w:divBdr>
            <w:top w:val="none" w:sz="0" w:space="0" w:color="auto"/>
            <w:left w:val="none" w:sz="0" w:space="0" w:color="auto"/>
            <w:bottom w:val="none" w:sz="0" w:space="0" w:color="auto"/>
            <w:right w:val="none" w:sz="0" w:space="0" w:color="auto"/>
          </w:divBdr>
        </w:div>
        <w:div w:id="1836068659">
          <w:marLeft w:val="640"/>
          <w:marRight w:val="0"/>
          <w:marTop w:val="0"/>
          <w:marBottom w:val="0"/>
          <w:divBdr>
            <w:top w:val="none" w:sz="0" w:space="0" w:color="auto"/>
            <w:left w:val="none" w:sz="0" w:space="0" w:color="auto"/>
            <w:bottom w:val="none" w:sz="0" w:space="0" w:color="auto"/>
            <w:right w:val="none" w:sz="0" w:space="0" w:color="auto"/>
          </w:divBdr>
        </w:div>
        <w:div w:id="484317570">
          <w:marLeft w:val="640"/>
          <w:marRight w:val="0"/>
          <w:marTop w:val="0"/>
          <w:marBottom w:val="0"/>
          <w:divBdr>
            <w:top w:val="none" w:sz="0" w:space="0" w:color="auto"/>
            <w:left w:val="none" w:sz="0" w:space="0" w:color="auto"/>
            <w:bottom w:val="none" w:sz="0" w:space="0" w:color="auto"/>
            <w:right w:val="none" w:sz="0" w:space="0" w:color="auto"/>
          </w:divBdr>
        </w:div>
        <w:div w:id="2048986024">
          <w:marLeft w:val="640"/>
          <w:marRight w:val="0"/>
          <w:marTop w:val="0"/>
          <w:marBottom w:val="0"/>
          <w:divBdr>
            <w:top w:val="none" w:sz="0" w:space="0" w:color="auto"/>
            <w:left w:val="none" w:sz="0" w:space="0" w:color="auto"/>
            <w:bottom w:val="none" w:sz="0" w:space="0" w:color="auto"/>
            <w:right w:val="none" w:sz="0" w:space="0" w:color="auto"/>
          </w:divBdr>
        </w:div>
        <w:div w:id="633483660">
          <w:marLeft w:val="640"/>
          <w:marRight w:val="0"/>
          <w:marTop w:val="0"/>
          <w:marBottom w:val="0"/>
          <w:divBdr>
            <w:top w:val="none" w:sz="0" w:space="0" w:color="auto"/>
            <w:left w:val="none" w:sz="0" w:space="0" w:color="auto"/>
            <w:bottom w:val="none" w:sz="0" w:space="0" w:color="auto"/>
            <w:right w:val="none" w:sz="0" w:space="0" w:color="auto"/>
          </w:divBdr>
        </w:div>
        <w:div w:id="1998486424">
          <w:marLeft w:val="640"/>
          <w:marRight w:val="0"/>
          <w:marTop w:val="0"/>
          <w:marBottom w:val="0"/>
          <w:divBdr>
            <w:top w:val="none" w:sz="0" w:space="0" w:color="auto"/>
            <w:left w:val="none" w:sz="0" w:space="0" w:color="auto"/>
            <w:bottom w:val="none" w:sz="0" w:space="0" w:color="auto"/>
            <w:right w:val="none" w:sz="0" w:space="0" w:color="auto"/>
          </w:divBdr>
        </w:div>
        <w:div w:id="4019696">
          <w:marLeft w:val="640"/>
          <w:marRight w:val="0"/>
          <w:marTop w:val="0"/>
          <w:marBottom w:val="0"/>
          <w:divBdr>
            <w:top w:val="none" w:sz="0" w:space="0" w:color="auto"/>
            <w:left w:val="none" w:sz="0" w:space="0" w:color="auto"/>
            <w:bottom w:val="none" w:sz="0" w:space="0" w:color="auto"/>
            <w:right w:val="none" w:sz="0" w:space="0" w:color="auto"/>
          </w:divBdr>
        </w:div>
        <w:div w:id="1958439433">
          <w:marLeft w:val="640"/>
          <w:marRight w:val="0"/>
          <w:marTop w:val="0"/>
          <w:marBottom w:val="0"/>
          <w:divBdr>
            <w:top w:val="none" w:sz="0" w:space="0" w:color="auto"/>
            <w:left w:val="none" w:sz="0" w:space="0" w:color="auto"/>
            <w:bottom w:val="none" w:sz="0" w:space="0" w:color="auto"/>
            <w:right w:val="none" w:sz="0" w:space="0" w:color="auto"/>
          </w:divBdr>
        </w:div>
        <w:div w:id="354771159">
          <w:marLeft w:val="640"/>
          <w:marRight w:val="0"/>
          <w:marTop w:val="0"/>
          <w:marBottom w:val="0"/>
          <w:divBdr>
            <w:top w:val="none" w:sz="0" w:space="0" w:color="auto"/>
            <w:left w:val="none" w:sz="0" w:space="0" w:color="auto"/>
            <w:bottom w:val="none" w:sz="0" w:space="0" w:color="auto"/>
            <w:right w:val="none" w:sz="0" w:space="0" w:color="auto"/>
          </w:divBdr>
        </w:div>
        <w:div w:id="1624463401">
          <w:marLeft w:val="640"/>
          <w:marRight w:val="0"/>
          <w:marTop w:val="0"/>
          <w:marBottom w:val="0"/>
          <w:divBdr>
            <w:top w:val="none" w:sz="0" w:space="0" w:color="auto"/>
            <w:left w:val="none" w:sz="0" w:space="0" w:color="auto"/>
            <w:bottom w:val="none" w:sz="0" w:space="0" w:color="auto"/>
            <w:right w:val="none" w:sz="0" w:space="0" w:color="auto"/>
          </w:divBdr>
        </w:div>
        <w:div w:id="1094475239">
          <w:marLeft w:val="640"/>
          <w:marRight w:val="0"/>
          <w:marTop w:val="0"/>
          <w:marBottom w:val="0"/>
          <w:divBdr>
            <w:top w:val="none" w:sz="0" w:space="0" w:color="auto"/>
            <w:left w:val="none" w:sz="0" w:space="0" w:color="auto"/>
            <w:bottom w:val="none" w:sz="0" w:space="0" w:color="auto"/>
            <w:right w:val="none" w:sz="0" w:space="0" w:color="auto"/>
          </w:divBdr>
        </w:div>
        <w:div w:id="1942371499">
          <w:marLeft w:val="640"/>
          <w:marRight w:val="0"/>
          <w:marTop w:val="0"/>
          <w:marBottom w:val="0"/>
          <w:divBdr>
            <w:top w:val="none" w:sz="0" w:space="0" w:color="auto"/>
            <w:left w:val="none" w:sz="0" w:space="0" w:color="auto"/>
            <w:bottom w:val="none" w:sz="0" w:space="0" w:color="auto"/>
            <w:right w:val="none" w:sz="0" w:space="0" w:color="auto"/>
          </w:divBdr>
        </w:div>
        <w:div w:id="1616519913">
          <w:marLeft w:val="640"/>
          <w:marRight w:val="0"/>
          <w:marTop w:val="0"/>
          <w:marBottom w:val="0"/>
          <w:divBdr>
            <w:top w:val="none" w:sz="0" w:space="0" w:color="auto"/>
            <w:left w:val="none" w:sz="0" w:space="0" w:color="auto"/>
            <w:bottom w:val="none" w:sz="0" w:space="0" w:color="auto"/>
            <w:right w:val="none" w:sz="0" w:space="0" w:color="auto"/>
          </w:divBdr>
        </w:div>
        <w:div w:id="1363703204">
          <w:marLeft w:val="640"/>
          <w:marRight w:val="0"/>
          <w:marTop w:val="0"/>
          <w:marBottom w:val="0"/>
          <w:divBdr>
            <w:top w:val="none" w:sz="0" w:space="0" w:color="auto"/>
            <w:left w:val="none" w:sz="0" w:space="0" w:color="auto"/>
            <w:bottom w:val="none" w:sz="0" w:space="0" w:color="auto"/>
            <w:right w:val="none" w:sz="0" w:space="0" w:color="auto"/>
          </w:divBdr>
        </w:div>
        <w:div w:id="1110660737">
          <w:marLeft w:val="640"/>
          <w:marRight w:val="0"/>
          <w:marTop w:val="0"/>
          <w:marBottom w:val="0"/>
          <w:divBdr>
            <w:top w:val="none" w:sz="0" w:space="0" w:color="auto"/>
            <w:left w:val="none" w:sz="0" w:space="0" w:color="auto"/>
            <w:bottom w:val="none" w:sz="0" w:space="0" w:color="auto"/>
            <w:right w:val="none" w:sz="0" w:space="0" w:color="auto"/>
          </w:divBdr>
        </w:div>
        <w:div w:id="1020861105">
          <w:marLeft w:val="640"/>
          <w:marRight w:val="0"/>
          <w:marTop w:val="0"/>
          <w:marBottom w:val="0"/>
          <w:divBdr>
            <w:top w:val="none" w:sz="0" w:space="0" w:color="auto"/>
            <w:left w:val="none" w:sz="0" w:space="0" w:color="auto"/>
            <w:bottom w:val="none" w:sz="0" w:space="0" w:color="auto"/>
            <w:right w:val="none" w:sz="0" w:space="0" w:color="auto"/>
          </w:divBdr>
        </w:div>
        <w:div w:id="926426472">
          <w:marLeft w:val="640"/>
          <w:marRight w:val="0"/>
          <w:marTop w:val="0"/>
          <w:marBottom w:val="0"/>
          <w:divBdr>
            <w:top w:val="none" w:sz="0" w:space="0" w:color="auto"/>
            <w:left w:val="none" w:sz="0" w:space="0" w:color="auto"/>
            <w:bottom w:val="none" w:sz="0" w:space="0" w:color="auto"/>
            <w:right w:val="none" w:sz="0" w:space="0" w:color="auto"/>
          </w:divBdr>
        </w:div>
        <w:div w:id="1944459358">
          <w:marLeft w:val="640"/>
          <w:marRight w:val="0"/>
          <w:marTop w:val="0"/>
          <w:marBottom w:val="0"/>
          <w:divBdr>
            <w:top w:val="none" w:sz="0" w:space="0" w:color="auto"/>
            <w:left w:val="none" w:sz="0" w:space="0" w:color="auto"/>
            <w:bottom w:val="none" w:sz="0" w:space="0" w:color="auto"/>
            <w:right w:val="none" w:sz="0" w:space="0" w:color="auto"/>
          </w:divBdr>
        </w:div>
        <w:div w:id="1381439609">
          <w:marLeft w:val="640"/>
          <w:marRight w:val="0"/>
          <w:marTop w:val="0"/>
          <w:marBottom w:val="0"/>
          <w:divBdr>
            <w:top w:val="none" w:sz="0" w:space="0" w:color="auto"/>
            <w:left w:val="none" w:sz="0" w:space="0" w:color="auto"/>
            <w:bottom w:val="none" w:sz="0" w:space="0" w:color="auto"/>
            <w:right w:val="none" w:sz="0" w:space="0" w:color="auto"/>
          </w:divBdr>
        </w:div>
        <w:div w:id="1027216479">
          <w:marLeft w:val="640"/>
          <w:marRight w:val="0"/>
          <w:marTop w:val="0"/>
          <w:marBottom w:val="0"/>
          <w:divBdr>
            <w:top w:val="none" w:sz="0" w:space="0" w:color="auto"/>
            <w:left w:val="none" w:sz="0" w:space="0" w:color="auto"/>
            <w:bottom w:val="none" w:sz="0" w:space="0" w:color="auto"/>
            <w:right w:val="none" w:sz="0" w:space="0" w:color="auto"/>
          </w:divBdr>
        </w:div>
        <w:div w:id="745959447">
          <w:marLeft w:val="640"/>
          <w:marRight w:val="0"/>
          <w:marTop w:val="0"/>
          <w:marBottom w:val="0"/>
          <w:divBdr>
            <w:top w:val="none" w:sz="0" w:space="0" w:color="auto"/>
            <w:left w:val="none" w:sz="0" w:space="0" w:color="auto"/>
            <w:bottom w:val="none" w:sz="0" w:space="0" w:color="auto"/>
            <w:right w:val="none" w:sz="0" w:space="0" w:color="auto"/>
          </w:divBdr>
        </w:div>
        <w:div w:id="1977877105">
          <w:marLeft w:val="640"/>
          <w:marRight w:val="0"/>
          <w:marTop w:val="0"/>
          <w:marBottom w:val="0"/>
          <w:divBdr>
            <w:top w:val="none" w:sz="0" w:space="0" w:color="auto"/>
            <w:left w:val="none" w:sz="0" w:space="0" w:color="auto"/>
            <w:bottom w:val="none" w:sz="0" w:space="0" w:color="auto"/>
            <w:right w:val="none" w:sz="0" w:space="0" w:color="auto"/>
          </w:divBdr>
        </w:div>
        <w:div w:id="394015619">
          <w:marLeft w:val="640"/>
          <w:marRight w:val="0"/>
          <w:marTop w:val="0"/>
          <w:marBottom w:val="0"/>
          <w:divBdr>
            <w:top w:val="none" w:sz="0" w:space="0" w:color="auto"/>
            <w:left w:val="none" w:sz="0" w:space="0" w:color="auto"/>
            <w:bottom w:val="none" w:sz="0" w:space="0" w:color="auto"/>
            <w:right w:val="none" w:sz="0" w:space="0" w:color="auto"/>
          </w:divBdr>
        </w:div>
        <w:div w:id="1241139126">
          <w:marLeft w:val="640"/>
          <w:marRight w:val="0"/>
          <w:marTop w:val="0"/>
          <w:marBottom w:val="0"/>
          <w:divBdr>
            <w:top w:val="none" w:sz="0" w:space="0" w:color="auto"/>
            <w:left w:val="none" w:sz="0" w:space="0" w:color="auto"/>
            <w:bottom w:val="none" w:sz="0" w:space="0" w:color="auto"/>
            <w:right w:val="none" w:sz="0" w:space="0" w:color="auto"/>
          </w:divBdr>
        </w:div>
        <w:div w:id="1756440382">
          <w:marLeft w:val="640"/>
          <w:marRight w:val="0"/>
          <w:marTop w:val="0"/>
          <w:marBottom w:val="0"/>
          <w:divBdr>
            <w:top w:val="none" w:sz="0" w:space="0" w:color="auto"/>
            <w:left w:val="none" w:sz="0" w:space="0" w:color="auto"/>
            <w:bottom w:val="none" w:sz="0" w:space="0" w:color="auto"/>
            <w:right w:val="none" w:sz="0" w:space="0" w:color="auto"/>
          </w:divBdr>
        </w:div>
        <w:div w:id="520094331">
          <w:marLeft w:val="640"/>
          <w:marRight w:val="0"/>
          <w:marTop w:val="0"/>
          <w:marBottom w:val="0"/>
          <w:divBdr>
            <w:top w:val="none" w:sz="0" w:space="0" w:color="auto"/>
            <w:left w:val="none" w:sz="0" w:space="0" w:color="auto"/>
            <w:bottom w:val="none" w:sz="0" w:space="0" w:color="auto"/>
            <w:right w:val="none" w:sz="0" w:space="0" w:color="auto"/>
          </w:divBdr>
        </w:div>
        <w:div w:id="940346">
          <w:marLeft w:val="640"/>
          <w:marRight w:val="0"/>
          <w:marTop w:val="0"/>
          <w:marBottom w:val="0"/>
          <w:divBdr>
            <w:top w:val="none" w:sz="0" w:space="0" w:color="auto"/>
            <w:left w:val="none" w:sz="0" w:space="0" w:color="auto"/>
            <w:bottom w:val="none" w:sz="0" w:space="0" w:color="auto"/>
            <w:right w:val="none" w:sz="0" w:space="0" w:color="auto"/>
          </w:divBdr>
        </w:div>
        <w:div w:id="1560483447">
          <w:marLeft w:val="640"/>
          <w:marRight w:val="0"/>
          <w:marTop w:val="0"/>
          <w:marBottom w:val="0"/>
          <w:divBdr>
            <w:top w:val="none" w:sz="0" w:space="0" w:color="auto"/>
            <w:left w:val="none" w:sz="0" w:space="0" w:color="auto"/>
            <w:bottom w:val="none" w:sz="0" w:space="0" w:color="auto"/>
            <w:right w:val="none" w:sz="0" w:space="0" w:color="auto"/>
          </w:divBdr>
        </w:div>
        <w:div w:id="887375886">
          <w:marLeft w:val="640"/>
          <w:marRight w:val="0"/>
          <w:marTop w:val="0"/>
          <w:marBottom w:val="0"/>
          <w:divBdr>
            <w:top w:val="none" w:sz="0" w:space="0" w:color="auto"/>
            <w:left w:val="none" w:sz="0" w:space="0" w:color="auto"/>
            <w:bottom w:val="none" w:sz="0" w:space="0" w:color="auto"/>
            <w:right w:val="none" w:sz="0" w:space="0" w:color="auto"/>
          </w:divBdr>
        </w:div>
        <w:div w:id="345333343">
          <w:marLeft w:val="640"/>
          <w:marRight w:val="0"/>
          <w:marTop w:val="0"/>
          <w:marBottom w:val="0"/>
          <w:divBdr>
            <w:top w:val="none" w:sz="0" w:space="0" w:color="auto"/>
            <w:left w:val="none" w:sz="0" w:space="0" w:color="auto"/>
            <w:bottom w:val="none" w:sz="0" w:space="0" w:color="auto"/>
            <w:right w:val="none" w:sz="0" w:space="0" w:color="auto"/>
          </w:divBdr>
        </w:div>
        <w:div w:id="352532307">
          <w:marLeft w:val="640"/>
          <w:marRight w:val="0"/>
          <w:marTop w:val="0"/>
          <w:marBottom w:val="0"/>
          <w:divBdr>
            <w:top w:val="none" w:sz="0" w:space="0" w:color="auto"/>
            <w:left w:val="none" w:sz="0" w:space="0" w:color="auto"/>
            <w:bottom w:val="none" w:sz="0" w:space="0" w:color="auto"/>
            <w:right w:val="none" w:sz="0" w:space="0" w:color="auto"/>
          </w:divBdr>
        </w:div>
        <w:div w:id="1320887923">
          <w:marLeft w:val="640"/>
          <w:marRight w:val="0"/>
          <w:marTop w:val="0"/>
          <w:marBottom w:val="0"/>
          <w:divBdr>
            <w:top w:val="none" w:sz="0" w:space="0" w:color="auto"/>
            <w:left w:val="none" w:sz="0" w:space="0" w:color="auto"/>
            <w:bottom w:val="none" w:sz="0" w:space="0" w:color="auto"/>
            <w:right w:val="none" w:sz="0" w:space="0" w:color="auto"/>
          </w:divBdr>
        </w:div>
        <w:div w:id="778792954">
          <w:marLeft w:val="640"/>
          <w:marRight w:val="0"/>
          <w:marTop w:val="0"/>
          <w:marBottom w:val="0"/>
          <w:divBdr>
            <w:top w:val="none" w:sz="0" w:space="0" w:color="auto"/>
            <w:left w:val="none" w:sz="0" w:space="0" w:color="auto"/>
            <w:bottom w:val="none" w:sz="0" w:space="0" w:color="auto"/>
            <w:right w:val="none" w:sz="0" w:space="0" w:color="auto"/>
          </w:divBdr>
        </w:div>
        <w:div w:id="126975050">
          <w:marLeft w:val="640"/>
          <w:marRight w:val="0"/>
          <w:marTop w:val="0"/>
          <w:marBottom w:val="0"/>
          <w:divBdr>
            <w:top w:val="none" w:sz="0" w:space="0" w:color="auto"/>
            <w:left w:val="none" w:sz="0" w:space="0" w:color="auto"/>
            <w:bottom w:val="none" w:sz="0" w:space="0" w:color="auto"/>
            <w:right w:val="none" w:sz="0" w:space="0" w:color="auto"/>
          </w:divBdr>
        </w:div>
        <w:div w:id="148837321">
          <w:marLeft w:val="640"/>
          <w:marRight w:val="0"/>
          <w:marTop w:val="0"/>
          <w:marBottom w:val="0"/>
          <w:divBdr>
            <w:top w:val="none" w:sz="0" w:space="0" w:color="auto"/>
            <w:left w:val="none" w:sz="0" w:space="0" w:color="auto"/>
            <w:bottom w:val="none" w:sz="0" w:space="0" w:color="auto"/>
            <w:right w:val="none" w:sz="0" w:space="0" w:color="auto"/>
          </w:divBdr>
        </w:div>
        <w:div w:id="282276900">
          <w:marLeft w:val="640"/>
          <w:marRight w:val="0"/>
          <w:marTop w:val="0"/>
          <w:marBottom w:val="0"/>
          <w:divBdr>
            <w:top w:val="none" w:sz="0" w:space="0" w:color="auto"/>
            <w:left w:val="none" w:sz="0" w:space="0" w:color="auto"/>
            <w:bottom w:val="none" w:sz="0" w:space="0" w:color="auto"/>
            <w:right w:val="none" w:sz="0" w:space="0" w:color="auto"/>
          </w:divBdr>
        </w:div>
        <w:div w:id="1797260640">
          <w:marLeft w:val="640"/>
          <w:marRight w:val="0"/>
          <w:marTop w:val="0"/>
          <w:marBottom w:val="0"/>
          <w:divBdr>
            <w:top w:val="none" w:sz="0" w:space="0" w:color="auto"/>
            <w:left w:val="none" w:sz="0" w:space="0" w:color="auto"/>
            <w:bottom w:val="none" w:sz="0" w:space="0" w:color="auto"/>
            <w:right w:val="none" w:sz="0" w:space="0" w:color="auto"/>
          </w:divBdr>
        </w:div>
        <w:div w:id="1890798161">
          <w:marLeft w:val="640"/>
          <w:marRight w:val="0"/>
          <w:marTop w:val="0"/>
          <w:marBottom w:val="0"/>
          <w:divBdr>
            <w:top w:val="none" w:sz="0" w:space="0" w:color="auto"/>
            <w:left w:val="none" w:sz="0" w:space="0" w:color="auto"/>
            <w:bottom w:val="none" w:sz="0" w:space="0" w:color="auto"/>
            <w:right w:val="none" w:sz="0" w:space="0" w:color="auto"/>
          </w:divBdr>
        </w:div>
        <w:div w:id="641621950">
          <w:marLeft w:val="640"/>
          <w:marRight w:val="0"/>
          <w:marTop w:val="0"/>
          <w:marBottom w:val="0"/>
          <w:divBdr>
            <w:top w:val="none" w:sz="0" w:space="0" w:color="auto"/>
            <w:left w:val="none" w:sz="0" w:space="0" w:color="auto"/>
            <w:bottom w:val="none" w:sz="0" w:space="0" w:color="auto"/>
            <w:right w:val="none" w:sz="0" w:space="0" w:color="auto"/>
          </w:divBdr>
        </w:div>
        <w:div w:id="2005889320">
          <w:marLeft w:val="640"/>
          <w:marRight w:val="0"/>
          <w:marTop w:val="0"/>
          <w:marBottom w:val="0"/>
          <w:divBdr>
            <w:top w:val="none" w:sz="0" w:space="0" w:color="auto"/>
            <w:left w:val="none" w:sz="0" w:space="0" w:color="auto"/>
            <w:bottom w:val="none" w:sz="0" w:space="0" w:color="auto"/>
            <w:right w:val="none" w:sz="0" w:space="0" w:color="auto"/>
          </w:divBdr>
        </w:div>
        <w:div w:id="359548292">
          <w:marLeft w:val="640"/>
          <w:marRight w:val="0"/>
          <w:marTop w:val="0"/>
          <w:marBottom w:val="0"/>
          <w:divBdr>
            <w:top w:val="none" w:sz="0" w:space="0" w:color="auto"/>
            <w:left w:val="none" w:sz="0" w:space="0" w:color="auto"/>
            <w:bottom w:val="none" w:sz="0" w:space="0" w:color="auto"/>
            <w:right w:val="none" w:sz="0" w:space="0" w:color="auto"/>
          </w:divBdr>
        </w:div>
        <w:div w:id="1344890922">
          <w:marLeft w:val="640"/>
          <w:marRight w:val="0"/>
          <w:marTop w:val="0"/>
          <w:marBottom w:val="0"/>
          <w:divBdr>
            <w:top w:val="none" w:sz="0" w:space="0" w:color="auto"/>
            <w:left w:val="none" w:sz="0" w:space="0" w:color="auto"/>
            <w:bottom w:val="none" w:sz="0" w:space="0" w:color="auto"/>
            <w:right w:val="none" w:sz="0" w:space="0" w:color="auto"/>
          </w:divBdr>
        </w:div>
        <w:div w:id="64961208">
          <w:marLeft w:val="640"/>
          <w:marRight w:val="0"/>
          <w:marTop w:val="0"/>
          <w:marBottom w:val="0"/>
          <w:divBdr>
            <w:top w:val="none" w:sz="0" w:space="0" w:color="auto"/>
            <w:left w:val="none" w:sz="0" w:space="0" w:color="auto"/>
            <w:bottom w:val="none" w:sz="0" w:space="0" w:color="auto"/>
            <w:right w:val="none" w:sz="0" w:space="0" w:color="auto"/>
          </w:divBdr>
        </w:div>
        <w:div w:id="1104809281">
          <w:marLeft w:val="640"/>
          <w:marRight w:val="0"/>
          <w:marTop w:val="0"/>
          <w:marBottom w:val="0"/>
          <w:divBdr>
            <w:top w:val="none" w:sz="0" w:space="0" w:color="auto"/>
            <w:left w:val="none" w:sz="0" w:space="0" w:color="auto"/>
            <w:bottom w:val="none" w:sz="0" w:space="0" w:color="auto"/>
            <w:right w:val="none" w:sz="0" w:space="0" w:color="auto"/>
          </w:divBdr>
        </w:div>
        <w:div w:id="1888835599">
          <w:marLeft w:val="640"/>
          <w:marRight w:val="0"/>
          <w:marTop w:val="0"/>
          <w:marBottom w:val="0"/>
          <w:divBdr>
            <w:top w:val="none" w:sz="0" w:space="0" w:color="auto"/>
            <w:left w:val="none" w:sz="0" w:space="0" w:color="auto"/>
            <w:bottom w:val="none" w:sz="0" w:space="0" w:color="auto"/>
            <w:right w:val="none" w:sz="0" w:space="0" w:color="auto"/>
          </w:divBdr>
        </w:div>
        <w:div w:id="796684806">
          <w:marLeft w:val="640"/>
          <w:marRight w:val="0"/>
          <w:marTop w:val="0"/>
          <w:marBottom w:val="0"/>
          <w:divBdr>
            <w:top w:val="none" w:sz="0" w:space="0" w:color="auto"/>
            <w:left w:val="none" w:sz="0" w:space="0" w:color="auto"/>
            <w:bottom w:val="none" w:sz="0" w:space="0" w:color="auto"/>
            <w:right w:val="none" w:sz="0" w:space="0" w:color="auto"/>
          </w:divBdr>
        </w:div>
        <w:div w:id="1654216058">
          <w:marLeft w:val="640"/>
          <w:marRight w:val="0"/>
          <w:marTop w:val="0"/>
          <w:marBottom w:val="0"/>
          <w:divBdr>
            <w:top w:val="none" w:sz="0" w:space="0" w:color="auto"/>
            <w:left w:val="none" w:sz="0" w:space="0" w:color="auto"/>
            <w:bottom w:val="none" w:sz="0" w:space="0" w:color="auto"/>
            <w:right w:val="none" w:sz="0" w:space="0" w:color="auto"/>
          </w:divBdr>
        </w:div>
        <w:div w:id="1542092868">
          <w:marLeft w:val="640"/>
          <w:marRight w:val="0"/>
          <w:marTop w:val="0"/>
          <w:marBottom w:val="0"/>
          <w:divBdr>
            <w:top w:val="none" w:sz="0" w:space="0" w:color="auto"/>
            <w:left w:val="none" w:sz="0" w:space="0" w:color="auto"/>
            <w:bottom w:val="none" w:sz="0" w:space="0" w:color="auto"/>
            <w:right w:val="none" w:sz="0" w:space="0" w:color="auto"/>
          </w:divBdr>
        </w:div>
        <w:div w:id="2085568170">
          <w:marLeft w:val="640"/>
          <w:marRight w:val="0"/>
          <w:marTop w:val="0"/>
          <w:marBottom w:val="0"/>
          <w:divBdr>
            <w:top w:val="none" w:sz="0" w:space="0" w:color="auto"/>
            <w:left w:val="none" w:sz="0" w:space="0" w:color="auto"/>
            <w:bottom w:val="none" w:sz="0" w:space="0" w:color="auto"/>
            <w:right w:val="none" w:sz="0" w:space="0" w:color="auto"/>
          </w:divBdr>
        </w:div>
        <w:div w:id="1799376269">
          <w:marLeft w:val="640"/>
          <w:marRight w:val="0"/>
          <w:marTop w:val="0"/>
          <w:marBottom w:val="0"/>
          <w:divBdr>
            <w:top w:val="none" w:sz="0" w:space="0" w:color="auto"/>
            <w:left w:val="none" w:sz="0" w:space="0" w:color="auto"/>
            <w:bottom w:val="none" w:sz="0" w:space="0" w:color="auto"/>
            <w:right w:val="none" w:sz="0" w:space="0" w:color="auto"/>
          </w:divBdr>
        </w:div>
        <w:div w:id="140587560">
          <w:marLeft w:val="640"/>
          <w:marRight w:val="0"/>
          <w:marTop w:val="0"/>
          <w:marBottom w:val="0"/>
          <w:divBdr>
            <w:top w:val="none" w:sz="0" w:space="0" w:color="auto"/>
            <w:left w:val="none" w:sz="0" w:space="0" w:color="auto"/>
            <w:bottom w:val="none" w:sz="0" w:space="0" w:color="auto"/>
            <w:right w:val="none" w:sz="0" w:space="0" w:color="auto"/>
          </w:divBdr>
        </w:div>
        <w:div w:id="1753427739">
          <w:marLeft w:val="640"/>
          <w:marRight w:val="0"/>
          <w:marTop w:val="0"/>
          <w:marBottom w:val="0"/>
          <w:divBdr>
            <w:top w:val="none" w:sz="0" w:space="0" w:color="auto"/>
            <w:left w:val="none" w:sz="0" w:space="0" w:color="auto"/>
            <w:bottom w:val="none" w:sz="0" w:space="0" w:color="auto"/>
            <w:right w:val="none" w:sz="0" w:space="0" w:color="auto"/>
          </w:divBdr>
        </w:div>
        <w:div w:id="1506742627">
          <w:marLeft w:val="640"/>
          <w:marRight w:val="0"/>
          <w:marTop w:val="0"/>
          <w:marBottom w:val="0"/>
          <w:divBdr>
            <w:top w:val="none" w:sz="0" w:space="0" w:color="auto"/>
            <w:left w:val="none" w:sz="0" w:space="0" w:color="auto"/>
            <w:bottom w:val="none" w:sz="0" w:space="0" w:color="auto"/>
            <w:right w:val="none" w:sz="0" w:space="0" w:color="auto"/>
          </w:divBdr>
        </w:div>
        <w:div w:id="737364341">
          <w:marLeft w:val="640"/>
          <w:marRight w:val="0"/>
          <w:marTop w:val="0"/>
          <w:marBottom w:val="0"/>
          <w:divBdr>
            <w:top w:val="none" w:sz="0" w:space="0" w:color="auto"/>
            <w:left w:val="none" w:sz="0" w:space="0" w:color="auto"/>
            <w:bottom w:val="none" w:sz="0" w:space="0" w:color="auto"/>
            <w:right w:val="none" w:sz="0" w:space="0" w:color="auto"/>
          </w:divBdr>
        </w:div>
        <w:div w:id="1532764667">
          <w:marLeft w:val="640"/>
          <w:marRight w:val="0"/>
          <w:marTop w:val="0"/>
          <w:marBottom w:val="0"/>
          <w:divBdr>
            <w:top w:val="none" w:sz="0" w:space="0" w:color="auto"/>
            <w:left w:val="none" w:sz="0" w:space="0" w:color="auto"/>
            <w:bottom w:val="none" w:sz="0" w:space="0" w:color="auto"/>
            <w:right w:val="none" w:sz="0" w:space="0" w:color="auto"/>
          </w:divBdr>
        </w:div>
        <w:div w:id="199560630">
          <w:marLeft w:val="640"/>
          <w:marRight w:val="0"/>
          <w:marTop w:val="0"/>
          <w:marBottom w:val="0"/>
          <w:divBdr>
            <w:top w:val="none" w:sz="0" w:space="0" w:color="auto"/>
            <w:left w:val="none" w:sz="0" w:space="0" w:color="auto"/>
            <w:bottom w:val="none" w:sz="0" w:space="0" w:color="auto"/>
            <w:right w:val="none" w:sz="0" w:space="0" w:color="auto"/>
          </w:divBdr>
        </w:div>
        <w:div w:id="526526465">
          <w:marLeft w:val="640"/>
          <w:marRight w:val="0"/>
          <w:marTop w:val="0"/>
          <w:marBottom w:val="0"/>
          <w:divBdr>
            <w:top w:val="none" w:sz="0" w:space="0" w:color="auto"/>
            <w:left w:val="none" w:sz="0" w:space="0" w:color="auto"/>
            <w:bottom w:val="none" w:sz="0" w:space="0" w:color="auto"/>
            <w:right w:val="none" w:sz="0" w:space="0" w:color="auto"/>
          </w:divBdr>
        </w:div>
        <w:div w:id="1493332318">
          <w:marLeft w:val="640"/>
          <w:marRight w:val="0"/>
          <w:marTop w:val="0"/>
          <w:marBottom w:val="0"/>
          <w:divBdr>
            <w:top w:val="none" w:sz="0" w:space="0" w:color="auto"/>
            <w:left w:val="none" w:sz="0" w:space="0" w:color="auto"/>
            <w:bottom w:val="none" w:sz="0" w:space="0" w:color="auto"/>
            <w:right w:val="none" w:sz="0" w:space="0" w:color="auto"/>
          </w:divBdr>
        </w:div>
        <w:div w:id="1185822328">
          <w:marLeft w:val="640"/>
          <w:marRight w:val="0"/>
          <w:marTop w:val="0"/>
          <w:marBottom w:val="0"/>
          <w:divBdr>
            <w:top w:val="none" w:sz="0" w:space="0" w:color="auto"/>
            <w:left w:val="none" w:sz="0" w:space="0" w:color="auto"/>
            <w:bottom w:val="none" w:sz="0" w:space="0" w:color="auto"/>
            <w:right w:val="none" w:sz="0" w:space="0" w:color="auto"/>
          </w:divBdr>
        </w:div>
        <w:div w:id="881021643">
          <w:marLeft w:val="640"/>
          <w:marRight w:val="0"/>
          <w:marTop w:val="0"/>
          <w:marBottom w:val="0"/>
          <w:divBdr>
            <w:top w:val="none" w:sz="0" w:space="0" w:color="auto"/>
            <w:left w:val="none" w:sz="0" w:space="0" w:color="auto"/>
            <w:bottom w:val="none" w:sz="0" w:space="0" w:color="auto"/>
            <w:right w:val="none" w:sz="0" w:space="0" w:color="auto"/>
          </w:divBdr>
        </w:div>
        <w:div w:id="2136555560">
          <w:marLeft w:val="640"/>
          <w:marRight w:val="0"/>
          <w:marTop w:val="0"/>
          <w:marBottom w:val="0"/>
          <w:divBdr>
            <w:top w:val="none" w:sz="0" w:space="0" w:color="auto"/>
            <w:left w:val="none" w:sz="0" w:space="0" w:color="auto"/>
            <w:bottom w:val="none" w:sz="0" w:space="0" w:color="auto"/>
            <w:right w:val="none" w:sz="0" w:space="0" w:color="auto"/>
          </w:divBdr>
        </w:div>
        <w:div w:id="38211703">
          <w:marLeft w:val="640"/>
          <w:marRight w:val="0"/>
          <w:marTop w:val="0"/>
          <w:marBottom w:val="0"/>
          <w:divBdr>
            <w:top w:val="none" w:sz="0" w:space="0" w:color="auto"/>
            <w:left w:val="none" w:sz="0" w:space="0" w:color="auto"/>
            <w:bottom w:val="none" w:sz="0" w:space="0" w:color="auto"/>
            <w:right w:val="none" w:sz="0" w:space="0" w:color="auto"/>
          </w:divBdr>
        </w:div>
        <w:div w:id="678583585">
          <w:marLeft w:val="640"/>
          <w:marRight w:val="0"/>
          <w:marTop w:val="0"/>
          <w:marBottom w:val="0"/>
          <w:divBdr>
            <w:top w:val="none" w:sz="0" w:space="0" w:color="auto"/>
            <w:left w:val="none" w:sz="0" w:space="0" w:color="auto"/>
            <w:bottom w:val="none" w:sz="0" w:space="0" w:color="auto"/>
            <w:right w:val="none" w:sz="0" w:space="0" w:color="auto"/>
          </w:divBdr>
        </w:div>
        <w:div w:id="1358847311">
          <w:marLeft w:val="640"/>
          <w:marRight w:val="0"/>
          <w:marTop w:val="0"/>
          <w:marBottom w:val="0"/>
          <w:divBdr>
            <w:top w:val="none" w:sz="0" w:space="0" w:color="auto"/>
            <w:left w:val="none" w:sz="0" w:space="0" w:color="auto"/>
            <w:bottom w:val="none" w:sz="0" w:space="0" w:color="auto"/>
            <w:right w:val="none" w:sz="0" w:space="0" w:color="auto"/>
          </w:divBdr>
        </w:div>
        <w:div w:id="1499081941">
          <w:marLeft w:val="640"/>
          <w:marRight w:val="0"/>
          <w:marTop w:val="0"/>
          <w:marBottom w:val="0"/>
          <w:divBdr>
            <w:top w:val="none" w:sz="0" w:space="0" w:color="auto"/>
            <w:left w:val="none" w:sz="0" w:space="0" w:color="auto"/>
            <w:bottom w:val="none" w:sz="0" w:space="0" w:color="auto"/>
            <w:right w:val="none" w:sz="0" w:space="0" w:color="auto"/>
          </w:divBdr>
        </w:div>
        <w:div w:id="657267305">
          <w:marLeft w:val="640"/>
          <w:marRight w:val="0"/>
          <w:marTop w:val="0"/>
          <w:marBottom w:val="0"/>
          <w:divBdr>
            <w:top w:val="none" w:sz="0" w:space="0" w:color="auto"/>
            <w:left w:val="none" w:sz="0" w:space="0" w:color="auto"/>
            <w:bottom w:val="none" w:sz="0" w:space="0" w:color="auto"/>
            <w:right w:val="none" w:sz="0" w:space="0" w:color="auto"/>
          </w:divBdr>
        </w:div>
        <w:div w:id="1090849869">
          <w:marLeft w:val="640"/>
          <w:marRight w:val="0"/>
          <w:marTop w:val="0"/>
          <w:marBottom w:val="0"/>
          <w:divBdr>
            <w:top w:val="none" w:sz="0" w:space="0" w:color="auto"/>
            <w:left w:val="none" w:sz="0" w:space="0" w:color="auto"/>
            <w:bottom w:val="none" w:sz="0" w:space="0" w:color="auto"/>
            <w:right w:val="none" w:sz="0" w:space="0" w:color="auto"/>
          </w:divBdr>
        </w:div>
        <w:div w:id="460459295">
          <w:marLeft w:val="640"/>
          <w:marRight w:val="0"/>
          <w:marTop w:val="0"/>
          <w:marBottom w:val="0"/>
          <w:divBdr>
            <w:top w:val="none" w:sz="0" w:space="0" w:color="auto"/>
            <w:left w:val="none" w:sz="0" w:space="0" w:color="auto"/>
            <w:bottom w:val="none" w:sz="0" w:space="0" w:color="auto"/>
            <w:right w:val="none" w:sz="0" w:space="0" w:color="auto"/>
          </w:divBdr>
        </w:div>
        <w:div w:id="12806202">
          <w:marLeft w:val="640"/>
          <w:marRight w:val="0"/>
          <w:marTop w:val="0"/>
          <w:marBottom w:val="0"/>
          <w:divBdr>
            <w:top w:val="none" w:sz="0" w:space="0" w:color="auto"/>
            <w:left w:val="none" w:sz="0" w:space="0" w:color="auto"/>
            <w:bottom w:val="none" w:sz="0" w:space="0" w:color="auto"/>
            <w:right w:val="none" w:sz="0" w:space="0" w:color="auto"/>
          </w:divBdr>
        </w:div>
        <w:div w:id="1226911500">
          <w:marLeft w:val="640"/>
          <w:marRight w:val="0"/>
          <w:marTop w:val="0"/>
          <w:marBottom w:val="0"/>
          <w:divBdr>
            <w:top w:val="none" w:sz="0" w:space="0" w:color="auto"/>
            <w:left w:val="none" w:sz="0" w:space="0" w:color="auto"/>
            <w:bottom w:val="none" w:sz="0" w:space="0" w:color="auto"/>
            <w:right w:val="none" w:sz="0" w:space="0" w:color="auto"/>
          </w:divBdr>
        </w:div>
        <w:div w:id="324670956">
          <w:marLeft w:val="640"/>
          <w:marRight w:val="0"/>
          <w:marTop w:val="0"/>
          <w:marBottom w:val="0"/>
          <w:divBdr>
            <w:top w:val="none" w:sz="0" w:space="0" w:color="auto"/>
            <w:left w:val="none" w:sz="0" w:space="0" w:color="auto"/>
            <w:bottom w:val="none" w:sz="0" w:space="0" w:color="auto"/>
            <w:right w:val="none" w:sz="0" w:space="0" w:color="auto"/>
          </w:divBdr>
        </w:div>
        <w:div w:id="1876964914">
          <w:marLeft w:val="640"/>
          <w:marRight w:val="0"/>
          <w:marTop w:val="0"/>
          <w:marBottom w:val="0"/>
          <w:divBdr>
            <w:top w:val="none" w:sz="0" w:space="0" w:color="auto"/>
            <w:left w:val="none" w:sz="0" w:space="0" w:color="auto"/>
            <w:bottom w:val="none" w:sz="0" w:space="0" w:color="auto"/>
            <w:right w:val="none" w:sz="0" w:space="0" w:color="auto"/>
          </w:divBdr>
        </w:div>
        <w:div w:id="22482596">
          <w:marLeft w:val="640"/>
          <w:marRight w:val="0"/>
          <w:marTop w:val="0"/>
          <w:marBottom w:val="0"/>
          <w:divBdr>
            <w:top w:val="none" w:sz="0" w:space="0" w:color="auto"/>
            <w:left w:val="none" w:sz="0" w:space="0" w:color="auto"/>
            <w:bottom w:val="none" w:sz="0" w:space="0" w:color="auto"/>
            <w:right w:val="none" w:sz="0" w:space="0" w:color="auto"/>
          </w:divBdr>
        </w:div>
        <w:div w:id="960383953">
          <w:marLeft w:val="640"/>
          <w:marRight w:val="0"/>
          <w:marTop w:val="0"/>
          <w:marBottom w:val="0"/>
          <w:divBdr>
            <w:top w:val="none" w:sz="0" w:space="0" w:color="auto"/>
            <w:left w:val="none" w:sz="0" w:space="0" w:color="auto"/>
            <w:bottom w:val="none" w:sz="0" w:space="0" w:color="auto"/>
            <w:right w:val="none" w:sz="0" w:space="0" w:color="auto"/>
          </w:divBdr>
        </w:div>
        <w:div w:id="1104304506">
          <w:marLeft w:val="640"/>
          <w:marRight w:val="0"/>
          <w:marTop w:val="0"/>
          <w:marBottom w:val="0"/>
          <w:divBdr>
            <w:top w:val="none" w:sz="0" w:space="0" w:color="auto"/>
            <w:left w:val="none" w:sz="0" w:space="0" w:color="auto"/>
            <w:bottom w:val="none" w:sz="0" w:space="0" w:color="auto"/>
            <w:right w:val="none" w:sz="0" w:space="0" w:color="auto"/>
          </w:divBdr>
        </w:div>
        <w:div w:id="1881087021">
          <w:marLeft w:val="640"/>
          <w:marRight w:val="0"/>
          <w:marTop w:val="0"/>
          <w:marBottom w:val="0"/>
          <w:divBdr>
            <w:top w:val="none" w:sz="0" w:space="0" w:color="auto"/>
            <w:left w:val="none" w:sz="0" w:space="0" w:color="auto"/>
            <w:bottom w:val="none" w:sz="0" w:space="0" w:color="auto"/>
            <w:right w:val="none" w:sz="0" w:space="0" w:color="auto"/>
          </w:divBdr>
        </w:div>
        <w:div w:id="1488324293">
          <w:marLeft w:val="640"/>
          <w:marRight w:val="0"/>
          <w:marTop w:val="0"/>
          <w:marBottom w:val="0"/>
          <w:divBdr>
            <w:top w:val="none" w:sz="0" w:space="0" w:color="auto"/>
            <w:left w:val="none" w:sz="0" w:space="0" w:color="auto"/>
            <w:bottom w:val="none" w:sz="0" w:space="0" w:color="auto"/>
            <w:right w:val="none" w:sz="0" w:space="0" w:color="auto"/>
          </w:divBdr>
        </w:div>
        <w:div w:id="1142768779">
          <w:marLeft w:val="640"/>
          <w:marRight w:val="0"/>
          <w:marTop w:val="0"/>
          <w:marBottom w:val="0"/>
          <w:divBdr>
            <w:top w:val="none" w:sz="0" w:space="0" w:color="auto"/>
            <w:left w:val="none" w:sz="0" w:space="0" w:color="auto"/>
            <w:bottom w:val="none" w:sz="0" w:space="0" w:color="auto"/>
            <w:right w:val="none" w:sz="0" w:space="0" w:color="auto"/>
          </w:divBdr>
        </w:div>
        <w:div w:id="926815471">
          <w:marLeft w:val="640"/>
          <w:marRight w:val="0"/>
          <w:marTop w:val="0"/>
          <w:marBottom w:val="0"/>
          <w:divBdr>
            <w:top w:val="none" w:sz="0" w:space="0" w:color="auto"/>
            <w:left w:val="none" w:sz="0" w:space="0" w:color="auto"/>
            <w:bottom w:val="none" w:sz="0" w:space="0" w:color="auto"/>
            <w:right w:val="none" w:sz="0" w:space="0" w:color="auto"/>
          </w:divBdr>
        </w:div>
        <w:div w:id="1210804952">
          <w:marLeft w:val="640"/>
          <w:marRight w:val="0"/>
          <w:marTop w:val="0"/>
          <w:marBottom w:val="0"/>
          <w:divBdr>
            <w:top w:val="none" w:sz="0" w:space="0" w:color="auto"/>
            <w:left w:val="none" w:sz="0" w:space="0" w:color="auto"/>
            <w:bottom w:val="none" w:sz="0" w:space="0" w:color="auto"/>
            <w:right w:val="none" w:sz="0" w:space="0" w:color="auto"/>
          </w:divBdr>
        </w:div>
      </w:divsChild>
    </w:div>
    <w:div w:id="2034335433">
      <w:bodyDiv w:val="1"/>
      <w:marLeft w:val="0"/>
      <w:marRight w:val="0"/>
      <w:marTop w:val="0"/>
      <w:marBottom w:val="0"/>
      <w:divBdr>
        <w:top w:val="none" w:sz="0" w:space="0" w:color="auto"/>
        <w:left w:val="none" w:sz="0" w:space="0" w:color="auto"/>
        <w:bottom w:val="none" w:sz="0" w:space="0" w:color="auto"/>
        <w:right w:val="none" w:sz="0" w:space="0" w:color="auto"/>
      </w:divBdr>
      <w:divsChild>
        <w:div w:id="2001499977">
          <w:marLeft w:val="640"/>
          <w:marRight w:val="0"/>
          <w:marTop w:val="0"/>
          <w:marBottom w:val="0"/>
          <w:divBdr>
            <w:top w:val="none" w:sz="0" w:space="0" w:color="auto"/>
            <w:left w:val="none" w:sz="0" w:space="0" w:color="auto"/>
            <w:bottom w:val="none" w:sz="0" w:space="0" w:color="auto"/>
            <w:right w:val="none" w:sz="0" w:space="0" w:color="auto"/>
          </w:divBdr>
        </w:div>
        <w:div w:id="632639484">
          <w:marLeft w:val="640"/>
          <w:marRight w:val="0"/>
          <w:marTop w:val="0"/>
          <w:marBottom w:val="0"/>
          <w:divBdr>
            <w:top w:val="none" w:sz="0" w:space="0" w:color="auto"/>
            <w:left w:val="none" w:sz="0" w:space="0" w:color="auto"/>
            <w:bottom w:val="none" w:sz="0" w:space="0" w:color="auto"/>
            <w:right w:val="none" w:sz="0" w:space="0" w:color="auto"/>
          </w:divBdr>
        </w:div>
        <w:div w:id="2096634520">
          <w:marLeft w:val="640"/>
          <w:marRight w:val="0"/>
          <w:marTop w:val="0"/>
          <w:marBottom w:val="0"/>
          <w:divBdr>
            <w:top w:val="none" w:sz="0" w:space="0" w:color="auto"/>
            <w:left w:val="none" w:sz="0" w:space="0" w:color="auto"/>
            <w:bottom w:val="none" w:sz="0" w:space="0" w:color="auto"/>
            <w:right w:val="none" w:sz="0" w:space="0" w:color="auto"/>
          </w:divBdr>
        </w:div>
        <w:div w:id="68701963">
          <w:marLeft w:val="640"/>
          <w:marRight w:val="0"/>
          <w:marTop w:val="0"/>
          <w:marBottom w:val="0"/>
          <w:divBdr>
            <w:top w:val="none" w:sz="0" w:space="0" w:color="auto"/>
            <w:left w:val="none" w:sz="0" w:space="0" w:color="auto"/>
            <w:bottom w:val="none" w:sz="0" w:space="0" w:color="auto"/>
            <w:right w:val="none" w:sz="0" w:space="0" w:color="auto"/>
          </w:divBdr>
        </w:div>
        <w:div w:id="1579056380">
          <w:marLeft w:val="640"/>
          <w:marRight w:val="0"/>
          <w:marTop w:val="0"/>
          <w:marBottom w:val="0"/>
          <w:divBdr>
            <w:top w:val="none" w:sz="0" w:space="0" w:color="auto"/>
            <w:left w:val="none" w:sz="0" w:space="0" w:color="auto"/>
            <w:bottom w:val="none" w:sz="0" w:space="0" w:color="auto"/>
            <w:right w:val="none" w:sz="0" w:space="0" w:color="auto"/>
          </w:divBdr>
        </w:div>
        <w:div w:id="51731296">
          <w:marLeft w:val="640"/>
          <w:marRight w:val="0"/>
          <w:marTop w:val="0"/>
          <w:marBottom w:val="0"/>
          <w:divBdr>
            <w:top w:val="none" w:sz="0" w:space="0" w:color="auto"/>
            <w:left w:val="none" w:sz="0" w:space="0" w:color="auto"/>
            <w:bottom w:val="none" w:sz="0" w:space="0" w:color="auto"/>
            <w:right w:val="none" w:sz="0" w:space="0" w:color="auto"/>
          </w:divBdr>
        </w:div>
        <w:div w:id="1584798082">
          <w:marLeft w:val="640"/>
          <w:marRight w:val="0"/>
          <w:marTop w:val="0"/>
          <w:marBottom w:val="0"/>
          <w:divBdr>
            <w:top w:val="none" w:sz="0" w:space="0" w:color="auto"/>
            <w:left w:val="none" w:sz="0" w:space="0" w:color="auto"/>
            <w:bottom w:val="none" w:sz="0" w:space="0" w:color="auto"/>
            <w:right w:val="none" w:sz="0" w:space="0" w:color="auto"/>
          </w:divBdr>
        </w:div>
        <w:div w:id="658850449">
          <w:marLeft w:val="640"/>
          <w:marRight w:val="0"/>
          <w:marTop w:val="0"/>
          <w:marBottom w:val="0"/>
          <w:divBdr>
            <w:top w:val="none" w:sz="0" w:space="0" w:color="auto"/>
            <w:left w:val="none" w:sz="0" w:space="0" w:color="auto"/>
            <w:bottom w:val="none" w:sz="0" w:space="0" w:color="auto"/>
            <w:right w:val="none" w:sz="0" w:space="0" w:color="auto"/>
          </w:divBdr>
        </w:div>
        <w:div w:id="40596454">
          <w:marLeft w:val="640"/>
          <w:marRight w:val="0"/>
          <w:marTop w:val="0"/>
          <w:marBottom w:val="0"/>
          <w:divBdr>
            <w:top w:val="none" w:sz="0" w:space="0" w:color="auto"/>
            <w:left w:val="none" w:sz="0" w:space="0" w:color="auto"/>
            <w:bottom w:val="none" w:sz="0" w:space="0" w:color="auto"/>
            <w:right w:val="none" w:sz="0" w:space="0" w:color="auto"/>
          </w:divBdr>
        </w:div>
        <w:div w:id="425227350">
          <w:marLeft w:val="640"/>
          <w:marRight w:val="0"/>
          <w:marTop w:val="0"/>
          <w:marBottom w:val="0"/>
          <w:divBdr>
            <w:top w:val="none" w:sz="0" w:space="0" w:color="auto"/>
            <w:left w:val="none" w:sz="0" w:space="0" w:color="auto"/>
            <w:bottom w:val="none" w:sz="0" w:space="0" w:color="auto"/>
            <w:right w:val="none" w:sz="0" w:space="0" w:color="auto"/>
          </w:divBdr>
        </w:div>
        <w:div w:id="1079209027">
          <w:marLeft w:val="640"/>
          <w:marRight w:val="0"/>
          <w:marTop w:val="0"/>
          <w:marBottom w:val="0"/>
          <w:divBdr>
            <w:top w:val="none" w:sz="0" w:space="0" w:color="auto"/>
            <w:left w:val="none" w:sz="0" w:space="0" w:color="auto"/>
            <w:bottom w:val="none" w:sz="0" w:space="0" w:color="auto"/>
            <w:right w:val="none" w:sz="0" w:space="0" w:color="auto"/>
          </w:divBdr>
        </w:div>
        <w:div w:id="1185441982">
          <w:marLeft w:val="640"/>
          <w:marRight w:val="0"/>
          <w:marTop w:val="0"/>
          <w:marBottom w:val="0"/>
          <w:divBdr>
            <w:top w:val="none" w:sz="0" w:space="0" w:color="auto"/>
            <w:left w:val="none" w:sz="0" w:space="0" w:color="auto"/>
            <w:bottom w:val="none" w:sz="0" w:space="0" w:color="auto"/>
            <w:right w:val="none" w:sz="0" w:space="0" w:color="auto"/>
          </w:divBdr>
        </w:div>
        <w:div w:id="388840478">
          <w:marLeft w:val="640"/>
          <w:marRight w:val="0"/>
          <w:marTop w:val="0"/>
          <w:marBottom w:val="0"/>
          <w:divBdr>
            <w:top w:val="none" w:sz="0" w:space="0" w:color="auto"/>
            <w:left w:val="none" w:sz="0" w:space="0" w:color="auto"/>
            <w:bottom w:val="none" w:sz="0" w:space="0" w:color="auto"/>
            <w:right w:val="none" w:sz="0" w:space="0" w:color="auto"/>
          </w:divBdr>
        </w:div>
        <w:div w:id="1069691549">
          <w:marLeft w:val="640"/>
          <w:marRight w:val="0"/>
          <w:marTop w:val="0"/>
          <w:marBottom w:val="0"/>
          <w:divBdr>
            <w:top w:val="none" w:sz="0" w:space="0" w:color="auto"/>
            <w:left w:val="none" w:sz="0" w:space="0" w:color="auto"/>
            <w:bottom w:val="none" w:sz="0" w:space="0" w:color="auto"/>
            <w:right w:val="none" w:sz="0" w:space="0" w:color="auto"/>
          </w:divBdr>
        </w:div>
        <w:div w:id="493181212">
          <w:marLeft w:val="640"/>
          <w:marRight w:val="0"/>
          <w:marTop w:val="0"/>
          <w:marBottom w:val="0"/>
          <w:divBdr>
            <w:top w:val="none" w:sz="0" w:space="0" w:color="auto"/>
            <w:left w:val="none" w:sz="0" w:space="0" w:color="auto"/>
            <w:bottom w:val="none" w:sz="0" w:space="0" w:color="auto"/>
            <w:right w:val="none" w:sz="0" w:space="0" w:color="auto"/>
          </w:divBdr>
        </w:div>
        <w:div w:id="1756705377">
          <w:marLeft w:val="640"/>
          <w:marRight w:val="0"/>
          <w:marTop w:val="0"/>
          <w:marBottom w:val="0"/>
          <w:divBdr>
            <w:top w:val="none" w:sz="0" w:space="0" w:color="auto"/>
            <w:left w:val="none" w:sz="0" w:space="0" w:color="auto"/>
            <w:bottom w:val="none" w:sz="0" w:space="0" w:color="auto"/>
            <w:right w:val="none" w:sz="0" w:space="0" w:color="auto"/>
          </w:divBdr>
        </w:div>
        <w:div w:id="1718310439">
          <w:marLeft w:val="640"/>
          <w:marRight w:val="0"/>
          <w:marTop w:val="0"/>
          <w:marBottom w:val="0"/>
          <w:divBdr>
            <w:top w:val="none" w:sz="0" w:space="0" w:color="auto"/>
            <w:left w:val="none" w:sz="0" w:space="0" w:color="auto"/>
            <w:bottom w:val="none" w:sz="0" w:space="0" w:color="auto"/>
            <w:right w:val="none" w:sz="0" w:space="0" w:color="auto"/>
          </w:divBdr>
        </w:div>
        <w:div w:id="2025210158">
          <w:marLeft w:val="640"/>
          <w:marRight w:val="0"/>
          <w:marTop w:val="0"/>
          <w:marBottom w:val="0"/>
          <w:divBdr>
            <w:top w:val="none" w:sz="0" w:space="0" w:color="auto"/>
            <w:left w:val="none" w:sz="0" w:space="0" w:color="auto"/>
            <w:bottom w:val="none" w:sz="0" w:space="0" w:color="auto"/>
            <w:right w:val="none" w:sz="0" w:space="0" w:color="auto"/>
          </w:divBdr>
        </w:div>
        <w:div w:id="1347975023">
          <w:marLeft w:val="640"/>
          <w:marRight w:val="0"/>
          <w:marTop w:val="0"/>
          <w:marBottom w:val="0"/>
          <w:divBdr>
            <w:top w:val="none" w:sz="0" w:space="0" w:color="auto"/>
            <w:left w:val="none" w:sz="0" w:space="0" w:color="auto"/>
            <w:bottom w:val="none" w:sz="0" w:space="0" w:color="auto"/>
            <w:right w:val="none" w:sz="0" w:space="0" w:color="auto"/>
          </w:divBdr>
        </w:div>
        <w:div w:id="1447966903">
          <w:marLeft w:val="640"/>
          <w:marRight w:val="0"/>
          <w:marTop w:val="0"/>
          <w:marBottom w:val="0"/>
          <w:divBdr>
            <w:top w:val="none" w:sz="0" w:space="0" w:color="auto"/>
            <w:left w:val="none" w:sz="0" w:space="0" w:color="auto"/>
            <w:bottom w:val="none" w:sz="0" w:space="0" w:color="auto"/>
            <w:right w:val="none" w:sz="0" w:space="0" w:color="auto"/>
          </w:divBdr>
        </w:div>
        <w:div w:id="208496624">
          <w:marLeft w:val="640"/>
          <w:marRight w:val="0"/>
          <w:marTop w:val="0"/>
          <w:marBottom w:val="0"/>
          <w:divBdr>
            <w:top w:val="none" w:sz="0" w:space="0" w:color="auto"/>
            <w:left w:val="none" w:sz="0" w:space="0" w:color="auto"/>
            <w:bottom w:val="none" w:sz="0" w:space="0" w:color="auto"/>
            <w:right w:val="none" w:sz="0" w:space="0" w:color="auto"/>
          </w:divBdr>
        </w:div>
        <w:div w:id="442267364">
          <w:marLeft w:val="640"/>
          <w:marRight w:val="0"/>
          <w:marTop w:val="0"/>
          <w:marBottom w:val="0"/>
          <w:divBdr>
            <w:top w:val="none" w:sz="0" w:space="0" w:color="auto"/>
            <w:left w:val="none" w:sz="0" w:space="0" w:color="auto"/>
            <w:bottom w:val="none" w:sz="0" w:space="0" w:color="auto"/>
            <w:right w:val="none" w:sz="0" w:space="0" w:color="auto"/>
          </w:divBdr>
        </w:div>
        <w:div w:id="1729572092">
          <w:marLeft w:val="640"/>
          <w:marRight w:val="0"/>
          <w:marTop w:val="0"/>
          <w:marBottom w:val="0"/>
          <w:divBdr>
            <w:top w:val="none" w:sz="0" w:space="0" w:color="auto"/>
            <w:left w:val="none" w:sz="0" w:space="0" w:color="auto"/>
            <w:bottom w:val="none" w:sz="0" w:space="0" w:color="auto"/>
            <w:right w:val="none" w:sz="0" w:space="0" w:color="auto"/>
          </w:divBdr>
        </w:div>
        <w:div w:id="1472863507">
          <w:marLeft w:val="640"/>
          <w:marRight w:val="0"/>
          <w:marTop w:val="0"/>
          <w:marBottom w:val="0"/>
          <w:divBdr>
            <w:top w:val="none" w:sz="0" w:space="0" w:color="auto"/>
            <w:left w:val="none" w:sz="0" w:space="0" w:color="auto"/>
            <w:bottom w:val="none" w:sz="0" w:space="0" w:color="auto"/>
            <w:right w:val="none" w:sz="0" w:space="0" w:color="auto"/>
          </w:divBdr>
        </w:div>
        <w:div w:id="1993636161">
          <w:marLeft w:val="640"/>
          <w:marRight w:val="0"/>
          <w:marTop w:val="0"/>
          <w:marBottom w:val="0"/>
          <w:divBdr>
            <w:top w:val="none" w:sz="0" w:space="0" w:color="auto"/>
            <w:left w:val="none" w:sz="0" w:space="0" w:color="auto"/>
            <w:bottom w:val="none" w:sz="0" w:space="0" w:color="auto"/>
            <w:right w:val="none" w:sz="0" w:space="0" w:color="auto"/>
          </w:divBdr>
        </w:div>
        <w:div w:id="832914514">
          <w:marLeft w:val="640"/>
          <w:marRight w:val="0"/>
          <w:marTop w:val="0"/>
          <w:marBottom w:val="0"/>
          <w:divBdr>
            <w:top w:val="none" w:sz="0" w:space="0" w:color="auto"/>
            <w:left w:val="none" w:sz="0" w:space="0" w:color="auto"/>
            <w:bottom w:val="none" w:sz="0" w:space="0" w:color="auto"/>
            <w:right w:val="none" w:sz="0" w:space="0" w:color="auto"/>
          </w:divBdr>
        </w:div>
        <w:div w:id="1651789553">
          <w:marLeft w:val="640"/>
          <w:marRight w:val="0"/>
          <w:marTop w:val="0"/>
          <w:marBottom w:val="0"/>
          <w:divBdr>
            <w:top w:val="none" w:sz="0" w:space="0" w:color="auto"/>
            <w:left w:val="none" w:sz="0" w:space="0" w:color="auto"/>
            <w:bottom w:val="none" w:sz="0" w:space="0" w:color="auto"/>
            <w:right w:val="none" w:sz="0" w:space="0" w:color="auto"/>
          </w:divBdr>
        </w:div>
        <w:div w:id="182401750">
          <w:marLeft w:val="640"/>
          <w:marRight w:val="0"/>
          <w:marTop w:val="0"/>
          <w:marBottom w:val="0"/>
          <w:divBdr>
            <w:top w:val="none" w:sz="0" w:space="0" w:color="auto"/>
            <w:left w:val="none" w:sz="0" w:space="0" w:color="auto"/>
            <w:bottom w:val="none" w:sz="0" w:space="0" w:color="auto"/>
            <w:right w:val="none" w:sz="0" w:space="0" w:color="auto"/>
          </w:divBdr>
        </w:div>
        <w:div w:id="1461263829">
          <w:marLeft w:val="640"/>
          <w:marRight w:val="0"/>
          <w:marTop w:val="0"/>
          <w:marBottom w:val="0"/>
          <w:divBdr>
            <w:top w:val="none" w:sz="0" w:space="0" w:color="auto"/>
            <w:left w:val="none" w:sz="0" w:space="0" w:color="auto"/>
            <w:bottom w:val="none" w:sz="0" w:space="0" w:color="auto"/>
            <w:right w:val="none" w:sz="0" w:space="0" w:color="auto"/>
          </w:divBdr>
        </w:div>
        <w:div w:id="1099913776">
          <w:marLeft w:val="640"/>
          <w:marRight w:val="0"/>
          <w:marTop w:val="0"/>
          <w:marBottom w:val="0"/>
          <w:divBdr>
            <w:top w:val="none" w:sz="0" w:space="0" w:color="auto"/>
            <w:left w:val="none" w:sz="0" w:space="0" w:color="auto"/>
            <w:bottom w:val="none" w:sz="0" w:space="0" w:color="auto"/>
            <w:right w:val="none" w:sz="0" w:space="0" w:color="auto"/>
          </w:divBdr>
        </w:div>
        <w:div w:id="1361929788">
          <w:marLeft w:val="640"/>
          <w:marRight w:val="0"/>
          <w:marTop w:val="0"/>
          <w:marBottom w:val="0"/>
          <w:divBdr>
            <w:top w:val="none" w:sz="0" w:space="0" w:color="auto"/>
            <w:left w:val="none" w:sz="0" w:space="0" w:color="auto"/>
            <w:bottom w:val="none" w:sz="0" w:space="0" w:color="auto"/>
            <w:right w:val="none" w:sz="0" w:space="0" w:color="auto"/>
          </w:divBdr>
        </w:div>
        <w:div w:id="846752032">
          <w:marLeft w:val="640"/>
          <w:marRight w:val="0"/>
          <w:marTop w:val="0"/>
          <w:marBottom w:val="0"/>
          <w:divBdr>
            <w:top w:val="none" w:sz="0" w:space="0" w:color="auto"/>
            <w:left w:val="none" w:sz="0" w:space="0" w:color="auto"/>
            <w:bottom w:val="none" w:sz="0" w:space="0" w:color="auto"/>
            <w:right w:val="none" w:sz="0" w:space="0" w:color="auto"/>
          </w:divBdr>
        </w:div>
        <w:div w:id="2046446856">
          <w:marLeft w:val="640"/>
          <w:marRight w:val="0"/>
          <w:marTop w:val="0"/>
          <w:marBottom w:val="0"/>
          <w:divBdr>
            <w:top w:val="none" w:sz="0" w:space="0" w:color="auto"/>
            <w:left w:val="none" w:sz="0" w:space="0" w:color="auto"/>
            <w:bottom w:val="none" w:sz="0" w:space="0" w:color="auto"/>
            <w:right w:val="none" w:sz="0" w:space="0" w:color="auto"/>
          </w:divBdr>
        </w:div>
        <w:div w:id="811487821">
          <w:marLeft w:val="640"/>
          <w:marRight w:val="0"/>
          <w:marTop w:val="0"/>
          <w:marBottom w:val="0"/>
          <w:divBdr>
            <w:top w:val="none" w:sz="0" w:space="0" w:color="auto"/>
            <w:left w:val="none" w:sz="0" w:space="0" w:color="auto"/>
            <w:bottom w:val="none" w:sz="0" w:space="0" w:color="auto"/>
            <w:right w:val="none" w:sz="0" w:space="0" w:color="auto"/>
          </w:divBdr>
        </w:div>
        <w:div w:id="647322303">
          <w:marLeft w:val="640"/>
          <w:marRight w:val="0"/>
          <w:marTop w:val="0"/>
          <w:marBottom w:val="0"/>
          <w:divBdr>
            <w:top w:val="none" w:sz="0" w:space="0" w:color="auto"/>
            <w:left w:val="none" w:sz="0" w:space="0" w:color="auto"/>
            <w:bottom w:val="none" w:sz="0" w:space="0" w:color="auto"/>
            <w:right w:val="none" w:sz="0" w:space="0" w:color="auto"/>
          </w:divBdr>
        </w:div>
        <w:div w:id="2056656682">
          <w:marLeft w:val="640"/>
          <w:marRight w:val="0"/>
          <w:marTop w:val="0"/>
          <w:marBottom w:val="0"/>
          <w:divBdr>
            <w:top w:val="none" w:sz="0" w:space="0" w:color="auto"/>
            <w:left w:val="none" w:sz="0" w:space="0" w:color="auto"/>
            <w:bottom w:val="none" w:sz="0" w:space="0" w:color="auto"/>
            <w:right w:val="none" w:sz="0" w:space="0" w:color="auto"/>
          </w:divBdr>
        </w:div>
        <w:div w:id="1876427992">
          <w:marLeft w:val="640"/>
          <w:marRight w:val="0"/>
          <w:marTop w:val="0"/>
          <w:marBottom w:val="0"/>
          <w:divBdr>
            <w:top w:val="none" w:sz="0" w:space="0" w:color="auto"/>
            <w:left w:val="none" w:sz="0" w:space="0" w:color="auto"/>
            <w:bottom w:val="none" w:sz="0" w:space="0" w:color="auto"/>
            <w:right w:val="none" w:sz="0" w:space="0" w:color="auto"/>
          </w:divBdr>
        </w:div>
        <w:div w:id="166333526">
          <w:marLeft w:val="640"/>
          <w:marRight w:val="0"/>
          <w:marTop w:val="0"/>
          <w:marBottom w:val="0"/>
          <w:divBdr>
            <w:top w:val="none" w:sz="0" w:space="0" w:color="auto"/>
            <w:left w:val="none" w:sz="0" w:space="0" w:color="auto"/>
            <w:bottom w:val="none" w:sz="0" w:space="0" w:color="auto"/>
            <w:right w:val="none" w:sz="0" w:space="0" w:color="auto"/>
          </w:divBdr>
        </w:div>
        <w:div w:id="951591509">
          <w:marLeft w:val="640"/>
          <w:marRight w:val="0"/>
          <w:marTop w:val="0"/>
          <w:marBottom w:val="0"/>
          <w:divBdr>
            <w:top w:val="none" w:sz="0" w:space="0" w:color="auto"/>
            <w:left w:val="none" w:sz="0" w:space="0" w:color="auto"/>
            <w:bottom w:val="none" w:sz="0" w:space="0" w:color="auto"/>
            <w:right w:val="none" w:sz="0" w:space="0" w:color="auto"/>
          </w:divBdr>
        </w:div>
        <w:div w:id="1815372532">
          <w:marLeft w:val="640"/>
          <w:marRight w:val="0"/>
          <w:marTop w:val="0"/>
          <w:marBottom w:val="0"/>
          <w:divBdr>
            <w:top w:val="none" w:sz="0" w:space="0" w:color="auto"/>
            <w:left w:val="none" w:sz="0" w:space="0" w:color="auto"/>
            <w:bottom w:val="none" w:sz="0" w:space="0" w:color="auto"/>
            <w:right w:val="none" w:sz="0" w:space="0" w:color="auto"/>
          </w:divBdr>
        </w:div>
        <w:div w:id="523599583">
          <w:marLeft w:val="640"/>
          <w:marRight w:val="0"/>
          <w:marTop w:val="0"/>
          <w:marBottom w:val="0"/>
          <w:divBdr>
            <w:top w:val="none" w:sz="0" w:space="0" w:color="auto"/>
            <w:left w:val="none" w:sz="0" w:space="0" w:color="auto"/>
            <w:bottom w:val="none" w:sz="0" w:space="0" w:color="auto"/>
            <w:right w:val="none" w:sz="0" w:space="0" w:color="auto"/>
          </w:divBdr>
        </w:div>
        <w:div w:id="587733196">
          <w:marLeft w:val="640"/>
          <w:marRight w:val="0"/>
          <w:marTop w:val="0"/>
          <w:marBottom w:val="0"/>
          <w:divBdr>
            <w:top w:val="none" w:sz="0" w:space="0" w:color="auto"/>
            <w:left w:val="none" w:sz="0" w:space="0" w:color="auto"/>
            <w:bottom w:val="none" w:sz="0" w:space="0" w:color="auto"/>
            <w:right w:val="none" w:sz="0" w:space="0" w:color="auto"/>
          </w:divBdr>
        </w:div>
        <w:div w:id="825899590">
          <w:marLeft w:val="640"/>
          <w:marRight w:val="0"/>
          <w:marTop w:val="0"/>
          <w:marBottom w:val="0"/>
          <w:divBdr>
            <w:top w:val="none" w:sz="0" w:space="0" w:color="auto"/>
            <w:left w:val="none" w:sz="0" w:space="0" w:color="auto"/>
            <w:bottom w:val="none" w:sz="0" w:space="0" w:color="auto"/>
            <w:right w:val="none" w:sz="0" w:space="0" w:color="auto"/>
          </w:divBdr>
        </w:div>
        <w:div w:id="2035576209">
          <w:marLeft w:val="640"/>
          <w:marRight w:val="0"/>
          <w:marTop w:val="0"/>
          <w:marBottom w:val="0"/>
          <w:divBdr>
            <w:top w:val="none" w:sz="0" w:space="0" w:color="auto"/>
            <w:left w:val="none" w:sz="0" w:space="0" w:color="auto"/>
            <w:bottom w:val="none" w:sz="0" w:space="0" w:color="auto"/>
            <w:right w:val="none" w:sz="0" w:space="0" w:color="auto"/>
          </w:divBdr>
        </w:div>
        <w:div w:id="626352953">
          <w:marLeft w:val="640"/>
          <w:marRight w:val="0"/>
          <w:marTop w:val="0"/>
          <w:marBottom w:val="0"/>
          <w:divBdr>
            <w:top w:val="none" w:sz="0" w:space="0" w:color="auto"/>
            <w:left w:val="none" w:sz="0" w:space="0" w:color="auto"/>
            <w:bottom w:val="none" w:sz="0" w:space="0" w:color="auto"/>
            <w:right w:val="none" w:sz="0" w:space="0" w:color="auto"/>
          </w:divBdr>
        </w:div>
        <w:div w:id="1205096893">
          <w:marLeft w:val="640"/>
          <w:marRight w:val="0"/>
          <w:marTop w:val="0"/>
          <w:marBottom w:val="0"/>
          <w:divBdr>
            <w:top w:val="none" w:sz="0" w:space="0" w:color="auto"/>
            <w:left w:val="none" w:sz="0" w:space="0" w:color="auto"/>
            <w:bottom w:val="none" w:sz="0" w:space="0" w:color="auto"/>
            <w:right w:val="none" w:sz="0" w:space="0" w:color="auto"/>
          </w:divBdr>
        </w:div>
        <w:div w:id="1592742057">
          <w:marLeft w:val="640"/>
          <w:marRight w:val="0"/>
          <w:marTop w:val="0"/>
          <w:marBottom w:val="0"/>
          <w:divBdr>
            <w:top w:val="none" w:sz="0" w:space="0" w:color="auto"/>
            <w:left w:val="none" w:sz="0" w:space="0" w:color="auto"/>
            <w:bottom w:val="none" w:sz="0" w:space="0" w:color="auto"/>
            <w:right w:val="none" w:sz="0" w:space="0" w:color="auto"/>
          </w:divBdr>
        </w:div>
        <w:div w:id="1059785926">
          <w:marLeft w:val="640"/>
          <w:marRight w:val="0"/>
          <w:marTop w:val="0"/>
          <w:marBottom w:val="0"/>
          <w:divBdr>
            <w:top w:val="none" w:sz="0" w:space="0" w:color="auto"/>
            <w:left w:val="none" w:sz="0" w:space="0" w:color="auto"/>
            <w:bottom w:val="none" w:sz="0" w:space="0" w:color="auto"/>
            <w:right w:val="none" w:sz="0" w:space="0" w:color="auto"/>
          </w:divBdr>
        </w:div>
        <w:div w:id="1040403154">
          <w:marLeft w:val="640"/>
          <w:marRight w:val="0"/>
          <w:marTop w:val="0"/>
          <w:marBottom w:val="0"/>
          <w:divBdr>
            <w:top w:val="none" w:sz="0" w:space="0" w:color="auto"/>
            <w:left w:val="none" w:sz="0" w:space="0" w:color="auto"/>
            <w:bottom w:val="none" w:sz="0" w:space="0" w:color="auto"/>
            <w:right w:val="none" w:sz="0" w:space="0" w:color="auto"/>
          </w:divBdr>
        </w:div>
        <w:div w:id="1176190553">
          <w:marLeft w:val="640"/>
          <w:marRight w:val="0"/>
          <w:marTop w:val="0"/>
          <w:marBottom w:val="0"/>
          <w:divBdr>
            <w:top w:val="none" w:sz="0" w:space="0" w:color="auto"/>
            <w:left w:val="none" w:sz="0" w:space="0" w:color="auto"/>
            <w:bottom w:val="none" w:sz="0" w:space="0" w:color="auto"/>
            <w:right w:val="none" w:sz="0" w:space="0" w:color="auto"/>
          </w:divBdr>
        </w:div>
        <w:div w:id="431706114">
          <w:marLeft w:val="640"/>
          <w:marRight w:val="0"/>
          <w:marTop w:val="0"/>
          <w:marBottom w:val="0"/>
          <w:divBdr>
            <w:top w:val="none" w:sz="0" w:space="0" w:color="auto"/>
            <w:left w:val="none" w:sz="0" w:space="0" w:color="auto"/>
            <w:bottom w:val="none" w:sz="0" w:space="0" w:color="auto"/>
            <w:right w:val="none" w:sz="0" w:space="0" w:color="auto"/>
          </w:divBdr>
        </w:div>
        <w:div w:id="2132935472">
          <w:marLeft w:val="640"/>
          <w:marRight w:val="0"/>
          <w:marTop w:val="0"/>
          <w:marBottom w:val="0"/>
          <w:divBdr>
            <w:top w:val="none" w:sz="0" w:space="0" w:color="auto"/>
            <w:left w:val="none" w:sz="0" w:space="0" w:color="auto"/>
            <w:bottom w:val="none" w:sz="0" w:space="0" w:color="auto"/>
            <w:right w:val="none" w:sz="0" w:space="0" w:color="auto"/>
          </w:divBdr>
        </w:div>
        <w:div w:id="333729945">
          <w:marLeft w:val="640"/>
          <w:marRight w:val="0"/>
          <w:marTop w:val="0"/>
          <w:marBottom w:val="0"/>
          <w:divBdr>
            <w:top w:val="none" w:sz="0" w:space="0" w:color="auto"/>
            <w:left w:val="none" w:sz="0" w:space="0" w:color="auto"/>
            <w:bottom w:val="none" w:sz="0" w:space="0" w:color="auto"/>
            <w:right w:val="none" w:sz="0" w:space="0" w:color="auto"/>
          </w:divBdr>
        </w:div>
        <w:div w:id="1195272045">
          <w:marLeft w:val="640"/>
          <w:marRight w:val="0"/>
          <w:marTop w:val="0"/>
          <w:marBottom w:val="0"/>
          <w:divBdr>
            <w:top w:val="none" w:sz="0" w:space="0" w:color="auto"/>
            <w:left w:val="none" w:sz="0" w:space="0" w:color="auto"/>
            <w:bottom w:val="none" w:sz="0" w:space="0" w:color="auto"/>
            <w:right w:val="none" w:sz="0" w:space="0" w:color="auto"/>
          </w:divBdr>
        </w:div>
        <w:div w:id="1078480858">
          <w:marLeft w:val="640"/>
          <w:marRight w:val="0"/>
          <w:marTop w:val="0"/>
          <w:marBottom w:val="0"/>
          <w:divBdr>
            <w:top w:val="none" w:sz="0" w:space="0" w:color="auto"/>
            <w:left w:val="none" w:sz="0" w:space="0" w:color="auto"/>
            <w:bottom w:val="none" w:sz="0" w:space="0" w:color="auto"/>
            <w:right w:val="none" w:sz="0" w:space="0" w:color="auto"/>
          </w:divBdr>
        </w:div>
        <w:div w:id="722946581">
          <w:marLeft w:val="640"/>
          <w:marRight w:val="0"/>
          <w:marTop w:val="0"/>
          <w:marBottom w:val="0"/>
          <w:divBdr>
            <w:top w:val="none" w:sz="0" w:space="0" w:color="auto"/>
            <w:left w:val="none" w:sz="0" w:space="0" w:color="auto"/>
            <w:bottom w:val="none" w:sz="0" w:space="0" w:color="auto"/>
            <w:right w:val="none" w:sz="0" w:space="0" w:color="auto"/>
          </w:divBdr>
        </w:div>
        <w:div w:id="1334911714">
          <w:marLeft w:val="640"/>
          <w:marRight w:val="0"/>
          <w:marTop w:val="0"/>
          <w:marBottom w:val="0"/>
          <w:divBdr>
            <w:top w:val="none" w:sz="0" w:space="0" w:color="auto"/>
            <w:left w:val="none" w:sz="0" w:space="0" w:color="auto"/>
            <w:bottom w:val="none" w:sz="0" w:space="0" w:color="auto"/>
            <w:right w:val="none" w:sz="0" w:space="0" w:color="auto"/>
          </w:divBdr>
        </w:div>
        <w:div w:id="1803113344">
          <w:marLeft w:val="640"/>
          <w:marRight w:val="0"/>
          <w:marTop w:val="0"/>
          <w:marBottom w:val="0"/>
          <w:divBdr>
            <w:top w:val="none" w:sz="0" w:space="0" w:color="auto"/>
            <w:left w:val="none" w:sz="0" w:space="0" w:color="auto"/>
            <w:bottom w:val="none" w:sz="0" w:space="0" w:color="auto"/>
            <w:right w:val="none" w:sz="0" w:space="0" w:color="auto"/>
          </w:divBdr>
        </w:div>
        <w:div w:id="1466854730">
          <w:marLeft w:val="640"/>
          <w:marRight w:val="0"/>
          <w:marTop w:val="0"/>
          <w:marBottom w:val="0"/>
          <w:divBdr>
            <w:top w:val="none" w:sz="0" w:space="0" w:color="auto"/>
            <w:left w:val="none" w:sz="0" w:space="0" w:color="auto"/>
            <w:bottom w:val="none" w:sz="0" w:space="0" w:color="auto"/>
            <w:right w:val="none" w:sz="0" w:space="0" w:color="auto"/>
          </w:divBdr>
        </w:div>
        <w:div w:id="690689723">
          <w:marLeft w:val="640"/>
          <w:marRight w:val="0"/>
          <w:marTop w:val="0"/>
          <w:marBottom w:val="0"/>
          <w:divBdr>
            <w:top w:val="none" w:sz="0" w:space="0" w:color="auto"/>
            <w:left w:val="none" w:sz="0" w:space="0" w:color="auto"/>
            <w:bottom w:val="none" w:sz="0" w:space="0" w:color="auto"/>
            <w:right w:val="none" w:sz="0" w:space="0" w:color="auto"/>
          </w:divBdr>
        </w:div>
        <w:div w:id="1477723725">
          <w:marLeft w:val="640"/>
          <w:marRight w:val="0"/>
          <w:marTop w:val="0"/>
          <w:marBottom w:val="0"/>
          <w:divBdr>
            <w:top w:val="none" w:sz="0" w:space="0" w:color="auto"/>
            <w:left w:val="none" w:sz="0" w:space="0" w:color="auto"/>
            <w:bottom w:val="none" w:sz="0" w:space="0" w:color="auto"/>
            <w:right w:val="none" w:sz="0" w:space="0" w:color="auto"/>
          </w:divBdr>
        </w:div>
        <w:div w:id="937446508">
          <w:marLeft w:val="640"/>
          <w:marRight w:val="0"/>
          <w:marTop w:val="0"/>
          <w:marBottom w:val="0"/>
          <w:divBdr>
            <w:top w:val="none" w:sz="0" w:space="0" w:color="auto"/>
            <w:left w:val="none" w:sz="0" w:space="0" w:color="auto"/>
            <w:bottom w:val="none" w:sz="0" w:space="0" w:color="auto"/>
            <w:right w:val="none" w:sz="0" w:space="0" w:color="auto"/>
          </w:divBdr>
        </w:div>
        <w:div w:id="110247259">
          <w:marLeft w:val="640"/>
          <w:marRight w:val="0"/>
          <w:marTop w:val="0"/>
          <w:marBottom w:val="0"/>
          <w:divBdr>
            <w:top w:val="none" w:sz="0" w:space="0" w:color="auto"/>
            <w:left w:val="none" w:sz="0" w:space="0" w:color="auto"/>
            <w:bottom w:val="none" w:sz="0" w:space="0" w:color="auto"/>
            <w:right w:val="none" w:sz="0" w:space="0" w:color="auto"/>
          </w:divBdr>
        </w:div>
        <w:div w:id="1780491154">
          <w:marLeft w:val="640"/>
          <w:marRight w:val="0"/>
          <w:marTop w:val="0"/>
          <w:marBottom w:val="0"/>
          <w:divBdr>
            <w:top w:val="none" w:sz="0" w:space="0" w:color="auto"/>
            <w:left w:val="none" w:sz="0" w:space="0" w:color="auto"/>
            <w:bottom w:val="none" w:sz="0" w:space="0" w:color="auto"/>
            <w:right w:val="none" w:sz="0" w:space="0" w:color="auto"/>
          </w:divBdr>
        </w:div>
        <w:div w:id="353532573">
          <w:marLeft w:val="640"/>
          <w:marRight w:val="0"/>
          <w:marTop w:val="0"/>
          <w:marBottom w:val="0"/>
          <w:divBdr>
            <w:top w:val="none" w:sz="0" w:space="0" w:color="auto"/>
            <w:left w:val="none" w:sz="0" w:space="0" w:color="auto"/>
            <w:bottom w:val="none" w:sz="0" w:space="0" w:color="auto"/>
            <w:right w:val="none" w:sz="0" w:space="0" w:color="auto"/>
          </w:divBdr>
        </w:div>
        <w:div w:id="1111558541">
          <w:marLeft w:val="640"/>
          <w:marRight w:val="0"/>
          <w:marTop w:val="0"/>
          <w:marBottom w:val="0"/>
          <w:divBdr>
            <w:top w:val="none" w:sz="0" w:space="0" w:color="auto"/>
            <w:left w:val="none" w:sz="0" w:space="0" w:color="auto"/>
            <w:bottom w:val="none" w:sz="0" w:space="0" w:color="auto"/>
            <w:right w:val="none" w:sz="0" w:space="0" w:color="auto"/>
          </w:divBdr>
        </w:div>
        <w:div w:id="334847290">
          <w:marLeft w:val="640"/>
          <w:marRight w:val="0"/>
          <w:marTop w:val="0"/>
          <w:marBottom w:val="0"/>
          <w:divBdr>
            <w:top w:val="none" w:sz="0" w:space="0" w:color="auto"/>
            <w:left w:val="none" w:sz="0" w:space="0" w:color="auto"/>
            <w:bottom w:val="none" w:sz="0" w:space="0" w:color="auto"/>
            <w:right w:val="none" w:sz="0" w:space="0" w:color="auto"/>
          </w:divBdr>
        </w:div>
        <w:div w:id="1106384467">
          <w:marLeft w:val="640"/>
          <w:marRight w:val="0"/>
          <w:marTop w:val="0"/>
          <w:marBottom w:val="0"/>
          <w:divBdr>
            <w:top w:val="none" w:sz="0" w:space="0" w:color="auto"/>
            <w:left w:val="none" w:sz="0" w:space="0" w:color="auto"/>
            <w:bottom w:val="none" w:sz="0" w:space="0" w:color="auto"/>
            <w:right w:val="none" w:sz="0" w:space="0" w:color="auto"/>
          </w:divBdr>
        </w:div>
        <w:div w:id="1203323369">
          <w:marLeft w:val="640"/>
          <w:marRight w:val="0"/>
          <w:marTop w:val="0"/>
          <w:marBottom w:val="0"/>
          <w:divBdr>
            <w:top w:val="none" w:sz="0" w:space="0" w:color="auto"/>
            <w:left w:val="none" w:sz="0" w:space="0" w:color="auto"/>
            <w:bottom w:val="none" w:sz="0" w:space="0" w:color="auto"/>
            <w:right w:val="none" w:sz="0" w:space="0" w:color="auto"/>
          </w:divBdr>
        </w:div>
        <w:div w:id="803543452">
          <w:marLeft w:val="640"/>
          <w:marRight w:val="0"/>
          <w:marTop w:val="0"/>
          <w:marBottom w:val="0"/>
          <w:divBdr>
            <w:top w:val="none" w:sz="0" w:space="0" w:color="auto"/>
            <w:left w:val="none" w:sz="0" w:space="0" w:color="auto"/>
            <w:bottom w:val="none" w:sz="0" w:space="0" w:color="auto"/>
            <w:right w:val="none" w:sz="0" w:space="0" w:color="auto"/>
          </w:divBdr>
        </w:div>
        <w:div w:id="875888791">
          <w:marLeft w:val="640"/>
          <w:marRight w:val="0"/>
          <w:marTop w:val="0"/>
          <w:marBottom w:val="0"/>
          <w:divBdr>
            <w:top w:val="none" w:sz="0" w:space="0" w:color="auto"/>
            <w:left w:val="none" w:sz="0" w:space="0" w:color="auto"/>
            <w:bottom w:val="none" w:sz="0" w:space="0" w:color="auto"/>
            <w:right w:val="none" w:sz="0" w:space="0" w:color="auto"/>
          </w:divBdr>
        </w:div>
        <w:div w:id="40789804">
          <w:marLeft w:val="640"/>
          <w:marRight w:val="0"/>
          <w:marTop w:val="0"/>
          <w:marBottom w:val="0"/>
          <w:divBdr>
            <w:top w:val="none" w:sz="0" w:space="0" w:color="auto"/>
            <w:left w:val="none" w:sz="0" w:space="0" w:color="auto"/>
            <w:bottom w:val="none" w:sz="0" w:space="0" w:color="auto"/>
            <w:right w:val="none" w:sz="0" w:space="0" w:color="auto"/>
          </w:divBdr>
        </w:div>
        <w:div w:id="142505452">
          <w:marLeft w:val="640"/>
          <w:marRight w:val="0"/>
          <w:marTop w:val="0"/>
          <w:marBottom w:val="0"/>
          <w:divBdr>
            <w:top w:val="none" w:sz="0" w:space="0" w:color="auto"/>
            <w:left w:val="none" w:sz="0" w:space="0" w:color="auto"/>
            <w:bottom w:val="none" w:sz="0" w:space="0" w:color="auto"/>
            <w:right w:val="none" w:sz="0" w:space="0" w:color="auto"/>
          </w:divBdr>
        </w:div>
        <w:div w:id="540703573">
          <w:marLeft w:val="640"/>
          <w:marRight w:val="0"/>
          <w:marTop w:val="0"/>
          <w:marBottom w:val="0"/>
          <w:divBdr>
            <w:top w:val="none" w:sz="0" w:space="0" w:color="auto"/>
            <w:left w:val="none" w:sz="0" w:space="0" w:color="auto"/>
            <w:bottom w:val="none" w:sz="0" w:space="0" w:color="auto"/>
            <w:right w:val="none" w:sz="0" w:space="0" w:color="auto"/>
          </w:divBdr>
        </w:div>
        <w:div w:id="914557231">
          <w:marLeft w:val="640"/>
          <w:marRight w:val="0"/>
          <w:marTop w:val="0"/>
          <w:marBottom w:val="0"/>
          <w:divBdr>
            <w:top w:val="none" w:sz="0" w:space="0" w:color="auto"/>
            <w:left w:val="none" w:sz="0" w:space="0" w:color="auto"/>
            <w:bottom w:val="none" w:sz="0" w:space="0" w:color="auto"/>
            <w:right w:val="none" w:sz="0" w:space="0" w:color="auto"/>
          </w:divBdr>
        </w:div>
        <w:div w:id="1957634458">
          <w:marLeft w:val="640"/>
          <w:marRight w:val="0"/>
          <w:marTop w:val="0"/>
          <w:marBottom w:val="0"/>
          <w:divBdr>
            <w:top w:val="none" w:sz="0" w:space="0" w:color="auto"/>
            <w:left w:val="none" w:sz="0" w:space="0" w:color="auto"/>
            <w:bottom w:val="none" w:sz="0" w:space="0" w:color="auto"/>
            <w:right w:val="none" w:sz="0" w:space="0" w:color="auto"/>
          </w:divBdr>
        </w:div>
        <w:div w:id="1490708884">
          <w:marLeft w:val="640"/>
          <w:marRight w:val="0"/>
          <w:marTop w:val="0"/>
          <w:marBottom w:val="0"/>
          <w:divBdr>
            <w:top w:val="none" w:sz="0" w:space="0" w:color="auto"/>
            <w:left w:val="none" w:sz="0" w:space="0" w:color="auto"/>
            <w:bottom w:val="none" w:sz="0" w:space="0" w:color="auto"/>
            <w:right w:val="none" w:sz="0" w:space="0" w:color="auto"/>
          </w:divBdr>
        </w:div>
        <w:div w:id="764348370">
          <w:marLeft w:val="640"/>
          <w:marRight w:val="0"/>
          <w:marTop w:val="0"/>
          <w:marBottom w:val="0"/>
          <w:divBdr>
            <w:top w:val="none" w:sz="0" w:space="0" w:color="auto"/>
            <w:left w:val="none" w:sz="0" w:space="0" w:color="auto"/>
            <w:bottom w:val="none" w:sz="0" w:space="0" w:color="auto"/>
            <w:right w:val="none" w:sz="0" w:space="0" w:color="auto"/>
          </w:divBdr>
        </w:div>
        <w:div w:id="562104653">
          <w:marLeft w:val="640"/>
          <w:marRight w:val="0"/>
          <w:marTop w:val="0"/>
          <w:marBottom w:val="0"/>
          <w:divBdr>
            <w:top w:val="none" w:sz="0" w:space="0" w:color="auto"/>
            <w:left w:val="none" w:sz="0" w:space="0" w:color="auto"/>
            <w:bottom w:val="none" w:sz="0" w:space="0" w:color="auto"/>
            <w:right w:val="none" w:sz="0" w:space="0" w:color="auto"/>
          </w:divBdr>
        </w:div>
        <w:div w:id="763305240">
          <w:marLeft w:val="640"/>
          <w:marRight w:val="0"/>
          <w:marTop w:val="0"/>
          <w:marBottom w:val="0"/>
          <w:divBdr>
            <w:top w:val="none" w:sz="0" w:space="0" w:color="auto"/>
            <w:left w:val="none" w:sz="0" w:space="0" w:color="auto"/>
            <w:bottom w:val="none" w:sz="0" w:space="0" w:color="auto"/>
            <w:right w:val="none" w:sz="0" w:space="0" w:color="auto"/>
          </w:divBdr>
        </w:div>
        <w:div w:id="701437338">
          <w:marLeft w:val="640"/>
          <w:marRight w:val="0"/>
          <w:marTop w:val="0"/>
          <w:marBottom w:val="0"/>
          <w:divBdr>
            <w:top w:val="none" w:sz="0" w:space="0" w:color="auto"/>
            <w:left w:val="none" w:sz="0" w:space="0" w:color="auto"/>
            <w:bottom w:val="none" w:sz="0" w:space="0" w:color="auto"/>
            <w:right w:val="none" w:sz="0" w:space="0" w:color="auto"/>
          </w:divBdr>
        </w:div>
        <w:div w:id="262540174">
          <w:marLeft w:val="640"/>
          <w:marRight w:val="0"/>
          <w:marTop w:val="0"/>
          <w:marBottom w:val="0"/>
          <w:divBdr>
            <w:top w:val="none" w:sz="0" w:space="0" w:color="auto"/>
            <w:left w:val="none" w:sz="0" w:space="0" w:color="auto"/>
            <w:bottom w:val="none" w:sz="0" w:space="0" w:color="auto"/>
            <w:right w:val="none" w:sz="0" w:space="0" w:color="auto"/>
          </w:divBdr>
        </w:div>
        <w:div w:id="1117603060">
          <w:marLeft w:val="640"/>
          <w:marRight w:val="0"/>
          <w:marTop w:val="0"/>
          <w:marBottom w:val="0"/>
          <w:divBdr>
            <w:top w:val="none" w:sz="0" w:space="0" w:color="auto"/>
            <w:left w:val="none" w:sz="0" w:space="0" w:color="auto"/>
            <w:bottom w:val="none" w:sz="0" w:space="0" w:color="auto"/>
            <w:right w:val="none" w:sz="0" w:space="0" w:color="auto"/>
          </w:divBdr>
        </w:div>
        <w:div w:id="838040063">
          <w:marLeft w:val="640"/>
          <w:marRight w:val="0"/>
          <w:marTop w:val="0"/>
          <w:marBottom w:val="0"/>
          <w:divBdr>
            <w:top w:val="none" w:sz="0" w:space="0" w:color="auto"/>
            <w:left w:val="none" w:sz="0" w:space="0" w:color="auto"/>
            <w:bottom w:val="none" w:sz="0" w:space="0" w:color="auto"/>
            <w:right w:val="none" w:sz="0" w:space="0" w:color="auto"/>
          </w:divBdr>
        </w:div>
        <w:div w:id="1895700654">
          <w:marLeft w:val="640"/>
          <w:marRight w:val="0"/>
          <w:marTop w:val="0"/>
          <w:marBottom w:val="0"/>
          <w:divBdr>
            <w:top w:val="none" w:sz="0" w:space="0" w:color="auto"/>
            <w:left w:val="none" w:sz="0" w:space="0" w:color="auto"/>
            <w:bottom w:val="none" w:sz="0" w:space="0" w:color="auto"/>
            <w:right w:val="none" w:sz="0" w:space="0" w:color="auto"/>
          </w:divBdr>
        </w:div>
        <w:div w:id="1700473531">
          <w:marLeft w:val="640"/>
          <w:marRight w:val="0"/>
          <w:marTop w:val="0"/>
          <w:marBottom w:val="0"/>
          <w:divBdr>
            <w:top w:val="none" w:sz="0" w:space="0" w:color="auto"/>
            <w:left w:val="none" w:sz="0" w:space="0" w:color="auto"/>
            <w:bottom w:val="none" w:sz="0" w:space="0" w:color="auto"/>
            <w:right w:val="none" w:sz="0" w:space="0" w:color="auto"/>
          </w:divBdr>
        </w:div>
        <w:div w:id="92015280">
          <w:marLeft w:val="640"/>
          <w:marRight w:val="0"/>
          <w:marTop w:val="0"/>
          <w:marBottom w:val="0"/>
          <w:divBdr>
            <w:top w:val="none" w:sz="0" w:space="0" w:color="auto"/>
            <w:left w:val="none" w:sz="0" w:space="0" w:color="auto"/>
            <w:bottom w:val="none" w:sz="0" w:space="0" w:color="auto"/>
            <w:right w:val="none" w:sz="0" w:space="0" w:color="auto"/>
          </w:divBdr>
        </w:div>
        <w:div w:id="706220699">
          <w:marLeft w:val="640"/>
          <w:marRight w:val="0"/>
          <w:marTop w:val="0"/>
          <w:marBottom w:val="0"/>
          <w:divBdr>
            <w:top w:val="none" w:sz="0" w:space="0" w:color="auto"/>
            <w:left w:val="none" w:sz="0" w:space="0" w:color="auto"/>
            <w:bottom w:val="none" w:sz="0" w:space="0" w:color="auto"/>
            <w:right w:val="none" w:sz="0" w:space="0" w:color="auto"/>
          </w:divBdr>
        </w:div>
        <w:div w:id="2117824771">
          <w:marLeft w:val="640"/>
          <w:marRight w:val="0"/>
          <w:marTop w:val="0"/>
          <w:marBottom w:val="0"/>
          <w:divBdr>
            <w:top w:val="none" w:sz="0" w:space="0" w:color="auto"/>
            <w:left w:val="none" w:sz="0" w:space="0" w:color="auto"/>
            <w:bottom w:val="none" w:sz="0" w:space="0" w:color="auto"/>
            <w:right w:val="none" w:sz="0" w:space="0" w:color="auto"/>
          </w:divBdr>
        </w:div>
        <w:div w:id="321546263">
          <w:marLeft w:val="640"/>
          <w:marRight w:val="0"/>
          <w:marTop w:val="0"/>
          <w:marBottom w:val="0"/>
          <w:divBdr>
            <w:top w:val="none" w:sz="0" w:space="0" w:color="auto"/>
            <w:left w:val="none" w:sz="0" w:space="0" w:color="auto"/>
            <w:bottom w:val="none" w:sz="0" w:space="0" w:color="auto"/>
            <w:right w:val="none" w:sz="0" w:space="0" w:color="auto"/>
          </w:divBdr>
        </w:div>
        <w:div w:id="1722512937">
          <w:marLeft w:val="640"/>
          <w:marRight w:val="0"/>
          <w:marTop w:val="0"/>
          <w:marBottom w:val="0"/>
          <w:divBdr>
            <w:top w:val="none" w:sz="0" w:space="0" w:color="auto"/>
            <w:left w:val="none" w:sz="0" w:space="0" w:color="auto"/>
            <w:bottom w:val="none" w:sz="0" w:space="0" w:color="auto"/>
            <w:right w:val="none" w:sz="0" w:space="0" w:color="auto"/>
          </w:divBdr>
        </w:div>
        <w:div w:id="2079211153">
          <w:marLeft w:val="640"/>
          <w:marRight w:val="0"/>
          <w:marTop w:val="0"/>
          <w:marBottom w:val="0"/>
          <w:divBdr>
            <w:top w:val="none" w:sz="0" w:space="0" w:color="auto"/>
            <w:left w:val="none" w:sz="0" w:space="0" w:color="auto"/>
            <w:bottom w:val="none" w:sz="0" w:space="0" w:color="auto"/>
            <w:right w:val="none" w:sz="0" w:space="0" w:color="auto"/>
          </w:divBdr>
        </w:div>
        <w:div w:id="689795049">
          <w:marLeft w:val="640"/>
          <w:marRight w:val="0"/>
          <w:marTop w:val="0"/>
          <w:marBottom w:val="0"/>
          <w:divBdr>
            <w:top w:val="none" w:sz="0" w:space="0" w:color="auto"/>
            <w:left w:val="none" w:sz="0" w:space="0" w:color="auto"/>
            <w:bottom w:val="none" w:sz="0" w:space="0" w:color="auto"/>
            <w:right w:val="none" w:sz="0" w:space="0" w:color="auto"/>
          </w:divBdr>
        </w:div>
        <w:div w:id="451898443">
          <w:marLeft w:val="640"/>
          <w:marRight w:val="0"/>
          <w:marTop w:val="0"/>
          <w:marBottom w:val="0"/>
          <w:divBdr>
            <w:top w:val="none" w:sz="0" w:space="0" w:color="auto"/>
            <w:left w:val="none" w:sz="0" w:space="0" w:color="auto"/>
            <w:bottom w:val="none" w:sz="0" w:space="0" w:color="auto"/>
            <w:right w:val="none" w:sz="0" w:space="0" w:color="auto"/>
          </w:divBdr>
        </w:div>
        <w:div w:id="1505632896">
          <w:marLeft w:val="640"/>
          <w:marRight w:val="0"/>
          <w:marTop w:val="0"/>
          <w:marBottom w:val="0"/>
          <w:divBdr>
            <w:top w:val="none" w:sz="0" w:space="0" w:color="auto"/>
            <w:left w:val="none" w:sz="0" w:space="0" w:color="auto"/>
            <w:bottom w:val="none" w:sz="0" w:space="0" w:color="auto"/>
            <w:right w:val="none" w:sz="0" w:space="0" w:color="auto"/>
          </w:divBdr>
        </w:div>
        <w:div w:id="1549756023">
          <w:marLeft w:val="640"/>
          <w:marRight w:val="0"/>
          <w:marTop w:val="0"/>
          <w:marBottom w:val="0"/>
          <w:divBdr>
            <w:top w:val="none" w:sz="0" w:space="0" w:color="auto"/>
            <w:left w:val="none" w:sz="0" w:space="0" w:color="auto"/>
            <w:bottom w:val="none" w:sz="0" w:space="0" w:color="auto"/>
            <w:right w:val="none" w:sz="0" w:space="0" w:color="auto"/>
          </w:divBdr>
        </w:div>
        <w:div w:id="345447056">
          <w:marLeft w:val="640"/>
          <w:marRight w:val="0"/>
          <w:marTop w:val="0"/>
          <w:marBottom w:val="0"/>
          <w:divBdr>
            <w:top w:val="none" w:sz="0" w:space="0" w:color="auto"/>
            <w:left w:val="none" w:sz="0" w:space="0" w:color="auto"/>
            <w:bottom w:val="none" w:sz="0" w:space="0" w:color="auto"/>
            <w:right w:val="none" w:sz="0" w:space="0" w:color="auto"/>
          </w:divBdr>
        </w:div>
        <w:div w:id="1018238367">
          <w:marLeft w:val="640"/>
          <w:marRight w:val="0"/>
          <w:marTop w:val="0"/>
          <w:marBottom w:val="0"/>
          <w:divBdr>
            <w:top w:val="none" w:sz="0" w:space="0" w:color="auto"/>
            <w:left w:val="none" w:sz="0" w:space="0" w:color="auto"/>
            <w:bottom w:val="none" w:sz="0" w:space="0" w:color="auto"/>
            <w:right w:val="none" w:sz="0" w:space="0" w:color="auto"/>
          </w:divBdr>
        </w:div>
        <w:div w:id="1812598502">
          <w:marLeft w:val="640"/>
          <w:marRight w:val="0"/>
          <w:marTop w:val="0"/>
          <w:marBottom w:val="0"/>
          <w:divBdr>
            <w:top w:val="none" w:sz="0" w:space="0" w:color="auto"/>
            <w:left w:val="none" w:sz="0" w:space="0" w:color="auto"/>
            <w:bottom w:val="none" w:sz="0" w:space="0" w:color="auto"/>
            <w:right w:val="none" w:sz="0" w:space="0" w:color="auto"/>
          </w:divBdr>
        </w:div>
        <w:div w:id="1441484710">
          <w:marLeft w:val="640"/>
          <w:marRight w:val="0"/>
          <w:marTop w:val="0"/>
          <w:marBottom w:val="0"/>
          <w:divBdr>
            <w:top w:val="none" w:sz="0" w:space="0" w:color="auto"/>
            <w:left w:val="none" w:sz="0" w:space="0" w:color="auto"/>
            <w:bottom w:val="none" w:sz="0" w:space="0" w:color="auto"/>
            <w:right w:val="none" w:sz="0" w:space="0" w:color="auto"/>
          </w:divBdr>
        </w:div>
        <w:div w:id="1276136359">
          <w:marLeft w:val="640"/>
          <w:marRight w:val="0"/>
          <w:marTop w:val="0"/>
          <w:marBottom w:val="0"/>
          <w:divBdr>
            <w:top w:val="none" w:sz="0" w:space="0" w:color="auto"/>
            <w:left w:val="none" w:sz="0" w:space="0" w:color="auto"/>
            <w:bottom w:val="none" w:sz="0" w:space="0" w:color="auto"/>
            <w:right w:val="none" w:sz="0" w:space="0" w:color="auto"/>
          </w:divBdr>
        </w:div>
        <w:div w:id="631642636">
          <w:marLeft w:val="640"/>
          <w:marRight w:val="0"/>
          <w:marTop w:val="0"/>
          <w:marBottom w:val="0"/>
          <w:divBdr>
            <w:top w:val="none" w:sz="0" w:space="0" w:color="auto"/>
            <w:left w:val="none" w:sz="0" w:space="0" w:color="auto"/>
            <w:bottom w:val="none" w:sz="0" w:space="0" w:color="auto"/>
            <w:right w:val="none" w:sz="0" w:space="0" w:color="auto"/>
          </w:divBdr>
        </w:div>
        <w:div w:id="1353073016">
          <w:marLeft w:val="640"/>
          <w:marRight w:val="0"/>
          <w:marTop w:val="0"/>
          <w:marBottom w:val="0"/>
          <w:divBdr>
            <w:top w:val="none" w:sz="0" w:space="0" w:color="auto"/>
            <w:left w:val="none" w:sz="0" w:space="0" w:color="auto"/>
            <w:bottom w:val="none" w:sz="0" w:space="0" w:color="auto"/>
            <w:right w:val="none" w:sz="0" w:space="0" w:color="auto"/>
          </w:divBdr>
        </w:div>
        <w:div w:id="1881670344">
          <w:marLeft w:val="640"/>
          <w:marRight w:val="0"/>
          <w:marTop w:val="0"/>
          <w:marBottom w:val="0"/>
          <w:divBdr>
            <w:top w:val="none" w:sz="0" w:space="0" w:color="auto"/>
            <w:left w:val="none" w:sz="0" w:space="0" w:color="auto"/>
            <w:bottom w:val="none" w:sz="0" w:space="0" w:color="auto"/>
            <w:right w:val="none" w:sz="0" w:space="0" w:color="auto"/>
          </w:divBdr>
        </w:div>
        <w:div w:id="812017494">
          <w:marLeft w:val="640"/>
          <w:marRight w:val="0"/>
          <w:marTop w:val="0"/>
          <w:marBottom w:val="0"/>
          <w:divBdr>
            <w:top w:val="none" w:sz="0" w:space="0" w:color="auto"/>
            <w:left w:val="none" w:sz="0" w:space="0" w:color="auto"/>
            <w:bottom w:val="none" w:sz="0" w:space="0" w:color="auto"/>
            <w:right w:val="none" w:sz="0" w:space="0" w:color="auto"/>
          </w:divBdr>
        </w:div>
        <w:div w:id="186453078">
          <w:marLeft w:val="640"/>
          <w:marRight w:val="0"/>
          <w:marTop w:val="0"/>
          <w:marBottom w:val="0"/>
          <w:divBdr>
            <w:top w:val="none" w:sz="0" w:space="0" w:color="auto"/>
            <w:left w:val="none" w:sz="0" w:space="0" w:color="auto"/>
            <w:bottom w:val="none" w:sz="0" w:space="0" w:color="auto"/>
            <w:right w:val="none" w:sz="0" w:space="0" w:color="auto"/>
          </w:divBdr>
        </w:div>
        <w:div w:id="794177816">
          <w:marLeft w:val="640"/>
          <w:marRight w:val="0"/>
          <w:marTop w:val="0"/>
          <w:marBottom w:val="0"/>
          <w:divBdr>
            <w:top w:val="none" w:sz="0" w:space="0" w:color="auto"/>
            <w:left w:val="none" w:sz="0" w:space="0" w:color="auto"/>
            <w:bottom w:val="none" w:sz="0" w:space="0" w:color="auto"/>
            <w:right w:val="none" w:sz="0" w:space="0" w:color="auto"/>
          </w:divBdr>
        </w:div>
        <w:div w:id="1623271078">
          <w:marLeft w:val="640"/>
          <w:marRight w:val="0"/>
          <w:marTop w:val="0"/>
          <w:marBottom w:val="0"/>
          <w:divBdr>
            <w:top w:val="none" w:sz="0" w:space="0" w:color="auto"/>
            <w:left w:val="none" w:sz="0" w:space="0" w:color="auto"/>
            <w:bottom w:val="none" w:sz="0" w:space="0" w:color="auto"/>
            <w:right w:val="none" w:sz="0" w:space="0" w:color="auto"/>
          </w:divBdr>
        </w:div>
        <w:div w:id="1039354272">
          <w:marLeft w:val="640"/>
          <w:marRight w:val="0"/>
          <w:marTop w:val="0"/>
          <w:marBottom w:val="0"/>
          <w:divBdr>
            <w:top w:val="none" w:sz="0" w:space="0" w:color="auto"/>
            <w:left w:val="none" w:sz="0" w:space="0" w:color="auto"/>
            <w:bottom w:val="none" w:sz="0" w:space="0" w:color="auto"/>
            <w:right w:val="none" w:sz="0" w:space="0" w:color="auto"/>
          </w:divBdr>
        </w:div>
        <w:div w:id="517617359">
          <w:marLeft w:val="640"/>
          <w:marRight w:val="0"/>
          <w:marTop w:val="0"/>
          <w:marBottom w:val="0"/>
          <w:divBdr>
            <w:top w:val="none" w:sz="0" w:space="0" w:color="auto"/>
            <w:left w:val="none" w:sz="0" w:space="0" w:color="auto"/>
            <w:bottom w:val="none" w:sz="0" w:space="0" w:color="auto"/>
            <w:right w:val="none" w:sz="0" w:space="0" w:color="auto"/>
          </w:divBdr>
        </w:div>
        <w:div w:id="578029171">
          <w:marLeft w:val="640"/>
          <w:marRight w:val="0"/>
          <w:marTop w:val="0"/>
          <w:marBottom w:val="0"/>
          <w:divBdr>
            <w:top w:val="none" w:sz="0" w:space="0" w:color="auto"/>
            <w:left w:val="none" w:sz="0" w:space="0" w:color="auto"/>
            <w:bottom w:val="none" w:sz="0" w:space="0" w:color="auto"/>
            <w:right w:val="none" w:sz="0" w:space="0" w:color="auto"/>
          </w:divBdr>
        </w:div>
        <w:div w:id="562761426">
          <w:marLeft w:val="640"/>
          <w:marRight w:val="0"/>
          <w:marTop w:val="0"/>
          <w:marBottom w:val="0"/>
          <w:divBdr>
            <w:top w:val="none" w:sz="0" w:space="0" w:color="auto"/>
            <w:left w:val="none" w:sz="0" w:space="0" w:color="auto"/>
            <w:bottom w:val="none" w:sz="0" w:space="0" w:color="auto"/>
            <w:right w:val="none" w:sz="0" w:space="0" w:color="auto"/>
          </w:divBdr>
        </w:div>
        <w:div w:id="531768515">
          <w:marLeft w:val="640"/>
          <w:marRight w:val="0"/>
          <w:marTop w:val="0"/>
          <w:marBottom w:val="0"/>
          <w:divBdr>
            <w:top w:val="none" w:sz="0" w:space="0" w:color="auto"/>
            <w:left w:val="none" w:sz="0" w:space="0" w:color="auto"/>
            <w:bottom w:val="none" w:sz="0" w:space="0" w:color="auto"/>
            <w:right w:val="none" w:sz="0" w:space="0" w:color="auto"/>
          </w:divBdr>
        </w:div>
        <w:div w:id="1953785176">
          <w:marLeft w:val="640"/>
          <w:marRight w:val="0"/>
          <w:marTop w:val="0"/>
          <w:marBottom w:val="0"/>
          <w:divBdr>
            <w:top w:val="none" w:sz="0" w:space="0" w:color="auto"/>
            <w:left w:val="none" w:sz="0" w:space="0" w:color="auto"/>
            <w:bottom w:val="none" w:sz="0" w:space="0" w:color="auto"/>
            <w:right w:val="none" w:sz="0" w:space="0" w:color="auto"/>
          </w:divBdr>
        </w:div>
        <w:div w:id="255553399">
          <w:marLeft w:val="640"/>
          <w:marRight w:val="0"/>
          <w:marTop w:val="0"/>
          <w:marBottom w:val="0"/>
          <w:divBdr>
            <w:top w:val="none" w:sz="0" w:space="0" w:color="auto"/>
            <w:left w:val="none" w:sz="0" w:space="0" w:color="auto"/>
            <w:bottom w:val="none" w:sz="0" w:space="0" w:color="auto"/>
            <w:right w:val="none" w:sz="0" w:space="0" w:color="auto"/>
          </w:divBdr>
        </w:div>
        <w:div w:id="454835266">
          <w:marLeft w:val="640"/>
          <w:marRight w:val="0"/>
          <w:marTop w:val="0"/>
          <w:marBottom w:val="0"/>
          <w:divBdr>
            <w:top w:val="none" w:sz="0" w:space="0" w:color="auto"/>
            <w:left w:val="none" w:sz="0" w:space="0" w:color="auto"/>
            <w:bottom w:val="none" w:sz="0" w:space="0" w:color="auto"/>
            <w:right w:val="none" w:sz="0" w:space="0" w:color="auto"/>
          </w:divBdr>
        </w:div>
        <w:div w:id="1308052613">
          <w:marLeft w:val="640"/>
          <w:marRight w:val="0"/>
          <w:marTop w:val="0"/>
          <w:marBottom w:val="0"/>
          <w:divBdr>
            <w:top w:val="none" w:sz="0" w:space="0" w:color="auto"/>
            <w:left w:val="none" w:sz="0" w:space="0" w:color="auto"/>
            <w:bottom w:val="none" w:sz="0" w:space="0" w:color="auto"/>
            <w:right w:val="none" w:sz="0" w:space="0" w:color="auto"/>
          </w:divBdr>
        </w:div>
        <w:div w:id="522019737">
          <w:marLeft w:val="640"/>
          <w:marRight w:val="0"/>
          <w:marTop w:val="0"/>
          <w:marBottom w:val="0"/>
          <w:divBdr>
            <w:top w:val="none" w:sz="0" w:space="0" w:color="auto"/>
            <w:left w:val="none" w:sz="0" w:space="0" w:color="auto"/>
            <w:bottom w:val="none" w:sz="0" w:space="0" w:color="auto"/>
            <w:right w:val="none" w:sz="0" w:space="0" w:color="auto"/>
          </w:divBdr>
        </w:div>
        <w:div w:id="1621764060">
          <w:marLeft w:val="640"/>
          <w:marRight w:val="0"/>
          <w:marTop w:val="0"/>
          <w:marBottom w:val="0"/>
          <w:divBdr>
            <w:top w:val="none" w:sz="0" w:space="0" w:color="auto"/>
            <w:left w:val="none" w:sz="0" w:space="0" w:color="auto"/>
            <w:bottom w:val="none" w:sz="0" w:space="0" w:color="auto"/>
            <w:right w:val="none" w:sz="0" w:space="0" w:color="auto"/>
          </w:divBdr>
        </w:div>
        <w:div w:id="1131633191">
          <w:marLeft w:val="640"/>
          <w:marRight w:val="0"/>
          <w:marTop w:val="0"/>
          <w:marBottom w:val="0"/>
          <w:divBdr>
            <w:top w:val="none" w:sz="0" w:space="0" w:color="auto"/>
            <w:left w:val="none" w:sz="0" w:space="0" w:color="auto"/>
            <w:bottom w:val="none" w:sz="0" w:space="0" w:color="auto"/>
            <w:right w:val="none" w:sz="0" w:space="0" w:color="auto"/>
          </w:divBdr>
        </w:div>
        <w:div w:id="408698491">
          <w:marLeft w:val="640"/>
          <w:marRight w:val="0"/>
          <w:marTop w:val="0"/>
          <w:marBottom w:val="0"/>
          <w:divBdr>
            <w:top w:val="none" w:sz="0" w:space="0" w:color="auto"/>
            <w:left w:val="none" w:sz="0" w:space="0" w:color="auto"/>
            <w:bottom w:val="none" w:sz="0" w:space="0" w:color="auto"/>
            <w:right w:val="none" w:sz="0" w:space="0" w:color="auto"/>
          </w:divBdr>
        </w:div>
        <w:div w:id="854804852">
          <w:marLeft w:val="640"/>
          <w:marRight w:val="0"/>
          <w:marTop w:val="0"/>
          <w:marBottom w:val="0"/>
          <w:divBdr>
            <w:top w:val="none" w:sz="0" w:space="0" w:color="auto"/>
            <w:left w:val="none" w:sz="0" w:space="0" w:color="auto"/>
            <w:bottom w:val="none" w:sz="0" w:space="0" w:color="auto"/>
            <w:right w:val="none" w:sz="0" w:space="0" w:color="auto"/>
          </w:divBdr>
        </w:div>
        <w:div w:id="1524585325">
          <w:marLeft w:val="640"/>
          <w:marRight w:val="0"/>
          <w:marTop w:val="0"/>
          <w:marBottom w:val="0"/>
          <w:divBdr>
            <w:top w:val="none" w:sz="0" w:space="0" w:color="auto"/>
            <w:left w:val="none" w:sz="0" w:space="0" w:color="auto"/>
            <w:bottom w:val="none" w:sz="0" w:space="0" w:color="auto"/>
            <w:right w:val="none" w:sz="0" w:space="0" w:color="auto"/>
          </w:divBdr>
        </w:div>
        <w:div w:id="202253044">
          <w:marLeft w:val="640"/>
          <w:marRight w:val="0"/>
          <w:marTop w:val="0"/>
          <w:marBottom w:val="0"/>
          <w:divBdr>
            <w:top w:val="none" w:sz="0" w:space="0" w:color="auto"/>
            <w:left w:val="none" w:sz="0" w:space="0" w:color="auto"/>
            <w:bottom w:val="none" w:sz="0" w:space="0" w:color="auto"/>
            <w:right w:val="none" w:sz="0" w:space="0" w:color="auto"/>
          </w:divBdr>
        </w:div>
        <w:div w:id="741098456">
          <w:marLeft w:val="640"/>
          <w:marRight w:val="0"/>
          <w:marTop w:val="0"/>
          <w:marBottom w:val="0"/>
          <w:divBdr>
            <w:top w:val="none" w:sz="0" w:space="0" w:color="auto"/>
            <w:left w:val="none" w:sz="0" w:space="0" w:color="auto"/>
            <w:bottom w:val="none" w:sz="0" w:space="0" w:color="auto"/>
            <w:right w:val="none" w:sz="0" w:space="0" w:color="auto"/>
          </w:divBdr>
        </w:div>
        <w:div w:id="1703432595">
          <w:marLeft w:val="640"/>
          <w:marRight w:val="0"/>
          <w:marTop w:val="0"/>
          <w:marBottom w:val="0"/>
          <w:divBdr>
            <w:top w:val="none" w:sz="0" w:space="0" w:color="auto"/>
            <w:left w:val="none" w:sz="0" w:space="0" w:color="auto"/>
            <w:bottom w:val="none" w:sz="0" w:space="0" w:color="auto"/>
            <w:right w:val="none" w:sz="0" w:space="0" w:color="auto"/>
          </w:divBdr>
        </w:div>
        <w:div w:id="1606689177">
          <w:marLeft w:val="640"/>
          <w:marRight w:val="0"/>
          <w:marTop w:val="0"/>
          <w:marBottom w:val="0"/>
          <w:divBdr>
            <w:top w:val="none" w:sz="0" w:space="0" w:color="auto"/>
            <w:left w:val="none" w:sz="0" w:space="0" w:color="auto"/>
            <w:bottom w:val="none" w:sz="0" w:space="0" w:color="auto"/>
            <w:right w:val="none" w:sz="0" w:space="0" w:color="auto"/>
          </w:divBdr>
        </w:div>
        <w:div w:id="826674563">
          <w:marLeft w:val="640"/>
          <w:marRight w:val="0"/>
          <w:marTop w:val="0"/>
          <w:marBottom w:val="0"/>
          <w:divBdr>
            <w:top w:val="none" w:sz="0" w:space="0" w:color="auto"/>
            <w:left w:val="none" w:sz="0" w:space="0" w:color="auto"/>
            <w:bottom w:val="none" w:sz="0" w:space="0" w:color="auto"/>
            <w:right w:val="none" w:sz="0" w:space="0" w:color="auto"/>
          </w:divBdr>
        </w:div>
        <w:div w:id="1507550593">
          <w:marLeft w:val="640"/>
          <w:marRight w:val="0"/>
          <w:marTop w:val="0"/>
          <w:marBottom w:val="0"/>
          <w:divBdr>
            <w:top w:val="none" w:sz="0" w:space="0" w:color="auto"/>
            <w:left w:val="none" w:sz="0" w:space="0" w:color="auto"/>
            <w:bottom w:val="none" w:sz="0" w:space="0" w:color="auto"/>
            <w:right w:val="none" w:sz="0" w:space="0" w:color="auto"/>
          </w:divBdr>
        </w:div>
        <w:div w:id="1628659559">
          <w:marLeft w:val="640"/>
          <w:marRight w:val="0"/>
          <w:marTop w:val="0"/>
          <w:marBottom w:val="0"/>
          <w:divBdr>
            <w:top w:val="none" w:sz="0" w:space="0" w:color="auto"/>
            <w:left w:val="none" w:sz="0" w:space="0" w:color="auto"/>
            <w:bottom w:val="none" w:sz="0" w:space="0" w:color="auto"/>
            <w:right w:val="none" w:sz="0" w:space="0" w:color="auto"/>
          </w:divBdr>
        </w:div>
        <w:div w:id="273366584">
          <w:marLeft w:val="640"/>
          <w:marRight w:val="0"/>
          <w:marTop w:val="0"/>
          <w:marBottom w:val="0"/>
          <w:divBdr>
            <w:top w:val="none" w:sz="0" w:space="0" w:color="auto"/>
            <w:left w:val="none" w:sz="0" w:space="0" w:color="auto"/>
            <w:bottom w:val="none" w:sz="0" w:space="0" w:color="auto"/>
            <w:right w:val="none" w:sz="0" w:space="0" w:color="auto"/>
          </w:divBdr>
        </w:div>
        <w:div w:id="843860355">
          <w:marLeft w:val="640"/>
          <w:marRight w:val="0"/>
          <w:marTop w:val="0"/>
          <w:marBottom w:val="0"/>
          <w:divBdr>
            <w:top w:val="none" w:sz="0" w:space="0" w:color="auto"/>
            <w:left w:val="none" w:sz="0" w:space="0" w:color="auto"/>
            <w:bottom w:val="none" w:sz="0" w:space="0" w:color="auto"/>
            <w:right w:val="none" w:sz="0" w:space="0" w:color="auto"/>
          </w:divBdr>
        </w:div>
        <w:div w:id="19405455">
          <w:marLeft w:val="640"/>
          <w:marRight w:val="0"/>
          <w:marTop w:val="0"/>
          <w:marBottom w:val="0"/>
          <w:divBdr>
            <w:top w:val="none" w:sz="0" w:space="0" w:color="auto"/>
            <w:left w:val="none" w:sz="0" w:space="0" w:color="auto"/>
            <w:bottom w:val="none" w:sz="0" w:space="0" w:color="auto"/>
            <w:right w:val="none" w:sz="0" w:space="0" w:color="auto"/>
          </w:divBdr>
        </w:div>
        <w:div w:id="205915024">
          <w:marLeft w:val="640"/>
          <w:marRight w:val="0"/>
          <w:marTop w:val="0"/>
          <w:marBottom w:val="0"/>
          <w:divBdr>
            <w:top w:val="none" w:sz="0" w:space="0" w:color="auto"/>
            <w:left w:val="none" w:sz="0" w:space="0" w:color="auto"/>
            <w:bottom w:val="none" w:sz="0" w:space="0" w:color="auto"/>
            <w:right w:val="none" w:sz="0" w:space="0" w:color="auto"/>
          </w:divBdr>
        </w:div>
        <w:div w:id="2145266229">
          <w:marLeft w:val="640"/>
          <w:marRight w:val="0"/>
          <w:marTop w:val="0"/>
          <w:marBottom w:val="0"/>
          <w:divBdr>
            <w:top w:val="none" w:sz="0" w:space="0" w:color="auto"/>
            <w:left w:val="none" w:sz="0" w:space="0" w:color="auto"/>
            <w:bottom w:val="none" w:sz="0" w:space="0" w:color="auto"/>
            <w:right w:val="none" w:sz="0" w:space="0" w:color="auto"/>
          </w:divBdr>
        </w:div>
        <w:div w:id="1415935618">
          <w:marLeft w:val="640"/>
          <w:marRight w:val="0"/>
          <w:marTop w:val="0"/>
          <w:marBottom w:val="0"/>
          <w:divBdr>
            <w:top w:val="none" w:sz="0" w:space="0" w:color="auto"/>
            <w:left w:val="none" w:sz="0" w:space="0" w:color="auto"/>
            <w:bottom w:val="none" w:sz="0" w:space="0" w:color="auto"/>
            <w:right w:val="none" w:sz="0" w:space="0" w:color="auto"/>
          </w:divBdr>
        </w:div>
        <w:div w:id="691614823">
          <w:marLeft w:val="640"/>
          <w:marRight w:val="0"/>
          <w:marTop w:val="0"/>
          <w:marBottom w:val="0"/>
          <w:divBdr>
            <w:top w:val="none" w:sz="0" w:space="0" w:color="auto"/>
            <w:left w:val="none" w:sz="0" w:space="0" w:color="auto"/>
            <w:bottom w:val="none" w:sz="0" w:space="0" w:color="auto"/>
            <w:right w:val="none" w:sz="0" w:space="0" w:color="auto"/>
          </w:divBdr>
        </w:div>
        <w:div w:id="1444231882">
          <w:marLeft w:val="640"/>
          <w:marRight w:val="0"/>
          <w:marTop w:val="0"/>
          <w:marBottom w:val="0"/>
          <w:divBdr>
            <w:top w:val="none" w:sz="0" w:space="0" w:color="auto"/>
            <w:left w:val="none" w:sz="0" w:space="0" w:color="auto"/>
            <w:bottom w:val="none" w:sz="0" w:space="0" w:color="auto"/>
            <w:right w:val="none" w:sz="0" w:space="0" w:color="auto"/>
          </w:divBdr>
        </w:div>
        <w:div w:id="1635258942">
          <w:marLeft w:val="640"/>
          <w:marRight w:val="0"/>
          <w:marTop w:val="0"/>
          <w:marBottom w:val="0"/>
          <w:divBdr>
            <w:top w:val="none" w:sz="0" w:space="0" w:color="auto"/>
            <w:left w:val="none" w:sz="0" w:space="0" w:color="auto"/>
            <w:bottom w:val="none" w:sz="0" w:space="0" w:color="auto"/>
            <w:right w:val="none" w:sz="0" w:space="0" w:color="auto"/>
          </w:divBdr>
        </w:div>
        <w:div w:id="1100293540">
          <w:marLeft w:val="640"/>
          <w:marRight w:val="0"/>
          <w:marTop w:val="0"/>
          <w:marBottom w:val="0"/>
          <w:divBdr>
            <w:top w:val="none" w:sz="0" w:space="0" w:color="auto"/>
            <w:left w:val="none" w:sz="0" w:space="0" w:color="auto"/>
            <w:bottom w:val="none" w:sz="0" w:space="0" w:color="auto"/>
            <w:right w:val="none" w:sz="0" w:space="0" w:color="auto"/>
          </w:divBdr>
        </w:div>
        <w:div w:id="1824620198">
          <w:marLeft w:val="640"/>
          <w:marRight w:val="0"/>
          <w:marTop w:val="0"/>
          <w:marBottom w:val="0"/>
          <w:divBdr>
            <w:top w:val="none" w:sz="0" w:space="0" w:color="auto"/>
            <w:left w:val="none" w:sz="0" w:space="0" w:color="auto"/>
            <w:bottom w:val="none" w:sz="0" w:space="0" w:color="auto"/>
            <w:right w:val="none" w:sz="0" w:space="0" w:color="auto"/>
          </w:divBdr>
        </w:div>
        <w:div w:id="1867985443">
          <w:marLeft w:val="640"/>
          <w:marRight w:val="0"/>
          <w:marTop w:val="0"/>
          <w:marBottom w:val="0"/>
          <w:divBdr>
            <w:top w:val="none" w:sz="0" w:space="0" w:color="auto"/>
            <w:left w:val="none" w:sz="0" w:space="0" w:color="auto"/>
            <w:bottom w:val="none" w:sz="0" w:space="0" w:color="auto"/>
            <w:right w:val="none" w:sz="0" w:space="0" w:color="auto"/>
          </w:divBdr>
        </w:div>
        <w:div w:id="1035350374">
          <w:marLeft w:val="640"/>
          <w:marRight w:val="0"/>
          <w:marTop w:val="0"/>
          <w:marBottom w:val="0"/>
          <w:divBdr>
            <w:top w:val="none" w:sz="0" w:space="0" w:color="auto"/>
            <w:left w:val="none" w:sz="0" w:space="0" w:color="auto"/>
            <w:bottom w:val="none" w:sz="0" w:space="0" w:color="auto"/>
            <w:right w:val="none" w:sz="0" w:space="0" w:color="auto"/>
          </w:divBdr>
        </w:div>
        <w:div w:id="1561402969">
          <w:marLeft w:val="640"/>
          <w:marRight w:val="0"/>
          <w:marTop w:val="0"/>
          <w:marBottom w:val="0"/>
          <w:divBdr>
            <w:top w:val="none" w:sz="0" w:space="0" w:color="auto"/>
            <w:left w:val="none" w:sz="0" w:space="0" w:color="auto"/>
            <w:bottom w:val="none" w:sz="0" w:space="0" w:color="auto"/>
            <w:right w:val="none" w:sz="0" w:space="0" w:color="auto"/>
          </w:divBdr>
        </w:div>
        <w:div w:id="1714185493">
          <w:marLeft w:val="640"/>
          <w:marRight w:val="0"/>
          <w:marTop w:val="0"/>
          <w:marBottom w:val="0"/>
          <w:divBdr>
            <w:top w:val="none" w:sz="0" w:space="0" w:color="auto"/>
            <w:left w:val="none" w:sz="0" w:space="0" w:color="auto"/>
            <w:bottom w:val="none" w:sz="0" w:space="0" w:color="auto"/>
            <w:right w:val="none" w:sz="0" w:space="0" w:color="auto"/>
          </w:divBdr>
        </w:div>
        <w:div w:id="284511017">
          <w:marLeft w:val="640"/>
          <w:marRight w:val="0"/>
          <w:marTop w:val="0"/>
          <w:marBottom w:val="0"/>
          <w:divBdr>
            <w:top w:val="none" w:sz="0" w:space="0" w:color="auto"/>
            <w:left w:val="none" w:sz="0" w:space="0" w:color="auto"/>
            <w:bottom w:val="none" w:sz="0" w:space="0" w:color="auto"/>
            <w:right w:val="none" w:sz="0" w:space="0" w:color="auto"/>
          </w:divBdr>
        </w:div>
        <w:div w:id="1134559454">
          <w:marLeft w:val="640"/>
          <w:marRight w:val="0"/>
          <w:marTop w:val="0"/>
          <w:marBottom w:val="0"/>
          <w:divBdr>
            <w:top w:val="none" w:sz="0" w:space="0" w:color="auto"/>
            <w:left w:val="none" w:sz="0" w:space="0" w:color="auto"/>
            <w:bottom w:val="none" w:sz="0" w:space="0" w:color="auto"/>
            <w:right w:val="none" w:sz="0" w:space="0" w:color="auto"/>
          </w:divBdr>
        </w:div>
        <w:div w:id="153768552">
          <w:marLeft w:val="640"/>
          <w:marRight w:val="0"/>
          <w:marTop w:val="0"/>
          <w:marBottom w:val="0"/>
          <w:divBdr>
            <w:top w:val="none" w:sz="0" w:space="0" w:color="auto"/>
            <w:left w:val="none" w:sz="0" w:space="0" w:color="auto"/>
            <w:bottom w:val="none" w:sz="0" w:space="0" w:color="auto"/>
            <w:right w:val="none" w:sz="0" w:space="0" w:color="auto"/>
          </w:divBdr>
        </w:div>
        <w:div w:id="1066801307">
          <w:marLeft w:val="640"/>
          <w:marRight w:val="0"/>
          <w:marTop w:val="0"/>
          <w:marBottom w:val="0"/>
          <w:divBdr>
            <w:top w:val="none" w:sz="0" w:space="0" w:color="auto"/>
            <w:left w:val="none" w:sz="0" w:space="0" w:color="auto"/>
            <w:bottom w:val="none" w:sz="0" w:space="0" w:color="auto"/>
            <w:right w:val="none" w:sz="0" w:space="0" w:color="auto"/>
          </w:divBdr>
        </w:div>
        <w:div w:id="1589117455">
          <w:marLeft w:val="640"/>
          <w:marRight w:val="0"/>
          <w:marTop w:val="0"/>
          <w:marBottom w:val="0"/>
          <w:divBdr>
            <w:top w:val="none" w:sz="0" w:space="0" w:color="auto"/>
            <w:left w:val="none" w:sz="0" w:space="0" w:color="auto"/>
            <w:bottom w:val="none" w:sz="0" w:space="0" w:color="auto"/>
            <w:right w:val="none" w:sz="0" w:space="0" w:color="auto"/>
          </w:divBdr>
        </w:div>
        <w:div w:id="1399010599">
          <w:marLeft w:val="640"/>
          <w:marRight w:val="0"/>
          <w:marTop w:val="0"/>
          <w:marBottom w:val="0"/>
          <w:divBdr>
            <w:top w:val="none" w:sz="0" w:space="0" w:color="auto"/>
            <w:left w:val="none" w:sz="0" w:space="0" w:color="auto"/>
            <w:bottom w:val="none" w:sz="0" w:space="0" w:color="auto"/>
            <w:right w:val="none" w:sz="0" w:space="0" w:color="auto"/>
          </w:divBdr>
        </w:div>
        <w:div w:id="1921986571">
          <w:marLeft w:val="640"/>
          <w:marRight w:val="0"/>
          <w:marTop w:val="0"/>
          <w:marBottom w:val="0"/>
          <w:divBdr>
            <w:top w:val="none" w:sz="0" w:space="0" w:color="auto"/>
            <w:left w:val="none" w:sz="0" w:space="0" w:color="auto"/>
            <w:bottom w:val="none" w:sz="0" w:space="0" w:color="auto"/>
            <w:right w:val="none" w:sz="0" w:space="0" w:color="auto"/>
          </w:divBdr>
        </w:div>
        <w:div w:id="2007048272">
          <w:marLeft w:val="640"/>
          <w:marRight w:val="0"/>
          <w:marTop w:val="0"/>
          <w:marBottom w:val="0"/>
          <w:divBdr>
            <w:top w:val="none" w:sz="0" w:space="0" w:color="auto"/>
            <w:left w:val="none" w:sz="0" w:space="0" w:color="auto"/>
            <w:bottom w:val="none" w:sz="0" w:space="0" w:color="auto"/>
            <w:right w:val="none" w:sz="0" w:space="0" w:color="auto"/>
          </w:divBdr>
        </w:div>
        <w:div w:id="1197041076">
          <w:marLeft w:val="640"/>
          <w:marRight w:val="0"/>
          <w:marTop w:val="0"/>
          <w:marBottom w:val="0"/>
          <w:divBdr>
            <w:top w:val="none" w:sz="0" w:space="0" w:color="auto"/>
            <w:left w:val="none" w:sz="0" w:space="0" w:color="auto"/>
            <w:bottom w:val="none" w:sz="0" w:space="0" w:color="auto"/>
            <w:right w:val="none" w:sz="0" w:space="0" w:color="auto"/>
          </w:divBdr>
        </w:div>
        <w:div w:id="1631323987">
          <w:marLeft w:val="640"/>
          <w:marRight w:val="0"/>
          <w:marTop w:val="0"/>
          <w:marBottom w:val="0"/>
          <w:divBdr>
            <w:top w:val="none" w:sz="0" w:space="0" w:color="auto"/>
            <w:left w:val="none" w:sz="0" w:space="0" w:color="auto"/>
            <w:bottom w:val="none" w:sz="0" w:space="0" w:color="auto"/>
            <w:right w:val="none" w:sz="0" w:space="0" w:color="auto"/>
          </w:divBdr>
        </w:div>
        <w:div w:id="1382827630">
          <w:marLeft w:val="640"/>
          <w:marRight w:val="0"/>
          <w:marTop w:val="0"/>
          <w:marBottom w:val="0"/>
          <w:divBdr>
            <w:top w:val="none" w:sz="0" w:space="0" w:color="auto"/>
            <w:left w:val="none" w:sz="0" w:space="0" w:color="auto"/>
            <w:bottom w:val="none" w:sz="0" w:space="0" w:color="auto"/>
            <w:right w:val="none" w:sz="0" w:space="0" w:color="auto"/>
          </w:divBdr>
        </w:div>
        <w:div w:id="1238591799">
          <w:marLeft w:val="640"/>
          <w:marRight w:val="0"/>
          <w:marTop w:val="0"/>
          <w:marBottom w:val="0"/>
          <w:divBdr>
            <w:top w:val="none" w:sz="0" w:space="0" w:color="auto"/>
            <w:left w:val="none" w:sz="0" w:space="0" w:color="auto"/>
            <w:bottom w:val="none" w:sz="0" w:space="0" w:color="auto"/>
            <w:right w:val="none" w:sz="0" w:space="0" w:color="auto"/>
          </w:divBdr>
        </w:div>
        <w:div w:id="1320764719">
          <w:marLeft w:val="640"/>
          <w:marRight w:val="0"/>
          <w:marTop w:val="0"/>
          <w:marBottom w:val="0"/>
          <w:divBdr>
            <w:top w:val="none" w:sz="0" w:space="0" w:color="auto"/>
            <w:left w:val="none" w:sz="0" w:space="0" w:color="auto"/>
            <w:bottom w:val="none" w:sz="0" w:space="0" w:color="auto"/>
            <w:right w:val="none" w:sz="0" w:space="0" w:color="auto"/>
          </w:divBdr>
        </w:div>
        <w:div w:id="2077319884">
          <w:marLeft w:val="640"/>
          <w:marRight w:val="0"/>
          <w:marTop w:val="0"/>
          <w:marBottom w:val="0"/>
          <w:divBdr>
            <w:top w:val="none" w:sz="0" w:space="0" w:color="auto"/>
            <w:left w:val="none" w:sz="0" w:space="0" w:color="auto"/>
            <w:bottom w:val="none" w:sz="0" w:space="0" w:color="auto"/>
            <w:right w:val="none" w:sz="0" w:space="0" w:color="auto"/>
          </w:divBdr>
        </w:div>
        <w:div w:id="2124492936">
          <w:marLeft w:val="640"/>
          <w:marRight w:val="0"/>
          <w:marTop w:val="0"/>
          <w:marBottom w:val="0"/>
          <w:divBdr>
            <w:top w:val="none" w:sz="0" w:space="0" w:color="auto"/>
            <w:left w:val="none" w:sz="0" w:space="0" w:color="auto"/>
            <w:bottom w:val="none" w:sz="0" w:space="0" w:color="auto"/>
            <w:right w:val="none" w:sz="0" w:space="0" w:color="auto"/>
          </w:divBdr>
        </w:div>
        <w:div w:id="1256940008">
          <w:marLeft w:val="640"/>
          <w:marRight w:val="0"/>
          <w:marTop w:val="0"/>
          <w:marBottom w:val="0"/>
          <w:divBdr>
            <w:top w:val="none" w:sz="0" w:space="0" w:color="auto"/>
            <w:left w:val="none" w:sz="0" w:space="0" w:color="auto"/>
            <w:bottom w:val="none" w:sz="0" w:space="0" w:color="auto"/>
            <w:right w:val="none" w:sz="0" w:space="0" w:color="auto"/>
          </w:divBdr>
        </w:div>
        <w:div w:id="75982762">
          <w:marLeft w:val="640"/>
          <w:marRight w:val="0"/>
          <w:marTop w:val="0"/>
          <w:marBottom w:val="0"/>
          <w:divBdr>
            <w:top w:val="none" w:sz="0" w:space="0" w:color="auto"/>
            <w:left w:val="none" w:sz="0" w:space="0" w:color="auto"/>
            <w:bottom w:val="none" w:sz="0" w:space="0" w:color="auto"/>
            <w:right w:val="none" w:sz="0" w:space="0" w:color="auto"/>
          </w:divBdr>
        </w:div>
        <w:div w:id="763498690">
          <w:marLeft w:val="640"/>
          <w:marRight w:val="0"/>
          <w:marTop w:val="0"/>
          <w:marBottom w:val="0"/>
          <w:divBdr>
            <w:top w:val="none" w:sz="0" w:space="0" w:color="auto"/>
            <w:left w:val="none" w:sz="0" w:space="0" w:color="auto"/>
            <w:bottom w:val="none" w:sz="0" w:space="0" w:color="auto"/>
            <w:right w:val="none" w:sz="0" w:space="0" w:color="auto"/>
          </w:divBdr>
        </w:div>
        <w:div w:id="558050486">
          <w:marLeft w:val="640"/>
          <w:marRight w:val="0"/>
          <w:marTop w:val="0"/>
          <w:marBottom w:val="0"/>
          <w:divBdr>
            <w:top w:val="none" w:sz="0" w:space="0" w:color="auto"/>
            <w:left w:val="none" w:sz="0" w:space="0" w:color="auto"/>
            <w:bottom w:val="none" w:sz="0" w:space="0" w:color="auto"/>
            <w:right w:val="none" w:sz="0" w:space="0" w:color="auto"/>
          </w:divBdr>
        </w:div>
        <w:div w:id="1976789923">
          <w:marLeft w:val="640"/>
          <w:marRight w:val="0"/>
          <w:marTop w:val="0"/>
          <w:marBottom w:val="0"/>
          <w:divBdr>
            <w:top w:val="none" w:sz="0" w:space="0" w:color="auto"/>
            <w:left w:val="none" w:sz="0" w:space="0" w:color="auto"/>
            <w:bottom w:val="none" w:sz="0" w:space="0" w:color="auto"/>
            <w:right w:val="none" w:sz="0" w:space="0" w:color="auto"/>
          </w:divBdr>
        </w:div>
        <w:div w:id="813984175">
          <w:marLeft w:val="640"/>
          <w:marRight w:val="0"/>
          <w:marTop w:val="0"/>
          <w:marBottom w:val="0"/>
          <w:divBdr>
            <w:top w:val="none" w:sz="0" w:space="0" w:color="auto"/>
            <w:left w:val="none" w:sz="0" w:space="0" w:color="auto"/>
            <w:bottom w:val="none" w:sz="0" w:space="0" w:color="auto"/>
            <w:right w:val="none" w:sz="0" w:space="0" w:color="auto"/>
          </w:divBdr>
        </w:div>
        <w:div w:id="130288875">
          <w:marLeft w:val="640"/>
          <w:marRight w:val="0"/>
          <w:marTop w:val="0"/>
          <w:marBottom w:val="0"/>
          <w:divBdr>
            <w:top w:val="none" w:sz="0" w:space="0" w:color="auto"/>
            <w:left w:val="none" w:sz="0" w:space="0" w:color="auto"/>
            <w:bottom w:val="none" w:sz="0" w:space="0" w:color="auto"/>
            <w:right w:val="none" w:sz="0" w:space="0" w:color="auto"/>
          </w:divBdr>
        </w:div>
        <w:div w:id="1421410632">
          <w:marLeft w:val="640"/>
          <w:marRight w:val="0"/>
          <w:marTop w:val="0"/>
          <w:marBottom w:val="0"/>
          <w:divBdr>
            <w:top w:val="none" w:sz="0" w:space="0" w:color="auto"/>
            <w:left w:val="none" w:sz="0" w:space="0" w:color="auto"/>
            <w:bottom w:val="none" w:sz="0" w:space="0" w:color="auto"/>
            <w:right w:val="none" w:sz="0" w:space="0" w:color="auto"/>
          </w:divBdr>
        </w:div>
        <w:div w:id="294022089">
          <w:marLeft w:val="640"/>
          <w:marRight w:val="0"/>
          <w:marTop w:val="0"/>
          <w:marBottom w:val="0"/>
          <w:divBdr>
            <w:top w:val="none" w:sz="0" w:space="0" w:color="auto"/>
            <w:left w:val="none" w:sz="0" w:space="0" w:color="auto"/>
            <w:bottom w:val="none" w:sz="0" w:space="0" w:color="auto"/>
            <w:right w:val="none" w:sz="0" w:space="0" w:color="auto"/>
          </w:divBdr>
        </w:div>
        <w:div w:id="694424323">
          <w:marLeft w:val="640"/>
          <w:marRight w:val="0"/>
          <w:marTop w:val="0"/>
          <w:marBottom w:val="0"/>
          <w:divBdr>
            <w:top w:val="none" w:sz="0" w:space="0" w:color="auto"/>
            <w:left w:val="none" w:sz="0" w:space="0" w:color="auto"/>
            <w:bottom w:val="none" w:sz="0" w:space="0" w:color="auto"/>
            <w:right w:val="none" w:sz="0" w:space="0" w:color="auto"/>
          </w:divBdr>
        </w:div>
        <w:div w:id="313222891">
          <w:marLeft w:val="640"/>
          <w:marRight w:val="0"/>
          <w:marTop w:val="0"/>
          <w:marBottom w:val="0"/>
          <w:divBdr>
            <w:top w:val="none" w:sz="0" w:space="0" w:color="auto"/>
            <w:left w:val="none" w:sz="0" w:space="0" w:color="auto"/>
            <w:bottom w:val="none" w:sz="0" w:space="0" w:color="auto"/>
            <w:right w:val="none" w:sz="0" w:space="0" w:color="auto"/>
          </w:divBdr>
        </w:div>
        <w:div w:id="1717703440">
          <w:marLeft w:val="640"/>
          <w:marRight w:val="0"/>
          <w:marTop w:val="0"/>
          <w:marBottom w:val="0"/>
          <w:divBdr>
            <w:top w:val="none" w:sz="0" w:space="0" w:color="auto"/>
            <w:left w:val="none" w:sz="0" w:space="0" w:color="auto"/>
            <w:bottom w:val="none" w:sz="0" w:space="0" w:color="auto"/>
            <w:right w:val="none" w:sz="0" w:space="0" w:color="auto"/>
          </w:divBdr>
        </w:div>
        <w:div w:id="1969822783">
          <w:marLeft w:val="640"/>
          <w:marRight w:val="0"/>
          <w:marTop w:val="0"/>
          <w:marBottom w:val="0"/>
          <w:divBdr>
            <w:top w:val="none" w:sz="0" w:space="0" w:color="auto"/>
            <w:left w:val="none" w:sz="0" w:space="0" w:color="auto"/>
            <w:bottom w:val="none" w:sz="0" w:space="0" w:color="auto"/>
            <w:right w:val="none" w:sz="0" w:space="0" w:color="auto"/>
          </w:divBdr>
        </w:div>
        <w:div w:id="1915581970">
          <w:marLeft w:val="640"/>
          <w:marRight w:val="0"/>
          <w:marTop w:val="0"/>
          <w:marBottom w:val="0"/>
          <w:divBdr>
            <w:top w:val="none" w:sz="0" w:space="0" w:color="auto"/>
            <w:left w:val="none" w:sz="0" w:space="0" w:color="auto"/>
            <w:bottom w:val="none" w:sz="0" w:space="0" w:color="auto"/>
            <w:right w:val="none" w:sz="0" w:space="0" w:color="auto"/>
          </w:divBdr>
        </w:div>
        <w:div w:id="1487817883">
          <w:marLeft w:val="640"/>
          <w:marRight w:val="0"/>
          <w:marTop w:val="0"/>
          <w:marBottom w:val="0"/>
          <w:divBdr>
            <w:top w:val="none" w:sz="0" w:space="0" w:color="auto"/>
            <w:left w:val="none" w:sz="0" w:space="0" w:color="auto"/>
            <w:bottom w:val="none" w:sz="0" w:space="0" w:color="auto"/>
            <w:right w:val="none" w:sz="0" w:space="0" w:color="auto"/>
          </w:divBdr>
        </w:div>
        <w:div w:id="601180294">
          <w:marLeft w:val="640"/>
          <w:marRight w:val="0"/>
          <w:marTop w:val="0"/>
          <w:marBottom w:val="0"/>
          <w:divBdr>
            <w:top w:val="none" w:sz="0" w:space="0" w:color="auto"/>
            <w:left w:val="none" w:sz="0" w:space="0" w:color="auto"/>
            <w:bottom w:val="none" w:sz="0" w:space="0" w:color="auto"/>
            <w:right w:val="none" w:sz="0" w:space="0" w:color="auto"/>
          </w:divBdr>
        </w:div>
        <w:div w:id="912202359">
          <w:marLeft w:val="640"/>
          <w:marRight w:val="0"/>
          <w:marTop w:val="0"/>
          <w:marBottom w:val="0"/>
          <w:divBdr>
            <w:top w:val="none" w:sz="0" w:space="0" w:color="auto"/>
            <w:left w:val="none" w:sz="0" w:space="0" w:color="auto"/>
            <w:bottom w:val="none" w:sz="0" w:space="0" w:color="auto"/>
            <w:right w:val="none" w:sz="0" w:space="0" w:color="auto"/>
          </w:divBdr>
        </w:div>
        <w:div w:id="68621890">
          <w:marLeft w:val="640"/>
          <w:marRight w:val="0"/>
          <w:marTop w:val="0"/>
          <w:marBottom w:val="0"/>
          <w:divBdr>
            <w:top w:val="none" w:sz="0" w:space="0" w:color="auto"/>
            <w:left w:val="none" w:sz="0" w:space="0" w:color="auto"/>
            <w:bottom w:val="none" w:sz="0" w:space="0" w:color="auto"/>
            <w:right w:val="none" w:sz="0" w:space="0" w:color="auto"/>
          </w:divBdr>
        </w:div>
        <w:div w:id="502285155">
          <w:marLeft w:val="640"/>
          <w:marRight w:val="0"/>
          <w:marTop w:val="0"/>
          <w:marBottom w:val="0"/>
          <w:divBdr>
            <w:top w:val="none" w:sz="0" w:space="0" w:color="auto"/>
            <w:left w:val="none" w:sz="0" w:space="0" w:color="auto"/>
            <w:bottom w:val="none" w:sz="0" w:space="0" w:color="auto"/>
            <w:right w:val="none" w:sz="0" w:space="0" w:color="auto"/>
          </w:divBdr>
        </w:div>
        <w:div w:id="1251041924">
          <w:marLeft w:val="640"/>
          <w:marRight w:val="0"/>
          <w:marTop w:val="0"/>
          <w:marBottom w:val="0"/>
          <w:divBdr>
            <w:top w:val="none" w:sz="0" w:space="0" w:color="auto"/>
            <w:left w:val="none" w:sz="0" w:space="0" w:color="auto"/>
            <w:bottom w:val="none" w:sz="0" w:space="0" w:color="auto"/>
            <w:right w:val="none" w:sz="0" w:space="0" w:color="auto"/>
          </w:divBdr>
        </w:div>
        <w:div w:id="1617758162">
          <w:marLeft w:val="640"/>
          <w:marRight w:val="0"/>
          <w:marTop w:val="0"/>
          <w:marBottom w:val="0"/>
          <w:divBdr>
            <w:top w:val="none" w:sz="0" w:space="0" w:color="auto"/>
            <w:left w:val="none" w:sz="0" w:space="0" w:color="auto"/>
            <w:bottom w:val="none" w:sz="0" w:space="0" w:color="auto"/>
            <w:right w:val="none" w:sz="0" w:space="0" w:color="auto"/>
          </w:divBdr>
        </w:div>
        <w:div w:id="1900944169">
          <w:marLeft w:val="640"/>
          <w:marRight w:val="0"/>
          <w:marTop w:val="0"/>
          <w:marBottom w:val="0"/>
          <w:divBdr>
            <w:top w:val="none" w:sz="0" w:space="0" w:color="auto"/>
            <w:left w:val="none" w:sz="0" w:space="0" w:color="auto"/>
            <w:bottom w:val="none" w:sz="0" w:space="0" w:color="auto"/>
            <w:right w:val="none" w:sz="0" w:space="0" w:color="auto"/>
          </w:divBdr>
        </w:div>
        <w:div w:id="1934850383">
          <w:marLeft w:val="640"/>
          <w:marRight w:val="0"/>
          <w:marTop w:val="0"/>
          <w:marBottom w:val="0"/>
          <w:divBdr>
            <w:top w:val="none" w:sz="0" w:space="0" w:color="auto"/>
            <w:left w:val="none" w:sz="0" w:space="0" w:color="auto"/>
            <w:bottom w:val="none" w:sz="0" w:space="0" w:color="auto"/>
            <w:right w:val="none" w:sz="0" w:space="0" w:color="auto"/>
          </w:divBdr>
        </w:div>
        <w:div w:id="1700399030">
          <w:marLeft w:val="640"/>
          <w:marRight w:val="0"/>
          <w:marTop w:val="0"/>
          <w:marBottom w:val="0"/>
          <w:divBdr>
            <w:top w:val="none" w:sz="0" w:space="0" w:color="auto"/>
            <w:left w:val="none" w:sz="0" w:space="0" w:color="auto"/>
            <w:bottom w:val="none" w:sz="0" w:space="0" w:color="auto"/>
            <w:right w:val="none" w:sz="0" w:space="0" w:color="auto"/>
          </w:divBdr>
        </w:div>
        <w:div w:id="1185292797">
          <w:marLeft w:val="640"/>
          <w:marRight w:val="0"/>
          <w:marTop w:val="0"/>
          <w:marBottom w:val="0"/>
          <w:divBdr>
            <w:top w:val="none" w:sz="0" w:space="0" w:color="auto"/>
            <w:left w:val="none" w:sz="0" w:space="0" w:color="auto"/>
            <w:bottom w:val="none" w:sz="0" w:space="0" w:color="auto"/>
            <w:right w:val="none" w:sz="0" w:space="0" w:color="auto"/>
          </w:divBdr>
        </w:div>
        <w:div w:id="1241908291">
          <w:marLeft w:val="640"/>
          <w:marRight w:val="0"/>
          <w:marTop w:val="0"/>
          <w:marBottom w:val="0"/>
          <w:divBdr>
            <w:top w:val="none" w:sz="0" w:space="0" w:color="auto"/>
            <w:left w:val="none" w:sz="0" w:space="0" w:color="auto"/>
            <w:bottom w:val="none" w:sz="0" w:space="0" w:color="auto"/>
            <w:right w:val="none" w:sz="0" w:space="0" w:color="auto"/>
          </w:divBdr>
        </w:div>
        <w:div w:id="1169980539">
          <w:marLeft w:val="640"/>
          <w:marRight w:val="0"/>
          <w:marTop w:val="0"/>
          <w:marBottom w:val="0"/>
          <w:divBdr>
            <w:top w:val="none" w:sz="0" w:space="0" w:color="auto"/>
            <w:left w:val="none" w:sz="0" w:space="0" w:color="auto"/>
            <w:bottom w:val="none" w:sz="0" w:space="0" w:color="auto"/>
            <w:right w:val="none" w:sz="0" w:space="0" w:color="auto"/>
          </w:divBdr>
        </w:div>
        <w:div w:id="1920745819">
          <w:marLeft w:val="640"/>
          <w:marRight w:val="0"/>
          <w:marTop w:val="0"/>
          <w:marBottom w:val="0"/>
          <w:divBdr>
            <w:top w:val="none" w:sz="0" w:space="0" w:color="auto"/>
            <w:left w:val="none" w:sz="0" w:space="0" w:color="auto"/>
            <w:bottom w:val="none" w:sz="0" w:space="0" w:color="auto"/>
            <w:right w:val="none" w:sz="0" w:space="0" w:color="auto"/>
          </w:divBdr>
        </w:div>
        <w:div w:id="878931645">
          <w:marLeft w:val="640"/>
          <w:marRight w:val="0"/>
          <w:marTop w:val="0"/>
          <w:marBottom w:val="0"/>
          <w:divBdr>
            <w:top w:val="none" w:sz="0" w:space="0" w:color="auto"/>
            <w:left w:val="none" w:sz="0" w:space="0" w:color="auto"/>
            <w:bottom w:val="none" w:sz="0" w:space="0" w:color="auto"/>
            <w:right w:val="none" w:sz="0" w:space="0" w:color="auto"/>
          </w:divBdr>
        </w:div>
        <w:div w:id="402994126">
          <w:marLeft w:val="640"/>
          <w:marRight w:val="0"/>
          <w:marTop w:val="0"/>
          <w:marBottom w:val="0"/>
          <w:divBdr>
            <w:top w:val="none" w:sz="0" w:space="0" w:color="auto"/>
            <w:left w:val="none" w:sz="0" w:space="0" w:color="auto"/>
            <w:bottom w:val="none" w:sz="0" w:space="0" w:color="auto"/>
            <w:right w:val="none" w:sz="0" w:space="0" w:color="auto"/>
          </w:divBdr>
        </w:div>
        <w:div w:id="702831778">
          <w:marLeft w:val="640"/>
          <w:marRight w:val="0"/>
          <w:marTop w:val="0"/>
          <w:marBottom w:val="0"/>
          <w:divBdr>
            <w:top w:val="none" w:sz="0" w:space="0" w:color="auto"/>
            <w:left w:val="none" w:sz="0" w:space="0" w:color="auto"/>
            <w:bottom w:val="none" w:sz="0" w:space="0" w:color="auto"/>
            <w:right w:val="none" w:sz="0" w:space="0" w:color="auto"/>
          </w:divBdr>
        </w:div>
        <w:div w:id="17976442">
          <w:marLeft w:val="640"/>
          <w:marRight w:val="0"/>
          <w:marTop w:val="0"/>
          <w:marBottom w:val="0"/>
          <w:divBdr>
            <w:top w:val="none" w:sz="0" w:space="0" w:color="auto"/>
            <w:left w:val="none" w:sz="0" w:space="0" w:color="auto"/>
            <w:bottom w:val="none" w:sz="0" w:space="0" w:color="auto"/>
            <w:right w:val="none" w:sz="0" w:space="0" w:color="auto"/>
          </w:divBdr>
        </w:div>
        <w:div w:id="1575889700">
          <w:marLeft w:val="640"/>
          <w:marRight w:val="0"/>
          <w:marTop w:val="0"/>
          <w:marBottom w:val="0"/>
          <w:divBdr>
            <w:top w:val="none" w:sz="0" w:space="0" w:color="auto"/>
            <w:left w:val="none" w:sz="0" w:space="0" w:color="auto"/>
            <w:bottom w:val="none" w:sz="0" w:space="0" w:color="auto"/>
            <w:right w:val="none" w:sz="0" w:space="0" w:color="auto"/>
          </w:divBdr>
        </w:div>
        <w:div w:id="459497315">
          <w:marLeft w:val="640"/>
          <w:marRight w:val="0"/>
          <w:marTop w:val="0"/>
          <w:marBottom w:val="0"/>
          <w:divBdr>
            <w:top w:val="none" w:sz="0" w:space="0" w:color="auto"/>
            <w:left w:val="none" w:sz="0" w:space="0" w:color="auto"/>
            <w:bottom w:val="none" w:sz="0" w:space="0" w:color="auto"/>
            <w:right w:val="none" w:sz="0" w:space="0" w:color="auto"/>
          </w:divBdr>
        </w:div>
        <w:div w:id="1047729252">
          <w:marLeft w:val="640"/>
          <w:marRight w:val="0"/>
          <w:marTop w:val="0"/>
          <w:marBottom w:val="0"/>
          <w:divBdr>
            <w:top w:val="none" w:sz="0" w:space="0" w:color="auto"/>
            <w:left w:val="none" w:sz="0" w:space="0" w:color="auto"/>
            <w:bottom w:val="none" w:sz="0" w:space="0" w:color="auto"/>
            <w:right w:val="none" w:sz="0" w:space="0" w:color="auto"/>
          </w:divBdr>
        </w:div>
        <w:div w:id="1641421672">
          <w:marLeft w:val="640"/>
          <w:marRight w:val="0"/>
          <w:marTop w:val="0"/>
          <w:marBottom w:val="0"/>
          <w:divBdr>
            <w:top w:val="none" w:sz="0" w:space="0" w:color="auto"/>
            <w:left w:val="none" w:sz="0" w:space="0" w:color="auto"/>
            <w:bottom w:val="none" w:sz="0" w:space="0" w:color="auto"/>
            <w:right w:val="none" w:sz="0" w:space="0" w:color="auto"/>
          </w:divBdr>
        </w:div>
        <w:div w:id="425421507">
          <w:marLeft w:val="640"/>
          <w:marRight w:val="0"/>
          <w:marTop w:val="0"/>
          <w:marBottom w:val="0"/>
          <w:divBdr>
            <w:top w:val="none" w:sz="0" w:space="0" w:color="auto"/>
            <w:left w:val="none" w:sz="0" w:space="0" w:color="auto"/>
            <w:bottom w:val="none" w:sz="0" w:space="0" w:color="auto"/>
            <w:right w:val="none" w:sz="0" w:space="0" w:color="auto"/>
          </w:divBdr>
        </w:div>
        <w:div w:id="1130515455">
          <w:marLeft w:val="640"/>
          <w:marRight w:val="0"/>
          <w:marTop w:val="0"/>
          <w:marBottom w:val="0"/>
          <w:divBdr>
            <w:top w:val="none" w:sz="0" w:space="0" w:color="auto"/>
            <w:left w:val="none" w:sz="0" w:space="0" w:color="auto"/>
            <w:bottom w:val="none" w:sz="0" w:space="0" w:color="auto"/>
            <w:right w:val="none" w:sz="0" w:space="0" w:color="auto"/>
          </w:divBdr>
        </w:div>
        <w:div w:id="406078491">
          <w:marLeft w:val="640"/>
          <w:marRight w:val="0"/>
          <w:marTop w:val="0"/>
          <w:marBottom w:val="0"/>
          <w:divBdr>
            <w:top w:val="none" w:sz="0" w:space="0" w:color="auto"/>
            <w:left w:val="none" w:sz="0" w:space="0" w:color="auto"/>
            <w:bottom w:val="none" w:sz="0" w:space="0" w:color="auto"/>
            <w:right w:val="none" w:sz="0" w:space="0" w:color="auto"/>
          </w:divBdr>
        </w:div>
        <w:div w:id="1266187483">
          <w:marLeft w:val="640"/>
          <w:marRight w:val="0"/>
          <w:marTop w:val="0"/>
          <w:marBottom w:val="0"/>
          <w:divBdr>
            <w:top w:val="none" w:sz="0" w:space="0" w:color="auto"/>
            <w:left w:val="none" w:sz="0" w:space="0" w:color="auto"/>
            <w:bottom w:val="none" w:sz="0" w:space="0" w:color="auto"/>
            <w:right w:val="none" w:sz="0" w:space="0" w:color="auto"/>
          </w:divBdr>
        </w:div>
        <w:div w:id="244648753">
          <w:marLeft w:val="640"/>
          <w:marRight w:val="0"/>
          <w:marTop w:val="0"/>
          <w:marBottom w:val="0"/>
          <w:divBdr>
            <w:top w:val="none" w:sz="0" w:space="0" w:color="auto"/>
            <w:left w:val="none" w:sz="0" w:space="0" w:color="auto"/>
            <w:bottom w:val="none" w:sz="0" w:space="0" w:color="auto"/>
            <w:right w:val="none" w:sz="0" w:space="0" w:color="auto"/>
          </w:divBdr>
        </w:div>
        <w:div w:id="1278298924">
          <w:marLeft w:val="640"/>
          <w:marRight w:val="0"/>
          <w:marTop w:val="0"/>
          <w:marBottom w:val="0"/>
          <w:divBdr>
            <w:top w:val="none" w:sz="0" w:space="0" w:color="auto"/>
            <w:left w:val="none" w:sz="0" w:space="0" w:color="auto"/>
            <w:bottom w:val="none" w:sz="0" w:space="0" w:color="auto"/>
            <w:right w:val="none" w:sz="0" w:space="0" w:color="auto"/>
          </w:divBdr>
        </w:div>
        <w:div w:id="2080323286">
          <w:marLeft w:val="640"/>
          <w:marRight w:val="0"/>
          <w:marTop w:val="0"/>
          <w:marBottom w:val="0"/>
          <w:divBdr>
            <w:top w:val="none" w:sz="0" w:space="0" w:color="auto"/>
            <w:left w:val="none" w:sz="0" w:space="0" w:color="auto"/>
            <w:bottom w:val="none" w:sz="0" w:space="0" w:color="auto"/>
            <w:right w:val="none" w:sz="0" w:space="0" w:color="auto"/>
          </w:divBdr>
        </w:div>
        <w:div w:id="1907258257">
          <w:marLeft w:val="640"/>
          <w:marRight w:val="0"/>
          <w:marTop w:val="0"/>
          <w:marBottom w:val="0"/>
          <w:divBdr>
            <w:top w:val="none" w:sz="0" w:space="0" w:color="auto"/>
            <w:left w:val="none" w:sz="0" w:space="0" w:color="auto"/>
            <w:bottom w:val="none" w:sz="0" w:space="0" w:color="auto"/>
            <w:right w:val="none" w:sz="0" w:space="0" w:color="auto"/>
          </w:divBdr>
        </w:div>
        <w:div w:id="974455128">
          <w:marLeft w:val="640"/>
          <w:marRight w:val="0"/>
          <w:marTop w:val="0"/>
          <w:marBottom w:val="0"/>
          <w:divBdr>
            <w:top w:val="none" w:sz="0" w:space="0" w:color="auto"/>
            <w:left w:val="none" w:sz="0" w:space="0" w:color="auto"/>
            <w:bottom w:val="none" w:sz="0" w:space="0" w:color="auto"/>
            <w:right w:val="none" w:sz="0" w:space="0" w:color="auto"/>
          </w:divBdr>
        </w:div>
        <w:div w:id="1716932317">
          <w:marLeft w:val="640"/>
          <w:marRight w:val="0"/>
          <w:marTop w:val="0"/>
          <w:marBottom w:val="0"/>
          <w:divBdr>
            <w:top w:val="none" w:sz="0" w:space="0" w:color="auto"/>
            <w:left w:val="none" w:sz="0" w:space="0" w:color="auto"/>
            <w:bottom w:val="none" w:sz="0" w:space="0" w:color="auto"/>
            <w:right w:val="none" w:sz="0" w:space="0" w:color="auto"/>
          </w:divBdr>
        </w:div>
        <w:div w:id="953563759">
          <w:marLeft w:val="640"/>
          <w:marRight w:val="0"/>
          <w:marTop w:val="0"/>
          <w:marBottom w:val="0"/>
          <w:divBdr>
            <w:top w:val="none" w:sz="0" w:space="0" w:color="auto"/>
            <w:left w:val="none" w:sz="0" w:space="0" w:color="auto"/>
            <w:bottom w:val="none" w:sz="0" w:space="0" w:color="auto"/>
            <w:right w:val="none" w:sz="0" w:space="0" w:color="auto"/>
          </w:divBdr>
        </w:div>
        <w:div w:id="601305554">
          <w:marLeft w:val="640"/>
          <w:marRight w:val="0"/>
          <w:marTop w:val="0"/>
          <w:marBottom w:val="0"/>
          <w:divBdr>
            <w:top w:val="none" w:sz="0" w:space="0" w:color="auto"/>
            <w:left w:val="none" w:sz="0" w:space="0" w:color="auto"/>
            <w:bottom w:val="none" w:sz="0" w:space="0" w:color="auto"/>
            <w:right w:val="none" w:sz="0" w:space="0" w:color="auto"/>
          </w:divBdr>
        </w:div>
        <w:div w:id="565384933">
          <w:marLeft w:val="640"/>
          <w:marRight w:val="0"/>
          <w:marTop w:val="0"/>
          <w:marBottom w:val="0"/>
          <w:divBdr>
            <w:top w:val="none" w:sz="0" w:space="0" w:color="auto"/>
            <w:left w:val="none" w:sz="0" w:space="0" w:color="auto"/>
            <w:bottom w:val="none" w:sz="0" w:space="0" w:color="auto"/>
            <w:right w:val="none" w:sz="0" w:space="0" w:color="auto"/>
          </w:divBdr>
        </w:div>
        <w:div w:id="2004312443">
          <w:marLeft w:val="640"/>
          <w:marRight w:val="0"/>
          <w:marTop w:val="0"/>
          <w:marBottom w:val="0"/>
          <w:divBdr>
            <w:top w:val="none" w:sz="0" w:space="0" w:color="auto"/>
            <w:left w:val="none" w:sz="0" w:space="0" w:color="auto"/>
            <w:bottom w:val="none" w:sz="0" w:space="0" w:color="auto"/>
            <w:right w:val="none" w:sz="0" w:space="0" w:color="auto"/>
          </w:divBdr>
        </w:div>
        <w:div w:id="1042171468">
          <w:marLeft w:val="640"/>
          <w:marRight w:val="0"/>
          <w:marTop w:val="0"/>
          <w:marBottom w:val="0"/>
          <w:divBdr>
            <w:top w:val="none" w:sz="0" w:space="0" w:color="auto"/>
            <w:left w:val="none" w:sz="0" w:space="0" w:color="auto"/>
            <w:bottom w:val="none" w:sz="0" w:space="0" w:color="auto"/>
            <w:right w:val="none" w:sz="0" w:space="0" w:color="auto"/>
          </w:divBdr>
        </w:div>
        <w:div w:id="756752823">
          <w:marLeft w:val="640"/>
          <w:marRight w:val="0"/>
          <w:marTop w:val="0"/>
          <w:marBottom w:val="0"/>
          <w:divBdr>
            <w:top w:val="none" w:sz="0" w:space="0" w:color="auto"/>
            <w:left w:val="none" w:sz="0" w:space="0" w:color="auto"/>
            <w:bottom w:val="none" w:sz="0" w:space="0" w:color="auto"/>
            <w:right w:val="none" w:sz="0" w:space="0" w:color="auto"/>
          </w:divBdr>
        </w:div>
        <w:div w:id="286937822">
          <w:marLeft w:val="640"/>
          <w:marRight w:val="0"/>
          <w:marTop w:val="0"/>
          <w:marBottom w:val="0"/>
          <w:divBdr>
            <w:top w:val="none" w:sz="0" w:space="0" w:color="auto"/>
            <w:left w:val="none" w:sz="0" w:space="0" w:color="auto"/>
            <w:bottom w:val="none" w:sz="0" w:space="0" w:color="auto"/>
            <w:right w:val="none" w:sz="0" w:space="0" w:color="auto"/>
          </w:divBdr>
        </w:div>
        <w:div w:id="222645315">
          <w:marLeft w:val="640"/>
          <w:marRight w:val="0"/>
          <w:marTop w:val="0"/>
          <w:marBottom w:val="0"/>
          <w:divBdr>
            <w:top w:val="none" w:sz="0" w:space="0" w:color="auto"/>
            <w:left w:val="none" w:sz="0" w:space="0" w:color="auto"/>
            <w:bottom w:val="none" w:sz="0" w:space="0" w:color="auto"/>
            <w:right w:val="none" w:sz="0" w:space="0" w:color="auto"/>
          </w:divBdr>
        </w:div>
        <w:div w:id="1007635344">
          <w:marLeft w:val="640"/>
          <w:marRight w:val="0"/>
          <w:marTop w:val="0"/>
          <w:marBottom w:val="0"/>
          <w:divBdr>
            <w:top w:val="none" w:sz="0" w:space="0" w:color="auto"/>
            <w:left w:val="none" w:sz="0" w:space="0" w:color="auto"/>
            <w:bottom w:val="none" w:sz="0" w:space="0" w:color="auto"/>
            <w:right w:val="none" w:sz="0" w:space="0" w:color="auto"/>
          </w:divBdr>
        </w:div>
        <w:div w:id="806316999">
          <w:marLeft w:val="640"/>
          <w:marRight w:val="0"/>
          <w:marTop w:val="0"/>
          <w:marBottom w:val="0"/>
          <w:divBdr>
            <w:top w:val="none" w:sz="0" w:space="0" w:color="auto"/>
            <w:left w:val="none" w:sz="0" w:space="0" w:color="auto"/>
            <w:bottom w:val="none" w:sz="0" w:space="0" w:color="auto"/>
            <w:right w:val="none" w:sz="0" w:space="0" w:color="auto"/>
          </w:divBdr>
        </w:div>
        <w:div w:id="1835023853">
          <w:marLeft w:val="640"/>
          <w:marRight w:val="0"/>
          <w:marTop w:val="0"/>
          <w:marBottom w:val="0"/>
          <w:divBdr>
            <w:top w:val="none" w:sz="0" w:space="0" w:color="auto"/>
            <w:left w:val="none" w:sz="0" w:space="0" w:color="auto"/>
            <w:bottom w:val="none" w:sz="0" w:space="0" w:color="auto"/>
            <w:right w:val="none" w:sz="0" w:space="0" w:color="auto"/>
          </w:divBdr>
        </w:div>
        <w:div w:id="211619241">
          <w:marLeft w:val="640"/>
          <w:marRight w:val="0"/>
          <w:marTop w:val="0"/>
          <w:marBottom w:val="0"/>
          <w:divBdr>
            <w:top w:val="none" w:sz="0" w:space="0" w:color="auto"/>
            <w:left w:val="none" w:sz="0" w:space="0" w:color="auto"/>
            <w:bottom w:val="none" w:sz="0" w:space="0" w:color="auto"/>
            <w:right w:val="none" w:sz="0" w:space="0" w:color="auto"/>
          </w:divBdr>
        </w:div>
        <w:div w:id="1247961527">
          <w:marLeft w:val="640"/>
          <w:marRight w:val="0"/>
          <w:marTop w:val="0"/>
          <w:marBottom w:val="0"/>
          <w:divBdr>
            <w:top w:val="none" w:sz="0" w:space="0" w:color="auto"/>
            <w:left w:val="none" w:sz="0" w:space="0" w:color="auto"/>
            <w:bottom w:val="none" w:sz="0" w:space="0" w:color="auto"/>
            <w:right w:val="none" w:sz="0" w:space="0" w:color="auto"/>
          </w:divBdr>
        </w:div>
        <w:div w:id="667903534">
          <w:marLeft w:val="640"/>
          <w:marRight w:val="0"/>
          <w:marTop w:val="0"/>
          <w:marBottom w:val="0"/>
          <w:divBdr>
            <w:top w:val="none" w:sz="0" w:space="0" w:color="auto"/>
            <w:left w:val="none" w:sz="0" w:space="0" w:color="auto"/>
            <w:bottom w:val="none" w:sz="0" w:space="0" w:color="auto"/>
            <w:right w:val="none" w:sz="0" w:space="0" w:color="auto"/>
          </w:divBdr>
        </w:div>
        <w:div w:id="1507859566">
          <w:marLeft w:val="640"/>
          <w:marRight w:val="0"/>
          <w:marTop w:val="0"/>
          <w:marBottom w:val="0"/>
          <w:divBdr>
            <w:top w:val="none" w:sz="0" w:space="0" w:color="auto"/>
            <w:left w:val="none" w:sz="0" w:space="0" w:color="auto"/>
            <w:bottom w:val="none" w:sz="0" w:space="0" w:color="auto"/>
            <w:right w:val="none" w:sz="0" w:space="0" w:color="auto"/>
          </w:divBdr>
        </w:div>
        <w:div w:id="2108621666">
          <w:marLeft w:val="640"/>
          <w:marRight w:val="0"/>
          <w:marTop w:val="0"/>
          <w:marBottom w:val="0"/>
          <w:divBdr>
            <w:top w:val="none" w:sz="0" w:space="0" w:color="auto"/>
            <w:left w:val="none" w:sz="0" w:space="0" w:color="auto"/>
            <w:bottom w:val="none" w:sz="0" w:space="0" w:color="auto"/>
            <w:right w:val="none" w:sz="0" w:space="0" w:color="auto"/>
          </w:divBdr>
        </w:div>
        <w:div w:id="1560046271">
          <w:marLeft w:val="640"/>
          <w:marRight w:val="0"/>
          <w:marTop w:val="0"/>
          <w:marBottom w:val="0"/>
          <w:divBdr>
            <w:top w:val="none" w:sz="0" w:space="0" w:color="auto"/>
            <w:left w:val="none" w:sz="0" w:space="0" w:color="auto"/>
            <w:bottom w:val="none" w:sz="0" w:space="0" w:color="auto"/>
            <w:right w:val="none" w:sz="0" w:space="0" w:color="auto"/>
          </w:divBdr>
        </w:div>
        <w:div w:id="2011130849">
          <w:marLeft w:val="640"/>
          <w:marRight w:val="0"/>
          <w:marTop w:val="0"/>
          <w:marBottom w:val="0"/>
          <w:divBdr>
            <w:top w:val="none" w:sz="0" w:space="0" w:color="auto"/>
            <w:left w:val="none" w:sz="0" w:space="0" w:color="auto"/>
            <w:bottom w:val="none" w:sz="0" w:space="0" w:color="auto"/>
            <w:right w:val="none" w:sz="0" w:space="0" w:color="auto"/>
          </w:divBdr>
        </w:div>
        <w:div w:id="1138106420">
          <w:marLeft w:val="640"/>
          <w:marRight w:val="0"/>
          <w:marTop w:val="0"/>
          <w:marBottom w:val="0"/>
          <w:divBdr>
            <w:top w:val="none" w:sz="0" w:space="0" w:color="auto"/>
            <w:left w:val="none" w:sz="0" w:space="0" w:color="auto"/>
            <w:bottom w:val="none" w:sz="0" w:space="0" w:color="auto"/>
            <w:right w:val="none" w:sz="0" w:space="0" w:color="auto"/>
          </w:divBdr>
        </w:div>
        <w:div w:id="1241988141">
          <w:marLeft w:val="640"/>
          <w:marRight w:val="0"/>
          <w:marTop w:val="0"/>
          <w:marBottom w:val="0"/>
          <w:divBdr>
            <w:top w:val="none" w:sz="0" w:space="0" w:color="auto"/>
            <w:left w:val="none" w:sz="0" w:space="0" w:color="auto"/>
            <w:bottom w:val="none" w:sz="0" w:space="0" w:color="auto"/>
            <w:right w:val="none" w:sz="0" w:space="0" w:color="auto"/>
          </w:divBdr>
        </w:div>
        <w:div w:id="831877259">
          <w:marLeft w:val="640"/>
          <w:marRight w:val="0"/>
          <w:marTop w:val="0"/>
          <w:marBottom w:val="0"/>
          <w:divBdr>
            <w:top w:val="none" w:sz="0" w:space="0" w:color="auto"/>
            <w:left w:val="none" w:sz="0" w:space="0" w:color="auto"/>
            <w:bottom w:val="none" w:sz="0" w:space="0" w:color="auto"/>
            <w:right w:val="none" w:sz="0" w:space="0" w:color="auto"/>
          </w:divBdr>
        </w:div>
        <w:div w:id="71004858">
          <w:marLeft w:val="640"/>
          <w:marRight w:val="0"/>
          <w:marTop w:val="0"/>
          <w:marBottom w:val="0"/>
          <w:divBdr>
            <w:top w:val="none" w:sz="0" w:space="0" w:color="auto"/>
            <w:left w:val="none" w:sz="0" w:space="0" w:color="auto"/>
            <w:bottom w:val="none" w:sz="0" w:space="0" w:color="auto"/>
            <w:right w:val="none" w:sz="0" w:space="0" w:color="auto"/>
          </w:divBdr>
        </w:div>
        <w:div w:id="1054963576">
          <w:marLeft w:val="640"/>
          <w:marRight w:val="0"/>
          <w:marTop w:val="0"/>
          <w:marBottom w:val="0"/>
          <w:divBdr>
            <w:top w:val="none" w:sz="0" w:space="0" w:color="auto"/>
            <w:left w:val="none" w:sz="0" w:space="0" w:color="auto"/>
            <w:bottom w:val="none" w:sz="0" w:space="0" w:color="auto"/>
            <w:right w:val="none" w:sz="0" w:space="0" w:color="auto"/>
          </w:divBdr>
        </w:div>
        <w:div w:id="144901175">
          <w:marLeft w:val="640"/>
          <w:marRight w:val="0"/>
          <w:marTop w:val="0"/>
          <w:marBottom w:val="0"/>
          <w:divBdr>
            <w:top w:val="none" w:sz="0" w:space="0" w:color="auto"/>
            <w:left w:val="none" w:sz="0" w:space="0" w:color="auto"/>
            <w:bottom w:val="none" w:sz="0" w:space="0" w:color="auto"/>
            <w:right w:val="none" w:sz="0" w:space="0" w:color="auto"/>
          </w:divBdr>
        </w:div>
        <w:div w:id="1202667032">
          <w:marLeft w:val="640"/>
          <w:marRight w:val="0"/>
          <w:marTop w:val="0"/>
          <w:marBottom w:val="0"/>
          <w:divBdr>
            <w:top w:val="none" w:sz="0" w:space="0" w:color="auto"/>
            <w:left w:val="none" w:sz="0" w:space="0" w:color="auto"/>
            <w:bottom w:val="none" w:sz="0" w:space="0" w:color="auto"/>
            <w:right w:val="none" w:sz="0" w:space="0" w:color="auto"/>
          </w:divBdr>
        </w:div>
        <w:div w:id="2052069638">
          <w:marLeft w:val="640"/>
          <w:marRight w:val="0"/>
          <w:marTop w:val="0"/>
          <w:marBottom w:val="0"/>
          <w:divBdr>
            <w:top w:val="none" w:sz="0" w:space="0" w:color="auto"/>
            <w:left w:val="none" w:sz="0" w:space="0" w:color="auto"/>
            <w:bottom w:val="none" w:sz="0" w:space="0" w:color="auto"/>
            <w:right w:val="none" w:sz="0" w:space="0" w:color="auto"/>
          </w:divBdr>
        </w:div>
      </w:divsChild>
    </w:div>
    <w:div w:id="2035375840">
      <w:bodyDiv w:val="1"/>
      <w:marLeft w:val="0"/>
      <w:marRight w:val="0"/>
      <w:marTop w:val="0"/>
      <w:marBottom w:val="0"/>
      <w:divBdr>
        <w:top w:val="none" w:sz="0" w:space="0" w:color="auto"/>
        <w:left w:val="none" w:sz="0" w:space="0" w:color="auto"/>
        <w:bottom w:val="none" w:sz="0" w:space="0" w:color="auto"/>
        <w:right w:val="none" w:sz="0" w:space="0" w:color="auto"/>
      </w:divBdr>
      <w:divsChild>
        <w:div w:id="620456783">
          <w:marLeft w:val="640"/>
          <w:marRight w:val="0"/>
          <w:marTop w:val="0"/>
          <w:marBottom w:val="0"/>
          <w:divBdr>
            <w:top w:val="none" w:sz="0" w:space="0" w:color="auto"/>
            <w:left w:val="none" w:sz="0" w:space="0" w:color="auto"/>
            <w:bottom w:val="none" w:sz="0" w:space="0" w:color="auto"/>
            <w:right w:val="none" w:sz="0" w:space="0" w:color="auto"/>
          </w:divBdr>
        </w:div>
        <w:div w:id="2128162779">
          <w:marLeft w:val="640"/>
          <w:marRight w:val="0"/>
          <w:marTop w:val="0"/>
          <w:marBottom w:val="0"/>
          <w:divBdr>
            <w:top w:val="none" w:sz="0" w:space="0" w:color="auto"/>
            <w:left w:val="none" w:sz="0" w:space="0" w:color="auto"/>
            <w:bottom w:val="none" w:sz="0" w:space="0" w:color="auto"/>
            <w:right w:val="none" w:sz="0" w:space="0" w:color="auto"/>
          </w:divBdr>
        </w:div>
        <w:div w:id="1916813028">
          <w:marLeft w:val="640"/>
          <w:marRight w:val="0"/>
          <w:marTop w:val="0"/>
          <w:marBottom w:val="0"/>
          <w:divBdr>
            <w:top w:val="none" w:sz="0" w:space="0" w:color="auto"/>
            <w:left w:val="none" w:sz="0" w:space="0" w:color="auto"/>
            <w:bottom w:val="none" w:sz="0" w:space="0" w:color="auto"/>
            <w:right w:val="none" w:sz="0" w:space="0" w:color="auto"/>
          </w:divBdr>
        </w:div>
        <w:div w:id="428819913">
          <w:marLeft w:val="640"/>
          <w:marRight w:val="0"/>
          <w:marTop w:val="0"/>
          <w:marBottom w:val="0"/>
          <w:divBdr>
            <w:top w:val="none" w:sz="0" w:space="0" w:color="auto"/>
            <w:left w:val="none" w:sz="0" w:space="0" w:color="auto"/>
            <w:bottom w:val="none" w:sz="0" w:space="0" w:color="auto"/>
            <w:right w:val="none" w:sz="0" w:space="0" w:color="auto"/>
          </w:divBdr>
        </w:div>
        <w:div w:id="417672647">
          <w:marLeft w:val="640"/>
          <w:marRight w:val="0"/>
          <w:marTop w:val="0"/>
          <w:marBottom w:val="0"/>
          <w:divBdr>
            <w:top w:val="none" w:sz="0" w:space="0" w:color="auto"/>
            <w:left w:val="none" w:sz="0" w:space="0" w:color="auto"/>
            <w:bottom w:val="none" w:sz="0" w:space="0" w:color="auto"/>
            <w:right w:val="none" w:sz="0" w:space="0" w:color="auto"/>
          </w:divBdr>
        </w:div>
        <w:div w:id="203296476">
          <w:marLeft w:val="640"/>
          <w:marRight w:val="0"/>
          <w:marTop w:val="0"/>
          <w:marBottom w:val="0"/>
          <w:divBdr>
            <w:top w:val="none" w:sz="0" w:space="0" w:color="auto"/>
            <w:left w:val="none" w:sz="0" w:space="0" w:color="auto"/>
            <w:bottom w:val="none" w:sz="0" w:space="0" w:color="auto"/>
            <w:right w:val="none" w:sz="0" w:space="0" w:color="auto"/>
          </w:divBdr>
        </w:div>
        <w:div w:id="759107223">
          <w:marLeft w:val="640"/>
          <w:marRight w:val="0"/>
          <w:marTop w:val="0"/>
          <w:marBottom w:val="0"/>
          <w:divBdr>
            <w:top w:val="none" w:sz="0" w:space="0" w:color="auto"/>
            <w:left w:val="none" w:sz="0" w:space="0" w:color="auto"/>
            <w:bottom w:val="none" w:sz="0" w:space="0" w:color="auto"/>
            <w:right w:val="none" w:sz="0" w:space="0" w:color="auto"/>
          </w:divBdr>
        </w:div>
        <w:div w:id="1058162147">
          <w:marLeft w:val="640"/>
          <w:marRight w:val="0"/>
          <w:marTop w:val="0"/>
          <w:marBottom w:val="0"/>
          <w:divBdr>
            <w:top w:val="none" w:sz="0" w:space="0" w:color="auto"/>
            <w:left w:val="none" w:sz="0" w:space="0" w:color="auto"/>
            <w:bottom w:val="none" w:sz="0" w:space="0" w:color="auto"/>
            <w:right w:val="none" w:sz="0" w:space="0" w:color="auto"/>
          </w:divBdr>
        </w:div>
        <w:div w:id="2062095686">
          <w:marLeft w:val="640"/>
          <w:marRight w:val="0"/>
          <w:marTop w:val="0"/>
          <w:marBottom w:val="0"/>
          <w:divBdr>
            <w:top w:val="none" w:sz="0" w:space="0" w:color="auto"/>
            <w:left w:val="none" w:sz="0" w:space="0" w:color="auto"/>
            <w:bottom w:val="none" w:sz="0" w:space="0" w:color="auto"/>
            <w:right w:val="none" w:sz="0" w:space="0" w:color="auto"/>
          </w:divBdr>
        </w:div>
        <w:div w:id="590699942">
          <w:marLeft w:val="640"/>
          <w:marRight w:val="0"/>
          <w:marTop w:val="0"/>
          <w:marBottom w:val="0"/>
          <w:divBdr>
            <w:top w:val="none" w:sz="0" w:space="0" w:color="auto"/>
            <w:left w:val="none" w:sz="0" w:space="0" w:color="auto"/>
            <w:bottom w:val="none" w:sz="0" w:space="0" w:color="auto"/>
            <w:right w:val="none" w:sz="0" w:space="0" w:color="auto"/>
          </w:divBdr>
        </w:div>
        <w:div w:id="1754857951">
          <w:marLeft w:val="640"/>
          <w:marRight w:val="0"/>
          <w:marTop w:val="0"/>
          <w:marBottom w:val="0"/>
          <w:divBdr>
            <w:top w:val="none" w:sz="0" w:space="0" w:color="auto"/>
            <w:left w:val="none" w:sz="0" w:space="0" w:color="auto"/>
            <w:bottom w:val="none" w:sz="0" w:space="0" w:color="auto"/>
            <w:right w:val="none" w:sz="0" w:space="0" w:color="auto"/>
          </w:divBdr>
        </w:div>
        <w:div w:id="1711956195">
          <w:marLeft w:val="640"/>
          <w:marRight w:val="0"/>
          <w:marTop w:val="0"/>
          <w:marBottom w:val="0"/>
          <w:divBdr>
            <w:top w:val="none" w:sz="0" w:space="0" w:color="auto"/>
            <w:left w:val="none" w:sz="0" w:space="0" w:color="auto"/>
            <w:bottom w:val="none" w:sz="0" w:space="0" w:color="auto"/>
            <w:right w:val="none" w:sz="0" w:space="0" w:color="auto"/>
          </w:divBdr>
        </w:div>
        <w:div w:id="1560634447">
          <w:marLeft w:val="640"/>
          <w:marRight w:val="0"/>
          <w:marTop w:val="0"/>
          <w:marBottom w:val="0"/>
          <w:divBdr>
            <w:top w:val="none" w:sz="0" w:space="0" w:color="auto"/>
            <w:left w:val="none" w:sz="0" w:space="0" w:color="auto"/>
            <w:bottom w:val="none" w:sz="0" w:space="0" w:color="auto"/>
            <w:right w:val="none" w:sz="0" w:space="0" w:color="auto"/>
          </w:divBdr>
        </w:div>
        <w:div w:id="886456215">
          <w:marLeft w:val="640"/>
          <w:marRight w:val="0"/>
          <w:marTop w:val="0"/>
          <w:marBottom w:val="0"/>
          <w:divBdr>
            <w:top w:val="none" w:sz="0" w:space="0" w:color="auto"/>
            <w:left w:val="none" w:sz="0" w:space="0" w:color="auto"/>
            <w:bottom w:val="none" w:sz="0" w:space="0" w:color="auto"/>
            <w:right w:val="none" w:sz="0" w:space="0" w:color="auto"/>
          </w:divBdr>
        </w:div>
        <w:div w:id="1693874128">
          <w:marLeft w:val="640"/>
          <w:marRight w:val="0"/>
          <w:marTop w:val="0"/>
          <w:marBottom w:val="0"/>
          <w:divBdr>
            <w:top w:val="none" w:sz="0" w:space="0" w:color="auto"/>
            <w:left w:val="none" w:sz="0" w:space="0" w:color="auto"/>
            <w:bottom w:val="none" w:sz="0" w:space="0" w:color="auto"/>
            <w:right w:val="none" w:sz="0" w:space="0" w:color="auto"/>
          </w:divBdr>
        </w:div>
        <w:div w:id="906961737">
          <w:marLeft w:val="640"/>
          <w:marRight w:val="0"/>
          <w:marTop w:val="0"/>
          <w:marBottom w:val="0"/>
          <w:divBdr>
            <w:top w:val="none" w:sz="0" w:space="0" w:color="auto"/>
            <w:left w:val="none" w:sz="0" w:space="0" w:color="auto"/>
            <w:bottom w:val="none" w:sz="0" w:space="0" w:color="auto"/>
            <w:right w:val="none" w:sz="0" w:space="0" w:color="auto"/>
          </w:divBdr>
        </w:div>
        <w:div w:id="2044942094">
          <w:marLeft w:val="640"/>
          <w:marRight w:val="0"/>
          <w:marTop w:val="0"/>
          <w:marBottom w:val="0"/>
          <w:divBdr>
            <w:top w:val="none" w:sz="0" w:space="0" w:color="auto"/>
            <w:left w:val="none" w:sz="0" w:space="0" w:color="auto"/>
            <w:bottom w:val="none" w:sz="0" w:space="0" w:color="auto"/>
            <w:right w:val="none" w:sz="0" w:space="0" w:color="auto"/>
          </w:divBdr>
        </w:div>
        <w:div w:id="1941330412">
          <w:marLeft w:val="640"/>
          <w:marRight w:val="0"/>
          <w:marTop w:val="0"/>
          <w:marBottom w:val="0"/>
          <w:divBdr>
            <w:top w:val="none" w:sz="0" w:space="0" w:color="auto"/>
            <w:left w:val="none" w:sz="0" w:space="0" w:color="auto"/>
            <w:bottom w:val="none" w:sz="0" w:space="0" w:color="auto"/>
            <w:right w:val="none" w:sz="0" w:space="0" w:color="auto"/>
          </w:divBdr>
        </w:div>
        <w:div w:id="427239991">
          <w:marLeft w:val="640"/>
          <w:marRight w:val="0"/>
          <w:marTop w:val="0"/>
          <w:marBottom w:val="0"/>
          <w:divBdr>
            <w:top w:val="none" w:sz="0" w:space="0" w:color="auto"/>
            <w:left w:val="none" w:sz="0" w:space="0" w:color="auto"/>
            <w:bottom w:val="none" w:sz="0" w:space="0" w:color="auto"/>
            <w:right w:val="none" w:sz="0" w:space="0" w:color="auto"/>
          </w:divBdr>
        </w:div>
        <w:div w:id="322973138">
          <w:marLeft w:val="640"/>
          <w:marRight w:val="0"/>
          <w:marTop w:val="0"/>
          <w:marBottom w:val="0"/>
          <w:divBdr>
            <w:top w:val="none" w:sz="0" w:space="0" w:color="auto"/>
            <w:left w:val="none" w:sz="0" w:space="0" w:color="auto"/>
            <w:bottom w:val="none" w:sz="0" w:space="0" w:color="auto"/>
            <w:right w:val="none" w:sz="0" w:space="0" w:color="auto"/>
          </w:divBdr>
        </w:div>
        <w:div w:id="1366519364">
          <w:marLeft w:val="640"/>
          <w:marRight w:val="0"/>
          <w:marTop w:val="0"/>
          <w:marBottom w:val="0"/>
          <w:divBdr>
            <w:top w:val="none" w:sz="0" w:space="0" w:color="auto"/>
            <w:left w:val="none" w:sz="0" w:space="0" w:color="auto"/>
            <w:bottom w:val="none" w:sz="0" w:space="0" w:color="auto"/>
            <w:right w:val="none" w:sz="0" w:space="0" w:color="auto"/>
          </w:divBdr>
        </w:div>
        <w:div w:id="1478957178">
          <w:marLeft w:val="640"/>
          <w:marRight w:val="0"/>
          <w:marTop w:val="0"/>
          <w:marBottom w:val="0"/>
          <w:divBdr>
            <w:top w:val="none" w:sz="0" w:space="0" w:color="auto"/>
            <w:left w:val="none" w:sz="0" w:space="0" w:color="auto"/>
            <w:bottom w:val="none" w:sz="0" w:space="0" w:color="auto"/>
            <w:right w:val="none" w:sz="0" w:space="0" w:color="auto"/>
          </w:divBdr>
        </w:div>
        <w:div w:id="794641847">
          <w:marLeft w:val="640"/>
          <w:marRight w:val="0"/>
          <w:marTop w:val="0"/>
          <w:marBottom w:val="0"/>
          <w:divBdr>
            <w:top w:val="none" w:sz="0" w:space="0" w:color="auto"/>
            <w:left w:val="none" w:sz="0" w:space="0" w:color="auto"/>
            <w:bottom w:val="none" w:sz="0" w:space="0" w:color="auto"/>
            <w:right w:val="none" w:sz="0" w:space="0" w:color="auto"/>
          </w:divBdr>
        </w:div>
        <w:div w:id="1079712579">
          <w:marLeft w:val="640"/>
          <w:marRight w:val="0"/>
          <w:marTop w:val="0"/>
          <w:marBottom w:val="0"/>
          <w:divBdr>
            <w:top w:val="none" w:sz="0" w:space="0" w:color="auto"/>
            <w:left w:val="none" w:sz="0" w:space="0" w:color="auto"/>
            <w:bottom w:val="none" w:sz="0" w:space="0" w:color="auto"/>
            <w:right w:val="none" w:sz="0" w:space="0" w:color="auto"/>
          </w:divBdr>
        </w:div>
        <w:div w:id="706612241">
          <w:marLeft w:val="640"/>
          <w:marRight w:val="0"/>
          <w:marTop w:val="0"/>
          <w:marBottom w:val="0"/>
          <w:divBdr>
            <w:top w:val="none" w:sz="0" w:space="0" w:color="auto"/>
            <w:left w:val="none" w:sz="0" w:space="0" w:color="auto"/>
            <w:bottom w:val="none" w:sz="0" w:space="0" w:color="auto"/>
            <w:right w:val="none" w:sz="0" w:space="0" w:color="auto"/>
          </w:divBdr>
        </w:div>
        <w:div w:id="1024211133">
          <w:marLeft w:val="640"/>
          <w:marRight w:val="0"/>
          <w:marTop w:val="0"/>
          <w:marBottom w:val="0"/>
          <w:divBdr>
            <w:top w:val="none" w:sz="0" w:space="0" w:color="auto"/>
            <w:left w:val="none" w:sz="0" w:space="0" w:color="auto"/>
            <w:bottom w:val="none" w:sz="0" w:space="0" w:color="auto"/>
            <w:right w:val="none" w:sz="0" w:space="0" w:color="auto"/>
          </w:divBdr>
        </w:div>
        <w:div w:id="1205410145">
          <w:marLeft w:val="640"/>
          <w:marRight w:val="0"/>
          <w:marTop w:val="0"/>
          <w:marBottom w:val="0"/>
          <w:divBdr>
            <w:top w:val="none" w:sz="0" w:space="0" w:color="auto"/>
            <w:left w:val="none" w:sz="0" w:space="0" w:color="auto"/>
            <w:bottom w:val="none" w:sz="0" w:space="0" w:color="auto"/>
            <w:right w:val="none" w:sz="0" w:space="0" w:color="auto"/>
          </w:divBdr>
        </w:div>
        <w:div w:id="630982265">
          <w:marLeft w:val="640"/>
          <w:marRight w:val="0"/>
          <w:marTop w:val="0"/>
          <w:marBottom w:val="0"/>
          <w:divBdr>
            <w:top w:val="none" w:sz="0" w:space="0" w:color="auto"/>
            <w:left w:val="none" w:sz="0" w:space="0" w:color="auto"/>
            <w:bottom w:val="none" w:sz="0" w:space="0" w:color="auto"/>
            <w:right w:val="none" w:sz="0" w:space="0" w:color="auto"/>
          </w:divBdr>
        </w:div>
        <w:div w:id="1343362849">
          <w:marLeft w:val="640"/>
          <w:marRight w:val="0"/>
          <w:marTop w:val="0"/>
          <w:marBottom w:val="0"/>
          <w:divBdr>
            <w:top w:val="none" w:sz="0" w:space="0" w:color="auto"/>
            <w:left w:val="none" w:sz="0" w:space="0" w:color="auto"/>
            <w:bottom w:val="none" w:sz="0" w:space="0" w:color="auto"/>
            <w:right w:val="none" w:sz="0" w:space="0" w:color="auto"/>
          </w:divBdr>
        </w:div>
        <w:div w:id="546721933">
          <w:marLeft w:val="640"/>
          <w:marRight w:val="0"/>
          <w:marTop w:val="0"/>
          <w:marBottom w:val="0"/>
          <w:divBdr>
            <w:top w:val="none" w:sz="0" w:space="0" w:color="auto"/>
            <w:left w:val="none" w:sz="0" w:space="0" w:color="auto"/>
            <w:bottom w:val="none" w:sz="0" w:space="0" w:color="auto"/>
            <w:right w:val="none" w:sz="0" w:space="0" w:color="auto"/>
          </w:divBdr>
        </w:div>
        <w:div w:id="113721829">
          <w:marLeft w:val="640"/>
          <w:marRight w:val="0"/>
          <w:marTop w:val="0"/>
          <w:marBottom w:val="0"/>
          <w:divBdr>
            <w:top w:val="none" w:sz="0" w:space="0" w:color="auto"/>
            <w:left w:val="none" w:sz="0" w:space="0" w:color="auto"/>
            <w:bottom w:val="none" w:sz="0" w:space="0" w:color="auto"/>
            <w:right w:val="none" w:sz="0" w:space="0" w:color="auto"/>
          </w:divBdr>
        </w:div>
        <w:div w:id="1535994561">
          <w:marLeft w:val="640"/>
          <w:marRight w:val="0"/>
          <w:marTop w:val="0"/>
          <w:marBottom w:val="0"/>
          <w:divBdr>
            <w:top w:val="none" w:sz="0" w:space="0" w:color="auto"/>
            <w:left w:val="none" w:sz="0" w:space="0" w:color="auto"/>
            <w:bottom w:val="none" w:sz="0" w:space="0" w:color="auto"/>
            <w:right w:val="none" w:sz="0" w:space="0" w:color="auto"/>
          </w:divBdr>
        </w:div>
        <w:div w:id="86539005">
          <w:marLeft w:val="640"/>
          <w:marRight w:val="0"/>
          <w:marTop w:val="0"/>
          <w:marBottom w:val="0"/>
          <w:divBdr>
            <w:top w:val="none" w:sz="0" w:space="0" w:color="auto"/>
            <w:left w:val="none" w:sz="0" w:space="0" w:color="auto"/>
            <w:bottom w:val="none" w:sz="0" w:space="0" w:color="auto"/>
            <w:right w:val="none" w:sz="0" w:space="0" w:color="auto"/>
          </w:divBdr>
        </w:div>
        <w:div w:id="523056735">
          <w:marLeft w:val="640"/>
          <w:marRight w:val="0"/>
          <w:marTop w:val="0"/>
          <w:marBottom w:val="0"/>
          <w:divBdr>
            <w:top w:val="none" w:sz="0" w:space="0" w:color="auto"/>
            <w:left w:val="none" w:sz="0" w:space="0" w:color="auto"/>
            <w:bottom w:val="none" w:sz="0" w:space="0" w:color="auto"/>
            <w:right w:val="none" w:sz="0" w:space="0" w:color="auto"/>
          </w:divBdr>
        </w:div>
        <w:div w:id="660087200">
          <w:marLeft w:val="640"/>
          <w:marRight w:val="0"/>
          <w:marTop w:val="0"/>
          <w:marBottom w:val="0"/>
          <w:divBdr>
            <w:top w:val="none" w:sz="0" w:space="0" w:color="auto"/>
            <w:left w:val="none" w:sz="0" w:space="0" w:color="auto"/>
            <w:bottom w:val="none" w:sz="0" w:space="0" w:color="auto"/>
            <w:right w:val="none" w:sz="0" w:space="0" w:color="auto"/>
          </w:divBdr>
        </w:div>
        <w:div w:id="1755710637">
          <w:marLeft w:val="640"/>
          <w:marRight w:val="0"/>
          <w:marTop w:val="0"/>
          <w:marBottom w:val="0"/>
          <w:divBdr>
            <w:top w:val="none" w:sz="0" w:space="0" w:color="auto"/>
            <w:left w:val="none" w:sz="0" w:space="0" w:color="auto"/>
            <w:bottom w:val="none" w:sz="0" w:space="0" w:color="auto"/>
            <w:right w:val="none" w:sz="0" w:space="0" w:color="auto"/>
          </w:divBdr>
        </w:div>
        <w:div w:id="101728545">
          <w:marLeft w:val="640"/>
          <w:marRight w:val="0"/>
          <w:marTop w:val="0"/>
          <w:marBottom w:val="0"/>
          <w:divBdr>
            <w:top w:val="none" w:sz="0" w:space="0" w:color="auto"/>
            <w:left w:val="none" w:sz="0" w:space="0" w:color="auto"/>
            <w:bottom w:val="none" w:sz="0" w:space="0" w:color="auto"/>
            <w:right w:val="none" w:sz="0" w:space="0" w:color="auto"/>
          </w:divBdr>
        </w:div>
        <w:div w:id="72556419">
          <w:marLeft w:val="640"/>
          <w:marRight w:val="0"/>
          <w:marTop w:val="0"/>
          <w:marBottom w:val="0"/>
          <w:divBdr>
            <w:top w:val="none" w:sz="0" w:space="0" w:color="auto"/>
            <w:left w:val="none" w:sz="0" w:space="0" w:color="auto"/>
            <w:bottom w:val="none" w:sz="0" w:space="0" w:color="auto"/>
            <w:right w:val="none" w:sz="0" w:space="0" w:color="auto"/>
          </w:divBdr>
        </w:div>
        <w:div w:id="1020231372">
          <w:marLeft w:val="640"/>
          <w:marRight w:val="0"/>
          <w:marTop w:val="0"/>
          <w:marBottom w:val="0"/>
          <w:divBdr>
            <w:top w:val="none" w:sz="0" w:space="0" w:color="auto"/>
            <w:left w:val="none" w:sz="0" w:space="0" w:color="auto"/>
            <w:bottom w:val="none" w:sz="0" w:space="0" w:color="auto"/>
            <w:right w:val="none" w:sz="0" w:space="0" w:color="auto"/>
          </w:divBdr>
        </w:div>
        <w:div w:id="1853761408">
          <w:marLeft w:val="640"/>
          <w:marRight w:val="0"/>
          <w:marTop w:val="0"/>
          <w:marBottom w:val="0"/>
          <w:divBdr>
            <w:top w:val="none" w:sz="0" w:space="0" w:color="auto"/>
            <w:left w:val="none" w:sz="0" w:space="0" w:color="auto"/>
            <w:bottom w:val="none" w:sz="0" w:space="0" w:color="auto"/>
            <w:right w:val="none" w:sz="0" w:space="0" w:color="auto"/>
          </w:divBdr>
        </w:div>
        <w:div w:id="1604459805">
          <w:marLeft w:val="640"/>
          <w:marRight w:val="0"/>
          <w:marTop w:val="0"/>
          <w:marBottom w:val="0"/>
          <w:divBdr>
            <w:top w:val="none" w:sz="0" w:space="0" w:color="auto"/>
            <w:left w:val="none" w:sz="0" w:space="0" w:color="auto"/>
            <w:bottom w:val="none" w:sz="0" w:space="0" w:color="auto"/>
            <w:right w:val="none" w:sz="0" w:space="0" w:color="auto"/>
          </w:divBdr>
        </w:div>
        <w:div w:id="510607600">
          <w:marLeft w:val="640"/>
          <w:marRight w:val="0"/>
          <w:marTop w:val="0"/>
          <w:marBottom w:val="0"/>
          <w:divBdr>
            <w:top w:val="none" w:sz="0" w:space="0" w:color="auto"/>
            <w:left w:val="none" w:sz="0" w:space="0" w:color="auto"/>
            <w:bottom w:val="none" w:sz="0" w:space="0" w:color="auto"/>
            <w:right w:val="none" w:sz="0" w:space="0" w:color="auto"/>
          </w:divBdr>
        </w:div>
        <w:div w:id="2008560116">
          <w:marLeft w:val="640"/>
          <w:marRight w:val="0"/>
          <w:marTop w:val="0"/>
          <w:marBottom w:val="0"/>
          <w:divBdr>
            <w:top w:val="none" w:sz="0" w:space="0" w:color="auto"/>
            <w:left w:val="none" w:sz="0" w:space="0" w:color="auto"/>
            <w:bottom w:val="none" w:sz="0" w:space="0" w:color="auto"/>
            <w:right w:val="none" w:sz="0" w:space="0" w:color="auto"/>
          </w:divBdr>
        </w:div>
        <w:div w:id="1588462193">
          <w:marLeft w:val="640"/>
          <w:marRight w:val="0"/>
          <w:marTop w:val="0"/>
          <w:marBottom w:val="0"/>
          <w:divBdr>
            <w:top w:val="none" w:sz="0" w:space="0" w:color="auto"/>
            <w:left w:val="none" w:sz="0" w:space="0" w:color="auto"/>
            <w:bottom w:val="none" w:sz="0" w:space="0" w:color="auto"/>
            <w:right w:val="none" w:sz="0" w:space="0" w:color="auto"/>
          </w:divBdr>
        </w:div>
        <w:div w:id="1784156844">
          <w:marLeft w:val="640"/>
          <w:marRight w:val="0"/>
          <w:marTop w:val="0"/>
          <w:marBottom w:val="0"/>
          <w:divBdr>
            <w:top w:val="none" w:sz="0" w:space="0" w:color="auto"/>
            <w:left w:val="none" w:sz="0" w:space="0" w:color="auto"/>
            <w:bottom w:val="none" w:sz="0" w:space="0" w:color="auto"/>
            <w:right w:val="none" w:sz="0" w:space="0" w:color="auto"/>
          </w:divBdr>
        </w:div>
        <w:div w:id="705640024">
          <w:marLeft w:val="640"/>
          <w:marRight w:val="0"/>
          <w:marTop w:val="0"/>
          <w:marBottom w:val="0"/>
          <w:divBdr>
            <w:top w:val="none" w:sz="0" w:space="0" w:color="auto"/>
            <w:left w:val="none" w:sz="0" w:space="0" w:color="auto"/>
            <w:bottom w:val="none" w:sz="0" w:space="0" w:color="auto"/>
            <w:right w:val="none" w:sz="0" w:space="0" w:color="auto"/>
          </w:divBdr>
        </w:div>
        <w:div w:id="1958639307">
          <w:marLeft w:val="640"/>
          <w:marRight w:val="0"/>
          <w:marTop w:val="0"/>
          <w:marBottom w:val="0"/>
          <w:divBdr>
            <w:top w:val="none" w:sz="0" w:space="0" w:color="auto"/>
            <w:left w:val="none" w:sz="0" w:space="0" w:color="auto"/>
            <w:bottom w:val="none" w:sz="0" w:space="0" w:color="auto"/>
            <w:right w:val="none" w:sz="0" w:space="0" w:color="auto"/>
          </w:divBdr>
        </w:div>
        <w:div w:id="720398900">
          <w:marLeft w:val="640"/>
          <w:marRight w:val="0"/>
          <w:marTop w:val="0"/>
          <w:marBottom w:val="0"/>
          <w:divBdr>
            <w:top w:val="none" w:sz="0" w:space="0" w:color="auto"/>
            <w:left w:val="none" w:sz="0" w:space="0" w:color="auto"/>
            <w:bottom w:val="none" w:sz="0" w:space="0" w:color="auto"/>
            <w:right w:val="none" w:sz="0" w:space="0" w:color="auto"/>
          </w:divBdr>
        </w:div>
        <w:div w:id="1055393">
          <w:marLeft w:val="640"/>
          <w:marRight w:val="0"/>
          <w:marTop w:val="0"/>
          <w:marBottom w:val="0"/>
          <w:divBdr>
            <w:top w:val="none" w:sz="0" w:space="0" w:color="auto"/>
            <w:left w:val="none" w:sz="0" w:space="0" w:color="auto"/>
            <w:bottom w:val="none" w:sz="0" w:space="0" w:color="auto"/>
            <w:right w:val="none" w:sz="0" w:space="0" w:color="auto"/>
          </w:divBdr>
        </w:div>
        <w:div w:id="1121652442">
          <w:marLeft w:val="640"/>
          <w:marRight w:val="0"/>
          <w:marTop w:val="0"/>
          <w:marBottom w:val="0"/>
          <w:divBdr>
            <w:top w:val="none" w:sz="0" w:space="0" w:color="auto"/>
            <w:left w:val="none" w:sz="0" w:space="0" w:color="auto"/>
            <w:bottom w:val="none" w:sz="0" w:space="0" w:color="auto"/>
            <w:right w:val="none" w:sz="0" w:space="0" w:color="auto"/>
          </w:divBdr>
        </w:div>
        <w:div w:id="1979921701">
          <w:marLeft w:val="640"/>
          <w:marRight w:val="0"/>
          <w:marTop w:val="0"/>
          <w:marBottom w:val="0"/>
          <w:divBdr>
            <w:top w:val="none" w:sz="0" w:space="0" w:color="auto"/>
            <w:left w:val="none" w:sz="0" w:space="0" w:color="auto"/>
            <w:bottom w:val="none" w:sz="0" w:space="0" w:color="auto"/>
            <w:right w:val="none" w:sz="0" w:space="0" w:color="auto"/>
          </w:divBdr>
        </w:div>
        <w:div w:id="654188058">
          <w:marLeft w:val="640"/>
          <w:marRight w:val="0"/>
          <w:marTop w:val="0"/>
          <w:marBottom w:val="0"/>
          <w:divBdr>
            <w:top w:val="none" w:sz="0" w:space="0" w:color="auto"/>
            <w:left w:val="none" w:sz="0" w:space="0" w:color="auto"/>
            <w:bottom w:val="none" w:sz="0" w:space="0" w:color="auto"/>
            <w:right w:val="none" w:sz="0" w:space="0" w:color="auto"/>
          </w:divBdr>
        </w:div>
        <w:div w:id="1730959458">
          <w:marLeft w:val="640"/>
          <w:marRight w:val="0"/>
          <w:marTop w:val="0"/>
          <w:marBottom w:val="0"/>
          <w:divBdr>
            <w:top w:val="none" w:sz="0" w:space="0" w:color="auto"/>
            <w:left w:val="none" w:sz="0" w:space="0" w:color="auto"/>
            <w:bottom w:val="none" w:sz="0" w:space="0" w:color="auto"/>
            <w:right w:val="none" w:sz="0" w:space="0" w:color="auto"/>
          </w:divBdr>
        </w:div>
        <w:div w:id="673192513">
          <w:marLeft w:val="640"/>
          <w:marRight w:val="0"/>
          <w:marTop w:val="0"/>
          <w:marBottom w:val="0"/>
          <w:divBdr>
            <w:top w:val="none" w:sz="0" w:space="0" w:color="auto"/>
            <w:left w:val="none" w:sz="0" w:space="0" w:color="auto"/>
            <w:bottom w:val="none" w:sz="0" w:space="0" w:color="auto"/>
            <w:right w:val="none" w:sz="0" w:space="0" w:color="auto"/>
          </w:divBdr>
        </w:div>
        <w:div w:id="1168060229">
          <w:marLeft w:val="640"/>
          <w:marRight w:val="0"/>
          <w:marTop w:val="0"/>
          <w:marBottom w:val="0"/>
          <w:divBdr>
            <w:top w:val="none" w:sz="0" w:space="0" w:color="auto"/>
            <w:left w:val="none" w:sz="0" w:space="0" w:color="auto"/>
            <w:bottom w:val="none" w:sz="0" w:space="0" w:color="auto"/>
            <w:right w:val="none" w:sz="0" w:space="0" w:color="auto"/>
          </w:divBdr>
        </w:div>
        <w:div w:id="415054346">
          <w:marLeft w:val="640"/>
          <w:marRight w:val="0"/>
          <w:marTop w:val="0"/>
          <w:marBottom w:val="0"/>
          <w:divBdr>
            <w:top w:val="none" w:sz="0" w:space="0" w:color="auto"/>
            <w:left w:val="none" w:sz="0" w:space="0" w:color="auto"/>
            <w:bottom w:val="none" w:sz="0" w:space="0" w:color="auto"/>
            <w:right w:val="none" w:sz="0" w:space="0" w:color="auto"/>
          </w:divBdr>
        </w:div>
        <w:div w:id="1114860994">
          <w:marLeft w:val="640"/>
          <w:marRight w:val="0"/>
          <w:marTop w:val="0"/>
          <w:marBottom w:val="0"/>
          <w:divBdr>
            <w:top w:val="none" w:sz="0" w:space="0" w:color="auto"/>
            <w:left w:val="none" w:sz="0" w:space="0" w:color="auto"/>
            <w:bottom w:val="none" w:sz="0" w:space="0" w:color="auto"/>
            <w:right w:val="none" w:sz="0" w:space="0" w:color="auto"/>
          </w:divBdr>
        </w:div>
        <w:div w:id="495389038">
          <w:marLeft w:val="640"/>
          <w:marRight w:val="0"/>
          <w:marTop w:val="0"/>
          <w:marBottom w:val="0"/>
          <w:divBdr>
            <w:top w:val="none" w:sz="0" w:space="0" w:color="auto"/>
            <w:left w:val="none" w:sz="0" w:space="0" w:color="auto"/>
            <w:bottom w:val="none" w:sz="0" w:space="0" w:color="auto"/>
            <w:right w:val="none" w:sz="0" w:space="0" w:color="auto"/>
          </w:divBdr>
        </w:div>
        <w:div w:id="890650399">
          <w:marLeft w:val="640"/>
          <w:marRight w:val="0"/>
          <w:marTop w:val="0"/>
          <w:marBottom w:val="0"/>
          <w:divBdr>
            <w:top w:val="none" w:sz="0" w:space="0" w:color="auto"/>
            <w:left w:val="none" w:sz="0" w:space="0" w:color="auto"/>
            <w:bottom w:val="none" w:sz="0" w:space="0" w:color="auto"/>
            <w:right w:val="none" w:sz="0" w:space="0" w:color="auto"/>
          </w:divBdr>
        </w:div>
        <w:div w:id="1580598141">
          <w:marLeft w:val="640"/>
          <w:marRight w:val="0"/>
          <w:marTop w:val="0"/>
          <w:marBottom w:val="0"/>
          <w:divBdr>
            <w:top w:val="none" w:sz="0" w:space="0" w:color="auto"/>
            <w:left w:val="none" w:sz="0" w:space="0" w:color="auto"/>
            <w:bottom w:val="none" w:sz="0" w:space="0" w:color="auto"/>
            <w:right w:val="none" w:sz="0" w:space="0" w:color="auto"/>
          </w:divBdr>
        </w:div>
        <w:div w:id="916940276">
          <w:marLeft w:val="640"/>
          <w:marRight w:val="0"/>
          <w:marTop w:val="0"/>
          <w:marBottom w:val="0"/>
          <w:divBdr>
            <w:top w:val="none" w:sz="0" w:space="0" w:color="auto"/>
            <w:left w:val="none" w:sz="0" w:space="0" w:color="auto"/>
            <w:bottom w:val="none" w:sz="0" w:space="0" w:color="auto"/>
            <w:right w:val="none" w:sz="0" w:space="0" w:color="auto"/>
          </w:divBdr>
        </w:div>
        <w:div w:id="415058463">
          <w:marLeft w:val="640"/>
          <w:marRight w:val="0"/>
          <w:marTop w:val="0"/>
          <w:marBottom w:val="0"/>
          <w:divBdr>
            <w:top w:val="none" w:sz="0" w:space="0" w:color="auto"/>
            <w:left w:val="none" w:sz="0" w:space="0" w:color="auto"/>
            <w:bottom w:val="none" w:sz="0" w:space="0" w:color="auto"/>
            <w:right w:val="none" w:sz="0" w:space="0" w:color="auto"/>
          </w:divBdr>
        </w:div>
        <w:div w:id="1381200834">
          <w:marLeft w:val="640"/>
          <w:marRight w:val="0"/>
          <w:marTop w:val="0"/>
          <w:marBottom w:val="0"/>
          <w:divBdr>
            <w:top w:val="none" w:sz="0" w:space="0" w:color="auto"/>
            <w:left w:val="none" w:sz="0" w:space="0" w:color="auto"/>
            <w:bottom w:val="none" w:sz="0" w:space="0" w:color="auto"/>
            <w:right w:val="none" w:sz="0" w:space="0" w:color="auto"/>
          </w:divBdr>
        </w:div>
        <w:div w:id="1409842331">
          <w:marLeft w:val="640"/>
          <w:marRight w:val="0"/>
          <w:marTop w:val="0"/>
          <w:marBottom w:val="0"/>
          <w:divBdr>
            <w:top w:val="none" w:sz="0" w:space="0" w:color="auto"/>
            <w:left w:val="none" w:sz="0" w:space="0" w:color="auto"/>
            <w:bottom w:val="none" w:sz="0" w:space="0" w:color="auto"/>
            <w:right w:val="none" w:sz="0" w:space="0" w:color="auto"/>
          </w:divBdr>
        </w:div>
        <w:div w:id="1684093912">
          <w:marLeft w:val="640"/>
          <w:marRight w:val="0"/>
          <w:marTop w:val="0"/>
          <w:marBottom w:val="0"/>
          <w:divBdr>
            <w:top w:val="none" w:sz="0" w:space="0" w:color="auto"/>
            <w:left w:val="none" w:sz="0" w:space="0" w:color="auto"/>
            <w:bottom w:val="none" w:sz="0" w:space="0" w:color="auto"/>
            <w:right w:val="none" w:sz="0" w:space="0" w:color="auto"/>
          </w:divBdr>
        </w:div>
        <w:div w:id="610431122">
          <w:marLeft w:val="640"/>
          <w:marRight w:val="0"/>
          <w:marTop w:val="0"/>
          <w:marBottom w:val="0"/>
          <w:divBdr>
            <w:top w:val="none" w:sz="0" w:space="0" w:color="auto"/>
            <w:left w:val="none" w:sz="0" w:space="0" w:color="auto"/>
            <w:bottom w:val="none" w:sz="0" w:space="0" w:color="auto"/>
            <w:right w:val="none" w:sz="0" w:space="0" w:color="auto"/>
          </w:divBdr>
        </w:div>
        <w:div w:id="805200053">
          <w:marLeft w:val="640"/>
          <w:marRight w:val="0"/>
          <w:marTop w:val="0"/>
          <w:marBottom w:val="0"/>
          <w:divBdr>
            <w:top w:val="none" w:sz="0" w:space="0" w:color="auto"/>
            <w:left w:val="none" w:sz="0" w:space="0" w:color="auto"/>
            <w:bottom w:val="none" w:sz="0" w:space="0" w:color="auto"/>
            <w:right w:val="none" w:sz="0" w:space="0" w:color="auto"/>
          </w:divBdr>
        </w:div>
        <w:div w:id="1985113686">
          <w:marLeft w:val="640"/>
          <w:marRight w:val="0"/>
          <w:marTop w:val="0"/>
          <w:marBottom w:val="0"/>
          <w:divBdr>
            <w:top w:val="none" w:sz="0" w:space="0" w:color="auto"/>
            <w:left w:val="none" w:sz="0" w:space="0" w:color="auto"/>
            <w:bottom w:val="none" w:sz="0" w:space="0" w:color="auto"/>
            <w:right w:val="none" w:sz="0" w:space="0" w:color="auto"/>
          </w:divBdr>
        </w:div>
        <w:div w:id="811098948">
          <w:marLeft w:val="640"/>
          <w:marRight w:val="0"/>
          <w:marTop w:val="0"/>
          <w:marBottom w:val="0"/>
          <w:divBdr>
            <w:top w:val="none" w:sz="0" w:space="0" w:color="auto"/>
            <w:left w:val="none" w:sz="0" w:space="0" w:color="auto"/>
            <w:bottom w:val="none" w:sz="0" w:space="0" w:color="auto"/>
            <w:right w:val="none" w:sz="0" w:space="0" w:color="auto"/>
          </w:divBdr>
        </w:div>
        <w:div w:id="537087431">
          <w:marLeft w:val="640"/>
          <w:marRight w:val="0"/>
          <w:marTop w:val="0"/>
          <w:marBottom w:val="0"/>
          <w:divBdr>
            <w:top w:val="none" w:sz="0" w:space="0" w:color="auto"/>
            <w:left w:val="none" w:sz="0" w:space="0" w:color="auto"/>
            <w:bottom w:val="none" w:sz="0" w:space="0" w:color="auto"/>
            <w:right w:val="none" w:sz="0" w:space="0" w:color="auto"/>
          </w:divBdr>
        </w:div>
        <w:div w:id="1958289001">
          <w:marLeft w:val="640"/>
          <w:marRight w:val="0"/>
          <w:marTop w:val="0"/>
          <w:marBottom w:val="0"/>
          <w:divBdr>
            <w:top w:val="none" w:sz="0" w:space="0" w:color="auto"/>
            <w:left w:val="none" w:sz="0" w:space="0" w:color="auto"/>
            <w:bottom w:val="none" w:sz="0" w:space="0" w:color="auto"/>
            <w:right w:val="none" w:sz="0" w:space="0" w:color="auto"/>
          </w:divBdr>
        </w:div>
        <w:div w:id="898399656">
          <w:marLeft w:val="640"/>
          <w:marRight w:val="0"/>
          <w:marTop w:val="0"/>
          <w:marBottom w:val="0"/>
          <w:divBdr>
            <w:top w:val="none" w:sz="0" w:space="0" w:color="auto"/>
            <w:left w:val="none" w:sz="0" w:space="0" w:color="auto"/>
            <w:bottom w:val="none" w:sz="0" w:space="0" w:color="auto"/>
            <w:right w:val="none" w:sz="0" w:space="0" w:color="auto"/>
          </w:divBdr>
        </w:div>
        <w:div w:id="1654602325">
          <w:marLeft w:val="640"/>
          <w:marRight w:val="0"/>
          <w:marTop w:val="0"/>
          <w:marBottom w:val="0"/>
          <w:divBdr>
            <w:top w:val="none" w:sz="0" w:space="0" w:color="auto"/>
            <w:left w:val="none" w:sz="0" w:space="0" w:color="auto"/>
            <w:bottom w:val="none" w:sz="0" w:space="0" w:color="auto"/>
            <w:right w:val="none" w:sz="0" w:space="0" w:color="auto"/>
          </w:divBdr>
        </w:div>
        <w:div w:id="384764541">
          <w:marLeft w:val="640"/>
          <w:marRight w:val="0"/>
          <w:marTop w:val="0"/>
          <w:marBottom w:val="0"/>
          <w:divBdr>
            <w:top w:val="none" w:sz="0" w:space="0" w:color="auto"/>
            <w:left w:val="none" w:sz="0" w:space="0" w:color="auto"/>
            <w:bottom w:val="none" w:sz="0" w:space="0" w:color="auto"/>
            <w:right w:val="none" w:sz="0" w:space="0" w:color="auto"/>
          </w:divBdr>
        </w:div>
        <w:div w:id="37821330">
          <w:marLeft w:val="640"/>
          <w:marRight w:val="0"/>
          <w:marTop w:val="0"/>
          <w:marBottom w:val="0"/>
          <w:divBdr>
            <w:top w:val="none" w:sz="0" w:space="0" w:color="auto"/>
            <w:left w:val="none" w:sz="0" w:space="0" w:color="auto"/>
            <w:bottom w:val="none" w:sz="0" w:space="0" w:color="auto"/>
            <w:right w:val="none" w:sz="0" w:space="0" w:color="auto"/>
          </w:divBdr>
        </w:div>
        <w:div w:id="2143842861">
          <w:marLeft w:val="640"/>
          <w:marRight w:val="0"/>
          <w:marTop w:val="0"/>
          <w:marBottom w:val="0"/>
          <w:divBdr>
            <w:top w:val="none" w:sz="0" w:space="0" w:color="auto"/>
            <w:left w:val="none" w:sz="0" w:space="0" w:color="auto"/>
            <w:bottom w:val="none" w:sz="0" w:space="0" w:color="auto"/>
            <w:right w:val="none" w:sz="0" w:space="0" w:color="auto"/>
          </w:divBdr>
        </w:div>
        <w:div w:id="1405840520">
          <w:marLeft w:val="640"/>
          <w:marRight w:val="0"/>
          <w:marTop w:val="0"/>
          <w:marBottom w:val="0"/>
          <w:divBdr>
            <w:top w:val="none" w:sz="0" w:space="0" w:color="auto"/>
            <w:left w:val="none" w:sz="0" w:space="0" w:color="auto"/>
            <w:bottom w:val="none" w:sz="0" w:space="0" w:color="auto"/>
            <w:right w:val="none" w:sz="0" w:space="0" w:color="auto"/>
          </w:divBdr>
        </w:div>
        <w:div w:id="234897736">
          <w:marLeft w:val="640"/>
          <w:marRight w:val="0"/>
          <w:marTop w:val="0"/>
          <w:marBottom w:val="0"/>
          <w:divBdr>
            <w:top w:val="none" w:sz="0" w:space="0" w:color="auto"/>
            <w:left w:val="none" w:sz="0" w:space="0" w:color="auto"/>
            <w:bottom w:val="none" w:sz="0" w:space="0" w:color="auto"/>
            <w:right w:val="none" w:sz="0" w:space="0" w:color="auto"/>
          </w:divBdr>
        </w:div>
        <w:div w:id="1540580507">
          <w:marLeft w:val="640"/>
          <w:marRight w:val="0"/>
          <w:marTop w:val="0"/>
          <w:marBottom w:val="0"/>
          <w:divBdr>
            <w:top w:val="none" w:sz="0" w:space="0" w:color="auto"/>
            <w:left w:val="none" w:sz="0" w:space="0" w:color="auto"/>
            <w:bottom w:val="none" w:sz="0" w:space="0" w:color="auto"/>
            <w:right w:val="none" w:sz="0" w:space="0" w:color="auto"/>
          </w:divBdr>
        </w:div>
        <w:div w:id="1571306406">
          <w:marLeft w:val="640"/>
          <w:marRight w:val="0"/>
          <w:marTop w:val="0"/>
          <w:marBottom w:val="0"/>
          <w:divBdr>
            <w:top w:val="none" w:sz="0" w:space="0" w:color="auto"/>
            <w:left w:val="none" w:sz="0" w:space="0" w:color="auto"/>
            <w:bottom w:val="none" w:sz="0" w:space="0" w:color="auto"/>
            <w:right w:val="none" w:sz="0" w:space="0" w:color="auto"/>
          </w:divBdr>
        </w:div>
        <w:div w:id="2083017720">
          <w:marLeft w:val="640"/>
          <w:marRight w:val="0"/>
          <w:marTop w:val="0"/>
          <w:marBottom w:val="0"/>
          <w:divBdr>
            <w:top w:val="none" w:sz="0" w:space="0" w:color="auto"/>
            <w:left w:val="none" w:sz="0" w:space="0" w:color="auto"/>
            <w:bottom w:val="none" w:sz="0" w:space="0" w:color="auto"/>
            <w:right w:val="none" w:sz="0" w:space="0" w:color="auto"/>
          </w:divBdr>
        </w:div>
        <w:div w:id="604389129">
          <w:marLeft w:val="640"/>
          <w:marRight w:val="0"/>
          <w:marTop w:val="0"/>
          <w:marBottom w:val="0"/>
          <w:divBdr>
            <w:top w:val="none" w:sz="0" w:space="0" w:color="auto"/>
            <w:left w:val="none" w:sz="0" w:space="0" w:color="auto"/>
            <w:bottom w:val="none" w:sz="0" w:space="0" w:color="auto"/>
            <w:right w:val="none" w:sz="0" w:space="0" w:color="auto"/>
          </w:divBdr>
        </w:div>
        <w:div w:id="92089137">
          <w:marLeft w:val="640"/>
          <w:marRight w:val="0"/>
          <w:marTop w:val="0"/>
          <w:marBottom w:val="0"/>
          <w:divBdr>
            <w:top w:val="none" w:sz="0" w:space="0" w:color="auto"/>
            <w:left w:val="none" w:sz="0" w:space="0" w:color="auto"/>
            <w:bottom w:val="none" w:sz="0" w:space="0" w:color="auto"/>
            <w:right w:val="none" w:sz="0" w:space="0" w:color="auto"/>
          </w:divBdr>
        </w:div>
        <w:div w:id="860823726">
          <w:marLeft w:val="640"/>
          <w:marRight w:val="0"/>
          <w:marTop w:val="0"/>
          <w:marBottom w:val="0"/>
          <w:divBdr>
            <w:top w:val="none" w:sz="0" w:space="0" w:color="auto"/>
            <w:left w:val="none" w:sz="0" w:space="0" w:color="auto"/>
            <w:bottom w:val="none" w:sz="0" w:space="0" w:color="auto"/>
            <w:right w:val="none" w:sz="0" w:space="0" w:color="auto"/>
          </w:divBdr>
        </w:div>
        <w:div w:id="594485749">
          <w:marLeft w:val="640"/>
          <w:marRight w:val="0"/>
          <w:marTop w:val="0"/>
          <w:marBottom w:val="0"/>
          <w:divBdr>
            <w:top w:val="none" w:sz="0" w:space="0" w:color="auto"/>
            <w:left w:val="none" w:sz="0" w:space="0" w:color="auto"/>
            <w:bottom w:val="none" w:sz="0" w:space="0" w:color="auto"/>
            <w:right w:val="none" w:sz="0" w:space="0" w:color="auto"/>
          </w:divBdr>
        </w:div>
        <w:div w:id="293944381">
          <w:marLeft w:val="640"/>
          <w:marRight w:val="0"/>
          <w:marTop w:val="0"/>
          <w:marBottom w:val="0"/>
          <w:divBdr>
            <w:top w:val="none" w:sz="0" w:space="0" w:color="auto"/>
            <w:left w:val="none" w:sz="0" w:space="0" w:color="auto"/>
            <w:bottom w:val="none" w:sz="0" w:space="0" w:color="auto"/>
            <w:right w:val="none" w:sz="0" w:space="0" w:color="auto"/>
          </w:divBdr>
        </w:div>
        <w:div w:id="1259294548">
          <w:marLeft w:val="640"/>
          <w:marRight w:val="0"/>
          <w:marTop w:val="0"/>
          <w:marBottom w:val="0"/>
          <w:divBdr>
            <w:top w:val="none" w:sz="0" w:space="0" w:color="auto"/>
            <w:left w:val="none" w:sz="0" w:space="0" w:color="auto"/>
            <w:bottom w:val="none" w:sz="0" w:space="0" w:color="auto"/>
            <w:right w:val="none" w:sz="0" w:space="0" w:color="auto"/>
          </w:divBdr>
        </w:div>
        <w:div w:id="1434745290">
          <w:marLeft w:val="640"/>
          <w:marRight w:val="0"/>
          <w:marTop w:val="0"/>
          <w:marBottom w:val="0"/>
          <w:divBdr>
            <w:top w:val="none" w:sz="0" w:space="0" w:color="auto"/>
            <w:left w:val="none" w:sz="0" w:space="0" w:color="auto"/>
            <w:bottom w:val="none" w:sz="0" w:space="0" w:color="auto"/>
            <w:right w:val="none" w:sz="0" w:space="0" w:color="auto"/>
          </w:divBdr>
        </w:div>
        <w:div w:id="61418346">
          <w:marLeft w:val="640"/>
          <w:marRight w:val="0"/>
          <w:marTop w:val="0"/>
          <w:marBottom w:val="0"/>
          <w:divBdr>
            <w:top w:val="none" w:sz="0" w:space="0" w:color="auto"/>
            <w:left w:val="none" w:sz="0" w:space="0" w:color="auto"/>
            <w:bottom w:val="none" w:sz="0" w:space="0" w:color="auto"/>
            <w:right w:val="none" w:sz="0" w:space="0" w:color="auto"/>
          </w:divBdr>
        </w:div>
        <w:div w:id="1901480787">
          <w:marLeft w:val="640"/>
          <w:marRight w:val="0"/>
          <w:marTop w:val="0"/>
          <w:marBottom w:val="0"/>
          <w:divBdr>
            <w:top w:val="none" w:sz="0" w:space="0" w:color="auto"/>
            <w:left w:val="none" w:sz="0" w:space="0" w:color="auto"/>
            <w:bottom w:val="none" w:sz="0" w:space="0" w:color="auto"/>
            <w:right w:val="none" w:sz="0" w:space="0" w:color="auto"/>
          </w:divBdr>
        </w:div>
        <w:div w:id="272783456">
          <w:marLeft w:val="640"/>
          <w:marRight w:val="0"/>
          <w:marTop w:val="0"/>
          <w:marBottom w:val="0"/>
          <w:divBdr>
            <w:top w:val="none" w:sz="0" w:space="0" w:color="auto"/>
            <w:left w:val="none" w:sz="0" w:space="0" w:color="auto"/>
            <w:bottom w:val="none" w:sz="0" w:space="0" w:color="auto"/>
            <w:right w:val="none" w:sz="0" w:space="0" w:color="auto"/>
          </w:divBdr>
        </w:div>
        <w:div w:id="755634807">
          <w:marLeft w:val="640"/>
          <w:marRight w:val="0"/>
          <w:marTop w:val="0"/>
          <w:marBottom w:val="0"/>
          <w:divBdr>
            <w:top w:val="none" w:sz="0" w:space="0" w:color="auto"/>
            <w:left w:val="none" w:sz="0" w:space="0" w:color="auto"/>
            <w:bottom w:val="none" w:sz="0" w:space="0" w:color="auto"/>
            <w:right w:val="none" w:sz="0" w:space="0" w:color="auto"/>
          </w:divBdr>
        </w:div>
        <w:div w:id="116916759">
          <w:marLeft w:val="640"/>
          <w:marRight w:val="0"/>
          <w:marTop w:val="0"/>
          <w:marBottom w:val="0"/>
          <w:divBdr>
            <w:top w:val="none" w:sz="0" w:space="0" w:color="auto"/>
            <w:left w:val="none" w:sz="0" w:space="0" w:color="auto"/>
            <w:bottom w:val="none" w:sz="0" w:space="0" w:color="auto"/>
            <w:right w:val="none" w:sz="0" w:space="0" w:color="auto"/>
          </w:divBdr>
        </w:div>
        <w:div w:id="619067128">
          <w:marLeft w:val="640"/>
          <w:marRight w:val="0"/>
          <w:marTop w:val="0"/>
          <w:marBottom w:val="0"/>
          <w:divBdr>
            <w:top w:val="none" w:sz="0" w:space="0" w:color="auto"/>
            <w:left w:val="none" w:sz="0" w:space="0" w:color="auto"/>
            <w:bottom w:val="none" w:sz="0" w:space="0" w:color="auto"/>
            <w:right w:val="none" w:sz="0" w:space="0" w:color="auto"/>
          </w:divBdr>
        </w:div>
        <w:div w:id="1085690893">
          <w:marLeft w:val="640"/>
          <w:marRight w:val="0"/>
          <w:marTop w:val="0"/>
          <w:marBottom w:val="0"/>
          <w:divBdr>
            <w:top w:val="none" w:sz="0" w:space="0" w:color="auto"/>
            <w:left w:val="none" w:sz="0" w:space="0" w:color="auto"/>
            <w:bottom w:val="none" w:sz="0" w:space="0" w:color="auto"/>
            <w:right w:val="none" w:sz="0" w:space="0" w:color="auto"/>
          </w:divBdr>
        </w:div>
        <w:div w:id="893932070">
          <w:marLeft w:val="640"/>
          <w:marRight w:val="0"/>
          <w:marTop w:val="0"/>
          <w:marBottom w:val="0"/>
          <w:divBdr>
            <w:top w:val="none" w:sz="0" w:space="0" w:color="auto"/>
            <w:left w:val="none" w:sz="0" w:space="0" w:color="auto"/>
            <w:bottom w:val="none" w:sz="0" w:space="0" w:color="auto"/>
            <w:right w:val="none" w:sz="0" w:space="0" w:color="auto"/>
          </w:divBdr>
        </w:div>
        <w:div w:id="1469545685">
          <w:marLeft w:val="640"/>
          <w:marRight w:val="0"/>
          <w:marTop w:val="0"/>
          <w:marBottom w:val="0"/>
          <w:divBdr>
            <w:top w:val="none" w:sz="0" w:space="0" w:color="auto"/>
            <w:left w:val="none" w:sz="0" w:space="0" w:color="auto"/>
            <w:bottom w:val="none" w:sz="0" w:space="0" w:color="auto"/>
            <w:right w:val="none" w:sz="0" w:space="0" w:color="auto"/>
          </w:divBdr>
        </w:div>
        <w:div w:id="694498400">
          <w:marLeft w:val="640"/>
          <w:marRight w:val="0"/>
          <w:marTop w:val="0"/>
          <w:marBottom w:val="0"/>
          <w:divBdr>
            <w:top w:val="none" w:sz="0" w:space="0" w:color="auto"/>
            <w:left w:val="none" w:sz="0" w:space="0" w:color="auto"/>
            <w:bottom w:val="none" w:sz="0" w:space="0" w:color="auto"/>
            <w:right w:val="none" w:sz="0" w:space="0" w:color="auto"/>
          </w:divBdr>
        </w:div>
        <w:div w:id="2105496751">
          <w:marLeft w:val="640"/>
          <w:marRight w:val="0"/>
          <w:marTop w:val="0"/>
          <w:marBottom w:val="0"/>
          <w:divBdr>
            <w:top w:val="none" w:sz="0" w:space="0" w:color="auto"/>
            <w:left w:val="none" w:sz="0" w:space="0" w:color="auto"/>
            <w:bottom w:val="none" w:sz="0" w:space="0" w:color="auto"/>
            <w:right w:val="none" w:sz="0" w:space="0" w:color="auto"/>
          </w:divBdr>
        </w:div>
        <w:div w:id="635376125">
          <w:marLeft w:val="640"/>
          <w:marRight w:val="0"/>
          <w:marTop w:val="0"/>
          <w:marBottom w:val="0"/>
          <w:divBdr>
            <w:top w:val="none" w:sz="0" w:space="0" w:color="auto"/>
            <w:left w:val="none" w:sz="0" w:space="0" w:color="auto"/>
            <w:bottom w:val="none" w:sz="0" w:space="0" w:color="auto"/>
            <w:right w:val="none" w:sz="0" w:space="0" w:color="auto"/>
          </w:divBdr>
        </w:div>
        <w:div w:id="1665621161">
          <w:marLeft w:val="640"/>
          <w:marRight w:val="0"/>
          <w:marTop w:val="0"/>
          <w:marBottom w:val="0"/>
          <w:divBdr>
            <w:top w:val="none" w:sz="0" w:space="0" w:color="auto"/>
            <w:left w:val="none" w:sz="0" w:space="0" w:color="auto"/>
            <w:bottom w:val="none" w:sz="0" w:space="0" w:color="auto"/>
            <w:right w:val="none" w:sz="0" w:space="0" w:color="auto"/>
          </w:divBdr>
        </w:div>
        <w:div w:id="1935085260">
          <w:marLeft w:val="640"/>
          <w:marRight w:val="0"/>
          <w:marTop w:val="0"/>
          <w:marBottom w:val="0"/>
          <w:divBdr>
            <w:top w:val="none" w:sz="0" w:space="0" w:color="auto"/>
            <w:left w:val="none" w:sz="0" w:space="0" w:color="auto"/>
            <w:bottom w:val="none" w:sz="0" w:space="0" w:color="auto"/>
            <w:right w:val="none" w:sz="0" w:space="0" w:color="auto"/>
          </w:divBdr>
        </w:div>
        <w:div w:id="1413546353">
          <w:marLeft w:val="640"/>
          <w:marRight w:val="0"/>
          <w:marTop w:val="0"/>
          <w:marBottom w:val="0"/>
          <w:divBdr>
            <w:top w:val="none" w:sz="0" w:space="0" w:color="auto"/>
            <w:left w:val="none" w:sz="0" w:space="0" w:color="auto"/>
            <w:bottom w:val="none" w:sz="0" w:space="0" w:color="auto"/>
            <w:right w:val="none" w:sz="0" w:space="0" w:color="auto"/>
          </w:divBdr>
        </w:div>
        <w:div w:id="1698962998">
          <w:marLeft w:val="640"/>
          <w:marRight w:val="0"/>
          <w:marTop w:val="0"/>
          <w:marBottom w:val="0"/>
          <w:divBdr>
            <w:top w:val="none" w:sz="0" w:space="0" w:color="auto"/>
            <w:left w:val="none" w:sz="0" w:space="0" w:color="auto"/>
            <w:bottom w:val="none" w:sz="0" w:space="0" w:color="auto"/>
            <w:right w:val="none" w:sz="0" w:space="0" w:color="auto"/>
          </w:divBdr>
        </w:div>
        <w:div w:id="825585166">
          <w:marLeft w:val="640"/>
          <w:marRight w:val="0"/>
          <w:marTop w:val="0"/>
          <w:marBottom w:val="0"/>
          <w:divBdr>
            <w:top w:val="none" w:sz="0" w:space="0" w:color="auto"/>
            <w:left w:val="none" w:sz="0" w:space="0" w:color="auto"/>
            <w:bottom w:val="none" w:sz="0" w:space="0" w:color="auto"/>
            <w:right w:val="none" w:sz="0" w:space="0" w:color="auto"/>
          </w:divBdr>
        </w:div>
        <w:div w:id="616103955">
          <w:marLeft w:val="640"/>
          <w:marRight w:val="0"/>
          <w:marTop w:val="0"/>
          <w:marBottom w:val="0"/>
          <w:divBdr>
            <w:top w:val="none" w:sz="0" w:space="0" w:color="auto"/>
            <w:left w:val="none" w:sz="0" w:space="0" w:color="auto"/>
            <w:bottom w:val="none" w:sz="0" w:space="0" w:color="auto"/>
            <w:right w:val="none" w:sz="0" w:space="0" w:color="auto"/>
          </w:divBdr>
        </w:div>
        <w:div w:id="99642954">
          <w:marLeft w:val="640"/>
          <w:marRight w:val="0"/>
          <w:marTop w:val="0"/>
          <w:marBottom w:val="0"/>
          <w:divBdr>
            <w:top w:val="none" w:sz="0" w:space="0" w:color="auto"/>
            <w:left w:val="none" w:sz="0" w:space="0" w:color="auto"/>
            <w:bottom w:val="none" w:sz="0" w:space="0" w:color="auto"/>
            <w:right w:val="none" w:sz="0" w:space="0" w:color="auto"/>
          </w:divBdr>
        </w:div>
        <w:div w:id="1087077708">
          <w:marLeft w:val="640"/>
          <w:marRight w:val="0"/>
          <w:marTop w:val="0"/>
          <w:marBottom w:val="0"/>
          <w:divBdr>
            <w:top w:val="none" w:sz="0" w:space="0" w:color="auto"/>
            <w:left w:val="none" w:sz="0" w:space="0" w:color="auto"/>
            <w:bottom w:val="none" w:sz="0" w:space="0" w:color="auto"/>
            <w:right w:val="none" w:sz="0" w:space="0" w:color="auto"/>
          </w:divBdr>
        </w:div>
        <w:div w:id="1231304844">
          <w:marLeft w:val="640"/>
          <w:marRight w:val="0"/>
          <w:marTop w:val="0"/>
          <w:marBottom w:val="0"/>
          <w:divBdr>
            <w:top w:val="none" w:sz="0" w:space="0" w:color="auto"/>
            <w:left w:val="none" w:sz="0" w:space="0" w:color="auto"/>
            <w:bottom w:val="none" w:sz="0" w:space="0" w:color="auto"/>
            <w:right w:val="none" w:sz="0" w:space="0" w:color="auto"/>
          </w:divBdr>
        </w:div>
        <w:div w:id="804080622">
          <w:marLeft w:val="640"/>
          <w:marRight w:val="0"/>
          <w:marTop w:val="0"/>
          <w:marBottom w:val="0"/>
          <w:divBdr>
            <w:top w:val="none" w:sz="0" w:space="0" w:color="auto"/>
            <w:left w:val="none" w:sz="0" w:space="0" w:color="auto"/>
            <w:bottom w:val="none" w:sz="0" w:space="0" w:color="auto"/>
            <w:right w:val="none" w:sz="0" w:space="0" w:color="auto"/>
          </w:divBdr>
        </w:div>
        <w:div w:id="722026819">
          <w:marLeft w:val="640"/>
          <w:marRight w:val="0"/>
          <w:marTop w:val="0"/>
          <w:marBottom w:val="0"/>
          <w:divBdr>
            <w:top w:val="none" w:sz="0" w:space="0" w:color="auto"/>
            <w:left w:val="none" w:sz="0" w:space="0" w:color="auto"/>
            <w:bottom w:val="none" w:sz="0" w:space="0" w:color="auto"/>
            <w:right w:val="none" w:sz="0" w:space="0" w:color="auto"/>
          </w:divBdr>
        </w:div>
        <w:div w:id="1273629084">
          <w:marLeft w:val="640"/>
          <w:marRight w:val="0"/>
          <w:marTop w:val="0"/>
          <w:marBottom w:val="0"/>
          <w:divBdr>
            <w:top w:val="none" w:sz="0" w:space="0" w:color="auto"/>
            <w:left w:val="none" w:sz="0" w:space="0" w:color="auto"/>
            <w:bottom w:val="none" w:sz="0" w:space="0" w:color="auto"/>
            <w:right w:val="none" w:sz="0" w:space="0" w:color="auto"/>
          </w:divBdr>
        </w:div>
        <w:div w:id="364647611">
          <w:marLeft w:val="640"/>
          <w:marRight w:val="0"/>
          <w:marTop w:val="0"/>
          <w:marBottom w:val="0"/>
          <w:divBdr>
            <w:top w:val="none" w:sz="0" w:space="0" w:color="auto"/>
            <w:left w:val="none" w:sz="0" w:space="0" w:color="auto"/>
            <w:bottom w:val="none" w:sz="0" w:space="0" w:color="auto"/>
            <w:right w:val="none" w:sz="0" w:space="0" w:color="auto"/>
          </w:divBdr>
        </w:div>
        <w:div w:id="1163854961">
          <w:marLeft w:val="640"/>
          <w:marRight w:val="0"/>
          <w:marTop w:val="0"/>
          <w:marBottom w:val="0"/>
          <w:divBdr>
            <w:top w:val="none" w:sz="0" w:space="0" w:color="auto"/>
            <w:left w:val="none" w:sz="0" w:space="0" w:color="auto"/>
            <w:bottom w:val="none" w:sz="0" w:space="0" w:color="auto"/>
            <w:right w:val="none" w:sz="0" w:space="0" w:color="auto"/>
          </w:divBdr>
        </w:div>
        <w:div w:id="861289208">
          <w:marLeft w:val="640"/>
          <w:marRight w:val="0"/>
          <w:marTop w:val="0"/>
          <w:marBottom w:val="0"/>
          <w:divBdr>
            <w:top w:val="none" w:sz="0" w:space="0" w:color="auto"/>
            <w:left w:val="none" w:sz="0" w:space="0" w:color="auto"/>
            <w:bottom w:val="none" w:sz="0" w:space="0" w:color="auto"/>
            <w:right w:val="none" w:sz="0" w:space="0" w:color="auto"/>
          </w:divBdr>
        </w:div>
        <w:div w:id="1072463141">
          <w:marLeft w:val="640"/>
          <w:marRight w:val="0"/>
          <w:marTop w:val="0"/>
          <w:marBottom w:val="0"/>
          <w:divBdr>
            <w:top w:val="none" w:sz="0" w:space="0" w:color="auto"/>
            <w:left w:val="none" w:sz="0" w:space="0" w:color="auto"/>
            <w:bottom w:val="none" w:sz="0" w:space="0" w:color="auto"/>
            <w:right w:val="none" w:sz="0" w:space="0" w:color="auto"/>
          </w:divBdr>
        </w:div>
        <w:div w:id="195316815">
          <w:marLeft w:val="640"/>
          <w:marRight w:val="0"/>
          <w:marTop w:val="0"/>
          <w:marBottom w:val="0"/>
          <w:divBdr>
            <w:top w:val="none" w:sz="0" w:space="0" w:color="auto"/>
            <w:left w:val="none" w:sz="0" w:space="0" w:color="auto"/>
            <w:bottom w:val="none" w:sz="0" w:space="0" w:color="auto"/>
            <w:right w:val="none" w:sz="0" w:space="0" w:color="auto"/>
          </w:divBdr>
        </w:div>
        <w:div w:id="1317883039">
          <w:marLeft w:val="640"/>
          <w:marRight w:val="0"/>
          <w:marTop w:val="0"/>
          <w:marBottom w:val="0"/>
          <w:divBdr>
            <w:top w:val="none" w:sz="0" w:space="0" w:color="auto"/>
            <w:left w:val="none" w:sz="0" w:space="0" w:color="auto"/>
            <w:bottom w:val="none" w:sz="0" w:space="0" w:color="auto"/>
            <w:right w:val="none" w:sz="0" w:space="0" w:color="auto"/>
          </w:divBdr>
        </w:div>
        <w:div w:id="1307199681">
          <w:marLeft w:val="640"/>
          <w:marRight w:val="0"/>
          <w:marTop w:val="0"/>
          <w:marBottom w:val="0"/>
          <w:divBdr>
            <w:top w:val="none" w:sz="0" w:space="0" w:color="auto"/>
            <w:left w:val="none" w:sz="0" w:space="0" w:color="auto"/>
            <w:bottom w:val="none" w:sz="0" w:space="0" w:color="auto"/>
            <w:right w:val="none" w:sz="0" w:space="0" w:color="auto"/>
          </w:divBdr>
        </w:div>
        <w:div w:id="847984935">
          <w:marLeft w:val="640"/>
          <w:marRight w:val="0"/>
          <w:marTop w:val="0"/>
          <w:marBottom w:val="0"/>
          <w:divBdr>
            <w:top w:val="none" w:sz="0" w:space="0" w:color="auto"/>
            <w:left w:val="none" w:sz="0" w:space="0" w:color="auto"/>
            <w:bottom w:val="none" w:sz="0" w:space="0" w:color="auto"/>
            <w:right w:val="none" w:sz="0" w:space="0" w:color="auto"/>
          </w:divBdr>
        </w:div>
        <w:div w:id="632901817">
          <w:marLeft w:val="640"/>
          <w:marRight w:val="0"/>
          <w:marTop w:val="0"/>
          <w:marBottom w:val="0"/>
          <w:divBdr>
            <w:top w:val="none" w:sz="0" w:space="0" w:color="auto"/>
            <w:left w:val="none" w:sz="0" w:space="0" w:color="auto"/>
            <w:bottom w:val="none" w:sz="0" w:space="0" w:color="auto"/>
            <w:right w:val="none" w:sz="0" w:space="0" w:color="auto"/>
          </w:divBdr>
        </w:div>
        <w:div w:id="1989624005">
          <w:marLeft w:val="640"/>
          <w:marRight w:val="0"/>
          <w:marTop w:val="0"/>
          <w:marBottom w:val="0"/>
          <w:divBdr>
            <w:top w:val="none" w:sz="0" w:space="0" w:color="auto"/>
            <w:left w:val="none" w:sz="0" w:space="0" w:color="auto"/>
            <w:bottom w:val="none" w:sz="0" w:space="0" w:color="auto"/>
            <w:right w:val="none" w:sz="0" w:space="0" w:color="auto"/>
          </w:divBdr>
        </w:div>
        <w:div w:id="483205234">
          <w:marLeft w:val="640"/>
          <w:marRight w:val="0"/>
          <w:marTop w:val="0"/>
          <w:marBottom w:val="0"/>
          <w:divBdr>
            <w:top w:val="none" w:sz="0" w:space="0" w:color="auto"/>
            <w:left w:val="none" w:sz="0" w:space="0" w:color="auto"/>
            <w:bottom w:val="none" w:sz="0" w:space="0" w:color="auto"/>
            <w:right w:val="none" w:sz="0" w:space="0" w:color="auto"/>
          </w:divBdr>
        </w:div>
        <w:div w:id="227308999">
          <w:marLeft w:val="640"/>
          <w:marRight w:val="0"/>
          <w:marTop w:val="0"/>
          <w:marBottom w:val="0"/>
          <w:divBdr>
            <w:top w:val="none" w:sz="0" w:space="0" w:color="auto"/>
            <w:left w:val="none" w:sz="0" w:space="0" w:color="auto"/>
            <w:bottom w:val="none" w:sz="0" w:space="0" w:color="auto"/>
            <w:right w:val="none" w:sz="0" w:space="0" w:color="auto"/>
          </w:divBdr>
        </w:div>
        <w:div w:id="1279801214">
          <w:marLeft w:val="640"/>
          <w:marRight w:val="0"/>
          <w:marTop w:val="0"/>
          <w:marBottom w:val="0"/>
          <w:divBdr>
            <w:top w:val="none" w:sz="0" w:space="0" w:color="auto"/>
            <w:left w:val="none" w:sz="0" w:space="0" w:color="auto"/>
            <w:bottom w:val="none" w:sz="0" w:space="0" w:color="auto"/>
            <w:right w:val="none" w:sz="0" w:space="0" w:color="auto"/>
          </w:divBdr>
        </w:div>
        <w:div w:id="1435632800">
          <w:marLeft w:val="640"/>
          <w:marRight w:val="0"/>
          <w:marTop w:val="0"/>
          <w:marBottom w:val="0"/>
          <w:divBdr>
            <w:top w:val="none" w:sz="0" w:space="0" w:color="auto"/>
            <w:left w:val="none" w:sz="0" w:space="0" w:color="auto"/>
            <w:bottom w:val="none" w:sz="0" w:space="0" w:color="auto"/>
            <w:right w:val="none" w:sz="0" w:space="0" w:color="auto"/>
          </w:divBdr>
        </w:div>
        <w:div w:id="825391411">
          <w:marLeft w:val="640"/>
          <w:marRight w:val="0"/>
          <w:marTop w:val="0"/>
          <w:marBottom w:val="0"/>
          <w:divBdr>
            <w:top w:val="none" w:sz="0" w:space="0" w:color="auto"/>
            <w:left w:val="none" w:sz="0" w:space="0" w:color="auto"/>
            <w:bottom w:val="none" w:sz="0" w:space="0" w:color="auto"/>
            <w:right w:val="none" w:sz="0" w:space="0" w:color="auto"/>
          </w:divBdr>
        </w:div>
        <w:div w:id="712074158">
          <w:marLeft w:val="640"/>
          <w:marRight w:val="0"/>
          <w:marTop w:val="0"/>
          <w:marBottom w:val="0"/>
          <w:divBdr>
            <w:top w:val="none" w:sz="0" w:space="0" w:color="auto"/>
            <w:left w:val="none" w:sz="0" w:space="0" w:color="auto"/>
            <w:bottom w:val="none" w:sz="0" w:space="0" w:color="auto"/>
            <w:right w:val="none" w:sz="0" w:space="0" w:color="auto"/>
          </w:divBdr>
        </w:div>
        <w:div w:id="895824148">
          <w:marLeft w:val="640"/>
          <w:marRight w:val="0"/>
          <w:marTop w:val="0"/>
          <w:marBottom w:val="0"/>
          <w:divBdr>
            <w:top w:val="none" w:sz="0" w:space="0" w:color="auto"/>
            <w:left w:val="none" w:sz="0" w:space="0" w:color="auto"/>
            <w:bottom w:val="none" w:sz="0" w:space="0" w:color="auto"/>
            <w:right w:val="none" w:sz="0" w:space="0" w:color="auto"/>
          </w:divBdr>
        </w:div>
        <w:div w:id="1633900314">
          <w:marLeft w:val="640"/>
          <w:marRight w:val="0"/>
          <w:marTop w:val="0"/>
          <w:marBottom w:val="0"/>
          <w:divBdr>
            <w:top w:val="none" w:sz="0" w:space="0" w:color="auto"/>
            <w:left w:val="none" w:sz="0" w:space="0" w:color="auto"/>
            <w:bottom w:val="none" w:sz="0" w:space="0" w:color="auto"/>
            <w:right w:val="none" w:sz="0" w:space="0" w:color="auto"/>
          </w:divBdr>
        </w:div>
        <w:div w:id="1066681268">
          <w:marLeft w:val="640"/>
          <w:marRight w:val="0"/>
          <w:marTop w:val="0"/>
          <w:marBottom w:val="0"/>
          <w:divBdr>
            <w:top w:val="none" w:sz="0" w:space="0" w:color="auto"/>
            <w:left w:val="none" w:sz="0" w:space="0" w:color="auto"/>
            <w:bottom w:val="none" w:sz="0" w:space="0" w:color="auto"/>
            <w:right w:val="none" w:sz="0" w:space="0" w:color="auto"/>
          </w:divBdr>
        </w:div>
        <w:div w:id="731735706">
          <w:marLeft w:val="640"/>
          <w:marRight w:val="0"/>
          <w:marTop w:val="0"/>
          <w:marBottom w:val="0"/>
          <w:divBdr>
            <w:top w:val="none" w:sz="0" w:space="0" w:color="auto"/>
            <w:left w:val="none" w:sz="0" w:space="0" w:color="auto"/>
            <w:bottom w:val="none" w:sz="0" w:space="0" w:color="auto"/>
            <w:right w:val="none" w:sz="0" w:space="0" w:color="auto"/>
          </w:divBdr>
        </w:div>
        <w:div w:id="744376150">
          <w:marLeft w:val="640"/>
          <w:marRight w:val="0"/>
          <w:marTop w:val="0"/>
          <w:marBottom w:val="0"/>
          <w:divBdr>
            <w:top w:val="none" w:sz="0" w:space="0" w:color="auto"/>
            <w:left w:val="none" w:sz="0" w:space="0" w:color="auto"/>
            <w:bottom w:val="none" w:sz="0" w:space="0" w:color="auto"/>
            <w:right w:val="none" w:sz="0" w:space="0" w:color="auto"/>
          </w:divBdr>
        </w:div>
        <w:div w:id="952857372">
          <w:marLeft w:val="640"/>
          <w:marRight w:val="0"/>
          <w:marTop w:val="0"/>
          <w:marBottom w:val="0"/>
          <w:divBdr>
            <w:top w:val="none" w:sz="0" w:space="0" w:color="auto"/>
            <w:left w:val="none" w:sz="0" w:space="0" w:color="auto"/>
            <w:bottom w:val="none" w:sz="0" w:space="0" w:color="auto"/>
            <w:right w:val="none" w:sz="0" w:space="0" w:color="auto"/>
          </w:divBdr>
        </w:div>
        <w:div w:id="62797348">
          <w:marLeft w:val="640"/>
          <w:marRight w:val="0"/>
          <w:marTop w:val="0"/>
          <w:marBottom w:val="0"/>
          <w:divBdr>
            <w:top w:val="none" w:sz="0" w:space="0" w:color="auto"/>
            <w:left w:val="none" w:sz="0" w:space="0" w:color="auto"/>
            <w:bottom w:val="none" w:sz="0" w:space="0" w:color="auto"/>
            <w:right w:val="none" w:sz="0" w:space="0" w:color="auto"/>
          </w:divBdr>
        </w:div>
        <w:div w:id="1651789421">
          <w:marLeft w:val="640"/>
          <w:marRight w:val="0"/>
          <w:marTop w:val="0"/>
          <w:marBottom w:val="0"/>
          <w:divBdr>
            <w:top w:val="none" w:sz="0" w:space="0" w:color="auto"/>
            <w:left w:val="none" w:sz="0" w:space="0" w:color="auto"/>
            <w:bottom w:val="none" w:sz="0" w:space="0" w:color="auto"/>
            <w:right w:val="none" w:sz="0" w:space="0" w:color="auto"/>
          </w:divBdr>
        </w:div>
      </w:divsChild>
    </w:div>
    <w:div w:id="2059668736">
      <w:bodyDiv w:val="1"/>
      <w:marLeft w:val="0"/>
      <w:marRight w:val="0"/>
      <w:marTop w:val="0"/>
      <w:marBottom w:val="0"/>
      <w:divBdr>
        <w:top w:val="none" w:sz="0" w:space="0" w:color="auto"/>
        <w:left w:val="none" w:sz="0" w:space="0" w:color="auto"/>
        <w:bottom w:val="none" w:sz="0" w:space="0" w:color="auto"/>
        <w:right w:val="none" w:sz="0" w:space="0" w:color="auto"/>
      </w:divBdr>
      <w:divsChild>
        <w:div w:id="161702315">
          <w:marLeft w:val="640"/>
          <w:marRight w:val="0"/>
          <w:marTop w:val="0"/>
          <w:marBottom w:val="0"/>
          <w:divBdr>
            <w:top w:val="none" w:sz="0" w:space="0" w:color="auto"/>
            <w:left w:val="none" w:sz="0" w:space="0" w:color="auto"/>
            <w:bottom w:val="none" w:sz="0" w:space="0" w:color="auto"/>
            <w:right w:val="none" w:sz="0" w:space="0" w:color="auto"/>
          </w:divBdr>
        </w:div>
        <w:div w:id="2136290365">
          <w:marLeft w:val="640"/>
          <w:marRight w:val="0"/>
          <w:marTop w:val="0"/>
          <w:marBottom w:val="0"/>
          <w:divBdr>
            <w:top w:val="none" w:sz="0" w:space="0" w:color="auto"/>
            <w:left w:val="none" w:sz="0" w:space="0" w:color="auto"/>
            <w:bottom w:val="none" w:sz="0" w:space="0" w:color="auto"/>
            <w:right w:val="none" w:sz="0" w:space="0" w:color="auto"/>
          </w:divBdr>
        </w:div>
        <w:div w:id="151063250">
          <w:marLeft w:val="640"/>
          <w:marRight w:val="0"/>
          <w:marTop w:val="0"/>
          <w:marBottom w:val="0"/>
          <w:divBdr>
            <w:top w:val="none" w:sz="0" w:space="0" w:color="auto"/>
            <w:left w:val="none" w:sz="0" w:space="0" w:color="auto"/>
            <w:bottom w:val="none" w:sz="0" w:space="0" w:color="auto"/>
            <w:right w:val="none" w:sz="0" w:space="0" w:color="auto"/>
          </w:divBdr>
        </w:div>
        <w:div w:id="2137065209">
          <w:marLeft w:val="640"/>
          <w:marRight w:val="0"/>
          <w:marTop w:val="0"/>
          <w:marBottom w:val="0"/>
          <w:divBdr>
            <w:top w:val="none" w:sz="0" w:space="0" w:color="auto"/>
            <w:left w:val="none" w:sz="0" w:space="0" w:color="auto"/>
            <w:bottom w:val="none" w:sz="0" w:space="0" w:color="auto"/>
            <w:right w:val="none" w:sz="0" w:space="0" w:color="auto"/>
          </w:divBdr>
        </w:div>
        <w:div w:id="2074041025">
          <w:marLeft w:val="640"/>
          <w:marRight w:val="0"/>
          <w:marTop w:val="0"/>
          <w:marBottom w:val="0"/>
          <w:divBdr>
            <w:top w:val="none" w:sz="0" w:space="0" w:color="auto"/>
            <w:left w:val="none" w:sz="0" w:space="0" w:color="auto"/>
            <w:bottom w:val="none" w:sz="0" w:space="0" w:color="auto"/>
            <w:right w:val="none" w:sz="0" w:space="0" w:color="auto"/>
          </w:divBdr>
        </w:div>
        <w:div w:id="280647350">
          <w:marLeft w:val="640"/>
          <w:marRight w:val="0"/>
          <w:marTop w:val="0"/>
          <w:marBottom w:val="0"/>
          <w:divBdr>
            <w:top w:val="none" w:sz="0" w:space="0" w:color="auto"/>
            <w:left w:val="none" w:sz="0" w:space="0" w:color="auto"/>
            <w:bottom w:val="none" w:sz="0" w:space="0" w:color="auto"/>
            <w:right w:val="none" w:sz="0" w:space="0" w:color="auto"/>
          </w:divBdr>
        </w:div>
        <w:div w:id="763961196">
          <w:marLeft w:val="640"/>
          <w:marRight w:val="0"/>
          <w:marTop w:val="0"/>
          <w:marBottom w:val="0"/>
          <w:divBdr>
            <w:top w:val="none" w:sz="0" w:space="0" w:color="auto"/>
            <w:left w:val="none" w:sz="0" w:space="0" w:color="auto"/>
            <w:bottom w:val="none" w:sz="0" w:space="0" w:color="auto"/>
            <w:right w:val="none" w:sz="0" w:space="0" w:color="auto"/>
          </w:divBdr>
        </w:div>
        <w:div w:id="1276408546">
          <w:marLeft w:val="640"/>
          <w:marRight w:val="0"/>
          <w:marTop w:val="0"/>
          <w:marBottom w:val="0"/>
          <w:divBdr>
            <w:top w:val="none" w:sz="0" w:space="0" w:color="auto"/>
            <w:left w:val="none" w:sz="0" w:space="0" w:color="auto"/>
            <w:bottom w:val="none" w:sz="0" w:space="0" w:color="auto"/>
            <w:right w:val="none" w:sz="0" w:space="0" w:color="auto"/>
          </w:divBdr>
        </w:div>
        <w:div w:id="629167656">
          <w:marLeft w:val="640"/>
          <w:marRight w:val="0"/>
          <w:marTop w:val="0"/>
          <w:marBottom w:val="0"/>
          <w:divBdr>
            <w:top w:val="none" w:sz="0" w:space="0" w:color="auto"/>
            <w:left w:val="none" w:sz="0" w:space="0" w:color="auto"/>
            <w:bottom w:val="none" w:sz="0" w:space="0" w:color="auto"/>
            <w:right w:val="none" w:sz="0" w:space="0" w:color="auto"/>
          </w:divBdr>
        </w:div>
        <w:div w:id="1886599481">
          <w:marLeft w:val="640"/>
          <w:marRight w:val="0"/>
          <w:marTop w:val="0"/>
          <w:marBottom w:val="0"/>
          <w:divBdr>
            <w:top w:val="none" w:sz="0" w:space="0" w:color="auto"/>
            <w:left w:val="none" w:sz="0" w:space="0" w:color="auto"/>
            <w:bottom w:val="none" w:sz="0" w:space="0" w:color="auto"/>
            <w:right w:val="none" w:sz="0" w:space="0" w:color="auto"/>
          </w:divBdr>
        </w:div>
        <w:div w:id="2058122431">
          <w:marLeft w:val="640"/>
          <w:marRight w:val="0"/>
          <w:marTop w:val="0"/>
          <w:marBottom w:val="0"/>
          <w:divBdr>
            <w:top w:val="none" w:sz="0" w:space="0" w:color="auto"/>
            <w:left w:val="none" w:sz="0" w:space="0" w:color="auto"/>
            <w:bottom w:val="none" w:sz="0" w:space="0" w:color="auto"/>
            <w:right w:val="none" w:sz="0" w:space="0" w:color="auto"/>
          </w:divBdr>
        </w:div>
        <w:div w:id="2012753454">
          <w:marLeft w:val="640"/>
          <w:marRight w:val="0"/>
          <w:marTop w:val="0"/>
          <w:marBottom w:val="0"/>
          <w:divBdr>
            <w:top w:val="none" w:sz="0" w:space="0" w:color="auto"/>
            <w:left w:val="none" w:sz="0" w:space="0" w:color="auto"/>
            <w:bottom w:val="none" w:sz="0" w:space="0" w:color="auto"/>
            <w:right w:val="none" w:sz="0" w:space="0" w:color="auto"/>
          </w:divBdr>
        </w:div>
        <w:div w:id="763459050">
          <w:marLeft w:val="640"/>
          <w:marRight w:val="0"/>
          <w:marTop w:val="0"/>
          <w:marBottom w:val="0"/>
          <w:divBdr>
            <w:top w:val="none" w:sz="0" w:space="0" w:color="auto"/>
            <w:left w:val="none" w:sz="0" w:space="0" w:color="auto"/>
            <w:bottom w:val="none" w:sz="0" w:space="0" w:color="auto"/>
            <w:right w:val="none" w:sz="0" w:space="0" w:color="auto"/>
          </w:divBdr>
        </w:div>
        <w:div w:id="1208688945">
          <w:marLeft w:val="640"/>
          <w:marRight w:val="0"/>
          <w:marTop w:val="0"/>
          <w:marBottom w:val="0"/>
          <w:divBdr>
            <w:top w:val="none" w:sz="0" w:space="0" w:color="auto"/>
            <w:left w:val="none" w:sz="0" w:space="0" w:color="auto"/>
            <w:bottom w:val="none" w:sz="0" w:space="0" w:color="auto"/>
            <w:right w:val="none" w:sz="0" w:space="0" w:color="auto"/>
          </w:divBdr>
        </w:div>
        <w:div w:id="1126117691">
          <w:marLeft w:val="640"/>
          <w:marRight w:val="0"/>
          <w:marTop w:val="0"/>
          <w:marBottom w:val="0"/>
          <w:divBdr>
            <w:top w:val="none" w:sz="0" w:space="0" w:color="auto"/>
            <w:left w:val="none" w:sz="0" w:space="0" w:color="auto"/>
            <w:bottom w:val="none" w:sz="0" w:space="0" w:color="auto"/>
            <w:right w:val="none" w:sz="0" w:space="0" w:color="auto"/>
          </w:divBdr>
        </w:div>
        <w:div w:id="942151542">
          <w:marLeft w:val="640"/>
          <w:marRight w:val="0"/>
          <w:marTop w:val="0"/>
          <w:marBottom w:val="0"/>
          <w:divBdr>
            <w:top w:val="none" w:sz="0" w:space="0" w:color="auto"/>
            <w:left w:val="none" w:sz="0" w:space="0" w:color="auto"/>
            <w:bottom w:val="none" w:sz="0" w:space="0" w:color="auto"/>
            <w:right w:val="none" w:sz="0" w:space="0" w:color="auto"/>
          </w:divBdr>
        </w:div>
        <w:div w:id="1858344178">
          <w:marLeft w:val="640"/>
          <w:marRight w:val="0"/>
          <w:marTop w:val="0"/>
          <w:marBottom w:val="0"/>
          <w:divBdr>
            <w:top w:val="none" w:sz="0" w:space="0" w:color="auto"/>
            <w:left w:val="none" w:sz="0" w:space="0" w:color="auto"/>
            <w:bottom w:val="none" w:sz="0" w:space="0" w:color="auto"/>
            <w:right w:val="none" w:sz="0" w:space="0" w:color="auto"/>
          </w:divBdr>
        </w:div>
        <w:div w:id="2121028117">
          <w:marLeft w:val="640"/>
          <w:marRight w:val="0"/>
          <w:marTop w:val="0"/>
          <w:marBottom w:val="0"/>
          <w:divBdr>
            <w:top w:val="none" w:sz="0" w:space="0" w:color="auto"/>
            <w:left w:val="none" w:sz="0" w:space="0" w:color="auto"/>
            <w:bottom w:val="none" w:sz="0" w:space="0" w:color="auto"/>
            <w:right w:val="none" w:sz="0" w:space="0" w:color="auto"/>
          </w:divBdr>
        </w:div>
        <w:div w:id="45884363">
          <w:marLeft w:val="640"/>
          <w:marRight w:val="0"/>
          <w:marTop w:val="0"/>
          <w:marBottom w:val="0"/>
          <w:divBdr>
            <w:top w:val="none" w:sz="0" w:space="0" w:color="auto"/>
            <w:left w:val="none" w:sz="0" w:space="0" w:color="auto"/>
            <w:bottom w:val="none" w:sz="0" w:space="0" w:color="auto"/>
            <w:right w:val="none" w:sz="0" w:space="0" w:color="auto"/>
          </w:divBdr>
        </w:div>
        <w:div w:id="1096173432">
          <w:marLeft w:val="640"/>
          <w:marRight w:val="0"/>
          <w:marTop w:val="0"/>
          <w:marBottom w:val="0"/>
          <w:divBdr>
            <w:top w:val="none" w:sz="0" w:space="0" w:color="auto"/>
            <w:left w:val="none" w:sz="0" w:space="0" w:color="auto"/>
            <w:bottom w:val="none" w:sz="0" w:space="0" w:color="auto"/>
            <w:right w:val="none" w:sz="0" w:space="0" w:color="auto"/>
          </w:divBdr>
        </w:div>
        <w:div w:id="215706643">
          <w:marLeft w:val="640"/>
          <w:marRight w:val="0"/>
          <w:marTop w:val="0"/>
          <w:marBottom w:val="0"/>
          <w:divBdr>
            <w:top w:val="none" w:sz="0" w:space="0" w:color="auto"/>
            <w:left w:val="none" w:sz="0" w:space="0" w:color="auto"/>
            <w:bottom w:val="none" w:sz="0" w:space="0" w:color="auto"/>
            <w:right w:val="none" w:sz="0" w:space="0" w:color="auto"/>
          </w:divBdr>
        </w:div>
        <w:div w:id="568809186">
          <w:marLeft w:val="640"/>
          <w:marRight w:val="0"/>
          <w:marTop w:val="0"/>
          <w:marBottom w:val="0"/>
          <w:divBdr>
            <w:top w:val="none" w:sz="0" w:space="0" w:color="auto"/>
            <w:left w:val="none" w:sz="0" w:space="0" w:color="auto"/>
            <w:bottom w:val="none" w:sz="0" w:space="0" w:color="auto"/>
            <w:right w:val="none" w:sz="0" w:space="0" w:color="auto"/>
          </w:divBdr>
        </w:div>
        <w:div w:id="477767424">
          <w:marLeft w:val="640"/>
          <w:marRight w:val="0"/>
          <w:marTop w:val="0"/>
          <w:marBottom w:val="0"/>
          <w:divBdr>
            <w:top w:val="none" w:sz="0" w:space="0" w:color="auto"/>
            <w:left w:val="none" w:sz="0" w:space="0" w:color="auto"/>
            <w:bottom w:val="none" w:sz="0" w:space="0" w:color="auto"/>
            <w:right w:val="none" w:sz="0" w:space="0" w:color="auto"/>
          </w:divBdr>
        </w:div>
        <w:div w:id="1058701189">
          <w:marLeft w:val="640"/>
          <w:marRight w:val="0"/>
          <w:marTop w:val="0"/>
          <w:marBottom w:val="0"/>
          <w:divBdr>
            <w:top w:val="none" w:sz="0" w:space="0" w:color="auto"/>
            <w:left w:val="none" w:sz="0" w:space="0" w:color="auto"/>
            <w:bottom w:val="none" w:sz="0" w:space="0" w:color="auto"/>
            <w:right w:val="none" w:sz="0" w:space="0" w:color="auto"/>
          </w:divBdr>
        </w:div>
        <w:div w:id="1269970066">
          <w:marLeft w:val="640"/>
          <w:marRight w:val="0"/>
          <w:marTop w:val="0"/>
          <w:marBottom w:val="0"/>
          <w:divBdr>
            <w:top w:val="none" w:sz="0" w:space="0" w:color="auto"/>
            <w:left w:val="none" w:sz="0" w:space="0" w:color="auto"/>
            <w:bottom w:val="none" w:sz="0" w:space="0" w:color="auto"/>
            <w:right w:val="none" w:sz="0" w:space="0" w:color="auto"/>
          </w:divBdr>
        </w:div>
        <w:div w:id="1108964052">
          <w:marLeft w:val="640"/>
          <w:marRight w:val="0"/>
          <w:marTop w:val="0"/>
          <w:marBottom w:val="0"/>
          <w:divBdr>
            <w:top w:val="none" w:sz="0" w:space="0" w:color="auto"/>
            <w:left w:val="none" w:sz="0" w:space="0" w:color="auto"/>
            <w:bottom w:val="none" w:sz="0" w:space="0" w:color="auto"/>
            <w:right w:val="none" w:sz="0" w:space="0" w:color="auto"/>
          </w:divBdr>
        </w:div>
        <w:div w:id="2004503299">
          <w:marLeft w:val="640"/>
          <w:marRight w:val="0"/>
          <w:marTop w:val="0"/>
          <w:marBottom w:val="0"/>
          <w:divBdr>
            <w:top w:val="none" w:sz="0" w:space="0" w:color="auto"/>
            <w:left w:val="none" w:sz="0" w:space="0" w:color="auto"/>
            <w:bottom w:val="none" w:sz="0" w:space="0" w:color="auto"/>
            <w:right w:val="none" w:sz="0" w:space="0" w:color="auto"/>
          </w:divBdr>
        </w:div>
        <w:div w:id="1824085042">
          <w:marLeft w:val="640"/>
          <w:marRight w:val="0"/>
          <w:marTop w:val="0"/>
          <w:marBottom w:val="0"/>
          <w:divBdr>
            <w:top w:val="none" w:sz="0" w:space="0" w:color="auto"/>
            <w:left w:val="none" w:sz="0" w:space="0" w:color="auto"/>
            <w:bottom w:val="none" w:sz="0" w:space="0" w:color="auto"/>
            <w:right w:val="none" w:sz="0" w:space="0" w:color="auto"/>
          </w:divBdr>
        </w:div>
        <w:div w:id="1645618366">
          <w:marLeft w:val="640"/>
          <w:marRight w:val="0"/>
          <w:marTop w:val="0"/>
          <w:marBottom w:val="0"/>
          <w:divBdr>
            <w:top w:val="none" w:sz="0" w:space="0" w:color="auto"/>
            <w:left w:val="none" w:sz="0" w:space="0" w:color="auto"/>
            <w:bottom w:val="none" w:sz="0" w:space="0" w:color="auto"/>
            <w:right w:val="none" w:sz="0" w:space="0" w:color="auto"/>
          </w:divBdr>
        </w:div>
        <w:div w:id="1048455686">
          <w:marLeft w:val="640"/>
          <w:marRight w:val="0"/>
          <w:marTop w:val="0"/>
          <w:marBottom w:val="0"/>
          <w:divBdr>
            <w:top w:val="none" w:sz="0" w:space="0" w:color="auto"/>
            <w:left w:val="none" w:sz="0" w:space="0" w:color="auto"/>
            <w:bottom w:val="none" w:sz="0" w:space="0" w:color="auto"/>
            <w:right w:val="none" w:sz="0" w:space="0" w:color="auto"/>
          </w:divBdr>
        </w:div>
        <w:div w:id="1646276466">
          <w:marLeft w:val="640"/>
          <w:marRight w:val="0"/>
          <w:marTop w:val="0"/>
          <w:marBottom w:val="0"/>
          <w:divBdr>
            <w:top w:val="none" w:sz="0" w:space="0" w:color="auto"/>
            <w:left w:val="none" w:sz="0" w:space="0" w:color="auto"/>
            <w:bottom w:val="none" w:sz="0" w:space="0" w:color="auto"/>
            <w:right w:val="none" w:sz="0" w:space="0" w:color="auto"/>
          </w:divBdr>
        </w:div>
        <w:div w:id="48307327">
          <w:marLeft w:val="640"/>
          <w:marRight w:val="0"/>
          <w:marTop w:val="0"/>
          <w:marBottom w:val="0"/>
          <w:divBdr>
            <w:top w:val="none" w:sz="0" w:space="0" w:color="auto"/>
            <w:left w:val="none" w:sz="0" w:space="0" w:color="auto"/>
            <w:bottom w:val="none" w:sz="0" w:space="0" w:color="auto"/>
            <w:right w:val="none" w:sz="0" w:space="0" w:color="auto"/>
          </w:divBdr>
        </w:div>
        <w:div w:id="1454323869">
          <w:marLeft w:val="640"/>
          <w:marRight w:val="0"/>
          <w:marTop w:val="0"/>
          <w:marBottom w:val="0"/>
          <w:divBdr>
            <w:top w:val="none" w:sz="0" w:space="0" w:color="auto"/>
            <w:left w:val="none" w:sz="0" w:space="0" w:color="auto"/>
            <w:bottom w:val="none" w:sz="0" w:space="0" w:color="auto"/>
            <w:right w:val="none" w:sz="0" w:space="0" w:color="auto"/>
          </w:divBdr>
        </w:div>
        <w:div w:id="1102725528">
          <w:marLeft w:val="640"/>
          <w:marRight w:val="0"/>
          <w:marTop w:val="0"/>
          <w:marBottom w:val="0"/>
          <w:divBdr>
            <w:top w:val="none" w:sz="0" w:space="0" w:color="auto"/>
            <w:left w:val="none" w:sz="0" w:space="0" w:color="auto"/>
            <w:bottom w:val="none" w:sz="0" w:space="0" w:color="auto"/>
            <w:right w:val="none" w:sz="0" w:space="0" w:color="auto"/>
          </w:divBdr>
        </w:div>
        <w:div w:id="1207138752">
          <w:marLeft w:val="640"/>
          <w:marRight w:val="0"/>
          <w:marTop w:val="0"/>
          <w:marBottom w:val="0"/>
          <w:divBdr>
            <w:top w:val="none" w:sz="0" w:space="0" w:color="auto"/>
            <w:left w:val="none" w:sz="0" w:space="0" w:color="auto"/>
            <w:bottom w:val="none" w:sz="0" w:space="0" w:color="auto"/>
            <w:right w:val="none" w:sz="0" w:space="0" w:color="auto"/>
          </w:divBdr>
        </w:div>
        <w:div w:id="265159344">
          <w:marLeft w:val="640"/>
          <w:marRight w:val="0"/>
          <w:marTop w:val="0"/>
          <w:marBottom w:val="0"/>
          <w:divBdr>
            <w:top w:val="none" w:sz="0" w:space="0" w:color="auto"/>
            <w:left w:val="none" w:sz="0" w:space="0" w:color="auto"/>
            <w:bottom w:val="none" w:sz="0" w:space="0" w:color="auto"/>
            <w:right w:val="none" w:sz="0" w:space="0" w:color="auto"/>
          </w:divBdr>
        </w:div>
        <w:div w:id="1548833122">
          <w:marLeft w:val="640"/>
          <w:marRight w:val="0"/>
          <w:marTop w:val="0"/>
          <w:marBottom w:val="0"/>
          <w:divBdr>
            <w:top w:val="none" w:sz="0" w:space="0" w:color="auto"/>
            <w:left w:val="none" w:sz="0" w:space="0" w:color="auto"/>
            <w:bottom w:val="none" w:sz="0" w:space="0" w:color="auto"/>
            <w:right w:val="none" w:sz="0" w:space="0" w:color="auto"/>
          </w:divBdr>
        </w:div>
        <w:div w:id="1368868030">
          <w:marLeft w:val="640"/>
          <w:marRight w:val="0"/>
          <w:marTop w:val="0"/>
          <w:marBottom w:val="0"/>
          <w:divBdr>
            <w:top w:val="none" w:sz="0" w:space="0" w:color="auto"/>
            <w:left w:val="none" w:sz="0" w:space="0" w:color="auto"/>
            <w:bottom w:val="none" w:sz="0" w:space="0" w:color="auto"/>
            <w:right w:val="none" w:sz="0" w:space="0" w:color="auto"/>
          </w:divBdr>
        </w:div>
        <w:div w:id="1902401138">
          <w:marLeft w:val="640"/>
          <w:marRight w:val="0"/>
          <w:marTop w:val="0"/>
          <w:marBottom w:val="0"/>
          <w:divBdr>
            <w:top w:val="none" w:sz="0" w:space="0" w:color="auto"/>
            <w:left w:val="none" w:sz="0" w:space="0" w:color="auto"/>
            <w:bottom w:val="none" w:sz="0" w:space="0" w:color="auto"/>
            <w:right w:val="none" w:sz="0" w:space="0" w:color="auto"/>
          </w:divBdr>
        </w:div>
        <w:div w:id="535628041">
          <w:marLeft w:val="640"/>
          <w:marRight w:val="0"/>
          <w:marTop w:val="0"/>
          <w:marBottom w:val="0"/>
          <w:divBdr>
            <w:top w:val="none" w:sz="0" w:space="0" w:color="auto"/>
            <w:left w:val="none" w:sz="0" w:space="0" w:color="auto"/>
            <w:bottom w:val="none" w:sz="0" w:space="0" w:color="auto"/>
            <w:right w:val="none" w:sz="0" w:space="0" w:color="auto"/>
          </w:divBdr>
        </w:div>
        <w:div w:id="1361053376">
          <w:marLeft w:val="640"/>
          <w:marRight w:val="0"/>
          <w:marTop w:val="0"/>
          <w:marBottom w:val="0"/>
          <w:divBdr>
            <w:top w:val="none" w:sz="0" w:space="0" w:color="auto"/>
            <w:left w:val="none" w:sz="0" w:space="0" w:color="auto"/>
            <w:bottom w:val="none" w:sz="0" w:space="0" w:color="auto"/>
            <w:right w:val="none" w:sz="0" w:space="0" w:color="auto"/>
          </w:divBdr>
        </w:div>
        <w:div w:id="301621194">
          <w:marLeft w:val="640"/>
          <w:marRight w:val="0"/>
          <w:marTop w:val="0"/>
          <w:marBottom w:val="0"/>
          <w:divBdr>
            <w:top w:val="none" w:sz="0" w:space="0" w:color="auto"/>
            <w:left w:val="none" w:sz="0" w:space="0" w:color="auto"/>
            <w:bottom w:val="none" w:sz="0" w:space="0" w:color="auto"/>
            <w:right w:val="none" w:sz="0" w:space="0" w:color="auto"/>
          </w:divBdr>
        </w:div>
        <w:div w:id="1458453874">
          <w:marLeft w:val="640"/>
          <w:marRight w:val="0"/>
          <w:marTop w:val="0"/>
          <w:marBottom w:val="0"/>
          <w:divBdr>
            <w:top w:val="none" w:sz="0" w:space="0" w:color="auto"/>
            <w:left w:val="none" w:sz="0" w:space="0" w:color="auto"/>
            <w:bottom w:val="none" w:sz="0" w:space="0" w:color="auto"/>
            <w:right w:val="none" w:sz="0" w:space="0" w:color="auto"/>
          </w:divBdr>
        </w:div>
        <w:div w:id="159857986">
          <w:marLeft w:val="640"/>
          <w:marRight w:val="0"/>
          <w:marTop w:val="0"/>
          <w:marBottom w:val="0"/>
          <w:divBdr>
            <w:top w:val="none" w:sz="0" w:space="0" w:color="auto"/>
            <w:left w:val="none" w:sz="0" w:space="0" w:color="auto"/>
            <w:bottom w:val="none" w:sz="0" w:space="0" w:color="auto"/>
            <w:right w:val="none" w:sz="0" w:space="0" w:color="auto"/>
          </w:divBdr>
        </w:div>
        <w:div w:id="1430468815">
          <w:marLeft w:val="640"/>
          <w:marRight w:val="0"/>
          <w:marTop w:val="0"/>
          <w:marBottom w:val="0"/>
          <w:divBdr>
            <w:top w:val="none" w:sz="0" w:space="0" w:color="auto"/>
            <w:left w:val="none" w:sz="0" w:space="0" w:color="auto"/>
            <w:bottom w:val="none" w:sz="0" w:space="0" w:color="auto"/>
            <w:right w:val="none" w:sz="0" w:space="0" w:color="auto"/>
          </w:divBdr>
        </w:div>
        <w:div w:id="49690445">
          <w:marLeft w:val="640"/>
          <w:marRight w:val="0"/>
          <w:marTop w:val="0"/>
          <w:marBottom w:val="0"/>
          <w:divBdr>
            <w:top w:val="none" w:sz="0" w:space="0" w:color="auto"/>
            <w:left w:val="none" w:sz="0" w:space="0" w:color="auto"/>
            <w:bottom w:val="none" w:sz="0" w:space="0" w:color="auto"/>
            <w:right w:val="none" w:sz="0" w:space="0" w:color="auto"/>
          </w:divBdr>
        </w:div>
        <w:div w:id="393353616">
          <w:marLeft w:val="640"/>
          <w:marRight w:val="0"/>
          <w:marTop w:val="0"/>
          <w:marBottom w:val="0"/>
          <w:divBdr>
            <w:top w:val="none" w:sz="0" w:space="0" w:color="auto"/>
            <w:left w:val="none" w:sz="0" w:space="0" w:color="auto"/>
            <w:bottom w:val="none" w:sz="0" w:space="0" w:color="auto"/>
            <w:right w:val="none" w:sz="0" w:space="0" w:color="auto"/>
          </w:divBdr>
        </w:div>
        <w:div w:id="941884776">
          <w:marLeft w:val="640"/>
          <w:marRight w:val="0"/>
          <w:marTop w:val="0"/>
          <w:marBottom w:val="0"/>
          <w:divBdr>
            <w:top w:val="none" w:sz="0" w:space="0" w:color="auto"/>
            <w:left w:val="none" w:sz="0" w:space="0" w:color="auto"/>
            <w:bottom w:val="none" w:sz="0" w:space="0" w:color="auto"/>
            <w:right w:val="none" w:sz="0" w:space="0" w:color="auto"/>
          </w:divBdr>
        </w:div>
        <w:div w:id="2019498047">
          <w:marLeft w:val="640"/>
          <w:marRight w:val="0"/>
          <w:marTop w:val="0"/>
          <w:marBottom w:val="0"/>
          <w:divBdr>
            <w:top w:val="none" w:sz="0" w:space="0" w:color="auto"/>
            <w:left w:val="none" w:sz="0" w:space="0" w:color="auto"/>
            <w:bottom w:val="none" w:sz="0" w:space="0" w:color="auto"/>
            <w:right w:val="none" w:sz="0" w:space="0" w:color="auto"/>
          </w:divBdr>
        </w:div>
        <w:div w:id="1551724134">
          <w:marLeft w:val="640"/>
          <w:marRight w:val="0"/>
          <w:marTop w:val="0"/>
          <w:marBottom w:val="0"/>
          <w:divBdr>
            <w:top w:val="none" w:sz="0" w:space="0" w:color="auto"/>
            <w:left w:val="none" w:sz="0" w:space="0" w:color="auto"/>
            <w:bottom w:val="none" w:sz="0" w:space="0" w:color="auto"/>
            <w:right w:val="none" w:sz="0" w:space="0" w:color="auto"/>
          </w:divBdr>
        </w:div>
        <w:div w:id="464542953">
          <w:marLeft w:val="640"/>
          <w:marRight w:val="0"/>
          <w:marTop w:val="0"/>
          <w:marBottom w:val="0"/>
          <w:divBdr>
            <w:top w:val="none" w:sz="0" w:space="0" w:color="auto"/>
            <w:left w:val="none" w:sz="0" w:space="0" w:color="auto"/>
            <w:bottom w:val="none" w:sz="0" w:space="0" w:color="auto"/>
            <w:right w:val="none" w:sz="0" w:space="0" w:color="auto"/>
          </w:divBdr>
        </w:div>
        <w:div w:id="929505888">
          <w:marLeft w:val="640"/>
          <w:marRight w:val="0"/>
          <w:marTop w:val="0"/>
          <w:marBottom w:val="0"/>
          <w:divBdr>
            <w:top w:val="none" w:sz="0" w:space="0" w:color="auto"/>
            <w:left w:val="none" w:sz="0" w:space="0" w:color="auto"/>
            <w:bottom w:val="none" w:sz="0" w:space="0" w:color="auto"/>
            <w:right w:val="none" w:sz="0" w:space="0" w:color="auto"/>
          </w:divBdr>
        </w:div>
        <w:div w:id="1629511559">
          <w:marLeft w:val="640"/>
          <w:marRight w:val="0"/>
          <w:marTop w:val="0"/>
          <w:marBottom w:val="0"/>
          <w:divBdr>
            <w:top w:val="none" w:sz="0" w:space="0" w:color="auto"/>
            <w:left w:val="none" w:sz="0" w:space="0" w:color="auto"/>
            <w:bottom w:val="none" w:sz="0" w:space="0" w:color="auto"/>
            <w:right w:val="none" w:sz="0" w:space="0" w:color="auto"/>
          </w:divBdr>
        </w:div>
        <w:div w:id="1276793439">
          <w:marLeft w:val="640"/>
          <w:marRight w:val="0"/>
          <w:marTop w:val="0"/>
          <w:marBottom w:val="0"/>
          <w:divBdr>
            <w:top w:val="none" w:sz="0" w:space="0" w:color="auto"/>
            <w:left w:val="none" w:sz="0" w:space="0" w:color="auto"/>
            <w:bottom w:val="none" w:sz="0" w:space="0" w:color="auto"/>
            <w:right w:val="none" w:sz="0" w:space="0" w:color="auto"/>
          </w:divBdr>
        </w:div>
        <w:div w:id="1732652558">
          <w:marLeft w:val="640"/>
          <w:marRight w:val="0"/>
          <w:marTop w:val="0"/>
          <w:marBottom w:val="0"/>
          <w:divBdr>
            <w:top w:val="none" w:sz="0" w:space="0" w:color="auto"/>
            <w:left w:val="none" w:sz="0" w:space="0" w:color="auto"/>
            <w:bottom w:val="none" w:sz="0" w:space="0" w:color="auto"/>
            <w:right w:val="none" w:sz="0" w:space="0" w:color="auto"/>
          </w:divBdr>
        </w:div>
        <w:div w:id="1087073299">
          <w:marLeft w:val="640"/>
          <w:marRight w:val="0"/>
          <w:marTop w:val="0"/>
          <w:marBottom w:val="0"/>
          <w:divBdr>
            <w:top w:val="none" w:sz="0" w:space="0" w:color="auto"/>
            <w:left w:val="none" w:sz="0" w:space="0" w:color="auto"/>
            <w:bottom w:val="none" w:sz="0" w:space="0" w:color="auto"/>
            <w:right w:val="none" w:sz="0" w:space="0" w:color="auto"/>
          </w:divBdr>
        </w:div>
        <w:div w:id="943221358">
          <w:marLeft w:val="640"/>
          <w:marRight w:val="0"/>
          <w:marTop w:val="0"/>
          <w:marBottom w:val="0"/>
          <w:divBdr>
            <w:top w:val="none" w:sz="0" w:space="0" w:color="auto"/>
            <w:left w:val="none" w:sz="0" w:space="0" w:color="auto"/>
            <w:bottom w:val="none" w:sz="0" w:space="0" w:color="auto"/>
            <w:right w:val="none" w:sz="0" w:space="0" w:color="auto"/>
          </w:divBdr>
        </w:div>
        <w:div w:id="403383026">
          <w:marLeft w:val="640"/>
          <w:marRight w:val="0"/>
          <w:marTop w:val="0"/>
          <w:marBottom w:val="0"/>
          <w:divBdr>
            <w:top w:val="none" w:sz="0" w:space="0" w:color="auto"/>
            <w:left w:val="none" w:sz="0" w:space="0" w:color="auto"/>
            <w:bottom w:val="none" w:sz="0" w:space="0" w:color="auto"/>
            <w:right w:val="none" w:sz="0" w:space="0" w:color="auto"/>
          </w:divBdr>
        </w:div>
        <w:div w:id="1383555029">
          <w:marLeft w:val="640"/>
          <w:marRight w:val="0"/>
          <w:marTop w:val="0"/>
          <w:marBottom w:val="0"/>
          <w:divBdr>
            <w:top w:val="none" w:sz="0" w:space="0" w:color="auto"/>
            <w:left w:val="none" w:sz="0" w:space="0" w:color="auto"/>
            <w:bottom w:val="none" w:sz="0" w:space="0" w:color="auto"/>
            <w:right w:val="none" w:sz="0" w:space="0" w:color="auto"/>
          </w:divBdr>
        </w:div>
        <w:div w:id="1118447912">
          <w:marLeft w:val="640"/>
          <w:marRight w:val="0"/>
          <w:marTop w:val="0"/>
          <w:marBottom w:val="0"/>
          <w:divBdr>
            <w:top w:val="none" w:sz="0" w:space="0" w:color="auto"/>
            <w:left w:val="none" w:sz="0" w:space="0" w:color="auto"/>
            <w:bottom w:val="none" w:sz="0" w:space="0" w:color="auto"/>
            <w:right w:val="none" w:sz="0" w:space="0" w:color="auto"/>
          </w:divBdr>
        </w:div>
        <w:div w:id="1984381210">
          <w:marLeft w:val="640"/>
          <w:marRight w:val="0"/>
          <w:marTop w:val="0"/>
          <w:marBottom w:val="0"/>
          <w:divBdr>
            <w:top w:val="none" w:sz="0" w:space="0" w:color="auto"/>
            <w:left w:val="none" w:sz="0" w:space="0" w:color="auto"/>
            <w:bottom w:val="none" w:sz="0" w:space="0" w:color="auto"/>
            <w:right w:val="none" w:sz="0" w:space="0" w:color="auto"/>
          </w:divBdr>
        </w:div>
        <w:div w:id="1042946390">
          <w:marLeft w:val="640"/>
          <w:marRight w:val="0"/>
          <w:marTop w:val="0"/>
          <w:marBottom w:val="0"/>
          <w:divBdr>
            <w:top w:val="none" w:sz="0" w:space="0" w:color="auto"/>
            <w:left w:val="none" w:sz="0" w:space="0" w:color="auto"/>
            <w:bottom w:val="none" w:sz="0" w:space="0" w:color="auto"/>
            <w:right w:val="none" w:sz="0" w:space="0" w:color="auto"/>
          </w:divBdr>
        </w:div>
        <w:div w:id="985860273">
          <w:marLeft w:val="640"/>
          <w:marRight w:val="0"/>
          <w:marTop w:val="0"/>
          <w:marBottom w:val="0"/>
          <w:divBdr>
            <w:top w:val="none" w:sz="0" w:space="0" w:color="auto"/>
            <w:left w:val="none" w:sz="0" w:space="0" w:color="auto"/>
            <w:bottom w:val="none" w:sz="0" w:space="0" w:color="auto"/>
            <w:right w:val="none" w:sz="0" w:space="0" w:color="auto"/>
          </w:divBdr>
        </w:div>
        <w:div w:id="1014767829">
          <w:marLeft w:val="640"/>
          <w:marRight w:val="0"/>
          <w:marTop w:val="0"/>
          <w:marBottom w:val="0"/>
          <w:divBdr>
            <w:top w:val="none" w:sz="0" w:space="0" w:color="auto"/>
            <w:left w:val="none" w:sz="0" w:space="0" w:color="auto"/>
            <w:bottom w:val="none" w:sz="0" w:space="0" w:color="auto"/>
            <w:right w:val="none" w:sz="0" w:space="0" w:color="auto"/>
          </w:divBdr>
        </w:div>
        <w:div w:id="1559391491">
          <w:marLeft w:val="640"/>
          <w:marRight w:val="0"/>
          <w:marTop w:val="0"/>
          <w:marBottom w:val="0"/>
          <w:divBdr>
            <w:top w:val="none" w:sz="0" w:space="0" w:color="auto"/>
            <w:left w:val="none" w:sz="0" w:space="0" w:color="auto"/>
            <w:bottom w:val="none" w:sz="0" w:space="0" w:color="auto"/>
            <w:right w:val="none" w:sz="0" w:space="0" w:color="auto"/>
          </w:divBdr>
        </w:div>
        <w:div w:id="369888460">
          <w:marLeft w:val="640"/>
          <w:marRight w:val="0"/>
          <w:marTop w:val="0"/>
          <w:marBottom w:val="0"/>
          <w:divBdr>
            <w:top w:val="none" w:sz="0" w:space="0" w:color="auto"/>
            <w:left w:val="none" w:sz="0" w:space="0" w:color="auto"/>
            <w:bottom w:val="none" w:sz="0" w:space="0" w:color="auto"/>
            <w:right w:val="none" w:sz="0" w:space="0" w:color="auto"/>
          </w:divBdr>
        </w:div>
        <w:div w:id="255789124">
          <w:marLeft w:val="640"/>
          <w:marRight w:val="0"/>
          <w:marTop w:val="0"/>
          <w:marBottom w:val="0"/>
          <w:divBdr>
            <w:top w:val="none" w:sz="0" w:space="0" w:color="auto"/>
            <w:left w:val="none" w:sz="0" w:space="0" w:color="auto"/>
            <w:bottom w:val="none" w:sz="0" w:space="0" w:color="auto"/>
            <w:right w:val="none" w:sz="0" w:space="0" w:color="auto"/>
          </w:divBdr>
        </w:div>
        <w:div w:id="2072580150">
          <w:marLeft w:val="640"/>
          <w:marRight w:val="0"/>
          <w:marTop w:val="0"/>
          <w:marBottom w:val="0"/>
          <w:divBdr>
            <w:top w:val="none" w:sz="0" w:space="0" w:color="auto"/>
            <w:left w:val="none" w:sz="0" w:space="0" w:color="auto"/>
            <w:bottom w:val="none" w:sz="0" w:space="0" w:color="auto"/>
            <w:right w:val="none" w:sz="0" w:space="0" w:color="auto"/>
          </w:divBdr>
        </w:div>
        <w:div w:id="1719041581">
          <w:marLeft w:val="640"/>
          <w:marRight w:val="0"/>
          <w:marTop w:val="0"/>
          <w:marBottom w:val="0"/>
          <w:divBdr>
            <w:top w:val="none" w:sz="0" w:space="0" w:color="auto"/>
            <w:left w:val="none" w:sz="0" w:space="0" w:color="auto"/>
            <w:bottom w:val="none" w:sz="0" w:space="0" w:color="auto"/>
            <w:right w:val="none" w:sz="0" w:space="0" w:color="auto"/>
          </w:divBdr>
        </w:div>
        <w:div w:id="1430420466">
          <w:marLeft w:val="640"/>
          <w:marRight w:val="0"/>
          <w:marTop w:val="0"/>
          <w:marBottom w:val="0"/>
          <w:divBdr>
            <w:top w:val="none" w:sz="0" w:space="0" w:color="auto"/>
            <w:left w:val="none" w:sz="0" w:space="0" w:color="auto"/>
            <w:bottom w:val="none" w:sz="0" w:space="0" w:color="auto"/>
            <w:right w:val="none" w:sz="0" w:space="0" w:color="auto"/>
          </w:divBdr>
        </w:div>
        <w:div w:id="506019973">
          <w:marLeft w:val="640"/>
          <w:marRight w:val="0"/>
          <w:marTop w:val="0"/>
          <w:marBottom w:val="0"/>
          <w:divBdr>
            <w:top w:val="none" w:sz="0" w:space="0" w:color="auto"/>
            <w:left w:val="none" w:sz="0" w:space="0" w:color="auto"/>
            <w:bottom w:val="none" w:sz="0" w:space="0" w:color="auto"/>
            <w:right w:val="none" w:sz="0" w:space="0" w:color="auto"/>
          </w:divBdr>
        </w:div>
        <w:div w:id="808479310">
          <w:marLeft w:val="640"/>
          <w:marRight w:val="0"/>
          <w:marTop w:val="0"/>
          <w:marBottom w:val="0"/>
          <w:divBdr>
            <w:top w:val="none" w:sz="0" w:space="0" w:color="auto"/>
            <w:left w:val="none" w:sz="0" w:space="0" w:color="auto"/>
            <w:bottom w:val="none" w:sz="0" w:space="0" w:color="auto"/>
            <w:right w:val="none" w:sz="0" w:space="0" w:color="auto"/>
          </w:divBdr>
        </w:div>
        <w:div w:id="1133988588">
          <w:marLeft w:val="640"/>
          <w:marRight w:val="0"/>
          <w:marTop w:val="0"/>
          <w:marBottom w:val="0"/>
          <w:divBdr>
            <w:top w:val="none" w:sz="0" w:space="0" w:color="auto"/>
            <w:left w:val="none" w:sz="0" w:space="0" w:color="auto"/>
            <w:bottom w:val="none" w:sz="0" w:space="0" w:color="auto"/>
            <w:right w:val="none" w:sz="0" w:space="0" w:color="auto"/>
          </w:divBdr>
        </w:div>
        <w:div w:id="829373207">
          <w:marLeft w:val="640"/>
          <w:marRight w:val="0"/>
          <w:marTop w:val="0"/>
          <w:marBottom w:val="0"/>
          <w:divBdr>
            <w:top w:val="none" w:sz="0" w:space="0" w:color="auto"/>
            <w:left w:val="none" w:sz="0" w:space="0" w:color="auto"/>
            <w:bottom w:val="none" w:sz="0" w:space="0" w:color="auto"/>
            <w:right w:val="none" w:sz="0" w:space="0" w:color="auto"/>
          </w:divBdr>
        </w:div>
        <w:div w:id="2044548569">
          <w:marLeft w:val="640"/>
          <w:marRight w:val="0"/>
          <w:marTop w:val="0"/>
          <w:marBottom w:val="0"/>
          <w:divBdr>
            <w:top w:val="none" w:sz="0" w:space="0" w:color="auto"/>
            <w:left w:val="none" w:sz="0" w:space="0" w:color="auto"/>
            <w:bottom w:val="none" w:sz="0" w:space="0" w:color="auto"/>
            <w:right w:val="none" w:sz="0" w:space="0" w:color="auto"/>
          </w:divBdr>
        </w:div>
        <w:div w:id="854147093">
          <w:marLeft w:val="640"/>
          <w:marRight w:val="0"/>
          <w:marTop w:val="0"/>
          <w:marBottom w:val="0"/>
          <w:divBdr>
            <w:top w:val="none" w:sz="0" w:space="0" w:color="auto"/>
            <w:left w:val="none" w:sz="0" w:space="0" w:color="auto"/>
            <w:bottom w:val="none" w:sz="0" w:space="0" w:color="auto"/>
            <w:right w:val="none" w:sz="0" w:space="0" w:color="auto"/>
          </w:divBdr>
        </w:div>
        <w:div w:id="2091807871">
          <w:marLeft w:val="640"/>
          <w:marRight w:val="0"/>
          <w:marTop w:val="0"/>
          <w:marBottom w:val="0"/>
          <w:divBdr>
            <w:top w:val="none" w:sz="0" w:space="0" w:color="auto"/>
            <w:left w:val="none" w:sz="0" w:space="0" w:color="auto"/>
            <w:bottom w:val="none" w:sz="0" w:space="0" w:color="auto"/>
            <w:right w:val="none" w:sz="0" w:space="0" w:color="auto"/>
          </w:divBdr>
        </w:div>
        <w:div w:id="1794984340">
          <w:marLeft w:val="640"/>
          <w:marRight w:val="0"/>
          <w:marTop w:val="0"/>
          <w:marBottom w:val="0"/>
          <w:divBdr>
            <w:top w:val="none" w:sz="0" w:space="0" w:color="auto"/>
            <w:left w:val="none" w:sz="0" w:space="0" w:color="auto"/>
            <w:bottom w:val="none" w:sz="0" w:space="0" w:color="auto"/>
            <w:right w:val="none" w:sz="0" w:space="0" w:color="auto"/>
          </w:divBdr>
        </w:div>
        <w:div w:id="1234125890">
          <w:marLeft w:val="640"/>
          <w:marRight w:val="0"/>
          <w:marTop w:val="0"/>
          <w:marBottom w:val="0"/>
          <w:divBdr>
            <w:top w:val="none" w:sz="0" w:space="0" w:color="auto"/>
            <w:left w:val="none" w:sz="0" w:space="0" w:color="auto"/>
            <w:bottom w:val="none" w:sz="0" w:space="0" w:color="auto"/>
            <w:right w:val="none" w:sz="0" w:space="0" w:color="auto"/>
          </w:divBdr>
        </w:div>
        <w:div w:id="1354307362">
          <w:marLeft w:val="640"/>
          <w:marRight w:val="0"/>
          <w:marTop w:val="0"/>
          <w:marBottom w:val="0"/>
          <w:divBdr>
            <w:top w:val="none" w:sz="0" w:space="0" w:color="auto"/>
            <w:left w:val="none" w:sz="0" w:space="0" w:color="auto"/>
            <w:bottom w:val="none" w:sz="0" w:space="0" w:color="auto"/>
            <w:right w:val="none" w:sz="0" w:space="0" w:color="auto"/>
          </w:divBdr>
        </w:div>
        <w:div w:id="200359754">
          <w:marLeft w:val="640"/>
          <w:marRight w:val="0"/>
          <w:marTop w:val="0"/>
          <w:marBottom w:val="0"/>
          <w:divBdr>
            <w:top w:val="none" w:sz="0" w:space="0" w:color="auto"/>
            <w:left w:val="none" w:sz="0" w:space="0" w:color="auto"/>
            <w:bottom w:val="none" w:sz="0" w:space="0" w:color="auto"/>
            <w:right w:val="none" w:sz="0" w:space="0" w:color="auto"/>
          </w:divBdr>
        </w:div>
        <w:div w:id="476605192">
          <w:marLeft w:val="640"/>
          <w:marRight w:val="0"/>
          <w:marTop w:val="0"/>
          <w:marBottom w:val="0"/>
          <w:divBdr>
            <w:top w:val="none" w:sz="0" w:space="0" w:color="auto"/>
            <w:left w:val="none" w:sz="0" w:space="0" w:color="auto"/>
            <w:bottom w:val="none" w:sz="0" w:space="0" w:color="auto"/>
            <w:right w:val="none" w:sz="0" w:space="0" w:color="auto"/>
          </w:divBdr>
        </w:div>
        <w:div w:id="1699887292">
          <w:marLeft w:val="640"/>
          <w:marRight w:val="0"/>
          <w:marTop w:val="0"/>
          <w:marBottom w:val="0"/>
          <w:divBdr>
            <w:top w:val="none" w:sz="0" w:space="0" w:color="auto"/>
            <w:left w:val="none" w:sz="0" w:space="0" w:color="auto"/>
            <w:bottom w:val="none" w:sz="0" w:space="0" w:color="auto"/>
            <w:right w:val="none" w:sz="0" w:space="0" w:color="auto"/>
          </w:divBdr>
        </w:div>
        <w:div w:id="428161489">
          <w:marLeft w:val="640"/>
          <w:marRight w:val="0"/>
          <w:marTop w:val="0"/>
          <w:marBottom w:val="0"/>
          <w:divBdr>
            <w:top w:val="none" w:sz="0" w:space="0" w:color="auto"/>
            <w:left w:val="none" w:sz="0" w:space="0" w:color="auto"/>
            <w:bottom w:val="none" w:sz="0" w:space="0" w:color="auto"/>
            <w:right w:val="none" w:sz="0" w:space="0" w:color="auto"/>
          </w:divBdr>
        </w:div>
        <w:div w:id="555436665">
          <w:marLeft w:val="640"/>
          <w:marRight w:val="0"/>
          <w:marTop w:val="0"/>
          <w:marBottom w:val="0"/>
          <w:divBdr>
            <w:top w:val="none" w:sz="0" w:space="0" w:color="auto"/>
            <w:left w:val="none" w:sz="0" w:space="0" w:color="auto"/>
            <w:bottom w:val="none" w:sz="0" w:space="0" w:color="auto"/>
            <w:right w:val="none" w:sz="0" w:space="0" w:color="auto"/>
          </w:divBdr>
        </w:div>
        <w:div w:id="1410808199">
          <w:marLeft w:val="640"/>
          <w:marRight w:val="0"/>
          <w:marTop w:val="0"/>
          <w:marBottom w:val="0"/>
          <w:divBdr>
            <w:top w:val="none" w:sz="0" w:space="0" w:color="auto"/>
            <w:left w:val="none" w:sz="0" w:space="0" w:color="auto"/>
            <w:bottom w:val="none" w:sz="0" w:space="0" w:color="auto"/>
            <w:right w:val="none" w:sz="0" w:space="0" w:color="auto"/>
          </w:divBdr>
        </w:div>
        <w:div w:id="1078359029">
          <w:marLeft w:val="640"/>
          <w:marRight w:val="0"/>
          <w:marTop w:val="0"/>
          <w:marBottom w:val="0"/>
          <w:divBdr>
            <w:top w:val="none" w:sz="0" w:space="0" w:color="auto"/>
            <w:left w:val="none" w:sz="0" w:space="0" w:color="auto"/>
            <w:bottom w:val="none" w:sz="0" w:space="0" w:color="auto"/>
            <w:right w:val="none" w:sz="0" w:space="0" w:color="auto"/>
          </w:divBdr>
        </w:div>
        <w:div w:id="995112167">
          <w:marLeft w:val="640"/>
          <w:marRight w:val="0"/>
          <w:marTop w:val="0"/>
          <w:marBottom w:val="0"/>
          <w:divBdr>
            <w:top w:val="none" w:sz="0" w:space="0" w:color="auto"/>
            <w:left w:val="none" w:sz="0" w:space="0" w:color="auto"/>
            <w:bottom w:val="none" w:sz="0" w:space="0" w:color="auto"/>
            <w:right w:val="none" w:sz="0" w:space="0" w:color="auto"/>
          </w:divBdr>
        </w:div>
        <w:div w:id="1082605784">
          <w:marLeft w:val="640"/>
          <w:marRight w:val="0"/>
          <w:marTop w:val="0"/>
          <w:marBottom w:val="0"/>
          <w:divBdr>
            <w:top w:val="none" w:sz="0" w:space="0" w:color="auto"/>
            <w:left w:val="none" w:sz="0" w:space="0" w:color="auto"/>
            <w:bottom w:val="none" w:sz="0" w:space="0" w:color="auto"/>
            <w:right w:val="none" w:sz="0" w:space="0" w:color="auto"/>
          </w:divBdr>
        </w:div>
        <w:div w:id="1322388845">
          <w:marLeft w:val="640"/>
          <w:marRight w:val="0"/>
          <w:marTop w:val="0"/>
          <w:marBottom w:val="0"/>
          <w:divBdr>
            <w:top w:val="none" w:sz="0" w:space="0" w:color="auto"/>
            <w:left w:val="none" w:sz="0" w:space="0" w:color="auto"/>
            <w:bottom w:val="none" w:sz="0" w:space="0" w:color="auto"/>
            <w:right w:val="none" w:sz="0" w:space="0" w:color="auto"/>
          </w:divBdr>
        </w:div>
        <w:div w:id="2003240784">
          <w:marLeft w:val="640"/>
          <w:marRight w:val="0"/>
          <w:marTop w:val="0"/>
          <w:marBottom w:val="0"/>
          <w:divBdr>
            <w:top w:val="none" w:sz="0" w:space="0" w:color="auto"/>
            <w:left w:val="none" w:sz="0" w:space="0" w:color="auto"/>
            <w:bottom w:val="none" w:sz="0" w:space="0" w:color="auto"/>
            <w:right w:val="none" w:sz="0" w:space="0" w:color="auto"/>
          </w:divBdr>
        </w:div>
        <w:div w:id="29260189">
          <w:marLeft w:val="640"/>
          <w:marRight w:val="0"/>
          <w:marTop w:val="0"/>
          <w:marBottom w:val="0"/>
          <w:divBdr>
            <w:top w:val="none" w:sz="0" w:space="0" w:color="auto"/>
            <w:left w:val="none" w:sz="0" w:space="0" w:color="auto"/>
            <w:bottom w:val="none" w:sz="0" w:space="0" w:color="auto"/>
            <w:right w:val="none" w:sz="0" w:space="0" w:color="auto"/>
          </w:divBdr>
        </w:div>
        <w:div w:id="1467889387">
          <w:marLeft w:val="640"/>
          <w:marRight w:val="0"/>
          <w:marTop w:val="0"/>
          <w:marBottom w:val="0"/>
          <w:divBdr>
            <w:top w:val="none" w:sz="0" w:space="0" w:color="auto"/>
            <w:left w:val="none" w:sz="0" w:space="0" w:color="auto"/>
            <w:bottom w:val="none" w:sz="0" w:space="0" w:color="auto"/>
            <w:right w:val="none" w:sz="0" w:space="0" w:color="auto"/>
          </w:divBdr>
        </w:div>
        <w:div w:id="633289921">
          <w:marLeft w:val="640"/>
          <w:marRight w:val="0"/>
          <w:marTop w:val="0"/>
          <w:marBottom w:val="0"/>
          <w:divBdr>
            <w:top w:val="none" w:sz="0" w:space="0" w:color="auto"/>
            <w:left w:val="none" w:sz="0" w:space="0" w:color="auto"/>
            <w:bottom w:val="none" w:sz="0" w:space="0" w:color="auto"/>
            <w:right w:val="none" w:sz="0" w:space="0" w:color="auto"/>
          </w:divBdr>
        </w:div>
        <w:div w:id="1285036695">
          <w:marLeft w:val="640"/>
          <w:marRight w:val="0"/>
          <w:marTop w:val="0"/>
          <w:marBottom w:val="0"/>
          <w:divBdr>
            <w:top w:val="none" w:sz="0" w:space="0" w:color="auto"/>
            <w:left w:val="none" w:sz="0" w:space="0" w:color="auto"/>
            <w:bottom w:val="none" w:sz="0" w:space="0" w:color="auto"/>
            <w:right w:val="none" w:sz="0" w:space="0" w:color="auto"/>
          </w:divBdr>
        </w:div>
        <w:div w:id="161051589">
          <w:marLeft w:val="640"/>
          <w:marRight w:val="0"/>
          <w:marTop w:val="0"/>
          <w:marBottom w:val="0"/>
          <w:divBdr>
            <w:top w:val="none" w:sz="0" w:space="0" w:color="auto"/>
            <w:left w:val="none" w:sz="0" w:space="0" w:color="auto"/>
            <w:bottom w:val="none" w:sz="0" w:space="0" w:color="auto"/>
            <w:right w:val="none" w:sz="0" w:space="0" w:color="auto"/>
          </w:divBdr>
        </w:div>
        <w:div w:id="1807698406">
          <w:marLeft w:val="640"/>
          <w:marRight w:val="0"/>
          <w:marTop w:val="0"/>
          <w:marBottom w:val="0"/>
          <w:divBdr>
            <w:top w:val="none" w:sz="0" w:space="0" w:color="auto"/>
            <w:left w:val="none" w:sz="0" w:space="0" w:color="auto"/>
            <w:bottom w:val="none" w:sz="0" w:space="0" w:color="auto"/>
            <w:right w:val="none" w:sz="0" w:space="0" w:color="auto"/>
          </w:divBdr>
        </w:div>
        <w:div w:id="618142395">
          <w:marLeft w:val="640"/>
          <w:marRight w:val="0"/>
          <w:marTop w:val="0"/>
          <w:marBottom w:val="0"/>
          <w:divBdr>
            <w:top w:val="none" w:sz="0" w:space="0" w:color="auto"/>
            <w:left w:val="none" w:sz="0" w:space="0" w:color="auto"/>
            <w:bottom w:val="none" w:sz="0" w:space="0" w:color="auto"/>
            <w:right w:val="none" w:sz="0" w:space="0" w:color="auto"/>
          </w:divBdr>
        </w:div>
        <w:div w:id="375590449">
          <w:marLeft w:val="640"/>
          <w:marRight w:val="0"/>
          <w:marTop w:val="0"/>
          <w:marBottom w:val="0"/>
          <w:divBdr>
            <w:top w:val="none" w:sz="0" w:space="0" w:color="auto"/>
            <w:left w:val="none" w:sz="0" w:space="0" w:color="auto"/>
            <w:bottom w:val="none" w:sz="0" w:space="0" w:color="auto"/>
            <w:right w:val="none" w:sz="0" w:space="0" w:color="auto"/>
          </w:divBdr>
        </w:div>
        <w:div w:id="682516196">
          <w:marLeft w:val="640"/>
          <w:marRight w:val="0"/>
          <w:marTop w:val="0"/>
          <w:marBottom w:val="0"/>
          <w:divBdr>
            <w:top w:val="none" w:sz="0" w:space="0" w:color="auto"/>
            <w:left w:val="none" w:sz="0" w:space="0" w:color="auto"/>
            <w:bottom w:val="none" w:sz="0" w:space="0" w:color="auto"/>
            <w:right w:val="none" w:sz="0" w:space="0" w:color="auto"/>
          </w:divBdr>
        </w:div>
        <w:div w:id="888959324">
          <w:marLeft w:val="640"/>
          <w:marRight w:val="0"/>
          <w:marTop w:val="0"/>
          <w:marBottom w:val="0"/>
          <w:divBdr>
            <w:top w:val="none" w:sz="0" w:space="0" w:color="auto"/>
            <w:left w:val="none" w:sz="0" w:space="0" w:color="auto"/>
            <w:bottom w:val="none" w:sz="0" w:space="0" w:color="auto"/>
            <w:right w:val="none" w:sz="0" w:space="0" w:color="auto"/>
          </w:divBdr>
        </w:div>
        <w:div w:id="1108307822">
          <w:marLeft w:val="640"/>
          <w:marRight w:val="0"/>
          <w:marTop w:val="0"/>
          <w:marBottom w:val="0"/>
          <w:divBdr>
            <w:top w:val="none" w:sz="0" w:space="0" w:color="auto"/>
            <w:left w:val="none" w:sz="0" w:space="0" w:color="auto"/>
            <w:bottom w:val="none" w:sz="0" w:space="0" w:color="auto"/>
            <w:right w:val="none" w:sz="0" w:space="0" w:color="auto"/>
          </w:divBdr>
        </w:div>
        <w:div w:id="997802362">
          <w:marLeft w:val="640"/>
          <w:marRight w:val="0"/>
          <w:marTop w:val="0"/>
          <w:marBottom w:val="0"/>
          <w:divBdr>
            <w:top w:val="none" w:sz="0" w:space="0" w:color="auto"/>
            <w:left w:val="none" w:sz="0" w:space="0" w:color="auto"/>
            <w:bottom w:val="none" w:sz="0" w:space="0" w:color="auto"/>
            <w:right w:val="none" w:sz="0" w:space="0" w:color="auto"/>
          </w:divBdr>
        </w:div>
        <w:div w:id="945960205">
          <w:marLeft w:val="640"/>
          <w:marRight w:val="0"/>
          <w:marTop w:val="0"/>
          <w:marBottom w:val="0"/>
          <w:divBdr>
            <w:top w:val="none" w:sz="0" w:space="0" w:color="auto"/>
            <w:left w:val="none" w:sz="0" w:space="0" w:color="auto"/>
            <w:bottom w:val="none" w:sz="0" w:space="0" w:color="auto"/>
            <w:right w:val="none" w:sz="0" w:space="0" w:color="auto"/>
          </w:divBdr>
        </w:div>
        <w:div w:id="1162087073">
          <w:marLeft w:val="640"/>
          <w:marRight w:val="0"/>
          <w:marTop w:val="0"/>
          <w:marBottom w:val="0"/>
          <w:divBdr>
            <w:top w:val="none" w:sz="0" w:space="0" w:color="auto"/>
            <w:left w:val="none" w:sz="0" w:space="0" w:color="auto"/>
            <w:bottom w:val="none" w:sz="0" w:space="0" w:color="auto"/>
            <w:right w:val="none" w:sz="0" w:space="0" w:color="auto"/>
          </w:divBdr>
        </w:div>
        <w:div w:id="503404006">
          <w:marLeft w:val="640"/>
          <w:marRight w:val="0"/>
          <w:marTop w:val="0"/>
          <w:marBottom w:val="0"/>
          <w:divBdr>
            <w:top w:val="none" w:sz="0" w:space="0" w:color="auto"/>
            <w:left w:val="none" w:sz="0" w:space="0" w:color="auto"/>
            <w:bottom w:val="none" w:sz="0" w:space="0" w:color="auto"/>
            <w:right w:val="none" w:sz="0" w:space="0" w:color="auto"/>
          </w:divBdr>
        </w:div>
        <w:div w:id="1864899524">
          <w:marLeft w:val="640"/>
          <w:marRight w:val="0"/>
          <w:marTop w:val="0"/>
          <w:marBottom w:val="0"/>
          <w:divBdr>
            <w:top w:val="none" w:sz="0" w:space="0" w:color="auto"/>
            <w:left w:val="none" w:sz="0" w:space="0" w:color="auto"/>
            <w:bottom w:val="none" w:sz="0" w:space="0" w:color="auto"/>
            <w:right w:val="none" w:sz="0" w:space="0" w:color="auto"/>
          </w:divBdr>
        </w:div>
        <w:div w:id="1901134887">
          <w:marLeft w:val="640"/>
          <w:marRight w:val="0"/>
          <w:marTop w:val="0"/>
          <w:marBottom w:val="0"/>
          <w:divBdr>
            <w:top w:val="none" w:sz="0" w:space="0" w:color="auto"/>
            <w:left w:val="none" w:sz="0" w:space="0" w:color="auto"/>
            <w:bottom w:val="none" w:sz="0" w:space="0" w:color="auto"/>
            <w:right w:val="none" w:sz="0" w:space="0" w:color="auto"/>
          </w:divBdr>
        </w:div>
        <w:div w:id="1225606011">
          <w:marLeft w:val="640"/>
          <w:marRight w:val="0"/>
          <w:marTop w:val="0"/>
          <w:marBottom w:val="0"/>
          <w:divBdr>
            <w:top w:val="none" w:sz="0" w:space="0" w:color="auto"/>
            <w:left w:val="none" w:sz="0" w:space="0" w:color="auto"/>
            <w:bottom w:val="none" w:sz="0" w:space="0" w:color="auto"/>
            <w:right w:val="none" w:sz="0" w:space="0" w:color="auto"/>
          </w:divBdr>
        </w:div>
        <w:div w:id="1119253032">
          <w:marLeft w:val="640"/>
          <w:marRight w:val="0"/>
          <w:marTop w:val="0"/>
          <w:marBottom w:val="0"/>
          <w:divBdr>
            <w:top w:val="none" w:sz="0" w:space="0" w:color="auto"/>
            <w:left w:val="none" w:sz="0" w:space="0" w:color="auto"/>
            <w:bottom w:val="none" w:sz="0" w:space="0" w:color="auto"/>
            <w:right w:val="none" w:sz="0" w:space="0" w:color="auto"/>
          </w:divBdr>
        </w:div>
        <w:div w:id="1957714324">
          <w:marLeft w:val="640"/>
          <w:marRight w:val="0"/>
          <w:marTop w:val="0"/>
          <w:marBottom w:val="0"/>
          <w:divBdr>
            <w:top w:val="none" w:sz="0" w:space="0" w:color="auto"/>
            <w:left w:val="none" w:sz="0" w:space="0" w:color="auto"/>
            <w:bottom w:val="none" w:sz="0" w:space="0" w:color="auto"/>
            <w:right w:val="none" w:sz="0" w:space="0" w:color="auto"/>
          </w:divBdr>
        </w:div>
        <w:div w:id="193078464">
          <w:marLeft w:val="640"/>
          <w:marRight w:val="0"/>
          <w:marTop w:val="0"/>
          <w:marBottom w:val="0"/>
          <w:divBdr>
            <w:top w:val="none" w:sz="0" w:space="0" w:color="auto"/>
            <w:left w:val="none" w:sz="0" w:space="0" w:color="auto"/>
            <w:bottom w:val="none" w:sz="0" w:space="0" w:color="auto"/>
            <w:right w:val="none" w:sz="0" w:space="0" w:color="auto"/>
          </w:divBdr>
        </w:div>
        <w:div w:id="971400618">
          <w:marLeft w:val="640"/>
          <w:marRight w:val="0"/>
          <w:marTop w:val="0"/>
          <w:marBottom w:val="0"/>
          <w:divBdr>
            <w:top w:val="none" w:sz="0" w:space="0" w:color="auto"/>
            <w:left w:val="none" w:sz="0" w:space="0" w:color="auto"/>
            <w:bottom w:val="none" w:sz="0" w:space="0" w:color="auto"/>
            <w:right w:val="none" w:sz="0" w:space="0" w:color="auto"/>
          </w:divBdr>
        </w:div>
        <w:div w:id="1110928861">
          <w:marLeft w:val="640"/>
          <w:marRight w:val="0"/>
          <w:marTop w:val="0"/>
          <w:marBottom w:val="0"/>
          <w:divBdr>
            <w:top w:val="none" w:sz="0" w:space="0" w:color="auto"/>
            <w:left w:val="none" w:sz="0" w:space="0" w:color="auto"/>
            <w:bottom w:val="none" w:sz="0" w:space="0" w:color="auto"/>
            <w:right w:val="none" w:sz="0" w:space="0" w:color="auto"/>
          </w:divBdr>
        </w:div>
        <w:div w:id="1593011218">
          <w:marLeft w:val="640"/>
          <w:marRight w:val="0"/>
          <w:marTop w:val="0"/>
          <w:marBottom w:val="0"/>
          <w:divBdr>
            <w:top w:val="none" w:sz="0" w:space="0" w:color="auto"/>
            <w:left w:val="none" w:sz="0" w:space="0" w:color="auto"/>
            <w:bottom w:val="none" w:sz="0" w:space="0" w:color="auto"/>
            <w:right w:val="none" w:sz="0" w:space="0" w:color="auto"/>
          </w:divBdr>
        </w:div>
        <w:div w:id="1241015469">
          <w:marLeft w:val="640"/>
          <w:marRight w:val="0"/>
          <w:marTop w:val="0"/>
          <w:marBottom w:val="0"/>
          <w:divBdr>
            <w:top w:val="none" w:sz="0" w:space="0" w:color="auto"/>
            <w:left w:val="none" w:sz="0" w:space="0" w:color="auto"/>
            <w:bottom w:val="none" w:sz="0" w:space="0" w:color="auto"/>
            <w:right w:val="none" w:sz="0" w:space="0" w:color="auto"/>
          </w:divBdr>
        </w:div>
        <w:div w:id="1730761129">
          <w:marLeft w:val="640"/>
          <w:marRight w:val="0"/>
          <w:marTop w:val="0"/>
          <w:marBottom w:val="0"/>
          <w:divBdr>
            <w:top w:val="none" w:sz="0" w:space="0" w:color="auto"/>
            <w:left w:val="none" w:sz="0" w:space="0" w:color="auto"/>
            <w:bottom w:val="none" w:sz="0" w:space="0" w:color="auto"/>
            <w:right w:val="none" w:sz="0" w:space="0" w:color="auto"/>
          </w:divBdr>
        </w:div>
        <w:div w:id="827553439">
          <w:marLeft w:val="640"/>
          <w:marRight w:val="0"/>
          <w:marTop w:val="0"/>
          <w:marBottom w:val="0"/>
          <w:divBdr>
            <w:top w:val="none" w:sz="0" w:space="0" w:color="auto"/>
            <w:left w:val="none" w:sz="0" w:space="0" w:color="auto"/>
            <w:bottom w:val="none" w:sz="0" w:space="0" w:color="auto"/>
            <w:right w:val="none" w:sz="0" w:space="0" w:color="auto"/>
          </w:divBdr>
        </w:div>
        <w:div w:id="1470856354">
          <w:marLeft w:val="640"/>
          <w:marRight w:val="0"/>
          <w:marTop w:val="0"/>
          <w:marBottom w:val="0"/>
          <w:divBdr>
            <w:top w:val="none" w:sz="0" w:space="0" w:color="auto"/>
            <w:left w:val="none" w:sz="0" w:space="0" w:color="auto"/>
            <w:bottom w:val="none" w:sz="0" w:space="0" w:color="auto"/>
            <w:right w:val="none" w:sz="0" w:space="0" w:color="auto"/>
          </w:divBdr>
        </w:div>
        <w:div w:id="320894096">
          <w:marLeft w:val="640"/>
          <w:marRight w:val="0"/>
          <w:marTop w:val="0"/>
          <w:marBottom w:val="0"/>
          <w:divBdr>
            <w:top w:val="none" w:sz="0" w:space="0" w:color="auto"/>
            <w:left w:val="none" w:sz="0" w:space="0" w:color="auto"/>
            <w:bottom w:val="none" w:sz="0" w:space="0" w:color="auto"/>
            <w:right w:val="none" w:sz="0" w:space="0" w:color="auto"/>
          </w:divBdr>
        </w:div>
        <w:div w:id="1605839730">
          <w:marLeft w:val="640"/>
          <w:marRight w:val="0"/>
          <w:marTop w:val="0"/>
          <w:marBottom w:val="0"/>
          <w:divBdr>
            <w:top w:val="none" w:sz="0" w:space="0" w:color="auto"/>
            <w:left w:val="none" w:sz="0" w:space="0" w:color="auto"/>
            <w:bottom w:val="none" w:sz="0" w:space="0" w:color="auto"/>
            <w:right w:val="none" w:sz="0" w:space="0" w:color="auto"/>
          </w:divBdr>
        </w:div>
        <w:div w:id="1675256261">
          <w:marLeft w:val="640"/>
          <w:marRight w:val="0"/>
          <w:marTop w:val="0"/>
          <w:marBottom w:val="0"/>
          <w:divBdr>
            <w:top w:val="none" w:sz="0" w:space="0" w:color="auto"/>
            <w:left w:val="none" w:sz="0" w:space="0" w:color="auto"/>
            <w:bottom w:val="none" w:sz="0" w:space="0" w:color="auto"/>
            <w:right w:val="none" w:sz="0" w:space="0" w:color="auto"/>
          </w:divBdr>
        </w:div>
        <w:div w:id="125508965">
          <w:marLeft w:val="640"/>
          <w:marRight w:val="0"/>
          <w:marTop w:val="0"/>
          <w:marBottom w:val="0"/>
          <w:divBdr>
            <w:top w:val="none" w:sz="0" w:space="0" w:color="auto"/>
            <w:left w:val="none" w:sz="0" w:space="0" w:color="auto"/>
            <w:bottom w:val="none" w:sz="0" w:space="0" w:color="auto"/>
            <w:right w:val="none" w:sz="0" w:space="0" w:color="auto"/>
          </w:divBdr>
        </w:div>
        <w:div w:id="1428574833">
          <w:marLeft w:val="640"/>
          <w:marRight w:val="0"/>
          <w:marTop w:val="0"/>
          <w:marBottom w:val="0"/>
          <w:divBdr>
            <w:top w:val="none" w:sz="0" w:space="0" w:color="auto"/>
            <w:left w:val="none" w:sz="0" w:space="0" w:color="auto"/>
            <w:bottom w:val="none" w:sz="0" w:space="0" w:color="auto"/>
            <w:right w:val="none" w:sz="0" w:space="0" w:color="auto"/>
          </w:divBdr>
        </w:div>
      </w:divsChild>
    </w:div>
    <w:div w:id="2062895963">
      <w:bodyDiv w:val="1"/>
      <w:marLeft w:val="0"/>
      <w:marRight w:val="0"/>
      <w:marTop w:val="0"/>
      <w:marBottom w:val="0"/>
      <w:divBdr>
        <w:top w:val="none" w:sz="0" w:space="0" w:color="auto"/>
        <w:left w:val="none" w:sz="0" w:space="0" w:color="auto"/>
        <w:bottom w:val="none" w:sz="0" w:space="0" w:color="auto"/>
        <w:right w:val="none" w:sz="0" w:space="0" w:color="auto"/>
      </w:divBdr>
      <w:divsChild>
        <w:div w:id="960574598">
          <w:marLeft w:val="640"/>
          <w:marRight w:val="0"/>
          <w:marTop w:val="0"/>
          <w:marBottom w:val="0"/>
          <w:divBdr>
            <w:top w:val="none" w:sz="0" w:space="0" w:color="auto"/>
            <w:left w:val="none" w:sz="0" w:space="0" w:color="auto"/>
            <w:bottom w:val="none" w:sz="0" w:space="0" w:color="auto"/>
            <w:right w:val="none" w:sz="0" w:space="0" w:color="auto"/>
          </w:divBdr>
        </w:div>
        <w:div w:id="1077559588">
          <w:marLeft w:val="640"/>
          <w:marRight w:val="0"/>
          <w:marTop w:val="0"/>
          <w:marBottom w:val="0"/>
          <w:divBdr>
            <w:top w:val="none" w:sz="0" w:space="0" w:color="auto"/>
            <w:left w:val="none" w:sz="0" w:space="0" w:color="auto"/>
            <w:bottom w:val="none" w:sz="0" w:space="0" w:color="auto"/>
            <w:right w:val="none" w:sz="0" w:space="0" w:color="auto"/>
          </w:divBdr>
        </w:div>
        <w:div w:id="1386761860">
          <w:marLeft w:val="640"/>
          <w:marRight w:val="0"/>
          <w:marTop w:val="0"/>
          <w:marBottom w:val="0"/>
          <w:divBdr>
            <w:top w:val="none" w:sz="0" w:space="0" w:color="auto"/>
            <w:left w:val="none" w:sz="0" w:space="0" w:color="auto"/>
            <w:bottom w:val="none" w:sz="0" w:space="0" w:color="auto"/>
            <w:right w:val="none" w:sz="0" w:space="0" w:color="auto"/>
          </w:divBdr>
        </w:div>
        <w:div w:id="1324954">
          <w:marLeft w:val="640"/>
          <w:marRight w:val="0"/>
          <w:marTop w:val="0"/>
          <w:marBottom w:val="0"/>
          <w:divBdr>
            <w:top w:val="none" w:sz="0" w:space="0" w:color="auto"/>
            <w:left w:val="none" w:sz="0" w:space="0" w:color="auto"/>
            <w:bottom w:val="none" w:sz="0" w:space="0" w:color="auto"/>
            <w:right w:val="none" w:sz="0" w:space="0" w:color="auto"/>
          </w:divBdr>
        </w:div>
        <w:div w:id="1791238483">
          <w:marLeft w:val="640"/>
          <w:marRight w:val="0"/>
          <w:marTop w:val="0"/>
          <w:marBottom w:val="0"/>
          <w:divBdr>
            <w:top w:val="none" w:sz="0" w:space="0" w:color="auto"/>
            <w:left w:val="none" w:sz="0" w:space="0" w:color="auto"/>
            <w:bottom w:val="none" w:sz="0" w:space="0" w:color="auto"/>
            <w:right w:val="none" w:sz="0" w:space="0" w:color="auto"/>
          </w:divBdr>
        </w:div>
        <w:div w:id="625156795">
          <w:marLeft w:val="640"/>
          <w:marRight w:val="0"/>
          <w:marTop w:val="0"/>
          <w:marBottom w:val="0"/>
          <w:divBdr>
            <w:top w:val="none" w:sz="0" w:space="0" w:color="auto"/>
            <w:left w:val="none" w:sz="0" w:space="0" w:color="auto"/>
            <w:bottom w:val="none" w:sz="0" w:space="0" w:color="auto"/>
            <w:right w:val="none" w:sz="0" w:space="0" w:color="auto"/>
          </w:divBdr>
        </w:div>
        <w:div w:id="1645692418">
          <w:marLeft w:val="640"/>
          <w:marRight w:val="0"/>
          <w:marTop w:val="0"/>
          <w:marBottom w:val="0"/>
          <w:divBdr>
            <w:top w:val="none" w:sz="0" w:space="0" w:color="auto"/>
            <w:left w:val="none" w:sz="0" w:space="0" w:color="auto"/>
            <w:bottom w:val="none" w:sz="0" w:space="0" w:color="auto"/>
            <w:right w:val="none" w:sz="0" w:space="0" w:color="auto"/>
          </w:divBdr>
        </w:div>
        <w:div w:id="124663298">
          <w:marLeft w:val="640"/>
          <w:marRight w:val="0"/>
          <w:marTop w:val="0"/>
          <w:marBottom w:val="0"/>
          <w:divBdr>
            <w:top w:val="none" w:sz="0" w:space="0" w:color="auto"/>
            <w:left w:val="none" w:sz="0" w:space="0" w:color="auto"/>
            <w:bottom w:val="none" w:sz="0" w:space="0" w:color="auto"/>
            <w:right w:val="none" w:sz="0" w:space="0" w:color="auto"/>
          </w:divBdr>
        </w:div>
        <w:div w:id="451947678">
          <w:marLeft w:val="640"/>
          <w:marRight w:val="0"/>
          <w:marTop w:val="0"/>
          <w:marBottom w:val="0"/>
          <w:divBdr>
            <w:top w:val="none" w:sz="0" w:space="0" w:color="auto"/>
            <w:left w:val="none" w:sz="0" w:space="0" w:color="auto"/>
            <w:bottom w:val="none" w:sz="0" w:space="0" w:color="auto"/>
            <w:right w:val="none" w:sz="0" w:space="0" w:color="auto"/>
          </w:divBdr>
        </w:div>
        <w:div w:id="2002733240">
          <w:marLeft w:val="640"/>
          <w:marRight w:val="0"/>
          <w:marTop w:val="0"/>
          <w:marBottom w:val="0"/>
          <w:divBdr>
            <w:top w:val="none" w:sz="0" w:space="0" w:color="auto"/>
            <w:left w:val="none" w:sz="0" w:space="0" w:color="auto"/>
            <w:bottom w:val="none" w:sz="0" w:space="0" w:color="auto"/>
            <w:right w:val="none" w:sz="0" w:space="0" w:color="auto"/>
          </w:divBdr>
        </w:div>
        <w:div w:id="237717561">
          <w:marLeft w:val="640"/>
          <w:marRight w:val="0"/>
          <w:marTop w:val="0"/>
          <w:marBottom w:val="0"/>
          <w:divBdr>
            <w:top w:val="none" w:sz="0" w:space="0" w:color="auto"/>
            <w:left w:val="none" w:sz="0" w:space="0" w:color="auto"/>
            <w:bottom w:val="none" w:sz="0" w:space="0" w:color="auto"/>
            <w:right w:val="none" w:sz="0" w:space="0" w:color="auto"/>
          </w:divBdr>
        </w:div>
        <w:div w:id="343214882">
          <w:marLeft w:val="640"/>
          <w:marRight w:val="0"/>
          <w:marTop w:val="0"/>
          <w:marBottom w:val="0"/>
          <w:divBdr>
            <w:top w:val="none" w:sz="0" w:space="0" w:color="auto"/>
            <w:left w:val="none" w:sz="0" w:space="0" w:color="auto"/>
            <w:bottom w:val="none" w:sz="0" w:space="0" w:color="auto"/>
            <w:right w:val="none" w:sz="0" w:space="0" w:color="auto"/>
          </w:divBdr>
        </w:div>
        <w:div w:id="776370490">
          <w:marLeft w:val="640"/>
          <w:marRight w:val="0"/>
          <w:marTop w:val="0"/>
          <w:marBottom w:val="0"/>
          <w:divBdr>
            <w:top w:val="none" w:sz="0" w:space="0" w:color="auto"/>
            <w:left w:val="none" w:sz="0" w:space="0" w:color="auto"/>
            <w:bottom w:val="none" w:sz="0" w:space="0" w:color="auto"/>
            <w:right w:val="none" w:sz="0" w:space="0" w:color="auto"/>
          </w:divBdr>
        </w:div>
        <w:div w:id="1256816450">
          <w:marLeft w:val="640"/>
          <w:marRight w:val="0"/>
          <w:marTop w:val="0"/>
          <w:marBottom w:val="0"/>
          <w:divBdr>
            <w:top w:val="none" w:sz="0" w:space="0" w:color="auto"/>
            <w:left w:val="none" w:sz="0" w:space="0" w:color="auto"/>
            <w:bottom w:val="none" w:sz="0" w:space="0" w:color="auto"/>
            <w:right w:val="none" w:sz="0" w:space="0" w:color="auto"/>
          </w:divBdr>
        </w:div>
        <w:div w:id="1298992226">
          <w:marLeft w:val="640"/>
          <w:marRight w:val="0"/>
          <w:marTop w:val="0"/>
          <w:marBottom w:val="0"/>
          <w:divBdr>
            <w:top w:val="none" w:sz="0" w:space="0" w:color="auto"/>
            <w:left w:val="none" w:sz="0" w:space="0" w:color="auto"/>
            <w:bottom w:val="none" w:sz="0" w:space="0" w:color="auto"/>
            <w:right w:val="none" w:sz="0" w:space="0" w:color="auto"/>
          </w:divBdr>
        </w:div>
        <w:div w:id="772898316">
          <w:marLeft w:val="640"/>
          <w:marRight w:val="0"/>
          <w:marTop w:val="0"/>
          <w:marBottom w:val="0"/>
          <w:divBdr>
            <w:top w:val="none" w:sz="0" w:space="0" w:color="auto"/>
            <w:left w:val="none" w:sz="0" w:space="0" w:color="auto"/>
            <w:bottom w:val="none" w:sz="0" w:space="0" w:color="auto"/>
            <w:right w:val="none" w:sz="0" w:space="0" w:color="auto"/>
          </w:divBdr>
        </w:div>
        <w:div w:id="1606646156">
          <w:marLeft w:val="640"/>
          <w:marRight w:val="0"/>
          <w:marTop w:val="0"/>
          <w:marBottom w:val="0"/>
          <w:divBdr>
            <w:top w:val="none" w:sz="0" w:space="0" w:color="auto"/>
            <w:left w:val="none" w:sz="0" w:space="0" w:color="auto"/>
            <w:bottom w:val="none" w:sz="0" w:space="0" w:color="auto"/>
            <w:right w:val="none" w:sz="0" w:space="0" w:color="auto"/>
          </w:divBdr>
        </w:div>
        <w:div w:id="487284880">
          <w:marLeft w:val="640"/>
          <w:marRight w:val="0"/>
          <w:marTop w:val="0"/>
          <w:marBottom w:val="0"/>
          <w:divBdr>
            <w:top w:val="none" w:sz="0" w:space="0" w:color="auto"/>
            <w:left w:val="none" w:sz="0" w:space="0" w:color="auto"/>
            <w:bottom w:val="none" w:sz="0" w:space="0" w:color="auto"/>
            <w:right w:val="none" w:sz="0" w:space="0" w:color="auto"/>
          </w:divBdr>
        </w:div>
        <w:div w:id="1450469829">
          <w:marLeft w:val="640"/>
          <w:marRight w:val="0"/>
          <w:marTop w:val="0"/>
          <w:marBottom w:val="0"/>
          <w:divBdr>
            <w:top w:val="none" w:sz="0" w:space="0" w:color="auto"/>
            <w:left w:val="none" w:sz="0" w:space="0" w:color="auto"/>
            <w:bottom w:val="none" w:sz="0" w:space="0" w:color="auto"/>
            <w:right w:val="none" w:sz="0" w:space="0" w:color="auto"/>
          </w:divBdr>
        </w:div>
        <w:div w:id="1333753641">
          <w:marLeft w:val="640"/>
          <w:marRight w:val="0"/>
          <w:marTop w:val="0"/>
          <w:marBottom w:val="0"/>
          <w:divBdr>
            <w:top w:val="none" w:sz="0" w:space="0" w:color="auto"/>
            <w:left w:val="none" w:sz="0" w:space="0" w:color="auto"/>
            <w:bottom w:val="none" w:sz="0" w:space="0" w:color="auto"/>
            <w:right w:val="none" w:sz="0" w:space="0" w:color="auto"/>
          </w:divBdr>
        </w:div>
        <w:div w:id="1889992979">
          <w:marLeft w:val="640"/>
          <w:marRight w:val="0"/>
          <w:marTop w:val="0"/>
          <w:marBottom w:val="0"/>
          <w:divBdr>
            <w:top w:val="none" w:sz="0" w:space="0" w:color="auto"/>
            <w:left w:val="none" w:sz="0" w:space="0" w:color="auto"/>
            <w:bottom w:val="none" w:sz="0" w:space="0" w:color="auto"/>
            <w:right w:val="none" w:sz="0" w:space="0" w:color="auto"/>
          </w:divBdr>
        </w:div>
        <w:div w:id="732896547">
          <w:marLeft w:val="640"/>
          <w:marRight w:val="0"/>
          <w:marTop w:val="0"/>
          <w:marBottom w:val="0"/>
          <w:divBdr>
            <w:top w:val="none" w:sz="0" w:space="0" w:color="auto"/>
            <w:left w:val="none" w:sz="0" w:space="0" w:color="auto"/>
            <w:bottom w:val="none" w:sz="0" w:space="0" w:color="auto"/>
            <w:right w:val="none" w:sz="0" w:space="0" w:color="auto"/>
          </w:divBdr>
        </w:div>
        <w:div w:id="1940094274">
          <w:marLeft w:val="640"/>
          <w:marRight w:val="0"/>
          <w:marTop w:val="0"/>
          <w:marBottom w:val="0"/>
          <w:divBdr>
            <w:top w:val="none" w:sz="0" w:space="0" w:color="auto"/>
            <w:left w:val="none" w:sz="0" w:space="0" w:color="auto"/>
            <w:bottom w:val="none" w:sz="0" w:space="0" w:color="auto"/>
            <w:right w:val="none" w:sz="0" w:space="0" w:color="auto"/>
          </w:divBdr>
        </w:div>
        <w:div w:id="337315507">
          <w:marLeft w:val="640"/>
          <w:marRight w:val="0"/>
          <w:marTop w:val="0"/>
          <w:marBottom w:val="0"/>
          <w:divBdr>
            <w:top w:val="none" w:sz="0" w:space="0" w:color="auto"/>
            <w:left w:val="none" w:sz="0" w:space="0" w:color="auto"/>
            <w:bottom w:val="none" w:sz="0" w:space="0" w:color="auto"/>
            <w:right w:val="none" w:sz="0" w:space="0" w:color="auto"/>
          </w:divBdr>
        </w:div>
        <w:div w:id="1494376225">
          <w:marLeft w:val="640"/>
          <w:marRight w:val="0"/>
          <w:marTop w:val="0"/>
          <w:marBottom w:val="0"/>
          <w:divBdr>
            <w:top w:val="none" w:sz="0" w:space="0" w:color="auto"/>
            <w:left w:val="none" w:sz="0" w:space="0" w:color="auto"/>
            <w:bottom w:val="none" w:sz="0" w:space="0" w:color="auto"/>
            <w:right w:val="none" w:sz="0" w:space="0" w:color="auto"/>
          </w:divBdr>
        </w:div>
        <w:div w:id="575559058">
          <w:marLeft w:val="640"/>
          <w:marRight w:val="0"/>
          <w:marTop w:val="0"/>
          <w:marBottom w:val="0"/>
          <w:divBdr>
            <w:top w:val="none" w:sz="0" w:space="0" w:color="auto"/>
            <w:left w:val="none" w:sz="0" w:space="0" w:color="auto"/>
            <w:bottom w:val="none" w:sz="0" w:space="0" w:color="auto"/>
            <w:right w:val="none" w:sz="0" w:space="0" w:color="auto"/>
          </w:divBdr>
        </w:div>
        <w:div w:id="236281960">
          <w:marLeft w:val="640"/>
          <w:marRight w:val="0"/>
          <w:marTop w:val="0"/>
          <w:marBottom w:val="0"/>
          <w:divBdr>
            <w:top w:val="none" w:sz="0" w:space="0" w:color="auto"/>
            <w:left w:val="none" w:sz="0" w:space="0" w:color="auto"/>
            <w:bottom w:val="none" w:sz="0" w:space="0" w:color="auto"/>
            <w:right w:val="none" w:sz="0" w:space="0" w:color="auto"/>
          </w:divBdr>
        </w:div>
        <w:div w:id="2146197175">
          <w:marLeft w:val="640"/>
          <w:marRight w:val="0"/>
          <w:marTop w:val="0"/>
          <w:marBottom w:val="0"/>
          <w:divBdr>
            <w:top w:val="none" w:sz="0" w:space="0" w:color="auto"/>
            <w:left w:val="none" w:sz="0" w:space="0" w:color="auto"/>
            <w:bottom w:val="none" w:sz="0" w:space="0" w:color="auto"/>
            <w:right w:val="none" w:sz="0" w:space="0" w:color="auto"/>
          </w:divBdr>
        </w:div>
        <w:div w:id="1853445432">
          <w:marLeft w:val="640"/>
          <w:marRight w:val="0"/>
          <w:marTop w:val="0"/>
          <w:marBottom w:val="0"/>
          <w:divBdr>
            <w:top w:val="none" w:sz="0" w:space="0" w:color="auto"/>
            <w:left w:val="none" w:sz="0" w:space="0" w:color="auto"/>
            <w:bottom w:val="none" w:sz="0" w:space="0" w:color="auto"/>
            <w:right w:val="none" w:sz="0" w:space="0" w:color="auto"/>
          </w:divBdr>
        </w:div>
        <w:div w:id="1096173815">
          <w:marLeft w:val="640"/>
          <w:marRight w:val="0"/>
          <w:marTop w:val="0"/>
          <w:marBottom w:val="0"/>
          <w:divBdr>
            <w:top w:val="none" w:sz="0" w:space="0" w:color="auto"/>
            <w:left w:val="none" w:sz="0" w:space="0" w:color="auto"/>
            <w:bottom w:val="none" w:sz="0" w:space="0" w:color="auto"/>
            <w:right w:val="none" w:sz="0" w:space="0" w:color="auto"/>
          </w:divBdr>
        </w:div>
        <w:div w:id="1298874845">
          <w:marLeft w:val="640"/>
          <w:marRight w:val="0"/>
          <w:marTop w:val="0"/>
          <w:marBottom w:val="0"/>
          <w:divBdr>
            <w:top w:val="none" w:sz="0" w:space="0" w:color="auto"/>
            <w:left w:val="none" w:sz="0" w:space="0" w:color="auto"/>
            <w:bottom w:val="none" w:sz="0" w:space="0" w:color="auto"/>
            <w:right w:val="none" w:sz="0" w:space="0" w:color="auto"/>
          </w:divBdr>
        </w:div>
        <w:div w:id="1121454457">
          <w:marLeft w:val="640"/>
          <w:marRight w:val="0"/>
          <w:marTop w:val="0"/>
          <w:marBottom w:val="0"/>
          <w:divBdr>
            <w:top w:val="none" w:sz="0" w:space="0" w:color="auto"/>
            <w:left w:val="none" w:sz="0" w:space="0" w:color="auto"/>
            <w:bottom w:val="none" w:sz="0" w:space="0" w:color="auto"/>
            <w:right w:val="none" w:sz="0" w:space="0" w:color="auto"/>
          </w:divBdr>
        </w:div>
        <w:div w:id="249193367">
          <w:marLeft w:val="640"/>
          <w:marRight w:val="0"/>
          <w:marTop w:val="0"/>
          <w:marBottom w:val="0"/>
          <w:divBdr>
            <w:top w:val="none" w:sz="0" w:space="0" w:color="auto"/>
            <w:left w:val="none" w:sz="0" w:space="0" w:color="auto"/>
            <w:bottom w:val="none" w:sz="0" w:space="0" w:color="auto"/>
            <w:right w:val="none" w:sz="0" w:space="0" w:color="auto"/>
          </w:divBdr>
        </w:div>
        <w:div w:id="1333754294">
          <w:marLeft w:val="640"/>
          <w:marRight w:val="0"/>
          <w:marTop w:val="0"/>
          <w:marBottom w:val="0"/>
          <w:divBdr>
            <w:top w:val="none" w:sz="0" w:space="0" w:color="auto"/>
            <w:left w:val="none" w:sz="0" w:space="0" w:color="auto"/>
            <w:bottom w:val="none" w:sz="0" w:space="0" w:color="auto"/>
            <w:right w:val="none" w:sz="0" w:space="0" w:color="auto"/>
          </w:divBdr>
        </w:div>
        <w:div w:id="945387410">
          <w:marLeft w:val="640"/>
          <w:marRight w:val="0"/>
          <w:marTop w:val="0"/>
          <w:marBottom w:val="0"/>
          <w:divBdr>
            <w:top w:val="none" w:sz="0" w:space="0" w:color="auto"/>
            <w:left w:val="none" w:sz="0" w:space="0" w:color="auto"/>
            <w:bottom w:val="none" w:sz="0" w:space="0" w:color="auto"/>
            <w:right w:val="none" w:sz="0" w:space="0" w:color="auto"/>
          </w:divBdr>
        </w:div>
        <w:div w:id="201551329">
          <w:marLeft w:val="640"/>
          <w:marRight w:val="0"/>
          <w:marTop w:val="0"/>
          <w:marBottom w:val="0"/>
          <w:divBdr>
            <w:top w:val="none" w:sz="0" w:space="0" w:color="auto"/>
            <w:left w:val="none" w:sz="0" w:space="0" w:color="auto"/>
            <w:bottom w:val="none" w:sz="0" w:space="0" w:color="auto"/>
            <w:right w:val="none" w:sz="0" w:space="0" w:color="auto"/>
          </w:divBdr>
        </w:div>
        <w:div w:id="1540167318">
          <w:marLeft w:val="640"/>
          <w:marRight w:val="0"/>
          <w:marTop w:val="0"/>
          <w:marBottom w:val="0"/>
          <w:divBdr>
            <w:top w:val="none" w:sz="0" w:space="0" w:color="auto"/>
            <w:left w:val="none" w:sz="0" w:space="0" w:color="auto"/>
            <w:bottom w:val="none" w:sz="0" w:space="0" w:color="auto"/>
            <w:right w:val="none" w:sz="0" w:space="0" w:color="auto"/>
          </w:divBdr>
        </w:div>
        <w:div w:id="1292859685">
          <w:marLeft w:val="640"/>
          <w:marRight w:val="0"/>
          <w:marTop w:val="0"/>
          <w:marBottom w:val="0"/>
          <w:divBdr>
            <w:top w:val="none" w:sz="0" w:space="0" w:color="auto"/>
            <w:left w:val="none" w:sz="0" w:space="0" w:color="auto"/>
            <w:bottom w:val="none" w:sz="0" w:space="0" w:color="auto"/>
            <w:right w:val="none" w:sz="0" w:space="0" w:color="auto"/>
          </w:divBdr>
        </w:div>
        <w:div w:id="1308779239">
          <w:marLeft w:val="640"/>
          <w:marRight w:val="0"/>
          <w:marTop w:val="0"/>
          <w:marBottom w:val="0"/>
          <w:divBdr>
            <w:top w:val="none" w:sz="0" w:space="0" w:color="auto"/>
            <w:left w:val="none" w:sz="0" w:space="0" w:color="auto"/>
            <w:bottom w:val="none" w:sz="0" w:space="0" w:color="auto"/>
            <w:right w:val="none" w:sz="0" w:space="0" w:color="auto"/>
          </w:divBdr>
        </w:div>
        <w:div w:id="1596984766">
          <w:marLeft w:val="640"/>
          <w:marRight w:val="0"/>
          <w:marTop w:val="0"/>
          <w:marBottom w:val="0"/>
          <w:divBdr>
            <w:top w:val="none" w:sz="0" w:space="0" w:color="auto"/>
            <w:left w:val="none" w:sz="0" w:space="0" w:color="auto"/>
            <w:bottom w:val="none" w:sz="0" w:space="0" w:color="auto"/>
            <w:right w:val="none" w:sz="0" w:space="0" w:color="auto"/>
          </w:divBdr>
        </w:div>
        <w:div w:id="1355880174">
          <w:marLeft w:val="640"/>
          <w:marRight w:val="0"/>
          <w:marTop w:val="0"/>
          <w:marBottom w:val="0"/>
          <w:divBdr>
            <w:top w:val="none" w:sz="0" w:space="0" w:color="auto"/>
            <w:left w:val="none" w:sz="0" w:space="0" w:color="auto"/>
            <w:bottom w:val="none" w:sz="0" w:space="0" w:color="auto"/>
            <w:right w:val="none" w:sz="0" w:space="0" w:color="auto"/>
          </w:divBdr>
        </w:div>
        <w:div w:id="211431318">
          <w:marLeft w:val="640"/>
          <w:marRight w:val="0"/>
          <w:marTop w:val="0"/>
          <w:marBottom w:val="0"/>
          <w:divBdr>
            <w:top w:val="none" w:sz="0" w:space="0" w:color="auto"/>
            <w:left w:val="none" w:sz="0" w:space="0" w:color="auto"/>
            <w:bottom w:val="none" w:sz="0" w:space="0" w:color="auto"/>
            <w:right w:val="none" w:sz="0" w:space="0" w:color="auto"/>
          </w:divBdr>
        </w:div>
        <w:div w:id="1440561388">
          <w:marLeft w:val="640"/>
          <w:marRight w:val="0"/>
          <w:marTop w:val="0"/>
          <w:marBottom w:val="0"/>
          <w:divBdr>
            <w:top w:val="none" w:sz="0" w:space="0" w:color="auto"/>
            <w:left w:val="none" w:sz="0" w:space="0" w:color="auto"/>
            <w:bottom w:val="none" w:sz="0" w:space="0" w:color="auto"/>
            <w:right w:val="none" w:sz="0" w:space="0" w:color="auto"/>
          </w:divBdr>
        </w:div>
        <w:div w:id="854609836">
          <w:marLeft w:val="640"/>
          <w:marRight w:val="0"/>
          <w:marTop w:val="0"/>
          <w:marBottom w:val="0"/>
          <w:divBdr>
            <w:top w:val="none" w:sz="0" w:space="0" w:color="auto"/>
            <w:left w:val="none" w:sz="0" w:space="0" w:color="auto"/>
            <w:bottom w:val="none" w:sz="0" w:space="0" w:color="auto"/>
            <w:right w:val="none" w:sz="0" w:space="0" w:color="auto"/>
          </w:divBdr>
        </w:div>
        <w:div w:id="1168861940">
          <w:marLeft w:val="640"/>
          <w:marRight w:val="0"/>
          <w:marTop w:val="0"/>
          <w:marBottom w:val="0"/>
          <w:divBdr>
            <w:top w:val="none" w:sz="0" w:space="0" w:color="auto"/>
            <w:left w:val="none" w:sz="0" w:space="0" w:color="auto"/>
            <w:bottom w:val="none" w:sz="0" w:space="0" w:color="auto"/>
            <w:right w:val="none" w:sz="0" w:space="0" w:color="auto"/>
          </w:divBdr>
        </w:div>
        <w:div w:id="2070567907">
          <w:marLeft w:val="640"/>
          <w:marRight w:val="0"/>
          <w:marTop w:val="0"/>
          <w:marBottom w:val="0"/>
          <w:divBdr>
            <w:top w:val="none" w:sz="0" w:space="0" w:color="auto"/>
            <w:left w:val="none" w:sz="0" w:space="0" w:color="auto"/>
            <w:bottom w:val="none" w:sz="0" w:space="0" w:color="auto"/>
            <w:right w:val="none" w:sz="0" w:space="0" w:color="auto"/>
          </w:divBdr>
        </w:div>
        <w:div w:id="1642346176">
          <w:marLeft w:val="640"/>
          <w:marRight w:val="0"/>
          <w:marTop w:val="0"/>
          <w:marBottom w:val="0"/>
          <w:divBdr>
            <w:top w:val="none" w:sz="0" w:space="0" w:color="auto"/>
            <w:left w:val="none" w:sz="0" w:space="0" w:color="auto"/>
            <w:bottom w:val="none" w:sz="0" w:space="0" w:color="auto"/>
            <w:right w:val="none" w:sz="0" w:space="0" w:color="auto"/>
          </w:divBdr>
        </w:div>
        <w:div w:id="1716585535">
          <w:marLeft w:val="640"/>
          <w:marRight w:val="0"/>
          <w:marTop w:val="0"/>
          <w:marBottom w:val="0"/>
          <w:divBdr>
            <w:top w:val="none" w:sz="0" w:space="0" w:color="auto"/>
            <w:left w:val="none" w:sz="0" w:space="0" w:color="auto"/>
            <w:bottom w:val="none" w:sz="0" w:space="0" w:color="auto"/>
            <w:right w:val="none" w:sz="0" w:space="0" w:color="auto"/>
          </w:divBdr>
        </w:div>
        <w:div w:id="597644716">
          <w:marLeft w:val="640"/>
          <w:marRight w:val="0"/>
          <w:marTop w:val="0"/>
          <w:marBottom w:val="0"/>
          <w:divBdr>
            <w:top w:val="none" w:sz="0" w:space="0" w:color="auto"/>
            <w:left w:val="none" w:sz="0" w:space="0" w:color="auto"/>
            <w:bottom w:val="none" w:sz="0" w:space="0" w:color="auto"/>
            <w:right w:val="none" w:sz="0" w:space="0" w:color="auto"/>
          </w:divBdr>
        </w:div>
        <w:div w:id="1341618924">
          <w:marLeft w:val="640"/>
          <w:marRight w:val="0"/>
          <w:marTop w:val="0"/>
          <w:marBottom w:val="0"/>
          <w:divBdr>
            <w:top w:val="none" w:sz="0" w:space="0" w:color="auto"/>
            <w:left w:val="none" w:sz="0" w:space="0" w:color="auto"/>
            <w:bottom w:val="none" w:sz="0" w:space="0" w:color="auto"/>
            <w:right w:val="none" w:sz="0" w:space="0" w:color="auto"/>
          </w:divBdr>
        </w:div>
        <w:div w:id="402412318">
          <w:marLeft w:val="640"/>
          <w:marRight w:val="0"/>
          <w:marTop w:val="0"/>
          <w:marBottom w:val="0"/>
          <w:divBdr>
            <w:top w:val="none" w:sz="0" w:space="0" w:color="auto"/>
            <w:left w:val="none" w:sz="0" w:space="0" w:color="auto"/>
            <w:bottom w:val="none" w:sz="0" w:space="0" w:color="auto"/>
            <w:right w:val="none" w:sz="0" w:space="0" w:color="auto"/>
          </w:divBdr>
        </w:div>
        <w:div w:id="1058285325">
          <w:marLeft w:val="640"/>
          <w:marRight w:val="0"/>
          <w:marTop w:val="0"/>
          <w:marBottom w:val="0"/>
          <w:divBdr>
            <w:top w:val="none" w:sz="0" w:space="0" w:color="auto"/>
            <w:left w:val="none" w:sz="0" w:space="0" w:color="auto"/>
            <w:bottom w:val="none" w:sz="0" w:space="0" w:color="auto"/>
            <w:right w:val="none" w:sz="0" w:space="0" w:color="auto"/>
          </w:divBdr>
        </w:div>
        <w:div w:id="1553032124">
          <w:marLeft w:val="640"/>
          <w:marRight w:val="0"/>
          <w:marTop w:val="0"/>
          <w:marBottom w:val="0"/>
          <w:divBdr>
            <w:top w:val="none" w:sz="0" w:space="0" w:color="auto"/>
            <w:left w:val="none" w:sz="0" w:space="0" w:color="auto"/>
            <w:bottom w:val="none" w:sz="0" w:space="0" w:color="auto"/>
            <w:right w:val="none" w:sz="0" w:space="0" w:color="auto"/>
          </w:divBdr>
        </w:div>
        <w:div w:id="1047415559">
          <w:marLeft w:val="640"/>
          <w:marRight w:val="0"/>
          <w:marTop w:val="0"/>
          <w:marBottom w:val="0"/>
          <w:divBdr>
            <w:top w:val="none" w:sz="0" w:space="0" w:color="auto"/>
            <w:left w:val="none" w:sz="0" w:space="0" w:color="auto"/>
            <w:bottom w:val="none" w:sz="0" w:space="0" w:color="auto"/>
            <w:right w:val="none" w:sz="0" w:space="0" w:color="auto"/>
          </w:divBdr>
        </w:div>
        <w:div w:id="1795709502">
          <w:marLeft w:val="640"/>
          <w:marRight w:val="0"/>
          <w:marTop w:val="0"/>
          <w:marBottom w:val="0"/>
          <w:divBdr>
            <w:top w:val="none" w:sz="0" w:space="0" w:color="auto"/>
            <w:left w:val="none" w:sz="0" w:space="0" w:color="auto"/>
            <w:bottom w:val="none" w:sz="0" w:space="0" w:color="auto"/>
            <w:right w:val="none" w:sz="0" w:space="0" w:color="auto"/>
          </w:divBdr>
        </w:div>
        <w:div w:id="626198415">
          <w:marLeft w:val="640"/>
          <w:marRight w:val="0"/>
          <w:marTop w:val="0"/>
          <w:marBottom w:val="0"/>
          <w:divBdr>
            <w:top w:val="none" w:sz="0" w:space="0" w:color="auto"/>
            <w:left w:val="none" w:sz="0" w:space="0" w:color="auto"/>
            <w:bottom w:val="none" w:sz="0" w:space="0" w:color="auto"/>
            <w:right w:val="none" w:sz="0" w:space="0" w:color="auto"/>
          </w:divBdr>
        </w:div>
        <w:div w:id="382096678">
          <w:marLeft w:val="640"/>
          <w:marRight w:val="0"/>
          <w:marTop w:val="0"/>
          <w:marBottom w:val="0"/>
          <w:divBdr>
            <w:top w:val="none" w:sz="0" w:space="0" w:color="auto"/>
            <w:left w:val="none" w:sz="0" w:space="0" w:color="auto"/>
            <w:bottom w:val="none" w:sz="0" w:space="0" w:color="auto"/>
            <w:right w:val="none" w:sz="0" w:space="0" w:color="auto"/>
          </w:divBdr>
        </w:div>
        <w:div w:id="1366252406">
          <w:marLeft w:val="640"/>
          <w:marRight w:val="0"/>
          <w:marTop w:val="0"/>
          <w:marBottom w:val="0"/>
          <w:divBdr>
            <w:top w:val="none" w:sz="0" w:space="0" w:color="auto"/>
            <w:left w:val="none" w:sz="0" w:space="0" w:color="auto"/>
            <w:bottom w:val="none" w:sz="0" w:space="0" w:color="auto"/>
            <w:right w:val="none" w:sz="0" w:space="0" w:color="auto"/>
          </w:divBdr>
        </w:div>
        <w:div w:id="1768428135">
          <w:marLeft w:val="640"/>
          <w:marRight w:val="0"/>
          <w:marTop w:val="0"/>
          <w:marBottom w:val="0"/>
          <w:divBdr>
            <w:top w:val="none" w:sz="0" w:space="0" w:color="auto"/>
            <w:left w:val="none" w:sz="0" w:space="0" w:color="auto"/>
            <w:bottom w:val="none" w:sz="0" w:space="0" w:color="auto"/>
            <w:right w:val="none" w:sz="0" w:space="0" w:color="auto"/>
          </w:divBdr>
        </w:div>
        <w:div w:id="642581538">
          <w:marLeft w:val="640"/>
          <w:marRight w:val="0"/>
          <w:marTop w:val="0"/>
          <w:marBottom w:val="0"/>
          <w:divBdr>
            <w:top w:val="none" w:sz="0" w:space="0" w:color="auto"/>
            <w:left w:val="none" w:sz="0" w:space="0" w:color="auto"/>
            <w:bottom w:val="none" w:sz="0" w:space="0" w:color="auto"/>
            <w:right w:val="none" w:sz="0" w:space="0" w:color="auto"/>
          </w:divBdr>
        </w:div>
        <w:div w:id="1532183444">
          <w:marLeft w:val="640"/>
          <w:marRight w:val="0"/>
          <w:marTop w:val="0"/>
          <w:marBottom w:val="0"/>
          <w:divBdr>
            <w:top w:val="none" w:sz="0" w:space="0" w:color="auto"/>
            <w:left w:val="none" w:sz="0" w:space="0" w:color="auto"/>
            <w:bottom w:val="none" w:sz="0" w:space="0" w:color="auto"/>
            <w:right w:val="none" w:sz="0" w:space="0" w:color="auto"/>
          </w:divBdr>
        </w:div>
        <w:div w:id="1889103954">
          <w:marLeft w:val="640"/>
          <w:marRight w:val="0"/>
          <w:marTop w:val="0"/>
          <w:marBottom w:val="0"/>
          <w:divBdr>
            <w:top w:val="none" w:sz="0" w:space="0" w:color="auto"/>
            <w:left w:val="none" w:sz="0" w:space="0" w:color="auto"/>
            <w:bottom w:val="none" w:sz="0" w:space="0" w:color="auto"/>
            <w:right w:val="none" w:sz="0" w:space="0" w:color="auto"/>
          </w:divBdr>
        </w:div>
        <w:div w:id="1199318795">
          <w:marLeft w:val="640"/>
          <w:marRight w:val="0"/>
          <w:marTop w:val="0"/>
          <w:marBottom w:val="0"/>
          <w:divBdr>
            <w:top w:val="none" w:sz="0" w:space="0" w:color="auto"/>
            <w:left w:val="none" w:sz="0" w:space="0" w:color="auto"/>
            <w:bottom w:val="none" w:sz="0" w:space="0" w:color="auto"/>
            <w:right w:val="none" w:sz="0" w:space="0" w:color="auto"/>
          </w:divBdr>
        </w:div>
        <w:div w:id="1083987001">
          <w:marLeft w:val="640"/>
          <w:marRight w:val="0"/>
          <w:marTop w:val="0"/>
          <w:marBottom w:val="0"/>
          <w:divBdr>
            <w:top w:val="none" w:sz="0" w:space="0" w:color="auto"/>
            <w:left w:val="none" w:sz="0" w:space="0" w:color="auto"/>
            <w:bottom w:val="none" w:sz="0" w:space="0" w:color="auto"/>
            <w:right w:val="none" w:sz="0" w:space="0" w:color="auto"/>
          </w:divBdr>
        </w:div>
        <w:div w:id="79569522">
          <w:marLeft w:val="640"/>
          <w:marRight w:val="0"/>
          <w:marTop w:val="0"/>
          <w:marBottom w:val="0"/>
          <w:divBdr>
            <w:top w:val="none" w:sz="0" w:space="0" w:color="auto"/>
            <w:left w:val="none" w:sz="0" w:space="0" w:color="auto"/>
            <w:bottom w:val="none" w:sz="0" w:space="0" w:color="auto"/>
            <w:right w:val="none" w:sz="0" w:space="0" w:color="auto"/>
          </w:divBdr>
        </w:div>
        <w:div w:id="1051881388">
          <w:marLeft w:val="640"/>
          <w:marRight w:val="0"/>
          <w:marTop w:val="0"/>
          <w:marBottom w:val="0"/>
          <w:divBdr>
            <w:top w:val="none" w:sz="0" w:space="0" w:color="auto"/>
            <w:left w:val="none" w:sz="0" w:space="0" w:color="auto"/>
            <w:bottom w:val="none" w:sz="0" w:space="0" w:color="auto"/>
            <w:right w:val="none" w:sz="0" w:space="0" w:color="auto"/>
          </w:divBdr>
        </w:div>
        <w:div w:id="1801220899">
          <w:marLeft w:val="640"/>
          <w:marRight w:val="0"/>
          <w:marTop w:val="0"/>
          <w:marBottom w:val="0"/>
          <w:divBdr>
            <w:top w:val="none" w:sz="0" w:space="0" w:color="auto"/>
            <w:left w:val="none" w:sz="0" w:space="0" w:color="auto"/>
            <w:bottom w:val="none" w:sz="0" w:space="0" w:color="auto"/>
            <w:right w:val="none" w:sz="0" w:space="0" w:color="auto"/>
          </w:divBdr>
        </w:div>
        <w:div w:id="1276056858">
          <w:marLeft w:val="640"/>
          <w:marRight w:val="0"/>
          <w:marTop w:val="0"/>
          <w:marBottom w:val="0"/>
          <w:divBdr>
            <w:top w:val="none" w:sz="0" w:space="0" w:color="auto"/>
            <w:left w:val="none" w:sz="0" w:space="0" w:color="auto"/>
            <w:bottom w:val="none" w:sz="0" w:space="0" w:color="auto"/>
            <w:right w:val="none" w:sz="0" w:space="0" w:color="auto"/>
          </w:divBdr>
        </w:div>
        <w:div w:id="1546596907">
          <w:marLeft w:val="640"/>
          <w:marRight w:val="0"/>
          <w:marTop w:val="0"/>
          <w:marBottom w:val="0"/>
          <w:divBdr>
            <w:top w:val="none" w:sz="0" w:space="0" w:color="auto"/>
            <w:left w:val="none" w:sz="0" w:space="0" w:color="auto"/>
            <w:bottom w:val="none" w:sz="0" w:space="0" w:color="auto"/>
            <w:right w:val="none" w:sz="0" w:space="0" w:color="auto"/>
          </w:divBdr>
        </w:div>
        <w:div w:id="1637179232">
          <w:marLeft w:val="640"/>
          <w:marRight w:val="0"/>
          <w:marTop w:val="0"/>
          <w:marBottom w:val="0"/>
          <w:divBdr>
            <w:top w:val="none" w:sz="0" w:space="0" w:color="auto"/>
            <w:left w:val="none" w:sz="0" w:space="0" w:color="auto"/>
            <w:bottom w:val="none" w:sz="0" w:space="0" w:color="auto"/>
            <w:right w:val="none" w:sz="0" w:space="0" w:color="auto"/>
          </w:divBdr>
        </w:div>
        <w:div w:id="672801686">
          <w:marLeft w:val="640"/>
          <w:marRight w:val="0"/>
          <w:marTop w:val="0"/>
          <w:marBottom w:val="0"/>
          <w:divBdr>
            <w:top w:val="none" w:sz="0" w:space="0" w:color="auto"/>
            <w:left w:val="none" w:sz="0" w:space="0" w:color="auto"/>
            <w:bottom w:val="none" w:sz="0" w:space="0" w:color="auto"/>
            <w:right w:val="none" w:sz="0" w:space="0" w:color="auto"/>
          </w:divBdr>
        </w:div>
        <w:div w:id="293024422">
          <w:marLeft w:val="640"/>
          <w:marRight w:val="0"/>
          <w:marTop w:val="0"/>
          <w:marBottom w:val="0"/>
          <w:divBdr>
            <w:top w:val="none" w:sz="0" w:space="0" w:color="auto"/>
            <w:left w:val="none" w:sz="0" w:space="0" w:color="auto"/>
            <w:bottom w:val="none" w:sz="0" w:space="0" w:color="auto"/>
            <w:right w:val="none" w:sz="0" w:space="0" w:color="auto"/>
          </w:divBdr>
        </w:div>
        <w:div w:id="703213292">
          <w:marLeft w:val="640"/>
          <w:marRight w:val="0"/>
          <w:marTop w:val="0"/>
          <w:marBottom w:val="0"/>
          <w:divBdr>
            <w:top w:val="none" w:sz="0" w:space="0" w:color="auto"/>
            <w:left w:val="none" w:sz="0" w:space="0" w:color="auto"/>
            <w:bottom w:val="none" w:sz="0" w:space="0" w:color="auto"/>
            <w:right w:val="none" w:sz="0" w:space="0" w:color="auto"/>
          </w:divBdr>
        </w:div>
        <w:div w:id="2323385">
          <w:marLeft w:val="640"/>
          <w:marRight w:val="0"/>
          <w:marTop w:val="0"/>
          <w:marBottom w:val="0"/>
          <w:divBdr>
            <w:top w:val="none" w:sz="0" w:space="0" w:color="auto"/>
            <w:left w:val="none" w:sz="0" w:space="0" w:color="auto"/>
            <w:bottom w:val="none" w:sz="0" w:space="0" w:color="auto"/>
            <w:right w:val="none" w:sz="0" w:space="0" w:color="auto"/>
          </w:divBdr>
        </w:div>
        <w:div w:id="1601332330">
          <w:marLeft w:val="640"/>
          <w:marRight w:val="0"/>
          <w:marTop w:val="0"/>
          <w:marBottom w:val="0"/>
          <w:divBdr>
            <w:top w:val="none" w:sz="0" w:space="0" w:color="auto"/>
            <w:left w:val="none" w:sz="0" w:space="0" w:color="auto"/>
            <w:bottom w:val="none" w:sz="0" w:space="0" w:color="auto"/>
            <w:right w:val="none" w:sz="0" w:space="0" w:color="auto"/>
          </w:divBdr>
        </w:div>
        <w:div w:id="176696675">
          <w:marLeft w:val="640"/>
          <w:marRight w:val="0"/>
          <w:marTop w:val="0"/>
          <w:marBottom w:val="0"/>
          <w:divBdr>
            <w:top w:val="none" w:sz="0" w:space="0" w:color="auto"/>
            <w:left w:val="none" w:sz="0" w:space="0" w:color="auto"/>
            <w:bottom w:val="none" w:sz="0" w:space="0" w:color="auto"/>
            <w:right w:val="none" w:sz="0" w:space="0" w:color="auto"/>
          </w:divBdr>
        </w:div>
        <w:div w:id="1522670817">
          <w:marLeft w:val="640"/>
          <w:marRight w:val="0"/>
          <w:marTop w:val="0"/>
          <w:marBottom w:val="0"/>
          <w:divBdr>
            <w:top w:val="none" w:sz="0" w:space="0" w:color="auto"/>
            <w:left w:val="none" w:sz="0" w:space="0" w:color="auto"/>
            <w:bottom w:val="none" w:sz="0" w:space="0" w:color="auto"/>
            <w:right w:val="none" w:sz="0" w:space="0" w:color="auto"/>
          </w:divBdr>
        </w:div>
        <w:div w:id="2088182528">
          <w:marLeft w:val="640"/>
          <w:marRight w:val="0"/>
          <w:marTop w:val="0"/>
          <w:marBottom w:val="0"/>
          <w:divBdr>
            <w:top w:val="none" w:sz="0" w:space="0" w:color="auto"/>
            <w:left w:val="none" w:sz="0" w:space="0" w:color="auto"/>
            <w:bottom w:val="none" w:sz="0" w:space="0" w:color="auto"/>
            <w:right w:val="none" w:sz="0" w:space="0" w:color="auto"/>
          </w:divBdr>
        </w:div>
        <w:div w:id="1636329000">
          <w:marLeft w:val="640"/>
          <w:marRight w:val="0"/>
          <w:marTop w:val="0"/>
          <w:marBottom w:val="0"/>
          <w:divBdr>
            <w:top w:val="none" w:sz="0" w:space="0" w:color="auto"/>
            <w:left w:val="none" w:sz="0" w:space="0" w:color="auto"/>
            <w:bottom w:val="none" w:sz="0" w:space="0" w:color="auto"/>
            <w:right w:val="none" w:sz="0" w:space="0" w:color="auto"/>
          </w:divBdr>
        </w:div>
        <w:div w:id="1744256896">
          <w:marLeft w:val="640"/>
          <w:marRight w:val="0"/>
          <w:marTop w:val="0"/>
          <w:marBottom w:val="0"/>
          <w:divBdr>
            <w:top w:val="none" w:sz="0" w:space="0" w:color="auto"/>
            <w:left w:val="none" w:sz="0" w:space="0" w:color="auto"/>
            <w:bottom w:val="none" w:sz="0" w:space="0" w:color="auto"/>
            <w:right w:val="none" w:sz="0" w:space="0" w:color="auto"/>
          </w:divBdr>
        </w:div>
        <w:div w:id="373390587">
          <w:marLeft w:val="640"/>
          <w:marRight w:val="0"/>
          <w:marTop w:val="0"/>
          <w:marBottom w:val="0"/>
          <w:divBdr>
            <w:top w:val="none" w:sz="0" w:space="0" w:color="auto"/>
            <w:left w:val="none" w:sz="0" w:space="0" w:color="auto"/>
            <w:bottom w:val="none" w:sz="0" w:space="0" w:color="auto"/>
            <w:right w:val="none" w:sz="0" w:space="0" w:color="auto"/>
          </w:divBdr>
        </w:div>
        <w:div w:id="614337297">
          <w:marLeft w:val="640"/>
          <w:marRight w:val="0"/>
          <w:marTop w:val="0"/>
          <w:marBottom w:val="0"/>
          <w:divBdr>
            <w:top w:val="none" w:sz="0" w:space="0" w:color="auto"/>
            <w:left w:val="none" w:sz="0" w:space="0" w:color="auto"/>
            <w:bottom w:val="none" w:sz="0" w:space="0" w:color="auto"/>
            <w:right w:val="none" w:sz="0" w:space="0" w:color="auto"/>
          </w:divBdr>
        </w:div>
        <w:div w:id="1915119757">
          <w:marLeft w:val="640"/>
          <w:marRight w:val="0"/>
          <w:marTop w:val="0"/>
          <w:marBottom w:val="0"/>
          <w:divBdr>
            <w:top w:val="none" w:sz="0" w:space="0" w:color="auto"/>
            <w:left w:val="none" w:sz="0" w:space="0" w:color="auto"/>
            <w:bottom w:val="none" w:sz="0" w:space="0" w:color="auto"/>
            <w:right w:val="none" w:sz="0" w:space="0" w:color="auto"/>
          </w:divBdr>
        </w:div>
        <w:div w:id="581108083">
          <w:marLeft w:val="640"/>
          <w:marRight w:val="0"/>
          <w:marTop w:val="0"/>
          <w:marBottom w:val="0"/>
          <w:divBdr>
            <w:top w:val="none" w:sz="0" w:space="0" w:color="auto"/>
            <w:left w:val="none" w:sz="0" w:space="0" w:color="auto"/>
            <w:bottom w:val="none" w:sz="0" w:space="0" w:color="auto"/>
            <w:right w:val="none" w:sz="0" w:space="0" w:color="auto"/>
          </w:divBdr>
        </w:div>
        <w:div w:id="1046951211">
          <w:marLeft w:val="640"/>
          <w:marRight w:val="0"/>
          <w:marTop w:val="0"/>
          <w:marBottom w:val="0"/>
          <w:divBdr>
            <w:top w:val="none" w:sz="0" w:space="0" w:color="auto"/>
            <w:left w:val="none" w:sz="0" w:space="0" w:color="auto"/>
            <w:bottom w:val="none" w:sz="0" w:space="0" w:color="auto"/>
            <w:right w:val="none" w:sz="0" w:space="0" w:color="auto"/>
          </w:divBdr>
        </w:div>
        <w:div w:id="1274437942">
          <w:marLeft w:val="640"/>
          <w:marRight w:val="0"/>
          <w:marTop w:val="0"/>
          <w:marBottom w:val="0"/>
          <w:divBdr>
            <w:top w:val="none" w:sz="0" w:space="0" w:color="auto"/>
            <w:left w:val="none" w:sz="0" w:space="0" w:color="auto"/>
            <w:bottom w:val="none" w:sz="0" w:space="0" w:color="auto"/>
            <w:right w:val="none" w:sz="0" w:space="0" w:color="auto"/>
          </w:divBdr>
        </w:div>
        <w:div w:id="69083716">
          <w:marLeft w:val="640"/>
          <w:marRight w:val="0"/>
          <w:marTop w:val="0"/>
          <w:marBottom w:val="0"/>
          <w:divBdr>
            <w:top w:val="none" w:sz="0" w:space="0" w:color="auto"/>
            <w:left w:val="none" w:sz="0" w:space="0" w:color="auto"/>
            <w:bottom w:val="none" w:sz="0" w:space="0" w:color="auto"/>
            <w:right w:val="none" w:sz="0" w:space="0" w:color="auto"/>
          </w:divBdr>
        </w:div>
        <w:div w:id="46270801">
          <w:marLeft w:val="640"/>
          <w:marRight w:val="0"/>
          <w:marTop w:val="0"/>
          <w:marBottom w:val="0"/>
          <w:divBdr>
            <w:top w:val="none" w:sz="0" w:space="0" w:color="auto"/>
            <w:left w:val="none" w:sz="0" w:space="0" w:color="auto"/>
            <w:bottom w:val="none" w:sz="0" w:space="0" w:color="auto"/>
            <w:right w:val="none" w:sz="0" w:space="0" w:color="auto"/>
          </w:divBdr>
        </w:div>
        <w:div w:id="1279986850">
          <w:marLeft w:val="640"/>
          <w:marRight w:val="0"/>
          <w:marTop w:val="0"/>
          <w:marBottom w:val="0"/>
          <w:divBdr>
            <w:top w:val="none" w:sz="0" w:space="0" w:color="auto"/>
            <w:left w:val="none" w:sz="0" w:space="0" w:color="auto"/>
            <w:bottom w:val="none" w:sz="0" w:space="0" w:color="auto"/>
            <w:right w:val="none" w:sz="0" w:space="0" w:color="auto"/>
          </w:divBdr>
        </w:div>
        <w:div w:id="145098307">
          <w:marLeft w:val="640"/>
          <w:marRight w:val="0"/>
          <w:marTop w:val="0"/>
          <w:marBottom w:val="0"/>
          <w:divBdr>
            <w:top w:val="none" w:sz="0" w:space="0" w:color="auto"/>
            <w:left w:val="none" w:sz="0" w:space="0" w:color="auto"/>
            <w:bottom w:val="none" w:sz="0" w:space="0" w:color="auto"/>
            <w:right w:val="none" w:sz="0" w:space="0" w:color="auto"/>
          </w:divBdr>
        </w:div>
        <w:div w:id="597828506">
          <w:marLeft w:val="640"/>
          <w:marRight w:val="0"/>
          <w:marTop w:val="0"/>
          <w:marBottom w:val="0"/>
          <w:divBdr>
            <w:top w:val="none" w:sz="0" w:space="0" w:color="auto"/>
            <w:left w:val="none" w:sz="0" w:space="0" w:color="auto"/>
            <w:bottom w:val="none" w:sz="0" w:space="0" w:color="auto"/>
            <w:right w:val="none" w:sz="0" w:space="0" w:color="auto"/>
          </w:divBdr>
        </w:div>
        <w:div w:id="1390575314">
          <w:marLeft w:val="640"/>
          <w:marRight w:val="0"/>
          <w:marTop w:val="0"/>
          <w:marBottom w:val="0"/>
          <w:divBdr>
            <w:top w:val="none" w:sz="0" w:space="0" w:color="auto"/>
            <w:left w:val="none" w:sz="0" w:space="0" w:color="auto"/>
            <w:bottom w:val="none" w:sz="0" w:space="0" w:color="auto"/>
            <w:right w:val="none" w:sz="0" w:space="0" w:color="auto"/>
          </w:divBdr>
        </w:div>
        <w:div w:id="47194127">
          <w:marLeft w:val="640"/>
          <w:marRight w:val="0"/>
          <w:marTop w:val="0"/>
          <w:marBottom w:val="0"/>
          <w:divBdr>
            <w:top w:val="none" w:sz="0" w:space="0" w:color="auto"/>
            <w:left w:val="none" w:sz="0" w:space="0" w:color="auto"/>
            <w:bottom w:val="none" w:sz="0" w:space="0" w:color="auto"/>
            <w:right w:val="none" w:sz="0" w:space="0" w:color="auto"/>
          </w:divBdr>
        </w:div>
        <w:div w:id="302854091">
          <w:marLeft w:val="640"/>
          <w:marRight w:val="0"/>
          <w:marTop w:val="0"/>
          <w:marBottom w:val="0"/>
          <w:divBdr>
            <w:top w:val="none" w:sz="0" w:space="0" w:color="auto"/>
            <w:left w:val="none" w:sz="0" w:space="0" w:color="auto"/>
            <w:bottom w:val="none" w:sz="0" w:space="0" w:color="auto"/>
            <w:right w:val="none" w:sz="0" w:space="0" w:color="auto"/>
          </w:divBdr>
        </w:div>
        <w:div w:id="823929243">
          <w:marLeft w:val="640"/>
          <w:marRight w:val="0"/>
          <w:marTop w:val="0"/>
          <w:marBottom w:val="0"/>
          <w:divBdr>
            <w:top w:val="none" w:sz="0" w:space="0" w:color="auto"/>
            <w:left w:val="none" w:sz="0" w:space="0" w:color="auto"/>
            <w:bottom w:val="none" w:sz="0" w:space="0" w:color="auto"/>
            <w:right w:val="none" w:sz="0" w:space="0" w:color="auto"/>
          </w:divBdr>
        </w:div>
        <w:div w:id="1262492728">
          <w:marLeft w:val="640"/>
          <w:marRight w:val="0"/>
          <w:marTop w:val="0"/>
          <w:marBottom w:val="0"/>
          <w:divBdr>
            <w:top w:val="none" w:sz="0" w:space="0" w:color="auto"/>
            <w:left w:val="none" w:sz="0" w:space="0" w:color="auto"/>
            <w:bottom w:val="none" w:sz="0" w:space="0" w:color="auto"/>
            <w:right w:val="none" w:sz="0" w:space="0" w:color="auto"/>
          </w:divBdr>
        </w:div>
        <w:div w:id="1075712419">
          <w:marLeft w:val="640"/>
          <w:marRight w:val="0"/>
          <w:marTop w:val="0"/>
          <w:marBottom w:val="0"/>
          <w:divBdr>
            <w:top w:val="none" w:sz="0" w:space="0" w:color="auto"/>
            <w:left w:val="none" w:sz="0" w:space="0" w:color="auto"/>
            <w:bottom w:val="none" w:sz="0" w:space="0" w:color="auto"/>
            <w:right w:val="none" w:sz="0" w:space="0" w:color="auto"/>
          </w:divBdr>
        </w:div>
        <w:div w:id="583489739">
          <w:marLeft w:val="640"/>
          <w:marRight w:val="0"/>
          <w:marTop w:val="0"/>
          <w:marBottom w:val="0"/>
          <w:divBdr>
            <w:top w:val="none" w:sz="0" w:space="0" w:color="auto"/>
            <w:left w:val="none" w:sz="0" w:space="0" w:color="auto"/>
            <w:bottom w:val="none" w:sz="0" w:space="0" w:color="auto"/>
            <w:right w:val="none" w:sz="0" w:space="0" w:color="auto"/>
          </w:divBdr>
        </w:div>
        <w:div w:id="1762677777">
          <w:marLeft w:val="640"/>
          <w:marRight w:val="0"/>
          <w:marTop w:val="0"/>
          <w:marBottom w:val="0"/>
          <w:divBdr>
            <w:top w:val="none" w:sz="0" w:space="0" w:color="auto"/>
            <w:left w:val="none" w:sz="0" w:space="0" w:color="auto"/>
            <w:bottom w:val="none" w:sz="0" w:space="0" w:color="auto"/>
            <w:right w:val="none" w:sz="0" w:space="0" w:color="auto"/>
          </w:divBdr>
        </w:div>
        <w:div w:id="1991858342">
          <w:marLeft w:val="640"/>
          <w:marRight w:val="0"/>
          <w:marTop w:val="0"/>
          <w:marBottom w:val="0"/>
          <w:divBdr>
            <w:top w:val="none" w:sz="0" w:space="0" w:color="auto"/>
            <w:left w:val="none" w:sz="0" w:space="0" w:color="auto"/>
            <w:bottom w:val="none" w:sz="0" w:space="0" w:color="auto"/>
            <w:right w:val="none" w:sz="0" w:space="0" w:color="auto"/>
          </w:divBdr>
        </w:div>
        <w:div w:id="1054894675">
          <w:marLeft w:val="640"/>
          <w:marRight w:val="0"/>
          <w:marTop w:val="0"/>
          <w:marBottom w:val="0"/>
          <w:divBdr>
            <w:top w:val="none" w:sz="0" w:space="0" w:color="auto"/>
            <w:left w:val="none" w:sz="0" w:space="0" w:color="auto"/>
            <w:bottom w:val="none" w:sz="0" w:space="0" w:color="auto"/>
            <w:right w:val="none" w:sz="0" w:space="0" w:color="auto"/>
          </w:divBdr>
        </w:div>
        <w:div w:id="700471642">
          <w:marLeft w:val="640"/>
          <w:marRight w:val="0"/>
          <w:marTop w:val="0"/>
          <w:marBottom w:val="0"/>
          <w:divBdr>
            <w:top w:val="none" w:sz="0" w:space="0" w:color="auto"/>
            <w:left w:val="none" w:sz="0" w:space="0" w:color="auto"/>
            <w:bottom w:val="none" w:sz="0" w:space="0" w:color="auto"/>
            <w:right w:val="none" w:sz="0" w:space="0" w:color="auto"/>
          </w:divBdr>
        </w:div>
        <w:div w:id="38361691">
          <w:marLeft w:val="640"/>
          <w:marRight w:val="0"/>
          <w:marTop w:val="0"/>
          <w:marBottom w:val="0"/>
          <w:divBdr>
            <w:top w:val="none" w:sz="0" w:space="0" w:color="auto"/>
            <w:left w:val="none" w:sz="0" w:space="0" w:color="auto"/>
            <w:bottom w:val="none" w:sz="0" w:space="0" w:color="auto"/>
            <w:right w:val="none" w:sz="0" w:space="0" w:color="auto"/>
          </w:divBdr>
        </w:div>
        <w:div w:id="512181987">
          <w:marLeft w:val="640"/>
          <w:marRight w:val="0"/>
          <w:marTop w:val="0"/>
          <w:marBottom w:val="0"/>
          <w:divBdr>
            <w:top w:val="none" w:sz="0" w:space="0" w:color="auto"/>
            <w:left w:val="none" w:sz="0" w:space="0" w:color="auto"/>
            <w:bottom w:val="none" w:sz="0" w:space="0" w:color="auto"/>
            <w:right w:val="none" w:sz="0" w:space="0" w:color="auto"/>
          </w:divBdr>
        </w:div>
        <w:div w:id="1218278184">
          <w:marLeft w:val="640"/>
          <w:marRight w:val="0"/>
          <w:marTop w:val="0"/>
          <w:marBottom w:val="0"/>
          <w:divBdr>
            <w:top w:val="none" w:sz="0" w:space="0" w:color="auto"/>
            <w:left w:val="none" w:sz="0" w:space="0" w:color="auto"/>
            <w:bottom w:val="none" w:sz="0" w:space="0" w:color="auto"/>
            <w:right w:val="none" w:sz="0" w:space="0" w:color="auto"/>
          </w:divBdr>
        </w:div>
        <w:div w:id="1844474097">
          <w:marLeft w:val="640"/>
          <w:marRight w:val="0"/>
          <w:marTop w:val="0"/>
          <w:marBottom w:val="0"/>
          <w:divBdr>
            <w:top w:val="none" w:sz="0" w:space="0" w:color="auto"/>
            <w:left w:val="none" w:sz="0" w:space="0" w:color="auto"/>
            <w:bottom w:val="none" w:sz="0" w:space="0" w:color="auto"/>
            <w:right w:val="none" w:sz="0" w:space="0" w:color="auto"/>
          </w:divBdr>
        </w:div>
        <w:div w:id="8332162">
          <w:marLeft w:val="640"/>
          <w:marRight w:val="0"/>
          <w:marTop w:val="0"/>
          <w:marBottom w:val="0"/>
          <w:divBdr>
            <w:top w:val="none" w:sz="0" w:space="0" w:color="auto"/>
            <w:left w:val="none" w:sz="0" w:space="0" w:color="auto"/>
            <w:bottom w:val="none" w:sz="0" w:space="0" w:color="auto"/>
            <w:right w:val="none" w:sz="0" w:space="0" w:color="auto"/>
          </w:divBdr>
        </w:div>
        <w:div w:id="343629502">
          <w:marLeft w:val="640"/>
          <w:marRight w:val="0"/>
          <w:marTop w:val="0"/>
          <w:marBottom w:val="0"/>
          <w:divBdr>
            <w:top w:val="none" w:sz="0" w:space="0" w:color="auto"/>
            <w:left w:val="none" w:sz="0" w:space="0" w:color="auto"/>
            <w:bottom w:val="none" w:sz="0" w:space="0" w:color="auto"/>
            <w:right w:val="none" w:sz="0" w:space="0" w:color="auto"/>
          </w:divBdr>
        </w:div>
        <w:div w:id="1280331056">
          <w:marLeft w:val="640"/>
          <w:marRight w:val="0"/>
          <w:marTop w:val="0"/>
          <w:marBottom w:val="0"/>
          <w:divBdr>
            <w:top w:val="none" w:sz="0" w:space="0" w:color="auto"/>
            <w:left w:val="none" w:sz="0" w:space="0" w:color="auto"/>
            <w:bottom w:val="none" w:sz="0" w:space="0" w:color="auto"/>
            <w:right w:val="none" w:sz="0" w:space="0" w:color="auto"/>
          </w:divBdr>
        </w:div>
        <w:div w:id="662902366">
          <w:marLeft w:val="640"/>
          <w:marRight w:val="0"/>
          <w:marTop w:val="0"/>
          <w:marBottom w:val="0"/>
          <w:divBdr>
            <w:top w:val="none" w:sz="0" w:space="0" w:color="auto"/>
            <w:left w:val="none" w:sz="0" w:space="0" w:color="auto"/>
            <w:bottom w:val="none" w:sz="0" w:space="0" w:color="auto"/>
            <w:right w:val="none" w:sz="0" w:space="0" w:color="auto"/>
          </w:divBdr>
        </w:div>
        <w:div w:id="2136219849">
          <w:marLeft w:val="640"/>
          <w:marRight w:val="0"/>
          <w:marTop w:val="0"/>
          <w:marBottom w:val="0"/>
          <w:divBdr>
            <w:top w:val="none" w:sz="0" w:space="0" w:color="auto"/>
            <w:left w:val="none" w:sz="0" w:space="0" w:color="auto"/>
            <w:bottom w:val="none" w:sz="0" w:space="0" w:color="auto"/>
            <w:right w:val="none" w:sz="0" w:space="0" w:color="auto"/>
          </w:divBdr>
        </w:div>
        <w:div w:id="1984962454">
          <w:marLeft w:val="640"/>
          <w:marRight w:val="0"/>
          <w:marTop w:val="0"/>
          <w:marBottom w:val="0"/>
          <w:divBdr>
            <w:top w:val="none" w:sz="0" w:space="0" w:color="auto"/>
            <w:left w:val="none" w:sz="0" w:space="0" w:color="auto"/>
            <w:bottom w:val="none" w:sz="0" w:space="0" w:color="auto"/>
            <w:right w:val="none" w:sz="0" w:space="0" w:color="auto"/>
          </w:divBdr>
        </w:div>
        <w:div w:id="2009946088">
          <w:marLeft w:val="640"/>
          <w:marRight w:val="0"/>
          <w:marTop w:val="0"/>
          <w:marBottom w:val="0"/>
          <w:divBdr>
            <w:top w:val="none" w:sz="0" w:space="0" w:color="auto"/>
            <w:left w:val="none" w:sz="0" w:space="0" w:color="auto"/>
            <w:bottom w:val="none" w:sz="0" w:space="0" w:color="auto"/>
            <w:right w:val="none" w:sz="0" w:space="0" w:color="auto"/>
          </w:divBdr>
        </w:div>
        <w:div w:id="84352010">
          <w:marLeft w:val="640"/>
          <w:marRight w:val="0"/>
          <w:marTop w:val="0"/>
          <w:marBottom w:val="0"/>
          <w:divBdr>
            <w:top w:val="none" w:sz="0" w:space="0" w:color="auto"/>
            <w:left w:val="none" w:sz="0" w:space="0" w:color="auto"/>
            <w:bottom w:val="none" w:sz="0" w:space="0" w:color="auto"/>
            <w:right w:val="none" w:sz="0" w:space="0" w:color="auto"/>
          </w:divBdr>
        </w:div>
        <w:div w:id="1379163604">
          <w:marLeft w:val="640"/>
          <w:marRight w:val="0"/>
          <w:marTop w:val="0"/>
          <w:marBottom w:val="0"/>
          <w:divBdr>
            <w:top w:val="none" w:sz="0" w:space="0" w:color="auto"/>
            <w:left w:val="none" w:sz="0" w:space="0" w:color="auto"/>
            <w:bottom w:val="none" w:sz="0" w:space="0" w:color="auto"/>
            <w:right w:val="none" w:sz="0" w:space="0" w:color="auto"/>
          </w:divBdr>
        </w:div>
        <w:div w:id="984091495">
          <w:marLeft w:val="640"/>
          <w:marRight w:val="0"/>
          <w:marTop w:val="0"/>
          <w:marBottom w:val="0"/>
          <w:divBdr>
            <w:top w:val="none" w:sz="0" w:space="0" w:color="auto"/>
            <w:left w:val="none" w:sz="0" w:space="0" w:color="auto"/>
            <w:bottom w:val="none" w:sz="0" w:space="0" w:color="auto"/>
            <w:right w:val="none" w:sz="0" w:space="0" w:color="auto"/>
          </w:divBdr>
        </w:div>
        <w:div w:id="986855920">
          <w:marLeft w:val="640"/>
          <w:marRight w:val="0"/>
          <w:marTop w:val="0"/>
          <w:marBottom w:val="0"/>
          <w:divBdr>
            <w:top w:val="none" w:sz="0" w:space="0" w:color="auto"/>
            <w:left w:val="none" w:sz="0" w:space="0" w:color="auto"/>
            <w:bottom w:val="none" w:sz="0" w:space="0" w:color="auto"/>
            <w:right w:val="none" w:sz="0" w:space="0" w:color="auto"/>
          </w:divBdr>
        </w:div>
        <w:div w:id="1825580913">
          <w:marLeft w:val="640"/>
          <w:marRight w:val="0"/>
          <w:marTop w:val="0"/>
          <w:marBottom w:val="0"/>
          <w:divBdr>
            <w:top w:val="none" w:sz="0" w:space="0" w:color="auto"/>
            <w:left w:val="none" w:sz="0" w:space="0" w:color="auto"/>
            <w:bottom w:val="none" w:sz="0" w:space="0" w:color="auto"/>
            <w:right w:val="none" w:sz="0" w:space="0" w:color="auto"/>
          </w:divBdr>
        </w:div>
        <w:div w:id="652488719">
          <w:marLeft w:val="640"/>
          <w:marRight w:val="0"/>
          <w:marTop w:val="0"/>
          <w:marBottom w:val="0"/>
          <w:divBdr>
            <w:top w:val="none" w:sz="0" w:space="0" w:color="auto"/>
            <w:left w:val="none" w:sz="0" w:space="0" w:color="auto"/>
            <w:bottom w:val="none" w:sz="0" w:space="0" w:color="auto"/>
            <w:right w:val="none" w:sz="0" w:space="0" w:color="auto"/>
          </w:divBdr>
        </w:div>
        <w:div w:id="896864201">
          <w:marLeft w:val="640"/>
          <w:marRight w:val="0"/>
          <w:marTop w:val="0"/>
          <w:marBottom w:val="0"/>
          <w:divBdr>
            <w:top w:val="none" w:sz="0" w:space="0" w:color="auto"/>
            <w:left w:val="none" w:sz="0" w:space="0" w:color="auto"/>
            <w:bottom w:val="none" w:sz="0" w:space="0" w:color="auto"/>
            <w:right w:val="none" w:sz="0" w:space="0" w:color="auto"/>
          </w:divBdr>
        </w:div>
        <w:div w:id="1952393954">
          <w:marLeft w:val="640"/>
          <w:marRight w:val="0"/>
          <w:marTop w:val="0"/>
          <w:marBottom w:val="0"/>
          <w:divBdr>
            <w:top w:val="none" w:sz="0" w:space="0" w:color="auto"/>
            <w:left w:val="none" w:sz="0" w:space="0" w:color="auto"/>
            <w:bottom w:val="none" w:sz="0" w:space="0" w:color="auto"/>
            <w:right w:val="none" w:sz="0" w:space="0" w:color="auto"/>
          </w:divBdr>
        </w:div>
        <w:div w:id="400098739">
          <w:marLeft w:val="640"/>
          <w:marRight w:val="0"/>
          <w:marTop w:val="0"/>
          <w:marBottom w:val="0"/>
          <w:divBdr>
            <w:top w:val="none" w:sz="0" w:space="0" w:color="auto"/>
            <w:left w:val="none" w:sz="0" w:space="0" w:color="auto"/>
            <w:bottom w:val="none" w:sz="0" w:space="0" w:color="auto"/>
            <w:right w:val="none" w:sz="0" w:space="0" w:color="auto"/>
          </w:divBdr>
        </w:div>
        <w:div w:id="281304475">
          <w:marLeft w:val="640"/>
          <w:marRight w:val="0"/>
          <w:marTop w:val="0"/>
          <w:marBottom w:val="0"/>
          <w:divBdr>
            <w:top w:val="none" w:sz="0" w:space="0" w:color="auto"/>
            <w:left w:val="none" w:sz="0" w:space="0" w:color="auto"/>
            <w:bottom w:val="none" w:sz="0" w:space="0" w:color="auto"/>
            <w:right w:val="none" w:sz="0" w:space="0" w:color="auto"/>
          </w:divBdr>
        </w:div>
        <w:div w:id="1364207141">
          <w:marLeft w:val="640"/>
          <w:marRight w:val="0"/>
          <w:marTop w:val="0"/>
          <w:marBottom w:val="0"/>
          <w:divBdr>
            <w:top w:val="none" w:sz="0" w:space="0" w:color="auto"/>
            <w:left w:val="none" w:sz="0" w:space="0" w:color="auto"/>
            <w:bottom w:val="none" w:sz="0" w:space="0" w:color="auto"/>
            <w:right w:val="none" w:sz="0" w:space="0" w:color="auto"/>
          </w:divBdr>
        </w:div>
        <w:div w:id="1617785035">
          <w:marLeft w:val="640"/>
          <w:marRight w:val="0"/>
          <w:marTop w:val="0"/>
          <w:marBottom w:val="0"/>
          <w:divBdr>
            <w:top w:val="none" w:sz="0" w:space="0" w:color="auto"/>
            <w:left w:val="none" w:sz="0" w:space="0" w:color="auto"/>
            <w:bottom w:val="none" w:sz="0" w:space="0" w:color="auto"/>
            <w:right w:val="none" w:sz="0" w:space="0" w:color="auto"/>
          </w:divBdr>
        </w:div>
        <w:div w:id="2082290868">
          <w:marLeft w:val="640"/>
          <w:marRight w:val="0"/>
          <w:marTop w:val="0"/>
          <w:marBottom w:val="0"/>
          <w:divBdr>
            <w:top w:val="none" w:sz="0" w:space="0" w:color="auto"/>
            <w:left w:val="none" w:sz="0" w:space="0" w:color="auto"/>
            <w:bottom w:val="none" w:sz="0" w:space="0" w:color="auto"/>
            <w:right w:val="none" w:sz="0" w:space="0" w:color="auto"/>
          </w:divBdr>
        </w:div>
        <w:div w:id="1609047335">
          <w:marLeft w:val="640"/>
          <w:marRight w:val="0"/>
          <w:marTop w:val="0"/>
          <w:marBottom w:val="0"/>
          <w:divBdr>
            <w:top w:val="none" w:sz="0" w:space="0" w:color="auto"/>
            <w:left w:val="none" w:sz="0" w:space="0" w:color="auto"/>
            <w:bottom w:val="none" w:sz="0" w:space="0" w:color="auto"/>
            <w:right w:val="none" w:sz="0" w:space="0" w:color="auto"/>
          </w:divBdr>
        </w:div>
        <w:div w:id="52244258">
          <w:marLeft w:val="640"/>
          <w:marRight w:val="0"/>
          <w:marTop w:val="0"/>
          <w:marBottom w:val="0"/>
          <w:divBdr>
            <w:top w:val="none" w:sz="0" w:space="0" w:color="auto"/>
            <w:left w:val="none" w:sz="0" w:space="0" w:color="auto"/>
            <w:bottom w:val="none" w:sz="0" w:space="0" w:color="auto"/>
            <w:right w:val="none" w:sz="0" w:space="0" w:color="auto"/>
          </w:divBdr>
        </w:div>
        <w:div w:id="1939870036">
          <w:marLeft w:val="640"/>
          <w:marRight w:val="0"/>
          <w:marTop w:val="0"/>
          <w:marBottom w:val="0"/>
          <w:divBdr>
            <w:top w:val="none" w:sz="0" w:space="0" w:color="auto"/>
            <w:left w:val="none" w:sz="0" w:space="0" w:color="auto"/>
            <w:bottom w:val="none" w:sz="0" w:space="0" w:color="auto"/>
            <w:right w:val="none" w:sz="0" w:space="0" w:color="auto"/>
          </w:divBdr>
        </w:div>
        <w:div w:id="1820803309">
          <w:marLeft w:val="640"/>
          <w:marRight w:val="0"/>
          <w:marTop w:val="0"/>
          <w:marBottom w:val="0"/>
          <w:divBdr>
            <w:top w:val="none" w:sz="0" w:space="0" w:color="auto"/>
            <w:left w:val="none" w:sz="0" w:space="0" w:color="auto"/>
            <w:bottom w:val="none" w:sz="0" w:space="0" w:color="auto"/>
            <w:right w:val="none" w:sz="0" w:space="0" w:color="auto"/>
          </w:divBdr>
        </w:div>
        <w:div w:id="1195312465">
          <w:marLeft w:val="640"/>
          <w:marRight w:val="0"/>
          <w:marTop w:val="0"/>
          <w:marBottom w:val="0"/>
          <w:divBdr>
            <w:top w:val="none" w:sz="0" w:space="0" w:color="auto"/>
            <w:left w:val="none" w:sz="0" w:space="0" w:color="auto"/>
            <w:bottom w:val="none" w:sz="0" w:space="0" w:color="auto"/>
            <w:right w:val="none" w:sz="0" w:space="0" w:color="auto"/>
          </w:divBdr>
        </w:div>
        <w:div w:id="629091562">
          <w:marLeft w:val="640"/>
          <w:marRight w:val="0"/>
          <w:marTop w:val="0"/>
          <w:marBottom w:val="0"/>
          <w:divBdr>
            <w:top w:val="none" w:sz="0" w:space="0" w:color="auto"/>
            <w:left w:val="none" w:sz="0" w:space="0" w:color="auto"/>
            <w:bottom w:val="none" w:sz="0" w:space="0" w:color="auto"/>
            <w:right w:val="none" w:sz="0" w:space="0" w:color="auto"/>
          </w:divBdr>
        </w:div>
        <w:div w:id="501312183">
          <w:marLeft w:val="640"/>
          <w:marRight w:val="0"/>
          <w:marTop w:val="0"/>
          <w:marBottom w:val="0"/>
          <w:divBdr>
            <w:top w:val="none" w:sz="0" w:space="0" w:color="auto"/>
            <w:left w:val="none" w:sz="0" w:space="0" w:color="auto"/>
            <w:bottom w:val="none" w:sz="0" w:space="0" w:color="auto"/>
            <w:right w:val="none" w:sz="0" w:space="0" w:color="auto"/>
          </w:divBdr>
        </w:div>
        <w:div w:id="1276906376">
          <w:marLeft w:val="640"/>
          <w:marRight w:val="0"/>
          <w:marTop w:val="0"/>
          <w:marBottom w:val="0"/>
          <w:divBdr>
            <w:top w:val="none" w:sz="0" w:space="0" w:color="auto"/>
            <w:left w:val="none" w:sz="0" w:space="0" w:color="auto"/>
            <w:bottom w:val="none" w:sz="0" w:space="0" w:color="auto"/>
            <w:right w:val="none" w:sz="0" w:space="0" w:color="auto"/>
          </w:divBdr>
        </w:div>
        <w:div w:id="1315451779">
          <w:marLeft w:val="640"/>
          <w:marRight w:val="0"/>
          <w:marTop w:val="0"/>
          <w:marBottom w:val="0"/>
          <w:divBdr>
            <w:top w:val="none" w:sz="0" w:space="0" w:color="auto"/>
            <w:left w:val="none" w:sz="0" w:space="0" w:color="auto"/>
            <w:bottom w:val="none" w:sz="0" w:space="0" w:color="auto"/>
            <w:right w:val="none" w:sz="0" w:space="0" w:color="auto"/>
          </w:divBdr>
        </w:div>
        <w:div w:id="274943412">
          <w:marLeft w:val="640"/>
          <w:marRight w:val="0"/>
          <w:marTop w:val="0"/>
          <w:marBottom w:val="0"/>
          <w:divBdr>
            <w:top w:val="none" w:sz="0" w:space="0" w:color="auto"/>
            <w:left w:val="none" w:sz="0" w:space="0" w:color="auto"/>
            <w:bottom w:val="none" w:sz="0" w:space="0" w:color="auto"/>
            <w:right w:val="none" w:sz="0" w:space="0" w:color="auto"/>
          </w:divBdr>
        </w:div>
      </w:divsChild>
    </w:div>
    <w:div w:id="2063627621">
      <w:bodyDiv w:val="1"/>
      <w:marLeft w:val="0"/>
      <w:marRight w:val="0"/>
      <w:marTop w:val="0"/>
      <w:marBottom w:val="0"/>
      <w:divBdr>
        <w:top w:val="none" w:sz="0" w:space="0" w:color="auto"/>
        <w:left w:val="none" w:sz="0" w:space="0" w:color="auto"/>
        <w:bottom w:val="none" w:sz="0" w:space="0" w:color="auto"/>
        <w:right w:val="none" w:sz="0" w:space="0" w:color="auto"/>
      </w:divBdr>
      <w:divsChild>
        <w:div w:id="2119762073">
          <w:marLeft w:val="640"/>
          <w:marRight w:val="0"/>
          <w:marTop w:val="0"/>
          <w:marBottom w:val="0"/>
          <w:divBdr>
            <w:top w:val="none" w:sz="0" w:space="0" w:color="auto"/>
            <w:left w:val="none" w:sz="0" w:space="0" w:color="auto"/>
            <w:bottom w:val="none" w:sz="0" w:space="0" w:color="auto"/>
            <w:right w:val="none" w:sz="0" w:space="0" w:color="auto"/>
          </w:divBdr>
        </w:div>
        <w:div w:id="1344357968">
          <w:marLeft w:val="640"/>
          <w:marRight w:val="0"/>
          <w:marTop w:val="0"/>
          <w:marBottom w:val="0"/>
          <w:divBdr>
            <w:top w:val="none" w:sz="0" w:space="0" w:color="auto"/>
            <w:left w:val="none" w:sz="0" w:space="0" w:color="auto"/>
            <w:bottom w:val="none" w:sz="0" w:space="0" w:color="auto"/>
            <w:right w:val="none" w:sz="0" w:space="0" w:color="auto"/>
          </w:divBdr>
        </w:div>
        <w:div w:id="2115437791">
          <w:marLeft w:val="640"/>
          <w:marRight w:val="0"/>
          <w:marTop w:val="0"/>
          <w:marBottom w:val="0"/>
          <w:divBdr>
            <w:top w:val="none" w:sz="0" w:space="0" w:color="auto"/>
            <w:left w:val="none" w:sz="0" w:space="0" w:color="auto"/>
            <w:bottom w:val="none" w:sz="0" w:space="0" w:color="auto"/>
            <w:right w:val="none" w:sz="0" w:space="0" w:color="auto"/>
          </w:divBdr>
        </w:div>
        <w:div w:id="2017884333">
          <w:marLeft w:val="640"/>
          <w:marRight w:val="0"/>
          <w:marTop w:val="0"/>
          <w:marBottom w:val="0"/>
          <w:divBdr>
            <w:top w:val="none" w:sz="0" w:space="0" w:color="auto"/>
            <w:left w:val="none" w:sz="0" w:space="0" w:color="auto"/>
            <w:bottom w:val="none" w:sz="0" w:space="0" w:color="auto"/>
            <w:right w:val="none" w:sz="0" w:space="0" w:color="auto"/>
          </w:divBdr>
        </w:div>
        <w:div w:id="964652334">
          <w:marLeft w:val="640"/>
          <w:marRight w:val="0"/>
          <w:marTop w:val="0"/>
          <w:marBottom w:val="0"/>
          <w:divBdr>
            <w:top w:val="none" w:sz="0" w:space="0" w:color="auto"/>
            <w:left w:val="none" w:sz="0" w:space="0" w:color="auto"/>
            <w:bottom w:val="none" w:sz="0" w:space="0" w:color="auto"/>
            <w:right w:val="none" w:sz="0" w:space="0" w:color="auto"/>
          </w:divBdr>
        </w:div>
        <w:div w:id="2041002990">
          <w:marLeft w:val="640"/>
          <w:marRight w:val="0"/>
          <w:marTop w:val="0"/>
          <w:marBottom w:val="0"/>
          <w:divBdr>
            <w:top w:val="none" w:sz="0" w:space="0" w:color="auto"/>
            <w:left w:val="none" w:sz="0" w:space="0" w:color="auto"/>
            <w:bottom w:val="none" w:sz="0" w:space="0" w:color="auto"/>
            <w:right w:val="none" w:sz="0" w:space="0" w:color="auto"/>
          </w:divBdr>
        </w:div>
        <w:div w:id="515967709">
          <w:marLeft w:val="640"/>
          <w:marRight w:val="0"/>
          <w:marTop w:val="0"/>
          <w:marBottom w:val="0"/>
          <w:divBdr>
            <w:top w:val="none" w:sz="0" w:space="0" w:color="auto"/>
            <w:left w:val="none" w:sz="0" w:space="0" w:color="auto"/>
            <w:bottom w:val="none" w:sz="0" w:space="0" w:color="auto"/>
            <w:right w:val="none" w:sz="0" w:space="0" w:color="auto"/>
          </w:divBdr>
        </w:div>
        <w:div w:id="153957344">
          <w:marLeft w:val="640"/>
          <w:marRight w:val="0"/>
          <w:marTop w:val="0"/>
          <w:marBottom w:val="0"/>
          <w:divBdr>
            <w:top w:val="none" w:sz="0" w:space="0" w:color="auto"/>
            <w:left w:val="none" w:sz="0" w:space="0" w:color="auto"/>
            <w:bottom w:val="none" w:sz="0" w:space="0" w:color="auto"/>
            <w:right w:val="none" w:sz="0" w:space="0" w:color="auto"/>
          </w:divBdr>
        </w:div>
        <w:div w:id="1889562302">
          <w:marLeft w:val="640"/>
          <w:marRight w:val="0"/>
          <w:marTop w:val="0"/>
          <w:marBottom w:val="0"/>
          <w:divBdr>
            <w:top w:val="none" w:sz="0" w:space="0" w:color="auto"/>
            <w:left w:val="none" w:sz="0" w:space="0" w:color="auto"/>
            <w:bottom w:val="none" w:sz="0" w:space="0" w:color="auto"/>
            <w:right w:val="none" w:sz="0" w:space="0" w:color="auto"/>
          </w:divBdr>
        </w:div>
        <w:div w:id="1244149301">
          <w:marLeft w:val="640"/>
          <w:marRight w:val="0"/>
          <w:marTop w:val="0"/>
          <w:marBottom w:val="0"/>
          <w:divBdr>
            <w:top w:val="none" w:sz="0" w:space="0" w:color="auto"/>
            <w:left w:val="none" w:sz="0" w:space="0" w:color="auto"/>
            <w:bottom w:val="none" w:sz="0" w:space="0" w:color="auto"/>
            <w:right w:val="none" w:sz="0" w:space="0" w:color="auto"/>
          </w:divBdr>
        </w:div>
        <w:div w:id="1603948998">
          <w:marLeft w:val="640"/>
          <w:marRight w:val="0"/>
          <w:marTop w:val="0"/>
          <w:marBottom w:val="0"/>
          <w:divBdr>
            <w:top w:val="none" w:sz="0" w:space="0" w:color="auto"/>
            <w:left w:val="none" w:sz="0" w:space="0" w:color="auto"/>
            <w:bottom w:val="none" w:sz="0" w:space="0" w:color="auto"/>
            <w:right w:val="none" w:sz="0" w:space="0" w:color="auto"/>
          </w:divBdr>
        </w:div>
        <w:div w:id="433522912">
          <w:marLeft w:val="640"/>
          <w:marRight w:val="0"/>
          <w:marTop w:val="0"/>
          <w:marBottom w:val="0"/>
          <w:divBdr>
            <w:top w:val="none" w:sz="0" w:space="0" w:color="auto"/>
            <w:left w:val="none" w:sz="0" w:space="0" w:color="auto"/>
            <w:bottom w:val="none" w:sz="0" w:space="0" w:color="auto"/>
            <w:right w:val="none" w:sz="0" w:space="0" w:color="auto"/>
          </w:divBdr>
        </w:div>
        <w:div w:id="608585728">
          <w:marLeft w:val="640"/>
          <w:marRight w:val="0"/>
          <w:marTop w:val="0"/>
          <w:marBottom w:val="0"/>
          <w:divBdr>
            <w:top w:val="none" w:sz="0" w:space="0" w:color="auto"/>
            <w:left w:val="none" w:sz="0" w:space="0" w:color="auto"/>
            <w:bottom w:val="none" w:sz="0" w:space="0" w:color="auto"/>
            <w:right w:val="none" w:sz="0" w:space="0" w:color="auto"/>
          </w:divBdr>
        </w:div>
        <w:div w:id="1017660220">
          <w:marLeft w:val="640"/>
          <w:marRight w:val="0"/>
          <w:marTop w:val="0"/>
          <w:marBottom w:val="0"/>
          <w:divBdr>
            <w:top w:val="none" w:sz="0" w:space="0" w:color="auto"/>
            <w:left w:val="none" w:sz="0" w:space="0" w:color="auto"/>
            <w:bottom w:val="none" w:sz="0" w:space="0" w:color="auto"/>
            <w:right w:val="none" w:sz="0" w:space="0" w:color="auto"/>
          </w:divBdr>
        </w:div>
        <w:div w:id="564533800">
          <w:marLeft w:val="640"/>
          <w:marRight w:val="0"/>
          <w:marTop w:val="0"/>
          <w:marBottom w:val="0"/>
          <w:divBdr>
            <w:top w:val="none" w:sz="0" w:space="0" w:color="auto"/>
            <w:left w:val="none" w:sz="0" w:space="0" w:color="auto"/>
            <w:bottom w:val="none" w:sz="0" w:space="0" w:color="auto"/>
            <w:right w:val="none" w:sz="0" w:space="0" w:color="auto"/>
          </w:divBdr>
        </w:div>
        <w:div w:id="388848028">
          <w:marLeft w:val="640"/>
          <w:marRight w:val="0"/>
          <w:marTop w:val="0"/>
          <w:marBottom w:val="0"/>
          <w:divBdr>
            <w:top w:val="none" w:sz="0" w:space="0" w:color="auto"/>
            <w:left w:val="none" w:sz="0" w:space="0" w:color="auto"/>
            <w:bottom w:val="none" w:sz="0" w:space="0" w:color="auto"/>
            <w:right w:val="none" w:sz="0" w:space="0" w:color="auto"/>
          </w:divBdr>
        </w:div>
        <w:div w:id="261381448">
          <w:marLeft w:val="640"/>
          <w:marRight w:val="0"/>
          <w:marTop w:val="0"/>
          <w:marBottom w:val="0"/>
          <w:divBdr>
            <w:top w:val="none" w:sz="0" w:space="0" w:color="auto"/>
            <w:left w:val="none" w:sz="0" w:space="0" w:color="auto"/>
            <w:bottom w:val="none" w:sz="0" w:space="0" w:color="auto"/>
            <w:right w:val="none" w:sz="0" w:space="0" w:color="auto"/>
          </w:divBdr>
        </w:div>
        <w:div w:id="1644967248">
          <w:marLeft w:val="640"/>
          <w:marRight w:val="0"/>
          <w:marTop w:val="0"/>
          <w:marBottom w:val="0"/>
          <w:divBdr>
            <w:top w:val="none" w:sz="0" w:space="0" w:color="auto"/>
            <w:left w:val="none" w:sz="0" w:space="0" w:color="auto"/>
            <w:bottom w:val="none" w:sz="0" w:space="0" w:color="auto"/>
            <w:right w:val="none" w:sz="0" w:space="0" w:color="auto"/>
          </w:divBdr>
        </w:div>
        <w:div w:id="933318062">
          <w:marLeft w:val="640"/>
          <w:marRight w:val="0"/>
          <w:marTop w:val="0"/>
          <w:marBottom w:val="0"/>
          <w:divBdr>
            <w:top w:val="none" w:sz="0" w:space="0" w:color="auto"/>
            <w:left w:val="none" w:sz="0" w:space="0" w:color="auto"/>
            <w:bottom w:val="none" w:sz="0" w:space="0" w:color="auto"/>
            <w:right w:val="none" w:sz="0" w:space="0" w:color="auto"/>
          </w:divBdr>
        </w:div>
        <w:div w:id="1699701245">
          <w:marLeft w:val="640"/>
          <w:marRight w:val="0"/>
          <w:marTop w:val="0"/>
          <w:marBottom w:val="0"/>
          <w:divBdr>
            <w:top w:val="none" w:sz="0" w:space="0" w:color="auto"/>
            <w:left w:val="none" w:sz="0" w:space="0" w:color="auto"/>
            <w:bottom w:val="none" w:sz="0" w:space="0" w:color="auto"/>
            <w:right w:val="none" w:sz="0" w:space="0" w:color="auto"/>
          </w:divBdr>
        </w:div>
        <w:div w:id="103885313">
          <w:marLeft w:val="640"/>
          <w:marRight w:val="0"/>
          <w:marTop w:val="0"/>
          <w:marBottom w:val="0"/>
          <w:divBdr>
            <w:top w:val="none" w:sz="0" w:space="0" w:color="auto"/>
            <w:left w:val="none" w:sz="0" w:space="0" w:color="auto"/>
            <w:bottom w:val="none" w:sz="0" w:space="0" w:color="auto"/>
            <w:right w:val="none" w:sz="0" w:space="0" w:color="auto"/>
          </w:divBdr>
        </w:div>
        <w:div w:id="2080325458">
          <w:marLeft w:val="640"/>
          <w:marRight w:val="0"/>
          <w:marTop w:val="0"/>
          <w:marBottom w:val="0"/>
          <w:divBdr>
            <w:top w:val="none" w:sz="0" w:space="0" w:color="auto"/>
            <w:left w:val="none" w:sz="0" w:space="0" w:color="auto"/>
            <w:bottom w:val="none" w:sz="0" w:space="0" w:color="auto"/>
            <w:right w:val="none" w:sz="0" w:space="0" w:color="auto"/>
          </w:divBdr>
        </w:div>
        <w:div w:id="571812871">
          <w:marLeft w:val="640"/>
          <w:marRight w:val="0"/>
          <w:marTop w:val="0"/>
          <w:marBottom w:val="0"/>
          <w:divBdr>
            <w:top w:val="none" w:sz="0" w:space="0" w:color="auto"/>
            <w:left w:val="none" w:sz="0" w:space="0" w:color="auto"/>
            <w:bottom w:val="none" w:sz="0" w:space="0" w:color="auto"/>
            <w:right w:val="none" w:sz="0" w:space="0" w:color="auto"/>
          </w:divBdr>
        </w:div>
        <w:div w:id="1102451761">
          <w:marLeft w:val="640"/>
          <w:marRight w:val="0"/>
          <w:marTop w:val="0"/>
          <w:marBottom w:val="0"/>
          <w:divBdr>
            <w:top w:val="none" w:sz="0" w:space="0" w:color="auto"/>
            <w:left w:val="none" w:sz="0" w:space="0" w:color="auto"/>
            <w:bottom w:val="none" w:sz="0" w:space="0" w:color="auto"/>
            <w:right w:val="none" w:sz="0" w:space="0" w:color="auto"/>
          </w:divBdr>
        </w:div>
        <w:div w:id="493230007">
          <w:marLeft w:val="640"/>
          <w:marRight w:val="0"/>
          <w:marTop w:val="0"/>
          <w:marBottom w:val="0"/>
          <w:divBdr>
            <w:top w:val="none" w:sz="0" w:space="0" w:color="auto"/>
            <w:left w:val="none" w:sz="0" w:space="0" w:color="auto"/>
            <w:bottom w:val="none" w:sz="0" w:space="0" w:color="auto"/>
            <w:right w:val="none" w:sz="0" w:space="0" w:color="auto"/>
          </w:divBdr>
        </w:div>
        <w:div w:id="1682704919">
          <w:marLeft w:val="640"/>
          <w:marRight w:val="0"/>
          <w:marTop w:val="0"/>
          <w:marBottom w:val="0"/>
          <w:divBdr>
            <w:top w:val="none" w:sz="0" w:space="0" w:color="auto"/>
            <w:left w:val="none" w:sz="0" w:space="0" w:color="auto"/>
            <w:bottom w:val="none" w:sz="0" w:space="0" w:color="auto"/>
            <w:right w:val="none" w:sz="0" w:space="0" w:color="auto"/>
          </w:divBdr>
        </w:div>
        <w:div w:id="24869904">
          <w:marLeft w:val="640"/>
          <w:marRight w:val="0"/>
          <w:marTop w:val="0"/>
          <w:marBottom w:val="0"/>
          <w:divBdr>
            <w:top w:val="none" w:sz="0" w:space="0" w:color="auto"/>
            <w:left w:val="none" w:sz="0" w:space="0" w:color="auto"/>
            <w:bottom w:val="none" w:sz="0" w:space="0" w:color="auto"/>
            <w:right w:val="none" w:sz="0" w:space="0" w:color="auto"/>
          </w:divBdr>
        </w:div>
        <w:div w:id="749230450">
          <w:marLeft w:val="640"/>
          <w:marRight w:val="0"/>
          <w:marTop w:val="0"/>
          <w:marBottom w:val="0"/>
          <w:divBdr>
            <w:top w:val="none" w:sz="0" w:space="0" w:color="auto"/>
            <w:left w:val="none" w:sz="0" w:space="0" w:color="auto"/>
            <w:bottom w:val="none" w:sz="0" w:space="0" w:color="auto"/>
            <w:right w:val="none" w:sz="0" w:space="0" w:color="auto"/>
          </w:divBdr>
        </w:div>
        <w:div w:id="1847285028">
          <w:marLeft w:val="640"/>
          <w:marRight w:val="0"/>
          <w:marTop w:val="0"/>
          <w:marBottom w:val="0"/>
          <w:divBdr>
            <w:top w:val="none" w:sz="0" w:space="0" w:color="auto"/>
            <w:left w:val="none" w:sz="0" w:space="0" w:color="auto"/>
            <w:bottom w:val="none" w:sz="0" w:space="0" w:color="auto"/>
            <w:right w:val="none" w:sz="0" w:space="0" w:color="auto"/>
          </w:divBdr>
        </w:div>
        <w:div w:id="1023164091">
          <w:marLeft w:val="640"/>
          <w:marRight w:val="0"/>
          <w:marTop w:val="0"/>
          <w:marBottom w:val="0"/>
          <w:divBdr>
            <w:top w:val="none" w:sz="0" w:space="0" w:color="auto"/>
            <w:left w:val="none" w:sz="0" w:space="0" w:color="auto"/>
            <w:bottom w:val="none" w:sz="0" w:space="0" w:color="auto"/>
            <w:right w:val="none" w:sz="0" w:space="0" w:color="auto"/>
          </w:divBdr>
        </w:div>
        <w:div w:id="1403140905">
          <w:marLeft w:val="640"/>
          <w:marRight w:val="0"/>
          <w:marTop w:val="0"/>
          <w:marBottom w:val="0"/>
          <w:divBdr>
            <w:top w:val="none" w:sz="0" w:space="0" w:color="auto"/>
            <w:left w:val="none" w:sz="0" w:space="0" w:color="auto"/>
            <w:bottom w:val="none" w:sz="0" w:space="0" w:color="auto"/>
            <w:right w:val="none" w:sz="0" w:space="0" w:color="auto"/>
          </w:divBdr>
        </w:div>
        <w:div w:id="448083265">
          <w:marLeft w:val="640"/>
          <w:marRight w:val="0"/>
          <w:marTop w:val="0"/>
          <w:marBottom w:val="0"/>
          <w:divBdr>
            <w:top w:val="none" w:sz="0" w:space="0" w:color="auto"/>
            <w:left w:val="none" w:sz="0" w:space="0" w:color="auto"/>
            <w:bottom w:val="none" w:sz="0" w:space="0" w:color="auto"/>
            <w:right w:val="none" w:sz="0" w:space="0" w:color="auto"/>
          </w:divBdr>
        </w:div>
        <w:div w:id="968513545">
          <w:marLeft w:val="640"/>
          <w:marRight w:val="0"/>
          <w:marTop w:val="0"/>
          <w:marBottom w:val="0"/>
          <w:divBdr>
            <w:top w:val="none" w:sz="0" w:space="0" w:color="auto"/>
            <w:left w:val="none" w:sz="0" w:space="0" w:color="auto"/>
            <w:bottom w:val="none" w:sz="0" w:space="0" w:color="auto"/>
            <w:right w:val="none" w:sz="0" w:space="0" w:color="auto"/>
          </w:divBdr>
        </w:div>
        <w:div w:id="2031565854">
          <w:marLeft w:val="640"/>
          <w:marRight w:val="0"/>
          <w:marTop w:val="0"/>
          <w:marBottom w:val="0"/>
          <w:divBdr>
            <w:top w:val="none" w:sz="0" w:space="0" w:color="auto"/>
            <w:left w:val="none" w:sz="0" w:space="0" w:color="auto"/>
            <w:bottom w:val="none" w:sz="0" w:space="0" w:color="auto"/>
            <w:right w:val="none" w:sz="0" w:space="0" w:color="auto"/>
          </w:divBdr>
        </w:div>
        <w:div w:id="872033141">
          <w:marLeft w:val="640"/>
          <w:marRight w:val="0"/>
          <w:marTop w:val="0"/>
          <w:marBottom w:val="0"/>
          <w:divBdr>
            <w:top w:val="none" w:sz="0" w:space="0" w:color="auto"/>
            <w:left w:val="none" w:sz="0" w:space="0" w:color="auto"/>
            <w:bottom w:val="none" w:sz="0" w:space="0" w:color="auto"/>
            <w:right w:val="none" w:sz="0" w:space="0" w:color="auto"/>
          </w:divBdr>
        </w:div>
        <w:div w:id="123156919">
          <w:marLeft w:val="640"/>
          <w:marRight w:val="0"/>
          <w:marTop w:val="0"/>
          <w:marBottom w:val="0"/>
          <w:divBdr>
            <w:top w:val="none" w:sz="0" w:space="0" w:color="auto"/>
            <w:left w:val="none" w:sz="0" w:space="0" w:color="auto"/>
            <w:bottom w:val="none" w:sz="0" w:space="0" w:color="auto"/>
            <w:right w:val="none" w:sz="0" w:space="0" w:color="auto"/>
          </w:divBdr>
        </w:div>
        <w:div w:id="1670793548">
          <w:marLeft w:val="640"/>
          <w:marRight w:val="0"/>
          <w:marTop w:val="0"/>
          <w:marBottom w:val="0"/>
          <w:divBdr>
            <w:top w:val="none" w:sz="0" w:space="0" w:color="auto"/>
            <w:left w:val="none" w:sz="0" w:space="0" w:color="auto"/>
            <w:bottom w:val="none" w:sz="0" w:space="0" w:color="auto"/>
            <w:right w:val="none" w:sz="0" w:space="0" w:color="auto"/>
          </w:divBdr>
        </w:div>
        <w:div w:id="1078555759">
          <w:marLeft w:val="640"/>
          <w:marRight w:val="0"/>
          <w:marTop w:val="0"/>
          <w:marBottom w:val="0"/>
          <w:divBdr>
            <w:top w:val="none" w:sz="0" w:space="0" w:color="auto"/>
            <w:left w:val="none" w:sz="0" w:space="0" w:color="auto"/>
            <w:bottom w:val="none" w:sz="0" w:space="0" w:color="auto"/>
            <w:right w:val="none" w:sz="0" w:space="0" w:color="auto"/>
          </w:divBdr>
        </w:div>
        <w:div w:id="1075664738">
          <w:marLeft w:val="640"/>
          <w:marRight w:val="0"/>
          <w:marTop w:val="0"/>
          <w:marBottom w:val="0"/>
          <w:divBdr>
            <w:top w:val="none" w:sz="0" w:space="0" w:color="auto"/>
            <w:left w:val="none" w:sz="0" w:space="0" w:color="auto"/>
            <w:bottom w:val="none" w:sz="0" w:space="0" w:color="auto"/>
            <w:right w:val="none" w:sz="0" w:space="0" w:color="auto"/>
          </w:divBdr>
        </w:div>
        <w:div w:id="84959703">
          <w:marLeft w:val="640"/>
          <w:marRight w:val="0"/>
          <w:marTop w:val="0"/>
          <w:marBottom w:val="0"/>
          <w:divBdr>
            <w:top w:val="none" w:sz="0" w:space="0" w:color="auto"/>
            <w:left w:val="none" w:sz="0" w:space="0" w:color="auto"/>
            <w:bottom w:val="none" w:sz="0" w:space="0" w:color="auto"/>
            <w:right w:val="none" w:sz="0" w:space="0" w:color="auto"/>
          </w:divBdr>
        </w:div>
        <w:div w:id="1322193831">
          <w:marLeft w:val="640"/>
          <w:marRight w:val="0"/>
          <w:marTop w:val="0"/>
          <w:marBottom w:val="0"/>
          <w:divBdr>
            <w:top w:val="none" w:sz="0" w:space="0" w:color="auto"/>
            <w:left w:val="none" w:sz="0" w:space="0" w:color="auto"/>
            <w:bottom w:val="none" w:sz="0" w:space="0" w:color="auto"/>
            <w:right w:val="none" w:sz="0" w:space="0" w:color="auto"/>
          </w:divBdr>
        </w:div>
        <w:div w:id="2075279467">
          <w:marLeft w:val="640"/>
          <w:marRight w:val="0"/>
          <w:marTop w:val="0"/>
          <w:marBottom w:val="0"/>
          <w:divBdr>
            <w:top w:val="none" w:sz="0" w:space="0" w:color="auto"/>
            <w:left w:val="none" w:sz="0" w:space="0" w:color="auto"/>
            <w:bottom w:val="none" w:sz="0" w:space="0" w:color="auto"/>
            <w:right w:val="none" w:sz="0" w:space="0" w:color="auto"/>
          </w:divBdr>
        </w:div>
        <w:div w:id="1284843023">
          <w:marLeft w:val="640"/>
          <w:marRight w:val="0"/>
          <w:marTop w:val="0"/>
          <w:marBottom w:val="0"/>
          <w:divBdr>
            <w:top w:val="none" w:sz="0" w:space="0" w:color="auto"/>
            <w:left w:val="none" w:sz="0" w:space="0" w:color="auto"/>
            <w:bottom w:val="none" w:sz="0" w:space="0" w:color="auto"/>
            <w:right w:val="none" w:sz="0" w:space="0" w:color="auto"/>
          </w:divBdr>
        </w:div>
        <w:div w:id="388110260">
          <w:marLeft w:val="640"/>
          <w:marRight w:val="0"/>
          <w:marTop w:val="0"/>
          <w:marBottom w:val="0"/>
          <w:divBdr>
            <w:top w:val="none" w:sz="0" w:space="0" w:color="auto"/>
            <w:left w:val="none" w:sz="0" w:space="0" w:color="auto"/>
            <w:bottom w:val="none" w:sz="0" w:space="0" w:color="auto"/>
            <w:right w:val="none" w:sz="0" w:space="0" w:color="auto"/>
          </w:divBdr>
        </w:div>
        <w:div w:id="566650350">
          <w:marLeft w:val="640"/>
          <w:marRight w:val="0"/>
          <w:marTop w:val="0"/>
          <w:marBottom w:val="0"/>
          <w:divBdr>
            <w:top w:val="none" w:sz="0" w:space="0" w:color="auto"/>
            <w:left w:val="none" w:sz="0" w:space="0" w:color="auto"/>
            <w:bottom w:val="none" w:sz="0" w:space="0" w:color="auto"/>
            <w:right w:val="none" w:sz="0" w:space="0" w:color="auto"/>
          </w:divBdr>
        </w:div>
        <w:div w:id="1798716534">
          <w:marLeft w:val="640"/>
          <w:marRight w:val="0"/>
          <w:marTop w:val="0"/>
          <w:marBottom w:val="0"/>
          <w:divBdr>
            <w:top w:val="none" w:sz="0" w:space="0" w:color="auto"/>
            <w:left w:val="none" w:sz="0" w:space="0" w:color="auto"/>
            <w:bottom w:val="none" w:sz="0" w:space="0" w:color="auto"/>
            <w:right w:val="none" w:sz="0" w:space="0" w:color="auto"/>
          </w:divBdr>
        </w:div>
        <w:div w:id="1123497461">
          <w:marLeft w:val="640"/>
          <w:marRight w:val="0"/>
          <w:marTop w:val="0"/>
          <w:marBottom w:val="0"/>
          <w:divBdr>
            <w:top w:val="none" w:sz="0" w:space="0" w:color="auto"/>
            <w:left w:val="none" w:sz="0" w:space="0" w:color="auto"/>
            <w:bottom w:val="none" w:sz="0" w:space="0" w:color="auto"/>
            <w:right w:val="none" w:sz="0" w:space="0" w:color="auto"/>
          </w:divBdr>
        </w:div>
        <w:div w:id="251621421">
          <w:marLeft w:val="640"/>
          <w:marRight w:val="0"/>
          <w:marTop w:val="0"/>
          <w:marBottom w:val="0"/>
          <w:divBdr>
            <w:top w:val="none" w:sz="0" w:space="0" w:color="auto"/>
            <w:left w:val="none" w:sz="0" w:space="0" w:color="auto"/>
            <w:bottom w:val="none" w:sz="0" w:space="0" w:color="auto"/>
            <w:right w:val="none" w:sz="0" w:space="0" w:color="auto"/>
          </w:divBdr>
        </w:div>
        <w:div w:id="318970381">
          <w:marLeft w:val="640"/>
          <w:marRight w:val="0"/>
          <w:marTop w:val="0"/>
          <w:marBottom w:val="0"/>
          <w:divBdr>
            <w:top w:val="none" w:sz="0" w:space="0" w:color="auto"/>
            <w:left w:val="none" w:sz="0" w:space="0" w:color="auto"/>
            <w:bottom w:val="none" w:sz="0" w:space="0" w:color="auto"/>
            <w:right w:val="none" w:sz="0" w:space="0" w:color="auto"/>
          </w:divBdr>
        </w:div>
        <w:div w:id="751973483">
          <w:marLeft w:val="640"/>
          <w:marRight w:val="0"/>
          <w:marTop w:val="0"/>
          <w:marBottom w:val="0"/>
          <w:divBdr>
            <w:top w:val="none" w:sz="0" w:space="0" w:color="auto"/>
            <w:left w:val="none" w:sz="0" w:space="0" w:color="auto"/>
            <w:bottom w:val="none" w:sz="0" w:space="0" w:color="auto"/>
            <w:right w:val="none" w:sz="0" w:space="0" w:color="auto"/>
          </w:divBdr>
        </w:div>
        <w:div w:id="1399207642">
          <w:marLeft w:val="640"/>
          <w:marRight w:val="0"/>
          <w:marTop w:val="0"/>
          <w:marBottom w:val="0"/>
          <w:divBdr>
            <w:top w:val="none" w:sz="0" w:space="0" w:color="auto"/>
            <w:left w:val="none" w:sz="0" w:space="0" w:color="auto"/>
            <w:bottom w:val="none" w:sz="0" w:space="0" w:color="auto"/>
            <w:right w:val="none" w:sz="0" w:space="0" w:color="auto"/>
          </w:divBdr>
        </w:div>
        <w:div w:id="252596418">
          <w:marLeft w:val="640"/>
          <w:marRight w:val="0"/>
          <w:marTop w:val="0"/>
          <w:marBottom w:val="0"/>
          <w:divBdr>
            <w:top w:val="none" w:sz="0" w:space="0" w:color="auto"/>
            <w:left w:val="none" w:sz="0" w:space="0" w:color="auto"/>
            <w:bottom w:val="none" w:sz="0" w:space="0" w:color="auto"/>
            <w:right w:val="none" w:sz="0" w:space="0" w:color="auto"/>
          </w:divBdr>
        </w:div>
        <w:div w:id="1255432738">
          <w:marLeft w:val="640"/>
          <w:marRight w:val="0"/>
          <w:marTop w:val="0"/>
          <w:marBottom w:val="0"/>
          <w:divBdr>
            <w:top w:val="none" w:sz="0" w:space="0" w:color="auto"/>
            <w:left w:val="none" w:sz="0" w:space="0" w:color="auto"/>
            <w:bottom w:val="none" w:sz="0" w:space="0" w:color="auto"/>
            <w:right w:val="none" w:sz="0" w:space="0" w:color="auto"/>
          </w:divBdr>
        </w:div>
        <w:div w:id="1332565074">
          <w:marLeft w:val="640"/>
          <w:marRight w:val="0"/>
          <w:marTop w:val="0"/>
          <w:marBottom w:val="0"/>
          <w:divBdr>
            <w:top w:val="none" w:sz="0" w:space="0" w:color="auto"/>
            <w:left w:val="none" w:sz="0" w:space="0" w:color="auto"/>
            <w:bottom w:val="none" w:sz="0" w:space="0" w:color="auto"/>
            <w:right w:val="none" w:sz="0" w:space="0" w:color="auto"/>
          </w:divBdr>
        </w:div>
        <w:div w:id="184753435">
          <w:marLeft w:val="640"/>
          <w:marRight w:val="0"/>
          <w:marTop w:val="0"/>
          <w:marBottom w:val="0"/>
          <w:divBdr>
            <w:top w:val="none" w:sz="0" w:space="0" w:color="auto"/>
            <w:left w:val="none" w:sz="0" w:space="0" w:color="auto"/>
            <w:bottom w:val="none" w:sz="0" w:space="0" w:color="auto"/>
            <w:right w:val="none" w:sz="0" w:space="0" w:color="auto"/>
          </w:divBdr>
        </w:div>
        <w:div w:id="324624583">
          <w:marLeft w:val="640"/>
          <w:marRight w:val="0"/>
          <w:marTop w:val="0"/>
          <w:marBottom w:val="0"/>
          <w:divBdr>
            <w:top w:val="none" w:sz="0" w:space="0" w:color="auto"/>
            <w:left w:val="none" w:sz="0" w:space="0" w:color="auto"/>
            <w:bottom w:val="none" w:sz="0" w:space="0" w:color="auto"/>
            <w:right w:val="none" w:sz="0" w:space="0" w:color="auto"/>
          </w:divBdr>
        </w:div>
        <w:div w:id="781073475">
          <w:marLeft w:val="640"/>
          <w:marRight w:val="0"/>
          <w:marTop w:val="0"/>
          <w:marBottom w:val="0"/>
          <w:divBdr>
            <w:top w:val="none" w:sz="0" w:space="0" w:color="auto"/>
            <w:left w:val="none" w:sz="0" w:space="0" w:color="auto"/>
            <w:bottom w:val="none" w:sz="0" w:space="0" w:color="auto"/>
            <w:right w:val="none" w:sz="0" w:space="0" w:color="auto"/>
          </w:divBdr>
        </w:div>
        <w:div w:id="1513883349">
          <w:marLeft w:val="640"/>
          <w:marRight w:val="0"/>
          <w:marTop w:val="0"/>
          <w:marBottom w:val="0"/>
          <w:divBdr>
            <w:top w:val="none" w:sz="0" w:space="0" w:color="auto"/>
            <w:left w:val="none" w:sz="0" w:space="0" w:color="auto"/>
            <w:bottom w:val="none" w:sz="0" w:space="0" w:color="auto"/>
            <w:right w:val="none" w:sz="0" w:space="0" w:color="auto"/>
          </w:divBdr>
        </w:div>
        <w:div w:id="1272784309">
          <w:marLeft w:val="640"/>
          <w:marRight w:val="0"/>
          <w:marTop w:val="0"/>
          <w:marBottom w:val="0"/>
          <w:divBdr>
            <w:top w:val="none" w:sz="0" w:space="0" w:color="auto"/>
            <w:left w:val="none" w:sz="0" w:space="0" w:color="auto"/>
            <w:bottom w:val="none" w:sz="0" w:space="0" w:color="auto"/>
            <w:right w:val="none" w:sz="0" w:space="0" w:color="auto"/>
          </w:divBdr>
        </w:div>
        <w:div w:id="748503783">
          <w:marLeft w:val="640"/>
          <w:marRight w:val="0"/>
          <w:marTop w:val="0"/>
          <w:marBottom w:val="0"/>
          <w:divBdr>
            <w:top w:val="none" w:sz="0" w:space="0" w:color="auto"/>
            <w:left w:val="none" w:sz="0" w:space="0" w:color="auto"/>
            <w:bottom w:val="none" w:sz="0" w:space="0" w:color="auto"/>
            <w:right w:val="none" w:sz="0" w:space="0" w:color="auto"/>
          </w:divBdr>
        </w:div>
        <w:div w:id="653602182">
          <w:marLeft w:val="640"/>
          <w:marRight w:val="0"/>
          <w:marTop w:val="0"/>
          <w:marBottom w:val="0"/>
          <w:divBdr>
            <w:top w:val="none" w:sz="0" w:space="0" w:color="auto"/>
            <w:left w:val="none" w:sz="0" w:space="0" w:color="auto"/>
            <w:bottom w:val="none" w:sz="0" w:space="0" w:color="auto"/>
            <w:right w:val="none" w:sz="0" w:space="0" w:color="auto"/>
          </w:divBdr>
        </w:div>
        <w:div w:id="1841773922">
          <w:marLeft w:val="640"/>
          <w:marRight w:val="0"/>
          <w:marTop w:val="0"/>
          <w:marBottom w:val="0"/>
          <w:divBdr>
            <w:top w:val="none" w:sz="0" w:space="0" w:color="auto"/>
            <w:left w:val="none" w:sz="0" w:space="0" w:color="auto"/>
            <w:bottom w:val="none" w:sz="0" w:space="0" w:color="auto"/>
            <w:right w:val="none" w:sz="0" w:space="0" w:color="auto"/>
          </w:divBdr>
        </w:div>
        <w:div w:id="445080344">
          <w:marLeft w:val="640"/>
          <w:marRight w:val="0"/>
          <w:marTop w:val="0"/>
          <w:marBottom w:val="0"/>
          <w:divBdr>
            <w:top w:val="none" w:sz="0" w:space="0" w:color="auto"/>
            <w:left w:val="none" w:sz="0" w:space="0" w:color="auto"/>
            <w:bottom w:val="none" w:sz="0" w:space="0" w:color="auto"/>
            <w:right w:val="none" w:sz="0" w:space="0" w:color="auto"/>
          </w:divBdr>
        </w:div>
        <w:div w:id="864485380">
          <w:marLeft w:val="640"/>
          <w:marRight w:val="0"/>
          <w:marTop w:val="0"/>
          <w:marBottom w:val="0"/>
          <w:divBdr>
            <w:top w:val="none" w:sz="0" w:space="0" w:color="auto"/>
            <w:left w:val="none" w:sz="0" w:space="0" w:color="auto"/>
            <w:bottom w:val="none" w:sz="0" w:space="0" w:color="auto"/>
            <w:right w:val="none" w:sz="0" w:space="0" w:color="auto"/>
          </w:divBdr>
        </w:div>
        <w:div w:id="793064934">
          <w:marLeft w:val="640"/>
          <w:marRight w:val="0"/>
          <w:marTop w:val="0"/>
          <w:marBottom w:val="0"/>
          <w:divBdr>
            <w:top w:val="none" w:sz="0" w:space="0" w:color="auto"/>
            <w:left w:val="none" w:sz="0" w:space="0" w:color="auto"/>
            <w:bottom w:val="none" w:sz="0" w:space="0" w:color="auto"/>
            <w:right w:val="none" w:sz="0" w:space="0" w:color="auto"/>
          </w:divBdr>
        </w:div>
        <w:div w:id="2112696709">
          <w:marLeft w:val="640"/>
          <w:marRight w:val="0"/>
          <w:marTop w:val="0"/>
          <w:marBottom w:val="0"/>
          <w:divBdr>
            <w:top w:val="none" w:sz="0" w:space="0" w:color="auto"/>
            <w:left w:val="none" w:sz="0" w:space="0" w:color="auto"/>
            <w:bottom w:val="none" w:sz="0" w:space="0" w:color="auto"/>
            <w:right w:val="none" w:sz="0" w:space="0" w:color="auto"/>
          </w:divBdr>
        </w:div>
        <w:div w:id="1539514862">
          <w:marLeft w:val="640"/>
          <w:marRight w:val="0"/>
          <w:marTop w:val="0"/>
          <w:marBottom w:val="0"/>
          <w:divBdr>
            <w:top w:val="none" w:sz="0" w:space="0" w:color="auto"/>
            <w:left w:val="none" w:sz="0" w:space="0" w:color="auto"/>
            <w:bottom w:val="none" w:sz="0" w:space="0" w:color="auto"/>
            <w:right w:val="none" w:sz="0" w:space="0" w:color="auto"/>
          </w:divBdr>
        </w:div>
        <w:div w:id="1337923421">
          <w:marLeft w:val="640"/>
          <w:marRight w:val="0"/>
          <w:marTop w:val="0"/>
          <w:marBottom w:val="0"/>
          <w:divBdr>
            <w:top w:val="none" w:sz="0" w:space="0" w:color="auto"/>
            <w:left w:val="none" w:sz="0" w:space="0" w:color="auto"/>
            <w:bottom w:val="none" w:sz="0" w:space="0" w:color="auto"/>
            <w:right w:val="none" w:sz="0" w:space="0" w:color="auto"/>
          </w:divBdr>
        </w:div>
        <w:div w:id="1116215510">
          <w:marLeft w:val="640"/>
          <w:marRight w:val="0"/>
          <w:marTop w:val="0"/>
          <w:marBottom w:val="0"/>
          <w:divBdr>
            <w:top w:val="none" w:sz="0" w:space="0" w:color="auto"/>
            <w:left w:val="none" w:sz="0" w:space="0" w:color="auto"/>
            <w:bottom w:val="none" w:sz="0" w:space="0" w:color="auto"/>
            <w:right w:val="none" w:sz="0" w:space="0" w:color="auto"/>
          </w:divBdr>
        </w:div>
        <w:div w:id="1210413962">
          <w:marLeft w:val="640"/>
          <w:marRight w:val="0"/>
          <w:marTop w:val="0"/>
          <w:marBottom w:val="0"/>
          <w:divBdr>
            <w:top w:val="none" w:sz="0" w:space="0" w:color="auto"/>
            <w:left w:val="none" w:sz="0" w:space="0" w:color="auto"/>
            <w:bottom w:val="none" w:sz="0" w:space="0" w:color="auto"/>
            <w:right w:val="none" w:sz="0" w:space="0" w:color="auto"/>
          </w:divBdr>
        </w:div>
        <w:div w:id="287204971">
          <w:marLeft w:val="640"/>
          <w:marRight w:val="0"/>
          <w:marTop w:val="0"/>
          <w:marBottom w:val="0"/>
          <w:divBdr>
            <w:top w:val="none" w:sz="0" w:space="0" w:color="auto"/>
            <w:left w:val="none" w:sz="0" w:space="0" w:color="auto"/>
            <w:bottom w:val="none" w:sz="0" w:space="0" w:color="auto"/>
            <w:right w:val="none" w:sz="0" w:space="0" w:color="auto"/>
          </w:divBdr>
        </w:div>
        <w:div w:id="1809398452">
          <w:marLeft w:val="640"/>
          <w:marRight w:val="0"/>
          <w:marTop w:val="0"/>
          <w:marBottom w:val="0"/>
          <w:divBdr>
            <w:top w:val="none" w:sz="0" w:space="0" w:color="auto"/>
            <w:left w:val="none" w:sz="0" w:space="0" w:color="auto"/>
            <w:bottom w:val="none" w:sz="0" w:space="0" w:color="auto"/>
            <w:right w:val="none" w:sz="0" w:space="0" w:color="auto"/>
          </w:divBdr>
        </w:div>
        <w:div w:id="21442665">
          <w:marLeft w:val="640"/>
          <w:marRight w:val="0"/>
          <w:marTop w:val="0"/>
          <w:marBottom w:val="0"/>
          <w:divBdr>
            <w:top w:val="none" w:sz="0" w:space="0" w:color="auto"/>
            <w:left w:val="none" w:sz="0" w:space="0" w:color="auto"/>
            <w:bottom w:val="none" w:sz="0" w:space="0" w:color="auto"/>
            <w:right w:val="none" w:sz="0" w:space="0" w:color="auto"/>
          </w:divBdr>
        </w:div>
        <w:div w:id="212163246">
          <w:marLeft w:val="640"/>
          <w:marRight w:val="0"/>
          <w:marTop w:val="0"/>
          <w:marBottom w:val="0"/>
          <w:divBdr>
            <w:top w:val="none" w:sz="0" w:space="0" w:color="auto"/>
            <w:left w:val="none" w:sz="0" w:space="0" w:color="auto"/>
            <w:bottom w:val="none" w:sz="0" w:space="0" w:color="auto"/>
            <w:right w:val="none" w:sz="0" w:space="0" w:color="auto"/>
          </w:divBdr>
        </w:div>
        <w:div w:id="911086851">
          <w:marLeft w:val="640"/>
          <w:marRight w:val="0"/>
          <w:marTop w:val="0"/>
          <w:marBottom w:val="0"/>
          <w:divBdr>
            <w:top w:val="none" w:sz="0" w:space="0" w:color="auto"/>
            <w:left w:val="none" w:sz="0" w:space="0" w:color="auto"/>
            <w:bottom w:val="none" w:sz="0" w:space="0" w:color="auto"/>
            <w:right w:val="none" w:sz="0" w:space="0" w:color="auto"/>
          </w:divBdr>
        </w:div>
        <w:div w:id="1152871131">
          <w:marLeft w:val="640"/>
          <w:marRight w:val="0"/>
          <w:marTop w:val="0"/>
          <w:marBottom w:val="0"/>
          <w:divBdr>
            <w:top w:val="none" w:sz="0" w:space="0" w:color="auto"/>
            <w:left w:val="none" w:sz="0" w:space="0" w:color="auto"/>
            <w:bottom w:val="none" w:sz="0" w:space="0" w:color="auto"/>
            <w:right w:val="none" w:sz="0" w:space="0" w:color="auto"/>
          </w:divBdr>
        </w:div>
        <w:div w:id="1653294835">
          <w:marLeft w:val="640"/>
          <w:marRight w:val="0"/>
          <w:marTop w:val="0"/>
          <w:marBottom w:val="0"/>
          <w:divBdr>
            <w:top w:val="none" w:sz="0" w:space="0" w:color="auto"/>
            <w:left w:val="none" w:sz="0" w:space="0" w:color="auto"/>
            <w:bottom w:val="none" w:sz="0" w:space="0" w:color="auto"/>
            <w:right w:val="none" w:sz="0" w:space="0" w:color="auto"/>
          </w:divBdr>
        </w:div>
        <w:div w:id="25718900">
          <w:marLeft w:val="640"/>
          <w:marRight w:val="0"/>
          <w:marTop w:val="0"/>
          <w:marBottom w:val="0"/>
          <w:divBdr>
            <w:top w:val="none" w:sz="0" w:space="0" w:color="auto"/>
            <w:left w:val="none" w:sz="0" w:space="0" w:color="auto"/>
            <w:bottom w:val="none" w:sz="0" w:space="0" w:color="auto"/>
            <w:right w:val="none" w:sz="0" w:space="0" w:color="auto"/>
          </w:divBdr>
        </w:div>
        <w:div w:id="1683782229">
          <w:marLeft w:val="640"/>
          <w:marRight w:val="0"/>
          <w:marTop w:val="0"/>
          <w:marBottom w:val="0"/>
          <w:divBdr>
            <w:top w:val="none" w:sz="0" w:space="0" w:color="auto"/>
            <w:left w:val="none" w:sz="0" w:space="0" w:color="auto"/>
            <w:bottom w:val="none" w:sz="0" w:space="0" w:color="auto"/>
            <w:right w:val="none" w:sz="0" w:space="0" w:color="auto"/>
          </w:divBdr>
        </w:div>
        <w:div w:id="545796594">
          <w:marLeft w:val="640"/>
          <w:marRight w:val="0"/>
          <w:marTop w:val="0"/>
          <w:marBottom w:val="0"/>
          <w:divBdr>
            <w:top w:val="none" w:sz="0" w:space="0" w:color="auto"/>
            <w:left w:val="none" w:sz="0" w:space="0" w:color="auto"/>
            <w:bottom w:val="none" w:sz="0" w:space="0" w:color="auto"/>
            <w:right w:val="none" w:sz="0" w:space="0" w:color="auto"/>
          </w:divBdr>
        </w:div>
        <w:div w:id="263729751">
          <w:marLeft w:val="640"/>
          <w:marRight w:val="0"/>
          <w:marTop w:val="0"/>
          <w:marBottom w:val="0"/>
          <w:divBdr>
            <w:top w:val="none" w:sz="0" w:space="0" w:color="auto"/>
            <w:left w:val="none" w:sz="0" w:space="0" w:color="auto"/>
            <w:bottom w:val="none" w:sz="0" w:space="0" w:color="auto"/>
            <w:right w:val="none" w:sz="0" w:space="0" w:color="auto"/>
          </w:divBdr>
        </w:div>
        <w:div w:id="1284115749">
          <w:marLeft w:val="640"/>
          <w:marRight w:val="0"/>
          <w:marTop w:val="0"/>
          <w:marBottom w:val="0"/>
          <w:divBdr>
            <w:top w:val="none" w:sz="0" w:space="0" w:color="auto"/>
            <w:left w:val="none" w:sz="0" w:space="0" w:color="auto"/>
            <w:bottom w:val="none" w:sz="0" w:space="0" w:color="auto"/>
            <w:right w:val="none" w:sz="0" w:space="0" w:color="auto"/>
          </w:divBdr>
        </w:div>
        <w:div w:id="1309818387">
          <w:marLeft w:val="640"/>
          <w:marRight w:val="0"/>
          <w:marTop w:val="0"/>
          <w:marBottom w:val="0"/>
          <w:divBdr>
            <w:top w:val="none" w:sz="0" w:space="0" w:color="auto"/>
            <w:left w:val="none" w:sz="0" w:space="0" w:color="auto"/>
            <w:bottom w:val="none" w:sz="0" w:space="0" w:color="auto"/>
            <w:right w:val="none" w:sz="0" w:space="0" w:color="auto"/>
          </w:divBdr>
        </w:div>
        <w:div w:id="614294779">
          <w:marLeft w:val="640"/>
          <w:marRight w:val="0"/>
          <w:marTop w:val="0"/>
          <w:marBottom w:val="0"/>
          <w:divBdr>
            <w:top w:val="none" w:sz="0" w:space="0" w:color="auto"/>
            <w:left w:val="none" w:sz="0" w:space="0" w:color="auto"/>
            <w:bottom w:val="none" w:sz="0" w:space="0" w:color="auto"/>
            <w:right w:val="none" w:sz="0" w:space="0" w:color="auto"/>
          </w:divBdr>
        </w:div>
        <w:div w:id="209419848">
          <w:marLeft w:val="640"/>
          <w:marRight w:val="0"/>
          <w:marTop w:val="0"/>
          <w:marBottom w:val="0"/>
          <w:divBdr>
            <w:top w:val="none" w:sz="0" w:space="0" w:color="auto"/>
            <w:left w:val="none" w:sz="0" w:space="0" w:color="auto"/>
            <w:bottom w:val="none" w:sz="0" w:space="0" w:color="auto"/>
            <w:right w:val="none" w:sz="0" w:space="0" w:color="auto"/>
          </w:divBdr>
        </w:div>
        <w:div w:id="646521153">
          <w:marLeft w:val="640"/>
          <w:marRight w:val="0"/>
          <w:marTop w:val="0"/>
          <w:marBottom w:val="0"/>
          <w:divBdr>
            <w:top w:val="none" w:sz="0" w:space="0" w:color="auto"/>
            <w:left w:val="none" w:sz="0" w:space="0" w:color="auto"/>
            <w:bottom w:val="none" w:sz="0" w:space="0" w:color="auto"/>
            <w:right w:val="none" w:sz="0" w:space="0" w:color="auto"/>
          </w:divBdr>
        </w:div>
        <w:div w:id="1942837384">
          <w:marLeft w:val="640"/>
          <w:marRight w:val="0"/>
          <w:marTop w:val="0"/>
          <w:marBottom w:val="0"/>
          <w:divBdr>
            <w:top w:val="none" w:sz="0" w:space="0" w:color="auto"/>
            <w:left w:val="none" w:sz="0" w:space="0" w:color="auto"/>
            <w:bottom w:val="none" w:sz="0" w:space="0" w:color="auto"/>
            <w:right w:val="none" w:sz="0" w:space="0" w:color="auto"/>
          </w:divBdr>
        </w:div>
        <w:div w:id="1085878383">
          <w:marLeft w:val="640"/>
          <w:marRight w:val="0"/>
          <w:marTop w:val="0"/>
          <w:marBottom w:val="0"/>
          <w:divBdr>
            <w:top w:val="none" w:sz="0" w:space="0" w:color="auto"/>
            <w:left w:val="none" w:sz="0" w:space="0" w:color="auto"/>
            <w:bottom w:val="none" w:sz="0" w:space="0" w:color="auto"/>
            <w:right w:val="none" w:sz="0" w:space="0" w:color="auto"/>
          </w:divBdr>
        </w:div>
        <w:div w:id="231236079">
          <w:marLeft w:val="640"/>
          <w:marRight w:val="0"/>
          <w:marTop w:val="0"/>
          <w:marBottom w:val="0"/>
          <w:divBdr>
            <w:top w:val="none" w:sz="0" w:space="0" w:color="auto"/>
            <w:left w:val="none" w:sz="0" w:space="0" w:color="auto"/>
            <w:bottom w:val="none" w:sz="0" w:space="0" w:color="auto"/>
            <w:right w:val="none" w:sz="0" w:space="0" w:color="auto"/>
          </w:divBdr>
        </w:div>
        <w:div w:id="2123572057">
          <w:marLeft w:val="640"/>
          <w:marRight w:val="0"/>
          <w:marTop w:val="0"/>
          <w:marBottom w:val="0"/>
          <w:divBdr>
            <w:top w:val="none" w:sz="0" w:space="0" w:color="auto"/>
            <w:left w:val="none" w:sz="0" w:space="0" w:color="auto"/>
            <w:bottom w:val="none" w:sz="0" w:space="0" w:color="auto"/>
            <w:right w:val="none" w:sz="0" w:space="0" w:color="auto"/>
          </w:divBdr>
        </w:div>
        <w:div w:id="2091929022">
          <w:marLeft w:val="640"/>
          <w:marRight w:val="0"/>
          <w:marTop w:val="0"/>
          <w:marBottom w:val="0"/>
          <w:divBdr>
            <w:top w:val="none" w:sz="0" w:space="0" w:color="auto"/>
            <w:left w:val="none" w:sz="0" w:space="0" w:color="auto"/>
            <w:bottom w:val="none" w:sz="0" w:space="0" w:color="auto"/>
            <w:right w:val="none" w:sz="0" w:space="0" w:color="auto"/>
          </w:divBdr>
        </w:div>
        <w:div w:id="1031880179">
          <w:marLeft w:val="640"/>
          <w:marRight w:val="0"/>
          <w:marTop w:val="0"/>
          <w:marBottom w:val="0"/>
          <w:divBdr>
            <w:top w:val="none" w:sz="0" w:space="0" w:color="auto"/>
            <w:left w:val="none" w:sz="0" w:space="0" w:color="auto"/>
            <w:bottom w:val="none" w:sz="0" w:space="0" w:color="auto"/>
            <w:right w:val="none" w:sz="0" w:space="0" w:color="auto"/>
          </w:divBdr>
        </w:div>
        <w:div w:id="1021274477">
          <w:marLeft w:val="640"/>
          <w:marRight w:val="0"/>
          <w:marTop w:val="0"/>
          <w:marBottom w:val="0"/>
          <w:divBdr>
            <w:top w:val="none" w:sz="0" w:space="0" w:color="auto"/>
            <w:left w:val="none" w:sz="0" w:space="0" w:color="auto"/>
            <w:bottom w:val="none" w:sz="0" w:space="0" w:color="auto"/>
            <w:right w:val="none" w:sz="0" w:space="0" w:color="auto"/>
          </w:divBdr>
        </w:div>
        <w:div w:id="1319113962">
          <w:marLeft w:val="640"/>
          <w:marRight w:val="0"/>
          <w:marTop w:val="0"/>
          <w:marBottom w:val="0"/>
          <w:divBdr>
            <w:top w:val="none" w:sz="0" w:space="0" w:color="auto"/>
            <w:left w:val="none" w:sz="0" w:space="0" w:color="auto"/>
            <w:bottom w:val="none" w:sz="0" w:space="0" w:color="auto"/>
            <w:right w:val="none" w:sz="0" w:space="0" w:color="auto"/>
          </w:divBdr>
        </w:div>
        <w:div w:id="814293802">
          <w:marLeft w:val="640"/>
          <w:marRight w:val="0"/>
          <w:marTop w:val="0"/>
          <w:marBottom w:val="0"/>
          <w:divBdr>
            <w:top w:val="none" w:sz="0" w:space="0" w:color="auto"/>
            <w:left w:val="none" w:sz="0" w:space="0" w:color="auto"/>
            <w:bottom w:val="none" w:sz="0" w:space="0" w:color="auto"/>
            <w:right w:val="none" w:sz="0" w:space="0" w:color="auto"/>
          </w:divBdr>
        </w:div>
        <w:div w:id="1160384585">
          <w:marLeft w:val="640"/>
          <w:marRight w:val="0"/>
          <w:marTop w:val="0"/>
          <w:marBottom w:val="0"/>
          <w:divBdr>
            <w:top w:val="none" w:sz="0" w:space="0" w:color="auto"/>
            <w:left w:val="none" w:sz="0" w:space="0" w:color="auto"/>
            <w:bottom w:val="none" w:sz="0" w:space="0" w:color="auto"/>
            <w:right w:val="none" w:sz="0" w:space="0" w:color="auto"/>
          </w:divBdr>
        </w:div>
        <w:div w:id="873425762">
          <w:marLeft w:val="640"/>
          <w:marRight w:val="0"/>
          <w:marTop w:val="0"/>
          <w:marBottom w:val="0"/>
          <w:divBdr>
            <w:top w:val="none" w:sz="0" w:space="0" w:color="auto"/>
            <w:left w:val="none" w:sz="0" w:space="0" w:color="auto"/>
            <w:bottom w:val="none" w:sz="0" w:space="0" w:color="auto"/>
            <w:right w:val="none" w:sz="0" w:space="0" w:color="auto"/>
          </w:divBdr>
        </w:div>
        <w:div w:id="1196965900">
          <w:marLeft w:val="640"/>
          <w:marRight w:val="0"/>
          <w:marTop w:val="0"/>
          <w:marBottom w:val="0"/>
          <w:divBdr>
            <w:top w:val="none" w:sz="0" w:space="0" w:color="auto"/>
            <w:left w:val="none" w:sz="0" w:space="0" w:color="auto"/>
            <w:bottom w:val="none" w:sz="0" w:space="0" w:color="auto"/>
            <w:right w:val="none" w:sz="0" w:space="0" w:color="auto"/>
          </w:divBdr>
        </w:div>
        <w:div w:id="999120540">
          <w:marLeft w:val="640"/>
          <w:marRight w:val="0"/>
          <w:marTop w:val="0"/>
          <w:marBottom w:val="0"/>
          <w:divBdr>
            <w:top w:val="none" w:sz="0" w:space="0" w:color="auto"/>
            <w:left w:val="none" w:sz="0" w:space="0" w:color="auto"/>
            <w:bottom w:val="none" w:sz="0" w:space="0" w:color="auto"/>
            <w:right w:val="none" w:sz="0" w:space="0" w:color="auto"/>
          </w:divBdr>
        </w:div>
        <w:div w:id="925457356">
          <w:marLeft w:val="640"/>
          <w:marRight w:val="0"/>
          <w:marTop w:val="0"/>
          <w:marBottom w:val="0"/>
          <w:divBdr>
            <w:top w:val="none" w:sz="0" w:space="0" w:color="auto"/>
            <w:left w:val="none" w:sz="0" w:space="0" w:color="auto"/>
            <w:bottom w:val="none" w:sz="0" w:space="0" w:color="auto"/>
            <w:right w:val="none" w:sz="0" w:space="0" w:color="auto"/>
          </w:divBdr>
        </w:div>
        <w:div w:id="1812290928">
          <w:marLeft w:val="640"/>
          <w:marRight w:val="0"/>
          <w:marTop w:val="0"/>
          <w:marBottom w:val="0"/>
          <w:divBdr>
            <w:top w:val="none" w:sz="0" w:space="0" w:color="auto"/>
            <w:left w:val="none" w:sz="0" w:space="0" w:color="auto"/>
            <w:bottom w:val="none" w:sz="0" w:space="0" w:color="auto"/>
            <w:right w:val="none" w:sz="0" w:space="0" w:color="auto"/>
          </w:divBdr>
        </w:div>
        <w:div w:id="2147040297">
          <w:marLeft w:val="640"/>
          <w:marRight w:val="0"/>
          <w:marTop w:val="0"/>
          <w:marBottom w:val="0"/>
          <w:divBdr>
            <w:top w:val="none" w:sz="0" w:space="0" w:color="auto"/>
            <w:left w:val="none" w:sz="0" w:space="0" w:color="auto"/>
            <w:bottom w:val="none" w:sz="0" w:space="0" w:color="auto"/>
            <w:right w:val="none" w:sz="0" w:space="0" w:color="auto"/>
          </w:divBdr>
        </w:div>
        <w:div w:id="1718817475">
          <w:marLeft w:val="640"/>
          <w:marRight w:val="0"/>
          <w:marTop w:val="0"/>
          <w:marBottom w:val="0"/>
          <w:divBdr>
            <w:top w:val="none" w:sz="0" w:space="0" w:color="auto"/>
            <w:left w:val="none" w:sz="0" w:space="0" w:color="auto"/>
            <w:bottom w:val="none" w:sz="0" w:space="0" w:color="auto"/>
            <w:right w:val="none" w:sz="0" w:space="0" w:color="auto"/>
          </w:divBdr>
        </w:div>
        <w:div w:id="1591742283">
          <w:marLeft w:val="640"/>
          <w:marRight w:val="0"/>
          <w:marTop w:val="0"/>
          <w:marBottom w:val="0"/>
          <w:divBdr>
            <w:top w:val="none" w:sz="0" w:space="0" w:color="auto"/>
            <w:left w:val="none" w:sz="0" w:space="0" w:color="auto"/>
            <w:bottom w:val="none" w:sz="0" w:space="0" w:color="auto"/>
            <w:right w:val="none" w:sz="0" w:space="0" w:color="auto"/>
          </w:divBdr>
        </w:div>
        <w:div w:id="1106340824">
          <w:marLeft w:val="640"/>
          <w:marRight w:val="0"/>
          <w:marTop w:val="0"/>
          <w:marBottom w:val="0"/>
          <w:divBdr>
            <w:top w:val="none" w:sz="0" w:space="0" w:color="auto"/>
            <w:left w:val="none" w:sz="0" w:space="0" w:color="auto"/>
            <w:bottom w:val="none" w:sz="0" w:space="0" w:color="auto"/>
            <w:right w:val="none" w:sz="0" w:space="0" w:color="auto"/>
          </w:divBdr>
        </w:div>
        <w:div w:id="904533064">
          <w:marLeft w:val="640"/>
          <w:marRight w:val="0"/>
          <w:marTop w:val="0"/>
          <w:marBottom w:val="0"/>
          <w:divBdr>
            <w:top w:val="none" w:sz="0" w:space="0" w:color="auto"/>
            <w:left w:val="none" w:sz="0" w:space="0" w:color="auto"/>
            <w:bottom w:val="none" w:sz="0" w:space="0" w:color="auto"/>
            <w:right w:val="none" w:sz="0" w:space="0" w:color="auto"/>
          </w:divBdr>
        </w:div>
        <w:div w:id="1002855735">
          <w:marLeft w:val="640"/>
          <w:marRight w:val="0"/>
          <w:marTop w:val="0"/>
          <w:marBottom w:val="0"/>
          <w:divBdr>
            <w:top w:val="none" w:sz="0" w:space="0" w:color="auto"/>
            <w:left w:val="none" w:sz="0" w:space="0" w:color="auto"/>
            <w:bottom w:val="none" w:sz="0" w:space="0" w:color="auto"/>
            <w:right w:val="none" w:sz="0" w:space="0" w:color="auto"/>
          </w:divBdr>
        </w:div>
        <w:div w:id="1490557996">
          <w:marLeft w:val="640"/>
          <w:marRight w:val="0"/>
          <w:marTop w:val="0"/>
          <w:marBottom w:val="0"/>
          <w:divBdr>
            <w:top w:val="none" w:sz="0" w:space="0" w:color="auto"/>
            <w:left w:val="none" w:sz="0" w:space="0" w:color="auto"/>
            <w:bottom w:val="none" w:sz="0" w:space="0" w:color="auto"/>
            <w:right w:val="none" w:sz="0" w:space="0" w:color="auto"/>
          </w:divBdr>
        </w:div>
        <w:div w:id="964458404">
          <w:marLeft w:val="640"/>
          <w:marRight w:val="0"/>
          <w:marTop w:val="0"/>
          <w:marBottom w:val="0"/>
          <w:divBdr>
            <w:top w:val="none" w:sz="0" w:space="0" w:color="auto"/>
            <w:left w:val="none" w:sz="0" w:space="0" w:color="auto"/>
            <w:bottom w:val="none" w:sz="0" w:space="0" w:color="auto"/>
            <w:right w:val="none" w:sz="0" w:space="0" w:color="auto"/>
          </w:divBdr>
        </w:div>
        <w:div w:id="704330383">
          <w:marLeft w:val="640"/>
          <w:marRight w:val="0"/>
          <w:marTop w:val="0"/>
          <w:marBottom w:val="0"/>
          <w:divBdr>
            <w:top w:val="none" w:sz="0" w:space="0" w:color="auto"/>
            <w:left w:val="none" w:sz="0" w:space="0" w:color="auto"/>
            <w:bottom w:val="none" w:sz="0" w:space="0" w:color="auto"/>
            <w:right w:val="none" w:sz="0" w:space="0" w:color="auto"/>
          </w:divBdr>
        </w:div>
        <w:div w:id="141775210">
          <w:marLeft w:val="640"/>
          <w:marRight w:val="0"/>
          <w:marTop w:val="0"/>
          <w:marBottom w:val="0"/>
          <w:divBdr>
            <w:top w:val="none" w:sz="0" w:space="0" w:color="auto"/>
            <w:left w:val="none" w:sz="0" w:space="0" w:color="auto"/>
            <w:bottom w:val="none" w:sz="0" w:space="0" w:color="auto"/>
            <w:right w:val="none" w:sz="0" w:space="0" w:color="auto"/>
          </w:divBdr>
        </w:div>
        <w:div w:id="278411519">
          <w:marLeft w:val="640"/>
          <w:marRight w:val="0"/>
          <w:marTop w:val="0"/>
          <w:marBottom w:val="0"/>
          <w:divBdr>
            <w:top w:val="none" w:sz="0" w:space="0" w:color="auto"/>
            <w:left w:val="none" w:sz="0" w:space="0" w:color="auto"/>
            <w:bottom w:val="none" w:sz="0" w:space="0" w:color="auto"/>
            <w:right w:val="none" w:sz="0" w:space="0" w:color="auto"/>
          </w:divBdr>
        </w:div>
        <w:div w:id="2030646166">
          <w:marLeft w:val="640"/>
          <w:marRight w:val="0"/>
          <w:marTop w:val="0"/>
          <w:marBottom w:val="0"/>
          <w:divBdr>
            <w:top w:val="none" w:sz="0" w:space="0" w:color="auto"/>
            <w:left w:val="none" w:sz="0" w:space="0" w:color="auto"/>
            <w:bottom w:val="none" w:sz="0" w:space="0" w:color="auto"/>
            <w:right w:val="none" w:sz="0" w:space="0" w:color="auto"/>
          </w:divBdr>
        </w:div>
        <w:div w:id="1940795183">
          <w:marLeft w:val="640"/>
          <w:marRight w:val="0"/>
          <w:marTop w:val="0"/>
          <w:marBottom w:val="0"/>
          <w:divBdr>
            <w:top w:val="none" w:sz="0" w:space="0" w:color="auto"/>
            <w:left w:val="none" w:sz="0" w:space="0" w:color="auto"/>
            <w:bottom w:val="none" w:sz="0" w:space="0" w:color="auto"/>
            <w:right w:val="none" w:sz="0" w:space="0" w:color="auto"/>
          </w:divBdr>
        </w:div>
        <w:div w:id="1798991844">
          <w:marLeft w:val="640"/>
          <w:marRight w:val="0"/>
          <w:marTop w:val="0"/>
          <w:marBottom w:val="0"/>
          <w:divBdr>
            <w:top w:val="none" w:sz="0" w:space="0" w:color="auto"/>
            <w:left w:val="none" w:sz="0" w:space="0" w:color="auto"/>
            <w:bottom w:val="none" w:sz="0" w:space="0" w:color="auto"/>
            <w:right w:val="none" w:sz="0" w:space="0" w:color="auto"/>
          </w:divBdr>
        </w:div>
        <w:div w:id="1749577152">
          <w:marLeft w:val="640"/>
          <w:marRight w:val="0"/>
          <w:marTop w:val="0"/>
          <w:marBottom w:val="0"/>
          <w:divBdr>
            <w:top w:val="none" w:sz="0" w:space="0" w:color="auto"/>
            <w:left w:val="none" w:sz="0" w:space="0" w:color="auto"/>
            <w:bottom w:val="none" w:sz="0" w:space="0" w:color="auto"/>
            <w:right w:val="none" w:sz="0" w:space="0" w:color="auto"/>
          </w:divBdr>
        </w:div>
        <w:div w:id="802381584">
          <w:marLeft w:val="640"/>
          <w:marRight w:val="0"/>
          <w:marTop w:val="0"/>
          <w:marBottom w:val="0"/>
          <w:divBdr>
            <w:top w:val="none" w:sz="0" w:space="0" w:color="auto"/>
            <w:left w:val="none" w:sz="0" w:space="0" w:color="auto"/>
            <w:bottom w:val="none" w:sz="0" w:space="0" w:color="auto"/>
            <w:right w:val="none" w:sz="0" w:space="0" w:color="auto"/>
          </w:divBdr>
        </w:div>
        <w:div w:id="1345522055">
          <w:marLeft w:val="640"/>
          <w:marRight w:val="0"/>
          <w:marTop w:val="0"/>
          <w:marBottom w:val="0"/>
          <w:divBdr>
            <w:top w:val="none" w:sz="0" w:space="0" w:color="auto"/>
            <w:left w:val="none" w:sz="0" w:space="0" w:color="auto"/>
            <w:bottom w:val="none" w:sz="0" w:space="0" w:color="auto"/>
            <w:right w:val="none" w:sz="0" w:space="0" w:color="auto"/>
          </w:divBdr>
        </w:div>
        <w:div w:id="1373072572">
          <w:marLeft w:val="640"/>
          <w:marRight w:val="0"/>
          <w:marTop w:val="0"/>
          <w:marBottom w:val="0"/>
          <w:divBdr>
            <w:top w:val="none" w:sz="0" w:space="0" w:color="auto"/>
            <w:left w:val="none" w:sz="0" w:space="0" w:color="auto"/>
            <w:bottom w:val="none" w:sz="0" w:space="0" w:color="auto"/>
            <w:right w:val="none" w:sz="0" w:space="0" w:color="auto"/>
          </w:divBdr>
        </w:div>
        <w:div w:id="331219290">
          <w:marLeft w:val="640"/>
          <w:marRight w:val="0"/>
          <w:marTop w:val="0"/>
          <w:marBottom w:val="0"/>
          <w:divBdr>
            <w:top w:val="none" w:sz="0" w:space="0" w:color="auto"/>
            <w:left w:val="none" w:sz="0" w:space="0" w:color="auto"/>
            <w:bottom w:val="none" w:sz="0" w:space="0" w:color="auto"/>
            <w:right w:val="none" w:sz="0" w:space="0" w:color="auto"/>
          </w:divBdr>
        </w:div>
        <w:div w:id="1914390840">
          <w:marLeft w:val="640"/>
          <w:marRight w:val="0"/>
          <w:marTop w:val="0"/>
          <w:marBottom w:val="0"/>
          <w:divBdr>
            <w:top w:val="none" w:sz="0" w:space="0" w:color="auto"/>
            <w:left w:val="none" w:sz="0" w:space="0" w:color="auto"/>
            <w:bottom w:val="none" w:sz="0" w:space="0" w:color="auto"/>
            <w:right w:val="none" w:sz="0" w:space="0" w:color="auto"/>
          </w:divBdr>
        </w:div>
        <w:div w:id="2090539484">
          <w:marLeft w:val="640"/>
          <w:marRight w:val="0"/>
          <w:marTop w:val="0"/>
          <w:marBottom w:val="0"/>
          <w:divBdr>
            <w:top w:val="none" w:sz="0" w:space="0" w:color="auto"/>
            <w:left w:val="none" w:sz="0" w:space="0" w:color="auto"/>
            <w:bottom w:val="none" w:sz="0" w:space="0" w:color="auto"/>
            <w:right w:val="none" w:sz="0" w:space="0" w:color="auto"/>
          </w:divBdr>
        </w:div>
        <w:div w:id="1938638757">
          <w:marLeft w:val="640"/>
          <w:marRight w:val="0"/>
          <w:marTop w:val="0"/>
          <w:marBottom w:val="0"/>
          <w:divBdr>
            <w:top w:val="none" w:sz="0" w:space="0" w:color="auto"/>
            <w:left w:val="none" w:sz="0" w:space="0" w:color="auto"/>
            <w:bottom w:val="none" w:sz="0" w:space="0" w:color="auto"/>
            <w:right w:val="none" w:sz="0" w:space="0" w:color="auto"/>
          </w:divBdr>
        </w:div>
        <w:div w:id="1507093818">
          <w:marLeft w:val="640"/>
          <w:marRight w:val="0"/>
          <w:marTop w:val="0"/>
          <w:marBottom w:val="0"/>
          <w:divBdr>
            <w:top w:val="none" w:sz="0" w:space="0" w:color="auto"/>
            <w:left w:val="none" w:sz="0" w:space="0" w:color="auto"/>
            <w:bottom w:val="none" w:sz="0" w:space="0" w:color="auto"/>
            <w:right w:val="none" w:sz="0" w:space="0" w:color="auto"/>
          </w:divBdr>
        </w:div>
        <w:div w:id="1802726300">
          <w:marLeft w:val="640"/>
          <w:marRight w:val="0"/>
          <w:marTop w:val="0"/>
          <w:marBottom w:val="0"/>
          <w:divBdr>
            <w:top w:val="none" w:sz="0" w:space="0" w:color="auto"/>
            <w:left w:val="none" w:sz="0" w:space="0" w:color="auto"/>
            <w:bottom w:val="none" w:sz="0" w:space="0" w:color="auto"/>
            <w:right w:val="none" w:sz="0" w:space="0" w:color="auto"/>
          </w:divBdr>
        </w:div>
        <w:div w:id="242181814">
          <w:marLeft w:val="640"/>
          <w:marRight w:val="0"/>
          <w:marTop w:val="0"/>
          <w:marBottom w:val="0"/>
          <w:divBdr>
            <w:top w:val="none" w:sz="0" w:space="0" w:color="auto"/>
            <w:left w:val="none" w:sz="0" w:space="0" w:color="auto"/>
            <w:bottom w:val="none" w:sz="0" w:space="0" w:color="auto"/>
            <w:right w:val="none" w:sz="0" w:space="0" w:color="auto"/>
          </w:divBdr>
        </w:div>
        <w:div w:id="1699545836">
          <w:marLeft w:val="640"/>
          <w:marRight w:val="0"/>
          <w:marTop w:val="0"/>
          <w:marBottom w:val="0"/>
          <w:divBdr>
            <w:top w:val="none" w:sz="0" w:space="0" w:color="auto"/>
            <w:left w:val="none" w:sz="0" w:space="0" w:color="auto"/>
            <w:bottom w:val="none" w:sz="0" w:space="0" w:color="auto"/>
            <w:right w:val="none" w:sz="0" w:space="0" w:color="auto"/>
          </w:divBdr>
        </w:div>
        <w:div w:id="1584414470">
          <w:marLeft w:val="640"/>
          <w:marRight w:val="0"/>
          <w:marTop w:val="0"/>
          <w:marBottom w:val="0"/>
          <w:divBdr>
            <w:top w:val="none" w:sz="0" w:space="0" w:color="auto"/>
            <w:left w:val="none" w:sz="0" w:space="0" w:color="auto"/>
            <w:bottom w:val="none" w:sz="0" w:space="0" w:color="auto"/>
            <w:right w:val="none" w:sz="0" w:space="0" w:color="auto"/>
          </w:divBdr>
        </w:div>
        <w:div w:id="1946767755">
          <w:marLeft w:val="640"/>
          <w:marRight w:val="0"/>
          <w:marTop w:val="0"/>
          <w:marBottom w:val="0"/>
          <w:divBdr>
            <w:top w:val="none" w:sz="0" w:space="0" w:color="auto"/>
            <w:left w:val="none" w:sz="0" w:space="0" w:color="auto"/>
            <w:bottom w:val="none" w:sz="0" w:space="0" w:color="auto"/>
            <w:right w:val="none" w:sz="0" w:space="0" w:color="auto"/>
          </w:divBdr>
        </w:div>
        <w:div w:id="1207526949">
          <w:marLeft w:val="640"/>
          <w:marRight w:val="0"/>
          <w:marTop w:val="0"/>
          <w:marBottom w:val="0"/>
          <w:divBdr>
            <w:top w:val="none" w:sz="0" w:space="0" w:color="auto"/>
            <w:left w:val="none" w:sz="0" w:space="0" w:color="auto"/>
            <w:bottom w:val="none" w:sz="0" w:space="0" w:color="auto"/>
            <w:right w:val="none" w:sz="0" w:space="0" w:color="auto"/>
          </w:divBdr>
        </w:div>
        <w:div w:id="995302296">
          <w:marLeft w:val="640"/>
          <w:marRight w:val="0"/>
          <w:marTop w:val="0"/>
          <w:marBottom w:val="0"/>
          <w:divBdr>
            <w:top w:val="none" w:sz="0" w:space="0" w:color="auto"/>
            <w:left w:val="none" w:sz="0" w:space="0" w:color="auto"/>
            <w:bottom w:val="none" w:sz="0" w:space="0" w:color="auto"/>
            <w:right w:val="none" w:sz="0" w:space="0" w:color="auto"/>
          </w:divBdr>
        </w:div>
        <w:div w:id="1231961964">
          <w:marLeft w:val="640"/>
          <w:marRight w:val="0"/>
          <w:marTop w:val="0"/>
          <w:marBottom w:val="0"/>
          <w:divBdr>
            <w:top w:val="none" w:sz="0" w:space="0" w:color="auto"/>
            <w:left w:val="none" w:sz="0" w:space="0" w:color="auto"/>
            <w:bottom w:val="none" w:sz="0" w:space="0" w:color="auto"/>
            <w:right w:val="none" w:sz="0" w:space="0" w:color="auto"/>
          </w:divBdr>
        </w:div>
        <w:div w:id="1167746841">
          <w:marLeft w:val="640"/>
          <w:marRight w:val="0"/>
          <w:marTop w:val="0"/>
          <w:marBottom w:val="0"/>
          <w:divBdr>
            <w:top w:val="none" w:sz="0" w:space="0" w:color="auto"/>
            <w:left w:val="none" w:sz="0" w:space="0" w:color="auto"/>
            <w:bottom w:val="none" w:sz="0" w:space="0" w:color="auto"/>
            <w:right w:val="none" w:sz="0" w:space="0" w:color="auto"/>
          </w:divBdr>
        </w:div>
        <w:div w:id="1109473131">
          <w:marLeft w:val="640"/>
          <w:marRight w:val="0"/>
          <w:marTop w:val="0"/>
          <w:marBottom w:val="0"/>
          <w:divBdr>
            <w:top w:val="none" w:sz="0" w:space="0" w:color="auto"/>
            <w:left w:val="none" w:sz="0" w:space="0" w:color="auto"/>
            <w:bottom w:val="none" w:sz="0" w:space="0" w:color="auto"/>
            <w:right w:val="none" w:sz="0" w:space="0" w:color="auto"/>
          </w:divBdr>
        </w:div>
        <w:div w:id="1447962190">
          <w:marLeft w:val="640"/>
          <w:marRight w:val="0"/>
          <w:marTop w:val="0"/>
          <w:marBottom w:val="0"/>
          <w:divBdr>
            <w:top w:val="none" w:sz="0" w:space="0" w:color="auto"/>
            <w:left w:val="none" w:sz="0" w:space="0" w:color="auto"/>
            <w:bottom w:val="none" w:sz="0" w:space="0" w:color="auto"/>
            <w:right w:val="none" w:sz="0" w:space="0" w:color="auto"/>
          </w:divBdr>
        </w:div>
        <w:div w:id="1247188">
          <w:marLeft w:val="640"/>
          <w:marRight w:val="0"/>
          <w:marTop w:val="0"/>
          <w:marBottom w:val="0"/>
          <w:divBdr>
            <w:top w:val="none" w:sz="0" w:space="0" w:color="auto"/>
            <w:left w:val="none" w:sz="0" w:space="0" w:color="auto"/>
            <w:bottom w:val="none" w:sz="0" w:space="0" w:color="auto"/>
            <w:right w:val="none" w:sz="0" w:space="0" w:color="auto"/>
          </w:divBdr>
        </w:div>
        <w:div w:id="2100176560">
          <w:marLeft w:val="640"/>
          <w:marRight w:val="0"/>
          <w:marTop w:val="0"/>
          <w:marBottom w:val="0"/>
          <w:divBdr>
            <w:top w:val="none" w:sz="0" w:space="0" w:color="auto"/>
            <w:left w:val="none" w:sz="0" w:space="0" w:color="auto"/>
            <w:bottom w:val="none" w:sz="0" w:space="0" w:color="auto"/>
            <w:right w:val="none" w:sz="0" w:space="0" w:color="auto"/>
          </w:divBdr>
        </w:div>
        <w:div w:id="250748183">
          <w:marLeft w:val="640"/>
          <w:marRight w:val="0"/>
          <w:marTop w:val="0"/>
          <w:marBottom w:val="0"/>
          <w:divBdr>
            <w:top w:val="none" w:sz="0" w:space="0" w:color="auto"/>
            <w:left w:val="none" w:sz="0" w:space="0" w:color="auto"/>
            <w:bottom w:val="none" w:sz="0" w:space="0" w:color="auto"/>
            <w:right w:val="none" w:sz="0" w:space="0" w:color="auto"/>
          </w:divBdr>
        </w:div>
        <w:div w:id="178853806">
          <w:marLeft w:val="640"/>
          <w:marRight w:val="0"/>
          <w:marTop w:val="0"/>
          <w:marBottom w:val="0"/>
          <w:divBdr>
            <w:top w:val="none" w:sz="0" w:space="0" w:color="auto"/>
            <w:left w:val="none" w:sz="0" w:space="0" w:color="auto"/>
            <w:bottom w:val="none" w:sz="0" w:space="0" w:color="auto"/>
            <w:right w:val="none" w:sz="0" w:space="0" w:color="auto"/>
          </w:divBdr>
        </w:div>
        <w:div w:id="1119567671">
          <w:marLeft w:val="640"/>
          <w:marRight w:val="0"/>
          <w:marTop w:val="0"/>
          <w:marBottom w:val="0"/>
          <w:divBdr>
            <w:top w:val="none" w:sz="0" w:space="0" w:color="auto"/>
            <w:left w:val="none" w:sz="0" w:space="0" w:color="auto"/>
            <w:bottom w:val="none" w:sz="0" w:space="0" w:color="auto"/>
            <w:right w:val="none" w:sz="0" w:space="0" w:color="auto"/>
          </w:divBdr>
        </w:div>
        <w:div w:id="1813518838">
          <w:marLeft w:val="640"/>
          <w:marRight w:val="0"/>
          <w:marTop w:val="0"/>
          <w:marBottom w:val="0"/>
          <w:divBdr>
            <w:top w:val="none" w:sz="0" w:space="0" w:color="auto"/>
            <w:left w:val="none" w:sz="0" w:space="0" w:color="auto"/>
            <w:bottom w:val="none" w:sz="0" w:space="0" w:color="auto"/>
            <w:right w:val="none" w:sz="0" w:space="0" w:color="auto"/>
          </w:divBdr>
        </w:div>
      </w:divsChild>
    </w:div>
    <w:div w:id="2073504155">
      <w:bodyDiv w:val="1"/>
      <w:marLeft w:val="0"/>
      <w:marRight w:val="0"/>
      <w:marTop w:val="0"/>
      <w:marBottom w:val="0"/>
      <w:divBdr>
        <w:top w:val="none" w:sz="0" w:space="0" w:color="auto"/>
        <w:left w:val="none" w:sz="0" w:space="0" w:color="auto"/>
        <w:bottom w:val="none" w:sz="0" w:space="0" w:color="auto"/>
        <w:right w:val="none" w:sz="0" w:space="0" w:color="auto"/>
      </w:divBdr>
      <w:divsChild>
        <w:div w:id="149715359">
          <w:marLeft w:val="640"/>
          <w:marRight w:val="0"/>
          <w:marTop w:val="0"/>
          <w:marBottom w:val="0"/>
          <w:divBdr>
            <w:top w:val="none" w:sz="0" w:space="0" w:color="auto"/>
            <w:left w:val="none" w:sz="0" w:space="0" w:color="auto"/>
            <w:bottom w:val="none" w:sz="0" w:space="0" w:color="auto"/>
            <w:right w:val="none" w:sz="0" w:space="0" w:color="auto"/>
          </w:divBdr>
        </w:div>
        <w:div w:id="964192116">
          <w:marLeft w:val="640"/>
          <w:marRight w:val="0"/>
          <w:marTop w:val="0"/>
          <w:marBottom w:val="0"/>
          <w:divBdr>
            <w:top w:val="none" w:sz="0" w:space="0" w:color="auto"/>
            <w:left w:val="none" w:sz="0" w:space="0" w:color="auto"/>
            <w:bottom w:val="none" w:sz="0" w:space="0" w:color="auto"/>
            <w:right w:val="none" w:sz="0" w:space="0" w:color="auto"/>
          </w:divBdr>
        </w:div>
        <w:div w:id="1964342286">
          <w:marLeft w:val="640"/>
          <w:marRight w:val="0"/>
          <w:marTop w:val="0"/>
          <w:marBottom w:val="0"/>
          <w:divBdr>
            <w:top w:val="none" w:sz="0" w:space="0" w:color="auto"/>
            <w:left w:val="none" w:sz="0" w:space="0" w:color="auto"/>
            <w:bottom w:val="none" w:sz="0" w:space="0" w:color="auto"/>
            <w:right w:val="none" w:sz="0" w:space="0" w:color="auto"/>
          </w:divBdr>
        </w:div>
        <w:div w:id="1116603977">
          <w:marLeft w:val="640"/>
          <w:marRight w:val="0"/>
          <w:marTop w:val="0"/>
          <w:marBottom w:val="0"/>
          <w:divBdr>
            <w:top w:val="none" w:sz="0" w:space="0" w:color="auto"/>
            <w:left w:val="none" w:sz="0" w:space="0" w:color="auto"/>
            <w:bottom w:val="none" w:sz="0" w:space="0" w:color="auto"/>
            <w:right w:val="none" w:sz="0" w:space="0" w:color="auto"/>
          </w:divBdr>
        </w:div>
        <w:div w:id="1817332259">
          <w:marLeft w:val="640"/>
          <w:marRight w:val="0"/>
          <w:marTop w:val="0"/>
          <w:marBottom w:val="0"/>
          <w:divBdr>
            <w:top w:val="none" w:sz="0" w:space="0" w:color="auto"/>
            <w:left w:val="none" w:sz="0" w:space="0" w:color="auto"/>
            <w:bottom w:val="none" w:sz="0" w:space="0" w:color="auto"/>
            <w:right w:val="none" w:sz="0" w:space="0" w:color="auto"/>
          </w:divBdr>
        </w:div>
        <w:div w:id="1190218329">
          <w:marLeft w:val="640"/>
          <w:marRight w:val="0"/>
          <w:marTop w:val="0"/>
          <w:marBottom w:val="0"/>
          <w:divBdr>
            <w:top w:val="none" w:sz="0" w:space="0" w:color="auto"/>
            <w:left w:val="none" w:sz="0" w:space="0" w:color="auto"/>
            <w:bottom w:val="none" w:sz="0" w:space="0" w:color="auto"/>
            <w:right w:val="none" w:sz="0" w:space="0" w:color="auto"/>
          </w:divBdr>
        </w:div>
        <w:div w:id="2053192086">
          <w:marLeft w:val="640"/>
          <w:marRight w:val="0"/>
          <w:marTop w:val="0"/>
          <w:marBottom w:val="0"/>
          <w:divBdr>
            <w:top w:val="none" w:sz="0" w:space="0" w:color="auto"/>
            <w:left w:val="none" w:sz="0" w:space="0" w:color="auto"/>
            <w:bottom w:val="none" w:sz="0" w:space="0" w:color="auto"/>
            <w:right w:val="none" w:sz="0" w:space="0" w:color="auto"/>
          </w:divBdr>
        </w:div>
        <w:div w:id="1756707370">
          <w:marLeft w:val="640"/>
          <w:marRight w:val="0"/>
          <w:marTop w:val="0"/>
          <w:marBottom w:val="0"/>
          <w:divBdr>
            <w:top w:val="none" w:sz="0" w:space="0" w:color="auto"/>
            <w:left w:val="none" w:sz="0" w:space="0" w:color="auto"/>
            <w:bottom w:val="none" w:sz="0" w:space="0" w:color="auto"/>
            <w:right w:val="none" w:sz="0" w:space="0" w:color="auto"/>
          </w:divBdr>
        </w:div>
        <w:div w:id="162478432">
          <w:marLeft w:val="640"/>
          <w:marRight w:val="0"/>
          <w:marTop w:val="0"/>
          <w:marBottom w:val="0"/>
          <w:divBdr>
            <w:top w:val="none" w:sz="0" w:space="0" w:color="auto"/>
            <w:left w:val="none" w:sz="0" w:space="0" w:color="auto"/>
            <w:bottom w:val="none" w:sz="0" w:space="0" w:color="auto"/>
            <w:right w:val="none" w:sz="0" w:space="0" w:color="auto"/>
          </w:divBdr>
        </w:div>
        <w:div w:id="1479031778">
          <w:marLeft w:val="640"/>
          <w:marRight w:val="0"/>
          <w:marTop w:val="0"/>
          <w:marBottom w:val="0"/>
          <w:divBdr>
            <w:top w:val="none" w:sz="0" w:space="0" w:color="auto"/>
            <w:left w:val="none" w:sz="0" w:space="0" w:color="auto"/>
            <w:bottom w:val="none" w:sz="0" w:space="0" w:color="auto"/>
            <w:right w:val="none" w:sz="0" w:space="0" w:color="auto"/>
          </w:divBdr>
        </w:div>
        <w:div w:id="229970721">
          <w:marLeft w:val="640"/>
          <w:marRight w:val="0"/>
          <w:marTop w:val="0"/>
          <w:marBottom w:val="0"/>
          <w:divBdr>
            <w:top w:val="none" w:sz="0" w:space="0" w:color="auto"/>
            <w:left w:val="none" w:sz="0" w:space="0" w:color="auto"/>
            <w:bottom w:val="none" w:sz="0" w:space="0" w:color="auto"/>
            <w:right w:val="none" w:sz="0" w:space="0" w:color="auto"/>
          </w:divBdr>
        </w:div>
        <w:div w:id="418872936">
          <w:marLeft w:val="640"/>
          <w:marRight w:val="0"/>
          <w:marTop w:val="0"/>
          <w:marBottom w:val="0"/>
          <w:divBdr>
            <w:top w:val="none" w:sz="0" w:space="0" w:color="auto"/>
            <w:left w:val="none" w:sz="0" w:space="0" w:color="auto"/>
            <w:bottom w:val="none" w:sz="0" w:space="0" w:color="auto"/>
            <w:right w:val="none" w:sz="0" w:space="0" w:color="auto"/>
          </w:divBdr>
        </w:div>
        <w:div w:id="926497942">
          <w:marLeft w:val="640"/>
          <w:marRight w:val="0"/>
          <w:marTop w:val="0"/>
          <w:marBottom w:val="0"/>
          <w:divBdr>
            <w:top w:val="none" w:sz="0" w:space="0" w:color="auto"/>
            <w:left w:val="none" w:sz="0" w:space="0" w:color="auto"/>
            <w:bottom w:val="none" w:sz="0" w:space="0" w:color="auto"/>
            <w:right w:val="none" w:sz="0" w:space="0" w:color="auto"/>
          </w:divBdr>
        </w:div>
        <w:div w:id="1886484480">
          <w:marLeft w:val="640"/>
          <w:marRight w:val="0"/>
          <w:marTop w:val="0"/>
          <w:marBottom w:val="0"/>
          <w:divBdr>
            <w:top w:val="none" w:sz="0" w:space="0" w:color="auto"/>
            <w:left w:val="none" w:sz="0" w:space="0" w:color="auto"/>
            <w:bottom w:val="none" w:sz="0" w:space="0" w:color="auto"/>
            <w:right w:val="none" w:sz="0" w:space="0" w:color="auto"/>
          </w:divBdr>
        </w:div>
        <w:div w:id="792553048">
          <w:marLeft w:val="640"/>
          <w:marRight w:val="0"/>
          <w:marTop w:val="0"/>
          <w:marBottom w:val="0"/>
          <w:divBdr>
            <w:top w:val="none" w:sz="0" w:space="0" w:color="auto"/>
            <w:left w:val="none" w:sz="0" w:space="0" w:color="auto"/>
            <w:bottom w:val="none" w:sz="0" w:space="0" w:color="auto"/>
            <w:right w:val="none" w:sz="0" w:space="0" w:color="auto"/>
          </w:divBdr>
        </w:div>
        <w:div w:id="642662415">
          <w:marLeft w:val="640"/>
          <w:marRight w:val="0"/>
          <w:marTop w:val="0"/>
          <w:marBottom w:val="0"/>
          <w:divBdr>
            <w:top w:val="none" w:sz="0" w:space="0" w:color="auto"/>
            <w:left w:val="none" w:sz="0" w:space="0" w:color="auto"/>
            <w:bottom w:val="none" w:sz="0" w:space="0" w:color="auto"/>
            <w:right w:val="none" w:sz="0" w:space="0" w:color="auto"/>
          </w:divBdr>
        </w:div>
        <w:div w:id="652292454">
          <w:marLeft w:val="640"/>
          <w:marRight w:val="0"/>
          <w:marTop w:val="0"/>
          <w:marBottom w:val="0"/>
          <w:divBdr>
            <w:top w:val="none" w:sz="0" w:space="0" w:color="auto"/>
            <w:left w:val="none" w:sz="0" w:space="0" w:color="auto"/>
            <w:bottom w:val="none" w:sz="0" w:space="0" w:color="auto"/>
            <w:right w:val="none" w:sz="0" w:space="0" w:color="auto"/>
          </w:divBdr>
        </w:div>
        <w:div w:id="709572953">
          <w:marLeft w:val="640"/>
          <w:marRight w:val="0"/>
          <w:marTop w:val="0"/>
          <w:marBottom w:val="0"/>
          <w:divBdr>
            <w:top w:val="none" w:sz="0" w:space="0" w:color="auto"/>
            <w:left w:val="none" w:sz="0" w:space="0" w:color="auto"/>
            <w:bottom w:val="none" w:sz="0" w:space="0" w:color="auto"/>
            <w:right w:val="none" w:sz="0" w:space="0" w:color="auto"/>
          </w:divBdr>
        </w:div>
        <w:div w:id="1144467074">
          <w:marLeft w:val="640"/>
          <w:marRight w:val="0"/>
          <w:marTop w:val="0"/>
          <w:marBottom w:val="0"/>
          <w:divBdr>
            <w:top w:val="none" w:sz="0" w:space="0" w:color="auto"/>
            <w:left w:val="none" w:sz="0" w:space="0" w:color="auto"/>
            <w:bottom w:val="none" w:sz="0" w:space="0" w:color="auto"/>
            <w:right w:val="none" w:sz="0" w:space="0" w:color="auto"/>
          </w:divBdr>
        </w:div>
        <w:div w:id="344869906">
          <w:marLeft w:val="640"/>
          <w:marRight w:val="0"/>
          <w:marTop w:val="0"/>
          <w:marBottom w:val="0"/>
          <w:divBdr>
            <w:top w:val="none" w:sz="0" w:space="0" w:color="auto"/>
            <w:left w:val="none" w:sz="0" w:space="0" w:color="auto"/>
            <w:bottom w:val="none" w:sz="0" w:space="0" w:color="auto"/>
            <w:right w:val="none" w:sz="0" w:space="0" w:color="auto"/>
          </w:divBdr>
        </w:div>
        <w:div w:id="237522796">
          <w:marLeft w:val="640"/>
          <w:marRight w:val="0"/>
          <w:marTop w:val="0"/>
          <w:marBottom w:val="0"/>
          <w:divBdr>
            <w:top w:val="none" w:sz="0" w:space="0" w:color="auto"/>
            <w:left w:val="none" w:sz="0" w:space="0" w:color="auto"/>
            <w:bottom w:val="none" w:sz="0" w:space="0" w:color="auto"/>
            <w:right w:val="none" w:sz="0" w:space="0" w:color="auto"/>
          </w:divBdr>
        </w:div>
        <w:div w:id="743337236">
          <w:marLeft w:val="640"/>
          <w:marRight w:val="0"/>
          <w:marTop w:val="0"/>
          <w:marBottom w:val="0"/>
          <w:divBdr>
            <w:top w:val="none" w:sz="0" w:space="0" w:color="auto"/>
            <w:left w:val="none" w:sz="0" w:space="0" w:color="auto"/>
            <w:bottom w:val="none" w:sz="0" w:space="0" w:color="auto"/>
            <w:right w:val="none" w:sz="0" w:space="0" w:color="auto"/>
          </w:divBdr>
        </w:div>
        <w:div w:id="1993176824">
          <w:marLeft w:val="640"/>
          <w:marRight w:val="0"/>
          <w:marTop w:val="0"/>
          <w:marBottom w:val="0"/>
          <w:divBdr>
            <w:top w:val="none" w:sz="0" w:space="0" w:color="auto"/>
            <w:left w:val="none" w:sz="0" w:space="0" w:color="auto"/>
            <w:bottom w:val="none" w:sz="0" w:space="0" w:color="auto"/>
            <w:right w:val="none" w:sz="0" w:space="0" w:color="auto"/>
          </w:divBdr>
        </w:div>
        <w:div w:id="1941139927">
          <w:marLeft w:val="640"/>
          <w:marRight w:val="0"/>
          <w:marTop w:val="0"/>
          <w:marBottom w:val="0"/>
          <w:divBdr>
            <w:top w:val="none" w:sz="0" w:space="0" w:color="auto"/>
            <w:left w:val="none" w:sz="0" w:space="0" w:color="auto"/>
            <w:bottom w:val="none" w:sz="0" w:space="0" w:color="auto"/>
            <w:right w:val="none" w:sz="0" w:space="0" w:color="auto"/>
          </w:divBdr>
        </w:div>
        <w:div w:id="1397823878">
          <w:marLeft w:val="640"/>
          <w:marRight w:val="0"/>
          <w:marTop w:val="0"/>
          <w:marBottom w:val="0"/>
          <w:divBdr>
            <w:top w:val="none" w:sz="0" w:space="0" w:color="auto"/>
            <w:left w:val="none" w:sz="0" w:space="0" w:color="auto"/>
            <w:bottom w:val="none" w:sz="0" w:space="0" w:color="auto"/>
            <w:right w:val="none" w:sz="0" w:space="0" w:color="auto"/>
          </w:divBdr>
        </w:div>
        <w:div w:id="1659000358">
          <w:marLeft w:val="640"/>
          <w:marRight w:val="0"/>
          <w:marTop w:val="0"/>
          <w:marBottom w:val="0"/>
          <w:divBdr>
            <w:top w:val="none" w:sz="0" w:space="0" w:color="auto"/>
            <w:left w:val="none" w:sz="0" w:space="0" w:color="auto"/>
            <w:bottom w:val="none" w:sz="0" w:space="0" w:color="auto"/>
            <w:right w:val="none" w:sz="0" w:space="0" w:color="auto"/>
          </w:divBdr>
        </w:div>
        <w:div w:id="1171721433">
          <w:marLeft w:val="640"/>
          <w:marRight w:val="0"/>
          <w:marTop w:val="0"/>
          <w:marBottom w:val="0"/>
          <w:divBdr>
            <w:top w:val="none" w:sz="0" w:space="0" w:color="auto"/>
            <w:left w:val="none" w:sz="0" w:space="0" w:color="auto"/>
            <w:bottom w:val="none" w:sz="0" w:space="0" w:color="auto"/>
            <w:right w:val="none" w:sz="0" w:space="0" w:color="auto"/>
          </w:divBdr>
        </w:div>
        <w:div w:id="1790512247">
          <w:marLeft w:val="640"/>
          <w:marRight w:val="0"/>
          <w:marTop w:val="0"/>
          <w:marBottom w:val="0"/>
          <w:divBdr>
            <w:top w:val="none" w:sz="0" w:space="0" w:color="auto"/>
            <w:left w:val="none" w:sz="0" w:space="0" w:color="auto"/>
            <w:bottom w:val="none" w:sz="0" w:space="0" w:color="auto"/>
            <w:right w:val="none" w:sz="0" w:space="0" w:color="auto"/>
          </w:divBdr>
        </w:div>
        <w:div w:id="825440637">
          <w:marLeft w:val="640"/>
          <w:marRight w:val="0"/>
          <w:marTop w:val="0"/>
          <w:marBottom w:val="0"/>
          <w:divBdr>
            <w:top w:val="none" w:sz="0" w:space="0" w:color="auto"/>
            <w:left w:val="none" w:sz="0" w:space="0" w:color="auto"/>
            <w:bottom w:val="none" w:sz="0" w:space="0" w:color="auto"/>
            <w:right w:val="none" w:sz="0" w:space="0" w:color="auto"/>
          </w:divBdr>
        </w:div>
        <w:div w:id="886452906">
          <w:marLeft w:val="640"/>
          <w:marRight w:val="0"/>
          <w:marTop w:val="0"/>
          <w:marBottom w:val="0"/>
          <w:divBdr>
            <w:top w:val="none" w:sz="0" w:space="0" w:color="auto"/>
            <w:left w:val="none" w:sz="0" w:space="0" w:color="auto"/>
            <w:bottom w:val="none" w:sz="0" w:space="0" w:color="auto"/>
            <w:right w:val="none" w:sz="0" w:space="0" w:color="auto"/>
          </w:divBdr>
        </w:div>
        <w:div w:id="1297376418">
          <w:marLeft w:val="640"/>
          <w:marRight w:val="0"/>
          <w:marTop w:val="0"/>
          <w:marBottom w:val="0"/>
          <w:divBdr>
            <w:top w:val="none" w:sz="0" w:space="0" w:color="auto"/>
            <w:left w:val="none" w:sz="0" w:space="0" w:color="auto"/>
            <w:bottom w:val="none" w:sz="0" w:space="0" w:color="auto"/>
            <w:right w:val="none" w:sz="0" w:space="0" w:color="auto"/>
          </w:divBdr>
        </w:div>
        <w:div w:id="951860376">
          <w:marLeft w:val="640"/>
          <w:marRight w:val="0"/>
          <w:marTop w:val="0"/>
          <w:marBottom w:val="0"/>
          <w:divBdr>
            <w:top w:val="none" w:sz="0" w:space="0" w:color="auto"/>
            <w:left w:val="none" w:sz="0" w:space="0" w:color="auto"/>
            <w:bottom w:val="none" w:sz="0" w:space="0" w:color="auto"/>
            <w:right w:val="none" w:sz="0" w:space="0" w:color="auto"/>
          </w:divBdr>
        </w:div>
        <w:div w:id="616907148">
          <w:marLeft w:val="640"/>
          <w:marRight w:val="0"/>
          <w:marTop w:val="0"/>
          <w:marBottom w:val="0"/>
          <w:divBdr>
            <w:top w:val="none" w:sz="0" w:space="0" w:color="auto"/>
            <w:left w:val="none" w:sz="0" w:space="0" w:color="auto"/>
            <w:bottom w:val="none" w:sz="0" w:space="0" w:color="auto"/>
            <w:right w:val="none" w:sz="0" w:space="0" w:color="auto"/>
          </w:divBdr>
        </w:div>
        <w:div w:id="88158925">
          <w:marLeft w:val="640"/>
          <w:marRight w:val="0"/>
          <w:marTop w:val="0"/>
          <w:marBottom w:val="0"/>
          <w:divBdr>
            <w:top w:val="none" w:sz="0" w:space="0" w:color="auto"/>
            <w:left w:val="none" w:sz="0" w:space="0" w:color="auto"/>
            <w:bottom w:val="none" w:sz="0" w:space="0" w:color="auto"/>
            <w:right w:val="none" w:sz="0" w:space="0" w:color="auto"/>
          </w:divBdr>
        </w:div>
        <w:div w:id="1270623271">
          <w:marLeft w:val="640"/>
          <w:marRight w:val="0"/>
          <w:marTop w:val="0"/>
          <w:marBottom w:val="0"/>
          <w:divBdr>
            <w:top w:val="none" w:sz="0" w:space="0" w:color="auto"/>
            <w:left w:val="none" w:sz="0" w:space="0" w:color="auto"/>
            <w:bottom w:val="none" w:sz="0" w:space="0" w:color="auto"/>
            <w:right w:val="none" w:sz="0" w:space="0" w:color="auto"/>
          </w:divBdr>
        </w:div>
        <w:div w:id="1826975338">
          <w:marLeft w:val="640"/>
          <w:marRight w:val="0"/>
          <w:marTop w:val="0"/>
          <w:marBottom w:val="0"/>
          <w:divBdr>
            <w:top w:val="none" w:sz="0" w:space="0" w:color="auto"/>
            <w:left w:val="none" w:sz="0" w:space="0" w:color="auto"/>
            <w:bottom w:val="none" w:sz="0" w:space="0" w:color="auto"/>
            <w:right w:val="none" w:sz="0" w:space="0" w:color="auto"/>
          </w:divBdr>
        </w:div>
        <w:div w:id="955912803">
          <w:marLeft w:val="640"/>
          <w:marRight w:val="0"/>
          <w:marTop w:val="0"/>
          <w:marBottom w:val="0"/>
          <w:divBdr>
            <w:top w:val="none" w:sz="0" w:space="0" w:color="auto"/>
            <w:left w:val="none" w:sz="0" w:space="0" w:color="auto"/>
            <w:bottom w:val="none" w:sz="0" w:space="0" w:color="auto"/>
            <w:right w:val="none" w:sz="0" w:space="0" w:color="auto"/>
          </w:divBdr>
        </w:div>
        <w:div w:id="1708526927">
          <w:marLeft w:val="640"/>
          <w:marRight w:val="0"/>
          <w:marTop w:val="0"/>
          <w:marBottom w:val="0"/>
          <w:divBdr>
            <w:top w:val="none" w:sz="0" w:space="0" w:color="auto"/>
            <w:left w:val="none" w:sz="0" w:space="0" w:color="auto"/>
            <w:bottom w:val="none" w:sz="0" w:space="0" w:color="auto"/>
            <w:right w:val="none" w:sz="0" w:space="0" w:color="auto"/>
          </w:divBdr>
        </w:div>
        <w:div w:id="1040134907">
          <w:marLeft w:val="640"/>
          <w:marRight w:val="0"/>
          <w:marTop w:val="0"/>
          <w:marBottom w:val="0"/>
          <w:divBdr>
            <w:top w:val="none" w:sz="0" w:space="0" w:color="auto"/>
            <w:left w:val="none" w:sz="0" w:space="0" w:color="auto"/>
            <w:bottom w:val="none" w:sz="0" w:space="0" w:color="auto"/>
            <w:right w:val="none" w:sz="0" w:space="0" w:color="auto"/>
          </w:divBdr>
        </w:div>
        <w:div w:id="1556546773">
          <w:marLeft w:val="640"/>
          <w:marRight w:val="0"/>
          <w:marTop w:val="0"/>
          <w:marBottom w:val="0"/>
          <w:divBdr>
            <w:top w:val="none" w:sz="0" w:space="0" w:color="auto"/>
            <w:left w:val="none" w:sz="0" w:space="0" w:color="auto"/>
            <w:bottom w:val="none" w:sz="0" w:space="0" w:color="auto"/>
            <w:right w:val="none" w:sz="0" w:space="0" w:color="auto"/>
          </w:divBdr>
        </w:div>
        <w:div w:id="1688865509">
          <w:marLeft w:val="640"/>
          <w:marRight w:val="0"/>
          <w:marTop w:val="0"/>
          <w:marBottom w:val="0"/>
          <w:divBdr>
            <w:top w:val="none" w:sz="0" w:space="0" w:color="auto"/>
            <w:left w:val="none" w:sz="0" w:space="0" w:color="auto"/>
            <w:bottom w:val="none" w:sz="0" w:space="0" w:color="auto"/>
            <w:right w:val="none" w:sz="0" w:space="0" w:color="auto"/>
          </w:divBdr>
        </w:div>
        <w:div w:id="2044093336">
          <w:marLeft w:val="640"/>
          <w:marRight w:val="0"/>
          <w:marTop w:val="0"/>
          <w:marBottom w:val="0"/>
          <w:divBdr>
            <w:top w:val="none" w:sz="0" w:space="0" w:color="auto"/>
            <w:left w:val="none" w:sz="0" w:space="0" w:color="auto"/>
            <w:bottom w:val="none" w:sz="0" w:space="0" w:color="auto"/>
            <w:right w:val="none" w:sz="0" w:space="0" w:color="auto"/>
          </w:divBdr>
        </w:div>
        <w:div w:id="472450410">
          <w:marLeft w:val="640"/>
          <w:marRight w:val="0"/>
          <w:marTop w:val="0"/>
          <w:marBottom w:val="0"/>
          <w:divBdr>
            <w:top w:val="none" w:sz="0" w:space="0" w:color="auto"/>
            <w:left w:val="none" w:sz="0" w:space="0" w:color="auto"/>
            <w:bottom w:val="none" w:sz="0" w:space="0" w:color="auto"/>
            <w:right w:val="none" w:sz="0" w:space="0" w:color="auto"/>
          </w:divBdr>
        </w:div>
        <w:div w:id="298801374">
          <w:marLeft w:val="640"/>
          <w:marRight w:val="0"/>
          <w:marTop w:val="0"/>
          <w:marBottom w:val="0"/>
          <w:divBdr>
            <w:top w:val="none" w:sz="0" w:space="0" w:color="auto"/>
            <w:left w:val="none" w:sz="0" w:space="0" w:color="auto"/>
            <w:bottom w:val="none" w:sz="0" w:space="0" w:color="auto"/>
            <w:right w:val="none" w:sz="0" w:space="0" w:color="auto"/>
          </w:divBdr>
        </w:div>
        <w:div w:id="963081472">
          <w:marLeft w:val="640"/>
          <w:marRight w:val="0"/>
          <w:marTop w:val="0"/>
          <w:marBottom w:val="0"/>
          <w:divBdr>
            <w:top w:val="none" w:sz="0" w:space="0" w:color="auto"/>
            <w:left w:val="none" w:sz="0" w:space="0" w:color="auto"/>
            <w:bottom w:val="none" w:sz="0" w:space="0" w:color="auto"/>
            <w:right w:val="none" w:sz="0" w:space="0" w:color="auto"/>
          </w:divBdr>
        </w:div>
        <w:div w:id="1478105609">
          <w:marLeft w:val="640"/>
          <w:marRight w:val="0"/>
          <w:marTop w:val="0"/>
          <w:marBottom w:val="0"/>
          <w:divBdr>
            <w:top w:val="none" w:sz="0" w:space="0" w:color="auto"/>
            <w:left w:val="none" w:sz="0" w:space="0" w:color="auto"/>
            <w:bottom w:val="none" w:sz="0" w:space="0" w:color="auto"/>
            <w:right w:val="none" w:sz="0" w:space="0" w:color="auto"/>
          </w:divBdr>
        </w:div>
        <w:div w:id="781149133">
          <w:marLeft w:val="640"/>
          <w:marRight w:val="0"/>
          <w:marTop w:val="0"/>
          <w:marBottom w:val="0"/>
          <w:divBdr>
            <w:top w:val="none" w:sz="0" w:space="0" w:color="auto"/>
            <w:left w:val="none" w:sz="0" w:space="0" w:color="auto"/>
            <w:bottom w:val="none" w:sz="0" w:space="0" w:color="auto"/>
            <w:right w:val="none" w:sz="0" w:space="0" w:color="auto"/>
          </w:divBdr>
        </w:div>
        <w:div w:id="1516114957">
          <w:marLeft w:val="640"/>
          <w:marRight w:val="0"/>
          <w:marTop w:val="0"/>
          <w:marBottom w:val="0"/>
          <w:divBdr>
            <w:top w:val="none" w:sz="0" w:space="0" w:color="auto"/>
            <w:left w:val="none" w:sz="0" w:space="0" w:color="auto"/>
            <w:bottom w:val="none" w:sz="0" w:space="0" w:color="auto"/>
            <w:right w:val="none" w:sz="0" w:space="0" w:color="auto"/>
          </w:divBdr>
        </w:div>
        <w:div w:id="1915969138">
          <w:marLeft w:val="640"/>
          <w:marRight w:val="0"/>
          <w:marTop w:val="0"/>
          <w:marBottom w:val="0"/>
          <w:divBdr>
            <w:top w:val="none" w:sz="0" w:space="0" w:color="auto"/>
            <w:left w:val="none" w:sz="0" w:space="0" w:color="auto"/>
            <w:bottom w:val="none" w:sz="0" w:space="0" w:color="auto"/>
            <w:right w:val="none" w:sz="0" w:space="0" w:color="auto"/>
          </w:divBdr>
        </w:div>
        <w:div w:id="1461454092">
          <w:marLeft w:val="640"/>
          <w:marRight w:val="0"/>
          <w:marTop w:val="0"/>
          <w:marBottom w:val="0"/>
          <w:divBdr>
            <w:top w:val="none" w:sz="0" w:space="0" w:color="auto"/>
            <w:left w:val="none" w:sz="0" w:space="0" w:color="auto"/>
            <w:bottom w:val="none" w:sz="0" w:space="0" w:color="auto"/>
            <w:right w:val="none" w:sz="0" w:space="0" w:color="auto"/>
          </w:divBdr>
        </w:div>
        <w:div w:id="778447423">
          <w:marLeft w:val="640"/>
          <w:marRight w:val="0"/>
          <w:marTop w:val="0"/>
          <w:marBottom w:val="0"/>
          <w:divBdr>
            <w:top w:val="none" w:sz="0" w:space="0" w:color="auto"/>
            <w:left w:val="none" w:sz="0" w:space="0" w:color="auto"/>
            <w:bottom w:val="none" w:sz="0" w:space="0" w:color="auto"/>
            <w:right w:val="none" w:sz="0" w:space="0" w:color="auto"/>
          </w:divBdr>
        </w:div>
        <w:div w:id="1373266033">
          <w:marLeft w:val="640"/>
          <w:marRight w:val="0"/>
          <w:marTop w:val="0"/>
          <w:marBottom w:val="0"/>
          <w:divBdr>
            <w:top w:val="none" w:sz="0" w:space="0" w:color="auto"/>
            <w:left w:val="none" w:sz="0" w:space="0" w:color="auto"/>
            <w:bottom w:val="none" w:sz="0" w:space="0" w:color="auto"/>
            <w:right w:val="none" w:sz="0" w:space="0" w:color="auto"/>
          </w:divBdr>
        </w:div>
        <w:div w:id="138495582">
          <w:marLeft w:val="640"/>
          <w:marRight w:val="0"/>
          <w:marTop w:val="0"/>
          <w:marBottom w:val="0"/>
          <w:divBdr>
            <w:top w:val="none" w:sz="0" w:space="0" w:color="auto"/>
            <w:left w:val="none" w:sz="0" w:space="0" w:color="auto"/>
            <w:bottom w:val="none" w:sz="0" w:space="0" w:color="auto"/>
            <w:right w:val="none" w:sz="0" w:space="0" w:color="auto"/>
          </w:divBdr>
        </w:div>
        <w:div w:id="1176845388">
          <w:marLeft w:val="640"/>
          <w:marRight w:val="0"/>
          <w:marTop w:val="0"/>
          <w:marBottom w:val="0"/>
          <w:divBdr>
            <w:top w:val="none" w:sz="0" w:space="0" w:color="auto"/>
            <w:left w:val="none" w:sz="0" w:space="0" w:color="auto"/>
            <w:bottom w:val="none" w:sz="0" w:space="0" w:color="auto"/>
            <w:right w:val="none" w:sz="0" w:space="0" w:color="auto"/>
          </w:divBdr>
        </w:div>
        <w:div w:id="1112162746">
          <w:marLeft w:val="640"/>
          <w:marRight w:val="0"/>
          <w:marTop w:val="0"/>
          <w:marBottom w:val="0"/>
          <w:divBdr>
            <w:top w:val="none" w:sz="0" w:space="0" w:color="auto"/>
            <w:left w:val="none" w:sz="0" w:space="0" w:color="auto"/>
            <w:bottom w:val="none" w:sz="0" w:space="0" w:color="auto"/>
            <w:right w:val="none" w:sz="0" w:space="0" w:color="auto"/>
          </w:divBdr>
        </w:div>
        <w:div w:id="334309687">
          <w:marLeft w:val="640"/>
          <w:marRight w:val="0"/>
          <w:marTop w:val="0"/>
          <w:marBottom w:val="0"/>
          <w:divBdr>
            <w:top w:val="none" w:sz="0" w:space="0" w:color="auto"/>
            <w:left w:val="none" w:sz="0" w:space="0" w:color="auto"/>
            <w:bottom w:val="none" w:sz="0" w:space="0" w:color="auto"/>
            <w:right w:val="none" w:sz="0" w:space="0" w:color="auto"/>
          </w:divBdr>
        </w:div>
        <w:div w:id="1769228181">
          <w:marLeft w:val="640"/>
          <w:marRight w:val="0"/>
          <w:marTop w:val="0"/>
          <w:marBottom w:val="0"/>
          <w:divBdr>
            <w:top w:val="none" w:sz="0" w:space="0" w:color="auto"/>
            <w:left w:val="none" w:sz="0" w:space="0" w:color="auto"/>
            <w:bottom w:val="none" w:sz="0" w:space="0" w:color="auto"/>
            <w:right w:val="none" w:sz="0" w:space="0" w:color="auto"/>
          </w:divBdr>
        </w:div>
        <w:div w:id="1110012942">
          <w:marLeft w:val="640"/>
          <w:marRight w:val="0"/>
          <w:marTop w:val="0"/>
          <w:marBottom w:val="0"/>
          <w:divBdr>
            <w:top w:val="none" w:sz="0" w:space="0" w:color="auto"/>
            <w:left w:val="none" w:sz="0" w:space="0" w:color="auto"/>
            <w:bottom w:val="none" w:sz="0" w:space="0" w:color="auto"/>
            <w:right w:val="none" w:sz="0" w:space="0" w:color="auto"/>
          </w:divBdr>
        </w:div>
        <w:div w:id="458302106">
          <w:marLeft w:val="640"/>
          <w:marRight w:val="0"/>
          <w:marTop w:val="0"/>
          <w:marBottom w:val="0"/>
          <w:divBdr>
            <w:top w:val="none" w:sz="0" w:space="0" w:color="auto"/>
            <w:left w:val="none" w:sz="0" w:space="0" w:color="auto"/>
            <w:bottom w:val="none" w:sz="0" w:space="0" w:color="auto"/>
            <w:right w:val="none" w:sz="0" w:space="0" w:color="auto"/>
          </w:divBdr>
        </w:div>
        <w:div w:id="41903359">
          <w:marLeft w:val="640"/>
          <w:marRight w:val="0"/>
          <w:marTop w:val="0"/>
          <w:marBottom w:val="0"/>
          <w:divBdr>
            <w:top w:val="none" w:sz="0" w:space="0" w:color="auto"/>
            <w:left w:val="none" w:sz="0" w:space="0" w:color="auto"/>
            <w:bottom w:val="none" w:sz="0" w:space="0" w:color="auto"/>
            <w:right w:val="none" w:sz="0" w:space="0" w:color="auto"/>
          </w:divBdr>
        </w:div>
        <w:div w:id="2105178377">
          <w:marLeft w:val="640"/>
          <w:marRight w:val="0"/>
          <w:marTop w:val="0"/>
          <w:marBottom w:val="0"/>
          <w:divBdr>
            <w:top w:val="none" w:sz="0" w:space="0" w:color="auto"/>
            <w:left w:val="none" w:sz="0" w:space="0" w:color="auto"/>
            <w:bottom w:val="none" w:sz="0" w:space="0" w:color="auto"/>
            <w:right w:val="none" w:sz="0" w:space="0" w:color="auto"/>
          </w:divBdr>
        </w:div>
        <w:div w:id="737870093">
          <w:marLeft w:val="640"/>
          <w:marRight w:val="0"/>
          <w:marTop w:val="0"/>
          <w:marBottom w:val="0"/>
          <w:divBdr>
            <w:top w:val="none" w:sz="0" w:space="0" w:color="auto"/>
            <w:left w:val="none" w:sz="0" w:space="0" w:color="auto"/>
            <w:bottom w:val="none" w:sz="0" w:space="0" w:color="auto"/>
            <w:right w:val="none" w:sz="0" w:space="0" w:color="auto"/>
          </w:divBdr>
        </w:div>
        <w:div w:id="1384599464">
          <w:marLeft w:val="640"/>
          <w:marRight w:val="0"/>
          <w:marTop w:val="0"/>
          <w:marBottom w:val="0"/>
          <w:divBdr>
            <w:top w:val="none" w:sz="0" w:space="0" w:color="auto"/>
            <w:left w:val="none" w:sz="0" w:space="0" w:color="auto"/>
            <w:bottom w:val="none" w:sz="0" w:space="0" w:color="auto"/>
            <w:right w:val="none" w:sz="0" w:space="0" w:color="auto"/>
          </w:divBdr>
        </w:div>
        <w:div w:id="780878505">
          <w:marLeft w:val="640"/>
          <w:marRight w:val="0"/>
          <w:marTop w:val="0"/>
          <w:marBottom w:val="0"/>
          <w:divBdr>
            <w:top w:val="none" w:sz="0" w:space="0" w:color="auto"/>
            <w:left w:val="none" w:sz="0" w:space="0" w:color="auto"/>
            <w:bottom w:val="none" w:sz="0" w:space="0" w:color="auto"/>
            <w:right w:val="none" w:sz="0" w:space="0" w:color="auto"/>
          </w:divBdr>
        </w:div>
        <w:div w:id="343170296">
          <w:marLeft w:val="640"/>
          <w:marRight w:val="0"/>
          <w:marTop w:val="0"/>
          <w:marBottom w:val="0"/>
          <w:divBdr>
            <w:top w:val="none" w:sz="0" w:space="0" w:color="auto"/>
            <w:left w:val="none" w:sz="0" w:space="0" w:color="auto"/>
            <w:bottom w:val="none" w:sz="0" w:space="0" w:color="auto"/>
            <w:right w:val="none" w:sz="0" w:space="0" w:color="auto"/>
          </w:divBdr>
        </w:div>
        <w:div w:id="359624261">
          <w:marLeft w:val="640"/>
          <w:marRight w:val="0"/>
          <w:marTop w:val="0"/>
          <w:marBottom w:val="0"/>
          <w:divBdr>
            <w:top w:val="none" w:sz="0" w:space="0" w:color="auto"/>
            <w:left w:val="none" w:sz="0" w:space="0" w:color="auto"/>
            <w:bottom w:val="none" w:sz="0" w:space="0" w:color="auto"/>
            <w:right w:val="none" w:sz="0" w:space="0" w:color="auto"/>
          </w:divBdr>
        </w:div>
        <w:div w:id="790906633">
          <w:marLeft w:val="640"/>
          <w:marRight w:val="0"/>
          <w:marTop w:val="0"/>
          <w:marBottom w:val="0"/>
          <w:divBdr>
            <w:top w:val="none" w:sz="0" w:space="0" w:color="auto"/>
            <w:left w:val="none" w:sz="0" w:space="0" w:color="auto"/>
            <w:bottom w:val="none" w:sz="0" w:space="0" w:color="auto"/>
            <w:right w:val="none" w:sz="0" w:space="0" w:color="auto"/>
          </w:divBdr>
        </w:div>
        <w:div w:id="2028558196">
          <w:marLeft w:val="640"/>
          <w:marRight w:val="0"/>
          <w:marTop w:val="0"/>
          <w:marBottom w:val="0"/>
          <w:divBdr>
            <w:top w:val="none" w:sz="0" w:space="0" w:color="auto"/>
            <w:left w:val="none" w:sz="0" w:space="0" w:color="auto"/>
            <w:bottom w:val="none" w:sz="0" w:space="0" w:color="auto"/>
            <w:right w:val="none" w:sz="0" w:space="0" w:color="auto"/>
          </w:divBdr>
        </w:div>
        <w:div w:id="1651013546">
          <w:marLeft w:val="640"/>
          <w:marRight w:val="0"/>
          <w:marTop w:val="0"/>
          <w:marBottom w:val="0"/>
          <w:divBdr>
            <w:top w:val="none" w:sz="0" w:space="0" w:color="auto"/>
            <w:left w:val="none" w:sz="0" w:space="0" w:color="auto"/>
            <w:bottom w:val="none" w:sz="0" w:space="0" w:color="auto"/>
            <w:right w:val="none" w:sz="0" w:space="0" w:color="auto"/>
          </w:divBdr>
        </w:div>
        <w:div w:id="1116870578">
          <w:marLeft w:val="640"/>
          <w:marRight w:val="0"/>
          <w:marTop w:val="0"/>
          <w:marBottom w:val="0"/>
          <w:divBdr>
            <w:top w:val="none" w:sz="0" w:space="0" w:color="auto"/>
            <w:left w:val="none" w:sz="0" w:space="0" w:color="auto"/>
            <w:bottom w:val="none" w:sz="0" w:space="0" w:color="auto"/>
            <w:right w:val="none" w:sz="0" w:space="0" w:color="auto"/>
          </w:divBdr>
        </w:div>
        <w:div w:id="1147478755">
          <w:marLeft w:val="640"/>
          <w:marRight w:val="0"/>
          <w:marTop w:val="0"/>
          <w:marBottom w:val="0"/>
          <w:divBdr>
            <w:top w:val="none" w:sz="0" w:space="0" w:color="auto"/>
            <w:left w:val="none" w:sz="0" w:space="0" w:color="auto"/>
            <w:bottom w:val="none" w:sz="0" w:space="0" w:color="auto"/>
            <w:right w:val="none" w:sz="0" w:space="0" w:color="auto"/>
          </w:divBdr>
        </w:div>
        <w:div w:id="658310383">
          <w:marLeft w:val="640"/>
          <w:marRight w:val="0"/>
          <w:marTop w:val="0"/>
          <w:marBottom w:val="0"/>
          <w:divBdr>
            <w:top w:val="none" w:sz="0" w:space="0" w:color="auto"/>
            <w:left w:val="none" w:sz="0" w:space="0" w:color="auto"/>
            <w:bottom w:val="none" w:sz="0" w:space="0" w:color="auto"/>
            <w:right w:val="none" w:sz="0" w:space="0" w:color="auto"/>
          </w:divBdr>
        </w:div>
        <w:div w:id="1923297087">
          <w:marLeft w:val="640"/>
          <w:marRight w:val="0"/>
          <w:marTop w:val="0"/>
          <w:marBottom w:val="0"/>
          <w:divBdr>
            <w:top w:val="none" w:sz="0" w:space="0" w:color="auto"/>
            <w:left w:val="none" w:sz="0" w:space="0" w:color="auto"/>
            <w:bottom w:val="none" w:sz="0" w:space="0" w:color="auto"/>
            <w:right w:val="none" w:sz="0" w:space="0" w:color="auto"/>
          </w:divBdr>
        </w:div>
        <w:div w:id="682049580">
          <w:marLeft w:val="640"/>
          <w:marRight w:val="0"/>
          <w:marTop w:val="0"/>
          <w:marBottom w:val="0"/>
          <w:divBdr>
            <w:top w:val="none" w:sz="0" w:space="0" w:color="auto"/>
            <w:left w:val="none" w:sz="0" w:space="0" w:color="auto"/>
            <w:bottom w:val="none" w:sz="0" w:space="0" w:color="auto"/>
            <w:right w:val="none" w:sz="0" w:space="0" w:color="auto"/>
          </w:divBdr>
        </w:div>
        <w:div w:id="471676403">
          <w:marLeft w:val="640"/>
          <w:marRight w:val="0"/>
          <w:marTop w:val="0"/>
          <w:marBottom w:val="0"/>
          <w:divBdr>
            <w:top w:val="none" w:sz="0" w:space="0" w:color="auto"/>
            <w:left w:val="none" w:sz="0" w:space="0" w:color="auto"/>
            <w:bottom w:val="none" w:sz="0" w:space="0" w:color="auto"/>
            <w:right w:val="none" w:sz="0" w:space="0" w:color="auto"/>
          </w:divBdr>
        </w:div>
        <w:div w:id="1720856739">
          <w:marLeft w:val="640"/>
          <w:marRight w:val="0"/>
          <w:marTop w:val="0"/>
          <w:marBottom w:val="0"/>
          <w:divBdr>
            <w:top w:val="none" w:sz="0" w:space="0" w:color="auto"/>
            <w:left w:val="none" w:sz="0" w:space="0" w:color="auto"/>
            <w:bottom w:val="none" w:sz="0" w:space="0" w:color="auto"/>
            <w:right w:val="none" w:sz="0" w:space="0" w:color="auto"/>
          </w:divBdr>
        </w:div>
        <w:div w:id="1639530184">
          <w:marLeft w:val="640"/>
          <w:marRight w:val="0"/>
          <w:marTop w:val="0"/>
          <w:marBottom w:val="0"/>
          <w:divBdr>
            <w:top w:val="none" w:sz="0" w:space="0" w:color="auto"/>
            <w:left w:val="none" w:sz="0" w:space="0" w:color="auto"/>
            <w:bottom w:val="none" w:sz="0" w:space="0" w:color="auto"/>
            <w:right w:val="none" w:sz="0" w:space="0" w:color="auto"/>
          </w:divBdr>
        </w:div>
        <w:div w:id="920019092">
          <w:marLeft w:val="640"/>
          <w:marRight w:val="0"/>
          <w:marTop w:val="0"/>
          <w:marBottom w:val="0"/>
          <w:divBdr>
            <w:top w:val="none" w:sz="0" w:space="0" w:color="auto"/>
            <w:left w:val="none" w:sz="0" w:space="0" w:color="auto"/>
            <w:bottom w:val="none" w:sz="0" w:space="0" w:color="auto"/>
            <w:right w:val="none" w:sz="0" w:space="0" w:color="auto"/>
          </w:divBdr>
        </w:div>
        <w:div w:id="800152780">
          <w:marLeft w:val="640"/>
          <w:marRight w:val="0"/>
          <w:marTop w:val="0"/>
          <w:marBottom w:val="0"/>
          <w:divBdr>
            <w:top w:val="none" w:sz="0" w:space="0" w:color="auto"/>
            <w:left w:val="none" w:sz="0" w:space="0" w:color="auto"/>
            <w:bottom w:val="none" w:sz="0" w:space="0" w:color="auto"/>
            <w:right w:val="none" w:sz="0" w:space="0" w:color="auto"/>
          </w:divBdr>
        </w:div>
        <w:div w:id="1460416981">
          <w:marLeft w:val="640"/>
          <w:marRight w:val="0"/>
          <w:marTop w:val="0"/>
          <w:marBottom w:val="0"/>
          <w:divBdr>
            <w:top w:val="none" w:sz="0" w:space="0" w:color="auto"/>
            <w:left w:val="none" w:sz="0" w:space="0" w:color="auto"/>
            <w:bottom w:val="none" w:sz="0" w:space="0" w:color="auto"/>
            <w:right w:val="none" w:sz="0" w:space="0" w:color="auto"/>
          </w:divBdr>
        </w:div>
        <w:div w:id="1821382197">
          <w:marLeft w:val="640"/>
          <w:marRight w:val="0"/>
          <w:marTop w:val="0"/>
          <w:marBottom w:val="0"/>
          <w:divBdr>
            <w:top w:val="none" w:sz="0" w:space="0" w:color="auto"/>
            <w:left w:val="none" w:sz="0" w:space="0" w:color="auto"/>
            <w:bottom w:val="none" w:sz="0" w:space="0" w:color="auto"/>
            <w:right w:val="none" w:sz="0" w:space="0" w:color="auto"/>
          </w:divBdr>
        </w:div>
        <w:div w:id="1764299985">
          <w:marLeft w:val="640"/>
          <w:marRight w:val="0"/>
          <w:marTop w:val="0"/>
          <w:marBottom w:val="0"/>
          <w:divBdr>
            <w:top w:val="none" w:sz="0" w:space="0" w:color="auto"/>
            <w:left w:val="none" w:sz="0" w:space="0" w:color="auto"/>
            <w:bottom w:val="none" w:sz="0" w:space="0" w:color="auto"/>
            <w:right w:val="none" w:sz="0" w:space="0" w:color="auto"/>
          </w:divBdr>
        </w:div>
        <w:div w:id="577786286">
          <w:marLeft w:val="640"/>
          <w:marRight w:val="0"/>
          <w:marTop w:val="0"/>
          <w:marBottom w:val="0"/>
          <w:divBdr>
            <w:top w:val="none" w:sz="0" w:space="0" w:color="auto"/>
            <w:left w:val="none" w:sz="0" w:space="0" w:color="auto"/>
            <w:bottom w:val="none" w:sz="0" w:space="0" w:color="auto"/>
            <w:right w:val="none" w:sz="0" w:space="0" w:color="auto"/>
          </w:divBdr>
        </w:div>
        <w:div w:id="989408865">
          <w:marLeft w:val="640"/>
          <w:marRight w:val="0"/>
          <w:marTop w:val="0"/>
          <w:marBottom w:val="0"/>
          <w:divBdr>
            <w:top w:val="none" w:sz="0" w:space="0" w:color="auto"/>
            <w:left w:val="none" w:sz="0" w:space="0" w:color="auto"/>
            <w:bottom w:val="none" w:sz="0" w:space="0" w:color="auto"/>
            <w:right w:val="none" w:sz="0" w:space="0" w:color="auto"/>
          </w:divBdr>
        </w:div>
        <w:div w:id="672226094">
          <w:marLeft w:val="640"/>
          <w:marRight w:val="0"/>
          <w:marTop w:val="0"/>
          <w:marBottom w:val="0"/>
          <w:divBdr>
            <w:top w:val="none" w:sz="0" w:space="0" w:color="auto"/>
            <w:left w:val="none" w:sz="0" w:space="0" w:color="auto"/>
            <w:bottom w:val="none" w:sz="0" w:space="0" w:color="auto"/>
            <w:right w:val="none" w:sz="0" w:space="0" w:color="auto"/>
          </w:divBdr>
        </w:div>
        <w:div w:id="986477240">
          <w:marLeft w:val="640"/>
          <w:marRight w:val="0"/>
          <w:marTop w:val="0"/>
          <w:marBottom w:val="0"/>
          <w:divBdr>
            <w:top w:val="none" w:sz="0" w:space="0" w:color="auto"/>
            <w:left w:val="none" w:sz="0" w:space="0" w:color="auto"/>
            <w:bottom w:val="none" w:sz="0" w:space="0" w:color="auto"/>
            <w:right w:val="none" w:sz="0" w:space="0" w:color="auto"/>
          </w:divBdr>
        </w:div>
        <w:div w:id="1161040129">
          <w:marLeft w:val="640"/>
          <w:marRight w:val="0"/>
          <w:marTop w:val="0"/>
          <w:marBottom w:val="0"/>
          <w:divBdr>
            <w:top w:val="none" w:sz="0" w:space="0" w:color="auto"/>
            <w:left w:val="none" w:sz="0" w:space="0" w:color="auto"/>
            <w:bottom w:val="none" w:sz="0" w:space="0" w:color="auto"/>
            <w:right w:val="none" w:sz="0" w:space="0" w:color="auto"/>
          </w:divBdr>
        </w:div>
        <w:div w:id="782264152">
          <w:marLeft w:val="640"/>
          <w:marRight w:val="0"/>
          <w:marTop w:val="0"/>
          <w:marBottom w:val="0"/>
          <w:divBdr>
            <w:top w:val="none" w:sz="0" w:space="0" w:color="auto"/>
            <w:left w:val="none" w:sz="0" w:space="0" w:color="auto"/>
            <w:bottom w:val="none" w:sz="0" w:space="0" w:color="auto"/>
            <w:right w:val="none" w:sz="0" w:space="0" w:color="auto"/>
          </w:divBdr>
        </w:div>
        <w:div w:id="857767734">
          <w:marLeft w:val="640"/>
          <w:marRight w:val="0"/>
          <w:marTop w:val="0"/>
          <w:marBottom w:val="0"/>
          <w:divBdr>
            <w:top w:val="none" w:sz="0" w:space="0" w:color="auto"/>
            <w:left w:val="none" w:sz="0" w:space="0" w:color="auto"/>
            <w:bottom w:val="none" w:sz="0" w:space="0" w:color="auto"/>
            <w:right w:val="none" w:sz="0" w:space="0" w:color="auto"/>
          </w:divBdr>
        </w:div>
        <w:div w:id="769009537">
          <w:marLeft w:val="640"/>
          <w:marRight w:val="0"/>
          <w:marTop w:val="0"/>
          <w:marBottom w:val="0"/>
          <w:divBdr>
            <w:top w:val="none" w:sz="0" w:space="0" w:color="auto"/>
            <w:left w:val="none" w:sz="0" w:space="0" w:color="auto"/>
            <w:bottom w:val="none" w:sz="0" w:space="0" w:color="auto"/>
            <w:right w:val="none" w:sz="0" w:space="0" w:color="auto"/>
          </w:divBdr>
        </w:div>
        <w:div w:id="1573614810">
          <w:marLeft w:val="640"/>
          <w:marRight w:val="0"/>
          <w:marTop w:val="0"/>
          <w:marBottom w:val="0"/>
          <w:divBdr>
            <w:top w:val="none" w:sz="0" w:space="0" w:color="auto"/>
            <w:left w:val="none" w:sz="0" w:space="0" w:color="auto"/>
            <w:bottom w:val="none" w:sz="0" w:space="0" w:color="auto"/>
            <w:right w:val="none" w:sz="0" w:space="0" w:color="auto"/>
          </w:divBdr>
        </w:div>
        <w:div w:id="848569097">
          <w:marLeft w:val="640"/>
          <w:marRight w:val="0"/>
          <w:marTop w:val="0"/>
          <w:marBottom w:val="0"/>
          <w:divBdr>
            <w:top w:val="none" w:sz="0" w:space="0" w:color="auto"/>
            <w:left w:val="none" w:sz="0" w:space="0" w:color="auto"/>
            <w:bottom w:val="none" w:sz="0" w:space="0" w:color="auto"/>
            <w:right w:val="none" w:sz="0" w:space="0" w:color="auto"/>
          </w:divBdr>
        </w:div>
        <w:div w:id="369769475">
          <w:marLeft w:val="640"/>
          <w:marRight w:val="0"/>
          <w:marTop w:val="0"/>
          <w:marBottom w:val="0"/>
          <w:divBdr>
            <w:top w:val="none" w:sz="0" w:space="0" w:color="auto"/>
            <w:left w:val="none" w:sz="0" w:space="0" w:color="auto"/>
            <w:bottom w:val="none" w:sz="0" w:space="0" w:color="auto"/>
            <w:right w:val="none" w:sz="0" w:space="0" w:color="auto"/>
          </w:divBdr>
        </w:div>
        <w:div w:id="442191562">
          <w:marLeft w:val="640"/>
          <w:marRight w:val="0"/>
          <w:marTop w:val="0"/>
          <w:marBottom w:val="0"/>
          <w:divBdr>
            <w:top w:val="none" w:sz="0" w:space="0" w:color="auto"/>
            <w:left w:val="none" w:sz="0" w:space="0" w:color="auto"/>
            <w:bottom w:val="none" w:sz="0" w:space="0" w:color="auto"/>
            <w:right w:val="none" w:sz="0" w:space="0" w:color="auto"/>
          </w:divBdr>
        </w:div>
        <w:div w:id="2078239764">
          <w:marLeft w:val="640"/>
          <w:marRight w:val="0"/>
          <w:marTop w:val="0"/>
          <w:marBottom w:val="0"/>
          <w:divBdr>
            <w:top w:val="none" w:sz="0" w:space="0" w:color="auto"/>
            <w:left w:val="none" w:sz="0" w:space="0" w:color="auto"/>
            <w:bottom w:val="none" w:sz="0" w:space="0" w:color="auto"/>
            <w:right w:val="none" w:sz="0" w:space="0" w:color="auto"/>
          </w:divBdr>
        </w:div>
        <w:div w:id="1034043820">
          <w:marLeft w:val="640"/>
          <w:marRight w:val="0"/>
          <w:marTop w:val="0"/>
          <w:marBottom w:val="0"/>
          <w:divBdr>
            <w:top w:val="none" w:sz="0" w:space="0" w:color="auto"/>
            <w:left w:val="none" w:sz="0" w:space="0" w:color="auto"/>
            <w:bottom w:val="none" w:sz="0" w:space="0" w:color="auto"/>
            <w:right w:val="none" w:sz="0" w:space="0" w:color="auto"/>
          </w:divBdr>
        </w:div>
        <w:div w:id="2114935757">
          <w:marLeft w:val="640"/>
          <w:marRight w:val="0"/>
          <w:marTop w:val="0"/>
          <w:marBottom w:val="0"/>
          <w:divBdr>
            <w:top w:val="none" w:sz="0" w:space="0" w:color="auto"/>
            <w:left w:val="none" w:sz="0" w:space="0" w:color="auto"/>
            <w:bottom w:val="none" w:sz="0" w:space="0" w:color="auto"/>
            <w:right w:val="none" w:sz="0" w:space="0" w:color="auto"/>
          </w:divBdr>
        </w:div>
        <w:div w:id="1801419774">
          <w:marLeft w:val="640"/>
          <w:marRight w:val="0"/>
          <w:marTop w:val="0"/>
          <w:marBottom w:val="0"/>
          <w:divBdr>
            <w:top w:val="none" w:sz="0" w:space="0" w:color="auto"/>
            <w:left w:val="none" w:sz="0" w:space="0" w:color="auto"/>
            <w:bottom w:val="none" w:sz="0" w:space="0" w:color="auto"/>
            <w:right w:val="none" w:sz="0" w:space="0" w:color="auto"/>
          </w:divBdr>
        </w:div>
        <w:div w:id="1199703243">
          <w:marLeft w:val="640"/>
          <w:marRight w:val="0"/>
          <w:marTop w:val="0"/>
          <w:marBottom w:val="0"/>
          <w:divBdr>
            <w:top w:val="none" w:sz="0" w:space="0" w:color="auto"/>
            <w:left w:val="none" w:sz="0" w:space="0" w:color="auto"/>
            <w:bottom w:val="none" w:sz="0" w:space="0" w:color="auto"/>
            <w:right w:val="none" w:sz="0" w:space="0" w:color="auto"/>
          </w:divBdr>
        </w:div>
        <w:div w:id="117917646">
          <w:marLeft w:val="640"/>
          <w:marRight w:val="0"/>
          <w:marTop w:val="0"/>
          <w:marBottom w:val="0"/>
          <w:divBdr>
            <w:top w:val="none" w:sz="0" w:space="0" w:color="auto"/>
            <w:left w:val="none" w:sz="0" w:space="0" w:color="auto"/>
            <w:bottom w:val="none" w:sz="0" w:space="0" w:color="auto"/>
            <w:right w:val="none" w:sz="0" w:space="0" w:color="auto"/>
          </w:divBdr>
        </w:div>
        <w:div w:id="31804799">
          <w:marLeft w:val="640"/>
          <w:marRight w:val="0"/>
          <w:marTop w:val="0"/>
          <w:marBottom w:val="0"/>
          <w:divBdr>
            <w:top w:val="none" w:sz="0" w:space="0" w:color="auto"/>
            <w:left w:val="none" w:sz="0" w:space="0" w:color="auto"/>
            <w:bottom w:val="none" w:sz="0" w:space="0" w:color="auto"/>
            <w:right w:val="none" w:sz="0" w:space="0" w:color="auto"/>
          </w:divBdr>
        </w:div>
        <w:div w:id="531845745">
          <w:marLeft w:val="640"/>
          <w:marRight w:val="0"/>
          <w:marTop w:val="0"/>
          <w:marBottom w:val="0"/>
          <w:divBdr>
            <w:top w:val="none" w:sz="0" w:space="0" w:color="auto"/>
            <w:left w:val="none" w:sz="0" w:space="0" w:color="auto"/>
            <w:bottom w:val="none" w:sz="0" w:space="0" w:color="auto"/>
            <w:right w:val="none" w:sz="0" w:space="0" w:color="auto"/>
          </w:divBdr>
        </w:div>
        <w:div w:id="1065110376">
          <w:marLeft w:val="640"/>
          <w:marRight w:val="0"/>
          <w:marTop w:val="0"/>
          <w:marBottom w:val="0"/>
          <w:divBdr>
            <w:top w:val="none" w:sz="0" w:space="0" w:color="auto"/>
            <w:left w:val="none" w:sz="0" w:space="0" w:color="auto"/>
            <w:bottom w:val="none" w:sz="0" w:space="0" w:color="auto"/>
            <w:right w:val="none" w:sz="0" w:space="0" w:color="auto"/>
          </w:divBdr>
        </w:div>
        <w:div w:id="1264344648">
          <w:marLeft w:val="640"/>
          <w:marRight w:val="0"/>
          <w:marTop w:val="0"/>
          <w:marBottom w:val="0"/>
          <w:divBdr>
            <w:top w:val="none" w:sz="0" w:space="0" w:color="auto"/>
            <w:left w:val="none" w:sz="0" w:space="0" w:color="auto"/>
            <w:bottom w:val="none" w:sz="0" w:space="0" w:color="auto"/>
            <w:right w:val="none" w:sz="0" w:space="0" w:color="auto"/>
          </w:divBdr>
        </w:div>
        <w:div w:id="35203986">
          <w:marLeft w:val="640"/>
          <w:marRight w:val="0"/>
          <w:marTop w:val="0"/>
          <w:marBottom w:val="0"/>
          <w:divBdr>
            <w:top w:val="none" w:sz="0" w:space="0" w:color="auto"/>
            <w:left w:val="none" w:sz="0" w:space="0" w:color="auto"/>
            <w:bottom w:val="none" w:sz="0" w:space="0" w:color="auto"/>
            <w:right w:val="none" w:sz="0" w:space="0" w:color="auto"/>
          </w:divBdr>
        </w:div>
        <w:div w:id="570115157">
          <w:marLeft w:val="640"/>
          <w:marRight w:val="0"/>
          <w:marTop w:val="0"/>
          <w:marBottom w:val="0"/>
          <w:divBdr>
            <w:top w:val="none" w:sz="0" w:space="0" w:color="auto"/>
            <w:left w:val="none" w:sz="0" w:space="0" w:color="auto"/>
            <w:bottom w:val="none" w:sz="0" w:space="0" w:color="auto"/>
            <w:right w:val="none" w:sz="0" w:space="0" w:color="auto"/>
          </w:divBdr>
        </w:div>
        <w:div w:id="1255361214">
          <w:marLeft w:val="640"/>
          <w:marRight w:val="0"/>
          <w:marTop w:val="0"/>
          <w:marBottom w:val="0"/>
          <w:divBdr>
            <w:top w:val="none" w:sz="0" w:space="0" w:color="auto"/>
            <w:left w:val="none" w:sz="0" w:space="0" w:color="auto"/>
            <w:bottom w:val="none" w:sz="0" w:space="0" w:color="auto"/>
            <w:right w:val="none" w:sz="0" w:space="0" w:color="auto"/>
          </w:divBdr>
        </w:div>
        <w:div w:id="547032265">
          <w:marLeft w:val="640"/>
          <w:marRight w:val="0"/>
          <w:marTop w:val="0"/>
          <w:marBottom w:val="0"/>
          <w:divBdr>
            <w:top w:val="none" w:sz="0" w:space="0" w:color="auto"/>
            <w:left w:val="none" w:sz="0" w:space="0" w:color="auto"/>
            <w:bottom w:val="none" w:sz="0" w:space="0" w:color="auto"/>
            <w:right w:val="none" w:sz="0" w:space="0" w:color="auto"/>
          </w:divBdr>
        </w:div>
        <w:div w:id="2103915364">
          <w:marLeft w:val="640"/>
          <w:marRight w:val="0"/>
          <w:marTop w:val="0"/>
          <w:marBottom w:val="0"/>
          <w:divBdr>
            <w:top w:val="none" w:sz="0" w:space="0" w:color="auto"/>
            <w:left w:val="none" w:sz="0" w:space="0" w:color="auto"/>
            <w:bottom w:val="none" w:sz="0" w:space="0" w:color="auto"/>
            <w:right w:val="none" w:sz="0" w:space="0" w:color="auto"/>
          </w:divBdr>
        </w:div>
        <w:div w:id="876432564">
          <w:marLeft w:val="640"/>
          <w:marRight w:val="0"/>
          <w:marTop w:val="0"/>
          <w:marBottom w:val="0"/>
          <w:divBdr>
            <w:top w:val="none" w:sz="0" w:space="0" w:color="auto"/>
            <w:left w:val="none" w:sz="0" w:space="0" w:color="auto"/>
            <w:bottom w:val="none" w:sz="0" w:space="0" w:color="auto"/>
            <w:right w:val="none" w:sz="0" w:space="0" w:color="auto"/>
          </w:divBdr>
        </w:div>
        <w:div w:id="1581450001">
          <w:marLeft w:val="640"/>
          <w:marRight w:val="0"/>
          <w:marTop w:val="0"/>
          <w:marBottom w:val="0"/>
          <w:divBdr>
            <w:top w:val="none" w:sz="0" w:space="0" w:color="auto"/>
            <w:left w:val="none" w:sz="0" w:space="0" w:color="auto"/>
            <w:bottom w:val="none" w:sz="0" w:space="0" w:color="auto"/>
            <w:right w:val="none" w:sz="0" w:space="0" w:color="auto"/>
          </w:divBdr>
        </w:div>
        <w:div w:id="565338857">
          <w:marLeft w:val="640"/>
          <w:marRight w:val="0"/>
          <w:marTop w:val="0"/>
          <w:marBottom w:val="0"/>
          <w:divBdr>
            <w:top w:val="none" w:sz="0" w:space="0" w:color="auto"/>
            <w:left w:val="none" w:sz="0" w:space="0" w:color="auto"/>
            <w:bottom w:val="none" w:sz="0" w:space="0" w:color="auto"/>
            <w:right w:val="none" w:sz="0" w:space="0" w:color="auto"/>
          </w:divBdr>
        </w:div>
        <w:div w:id="1667249706">
          <w:marLeft w:val="640"/>
          <w:marRight w:val="0"/>
          <w:marTop w:val="0"/>
          <w:marBottom w:val="0"/>
          <w:divBdr>
            <w:top w:val="none" w:sz="0" w:space="0" w:color="auto"/>
            <w:left w:val="none" w:sz="0" w:space="0" w:color="auto"/>
            <w:bottom w:val="none" w:sz="0" w:space="0" w:color="auto"/>
            <w:right w:val="none" w:sz="0" w:space="0" w:color="auto"/>
          </w:divBdr>
        </w:div>
        <w:div w:id="1656647843">
          <w:marLeft w:val="640"/>
          <w:marRight w:val="0"/>
          <w:marTop w:val="0"/>
          <w:marBottom w:val="0"/>
          <w:divBdr>
            <w:top w:val="none" w:sz="0" w:space="0" w:color="auto"/>
            <w:left w:val="none" w:sz="0" w:space="0" w:color="auto"/>
            <w:bottom w:val="none" w:sz="0" w:space="0" w:color="auto"/>
            <w:right w:val="none" w:sz="0" w:space="0" w:color="auto"/>
          </w:divBdr>
        </w:div>
        <w:div w:id="1286427569">
          <w:marLeft w:val="640"/>
          <w:marRight w:val="0"/>
          <w:marTop w:val="0"/>
          <w:marBottom w:val="0"/>
          <w:divBdr>
            <w:top w:val="none" w:sz="0" w:space="0" w:color="auto"/>
            <w:left w:val="none" w:sz="0" w:space="0" w:color="auto"/>
            <w:bottom w:val="none" w:sz="0" w:space="0" w:color="auto"/>
            <w:right w:val="none" w:sz="0" w:space="0" w:color="auto"/>
          </w:divBdr>
        </w:div>
        <w:div w:id="178471218">
          <w:marLeft w:val="640"/>
          <w:marRight w:val="0"/>
          <w:marTop w:val="0"/>
          <w:marBottom w:val="0"/>
          <w:divBdr>
            <w:top w:val="none" w:sz="0" w:space="0" w:color="auto"/>
            <w:left w:val="none" w:sz="0" w:space="0" w:color="auto"/>
            <w:bottom w:val="none" w:sz="0" w:space="0" w:color="auto"/>
            <w:right w:val="none" w:sz="0" w:space="0" w:color="auto"/>
          </w:divBdr>
        </w:div>
        <w:div w:id="2015262651">
          <w:marLeft w:val="640"/>
          <w:marRight w:val="0"/>
          <w:marTop w:val="0"/>
          <w:marBottom w:val="0"/>
          <w:divBdr>
            <w:top w:val="none" w:sz="0" w:space="0" w:color="auto"/>
            <w:left w:val="none" w:sz="0" w:space="0" w:color="auto"/>
            <w:bottom w:val="none" w:sz="0" w:space="0" w:color="auto"/>
            <w:right w:val="none" w:sz="0" w:space="0" w:color="auto"/>
          </w:divBdr>
        </w:div>
        <w:div w:id="1443762095">
          <w:marLeft w:val="640"/>
          <w:marRight w:val="0"/>
          <w:marTop w:val="0"/>
          <w:marBottom w:val="0"/>
          <w:divBdr>
            <w:top w:val="none" w:sz="0" w:space="0" w:color="auto"/>
            <w:left w:val="none" w:sz="0" w:space="0" w:color="auto"/>
            <w:bottom w:val="none" w:sz="0" w:space="0" w:color="auto"/>
            <w:right w:val="none" w:sz="0" w:space="0" w:color="auto"/>
          </w:divBdr>
        </w:div>
        <w:div w:id="1411998341">
          <w:marLeft w:val="640"/>
          <w:marRight w:val="0"/>
          <w:marTop w:val="0"/>
          <w:marBottom w:val="0"/>
          <w:divBdr>
            <w:top w:val="none" w:sz="0" w:space="0" w:color="auto"/>
            <w:left w:val="none" w:sz="0" w:space="0" w:color="auto"/>
            <w:bottom w:val="none" w:sz="0" w:space="0" w:color="auto"/>
            <w:right w:val="none" w:sz="0" w:space="0" w:color="auto"/>
          </w:divBdr>
        </w:div>
        <w:div w:id="1395010592">
          <w:marLeft w:val="640"/>
          <w:marRight w:val="0"/>
          <w:marTop w:val="0"/>
          <w:marBottom w:val="0"/>
          <w:divBdr>
            <w:top w:val="none" w:sz="0" w:space="0" w:color="auto"/>
            <w:left w:val="none" w:sz="0" w:space="0" w:color="auto"/>
            <w:bottom w:val="none" w:sz="0" w:space="0" w:color="auto"/>
            <w:right w:val="none" w:sz="0" w:space="0" w:color="auto"/>
          </w:divBdr>
        </w:div>
        <w:div w:id="2110152242">
          <w:marLeft w:val="640"/>
          <w:marRight w:val="0"/>
          <w:marTop w:val="0"/>
          <w:marBottom w:val="0"/>
          <w:divBdr>
            <w:top w:val="none" w:sz="0" w:space="0" w:color="auto"/>
            <w:left w:val="none" w:sz="0" w:space="0" w:color="auto"/>
            <w:bottom w:val="none" w:sz="0" w:space="0" w:color="auto"/>
            <w:right w:val="none" w:sz="0" w:space="0" w:color="auto"/>
          </w:divBdr>
        </w:div>
        <w:div w:id="1216622363">
          <w:marLeft w:val="640"/>
          <w:marRight w:val="0"/>
          <w:marTop w:val="0"/>
          <w:marBottom w:val="0"/>
          <w:divBdr>
            <w:top w:val="none" w:sz="0" w:space="0" w:color="auto"/>
            <w:left w:val="none" w:sz="0" w:space="0" w:color="auto"/>
            <w:bottom w:val="none" w:sz="0" w:space="0" w:color="auto"/>
            <w:right w:val="none" w:sz="0" w:space="0" w:color="auto"/>
          </w:divBdr>
        </w:div>
        <w:div w:id="143087530">
          <w:marLeft w:val="640"/>
          <w:marRight w:val="0"/>
          <w:marTop w:val="0"/>
          <w:marBottom w:val="0"/>
          <w:divBdr>
            <w:top w:val="none" w:sz="0" w:space="0" w:color="auto"/>
            <w:left w:val="none" w:sz="0" w:space="0" w:color="auto"/>
            <w:bottom w:val="none" w:sz="0" w:space="0" w:color="auto"/>
            <w:right w:val="none" w:sz="0" w:space="0" w:color="auto"/>
          </w:divBdr>
        </w:div>
        <w:div w:id="686366287">
          <w:marLeft w:val="640"/>
          <w:marRight w:val="0"/>
          <w:marTop w:val="0"/>
          <w:marBottom w:val="0"/>
          <w:divBdr>
            <w:top w:val="none" w:sz="0" w:space="0" w:color="auto"/>
            <w:left w:val="none" w:sz="0" w:space="0" w:color="auto"/>
            <w:bottom w:val="none" w:sz="0" w:space="0" w:color="auto"/>
            <w:right w:val="none" w:sz="0" w:space="0" w:color="auto"/>
          </w:divBdr>
        </w:div>
        <w:div w:id="323823235">
          <w:marLeft w:val="640"/>
          <w:marRight w:val="0"/>
          <w:marTop w:val="0"/>
          <w:marBottom w:val="0"/>
          <w:divBdr>
            <w:top w:val="none" w:sz="0" w:space="0" w:color="auto"/>
            <w:left w:val="none" w:sz="0" w:space="0" w:color="auto"/>
            <w:bottom w:val="none" w:sz="0" w:space="0" w:color="auto"/>
            <w:right w:val="none" w:sz="0" w:space="0" w:color="auto"/>
          </w:divBdr>
        </w:div>
        <w:div w:id="138153096">
          <w:marLeft w:val="640"/>
          <w:marRight w:val="0"/>
          <w:marTop w:val="0"/>
          <w:marBottom w:val="0"/>
          <w:divBdr>
            <w:top w:val="none" w:sz="0" w:space="0" w:color="auto"/>
            <w:left w:val="none" w:sz="0" w:space="0" w:color="auto"/>
            <w:bottom w:val="none" w:sz="0" w:space="0" w:color="auto"/>
            <w:right w:val="none" w:sz="0" w:space="0" w:color="auto"/>
          </w:divBdr>
        </w:div>
        <w:div w:id="1751846488">
          <w:marLeft w:val="640"/>
          <w:marRight w:val="0"/>
          <w:marTop w:val="0"/>
          <w:marBottom w:val="0"/>
          <w:divBdr>
            <w:top w:val="none" w:sz="0" w:space="0" w:color="auto"/>
            <w:left w:val="none" w:sz="0" w:space="0" w:color="auto"/>
            <w:bottom w:val="none" w:sz="0" w:space="0" w:color="auto"/>
            <w:right w:val="none" w:sz="0" w:space="0" w:color="auto"/>
          </w:divBdr>
        </w:div>
        <w:div w:id="914777391">
          <w:marLeft w:val="640"/>
          <w:marRight w:val="0"/>
          <w:marTop w:val="0"/>
          <w:marBottom w:val="0"/>
          <w:divBdr>
            <w:top w:val="none" w:sz="0" w:space="0" w:color="auto"/>
            <w:left w:val="none" w:sz="0" w:space="0" w:color="auto"/>
            <w:bottom w:val="none" w:sz="0" w:space="0" w:color="auto"/>
            <w:right w:val="none" w:sz="0" w:space="0" w:color="auto"/>
          </w:divBdr>
        </w:div>
        <w:div w:id="141774262">
          <w:marLeft w:val="640"/>
          <w:marRight w:val="0"/>
          <w:marTop w:val="0"/>
          <w:marBottom w:val="0"/>
          <w:divBdr>
            <w:top w:val="none" w:sz="0" w:space="0" w:color="auto"/>
            <w:left w:val="none" w:sz="0" w:space="0" w:color="auto"/>
            <w:bottom w:val="none" w:sz="0" w:space="0" w:color="auto"/>
            <w:right w:val="none" w:sz="0" w:space="0" w:color="auto"/>
          </w:divBdr>
        </w:div>
      </w:divsChild>
    </w:div>
    <w:div w:id="2078089368">
      <w:bodyDiv w:val="1"/>
      <w:marLeft w:val="0"/>
      <w:marRight w:val="0"/>
      <w:marTop w:val="0"/>
      <w:marBottom w:val="0"/>
      <w:divBdr>
        <w:top w:val="none" w:sz="0" w:space="0" w:color="auto"/>
        <w:left w:val="none" w:sz="0" w:space="0" w:color="auto"/>
        <w:bottom w:val="none" w:sz="0" w:space="0" w:color="auto"/>
        <w:right w:val="none" w:sz="0" w:space="0" w:color="auto"/>
      </w:divBdr>
      <w:divsChild>
        <w:div w:id="1005018897">
          <w:marLeft w:val="640"/>
          <w:marRight w:val="0"/>
          <w:marTop w:val="0"/>
          <w:marBottom w:val="0"/>
          <w:divBdr>
            <w:top w:val="none" w:sz="0" w:space="0" w:color="auto"/>
            <w:left w:val="none" w:sz="0" w:space="0" w:color="auto"/>
            <w:bottom w:val="none" w:sz="0" w:space="0" w:color="auto"/>
            <w:right w:val="none" w:sz="0" w:space="0" w:color="auto"/>
          </w:divBdr>
        </w:div>
        <w:div w:id="79063026">
          <w:marLeft w:val="640"/>
          <w:marRight w:val="0"/>
          <w:marTop w:val="0"/>
          <w:marBottom w:val="0"/>
          <w:divBdr>
            <w:top w:val="none" w:sz="0" w:space="0" w:color="auto"/>
            <w:left w:val="none" w:sz="0" w:space="0" w:color="auto"/>
            <w:bottom w:val="none" w:sz="0" w:space="0" w:color="auto"/>
            <w:right w:val="none" w:sz="0" w:space="0" w:color="auto"/>
          </w:divBdr>
        </w:div>
        <w:div w:id="96949381">
          <w:marLeft w:val="640"/>
          <w:marRight w:val="0"/>
          <w:marTop w:val="0"/>
          <w:marBottom w:val="0"/>
          <w:divBdr>
            <w:top w:val="none" w:sz="0" w:space="0" w:color="auto"/>
            <w:left w:val="none" w:sz="0" w:space="0" w:color="auto"/>
            <w:bottom w:val="none" w:sz="0" w:space="0" w:color="auto"/>
            <w:right w:val="none" w:sz="0" w:space="0" w:color="auto"/>
          </w:divBdr>
        </w:div>
        <w:div w:id="85620670">
          <w:marLeft w:val="640"/>
          <w:marRight w:val="0"/>
          <w:marTop w:val="0"/>
          <w:marBottom w:val="0"/>
          <w:divBdr>
            <w:top w:val="none" w:sz="0" w:space="0" w:color="auto"/>
            <w:left w:val="none" w:sz="0" w:space="0" w:color="auto"/>
            <w:bottom w:val="none" w:sz="0" w:space="0" w:color="auto"/>
            <w:right w:val="none" w:sz="0" w:space="0" w:color="auto"/>
          </w:divBdr>
        </w:div>
        <w:div w:id="1046098782">
          <w:marLeft w:val="640"/>
          <w:marRight w:val="0"/>
          <w:marTop w:val="0"/>
          <w:marBottom w:val="0"/>
          <w:divBdr>
            <w:top w:val="none" w:sz="0" w:space="0" w:color="auto"/>
            <w:left w:val="none" w:sz="0" w:space="0" w:color="auto"/>
            <w:bottom w:val="none" w:sz="0" w:space="0" w:color="auto"/>
            <w:right w:val="none" w:sz="0" w:space="0" w:color="auto"/>
          </w:divBdr>
        </w:div>
        <w:div w:id="245766783">
          <w:marLeft w:val="640"/>
          <w:marRight w:val="0"/>
          <w:marTop w:val="0"/>
          <w:marBottom w:val="0"/>
          <w:divBdr>
            <w:top w:val="none" w:sz="0" w:space="0" w:color="auto"/>
            <w:left w:val="none" w:sz="0" w:space="0" w:color="auto"/>
            <w:bottom w:val="none" w:sz="0" w:space="0" w:color="auto"/>
            <w:right w:val="none" w:sz="0" w:space="0" w:color="auto"/>
          </w:divBdr>
        </w:div>
        <w:div w:id="599408762">
          <w:marLeft w:val="640"/>
          <w:marRight w:val="0"/>
          <w:marTop w:val="0"/>
          <w:marBottom w:val="0"/>
          <w:divBdr>
            <w:top w:val="none" w:sz="0" w:space="0" w:color="auto"/>
            <w:left w:val="none" w:sz="0" w:space="0" w:color="auto"/>
            <w:bottom w:val="none" w:sz="0" w:space="0" w:color="auto"/>
            <w:right w:val="none" w:sz="0" w:space="0" w:color="auto"/>
          </w:divBdr>
        </w:div>
        <w:div w:id="2058166125">
          <w:marLeft w:val="640"/>
          <w:marRight w:val="0"/>
          <w:marTop w:val="0"/>
          <w:marBottom w:val="0"/>
          <w:divBdr>
            <w:top w:val="none" w:sz="0" w:space="0" w:color="auto"/>
            <w:left w:val="none" w:sz="0" w:space="0" w:color="auto"/>
            <w:bottom w:val="none" w:sz="0" w:space="0" w:color="auto"/>
            <w:right w:val="none" w:sz="0" w:space="0" w:color="auto"/>
          </w:divBdr>
        </w:div>
        <w:div w:id="1500852049">
          <w:marLeft w:val="640"/>
          <w:marRight w:val="0"/>
          <w:marTop w:val="0"/>
          <w:marBottom w:val="0"/>
          <w:divBdr>
            <w:top w:val="none" w:sz="0" w:space="0" w:color="auto"/>
            <w:left w:val="none" w:sz="0" w:space="0" w:color="auto"/>
            <w:bottom w:val="none" w:sz="0" w:space="0" w:color="auto"/>
            <w:right w:val="none" w:sz="0" w:space="0" w:color="auto"/>
          </w:divBdr>
        </w:div>
        <w:div w:id="443310216">
          <w:marLeft w:val="640"/>
          <w:marRight w:val="0"/>
          <w:marTop w:val="0"/>
          <w:marBottom w:val="0"/>
          <w:divBdr>
            <w:top w:val="none" w:sz="0" w:space="0" w:color="auto"/>
            <w:left w:val="none" w:sz="0" w:space="0" w:color="auto"/>
            <w:bottom w:val="none" w:sz="0" w:space="0" w:color="auto"/>
            <w:right w:val="none" w:sz="0" w:space="0" w:color="auto"/>
          </w:divBdr>
        </w:div>
        <w:div w:id="1150563728">
          <w:marLeft w:val="640"/>
          <w:marRight w:val="0"/>
          <w:marTop w:val="0"/>
          <w:marBottom w:val="0"/>
          <w:divBdr>
            <w:top w:val="none" w:sz="0" w:space="0" w:color="auto"/>
            <w:left w:val="none" w:sz="0" w:space="0" w:color="auto"/>
            <w:bottom w:val="none" w:sz="0" w:space="0" w:color="auto"/>
            <w:right w:val="none" w:sz="0" w:space="0" w:color="auto"/>
          </w:divBdr>
        </w:div>
        <w:div w:id="1491141347">
          <w:marLeft w:val="640"/>
          <w:marRight w:val="0"/>
          <w:marTop w:val="0"/>
          <w:marBottom w:val="0"/>
          <w:divBdr>
            <w:top w:val="none" w:sz="0" w:space="0" w:color="auto"/>
            <w:left w:val="none" w:sz="0" w:space="0" w:color="auto"/>
            <w:bottom w:val="none" w:sz="0" w:space="0" w:color="auto"/>
            <w:right w:val="none" w:sz="0" w:space="0" w:color="auto"/>
          </w:divBdr>
        </w:div>
        <w:div w:id="1205294354">
          <w:marLeft w:val="640"/>
          <w:marRight w:val="0"/>
          <w:marTop w:val="0"/>
          <w:marBottom w:val="0"/>
          <w:divBdr>
            <w:top w:val="none" w:sz="0" w:space="0" w:color="auto"/>
            <w:left w:val="none" w:sz="0" w:space="0" w:color="auto"/>
            <w:bottom w:val="none" w:sz="0" w:space="0" w:color="auto"/>
            <w:right w:val="none" w:sz="0" w:space="0" w:color="auto"/>
          </w:divBdr>
        </w:div>
        <w:div w:id="1453593803">
          <w:marLeft w:val="640"/>
          <w:marRight w:val="0"/>
          <w:marTop w:val="0"/>
          <w:marBottom w:val="0"/>
          <w:divBdr>
            <w:top w:val="none" w:sz="0" w:space="0" w:color="auto"/>
            <w:left w:val="none" w:sz="0" w:space="0" w:color="auto"/>
            <w:bottom w:val="none" w:sz="0" w:space="0" w:color="auto"/>
            <w:right w:val="none" w:sz="0" w:space="0" w:color="auto"/>
          </w:divBdr>
        </w:div>
        <w:div w:id="1460995487">
          <w:marLeft w:val="640"/>
          <w:marRight w:val="0"/>
          <w:marTop w:val="0"/>
          <w:marBottom w:val="0"/>
          <w:divBdr>
            <w:top w:val="none" w:sz="0" w:space="0" w:color="auto"/>
            <w:left w:val="none" w:sz="0" w:space="0" w:color="auto"/>
            <w:bottom w:val="none" w:sz="0" w:space="0" w:color="auto"/>
            <w:right w:val="none" w:sz="0" w:space="0" w:color="auto"/>
          </w:divBdr>
        </w:div>
        <w:div w:id="571309215">
          <w:marLeft w:val="640"/>
          <w:marRight w:val="0"/>
          <w:marTop w:val="0"/>
          <w:marBottom w:val="0"/>
          <w:divBdr>
            <w:top w:val="none" w:sz="0" w:space="0" w:color="auto"/>
            <w:left w:val="none" w:sz="0" w:space="0" w:color="auto"/>
            <w:bottom w:val="none" w:sz="0" w:space="0" w:color="auto"/>
            <w:right w:val="none" w:sz="0" w:space="0" w:color="auto"/>
          </w:divBdr>
        </w:div>
        <w:div w:id="1377464712">
          <w:marLeft w:val="640"/>
          <w:marRight w:val="0"/>
          <w:marTop w:val="0"/>
          <w:marBottom w:val="0"/>
          <w:divBdr>
            <w:top w:val="none" w:sz="0" w:space="0" w:color="auto"/>
            <w:left w:val="none" w:sz="0" w:space="0" w:color="auto"/>
            <w:bottom w:val="none" w:sz="0" w:space="0" w:color="auto"/>
            <w:right w:val="none" w:sz="0" w:space="0" w:color="auto"/>
          </w:divBdr>
        </w:div>
        <w:div w:id="917981252">
          <w:marLeft w:val="640"/>
          <w:marRight w:val="0"/>
          <w:marTop w:val="0"/>
          <w:marBottom w:val="0"/>
          <w:divBdr>
            <w:top w:val="none" w:sz="0" w:space="0" w:color="auto"/>
            <w:left w:val="none" w:sz="0" w:space="0" w:color="auto"/>
            <w:bottom w:val="none" w:sz="0" w:space="0" w:color="auto"/>
            <w:right w:val="none" w:sz="0" w:space="0" w:color="auto"/>
          </w:divBdr>
        </w:div>
        <w:div w:id="889196793">
          <w:marLeft w:val="640"/>
          <w:marRight w:val="0"/>
          <w:marTop w:val="0"/>
          <w:marBottom w:val="0"/>
          <w:divBdr>
            <w:top w:val="none" w:sz="0" w:space="0" w:color="auto"/>
            <w:left w:val="none" w:sz="0" w:space="0" w:color="auto"/>
            <w:bottom w:val="none" w:sz="0" w:space="0" w:color="auto"/>
            <w:right w:val="none" w:sz="0" w:space="0" w:color="auto"/>
          </w:divBdr>
        </w:div>
        <w:div w:id="701175548">
          <w:marLeft w:val="640"/>
          <w:marRight w:val="0"/>
          <w:marTop w:val="0"/>
          <w:marBottom w:val="0"/>
          <w:divBdr>
            <w:top w:val="none" w:sz="0" w:space="0" w:color="auto"/>
            <w:left w:val="none" w:sz="0" w:space="0" w:color="auto"/>
            <w:bottom w:val="none" w:sz="0" w:space="0" w:color="auto"/>
            <w:right w:val="none" w:sz="0" w:space="0" w:color="auto"/>
          </w:divBdr>
        </w:div>
        <w:div w:id="661278660">
          <w:marLeft w:val="640"/>
          <w:marRight w:val="0"/>
          <w:marTop w:val="0"/>
          <w:marBottom w:val="0"/>
          <w:divBdr>
            <w:top w:val="none" w:sz="0" w:space="0" w:color="auto"/>
            <w:left w:val="none" w:sz="0" w:space="0" w:color="auto"/>
            <w:bottom w:val="none" w:sz="0" w:space="0" w:color="auto"/>
            <w:right w:val="none" w:sz="0" w:space="0" w:color="auto"/>
          </w:divBdr>
        </w:div>
        <w:div w:id="352731338">
          <w:marLeft w:val="640"/>
          <w:marRight w:val="0"/>
          <w:marTop w:val="0"/>
          <w:marBottom w:val="0"/>
          <w:divBdr>
            <w:top w:val="none" w:sz="0" w:space="0" w:color="auto"/>
            <w:left w:val="none" w:sz="0" w:space="0" w:color="auto"/>
            <w:bottom w:val="none" w:sz="0" w:space="0" w:color="auto"/>
            <w:right w:val="none" w:sz="0" w:space="0" w:color="auto"/>
          </w:divBdr>
        </w:div>
        <w:div w:id="158810992">
          <w:marLeft w:val="640"/>
          <w:marRight w:val="0"/>
          <w:marTop w:val="0"/>
          <w:marBottom w:val="0"/>
          <w:divBdr>
            <w:top w:val="none" w:sz="0" w:space="0" w:color="auto"/>
            <w:left w:val="none" w:sz="0" w:space="0" w:color="auto"/>
            <w:bottom w:val="none" w:sz="0" w:space="0" w:color="auto"/>
            <w:right w:val="none" w:sz="0" w:space="0" w:color="auto"/>
          </w:divBdr>
        </w:div>
        <w:div w:id="344138003">
          <w:marLeft w:val="640"/>
          <w:marRight w:val="0"/>
          <w:marTop w:val="0"/>
          <w:marBottom w:val="0"/>
          <w:divBdr>
            <w:top w:val="none" w:sz="0" w:space="0" w:color="auto"/>
            <w:left w:val="none" w:sz="0" w:space="0" w:color="auto"/>
            <w:bottom w:val="none" w:sz="0" w:space="0" w:color="auto"/>
            <w:right w:val="none" w:sz="0" w:space="0" w:color="auto"/>
          </w:divBdr>
        </w:div>
        <w:div w:id="1111054118">
          <w:marLeft w:val="640"/>
          <w:marRight w:val="0"/>
          <w:marTop w:val="0"/>
          <w:marBottom w:val="0"/>
          <w:divBdr>
            <w:top w:val="none" w:sz="0" w:space="0" w:color="auto"/>
            <w:left w:val="none" w:sz="0" w:space="0" w:color="auto"/>
            <w:bottom w:val="none" w:sz="0" w:space="0" w:color="auto"/>
            <w:right w:val="none" w:sz="0" w:space="0" w:color="auto"/>
          </w:divBdr>
        </w:div>
        <w:div w:id="1926332199">
          <w:marLeft w:val="640"/>
          <w:marRight w:val="0"/>
          <w:marTop w:val="0"/>
          <w:marBottom w:val="0"/>
          <w:divBdr>
            <w:top w:val="none" w:sz="0" w:space="0" w:color="auto"/>
            <w:left w:val="none" w:sz="0" w:space="0" w:color="auto"/>
            <w:bottom w:val="none" w:sz="0" w:space="0" w:color="auto"/>
            <w:right w:val="none" w:sz="0" w:space="0" w:color="auto"/>
          </w:divBdr>
        </w:div>
        <w:div w:id="1278757272">
          <w:marLeft w:val="640"/>
          <w:marRight w:val="0"/>
          <w:marTop w:val="0"/>
          <w:marBottom w:val="0"/>
          <w:divBdr>
            <w:top w:val="none" w:sz="0" w:space="0" w:color="auto"/>
            <w:left w:val="none" w:sz="0" w:space="0" w:color="auto"/>
            <w:bottom w:val="none" w:sz="0" w:space="0" w:color="auto"/>
            <w:right w:val="none" w:sz="0" w:space="0" w:color="auto"/>
          </w:divBdr>
        </w:div>
        <w:div w:id="1510409320">
          <w:marLeft w:val="640"/>
          <w:marRight w:val="0"/>
          <w:marTop w:val="0"/>
          <w:marBottom w:val="0"/>
          <w:divBdr>
            <w:top w:val="none" w:sz="0" w:space="0" w:color="auto"/>
            <w:left w:val="none" w:sz="0" w:space="0" w:color="auto"/>
            <w:bottom w:val="none" w:sz="0" w:space="0" w:color="auto"/>
            <w:right w:val="none" w:sz="0" w:space="0" w:color="auto"/>
          </w:divBdr>
        </w:div>
        <w:div w:id="1066419872">
          <w:marLeft w:val="640"/>
          <w:marRight w:val="0"/>
          <w:marTop w:val="0"/>
          <w:marBottom w:val="0"/>
          <w:divBdr>
            <w:top w:val="none" w:sz="0" w:space="0" w:color="auto"/>
            <w:left w:val="none" w:sz="0" w:space="0" w:color="auto"/>
            <w:bottom w:val="none" w:sz="0" w:space="0" w:color="auto"/>
            <w:right w:val="none" w:sz="0" w:space="0" w:color="auto"/>
          </w:divBdr>
        </w:div>
        <w:div w:id="2059235937">
          <w:marLeft w:val="640"/>
          <w:marRight w:val="0"/>
          <w:marTop w:val="0"/>
          <w:marBottom w:val="0"/>
          <w:divBdr>
            <w:top w:val="none" w:sz="0" w:space="0" w:color="auto"/>
            <w:left w:val="none" w:sz="0" w:space="0" w:color="auto"/>
            <w:bottom w:val="none" w:sz="0" w:space="0" w:color="auto"/>
            <w:right w:val="none" w:sz="0" w:space="0" w:color="auto"/>
          </w:divBdr>
        </w:div>
        <w:div w:id="1497721718">
          <w:marLeft w:val="640"/>
          <w:marRight w:val="0"/>
          <w:marTop w:val="0"/>
          <w:marBottom w:val="0"/>
          <w:divBdr>
            <w:top w:val="none" w:sz="0" w:space="0" w:color="auto"/>
            <w:left w:val="none" w:sz="0" w:space="0" w:color="auto"/>
            <w:bottom w:val="none" w:sz="0" w:space="0" w:color="auto"/>
            <w:right w:val="none" w:sz="0" w:space="0" w:color="auto"/>
          </w:divBdr>
        </w:div>
        <w:div w:id="2128349155">
          <w:marLeft w:val="640"/>
          <w:marRight w:val="0"/>
          <w:marTop w:val="0"/>
          <w:marBottom w:val="0"/>
          <w:divBdr>
            <w:top w:val="none" w:sz="0" w:space="0" w:color="auto"/>
            <w:left w:val="none" w:sz="0" w:space="0" w:color="auto"/>
            <w:bottom w:val="none" w:sz="0" w:space="0" w:color="auto"/>
            <w:right w:val="none" w:sz="0" w:space="0" w:color="auto"/>
          </w:divBdr>
        </w:div>
        <w:div w:id="1848902341">
          <w:marLeft w:val="640"/>
          <w:marRight w:val="0"/>
          <w:marTop w:val="0"/>
          <w:marBottom w:val="0"/>
          <w:divBdr>
            <w:top w:val="none" w:sz="0" w:space="0" w:color="auto"/>
            <w:left w:val="none" w:sz="0" w:space="0" w:color="auto"/>
            <w:bottom w:val="none" w:sz="0" w:space="0" w:color="auto"/>
            <w:right w:val="none" w:sz="0" w:space="0" w:color="auto"/>
          </w:divBdr>
        </w:div>
        <w:div w:id="834154485">
          <w:marLeft w:val="640"/>
          <w:marRight w:val="0"/>
          <w:marTop w:val="0"/>
          <w:marBottom w:val="0"/>
          <w:divBdr>
            <w:top w:val="none" w:sz="0" w:space="0" w:color="auto"/>
            <w:left w:val="none" w:sz="0" w:space="0" w:color="auto"/>
            <w:bottom w:val="none" w:sz="0" w:space="0" w:color="auto"/>
            <w:right w:val="none" w:sz="0" w:space="0" w:color="auto"/>
          </w:divBdr>
        </w:div>
        <w:div w:id="561982043">
          <w:marLeft w:val="640"/>
          <w:marRight w:val="0"/>
          <w:marTop w:val="0"/>
          <w:marBottom w:val="0"/>
          <w:divBdr>
            <w:top w:val="none" w:sz="0" w:space="0" w:color="auto"/>
            <w:left w:val="none" w:sz="0" w:space="0" w:color="auto"/>
            <w:bottom w:val="none" w:sz="0" w:space="0" w:color="auto"/>
            <w:right w:val="none" w:sz="0" w:space="0" w:color="auto"/>
          </w:divBdr>
        </w:div>
        <w:div w:id="1310669809">
          <w:marLeft w:val="640"/>
          <w:marRight w:val="0"/>
          <w:marTop w:val="0"/>
          <w:marBottom w:val="0"/>
          <w:divBdr>
            <w:top w:val="none" w:sz="0" w:space="0" w:color="auto"/>
            <w:left w:val="none" w:sz="0" w:space="0" w:color="auto"/>
            <w:bottom w:val="none" w:sz="0" w:space="0" w:color="auto"/>
            <w:right w:val="none" w:sz="0" w:space="0" w:color="auto"/>
          </w:divBdr>
        </w:div>
        <w:div w:id="537817003">
          <w:marLeft w:val="640"/>
          <w:marRight w:val="0"/>
          <w:marTop w:val="0"/>
          <w:marBottom w:val="0"/>
          <w:divBdr>
            <w:top w:val="none" w:sz="0" w:space="0" w:color="auto"/>
            <w:left w:val="none" w:sz="0" w:space="0" w:color="auto"/>
            <w:bottom w:val="none" w:sz="0" w:space="0" w:color="auto"/>
            <w:right w:val="none" w:sz="0" w:space="0" w:color="auto"/>
          </w:divBdr>
        </w:div>
        <w:div w:id="169029791">
          <w:marLeft w:val="640"/>
          <w:marRight w:val="0"/>
          <w:marTop w:val="0"/>
          <w:marBottom w:val="0"/>
          <w:divBdr>
            <w:top w:val="none" w:sz="0" w:space="0" w:color="auto"/>
            <w:left w:val="none" w:sz="0" w:space="0" w:color="auto"/>
            <w:bottom w:val="none" w:sz="0" w:space="0" w:color="auto"/>
            <w:right w:val="none" w:sz="0" w:space="0" w:color="auto"/>
          </w:divBdr>
        </w:div>
        <w:div w:id="223376731">
          <w:marLeft w:val="640"/>
          <w:marRight w:val="0"/>
          <w:marTop w:val="0"/>
          <w:marBottom w:val="0"/>
          <w:divBdr>
            <w:top w:val="none" w:sz="0" w:space="0" w:color="auto"/>
            <w:left w:val="none" w:sz="0" w:space="0" w:color="auto"/>
            <w:bottom w:val="none" w:sz="0" w:space="0" w:color="auto"/>
            <w:right w:val="none" w:sz="0" w:space="0" w:color="auto"/>
          </w:divBdr>
        </w:div>
        <w:div w:id="534123910">
          <w:marLeft w:val="640"/>
          <w:marRight w:val="0"/>
          <w:marTop w:val="0"/>
          <w:marBottom w:val="0"/>
          <w:divBdr>
            <w:top w:val="none" w:sz="0" w:space="0" w:color="auto"/>
            <w:left w:val="none" w:sz="0" w:space="0" w:color="auto"/>
            <w:bottom w:val="none" w:sz="0" w:space="0" w:color="auto"/>
            <w:right w:val="none" w:sz="0" w:space="0" w:color="auto"/>
          </w:divBdr>
        </w:div>
        <w:div w:id="898631608">
          <w:marLeft w:val="640"/>
          <w:marRight w:val="0"/>
          <w:marTop w:val="0"/>
          <w:marBottom w:val="0"/>
          <w:divBdr>
            <w:top w:val="none" w:sz="0" w:space="0" w:color="auto"/>
            <w:left w:val="none" w:sz="0" w:space="0" w:color="auto"/>
            <w:bottom w:val="none" w:sz="0" w:space="0" w:color="auto"/>
            <w:right w:val="none" w:sz="0" w:space="0" w:color="auto"/>
          </w:divBdr>
        </w:div>
        <w:div w:id="855923094">
          <w:marLeft w:val="640"/>
          <w:marRight w:val="0"/>
          <w:marTop w:val="0"/>
          <w:marBottom w:val="0"/>
          <w:divBdr>
            <w:top w:val="none" w:sz="0" w:space="0" w:color="auto"/>
            <w:left w:val="none" w:sz="0" w:space="0" w:color="auto"/>
            <w:bottom w:val="none" w:sz="0" w:space="0" w:color="auto"/>
            <w:right w:val="none" w:sz="0" w:space="0" w:color="auto"/>
          </w:divBdr>
        </w:div>
        <w:div w:id="1709720178">
          <w:marLeft w:val="640"/>
          <w:marRight w:val="0"/>
          <w:marTop w:val="0"/>
          <w:marBottom w:val="0"/>
          <w:divBdr>
            <w:top w:val="none" w:sz="0" w:space="0" w:color="auto"/>
            <w:left w:val="none" w:sz="0" w:space="0" w:color="auto"/>
            <w:bottom w:val="none" w:sz="0" w:space="0" w:color="auto"/>
            <w:right w:val="none" w:sz="0" w:space="0" w:color="auto"/>
          </w:divBdr>
        </w:div>
        <w:div w:id="664480606">
          <w:marLeft w:val="640"/>
          <w:marRight w:val="0"/>
          <w:marTop w:val="0"/>
          <w:marBottom w:val="0"/>
          <w:divBdr>
            <w:top w:val="none" w:sz="0" w:space="0" w:color="auto"/>
            <w:left w:val="none" w:sz="0" w:space="0" w:color="auto"/>
            <w:bottom w:val="none" w:sz="0" w:space="0" w:color="auto"/>
            <w:right w:val="none" w:sz="0" w:space="0" w:color="auto"/>
          </w:divBdr>
        </w:div>
        <w:div w:id="1444881972">
          <w:marLeft w:val="640"/>
          <w:marRight w:val="0"/>
          <w:marTop w:val="0"/>
          <w:marBottom w:val="0"/>
          <w:divBdr>
            <w:top w:val="none" w:sz="0" w:space="0" w:color="auto"/>
            <w:left w:val="none" w:sz="0" w:space="0" w:color="auto"/>
            <w:bottom w:val="none" w:sz="0" w:space="0" w:color="auto"/>
            <w:right w:val="none" w:sz="0" w:space="0" w:color="auto"/>
          </w:divBdr>
        </w:div>
        <w:div w:id="294331311">
          <w:marLeft w:val="640"/>
          <w:marRight w:val="0"/>
          <w:marTop w:val="0"/>
          <w:marBottom w:val="0"/>
          <w:divBdr>
            <w:top w:val="none" w:sz="0" w:space="0" w:color="auto"/>
            <w:left w:val="none" w:sz="0" w:space="0" w:color="auto"/>
            <w:bottom w:val="none" w:sz="0" w:space="0" w:color="auto"/>
            <w:right w:val="none" w:sz="0" w:space="0" w:color="auto"/>
          </w:divBdr>
        </w:div>
        <w:div w:id="1955939177">
          <w:marLeft w:val="640"/>
          <w:marRight w:val="0"/>
          <w:marTop w:val="0"/>
          <w:marBottom w:val="0"/>
          <w:divBdr>
            <w:top w:val="none" w:sz="0" w:space="0" w:color="auto"/>
            <w:left w:val="none" w:sz="0" w:space="0" w:color="auto"/>
            <w:bottom w:val="none" w:sz="0" w:space="0" w:color="auto"/>
            <w:right w:val="none" w:sz="0" w:space="0" w:color="auto"/>
          </w:divBdr>
        </w:div>
        <w:div w:id="2006542726">
          <w:marLeft w:val="640"/>
          <w:marRight w:val="0"/>
          <w:marTop w:val="0"/>
          <w:marBottom w:val="0"/>
          <w:divBdr>
            <w:top w:val="none" w:sz="0" w:space="0" w:color="auto"/>
            <w:left w:val="none" w:sz="0" w:space="0" w:color="auto"/>
            <w:bottom w:val="none" w:sz="0" w:space="0" w:color="auto"/>
            <w:right w:val="none" w:sz="0" w:space="0" w:color="auto"/>
          </w:divBdr>
        </w:div>
        <w:div w:id="142815667">
          <w:marLeft w:val="640"/>
          <w:marRight w:val="0"/>
          <w:marTop w:val="0"/>
          <w:marBottom w:val="0"/>
          <w:divBdr>
            <w:top w:val="none" w:sz="0" w:space="0" w:color="auto"/>
            <w:left w:val="none" w:sz="0" w:space="0" w:color="auto"/>
            <w:bottom w:val="none" w:sz="0" w:space="0" w:color="auto"/>
            <w:right w:val="none" w:sz="0" w:space="0" w:color="auto"/>
          </w:divBdr>
        </w:div>
        <w:div w:id="2104721221">
          <w:marLeft w:val="640"/>
          <w:marRight w:val="0"/>
          <w:marTop w:val="0"/>
          <w:marBottom w:val="0"/>
          <w:divBdr>
            <w:top w:val="none" w:sz="0" w:space="0" w:color="auto"/>
            <w:left w:val="none" w:sz="0" w:space="0" w:color="auto"/>
            <w:bottom w:val="none" w:sz="0" w:space="0" w:color="auto"/>
            <w:right w:val="none" w:sz="0" w:space="0" w:color="auto"/>
          </w:divBdr>
        </w:div>
        <w:div w:id="1583492068">
          <w:marLeft w:val="640"/>
          <w:marRight w:val="0"/>
          <w:marTop w:val="0"/>
          <w:marBottom w:val="0"/>
          <w:divBdr>
            <w:top w:val="none" w:sz="0" w:space="0" w:color="auto"/>
            <w:left w:val="none" w:sz="0" w:space="0" w:color="auto"/>
            <w:bottom w:val="none" w:sz="0" w:space="0" w:color="auto"/>
            <w:right w:val="none" w:sz="0" w:space="0" w:color="auto"/>
          </w:divBdr>
        </w:div>
        <w:div w:id="1655136015">
          <w:marLeft w:val="640"/>
          <w:marRight w:val="0"/>
          <w:marTop w:val="0"/>
          <w:marBottom w:val="0"/>
          <w:divBdr>
            <w:top w:val="none" w:sz="0" w:space="0" w:color="auto"/>
            <w:left w:val="none" w:sz="0" w:space="0" w:color="auto"/>
            <w:bottom w:val="none" w:sz="0" w:space="0" w:color="auto"/>
            <w:right w:val="none" w:sz="0" w:space="0" w:color="auto"/>
          </w:divBdr>
        </w:div>
        <w:div w:id="644630063">
          <w:marLeft w:val="640"/>
          <w:marRight w:val="0"/>
          <w:marTop w:val="0"/>
          <w:marBottom w:val="0"/>
          <w:divBdr>
            <w:top w:val="none" w:sz="0" w:space="0" w:color="auto"/>
            <w:left w:val="none" w:sz="0" w:space="0" w:color="auto"/>
            <w:bottom w:val="none" w:sz="0" w:space="0" w:color="auto"/>
            <w:right w:val="none" w:sz="0" w:space="0" w:color="auto"/>
          </w:divBdr>
        </w:div>
        <w:div w:id="1366977559">
          <w:marLeft w:val="640"/>
          <w:marRight w:val="0"/>
          <w:marTop w:val="0"/>
          <w:marBottom w:val="0"/>
          <w:divBdr>
            <w:top w:val="none" w:sz="0" w:space="0" w:color="auto"/>
            <w:left w:val="none" w:sz="0" w:space="0" w:color="auto"/>
            <w:bottom w:val="none" w:sz="0" w:space="0" w:color="auto"/>
            <w:right w:val="none" w:sz="0" w:space="0" w:color="auto"/>
          </w:divBdr>
        </w:div>
        <w:div w:id="1615167332">
          <w:marLeft w:val="640"/>
          <w:marRight w:val="0"/>
          <w:marTop w:val="0"/>
          <w:marBottom w:val="0"/>
          <w:divBdr>
            <w:top w:val="none" w:sz="0" w:space="0" w:color="auto"/>
            <w:left w:val="none" w:sz="0" w:space="0" w:color="auto"/>
            <w:bottom w:val="none" w:sz="0" w:space="0" w:color="auto"/>
            <w:right w:val="none" w:sz="0" w:space="0" w:color="auto"/>
          </w:divBdr>
        </w:div>
        <w:div w:id="1734695526">
          <w:marLeft w:val="640"/>
          <w:marRight w:val="0"/>
          <w:marTop w:val="0"/>
          <w:marBottom w:val="0"/>
          <w:divBdr>
            <w:top w:val="none" w:sz="0" w:space="0" w:color="auto"/>
            <w:left w:val="none" w:sz="0" w:space="0" w:color="auto"/>
            <w:bottom w:val="none" w:sz="0" w:space="0" w:color="auto"/>
            <w:right w:val="none" w:sz="0" w:space="0" w:color="auto"/>
          </w:divBdr>
        </w:div>
        <w:div w:id="1402409094">
          <w:marLeft w:val="640"/>
          <w:marRight w:val="0"/>
          <w:marTop w:val="0"/>
          <w:marBottom w:val="0"/>
          <w:divBdr>
            <w:top w:val="none" w:sz="0" w:space="0" w:color="auto"/>
            <w:left w:val="none" w:sz="0" w:space="0" w:color="auto"/>
            <w:bottom w:val="none" w:sz="0" w:space="0" w:color="auto"/>
            <w:right w:val="none" w:sz="0" w:space="0" w:color="auto"/>
          </w:divBdr>
        </w:div>
        <w:div w:id="371002245">
          <w:marLeft w:val="640"/>
          <w:marRight w:val="0"/>
          <w:marTop w:val="0"/>
          <w:marBottom w:val="0"/>
          <w:divBdr>
            <w:top w:val="none" w:sz="0" w:space="0" w:color="auto"/>
            <w:left w:val="none" w:sz="0" w:space="0" w:color="auto"/>
            <w:bottom w:val="none" w:sz="0" w:space="0" w:color="auto"/>
            <w:right w:val="none" w:sz="0" w:space="0" w:color="auto"/>
          </w:divBdr>
        </w:div>
        <w:div w:id="619074354">
          <w:marLeft w:val="640"/>
          <w:marRight w:val="0"/>
          <w:marTop w:val="0"/>
          <w:marBottom w:val="0"/>
          <w:divBdr>
            <w:top w:val="none" w:sz="0" w:space="0" w:color="auto"/>
            <w:left w:val="none" w:sz="0" w:space="0" w:color="auto"/>
            <w:bottom w:val="none" w:sz="0" w:space="0" w:color="auto"/>
            <w:right w:val="none" w:sz="0" w:space="0" w:color="auto"/>
          </w:divBdr>
        </w:div>
        <w:div w:id="965892866">
          <w:marLeft w:val="640"/>
          <w:marRight w:val="0"/>
          <w:marTop w:val="0"/>
          <w:marBottom w:val="0"/>
          <w:divBdr>
            <w:top w:val="none" w:sz="0" w:space="0" w:color="auto"/>
            <w:left w:val="none" w:sz="0" w:space="0" w:color="auto"/>
            <w:bottom w:val="none" w:sz="0" w:space="0" w:color="auto"/>
            <w:right w:val="none" w:sz="0" w:space="0" w:color="auto"/>
          </w:divBdr>
        </w:div>
        <w:div w:id="1350642495">
          <w:marLeft w:val="640"/>
          <w:marRight w:val="0"/>
          <w:marTop w:val="0"/>
          <w:marBottom w:val="0"/>
          <w:divBdr>
            <w:top w:val="none" w:sz="0" w:space="0" w:color="auto"/>
            <w:left w:val="none" w:sz="0" w:space="0" w:color="auto"/>
            <w:bottom w:val="none" w:sz="0" w:space="0" w:color="auto"/>
            <w:right w:val="none" w:sz="0" w:space="0" w:color="auto"/>
          </w:divBdr>
        </w:div>
        <w:div w:id="1663269506">
          <w:marLeft w:val="640"/>
          <w:marRight w:val="0"/>
          <w:marTop w:val="0"/>
          <w:marBottom w:val="0"/>
          <w:divBdr>
            <w:top w:val="none" w:sz="0" w:space="0" w:color="auto"/>
            <w:left w:val="none" w:sz="0" w:space="0" w:color="auto"/>
            <w:bottom w:val="none" w:sz="0" w:space="0" w:color="auto"/>
            <w:right w:val="none" w:sz="0" w:space="0" w:color="auto"/>
          </w:divBdr>
        </w:div>
        <w:div w:id="1497378236">
          <w:marLeft w:val="640"/>
          <w:marRight w:val="0"/>
          <w:marTop w:val="0"/>
          <w:marBottom w:val="0"/>
          <w:divBdr>
            <w:top w:val="none" w:sz="0" w:space="0" w:color="auto"/>
            <w:left w:val="none" w:sz="0" w:space="0" w:color="auto"/>
            <w:bottom w:val="none" w:sz="0" w:space="0" w:color="auto"/>
            <w:right w:val="none" w:sz="0" w:space="0" w:color="auto"/>
          </w:divBdr>
        </w:div>
        <w:div w:id="1852059996">
          <w:marLeft w:val="640"/>
          <w:marRight w:val="0"/>
          <w:marTop w:val="0"/>
          <w:marBottom w:val="0"/>
          <w:divBdr>
            <w:top w:val="none" w:sz="0" w:space="0" w:color="auto"/>
            <w:left w:val="none" w:sz="0" w:space="0" w:color="auto"/>
            <w:bottom w:val="none" w:sz="0" w:space="0" w:color="auto"/>
            <w:right w:val="none" w:sz="0" w:space="0" w:color="auto"/>
          </w:divBdr>
        </w:div>
        <w:div w:id="981736099">
          <w:marLeft w:val="640"/>
          <w:marRight w:val="0"/>
          <w:marTop w:val="0"/>
          <w:marBottom w:val="0"/>
          <w:divBdr>
            <w:top w:val="none" w:sz="0" w:space="0" w:color="auto"/>
            <w:left w:val="none" w:sz="0" w:space="0" w:color="auto"/>
            <w:bottom w:val="none" w:sz="0" w:space="0" w:color="auto"/>
            <w:right w:val="none" w:sz="0" w:space="0" w:color="auto"/>
          </w:divBdr>
        </w:div>
        <w:div w:id="1159230191">
          <w:marLeft w:val="640"/>
          <w:marRight w:val="0"/>
          <w:marTop w:val="0"/>
          <w:marBottom w:val="0"/>
          <w:divBdr>
            <w:top w:val="none" w:sz="0" w:space="0" w:color="auto"/>
            <w:left w:val="none" w:sz="0" w:space="0" w:color="auto"/>
            <w:bottom w:val="none" w:sz="0" w:space="0" w:color="auto"/>
            <w:right w:val="none" w:sz="0" w:space="0" w:color="auto"/>
          </w:divBdr>
        </w:div>
        <w:div w:id="2115055740">
          <w:marLeft w:val="640"/>
          <w:marRight w:val="0"/>
          <w:marTop w:val="0"/>
          <w:marBottom w:val="0"/>
          <w:divBdr>
            <w:top w:val="none" w:sz="0" w:space="0" w:color="auto"/>
            <w:left w:val="none" w:sz="0" w:space="0" w:color="auto"/>
            <w:bottom w:val="none" w:sz="0" w:space="0" w:color="auto"/>
            <w:right w:val="none" w:sz="0" w:space="0" w:color="auto"/>
          </w:divBdr>
        </w:div>
        <w:div w:id="2134129469">
          <w:marLeft w:val="640"/>
          <w:marRight w:val="0"/>
          <w:marTop w:val="0"/>
          <w:marBottom w:val="0"/>
          <w:divBdr>
            <w:top w:val="none" w:sz="0" w:space="0" w:color="auto"/>
            <w:left w:val="none" w:sz="0" w:space="0" w:color="auto"/>
            <w:bottom w:val="none" w:sz="0" w:space="0" w:color="auto"/>
            <w:right w:val="none" w:sz="0" w:space="0" w:color="auto"/>
          </w:divBdr>
        </w:div>
        <w:div w:id="136266438">
          <w:marLeft w:val="640"/>
          <w:marRight w:val="0"/>
          <w:marTop w:val="0"/>
          <w:marBottom w:val="0"/>
          <w:divBdr>
            <w:top w:val="none" w:sz="0" w:space="0" w:color="auto"/>
            <w:left w:val="none" w:sz="0" w:space="0" w:color="auto"/>
            <w:bottom w:val="none" w:sz="0" w:space="0" w:color="auto"/>
            <w:right w:val="none" w:sz="0" w:space="0" w:color="auto"/>
          </w:divBdr>
        </w:div>
        <w:div w:id="1161232657">
          <w:marLeft w:val="640"/>
          <w:marRight w:val="0"/>
          <w:marTop w:val="0"/>
          <w:marBottom w:val="0"/>
          <w:divBdr>
            <w:top w:val="none" w:sz="0" w:space="0" w:color="auto"/>
            <w:left w:val="none" w:sz="0" w:space="0" w:color="auto"/>
            <w:bottom w:val="none" w:sz="0" w:space="0" w:color="auto"/>
            <w:right w:val="none" w:sz="0" w:space="0" w:color="auto"/>
          </w:divBdr>
        </w:div>
        <w:div w:id="1472552436">
          <w:marLeft w:val="640"/>
          <w:marRight w:val="0"/>
          <w:marTop w:val="0"/>
          <w:marBottom w:val="0"/>
          <w:divBdr>
            <w:top w:val="none" w:sz="0" w:space="0" w:color="auto"/>
            <w:left w:val="none" w:sz="0" w:space="0" w:color="auto"/>
            <w:bottom w:val="none" w:sz="0" w:space="0" w:color="auto"/>
            <w:right w:val="none" w:sz="0" w:space="0" w:color="auto"/>
          </w:divBdr>
        </w:div>
        <w:div w:id="921796125">
          <w:marLeft w:val="640"/>
          <w:marRight w:val="0"/>
          <w:marTop w:val="0"/>
          <w:marBottom w:val="0"/>
          <w:divBdr>
            <w:top w:val="none" w:sz="0" w:space="0" w:color="auto"/>
            <w:left w:val="none" w:sz="0" w:space="0" w:color="auto"/>
            <w:bottom w:val="none" w:sz="0" w:space="0" w:color="auto"/>
            <w:right w:val="none" w:sz="0" w:space="0" w:color="auto"/>
          </w:divBdr>
        </w:div>
        <w:div w:id="199829156">
          <w:marLeft w:val="640"/>
          <w:marRight w:val="0"/>
          <w:marTop w:val="0"/>
          <w:marBottom w:val="0"/>
          <w:divBdr>
            <w:top w:val="none" w:sz="0" w:space="0" w:color="auto"/>
            <w:left w:val="none" w:sz="0" w:space="0" w:color="auto"/>
            <w:bottom w:val="none" w:sz="0" w:space="0" w:color="auto"/>
            <w:right w:val="none" w:sz="0" w:space="0" w:color="auto"/>
          </w:divBdr>
        </w:div>
        <w:div w:id="651981827">
          <w:marLeft w:val="640"/>
          <w:marRight w:val="0"/>
          <w:marTop w:val="0"/>
          <w:marBottom w:val="0"/>
          <w:divBdr>
            <w:top w:val="none" w:sz="0" w:space="0" w:color="auto"/>
            <w:left w:val="none" w:sz="0" w:space="0" w:color="auto"/>
            <w:bottom w:val="none" w:sz="0" w:space="0" w:color="auto"/>
            <w:right w:val="none" w:sz="0" w:space="0" w:color="auto"/>
          </w:divBdr>
        </w:div>
        <w:div w:id="1874996454">
          <w:marLeft w:val="640"/>
          <w:marRight w:val="0"/>
          <w:marTop w:val="0"/>
          <w:marBottom w:val="0"/>
          <w:divBdr>
            <w:top w:val="none" w:sz="0" w:space="0" w:color="auto"/>
            <w:left w:val="none" w:sz="0" w:space="0" w:color="auto"/>
            <w:bottom w:val="none" w:sz="0" w:space="0" w:color="auto"/>
            <w:right w:val="none" w:sz="0" w:space="0" w:color="auto"/>
          </w:divBdr>
        </w:div>
        <w:div w:id="19743125">
          <w:marLeft w:val="640"/>
          <w:marRight w:val="0"/>
          <w:marTop w:val="0"/>
          <w:marBottom w:val="0"/>
          <w:divBdr>
            <w:top w:val="none" w:sz="0" w:space="0" w:color="auto"/>
            <w:left w:val="none" w:sz="0" w:space="0" w:color="auto"/>
            <w:bottom w:val="none" w:sz="0" w:space="0" w:color="auto"/>
            <w:right w:val="none" w:sz="0" w:space="0" w:color="auto"/>
          </w:divBdr>
        </w:div>
        <w:div w:id="1003820523">
          <w:marLeft w:val="640"/>
          <w:marRight w:val="0"/>
          <w:marTop w:val="0"/>
          <w:marBottom w:val="0"/>
          <w:divBdr>
            <w:top w:val="none" w:sz="0" w:space="0" w:color="auto"/>
            <w:left w:val="none" w:sz="0" w:space="0" w:color="auto"/>
            <w:bottom w:val="none" w:sz="0" w:space="0" w:color="auto"/>
            <w:right w:val="none" w:sz="0" w:space="0" w:color="auto"/>
          </w:divBdr>
        </w:div>
        <w:div w:id="798574524">
          <w:marLeft w:val="640"/>
          <w:marRight w:val="0"/>
          <w:marTop w:val="0"/>
          <w:marBottom w:val="0"/>
          <w:divBdr>
            <w:top w:val="none" w:sz="0" w:space="0" w:color="auto"/>
            <w:left w:val="none" w:sz="0" w:space="0" w:color="auto"/>
            <w:bottom w:val="none" w:sz="0" w:space="0" w:color="auto"/>
            <w:right w:val="none" w:sz="0" w:space="0" w:color="auto"/>
          </w:divBdr>
        </w:div>
        <w:div w:id="360133126">
          <w:marLeft w:val="640"/>
          <w:marRight w:val="0"/>
          <w:marTop w:val="0"/>
          <w:marBottom w:val="0"/>
          <w:divBdr>
            <w:top w:val="none" w:sz="0" w:space="0" w:color="auto"/>
            <w:left w:val="none" w:sz="0" w:space="0" w:color="auto"/>
            <w:bottom w:val="none" w:sz="0" w:space="0" w:color="auto"/>
            <w:right w:val="none" w:sz="0" w:space="0" w:color="auto"/>
          </w:divBdr>
        </w:div>
        <w:div w:id="2095666997">
          <w:marLeft w:val="640"/>
          <w:marRight w:val="0"/>
          <w:marTop w:val="0"/>
          <w:marBottom w:val="0"/>
          <w:divBdr>
            <w:top w:val="none" w:sz="0" w:space="0" w:color="auto"/>
            <w:left w:val="none" w:sz="0" w:space="0" w:color="auto"/>
            <w:bottom w:val="none" w:sz="0" w:space="0" w:color="auto"/>
            <w:right w:val="none" w:sz="0" w:space="0" w:color="auto"/>
          </w:divBdr>
        </w:div>
        <w:div w:id="63918133">
          <w:marLeft w:val="640"/>
          <w:marRight w:val="0"/>
          <w:marTop w:val="0"/>
          <w:marBottom w:val="0"/>
          <w:divBdr>
            <w:top w:val="none" w:sz="0" w:space="0" w:color="auto"/>
            <w:left w:val="none" w:sz="0" w:space="0" w:color="auto"/>
            <w:bottom w:val="none" w:sz="0" w:space="0" w:color="auto"/>
            <w:right w:val="none" w:sz="0" w:space="0" w:color="auto"/>
          </w:divBdr>
        </w:div>
        <w:div w:id="1472551459">
          <w:marLeft w:val="640"/>
          <w:marRight w:val="0"/>
          <w:marTop w:val="0"/>
          <w:marBottom w:val="0"/>
          <w:divBdr>
            <w:top w:val="none" w:sz="0" w:space="0" w:color="auto"/>
            <w:left w:val="none" w:sz="0" w:space="0" w:color="auto"/>
            <w:bottom w:val="none" w:sz="0" w:space="0" w:color="auto"/>
            <w:right w:val="none" w:sz="0" w:space="0" w:color="auto"/>
          </w:divBdr>
        </w:div>
        <w:div w:id="135343460">
          <w:marLeft w:val="640"/>
          <w:marRight w:val="0"/>
          <w:marTop w:val="0"/>
          <w:marBottom w:val="0"/>
          <w:divBdr>
            <w:top w:val="none" w:sz="0" w:space="0" w:color="auto"/>
            <w:left w:val="none" w:sz="0" w:space="0" w:color="auto"/>
            <w:bottom w:val="none" w:sz="0" w:space="0" w:color="auto"/>
            <w:right w:val="none" w:sz="0" w:space="0" w:color="auto"/>
          </w:divBdr>
        </w:div>
        <w:div w:id="1653101599">
          <w:marLeft w:val="640"/>
          <w:marRight w:val="0"/>
          <w:marTop w:val="0"/>
          <w:marBottom w:val="0"/>
          <w:divBdr>
            <w:top w:val="none" w:sz="0" w:space="0" w:color="auto"/>
            <w:left w:val="none" w:sz="0" w:space="0" w:color="auto"/>
            <w:bottom w:val="none" w:sz="0" w:space="0" w:color="auto"/>
            <w:right w:val="none" w:sz="0" w:space="0" w:color="auto"/>
          </w:divBdr>
        </w:div>
        <w:div w:id="570312935">
          <w:marLeft w:val="640"/>
          <w:marRight w:val="0"/>
          <w:marTop w:val="0"/>
          <w:marBottom w:val="0"/>
          <w:divBdr>
            <w:top w:val="none" w:sz="0" w:space="0" w:color="auto"/>
            <w:left w:val="none" w:sz="0" w:space="0" w:color="auto"/>
            <w:bottom w:val="none" w:sz="0" w:space="0" w:color="auto"/>
            <w:right w:val="none" w:sz="0" w:space="0" w:color="auto"/>
          </w:divBdr>
        </w:div>
        <w:div w:id="1241912317">
          <w:marLeft w:val="640"/>
          <w:marRight w:val="0"/>
          <w:marTop w:val="0"/>
          <w:marBottom w:val="0"/>
          <w:divBdr>
            <w:top w:val="none" w:sz="0" w:space="0" w:color="auto"/>
            <w:left w:val="none" w:sz="0" w:space="0" w:color="auto"/>
            <w:bottom w:val="none" w:sz="0" w:space="0" w:color="auto"/>
            <w:right w:val="none" w:sz="0" w:space="0" w:color="auto"/>
          </w:divBdr>
        </w:div>
        <w:div w:id="738939492">
          <w:marLeft w:val="640"/>
          <w:marRight w:val="0"/>
          <w:marTop w:val="0"/>
          <w:marBottom w:val="0"/>
          <w:divBdr>
            <w:top w:val="none" w:sz="0" w:space="0" w:color="auto"/>
            <w:left w:val="none" w:sz="0" w:space="0" w:color="auto"/>
            <w:bottom w:val="none" w:sz="0" w:space="0" w:color="auto"/>
            <w:right w:val="none" w:sz="0" w:space="0" w:color="auto"/>
          </w:divBdr>
        </w:div>
        <w:div w:id="793445386">
          <w:marLeft w:val="640"/>
          <w:marRight w:val="0"/>
          <w:marTop w:val="0"/>
          <w:marBottom w:val="0"/>
          <w:divBdr>
            <w:top w:val="none" w:sz="0" w:space="0" w:color="auto"/>
            <w:left w:val="none" w:sz="0" w:space="0" w:color="auto"/>
            <w:bottom w:val="none" w:sz="0" w:space="0" w:color="auto"/>
            <w:right w:val="none" w:sz="0" w:space="0" w:color="auto"/>
          </w:divBdr>
        </w:div>
        <w:div w:id="2065253564">
          <w:marLeft w:val="640"/>
          <w:marRight w:val="0"/>
          <w:marTop w:val="0"/>
          <w:marBottom w:val="0"/>
          <w:divBdr>
            <w:top w:val="none" w:sz="0" w:space="0" w:color="auto"/>
            <w:left w:val="none" w:sz="0" w:space="0" w:color="auto"/>
            <w:bottom w:val="none" w:sz="0" w:space="0" w:color="auto"/>
            <w:right w:val="none" w:sz="0" w:space="0" w:color="auto"/>
          </w:divBdr>
        </w:div>
        <w:div w:id="1289628456">
          <w:marLeft w:val="640"/>
          <w:marRight w:val="0"/>
          <w:marTop w:val="0"/>
          <w:marBottom w:val="0"/>
          <w:divBdr>
            <w:top w:val="none" w:sz="0" w:space="0" w:color="auto"/>
            <w:left w:val="none" w:sz="0" w:space="0" w:color="auto"/>
            <w:bottom w:val="none" w:sz="0" w:space="0" w:color="auto"/>
            <w:right w:val="none" w:sz="0" w:space="0" w:color="auto"/>
          </w:divBdr>
        </w:div>
        <w:div w:id="293289824">
          <w:marLeft w:val="640"/>
          <w:marRight w:val="0"/>
          <w:marTop w:val="0"/>
          <w:marBottom w:val="0"/>
          <w:divBdr>
            <w:top w:val="none" w:sz="0" w:space="0" w:color="auto"/>
            <w:left w:val="none" w:sz="0" w:space="0" w:color="auto"/>
            <w:bottom w:val="none" w:sz="0" w:space="0" w:color="auto"/>
            <w:right w:val="none" w:sz="0" w:space="0" w:color="auto"/>
          </w:divBdr>
        </w:div>
        <w:div w:id="1935355632">
          <w:marLeft w:val="640"/>
          <w:marRight w:val="0"/>
          <w:marTop w:val="0"/>
          <w:marBottom w:val="0"/>
          <w:divBdr>
            <w:top w:val="none" w:sz="0" w:space="0" w:color="auto"/>
            <w:left w:val="none" w:sz="0" w:space="0" w:color="auto"/>
            <w:bottom w:val="none" w:sz="0" w:space="0" w:color="auto"/>
            <w:right w:val="none" w:sz="0" w:space="0" w:color="auto"/>
          </w:divBdr>
        </w:div>
        <w:div w:id="338238366">
          <w:marLeft w:val="640"/>
          <w:marRight w:val="0"/>
          <w:marTop w:val="0"/>
          <w:marBottom w:val="0"/>
          <w:divBdr>
            <w:top w:val="none" w:sz="0" w:space="0" w:color="auto"/>
            <w:left w:val="none" w:sz="0" w:space="0" w:color="auto"/>
            <w:bottom w:val="none" w:sz="0" w:space="0" w:color="auto"/>
            <w:right w:val="none" w:sz="0" w:space="0" w:color="auto"/>
          </w:divBdr>
        </w:div>
        <w:div w:id="320282005">
          <w:marLeft w:val="640"/>
          <w:marRight w:val="0"/>
          <w:marTop w:val="0"/>
          <w:marBottom w:val="0"/>
          <w:divBdr>
            <w:top w:val="none" w:sz="0" w:space="0" w:color="auto"/>
            <w:left w:val="none" w:sz="0" w:space="0" w:color="auto"/>
            <w:bottom w:val="none" w:sz="0" w:space="0" w:color="auto"/>
            <w:right w:val="none" w:sz="0" w:space="0" w:color="auto"/>
          </w:divBdr>
        </w:div>
        <w:div w:id="1440754311">
          <w:marLeft w:val="640"/>
          <w:marRight w:val="0"/>
          <w:marTop w:val="0"/>
          <w:marBottom w:val="0"/>
          <w:divBdr>
            <w:top w:val="none" w:sz="0" w:space="0" w:color="auto"/>
            <w:left w:val="none" w:sz="0" w:space="0" w:color="auto"/>
            <w:bottom w:val="none" w:sz="0" w:space="0" w:color="auto"/>
            <w:right w:val="none" w:sz="0" w:space="0" w:color="auto"/>
          </w:divBdr>
        </w:div>
        <w:div w:id="152838154">
          <w:marLeft w:val="640"/>
          <w:marRight w:val="0"/>
          <w:marTop w:val="0"/>
          <w:marBottom w:val="0"/>
          <w:divBdr>
            <w:top w:val="none" w:sz="0" w:space="0" w:color="auto"/>
            <w:left w:val="none" w:sz="0" w:space="0" w:color="auto"/>
            <w:bottom w:val="none" w:sz="0" w:space="0" w:color="auto"/>
            <w:right w:val="none" w:sz="0" w:space="0" w:color="auto"/>
          </w:divBdr>
        </w:div>
        <w:div w:id="1350450459">
          <w:marLeft w:val="640"/>
          <w:marRight w:val="0"/>
          <w:marTop w:val="0"/>
          <w:marBottom w:val="0"/>
          <w:divBdr>
            <w:top w:val="none" w:sz="0" w:space="0" w:color="auto"/>
            <w:left w:val="none" w:sz="0" w:space="0" w:color="auto"/>
            <w:bottom w:val="none" w:sz="0" w:space="0" w:color="auto"/>
            <w:right w:val="none" w:sz="0" w:space="0" w:color="auto"/>
          </w:divBdr>
        </w:div>
        <w:div w:id="396364853">
          <w:marLeft w:val="640"/>
          <w:marRight w:val="0"/>
          <w:marTop w:val="0"/>
          <w:marBottom w:val="0"/>
          <w:divBdr>
            <w:top w:val="none" w:sz="0" w:space="0" w:color="auto"/>
            <w:left w:val="none" w:sz="0" w:space="0" w:color="auto"/>
            <w:bottom w:val="none" w:sz="0" w:space="0" w:color="auto"/>
            <w:right w:val="none" w:sz="0" w:space="0" w:color="auto"/>
          </w:divBdr>
        </w:div>
        <w:div w:id="175271720">
          <w:marLeft w:val="640"/>
          <w:marRight w:val="0"/>
          <w:marTop w:val="0"/>
          <w:marBottom w:val="0"/>
          <w:divBdr>
            <w:top w:val="none" w:sz="0" w:space="0" w:color="auto"/>
            <w:left w:val="none" w:sz="0" w:space="0" w:color="auto"/>
            <w:bottom w:val="none" w:sz="0" w:space="0" w:color="auto"/>
            <w:right w:val="none" w:sz="0" w:space="0" w:color="auto"/>
          </w:divBdr>
        </w:div>
        <w:div w:id="1805198973">
          <w:marLeft w:val="640"/>
          <w:marRight w:val="0"/>
          <w:marTop w:val="0"/>
          <w:marBottom w:val="0"/>
          <w:divBdr>
            <w:top w:val="none" w:sz="0" w:space="0" w:color="auto"/>
            <w:left w:val="none" w:sz="0" w:space="0" w:color="auto"/>
            <w:bottom w:val="none" w:sz="0" w:space="0" w:color="auto"/>
            <w:right w:val="none" w:sz="0" w:space="0" w:color="auto"/>
          </w:divBdr>
        </w:div>
        <w:div w:id="145901114">
          <w:marLeft w:val="640"/>
          <w:marRight w:val="0"/>
          <w:marTop w:val="0"/>
          <w:marBottom w:val="0"/>
          <w:divBdr>
            <w:top w:val="none" w:sz="0" w:space="0" w:color="auto"/>
            <w:left w:val="none" w:sz="0" w:space="0" w:color="auto"/>
            <w:bottom w:val="none" w:sz="0" w:space="0" w:color="auto"/>
            <w:right w:val="none" w:sz="0" w:space="0" w:color="auto"/>
          </w:divBdr>
        </w:div>
        <w:div w:id="445973424">
          <w:marLeft w:val="640"/>
          <w:marRight w:val="0"/>
          <w:marTop w:val="0"/>
          <w:marBottom w:val="0"/>
          <w:divBdr>
            <w:top w:val="none" w:sz="0" w:space="0" w:color="auto"/>
            <w:left w:val="none" w:sz="0" w:space="0" w:color="auto"/>
            <w:bottom w:val="none" w:sz="0" w:space="0" w:color="auto"/>
            <w:right w:val="none" w:sz="0" w:space="0" w:color="auto"/>
          </w:divBdr>
        </w:div>
        <w:div w:id="12614409">
          <w:marLeft w:val="640"/>
          <w:marRight w:val="0"/>
          <w:marTop w:val="0"/>
          <w:marBottom w:val="0"/>
          <w:divBdr>
            <w:top w:val="none" w:sz="0" w:space="0" w:color="auto"/>
            <w:left w:val="none" w:sz="0" w:space="0" w:color="auto"/>
            <w:bottom w:val="none" w:sz="0" w:space="0" w:color="auto"/>
            <w:right w:val="none" w:sz="0" w:space="0" w:color="auto"/>
          </w:divBdr>
        </w:div>
        <w:div w:id="622464875">
          <w:marLeft w:val="640"/>
          <w:marRight w:val="0"/>
          <w:marTop w:val="0"/>
          <w:marBottom w:val="0"/>
          <w:divBdr>
            <w:top w:val="none" w:sz="0" w:space="0" w:color="auto"/>
            <w:left w:val="none" w:sz="0" w:space="0" w:color="auto"/>
            <w:bottom w:val="none" w:sz="0" w:space="0" w:color="auto"/>
            <w:right w:val="none" w:sz="0" w:space="0" w:color="auto"/>
          </w:divBdr>
        </w:div>
        <w:div w:id="314342142">
          <w:marLeft w:val="640"/>
          <w:marRight w:val="0"/>
          <w:marTop w:val="0"/>
          <w:marBottom w:val="0"/>
          <w:divBdr>
            <w:top w:val="none" w:sz="0" w:space="0" w:color="auto"/>
            <w:left w:val="none" w:sz="0" w:space="0" w:color="auto"/>
            <w:bottom w:val="none" w:sz="0" w:space="0" w:color="auto"/>
            <w:right w:val="none" w:sz="0" w:space="0" w:color="auto"/>
          </w:divBdr>
        </w:div>
        <w:div w:id="565186205">
          <w:marLeft w:val="640"/>
          <w:marRight w:val="0"/>
          <w:marTop w:val="0"/>
          <w:marBottom w:val="0"/>
          <w:divBdr>
            <w:top w:val="none" w:sz="0" w:space="0" w:color="auto"/>
            <w:left w:val="none" w:sz="0" w:space="0" w:color="auto"/>
            <w:bottom w:val="none" w:sz="0" w:space="0" w:color="auto"/>
            <w:right w:val="none" w:sz="0" w:space="0" w:color="auto"/>
          </w:divBdr>
        </w:div>
        <w:div w:id="228854648">
          <w:marLeft w:val="640"/>
          <w:marRight w:val="0"/>
          <w:marTop w:val="0"/>
          <w:marBottom w:val="0"/>
          <w:divBdr>
            <w:top w:val="none" w:sz="0" w:space="0" w:color="auto"/>
            <w:left w:val="none" w:sz="0" w:space="0" w:color="auto"/>
            <w:bottom w:val="none" w:sz="0" w:space="0" w:color="auto"/>
            <w:right w:val="none" w:sz="0" w:space="0" w:color="auto"/>
          </w:divBdr>
        </w:div>
        <w:div w:id="587235307">
          <w:marLeft w:val="640"/>
          <w:marRight w:val="0"/>
          <w:marTop w:val="0"/>
          <w:marBottom w:val="0"/>
          <w:divBdr>
            <w:top w:val="none" w:sz="0" w:space="0" w:color="auto"/>
            <w:left w:val="none" w:sz="0" w:space="0" w:color="auto"/>
            <w:bottom w:val="none" w:sz="0" w:space="0" w:color="auto"/>
            <w:right w:val="none" w:sz="0" w:space="0" w:color="auto"/>
          </w:divBdr>
        </w:div>
        <w:div w:id="1856725054">
          <w:marLeft w:val="640"/>
          <w:marRight w:val="0"/>
          <w:marTop w:val="0"/>
          <w:marBottom w:val="0"/>
          <w:divBdr>
            <w:top w:val="none" w:sz="0" w:space="0" w:color="auto"/>
            <w:left w:val="none" w:sz="0" w:space="0" w:color="auto"/>
            <w:bottom w:val="none" w:sz="0" w:space="0" w:color="auto"/>
            <w:right w:val="none" w:sz="0" w:space="0" w:color="auto"/>
          </w:divBdr>
        </w:div>
        <w:div w:id="428812864">
          <w:marLeft w:val="640"/>
          <w:marRight w:val="0"/>
          <w:marTop w:val="0"/>
          <w:marBottom w:val="0"/>
          <w:divBdr>
            <w:top w:val="none" w:sz="0" w:space="0" w:color="auto"/>
            <w:left w:val="none" w:sz="0" w:space="0" w:color="auto"/>
            <w:bottom w:val="none" w:sz="0" w:space="0" w:color="auto"/>
            <w:right w:val="none" w:sz="0" w:space="0" w:color="auto"/>
          </w:divBdr>
        </w:div>
        <w:div w:id="54011679">
          <w:marLeft w:val="640"/>
          <w:marRight w:val="0"/>
          <w:marTop w:val="0"/>
          <w:marBottom w:val="0"/>
          <w:divBdr>
            <w:top w:val="none" w:sz="0" w:space="0" w:color="auto"/>
            <w:left w:val="none" w:sz="0" w:space="0" w:color="auto"/>
            <w:bottom w:val="none" w:sz="0" w:space="0" w:color="auto"/>
            <w:right w:val="none" w:sz="0" w:space="0" w:color="auto"/>
          </w:divBdr>
        </w:div>
        <w:div w:id="696277116">
          <w:marLeft w:val="640"/>
          <w:marRight w:val="0"/>
          <w:marTop w:val="0"/>
          <w:marBottom w:val="0"/>
          <w:divBdr>
            <w:top w:val="none" w:sz="0" w:space="0" w:color="auto"/>
            <w:left w:val="none" w:sz="0" w:space="0" w:color="auto"/>
            <w:bottom w:val="none" w:sz="0" w:space="0" w:color="auto"/>
            <w:right w:val="none" w:sz="0" w:space="0" w:color="auto"/>
          </w:divBdr>
        </w:div>
        <w:div w:id="1052727137">
          <w:marLeft w:val="640"/>
          <w:marRight w:val="0"/>
          <w:marTop w:val="0"/>
          <w:marBottom w:val="0"/>
          <w:divBdr>
            <w:top w:val="none" w:sz="0" w:space="0" w:color="auto"/>
            <w:left w:val="none" w:sz="0" w:space="0" w:color="auto"/>
            <w:bottom w:val="none" w:sz="0" w:space="0" w:color="auto"/>
            <w:right w:val="none" w:sz="0" w:space="0" w:color="auto"/>
          </w:divBdr>
        </w:div>
        <w:div w:id="1183739667">
          <w:marLeft w:val="640"/>
          <w:marRight w:val="0"/>
          <w:marTop w:val="0"/>
          <w:marBottom w:val="0"/>
          <w:divBdr>
            <w:top w:val="none" w:sz="0" w:space="0" w:color="auto"/>
            <w:left w:val="none" w:sz="0" w:space="0" w:color="auto"/>
            <w:bottom w:val="none" w:sz="0" w:space="0" w:color="auto"/>
            <w:right w:val="none" w:sz="0" w:space="0" w:color="auto"/>
          </w:divBdr>
        </w:div>
        <w:div w:id="1196575078">
          <w:marLeft w:val="640"/>
          <w:marRight w:val="0"/>
          <w:marTop w:val="0"/>
          <w:marBottom w:val="0"/>
          <w:divBdr>
            <w:top w:val="none" w:sz="0" w:space="0" w:color="auto"/>
            <w:left w:val="none" w:sz="0" w:space="0" w:color="auto"/>
            <w:bottom w:val="none" w:sz="0" w:space="0" w:color="auto"/>
            <w:right w:val="none" w:sz="0" w:space="0" w:color="auto"/>
          </w:divBdr>
        </w:div>
        <w:div w:id="160892034">
          <w:marLeft w:val="640"/>
          <w:marRight w:val="0"/>
          <w:marTop w:val="0"/>
          <w:marBottom w:val="0"/>
          <w:divBdr>
            <w:top w:val="none" w:sz="0" w:space="0" w:color="auto"/>
            <w:left w:val="none" w:sz="0" w:space="0" w:color="auto"/>
            <w:bottom w:val="none" w:sz="0" w:space="0" w:color="auto"/>
            <w:right w:val="none" w:sz="0" w:space="0" w:color="auto"/>
          </w:divBdr>
        </w:div>
        <w:div w:id="42799001">
          <w:marLeft w:val="640"/>
          <w:marRight w:val="0"/>
          <w:marTop w:val="0"/>
          <w:marBottom w:val="0"/>
          <w:divBdr>
            <w:top w:val="none" w:sz="0" w:space="0" w:color="auto"/>
            <w:left w:val="none" w:sz="0" w:space="0" w:color="auto"/>
            <w:bottom w:val="none" w:sz="0" w:space="0" w:color="auto"/>
            <w:right w:val="none" w:sz="0" w:space="0" w:color="auto"/>
          </w:divBdr>
        </w:div>
        <w:div w:id="506867518">
          <w:marLeft w:val="640"/>
          <w:marRight w:val="0"/>
          <w:marTop w:val="0"/>
          <w:marBottom w:val="0"/>
          <w:divBdr>
            <w:top w:val="none" w:sz="0" w:space="0" w:color="auto"/>
            <w:left w:val="none" w:sz="0" w:space="0" w:color="auto"/>
            <w:bottom w:val="none" w:sz="0" w:space="0" w:color="auto"/>
            <w:right w:val="none" w:sz="0" w:space="0" w:color="auto"/>
          </w:divBdr>
        </w:div>
        <w:div w:id="2017077604">
          <w:marLeft w:val="640"/>
          <w:marRight w:val="0"/>
          <w:marTop w:val="0"/>
          <w:marBottom w:val="0"/>
          <w:divBdr>
            <w:top w:val="none" w:sz="0" w:space="0" w:color="auto"/>
            <w:left w:val="none" w:sz="0" w:space="0" w:color="auto"/>
            <w:bottom w:val="none" w:sz="0" w:space="0" w:color="auto"/>
            <w:right w:val="none" w:sz="0" w:space="0" w:color="auto"/>
          </w:divBdr>
        </w:div>
        <w:div w:id="1975134174">
          <w:marLeft w:val="640"/>
          <w:marRight w:val="0"/>
          <w:marTop w:val="0"/>
          <w:marBottom w:val="0"/>
          <w:divBdr>
            <w:top w:val="none" w:sz="0" w:space="0" w:color="auto"/>
            <w:left w:val="none" w:sz="0" w:space="0" w:color="auto"/>
            <w:bottom w:val="none" w:sz="0" w:space="0" w:color="auto"/>
            <w:right w:val="none" w:sz="0" w:space="0" w:color="auto"/>
          </w:divBdr>
        </w:div>
        <w:div w:id="2028822084">
          <w:marLeft w:val="640"/>
          <w:marRight w:val="0"/>
          <w:marTop w:val="0"/>
          <w:marBottom w:val="0"/>
          <w:divBdr>
            <w:top w:val="none" w:sz="0" w:space="0" w:color="auto"/>
            <w:left w:val="none" w:sz="0" w:space="0" w:color="auto"/>
            <w:bottom w:val="none" w:sz="0" w:space="0" w:color="auto"/>
            <w:right w:val="none" w:sz="0" w:space="0" w:color="auto"/>
          </w:divBdr>
        </w:div>
        <w:div w:id="1904295909">
          <w:marLeft w:val="640"/>
          <w:marRight w:val="0"/>
          <w:marTop w:val="0"/>
          <w:marBottom w:val="0"/>
          <w:divBdr>
            <w:top w:val="none" w:sz="0" w:space="0" w:color="auto"/>
            <w:left w:val="none" w:sz="0" w:space="0" w:color="auto"/>
            <w:bottom w:val="none" w:sz="0" w:space="0" w:color="auto"/>
            <w:right w:val="none" w:sz="0" w:space="0" w:color="auto"/>
          </w:divBdr>
        </w:div>
        <w:div w:id="232735696">
          <w:marLeft w:val="640"/>
          <w:marRight w:val="0"/>
          <w:marTop w:val="0"/>
          <w:marBottom w:val="0"/>
          <w:divBdr>
            <w:top w:val="none" w:sz="0" w:space="0" w:color="auto"/>
            <w:left w:val="none" w:sz="0" w:space="0" w:color="auto"/>
            <w:bottom w:val="none" w:sz="0" w:space="0" w:color="auto"/>
            <w:right w:val="none" w:sz="0" w:space="0" w:color="auto"/>
          </w:divBdr>
        </w:div>
        <w:div w:id="1852524450">
          <w:marLeft w:val="640"/>
          <w:marRight w:val="0"/>
          <w:marTop w:val="0"/>
          <w:marBottom w:val="0"/>
          <w:divBdr>
            <w:top w:val="none" w:sz="0" w:space="0" w:color="auto"/>
            <w:left w:val="none" w:sz="0" w:space="0" w:color="auto"/>
            <w:bottom w:val="none" w:sz="0" w:space="0" w:color="auto"/>
            <w:right w:val="none" w:sz="0" w:space="0" w:color="auto"/>
          </w:divBdr>
        </w:div>
        <w:div w:id="1574387122">
          <w:marLeft w:val="640"/>
          <w:marRight w:val="0"/>
          <w:marTop w:val="0"/>
          <w:marBottom w:val="0"/>
          <w:divBdr>
            <w:top w:val="none" w:sz="0" w:space="0" w:color="auto"/>
            <w:left w:val="none" w:sz="0" w:space="0" w:color="auto"/>
            <w:bottom w:val="none" w:sz="0" w:space="0" w:color="auto"/>
            <w:right w:val="none" w:sz="0" w:space="0" w:color="auto"/>
          </w:divBdr>
        </w:div>
        <w:div w:id="805388612">
          <w:marLeft w:val="640"/>
          <w:marRight w:val="0"/>
          <w:marTop w:val="0"/>
          <w:marBottom w:val="0"/>
          <w:divBdr>
            <w:top w:val="none" w:sz="0" w:space="0" w:color="auto"/>
            <w:left w:val="none" w:sz="0" w:space="0" w:color="auto"/>
            <w:bottom w:val="none" w:sz="0" w:space="0" w:color="auto"/>
            <w:right w:val="none" w:sz="0" w:space="0" w:color="auto"/>
          </w:divBdr>
        </w:div>
        <w:div w:id="675302561">
          <w:marLeft w:val="640"/>
          <w:marRight w:val="0"/>
          <w:marTop w:val="0"/>
          <w:marBottom w:val="0"/>
          <w:divBdr>
            <w:top w:val="none" w:sz="0" w:space="0" w:color="auto"/>
            <w:left w:val="none" w:sz="0" w:space="0" w:color="auto"/>
            <w:bottom w:val="none" w:sz="0" w:space="0" w:color="auto"/>
            <w:right w:val="none" w:sz="0" w:space="0" w:color="auto"/>
          </w:divBdr>
        </w:div>
        <w:div w:id="1538545661">
          <w:marLeft w:val="640"/>
          <w:marRight w:val="0"/>
          <w:marTop w:val="0"/>
          <w:marBottom w:val="0"/>
          <w:divBdr>
            <w:top w:val="none" w:sz="0" w:space="0" w:color="auto"/>
            <w:left w:val="none" w:sz="0" w:space="0" w:color="auto"/>
            <w:bottom w:val="none" w:sz="0" w:space="0" w:color="auto"/>
            <w:right w:val="none" w:sz="0" w:space="0" w:color="auto"/>
          </w:divBdr>
        </w:div>
        <w:div w:id="153377697">
          <w:marLeft w:val="640"/>
          <w:marRight w:val="0"/>
          <w:marTop w:val="0"/>
          <w:marBottom w:val="0"/>
          <w:divBdr>
            <w:top w:val="none" w:sz="0" w:space="0" w:color="auto"/>
            <w:left w:val="none" w:sz="0" w:space="0" w:color="auto"/>
            <w:bottom w:val="none" w:sz="0" w:space="0" w:color="auto"/>
            <w:right w:val="none" w:sz="0" w:space="0" w:color="auto"/>
          </w:divBdr>
        </w:div>
        <w:div w:id="1793403227">
          <w:marLeft w:val="640"/>
          <w:marRight w:val="0"/>
          <w:marTop w:val="0"/>
          <w:marBottom w:val="0"/>
          <w:divBdr>
            <w:top w:val="none" w:sz="0" w:space="0" w:color="auto"/>
            <w:left w:val="none" w:sz="0" w:space="0" w:color="auto"/>
            <w:bottom w:val="none" w:sz="0" w:space="0" w:color="auto"/>
            <w:right w:val="none" w:sz="0" w:space="0" w:color="auto"/>
          </w:divBdr>
        </w:div>
        <w:div w:id="1424491949">
          <w:marLeft w:val="640"/>
          <w:marRight w:val="0"/>
          <w:marTop w:val="0"/>
          <w:marBottom w:val="0"/>
          <w:divBdr>
            <w:top w:val="none" w:sz="0" w:space="0" w:color="auto"/>
            <w:left w:val="none" w:sz="0" w:space="0" w:color="auto"/>
            <w:bottom w:val="none" w:sz="0" w:space="0" w:color="auto"/>
            <w:right w:val="none" w:sz="0" w:space="0" w:color="auto"/>
          </w:divBdr>
        </w:div>
        <w:div w:id="705329066">
          <w:marLeft w:val="640"/>
          <w:marRight w:val="0"/>
          <w:marTop w:val="0"/>
          <w:marBottom w:val="0"/>
          <w:divBdr>
            <w:top w:val="none" w:sz="0" w:space="0" w:color="auto"/>
            <w:left w:val="none" w:sz="0" w:space="0" w:color="auto"/>
            <w:bottom w:val="none" w:sz="0" w:space="0" w:color="auto"/>
            <w:right w:val="none" w:sz="0" w:space="0" w:color="auto"/>
          </w:divBdr>
        </w:div>
        <w:div w:id="1539049805">
          <w:marLeft w:val="640"/>
          <w:marRight w:val="0"/>
          <w:marTop w:val="0"/>
          <w:marBottom w:val="0"/>
          <w:divBdr>
            <w:top w:val="none" w:sz="0" w:space="0" w:color="auto"/>
            <w:left w:val="none" w:sz="0" w:space="0" w:color="auto"/>
            <w:bottom w:val="none" w:sz="0" w:space="0" w:color="auto"/>
            <w:right w:val="none" w:sz="0" w:space="0" w:color="auto"/>
          </w:divBdr>
        </w:div>
        <w:div w:id="1987202302">
          <w:marLeft w:val="640"/>
          <w:marRight w:val="0"/>
          <w:marTop w:val="0"/>
          <w:marBottom w:val="0"/>
          <w:divBdr>
            <w:top w:val="none" w:sz="0" w:space="0" w:color="auto"/>
            <w:left w:val="none" w:sz="0" w:space="0" w:color="auto"/>
            <w:bottom w:val="none" w:sz="0" w:space="0" w:color="auto"/>
            <w:right w:val="none" w:sz="0" w:space="0" w:color="auto"/>
          </w:divBdr>
        </w:div>
        <w:div w:id="24450995">
          <w:marLeft w:val="640"/>
          <w:marRight w:val="0"/>
          <w:marTop w:val="0"/>
          <w:marBottom w:val="0"/>
          <w:divBdr>
            <w:top w:val="none" w:sz="0" w:space="0" w:color="auto"/>
            <w:left w:val="none" w:sz="0" w:space="0" w:color="auto"/>
            <w:bottom w:val="none" w:sz="0" w:space="0" w:color="auto"/>
            <w:right w:val="none" w:sz="0" w:space="0" w:color="auto"/>
          </w:divBdr>
        </w:div>
        <w:div w:id="736441183">
          <w:marLeft w:val="640"/>
          <w:marRight w:val="0"/>
          <w:marTop w:val="0"/>
          <w:marBottom w:val="0"/>
          <w:divBdr>
            <w:top w:val="none" w:sz="0" w:space="0" w:color="auto"/>
            <w:left w:val="none" w:sz="0" w:space="0" w:color="auto"/>
            <w:bottom w:val="none" w:sz="0" w:space="0" w:color="auto"/>
            <w:right w:val="none" w:sz="0" w:space="0" w:color="auto"/>
          </w:divBdr>
        </w:div>
        <w:div w:id="44377052">
          <w:marLeft w:val="640"/>
          <w:marRight w:val="0"/>
          <w:marTop w:val="0"/>
          <w:marBottom w:val="0"/>
          <w:divBdr>
            <w:top w:val="none" w:sz="0" w:space="0" w:color="auto"/>
            <w:left w:val="none" w:sz="0" w:space="0" w:color="auto"/>
            <w:bottom w:val="none" w:sz="0" w:space="0" w:color="auto"/>
            <w:right w:val="none" w:sz="0" w:space="0" w:color="auto"/>
          </w:divBdr>
        </w:div>
        <w:div w:id="1726948676">
          <w:marLeft w:val="640"/>
          <w:marRight w:val="0"/>
          <w:marTop w:val="0"/>
          <w:marBottom w:val="0"/>
          <w:divBdr>
            <w:top w:val="none" w:sz="0" w:space="0" w:color="auto"/>
            <w:left w:val="none" w:sz="0" w:space="0" w:color="auto"/>
            <w:bottom w:val="none" w:sz="0" w:space="0" w:color="auto"/>
            <w:right w:val="none" w:sz="0" w:space="0" w:color="auto"/>
          </w:divBdr>
        </w:div>
        <w:div w:id="1238512635">
          <w:marLeft w:val="640"/>
          <w:marRight w:val="0"/>
          <w:marTop w:val="0"/>
          <w:marBottom w:val="0"/>
          <w:divBdr>
            <w:top w:val="none" w:sz="0" w:space="0" w:color="auto"/>
            <w:left w:val="none" w:sz="0" w:space="0" w:color="auto"/>
            <w:bottom w:val="none" w:sz="0" w:space="0" w:color="auto"/>
            <w:right w:val="none" w:sz="0" w:space="0" w:color="auto"/>
          </w:divBdr>
        </w:div>
        <w:div w:id="905921522">
          <w:marLeft w:val="640"/>
          <w:marRight w:val="0"/>
          <w:marTop w:val="0"/>
          <w:marBottom w:val="0"/>
          <w:divBdr>
            <w:top w:val="none" w:sz="0" w:space="0" w:color="auto"/>
            <w:left w:val="none" w:sz="0" w:space="0" w:color="auto"/>
            <w:bottom w:val="none" w:sz="0" w:space="0" w:color="auto"/>
            <w:right w:val="none" w:sz="0" w:space="0" w:color="auto"/>
          </w:divBdr>
        </w:div>
        <w:div w:id="499270006">
          <w:marLeft w:val="640"/>
          <w:marRight w:val="0"/>
          <w:marTop w:val="0"/>
          <w:marBottom w:val="0"/>
          <w:divBdr>
            <w:top w:val="none" w:sz="0" w:space="0" w:color="auto"/>
            <w:left w:val="none" w:sz="0" w:space="0" w:color="auto"/>
            <w:bottom w:val="none" w:sz="0" w:space="0" w:color="auto"/>
            <w:right w:val="none" w:sz="0" w:space="0" w:color="auto"/>
          </w:divBdr>
        </w:div>
        <w:div w:id="151260557">
          <w:marLeft w:val="640"/>
          <w:marRight w:val="0"/>
          <w:marTop w:val="0"/>
          <w:marBottom w:val="0"/>
          <w:divBdr>
            <w:top w:val="none" w:sz="0" w:space="0" w:color="auto"/>
            <w:left w:val="none" w:sz="0" w:space="0" w:color="auto"/>
            <w:bottom w:val="none" w:sz="0" w:space="0" w:color="auto"/>
            <w:right w:val="none" w:sz="0" w:space="0" w:color="auto"/>
          </w:divBdr>
        </w:div>
        <w:div w:id="508107173">
          <w:marLeft w:val="640"/>
          <w:marRight w:val="0"/>
          <w:marTop w:val="0"/>
          <w:marBottom w:val="0"/>
          <w:divBdr>
            <w:top w:val="none" w:sz="0" w:space="0" w:color="auto"/>
            <w:left w:val="none" w:sz="0" w:space="0" w:color="auto"/>
            <w:bottom w:val="none" w:sz="0" w:space="0" w:color="auto"/>
            <w:right w:val="none" w:sz="0" w:space="0" w:color="auto"/>
          </w:divBdr>
        </w:div>
        <w:div w:id="277555">
          <w:marLeft w:val="640"/>
          <w:marRight w:val="0"/>
          <w:marTop w:val="0"/>
          <w:marBottom w:val="0"/>
          <w:divBdr>
            <w:top w:val="none" w:sz="0" w:space="0" w:color="auto"/>
            <w:left w:val="none" w:sz="0" w:space="0" w:color="auto"/>
            <w:bottom w:val="none" w:sz="0" w:space="0" w:color="auto"/>
            <w:right w:val="none" w:sz="0" w:space="0" w:color="auto"/>
          </w:divBdr>
        </w:div>
        <w:div w:id="1012802043">
          <w:marLeft w:val="640"/>
          <w:marRight w:val="0"/>
          <w:marTop w:val="0"/>
          <w:marBottom w:val="0"/>
          <w:divBdr>
            <w:top w:val="none" w:sz="0" w:space="0" w:color="auto"/>
            <w:left w:val="none" w:sz="0" w:space="0" w:color="auto"/>
            <w:bottom w:val="none" w:sz="0" w:space="0" w:color="auto"/>
            <w:right w:val="none" w:sz="0" w:space="0" w:color="auto"/>
          </w:divBdr>
        </w:div>
        <w:div w:id="1268078900">
          <w:marLeft w:val="640"/>
          <w:marRight w:val="0"/>
          <w:marTop w:val="0"/>
          <w:marBottom w:val="0"/>
          <w:divBdr>
            <w:top w:val="none" w:sz="0" w:space="0" w:color="auto"/>
            <w:left w:val="none" w:sz="0" w:space="0" w:color="auto"/>
            <w:bottom w:val="none" w:sz="0" w:space="0" w:color="auto"/>
            <w:right w:val="none" w:sz="0" w:space="0" w:color="auto"/>
          </w:divBdr>
        </w:div>
        <w:div w:id="1596937089">
          <w:marLeft w:val="640"/>
          <w:marRight w:val="0"/>
          <w:marTop w:val="0"/>
          <w:marBottom w:val="0"/>
          <w:divBdr>
            <w:top w:val="none" w:sz="0" w:space="0" w:color="auto"/>
            <w:left w:val="none" w:sz="0" w:space="0" w:color="auto"/>
            <w:bottom w:val="none" w:sz="0" w:space="0" w:color="auto"/>
            <w:right w:val="none" w:sz="0" w:space="0" w:color="auto"/>
          </w:divBdr>
        </w:div>
        <w:div w:id="176965901">
          <w:marLeft w:val="640"/>
          <w:marRight w:val="0"/>
          <w:marTop w:val="0"/>
          <w:marBottom w:val="0"/>
          <w:divBdr>
            <w:top w:val="none" w:sz="0" w:space="0" w:color="auto"/>
            <w:left w:val="none" w:sz="0" w:space="0" w:color="auto"/>
            <w:bottom w:val="none" w:sz="0" w:space="0" w:color="auto"/>
            <w:right w:val="none" w:sz="0" w:space="0" w:color="auto"/>
          </w:divBdr>
        </w:div>
        <w:div w:id="1011295806">
          <w:marLeft w:val="640"/>
          <w:marRight w:val="0"/>
          <w:marTop w:val="0"/>
          <w:marBottom w:val="0"/>
          <w:divBdr>
            <w:top w:val="none" w:sz="0" w:space="0" w:color="auto"/>
            <w:left w:val="none" w:sz="0" w:space="0" w:color="auto"/>
            <w:bottom w:val="none" w:sz="0" w:space="0" w:color="auto"/>
            <w:right w:val="none" w:sz="0" w:space="0" w:color="auto"/>
          </w:divBdr>
        </w:div>
        <w:div w:id="1674455960">
          <w:marLeft w:val="640"/>
          <w:marRight w:val="0"/>
          <w:marTop w:val="0"/>
          <w:marBottom w:val="0"/>
          <w:divBdr>
            <w:top w:val="none" w:sz="0" w:space="0" w:color="auto"/>
            <w:left w:val="none" w:sz="0" w:space="0" w:color="auto"/>
            <w:bottom w:val="none" w:sz="0" w:space="0" w:color="auto"/>
            <w:right w:val="none" w:sz="0" w:space="0" w:color="auto"/>
          </w:divBdr>
        </w:div>
        <w:div w:id="531040498">
          <w:marLeft w:val="640"/>
          <w:marRight w:val="0"/>
          <w:marTop w:val="0"/>
          <w:marBottom w:val="0"/>
          <w:divBdr>
            <w:top w:val="none" w:sz="0" w:space="0" w:color="auto"/>
            <w:left w:val="none" w:sz="0" w:space="0" w:color="auto"/>
            <w:bottom w:val="none" w:sz="0" w:space="0" w:color="auto"/>
            <w:right w:val="none" w:sz="0" w:space="0" w:color="auto"/>
          </w:divBdr>
        </w:div>
        <w:div w:id="1406030880">
          <w:marLeft w:val="640"/>
          <w:marRight w:val="0"/>
          <w:marTop w:val="0"/>
          <w:marBottom w:val="0"/>
          <w:divBdr>
            <w:top w:val="none" w:sz="0" w:space="0" w:color="auto"/>
            <w:left w:val="none" w:sz="0" w:space="0" w:color="auto"/>
            <w:bottom w:val="none" w:sz="0" w:space="0" w:color="auto"/>
            <w:right w:val="none" w:sz="0" w:space="0" w:color="auto"/>
          </w:divBdr>
        </w:div>
        <w:div w:id="248849499">
          <w:marLeft w:val="640"/>
          <w:marRight w:val="0"/>
          <w:marTop w:val="0"/>
          <w:marBottom w:val="0"/>
          <w:divBdr>
            <w:top w:val="none" w:sz="0" w:space="0" w:color="auto"/>
            <w:left w:val="none" w:sz="0" w:space="0" w:color="auto"/>
            <w:bottom w:val="none" w:sz="0" w:space="0" w:color="auto"/>
            <w:right w:val="none" w:sz="0" w:space="0" w:color="auto"/>
          </w:divBdr>
        </w:div>
        <w:div w:id="2041205404">
          <w:marLeft w:val="640"/>
          <w:marRight w:val="0"/>
          <w:marTop w:val="0"/>
          <w:marBottom w:val="0"/>
          <w:divBdr>
            <w:top w:val="none" w:sz="0" w:space="0" w:color="auto"/>
            <w:left w:val="none" w:sz="0" w:space="0" w:color="auto"/>
            <w:bottom w:val="none" w:sz="0" w:space="0" w:color="auto"/>
            <w:right w:val="none" w:sz="0" w:space="0" w:color="auto"/>
          </w:divBdr>
        </w:div>
        <w:div w:id="1734543021">
          <w:marLeft w:val="640"/>
          <w:marRight w:val="0"/>
          <w:marTop w:val="0"/>
          <w:marBottom w:val="0"/>
          <w:divBdr>
            <w:top w:val="none" w:sz="0" w:space="0" w:color="auto"/>
            <w:left w:val="none" w:sz="0" w:space="0" w:color="auto"/>
            <w:bottom w:val="none" w:sz="0" w:space="0" w:color="auto"/>
            <w:right w:val="none" w:sz="0" w:space="0" w:color="auto"/>
          </w:divBdr>
        </w:div>
        <w:div w:id="1237280061">
          <w:marLeft w:val="640"/>
          <w:marRight w:val="0"/>
          <w:marTop w:val="0"/>
          <w:marBottom w:val="0"/>
          <w:divBdr>
            <w:top w:val="none" w:sz="0" w:space="0" w:color="auto"/>
            <w:left w:val="none" w:sz="0" w:space="0" w:color="auto"/>
            <w:bottom w:val="none" w:sz="0" w:space="0" w:color="auto"/>
            <w:right w:val="none" w:sz="0" w:space="0" w:color="auto"/>
          </w:divBdr>
        </w:div>
        <w:div w:id="731125465">
          <w:marLeft w:val="640"/>
          <w:marRight w:val="0"/>
          <w:marTop w:val="0"/>
          <w:marBottom w:val="0"/>
          <w:divBdr>
            <w:top w:val="none" w:sz="0" w:space="0" w:color="auto"/>
            <w:left w:val="none" w:sz="0" w:space="0" w:color="auto"/>
            <w:bottom w:val="none" w:sz="0" w:space="0" w:color="auto"/>
            <w:right w:val="none" w:sz="0" w:space="0" w:color="auto"/>
          </w:divBdr>
        </w:div>
        <w:div w:id="107548148">
          <w:marLeft w:val="640"/>
          <w:marRight w:val="0"/>
          <w:marTop w:val="0"/>
          <w:marBottom w:val="0"/>
          <w:divBdr>
            <w:top w:val="none" w:sz="0" w:space="0" w:color="auto"/>
            <w:left w:val="none" w:sz="0" w:space="0" w:color="auto"/>
            <w:bottom w:val="none" w:sz="0" w:space="0" w:color="auto"/>
            <w:right w:val="none" w:sz="0" w:space="0" w:color="auto"/>
          </w:divBdr>
        </w:div>
        <w:div w:id="650208679">
          <w:marLeft w:val="640"/>
          <w:marRight w:val="0"/>
          <w:marTop w:val="0"/>
          <w:marBottom w:val="0"/>
          <w:divBdr>
            <w:top w:val="none" w:sz="0" w:space="0" w:color="auto"/>
            <w:left w:val="none" w:sz="0" w:space="0" w:color="auto"/>
            <w:bottom w:val="none" w:sz="0" w:space="0" w:color="auto"/>
            <w:right w:val="none" w:sz="0" w:space="0" w:color="auto"/>
          </w:divBdr>
        </w:div>
        <w:div w:id="928540517">
          <w:marLeft w:val="640"/>
          <w:marRight w:val="0"/>
          <w:marTop w:val="0"/>
          <w:marBottom w:val="0"/>
          <w:divBdr>
            <w:top w:val="none" w:sz="0" w:space="0" w:color="auto"/>
            <w:left w:val="none" w:sz="0" w:space="0" w:color="auto"/>
            <w:bottom w:val="none" w:sz="0" w:space="0" w:color="auto"/>
            <w:right w:val="none" w:sz="0" w:space="0" w:color="auto"/>
          </w:divBdr>
        </w:div>
        <w:div w:id="1418600096">
          <w:marLeft w:val="640"/>
          <w:marRight w:val="0"/>
          <w:marTop w:val="0"/>
          <w:marBottom w:val="0"/>
          <w:divBdr>
            <w:top w:val="none" w:sz="0" w:space="0" w:color="auto"/>
            <w:left w:val="none" w:sz="0" w:space="0" w:color="auto"/>
            <w:bottom w:val="none" w:sz="0" w:space="0" w:color="auto"/>
            <w:right w:val="none" w:sz="0" w:space="0" w:color="auto"/>
          </w:divBdr>
        </w:div>
        <w:div w:id="606546746">
          <w:marLeft w:val="640"/>
          <w:marRight w:val="0"/>
          <w:marTop w:val="0"/>
          <w:marBottom w:val="0"/>
          <w:divBdr>
            <w:top w:val="none" w:sz="0" w:space="0" w:color="auto"/>
            <w:left w:val="none" w:sz="0" w:space="0" w:color="auto"/>
            <w:bottom w:val="none" w:sz="0" w:space="0" w:color="auto"/>
            <w:right w:val="none" w:sz="0" w:space="0" w:color="auto"/>
          </w:divBdr>
        </w:div>
        <w:div w:id="1285844650">
          <w:marLeft w:val="640"/>
          <w:marRight w:val="0"/>
          <w:marTop w:val="0"/>
          <w:marBottom w:val="0"/>
          <w:divBdr>
            <w:top w:val="none" w:sz="0" w:space="0" w:color="auto"/>
            <w:left w:val="none" w:sz="0" w:space="0" w:color="auto"/>
            <w:bottom w:val="none" w:sz="0" w:space="0" w:color="auto"/>
            <w:right w:val="none" w:sz="0" w:space="0" w:color="auto"/>
          </w:divBdr>
        </w:div>
        <w:div w:id="802506407">
          <w:marLeft w:val="640"/>
          <w:marRight w:val="0"/>
          <w:marTop w:val="0"/>
          <w:marBottom w:val="0"/>
          <w:divBdr>
            <w:top w:val="none" w:sz="0" w:space="0" w:color="auto"/>
            <w:left w:val="none" w:sz="0" w:space="0" w:color="auto"/>
            <w:bottom w:val="none" w:sz="0" w:space="0" w:color="auto"/>
            <w:right w:val="none" w:sz="0" w:space="0" w:color="auto"/>
          </w:divBdr>
        </w:div>
        <w:div w:id="84155040">
          <w:marLeft w:val="640"/>
          <w:marRight w:val="0"/>
          <w:marTop w:val="0"/>
          <w:marBottom w:val="0"/>
          <w:divBdr>
            <w:top w:val="none" w:sz="0" w:space="0" w:color="auto"/>
            <w:left w:val="none" w:sz="0" w:space="0" w:color="auto"/>
            <w:bottom w:val="none" w:sz="0" w:space="0" w:color="auto"/>
            <w:right w:val="none" w:sz="0" w:space="0" w:color="auto"/>
          </w:divBdr>
        </w:div>
        <w:div w:id="1803886352">
          <w:marLeft w:val="640"/>
          <w:marRight w:val="0"/>
          <w:marTop w:val="0"/>
          <w:marBottom w:val="0"/>
          <w:divBdr>
            <w:top w:val="none" w:sz="0" w:space="0" w:color="auto"/>
            <w:left w:val="none" w:sz="0" w:space="0" w:color="auto"/>
            <w:bottom w:val="none" w:sz="0" w:space="0" w:color="auto"/>
            <w:right w:val="none" w:sz="0" w:space="0" w:color="auto"/>
          </w:divBdr>
        </w:div>
        <w:div w:id="285619664">
          <w:marLeft w:val="640"/>
          <w:marRight w:val="0"/>
          <w:marTop w:val="0"/>
          <w:marBottom w:val="0"/>
          <w:divBdr>
            <w:top w:val="none" w:sz="0" w:space="0" w:color="auto"/>
            <w:left w:val="none" w:sz="0" w:space="0" w:color="auto"/>
            <w:bottom w:val="none" w:sz="0" w:space="0" w:color="auto"/>
            <w:right w:val="none" w:sz="0" w:space="0" w:color="auto"/>
          </w:divBdr>
        </w:div>
        <w:div w:id="637036288">
          <w:marLeft w:val="640"/>
          <w:marRight w:val="0"/>
          <w:marTop w:val="0"/>
          <w:marBottom w:val="0"/>
          <w:divBdr>
            <w:top w:val="none" w:sz="0" w:space="0" w:color="auto"/>
            <w:left w:val="none" w:sz="0" w:space="0" w:color="auto"/>
            <w:bottom w:val="none" w:sz="0" w:space="0" w:color="auto"/>
            <w:right w:val="none" w:sz="0" w:space="0" w:color="auto"/>
          </w:divBdr>
        </w:div>
        <w:div w:id="2026469667">
          <w:marLeft w:val="640"/>
          <w:marRight w:val="0"/>
          <w:marTop w:val="0"/>
          <w:marBottom w:val="0"/>
          <w:divBdr>
            <w:top w:val="none" w:sz="0" w:space="0" w:color="auto"/>
            <w:left w:val="none" w:sz="0" w:space="0" w:color="auto"/>
            <w:bottom w:val="none" w:sz="0" w:space="0" w:color="auto"/>
            <w:right w:val="none" w:sz="0" w:space="0" w:color="auto"/>
          </w:divBdr>
        </w:div>
        <w:div w:id="1642923298">
          <w:marLeft w:val="640"/>
          <w:marRight w:val="0"/>
          <w:marTop w:val="0"/>
          <w:marBottom w:val="0"/>
          <w:divBdr>
            <w:top w:val="none" w:sz="0" w:space="0" w:color="auto"/>
            <w:left w:val="none" w:sz="0" w:space="0" w:color="auto"/>
            <w:bottom w:val="none" w:sz="0" w:space="0" w:color="auto"/>
            <w:right w:val="none" w:sz="0" w:space="0" w:color="auto"/>
          </w:divBdr>
        </w:div>
        <w:div w:id="1297834861">
          <w:marLeft w:val="640"/>
          <w:marRight w:val="0"/>
          <w:marTop w:val="0"/>
          <w:marBottom w:val="0"/>
          <w:divBdr>
            <w:top w:val="none" w:sz="0" w:space="0" w:color="auto"/>
            <w:left w:val="none" w:sz="0" w:space="0" w:color="auto"/>
            <w:bottom w:val="none" w:sz="0" w:space="0" w:color="auto"/>
            <w:right w:val="none" w:sz="0" w:space="0" w:color="auto"/>
          </w:divBdr>
        </w:div>
        <w:div w:id="637075970">
          <w:marLeft w:val="640"/>
          <w:marRight w:val="0"/>
          <w:marTop w:val="0"/>
          <w:marBottom w:val="0"/>
          <w:divBdr>
            <w:top w:val="none" w:sz="0" w:space="0" w:color="auto"/>
            <w:left w:val="none" w:sz="0" w:space="0" w:color="auto"/>
            <w:bottom w:val="none" w:sz="0" w:space="0" w:color="auto"/>
            <w:right w:val="none" w:sz="0" w:space="0" w:color="auto"/>
          </w:divBdr>
        </w:div>
        <w:div w:id="881554051">
          <w:marLeft w:val="640"/>
          <w:marRight w:val="0"/>
          <w:marTop w:val="0"/>
          <w:marBottom w:val="0"/>
          <w:divBdr>
            <w:top w:val="none" w:sz="0" w:space="0" w:color="auto"/>
            <w:left w:val="none" w:sz="0" w:space="0" w:color="auto"/>
            <w:bottom w:val="none" w:sz="0" w:space="0" w:color="auto"/>
            <w:right w:val="none" w:sz="0" w:space="0" w:color="auto"/>
          </w:divBdr>
        </w:div>
        <w:div w:id="611208270">
          <w:marLeft w:val="640"/>
          <w:marRight w:val="0"/>
          <w:marTop w:val="0"/>
          <w:marBottom w:val="0"/>
          <w:divBdr>
            <w:top w:val="none" w:sz="0" w:space="0" w:color="auto"/>
            <w:left w:val="none" w:sz="0" w:space="0" w:color="auto"/>
            <w:bottom w:val="none" w:sz="0" w:space="0" w:color="auto"/>
            <w:right w:val="none" w:sz="0" w:space="0" w:color="auto"/>
          </w:divBdr>
        </w:div>
        <w:div w:id="1844202200">
          <w:marLeft w:val="640"/>
          <w:marRight w:val="0"/>
          <w:marTop w:val="0"/>
          <w:marBottom w:val="0"/>
          <w:divBdr>
            <w:top w:val="none" w:sz="0" w:space="0" w:color="auto"/>
            <w:left w:val="none" w:sz="0" w:space="0" w:color="auto"/>
            <w:bottom w:val="none" w:sz="0" w:space="0" w:color="auto"/>
            <w:right w:val="none" w:sz="0" w:space="0" w:color="auto"/>
          </w:divBdr>
        </w:div>
        <w:div w:id="1365205515">
          <w:marLeft w:val="640"/>
          <w:marRight w:val="0"/>
          <w:marTop w:val="0"/>
          <w:marBottom w:val="0"/>
          <w:divBdr>
            <w:top w:val="none" w:sz="0" w:space="0" w:color="auto"/>
            <w:left w:val="none" w:sz="0" w:space="0" w:color="auto"/>
            <w:bottom w:val="none" w:sz="0" w:space="0" w:color="auto"/>
            <w:right w:val="none" w:sz="0" w:space="0" w:color="auto"/>
          </w:divBdr>
        </w:div>
        <w:div w:id="390348949">
          <w:marLeft w:val="640"/>
          <w:marRight w:val="0"/>
          <w:marTop w:val="0"/>
          <w:marBottom w:val="0"/>
          <w:divBdr>
            <w:top w:val="none" w:sz="0" w:space="0" w:color="auto"/>
            <w:left w:val="none" w:sz="0" w:space="0" w:color="auto"/>
            <w:bottom w:val="none" w:sz="0" w:space="0" w:color="auto"/>
            <w:right w:val="none" w:sz="0" w:space="0" w:color="auto"/>
          </w:divBdr>
        </w:div>
        <w:div w:id="1503275040">
          <w:marLeft w:val="640"/>
          <w:marRight w:val="0"/>
          <w:marTop w:val="0"/>
          <w:marBottom w:val="0"/>
          <w:divBdr>
            <w:top w:val="none" w:sz="0" w:space="0" w:color="auto"/>
            <w:left w:val="none" w:sz="0" w:space="0" w:color="auto"/>
            <w:bottom w:val="none" w:sz="0" w:space="0" w:color="auto"/>
            <w:right w:val="none" w:sz="0" w:space="0" w:color="auto"/>
          </w:divBdr>
        </w:div>
        <w:div w:id="967006013">
          <w:marLeft w:val="640"/>
          <w:marRight w:val="0"/>
          <w:marTop w:val="0"/>
          <w:marBottom w:val="0"/>
          <w:divBdr>
            <w:top w:val="none" w:sz="0" w:space="0" w:color="auto"/>
            <w:left w:val="none" w:sz="0" w:space="0" w:color="auto"/>
            <w:bottom w:val="none" w:sz="0" w:space="0" w:color="auto"/>
            <w:right w:val="none" w:sz="0" w:space="0" w:color="auto"/>
          </w:divBdr>
        </w:div>
        <w:div w:id="1278373654">
          <w:marLeft w:val="640"/>
          <w:marRight w:val="0"/>
          <w:marTop w:val="0"/>
          <w:marBottom w:val="0"/>
          <w:divBdr>
            <w:top w:val="none" w:sz="0" w:space="0" w:color="auto"/>
            <w:left w:val="none" w:sz="0" w:space="0" w:color="auto"/>
            <w:bottom w:val="none" w:sz="0" w:space="0" w:color="auto"/>
            <w:right w:val="none" w:sz="0" w:space="0" w:color="auto"/>
          </w:divBdr>
        </w:div>
        <w:div w:id="2027051734">
          <w:marLeft w:val="640"/>
          <w:marRight w:val="0"/>
          <w:marTop w:val="0"/>
          <w:marBottom w:val="0"/>
          <w:divBdr>
            <w:top w:val="none" w:sz="0" w:space="0" w:color="auto"/>
            <w:left w:val="none" w:sz="0" w:space="0" w:color="auto"/>
            <w:bottom w:val="none" w:sz="0" w:space="0" w:color="auto"/>
            <w:right w:val="none" w:sz="0" w:space="0" w:color="auto"/>
          </w:divBdr>
        </w:div>
        <w:div w:id="1846557152">
          <w:marLeft w:val="640"/>
          <w:marRight w:val="0"/>
          <w:marTop w:val="0"/>
          <w:marBottom w:val="0"/>
          <w:divBdr>
            <w:top w:val="none" w:sz="0" w:space="0" w:color="auto"/>
            <w:left w:val="none" w:sz="0" w:space="0" w:color="auto"/>
            <w:bottom w:val="none" w:sz="0" w:space="0" w:color="auto"/>
            <w:right w:val="none" w:sz="0" w:space="0" w:color="auto"/>
          </w:divBdr>
        </w:div>
        <w:div w:id="1782527234">
          <w:marLeft w:val="640"/>
          <w:marRight w:val="0"/>
          <w:marTop w:val="0"/>
          <w:marBottom w:val="0"/>
          <w:divBdr>
            <w:top w:val="none" w:sz="0" w:space="0" w:color="auto"/>
            <w:left w:val="none" w:sz="0" w:space="0" w:color="auto"/>
            <w:bottom w:val="none" w:sz="0" w:space="0" w:color="auto"/>
            <w:right w:val="none" w:sz="0" w:space="0" w:color="auto"/>
          </w:divBdr>
        </w:div>
        <w:div w:id="1837528409">
          <w:marLeft w:val="640"/>
          <w:marRight w:val="0"/>
          <w:marTop w:val="0"/>
          <w:marBottom w:val="0"/>
          <w:divBdr>
            <w:top w:val="none" w:sz="0" w:space="0" w:color="auto"/>
            <w:left w:val="none" w:sz="0" w:space="0" w:color="auto"/>
            <w:bottom w:val="none" w:sz="0" w:space="0" w:color="auto"/>
            <w:right w:val="none" w:sz="0" w:space="0" w:color="auto"/>
          </w:divBdr>
        </w:div>
        <w:div w:id="15814415">
          <w:marLeft w:val="640"/>
          <w:marRight w:val="0"/>
          <w:marTop w:val="0"/>
          <w:marBottom w:val="0"/>
          <w:divBdr>
            <w:top w:val="none" w:sz="0" w:space="0" w:color="auto"/>
            <w:left w:val="none" w:sz="0" w:space="0" w:color="auto"/>
            <w:bottom w:val="none" w:sz="0" w:space="0" w:color="auto"/>
            <w:right w:val="none" w:sz="0" w:space="0" w:color="auto"/>
          </w:divBdr>
        </w:div>
        <w:div w:id="1013411424">
          <w:marLeft w:val="640"/>
          <w:marRight w:val="0"/>
          <w:marTop w:val="0"/>
          <w:marBottom w:val="0"/>
          <w:divBdr>
            <w:top w:val="none" w:sz="0" w:space="0" w:color="auto"/>
            <w:left w:val="none" w:sz="0" w:space="0" w:color="auto"/>
            <w:bottom w:val="none" w:sz="0" w:space="0" w:color="auto"/>
            <w:right w:val="none" w:sz="0" w:space="0" w:color="auto"/>
          </w:divBdr>
        </w:div>
        <w:div w:id="667053043">
          <w:marLeft w:val="640"/>
          <w:marRight w:val="0"/>
          <w:marTop w:val="0"/>
          <w:marBottom w:val="0"/>
          <w:divBdr>
            <w:top w:val="none" w:sz="0" w:space="0" w:color="auto"/>
            <w:left w:val="none" w:sz="0" w:space="0" w:color="auto"/>
            <w:bottom w:val="none" w:sz="0" w:space="0" w:color="auto"/>
            <w:right w:val="none" w:sz="0" w:space="0" w:color="auto"/>
          </w:divBdr>
        </w:div>
        <w:div w:id="860555381">
          <w:marLeft w:val="640"/>
          <w:marRight w:val="0"/>
          <w:marTop w:val="0"/>
          <w:marBottom w:val="0"/>
          <w:divBdr>
            <w:top w:val="none" w:sz="0" w:space="0" w:color="auto"/>
            <w:left w:val="none" w:sz="0" w:space="0" w:color="auto"/>
            <w:bottom w:val="none" w:sz="0" w:space="0" w:color="auto"/>
            <w:right w:val="none" w:sz="0" w:space="0" w:color="auto"/>
          </w:divBdr>
        </w:div>
        <w:div w:id="898323489">
          <w:marLeft w:val="640"/>
          <w:marRight w:val="0"/>
          <w:marTop w:val="0"/>
          <w:marBottom w:val="0"/>
          <w:divBdr>
            <w:top w:val="none" w:sz="0" w:space="0" w:color="auto"/>
            <w:left w:val="none" w:sz="0" w:space="0" w:color="auto"/>
            <w:bottom w:val="none" w:sz="0" w:space="0" w:color="auto"/>
            <w:right w:val="none" w:sz="0" w:space="0" w:color="auto"/>
          </w:divBdr>
        </w:div>
        <w:div w:id="65685644">
          <w:marLeft w:val="640"/>
          <w:marRight w:val="0"/>
          <w:marTop w:val="0"/>
          <w:marBottom w:val="0"/>
          <w:divBdr>
            <w:top w:val="none" w:sz="0" w:space="0" w:color="auto"/>
            <w:left w:val="none" w:sz="0" w:space="0" w:color="auto"/>
            <w:bottom w:val="none" w:sz="0" w:space="0" w:color="auto"/>
            <w:right w:val="none" w:sz="0" w:space="0" w:color="auto"/>
          </w:divBdr>
        </w:div>
        <w:div w:id="589243008">
          <w:marLeft w:val="640"/>
          <w:marRight w:val="0"/>
          <w:marTop w:val="0"/>
          <w:marBottom w:val="0"/>
          <w:divBdr>
            <w:top w:val="none" w:sz="0" w:space="0" w:color="auto"/>
            <w:left w:val="none" w:sz="0" w:space="0" w:color="auto"/>
            <w:bottom w:val="none" w:sz="0" w:space="0" w:color="auto"/>
            <w:right w:val="none" w:sz="0" w:space="0" w:color="auto"/>
          </w:divBdr>
        </w:div>
        <w:div w:id="1704355290">
          <w:marLeft w:val="640"/>
          <w:marRight w:val="0"/>
          <w:marTop w:val="0"/>
          <w:marBottom w:val="0"/>
          <w:divBdr>
            <w:top w:val="none" w:sz="0" w:space="0" w:color="auto"/>
            <w:left w:val="none" w:sz="0" w:space="0" w:color="auto"/>
            <w:bottom w:val="none" w:sz="0" w:space="0" w:color="auto"/>
            <w:right w:val="none" w:sz="0" w:space="0" w:color="auto"/>
          </w:divBdr>
        </w:div>
        <w:div w:id="1412697368">
          <w:marLeft w:val="640"/>
          <w:marRight w:val="0"/>
          <w:marTop w:val="0"/>
          <w:marBottom w:val="0"/>
          <w:divBdr>
            <w:top w:val="none" w:sz="0" w:space="0" w:color="auto"/>
            <w:left w:val="none" w:sz="0" w:space="0" w:color="auto"/>
            <w:bottom w:val="none" w:sz="0" w:space="0" w:color="auto"/>
            <w:right w:val="none" w:sz="0" w:space="0" w:color="auto"/>
          </w:divBdr>
        </w:div>
        <w:div w:id="478886816">
          <w:marLeft w:val="640"/>
          <w:marRight w:val="0"/>
          <w:marTop w:val="0"/>
          <w:marBottom w:val="0"/>
          <w:divBdr>
            <w:top w:val="none" w:sz="0" w:space="0" w:color="auto"/>
            <w:left w:val="none" w:sz="0" w:space="0" w:color="auto"/>
            <w:bottom w:val="none" w:sz="0" w:space="0" w:color="auto"/>
            <w:right w:val="none" w:sz="0" w:space="0" w:color="auto"/>
          </w:divBdr>
        </w:div>
        <w:div w:id="1434940093">
          <w:marLeft w:val="640"/>
          <w:marRight w:val="0"/>
          <w:marTop w:val="0"/>
          <w:marBottom w:val="0"/>
          <w:divBdr>
            <w:top w:val="none" w:sz="0" w:space="0" w:color="auto"/>
            <w:left w:val="none" w:sz="0" w:space="0" w:color="auto"/>
            <w:bottom w:val="none" w:sz="0" w:space="0" w:color="auto"/>
            <w:right w:val="none" w:sz="0" w:space="0" w:color="auto"/>
          </w:divBdr>
        </w:div>
        <w:div w:id="857741233">
          <w:marLeft w:val="640"/>
          <w:marRight w:val="0"/>
          <w:marTop w:val="0"/>
          <w:marBottom w:val="0"/>
          <w:divBdr>
            <w:top w:val="none" w:sz="0" w:space="0" w:color="auto"/>
            <w:left w:val="none" w:sz="0" w:space="0" w:color="auto"/>
            <w:bottom w:val="none" w:sz="0" w:space="0" w:color="auto"/>
            <w:right w:val="none" w:sz="0" w:space="0" w:color="auto"/>
          </w:divBdr>
        </w:div>
        <w:div w:id="665979825">
          <w:marLeft w:val="640"/>
          <w:marRight w:val="0"/>
          <w:marTop w:val="0"/>
          <w:marBottom w:val="0"/>
          <w:divBdr>
            <w:top w:val="none" w:sz="0" w:space="0" w:color="auto"/>
            <w:left w:val="none" w:sz="0" w:space="0" w:color="auto"/>
            <w:bottom w:val="none" w:sz="0" w:space="0" w:color="auto"/>
            <w:right w:val="none" w:sz="0" w:space="0" w:color="auto"/>
          </w:divBdr>
        </w:div>
        <w:div w:id="1305115946">
          <w:marLeft w:val="640"/>
          <w:marRight w:val="0"/>
          <w:marTop w:val="0"/>
          <w:marBottom w:val="0"/>
          <w:divBdr>
            <w:top w:val="none" w:sz="0" w:space="0" w:color="auto"/>
            <w:left w:val="none" w:sz="0" w:space="0" w:color="auto"/>
            <w:bottom w:val="none" w:sz="0" w:space="0" w:color="auto"/>
            <w:right w:val="none" w:sz="0" w:space="0" w:color="auto"/>
          </w:divBdr>
        </w:div>
        <w:div w:id="446388872">
          <w:marLeft w:val="640"/>
          <w:marRight w:val="0"/>
          <w:marTop w:val="0"/>
          <w:marBottom w:val="0"/>
          <w:divBdr>
            <w:top w:val="none" w:sz="0" w:space="0" w:color="auto"/>
            <w:left w:val="none" w:sz="0" w:space="0" w:color="auto"/>
            <w:bottom w:val="none" w:sz="0" w:space="0" w:color="auto"/>
            <w:right w:val="none" w:sz="0" w:space="0" w:color="auto"/>
          </w:divBdr>
        </w:div>
        <w:div w:id="876696631">
          <w:marLeft w:val="640"/>
          <w:marRight w:val="0"/>
          <w:marTop w:val="0"/>
          <w:marBottom w:val="0"/>
          <w:divBdr>
            <w:top w:val="none" w:sz="0" w:space="0" w:color="auto"/>
            <w:left w:val="none" w:sz="0" w:space="0" w:color="auto"/>
            <w:bottom w:val="none" w:sz="0" w:space="0" w:color="auto"/>
            <w:right w:val="none" w:sz="0" w:space="0" w:color="auto"/>
          </w:divBdr>
        </w:div>
        <w:div w:id="1014845398">
          <w:marLeft w:val="640"/>
          <w:marRight w:val="0"/>
          <w:marTop w:val="0"/>
          <w:marBottom w:val="0"/>
          <w:divBdr>
            <w:top w:val="none" w:sz="0" w:space="0" w:color="auto"/>
            <w:left w:val="none" w:sz="0" w:space="0" w:color="auto"/>
            <w:bottom w:val="none" w:sz="0" w:space="0" w:color="auto"/>
            <w:right w:val="none" w:sz="0" w:space="0" w:color="auto"/>
          </w:divBdr>
        </w:div>
        <w:div w:id="1032151927">
          <w:marLeft w:val="640"/>
          <w:marRight w:val="0"/>
          <w:marTop w:val="0"/>
          <w:marBottom w:val="0"/>
          <w:divBdr>
            <w:top w:val="none" w:sz="0" w:space="0" w:color="auto"/>
            <w:left w:val="none" w:sz="0" w:space="0" w:color="auto"/>
            <w:bottom w:val="none" w:sz="0" w:space="0" w:color="auto"/>
            <w:right w:val="none" w:sz="0" w:space="0" w:color="auto"/>
          </w:divBdr>
        </w:div>
        <w:div w:id="1612930361">
          <w:marLeft w:val="640"/>
          <w:marRight w:val="0"/>
          <w:marTop w:val="0"/>
          <w:marBottom w:val="0"/>
          <w:divBdr>
            <w:top w:val="none" w:sz="0" w:space="0" w:color="auto"/>
            <w:left w:val="none" w:sz="0" w:space="0" w:color="auto"/>
            <w:bottom w:val="none" w:sz="0" w:space="0" w:color="auto"/>
            <w:right w:val="none" w:sz="0" w:space="0" w:color="auto"/>
          </w:divBdr>
        </w:div>
        <w:div w:id="308949780">
          <w:marLeft w:val="640"/>
          <w:marRight w:val="0"/>
          <w:marTop w:val="0"/>
          <w:marBottom w:val="0"/>
          <w:divBdr>
            <w:top w:val="none" w:sz="0" w:space="0" w:color="auto"/>
            <w:left w:val="none" w:sz="0" w:space="0" w:color="auto"/>
            <w:bottom w:val="none" w:sz="0" w:space="0" w:color="auto"/>
            <w:right w:val="none" w:sz="0" w:space="0" w:color="auto"/>
          </w:divBdr>
        </w:div>
        <w:div w:id="1395549026">
          <w:marLeft w:val="640"/>
          <w:marRight w:val="0"/>
          <w:marTop w:val="0"/>
          <w:marBottom w:val="0"/>
          <w:divBdr>
            <w:top w:val="none" w:sz="0" w:space="0" w:color="auto"/>
            <w:left w:val="none" w:sz="0" w:space="0" w:color="auto"/>
            <w:bottom w:val="none" w:sz="0" w:space="0" w:color="auto"/>
            <w:right w:val="none" w:sz="0" w:space="0" w:color="auto"/>
          </w:divBdr>
        </w:div>
        <w:div w:id="799080599">
          <w:marLeft w:val="640"/>
          <w:marRight w:val="0"/>
          <w:marTop w:val="0"/>
          <w:marBottom w:val="0"/>
          <w:divBdr>
            <w:top w:val="none" w:sz="0" w:space="0" w:color="auto"/>
            <w:left w:val="none" w:sz="0" w:space="0" w:color="auto"/>
            <w:bottom w:val="none" w:sz="0" w:space="0" w:color="auto"/>
            <w:right w:val="none" w:sz="0" w:space="0" w:color="auto"/>
          </w:divBdr>
        </w:div>
        <w:div w:id="333190205">
          <w:marLeft w:val="640"/>
          <w:marRight w:val="0"/>
          <w:marTop w:val="0"/>
          <w:marBottom w:val="0"/>
          <w:divBdr>
            <w:top w:val="none" w:sz="0" w:space="0" w:color="auto"/>
            <w:left w:val="none" w:sz="0" w:space="0" w:color="auto"/>
            <w:bottom w:val="none" w:sz="0" w:space="0" w:color="auto"/>
            <w:right w:val="none" w:sz="0" w:space="0" w:color="auto"/>
          </w:divBdr>
        </w:div>
        <w:div w:id="747189350">
          <w:marLeft w:val="640"/>
          <w:marRight w:val="0"/>
          <w:marTop w:val="0"/>
          <w:marBottom w:val="0"/>
          <w:divBdr>
            <w:top w:val="none" w:sz="0" w:space="0" w:color="auto"/>
            <w:left w:val="none" w:sz="0" w:space="0" w:color="auto"/>
            <w:bottom w:val="none" w:sz="0" w:space="0" w:color="auto"/>
            <w:right w:val="none" w:sz="0" w:space="0" w:color="auto"/>
          </w:divBdr>
        </w:div>
        <w:div w:id="437453033">
          <w:marLeft w:val="640"/>
          <w:marRight w:val="0"/>
          <w:marTop w:val="0"/>
          <w:marBottom w:val="0"/>
          <w:divBdr>
            <w:top w:val="none" w:sz="0" w:space="0" w:color="auto"/>
            <w:left w:val="none" w:sz="0" w:space="0" w:color="auto"/>
            <w:bottom w:val="none" w:sz="0" w:space="0" w:color="auto"/>
            <w:right w:val="none" w:sz="0" w:space="0" w:color="auto"/>
          </w:divBdr>
        </w:div>
        <w:div w:id="2136437849">
          <w:marLeft w:val="640"/>
          <w:marRight w:val="0"/>
          <w:marTop w:val="0"/>
          <w:marBottom w:val="0"/>
          <w:divBdr>
            <w:top w:val="none" w:sz="0" w:space="0" w:color="auto"/>
            <w:left w:val="none" w:sz="0" w:space="0" w:color="auto"/>
            <w:bottom w:val="none" w:sz="0" w:space="0" w:color="auto"/>
            <w:right w:val="none" w:sz="0" w:space="0" w:color="auto"/>
          </w:divBdr>
        </w:div>
        <w:div w:id="215513918">
          <w:marLeft w:val="640"/>
          <w:marRight w:val="0"/>
          <w:marTop w:val="0"/>
          <w:marBottom w:val="0"/>
          <w:divBdr>
            <w:top w:val="none" w:sz="0" w:space="0" w:color="auto"/>
            <w:left w:val="none" w:sz="0" w:space="0" w:color="auto"/>
            <w:bottom w:val="none" w:sz="0" w:space="0" w:color="auto"/>
            <w:right w:val="none" w:sz="0" w:space="0" w:color="auto"/>
          </w:divBdr>
        </w:div>
        <w:div w:id="1011182878">
          <w:marLeft w:val="640"/>
          <w:marRight w:val="0"/>
          <w:marTop w:val="0"/>
          <w:marBottom w:val="0"/>
          <w:divBdr>
            <w:top w:val="none" w:sz="0" w:space="0" w:color="auto"/>
            <w:left w:val="none" w:sz="0" w:space="0" w:color="auto"/>
            <w:bottom w:val="none" w:sz="0" w:space="0" w:color="auto"/>
            <w:right w:val="none" w:sz="0" w:space="0" w:color="auto"/>
          </w:divBdr>
        </w:div>
        <w:div w:id="221255265">
          <w:marLeft w:val="640"/>
          <w:marRight w:val="0"/>
          <w:marTop w:val="0"/>
          <w:marBottom w:val="0"/>
          <w:divBdr>
            <w:top w:val="none" w:sz="0" w:space="0" w:color="auto"/>
            <w:left w:val="none" w:sz="0" w:space="0" w:color="auto"/>
            <w:bottom w:val="none" w:sz="0" w:space="0" w:color="auto"/>
            <w:right w:val="none" w:sz="0" w:space="0" w:color="auto"/>
          </w:divBdr>
        </w:div>
        <w:div w:id="1068918643">
          <w:marLeft w:val="640"/>
          <w:marRight w:val="0"/>
          <w:marTop w:val="0"/>
          <w:marBottom w:val="0"/>
          <w:divBdr>
            <w:top w:val="none" w:sz="0" w:space="0" w:color="auto"/>
            <w:left w:val="none" w:sz="0" w:space="0" w:color="auto"/>
            <w:bottom w:val="none" w:sz="0" w:space="0" w:color="auto"/>
            <w:right w:val="none" w:sz="0" w:space="0" w:color="auto"/>
          </w:divBdr>
        </w:div>
        <w:div w:id="638341605">
          <w:marLeft w:val="640"/>
          <w:marRight w:val="0"/>
          <w:marTop w:val="0"/>
          <w:marBottom w:val="0"/>
          <w:divBdr>
            <w:top w:val="none" w:sz="0" w:space="0" w:color="auto"/>
            <w:left w:val="none" w:sz="0" w:space="0" w:color="auto"/>
            <w:bottom w:val="none" w:sz="0" w:space="0" w:color="auto"/>
            <w:right w:val="none" w:sz="0" w:space="0" w:color="auto"/>
          </w:divBdr>
        </w:div>
        <w:div w:id="1417051606">
          <w:marLeft w:val="640"/>
          <w:marRight w:val="0"/>
          <w:marTop w:val="0"/>
          <w:marBottom w:val="0"/>
          <w:divBdr>
            <w:top w:val="none" w:sz="0" w:space="0" w:color="auto"/>
            <w:left w:val="none" w:sz="0" w:space="0" w:color="auto"/>
            <w:bottom w:val="none" w:sz="0" w:space="0" w:color="auto"/>
            <w:right w:val="none" w:sz="0" w:space="0" w:color="auto"/>
          </w:divBdr>
        </w:div>
        <w:div w:id="1636984477">
          <w:marLeft w:val="640"/>
          <w:marRight w:val="0"/>
          <w:marTop w:val="0"/>
          <w:marBottom w:val="0"/>
          <w:divBdr>
            <w:top w:val="none" w:sz="0" w:space="0" w:color="auto"/>
            <w:left w:val="none" w:sz="0" w:space="0" w:color="auto"/>
            <w:bottom w:val="none" w:sz="0" w:space="0" w:color="auto"/>
            <w:right w:val="none" w:sz="0" w:space="0" w:color="auto"/>
          </w:divBdr>
        </w:div>
        <w:div w:id="974531843">
          <w:marLeft w:val="640"/>
          <w:marRight w:val="0"/>
          <w:marTop w:val="0"/>
          <w:marBottom w:val="0"/>
          <w:divBdr>
            <w:top w:val="none" w:sz="0" w:space="0" w:color="auto"/>
            <w:left w:val="none" w:sz="0" w:space="0" w:color="auto"/>
            <w:bottom w:val="none" w:sz="0" w:space="0" w:color="auto"/>
            <w:right w:val="none" w:sz="0" w:space="0" w:color="auto"/>
          </w:divBdr>
        </w:div>
        <w:div w:id="339553316">
          <w:marLeft w:val="640"/>
          <w:marRight w:val="0"/>
          <w:marTop w:val="0"/>
          <w:marBottom w:val="0"/>
          <w:divBdr>
            <w:top w:val="none" w:sz="0" w:space="0" w:color="auto"/>
            <w:left w:val="none" w:sz="0" w:space="0" w:color="auto"/>
            <w:bottom w:val="none" w:sz="0" w:space="0" w:color="auto"/>
            <w:right w:val="none" w:sz="0" w:space="0" w:color="auto"/>
          </w:divBdr>
        </w:div>
        <w:div w:id="1762143678">
          <w:marLeft w:val="640"/>
          <w:marRight w:val="0"/>
          <w:marTop w:val="0"/>
          <w:marBottom w:val="0"/>
          <w:divBdr>
            <w:top w:val="none" w:sz="0" w:space="0" w:color="auto"/>
            <w:left w:val="none" w:sz="0" w:space="0" w:color="auto"/>
            <w:bottom w:val="none" w:sz="0" w:space="0" w:color="auto"/>
            <w:right w:val="none" w:sz="0" w:space="0" w:color="auto"/>
          </w:divBdr>
        </w:div>
        <w:div w:id="543757599">
          <w:marLeft w:val="640"/>
          <w:marRight w:val="0"/>
          <w:marTop w:val="0"/>
          <w:marBottom w:val="0"/>
          <w:divBdr>
            <w:top w:val="none" w:sz="0" w:space="0" w:color="auto"/>
            <w:left w:val="none" w:sz="0" w:space="0" w:color="auto"/>
            <w:bottom w:val="none" w:sz="0" w:space="0" w:color="auto"/>
            <w:right w:val="none" w:sz="0" w:space="0" w:color="auto"/>
          </w:divBdr>
        </w:div>
        <w:div w:id="156121273">
          <w:marLeft w:val="640"/>
          <w:marRight w:val="0"/>
          <w:marTop w:val="0"/>
          <w:marBottom w:val="0"/>
          <w:divBdr>
            <w:top w:val="none" w:sz="0" w:space="0" w:color="auto"/>
            <w:left w:val="none" w:sz="0" w:space="0" w:color="auto"/>
            <w:bottom w:val="none" w:sz="0" w:space="0" w:color="auto"/>
            <w:right w:val="none" w:sz="0" w:space="0" w:color="auto"/>
          </w:divBdr>
        </w:div>
        <w:div w:id="938637501">
          <w:marLeft w:val="640"/>
          <w:marRight w:val="0"/>
          <w:marTop w:val="0"/>
          <w:marBottom w:val="0"/>
          <w:divBdr>
            <w:top w:val="none" w:sz="0" w:space="0" w:color="auto"/>
            <w:left w:val="none" w:sz="0" w:space="0" w:color="auto"/>
            <w:bottom w:val="none" w:sz="0" w:space="0" w:color="auto"/>
            <w:right w:val="none" w:sz="0" w:space="0" w:color="auto"/>
          </w:divBdr>
        </w:div>
        <w:div w:id="259411056">
          <w:marLeft w:val="640"/>
          <w:marRight w:val="0"/>
          <w:marTop w:val="0"/>
          <w:marBottom w:val="0"/>
          <w:divBdr>
            <w:top w:val="none" w:sz="0" w:space="0" w:color="auto"/>
            <w:left w:val="none" w:sz="0" w:space="0" w:color="auto"/>
            <w:bottom w:val="none" w:sz="0" w:space="0" w:color="auto"/>
            <w:right w:val="none" w:sz="0" w:space="0" w:color="auto"/>
          </w:divBdr>
        </w:div>
        <w:div w:id="1678728869">
          <w:marLeft w:val="640"/>
          <w:marRight w:val="0"/>
          <w:marTop w:val="0"/>
          <w:marBottom w:val="0"/>
          <w:divBdr>
            <w:top w:val="none" w:sz="0" w:space="0" w:color="auto"/>
            <w:left w:val="none" w:sz="0" w:space="0" w:color="auto"/>
            <w:bottom w:val="none" w:sz="0" w:space="0" w:color="auto"/>
            <w:right w:val="none" w:sz="0" w:space="0" w:color="auto"/>
          </w:divBdr>
        </w:div>
        <w:div w:id="389697901">
          <w:marLeft w:val="640"/>
          <w:marRight w:val="0"/>
          <w:marTop w:val="0"/>
          <w:marBottom w:val="0"/>
          <w:divBdr>
            <w:top w:val="none" w:sz="0" w:space="0" w:color="auto"/>
            <w:left w:val="none" w:sz="0" w:space="0" w:color="auto"/>
            <w:bottom w:val="none" w:sz="0" w:space="0" w:color="auto"/>
            <w:right w:val="none" w:sz="0" w:space="0" w:color="auto"/>
          </w:divBdr>
        </w:div>
        <w:div w:id="1115519251">
          <w:marLeft w:val="640"/>
          <w:marRight w:val="0"/>
          <w:marTop w:val="0"/>
          <w:marBottom w:val="0"/>
          <w:divBdr>
            <w:top w:val="none" w:sz="0" w:space="0" w:color="auto"/>
            <w:left w:val="none" w:sz="0" w:space="0" w:color="auto"/>
            <w:bottom w:val="none" w:sz="0" w:space="0" w:color="auto"/>
            <w:right w:val="none" w:sz="0" w:space="0" w:color="auto"/>
          </w:divBdr>
        </w:div>
        <w:div w:id="1704672533">
          <w:marLeft w:val="640"/>
          <w:marRight w:val="0"/>
          <w:marTop w:val="0"/>
          <w:marBottom w:val="0"/>
          <w:divBdr>
            <w:top w:val="none" w:sz="0" w:space="0" w:color="auto"/>
            <w:left w:val="none" w:sz="0" w:space="0" w:color="auto"/>
            <w:bottom w:val="none" w:sz="0" w:space="0" w:color="auto"/>
            <w:right w:val="none" w:sz="0" w:space="0" w:color="auto"/>
          </w:divBdr>
        </w:div>
        <w:div w:id="508104482">
          <w:marLeft w:val="640"/>
          <w:marRight w:val="0"/>
          <w:marTop w:val="0"/>
          <w:marBottom w:val="0"/>
          <w:divBdr>
            <w:top w:val="none" w:sz="0" w:space="0" w:color="auto"/>
            <w:left w:val="none" w:sz="0" w:space="0" w:color="auto"/>
            <w:bottom w:val="none" w:sz="0" w:space="0" w:color="auto"/>
            <w:right w:val="none" w:sz="0" w:space="0" w:color="auto"/>
          </w:divBdr>
        </w:div>
        <w:div w:id="1578516544">
          <w:marLeft w:val="640"/>
          <w:marRight w:val="0"/>
          <w:marTop w:val="0"/>
          <w:marBottom w:val="0"/>
          <w:divBdr>
            <w:top w:val="none" w:sz="0" w:space="0" w:color="auto"/>
            <w:left w:val="none" w:sz="0" w:space="0" w:color="auto"/>
            <w:bottom w:val="none" w:sz="0" w:space="0" w:color="auto"/>
            <w:right w:val="none" w:sz="0" w:space="0" w:color="auto"/>
          </w:divBdr>
        </w:div>
        <w:div w:id="1838227488">
          <w:marLeft w:val="640"/>
          <w:marRight w:val="0"/>
          <w:marTop w:val="0"/>
          <w:marBottom w:val="0"/>
          <w:divBdr>
            <w:top w:val="none" w:sz="0" w:space="0" w:color="auto"/>
            <w:left w:val="none" w:sz="0" w:space="0" w:color="auto"/>
            <w:bottom w:val="none" w:sz="0" w:space="0" w:color="auto"/>
            <w:right w:val="none" w:sz="0" w:space="0" w:color="auto"/>
          </w:divBdr>
        </w:div>
        <w:div w:id="1807888443">
          <w:marLeft w:val="640"/>
          <w:marRight w:val="0"/>
          <w:marTop w:val="0"/>
          <w:marBottom w:val="0"/>
          <w:divBdr>
            <w:top w:val="none" w:sz="0" w:space="0" w:color="auto"/>
            <w:left w:val="none" w:sz="0" w:space="0" w:color="auto"/>
            <w:bottom w:val="none" w:sz="0" w:space="0" w:color="auto"/>
            <w:right w:val="none" w:sz="0" w:space="0" w:color="auto"/>
          </w:divBdr>
        </w:div>
        <w:div w:id="753433588">
          <w:marLeft w:val="640"/>
          <w:marRight w:val="0"/>
          <w:marTop w:val="0"/>
          <w:marBottom w:val="0"/>
          <w:divBdr>
            <w:top w:val="none" w:sz="0" w:space="0" w:color="auto"/>
            <w:left w:val="none" w:sz="0" w:space="0" w:color="auto"/>
            <w:bottom w:val="none" w:sz="0" w:space="0" w:color="auto"/>
            <w:right w:val="none" w:sz="0" w:space="0" w:color="auto"/>
          </w:divBdr>
        </w:div>
        <w:div w:id="461655967">
          <w:marLeft w:val="640"/>
          <w:marRight w:val="0"/>
          <w:marTop w:val="0"/>
          <w:marBottom w:val="0"/>
          <w:divBdr>
            <w:top w:val="none" w:sz="0" w:space="0" w:color="auto"/>
            <w:left w:val="none" w:sz="0" w:space="0" w:color="auto"/>
            <w:bottom w:val="none" w:sz="0" w:space="0" w:color="auto"/>
            <w:right w:val="none" w:sz="0" w:space="0" w:color="auto"/>
          </w:divBdr>
        </w:div>
        <w:div w:id="838347112">
          <w:marLeft w:val="640"/>
          <w:marRight w:val="0"/>
          <w:marTop w:val="0"/>
          <w:marBottom w:val="0"/>
          <w:divBdr>
            <w:top w:val="none" w:sz="0" w:space="0" w:color="auto"/>
            <w:left w:val="none" w:sz="0" w:space="0" w:color="auto"/>
            <w:bottom w:val="none" w:sz="0" w:space="0" w:color="auto"/>
            <w:right w:val="none" w:sz="0" w:space="0" w:color="auto"/>
          </w:divBdr>
        </w:div>
      </w:divsChild>
    </w:div>
    <w:div w:id="2086799891">
      <w:bodyDiv w:val="1"/>
      <w:marLeft w:val="0"/>
      <w:marRight w:val="0"/>
      <w:marTop w:val="0"/>
      <w:marBottom w:val="0"/>
      <w:divBdr>
        <w:top w:val="none" w:sz="0" w:space="0" w:color="auto"/>
        <w:left w:val="none" w:sz="0" w:space="0" w:color="auto"/>
        <w:bottom w:val="none" w:sz="0" w:space="0" w:color="auto"/>
        <w:right w:val="none" w:sz="0" w:space="0" w:color="auto"/>
      </w:divBdr>
      <w:divsChild>
        <w:div w:id="532884238">
          <w:marLeft w:val="640"/>
          <w:marRight w:val="0"/>
          <w:marTop w:val="0"/>
          <w:marBottom w:val="0"/>
          <w:divBdr>
            <w:top w:val="none" w:sz="0" w:space="0" w:color="auto"/>
            <w:left w:val="none" w:sz="0" w:space="0" w:color="auto"/>
            <w:bottom w:val="none" w:sz="0" w:space="0" w:color="auto"/>
            <w:right w:val="none" w:sz="0" w:space="0" w:color="auto"/>
          </w:divBdr>
        </w:div>
        <w:div w:id="736784510">
          <w:marLeft w:val="640"/>
          <w:marRight w:val="0"/>
          <w:marTop w:val="0"/>
          <w:marBottom w:val="0"/>
          <w:divBdr>
            <w:top w:val="none" w:sz="0" w:space="0" w:color="auto"/>
            <w:left w:val="none" w:sz="0" w:space="0" w:color="auto"/>
            <w:bottom w:val="none" w:sz="0" w:space="0" w:color="auto"/>
            <w:right w:val="none" w:sz="0" w:space="0" w:color="auto"/>
          </w:divBdr>
        </w:div>
        <w:div w:id="1456021651">
          <w:marLeft w:val="640"/>
          <w:marRight w:val="0"/>
          <w:marTop w:val="0"/>
          <w:marBottom w:val="0"/>
          <w:divBdr>
            <w:top w:val="none" w:sz="0" w:space="0" w:color="auto"/>
            <w:left w:val="none" w:sz="0" w:space="0" w:color="auto"/>
            <w:bottom w:val="none" w:sz="0" w:space="0" w:color="auto"/>
            <w:right w:val="none" w:sz="0" w:space="0" w:color="auto"/>
          </w:divBdr>
        </w:div>
        <w:div w:id="3092738">
          <w:marLeft w:val="640"/>
          <w:marRight w:val="0"/>
          <w:marTop w:val="0"/>
          <w:marBottom w:val="0"/>
          <w:divBdr>
            <w:top w:val="none" w:sz="0" w:space="0" w:color="auto"/>
            <w:left w:val="none" w:sz="0" w:space="0" w:color="auto"/>
            <w:bottom w:val="none" w:sz="0" w:space="0" w:color="auto"/>
            <w:right w:val="none" w:sz="0" w:space="0" w:color="auto"/>
          </w:divBdr>
        </w:div>
        <w:div w:id="192961597">
          <w:marLeft w:val="640"/>
          <w:marRight w:val="0"/>
          <w:marTop w:val="0"/>
          <w:marBottom w:val="0"/>
          <w:divBdr>
            <w:top w:val="none" w:sz="0" w:space="0" w:color="auto"/>
            <w:left w:val="none" w:sz="0" w:space="0" w:color="auto"/>
            <w:bottom w:val="none" w:sz="0" w:space="0" w:color="auto"/>
            <w:right w:val="none" w:sz="0" w:space="0" w:color="auto"/>
          </w:divBdr>
        </w:div>
        <w:div w:id="1479835472">
          <w:marLeft w:val="640"/>
          <w:marRight w:val="0"/>
          <w:marTop w:val="0"/>
          <w:marBottom w:val="0"/>
          <w:divBdr>
            <w:top w:val="none" w:sz="0" w:space="0" w:color="auto"/>
            <w:left w:val="none" w:sz="0" w:space="0" w:color="auto"/>
            <w:bottom w:val="none" w:sz="0" w:space="0" w:color="auto"/>
            <w:right w:val="none" w:sz="0" w:space="0" w:color="auto"/>
          </w:divBdr>
        </w:div>
        <w:div w:id="586887533">
          <w:marLeft w:val="640"/>
          <w:marRight w:val="0"/>
          <w:marTop w:val="0"/>
          <w:marBottom w:val="0"/>
          <w:divBdr>
            <w:top w:val="none" w:sz="0" w:space="0" w:color="auto"/>
            <w:left w:val="none" w:sz="0" w:space="0" w:color="auto"/>
            <w:bottom w:val="none" w:sz="0" w:space="0" w:color="auto"/>
            <w:right w:val="none" w:sz="0" w:space="0" w:color="auto"/>
          </w:divBdr>
        </w:div>
        <w:div w:id="696392801">
          <w:marLeft w:val="640"/>
          <w:marRight w:val="0"/>
          <w:marTop w:val="0"/>
          <w:marBottom w:val="0"/>
          <w:divBdr>
            <w:top w:val="none" w:sz="0" w:space="0" w:color="auto"/>
            <w:left w:val="none" w:sz="0" w:space="0" w:color="auto"/>
            <w:bottom w:val="none" w:sz="0" w:space="0" w:color="auto"/>
            <w:right w:val="none" w:sz="0" w:space="0" w:color="auto"/>
          </w:divBdr>
        </w:div>
        <w:div w:id="185754181">
          <w:marLeft w:val="640"/>
          <w:marRight w:val="0"/>
          <w:marTop w:val="0"/>
          <w:marBottom w:val="0"/>
          <w:divBdr>
            <w:top w:val="none" w:sz="0" w:space="0" w:color="auto"/>
            <w:left w:val="none" w:sz="0" w:space="0" w:color="auto"/>
            <w:bottom w:val="none" w:sz="0" w:space="0" w:color="auto"/>
            <w:right w:val="none" w:sz="0" w:space="0" w:color="auto"/>
          </w:divBdr>
        </w:div>
        <w:div w:id="797341459">
          <w:marLeft w:val="640"/>
          <w:marRight w:val="0"/>
          <w:marTop w:val="0"/>
          <w:marBottom w:val="0"/>
          <w:divBdr>
            <w:top w:val="none" w:sz="0" w:space="0" w:color="auto"/>
            <w:left w:val="none" w:sz="0" w:space="0" w:color="auto"/>
            <w:bottom w:val="none" w:sz="0" w:space="0" w:color="auto"/>
            <w:right w:val="none" w:sz="0" w:space="0" w:color="auto"/>
          </w:divBdr>
        </w:div>
        <w:div w:id="1631470616">
          <w:marLeft w:val="640"/>
          <w:marRight w:val="0"/>
          <w:marTop w:val="0"/>
          <w:marBottom w:val="0"/>
          <w:divBdr>
            <w:top w:val="none" w:sz="0" w:space="0" w:color="auto"/>
            <w:left w:val="none" w:sz="0" w:space="0" w:color="auto"/>
            <w:bottom w:val="none" w:sz="0" w:space="0" w:color="auto"/>
            <w:right w:val="none" w:sz="0" w:space="0" w:color="auto"/>
          </w:divBdr>
        </w:div>
        <w:div w:id="509150773">
          <w:marLeft w:val="640"/>
          <w:marRight w:val="0"/>
          <w:marTop w:val="0"/>
          <w:marBottom w:val="0"/>
          <w:divBdr>
            <w:top w:val="none" w:sz="0" w:space="0" w:color="auto"/>
            <w:left w:val="none" w:sz="0" w:space="0" w:color="auto"/>
            <w:bottom w:val="none" w:sz="0" w:space="0" w:color="auto"/>
            <w:right w:val="none" w:sz="0" w:space="0" w:color="auto"/>
          </w:divBdr>
        </w:div>
        <w:div w:id="1597790718">
          <w:marLeft w:val="640"/>
          <w:marRight w:val="0"/>
          <w:marTop w:val="0"/>
          <w:marBottom w:val="0"/>
          <w:divBdr>
            <w:top w:val="none" w:sz="0" w:space="0" w:color="auto"/>
            <w:left w:val="none" w:sz="0" w:space="0" w:color="auto"/>
            <w:bottom w:val="none" w:sz="0" w:space="0" w:color="auto"/>
            <w:right w:val="none" w:sz="0" w:space="0" w:color="auto"/>
          </w:divBdr>
        </w:div>
        <w:div w:id="956641803">
          <w:marLeft w:val="640"/>
          <w:marRight w:val="0"/>
          <w:marTop w:val="0"/>
          <w:marBottom w:val="0"/>
          <w:divBdr>
            <w:top w:val="none" w:sz="0" w:space="0" w:color="auto"/>
            <w:left w:val="none" w:sz="0" w:space="0" w:color="auto"/>
            <w:bottom w:val="none" w:sz="0" w:space="0" w:color="auto"/>
            <w:right w:val="none" w:sz="0" w:space="0" w:color="auto"/>
          </w:divBdr>
        </w:div>
        <w:div w:id="1119029932">
          <w:marLeft w:val="640"/>
          <w:marRight w:val="0"/>
          <w:marTop w:val="0"/>
          <w:marBottom w:val="0"/>
          <w:divBdr>
            <w:top w:val="none" w:sz="0" w:space="0" w:color="auto"/>
            <w:left w:val="none" w:sz="0" w:space="0" w:color="auto"/>
            <w:bottom w:val="none" w:sz="0" w:space="0" w:color="auto"/>
            <w:right w:val="none" w:sz="0" w:space="0" w:color="auto"/>
          </w:divBdr>
        </w:div>
        <w:div w:id="691417004">
          <w:marLeft w:val="640"/>
          <w:marRight w:val="0"/>
          <w:marTop w:val="0"/>
          <w:marBottom w:val="0"/>
          <w:divBdr>
            <w:top w:val="none" w:sz="0" w:space="0" w:color="auto"/>
            <w:left w:val="none" w:sz="0" w:space="0" w:color="auto"/>
            <w:bottom w:val="none" w:sz="0" w:space="0" w:color="auto"/>
            <w:right w:val="none" w:sz="0" w:space="0" w:color="auto"/>
          </w:divBdr>
        </w:div>
        <w:div w:id="1442605105">
          <w:marLeft w:val="640"/>
          <w:marRight w:val="0"/>
          <w:marTop w:val="0"/>
          <w:marBottom w:val="0"/>
          <w:divBdr>
            <w:top w:val="none" w:sz="0" w:space="0" w:color="auto"/>
            <w:left w:val="none" w:sz="0" w:space="0" w:color="auto"/>
            <w:bottom w:val="none" w:sz="0" w:space="0" w:color="auto"/>
            <w:right w:val="none" w:sz="0" w:space="0" w:color="auto"/>
          </w:divBdr>
        </w:div>
        <w:div w:id="587925613">
          <w:marLeft w:val="640"/>
          <w:marRight w:val="0"/>
          <w:marTop w:val="0"/>
          <w:marBottom w:val="0"/>
          <w:divBdr>
            <w:top w:val="none" w:sz="0" w:space="0" w:color="auto"/>
            <w:left w:val="none" w:sz="0" w:space="0" w:color="auto"/>
            <w:bottom w:val="none" w:sz="0" w:space="0" w:color="auto"/>
            <w:right w:val="none" w:sz="0" w:space="0" w:color="auto"/>
          </w:divBdr>
        </w:div>
        <w:div w:id="475689554">
          <w:marLeft w:val="640"/>
          <w:marRight w:val="0"/>
          <w:marTop w:val="0"/>
          <w:marBottom w:val="0"/>
          <w:divBdr>
            <w:top w:val="none" w:sz="0" w:space="0" w:color="auto"/>
            <w:left w:val="none" w:sz="0" w:space="0" w:color="auto"/>
            <w:bottom w:val="none" w:sz="0" w:space="0" w:color="auto"/>
            <w:right w:val="none" w:sz="0" w:space="0" w:color="auto"/>
          </w:divBdr>
        </w:div>
        <w:div w:id="855070797">
          <w:marLeft w:val="640"/>
          <w:marRight w:val="0"/>
          <w:marTop w:val="0"/>
          <w:marBottom w:val="0"/>
          <w:divBdr>
            <w:top w:val="none" w:sz="0" w:space="0" w:color="auto"/>
            <w:left w:val="none" w:sz="0" w:space="0" w:color="auto"/>
            <w:bottom w:val="none" w:sz="0" w:space="0" w:color="auto"/>
            <w:right w:val="none" w:sz="0" w:space="0" w:color="auto"/>
          </w:divBdr>
        </w:div>
        <w:div w:id="1596209381">
          <w:marLeft w:val="640"/>
          <w:marRight w:val="0"/>
          <w:marTop w:val="0"/>
          <w:marBottom w:val="0"/>
          <w:divBdr>
            <w:top w:val="none" w:sz="0" w:space="0" w:color="auto"/>
            <w:left w:val="none" w:sz="0" w:space="0" w:color="auto"/>
            <w:bottom w:val="none" w:sz="0" w:space="0" w:color="auto"/>
            <w:right w:val="none" w:sz="0" w:space="0" w:color="auto"/>
          </w:divBdr>
        </w:div>
        <w:div w:id="1974755040">
          <w:marLeft w:val="640"/>
          <w:marRight w:val="0"/>
          <w:marTop w:val="0"/>
          <w:marBottom w:val="0"/>
          <w:divBdr>
            <w:top w:val="none" w:sz="0" w:space="0" w:color="auto"/>
            <w:left w:val="none" w:sz="0" w:space="0" w:color="auto"/>
            <w:bottom w:val="none" w:sz="0" w:space="0" w:color="auto"/>
            <w:right w:val="none" w:sz="0" w:space="0" w:color="auto"/>
          </w:divBdr>
        </w:div>
        <w:div w:id="1275551572">
          <w:marLeft w:val="640"/>
          <w:marRight w:val="0"/>
          <w:marTop w:val="0"/>
          <w:marBottom w:val="0"/>
          <w:divBdr>
            <w:top w:val="none" w:sz="0" w:space="0" w:color="auto"/>
            <w:left w:val="none" w:sz="0" w:space="0" w:color="auto"/>
            <w:bottom w:val="none" w:sz="0" w:space="0" w:color="auto"/>
            <w:right w:val="none" w:sz="0" w:space="0" w:color="auto"/>
          </w:divBdr>
        </w:div>
        <w:div w:id="1107309282">
          <w:marLeft w:val="640"/>
          <w:marRight w:val="0"/>
          <w:marTop w:val="0"/>
          <w:marBottom w:val="0"/>
          <w:divBdr>
            <w:top w:val="none" w:sz="0" w:space="0" w:color="auto"/>
            <w:left w:val="none" w:sz="0" w:space="0" w:color="auto"/>
            <w:bottom w:val="none" w:sz="0" w:space="0" w:color="auto"/>
            <w:right w:val="none" w:sz="0" w:space="0" w:color="auto"/>
          </w:divBdr>
        </w:div>
        <w:div w:id="380598335">
          <w:marLeft w:val="640"/>
          <w:marRight w:val="0"/>
          <w:marTop w:val="0"/>
          <w:marBottom w:val="0"/>
          <w:divBdr>
            <w:top w:val="none" w:sz="0" w:space="0" w:color="auto"/>
            <w:left w:val="none" w:sz="0" w:space="0" w:color="auto"/>
            <w:bottom w:val="none" w:sz="0" w:space="0" w:color="auto"/>
            <w:right w:val="none" w:sz="0" w:space="0" w:color="auto"/>
          </w:divBdr>
        </w:div>
        <w:div w:id="1585258133">
          <w:marLeft w:val="640"/>
          <w:marRight w:val="0"/>
          <w:marTop w:val="0"/>
          <w:marBottom w:val="0"/>
          <w:divBdr>
            <w:top w:val="none" w:sz="0" w:space="0" w:color="auto"/>
            <w:left w:val="none" w:sz="0" w:space="0" w:color="auto"/>
            <w:bottom w:val="none" w:sz="0" w:space="0" w:color="auto"/>
            <w:right w:val="none" w:sz="0" w:space="0" w:color="auto"/>
          </w:divBdr>
        </w:div>
        <w:div w:id="641009689">
          <w:marLeft w:val="640"/>
          <w:marRight w:val="0"/>
          <w:marTop w:val="0"/>
          <w:marBottom w:val="0"/>
          <w:divBdr>
            <w:top w:val="none" w:sz="0" w:space="0" w:color="auto"/>
            <w:left w:val="none" w:sz="0" w:space="0" w:color="auto"/>
            <w:bottom w:val="none" w:sz="0" w:space="0" w:color="auto"/>
            <w:right w:val="none" w:sz="0" w:space="0" w:color="auto"/>
          </w:divBdr>
        </w:div>
        <w:div w:id="1738354330">
          <w:marLeft w:val="640"/>
          <w:marRight w:val="0"/>
          <w:marTop w:val="0"/>
          <w:marBottom w:val="0"/>
          <w:divBdr>
            <w:top w:val="none" w:sz="0" w:space="0" w:color="auto"/>
            <w:left w:val="none" w:sz="0" w:space="0" w:color="auto"/>
            <w:bottom w:val="none" w:sz="0" w:space="0" w:color="auto"/>
            <w:right w:val="none" w:sz="0" w:space="0" w:color="auto"/>
          </w:divBdr>
        </w:div>
        <w:div w:id="300238037">
          <w:marLeft w:val="640"/>
          <w:marRight w:val="0"/>
          <w:marTop w:val="0"/>
          <w:marBottom w:val="0"/>
          <w:divBdr>
            <w:top w:val="none" w:sz="0" w:space="0" w:color="auto"/>
            <w:left w:val="none" w:sz="0" w:space="0" w:color="auto"/>
            <w:bottom w:val="none" w:sz="0" w:space="0" w:color="auto"/>
            <w:right w:val="none" w:sz="0" w:space="0" w:color="auto"/>
          </w:divBdr>
        </w:div>
        <w:div w:id="315695623">
          <w:marLeft w:val="640"/>
          <w:marRight w:val="0"/>
          <w:marTop w:val="0"/>
          <w:marBottom w:val="0"/>
          <w:divBdr>
            <w:top w:val="none" w:sz="0" w:space="0" w:color="auto"/>
            <w:left w:val="none" w:sz="0" w:space="0" w:color="auto"/>
            <w:bottom w:val="none" w:sz="0" w:space="0" w:color="auto"/>
            <w:right w:val="none" w:sz="0" w:space="0" w:color="auto"/>
          </w:divBdr>
        </w:div>
        <w:div w:id="1244685378">
          <w:marLeft w:val="640"/>
          <w:marRight w:val="0"/>
          <w:marTop w:val="0"/>
          <w:marBottom w:val="0"/>
          <w:divBdr>
            <w:top w:val="none" w:sz="0" w:space="0" w:color="auto"/>
            <w:left w:val="none" w:sz="0" w:space="0" w:color="auto"/>
            <w:bottom w:val="none" w:sz="0" w:space="0" w:color="auto"/>
            <w:right w:val="none" w:sz="0" w:space="0" w:color="auto"/>
          </w:divBdr>
        </w:div>
        <w:div w:id="1350328966">
          <w:marLeft w:val="640"/>
          <w:marRight w:val="0"/>
          <w:marTop w:val="0"/>
          <w:marBottom w:val="0"/>
          <w:divBdr>
            <w:top w:val="none" w:sz="0" w:space="0" w:color="auto"/>
            <w:left w:val="none" w:sz="0" w:space="0" w:color="auto"/>
            <w:bottom w:val="none" w:sz="0" w:space="0" w:color="auto"/>
            <w:right w:val="none" w:sz="0" w:space="0" w:color="auto"/>
          </w:divBdr>
        </w:div>
        <w:div w:id="1758867451">
          <w:marLeft w:val="640"/>
          <w:marRight w:val="0"/>
          <w:marTop w:val="0"/>
          <w:marBottom w:val="0"/>
          <w:divBdr>
            <w:top w:val="none" w:sz="0" w:space="0" w:color="auto"/>
            <w:left w:val="none" w:sz="0" w:space="0" w:color="auto"/>
            <w:bottom w:val="none" w:sz="0" w:space="0" w:color="auto"/>
            <w:right w:val="none" w:sz="0" w:space="0" w:color="auto"/>
          </w:divBdr>
        </w:div>
        <w:div w:id="684328186">
          <w:marLeft w:val="640"/>
          <w:marRight w:val="0"/>
          <w:marTop w:val="0"/>
          <w:marBottom w:val="0"/>
          <w:divBdr>
            <w:top w:val="none" w:sz="0" w:space="0" w:color="auto"/>
            <w:left w:val="none" w:sz="0" w:space="0" w:color="auto"/>
            <w:bottom w:val="none" w:sz="0" w:space="0" w:color="auto"/>
            <w:right w:val="none" w:sz="0" w:space="0" w:color="auto"/>
          </w:divBdr>
        </w:div>
        <w:div w:id="217327543">
          <w:marLeft w:val="640"/>
          <w:marRight w:val="0"/>
          <w:marTop w:val="0"/>
          <w:marBottom w:val="0"/>
          <w:divBdr>
            <w:top w:val="none" w:sz="0" w:space="0" w:color="auto"/>
            <w:left w:val="none" w:sz="0" w:space="0" w:color="auto"/>
            <w:bottom w:val="none" w:sz="0" w:space="0" w:color="auto"/>
            <w:right w:val="none" w:sz="0" w:space="0" w:color="auto"/>
          </w:divBdr>
        </w:div>
        <w:div w:id="1195771385">
          <w:marLeft w:val="640"/>
          <w:marRight w:val="0"/>
          <w:marTop w:val="0"/>
          <w:marBottom w:val="0"/>
          <w:divBdr>
            <w:top w:val="none" w:sz="0" w:space="0" w:color="auto"/>
            <w:left w:val="none" w:sz="0" w:space="0" w:color="auto"/>
            <w:bottom w:val="none" w:sz="0" w:space="0" w:color="auto"/>
            <w:right w:val="none" w:sz="0" w:space="0" w:color="auto"/>
          </w:divBdr>
        </w:div>
        <w:div w:id="1099443596">
          <w:marLeft w:val="640"/>
          <w:marRight w:val="0"/>
          <w:marTop w:val="0"/>
          <w:marBottom w:val="0"/>
          <w:divBdr>
            <w:top w:val="none" w:sz="0" w:space="0" w:color="auto"/>
            <w:left w:val="none" w:sz="0" w:space="0" w:color="auto"/>
            <w:bottom w:val="none" w:sz="0" w:space="0" w:color="auto"/>
            <w:right w:val="none" w:sz="0" w:space="0" w:color="auto"/>
          </w:divBdr>
        </w:div>
        <w:div w:id="287325905">
          <w:marLeft w:val="640"/>
          <w:marRight w:val="0"/>
          <w:marTop w:val="0"/>
          <w:marBottom w:val="0"/>
          <w:divBdr>
            <w:top w:val="none" w:sz="0" w:space="0" w:color="auto"/>
            <w:left w:val="none" w:sz="0" w:space="0" w:color="auto"/>
            <w:bottom w:val="none" w:sz="0" w:space="0" w:color="auto"/>
            <w:right w:val="none" w:sz="0" w:space="0" w:color="auto"/>
          </w:divBdr>
        </w:div>
        <w:div w:id="444038379">
          <w:marLeft w:val="640"/>
          <w:marRight w:val="0"/>
          <w:marTop w:val="0"/>
          <w:marBottom w:val="0"/>
          <w:divBdr>
            <w:top w:val="none" w:sz="0" w:space="0" w:color="auto"/>
            <w:left w:val="none" w:sz="0" w:space="0" w:color="auto"/>
            <w:bottom w:val="none" w:sz="0" w:space="0" w:color="auto"/>
            <w:right w:val="none" w:sz="0" w:space="0" w:color="auto"/>
          </w:divBdr>
        </w:div>
        <w:div w:id="682706421">
          <w:marLeft w:val="640"/>
          <w:marRight w:val="0"/>
          <w:marTop w:val="0"/>
          <w:marBottom w:val="0"/>
          <w:divBdr>
            <w:top w:val="none" w:sz="0" w:space="0" w:color="auto"/>
            <w:left w:val="none" w:sz="0" w:space="0" w:color="auto"/>
            <w:bottom w:val="none" w:sz="0" w:space="0" w:color="auto"/>
            <w:right w:val="none" w:sz="0" w:space="0" w:color="auto"/>
          </w:divBdr>
        </w:div>
        <w:div w:id="1367178803">
          <w:marLeft w:val="640"/>
          <w:marRight w:val="0"/>
          <w:marTop w:val="0"/>
          <w:marBottom w:val="0"/>
          <w:divBdr>
            <w:top w:val="none" w:sz="0" w:space="0" w:color="auto"/>
            <w:left w:val="none" w:sz="0" w:space="0" w:color="auto"/>
            <w:bottom w:val="none" w:sz="0" w:space="0" w:color="auto"/>
            <w:right w:val="none" w:sz="0" w:space="0" w:color="auto"/>
          </w:divBdr>
        </w:div>
        <w:div w:id="1774594773">
          <w:marLeft w:val="640"/>
          <w:marRight w:val="0"/>
          <w:marTop w:val="0"/>
          <w:marBottom w:val="0"/>
          <w:divBdr>
            <w:top w:val="none" w:sz="0" w:space="0" w:color="auto"/>
            <w:left w:val="none" w:sz="0" w:space="0" w:color="auto"/>
            <w:bottom w:val="none" w:sz="0" w:space="0" w:color="auto"/>
            <w:right w:val="none" w:sz="0" w:space="0" w:color="auto"/>
          </w:divBdr>
        </w:div>
        <w:div w:id="916863695">
          <w:marLeft w:val="640"/>
          <w:marRight w:val="0"/>
          <w:marTop w:val="0"/>
          <w:marBottom w:val="0"/>
          <w:divBdr>
            <w:top w:val="none" w:sz="0" w:space="0" w:color="auto"/>
            <w:left w:val="none" w:sz="0" w:space="0" w:color="auto"/>
            <w:bottom w:val="none" w:sz="0" w:space="0" w:color="auto"/>
            <w:right w:val="none" w:sz="0" w:space="0" w:color="auto"/>
          </w:divBdr>
        </w:div>
        <w:div w:id="433790303">
          <w:marLeft w:val="640"/>
          <w:marRight w:val="0"/>
          <w:marTop w:val="0"/>
          <w:marBottom w:val="0"/>
          <w:divBdr>
            <w:top w:val="none" w:sz="0" w:space="0" w:color="auto"/>
            <w:left w:val="none" w:sz="0" w:space="0" w:color="auto"/>
            <w:bottom w:val="none" w:sz="0" w:space="0" w:color="auto"/>
            <w:right w:val="none" w:sz="0" w:space="0" w:color="auto"/>
          </w:divBdr>
        </w:div>
        <w:div w:id="1327049101">
          <w:marLeft w:val="640"/>
          <w:marRight w:val="0"/>
          <w:marTop w:val="0"/>
          <w:marBottom w:val="0"/>
          <w:divBdr>
            <w:top w:val="none" w:sz="0" w:space="0" w:color="auto"/>
            <w:left w:val="none" w:sz="0" w:space="0" w:color="auto"/>
            <w:bottom w:val="none" w:sz="0" w:space="0" w:color="auto"/>
            <w:right w:val="none" w:sz="0" w:space="0" w:color="auto"/>
          </w:divBdr>
        </w:div>
        <w:div w:id="840202211">
          <w:marLeft w:val="640"/>
          <w:marRight w:val="0"/>
          <w:marTop w:val="0"/>
          <w:marBottom w:val="0"/>
          <w:divBdr>
            <w:top w:val="none" w:sz="0" w:space="0" w:color="auto"/>
            <w:left w:val="none" w:sz="0" w:space="0" w:color="auto"/>
            <w:bottom w:val="none" w:sz="0" w:space="0" w:color="auto"/>
            <w:right w:val="none" w:sz="0" w:space="0" w:color="auto"/>
          </w:divBdr>
        </w:div>
        <w:div w:id="433597438">
          <w:marLeft w:val="640"/>
          <w:marRight w:val="0"/>
          <w:marTop w:val="0"/>
          <w:marBottom w:val="0"/>
          <w:divBdr>
            <w:top w:val="none" w:sz="0" w:space="0" w:color="auto"/>
            <w:left w:val="none" w:sz="0" w:space="0" w:color="auto"/>
            <w:bottom w:val="none" w:sz="0" w:space="0" w:color="auto"/>
            <w:right w:val="none" w:sz="0" w:space="0" w:color="auto"/>
          </w:divBdr>
        </w:div>
        <w:div w:id="1768623654">
          <w:marLeft w:val="640"/>
          <w:marRight w:val="0"/>
          <w:marTop w:val="0"/>
          <w:marBottom w:val="0"/>
          <w:divBdr>
            <w:top w:val="none" w:sz="0" w:space="0" w:color="auto"/>
            <w:left w:val="none" w:sz="0" w:space="0" w:color="auto"/>
            <w:bottom w:val="none" w:sz="0" w:space="0" w:color="auto"/>
            <w:right w:val="none" w:sz="0" w:space="0" w:color="auto"/>
          </w:divBdr>
        </w:div>
        <w:div w:id="626544483">
          <w:marLeft w:val="640"/>
          <w:marRight w:val="0"/>
          <w:marTop w:val="0"/>
          <w:marBottom w:val="0"/>
          <w:divBdr>
            <w:top w:val="none" w:sz="0" w:space="0" w:color="auto"/>
            <w:left w:val="none" w:sz="0" w:space="0" w:color="auto"/>
            <w:bottom w:val="none" w:sz="0" w:space="0" w:color="auto"/>
            <w:right w:val="none" w:sz="0" w:space="0" w:color="auto"/>
          </w:divBdr>
        </w:div>
        <w:div w:id="2107536063">
          <w:marLeft w:val="640"/>
          <w:marRight w:val="0"/>
          <w:marTop w:val="0"/>
          <w:marBottom w:val="0"/>
          <w:divBdr>
            <w:top w:val="none" w:sz="0" w:space="0" w:color="auto"/>
            <w:left w:val="none" w:sz="0" w:space="0" w:color="auto"/>
            <w:bottom w:val="none" w:sz="0" w:space="0" w:color="auto"/>
            <w:right w:val="none" w:sz="0" w:space="0" w:color="auto"/>
          </w:divBdr>
        </w:div>
        <w:div w:id="1037703923">
          <w:marLeft w:val="640"/>
          <w:marRight w:val="0"/>
          <w:marTop w:val="0"/>
          <w:marBottom w:val="0"/>
          <w:divBdr>
            <w:top w:val="none" w:sz="0" w:space="0" w:color="auto"/>
            <w:left w:val="none" w:sz="0" w:space="0" w:color="auto"/>
            <w:bottom w:val="none" w:sz="0" w:space="0" w:color="auto"/>
            <w:right w:val="none" w:sz="0" w:space="0" w:color="auto"/>
          </w:divBdr>
        </w:div>
        <w:div w:id="1264848226">
          <w:marLeft w:val="640"/>
          <w:marRight w:val="0"/>
          <w:marTop w:val="0"/>
          <w:marBottom w:val="0"/>
          <w:divBdr>
            <w:top w:val="none" w:sz="0" w:space="0" w:color="auto"/>
            <w:left w:val="none" w:sz="0" w:space="0" w:color="auto"/>
            <w:bottom w:val="none" w:sz="0" w:space="0" w:color="auto"/>
            <w:right w:val="none" w:sz="0" w:space="0" w:color="auto"/>
          </w:divBdr>
        </w:div>
        <w:div w:id="1628509647">
          <w:marLeft w:val="640"/>
          <w:marRight w:val="0"/>
          <w:marTop w:val="0"/>
          <w:marBottom w:val="0"/>
          <w:divBdr>
            <w:top w:val="none" w:sz="0" w:space="0" w:color="auto"/>
            <w:left w:val="none" w:sz="0" w:space="0" w:color="auto"/>
            <w:bottom w:val="none" w:sz="0" w:space="0" w:color="auto"/>
            <w:right w:val="none" w:sz="0" w:space="0" w:color="auto"/>
          </w:divBdr>
        </w:div>
        <w:div w:id="429935265">
          <w:marLeft w:val="640"/>
          <w:marRight w:val="0"/>
          <w:marTop w:val="0"/>
          <w:marBottom w:val="0"/>
          <w:divBdr>
            <w:top w:val="none" w:sz="0" w:space="0" w:color="auto"/>
            <w:left w:val="none" w:sz="0" w:space="0" w:color="auto"/>
            <w:bottom w:val="none" w:sz="0" w:space="0" w:color="auto"/>
            <w:right w:val="none" w:sz="0" w:space="0" w:color="auto"/>
          </w:divBdr>
        </w:div>
        <w:div w:id="20982379">
          <w:marLeft w:val="640"/>
          <w:marRight w:val="0"/>
          <w:marTop w:val="0"/>
          <w:marBottom w:val="0"/>
          <w:divBdr>
            <w:top w:val="none" w:sz="0" w:space="0" w:color="auto"/>
            <w:left w:val="none" w:sz="0" w:space="0" w:color="auto"/>
            <w:bottom w:val="none" w:sz="0" w:space="0" w:color="auto"/>
            <w:right w:val="none" w:sz="0" w:space="0" w:color="auto"/>
          </w:divBdr>
        </w:div>
        <w:div w:id="17004706">
          <w:marLeft w:val="640"/>
          <w:marRight w:val="0"/>
          <w:marTop w:val="0"/>
          <w:marBottom w:val="0"/>
          <w:divBdr>
            <w:top w:val="none" w:sz="0" w:space="0" w:color="auto"/>
            <w:left w:val="none" w:sz="0" w:space="0" w:color="auto"/>
            <w:bottom w:val="none" w:sz="0" w:space="0" w:color="auto"/>
            <w:right w:val="none" w:sz="0" w:space="0" w:color="auto"/>
          </w:divBdr>
        </w:div>
        <w:div w:id="893392685">
          <w:marLeft w:val="640"/>
          <w:marRight w:val="0"/>
          <w:marTop w:val="0"/>
          <w:marBottom w:val="0"/>
          <w:divBdr>
            <w:top w:val="none" w:sz="0" w:space="0" w:color="auto"/>
            <w:left w:val="none" w:sz="0" w:space="0" w:color="auto"/>
            <w:bottom w:val="none" w:sz="0" w:space="0" w:color="auto"/>
            <w:right w:val="none" w:sz="0" w:space="0" w:color="auto"/>
          </w:divBdr>
        </w:div>
        <w:div w:id="1694455257">
          <w:marLeft w:val="640"/>
          <w:marRight w:val="0"/>
          <w:marTop w:val="0"/>
          <w:marBottom w:val="0"/>
          <w:divBdr>
            <w:top w:val="none" w:sz="0" w:space="0" w:color="auto"/>
            <w:left w:val="none" w:sz="0" w:space="0" w:color="auto"/>
            <w:bottom w:val="none" w:sz="0" w:space="0" w:color="auto"/>
            <w:right w:val="none" w:sz="0" w:space="0" w:color="auto"/>
          </w:divBdr>
        </w:div>
        <w:div w:id="1091464343">
          <w:marLeft w:val="640"/>
          <w:marRight w:val="0"/>
          <w:marTop w:val="0"/>
          <w:marBottom w:val="0"/>
          <w:divBdr>
            <w:top w:val="none" w:sz="0" w:space="0" w:color="auto"/>
            <w:left w:val="none" w:sz="0" w:space="0" w:color="auto"/>
            <w:bottom w:val="none" w:sz="0" w:space="0" w:color="auto"/>
            <w:right w:val="none" w:sz="0" w:space="0" w:color="auto"/>
          </w:divBdr>
        </w:div>
        <w:div w:id="134496181">
          <w:marLeft w:val="640"/>
          <w:marRight w:val="0"/>
          <w:marTop w:val="0"/>
          <w:marBottom w:val="0"/>
          <w:divBdr>
            <w:top w:val="none" w:sz="0" w:space="0" w:color="auto"/>
            <w:left w:val="none" w:sz="0" w:space="0" w:color="auto"/>
            <w:bottom w:val="none" w:sz="0" w:space="0" w:color="auto"/>
            <w:right w:val="none" w:sz="0" w:space="0" w:color="auto"/>
          </w:divBdr>
        </w:div>
        <w:div w:id="1433470566">
          <w:marLeft w:val="640"/>
          <w:marRight w:val="0"/>
          <w:marTop w:val="0"/>
          <w:marBottom w:val="0"/>
          <w:divBdr>
            <w:top w:val="none" w:sz="0" w:space="0" w:color="auto"/>
            <w:left w:val="none" w:sz="0" w:space="0" w:color="auto"/>
            <w:bottom w:val="none" w:sz="0" w:space="0" w:color="auto"/>
            <w:right w:val="none" w:sz="0" w:space="0" w:color="auto"/>
          </w:divBdr>
        </w:div>
        <w:div w:id="1675457591">
          <w:marLeft w:val="640"/>
          <w:marRight w:val="0"/>
          <w:marTop w:val="0"/>
          <w:marBottom w:val="0"/>
          <w:divBdr>
            <w:top w:val="none" w:sz="0" w:space="0" w:color="auto"/>
            <w:left w:val="none" w:sz="0" w:space="0" w:color="auto"/>
            <w:bottom w:val="none" w:sz="0" w:space="0" w:color="auto"/>
            <w:right w:val="none" w:sz="0" w:space="0" w:color="auto"/>
          </w:divBdr>
        </w:div>
        <w:div w:id="1625891472">
          <w:marLeft w:val="640"/>
          <w:marRight w:val="0"/>
          <w:marTop w:val="0"/>
          <w:marBottom w:val="0"/>
          <w:divBdr>
            <w:top w:val="none" w:sz="0" w:space="0" w:color="auto"/>
            <w:left w:val="none" w:sz="0" w:space="0" w:color="auto"/>
            <w:bottom w:val="none" w:sz="0" w:space="0" w:color="auto"/>
            <w:right w:val="none" w:sz="0" w:space="0" w:color="auto"/>
          </w:divBdr>
        </w:div>
        <w:div w:id="768624780">
          <w:marLeft w:val="640"/>
          <w:marRight w:val="0"/>
          <w:marTop w:val="0"/>
          <w:marBottom w:val="0"/>
          <w:divBdr>
            <w:top w:val="none" w:sz="0" w:space="0" w:color="auto"/>
            <w:left w:val="none" w:sz="0" w:space="0" w:color="auto"/>
            <w:bottom w:val="none" w:sz="0" w:space="0" w:color="auto"/>
            <w:right w:val="none" w:sz="0" w:space="0" w:color="auto"/>
          </w:divBdr>
        </w:div>
        <w:div w:id="237206209">
          <w:marLeft w:val="640"/>
          <w:marRight w:val="0"/>
          <w:marTop w:val="0"/>
          <w:marBottom w:val="0"/>
          <w:divBdr>
            <w:top w:val="none" w:sz="0" w:space="0" w:color="auto"/>
            <w:left w:val="none" w:sz="0" w:space="0" w:color="auto"/>
            <w:bottom w:val="none" w:sz="0" w:space="0" w:color="auto"/>
            <w:right w:val="none" w:sz="0" w:space="0" w:color="auto"/>
          </w:divBdr>
        </w:div>
        <w:div w:id="1420903030">
          <w:marLeft w:val="640"/>
          <w:marRight w:val="0"/>
          <w:marTop w:val="0"/>
          <w:marBottom w:val="0"/>
          <w:divBdr>
            <w:top w:val="none" w:sz="0" w:space="0" w:color="auto"/>
            <w:left w:val="none" w:sz="0" w:space="0" w:color="auto"/>
            <w:bottom w:val="none" w:sz="0" w:space="0" w:color="auto"/>
            <w:right w:val="none" w:sz="0" w:space="0" w:color="auto"/>
          </w:divBdr>
        </w:div>
        <w:div w:id="1890796740">
          <w:marLeft w:val="640"/>
          <w:marRight w:val="0"/>
          <w:marTop w:val="0"/>
          <w:marBottom w:val="0"/>
          <w:divBdr>
            <w:top w:val="none" w:sz="0" w:space="0" w:color="auto"/>
            <w:left w:val="none" w:sz="0" w:space="0" w:color="auto"/>
            <w:bottom w:val="none" w:sz="0" w:space="0" w:color="auto"/>
            <w:right w:val="none" w:sz="0" w:space="0" w:color="auto"/>
          </w:divBdr>
        </w:div>
        <w:div w:id="409810616">
          <w:marLeft w:val="640"/>
          <w:marRight w:val="0"/>
          <w:marTop w:val="0"/>
          <w:marBottom w:val="0"/>
          <w:divBdr>
            <w:top w:val="none" w:sz="0" w:space="0" w:color="auto"/>
            <w:left w:val="none" w:sz="0" w:space="0" w:color="auto"/>
            <w:bottom w:val="none" w:sz="0" w:space="0" w:color="auto"/>
            <w:right w:val="none" w:sz="0" w:space="0" w:color="auto"/>
          </w:divBdr>
        </w:div>
        <w:div w:id="1184174736">
          <w:marLeft w:val="640"/>
          <w:marRight w:val="0"/>
          <w:marTop w:val="0"/>
          <w:marBottom w:val="0"/>
          <w:divBdr>
            <w:top w:val="none" w:sz="0" w:space="0" w:color="auto"/>
            <w:left w:val="none" w:sz="0" w:space="0" w:color="auto"/>
            <w:bottom w:val="none" w:sz="0" w:space="0" w:color="auto"/>
            <w:right w:val="none" w:sz="0" w:space="0" w:color="auto"/>
          </w:divBdr>
        </w:div>
        <w:div w:id="994453357">
          <w:marLeft w:val="640"/>
          <w:marRight w:val="0"/>
          <w:marTop w:val="0"/>
          <w:marBottom w:val="0"/>
          <w:divBdr>
            <w:top w:val="none" w:sz="0" w:space="0" w:color="auto"/>
            <w:left w:val="none" w:sz="0" w:space="0" w:color="auto"/>
            <w:bottom w:val="none" w:sz="0" w:space="0" w:color="auto"/>
            <w:right w:val="none" w:sz="0" w:space="0" w:color="auto"/>
          </w:divBdr>
        </w:div>
        <w:div w:id="1637492815">
          <w:marLeft w:val="640"/>
          <w:marRight w:val="0"/>
          <w:marTop w:val="0"/>
          <w:marBottom w:val="0"/>
          <w:divBdr>
            <w:top w:val="none" w:sz="0" w:space="0" w:color="auto"/>
            <w:left w:val="none" w:sz="0" w:space="0" w:color="auto"/>
            <w:bottom w:val="none" w:sz="0" w:space="0" w:color="auto"/>
            <w:right w:val="none" w:sz="0" w:space="0" w:color="auto"/>
          </w:divBdr>
        </w:div>
        <w:div w:id="1722711662">
          <w:marLeft w:val="640"/>
          <w:marRight w:val="0"/>
          <w:marTop w:val="0"/>
          <w:marBottom w:val="0"/>
          <w:divBdr>
            <w:top w:val="none" w:sz="0" w:space="0" w:color="auto"/>
            <w:left w:val="none" w:sz="0" w:space="0" w:color="auto"/>
            <w:bottom w:val="none" w:sz="0" w:space="0" w:color="auto"/>
            <w:right w:val="none" w:sz="0" w:space="0" w:color="auto"/>
          </w:divBdr>
        </w:div>
        <w:div w:id="1265304746">
          <w:marLeft w:val="640"/>
          <w:marRight w:val="0"/>
          <w:marTop w:val="0"/>
          <w:marBottom w:val="0"/>
          <w:divBdr>
            <w:top w:val="none" w:sz="0" w:space="0" w:color="auto"/>
            <w:left w:val="none" w:sz="0" w:space="0" w:color="auto"/>
            <w:bottom w:val="none" w:sz="0" w:space="0" w:color="auto"/>
            <w:right w:val="none" w:sz="0" w:space="0" w:color="auto"/>
          </w:divBdr>
        </w:div>
        <w:div w:id="1129317306">
          <w:marLeft w:val="640"/>
          <w:marRight w:val="0"/>
          <w:marTop w:val="0"/>
          <w:marBottom w:val="0"/>
          <w:divBdr>
            <w:top w:val="none" w:sz="0" w:space="0" w:color="auto"/>
            <w:left w:val="none" w:sz="0" w:space="0" w:color="auto"/>
            <w:bottom w:val="none" w:sz="0" w:space="0" w:color="auto"/>
            <w:right w:val="none" w:sz="0" w:space="0" w:color="auto"/>
          </w:divBdr>
        </w:div>
        <w:div w:id="1687168733">
          <w:marLeft w:val="640"/>
          <w:marRight w:val="0"/>
          <w:marTop w:val="0"/>
          <w:marBottom w:val="0"/>
          <w:divBdr>
            <w:top w:val="none" w:sz="0" w:space="0" w:color="auto"/>
            <w:left w:val="none" w:sz="0" w:space="0" w:color="auto"/>
            <w:bottom w:val="none" w:sz="0" w:space="0" w:color="auto"/>
            <w:right w:val="none" w:sz="0" w:space="0" w:color="auto"/>
          </w:divBdr>
        </w:div>
        <w:div w:id="1676880508">
          <w:marLeft w:val="640"/>
          <w:marRight w:val="0"/>
          <w:marTop w:val="0"/>
          <w:marBottom w:val="0"/>
          <w:divBdr>
            <w:top w:val="none" w:sz="0" w:space="0" w:color="auto"/>
            <w:left w:val="none" w:sz="0" w:space="0" w:color="auto"/>
            <w:bottom w:val="none" w:sz="0" w:space="0" w:color="auto"/>
            <w:right w:val="none" w:sz="0" w:space="0" w:color="auto"/>
          </w:divBdr>
        </w:div>
        <w:div w:id="326783423">
          <w:marLeft w:val="640"/>
          <w:marRight w:val="0"/>
          <w:marTop w:val="0"/>
          <w:marBottom w:val="0"/>
          <w:divBdr>
            <w:top w:val="none" w:sz="0" w:space="0" w:color="auto"/>
            <w:left w:val="none" w:sz="0" w:space="0" w:color="auto"/>
            <w:bottom w:val="none" w:sz="0" w:space="0" w:color="auto"/>
            <w:right w:val="none" w:sz="0" w:space="0" w:color="auto"/>
          </w:divBdr>
        </w:div>
        <w:div w:id="507209774">
          <w:marLeft w:val="640"/>
          <w:marRight w:val="0"/>
          <w:marTop w:val="0"/>
          <w:marBottom w:val="0"/>
          <w:divBdr>
            <w:top w:val="none" w:sz="0" w:space="0" w:color="auto"/>
            <w:left w:val="none" w:sz="0" w:space="0" w:color="auto"/>
            <w:bottom w:val="none" w:sz="0" w:space="0" w:color="auto"/>
            <w:right w:val="none" w:sz="0" w:space="0" w:color="auto"/>
          </w:divBdr>
        </w:div>
        <w:div w:id="1893148287">
          <w:marLeft w:val="640"/>
          <w:marRight w:val="0"/>
          <w:marTop w:val="0"/>
          <w:marBottom w:val="0"/>
          <w:divBdr>
            <w:top w:val="none" w:sz="0" w:space="0" w:color="auto"/>
            <w:left w:val="none" w:sz="0" w:space="0" w:color="auto"/>
            <w:bottom w:val="none" w:sz="0" w:space="0" w:color="auto"/>
            <w:right w:val="none" w:sz="0" w:space="0" w:color="auto"/>
          </w:divBdr>
        </w:div>
        <w:div w:id="194002259">
          <w:marLeft w:val="640"/>
          <w:marRight w:val="0"/>
          <w:marTop w:val="0"/>
          <w:marBottom w:val="0"/>
          <w:divBdr>
            <w:top w:val="none" w:sz="0" w:space="0" w:color="auto"/>
            <w:left w:val="none" w:sz="0" w:space="0" w:color="auto"/>
            <w:bottom w:val="none" w:sz="0" w:space="0" w:color="auto"/>
            <w:right w:val="none" w:sz="0" w:space="0" w:color="auto"/>
          </w:divBdr>
        </w:div>
        <w:div w:id="1133406860">
          <w:marLeft w:val="640"/>
          <w:marRight w:val="0"/>
          <w:marTop w:val="0"/>
          <w:marBottom w:val="0"/>
          <w:divBdr>
            <w:top w:val="none" w:sz="0" w:space="0" w:color="auto"/>
            <w:left w:val="none" w:sz="0" w:space="0" w:color="auto"/>
            <w:bottom w:val="none" w:sz="0" w:space="0" w:color="auto"/>
            <w:right w:val="none" w:sz="0" w:space="0" w:color="auto"/>
          </w:divBdr>
        </w:div>
        <w:div w:id="1907958228">
          <w:marLeft w:val="640"/>
          <w:marRight w:val="0"/>
          <w:marTop w:val="0"/>
          <w:marBottom w:val="0"/>
          <w:divBdr>
            <w:top w:val="none" w:sz="0" w:space="0" w:color="auto"/>
            <w:left w:val="none" w:sz="0" w:space="0" w:color="auto"/>
            <w:bottom w:val="none" w:sz="0" w:space="0" w:color="auto"/>
            <w:right w:val="none" w:sz="0" w:space="0" w:color="auto"/>
          </w:divBdr>
        </w:div>
        <w:div w:id="858276772">
          <w:marLeft w:val="640"/>
          <w:marRight w:val="0"/>
          <w:marTop w:val="0"/>
          <w:marBottom w:val="0"/>
          <w:divBdr>
            <w:top w:val="none" w:sz="0" w:space="0" w:color="auto"/>
            <w:left w:val="none" w:sz="0" w:space="0" w:color="auto"/>
            <w:bottom w:val="none" w:sz="0" w:space="0" w:color="auto"/>
            <w:right w:val="none" w:sz="0" w:space="0" w:color="auto"/>
          </w:divBdr>
        </w:div>
        <w:div w:id="1052850517">
          <w:marLeft w:val="640"/>
          <w:marRight w:val="0"/>
          <w:marTop w:val="0"/>
          <w:marBottom w:val="0"/>
          <w:divBdr>
            <w:top w:val="none" w:sz="0" w:space="0" w:color="auto"/>
            <w:left w:val="none" w:sz="0" w:space="0" w:color="auto"/>
            <w:bottom w:val="none" w:sz="0" w:space="0" w:color="auto"/>
            <w:right w:val="none" w:sz="0" w:space="0" w:color="auto"/>
          </w:divBdr>
        </w:div>
        <w:div w:id="325788157">
          <w:marLeft w:val="640"/>
          <w:marRight w:val="0"/>
          <w:marTop w:val="0"/>
          <w:marBottom w:val="0"/>
          <w:divBdr>
            <w:top w:val="none" w:sz="0" w:space="0" w:color="auto"/>
            <w:left w:val="none" w:sz="0" w:space="0" w:color="auto"/>
            <w:bottom w:val="none" w:sz="0" w:space="0" w:color="auto"/>
            <w:right w:val="none" w:sz="0" w:space="0" w:color="auto"/>
          </w:divBdr>
        </w:div>
        <w:div w:id="1202864849">
          <w:marLeft w:val="640"/>
          <w:marRight w:val="0"/>
          <w:marTop w:val="0"/>
          <w:marBottom w:val="0"/>
          <w:divBdr>
            <w:top w:val="none" w:sz="0" w:space="0" w:color="auto"/>
            <w:left w:val="none" w:sz="0" w:space="0" w:color="auto"/>
            <w:bottom w:val="none" w:sz="0" w:space="0" w:color="auto"/>
            <w:right w:val="none" w:sz="0" w:space="0" w:color="auto"/>
          </w:divBdr>
        </w:div>
        <w:div w:id="1933008869">
          <w:marLeft w:val="640"/>
          <w:marRight w:val="0"/>
          <w:marTop w:val="0"/>
          <w:marBottom w:val="0"/>
          <w:divBdr>
            <w:top w:val="none" w:sz="0" w:space="0" w:color="auto"/>
            <w:left w:val="none" w:sz="0" w:space="0" w:color="auto"/>
            <w:bottom w:val="none" w:sz="0" w:space="0" w:color="auto"/>
            <w:right w:val="none" w:sz="0" w:space="0" w:color="auto"/>
          </w:divBdr>
        </w:div>
        <w:div w:id="862015376">
          <w:marLeft w:val="640"/>
          <w:marRight w:val="0"/>
          <w:marTop w:val="0"/>
          <w:marBottom w:val="0"/>
          <w:divBdr>
            <w:top w:val="none" w:sz="0" w:space="0" w:color="auto"/>
            <w:left w:val="none" w:sz="0" w:space="0" w:color="auto"/>
            <w:bottom w:val="none" w:sz="0" w:space="0" w:color="auto"/>
            <w:right w:val="none" w:sz="0" w:space="0" w:color="auto"/>
          </w:divBdr>
        </w:div>
        <w:div w:id="1526215674">
          <w:marLeft w:val="640"/>
          <w:marRight w:val="0"/>
          <w:marTop w:val="0"/>
          <w:marBottom w:val="0"/>
          <w:divBdr>
            <w:top w:val="none" w:sz="0" w:space="0" w:color="auto"/>
            <w:left w:val="none" w:sz="0" w:space="0" w:color="auto"/>
            <w:bottom w:val="none" w:sz="0" w:space="0" w:color="auto"/>
            <w:right w:val="none" w:sz="0" w:space="0" w:color="auto"/>
          </w:divBdr>
        </w:div>
        <w:div w:id="721906083">
          <w:marLeft w:val="640"/>
          <w:marRight w:val="0"/>
          <w:marTop w:val="0"/>
          <w:marBottom w:val="0"/>
          <w:divBdr>
            <w:top w:val="none" w:sz="0" w:space="0" w:color="auto"/>
            <w:left w:val="none" w:sz="0" w:space="0" w:color="auto"/>
            <w:bottom w:val="none" w:sz="0" w:space="0" w:color="auto"/>
            <w:right w:val="none" w:sz="0" w:space="0" w:color="auto"/>
          </w:divBdr>
        </w:div>
        <w:div w:id="1802502168">
          <w:marLeft w:val="640"/>
          <w:marRight w:val="0"/>
          <w:marTop w:val="0"/>
          <w:marBottom w:val="0"/>
          <w:divBdr>
            <w:top w:val="none" w:sz="0" w:space="0" w:color="auto"/>
            <w:left w:val="none" w:sz="0" w:space="0" w:color="auto"/>
            <w:bottom w:val="none" w:sz="0" w:space="0" w:color="auto"/>
            <w:right w:val="none" w:sz="0" w:space="0" w:color="auto"/>
          </w:divBdr>
        </w:div>
        <w:div w:id="288903988">
          <w:marLeft w:val="640"/>
          <w:marRight w:val="0"/>
          <w:marTop w:val="0"/>
          <w:marBottom w:val="0"/>
          <w:divBdr>
            <w:top w:val="none" w:sz="0" w:space="0" w:color="auto"/>
            <w:left w:val="none" w:sz="0" w:space="0" w:color="auto"/>
            <w:bottom w:val="none" w:sz="0" w:space="0" w:color="auto"/>
            <w:right w:val="none" w:sz="0" w:space="0" w:color="auto"/>
          </w:divBdr>
        </w:div>
        <w:div w:id="255526692">
          <w:marLeft w:val="640"/>
          <w:marRight w:val="0"/>
          <w:marTop w:val="0"/>
          <w:marBottom w:val="0"/>
          <w:divBdr>
            <w:top w:val="none" w:sz="0" w:space="0" w:color="auto"/>
            <w:left w:val="none" w:sz="0" w:space="0" w:color="auto"/>
            <w:bottom w:val="none" w:sz="0" w:space="0" w:color="auto"/>
            <w:right w:val="none" w:sz="0" w:space="0" w:color="auto"/>
          </w:divBdr>
        </w:div>
        <w:div w:id="1643925152">
          <w:marLeft w:val="640"/>
          <w:marRight w:val="0"/>
          <w:marTop w:val="0"/>
          <w:marBottom w:val="0"/>
          <w:divBdr>
            <w:top w:val="none" w:sz="0" w:space="0" w:color="auto"/>
            <w:left w:val="none" w:sz="0" w:space="0" w:color="auto"/>
            <w:bottom w:val="none" w:sz="0" w:space="0" w:color="auto"/>
            <w:right w:val="none" w:sz="0" w:space="0" w:color="auto"/>
          </w:divBdr>
        </w:div>
        <w:div w:id="1379624196">
          <w:marLeft w:val="640"/>
          <w:marRight w:val="0"/>
          <w:marTop w:val="0"/>
          <w:marBottom w:val="0"/>
          <w:divBdr>
            <w:top w:val="none" w:sz="0" w:space="0" w:color="auto"/>
            <w:left w:val="none" w:sz="0" w:space="0" w:color="auto"/>
            <w:bottom w:val="none" w:sz="0" w:space="0" w:color="auto"/>
            <w:right w:val="none" w:sz="0" w:space="0" w:color="auto"/>
          </w:divBdr>
        </w:div>
        <w:div w:id="2074886397">
          <w:marLeft w:val="640"/>
          <w:marRight w:val="0"/>
          <w:marTop w:val="0"/>
          <w:marBottom w:val="0"/>
          <w:divBdr>
            <w:top w:val="none" w:sz="0" w:space="0" w:color="auto"/>
            <w:left w:val="none" w:sz="0" w:space="0" w:color="auto"/>
            <w:bottom w:val="none" w:sz="0" w:space="0" w:color="auto"/>
            <w:right w:val="none" w:sz="0" w:space="0" w:color="auto"/>
          </w:divBdr>
        </w:div>
        <w:div w:id="805850706">
          <w:marLeft w:val="640"/>
          <w:marRight w:val="0"/>
          <w:marTop w:val="0"/>
          <w:marBottom w:val="0"/>
          <w:divBdr>
            <w:top w:val="none" w:sz="0" w:space="0" w:color="auto"/>
            <w:left w:val="none" w:sz="0" w:space="0" w:color="auto"/>
            <w:bottom w:val="none" w:sz="0" w:space="0" w:color="auto"/>
            <w:right w:val="none" w:sz="0" w:space="0" w:color="auto"/>
          </w:divBdr>
        </w:div>
        <w:div w:id="1813861642">
          <w:marLeft w:val="640"/>
          <w:marRight w:val="0"/>
          <w:marTop w:val="0"/>
          <w:marBottom w:val="0"/>
          <w:divBdr>
            <w:top w:val="none" w:sz="0" w:space="0" w:color="auto"/>
            <w:left w:val="none" w:sz="0" w:space="0" w:color="auto"/>
            <w:bottom w:val="none" w:sz="0" w:space="0" w:color="auto"/>
            <w:right w:val="none" w:sz="0" w:space="0" w:color="auto"/>
          </w:divBdr>
        </w:div>
        <w:div w:id="874123583">
          <w:marLeft w:val="640"/>
          <w:marRight w:val="0"/>
          <w:marTop w:val="0"/>
          <w:marBottom w:val="0"/>
          <w:divBdr>
            <w:top w:val="none" w:sz="0" w:space="0" w:color="auto"/>
            <w:left w:val="none" w:sz="0" w:space="0" w:color="auto"/>
            <w:bottom w:val="none" w:sz="0" w:space="0" w:color="auto"/>
            <w:right w:val="none" w:sz="0" w:space="0" w:color="auto"/>
          </w:divBdr>
        </w:div>
        <w:div w:id="1505314822">
          <w:marLeft w:val="640"/>
          <w:marRight w:val="0"/>
          <w:marTop w:val="0"/>
          <w:marBottom w:val="0"/>
          <w:divBdr>
            <w:top w:val="none" w:sz="0" w:space="0" w:color="auto"/>
            <w:left w:val="none" w:sz="0" w:space="0" w:color="auto"/>
            <w:bottom w:val="none" w:sz="0" w:space="0" w:color="auto"/>
            <w:right w:val="none" w:sz="0" w:space="0" w:color="auto"/>
          </w:divBdr>
        </w:div>
        <w:div w:id="328677732">
          <w:marLeft w:val="640"/>
          <w:marRight w:val="0"/>
          <w:marTop w:val="0"/>
          <w:marBottom w:val="0"/>
          <w:divBdr>
            <w:top w:val="none" w:sz="0" w:space="0" w:color="auto"/>
            <w:left w:val="none" w:sz="0" w:space="0" w:color="auto"/>
            <w:bottom w:val="none" w:sz="0" w:space="0" w:color="auto"/>
            <w:right w:val="none" w:sz="0" w:space="0" w:color="auto"/>
          </w:divBdr>
        </w:div>
        <w:div w:id="327246273">
          <w:marLeft w:val="640"/>
          <w:marRight w:val="0"/>
          <w:marTop w:val="0"/>
          <w:marBottom w:val="0"/>
          <w:divBdr>
            <w:top w:val="none" w:sz="0" w:space="0" w:color="auto"/>
            <w:left w:val="none" w:sz="0" w:space="0" w:color="auto"/>
            <w:bottom w:val="none" w:sz="0" w:space="0" w:color="auto"/>
            <w:right w:val="none" w:sz="0" w:space="0" w:color="auto"/>
          </w:divBdr>
        </w:div>
        <w:div w:id="1076854165">
          <w:marLeft w:val="640"/>
          <w:marRight w:val="0"/>
          <w:marTop w:val="0"/>
          <w:marBottom w:val="0"/>
          <w:divBdr>
            <w:top w:val="none" w:sz="0" w:space="0" w:color="auto"/>
            <w:left w:val="none" w:sz="0" w:space="0" w:color="auto"/>
            <w:bottom w:val="none" w:sz="0" w:space="0" w:color="auto"/>
            <w:right w:val="none" w:sz="0" w:space="0" w:color="auto"/>
          </w:divBdr>
        </w:div>
        <w:div w:id="2061053177">
          <w:marLeft w:val="640"/>
          <w:marRight w:val="0"/>
          <w:marTop w:val="0"/>
          <w:marBottom w:val="0"/>
          <w:divBdr>
            <w:top w:val="none" w:sz="0" w:space="0" w:color="auto"/>
            <w:left w:val="none" w:sz="0" w:space="0" w:color="auto"/>
            <w:bottom w:val="none" w:sz="0" w:space="0" w:color="auto"/>
            <w:right w:val="none" w:sz="0" w:space="0" w:color="auto"/>
          </w:divBdr>
        </w:div>
        <w:div w:id="942306422">
          <w:marLeft w:val="640"/>
          <w:marRight w:val="0"/>
          <w:marTop w:val="0"/>
          <w:marBottom w:val="0"/>
          <w:divBdr>
            <w:top w:val="none" w:sz="0" w:space="0" w:color="auto"/>
            <w:left w:val="none" w:sz="0" w:space="0" w:color="auto"/>
            <w:bottom w:val="none" w:sz="0" w:space="0" w:color="auto"/>
            <w:right w:val="none" w:sz="0" w:space="0" w:color="auto"/>
          </w:divBdr>
        </w:div>
        <w:div w:id="911739864">
          <w:marLeft w:val="640"/>
          <w:marRight w:val="0"/>
          <w:marTop w:val="0"/>
          <w:marBottom w:val="0"/>
          <w:divBdr>
            <w:top w:val="none" w:sz="0" w:space="0" w:color="auto"/>
            <w:left w:val="none" w:sz="0" w:space="0" w:color="auto"/>
            <w:bottom w:val="none" w:sz="0" w:space="0" w:color="auto"/>
            <w:right w:val="none" w:sz="0" w:space="0" w:color="auto"/>
          </w:divBdr>
        </w:div>
        <w:div w:id="505904661">
          <w:marLeft w:val="640"/>
          <w:marRight w:val="0"/>
          <w:marTop w:val="0"/>
          <w:marBottom w:val="0"/>
          <w:divBdr>
            <w:top w:val="none" w:sz="0" w:space="0" w:color="auto"/>
            <w:left w:val="none" w:sz="0" w:space="0" w:color="auto"/>
            <w:bottom w:val="none" w:sz="0" w:space="0" w:color="auto"/>
            <w:right w:val="none" w:sz="0" w:space="0" w:color="auto"/>
          </w:divBdr>
        </w:div>
        <w:div w:id="1718427869">
          <w:marLeft w:val="640"/>
          <w:marRight w:val="0"/>
          <w:marTop w:val="0"/>
          <w:marBottom w:val="0"/>
          <w:divBdr>
            <w:top w:val="none" w:sz="0" w:space="0" w:color="auto"/>
            <w:left w:val="none" w:sz="0" w:space="0" w:color="auto"/>
            <w:bottom w:val="none" w:sz="0" w:space="0" w:color="auto"/>
            <w:right w:val="none" w:sz="0" w:space="0" w:color="auto"/>
          </w:divBdr>
        </w:div>
        <w:div w:id="1393701742">
          <w:marLeft w:val="640"/>
          <w:marRight w:val="0"/>
          <w:marTop w:val="0"/>
          <w:marBottom w:val="0"/>
          <w:divBdr>
            <w:top w:val="none" w:sz="0" w:space="0" w:color="auto"/>
            <w:left w:val="none" w:sz="0" w:space="0" w:color="auto"/>
            <w:bottom w:val="none" w:sz="0" w:space="0" w:color="auto"/>
            <w:right w:val="none" w:sz="0" w:space="0" w:color="auto"/>
          </w:divBdr>
        </w:div>
        <w:div w:id="1379403445">
          <w:marLeft w:val="640"/>
          <w:marRight w:val="0"/>
          <w:marTop w:val="0"/>
          <w:marBottom w:val="0"/>
          <w:divBdr>
            <w:top w:val="none" w:sz="0" w:space="0" w:color="auto"/>
            <w:left w:val="none" w:sz="0" w:space="0" w:color="auto"/>
            <w:bottom w:val="none" w:sz="0" w:space="0" w:color="auto"/>
            <w:right w:val="none" w:sz="0" w:space="0" w:color="auto"/>
          </w:divBdr>
        </w:div>
        <w:div w:id="1597010402">
          <w:marLeft w:val="640"/>
          <w:marRight w:val="0"/>
          <w:marTop w:val="0"/>
          <w:marBottom w:val="0"/>
          <w:divBdr>
            <w:top w:val="none" w:sz="0" w:space="0" w:color="auto"/>
            <w:left w:val="none" w:sz="0" w:space="0" w:color="auto"/>
            <w:bottom w:val="none" w:sz="0" w:space="0" w:color="auto"/>
            <w:right w:val="none" w:sz="0" w:space="0" w:color="auto"/>
          </w:divBdr>
        </w:div>
        <w:div w:id="800265072">
          <w:marLeft w:val="640"/>
          <w:marRight w:val="0"/>
          <w:marTop w:val="0"/>
          <w:marBottom w:val="0"/>
          <w:divBdr>
            <w:top w:val="none" w:sz="0" w:space="0" w:color="auto"/>
            <w:left w:val="none" w:sz="0" w:space="0" w:color="auto"/>
            <w:bottom w:val="none" w:sz="0" w:space="0" w:color="auto"/>
            <w:right w:val="none" w:sz="0" w:space="0" w:color="auto"/>
          </w:divBdr>
        </w:div>
        <w:div w:id="276449884">
          <w:marLeft w:val="640"/>
          <w:marRight w:val="0"/>
          <w:marTop w:val="0"/>
          <w:marBottom w:val="0"/>
          <w:divBdr>
            <w:top w:val="none" w:sz="0" w:space="0" w:color="auto"/>
            <w:left w:val="none" w:sz="0" w:space="0" w:color="auto"/>
            <w:bottom w:val="none" w:sz="0" w:space="0" w:color="auto"/>
            <w:right w:val="none" w:sz="0" w:space="0" w:color="auto"/>
          </w:divBdr>
        </w:div>
        <w:div w:id="1696883423">
          <w:marLeft w:val="640"/>
          <w:marRight w:val="0"/>
          <w:marTop w:val="0"/>
          <w:marBottom w:val="0"/>
          <w:divBdr>
            <w:top w:val="none" w:sz="0" w:space="0" w:color="auto"/>
            <w:left w:val="none" w:sz="0" w:space="0" w:color="auto"/>
            <w:bottom w:val="none" w:sz="0" w:space="0" w:color="auto"/>
            <w:right w:val="none" w:sz="0" w:space="0" w:color="auto"/>
          </w:divBdr>
        </w:div>
        <w:div w:id="1795295784">
          <w:marLeft w:val="640"/>
          <w:marRight w:val="0"/>
          <w:marTop w:val="0"/>
          <w:marBottom w:val="0"/>
          <w:divBdr>
            <w:top w:val="none" w:sz="0" w:space="0" w:color="auto"/>
            <w:left w:val="none" w:sz="0" w:space="0" w:color="auto"/>
            <w:bottom w:val="none" w:sz="0" w:space="0" w:color="auto"/>
            <w:right w:val="none" w:sz="0" w:space="0" w:color="auto"/>
          </w:divBdr>
        </w:div>
        <w:div w:id="1525240600">
          <w:marLeft w:val="640"/>
          <w:marRight w:val="0"/>
          <w:marTop w:val="0"/>
          <w:marBottom w:val="0"/>
          <w:divBdr>
            <w:top w:val="none" w:sz="0" w:space="0" w:color="auto"/>
            <w:left w:val="none" w:sz="0" w:space="0" w:color="auto"/>
            <w:bottom w:val="none" w:sz="0" w:space="0" w:color="auto"/>
            <w:right w:val="none" w:sz="0" w:space="0" w:color="auto"/>
          </w:divBdr>
        </w:div>
        <w:div w:id="662127895">
          <w:marLeft w:val="640"/>
          <w:marRight w:val="0"/>
          <w:marTop w:val="0"/>
          <w:marBottom w:val="0"/>
          <w:divBdr>
            <w:top w:val="none" w:sz="0" w:space="0" w:color="auto"/>
            <w:left w:val="none" w:sz="0" w:space="0" w:color="auto"/>
            <w:bottom w:val="none" w:sz="0" w:space="0" w:color="auto"/>
            <w:right w:val="none" w:sz="0" w:space="0" w:color="auto"/>
          </w:divBdr>
        </w:div>
        <w:div w:id="137236084">
          <w:marLeft w:val="640"/>
          <w:marRight w:val="0"/>
          <w:marTop w:val="0"/>
          <w:marBottom w:val="0"/>
          <w:divBdr>
            <w:top w:val="none" w:sz="0" w:space="0" w:color="auto"/>
            <w:left w:val="none" w:sz="0" w:space="0" w:color="auto"/>
            <w:bottom w:val="none" w:sz="0" w:space="0" w:color="auto"/>
            <w:right w:val="none" w:sz="0" w:space="0" w:color="auto"/>
          </w:divBdr>
        </w:div>
        <w:div w:id="368455055">
          <w:marLeft w:val="640"/>
          <w:marRight w:val="0"/>
          <w:marTop w:val="0"/>
          <w:marBottom w:val="0"/>
          <w:divBdr>
            <w:top w:val="none" w:sz="0" w:space="0" w:color="auto"/>
            <w:left w:val="none" w:sz="0" w:space="0" w:color="auto"/>
            <w:bottom w:val="none" w:sz="0" w:space="0" w:color="auto"/>
            <w:right w:val="none" w:sz="0" w:space="0" w:color="auto"/>
          </w:divBdr>
        </w:div>
        <w:div w:id="1542354215">
          <w:marLeft w:val="640"/>
          <w:marRight w:val="0"/>
          <w:marTop w:val="0"/>
          <w:marBottom w:val="0"/>
          <w:divBdr>
            <w:top w:val="none" w:sz="0" w:space="0" w:color="auto"/>
            <w:left w:val="none" w:sz="0" w:space="0" w:color="auto"/>
            <w:bottom w:val="none" w:sz="0" w:space="0" w:color="auto"/>
            <w:right w:val="none" w:sz="0" w:space="0" w:color="auto"/>
          </w:divBdr>
        </w:div>
        <w:div w:id="2025669216">
          <w:marLeft w:val="640"/>
          <w:marRight w:val="0"/>
          <w:marTop w:val="0"/>
          <w:marBottom w:val="0"/>
          <w:divBdr>
            <w:top w:val="none" w:sz="0" w:space="0" w:color="auto"/>
            <w:left w:val="none" w:sz="0" w:space="0" w:color="auto"/>
            <w:bottom w:val="none" w:sz="0" w:space="0" w:color="auto"/>
            <w:right w:val="none" w:sz="0" w:space="0" w:color="auto"/>
          </w:divBdr>
        </w:div>
        <w:div w:id="173502129">
          <w:marLeft w:val="640"/>
          <w:marRight w:val="0"/>
          <w:marTop w:val="0"/>
          <w:marBottom w:val="0"/>
          <w:divBdr>
            <w:top w:val="none" w:sz="0" w:space="0" w:color="auto"/>
            <w:left w:val="none" w:sz="0" w:space="0" w:color="auto"/>
            <w:bottom w:val="none" w:sz="0" w:space="0" w:color="auto"/>
            <w:right w:val="none" w:sz="0" w:space="0" w:color="auto"/>
          </w:divBdr>
        </w:div>
        <w:div w:id="459808429">
          <w:marLeft w:val="640"/>
          <w:marRight w:val="0"/>
          <w:marTop w:val="0"/>
          <w:marBottom w:val="0"/>
          <w:divBdr>
            <w:top w:val="none" w:sz="0" w:space="0" w:color="auto"/>
            <w:left w:val="none" w:sz="0" w:space="0" w:color="auto"/>
            <w:bottom w:val="none" w:sz="0" w:space="0" w:color="auto"/>
            <w:right w:val="none" w:sz="0" w:space="0" w:color="auto"/>
          </w:divBdr>
        </w:div>
        <w:div w:id="1795253780">
          <w:marLeft w:val="640"/>
          <w:marRight w:val="0"/>
          <w:marTop w:val="0"/>
          <w:marBottom w:val="0"/>
          <w:divBdr>
            <w:top w:val="none" w:sz="0" w:space="0" w:color="auto"/>
            <w:left w:val="none" w:sz="0" w:space="0" w:color="auto"/>
            <w:bottom w:val="none" w:sz="0" w:space="0" w:color="auto"/>
            <w:right w:val="none" w:sz="0" w:space="0" w:color="auto"/>
          </w:divBdr>
        </w:div>
        <w:div w:id="1502895639">
          <w:marLeft w:val="640"/>
          <w:marRight w:val="0"/>
          <w:marTop w:val="0"/>
          <w:marBottom w:val="0"/>
          <w:divBdr>
            <w:top w:val="none" w:sz="0" w:space="0" w:color="auto"/>
            <w:left w:val="none" w:sz="0" w:space="0" w:color="auto"/>
            <w:bottom w:val="none" w:sz="0" w:space="0" w:color="auto"/>
            <w:right w:val="none" w:sz="0" w:space="0" w:color="auto"/>
          </w:divBdr>
        </w:div>
        <w:div w:id="1962951536">
          <w:marLeft w:val="640"/>
          <w:marRight w:val="0"/>
          <w:marTop w:val="0"/>
          <w:marBottom w:val="0"/>
          <w:divBdr>
            <w:top w:val="none" w:sz="0" w:space="0" w:color="auto"/>
            <w:left w:val="none" w:sz="0" w:space="0" w:color="auto"/>
            <w:bottom w:val="none" w:sz="0" w:space="0" w:color="auto"/>
            <w:right w:val="none" w:sz="0" w:space="0" w:color="auto"/>
          </w:divBdr>
        </w:div>
        <w:div w:id="382485679">
          <w:marLeft w:val="640"/>
          <w:marRight w:val="0"/>
          <w:marTop w:val="0"/>
          <w:marBottom w:val="0"/>
          <w:divBdr>
            <w:top w:val="none" w:sz="0" w:space="0" w:color="auto"/>
            <w:left w:val="none" w:sz="0" w:space="0" w:color="auto"/>
            <w:bottom w:val="none" w:sz="0" w:space="0" w:color="auto"/>
            <w:right w:val="none" w:sz="0" w:space="0" w:color="auto"/>
          </w:divBdr>
        </w:div>
        <w:div w:id="324363463">
          <w:marLeft w:val="640"/>
          <w:marRight w:val="0"/>
          <w:marTop w:val="0"/>
          <w:marBottom w:val="0"/>
          <w:divBdr>
            <w:top w:val="none" w:sz="0" w:space="0" w:color="auto"/>
            <w:left w:val="none" w:sz="0" w:space="0" w:color="auto"/>
            <w:bottom w:val="none" w:sz="0" w:space="0" w:color="auto"/>
            <w:right w:val="none" w:sz="0" w:space="0" w:color="auto"/>
          </w:divBdr>
        </w:div>
        <w:div w:id="1987860303">
          <w:marLeft w:val="640"/>
          <w:marRight w:val="0"/>
          <w:marTop w:val="0"/>
          <w:marBottom w:val="0"/>
          <w:divBdr>
            <w:top w:val="none" w:sz="0" w:space="0" w:color="auto"/>
            <w:left w:val="none" w:sz="0" w:space="0" w:color="auto"/>
            <w:bottom w:val="none" w:sz="0" w:space="0" w:color="auto"/>
            <w:right w:val="none" w:sz="0" w:space="0" w:color="auto"/>
          </w:divBdr>
        </w:div>
        <w:div w:id="1190219328">
          <w:marLeft w:val="640"/>
          <w:marRight w:val="0"/>
          <w:marTop w:val="0"/>
          <w:marBottom w:val="0"/>
          <w:divBdr>
            <w:top w:val="none" w:sz="0" w:space="0" w:color="auto"/>
            <w:left w:val="none" w:sz="0" w:space="0" w:color="auto"/>
            <w:bottom w:val="none" w:sz="0" w:space="0" w:color="auto"/>
            <w:right w:val="none" w:sz="0" w:space="0" w:color="auto"/>
          </w:divBdr>
        </w:div>
        <w:div w:id="1894657125">
          <w:marLeft w:val="640"/>
          <w:marRight w:val="0"/>
          <w:marTop w:val="0"/>
          <w:marBottom w:val="0"/>
          <w:divBdr>
            <w:top w:val="none" w:sz="0" w:space="0" w:color="auto"/>
            <w:left w:val="none" w:sz="0" w:space="0" w:color="auto"/>
            <w:bottom w:val="none" w:sz="0" w:space="0" w:color="auto"/>
            <w:right w:val="none" w:sz="0" w:space="0" w:color="auto"/>
          </w:divBdr>
        </w:div>
        <w:div w:id="1416895487">
          <w:marLeft w:val="640"/>
          <w:marRight w:val="0"/>
          <w:marTop w:val="0"/>
          <w:marBottom w:val="0"/>
          <w:divBdr>
            <w:top w:val="none" w:sz="0" w:space="0" w:color="auto"/>
            <w:left w:val="none" w:sz="0" w:space="0" w:color="auto"/>
            <w:bottom w:val="none" w:sz="0" w:space="0" w:color="auto"/>
            <w:right w:val="none" w:sz="0" w:space="0" w:color="auto"/>
          </w:divBdr>
        </w:div>
        <w:div w:id="244799649">
          <w:marLeft w:val="640"/>
          <w:marRight w:val="0"/>
          <w:marTop w:val="0"/>
          <w:marBottom w:val="0"/>
          <w:divBdr>
            <w:top w:val="none" w:sz="0" w:space="0" w:color="auto"/>
            <w:left w:val="none" w:sz="0" w:space="0" w:color="auto"/>
            <w:bottom w:val="none" w:sz="0" w:space="0" w:color="auto"/>
            <w:right w:val="none" w:sz="0" w:space="0" w:color="auto"/>
          </w:divBdr>
        </w:div>
        <w:div w:id="1841894817">
          <w:marLeft w:val="640"/>
          <w:marRight w:val="0"/>
          <w:marTop w:val="0"/>
          <w:marBottom w:val="0"/>
          <w:divBdr>
            <w:top w:val="none" w:sz="0" w:space="0" w:color="auto"/>
            <w:left w:val="none" w:sz="0" w:space="0" w:color="auto"/>
            <w:bottom w:val="none" w:sz="0" w:space="0" w:color="auto"/>
            <w:right w:val="none" w:sz="0" w:space="0" w:color="auto"/>
          </w:divBdr>
        </w:div>
        <w:div w:id="789131690">
          <w:marLeft w:val="640"/>
          <w:marRight w:val="0"/>
          <w:marTop w:val="0"/>
          <w:marBottom w:val="0"/>
          <w:divBdr>
            <w:top w:val="none" w:sz="0" w:space="0" w:color="auto"/>
            <w:left w:val="none" w:sz="0" w:space="0" w:color="auto"/>
            <w:bottom w:val="none" w:sz="0" w:space="0" w:color="auto"/>
            <w:right w:val="none" w:sz="0" w:space="0" w:color="auto"/>
          </w:divBdr>
        </w:div>
        <w:div w:id="1019358448">
          <w:marLeft w:val="640"/>
          <w:marRight w:val="0"/>
          <w:marTop w:val="0"/>
          <w:marBottom w:val="0"/>
          <w:divBdr>
            <w:top w:val="none" w:sz="0" w:space="0" w:color="auto"/>
            <w:left w:val="none" w:sz="0" w:space="0" w:color="auto"/>
            <w:bottom w:val="none" w:sz="0" w:space="0" w:color="auto"/>
            <w:right w:val="none" w:sz="0" w:space="0" w:color="auto"/>
          </w:divBdr>
        </w:div>
        <w:div w:id="1249193284">
          <w:marLeft w:val="640"/>
          <w:marRight w:val="0"/>
          <w:marTop w:val="0"/>
          <w:marBottom w:val="0"/>
          <w:divBdr>
            <w:top w:val="none" w:sz="0" w:space="0" w:color="auto"/>
            <w:left w:val="none" w:sz="0" w:space="0" w:color="auto"/>
            <w:bottom w:val="none" w:sz="0" w:space="0" w:color="auto"/>
            <w:right w:val="none" w:sz="0" w:space="0" w:color="auto"/>
          </w:divBdr>
        </w:div>
        <w:div w:id="619994649">
          <w:marLeft w:val="640"/>
          <w:marRight w:val="0"/>
          <w:marTop w:val="0"/>
          <w:marBottom w:val="0"/>
          <w:divBdr>
            <w:top w:val="none" w:sz="0" w:space="0" w:color="auto"/>
            <w:left w:val="none" w:sz="0" w:space="0" w:color="auto"/>
            <w:bottom w:val="none" w:sz="0" w:space="0" w:color="auto"/>
            <w:right w:val="none" w:sz="0" w:space="0" w:color="auto"/>
          </w:divBdr>
        </w:div>
        <w:div w:id="616913238">
          <w:marLeft w:val="640"/>
          <w:marRight w:val="0"/>
          <w:marTop w:val="0"/>
          <w:marBottom w:val="0"/>
          <w:divBdr>
            <w:top w:val="none" w:sz="0" w:space="0" w:color="auto"/>
            <w:left w:val="none" w:sz="0" w:space="0" w:color="auto"/>
            <w:bottom w:val="none" w:sz="0" w:space="0" w:color="auto"/>
            <w:right w:val="none" w:sz="0" w:space="0" w:color="auto"/>
          </w:divBdr>
        </w:div>
        <w:div w:id="312678541">
          <w:marLeft w:val="640"/>
          <w:marRight w:val="0"/>
          <w:marTop w:val="0"/>
          <w:marBottom w:val="0"/>
          <w:divBdr>
            <w:top w:val="none" w:sz="0" w:space="0" w:color="auto"/>
            <w:left w:val="none" w:sz="0" w:space="0" w:color="auto"/>
            <w:bottom w:val="none" w:sz="0" w:space="0" w:color="auto"/>
            <w:right w:val="none" w:sz="0" w:space="0" w:color="auto"/>
          </w:divBdr>
        </w:div>
        <w:div w:id="571427089">
          <w:marLeft w:val="640"/>
          <w:marRight w:val="0"/>
          <w:marTop w:val="0"/>
          <w:marBottom w:val="0"/>
          <w:divBdr>
            <w:top w:val="none" w:sz="0" w:space="0" w:color="auto"/>
            <w:left w:val="none" w:sz="0" w:space="0" w:color="auto"/>
            <w:bottom w:val="none" w:sz="0" w:space="0" w:color="auto"/>
            <w:right w:val="none" w:sz="0" w:space="0" w:color="auto"/>
          </w:divBdr>
        </w:div>
        <w:div w:id="2049450443">
          <w:marLeft w:val="640"/>
          <w:marRight w:val="0"/>
          <w:marTop w:val="0"/>
          <w:marBottom w:val="0"/>
          <w:divBdr>
            <w:top w:val="none" w:sz="0" w:space="0" w:color="auto"/>
            <w:left w:val="none" w:sz="0" w:space="0" w:color="auto"/>
            <w:bottom w:val="none" w:sz="0" w:space="0" w:color="auto"/>
            <w:right w:val="none" w:sz="0" w:space="0" w:color="auto"/>
          </w:divBdr>
        </w:div>
        <w:div w:id="2067490748">
          <w:marLeft w:val="640"/>
          <w:marRight w:val="0"/>
          <w:marTop w:val="0"/>
          <w:marBottom w:val="0"/>
          <w:divBdr>
            <w:top w:val="none" w:sz="0" w:space="0" w:color="auto"/>
            <w:left w:val="none" w:sz="0" w:space="0" w:color="auto"/>
            <w:bottom w:val="none" w:sz="0" w:space="0" w:color="auto"/>
            <w:right w:val="none" w:sz="0" w:space="0" w:color="auto"/>
          </w:divBdr>
        </w:div>
        <w:div w:id="1560626799">
          <w:marLeft w:val="640"/>
          <w:marRight w:val="0"/>
          <w:marTop w:val="0"/>
          <w:marBottom w:val="0"/>
          <w:divBdr>
            <w:top w:val="none" w:sz="0" w:space="0" w:color="auto"/>
            <w:left w:val="none" w:sz="0" w:space="0" w:color="auto"/>
            <w:bottom w:val="none" w:sz="0" w:space="0" w:color="auto"/>
            <w:right w:val="none" w:sz="0" w:space="0" w:color="auto"/>
          </w:divBdr>
        </w:div>
      </w:divsChild>
    </w:div>
    <w:div w:id="2101291307">
      <w:bodyDiv w:val="1"/>
      <w:marLeft w:val="0"/>
      <w:marRight w:val="0"/>
      <w:marTop w:val="0"/>
      <w:marBottom w:val="0"/>
      <w:divBdr>
        <w:top w:val="none" w:sz="0" w:space="0" w:color="auto"/>
        <w:left w:val="none" w:sz="0" w:space="0" w:color="auto"/>
        <w:bottom w:val="none" w:sz="0" w:space="0" w:color="auto"/>
        <w:right w:val="none" w:sz="0" w:space="0" w:color="auto"/>
      </w:divBdr>
      <w:divsChild>
        <w:div w:id="1197811277">
          <w:marLeft w:val="640"/>
          <w:marRight w:val="0"/>
          <w:marTop w:val="0"/>
          <w:marBottom w:val="0"/>
          <w:divBdr>
            <w:top w:val="none" w:sz="0" w:space="0" w:color="auto"/>
            <w:left w:val="none" w:sz="0" w:space="0" w:color="auto"/>
            <w:bottom w:val="none" w:sz="0" w:space="0" w:color="auto"/>
            <w:right w:val="none" w:sz="0" w:space="0" w:color="auto"/>
          </w:divBdr>
        </w:div>
        <w:div w:id="1268805043">
          <w:marLeft w:val="640"/>
          <w:marRight w:val="0"/>
          <w:marTop w:val="0"/>
          <w:marBottom w:val="0"/>
          <w:divBdr>
            <w:top w:val="none" w:sz="0" w:space="0" w:color="auto"/>
            <w:left w:val="none" w:sz="0" w:space="0" w:color="auto"/>
            <w:bottom w:val="none" w:sz="0" w:space="0" w:color="auto"/>
            <w:right w:val="none" w:sz="0" w:space="0" w:color="auto"/>
          </w:divBdr>
        </w:div>
        <w:div w:id="1620527123">
          <w:marLeft w:val="640"/>
          <w:marRight w:val="0"/>
          <w:marTop w:val="0"/>
          <w:marBottom w:val="0"/>
          <w:divBdr>
            <w:top w:val="none" w:sz="0" w:space="0" w:color="auto"/>
            <w:left w:val="none" w:sz="0" w:space="0" w:color="auto"/>
            <w:bottom w:val="none" w:sz="0" w:space="0" w:color="auto"/>
            <w:right w:val="none" w:sz="0" w:space="0" w:color="auto"/>
          </w:divBdr>
        </w:div>
        <w:div w:id="138151225">
          <w:marLeft w:val="640"/>
          <w:marRight w:val="0"/>
          <w:marTop w:val="0"/>
          <w:marBottom w:val="0"/>
          <w:divBdr>
            <w:top w:val="none" w:sz="0" w:space="0" w:color="auto"/>
            <w:left w:val="none" w:sz="0" w:space="0" w:color="auto"/>
            <w:bottom w:val="none" w:sz="0" w:space="0" w:color="auto"/>
            <w:right w:val="none" w:sz="0" w:space="0" w:color="auto"/>
          </w:divBdr>
        </w:div>
        <w:div w:id="64685662">
          <w:marLeft w:val="640"/>
          <w:marRight w:val="0"/>
          <w:marTop w:val="0"/>
          <w:marBottom w:val="0"/>
          <w:divBdr>
            <w:top w:val="none" w:sz="0" w:space="0" w:color="auto"/>
            <w:left w:val="none" w:sz="0" w:space="0" w:color="auto"/>
            <w:bottom w:val="none" w:sz="0" w:space="0" w:color="auto"/>
            <w:right w:val="none" w:sz="0" w:space="0" w:color="auto"/>
          </w:divBdr>
        </w:div>
        <w:div w:id="46301048">
          <w:marLeft w:val="640"/>
          <w:marRight w:val="0"/>
          <w:marTop w:val="0"/>
          <w:marBottom w:val="0"/>
          <w:divBdr>
            <w:top w:val="none" w:sz="0" w:space="0" w:color="auto"/>
            <w:left w:val="none" w:sz="0" w:space="0" w:color="auto"/>
            <w:bottom w:val="none" w:sz="0" w:space="0" w:color="auto"/>
            <w:right w:val="none" w:sz="0" w:space="0" w:color="auto"/>
          </w:divBdr>
        </w:div>
        <w:div w:id="1124423485">
          <w:marLeft w:val="640"/>
          <w:marRight w:val="0"/>
          <w:marTop w:val="0"/>
          <w:marBottom w:val="0"/>
          <w:divBdr>
            <w:top w:val="none" w:sz="0" w:space="0" w:color="auto"/>
            <w:left w:val="none" w:sz="0" w:space="0" w:color="auto"/>
            <w:bottom w:val="none" w:sz="0" w:space="0" w:color="auto"/>
            <w:right w:val="none" w:sz="0" w:space="0" w:color="auto"/>
          </w:divBdr>
        </w:div>
        <w:div w:id="22682134">
          <w:marLeft w:val="640"/>
          <w:marRight w:val="0"/>
          <w:marTop w:val="0"/>
          <w:marBottom w:val="0"/>
          <w:divBdr>
            <w:top w:val="none" w:sz="0" w:space="0" w:color="auto"/>
            <w:left w:val="none" w:sz="0" w:space="0" w:color="auto"/>
            <w:bottom w:val="none" w:sz="0" w:space="0" w:color="auto"/>
            <w:right w:val="none" w:sz="0" w:space="0" w:color="auto"/>
          </w:divBdr>
        </w:div>
        <w:div w:id="855927270">
          <w:marLeft w:val="640"/>
          <w:marRight w:val="0"/>
          <w:marTop w:val="0"/>
          <w:marBottom w:val="0"/>
          <w:divBdr>
            <w:top w:val="none" w:sz="0" w:space="0" w:color="auto"/>
            <w:left w:val="none" w:sz="0" w:space="0" w:color="auto"/>
            <w:bottom w:val="none" w:sz="0" w:space="0" w:color="auto"/>
            <w:right w:val="none" w:sz="0" w:space="0" w:color="auto"/>
          </w:divBdr>
        </w:div>
        <w:div w:id="1758862625">
          <w:marLeft w:val="640"/>
          <w:marRight w:val="0"/>
          <w:marTop w:val="0"/>
          <w:marBottom w:val="0"/>
          <w:divBdr>
            <w:top w:val="none" w:sz="0" w:space="0" w:color="auto"/>
            <w:left w:val="none" w:sz="0" w:space="0" w:color="auto"/>
            <w:bottom w:val="none" w:sz="0" w:space="0" w:color="auto"/>
            <w:right w:val="none" w:sz="0" w:space="0" w:color="auto"/>
          </w:divBdr>
        </w:div>
        <w:div w:id="120540592">
          <w:marLeft w:val="640"/>
          <w:marRight w:val="0"/>
          <w:marTop w:val="0"/>
          <w:marBottom w:val="0"/>
          <w:divBdr>
            <w:top w:val="none" w:sz="0" w:space="0" w:color="auto"/>
            <w:left w:val="none" w:sz="0" w:space="0" w:color="auto"/>
            <w:bottom w:val="none" w:sz="0" w:space="0" w:color="auto"/>
            <w:right w:val="none" w:sz="0" w:space="0" w:color="auto"/>
          </w:divBdr>
        </w:div>
        <w:div w:id="486825632">
          <w:marLeft w:val="640"/>
          <w:marRight w:val="0"/>
          <w:marTop w:val="0"/>
          <w:marBottom w:val="0"/>
          <w:divBdr>
            <w:top w:val="none" w:sz="0" w:space="0" w:color="auto"/>
            <w:left w:val="none" w:sz="0" w:space="0" w:color="auto"/>
            <w:bottom w:val="none" w:sz="0" w:space="0" w:color="auto"/>
            <w:right w:val="none" w:sz="0" w:space="0" w:color="auto"/>
          </w:divBdr>
        </w:div>
        <w:div w:id="1304385203">
          <w:marLeft w:val="640"/>
          <w:marRight w:val="0"/>
          <w:marTop w:val="0"/>
          <w:marBottom w:val="0"/>
          <w:divBdr>
            <w:top w:val="none" w:sz="0" w:space="0" w:color="auto"/>
            <w:left w:val="none" w:sz="0" w:space="0" w:color="auto"/>
            <w:bottom w:val="none" w:sz="0" w:space="0" w:color="auto"/>
            <w:right w:val="none" w:sz="0" w:space="0" w:color="auto"/>
          </w:divBdr>
        </w:div>
        <w:div w:id="1822693420">
          <w:marLeft w:val="640"/>
          <w:marRight w:val="0"/>
          <w:marTop w:val="0"/>
          <w:marBottom w:val="0"/>
          <w:divBdr>
            <w:top w:val="none" w:sz="0" w:space="0" w:color="auto"/>
            <w:left w:val="none" w:sz="0" w:space="0" w:color="auto"/>
            <w:bottom w:val="none" w:sz="0" w:space="0" w:color="auto"/>
            <w:right w:val="none" w:sz="0" w:space="0" w:color="auto"/>
          </w:divBdr>
        </w:div>
        <w:div w:id="782269678">
          <w:marLeft w:val="640"/>
          <w:marRight w:val="0"/>
          <w:marTop w:val="0"/>
          <w:marBottom w:val="0"/>
          <w:divBdr>
            <w:top w:val="none" w:sz="0" w:space="0" w:color="auto"/>
            <w:left w:val="none" w:sz="0" w:space="0" w:color="auto"/>
            <w:bottom w:val="none" w:sz="0" w:space="0" w:color="auto"/>
            <w:right w:val="none" w:sz="0" w:space="0" w:color="auto"/>
          </w:divBdr>
        </w:div>
        <w:div w:id="1476338666">
          <w:marLeft w:val="640"/>
          <w:marRight w:val="0"/>
          <w:marTop w:val="0"/>
          <w:marBottom w:val="0"/>
          <w:divBdr>
            <w:top w:val="none" w:sz="0" w:space="0" w:color="auto"/>
            <w:left w:val="none" w:sz="0" w:space="0" w:color="auto"/>
            <w:bottom w:val="none" w:sz="0" w:space="0" w:color="auto"/>
            <w:right w:val="none" w:sz="0" w:space="0" w:color="auto"/>
          </w:divBdr>
        </w:div>
        <w:div w:id="231354800">
          <w:marLeft w:val="640"/>
          <w:marRight w:val="0"/>
          <w:marTop w:val="0"/>
          <w:marBottom w:val="0"/>
          <w:divBdr>
            <w:top w:val="none" w:sz="0" w:space="0" w:color="auto"/>
            <w:left w:val="none" w:sz="0" w:space="0" w:color="auto"/>
            <w:bottom w:val="none" w:sz="0" w:space="0" w:color="auto"/>
            <w:right w:val="none" w:sz="0" w:space="0" w:color="auto"/>
          </w:divBdr>
        </w:div>
        <w:div w:id="1582369210">
          <w:marLeft w:val="640"/>
          <w:marRight w:val="0"/>
          <w:marTop w:val="0"/>
          <w:marBottom w:val="0"/>
          <w:divBdr>
            <w:top w:val="none" w:sz="0" w:space="0" w:color="auto"/>
            <w:left w:val="none" w:sz="0" w:space="0" w:color="auto"/>
            <w:bottom w:val="none" w:sz="0" w:space="0" w:color="auto"/>
            <w:right w:val="none" w:sz="0" w:space="0" w:color="auto"/>
          </w:divBdr>
        </w:div>
        <w:div w:id="1222405251">
          <w:marLeft w:val="640"/>
          <w:marRight w:val="0"/>
          <w:marTop w:val="0"/>
          <w:marBottom w:val="0"/>
          <w:divBdr>
            <w:top w:val="none" w:sz="0" w:space="0" w:color="auto"/>
            <w:left w:val="none" w:sz="0" w:space="0" w:color="auto"/>
            <w:bottom w:val="none" w:sz="0" w:space="0" w:color="auto"/>
            <w:right w:val="none" w:sz="0" w:space="0" w:color="auto"/>
          </w:divBdr>
        </w:div>
        <w:div w:id="419645782">
          <w:marLeft w:val="640"/>
          <w:marRight w:val="0"/>
          <w:marTop w:val="0"/>
          <w:marBottom w:val="0"/>
          <w:divBdr>
            <w:top w:val="none" w:sz="0" w:space="0" w:color="auto"/>
            <w:left w:val="none" w:sz="0" w:space="0" w:color="auto"/>
            <w:bottom w:val="none" w:sz="0" w:space="0" w:color="auto"/>
            <w:right w:val="none" w:sz="0" w:space="0" w:color="auto"/>
          </w:divBdr>
        </w:div>
        <w:div w:id="2132672940">
          <w:marLeft w:val="640"/>
          <w:marRight w:val="0"/>
          <w:marTop w:val="0"/>
          <w:marBottom w:val="0"/>
          <w:divBdr>
            <w:top w:val="none" w:sz="0" w:space="0" w:color="auto"/>
            <w:left w:val="none" w:sz="0" w:space="0" w:color="auto"/>
            <w:bottom w:val="none" w:sz="0" w:space="0" w:color="auto"/>
            <w:right w:val="none" w:sz="0" w:space="0" w:color="auto"/>
          </w:divBdr>
        </w:div>
        <w:div w:id="241068802">
          <w:marLeft w:val="640"/>
          <w:marRight w:val="0"/>
          <w:marTop w:val="0"/>
          <w:marBottom w:val="0"/>
          <w:divBdr>
            <w:top w:val="none" w:sz="0" w:space="0" w:color="auto"/>
            <w:left w:val="none" w:sz="0" w:space="0" w:color="auto"/>
            <w:bottom w:val="none" w:sz="0" w:space="0" w:color="auto"/>
            <w:right w:val="none" w:sz="0" w:space="0" w:color="auto"/>
          </w:divBdr>
        </w:div>
        <w:div w:id="25061526">
          <w:marLeft w:val="640"/>
          <w:marRight w:val="0"/>
          <w:marTop w:val="0"/>
          <w:marBottom w:val="0"/>
          <w:divBdr>
            <w:top w:val="none" w:sz="0" w:space="0" w:color="auto"/>
            <w:left w:val="none" w:sz="0" w:space="0" w:color="auto"/>
            <w:bottom w:val="none" w:sz="0" w:space="0" w:color="auto"/>
            <w:right w:val="none" w:sz="0" w:space="0" w:color="auto"/>
          </w:divBdr>
        </w:div>
        <w:div w:id="341973034">
          <w:marLeft w:val="640"/>
          <w:marRight w:val="0"/>
          <w:marTop w:val="0"/>
          <w:marBottom w:val="0"/>
          <w:divBdr>
            <w:top w:val="none" w:sz="0" w:space="0" w:color="auto"/>
            <w:left w:val="none" w:sz="0" w:space="0" w:color="auto"/>
            <w:bottom w:val="none" w:sz="0" w:space="0" w:color="auto"/>
            <w:right w:val="none" w:sz="0" w:space="0" w:color="auto"/>
          </w:divBdr>
        </w:div>
        <w:div w:id="827943249">
          <w:marLeft w:val="640"/>
          <w:marRight w:val="0"/>
          <w:marTop w:val="0"/>
          <w:marBottom w:val="0"/>
          <w:divBdr>
            <w:top w:val="none" w:sz="0" w:space="0" w:color="auto"/>
            <w:left w:val="none" w:sz="0" w:space="0" w:color="auto"/>
            <w:bottom w:val="none" w:sz="0" w:space="0" w:color="auto"/>
            <w:right w:val="none" w:sz="0" w:space="0" w:color="auto"/>
          </w:divBdr>
        </w:div>
        <w:div w:id="113906813">
          <w:marLeft w:val="640"/>
          <w:marRight w:val="0"/>
          <w:marTop w:val="0"/>
          <w:marBottom w:val="0"/>
          <w:divBdr>
            <w:top w:val="none" w:sz="0" w:space="0" w:color="auto"/>
            <w:left w:val="none" w:sz="0" w:space="0" w:color="auto"/>
            <w:bottom w:val="none" w:sz="0" w:space="0" w:color="auto"/>
            <w:right w:val="none" w:sz="0" w:space="0" w:color="auto"/>
          </w:divBdr>
        </w:div>
        <w:div w:id="1238827129">
          <w:marLeft w:val="640"/>
          <w:marRight w:val="0"/>
          <w:marTop w:val="0"/>
          <w:marBottom w:val="0"/>
          <w:divBdr>
            <w:top w:val="none" w:sz="0" w:space="0" w:color="auto"/>
            <w:left w:val="none" w:sz="0" w:space="0" w:color="auto"/>
            <w:bottom w:val="none" w:sz="0" w:space="0" w:color="auto"/>
            <w:right w:val="none" w:sz="0" w:space="0" w:color="auto"/>
          </w:divBdr>
        </w:div>
        <w:div w:id="4595710">
          <w:marLeft w:val="640"/>
          <w:marRight w:val="0"/>
          <w:marTop w:val="0"/>
          <w:marBottom w:val="0"/>
          <w:divBdr>
            <w:top w:val="none" w:sz="0" w:space="0" w:color="auto"/>
            <w:left w:val="none" w:sz="0" w:space="0" w:color="auto"/>
            <w:bottom w:val="none" w:sz="0" w:space="0" w:color="auto"/>
            <w:right w:val="none" w:sz="0" w:space="0" w:color="auto"/>
          </w:divBdr>
        </w:div>
        <w:div w:id="1848979414">
          <w:marLeft w:val="640"/>
          <w:marRight w:val="0"/>
          <w:marTop w:val="0"/>
          <w:marBottom w:val="0"/>
          <w:divBdr>
            <w:top w:val="none" w:sz="0" w:space="0" w:color="auto"/>
            <w:left w:val="none" w:sz="0" w:space="0" w:color="auto"/>
            <w:bottom w:val="none" w:sz="0" w:space="0" w:color="auto"/>
            <w:right w:val="none" w:sz="0" w:space="0" w:color="auto"/>
          </w:divBdr>
        </w:div>
        <w:div w:id="1043335924">
          <w:marLeft w:val="640"/>
          <w:marRight w:val="0"/>
          <w:marTop w:val="0"/>
          <w:marBottom w:val="0"/>
          <w:divBdr>
            <w:top w:val="none" w:sz="0" w:space="0" w:color="auto"/>
            <w:left w:val="none" w:sz="0" w:space="0" w:color="auto"/>
            <w:bottom w:val="none" w:sz="0" w:space="0" w:color="auto"/>
            <w:right w:val="none" w:sz="0" w:space="0" w:color="auto"/>
          </w:divBdr>
        </w:div>
        <w:div w:id="319700848">
          <w:marLeft w:val="640"/>
          <w:marRight w:val="0"/>
          <w:marTop w:val="0"/>
          <w:marBottom w:val="0"/>
          <w:divBdr>
            <w:top w:val="none" w:sz="0" w:space="0" w:color="auto"/>
            <w:left w:val="none" w:sz="0" w:space="0" w:color="auto"/>
            <w:bottom w:val="none" w:sz="0" w:space="0" w:color="auto"/>
            <w:right w:val="none" w:sz="0" w:space="0" w:color="auto"/>
          </w:divBdr>
        </w:div>
        <w:div w:id="182135795">
          <w:marLeft w:val="640"/>
          <w:marRight w:val="0"/>
          <w:marTop w:val="0"/>
          <w:marBottom w:val="0"/>
          <w:divBdr>
            <w:top w:val="none" w:sz="0" w:space="0" w:color="auto"/>
            <w:left w:val="none" w:sz="0" w:space="0" w:color="auto"/>
            <w:bottom w:val="none" w:sz="0" w:space="0" w:color="auto"/>
            <w:right w:val="none" w:sz="0" w:space="0" w:color="auto"/>
          </w:divBdr>
        </w:div>
        <w:div w:id="816722472">
          <w:marLeft w:val="640"/>
          <w:marRight w:val="0"/>
          <w:marTop w:val="0"/>
          <w:marBottom w:val="0"/>
          <w:divBdr>
            <w:top w:val="none" w:sz="0" w:space="0" w:color="auto"/>
            <w:left w:val="none" w:sz="0" w:space="0" w:color="auto"/>
            <w:bottom w:val="none" w:sz="0" w:space="0" w:color="auto"/>
            <w:right w:val="none" w:sz="0" w:space="0" w:color="auto"/>
          </w:divBdr>
        </w:div>
        <w:div w:id="2038699633">
          <w:marLeft w:val="640"/>
          <w:marRight w:val="0"/>
          <w:marTop w:val="0"/>
          <w:marBottom w:val="0"/>
          <w:divBdr>
            <w:top w:val="none" w:sz="0" w:space="0" w:color="auto"/>
            <w:left w:val="none" w:sz="0" w:space="0" w:color="auto"/>
            <w:bottom w:val="none" w:sz="0" w:space="0" w:color="auto"/>
            <w:right w:val="none" w:sz="0" w:space="0" w:color="auto"/>
          </w:divBdr>
        </w:div>
        <w:div w:id="483088719">
          <w:marLeft w:val="640"/>
          <w:marRight w:val="0"/>
          <w:marTop w:val="0"/>
          <w:marBottom w:val="0"/>
          <w:divBdr>
            <w:top w:val="none" w:sz="0" w:space="0" w:color="auto"/>
            <w:left w:val="none" w:sz="0" w:space="0" w:color="auto"/>
            <w:bottom w:val="none" w:sz="0" w:space="0" w:color="auto"/>
            <w:right w:val="none" w:sz="0" w:space="0" w:color="auto"/>
          </w:divBdr>
        </w:div>
        <w:div w:id="309797578">
          <w:marLeft w:val="640"/>
          <w:marRight w:val="0"/>
          <w:marTop w:val="0"/>
          <w:marBottom w:val="0"/>
          <w:divBdr>
            <w:top w:val="none" w:sz="0" w:space="0" w:color="auto"/>
            <w:left w:val="none" w:sz="0" w:space="0" w:color="auto"/>
            <w:bottom w:val="none" w:sz="0" w:space="0" w:color="auto"/>
            <w:right w:val="none" w:sz="0" w:space="0" w:color="auto"/>
          </w:divBdr>
        </w:div>
        <w:div w:id="1710569343">
          <w:marLeft w:val="640"/>
          <w:marRight w:val="0"/>
          <w:marTop w:val="0"/>
          <w:marBottom w:val="0"/>
          <w:divBdr>
            <w:top w:val="none" w:sz="0" w:space="0" w:color="auto"/>
            <w:left w:val="none" w:sz="0" w:space="0" w:color="auto"/>
            <w:bottom w:val="none" w:sz="0" w:space="0" w:color="auto"/>
            <w:right w:val="none" w:sz="0" w:space="0" w:color="auto"/>
          </w:divBdr>
        </w:div>
        <w:div w:id="1245532415">
          <w:marLeft w:val="640"/>
          <w:marRight w:val="0"/>
          <w:marTop w:val="0"/>
          <w:marBottom w:val="0"/>
          <w:divBdr>
            <w:top w:val="none" w:sz="0" w:space="0" w:color="auto"/>
            <w:left w:val="none" w:sz="0" w:space="0" w:color="auto"/>
            <w:bottom w:val="none" w:sz="0" w:space="0" w:color="auto"/>
            <w:right w:val="none" w:sz="0" w:space="0" w:color="auto"/>
          </w:divBdr>
        </w:div>
        <w:div w:id="959654292">
          <w:marLeft w:val="640"/>
          <w:marRight w:val="0"/>
          <w:marTop w:val="0"/>
          <w:marBottom w:val="0"/>
          <w:divBdr>
            <w:top w:val="none" w:sz="0" w:space="0" w:color="auto"/>
            <w:left w:val="none" w:sz="0" w:space="0" w:color="auto"/>
            <w:bottom w:val="none" w:sz="0" w:space="0" w:color="auto"/>
            <w:right w:val="none" w:sz="0" w:space="0" w:color="auto"/>
          </w:divBdr>
        </w:div>
        <w:div w:id="103116232">
          <w:marLeft w:val="640"/>
          <w:marRight w:val="0"/>
          <w:marTop w:val="0"/>
          <w:marBottom w:val="0"/>
          <w:divBdr>
            <w:top w:val="none" w:sz="0" w:space="0" w:color="auto"/>
            <w:left w:val="none" w:sz="0" w:space="0" w:color="auto"/>
            <w:bottom w:val="none" w:sz="0" w:space="0" w:color="auto"/>
            <w:right w:val="none" w:sz="0" w:space="0" w:color="auto"/>
          </w:divBdr>
        </w:div>
        <w:div w:id="345249011">
          <w:marLeft w:val="640"/>
          <w:marRight w:val="0"/>
          <w:marTop w:val="0"/>
          <w:marBottom w:val="0"/>
          <w:divBdr>
            <w:top w:val="none" w:sz="0" w:space="0" w:color="auto"/>
            <w:left w:val="none" w:sz="0" w:space="0" w:color="auto"/>
            <w:bottom w:val="none" w:sz="0" w:space="0" w:color="auto"/>
            <w:right w:val="none" w:sz="0" w:space="0" w:color="auto"/>
          </w:divBdr>
        </w:div>
        <w:div w:id="370150018">
          <w:marLeft w:val="640"/>
          <w:marRight w:val="0"/>
          <w:marTop w:val="0"/>
          <w:marBottom w:val="0"/>
          <w:divBdr>
            <w:top w:val="none" w:sz="0" w:space="0" w:color="auto"/>
            <w:left w:val="none" w:sz="0" w:space="0" w:color="auto"/>
            <w:bottom w:val="none" w:sz="0" w:space="0" w:color="auto"/>
            <w:right w:val="none" w:sz="0" w:space="0" w:color="auto"/>
          </w:divBdr>
        </w:div>
        <w:div w:id="1022168181">
          <w:marLeft w:val="640"/>
          <w:marRight w:val="0"/>
          <w:marTop w:val="0"/>
          <w:marBottom w:val="0"/>
          <w:divBdr>
            <w:top w:val="none" w:sz="0" w:space="0" w:color="auto"/>
            <w:left w:val="none" w:sz="0" w:space="0" w:color="auto"/>
            <w:bottom w:val="none" w:sz="0" w:space="0" w:color="auto"/>
            <w:right w:val="none" w:sz="0" w:space="0" w:color="auto"/>
          </w:divBdr>
        </w:div>
        <w:div w:id="1666854423">
          <w:marLeft w:val="640"/>
          <w:marRight w:val="0"/>
          <w:marTop w:val="0"/>
          <w:marBottom w:val="0"/>
          <w:divBdr>
            <w:top w:val="none" w:sz="0" w:space="0" w:color="auto"/>
            <w:left w:val="none" w:sz="0" w:space="0" w:color="auto"/>
            <w:bottom w:val="none" w:sz="0" w:space="0" w:color="auto"/>
            <w:right w:val="none" w:sz="0" w:space="0" w:color="auto"/>
          </w:divBdr>
        </w:div>
        <w:div w:id="893783589">
          <w:marLeft w:val="640"/>
          <w:marRight w:val="0"/>
          <w:marTop w:val="0"/>
          <w:marBottom w:val="0"/>
          <w:divBdr>
            <w:top w:val="none" w:sz="0" w:space="0" w:color="auto"/>
            <w:left w:val="none" w:sz="0" w:space="0" w:color="auto"/>
            <w:bottom w:val="none" w:sz="0" w:space="0" w:color="auto"/>
            <w:right w:val="none" w:sz="0" w:space="0" w:color="auto"/>
          </w:divBdr>
        </w:div>
        <w:div w:id="142507379">
          <w:marLeft w:val="640"/>
          <w:marRight w:val="0"/>
          <w:marTop w:val="0"/>
          <w:marBottom w:val="0"/>
          <w:divBdr>
            <w:top w:val="none" w:sz="0" w:space="0" w:color="auto"/>
            <w:left w:val="none" w:sz="0" w:space="0" w:color="auto"/>
            <w:bottom w:val="none" w:sz="0" w:space="0" w:color="auto"/>
            <w:right w:val="none" w:sz="0" w:space="0" w:color="auto"/>
          </w:divBdr>
        </w:div>
        <w:div w:id="1425763081">
          <w:marLeft w:val="640"/>
          <w:marRight w:val="0"/>
          <w:marTop w:val="0"/>
          <w:marBottom w:val="0"/>
          <w:divBdr>
            <w:top w:val="none" w:sz="0" w:space="0" w:color="auto"/>
            <w:left w:val="none" w:sz="0" w:space="0" w:color="auto"/>
            <w:bottom w:val="none" w:sz="0" w:space="0" w:color="auto"/>
            <w:right w:val="none" w:sz="0" w:space="0" w:color="auto"/>
          </w:divBdr>
        </w:div>
        <w:div w:id="31197975">
          <w:marLeft w:val="640"/>
          <w:marRight w:val="0"/>
          <w:marTop w:val="0"/>
          <w:marBottom w:val="0"/>
          <w:divBdr>
            <w:top w:val="none" w:sz="0" w:space="0" w:color="auto"/>
            <w:left w:val="none" w:sz="0" w:space="0" w:color="auto"/>
            <w:bottom w:val="none" w:sz="0" w:space="0" w:color="auto"/>
            <w:right w:val="none" w:sz="0" w:space="0" w:color="auto"/>
          </w:divBdr>
        </w:div>
        <w:div w:id="2096828073">
          <w:marLeft w:val="640"/>
          <w:marRight w:val="0"/>
          <w:marTop w:val="0"/>
          <w:marBottom w:val="0"/>
          <w:divBdr>
            <w:top w:val="none" w:sz="0" w:space="0" w:color="auto"/>
            <w:left w:val="none" w:sz="0" w:space="0" w:color="auto"/>
            <w:bottom w:val="none" w:sz="0" w:space="0" w:color="auto"/>
            <w:right w:val="none" w:sz="0" w:space="0" w:color="auto"/>
          </w:divBdr>
        </w:div>
        <w:div w:id="635991427">
          <w:marLeft w:val="640"/>
          <w:marRight w:val="0"/>
          <w:marTop w:val="0"/>
          <w:marBottom w:val="0"/>
          <w:divBdr>
            <w:top w:val="none" w:sz="0" w:space="0" w:color="auto"/>
            <w:left w:val="none" w:sz="0" w:space="0" w:color="auto"/>
            <w:bottom w:val="none" w:sz="0" w:space="0" w:color="auto"/>
            <w:right w:val="none" w:sz="0" w:space="0" w:color="auto"/>
          </w:divBdr>
        </w:div>
        <w:div w:id="1633822120">
          <w:marLeft w:val="640"/>
          <w:marRight w:val="0"/>
          <w:marTop w:val="0"/>
          <w:marBottom w:val="0"/>
          <w:divBdr>
            <w:top w:val="none" w:sz="0" w:space="0" w:color="auto"/>
            <w:left w:val="none" w:sz="0" w:space="0" w:color="auto"/>
            <w:bottom w:val="none" w:sz="0" w:space="0" w:color="auto"/>
            <w:right w:val="none" w:sz="0" w:space="0" w:color="auto"/>
          </w:divBdr>
        </w:div>
        <w:div w:id="1670985167">
          <w:marLeft w:val="640"/>
          <w:marRight w:val="0"/>
          <w:marTop w:val="0"/>
          <w:marBottom w:val="0"/>
          <w:divBdr>
            <w:top w:val="none" w:sz="0" w:space="0" w:color="auto"/>
            <w:left w:val="none" w:sz="0" w:space="0" w:color="auto"/>
            <w:bottom w:val="none" w:sz="0" w:space="0" w:color="auto"/>
            <w:right w:val="none" w:sz="0" w:space="0" w:color="auto"/>
          </w:divBdr>
        </w:div>
        <w:div w:id="1864054435">
          <w:marLeft w:val="640"/>
          <w:marRight w:val="0"/>
          <w:marTop w:val="0"/>
          <w:marBottom w:val="0"/>
          <w:divBdr>
            <w:top w:val="none" w:sz="0" w:space="0" w:color="auto"/>
            <w:left w:val="none" w:sz="0" w:space="0" w:color="auto"/>
            <w:bottom w:val="none" w:sz="0" w:space="0" w:color="auto"/>
            <w:right w:val="none" w:sz="0" w:space="0" w:color="auto"/>
          </w:divBdr>
        </w:div>
        <w:div w:id="794103333">
          <w:marLeft w:val="640"/>
          <w:marRight w:val="0"/>
          <w:marTop w:val="0"/>
          <w:marBottom w:val="0"/>
          <w:divBdr>
            <w:top w:val="none" w:sz="0" w:space="0" w:color="auto"/>
            <w:left w:val="none" w:sz="0" w:space="0" w:color="auto"/>
            <w:bottom w:val="none" w:sz="0" w:space="0" w:color="auto"/>
            <w:right w:val="none" w:sz="0" w:space="0" w:color="auto"/>
          </w:divBdr>
        </w:div>
        <w:div w:id="1123764631">
          <w:marLeft w:val="640"/>
          <w:marRight w:val="0"/>
          <w:marTop w:val="0"/>
          <w:marBottom w:val="0"/>
          <w:divBdr>
            <w:top w:val="none" w:sz="0" w:space="0" w:color="auto"/>
            <w:left w:val="none" w:sz="0" w:space="0" w:color="auto"/>
            <w:bottom w:val="none" w:sz="0" w:space="0" w:color="auto"/>
            <w:right w:val="none" w:sz="0" w:space="0" w:color="auto"/>
          </w:divBdr>
        </w:div>
        <w:div w:id="570042619">
          <w:marLeft w:val="640"/>
          <w:marRight w:val="0"/>
          <w:marTop w:val="0"/>
          <w:marBottom w:val="0"/>
          <w:divBdr>
            <w:top w:val="none" w:sz="0" w:space="0" w:color="auto"/>
            <w:left w:val="none" w:sz="0" w:space="0" w:color="auto"/>
            <w:bottom w:val="none" w:sz="0" w:space="0" w:color="auto"/>
            <w:right w:val="none" w:sz="0" w:space="0" w:color="auto"/>
          </w:divBdr>
        </w:div>
        <w:div w:id="1123772117">
          <w:marLeft w:val="640"/>
          <w:marRight w:val="0"/>
          <w:marTop w:val="0"/>
          <w:marBottom w:val="0"/>
          <w:divBdr>
            <w:top w:val="none" w:sz="0" w:space="0" w:color="auto"/>
            <w:left w:val="none" w:sz="0" w:space="0" w:color="auto"/>
            <w:bottom w:val="none" w:sz="0" w:space="0" w:color="auto"/>
            <w:right w:val="none" w:sz="0" w:space="0" w:color="auto"/>
          </w:divBdr>
        </w:div>
        <w:div w:id="1122532035">
          <w:marLeft w:val="640"/>
          <w:marRight w:val="0"/>
          <w:marTop w:val="0"/>
          <w:marBottom w:val="0"/>
          <w:divBdr>
            <w:top w:val="none" w:sz="0" w:space="0" w:color="auto"/>
            <w:left w:val="none" w:sz="0" w:space="0" w:color="auto"/>
            <w:bottom w:val="none" w:sz="0" w:space="0" w:color="auto"/>
            <w:right w:val="none" w:sz="0" w:space="0" w:color="auto"/>
          </w:divBdr>
        </w:div>
        <w:div w:id="1428236920">
          <w:marLeft w:val="640"/>
          <w:marRight w:val="0"/>
          <w:marTop w:val="0"/>
          <w:marBottom w:val="0"/>
          <w:divBdr>
            <w:top w:val="none" w:sz="0" w:space="0" w:color="auto"/>
            <w:left w:val="none" w:sz="0" w:space="0" w:color="auto"/>
            <w:bottom w:val="none" w:sz="0" w:space="0" w:color="auto"/>
            <w:right w:val="none" w:sz="0" w:space="0" w:color="auto"/>
          </w:divBdr>
        </w:div>
        <w:div w:id="1867284287">
          <w:marLeft w:val="640"/>
          <w:marRight w:val="0"/>
          <w:marTop w:val="0"/>
          <w:marBottom w:val="0"/>
          <w:divBdr>
            <w:top w:val="none" w:sz="0" w:space="0" w:color="auto"/>
            <w:left w:val="none" w:sz="0" w:space="0" w:color="auto"/>
            <w:bottom w:val="none" w:sz="0" w:space="0" w:color="auto"/>
            <w:right w:val="none" w:sz="0" w:space="0" w:color="auto"/>
          </w:divBdr>
        </w:div>
        <w:div w:id="341516484">
          <w:marLeft w:val="640"/>
          <w:marRight w:val="0"/>
          <w:marTop w:val="0"/>
          <w:marBottom w:val="0"/>
          <w:divBdr>
            <w:top w:val="none" w:sz="0" w:space="0" w:color="auto"/>
            <w:left w:val="none" w:sz="0" w:space="0" w:color="auto"/>
            <w:bottom w:val="none" w:sz="0" w:space="0" w:color="auto"/>
            <w:right w:val="none" w:sz="0" w:space="0" w:color="auto"/>
          </w:divBdr>
        </w:div>
        <w:div w:id="1245069165">
          <w:marLeft w:val="640"/>
          <w:marRight w:val="0"/>
          <w:marTop w:val="0"/>
          <w:marBottom w:val="0"/>
          <w:divBdr>
            <w:top w:val="none" w:sz="0" w:space="0" w:color="auto"/>
            <w:left w:val="none" w:sz="0" w:space="0" w:color="auto"/>
            <w:bottom w:val="none" w:sz="0" w:space="0" w:color="auto"/>
            <w:right w:val="none" w:sz="0" w:space="0" w:color="auto"/>
          </w:divBdr>
        </w:div>
        <w:div w:id="1220753368">
          <w:marLeft w:val="640"/>
          <w:marRight w:val="0"/>
          <w:marTop w:val="0"/>
          <w:marBottom w:val="0"/>
          <w:divBdr>
            <w:top w:val="none" w:sz="0" w:space="0" w:color="auto"/>
            <w:left w:val="none" w:sz="0" w:space="0" w:color="auto"/>
            <w:bottom w:val="none" w:sz="0" w:space="0" w:color="auto"/>
            <w:right w:val="none" w:sz="0" w:space="0" w:color="auto"/>
          </w:divBdr>
        </w:div>
        <w:div w:id="1166555963">
          <w:marLeft w:val="640"/>
          <w:marRight w:val="0"/>
          <w:marTop w:val="0"/>
          <w:marBottom w:val="0"/>
          <w:divBdr>
            <w:top w:val="none" w:sz="0" w:space="0" w:color="auto"/>
            <w:left w:val="none" w:sz="0" w:space="0" w:color="auto"/>
            <w:bottom w:val="none" w:sz="0" w:space="0" w:color="auto"/>
            <w:right w:val="none" w:sz="0" w:space="0" w:color="auto"/>
          </w:divBdr>
        </w:div>
        <w:div w:id="521288475">
          <w:marLeft w:val="640"/>
          <w:marRight w:val="0"/>
          <w:marTop w:val="0"/>
          <w:marBottom w:val="0"/>
          <w:divBdr>
            <w:top w:val="none" w:sz="0" w:space="0" w:color="auto"/>
            <w:left w:val="none" w:sz="0" w:space="0" w:color="auto"/>
            <w:bottom w:val="none" w:sz="0" w:space="0" w:color="auto"/>
            <w:right w:val="none" w:sz="0" w:space="0" w:color="auto"/>
          </w:divBdr>
        </w:div>
        <w:div w:id="1051929596">
          <w:marLeft w:val="640"/>
          <w:marRight w:val="0"/>
          <w:marTop w:val="0"/>
          <w:marBottom w:val="0"/>
          <w:divBdr>
            <w:top w:val="none" w:sz="0" w:space="0" w:color="auto"/>
            <w:left w:val="none" w:sz="0" w:space="0" w:color="auto"/>
            <w:bottom w:val="none" w:sz="0" w:space="0" w:color="auto"/>
            <w:right w:val="none" w:sz="0" w:space="0" w:color="auto"/>
          </w:divBdr>
        </w:div>
        <w:div w:id="442117875">
          <w:marLeft w:val="640"/>
          <w:marRight w:val="0"/>
          <w:marTop w:val="0"/>
          <w:marBottom w:val="0"/>
          <w:divBdr>
            <w:top w:val="none" w:sz="0" w:space="0" w:color="auto"/>
            <w:left w:val="none" w:sz="0" w:space="0" w:color="auto"/>
            <w:bottom w:val="none" w:sz="0" w:space="0" w:color="auto"/>
            <w:right w:val="none" w:sz="0" w:space="0" w:color="auto"/>
          </w:divBdr>
        </w:div>
        <w:div w:id="1806580152">
          <w:marLeft w:val="640"/>
          <w:marRight w:val="0"/>
          <w:marTop w:val="0"/>
          <w:marBottom w:val="0"/>
          <w:divBdr>
            <w:top w:val="none" w:sz="0" w:space="0" w:color="auto"/>
            <w:left w:val="none" w:sz="0" w:space="0" w:color="auto"/>
            <w:bottom w:val="none" w:sz="0" w:space="0" w:color="auto"/>
            <w:right w:val="none" w:sz="0" w:space="0" w:color="auto"/>
          </w:divBdr>
        </w:div>
        <w:div w:id="881863961">
          <w:marLeft w:val="640"/>
          <w:marRight w:val="0"/>
          <w:marTop w:val="0"/>
          <w:marBottom w:val="0"/>
          <w:divBdr>
            <w:top w:val="none" w:sz="0" w:space="0" w:color="auto"/>
            <w:left w:val="none" w:sz="0" w:space="0" w:color="auto"/>
            <w:bottom w:val="none" w:sz="0" w:space="0" w:color="auto"/>
            <w:right w:val="none" w:sz="0" w:space="0" w:color="auto"/>
          </w:divBdr>
        </w:div>
        <w:div w:id="1147043511">
          <w:marLeft w:val="640"/>
          <w:marRight w:val="0"/>
          <w:marTop w:val="0"/>
          <w:marBottom w:val="0"/>
          <w:divBdr>
            <w:top w:val="none" w:sz="0" w:space="0" w:color="auto"/>
            <w:left w:val="none" w:sz="0" w:space="0" w:color="auto"/>
            <w:bottom w:val="none" w:sz="0" w:space="0" w:color="auto"/>
            <w:right w:val="none" w:sz="0" w:space="0" w:color="auto"/>
          </w:divBdr>
        </w:div>
        <w:div w:id="2076320929">
          <w:marLeft w:val="640"/>
          <w:marRight w:val="0"/>
          <w:marTop w:val="0"/>
          <w:marBottom w:val="0"/>
          <w:divBdr>
            <w:top w:val="none" w:sz="0" w:space="0" w:color="auto"/>
            <w:left w:val="none" w:sz="0" w:space="0" w:color="auto"/>
            <w:bottom w:val="none" w:sz="0" w:space="0" w:color="auto"/>
            <w:right w:val="none" w:sz="0" w:space="0" w:color="auto"/>
          </w:divBdr>
        </w:div>
        <w:div w:id="1867912356">
          <w:marLeft w:val="640"/>
          <w:marRight w:val="0"/>
          <w:marTop w:val="0"/>
          <w:marBottom w:val="0"/>
          <w:divBdr>
            <w:top w:val="none" w:sz="0" w:space="0" w:color="auto"/>
            <w:left w:val="none" w:sz="0" w:space="0" w:color="auto"/>
            <w:bottom w:val="none" w:sz="0" w:space="0" w:color="auto"/>
            <w:right w:val="none" w:sz="0" w:space="0" w:color="auto"/>
          </w:divBdr>
        </w:div>
        <w:div w:id="1944191092">
          <w:marLeft w:val="640"/>
          <w:marRight w:val="0"/>
          <w:marTop w:val="0"/>
          <w:marBottom w:val="0"/>
          <w:divBdr>
            <w:top w:val="none" w:sz="0" w:space="0" w:color="auto"/>
            <w:left w:val="none" w:sz="0" w:space="0" w:color="auto"/>
            <w:bottom w:val="none" w:sz="0" w:space="0" w:color="auto"/>
            <w:right w:val="none" w:sz="0" w:space="0" w:color="auto"/>
          </w:divBdr>
        </w:div>
        <w:div w:id="2004506138">
          <w:marLeft w:val="640"/>
          <w:marRight w:val="0"/>
          <w:marTop w:val="0"/>
          <w:marBottom w:val="0"/>
          <w:divBdr>
            <w:top w:val="none" w:sz="0" w:space="0" w:color="auto"/>
            <w:left w:val="none" w:sz="0" w:space="0" w:color="auto"/>
            <w:bottom w:val="none" w:sz="0" w:space="0" w:color="auto"/>
            <w:right w:val="none" w:sz="0" w:space="0" w:color="auto"/>
          </w:divBdr>
        </w:div>
        <w:div w:id="1696884671">
          <w:marLeft w:val="640"/>
          <w:marRight w:val="0"/>
          <w:marTop w:val="0"/>
          <w:marBottom w:val="0"/>
          <w:divBdr>
            <w:top w:val="none" w:sz="0" w:space="0" w:color="auto"/>
            <w:left w:val="none" w:sz="0" w:space="0" w:color="auto"/>
            <w:bottom w:val="none" w:sz="0" w:space="0" w:color="auto"/>
            <w:right w:val="none" w:sz="0" w:space="0" w:color="auto"/>
          </w:divBdr>
        </w:div>
        <w:div w:id="1815754238">
          <w:marLeft w:val="640"/>
          <w:marRight w:val="0"/>
          <w:marTop w:val="0"/>
          <w:marBottom w:val="0"/>
          <w:divBdr>
            <w:top w:val="none" w:sz="0" w:space="0" w:color="auto"/>
            <w:left w:val="none" w:sz="0" w:space="0" w:color="auto"/>
            <w:bottom w:val="none" w:sz="0" w:space="0" w:color="auto"/>
            <w:right w:val="none" w:sz="0" w:space="0" w:color="auto"/>
          </w:divBdr>
        </w:div>
        <w:div w:id="684285432">
          <w:marLeft w:val="640"/>
          <w:marRight w:val="0"/>
          <w:marTop w:val="0"/>
          <w:marBottom w:val="0"/>
          <w:divBdr>
            <w:top w:val="none" w:sz="0" w:space="0" w:color="auto"/>
            <w:left w:val="none" w:sz="0" w:space="0" w:color="auto"/>
            <w:bottom w:val="none" w:sz="0" w:space="0" w:color="auto"/>
            <w:right w:val="none" w:sz="0" w:space="0" w:color="auto"/>
          </w:divBdr>
        </w:div>
        <w:div w:id="397677667">
          <w:marLeft w:val="640"/>
          <w:marRight w:val="0"/>
          <w:marTop w:val="0"/>
          <w:marBottom w:val="0"/>
          <w:divBdr>
            <w:top w:val="none" w:sz="0" w:space="0" w:color="auto"/>
            <w:left w:val="none" w:sz="0" w:space="0" w:color="auto"/>
            <w:bottom w:val="none" w:sz="0" w:space="0" w:color="auto"/>
            <w:right w:val="none" w:sz="0" w:space="0" w:color="auto"/>
          </w:divBdr>
        </w:div>
        <w:div w:id="1496218337">
          <w:marLeft w:val="640"/>
          <w:marRight w:val="0"/>
          <w:marTop w:val="0"/>
          <w:marBottom w:val="0"/>
          <w:divBdr>
            <w:top w:val="none" w:sz="0" w:space="0" w:color="auto"/>
            <w:left w:val="none" w:sz="0" w:space="0" w:color="auto"/>
            <w:bottom w:val="none" w:sz="0" w:space="0" w:color="auto"/>
            <w:right w:val="none" w:sz="0" w:space="0" w:color="auto"/>
          </w:divBdr>
        </w:div>
        <w:div w:id="1683317578">
          <w:marLeft w:val="640"/>
          <w:marRight w:val="0"/>
          <w:marTop w:val="0"/>
          <w:marBottom w:val="0"/>
          <w:divBdr>
            <w:top w:val="none" w:sz="0" w:space="0" w:color="auto"/>
            <w:left w:val="none" w:sz="0" w:space="0" w:color="auto"/>
            <w:bottom w:val="none" w:sz="0" w:space="0" w:color="auto"/>
            <w:right w:val="none" w:sz="0" w:space="0" w:color="auto"/>
          </w:divBdr>
        </w:div>
        <w:div w:id="252974990">
          <w:marLeft w:val="640"/>
          <w:marRight w:val="0"/>
          <w:marTop w:val="0"/>
          <w:marBottom w:val="0"/>
          <w:divBdr>
            <w:top w:val="none" w:sz="0" w:space="0" w:color="auto"/>
            <w:left w:val="none" w:sz="0" w:space="0" w:color="auto"/>
            <w:bottom w:val="none" w:sz="0" w:space="0" w:color="auto"/>
            <w:right w:val="none" w:sz="0" w:space="0" w:color="auto"/>
          </w:divBdr>
        </w:div>
        <w:div w:id="1326786119">
          <w:marLeft w:val="640"/>
          <w:marRight w:val="0"/>
          <w:marTop w:val="0"/>
          <w:marBottom w:val="0"/>
          <w:divBdr>
            <w:top w:val="none" w:sz="0" w:space="0" w:color="auto"/>
            <w:left w:val="none" w:sz="0" w:space="0" w:color="auto"/>
            <w:bottom w:val="none" w:sz="0" w:space="0" w:color="auto"/>
            <w:right w:val="none" w:sz="0" w:space="0" w:color="auto"/>
          </w:divBdr>
        </w:div>
        <w:div w:id="2116829535">
          <w:marLeft w:val="640"/>
          <w:marRight w:val="0"/>
          <w:marTop w:val="0"/>
          <w:marBottom w:val="0"/>
          <w:divBdr>
            <w:top w:val="none" w:sz="0" w:space="0" w:color="auto"/>
            <w:left w:val="none" w:sz="0" w:space="0" w:color="auto"/>
            <w:bottom w:val="none" w:sz="0" w:space="0" w:color="auto"/>
            <w:right w:val="none" w:sz="0" w:space="0" w:color="auto"/>
          </w:divBdr>
        </w:div>
        <w:div w:id="500395173">
          <w:marLeft w:val="640"/>
          <w:marRight w:val="0"/>
          <w:marTop w:val="0"/>
          <w:marBottom w:val="0"/>
          <w:divBdr>
            <w:top w:val="none" w:sz="0" w:space="0" w:color="auto"/>
            <w:left w:val="none" w:sz="0" w:space="0" w:color="auto"/>
            <w:bottom w:val="none" w:sz="0" w:space="0" w:color="auto"/>
            <w:right w:val="none" w:sz="0" w:space="0" w:color="auto"/>
          </w:divBdr>
        </w:div>
        <w:div w:id="685400065">
          <w:marLeft w:val="640"/>
          <w:marRight w:val="0"/>
          <w:marTop w:val="0"/>
          <w:marBottom w:val="0"/>
          <w:divBdr>
            <w:top w:val="none" w:sz="0" w:space="0" w:color="auto"/>
            <w:left w:val="none" w:sz="0" w:space="0" w:color="auto"/>
            <w:bottom w:val="none" w:sz="0" w:space="0" w:color="auto"/>
            <w:right w:val="none" w:sz="0" w:space="0" w:color="auto"/>
          </w:divBdr>
        </w:div>
        <w:div w:id="1444769440">
          <w:marLeft w:val="640"/>
          <w:marRight w:val="0"/>
          <w:marTop w:val="0"/>
          <w:marBottom w:val="0"/>
          <w:divBdr>
            <w:top w:val="none" w:sz="0" w:space="0" w:color="auto"/>
            <w:left w:val="none" w:sz="0" w:space="0" w:color="auto"/>
            <w:bottom w:val="none" w:sz="0" w:space="0" w:color="auto"/>
            <w:right w:val="none" w:sz="0" w:space="0" w:color="auto"/>
          </w:divBdr>
        </w:div>
        <w:div w:id="776368935">
          <w:marLeft w:val="640"/>
          <w:marRight w:val="0"/>
          <w:marTop w:val="0"/>
          <w:marBottom w:val="0"/>
          <w:divBdr>
            <w:top w:val="none" w:sz="0" w:space="0" w:color="auto"/>
            <w:left w:val="none" w:sz="0" w:space="0" w:color="auto"/>
            <w:bottom w:val="none" w:sz="0" w:space="0" w:color="auto"/>
            <w:right w:val="none" w:sz="0" w:space="0" w:color="auto"/>
          </w:divBdr>
        </w:div>
        <w:div w:id="176892676">
          <w:marLeft w:val="640"/>
          <w:marRight w:val="0"/>
          <w:marTop w:val="0"/>
          <w:marBottom w:val="0"/>
          <w:divBdr>
            <w:top w:val="none" w:sz="0" w:space="0" w:color="auto"/>
            <w:left w:val="none" w:sz="0" w:space="0" w:color="auto"/>
            <w:bottom w:val="none" w:sz="0" w:space="0" w:color="auto"/>
            <w:right w:val="none" w:sz="0" w:space="0" w:color="auto"/>
          </w:divBdr>
        </w:div>
        <w:div w:id="1367440714">
          <w:marLeft w:val="640"/>
          <w:marRight w:val="0"/>
          <w:marTop w:val="0"/>
          <w:marBottom w:val="0"/>
          <w:divBdr>
            <w:top w:val="none" w:sz="0" w:space="0" w:color="auto"/>
            <w:left w:val="none" w:sz="0" w:space="0" w:color="auto"/>
            <w:bottom w:val="none" w:sz="0" w:space="0" w:color="auto"/>
            <w:right w:val="none" w:sz="0" w:space="0" w:color="auto"/>
          </w:divBdr>
        </w:div>
        <w:div w:id="547378797">
          <w:marLeft w:val="640"/>
          <w:marRight w:val="0"/>
          <w:marTop w:val="0"/>
          <w:marBottom w:val="0"/>
          <w:divBdr>
            <w:top w:val="none" w:sz="0" w:space="0" w:color="auto"/>
            <w:left w:val="none" w:sz="0" w:space="0" w:color="auto"/>
            <w:bottom w:val="none" w:sz="0" w:space="0" w:color="auto"/>
            <w:right w:val="none" w:sz="0" w:space="0" w:color="auto"/>
          </w:divBdr>
        </w:div>
        <w:div w:id="1788621655">
          <w:marLeft w:val="640"/>
          <w:marRight w:val="0"/>
          <w:marTop w:val="0"/>
          <w:marBottom w:val="0"/>
          <w:divBdr>
            <w:top w:val="none" w:sz="0" w:space="0" w:color="auto"/>
            <w:left w:val="none" w:sz="0" w:space="0" w:color="auto"/>
            <w:bottom w:val="none" w:sz="0" w:space="0" w:color="auto"/>
            <w:right w:val="none" w:sz="0" w:space="0" w:color="auto"/>
          </w:divBdr>
        </w:div>
        <w:div w:id="1933707156">
          <w:marLeft w:val="640"/>
          <w:marRight w:val="0"/>
          <w:marTop w:val="0"/>
          <w:marBottom w:val="0"/>
          <w:divBdr>
            <w:top w:val="none" w:sz="0" w:space="0" w:color="auto"/>
            <w:left w:val="none" w:sz="0" w:space="0" w:color="auto"/>
            <w:bottom w:val="none" w:sz="0" w:space="0" w:color="auto"/>
            <w:right w:val="none" w:sz="0" w:space="0" w:color="auto"/>
          </w:divBdr>
        </w:div>
        <w:div w:id="1241939825">
          <w:marLeft w:val="640"/>
          <w:marRight w:val="0"/>
          <w:marTop w:val="0"/>
          <w:marBottom w:val="0"/>
          <w:divBdr>
            <w:top w:val="none" w:sz="0" w:space="0" w:color="auto"/>
            <w:left w:val="none" w:sz="0" w:space="0" w:color="auto"/>
            <w:bottom w:val="none" w:sz="0" w:space="0" w:color="auto"/>
            <w:right w:val="none" w:sz="0" w:space="0" w:color="auto"/>
          </w:divBdr>
        </w:div>
        <w:div w:id="1508641416">
          <w:marLeft w:val="640"/>
          <w:marRight w:val="0"/>
          <w:marTop w:val="0"/>
          <w:marBottom w:val="0"/>
          <w:divBdr>
            <w:top w:val="none" w:sz="0" w:space="0" w:color="auto"/>
            <w:left w:val="none" w:sz="0" w:space="0" w:color="auto"/>
            <w:bottom w:val="none" w:sz="0" w:space="0" w:color="auto"/>
            <w:right w:val="none" w:sz="0" w:space="0" w:color="auto"/>
          </w:divBdr>
        </w:div>
        <w:div w:id="903756222">
          <w:marLeft w:val="640"/>
          <w:marRight w:val="0"/>
          <w:marTop w:val="0"/>
          <w:marBottom w:val="0"/>
          <w:divBdr>
            <w:top w:val="none" w:sz="0" w:space="0" w:color="auto"/>
            <w:left w:val="none" w:sz="0" w:space="0" w:color="auto"/>
            <w:bottom w:val="none" w:sz="0" w:space="0" w:color="auto"/>
            <w:right w:val="none" w:sz="0" w:space="0" w:color="auto"/>
          </w:divBdr>
        </w:div>
        <w:div w:id="956372311">
          <w:marLeft w:val="640"/>
          <w:marRight w:val="0"/>
          <w:marTop w:val="0"/>
          <w:marBottom w:val="0"/>
          <w:divBdr>
            <w:top w:val="none" w:sz="0" w:space="0" w:color="auto"/>
            <w:left w:val="none" w:sz="0" w:space="0" w:color="auto"/>
            <w:bottom w:val="none" w:sz="0" w:space="0" w:color="auto"/>
            <w:right w:val="none" w:sz="0" w:space="0" w:color="auto"/>
          </w:divBdr>
        </w:div>
        <w:div w:id="410540176">
          <w:marLeft w:val="640"/>
          <w:marRight w:val="0"/>
          <w:marTop w:val="0"/>
          <w:marBottom w:val="0"/>
          <w:divBdr>
            <w:top w:val="none" w:sz="0" w:space="0" w:color="auto"/>
            <w:left w:val="none" w:sz="0" w:space="0" w:color="auto"/>
            <w:bottom w:val="none" w:sz="0" w:space="0" w:color="auto"/>
            <w:right w:val="none" w:sz="0" w:space="0" w:color="auto"/>
          </w:divBdr>
        </w:div>
        <w:div w:id="8725372">
          <w:marLeft w:val="640"/>
          <w:marRight w:val="0"/>
          <w:marTop w:val="0"/>
          <w:marBottom w:val="0"/>
          <w:divBdr>
            <w:top w:val="none" w:sz="0" w:space="0" w:color="auto"/>
            <w:left w:val="none" w:sz="0" w:space="0" w:color="auto"/>
            <w:bottom w:val="none" w:sz="0" w:space="0" w:color="auto"/>
            <w:right w:val="none" w:sz="0" w:space="0" w:color="auto"/>
          </w:divBdr>
        </w:div>
        <w:div w:id="1077556773">
          <w:marLeft w:val="640"/>
          <w:marRight w:val="0"/>
          <w:marTop w:val="0"/>
          <w:marBottom w:val="0"/>
          <w:divBdr>
            <w:top w:val="none" w:sz="0" w:space="0" w:color="auto"/>
            <w:left w:val="none" w:sz="0" w:space="0" w:color="auto"/>
            <w:bottom w:val="none" w:sz="0" w:space="0" w:color="auto"/>
            <w:right w:val="none" w:sz="0" w:space="0" w:color="auto"/>
          </w:divBdr>
        </w:div>
        <w:div w:id="1334720299">
          <w:marLeft w:val="640"/>
          <w:marRight w:val="0"/>
          <w:marTop w:val="0"/>
          <w:marBottom w:val="0"/>
          <w:divBdr>
            <w:top w:val="none" w:sz="0" w:space="0" w:color="auto"/>
            <w:left w:val="none" w:sz="0" w:space="0" w:color="auto"/>
            <w:bottom w:val="none" w:sz="0" w:space="0" w:color="auto"/>
            <w:right w:val="none" w:sz="0" w:space="0" w:color="auto"/>
          </w:divBdr>
        </w:div>
        <w:div w:id="878855840">
          <w:marLeft w:val="640"/>
          <w:marRight w:val="0"/>
          <w:marTop w:val="0"/>
          <w:marBottom w:val="0"/>
          <w:divBdr>
            <w:top w:val="none" w:sz="0" w:space="0" w:color="auto"/>
            <w:left w:val="none" w:sz="0" w:space="0" w:color="auto"/>
            <w:bottom w:val="none" w:sz="0" w:space="0" w:color="auto"/>
            <w:right w:val="none" w:sz="0" w:space="0" w:color="auto"/>
          </w:divBdr>
        </w:div>
        <w:div w:id="1571233425">
          <w:marLeft w:val="640"/>
          <w:marRight w:val="0"/>
          <w:marTop w:val="0"/>
          <w:marBottom w:val="0"/>
          <w:divBdr>
            <w:top w:val="none" w:sz="0" w:space="0" w:color="auto"/>
            <w:left w:val="none" w:sz="0" w:space="0" w:color="auto"/>
            <w:bottom w:val="none" w:sz="0" w:space="0" w:color="auto"/>
            <w:right w:val="none" w:sz="0" w:space="0" w:color="auto"/>
          </w:divBdr>
        </w:div>
        <w:div w:id="523832222">
          <w:marLeft w:val="640"/>
          <w:marRight w:val="0"/>
          <w:marTop w:val="0"/>
          <w:marBottom w:val="0"/>
          <w:divBdr>
            <w:top w:val="none" w:sz="0" w:space="0" w:color="auto"/>
            <w:left w:val="none" w:sz="0" w:space="0" w:color="auto"/>
            <w:bottom w:val="none" w:sz="0" w:space="0" w:color="auto"/>
            <w:right w:val="none" w:sz="0" w:space="0" w:color="auto"/>
          </w:divBdr>
        </w:div>
        <w:div w:id="250355052">
          <w:marLeft w:val="640"/>
          <w:marRight w:val="0"/>
          <w:marTop w:val="0"/>
          <w:marBottom w:val="0"/>
          <w:divBdr>
            <w:top w:val="none" w:sz="0" w:space="0" w:color="auto"/>
            <w:left w:val="none" w:sz="0" w:space="0" w:color="auto"/>
            <w:bottom w:val="none" w:sz="0" w:space="0" w:color="auto"/>
            <w:right w:val="none" w:sz="0" w:space="0" w:color="auto"/>
          </w:divBdr>
        </w:div>
        <w:div w:id="417020975">
          <w:marLeft w:val="640"/>
          <w:marRight w:val="0"/>
          <w:marTop w:val="0"/>
          <w:marBottom w:val="0"/>
          <w:divBdr>
            <w:top w:val="none" w:sz="0" w:space="0" w:color="auto"/>
            <w:left w:val="none" w:sz="0" w:space="0" w:color="auto"/>
            <w:bottom w:val="none" w:sz="0" w:space="0" w:color="auto"/>
            <w:right w:val="none" w:sz="0" w:space="0" w:color="auto"/>
          </w:divBdr>
        </w:div>
        <w:div w:id="2045444757">
          <w:marLeft w:val="640"/>
          <w:marRight w:val="0"/>
          <w:marTop w:val="0"/>
          <w:marBottom w:val="0"/>
          <w:divBdr>
            <w:top w:val="none" w:sz="0" w:space="0" w:color="auto"/>
            <w:left w:val="none" w:sz="0" w:space="0" w:color="auto"/>
            <w:bottom w:val="none" w:sz="0" w:space="0" w:color="auto"/>
            <w:right w:val="none" w:sz="0" w:space="0" w:color="auto"/>
          </w:divBdr>
        </w:div>
        <w:div w:id="167137112">
          <w:marLeft w:val="640"/>
          <w:marRight w:val="0"/>
          <w:marTop w:val="0"/>
          <w:marBottom w:val="0"/>
          <w:divBdr>
            <w:top w:val="none" w:sz="0" w:space="0" w:color="auto"/>
            <w:left w:val="none" w:sz="0" w:space="0" w:color="auto"/>
            <w:bottom w:val="none" w:sz="0" w:space="0" w:color="auto"/>
            <w:right w:val="none" w:sz="0" w:space="0" w:color="auto"/>
          </w:divBdr>
        </w:div>
        <w:div w:id="200946024">
          <w:marLeft w:val="640"/>
          <w:marRight w:val="0"/>
          <w:marTop w:val="0"/>
          <w:marBottom w:val="0"/>
          <w:divBdr>
            <w:top w:val="none" w:sz="0" w:space="0" w:color="auto"/>
            <w:left w:val="none" w:sz="0" w:space="0" w:color="auto"/>
            <w:bottom w:val="none" w:sz="0" w:space="0" w:color="auto"/>
            <w:right w:val="none" w:sz="0" w:space="0" w:color="auto"/>
          </w:divBdr>
        </w:div>
        <w:div w:id="1315718729">
          <w:marLeft w:val="640"/>
          <w:marRight w:val="0"/>
          <w:marTop w:val="0"/>
          <w:marBottom w:val="0"/>
          <w:divBdr>
            <w:top w:val="none" w:sz="0" w:space="0" w:color="auto"/>
            <w:left w:val="none" w:sz="0" w:space="0" w:color="auto"/>
            <w:bottom w:val="none" w:sz="0" w:space="0" w:color="auto"/>
            <w:right w:val="none" w:sz="0" w:space="0" w:color="auto"/>
          </w:divBdr>
        </w:div>
        <w:div w:id="720902988">
          <w:marLeft w:val="640"/>
          <w:marRight w:val="0"/>
          <w:marTop w:val="0"/>
          <w:marBottom w:val="0"/>
          <w:divBdr>
            <w:top w:val="none" w:sz="0" w:space="0" w:color="auto"/>
            <w:left w:val="none" w:sz="0" w:space="0" w:color="auto"/>
            <w:bottom w:val="none" w:sz="0" w:space="0" w:color="auto"/>
            <w:right w:val="none" w:sz="0" w:space="0" w:color="auto"/>
          </w:divBdr>
        </w:div>
        <w:div w:id="1395397231">
          <w:marLeft w:val="640"/>
          <w:marRight w:val="0"/>
          <w:marTop w:val="0"/>
          <w:marBottom w:val="0"/>
          <w:divBdr>
            <w:top w:val="none" w:sz="0" w:space="0" w:color="auto"/>
            <w:left w:val="none" w:sz="0" w:space="0" w:color="auto"/>
            <w:bottom w:val="none" w:sz="0" w:space="0" w:color="auto"/>
            <w:right w:val="none" w:sz="0" w:space="0" w:color="auto"/>
          </w:divBdr>
        </w:div>
        <w:div w:id="779837889">
          <w:marLeft w:val="640"/>
          <w:marRight w:val="0"/>
          <w:marTop w:val="0"/>
          <w:marBottom w:val="0"/>
          <w:divBdr>
            <w:top w:val="none" w:sz="0" w:space="0" w:color="auto"/>
            <w:left w:val="none" w:sz="0" w:space="0" w:color="auto"/>
            <w:bottom w:val="none" w:sz="0" w:space="0" w:color="auto"/>
            <w:right w:val="none" w:sz="0" w:space="0" w:color="auto"/>
          </w:divBdr>
        </w:div>
        <w:div w:id="1812333153">
          <w:marLeft w:val="640"/>
          <w:marRight w:val="0"/>
          <w:marTop w:val="0"/>
          <w:marBottom w:val="0"/>
          <w:divBdr>
            <w:top w:val="none" w:sz="0" w:space="0" w:color="auto"/>
            <w:left w:val="none" w:sz="0" w:space="0" w:color="auto"/>
            <w:bottom w:val="none" w:sz="0" w:space="0" w:color="auto"/>
            <w:right w:val="none" w:sz="0" w:space="0" w:color="auto"/>
          </w:divBdr>
        </w:div>
        <w:div w:id="1670214366">
          <w:marLeft w:val="640"/>
          <w:marRight w:val="0"/>
          <w:marTop w:val="0"/>
          <w:marBottom w:val="0"/>
          <w:divBdr>
            <w:top w:val="none" w:sz="0" w:space="0" w:color="auto"/>
            <w:left w:val="none" w:sz="0" w:space="0" w:color="auto"/>
            <w:bottom w:val="none" w:sz="0" w:space="0" w:color="auto"/>
            <w:right w:val="none" w:sz="0" w:space="0" w:color="auto"/>
          </w:divBdr>
        </w:div>
        <w:div w:id="1415320300">
          <w:marLeft w:val="640"/>
          <w:marRight w:val="0"/>
          <w:marTop w:val="0"/>
          <w:marBottom w:val="0"/>
          <w:divBdr>
            <w:top w:val="none" w:sz="0" w:space="0" w:color="auto"/>
            <w:left w:val="none" w:sz="0" w:space="0" w:color="auto"/>
            <w:bottom w:val="none" w:sz="0" w:space="0" w:color="auto"/>
            <w:right w:val="none" w:sz="0" w:space="0" w:color="auto"/>
          </w:divBdr>
        </w:div>
        <w:div w:id="2045399085">
          <w:marLeft w:val="640"/>
          <w:marRight w:val="0"/>
          <w:marTop w:val="0"/>
          <w:marBottom w:val="0"/>
          <w:divBdr>
            <w:top w:val="none" w:sz="0" w:space="0" w:color="auto"/>
            <w:left w:val="none" w:sz="0" w:space="0" w:color="auto"/>
            <w:bottom w:val="none" w:sz="0" w:space="0" w:color="auto"/>
            <w:right w:val="none" w:sz="0" w:space="0" w:color="auto"/>
          </w:divBdr>
        </w:div>
        <w:div w:id="1990817246">
          <w:marLeft w:val="640"/>
          <w:marRight w:val="0"/>
          <w:marTop w:val="0"/>
          <w:marBottom w:val="0"/>
          <w:divBdr>
            <w:top w:val="none" w:sz="0" w:space="0" w:color="auto"/>
            <w:left w:val="none" w:sz="0" w:space="0" w:color="auto"/>
            <w:bottom w:val="none" w:sz="0" w:space="0" w:color="auto"/>
            <w:right w:val="none" w:sz="0" w:space="0" w:color="auto"/>
          </w:divBdr>
        </w:div>
        <w:div w:id="1085763463">
          <w:marLeft w:val="640"/>
          <w:marRight w:val="0"/>
          <w:marTop w:val="0"/>
          <w:marBottom w:val="0"/>
          <w:divBdr>
            <w:top w:val="none" w:sz="0" w:space="0" w:color="auto"/>
            <w:left w:val="none" w:sz="0" w:space="0" w:color="auto"/>
            <w:bottom w:val="none" w:sz="0" w:space="0" w:color="auto"/>
            <w:right w:val="none" w:sz="0" w:space="0" w:color="auto"/>
          </w:divBdr>
        </w:div>
        <w:div w:id="1340817503">
          <w:marLeft w:val="640"/>
          <w:marRight w:val="0"/>
          <w:marTop w:val="0"/>
          <w:marBottom w:val="0"/>
          <w:divBdr>
            <w:top w:val="none" w:sz="0" w:space="0" w:color="auto"/>
            <w:left w:val="none" w:sz="0" w:space="0" w:color="auto"/>
            <w:bottom w:val="none" w:sz="0" w:space="0" w:color="auto"/>
            <w:right w:val="none" w:sz="0" w:space="0" w:color="auto"/>
          </w:divBdr>
        </w:div>
        <w:div w:id="131825133">
          <w:marLeft w:val="640"/>
          <w:marRight w:val="0"/>
          <w:marTop w:val="0"/>
          <w:marBottom w:val="0"/>
          <w:divBdr>
            <w:top w:val="none" w:sz="0" w:space="0" w:color="auto"/>
            <w:left w:val="none" w:sz="0" w:space="0" w:color="auto"/>
            <w:bottom w:val="none" w:sz="0" w:space="0" w:color="auto"/>
            <w:right w:val="none" w:sz="0" w:space="0" w:color="auto"/>
          </w:divBdr>
        </w:div>
        <w:div w:id="77606458">
          <w:marLeft w:val="640"/>
          <w:marRight w:val="0"/>
          <w:marTop w:val="0"/>
          <w:marBottom w:val="0"/>
          <w:divBdr>
            <w:top w:val="none" w:sz="0" w:space="0" w:color="auto"/>
            <w:left w:val="none" w:sz="0" w:space="0" w:color="auto"/>
            <w:bottom w:val="none" w:sz="0" w:space="0" w:color="auto"/>
            <w:right w:val="none" w:sz="0" w:space="0" w:color="auto"/>
          </w:divBdr>
        </w:div>
        <w:div w:id="1540245765">
          <w:marLeft w:val="640"/>
          <w:marRight w:val="0"/>
          <w:marTop w:val="0"/>
          <w:marBottom w:val="0"/>
          <w:divBdr>
            <w:top w:val="none" w:sz="0" w:space="0" w:color="auto"/>
            <w:left w:val="none" w:sz="0" w:space="0" w:color="auto"/>
            <w:bottom w:val="none" w:sz="0" w:space="0" w:color="auto"/>
            <w:right w:val="none" w:sz="0" w:space="0" w:color="auto"/>
          </w:divBdr>
        </w:div>
        <w:div w:id="1299066593">
          <w:marLeft w:val="640"/>
          <w:marRight w:val="0"/>
          <w:marTop w:val="0"/>
          <w:marBottom w:val="0"/>
          <w:divBdr>
            <w:top w:val="none" w:sz="0" w:space="0" w:color="auto"/>
            <w:left w:val="none" w:sz="0" w:space="0" w:color="auto"/>
            <w:bottom w:val="none" w:sz="0" w:space="0" w:color="auto"/>
            <w:right w:val="none" w:sz="0" w:space="0" w:color="auto"/>
          </w:divBdr>
        </w:div>
        <w:div w:id="1928270808">
          <w:marLeft w:val="640"/>
          <w:marRight w:val="0"/>
          <w:marTop w:val="0"/>
          <w:marBottom w:val="0"/>
          <w:divBdr>
            <w:top w:val="none" w:sz="0" w:space="0" w:color="auto"/>
            <w:left w:val="none" w:sz="0" w:space="0" w:color="auto"/>
            <w:bottom w:val="none" w:sz="0" w:space="0" w:color="auto"/>
            <w:right w:val="none" w:sz="0" w:space="0" w:color="auto"/>
          </w:divBdr>
        </w:div>
        <w:div w:id="1678314063">
          <w:marLeft w:val="640"/>
          <w:marRight w:val="0"/>
          <w:marTop w:val="0"/>
          <w:marBottom w:val="0"/>
          <w:divBdr>
            <w:top w:val="none" w:sz="0" w:space="0" w:color="auto"/>
            <w:left w:val="none" w:sz="0" w:space="0" w:color="auto"/>
            <w:bottom w:val="none" w:sz="0" w:space="0" w:color="auto"/>
            <w:right w:val="none" w:sz="0" w:space="0" w:color="auto"/>
          </w:divBdr>
        </w:div>
        <w:div w:id="941962181">
          <w:marLeft w:val="640"/>
          <w:marRight w:val="0"/>
          <w:marTop w:val="0"/>
          <w:marBottom w:val="0"/>
          <w:divBdr>
            <w:top w:val="none" w:sz="0" w:space="0" w:color="auto"/>
            <w:left w:val="none" w:sz="0" w:space="0" w:color="auto"/>
            <w:bottom w:val="none" w:sz="0" w:space="0" w:color="auto"/>
            <w:right w:val="none" w:sz="0" w:space="0" w:color="auto"/>
          </w:divBdr>
        </w:div>
        <w:div w:id="1379745421">
          <w:marLeft w:val="640"/>
          <w:marRight w:val="0"/>
          <w:marTop w:val="0"/>
          <w:marBottom w:val="0"/>
          <w:divBdr>
            <w:top w:val="none" w:sz="0" w:space="0" w:color="auto"/>
            <w:left w:val="none" w:sz="0" w:space="0" w:color="auto"/>
            <w:bottom w:val="none" w:sz="0" w:space="0" w:color="auto"/>
            <w:right w:val="none" w:sz="0" w:space="0" w:color="auto"/>
          </w:divBdr>
        </w:div>
        <w:div w:id="1503470096">
          <w:marLeft w:val="640"/>
          <w:marRight w:val="0"/>
          <w:marTop w:val="0"/>
          <w:marBottom w:val="0"/>
          <w:divBdr>
            <w:top w:val="none" w:sz="0" w:space="0" w:color="auto"/>
            <w:left w:val="none" w:sz="0" w:space="0" w:color="auto"/>
            <w:bottom w:val="none" w:sz="0" w:space="0" w:color="auto"/>
            <w:right w:val="none" w:sz="0" w:space="0" w:color="auto"/>
          </w:divBdr>
        </w:div>
        <w:div w:id="1898471284">
          <w:marLeft w:val="640"/>
          <w:marRight w:val="0"/>
          <w:marTop w:val="0"/>
          <w:marBottom w:val="0"/>
          <w:divBdr>
            <w:top w:val="none" w:sz="0" w:space="0" w:color="auto"/>
            <w:left w:val="none" w:sz="0" w:space="0" w:color="auto"/>
            <w:bottom w:val="none" w:sz="0" w:space="0" w:color="auto"/>
            <w:right w:val="none" w:sz="0" w:space="0" w:color="auto"/>
          </w:divBdr>
        </w:div>
        <w:div w:id="2110351481">
          <w:marLeft w:val="640"/>
          <w:marRight w:val="0"/>
          <w:marTop w:val="0"/>
          <w:marBottom w:val="0"/>
          <w:divBdr>
            <w:top w:val="none" w:sz="0" w:space="0" w:color="auto"/>
            <w:left w:val="none" w:sz="0" w:space="0" w:color="auto"/>
            <w:bottom w:val="none" w:sz="0" w:space="0" w:color="auto"/>
            <w:right w:val="none" w:sz="0" w:space="0" w:color="auto"/>
          </w:divBdr>
        </w:div>
        <w:div w:id="1891837370">
          <w:marLeft w:val="640"/>
          <w:marRight w:val="0"/>
          <w:marTop w:val="0"/>
          <w:marBottom w:val="0"/>
          <w:divBdr>
            <w:top w:val="none" w:sz="0" w:space="0" w:color="auto"/>
            <w:left w:val="none" w:sz="0" w:space="0" w:color="auto"/>
            <w:bottom w:val="none" w:sz="0" w:space="0" w:color="auto"/>
            <w:right w:val="none" w:sz="0" w:space="0" w:color="auto"/>
          </w:divBdr>
        </w:div>
        <w:div w:id="1163544764">
          <w:marLeft w:val="640"/>
          <w:marRight w:val="0"/>
          <w:marTop w:val="0"/>
          <w:marBottom w:val="0"/>
          <w:divBdr>
            <w:top w:val="none" w:sz="0" w:space="0" w:color="auto"/>
            <w:left w:val="none" w:sz="0" w:space="0" w:color="auto"/>
            <w:bottom w:val="none" w:sz="0" w:space="0" w:color="auto"/>
            <w:right w:val="none" w:sz="0" w:space="0" w:color="auto"/>
          </w:divBdr>
        </w:div>
        <w:div w:id="1902406477">
          <w:marLeft w:val="640"/>
          <w:marRight w:val="0"/>
          <w:marTop w:val="0"/>
          <w:marBottom w:val="0"/>
          <w:divBdr>
            <w:top w:val="none" w:sz="0" w:space="0" w:color="auto"/>
            <w:left w:val="none" w:sz="0" w:space="0" w:color="auto"/>
            <w:bottom w:val="none" w:sz="0" w:space="0" w:color="auto"/>
            <w:right w:val="none" w:sz="0" w:space="0" w:color="auto"/>
          </w:divBdr>
        </w:div>
        <w:div w:id="262491927">
          <w:marLeft w:val="640"/>
          <w:marRight w:val="0"/>
          <w:marTop w:val="0"/>
          <w:marBottom w:val="0"/>
          <w:divBdr>
            <w:top w:val="none" w:sz="0" w:space="0" w:color="auto"/>
            <w:left w:val="none" w:sz="0" w:space="0" w:color="auto"/>
            <w:bottom w:val="none" w:sz="0" w:space="0" w:color="auto"/>
            <w:right w:val="none" w:sz="0" w:space="0" w:color="auto"/>
          </w:divBdr>
        </w:div>
        <w:div w:id="789594876">
          <w:marLeft w:val="640"/>
          <w:marRight w:val="0"/>
          <w:marTop w:val="0"/>
          <w:marBottom w:val="0"/>
          <w:divBdr>
            <w:top w:val="none" w:sz="0" w:space="0" w:color="auto"/>
            <w:left w:val="none" w:sz="0" w:space="0" w:color="auto"/>
            <w:bottom w:val="none" w:sz="0" w:space="0" w:color="auto"/>
            <w:right w:val="none" w:sz="0" w:space="0" w:color="auto"/>
          </w:divBdr>
        </w:div>
        <w:div w:id="1837063993">
          <w:marLeft w:val="640"/>
          <w:marRight w:val="0"/>
          <w:marTop w:val="0"/>
          <w:marBottom w:val="0"/>
          <w:divBdr>
            <w:top w:val="none" w:sz="0" w:space="0" w:color="auto"/>
            <w:left w:val="none" w:sz="0" w:space="0" w:color="auto"/>
            <w:bottom w:val="none" w:sz="0" w:space="0" w:color="auto"/>
            <w:right w:val="none" w:sz="0" w:space="0" w:color="auto"/>
          </w:divBdr>
        </w:div>
        <w:div w:id="1249801879">
          <w:marLeft w:val="640"/>
          <w:marRight w:val="0"/>
          <w:marTop w:val="0"/>
          <w:marBottom w:val="0"/>
          <w:divBdr>
            <w:top w:val="none" w:sz="0" w:space="0" w:color="auto"/>
            <w:left w:val="none" w:sz="0" w:space="0" w:color="auto"/>
            <w:bottom w:val="none" w:sz="0" w:space="0" w:color="auto"/>
            <w:right w:val="none" w:sz="0" w:space="0" w:color="auto"/>
          </w:divBdr>
        </w:div>
      </w:divsChild>
    </w:div>
    <w:div w:id="2107076326">
      <w:bodyDiv w:val="1"/>
      <w:marLeft w:val="0"/>
      <w:marRight w:val="0"/>
      <w:marTop w:val="0"/>
      <w:marBottom w:val="0"/>
      <w:divBdr>
        <w:top w:val="none" w:sz="0" w:space="0" w:color="auto"/>
        <w:left w:val="none" w:sz="0" w:space="0" w:color="auto"/>
        <w:bottom w:val="none" w:sz="0" w:space="0" w:color="auto"/>
        <w:right w:val="none" w:sz="0" w:space="0" w:color="auto"/>
      </w:divBdr>
      <w:divsChild>
        <w:div w:id="1656648076">
          <w:marLeft w:val="640"/>
          <w:marRight w:val="0"/>
          <w:marTop w:val="0"/>
          <w:marBottom w:val="0"/>
          <w:divBdr>
            <w:top w:val="none" w:sz="0" w:space="0" w:color="auto"/>
            <w:left w:val="none" w:sz="0" w:space="0" w:color="auto"/>
            <w:bottom w:val="none" w:sz="0" w:space="0" w:color="auto"/>
            <w:right w:val="none" w:sz="0" w:space="0" w:color="auto"/>
          </w:divBdr>
        </w:div>
        <w:div w:id="1475947773">
          <w:marLeft w:val="640"/>
          <w:marRight w:val="0"/>
          <w:marTop w:val="0"/>
          <w:marBottom w:val="0"/>
          <w:divBdr>
            <w:top w:val="none" w:sz="0" w:space="0" w:color="auto"/>
            <w:left w:val="none" w:sz="0" w:space="0" w:color="auto"/>
            <w:bottom w:val="none" w:sz="0" w:space="0" w:color="auto"/>
            <w:right w:val="none" w:sz="0" w:space="0" w:color="auto"/>
          </w:divBdr>
        </w:div>
        <w:div w:id="1321034924">
          <w:marLeft w:val="640"/>
          <w:marRight w:val="0"/>
          <w:marTop w:val="0"/>
          <w:marBottom w:val="0"/>
          <w:divBdr>
            <w:top w:val="none" w:sz="0" w:space="0" w:color="auto"/>
            <w:left w:val="none" w:sz="0" w:space="0" w:color="auto"/>
            <w:bottom w:val="none" w:sz="0" w:space="0" w:color="auto"/>
            <w:right w:val="none" w:sz="0" w:space="0" w:color="auto"/>
          </w:divBdr>
        </w:div>
        <w:div w:id="596597323">
          <w:marLeft w:val="640"/>
          <w:marRight w:val="0"/>
          <w:marTop w:val="0"/>
          <w:marBottom w:val="0"/>
          <w:divBdr>
            <w:top w:val="none" w:sz="0" w:space="0" w:color="auto"/>
            <w:left w:val="none" w:sz="0" w:space="0" w:color="auto"/>
            <w:bottom w:val="none" w:sz="0" w:space="0" w:color="auto"/>
            <w:right w:val="none" w:sz="0" w:space="0" w:color="auto"/>
          </w:divBdr>
        </w:div>
        <w:div w:id="1715957665">
          <w:marLeft w:val="640"/>
          <w:marRight w:val="0"/>
          <w:marTop w:val="0"/>
          <w:marBottom w:val="0"/>
          <w:divBdr>
            <w:top w:val="none" w:sz="0" w:space="0" w:color="auto"/>
            <w:left w:val="none" w:sz="0" w:space="0" w:color="auto"/>
            <w:bottom w:val="none" w:sz="0" w:space="0" w:color="auto"/>
            <w:right w:val="none" w:sz="0" w:space="0" w:color="auto"/>
          </w:divBdr>
        </w:div>
        <w:div w:id="1579436679">
          <w:marLeft w:val="640"/>
          <w:marRight w:val="0"/>
          <w:marTop w:val="0"/>
          <w:marBottom w:val="0"/>
          <w:divBdr>
            <w:top w:val="none" w:sz="0" w:space="0" w:color="auto"/>
            <w:left w:val="none" w:sz="0" w:space="0" w:color="auto"/>
            <w:bottom w:val="none" w:sz="0" w:space="0" w:color="auto"/>
            <w:right w:val="none" w:sz="0" w:space="0" w:color="auto"/>
          </w:divBdr>
        </w:div>
        <w:div w:id="1260336099">
          <w:marLeft w:val="640"/>
          <w:marRight w:val="0"/>
          <w:marTop w:val="0"/>
          <w:marBottom w:val="0"/>
          <w:divBdr>
            <w:top w:val="none" w:sz="0" w:space="0" w:color="auto"/>
            <w:left w:val="none" w:sz="0" w:space="0" w:color="auto"/>
            <w:bottom w:val="none" w:sz="0" w:space="0" w:color="auto"/>
            <w:right w:val="none" w:sz="0" w:space="0" w:color="auto"/>
          </w:divBdr>
        </w:div>
        <w:div w:id="991102064">
          <w:marLeft w:val="640"/>
          <w:marRight w:val="0"/>
          <w:marTop w:val="0"/>
          <w:marBottom w:val="0"/>
          <w:divBdr>
            <w:top w:val="none" w:sz="0" w:space="0" w:color="auto"/>
            <w:left w:val="none" w:sz="0" w:space="0" w:color="auto"/>
            <w:bottom w:val="none" w:sz="0" w:space="0" w:color="auto"/>
            <w:right w:val="none" w:sz="0" w:space="0" w:color="auto"/>
          </w:divBdr>
        </w:div>
        <w:div w:id="2049792326">
          <w:marLeft w:val="640"/>
          <w:marRight w:val="0"/>
          <w:marTop w:val="0"/>
          <w:marBottom w:val="0"/>
          <w:divBdr>
            <w:top w:val="none" w:sz="0" w:space="0" w:color="auto"/>
            <w:left w:val="none" w:sz="0" w:space="0" w:color="auto"/>
            <w:bottom w:val="none" w:sz="0" w:space="0" w:color="auto"/>
            <w:right w:val="none" w:sz="0" w:space="0" w:color="auto"/>
          </w:divBdr>
        </w:div>
        <w:div w:id="691297060">
          <w:marLeft w:val="640"/>
          <w:marRight w:val="0"/>
          <w:marTop w:val="0"/>
          <w:marBottom w:val="0"/>
          <w:divBdr>
            <w:top w:val="none" w:sz="0" w:space="0" w:color="auto"/>
            <w:left w:val="none" w:sz="0" w:space="0" w:color="auto"/>
            <w:bottom w:val="none" w:sz="0" w:space="0" w:color="auto"/>
            <w:right w:val="none" w:sz="0" w:space="0" w:color="auto"/>
          </w:divBdr>
        </w:div>
      </w:divsChild>
    </w:div>
    <w:div w:id="2122802767">
      <w:bodyDiv w:val="1"/>
      <w:marLeft w:val="0"/>
      <w:marRight w:val="0"/>
      <w:marTop w:val="0"/>
      <w:marBottom w:val="0"/>
      <w:divBdr>
        <w:top w:val="none" w:sz="0" w:space="0" w:color="auto"/>
        <w:left w:val="none" w:sz="0" w:space="0" w:color="auto"/>
        <w:bottom w:val="none" w:sz="0" w:space="0" w:color="auto"/>
        <w:right w:val="none" w:sz="0" w:space="0" w:color="auto"/>
      </w:divBdr>
      <w:divsChild>
        <w:div w:id="1037045502">
          <w:marLeft w:val="640"/>
          <w:marRight w:val="0"/>
          <w:marTop w:val="0"/>
          <w:marBottom w:val="0"/>
          <w:divBdr>
            <w:top w:val="none" w:sz="0" w:space="0" w:color="auto"/>
            <w:left w:val="none" w:sz="0" w:space="0" w:color="auto"/>
            <w:bottom w:val="none" w:sz="0" w:space="0" w:color="auto"/>
            <w:right w:val="none" w:sz="0" w:space="0" w:color="auto"/>
          </w:divBdr>
        </w:div>
        <w:div w:id="766727559">
          <w:marLeft w:val="640"/>
          <w:marRight w:val="0"/>
          <w:marTop w:val="0"/>
          <w:marBottom w:val="0"/>
          <w:divBdr>
            <w:top w:val="none" w:sz="0" w:space="0" w:color="auto"/>
            <w:left w:val="none" w:sz="0" w:space="0" w:color="auto"/>
            <w:bottom w:val="none" w:sz="0" w:space="0" w:color="auto"/>
            <w:right w:val="none" w:sz="0" w:space="0" w:color="auto"/>
          </w:divBdr>
        </w:div>
        <w:div w:id="1791627500">
          <w:marLeft w:val="640"/>
          <w:marRight w:val="0"/>
          <w:marTop w:val="0"/>
          <w:marBottom w:val="0"/>
          <w:divBdr>
            <w:top w:val="none" w:sz="0" w:space="0" w:color="auto"/>
            <w:left w:val="none" w:sz="0" w:space="0" w:color="auto"/>
            <w:bottom w:val="none" w:sz="0" w:space="0" w:color="auto"/>
            <w:right w:val="none" w:sz="0" w:space="0" w:color="auto"/>
          </w:divBdr>
        </w:div>
        <w:div w:id="1395816771">
          <w:marLeft w:val="640"/>
          <w:marRight w:val="0"/>
          <w:marTop w:val="0"/>
          <w:marBottom w:val="0"/>
          <w:divBdr>
            <w:top w:val="none" w:sz="0" w:space="0" w:color="auto"/>
            <w:left w:val="none" w:sz="0" w:space="0" w:color="auto"/>
            <w:bottom w:val="none" w:sz="0" w:space="0" w:color="auto"/>
            <w:right w:val="none" w:sz="0" w:space="0" w:color="auto"/>
          </w:divBdr>
        </w:div>
        <w:div w:id="462308123">
          <w:marLeft w:val="640"/>
          <w:marRight w:val="0"/>
          <w:marTop w:val="0"/>
          <w:marBottom w:val="0"/>
          <w:divBdr>
            <w:top w:val="none" w:sz="0" w:space="0" w:color="auto"/>
            <w:left w:val="none" w:sz="0" w:space="0" w:color="auto"/>
            <w:bottom w:val="none" w:sz="0" w:space="0" w:color="auto"/>
            <w:right w:val="none" w:sz="0" w:space="0" w:color="auto"/>
          </w:divBdr>
        </w:div>
        <w:div w:id="1318805145">
          <w:marLeft w:val="640"/>
          <w:marRight w:val="0"/>
          <w:marTop w:val="0"/>
          <w:marBottom w:val="0"/>
          <w:divBdr>
            <w:top w:val="none" w:sz="0" w:space="0" w:color="auto"/>
            <w:left w:val="none" w:sz="0" w:space="0" w:color="auto"/>
            <w:bottom w:val="none" w:sz="0" w:space="0" w:color="auto"/>
            <w:right w:val="none" w:sz="0" w:space="0" w:color="auto"/>
          </w:divBdr>
        </w:div>
        <w:div w:id="1089960297">
          <w:marLeft w:val="640"/>
          <w:marRight w:val="0"/>
          <w:marTop w:val="0"/>
          <w:marBottom w:val="0"/>
          <w:divBdr>
            <w:top w:val="none" w:sz="0" w:space="0" w:color="auto"/>
            <w:left w:val="none" w:sz="0" w:space="0" w:color="auto"/>
            <w:bottom w:val="none" w:sz="0" w:space="0" w:color="auto"/>
            <w:right w:val="none" w:sz="0" w:space="0" w:color="auto"/>
          </w:divBdr>
        </w:div>
        <w:div w:id="153836318">
          <w:marLeft w:val="640"/>
          <w:marRight w:val="0"/>
          <w:marTop w:val="0"/>
          <w:marBottom w:val="0"/>
          <w:divBdr>
            <w:top w:val="none" w:sz="0" w:space="0" w:color="auto"/>
            <w:left w:val="none" w:sz="0" w:space="0" w:color="auto"/>
            <w:bottom w:val="none" w:sz="0" w:space="0" w:color="auto"/>
            <w:right w:val="none" w:sz="0" w:space="0" w:color="auto"/>
          </w:divBdr>
        </w:div>
        <w:div w:id="1174877767">
          <w:marLeft w:val="640"/>
          <w:marRight w:val="0"/>
          <w:marTop w:val="0"/>
          <w:marBottom w:val="0"/>
          <w:divBdr>
            <w:top w:val="none" w:sz="0" w:space="0" w:color="auto"/>
            <w:left w:val="none" w:sz="0" w:space="0" w:color="auto"/>
            <w:bottom w:val="none" w:sz="0" w:space="0" w:color="auto"/>
            <w:right w:val="none" w:sz="0" w:space="0" w:color="auto"/>
          </w:divBdr>
        </w:div>
        <w:div w:id="1175606014">
          <w:marLeft w:val="640"/>
          <w:marRight w:val="0"/>
          <w:marTop w:val="0"/>
          <w:marBottom w:val="0"/>
          <w:divBdr>
            <w:top w:val="none" w:sz="0" w:space="0" w:color="auto"/>
            <w:left w:val="none" w:sz="0" w:space="0" w:color="auto"/>
            <w:bottom w:val="none" w:sz="0" w:space="0" w:color="auto"/>
            <w:right w:val="none" w:sz="0" w:space="0" w:color="auto"/>
          </w:divBdr>
        </w:div>
        <w:div w:id="1936283147">
          <w:marLeft w:val="640"/>
          <w:marRight w:val="0"/>
          <w:marTop w:val="0"/>
          <w:marBottom w:val="0"/>
          <w:divBdr>
            <w:top w:val="none" w:sz="0" w:space="0" w:color="auto"/>
            <w:left w:val="none" w:sz="0" w:space="0" w:color="auto"/>
            <w:bottom w:val="none" w:sz="0" w:space="0" w:color="auto"/>
            <w:right w:val="none" w:sz="0" w:space="0" w:color="auto"/>
          </w:divBdr>
        </w:div>
        <w:div w:id="239756000">
          <w:marLeft w:val="640"/>
          <w:marRight w:val="0"/>
          <w:marTop w:val="0"/>
          <w:marBottom w:val="0"/>
          <w:divBdr>
            <w:top w:val="none" w:sz="0" w:space="0" w:color="auto"/>
            <w:left w:val="none" w:sz="0" w:space="0" w:color="auto"/>
            <w:bottom w:val="none" w:sz="0" w:space="0" w:color="auto"/>
            <w:right w:val="none" w:sz="0" w:space="0" w:color="auto"/>
          </w:divBdr>
        </w:div>
        <w:div w:id="1163618410">
          <w:marLeft w:val="640"/>
          <w:marRight w:val="0"/>
          <w:marTop w:val="0"/>
          <w:marBottom w:val="0"/>
          <w:divBdr>
            <w:top w:val="none" w:sz="0" w:space="0" w:color="auto"/>
            <w:left w:val="none" w:sz="0" w:space="0" w:color="auto"/>
            <w:bottom w:val="none" w:sz="0" w:space="0" w:color="auto"/>
            <w:right w:val="none" w:sz="0" w:space="0" w:color="auto"/>
          </w:divBdr>
        </w:div>
        <w:div w:id="2017419553">
          <w:marLeft w:val="640"/>
          <w:marRight w:val="0"/>
          <w:marTop w:val="0"/>
          <w:marBottom w:val="0"/>
          <w:divBdr>
            <w:top w:val="none" w:sz="0" w:space="0" w:color="auto"/>
            <w:left w:val="none" w:sz="0" w:space="0" w:color="auto"/>
            <w:bottom w:val="none" w:sz="0" w:space="0" w:color="auto"/>
            <w:right w:val="none" w:sz="0" w:space="0" w:color="auto"/>
          </w:divBdr>
        </w:div>
        <w:div w:id="837697469">
          <w:marLeft w:val="640"/>
          <w:marRight w:val="0"/>
          <w:marTop w:val="0"/>
          <w:marBottom w:val="0"/>
          <w:divBdr>
            <w:top w:val="none" w:sz="0" w:space="0" w:color="auto"/>
            <w:left w:val="none" w:sz="0" w:space="0" w:color="auto"/>
            <w:bottom w:val="none" w:sz="0" w:space="0" w:color="auto"/>
            <w:right w:val="none" w:sz="0" w:space="0" w:color="auto"/>
          </w:divBdr>
        </w:div>
        <w:div w:id="2023622022">
          <w:marLeft w:val="640"/>
          <w:marRight w:val="0"/>
          <w:marTop w:val="0"/>
          <w:marBottom w:val="0"/>
          <w:divBdr>
            <w:top w:val="none" w:sz="0" w:space="0" w:color="auto"/>
            <w:left w:val="none" w:sz="0" w:space="0" w:color="auto"/>
            <w:bottom w:val="none" w:sz="0" w:space="0" w:color="auto"/>
            <w:right w:val="none" w:sz="0" w:space="0" w:color="auto"/>
          </w:divBdr>
        </w:div>
        <w:div w:id="337119050">
          <w:marLeft w:val="640"/>
          <w:marRight w:val="0"/>
          <w:marTop w:val="0"/>
          <w:marBottom w:val="0"/>
          <w:divBdr>
            <w:top w:val="none" w:sz="0" w:space="0" w:color="auto"/>
            <w:left w:val="none" w:sz="0" w:space="0" w:color="auto"/>
            <w:bottom w:val="none" w:sz="0" w:space="0" w:color="auto"/>
            <w:right w:val="none" w:sz="0" w:space="0" w:color="auto"/>
          </w:divBdr>
        </w:div>
        <w:div w:id="1775711484">
          <w:marLeft w:val="640"/>
          <w:marRight w:val="0"/>
          <w:marTop w:val="0"/>
          <w:marBottom w:val="0"/>
          <w:divBdr>
            <w:top w:val="none" w:sz="0" w:space="0" w:color="auto"/>
            <w:left w:val="none" w:sz="0" w:space="0" w:color="auto"/>
            <w:bottom w:val="none" w:sz="0" w:space="0" w:color="auto"/>
            <w:right w:val="none" w:sz="0" w:space="0" w:color="auto"/>
          </w:divBdr>
        </w:div>
        <w:div w:id="409347767">
          <w:marLeft w:val="640"/>
          <w:marRight w:val="0"/>
          <w:marTop w:val="0"/>
          <w:marBottom w:val="0"/>
          <w:divBdr>
            <w:top w:val="none" w:sz="0" w:space="0" w:color="auto"/>
            <w:left w:val="none" w:sz="0" w:space="0" w:color="auto"/>
            <w:bottom w:val="none" w:sz="0" w:space="0" w:color="auto"/>
            <w:right w:val="none" w:sz="0" w:space="0" w:color="auto"/>
          </w:divBdr>
        </w:div>
        <w:div w:id="792752577">
          <w:marLeft w:val="640"/>
          <w:marRight w:val="0"/>
          <w:marTop w:val="0"/>
          <w:marBottom w:val="0"/>
          <w:divBdr>
            <w:top w:val="none" w:sz="0" w:space="0" w:color="auto"/>
            <w:left w:val="none" w:sz="0" w:space="0" w:color="auto"/>
            <w:bottom w:val="none" w:sz="0" w:space="0" w:color="auto"/>
            <w:right w:val="none" w:sz="0" w:space="0" w:color="auto"/>
          </w:divBdr>
        </w:div>
        <w:div w:id="730664537">
          <w:marLeft w:val="640"/>
          <w:marRight w:val="0"/>
          <w:marTop w:val="0"/>
          <w:marBottom w:val="0"/>
          <w:divBdr>
            <w:top w:val="none" w:sz="0" w:space="0" w:color="auto"/>
            <w:left w:val="none" w:sz="0" w:space="0" w:color="auto"/>
            <w:bottom w:val="none" w:sz="0" w:space="0" w:color="auto"/>
            <w:right w:val="none" w:sz="0" w:space="0" w:color="auto"/>
          </w:divBdr>
        </w:div>
        <w:div w:id="1932160483">
          <w:marLeft w:val="640"/>
          <w:marRight w:val="0"/>
          <w:marTop w:val="0"/>
          <w:marBottom w:val="0"/>
          <w:divBdr>
            <w:top w:val="none" w:sz="0" w:space="0" w:color="auto"/>
            <w:left w:val="none" w:sz="0" w:space="0" w:color="auto"/>
            <w:bottom w:val="none" w:sz="0" w:space="0" w:color="auto"/>
            <w:right w:val="none" w:sz="0" w:space="0" w:color="auto"/>
          </w:divBdr>
        </w:div>
        <w:div w:id="917833080">
          <w:marLeft w:val="640"/>
          <w:marRight w:val="0"/>
          <w:marTop w:val="0"/>
          <w:marBottom w:val="0"/>
          <w:divBdr>
            <w:top w:val="none" w:sz="0" w:space="0" w:color="auto"/>
            <w:left w:val="none" w:sz="0" w:space="0" w:color="auto"/>
            <w:bottom w:val="none" w:sz="0" w:space="0" w:color="auto"/>
            <w:right w:val="none" w:sz="0" w:space="0" w:color="auto"/>
          </w:divBdr>
        </w:div>
        <w:div w:id="556817052">
          <w:marLeft w:val="640"/>
          <w:marRight w:val="0"/>
          <w:marTop w:val="0"/>
          <w:marBottom w:val="0"/>
          <w:divBdr>
            <w:top w:val="none" w:sz="0" w:space="0" w:color="auto"/>
            <w:left w:val="none" w:sz="0" w:space="0" w:color="auto"/>
            <w:bottom w:val="none" w:sz="0" w:space="0" w:color="auto"/>
            <w:right w:val="none" w:sz="0" w:space="0" w:color="auto"/>
          </w:divBdr>
        </w:div>
        <w:div w:id="95365999">
          <w:marLeft w:val="640"/>
          <w:marRight w:val="0"/>
          <w:marTop w:val="0"/>
          <w:marBottom w:val="0"/>
          <w:divBdr>
            <w:top w:val="none" w:sz="0" w:space="0" w:color="auto"/>
            <w:left w:val="none" w:sz="0" w:space="0" w:color="auto"/>
            <w:bottom w:val="none" w:sz="0" w:space="0" w:color="auto"/>
            <w:right w:val="none" w:sz="0" w:space="0" w:color="auto"/>
          </w:divBdr>
        </w:div>
        <w:div w:id="14969203">
          <w:marLeft w:val="640"/>
          <w:marRight w:val="0"/>
          <w:marTop w:val="0"/>
          <w:marBottom w:val="0"/>
          <w:divBdr>
            <w:top w:val="none" w:sz="0" w:space="0" w:color="auto"/>
            <w:left w:val="none" w:sz="0" w:space="0" w:color="auto"/>
            <w:bottom w:val="none" w:sz="0" w:space="0" w:color="auto"/>
            <w:right w:val="none" w:sz="0" w:space="0" w:color="auto"/>
          </w:divBdr>
        </w:div>
        <w:div w:id="973556985">
          <w:marLeft w:val="640"/>
          <w:marRight w:val="0"/>
          <w:marTop w:val="0"/>
          <w:marBottom w:val="0"/>
          <w:divBdr>
            <w:top w:val="none" w:sz="0" w:space="0" w:color="auto"/>
            <w:left w:val="none" w:sz="0" w:space="0" w:color="auto"/>
            <w:bottom w:val="none" w:sz="0" w:space="0" w:color="auto"/>
            <w:right w:val="none" w:sz="0" w:space="0" w:color="auto"/>
          </w:divBdr>
        </w:div>
        <w:div w:id="717246541">
          <w:marLeft w:val="640"/>
          <w:marRight w:val="0"/>
          <w:marTop w:val="0"/>
          <w:marBottom w:val="0"/>
          <w:divBdr>
            <w:top w:val="none" w:sz="0" w:space="0" w:color="auto"/>
            <w:left w:val="none" w:sz="0" w:space="0" w:color="auto"/>
            <w:bottom w:val="none" w:sz="0" w:space="0" w:color="auto"/>
            <w:right w:val="none" w:sz="0" w:space="0" w:color="auto"/>
          </w:divBdr>
        </w:div>
        <w:div w:id="2012248238">
          <w:marLeft w:val="640"/>
          <w:marRight w:val="0"/>
          <w:marTop w:val="0"/>
          <w:marBottom w:val="0"/>
          <w:divBdr>
            <w:top w:val="none" w:sz="0" w:space="0" w:color="auto"/>
            <w:left w:val="none" w:sz="0" w:space="0" w:color="auto"/>
            <w:bottom w:val="none" w:sz="0" w:space="0" w:color="auto"/>
            <w:right w:val="none" w:sz="0" w:space="0" w:color="auto"/>
          </w:divBdr>
        </w:div>
        <w:div w:id="991526292">
          <w:marLeft w:val="640"/>
          <w:marRight w:val="0"/>
          <w:marTop w:val="0"/>
          <w:marBottom w:val="0"/>
          <w:divBdr>
            <w:top w:val="none" w:sz="0" w:space="0" w:color="auto"/>
            <w:left w:val="none" w:sz="0" w:space="0" w:color="auto"/>
            <w:bottom w:val="none" w:sz="0" w:space="0" w:color="auto"/>
            <w:right w:val="none" w:sz="0" w:space="0" w:color="auto"/>
          </w:divBdr>
        </w:div>
        <w:div w:id="1933277341">
          <w:marLeft w:val="640"/>
          <w:marRight w:val="0"/>
          <w:marTop w:val="0"/>
          <w:marBottom w:val="0"/>
          <w:divBdr>
            <w:top w:val="none" w:sz="0" w:space="0" w:color="auto"/>
            <w:left w:val="none" w:sz="0" w:space="0" w:color="auto"/>
            <w:bottom w:val="none" w:sz="0" w:space="0" w:color="auto"/>
            <w:right w:val="none" w:sz="0" w:space="0" w:color="auto"/>
          </w:divBdr>
        </w:div>
        <w:div w:id="1542480580">
          <w:marLeft w:val="640"/>
          <w:marRight w:val="0"/>
          <w:marTop w:val="0"/>
          <w:marBottom w:val="0"/>
          <w:divBdr>
            <w:top w:val="none" w:sz="0" w:space="0" w:color="auto"/>
            <w:left w:val="none" w:sz="0" w:space="0" w:color="auto"/>
            <w:bottom w:val="none" w:sz="0" w:space="0" w:color="auto"/>
            <w:right w:val="none" w:sz="0" w:space="0" w:color="auto"/>
          </w:divBdr>
        </w:div>
        <w:div w:id="1855337763">
          <w:marLeft w:val="640"/>
          <w:marRight w:val="0"/>
          <w:marTop w:val="0"/>
          <w:marBottom w:val="0"/>
          <w:divBdr>
            <w:top w:val="none" w:sz="0" w:space="0" w:color="auto"/>
            <w:left w:val="none" w:sz="0" w:space="0" w:color="auto"/>
            <w:bottom w:val="none" w:sz="0" w:space="0" w:color="auto"/>
            <w:right w:val="none" w:sz="0" w:space="0" w:color="auto"/>
          </w:divBdr>
        </w:div>
        <w:div w:id="845368308">
          <w:marLeft w:val="640"/>
          <w:marRight w:val="0"/>
          <w:marTop w:val="0"/>
          <w:marBottom w:val="0"/>
          <w:divBdr>
            <w:top w:val="none" w:sz="0" w:space="0" w:color="auto"/>
            <w:left w:val="none" w:sz="0" w:space="0" w:color="auto"/>
            <w:bottom w:val="none" w:sz="0" w:space="0" w:color="auto"/>
            <w:right w:val="none" w:sz="0" w:space="0" w:color="auto"/>
          </w:divBdr>
        </w:div>
        <w:div w:id="570426841">
          <w:marLeft w:val="640"/>
          <w:marRight w:val="0"/>
          <w:marTop w:val="0"/>
          <w:marBottom w:val="0"/>
          <w:divBdr>
            <w:top w:val="none" w:sz="0" w:space="0" w:color="auto"/>
            <w:left w:val="none" w:sz="0" w:space="0" w:color="auto"/>
            <w:bottom w:val="none" w:sz="0" w:space="0" w:color="auto"/>
            <w:right w:val="none" w:sz="0" w:space="0" w:color="auto"/>
          </w:divBdr>
        </w:div>
        <w:div w:id="966081733">
          <w:marLeft w:val="640"/>
          <w:marRight w:val="0"/>
          <w:marTop w:val="0"/>
          <w:marBottom w:val="0"/>
          <w:divBdr>
            <w:top w:val="none" w:sz="0" w:space="0" w:color="auto"/>
            <w:left w:val="none" w:sz="0" w:space="0" w:color="auto"/>
            <w:bottom w:val="none" w:sz="0" w:space="0" w:color="auto"/>
            <w:right w:val="none" w:sz="0" w:space="0" w:color="auto"/>
          </w:divBdr>
        </w:div>
        <w:div w:id="1568496426">
          <w:marLeft w:val="640"/>
          <w:marRight w:val="0"/>
          <w:marTop w:val="0"/>
          <w:marBottom w:val="0"/>
          <w:divBdr>
            <w:top w:val="none" w:sz="0" w:space="0" w:color="auto"/>
            <w:left w:val="none" w:sz="0" w:space="0" w:color="auto"/>
            <w:bottom w:val="none" w:sz="0" w:space="0" w:color="auto"/>
            <w:right w:val="none" w:sz="0" w:space="0" w:color="auto"/>
          </w:divBdr>
        </w:div>
        <w:div w:id="1338189845">
          <w:marLeft w:val="640"/>
          <w:marRight w:val="0"/>
          <w:marTop w:val="0"/>
          <w:marBottom w:val="0"/>
          <w:divBdr>
            <w:top w:val="none" w:sz="0" w:space="0" w:color="auto"/>
            <w:left w:val="none" w:sz="0" w:space="0" w:color="auto"/>
            <w:bottom w:val="none" w:sz="0" w:space="0" w:color="auto"/>
            <w:right w:val="none" w:sz="0" w:space="0" w:color="auto"/>
          </w:divBdr>
        </w:div>
        <w:div w:id="191577739">
          <w:marLeft w:val="640"/>
          <w:marRight w:val="0"/>
          <w:marTop w:val="0"/>
          <w:marBottom w:val="0"/>
          <w:divBdr>
            <w:top w:val="none" w:sz="0" w:space="0" w:color="auto"/>
            <w:left w:val="none" w:sz="0" w:space="0" w:color="auto"/>
            <w:bottom w:val="none" w:sz="0" w:space="0" w:color="auto"/>
            <w:right w:val="none" w:sz="0" w:space="0" w:color="auto"/>
          </w:divBdr>
        </w:div>
        <w:div w:id="2057660387">
          <w:marLeft w:val="640"/>
          <w:marRight w:val="0"/>
          <w:marTop w:val="0"/>
          <w:marBottom w:val="0"/>
          <w:divBdr>
            <w:top w:val="none" w:sz="0" w:space="0" w:color="auto"/>
            <w:left w:val="none" w:sz="0" w:space="0" w:color="auto"/>
            <w:bottom w:val="none" w:sz="0" w:space="0" w:color="auto"/>
            <w:right w:val="none" w:sz="0" w:space="0" w:color="auto"/>
          </w:divBdr>
        </w:div>
        <w:div w:id="478228821">
          <w:marLeft w:val="640"/>
          <w:marRight w:val="0"/>
          <w:marTop w:val="0"/>
          <w:marBottom w:val="0"/>
          <w:divBdr>
            <w:top w:val="none" w:sz="0" w:space="0" w:color="auto"/>
            <w:left w:val="none" w:sz="0" w:space="0" w:color="auto"/>
            <w:bottom w:val="none" w:sz="0" w:space="0" w:color="auto"/>
            <w:right w:val="none" w:sz="0" w:space="0" w:color="auto"/>
          </w:divBdr>
        </w:div>
        <w:div w:id="1505973043">
          <w:marLeft w:val="640"/>
          <w:marRight w:val="0"/>
          <w:marTop w:val="0"/>
          <w:marBottom w:val="0"/>
          <w:divBdr>
            <w:top w:val="none" w:sz="0" w:space="0" w:color="auto"/>
            <w:left w:val="none" w:sz="0" w:space="0" w:color="auto"/>
            <w:bottom w:val="none" w:sz="0" w:space="0" w:color="auto"/>
            <w:right w:val="none" w:sz="0" w:space="0" w:color="auto"/>
          </w:divBdr>
        </w:div>
        <w:div w:id="1885093290">
          <w:marLeft w:val="640"/>
          <w:marRight w:val="0"/>
          <w:marTop w:val="0"/>
          <w:marBottom w:val="0"/>
          <w:divBdr>
            <w:top w:val="none" w:sz="0" w:space="0" w:color="auto"/>
            <w:left w:val="none" w:sz="0" w:space="0" w:color="auto"/>
            <w:bottom w:val="none" w:sz="0" w:space="0" w:color="auto"/>
            <w:right w:val="none" w:sz="0" w:space="0" w:color="auto"/>
          </w:divBdr>
        </w:div>
        <w:div w:id="220556018">
          <w:marLeft w:val="640"/>
          <w:marRight w:val="0"/>
          <w:marTop w:val="0"/>
          <w:marBottom w:val="0"/>
          <w:divBdr>
            <w:top w:val="none" w:sz="0" w:space="0" w:color="auto"/>
            <w:left w:val="none" w:sz="0" w:space="0" w:color="auto"/>
            <w:bottom w:val="none" w:sz="0" w:space="0" w:color="auto"/>
            <w:right w:val="none" w:sz="0" w:space="0" w:color="auto"/>
          </w:divBdr>
        </w:div>
        <w:div w:id="292827673">
          <w:marLeft w:val="640"/>
          <w:marRight w:val="0"/>
          <w:marTop w:val="0"/>
          <w:marBottom w:val="0"/>
          <w:divBdr>
            <w:top w:val="none" w:sz="0" w:space="0" w:color="auto"/>
            <w:left w:val="none" w:sz="0" w:space="0" w:color="auto"/>
            <w:bottom w:val="none" w:sz="0" w:space="0" w:color="auto"/>
            <w:right w:val="none" w:sz="0" w:space="0" w:color="auto"/>
          </w:divBdr>
        </w:div>
        <w:div w:id="329794856">
          <w:marLeft w:val="640"/>
          <w:marRight w:val="0"/>
          <w:marTop w:val="0"/>
          <w:marBottom w:val="0"/>
          <w:divBdr>
            <w:top w:val="none" w:sz="0" w:space="0" w:color="auto"/>
            <w:left w:val="none" w:sz="0" w:space="0" w:color="auto"/>
            <w:bottom w:val="none" w:sz="0" w:space="0" w:color="auto"/>
            <w:right w:val="none" w:sz="0" w:space="0" w:color="auto"/>
          </w:divBdr>
        </w:div>
        <w:div w:id="877084151">
          <w:marLeft w:val="640"/>
          <w:marRight w:val="0"/>
          <w:marTop w:val="0"/>
          <w:marBottom w:val="0"/>
          <w:divBdr>
            <w:top w:val="none" w:sz="0" w:space="0" w:color="auto"/>
            <w:left w:val="none" w:sz="0" w:space="0" w:color="auto"/>
            <w:bottom w:val="none" w:sz="0" w:space="0" w:color="auto"/>
            <w:right w:val="none" w:sz="0" w:space="0" w:color="auto"/>
          </w:divBdr>
        </w:div>
        <w:div w:id="1935017738">
          <w:marLeft w:val="640"/>
          <w:marRight w:val="0"/>
          <w:marTop w:val="0"/>
          <w:marBottom w:val="0"/>
          <w:divBdr>
            <w:top w:val="none" w:sz="0" w:space="0" w:color="auto"/>
            <w:left w:val="none" w:sz="0" w:space="0" w:color="auto"/>
            <w:bottom w:val="none" w:sz="0" w:space="0" w:color="auto"/>
            <w:right w:val="none" w:sz="0" w:space="0" w:color="auto"/>
          </w:divBdr>
        </w:div>
        <w:div w:id="283315938">
          <w:marLeft w:val="640"/>
          <w:marRight w:val="0"/>
          <w:marTop w:val="0"/>
          <w:marBottom w:val="0"/>
          <w:divBdr>
            <w:top w:val="none" w:sz="0" w:space="0" w:color="auto"/>
            <w:left w:val="none" w:sz="0" w:space="0" w:color="auto"/>
            <w:bottom w:val="none" w:sz="0" w:space="0" w:color="auto"/>
            <w:right w:val="none" w:sz="0" w:space="0" w:color="auto"/>
          </w:divBdr>
        </w:div>
        <w:div w:id="596255914">
          <w:marLeft w:val="640"/>
          <w:marRight w:val="0"/>
          <w:marTop w:val="0"/>
          <w:marBottom w:val="0"/>
          <w:divBdr>
            <w:top w:val="none" w:sz="0" w:space="0" w:color="auto"/>
            <w:left w:val="none" w:sz="0" w:space="0" w:color="auto"/>
            <w:bottom w:val="none" w:sz="0" w:space="0" w:color="auto"/>
            <w:right w:val="none" w:sz="0" w:space="0" w:color="auto"/>
          </w:divBdr>
        </w:div>
        <w:div w:id="1565070836">
          <w:marLeft w:val="640"/>
          <w:marRight w:val="0"/>
          <w:marTop w:val="0"/>
          <w:marBottom w:val="0"/>
          <w:divBdr>
            <w:top w:val="none" w:sz="0" w:space="0" w:color="auto"/>
            <w:left w:val="none" w:sz="0" w:space="0" w:color="auto"/>
            <w:bottom w:val="none" w:sz="0" w:space="0" w:color="auto"/>
            <w:right w:val="none" w:sz="0" w:space="0" w:color="auto"/>
          </w:divBdr>
        </w:div>
        <w:div w:id="510069665">
          <w:marLeft w:val="640"/>
          <w:marRight w:val="0"/>
          <w:marTop w:val="0"/>
          <w:marBottom w:val="0"/>
          <w:divBdr>
            <w:top w:val="none" w:sz="0" w:space="0" w:color="auto"/>
            <w:left w:val="none" w:sz="0" w:space="0" w:color="auto"/>
            <w:bottom w:val="none" w:sz="0" w:space="0" w:color="auto"/>
            <w:right w:val="none" w:sz="0" w:space="0" w:color="auto"/>
          </w:divBdr>
        </w:div>
        <w:div w:id="92285506">
          <w:marLeft w:val="640"/>
          <w:marRight w:val="0"/>
          <w:marTop w:val="0"/>
          <w:marBottom w:val="0"/>
          <w:divBdr>
            <w:top w:val="none" w:sz="0" w:space="0" w:color="auto"/>
            <w:left w:val="none" w:sz="0" w:space="0" w:color="auto"/>
            <w:bottom w:val="none" w:sz="0" w:space="0" w:color="auto"/>
            <w:right w:val="none" w:sz="0" w:space="0" w:color="auto"/>
          </w:divBdr>
        </w:div>
        <w:div w:id="1136336961">
          <w:marLeft w:val="640"/>
          <w:marRight w:val="0"/>
          <w:marTop w:val="0"/>
          <w:marBottom w:val="0"/>
          <w:divBdr>
            <w:top w:val="none" w:sz="0" w:space="0" w:color="auto"/>
            <w:left w:val="none" w:sz="0" w:space="0" w:color="auto"/>
            <w:bottom w:val="none" w:sz="0" w:space="0" w:color="auto"/>
            <w:right w:val="none" w:sz="0" w:space="0" w:color="auto"/>
          </w:divBdr>
        </w:div>
        <w:div w:id="13919623">
          <w:marLeft w:val="640"/>
          <w:marRight w:val="0"/>
          <w:marTop w:val="0"/>
          <w:marBottom w:val="0"/>
          <w:divBdr>
            <w:top w:val="none" w:sz="0" w:space="0" w:color="auto"/>
            <w:left w:val="none" w:sz="0" w:space="0" w:color="auto"/>
            <w:bottom w:val="none" w:sz="0" w:space="0" w:color="auto"/>
            <w:right w:val="none" w:sz="0" w:space="0" w:color="auto"/>
          </w:divBdr>
        </w:div>
        <w:div w:id="372464421">
          <w:marLeft w:val="640"/>
          <w:marRight w:val="0"/>
          <w:marTop w:val="0"/>
          <w:marBottom w:val="0"/>
          <w:divBdr>
            <w:top w:val="none" w:sz="0" w:space="0" w:color="auto"/>
            <w:left w:val="none" w:sz="0" w:space="0" w:color="auto"/>
            <w:bottom w:val="none" w:sz="0" w:space="0" w:color="auto"/>
            <w:right w:val="none" w:sz="0" w:space="0" w:color="auto"/>
          </w:divBdr>
        </w:div>
        <w:div w:id="230314078">
          <w:marLeft w:val="640"/>
          <w:marRight w:val="0"/>
          <w:marTop w:val="0"/>
          <w:marBottom w:val="0"/>
          <w:divBdr>
            <w:top w:val="none" w:sz="0" w:space="0" w:color="auto"/>
            <w:left w:val="none" w:sz="0" w:space="0" w:color="auto"/>
            <w:bottom w:val="none" w:sz="0" w:space="0" w:color="auto"/>
            <w:right w:val="none" w:sz="0" w:space="0" w:color="auto"/>
          </w:divBdr>
        </w:div>
        <w:div w:id="189611987">
          <w:marLeft w:val="640"/>
          <w:marRight w:val="0"/>
          <w:marTop w:val="0"/>
          <w:marBottom w:val="0"/>
          <w:divBdr>
            <w:top w:val="none" w:sz="0" w:space="0" w:color="auto"/>
            <w:left w:val="none" w:sz="0" w:space="0" w:color="auto"/>
            <w:bottom w:val="none" w:sz="0" w:space="0" w:color="auto"/>
            <w:right w:val="none" w:sz="0" w:space="0" w:color="auto"/>
          </w:divBdr>
        </w:div>
        <w:div w:id="899829812">
          <w:marLeft w:val="640"/>
          <w:marRight w:val="0"/>
          <w:marTop w:val="0"/>
          <w:marBottom w:val="0"/>
          <w:divBdr>
            <w:top w:val="none" w:sz="0" w:space="0" w:color="auto"/>
            <w:left w:val="none" w:sz="0" w:space="0" w:color="auto"/>
            <w:bottom w:val="none" w:sz="0" w:space="0" w:color="auto"/>
            <w:right w:val="none" w:sz="0" w:space="0" w:color="auto"/>
          </w:divBdr>
        </w:div>
        <w:div w:id="11418866">
          <w:marLeft w:val="640"/>
          <w:marRight w:val="0"/>
          <w:marTop w:val="0"/>
          <w:marBottom w:val="0"/>
          <w:divBdr>
            <w:top w:val="none" w:sz="0" w:space="0" w:color="auto"/>
            <w:left w:val="none" w:sz="0" w:space="0" w:color="auto"/>
            <w:bottom w:val="none" w:sz="0" w:space="0" w:color="auto"/>
            <w:right w:val="none" w:sz="0" w:space="0" w:color="auto"/>
          </w:divBdr>
        </w:div>
        <w:div w:id="1669403108">
          <w:marLeft w:val="640"/>
          <w:marRight w:val="0"/>
          <w:marTop w:val="0"/>
          <w:marBottom w:val="0"/>
          <w:divBdr>
            <w:top w:val="none" w:sz="0" w:space="0" w:color="auto"/>
            <w:left w:val="none" w:sz="0" w:space="0" w:color="auto"/>
            <w:bottom w:val="none" w:sz="0" w:space="0" w:color="auto"/>
            <w:right w:val="none" w:sz="0" w:space="0" w:color="auto"/>
          </w:divBdr>
        </w:div>
        <w:div w:id="643857628">
          <w:marLeft w:val="640"/>
          <w:marRight w:val="0"/>
          <w:marTop w:val="0"/>
          <w:marBottom w:val="0"/>
          <w:divBdr>
            <w:top w:val="none" w:sz="0" w:space="0" w:color="auto"/>
            <w:left w:val="none" w:sz="0" w:space="0" w:color="auto"/>
            <w:bottom w:val="none" w:sz="0" w:space="0" w:color="auto"/>
            <w:right w:val="none" w:sz="0" w:space="0" w:color="auto"/>
          </w:divBdr>
        </w:div>
        <w:div w:id="1798179805">
          <w:marLeft w:val="640"/>
          <w:marRight w:val="0"/>
          <w:marTop w:val="0"/>
          <w:marBottom w:val="0"/>
          <w:divBdr>
            <w:top w:val="none" w:sz="0" w:space="0" w:color="auto"/>
            <w:left w:val="none" w:sz="0" w:space="0" w:color="auto"/>
            <w:bottom w:val="none" w:sz="0" w:space="0" w:color="auto"/>
            <w:right w:val="none" w:sz="0" w:space="0" w:color="auto"/>
          </w:divBdr>
        </w:div>
        <w:div w:id="1224096903">
          <w:marLeft w:val="640"/>
          <w:marRight w:val="0"/>
          <w:marTop w:val="0"/>
          <w:marBottom w:val="0"/>
          <w:divBdr>
            <w:top w:val="none" w:sz="0" w:space="0" w:color="auto"/>
            <w:left w:val="none" w:sz="0" w:space="0" w:color="auto"/>
            <w:bottom w:val="none" w:sz="0" w:space="0" w:color="auto"/>
            <w:right w:val="none" w:sz="0" w:space="0" w:color="auto"/>
          </w:divBdr>
        </w:div>
        <w:div w:id="733938237">
          <w:marLeft w:val="640"/>
          <w:marRight w:val="0"/>
          <w:marTop w:val="0"/>
          <w:marBottom w:val="0"/>
          <w:divBdr>
            <w:top w:val="none" w:sz="0" w:space="0" w:color="auto"/>
            <w:left w:val="none" w:sz="0" w:space="0" w:color="auto"/>
            <w:bottom w:val="none" w:sz="0" w:space="0" w:color="auto"/>
            <w:right w:val="none" w:sz="0" w:space="0" w:color="auto"/>
          </w:divBdr>
        </w:div>
        <w:div w:id="2100179797">
          <w:marLeft w:val="640"/>
          <w:marRight w:val="0"/>
          <w:marTop w:val="0"/>
          <w:marBottom w:val="0"/>
          <w:divBdr>
            <w:top w:val="none" w:sz="0" w:space="0" w:color="auto"/>
            <w:left w:val="none" w:sz="0" w:space="0" w:color="auto"/>
            <w:bottom w:val="none" w:sz="0" w:space="0" w:color="auto"/>
            <w:right w:val="none" w:sz="0" w:space="0" w:color="auto"/>
          </w:divBdr>
        </w:div>
        <w:div w:id="2140104195">
          <w:marLeft w:val="640"/>
          <w:marRight w:val="0"/>
          <w:marTop w:val="0"/>
          <w:marBottom w:val="0"/>
          <w:divBdr>
            <w:top w:val="none" w:sz="0" w:space="0" w:color="auto"/>
            <w:left w:val="none" w:sz="0" w:space="0" w:color="auto"/>
            <w:bottom w:val="none" w:sz="0" w:space="0" w:color="auto"/>
            <w:right w:val="none" w:sz="0" w:space="0" w:color="auto"/>
          </w:divBdr>
        </w:div>
        <w:div w:id="1303268747">
          <w:marLeft w:val="640"/>
          <w:marRight w:val="0"/>
          <w:marTop w:val="0"/>
          <w:marBottom w:val="0"/>
          <w:divBdr>
            <w:top w:val="none" w:sz="0" w:space="0" w:color="auto"/>
            <w:left w:val="none" w:sz="0" w:space="0" w:color="auto"/>
            <w:bottom w:val="none" w:sz="0" w:space="0" w:color="auto"/>
            <w:right w:val="none" w:sz="0" w:space="0" w:color="auto"/>
          </w:divBdr>
        </w:div>
        <w:div w:id="748618911">
          <w:marLeft w:val="640"/>
          <w:marRight w:val="0"/>
          <w:marTop w:val="0"/>
          <w:marBottom w:val="0"/>
          <w:divBdr>
            <w:top w:val="none" w:sz="0" w:space="0" w:color="auto"/>
            <w:left w:val="none" w:sz="0" w:space="0" w:color="auto"/>
            <w:bottom w:val="none" w:sz="0" w:space="0" w:color="auto"/>
            <w:right w:val="none" w:sz="0" w:space="0" w:color="auto"/>
          </w:divBdr>
        </w:div>
        <w:div w:id="1044479203">
          <w:marLeft w:val="640"/>
          <w:marRight w:val="0"/>
          <w:marTop w:val="0"/>
          <w:marBottom w:val="0"/>
          <w:divBdr>
            <w:top w:val="none" w:sz="0" w:space="0" w:color="auto"/>
            <w:left w:val="none" w:sz="0" w:space="0" w:color="auto"/>
            <w:bottom w:val="none" w:sz="0" w:space="0" w:color="auto"/>
            <w:right w:val="none" w:sz="0" w:space="0" w:color="auto"/>
          </w:divBdr>
        </w:div>
        <w:div w:id="1230382985">
          <w:marLeft w:val="640"/>
          <w:marRight w:val="0"/>
          <w:marTop w:val="0"/>
          <w:marBottom w:val="0"/>
          <w:divBdr>
            <w:top w:val="none" w:sz="0" w:space="0" w:color="auto"/>
            <w:left w:val="none" w:sz="0" w:space="0" w:color="auto"/>
            <w:bottom w:val="none" w:sz="0" w:space="0" w:color="auto"/>
            <w:right w:val="none" w:sz="0" w:space="0" w:color="auto"/>
          </w:divBdr>
        </w:div>
        <w:div w:id="456802429">
          <w:marLeft w:val="640"/>
          <w:marRight w:val="0"/>
          <w:marTop w:val="0"/>
          <w:marBottom w:val="0"/>
          <w:divBdr>
            <w:top w:val="none" w:sz="0" w:space="0" w:color="auto"/>
            <w:left w:val="none" w:sz="0" w:space="0" w:color="auto"/>
            <w:bottom w:val="none" w:sz="0" w:space="0" w:color="auto"/>
            <w:right w:val="none" w:sz="0" w:space="0" w:color="auto"/>
          </w:divBdr>
        </w:div>
        <w:div w:id="1602906987">
          <w:marLeft w:val="640"/>
          <w:marRight w:val="0"/>
          <w:marTop w:val="0"/>
          <w:marBottom w:val="0"/>
          <w:divBdr>
            <w:top w:val="none" w:sz="0" w:space="0" w:color="auto"/>
            <w:left w:val="none" w:sz="0" w:space="0" w:color="auto"/>
            <w:bottom w:val="none" w:sz="0" w:space="0" w:color="auto"/>
            <w:right w:val="none" w:sz="0" w:space="0" w:color="auto"/>
          </w:divBdr>
        </w:div>
        <w:div w:id="2052338947">
          <w:marLeft w:val="640"/>
          <w:marRight w:val="0"/>
          <w:marTop w:val="0"/>
          <w:marBottom w:val="0"/>
          <w:divBdr>
            <w:top w:val="none" w:sz="0" w:space="0" w:color="auto"/>
            <w:left w:val="none" w:sz="0" w:space="0" w:color="auto"/>
            <w:bottom w:val="none" w:sz="0" w:space="0" w:color="auto"/>
            <w:right w:val="none" w:sz="0" w:space="0" w:color="auto"/>
          </w:divBdr>
        </w:div>
        <w:div w:id="2092388594">
          <w:marLeft w:val="640"/>
          <w:marRight w:val="0"/>
          <w:marTop w:val="0"/>
          <w:marBottom w:val="0"/>
          <w:divBdr>
            <w:top w:val="none" w:sz="0" w:space="0" w:color="auto"/>
            <w:left w:val="none" w:sz="0" w:space="0" w:color="auto"/>
            <w:bottom w:val="none" w:sz="0" w:space="0" w:color="auto"/>
            <w:right w:val="none" w:sz="0" w:space="0" w:color="auto"/>
          </w:divBdr>
        </w:div>
        <w:div w:id="1868910585">
          <w:marLeft w:val="640"/>
          <w:marRight w:val="0"/>
          <w:marTop w:val="0"/>
          <w:marBottom w:val="0"/>
          <w:divBdr>
            <w:top w:val="none" w:sz="0" w:space="0" w:color="auto"/>
            <w:left w:val="none" w:sz="0" w:space="0" w:color="auto"/>
            <w:bottom w:val="none" w:sz="0" w:space="0" w:color="auto"/>
            <w:right w:val="none" w:sz="0" w:space="0" w:color="auto"/>
          </w:divBdr>
        </w:div>
        <w:div w:id="1483233081">
          <w:marLeft w:val="640"/>
          <w:marRight w:val="0"/>
          <w:marTop w:val="0"/>
          <w:marBottom w:val="0"/>
          <w:divBdr>
            <w:top w:val="none" w:sz="0" w:space="0" w:color="auto"/>
            <w:left w:val="none" w:sz="0" w:space="0" w:color="auto"/>
            <w:bottom w:val="none" w:sz="0" w:space="0" w:color="auto"/>
            <w:right w:val="none" w:sz="0" w:space="0" w:color="auto"/>
          </w:divBdr>
        </w:div>
        <w:div w:id="1025446780">
          <w:marLeft w:val="640"/>
          <w:marRight w:val="0"/>
          <w:marTop w:val="0"/>
          <w:marBottom w:val="0"/>
          <w:divBdr>
            <w:top w:val="none" w:sz="0" w:space="0" w:color="auto"/>
            <w:left w:val="none" w:sz="0" w:space="0" w:color="auto"/>
            <w:bottom w:val="none" w:sz="0" w:space="0" w:color="auto"/>
            <w:right w:val="none" w:sz="0" w:space="0" w:color="auto"/>
          </w:divBdr>
        </w:div>
        <w:div w:id="2073455845">
          <w:marLeft w:val="640"/>
          <w:marRight w:val="0"/>
          <w:marTop w:val="0"/>
          <w:marBottom w:val="0"/>
          <w:divBdr>
            <w:top w:val="none" w:sz="0" w:space="0" w:color="auto"/>
            <w:left w:val="none" w:sz="0" w:space="0" w:color="auto"/>
            <w:bottom w:val="none" w:sz="0" w:space="0" w:color="auto"/>
            <w:right w:val="none" w:sz="0" w:space="0" w:color="auto"/>
          </w:divBdr>
        </w:div>
        <w:div w:id="960841300">
          <w:marLeft w:val="640"/>
          <w:marRight w:val="0"/>
          <w:marTop w:val="0"/>
          <w:marBottom w:val="0"/>
          <w:divBdr>
            <w:top w:val="none" w:sz="0" w:space="0" w:color="auto"/>
            <w:left w:val="none" w:sz="0" w:space="0" w:color="auto"/>
            <w:bottom w:val="none" w:sz="0" w:space="0" w:color="auto"/>
            <w:right w:val="none" w:sz="0" w:space="0" w:color="auto"/>
          </w:divBdr>
        </w:div>
        <w:div w:id="1034379608">
          <w:marLeft w:val="640"/>
          <w:marRight w:val="0"/>
          <w:marTop w:val="0"/>
          <w:marBottom w:val="0"/>
          <w:divBdr>
            <w:top w:val="none" w:sz="0" w:space="0" w:color="auto"/>
            <w:left w:val="none" w:sz="0" w:space="0" w:color="auto"/>
            <w:bottom w:val="none" w:sz="0" w:space="0" w:color="auto"/>
            <w:right w:val="none" w:sz="0" w:space="0" w:color="auto"/>
          </w:divBdr>
        </w:div>
        <w:div w:id="1264650767">
          <w:marLeft w:val="640"/>
          <w:marRight w:val="0"/>
          <w:marTop w:val="0"/>
          <w:marBottom w:val="0"/>
          <w:divBdr>
            <w:top w:val="none" w:sz="0" w:space="0" w:color="auto"/>
            <w:left w:val="none" w:sz="0" w:space="0" w:color="auto"/>
            <w:bottom w:val="none" w:sz="0" w:space="0" w:color="auto"/>
            <w:right w:val="none" w:sz="0" w:space="0" w:color="auto"/>
          </w:divBdr>
        </w:div>
        <w:div w:id="46495559">
          <w:marLeft w:val="640"/>
          <w:marRight w:val="0"/>
          <w:marTop w:val="0"/>
          <w:marBottom w:val="0"/>
          <w:divBdr>
            <w:top w:val="none" w:sz="0" w:space="0" w:color="auto"/>
            <w:left w:val="none" w:sz="0" w:space="0" w:color="auto"/>
            <w:bottom w:val="none" w:sz="0" w:space="0" w:color="auto"/>
            <w:right w:val="none" w:sz="0" w:space="0" w:color="auto"/>
          </w:divBdr>
        </w:div>
        <w:div w:id="1839075294">
          <w:marLeft w:val="640"/>
          <w:marRight w:val="0"/>
          <w:marTop w:val="0"/>
          <w:marBottom w:val="0"/>
          <w:divBdr>
            <w:top w:val="none" w:sz="0" w:space="0" w:color="auto"/>
            <w:left w:val="none" w:sz="0" w:space="0" w:color="auto"/>
            <w:bottom w:val="none" w:sz="0" w:space="0" w:color="auto"/>
            <w:right w:val="none" w:sz="0" w:space="0" w:color="auto"/>
          </w:divBdr>
        </w:div>
        <w:div w:id="1830369344">
          <w:marLeft w:val="640"/>
          <w:marRight w:val="0"/>
          <w:marTop w:val="0"/>
          <w:marBottom w:val="0"/>
          <w:divBdr>
            <w:top w:val="none" w:sz="0" w:space="0" w:color="auto"/>
            <w:left w:val="none" w:sz="0" w:space="0" w:color="auto"/>
            <w:bottom w:val="none" w:sz="0" w:space="0" w:color="auto"/>
            <w:right w:val="none" w:sz="0" w:space="0" w:color="auto"/>
          </w:divBdr>
        </w:div>
        <w:div w:id="1600795885">
          <w:marLeft w:val="640"/>
          <w:marRight w:val="0"/>
          <w:marTop w:val="0"/>
          <w:marBottom w:val="0"/>
          <w:divBdr>
            <w:top w:val="none" w:sz="0" w:space="0" w:color="auto"/>
            <w:left w:val="none" w:sz="0" w:space="0" w:color="auto"/>
            <w:bottom w:val="none" w:sz="0" w:space="0" w:color="auto"/>
            <w:right w:val="none" w:sz="0" w:space="0" w:color="auto"/>
          </w:divBdr>
        </w:div>
        <w:div w:id="302851505">
          <w:marLeft w:val="640"/>
          <w:marRight w:val="0"/>
          <w:marTop w:val="0"/>
          <w:marBottom w:val="0"/>
          <w:divBdr>
            <w:top w:val="none" w:sz="0" w:space="0" w:color="auto"/>
            <w:left w:val="none" w:sz="0" w:space="0" w:color="auto"/>
            <w:bottom w:val="none" w:sz="0" w:space="0" w:color="auto"/>
            <w:right w:val="none" w:sz="0" w:space="0" w:color="auto"/>
          </w:divBdr>
        </w:div>
        <w:div w:id="2060084508">
          <w:marLeft w:val="640"/>
          <w:marRight w:val="0"/>
          <w:marTop w:val="0"/>
          <w:marBottom w:val="0"/>
          <w:divBdr>
            <w:top w:val="none" w:sz="0" w:space="0" w:color="auto"/>
            <w:left w:val="none" w:sz="0" w:space="0" w:color="auto"/>
            <w:bottom w:val="none" w:sz="0" w:space="0" w:color="auto"/>
            <w:right w:val="none" w:sz="0" w:space="0" w:color="auto"/>
          </w:divBdr>
        </w:div>
        <w:div w:id="59527997">
          <w:marLeft w:val="640"/>
          <w:marRight w:val="0"/>
          <w:marTop w:val="0"/>
          <w:marBottom w:val="0"/>
          <w:divBdr>
            <w:top w:val="none" w:sz="0" w:space="0" w:color="auto"/>
            <w:left w:val="none" w:sz="0" w:space="0" w:color="auto"/>
            <w:bottom w:val="none" w:sz="0" w:space="0" w:color="auto"/>
            <w:right w:val="none" w:sz="0" w:space="0" w:color="auto"/>
          </w:divBdr>
        </w:div>
        <w:div w:id="1714115838">
          <w:marLeft w:val="640"/>
          <w:marRight w:val="0"/>
          <w:marTop w:val="0"/>
          <w:marBottom w:val="0"/>
          <w:divBdr>
            <w:top w:val="none" w:sz="0" w:space="0" w:color="auto"/>
            <w:left w:val="none" w:sz="0" w:space="0" w:color="auto"/>
            <w:bottom w:val="none" w:sz="0" w:space="0" w:color="auto"/>
            <w:right w:val="none" w:sz="0" w:space="0" w:color="auto"/>
          </w:divBdr>
        </w:div>
        <w:div w:id="166289902">
          <w:marLeft w:val="640"/>
          <w:marRight w:val="0"/>
          <w:marTop w:val="0"/>
          <w:marBottom w:val="0"/>
          <w:divBdr>
            <w:top w:val="none" w:sz="0" w:space="0" w:color="auto"/>
            <w:left w:val="none" w:sz="0" w:space="0" w:color="auto"/>
            <w:bottom w:val="none" w:sz="0" w:space="0" w:color="auto"/>
            <w:right w:val="none" w:sz="0" w:space="0" w:color="auto"/>
          </w:divBdr>
        </w:div>
        <w:div w:id="486750937">
          <w:marLeft w:val="640"/>
          <w:marRight w:val="0"/>
          <w:marTop w:val="0"/>
          <w:marBottom w:val="0"/>
          <w:divBdr>
            <w:top w:val="none" w:sz="0" w:space="0" w:color="auto"/>
            <w:left w:val="none" w:sz="0" w:space="0" w:color="auto"/>
            <w:bottom w:val="none" w:sz="0" w:space="0" w:color="auto"/>
            <w:right w:val="none" w:sz="0" w:space="0" w:color="auto"/>
          </w:divBdr>
        </w:div>
        <w:div w:id="2053797632">
          <w:marLeft w:val="640"/>
          <w:marRight w:val="0"/>
          <w:marTop w:val="0"/>
          <w:marBottom w:val="0"/>
          <w:divBdr>
            <w:top w:val="none" w:sz="0" w:space="0" w:color="auto"/>
            <w:left w:val="none" w:sz="0" w:space="0" w:color="auto"/>
            <w:bottom w:val="none" w:sz="0" w:space="0" w:color="auto"/>
            <w:right w:val="none" w:sz="0" w:space="0" w:color="auto"/>
          </w:divBdr>
        </w:div>
        <w:div w:id="323555834">
          <w:marLeft w:val="640"/>
          <w:marRight w:val="0"/>
          <w:marTop w:val="0"/>
          <w:marBottom w:val="0"/>
          <w:divBdr>
            <w:top w:val="none" w:sz="0" w:space="0" w:color="auto"/>
            <w:left w:val="none" w:sz="0" w:space="0" w:color="auto"/>
            <w:bottom w:val="none" w:sz="0" w:space="0" w:color="auto"/>
            <w:right w:val="none" w:sz="0" w:space="0" w:color="auto"/>
          </w:divBdr>
        </w:div>
        <w:div w:id="1384135977">
          <w:marLeft w:val="640"/>
          <w:marRight w:val="0"/>
          <w:marTop w:val="0"/>
          <w:marBottom w:val="0"/>
          <w:divBdr>
            <w:top w:val="none" w:sz="0" w:space="0" w:color="auto"/>
            <w:left w:val="none" w:sz="0" w:space="0" w:color="auto"/>
            <w:bottom w:val="none" w:sz="0" w:space="0" w:color="auto"/>
            <w:right w:val="none" w:sz="0" w:space="0" w:color="auto"/>
          </w:divBdr>
        </w:div>
        <w:div w:id="559677535">
          <w:marLeft w:val="640"/>
          <w:marRight w:val="0"/>
          <w:marTop w:val="0"/>
          <w:marBottom w:val="0"/>
          <w:divBdr>
            <w:top w:val="none" w:sz="0" w:space="0" w:color="auto"/>
            <w:left w:val="none" w:sz="0" w:space="0" w:color="auto"/>
            <w:bottom w:val="none" w:sz="0" w:space="0" w:color="auto"/>
            <w:right w:val="none" w:sz="0" w:space="0" w:color="auto"/>
          </w:divBdr>
        </w:div>
        <w:div w:id="1275868771">
          <w:marLeft w:val="640"/>
          <w:marRight w:val="0"/>
          <w:marTop w:val="0"/>
          <w:marBottom w:val="0"/>
          <w:divBdr>
            <w:top w:val="none" w:sz="0" w:space="0" w:color="auto"/>
            <w:left w:val="none" w:sz="0" w:space="0" w:color="auto"/>
            <w:bottom w:val="none" w:sz="0" w:space="0" w:color="auto"/>
            <w:right w:val="none" w:sz="0" w:space="0" w:color="auto"/>
          </w:divBdr>
        </w:div>
        <w:div w:id="1154689074">
          <w:marLeft w:val="640"/>
          <w:marRight w:val="0"/>
          <w:marTop w:val="0"/>
          <w:marBottom w:val="0"/>
          <w:divBdr>
            <w:top w:val="none" w:sz="0" w:space="0" w:color="auto"/>
            <w:left w:val="none" w:sz="0" w:space="0" w:color="auto"/>
            <w:bottom w:val="none" w:sz="0" w:space="0" w:color="auto"/>
            <w:right w:val="none" w:sz="0" w:space="0" w:color="auto"/>
          </w:divBdr>
        </w:div>
        <w:div w:id="1659454826">
          <w:marLeft w:val="640"/>
          <w:marRight w:val="0"/>
          <w:marTop w:val="0"/>
          <w:marBottom w:val="0"/>
          <w:divBdr>
            <w:top w:val="none" w:sz="0" w:space="0" w:color="auto"/>
            <w:left w:val="none" w:sz="0" w:space="0" w:color="auto"/>
            <w:bottom w:val="none" w:sz="0" w:space="0" w:color="auto"/>
            <w:right w:val="none" w:sz="0" w:space="0" w:color="auto"/>
          </w:divBdr>
        </w:div>
        <w:div w:id="1061950488">
          <w:marLeft w:val="640"/>
          <w:marRight w:val="0"/>
          <w:marTop w:val="0"/>
          <w:marBottom w:val="0"/>
          <w:divBdr>
            <w:top w:val="none" w:sz="0" w:space="0" w:color="auto"/>
            <w:left w:val="none" w:sz="0" w:space="0" w:color="auto"/>
            <w:bottom w:val="none" w:sz="0" w:space="0" w:color="auto"/>
            <w:right w:val="none" w:sz="0" w:space="0" w:color="auto"/>
          </w:divBdr>
        </w:div>
        <w:div w:id="1390491757">
          <w:marLeft w:val="640"/>
          <w:marRight w:val="0"/>
          <w:marTop w:val="0"/>
          <w:marBottom w:val="0"/>
          <w:divBdr>
            <w:top w:val="none" w:sz="0" w:space="0" w:color="auto"/>
            <w:left w:val="none" w:sz="0" w:space="0" w:color="auto"/>
            <w:bottom w:val="none" w:sz="0" w:space="0" w:color="auto"/>
            <w:right w:val="none" w:sz="0" w:space="0" w:color="auto"/>
          </w:divBdr>
        </w:div>
        <w:div w:id="12075033">
          <w:marLeft w:val="640"/>
          <w:marRight w:val="0"/>
          <w:marTop w:val="0"/>
          <w:marBottom w:val="0"/>
          <w:divBdr>
            <w:top w:val="none" w:sz="0" w:space="0" w:color="auto"/>
            <w:left w:val="none" w:sz="0" w:space="0" w:color="auto"/>
            <w:bottom w:val="none" w:sz="0" w:space="0" w:color="auto"/>
            <w:right w:val="none" w:sz="0" w:space="0" w:color="auto"/>
          </w:divBdr>
        </w:div>
        <w:div w:id="522326745">
          <w:marLeft w:val="640"/>
          <w:marRight w:val="0"/>
          <w:marTop w:val="0"/>
          <w:marBottom w:val="0"/>
          <w:divBdr>
            <w:top w:val="none" w:sz="0" w:space="0" w:color="auto"/>
            <w:left w:val="none" w:sz="0" w:space="0" w:color="auto"/>
            <w:bottom w:val="none" w:sz="0" w:space="0" w:color="auto"/>
            <w:right w:val="none" w:sz="0" w:space="0" w:color="auto"/>
          </w:divBdr>
        </w:div>
        <w:div w:id="1053188874">
          <w:marLeft w:val="640"/>
          <w:marRight w:val="0"/>
          <w:marTop w:val="0"/>
          <w:marBottom w:val="0"/>
          <w:divBdr>
            <w:top w:val="none" w:sz="0" w:space="0" w:color="auto"/>
            <w:left w:val="none" w:sz="0" w:space="0" w:color="auto"/>
            <w:bottom w:val="none" w:sz="0" w:space="0" w:color="auto"/>
            <w:right w:val="none" w:sz="0" w:space="0" w:color="auto"/>
          </w:divBdr>
        </w:div>
        <w:div w:id="2066680115">
          <w:marLeft w:val="640"/>
          <w:marRight w:val="0"/>
          <w:marTop w:val="0"/>
          <w:marBottom w:val="0"/>
          <w:divBdr>
            <w:top w:val="none" w:sz="0" w:space="0" w:color="auto"/>
            <w:left w:val="none" w:sz="0" w:space="0" w:color="auto"/>
            <w:bottom w:val="none" w:sz="0" w:space="0" w:color="auto"/>
            <w:right w:val="none" w:sz="0" w:space="0" w:color="auto"/>
          </w:divBdr>
        </w:div>
        <w:div w:id="364985839">
          <w:marLeft w:val="640"/>
          <w:marRight w:val="0"/>
          <w:marTop w:val="0"/>
          <w:marBottom w:val="0"/>
          <w:divBdr>
            <w:top w:val="none" w:sz="0" w:space="0" w:color="auto"/>
            <w:left w:val="none" w:sz="0" w:space="0" w:color="auto"/>
            <w:bottom w:val="none" w:sz="0" w:space="0" w:color="auto"/>
            <w:right w:val="none" w:sz="0" w:space="0" w:color="auto"/>
          </w:divBdr>
        </w:div>
        <w:div w:id="520970750">
          <w:marLeft w:val="640"/>
          <w:marRight w:val="0"/>
          <w:marTop w:val="0"/>
          <w:marBottom w:val="0"/>
          <w:divBdr>
            <w:top w:val="none" w:sz="0" w:space="0" w:color="auto"/>
            <w:left w:val="none" w:sz="0" w:space="0" w:color="auto"/>
            <w:bottom w:val="none" w:sz="0" w:space="0" w:color="auto"/>
            <w:right w:val="none" w:sz="0" w:space="0" w:color="auto"/>
          </w:divBdr>
        </w:div>
        <w:div w:id="925378504">
          <w:marLeft w:val="640"/>
          <w:marRight w:val="0"/>
          <w:marTop w:val="0"/>
          <w:marBottom w:val="0"/>
          <w:divBdr>
            <w:top w:val="none" w:sz="0" w:space="0" w:color="auto"/>
            <w:left w:val="none" w:sz="0" w:space="0" w:color="auto"/>
            <w:bottom w:val="none" w:sz="0" w:space="0" w:color="auto"/>
            <w:right w:val="none" w:sz="0" w:space="0" w:color="auto"/>
          </w:divBdr>
        </w:div>
        <w:div w:id="149711021">
          <w:marLeft w:val="640"/>
          <w:marRight w:val="0"/>
          <w:marTop w:val="0"/>
          <w:marBottom w:val="0"/>
          <w:divBdr>
            <w:top w:val="none" w:sz="0" w:space="0" w:color="auto"/>
            <w:left w:val="none" w:sz="0" w:space="0" w:color="auto"/>
            <w:bottom w:val="none" w:sz="0" w:space="0" w:color="auto"/>
            <w:right w:val="none" w:sz="0" w:space="0" w:color="auto"/>
          </w:divBdr>
        </w:div>
        <w:div w:id="990986475">
          <w:marLeft w:val="640"/>
          <w:marRight w:val="0"/>
          <w:marTop w:val="0"/>
          <w:marBottom w:val="0"/>
          <w:divBdr>
            <w:top w:val="none" w:sz="0" w:space="0" w:color="auto"/>
            <w:left w:val="none" w:sz="0" w:space="0" w:color="auto"/>
            <w:bottom w:val="none" w:sz="0" w:space="0" w:color="auto"/>
            <w:right w:val="none" w:sz="0" w:space="0" w:color="auto"/>
          </w:divBdr>
        </w:div>
        <w:div w:id="36707748">
          <w:marLeft w:val="640"/>
          <w:marRight w:val="0"/>
          <w:marTop w:val="0"/>
          <w:marBottom w:val="0"/>
          <w:divBdr>
            <w:top w:val="none" w:sz="0" w:space="0" w:color="auto"/>
            <w:left w:val="none" w:sz="0" w:space="0" w:color="auto"/>
            <w:bottom w:val="none" w:sz="0" w:space="0" w:color="auto"/>
            <w:right w:val="none" w:sz="0" w:space="0" w:color="auto"/>
          </w:divBdr>
        </w:div>
        <w:div w:id="1282033433">
          <w:marLeft w:val="640"/>
          <w:marRight w:val="0"/>
          <w:marTop w:val="0"/>
          <w:marBottom w:val="0"/>
          <w:divBdr>
            <w:top w:val="none" w:sz="0" w:space="0" w:color="auto"/>
            <w:left w:val="none" w:sz="0" w:space="0" w:color="auto"/>
            <w:bottom w:val="none" w:sz="0" w:space="0" w:color="auto"/>
            <w:right w:val="none" w:sz="0" w:space="0" w:color="auto"/>
          </w:divBdr>
        </w:div>
        <w:div w:id="1723291279">
          <w:marLeft w:val="640"/>
          <w:marRight w:val="0"/>
          <w:marTop w:val="0"/>
          <w:marBottom w:val="0"/>
          <w:divBdr>
            <w:top w:val="none" w:sz="0" w:space="0" w:color="auto"/>
            <w:left w:val="none" w:sz="0" w:space="0" w:color="auto"/>
            <w:bottom w:val="none" w:sz="0" w:space="0" w:color="auto"/>
            <w:right w:val="none" w:sz="0" w:space="0" w:color="auto"/>
          </w:divBdr>
        </w:div>
        <w:div w:id="1113937902">
          <w:marLeft w:val="640"/>
          <w:marRight w:val="0"/>
          <w:marTop w:val="0"/>
          <w:marBottom w:val="0"/>
          <w:divBdr>
            <w:top w:val="none" w:sz="0" w:space="0" w:color="auto"/>
            <w:left w:val="none" w:sz="0" w:space="0" w:color="auto"/>
            <w:bottom w:val="none" w:sz="0" w:space="0" w:color="auto"/>
            <w:right w:val="none" w:sz="0" w:space="0" w:color="auto"/>
          </w:divBdr>
        </w:div>
        <w:div w:id="1664552570">
          <w:marLeft w:val="640"/>
          <w:marRight w:val="0"/>
          <w:marTop w:val="0"/>
          <w:marBottom w:val="0"/>
          <w:divBdr>
            <w:top w:val="none" w:sz="0" w:space="0" w:color="auto"/>
            <w:left w:val="none" w:sz="0" w:space="0" w:color="auto"/>
            <w:bottom w:val="none" w:sz="0" w:space="0" w:color="auto"/>
            <w:right w:val="none" w:sz="0" w:space="0" w:color="auto"/>
          </w:divBdr>
        </w:div>
        <w:div w:id="1155024452">
          <w:marLeft w:val="640"/>
          <w:marRight w:val="0"/>
          <w:marTop w:val="0"/>
          <w:marBottom w:val="0"/>
          <w:divBdr>
            <w:top w:val="none" w:sz="0" w:space="0" w:color="auto"/>
            <w:left w:val="none" w:sz="0" w:space="0" w:color="auto"/>
            <w:bottom w:val="none" w:sz="0" w:space="0" w:color="auto"/>
            <w:right w:val="none" w:sz="0" w:space="0" w:color="auto"/>
          </w:divBdr>
        </w:div>
        <w:div w:id="366486352">
          <w:marLeft w:val="640"/>
          <w:marRight w:val="0"/>
          <w:marTop w:val="0"/>
          <w:marBottom w:val="0"/>
          <w:divBdr>
            <w:top w:val="none" w:sz="0" w:space="0" w:color="auto"/>
            <w:left w:val="none" w:sz="0" w:space="0" w:color="auto"/>
            <w:bottom w:val="none" w:sz="0" w:space="0" w:color="auto"/>
            <w:right w:val="none" w:sz="0" w:space="0" w:color="auto"/>
          </w:divBdr>
        </w:div>
        <w:div w:id="615525297">
          <w:marLeft w:val="640"/>
          <w:marRight w:val="0"/>
          <w:marTop w:val="0"/>
          <w:marBottom w:val="0"/>
          <w:divBdr>
            <w:top w:val="none" w:sz="0" w:space="0" w:color="auto"/>
            <w:left w:val="none" w:sz="0" w:space="0" w:color="auto"/>
            <w:bottom w:val="none" w:sz="0" w:space="0" w:color="auto"/>
            <w:right w:val="none" w:sz="0" w:space="0" w:color="auto"/>
          </w:divBdr>
        </w:div>
        <w:div w:id="2132284528">
          <w:marLeft w:val="640"/>
          <w:marRight w:val="0"/>
          <w:marTop w:val="0"/>
          <w:marBottom w:val="0"/>
          <w:divBdr>
            <w:top w:val="none" w:sz="0" w:space="0" w:color="auto"/>
            <w:left w:val="none" w:sz="0" w:space="0" w:color="auto"/>
            <w:bottom w:val="none" w:sz="0" w:space="0" w:color="auto"/>
            <w:right w:val="none" w:sz="0" w:space="0" w:color="auto"/>
          </w:divBdr>
        </w:div>
        <w:div w:id="904486212">
          <w:marLeft w:val="640"/>
          <w:marRight w:val="0"/>
          <w:marTop w:val="0"/>
          <w:marBottom w:val="0"/>
          <w:divBdr>
            <w:top w:val="none" w:sz="0" w:space="0" w:color="auto"/>
            <w:left w:val="none" w:sz="0" w:space="0" w:color="auto"/>
            <w:bottom w:val="none" w:sz="0" w:space="0" w:color="auto"/>
            <w:right w:val="none" w:sz="0" w:space="0" w:color="auto"/>
          </w:divBdr>
        </w:div>
        <w:div w:id="1624727552">
          <w:marLeft w:val="640"/>
          <w:marRight w:val="0"/>
          <w:marTop w:val="0"/>
          <w:marBottom w:val="0"/>
          <w:divBdr>
            <w:top w:val="none" w:sz="0" w:space="0" w:color="auto"/>
            <w:left w:val="none" w:sz="0" w:space="0" w:color="auto"/>
            <w:bottom w:val="none" w:sz="0" w:space="0" w:color="auto"/>
            <w:right w:val="none" w:sz="0" w:space="0" w:color="auto"/>
          </w:divBdr>
        </w:div>
        <w:div w:id="790562254">
          <w:marLeft w:val="640"/>
          <w:marRight w:val="0"/>
          <w:marTop w:val="0"/>
          <w:marBottom w:val="0"/>
          <w:divBdr>
            <w:top w:val="none" w:sz="0" w:space="0" w:color="auto"/>
            <w:left w:val="none" w:sz="0" w:space="0" w:color="auto"/>
            <w:bottom w:val="none" w:sz="0" w:space="0" w:color="auto"/>
            <w:right w:val="none" w:sz="0" w:space="0" w:color="auto"/>
          </w:divBdr>
        </w:div>
        <w:div w:id="1111776750">
          <w:marLeft w:val="640"/>
          <w:marRight w:val="0"/>
          <w:marTop w:val="0"/>
          <w:marBottom w:val="0"/>
          <w:divBdr>
            <w:top w:val="none" w:sz="0" w:space="0" w:color="auto"/>
            <w:left w:val="none" w:sz="0" w:space="0" w:color="auto"/>
            <w:bottom w:val="none" w:sz="0" w:space="0" w:color="auto"/>
            <w:right w:val="none" w:sz="0" w:space="0" w:color="auto"/>
          </w:divBdr>
        </w:div>
        <w:div w:id="1859852993">
          <w:marLeft w:val="640"/>
          <w:marRight w:val="0"/>
          <w:marTop w:val="0"/>
          <w:marBottom w:val="0"/>
          <w:divBdr>
            <w:top w:val="none" w:sz="0" w:space="0" w:color="auto"/>
            <w:left w:val="none" w:sz="0" w:space="0" w:color="auto"/>
            <w:bottom w:val="none" w:sz="0" w:space="0" w:color="auto"/>
            <w:right w:val="none" w:sz="0" w:space="0" w:color="auto"/>
          </w:divBdr>
        </w:div>
        <w:div w:id="211310784">
          <w:marLeft w:val="640"/>
          <w:marRight w:val="0"/>
          <w:marTop w:val="0"/>
          <w:marBottom w:val="0"/>
          <w:divBdr>
            <w:top w:val="none" w:sz="0" w:space="0" w:color="auto"/>
            <w:left w:val="none" w:sz="0" w:space="0" w:color="auto"/>
            <w:bottom w:val="none" w:sz="0" w:space="0" w:color="auto"/>
            <w:right w:val="none" w:sz="0" w:space="0" w:color="auto"/>
          </w:divBdr>
        </w:div>
        <w:div w:id="1044019076">
          <w:marLeft w:val="640"/>
          <w:marRight w:val="0"/>
          <w:marTop w:val="0"/>
          <w:marBottom w:val="0"/>
          <w:divBdr>
            <w:top w:val="none" w:sz="0" w:space="0" w:color="auto"/>
            <w:left w:val="none" w:sz="0" w:space="0" w:color="auto"/>
            <w:bottom w:val="none" w:sz="0" w:space="0" w:color="auto"/>
            <w:right w:val="none" w:sz="0" w:space="0" w:color="auto"/>
          </w:divBdr>
        </w:div>
        <w:div w:id="1414549619">
          <w:marLeft w:val="640"/>
          <w:marRight w:val="0"/>
          <w:marTop w:val="0"/>
          <w:marBottom w:val="0"/>
          <w:divBdr>
            <w:top w:val="none" w:sz="0" w:space="0" w:color="auto"/>
            <w:left w:val="none" w:sz="0" w:space="0" w:color="auto"/>
            <w:bottom w:val="none" w:sz="0" w:space="0" w:color="auto"/>
            <w:right w:val="none" w:sz="0" w:space="0" w:color="auto"/>
          </w:divBdr>
        </w:div>
        <w:div w:id="451635123">
          <w:marLeft w:val="640"/>
          <w:marRight w:val="0"/>
          <w:marTop w:val="0"/>
          <w:marBottom w:val="0"/>
          <w:divBdr>
            <w:top w:val="none" w:sz="0" w:space="0" w:color="auto"/>
            <w:left w:val="none" w:sz="0" w:space="0" w:color="auto"/>
            <w:bottom w:val="none" w:sz="0" w:space="0" w:color="auto"/>
            <w:right w:val="none" w:sz="0" w:space="0" w:color="auto"/>
          </w:divBdr>
        </w:div>
        <w:div w:id="1879194841">
          <w:marLeft w:val="640"/>
          <w:marRight w:val="0"/>
          <w:marTop w:val="0"/>
          <w:marBottom w:val="0"/>
          <w:divBdr>
            <w:top w:val="none" w:sz="0" w:space="0" w:color="auto"/>
            <w:left w:val="none" w:sz="0" w:space="0" w:color="auto"/>
            <w:bottom w:val="none" w:sz="0" w:space="0" w:color="auto"/>
            <w:right w:val="none" w:sz="0" w:space="0" w:color="auto"/>
          </w:divBdr>
        </w:div>
        <w:div w:id="1686715213">
          <w:marLeft w:val="640"/>
          <w:marRight w:val="0"/>
          <w:marTop w:val="0"/>
          <w:marBottom w:val="0"/>
          <w:divBdr>
            <w:top w:val="none" w:sz="0" w:space="0" w:color="auto"/>
            <w:left w:val="none" w:sz="0" w:space="0" w:color="auto"/>
            <w:bottom w:val="none" w:sz="0" w:space="0" w:color="auto"/>
            <w:right w:val="none" w:sz="0" w:space="0" w:color="auto"/>
          </w:divBdr>
        </w:div>
        <w:div w:id="557517189">
          <w:marLeft w:val="640"/>
          <w:marRight w:val="0"/>
          <w:marTop w:val="0"/>
          <w:marBottom w:val="0"/>
          <w:divBdr>
            <w:top w:val="none" w:sz="0" w:space="0" w:color="auto"/>
            <w:left w:val="none" w:sz="0" w:space="0" w:color="auto"/>
            <w:bottom w:val="none" w:sz="0" w:space="0" w:color="auto"/>
            <w:right w:val="none" w:sz="0" w:space="0" w:color="auto"/>
          </w:divBdr>
        </w:div>
        <w:div w:id="287703503">
          <w:marLeft w:val="640"/>
          <w:marRight w:val="0"/>
          <w:marTop w:val="0"/>
          <w:marBottom w:val="0"/>
          <w:divBdr>
            <w:top w:val="none" w:sz="0" w:space="0" w:color="auto"/>
            <w:left w:val="none" w:sz="0" w:space="0" w:color="auto"/>
            <w:bottom w:val="none" w:sz="0" w:space="0" w:color="auto"/>
            <w:right w:val="none" w:sz="0" w:space="0" w:color="auto"/>
          </w:divBdr>
        </w:div>
        <w:div w:id="1414929312">
          <w:marLeft w:val="640"/>
          <w:marRight w:val="0"/>
          <w:marTop w:val="0"/>
          <w:marBottom w:val="0"/>
          <w:divBdr>
            <w:top w:val="none" w:sz="0" w:space="0" w:color="auto"/>
            <w:left w:val="none" w:sz="0" w:space="0" w:color="auto"/>
            <w:bottom w:val="none" w:sz="0" w:space="0" w:color="auto"/>
            <w:right w:val="none" w:sz="0" w:space="0" w:color="auto"/>
          </w:divBdr>
        </w:div>
        <w:div w:id="1065879652">
          <w:marLeft w:val="640"/>
          <w:marRight w:val="0"/>
          <w:marTop w:val="0"/>
          <w:marBottom w:val="0"/>
          <w:divBdr>
            <w:top w:val="none" w:sz="0" w:space="0" w:color="auto"/>
            <w:left w:val="none" w:sz="0" w:space="0" w:color="auto"/>
            <w:bottom w:val="none" w:sz="0" w:space="0" w:color="auto"/>
            <w:right w:val="none" w:sz="0" w:space="0" w:color="auto"/>
          </w:divBdr>
        </w:div>
        <w:div w:id="628316606">
          <w:marLeft w:val="640"/>
          <w:marRight w:val="0"/>
          <w:marTop w:val="0"/>
          <w:marBottom w:val="0"/>
          <w:divBdr>
            <w:top w:val="none" w:sz="0" w:space="0" w:color="auto"/>
            <w:left w:val="none" w:sz="0" w:space="0" w:color="auto"/>
            <w:bottom w:val="none" w:sz="0" w:space="0" w:color="auto"/>
            <w:right w:val="none" w:sz="0" w:space="0" w:color="auto"/>
          </w:divBdr>
        </w:div>
        <w:div w:id="1812745870">
          <w:marLeft w:val="640"/>
          <w:marRight w:val="0"/>
          <w:marTop w:val="0"/>
          <w:marBottom w:val="0"/>
          <w:divBdr>
            <w:top w:val="none" w:sz="0" w:space="0" w:color="auto"/>
            <w:left w:val="none" w:sz="0" w:space="0" w:color="auto"/>
            <w:bottom w:val="none" w:sz="0" w:space="0" w:color="auto"/>
            <w:right w:val="none" w:sz="0" w:space="0" w:color="auto"/>
          </w:divBdr>
        </w:div>
        <w:div w:id="224952275">
          <w:marLeft w:val="640"/>
          <w:marRight w:val="0"/>
          <w:marTop w:val="0"/>
          <w:marBottom w:val="0"/>
          <w:divBdr>
            <w:top w:val="none" w:sz="0" w:space="0" w:color="auto"/>
            <w:left w:val="none" w:sz="0" w:space="0" w:color="auto"/>
            <w:bottom w:val="none" w:sz="0" w:space="0" w:color="auto"/>
            <w:right w:val="none" w:sz="0" w:space="0" w:color="auto"/>
          </w:divBdr>
        </w:div>
        <w:div w:id="663973152">
          <w:marLeft w:val="640"/>
          <w:marRight w:val="0"/>
          <w:marTop w:val="0"/>
          <w:marBottom w:val="0"/>
          <w:divBdr>
            <w:top w:val="none" w:sz="0" w:space="0" w:color="auto"/>
            <w:left w:val="none" w:sz="0" w:space="0" w:color="auto"/>
            <w:bottom w:val="none" w:sz="0" w:space="0" w:color="auto"/>
            <w:right w:val="none" w:sz="0" w:space="0" w:color="auto"/>
          </w:divBdr>
        </w:div>
        <w:div w:id="596523656">
          <w:marLeft w:val="640"/>
          <w:marRight w:val="0"/>
          <w:marTop w:val="0"/>
          <w:marBottom w:val="0"/>
          <w:divBdr>
            <w:top w:val="none" w:sz="0" w:space="0" w:color="auto"/>
            <w:left w:val="none" w:sz="0" w:space="0" w:color="auto"/>
            <w:bottom w:val="none" w:sz="0" w:space="0" w:color="auto"/>
            <w:right w:val="none" w:sz="0" w:space="0" w:color="auto"/>
          </w:divBdr>
        </w:div>
        <w:div w:id="1567717321">
          <w:marLeft w:val="640"/>
          <w:marRight w:val="0"/>
          <w:marTop w:val="0"/>
          <w:marBottom w:val="0"/>
          <w:divBdr>
            <w:top w:val="none" w:sz="0" w:space="0" w:color="auto"/>
            <w:left w:val="none" w:sz="0" w:space="0" w:color="auto"/>
            <w:bottom w:val="none" w:sz="0" w:space="0" w:color="auto"/>
            <w:right w:val="none" w:sz="0" w:space="0" w:color="auto"/>
          </w:divBdr>
        </w:div>
        <w:div w:id="142818051">
          <w:marLeft w:val="640"/>
          <w:marRight w:val="0"/>
          <w:marTop w:val="0"/>
          <w:marBottom w:val="0"/>
          <w:divBdr>
            <w:top w:val="none" w:sz="0" w:space="0" w:color="auto"/>
            <w:left w:val="none" w:sz="0" w:space="0" w:color="auto"/>
            <w:bottom w:val="none" w:sz="0" w:space="0" w:color="auto"/>
            <w:right w:val="none" w:sz="0" w:space="0" w:color="auto"/>
          </w:divBdr>
        </w:div>
      </w:divsChild>
    </w:div>
    <w:div w:id="2124959922">
      <w:bodyDiv w:val="1"/>
      <w:marLeft w:val="0"/>
      <w:marRight w:val="0"/>
      <w:marTop w:val="0"/>
      <w:marBottom w:val="0"/>
      <w:divBdr>
        <w:top w:val="none" w:sz="0" w:space="0" w:color="auto"/>
        <w:left w:val="none" w:sz="0" w:space="0" w:color="auto"/>
        <w:bottom w:val="none" w:sz="0" w:space="0" w:color="auto"/>
        <w:right w:val="none" w:sz="0" w:space="0" w:color="auto"/>
      </w:divBdr>
      <w:divsChild>
        <w:div w:id="1600679321">
          <w:marLeft w:val="640"/>
          <w:marRight w:val="0"/>
          <w:marTop w:val="0"/>
          <w:marBottom w:val="0"/>
          <w:divBdr>
            <w:top w:val="none" w:sz="0" w:space="0" w:color="auto"/>
            <w:left w:val="none" w:sz="0" w:space="0" w:color="auto"/>
            <w:bottom w:val="none" w:sz="0" w:space="0" w:color="auto"/>
            <w:right w:val="none" w:sz="0" w:space="0" w:color="auto"/>
          </w:divBdr>
        </w:div>
        <w:div w:id="532311072">
          <w:marLeft w:val="640"/>
          <w:marRight w:val="0"/>
          <w:marTop w:val="0"/>
          <w:marBottom w:val="0"/>
          <w:divBdr>
            <w:top w:val="none" w:sz="0" w:space="0" w:color="auto"/>
            <w:left w:val="none" w:sz="0" w:space="0" w:color="auto"/>
            <w:bottom w:val="none" w:sz="0" w:space="0" w:color="auto"/>
            <w:right w:val="none" w:sz="0" w:space="0" w:color="auto"/>
          </w:divBdr>
        </w:div>
        <w:div w:id="292292219">
          <w:marLeft w:val="640"/>
          <w:marRight w:val="0"/>
          <w:marTop w:val="0"/>
          <w:marBottom w:val="0"/>
          <w:divBdr>
            <w:top w:val="none" w:sz="0" w:space="0" w:color="auto"/>
            <w:left w:val="none" w:sz="0" w:space="0" w:color="auto"/>
            <w:bottom w:val="none" w:sz="0" w:space="0" w:color="auto"/>
            <w:right w:val="none" w:sz="0" w:space="0" w:color="auto"/>
          </w:divBdr>
        </w:div>
        <w:div w:id="2000038204">
          <w:marLeft w:val="640"/>
          <w:marRight w:val="0"/>
          <w:marTop w:val="0"/>
          <w:marBottom w:val="0"/>
          <w:divBdr>
            <w:top w:val="none" w:sz="0" w:space="0" w:color="auto"/>
            <w:left w:val="none" w:sz="0" w:space="0" w:color="auto"/>
            <w:bottom w:val="none" w:sz="0" w:space="0" w:color="auto"/>
            <w:right w:val="none" w:sz="0" w:space="0" w:color="auto"/>
          </w:divBdr>
        </w:div>
        <w:div w:id="1771585337">
          <w:marLeft w:val="640"/>
          <w:marRight w:val="0"/>
          <w:marTop w:val="0"/>
          <w:marBottom w:val="0"/>
          <w:divBdr>
            <w:top w:val="none" w:sz="0" w:space="0" w:color="auto"/>
            <w:left w:val="none" w:sz="0" w:space="0" w:color="auto"/>
            <w:bottom w:val="none" w:sz="0" w:space="0" w:color="auto"/>
            <w:right w:val="none" w:sz="0" w:space="0" w:color="auto"/>
          </w:divBdr>
        </w:div>
        <w:div w:id="1063914597">
          <w:marLeft w:val="640"/>
          <w:marRight w:val="0"/>
          <w:marTop w:val="0"/>
          <w:marBottom w:val="0"/>
          <w:divBdr>
            <w:top w:val="none" w:sz="0" w:space="0" w:color="auto"/>
            <w:left w:val="none" w:sz="0" w:space="0" w:color="auto"/>
            <w:bottom w:val="none" w:sz="0" w:space="0" w:color="auto"/>
            <w:right w:val="none" w:sz="0" w:space="0" w:color="auto"/>
          </w:divBdr>
        </w:div>
        <w:div w:id="580992179">
          <w:marLeft w:val="640"/>
          <w:marRight w:val="0"/>
          <w:marTop w:val="0"/>
          <w:marBottom w:val="0"/>
          <w:divBdr>
            <w:top w:val="none" w:sz="0" w:space="0" w:color="auto"/>
            <w:left w:val="none" w:sz="0" w:space="0" w:color="auto"/>
            <w:bottom w:val="none" w:sz="0" w:space="0" w:color="auto"/>
            <w:right w:val="none" w:sz="0" w:space="0" w:color="auto"/>
          </w:divBdr>
        </w:div>
        <w:div w:id="176044253">
          <w:marLeft w:val="640"/>
          <w:marRight w:val="0"/>
          <w:marTop w:val="0"/>
          <w:marBottom w:val="0"/>
          <w:divBdr>
            <w:top w:val="none" w:sz="0" w:space="0" w:color="auto"/>
            <w:left w:val="none" w:sz="0" w:space="0" w:color="auto"/>
            <w:bottom w:val="none" w:sz="0" w:space="0" w:color="auto"/>
            <w:right w:val="none" w:sz="0" w:space="0" w:color="auto"/>
          </w:divBdr>
        </w:div>
        <w:div w:id="116025887">
          <w:marLeft w:val="640"/>
          <w:marRight w:val="0"/>
          <w:marTop w:val="0"/>
          <w:marBottom w:val="0"/>
          <w:divBdr>
            <w:top w:val="none" w:sz="0" w:space="0" w:color="auto"/>
            <w:left w:val="none" w:sz="0" w:space="0" w:color="auto"/>
            <w:bottom w:val="none" w:sz="0" w:space="0" w:color="auto"/>
            <w:right w:val="none" w:sz="0" w:space="0" w:color="auto"/>
          </w:divBdr>
        </w:div>
        <w:div w:id="1132361827">
          <w:marLeft w:val="640"/>
          <w:marRight w:val="0"/>
          <w:marTop w:val="0"/>
          <w:marBottom w:val="0"/>
          <w:divBdr>
            <w:top w:val="none" w:sz="0" w:space="0" w:color="auto"/>
            <w:left w:val="none" w:sz="0" w:space="0" w:color="auto"/>
            <w:bottom w:val="none" w:sz="0" w:space="0" w:color="auto"/>
            <w:right w:val="none" w:sz="0" w:space="0" w:color="auto"/>
          </w:divBdr>
        </w:div>
        <w:div w:id="6298603">
          <w:marLeft w:val="640"/>
          <w:marRight w:val="0"/>
          <w:marTop w:val="0"/>
          <w:marBottom w:val="0"/>
          <w:divBdr>
            <w:top w:val="none" w:sz="0" w:space="0" w:color="auto"/>
            <w:left w:val="none" w:sz="0" w:space="0" w:color="auto"/>
            <w:bottom w:val="none" w:sz="0" w:space="0" w:color="auto"/>
            <w:right w:val="none" w:sz="0" w:space="0" w:color="auto"/>
          </w:divBdr>
        </w:div>
        <w:div w:id="655188114">
          <w:marLeft w:val="640"/>
          <w:marRight w:val="0"/>
          <w:marTop w:val="0"/>
          <w:marBottom w:val="0"/>
          <w:divBdr>
            <w:top w:val="none" w:sz="0" w:space="0" w:color="auto"/>
            <w:left w:val="none" w:sz="0" w:space="0" w:color="auto"/>
            <w:bottom w:val="none" w:sz="0" w:space="0" w:color="auto"/>
            <w:right w:val="none" w:sz="0" w:space="0" w:color="auto"/>
          </w:divBdr>
        </w:div>
        <w:div w:id="1265723651">
          <w:marLeft w:val="640"/>
          <w:marRight w:val="0"/>
          <w:marTop w:val="0"/>
          <w:marBottom w:val="0"/>
          <w:divBdr>
            <w:top w:val="none" w:sz="0" w:space="0" w:color="auto"/>
            <w:left w:val="none" w:sz="0" w:space="0" w:color="auto"/>
            <w:bottom w:val="none" w:sz="0" w:space="0" w:color="auto"/>
            <w:right w:val="none" w:sz="0" w:space="0" w:color="auto"/>
          </w:divBdr>
        </w:div>
        <w:div w:id="441606218">
          <w:marLeft w:val="640"/>
          <w:marRight w:val="0"/>
          <w:marTop w:val="0"/>
          <w:marBottom w:val="0"/>
          <w:divBdr>
            <w:top w:val="none" w:sz="0" w:space="0" w:color="auto"/>
            <w:left w:val="none" w:sz="0" w:space="0" w:color="auto"/>
            <w:bottom w:val="none" w:sz="0" w:space="0" w:color="auto"/>
            <w:right w:val="none" w:sz="0" w:space="0" w:color="auto"/>
          </w:divBdr>
        </w:div>
        <w:div w:id="816191555">
          <w:marLeft w:val="640"/>
          <w:marRight w:val="0"/>
          <w:marTop w:val="0"/>
          <w:marBottom w:val="0"/>
          <w:divBdr>
            <w:top w:val="none" w:sz="0" w:space="0" w:color="auto"/>
            <w:left w:val="none" w:sz="0" w:space="0" w:color="auto"/>
            <w:bottom w:val="none" w:sz="0" w:space="0" w:color="auto"/>
            <w:right w:val="none" w:sz="0" w:space="0" w:color="auto"/>
          </w:divBdr>
        </w:div>
        <w:div w:id="94785177">
          <w:marLeft w:val="640"/>
          <w:marRight w:val="0"/>
          <w:marTop w:val="0"/>
          <w:marBottom w:val="0"/>
          <w:divBdr>
            <w:top w:val="none" w:sz="0" w:space="0" w:color="auto"/>
            <w:left w:val="none" w:sz="0" w:space="0" w:color="auto"/>
            <w:bottom w:val="none" w:sz="0" w:space="0" w:color="auto"/>
            <w:right w:val="none" w:sz="0" w:space="0" w:color="auto"/>
          </w:divBdr>
        </w:div>
        <w:div w:id="1774591665">
          <w:marLeft w:val="640"/>
          <w:marRight w:val="0"/>
          <w:marTop w:val="0"/>
          <w:marBottom w:val="0"/>
          <w:divBdr>
            <w:top w:val="none" w:sz="0" w:space="0" w:color="auto"/>
            <w:left w:val="none" w:sz="0" w:space="0" w:color="auto"/>
            <w:bottom w:val="none" w:sz="0" w:space="0" w:color="auto"/>
            <w:right w:val="none" w:sz="0" w:space="0" w:color="auto"/>
          </w:divBdr>
        </w:div>
        <w:div w:id="1803961332">
          <w:marLeft w:val="640"/>
          <w:marRight w:val="0"/>
          <w:marTop w:val="0"/>
          <w:marBottom w:val="0"/>
          <w:divBdr>
            <w:top w:val="none" w:sz="0" w:space="0" w:color="auto"/>
            <w:left w:val="none" w:sz="0" w:space="0" w:color="auto"/>
            <w:bottom w:val="none" w:sz="0" w:space="0" w:color="auto"/>
            <w:right w:val="none" w:sz="0" w:space="0" w:color="auto"/>
          </w:divBdr>
        </w:div>
        <w:div w:id="1659917567">
          <w:marLeft w:val="640"/>
          <w:marRight w:val="0"/>
          <w:marTop w:val="0"/>
          <w:marBottom w:val="0"/>
          <w:divBdr>
            <w:top w:val="none" w:sz="0" w:space="0" w:color="auto"/>
            <w:left w:val="none" w:sz="0" w:space="0" w:color="auto"/>
            <w:bottom w:val="none" w:sz="0" w:space="0" w:color="auto"/>
            <w:right w:val="none" w:sz="0" w:space="0" w:color="auto"/>
          </w:divBdr>
        </w:div>
        <w:div w:id="1656296043">
          <w:marLeft w:val="640"/>
          <w:marRight w:val="0"/>
          <w:marTop w:val="0"/>
          <w:marBottom w:val="0"/>
          <w:divBdr>
            <w:top w:val="none" w:sz="0" w:space="0" w:color="auto"/>
            <w:left w:val="none" w:sz="0" w:space="0" w:color="auto"/>
            <w:bottom w:val="none" w:sz="0" w:space="0" w:color="auto"/>
            <w:right w:val="none" w:sz="0" w:space="0" w:color="auto"/>
          </w:divBdr>
        </w:div>
        <w:div w:id="1122384594">
          <w:marLeft w:val="640"/>
          <w:marRight w:val="0"/>
          <w:marTop w:val="0"/>
          <w:marBottom w:val="0"/>
          <w:divBdr>
            <w:top w:val="none" w:sz="0" w:space="0" w:color="auto"/>
            <w:left w:val="none" w:sz="0" w:space="0" w:color="auto"/>
            <w:bottom w:val="none" w:sz="0" w:space="0" w:color="auto"/>
            <w:right w:val="none" w:sz="0" w:space="0" w:color="auto"/>
          </w:divBdr>
        </w:div>
        <w:div w:id="1784959110">
          <w:marLeft w:val="640"/>
          <w:marRight w:val="0"/>
          <w:marTop w:val="0"/>
          <w:marBottom w:val="0"/>
          <w:divBdr>
            <w:top w:val="none" w:sz="0" w:space="0" w:color="auto"/>
            <w:left w:val="none" w:sz="0" w:space="0" w:color="auto"/>
            <w:bottom w:val="none" w:sz="0" w:space="0" w:color="auto"/>
            <w:right w:val="none" w:sz="0" w:space="0" w:color="auto"/>
          </w:divBdr>
        </w:div>
        <w:div w:id="483208721">
          <w:marLeft w:val="640"/>
          <w:marRight w:val="0"/>
          <w:marTop w:val="0"/>
          <w:marBottom w:val="0"/>
          <w:divBdr>
            <w:top w:val="none" w:sz="0" w:space="0" w:color="auto"/>
            <w:left w:val="none" w:sz="0" w:space="0" w:color="auto"/>
            <w:bottom w:val="none" w:sz="0" w:space="0" w:color="auto"/>
            <w:right w:val="none" w:sz="0" w:space="0" w:color="auto"/>
          </w:divBdr>
        </w:div>
        <w:div w:id="300115476">
          <w:marLeft w:val="640"/>
          <w:marRight w:val="0"/>
          <w:marTop w:val="0"/>
          <w:marBottom w:val="0"/>
          <w:divBdr>
            <w:top w:val="none" w:sz="0" w:space="0" w:color="auto"/>
            <w:left w:val="none" w:sz="0" w:space="0" w:color="auto"/>
            <w:bottom w:val="none" w:sz="0" w:space="0" w:color="auto"/>
            <w:right w:val="none" w:sz="0" w:space="0" w:color="auto"/>
          </w:divBdr>
        </w:div>
        <w:div w:id="371661883">
          <w:marLeft w:val="640"/>
          <w:marRight w:val="0"/>
          <w:marTop w:val="0"/>
          <w:marBottom w:val="0"/>
          <w:divBdr>
            <w:top w:val="none" w:sz="0" w:space="0" w:color="auto"/>
            <w:left w:val="none" w:sz="0" w:space="0" w:color="auto"/>
            <w:bottom w:val="none" w:sz="0" w:space="0" w:color="auto"/>
            <w:right w:val="none" w:sz="0" w:space="0" w:color="auto"/>
          </w:divBdr>
        </w:div>
        <w:div w:id="59450139">
          <w:marLeft w:val="640"/>
          <w:marRight w:val="0"/>
          <w:marTop w:val="0"/>
          <w:marBottom w:val="0"/>
          <w:divBdr>
            <w:top w:val="none" w:sz="0" w:space="0" w:color="auto"/>
            <w:left w:val="none" w:sz="0" w:space="0" w:color="auto"/>
            <w:bottom w:val="none" w:sz="0" w:space="0" w:color="auto"/>
            <w:right w:val="none" w:sz="0" w:space="0" w:color="auto"/>
          </w:divBdr>
        </w:div>
        <w:div w:id="415975201">
          <w:marLeft w:val="640"/>
          <w:marRight w:val="0"/>
          <w:marTop w:val="0"/>
          <w:marBottom w:val="0"/>
          <w:divBdr>
            <w:top w:val="none" w:sz="0" w:space="0" w:color="auto"/>
            <w:left w:val="none" w:sz="0" w:space="0" w:color="auto"/>
            <w:bottom w:val="none" w:sz="0" w:space="0" w:color="auto"/>
            <w:right w:val="none" w:sz="0" w:space="0" w:color="auto"/>
          </w:divBdr>
        </w:div>
        <w:div w:id="1821923986">
          <w:marLeft w:val="640"/>
          <w:marRight w:val="0"/>
          <w:marTop w:val="0"/>
          <w:marBottom w:val="0"/>
          <w:divBdr>
            <w:top w:val="none" w:sz="0" w:space="0" w:color="auto"/>
            <w:left w:val="none" w:sz="0" w:space="0" w:color="auto"/>
            <w:bottom w:val="none" w:sz="0" w:space="0" w:color="auto"/>
            <w:right w:val="none" w:sz="0" w:space="0" w:color="auto"/>
          </w:divBdr>
        </w:div>
        <w:div w:id="1907953244">
          <w:marLeft w:val="640"/>
          <w:marRight w:val="0"/>
          <w:marTop w:val="0"/>
          <w:marBottom w:val="0"/>
          <w:divBdr>
            <w:top w:val="none" w:sz="0" w:space="0" w:color="auto"/>
            <w:left w:val="none" w:sz="0" w:space="0" w:color="auto"/>
            <w:bottom w:val="none" w:sz="0" w:space="0" w:color="auto"/>
            <w:right w:val="none" w:sz="0" w:space="0" w:color="auto"/>
          </w:divBdr>
        </w:div>
        <w:div w:id="317420063">
          <w:marLeft w:val="640"/>
          <w:marRight w:val="0"/>
          <w:marTop w:val="0"/>
          <w:marBottom w:val="0"/>
          <w:divBdr>
            <w:top w:val="none" w:sz="0" w:space="0" w:color="auto"/>
            <w:left w:val="none" w:sz="0" w:space="0" w:color="auto"/>
            <w:bottom w:val="none" w:sz="0" w:space="0" w:color="auto"/>
            <w:right w:val="none" w:sz="0" w:space="0" w:color="auto"/>
          </w:divBdr>
        </w:div>
        <w:div w:id="514882982">
          <w:marLeft w:val="640"/>
          <w:marRight w:val="0"/>
          <w:marTop w:val="0"/>
          <w:marBottom w:val="0"/>
          <w:divBdr>
            <w:top w:val="none" w:sz="0" w:space="0" w:color="auto"/>
            <w:left w:val="none" w:sz="0" w:space="0" w:color="auto"/>
            <w:bottom w:val="none" w:sz="0" w:space="0" w:color="auto"/>
            <w:right w:val="none" w:sz="0" w:space="0" w:color="auto"/>
          </w:divBdr>
        </w:div>
        <w:div w:id="1664234058">
          <w:marLeft w:val="640"/>
          <w:marRight w:val="0"/>
          <w:marTop w:val="0"/>
          <w:marBottom w:val="0"/>
          <w:divBdr>
            <w:top w:val="none" w:sz="0" w:space="0" w:color="auto"/>
            <w:left w:val="none" w:sz="0" w:space="0" w:color="auto"/>
            <w:bottom w:val="none" w:sz="0" w:space="0" w:color="auto"/>
            <w:right w:val="none" w:sz="0" w:space="0" w:color="auto"/>
          </w:divBdr>
        </w:div>
        <w:div w:id="1045522760">
          <w:marLeft w:val="640"/>
          <w:marRight w:val="0"/>
          <w:marTop w:val="0"/>
          <w:marBottom w:val="0"/>
          <w:divBdr>
            <w:top w:val="none" w:sz="0" w:space="0" w:color="auto"/>
            <w:left w:val="none" w:sz="0" w:space="0" w:color="auto"/>
            <w:bottom w:val="none" w:sz="0" w:space="0" w:color="auto"/>
            <w:right w:val="none" w:sz="0" w:space="0" w:color="auto"/>
          </w:divBdr>
        </w:div>
        <w:div w:id="254830459">
          <w:marLeft w:val="640"/>
          <w:marRight w:val="0"/>
          <w:marTop w:val="0"/>
          <w:marBottom w:val="0"/>
          <w:divBdr>
            <w:top w:val="none" w:sz="0" w:space="0" w:color="auto"/>
            <w:left w:val="none" w:sz="0" w:space="0" w:color="auto"/>
            <w:bottom w:val="none" w:sz="0" w:space="0" w:color="auto"/>
            <w:right w:val="none" w:sz="0" w:space="0" w:color="auto"/>
          </w:divBdr>
        </w:div>
        <w:div w:id="955676540">
          <w:marLeft w:val="640"/>
          <w:marRight w:val="0"/>
          <w:marTop w:val="0"/>
          <w:marBottom w:val="0"/>
          <w:divBdr>
            <w:top w:val="none" w:sz="0" w:space="0" w:color="auto"/>
            <w:left w:val="none" w:sz="0" w:space="0" w:color="auto"/>
            <w:bottom w:val="none" w:sz="0" w:space="0" w:color="auto"/>
            <w:right w:val="none" w:sz="0" w:space="0" w:color="auto"/>
          </w:divBdr>
        </w:div>
        <w:div w:id="305353986">
          <w:marLeft w:val="640"/>
          <w:marRight w:val="0"/>
          <w:marTop w:val="0"/>
          <w:marBottom w:val="0"/>
          <w:divBdr>
            <w:top w:val="none" w:sz="0" w:space="0" w:color="auto"/>
            <w:left w:val="none" w:sz="0" w:space="0" w:color="auto"/>
            <w:bottom w:val="none" w:sz="0" w:space="0" w:color="auto"/>
            <w:right w:val="none" w:sz="0" w:space="0" w:color="auto"/>
          </w:divBdr>
        </w:div>
        <w:div w:id="636683313">
          <w:marLeft w:val="640"/>
          <w:marRight w:val="0"/>
          <w:marTop w:val="0"/>
          <w:marBottom w:val="0"/>
          <w:divBdr>
            <w:top w:val="none" w:sz="0" w:space="0" w:color="auto"/>
            <w:left w:val="none" w:sz="0" w:space="0" w:color="auto"/>
            <w:bottom w:val="none" w:sz="0" w:space="0" w:color="auto"/>
            <w:right w:val="none" w:sz="0" w:space="0" w:color="auto"/>
          </w:divBdr>
        </w:div>
        <w:div w:id="1387487762">
          <w:marLeft w:val="640"/>
          <w:marRight w:val="0"/>
          <w:marTop w:val="0"/>
          <w:marBottom w:val="0"/>
          <w:divBdr>
            <w:top w:val="none" w:sz="0" w:space="0" w:color="auto"/>
            <w:left w:val="none" w:sz="0" w:space="0" w:color="auto"/>
            <w:bottom w:val="none" w:sz="0" w:space="0" w:color="auto"/>
            <w:right w:val="none" w:sz="0" w:space="0" w:color="auto"/>
          </w:divBdr>
        </w:div>
        <w:div w:id="274363051">
          <w:marLeft w:val="640"/>
          <w:marRight w:val="0"/>
          <w:marTop w:val="0"/>
          <w:marBottom w:val="0"/>
          <w:divBdr>
            <w:top w:val="none" w:sz="0" w:space="0" w:color="auto"/>
            <w:left w:val="none" w:sz="0" w:space="0" w:color="auto"/>
            <w:bottom w:val="none" w:sz="0" w:space="0" w:color="auto"/>
            <w:right w:val="none" w:sz="0" w:space="0" w:color="auto"/>
          </w:divBdr>
        </w:div>
        <w:div w:id="350182820">
          <w:marLeft w:val="640"/>
          <w:marRight w:val="0"/>
          <w:marTop w:val="0"/>
          <w:marBottom w:val="0"/>
          <w:divBdr>
            <w:top w:val="none" w:sz="0" w:space="0" w:color="auto"/>
            <w:left w:val="none" w:sz="0" w:space="0" w:color="auto"/>
            <w:bottom w:val="none" w:sz="0" w:space="0" w:color="auto"/>
            <w:right w:val="none" w:sz="0" w:space="0" w:color="auto"/>
          </w:divBdr>
        </w:div>
        <w:div w:id="947591283">
          <w:marLeft w:val="640"/>
          <w:marRight w:val="0"/>
          <w:marTop w:val="0"/>
          <w:marBottom w:val="0"/>
          <w:divBdr>
            <w:top w:val="none" w:sz="0" w:space="0" w:color="auto"/>
            <w:left w:val="none" w:sz="0" w:space="0" w:color="auto"/>
            <w:bottom w:val="none" w:sz="0" w:space="0" w:color="auto"/>
            <w:right w:val="none" w:sz="0" w:space="0" w:color="auto"/>
          </w:divBdr>
        </w:div>
        <w:div w:id="2066753322">
          <w:marLeft w:val="640"/>
          <w:marRight w:val="0"/>
          <w:marTop w:val="0"/>
          <w:marBottom w:val="0"/>
          <w:divBdr>
            <w:top w:val="none" w:sz="0" w:space="0" w:color="auto"/>
            <w:left w:val="none" w:sz="0" w:space="0" w:color="auto"/>
            <w:bottom w:val="none" w:sz="0" w:space="0" w:color="auto"/>
            <w:right w:val="none" w:sz="0" w:space="0" w:color="auto"/>
          </w:divBdr>
        </w:div>
        <w:div w:id="1116675276">
          <w:marLeft w:val="640"/>
          <w:marRight w:val="0"/>
          <w:marTop w:val="0"/>
          <w:marBottom w:val="0"/>
          <w:divBdr>
            <w:top w:val="none" w:sz="0" w:space="0" w:color="auto"/>
            <w:left w:val="none" w:sz="0" w:space="0" w:color="auto"/>
            <w:bottom w:val="none" w:sz="0" w:space="0" w:color="auto"/>
            <w:right w:val="none" w:sz="0" w:space="0" w:color="auto"/>
          </w:divBdr>
        </w:div>
        <w:div w:id="364526581">
          <w:marLeft w:val="640"/>
          <w:marRight w:val="0"/>
          <w:marTop w:val="0"/>
          <w:marBottom w:val="0"/>
          <w:divBdr>
            <w:top w:val="none" w:sz="0" w:space="0" w:color="auto"/>
            <w:left w:val="none" w:sz="0" w:space="0" w:color="auto"/>
            <w:bottom w:val="none" w:sz="0" w:space="0" w:color="auto"/>
            <w:right w:val="none" w:sz="0" w:space="0" w:color="auto"/>
          </w:divBdr>
        </w:div>
        <w:div w:id="263926077">
          <w:marLeft w:val="640"/>
          <w:marRight w:val="0"/>
          <w:marTop w:val="0"/>
          <w:marBottom w:val="0"/>
          <w:divBdr>
            <w:top w:val="none" w:sz="0" w:space="0" w:color="auto"/>
            <w:left w:val="none" w:sz="0" w:space="0" w:color="auto"/>
            <w:bottom w:val="none" w:sz="0" w:space="0" w:color="auto"/>
            <w:right w:val="none" w:sz="0" w:space="0" w:color="auto"/>
          </w:divBdr>
        </w:div>
        <w:div w:id="1343778210">
          <w:marLeft w:val="640"/>
          <w:marRight w:val="0"/>
          <w:marTop w:val="0"/>
          <w:marBottom w:val="0"/>
          <w:divBdr>
            <w:top w:val="none" w:sz="0" w:space="0" w:color="auto"/>
            <w:left w:val="none" w:sz="0" w:space="0" w:color="auto"/>
            <w:bottom w:val="none" w:sz="0" w:space="0" w:color="auto"/>
            <w:right w:val="none" w:sz="0" w:space="0" w:color="auto"/>
          </w:divBdr>
        </w:div>
        <w:div w:id="434979491">
          <w:marLeft w:val="640"/>
          <w:marRight w:val="0"/>
          <w:marTop w:val="0"/>
          <w:marBottom w:val="0"/>
          <w:divBdr>
            <w:top w:val="none" w:sz="0" w:space="0" w:color="auto"/>
            <w:left w:val="none" w:sz="0" w:space="0" w:color="auto"/>
            <w:bottom w:val="none" w:sz="0" w:space="0" w:color="auto"/>
            <w:right w:val="none" w:sz="0" w:space="0" w:color="auto"/>
          </w:divBdr>
        </w:div>
        <w:div w:id="1229993683">
          <w:marLeft w:val="640"/>
          <w:marRight w:val="0"/>
          <w:marTop w:val="0"/>
          <w:marBottom w:val="0"/>
          <w:divBdr>
            <w:top w:val="none" w:sz="0" w:space="0" w:color="auto"/>
            <w:left w:val="none" w:sz="0" w:space="0" w:color="auto"/>
            <w:bottom w:val="none" w:sz="0" w:space="0" w:color="auto"/>
            <w:right w:val="none" w:sz="0" w:space="0" w:color="auto"/>
          </w:divBdr>
        </w:div>
        <w:div w:id="803960094">
          <w:marLeft w:val="640"/>
          <w:marRight w:val="0"/>
          <w:marTop w:val="0"/>
          <w:marBottom w:val="0"/>
          <w:divBdr>
            <w:top w:val="none" w:sz="0" w:space="0" w:color="auto"/>
            <w:left w:val="none" w:sz="0" w:space="0" w:color="auto"/>
            <w:bottom w:val="none" w:sz="0" w:space="0" w:color="auto"/>
            <w:right w:val="none" w:sz="0" w:space="0" w:color="auto"/>
          </w:divBdr>
        </w:div>
        <w:div w:id="914390863">
          <w:marLeft w:val="640"/>
          <w:marRight w:val="0"/>
          <w:marTop w:val="0"/>
          <w:marBottom w:val="0"/>
          <w:divBdr>
            <w:top w:val="none" w:sz="0" w:space="0" w:color="auto"/>
            <w:left w:val="none" w:sz="0" w:space="0" w:color="auto"/>
            <w:bottom w:val="none" w:sz="0" w:space="0" w:color="auto"/>
            <w:right w:val="none" w:sz="0" w:space="0" w:color="auto"/>
          </w:divBdr>
        </w:div>
        <w:div w:id="1801915930">
          <w:marLeft w:val="640"/>
          <w:marRight w:val="0"/>
          <w:marTop w:val="0"/>
          <w:marBottom w:val="0"/>
          <w:divBdr>
            <w:top w:val="none" w:sz="0" w:space="0" w:color="auto"/>
            <w:left w:val="none" w:sz="0" w:space="0" w:color="auto"/>
            <w:bottom w:val="none" w:sz="0" w:space="0" w:color="auto"/>
            <w:right w:val="none" w:sz="0" w:space="0" w:color="auto"/>
          </w:divBdr>
        </w:div>
        <w:div w:id="1649285238">
          <w:marLeft w:val="640"/>
          <w:marRight w:val="0"/>
          <w:marTop w:val="0"/>
          <w:marBottom w:val="0"/>
          <w:divBdr>
            <w:top w:val="none" w:sz="0" w:space="0" w:color="auto"/>
            <w:left w:val="none" w:sz="0" w:space="0" w:color="auto"/>
            <w:bottom w:val="none" w:sz="0" w:space="0" w:color="auto"/>
            <w:right w:val="none" w:sz="0" w:space="0" w:color="auto"/>
          </w:divBdr>
        </w:div>
        <w:div w:id="788940214">
          <w:marLeft w:val="640"/>
          <w:marRight w:val="0"/>
          <w:marTop w:val="0"/>
          <w:marBottom w:val="0"/>
          <w:divBdr>
            <w:top w:val="none" w:sz="0" w:space="0" w:color="auto"/>
            <w:left w:val="none" w:sz="0" w:space="0" w:color="auto"/>
            <w:bottom w:val="none" w:sz="0" w:space="0" w:color="auto"/>
            <w:right w:val="none" w:sz="0" w:space="0" w:color="auto"/>
          </w:divBdr>
        </w:div>
        <w:div w:id="2033189233">
          <w:marLeft w:val="640"/>
          <w:marRight w:val="0"/>
          <w:marTop w:val="0"/>
          <w:marBottom w:val="0"/>
          <w:divBdr>
            <w:top w:val="none" w:sz="0" w:space="0" w:color="auto"/>
            <w:left w:val="none" w:sz="0" w:space="0" w:color="auto"/>
            <w:bottom w:val="none" w:sz="0" w:space="0" w:color="auto"/>
            <w:right w:val="none" w:sz="0" w:space="0" w:color="auto"/>
          </w:divBdr>
        </w:div>
        <w:div w:id="2146653129">
          <w:marLeft w:val="640"/>
          <w:marRight w:val="0"/>
          <w:marTop w:val="0"/>
          <w:marBottom w:val="0"/>
          <w:divBdr>
            <w:top w:val="none" w:sz="0" w:space="0" w:color="auto"/>
            <w:left w:val="none" w:sz="0" w:space="0" w:color="auto"/>
            <w:bottom w:val="none" w:sz="0" w:space="0" w:color="auto"/>
            <w:right w:val="none" w:sz="0" w:space="0" w:color="auto"/>
          </w:divBdr>
        </w:div>
        <w:div w:id="2077436023">
          <w:marLeft w:val="640"/>
          <w:marRight w:val="0"/>
          <w:marTop w:val="0"/>
          <w:marBottom w:val="0"/>
          <w:divBdr>
            <w:top w:val="none" w:sz="0" w:space="0" w:color="auto"/>
            <w:left w:val="none" w:sz="0" w:space="0" w:color="auto"/>
            <w:bottom w:val="none" w:sz="0" w:space="0" w:color="auto"/>
            <w:right w:val="none" w:sz="0" w:space="0" w:color="auto"/>
          </w:divBdr>
        </w:div>
        <w:div w:id="751314832">
          <w:marLeft w:val="640"/>
          <w:marRight w:val="0"/>
          <w:marTop w:val="0"/>
          <w:marBottom w:val="0"/>
          <w:divBdr>
            <w:top w:val="none" w:sz="0" w:space="0" w:color="auto"/>
            <w:left w:val="none" w:sz="0" w:space="0" w:color="auto"/>
            <w:bottom w:val="none" w:sz="0" w:space="0" w:color="auto"/>
            <w:right w:val="none" w:sz="0" w:space="0" w:color="auto"/>
          </w:divBdr>
        </w:div>
        <w:div w:id="1295333869">
          <w:marLeft w:val="640"/>
          <w:marRight w:val="0"/>
          <w:marTop w:val="0"/>
          <w:marBottom w:val="0"/>
          <w:divBdr>
            <w:top w:val="none" w:sz="0" w:space="0" w:color="auto"/>
            <w:left w:val="none" w:sz="0" w:space="0" w:color="auto"/>
            <w:bottom w:val="none" w:sz="0" w:space="0" w:color="auto"/>
            <w:right w:val="none" w:sz="0" w:space="0" w:color="auto"/>
          </w:divBdr>
        </w:div>
        <w:div w:id="1177040207">
          <w:marLeft w:val="640"/>
          <w:marRight w:val="0"/>
          <w:marTop w:val="0"/>
          <w:marBottom w:val="0"/>
          <w:divBdr>
            <w:top w:val="none" w:sz="0" w:space="0" w:color="auto"/>
            <w:left w:val="none" w:sz="0" w:space="0" w:color="auto"/>
            <w:bottom w:val="none" w:sz="0" w:space="0" w:color="auto"/>
            <w:right w:val="none" w:sz="0" w:space="0" w:color="auto"/>
          </w:divBdr>
        </w:div>
        <w:div w:id="89666774">
          <w:marLeft w:val="640"/>
          <w:marRight w:val="0"/>
          <w:marTop w:val="0"/>
          <w:marBottom w:val="0"/>
          <w:divBdr>
            <w:top w:val="none" w:sz="0" w:space="0" w:color="auto"/>
            <w:left w:val="none" w:sz="0" w:space="0" w:color="auto"/>
            <w:bottom w:val="none" w:sz="0" w:space="0" w:color="auto"/>
            <w:right w:val="none" w:sz="0" w:space="0" w:color="auto"/>
          </w:divBdr>
        </w:div>
        <w:div w:id="1070693772">
          <w:marLeft w:val="640"/>
          <w:marRight w:val="0"/>
          <w:marTop w:val="0"/>
          <w:marBottom w:val="0"/>
          <w:divBdr>
            <w:top w:val="none" w:sz="0" w:space="0" w:color="auto"/>
            <w:left w:val="none" w:sz="0" w:space="0" w:color="auto"/>
            <w:bottom w:val="none" w:sz="0" w:space="0" w:color="auto"/>
            <w:right w:val="none" w:sz="0" w:space="0" w:color="auto"/>
          </w:divBdr>
        </w:div>
        <w:div w:id="131604492">
          <w:marLeft w:val="640"/>
          <w:marRight w:val="0"/>
          <w:marTop w:val="0"/>
          <w:marBottom w:val="0"/>
          <w:divBdr>
            <w:top w:val="none" w:sz="0" w:space="0" w:color="auto"/>
            <w:left w:val="none" w:sz="0" w:space="0" w:color="auto"/>
            <w:bottom w:val="none" w:sz="0" w:space="0" w:color="auto"/>
            <w:right w:val="none" w:sz="0" w:space="0" w:color="auto"/>
          </w:divBdr>
        </w:div>
        <w:div w:id="1275361271">
          <w:marLeft w:val="640"/>
          <w:marRight w:val="0"/>
          <w:marTop w:val="0"/>
          <w:marBottom w:val="0"/>
          <w:divBdr>
            <w:top w:val="none" w:sz="0" w:space="0" w:color="auto"/>
            <w:left w:val="none" w:sz="0" w:space="0" w:color="auto"/>
            <w:bottom w:val="none" w:sz="0" w:space="0" w:color="auto"/>
            <w:right w:val="none" w:sz="0" w:space="0" w:color="auto"/>
          </w:divBdr>
        </w:div>
        <w:div w:id="453409666">
          <w:marLeft w:val="640"/>
          <w:marRight w:val="0"/>
          <w:marTop w:val="0"/>
          <w:marBottom w:val="0"/>
          <w:divBdr>
            <w:top w:val="none" w:sz="0" w:space="0" w:color="auto"/>
            <w:left w:val="none" w:sz="0" w:space="0" w:color="auto"/>
            <w:bottom w:val="none" w:sz="0" w:space="0" w:color="auto"/>
            <w:right w:val="none" w:sz="0" w:space="0" w:color="auto"/>
          </w:divBdr>
        </w:div>
        <w:div w:id="423914524">
          <w:marLeft w:val="640"/>
          <w:marRight w:val="0"/>
          <w:marTop w:val="0"/>
          <w:marBottom w:val="0"/>
          <w:divBdr>
            <w:top w:val="none" w:sz="0" w:space="0" w:color="auto"/>
            <w:left w:val="none" w:sz="0" w:space="0" w:color="auto"/>
            <w:bottom w:val="none" w:sz="0" w:space="0" w:color="auto"/>
            <w:right w:val="none" w:sz="0" w:space="0" w:color="auto"/>
          </w:divBdr>
        </w:div>
        <w:div w:id="839933907">
          <w:marLeft w:val="640"/>
          <w:marRight w:val="0"/>
          <w:marTop w:val="0"/>
          <w:marBottom w:val="0"/>
          <w:divBdr>
            <w:top w:val="none" w:sz="0" w:space="0" w:color="auto"/>
            <w:left w:val="none" w:sz="0" w:space="0" w:color="auto"/>
            <w:bottom w:val="none" w:sz="0" w:space="0" w:color="auto"/>
            <w:right w:val="none" w:sz="0" w:space="0" w:color="auto"/>
          </w:divBdr>
        </w:div>
        <w:div w:id="467624722">
          <w:marLeft w:val="640"/>
          <w:marRight w:val="0"/>
          <w:marTop w:val="0"/>
          <w:marBottom w:val="0"/>
          <w:divBdr>
            <w:top w:val="none" w:sz="0" w:space="0" w:color="auto"/>
            <w:left w:val="none" w:sz="0" w:space="0" w:color="auto"/>
            <w:bottom w:val="none" w:sz="0" w:space="0" w:color="auto"/>
            <w:right w:val="none" w:sz="0" w:space="0" w:color="auto"/>
          </w:divBdr>
        </w:div>
        <w:div w:id="1966500188">
          <w:marLeft w:val="640"/>
          <w:marRight w:val="0"/>
          <w:marTop w:val="0"/>
          <w:marBottom w:val="0"/>
          <w:divBdr>
            <w:top w:val="none" w:sz="0" w:space="0" w:color="auto"/>
            <w:left w:val="none" w:sz="0" w:space="0" w:color="auto"/>
            <w:bottom w:val="none" w:sz="0" w:space="0" w:color="auto"/>
            <w:right w:val="none" w:sz="0" w:space="0" w:color="auto"/>
          </w:divBdr>
        </w:div>
        <w:div w:id="388113078">
          <w:marLeft w:val="640"/>
          <w:marRight w:val="0"/>
          <w:marTop w:val="0"/>
          <w:marBottom w:val="0"/>
          <w:divBdr>
            <w:top w:val="none" w:sz="0" w:space="0" w:color="auto"/>
            <w:left w:val="none" w:sz="0" w:space="0" w:color="auto"/>
            <w:bottom w:val="none" w:sz="0" w:space="0" w:color="auto"/>
            <w:right w:val="none" w:sz="0" w:space="0" w:color="auto"/>
          </w:divBdr>
        </w:div>
        <w:div w:id="1661041545">
          <w:marLeft w:val="640"/>
          <w:marRight w:val="0"/>
          <w:marTop w:val="0"/>
          <w:marBottom w:val="0"/>
          <w:divBdr>
            <w:top w:val="none" w:sz="0" w:space="0" w:color="auto"/>
            <w:left w:val="none" w:sz="0" w:space="0" w:color="auto"/>
            <w:bottom w:val="none" w:sz="0" w:space="0" w:color="auto"/>
            <w:right w:val="none" w:sz="0" w:space="0" w:color="auto"/>
          </w:divBdr>
        </w:div>
        <w:div w:id="1466314189">
          <w:marLeft w:val="640"/>
          <w:marRight w:val="0"/>
          <w:marTop w:val="0"/>
          <w:marBottom w:val="0"/>
          <w:divBdr>
            <w:top w:val="none" w:sz="0" w:space="0" w:color="auto"/>
            <w:left w:val="none" w:sz="0" w:space="0" w:color="auto"/>
            <w:bottom w:val="none" w:sz="0" w:space="0" w:color="auto"/>
            <w:right w:val="none" w:sz="0" w:space="0" w:color="auto"/>
          </w:divBdr>
        </w:div>
        <w:div w:id="984773865">
          <w:marLeft w:val="640"/>
          <w:marRight w:val="0"/>
          <w:marTop w:val="0"/>
          <w:marBottom w:val="0"/>
          <w:divBdr>
            <w:top w:val="none" w:sz="0" w:space="0" w:color="auto"/>
            <w:left w:val="none" w:sz="0" w:space="0" w:color="auto"/>
            <w:bottom w:val="none" w:sz="0" w:space="0" w:color="auto"/>
            <w:right w:val="none" w:sz="0" w:space="0" w:color="auto"/>
          </w:divBdr>
        </w:div>
        <w:div w:id="887423873">
          <w:marLeft w:val="640"/>
          <w:marRight w:val="0"/>
          <w:marTop w:val="0"/>
          <w:marBottom w:val="0"/>
          <w:divBdr>
            <w:top w:val="none" w:sz="0" w:space="0" w:color="auto"/>
            <w:left w:val="none" w:sz="0" w:space="0" w:color="auto"/>
            <w:bottom w:val="none" w:sz="0" w:space="0" w:color="auto"/>
            <w:right w:val="none" w:sz="0" w:space="0" w:color="auto"/>
          </w:divBdr>
        </w:div>
        <w:div w:id="775641475">
          <w:marLeft w:val="640"/>
          <w:marRight w:val="0"/>
          <w:marTop w:val="0"/>
          <w:marBottom w:val="0"/>
          <w:divBdr>
            <w:top w:val="none" w:sz="0" w:space="0" w:color="auto"/>
            <w:left w:val="none" w:sz="0" w:space="0" w:color="auto"/>
            <w:bottom w:val="none" w:sz="0" w:space="0" w:color="auto"/>
            <w:right w:val="none" w:sz="0" w:space="0" w:color="auto"/>
          </w:divBdr>
        </w:div>
        <w:div w:id="947926059">
          <w:marLeft w:val="640"/>
          <w:marRight w:val="0"/>
          <w:marTop w:val="0"/>
          <w:marBottom w:val="0"/>
          <w:divBdr>
            <w:top w:val="none" w:sz="0" w:space="0" w:color="auto"/>
            <w:left w:val="none" w:sz="0" w:space="0" w:color="auto"/>
            <w:bottom w:val="none" w:sz="0" w:space="0" w:color="auto"/>
            <w:right w:val="none" w:sz="0" w:space="0" w:color="auto"/>
          </w:divBdr>
        </w:div>
        <w:div w:id="1987657976">
          <w:marLeft w:val="640"/>
          <w:marRight w:val="0"/>
          <w:marTop w:val="0"/>
          <w:marBottom w:val="0"/>
          <w:divBdr>
            <w:top w:val="none" w:sz="0" w:space="0" w:color="auto"/>
            <w:left w:val="none" w:sz="0" w:space="0" w:color="auto"/>
            <w:bottom w:val="none" w:sz="0" w:space="0" w:color="auto"/>
            <w:right w:val="none" w:sz="0" w:space="0" w:color="auto"/>
          </w:divBdr>
        </w:div>
        <w:div w:id="309795548">
          <w:marLeft w:val="640"/>
          <w:marRight w:val="0"/>
          <w:marTop w:val="0"/>
          <w:marBottom w:val="0"/>
          <w:divBdr>
            <w:top w:val="none" w:sz="0" w:space="0" w:color="auto"/>
            <w:left w:val="none" w:sz="0" w:space="0" w:color="auto"/>
            <w:bottom w:val="none" w:sz="0" w:space="0" w:color="auto"/>
            <w:right w:val="none" w:sz="0" w:space="0" w:color="auto"/>
          </w:divBdr>
        </w:div>
        <w:div w:id="1721830184">
          <w:marLeft w:val="640"/>
          <w:marRight w:val="0"/>
          <w:marTop w:val="0"/>
          <w:marBottom w:val="0"/>
          <w:divBdr>
            <w:top w:val="none" w:sz="0" w:space="0" w:color="auto"/>
            <w:left w:val="none" w:sz="0" w:space="0" w:color="auto"/>
            <w:bottom w:val="none" w:sz="0" w:space="0" w:color="auto"/>
            <w:right w:val="none" w:sz="0" w:space="0" w:color="auto"/>
          </w:divBdr>
        </w:div>
        <w:div w:id="1597129155">
          <w:marLeft w:val="640"/>
          <w:marRight w:val="0"/>
          <w:marTop w:val="0"/>
          <w:marBottom w:val="0"/>
          <w:divBdr>
            <w:top w:val="none" w:sz="0" w:space="0" w:color="auto"/>
            <w:left w:val="none" w:sz="0" w:space="0" w:color="auto"/>
            <w:bottom w:val="none" w:sz="0" w:space="0" w:color="auto"/>
            <w:right w:val="none" w:sz="0" w:space="0" w:color="auto"/>
          </w:divBdr>
        </w:div>
        <w:div w:id="89468211">
          <w:marLeft w:val="640"/>
          <w:marRight w:val="0"/>
          <w:marTop w:val="0"/>
          <w:marBottom w:val="0"/>
          <w:divBdr>
            <w:top w:val="none" w:sz="0" w:space="0" w:color="auto"/>
            <w:left w:val="none" w:sz="0" w:space="0" w:color="auto"/>
            <w:bottom w:val="none" w:sz="0" w:space="0" w:color="auto"/>
            <w:right w:val="none" w:sz="0" w:space="0" w:color="auto"/>
          </w:divBdr>
        </w:div>
        <w:div w:id="594480212">
          <w:marLeft w:val="640"/>
          <w:marRight w:val="0"/>
          <w:marTop w:val="0"/>
          <w:marBottom w:val="0"/>
          <w:divBdr>
            <w:top w:val="none" w:sz="0" w:space="0" w:color="auto"/>
            <w:left w:val="none" w:sz="0" w:space="0" w:color="auto"/>
            <w:bottom w:val="none" w:sz="0" w:space="0" w:color="auto"/>
            <w:right w:val="none" w:sz="0" w:space="0" w:color="auto"/>
          </w:divBdr>
        </w:div>
        <w:div w:id="751510376">
          <w:marLeft w:val="640"/>
          <w:marRight w:val="0"/>
          <w:marTop w:val="0"/>
          <w:marBottom w:val="0"/>
          <w:divBdr>
            <w:top w:val="none" w:sz="0" w:space="0" w:color="auto"/>
            <w:left w:val="none" w:sz="0" w:space="0" w:color="auto"/>
            <w:bottom w:val="none" w:sz="0" w:space="0" w:color="auto"/>
            <w:right w:val="none" w:sz="0" w:space="0" w:color="auto"/>
          </w:divBdr>
        </w:div>
        <w:div w:id="628172311">
          <w:marLeft w:val="640"/>
          <w:marRight w:val="0"/>
          <w:marTop w:val="0"/>
          <w:marBottom w:val="0"/>
          <w:divBdr>
            <w:top w:val="none" w:sz="0" w:space="0" w:color="auto"/>
            <w:left w:val="none" w:sz="0" w:space="0" w:color="auto"/>
            <w:bottom w:val="none" w:sz="0" w:space="0" w:color="auto"/>
            <w:right w:val="none" w:sz="0" w:space="0" w:color="auto"/>
          </w:divBdr>
        </w:div>
        <w:div w:id="160657385">
          <w:marLeft w:val="640"/>
          <w:marRight w:val="0"/>
          <w:marTop w:val="0"/>
          <w:marBottom w:val="0"/>
          <w:divBdr>
            <w:top w:val="none" w:sz="0" w:space="0" w:color="auto"/>
            <w:left w:val="none" w:sz="0" w:space="0" w:color="auto"/>
            <w:bottom w:val="none" w:sz="0" w:space="0" w:color="auto"/>
            <w:right w:val="none" w:sz="0" w:space="0" w:color="auto"/>
          </w:divBdr>
        </w:div>
        <w:div w:id="1694376428">
          <w:marLeft w:val="640"/>
          <w:marRight w:val="0"/>
          <w:marTop w:val="0"/>
          <w:marBottom w:val="0"/>
          <w:divBdr>
            <w:top w:val="none" w:sz="0" w:space="0" w:color="auto"/>
            <w:left w:val="none" w:sz="0" w:space="0" w:color="auto"/>
            <w:bottom w:val="none" w:sz="0" w:space="0" w:color="auto"/>
            <w:right w:val="none" w:sz="0" w:space="0" w:color="auto"/>
          </w:divBdr>
        </w:div>
        <w:div w:id="48456971">
          <w:marLeft w:val="640"/>
          <w:marRight w:val="0"/>
          <w:marTop w:val="0"/>
          <w:marBottom w:val="0"/>
          <w:divBdr>
            <w:top w:val="none" w:sz="0" w:space="0" w:color="auto"/>
            <w:left w:val="none" w:sz="0" w:space="0" w:color="auto"/>
            <w:bottom w:val="none" w:sz="0" w:space="0" w:color="auto"/>
            <w:right w:val="none" w:sz="0" w:space="0" w:color="auto"/>
          </w:divBdr>
        </w:div>
        <w:div w:id="352727737">
          <w:marLeft w:val="640"/>
          <w:marRight w:val="0"/>
          <w:marTop w:val="0"/>
          <w:marBottom w:val="0"/>
          <w:divBdr>
            <w:top w:val="none" w:sz="0" w:space="0" w:color="auto"/>
            <w:left w:val="none" w:sz="0" w:space="0" w:color="auto"/>
            <w:bottom w:val="none" w:sz="0" w:space="0" w:color="auto"/>
            <w:right w:val="none" w:sz="0" w:space="0" w:color="auto"/>
          </w:divBdr>
        </w:div>
        <w:div w:id="1082532210">
          <w:marLeft w:val="640"/>
          <w:marRight w:val="0"/>
          <w:marTop w:val="0"/>
          <w:marBottom w:val="0"/>
          <w:divBdr>
            <w:top w:val="none" w:sz="0" w:space="0" w:color="auto"/>
            <w:left w:val="none" w:sz="0" w:space="0" w:color="auto"/>
            <w:bottom w:val="none" w:sz="0" w:space="0" w:color="auto"/>
            <w:right w:val="none" w:sz="0" w:space="0" w:color="auto"/>
          </w:divBdr>
        </w:div>
        <w:div w:id="712726675">
          <w:marLeft w:val="640"/>
          <w:marRight w:val="0"/>
          <w:marTop w:val="0"/>
          <w:marBottom w:val="0"/>
          <w:divBdr>
            <w:top w:val="none" w:sz="0" w:space="0" w:color="auto"/>
            <w:left w:val="none" w:sz="0" w:space="0" w:color="auto"/>
            <w:bottom w:val="none" w:sz="0" w:space="0" w:color="auto"/>
            <w:right w:val="none" w:sz="0" w:space="0" w:color="auto"/>
          </w:divBdr>
        </w:div>
        <w:div w:id="815074500">
          <w:marLeft w:val="640"/>
          <w:marRight w:val="0"/>
          <w:marTop w:val="0"/>
          <w:marBottom w:val="0"/>
          <w:divBdr>
            <w:top w:val="none" w:sz="0" w:space="0" w:color="auto"/>
            <w:left w:val="none" w:sz="0" w:space="0" w:color="auto"/>
            <w:bottom w:val="none" w:sz="0" w:space="0" w:color="auto"/>
            <w:right w:val="none" w:sz="0" w:space="0" w:color="auto"/>
          </w:divBdr>
        </w:div>
        <w:div w:id="257447741">
          <w:marLeft w:val="640"/>
          <w:marRight w:val="0"/>
          <w:marTop w:val="0"/>
          <w:marBottom w:val="0"/>
          <w:divBdr>
            <w:top w:val="none" w:sz="0" w:space="0" w:color="auto"/>
            <w:left w:val="none" w:sz="0" w:space="0" w:color="auto"/>
            <w:bottom w:val="none" w:sz="0" w:space="0" w:color="auto"/>
            <w:right w:val="none" w:sz="0" w:space="0" w:color="auto"/>
          </w:divBdr>
        </w:div>
        <w:div w:id="1114908464">
          <w:marLeft w:val="640"/>
          <w:marRight w:val="0"/>
          <w:marTop w:val="0"/>
          <w:marBottom w:val="0"/>
          <w:divBdr>
            <w:top w:val="none" w:sz="0" w:space="0" w:color="auto"/>
            <w:left w:val="none" w:sz="0" w:space="0" w:color="auto"/>
            <w:bottom w:val="none" w:sz="0" w:space="0" w:color="auto"/>
            <w:right w:val="none" w:sz="0" w:space="0" w:color="auto"/>
          </w:divBdr>
        </w:div>
        <w:div w:id="1958102791">
          <w:marLeft w:val="640"/>
          <w:marRight w:val="0"/>
          <w:marTop w:val="0"/>
          <w:marBottom w:val="0"/>
          <w:divBdr>
            <w:top w:val="none" w:sz="0" w:space="0" w:color="auto"/>
            <w:left w:val="none" w:sz="0" w:space="0" w:color="auto"/>
            <w:bottom w:val="none" w:sz="0" w:space="0" w:color="auto"/>
            <w:right w:val="none" w:sz="0" w:space="0" w:color="auto"/>
          </w:divBdr>
        </w:div>
        <w:div w:id="1690789571">
          <w:marLeft w:val="640"/>
          <w:marRight w:val="0"/>
          <w:marTop w:val="0"/>
          <w:marBottom w:val="0"/>
          <w:divBdr>
            <w:top w:val="none" w:sz="0" w:space="0" w:color="auto"/>
            <w:left w:val="none" w:sz="0" w:space="0" w:color="auto"/>
            <w:bottom w:val="none" w:sz="0" w:space="0" w:color="auto"/>
            <w:right w:val="none" w:sz="0" w:space="0" w:color="auto"/>
          </w:divBdr>
        </w:div>
        <w:div w:id="1301807401">
          <w:marLeft w:val="640"/>
          <w:marRight w:val="0"/>
          <w:marTop w:val="0"/>
          <w:marBottom w:val="0"/>
          <w:divBdr>
            <w:top w:val="none" w:sz="0" w:space="0" w:color="auto"/>
            <w:left w:val="none" w:sz="0" w:space="0" w:color="auto"/>
            <w:bottom w:val="none" w:sz="0" w:space="0" w:color="auto"/>
            <w:right w:val="none" w:sz="0" w:space="0" w:color="auto"/>
          </w:divBdr>
        </w:div>
        <w:div w:id="687560940">
          <w:marLeft w:val="640"/>
          <w:marRight w:val="0"/>
          <w:marTop w:val="0"/>
          <w:marBottom w:val="0"/>
          <w:divBdr>
            <w:top w:val="none" w:sz="0" w:space="0" w:color="auto"/>
            <w:left w:val="none" w:sz="0" w:space="0" w:color="auto"/>
            <w:bottom w:val="none" w:sz="0" w:space="0" w:color="auto"/>
            <w:right w:val="none" w:sz="0" w:space="0" w:color="auto"/>
          </w:divBdr>
        </w:div>
        <w:div w:id="568804418">
          <w:marLeft w:val="640"/>
          <w:marRight w:val="0"/>
          <w:marTop w:val="0"/>
          <w:marBottom w:val="0"/>
          <w:divBdr>
            <w:top w:val="none" w:sz="0" w:space="0" w:color="auto"/>
            <w:left w:val="none" w:sz="0" w:space="0" w:color="auto"/>
            <w:bottom w:val="none" w:sz="0" w:space="0" w:color="auto"/>
            <w:right w:val="none" w:sz="0" w:space="0" w:color="auto"/>
          </w:divBdr>
        </w:div>
        <w:div w:id="751708418">
          <w:marLeft w:val="640"/>
          <w:marRight w:val="0"/>
          <w:marTop w:val="0"/>
          <w:marBottom w:val="0"/>
          <w:divBdr>
            <w:top w:val="none" w:sz="0" w:space="0" w:color="auto"/>
            <w:left w:val="none" w:sz="0" w:space="0" w:color="auto"/>
            <w:bottom w:val="none" w:sz="0" w:space="0" w:color="auto"/>
            <w:right w:val="none" w:sz="0" w:space="0" w:color="auto"/>
          </w:divBdr>
        </w:div>
        <w:div w:id="1268081284">
          <w:marLeft w:val="640"/>
          <w:marRight w:val="0"/>
          <w:marTop w:val="0"/>
          <w:marBottom w:val="0"/>
          <w:divBdr>
            <w:top w:val="none" w:sz="0" w:space="0" w:color="auto"/>
            <w:left w:val="none" w:sz="0" w:space="0" w:color="auto"/>
            <w:bottom w:val="none" w:sz="0" w:space="0" w:color="auto"/>
            <w:right w:val="none" w:sz="0" w:space="0" w:color="auto"/>
          </w:divBdr>
        </w:div>
        <w:div w:id="1445269216">
          <w:marLeft w:val="640"/>
          <w:marRight w:val="0"/>
          <w:marTop w:val="0"/>
          <w:marBottom w:val="0"/>
          <w:divBdr>
            <w:top w:val="none" w:sz="0" w:space="0" w:color="auto"/>
            <w:left w:val="none" w:sz="0" w:space="0" w:color="auto"/>
            <w:bottom w:val="none" w:sz="0" w:space="0" w:color="auto"/>
            <w:right w:val="none" w:sz="0" w:space="0" w:color="auto"/>
          </w:divBdr>
        </w:div>
        <w:div w:id="1992784271">
          <w:marLeft w:val="640"/>
          <w:marRight w:val="0"/>
          <w:marTop w:val="0"/>
          <w:marBottom w:val="0"/>
          <w:divBdr>
            <w:top w:val="none" w:sz="0" w:space="0" w:color="auto"/>
            <w:left w:val="none" w:sz="0" w:space="0" w:color="auto"/>
            <w:bottom w:val="none" w:sz="0" w:space="0" w:color="auto"/>
            <w:right w:val="none" w:sz="0" w:space="0" w:color="auto"/>
          </w:divBdr>
        </w:div>
        <w:div w:id="1212881394">
          <w:marLeft w:val="640"/>
          <w:marRight w:val="0"/>
          <w:marTop w:val="0"/>
          <w:marBottom w:val="0"/>
          <w:divBdr>
            <w:top w:val="none" w:sz="0" w:space="0" w:color="auto"/>
            <w:left w:val="none" w:sz="0" w:space="0" w:color="auto"/>
            <w:bottom w:val="none" w:sz="0" w:space="0" w:color="auto"/>
            <w:right w:val="none" w:sz="0" w:space="0" w:color="auto"/>
          </w:divBdr>
        </w:div>
        <w:div w:id="2044281241">
          <w:marLeft w:val="640"/>
          <w:marRight w:val="0"/>
          <w:marTop w:val="0"/>
          <w:marBottom w:val="0"/>
          <w:divBdr>
            <w:top w:val="none" w:sz="0" w:space="0" w:color="auto"/>
            <w:left w:val="none" w:sz="0" w:space="0" w:color="auto"/>
            <w:bottom w:val="none" w:sz="0" w:space="0" w:color="auto"/>
            <w:right w:val="none" w:sz="0" w:space="0" w:color="auto"/>
          </w:divBdr>
        </w:div>
        <w:div w:id="2105344450">
          <w:marLeft w:val="640"/>
          <w:marRight w:val="0"/>
          <w:marTop w:val="0"/>
          <w:marBottom w:val="0"/>
          <w:divBdr>
            <w:top w:val="none" w:sz="0" w:space="0" w:color="auto"/>
            <w:left w:val="none" w:sz="0" w:space="0" w:color="auto"/>
            <w:bottom w:val="none" w:sz="0" w:space="0" w:color="auto"/>
            <w:right w:val="none" w:sz="0" w:space="0" w:color="auto"/>
          </w:divBdr>
        </w:div>
        <w:div w:id="1083725976">
          <w:marLeft w:val="640"/>
          <w:marRight w:val="0"/>
          <w:marTop w:val="0"/>
          <w:marBottom w:val="0"/>
          <w:divBdr>
            <w:top w:val="none" w:sz="0" w:space="0" w:color="auto"/>
            <w:left w:val="none" w:sz="0" w:space="0" w:color="auto"/>
            <w:bottom w:val="none" w:sz="0" w:space="0" w:color="auto"/>
            <w:right w:val="none" w:sz="0" w:space="0" w:color="auto"/>
          </w:divBdr>
        </w:div>
        <w:div w:id="1081803627">
          <w:marLeft w:val="640"/>
          <w:marRight w:val="0"/>
          <w:marTop w:val="0"/>
          <w:marBottom w:val="0"/>
          <w:divBdr>
            <w:top w:val="none" w:sz="0" w:space="0" w:color="auto"/>
            <w:left w:val="none" w:sz="0" w:space="0" w:color="auto"/>
            <w:bottom w:val="none" w:sz="0" w:space="0" w:color="auto"/>
            <w:right w:val="none" w:sz="0" w:space="0" w:color="auto"/>
          </w:divBdr>
        </w:div>
        <w:div w:id="202601830">
          <w:marLeft w:val="640"/>
          <w:marRight w:val="0"/>
          <w:marTop w:val="0"/>
          <w:marBottom w:val="0"/>
          <w:divBdr>
            <w:top w:val="none" w:sz="0" w:space="0" w:color="auto"/>
            <w:left w:val="none" w:sz="0" w:space="0" w:color="auto"/>
            <w:bottom w:val="none" w:sz="0" w:space="0" w:color="auto"/>
            <w:right w:val="none" w:sz="0" w:space="0" w:color="auto"/>
          </w:divBdr>
        </w:div>
        <w:div w:id="254025149">
          <w:marLeft w:val="640"/>
          <w:marRight w:val="0"/>
          <w:marTop w:val="0"/>
          <w:marBottom w:val="0"/>
          <w:divBdr>
            <w:top w:val="none" w:sz="0" w:space="0" w:color="auto"/>
            <w:left w:val="none" w:sz="0" w:space="0" w:color="auto"/>
            <w:bottom w:val="none" w:sz="0" w:space="0" w:color="auto"/>
            <w:right w:val="none" w:sz="0" w:space="0" w:color="auto"/>
          </w:divBdr>
        </w:div>
        <w:div w:id="1792899345">
          <w:marLeft w:val="640"/>
          <w:marRight w:val="0"/>
          <w:marTop w:val="0"/>
          <w:marBottom w:val="0"/>
          <w:divBdr>
            <w:top w:val="none" w:sz="0" w:space="0" w:color="auto"/>
            <w:left w:val="none" w:sz="0" w:space="0" w:color="auto"/>
            <w:bottom w:val="none" w:sz="0" w:space="0" w:color="auto"/>
            <w:right w:val="none" w:sz="0" w:space="0" w:color="auto"/>
          </w:divBdr>
        </w:div>
        <w:div w:id="1758162572">
          <w:marLeft w:val="640"/>
          <w:marRight w:val="0"/>
          <w:marTop w:val="0"/>
          <w:marBottom w:val="0"/>
          <w:divBdr>
            <w:top w:val="none" w:sz="0" w:space="0" w:color="auto"/>
            <w:left w:val="none" w:sz="0" w:space="0" w:color="auto"/>
            <w:bottom w:val="none" w:sz="0" w:space="0" w:color="auto"/>
            <w:right w:val="none" w:sz="0" w:space="0" w:color="auto"/>
          </w:divBdr>
        </w:div>
        <w:div w:id="334112946">
          <w:marLeft w:val="640"/>
          <w:marRight w:val="0"/>
          <w:marTop w:val="0"/>
          <w:marBottom w:val="0"/>
          <w:divBdr>
            <w:top w:val="none" w:sz="0" w:space="0" w:color="auto"/>
            <w:left w:val="none" w:sz="0" w:space="0" w:color="auto"/>
            <w:bottom w:val="none" w:sz="0" w:space="0" w:color="auto"/>
            <w:right w:val="none" w:sz="0" w:space="0" w:color="auto"/>
          </w:divBdr>
        </w:div>
        <w:div w:id="422721473">
          <w:marLeft w:val="640"/>
          <w:marRight w:val="0"/>
          <w:marTop w:val="0"/>
          <w:marBottom w:val="0"/>
          <w:divBdr>
            <w:top w:val="none" w:sz="0" w:space="0" w:color="auto"/>
            <w:left w:val="none" w:sz="0" w:space="0" w:color="auto"/>
            <w:bottom w:val="none" w:sz="0" w:space="0" w:color="auto"/>
            <w:right w:val="none" w:sz="0" w:space="0" w:color="auto"/>
          </w:divBdr>
        </w:div>
        <w:div w:id="690760261">
          <w:marLeft w:val="640"/>
          <w:marRight w:val="0"/>
          <w:marTop w:val="0"/>
          <w:marBottom w:val="0"/>
          <w:divBdr>
            <w:top w:val="none" w:sz="0" w:space="0" w:color="auto"/>
            <w:left w:val="none" w:sz="0" w:space="0" w:color="auto"/>
            <w:bottom w:val="none" w:sz="0" w:space="0" w:color="auto"/>
            <w:right w:val="none" w:sz="0" w:space="0" w:color="auto"/>
          </w:divBdr>
        </w:div>
        <w:div w:id="683291418">
          <w:marLeft w:val="640"/>
          <w:marRight w:val="0"/>
          <w:marTop w:val="0"/>
          <w:marBottom w:val="0"/>
          <w:divBdr>
            <w:top w:val="none" w:sz="0" w:space="0" w:color="auto"/>
            <w:left w:val="none" w:sz="0" w:space="0" w:color="auto"/>
            <w:bottom w:val="none" w:sz="0" w:space="0" w:color="auto"/>
            <w:right w:val="none" w:sz="0" w:space="0" w:color="auto"/>
          </w:divBdr>
        </w:div>
        <w:div w:id="2109155614">
          <w:marLeft w:val="640"/>
          <w:marRight w:val="0"/>
          <w:marTop w:val="0"/>
          <w:marBottom w:val="0"/>
          <w:divBdr>
            <w:top w:val="none" w:sz="0" w:space="0" w:color="auto"/>
            <w:left w:val="none" w:sz="0" w:space="0" w:color="auto"/>
            <w:bottom w:val="none" w:sz="0" w:space="0" w:color="auto"/>
            <w:right w:val="none" w:sz="0" w:space="0" w:color="auto"/>
          </w:divBdr>
        </w:div>
        <w:div w:id="199978401">
          <w:marLeft w:val="640"/>
          <w:marRight w:val="0"/>
          <w:marTop w:val="0"/>
          <w:marBottom w:val="0"/>
          <w:divBdr>
            <w:top w:val="none" w:sz="0" w:space="0" w:color="auto"/>
            <w:left w:val="none" w:sz="0" w:space="0" w:color="auto"/>
            <w:bottom w:val="none" w:sz="0" w:space="0" w:color="auto"/>
            <w:right w:val="none" w:sz="0" w:space="0" w:color="auto"/>
          </w:divBdr>
        </w:div>
        <w:div w:id="1309673818">
          <w:marLeft w:val="640"/>
          <w:marRight w:val="0"/>
          <w:marTop w:val="0"/>
          <w:marBottom w:val="0"/>
          <w:divBdr>
            <w:top w:val="none" w:sz="0" w:space="0" w:color="auto"/>
            <w:left w:val="none" w:sz="0" w:space="0" w:color="auto"/>
            <w:bottom w:val="none" w:sz="0" w:space="0" w:color="auto"/>
            <w:right w:val="none" w:sz="0" w:space="0" w:color="auto"/>
          </w:divBdr>
        </w:div>
        <w:div w:id="1136531446">
          <w:marLeft w:val="640"/>
          <w:marRight w:val="0"/>
          <w:marTop w:val="0"/>
          <w:marBottom w:val="0"/>
          <w:divBdr>
            <w:top w:val="none" w:sz="0" w:space="0" w:color="auto"/>
            <w:left w:val="none" w:sz="0" w:space="0" w:color="auto"/>
            <w:bottom w:val="none" w:sz="0" w:space="0" w:color="auto"/>
            <w:right w:val="none" w:sz="0" w:space="0" w:color="auto"/>
          </w:divBdr>
        </w:div>
        <w:div w:id="971978081">
          <w:marLeft w:val="640"/>
          <w:marRight w:val="0"/>
          <w:marTop w:val="0"/>
          <w:marBottom w:val="0"/>
          <w:divBdr>
            <w:top w:val="none" w:sz="0" w:space="0" w:color="auto"/>
            <w:left w:val="none" w:sz="0" w:space="0" w:color="auto"/>
            <w:bottom w:val="none" w:sz="0" w:space="0" w:color="auto"/>
            <w:right w:val="none" w:sz="0" w:space="0" w:color="auto"/>
          </w:divBdr>
        </w:div>
        <w:div w:id="2070424297">
          <w:marLeft w:val="640"/>
          <w:marRight w:val="0"/>
          <w:marTop w:val="0"/>
          <w:marBottom w:val="0"/>
          <w:divBdr>
            <w:top w:val="none" w:sz="0" w:space="0" w:color="auto"/>
            <w:left w:val="none" w:sz="0" w:space="0" w:color="auto"/>
            <w:bottom w:val="none" w:sz="0" w:space="0" w:color="auto"/>
            <w:right w:val="none" w:sz="0" w:space="0" w:color="auto"/>
          </w:divBdr>
        </w:div>
        <w:div w:id="1185170578">
          <w:marLeft w:val="640"/>
          <w:marRight w:val="0"/>
          <w:marTop w:val="0"/>
          <w:marBottom w:val="0"/>
          <w:divBdr>
            <w:top w:val="none" w:sz="0" w:space="0" w:color="auto"/>
            <w:left w:val="none" w:sz="0" w:space="0" w:color="auto"/>
            <w:bottom w:val="none" w:sz="0" w:space="0" w:color="auto"/>
            <w:right w:val="none" w:sz="0" w:space="0" w:color="auto"/>
          </w:divBdr>
        </w:div>
        <w:div w:id="1787698102">
          <w:marLeft w:val="640"/>
          <w:marRight w:val="0"/>
          <w:marTop w:val="0"/>
          <w:marBottom w:val="0"/>
          <w:divBdr>
            <w:top w:val="none" w:sz="0" w:space="0" w:color="auto"/>
            <w:left w:val="none" w:sz="0" w:space="0" w:color="auto"/>
            <w:bottom w:val="none" w:sz="0" w:space="0" w:color="auto"/>
            <w:right w:val="none" w:sz="0" w:space="0" w:color="auto"/>
          </w:divBdr>
        </w:div>
        <w:div w:id="1977179432">
          <w:marLeft w:val="640"/>
          <w:marRight w:val="0"/>
          <w:marTop w:val="0"/>
          <w:marBottom w:val="0"/>
          <w:divBdr>
            <w:top w:val="none" w:sz="0" w:space="0" w:color="auto"/>
            <w:left w:val="none" w:sz="0" w:space="0" w:color="auto"/>
            <w:bottom w:val="none" w:sz="0" w:space="0" w:color="auto"/>
            <w:right w:val="none" w:sz="0" w:space="0" w:color="auto"/>
          </w:divBdr>
        </w:div>
      </w:divsChild>
    </w:div>
    <w:div w:id="2134933065">
      <w:bodyDiv w:val="1"/>
      <w:marLeft w:val="0"/>
      <w:marRight w:val="0"/>
      <w:marTop w:val="0"/>
      <w:marBottom w:val="0"/>
      <w:divBdr>
        <w:top w:val="none" w:sz="0" w:space="0" w:color="auto"/>
        <w:left w:val="none" w:sz="0" w:space="0" w:color="auto"/>
        <w:bottom w:val="none" w:sz="0" w:space="0" w:color="auto"/>
        <w:right w:val="none" w:sz="0" w:space="0" w:color="auto"/>
      </w:divBdr>
      <w:divsChild>
        <w:div w:id="1914854380">
          <w:marLeft w:val="640"/>
          <w:marRight w:val="0"/>
          <w:marTop w:val="0"/>
          <w:marBottom w:val="0"/>
          <w:divBdr>
            <w:top w:val="none" w:sz="0" w:space="0" w:color="auto"/>
            <w:left w:val="none" w:sz="0" w:space="0" w:color="auto"/>
            <w:bottom w:val="none" w:sz="0" w:space="0" w:color="auto"/>
            <w:right w:val="none" w:sz="0" w:space="0" w:color="auto"/>
          </w:divBdr>
        </w:div>
        <w:div w:id="693384347">
          <w:marLeft w:val="640"/>
          <w:marRight w:val="0"/>
          <w:marTop w:val="0"/>
          <w:marBottom w:val="0"/>
          <w:divBdr>
            <w:top w:val="none" w:sz="0" w:space="0" w:color="auto"/>
            <w:left w:val="none" w:sz="0" w:space="0" w:color="auto"/>
            <w:bottom w:val="none" w:sz="0" w:space="0" w:color="auto"/>
            <w:right w:val="none" w:sz="0" w:space="0" w:color="auto"/>
          </w:divBdr>
        </w:div>
        <w:div w:id="1999381509">
          <w:marLeft w:val="640"/>
          <w:marRight w:val="0"/>
          <w:marTop w:val="0"/>
          <w:marBottom w:val="0"/>
          <w:divBdr>
            <w:top w:val="none" w:sz="0" w:space="0" w:color="auto"/>
            <w:left w:val="none" w:sz="0" w:space="0" w:color="auto"/>
            <w:bottom w:val="none" w:sz="0" w:space="0" w:color="auto"/>
            <w:right w:val="none" w:sz="0" w:space="0" w:color="auto"/>
          </w:divBdr>
        </w:div>
        <w:div w:id="1376270622">
          <w:marLeft w:val="640"/>
          <w:marRight w:val="0"/>
          <w:marTop w:val="0"/>
          <w:marBottom w:val="0"/>
          <w:divBdr>
            <w:top w:val="none" w:sz="0" w:space="0" w:color="auto"/>
            <w:left w:val="none" w:sz="0" w:space="0" w:color="auto"/>
            <w:bottom w:val="none" w:sz="0" w:space="0" w:color="auto"/>
            <w:right w:val="none" w:sz="0" w:space="0" w:color="auto"/>
          </w:divBdr>
        </w:div>
        <w:div w:id="2140881884">
          <w:marLeft w:val="640"/>
          <w:marRight w:val="0"/>
          <w:marTop w:val="0"/>
          <w:marBottom w:val="0"/>
          <w:divBdr>
            <w:top w:val="none" w:sz="0" w:space="0" w:color="auto"/>
            <w:left w:val="none" w:sz="0" w:space="0" w:color="auto"/>
            <w:bottom w:val="none" w:sz="0" w:space="0" w:color="auto"/>
            <w:right w:val="none" w:sz="0" w:space="0" w:color="auto"/>
          </w:divBdr>
        </w:div>
        <w:div w:id="1448811198">
          <w:marLeft w:val="640"/>
          <w:marRight w:val="0"/>
          <w:marTop w:val="0"/>
          <w:marBottom w:val="0"/>
          <w:divBdr>
            <w:top w:val="none" w:sz="0" w:space="0" w:color="auto"/>
            <w:left w:val="none" w:sz="0" w:space="0" w:color="auto"/>
            <w:bottom w:val="none" w:sz="0" w:space="0" w:color="auto"/>
            <w:right w:val="none" w:sz="0" w:space="0" w:color="auto"/>
          </w:divBdr>
        </w:div>
        <w:div w:id="317154994">
          <w:marLeft w:val="640"/>
          <w:marRight w:val="0"/>
          <w:marTop w:val="0"/>
          <w:marBottom w:val="0"/>
          <w:divBdr>
            <w:top w:val="none" w:sz="0" w:space="0" w:color="auto"/>
            <w:left w:val="none" w:sz="0" w:space="0" w:color="auto"/>
            <w:bottom w:val="none" w:sz="0" w:space="0" w:color="auto"/>
            <w:right w:val="none" w:sz="0" w:space="0" w:color="auto"/>
          </w:divBdr>
        </w:div>
        <w:div w:id="824468799">
          <w:marLeft w:val="640"/>
          <w:marRight w:val="0"/>
          <w:marTop w:val="0"/>
          <w:marBottom w:val="0"/>
          <w:divBdr>
            <w:top w:val="none" w:sz="0" w:space="0" w:color="auto"/>
            <w:left w:val="none" w:sz="0" w:space="0" w:color="auto"/>
            <w:bottom w:val="none" w:sz="0" w:space="0" w:color="auto"/>
            <w:right w:val="none" w:sz="0" w:space="0" w:color="auto"/>
          </w:divBdr>
        </w:div>
        <w:div w:id="886575297">
          <w:marLeft w:val="640"/>
          <w:marRight w:val="0"/>
          <w:marTop w:val="0"/>
          <w:marBottom w:val="0"/>
          <w:divBdr>
            <w:top w:val="none" w:sz="0" w:space="0" w:color="auto"/>
            <w:left w:val="none" w:sz="0" w:space="0" w:color="auto"/>
            <w:bottom w:val="none" w:sz="0" w:space="0" w:color="auto"/>
            <w:right w:val="none" w:sz="0" w:space="0" w:color="auto"/>
          </w:divBdr>
        </w:div>
        <w:div w:id="244610647">
          <w:marLeft w:val="640"/>
          <w:marRight w:val="0"/>
          <w:marTop w:val="0"/>
          <w:marBottom w:val="0"/>
          <w:divBdr>
            <w:top w:val="none" w:sz="0" w:space="0" w:color="auto"/>
            <w:left w:val="none" w:sz="0" w:space="0" w:color="auto"/>
            <w:bottom w:val="none" w:sz="0" w:space="0" w:color="auto"/>
            <w:right w:val="none" w:sz="0" w:space="0" w:color="auto"/>
          </w:divBdr>
        </w:div>
        <w:div w:id="662009224">
          <w:marLeft w:val="640"/>
          <w:marRight w:val="0"/>
          <w:marTop w:val="0"/>
          <w:marBottom w:val="0"/>
          <w:divBdr>
            <w:top w:val="none" w:sz="0" w:space="0" w:color="auto"/>
            <w:left w:val="none" w:sz="0" w:space="0" w:color="auto"/>
            <w:bottom w:val="none" w:sz="0" w:space="0" w:color="auto"/>
            <w:right w:val="none" w:sz="0" w:space="0" w:color="auto"/>
          </w:divBdr>
        </w:div>
        <w:div w:id="680427496">
          <w:marLeft w:val="640"/>
          <w:marRight w:val="0"/>
          <w:marTop w:val="0"/>
          <w:marBottom w:val="0"/>
          <w:divBdr>
            <w:top w:val="none" w:sz="0" w:space="0" w:color="auto"/>
            <w:left w:val="none" w:sz="0" w:space="0" w:color="auto"/>
            <w:bottom w:val="none" w:sz="0" w:space="0" w:color="auto"/>
            <w:right w:val="none" w:sz="0" w:space="0" w:color="auto"/>
          </w:divBdr>
        </w:div>
        <w:div w:id="1847749421">
          <w:marLeft w:val="640"/>
          <w:marRight w:val="0"/>
          <w:marTop w:val="0"/>
          <w:marBottom w:val="0"/>
          <w:divBdr>
            <w:top w:val="none" w:sz="0" w:space="0" w:color="auto"/>
            <w:left w:val="none" w:sz="0" w:space="0" w:color="auto"/>
            <w:bottom w:val="none" w:sz="0" w:space="0" w:color="auto"/>
            <w:right w:val="none" w:sz="0" w:space="0" w:color="auto"/>
          </w:divBdr>
        </w:div>
        <w:div w:id="1561401175">
          <w:marLeft w:val="640"/>
          <w:marRight w:val="0"/>
          <w:marTop w:val="0"/>
          <w:marBottom w:val="0"/>
          <w:divBdr>
            <w:top w:val="none" w:sz="0" w:space="0" w:color="auto"/>
            <w:left w:val="none" w:sz="0" w:space="0" w:color="auto"/>
            <w:bottom w:val="none" w:sz="0" w:space="0" w:color="auto"/>
            <w:right w:val="none" w:sz="0" w:space="0" w:color="auto"/>
          </w:divBdr>
        </w:div>
        <w:div w:id="1154564648">
          <w:marLeft w:val="640"/>
          <w:marRight w:val="0"/>
          <w:marTop w:val="0"/>
          <w:marBottom w:val="0"/>
          <w:divBdr>
            <w:top w:val="none" w:sz="0" w:space="0" w:color="auto"/>
            <w:left w:val="none" w:sz="0" w:space="0" w:color="auto"/>
            <w:bottom w:val="none" w:sz="0" w:space="0" w:color="auto"/>
            <w:right w:val="none" w:sz="0" w:space="0" w:color="auto"/>
          </w:divBdr>
        </w:div>
        <w:div w:id="283923976">
          <w:marLeft w:val="640"/>
          <w:marRight w:val="0"/>
          <w:marTop w:val="0"/>
          <w:marBottom w:val="0"/>
          <w:divBdr>
            <w:top w:val="none" w:sz="0" w:space="0" w:color="auto"/>
            <w:left w:val="none" w:sz="0" w:space="0" w:color="auto"/>
            <w:bottom w:val="none" w:sz="0" w:space="0" w:color="auto"/>
            <w:right w:val="none" w:sz="0" w:space="0" w:color="auto"/>
          </w:divBdr>
        </w:div>
        <w:div w:id="23530695">
          <w:marLeft w:val="640"/>
          <w:marRight w:val="0"/>
          <w:marTop w:val="0"/>
          <w:marBottom w:val="0"/>
          <w:divBdr>
            <w:top w:val="none" w:sz="0" w:space="0" w:color="auto"/>
            <w:left w:val="none" w:sz="0" w:space="0" w:color="auto"/>
            <w:bottom w:val="none" w:sz="0" w:space="0" w:color="auto"/>
            <w:right w:val="none" w:sz="0" w:space="0" w:color="auto"/>
          </w:divBdr>
        </w:div>
        <w:div w:id="844325265">
          <w:marLeft w:val="640"/>
          <w:marRight w:val="0"/>
          <w:marTop w:val="0"/>
          <w:marBottom w:val="0"/>
          <w:divBdr>
            <w:top w:val="none" w:sz="0" w:space="0" w:color="auto"/>
            <w:left w:val="none" w:sz="0" w:space="0" w:color="auto"/>
            <w:bottom w:val="none" w:sz="0" w:space="0" w:color="auto"/>
            <w:right w:val="none" w:sz="0" w:space="0" w:color="auto"/>
          </w:divBdr>
        </w:div>
        <w:div w:id="2060350239">
          <w:marLeft w:val="640"/>
          <w:marRight w:val="0"/>
          <w:marTop w:val="0"/>
          <w:marBottom w:val="0"/>
          <w:divBdr>
            <w:top w:val="none" w:sz="0" w:space="0" w:color="auto"/>
            <w:left w:val="none" w:sz="0" w:space="0" w:color="auto"/>
            <w:bottom w:val="none" w:sz="0" w:space="0" w:color="auto"/>
            <w:right w:val="none" w:sz="0" w:space="0" w:color="auto"/>
          </w:divBdr>
        </w:div>
        <w:div w:id="787242258">
          <w:marLeft w:val="640"/>
          <w:marRight w:val="0"/>
          <w:marTop w:val="0"/>
          <w:marBottom w:val="0"/>
          <w:divBdr>
            <w:top w:val="none" w:sz="0" w:space="0" w:color="auto"/>
            <w:left w:val="none" w:sz="0" w:space="0" w:color="auto"/>
            <w:bottom w:val="none" w:sz="0" w:space="0" w:color="auto"/>
            <w:right w:val="none" w:sz="0" w:space="0" w:color="auto"/>
          </w:divBdr>
        </w:div>
        <w:div w:id="681860009">
          <w:marLeft w:val="640"/>
          <w:marRight w:val="0"/>
          <w:marTop w:val="0"/>
          <w:marBottom w:val="0"/>
          <w:divBdr>
            <w:top w:val="none" w:sz="0" w:space="0" w:color="auto"/>
            <w:left w:val="none" w:sz="0" w:space="0" w:color="auto"/>
            <w:bottom w:val="none" w:sz="0" w:space="0" w:color="auto"/>
            <w:right w:val="none" w:sz="0" w:space="0" w:color="auto"/>
          </w:divBdr>
        </w:div>
        <w:div w:id="1809933432">
          <w:marLeft w:val="640"/>
          <w:marRight w:val="0"/>
          <w:marTop w:val="0"/>
          <w:marBottom w:val="0"/>
          <w:divBdr>
            <w:top w:val="none" w:sz="0" w:space="0" w:color="auto"/>
            <w:left w:val="none" w:sz="0" w:space="0" w:color="auto"/>
            <w:bottom w:val="none" w:sz="0" w:space="0" w:color="auto"/>
            <w:right w:val="none" w:sz="0" w:space="0" w:color="auto"/>
          </w:divBdr>
        </w:div>
        <w:div w:id="1160776691">
          <w:marLeft w:val="640"/>
          <w:marRight w:val="0"/>
          <w:marTop w:val="0"/>
          <w:marBottom w:val="0"/>
          <w:divBdr>
            <w:top w:val="none" w:sz="0" w:space="0" w:color="auto"/>
            <w:left w:val="none" w:sz="0" w:space="0" w:color="auto"/>
            <w:bottom w:val="none" w:sz="0" w:space="0" w:color="auto"/>
            <w:right w:val="none" w:sz="0" w:space="0" w:color="auto"/>
          </w:divBdr>
        </w:div>
        <w:div w:id="889920916">
          <w:marLeft w:val="640"/>
          <w:marRight w:val="0"/>
          <w:marTop w:val="0"/>
          <w:marBottom w:val="0"/>
          <w:divBdr>
            <w:top w:val="none" w:sz="0" w:space="0" w:color="auto"/>
            <w:left w:val="none" w:sz="0" w:space="0" w:color="auto"/>
            <w:bottom w:val="none" w:sz="0" w:space="0" w:color="auto"/>
            <w:right w:val="none" w:sz="0" w:space="0" w:color="auto"/>
          </w:divBdr>
        </w:div>
        <w:div w:id="798180463">
          <w:marLeft w:val="640"/>
          <w:marRight w:val="0"/>
          <w:marTop w:val="0"/>
          <w:marBottom w:val="0"/>
          <w:divBdr>
            <w:top w:val="none" w:sz="0" w:space="0" w:color="auto"/>
            <w:left w:val="none" w:sz="0" w:space="0" w:color="auto"/>
            <w:bottom w:val="none" w:sz="0" w:space="0" w:color="auto"/>
            <w:right w:val="none" w:sz="0" w:space="0" w:color="auto"/>
          </w:divBdr>
        </w:div>
        <w:div w:id="1068042642">
          <w:marLeft w:val="640"/>
          <w:marRight w:val="0"/>
          <w:marTop w:val="0"/>
          <w:marBottom w:val="0"/>
          <w:divBdr>
            <w:top w:val="none" w:sz="0" w:space="0" w:color="auto"/>
            <w:left w:val="none" w:sz="0" w:space="0" w:color="auto"/>
            <w:bottom w:val="none" w:sz="0" w:space="0" w:color="auto"/>
            <w:right w:val="none" w:sz="0" w:space="0" w:color="auto"/>
          </w:divBdr>
        </w:div>
        <w:div w:id="1169100908">
          <w:marLeft w:val="640"/>
          <w:marRight w:val="0"/>
          <w:marTop w:val="0"/>
          <w:marBottom w:val="0"/>
          <w:divBdr>
            <w:top w:val="none" w:sz="0" w:space="0" w:color="auto"/>
            <w:left w:val="none" w:sz="0" w:space="0" w:color="auto"/>
            <w:bottom w:val="none" w:sz="0" w:space="0" w:color="auto"/>
            <w:right w:val="none" w:sz="0" w:space="0" w:color="auto"/>
          </w:divBdr>
        </w:div>
        <w:div w:id="282807128">
          <w:marLeft w:val="640"/>
          <w:marRight w:val="0"/>
          <w:marTop w:val="0"/>
          <w:marBottom w:val="0"/>
          <w:divBdr>
            <w:top w:val="none" w:sz="0" w:space="0" w:color="auto"/>
            <w:left w:val="none" w:sz="0" w:space="0" w:color="auto"/>
            <w:bottom w:val="none" w:sz="0" w:space="0" w:color="auto"/>
            <w:right w:val="none" w:sz="0" w:space="0" w:color="auto"/>
          </w:divBdr>
        </w:div>
        <w:div w:id="1484467009">
          <w:marLeft w:val="640"/>
          <w:marRight w:val="0"/>
          <w:marTop w:val="0"/>
          <w:marBottom w:val="0"/>
          <w:divBdr>
            <w:top w:val="none" w:sz="0" w:space="0" w:color="auto"/>
            <w:left w:val="none" w:sz="0" w:space="0" w:color="auto"/>
            <w:bottom w:val="none" w:sz="0" w:space="0" w:color="auto"/>
            <w:right w:val="none" w:sz="0" w:space="0" w:color="auto"/>
          </w:divBdr>
        </w:div>
        <w:div w:id="1925339645">
          <w:marLeft w:val="640"/>
          <w:marRight w:val="0"/>
          <w:marTop w:val="0"/>
          <w:marBottom w:val="0"/>
          <w:divBdr>
            <w:top w:val="none" w:sz="0" w:space="0" w:color="auto"/>
            <w:left w:val="none" w:sz="0" w:space="0" w:color="auto"/>
            <w:bottom w:val="none" w:sz="0" w:space="0" w:color="auto"/>
            <w:right w:val="none" w:sz="0" w:space="0" w:color="auto"/>
          </w:divBdr>
        </w:div>
        <w:div w:id="1649507780">
          <w:marLeft w:val="640"/>
          <w:marRight w:val="0"/>
          <w:marTop w:val="0"/>
          <w:marBottom w:val="0"/>
          <w:divBdr>
            <w:top w:val="none" w:sz="0" w:space="0" w:color="auto"/>
            <w:left w:val="none" w:sz="0" w:space="0" w:color="auto"/>
            <w:bottom w:val="none" w:sz="0" w:space="0" w:color="auto"/>
            <w:right w:val="none" w:sz="0" w:space="0" w:color="auto"/>
          </w:divBdr>
        </w:div>
        <w:div w:id="1545363981">
          <w:marLeft w:val="640"/>
          <w:marRight w:val="0"/>
          <w:marTop w:val="0"/>
          <w:marBottom w:val="0"/>
          <w:divBdr>
            <w:top w:val="none" w:sz="0" w:space="0" w:color="auto"/>
            <w:left w:val="none" w:sz="0" w:space="0" w:color="auto"/>
            <w:bottom w:val="none" w:sz="0" w:space="0" w:color="auto"/>
            <w:right w:val="none" w:sz="0" w:space="0" w:color="auto"/>
          </w:divBdr>
        </w:div>
        <w:div w:id="508830055">
          <w:marLeft w:val="640"/>
          <w:marRight w:val="0"/>
          <w:marTop w:val="0"/>
          <w:marBottom w:val="0"/>
          <w:divBdr>
            <w:top w:val="none" w:sz="0" w:space="0" w:color="auto"/>
            <w:left w:val="none" w:sz="0" w:space="0" w:color="auto"/>
            <w:bottom w:val="none" w:sz="0" w:space="0" w:color="auto"/>
            <w:right w:val="none" w:sz="0" w:space="0" w:color="auto"/>
          </w:divBdr>
        </w:div>
        <w:div w:id="1011565266">
          <w:marLeft w:val="640"/>
          <w:marRight w:val="0"/>
          <w:marTop w:val="0"/>
          <w:marBottom w:val="0"/>
          <w:divBdr>
            <w:top w:val="none" w:sz="0" w:space="0" w:color="auto"/>
            <w:left w:val="none" w:sz="0" w:space="0" w:color="auto"/>
            <w:bottom w:val="none" w:sz="0" w:space="0" w:color="auto"/>
            <w:right w:val="none" w:sz="0" w:space="0" w:color="auto"/>
          </w:divBdr>
        </w:div>
        <w:div w:id="1114205668">
          <w:marLeft w:val="640"/>
          <w:marRight w:val="0"/>
          <w:marTop w:val="0"/>
          <w:marBottom w:val="0"/>
          <w:divBdr>
            <w:top w:val="none" w:sz="0" w:space="0" w:color="auto"/>
            <w:left w:val="none" w:sz="0" w:space="0" w:color="auto"/>
            <w:bottom w:val="none" w:sz="0" w:space="0" w:color="auto"/>
            <w:right w:val="none" w:sz="0" w:space="0" w:color="auto"/>
          </w:divBdr>
        </w:div>
        <w:div w:id="754594233">
          <w:marLeft w:val="640"/>
          <w:marRight w:val="0"/>
          <w:marTop w:val="0"/>
          <w:marBottom w:val="0"/>
          <w:divBdr>
            <w:top w:val="none" w:sz="0" w:space="0" w:color="auto"/>
            <w:left w:val="none" w:sz="0" w:space="0" w:color="auto"/>
            <w:bottom w:val="none" w:sz="0" w:space="0" w:color="auto"/>
            <w:right w:val="none" w:sz="0" w:space="0" w:color="auto"/>
          </w:divBdr>
        </w:div>
        <w:div w:id="1745563685">
          <w:marLeft w:val="640"/>
          <w:marRight w:val="0"/>
          <w:marTop w:val="0"/>
          <w:marBottom w:val="0"/>
          <w:divBdr>
            <w:top w:val="none" w:sz="0" w:space="0" w:color="auto"/>
            <w:left w:val="none" w:sz="0" w:space="0" w:color="auto"/>
            <w:bottom w:val="none" w:sz="0" w:space="0" w:color="auto"/>
            <w:right w:val="none" w:sz="0" w:space="0" w:color="auto"/>
          </w:divBdr>
        </w:div>
        <w:div w:id="1843930335">
          <w:marLeft w:val="640"/>
          <w:marRight w:val="0"/>
          <w:marTop w:val="0"/>
          <w:marBottom w:val="0"/>
          <w:divBdr>
            <w:top w:val="none" w:sz="0" w:space="0" w:color="auto"/>
            <w:left w:val="none" w:sz="0" w:space="0" w:color="auto"/>
            <w:bottom w:val="none" w:sz="0" w:space="0" w:color="auto"/>
            <w:right w:val="none" w:sz="0" w:space="0" w:color="auto"/>
          </w:divBdr>
        </w:div>
        <w:div w:id="922958225">
          <w:marLeft w:val="640"/>
          <w:marRight w:val="0"/>
          <w:marTop w:val="0"/>
          <w:marBottom w:val="0"/>
          <w:divBdr>
            <w:top w:val="none" w:sz="0" w:space="0" w:color="auto"/>
            <w:left w:val="none" w:sz="0" w:space="0" w:color="auto"/>
            <w:bottom w:val="none" w:sz="0" w:space="0" w:color="auto"/>
            <w:right w:val="none" w:sz="0" w:space="0" w:color="auto"/>
          </w:divBdr>
        </w:div>
        <w:div w:id="34621133">
          <w:marLeft w:val="640"/>
          <w:marRight w:val="0"/>
          <w:marTop w:val="0"/>
          <w:marBottom w:val="0"/>
          <w:divBdr>
            <w:top w:val="none" w:sz="0" w:space="0" w:color="auto"/>
            <w:left w:val="none" w:sz="0" w:space="0" w:color="auto"/>
            <w:bottom w:val="none" w:sz="0" w:space="0" w:color="auto"/>
            <w:right w:val="none" w:sz="0" w:space="0" w:color="auto"/>
          </w:divBdr>
        </w:div>
        <w:div w:id="1055541680">
          <w:marLeft w:val="640"/>
          <w:marRight w:val="0"/>
          <w:marTop w:val="0"/>
          <w:marBottom w:val="0"/>
          <w:divBdr>
            <w:top w:val="none" w:sz="0" w:space="0" w:color="auto"/>
            <w:left w:val="none" w:sz="0" w:space="0" w:color="auto"/>
            <w:bottom w:val="none" w:sz="0" w:space="0" w:color="auto"/>
            <w:right w:val="none" w:sz="0" w:space="0" w:color="auto"/>
          </w:divBdr>
        </w:div>
        <w:div w:id="2075810631">
          <w:marLeft w:val="640"/>
          <w:marRight w:val="0"/>
          <w:marTop w:val="0"/>
          <w:marBottom w:val="0"/>
          <w:divBdr>
            <w:top w:val="none" w:sz="0" w:space="0" w:color="auto"/>
            <w:left w:val="none" w:sz="0" w:space="0" w:color="auto"/>
            <w:bottom w:val="none" w:sz="0" w:space="0" w:color="auto"/>
            <w:right w:val="none" w:sz="0" w:space="0" w:color="auto"/>
          </w:divBdr>
        </w:div>
        <w:div w:id="1210410394">
          <w:marLeft w:val="640"/>
          <w:marRight w:val="0"/>
          <w:marTop w:val="0"/>
          <w:marBottom w:val="0"/>
          <w:divBdr>
            <w:top w:val="none" w:sz="0" w:space="0" w:color="auto"/>
            <w:left w:val="none" w:sz="0" w:space="0" w:color="auto"/>
            <w:bottom w:val="none" w:sz="0" w:space="0" w:color="auto"/>
            <w:right w:val="none" w:sz="0" w:space="0" w:color="auto"/>
          </w:divBdr>
        </w:div>
        <w:div w:id="529492724">
          <w:marLeft w:val="640"/>
          <w:marRight w:val="0"/>
          <w:marTop w:val="0"/>
          <w:marBottom w:val="0"/>
          <w:divBdr>
            <w:top w:val="none" w:sz="0" w:space="0" w:color="auto"/>
            <w:left w:val="none" w:sz="0" w:space="0" w:color="auto"/>
            <w:bottom w:val="none" w:sz="0" w:space="0" w:color="auto"/>
            <w:right w:val="none" w:sz="0" w:space="0" w:color="auto"/>
          </w:divBdr>
        </w:div>
        <w:div w:id="1469082965">
          <w:marLeft w:val="640"/>
          <w:marRight w:val="0"/>
          <w:marTop w:val="0"/>
          <w:marBottom w:val="0"/>
          <w:divBdr>
            <w:top w:val="none" w:sz="0" w:space="0" w:color="auto"/>
            <w:left w:val="none" w:sz="0" w:space="0" w:color="auto"/>
            <w:bottom w:val="none" w:sz="0" w:space="0" w:color="auto"/>
            <w:right w:val="none" w:sz="0" w:space="0" w:color="auto"/>
          </w:divBdr>
        </w:div>
        <w:div w:id="85806774">
          <w:marLeft w:val="640"/>
          <w:marRight w:val="0"/>
          <w:marTop w:val="0"/>
          <w:marBottom w:val="0"/>
          <w:divBdr>
            <w:top w:val="none" w:sz="0" w:space="0" w:color="auto"/>
            <w:left w:val="none" w:sz="0" w:space="0" w:color="auto"/>
            <w:bottom w:val="none" w:sz="0" w:space="0" w:color="auto"/>
            <w:right w:val="none" w:sz="0" w:space="0" w:color="auto"/>
          </w:divBdr>
        </w:div>
        <w:div w:id="1295718699">
          <w:marLeft w:val="640"/>
          <w:marRight w:val="0"/>
          <w:marTop w:val="0"/>
          <w:marBottom w:val="0"/>
          <w:divBdr>
            <w:top w:val="none" w:sz="0" w:space="0" w:color="auto"/>
            <w:left w:val="none" w:sz="0" w:space="0" w:color="auto"/>
            <w:bottom w:val="none" w:sz="0" w:space="0" w:color="auto"/>
            <w:right w:val="none" w:sz="0" w:space="0" w:color="auto"/>
          </w:divBdr>
        </w:div>
        <w:div w:id="1486512385">
          <w:marLeft w:val="640"/>
          <w:marRight w:val="0"/>
          <w:marTop w:val="0"/>
          <w:marBottom w:val="0"/>
          <w:divBdr>
            <w:top w:val="none" w:sz="0" w:space="0" w:color="auto"/>
            <w:left w:val="none" w:sz="0" w:space="0" w:color="auto"/>
            <w:bottom w:val="none" w:sz="0" w:space="0" w:color="auto"/>
            <w:right w:val="none" w:sz="0" w:space="0" w:color="auto"/>
          </w:divBdr>
        </w:div>
        <w:div w:id="340277400">
          <w:marLeft w:val="640"/>
          <w:marRight w:val="0"/>
          <w:marTop w:val="0"/>
          <w:marBottom w:val="0"/>
          <w:divBdr>
            <w:top w:val="none" w:sz="0" w:space="0" w:color="auto"/>
            <w:left w:val="none" w:sz="0" w:space="0" w:color="auto"/>
            <w:bottom w:val="none" w:sz="0" w:space="0" w:color="auto"/>
            <w:right w:val="none" w:sz="0" w:space="0" w:color="auto"/>
          </w:divBdr>
        </w:div>
        <w:div w:id="186333134">
          <w:marLeft w:val="640"/>
          <w:marRight w:val="0"/>
          <w:marTop w:val="0"/>
          <w:marBottom w:val="0"/>
          <w:divBdr>
            <w:top w:val="none" w:sz="0" w:space="0" w:color="auto"/>
            <w:left w:val="none" w:sz="0" w:space="0" w:color="auto"/>
            <w:bottom w:val="none" w:sz="0" w:space="0" w:color="auto"/>
            <w:right w:val="none" w:sz="0" w:space="0" w:color="auto"/>
          </w:divBdr>
        </w:div>
        <w:div w:id="1912427505">
          <w:marLeft w:val="640"/>
          <w:marRight w:val="0"/>
          <w:marTop w:val="0"/>
          <w:marBottom w:val="0"/>
          <w:divBdr>
            <w:top w:val="none" w:sz="0" w:space="0" w:color="auto"/>
            <w:left w:val="none" w:sz="0" w:space="0" w:color="auto"/>
            <w:bottom w:val="none" w:sz="0" w:space="0" w:color="auto"/>
            <w:right w:val="none" w:sz="0" w:space="0" w:color="auto"/>
          </w:divBdr>
        </w:div>
        <w:div w:id="1130976117">
          <w:marLeft w:val="640"/>
          <w:marRight w:val="0"/>
          <w:marTop w:val="0"/>
          <w:marBottom w:val="0"/>
          <w:divBdr>
            <w:top w:val="none" w:sz="0" w:space="0" w:color="auto"/>
            <w:left w:val="none" w:sz="0" w:space="0" w:color="auto"/>
            <w:bottom w:val="none" w:sz="0" w:space="0" w:color="auto"/>
            <w:right w:val="none" w:sz="0" w:space="0" w:color="auto"/>
          </w:divBdr>
        </w:div>
        <w:div w:id="1701929402">
          <w:marLeft w:val="640"/>
          <w:marRight w:val="0"/>
          <w:marTop w:val="0"/>
          <w:marBottom w:val="0"/>
          <w:divBdr>
            <w:top w:val="none" w:sz="0" w:space="0" w:color="auto"/>
            <w:left w:val="none" w:sz="0" w:space="0" w:color="auto"/>
            <w:bottom w:val="none" w:sz="0" w:space="0" w:color="auto"/>
            <w:right w:val="none" w:sz="0" w:space="0" w:color="auto"/>
          </w:divBdr>
        </w:div>
        <w:div w:id="1386030009">
          <w:marLeft w:val="640"/>
          <w:marRight w:val="0"/>
          <w:marTop w:val="0"/>
          <w:marBottom w:val="0"/>
          <w:divBdr>
            <w:top w:val="none" w:sz="0" w:space="0" w:color="auto"/>
            <w:left w:val="none" w:sz="0" w:space="0" w:color="auto"/>
            <w:bottom w:val="none" w:sz="0" w:space="0" w:color="auto"/>
            <w:right w:val="none" w:sz="0" w:space="0" w:color="auto"/>
          </w:divBdr>
        </w:div>
        <w:div w:id="873883463">
          <w:marLeft w:val="640"/>
          <w:marRight w:val="0"/>
          <w:marTop w:val="0"/>
          <w:marBottom w:val="0"/>
          <w:divBdr>
            <w:top w:val="none" w:sz="0" w:space="0" w:color="auto"/>
            <w:left w:val="none" w:sz="0" w:space="0" w:color="auto"/>
            <w:bottom w:val="none" w:sz="0" w:space="0" w:color="auto"/>
            <w:right w:val="none" w:sz="0" w:space="0" w:color="auto"/>
          </w:divBdr>
        </w:div>
        <w:div w:id="401879065">
          <w:marLeft w:val="640"/>
          <w:marRight w:val="0"/>
          <w:marTop w:val="0"/>
          <w:marBottom w:val="0"/>
          <w:divBdr>
            <w:top w:val="none" w:sz="0" w:space="0" w:color="auto"/>
            <w:left w:val="none" w:sz="0" w:space="0" w:color="auto"/>
            <w:bottom w:val="none" w:sz="0" w:space="0" w:color="auto"/>
            <w:right w:val="none" w:sz="0" w:space="0" w:color="auto"/>
          </w:divBdr>
        </w:div>
        <w:div w:id="710573573">
          <w:marLeft w:val="640"/>
          <w:marRight w:val="0"/>
          <w:marTop w:val="0"/>
          <w:marBottom w:val="0"/>
          <w:divBdr>
            <w:top w:val="none" w:sz="0" w:space="0" w:color="auto"/>
            <w:left w:val="none" w:sz="0" w:space="0" w:color="auto"/>
            <w:bottom w:val="none" w:sz="0" w:space="0" w:color="auto"/>
            <w:right w:val="none" w:sz="0" w:space="0" w:color="auto"/>
          </w:divBdr>
        </w:div>
        <w:div w:id="1185703640">
          <w:marLeft w:val="640"/>
          <w:marRight w:val="0"/>
          <w:marTop w:val="0"/>
          <w:marBottom w:val="0"/>
          <w:divBdr>
            <w:top w:val="none" w:sz="0" w:space="0" w:color="auto"/>
            <w:left w:val="none" w:sz="0" w:space="0" w:color="auto"/>
            <w:bottom w:val="none" w:sz="0" w:space="0" w:color="auto"/>
            <w:right w:val="none" w:sz="0" w:space="0" w:color="auto"/>
          </w:divBdr>
        </w:div>
        <w:div w:id="32121147">
          <w:marLeft w:val="640"/>
          <w:marRight w:val="0"/>
          <w:marTop w:val="0"/>
          <w:marBottom w:val="0"/>
          <w:divBdr>
            <w:top w:val="none" w:sz="0" w:space="0" w:color="auto"/>
            <w:left w:val="none" w:sz="0" w:space="0" w:color="auto"/>
            <w:bottom w:val="none" w:sz="0" w:space="0" w:color="auto"/>
            <w:right w:val="none" w:sz="0" w:space="0" w:color="auto"/>
          </w:divBdr>
        </w:div>
        <w:div w:id="659118746">
          <w:marLeft w:val="640"/>
          <w:marRight w:val="0"/>
          <w:marTop w:val="0"/>
          <w:marBottom w:val="0"/>
          <w:divBdr>
            <w:top w:val="none" w:sz="0" w:space="0" w:color="auto"/>
            <w:left w:val="none" w:sz="0" w:space="0" w:color="auto"/>
            <w:bottom w:val="none" w:sz="0" w:space="0" w:color="auto"/>
            <w:right w:val="none" w:sz="0" w:space="0" w:color="auto"/>
          </w:divBdr>
        </w:div>
        <w:div w:id="1119950316">
          <w:marLeft w:val="640"/>
          <w:marRight w:val="0"/>
          <w:marTop w:val="0"/>
          <w:marBottom w:val="0"/>
          <w:divBdr>
            <w:top w:val="none" w:sz="0" w:space="0" w:color="auto"/>
            <w:left w:val="none" w:sz="0" w:space="0" w:color="auto"/>
            <w:bottom w:val="none" w:sz="0" w:space="0" w:color="auto"/>
            <w:right w:val="none" w:sz="0" w:space="0" w:color="auto"/>
          </w:divBdr>
        </w:div>
        <w:div w:id="1793747598">
          <w:marLeft w:val="640"/>
          <w:marRight w:val="0"/>
          <w:marTop w:val="0"/>
          <w:marBottom w:val="0"/>
          <w:divBdr>
            <w:top w:val="none" w:sz="0" w:space="0" w:color="auto"/>
            <w:left w:val="none" w:sz="0" w:space="0" w:color="auto"/>
            <w:bottom w:val="none" w:sz="0" w:space="0" w:color="auto"/>
            <w:right w:val="none" w:sz="0" w:space="0" w:color="auto"/>
          </w:divBdr>
        </w:div>
        <w:div w:id="1945185133">
          <w:marLeft w:val="640"/>
          <w:marRight w:val="0"/>
          <w:marTop w:val="0"/>
          <w:marBottom w:val="0"/>
          <w:divBdr>
            <w:top w:val="none" w:sz="0" w:space="0" w:color="auto"/>
            <w:left w:val="none" w:sz="0" w:space="0" w:color="auto"/>
            <w:bottom w:val="none" w:sz="0" w:space="0" w:color="auto"/>
            <w:right w:val="none" w:sz="0" w:space="0" w:color="auto"/>
          </w:divBdr>
        </w:div>
        <w:div w:id="451021719">
          <w:marLeft w:val="640"/>
          <w:marRight w:val="0"/>
          <w:marTop w:val="0"/>
          <w:marBottom w:val="0"/>
          <w:divBdr>
            <w:top w:val="none" w:sz="0" w:space="0" w:color="auto"/>
            <w:left w:val="none" w:sz="0" w:space="0" w:color="auto"/>
            <w:bottom w:val="none" w:sz="0" w:space="0" w:color="auto"/>
            <w:right w:val="none" w:sz="0" w:space="0" w:color="auto"/>
          </w:divBdr>
        </w:div>
        <w:div w:id="1944336931">
          <w:marLeft w:val="640"/>
          <w:marRight w:val="0"/>
          <w:marTop w:val="0"/>
          <w:marBottom w:val="0"/>
          <w:divBdr>
            <w:top w:val="none" w:sz="0" w:space="0" w:color="auto"/>
            <w:left w:val="none" w:sz="0" w:space="0" w:color="auto"/>
            <w:bottom w:val="none" w:sz="0" w:space="0" w:color="auto"/>
            <w:right w:val="none" w:sz="0" w:space="0" w:color="auto"/>
          </w:divBdr>
        </w:div>
        <w:div w:id="284890234">
          <w:marLeft w:val="640"/>
          <w:marRight w:val="0"/>
          <w:marTop w:val="0"/>
          <w:marBottom w:val="0"/>
          <w:divBdr>
            <w:top w:val="none" w:sz="0" w:space="0" w:color="auto"/>
            <w:left w:val="none" w:sz="0" w:space="0" w:color="auto"/>
            <w:bottom w:val="none" w:sz="0" w:space="0" w:color="auto"/>
            <w:right w:val="none" w:sz="0" w:space="0" w:color="auto"/>
          </w:divBdr>
        </w:div>
        <w:div w:id="1918710378">
          <w:marLeft w:val="640"/>
          <w:marRight w:val="0"/>
          <w:marTop w:val="0"/>
          <w:marBottom w:val="0"/>
          <w:divBdr>
            <w:top w:val="none" w:sz="0" w:space="0" w:color="auto"/>
            <w:left w:val="none" w:sz="0" w:space="0" w:color="auto"/>
            <w:bottom w:val="none" w:sz="0" w:space="0" w:color="auto"/>
            <w:right w:val="none" w:sz="0" w:space="0" w:color="auto"/>
          </w:divBdr>
        </w:div>
        <w:div w:id="579869684">
          <w:marLeft w:val="640"/>
          <w:marRight w:val="0"/>
          <w:marTop w:val="0"/>
          <w:marBottom w:val="0"/>
          <w:divBdr>
            <w:top w:val="none" w:sz="0" w:space="0" w:color="auto"/>
            <w:left w:val="none" w:sz="0" w:space="0" w:color="auto"/>
            <w:bottom w:val="none" w:sz="0" w:space="0" w:color="auto"/>
            <w:right w:val="none" w:sz="0" w:space="0" w:color="auto"/>
          </w:divBdr>
        </w:div>
        <w:div w:id="833103566">
          <w:marLeft w:val="640"/>
          <w:marRight w:val="0"/>
          <w:marTop w:val="0"/>
          <w:marBottom w:val="0"/>
          <w:divBdr>
            <w:top w:val="none" w:sz="0" w:space="0" w:color="auto"/>
            <w:left w:val="none" w:sz="0" w:space="0" w:color="auto"/>
            <w:bottom w:val="none" w:sz="0" w:space="0" w:color="auto"/>
            <w:right w:val="none" w:sz="0" w:space="0" w:color="auto"/>
          </w:divBdr>
        </w:div>
        <w:div w:id="738555828">
          <w:marLeft w:val="640"/>
          <w:marRight w:val="0"/>
          <w:marTop w:val="0"/>
          <w:marBottom w:val="0"/>
          <w:divBdr>
            <w:top w:val="none" w:sz="0" w:space="0" w:color="auto"/>
            <w:left w:val="none" w:sz="0" w:space="0" w:color="auto"/>
            <w:bottom w:val="none" w:sz="0" w:space="0" w:color="auto"/>
            <w:right w:val="none" w:sz="0" w:space="0" w:color="auto"/>
          </w:divBdr>
        </w:div>
        <w:div w:id="1897202721">
          <w:marLeft w:val="640"/>
          <w:marRight w:val="0"/>
          <w:marTop w:val="0"/>
          <w:marBottom w:val="0"/>
          <w:divBdr>
            <w:top w:val="none" w:sz="0" w:space="0" w:color="auto"/>
            <w:left w:val="none" w:sz="0" w:space="0" w:color="auto"/>
            <w:bottom w:val="none" w:sz="0" w:space="0" w:color="auto"/>
            <w:right w:val="none" w:sz="0" w:space="0" w:color="auto"/>
          </w:divBdr>
        </w:div>
        <w:div w:id="1488864680">
          <w:marLeft w:val="640"/>
          <w:marRight w:val="0"/>
          <w:marTop w:val="0"/>
          <w:marBottom w:val="0"/>
          <w:divBdr>
            <w:top w:val="none" w:sz="0" w:space="0" w:color="auto"/>
            <w:left w:val="none" w:sz="0" w:space="0" w:color="auto"/>
            <w:bottom w:val="none" w:sz="0" w:space="0" w:color="auto"/>
            <w:right w:val="none" w:sz="0" w:space="0" w:color="auto"/>
          </w:divBdr>
        </w:div>
        <w:div w:id="1135021893">
          <w:marLeft w:val="640"/>
          <w:marRight w:val="0"/>
          <w:marTop w:val="0"/>
          <w:marBottom w:val="0"/>
          <w:divBdr>
            <w:top w:val="none" w:sz="0" w:space="0" w:color="auto"/>
            <w:left w:val="none" w:sz="0" w:space="0" w:color="auto"/>
            <w:bottom w:val="none" w:sz="0" w:space="0" w:color="auto"/>
            <w:right w:val="none" w:sz="0" w:space="0" w:color="auto"/>
          </w:divBdr>
        </w:div>
        <w:div w:id="1464422055">
          <w:marLeft w:val="640"/>
          <w:marRight w:val="0"/>
          <w:marTop w:val="0"/>
          <w:marBottom w:val="0"/>
          <w:divBdr>
            <w:top w:val="none" w:sz="0" w:space="0" w:color="auto"/>
            <w:left w:val="none" w:sz="0" w:space="0" w:color="auto"/>
            <w:bottom w:val="none" w:sz="0" w:space="0" w:color="auto"/>
            <w:right w:val="none" w:sz="0" w:space="0" w:color="auto"/>
          </w:divBdr>
        </w:div>
        <w:div w:id="312225107">
          <w:marLeft w:val="640"/>
          <w:marRight w:val="0"/>
          <w:marTop w:val="0"/>
          <w:marBottom w:val="0"/>
          <w:divBdr>
            <w:top w:val="none" w:sz="0" w:space="0" w:color="auto"/>
            <w:left w:val="none" w:sz="0" w:space="0" w:color="auto"/>
            <w:bottom w:val="none" w:sz="0" w:space="0" w:color="auto"/>
            <w:right w:val="none" w:sz="0" w:space="0" w:color="auto"/>
          </w:divBdr>
        </w:div>
        <w:div w:id="355080587">
          <w:marLeft w:val="640"/>
          <w:marRight w:val="0"/>
          <w:marTop w:val="0"/>
          <w:marBottom w:val="0"/>
          <w:divBdr>
            <w:top w:val="none" w:sz="0" w:space="0" w:color="auto"/>
            <w:left w:val="none" w:sz="0" w:space="0" w:color="auto"/>
            <w:bottom w:val="none" w:sz="0" w:space="0" w:color="auto"/>
            <w:right w:val="none" w:sz="0" w:space="0" w:color="auto"/>
          </w:divBdr>
        </w:div>
        <w:div w:id="1756392803">
          <w:marLeft w:val="640"/>
          <w:marRight w:val="0"/>
          <w:marTop w:val="0"/>
          <w:marBottom w:val="0"/>
          <w:divBdr>
            <w:top w:val="none" w:sz="0" w:space="0" w:color="auto"/>
            <w:left w:val="none" w:sz="0" w:space="0" w:color="auto"/>
            <w:bottom w:val="none" w:sz="0" w:space="0" w:color="auto"/>
            <w:right w:val="none" w:sz="0" w:space="0" w:color="auto"/>
          </w:divBdr>
        </w:div>
        <w:div w:id="1097629502">
          <w:marLeft w:val="640"/>
          <w:marRight w:val="0"/>
          <w:marTop w:val="0"/>
          <w:marBottom w:val="0"/>
          <w:divBdr>
            <w:top w:val="none" w:sz="0" w:space="0" w:color="auto"/>
            <w:left w:val="none" w:sz="0" w:space="0" w:color="auto"/>
            <w:bottom w:val="none" w:sz="0" w:space="0" w:color="auto"/>
            <w:right w:val="none" w:sz="0" w:space="0" w:color="auto"/>
          </w:divBdr>
        </w:div>
        <w:div w:id="368455518">
          <w:marLeft w:val="640"/>
          <w:marRight w:val="0"/>
          <w:marTop w:val="0"/>
          <w:marBottom w:val="0"/>
          <w:divBdr>
            <w:top w:val="none" w:sz="0" w:space="0" w:color="auto"/>
            <w:left w:val="none" w:sz="0" w:space="0" w:color="auto"/>
            <w:bottom w:val="none" w:sz="0" w:space="0" w:color="auto"/>
            <w:right w:val="none" w:sz="0" w:space="0" w:color="auto"/>
          </w:divBdr>
        </w:div>
        <w:div w:id="858398824">
          <w:marLeft w:val="640"/>
          <w:marRight w:val="0"/>
          <w:marTop w:val="0"/>
          <w:marBottom w:val="0"/>
          <w:divBdr>
            <w:top w:val="none" w:sz="0" w:space="0" w:color="auto"/>
            <w:left w:val="none" w:sz="0" w:space="0" w:color="auto"/>
            <w:bottom w:val="none" w:sz="0" w:space="0" w:color="auto"/>
            <w:right w:val="none" w:sz="0" w:space="0" w:color="auto"/>
          </w:divBdr>
        </w:div>
        <w:div w:id="124785738">
          <w:marLeft w:val="640"/>
          <w:marRight w:val="0"/>
          <w:marTop w:val="0"/>
          <w:marBottom w:val="0"/>
          <w:divBdr>
            <w:top w:val="none" w:sz="0" w:space="0" w:color="auto"/>
            <w:left w:val="none" w:sz="0" w:space="0" w:color="auto"/>
            <w:bottom w:val="none" w:sz="0" w:space="0" w:color="auto"/>
            <w:right w:val="none" w:sz="0" w:space="0" w:color="auto"/>
          </w:divBdr>
        </w:div>
        <w:div w:id="1792632893">
          <w:marLeft w:val="640"/>
          <w:marRight w:val="0"/>
          <w:marTop w:val="0"/>
          <w:marBottom w:val="0"/>
          <w:divBdr>
            <w:top w:val="none" w:sz="0" w:space="0" w:color="auto"/>
            <w:left w:val="none" w:sz="0" w:space="0" w:color="auto"/>
            <w:bottom w:val="none" w:sz="0" w:space="0" w:color="auto"/>
            <w:right w:val="none" w:sz="0" w:space="0" w:color="auto"/>
          </w:divBdr>
        </w:div>
        <w:div w:id="360402381">
          <w:marLeft w:val="640"/>
          <w:marRight w:val="0"/>
          <w:marTop w:val="0"/>
          <w:marBottom w:val="0"/>
          <w:divBdr>
            <w:top w:val="none" w:sz="0" w:space="0" w:color="auto"/>
            <w:left w:val="none" w:sz="0" w:space="0" w:color="auto"/>
            <w:bottom w:val="none" w:sz="0" w:space="0" w:color="auto"/>
            <w:right w:val="none" w:sz="0" w:space="0" w:color="auto"/>
          </w:divBdr>
        </w:div>
        <w:div w:id="1926182075">
          <w:marLeft w:val="640"/>
          <w:marRight w:val="0"/>
          <w:marTop w:val="0"/>
          <w:marBottom w:val="0"/>
          <w:divBdr>
            <w:top w:val="none" w:sz="0" w:space="0" w:color="auto"/>
            <w:left w:val="none" w:sz="0" w:space="0" w:color="auto"/>
            <w:bottom w:val="none" w:sz="0" w:space="0" w:color="auto"/>
            <w:right w:val="none" w:sz="0" w:space="0" w:color="auto"/>
          </w:divBdr>
        </w:div>
        <w:div w:id="1002004371">
          <w:marLeft w:val="640"/>
          <w:marRight w:val="0"/>
          <w:marTop w:val="0"/>
          <w:marBottom w:val="0"/>
          <w:divBdr>
            <w:top w:val="none" w:sz="0" w:space="0" w:color="auto"/>
            <w:left w:val="none" w:sz="0" w:space="0" w:color="auto"/>
            <w:bottom w:val="none" w:sz="0" w:space="0" w:color="auto"/>
            <w:right w:val="none" w:sz="0" w:space="0" w:color="auto"/>
          </w:divBdr>
        </w:div>
        <w:div w:id="2051490417">
          <w:marLeft w:val="640"/>
          <w:marRight w:val="0"/>
          <w:marTop w:val="0"/>
          <w:marBottom w:val="0"/>
          <w:divBdr>
            <w:top w:val="none" w:sz="0" w:space="0" w:color="auto"/>
            <w:left w:val="none" w:sz="0" w:space="0" w:color="auto"/>
            <w:bottom w:val="none" w:sz="0" w:space="0" w:color="auto"/>
            <w:right w:val="none" w:sz="0" w:space="0" w:color="auto"/>
          </w:divBdr>
        </w:div>
        <w:div w:id="1567495743">
          <w:marLeft w:val="640"/>
          <w:marRight w:val="0"/>
          <w:marTop w:val="0"/>
          <w:marBottom w:val="0"/>
          <w:divBdr>
            <w:top w:val="none" w:sz="0" w:space="0" w:color="auto"/>
            <w:left w:val="none" w:sz="0" w:space="0" w:color="auto"/>
            <w:bottom w:val="none" w:sz="0" w:space="0" w:color="auto"/>
            <w:right w:val="none" w:sz="0" w:space="0" w:color="auto"/>
          </w:divBdr>
        </w:div>
        <w:div w:id="1107309264">
          <w:marLeft w:val="640"/>
          <w:marRight w:val="0"/>
          <w:marTop w:val="0"/>
          <w:marBottom w:val="0"/>
          <w:divBdr>
            <w:top w:val="none" w:sz="0" w:space="0" w:color="auto"/>
            <w:left w:val="none" w:sz="0" w:space="0" w:color="auto"/>
            <w:bottom w:val="none" w:sz="0" w:space="0" w:color="auto"/>
            <w:right w:val="none" w:sz="0" w:space="0" w:color="auto"/>
          </w:divBdr>
        </w:div>
        <w:div w:id="330648664">
          <w:marLeft w:val="640"/>
          <w:marRight w:val="0"/>
          <w:marTop w:val="0"/>
          <w:marBottom w:val="0"/>
          <w:divBdr>
            <w:top w:val="none" w:sz="0" w:space="0" w:color="auto"/>
            <w:left w:val="none" w:sz="0" w:space="0" w:color="auto"/>
            <w:bottom w:val="none" w:sz="0" w:space="0" w:color="auto"/>
            <w:right w:val="none" w:sz="0" w:space="0" w:color="auto"/>
          </w:divBdr>
        </w:div>
        <w:div w:id="1015350124">
          <w:marLeft w:val="640"/>
          <w:marRight w:val="0"/>
          <w:marTop w:val="0"/>
          <w:marBottom w:val="0"/>
          <w:divBdr>
            <w:top w:val="none" w:sz="0" w:space="0" w:color="auto"/>
            <w:left w:val="none" w:sz="0" w:space="0" w:color="auto"/>
            <w:bottom w:val="none" w:sz="0" w:space="0" w:color="auto"/>
            <w:right w:val="none" w:sz="0" w:space="0" w:color="auto"/>
          </w:divBdr>
        </w:div>
        <w:div w:id="2086605758">
          <w:marLeft w:val="640"/>
          <w:marRight w:val="0"/>
          <w:marTop w:val="0"/>
          <w:marBottom w:val="0"/>
          <w:divBdr>
            <w:top w:val="none" w:sz="0" w:space="0" w:color="auto"/>
            <w:left w:val="none" w:sz="0" w:space="0" w:color="auto"/>
            <w:bottom w:val="none" w:sz="0" w:space="0" w:color="auto"/>
            <w:right w:val="none" w:sz="0" w:space="0" w:color="auto"/>
          </w:divBdr>
        </w:div>
        <w:div w:id="119420765">
          <w:marLeft w:val="640"/>
          <w:marRight w:val="0"/>
          <w:marTop w:val="0"/>
          <w:marBottom w:val="0"/>
          <w:divBdr>
            <w:top w:val="none" w:sz="0" w:space="0" w:color="auto"/>
            <w:left w:val="none" w:sz="0" w:space="0" w:color="auto"/>
            <w:bottom w:val="none" w:sz="0" w:space="0" w:color="auto"/>
            <w:right w:val="none" w:sz="0" w:space="0" w:color="auto"/>
          </w:divBdr>
        </w:div>
        <w:div w:id="134488340">
          <w:marLeft w:val="640"/>
          <w:marRight w:val="0"/>
          <w:marTop w:val="0"/>
          <w:marBottom w:val="0"/>
          <w:divBdr>
            <w:top w:val="none" w:sz="0" w:space="0" w:color="auto"/>
            <w:left w:val="none" w:sz="0" w:space="0" w:color="auto"/>
            <w:bottom w:val="none" w:sz="0" w:space="0" w:color="auto"/>
            <w:right w:val="none" w:sz="0" w:space="0" w:color="auto"/>
          </w:divBdr>
        </w:div>
        <w:div w:id="1995983396">
          <w:marLeft w:val="640"/>
          <w:marRight w:val="0"/>
          <w:marTop w:val="0"/>
          <w:marBottom w:val="0"/>
          <w:divBdr>
            <w:top w:val="none" w:sz="0" w:space="0" w:color="auto"/>
            <w:left w:val="none" w:sz="0" w:space="0" w:color="auto"/>
            <w:bottom w:val="none" w:sz="0" w:space="0" w:color="auto"/>
            <w:right w:val="none" w:sz="0" w:space="0" w:color="auto"/>
          </w:divBdr>
        </w:div>
        <w:div w:id="290088952">
          <w:marLeft w:val="640"/>
          <w:marRight w:val="0"/>
          <w:marTop w:val="0"/>
          <w:marBottom w:val="0"/>
          <w:divBdr>
            <w:top w:val="none" w:sz="0" w:space="0" w:color="auto"/>
            <w:left w:val="none" w:sz="0" w:space="0" w:color="auto"/>
            <w:bottom w:val="none" w:sz="0" w:space="0" w:color="auto"/>
            <w:right w:val="none" w:sz="0" w:space="0" w:color="auto"/>
          </w:divBdr>
        </w:div>
        <w:div w:id="1504970371">
          <w:marLeft w:val="640"/>
          <w:marRight w:val="0"/>
          <w:marTop w:val="0"/>
          <w:marBottom w:val="0"/>
          <w:divBdr>
            <w:top w:val="none" w:sz="0" w:space="0" w:color="auto"/>
            <w:left w:val="none" w:sz="0" w:space="0" w:color="auto"/>
            <w:bottom w:val="none" w:sz="0" w:space="0" w:color="auto"/>
            <w:right w:val="none" w:sz="0" w:space="0" w:color="auto"/>
          </w:divBdr>
        </w:div>
        <w:div w:id="1076441916">
          <w:marLeft w:val="640"/>
          <w:marRight w:val="0"/>
          <w:marTop w:val="0"/>
          <w:marBottom w:val="0"/>
          <w:divBdr>
            <w:top w:val="none" w:sz="0" w:space="0" w:color="auto"/>
            <w:left w:val="none" w:sz="0" w:space="0" w:color="auto"/>
            <w:bottom w:val="none" w:sz="0" w:space="0" w:color="auto"/>
            <w:right w:val="none" w:sz="0" w:space="0" w:color="auto"/>
          </w:divBdr>
        </w:div>
        <w:div w:id="976884030">
          <w:marLeft w:val="640"/>
          <w:marRight w:val="0"/>
          <w:marTop w:val="0"/>
          <w:marBottom w:val="0"/>
          <w:divBdr>
            <w:top w:val="none" w:sz="0" w:space="0" w:color="auto"/>
            <w:left w:val="none" w:sz="0" w:space="0" w:color="auto"/>
            <w:bottom w:val="none" w:sz="0" w:space="0" w:color="auto"/>
            <w:right w:val="none" w:sz="0" w:space="0" w:color="auto"/>
          </w:divBdr>
        </w:div>
        <w:div w:id="1673600752">
          <w:marLeft w:val="640"/>
          <w:marRight w:val="0"/>
          <w:marTop w:val="0"/>
          <w:marBottom w:val="0"/>
          <w:divBdr>
            <w:top w:val="none" w:sz="0" w:space="0" w:color="auto"/>
            <w:left w:val="none" w:sz="0" w:space="0" w:color="auto"/>
            <w:bottom w:val="none" w:sz="0" w:space="0" w:color="auto"/>
            <w:right w:val="none" w:sz="0" w:space="0" w:color="auto"/>
          </w:divBdr>
        </w:div>
        <w:div w:id="579676156">
          <w:marLeft w:val="640"/>
          <w:marRight w:val="0"/>
          <w:marTop w:val="0"/>
          <w:marBottom w:val="0"/>
          <w:divBdr>
            <w:top w:val="none" w:sz="0" w:space="0" w:color="auto"/>
            <w:left w:val="none" w:sz="0" w:space="0" w:color="auto"/>
            <w:bottom w:val="none" w:sz="0" w:space="0" w:color="auto"/>
            <w:right w:val="none" w:sz="0" w:space="0" w:color="auto"/>
          </w:divBdr>
        </w:div>
        <w:div w:id="1557470230">
          <w:marLeft w:val="640"/>
          <w:marRight w:val="0"/>
          <w:marTop w:val="0"/>
          <w:marBottom w:val="0"/>
          <w:divBdr>
            <w:top w:val="none" w:sz="0" w:space="0" w:color="auto"/>
            <w:left w:val="none" w:sz="0" w:space="0" w:color="auto"/>
            <w:bottom w:val="none" w:sz="0" w:space="0" w:color="auto"/>
            <w:right w:val="none" w:sz="0" w:space="0" w:color="auto"/>
          </w:divBdr>
        </w:div>
        <w:div w:id="1844127357">
          <w:marLeft w:val="640"/>
          <w:marRight w:val="0"/>
          <w:marTop w:val="0"/>
          <w:marBottom w:val="0"/>
          <w:divBdr>
            <w:top w:val="none" w:sz="0" w:space="0" w:color="auto"/>
            <w:left w:val="none" w:sz="0" w:space="0" w:color="auto"/>
            <w:bottom w:val="none" w:sz="0" w:space="0" w:color="auto"/>
            <w:right w:val="none" w:sz="0" w:space="0" w:color="auto"/>
          </w:divBdr>
        </w:div>
        <w:div w:id="1263149179">
          <w:marLeft w:val="640"/>
          <w:marRight w:val="0"/>
          <w:marTop w:val="0"/>
          <w:marBottom w:val="0"/>
          <w:divBdr>
            <w:top w:val="none" w:sz="0" w:space="0" w:color="auto"/>
            <w:left w:val="none" w:sz="0" w:space="0" w:color="auto"/>
            <w:bottom w:val="none" w:sz="0" w:space="0" w:color="auto"/>
            <w:right w:val="none" w:sz="0" w:space="0" w:color="auto"/>
          </w:divBdr>
        </w:div>
        <w:div w:id="256333244">
          <w:marLeft w:val="640"/>
          <w:marRight w:val="0"/>
          <w:marTop w:val="0"/>
          <w:marBottom w:val="0"/>
          <w:divBdr>
            <w:top w:val="none" w:sz="0" w:space="0" w:color="auto"/>
            <w:left w:val="none" w:sz="0" w:space="0" w:color="auto"/>
            <w:bottom w:val="none" w:sz="0" w:space="0" w:color="auto"/>
            <w:right w:val="none" w:sz="0" w:space="0" w:color="auto"/>
          </w:divBdr>
        </w:div>
        <w:div w:id="444620062">
          <w:marLeft w:val="640"/>
          <w:marRight w:val="0"/>
          <w:marTop w:val="0"/>
          <w:marBottom w:val="0"/>
          <w:divBdr>
            <w:top w:val="none" w:sz="0" w:space="0" w:color="auto"/>
            <w:left w:val="none" w:sz="0" w:space="0" w:color="auto"/>
            <w:bottom w:val="none" w:sz="0" w:space="0" w:color="auto"/>
            <w:right w:val="none" w:sz="0" w:space="0" w:color="auto"/>
          </w:divBdr>
        </w:div>
        <w:div w:id="1007437446">
          <w:marLeft w:val="640"/>
          <w:marRight w:val="0"/>
          <w:marTop w:val="0"/>
          <w:marBottom w:val="0"/>
          <w:divBdr>
            <w:top w:val="none" w:sz="0" w:space="0" w:color="auto"/>
            <w:left w:val="none" w:sz="0" w:space="0" w:color="auto"/>
            <w:bottom w:val="none" w:sz="0" w:space="0" w:color="auto"/>
            <w:right w:val="none" w:sz="0" w:space="0" w:color="auto"/>
          </w:divBdr>
        </w:div>
        <w:div w:id="959609569">
          <w:marLeft w:val="640"/>
          <w:marRight w:val="0"/>
          <w:marTop w:val="0"/>
          <w:marBottom w:val="0"/>
          <w:divBdr>
            <w:top w:val="none" w:sz="0" w:space="0" w:color="auto"/>
            <w:left w:val="none" w:sz="0" w:space="0" w:color="auto"/>
            <w:bottom w:val="none" w:sz="0" w:space="0" w:color="auto"/>
            <w:right w:val="none" w:sz="0" w:space="0" w:color="auto"/>
          </w:divBdr>
        </w:div>
      </w:divsChild>
    </w:div>
    <w:div w:id="2142652230">
      <w:bodyDiv w:val="1"/>
      <w:marLeft w:val="0"/>
      <w:marRight w:val="0"/>
      <w:marTop w:val="0"/>
      <w:marBottom w:val="0"/>
      <w:divBdr>
        <w:top w:val="none" w:sz="0" w:space="0" w:color="auto"/>
        <w:left w:val="none" w:sz="0" w:space="0" w:color="auto"/>
        <w:bottom w:val="none" w:sz="0" w:space="0" w:color="auto"/>
        <w:right w:val="none" w:sz="0" w:space="0" w:color="auto"/>
      </w:divBdr>
      <w:divsChild>
        <w:div w:id="1768965344">
          <w:marLeft w:val="640"/>
          <w:marRight w:val="0"/>
          <w:marTop w:val="0"/>
          <w:marBottom w:val="0"/>
          <w:divBdr>
            <w:top w:val="none" w:sz="0" w:space="0" w:color="auto"/>
            <w:left w:val="none" w:sz="0" w:space="0" w:color="auto"/>
            <w:bottom w:val="none" w:sz="0" w:space="0" w:color="auto"/>
            <w:right w:val="none" w:sz="0" w:space="0" w:color="auto"/>
          </w:divBdr>
        </w:div>
        <w:div w:id="238296566">
          <w:marLeft w:val="640"/>
          <w:marRight w:val="0"/>
          <w:marTop w:val="0"/>
          <w:marBottom w:val="0"/>
          <w:divBdr>
            <w:top w:val="none" w:sz="0" w:space="0" w:color="auto"/>
            <w:left w:val="none" w:sz="0" w:space="0" w:color="auto"/>
            <w:bottom w:val="none" w:sz="0" w:space="0" w:color="auto"/>
            <w:right w:val="none" w:sz="0" w:space="0" w:color="auto"/>
          </w:divBdr>
        </w:div>
        <w:div w:id="1039548977">
          <w:marLeft w:val="640"/>
          <w:marRight w:val="0"/>
          <w:marTop w:val="0"/>
          <w:marBottom w:val="0"/>
          <w:divBdr>
            <w:top w:val="none" w:sz="0" w:space="0" w:color="auto"/>
            <w:left w:val="none" w:sz="0" w:space="0" w:color="auto"/>
            <w:bottom w:val="none" w:sz="0" w:space="0" w:color="auto"/>
            <w:right w:val="none" w:sz="0" w:space="0" w:color="auto"/>
          </w:divBdr>
        </w:div>
        <w:div w:id="2054226380">
          <w:marLeft w:val="640"/>
          <w:marRight w:val="0"/>
          <w:marTop w:val="0"/>
          <w:marBottom w:val="0"/>
          <w:divBdr>
            <w:top w:val="none" w:sz="0" w:space="0" w:color="auto"/>
            <w:left w:val="none" w:sz="0" w:space="0" w:color="auto"/>
            <w:bottom w:val="none" w:sz="0" w:space="0" w:color="auto"/>
            <w:right w:val="none" w:sz="0" w:space="0" w:color="auto"/>
          </w:divBdr>
        </w:div>
        <w:div w:id="29377692">
          <w:marLeft w:val="640"/>
          <w:marRight w:val="0"/>
          <w:marTop w:val="0"/>
          <w:marBottom w:val="0"/>
          <w:divBdr>
            <w:top w:val="none" w:sz="0" w:space="0" w:color="auto"/>
            <w:left w:val="none" w:sz="0" w:space="0" w:color="auto"/>
            <w:bottom w:val="none" w:sz="0" w:space="0" w:color="auto"/>
            <w:right w:val="none" w:sz="0" w:space="0" w:color="auto"/>
          </w:divBdr>
        </w:div>
        <w:div w:id="895354829">
          <w:marLeft w:val="640"/>
          <w:marRight w:val="0"/>
          <w:marTop w:val="0"/>
          <w:marBottom w:val="0"/>
          <w:divBdr>
            <w:top w:val="none" w:sz="0" w:space="0" w:color="auto"/>
            <w:left w:val="none" w:sz="0" w:space="0" w:color="auto"/>
            <w:bottom w:val="none" w:sz="0" w:space="0" w:color="auto"/>
            <w:right w:val="none" w:sz="0" w:space="0" w:color="auto"/>
          </w:divBdr>
        </w:div>
        <w:div w:id="2023704730">
          <w:marLeft w:val="640"/>
          <w:marRight w:val="0"/>
          <w:marTop w:val="0"/>
          <w:marBottom w:val="0"/>
          <w:divBdr>
            <w:top w:val="none" w:sz="0" w:space="0" w:color="auto"/>
            <w:left w:val="none" w:sz="0" w:space="0" w:color="auto"/>
            <w:bottom w:val="none" w:sz="0" w:space="0" w:color="auto"/>
            <w:right w:val="none" w:sz="0" w:space="0" w:color="auto"/>
          </w:divBdr>
        </w:div>
        <w:div w:id="340477428">
          <w:marLeft w:val="640"/>
          <w:marRight w:val="0"/>
          <w:marTop w:val="0"/>
          <w:marBottom w:val="0"/>
          <w:divBdr>
            <w:top w:val="none" w:sz="0" w:space="0" w:color="auto"/>
            <w:left w:val="none" w:sz="0" w:space="0" w:color="auto"/>
            <w:bottom w:val="none" w:sz="0" w:space="0" w:color="auto"/>
            <w:right w:val="none" w:sz="0" w:space="0" w:color="auto"/>
          </w:divBdr>
        </w:div>
        <w:div w:id="1639920462">
          <w:marLeft w:val="640"/>
          <w:marRight w:val="0"/>
          <w:marTop w:val="0"/>
          <w:marBottom w:val="0"/>
          <w:divBdr>
            <w:top w:val="none" w:sz="0" w:space="0" w:color="auto"/>
            <w:left w:val="none" w:sz="0" w:space="0" w:color="auto"/>
            <w:bottom w:val="none" w:sz="0" w:space="0" w:color="auto"/>
            <w:right w:val="none" w:sz="0" w:space="0" w:color="auto"/>
          </w:divBdr>
        </w:div>
        <w:div w:id="1469127658">
          <w:marLeft w:val="640"/>
          <w:marRight w:val="0"/>
          <w:marTop w:val="0"/>
          <w:marBottom w:val="0"/>
          <w:divBdr>
            <w:top w:val="none" w:sz="0" w:space="0" w:color="auto"/>
            <w:left w:val="none" w:sz="0" w:space="0" w:color="auto"/>
            <w:bottom w:val="none" w:sz="0" w:space="0" w:color="auto"/>
            <w:right w:val="none" w:sz="0" w:space="0" w:color="auto"/>
          </w:divBdr>
        </w:div>
        <w:div w:id="594485459">
          <w:marLeft w:val="640"/>
          <w:marRight w:val="0"/>
          <w:marTop w:val="0"/>
          <w:marBottom w:val="0"/>
          <w:divBdr>
            <w:top w:val="none" w:sz="0" w:space="0" w:color="auto"/>
            <w:left w:val="none" w:sz="0" w:space="0" w:color="auto"/>
            <w:bottom w:val="none" w:sz="0" w:space="0" w:color="auto"/>
            <w:right w:val="none" w:sz="0" w:space="0" w:color="auto"/>
          </w:divBdr>
        </w:div>
        <w:div w:id="679281527">
          <w:marLeft w:val="640"/>
          <w:marRight w:val="0"/>
          <w:marTop w:val="0"/>
          <w:marBottom w:val="0"/>
          <w:divBdr>
            <w:top w:val="none" w:sz="0" w:space="0" w:color="auto"/>
            <w:left w:val="none" w:sz="0" w:space="0" w:color="auto"/>
            <w:bottom w:val="none" w:sz="0" w:space="0" w:color="auto"/>
            <w:right w:val="none" w:sz="0" w:space="0" w:color="auto"/>
          </w:divBdr>
        </w:div>
        <w:div w:id="1025714618">
          <w:marLeft w:val="640"/>
          <w:marRight w:val="0"/>
          <w:marTop w:val="0"/>
          <w:marBottom w:val="0"/>
          <w:divBdr>
            <w:top w:val="none" w:sz="0" w:space="0" w:color="auto"/>
            <w:left w:val="none" w:sz="0" w:space="0" w:color="auto"/>
            <w:bottom w:val="none" w:sz="0" w:space="0" w:color="auto"/>
            <w:right w:val="none" w:sz="0" w:space="0" w:color="auto"/>
          </w:divBdr>
        </w:div>
        <w:div w:id="1608468323">
          <w:marLeft w:val="640"/>
          <w:marRight w:val="0"/>
          <w:marTop w:val="0"/>
          <w:marBottom w:val="0"/>
          <w:divBdr>
            <w:top w:val="none" w:sz="0" w:space="0" w:color="auto"/>
            <w:left w:val="none" w:sz="0" w:space="0" w:color="auto"/>
            <w:bottom w:val="none" w:sz="0" w:space="0" w:color="auto"/>
            <w:right w:val="none" w:sz="0" w:space="0" w:color="auto"/>
          </w:divBdr>
        </w:div>
        <w:div w:id="2095860482">
          <w:marLeft w:val="640"/>
          <w:marRight w:val="0"/>
          <w:marTop w:val="0"/>
          <w:marBottom w:val="0"/>
          <w:divBdr>
            <w:top w:val="none" w:sz="0" w:space="0" w:color="auto"/>
            <w:left w:val="none" w:sz="0" w:space="0" w:color="auto"/>
            <w:bottom w:val="none" w:sz="0" w:space="0" w:color="auto"/>
            <w:right w:val="none" w:sz="0" w:space="0" w:color="auto"/>
          </w:divBdr>
        </w:div>
        <w:div w:id="1851220102">
          <w:marLeft w:val="640"/>
          <w:marRight w:val="0"/>
          <w:marTop w:val="0"/>
          <w:marBottom w:val="0"/>
          <w:divBdr>
            <w:top w:val="none" w:sz="0" w:space="0" w:color="auto"/>
            <w:left w:val="none" w:sz="0" w:space="0" w:color="auto"/>
            <w:bottom w:val="none" w:sz="0" w:space="0" w:color="auto"/>
            <w:right w:val="none" w:sz="0" w:space="0" w:color="auto"/>
          </w:divBdr>
        </w:div>
        <w:div w:id="867719884">
          <w:marLeft w:val="640"/>
          <w:marRight w:val="0"/>
          <w:marTop w:val="0"/>
          <w:marBottom w:val="0"/>
          <w:divBdr>
            <w:top w:val="none" w:sz="0" w:space="0" w:color="auto"/>
            <w:left w:val="none" w:sz="0" w:space="0" w:color="auto"/>
            <w:bottom w:val="none" w:sz="0" w:space="0" w:color="auto"/>
            <w:right w:val="none" w:sz="0" w:space="0" w:color="auto"/>
          </w:divBdr>
        </w:div>
        <w:div w:id="62724521">
          <w:marLeft w:val="640"/>
          <w:marRight w:val="0"/>
          <w:marTop w:val="0"/>
          <w:marBottom w:val="0"/>
          <w:divBdr>
            <w:top w:val="none" w:sz="0" w:space="0" w:color="auto"/>
            <w:left w:val="none" w:sz="0" w:space="0" w:color="auto"/>
            <w:bottom w:val="none" w:sz="0" w:space="0" w:color="auto"/>
            <w:right w:val="none" w:sz="0" w:space="0" w:color="auto"/>
          </w:divBdr>
        </w:div>
        <w:div w:id="9992367">
          <w:marLeft w:val="640"/>
          <w:marRight w:val="0"/>
          <w:marTop w:val="0"/>
          <w:marBottom w:val="0"/>
          <w:divBdr>
            <w:top w:val="none" w:sz="0" w:space="0" w:color="auto"/>
            <w:left w:val="none" w:sz="0" w:space="0" w:color="auto"/>
            <w:bottom w:val="none" w:sz="0" w:space="0" w:color="auto"/>
            <w:right w:val="none" w:sz="0" w:space="0" w:color="auto"/>
          </w:divBdr>
        </w:div>
        <w:div w:id="1704360658">
          <w:marLeft w:val="640"/>
          <w:marRight w:val="0"/>
          <w:marTop w:val="0"/>
          <w:marBottom w:val="0"/>
          <w:divBdr>
            <w:top w:val="none" w:sz="0" w:space="0" w:color="auto"/>
            <w:left w:val="none" w:sz="0" w:space="0" w:color="auto"/>
            <w:bottom w:val="none" w:sz="0" w:space="0" w:color="auto"/>
            <w:right w:val="none" w:sz="0" w:space="0" w:color="auto"/>
          </w:divBdr>
        </w:div>
        <w:div w:id="1334332880">
          <w:marLeft w:val="640"/>
          <w:marRight w:val="0"/>
          <w:marTop w:val="0"/>
          <w:marBottom w:val="0"/>
          <w:divBdr>
            <w:top w:val="none" w:sz="0" w:space="0" w:color="auto"/>
            <w:left w:val="none" w:sz="0" w:space="0" w:color="auto"/>
            <w:bottom w:val="none" w:sz="0" w:space="0" w:color="auto"/>
            <w:right w:val="none" w:sz="0" w:space="0" w:color="auto"/>
          </w:divBdr>
        </w:div>
        <w:div w:id="337512046">
          <w:marLeft w:val="640"/>
          <w:marRight w:val="0"/>
          <w:marTop w:val="0"/>
          <w:marBottom w:val="0"/>
          <w:divBdr>
            <w:top w:val="none" w:sz="0" w:space="0" w:color="auto"/>
            <w:left w:val="none" w:sz="0" w:space="0" w:color="auto"/>
            <w:bottom w:val="none" w:sz="0" w:space="0" w:color="auto"/>
            <w:right w:val="none" w:sz="0" w:space="0" w:color="auto"/>
          </w:divBdr>
        </w:div>
        <w:div w:id="1448738960">
          <w:marLeft w:val="640"/>
          <w:marRight w:val="0"/>
          <w:marTop w:val="0"/>
          <w:marBottom w:val="0"/>
          <w:divBdr>
            <w:top w:val="none" w:sz="0" w:space="0" w:color="auto"/>
            <w:left w:val="none" w:sz="0" w:space="0" w:color="auto"/>
            <w:bottom w:val="none" w:sz="0" w:space="0" w:color="auto"/>
            <w:right w:val="none" w:sz="0" w:space="0" w:color="auto"/>
          </w:divBdr>
        </w:div>
        <w:div w:id="310716354">
          <w:marLeft w:val="640"/>
          <w:marRight w:val="0"/>
          <w:marTop w:val="0"/>
          <w:marBottom w:val="0"/>
          <w:divBdr>
            <w:top w:val="none" w:sz="0" w:space="0" w:color="auto"/>
            <w:left w:val="none" w:sz="0" w:space="0" w:color="auto"/>
            <w:bottom w:val="none" w:sz="0" w:space="0" w:color="auto"/>
            <w:right w:val="none" w:sz="0" w:space="0" w:color="auto"/>
          </w:divBdr>
        </w:div>
        <w:div w:id="1902255893">
          <w:marLeft w:val="640"/>
          <w:marRight w:val="0"/>
          <w:marTop w:val="0"/>
          <w:marBottom w:val="0"/>
          <w:divBdr>
            <w:top w:val="none" w:sz="0" w:space="0" w:color="auto"/>
            <w:left w:val="none" w:sz="0" w:space="0" w:color="auto"/>
            <w:bottom w:val="none" w:sz="0" w:space="0" w:color="auto"/>
            <w:right w:val="none" w:sz="0" w:space="0" w:color="auto"/>
          </w:divBdr>
        </w:div>
        <w:div w:id="153030886">
          <w:marLeft w:val="640"/>
          <w:marRight w:val="0"/>
          <w:marTop w:val="0"/>
          <w:marBottom w:val="0"/>
          <w:divBdr>
            <w:top w:val="none" w:sz="0" w:space="0" w:color="auto"/>
            <w:left w:val="none" w:sz="0" w:space="0" w:color="auto"/>
            <w:bottom w:val="none" w:sz="0" w:space="0" w:color="auto"/>
            <w:right w:val="none" w:sz="0" w:space="0" w:color="auto"/>
          </w:divBdr>
        </w:div>
        <w:div w:id="1089884385">
          <w:marLeft w:val="640"/>
          <w:marRight w:val="0"/>
          <w:marTop w:val="0"/>
          <w:marBottom w:val="0"/>
          <w:divBdr>
            <w:top w:val="none" w:sz="0" w:space="0" w:color="auto"/>
            <w:left w:val="none" w:sz="0" w:space="0" w:color="auto"/>
            <w:bottom w:val="none" w:sz="0" w:space="0" w:color="auto"/>
            <w:right w:val="none" w:sz="0" w:space="0" w:color="auto"/>
          </w:divBdr>
        </w:div>
        <w:div w:id="1486774621">
          <w:marLeft w:val="640"/>
          <w:marRight w:val="0"/>
          <w:marTop w:val="0"/>
          <w:marBottom w:val="0"/>
          <w:divBdr>
            <w:top w:val="none" w:sz="0" w:space="0" w:color="auto"/>
            <w:left w:val="none" w:sz="0" w:space="0" w:color="auto"/>
            <w:bottom w:val="none" w:sz="0" w:space="0" w:color="auto"/>
            <w:right w:val="none" w:sz="0" w:space="0" w:color="auto"/>
          </w:divBdr>
        </w:div>
        <w:div w:id="10183949">
          <w:marLeft w:val="640"/>
          <w:marRight w:val="0"/>
          <w:marTop w:val="0"/>
          <w:marBottom w:val="0"/>
          <w:divBdr>
            <w:top w:val="none" w:sz="0" w:space="0" w:color="auto"/>
            <w:left w:val="none" w:sz="0" w:space="0" w:color="auto"/>
            <w:bottom w:val="none" w:sz="0" w:space="0" w:color="auto"/>
            <w:right w:val="none" w:sz="0" w:space="0" w:color="auto"/>
          </w:divBdr>
        </w:div>
        <w:div w:id="783502410">
          <w:marLeft w:val="640"/>
          <w:marRight w:val="0"/>
          <w:marTop w:val="0"/>
          <w:marBottom w:val="0"/>
          <w:divBdr>
            <w:top w:val="none" w:sz="0" w:space="0" w:color="auto"/>
            <w:left w:val="none" w:sz="0" w:space="0" w:color="auto"/>
            <w:bottom w:val="none" w:sz="0" w:space="0" w:color="auto"/>
            <w:right w:val="none" w:sz="0" w:space="0" w:color="auto"/>
          </w:divBdr>
        </w:div>
        <w:div w:id="34888380">
          <w:marLeft w:val="640"/>
          <w:marRight w:val="0"/>
          <w:marTop w:val="0"/>
          <w:marBottom w:val="0"/>
          <w:divBdr>
            <w:top w:val="none" w:sz="0" w:space="0" w:color="auto"/>
            <w:left w:val="none" w:sz="0" w:space="0" w:color="auto"/>
            <w:bottom w:val="none" w:sz="0" w:space="0" w:color="auto"/>
            <w:right w:val="none" w:sz="0" w:space="0" w:color="auto"/>
          </w:divBdr>
        </w:div>
        <w:div w:id="825821294">
          <w:marLeft w:val="640"/>
          <w:marRight w:val="0"/>
          <w:marTop w:val="0"/>
          <w:marBottom w:val="0"/>
          <w:divBdr>
            <w:top w:val="none" w:sz="0" w:space="0" w:color="auto"/>
            <w:left w:val="none" w:sz="0" w:space="0" w:color="auto"/>
            <w:bottom w:val="none" w:sz="0" w:space="0" w:color="auto"/>
            <w:right w:val="none" w:sz="0" w:space="0" w:color="auto"/>
          </w:divBdr>
        </w:div>
        <w:div w:id="1704555444">
          <w:marLeft w:val="640"/>
          <w:marRight w:val="0"/>
          <w:marTop w:val="0"/>
          <w:marBottom w:val="0"/>
          <w:divBdr>
            <w:top w:val="none" w:sz="0" w:space="0" w:color="auto"/>
            <w:left w:val="none" w:sz="0" w:space="0" w:color="auto"/>
            <w:bottom w:val="none" w:sz="0" w:space="0" w:color="auto"/>
            <w:right w:val="none" w:sz="0" w:space="0" w:color="auto"/>
          </w:divBdr>
        </w:div>
        <w:div w:id="263995570">
          <w:marLeft w:val="640"/>
          <w:marRight w:val="0"/>
          <w:marTop w:val="0"/>
          <w:marBottom w:val="0"/>
          <w:divBdr>
            <w:top w:val="none" w:sz="0" w:space="0" w:color="auto"/>
            <w:left w:val="none" w:sz="0" w:space="0" w:color="auto"/>
            <w:bottom w:val="none" w:sz="0" w:space="0" w:color="auto"/>
            <w:right w:val="none" w:sz="0" w:space="0" w:color="auto"/>
          </w:divBdr>
        </w:div>
        <w:div w:id="45028510">
          <w:marLeft w:val="640"/>
          <w:marRight w:val="0"/>
          <w:marTop w:val="0"/>
          <w:marBottom w:val="0"/>
          <w:divBdr>
            <w:top w:val="none" w:sz="0" w:space="0" w:color="auto"/>
            <w:left w:val="none" w:sz="0" w:space="0" w:color="auto"/>
            <w:bottom w:val="none" w:sz="0" w:space="0" w:color="auto"/>
            <w:right w:val="none" w:sz="0" w:space="0" w:color="auto"/>
          </w:divBdr>
        </w:div>
        <w:div w:id="315885844">
          <w:marLeft w:val="640"/>
          <w:marRight w:val="0"/>
          <w:marTop w:val="0"/>
          <w:marBottom w:val="0"/>
          <w:divBdr>
            <w:top w:val="none" w:sz="0" w:space="0" w:color="auto"/>
            <w:left w:val="none" w:sz="0" w:space="0" w:color="auto"/>
            <w:bottom w:val="none" w:sz="0" w:space="0" w:color="auto"/>
            <w:right w:val="none" w:sz="0" w:space="0" w:color="auto"/>
          </w:divBdr>
        </w:div>
        <w:div w:id="1639802137">
          <w:marLeft w:val="640"/>
          <w:marRight w:val="0"/>
          <w:marTop w:val="0"/>
          <w:marBottom w:val="0"/>
          <w:divBdr>
            <w:top w:val="none" w:sz="0" w:space="0" w:color="auto"/>
            <w:left w:val="none" w:sz="0" w:space="0" w:color="auto"/>
            <w:bottom w:val="none" w:sz="0" w:space="0" w:color="auto"/>
            <w:right w:val="none" w:sz="0" w:space="0" w:color="auto"/>
          </w:divBdr>
        </w:div>
        <w:div w:id="1301350215">
          <w:marLeft w:val="640"/>
          <w:marRight w:val="0"/>
          <w:marTop w:val="0"/>
          <w:marBottom w:val="0"/>
          <w:divBdr>
            <w:top w:val="none" w:sz="0" w:space="0" w:color="auto"/>
            <w:left w:val="none" w:sz="0" w:space="0" w:color="auto"/>
            <w:bottom w:val="none" w:sz="0" w:space="0" w:color="auto"/>
            <w:right w:val="none" w:sz="0" w:space="0" w:color="auto"/>
          </w:divBdr>
        </w:div>
        <w:div w:id="1061949891">
          <w:marLeft w:val="640"/>
          <w:marRight w:val="0"/>
          <w:marTop w:val="0"/>
          <w:marBottom w:val="0"/>
          <w:divBdr>
            <w:top w:val="none" w:sz="0" w:space="0" w:color="auto"/>
            <w:left w:val="none" w:sz="0" w:space="0" w:color="auto"/>
            <w:bottom w:val="none" w:sz="0" w:space="0" w:color="auto"/>
            <w:right w:val="none" w:sz="0" w:space="0" w:color="auto"/>
          </w:divBdr>
        </w:div>
        <w:div w:id="916400451">
          <w:marLeft w:val="640"/>
          <w:marRight w:val="0"/>
          <w:marTop w:val="0"/>
          <w:marBottom w:val="0"/>
          <w:divBdr>
            <w:top w:val="none" w:sz="0" w:space="0" w:color="auto"/>
            <w:left w:val="none" w:sz="0" w:space="0" w:color="auto"/>
            <w:bottom w:val="none" w:sz="0" w:space="0" w:color="auto"/>
            <w:right w:val="none" w:sz="0" w:space="0" w:color="auto"/>
          </w:divBdr>
        </w:div>
        <w:div w:id="1175609521">
          <w:marLeft w:val="640"/>
          <w:marRight w:val="0"/>
          <w:marTop w:val="0"/>
          <w:marBottom w:val="0"/>
          <w:divBdr>
            <w:top w:val="none" w:sz="0" w:space="0" w:color="auto"/>
            <w:left w:val="none" w:sz="0" w:space="0" w:color="auto"/>
            <w:bottom w:val="none" w:sz="0" w:space="0" w:color="auto"/>
            <w:right w:val="none" w:sz="0" w:space="0" w:color="auto"/>
          </w:divBdr>
        </w:div>
        <w:div w:id="444232871">
          <w:marLeft w:val="640"/>
          <w:marRight w:val="0"/>
          <w:marTop w:val="0"/>
          <w:marBottom w:val="0"/>
          <w:divBdr>
            <w:top w:val="none" w:sz="0" w:space="0" w:color="auto"/>
            <w:left w:val="none" w:sz="0" w:space="0" w:color="auto"/>
            <w:bottom w:val="none" w:sz="0" w:space="0" w:color="auto"/>
            <w:right w:val="none" w:sz="0" w:space="0" w:color="auto"/>
          </w:divBdr>
        </w:div>
        <w:div w:id="1535576850">
          <w:marLeft w:val="640"/>
          <w:marRight w:val="0"/>
          <w:marTop w:val="0"/>
          <w:marBottom w:val="0"/>
          <w:divBdr>
            <w:top w:val="none" w:sz="0" w:space="0" w:color="auto"/>
            <w:left w:val="none" w:sz="0" w:space="0" w:color="auto"/>
            <w:bottom w:val="none" w:sz="0" w:space="0" w:color="auto"/>
            <w:right w:val="none" w:sz="0" w:space="0" w:color="auto"/>
          </w:divBdr>
        </w:div>
        <w:div w:id="1163163728">
          <w:marLeft w:val="640"/>
          <w:marRight w:val="0"/>
          <w:marTop w:val="0"/>
          <w:marBottom w:val="0"/>
          <w:divBdr>
            <w:top w:val="none" w:sz="0" w:space="0" w:color="auto"/>
            <w:left w:val="none" w:sz="0" w:space="0" w:color="auto"/>
            <w:bottom w:val="none" w:sz="0" w:space="0" w:color="auto"/>
            <w:right w:val="none" w:sz="0" w:space="0" w:color="auto"/>
          </w:divBdr>
        </w:div>
        <w:div w:id="973215860">
          <w:marLeft w:val="640"/>
          <w:marRight w:val="0"/>
          <w:marTop w:val="0"/>
          <w:marBottom w:val="0"/>
          <w:divBdr>
            <w:top w:val="none" w:sz="0" w:space="0" w:color="auto"/>
            <w:left w:val="none" w:sz="0" w:space="0" w:color="auto"/>
            <w:bottom w:val="none" w:sz="0" w:space="0" w:color="auto"/>
            <w:right w:val="none" w:sz="0" w:space="0" w:color="auto"/>
          </w:divBdr>
        </w:div>
        <w:div w:id="2093505061">
          <w:marLeft w:val="640"/>
          <w:marRight w:val="0"/>
          <w:marTop w:val="0"/>
          <w:marBottom w:val="0"/>
          <w:divBdr>
            <w:top w:val="none" w:sz="0" w:space="0" w:color="auto"/>
            <w:left w:val="none" w:sz="0" w:space="0" w:color="auto"/>
            <w:bottom w:val="none" w:sz="0" w:space="0" w:color="auto"/>
            <w:right w:val="none" w:sz="0" w:space="0" w:color="auto"/>
          </w:divBdr>
        </w:div>
        <w:div w:id="1990472794">
          <w:marLeft w:val="640"/>
          <w:marRight w:val="0"/>
          <w:marTop w:val="0"/>
          <w:marBottom w:val="0"/>
          <w:divBdr>
            <w:top w:val="none" w:sz="0" w:space="0" w:color="auto"/>
            <w:left w:val="none" w:sz="0" w:space="0" w:color="auto"/>
            <w:bottom w:val="none" w:sz="0" w:space="0" w:color="auto"/>
            <w:right w:val="none" w:sz="0" w:space="0" w:color="auto"/>
          </w:divBdr>
        </w:div>
        <w:div w:id="1372224761">
          <w:marLeft w:val="640"/>
          <w:marRight w:val="0"/>
          <w:marTop w:val="0"/>
          <w:marBottom w:val="0"/>
          <w:divBdr>
            <w:top w:val="none" w:sz="0" w:space="0" w:color="auto"/>
            <w:left w:val="none" w:sz="0" w:space="0" w:color="auto"/>
            <w:bottom w:val="none" w:sz="0" w:space="0" w:color="auto"/>
            <w:right w:val="none" w:sz="0" w:space="0" w:color="auto"/>
          </w:divBdr>
        </w:div>
        <w:div w:id="1521354541">
          <w:marLeft w:val="640"/>
          <w:marRight w:val="0"/>
          <w:marTop w:val="0"/>
          <w:marBottom w:val="0"/>
          <w:divBdr>
            <w:top w:val="none" w:sz="0" w:space="0" w:color="auto"/>
            <w:left w:val="none" w:sz="0" w:space="0" w:color="auto"/>
            <w:bottom w:val="none" w:sz="0" w:space="0" w:color="auto"/>
            <w:right w:val="none" w:sz="0" w:space="0" w:color="auto"/>
          </w:divBdr>
        </w:div>
        <w:div w:id="1647196565">
          <w:marLeft w:val="640"/>
          <w:marRight w:val="0"/>
          <w:marTop w:val="0"/>
          <w:marBottom w:val="0"/>
          <w:divBdr>
            <w:top w:val="none" w:sz="0" w:space="0" w:color="auto"/>
            <w:left w:val="none" w:sz="0" w:space="0" w:color="auto"/>
            <w:bottom w:val="none" w:sz="0" w:space="0" w:color="auto"/>
            <w:right w:val="none" w:sz="0" w:space="0" w:color="auto"/>
          </w:divBdr>
        </w:div>
        <w:div w:id="227153884">
          <w:marLeft w:val="640"/>
          <w:marRight w:val="0"/>
          <w:marTop w:val="0"/>
          <w:marBottom w:val="0"/>
          <w:divBdr>
            <w:top w:val="none" w:sz="0" w:space="0" w:color="auto"/>
            <w:left w:val="none" w:sz="0" w:space="0" w:color="auto"/>
            <w:bottom w:val="none" w:sz="0" w:space="0" w:color="auto"/>
            <w:right w:val="none" w:sz="0" w:space="0" w:color="auto"/>
          </w:divBdr>
        </w:div>
        <w:div w:id="1190333691">
          <w:marLeft w:val="640"/>
          <w:marRight w:val="0"/>
          <w:marTop w:val="0"/>
          <w:marBottom w:val="0"/>
          <w:divBdr>
            <w:top w:val="none" w:sz="0" w:space="0" w:color="auto"/>
            <w:left w:val="none" w:sz="0" w:space="0" w:color="auto"/>
            <w:bottom w:val="none" w:sz="0" w:space="0" w:color="auto"/>
            <w:right w:val="none" w:sz="0" w:space="0" w:color="auto"/>
          </w:divBdr>
        </w:div>
        <w:div w:id="1309361397">
          <w:marLeft w:val="640"/>
          <w:marRight w:val="0"/>
          <w:marTop w:val="0"/>
          <w:marBottom w:val="0"/>
          <w:divBdr>
            <w:top w:val="none" w:sz="0" w:space="0" w:color="auto"/>
            <w:left w:val="none" w:sz="0" w:space="0" w:color="auto"/>
            <w:bottom w:val="none" w:sz="0" w:space="0" w:color="auto"/>
            <w:right w:val="none" w:sz="0" w:space="0" w:color="auto"/>
          </w:divBdr>
        </w:div>
        <w:div w:id="1916552681">
          <w:marLeft w:val="640"/>
          <w:marRight w:val="0"/>
          <w:marTop w:val="0"/>
          <w:marBottom w:val="0"/>
          <w:divBdr>
            <w:top w:val="none" w:sz="0" w:space="0" w:color="auto"/>
            <w:left w:val="none" w:sz="0" w:space="0" w:color="auto"/>
            <w:bottom w:val="none" w:sz="0" w:space="0" w:color="auto"/>
            <w:right w:val="none" w:sz="0" w:space="0" w:color="auto"/>
          </w:divBdr>
        </w:div>
        <w:div w:id="1832870949">
          <w:marLeft w:val="640"/>
          <w:marRight w:val="0"/>
          <w:marTop w:val="0"/>
          <w:marBottom w:val="0"/>
          <w:divBdr>
            <w:top w:val="none" w:sz="0" w:space="0" w:color="auto"/>
            <w:left w:val="none" w:sz="0" w:space="0" w:color="auto"/>
            <w:bottom w:val="none" w:sz="0" w:space="0" w:color="auto"/>
            <w:right w:val="none" w:sz="0" w:space="0" w:color="auto"/>
          </w:divBdr>
        </w:div>
        <w:div w:id="145124568">
          <w:marLeft w:val="640"/>
          <w:marRight w:val="0"/>
          <w:marTop w:val="0"/>
          <w:marBottom w:val="0"/>
          <w:divBdr>
            <w:top w:val="none" w:sz="0" w:space="0" w:color="auto"/>
            <w:left w:val="none" w:sz="0" w:space="0" w:color="auto"/>
            <w:bottom w:val="none" w:sz="0" w:space="0" w:color="auto"/>
            <w:right w:val="none" w:sz="0" w:space="0" w:color="auto"/>
          </w:divBdr>
        </w:div>
        <w:div w:id="816721213">
          <w:marLeft w:val="640"/>
          <w:marRight w:val="0"/>
          <w:marTop w:val="0"/>
          <w:marBottom w:val="0"/>
          <w:divBdr>
            <w:top w:val="none" w:sz="0" w:space="0" w:color="auto"/>
            <w:left w:val="none" w:sz="0" w:space="0" w:color="auto"/>
            <w:bottom w:val="none" w:sz="0" w:space="0" w:color="auto"/>
            <w:right w:val="none" w:sz="0" w:space="0" w:color="auto"/>
          </w:divBdr>
        </w:div>
        <w:div w:id="1761636894">
          <w:marLeft w:val="640"/>
          <w:marRight w:val="0"/>
          <w:marTop w:val="0"/>
          <w:marBottom w:val="0"/>
          <w:divBdr>
            <w:top w:val="none" w:sz="0" w:space="0" w:color="auto"/>
            <w:left w:val="none" w:sz="0" w:space="0" w:color="auto"/>
            <w:bottom w:val="none" w:sz="0" w:space="0" w:color="auto"/>
            <w:right w:val="none" w:sz="0" w:space="0" w:color="auto"/>
          </w:divBdr>
        </w:div>
        <w:div w:id="320739542">
          <w:marLeft w:val="640"/>
          <w:marRight w:val="0"/>
          <w:marTop w:val="0"/>
          <w:marBottom w:val="0"/>
          <w:divBdr>
            <w:top w:val="none" w:sz="0" w:space="0" w:color="auto"/>
            <w:left w:val="none" w:sz="0" w:space="0" w:color="auto"/>
            <w:bottom w:val="none" w:sz="0" w:space="0" w:color="auto"/>
            <w:right w:val="none" w:sz="0" w:space="0" w:color="auto"/>
          </w:divBdr>
        </w:div>
        <w:div w:id="1515991663">
          <w:marLeft w:val="640"/>
          <w:marRight w:val="0"/>
          <w:marTop w:val="0"/>
          <w:marBottom w:val="0"/>
          <w:divBdr>
            <w:top w:val="none" w:sz="0" w:space="0" w:color="auto"/>
            <w:left w:val="none" w:sz="0" w:space="0" w:color="auto"/>
            <w:bottom w:val="none" w:sz="0" w:space="0" w:color="auto"/>
            <w:right w:val="none" w:sz="0" w:space="0" w:color="auto"/>
          </w:divBdr>
        </w:div>
        <w:div w:id="488910608">
          <w:marLeft w:val="640"/>
          <w:marRight w:val="0"/>
          <w:marTop w:val="0"/>
          <w:marBottom w:val="0"/>
          <w:divBdr>
            <w:top w:val="none" w:sz="0" w:space="0" w:color="auto"/>
            <w:left w:val="none" w:sz="0" w:space="0" w:color="auto"/>
            <w:bottom w:val="none" w:sz="0" w:space="0" w:color="auto"/>
            <w:right w:val="none" w:sz="0" w:space="0" w:color="auto"/>
          </w:divBdr>
        </w:div>
        <w:div w:id="1530486941">
          <w:marLeft w:val="640"/>
          <w:marRight w:val="0"/>
          <w:marTop w:val="0"/>
          <w:marBottom w:val="0"/>
          <w:divBdr>
            <w:top w:val="none" w:sz="0" w:space="0" w:color="auto"/>
            <w:left w:val="none" w:sz="0" w:space="0" w:color="auto"/>
            <w:bottom w:val="none" w:sz="0" w:space="0" w:color="auto"/>
            <w:right w:val="none" w:sz="0" w:space="0" w:color="auto"/>
          </w:divBdr>
        </w:div>
        <w:div w:id="528639295">
          <w:marLeft w:val="640"/>
          <w:marRight w:val="0"/>
          <w:marTop w:val="0"/>
          <w:marBottom w:val="0"/>
          <w:divBdr>
            <w:top w:val="none" w:sz="0" w:space="0" w:color="auto"/>
            <w:left w:val="none" w:sz="0" w:space="0" w:color="auto"/>
            <w:bottom w:val="none" w:sz="0" w:space="0" w:color="auto"/>
            <w:right w:val="none" w:sz="0" w:space="0" w:color="auto"/>
          </w:divBdr>
        </w:div>
        <w:div w:id="746416243">
          <w:marLeft w:val="640"/>
          <w:marRight w:val="0"/>
          <w:marTop w:val="0"/>
          <w:marBottom w:val="0"/>
          <w:divBdr>
            <w:top w:val="none" w:sz="0" w:space="0" w:color="auto"/>
            <w:left w:val="none" w:sz="0" w:space="0" w:color="auto"/>
            <w:bottom w:val="none" w:sz="0" w:space="0" w:color="auto"/>
            <w:right w:val="none" w:sz="0" w:space="0" w:color="auto"/>
          </w:divBdr>
        </w:div>
        <w:div w:id="289828435">
          <w:marLeft w:val="640"/>
          <w:marRight w:val="0"/>
          <w:marTop w:val="0"/>
          <w:marBottom w:val="0"/>
          <w:divBdr>
            <w:top w:val="none" w:sz="0" w:space="0" w:color="auto"/>
            <w:left w:val="none" w:sz="0" w:space="0" w:color="auto"/>
            <w:bottom w:val="none" w:sz="0" w:space="0" w:color="auto"/>
            <w:right w:val="none" w:sz="0" w:space="0" w:color="auto"/>
          </w:divBdr>
        </w:div>
        <w:div w:id="968826696">
          <w:marLeft w:val="640"/>
          <w:marRight w:val="0"/>
          <w:marTop w:val="0"/>
          <w:marBottom w:val="0"/>
          <w:divBdr>
            <w:top w:val="none" w:sz="0" w:space="0" w:color="auto"/>
            <w:left w:val="none" w:sz="0" w:space="0" w:color="auto"/>
            <w:bottom w:val="none" w:sz="0" w:space="0" w:color="auto"/>
            <w:right w:val="none" w:sz="0" w:space="0" w:color="auto"/>
          </w:divBdr>
        </w:div>
        <w:div w:id="1485656841">
          <w:marLeft w:val="640"/>
          <w:marRight w:val="0"/>
          <w:marTop w:val="0"/>
          <w:marBottom w:val="0"/>
          <w:divBdr>
            <w:top w:val="none" w:sz="0" w:space="0" w:color="auto"/>
            <w:left w:val="none" w:sz="0" w:space="0" w:color="auto"/>
            <w:bottom w:val="none" w:sz="0" w:space="0" w:color="auto"/>
            <w:right w:val="none" w:sz="0" w:space="0" w:color="auto"/>
          </w:divBdr>
        </w:div>
        <w:div w:id="845677884">
          <w:marLeft w:val="640"/>
          <w:marRight w:val="0"/>
          <w:marTop w:val="0"/>
          <w:marBottom w:val="0"/>
          <w:divBdr>
            <w:top w:val="none" w:sz="0" w:space="0" w:color="auto"/>
            <w:left w:val="none" w:sz="0" w:space="0" w:color="auto"/>
            <w:bottom w:val="none" w:sz="0" w:space="0" w:color="auto"/>
            <w:right w:val="none" w:sz="0" w:space="0" w:color="auto"/>
          </w:divBdr>
        </w:div>
        <w:div w:id="1770078986">
          <w:marLeft w:val="640"/>
          <w:marRight w:val="0"/>
          <w:marTop w:val="0"/>
          <w:marBottom w:val="0"/>
          <w:divBdr>
            <w:top w:val="none" w:sz="0" w:space="0" w:color="auto"/>
            <w:left w:val="none" w:sz="0" w:space="0" w:color="auto"/>
            <w:bottom w:val="none" w:sz="0" w:space="0" w:color="auto"/>
            <w:right w:val="none" w:sz="0" w:space="0" w:color="auto"/>
          </w:divBdr>
        </w:div>
        <w:div w:id="1109738107">
          <w:marLeft w:val="640"/>
          <w:marRight w:val="0"/>
          <w:marTop w:val="0"/>
          <w:marBottom w:val="0"/>
          <w:divBdr>
            <w:top w:val="none" w:sz="0" w:space="0" w:color="auto"/>
            <w:left w:val="none" w:sz="0" w:space="0" w:color="auto"/>
            <w:bottom w:val="none" w:sz="0" w:space="0" w:color="auto"/>
            <w:right w:val="none" w:sz="0" w:space="0" w:color="auto"/>
          </w:divBdr>
        </w:div>
        <w:div w:id="1742368628">
          <w:marLeft w:val="640"/>
          <w:marRight w:val="0"/>
          <w:marTop w:val="0"/>
          <w:marBottom w:val="0"/>
          <w:divBdr>
            <w:top w:val="none" w:sz="0" w:space="0" w:color="auto"/>
            <w:left w:val="none" w:sz="0" w:space="0" w:color="auto"/>
            <w:bottom w:val="none" w:sz="0" w:space="0" w:color="auto"/>
            <w:right w:val="none" w:sz="0" w:space="0" w:color="auto"/>
          </w:divBdr>
        </w:div>
        <w:div w:id="887030233">
          <w:marLeft w:val="640"/>
          <w:marRight w:val="0"/>
          <w:marTop w:val="0"/>
          <w:marBottom w:val="0"/>
          <w:divBdr>
            <w:top w:val="none" w:sz="0" w:space="0" w:color="auto"/>
            <w:left w:val="none" w:sz="0" w:space="0" w:color="auto"/>
            <w:bottom w:val="none" w:sz="0" w:space="0" w:color="auto"/>
            <w:right w:val="none" w:sz="0" w:space="0" w:color="auto"/>
          </w:divBdr>
        </w:div>
        <w:div w:id="159933508">
          <w:marLeft w:val="640"/>
          <w:marRight w:val="0"/>
          <w:marTop w:val="0"/>
          <w:marBottom w:val="0"/>
          <w:divBdr>
            <w:top w:val="none" w:sz="0" w:space="0" w:color="auto"/>
            <w:left w:val="none" w:sz="0" w:space="0" w:color="auto"/>
            <w:bottom w:val="none" w:sz="0" w:space="0" w:color="auto"/>
            <w:right w:val="none" w:sz="0" w:space="0" w:color="auto"/>
          </w:divBdr>
        </w:div>
        <w:div w:id="750784160">
          <w:marLeft w:val="640"/>
          <w:marRight w:val="0"/>
          <w:marTop w:val="0"/>
          <w:marBottom w:val="0"/>
          <w:divBdr>
            <w:top w:val="none" w:sz="0" w:space="0" w:color="auto"/>
            <w:left w:val="none" w:sz="0" w:space="0" w:color="auto"/>
            <w:bottom w:val="none" w:sz="0" w:space="0" w:color="auto"/>
            <w:right w:val="none" w:sz="0" w:space="0" w:color="auto"/>
          </w:divBdr>
        </w:div>
        <w:div w:id="902762335">
          <w:marLeft w:val="640"/>
          <w:marRight w:val="0"/>
          <w:marTop w:val="0"/>
          <w:marBottom w:val="0"/>
          <w:divBdr>
            <w:top w:val="none" w:sz="0" w:space="0" w:color="auto"/>
            <w:left w:val="none" w:sz="0" w:space="0" w:color="auto"/>
            <w:bottom w:val="none" w:sz="0" w:space="0" w:color="auto"/>
            <w:right w:val="none" w:sz="0" w:space="0" w:color="auto"/>
          </w:divBdr>
        </w:div>
        <w:div w:id="224415731">
          <w:marLeft w:val="640"/>
          <w:marRight w:val="0"/>
          <w:marTop w:val="0"/>
          <w:marBottom w:val="0"/>
          <w:divBdr>
            <w:top w:val="none" w:sz="0" w:space="0" w:color="auto"/>
            <w:left w:val="none" w:sz="0" w:space="0" w:color="auto"/>
            <w:bottom w:val="none" w:sz="0" w:space="0" w:color="auto"/>
            <w:right w:val="none" w:sz="0" w:space="0" w:color="auto"/>
          </w:divBdr>
        </w:div>
        <w:div w:id="880822388">
          <w:marLeft w:val="640"/>
          <w:marRight w:val="0"/>
          <w:marTop w:val="0"/>
          <w:marBottom w:val="0"/>
          <w:divBdr>
            <w:top w:val="none" w:sz="0" w:space="0" w:color="auto"/>
            <w:left w:val="none" w:sz="0" w:space="0" w:color="auto"/>
            <w:bottom w:val="none" w:sz="0" w:space="0" w:color="auto"/>
            <w:right w:val="none" w:sz="0" w:space="0" w:color="auto"/>
          </w:divBdr>
        </w:div>
        <w:div w:id="342325112">
          <w:marLeft w:val="640"/>
          <w:marRight w:val="0"/>
          <w:marTop w:val="0"/>
          <w:marBottom w:val="0"/>
          <w:divBdr>
            <w:top w:val="none" w:sz="0" w:space="0" w:color="auto"/>
            <w:left w:val="none" w:sz="0" w:space="0" w:color="auto"/>
            <w:bottom w:val="none" w:sz="0" w:space="0" w:color="auto"/>
            <w:right w:val="none" w:sz="0" w:space="0" w:color="auto"/>
          </w:divBdr>
        </w:div>
        <w:div w:id="756754047">
          <w:marLeft w:val="640"/>
          <w:marRight w:val="0"/>
          <w:marTop w:val="0"/>
          <w:marBottom w:val="0"/>
          <w:divBdr>
            <w:top w:val="none" w:sz="0" w:space="0" w:color="auto"/>
            <w:left w:val="none" w:sz="0" w:space="0" w:color="auto"/>
            <w:bottom w:val="none" w:sz="0" w:space="0" w:color="auto"/>
            <w:right w:val="none" w:sz="0" w:space="0" w:color="auto"/>
          </w:divBdr>
        </w:div>
        <w:div w:id="1946035280">
          <w:marLeft w:val="640"/>
          <w:marRight w:val="0"/>
          <w:marTop w:val="0"/>
          <w:marBottom w:val="0"/>
          <w:divBdr>
            <w:top w:val="none" w:sz="0" w:space="0" w:color="auto"/>
            <w:left w:val="none" w:sz="0" w:space="0" w:color="auto"/>
            <w:bottom w:val="none" w:sz="0" w:space="0" w:color="auto"/>
            <w:right w:val="none" w:sz="0" w:space="0" w:color="auto"/>
          </w:divBdr>
        </w:div>
        <w:div w:id="420685587">
          <w:marLeft w:val="640"/>
          <w:marRight w:val="0"/>
          <w:marTop w:val="0"/>
          <w:marBottom w:val="0"/>
          <w:divBdr>
            <w:top w:val="none" w:sz="0" w:space="0" w:color="auto"/>
            <w:left w:val="none" w:sz="0" w:space="0" w:color="auto"/>
            <w:bottom w:val="none" w:sz="0" w:space="0" w:color="auto"/>
            <w:right w:val="none" w:sz="0" w:space="0" w:color="auto"/>
          </w:divBdr>
        </w:div>
        <w:div w:id="1263341470">
          <w:marLeft w:val="640"/>
          <w:marRight w:val="0"/>
          <w:marTop w:val="0"/>
          <w:marBottom w:val="0"/>
          <w:divBdr>
            <w:top w:val="none" w:sz="0" w:space="0" w:color="auto"/>
            <w:left w:val="none" w:sz="0" w:space="0" w:color="auto"/>
            <w:bottom w:val="none" w:sz="0" w:space="0" w:color="auto"/>
            <w:right w:val="none" w:sz="0" w:space="0" w:color="auto"/>
          </w:divBdr>
        </w:div>
        <w:div w:id="1292662794">
          <w:marLeft w:val="640"/>
          <w:marRight w:val="0"/>
          <w:marTop w:val="0"/>
          <w:marBottom w:val="0"/>
          <w:divBdr>
            <w:top w:val="none" w:sz="0" w:space="0" w:color="auto"/>
            <w:left w:val="none" w:sz="0" w:space="0" w:color="auto"/>
            <w:bottom w:val="none" w:sz="0" w:space="0" w:color="auto"/>
            <w:right w:val="none" w:sz="0" w:space="0" w:color="auto"/>
          </w:divBdr>
        </w:div>
        <w:div w:id="1339701007">
          <w:marLeft w:val="640"/>
          <w:marRight w:val="0"/>
          <w:marTop w:val="0"/>
          <w:marBottom w:val="0"/>
          <w:divBdr>
            <w:top w:val="none" w:sz="0" w:space="0" w:color="auto"/>
            <w:left w:val="none" w:sz="0" w:space="0" w:color="auto"/>
            <w:bottom w:val="none" w:sz="0" w:space="0" w:color="auto"/>
            <w:right w:val="none" w:sz="0" w:space="0" w:color="auto"/>
          </w:divBdr>
        </w:div>
        <w:div w:id="104203981">
          <w:marLeft w:val="640"/>
          <w:marRight w:val="0"/>
          <w:marTop w:val="0"/>
          <w:marBottom w:val="0"/>
          <w:divBdr>
            <w:top w:val="none" w:sz="0" w:space="0" w:color="auto"/>
            <w:left w:val="none" w:sz="0" w:space="0" w:color="auto"/>
            <w:bottom w:val="none" w:sz="0" w:space="0" w:color="auto"/>
            <w:right w:val="none" w:sz="0" w:space="0" w:color="auto"/>
          </w:divBdr>
        </w:div>
        <w:div w:id="120538485">
          <w:marLeft w:val="640"/>
          <w:marRight w:val="0"/>
          <w:marTop w:val="0"/>
          <w:marBottom w:val="0"/>
          <w:divBdr>
            <w:top w:val="none" w:sz="0" w:space="0" w:color="auto"/>
            <w:left w:val="none" w:sz="0" w:space="0" w:color="auto"/>
            <w:bottom w:val="none" w:sz="0" w:space="0" w:color="auto"/>
            <w:right w:val="none" w:sz="0" w:space="0" w:color="auto"/>
          </w:divBdr>
        </w:div>
        <w:div w:id="1985769789">
          <w:marLeft w:val="640"/>
          <w:marRight w:val="0"/>
          <w:marTop w:val="0"/>
          <w:marBottom w:val="0"/>
          <w:divBdr>
            <w:top w:val="none" w:sz="0" w:space="0" w:color="auto"/>
            <w:left w:val="none" w:sz="0" w:space="0" w:color="auto"/>
            <w:bottom w:val="none" w:sz="0" w:space="0" w:color="auto"/>
            <w:right w:val="none" w:sz="0" w:space="0" w:color="auto"/>
          </w:divBdr>
        </w:div>
        <w:div w:id="1708289449">
          <w:marLeft w:val="640"/>
          <w:marRight w:val="0"/>
          <w:marTop w:val="0"/>
          <w:marBottom w:val="0"/>
          <w:divBdr>
            <w:top w:val="none" w:sz="0" w:space="0" w:color="auto"/>
            <w:left w:val="none" w:sz="0" w:space="0" w:color="auto"/>
            <w:bottom w:val="none" w:sz="0" w:space="0" w:color="auto"/>
            <w:right w:val="none" w:sz="0" w:space="0" w:color="auto"/>
          </w:divBdr>
        </w:div>
        <w:div w:id="220214651">
          <w:marLeft w:val="640"/>
          <w:marRight w:val="0"/>
          <w:marTop w:val="0"/>
          <w:marBottom w:val="0"/>
          <w:divBdr>
            <w:top w:val="none" w:sz="0" w:space="0" w:color="auto"/>
            <w:left w:val="none" w:sz="0" w:space="0" w:color="auto"/>
            <w:bottom w:val="none" w:sz="0" w:space="0" w:color="auto"/>
            <w:right w:val="none" w:sz="0" w:space="0" w:color="auto"/>
          </w:divBdr>
        </w:div>
        <w:div w:id="411583458">
          <w:marLeft w:val="640"/>
          <w:marRight w:val="0"/>
          <w:marTop w:val="0"/>
          <w:marBottom w:val="0"/>
          <w:divBdr>
            <w:top w:val="none" w:sz="0" w:space="0" w:color="auto"/>
            <w:left w:val="none" w:sz="0" w:space="0" w:color="auto"/>
            <w:bottom w:val="none" w:sz="0" w:space="0" w:color="auto"/>
            <w:right w:val="none" w:sz="0" w:space="0" w:color="auto"/>
          </w:divBdr>
        </w:div>
        <w:div w:id="1301811032">
          <w:marLeft w:val="640"/>
          <w:marRight w:val="0"/>
          <w:marTop w:val="0"/>
          <w:marBottom w:val="0"/>
          <w:divBdr>
            <w:top w:val="none" w:sz="0" w:space="0" w:color="auto"/>
            <w:left w:val="none" w:sz="0" w:space="0" w:color="auto"/>
            <w:bottom w:val="none" w:sz="0" w:space="0" w:color="auto"/>
            <w:right w:val="none" w:sz="0" w:space="0" w:color="auto"/>
          </w:divBdr>
        </w:div>
        <w:div w:id="1881042548">
          <w:marLeft w:val="640"/>
          <w:marRight w:val="0"/>
          <w:marTop w:val="0"/>
          <w:marBottom w:val="0"/>
          <w:divBdr>
            <w:top w:val="none" w:sz="0" w:space="0" w:color="auto"/>
            <w:left w:val="none" w:sz="0" w:space="0" w:color="auto"/>
            <w:bottom w:val="none" w:sz="0" w:space="0" w:color="auto"/>
            <w:right w:val="none" w:sz="0" w:space="0" w:color="auto"/>
          </w:divBdr>
        </w:div>
        <w:div w:id="156262483">
          <w:marLeft w:val="640"/>
          <w:marRight w:val="0"/>
          <w:marTop w:val="0"/>
          <w:marBottom w:val="0"/>
          <w:divBdr>
            <w:top w:val="none" w:sz="0" w:space="0" w:color="auto"/>
            <w:left w:val="none" w:sz="0" w:space="0" w:color="auto"/>
            <w:bottom w:val="none" w:sz="0" w:space="0" w:color="auto"/>
            <w:right w:val="none" w:sz="0" w:space="0" w:color="auto"/>
          </w:divBdr>
        </w:div>
        <w:div w:id="1076248252">
          <w:marLeft w:val="640"/>
          <w:marRight w:val="0"/>
          <w:marTop w:val="0"/>
          <w:marBottom w:val="0"/>
          <w:divBdr>
            <w:top w:val="none" w:sz="0" w:space="0" w:color="auto"/>
            <w:left w:val="none" w:sz="0" w:space="0" w:color="auto"/>
            <w:bottom w:val="none" w:sz="0" w:space="0" w:color="auto"/>
            <w:right w:val="none" w:sz="0" w:space="0" w:color="auto"/>
          </w:divBdr>
        </w:div>
        <w:div w:id="535506773">
          <w:marLeft w:val="640"/>
          <w:marRight w:val="0"/>
          <w:marTop w:val="0"/>
          <w:marBottom w:val="0"/>
          <w:divBdr>
            <w:top w:val="none" w:sz="0" w:space="0" w:color="auto"/>
            <w:left w:val="none" w:sz="0" w:space="0" w:color="auto"/>
            <w:bottom w:val="none" w:sz="0" w:space="0" w:color="auto"/>
            <w:right w:val="none" w:sz="0" w:space="0" w:color="auto"/>
          </w:divBdr>
        </w:div>
        <w:div w:id="157963159">
          <w:marLeft w:val="640"/>
          <w:marRight w:val="0"/>
          <w:marTop w:val="0"/>
          <w:marBottom w:val="0"/>
          <w:divBdr>
            <w:top w:val="none" w:sz="0" w:space="0" w:color="auto"/>
            <w:left w:val="none" w:sz="0" w:space="0" w:color="auto"/>
            <w:bottom w:val="none" w:sz="0" w:space="0" w:color="auto"/>
            <w:right w:val="none" w:sz="0" w:space="0" w:color="auto"/>
          </w:divBdr>
        </w:div>
        <w:div w:id="1483155512">
          <w:marLeft w:val="640"/>
          <w:marRight w:val="0"/>
          <w:marTop w:val="0"/>
          <w:marBottom w:val="0"/>
          <w:divBdr>
            <w:top w:val="none" w:sz="0" w:space="0" w:color="auto"/>
            <w:left w:val="none" w:sz="0" w:space="0" w:color="auto"/>
            <w:bottom w:val="none" w:sz="0" w:space="0" w:color="auto"/>
            <w:right w:val="none" w:sz="0" w:space="0" w:color="auto"/>
          </w:divBdr>
        </w:div>
        <w:div w:id="708725165">
          <w:marLeft w:val="640"/>
          <w:marRight w:val="0"/>
          <w:marTop w:val="0"/>
          <w:marBottom w:val="0"/>
          <w:divBdr>
            <w:top w:val="none" w:sz="0" w:space="0" w:color="auto"/>
            <w:left w:val="none" w:sz="0" w:space="0" w:color="auto"/>
            <w:bottom w:val="none" w:sz="0" w:space="0" w:color="auto"/>
            <w:right w:val="none" w:sz="0" w:space="0" w:color="auto"/>
          </w:divBdr>
        </w:div>
        <w:div w:id="50926318">
          <w:marLeft w:val="640"/>
          <w:marRight w:val="0"/>
          <w:marTop w:val="0"/>
          <w:marBottom w:val="0"/>
          <w:divBdr>
            <w:top w:val="none" w:sz="0" w:space="0" w:color="auto"/>
            <w:left w:val="none" w:sz="0" w:space="0" w:color="auto"/>
            <w:bottom w:val="none" w:sz="0" w:space="0" w:color="auto"/>
            <w:right w:val="none" w:sz="0" w:space="0" w:color="auto"/>
          </w:divBdr>
        </w:div>
        <w:div w:id="1043602764">
          <w:marLeft w:val="640"/>
          <w:marRight w:val="0"/>
          <w:marTop w:val="0"/>
          <w:marBottom w:val="0"/>
          <w:divBdr>
            <w:top w:val="none" w:sz="0" w:space="0" w:color="auto"/>
            <w:left w:val="none" w:sz="0" w:space="0" w:color="auto"/>
            <w:bottom w:val="none" w:sz="0" w:space="0" w:color="auto"/>
            <w:right w:val="none" w:sz="0" w:space="0" w:color="auto"/>
          </w:divBdr>
        </w:div>
        <w:div w:id="166991563">
          <w:marLeft w:val="640"/>
          <w:marRight w:val="0"/>
          <w:marTop w:val="0"/>
          <w:marBottom w:val="0"/>
          <w:divBdr>
            <w:top w:val="none" w:sz="0" w:space="0" w:color="auto"/>
            <w:left w:val="none" w:sz="0" w:space="0" w:color="auto"/>
            <w:bottom w:val="none" w:sz="0" w:space="0" w:color="auto"/>
            <w:right w:val="none" w:sz="0" w:space="0" w:color="auto"/>
          </w:divBdr>
        </w:div>
        <w:div w:id="441460503">
          <w:marLeft w:val="640"/>
          <w:marRight w:val="0"/>
          <w:marTop w:val="0"/>
          <w:marBottom w:val="0"/>
          <w:divBdr>
            <w:top w:val="none" w:sz="0" w:space="0" w:color="auto"/>
            <w:left w:val="none" w:sz="0" w:space="0" w:color="auto"/>
            <w:bottom w:val="none" w:sz="0" w:space="0" w:color="auto"/>
            <w:right w:val="none" w:sz="0" w:space="0" w:color="auto"/>
          </w:divBdr>
        </w:div>
        <w:div w:id="825895558">
          <w:marLeft w:val="640"/>
          <w:marRight w:val="0"/>
          <w:marTop w:val="0"/>
          <w:marBottom w:val="0"/>
          <w:divBdr>
            <w:top w:val="none" w:sz="0" w:space="0" w:color="auto"/>
            <w:left w:val="none" w:sz="0" w:space="0" w:color="auto"/>
            <w:bottom w:val="none" w:sz="0" w:space="0" w:color="auto"/>
            <w:right w:val="none" w:sz="0" w:space="0" w:color="auto"/>
          </w:divBdr>
        </w:div>
        <w:div w:id="881599417">
          <w:marLeft w:val="640"/>
          <w:marRight w:val="0"/>
          <w:marTop w:val="0"/>
          <w:marBottom w:val="0"/>
          <w:divBdr>
            <w:top w:val="none" w:sz="0" w:space="0" w:color="auto"/>
            <w:left w:val="none" w:sz="0" w:space="0" w:color="auto"/>
            <w:bottom w:val="none" w:sz="0" w:space="0" w:color="auto"/>
            <w:right w:val="none" w:sz="0" w:space="0" w:color="auto"/>
          </w:divBdr>
        </w:div>
        <w:div w:id="231737485">
          <w:marLeft w:val="640"/>
          <w:marRight w:val="0"/>
          <w:marTop w:val="0"/>
          <w:marBottom w:val="0"/>
          <w:divBdr>
            <w:top w:val="none" w:sz="0" w:space="0" w:color="auto"/>
            <w:left w:val="none" w:sz="0" w:space="0" w:color="auto"/>
            <w:bottom w:val="none" w:sz="0" w:space="0" w:color="auto"/>
            <w:right w:val="none" w:sz="0" w:space="0" w:color="auto"/>
          </w:divBdr>
        </w:div>
        <w:div w:id="1843931792">
          <w:marLeft w:val="640"/>
          <w:marRight w:val="0"/>
          <w:marTop w:val="0"/>
          <w:marBottom w:val="0"/>
          <w:divBdr>
            <w:top w:val="none" w:sz="0" w:space="0" w:color="auto"/>
            <w:left w:val="none" w:sz="0" w:space="0" w:color="auto"/>
            <w:bottom w:val="none" w:sz="0" w:space="0" w:color="auto"/>
            <w:right w:val="none" w:sz="0" w:space="0" w:color="auto"/>
          </w:divBdr>
        </w:div>
        <w:div w:id="1628658048">
          <w:marLeft w:val="640"/>
          <w:marRight w:val="0"/>
          <w:marTop w:val="0"/>
          <w:marBottom w:val="0"/>
          <w:divBdr>
            <w:top w:val="none" w:sz="0" w:space="0" w:color="auto"/>
            <w:left w:val="none" w:sz="0" w:space="0" w:color="auto"/>
            <w:bottom w:val="none" w:sz="0" w:space="0" w:color="auto"/>
            <w:right w:val="none" w:sz="0" w:space="0" w:color="auto"/>
          </w:divBdr>
        </w:div>
        <w:div w:id="985277935">
          <w:marLeft w:val="640"/>
          <w:marRight w:val="0"/>
          <w:marTop w:val="0"/>
          <w:marBottom w:val="0"/>
          <w:divBdr>
            <w:top w:val="none" w:sz="0" w:space="0" w:color="auto"/>
            <w:left w:val="none" w:sz="0" w:space="0" w:color="auto"/>
            <w:bottom w:val="none" w:sz="0" w:space="0" w:color="auto"/>
            <w:right w:val="none" w:sz="0" w:space="0" w:color="auto"/>
          </w:divBdr>
        </w:div>
        <w:div w:id="621688380">
          <w:marLeft w:val="640"/>
          <w:marRight w:val="0"/>
          <w:marTop w:val="0"/>
          <w:marBottom w:val="0"/>
          <w:divBdr>
            <w:top w:val="none" w:sz="0" w:space="0" w:color="auto"/>
            <w:left w:val="none" w:sz="0" w:space="0" w:color="auto"/>
            <w:bottom w:val="none" w:sz="0" w:space="0" w:color="auto"/>
            <w:right w:val="none" w:sz="0" w:space="0" w:color="auto"/>
          </w:divBdr>
        </w:div>
        <w:div w:id="184289826">
          <w:marLeft w:val="640"/>
          <w:marRight w:val="0"/>
          <w:marTop w:val="0"/>
          <w:marBottom w:val="0"/>
          <w:divBdr>
            <w:top w:val="none" w:sz="0" w:space="0" w:color="auto"/>
            <w:left w:val="none" w:sz="0" w:space="0" w:color="auto"/>
            <w:bottom w:val="none" w:sz="0" w:space="0" w:color="auto"/>
            <w:right w:val="none" w:sz="0" w:space="0" w:color="auto"/>
          </w:divBdr>
        </w:div>
        <w:div w:id="742065001">
          <w:marLeft w:val="640"/>
          <w:marRight w:val="0"/>
          <w:marTop w:val="0"/>
          <w:marBottom w:val="0"/>
          <w:divBdr>
            <w:top w:val="none" w:sz="0" w:space="0" w:color="auto"/>
            <w:left w:val="none" w:sz="0" w:space="0" w:color="auto"/>
            <w:bottom w:val="none" w:sz="0" w:space="0" w:color="auto"/>
            <w:right w:val="none" w:sz="0" w:space="0" w:color="auto"/>
          </w:divBdr>
        </w:div>
        <w:div w:id="1235510563">
          <w:marLeft w:val="640"/>
          <w:marRight w:val="0"/>
          <w:marTop w:val="0"/>
          <w:marBottom w:val="0"/>
          <w:divBdr>
            <w:top w:val="none" w:sz="0" w:space="0" w:color="auto"/>
            <w:left w:val="none" w:sz="0" w:space="0" w:color="auto"/>
            <w:bottom w:val="none" w:sz="0" w:space="0" w:color="auto"/>
            <w:right w:val="none" w:sz="0" w:space="0" w:color="auto"/>
          </w:divBdr>
        </w:div>
        <w:div w:id="437213710">
          <w:marLeft w:val="640"/>
          <w:marRight w:val="0"/>
          <w:marTop w:val="0"/>
          <w:marBottom w:val="0"/>
          <w:divBdr>
            <w:top w:val="none" w:sz="0" w:space="0" w:color="auto"/>
            <w:left w:val="none" w:sz="0" w:space="0" w:color="auto"/>
            <w:bottom w:val="none" w:sz="0" w:space="0" w:color="auto"/>
            <w:right w:val="none" w:sz="0" w:space="0" w:color="auto"/>
          </w:divBdr>
        </w:div>
        <w:div w:id="188220438">
          <w:marLeft w:val="640"/>
          <w:marRight w:val="0"/>
          <w:marTop w:val="0"/>
          <w:marBottom w:val="0"/>
          <w:divBdr>
            <w:top w:val="none" w:sz="0" w:space="0" w:color="auto"/>
            <w:left w:val="none" w:sz="0" w:space="0" w:color="auto"/>
            <w:bottom w:val="none" w:sz="0" w:space="0" w:color="auto"/>
            <w:right w:val="none" w:sz="0" w:space="0" w:color="auto"/>
          </w:divBdr>
        </w:div>
        <w:div w:id="1962153521">
          <w:marLeft w:val="640"/>
          <w:marRight w:val="0"/>
          <w:marTop w:val="0"/>
          <w:marBottom w:val="0"/>
          <w:divBdr>
            <w:top w:val="none" w:sz="0" w:space="0" w:color="auto"/>
            <w:left w:val="none" w:sz="0" w:space="0" w:color="auto"/>
            <w:bottom w:val="none" w:sz="0" w:space="0" w:color="auto"/>
            <w:right w:val="none" w:sz="0" w:space="0" w:color="auto"/>
          </w:divBdr>
        </w:div>
        <w:div w:id="1497726525">
          <w:marLeft w:val="640"/>
          <w:marRight w:val="0"/>
          <w:marTop w:val="0"/>
          <w:marBottom w:val="0"/>
          <w:divBdr>
            <w:top w:val="none" w:sz="0" w:space="0" w:color="auto"/>
            <w:left w:val="none" w:sz="0" w:space="0" w:color="auto"/>
            <w:bottom w:val="none" w:sz="0" w:space="0" w:color="auto"/>
            <w:right w:val="none" w:sz="0" w:space="0" w:color="auto"/>
          </w:divBdr>
        </w:div>
        <w:div w:id="1276449878">
          <w:marLeft w:val="640"/>
          <w:marRight w:val="0"/>
          <w:marTop w:val="0"/>
          <w:marBottom w:val="0"/>
          <w:divBdr>
            <w:top w:val="none" w:sz="0" w:space="0" w:color="auto"/>
            <w:left w:val="none" w:sz="0" w:space="0" w:color="auto"/>
            <w:bottom w:val="none" w:sz="0" w:space="0" w:color="auto"/>
            <w:right w:val="none" w:sz="0" w:space="0" w:color="auto"/>
          </w:divBdr>
        </w:div>
        <w:div w:id="560678964">
          <w:marLeft w:val="640"/>
          <w:marRight w:val="0"/>
          <w:marTop w:val="0"/>
          <w:marBottom w:val="0"/>
          <w:divBdr>
            <w:top w:val="none" w:sz="0" w:space="0" w:color="auto"/>
            <w:left w:val="none" w:sz="0" w:space="0" w:color="auto"/>
            <w:bottom w:val="none" w:sz="0" w:space="0" w:color="auto"/>
            <w:right w:val="none" w:sz="0" w:space="0" w:color="auto"/>
          </w:divBdr>
        </w:div>
        <w:div w:id="1420711073">
          <w:marLeft w:val="640"/>
          <w:marRight w:val="0"/>
          <w:marTop w:val="0"/>
          <w:marBottom w:val="0"/>
          <w:divBdr>
            <w:top w:val="none" w:sz="0" w:space="0" w:color="auto"/>
            <w:left w:val="none" w:sz="0" w:space="0" w:color="auto"/>
            <w:bottom w:val="none" w:sz="0" w:space="0" w:color="auto"/>
            <w:right w:val="none" w:sz="0" w:space="0" w:color="auto"/>
          </w:divBdr>
        </w:div>
        <w:div w:id="1235555045">
          <w:marLeft w:val="640"/>
          <w:marRight w:val="0"/>
          <w:marTop w:val="0"/>
          <w:marBottom w:val="0"/>
          <w:divBdr>
            <w:top w:val="none" w:sz="0" w:space="0" w:color="auto"/>
            <w:left w:val="none" w:sz="0" w:space="0" w:color="auto"/>
            <w:bottom w:val="none" w:sz="0" w:space="0" w:color="auto"/>
            <w:right w:val="none" w:sz="0" w:space="0" w:color="auto"/>
          </w:divBdr>
        </w:div>
        <w:div w:id="691610392">
          <w:marLeft w:val="640"/>
          <w:marRight w:val="0"/>
          <w:marTop w:val="0"/>
          <w:marBottom w:val="0"/>
          <w:divBdr>
            <w:top w:val="none" w:sz="0" w:space="0" w:color="auto"/>
            <w:left w:val="none" w:sz="0" w:space="0" w:color="auto"/>
            <w:bottom w:val="none" w:sz="0" w:space="0" w:color="auto"/>
            <w:right w:val="none" w:sz="0" w:space="0" w:color="auto"/>
          </w:divBdr>
        </w:div>
        <w:div w:id="1759716982">
          <w:marLeft w:val="640"/>
          <w:marRight w:val="0"/>
          <w:marTop w:val="0"/>
          <w:marBottom w:val="0"/>
          <w:divBdr>
            <w:top w:val="none" w:sz="0" w:space="0" w:color="auto"/>
            <w:left w:val="none" w:sz="0" w:space="0" w:color="auto"/>
            <w:bottom w:val="none" w:sz="0" w:space="0" w:color="auto"/>
            <w:right w:val="none" w:sz="0" w:space="0" w:color="auto"/>
          </w:divBdr>
        </w:div>
        <w:div w:id="1986471619">
          <w:marLeft w:val="640"/>
          <w:marRight w:val="0"/>
          <w:marTop w:val="0"/>
          <w:marBottom w:val="0"/>
          <w:divBdr>
            <w:top w:val="none" w:sz="0" w:space="0" w:color="auto"/>
            <w:left w:val="none" w:sz="0" w:space="0" w:color="auto"/>
            <w:bottom w:val="none" w:sz="0" w:space="0" w:color="auto"/>
            <w:right w:val="none" w:sz="0" w:space="0" w:color="auto"/>
          </w:divBdr>
        </w:div>
        <w:div w:id="485973634">
          <w:marLeft w:val="640"/>
          <w:marRight w:val="0"/>
          <w:marTop w:val="0"/>
          <w:marBottom w:val="0"/>
          <w:divBdr>
            <w:top w:val="none" w:sz="0" w:space="0" w:color="auto"/>
            <w:left w:val="none" w:sz="0" w:space="0" w:color="auto"/>
            <w:bottom w:val="none" w:sz="0" w:space="0" w:color="auto"/>
            <w:right w:val="none" w:sz="0" w:space="0" w:color="auto"/>
          </w:divBdr>
        </w:div>
        <w:div w:id="1687093867">
          <w:marLeft w:val="640"/>
          <w:marRight w:val="0"/>
          <w:marTop w:val="0"/>
          <w:marBottom w:val="0"/>
          <w:divBdr>
            <w:top w:val="none" w:sz="0" w:space="0" w:color="auto"/>
            <w:left w:val="none" w:sz="0" w:space="0" w:color="auto"/>
            <w:bottom w:val="none" w:sz="0" w:space="0" w:color="auto"/>
            <w:right w:val="none" w:sz="0" w:space="0" w:color="auto"/>
          </w:divBdr>
        </w:div>
        <w:div w:id="1515025236">
          <w:marLeft w:val="640"/>
          <w:marRight w:val="0"/>
          <w:marTop w:val="0"/>
          <w:marBottom w:val="0"/>
          <w:divBdr>
            <w:top w:val="none" w:sz="0" w:space="0" w:color="auto"/>
            <w:left w:val="none" w:sz="0" w:space="0" w:color="auto"/>
            <w:bottom w:val="none" w:sz="0" w:space="0" w:color="auto"/>
            <w:right w:val="none" w:sz="0" w:space="0" w:color="auto"/>
          </w:divBdr>
        </w:div>
        <w:div w:id="528182722">
          <w:marLeft w:val="640"/>
          <w:marRight w:val="0"/>
          <w:marTop w:val="0"/>
          <w:marBottom w:val="0"/>
          <w:divBdr>
            <w:top w:val="none" w:sz="0" w:space="0" w:color="auto"/>
            <w:left w:val="none" w:sz="0" w:space="0" w:color="auto"/>
            <w:bottom w:val="none" w:sz="0" w:space="0" w:color="auto"/>
            <w:right w:val="none" w:sz="0" w:space="0" w:color="auto"/>
          </w:divBdr>
        </w:div>
        <w:div w:id="1697997115">
          <w:marLeft w:val="640"/>
          <w:marRight w:val="0"/>
          <w:marTop w:val="0"/>
          <w:marBottom w:val="0"/>
          <w:divBdr>
            <w:top w:val="none" w:sz="0" w:space="0" w:color="auto"/>
            <w:left w:val="none" w:sz="0" w:space="0" w:color="auto"/>
            <w:bottom w:val="none" w:sz="0" w:space="0" w:color="auto"/>
            <w:right w:val="none" w:sz="0" w:space="0" w:color="auto"/>
          </w:divBdr>
        </w:div>
        <w:div w:id="1623805351">
          <w:marLeft w:val="640"/>
          <w:marRight w:val="0"/>
          <w:marTop w:val="0"/>
          <w:marBottom w:val="0"/>
          <w:divBdr>
            <w:top w:val="none" w:sz="0" w:space="0" w:color="auto"/>
            <w:left w:val="none" w:sz="0" w:space="0" w:color="auto"/>
            <w:bottom w:val="none" w:sz="0" w:space="0" w:color="auto"/>
            <w:right w:val="none" w:sz="0" w:space="0" w:color="auto"/>
          </w:divBdr>
        </w:div>
        <w:div w:id="1188836699">
          <w:marLeft w:val="640"/>
          <w:marRight w:val="0"/>
          <w:marTop w:val="0"/>
          <w:marBottom w:val="0"/>
          <w:divBdr>
            <w:top w:val="none" w:sz="0" w:space="0" w:color="auto"/>
            <w:left w:val="none" w:sz="0" w:space="0" w:color="auto"/>
            <w:bottom w:val="none" w:sz="0" w:space="0" w:color="auto"/>
            <w:right w:val="none" w:sz="0" w:space="0" w:color="auto"/>
          </w:divBdr>
        </w:div>
        <w:div w:id="293995985">
          <w:marLeft w:val="640"/>
          <w:marRight w:val="0"/>
          <w:marTop w:val="0"/>
          <w:marBottom w:val="0"/>
          <w:divBdr>
            <w:top w:val="none" w:sz="0" w:space="0" w:color="auto"/>
            <w:left w:val="none" w:sz="0" w:space="0" w:color="auto"/>
            <w:bottom w:val="none" w:sz="0" w:space="0" w:color="auto"/>
            <w:right w:val="none" w:sz="0" w:space="0" w:color="auto"/>
          </w:divBdr>
        </w:div>
        <w:div w:id="1582176832">
          <w:marLeft w:val="640"/>
          <w:marRight w:val="0"/>
          <w:marTop w:val="0"/>
          <w:marBottom w:val="0"/>
          <w:divBdr>
            <w:top w:val="none" w:sz="0" w:space="0" w:color="auto"/>
            <w:left w:val="none" w:sz="0" w:space="0" w:color="auto"/>
            <w:bottom w:val="none" w:sz="0" w:space="0" w:color="auto"/>
            <w:right w:val="none" w:sz="0" w:space="0" w:color="auto"/>
          </w:divBdr>
        </w:div>
        <w:div w:id="741875463">
          <w:marLeft w:val="640"/>
          <w:marRight w:val="0"/>
          <w:marTop w:val="0"/>
          <w:marBottom w:val="0"/>
          <w:divBdr>
            <w:top w:val="none" w:sz="0" w:space="0" w:color="auto"/>
            <w:left w:val="none" w:sz="0" w:space="0" w:color="auto"/>
            <w:bottom w:val="none" w:sz="0" w:space="0" w:color="auto"/>
            <w:right w:val="none" w:sz="0" w:space="0" w:color="auto"/>
          </w:divBdr>
        </w:div>
        <w:div w:id="796602401">
          <w:marLeft w:val="640"/>
          <w:marRight w:val="0"/>
          <w:marTop w:val="0"/>
          <w:marBottom w:val="0"/>
          <w:divBdr>
            <w:top w:val="none" w:sz="0" w:space="0" w:color="auto"/>
            <w:left w:val="none" w:sz="0" w:space="0" w:color="auto"/>
            <w:bottom w:val="none" w:sz="0" w:space="0" w:color="auto"/>
            <w:right w:val="none" w:sz="0" w:space="0" w:color="auto"/>
          </w:divBdr>
        </w:div>
        <w:div w:id="456336375">
          <w:marLeft w:val="640"/>
          <w:marRight w:val="0"/>
          <w:marTop w:val="0"/>
          <w:marBottom w:val="0"/>
          <w:divBdr>
            <w:top w:val="none" w:sz="0" w:space="0" w:color="auto"/>
            <w:left w:val="none" w:sz="0" w:space="0" w:color="auto"/>
            <w:bottom w:val="none" w:sz="0" w:space="0" w:color="auto"/>
            <w:right w:val="none" w:sz="0" w:space="0" w:color="auto"/>
          </w:divBdr>
        </w:div>
        <w:div w:id="1232429131">
          <w:marLeft w:val="640"/>
          <w:marRight w:val="0"/>
          <w:marTop w:val="0"/>
          <w:marBottom w:val="0"/>
          <w:divBdr>
            <w:top w:val="none" w:sz="0" w:space="0" w:color="auto"/>
            <w:left w:val="none" w:sz="0" w:space="0" w:color="auto"/>
            <w:bottom w:val="none" w:sz="0" w:space="0" w:color="auto"/>
            <w:right w:val="none" w:sz="0" w:space="0" w:color="auto"/>
          </w:divBdr>
        </w:div>
        <w:div w:id="288390880">
          <w:marLeft w:val="640"/>
          <w:marRight w:val="0"/>
          <w:marTop w:val="0"/>
          <w:marBottom w:val="0"/>
          <w:divBdr>
            <w:top w:val="none" w:sz="0" w:space="0" w:color="auto"/>
            <w:left w:val="none" w:sz="0" w:space="0" w:color="auto"/>
            <w:bottom w:val="none" w:sz="0" w:space="0" w:color="auto"/>
            <w:right w:val="none" w:sz="0" w:space="0" w:color="auto"/>
          </w:divBdr>
        </w:div>
        <w:div w:id="474566887">
          <w:marLeft w:val="640"/>
          <w:marRight w:val="0"/>
          <w:marTop w:val="0"/>
          <w:marBottom w:val="0"/>
          <w:divBdr>
            <w:top w:val="none" w:sz="0" w:space="0" w:color="auto"/>
            <w:left w:val="none" w:sz="0" w:space="0" w:color="auto"/>
            <w:bottom w:val="none" w:sz="0" w:space="0" w:color="auto"/>
            <w:right w:val="none" w:sz="0" w:space="0" w:color="auto"/>
          </w:divBdr>
        </w:div>
        <w:div w:id="51656164">
          <w:marLeft w:val="640"/>
          <w:marRight w:val="0"/>
          <w:marTop w:val="0"/>
          <w:marBottom w:val="0"/>
          <w:divBdr>
            <w:top w:val="none" w:sz="0" w:space="0" w:color="auto"/>
            <w:left w:val="none" w:sz="0" w:space="0" w:color="auto"/>
            <w:bottom w:val="none" w:sz="0" w:space="0" w:color="auto"/>
            <w:right w:val="none" w:sz="0" w:space="0" w:color="auto"/>
          </w:divBdr>
        </w:div>
        <w:div w:id="1454786891">
          <w:marLeft w:val="640"/>
          <w:marRight w:val="0"/>
          <w:marTop w:val="0"/>
          <w:marBottom w:val="0"/>
          <w:divBdr>
            <w:top w:val="none" w:sz="0" w:space="0" w:color="auto"/>
            <w:left w:val="none" w:sz="0" w:space="0" w:color="auto"/>
            <w:bottom w:val="none" w:sz="0" w:space="0" w:color="auto"/>
            <w:right w:val="none" w:sz="0" w:space="0" w:color="auto"/>
          </w:divBdr>
        </w:div>
        <w:div w:id="1442257383">
          <w:marLeft w:val="640"/>
          <w:marRight w:val="0"/>
          <w:marTop w:val="0"/>
          <w:marBottom w:val="0"/>
          <w:divBdr>
            <w:top w:val="none" w:sz="0" w:space="0" w:color="auto"/>
            <w:left w:val="none" w:sz="0" w:space="0" w:color="auto"/>
            <w:bottom w:val="none" w:sz="0" w:space="0" w:color="auto"/>
            <w:right w:val="none" w:sz="0" w:space="0" w:color="auto"/>
          </w:divBdr>
        </w:div>
        <w:div w:id="24671289">
          <w:marLeft w:val="640"/>
          <w:marRight w:val="0"/>
          <w:marTop w:val="0"/>
          <w:marBottom w:val="0"/>
          <w:divBdr>
            <w:top w:val="none" w:sz="0" w:space="0" w:color="auto"/>
            <w:left w:val="none" w:sz="0" w:space="0" w:color="auto"/>
            <w:bottom w:val="none" w:sz="0" w:space="0" w:color="auto"/>
            <w:right w:val="none" w:sz="0" w:space="0" w:color="auto"/>
          </w:divBdr>
        </w:div>
        <w:div w:id="1414082729">
          <w:marLeft w:val="640"/>
          <w:marRight w:val="0"/>
          <w:marTop w:val="0"/>
          <w:marBottom w:val="0"/>
          <w:divBdr>
            <w:top w:val="none" w:sz="0" w:space="0" w:color="auto"/>
            <w:left w:val="none" w:sz="0" w:space="0" w:color="auto"/>
            <w:bottom w:val="none" w:sz="0" w:space="0" w:color="auto"/>
            <w:right w:val="none" w:sz="0" w:space="0" w:color="auto"/>
          </w:divBdr>
        </w:div>
      </w:divsChild>
    </w:div>
    <w:div w:id="2147353283">
      <w:bodyDiv w:val="1"/>
      <w:marLeft w:val="0"/>
      <w:marRight w:val="0"/>
      <w:marTop w:val="0"/>
      <w:marBottom w:val="0"/>
      <w:divBdr>
        <w:top w:val="none" w:sz="0" w:space="0" w:color="auto"/>
        <w:left w:val="none" w:sz="0" w:space="0" w:color="auto"/>
        <w:bottom w:val="none" w:sz="0" w:space="0" w:color="auto"/>
        <w:right w:val="none" w:sz="0" w:space="0" w:color="auto"/>
      </w:divBdr>
      <w:divsChild>
        <w:div w:id="1077678154">
          <w:marLeft w:val="640"/>
          <w:marRight w:val="0"/>
          <w:marTop w:val="0"/>
          <w:marBottom w:val="0"/>
          <w:divBdr>
            <w:top w:val="none" w:sz="0" w:space="0" w:color="auto"/>
            <w:left w:val="none" w:sz="0" w:space="0" w:color="auto"/>
            <w:bottom w:val="none" w:sz="0" w:space="0" w:color="auto"/>
            <w:right w:val="none" w:sz="0" w:space="0" w:color="auto"/>
          </w:divBdr>
        </w:div>
        <w:div w:id="37557936">
          <w:marLeft w:val="640"/>
          <w:marRight w:val="0"/>
          <w:marTop w:val="0"/>
          <w:marBottom w:val="0"/>
          <w:divBdr>
            <w:top w:val="none" w:sz="0" w:space="0" w:color="auto"/>
            <w:left w:val="none" w:sz="0" w:space="0" w:color="auto"/>
            <w:bottom w:val="none" w:sz="0" w:space="0" w:color="auto"/>
            <w:right w:val="none" w:sz="0" w:space="0" w:color="auto"/>
          </w:divBdr>
        </w:div>
        <w:div w:id="66542877">
          <w:marLeft w:val="640"/>
          <w:marRight w:val="0"/>
          <w:marTop w:val="0"/>
          <w:marBottom w:val="0"/>
          <w:divBdr>
            <w:top w:val="none" w:sz="0" w:space="0" w:color="auto"/>
            <w:left w:val="none" w:sz="0" w:space="0" w:color="auto"/>
            <w:bottom w:val="none" w:sz="0" w:space="0" w:color="auto"/>
            <w:right w:val="none" w:sz="0" w:space="0" w:color="auto"/>
          </w:divBdr>
        </w:div>
        <w:div w:id="1409303581">
          <w:marLeft w:val="640"/>
          <w:marRight w:val="0"/>
          <w:marTop w:val="0"/>
          <w:marBottom w:val="0"/>
          <w:divBdr>
            <w:top w:val="none" w:sz="0" w:space="0" w:color="auto"/>
            <w:left w:val="none" w:sz="0" w:space="0" w:color="auto"/>
            <w:bottom w:val="none" w:sz="0" w:space="0" w:color="auto"/>
            <w:right w:val="none" w:sz="0" w:space="0" w:color="auto"/>
          </w:divBdr>
        </w:div>
        <w:div w:id="253783445">
          <w:marLeft w:val="640"/>
          <w:marRight w:val="0"/>
          <w:marTop w:val="0"/>
          <w:marBottom w:val="0"/>
          <w:divBdr>
            <w:top w:val="none" w:sz="0" w:space="0" w:color="auto"/>
            <w:left w:val="none" w:sz="0" w:space="0" w:color="auto"/>
            <w:bottom w:val="none" w:sz="0" w:space="0" w:color="auto"/>
            <w:right w:val="none" w:sz="0" w:space="0" w:color="auto"/>
          </w:divBdr>
        </w:div>
        <w:div w:id="1004017475">
          <w:marLeft w:val="640"/>
          <w:marRight w:val="0"/>
          <w:marTop w:val="0"/>
          <w:marBottom w:val="0"/>
          <w:divBdr>
            <w:top w:val="none" w:sz="0" w:space="0" w:color="auto"/>
            <w:left w:val="none" w:sz="0" w:space="0" w:color="auto"/>
            <w:bottom w:val="none" w:sz="0" w:space="0" w:color="auto"/>
            <w:right w:val="none" w:sz="0" w:space="0" w:color="auto"/>
          </w:divBdr>
        </w:div>
        <w:div w:id="367218991">
          <w:marLeft w:val="640"/>
          <w:marRight w:val="0"/>
          <w:marTop w:val="0"/>
          <w:marBottom w:val="0"/>
          <w:divBdr>
            <w:top w:val="none" w:sz="0" w:space="0" w:color="auto"/>
            <w:left w:val="none" w:sz="0" w:space="0" w:color="auto"/>
            <w:bottom w:val="none" w:sz="0" w:space="0" w:color="auto"/>
            <w:right w:val="none" w:sz="0" w:space="0" w:color="auto"/>
          </w:divBdr>
        </w:div>
        <w:div w:id="1759597486">
          <w:marLeft w:val="640"/>
          <w:marRight w:val="0"/>
          <w:marTop w:val="0"/>
          <w:marBottom w:val="0"/>
          <w:divBdr>
            <w:top w:val="none" w:sz="0" w:space="0" w:color="auto"/>
            <w:left w:val="none" w:sz="0" w:space="0" w:color="auto"/>
            <w:bottom w:val="none" w:sz="0" w:space="0" w:color="auto"/>
            <w:right w:val="none" w:sz="0" w:space="0" w:color="auto"/>
          </w:divBdr>
        </w:div>
        <w:div w:id="694186318">
          <w:marLeft w:val="640"/>
          <w:marRight w:val="0"/>
          <w:marTop w:val="0"/>
          <w:marBottom w:val="0"/>
          <w:divBdr>
            <w:top w:val="none" w:sz="0" w:space="0" w:color="auto"/>
            <w:left w:val="none" w:sz="0" w:space="0" w:color="auto"/>
            <w:bottom w:val="none" w:sz="0" w:space="0" w:color="auto"/>
            <w:right w:val="none" w:sz="0" w:space="0" w:color="auto"/>
          </w:divBdr>
        </w:div>
        <w:div w:id="638462391">
          <w:marLeft w:val="640"/>
          <w:marRight w:val="0"/>
          <w:marTop w:val="0"/>
          <w:marBottom w:val="0"/>
          <w:divBdr>
            <w:top w:val="none" w:sz="0" w:space="0" w:color="auto"/>
            <w:left w:val="none" w:sz="0" w:space="0" w:color="auto"/>
            <w:bottom w:val="none" w:sz="0" w:space="0" w:color="auto"/>
            <w:right w:val="none" w:sz="0" w:space="0" w:color="auto"/>
          </w:divBdr>
        </w:div>
        <w:div w:id="1705212940">
          <w:marLeft w:val="640"/>
          <w:marRight w:val="0"/>
          <w:marTop w:val="0"/>
          <w:marBottom w:val="0"/>
          <w:divBdr>
            <w:top w:val="none" w:sz="0" w:space="0" w:color="auto"/>
            <w:left w:val="none" w:sz="0" w:space="0" w:color="auto"/>
            <w:bottom w:val="none" w:sz="0" w:space="0" w:color="auto"/>
            <w:right w:val="none" w:sz="0" w:space="0" w:color="auto"/>
          </w:divBdr>
        </w:div>
        <w:div w:id="1284144193">
          <w:marLeft w:val="640"/>
          <w:marRight w:val="0"/>
          <w:marTop w:val="0"/>
          <w:marBottom w:val="0"/>
          <w:divBdr>
            <w:top w:val="none" w:sz="0" w:space="0" w:color="auto"/>
            <w:left w:val="none" w:sz="0" w:space="0" w:color="auto"/>
            <w:bottom w:val="none" w:sz="0" w:space="0" w:color="auto"/>
            <w:right w:val="none" w:sz="0" w:space="0" w:color="auto"/>
          </w:divBdr>
        </w:div>
        <w:div w:id="2100759936">
          <w:marLeft w:val="640"/>
          <w:marRight w:val="0"/>
          <w:marTop w:val="0"/>
          <w:marBottom w:val="0"/>
          <w:divBdr>
            <w:top w:val="none" w:sz="0" w:space="0" w:color="auto"/>
            <w:left w:val="none" w:sz="0" w:space="0" w:color="auto"/>
            <w:bottom w:val="none" w:sz="0" w:space="0" w:color="auto"/>
            <w:right w:val="none" w:sz="0" w:space="0" w:color="auto"/>
          </w:divBdr>
        </w:div>
        <w:div w:id="281616244">
          <w:marLeft w:val="640"/>
          <w:marRight w:val="0"/>
          <w:marTop w:val="0"/>
          <w:marBottom w:val="0"/>
          <w:divBdr>
            <w:top w:val="none" w:sz="0" w:space="0" w:color="auto"/>
            <w:left w:val="none" w:sz="0" w:space="0" w:color="auto"/>
            <w:bottom w:val="none" w:sz="0" w:space="0" w:color="auto"/>
            <w:right w:val="none" w:sz="0" w:space="0" w:color="auto"/>
          </w:divBdr>
        </w:div>
        <w:div w:id="1400833070">
          <w:marLeft w:val="640"/>
          <w:marRight w:val="0"/>
          <w:marTop w:val="0"/>
          <w:marBottom w:val="0"/>
          <w:divBdr>
            <w:top w:val="none" w:sz="0" w:space="0" w:color="auto"/>
            <w:left w:val="none" w:sz="0" w:space="0" w:color="auto"/>
            <w:bottom w:val="none" w:sz="0" w:space="0" w:color="auto"/>
            <w:right w:val="none" w:sz="0" w:space="0" w:color="auto"/>
          </w:divBdr>
        </w:div>
        <w:div w:id="1440875070">
          <w:marLeft w:val="640"/>
          <w:marRight w:val="0"/>
          <w:marTop w:val="0"/>
          <w:marBottom w:val="0"/>
          <w:divBdr>
            <w:top w:val="none" w:sz="0" w:space="0" w:color="auto"/>
            <w:left w:val="none" w:sz="0" w:space="0" w:color="auto"/>
            <w:bottom w:val="none" w:sz="0" w:space="0" w:color="auto"/>
            <w:right w:val="none" w:sz="0" w:space="0" w:color="auto"/>
          </w:divBdr>
        </w:div>
        <w:div w:id="1977563567">
          <w:marLeft w:val="640"/>
          <w:marRight w:val="0"/>
          <w:marTop w:val="0"/>
          <w:marBottom w:val="0"/>
          <w:divBdr>
            <w:top w:val="none" w:sz="0" w:space="0" w:color="auto"/>
            <w:left w:val="none" w:sz="0" w:space="0" w:color="auto"/>
            <w:bottom w:val="none" w:sz="0" w:space="0" w:color="auto"/>
            <w:right w:val="none" w:sz="0" w:space="0" w:color="auto"/>
          </w:divBdr>
        </w:div>
        <w:div w:id="1901095539">
          <w:marLeft w:val="640"/>
          <w:marRight w:val="0"/>
          <w:marTop w:val="0"/>
          <w:marBottom w:val="0"/>
          <w:divBdr>
            <w:top w:val="none" w:sz="0" w:space="0" w:color="auto"/>
            <w:left w:val="none" w:sz="0" w:space="0" w:color="auto"/>
            <w:bottom w:val="none" w:sz="0" w:space="0" w:color="auto"/>
            <w:right w:val="none" w:sz="0" w:space="0" w:color="auto"/>
          </w:divBdr>
        </w:div>
        <w:div w:id="1197305366">
          <w:marLeft w:val="640"/>
          <w:marRight w:val="0"/>
          <w:marTop w:val="0"/>
          <w:marBottom w:val="0"/>
          <w:divBdr>
            <w:top w:val="none" w:sz="0" w:space="0" w:color="auto"/>
            <w:left w:val="none" w:sz="0" w:space="0" w:color="auto"/>
            <w:bottom w:val="none" w:sz="0" w:space="0" w:color="auto"/>
            <w:right w:val="none" w:sz="0" w:space="0" w:color="auto"/>
          </w:divBdr>
        </w:div>
        <w:div w:id="152644959">
          <w:marLeft w:val="640"/>
          <w:marRight w:val="0"/>
          <w:marTop w:val="0"/>
          <w:marBottom w:val="0"/>
          <w:divBdr>
            <w:top w:val="none" w:sz="0" w:space="0" w:color="auto"/>
            <w:left w:val="none" w:sz="0" w:space="0" w:color="auto"/>
            <w:bottom w:val="none" w:sz="0" w:space="0" w:color="auto"/>
            <w:right w:val="none" w:sz="0" w:space="0" w:color="auto"/>
          </w:divBdr>
        </w:div>
        <w:div w:id="494951924">
          <w:marLeft w:val="640"/>
          <w:marRight w:val="0"/>
          <w:marTop w:val="0"/>
          <w:marBottom w:val="0"/>
          <w:divBdr>
            <w:top w:val="none" w:sz="0" w:space="0" w:color="auto"/>
            <w:left w:val="none" w:sz="0" w:space="0" w:color="auto"/>
            <w:bottom w:val="none" w:sz="0" w:space="0" w:color="auto"/>
            <w:right w:val="none" w:sz="0" w:space="0" w:color="auto"/>
          </w:divBdr>
        </w:div>
        <w:div w:id="1032192482">
          <w:marLeft w:val="640"/>
          <w:marRight w:val="0"/>
          <w:marTop w:val="0"/>
          <w:marBottom w:val="0"/>
          <w:divBdr>
            <w:top w:val="none" w:sz="0" w:space="0" w:color="auto"/>
            <w:left w:val="none" w:sz="0" w:space="0" w:color="auto"/>
            <w:bottom w:val="none" w:sz="0" w:space="0" w:color="auto"/>
            <w:right w:val="none" w:sz="0" w:space="0" w:color="auto"/>
          </w:divBdr>
        </w:div>
        <w:div w:id="645360742">
          <w:marLeft w:val="640"/>
          <w:marRight w:val="0"/>
          <w:marTop w:val="0"/>
          <w:marBottom w:val="0"/>
          <w:divBdr>
            <w:top w:val="none" w:sz="0" w:space="0" w:color="auto"/>
            <w:left w:val="none" w:sz="0" w:space="0" w:color="auto"/>
            <w:bottom w:val="none" w:sz="0" w:space="0" w:color="auto"/>
            <w:right w:val="none" w:sz="0" w:space="0" w:color="auto"/>
          </w:divBdr>
        </w:div>
        <w:div w:id="901526891">
          <w:marLeft w:val="640"/>
          <w:marRight w:val="0"/>
          <w:marTop w:val="0"/>
          <w:marBottom w:val="0"/>
          <w:divBdr>
            <w:top w:val="none" w:sz="0" w:space="0" w:color="auto"/>
            <w:left w:val="none" w:sz="0" w:space="0" w:color="auto"/>
            <w:bottom w:val="none" w:sz="0" w:space="0" w:color="auto"/>
            <w:right w:val="none" w:sz="0" w:space="0" w:color="auto"/>
          </w:divBdr>
        </w:div>
        <w:div w:id="523786770">
          <w:marLeft w:val="640"/>
          <w:marRight w:val="0"/>
          <w:marTop w:val="0"/>
          <w:marBottom w:val="0"/>
          <w:divBdr>
            <w:top w:val="none" w:sz="0" w:space="0" w:color="auto"/>
            <w:left w:val="none" w:sz="0" w:space="0" w:color="auto"/>
            <w:bottom w:val="none" w:sz="0" w:space="0" w:color="auto"/>
            <w:right w:val="none" w:sz="0" w:space="0" w:color="auto"/>
          </w:divBdr>
        </w:div>
        <w:div w:id="1811246759">
          <w:marLeft w:val="640"/>
          <w:marRight w:val="0"/>
          <w:marTop w:val="0"/>
          <w:marBottom w:val="0"/>
          <w:divBdr>
            <w:top w:val="none" w:sz="0" w:space="0" w:color="auto"/>
            <w:left w:val="none" w:sz="0" w:space="0" w:color="auto"/>
            <w:bottom w:val="none" w:sz="0" w:space="0" w:color="auto"/>
            <w:right w:val="none" w:sz="0" w:space="0" w:color="auto"/>
          </w:divBdr>
        </w:div>
        <w:div w:id="2011982815">
          <w:marLeft w:val="640"/>
          <w:marRight w:val="0"/>
          <w:marTop w:val="0"/>
          <w:marBottom w:val="0"/>
          <w:divBdr>
            <w:top w:val="none" w:sz="0" w:space="0" w:color="auto"/>
            <w:left w:val="none" w:sz="0" w:space="0" w:color="auto"/>
            <w:bottom w:val="none" w:sz="0" w:space="0" w:color="auto"/>
            <w:right w:val="none" w:sz="0" w:space="0" w:color="auto"/>
          </w:divBdr>
        </w:div>
        <w:div w:id="139274735">
          <w:marLeft w:val="640"/>
          <w:marRight w:val="0"/>
          <w:marTop w:val="0"/>
          <w:marBottom w:val="0"/>
          <w:divBdr>
            <w:top w:val="none" w:sz="0" w:space="0" w:color="auto"/>
            <w:left w:val="none" w:sz="0" w:space="0" w:color="auto"/>
            <w:bottom w:val="none" w:sz="0" w:space="0" w:color="auto"/>
            <w:right w:val="none" w:sz="0" w:space="0" w:color="auto"/>
          </w:divBdr>
        </w:div>
        <w:div w:id="1607343692">
          <w:marLeft w:val="640"/>
          <w:marRight w:val="0"/>
          <w:marTop w:val="0"/>
          <w:marBottom w:val="0"/>
          <w:divBdr>
            <w:top w:val="none" w:sz="0" w:space="0" w:color="auto"/>
            <w:left w:val="none" w:sz="0" w:space="0" w:color="auto"/>
            <w:bottom w:val="none" w:sz="0" w:space="0" w:color="auto"/>
            <w:right w:val="none" w:sz="0" w:space="0" w:color="auto"/>
          </w:divBdr>
        </w:div>
        <w:div w:id="1698121989">
          <w:marLeft w:val="640"/>
          <w:marRight w:val="0"/>
          <w:marTop w:val="0"/>
          <w:marBottom w:val="0"/>
          <w:divBdr>
            <w:top w:val="none" w:sz="0" w:space="0" w:color="auto"/>
            <w:left w:val="none" w:sz="0" w:space="0" w:color="auto"/>
            <w:bottom w:val="none" w:sz="0" w:space="0" w:color="auto"/>
            <w:right w:val="none" w:sz="0" w:space="0" w:color="auto"/>
          </w:divBdr>
        </w:div>
        <w:div w:id="1717896771">
          <w:marLeft w:val="640"/>
          <w:marRight w:val="0"/>
          <w:marTop w:val="0"/>
          <w:marBottom w:val="0"/>
          <w:divBdr>
            <w:top w:val="none" w:sz="0" w:space="0" w:color="auto"/>
            <w:left w:val="none" w:sz="0" w:space="0" w:color="auto"/>
            <w:bottom w:val="none" w:sz="0" w:space="0" w:color="auto"/>
            <w:right w:val="none" w:sz="0" w:space="0" w:color="auto"/>
          </w:divBdr>
        </w:div>
        <w:div w:id="974481964">
          <w:marLeft w:val="640"/>
          <w:marRight w:val="0"/>
          <w:marTop w:val="0"/>
          <w:marBottom w:val="0"/>
          <w:divBdr>
            <w:top w:val="none" w:sz="0" w:space="0" w:color="auto"/>
            <w:left w:val="none" w:sz="0" w:space="0" w:color="auto"/>
            <w:bottom w:val="none" w:sz="0" w:space="0" w:color="auto"/>
            <w:right w:val="none" w:sz="0" w:space="0" w:color="auto"/>
          </w:divBdr>
        </w:div>
        <w:div w:id="1753775668">
          <w:marLeft w:val="640"/>
          <w:marRight w:val="0"/>
          <w:marTop w:val="0"/>
          <w:marBottom w:val="0"/>
          <w:divBdr>
            <w:top w:val="none" w:sz="0" w:space="0" w:color="auto"/>
            <w:left w:val="none" w:sz="0" w:space="0" w:color="auto"/>
            <w:bottom w:val="none" w:sz="0" w:space="0" w:color="auto"/>
            <w:right w:val="none" w:sz="0" w:space="0" w:color="auto"/>
          </w:divBdr>
        </w:div>
        <w:div w:id="751120323">
          <w:marLeft w:val="640"/>
          <w:marRight w:val="0"/>
          <w:marTop w:val="0"/>
          <w:marBottom w:val="0"/>
          <w:divBdr>
            <w:top w:val="none" w:sz="0" w:space="0" w:color="auto"/>
            <w:left w:val="none" w:sz="0" w:space="0" w:color="auto"/>
            <w:bottom w:val="none" w:sz="0" w:space="0" w:color="auto"/>
            <w:right w:val="none" w:sz="0" w:space="0" w:color="auto"/>
          </w:divBdr>
        </w:div>
        <w:div w:id="1500920630">
          <w:marLeft w:val="640"/>
          <w:marRight w:val="0"/>
          <w:marTop w:val="0"/>
          <w:marBottom w:val="0"/>
          <w:divBdr>
            <w:top w:val="none" w:sz="0" w:space="0" w:color="auto"/>
            <w:left w:val="none" w:sz="0" w:space="0" w:color="auto"/>
            <w:bottom w:val="none" w:sz="0" w:space="0" w:color="auto"/>
            <w:right w:val="none" w:sz="0" w:space="0" w:color="auto"/>
          </w:divBdr>
        </w:div>
        <w:div w:id="1919097896">
          <w:marLeft w:val="640"/>
          <w:marRight w:val="0"/>
          <w:marTop w:val="0"/>
          <w:marBottom w:val="0"/>
          <w:divBdr>
            <w:top w:val="none" w:sz="0" w:space="0" w:color="auto"/>
            <w:left w:val="none" w:sz="0" w:space="0" w:color="auto"/>
            <w:bottom w:val="none" w:sz="0" w:space="0" w:color="auto"/>
            <w:right w:val="none" w:sz="0" w:space="0" w:color="auto"/>
          </w:divBdr>
        </w:div>
        <w:div w:id="1179857120">
          <w:marLeft w:val="640"/>
          <w:marRight w:val="0"/>
          <w:marTop w:val="0"/>
          <w:marBottom w:val="0"/>
          <w:divBdr>
            <w:top w:val="none" w:sz="0" w:space="0" w:color="auto"/>
            <w:left w:val="none" w:sz="0" w:space="0" w:color="auto"/>
            <w:bottom w:val="none" w:sz="0" w:space="0" w:color="auto"/>
            <w:right w:val="none" w:sz="0" w:space="0" w:color="auto"/>
          </w:divBdr>
        </w:div>
        <w:div w:id="87120496">
          <w:marLeft w:val="640"/>
          <w:marRight w:val="0"/>
          <w:marTop w:val="0"/>
          <w:marBottom w:val="0"/>
          <w:divBdr>
            <w:top w:val="none" w:sz="0" w:space="0" w:color="auto"/>
            <w:left w:val="none" w:sz="0" w:space="0" w:color="auto"/>
            <w:bottom w:val="none" w:sz="0" w:space="0" w:color="auto"/>
            <w:right w:val="none" w:sz="0" w:space="0" w:color="auto"/>
          </w:divBdr>
        </w:div>
        <w:div w:id="153878903">
          <w:marLeft w:val="640"/>
          <w:marRight w:val="0"/>
          <w:marTop w:val="0"/>
          <w:marBottom w:val="0"/>
          <w:divBdr>
            <w:top w:val="none" w:sz="0" w:space="0" w:color="auto"/>
            <w:left w:val="none" w:sz="0" w:space="0" w:color="auto"/>
            <w:bottom w:val="none" w:sz="0" w:space="0" w:color="auto"/>
            <w:right w:val="none" w:sz="0" w:space="0" w:color="auto"/>
          </w:divBdr>
        </w:div>
        <w:div w:id="36438790">
          <w:marLeft w:val="640"/>
          <w:marRight w:val="0"/>
          <w:marTop w:val="0"/>
          <w:marBottom w:val="0"/>
          <w:divBdr>
            <w:top w:val="none" w:sz="0" w:space="0" w:color="auto"/>
            <w:left w:val="none" w:sz="0" w:space="0" w:color="auto"/>
            <w:bottom w:val="none" w:sz="0" w:space="0" w:color="auto"/>
            <w:right w:val="none" w:sz="0" w:space="0" w:color="auto"/>
          </w:divBdr>
        </w:div>
        <w:div w:id="1783113717">
          <w:marLeft w:val="640"/>
          <w:marRight w:val="0"/>
          <w:marTop w:val="0"/>
          <w:marBottom w:val="0"/>
          <w:divBdr>
            <w:top w:val="none" w:sz="0" w:space="0" w:color="auto"/>
            <w:left w:val="none" w:sz="0" w:space="0" w:color="auto"/>
            <w:bottom w:val="none" w:sz="0" w:space="0" w:color="auto"/>
            <w:right w:val="none" w:sz="0" w:space="0" w:color="auto"/>
          </w:divBdr>
        </w:div>
        <w:div w:id="1362365002">
          <w:marLeft w:val="640"/>
          <w:marRight w:val="0"/>
          <w:marTop w:val="0"/>
          <w:marBottom w:val="0"/>
          <w:divBdr>
            <w:top w:val="none" w:sz="0" w:space="0" w:color="auto"/>
            <w:left w:val="none" w:sz="0" w:space="0" w:color="auto"/>
            <w:bottom w:val="none" w:sz="0" w:space="0" w:color="auto"/>
            <w:right w:val="none" w:sz="0" w:space="0" w:color="auto"/>
          </w:divBdr>
        </w:div>
        <w:div w:id="1022394366">
          <w:marLeft w:val="640"/>
          <w:marRight w:val="0"/>
          <w:marTop w:val="0"/>
          <w:marBottom w:val="0"/>
          <w:divBdr>
            <w:top w:val="none" w:sz="0" w:space="0" w:color="auto"/>
            <w:left w:val="none" w:sz="0" w:space="0" w:color="auto"/>
            <w:bottom w:val="none" w:sz="0" w:space="0" w:color="auto"/>
            <w:right w:val="none" w:sz="0" w:space="0" w:color="auto"/>
          </w:divBdr>
        </w:div>
        <w:div w:id="1278760309">
          <w:marLeft w:val="640"/>
          <w:marRight w:val="0"/>
          <w:marTop w:val="0"/>
          <w:marBottom w:val="0"/>
          <w:divBdr>
            <w:top w:val="none" w:sz="0" w:space="0" w:color="auto"/>
            <w:left w:val="none" w:sz="0" w:space="0" w:color="auto"/>
            <w:bottom w:val="none" w:sz="0" w:space="0" w:color="auto"/>
            <w:right w:val="none" w:sz="0" w:space="0" w:color="auto"/>
          </w:divBdr>
        </w:div>
        <w:div w:id="2026402591">
          <w:marLeft w:val="640"/>
          <w:marRight w:val="0"/>
          <w:marTop w:val="0"/>
          <w:marBottom w:val="0"/>
          <w:divBdr>
            <w:top w:val="none" w:sz="0" w:space="0" w:color="auto"/>
            <w:left w:val="none" w:sz="0" w:space="0" w:color="auto"/>
            <w:bottom w:val="none" w:sz="0" w:space="0" w:color="auto"/>
            <w:right w:val="none" w:sz="0" w:space="0" w:color="auto"/>
          </w:divBdr>
        </w:div>
        <w:div w:id="65417528">
          <w:marLeft w:val="640"/>
          <w:marRight w:val="0"/>
          <w:marTop w:val="0"/>
          <w:marBottom w:val="0"/>
          <w:divBdr>
            <w:top w:val="none" w:sz="0" w:space="0" w:color="auto"/>
            <w:left w:val="none" w:sz="0" w:space="0" w:color="auto"/>
            <w:bottom w:val="none" w:sz="0" w:space="0" w:color="auto"/>
            <w:right w:val="none" w:sz="0" w:space="0" w:color="auto"/>
          </w:divBdr>
        </w:div>
        <w:div w:id="930699256">
          <w:marLeft w:val="640"/>
          <w:marRight w:val="0"/>
          <w:marTop w:val="0"/>
          <w:marBottom w:val="0"/>
          <w:divBdr>
            <w:top w:val="none" w:sz="0" w:space="0" w:color="auto"/>
            <w:left w:val="none" w:sz="0" w:space="0" w:color="auto"/>
            <w:bottom w:val="none" w:sz="0" w:space="0" w:color="auto"/>
            <w:right w:val="none" w:sz="0" w:space="0" w:color="auto"/>
          </w:divBdr>
        </w:div>
        <w:div w:id="702242602">
          <w:marLeft w:val="640"/>
          <w:marRight w:val="0"/>
          <w:marTop w:val="0"/>
          <w:marBottom w:val="0"/>
          <w:divBdr>
            <w:top w:val="none" w:sz="0" w:space="0" w:color="auto"/>
            <w:left w:val="none" w:sz="0" w:space="0" w:color="auto"/>
            <w:bottom w:val="none" w:sz="0" w:space="0" w:color="auto"/>
            <w:right w:val="none" w:sz="0" w:space="0" w:color="auto"/>
          </w:divBdr>
        </w:div>
        <w:div w:id="484513322">
          <w:marLeft w:val="640"/>
          <w:marRight w:val="0"/>
          <w:marTop w:val="0"/>
          <w:marBottom w:val="0"/>
          <w:divBdr>
            <w:top w:val="none" w:sz="0" w:space="0" w:color="auto"/>
            <w:left w:val="none" w:sz="0" w:space="0" w:color="auto"/>
            <w:bottom w:val="none" w:sz="0" w:space="0" w:color="auto"/>
            <w:right w:val="none" w:sz="0" w:space="0" w:color="auto"/>
          </w:divBdr>
        </w:div>
        <w:div w:id="246890806">
          <w:marLeft w:val="640"/>
          <w:marRight w:val="0"/>
          <w:marTop w:val="0"/>
          <w:marBottom w:val="0"/>
          <w:divBdr>
            <w:top w:val="none" w:sz="0" w:space="0" w:color="auto"/>
            <w:left w:val="none" w:sz="0" w:space="0" w:color="auto"/>
            <w:bottom w:val="none" w:sz="0" w:space="0" w:color="auto"/>
            <w:right w:val="none" w:sz="0" w:space="0" w:color="auto"/>
          </w:divBdr>
        </w:div>
        <w:div w:id="259023500">
          <w:marLeft w:val="640"/>
          <w:marRight w:val="0"/>
          <w:marTop w:val="0"/>
          <w:marBottom w:val="0"/>
          <w:divBdr>
            <w:top w:val="none" w:sz="0" w:space="0" w:color="auto"/>
            <w:left w:val="none" w:sz="0" w:space="0" w:color="auto"/>
            <w:bottom w:val="none" w:sz="0" w:space="0" w:color="auto"/>
            <w:right w:val="none" w:sz="0" w:space="0" w:color="auto"/>
          </w:divBdr>
        </w:div>
        <w:div w:id="1114860696">
          <w:marLeft w:val="640"/>
          <w:marRight w:val="0"/>
          <w:marTop w:val="0"/>
          <w:marBottom w:val="0"/>
          <w:divBdr>
            <w:top w:val="none" w:sz="0" w:space="0" w:color="auto"/>
            <w:left w:val="none" w:sz="0" w:space="0" w:color="auto"/>
            <w:bottom w:val="none" w:sz="0" w:space="0" w:color="auto"/>
            <w:right w:val="none" w:sz="0" w:space="0" w:color="auto"/>
          </w:divBdr>
        </w:div>
        <w:div w:id="1030912646">
          <w:marLeft w:val="640"/>
          <w:marRight w:val="0"/>
          <w:marTop w:val="0"/>
          <w:marBottom w:val="0"/>
          <w:divBdr>
            <w:top w:val="none" w:sz="0" w:space="0" w:color="auto"/>
            <w:left w:val="none" w:sz="0" w:space="0" w:color="auto"/>
            <w:bottom w:val="none" w:sz="0" w:space="0" w:color="auto"/>
            <w:right w:val="none" w:sz="0" w:space="0" w:color="auto"/>
          </w:divBdr>
        </w:div>
        <w:div w:id="1742871367">
          <w:marLeft w:val="640"/>
          <w:marRight w:val="0"/>
          <w:marTop w:val="0"/>
          <w:marBottom w:val="0"/>
          <w:divBdr>
            <w:top w:val="none" w:sz="0" w:space="0" w:color="auto"/>
            <w:left w:val="none" w:sz="0" w:space="0" w:color="auto"/>
            <w:bottom w:val="none" w:sz="0" w:space="0" w:color="auto"/>
            <w:right w:val="none" w:sz="0" w:space="0" w:color="auto"/>
          </w:divBdr>
        </w:div>
        <w:div w:id="57019041">
          <w:marLeft w:val="640"/>
          <w:marRight w:val="0"/>
          <w:marTop w:val="0"/>
          <w:marBottom w:val="0"/>
          <w:divBdr>
            <w:top w:val="none" w:sz="0" w:space="0" w:color="auto"/>
            <w:left w:val="none" w:sz="0" w:space="0" w:color="auto"/>
            <w:bottom w:val="none" w:sz="0" w:space="0" w:color="auto"/>
            <w:right w:val="none" w:sz="0" w:space="0" w:color="auto"/>
          </w:divBdr>
        </w:div>
        <w:div w:id="855773175">
          <w:marLeft w:val="640"/>
          <w:marRight w:val="0"/>
          <w:marTop w:val="0"/>
          <w:marBottom w:val="0"/>
          <w:divBdr>
            <w:top w:val="none" w:sz="0" w:space="0" w:color="auto"/>
            <w:left w:val="none" w:sz="0" w:space="0" w:color="auto"/>
            <w:bottom w:val="none" w:sz="0" w:space="0" w:color="auto"/>
            <w:right w:val="none" w:sz="0" w:space="0" w:color="auto"/>
          </w:divBdr>
        </w:div>
        <w:div w:id="583420709">
          <w:marLeft w:val="640"/>
          <w:marRight w:val="0"/>
          <w:marTop w:val="0"/>
          <w:marBottom w:val="0"/>
          <w:divBdr>
            <w:top w:val="none" w:sz="0" w:space="0" w:color="auto"/>
            <w:left w:val="none" w:sz="0" w:space="0" w:color="auto"/>
            <w:bottom w:val="none" w:sz="0" w:space="0" w:color="auto"/>
            <w:right w:val="none" w:sz="0" w:space="0" w:color="auto"/>
          </w:divBdr>
        </w:div>
        <w:div w:id="666639662">
          <w:marLeft w:val="640"/>
          <w:marRight w:val="0"/>
          <w:marTop w:val="0"/>
          <w:marBottom w:val="0"/>
          <w:divBdr>
            <w:top w:val="none" w:sz="0" w:space="0" w:color="auto"/>
            <w:left w:val="none" w:sz="0" w:space="0" w:color="auto"/>
            <w:bottom w:val="none" w:sz="0" w:space="0" w:color="auto"/>
            <w:right w:val="none" w:sz="0" w:space="0" w:color="auto"/>
          </w:divBdr>
        </w:div>
        <w:div w:id="745760240">
          <w:marLeft w:val="640"/>
          <w:marRight w:val="0"/>
          <w:marTop w:val="0"/>
          <w:marBottom w:val="0"/>
          <w:divBdr>
            <w:top w:val="none" w:sz="0" w:space="0" w:color="auto"/>
            <w:left w:val="none" w:sz="0" w:space="0" w:color="auto"/>
            <w:bottom w:val="none" w:sz="0" w:space="0" w:color="auto"/>
            <w:right w:val="none" w:sz="0" w:space="0" w:color="auto"/>
          </w:divBdr>
        </w:div>
        <w:div w:id="1360936825">
          <w:marLeft w:val="640"/>
          <w:marRight w:val="0"/>
          <w:marTop w:val="0"/>
          <w:marBottom w:val="0"/>
          <w:divBdr>
            <w:top w:val="none" w:sz="0" w:space="0" w:color="auto"/>
            <w:left w:val="none" w:sz="0" w:space="0" w:color="auto"/>
            <w:bottom w:val="none" w:sz="0" w:space="0" w:color="auto"/>
            <w:right w:val="none" w:sz="0" w:space="0" w:color="auto"/>
          </w:divBdr>
        </w:div>
        <w:div w:id="830605885">
          <w:marLeft w:val="640"/>
          <w:marRight w:val="0"/>
          <w:marTop w:val="0"/>
          <w:marBottom w:val="0"/>
          <w:divBdr>
            <w:top w:val="none" w:sz="0" w:space="0" w:color="auto"/>
            <w:left w:val="none" w:sz="0" w:space="0" w:color="auto"/>
            <w:bottom w:val="none" w:sz="0" w:space="0" w:color="auto"/>
            <w:right w:val="none" w:sz="0" w:space="0" w:color="auto"/>
          </w:divBdr>
        </w:div>
        <w:div w:id="1192302889">
          <w:marLeft w:val="640"/>
          <w:marRight w:val="0"/>
          <w:marTop w:val="0"/>
          <w:marBottom w:val="0"/>
          <w:divBdr>
            <w:top w:val="none" w:sz="0" w:space="0" w:color="auto"/>
            <w:left w:val="none" w:sz="0" w:space="0" w:color="auto"/>
            <w:bottom w:val="none" w:sz="0" w:space="0" w:color="auto"/>
            <w:right w:val="none" w:sz="0" w:space="0" w:color="auto"/>
          </w:divBdr>
        </w:div>
        <w:div w:id="519005714">
          <w:marLeft w:val="640"/>
          <w:marRight w:val="0"/>
          <w:marTop w:val="0"/>
          <w:marBottom w:val="0"/>
          <w:divBdr>
            <w:top w:val="none" w:sz="0" w:space="0" w:color="auto"/>
            <w:left w:val="none" w:sz="0" w:space="0" w:color="auto"/>
            <w:bottom w:val="none" w:sz="0" w:space="0" w:color="auto"/>
            <w:right w:val="none" w:sz="0" w:space="0" w:color="auto"/>
          </w:divBdr>
        </w:div>
        <w:div w:id="415590577">
          <w:marLeft w:val="640"/>
          <w:marRight w:val="0"/>
          <w:marTop w:val="0"/>
          <w:marBottom w:val="0"/>
          <w:divBdr>
            <w:top w:val="none" w:sz="0" w:space="0" w:color="auto"/>
            <w:left w:val="none" w:sz="0" w:space="0" w:color="auto"/>
            <w:bottom w:val="none" w:sz="0" w:space="0" w:color="auto"/>
            <w:right w:val="none" w:sz="0" w:space="0" w:color="auto"/>
          </w:divBdr>
        </w:div>
        <w:div w:id="1546789112">
          <w:marLeft w:val="640"/>
          <w:marRight w:val="0"/>
          <w:marTop w:val="0"/>
          <w:marBottom w:val="0"/>
          <w:divBdr>
            <w:top w:val="none" w:sz="0" w:space="0" w:color="auto"/>
            <w:left w:val="none" w:sz="0" w:space="0" w:color="auto"/>
            <w:bottom w:val="none" w:sz="0" w:space="0" w:color="auto"/>
            <w:right w:val="none" w:sz="0" w:space="0" w:color="auto"/>
          </w:divBdr>
        </w:div>
        <w:div w:id="947470720">
          <w:marLeft w:val="640"/>
          <w:marRight w:val="0"/>
          <w:marTop w:val="0"/>
          <w:marBottom w:val="0"/>
          <w:divBdr>
            <w:top w:val="none" w:sz="0" w:space="0" w:color="auto"/>
            <w:left w:val="none" w:sz="0" w:space="0" w:color="auto"/>
            <w:bottom w:val="none" w:sz="0" w:space="0" w:color="auto"/>
            <w:right w:val="none" w:sz="0" w:space="0" w:color="auto"/>
          </w:divBdr>
        </w:div>
        <w:div w:id="1121849716">
          <w:marLeft w:val="640"/>
          <w:marRight w:val="0"/>
          <w:marTop w:val="0"/>
          <w:marBottom w:val="0"/>
          <w:divBdr>
            <w:top w:val="none" w:sz="0" w:space="0" w:color="auto"/>
            <w:left w:val="none" w:sz="0" w:space="0" w:color="auto"/>
            <w:bottom w:val="none" w:sz="0" w:space="0" w:color="auto"/>
            <w:right w:val="none" w:sz="0" w:space="0" w:color="auto"/>
          </w:divBdr>
        </w:div>
        <w:div w:id="184634429">
          <w:marLeft w:val="640"/>
          <w:marRight w:val="0"/>
          <w:marTop w:val="0"/>
          <w:marBottom w:val="0"/>
          <w:divBdr>
            <w:top w:val="none" w:sz="0" w:space="0" w:color="auto"/>
            <w:left w:val="none" w:sz="0" w:space="0" w:color="auto"/>
            <w:bottom w:val="none" w:sz="0" w:space="0" w:color="auto"/>
            <w:right w:val="none" w:sz="0" w:space="0" w:color="auto"/>
          </w:divBdr>
        </w:div>
        <w:div w:id="290592559">
          <w:marLeft w:val="640"/>
          <w:marRight w:val="0"/>
          <w:marTop w:val="0"/>
          <w:marBottom w:val="0"/>
          <w:divBdr>
            <w:top w:val="none" w:sz="0" w:space="0" w:color="auto"/>
            <w:left w:val="none" w:sz="0" w:space="0" w:color="auto"/>
            <w:bottom w:val="none" w:sz="0" w:space="0" w:color="auto"/>
            <w:right w:val="none" w:sz="0" w:space="0" w:color="auto"/>
          </w:divBdr>
        </w:div>
        <w:div w:id="1581719483">
          <w:marLeft w:val="640"/>
          <w:marRight w:val="0"/>
          <w:marTop w:val="0"/>
          <w:marBottom w:val="0"/>
          <w:divBdr>
            <w:top w:val="none" w:sz="0" w:space="0" w:color="auto"/>
            <w:left w:val="none" w:sz="0" w:space="0" w:color="auto"/>
            <w:bottom w:val="none" w:sz="0" w:space="0" w:color="auto"/>
            <w:right w:val="none" w:sz="0" w:space="0" w:color="auto"/>
          </w:divBdr>
        </w:div>
        <w:div w:id="2044673054">
          <w:marLeft w:val="640"/>
          <w:marRight w:val="0"/>
          <w:marTop w:val="0"/>
          <w:marBottom w:val="0"/>
          <w:divBdr>
            <w:top w:val="none" w:sz="0" w:space="0" w:color="auto"/>
            <w:left w:val="none" w:sz="0" w:space="0" w:color="auto"/>
            <w:bottom w:val="none" w:sz="0" w:space="0" w:color="auto"/>
            <w:right w:val="none" w:sz="0" w:space="0" w:color="auto"/>
          </w:divBdr>
        </w:div>
        <w:div w:id="240144664">
          <w:marLeft w:val="640"/>
          <w:marRight w:val="0"/>
          <w:marTop w:val="0"/>
          <w:marBottom w:val="0"/>
          <w:divBdr>
            <w:top w:val="none" w:sz="0" w:space="0" w:color="auto"/>
            <w:left w:val="none" w:sz="0" w:space="0" w:color="auto"/>
            <w:bottom w:val="none" w:sz="0" w:space="0" w:color="auto"/>
            <w:right w:val="none" w:sz="0" w:space="0" w:color="auto"/>
          </w:divBdr>
        </w:div>
        <w:div w:id="2077706667">
          <w:marLeft w:val="640"/>
          <w:marRight w:val="0"/>
          <w:marTop w:val="0"/>
          <w:marBottom w:val="0"/>
          <w:divBdr>
            <w:top w:val="none" w:sz="0" w:space="0" w:color="auto"/>
            <w:left w:val="none" w:sz="0" w:space="0" w:color="auto"/>
            <w:bottom w:val="none" w:sz="0" w:space="0" w:color="auto"/>
            <w:right w:val="none" w:sz="0" w:space="0" w:color="auto"/>
          </w:divBdr>
        </w:div>
        <w:div w:id="1790277820">
          <w:marLeft w:val="640"/>
          <w:marRight w:val="0"/>
          <w:marTop w:val="0"/>
          <w:marBottom w:val="0"/>
          <w:divBdr>
            <w:top w:val="none" w:sz="0" w:space="0" w:color="auto"/>
            <w:left w:val="none" w:sz="0" w:space="0" w:color="auto"/>
            <w:bottom w:val="none" w:sz="0" w:space="0" w:color="auto"/>
            <w:right w:val="none" w:sz="0" w:space="0" w:color="auto"/>
          </w:divBdr>
        </w:div>
        <w:div w:id="2060350912">
          <w:marLeft w:val="640"/>
          <w:marRight w:val="0"/>
          <w:marTop w:val="0"/>
          <w:marBottom w:val="0"/>
          <w:divBdr>
            <w:top w:val="none" w:sz="0" w:space="0" w:color="auto"/>
            <w:left w:val="none" w:sz="0" w:space="0" w:color="auto"/>
            <w:bottom w:val="none" w:sz="0" w:space="0" w:color="auto"/>
            <w:right w:val="none" w:sz="0" w:space="0" w:color="auto"/>
          </w:divBdr>
        </w:div>
        <w:div w:id="1931966703">
          <w:marLeft w:val="640"/>
          <w:marRight w:val="0"/>
          <w:marTop w:val="0"/>
          <w:marBottom w:val="0"/>
          <w:divBdr>
            <w:top w:val="none" w:sz="0" w:space="0" w:color="auto"/>
            <w:left w:val="none" w:sz="0" w:space="0" w:color="auto"/>
            <w:bottom w:val="none" w:sz="0" w:space="0" w:color="auto"/>
            <w:right w:val="none" w:sz="0" w:space="0" w:color="auto"/>
          </w:divBdr>
        </w:div>
        <w:div w:id="1355230508">
          <w:marLeft w:val="640"/>
          <w:marRight w:val="0"/>
          <w:marTop w:val="0"/>
          <w:marBottom w:val="0"/>
          <w:divBdr>
            <w:top w:val="none" w:sz="0" w:space="0" w:color="auto"/>
            <w:left w:val="none" w:sz="0" w:space="0" w:color="auto"/>
            <w:bottom w:val="none" w:sz="0" w:space="0" w:color="auto"/>
            <w:right w:val="none" w:sz="0" w:space="0" w:color="auto"/>
          </w:divBdr>
        </w:div>
        <w:div w:id="1121456844">
          <w:marLeft w:val="640"/>
          <w:marRight w:val="0"/>
          <w:marTop w:val="0"/>
          <w:marBottom w:val="0"/>
          <w:divBdr>
            <w:top w:val="none" w:sz="0" w:space="0" w:color="auto"/>
            <w:left w:val="none" w:sz="0" w:space="0" w:color="auto"/>
            <w:bottom w:val="none" w:sz="0" w:space="0" w:color="auto"/>
            <w:right w:val="none" w:sz="0" w:space="0" w:color="auto"/>
          </w:divBdr>
        </w:div>
        <w:div w:id="2096631547">
          <w:marLeft w:val="640"/>
          <w:marRight w:val="0"/>
          <w:marTop w:val="0"/>
          <w:marBottom w:val="0"/>
          <w:divBdr>
            <w:top w:val="none" w:sz="0" w:space="0" w:color="auto"/>
            <w:left w:val="none" w:sz="0" w:space="0" w:color="auto"/>
            <w:bottom w:val="none" w:sz="0" w:space="0" w:color="auto"/>
            <w:right w:val="none" w:sz="0" w:space="0" w:color="auto"/>
          </w:divBdr>
        </w:div>
        <w:div w:id="549538877">
          <w:marLeft w:val="640"/>
          <w:marRight w:val="0"/>
          <w:marTop w:val="0"/>
          <w:marBottom w:val="0"/>
          <w:divBdr>
            <w:top w:val="none" w:sz="0" w:space="0" w:color="auto"/>
            <w:left w:val="none" w:sz="0" w:space="0" w:color="auto"/>
            <w:bottom w:val="none" w:sz="0" w:space="0" w:color="auto"/>
            <w:right w:val="none" w:sz="0" w:space="0" w:color="auto"/>
          </w:divBdr>
        </w:div>
        <w:div w:id="737750351">
          <w:marLeft w:val="640"/>
          <w:marRight w:val="0"/>
          <w:marTop w:val="0"/>
          <w:marBottom w:val="0"/>
          <w:divBdr>
            <w:top w:val="none" w:sz="0" w:space="0" w:color="auto"/>
            <w:left w:val="none" w:sz="0" w:space="0" w:color="auto"/>
            <w:bottom w:val="none" w:sz="0" w:space="0" w:color="auto"/>
            <w:right w:val="none" w:sz="0" w:space="0" w:color="auto"/>
          </w:divBdr>
        </w:div>
        <w:div w:id="559947752">
          <w:marLeft w:val="640"/>
          <w:marRight w:val="0"/>
          <w:marTop w:val="0"/>
          <w:marBottom w:val="0"/>
          <w:divBdr>
            <w:top w:val="none" w:sz="0" w:space="0" w:color="auto"/>
            <w:left w:val="none" w:sz="0" w:space="0" w:color="auto"/>
            <w:bottom w:val="none" w:sz="0" w:space="0" w:color="auto"/>
            <w:right w:val="none" w:sz="0" w:space="0" w:color="auto"/>
          </w:divBdr>
        </w:div>
        <w:div w:id="406193378">
          <w:marLeft w:val="640"/>
          <w:marRight w:val="0"/>
          <w:marTop w:val="0"/>
          <w:marBottom w:val="0"/>
          <w:divBdr>
            <w:top w:val="none" w:sz="0" w:space="0" w:color="auto"/>
            <w:left w:val="none" w:sz="0" w:space="0" w:color="auto"/>
            <w:bottom w:val="none" w:sz="0" w:space="0" w:color="auto"/>
            <w:right w:val="none" w:sz="0" w:space="0" w:color="auto"/>
          </w:divBdr>
        </w:div>
        <w:div w:id="308901718">
          <w:marLeft w:val="640"/>
          <w:marRight w:val="0"/>
          <w:marTop w:val="0"/>
          <w:marBottom w:val="0"/>
          <w:divBdr>
            <w:top w:val="none" w:sz="0" w:space="0" w:color="auto"/>
            <w:left w:val="none" w:sz="0" w:space="0" w:color="auto"/>
            <w:bottom w:val="none" w:sz="0" w:space="0" w:color="auto"/>
            <w:right w:val="none" w:sz="0" w:space="0" w:color="auto"/>
          </w:divBdr>
        </w:div>
        <w:div w:id="2104185802">
          <w:marLeft w:val="640"/>
          <w:marRight w:val="0"/>
          <w:marTop w:val="0"/>
          <w:marBottom w:val="0"/>
          <w:divBdr>
            <w:top w:val="none" w:sz="0" w:space="0" w:color="auto"/>
            <w:left w:val="none" w:sz="0" w:space="0" w:color="auto"/>
            <w:bottom w:val="none" w:sz="0" w:space="0" w:color="auto"/>
            <w:right w:val="none" w:sz="0" w:space="0" w:color="auto"/>
          </w:divBdr>
        </w:div>
        <w:div w:id="7102926">
          <w:marLeft w:val="640"/>
          <w:marRight w:val="0"/>
          <w:marTop w:val="0"/>
          <w:marBottom w:val="0"/>
          <w:divBdr>
            <w:top w:val="none" w:sz="0" w:space="0" w:color="auto"/>
            <w:left w:val="none" w:sz="0" w:space="0" w:color="auto"/>
            <w:bottom w:val="none" w:sz="0" w:space="0" w:color="auto"/>
            <w:right w:val="none" w:sz="0" w:space="0" w:color="auto"/>
          </w:divBdr>
        </w:div>
        <w:div w:id="871920010">
          <w:marLeft w:val="640"/>
          <w:marRight w:val="0"/>
          <w:marTop w:val="0"/>
          <w:marBottom w:val="0"/>
          <w:divBdr>
            <w:top w:val="none" w:sz="0" w:space="0" w:color="auto"/>
            <w:left w:val="none" w:sz="0" w:space="0" w:color="auto"/>
            <w:bottom w:val="none" w:sz="0" w:space="0" w:color="auto"/>
            <w:right w:val="none" w:sz="0" w:space="0" w:color="auto"/>
          </w:divBdr>
        </w:div>
        <w:div w:id="2031058322">
          <w:marLeft w:val="640"/>
          <w:marRight w:val="0"/>
          <w:marTop w:val="0"/>
          <w:marBottom w:val="0"/>
          <w:divBdr>
            <w:top w:val="none" w:sz="0" w:space="0" w:color="auto"/>
            <w:left w:val="none" w:sz="0" w:space="0" w:color="auto"/>
            <w:bottom w:val="none" w:sz="0" w:space="0" w:color="auto"/>
            <w:right w:val="none" w:sz="0" w:space="0" w:color="auto"/>
          </w:divBdr>
        </w:div>
        <w:div w:id="259606152">
          <w:marLeft w:val="640"/>
          <w:marRight w:val="0"/>
          <w:marTop w:val="0"/>
          <w:marBottom w:val="0"/>
          <w:divBdr>
            <w:top w:val="none" w:sz="0" w:space="0" w:color="auto"/>
            <w:left w:val="none" w:sz="0" w:space="0" w:color="auto"/>
            <w:bottom w:val="none" w:sz="0" w:space="0" w:color="auto"/>
            <w:right w:val="none" w:sz="0" w:space="0" w:color="auto"/>
          </w:divBdr>
        </w:div>
        <w:div w:id="2082023598">
          <w:marLeft w:val="640"/>
          <w:marRight w:val="0"/>
          <w:marTop w:val="0"/>
          <w:marBottom w:val="0"/>
          <w:divBdr>
            <w:top w:val="none" w:sz="0" w:space="0" w:color="auto"/>
            <w:left w:val="none" w:sz="0" w:space="0" w:color="auto"/>
            <w:bottom w:val="none" w:sz="0" w:space="0" w:color="auto"/>
            <w:right w:val="none" w:sz="0" w:space="0" w:color="auto"/>
          </w:divBdr>
        </w:div>
        <w:div w:id="1287665438">
          <w:marLeft w:val="640"/>
          <w:marRight w:val="0"/>
          <w:marTop w:val="0"/>
          <w:marBottom w:val="0"/>
          <w:divBdr>
            <w:top w:val="none" w:sz="0" w:space="0" w:color="auto"/>
            <w:left w:val="none" w:sz="0" w:space="0" w:color="auto"/>
            <w:bottom w:val="none" w:sz="0" w:space="0" w:color="auto"/>
            <w:right w:val="none" w:sz="0" w:space="0" w:color="auto"/>
          </w:divBdr>
        </w:div>
        <w:div w:id="240145846">
          <w:marLeft w:val="640"/>
          <w:marRight w:val="0"/>
          <w:marTop w:val="0"/>
          <w:marBottom w:val="0"/>
          <w:divBdr>
            <w:top w:val="none" w:sz="0" w:space="0" w:color="auto"/>
            <w:left w:val="none" w:sz="0" w:space="0" w:color="auto"/>
            <w:bottom w:val="none" w:sz="0" w:space="0" w:color="auto"/>
            <w:right w:val="none" w:sz="0" w:space="0" w:color="auto"/>
          </w:divBdr>
        </w:div>
        <w:div w:id="1693415776">
          <w:marLeft w:val="640"/>
          <w:marRight w:val="0"/>
          <w:marTop w:val="0"/>
          <w:marBottom w:val="0"/>
          <w:divBdr>
            <w:top w:val="none" w:sz="0" w:space="0" w:color="auto"/>
            <w:left w:val="none" w:sz="0" w:space="0" w:color="auto"/>
            <w:bottom w:val="none" w:sz="0" w:space="0" w:color="auto"/>
            <w:right w:val="none" w:sz="0" w:space="0" w:color="auto"/>
          </w:divBdr>
        </w:div>
        <w:div w:id="1391424035">
          <w:marLeft w:val="640"/>
          <w:marRight w:val="0"/>
          <w:marTop w:val="0"/>
          <w:marBottom w:val="0"/>
          <w:divBdr>
            <w:top w:val="none" w:sz="0" w:space="0" w:color="auto"/>
            <w:left w:val="none" w:sz="0" w:space="0" w:color="auto"/>
            <w:bottom w:val="none" w:sz="0" w:space="0" w:color="auto"/>
            <w:right w:val="none" w:sz="0" w:space="0" w:color="auto"/>
          </w:divBdr>
        </w:div>
        <w:div w:id="272788742">
          <w:marLeft w:val="640"/>
          <w:marRight w:val="0"/>
          <w:marTop w:val="0"/>
          <w:marBottom w:val="0"/>
          <w:divBdr>
            <w:top w:val="none" w:sz="0" w:space="0" w:color="auto"/>
            <w:left w:val="none" w:sz="0" w:space="0" w:color="auto"/>
            <w:bottom w:val="none" w:sz="0" w:space="0" w:color="auto"/>
            <w:right w:val="none" w:sz="0" w:space="0" w:color="auto"/>
          </w:divBdr>
        </w:div>
        <w:div w:id="1318268094">
          <w:marLeft w:val="640"/>
          <w:marRight w:val="0"/>
          <w:marTop w:val="0"/>
          <w:marBottom w:val="0"/>
          <w:divBdr>
            <w:top w:val="none" w:sz="0" w:space="0" w:color="auto"/>
            <w:left w:val="none" w:sz="0" w:space="0" w:color="auto"/>
            <w:bottom w:val="none" w:sz="0" w:space="0" w:color="auto"/>
            <w:right w:val="none" w:sz="0" w:space="0" w:color="auto"/>
          </w:divBdr>
        </w:div>
        <w:div w:id="96752728">
          <w:marLeft w:val="640"/>
          <w:marRight w:val="0"/>
          <w:marTop w:val="0"/>
          <w:marBottom w:val="0"/>
          <w:divBdr>
            <w:top w:val="none" w:sz="0" w:space="0" w:color="auto"/>
            <w:left w:val="none" w:sz="0" w:space="0" w:color="auto"/>
            <w:bottom w:val="none" w:sz="0" w:space="0" w:color="auto"/>
            <w:right w:val="none" w:sz="0" w:space="0" w:color="auto"/>
          </w:divBdr>
        </w:div>
        <w:div w:id="1259874409">
          <w:marLeft w:val="640"/>
          <w:marRight w:val="0"/>
          <w:marTop w:val="0"/>
          <w:marBottom w:val="0"/>
          <w:divBdr>
            <w:top w:val="none" w:sz="0" w:space="0" w:color="auto"/>
            <w:left w:val="none" w:sz="0" w:space="0" w:color="auto"/>
            <w:bottom w:val="none" w:sz="0" w:space="0" w:color="auto"/>
            <w:right w:val="none" w:sz="0" w:space="0" w:color="auto"/>
          </w:divBdr>
        </w:div>
        <w:div w:id="281310472">
          <w:marLeft w:val="640"/>
          <w:marRight w:val="0"/>
          <w:marTop w:val="0"/>
          <w:marBottom w:val="0"/>
          <w:divBdr>
            <w:top w:val="none" w:sz="0" w:space="0" w:color="auto"/>
            <w:left w:val="none" w:sz="0" w:space="0" w:color="auto"/>
            <w:bottom w:val="none" w:sz="0" w:space="0" w:color="auto"/>
            <w:right w:val="none" w:sz="0" w:space="0" w:color="auto"/>
          </w:divBdr>
        </w:div>
        <w:div w:id="46029779">
          <w:marLeft w:val="640"/>
          <w:marRight w:val="0"/>
          <w:marTop w:val="0"/>
          <w:marBottom w:val="0"/>
          <w:divBdr>
            <w:top w:val="none" w:sz="0" w:space="0" w:color="auto"/>
            <w:left w:val="none" w:sz="0" w:space="0" w:color="auto"/>
            <w:bottom w:val="none" w:sz="0" w:space="0" w:color="auto"/>
            <w:right w:val="none" w:sz="0" w:space="0" w:color="auto"/>
          </w:divBdr>
        </w:div>
        <w:div w:id="1640186182">
          <w:marLeft w:val="640"/>
          <w:marRight w:val="0"/>
          <w:marTop w:val="0"/>
          <w:marBottom w:val="0"/>
          <w:divBdr>
            <w:top w:val="none" w:sz="0" w:space="0" w:color="auto"/>
            <w:left w:val="none" w:sz="0" w:space="0" w:color="auto"/>
            <w:bottom w:val="none" w:sz="0" w:space="0" w:color="auto"/>
            <w:right w:val="none" w:sz="0" w:space="0" w:color="auto"/>
          </w:divBdr>
        </w:div>
        <w:div w:id="96339348">
          <w:marLeft w:val="640"/>
          <w:marRight w:val="0"/>
          <w:marTop w:val="0"/>
          <w:marBottom w:val="0"/>
          <w:divBdr>
            <w:top w:val="none" w:sz="0" w:space="0" w:color="auto"/>
            <w:left w:val="none" w:sz="0" w:space="0" w:color="auto"/>
            <w:bottom w:val="none" w:sz="0" w:space="0" w:color="auto"/>
            <w:right w:val="none" w:sz="0" w:space="0" w:color="auto"/>
          </w:divBdr>
        </w:div>
        <w:div w:id="1720393452">
          <w:marLeft w:val="640"/>
          <w:marRight w:val="0"/>
          <w:marTop w:val="0"/>
          <w:marBottom w:val="0"/>
          <w:divBdr>
            <w:top w:val="none" w:sz="0" w:space="0" w:color="auto"/>
            <w:left w:val="none" w:sz="0" w:space="0" w:color="auto"/>
            <w:bottom w:val="none" w:sz="0" w:space="0" w:color="auto"/>
            <w:right w:val="none" w:sz="0" w:space="0" w:color="auto"/>
          </w:divBdr>
        </w:div>
        <w:div w:id="107548962">
          <w:marLeft w:val="640"/>
          <w:marRight w:val="0"/>
          <w:marTop w:val="0"/>
          <w:marBottom w:val="0"/>
          <w:divBdr>
            <w:top w:val="none" w:sz="0" w:space="0" w:color="auto"/>
            <w:left w:val="none" w:sz="0" w:space="0" w:color="auto"/>
            <w:bottom w:val="none" w:sz="0" w:space="0" w:color="auto"/>
            <w:right w:val="none" w:sz="0" w:space="0" w:color="auto"/>
          </w:divBdr>
        </w:div>
        <w:div w:id="1422331527">
          <w:marLeft w:val="640"/>
          <w:marRight w:val="0"/>
          <w:marTop w:val="0"/>
          <w:marBottom w:val="0"/>
          <w:divBdr>
            <w:top w:val="none" w:sz="0" w:space="0" w:color="auto"/>
            <w:left w:val="none" w:sz="0" w:space="0" w:color="auto"/>
            <w:bottom w:val="none" w:sz="0" w:space="0" w:color="auto"/>
            <w:right w:val="none" w:sz="0" w:space="0" w:color="auto"/>
          </w:divBdr>
        </w:div>
        <w:div w:id="1431658575">
          <w:marLeft w:val="640"/>
          <w:marRight w:val="0"/>
          <w:marTop w:val="0"/>
          <w:marBottom w:val="0"/>
          <w:divBdr>
            <w:top w:val="none" w:sz="0" w:space="0" w:color="auto"/>
            <w:left w:val="none" w:sz="0" w:space="0" w:color="auto"/>
            <w:bottom w:val="none" w:sz="0" w:space="0" w:color="auto"/>
            <w:right w:val="none" w:sz="0" w:space="0" w:color="auto"/>
          </w:divBdr>
        </w:div>
        <w:div w:id="1973824765">
          <w:marLeft w:val="640"/>
          <w:marRight w:val="0"/>
          <w:marTop w:val="0"/>
          <w:marBottom w:val="0"/>
          <w:divBdr>
            <w:top w:val="none" w:sz="0" w:space="0" w:color="auto"/>
            <w:left w:val="none" w:sz="0" w:space="0" w:color="auto"/>
            <w:bottom w:val="none" w:sz="0" w:space="0" w:color="auto"/>
            <w:right w:val="none" w:sz="0" w:space="0" w:color="auto"/>
          </w:divBdr>
        </w:div>
        <w:div w:id="2039621094">
          <w:marLeft w:val="640"/>
          <w:marRight w:val="0"/>
          <w:marTop w:val="0"/>
          <w:marBottom w:val="0"/>
          <w:divBdr>
            <w:top w:val="none" w:sz="0" w:space="0" w:color="auto"/>
            <w:left w:val="none" w:sz="0" w:space="0" w:color="auto"/>
            <w:bottom w:val="none" w:sz="0" w:space="0" w:color="auto"/>
            <w:right w:val="none" w:sz="0" w:space="0" w:color="auto"/>
          </w:divBdr>
        </w:div>
        <w:div w:id="1973711743">
          <w:marLeft w:val="640"/>
          <w:marRight w:val="0"/>
          <w:marTop w:val="0"/>
          <w:marBottom w:val="0"/>
          <w:divBdr>
            <w:top w:val="none" w:sz="0" w:space="0" w:color="auto"/>
            <w:left w:val="none" w:sz="0" w:space="0" w:color="auto"/>
            <w:bottom w:val="none" w:sz="0" w:space="0" w:color="auto"/>
            <w:right w:val="none" w:sz="0" w:space="0" w:color="auto"/>
          </w:divBdr>
        </w:div>
        <w:div w:id="843787607">
          <w:marLeft w:val="640"/>
          <w:marRight w:val="0"/>
          <w:marTop w:val="0"/>
          <w:marBottom w:val="0"/>
          <w:divBdr>
            <w:top w:val="none" w:sz="0" w:space="0" w:color="auto"/>
            <w:left w:val="none" w:sz="0" w:space="0" w:color="auto"/>
            <w:bottom w:val="none" w:sz="0" w:space="0" w:color="auto"/>
            <w:right w:val="none" w:sz="0" w:space="0" w:color="auto"/>
          </w:divBdr>
        </w:div>
        <w:div w:id="876433448">
          <w:marLeft w:val="640"/>
          <w:marRight w:val="0"/>
          <w:marTop w:val="0"/>
          <w:marBottom w:val="0"/>
          <w:divBdr>
            <w:top w:val="none" w:sz="0" w:space="0" w:color="auto"/>
            <w:left w:val="none" w:sz="0" w:space="0" w:color="auto"/>
            <w:bottom w:val="none" w:sz="0" w:space="0" w:color="auto"/>
            <w:right w:val="none" w:sz="0" w:space="0" w:color="auto"/>
          </w:divBdr>
        </w:div>
        <w:div w:id="1104351245">
          <w:marLeft w:val="640"/>
          <w:marRight w:val="0"/>
          <w:marTop w:val="0"/>
          <w:marBottom w:val="0"/>
          <w:divBdr>
            <w:top w:val="none" w:sz="0" w:space="0" w:color="auto"/>
            <w:left w:val="none" w:sz="0" w:space="0" w:color="auto"/>
            <w:bottom w:val="none" w:sz="0" w:space="0" w:color="auto"/>
            <w:right w:val="none" w:sz="0" w:space="0" w:color="auto"/>
          </w:divBdr>
        </w:div>
        <w:div w:id="537931812">
          <w:marLeft w:val="640"/>
          <w:marRight w:val="0"/>
          <w:marTop w:val="0"/>
          <w:marBottom w:val="0"/>
          <w:divBdr>
            <w:top w:val="none" w:sz="0" w:space="0" w:color="auto"/>
            <w:left w:val="none" w:sz="0" w:space="0" w:color="auto"/>
            <w:bottom w:val="none" w:sz="0" w:space="0" w:color="auto"/>
            <w:right w:val="none" w:sz="0" w:space="0" w:color="auto"/>
          </w:divBdr>
        </w:div>
        <w:div w:id="1365444506">
          <w:marLeft w:val="640"/>
          <w:marRight w:val="0"/>
          <w:marTop w:val="0"/>
          <w:marBottom w:val="0"/>
          <w:divBdr>
            <w:top w:val="none" w:sz="0" w:space="0" w:color="auto"/>
            <w:left w:val="none" w:sz="0" w:space="0" w:color="auto"/>
            <w:bottom w:val="none" w:sz="0" w:space="0" w:color="auto"/>
            <w:right w:val="none" w:sz="0" w:space="0" w:color="auto"/>
          </w:divBdr>
        </w:div>
        <w:div w:id="1392802099">
          <w:marLeft w:val="640"/>
          <w:marRight w:val="0"/>
          <w:marTop w:val="0"/>
          <w:marBottom w:val="0"/>
          <w:divBdr>
            <w:top w:val="none" w:sz="0" w:space="0" w:color="auto"/>
            <w:left w:val="none" w:sz="0" w:space="0" w:color="auto"/>
            <w:bottom w:val="none" w:sz="0" w:space="0" w:color="auto"/>
            <w:right w:val="none" w:sz="0" w:space="0" w:color="auto"/>
          </w:divBdr>
        </w:div>
        <w:div w:id="374620169">
          <w:marLeft w:val="640"/>
          <w:marRight w:val="0"/>
          <w:marTop w:val="0"/>
          <w:marBottom w:val="0"/>
          <w:divBdr>
            <w:top w:val="none" w:sz="0" w:space="0" w:color="auto"/>
            <w:left w:val="none" w:sz="0" w:space="0" w:color="auto"/>
            <w:bottom w:val="none" w:sz="0" w:space="0" w:color="auto"/>
            <w:right w:val="none" w:sz="0" w:space="0" w:color="auto"/>
          </w:divBdr>
        </w:div>
        <w:div w:id="24794405">
          <w:marLeft w:val="640"/>
          <w:marRight w:val="0"/>
          <w:marTop w:val="0"/>
          <w:marBottom w:val="0"/>
          <w:divBdr>
            <w:top w:val="none" w:sz="0" w:space="0" w:color="auto"/>
            <w:left w:val="none" w:sz="0" w:space="0" w:color="auto"/>
            <w:bottom w:val="none" w:sz="0" w:space="0" w:color="auto"/>
            <w:right w:val="none" w:sz="0" w:space="0" w:color="auto"/>
          </w:divBdr>
        </w:div>
        <w:div w:id="1173691108">
          <w:marLeft w:val="640"/>
          <w:marRight w:val="0"/>
          <w:marTop w:val="0"/>
          <w:marBottom w:val="0"/>
          <w:divBdr>
            <w:top w:val="none" w:sz="0" w:space="0" w:color="auto"/>
            <w:left w:val="none" w:sz="0" w:space="0" w:color="auto"/>
            <w:bottom w:val="none" w:sz="0" w:space="0" w:color="auto"/>
            <w:right w:val="none" w:sz="0" w:space="0" w:color="auto"/>
          </w:divBdr>
        </w:div>
        <w:div w:id="253323934">
          <w:marLeft w:val="640"/>
          <w:marRight w:val="0"/>
          <w:marTop w:val="0"/>
          <w:marBottom w:val="0"/>
          <w:divBdr>
            <w:top w:val="none" w:sz="0" w:space="0" w:color="auto"/>
            <w:left w:val="none" w:sz="0" w:space="0" w:color="auto"/>
            <w:bottom w:val="none" w:sz="0" w:space="0" w:color="auto"/>
            <w:right w:val="none" w:sz="0" w:space="0" w:color="auto"/>
          </w:divBdr>
        </w:div>
        <w:div w:id="314377558">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911CEBA69B734B9C51CE7118BB8F30"/>
        <w:category>
          <w:name w:val="General"/>
          <w:gallery w:val="placeholder"/>
        </w:category>
        <w:types>
          <w:type w:val="bbPlcHdr"/>
        </w:types>
        <w:behaviors>
          <w:behavior w:val="content"/>
        </w:behaviors>
        <w:guid w:val="{EED5865A-1B35-0B46-A3F1-9636F3E423BB}"/>
      </w:docPartPr>
      <w:docPartBody>
        <w:p w:rsidR="005E190B" w:rsidRDefault="005E190B" w:rsidP="005E190B">
          <w:pPr>
            <w:pStyle w:val="B4911CEBA69B734B9C51CE7118BB8F30"/>
          </w:pPr>
          <w:r w:rsidRPr="006F6226">
            <w:rPr>
              <w:rStyle w:val="PlaceholderText"/>
            </w:rPr>
            <w:t>Click or tap here to enter text.</w:t>
          </w:r>
        </w:p>
      </w:docPartBody>
    </w:docPart>
    <w:docPart>
      <w:docPartPr>
        <w:name w:val="E948E43EFCBB0048932327627CD1EC95"/>
        <w:category>
          <w:name w:val="General"/>
          <w:gallery w:val="placeholder"/>
        </w:category>
        <w:types>
          <w:type w:val="bbPlcHdr"/>
        </w:types>
        <w:behaviors>
          <w:behavior w:val="content"/>
        </w:behaviors>
        <w:guid w:val="{4D1076D2-DAD5-E341-A02A-36A2603B23F7}"/>
      </w:docPartPr>
      <w:docPartBody>
        <w:p w:rsidR="005E190B" w:rsidRDefault="005E190B" w:rsidP="005E190B">
          <w:pPr>
            <w:pStyle w:val="E948E43EFCBB0048932327627CD1EC95"/>
          </w:pPr>
          <w:r w:rsidRPr="006F6226">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6B282EF1-620C-CB44-BB30-144A69FD7C19}"/>
      </w:docPartPr>
      <w:docPartBody>
        <w:p w:rsidR="005E190B" w:rsidRDefault="005E190B">
          <w:r w:rsidRPr="00C751F0">
            <w:rPr>
              <w:rStyle w:val="PlaceholderText"/>
            </w:rPr>
            <w:t>Click or tap here to enter text.</w:t>
          </w:r>
        </w:p>
      </w:docPartBody>
    </w:docPart>
    <w:docPart>
      <w:docPartPr>
        <w:name w:val="91AE5079046FA247ABBC37E741FB78DD"/>
        <w:category>
          <w:name w:val="General"/>
          <w:gallery w:val="placeholder"/>
        </w:category>
        <w:types>
          <w:type w:val="bbPlcHdr"/>
        </w:types>
        <w:behaviors>
          <w:behavior w:val="content"/>
        </w:behaviors>
        <w:guid w:val="{842A65A0-D451-2947-A7BF-B1D46B39777C}"/>
      </w:docPartPr>
      <w:docPartBody>
        <w:p w:rsidR="005E190B" w:rsidRDefault="005E190B" w:rsidP="005E190B">
          <w:pPr>
            <w:pStyle w:val="91AE5079046FA247ABBC37E741FB78DD"/>
          </w:pPr>
          <w:r w:rsidRPr="006F6226">
            <w:rPr>
              <w:rStyle w:val="PlaceholderText"/>
            </w:rPr>
            <w:t>Click or tap here to enter text.</w:t>
          </w:r>
        </w:p>
      </w:docPartBody>
    </w:docPart>
    <w:docPart>
      <w:docPartPr>
        <w:name w:val="38D9BE5B2A536A468867F9A245F1C9D3"/>
        <w:category>
          <w:name w:val="General"/>
          <w:gallery w:val="placeholder"/>
        </w:category>
        <w:types>
          <w:type w:val="bbPlcHdr"/>
        </w:types>
        <w:behaviors>
          <w:behavior w:val="content"/>
        </w:behaviors>
        <w:guid w:val="{B55F8779-7A63-B840-869A-EBCF0751B451}"/>
      </w:docPartPr>
      <w:docPartBody>
        <w:p w:rsidR="005E190B" w:rsidRDefault="005E190B" w:rsidP="005E190B">
          <w:pPr>
            <w:pStyle w:val="38D9BE5B2A536A468867F9A245F1C9D3"/>
          </w:pPr>
          <w:r w:rsidRPr="006F6226">
            <w:rPr>
              <w:rStyle w:val="PlaceholderText"/>
            </w:rPr>
            <w:t>Click or tap here to enter text.</w:t>
          </w:r>
        </w:p>
      </w:docPartBody>
    </w:docPart>
    <w:docPart>
      <w:docPartPr>
        <w:name w:val="3871738A67F26644BB40965BEF15693E"/>
        <w:category>
          <w:name w:val="General"/>
          <w:gallery w:val="placeholder"/>
        </w:category>
        <w:types>
          <w:type w:val="bbPlcHdr"/>
        </w:types>
        <w:behaviors>
          <w:behavior w:val="content"/>
        </w:behaviors>
        <w:guid w:val="{7DFA7985-DAF5-AC4B-A0EB-5D1DCEAB7DF1}"/>
      </w:docPartPr>
      <w:docPartBody>
        <w:p w:rsidR="005E190B" w:rsidRDefault="005E190B" w:rsidP="005E190B">
          <w:pPr>
            <w:pStyle w:val="3871738A67F26644BB40965BEF15693E"/>
          </w:pPr>
          <w:r w:rsidRPr="006F6226">
            <w:rPr>
              <w:rStyle w:val="PlaceholderText"/>
            </w:rPr>
            <w:t>Click or tap here to enter text.</w:t>
          </w:r>
        </w:p>
      </w:docPartBody>
    </w:docPart>
    <w:docPart>
      <w:docPartPr>
        <w:name w:val="FAC8E92E5E95EB4794482FA3AA7CE77E"/>
        <w:category>
          <w:name w:val="General"/>
          <w:gallery w:val="placeholder"/>
        </w:category>
        <w:types>
          <w:type w:val="bbPlcHdr"/>
        </w:types>
        <w:behaviors>
          <w:behavior w:val="content"/>
        </w:behaviors>
        <w:guid w:val="{0671B4D6-B9E8-E349-8981-5F1EE3BE3C45}"/>
      </w:docPartPr>
      <w:docPartBody>
        <w:p w:rsidR="005E190B" w:rsidRDefault="005E190B" w:rsidP="005E190B">
          <w:pPr>
            <w:pStyle w:val="FAC8E92E5E95EB4794482FA3AA7CE77E"/>
          </w:pPr>
          <w:r w:rsidRPr="006F6226">
            <w:rPr>
              <w:rStyle w:val="PlaceholderText"/>
            </w:rPr>
            <w:t>Click or tap here to enter text.</w:t>
          </w:r>
        </w:p>
      </w:docPartBody>
    </w:docPart>
    <w:docPart>
      <w:docPartPr>
        <w:name w:val="D5C218BA284BB14DA1D7172F76D370BC"/>
        <w:category>
          <w:name w:val="General"/>
          <w:gallery w:val="placeholder"/>
        </w:category>
        <w:types>
          <w:type w:val="bbPlcHdr"/>
        </w:types>
        <w:behaviors>
          <w:behavior w:val="content"/>
        </w:behaviors>
        <w:guid w:val="{E307686A-5899-414A-A7AE-0763D14C78C4}"/>
      </w:docPartPr>
      <w:docPartBody>
        <w:p w:rsidR="005E190B" w:rsidRDefault="005E190B" w:rsidP="005E190B">
          <w:pPr>
            <w:pStyle w:val="D5C218BA284BB14DA1D7172F76D370BC"/>
          </w:pPr>
          <w:r w:rsidRPr="006F6226">
            <w:rPr>
              <w:rStyle w:val="PlaceholderText"/>
            </w:rPr>
            <w:t>Click or tap here to enter text.</w:t>
          </w:r>
        </w:p>
      </w:docPartBody>
    </w:docPart>
    <w:docPart>
      <w:docPartPr>
        <w:name w:val="1A1FB72ACE2E2F419EA07104F6D9CB6A"/>
        <w:category>
          <w:name w:val="General"/>
          <w:gallery w:val="placeholder"/>
        </w:category>
        <w:types>
          <w:type w:val="bbPlcHdr"/>
        </w:types>
        <w:behaviors>
          <w:behavior w:val="content"/>
        </w:behaviors>
        <w:guid w:val="{3419F7E8-2EB3-0041-BF59-83E31CD8288B}"/>
      </w:docPartPr>
      <w:docPartBody>
        <w:p w:rsidR="005E190B" w:rsidRDefault="005E190B" w:rsidP="005E190B">
          <w:pPr>
            <w:pStyle w:val="1A1FB72ACE2E2F419EA07104F6D9CB6A"/>
          </w:pPr>
          <w:r w:rsidRPr="006F6226">
            <w:rPr>
              <w:rStyle w:val="PlaceholderText"/>
            </w:rPr>
            <w:t>Click or tap here to enter text.</w:t>
          </w:r>
        </w:p>
      </w:docPartBody>
    </w:docPart>
    <w:docPart>
      <w:docPartPr>
        <w:name w:val="06C75614716D6140A4CFC41A3EB672F0"/>
        <w:category>
          <w:name w:val="General"/>
          <w:gallery w:val="placeholder"/>
        </w:category>
        <w:types>
          <w:type w:val="bbPlcHdr"/>
        </w:types>
        <w:behaviors>
          <w:behavior w:val="content"/>
        </w:behaviors>
        <w:guid w:val="{B93A3950-E6F8-164A-9DA2-C0C4ACE0B99E}"/>
      </w:docPartPr>
      <w:docPartBody>
        <w:p w:rsidR="005E190B" w:rsidRDefault="005E190B" w:rsidP="005E190B">
          <w:pPr>
            <w:pStyle w:val="06C75614716D6140A4CFC41A3EB672F0"/>
          </w:pPr>
          <w:r w:rsidRPr="006F6226">
            <w:rPr>
              <w:rStyle w:val="PlaceholderText"/>
            </w:rPr>
            <w:t>Click or tap here to enter text.</w:t>
          </w:r>
        </w:p>
      </w:docPartBody>
    </w:docPart>
    <w:docPart>
      <w:docPartPr>
        <w:name w:val="A4502AD3CF554945889EF270326494AE"/>
        <w:category>
          <w:name w:val="General"/>
          <w:gallery w:val="placeholder"/>
        </w:category>
        <w:types>
          <w:type w:val="bbPlcHdr"/>
        </w:types>
        <w:behaviors>
          <w:behavior w:val="content"/>
        </w:behaviors>
        <w:guid w:val="{D0E798F4-D37D-DB47-8BA7-6897F722ED41}"/>
      </w:docPartPr>
      <w:docPartBody>
        <w:p w:rsidR="005E190B" w:rsidRDefault="005E190B" w:rsidP="005E190B">
          <w:pPr>
            <w:pStyle w:val="A4502AD3CF554945889EF270326494AE"/>
          </w:pPr>
          <w:r w:rsidRPr="006F6226">
            <w:rPr>
              <w:rStyle w:val="PlaceholderText"/>
            </w:rPr>
            <w:t>Click or tap here to enter text.</w:t>
          </w:r>
        </w:p>
      </w:docPartBody>
    </w:docPart>
    <w:docPart>
      <w:docPartPr>
        <w:name w:val="88166AD67CAF7040A23845506DCC548E"/>
        <w:category>
          <w:name w:val="General"/>
          <w:gallery w:val="placeholder"/>
        </w:category>
        <w:types>
          <w:type w:val="bbPlcHdr"/>
        </w:types>
        <w:behaviors>
          <w:behavior w:val="content"/>
        </w:behaviors>
        <w:guid w:val="{BF3C100A-AFD3-784A-B4B9-96657105711A}"/>
      </w:docPartPr>
      <w:docPartBody>
        <w:p w:rsidR="005E190B" w:rsidRDefault="005E190B" w:rsidP="005E190B">
          <w:pPr>
            <w:pStyle w:val="88166AD67CAF7040A23845506DCC548E"/>
          </w:pPr>
          <w:r w:rsidRPr="006F6226">
            <w:rPr>
              <w:rStyle w:val="PlaceholderText"/>
            </w:rPr>
            <w:t>Click or tap here to enter text.</w:t>
          </w:r>
        </w:p>
      </w:docPartBody>
    </w:docPart>
    <w:docPart>
      <w:docPartPr>
        <w:name w:val="783419E79BF55741A78DDB9F315D30E7"/>
        <w:category>
          <w:name w:val="General"/>
          <w:gallery w:val="placeholder"/>
        </w:category>
        <w:types>
          <w:type w:val="bbPlcHdr"/>
        </w:types>
        <w:behaviors>
          <w:behavior w:val="content"/>
        </w:behaviors>
        <w:guid w:val="{79FC0210-135B-AB48-A3E4-DE8D3CD8EAED}"/>
      </w:docPartPr>
      <w:docPartBody>
        <w:p w:rsidR="005E190B" w:rsidRDefault="005E190B" w:rsidP="005E190B">
          <w:pPr>
            <w:pStyle w:val="783419E79BF55741A78DDB9F315D30E7"/>
          </w:pPr>
          <w:r w:rsidRPr="00D9460F">
            <w:rPr>
              <w:rStyle w:val="PlaceholderText"/>
            </w:rPr>
            <w:t>Click or tap here to enter text.</w:t>
          </w:r>
        </w:p>
      </w:docPartBody>
    </w:docPart>
    <w:docPart>
      <w:docPartPr>
        <w:name w:val="DF7C70C18BD001438A1BEC940192C86D"/>
        <w:category>
          <w:name w:val="General"/>
          <w:gallery w:val="placeholder"/>
        </w:category>
        <w:types>
          <w:type w:val="bbPlcHdr"/>
        </w:types>
        <w:behaviors>
          <w:behavior w:val="content"/>
        </w:behaviors>
        <w:guid w:val="{3331581D-53F5-384E-88CC-CF27F162AB63}"/>
      </w:docPartPr>
      <w:docPartBody>
        <w:p w:rsidR="005E190B" w:rsidRDefault="005E190B" w:rsidP="005E190B">
          <w:pPr>
            <w:pStyle w:val="DF7C70C18BD001438A1BEC940192C86D"/>
          </w:pPr>
          <w:r w:rsidRPr="006F6226">
            <w:rPr>
              <w:rStyle w:val="PlaceholderText"/>
            </w:rPr>
            <w:t>Click or tap here to enter text.</w:t>
          </w:r>
        </w:p>
      </w:docPartBody>
    </w:docPart>
    <w:docPart>
      <w:docPartPr>
        <w:name w:val="C1F9C3D52341EC4888AF53751F532724"/>
        <w:category>
          <w:name w:val="General"/>
          <w:gallery w:val="placeholder"/>
        </w:category>
        <w:types>
          <w:type w:val="bbPlcHdr"/>
        </w:types>
        <w:behaviors>
          <w:behavior w:val="content"/>
        </w:behaviors>
        <w:guid w:val="{BB53AC61-FD2E-2846-8A57-EAF98E97F11A}"/>
      </w:docPartPr>
      <w:docPartBody>
        <w:p w:rsidR="005E190B" w:rsidRDefault="005E190B" w:rsidP="005E190B">
          <w:pPr>
            <w:pStyle w:val="C1F9C3D52341EC4888AF53751F532724"/>
          </w:pPr>
          <w:r w:rsidRPr="006F6226">
            <w:rPr>
              <w:rStyle w:val="PlaceholderText"/>
            </w:rPr>
            <w:t>Click or tap here to enter text.</w:t>
          </w:r>
        </w:p>
      </w:docPartBody>
    </w:docPart>
    <w:docPart>
      <w:docPartPr>
        <w:name w:val="10385649CA98D740B9518E13433D34DC"/>
        <w:category>
          <w:name w:val="General"/>
          <w:gallery w:val="placeholder"/>
        </w:category>
        <w:types>
          <w:type w:val="bbPlcHdr"/>
        </w:types>
        <w:behaviors>
          <w:behavior w:val="content"/>
        </w:behaviors>
        <w:guid w:val="{A4477D6D-8421-9D49-9AED-D233917CE983}"/>
      </w:docPartPr>
      <w:docPartBody>
        <w:p w:rsidR="005E190B" w:rsidRDefault="005E190B" w:rsidP="005E190B">
          <w:pPr>
            <w:pStyle w:val="10385649CA98D740B9518E13433D34DC"/>
          </w:pPr>
          <w:r w:rsidRPr="006F6226">
            <w:rPr>
              <w:rStyle w:val="PlaceholderText"/>
            </w:rPr>
            <w:t>Click or tap here to enter text.</w:t>
          </w:r>
        </w:p>
      </w:docPartBody>
    </w:docPart>
    <w:docPart>
      <w:docPartPr>
        <w:name w:val="F40A1EB61D635243B42AE9583CA8F72E"/>
        <w:category>
          <w:name w:val="General"/>
          <w:gallery w:val="placeholder"/>
        </w:category>
        <w:types>
          <w:type w:val="bbPlcHdr"/>
        </w:types>
        <w:behaviors>
          <w:behavior w:val="content"/>
        </w:behaviors>
        <w:guid w:val="{4112C349-C62F-3D4E-9F02-15CF8A93C70F}"/>
      </w:docPartPr>
      <w:docPartBody>
        <w:p w:rsidR="005E190B" w:rsidRDefault="005E190B" w:rsidP="005E190B">
          <w:pPr>
            <w:pStyle w:val="F40A1EB61D635243B42AE9583CA8F72E"/>
          </w:pPr>
          <w:r w:rsidRPr="00E06FEC">
            <w:rPr>
              <w:rStyle w:val="PlaceholderText"/>
            </w:rPr>
            <w:t>Click or tap here to enter text.</w:t>
          </w:r>
        </w:p>
      </w:docPartBody>
    </w:docPart>
    <w:docPart>
      <w:docPartPr>
        <w:name w:val="B6633B89CEFCE4489FE66321501EBD5A"/>
        <w:category>
          <w:name w:val="General"/>
          <w:gallery w:val="placeholder"/>
        </w:category>
        <w:types>
          <w:type w:val="bbPlcHdr"/>
        </w:types>
        <w:behaviors>
          <w:behavior w:val="content"/>
        </w:behaviors>
        <w:guid w:val="{497AE712-E0BD-9845-9AF6-0AE4AD9B015F}"/>
      </w:docPartPr>
      <w:docPartBody>
        <w:p w:rsidR="005E190B" w:rsidRDefault="005E190B" w:rsidP="005E190B">
          <w:pPr>
            <w:pStyle w:val="B6633B89CEFCE4489FE66321501EBD5A"/>
          </w:pPr>
          <w:r w:rsidRPr="00E06FEC">
            <w:rPr>
              <w:rStyle w:val="PlaceholderText"/>
            </w:rPr>
            <w:t>Click or tap here to enter text.</w:t>
          </w:r>
        </w:p>
      </w:docPartBody>
    </w:docPart>
    <w:docPart>
      <w:docPartPr>
        <w:name w:val="640E63EB2CE35C458E08854DFF5D58B1"/>
        <w:category>
          <w:name w:val="General"/>
          <w:gallery w:val="placeholder"/>
        </w:category>
        <w:types>
          <w:type w:val="bbPlcHdr"/>
        </w:types>
        <w:behaviors>
          <w:behavior w:val="content"/>
        </w:behaviors>
        <w:guid w:val="{81E2515E-495D-1847-AE21-14BFC7F3F892}"/>
      </w:docPartPr>
      <w:docPartBody>
        <w:p w:rsidR="005E190B" w:rsidRDefault="005E190B" w:rsidP="005E190B">
          <w:pPr>
            <w:pStyle w:val="640E63EB2CE35C458E08854DFF5D58B1"/>
          </w:pPr>
          <w:r w:rsidRPr="00DF5C1E">
            <w:rPr>
              <w:rStyle w:val="PlaceholderText"/>
            </w:rPr>
            <w:t>Click or tap here to enter text.</w:t>
          </w:r>
        </w:p>
      </w:docPartBody>
    </w:docPart>
    <w:docPart>
      <w:docPartPr>
        <w:name w:val="A57132CCF78E79489C7495D794991E53"/>
        <w:category>
          <w:name w:val="General"/>
          <w:gallery w:val="placeholder"/>
        </w:category>
        <w:types>
          <w:type w:val="bbPlcHdr"/>
        </w:types>
        <w:behaviors>
          <w:behavior w:val="content"/>
        </w:behaviors>
        <w:guid w:val="{16FC946F-2458-3A47-B182-F28959CA2B1D}"/>
      </w:docPartPr>
      <w:docPartBody>
        <w:p w:rsidR="005E190B" w:rsidRDefault="005E190B" w:rsidP="005E190B">
          <w:pPr>
            <w:pStyle w:val="A57132CCF78E79489C7495D794991E53"/>
          </w:pPr>
          <w:r w:rsidRPr="00E06FEC">
            <w:rPr>
              <w:rStyle w:val="PlaceholderText"/>
            </w:rPr>
            <w:t>Click or tap here to enter text.</w:t>
          </w:r>
        </w:p>
      </w:docPartBody>
    </w:docPart>
    <w:docPart>
      <w:docPartPr>
        <w:name w:val="3FA6CF6A11B61D4FA36A259BA163745D"/>
        <w:category>
          <w:name w:val="General"/>
          <w:gallery w:val="placeholder"/>
        </w:category>
        <w:types>
          <w:type w:val="bbPlcHdr"/>
        </w:types>
        <w:behaviors>
          <w:behavior w:val="content"/>
        </w:behaviors>
        <w:guid w:val="{DD483DB0-0CB2-BC4C-899C-7B4065C10F7A}"/>
      </w:docPartPr>
      <w:docPartBody>
        <w:p w:rsidR="005E190B" w:rsidRDefault="005E190B" w:rsidP="005E190B">
          <w:pPr>
            <w:pStyle w:val="3FA6CF6A11B61D4FA36A259BA163745D"/>
          </w:pPr>
          <w:r w:rsidRPr="00D2640D">
            <w:rPr>
              <w:rStyle w:val="PlaceholderText"/>
            </w:rPr>
            <w:t>Click or tap here to enter text.</w:t>
          </w:r>
        </w:p>
      </w:docPartBody>
    </w:docPart>
    <w:docPart>
      <w:docPartPr>
        <w:name w:val="32CDB3F31106A647A1B72041DAF0B4E7"/>
        <w:category>
          <w:name w:val="General"/>
          <w:gallery w:val="placeholder"/>
        </w:category>
        <w:types>
          <w:type w:val="bbPlcHdr"/>
        </w:types>
        <w:behaviors>
          <w:behavior w:val="content"/>
        </w:behaviors>
        <w:guid w:val="{BC27945E-51D7-9A4D-BCEF-3460CAEC6608}"/>
      </w:docPartPr>
      <w:docPartBody>
        <w:p w:rsidR="005E190B" w:rsidRDefault="005E190B" w:rsidP="005E190B">
          <w:pPr>
            <w:pStyle w:val="32CDB3F31106A647A1B72041DAF0B4E7"/>
          </w:pPr>
          <w:r w:rsidRPr="00D2640D">
            <w:rPr>
              <w:rStyle w:val="PlaceholderText"/>
            </w:rPr>
            <w:t>Click or tap here to enter text.</w:t>
          </w:r>
        </w:p>
      </w:docPartBody>
    </w:docPart>
    <w:docPart>
      <w:docPartPr>
        <w:name w:val="4BD4D700469B02418E39EECE4B2A18E4"/>
        <w:category>
          <w:name w:val="General"/>
          <w:gallery w:val="placeholder"/>
        </w:category>
        <w:types>
          <w:type w:val="bbPlcHdr"/>
        </w:types>
        <w:behaviors>
          <w:behavior w:val="content"/>
        </w:behaviors>
        <w:guid w:val="{6E3C1089-6570-6F44-B423-5D10FAB19380}"/>
      </w:docPartPr>
      <w:docPartBody>
        <w:p w:rsidR="005E190B" w:rsidRDefault="005E190B" w:rsidP="005E190B">
          <w:pPr>
            <w:pStyle w:val="4BD4D700469B02418E39EECE4B2A18E4"/>
          </w:pPr>
          <w:r w:rsidRPr="00D2640D">
            <w:rPr>
              <w:rStyle w:val="PlaceholderText"/>
            </w:rPr>
            <w:t>Click or tap here to enter text.</w:t>
          </w:r>
        </w:p>
      </w:docPartBody>
    </w:docPart>
    <w:docPart>
      <w:docPartPr>
        <w:name w:val="067D9013FD54FD40935DA52C91507618"/>
        <w:category>
          <w:name w:val="General"/>
          <w:gallery w:val="placeholder"/>
        </w:category>
        <w:types>
          <w:type w:val="bbPlcHdr"/>
        </w:types>
        <w:behaviors>
          <w:behavior w:val="content"/>
        </w:behaviors>
        <w:guid w:val="{BB05E2D4-962B-7B47-8620-5A8627D4CC09}"/>
      </w:docPartPr>
      <w:docPartBody>
        <w:p w:rsidR="005E190B" w:rsidRDefault="005E190B" w:rsidP="005E190B">
          <w:pPr>
            <w:pStyle w:val="067D9013FD54FD40935DA52C91507618"/>
          </w:pPr>
          <w:r w:rsidRPr="00E06FEC">
            <w:rPr>
              <w:rStyle w:val="PlaceholderText"/>
            </w:rPr>
            <w:t>Click or tap here to enter text.</w:t>
          </w:r>
        </w:p>
      </w:docPartBody>
    </w:docPart>
    <w:docPart>
      <w:docPartPr>
        <w:name w:val="4DA42369001AA3449C90543756E52DE8"/>
        <w:category>
          <w:name w:val="General"/>
          <w:gallery w:val="placeholder"/>
        </w:category>
        <w:types>
          <w:type w:val="bbPlcHdr"/>
        </w:types>
        <w:behaviors>
          <w:behavior w:val="content"/>
        </w:behaviors>
        <w:guid w:val="{A2B75FA5-0B14-274C-B792-E12EDF919F3D}"/>
      </w:docPartPr>
      <w:docPartBody>
        <w:p w:rsidR="005E190B" w:rsidRDefault="005E190B" w:rsidP="005E190B">
          <w:pPr>
            <w:pStyle w:val="4DA42369001AA3449C90543756E52DE8"/>
          </w:pPr>
          <w:r w:rsidRPr="00771EF8">
            <w:rPr>
              <w:rStyle w:val="PlaceholderText"/>
            </w:rPr>
            <w:t>Click or tap here to enter text.</w:t>
          </w:r>
        </w:p>
      </w:docPartBody>
    </w:docPart>
    <w:docPart>
      <w:docPartPr>
        <w:name w:val="26AE7B969E074255A376F4AF5BE4535F"/>
        <w:category>
          <w:name w:val="General"/>
          <w:gallery w:val="placeholder"/>
        </w:category>
        <w:types>
          <w:type w:val="bbPlcHdr"/>
        </w:types>
        <w:behaviors>
          <w:behavior w:val="content"/>
        </w:behaviors>
        <w:guid w:val="{C94D0769-1D81-4B8B-BB43-5F3C64610639}"/>
      </w:docPartPr>
      <w:docPartBody>
        <w:p w:rsidR="007842A1" w:rsidRDefault="007842A1" w:rsidP="007842A1">
          <w:pPr>
            <w:pStyle w:val="26AE7B969E074255A376F4AF5BE4535F"/>
          </w:pPr>
          <w:r w:rsidRPr="00E06FEC">
            <w:rPr>
              <w:rStyle w:val="PlaceholderText"/>
            </w:rPr>
            <w:t>Click or tap here to enter text.</w:t>
          </w:r>
        </w:p>
      </w:docPartBody>
    </w:docPart>
    <w:docPart>
      <w:docPartPr>
        <w:name w:val="9BACF06DD71F459BAA9ED1EA6DAE1FF7"/>
        <w:category>
          <w:name w:val="General"/>
          <w:gallery w:val="placeholder"/>
        </w:category>
        <w:types>
          <w:type w:val="bbPlcHdr"/>
        </w:types>
        <w:behaviors>
          <w:behavior w:val="content"/>
        </w:behaviors>
        <w:guid w:val="{07BB4FA5-AAB9-4AA3-BD29-48AAEB455F50}"/>
      </w:docPartPr>
      <w:docPartBody>
        <w:p w:rsidR="007842A1" w:rsidRDefault="007842A1" w:rsidP="007842A1">
          <w:pPr>
            <w:pStyle w:val="9BACF06DD71F459BAA9ED1EA6DAE1FF7"/>
          </w:pPr>
          <w:r w:rsidRPr="00E06FEC">
            <w:rPr>
              <w:rStyle w:val="PlaceholderText"/>
            </w:rPr>
            <w:t>Click or tap here to enter text.</w:t>
          </w:r>
        </w:p>
      </w:docPartBody>
    </w:docPart>
    <w:docPart>
      <w:docPartPr>
        <w:name w:val="7C2CB457BEF04A34869BF10F42B85AD2"/>
        <w:category>
          <w:name w:val="General"/>
          <w:gallery w:val="placeholder"/>
        </w:category>
        <w:types>
          <w:type w:val="bbPlcHdr"/>
        </w:types>
        <w:behaviors>
          <w:behavior w:val="content"/>
        </w:behaviors>
        <w:guid w:val="{1DFD9AD8-12AD-4123-B7BF-3E7A581B9328}"/>
      </w:docPartPr>
      <w:docPartBody>
        <w:p w:rsidR="007842A1" w:rsidRDefault="007842A1" w:rsidP="007842A1">
          <w:pPr>
            <w:pStyle w:val="7C2CB457BEF04A34869BF10F42B85AD2"/>
          </w:pPr>
          <w:r w:rsidRPr="00E06FEC">
            <w:rPr>
              <w:rStyle w:val="PlaceholderText"/>
            </w:rPr>
            <w:t>Click or tap here to enter text.</w:t>
          </w:r>
        </w:p>
      </w:docPartBody>
    </w:docPart>
    <w:docPart>
      <w:docPartPr>
        <w:name w:val="C76A03022FD54B9B9021C66AA32B4443"/>
        <w:category>
          <w:name w:val="General"/>
          <w:gallery w:val="placeholder"/>
        </w:category>
        <w:types>
          <w:type w:val="bbPlcHdr"/>
        </w:types>
        <w:behaviors>
          <w:behavior w:val="content"/>
        </w:behaviors>
        <w:guid w:val="{95EB0431-B35C-4909-9402-10A3D7BF93B3}"/>
      </w:docPartPr>
      <w:docPartBody>
        <w:p w:rsidR="007842A1" w:rsidRDefault="007842A1" w:rsidP="007842A1">
          <w:pPr>
            <w:pStyle w:val="C76A03022FD54B9B9021C66AA32B4443"/>
          </w:pPr>
          <w:r w:rsidRPr="00E06FEC">
            <w:rPr>
              <w:rStyle w:val="PlaceholderText"/>
            </w:rPr>
            <w:t>Click or tap here to enter text.</w:t>
          </w:r>
        </w:p>
      </w:docPartBody>
    </w:docPart>
    <w:docPart>
      <w:docPartPr>
        <w:name w:val="A783323BBAD44D1A821DAAA5564523CB"/>
        <w:category>
          <w:name w:val="General"/>
          <w:gallery w:val="placeholder"/>
        </w:category>
        <w:types>
          <w:type w:val="bbPlcHdr"/>
        </w:types>
        <w:behaviors>
          <w:behavior w:val="content"/>
        </w:behaviors>
        <w:guid w:val="{DD37846E-72E7-4344-8B24-F63B74758986}"/>
      </w:docPartPr>
      <w:docPartBody>
        <w:p w:rsidR="007842A1" w:rsidRDefault="007842A1" w:rsidP="007842A1">
          <w:pPr>
            <w:pStyle w:val="A783323BBAD44D1A821DAAA5564523CB"/>
          </w:pPr>
          <w:r w:rsidRPr="00E06FEC">
            <w:rPr>
              <w:rStyle w:val="PlaceholderText"/>
            </w:rPr>
            <w:t>Click or tap here to enter text.</w:t>
          </w:r>
        </w:p>
      </w:docPartBody>
    </w:docPart>
    <w:docPart>
      <w:docPartPr>
        <w:name w:val="AB5E377CA2D44CB3AC4300A4F39AC600"/>
        <w:category>
          <w:name w:val="General"/>
          <w:gallery w:val="placeholder"/>
        </w:category>
        <w:types>
          <w:type w:val="bbPlcHdr"/>
        </w:types>
        <w:behaviors>
          <w:behavior w:val="content"/>
        </w:behaviors>
        <w:guid w:val="{AE860EF4-E3EB-4401-8057-9C1435E037D6}"/>
      </w:docPartPr>
      <w:docPartBody>
        <w:p w:rsidR="007842A1" w:rsidRDefault="007842A1" w:rsidP="007842A1">
          <w:pPr>
            <w:pStyle w:val="AB5E377CA2D44CB3AC4300A4F39AC600"/>
          </w:pPr>
          <w:r w:rsidRPr="00E06FEC">
            <w:rPr>
              <w:rStyle w:val="PlaceholderText"/>
            </w:rPr>
            <w:t>Click or tap here to enter text.</w:t>
          </w:r>
        </w:p>
      </w:docPartBody>
    </w:docPart>
    <w:docPart>
      <w:docPartPr>
        <w:name w:val="D7F9B0572DBC452990801528407531C9"/>
        <w:category>
          <w:name w:val="General"/>
          <w:gallery w:val="placeholder"/>
        </w:category>
        <w:types>
          <w:type w:val="bbPlcHdr"/>
        </w:types>
        <w:behaviors>
          <w:behavior w:val="content"/>
        </w:behaviors>
        <w:guid w:val="{56E4BE5C-3556-4126-B73B-C32226A223DA}"/>
      </w:docPartPr>
      <w:docPartBody>
        <w:p w:rsidR="007842A1" w:rsidRDefault="007842A1" w:rsidP="007842A1">
          <w:pPr>
            <w:pStyle w:val="D7F9B0572DBC452990801528407531C9"/>
          </w:pPr>
          <w:r w:rsidRPr="00E06FEC">
            <w:rPr>
              <w:rStyle w:val="PlaceholderText"/>
            </w:rPr>
            <w:t>Click or tap here to enter text.</w:t>
          </w:r>
        </w:p>
      </w:docPartBody>
    </w:docPart>
    <w:docPart>
      <w:docPartPr>
        <w:name w:val="815CC93E304E45059BF8F9337ECE71FF"/>
        <w:category>
          <w:name w:val="General"/>
          <w:gallery w:val="placeholder"/>
        </w:category>
        <w:types>
          <w:type w:val="bbPlcHdr"/>
        </w:types>
        <w:behaviors>
          <w:behavior w:val="content"/>
        </w:behaviors>
        <w:guid w:val="{F00FAAD0-6EBD-42D9-AE9E-BDD33B9669BE}"/>
      </w:docPartPr>
      <w:docPartBody>
        <w:p w:rsidR="007842A1" w:rsidRDefault="007842A1" w:rsidP="007842A1">
          <w:pPr>
            <w:pStyle w:val="815CC93E304E45059BF8F9337ECE71FF"/>
          </w:pPr>
          <w:r w:rsidRPr="00E06FEC">
            <w:rPr>
              <w:rStyle w:val="PlaceholderText"/>
            </w:rPr>
            <w:t>Click or tap here to enter text.</w:t>
          </w:r>
        </w:p>
      </w:docPartBody>
    </w:docPart>
    <w:docPart>
      <w:docPartPr>
        <w:name w:val="FEE93E19D7344919B6D6517941E231B0"/>
        <w:category>
          <w:name w:val="General"/>
          <w:gallery w:val="placeholder"/>
        </w:category>
        <w:types>
          <w:type w:val="bbPlcHdr"/>
        </w:types>
        <w:behaviors>
          <w:behavior w:val="content"/>
        </w:behaviors>
        <w:guid w:val="{BAEF7750-C92F-4DD4-B2BB-6764221A120A}"/>
      </w:docPartPr>
      <w:docPartBody>
        <w:p w:rsidR="007842A1" w:rsidRDefault="007842A1" w:rsidP="007842A1">
          <w:pPr>
            <w:pStyle w:val="FEE93E19D7344919B6D6517941E231B0"/>
          </w:pPr>
          <w:r w:rsidRPr="00E06FEC">
            <w:rPr>
              <w:rStyle w:val="PlaceholderText"/>
            </w:rPr>
            <w:t>Click or tap here to enter text.</w:t>
          </w:r>
        </w:p>
      </w:docPartBody>
    </w:docPart>
    <w:docPart>
      <w:docPartPr>
        <w:name w:val="4838C9DB7D074D418BFCBE341C0E3CA6"/>
        <w:category>
          <w:name w:val="General"/>
          <w:gallery w:val="placeholder"/>
        </w:category>
        <w:types>
          <w:type w:val="bbPlcHdr"/>
        </w:types>
        <w:behaviors>
          <w:behavior w:val="content"/>
        </w:behaviors>
        <w:guid w:val="{C184C3A8-D7E7-4D27-BC8A-7A1FB9EC2D74}"/>
      </w:docPartPr>
      <w:docPartBody>
        <w:p w:rsidR="007842A1" w:rsidRDefault="007842A1" w:rsidP="007842A1">
          <w:pPr>
            <w:pStyle w:val="4838C9DB7D074D418BFCBE341C0E3CA6"/>
          </w:pPr>
          <w:r w:rsidRPr="00E06FEC">
            <w:rPr>
              <w:rStyle w:val="PlaceholderText"/>
            </w:rPr>
            <w:t>Click or tap here to enter text.</w:t>
          </w:r>
        </w:p>
      </w:docPartBody>
    </w:docPart>
    <w:docPart>
      <w:docPartPr>
        <w:name w:val="262B8AA6F0A34140B93310913159A08F"/>
        <w:category>
          <w:name w:val="General"/>
          <w:gallery w:val="placeholder"/>
        </w:category>
        <w:types>
          <w:type w:val="bbPlcHdr"/>
        </w:types>
        <w:behaviors>
          <w:behavior w:val="content"/>
        </w:behaviors>
        <w:guid w:val="{A3156749-8B79-421F-8AEF-E41CDB147F55}"/>
      </w:docPartPr>
      <w:docPartBody>
        <w:p w:rsidR="007842A1" w:rsidRDefault="007842A1" w:rsidP="007842A1">
          <w:pPr>
            <w:pStyle w:val="262B8AA6F0A34140B93310913159A08F"/>
          </w:pPr>
          <w:r w:rsidRPr="00E06FEC">
            <w:rPr>
              <w:rStyle w:val="PlaceholderText"/>
            </w:rPr>
            <w:t>Click or tap here to enter text.</w:t>
          </w:r>
        </w:p>
      </w:docPartBody>
    </w:docPart>
    <w:docPart>
      <w:docPartPr>
        <w:name w:val="C1A0BC2249A145FBBB6A62165E64BB0B"/>
        <w:category>
          <w:name w:val="General"/>
          <w:gallery w:val="placeholder"/>
        </w:category>
        <w:types>
          <w:type w:val="bbPlcHdr"/>
        </w:types>
        <w:behaviors>
          <w:behavior w:val="content"/>
        </w:behaviors>
        <w:guid w:val="{7E27F22F-83F9-4974-B3E5-A234B9971C35}"/>
      </w:docPartPr>
      <w:docPartBody>
        <w:p w:rsidR="007842A1" w:rsidRDefault="007842A1" w:rsidP="007842A1">
          <w:pPr>
            <w:pStyle w:val="C1A0BC2249A145FBBB6A62165E64BB0B"/>
          </w:pPr>
          <w:r w:rsidRPr="00E06FEC">
            <w:rPr>
              <w:rStyle w:val="PlaceholderText"/>
            </w:rPr>
            <w:t>Click or tap here to enter text.</w:t>
          </w:r>
        </w:p>
      </w:docPartBody>
    </w:docPart>
    <w:docPart>
      <w:docPartPr>
        <w:name w:val="2440911FCF4341849AFB6324093855EB"/>
        <w:category>
          <w:name w:val="General"/>
          <w:gallery w:val="placeholder"/>
        </w:category>
        <w:types>
          <w:type w:val="bbPlcHdr"/>
        </w:types>
        <w:behaviors>
          <w:behavior w:val="content"/>
        </w:behaviors>
        <w:guid w:val="{C66FD9C3-0375-4C45-91FE-B0327A425E35}"/>
      </w:docPartPr>
      <w:docPartBody>
        <w:p w:rsidR="007842A1" w:rsidRDefault="007842A1" w:rsidP="007842A1">
          <w:pPr>
            <w:pStyle w:val="2440911FCF4341849AFB6324093855EB"/>
          </w:pPr>
          <w:r w:rsidRPr="00E06FEC">
            <w:rPr>
              <w:rStyle w:val="PlaceholderText"/>
            </w:rPr>
            <w:t>Click or tap here to enter text.</w:t>
          </w:r>
        </w:p>
      </w:docPartBody>
    </w:docPart>
    <w:docPart>
      <w:docPartPr>
        <w:name w:val="9D85636738AB4A488387CAE5BA0D187E"/>
        <w:category>
          <w:name w:val="General"/>
          <w:gallery w:val="placeholder"/>
        </w:category>
        <w:types>
          <w:type w:val="bbPlcHdr"/>
        </w:types>
        <w:behaviors>
          <w:behavior w:val="content"/>
        </w:behaviors>
        <w:guid w:val="{6C59F47B-2B50-4F42-A3CF-B7E7A2D98FC6}"/>
      </w:docPartPr>
      <w:docPartBody>
        <w:p w:rsidR="007842A1" w:rsidRDefault="007842A1" w:rsidP="007842A1">
          <w:pPr>
            <w:pStyle w:val="9D85636738AB4A488387CAE5BA0D187E"/>
          </w:pPr>
          <w:r w:rsidRPr="00E06FEC">
            <w:rPr>
              <w:rStyle w:val="PlaceholderText"/>
            </w:rPr>
            <w:t>Click or tap here to enter text.</w:t>
          </w:r>
        </w:p>
      </w:docPartBody>
    </w:docPart>
    <w:docPart>
      <w:docPartPr>
        <w:name w:val="1719D996AE344E97AA47511CDABB0F89"/>
        <w:category>
          <w:name w:val="General"/>
          <w:gallery w:val="placeholder"/>
        </w:category>
        <w:types>
          <w:type w:val="bbPlcHdr"/>
        </w:types>
        <w:behaviors>
          <w:behavior w:val="content"/>
        </w:behaviors>
        <w:guid w:val="{8446B842-BD09-4682-93D2-A7E1E28E0101}"/>
      </w:docPartPr>
      <w:docPartBody>
        <w:p w:rsidR="007842A1" w:rsidRDefault="007842A1" w:rsidP="007842A1">
          <w:pPr>
            <w:pStyle w:val="1719D996AE344E97AA47511CDABB0F89"/>
          </w:pPr>
          <w:r w:rsidRPr="00E06FEC">
            <w:rPr>
              <w:rStyle w:val="PlaceholderText"/>
            </w:rPr>
            <w:t>Click or tap here to enter text.</w:t>
          </w:r>
        </w:p>
      </w:docPartBody>
    </w:docPart>
    <w:docPart>
      <w:docPartPr>
        <w:name w:val="826A811A651C4A53AFC18E17732ACB9E"/>
        <w:category>
          <w:name w:val="General"/>
          <w:gallery w:val="placeholder"/>
        </w:category>
        <w:types>
          <w:type w:val="bbPlcHdr"/>
        </w:types>
        <w:behaviors>
          <w:behavior w:val="content"/>
        </w:behaviors>
        <w:guid w:val="{9FF94FD4-CDE3-415A-8CF7-0D51A8259F9C}"/>
      </w:docPartPr>
      <w:docPartBody>
        <w:p w:rsidR="007842A1" w:rsidRDefault="007842A1" w:rsidP="007842A1">
          <w:pPr>
            <w:pStyle w:val="826A811A651C4A53AFC18E17732ACB9E"/>
          </w:pPr>
          <w:r w:rsidRPr="00E06FEC">
            <w:rPr>
              <w:rStyle w:val="PlaceholderText"/>
            </w:rPr>
            <w:t>Click or tap here to enter text.</w:t>
          </w:r>
        </w:p>
      </w:docPartBody>
    </w:docPart>
    <w:docPart>
      <w:docPartPr>
        <w:name w:val="0F4EA1311A904595B7145B515945434A"/>
        <w:category>
          <w:name w:val="General"/>
          <w:gallery w:val="placeholder"/>
        </w:category>
        <w:types>
          <w:type w:val="bbPlcHdr"/>
        </w:types>
        <w:behaviors>
          <w:behavior w:val="content"/>
        </w:behaviors>
        <w:guid w:val="{6C3EAC4E-06BD-4736-8679-689BB7D7043A}"/>
      </w:docPartPr>
      <w:docPartBody>
        <w:p w:rsidR="007842A1" w:rsidRDefault="007842A1" w:rsidP="007842A1">
          <w:pPr>
            <w:pStyle w:val="0F4EA1311A904595B7145B515945434A"/>
          </w:pPr>
          <w:r w:rsidRPr="00E06FEC">
            <w:rPr>
              <w:rStyle w:val="PlaceholderText"/>
            </w:rPr>
            <w:t>Click or tap here to enter text.</w:t>
          </w:r>
        </w:p>
      </w:docPartBody>
    </w:docPart>
    <w:docPart>
      <w:docPartPr>
        <w:name w:val="ADCFB543CDDF4A8BA07AE611AFBD88B1"/>
        <w:category>
          <w:name w:val="General"/>
          <w:gallery w:val="placeholder"/>
        </w:category>
        <w:types>
          <w:type w:val="bbPlcHdr"/>
        </w:types>
        <w:behaviors>
          <w:behavior w:val="content"/>
        </w:behaviors>
        <w:guid w:val="{AB746A94-14D2-47EC-BA63-758000633317}"/>
      </w:docPartPr>
      <w:docPartBody>
        <w:p w:rsidR="007842A1" w:rsidRDefault="007842A1" w:rsidP="007842A1">
          <w:pPr>
            <w:pStyle w:val="ADCFB543CDDF4A8BA07AE611AFBD88B1"/>
          </w:pPr>
          <w:r w:rsidRPr="00E06FEC">
            <w:rPr>
              <w:rStyle w:val="PlaceholderText"/>
            </w:rPr>
            <w:t>Click or tap here to enter text.</w:t>
          </w:r>
        </w:p>
      </w:docPartBody>
    </w:docPart>
    <w:docPart>
      <w:docPartPr>
        <w:name w:val="30F2A2370AD24526A3556EB4DA89549B"/>
        <w:category>
          <w:name w:val="General"/>
          <w:gallery w:val="placeholder"/>
        </w:category>
        <w:types>
          <w:type w:val="bbPlcHdr"/>
        </w:types>
        <w:behaviors>
          <w:behavior w:val="content"/>
        </w:behaviors>
        <w:guid w:val="{470EE43A-C8E5-43E7-B078-4536B1569601}"/>
      </w:docPartPr>
      <w:docPartBody>
        <w:p w:rsidR="007842A1" w:rsidRDefault="007842A1" w:rsidP="007842A1">
          <w:pPr>
            <w:pStyle w:val="30F2A2370AD24526A3556EB4DA89549B"/>
          </w:pPr>
          <w:r w:rsidRPr="00E06FEC">
            <w:rPr>
              <w:rStyle w:val="PlaceholderText"/>
            </w:rPr>
            <w:t>Click or tap here to enter text.</w:t>
          </w:r>
        </w:p>
      </w:docPartBody>
    </w:docPart>
    <w:docPart>
      <w:docPartPr>
        <w:name w:val="018E281CDF8541A58BC3E66EA3B0B8E4"/>
        <w:category>
          <w:name w:val="General"/>
          <w:gallery w:val="placeholder"/>
        </w:category>
        <w:types>
          <w:type w:val="bbPlcHdr"/>
        </w:types>
        <w:behaviors>
          <w:behavior w:val="content"/>
        </w:behaviors>
        <w:guid w:val="{54FEAA4E-F3E2-457A-BE6D-EF929AB0BDA6}"/>
      </w:docPartPr>
      <w:docPartBody>
        <w:p w:rsidR="007842A1" w:rsidRDefault="007842A1" w:rsidP="007842A1">
          <w:pPr>
            <w:pStyle w:val="018E281CDF8541A58BC3E66EA3B0B8E4"/>
          </w:pPr>
          <w:r w:rsidRPr="00E06FEC">
            <w:rPr>
              <w:rStyle w:val="PlaceholderText"/>
            </w:rPr>
            <w:t>Click or tap here to enter text.</w:t>
          </w:r>
        </w:p>
      </w:docPartBody>
    </w:docPart>
    <w:docPart>
      <w:docPartPr>
        <w:name w:val="D8C2669476204D9B9F1334FD96B17885"/>
        <w:category>
          <w:name w:val="General"/>
          <w:gallery w:val="placeholder"/>
        </w:category>
        <w:types>
          <w:type w:val="bbPlcHdr"/>
        </w:types>
        <w:behaviors>
          <w:behavior w:val="content"/>
        </w:behaviors>
        <w:guid w:val="{A0422F8D-7629-4FED-8E7A-B1C2E84DFF8A}"/>
      </w:docPartPr>
      <w:docPartBody>
        <w:p w:rsidR="007842A1" w:rsidRDefault="007842A1" w:rsidP="007842A1">
          <w:pPr>
            <w:pStyle w:val="D8C2669476204D9B9F1334FD96B17885"/>
          </w:pPr>
          <w:r w:rsidRPr="00E06FEC">
            <w:rPr>
              <w:rStyle w:val="PlaceholderText"/>
            </w:rPr>
            <w:t>Click or tap here to enter text.</w:t>
          </w:r>
        </w:p>
      </w:docPartBody>
    </w:docPart>
    <w:docPart>
      <w:docPartPr>
        <w:name w:val="6E332DD3A82E4F09830B74C0A287EA0D"/>
        <w:category>
          <w:name w:val="General"/>
          <w:gallery w:val="placeholder"/>
        </w:category>
        <w:types>
          <w:type w:val="bbPlcHdr"/>
        </w:types>
        <w:behaviors>
          <w:behavior w:val="content"/>
        </w:behaviors>
        <w:guid w:val="{95053170-C450-436E-B453-0741BADF67EB}"/>
      </w:docPartPr>
      <w:docPartBody>
        <w:p w:rsidR="007842A1" w:rsidRDefault="007842A1" w:rsidP="007842A1">
          <w:pPr>
            <w:pStyle w:val="6E332DD3A82E4F09830B74C0A287EA0D"/>
          </w:pPr>
          <w:r w:rsidRPr="00E06FEC">
            <w:rPr>
              <w:rStyle w:val="PlaceholderText"/>
            </w:rPr>
            <w:t>Click or tap here to enter text.</w:t>
          </w:r>
        </w:p>
      </w:docPartBody>
    </w:docPart>
    <w:docPart>
      <w:docPartPr>
        <w:name w:val="6D93D839B45E47F7BD15C5C0D1E235AB"/>
        <w:category>
          <w:name w:val="General"/>
          <w:gallery w:val="placeholder"/>
        </w:category>
        <w:types>
          <w:type w:val="bbPlcHdr"/>
        </w:types>
        <w:behaviors>
          <w:behavior w:val="content"/>
        </w:behaviors>
        <w:guid w:val="{DD289BF8-0DFF-430E-95EE-09D7E714DF57}"/>
      </w:docPartPr>
      <w:docPartBody>
        <w:p w:rsidR="007842A1" w:rsidRDefault="007842A1" w:rsidP="007842A1">
          <w:pPr>
            <w:pStyle w:val="6D93D839B45E47F7BD15C5C0D1E235AB"/>
          </w:pPr>
          <w:r w:rsidRPr="00E06FEC">
            <w:rPr>
              <w:rStyle w:val="PlaceholderText"/>
            </w:rPr>
            <w:t>Click or tap here to enter text.</w:t>
          </w:r>
        </w:p>
      </w:docPartBody>
    </w:docPart>
    <w:docPart>
      <w:docPartPr>
        <w:name w:val="793ABAAD81EB44E49C95FE3A1CB15A91"/>
        <w:category>
          <w:name w:val="General"/>
          <w:gallery w:val="placeholder"/>
        </w:category>
        <w:types>
          <w:type w:val="bbPlcHdr"/>
        </w:types>
        <w:behaviors>
          <w:behavior w:val="content"/>
        </w:behaviors>
        <w:guid w:val="{E3880A13-C6BD-410D-8705-2EF641270567}"/>
      </w:docPartPr>
      <w:docPartBody>
        <w:p w:rsidR="007842A1" w:rsidRDefault="007842A1" w:rsidP="007842A1">
          <w:pPr>
            <w:pStyle w:val="793ABAAD81EB44E49C95FE3A1CB15A91"/>
          </w:pPr>
          <w:r w:rsidRPr="00E06FEC">
            <w:rPr>
              <w:rStyle w:val="PlaceholderText"/>
            </w:rPr>
            <w:t>Click or tap here to enter text.</w:t>
          </w:r>
        </w:p>
      </w:docPartBody>
    </w:docPart>
    <w:docPart>
      <w:docPartPr>
        <w:name w:val="0020F80FB8194713A91DE5B8FD37E3FC"/>
        <w:category>
          <w:name w:val="General"/>
          <w:gallery w:val="placeholder"/>
        </w:category>
        <w:types>
          <w:type w:val="bbPlcHdr"/>
        </w:types>
        <w:behaviors>
          <w:behavior w:val="content"/>
        </w:behaviors>
        <w:guid w:val="{63E601FB-89AB-44D0-A242-74D5EE7E1448}"/>
      </w:docPartPr>
      <w:docPartBody>
        <w:p w:rsidR="007842A1" w:rsidRDefault="007842A1" w:rsidP="007842A1">
          <w:pPr>
            <w:pStyle w:val="0020F80FB8194713A91DE5B8FD37E3FC"/>
          </w:pPr>
          <w:r w:rsidRPr="00E06FEC">
            <w:rPr>
              <w:rStyle w:val="PlaceholderText"/>
            </w:rPr>
            <w:t>Click or tap here to enter text.</w:t>
          </w:r>
        </w:p>
      </w:docPartBody>
    </w:docPart>
    <w:docPart>
      <w:docPartPr>
        <w:name w:val="AFF18572186D431EA330730C6087E465"/>
        <w:category>
          <w:name w:val="General"/>
          <w:gallery w:val="placeholder"/>
        </w:category>
        <w:types>
          <w:type w:val="bbPlcHdr"/>
        </w:types>
        <w:behaviors>
          <w:behavior w:val="content"/>
        </w:behaviors>
        <w:guid w:val="{345C638F-3C92-4A3A-A431-AF6868E56202}"/>
      </w:docPartPr>
      <w:docPartBody>
        <w:p w:rsidR="007842A1" w:rsidRDefault="007842A1" w:rsidP="007842A1">
          <w:pPr>
            <w:pStyle w:val="AFF18572186D431EA330730C6087E465"/>
          </w:pPr>
          <w:r w:rsidRPr="00E06FEC">
            <w:rPr>
              <w:rStyle w:val="PlaceholderText"/>
            </w:rPr>
            <w:t>Click or tap here to enter text.</w:t>
          </w:r>
        </w:p>
      </w:docPartBody>
    </w:docPart>
    <w:docPart>
      <w:docPartPr>
        <w:name w:val="BD92850995544EB2BB1823C025C486FB"/>
        <w:category>
          <w:name w:val="General"/>
          <w:gallery w:val="placeholder"/>
        </w:category>
        <w:types>
          <w:type w:val="bbPlcHdr"/>
        </w:types>
        <w:behaviors>
          <w:behavior w:val="content"/>
        </w:behaviors>
        <w:guid w:val="{DAEFFD6E-A231-4E51-B2EC-3E3C3B3BD3A4}"/>
      </w:docPartPr>
      <w:docPartBody>
        <w:p w:rsidR="007842A1" w:rsidRDefault="007842A1" w:rsidP="007842A1">
          <w:pPr>
            <w:pStyle w:val="BD92850995544EB2BB1823C025C486FB"/>
          </w:pPr>
          <w:r w:rsidRPr="00E06FEC">
            <w:rPr>
              <w:rStyle w:val="PlaceholderText"/>
            </w:rPr>
            <w:t>Click or tap here to enter text.</w:t>
          </w:r>
        </w:p>
      </w:docPartBody>
    </w:docPart>
    <w:docPart>
      <w:docPartPr>
        <w:name w:val="8BC366C50D0C45E4997343CBD1B78B5A"/>
        <w:category>
          <w:name w:val="General"/>
          <w:gallery w:val="placeholder"/>
        </w:category>
        <w:types>
          <w:type w:val="bbPlcHdr"/>
        </w:types>
        <w:behaviors>
          <w:behavior w:val="content"/>
        </w:behaviors>
        <w:guid w:val="{91830EA1-8299-4FAA-9705-DBAAA7CDB37F}"/>
      </w:docPartPr>
      <w:docPartBody>
        <w:p w:rsidR="007842A1" w:rsidRDefault="007842A1" w:rsidP="007842A1">
          <w:pPr>
            <w:pStyle w:val="8BC366C50D0C45E4997343CBD1B78B5A"/>
          </w:pPr>
          <w:r w:rsidRPr="00E06FEC">
            <w:rPr>
              <w:rStyle w:val="PlaceholderText"/>
            </w:rPr>
            <w:t>Click or tap here to enter text.</w:t>
          </w:r>
        </w:p>
      </w:docPartBody>
    </w:docPart>
    <w:docPart>
      <w:docPartPr>
        <w:name w:val="998349FE8C454FA5B48580B99F55DAA3"/>
        <w:category>
          <w:name w:val="General"/>
          <w:gallery w:val="placeholder"/>
        </w:category>
        <w:types>
          <w:type w:val="bbPlcHdr"/>
        </w:types>
        <w:behaviors>
          <w:behavior w:val="content"/>
        </w:behaviors>
        <w:guid w:val="{53066923-96D9-40A2-888C-ED02533CD2B5}"/>
      </w:docPartPr>
      <w:docPartBody>
        <w:p w:rsidR="007842A1" w:rsidRDefault="007842A1" w:rsidP="007842A1">
          <w:pPr>
            <w:pStyle w:val="998349FE8C454FA5B48580B99F55DAA3"/>
          </w:pPr>
          <w:r w:rsidRPr="00E06FEC">
            <w:rPr>
              <w:rStyle w:val="PlaceholderText"/>
            </w:rPr>
            <w:t>Click or tap here to enter text.</w:t>
          </w:r>
        </w:p>
      </w:docPartBody>
    </w:docPart>
    <w:docPart>
      <w:docPartPr>
        <w:name w:val="20BE406F02F442F9BCC09F504F4C01BC"/>
        <w:category>
          <w:name w:val="General"/>
          <w:gallery w:val="placeholder"/>
        </w:category>
        <w:types>
          <w:type w:val="bbPlcHdr"/>
        </w:types>
        <w:behaviors>
          <w:behavior w:val="content"/>
        </w:behaviors>
        <w:guid w:val="{09262388-DF0A-43A0-A10D-B7DCC88926FA}"/>
      </w:docPartPr>
      <w:docPartBody>
        <w:p w:rsidR="007842A1" w:rsidRDefault="007842A1" w:rsidP="007842A1">
          <w:pPr>
            <w:pStyle w:val="20BE406F02F442F9BCC09F504F4C01BC"/>
          </w:pPr>
          <w:r w:rsidRPr="00E06FEC">
            <w:rPr>
              <w:rStyle w:val="PlaceholderText"/>
            </w:rPr>
            <w:t>Click or tap here to enter text.</w:t>
          </w:r>
        </w:p>
      </w:docPartBody>
    </w:docPart>
    <w:docPart>
      <w:docPartPr>
        <w:name w:val="35334A7A521C49A99F709737C8B77BC7"/>
        <w:category>
          <w:name w:val="General"/>
          <w:gallery w:val="placeholder"/>
        </w:category>
        <w:types>
          <w:type w:val="bbPlcHdr"/>
        </w:types>
        <w:behaviors>
          <w:behavior w:val="content"/>
        </w:behaviors>
        <w:guid w:val="{389E80B7-E85A-484A-A93D-FDD430F4421A}"/>
      </w:docPartPr>
      <w:docPartBody>
        <w:p w:rsidR="007842A1" w:rsidRDefault="007842A1" w:rsidP="007842A1">
          <w:pPr>
            <w:pStyle w:val="35334A7A521C49A99F709737C8B77BC7"/>
          </w:pPr>
          <w:r w:rsidRPr="00E06FEC">
            <w:rPr>
              <w:rStyle w:val="PlaceholderText"/>
            </w:rPr>
            <w:t>Click or tap here to enter text.</w:t>
          </w:r>
        </w:p>
      </w:docPartBody>
    </w:docPart>
    <w:docPart>
      <w:docPartPr>
        <w:name w:val="46EC69D49F1C4A548D840E8F1F45D6D3"/>
        <w:category>
          <w:name w:val="General"/>
          <w:gallery w:val="placeholder"/>
        </w:category>
        <w:types>
          <w:type w:val="bbPlcHdr"/>
        </w:types>
        <w:behaviors>
          <w:behavior w:val="content"/>
        </w:behaviors>
        <w:guid w:val="{4563D919-F35C-4D48-BE50-87769BC2D50A}"/>
      </w:docPartPr>
      <w:docPartBody>
        <w:p w:rsidR="007842A1" w:rsidRDefault="007842A1" w:rsidP="007842A1">
          <w:pPr>
            <w:pStyle w:val="46EC69D49F1C4A548D840E8F1F45D6D3"/>
          </w:pPr>
          <w:r w:rsidRPr="00E06FEC">
            <w:rPr>
              <w:rStyle w:val="PlaceholderText"/>
            </w:rPr>
            <w:t>Click or tap here to enter text.</w:t>
          </w:r>
        </w:p>
      </w:docPartBody>
    </w:docPart>
    <w:docPart>
      <w:docPartPr>
        <w:name w:val="90D59EC0309643B092DBEE0BD11BDB03"/>
        <w:category>
          <w:name w:val="General"/>
          <w:gallery w:val="placeholder"/>
        </w:category>
        <w:types>
          <w:type w:val="bbPlcHdr"/>
        </w:types>
        <w:behaviors>
          <w:behavior w:val="content"/>
        </w:behaviors>
        <w:guid w:val="{30ABD730-2BF3-49ED-B04F-BA268EB5F232}"/>
      </w:docPartPr>
      <w:docPartBody>
        <w:p w:rsidR="007842A1" w:rsidRDefault="007842A1" w:rsidP="007842A1">
          <w:pPr>
            <w:pStyle w:val="90D59EC0309643B092DBEE0BD11BDB03"/>
          </w:pPr>
          <w:r w:rsidRPr="00E06FEC">
            <w:rPr>
              <w:rStyle w:val="PlaceholderText"/>
            </w:rPr>
            <w:t>Click or tap here to enter text.</w:t>
          </w:r>
        </w:p>
      </w:docPartBody>
    </w:docPart>
    <w:docPart>
      <w:docPartPr>
        <w:name w:val="C6CEE3CB60B94E859A6DC5E3B1C4067D"/>
        <w:category>
          <w:name w:val="General"/>
          <w:gallery w:val="placeholder"/>
        </w:category>
        <w:types>
          <w:type w:val="bbPlcHdr"/>
        </w:types>
        <w:behaviors>
          <w:behavior w:val="content"/>
        </w:behaviors>
        <w:guid w:val="{307A65F7-3ADA-42DC-9B4F-A7E888C6F2B5}"/>
      </w:docPartPr>
      <w:docPartBody>
        <w:p w:rsidR="007842A1" w:rsidRDefault="007842A1" w:rsidP="007842A1">
          <w:pPr>
            <w:pStyle w:val="C6CEE3CB60B94E859A6DC5E3B1C4067D"/>
          </w:pPr>
          <w:r w:rsidRPr="00E06FEC">
            <w:rPr>
              <w:rStyle w:val="PlaceholderText"/>
            </w:rPr>
            <w:t>Click or tap here to enter text.</w:t>
          </w:r>
        </w:p>
      </w:docPartBody>
    </w:docPart>
    <w:docPart>
      <w:docPartPr>
        <w:name w:val="05731AE2CBE44BCA9A8549F67D53C9D7"/>
        <w:category>
          <w:name w:val="General"/>
          <w:gallery w:val="placeholder"/>
        </w:category>
        <w:types>
          <w:type w:val="bbPlcHdr"/>
        </w:types>
        <w:behaviors>
          <w:behavior w:val="content"/>
        </w:behaviors>
        <w:guid w:val="{8269AE49-BC7B-45D3-A891-7E68F8863D14}"/>
      </w:docPartPr>
      <w:docPartBody>
        <w:p w:rsidR="007842A1" w:rsidRDefault="007842A1" w:rsidP="007842A1">
          <w:pPr>
            <w:pStyle w:val="05731AE2CBE44BCA9A8549F67D53C9D7"/>
          </w:pPr>
          <w:r w:rsidRPr="00E06FEC">
            <w:rPr>
              <w:rStyle w:val="PlaceholderText"/>
            </w:rPr>
            <w:t>Click or tap here to enter text.</w:t>
          </w:r>
        </w:p>
      </w:docPartBody>
    </w:docPart>
    <w:docPart>
      <w:docPartPr>
        <w:name w:val="5CDCC5C726994C4FB46955ECF3872851"/>
        <w:category>
          <w:name w:val="General"/>
          <w:gallery w:val="placeholder"/>
        </w:category>
        <w:types>
          <w:type w:val="bbPlcHdr"/>
        </w:types>
        <w:behaviors>
          <w:behavior w:val="content"/>
        </w:behaviors>
        <w:guid w:val="{1481A930-1AD4-439C-BCF3-301FBEE01694}"/>
      </w:docPartPr>
      <w:docPartBody>
        <w:p w:rsidR="007842A1" w:rsidRDefault="007842A1" w:rsidP="007842A1">
          <w:pPr>
            <w:pStyle w:val="5CDCC5C726994C4FB46955ECF3872851"/>
          </w:pPr>
          <w:r w:rsidRPr="00E06FEC">
            <w:rPr>
              <w:rStyle w:val="PlaceholderText"/>
            </w:rPr>
            <w:t>Click or tap here to enter text.</w:t>
          </w:r>
        </w:p>
      </w:docPartBody>
    </w:docPart>
    <w:docPart>
      <w:docPartPr>
        <w:name w:val="A25B3F1ACB874F5EAF59C26519809D57"/>
        <w:category>
          <w:name w:val="General"/>
          <w:gallery w:val="placeholder"/>
        </w:category>
        <w:types>
          <w:type w:val="bbPlcHdr"/>
        </w:types>
        <w:behaviors>
          <w:behavior w:val="content"/>
        </w:behaviors>
        <w:guid w:val="{B8D2418B-A244-48E1-909F-A2D93D837D5A}"/>
      </w:docPartPr>
      <w:docPartBody>
        <w:p w:rsidR="007842A1" w:rsidRDefault="007842A1" w:rsidP="007842A1">
          <w:pPr>
            <w:pStyle w:val="A25B3F1ACB874F5EAF59C26519809D57"/>
          </w:pPr>
          <w:r w:rsidRPr="00E06FEC">
            <w:rPr>
              <w:rStyle w:val="PlaceholderText"/>
            </w:rPr>
            <w:t>Click or tap here to enter text.</w:t>
          </w:r>
        </w:p>
      </w:docPartBody>
    </w:docPart>
    <w:docPart>
      <w:docPartPr>
        <w:name w:val="383A4341EB234820A52FB2B1AAC6A93A"/>
        <w:category>
          <w:name w:val="General"/>
          <w:gallery w:val="placeholder"/>
        </w:category>
        <w:types>
          <w:type w:val="bbPlcHdr"/>
        </w:types>
        <w:behaviors>
          <w:behavior w:val="content"/>
        </w:behaviors>
        <w:guid w:val="{094673C2-1BE9-4D7C-A711-F43E5521154B}"/>
      </w:docPartPr>
      <w:docPartBody>
        <w:p w:rsidR="007842A1" w:rsidRDefault="007842A1" w:rsidP="007842A1">
          <w:pPr>
            <w:pStyle w:val="383A4341EB234820A52FB2B1AAC6A93A"/>
          </w:pPr>
          <w:r w:rsidRPr="00E06FEC">
            <w:rPr>
              <w:rStyle w:val="PlaceholderText"/>
            </w:rPr>
            <w:t>Click or tap here to enter text.</w:t>
          </w:r>
        </w:p>
      </w:docPartBody>
    </w:docPart>
    <w:docPart>
      <w:docPartPr>
        <w:name w:val="E3CE73266AE8430297795F3E1E8B3974"/>
        <w:category>
          <w:name w:val="General"/>
          <w:gallery w:val="placeholder"/>
        </w:category>
        <w:types>
          <w:type w:val="bbPlcHdr"/>
        </w:types>
        <w:behaviors>
          <w:behavior w:val="content"/>
        </w:behaviors>
        <w:guid w:val="{0B0EFE42-75C9-48F8-AFDB-AAF95201151A}"/>
      </w:docPartPr>
      <w:docPartBody>
        <w:p w:rsidR="007842A1" w:rsidRDefault="007842A1" w:rsidP="007842A1">
          <w:pPr>
            <w:pStyle w:val="E3CE73266AE8430297795F3E1E8B3974"/>
          </w:pPr>
          <w:r w:rsidRPr="00E06FEC">
            <w:rPr>
              <w:rStyle w:val="PlaceholderText"/>
            </w:rPr>
            <w:t>Click or tap here to enter text.</w:t>
          </w:r>
        </w:p>
      </w:docPartBody>
    </w:docPart>
    <w:docPart>
      <w:docPartPr>
        <w:name w:val="A19BD0686721482197C7FB5327C12566"/>
        <w:category>
          <w:name w:val="General"/>
          <w:gallery w:val="placeholder"/>
        </w:category>
        <w:types>
          <w:type w:val="bbPlcHdr"/>
        </w:types>
        <w:behaviors>
          <w:behavior w:val="content"/>
        </w:behaviors>
        <w:guid w:val="{64BBDC43-41BB-47A4-BAC2-63235D40C028}"/>
      </w:docPartPr>
      <w:docPartBody>
        <w:p w:rsidR="007842A1" w:rsidRDefault="007842A1" w:rsidP="007842A1">
          <w:pPr>
            <w:pStyle w:val="A19BD0686721482197C7FB5327C12566"/>
          </w:pPr>
          <w:r w:rsidRPr="00E06FEC">
            <w:rPr>
              <w:rStyle w:val="PlaceholderText"/>
            </w:rPr>
            <w:t>Click or tap here to enter text.</w:t>
          </w:r>
        </w:p>
      </w:docPartBody>
    </w:docPart>
    <w:docPart>
      <w:docPartPr>
        <w:name w:val="7DBC24F4CD1C43C2B5B14B141555D8F9"/>
        <w:category>
          <w:name w:val="General"/>
          <w:gallery w:val="placeholder"/>
        </w:category>
        <w:types>
          <w:type w:val="bbPlcHdr"/>
        </w:types>
        <w:behaviors>
          <w:behavior w:val="content"/>
        </w:behaviors>
        <w:guid w:val="{7F1B56EF-1EB2-480E-B5BB-904AD37B9780}"/>
      </w:docPartPr>
      <w:docPartBody>
        <w:p w:rsidR="007842A1" w:rsidRDefault="007842A1" w:rsidP="007842A1">
          <w:pPr>
            <w:pStyle w:val="7DBC24F4CD1C43C2B5B14B141555D8F9"/>
          </w:pPr>
          <w:r w:rsidRPr="00E06FE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90B"/>
    <w:rsid w:val="000921F5"/>
    <w:rsid w:val="000A1360"/>
    <w:rsid w:val="000C41A8"/>
    <w:rsid w:val="00111E53"/>
    <w:rsid w:val="0013787C"/>
    <w:rsid w:val="001B0933"/>
    <w:rsid w:val="003B5059"/>
    <w:rsid w:val="005142D4"/>
    <w:rsid w:val="00557A32"/>
    <w:rsid w:val="005E190B"/>
    <w:rsid w:val="006C1994"/>
    <w:rsid w:val="006D08AD"/>
    <w:rsid w:val="006E6138"/>
    <w:rsid w:val="007842A1"/>
    <w:rsid w:val="00872C0E"/>
    <w:rsid w:val="008F1D9D"/>
    <w:rsid w:val="00915B84"/>
    <w:rsid w:val="00B61D37"/>
    <w:rsid w:val="00BA285C"/>
    <w:rsid w:val="00C546A9"/>
    <w:rsid w:val="00CB78F7"/>
    <w:rsid w:val="00CE5951"/>
    <w:rsid w:val="00D522BD"/>
    <w:rsid w:val="00D96BC4"/>
    <w:rsid w:val="00DF7279"/>
    <w:rsid w:val="00EC519A"/>
    <w:rsid w:val="00FD1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42A1"/>
    <w:rPr>
      <w:color w:val="666666"/>
    </w:rPr>
  </w:style>
  <w:style w:type="paragraph" w:customStyle="1" w:styleId="B4911CEBA69B734B9C51CE7118BB8F30">
    <w:name w:val="B4911CEBA69B734B9C51CE7118BB8F30"/>
    <w:rsid w:val="005E190B"/>
  </w:style>
  <w:style w:type="paragraph" w:customStyle="1" w:styleId="E948E43EFCBB0048932327627CD1EC95">
    <w:name w:val="E948E43EFCBB0048932327627CD1EC95"/>
    <w:rsid w:val="005E190B"/>
  </w:style>
  <w:style w:type="paragraph" w:customStyle="1" w:styleId="91AE5079046FA247ABBC37E741FB78DD">
    <w:name w:val="91AE5079046FA247ABBC37E741FB78DD"/>
    <w:rsid w:val="005E190B"/>
  </w:style>
  <w:style w:type="paragraph" w:customStyle="1" w:styleId="38D9BE5B2A536A468867F9A245F1C9D3">
    <w:name w:val="38D9BE5B2A536A468867F9A245F1C9D3"/>
    <w:rsid w:val="005E190B"/>
  </w:style>
  <w:style w:type="paragraph" w:customStyle="1" w:styleId="3871738A67F26644BB40965BEF15693E">
    <w:name w:val="3871738A67F26644BB40965BEF15693E"/>
    <w:rsid w:val="005E190B"/>
  </w:style>
  <w:style w:type="paragraph" w:customStyle="1" w:styleId="FAC8E92E5E95EB4794482FA3AA7CE77E">
    <w:name w:val="FAC8E92E5E95EB4794482FA3AA7CE77E"/>
    <w:rsid w:val="005E190B"/>
  </w:style>
  <w:style w:type="paragraph" w:customStyle="1" w:styleId="D5C218BA284BB14DA1D7172F76D370BC">
    <w:name w:val="D5C218BA284BB14DA1D7172F76D370BC"/>
    <w:rsid w:val="005E190B"/>
  </w:style>
  <w:style w:type="paragraph" w:customStyle="1" w:styleId="1A1FB72ACE2E2F419EA07104F6D9CB6A">
    <w:name w:val="1A1FB72ACE2E2F419EA07104F6D9CB6A"/>
    <w:rsid w:val="005E190B"/>
  </w:style>
  <w:style w:type="paragraph" w:customStyle="1" w:styleId="06C75614716D6140A4CFC41A3EB672F0">
    <w:name w:val="06C75614716D6140A4CFC41A3EB672F0"/>
    <w:rsid w:val="005E190B"/>
  </w:style>
  <w:style w:type="paragraph" w:customStyle="1" w:styleId="A4502AD3CF554945889EF270326494AE">
    <w:name w:val="A4502AD3CF554945889EF270326494AE"/>
    <w:rsid w:val="005E190B"/>
  </w:style>
  <w:style w:type="paragraph" w:customStyle="1" w:styleId="88166AD67CAF7040A23845506DCC548E">
    <w:name w:val="88166AD67CAF7040A23845506DCC548E"/>
    <w:rsid w:val="005E190B"/>
  </w:style>
  <w:style w:type="paragraph" w:customStyle="1" w:styleId="783419E79BF55741A78DDB9F315D30E7">
    <w:name w:val="783419E79BF55741A78DDB9F315D30E7"/>
    <w:rsid w:val="005E190B"/>
  </w:style>
  <w:style w:type="paragraph" w:customStyle="1" w:styleId="DF7C70C18BD001438A1BEC940192C86D">
    <w:name w:val="DF7C70C18BD001438A1BEC940192C86D"/>
    <w:rsid w:val="005E190B"/>
  </w:style>
  <w:style w:type="paragraph" w:customStyle="1" w:styleId="C1F9C3D52341EC4888AF53751F532724">
    <w:name w:val="C1F9C3D52341EC4888AF53751F532724"/>
    <w:rsid w:val="005E190B"/>
  </w:style>
  <w:style w:type="paragraph" w:customStyle="1" w:styleId="10385649CA98D740B9518E13433D34DC">
    <w:name w:val="10385649CA98D740B9518E13433D34DC"/>
    <w:rsid w:val="005E190B"/>
  </w:style>
  <w:style w:type="paragraph" w:customStyle="1" w:styleId="F40A1EB61D635243B42AE9583CA8F72E">
    <w:name w:val="F40A1EB61D635243B42AE9583CA8F72E"/>
    <w:rsid w:val="005E190B"/>
  </w:style>
  <w:style w:type="paragraph" w:customStyle="1" w:styleId="B6633B89CEFCE4489FE66321501EBD5A">
    <w:name w:val="B6633B89CEFCE4489FE66321501EBD5A"/>
    <w:rsid w:val="005E190B"/>
  </w:style>
  <w:style w:type="paragraph" w:customStyle="1" w:styleId="640E63EB2CE35C458E08854DFF5D58B1">
    <w:name w:val="640E63EB2CE35C458E08854DFF5D58B1"/>
    <w:rsid w:val="005E190B"/>
  </w:style>
  <w:style w:type="paragraph" w:customStyle="1" w:styleId="A57132CCF78E79489C7495D794991E53">
    <w:name w:val="A57132CCF78E79489C7495D794991E53"/>
    <w:rsid w:val="005E190B"/>
  </w:style>
  <w:style w:type="paragraph" w:customStyle="1" w:styleId="3FA6CF6A11B61D4FA36A259BA163745D">
    <w:name w:val="3FA6CF6A11B61D4FA36A259BA163745D"/>
    <w:rsid w:val="005E190B"/>
  </w:style>
  <w:style w:type="paragraph" w:customStyle="1" w:styleId="32CDB3F31106A647A1B72041DAF0B4E7">
    <w:name w:val="32CDB3F31106A647A1B72041DAF0B4E7"/>
    <w:rsid w:val="005E190B"/>
  </w:style>
  <w:style w:type="paragraph" w:customStyle="1" w:styleId="4BD4D700469B02418E39EECE4B2A18E4">
    <w:name w:val="4BD4D700469B02418E39EECE4B2A18E4"/>
    <w:rsid w:val="005E190B"/>
  </w:style>
  <w:style w:type="paragraph" w:customStyle="1" w:styleId="067D9013FD54FD40935DA52C91507618">
    <w:name w:val="067D9013FD54FD40935DA52C91507618"/>
    <w:rsid w:val="005E190B"/>
  </w:style>
  <w:style w:type="paragraph" w:customStyle="1" w:styleId="4DA42369001AA3449C90543756E52DE8">
    <w:name w:val="4DA42369001AA3449C90543756E52DE8"/>
    <w:rsid w:val="005E190B"/>
  </w:style>
  <w:style w:type="paragraph" w:customStyle="1" w:styleId="69623B51777C4BA086620A2BC72E59D9">
    <w:name w:val="69623B51777C4BA086620A2BC72E59D9"/>
    <w:rsid w:val="000A1360"/>
  </w:style>
  <w:style w:type="paragraph" w:customStyle="1" w:styleId="C4A891C4E28B44C58462BA395CA465B3">
    <w:name w:val="C4A891C4E28B44C58462BA395CA465B3"/>
    <w:rsid w:val="000A1360"/>
  </w:style>
  <w:style w:type="paragraph" w:customStyle="1" w:styleId="BC9003F8ED3845008AA438D239371415">
    <w:name w:val="BC9003F8ED3845008AA438D239371415"/>
    <w:rsid w:val="000A1360"/>
  </w:style>
  <w:style w:type="paragraph" w:customStyle="1" w:styleId="DD06081AD3D74171ABCAE80AA5D516BC">
    <w:name w:val="DD06081AD3D74171ABCAE80AA5D516BC"/>
    <w:rsid w:val="000A1360"/>
  </w:style>
  <w:style w:type="paragraph" w:customStyle="1" w:styleId="71180F39885B4449B2D92B8C0C581C31">
    <w:name w:val="71180F39885B4449B2D92B8C0C581C31"/>
    <w:rsid w:val="000A1360"/>
  </w:style>
  <w:style w:type="paragraph" w:customStyle="1" w:styleId="72ACEC66AF154B73AFCAD2A6DA8460F2">
    <w:name w:val="72ACEC66AF154B73AFCAD2A6DA8460F2"/>
    <w:rsid w:val="000A1360"/>
  </w:style>
  <w:style w:type="paragraph" w:customStyle="1" w:styleId="32265578DF214008AFBEB061C1518087">
    <w:name w:val="32265578DF214008AFBEB061C1518087"/>
    <w:rsid w:val="000A1360"/>
  </w:style>
  <w:style w:type="paragraph" w:customStyle="1" w:styleId="654CC5B17BFC4F0A8E3E1139E7ED9F49">
    <w:name w:val="654CC5B17BFC4F0A8E3E1139E7ED9F49"/>
    <w:rsid w:val="000A1360"/>
  </w:style>
  <w:style w:type="paragraph" w:customStyle="1" w:styleId="A4273FB4EBD24A4583D3835C50928BE9">
    <w:name w:val="A4273FB4EBD24A4583D3835C50928BE9"/>
    <w:rsid w:val="000A1360"/>
  </w:style>
  <w:style w:type="paragraph" w:customStyle="1" w:styleId="9EF954A767894239913A2CE2B59B13BA">
    <w:name w:val="9EF954A767894239913A2CE2B59B13BA"/>
    <w:rsid w:val="000A1360"/>
  </w:style>
  <w:style w:type="paragraph" w:customStyle="1" w:styleId="2E0A35E300D640AB8B8AA405B4AC1B73">
    <w:name w:val="2E0A35E300D640AB8B8AA405B4AC1B73"/>
    <w:rsid w:val="000A1360"/>
  </w:style>
  <w:style w:type="paragraph" w:customStyle="1" w:styleId="1559C91027EC4777A0F428085B7A46D9">
    <w:name w:val="1559C91027EC4777A0F428085B7A46D9"/>
    <w:rsid w:val="000A1360"/>
  </w:style>
  <w:style w:type="paragraph" w:customStyle="1" w:styleId="97000E6A1DDB470A8FE1309627587368">
    <w:name w:val="97000E6A1DDB470A8FE1309627587368"/>
    <w:rsid w:val="000A1360"/>
  </w:style>
  <w:style w:type="paragraph" w:customStyle="1" w:styleId="8CFB50A720DE420A8DEC880A27A2EFAB">
    <w:name w:val="8CFB50A720DE420A8DEC880A27A2EFAB"/>
    <w:rsid w:val="000A1360"/>
  </w:style>
  <w:style w:type="paragraph" w:customStyle="1" w:styleId="24249381EFBB423DB489AE672B9B2BD1">
    <w:name w:val="24249381EFBB423DB489AE672B9B2BD1"/>
    <w:rsid w:val="000A1360"/>
  </w:style>
  <w:style w:type="paragraph" w:customStyle="1" w:styleId="5846475EB77B440A984C19EECFDDB5EC">
    <w:name w:val="5846475EB77B440A984C19EECFDDB5EC"/>
    <w:rsid w:val="000A1360"/>
  </w:style>
  <w:style w:type="paragraph" w:customStyle="1" w:styleId="C9BF3A4FDA444A72884E59DEECEDD9B7">
    <w:name w:val="C9BF3A4FDA444A72884E59DEECEDD9B7"/>
    <w:rsid w:val="000A1360"/>
  </w:style>
  <w:style w:type="paragraph" w:customStyle="1" w:styleId="60C5F8338F9647E6B8BBA944F0DA612D">
    <w:name w:val="60C5F8338F9647E6B8BBA944F0DA612D"/>
    <w:rsid w:val="000A1360"/>
  </w:style>
  <w:style w:type="paragraph" w:customStyle="1" w:styleId="EE94898027364A8E87544E2C437F2871">
    <w:name w:val="EE94898027364A8E87544E2C437F2871"/>
    <w:rsid w:val="000A1360"/>
  </w:style>
  <w:style w:type="paragraph" w:customStyle="1" w:styleId="5081C72DE39841589042EA996661795F">
    <w:name w:val="5081C72DE39841589042EA996661795F"/>
    <w:rsid w:val="000A1360"/>
  </w:style>
  <w:style w:type="paragraph" w:customStyle="1" w:styleId="E61FCB211C9A495F8E84A3129428C319">
    <w:name w:val="E61FCB211C9A495F8E84A3129428C319"/>
    <w:rsid w:val="000A1360"/>
  </w:style>
  <w:style w:type="paragraph" w:customStyle="1" w:styleId="C27D04127B754E42ABF825404F96A756">
    <w:name w:val="C27D04127B754E42ABF825404F96A756"/>
    <w:rsid w:val="000A1360"/>
  </w:style>
  <w:style w:type="paragraph" w:customStyle="1" w:styleId="A2A0E31D2DC348BEB949E457E76278F1">
    <w:name w:val="A2A0E31D2DC348BEB949E457E76278F1"/>
    <w:rsid w:val="000A1360"/>
  </w:style>
  <w:style w:type="paragraph" w:customStyle="1" w:styleId="4AE2097CF6404BB0BA1A7916D933ACAF">
    <w:name w:val="4AE2097CF6404BB0BA1A7916D933ACAF"/>
    <w:rsid w:val="000A1360"/>
  </w:style>
  <w:style w:type="paragraph" w:customStyle="1" w:styleId="B0B8A0F2F8194191B1E3B71C200299B3">
    <w:name w:val="B0B8A0F2F8194191B1E3B71C200299B3"/>
    <w:rsid w:val="000A1360"/>
  </w:style>
  <w:style w:type="paragraph" w:customStyle="1" w:styleId="26AE7B969E074255A376F4AF5BE4535F">
    <w:name w:val="26AE7B969E074255A376F4AF5BE4535F"/>
    <w:rsid w:val="007842A1"/>
  </w:style>
  <w:style w:type="paragraph" w:customStyle="1" w:styleId="9BACF06DD71F459BAA9ED1EA6DAE1FF7">
    <w:name w:val="9BACF06DD71F459BAA9ED1EA6DAE1FF7"/>
    <w:rsid w:val="007842A1"/>
  </w:style>
  <w:style w:type="paragraph" w:customStyle="1" w:styleId="7C2CB457BEF04A34869BF10F42B85AD2">
    <w:name w:val="7C2CB457BEF04A34869BF10F42B85AD2"/>
    <w:rsid w:val="007842A1"/>
  </w:style>
  <w:style w:type="paragraph" w:customStyle="1" w:styleId="C76A03022FD54B9B9021C66AA32B4443">
    <w:name w:val="C76A03022FD54B9B9021C66AA32B4443"/>
    <w:rsid w:val="007842A1"/>
  </w:style>
  <w:style w:type="paragraph" w:customStyle="1" w:styleId="A783323BBAD44D1A821DAAA5564523CB">
    <w:name w:val="A783323BBAD44D1A821DAAA5564523CB"/>
    <w:rsid w:val="007842A1"/>
  </w:style>
  <w:style w:type="paragraph" w:customStyle="1" w:styleId="AB5E377CA2D44CB3AC4300A4F39AC600">
    <w:name w:val="AB5E377CA2D44CB3AC4300A4F39AC600"/>
    <w:rsid w:val="007842A1"/>
  </w:style>
  <w:style w:type="paragraph" w:customStyle="1" w:styleId="D7F9B0572DBC452990801528407531C9">
    <w:name w:val="D7F9B0572DBC452990801528407531C9"/>
    <w:rsid w:val="007842A1"/>
  </w:style>
  <w:style w:type="paragraph" w:customStyle="1" w:styleId="815CC93E304E45059BF8F9337ECE71FF">
    <w:name w:val="815CC93E304E45059BF8F9337ECE71FF"/>
    <w:rsid w:val="007842A1"/>
  </w:style>
  <w:style w:type="paragraph" w:customStyle="1" w:styleId="FEE93E19D7344919B6D6517941E231B0">
    <w:name w:val="FEE93E19D7344919B6D6517941E231B0"/>
    <w:rsid w:val="007842A1"/>
  </w:style>
  <w:style w:type="paragraph" w:customStyle="1" w:styleId="4838C9DB7D074D418BFCBE341C0E3CA6">
    <w:name w:val="4838C9DB7D074D418BFCBE341C0E3CA6"/>
    <w:rsid w:val="007842A1"/>
  </w:style>
  <w:style w:type="paragraph" w:customStyle="1" w:styleId="262B8AA6F0A34140B93310913159A08F">
    <w:name w:val="262B8AA6F0A34140B93310913159A08F"/>
    <w:rsid w:val="007842A1"/>
  </w:style>
  <w:style w:type="paragraph" w:customStyle="1" w:styleId="C1A0BC2249A145FBBB6A62165E64BB0B">
    <w:name w:val="C1A0BC2249A145FBBB6A62165E64BB0B"/>
    <w:rsid w:val="007842A1"/>
  </w:style>
  <w:style w:type="paragraph" w:customStyle="1" w:styleId="2440911FCF4341849AFB6324093855EB">
    <w:name w:val="2440911FCF4341849AFB6324093855EB"/>
    <w:rsid w:val="007842A1"/>
  </w:style>
  <w:style w:type="paragraph" w:customStyle="1" w:styleId="9D85636738AB4A488387CAE5BA0D187E">
    <w:name w:val="9D85636738AB4A488387CAE5BA0D187E"/>
    <w:rsid w:val="007842A1"/>
  </w:style>
  <w:style w:type="paragraph" w:customStyle="1" w:styleId="1719D996AE344E97AA47511CDABB0F89">
    <w:name w:val="1719D996AE344E97AA47511CDABB0F89"/>
    <w:rsid w:val="007842A1"/>
  </w:style>
  <w:style w:type="paragraph" w:customStyle="1" w:styleId="826A811A651C4A53AFC18E17732ACB9E">
    <w:name w:val="826A811A651C4A53AFC18E17732ACB9E"/>
    <w:rsid w:val="007842A1"/>
  </w:style>
  <w:style w:type="paragraph" w:customStyle="1" w:styleId="0F4EA1311A904595B7145B515945434A">
    <w:name w:val="0F4EA1311A904595B7145B515945434A"/>
    <w:rsid w:val="007842A1"/>
  </w:style>
  <w:style w:type="paragraph" w:customStyle="1" w:styleId="ADCFB543CDDF4A8BA07AE611AFBD88B1">
    <w:name w:val="ADCFB543CDDF4A8BA07AE611AFBD88B1"/>
    <w:rsid w:val="007842A1"/>
  </w:style>
  <w:style w:type="paragraph" w:customStyle="1" w:styleId="7C0CBD7B37F64459B0DD3FC48A0488B2">
    <w:name w:val="7C0CBD7B37F64459B0DD3FC48A0488B2"/>
    <w:rsid w:val="007842A1"/>
  </w:style>
  <w:style w:type="paragraph" w:customStyle="1" w:styleId="30F2A2370AD24526A3556EB4DA89549B">
    <w:name w:val="30F2A2370AD24526A3556EB4DA89549B"/>
    <w:rsid w:val="007842A1"/>
  </w:style>
  <w:style w:type="paragraph" w:customStyle="1" w:styleId="018E281CDF8541A58BC3E66EA3B0B8E4">
    <w:name w:val="018E281CDF8541A58BC3E66EA3B0B8E4"/>
    <w:rsid w:val="007842A1"/>
  </w:style>
  <w:style w:type="paragraph" w:customStyle="1" w:styleId="D8C2669476204D9B9F1334FD96B17885">
    <w:name w:val="D8C2669476204D9B9F1334FD96B17885"/>
    <w:rsid w:val="007842A1"/>
  </w:style>
  <w:style w:type="paragraph" w:customStyle="1" w:styleId="6E332DD3A82E4F09830B74C0A287EA0D">
    <w:name w:val="6E332DD3A82E4F09830B74C0A287EA0D"/>
    <w:rsid w:val="007842A1"/>
  </w:style>
  <w:style w:type="paragraph" w:customStyle="1" w:styleId="6D93D839B45E47F7BD15C5C0D1E235AB">
    <w:name w:val="6D93D839B45E47F7BD15C5C0D1E235AB"/>
    <w:rsid w:val="007842A1"/>
  </w:style>
  <w:style w:type="paragraph" w:customStyle="1" w:styleId="793ABAAD81EB44E49C95FE3A1CB15A91">
    <w:name w:val="793ABAAD81EB44E49C95FE3A1CB15A91"/>
    <w:rsid w:val="007842A1"/>
  </w:style>
  <w:style w:type="paragraph" w:customStyle="1" w:styleId="0020F80FB8194713A91DE5B8FD37E3FC">
    <w:name w:val="0020F80FB8194713A91DE5B8FD37E3FC"/>
    <w:rsid w:val="007842A1"/>
  </w:style>
  <w:style w:type="paragraph" w:customStyle="1" w:styleId="AFF18572186D431EA330730C6087E465">
    <w:name w:val="AFF18572186D431EA330730C6087E465"/>
    <w:rsid w:val="007842A1"/>
  </w:style>
  <w:style w:type="paragraph" w:customStyle="1" w:styleId="BD92850995544EB2BB1823C025C486FB">
    <w:name w:val="BD92850995544EB2BB1823C025C486FB"/>
    <w:rsid w:val="007842A1"/>
  </w:style>
  <w:style w:type="paragraph" w:customStyle="1" w:styleId="8BC366C50D0C45E4997343CBD1B78B5A">
    <w:name w:val="8BC366C50D0C45E4997343CBD1B78B5A"/>
    <w:rsid w:val="007842A1"/>
  </w:style>
  <w:style w:type="paragraph" w:customStyle="1" w:styleId="998349FE8C454FA5B48580B99F55DAA3">
    <w:name w:val="998349FE8C454FA5B48580B99F55DAA3"/>
    <w:rsid w:val="007842A1"/>
  </w:style>
  <w:style w:type="paragraph" w:customStyle="1" w:styleId="20BE406F02F442F9BCC09F504F4C01BC">
    <w:name w:val="20BE406F02F442F9BCC09F504F4C01BC"/>
    <w:rsid w:val="007842A1"/>
  </w:style>
  <w:style w:type="paragraph" w:customStyle="1" w:styleId="35334A7A521C49A99F709737C8B77BC7">
    <w:name w:val="35334A7A521C49A99F709737C8B77BC7"/>
    <w:rsid w:val="007842A1"/>
  </w:style>
  <w:style w:type="paragraph" w:customStyle="1" w:styleId="46EC69D49F1C4A548D840E8F1F45D6D3">
    <w:name w:val="46EC69D49F1C4A548D840E8F1F45D6D3"/>
    <w:rsid w:val="007842A1"/>
  </w:style>
  <w:style w:type="paragraph" w:customStyle="1" w:styleId="90D59EC0309643B092DBEE0BD11BDB03">
    <w:name w:val="90D59EC0309643B092DBEE0BD11BDB03"/>
    <w:rsid w:val="007842A1"/>
  </w:style>
  <w:style w:type="paragraph" w:customStyle="1" w:styleId="C6CEE3CB60B94E859A6DC5E3B1C4067D">
    <w:name w:val="C6CEE3CB60B94E859A6DC5E3B1C4067D"/>
    <w:rsid w:val="007842A1"/>
  </w:style>
  <w:style w:type="paragraph" w:customStyle="1" w:styleId="05731AE2CBE44BCA9A8549F67D53C9D7">
    <w:name w:val="05731AE2CBE44BCA9A8549F67D53C9D7"/>
    <w:rsid w:val="007842A1"/>
  </w:style>
  <w:style w:type="paragraph" w:customStyle="1" w:styleId="5CDCC5C726994C4FB46955ECF3872851">
    <w:name w:val="5CDCC5C726994C4FB46955ECF3872851"/>
    <w:rsid w:val="007842A1"/>
  </w:style>
  <w:style w:type="paragraph" w:customStyle="1" w:styleId="A25B3F1ACB874F5EAF59C26519809D57">
    <w:name w:val="A25B3F1ACB874F5EAF59C26519809D57"/>
    <w:rsid w:val="007842A1"/>
  </w:style>
  <w:style w:type="paragraph" w:customStyle="1" w:styleId="383A4341EB234820A52FB2B1AAC6A93A">
    <w:name w:val="383A4341EB234820A52FB2B1AAC6A93A"/>
    <w:rsid w:val="007842A1"/>
  </w:style>
  <w:style w:type="paragraph" w:customStyle="1" w:styleId="E3CE73266AE8430297795F3E1E8B3974">
    <w:name w:val="E3CE73266AE8430297795F3E1E8B3974"/>
    <w:rsid w:val="007842A1"/>
  </w:style>
  <w:style w:type="paragraph" w:customStyle="1" w:styleId="A19BD0686721482197C7FB5327C12566">
    <w:name w:val="A19BD0686721482197C7FB5327C12566"/>
    <w:rsid w:val="007842A1"/>
  </w:style>
  <w:style w:type="paragraph" w:customStyle="1" w:styleId="79CF7718843343F7A9CC735487545E32">
    <w:name w:val="79CF7718843343F7A9CC735487545E32"/>
    <w:rsid w:val="007842A1"/>
  </w:style>
  <w:style w:type="paragraph" w:customStyle="1" w:styleId="7DBC24F4CD1C43C2B5B14B141555D8F9">
    <w:name w:val="7DBC24F4CD1C43C2B5B14B141555D8F9"/>
    <w:rsid w:val="007842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C03BC87-C8E6-764F-867C-82607927FBAD}">
  <we:reference id="wa104382081" version="1.55.1.0" store="en-US" storeType="OMEX"/>
  <we:alternateReferences>
    <we:reference id="wa104382081" version="1.55.1.0" store="en-US" storeType="OMEX"/>
  </we:alternateReferences>
  <we:properties>
    <we:property name="MENDELEY_CITATIONS" value="[{&quot;citationID&quot;:&quot;MENDELEY_CITATION_7d444b5a-5316-414b-9815-1e5d7b51747a&quot;,&quot;properties&quot;:{&quot;noteIndex&quot;:0},&quot;isEdited&quot;:false,&quot;manualOverride&quot;:{&quot;isManuallyOverridden&quot;:false,&quot;citeprocText&quot;:&quot;[1,2]&quot;,&quot;manualOverrideText&quot;:&quot;&quot;},&quot;citationTag&quot;:&quot;MENDELEY_CITATION_v3_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&quot;,&quot;citationItems&quot;:[{&quot;id&quot;:&quot;a9be3ac6-3cd4-34d4-9032-4aade0b51d13&quot;,&quot;itemData&quot;:{&quot;type&quot;:&quot;webpage&quot;,&quot;id&quot;:&quot;a9be3ac6-3cd4-34d4-9032-4aade0b51d13&quot;,&quot;title&quot;:&quot;Chronic obstructive pulmonary disease (COPD)&quot;,&quot;author&quot;:[{&quot;family&quot;:&quot;World Health Organization&quot;,&quot;given&quot;:&quot;&quot;,&quot;parse-names&quot;:false,&quot;dropping-particle&quot;:&quot;&quot;,&quot;non-dropping-particle&quot;:&quot;&quot;}],&quot;accessed&quot;:{&quot;date-parts&quot;:[[2025,5,10]]},&quot;URL&quot;:&quot;https://www.who.int/news-room/fact-sheets/detail/chronic-obstructive-pulmonary-disease-(copd)&quot;,&quot;container-title-short&quot;:&quot;&quot;},&quot;isTemporary&quot;:false},{&quot;id&quot;:&quot;3c00f3b6-9628-3033-9567-78c987be2fcf&quot;,&quot;itemData&quot;:{&quot;type&quot;:&quot;article-journal&quot;,&quot;id&quot;:&quot;3c00f3b6-9628-3033-9567-78c987be2fcf&quot;,&quot;title&quot;:&quot;Morbidity and Mortality Weekly Report Chronic Obstructive Pulmonary Disease Mortality by Industry and Occupation-United States, 2020&quot;,&quot;author&quot;:[{&quot;family&quot;:&quot;Syamlal&quot;,&quot;given&quot;:&quot;Girija&quot;,&quot;parse-names&quot;:false,&quot;dropping-particle&quot;:&quot;&quot;,&quot;non-dropping-particle&quot;:&quot;&quot;},{&quot;family&quot;:&quot;Kurth&quot;,&quot;given&quot;:&quot;Laura M&quot;,&quot;parse-names&quot;:false,&quot;dropping-particle&quot;:&quot;&quot;,&quot;non-dropping-particle&quot;:&quot;&quot;},{&quot;family&quot;:&quot;Dodd&quot;,&quot;given&quot;:&quot;Katelynn E&quot;,&quot;parse-names&quot;:false,&quot;dropping-particle&quot;:&quot;&quot;,&quot;non-dropping-particle&quot;:&quot;&quot;},{&quot;family&quot;:&quot;David&quot;,&quot;given&quot;:&quot;;&quot;,&quot;parse-names&quot;:false,&quot;dropping-particle&quot;:&quot;&quot;,&quot;non-dropping-particle&quot;:&quot;&quot;},{&quot;family&quot;:&quot;Blackley&quot;,&quot;given&quot;:&quot;J&quot;,&quot;parse-names&quot;:false,&quot;dropping-particle&quot;:&quot;&quot;,&quot;non-dropping-particle&quot;:&quot;&quot;},{&quot;family&quot;:&quot;Hall&quot;,&quot;given&quot;:&quot;Noemi B&quot;,&quot;parse-names&quot;:false,&quot;dropping-particle&quot;:&quot;&quot;,&quot;non-dropping-particle&quot;:&quot;&quot;},{&quot;family&quot;:&quot;Mazurek&quot;,&quot;given&quot;:&quot;Jacek M&quot;,&quot;parse-names&quot;:false,&quot;dropping-particle&quot;:&quot;&quot;,&quot;non-dropping-particle&quot;:&quot;&quot;}],&quot;accessed&quot;:{&quot;date-parts&quot;:[[2024,5,4]]},&quot;URL&quot;:&quot;https://www.cdc.gov/nchs/data/dvs/Industry-and-Occupation-&quot;,&quot;container-title-short&quot;:&quot;&quot;},&quot;isTemporary&quot;:false}]},{&quot;citationID&quot;:&quot;MENDELEY_CITATION_c71342c5-44d8-429a-87b6-44b5c07e6388&quot;,&quot;properties&quot;:{&quot;noteIndex&quot;:0},&quot;isEdited&quot;:false,&quot;manualOverride&quot;:{&quot;isManuallyOverridden&quot;:false,&quot;citeprocText&quot;:&quot;[1,3]&quot;,&quot;manualOverrideText&quot;:&quot;&quot;},&quot;citationTag&quot;:&quot;MENDELEY_CITATION_v3_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&quot;,&quot;citationItems&quot;:[{&quot;id&quot;:&quot;d91c2a48-0b53-3583-bc0e-0a62f1fba2c4&quot;,&quot;itemData&quot;:{&quot;type&quot;:&quot;article-journal&quot;,&quot;id&quot;:&quot;d91c2a48-0b53-3583-bc0e-0a62f1fba2c4&quot;,&quot;title&quot;:&quot;Burden of chronic obstructive pulmonary disease and its attributable risk factors in 204 countries and territories, 1990-2019: results from the Global Burden of Disease Study 2019&quot;,&quot;author&quot;:[{&quot;family&quot;:&quot;Safiri&quot;,&quot;given&quot;:&quot;Saeid&quot;,&quot;parse-names&quot;:false,&quot;dropping-particle&quot;:&quot;&quot;,&quot;non-dropping-particle&quot;:&quot;&quot;},{&quot;family&quot;:&quot;Carson-Chahhoud&quot;,&quot;given&quot;:&quot;Kristin&quot;,&quot;parse-names&quot;:false,&quot;dropping-particle&quot;:&quot;&quot;,&quot;non-dropping-particle&quot;:&quot;&quot;},{&quot;family&quot;:&quot;Noori&quot;,&quot;given&quot;:&quot;Maryam&quot;,&quot;parse-names&quot;:false,&quot;dropping-particle&quot;:&quot;&quot;,&quot;non-dropping-particle&quot;:&quot;&quot;},{&quot;family&quot;:&quot;Nejadghaderi&quot;,&quot;given&quot;:&quot;Seyed Aria&quot;,&quot;parse-names&quot;:false,&quot;dropping-particle&quot;:&quot;&quot;,&quot;non-dropping-particle&quot;:&quot;&quot;},{&quot;family&quot;:&quot;Sullman&quot;,&quot;given&quot;:&quot;Mark J.M.&quot;,&quot;parse-names&quot;:false,&quot;dropping-particle&quot;:&quot;&quot;,&quot;non-dropping-particle&quot;:&quot;&quot;},{&quot;family&quot;:&quot;Ahmadian Heris&quot;,&quot;given&quot;:&quot;Javad&quot;,&quot;parse-names&quot;:false,&quot;dropping-particle&quot;:&quot;&quot;,&quot;non-dropping-particle&quot;:&quot;&quot;},{&quot;family&quot;:&quot;Ansarin&quot;,&quot;given&quot;:&quot;Khalil&quot;,&quot;parse-names&quot;:false,&quot;dropping-particle&quot;:&quot;&quot;,&quot;non-dropping-particle&quot;:&quot;&quot;},{&quot;family&quot;:&quot;Mansournia&quot;,&quot;given&quot;:&quot;Mohammad Ali&quot;,&quot;parse-names&quot;:false,&quot;dropping-particle&quot;:&quot;&quot;,&quot;non-dropping-particle&quot;:&quot;&quot;},{&quot;family&quot;:&quot;Collins&quot;,&quot;given&quot;:&quot;Gary S.&quot;,&quot;parse-names&quot;:false,&quot;dropping-particle&quot;:&quot;&quot;,&quot;non-dropping-particle&quot;:&quot;&quot;},{&quot;family&quot;:&quot;Kolahi&quot;,&quot;given&quot;:&quot;Ali Asghar&quot;,&quot;parse-names&quot;:false,&quot;dropping-particle&quot;:&quot;&quot;,&quot;non-dropping-particle&quot;:&quot;&quot;},{&quot;family&quot;:&quot;Kaufman&quot;,&quot;given&quot;:&quot;Jay S.&quot;,&quot;parse-names&quot;:false,&quot;dropping-particle&quot;:&quot;&quot;,&quot;non-dropping-particle&quot;:&quot;&quot;}],&quot;container-title&quot;:&quot;BMJ&quot;,&quot;accessed&quot;:{&quot;date-parts&quot;:[[2024,7,4]]},&quot;DOI&quot;:&quot;10.1136/BMJ-2021-069679&quot;,&quot;ISSN&quot;:&quot;1756-1833&quot;,&quot;PMID&quot;:&quot;35896191&quot;,&quot;URL&quot;:&quot;https://www.bmj.com/content/378/bmj-2021-069679&quot;,&quot;issued&quot;:{&quot;date-parts&quot;:[[2022,7,27]]},&quot;abstract&quot;:&quot;Objective To report the global, regional, and national burden of chronic obstructive pulmonary disease (COPD) and its attributable risk factors between 1990 and 2019, by age, sex, and sociodemographic index.\n\nDesign Systematic analysis.\n\nData source Global Burden of Disease Study 2019.\n\nMain outcome measures Data on the prevalence, deaths, and disability adjusted life years (DALYs) of COPD, and its attributable risk factors, were retrieved from the Global Burden of Disease 2019 project for 204 countries and territories, between 1990 and 2019. The counts and rates per 100 000 population, along with 95% uncertainty intervals, were presented for each estimate.\n\nResults In 2019, 212.3 million prevalent cases of COPD were reported globally, with COPD accounting for 3.3 million deaths and 74.4 million DALYs. The global age standardised point prevalence, death, and DALY rates for COPD were 2638.2 (95% uncertainty intervals 2492.2 to 2796.1), 42.5 (37.6 to 46.3), and 926.1 (848.8 to 997.7) per 100 000 population, which were 8.7%, 41.7%, and 39.8% lower than in 1990, respectively. In 2019, Denmark (4299.5), Myanmar (3963.7), and Belgium (3927.7) had the highest age standardised point prevalence of COPD. Egypt (62.0%), Georgia (54.9%), and Nicaragua (51.6%) showed the largest increases in age standardised point prevalence across the study period. In 2019, Nepal (182.5) and Japan (7.4) had the highest and lowest age standardised death rates per 100 000, respectively, and Nepal (3318.4) and Barbados (177.7) had the highest and lowest age standardised DALY rates per 100 000, respectively. In men, the global DALY rate of COPD increased up to age 85-89 years and then decreased with advancing age, whereas for women the rate increased up to the oldest age group (≥95 years). Regionally, an overall reversed V shaped association was found between sociodemographic index and the age standardised DALY rate of COPD. Factors contributing most to the DALYs rates for COPD were smoking (46.0%), pollution from ambient particulate matter (20.7%), and occupational exposure to particulate matter, gases, and fumes (15.6%).\n\nConclusions Despite the decreasing burden of COPD, this disease remains a major public health problem, especially in countries with a low sociodemographic index. Preventive programmes should focus on smoking cessation, improving air quality, and reducing occupational exposures to further reduce the burden of COPD.\n\nThe data used for the analyses in the study are publicly available at &lt;https://ghdx.healthdata.org/gbd-results-tool&gt;.&quot;,&quot;publisher&quot;:&quot;British Medical Journal Publishing Group&quot;,&quot;volume&quot;:&quot;378&quot;,&quot;container-title-short&quot;:&quot;&quot;},&quot;isTemporary&quot;:false},{&quot;id&quot;:&quot;a9be3ac6-3cd4-34d4-9032-4aade0b51d13&quot;,&quot;itemData&quot;:{&quot;type&quot;:&quot;webpage&quot;,&quot;id&quot;:&quot;a9be3ac6-3cd4-34d4-9032-4aade0b51d13&quot;,&quot;title&quot;:&quot;Chronic obstructive pulmonary disease (COPD)&quot;,&quot;author&quot;:[{&quot;family&quot;:&quot;World Health Organization&quot;,&quot;given&quot;:&quot;&quot;,&quot;parse-names&quot;:false,&quot;dropping-particle&quot;:&quot;&quot;,&quot;non-dropping-particle&quot;:&quot;&quot;}],&quot;accessed&quot;:{&quot;date-parts&quot;:[[2025,5,10]]},&quot;URL&quot;:&quot;https://www.who.int/news-room/fact-sheets/detail/chronic-obstructive-pulmonary-disease-(copd)&quot;,&quot;container-title-short&quot;:&quot;&quot;},&quot;isTemporary&quot;:false}]},{&quot;citationID&quot;:&quot;MENDELEY_CITATION_a3830476-a63f-46c9-92be-afec64f64d70&quot;,&quot;properties&quot;:{&quot;noteIndex&quot;:0},&quot;isEdited&quot;:false,&quot;manualOverride&quot;:{&quot;isManuallyOverridden&quot;:false,&quot;citeprocText&quot;:&quot;[2,4]&quot;,&quot;manualOverrideText&quot;:&quot;&quot;},&quot;citationTag&quot;:&quot;MENDELEY_CITATION_v3_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&quot;,&quot;citationItems&quot;:[{&quot;id&quot;:&quot;3c00f3b6-9628-3033-9567-78c987be2fcf&quot;,&quot;itemData&quot;:{&quot;type&quot;:&quot;article-journal&quot;,&quot;id&quot;:&quot;3c00f3b6-9628-3033-9567-78c987be2fcf&quot;,&quot;title&quot;:&quot;Morbidity and Mortality Weekly Report Chronic Obstructive Pulmonary Disease Mortality by Industry and Occupation-United States, 2020&quot;,&quot;author&quot;:[{&quot;family&quot;:&quot;Syamlal&quot;,&quot;given&quot;:&quot;Girija&quot;,&quot;parse-names&quot;:false,&quot;dropping-particle&quot;:&quot;&quot;,&quot;non-dropping-particle&quot;:&quot;&quot;},{&quot;family&quot;:&quot;Kurth&quot;,&quot;given&quot;:&quot;Laura M&quot;,&quot;parse-names&quot;:false,&quot;dropping-particle&quot;:&quot;&quot;,&quot;non-dropping-particle&quot;:&quot;&quot;},{&quot;family&quot;:&quot;Dodd&quot;,&quot;given&quot;:&quot;Katelynn E&quot;,&quot;parse-names&quot;:false,&quot;dropping-particle&quot;:&quot;&quot;,&quot;non-dropping-particle&quot;:&quot;&quot;},{&quot;family&quot;:&quot;David&quot;,&quot;given&quot;:&quot;;&quot;,&quot;parse-names&quot;:false,&quot;dropping-particle&quot;:&quot;&quot;,&quot;non-dropping-particle&quot;:&quot;&quot;},{&quot;family&quot;:&quot;Blackley&quot;,&quot;given&quot;:&quot;J&quot;,&quot;parse-names&quot;:false,&quot;dropping-particle&quot;:&quot;&quot;,&quot;non-dropping-particle&quot;:&quot;&quot;},{&quot;family&quot;:&quot;Hall&quot;,&quot;given&quot;:&quot;Noemi B&quot;,&quot;parse-names&quot;:false,&quot;dropping-particle&quot;:&quot;&quot;,&quot;non-dropping-particle&quot;:&quot;&quot;},{&quot;family&quot;:&quot;Mazurek&quot;,&quot;given&quot;:&quot;Jacek M&quot;,&quot;parse-names&quot;:false,&quot;dropping-particle&quot;:&quot;&quot;,&quot;non-dropping-particle&quot;:&quot;&quot;}],&quot;accessed&quot;:{&quot;date-parts&quot;:[[2024,5,4]]},&quot;URL&quot;:&quot;https://www.cdc.gov/nchs/data/dvs/Industry-and-Occupation-&quot;,&quot;container-title-short&quot;:&quot;&quot;},&quot;isTemporary&quot;:false},{&quot;id&quot;:&quot;4a66e3c3-580e-3af8-91d2-c4eb6b2c00f5&quot;,&quot;itemData&quot;:{&quot;type&quot;:&quot;article-journal&quot;,&quot;id&quot;:&quot;4a66e3c3-580e-3af8-91d2-c4eb6b2c00f5&quot;,&quot;title&quot;:&quot;Chronic Obstructive Pulmonary Disease and Smoking Status — United States, 2017&quot;,&quot;author&quot;:[{&quot;family&quot;:&quot;Wheaton&quot;,&quot;given&quot;:&quot;Anne G.&quot;,&quot;parse-names&quot;:false,&quot;dropping-particle&quot;:&quot;&quot;,&quot;non-dropping-particle&quot;:&quot;&quot;},{&quot;family&quot;:&quot;Liu&quot;,&quot;given&quot;:&quot;Yong&quot;,&quot;parse-names&quot;:false,&quot;dropping-particle&quot;:&quot;&quot;,&quot;non-dropping-particle&quot;:&quot;&quot;},{&quot;family&quot;:&quot;Croft&quot;,&quot;given&quot;:&quot;Janet B.&quot;,&quot;parse-names&quot;:false,&quot;dropping-particle&quot;:&quot;&quot;,&quot;non-dropping-particle&quot;:&quot;&quot;},{&quot;family&quot;:&quot;VanFrank&quot;,&quot;given&quot;:&quot;Brenna&quot;,&quot;parse-names&quot;:false,&quot;dropping-particle&quot;:&quot;&quot;,&quot;non-dropping-particle&quot;:&quot;&quot;},{&quot;family&quot;:&quot;Croxton&quot;,&quot;given&quot;:&quot;Thomas L.&quot;,&quot;parse-names&quot;:false,&quot;dropping-particle&quot;:&quot;&quot;,&quot;non-dropping-particle&quot;:&quot;&quot;},{&quot;family&quot;:&quot;Punturieri&quot;,&quot;given&quot;:&quot;Antonello&quot;,&quot;parse-names&quot;:false,&quot;dropping-particle&quot;:&quot;&quot;,&quot;non-dropping-particle&quot;:&quot;&quot;},{&quot;family&quot;:&quot;Postow&quot;,&quot;given&quot;:&quot;Lisa&quot;,&quot;parse-names&quot;:false,&quot;dropping-particle&quot;:&quot;&quot;,&quot;non-dropping-particle&quot;:&quot;&quot;},{&quot;family&quot;:&quot;Greenlund&quot;,&quot;given&quot;:&quot;Kurt J.&quot;,&quot;parse-names&quot;:false,&quot;dropping-particle&quot;:&quot;&quot;,&quot;non-dropping-particle&quot;:&quot;&quot;}],&quot;container-title&quot;:&quot;MMWR. Morbidity and Mortality Weekly Report&quot;,&quot;container-title-short&quot;:&quot;MMWR Morb Mortal Wkly Rep&quot;,&quot;accessed&quot;:{&quot;date-parts&quot;:[[2020,12,7]]},&quot;DOI&quot;:&quot;10.15585/mmwr.mm6824a1&quot;,&quot;ISSN&quot;:&quot;0149-2195&quot;,&quot;PMID&quot;:&quot;31220055&quot;,&quot;URL&quot;:&quot;https://www.ncbi.nlm.nih.gov/pmc/articles/PMC6586372/&quot;,&quot;issued&quot;:{&quot;date-parts&quot;:[[2019,6,21]]},&quot;page&quot;:&quot;533-538&quot;,&quot;abstract&quot;:&quot;Cigarette smoking is the leading cause of chronic obstructive pulmonary disease (COPD) in the United States; however, an estimated one fourth of adults with COPD have never smoked (1). CDC analyzed state-specific Behavioral Risk Factor Surveillance System (BRFSS) data from 2017, which indicated that, overall among U.S. adults, 6.2% (age-adjusted) reported having been told by a health care professional that they had COPD. The age-adjusted prevalence of COPD was 15.2% among current cigarette smokers, 7.6% among former smokers, and 2.8% among adults who had never smoked. Higher prevalences of COPD were observed in southeastern and Appalachian states, regardless of smoking status of respondents. Whereas the strong positive correlation between state prevalence of COPD and state prevalence of current smoking was expected among current and former smokers, a similar relationship among adults who had never smoked suggests secondhand smoke exposure as a potential risk factor for COPD. Continued promotion of smoke-free environments might reduce COPD among both those who smoke and those who do not.&quot;,&quot;publisher&quot;:&quot;Centers for Disease Control MMWR Office&quot;,&quot;issue&quot;:&quot;24&quot;,&quot;volume&quot;:&quot;68&quot;},&quot;isTemporary&quot;:false}]},{&quot;citationID&quot;:&quot;MENDELEY_CITATION_7ec268bf-7af6-4569-979e-a4358c0bf3a1&quot;,&quot;properties&quot;:{&quot;noteIndex&quot;:0},&quot;isEdited&quot;:false,&quot;manualOverride&quot;:{&quot;isManuallyOverridden&quot;:false,&quot;citeprocText&quot;:&quot;[4,5]&quot;,&quot;manualOverrideText&quot;:&quot;&quot;},&quot;citationTag&quot;:&quot;MENDELEY_CITATION_v3_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&quot;,&quot;citationItems&quot;:[{&quot;id&quot;:&quot;4a66e3c3-580e-3af8-91d2-c4eb6b2c00f5&quot;,&quot;itemData&quot;:{&quot;type&quot;:&quot;article-journal&quot;,&quot;id&quot;:&quot;4a66e3c3-580e-3af8-91d2-c4eb6b2c00f5&quot;,&quot;title&quot;:&quot;Chronic Obstructive Pulmonary Disease and Smoking Status — United States, 2017&quot;,&quot;author&quot;:[{&quot;family&quot;:&quot;Wheaton&quot;,&quot;given&quot;:&quot;Anne G.&quot;,&quot;parse-names&quot;:false,&quot;dropping-particle&quot;:&quot;&quot;,&quot;non-dropping-particle&quot;:&quot;&quot;},{&quot;family&quot;:&quot;Liu&quot;,&quot;given&quot;:&quot;Yong&quot;,&quot;parse-names&quot;:false,&quot;dropping-particle&quot;:&quot;&quot;,&quot;non-dropping-particle&quot;:&quot;&quot;},{&quot;family&quot;:&quot;Croft&quot;,&quot;given&quot;:&quot;Janet B.&quot;,&quot;parse-names&quot;:false,&quot;dropping-particle&quot;:&quot;&quot;,&quot;non-dropping-particle&quot;:&quot;&quot;},{&quot;family&quot;:&quot;VanFrank&quot;,&quot;given&quot;:&quot;Brenna&quot;,&quot;parse-names&quot;:false,&quot;dropping-particle&quot;:&quot;&quot;,&quot;non-dropping-particle&quot;:&quot;&quot;},{&quot;family&quot;:&quot;Croxton&quot;,&quot;given&quot;:&quot;Thomas L.&quot;,&quot;parse-names&quot;:false,&quot;dropping-particle&quot;:&quot;&quot;,&quot;non-dropping-particle&quot;:&quot;&quot;},{&quot;family&quot;:&quot;Punturieri&quot;,&quot;given&quot;:&quot;Antonello&quot;,&quot;parse-names&quot;:false,&quot;dropping-particle&quot;:&quot;&quot;,&quot;non-dropping-particle&quot;:&quot;&quot;},{&quot;family&quot;:&quot;Postow&quot;,&quot;given&quot;:&quot;Lisa&quot;,&quot;parse-names&quot;:false,&quot;dropping-particle&quot;:&quot;&quot;,&quot;non-dropping-particle&quot;:&quot;&quot;},{&quot;family&quot;:&quot;Greenlund&quot;,&quot;given&quot;:&quot;Kurt J.&quot;,&quot;parse-names&quot;:false,&quot;dropping-particle&quot;:&quot;&quot;,&quot;non-dropping-particle&quot;:&quot;&quot;}],&quot;container-title&quot;:&quot;MMWR. Morbidity and Mortality Weekly Report&quot;,&quot;container-title-short&quot;:&quot;MMWR Morb Mortal Wkly Rep&quot;,&quot;accessed&quot;:{&quot;date-parts&quot;:[[2020,12,7]]},&quot;DOI&quot;:&quot;10.15585/mmwr.mm6824a1&quot;,&quot;ISSN&quot;:&quot;0149-2195&quot;,&quot;PMID&quot;:&quot;31220055&quot;,&quot;URL&quot;:&quot;https://www.ncbi.nlm.nih.gov/pmc/articles/PMC6586372/&quot;,&quot;issued&quot;:{&quot;date-parts&quot;:[[2019,6,21]]},&quot;page&quot;:&quot;533-538&quot;,&quot;abstract&quot;:&quot;Cigarette smoking is the leading cause of chronic obstructive pulmonary disease (COPD) in the United States; however, an estimated one fourth of adults with COPD have never smoked (1). CDC analyzed state-specific Behavioral Risk Factor Surveillance System (BRFSS) data from 2017, which indicated that, overall among U.S. adults, 6.2% (age-adjusted) reported having been told by a health care professional that they had COPD. The age-adjusted prevalence of COPD was 15.2% among current cigarette smokers, 7.6% among former smokers, and 2.8% among adults who had never smoked. Higher prevalences of COPD were observed in southeastern and Appalachian states, regardless of smoking status of respondents. Whereas the strong positive correlation between state prevalence of COPD and state prevalence of current smoking was expected among current and former smokers, a similar relationship among adults who had never smoked suggests secondhand smoke exposure as a potential risk factor for COPD. Continued promotion of smoke-free environments might reduce COPD among both those who smoke and those who do not.&quot;,&quot;publisher&quot;:&quot;Centers for Disease Control MMWR Office&quot;,&quot;issue&quot;:&quot;24&quot;,&quot;volume&quot;:&quot;68&quot;},&quot;isTemporary&quot;:false},{&quot;id&quot;:&quot;40e30623-6004-3ba4-bc18-b1528e200abc&quot;,&quot;itemData&quot;:{&quot;type&quot;:&quot;article-journal&quot;,&quot;id&quot;:&quot;40e30623-6004-3ba4-bc18-b1528e200abc&quot;,&quot;title&quot;:&quot;Disease Progression and Age as Factors Underlying Multimorbidity in Patients with COPD: Results from COSYCONET&quot;,&quot;author&quot;:[{&quot;family&quot;:&quot;Alter&quot;,&quot;given&quot;:&quot;Peter&quot;,&quot;parse-names&quot;:false,&quot;dropping-particle&quot;:&quot;&quot;,&quot;non-dropping-particle&quot;:&quot;&quot;},{&quot;family&quot;:&quot;Kahnert&quot;,&quot;given&quot;:&quot;Kathrin&quot;,&quot;parse-names&quot;:false,&quot;dropping-particle&quot;:&quot;&quot;,&quot;non-dropping-particle&quot;:&quot;&quot;},{&quot;family&quot;:&quot;Trudzinski&quot;,&quot;given&quot;:&quot;Franziska C.&quot;,&quot;parse-names&quot;:false,&quot;dropping-particle&quot;:&quot;&quot;,&quot;non-dropping-particle&quot;:&quot;&quot;},{&quot;family&quot;:&quot;Bals&quot;,&quot;given&quot;:&quot;Robert&quot;,&quot;parse-names&quot;:false,&quot;dropping-particle&quot;:&quot;&quot;,&quot;non-dropping-particle&quot;:&quot;&quot;},{&quot;family&quot;:&quot;Watz&quot;,&quot;given&quot;:&quot;Henrik&quot;,&quot;parse-names&quot;:false,&quot;dropping-particle&quot;:&quot;&quot;,&quot;non-dropping-particle&quot;:&quot;&quot;},{&quot;family&quot;:&quot;Speicher&quot;,&quot;given&quot;:&quot;Tim&quot;,&quot;parse-names&quot;:false,&quot;dropping-particle&quot;:&quot;&quot;,&quot;non-dropping-particle&quot;:&quot;&quot;},{&quot;family&quot;:&quot;Söhler&quot;,&quot;given&quot;:&quot;Sandra&quot;,&quot;parse-names&quot;:false,&quot;dropping-particle&quot;:&quot;&quot;,&quot;non-dropping-particle&quot;:&quot;&quot;},{&quot;family&quot;:&quot;Andreas&quot;,&quot;given&quot;:&quot;Stefan&quot;,&quot;parse-names&quot;:false,&quot;dropping-particle&quot;:&quot;&quot;,&quot;non-dropping-particle&quot;:&quot;&quot;},{&quot;family&quot;:&quot;Welte&quot;,&quot;given&quot;:&quot;Tobias&quot;,&quot;parse-names&quot;:false,&quot;dropping-particle&quot;:&quot;&quot;,&quot;non-dropping-particle&quot;:&quot;&quot;},{&quot;family&quot;:&quot;Rabe&quot;,&quot;given&quot;:&quot;Klaus F.&quot;,&quot;parse-names&quot;:false,&quot;dropping-particle&quot;:&quot;&quot;,&quot;non-dropping-particle&quot;:&quot;&quot;},{&quot;family&quot;:&quot;Wouters&quot;,&quot;given&quot;:&quot;Emiel F.M.&quot;,&quot;parse-names&quot;:false,&quot;dropping-particle&quot;:&quot;&quot;,&quot;non-dropping-particle&quot;:&quot;&quot;},{&quot;family&quot;:&quot;Sassmann-Schweda&quot;,&quot;given&quot;:&quot;Antonia&quot;,&quot;parse-names&quot;:false,&quot;dropping-particle&quot;:&quot;&quot;,&quot;non-dropping-particle&quot;:&quot;&quot;},{&quot;family&quot;:&quot;Wirtz&quot;,&quot;given&quot;:&quot;Hubert&quot;,&quot;parse-names&quot;:false,&quot;dropping-particle&quot;:&quot;&quot;,&quot;non-dropping-particle&quot;:&quot;&quot;},{&quot;family&quot;:&quot;Ficker&quot;,&quot;given&quot;:&quot;Joachim H.&quot;,&quot;parse-names&quot;:false,&quot;dropping-particle&quot;:&quot;&quot;,&quot;non-dropping-particle&quot;:&quot;&quot;},{&quot;family&quot;:&quot;Vogelmeier&quot;,&quot;given&quot;:&quot;Claus F.&quot;,&quot;parse-names&quot;:false,&quot;dropping-particle&quot;:&quot;&quot;,&quot;non-dropping-particle&quot;:&quot;&quot;},{&quot;family&quot;:&quot;Jörres&quot;,&quot;given&quot;:&quot;Rudolf A.&quot;,&quot;parse-names&quot;:false,&quot;dropping-particle&quot;:&quot;&quot;,&quot;non-dropping-particle&quot;:&quot;&quot;}],&quot;container-title&quot;:&quot;International journal of chronic obstructive pulmonary disease&quot;,&quot;accessed&quot;:{&quot;date-parts&quot;:[[2024,6,1]]},&quot;DOI&quot;:&quot;10.2147/COPD.S364812&quot;,&quot;ISSN&quot;:&quot;1178-2005&quot;,&quot;PMID&quot;:&quot;35936574&quot;,&quot;URL&quot;:&quot;https://pubmed.ncbi.nlm.nih.gov/35936574/&quot;,&quot;issued&quot;:{&quot;date-parts&quot;:[[2022]]},&quot;page&quot;:&quot;1703-1713&quot;,&quot;abstract&quot;:&quot;Background: Multimorbidity plays an important role in chronic obstructive pulmonary disease (COPD) but is also a feature of ageing. We estimated to what extent increases in the prevalence of multimorbidity over time are attributable to COPD progression compared to increasing patient age. Methods: Patients with COPD from the long-term COSYCONET (COPD and Systemic Consequences-Comorbidities Network) cohort with four follow-up visits were included in this analysis. At each visit, symptoms, exacerbation history, quality of life and lung function were assessed, along with the comorbidities heart failure (HF), coronary artery disease (CAD), peripheral arterial disease (PAD), hypertension, sleep apnea, diabetes mellitus, hyperlipidemia, hyperuricemia and osteoporosis. Using longitudinal logistic regression analysis, we determined what proportion of the increase in the prevalence of comorbidities could be attributed to patients’ age or to the progression of COPD over visits. Results: Of 2030 patients at baseline, 878 completed four follow-up visits (up to 4.5 years). CAD prevalence increased over time, with similar effects attributable to the 4.5-year follow-up, used as indicator of COPD progression, and to a 5-year increase in patients’ age. The prevalence of HF, diabetes, hyperlipidemia, hyperuricemia, osteoporosis and sleep apnea showed stronger contributions of COPD progression than of age; in contrast, age dominated for hypertension and PAD. There were different relationships to patients’ characteristics including BMI and sex. The results were not critically dependent on the duration of COPD prior to enrolment, or the inclusion of patients with all four follow-up visits vs those attending only at least one of them. Conclusion: Analyzing the increasing prevalence of multimorbidity in COPD over time, we separated age-independent contributions, probably reflecting intrinsic COPD-related disease progression, from age-dependent contributions. This distinction might be useful for the individual assessment of disease progression in COPD.&quot;,&quot;publisher&quot;:&quot;Int J Chron Obstruct Pulmon Dis&quot;,&quot;volume&quot;:&quot;17&quot;,&quot;container-title-short&quot;:&quot;Int J Chron Obstruct Pulmon Dis&quot;},&quot;isTemporary&quot;:false}]},{&quot;citationID&quot;:&quot;MENDELEY_CITATION_d16eba77-c19c-46d9-ab16-eab128fe683c&quot;,&quot;properties&quot;:{&quot;noteIndex&quot;:0},&quot;isEdited&quot;:false,&quot;manualOverride&quot;:{&quot;isManuallyOverridden&quot;:false,&quot;citeprocText&quot;:&quot;[5]&quot;,&quot;manualOverrideText&quot;:&quot;&quot;},&quot;citationTag&quot;:&quot;MENDELEY_CITATION_v3_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&quot;,&quot;citationItems&quot;:[{&quot;id&quot;:&quot;40e30623-6004-3ba4-bc18-b1528e200abc&quot;,&quot;itemData&quot;:{&quot;type&quot;:&quot;article-journal&quot;,&quot;id&quot;:&quot;40e30623-6004-3ba4-bc18-b1528e200abc&quot;,&quot;title&quot;:&quot;Disease Progression and Age as Factors Underlying Multimorbidity in Patients with COPD: Results from COSYCONET&quot;,&quot;author&quot;:[{&quot;family&quot;:&quot;Alter&quot;,&quot;given&quot;:&quot;Peter&quot;,&quot;parse-names&quot;:false,&quot;dropping-particle&quot;:&quot;&quot;,&quot;non-dropping-particle&quot;:&quot;&quot;},{&quot;family&quot;:&quot;Kahnert&quot;,&quot;given&quot;:&quot;Kathrin&quot;,&quot;parse-names&quot;:false,&quot;dropping-particle&quot;:&quot;&quot;,&quot;non-dropping-particle&quot;:&quot;&quot;},{&quot;family&quot;:&quot;Trudzinski&quot;,&quot;given&quot;:&quot;Franziska C.&quot;,&quot;parse-names&quot;:false,&quot;dropping-particle&quot;:&quot;&quot;,&quot;non-dropping-particle&quot;:&quot;&quot;},{&quot;family&quot;:&quot;Bals&quot;,&quot;given&quot;:&quot;Robert&quot;,&quot;parse-names&quot;:false,&quot;dropping-particle&quot;:&quot;&quot;,&quot;non-dropping-particle&quot;:&quot;&quot;},{&quot;family&quot;:&quot;Watz&quot;,&quot;given&quot;:&quot;Henrik&quot;,&quot;parse-names&quot;:false,&quot;dropping-particle&quot;:&quot;&quot;,&quot;non-dropping-particle&quot;:&quot;&quot;},{&quot;family&quot;:&quot;Speicher&quot;,&quot;given&quot;:&quot;Tim&quot;,&quot;parse-names&quot;:false,&quot;dropping-particle&quot;:&quot;&quot;,&quot;non-dropping-particle&quot;:&quot;&quot;},{&quot;family&quot;:&quot;Söhler&quot;,&quot;given&quot;:&quot;Sandra&quot;,&quot;parse-names&quot;:false,&quot;dropping-particle&quot;:&quot;&quot;,&quot;non-dropping-particle&quot;:&quot;&quot;},{&quot;family&quot;:&quot;Andreas&quot;,&quot;given&quot;:&quot;Stefan&quot;,&quot;parse-names&quot;:false,&quot;dropping-particle&quot;:&quot;&quot;,&quot;non-dropping-particle&quot;:&quot;&quot;},{&quot;family&quot;:&quot;Welte&quot;,&quot;given&quot;:&quot;Tobias&quot;,&quot;parse-names&quot;:false,&quot;dropping-particle&quot;:&quot;&quot;,&quot;non-dropping-particle&quot;:&quot;&quot;},{&quot;family&quot;:&quot;Rabe&quot;,&quot;given&quot;:&quot;Klaus F.&quot;,&quot;parse-names&quot;:false,&quot;dropping-particle&quot;:&quot;&quot;,&quot;non-dropping-particle&quot;:&quot;&quot;},{&quot;family&quot;:&quot;Wouters&quot;,&quot;given&quot;:&quot;Emiel F.M.&quot;,&quot;parse-names&quot;:false,&quot;dropping-particle&quot;:&quot;&quot;,&quot;non-dropping-particle&quot;:&quot;&quot;},{&quot;family&quot;:&quot;Sassmann-Schweda&quot;,&quot;given&quot;:&quot;Antonia&quot;,&quot;parse-names&quot;:false,&quot;dropping-particle&quot;:&quot;&quot;,&quot;non-dropping-particle&quot;:&quot;&quot;},{&quot;family&quot;:&quot;Wirtz&quot;,&quot;given&quot;:&quot;Hubert&quot;,&quot;parse-names&quot;:false,&quot;dropping-particle&quot;:&quot;&quot;,&quot;non-dropping-particle&quot;:&quot;&quot;},{&quot;family&quot;:&quot;Ficker&quot;,&quot;given&quot;:&quot;Joachim H.&quot;,&quot;parse-names&quot;:false,&quot;dropping-particle&quot;:&quot;&quot;,&quot;non-dropping-particle&quot;:&quot;&quot;},{&quot;family&quot;:&quot;Vogelmeier&quot;,&quot;given&quot;:&quot;Claus F.&quot;,&quot;parse-names&quot;:false,&quot;dropping-particle&quot;:&quot;&quot;,&quot;non-dropping-particle&quot;:&quot;&quot;},{&quot;family&quot;:&quot;Jörres&quot;,&quot;given&quot;:&quot;Rudolf A.&quot;,&quot;parse-names&quot;:false,&quot;dropping-particle&quot;:&quot;&quot;,&quot;non-dropping-particle&quot;:&quot;&quot;}],&quot;container-title&quot;:&quot;International journal of chronic obstructive pulmonary disease&quot;,&quot;accessed&quot;:{&quot;date-parts&quot;:[[2024,6,1]]},&quot;DOI&quot;:&quot;10.2147/COPD.S364812&quot;,&quot;ISSN&quot;:&quot;1178-2005&quot;,&quot;PMID&quot;:&quot;35936574&quot;,&quot;URL&quot;:&quot;https://pubmed.ncbi.nlm.nih.gov/35936574/&quot;,&quot;issued&quot;:{&quot;date-parts&quot;:[[2022]]},&quot;page&quot;:&quot;1703-1713&quot;,&quot;abstract&quot;:&quot;Background: Multimorbidity plays an important role in chronic obstructive pulmonary disease (COPD) but is also a feature of ageing. We estimated to what extent increases in the prevalence of multimorbidity over time are attributable to COPD progression compared to increasing patient age. Methods: Patients with COPD from the long-term COSYCONET (COPD and Systemic Consequences-Comorbidities Network) cohort with four follow-up visits were included in this analysis. At each visit, symptoms, exacerbation history, quality of life and lung function were assessed, along with the comorbidities heart failure (HF), coronary artery disease (CAD), peripheral arterial disease (PAD), hypertension, sleep apnea, diabetes mellitus, hyperlipidemia, hyperuricemia and osteoporosis. Using longitudinal logistic regression analysis, we determined what proportion of the increase in the prevalence of comorbidities could be attributed to patients’ age or to the progression of COPD over visits. Results: Of 2030 patients at baseline, 878 completed four follow-up visits (up to 4.5 years). CAD prevalence increased over time, with similar effects attributable to the 4.5-year follow-up, used as indicator of COPD progression, and to a 5-year increase in patients’ age. The prevalence of HF, diabetes, hyperlipidemia, hyperuricemia, osteoporosis and sleep apnea showed stronger contributions of COPD progression than of age; in contrast, age dominated for hypertension and PAD. There were different relationships to patients’ characteristics including BMI and sex. The results were not critically dependent on the duration of COPD prior to enrolment, or the inclusion of patients with all four follow-up visits vs those attending only at least one of them. Conclusion: Analyzing the increasing prevalence of multimorbidity in COPD over time, we separated age-independent contributions, probably reflecting intrinsic COPD-related disease progression, from age-dependent contributions. This distinction might be useful for the individual assessment of disease progression in COPD.&quot;,&quot;publisher&quot;:&quot;Int J Chron Obstruct Pulmon Dis&quot;,&quot;volume&quot;:&quot;17&quot;,&quot;container-title-short&quot;:&quot;Int J Chron Obstruct Pulmon Dis&quot;},&quot;isTemporary&quot;:false}]},{&quot;citationID&quot;:&quot;MENDELEY_CITATION_24701832-a304-4db6-adc4-03be44189651&quot;,&quot;properties&quot;:{&quot;noteIndex&quot;:0},&quot;isEdited&quot;:false,&quot;manualOverride&quot;:{&quot;isManuallyOverridden&quot;:false,&quot;citeprocText&quot;:&quot;[6]&quot;,&quot;manualOverrideText&quot;:&quot;&quot;},&quot;citationTag&quot;:&quot;MENDELEY_CITATION_v3_eyJjaXRhdGlvbklEIjoiTUVOREVMRVlfQ0lUQVRJT05fMjQ3MDE4MzItYTMwNC00ZGI2LWFkYzQtMDNiZTQ0MTg5NjUx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quot;,&quot;citationItems&quot;:[{&quot;id&quot;:&quot;f6bf6552-f6e0-3ff4-a77d-6750f2546b26&quot;,&quot;itemData&quot;:{&quot;type&quot;:&quot;report&quot;,&quot;id&quot;:&quot;f6bf6552-f6e0-3ff4-a77d-6750f2546b26&quot;,&quot;title&quot;:&quot;GOLD Report 2020&quot;,&quot;author&quot;:[{&quot;family&quot;:&quot;Global Initiative for Chronic Obstructive Lung Disease&quot;,&quot;given&quot;:&quot;&quot;,&quot;parse-names&quot;:false,&quot;dropping-particle&quot;:&quot;&quot;,&quot;non-dropping-particle&quot;:&quot;&quot;}],&quot;container-title&quot;:&quot;Global Strategy for the Diagnosis, Management, and Prevention of Chronic Obstructive Pulmonary Disease: 2020 Report&quot;,&quot;URL&quot;:&quot;https://goldcopd.org/wp-content/uploads/2019/12/GOLD-2020-FINAL-ver1.2-03Dec19_WMV.pdf&quot;,&quot;issued&quot;:{&quot;date-parts&quot;:[[2020]]},&quot;number-of-pages&quot;:&quot;141&quot;,&quot;abstract&quot;:&quot;Global Strategy for the Diagnosis, Management, and Prevention of Chronic Obstructive Pulmonary Disease&quot;,&quot;container-title-short&quot;:&quot;&quot;},&quot;isTemporary&quot;:false}]},{&quot;citationID&quot;:&quot;MENDELEY_CITATION_ce2996db-b323-4360-b8f4-56159dbbb47b&quot;,&quot;properties&quot;:{&quot;noteIndex&quot;:0},&quot;isEdited&quot;:false,&quot;manualOverride&quot;:{&quot;isManuallyOverridden&quot;:false,&quot;citeprocText&quot;:&quot;[7]&quot;,&quot;manualOverrideText&quot;:&quot;&quot;},&quot;citationTag&quot;:&quot;MENDELEY_CITATION_v3_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&quot;,&quot;citationItems&quot;:[{&quot;id&quot;:&quot;c5d4e97f-8a72-355d-9174-6adce33d6f36&quot;,&quot;itemData&quot;:{&quot;type&quot;:&quot;article-journal&quot;,&quot;id&quot;:&quot;c5d4e97f-8a72-355d-9174-6adce33d6f36&quot;,&quot;title&quot;:&quot;The etiologic origins for chronic obstructive pulmonary disease&quot;,&quot;author&quot;:[{&quot;family&quot;:&quot;Huang&quot;,&quot;given&quot;:&quot;Xinwei&quot;,&quot;parse-names&quot;:false,&quot;dropping-particle&quot;:&quot;&quot;,&quot;non-dropping-particle&quot;:&quot;&quot;},{&quot;family&quot;:&quot;Mu&quot;,&quot;given&quot;:&quot;Xi&quot;,&quot;parse-names&quot;:false,&quot;dropping-particle&quot;:&quot;&quot;,&quot;non-dropping-particle&quot;:&quot;&quot;},{&quot;family&quot;:&quot;Deng&quot;,&quot;given&quot;:&quot;Li&quot;,&quot;parse-names&quot;:false,&quot;dropping-particle&quot;:&quot;&quot;,&quot;non-dropping-particle&quot;:&quot;&quot;},{&quot;family&quot;:&quot;Fu&quot;,&quot;given&quot;:&quot;Aili&quot;,&quot;parse-names&quot;:false,&quot;dropping-particle&quot;:&quot;&quot;,&quot;non-dropping-particle&quot;:&quot;&quot;},{&quot;family&quot;:&quot;Pu&quot;,&quot;given&quot;:&quot;Endong&quot;,&quot;parse-names&quot;:false,&quot;dropping-particle&quot;:&quot;&quot;,&quot;non-dropping-particle&quot;:&quot;&quot;},{&quot;family&quot;:&quot;Tang&quot;,&quot;given&quot;:&quot;Tao&quot;,&quot;parse-names&quot;:false,&quot;dropping-particle&quot;:&quot;&quot;,&quot;non-dropping-particle&quot;:&quot;&quot;},{&quot;family&quot;:&quot;Kong&quot;,&quot;given&quot;:&quot;Xiangyang&quot;,&quot;parse-names&quot;:false,&quot;dropping-particle&quot;:&quot;&quot;,&quot;non-dropping-particle&quot;:&quot;&quot;}],&quot;accessed&quot;:{&quot;date-parts&quot;:[[2024,7,4]]},&quot;DOI&quot;:&quot;10.2147/COPD.S203215&quot;,&quot;ISBN&quot;:&quot;3517826707&quot;,&quot;URL&quot;:&quot;http://doi.org/10.2147/COPD.S203215&quot;,&quot;issued&quot;:{&quot;date-parts&quot;:[[2019]]},&quot;abstract&quot;:&quot;COPD, characterized by long-term poorly irreversible airway limitation and persistent respiratory symptoms, has resulted in enormous challenges to human health worldwide, with increasing rates of prevalence, death, and disability. Although its origin was thought to be in the interactions of genetic with environmental factors, the effects of environmental factors on the disease during different life stages remain little known. Without clear mechanisms and radical cure for it, early screening and prevention of COPD seem to be important. In this review, we will discuss the etiologic origins for poor lung function and COPD caused by specific adverse effects during corresponding life stages, as well as try to find new insights and potential prevention strategies for this disease.&quot;,&quot;container-title-short&quot;:&quot;&quot;},&quot;isTemporary&quot;:false}]},{&quot;citationID&quot;:&quot;MENDELEY_CITATION_7e4639d5-9d30-45a1-8565-70c164191a95&quot;,&quot;properties&quot;:{&quot;noteIndex&quot;:0},&quot;isEdited&quot;:false,&quot;manualOverride&quot;:{&quot;isManuallyOverridden&quot;:false,&quot;citeprocText&quot;:&quot;[8]&quot;,&quot;manualOverrideText&quot;:&quot;&quot;},&quot;citationTag&quot;:&quot;MENDELEY_CITATION_v3_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&quot;,&quot;citationItems&quot;:[{&quot;id&quot;:&quot;99fb7faa-18e6-31a1-a5a4-c93adde04e37&quot;,&quot;itemData&quot;:{&quot;type&quot;:&quot;report&quot;,&quot;id&quot;:&quot;99fb7faa-18e6-31a1-a5a4-c93adde04e37&quot;,&quot;title&quot;:&quot;2020 Profile of Older Americans&quot;,&quot;author&quot;:[{&quot;family&quot;:&quot;United States Department of Health and Human Services&quot;,&quot;given&quot;:&quot;Administration for Community Living&quot;,&quot;parse-names&quot;:false,&quot;dropping-particle&quot;:&quot;&quot;,&quot;non-dropping-particle&quot;:&quot;&quot;}],&quot;issued&quot;:{&quot;date-parts&quot;:[[2021]]},&quot;number-of-pages&quot;:&quot;1-26&quot;,&quot;issue&quot;:&quot;May&quot;,&quot;container-title-short&quot;:&quot;&quot;},&quot;isTemporary&quot;:false}]},{&quot;citationID&quot;:&quot;MENDELEY_CITATION_62676865-c05e-46f5-b2f4-770346c02910&quot;,&quot;properties&quot;:{&quot;noteIndex&quot;:0},&quot;isEdited&quot;:false,&quot;manualOverride&quot;:{&quot;isManuallyOverridden&quot;:false,&quot;citeprocText&quot;:&quot;[9]&quot;,&quot;manualOverrideText&quot;:&quot;&quot;},&quot;citationTag&quot;:&quot;MENDELEY_CITATION_v3_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&quot;,&quot;citationItems&quot;:[{&quot;id&quot;:&quot;d9253a9a-c28b-34c9-b795-7eaa454c43c8&quot;,&quot;itemData&quot;:{&quot;type&quot;:&quot;article-journal&quot;,&quot;id&quot;:&quot;d9253a9a-c28b-34c9-b795-7eaa454c43c8&quot;,&quot;title&quot;:&quot;National and Local Direct Medical Cost Burden of COPD in the United States From 2016 to 2019 and Projections Through 2029&quot;,&quot;author&quot;:[{&quot;family&quot;:&quot;Mannino&quot;,&quot;given&quot;:&quot;David M.&quot;,&quot;parse-names&quot;:false,&quot;dropping-particle&quot;:&quot;&quot;,&quot;non-dropping-particle&quot;:&quot;&quot;},{&quot;family&quot;:&quot;Roberts&quot;,&quot;given&quot;:&quot;Melissa H.&quot;,&quot;parse-names&quot;:false,&quot;dropping-particle&quot;:&quot;&quot;,&quot;non-dropping-particle&quot;:&quot;&quot;},{&quot;family&quot;:&quot;Mapel&quot;,&quot;given&quot;:&quot;Douglas W.&quot;,&quot;parse-names&quot;:false,&quot;dropping-particle&quot;:&quot;&quot;,&quot;non-dropping-particle&quot;:&quot;&quot;},{&quot;family&quot;:&quot;Zhang&quot;,&quot;given&quot;:&quot;Qisu&quot;,&quot;parse-names&quot;:false,&quot;dropping-particle&quot;:&quot;&quot;,&quot;non-dropping-particle&quot;:&quot;&quot;},{&quot;family&quot;:&quot;Lunacsek&quot;,&quot;given&quot;:&quot;Orsolya&quot;,&quot;parse-names&quot;:false,&quot;dropping-particle&quot;:&quot;&quot;,&quot;non-dropping-particle&quot;:&quot;&quot;},{&quot;family&quot;:&quot;Grabich&quot;,&quot;given&quot;:&quot;Shannon&quot;,&quot;parse-names&quot;:false,&quot;dropping-particle&quot;:&quot;&quot;,&quot;non-dropping-particle&quot;:&quot;&quot;},{&quot;family&quot;:&quot;Stiphout&quot;,&quot;given&quot;:&quot;Joris&quot;,&quot;parse-names&quot;:false,&quot;dropping-particle&quot;:&quot;&quot;,&quot;non-dropping-particle&quot;:&quot;van&quot;},{&quot;family&quot;:&quot;Meadors&quot;,&quot;given&quot;:&quot;Brian L.&quot;,&quot;parse-names&quot;:false,&quot;dropping-particle&quot;:&quot;&quot;,&quot;non-dropping-particle&quot;:&quot;&quot;},{&quot;family&quot;:&quot;Feigler&quot;,&quot;given&quot;:&quot;Norbert&quot;,&quot;parse-names&quot;:false,&quot;dropping-particle&quot;:&quot;&quot;,&quot;non-dropping-particle&quot;:&quot;&quot;},{&quot;family&quot;:&quot;Pollack&quot;,&quot;given&quot;:&quot;Michael F.&quot;,&quot;parse-names&quot;:false,&quot;dropping-particle&quot;:&quot;&quot;,&quot;non-dropping-particle&quot;:&quot;&quot;}],&quot;container-title&quot;:&quot;Chest&quot;,&quot;container-title-short&quot;:&quot;Chest&quot;,&quot;accessed&quot;:{&quot;date-parts&quot;:[[2024,9,1]]},&quot;DOI&quot;:&quot;10.1016/J.CHEST.2023.11.040&quot;,&quot;ISSN&quot;:&quot;1931-3543&quot;,&quot;PMID&quot;:&quot;38042365&quot;,&quot;URL&quot;:&quot;https://pubmed.ncbi.nlm.nih.gov/38042365/&quot;,&quot;issued&quot;:{&quot;date-parts&quot;:[[2024,5,1]]},&quot;page&quot;:&quot;1093-1106&quot;,&quot;abstract&quot;:&quot;Background: Despite the significant burden posed by COPD to health care systems, there is a lack of up-to-date information quantifying the general COPD burden, costs, and long-term projections to various stakeholders in the United States. Research Question: What are the updated state-specific and nationwide estimates of the COPD disease burden and direct costs in 2019, along with projections of COPD-attributable medical costs through 2029? Study Design and Methods: A cross-sectional, retrospective study design using the 2016 to 2019 Medical Expenditure Panel Survey, 2019 American Community Survey, and 2019 Behavioral Risk Factor Surveillance System data was applied to generate COPD-attributable expenditure estimates. Cost projections for the years 2020 to 2029 were based on 2017 national population projections reported by the US Census Bureau, and all costs were adjusted to 2019 US dollars. Results: In total, 4,135 people living with COPD were included; a higher proportion had other concurrent conditions such as cardiovascular-related conditions compared with people without COPD (n = 86,021). Overall, in 2019, COPD-attributable medical costs after adjusting for demographic characteristics and 19 concurrent conditions (including COPD-related and non-COPD-related conditions) were estimated at $31.3 billion, with state-specific cost estimates reporting wide variation, from $44.8 million in Alaska to $3.1 billion in Florida. Nationwide COPD-attributable medical costs borne by payer type were as follows: private insurance, $11.4 billion; Medicare, $10.8 billion; and Medicaid, $3.0 billion. Projections of national medical costs attributable to COPD are reported to increase to $60.5 billion in 2029. Interpretation: Understanding the current disease and economic burden of COPD in the United States, along with the projected costs attributable to COPD in the next decade, will highlight unmet needs and gaps in care that help inform health care decision-makers in planning future actions to alleviate this disease burden.&quot;,&quot;publisher&quot;:&quot;Chest&quot;,&quot;issue&quot;:&quot;5&quot;,&quot;volume&quot;:&quot;165&quot;},&quot;isTemporary&quot;:false}]},{&quot;citationID&quot;:&quot;MENDELEY_CITATION_f606fafc-8503-4a80-88c6-829fd3abf3ad&quot;,&quot;properties&quot;:{&quot;noteIndex&quot;:0},&quot;isEdited&quot;:false,&quot;manualOverride&quot;:{&quot;isManuallyOverridden&quot;:false,&quot;citeprocText&quot;:&quot;[10]&quot;,&quot;manualOverrideText&quot;:&quot;&quot;},&quot;citationTag&quot;:&quot;MENDELEY_CITATION_v3_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&quot;,&quot;citationItems&quot;:[{&quot;id&quot;:&quot;a0ec3fee-6d5a-30d4-a60a-635d804a021c&quot;,&quot;itemData&quot;:{&quot;type&quot;:&quot;webpage&quot;,&quot;id&quot;:&quot;a0ec3fee-6d5a-30d4-a60a-635d804a021c&quot;,&quot;title&quot;:&quot;Florida Department of Health - Public Health Tracking System&quot;,&quot;accessed&quot;:{&quot;date-parts&quot;:[[2025,5,15]]},&quot;URL&quot;:&quot;https://www.floridatracking.com/healthtracking/topic.htm?i=30&quot;,&quot;container-title-short&quot;:&quot;&quot;},&quot;isTemporary&quot;:false}]},{&quot;citationID&quot;:&quot;MENDELEY_CITATION_1f19fd5c-7b59-4fcf-a1c5-e9ce2dc103a1&quot;,&quot;properties&quot;:{&quot;noteIndex&quot;:0},&quot;isEdited&quot;:false,&quot;manualOverride&quot;:{&quot;isManuallyOverridden&quot;:false,&quot;citeprocText&quot;:&quot;[11–13]&quot;,&quot;manualOverrideText&quot;:&quot;&quot;},&quot;citationTag&quot;:&quot;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&quot;,&quot;citationItems&quot;:[{&quot;id&quot;:&quot;8ec0c7d1-fcf8-3271-9b5c-53dc7461f721&quot;,&quot;itemData&quot;:{&quot;type&quot;:&quot;article-journal&quot;,&quot;id&quot;:&quot;8ec0c7d1-fcf8-3271-9b5c-53dc7461f721&quot;,&quot;title&quot;:&quot;Occupational COPD-The most under-recognized occupational lung disease?&quot;,&quot;author&quot;:[{&quot;family&quot;:&quot;Murgia&quot;,&quot;given&quot;:&quot;Nicola&quot;,&quot;parse-names&quot;:false,&quot;dropping-particle&quot;:&quot;&quot;,&quot;non-dropping-particle&quot;:&quot;&quot;},{&quot;family&quot;:&quot;Gambelunghe&quot;,&quot;given&quot;:&quot;Angela&quot;,&quot;parse-names&quot;:false,&quot;dropping-particle&quot;:&quot;&quot;,&quot;non-dropping-particle&quot;:&quot;&quot;}],&quot;container-title&quot;:&quot;Respirology (Carlton, Vic.)&quot;,&quot;accessed&quot;:{&quot;date-parts&quot;:[[2024,12,2]]},&quot;DOI&quot;:&quot;10.1111/RESP.14272&quot;,&quot;ISSN&quot;:&quot;1440-1843&quot;,&quot;PMID&quot;:&quot;35513770&quot;,&quot;URL&quot;:&quot;https://pubmed.ncbi.nlm.nih.gov/35513770/&quot;,&quot;issued&quot;:{&quot;date-parts&quot;:[[2022,6,1]]},&quot;page&quot;:&quot;399-410&quot;,&quot;abstract&quot;:&quot;Chronic obstructive pulmonary disease (COPD) is caused by exposure to noxious particles and gases. Smoking is the main risk factor, but other factors are also associated with COPD. Occupational exposure to vapours, gases, dusts and fumes contributes to the development and progression of COPD, accounting for a population attributable fraction of 14%. Workplace pollutants, in particular inorganic dust, can initiate airway damage and inflammation, which are the hallmarks of COPD pathogenesis. Occupational COPD is still underdiagnosed, mainly due to the challenges of assessing the occupational component of the disease in clinical settings, especially if other risk factors are present. There is a need for specific education and training for clinicians, and research with a focus on evaluating the role of occupational exposure in causing COPD. Early diagnosis and identification of occupational causes is very important to prevent further decline in lung function and to reduce the health and socio-economic burden of COPD. Establishing details of the occupational history by general practitioners or respiratory physicians could help to define the occupational burden of COPD for individual patients, providing the first useful interventions (smoking cessation, best therapeutic management, etc.). Once patients are diagnosed with occupational COPD, there is a wide international variation in access to specialist occupational medicine and public health services, along with limitations in workplace and income support. Therefore, a strong collaboration between primary care physicians, respiratory physicians and occupational medicine specialists is desirable to help manage COPD patients' health and social issues.&quot;,&quot;publisher&quot;:&quot;Respirology&quot;,&quot;issue&quot;:&quot;6&quot;,&quot;volume&quot;:&quot;27&quot;,&quot;container-title-short&quot;:&quot;Respirology&quot;},&quot;isTemporary&quot;:false},{&quot;id&quot;:&quot;7f1bc2d1-bfb5-3092-a027-f476b5c282b3&quot;,&quot;itemData&quot;:{&quot;type&quot;:&quot;article-journal&quot;,&quot;id&quot;:&quot;7f1bc2d1-bfb5-3092-a027-f476b5c282b3&quot;,&quot;title&quot;:&quot;Occupational causes of chronic obstructive pulmonary disease: an update&quot;,&quot;author&quot;:[{&quot;family&quot;:&quot;Matteis&quot;,&quot;given&quot;:&quot;Sara&quot;,&quot;parse-names&quot;:false,&quot;dropping-particle&quot;:&quot;&quot;,&quot;non-dropping-particle&quot;:&quot;De&quot;}],&quot;container-title&quot;:&quot;Current opinion in allergy and clinical immunology&quot;,&quot;accessed&quot;:{&quot;date-parts&quot;:[[2024,11,30]]},&quot;DOI&quot;:&quot;10.1097/ACI.0000000000000817&quot;,&quot;ISSN&quot;:&quot;1473-6322&quot;,&quot;PMID&quot;:&quot;35125392&quot;,&quot;URL&quot;:&quot;https://pubmed.ncbi.nlm.nih.gov/35125392/&quot;,&quot;issued&quot;:{&quot;date-parts&quot;:[[2022,4,1]]},&quot;page&quot;:&quot;73-79&quot;,&quot;abstract&quot;:&quot;Purpose of reviewThis brief narrative review aims to highlight relevant recent updates on occupational causes of chronic obstructive pulmonary disease (COPD).Recent findingsThe most recent literature has been searched for any new relevant association between occupational exposures and COPD. Only large epidemiological studies of high quality have been included. Beyond the more traditional exposures, such as mineral or organic dusts, new chemicals have emerged as potential occupational causal agents for COPD. In particular, pesticides and cleaning products, including disinfectants, that have shown also positive exposure-response trends. For cleaning products, some specific chemicals have been identified, but for pesticides the identification of specific causal compounds is more challenging. The biological underlying mechanisms are still under study.SummaryIn the recent literature, occupational exposure to pesticides and cleaning products has emerged as potential cause of COPD. Awareness on occupational causes of COPD should increase among all stakeholders, from health professionals to public to prevent the associated public health burden. More studies on identifying the specific causal agents and mechanisms are needed to focus preventive strategies.&quot;,&quot;publisher&quot;:&quot;Curr Opin Allergy Clin Immunol&quot;,&quot;issue&quot;:&quot;2&quot;,&quot;volume&quot;:&quot;22&quot;,&quot;container-title-short&quot;:&quot;Curr Opin Allergy Clin Immunol&quot;},&quot;isTemporary&quot;:false},{&quot;id&quot;:&quot;33a313ba-178c-31a1-8972-99be31d99a6f&quot;,&quot;itemData&quot;:{&quot;type&quot;:&quot;article-journal&quot;,&quot;id&quot;:&quot;33a313ba-178c-31a1-8972-99be31d99a6f&quot;,&quot;title&quot;:&quot;The Occupational Burden of Nonmalignant Respiratory Diseases An Official American Thoracic Society and European Respiratory Society Statement&quot;,&quot;author&quot;:[{&quot;family&quot;:&quot;Blanc&quot;,&quot;given&quot;:&quot;Paul D&quot;,&quot;parse-names&quot;:false,&quot;dropping-particle&quot;:&quot;&quot;,&quot;non-dropping-particle&quot;:&quot;&quot;},{&quot;family&quot;:&quot;Annesi-Maesano&quot;,&quot;given&quot;:&quot;Isabella&quot;,&quot;parse-names&quot;:false,&quot;dropping-particle&quot;:&quot;&quot;,&quot;non-dropping-particle&quot;:&quot;&quot;},{&quot;family&quot;:&quot;Balmes&quot;,&quot;given&quot;:&quot;John R&quot;,&quot;parse-names&quot;:false,&quot;dropping-particle&quot;:&quot;&quot;,&quot;non-dropping-particle&quot;:&quot;&quot;},{&quot;family&quot;:&quot;Cummings&quot;,&quot;given&quot;:&quot;Kristin J&quot;,&quot;parse-names&quot;:false,&quot;dropping-particle&quot;:&quot;&quot;,&quot;non-dropping-particle&quot;:&quot;&quot;},{&quot;family&quot;:&quot;Fishwick&quot;,&quot;given&quot;:&quot;David&quot;,&quot;parse-names&quot;:false,&quot;dropping-particle&quot;:&quot;&quot;,&quot;non-dropping-particle&quot;:&quot;&quot;},{&quot;family&quot;:&quot;Miedinger&quot;,&quot;given&quot;:&quot;David&quot;,&quot;parse-names&quot;:false,&quot;dropping-particle&quot;:&quot;&quot;,&quot;non-dropping-particle&quot;:&quot;&quot;},{&quot;family&quot;:&quot;Murgia&quot;,&quot;given&quot;:&quot;Nicola&quot;,&quot;parse-names&quot;:false,&quot;dropping-particle&quot;:&quot;&quot;,&quot;non-dropping-particle&quot;:&quot;&quot;},{&quot;family&quot;:&quot;Naidoo&quot;,&quot;given&quot;:&quot;Rajen N&quot;,&quot;parse-names&quot;:false,&quot;dropping-particle&quot;:&quot;&quot;,&quot;non-dropping-particle&quot;:&quot;&quot;},{&quot;family&quot;:&quot;Reynolds&quot;,&quot;given&quot;:&quot;Carl J&quot;,&quot;parse-names&quot;:false,&quot;dropping-particle&quot;:&quot;&quot;,&quot;non-dropping-particle&quot;:&quot;&quot;},{&quot;family&quot;:&quot;Sigsgaard&quot;,&quot;given&quot;:&quot;Torben&quot;,&quot;parse-names&quot;:false,&quot;dropping-particle&quot;:&quot;&quot;,&quot;non-dropping-particle&quot;:&quot;&quot;},{&quot;family&quot;:&quot;Torén&quot;,&quot;given&quot;:&quot;Kjell&quot;,&quot;parse-names&quot;:false,&quot;dropping-particle&quot;:&quot;&quot;,&quot;non-dropping-particle&quot;:&quot;&quot;},{&quot;family&quot;:&quot;Torén&quot;,&quot;given&quot;:&quot;Tor´&quot;,&quot;parse-names&quot;:false,&quot;dropping-particle&quot;:&quot;&quot;,&quot;non-dropping-particle&quot;:&quot;&quot;},{&quot;family&quot;:&quot;Vinnikov&quot;,&quot;given&quot;:&quot;Denis&quot;,&quot;parse-names&quot;:false,&quot;dropping-particle&quot;:&quot;&quot;,&quot;non-dropping-particle&quot;:&quot;&quot;},{&quot;family&quot;:&quot;Redlich&quot;,&quot;given&quot;:&quot;Carrie A&quot;,&quot;parse-names&quot;:false,&quot;dropping-particle&quot;:&quot;&quot;,&quot;non-dropping-particle&quot;:&quot;&quot;}],&quot;container-title&quot;:&quot;American  Journal of Respiratory and Critical Care Medicine&quot;,&quot;accessed&quot;:{&quot;date-parts&quot;:[[2020,12,9]]},&quot;DOI&quot;:&quot;10.1164/rccm.201904-0717ST&quot;,&quot;URL&quot;:&quot;www.atsjournals.org.&quot;,&quot;issued&quot;:{&quot;date-parts&quot;:[[2019,6,1]]},&quot;page&quot;:&quot;1312-1334&quot;,&quot;issue&quot;:&quot;11&quot;,&quot;volume&quot;:&quot;199&quot;,&quot;container-title-short&quot;:&quot;Am J Respir Crit Care Med&quot;},&quot;isTemporary&quot;:false}]},{&quot;citationID&quot;:&quot;MENDELEY_CITATION_1dae9267-2862-4822-bc46-d729a248f16d&quot;,&quot;properties&quot;:{&quot;noteIndex&quot;:0},&quot;isEdited&quot;:false,&quot;manualOverride&quot;:{&quot;isManuallyOverridden&quot;:false,&quot;citeprocText&quot;:&quot;[11]&quot;,&quot;manualOverrideText&quot;:&quot;&quot;},&quot;citationTag&quot;:&quot;MENDELEY_CITATION_v3_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&quot;,&quot;citationItems&quot;:[{&quot;id&quot;:&quot;8ec0c7d1-fcf8-3271-9b5c-53dc7461f721&quot;,&quot;itemData&quot;:{&quot;type&quot;:&quot;article-journal&quot;,&quot;id&quot;:&quot;8ec0c7d1-fcf8-3271-9b5c-53dc7461f721&quot;,&quot;title&quot;:&quot;Occupational COPD-The most under-recognized occupational lung disease?&quot;,&quot;author&quot;:[{&quot;family&quot;:&quot;Murgia&quot;,&quot;given&quot;:&quot;Nicola&quot;,&quot;parse-names&quot;:false,&quot;dropping-particle&quot;:&quot;&quot;,&quot;non-dropping-particle&quot;:&quot;&quot;},{&quot;family&quot;:&quot;Gambelunghe&quot;,&quot;given&quot;:&quot;Angela&quot;,&quot;parse-names&quot;:false,&quot;dropping-particle&quot;:&quot;&quot;,&quot;non-dropping-particle&quot;:&quot;&quot;}],&quot;container-title&quot;:&quot;Respirology (Carlton, Vic.)&quot;,&quot;accessed&quot;:{&quot;date-parts&quot;:[[2024,12,2]]},&quot;DOI&quot;:&quot;10.1111/RESP.14272&quot;,&quot;ISSN&quot;:&quot;1440-1843&quot;,&quot;PMID&quot;:&quot;35513770&quot;,&quot;URL&quot;:&quot;https://pubmed.ncbi.nlm.nih.gov/35513770/&quot;,&quot;issued&quot;:{&quot;date-parts&quot;:[[2022,6,1]]},&quot;page&quot;:&quot;399-410&quot;,&quot;abstract&quot;:&quot;Chronic obstructive pulmonary disease (COPD) is caused by exposure to noxious particles and gases. Smoking is the main risk factor, but other factors are also associated with COPD. Occupational exposure to vapours, gases, dusts and fumes contributes to the development and progression of COPD, accounting for a population attributable fraction of 14%. Workplace pollutants, in particular inorganic dust, can initiate airway damage and inflammation, which are the hallmarks of COPD pathogenesis. Occupational COPD is still underdiagnosed, mainly due to the challenges of assessing the occupational component of the disease in clinical settings, especially if other risk factors are present. There is a need for specific education and training for clinicians, and research with a focus on evaluating the role of occupational exposure in causing COPD. Early diagnosis and identification of occupational causes is very important to prevent further decline in lung function and to reduce the health and socio-economic burden of COPD. Establishing details of the occupational history by general practitioners or respiratory physicians could help to define the occupational burden of COPD for individual patients, providing the first useful interventions (smoking cessation, best therapeutic management, etc.). Once patients are diagnosed with occupational COPD, there is a wide international variation in access to specialist occupational medicine and public health services, along with limitations in workplace and income support. Therefore, a strong collaboration between primary care physicians, respiratory physicians and occupational medicine specialists is desirable to help manage COPD patients' health and social issues.&quot;,&quot;publisher&quot;:&quot;Respirology&quot;,&quot;issue&quot;:&quot;6&quot;,&quot;volume&quot;:&quot;27&quot;,&quot;container-title-short&quot;:&quot;Respirology&quot;},&quot;isTemporary&quot;:false}]},{&quot;citationID&quot;:&quot;MENDELEY_CITATION_d8f2e2d8-d05c-4696-9247-65c611474a18&quot;,&quot;properties&quot;:{&quot;noteIndex&quot;:0},&quot;isEdited&quot;:false,&quot;manualOverride&quot;:{&quot;isManuallyOverridden&quot;:false,&quot;citeprocText&quot;:&quot;[5,14]&quot;,&quot;manualOverrideText&quot;:&quot;&quot;},&quot;citationTag&quot;:&quot;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&quot;,&quot;citationItems&quot;:[{&quot;id&quot;:&quot;f8167413-56a3-394c-9c40-7f4153a8ecae&quot;,&quot;itemData&quot;:{&quot;type&quot;:&quot;article-journal&quot;,&quot;id&quot;:&quot;f8167413-56a3-394c-9c40-7f4153a8ecae&quot;,&quot;title&quot;:&quot;Prevalence and burden of comorbidities in Chronic Obstructive Pulmonary Disease&quot;,&quot;author&quot;:[{&quot;family&quot;:&quot;Corlateanu&quot;,&quot;given&quot;:&quot;Alexandru&quot;,&quot;parse-names&quot;:false,&quot;dropping-particle&quot;:&quot;&quot;,&quot;non-dropping-particle&quot;:&quot;&quot;},{&quot;family&quot;:&quot;Covantev&quot;,&quot;given&quot;:&quot;Serghei&quot;,&quot;parse-names&quot;:false,&quot;dropping-particle&quot;:&quot;&quot;,&quot;non-dropping-particle&quot;:&quot;&quot;},{&quot;family&quot;:&quot;Mathioudakis&quot;,&quot;given&quot;:&quot;Alexander G.&quot;,&quot;parse-names&quot;:false,&quot;dropping-particle&quot;:&quot;&quot;,&quot;non-dropping-particle&quot;:&quot;&quot;},{&quot;family&quot;:&quot;Botnaru&quot;,&quot;given&quot;:&quot;Victor&quot;,&quot;parse-names&quot;:false,&quot;dropping-particle&quot;:&quot;&quot;,&quot;non-dropping-particle&quot;:&quot;&quot;},{&quot;family&quot;:&quot;Siafakas&quot;,&quot;given&quot;:&quot;Nikolaos&quot;,&quot;parse-names&quot;:false,&quot;dropping-particle&quot;:&quot;&quot;,&quot;non-dropping-particle&quot;:&quot;&quot;}],&quot;container-title&quot;:&quot;Respiratory Investigation&quot;,&quot;container-title-short&quot;:&quot;Respir Investig&quot;,&quot;accessed&quot;:{&quot;date-parts&quot;:[[2024,5,27]]},&quot;DOI&quot;:&quot;10.1016/J.RESINV.2016.07.001&quot;,&quot;ISSN&quot;:&quot;2212-5345&quot;,&quot;PMID&quot;:&quot;27886849&quot;,&quot;issued&quot;:{&quot;date-parts&quot;:[[2016,11,1]]},&quot;page&quot;:&quot;387-396&quot;,&quot;abstract&quot;:&quot;The classical definition of Chronic Obstructive Pulmonary Disease (COPD) as a lung condition characterized by irreversible airway obstruction is outdated. The systemic involvement in patients with COPD, as well as the interactions between COPD and its comorbidities, justify the description of chronic systemic inflammatory syndrome. The pathogenesis of COPD is closely linked with aging, as well as with cardiovascular, endocrine, musculoskeletal, renal, and gastrointestinal pathologies, decreasing the quality of life of patients with COPD and, furthermore, complicating the management of the disease. The most frequently described comorbidities include skeletal muscle wasting, cachexia (loss of fat-free mass), lung cancer (small cell or non-small cell), pulmonary hypertension, ischemic heart disease, hyperlipidemia, congestive heart failure, normocytic anemia, diabetes, metabolic syndrome, osteoporosis, obstructive sleep apnea, depression, and arthritis. These complex interactions are based on chronic low-grade systemic inflammation, chronic hypoxia, and multiple common predisposing factors, and are currently under intense research. This review article is an overview of the comorbidities of COPD, as well as their interaction and influence on mutual disease progression, prognosis, and quality of life.&quot;,&quot;publisher&quot;:&quot;Elsevier&quot;,&quot;issue&quot;:&quot;6&quot;,&quot;volume&quot;:&quot;54&quot;},&quot;isTemporary&quot;:false},{&quot;id&quot;:&quot;40e30623-6004-3ba4-bc18-b1528e200abc&quot;,&quot;itemData&quot;:{&quot;type&quot;:&quot;article-journal&quot;,&quot;id&quot;:&quot;40e30623-6004-3ba4-bc18-b1528e200abc&quot;,&quot;title&quot;:&quot;Disease Progression and Age as Factors Underlying Multimorbidity in Patients with COPD: Results from COSYCONET&quot;,&quot;author&quot;:[{&quot;family&quot;:&quot;Alter&quot;,&quot;given&quot;:&quot;Peter&quot;,&quot;parse-names&quot;:false,&quot;dropping-particle&quot;:&quot;&quot;,&quot;non-dropping-particle&quot;:&quot;&quot;},{&quot;family&quot;:&quot;Kahnert&quot;,&quot;given&quot;:&quot;Kathrin&quot;,&quot;parse-names&quot;:false,&quot;dropping-particle&quot;:&quot;&quot;,&quot;non-dropping-particle&quot;:&quot;&quot;},{&quot;family&quot;:&quot;Trudzinski&quot;,&quot;given&quot;:&quot;Franziska C.&quot;,&quot;parse-names&quot;:false,&quot;dropping-particle&quot;:&quot;&quot;,&quot;non-dropping-particle&quot;:&quot;&quot;},{&quot;family&quot;:&quot;Bals&quot;,&quot;given&quot;:&quot;Robert&quot;,&quot;parse-names&quot;:false,&quot;dropping-particle&quot;:&quot;&quot;,&quot;non-dropping-particle&quot;:&quot;&quot;},{&quot;family&quot;:&quot;Watz&quot;,&quot;given&quot;:&quot;Henrik&quot;,&quot;parse-names&quot;:false,&quot;dropping-particle&quot;:&quot;&quot;,&quot;non-dropping-particle&quot;:&quot;&quot;},{&quot;family&quot;:&quot;Speicher&quot;,&quot;given&quot;:&quot;Tim&quot;,&quot;parse-names&quot;:false,&quot;dropping-particle&quot;:&quot;&quot;,&quot;non-dropping-particle&quot;:&quot;&quot;},{&quot;family&quot;:&quot;Söhler&quot;,&quot;given&quot;:&quot;Sandra&quot;,&quot;parse-names&quot;:false,&quot;dropping-particle&quot;:&quot;&quot;,&quot;non-dropping-particle&quot;:&quot;&quot;},{&quot;family&quot;:&quot;Andreas&quot;,&quot;given&quot;:&quot;Stefan&quot;,&quot;parse-names&quot;:false,&quot;dropping-particle&quot;:&quot;&quot;,&quot;non-dropping-particle&quot;:&quot;&quot;},{&quot;family&quot;:&quot;Welte&quot;,&quot;given&quot;:&quot;Tobias&quot;,&quot;parse-names&quot;:false,&quot;dropping-particle&quot;:&quot;&quot;,&quot;non-dropping-particle&quot;:&quot;&quot;},{&quot;family&quot;:&quot;Rabe&quot;,&quot;given&quot;:&quot;Klaus F.&quot;,&quot;parse-names&quot;:false,&quot;dropping-particle&quot;:&quot;&quot;,&quot;non-dropping-particle&quot;:&quot;&quot;},{&quot;family&quot;:&quot;Wouters&quot;,&quot;given&quot;:&quot;Emiel F.M.&quot;,&quot;parse-names&quot;:false,&quot;dropping-particle&quot;:&quot;&quot;,&quot;non-dropping-particle&quot;:&quot;&quot;},{&quot;family&quot;:&quot;Sassmann-Schweda&quot;,&quot;given&quot;:&quot;Antonia&quot;,&quot;parse-names&quot;:false,&quot;dropping-particle&quot;:&quot;&quot;,&quot;non-dropping-particle&quot;:&quot;&quot;},{&quot;family&quot;:&quot;Wirtz&quot;,&quot;given&quot;:&quot;Hubert&quot;,&quot;parse-names&quot;:false,&quot;dropping-particle&quot;:&quot;&quot;,&quot;non-dropping-particle&quot;:&quot;&quot;},{&quot;family&quot;:&quot;Ficker&quot;,&quot;given&quot;:&quot;Joachim H.&quot;,&quot;parse-names&quot;:false,&quot;dropping-particle&quot;:&quot;&quot;,&quot;non-dropping-particle&quot;:&quot;&quot;},{&quot;family&quot;:&quot;Vogelmeier&quot;,&quot;given&quot;:&quot;Claus F.&quot;,&quot;parse-names&quot;:false,&quot;dropping-particle&quot;:&quot;&quot;,&quot;non-dropping-particle&quot;:&quot;&quot;},{&quot;family&quot;:&quot;Jörres&quot;,&quot;given&quot;:&quot;Rudolf A.&quot;,&quot;parse-names&quot;:false,&quot;dropping-particle&quot;:&quot;&quot;,&quot;non-dropping-particle&quot;:&quot;&quot;}],&quot;container-title&quot;:&quot;International journal of chronic obstructive pulmonary disease&quot;,&quot;container-title-short&quot;:&quot;Int J Chron Obstruct Pulmon Dis&quot;,&quot;accessed&quot;:{&quot;date-parts&quot;:[[2024,6,1]]},&quot;DOI&quot;:&quot;10.2147/COPD.S364812&quot;,&quot;ISSN&quot;:&quot;1178-2005&quot;,&quot;PMID&quot;:&quot;35936574&quot;,&quot;URL&quot;:&quot;https://pubmed.ncbi.nlm.nih.gov/35936574/&quot;,&quot;issued&quot;:{&quot;date-parts&quot;:[[2022]]},&quot;page&quot;:&quot;1703-1713&quot;,&quot;abstract&quot;:&quot;Background: Multimorbidity plays an important role in chronic obstructive pulmonary disease (COPD) but is also a feature of ageing. We estimated to what extent increases in the prevalence of multimorbidity over time are attributable to COPD progression compared to increasing patient age. Methods: Patients with COPD from the long-term COSYCONET (COPD and Systemic Consequences-Comorbidities Network) cohort with four follow-up visits were included in this analysis. At each visit, symptoms, exacerbation history, quality of life and lung function were assessed, along with the comorbidities heart failure (HF), coronary artery disease (CAD), peripheral arterial disease (PAD), hypertension, sleep apnea, diabetes mellitus, hyperlipidemia, hyperuricemia and osteoporosis. Using longitudinal logistic regression analysis, we determined what proportion of the increase in the prevalence of comorbidities could be attributed to patients’ age or to the progression of COPD over visits. Results: Of 2030 patients at baseline, 878 completed four follow-up visits (up to 4.5 years). CAD prevalence increased over time, with similar effects attributable to the 4.5-year follow-up, used as indicator of COPD progression, and to a 5-year increase in patients’ age. The prevalence of HF, diabetes, hyperlipidemia, hyperuricemia, osteoporosis and sleep apnea showed stronger contributions of COPD progression than of age; in contrast, age dominated for hypertension and PAD. There were different relationships to patients’ characteristics including BMI and sex. The results were not critically dependent on the duration of COPD prior to enrolment, or the inclusion of patients with all four follow-up visits vs those attending only at least one of them. Conclusion: Analyzing the increasing prevalence of multimorbidity in COPD over time, we separated age-independent contributions, probably reflecting intrinsic COPD-related disease progression, from age-dependent contributions. This distinction might be useful for the individual assessment of disease progression in COPD.&quot;,&quot;publisher&quot;:&quot;Int J Chron Obstruct Pulmon Dis&quot;,&quot;volume&quot;:&quot;17&quot;},&quot;isTemporary&quot;:false}]},{&quot;citationID&quot;:&quot;MENDELEY_CITATION_df1a75f6-2dfe-447c-8243-ace0091fdf92&quot;,&quot;properties&quot;:{&quot;noteIndex&quot;:0},&quot;isEdited&quot;:false,&quot;manualOverride&quot;:{&quot;isManuallyOverridden&quot;:false,&quot;citeprocText&quot;:&quot;[15]&quot;,&quot;manualOverrideText&quot;:&quot;&quot;},&quot;citationTag&quot;:&quot;MENDELEY_CITATION_v3_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&quot;,&quot;citationItems&quot;:[{&quot;id&quot;:&quot;9ab03fd0-05be-3bb2-88aa-d016125c96d2&quot;,&quot;itemData&quot;:{&quot;type&quot;:&quot;article-journal&quot;,&quot;id&quot;:&quot;9ab03fd0-05be-3bb2-88aa-d016125c96d2&quot;,&quot;title&quot;:&quot;Managing comorbidities in COPD&quot;,&quot;author&quot;:[{&quot;family&quot;:&quot;Hillas&quot;,&quot;given&quot;:&quot;Georgios&quot;,&quot;parse-names&quot;:false,&quot;dropping-particle&quot;:&quot;&quot;,&quot;non-dropping-particle&quot;:&quot;&quot;},{&quot;family&quot;:&quot;Perlikos&quot;,&quot;given&quot;:&quot;Fotis&quot;,&quot;parse-names&quot;:false,&quot;dropping-particle&quot;:&quot;&quot;,&quot;non-dropping-particle&quot;:&quot;&quot;},{&quot;family&quot;:&quot;Tsiligianni&quot;,&quot;given&quot;:&quot;Ioanna&quot;,&quot;parse-names&quot;:false,&quot;dropping-particle&quot;:&quot;&quot;,&quot;non-dropping-particle&quot;:&quot;&quot;},{&quot;family&quot;:&quot;Tzanakis&quot;,&quot;given&quot;:&quot;Nikolaos&quot;,&quot;parse-names&quot;:false,&quot;dropping-particle&quot;:&quot;&quot;,&quot;non-dropping-particle&quot;:&quot;&quot;}],&quot;container-title&quot;:&quot;International Journal of COPD&quot;,&quot;DOI&quot;:&quot;10.2147/COPD.S54473&quot;,&quot;ISSN&quot;:&quot;11782005&quot;,&quot;PMID&quot;:&quot;25609943&quot;,&quot;issued&quot;:{&quot;date-parts&quot;:[[2015]]},&quot;page&quot;:&quot;95-109&quot;,&quot;abstract&quot;:&quot;Chronic obstructive pulmonary disease (COPD) is a leading cause of morbidity and mortality worldwide. Age and smoking are common risk factors for COPD and other illnesses, often leading COPD patients to demonstrate multiple coexisting comorbidities. COPD exacerbations and comorbidities contribute to the overall severity in individual patients. Clinical trials investigating the treatment of COPD routinely exclude patients with multiple comorbidities or advanced age. Clinical practice guidelines for a specific disease do not usually address comorbidities in their recommendations. However, the management and the medical intervention in COPD patients with comorbidities need a holistic approach that is not clearly established worldwide. This holistic approach should include the specific burden of each comorbidity in the COPD severity classification scale. Further, the pharmacological and nonpharmacological management should also include optimal interventions and risk factor modifications simultaneously for all diseases. All health care specialists in COPD management need to work together with professionals specialized in the management of the other major chronic diseases in order to provide a multidisciplinary approach to COPD patients with multiple diseases. In this review, we focus on the major comorbidities that affect COPD patients. We present an overview of the problems faced, the reasons and risk factors for the most commonly encountered comorbidities, and the burden on health care costs. We also provide a rationale for approaching the therapeutic options of the COPD patient afflicted by comorbidity.&quot;,&quot;volume&quot;:&quot;10&quot;,&quot;container-title-short&quot;:&quot;&quot;},&quot;isTemporary&quot;:false}]},{&quot;citationID&quot;:&quot;MENDELEY_CITATION_9c18bf25-d33e-4bc0-ba75-38798943113b&quot;,&quot;properties&quot;:{&quot;noteIndex&quot;:0},&quot;isEdited&quot;:false,&quot;manualOverride&quot;:{&quot;isManuallyOverridden&quot;:false,&quot;citeprocText&quot;:&quot;[16]&quot;,&quot;manualOverrideText&quot;:&quot;&quot;},&quot;citationTag&quot;:&quot;MENDELEY_CITATION_v3_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&quot;,&quot;citationItems&quot;:[{&quot;id&quot;:&quot;f7ae9350-0e3a-3b06-b6a8-bb3522626137&quot;,&quot;itemData&quot;:{&quot;type&quot;:&quot;report&quot;,&quot;id&quot;:&quot;f7ae9350-0e3a-3b06-b6a8-bb3522626137&quot;,&quot;title&quot;:&quot;Former Worker Medical Screening Program Report 2019&quot;,&quot;author&quot;:[{&quot;family&quot;:&quot;United States Department of Energy&quot;,&quot;given&quot;:&quot;&quot;,&quot;parse-names&quot;:false,&quot;dropping-particle&quot;:&quot;&quot;,&quot;non-dropping-particle&quot;:&quot;&quot;}],&quot;accessed&quot;:{&quot;date-parts&quot;:[[2020,12,9]]},&quot;URL&quot;:&quot;energy.gov/sites/prod/files/2020/06/f75/2019-FW-Medical-Screening-Program-Annual-Report.pdf&quot;,&quot;issued&quot;:{&quot;date-parts&quot;:[[2019]]},&quot;number-of-pages&quot;:&quot;1-76&quot;,&quot;container-title-short&quot;:&quot;&quot;},&quot;isTemporary&quot;:false}]},{&quot;citationID&quot;:&quot;MENDELEY_CITATION_76d28dd6-a609-4482-9dd3-142cfc8fdf42&quot;,&quot;properties&quot;:{&quot;noteIndex&quot;:0},&quot;isEdited&quot;:false,&quot;manualOverride&quot;:{&quot;isManuallyOverridden&quot;:false,&quot;citeprocText&quot;:&quot;[17]&quot;,&quot;manualOverrideText&quot;:&quot;&quot;},&quot;citationTag&quot;:&quot;MENDELEY_CITATION_v3_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&quot;,&quot;citationItems&quot;:[{&quot;id&quot;:&quot;c8ef2b64-d30d-3299-bceb-951b4add0611&quot;,&quot;itemData&quot;:{&quot;type&quot;:&quot;article&quot;,&quot;id&quot;:&quot;c8ef2b64-d30d-3299-bceb-951b4add0611&quot;,&quot;title&quot;:&quot;Targeting aging pathways in chronic obstructive pulmonary disease&quot;,&quot;author&quot;:[{&quot;family&quot;:&quot;Easter&quot;,&quot;given&quot;:&quot;Molly&quot;,&quot;parse-names&quot;:false,&quot;dropping-particle&quot;:&quot;&quot;,&quot;non-dropping-particle&quot;:&quot;&quot;},{&quot;family&quot;:&quot;Bollenbecker&quot;,&quot;given&quot;:&quot;Seth&quot;,&quot;parse-names&quot;:false,&quot;dropping-particle&quot;:&quot;&quot;,&quot;non-dropping-particle&quot;:&quot;&quot;},{&quot;family&quot;:&quot;Barnes&quot;,&quot;given&quot;:&quot;Jarrod W.&quot;,&quot;parse-names&quot;:false,&quot;dropping-particle&quot;:&quot;&quot;,&quot;non-dropping-particle&quot;:&quot;&quot;},{&quot;family&quot;:&quot;Krick&quot;,&quot;given&quot;:&quot;Stefanie&quot;,&quot;parse-names&quot;:false,&quot;dropping-particle&quot;:&quot;&quot;,&quot;non-dropping-particle&quot;:&quot;&quot;}],&quot;container-title&quot;:&quot;International Journal of Molecular Sciences&quot;,&quot;accessed&quot;:{&quot;date-parts&quot;:[[2020,12,9]]},&quot;DOI&quot;:&quot;10.3390/ijms21186924&quot;,&quot;ISSN&quot;:&quot;14220067&quot;,&quot;PMID&quot;:&quot;32967225&quot;,&quot;URL&quot;:&quot;/pmc/articles/PMC7555616/?report=abstract&quot;,&quot;issued&quot;:{&quot;date-parts&quot;:[[2020,9,2]]},&quot;page&quot;:&quot;1-17&quot;,&quot;abstract&quot;:&quot;Chronic obstructive pulmonary disease (COPD) has become a global epidemic and is the third leading cause of death worldwide. COPD is characterized by chronic airway inflammation, loss of alveolar-capillary units, and progressive decline in lung function. Major risk factors for COPD are cigarette smoking and aging. COPD-associated pathomechanisms include multiple aging pathways such as telomere attrition, epigenetic alterations, altered nutrient sensing, mitochondrial dysfunction, cell senescence, stem cell exhaustion and chronic inflammation. In this review, we will highlight the current literature that focuses on the role of age and aging-associated signaling pathways as well as their impact on current treatment strategies in the pathogenesis of COPD. Furthermore, we will discuss established and experimental COPD treatments including senolytic and anti-aging therapies and their potential use as novel treatment strategies in COPD.&quot;,&quot;publisher&quot;:&quot;MDPI AG&quot;,&quot;issue&quot;:&quot;18&quot;,&quot;volume&quot;:&quot;21&quot;,&quot;container-title-short&quot;:&quot;Int J Mol Sci&quot;},&quot;isTemporary&quot;:false}]},{&quot;citationID&quot;:&quot;MENDELEY_CITATION_eb60690f-3825-4c2e-906e-623c59578e45&quot;,&quot;properties&quot;:{&quot;noteIndex&quot;:0},&quot;isEdited&quot;:false,&quot;manualOverride&quot;:{&quot;isManuallyOverridden&quot;:false,&quot;citeprocText&quot;:&quot;[18,19]&quot;,&quot;manualOverrideText&quot;:&quot;&quot;},&quot;citationTag&quot;:&quot;MENDELEY_CITATION_v3_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&quot;,&quot;citationItems&quot;:[{&quot;id&quot;:&quot;da3b0fa0-1c04-3107-8a3d-83c6ba24d5cc&quot;,&quot;itemData&quot;:{&quot;type&quot;:&quot;article-journal&quot;,&quot;id&quot;:&quot;da3b0fa0-1c04-3107-8a3d-83c6ba24d5cc&quot;,&quot;title&quot;:&quot;The history of COPD&quot;,&quot;author&quot;:[{&quot;family&quot;:&quot;Petty&quot;,&quot;given&quot;:&quot;Thomas L.&quot;,&quot;parse-names&quot;:false,&quot;dropping-particle&quot;:&quot;&quot;,&quot;non-dropping-particle&quot;:&quot;&quot;}],&quot;container-title&quot;:&quot;International Journal of Chronic Obstructive Pulmonary Disease&quot;,&quot;container-title-short&quot;:&quot;Int J Chron Obstruct Pulmon Dis&quot;,&quot;accessed&quot;:{&quot;date-parts&quot;:[[2024,6,29]]},&quot;DOI&quot;:&quot;10.2147/COPD.2006.1.1.3&quot;,&quot;ISSN&quot;:&quot;11769106&quot;,&quot;PMID&quot;:&quot;18046898&quot;,&quot;URL&quot;:&quot;/pmc/articles/PMC2706597/&quot;,&quot;issued&quot;:{&quot;date-parts&quot;:[[2006]]},&quot;page&quot;:&quot;3&quot;,&quot;abstract&quot;:&quot;The evolution of knowledge concerning COPD and its components--emphysema, chronic bronchitis, and asthmatic bronchitis--covers 200 years. The stethoscope and spirometer became important early tools in diagnosis and assessment. Spirometry remains the most effective means of identification and assessment of the course of COPD and responses to therapy, and is grossly underused for this purpose. Knowledge of the pathogenesis, course and prognosis, and new approaches to therapy have dramatically improved our understanding of this important clinical entity. Smoking cessation improves the early course of disease. Long-term oxygen improves the length and quality of life in selected patients with hypoxemia. Surgery benefits a select few. Today, COPD is a steadily growing global healthcare problem, with increasing morbidity and mortality. Early identification and prevention, and treatment of emerging stages of disease through smoking cessation and a growing number of bronchoactive drugs promises to change the outcome.&quot;,&quot;publisher&quot;:&quot;Dove Press&quot;,&quot;issue&quot;:&quot;1&quot;,&quot;volume&quot;:&quot;1&quot;},&quot;isTemporary&quot;:false},{&quot;id&quot;:&quot;a4deca4f-f432-3758-9aa0-25dbde9c7b17&quot;,&quot;itemData&quot;:{&quot;type&quot;:&quot;article-journal&quot;,&quot;id&quot;:&quot;a4deca4f-f432-3758-9aa0-25dbde9c7b17&quot;,&quot;title&quot;:&quot;Early History of Chronic Obstructive Pulmonary Disease 1808–1980&quot;,&quot;author&quot;:[{&quot;family&quot;:&quot;Watson&quot;,&quot;given&quot;:&quot;R. Ann&quot;,&quot;parse-names&quot;:false,&quot;dropping-particle&quot;:&quot;&quot;,&quot;non-dropping-particle&quot;:&quot;&quot;},{&quot;family&quot;:&quot;Pride&quot;,&quot;given&quot;:&quot;Neil B.&quot;,&quot;parse-names&quot;:false,&quot;dropping-particle&quot;:&quot;&quot;,&quot;non-dropping-particle&quot;:&quot;&quot;}],&quot;container-title&quot;:&quot;COPD: Journal of Chronic Obstructive Pulmonary Disease&quot;,&quot;accessed&quot;:{&quot;date-parts&quot;:[[2024,6,29]]},&quot;DOI&quot;:&quot;10.3109/15412555.2015.1043521&quot;,&quot;ISSN&quot;:&quot;15412563&quot;,&quot;PMID&quot;:&quot;26418529&quot;,&quot;URL&quot;:&quot;https://www.tandfonline.com/doi/abs/10.3109/15412555.2015.1043521&quot;,&quot;issued&quot;:{&quot;date-parts&quot;:[[2016,3,3]]},&quot;page&quot;:&quot;262-273&quot;,&quot;abstract&quot;:&quot;The term “chronic obstructive pulmonary disease” (COPD) came into use gradually in the 1960s and 1970s replacing the previous term “chronic bronchitis and emphysema” (CB&amp;E). Since that time the new...&quot;,&quot;publisher&quot;:&quot;Taylor &amp; FrancisNew York&quot;,&quot;issue&quot;:&quot;2&quot;,&quot;volume&quot;:&quot;13&quot;,&quot;container-title-short&quot;:&quot;&quot;},&quot;isTemporary&quot;:false}]},{&quot;citationID&quot;:&quot;MENDELEY_CITATION_bad20021-5e2d-4975-a8e6-a4fe353ddd55&quot;,&quot;properties&quot;:{&quot;noteIndex&quot;:0},&quot;isEdited&quot;:false,&quot;manualOverride&quot;:{&quot;isManuallyOverridden&quot;:false,&quot;citeprocText&quot;:&quot;[6]&quot;,&quot;manualOverrideText&quot;:&quot;&quot;},&quot;citationTag&quot;:&quot;MENDELEY_CITATION_v3_eyJjaXRhdGlvbklEIjoiTUVOREVMRVlfQ0lUQVRJT05fYmFkMjAwMjEtNWUyZC00OTc1LWE4ZTYtYTRmZTM1M2RkZDU1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quot;,&quot;citationItems&quot;:[{&quot;id&quot;:&quot;f6bf6552-f6e0-3ff4-a77d-6750f2546b26&quot;,&quot;itemData&quot;:{&quot;type&quot;:&quot;report&quot;,&quot;id&quot;:&quot;f6bf6552-f6e0-3ff4-a77d-6750f2546b26&quot;,&quot;title&quot;:&quot;GOLD Report 2020&quot;,&quot;author&quot;:[{&quot;family&quot;:&quot;Global Initiative for Chronic Obstructive Lung Disease&quot;,&quot;given&quot;:&quot;&quot;,&quot;parse-names&quot;:false,&quot;dropping-particle&quot;:&quot;&quot;,&quot;non-dropping-particle&quot;:&quot;&quot;}],&quot;container-title&quot;:&quot;Global Strategy for the Diagnosis, Management, and Prevention of Chronic Obstructive Pulmonary Disease: 2020 Report&quot;,&quot;URL&quot;:&quot;https://goldcopd.org/wp-content/uploads/2019/12/GOLD-2020-FINAL-ver1.2-03Dec19_WMV.pdf&quot;,&quot;issued&quot;:{&quot;date-parts&quot;:[[2020]]},&quot;number-of-pages&quot;:&quot;141&quot;,&quot;abstract&quot;:&quot;Global Strategy for the Diagnosis, Management, and Prevention of Chronic Obstructive Pulmonary Disease&quot;,&quot;container-title-short&quot;:&quot;&quot;},&quot;isTemporary&quot;:false}]},{&quot;citationID&quot;:&quot;MENDELEY_CITATION_924a9adc-d029-428b-ba98-e193471d5097&quot;,&quot;properties&quot;:{&quot;noteIndex&quot;:0},&quot;isEdited&quot;:false,&quot;manualOverride&quot;:{&quot;isManuallyOverridden&quot;:false,&quot;citeprocText&quot;:&quot;[20]&quot;,&quot;manualOverrideText&quot;:&quot;&quot;},&quot;citationTag&quot;:&quot;MENDELEY_CITATION_v3_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&quot;,&quot;citationItems&quot;:[{&quot;id&quot;:&quot;855cdb1c-92ad-3fd1-9adb-14cd6ec2b40f&quot;,&quot;itemData&quot;:{&quot;type&quot;:&quot;article-journal&quot;,&quot;id&quot;:&quot;855cdb1c-92ad-3fd1-9adb-14cd6ec2b40f&quot;,&quot;title&quot;:&quot;The lower limit of normal versus a fixed ratio to assess airflow limitation: will the debate ever end?&quot;,&quot;author&quot;:[{&quot;family&quot;:&quot;Smith&quot;,&quot;given&quot;:&quot;Lewis J.&quot;,&quot;parse-names&quot;:false,&quot;dropping-particle&quot;:&quot;&quot;,&quot;non-dropping-particle&quot;:&quot;&quot;}],&quot;container-title&quot;:&quot;European Respiratory Journal&quot;,&quot;accessed&quot;:{&quot;date-parts&quot;:[[2024,6,29]]},&quot;DOI&quot;:&quot;10.1183/13993003.00403-2018&quot;,&quot;ISSN&quot;:&quot;0903-1936&quot;,&quot;PMID&quot;:&quot;29599119&quot;,&quot;URL&quot;:&quot;https://erj.ersjournals.com/content/51/3/1800403&quot;,&quot;issued&quot;:{&quot;date-parts&quot;:[[2018,3,1]]},&quot;abstract&quot;:&quot;A normal test result is typically differentiated from an abnormal result by identifying those values that fall within (normal) and outside (abnormal) the 95% confidence interval for that test, after the test is evaluated in healthy individuals from the intended population. This approach acknowledges that 5% of a normal population will have an abnormal test result and some individuals with a normal test result will have the disease the test is designed to identify. Such trade-offs are common in the practice of medicine.\n\nIdentifying airflow limitation using an FEV1/FVC less than 0.70 in a general population of young adults can no longer be justified &lt;http://ow.ly/MRzo30iWja5&gt;&quot;,&quot;publisher&quot;:&quot;European Respiratory Society&quot;,&quot;issue&quot;:&quot;3&quot;,&quot;volume&quot;:&quot;51&quot;,&quot;container-title-short&quot;:&quot;&quot;},&quot;isTemporary&quot;:false}]},{&quot;citationID&quot;:&quot;MENDELEY_CITATION_fafbddb8-56d7-4585-bc20-21795fc3494f&quot;,&quot;properties&quot;:{&quot;noteIndex&quot;:0},&quot;isEdited&quot;:false,&quot;manualOverride&quot;:{&quot;isManuallyOverridden&quot;:false,&quot;citeprocText&quot;:&quot;[20]&quot;,&quot;manualOverrideText&quot;:&quot;&quot;},&quot;citationTag&quot;:&quot;MENDELEY_CITATION_v3_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&quot;,&quot;citationItems&quot;:[{&quot;id&quot;:&quot;855cdb1c-92ad-3fd1-9adb-14cd6ec2b40f&quot;,&quot;itemData&quot;:{&quot;type&quot;:&quot;article-journal&quot;,&quot;id&quot;:&quot;855cdb1c-92ad-3fd1-9adb-14cd6ec2b40f&quot;,&quot;title&quot;:&quot;The lower limit of normal versus a fixed ratio to assess airflow limitation: will the debate ever end?&quot;,&quot;author&quot;:[{&quot;family&quot;:&quot;Smith&quot;,&quot;given&quot;:&quot;Lewis J.&quot;,&quot;parse-names&quot;:false,&quot;dropping-particle&quot;:&quot;&quot;,&quot;non-dropping-particle&quot;:&quot;&quot;}],&quot;container-title&quot;:&quot;European Respiratory Journal&quot;,&quot;accessed&quot;:{&quot;date-parts&quot;:[[2024,6,29]]},&quot;DOI&quot;:&quot;10.1183/13993003.00403-2018&quot;,&quot;ISSN&quot;:&quot;0903-1936&quot;,&quot;PMID&quot;:&quot;29599119&quot;,&quot;URL&quot;:&quot;https://erj.ersjournals.com/content/51/3/1800403&quot;,&quot;issued&quot;:{&quot;date-parts&quot;:[[2018,3,1]]},&quot;abstract&quot;:&quot;A normal test result is typically differentiated from an abnormal result by identifying those values that fall within (normal) and outside (abnormal) the 95% confidence interval for that test, after the test is evaluated in healthy individuals from the intended population. This approach acknowledges that 5% of a normal population will have an abnormal test result and some individuals with a normal test result will have the disease the test is designed to identify. Such trade-offs are common in the practice of medicine.\n\nIdentifying airflow limitation using an FEV1/FVC less than 0.70 in a general population of young adults can no longer be justified &lt;http://ow.ly/MRzo30iWja5&gt;&quot;,&quot;publisher&quot;:&quot;European Respiratory Society&quot;,&quot;issue&quot;:&quot;3&quot;,&quot;volume&quot;:&quot;51&quot;,&quot;container-title-short&quot;:&quot;&quot;},&quot;isTemporary&quot;:false}]},{&quot;citationID&quot;:&quot;MENDELEY_CITATION_7deebe1c-d60d-4396-9d2a-1c73669fdd1d&quot;,&quot;properties&quot;:{&quot;noteIndex&quot;:0},&quot;isEdited&quot;:false,&quot;manualOverride&quot;:{&quot;isManuallyOverridden&quot;:false,&quot;citeprocText&quot;:&quot;[21]&quot;,&quot;manualOverrideText&quot;:&quot;&quot;},&quot;citationTag&quot;:&quot;MENDELEY_CITATION_v3_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&quot;,&quot;citationItems&quot;:[{&quot;id&quot;:&quot;bb0e04a4-6cae-352b-9eec-3cdfc40775b2&quot;,&quot;itemData&quot;:{&quot;type&quot;:&quot;article-journal&quot;,&quot;id&quot;:&quot;bb0e04a4-6cae-352b-9eec-3cdfc40775b2&quot;,&quot;title&quot;:&quot;Recommendations for epidemiological studies on COPD&quot;,&quot;author&quot;:[{&quot;family&quot;:&quot;Bakke&quot;,&quot;given&quot;:&quot;P. S.&quot;,&quot;parse-names&quot;:false,&quot;dropping-particle&quot;:&quot;&quot;,&quot;non-dropping-particle&quot;:&quot;&quot;},{&quot;family&quot;:&quot;Rönmark&quot;,&quot;given&quot;:&quot;E.&quot;,&quot;parse-names&quot;:false,&quot;dropping-particle&quot;:&quot;&quot;,&quot;non-dropping-particle&quot;:&quot;&quot;},{&quot;family&quot;:&quot;Eagan&quot;,&quot;given&quot;:&quot;T.&quot;,&quot;parse-names&quot;:false,&quot;dropping-particle&quot;:&quot;&quot;,&quot;non-dropping-particle&quot;:&quot;&quot;},{&quot;family&quot;:&quot;Pistelli&quot;,&quot;given&quot;:&quot;F.&quot;,&quot;parse-names&quot;:false,&quot;dropping-particle&quot;:&quot;&quot;,&quot;non-dropping-particle&quot;:&quot;&quot;},{&quot;family&quot;:&quot;Annesi-Maesano&quot;,&quot;given&quot;:&quot;I.&quot;,&quot;parse-names&quot;:false,&quot;dropping-particle&quot;:&quot;&quot;,&quot;non-dropping-particle&quot;:&quot;&quot;},{&quot;family&quot;:&quot;Maly&quot;,&quot;given&quot;:&quot;M.&quot;,&quot;parse-names&quot;:false,&quot;dropping-particle&quot;:&quot;&quot;,&quot;non-dropping-particle&quot;:&quot;&quot;},{&quot;family&quot;:&quot;Meren&quot;,&quot;given&quot;:&quot;M.&quot;,&quot;parse-names&quot;:false,&quot;dropping-particle&quot;:&quot;&quot;,&quot;non-dropping-particle&quot;:&quot;&quot;},{&quot;family&quot;:&quot;Vermeire&quot;,&quot;given&quot;:&quot;P.&quot;,&quot;parse-names&quot;:false,&quot;dropping-particle&quot;:&quot;&quot;,&quot;non-dropping-particle&quot;:&quot;&quot;},{&quot;family&quot;:&quot;Vestbo&quot;,&quot;given&quot;:&quot;J.&quot;,&quot;parse-names&quot;:false,&quot;dropping-particle&quot;:&quot;&quot;,&quot;non-dropping-particle&quot;:&quot;&quot;},{&quot;family&quot;:&quot;Viegi&quot;,&quot;given&quot;:&quot;G.&quot;,&quot;parse-names&quot;:false,&quot;dropping-particle&quot;:&quot;&quot;,&quot;non-dropping-particle&quot;:&quot;&quot;},{&quot;family&quot;:&quot;Zielinski&quot;,&quot;given&quot;:&quot;J.&quot;,&quot;parse-names&quot;:false,&quot;dropping-particle&quot;:&quot;&quot;,&quot;non-dropping-particle&quot;:&quot;&quot;},{&quot;family&quot;:&quot;Lundbäck&quot;,&quot;given&quot;:&quot;B.&quot;,&quot;parse-names&quot;:false,&quot;dropping-particle&quot;:&quot;&quot;,&quot;non-dropping-particle&quot;:&quot;&quot;}],&quot;container-title&quot;:&quot;European Respiratory Journal&quot;,&quot;DOI&quot;:&quot;10.1183/09031936.00193809&quot;,&quot;ISSN&quot;:&quot;09031936&quot;,&quot;PMID&quot;:&quot;22130763&quot;,&quot;issued&quot;:{&quot;date-parts&quot;:[[2011]]},&quot;page&quot;:&quot;1261-1277&quot;,&quot;abstract&quot;:&quot;The prevalence of chronic obstructive pulmonary disease (COPD) has been extensively studied, especially in Western Europe and North America. Few of these data are directly comparable because of differences between the surveys regarding composition of study populations, diagnostic criteria of the disease and definitions of the risk factors. Few community studies have examined phenotypes of COPD and included other ways of characterising the disease beyond that of spirometry. The objective of the present Task Force report is to present recommendations for the performance of general population studies in COPD in order to facilitate comparable and valid estimates on COPD prevalence by various risk factors. Diagnostic criteria in epidemiological settings, and standardised methods to examine the disease and its potential risk factors are discussed. The paper also offers practical advice for planning and performing an epidemiological study on COPD. The main message of the paper is that thorough planning is worth half the study. It is crucial to stick to standardised methods and good quality control during sampling. We recommend collecting biological markers, depending on the specific objectives of the study. Finally, studies of COPD in the population at large should assess various phenotypes of the disease.&quot;,&quot;issue&quot;:&quot;6&quot;,&quot;volume&quot;:&quot;38&quot;,&quot;container-title-short&quot;:&quot;&quot;},&quot;isTemporary&quot;:false}]},{&quot;citationID&quot;:&quot;MENDELEY_CITATION_3c65af47-04b0-4b8b-b140-c770773606df&quot;,&quot;properties&quot;:{&quot;noteIndex&quot;:0},&quot;isEdited&quot;:false,&quot;manualOverride&quot;:{&quot;isManuallyOverridden&quot;:false,&quot;citeprocText&quot;:&quot;[20,21]&quot;,&quot;manualOverrideText&quot;:&quot;&quot;},&quot;citationTag&quot;:&quot;MENDELEY_CITATION_v3_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&quot;,&quot;citationItems&quot;:[{&quot;id&quot;:&quot;855cdb1c-92ad-3fd1-9adb-14cd6ec2b40f&quot;,&quot;itemData&quot;:{&quot;type&quot;:&quot;article-journal&quot;,&quot;id&quot;:&quot;855cdb1c-92ad-3fd1-9adb-14cd6ec2b40f&quot;,&quot;title&quot;:&quot;The lower limit of normal versus a fixed ratio to assess airflow limitation: will the debate ever end?&quot;,&quot;author&quot;:[{&quot;family&quot;:&quot;Smith&quot;,&quot;given&quot;:&quot;Lewis J.&quot;,&quot;parse-names&quot;:false,&quot;dropping-particle&quot;:&quot;&quot;,&quot;non-dropping-particle&quot;:&quot;&quot;}],&quot;container-title&quot;:&quot;European Respiratory Journal&quot;,&quot;accessed&quot;:{&quot;date-parts&quot;:[[2024,6,29]]},&quot;DOI&quot;:&quot;10.1183/13993003.00403-2018&quot;,&quot;ISSN&quot;:&quot;0903-1936&quot;,&quot;PMID&quot;:&quot;29599119&quot;,&quot;URL&quot;:&quot;https://erj.ersjournals.com/content/51/3/1800403&quot;,&quot;issued&quot;:{&quot;date-parts&quot;:[[2018,3,1]]},&quot;abstract&quot;:&quot;A normal test result is typically differentiated from an abnormal result by identifying those values that fall within (normal) and outside (abnormal) the 95% confidence interval for that test, after the test is evaluated in healthy individuals from the intended population. This approach acknowledges that 5% of a normal population will have an abnormal test result and some individuals with a normal test result will have the disease the test is designed to identify. Such trade-offs are common in the practice of medicine.\n\nIdentifying airflow limitation using an FEV1/FVC less than 0.70 in a general population of young adults can no longer be justified &lt;http://ow.ly/MRzo30iWja5&gt;&quot;,&quot;publisher&quot;:&quot;European Respiratory Society&quot;,&quot;issue&quot;:&quot;3&quot;,&quot;volume&quot;:&quot;51&quot;,&quot;container-title-short&quot;:&quot;&quot;},&quot;isTemporary&quot;:false},{&quot;id&quot;:&quot;bb0e04a4-6cae-352b-9eec-3cdfc40775b2&quot;,&quot;itemData&quot;:{&quot;type&quot;:&quot;article-journal&quot;,&quot;id&quot;:&quot;bb0e04a4-6cae-352b-9eec-3cdfc40775b2&quot;,&quot;title&quot;:&quot;Recommendations for epidemiological studies on COPD&quot;,&quot;author&quot;:[{&quot;family&quot;:&quot;Bakke&quot;,&quot;given&quot;:&quot;P. S.&quot;,&quot;parse-names&quot;:false,&quot;dropping-particle&quot;:&quot;&quot;,&quot;non-dropping-particle&quot;:&quot;&quot;},{&quot;family&quot;:&quot;Rönmark&quot;,&quot;given&quot;:&quot;E.&quot;,&quot;parse-names&quot;:false,&quot;dropping-particle&quot;:&quot;&quot;,&quot;non-dropping-particle&quot;:&quot;&quot;},{&quot;family&quot;:&quot;Eagan&quot;,&quot;given&quot;:&quot;T.&quot;,&quot;parse-names&quot;:false,&quot;dropping-particle&quot;:&quot;&quot;,&quot;non-dropping-particle&quot;:&quot;&quot;},{&quot;family&quot;:&quot;Pistelli&quot;,&quot;given&quot;:&quot;F.&quot;,&quot;parse-names&quot;:false,&quot;dropping-particle&quot;:&quot;&quot;,&quot;non-dropping-particle&quot;:&quot;&quot;},{&quot;family&quot;:&quot;Annesi-Maesano&quot;,&quot;given&quot;:&quot;I.&quot;,&quot;parse-names&quot;:false,&quot;dropping-particle&quot;:&quot;&quot;,&quot;non-dropping-particle&quot;:&quot;&quot;},{&quot;family&quot;:&quot;Maly&quot;,&quot;given&quot;:&quot;M.&quot;,&quot;parse-names&quot;:false,&quot;dropping-particle&quot;:&quot;&quot;,&quot;non-dropping-particle&quot;:&quot;&quot;},{&quot;family&quot;:&quot;Meren&quot;,&quot;given&quot;:&quot;M.&quot;,&quot;parse-names&quot;:false,&quot;dropping-particle&quot;:&quot;&quot;,&quot;non-dropping-particle&quot;:&quot;&quot;},{&quot;family&quot;:&quot;Vermeire&quot;,&quot;given&quot;:&quot;P.&quot;,&quot;parse-names&quot;:false,&quot;dropping-particle&quot;:&quot;&quot;,&quot;non-dropping-particle&quot;:&quot;&quot;},{&quot;family&quot;:&quot;Vestbo&quot;,&quot;given&quot;:&quot;J.&quot;,&quot;parse-names&quot;:false,&quot;dropping-particle&quot;:&quot;&quot;,&quot;non-dropping-particle&quot;:&quot;&quot;},{&quot;family&quot;:&quot;Viegi&quot;,&quot;given&quot;:&quot;G.&quot;,&quot;parse-names&quot;:false,&quot;dropping-particle&quot;:&quot;&quot;,&quot;non-dropping-particle&quot;:&quot;&quot;},{&quot;family&quot;:&quot;Zielinski&quot;,&quot;given&quot;:&quot;J.&quot;,&quot;parse-names&quot;:false,&quot;dropping-particle&quot;:&quot;&quot;,&quot;non-dropping-particle&quot;:&quot;&quot;},{&quot;family&quot;:&quot;Lundbäck&quot;,&quot;given&quot;:&quot;B.&quot;,&quot;parse-names&quot;:false,&quot;dropping-particle&quot;:&quot;&quot;,&quot;non-dropping-particle&quot;:&quot;&quot;}],&quot;container-title&quot;:&quot;European Respiratory Journal&quot;,&quot;DOI&quot;:&quot;10.1183/09031936.00193809&quot;,&quot;ISSN&quot;:&quot;09031936&quot;,&quot;PMID&quot;:&quot;22130763&quot;,&quot;issued&quot;:{&quot;date-parts&quot;:[[2011]]},&quot;page&quot;:&quot;1261-1277&quot;,&quot;abstract&quot;:&quot;The prevalence of chronic obstructive pulmonary disease (COPD) has been extensively studied, especially in Western Europe and North America. Few of these data are directly comparable because of differences between the surveys regarding composition of study populations, diagnostic criteria of the disease and definitions of the risk factors. Few community studies have examined phenotypes of COPD and included other ways of characterising the disease beyond that of spirometry. The objective of the present Task Force report is to present recommendations for the performance of general population studies in COPD in order to facilitate comparable and valid estimates on COPD prevalence by various risk factors. Diagnostic criteria in epidemiological settings, and standardised methods to examine the disease and its potential risk factors are discussed. The paper also offers practical advice for planning and performing an epidemiological study on COPD. The main message of the paper is that thorough planning is worth half the study. It is crucial to stick to standardised methods and good quality control during sampling. We recommend collecting biological markers, depending on the specific objectives of the study. Finally, studies of COPD in the population at large should assess various phenotypes of the disease.&quot;,&quot;issue&quot;:&quot;6&quot;,&quot;volume&quot;:&quot;38&quot;,&quot;container-title-short&quot;:&quot;&quot;},&quot;isTemporary&quot;:false}]},{&quot;citationID&quot;:&quot;MENDELEY_CITATION_51fabd09-1658-4782-bfef-d4f710e1a080&quot;,&quot;properties&quot;:{&quot;noteIndex&quot;:0},&quot;isEdited&quot;:false,&quot;manualOverride&quot;:{&quot;isManuallyOverridden&quot;:false,&quot;citeprocText&quot;:&quot;[22]&quot;,&quot;manualOverrideText&quot;:&quot;&quot;},&quot;citationTag&quot;:&quot;MENDELEY_CITATION_v3_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&quot;,&quot;citationItems&quot;:[{&quot;id&quot;:&quot;7b6d7736-e193-3d80-85bb-b3a96c05424d&quot;,&quot;itemData&quot;:{&quot;type&quot;:&quot;article-journal&quot;,&quot;id&quot;:&quot;7b6d7736-e193-3d80-85bb-b3a96c05424d&quot;,&quot;title&quot;:&quot;Contemporary Concise Review 2022: Chronic obstructive pulmonary disease&quot;,&quot;author&quot;:[{&quot;family&quot;:&quot;Calverley&quot;,&quot;given&quot;:&quot;Peter M.A.&quot;,&quot;parse-names&quot;:false,&quot;dropping-particle&quot;:&quot;&quot;,&quot;non-dropping-particle&quot;:&quot;&quot;},{&quot;family&quot;:&quot;Walker&quot;,&quot;given&quot;:&quot;Paul P.&quot;,&quot;parse-names&quot;:false,&quot;dropping-particle&quot;:&quot;&quot;,&quot;non-dropping-particle&quot;:&quot;&quot;}],&quot;container-title&quot;:&quot;Respirology&quot;,&quot;accessed&quot;:{&quot;date-parts&quot;:[[2024,5,27]]},&quot;DOI&quot;:&quot;10.1111/RESP.14489&quot;,&quot;ISSN&quot;:&quot;14401843&quot;,&quot;PMID&quot;:&quot;36922031&quot;,&quot;issued&quot;:{&quot;date-parts&quot;:[[2023,5,1]]},&quot;page&quot;:&quot;428-436&quot;,&quot;abstract&quot;:&quot;International respiratory organizations now recommend using lower limit of normal and standardized residuals to diagnose airflow obstruction and COPD though using a fixed ratio &lt;0.7 is simpler and robustly predicts important clinical outcomes. The most common COPD comorbidities are coronary artery calcification, emphysema and bronchiectasis. COPD patients with psychological (high anxiety and depression) and cachectic (underweight and osteoporotic) comorbidity have higher mortality and exacerbate more. Serum eosinophil count remains an important COPD biomarker and we have greater clarity about normal eosinophil levels in COPD and the wider population. Criteria for entry into COPD clinical trials continue to exclude many patients, in particular those at greater risk of exacerbation and death. The effect of hyperinflation on cardiac function impacts COPD mortality and is an important target for successful lung volume reduction procedures.&quot;,&quot;publisher&quot;:&quot;John Wiley and Sons Inc&quot;,&quot;issue&quot;:&quot;5&quot;,&quot;volume&quot;:&quot;28&quot;,&quot;container-title-short&quot;:&quot;&quot;},&quot;isTemporary&quot;:false}]},{&quot;citationID&quot;:&quot;MENDELEY_CITATION_b5616414-ee23-42d4-8cbd-f4a94c783cf1&quot;,&quot;properties&quot;:{&quot;noteIndex&quot;:0},&quot;isEdited&quot;:false,&quot;manualOverride&quot;:{&quot;isManuallyOverridden&quot;:false,&quot;citeprocText&quot;:&quot;[22]&quot;,&quot;manualOverrideText&quot;:&quot;&quot;},&quot;citationTag&quot;:&quot;MENDELEY_CITATION_v3_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&quot;,&quot;citationItems&quot;:[{&quot;id&quot;:&quot;7b6d7736-e193-3d80-85bb-b3a96c05424d&quot;,&quot;itemData&quot;:{&quot;type&quot;:&quot;article-journal&quot;,&quot;id&quot;:&quot;7b6d7736-e193-3d80-85bb-b3a96c05424d&quot;,&quot;title&quot;:&quot;Contemporary Concise Review 2022: Chronic obstructive pulmonary disease&quot;,&quot;author&quot;:[{&quot;family&quot;:&quot;Calverley&quot;,&quot;given&quot;:&quot;Peter M.A.&quot;,&quot;parse-names&quot;:false,&quot;dropping-particle&quot;:&quot;&quot;,&quot;non-dropping-particle&quot;:&quot;&quot;},{&quot;family&quot;:&quot;Walker&quot;,&quot;given&quot;:&quot;Paul P.&quot;,&quot;parse-names&quot;:false,&quot;dropping-particle&quot;:&quot;&quot;,&quot;non-dropping-particle&quot;:&quot;&quot;}],&quot;container-title&quot;:&quot;Respirology&quot;,&quot;accessed&quot;:{&quot;date-parts&quot;:[[2024,5,27]]},&quot;DOI&quot;:&quot;10.1111/RESP.14489&quot;,&quot;ISSN&quot;:&quot;14401843&quot;,&quot;PMID&quot;:&quot;36922031&quot;,&quot;issued&quot;:{&quot;date-parts&quot;:[[2023,5,1]]},&quot;page&quot;:&quot;428-436&quot;,&quot;abstract&quot;:&quot;International respiratory organizations now recommend using lower limit of normal and standardized residuals to diagnose airflow obstruction and COPD though using a fixed ratio &lt;0.7 is simpler and robustly predicts important clinical outcomes. The most common COPD comorbidities are coronary artery calcification, emphysema and bronchiectasis. COPD patients with psychological (high anxiety and depression) and cachectic (underweight and osteoporotic) comorbidity have higher mortality and exacerbate more. Serum eosinophil count remains an important COPD biomarker and we have greater clarity about normal eosinophil levels in COPD and the wider population. Criteria for entry into COPD clinical trials continue to exclude many patients, in particular those at greater risk of exacerbation and death. The effect of hyperinflation on cardiac function impacts COPD mortality and is an important target for successful lung volume reduction procedures.&quot;,&quot;publisher&quot;:&quot;John Wiley and Sons Inc&quot;,&quot;issue&quot;:&quot;5&quot;,&quot;volume&quot;:&quot;28&quot;,&quot;container-title-short&quot;:&quot;&quot;},&quot;isTemporary&quot;:false}]},{&quot;citationID&quot;:&quot;MENDELEY_CITATION_6afc0d5f-65a8-4138-9aeb-adc701e5c2a3&quot;,&quot;properties&quot;:{&quot;noteIndex&quot;:0},&quot;isEdited&quot;:false,&quot;manualOverride&quot;:{&quot;isManuallyOverridden&quot;:false,&quot;citeprocText&quot;:&quot;[23–25]&quot;,&quot;manualOverrideText&quot;:&quot;&quot;},&quot;citationTag&quot;:&quot;MENDELEY_CITATION_v3_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&quot;,&quot;citationItems&quot;:[{&quot;id&quot;:&quot;33681bd2-69d2-3438-b0ba-738bd6d51a21&quot;,&quot;itemData&quot;:{&quot;type&quot;:&quot;article-journal&quot;,&quot;id&quot;:&quot;33681bd2-69d2-3438-b0ba-738bd6d51a21&quot;,&quot;title&quot;:&quot;Pathogenesis of chronic obstructive pulmonary disease: understanding the contributions of gene–environment interactions across the lifespan&quot;,&quot;author&quot;:[{&quot;family&quot;:&quot;Agustí&quot;,&quot;given&quot;:&quot;Alvar&quot;,&quot;parse-names&quot;:false,&quot;dropping-particle&quot;:&quot;&quot;,&quot;non-dropping-particle&quot;:&quot;&quot;},{&quot;family&quot;:&quot;Melén&quot;,&quot;given&quot;:&quot;Erik&quot;,&quot;parse-names&quot;:false,&quot;dropping-particle&quot;:&quot;&quot;,&quot;non-dropping-particle&quot;:&quot;&quot;},{&quot;family&quot;:&quot;DeMeo&quot;,&quot;given&quot;:&quot;Dawn L.&quot;,&quot;parse-names&quot;:false,&quot;dropping-particle&quot;:&quot;&quot;,&quot;non-dropping-particle&quot;:&quot;&quot;},{&quot;family&quot;:&quot;Breyer-Kohansal&quot;,&quot;given&quot;:&quot;Robab&quot;,&quot;parse-names&quot;:false,&quot;dropping-particle&quot;:&quot;&quot;,&quot;non-dropping-particle&quot;:&quot;&quot;},{&quot;family&quot;:&quot;Faner&quot;,&quot;given&quot;:&quot;Rosa&quot;,&quot;parse-names&quot;:false,&quot;dropping-particle&quot;:&quot;&quot;,&quot;non-dropping-particle&quot;:&quot;&quot;}],&quot;container-title&quot;:&quot;The Lancet. Respiratory medicine&quot;,&quot;container-title-short&quot;:&quot;Lancet Respir Med&quot;,&quot;accessed&quot;:{&quot;date-parts&quot;:[[2024,10,9]]},&quot;DOI&quot;:&quot;10.1016/S2213-2600(21)00555-5&quot;,&quot;ISSN&quot;:&quot;22132619&quot;,&quot;PMID&quot;:&quot;35427533&quot;,&quot;URL&quot;:&quot;/pmc/articles/PMC11428195/&quot;,&quot;issued&quot;:{&quot;date-parts&quot;:[[2022,5,1]]},&quot;page&quot;:&quot;512&quot;,&quot;abstract&quot;:&quot;The traditional view of chronic obstructive pulmonary disease (COPD) as a self-inflicted disease caused by tobacco smoking in genetically susceptible individuals has been challenged by recent research findings. COPD can instead be understood as the potential end result of the accumulation of gene–environment interactions encountered by an individual over the life course. Integration of a time axis in pathogenic models of COPD is necessary because the biological responses to and clinical consequences of different exposures might vary according to both the age of an individual at which a given gene–environment interaction occurs and the cumulative history of previous gene–environment interactions. Future research should aim to understand the effects of dynamic interactions between genes (G) and the environment (E) by integrating information from basic omics (eg, genomics, epigenomics, proteomics) and clinical omics (eg, phenomics, physiomics, radiomics) with exposures (the exposome) over time (T)—an approach that we refer to as GETomics. In the context of this approach, we argue that COPD should be viewed not as a single disease, but as a clinical syndrome characterised by a recognisable pattern of chronic symptoms and structural or functional impairments due to gene–environment interactions across the lifespan that influence normal lung development and ageing.&quot;,&quot;publisher&quot;:&quot;NIH Public Access&quot;,&quot;issue&quot;:&quot;5&quot;,&quot;volume&quot;:&quot;10&quot;},&quot;isTemporary&quot;:false},{&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id&quot;:&quot;1cf921ad-2528-3f6b-a993-da116f5bf649&quot;,&quot;itemData&quot;:{&quot;type&quot;:&quot;article-journal&quot;,&quot;id&quot;:&quot;1cf921ad-2528-3f6b-a993-da116f5bf649&quot;,&quot;title&quot;:&quot;The Diagnosis and Treatment of COPD and Its Comorbidities&quot;,&quot;author&quot;:[{&quot;family&quot;:&quot;Kahnert&quot;,&quot;given&quot;:&quot;Kathrin&quot;,&quot;parse-names&quot;:false,&quot;dropping-particle&quot;:&quot;&quot;,&quot;non-dropping-particle&quot;:&quot;&quot;},{&quot;family&quot;:&quot;Jörres&quot;,&quot;given&quot;:&quot;Rudolf A.&quot;,&quot;parse-names&quot;:false,&quot;dropping-particle&quot;:&quot;&quot;,&quot;non-dropping-particle&quot;:&quot;&quot;},{&quot;family&quot;:&quot;Behr&quot;,&quot;given&quot;:&quot;Jürgen&quot;,&quot;parse-names&quot;:false,&quot;dropping-particle&quot;:&quot;&quot;,&quot;non-dropping-particle&quot;:&quot;&quot;},{&quot;family&quot;:&quot;Welte&quot;,&quot;given&quot;:&quot;Tobias&quot;,&quot;parse-names&quot;:false,&quot;dropping-particle&quot;:&quot;&quot;,&quot;non-dropping-particle&quot;:&quot;&quot;}],&quot;container-title&quot;:&quot;Deutsches Ärzteblatt International&quot;,&quot;accessed&quot;:{&quot;date-parts&quot;:[[2024,10,7]]},&quot;DOI&quot;:&quot;10.3238/ARZTEBL.M2023.027&quot;,&quot;ISSN&quot;:&quot;18660452&quot;,&quot;PMID&quot;:&quot;36794439&quot;,&quot;URL&quot;:&quot;/pmc/articles/PMC10478768/&quot;,&quot;issued&quot;:{&quot;date-parts&quot;:[[2023,6,23]]},&quot;page&quot;:&quot;434&quot;,&quot;abstract&quot;:&quot;Background: Chronic obstructive pulmonary disease (COPD) is the third most common cause of death around the world. The affected patients suffer not only from impaired lung function, but also from a wide variety of comorbidities. Their cardiac comorbidities, in particular, lead to increased mortality. Methods: This review is based on pertinent publications retrieved by a selective search in PubMed, including guidelines from Germany and abroad. Results: The usual diagnostic criteria for COPD are a post-bronchodilator FEV1/FVC quotient below the fixed threshold of 0.7, or, preferably, below the lower limit of normal (LLN) according to the GLI reference values for the avoidance of over- and underdiagnosis. The overall prognosis is markedly affected by comorbidities of the lung itself and those that involve other organs; in particular, many persons with COPD die of heart disease. The potential presence of heart disease must be borne in mind in the evaluation of patients with COPD, as lung disease can impair the detection of heart disease. Conclusion: As patients with COPD are often multimorbid, the early diagnosis and adequate treatment not only of their lung disease, but also of their extrapulmonary comorbidities are very important. Well-established diagnostic instruments and well-tested treatments are available and are described in detail in the guidelines concerning the comorbidities. Preliminary observations suggest that more attention should be paid to the potential positive effects of treating comorbidities on the lung disease itself, and vice versa.&quot;,&quot;publisher&quot;:&quot;Deutscher Arzte-Verlag GmbH&quot;,&quot;issue&quot;:&quot;25&quot;,&quot;volume&quot;:&quot;120&quot;,&quot;container-title-short&quot;:&quot;Dtsch Arztebl Int&quot;},&quot;isTemporary&quot;:false}]},{&quot;citationID&quot;:&quot;MENDELEY_CITATION_c285e376-4845-423b-9301-30b263e5592a&quot;,&quot;properties&quot;:{&quot;noteIndex&quot;:0},&quot;isEdited&quot;:false,&quot;manualOverride&quot;:{&quot;isManuallyOverridden&quot;:false,&quot;citeprocText&quot;:&quot;[22,26]&quot;,&quot;manualOverrideText&quot;:&quot;&quot;},&quot;citationTag&quot;:&quot;MENDELEY_CITATION_v3_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&quot;,&quot;citationItems&quot;:[{&quot;id&quot;:&quot;7b6d7736-e193-3d80-85bb-b3a96c05424d&quot;,&quot;itemData&quot;:{&quot;type&quot;:&quot;article-journal&quot;,&quot;id&quot;:&quot;7b6d7736-e193-3d80-85bb-b3a96c05424d&quot;,&quot;title&quot;:&quot;Contemporary Concise Review 2022: Chronic obstructive pulmonary disease&quot;,&quot;author&quot;:[{&quot;family&quot;:&quot;Calverley&quot;,&quot;given&quot;:&quot;Peter M.A.&quot;,&quot;parse-names&quot;:false,&quot;dropping-particle&quot;:&quot;&quot;,&quot;non-dropping-particle&quot;:&quot;&quot;},{&quot;family&quot;:&quot;Walker&quot;,&quot;given&quot;:&quot;Paul P.&quot;,&quot;parse-names&quot;:false,&quot;dropping-particle&quot;:&quot;&quot;,&quot;non-dropping-particle&quot;:&quot;&quot;}],&quot;container-title&quot;:&quot;Respirology&quot;,&quot;accessed&quot;:{&quot;date-parts&quot;:[[2024,5,27]]},&quot;DOI&quot;:&quot;10.1111/RESP.14489&quot;,&quot;ISSN&quot;:&quot;14401843&quot;,&quot;PMID&quot;:&quot;36922031&quot;,&quot;issued&quot;:{&quot;date-parts&quot;:[[2023,5,1]]},&quot;page&quot;:&quot;428-436&quot;,&quot;abstract&quot;:&quot;International respiratory organizations now recommend using lower limit of normal and standardized residuals to diagnose airflow obstruction and COPD though using a fixed ratio &lt;0.7 is simpler and robustly predicts important clinical outcomes. The most common COPD comorbidities are coronary artery calcification, emphysema and bronchiectasis. COPD patients with psychological (high anxiety and depression) and cachectic (underweight and osteoporotic) comorbidity have higher mortality and exacerbate more. Serum eosinophil count remains an important COPD biomarker and we have greater clarity about normal eosinophil levels in COPD and the wider population. Criteria for entry into COPD clinical trials continue to exclude many patients, in particular those at greater risk of exacerbation and death. The effect of hyperinflation on cardiac function impacts COPD mortality and is an important target for successful lung volume reduction procedures.&quot;,&quot;publisher&quot;:&quot;John Wiley and Sons Inc&quot;,&quot;issue&quot;:&quot;5&quot;,&quot;volume&quot;:&quot;28&quot;,&quot;container-title-short&quot;:&quot;&quot;},&quot;isTemporary&quot;:false},{&quot;id&quot;:&quot;d9df7cd2-97dd-378e-b892-f0fefbf5634e&quot;,&quot;itemData&quot;:{&quot;type&quot;:&quot;article-journal&quot;,&quot;id&quot;:&quot;d9df7cd2-97dd-378e-b892-f0fefbf5634e&quot;,&quot;title&quot;:&quot;New Perspectives on Chronic Obstructive Pulmonary Disease&quot;,&quot;author&quot;:[{&quot;family&quot;:&quot;Celli&quot;,&quot;given&quot;:&quot;Bartolome R.&quot;,&quot;parse-names&quot;:false,&quot;dropping-particle&quot;:&quot;&quot;,&quot;non-dropping-particle&quot;:&quot;&quot;},{&quot;family&quot;:&quot;Singh&quot;,&quot;given&quot;:&quot;Dave&quot;,&quot;parse-names&quot;:false,&quot;dropping-particle&quot;:&quot;&quot;,&quot;non-dropping-particle&quot;:&quot;&quot;},{&quot;family&quot;:&quot;Vogelmeier&quot;,&quot;given&quot;:&quot;Claus&quot;,&quot;parse-names&quot;:false,&quot;dropping-particle&quot;:&quot;&quot;,&quot;non-dropping-particle&quot;:&quot;&quot;},{&quot;family&quot;:&quot;Agusti&quot;,&quot;given&quot;:&quot;Alvar&quot;,&quot;parse-names&quot;:false,&quot;dropping-particle&quot;:&quot;&quot;,&quot;non-dropping-particle&quot;:&quot;&quot;}],&quot;container-title&quot;:&quot;International Journal of Chronic Obstructive Pulmonary Disease&quot;,&quot;accessed&quot;:{&quot;date-parts&quot;:[[2024,10,13]]},&quot;DOI&quot;:&quot;10.2147/COPD.S365771&quot;,&quot;ISSN&quot;:&quot;11782005&quot;,&quot;PMID&quot;:&quot;36097591&quot;,&quot;URL&quot;:&quot;/pmc/articles/PMC9464005/&quot;,&quot;issued&quot;:{&quot;date-parts&quot;:[[2022]]},&quot;page&quot;:&quot;2127&quot;,&quot;abstract&quot;:&quot;Chronic obstructive pulmonary disease (COPD) is a major cause of morbidity and mortality worldwide; many recent advances have been made in many aspects of the disease. The aim of this article is to illustrate and discuss some of these advances in the management of different types of patients. Large-scale trials have confirmed that long-acting bronchodilator therapy, particularly using the combination of LABA/LAMA, remains the mainstay of COPD treatment, with special attention being paid to careful selection of inhaler devices. The initial choice of pharmacological therapy is based on the GOLD ABCD grouping of patients. It is very important to stress that there is a need to implement a management cycle because COPD is a chronic disease with varying clinical course and a high number of potential comorbidities that may affect morbidity and mortality. Therefore, regular reevaluation of the patient is mandatory. This allows identification of characteristics aimed at maximizing the benefits for a specific patient or a subset of patients. Within this context, the role of the blood eosinophil count as a marker of inhaled corticosteroids response to prevent future exacerbations in patients who, despite appropriate bronchodilator therapy, still suffer from them has been proven to be a useful simple biomarker in medication selection. These advances support the concept of precision medicine, with the goal that patients get the right medicine at the right time for the right reason. Finally, recent studies have shown that early life events may be of critical relevance for the development of COPD. With this as a background, concepts to identify individuals at risk and early identification of cases have become an important objective of current research with the hope of maximizing the effects of therapy and the possibility of impacting disease progression.&quot;,&quot;publisher&quot;:&quot;Dove Press&quot;,&quot;volume&quot;:&quot;17&quot;,&quot;container-title-short&quot;:&quot;Int J Chron Obstruct Pulmon Dis&quot;},&quot;isTemporary&quot;:false}]},{&quot;citationID&quot;:&quot;MENDELEY_CITATION_5f3f5b69-eee4-48c0-a50a-834405d866db&quot;,&quot;properties&quot;:{&quot;noteIndex&quot;:0},&quot;isEdited&quot;:false,&quot;manualOverride&quot;:{&quot;isManuallyOverridden&quot;:false,&quot;citeprocText&quot;:&quot;[22,23]&quot;,&quot;manualOverrideText&quot;:&quot;&quot;},&quot;citationTag&quot;:&quot;MENDELEY_CITATION_v3_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&quot;,&quot;citationItems&quot;:[{&quot;id&quot;:&quot;7b6d7736-e193-3d80-85bb-b3a96c05424d&quot;,&quot;itemData&quot;:{&quot;type&quot;:&quot;article-journal&quot;,&quot;id&quot;:&quot;7b6d7736-e193-3d80-85bb-b3a96c05424d&quot;,&quot;title&quot;:&quot;Contemporary Concise Review 2022: Chronic obstructive pulmonary disease&quot;,&quot;author&quot;:[{&quot;family&quot;:&quot;Calverley&quot;,&quot;given&quot;:&quot;Peter M.A.&quot;,&quot;parse-names&quot;:false,&quot;dropping-particle&quot;:&quot;&quot;,&quot;non-dropping-particle&quot;:&quot;&quot;},{&quot;family&quot;:&quot;Walker&quot;,&quot;given&quot;:&quot;Paul P.&quot;,&quot;parse-names&quot;:false,&quot;dropping-particle&quot;:&quot;&quot;,&quot;non-dropping-particle&quot;:&quot;&quot;}],&quot;container-title&quot;:&quot;Respirology&quot;,&quot;accessed&quot;:{&quot;date-parts&quot;:[[2024,5,27]]},&quot;DOI&quot;:&quot;10.1111/RESP.14489&quot;,&quot;ISSN&quot;:&quot;14401843&quot;,&quot;PMID&quot;:&quot;36922031&quot;,&quot;issued&quot;:{&quot;date-parts&quot;:[[2023,5,1]]},&quot;page&quot;:&quot;428-436&quot;,&quot;abstract&quot;:&quot;International respiratory organizations now recommend using lower limit of normal and standardized residuals to diagnose airflow obstruction and COPD though using a fixed ratio &lt;0.7 is simpler and robustly predicts important clinical outcomes. The most common COPD comorbidities are coronary artery calcification, emphysema and bronchiectasis. COPD patients with psychological (high anxiety and depression) and cachectic (underweight and osteoporotic) comorbidity have higher mortality and exacerbate more. Serum eosinophil count remains an important COPD biomarker and we have greater clarity about normal eosinophil levels in COPD and the wider population. Criteria for entry into COPD clinical trials continue to exclude many patients, in particular those at greater risk of exacerbation and death. The effect of hyperinflation on cardiac function impacts COPD mortality and is an important target for successful lung volume reduction procedures.&quot;,&quot;publisher&quot;:&quot;John Wiley and Sons Inc&quot;,&quot;issue&quot;:&quot;5&quot;,&quot;volume&quot;:&quot;28&quot;,&quot;container-title-short&quot;:&quot;&quot;},&quot;isTemporary&quot;:false},{&quot;id&quot;:&quot;33681bd2-69d2-3438-b0ba-738bd6d51a21&quot;,&quot;itemData&quot;:{&quot;type&quot;:&quot;article-journal&quot;,&quot;id&quot;:&quot;33681bd2-69d2-3438-b0ba-738bd6d51a21&quot;,&quot;title&quot;:&quot;Pathogenesis of chronic obstructive pulmonary disease: understanding the contributions of gene–environment interactions across the lifespan&quot;,&quot;author&quot;:[{&quot;family&quot;:&quot;Agustí&quot;,&quot;given&quot;:&quot;Alvar&quot;,&quot;parse-names&quot;:false,&quot;dropping-particle&quot;:&quot;&quot;,&quot;non-dropping-particle&quot;:&quot;&quot;},{&quot;family&quot;:&quot;Melén&quot;,&quot;given&quot;:&quot;Erik&quot;,&quot;parse-names&quot;:false,&quot;dropping-particle&quot;:&quot;&quot;,&quot;non-dropping-particle&quot;:&quot;&quot;},{&quot;family&quot;:&quot;DeMeo&quot;,&quot;given&quot;:&quot;Dawn L.&quot;,&quot;parse-names&quot;:false,&quot;dropping-particle&quot;:&quot;&quot;,&quot;non-dropping-particle&quot;:&quot;&quot;},{&quot;family&quot;:&quot;Breyer-Kohansal&quot;,&quot;given&quot;:&quot;Robab&quot;,&quot;parse-names&quot;:false,&quot;dropping-particle&quot;:&quot;&quot;,&quot;non-dropping-particle&quot;:&quot;&quot;},{&quot;family&quot;:&quot;Faner&quot;,&quot;given&quot;:&quot;Rosa&quot;,&quot;parse-names&quot;:false,&quot;dropping-particle&quot;:&quot;&quot;,&quot;non-dropping-particle&quot;:&quot;&quot;}],&quot;container-title&quot;:&quot;The Lancet. Respiratory medicine&quot;,&quot;container-title-short&quot;:&quot;Lancet Respir Med&quot;,&quot;accessed&quot;:{&quot;date-parts&quot;:[[2024,10,9]]},&quot;DOI&quot;:&quot;10.1016/S2213-2600(21)00555-5&quot;,&quot;ISSN&quot;:&quot;22132619&quot;,&quot;PMID&quot;:&quot;35427533&quot;,&quot;URL&quot;:&quot;/pmc/articles/PMC11428195/&quot;,&quot;issued&quot;:{&quot;date-parts&quot;:[[2022,5,1]]},&quot;page&quot;:&quot;512&quot;,&quot;abstract&quot;:&quot;The traditional view of chronic obstructive pulmonary disease (COPD) as a self-inflicted disease caused by tobacco smoking in genetically susceptible individuals has been challenged by recent research findings. COPD can instead be understood as the potential end result of the accumulation of gene–environment interactions encountered by an individual over the life course. Integration of a time axis in pathogenic models of COPD is necessary because the biological responses to and clinical consequences of different exposures might vary according to both the age of an individual at which a given gene–environment interaction occurs and the cumulative history of previous gene–environment interactions. Future research should aim to understand the effects of dynamic interactions between genes (G) and the environment (E) by integrating information from basic omics (eg, genomics, epigenomics, proteomics) and clinical omics (eg, phenomics, physiomics, radiomics) with exposures (the exposome) over time (T)—an approach that we refer to as GETomics. In the context of this approach, we argue that COPD should be viewed not as a single disease, but as a clinical syndrome characterised by a recognisable pattern of chronic symptoms and structural or functional impairments due to gene–environment interactions across the lifespan that influence normal lung development and ageing.&quot;,&quot;publisher&quot;:&quot;NIH Public Access&quot;,&quot;issue&quot;:&quot;5&quot;,&quot;volume&quot;:&quot;10&quot;},&quot;isTemporary&quot;:false}]},{&quot;citationID&quot;:&quot;MENDELEY_CITATION_e42d6e14-b91d-4382-bae6-a23fa2b1d09d&quot;,&quot;properties&quot;:{&quot;noteIndex&quot;:0},&quot;isEdited&quot;:false,&quot;manualOverride&quot;:{&quot;isManuallyOverridden&quot;:false,&quot;citeprocText&quot;:&quot;[7]&quot;,&quot;manualOverrideText&quot;:&quot;&quot;},&quot;citationTag&quot;:&quot;MENDELEY_CITATION_v3_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&quot;,&quot;citationItems&quot;:[{&quot;id&quot;:&quot;c5d4e97f-8a72-355d-9174-6adce33d6f36&quot;,&quot;itemData&quot;:{&quot;type&quot;:&quot;article-journal&quot;,&quot;id&quot;:&quot;c5d4e97f-8a72-355d-9174-6adce33d6f36&quot;,&quot;title&quot;:&quot;The etiologic origins for chronic obstructive pulmonary disease&quot;,&quot;author&quot;:[{&quot;family&quot;:&quot;Huang&quot;,&quot;given&quot;:&quot;Xinwei&quot;,&quot;parse-names&quot;:false,&quot;dropping-particle&quot;:&quot;&quot;,&quot;non-dropping-particle&quot;:&quot;&quot;},{&quot;family&quot;:&quot;Mu&quot;,&quot;given&quot;:&quot;Xi&quot;,&quot;parse-names&quot;:false,&quot;dropping-particle&quot;:&quot;&quot;,&quot;non-dropping-particle&quot;:&quot;&quot;},{&quot;family&quot;:&quot;Deng&quot;,&quot;given&quot;:&quot;Li&quot;,&quot;parse-names&quot;:false,&quot;dropping-particle&quot;:&quot;&quot;,&quot;non-dropping-particle&quot;:&quot;&quot;},{&quot;family&quot;:&quot;Fu&quot;,&quot;given&quot;:&quot;Aili&quot;,&quot;parse-names&quot;:false,&quot;dropping-particle&quot;:&quot;&quot;,&quot;non-dropping-particle&quot;:&quot;&quot;},{&quot;family&quot;:&quot;Pu&quot;,&quot;given&quot;:&quot;Endong&quot;,&quot;parse-names&quot;:false,&quot;dropping-particle&quot;:&quot;&quot;,&quot;non-dropping-particle&quot;:&quot;&quot;},{&quot;family&quot;:&quot;Tang&quot;,&quot;given&quot;:&quot;Tao&quot;,&quot;parse-names&quot;:false,&quot;dropping-particle&quot;:&quot;&quot;,&quot;non-dropping-particle&quot;:&quot;&quot;},{&quot;family&quot;:&quot;Kong&quot;,&quot;given&quot;:&quot;Xiangyang&quot;,&quot;parse-names&quot;:false,&quot;dropping-particle&quot;:&quot;&quot;,&quot;non-dropping-particle&quot;:&quot;&quot;}],&quot;accessed&quot;:{&quot;date-parts&quot;:[[2024,7,4]]},&quot;DOI&quot;:&quot;10.2147/COPD.S203215&quot;,&quot;ISBN&quot;:&quot;3517826707&quot;,&quot;URL&quot;:&quot;http://doi.org/10.2147/COPD.S203215&quot;,&quot;issued&quot;:{&quot;date-parts&quot;:[[2019]]},&quot;abstract&quot;:&quot;COPD, characterized by long-term poorly irreversible airway limitation and persistent respiratory symptoms, has resulted in enormous challenges to human health worldwide, with increasing rates of prevalence, death, and disability. Although its origin was thought to be in the interactions of genetic with environmental factors, the effects of environmental factors on the disease during different life stages remain little known. Without clear mechanisms and radical cure for it, early screening and prevention of COPD seem to be important. In this review, we will discuss the etiologic origins for poor lung function and COPD caused by specific adverse effects during corresponding life stages, as well as try to find new insights and potential prevention strategies for this disease.&quot;,&quot;container-title-short&quot;:&quot;&quot;},&quot;isTemporary&quot;:false}]},{&quot;citationID&quot;:&quot;MENDELEY_CITATION_fd3c8654-ba2c-40da-be0d-382977e3284e&quot;,&quot;properties&quot;:{&quot;noteIndex&quot;:0},&quot;isEdited&quot;:false,&quot;manualOverride&quot;:{&quot;isManuallyOverridden&quot;:false,&quot;citeprocText&quot;:&quot;[22,23]&quot;,&quot;manualOverrideText&quot;:&quot;&quot;},&quot;citationTag&quot;:&quot;MENDELEY_CITATION_v3_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&quot;,&quot;citationItems&quot;:[{&quot;id&quot;:&quot;33681bd2-69d2-3438-b0ba-738bd6d51a21&quot;,&quot;itemData&quot;:{&quot;type&quot;:&quot;article-journal&quot;,&quot;id&quot;:&quot;33681bd2-69d2-3438-b0ba-738bd6d51a21&quot;,&quot;title&quot;:&quot;Pathogenesis of chronic obstructive pulmonary disease: understanding the contributions of gene–environment interactions across the lifespan&quot;,&quot;author&quot;:[{&quot;family&quot;:&quot;Agustí&quot;,&quot;given&quot;:&quot;Alvar&quot;,&quot;parse-names&quot;:false,&quot;dropping-particle&quot;:&quot;&quot;,&quot;non-dropping-particle&quot;:&quot;&quot;},{&quot;family&quot;:&quot;Melén&quot;,&quot;given&quot;:&quot;Erik&quot;,&quot;parse-names&quot;:false,&quot;dropping-particle&quot;:&quot;&quot;,&quot;non-dropping-particle&quot;:&quot;&quot;},{&quot;family&quot;:&quot;DeMeo&quot;,&quot;given&quot;:&quot;Dawn L.&quot;,&quot;parse-names&quot;:false,&quot;dropping-particle&quot;:&quot;&quot;,&quot;non-dropping-particle&quot;:&quot;&quot;},{&quot;family&quot;:&quot;Breyer-Kohansal&quot;,&quot;given&quot;:&quot;Robab&quot;,&quot;parse-names&quot;:false,&quot;dropping-particle&quot;:&quot;&quot;,&quot;non-dropping-particle&quot;:&quot;&quot;},{&quot;family&quot;:&quot;Faner&quot;,&quot;given&quot;:&quot;Rosa&quot;,&quot;parse-names&quot;:false,&quot;dropping-particle&quot;:&quot;&quot;,&quot;non-dropping-particle&quot;:&quot;&quot;}],&quot;container-title&quot;:&quot;The Lancet. Respiratory medicine&quot;,&quot;container-title-short&quot;:&quot;Lancet Respir Med&quot;,&quot;accessed&quot;:{&quot;date-parts&quot;:[[2024,10,9]]},&quot;DOI&quot;:&quot;10.1016/S2213-2600(21)00555-5&quot;,&quot;ISSN&quot;:&quot;22132619&quot;,&quot;PMID&quot;:&quot;35427533&quot;,&quot;URL&quot;:&quot;/pmc/articles/PMC11428195/&quot;,&quot;issued&quot;:{&quot;date-parts&quot;:[[2022,5,1]]},&quot;page&quot;:&quot;512&quot;,&quot;abstract&quot;:&quot;The traditional view of chronic obstructive pulmonary disease (COPD) as a self-inflicted disease caused by tobacco smoking in genetically susceptible individuals has been challenged by recent research findings. COPD can instead be understood as the potential end result of the accumulation of gene–environment interactions encountered by an individual over the life course. Integration of a time axis in pathogenic models of COPD is necessary because the biological responses to and clinical consequences of different exposures might vary according to both the age of an individual at which a given gene–environment interaction occurs and the cumulative history of previous gene–environment interactions. Future research should aim to understand the effects of dynamic interactions between genes (G) and the environment (E) by integrating information from basic omics (eg, genomics, epigenomics, proteomics) and clinical omics (eg, phenomics, physiomics, radiomics) with exposures (the exposome) over time (T)—an approach that we refer to as GETomics. In the context of this approach, we argue that COPD should be viewed not as a single disease, but as a clinical syndrome characterised by a recognisable pattern of chronic symptoms and structural or functional impairments due to gene–environment interactions across the lifespan that influence normal lung development and ageing.&quot;,&quot;publisher&quot;:&quot;NIH Public Access&quot;,&quot;issue&quot;:&quot;5&quot;,&quot;volume&quot;:&quot;10&quot;},&quot;isTemporary&quot;:false},{&quot;id&quot;:&quot;7b6d7736-e193-3d80-85bb-b3a96c05424d&quot;,&quot;itemData&quot;:{&quot;type&quot;:&quot;article-journal&quot;,&quot;id&quot;:&quot;7b6d7736-e193-3d80-85bb-b3a96c05424d&quot;,&quot;title&quot;:&quot;Contemporary Concise Review 2022: Chronic obstructive pulmonary disease&quot;,&quot;author&quot;:[{&quot;family&quot;:&quot;Calverley&quot;,&quot;given&quot;:&quot;Peter M.A.&quot;,&quot;parse-names&quot;:false,&quot;dropping-particle&quot;:&quot;&quot;,&quot;non-dropping-particle&quot;:&quot;&quot;},{&quot;family&quot;:&quot;Walker&quot;,&quot;given&quot;:&quot;Paul P.&quot;,&quot;parse-names&quot;:false,&quot;dropping-particle&quot;:&quot;&quot;,&quot;non-dropping-particle&quot;:&quot;&quot;}],&quot;container-title&quot;:&quot;Respirology&quot;,&quot;accessed&quot;:{&quot;date-parts&quot;:[[2024,5,27]]},&quot;DOI&quot;:&quot;10.1111/RESP.14489&quot;,&quot;ISSN&quot;:&quot;14401843&quot;,&quot;PMID&quot;:&quot;36922031&quot;,&quot;issued&quot;:{&quot;date-parts&quot;:[[2023,5,1]]},&quot;page&quot;:&quot;428-436&quot;,&quot;abstract&quot;:&quot;International respiratory organizations now recommend using lower limit of normal and standardized residuals to diagnose airflow obstruction and COPD though using a fixed ratio &lt;0.7 is simpler and robustly predicts important clinical outcomes. The most common COPD comorbidities are coronary artery calcification, emphysema and bronchiectasis. COPD patients with psychological (high anxiety and depression) and cachectic (underweight and osteoporotic) comorbidity have higher mortality and exacerbate more. Serum eosinophil count remains an important COPD biomarker and we have greater clarity about normal eosinophil levels in COPD and the wider population. Criteria for entry into COPD clinical trials continue to exclude many patients, in particular those at greater risk of exacerbation and death. The effect of hyperinflation on cardiac function impacts COPD mortality and is an important target for successful lung volume reduction procedures.&quot;,&quot;publisher&quot;:&quot;John Wiley and Sons Inc&quot;,&quot;issue&quot;:&quot;5&quot;,&quot;volume&quot;:&quot;28&quot;,&quot;container-title-short&quot;:&quot;&quot;},&quot;isTemporary&quot;:false}]},{&quot;citationID&quot;:&quot;MENDELEY_CITATION_2e374e96-4d75-4fa5-87fa-ecc95c0af43c&quot;,&quot;properties&quot;:{&quot;noteIndex&quot;:0},&quot;isEdited&quot;:false,&quot;manualOverride&quot;:{&quot;isManuallyOverridden&quot;:false,&quot;citeprocText&quot;:&quot;[23]&quot;,&quot;manualOverrideText&quot;:&quot;&quot;},&quot;citationTag&quot;:&quot;MENDELEY_CITATION_v3_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&quot;,&quot;citationItems&quot;:[{&quot;id&quot;:&quot;33681bd2-69d2-3438-b0ba-738bd6d51a21&quot;,&quot;itemData&quot;:{&quot;type&quot;:&quot;article-journal&quot;,&quot;id&quot;:&quot;33681bd2-69d2-3438-b0ba-738bd6d51a21&quot;,&quot;title&quot;:&quot;Pathogenesis of chronic obstructive pulmonary disease: understanding the contributions of gene–environment interactions across the lifespan&quot;,&quot;author&quot;:[{&quot;family&quot;:&quot;Agustí&quot;,&quot;given&quot;:&quot;Alvar&quot;,&quot;parse-names&quot;:false,&quot;dropping-particle&quot;:&quot;&quot;,&quot;non-dropping-particle&quot;:&quot;&quot;},{&quot;family&quot;:&quot;Melén&quot;,&quot;given&quot;:&quot;Erik&quot;,&quot;parse-names&quot;:false,&quot;dropping-particle&quot;:&quot;&quot;,&quot;non-dropping-particle&quot;:&quot;&quot;},{&quot;family&quot;:&quot;DeMeo&quot;,&quot;given&quot;:&quot;Dawn L.&quot;,&quot;parse-names&quot;:false,&quot;dropping-particle&quot;:&quot;&quot;,&quot;non-dropping-particle&quot;:&quot;&quot;},{&quot;family&quot;:&quot;Breyer-Kohansal&quot;,&quot;given&quot;:&quot;Robab&quot;,&quot;parse-names&quot;:false,&quot;dropping-particle&quot;:&quot;&quot;,&quot;non-dropping-particle&quot;:&quot;&quot;},{&quot;family&quot;:&quot;Faner&quot;,&quot;given&quot;:&quot;Rosa&quot;,&quot;parse-names&quot;:false,&quot;dropping-particle&quot;:&quot;&quot;,&quot;non-dropping-particle&quot;:&quot;&quot;}],&quot;container-title&quot;:&quot;The Lancet. Respiratory medicine&quot;,&quot;container-title-short&quot;:&quot;Lancet Respir Med&quot;,&quot;accessed&quot;:{&quot;date-parts&quot;:[[2024,10,9]]},&quot;DOI&quot;:&quot;10.1016/S2213-2600(21)00555-5&quot;,&quot;ISSN&quot;:&quot;22132619&quot;,&quot;PMID&quot;:&quot;35427533&quot;,&quot;URL&quot;:&quot;/pmc/articles/PMC11428195/&quot;,&quot;issued&quot;:{&quot;date-parts&quot;:[[2022,5,1]]},&quot;page&quot;:&quot;512&quot;,&quot;abstract&quot;:&quot;The traditional view of chronic obstructive pulmonary disease (COPD) as a self-inflicted disease caused by tobacco smoking in genetically susceptible individuals has been challenged by recent research findings. COPD can instead be understood as the potential end result of the accumulation of gene–environment interactions encountered by an individual over the life course. Integration of a time axis in pathogenic models of COPD is necessary because the biological responses to and clinical consequences of different exposures might vary according to both the age of an individual at which a given gene–environment interaction occurs and the cumulative history of previous gene–environment interactions. Future research should aim to understand the effects of dynamic interactions between genes (G) and the environment (E) by integrating information from basic omics (eg, genomics, epigenomics, proteomics) and clinical omics (eg, phenomics, physiomics, radiomics) with exposures (the exposome) over time (T)—an approach that we refer to as GETomics. In the context of this approach, we argue that COPD should be viewed not as a single disease, but as a clinical syndrome characterised by a recognisable pattern of chronic symptoms and structural or functional impairments due to gene–environment interactions across the lifespan that influence normal lung development and ageing.&quot;,&quot;publisher&quot;:&quot;NIH Public Access&quot;,&quot;issue&quot;:&quot;5&quot;,&quot;volume&quot;:&quot;10&quot;},&quot;isTemporary&quot;:false}]},{&quot;citationID&quot;:&quot;MENDELEY_CITATION_2665569c-e100-4c8c-97ea-0a159367bf8d&quot;,&quot;properties&quot;:{&quot;noteIndex&quot;:0},&quot;isEdited&quot;:false,&quot;manualOverride&quot;:{&quot;isManuallyOverridden&quot;:false,&quot;citeprocText&quot;:&quot;[23,27]&quot;,&quot;manualOverrideText&quot;:&quot;&quot;},&quot;citationTag&quot;:&quot;MENDELEY_CITATION_v3_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&quot;,&quot;citationItems&quot;:[{&quot;id&quot;:&quot;33681bd2-69d2-3438-b0ba-738bd6d51a21&quot;,&quot;itemData&quot;:{&quot;type&quot;:&quot;article-journal&quot;,&quot;id&quot;:&quot;33681bd2-69d2-3438-b0ba-738bd6d51a21&quot;,&quot;title&quot;:&quot;Pathogenesis of chronic obstructive pulmonary disease: understanding the contributions of gene–environment interactions across the lifespan&quot;,&quot;author&quot;:[{&quot;family&quot;:&quot;Agustí&quot;,&quot;given&quot;:&quot;Alvar&quot;,&quot;parse-names&quot;:false,&quot;dropping-particle&quot;:&quot;&quot;,&quot;non-dropping-particle&quot;:&quot;&quot;},{&quot;family&quot;:&quot;Melén&quot;,&quot;given&quot;:&quot;Erik&quot;,&quot;parse-names&quot;:false,&quot;dropping-particle&quot;:&quot;&quot;,&quot;non-dropping-particle&quot;:&quot;&quot;},{&quot;family&quot;:&quot;DeMeo&quot;,&quot;given&quot;:&quot;Dawn L.&quot;,&quot;parse-names&quot;:false,&quot;dropping-particle&quot;:&quot;&quot;,&quot;non-dropping-particle&quot;:&quot;&quot;},{&quot;family&quot;:&quot;Breyer-Kohansal&quot;,&quot;given&quot;:&quot;Robab&quot;,&quot;parse-names&quot;:false,&quot;dropping-particle&quot;:&quot;&quot;,&quot;non-dropping-particle&quot;:&quot;&quot;},{&quot;family&quot;:&quot;Faner&quot;,&quot;given&quot;:&quot;Rosa&quot;,&quot;parse-names&quot;:false,&quot;dropping-particle&quot;:&quot;&quot;,&quot;non-dropping-particle&quot;:&quot;&quot;}],&quot;container-title&quot;:&quot;The Lancet. Respiratory medicine&quot;,&quot;container-title-short&quot;:&quot;Lancet Respir Med&quot;,&quot;accessed&quot;:{&quot;date-parts&quot;:[[2024,10,9]]},&quot;DOI&quot;:&quot;10.1016/S2213-2600(21)00555-5&quot;,&quot;ISSN&quot;:&quot;22132619&quot;,&quot;PMID&quot;:&quot;35427533&quot;,&quot;URL&quot;:&quot;/pmc/articles/PMC11428195/&quot;,&quot;issued&quot;:{&quot;date-parts&quot;:[[2022,5,1]]},&quot;page&quot;:&quot;512&quot;,&quot;abstract&quot;:&quot;The traditional view of chronic obstructive pulmonary disease (COPD) as a self-inflicted disease caused by tobacco smoking in genetically susceptible individuals has been challenged by recent research findings. COPD can instead be understood as the potential end result of the accumulation of gene–environment interactions encountered by an individual over the life course. Integration of a time axis in pathogenic models of COPD is necessary because the biological responses to and clinical consequences of different exposures might vary according to both the age of an individual at which a given gene–environment interaction occurs and the cumulative history of previous gene–environment interactions. Future research should aim to understand the effects of dynamic interactions between genes (G) and the environment (E) by integrating information from basic omics (eg, genomics, epigenomics, proteomics) and clinical omics (eg, phenomics, physiomics, radiomics) with exposures (the exposome) over time (T)—an approach that we refer to as GETomics. In the context of this approach, we argue that COPD should be viewed not as a single disease, but as a clinical syndrome characterised by a recognisable pattern of chronic symptoms and structural or functional impairments due to gene–environment interactions across the lifespan that influence normal lung development and ageing.&quot;,&quot;publisher&quot;:&quot;NIH Public Access&quot;,&quot;issue&quot;:&quot;5&quot;,&quot;volume&quot;:&quot;10&quot;},&quot;isTemporary&quot;:false},{&quot;id&quot;:&quot;371ee358-3ad4-3e08-b13e-ea10a60aee88&quot;,&quot;itemData&quot;:{&quot;type&quot;:&quot;article-journal&quot;,&quot;id&quot;:&quot;371ee358-3ad4-3e08-b13e-ea10a60aee88&quot;,&quot;title&quot;:&quot;Diagnosis and Treatment of Early Chronic Obstructive Lung Disease (COPD)&quot;,&quot;author&quot;:[{&quot;family&quot;:&quot;Choi&quot;,&quot;given&quot;:&quot;Joon Young&quot;,&quot;parse-names&quot;:false,&quot;dropping-particle&quot;:&quot;&quot;,&quot;non-dropping-particle&quot;:&quot;&quot;},{&quot;family&quot;:&quot;Rhee&quot;,&quot;given&quot;:&quot;Chin Kook&quot;,&quot;parse-names&quot;:false,&quot;dropping-particle&quot;:&quot;&quot;,&quot;non-dropping-particle&quot;:&quot;&quot;}],&quot;container-title&quot;:&quot;Journal of Clinical Medicine&quot;,&quot;accessed&quot;:{&quot;date-parts&quot;:[[2024,10,13]]},&quot;DOI&quot;:&quot;10.3390/JCM9113426&quot;,&quot;ISSN&quot;:&quot;20770383&quot;,&quot;PMID&quot;:&quot;33114502&quot;,&quot;URL&quot;:&quot;/pmc/articles/PMC7692717/&quot;,&quot;issued&quot;:{&quot;date-parts&quot;:[[2020,11,1]]},&quot;page&quot;:&quot;1-20&quot;,&quot;abstract&quot;:&quot;Chronic obstructive lung disease (COPD) is responsible for substantial rates of mortality and economic burden, and is one of the most important public-health concerns. As the disease characteristics include irreversible airway obstruction and progressive lung function decline, there has been a great deal of interest in detection at the early stages of COPD during the “at risk” or undiagnosed preclinical stage to prevent the disease from progressing to the overt stage. Previous studies have used various definitions of early COPD, and the term mild COPD has also often been used. There has been a great deal of recent effort to establish a definition of early COPD, but comprehensive evaluation is still required, including identification of risk factors, various physiological and radiological tests, and clinical manifestations for diagnosis of early COPD, considering the heterogeneity of the disease. The treatment of early COPD should be considered from the perspective of prevention of disease progression and management of clinical deterioration. There has been a lack of studies on this topic as the definition of early COPD has been proposed only recently, and therefore further clinical studies are needed.&quot;,&quot;publisher&quot;:&quot;Multidisciplinary Digital Publishing Institute  (MDPI)&quot;,&quot;issue&quot;:&quot;11&quot;,&quot;volume&quot;:&quot;9&quot;,&quot;container-title-short&quot;:&quot;J Clin Med&quot;},&quot;isTemporary&quot;:false}]},{&quot;citationID&quot;:&quot;MENDELEY_CITATION_bee73dd1-f1c1-40c2-b1c2-1360272f0075&quot;,&quot;properties&quot;:{&quot;noteIndex&quot;:0},&quot;isEdited&quot;:false,&quot;manualOverride&quot;:{&quot;isManuallyOverridden&quot;:false,&quot;citeprocText&quot;:&quot;[23]&quot;,&quot;manualOverrideText&quot;:&quot;&quot;},&quot;citationTag&quot;:&quot;MENDELEY_CITATION_v3_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&quot;,&quot;citationItems&quot;:[{&quot;id&quot;:&quot;33681bd2-69d2-3438-b0ba-738bd6d51a21&quot;,&quot;itemData&quot;:{&quot;type&quot;:&quot;article-journal&quot;,&quot;id&quot;:&quot;33681bd2-69d2-3438-b0ba-738bd6d51a21&quot;,&quot;title&quot;:&quot;Pathogenesis of chronic obstructive pulmonary disease: understanding the contributions of gene–environment interactions across the lifespan&quot;,&quot;author&quot;:[{&quot;family&quot;:&quot;Agustí&quot;,&quot;given&quot;:&quot;Alvar&quot;,&quot;parse-names&quot;:false,&quot;dropping-particle&quot;:&quot;&quot;,&quot;non-dropping-particle&quot;:&quot;&quot;},{&quot;family&quot;:&quot;Melén&quot;,&quot;given&quot;:&quot;Erik&quot;,&quot;parse-names&quot;:false,&quot;dropping-particle&quot;:&quot;&quot;,&quot;non-dropping-particle&quot;:&quot;&quot;},{&quot;family&quot;:&quot;DeMeo&quot;,&quot;given&quot;:&quot;Dawn L.&quot;,&quot;parse-names&quot;:false,&quot;dropping-particle&quot;:&quot;&quot;,&quot;non-dropping-particle&quot;:&quot;&quot;},{&quot;family&quot;:&quot;Breyer-Kohansal&quot;,&quot;given&quot;:&quot;Robab&quot;,&quot;parse-names&quot;:false,&quot;dropping-particle&quot;:&quot;&quot;,&quot;non-dropping-particle&quot;:&quot;&quot;},{&quot;family&quot;:&quot;Faner&quot;,&quot;given&quot;:&quot;Rosa&quot;,&quot;parse-names&quot;:false,&quot;dropping-particle&quot;:&quot;&quot;,&quot;non-dropping-particle&quot;:&quot;&quot;}],&quot;container-title&quot;:&quot;The Lancet. Respiratory medicine&quot;,&quot;container-title-short&quot;:&quot;Lancet Respir Med&quot;,&quot;accessed&quot;:{&quot;date-parts&quot;:[[2024,10,9]]},&quot;DOI&quot;:&quot;10.1016/S2213-2600(21)00555-5&quot;,&quot;ISSN&quot;:&quot;22132619&quot;,&quot;PMID&quot;:&quot;35427533&quot;,&quot;URL&quot;:&quot;/pmc/articles/PMC11428195/&quot;,&quot;issued&quot;:{&quot;date-parts&quot;:[[2022,5,1]]},&quot;page&quot;:&quot;512&quot;,&quot;abstract&quot;:&quot;The traditional view of chronic obstructive pulmonary disease (COPD) as a self-inflicted disease caused by tobacco smoking in genetically susceptible individuals has been challenged by recent research findings. COPD can instead be understood as the potential end result of the accumulation of gene–environment interactions encountered by an individual over the life course. Integration of a time axis in pathogenic models of COPD is necessary because the biological responses to and clinical consequences of different exposures might vary according to both the age of an individual at which a given gene–environment interaction occurs and the cumulative history of previous gene–environment interactions. Future research should aim to understand the effects of dynamic interactions between genes (G) and the environment (E) by integrating information from basic omics (eg, genomics, epigenomics, proteomics) and clinical omics (eg, phenomics, physiomics, radiomics) with exposures (the exposome) over time (T)—an approach that we refer to as GETomics. In the context of this approach, we argue that COPD should be viewed not as a single disease, but as a clinical syndrome characterised by a recognisable pattern of chronic symptoms and structural or functional impairments due to gene–environment interactions across the lifespan that influence normal lung development and ageing.&quot;,&quot;publisher&quot;:&quot;NIH Public Access&quot;,&quot;issue&quot;:&quot;5&quot;,&quot;volume&quot;:&quot;10&quot;},&quot;isTemporary&quot;:false}]},{&quot;citationID&quot;:&quot;MENDELEY_CITATION_cee8a7fb-a003-440a-b5a4-379976c5bd97&quot;,&quot;properties&quot;:{&quot;noteIndex&quot;:0},&quot;isEdited&quot;:false,&quot;manualOverride&quot;:{&quot;isManuallyOverridden&quot;:false,&quot;citeprocText&quot;:&quot;[24,25,28,29]&quot;,&quot;manualOverrideText&quot;:&quot;&quot;},&quot;citationTag&quot;:&quot;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&quot;,&quot;citationItems&quot;:[{&quot;id&quot;:&quot;4254ee78-e1d4-36d8-9a16-81a1fd22aefb&quot;,&quot;itemData&quot;:{&quot;type&quot;:&quot;webpage&quot;,&quot;id&quot;:&quot;4254ee78-e1d4-36d8-9a16-81a1fd22aefb&quot;,&quot;title&quot;:&quot;COPD - Symptoms and causes - Mayo Clinic&quot;,&quot;accessed&quot;:{&quot;date-parts&quot;:[[2025,5,21]]},&quot;URL&quot;:&quot;https://www.mayoclinic.org/diseases-conditions/copd/symptoms-causes/syc-20353679&quot;,&quot;container-title-short&quot;:&quot;&quot;},&quot;isTemporary&quot;:false},{&quot;id&quot;:&quot;1cf921ad-2528-3f6b-a993-da116f5bf649&quot;,&quot;itemData&quot;:{&quot;type&quot;:&quot;article-journal&quot;,&quot;id&quot;:&quot;1cf921ad-2528-3f6b-a993-da116f5bf649&quot;,&quot;title&quot;:&quot;The Diagnosis and Treatment of COPD and Its Comorbidities&quot;,&quot;author&quot;:[{&quot;family&quot;:&quot;Kahnert&quot;,&quot;given&quot;:&quot;Kathrin&quot;,&quot;parse-names&quot;:false,&quot;dropping-particle&quot;:&quot;&quot;,&quot;non-dropping-particle&quot;:&quot;&quot;},{&quot;family&quot;:&quot;Jörres&quot;,&quot;given&quot;:&quot;Rudolf A.&quot;,&quot;parse-names&quot;:false,&quot;dropping-particle&quot;:&quot;&quot;,&quot;non-dropping-particle&quot;:&quot;&quot;},{&quot;family&quot;:&quot;Behr&quot;,&quot;given&quot;:&quot;Jürgen&quot;,&quot;parse-names&quot;:false,&quot;dropping-particle&quot;:&quot;&quot;,&quot;non-dropping-particle&quot;:&quot;&quot;},{&quot;family&quot;:&quot;Welte&quot;,&quot;given&quot;:&quot;Tobias&quot;,&quot;parse-names&quot;:false,&quot;dropping-particle&quot;:&quot;&quot;,&quot;non-dropping-particle&quot;:&quot;&quot;}],&quot;container-title&quot;:&quot;Deutsches Ärzteblatt International&quot;,&quot;accessed&quot;:{&quot;date-parts&quot;:[[2024,10,7]]},&quot;DOI&quot;:&quot;10.3238/ARZTEBL.M2023.027&quot;,&quot;ISSN&quot;:&quot;18660452&quot;,&quot;PMID&quot;:&quot;36794439&quot;,&quot;URL&quot;:&quot;/pmc/articles/PMC10478768/&quot;,&quot;issued&quot;:{&quot;date-parts&quot;:[[2023,6,23]]},&quot;page&quot;:&quot;434&quot;,&quot;abstract&quot;:&quot;Background: Chronic obstructive pulmonary disease (COPD) is the third most common cause of death around the world. The affected patients suffer not only from impaired lung function, but also from a wide variety of comorbidities. Their cardiac comorbidities, in particular, lead to increased mortality. Methods: This review is based on pertinent publications retrieved by a selective search in PubMed, including guidelines from Germany and abroad. Results: The usual diagnostic criteria for COPD are a post-bronchodilator FEV1/FVC quotient below the fixed threshold of 0.7, or, preferably, below the lower limit of normal (LLN) according to the GLI reference values for the avoidance of over- and underdiagnosis. The overall prognosis is markedly affected by comorbidities of the lung itself and those that involve other organs; in particular, many persons with COPD die of heart disease. The potential presence of heart disease must be borne in mind in the evaluation of patients with COPD, as lung disease can impair the detection of heart disease. Conclusion: As patients with COPD are often multimorbid, the early diagnosis and adequate treatment not only of their lung disease, but also of their extrapulmonary comorbidities are very important. Well-established diagnostic instruments and well-tested treatments are available and are described in detail in the guidelines concerning the comorbidities. Preliminary observations suggest that more attention should be paid to the potential positive effects of treating comorbidities on the lung disease itself, and vice versa.&quot;,&quot;publisher&quot;:&quot;Deutscher Arzte-Verlag GmbH&quot;,&quot;issue&quot;:&quot;25&quot;,&quot;volume&quot;:&quot;120&quot;,&quot;container-title-short&quot;:&quot;Dtsch Arztebl Int&quot;},&quot;isTemporary&quot;:false},{&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id&quot;:&quot;f1bffc91-c69d-3440-a7b8-afd1b9432d71&quot;,&quot;itemData&quot;:{&quot;type&quot;:&quot;article-journal&quot;,&quot;id&quot;:&quot;f1bffc91-c69d-3440-a7b8-afd1b9432d71&quot;,&quot;title&quot;:&quot;Goals of COPD treatment: Focus on symptoms and exacerbations&quot;,&quot;author&quot;:[{&quot;family&quot;:&quot;Vogelmeier&quot;,&quot;given&quot;:&quot;Claus F.&quot;,&quot;parse-names&quot;:false,&quot;dropping-particle&quot;:&quot;&quot;,&quot;non-dropping-particle&quot;:&quot;&quot;},{&quot;family&quot;:&quot;Román-Rodríguez&quot;,&quot;given&quot;:&quot;Miguel&quot;,&quot;parse-names&quot;:false,&quot;dropping-particle&quot;:&quot;&quot;,&quot;non-dropping-particle&quot;:&quot;&quot;},{&quot;family&quot;:&quot;Singh&quot;,&quot;given&quot;:&quot;Dave&quot;,&quot;parse-names&quot;:false,&quot;dropping-particle&quot;:&quot;&quot;,&quot;non-dropping-particle&quot;:&quot;&quot;},{&quot;family&quot;:&quot;Han&quot;,&quot;given&quot;:&quot;Mei Lan K.&quot;,&quot;parse-names&quot;:false,&quot;dropping-particle&quot;:&quot;&quot;,&quot;non-dropping-particle&quot;:&quot;&quot;},{&quot;family&quot;:&quot;Rodríguez-Roisin&quot;,&quot;given&quot;:&quot;Roberto&quot;,&quot;parse-names&quot;:false,&quot;dropping-particle&quot;:&quot;&quot;,&quot;non-dropping-particle&quot;:&quot;&quot;},{&quot;family&quot;:&quot;Ferguson&quot;,&quot;given&quot;:&quot;Gary T.&quot;,&quot;parse-names&quot;:false,&quot;dropping-particle&quot;:&quot;&quot;,&quot;non-dropping-particle&quot;:&quot;&quot;}],&quot;container-title&quot;:&quot;Respiratory Medicine&quot;,&quot;accessed&quot;:{&quot;date-parts&quot;:[[2025,5,22]]},&quot;DOI&quot;:&quot;10.1016/J.RMED.2020.105938/ASSET/C3E76B9A-1D57-4459-A631-721FF02173C4/MAIN.ASSETS/FX1.JPG&quot;,&quot;ISSN&quot;:&quot;15323064&quot;,&quot;PMID&quot;:&quot;32250871&quot;,&quot;URL&quot;:&quot;https://www.resmedjournal.com/action/showFullText?pii=S0954611120300780&quot;,&quot;issued&quot;:{&quot;date-parts&quot;:[[2020,5,1]]},&quot;page&quot;:&quot;105938&quot;,&quot;abstract&quot;:&quot;Chronic obstructive pulmonary disease (COPD) is currently a leading cause of death worldwide, and its burden is expected to rise in the coming years. Common COPD symptoms include dyspnea, cough and/or sputum production. Some patients may experience acute worsening of symptoms (known as an exacerbation), and therefore require additional therapy. Exacerbations are mainly triggered by respiratory infections and environmental factors. Healthcare professionals face many challenges in COPD management, including the heterogeneity of the disease and under-reporting of symptoms. The authors review these challenges and provide recommendations for the best methods to assess COPD. The goals of COPD treatment include recognising the impact that both symptoms and exacerbations have on patients’ lives when considering optimal patient-focused management. The review discusses the need for COPD management strategies to include both pharmacologic and non-pharmacologic approaches and provides recommendations for monitoring treatment outcomes and adjusting management strategies accordingly. Novel treatment strategies including precision medicine and point-of-care testing are also discussed.&quot;,&quot;publisher&quot;:&quot;W.B. Saunders Ltd&quot;,&quot;volume&quot;:&quot;166&quot;,&quot;container-title-short&quot;:&quot;Respir Med&quot;},&quot;isTemporary&quot;:false}]},{&quot;citationID&quot;:&quot;MENDELEY_CITATION_9f792a71-85c7-4098-857d-ca78bab101e0&quot;,&quot;properties&quot;:{&quot;noteIndex&quot;:0},&quot;isEdited&quot;:false,&quot;manualOverride&quot;:{&quot;isManuallyOverridden&quot;:false,&quot;citeprocText&quot;:&quot;[26,28]&quot;,&quot;manualOverrideText&quot;:&quot;&quot;},&quot;citationTag&quot;:&quot;MENDELEY_CITATION_v3_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&quot;,&quot;citationItems&quot;:[{&quot;id&quot;:&quot;4254ee78-e1d4-36d8-9a16-81a1fd22aefb&quot;,&quot;itemData&quot;:{&quot;type&quot;:&quot;webpage&quot;,&quot;id&quot;:&quot;4254ee78-e1d4-36d8-9a16-81a1fd22aefb&quot;,&quot;title&quot;:&quot;COPD - Symptoms and causes - Mayo Clinic&quot;,&quot;accessed&quot;:{&quot;date-parts&quot;:[[2025,5,21]]},&quot;URL&quot;:&quot;https://www.mayoclinic.org/diseases-conditions/copd/symptoms-causes/syc-20353679&quot;,&quot;container-title-short&quot;:&quot;&quot;},&quot;isTemporary&quot;:false},{&quot;id&quot;:&quot;d9df7cd2-97dd-378e-b892-f0fefbf5634e&quot;,&quot;itemData&quot;:{&quot;type&quot;:&quot;article-journal&quot;,&quot;id&quot;:&quot;d9df7cd2-97dd-378e-b892-f0fefbf5634e&quot;,&quot;title&quot;:&quot;New Perspectives on Chronic Obstructive Pulmonary Disease&quot;,&quot;author&quot;:[{&quot;family&quot;:&quot;Celli&quot;,&quot;given&quot;:&quot;Bartolome R.&quot;,&quot;parse-names&quot;:false,&quot;dropping-particle&quot;:&quot;&quot;,&quot;non-dropping-particle&quot;:&quot;&quot;},{&quot;family&quot;:&quot;Singh&quot;,&quot;given&quot;:&quot;Dave&quot;,&quot;parse-names&quot;:false,&quot;dropping-particle&quot;:&quot;&quot;,&quot;non-dropping-particle&quot;:&quot;&quot;},{&quot;family&quot;:&quot;Vogelmeier&quot;,&quot;given&quot;:&quot;Claus&quot;,&quot;parse-names&quot;:false,&quot;dropping-particle&quot;:&quot;&quot;,&quot;non-dropping-particle&quot;:&quot;&quot;},{&quot;family&quot;:&quot;Agusti&quot;,&quot;given&quot;:&quot;Alvar&quot;,&quot;parse-names&quot;:false,&quot;dropping-particle&quot;:&quot;&quot;,&quot;non-dropping-particle&quot;:&quot;&quot;}],&quot;container-title&quot;:&quot;International Journal of Chronic Obstructive Pulmonary Disease&quot;,&quot;accessed&quot;:{&quot;date-parts&quot;:[[2024,10,13]]},&quot;DOI&quot;:&quot;10.2147/COPD.S365771&quot;,&quot;ISSN&quot;:&quot;11782005&quot;,&quot;PMID&quot;:&quot;36097591&quot;,&quot;URL&quot;:&quot;/pmc/articles/PMC9464005/&quot;,&quot;issued&quot;:{&quot;date-parts&quot;:[[2022]]},&quot;page&quot;:&quot;2127&quot;,&quot;abstract&quot;:&quot;Chronic obstructive pulmonary disease (COPD) is a major cause of morbidity and mortality worldwide; many recent advances have been made in many aspects of the disease. The aim of this article is to illustrate and discuss some of these advances in the management of different types of patients. Large-scale trials have confirmed that long-acting bronchodilator therapy, particularly using the combination of LABA/LAMA, remains the mainstay of COPD treatment, with special attention being paid to careful selection of inhaler devices. The initial choice of pharmacological therapy is based on the GOLD ABCD grouping of patients. It is very important to stress that there is a need to implement a management cycle because COPD is a chronic disease with varying clinical course and a high number of potential comorbidities that may affect morbidity and mortality. Therefore, regular reevaluation of the patient is mandatory. This allows identification of characteristics aimed at maximizing the benefits for a specific patient or a subset of patients. Within this context, the role of the blood eosinophil count as a marker of inhaled corticosteroids response to prevent future exacerbations in patients who, despite appropriate bronchodilator therapy, still suffer from them has been proven to be a useful simple biomarker in medication selection. These advances support the concept of precision medicine, with the goal that patients get the right medicine at the right time for the right reason. Finally, recent studies have shown that early life events may be of critical relevance for the development of COPD. With this as a background, concepts to identify individuals at risk and early identification of cases have become an important objective of current research with the hope of maximizing the effects of therapy and the possibility of impacting disease progression.&quot;,&quot;publisher&quot;:&quot;Dove Press&quot;,&quot;volume&quot;:&quot;17&quot;,&quot;container-title-short&quot;:&quot;Int J Chron Obstruct Pulmon Dis&quot;},&quot;isTemporary&quot;:false}]},{&quot;citationID&quot;:&quot;MENDELEY_CITATION_6e833cfa-8662-4587-b228-e5b283a84b20&quot;,&quot;properties&quot;:{&quot;noteIndex&quot;:0},&quot;isEdited&quot;:false,&quot;manualOverride&quot;:{&quot;isManuallyOverridden&quot;:false,&quot;citeprocText&quot;:&quot;[28,30]&quot;,&quot;manualOverrideText&quot;:&quot;&quot;},&quot;citationTag&quot;:&quot;MENDELEY_CITATION_v3_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&quot;,&quot;citationItems&quot;:[{&quot;id&quot;:&quot;4254ee78-e1d4-36d8-9a16-81a1fd22aefb&quot;,&quot;itemData&quot;:{&quot;type&quot;:&quot;webpage&quot;,&quot;id&quot;:&quot;4254ee78-e1d4-36d8-9a16-81a1fd22aefb&quot;,&quot;title&quot;:&quot;COPD - Symptoms and causes - Mayo Clinic&quot;,&quot;accessed&quot;:{&quot;date-parts&quot;:[[2025,5,21]]},&quot;URL&quot;:&quot;https://www.mayoclinic.org/diseases-conditions/copd/symptoms-causes/syc-20353679&quot;,&quot;container-title-short&quot;:&quot;&quot;},&quot;isTemporary&quot;:false},{&quot;id&quot;:&quot;57f2a45d-354e-3206-b44c-f96de048669c&quot;,&quot;itemData&quot;:{&quot;type&quot;:&quot;article-journal&quot;,&quot;id&quot;:&quot;57f2a45d-354e-3206-b44c-f96de048669c&quot;,&quot;title&quot;:&quot;Understanding the impact of symptoms on the burden of COPD&quot;,&quot;author&quot;:[{&quot;family&quot;:&quot;Miravitlles&quot;,&quot;given&quot;:&quot;Marc&quot;,&quot;parse-names&quot;:false,&quot;dropping-particle&quot;:&quot;&quot;,&quot;non-dropping-particle&quot;:&quot;&quot;},{&quot;family&quot;:&quot;Ribera&quot;,&quot;given&quot;:&quot;Anna&quot;,&quot;parse-names&quot;:false,&quot;dropping-particle&quot;:&quot;&quot;,&quot;non-dropping-particle&quot;:&quot;&quot;}],&quot;container-title&quot;:&quot;Respiratory Research&quot;,&quot;accessed&quot;:{&quot;date-parts&quot;:[[2025,5,22]]},&quot;DOI&quot;:&quot;10.1186/S12931-017-0548-3&quot;,&quot;ISSN&quot;:&quot;1465993X&quot;,&quot;PMID&quot;:&quot;28431503&quot;,&quot;URL&quot;:&quot;https://pmc.ncbi.nlm.nih.gov/articles/PMC5399825/&quot;,&quot;issued&quot;:{&quot;date-parts&quot;:[[2017,4,21]]},&quot;page&quot;:&quot;67&quot;,&quot;abstract&quot;:&quot;Chronic obstructive pulmonary disease (COPD) imposes a substantial burden on individuals with the disease, which can include a range of symptoms (breathlessness, cough, sputum production, wheeze, chest tightness) of varying severities. We present an overview of the biomedical literature describing reported relationships between COPD symptoms and disease burden in terms of quality of life, health status, daily activities, physical activity, sleep, comorbid anxiety, and depression, as well as risk of exacerbations and disease prognosis. In addition, the substantial variability of COPD symptoms encountered (morning, daytime, and nighttime) is addressed and their implications for disease burden considered. The findings from this narrative review, which mainly focuses on real-world and observational studies, demonstrate the impact of COPD symptoms on the burden of disease and that improved recognition and understanding of their impact is central to alleviating this burden.&quot;,&quot;publisher&quot;:&quot;BioMed Central Ltd.&quot;,&quot;issue&quot;:&quot;1&quot;,&quot;volume&quot;:&quot;18&quot;,&quot;container-title-short&quot;:&quot;Respir Res&quot;},&quot;isTemporary&quot;:false}]},{&quot;citationID&quot;:&quot;MENDELEY_CITATION_7e949654-3a79-4e27-9b5a-99617455c7bb&quot;,&quot;properties&quot;:{&quot;noteIndex&quot;:0},&quot;isEdited&quot;:false,&quot;manualOverride&quot;:{&quot;isManuallyOverridden&quot;:false,&quot;citeprocText&quot;:&quot;[30]&quot;,&quot;manualOverrideText&quot;:&quot;&quot;},&quot;citationTag&quot;:&quot;MENDELEY_CITATION_v3_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&quot;,&quot;citationItems&quot;:[{&quot;id&quot;:&quot;57f2a45d-354e-3206-b44c-f96de048669c&quot;,&quot;itemData&quot;:{&quot;type&quot;:&quot;article-journal&quot;,&quot;id&quot;:&quot;57f2a45d-354e-3206-b44c-f96de048669c&quot;,&quot;title&quot;:&quot;Understanding the impact of symptoms on the burden of COPD&quot;,&quot;author&quot;:[{&quot;family&quot;:&quot;Miravitlles&quot;,&quot;given&quot;:&quot;Marc&quot;,&quot;parse-names&quot;:false,&quot;dropping-particle&quot;:&quot;&quot;,&quot;non-dropping-particle&quot;:&quot;&quot;},{&quot;family&quot;:&quot;Ribera&quot;,&quot;given&quot;:&quot;Anna&quot;,&quot;parse-names&quot;:false,&quot;dropping-particle&quot;:&quot;&quot;,&quot;non-dropping-particle&quot;:&quot;&quot;}],&quot;container-title&quot;:&quot;Respiratory Research&quot;,&quot;accessed&quot;:{&quot;date-parts&quot;:[[2025,5,22]]},&quot;DOI&quot;:&quot;10.1186/S12931-017-0548-3&quot;,&quot;ISSN&quot;:&quot;1465993X&quot;,&quot;PMID&quot;:&quot;28431503&quot;,&quot;URL&quot;:&quot;https://pmc.ncbi.nlm.nih.gov/articles/PMC5399825/&quot;,&quot;issued&quot;:{&quot;date-parts&quot;:[[2017,4,21]]},&quot;page&quot;:&quot;67&quot;,&quot;abstract&quot;:&quot;Chronic obstructive pulmonary disease (COPD) imposes a substantial burden on individuals with the disease, which can include a range of symptoms (breathlessness, cough, sputum production, wheeze, chest tightness) of varying severities. We present an overview of the biomedical literature describing reported relationships between COPD symptoms and disease burden in terms of quality of life, health status, daily activities, physical activity, sleep, comorbid anxiety, and depression, as well as risk of exacerbations and disease prognosis. In addition, the substantial variability of COPD symptoms encountered (morning, daytime, and nighttime) is addressed and their implications for disease burden considered. The findings from this narrative review, which mainly focuses on real-world and observational studies, demonstrate the impact of COPD symptoms on the burden of disease and that improved recognition and understanding of their impact is central to alleviating this burden.&quot;,&quot;publisher&quot;:&quot;BioMed Central Ltd.&quot;,&quot;issue&quot;:&quot;1&quot;,&quot;volume&quot;:&quot;18&quot;,&quot;container-title-short&quot;:&quot;Respir Res&quot;},&quot;isTemporary&quot;:false}]},{&quot;citationID&quot;:&quot;MENDELEY_CITATION_fa6bcf68-5d4f-41ae-bf19-739c16862d61&quot;,&quot;properties&quot;:{&quot;noteIndex&quot;:0},&quot;isEdited&quot;:false,&quot;manualOverride&quot;:{&quot;isManuallyOverridden&quot;:false,&quot;citeprocText&quot;:&quot;[30]&quot;,&quot;manualOverrideText&quot;:&quot;&quot;},&quot;citationTag&quot;:&quot;MENDELEY_CITATION_v3_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&quot;,&quot;citationItems&quot;:[{&quot;id&quot;:&quot;57f2a45d-354e-3206-b44c-f96de048669c&quot;,&quot;itemData&quot;:{&quot;type&quot;:&quot;article-journal&quot;,&quot;id&quot;:&quot;57f2a45d-354e-3206-b44c-f96de048669c&quot;,&quot;title&quot;:&quot;Understanding the impact of symptoms on the burden of COPD&quot;,&quot;author&quot;:[{&quot;family&quot;:&quot;Miravitlles&quot;,&quot;given&quot;:&quot;Marc&quot;,&quot;parse-names&quot;:false,&quot;dropping-particle&quot;:&quot;&quot;,&quot;non-dropping-particle&quot;:&quot;&quot;},{&quot;family&quot;:&quot;Ribera&quot;,&quot;given&quot;:&quot;Anna&quot;,&quot;parse-names&quot;:false,&quot;dropping-particle&quot;:&quot;&quot;,&quot;non-dropping-particle&quot;:&quot;&quot;}],&quot;container-title&quot;:&quot;Respiratory Research&quot;,&quot;accessed&quot;:{&quot;date-parts&quot;:[[2025,5,22]]},&quot;DOI&quot;:&quot;10.1186/S12931-017-0548-3&quot;,&quot;ISSN&quot;:&quot;1465993X&quot;,&quot;PMID&quot;:&quot;28431503&quot;,&quot;URL&quot;:&quot;https://pmc.ncbi.nlm.nih.gov/articles/PMC5399825/&quot;,&quot;issued&quot;:{&quot;date-parts&quot;:[[2017,4,21]]},&quot;page&quot;:&quot;67&quot;,&quot;abstract&quot;:&quot;Chronic obstructive pulmonary disease (COPD) imposes a substantial burden on individuals with the disease, which can include a range of symptoms (breathlessness, cough, sputum production, wheeze, chest tightness) of varying severities. We present an overview of the biomedical literature describing reported relationships between COPD symptoms and disease burden in terms of quality of life, health status, daily activities, physical activity, sleep, comorbid anxiety, and depression, as well as risk of exacerbations and disease prognosis. In addition, the substantial variability of COPD symptoms encountered (morning, daytime, and nighttime) is addressed and their implications for disease burden considered. The findings from this narrative review, which mainly focuses on real-world and observational studies, demonstrate the impact of COPD symptoms on the burden of disease and that improved recognition and understanding of their impact is central to alleviating this burden.&quot;,&quot;publisher&quot;:&quot;BioMed Central Ltd.&quot;,&quot;issue&quot;:&quot;1&quot;,&quot;volume&quot;:&quot;18&quot;,&quot;container-title-short&quot;:&quot;Respir Res&quot;},&quot;isTemporary&quot;:false}]},{&quot;citationID&quot;:&quot;MENDELEY_CITATION_5dd3b424-925e-418f-8639-2509d09995c4&quot;,&quot;properties&quot;:{&quot;noteIndex&quot;:0},&quot;isEdited&quot;:false,&quot;manualOverride&quot;:{&quot;isManuallyOverridden&quot;:false,&quot;citeprocText&quot;:&quot;[30]&quot;,&quot;manualOverrideText&quot;:&quot;&quot;},&quot;citationTag&quot;:&quot;MENDELEY_CITATION_v3_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&quot;,&quot;citationItems&quot;:[{&quot;id&quot;:&quot;57f2a45d-354e-3206-b44c-f96de048669c&quot;,&quot;itemData&quot;:{&quot;type&quot;:&quot;article-journal&quot;,&quot;id&quot;:&quot;57f2a45d-354e-3206-b44c-f96de048669c&quot;,&quot;title&quot;:&quot;Understanding the impact of symptoms on the burden of COPD&quot;,&quot;author&quot;:[{&quot;family&quot;:&quot;Miravitlles&quot;,&quot;given&quot;:&quot;Marc&quot;,&quot;parse-names&quot;:false,&quot;dropping-particle&quot;:&quot;&quot;,&quot;non-dropping-particle&quot;:&quot;&quot;},{&quot;family&quot;:&quot;Ribera&quot;,&quot;given&quot;:&quot;Anna&quot;,&quot;parse-names&quot;:false,&quot;dropping-particle&quot;:&quot;&quot;,&quot;non-dropping-particle&quot;:&quot;&quot;}],&quot;container-title&quot;:&quot;Respiratory Research&quot;,&quot;accessed&quot;:{&quot;date-parts&quot;:[[2025,5,22]]},&quot;DOI&quot;:&quot;10.1186/S12931-017-0548-3&quot;,&quot;ISSN&quot;:&quot;1465993X&quot;,&quot;PMID&quot;:&quot;28431503&quot;,&quot;URL&quot;:&quot;https://pmc.ncbi.nlm.nih.gov/articles/PMC5399825/&quot;,&quot;issued&quot;:{&quot;date-parts&quot;:[[2017,4,21]]},&quot;page&quot;:&quot;67&quot;,&quot;abstract&quot;:&quot;Chronic obstructive pulmonary disease (COPD) imposes a substantial burden on individuals with the disease, which can include a range of symptoms (breathlessness, cough, sputum production, wheeze, chest tightness) of varying severities. We present an overview of the biomedical literature describing reported relationships between COPD symptoms and disease burden in terms of quality of life, health status, daily activities, physical activity, sleep, comorbid anxiety, and depression, as well as risk of exacerbations and disease prognosis. In addition, the substantial variability of COPD symptoms encountered (morning, daytime, and nighttime) is addressed and their implications for disease burden considered. The findings from this narrative review, which mainly focuses on real-world and observational studies, demonstrate the impact of COPD symptoms on the burden of disease and that improved recognition and understanding of their impact is central to alleviating this burden.&quot;,&quot;publisher&quot;:&quot;BioMed Central Ltd.&quot;,&quot;issue&quot;:&quot;1&quot;,&quot;volume&quot;:&quot;18&quot;,&quot;container-title-short&quot;:&quot;Respir Res&quot;},&quot;isTemporary&quot;:false}]},{&quot;citationID&quot;:&quot;MENDELEY_CITATION_10312387-da2c-4fbe-8ce5-337063a31ba4&quot;,&quot;properties&quot;:{&quot;noteIndex&quot;:0},&quot;isEdited&quot;:false,&quot;manualOverride&quot;:{&quot;isManuallyOverridden&quot;:false,&quot;citeprocText&quot;:&quot;[29]&quot;,&quot;manualOverrideText&quot;:&quot;&quot;},&quot;citationTag&quot;:&quot;MENDELEY_CITATION_v3_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&quot;,&quot;citationItems&quot;:[{&quot;id&quot;:&quot;f1bffc91-c69d-3440-a7b8-afd1b9432d71&quot;,&quot;itemData&quot;:{&quot;type&quot;:&quot;article-journal&quot;,&quot;id&quot;:&quot;f1bffc91-c69d-3440-a7b8-afd1b9432d71&quot;,&quot;title&quot;:&quot;Goals of COPD treatment: Focus on symptoms and exacerbations&quot;,&quot;author&quot;:[{&quot;family&quot;:&quot;Vogelmeier&quot;,&quot;given&quot;:&quot;Claus F.&quot;,&quot;parse-names&quot;:false,&quot;dropping-particle&quot;:&quot;&quot;,&quot;non-dropping-particle&quot;:&quot;&quot;},{&quot;family&quot;:&quot;Román-Rodríguez&quot;,&quot;given&quot;:&quot;Miguel&quot;,&quot;parse-names&quot;:false,&quot;dropping-particle&quot;:&quot;&quot;,&quot;non-dropping-particle&quot;:&quot;&quot;},{&quot;family&quot;:&quot;Singh&quot;,&quot;given&quot;:&quot;Dave&quot;,&quot;parse-names&quot;:false,&quot;dropping-particle&quot;:&quot;&quot;,&quot;non-dropping-particle&quot;:&quot;&quot;},{&quot;family&quot;:&quot;Han&quot;,&quot;given&quot;:&quot;Mei Lan K.&quot;,&quot;parse-names&quot;:false,&quot;dropping-particle&quot;:&quot;&quot;,&quot;non-dropping-particle&quot;:&quot;&quot;},{&quot;family&quot;:&quot;Rodríguez-Roisin&quot;,&quot;given&quot;:&quot;Roberto&quot;,&quot;parse-names&quot;:false,&quot;dropping-particle&quot;:&quot;&quot;,&quot;non-dropping-particle&quot;:&quot;&quot;},{&quot;family&quot;:&quot;Ferguson&quot;,&quot;given&quot;:&quot;Gary T.&quot;,&quot;parse-names&quot;:false,&quot;dropping-particle&quot;:&quot;&quot;,&quot;non-dropping-particle&quot;:&quot;&quot;}],&quot;container-title&quot;:&quot;Respiratory Medicine&quot;,&quot;accessed&quot;:{&quot;date-parts&quot;:[[2025,5,22]]},&quot;DOI&quot;:&quot;10.1016/J.RMED.2020.105938/ASSET/C3E76B9A-1D57-4459-A631-721FF02173C4/MAIN.ASSETS/FX1.JPG&quot;,&quot;ISSN&quot;:&quot;15323064&quot;,&quot;PMID&quot;:&quot;32250871&quot;,&quot;URL&quot;:&quot;https://www.resmedjournal.com/action/showFullText?pii=S0954611120300780&quot;,&quot;issued&quot;:{&quot;date-parts&quot;:[[2020,5,1]]},&quot;page&quot;:&quot;105938&quot;,&quot;abstract&quot;:&quot;Chronic obstructive pulmonary disease (COPD) is currently a leading cause of death worldwide, and its burden is expected to rise in the coming years. Common COPD symptoms include dyspnea, cough and/or sputum production. Some patients may experience acute worsening of symptoms (known as an exacerbation), and therefore require additional therapy. Exacerbations are mainly triggered by respiratory infections and environmental factors. Healthcare professionals face many challenges in COPD management, including the heterogeneity of the disease and under-reporting of symptoms. The authors review these challenges and provide recommendations for the best methods to assess COPD. The goals of COPD treatment include recognising the impact that both symptoms and exacerbations have on patients’ lives when considering optimal patient-focused management. The review discusses the need for COPD management strategies to include both pharmacologic and non-pharmacologic approaches and provides recommendations for monitoring treatment outcomes and adjusting management strategies accordingly. Novel treatment strategies including precision medicine and point-of-care testing are also discussed.&quot;,&quot;publisher&quot;:&quot;W.B. Saunders Ltd&quot;,&quot;volume&quot;:&quot;166&quot;,&quot;container-title-short&quot;:&quot;Respir Med&quot;},&quot;isTemporary&quot;:false}]},{&quot;citationID&quot;:&quot;MENDELEY_CITATION_22bf48fe-60c8-481d-a9b5-e453389eb86c&quot;,&quot;properties&quot;:{&quot;noteIndex&quot;:0},&quot;isEdited&quot;:false,&quot;manualOverride&quot;:{&quot;isManuallyOverridden&quot;:false,&quot;citeprocText&quot;:&quot;[29]&quot;,&quot;manualOverrideText&quot;:&quot;&quot;},&quot;citationTag&quot;:&quot;MENDELEY_CITATION_v3_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&quot;,&quot;citationItems&quot;:[{&quot;id&quot;:&quot;f1bffc91-c69d-3440-a7b8-afd1b9432d71&quot;,&quot;itemData&quot;:{&quot;type&quot;:&quot;article-journal&quot;,&quot;id&quot;:&quot;f1bffc91-c69d-3440-a7b8-afd1b9432d71&quot;,&quot;title&quot;:&quot;Goals of COPD treatment: Focus on symptoms and exacerbations&quot;,&quot;author&quot;:[{&quot;family&quot;:&quot;Vogelmeier&quot;,&quot;given&quot;:&quot;Claus F.&quot;,&quot;parse-names&quot;:false,&quot;dropping-particle&quot;:&quot;&quot;,&quot;non-dropping-particle&quot;:&quot;&quot;},{&quot;family&quot;:&quot;Román-Rodríguez&quot;,&quot;given&quot;:&quot;Miguel&quot;,&quot;parse-names&quot;:false,&quot;dropping-particle&quot;:&quot;&quot;,&quot;non-dropping-particle&quot;:&quot;&quot;},{&quot;family&quot;:&quot;Singh&quot;,&quot;given&quot;:&quot;Dave&quot;,&quot;parse-names&quot;:false,&quot;dropping-particle&quot;:&quot;&quot;,&quot;non-dropping-particle&quot;:&quot;&quot;},{&quot;family&quot;:&quot;Han&quot;,&quot;given&quot;:&quot;Mei Lan K.&quot;,&quot;parse-names&quot;:false,&quot;dropping-particle&quot;:&quot;&quot;,&quot;non-dropping-particle&quot;:&quot;&quot;},{&quot;family&quot;:&quot;Rodríguez-Roisin&quot;,&quot;given&quot;:&quot;Roberto&quot;,&quot;parse-names&quot;:false,&quot;dropping-particle&quot;:&quot;&quot;,&quot;non-dropping-particle&quot;:&quot;&quot;},{&quot;family&quot;:&quot;Ferguson&quot;,&quot;given&quot;:&quot;Gary T.&quot;,&quot;parse-names&quot;:false,&quot;dropping-particle&quot;:&quot;&quot;,&quot;non-dropping-particle&quot;:&quot;&quot;}],&quot;container-title&quot;:&quot;Respiratory Medicine&quot;,&quot;container-title-short&quot;:&quot;Respir Med&quot;,&quot;accessed&quot;:{&quot;date-parts&quot;:[[2025,5,22]]},&quot;DOI&quot;:&quot;10.1016/J.RMED.2020.105938/ASSET/C3E76B9A-1D57-4459-A631-721FF02173C4/MAIN.ASSETS/FX1.JPG&quot;,&quot;ISSN&quot;:&quot;15323064&quot;,&quot;PMID&quot;:&quot;32250871&quot;,&quot;URL&quot;:&quot;https://www.resmedjournal.com/action/showFullText?pii=S0954611120300780&quot;,&quot;issued&quot;:{&quot;date-parts&quot;:[[2020,5,1]]},&quot;page&quot;:&quot;105938&quot;,&quot;abstract&quot;:&quot;Chronic obstructive pulmonary disease (COPD) is currently a leading cause of death worldwide, and its burden is expected to rise in the coming years. Common COPD symptoms include dyspnea, cough and/or sputum production. Some patients may experience acute worsening of symptoms (known as an exacerbation), and therefore require additional therapy. Exacerbations are mainly triggered by respiratory infections and environmental factors. Healthcare professionals face many challenges in COPD management, including the heterogeneity of the disease and under-reporting of symptoms. The authors review these challenges and provide recommendations for the best methods to assess COPD. The goals of COPD treatment include recognising the impact that both symptoms and exacerbations have on patients’ lives when considering optimal patient-focused management. The review discusses the need for COPD management strategies to include both pharmacologic and non-pharmacologic approaches and provides recommendations for monitoring treatment outcomes and adjusting management strategies accordingly. Novel treatment strategies including precision medicine and point-of-care testing are also discussed.&quot;,&quot;publisher&quot;:&quot;W.B. Saunders Ltd&quot;,&quot;volume&quot;:&quot;166&quot;},&quot;isTemporary&quot;:false}]},{&quot;citationID&quot;:&quot;MENDELEY_CITATION_1e77c673-5391-49c0-9b25-6326c5b02e41&quot;,&quot;properties&quot;:{&quot;noteIndex&quot;:0},&quot;isEdited&quot;:false,&quot;manualOverride&quot;:{&quot;isManuallyOverridden&quot;:false,&quot;citeprocText&quot;:&quot;[29]&quot;,&quot;manualOverrideText&quot;:&quot;&quot;},&quot;citationTag&quot;:&quot;MENDELEY_CITATION_v3_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&quot;,&quot;citationItems&quot;:[{&quot;id&quot;:&quot;f1bffc91-c69d-3440-a7b8-afd1b9432d71&quot;,&quot;itemData&quot;:{&quot;type&quot;:&quot;article-journal&quot;,&quot;id&quot;:&quot;f1bffc91-c69d-3440-a7b8-afd1b9432d71&quot;,&quot;title&quot;:&quot;Goals of COPD treatment: Focus on symptoms and exacerbations&quot;,&quot;author&quot;:[{&quot;family&quot;:&quot;Vogelmeier&quot;,&quot;given&quot;:&quot;Claus F.&quot;,&quot;parse-names&quot;:false,&quot;dropping-particle&quot;:&quot;&quot;,&quot;non-dropping-particle&quot;:&quot;&quot;},{&quot;family&quot;:&quot;Román-Rodríguez&quot;,&quot;given&quot;:&quot;Miguel&quot;,&quot;parse-names&quot;:false,&quot;dropping-particle&quot;:&quot;&quot;,&quot;non-dropping-particle&quot;:&quot;&quot;},{&quot;family&quot;:&quot;Singh&quot;,&quot;given&quot;:&quot;Dave&quot;,&quot;parse-names&quot;:false,&quot;dropping-particle&quot;:&quot;&quot;,&quot;non-dropping-particle&quot;:&quot;&quot;},{&quot;family&quot;:&quot;Han&quot;,&quot;given&quot;:&quot;Mei Lan K.&quot;,&quot;parse-names&quot;:false,&quot;dropping-particle&quot;:&quot;&quot;,&quot;non-dropping-particle&quot;:&quot;&quot;},{&quot;family&quot;:&quot;Rodríguez-Roisin&quot;,&quot;given&quot;:&quot;Roberto&quot;,&quot;parse-names&quot;:false,&quot;dropping-particle&quot;:&quot;&quot;,&quot;non-dropping-particle&quot;:&quot;&quot;},{&quot;family&quot;:&quot;Ferguson&quot;,&quot;given&quot;:&quot;Gary T.&quot;,&quot;parse-names&quot;:false,&quot;dropping-particle&quot;:&quot;&quot;,&quot;non-dropping-particle&quot;:&quot;&quot;}],&quot;container-title&quot;:&quot;Respiratory Medicine&quot;,&quot;accessed&quot;:{&quot;date-parts&quot;:[[2025,5,22]]},&quot;DOI&quot;:&quot;10.1016/J.RMED.2020.105938/ASSET/C3E76B9A-1D57-4459-A631-721FF02173C4/MAIN.ASSETS/FX1.JPG&quot;,&quot;ISSN&quot;:&quot;15323064&quot;,&quot;PMID&quot;:&quot;32250871&quot;,&quot;URL&quot;:&quot;https://www.resmedjournal.com/action/showFullText?pii=S0954611120300780&quot;,&quot;issued&quot;:{&quot;date-parts&quot;:[[2020,5,1]]},&quot;page&quot;:&quot;105938&quot;,&quot;abstract&quot;:&quot;Chronic obstructive pulmonary disease (COPD) is currently a leading cause of death worldwide, and its burden is expected to rise in the coming years. Common COPD symptoms include dyspnea, cough and/or sputum production. Some patients may experience acute worsening of symptoms (known as an exacerbation), and therefore require additional therapy. Exacerbations are mainly triggered by respiratory infections and environmental factors. Healthcare professionals face many challenges in COPD management, including the heterogeneity of the disease and under-reporting of symptoms. The authors review these challenges and provide recommendations for the best methods to assess COPD. The goals of COPD treatment include recognising the impact that both symptoms and exacerbations have on patients’ lives when considering optimal patient-focused management. The review discusses the need for COPD management strategies to include both pharmacologic and non-pharmacologic approaches and provides recommendations for monitoring treatment outcomes and adjusting management strategies accordingly. Novel treatment strategies including precision medicine and point-of-care testing are also discussed.&quot;,&quot;publisher&quot;:&quot;W.B. Saunders Ltd&quot;,&quot;volume&quot;:&quot;166&quot;,&quot;container-title-short&quot;:&quot;Respir Med&quot;},&quot;isTemporary&quot;:false}]},{&quot;citationID&quot;:&quot;MENDELEY_CITATION_191f38c1-f2f0-464f-a4fb-4c7c579aaee5&quot;,&quot;properties&quot;:{&quot;noteIndex&quot;:0},&quot;isEdited&quot;:false,&quot;manualOverride&quot;:{&quot;isManuallyOverridden&quot;:false,&quot;citeprocText&quot;:&quot;[31]&quot;,&quot;manualOverrideText&quot;:&quot;&quot;},&quot;citationTag&quot;:&quot;MENDELEY_CITATION_v3_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&quot;,&quot;citationItems&quot;:[{&quot;id&quot;:&quot;5308224a-4002-3d47-82d4-6ad837a6615e&quot;,&quot;itemData&quot;:{&quot;type&quot;:&quot;article-journal&quot;,&quot;id&quot;:&quot;5308224a-4002-3d47-82d4-6ad837a6615e&quot;,&quot;title&quot;:&quot;Chronic obstructive pulmonary disease exacerbation fundamentals: Diagnosis, treatment, prevention and disease impact&quot;,&quot;author&quot;:[{&quot;family&quot;:&quot;MacLeod&quot;,&quot;given&quot;:&quot;Mairi&quot;,&quot;parse-names&quot;:false,&quot;dropping-particle&quot;:&quot;&quot;,&quot;non-dropping-particle&quot;:&quot;&quot;},{&quot;family&quot;:&quot;Papi&quot;,&quot;given&quot;:&quot;Alberto&quot;,&quot;parse-names&quot;:false,&quot;dropping-particle&quot;:&quot;&quot;,&quot;non-dropping-particle&quot;:&quot;&quot;},{&quot;family&quot;:&quot;Contoli&quot;,&quot;given&quot;:&quot;Marco&quot;,&quot;parse-names&quot;:false,&quot;dropping-particle&quot;:&quot;&quot;,&quot;non-dropping-particle&quot;:&quot;&quot;},{&quot;family&quot;:&quot;Beghé&quot;,&quot;given&quot;:&quot;Bianca&quot;,&quot;parse-names&quot;:false,&quot;dropping-particle&quot;:&quot;&quot;,&quot;non-dropping-particle&quot;:&quot;&quot;},{&quot;family&quot;:&quot;Celli&quot;,&quot;given&quot;:&quot;Bartolome R.&quot;,&quot;parse-names&quot;:false,&quot;dropping-particle&quot;:&quot;&quot;,&quot;non-dropping-particle&quot;:&quot;&quot;},{&quot;family&quot;:&quot;Wedzicha&quot;,&quot;given&quot;:&quot;Jadwiga A.&quot;,&quot;parse-names&quot;:false,&quot;dropping-particle&quot;:&quot;&quot;,&quot;non-dropping-particle&quot;:&quot;&quot;},{&quot;family&quot;:&quot;Fabbri&quot;,&quot;given&quot;:&quot;Leonardo M.&quot;,&quot;parse-names&quot;:false,&quot;dropping-particle&quot;:&quot;&quot;,&quot;non-dropping-particle&quot;:&quot;&quot;}],&quot;container-title&quot;:&quot;Respirology&quot;,&quot;accessed&quot;:{&quot;date-parts&quot;:[[2024,10,14]]},&quot;DOI&quot;:&quot;10.1111/RESP.14041&quot;,&quot;ISSN&quot;:&quot;1440-1843&quot;,&quot;PMID&quot;:&quot;33893708&quot;,&quot;URL&quot;:&quot;https://onlinelibrary.wiley.com/doi/full/10.1111/resp.14041&quot;,&quot;issued&quot;:{&quot;date-parts&quot;:[[2021,6,1]]},&quot;page&quot;:&quot;532-551&quot;,&quot;abstract&quot;:&quot;In chronic obstructive pulmonary disease (COPD), exacerbations (ECOPD), characterized by an acute deterioration in respiratory symptoms, are fundamental events impacting negatively upon disease progression, comorbidities, wellbeing and mortality. ECOPD also represent the largest component of the socioeconomic burden of COPD. ECOPDs are currently defined as acute worsening of respiratory symptoms that require additional therapy. Definitions that require worsening of dyspnoea and sputum volume/purulence assume that acute infections, especially respiratory viral infections, and/or exposure to pollutants are the main cause of ECOPD. But other factors may contribute to ECOPD, such as the exacerbation of other respiratory diseases and non-respiratory diseases (e.g., heart failure, thromboembolism). The complexity of worsening dyspnoea has suggested a need to improve the definition of ECOPD using objective measurements such as blood counts and C-reactive protein to improve accuracy of diagnosis and a personalized approach to management. There are three time points when we can intervene to improve outcomes: acutely, to attenuate the length and severity of an established exacerbation; in the aftermath, to prevent early recurrence and readmission, which are common, and in the long-term, establishing preventative measures that reduce the risk of future events. Acute management includes interventions such as corticosteroids or antibiotics and measures to support the respiratory system, including non-invasive ventilation (NIV). Current therapies are broad and better understanding of clinical phenotypes and biomarkers may help to establish a more tailored approach, for example in relation to antibiotic prescription. Other unmet needs include effective treatment for viruses, which commonly cause exacerbations. Preventing early recurrence and readmission to hospital is important and the benefits of interventions such as antibiotics or anti-inflammatories in this period are not established. Domiciliary NIV in those patients who are persistently hypercapnic following discharge and pulmonary rehabilitation can have a positive impact. For long-term prevention, inhaled therapy is key. Dual bronchodilators reduce exacerbation frequency but in patients with continuing exacerbations, triple therapy should be considered, especially if blood eosinophils are elevated. Other options include phosphodiesterase inhibitors and macrolide antibiotics. ECOPD are a key component of the assessment of COPD severity and future outcomes (quality of life, hospitalisations, health care resource utilization, mortality) and are a central component in pharmacological management decisions. Targeted therapies directed towards specific pathways of inflammation are being explored in exacerbation prevention, and this is a promising avenue for future research.&quot;,&quot;publisher&quot;:&quot;John Wiley &amp; Sons, Ltd&quot;,&quot;issue&quot;:&quot;6&quot;,&quot;volume&quot;:&quot;26&quot;,&quot;container-title-short&quot;:&quot;&quot;},&quot;isTemporary&quot;:false}]},{&quot;citationID&quot;:&quot;MENDELEY_CITATION_412e4b19-3c0f-46ea-afa1-d514b15049bb&quot;,&quot;properties&quot;:{&quot;noteIndex&quot;:0},&quot;isEdited&quot;:false,&quot;manualOverride&quot;:{&quot;isManuallyOverridden&quot;:false,&quot;citeprocText&quot;:&quot;[24,31]&quot;,&quot;manualOverrideText&quot;:&quot;&quot;},&quot;citationTag&quot;:&quot;MENDELEY_CITATION_v3_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&quot;,&quot;citationItems&quot;:[{&quot;id&quot;:&quot;5308224a-4002-3d47-82d4-6ad837a6615e&quot;,&quot;itemData&quot;:{&quot;type&quot;:&quot;article-journal&quot;,&quot;id&quot;:&quot;5308224a-4002-3d47-82d4-6ad837a6615e&quot;,&quot;title&quot;:&quot;Chronic obstructive pulmonary disease exacerbation fundamentals: Diagnosis, treatment, prevention and disease impact&quot;,&quot;author&quot;:[{&quot;family&quot;:&quot;MacLeod&quot;,&quot;given&quot;:&quot;Mairi&quot;,&quot;parse-names&quot;:false,&quot;dropping-particle&quot;:&quot;&quot;,&quot;non-dropping-particle&quot;:&quot;&quot;},{&quot;family&quot;:&quot;Papi&quot;,&quot;given&quot;:&quot;Alberto&quot;,&quot;parse-names&quot;:false,&quot;dropping-particle&quot;:&quot;&quot;,&quot;non-dropping-particle&quot;:&quot;&quot;},{&quot;family&quot;:&quot;Contoli&quot;,&quot;given&quot;:&quot;Marco&quot;,&quot;parse-names&quot;:false,&quot;dropping-particle&quot;:&quot;&quot;,&quot;non-dropping-particle&quot;:&quot;&quot;},{&quot;family&quot;:&quot;Beghé&quot;,&quot;given&quot;:&quot;Bianca&quot;,&quot;parse-names&quot;:false,&quot;dropping-particle&quot;:&quot;&quot;,&quot;non-dropping-particle&quot;:&quot;&quot;},{&quot;family&quot;:&quot;Celli&quot;,&quot;given&quot;:&quot;Bartolome R.&quot;,&quot;parse-names&quot;:false,&quot;dropping-particle&quot;:&quot;&quot;,&quot;non-dropping-particle&quot;:&quot;&quot;},{&quot;family&quot;:&quot;Wedzicha&quot;,&quot;given&quot;:&quot;Jadwiga A.&quot;,&quot;parse-names&quot;:false,&quot;dropping-particle&quot;:&quot;&quot;,&quot;non-dropping-particle&quot;:&quot;&quot;},{&quot;family&quot;:&quot;Fabbri&quot;,&quot;given&quot;:&quot;Leonardo M.&quot;,&quot;parse-names&quot;:false,&quot;dropping-particle&quot;:&quot;&quot;,&quot;non-dropping-particle&quot;:&quot;&quot;}],&quot;container-title&quot;:&quot;Respirology&quot;,&quot;accessed&quot;:{&quot;date-parts&quot;:[[2024,10,14]]},&quot;DOI&quot;:&quot;10.1111/RESP.14041&quot;,&quot;ISSN&quot;:&quot;1440-1843&quot;,&quot;PMID&quot;:&quot;33893708&quot;,&quot;URL&quot;:&quot;https://onlinelibrary.wiley.com/doi/full/10.1111/resp.14041&quot;,&quot;issued&quot;:{&quot;date-parts&quot;:[[2021,6,1]]},&quot;page&quot;:&quot;532-551&quot;,&quot;abstract&quot;:&quot;In chronic obstructive pulmonary disease (COPD), exacerbations (ECOPD), characterized by an acute deterioration in respiratory symptoms, are fundamental events impacting negatively upon disease progression, comorbidities, wellbeing and mortality. ECOPD also represent the largest component of the socioeconomic burden of COPD. ECOPDs are currently defined as acute worsening of respiratory symptoms that require additional therapy. Definitions that require worsening of dyspnoea and sputum volume/purulence assume that acute infections, especially respiratory viral infections, and/or exposure to pollutants are the main cause of ECOPD. But other factors may contribute to ECOPD, such as the exacerbation of other respiratory diseases and non-respiratory diseases (e.g., heart failure, thromboembolism). The complexity of worsening dyspnoea has suggested a need to improve the definition of ECOPD using objective measurements such as blood counts and C-reactive protein to improve accuracy of diagnosis and a personalized approach to management. There are three time points when we can intervene to improve outcomes: acutely, to attenuate the length and severity of an established exacerbation; in the aftermath, to prevent early recurrence and readmission, which are common, and in the long-term, establishing preventative measures that reduce the risk of future events. Acute management includes interventions such as corticosteroids or antibiotics and measures to support the respiratory system, including non-invasive ventilation (NIV). Current therapies are broad and better understanding of clinical phenotypes and biomarkers may help to establish a more tailored approach, for example in relation to antibiotic prescription. Other unmet needs include effective treatment for viruses, which commonly cause exacerbations. Preventing early recurrence and readmission to hospital is important and the benefits of interventions such as antibiotics or anti-inflammatories in this period are not established. Domiciliary NIV in those patients who are persistently hypercapnic following discharge and pulmonary rehabilitation can have a positive impact. For long-term prevention, inhaled therapy is key. Dual bronchodilators reduce exacerbation frequency but in patients with continuing exacerbations, triple therapy should be considered, especially if blood eosinophils are elevated. Other options include phosphodiesterase inhibitors and macrolide antibiotics. ECOPD are a key component of the assessment of COPD severity and future outcomes (quality of life, hospitalisations, health care resource utilization, mortality) and are a central component in pharmacological management decisions. Targeted therapies directed towards specific pathways of inflammation are being explored in exacerbation prevention, and this is a promising avenue for future research.&quot;,&quot;publisher&quot;:&quot;John Wiley &amp; Sons, Ltd&quot;,&quot;issue&quot;:&quot;6&quot;,&quot;volume&quot;:&quot;26&quot;,&quot;container-title-short&quot;:&quot;&quot;},&quot;isTemporary&quot;:false},{&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citationID&quot;:&quot;MENDELEY_CITATION_bf2cf753-c71d-4bfd-8fba-da290864a857&quot;,&quot;properties&quot;:{&quot;noteIndex&quot;:0},&quot;isEdited&quot;:false,&quot;manualOverride&quot;:{&quot;isManuallyOverridden&quot;:false,&quot;citeprocText&quot;:&quot;[31]&quot;,&quot;manualOverrideText&quot;:&quot;&quot;},&quot;citationTag&quot;:&quot;MENDELEY_CITATION_v3_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&quot;,&quot;citationItems&quot;:[{&quot;id&quot;:&quot;5308224a-4002-3d47-82d4-6ad837a6615e&quot;,&quot;itemData&quot;:{&quot;type&quot;:&quot;article-journal&quot;,&quot;id&quot;:&quot;5308224a-4002-3d47-82d4-6ad837a6615e&quot;,&quot;title&quot;:&quot;Chronic obstructive pulmonary disease exacerbation fundamentals: Diagnosis, treatment, prevention and disease impact&quot;,&quot;author&quot;:[{&quot;family&quot;:&quot;MacLeod&quot;,&quot;given&quot;:&quot;Mairi&quot;,&quot;parse-names&quot;:false,&quot;dropping-particle&quot;:&quot;&quot;,&quot;non-dropping-particle&quot;:&quot;&quot;},{&quot;family&quot;:&quot;Papi&quot;,&quot;given&quot;:&quot;Alberto&quot;,&quot;parse-names&quot;:false,&quot;dropping-particle&quot;:&quot;&quot;,&quot;non-dropping-particle&quot;:&quot;&quot;},{&quot;family&quot;:&quot;Contoli&quot;,&quot;given&quot;:&quot;Marco&quot;,&quot;parse-names&quot;:false,&quot;dropping-particle&quot;:&quot;&quot;,&quot;non-dropping-particle&quot;:&quot;&quot;},{&quot;family&quot;:&quot;Beghé&quot;,&quot;given&quot;:&quot;Bianca&quot;,&quot;parse-names&quot;:false,&quot;dropping-particle&quot;:&quot;&quot;,&quot;non-dropping-particle&quot;:&quot;&quot;},{&quot;family&quot;:&quot;Celli&quot;,&quot;given&quot;:&quot;Bartolome R.&quot;,&quot;parse-names&quot;:false,&quot;dropping-particle&quot;:&quot;&quot;,&quot;non-dropping-particle&quot;:&quot;&quot;},{&quot;family&quot;:&quot;Wedzicha&quot;,&quot;given&quot;:&quot;Jadwiga A.&quot;,&quot;parse-names&quot;:false,&quot;dropping-particle&quot;:&quot;&quot;,&quot;non-dropping-particle&quot;:&quot;&quot;},{&quot;family&quot;:&quot;Fabbri&quot;,&quot;given&quot;:&quot;Leonardo M.&quot;,&quot;parse-names&quot;:false,&quot;dropping-particle&quot;:&quot;&quot;,&quot;non-dropping-particle&quot;:&quot;&quot;}],&quot;container-title&quot;:&quot;Respirology&quot;,&quot;accessed&quot;:{&quot;date-parts&quot;:[[2024,10,14]]},&quot;DOI&quot;:&quot;10.1111/RESP.14041&quot;,&quot;ISSN&quot;:&quot;1440-1843&quot;,&quot;PMID&quot;:&quot;33893708&quot;,&quot;URL&quot;:&quot;https://onlinelibrary.wiley.com/doi/full/10.1111/resp.14041&quot;,&quot;issued&quot;:{&quot;date-parts&quot;:[[2021,6,1]]},&quot;page&quot;:&quot;532-551&quot;,&quot;abstract&quot;:&quot;In chronic obstructive pulmonary disease (COPD), exacerbations (ECOPD), characterized by an acute deterioration in respiratory symptoms, are fundamental events impacting negatively upon disease progression, comorbidities, wellbeing and mortality. ECOPD also represent the largest component of the socioeconomic burden of COPD. ECOPDs are currently defined as acute worsening of respiratory symptoms that require additional therapy. Definitions that require worsening of dyspnoea and sputum volume/purulence assume that acute infections, especially respiratory viral infections, and/or exposure to pollutants are the main cause of ECOPD. But other factors may contribute to ECOPD, such as the exacerbation of other respiratory diseases and non-respiratory diseases (e.g., heart failure, thromboembolism). The complexity of worsening dyspnoea has suggested a need to improve the definition of ECOPD using objective measurements such as blood counts and C-reactive protein to improve accuracy of diagnosis and a personalized approach to management. There are three time points when we can intervene to improve outcomes: acutely, to attenuate the length and severity of an established exacerbation; in the aftermath, to prevent early recurrence and readmission, which are common, and in the long-term, establishing preventative measures that reduce the risk of future events. Acute management includes interventions such as corticosteroids or antibiotics and measures to support the respiratory system, including non-invasive ventilation (NIV). Current therapies are broad and better understanding of clinical phenotypes and biomarkers may help to establish a more tailored approach, for example in relation to antibiotic prescription. Other unmet needs include effective treatment for viruses, which commonly cause exacerbations. Preventing early recurrence and readmission to hospital is important and the benefits of interventions such as antibiotics or anti-inflammatories in this period are not established. Domiciliary NIV in those patients who are persistently hypercapnic following discharge and pulmonary rehabilitation can have a positive impact. For long-term prevention, inhaled therapy is key. Dual bronchodilators reduce exacerbation frequency but in patients with continuing exacerbations, triple therapy should be considered, especially if blood eosinophils are elevated. Other options include phosphodiesterase inhibitors and macrolide antibiotics. ECOPD are a key component of the assessment of COPD severity and future outcomes (quality of life, hospitalisations, health care resource utilization, mortality) and are a central component in pharmacological management decisions. Targeted therapies directed towards specific pathways of inflammation are being explored in exacerbation prevention, and this is a promising avenue for future research.&quot;,&quot;publisher&quot;:&quot;John Wiley &amp; Sons, Ltd&quot;,&quot;issue&quot;:&quot;6&quot;,&quot;volume&quot;:&quot;26&quot;,&quot;container-title-short&quot;:&quot;&quot;},&quot;isTemporary&quot;:false}]},{&quot;citationID&quot;:&quot;MENDELEY_CITATION_51cb224f-4979-4daf-a902-90a45faddc29&quot;,&quot;properties&quot;:{&quot;noteIndex&quot;:0},&quot;isEdited&quot;:false,&quot;manualOverride&quot;:{&quot;isManuallyOverridden&quot;:false,&quot;citeprocText&quot;:&quot;[24]&quot;,&quot;manualOverrideText&quot;:&quot;&quot;},&quot;citationTag&quot;:&quot;MENDELEY_CITATION_v3_eyJjaXRhdGlvbklEIjoiTUVOREVMRVlfQ0lUQVRJT05fNTFjYjIyNGYtNDk3OS00ZGFmLWE5MDItOTBhNDVmYWRkYzI5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quot;,&quot;citationItems&quot;:[{&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citationID&quot;:&quot;MENDELEY_CITATION_8e3861ad-8a6b-4f96-b408-b30210c9ba5c&quot;,&quot;properties&quot;:{&quot;noteIndex&quot;:0},&quot;isEdited&quot;:false,&quot;manualOverride&quot;:{&quot;isManuallyOverridden&quot;:false,&quot;citeprocText&quot;:&quot;[31]&quot;,&quot;manualOverrideText&quot;:&quot;&quot;},&quot;citationTag&quot;:&quot;MENDELEY_CITATION_v3_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&quot;,&quot;citationItems&quot;:[{&quot;id&quot;:&quot;5308224a-4002-3d47-82d4-6ad837a6615e&quot;,&quot;itemData&quot;:{&quot;type&quot;:&quot;article-journal&quot;,&quot;id&quot;:&quot;5308224a-4002-3d47-82d4-6ad837a6615e&quot;,&quot;title&quot;:&quot;Chronic obstructive pulmonary disease exacerbation fundamentals: Diagnosis, treatment, prevention and disease impact&quot;,&quot;author&quot;:[{&quot;family&quot;:&quot;MacLeod&quot;,&quot;given&quot;:&quot;Mairi&quot;,&quot;parse-names&quot;:false,&quot;dropping-particle&quot;:&quot;&quot;,&quot;non-dropping-particle&quot;:&quot;&quot;},{&quot;family&quot;:&quot;Papi&quot;,&quot;given&quot;:&quot;Alberto&quot;,&quot;parse-names&quot;:false,&quot;dropping-particle&quot;:&quot;&quot;,&quot;non-dropping-particle&quot;:&quot;&quot;},{&quot;family&quot;:&quot;Contoli&quot;,&quot;given&quot;:&quot;Marco&quot;,&quot;parse-names&quot;:false,&quot;dropping-particle&quot;:&quot;&quot;,&quot;non-dropping-particle&quot;:&quot;&quot;},{&quot;family&quot;:&quot;Beghé&quot;,&quot;given&quot;:&quot;Bianca&quot;,&quot;parse-names&quot;:false,&quot;dropping-particle&quot;:&quot;&quot;,&quot;non-dropping-particle&quot;:&quot;&quot;},{&quot;family&quot;:&quot;Celli&quot;,&quot;given&quot;:&quot;Bartolome R.&quot;,&quot;parse-names&quot;:false,&quot;dropping-particle&quot;:&quot;&quot;,&quot;non-dropping-particle&quot;:&quot;&quot;},{&quot;family&quot;:&quot;Wedzicha&quot;,&quot;given&quot;:&quot;Jadwiga A.&quot;,&quot;parse-names&quot;:false,&quot;dropping-particle&quot;:&quot;&quot;,&quot;non-dropping-particle&quot;:&quot;&quot;},{&quot;family&quot;:&quot;Fabbri&quot;,&quot;given&quot;:&quot;Leonardo M.&quot;,&quot;parse-names&quot;:false,&quot;dropping-particle&quot;:&quot;&quot;,&quot;non-dropping-particle&quot;:&quot;&quot;}],&quot;container-title&quot;:&quot;Respirology&quot;,&quot;accessed&quot;:{&quot;date-parts&quot;:[[2024,10,14]]},&quot;DOI&quot;:&quot;10.1111/RESP.14041&quot;,&quot;ISSN&quot;:&quot;1440-1843&quot;,&quot;PMID&quot;:&quot;33893708&quot;,&quot;URL&quot;:&quot;https://onlinelibrary.wiley.com/doi/full/10.1111/resp.14041&quot;,&quot;issued&quot;:{&quot;date-parts&quot;:[[2021,6,1]]},&quot;page&quot;:&quot;532-551&quot;,&quot;abstract&quot;:&quot;In chronic obstructive pulmonary disease (COPD), exacerbations (ECOPD), characterized by an acute deterioration in respiratory symptoms, are fundamental events impacting negatively upon disease progression, comorbidities, wellbeing and mortality. ECOPD also represent the largest component of the socioeconomic burden of COPD. ECOPDs are currently defined as acute worsening of respiratory symptoms that require additional therapy. Definitions that require worsening of dyspnoea and sputum volume/purulence assume that acute infections, especially respiratory viral infections, and/or exposure to pollutants are the main cause of ECOPD. But other factors may contribute to ECOPD, such as the exacerbation of other respiratory diseases and non-respiratory diseases (e.g., heart failure, thromboembolism). The complexity of worsening dyspnoea has suggested a need to improve the definition of ECOPD using objective measurements such as blood counts and C-reactive protein to improve accuracy of diagnosis and a personalized approach to management. There are three time points when we can intervene to improve outcomes: acutely, to attenuate the length and severity of an established exacerbation; in the aftermath, to prevent early recurrence and readmission, which are common, and in the long-term, establishing preventative measures that reduce the risk of future events. Acute management includes interventions such as corticosteroids or antibiotics and measures to support the respiratory system, including non-invasive ventilation (NIV). Current therapies are broad and better understanding of clinical phenotypes and biomarkers may help to establish a more tailored approach, for example in relation to antibiotic prescription. Other unmet needs include effective treatment for viruses, which commonly cause exacerbations. Preventing early recurrence and readmission to hospital is important and the benefits of interventions such as antibiotics or anti-inflammatories in this period are not established. Domiciliary NIV in those patients who are persistently hypercapnic following discharge and pulmonary rehabilitation can have a positive impact. For long-term prevention, inhaled therapy is key. Dual bronchodilators reduce exacerbation frequency but in patients with continuing exacerbations, triple therapy should be considered, especially if blood eosinophils are elevated. Other options include phosphodiesterase inhibitors and macrolide antibiotics. ECOPD are a key component of the assessment of COPD severity and future outcomes (quality of life, hospitalisations, health care resource utilization, mortality) and are a central component in pharmacological management decisions. Targeted therapies directed towards specific pathways of inflammation are being explored in exacerbation prevention, and this is a promising avenue for future research.&quot;,&quot;publisher&quot;:&quot;John Wiley &amp; Sons, Ltd&quot;,&quot;issue&quot;:&quot;6&quot;,&quot;volume&quot;:&quot;26&quot;,&quot;container-title-short&quot;:&quot;&quot;},&quot;isTemporary&quot;:false}]},{&quot;citationID&quot;:&quot;MENDELEY_CITATION_5fcc17fc-acfa-488b-bdd3-b44c5136c689&quot;,&quot;properties&quot;:{&quot;noteIndex&quot;:0},&quot;isEdited&quot;:false,&quot;manualOverride&quot;:{&quot;isManuallyOverridden&quot;:false,&quot;citeprocText&quot;:&quot;[31]&quot;,&quot;manualOverrideText&quot;:&quot;&quot;},&quot;citationTag&quot;:&quot;MENDELEY_CITATION_v3_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&quot;,&quot;citationItems&quot;:[{&quot;id&quot;:&quot;5308224a-4002-3d47-82d4-6ad837a6615e&quot;,&quot;itemData&quot;:{&quot;type&quot;:&quot;article-journal&quot;,&quot;id&quot;:&quot;5308224a-4002-3d47-82d4-6ad837a6615e&quot;,&quot;title&quot;:&quot;Chronic obstructive pulmonary disease exacerbation fundamentals: Diagnosis, treatment, prevention and disease impact&quot;,&quot;author&quot;:[{&quot;family&quot;:&quot;MacLeod&quot;,&quot;given&quot;:&quot;Mairi&quot;,&quot;parse-names&quot;:false,&quot;dropping-particle&quot;:&quot;&quot;,&quot;non-dropping-particle&quot;:&quot;&quot;},{&quot;family&quot;:&quot;Papi&quot;,&quot;given&quot;:&quot;Alberto&quot;,&quot;parse-names&quot;:false,&quot;dropping-particle&quot;:&quot;&quot;,&quot;non-dropping-particle&quot;:&quot;&quot;},{&quot;family&quot;:&quot;Contoli&quot;,&quot;given&quot;:&quot;Marco&quot;,&quot;parse-names&quot;:false,&quot;dropping-particle&quot;:&quot;&quot;,&quot;non-dropping-particle&quot;:&quot;&quot;},{&quot;family&quot;:&quot;Beghé&quot;,&quot;given&quot;:&quot;Bianca&quot;,&quot;parse-names&quot;:false,&quot;dropping-particle&quot;:&quot;&quot;,&quot;non-dropping-particle&quot;:&quot;&quot;},{&quot;family&quot;:&quot;Celli&quot;,&quot;given&quot;:&quot;Bartolome R.&quot;,&quot;parse-names&quot;:false,&quot;dropping-particle&quot;:&quot;&quot;,&quot;non-dropping-particle&quot;:&quot;&quot;},{&quot;family&quot;:&quot;Wedzicha&quot;,&quot;given&quot;:&quot;Jadwiga A.&quot;,&quot;parse-names&quot;:false,&quot;dropping-particle&quot;:&quot;&quot;,&quot;non-dropping-particle&quot;:&quot;&quot;},{&quot;family&quot;:&quot;Fabbri&quot;,&quot;given&quot;:&quot;Leonardo M.&quot;,&quot;parse-names&quot;:false,&quot;dropping-particle&quot;:&quot;&quot;,&quot;non-dropping-particle&quot;:&quot;&quot;}],&quot;container-title&quot;:&quot;Respirology&quot;,&quot;accessed&quot;:{&quot;date-parts&quot;:[[2024,10,14]]},&quot;DOI&quot;:&quot;10.1111/RESP.14041&quot;,&quot;ISSN&quot;:&quot;1440-1843&quot;,&quot;PMID&quot;:&quot;33893708&quot;,&quot;URL&quot;:&quot;https://onlinelibrary.wiley.com/doi/full/10.1111/resp.14041&quot;,&quot;issued&quot;:{&quot;date-parts&quot;:[[2021,6,1]]},&quot;page&quot;:&quot;532-551&quot;,&quot;abstract&quot;:&quot;In chronic obstructive pulmonary disease (COPD), exacerbations (ECOPD), characterized by an acute deterioration in respiratory symptoms, are fundamental events impacting negatively upon disease progression, comorbidities, wellbeing and mortality. ECOPD also represent the largest component of the socioeconomic burden of COPD. ECOPDs are currently defined as acute worsening of respiratory symptoms that require additional therapy. Definitions that require worsening of dyspnoea and sputum volume/purulence assume that acute infections, especially respiratory viral infections, and/or exposure to pollutants are the main cause of ECOPD. But other factors may contribute to ECOPD, such as the exacerbation of other respiratory diseases and non-respiratory diseases (e.g., heart failure, thromboembolism). The complexity of worsening dyspnoea has suggested a need to improve the definition of ECOPD using objective measurements such as blood counts and C-reactive protein to improve accuracy of diagnosis and a personalized approach to management. There are three time points when we can intervene to improve outcomes: acutely, to attenuate the length and severity of an established exacerbation; in the aftermath, to prevent early recurrence and readmission, which are common, and in the long-term, establishing preventative measures that reduce the risk of future events. Acute management includes interventions such as corticosteroids or antibiotics and measures to support the respiratory system, including non-invasive ventilation (NIV). Current therapies are broad and better understanding of clinical phenotypes and biomarkers may help to establish a more tailored approach, for example in relation to antibiotic prescription. Other unmet needs include effective treatment for viruses, which commonly cause exacerbations. Preventing early recurrence and readmission to hospital is important and the benefits of interventions such as antibiotics or anti-inflammatories in this period are not established. Domiciliary NIV in those patients who are persistently hypercapnic following discharge and pulmonary rehabilitation can have a positive impact. For long-term prevention, inhaled therapy is key. Dual bronchodilators reduce exacerbation frequency but in patients with continuing exacerbations, triple therapy should be considered, especially if blood eosinophils are elevated. Other options include phosphodiesterase inhibitors and macrolide antibiotics. ECOPD are a key component of the assessment of COPD severity and future outcomes (quality of life, hospitalisations, health care resource utilization, mortality) and are a central component in pharmacological management decisions. Targeted therapies directed towards specific pathways of inflammation are being explored in exacerbation prevention, and this is a promising avenue for future research.&quot;,&quot;publisher&quot;:&quot;John Wiley &amp; Sons, Ltd&quot;,&quot;issue&quot;:&quot;6&quot;,&quot;volume&quot;:&quot;26&quot;,&quot;container-title-short&quot;:&quot;&quot;},&quot;isTemporary&quot;:false}]},{&quot;citationID&quot;:&quot;MENDELEY_CITATION_6267f637-7ea3-4d1b-8b29-3dfc2d08938c&quot;,&quot;properties&quot;:{&quot;noteIndex&quot;:0},&quot;isEdited&quot;:false,&quot;manualOverride&quot;:{&quot;isManuallyOverridden&quot;:false,&quot;citeprocText&quot;:&quot;[24]&quot;,&quot;manualOverrideText&quot;:&quot;&quot;},&quot;citationTag&quot;:&quot;MENDELEY_CITATION_v3_eyJjaXRhdGlvbklEIjoiTUVOREVMRVlfQ0lUQVRJT05fNjI2N2Y2MzctN2VhMy00ZDFiLThiMjktM2RmYzJkMDg5Mzhj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quot;,&quot;citationItems&quot;:[{&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citationID&quot;:&quot;MENDELEY_CITATION_ada64305-3a49-4081-b001-da4c82cbdbb4&quot;,&quot;properties&quot;:{&quot;noteIndex&quot;:0},&quot;isEdited&quot;:false,&quot;manualOverride&quot;:{&quot;isManuallyOverridden&quot;:false,&quot;citeprocText&quot;:&quot;[24,25]&quot;,&quot;manualOverrideText&quot;:&quot;&quot;},&quot;citationTag&quot;:&quot;MENDELEY_CITATION_v3_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quot;,&quot;citationItems&quot;:[{&quot;id&quot;:&quot;1cf921ad-2528-3f6b-a993-da116f5bf649&quot;,&quot;itemData&quot;:{&quot;type&quot;:&quot;article-journal&quot;,&quot;id&quot;:&quot;1cf921ad-2528-3f6b-a993-da116f5bf649&quot;,&quot;title&quot;:&quot;The Diagnosis and Treatment of COPD and Its Comorbidities&quot;,&quot;author&quot;:[{&quot;family&quot;:&quot;Kahnert&quot;,&quot;given&quot;:&quot;Kathrin&quot;,&quot;parse-names&quot;:false,&quot;dropping-particle&quot;:&quot;&quot;,&quot;non-dropping-particle&quot;:&quot;&quot;},{&quot;family&quot;:&quot;Jörres&quot;,&quot;given&quot;:&quot;Rudolf A.&quot;,&quot;parse-names&quot;:false,&quot;dropping-particle&quot;:&quot;&quot;,&quot;non-dropping-particle&quot;:&quot;&quot;},{&quot;family&quot;:&quot;Behr&quot;,&quot;given&quot;:&quot;Jürgen&quot;,&quot;parse-names&quot;:false,&quot;dropping-particle&quot;:&quot;&quot;,&quot;non-dropping-particle&quot;:&quot;&quot;},{&quot;family&quot;:&quot;Welte&quot;,&quot;given&quot;:&quot;Tobias&quot;,&quot;parse-names&quot;:false,&quot;dropping-particle&quot;:&quot;&quot;,&quot;non-dropping-particle&quot;:&quot;&quot;}],&quot;container-title&quot;:&quot;Deutsches Ärzteblatt International&quot;,&quot;accessed&quot;:{&quot;date-parts&quot;:[[2024,10,7]]},&quot;DOI&quot;:&quot;10.3238/ARZTEBL.M2023.027&quot;,&quot;ISSN&quot;:&quot;18660452&quot;,&quot;PMID&quot;:&quot;36794439&quot;,&quot;URL&quot;:&quot;/pmc/articles/PMC10478768/&quot;,&quot;issued&quot;:{&quot;date-parts&quot;:[[2023,6,23]]},&quot;page&quot;:&quot;434&quot;,&quot;abstract&quot;:&quot;Background: Chronic obstructive pulmonary disease (COPD) is the third most common cause of death around the world. The affected patients suffer not only from impaired lung function, but also from a wide variety of comorbidities. Their cardiac comorbidities, in particular, lead to increased mortality. Methods: This review is based on pertinent publications retrieved by a selective search in PubMed, including guidelines from Germany and abroad. Results: The usual diagnostic criteria for COPD are a post-bronchodilator FEV1/FVC quotient below the fixed threshold of 0.7, or, preferably, below the lower limit of normal (LLN) according to the GLI reference values for the avoidance of over- and underdiagnosis. The overall prognosis is markedly affected by comorbidities of the lung itself and those that involve other organs; in particular, many persons with COPD die of heart disease. The potential presence of heart disease must be borne in mind in the evaluation of patients with COPD, as lung disease can impair the detection of heart disease. Conclusion: As patients with COPD are often multimorbid, the early diagnosis and adequate treatment not only of their lung disease, but also of their extrapulmonary comorbidities are very important. Well-established diagnostic instruments and well-tested treatments are available and are described in detail in the guidelines concerning the comorbidities. Preliminary observations suggest that more attention should be paid to the potential positive effects of treating comorbidities on the lung disease itself, and vice versa.&quot;,&quot;publisher&quot;:&quot;Deutscher Arzte-Verlag GmbH&quot;,&quot;issue&quot;:&quot;25&quot;,&quot;volume&quot;:&quot;120&quot;,&quot;container-title-short&quot;:&quot;Dtsch Arztebl Int&quot;},&quot;isTemporary&quot;:false},{&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citationID&quot;:&quot;MENDELEY_CITATION_21f65956-cc18-40ec-b94d-3ede00e45c05&quot;,&quot;properties&quot;:{&quot;noteIndex&quot;:0},&quot;isEdited&quot;:false,&quot;manualOverride&quot;:{&quot;isManuallyOverridden&quot;:false,&quot;citeprocText&quot;:&quot;[22,29]&quot;,&quot;manualOverrideText&quot;:&quot;&quot;},&quot;citationTag&quot;:&quot;MENDELEY_CITATION_v3_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&quot;,&quot;citationItems&quot;:[{&quot;id&quot;:&quot;7b6d7736-e193-3d80-85bb-b3a96c05424d&quot;,&quot;itemData&quot;:{&quot;type&quot;:&quot;article-journal&quot;,&quot;id&quot;:&quot;7b6d7736-e193-3d80-85bb-b3a96c05424d&quot;,&quot;title&quot;:&quot;Contemporary Concise Review 2022: Chronic obstructive pulmonary disease&quot;,&quot;author&quot;:[{&quot;family&quot;:&quot;Calverley&quot;,&quot;given&quot;:&quot;Peter M.A.&quot;,&quot;parse-names&quot;:false,&quot;dropping-particle&quot;:&quot;&quot;,&quot;non-dropping-particle&quot;:&quot;&quot;},{&quot;family&quot;:&quot;Walker&quot;,&quot;given&quot;:&quot;Paul P.&quot;,&quot;parse-names&quot;:false,&quot;dropping-particle&quot;:&quot;&quot;,&quot;non-dropping-particle&quot;:&quot;&quot;}],&quot;container-title&quot;:&quot;Respirology&quot;,&quot;accessed&quot;:{&quot;date-parts&quot;:[[2024,5,27]]},&quot;DOI&quot;:&quot;10.1111/RESP.14489&quot;,&quot;ISSN&quot;:&quot;14401843&quot;,&quot;PMID&quot;:&quot;36922031&quot;,&quot;issued&quot;:{&quot;date-parts&quot;:[[2023,5,1]]},&quot;page&quot;:&quot;428-436&quot;,&quot;abstract&quot;:&quot;International respiratory organizations now recommend using lower limit of normal and standardized residuals to diagnose airflow obstruction and COPD though using a fixed ratio &lt;0.7 is simpler and robustly predicts important clinical outcomes. The most common COPD comorbidities are coronary artery calcification, emphysema and bronchiectasis. COPD patients with psychological (high anxiety and depression) and cachectic (underweight and osteoporotic) comorbidity have higher mortality and exacerbate more. Serum eosinophil count remains an important COPD biomarker and we have greater clarity about normal eosinophil levels in COPD and the wider population. Criteria for entry into COPD clinical trials continue to exclude many patients, in particular those at greater risk of exacerbation and death. The effect of hyperinflation on cardiac function impacts COPD mortality and is an important target for successful lung volume reduction procedures.&quot;,&quot;publisher&quot;:&quot;John Wiley and Sons Inc&quot;,&quot;issue&quot;:&quot;5&quot;,&quot;volume&quot;:&quot;28&quot;,&quot;container-title-short&quot;:&quot;&quot;},&quot;isTemporary&quot;:false},{&quot;id&quot;:&quot;f1bffc91-c69d-3440-a7b8-afd1b9432d71&quot;,&quot;itemData&quot;:{&quot;type&quot;:&quot;article-journal&quot;,&quot;id&quot;:&quot;f1bffc91-c69d-3440-a7b8-afd1b9432d71&quot;,&quot;title&quot;:&quot;Goals of COPD treatment: Focus on symptoms and exacerbations&quot;,&quot;author&quot;:[{&quot;family&quot;:&quot;Vogelmeier&quot;,&quot;given&quot;:&quot;Claus F.&quot;,&quot;parse-names&quot;:false,&quot;dropping-particle&quot;:&quot;&quot;,&quot;non-dropping-particle&quot;:&quot;&quot;},{&quot;family&quot;:&quot;Román-Rodríguez&quot;,&quot;given&quot;:&quot;Miguel&quot;,&quot;parse-names&quot;:false,&quot;dropping-particle&quot;:&quot;&quot;,&quot;non-dropping-particle&quot;:&quot;&quot;},{&quot;family&quot;:&quot;Singh&quot;,&quot;given&quot;:&quot;Dave&quot;,&quot;parse-names&quot;:false,&quot;dropping-particle&quot;:&quot;&quot;,&quot;non-dropping-particle&quot;:&quot;&quot;},{&quot;family&quot;:&quot;Han&quot;,&quot;given&quot;:&quot;Mei Lan K.&quot;,&quot;parse-names&quot;:false,&quot;dropping-particle&quot;:&quot;&quot;,&quot;non-dropping-particle&quot;:&quot;&quot;},{&quot;family&quot;:&quot;Rodríguez-Roisin&quot;,&quot;given&quot;:&quot;Roberto&quot;,&quot;parse-names&quot;:false,&quot;dropping-particle&quot;:&quot;&quot;,&quot;non-dropping-particle&quot;:&quot;&quot;},{&quot;family&quot;:&quot;Ferguson&quot;,&quot;given&quot;:&quot;Gary T.&quot;,&quot;parse-names&quot;:false,&quot;dropping-particle&quot;:&quot;&quot;,&quot;non-dropping-particle&quot;:&quot;&quot;}],&quot;container-title&quot;:&quot;Respiratory Medicine&quot;,&quot;accessed&quot;:{&quot;date-parts&quot;:[[2025,5,22]]},&quot;DOI&quot;:&quot;10.1016/J.RMED.2020.105938/ASSET/C3E76B9A-1D57-4459-A631-721FF02173C4/MAIN.ASSETS/FX1.JPG&quot;,&quot;ISSN&quot;:&quot;15323064&quot;,&quot;PMID&quot;:&quot;32250871&quot;,&quot;URL&quot;:&quot;https://www.resmedjournal.com/action/showFullText?pii=S0954611120300780&quot;,&quot;issued&quot;:{&quot;date-parts&quot;:[[2020,5,1]]},&quot;page&quot;:&quot;105938&quot;,&quot;abstract&quot;:&quot;Chronic obstructive pulmonary disease (COPD) is currently a leading cause of death worldwide, and its burden is expected to rise in the coming years. Common COPD symptoms include dyspnea, cough and/or sputum production. Some patients may experience acute worsening of symptoms (known as an exacerbation), and therefore require additional therapy. Exacerbations are mainly triggered by respiratory infections and environmental factors. Healthcare professionals face many challenges in COPD management, including the heterogeneity of the disease and under-reporting of symptoms. The authors review these challenges and provide recommendations for the best methods to assess COPD. The goals of COPD treatment include recognising the impact that both symptoms and exacerbations have on patients’ lives when considering optimal patient-focused management. The review discusses the need for COPD management strategies to include both pharmacologic and non-pharmacologic approaches and provides recommendations for monitoring treatment outcomes and adjusting management strategies accordingly. Novel treatment strategies including precision medicine and point-of-care testing are also discussed.&quot;,&quot;publisher&quot;:&quot;W.B. Saunders Ltd&quot;,&quot;volume&quot;:&quot;166&quot;,&quot;container-title-short&quot;:&quot;Respir Med&quot;},&quot;isTemporary&quot;:false}]},{&quot;citationID&quot;:&quot;MENDELEY_CITATION_329e7d2d-d4b2-46c6-b2a8-d7f2402d3ba5&quot;,&quot;properties&quot;:{&quot;noteIndex&quot;:0},&quot;isEdited&quot;:false,&quot;manualOverride&quot;:{&quot;isManuallyOverridden&quot;:false,&quot;citeprocText&quot;:&quot;[32]&quot;,&quot;manualOverrideText&quot;:&quot;&quot;},&quot;citationTag&quot;:&quot;MENDELEY_CITATION_v3_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&quot;,&quot;citationItems&quot;:[{&quot;id&quot;:&quot;b17a06ea-116a-3cf2-b3ac-8388867396a3&quot;,&quot;itemData&quot;:{&quot;type&quot;:&quot;webpage&quot;,&quot;id&quot;:&quot;b17a06ea-116a-3cf2-b3ac-8388867396a3&quot;,&quot;title&quot;:&quot;How Is COPD Diagnosed? | American Lung Association&quot;,&quot;accessed&quot;:{&quot;date-parts&quot;:[[2025,5,31]]},&quot;URL&quot;:&quot;https://www.lung.org/lung-health-diseases/lung-disease-lookup/copd/symptoms-diagnosis/diagnosing&quot;,&quot;container-title-short&quot;:&quot;&quot;},&quot;isTemporary&quot;:false}]},{&quot;citationID&quot;:&quot;MENDELEY_CITATION_fc912df7-0c4c-4305-a23a-09236d13bbf0&quot;,&quot;properties&quot;:{&quot;noteIndex&quot;:0},&quot;isEdited&quot;:false,&quot;manualOverride&quot;:{&quot;isManuallyOverridden&quot;:false,&quot;citeprocText&quot;:&quot;[24]&quot;,&quot;manualOverrideText&quot;:&quot;&quot;},&quot;citationTag&quot;:&quot;MENDELEY_CITATION_v3_eyJjaXRhdGlvbklEIjoiTUVOREVMRVlfQ0lUQVRJT05fZmM5MTJkZjctMGM0Yy00MzA1LWEyM2EtMDkyMzZkMTNiYmYw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quot;,&quot;citationItems&quot;:[{&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citationID&quot;:&quot;MENDELEY_CITATION_8b54b918-89c7-496d-8bb2-8c7654b5e8ce&quot;,&quot;properties&quot;:{&quot;noteIndex&quot;:0},&quot;isEdited&quot;:false,&quot;manualOverride&quot;:{&quot;isManuallyOverridden&quot;:false,&quot;citeprocText&quot;:&quot;[24]&quot;,&quot;manualOverrideText&quot;:&quot;&quot;},&quot;citationTag&quot;:&quot;MENDELEY_CITATION_v3_eyJjaXRhdGlvbklEIjoiTUVOREVMRVlfQ0lUQVRJT05fOGI1NGI5MTgtODljNy00OTZkLThiYjItOGM3NjU0YjVlOGNl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quot;,&quot;citationItems&quot;:[{&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citationID&quot;:&quot;MENDELEY_CITATION_10957c92-ae83-46ad-8472-0fd025f08404&quot;,&quot;properties&quot;:{&quot;noteIndex&quot;:0},&quot;isEdited&quot;:false,&quot;manualOverride&quot;:{&quot;isManuallyOverridden&quot;:false,&quot;citeprocText&quot;:&quot;[33]&quot;,&quot;manualOverrideText&quot;:&quot;&quot;},&quot;citationTag&quot;:&quot;MENDELEY_CITATION_v3_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&quot;,&quot;citationItems&quot;:[{&quot;id&quot;:&quot;898dde7c-e31d-3582-997b-8fb154bcf39a&quot;,&quot;itemData&quot;:{&quot;type&quot;:&quot;article-journal&quot;,&quot;id&quot;:&quot;898dde7c-e31d-3582-997b-8fb154bcf39a&quot;,&quot;title&quot;:&quot;Chronic Obstructive Pulmonary Disease&quot;,&quot;author&quot;:[{&quot;family&quot;:&quot;Agarwal&quot;,&quot;given&quot;:&quot;Anuj K.&quot;,&quot;parse-names&quot;:false,&quot;dropping-particle&quot;:&quot;&quot;,&quot;non-dropping-particle&quot;:&quot;&quot;},{&quot;family&quot;:&quot;Raja&quot;,&quot;given&quot;:&quot;Avais&quot;,&quot;parse-names&quot;:false,&quot;dropping-particle&quot;:&quot;&quot;,&quot;non-dropping-particle&quot;:&quot;&quot;},{&quot;family&quot;:&quot;Brown&quot;,&quot;given&quot;:&quot;Brandon D.&quot;,&quot;parse-names&quot;:false,&quot;dropping-particle&quot;:&quot;&quot;,&quot;non-dropping-particle&quot;:&quot;&quot;}],&quot;container-title&quot;:&quot;StatPearls&quot;,&quot;accessed&quot;:{&quot;date-parts&quot;:[[2025,5,31]]},&quot;PMID&quot;:&quot;32644707&quot;,&quot;URL&quot;:&quot;https://www.ncbi.nlm.nih.gov/books/NBK559281/&quot;,&quot;issued&quot;:{&quot;date-parts&quot;:[[2023,8,7]]},&quot;abstract&quot;:&quot;Chronic obstructive pulmonary disease (COPD) is a common and treatable disease characterized by progressive airflow limitation and tissue destruction. It is associated with structural lung changes due to chronic inflammation from prolonged exposure to noxious particles or gases most commonly cigarette smoke. Chronic inflammation causes airway narrowing and decreased lung recoil. The disease often presents with symptoms of cough, dyspnea, and sputum production. Symptoms can range from being asymptomatic to respiratory failure. &quot;,&quot;publisher&quot;:&quot;StatPearls Publishing&quot;,&quot;container-title-short&quot;:&quot;&quot;},&quot;isTemporary&quot;:false}]},{&quot;citationID&quot;:&quot;MENDELEY_CITATION_b14162ce-1116-4831-820d-d0d8be0f85d4&quot;,&quot;properties&quot;:{&quot;noteIndex&quot;:0},&quot;isEdited&quot;:false,&quot;manualOverride&quot;:{&quot;isManuallyOverridden&quot;:false,&quot;citeprocText&quot;:&quot;[34]&quot;,&quot;manualOverrideText&quot;:&quot;&quot;},&quot;citationTag&quot;:&quot;MENDELEY_CITATION_v3_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&quot;,&quot;citationItems&quot;:[{&quot;id&quot;:&quot;510a0634-aba2-38c1-914c-03a34a21a0fd&quot;,&quot;itemData&quot;:{&quot;type&quot;:&quot;report&quot;,&quot;id&quot;:&quot;510a0634-aba2-38c1-914c-03a34a21a0fd&quot;,&quot;title&quot;:&quot;COPD Assessment Test User Guide&quot;,&quot;author&quot;:[{&quot;family&quot;:&quot;COPD Assessment Test Governance Board&quot;,&quot;given&quot;:&quot;&quot;,&quot;parse-names&quot;:false,&quot;dropping-particle&quot;:&quot;&quot;,&quot;non-dropping-particle&quot;:&quot;&quot;}],&quot;URL&quot;:&quot;www.CATestonline.org.&quot;,&quot;issued&quot;:{&quot;date-parts&quot;:[[2022,5]]},&quot;container-title-short&quot;:&quot;&quot;},&quot;isTemporary&quot;:false}]},{&quot;citationID&quot;:&quot;MENDELEY_CITATION_afb30f9f-4781-4b63-833f-c8f9bc0fa0e0&quot;,&quot;properties&quot;:{&quot;noteIndex&quot;:0},&quot;isEdited&quot;:false,&quot;manualOverride&quot;:{&quot;isManuallyOverridden&quot;:false,&quot;citeprocText&quot;:&quot;[35]&quot;,&quot;manualOverrideText&quot;:&quot;&quot;},&quot;citationTag&quot;:&quot;MENDELEY_CITATION_v3_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&quot;,&quot;citationItems&quot;:[{&quot;id&quot;:&quot;b0ba1e3c-28d7-3a12-9392-906ff2a61d9d&quot;,&quot;itemData&quot;:{&quot;type&quot;:&quot;article-journal&quot;,&quot;id&quot;:&quot;b0ba1e3c-28d7-3a12-9392-906ff2a61d9d&quot;,&quot;title&quot;:&quot;Evaluation of the Individual Activity Descriptors of the mMRC Breathlessness Scale: A Mixed Method Study&quot;,&quot;author&quot;:[{&quot;family&quot;:&quot;Yorke&quot;,&quot;given&quot;:&quot;Janelle&quot;,&quot;parse-names&quot;:false,&quot;dropping-particle&quot;:&quot;&quot;,&quot;non-dropping-particle&quot;:&quot;&quot;},{&quot;family&quot;:&quot;Khan&quot;,&quot;given&quot;:&quot;Naimat&quot;,&quot;parse-names&quot;:false,&quot;dropping-particle&quot;:&quot;&quot;,&quot;non-dropping-particle&quot;:&quot;&quot;},{&quot;family&quot;:&quot;Garrow&quot;,&quot;given&quot;:&quot;Adam&quot;,&quot;parse-names&quot;:false,&quot;dropping-particle&quot;:&quot;&quot;,&quot;non-dropping-particle&quot;:&quot;&quot;},{&quot;family&quot;:&quot;Tyson&quot;,&quot;given&quot;:&quot;Sarah&quot;,&quot;parse-names&quot;:false,&quot;dropping-particle&quot;:&quot;&quot;,&quot;non-dropping-particle&quot;:&quot;&quot;},{&quot;family&quot;:&quot;Singh&quot;,&quot;given&quot;:&quot;Dave&quot;,&quot;parse-names&quot;:false,&quot;dropping-particle&quot;:&quot;&quot;,&quot;non-dropping-particle&quot;:&quot;&quot;},{&quot;family&quot;:&quot;Vestbo&quot;,&quot;given&quot;:&quot;Jorgen&quot;,&quot;parse-names&quot;:false,&quot;dropping-particle&quot;:&quot;&quot;,&quot;non-dropping-particle&quot;:&quot;&quot;},{&quot;family&quot;:&quot;Jones&quot;,&quot;given&quot;:&quot;Paul W.&quot;,&quot;parse-names&quot;:false,&quot;dropping-particle&quot;:&quot;&quot;,&quot;non-dropping-particle&quot;:&quot;&quot;}],&quot;container-title&quot;:&quot;International Journal of Chronic Obstructive Pulmonary Disease&quot;,&quot;container-title-short&quot;:&quot;Int J Chron Obstruct Pulmon Dis&quot;,&quot;accessed&quot;:{&quot;date-parts&quot;:[[2025,5,31]]},&quot;DOI&quot;:&quot;10.2147/COPD.S372318&quot;,&quot;ISSN&quot;:&quot;11782005&quot;,&quot;PMID&quot;:&quot;36133735&quot;,&quot;URL&quot;:&quot;https://pmc.ncbi.nlm.nih.gov/articles/PMC9484771/&quot;,&quot;issued&quot;:{&quot;date-parts&quot;:[[2022]]},&quot;page&quot;:&quot;2289&quot;,&quot;abstract&quot;:&quot;Purpose: The modified-Medical Research Council (mMRC) breathlessness scale consists of five grades that contain of a description of different activities. It has wide utility in the assessment of disability due to breathlessness but was originally developed before the advent of modern psychometric methodology and, for example contains more than one activity per grade. We conducted an evaluation of the mMRC structure. Patients and Methods: Cognitive debriefing was conducted with COPD patients to elicit their understanding of each mMRC activity. In a cross-sectional study, patients completed the mMRC scale (grades 0–4) and an MRC-Expanded (MRC-Ex) version consisting of 10-items, each containing one mMRC activity. Each activity was then given a 4-point response scale (0 “not at all” to 4 “all of the time”) and all 10 items were given to 203 patients to complete Rasch analysis and assess the pattern of MRC item severity and its hierarchical structure. Results: Cognitive debriefing with 36 patients suggested ambiguity with the term “strenuous exercise” and perceived severity differences between mMRC activities. 203 patients completed the mMRC-Ex. Strenuous exercise was located third on the ascending severity scale. Rasch identified the mildest term was “walking up a slight hill” (logit −2.76) and “too breathless to leave the house” was the most severe (logit 3.42). Conclusion: This analysis showed that items that were combined into a single mMRC grade may be widely separated in terms of perceived severity when assessed individually. This suggests that mMRC grades as a measure of individual disability related to breathlessness contain significant ambiguity due to the combination of activities of different degrees of perceived severity into a single grade.&quot;,&quot;publisher&quot;:&quot;Dove Medical Press Ltd&quot;,&quot;volume&quot;:&quot;17&quot;},&quot;isTemporary&quot;:false}]},{&quot;citationID&quot;:&quot;MENDELEY_CITATION_e6a35092-abe2-40d7-816d-35d455ceb659&quot;,&quot;properties&quot;:{&quot;noteIndex&quot;:0},&quot;isEdited&quot;:false,&quot;manualOverride&quot;:{&quot;isManuallyOverridden&quot;:false,&quot;citeprocText&quot;:&quot;[24]&quot;,&quot;manualOverrideText&quot;:&quot;&quot;},&quot;citationTag&quot;:&quot;MENDELEY_CITATION_v3_eyJjaXRhdGlvbklEIjoiTUVOREVMRVlfQ0lUQVRJT05fZTZhMzUwOTItYWJlMi00MGQ3LTgxNmQtMzVkNDU1Y2ViNjU5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quot;,&quot;citationItems&quot;:[{&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citationID&quot;:&quot;MENDELEY_CITATION_28cadc1c-c8e8-4c0b-a743-3599be6c3a0d&quot;,&quot;properties&quot;:{&quot;noteIndex&quot;:0},&quot;isEdited&quot;:false,&quot;manualOverride&quot;:{&quot;isManuallyOverridden&quot;:false,&quot;citeprocText&quot;:&quot;[6]&quot;,&quot;manualOverrideText&quot;:&quot;&quot;},&quot;citationTag&quot;:&quot;MENDELEY_CITATION_v3_eyJjaXRhdGlvbklEIjoiTUVOREVMRVlfQ0lUQVRJT05fMjhjYWRjMWMtYzhlOC00YzBiLWE3NDMtMzU5OWJlNmMzYTBk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quot;,&quot;citationItems&quot;:[{&quot;id&quot;:&quot;f6bf6552-f6e0-3ff4-a77d-6750f2546b26&quot;,&quot;itemData&quot;:{&quot;type&quot;:&quot;report&quot;,&quot;id&quot;:&quot;f6bf6552-f6e0-3ff4-a77d-6750f2546b26&quot;,&quot;title&quot;:&quot;GOLD Report 2020&quot;,&quot;author&quot;:[{&quot;family&quot;:&quot;Global Initiative for Chronic Obstructive Lung Disease&quot;,&quot;given&quot;:&quot;&quot;,&quot;parse-names&quot;:false,&quot;dropping-particle&quot;:&quot;&quot;,&quot;non-dropping-particle&quot;:&quot;&quot;}],&quot;container-title&quot;:&quot;Global Strategy for the Diagnosis, Management, and Prevention of Chronic Obstructive Pulmonary Disease: 2020 Report&quot;,&quot;URL&quot;:&quot;https://goldcopd.org/wp-content/uploads/2019/12/GOLD-2020-FINAL-ver1.2-03Dec19_WMV.pdf&quot;,&quot;issued&quot;:{&quot;date-parts&quot;:[[2020]]},&quot;number-of-pages&quot;:&quot;141&quot;,&quot;abstract&quot;:&quot;Global Strategy for the Diagnosis, Management, and Prevention of Chronic Obstructive Pulmonary Disease&quot;,&quot;container-title-short&quot;:&quot;&quot;},&quot;isTemporary&quot;:false}]},{&quot;citationID&quot;:&quot;MENDELEY_CITATION_3da79136-1075-41b1-b246-42a9d5981606&quot;,&quot;properties&quot;:{&quot;noteIndex&quot;:0},&quot;isEdited&quot;:false,&quot;manualOverride&quot;:{&quot;isManuallyOverridden&quot;:false,&quot;citeprocText&quot;:&quot;[25,29]&quot;,&quot;manualOverrideText&quot;:&quot;&quot;},&quot;citationTag&quot;:&quot;MENDELEY_CITATION_v3_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&quot;,&quot;citationItems&quot;:[{&quot;id&quot;:&quot;f1bffc91-c69d-3440-a7b8-afd1b9432d71&quot;,&quot;itemData&quot;:{&quot;type&quot;:&quot;article-journal&quot;,&quot;id&quot;:&quot;f1bffc91-c69d-3440-a7b8-afd1b9432d71&quot;,&quot;title&quot;:&quot;Goals of COPD treatment: Focus on symptoms and exacerbations&quot;,&quot;author&quot;:[{&quot;family&quot;:&quot;Vogelmeier&quot;,&quot;given&quot;:&quot;Claus F.&quot;,&quot;parse-names&quot;:false,&quot;dropping-particle&quot;:&quot;&quot;,&quot;non-dropping-particle&quot;:&quot;&quot;},{&quot;family&quot;:&quot;Román-Rodríguez&quot;,&quot;given&quot;:&quot;Miguel&quot;,&quot;parse-names&quot;:false,&quot;dropping-particle&quot;:&quot;&quot;,&quot;non-dropping-particle&quot;:&quot;&quot;},{&quot;family&quot;:&quot;Singh&quot;,&quot;given&quot;:&quot;Dave&quot;,&quot;parse-names&quot;:false,&quot;dropping-particle&quot;:&quot;&quot;,&quot;non-dropping-particle&quot;:&quot;&quot;},{&quot;family&quot;:&quot;Han&quot;,&quot;given&quot;:&quot;Mei Lan K.&quot;,&quot;parse-names&quot;:false,&quot;dropping-particle&quot;:&quot;&quot;,&quot;non-dropping-particle&quot;:&quot;&quot;},{&quot;family&quot;:&quot;Rodríguez-Roisin&quot;,&quot;given&quot;:&quot;Roberto&quot;,&quot;parse-names&quot;:false,&quot;dropping-particle&quot;:&quot;&quot;,&quot;non-dropping-particle&quot;:&quot;&quot;},{&quot;family&quot;:&quot;Ferguson&quot;,&quot;given&quot;:&quot;Gary T.&quot;,&quot;parse-names&quot;:false,&quot;dropping-particle&quot;:&quot;&quot;,&quot;non-dropping-particle&quot;:&quot;&quot;}],&quot;container-title&quot;:&quot;Respiratory Medicine&quot;,&quot;accessed&quot;:{&quot;date-parts&quot;:[[2025,5,22]]},&quot;DOI&quot;:&quot;10.1016/J.RMED.2020.105938/ASSET/C3E76B9A-1D57-4459-A631-721FF02173C4/MAIN.ASSETS/FX1.JPG&quot;,&quot;ISSN&quot;:&quot;15323064&quot;,&quot;PMID&quot;:&quot;32250871&quot;,&quot;URL&quot;:&quot;https://www.resmedjournal.com/action/showFullText?pii=S0954611120300780&quot;,&quot;issued&quot;:{&quot;date-parts&quot;:[[2020,5,1]]},&quot;page&quot;:&quot;105938&quot;,&quot;abstract&quot;:&quot;Chronic obstructive pulmonary disease (COPD) is currently a leading cause of death worldwide, and its burden is expected to rise in the coming years. Common COPD symptoms include dyspnea, cough and/or sputum production. Some patients may experience acute worsening of symptoms (known as an exacerbation), and therefore require additional therapy. Exacerbations are mainly triggered by respiratory infections and environmental factors. Healthcare professionals face many challenges in COPD management, including the heterogeneity of the disease and under-reporting of symptoms. The authors review these challenges and provide recommendations for the best methods to assess COPD. The goals of COPD treatment include recognising the impact that both symptoms and exacerbations have on patients’ lives when considering optimal patient-focused management. The review discusses the need for COPD management strategies to include both pharmacologic and non-pharmacologic approaches and provides recommendations for monitoring treatment outcomes and adjusting management strategies accordingly. Novel treatment strategies including precision medicine and point-of-care testing are also discussed.&quot;,&quot;publisher&quot;:&quot;W.B. Saunders Ltd&quot;,&quot;volume&quot;:&quot;166&quot;,&quot;container-title-short&quot;:&quot;Respir Med&quot;},&quot;isTemporary&quot;:false},{&quot;id&quot;:&quot;1cf921ad-2528-3f6b-a993-da116f5bf649&quot;,&quot;itemData&quot;:{&quot;type&quot;:&quot;article-journal&quot;,&quot;id&quot;:&quot;1cf921ad-2528-3f6b-a993-da116f5bf649&quot;,&quot;title&quot;:&quot;The Diagnosis and Treatment of COPD and Its Comorbidities&quot;,&quot;author&quot;:[{&quot;family&quot;:&quot;Kahnert&quot;,&quot;given&quot;:&quot;Kathrin&quot;,&quot;parse-names&quot;:false,&quot;dropping-particle&quot;:&quot;&quot;,&quot;non-dropping-particle&quot;:&quot;&quot;},{&quot;family&quot;:&quot;Jörres&quot;,&quot;given&quot;:&quot;Rudolf A.&quot;,&quot;parse-names&quot;:false,&quot;dropping-particle&quot;:&quot;&quot;,&quot;non-dropping-particle&quot;:&quot;&quot;},{&quot;family&quot;:&quot;Behr&quot;,&quot;given&quot;:&quot;Jürgen&quot;,&quot;parse-names&quot;:false,&quot;dropping-particle&quot;:&quot;&quot;,&quot;non-dropping-particle&quot;:&quot;&quot;},{&quot;family&quot;:&quot;Welte&quot;,&quot;given&quot;:&quot;Tobias&quot;,&quot;parse-names&quot;:false,&quot;dropping-particle&quot;:&quot;&quot;,&quot;non-dropping-particle&quot;:&quot;&quot;}],&quot;container-title&quot;:&quot;Deutsches Ärzteblatt International&quot;,&quot;accessed&quot;:{&quot;date-parts&quot;:[[2024,10,7]]},&quot;DOI&quot;:&quot;10.3238/ARZTEBL.M2023.027&quot;,&quot;ISSN&quot;:&quot;18660452&quot;,&quot;PMID&quot;:&quot;36794439&quot;,&quot;URL&quot;:&quot;/pmc/articles/PMC10478768/&quot;,&quot;issued&quot;:{&quot;date-parts&quot;:[[2023,6,23]]},&quot;page&quot;:&quot;434&quot;,&quot;abstract&quot;:&quot;Background: Chronic obstructive pulmonary disease (COPD) is the third most common cause of death around the world. The affected patients suffer not only from impaired lung function, but also from a wide variety of comorbidities. Their cardiac comorbidities, in particular, lead to increased mortality. Methods: This review is based on pertinent publications retrieved by a selective search in PubMed, including guidelines from Germany and abroad. Results: The usual diagnostic criteria for COPD are a post-bronchodilator FEV1/FVC quotient below the fixed threshold of 0.7, or, preferably, below the lower limit of normal (LLN) according to the GLI reference values for the avoidance of over- and underdiagnosis. The overall prognosis is markedly affected by comorbidities of the lung itself and those that involve other organs; in particular, many persons with COPD die of heart disease. The potential presence of heart disease must be borne in mind in the evaluation of patients with COPD, as lung disease can impair the detection of heart disease. Conclusion: As patients with COPD are often multimorbid, the early diagnosis and adequate treatment not only of their lung disease, but also of their extrapulmonary comorbidities are very important. Well-established diagnostic instruments and well-tested treatments are available and are described in detail in the guidelines concerning the comorbidities. Preliminary observations suggest that more attention should be paid to the potential positive effects of treating comorbidities on the lung disease itself, and vice versa.&quot;,&quot;publisher&quot;:&quot;Deutscher Arzte-Verlag GmbH&quot;,&quot;issue&quot;:&quot;25&quot;,&quot;volume&quot;:&quot;120&quot;,&quot;container-title-short&quot;:&quot;Dtsch Arztebl Int&quot;},&quot;isTemporary&quot;:false}]},{&quot;citationID&quot;:&quot;MENDELEY_CITATION_7b82e27f-4ee2-4f94-9fd6-e7360ae74cd2&quot;,&quot;properties&quot;:{&quot;noteIndex&quot;:0},&quot;isEdited&quot;:false,&quot;manualOverride&quot;:{&quot;isManuallyOverridden&quot;:false,&quot;citeprocText&quot;:&quot;[25]&quot;,&quot;manualOverrideText&quot;:&quot;&quot;},&quot;citationTag&quot;:&quot;MENDELEY_CITATION_v3_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&quot;,&quot;citationItems&quot;:[{&quot;id&quot;:&quot;1cf921ad-2528-3f6b-a993-da116f5bf649&quot;,&quot;itemData&quot;:{&quot;type&quot;:&quot;article-journal&quot;,&quot;id&quot;:&quot;1cf921ad-2528-3f6b-a993-da116f5bf649&quot;,&quot;title&quot;:&quot;The Diagnosis and Treatment of COPD and Its Comorbidities&quot;,&quot;author&quot;:[{&quot;family&quot;:&quot;Kahnert&quot;,&quot;given&quot;:&quot;Kathrin&quot;,&quot;parse-names&quot;:false,&quot;dropping-particle&quot;:&quot;&quot;,&quot;non-dropping-particle&quot;:&quot;&quot;},{&quot;family&quot;:&quot;Jörres&quot;,&quot;given&quot;:&quot;Rudolf A.&quot;,&quot;parse-names&quot;:false,&quot;dropping-particle&quot;:&quot;&quot;,&quot;non-dropping-particle&quot;:&quot;&quot;},{&quot;family&quot;:&quot;Behr&quot;,&quot;given&quot;:&quot;Jürgen&quot;,&quot;parse-names&quot;:false,&quot;dropping-particle&quot;:&quot;&quot;,&quot;non-dropping-particle&quot;:&quot;&quot;},{&quot;family&quot;:&quot;Welte&quot;,&quot;given&quot;:&quot;Tobias&quot;,&quot;parse-names&quot;:false,&quot;dropping-particle&quot;:&quot;&quot;,&quot;non-dropping-particle&quot;:&quot;&quot;}],&quot;container-title&quot;:&quot;Deutsches Ärzteblatt International&quot;,&quot;accessed&quot;:{&quot;date-parts&quot;:[[2024,10,7]]},&quot;DOI&quot;:&quot;10.3238/ARZTEBL.M2023.027&quot;,&quot;ISSN&quot;:&quot;18660452&quot;,&quot;PMID&quot;:&quot;36794439&quot;,&quot;URL&quot;:&quot;/pmc/articles/PMC10478768/&quot;,&quot;issued&quot;:{&quot;date-parts&quot;:[[2023,6,23]]},&quot;page&quot;:&quot;434&quot;,&quot;abstract&quot;:&quot;Background: Chronic obstructive pulmonary disease (COPD) is the third most common cause of death around the world. The affected patients suffer not only from impaired lung function, but also from a wide variety of comorbidities. Their cardiac comorbidities, in particular, lead to increased mortality. Methods: This review is based on pertinent publications retrieved by a selective search in PubMed, including guidelines from Germany and abroad. Results: The usual diagnostic criteria for COPD are a post-bronchodilator FEV1/FVC quotient below the fixed threshold of 0.7, or, preferably, below the lower limit of normal (LLN) according to the GLI reference values for the avoidance of over- and underdiagnosis. The overall prognosis is markedly affected by comorbidities of the lung itself and those that involve other organs; in particular, many persons with COPD die of heart disease. The potential presence of heart disease must be borne in mind in the evaluation of patients with COPD, as lung disease can impair the detection of heart disease. Conclusion: As patients with COPD are often multimorbid, the early diagnosis and adequate treatment not only of their lung disease, but also of their extrapulmonary comorbidities are very important. Well-established diagnostic instruments and well-tested treatments are available and are described in detail in the guidelines concerning the comorbidities. Preliminary observations suggest that more attention should be paid to the potential positive effects of treating comorbidities on the lung disease itself, and vice versa.&quot;,&quot;publisher&quot;:&quot;Deutscher Arzte-Verlag GmbH&quot;,&quot;issue&quot;:&quot;25&quot;,&quot;volume&quot;:&quot;120&quot;,&quot;container-title-short&quot;:&quot;Dtsch Arztebl Int&quot;},&quot;isTemporary&quot;:false}]},{&quot;citationID&quot;:&quot;MENDELEY_CITATION_fb329531-51f3-4b8e-ac1a-1a00e03a7558&quot;,&quot;properties&quot;:{&quot;noteIndex&quot;:0},&quot;isEdited&quot;:false,&quot;manualOverride&quot;:{&quot;isManuallyOverridden&quot;:false,&quot;citeprocText&quot;:&quot;[24,25]&quot;,&quot;manualOverrideText&quot;:&quot;&quot;},&quot;citationTag&quot;:&quot;MENDELEY_CITATION_v3_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quot;,&quot;citationItems&quot;:[{&quot;id&quot;:&quot;1cf921ad-2528-3f6b-a993-da116f5bf649&quot;,&quot;itemData&quot;:{&quot;type&quot;:&quot;article-journal&quot;,&quot;id&quot;:&quot;1cf921ad-2528-3f6b-a993-da116f5bf649&quot;,&quot;title&quot;:&quot;The Diagnosis and Treatment of COPD and Its Comorbidities&quot;,&quot;author&quot;:[{&quot;family&quot;:&quot;Kahnert&quot;,&quot;given&quot;:&quot;Kathrin&quot;,&quot;parse-names&quot;:false,&quot;dropping-particle&quot;:&quot;&quot;,&quot;non-dropping-particle&quot;:&quot;&quot;},{&quot;family&quot;:&quot;Jörres&quot;,&quot;given&quot;:&quot;Rudolf A.&quot;,&quot;parse-names&quot;:false,&quot;dropping-particle&quot;:&quot;&quot;,&quot;non-dropping-particle&quot;:&quot;&quot;},{&quot;family&quot;:&quot;Behr&quot;,&quot;given&quot;:&quot;Jürgen&quot;,&quot;parse-names&quot;:false,&quot;dropping-particle&quot;:&quot;&quot;,&quot;non-dropping-particle&quot;:&quot;&quot;},{&quot;family&quot;:&quot;Welte&quot;,&quot;given&quot;:&quot;Tobias&quot;,&quot;parse-names&quot;:false,&quot;dropping-particle&quot;:&quot;&quot;,&quot;non-dropping-particle&quot;:&quot;&quot;}],&quot;container-title&quot;:&quot;Deutsches Ärzteblatt International&quot;,&quot;accessed&quot;:{&quot;date-parts&quot;:[[2024,10,7]]},&quot;DOI&quot;:&quot;10.3238/ARZTEBL.M2023.027&quot;,&quot;ISSN&quot;:&quot;18660452&quot;,&quot;PMID&quot;:&quot;36794439&quot;,&quot;URL&quot;:&quot;/pmc/articles/PMC10478768/&quot;,&quot;issued&quot;:{&quot;date-parts&quot;:[[2023,6,23]]},&quot;page&quot;:&quot;434&quot;,&quot;abstract&quot;:&quot;Background: Chronic obstructive pulmonary disease (COPD) is the third most common cause of death around the world. The affected patients suffer not only from impaired lung function, but also from a wide variety of comorbidities. Their cardiac comorbidities, in particular, lead to increased mortality. Methods: This review is based on pertinent publications retrieved by a selective search in PubMed, including guidelines from Germany and abroad. Results: The usual diagnostic criteria for COPD are a post-bronchodilator FEV1/FVC quotient below the fixed threshold of 0.7, or, preferably, below the lower limit of normal (LLN) according to the GLI reference values for the avoidance of over- and underdiagnosis. The overall prognosis is markedly affected by comorbidities of the lung itself and those that involve other organs; in particular, many persons with COPD die of heart disease. The potential presence of heart disease must be borne in mind in the evaluation of patients with COPD, as lung disease can impair the detection of heart disease. Conclusion: As patients with COPD are often multimorbid, the early diagnosis and adequate treatment not only of their lung disease, but also of their extrapulmonary comorbidities are very important. Well-established diagnostic instruments and well-tested treatments are available and are described in detail in the guidelines concerning the comorbidities. Preliminary observations suggest that more attention should be paid to the potential positive effects of treating comorbidities on the lung disease itself, and vice versa.&quot;,&quot;publisher&quot;:&quot;Deutscher Arzte-Verlag GmbH&quot;,&quot;issue&quot;:&quot;25&quot;,&quot;volume&quot;:&quot;120&quot;,&quot;container-title-short&quot;:&quot;Dtsch Arztebl Int&quot;},&quot;isTemporary&quot;:false},{&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citationID&quot;:&quot;MENDELEY_CITATION_491399f0-5213-4f42-b590-54474bdcc349&quot;,&quot;properties&quot;:{&quot;noteIndex&quot;:0},&quot;isEdited&quot;:false,&quot;manualOverride&quot;:{&quot;isManuallyOverridden&quot;:false,&quot;citeprocText&quot;:&quot;[24]&quot;,&quot;manualOverrideText&quot;:&quot;&quot;},&quot;citationTag&quot;:&quot;MENDELEY_CITATION_v3_eyJjaXRhdGlvbklEIjoiTUVOREVMRVlfQ0lUQVRJT05fNDkxMzk5ZjAtNTIxMy00ZjQyLWI1OTAtNTQ0NzRiZGNjMzQ5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quot;,&quot;citationItems&quot;:[{&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citationID&quot;:&quot;MENDELEY_CITATION_f04448c8-8441-4bbc-95b5-77f60d23e9ee&quot;,&quot;properties&quot;:{&quot;noteIndex&quot;:0},&quot;isEdited&quot;:false,&quot;manualOverride&quot;:{&quot;isManuallyOverridden&quot;:false,&quot;citeprocText&quot;:&quot;[24]&quot;,&quot;manualOverrideText&quot;:&quot;&quot;},&quot;citationTag&quot;:&quot;MENDELEY_CITATION_v3_eyJjaXRhdGlvbklEIjoiTUVOREVMRVlfQ0lUQVRJT05fZjA0NDQ4YzgtODQ0MS00YmJjLTk1YjUtNzdmNjBkMjNlOWVl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quot;,&quot;citationItems&quot;:[{&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citationID&quot;:&quot;MENDELEY_CITATION_669c1177-ceb3-4a99-a41d-0e9a4be5e4fe&quot;,&quot;properties&quot;:{&quot;noteIndex&quot;:0},&quot;isEdited&quot;:false,&quot;manualOverride&quot;:{&quot;isManuallyOverridden&quot;:false,&quot;citeprocText&quot;:&quot;[24]&quot;,&quot;manualOverrideText&quot;:&quot;&quot;},&quot;citationTag&quot;:&quot;MENDELEY_CITATION_v3_eyJjaXRhdGlvbklEIjoiTUVOREVMRVlfQ0lUQVRJT05fNjY5YzExNzctY2ViMy00YTk5LWE0MWQtMGU5YTRiZTVlNGZl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quot;,&quot;citationItems&quot;:[{&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citationID&quot;:&quot;MENDELEY_CITATION_5b3e6439-82d9-480b-acda-de0170812052&quot;,&quot;properties&quot;:{&quot;noteIndex&quot;:0},&quot;isEdited&quot;:false,&quot;manualOverride&quot;:{&quot;isManuallyOverridden&quot;:false,&quot;citeprocText&quot;:&quot;[24]&quot;,&quot;manualOverrideText&quot;:&quot;&quot;},&quot;citationTag&quot;:&quot;MENDELEY_CITATION_v3_eyJjaXRhdGlvbklEIjoiTUVOREVMRVlfQ0lUQVRJT05fNWIzZTY0MzktODJkOS00ODBiLWFjZGEtZGUwMTcwODEyMDUy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quot;,&quot;citationItems&quot;:[{&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citationID&quot;:&quot;MENDELEY_CITATION_025023fa-d8bc-4c14-a5bb-75886c0a85bb&quot;,&quot;properties&quot;:{&quot;noteIndex&quot;:0},&quot;isEdited&quot;:false,&quot;manualOverride&quot;:{&quot;isManuallyOverridden&quot;:false,&quot;citeprocText&quot;:&quot;[24]&quot;,&quot;manualOverrideText&quot;:&quot;&quot;},&quot;citationTag&quot;:&quot;MENDELEY_CITATION_v3_eyJjaXRhdGlvbklEIjoiTUVOREVMRVlfQ0lUQVRJT05fMDI1MDIzZmEtZDhiYy00YzE0LWE1YmItNzU4ODZjMGE4NWJi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quot;,&quot;citationItems&quot;:[{&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citationID&quot;:&quot;MENDELEY_CITATION_cdbf1ed8-d9e0-4cfb-b65d-95f27a138ebf&quot;,&quot;properties&quot;:{&quot;noteIndex&quot;:0},&quot;isEdited&quot;:false,&quot;manualOverride&quot;:{&quot;isManuallyOverridden&quot;:false,&quot;citeprocText&quot;:&quot;[24]&quot;,&quot;manualOverrideText&quot;:&quot;&quot;},&quot;citationTag&quot;:&quot;MENDELEY_CITATION_v3_eyJjaXRhdGlvbklEIjoiTUVOREVMRVlfQ0lUQVRJT05fY2RiZjFlZDgtZDllMC00Y2ZiLWI2NWQtOTVmMjdhMTM4ZWJm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quot;,&quot;citationItems&quot;:[{&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citationID&quot;:&quot;MENDELEY_CITATION_b9121306-9cc6-4ec4-8945-0aa8ba99b267&quot;,&quot;properties&quot;:{&quot;noteIndex&quot;:0},&quot;isEdited&quot;:false,&quot;manualOverride&quot;:{&quot;isManuallyOverridden&quot;:false,&quot;citeprocText&quot;:&quot;[36]&quot;,&quot;manualOverrideText&quot;:&quot;&quot;},&quot;citationTag&quot;:&quot;MENDELEY_CITATION_v3_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&quot;,&quot;citationItems&quot;:[{&quot;id&quot;:&quot;323f3273-4106-3ac3-92ac-d4e4426edce9&quot;,&quot;itemData&quot;:{&quot;type&quot;:&quot;article-journal&quot;,&quot;id&quot;:&quot;323f3273-4106-3ac3-92ac-d4e4426edce9&quot;,&quot;title&quot;:&quot;Global Burden of Chronic Obstructive Pulmonary Disease Through 2050&quot;,&quot;author&quot;:[{&quot;family&quot;:&quot;Boers&quot;,&quot;given&quot;:&quot;Elroy&quot;,&quot;parse-names&quot;:false,&quot;dropping-particle&quot;:&quot;&quot;,&quot;non-dropping-particle&quot;:&quot;&quot;},{&quot;family&quot;:&quot;Barrett&quot;,&quot;given&quot;:&quot;Meredith&quot;,&quot;parse-names&quot;:false,&quot;dropping-particle&quot;:&quot;&quot;,&quot;non-dropping-particle&quot;:&quot;&quot;},{&quot;family&quot;:&quot;Su&quot;,&quot;given&quot;:&quot;Jason G.&quot;,&quot;parse-names&quot;:false,&quot;dropping-particle&quot;:&quot;&quot;,&quot;non-dropping-particle&quot;:&quot;&quot;},{&quot;family&quot;:&quot;Benjafield&quot;,&quot;given&quot;:&quot;Adam&quot;,&quot;parse-names&quot;:false,&quot;dropping-particle&quot;:&quot;V.&quot;,&quot;non-dropping-particle&quot;:&quot;&quot;},{&quot;family&quot;:&quot;Sinha&quot;,&quot;given&quot;:&quot;Sanjeev&quot;,&quot;parse-names&quot;:false,&quot;dropping-particle&quot;:&quot;&quot;,&quot;non-dropping-particle&quot;:&quot;&quot;},{&quot;family&quot;:&quot;Kaye&quot;,&quot;given&quot;:&quot;Leanne&quot;,&quot;parse-names&quot;:false,&quot;dropping-particle&quot;:&quot;&quot;,&quot;non-dropping-particle&quot;:&quot;&quot;},{&quot;family&quot;:&quot;Zar&quot;,&quot;given&quot;:&quot;Heather J.&quot;,&quot;parse-names&quot;:false,&quot;dropping-particle&quot;:&quot;&quot;,&quot;non-dropping-particle&quot;:&quot;&quot;},{&quot;family&quot;:&quot;Vuong&quot;,&quot;given&quot;:&quot;Vy&quot;,&quot;parse-names&quot;:false,&quot;dropping-particle&quot;:&quot;&quot;,&quot;non-dropping-particle&quot;:&quot;&quot;},{&quot;family&quot;:&quot;Tellez&quot;,&quot;given&quot;:&quot;Daniela&quot;,&quot;parse-names&quot;:false,&quot;dropping-particle&quot;:&quot;&quot;,&quot;non-dropping-particle&quot;:&quot;&quot;},{&quot;family&quot;:&quot;Gondalia&quot;,&quot;given&quot;:&quot;Rahul&quot;,&quot;parse-names&quot;:false,&quot;dropping-particle&quot;:&quot;&quot;,&quot;non-dropping-particle&quot;:&quot;&quot;},{&quot;family&quot;:&quot;Rice&quot;,&quot;given&quot;:&quot;Mary B.&quot;,&quot;parse-names&quot;:false,&quot;dropping-particle&quot;:&quot;&quot;,&quot;non-dropping-particle&quot;:&quot;&quot;},{&quot;family&quot;:&quot;Nunez&quot;,&quot;given&quot;:&quot;Carlos M.&quot;,&quot;parse-names&quot;:false,&quot;dropping-particle&quot;:&quot;&quot;,&quot;non-dropping-particle&quot;:&quot;&quot;},{&quot;family&quot;:&quot;Wedzicha&quot;,&quot;given&quot;:&quot;Jadwiga A.&quot;,&quot;parse-names&quot;:false,&quot;dropping-particle&quot;:&quot;&quot;,&quot;non-dropping-particle&quot;:&quot;&quot;},{&quot;family&quot;:&quot;Malhotra&quot;,&quot;given&quot;:&quot;Atul&quot;,&quot;parse-names&quot;:false,&quot;dropping-particle&quot;:&quot;&quot;,&quot;non-dropping-particle&quot;:&quot;&quot;}],&quot;container-title&quot;:&quot;JAMA Network Open&quot;,&quot;container-title-short&quot;:&quot;JAMA Netw Open&quot;,&quot;accessed&quot;:{&quot;date-parts&quot;:[[2024,6,30]]},&quot;DOI&quot;:&quot;10.1001/JAMANETWORKOPEN.2023.46598&quot;,&quot;ISSN&quot;:&quot;25743805&quot;,&quot;PMID&quot;:&quot;38060225&quot;,&quot;URL&quot;:&quot;/pmc/articles/PMC10704283/&quot;,&quot;issued&quot;:{&quot;date-parts&quot;:[[2023,12,7]]},&quot;page&quot;:&quot;E2346598&quot;,&quot;abstract&quot;:&quot;Importance: Chronic obstructive pulmonary disease (COPD) is a respiratory condition that is associated with significant health and economic burden worldwide. Previous studies assessed the global current-day prevalence of COPD, but to better facilitate resource planning and intervention development, long-term projections are needed. Objective: To assess the global burden of COPD through 2050, considering COPD risk factors. Design, Setting, and Participants: In this modeling study, historical data on COPD prevalence was extracted from a recent meta-analysis on 2019 global COPD prevalence, and 2010 to 2018 historical prevalence was estimated using random-effects meta-analytical models. COPD risk factor data were obtained from the Global Burden of Disease database. Main Outcomes and Measures: To project global COPD prevalence to 2050, generalized additive models were developed, including smoking prevalence, indoor and outdoor air pollution, and development indices as predictors, and stratified by age, sex, and World Bank region. Results: The models estimated that the number of COPD cases globally among those aged 25 years and older will increase by 23% from 2020 to 2050, approaching 600 million patients with COPD globally by 2050. Growth in the burden of COPD was projected to be the largest among women and in low- and middle-income regions. The number of female cases was projected to increase by 47.1% (vs a 9.4% increase for males), and the number of cases in low- and middle-income regions was expected to be more than double that of high-income regions by 2050. Conclusions and Relevance: In this modeling study of future COPD burden, projections indicated that COPD would continue to affect hundreds of millions of people globally, with disproportionate growth among females and in low-middle income regions through 2050. Further research, prevention, and advocacy are needed to address these issues so that adequate preparation and resource allocation can take place.&quot;,&quot;publisher&quot;:&quot;American Medical Association&quot;,&quot;issue&quot;:&quot;12&quot;,&quot;volume&quot;:&quot;6&quot;},&quot;isTemporary&quot;:false}]},{&quot;citationID&quot;:&quot;MENDELEY_CITATION_90794492-c836-4d92-9153-8d3492cf33bc&quot;,&quot;properties&quot;:{&quot;noteIndex&quot;:0},&quot;isEdited&quot;:false,&quot;manualOverride&quot;:{&quot;isManuallyOverridden&quot;:false,&quot;citeprocText&quot;:&quot;[37]&quot;,&quot;manualOverrideText&quot;:&quot;&quot;},&quot;citationTag&quot;:&quot;MENDELEY_CITATION_v3_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&quot;,&quot;citationItems&quot;:[{&quot;id&quot;:&quot;5f78842a-9535-31b5-b3e7-0d59d16a51d2&quot;,&quot;itemData&quot;:{&quot;type&quot;:&quot;article-journal&quot;,&quot;id&quot;:&quot;5f78842a-9535-31b5-b3e7-0d59d16a51d2&quot;,&quot;title&quot;:&quot;Global, regional, and national burden of chronic obstructive pulmonary disease and its attributable risk factors from 1990 to 2021: an analysis for the Global Burden of Disease Study 2021&quot;,&quot;author&quot;:[{&quot;family&quot;:&quot;Wang&quot;,&quot;given&quot;:&quot;Zhufeng&quot;,&quot;parse-names&quot;:false,&quot;dropping-particle&quot;:&quot;&quot;,&quot;non-dropping-particle&quot;:&quot;&quot;},{&quot;family&quot;:&quot;Lin&quot;,&quot;given&quot;:&quot;Junfeng&quot;,&quot;parse-names&quot;:false,&quot;dropping-particle&quot;:&quot;&quot;,&quot;non-dropping-particle&quot;:&quot;&quot;},{&quot;family&quot;:&quot;Liang&quot;,&quot;given&quot;:&quot;Lina&quot;,&quot;parse-names&quot;:false,&quot;dropping-particle&quot;:&quot;&quot;,&quot;non-dropping-particle&quot;:&quot;&quot;},{&quot;family&quot;:&quot;Huang&quot;,&quot;given&quot;:&quot;Feifei&quot;,&quot;parse-names&quot;:false,&quot;dropping-particle&quot;:&quot;&quot;,&quot;non-dropping-particle&quot;:&quot;&quot;},{&quot;family&quot;:&quot;Yao&quot;,&quot;given&quot;:&quot;Xiaoyin&quot;,&quot;parse-names&quot;:false,&quot;dropping-particle&quot;:&quot;&quot;,&quot;non-dropping-particle&quot;:&quot;&quot;},{&quot;family&quot;:&quot;Peng&quot;,&quot;given&quot;:&quot;Kang&quot;,&quot;parse-names&quot;:false,&quot;dropping-particle&quot;:&quot;&quot;,&quot;non-dropping-particle&quot;:&quot;&quot;},{&quot;family&quot;:&quot;Gao&quot;,&quot;given&quot;:&quot;Yi&quot;,&quot;parse-names&quot;:false,&quot;dropping-particle&quot;:&quot;&quot;,&quot;non-dropping-particle&quot;:&quot;&quot;},{&quot;family&quot;:&quot;Zheng&quot;,&quot;given&quot;:&quot;Jinping&quot;,&quot;parse-names&quot;:false,&quot;dropping-particle&quot;:&quot;&quot;,&quot;non-dropping-particle&quot;:&quot;&quot;}],&quot;container-title&quot;:&quot;Respiratory Research 2024 26:1&quot;,&quot;accessed&quot;:{&quot;date-parts&quot;:[[2025,5,31]]},&quot;DOI&quot;:&quot;10.1186/S12931-024-03051-2&quot;,&quot;ISSN&quot;:&quot;1465-993X&quot;,&quot;URL&quot;:&quot;https://respiratory-research.biomedcentral.com/articles/10.1186/s12931-024-03051-2&quot;,&quot;issued&quot;:{&quot;date-parts&quot;:[[2025,1,2]]},&quot;page&quot;:&quot;1-11&quot;,&quot;abstract&quot;:&quot;Chronic obstructive pulmonary disease (COPD) continues to be a significant issue, leading to premature death or reduced quality of life. It’s important to assess the current burden of COPD and its risk factors on a geographical basis to guide health policy. Data on the prevalence, deaths, and disability-adjusted life years (DALYs) related to COPD, and risk-attributable burden were obtained from the Global Burden of Diseases, Injuries, and Risk Factors Study (GBD) 2021 database. The relationship between COPD DALYs and the sociodemographic index (SDI) was estimated using Smoothing Splines models. Between 1990 and 2021, the changes were -1.46% (95% uncertainty interval [UI] -3.36% to&amp;nbsp;0.39%) in age-standardized prevalence, -37.12% (-43.37% to -27.68%) in mortality, and -36.98% (-42.37% to -28.54%) in DALYs rate. In 2021, a total of 213.39&amp;nbsp;million prevalent cases of COPD were estimated. The age-standardized prevalence of COPD increased with age and was more common in males. The age-standardized COPD DALYs had a reversed U-shaped relationship with SDI at the regional level, with the highest burden at an SDI of about 0.45. At the global level, smoking had the highest influence on COPD DALYs, accounting for 34.8%, followed by ambient particulate matter pollution (22.2%), household air pollution from solid fuels (19.5%), and occupational particulate matter, gases, and fumes (15.8%). The overall burden of COPD has been increasing despite improvements in some rates since 1990. It’s crucial to focus on interventions such as smoking cessation and addressing environmental and occupational exposures.&quot;,&quot;publisher&quot;:&quot;BioMed Central&quot;,&quot;issue&quot;:&quot;1&quot;,&quot;volume&quot;:&quot;26&quot;},&quot;isTemporary&quot;:false}]},{&quot;citationID&quot;:&quot;MENDELEY_CITATION_288a043a-36cc-4ee7-9b57-d0a16faa77c0&quot;,&quot;properties&quot;:{&quot;noteIndex&quot;:0},&quot;isEdited&quot;:false,&quot;manualOverride&quot;:{&quot;isManuallyOverridden&quot;:false,&quot;citeprocText&quot;:&quot;[37]&quot;,&quot;manualOverrideText&quot;:&quot;&quot;},&quot;citationTag&quot;:&quot;MENDELEY_CITATION_v3_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&quot;,&quot;citationItems&quot;:[{&quot;id&quot;:&quot;5f78842a-9535-31b5-b3e7-0d59d16a51d2&quot;,&quot;itemData&quot;:{&quot;type&quot;:&quot;article-journal&quot;,&quot;id&quot;:&quot;5f78842a-9535-31b5-b3e7-0d59d16a51d2&quot;,&quot;title&quot;:&quot;Global, regional, and national burden of chronic obstructive pulmonary disease and its attributable risk factors from 1990 to 2021: an analysis for the Global Burden of Disease Study 2021&quot;,&quot;author&quot;:[{&quot;family&quot;:&quot;Wang&quot;,&quot;given&quot;:&quot;Zhufeng&quot;,&quot;parse-names&quot;:false,&quot;dropping-particle&quot;:&quot;&quot;,&quot;non-dropping-particle&quot;:&quot;&quot;},{&quot;family&quot;:&quot;Lin&quot;,&quot;given&quot;:&quot;Junfeng&quot;,&quot;parse-names&quot;:false,&quot;dropping-particle&quot;:&quot;&quot;,&quot;non-dropping-particle&quot;:&quot;&quot;},{&quot;family&quot;:&quot;Liang&quot;,&quot;given&quot;:&quot;Lina&quot;,&quot;parse-names&quot;:false,&quot;dropping-particle&quot;:&quot;&quot;,&quot;non-dropping-particle&quot;:&quot;&quot;},{&quot;family&quot;:&quot;Huang&quot;,&quot;given&quot;:&quot;Feifei&quot;,&quot;parse-names&quot;:false,&quot;dropping-particle&quot;:&quot;&quot;,&quot;non-dropping-particle&quot;:&quot;&quot;},{&quot;family&quot;:&quot;Yao&quot;,&quot;given&quot;:&quot;Xiaoyin&quot;,&quot;parse-names&quot;:false,&quot;dropping-particle&quot;:&quot;&quot;,&quot;non-dropping-particle&quot;:&quot;&quot;},{&quot;family&quot;:&quot;Peng&quot;,&quot;given&quot;:&quot;Kang&quot;,&quot;parse-names&quot;:false,&quot;dropping-particle&quot;:&quot;&quot;,&quot;non-dropping-particle&quot;:&quot;&quot;},{&quot;family&quot;:&quot;Gao&quot;,&quot;given&quot;:&quot;Yi&quot;,&quot;parse-names&quot;:false,&quot;dropping-particle&quot;:&quot;&quot;,&quot;non-dropping-particle&quot;:&quot;&quot;},{&quot;family&quot;:&quot;Zheng&quot;,&quot;given&quot;:&quot;Jinping&quot;,&quot;parse-names&quot;:false,&quot;dropping-particle&quot;:&quot;&quot;,&quot;non-dropping-particle&quot;:&quot;&quot;}],&quot;container-title&quot;:&quot;Respiratory Research 2024 26:1&quot;,&quot;accessed&quot;:{&quot;date-parts&quot;:[[2025,5,31]]},&quot;DOI&quot;:&quot;10.1186/S12931-024-03051-2&quot;,&quot;ISSN&quot;:&quot;1465-993X&quot;,&quot;URL&quot;:&quot;https://respiratory-research.biomedcentral.com/articles/10.1186/s12931-024-03051-2&quot;,&quot;issued&quot;:{&quot;date-parts&quot;:[[2025,1,2]]},&quot;page&quot;:&quot;1-11&quot;,&quot;abstract&quot;:&quot;Chronic obstructive pulmonary disease (COPD) continues to be a significant issue, leading to premature death or reduced quality of life. It’s important to assess the current burden of COPD and its risk factors on a geographical basis to guide health policy. Data on the prevalence, deaths, and disability-adjusted life years (DALYs) related to COPD, and risk-attributable burden were obtained from the Global Burden of Diseases, Injuries, and Risk Factors Study (GBD) 2021 database. The relationship between COPD DALYs and the sociodemographic index (SDI) was estimated using Smoothing Splines models. Between 1990 and 2021, the changes were -1.46% (95% uncertainty interval [UI] -3.36% to&amp;nbsp;0.39%) in age-standardized prevalence, -37.12% (-43.37% to -27.68%) in mortality, and -36.98% (-42.37% to -28.54%) in DALYs rate. In 2021, a total of 213.39&amp;nbsp;million prevalent cases of COPD were estimated. The age-standardized prevalence of COPD increased with age and was more common in males. The age-standardized COPD DALYs had a reversed U-shaped relationship with SDI at the regional level, with the highest burden at an SDI of about 0.45. At the global level, smoking had the highest influence on COPD DALYs, accounting for 34.8%, followed by ambient particulate matter pollution (22.2%), household air pollution from solid fuels (19.5%), and occupational particulate matter, gases, and fumes (15.8%). The overall burden of COPD has been increasing despite improvements in some rates since 1990. It’s crucial to focus on interventions such as smoking cessation and addressing environmental and occupational exposures.&quot;,&quot;publisher&quot;:&quot;BioMed Central&quot;,&quot;issue&quot;:&quot;1&quot;,&quot;volume&quot;:&quot;26&quot;},&quot;isTemporary&quot;:false}]},{&quot;citationID&quot;:&quot;MENDELEY_CITATION_7e671304-8adc-4526-9d23-b5b181339141&quot;,&quot;properties&quot;:{&quot;noteIndex&quot;:0},&quot;isEdited&quot;:false,&quot;manualOverride&quot;:{&quot;isManuallyOverridden&quot;:false,&quot;citeprocText&quot;:&quot;[37]&quot;,&quot;manualOverrideText&quot;:&quot;&quot;},&quot;citationTag&quot;:&quot;MENDELEY_CITATION_v3_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&quot;,&quot;citationItems&quot;:[{&quot;id&quot;:&quot;5f78842a-9535-31b5-b3e7-0d59d16a51d2&quot;,&quot;itemData&quot;:{&quot;type&quot;:&quot;article-journal&quot;,&quot;id&quot;:&quot;5f78842a-9535-31b5-b3e7-0d59d16a51d2&quot;,&quot;title&quot;:&quot;Global, regional, and national burden of chronic obstructive pulmonary disease and its attributable risk factors from 1990 to 2021: an analysis for the Global Burden of Disease Study 2021&quot;,&quot;author&quot;:[{&quot;family&quot;:&quot;Wang&quot;,&quot;given&quot;:&quot;Zhufeng&quot;,&quot;parse-names&quot;:false,&quot;dropping-particle&quot;:&quot;&quot;,&quot;non-dropping-particle&quot;:&quot;&quot;},{&quot;family&quot;:&quot;Lin&quot;,&quot;given&quot;:&quot;Junfeng&quot;,&quot;parse-names&quot;:false,&quot;dropping-particle&quot;:&quot;&quot;,&quot;non-dropping-particle&quot;:&quot;&quot;},{&quot;family&quot;:&quot;Liang&quot;,&quot;given&quot;:&quot;Lina&quot;,&quot;parse-names&quot;:false,&quot;dropping-particle&quot;:&quot;&quot;,&quot;non-dropping-particle&quot;:&quot;&quot;},{&quot;family&quot;:&quot;Huang&quot;,&quot;given&quot;:&quot;Feifei&quot;,&quot;parse-names&quot;:false,&quot;dropping-particle&quot;:&quot;&quot;,&quot;non-dropping-particle&quot;:&quot;&quot;},{&quot;family&quot;:&quot;Yao&quot;,&quot;given&quot;:&quot;Xiaoyin&quot;,&quot;parse-names&quot;:false,&quot;dropping-particle&quot;:&quot;&quot;,&quot;non-dropping-particle&quot;:&quot;&quot;},{&quot;family&quot;:&quot;Peng&quot;,&quot;given&quot;:&quot;Kang&quot;,&quot;parse-names&quot;:false,&quot;dropping-particle&quot;:&quot;&quot;,&quot;non-dropping-particle&quot;:&quot;&quot;},{&quot;family&quot;:&quot;Gao&quot;,&quot;given&quot;:&quot;Yi&quot;,&quot;parse-names&quot;:false,&quot;dropping-particle&quot;:&quot;&quot;,&quot;non-dropping-particle&quot;:&quot;&quot;},{&quot;family&quot;:&quot;Zheng&quot;,&quot;given&quot;:&quot;Jinping&quot;,&quot;parse-names&quot;:false,&quot;dropping-particle&quot;:&quot;&quot;,&quot;non-dropping-particle&quot;:&quot;&quot;}],&quot;container-title&quot;:&quot;Respiratory Research 2024 26:1&quot;,&quot;accessed&quot;:{&quot;date-parts&quot;:[[2025,5,31]]},&quot;DOI&quot;:&quot;10.1186/S12931-024-03051-2&quot;,&quot;ISSN&quot;:&quot;1465-993X&quot;,&quot;URL&quot;:&quot;https://respiratory-research.biomedcentral.com/articles/10.1186/s12931-024-03051-2&quot;,&quot;issued&quot;:{&quot;date-parts&quot;:[[2025,1,2]]},&quot;page&quot;:&quot;1-11&quot;,&quot;abstract&quot;:&quot;Chronic obstructive pulmonary disease (COPD) continues to be a significant issue, leading to premature death or reduced quality of life. It’s important to assess the current burden of COPD and its risk factors on a geographical basis to guide health policy. Data on the prevalence, deaths, and disability-adjusted life years (DALYs) related to COPD, and risk-attributable burden were obtained from the Global Burden of Diseases, Injuries, and Risk Factors Study (GBD) 2021 database. The relationship between COPD DALYs and the sociodemographic index (SDI) was estimated using Smoothing Splines models. Between 1990 and 2021, the changes were -1.46% (95% uncertainty interval [UI] -3.36% to&amp;nbsp;0.39%) in age-standardized prevalence, -37.12% (-43.37% to -27.68%) in mortality, and -36.98% (-42.37% to -28.54%) in DALYs rate. In 2021, a total of 213.39&amp;nbsp;million prevalent cases of COPD were estimated. The age-standardized prevalence of COPD increased with age and was more common in males. The age-standardized COPD DALYs had a reversed U-shaped relationship with SDI at the regional level, with the highest burden at an SDI of about 0.45. At the global level, smoking had the highest influence on COPD DALYs, accounting for 34.8%, followed by ambient particulate matter pollution (22.2%), household air pollution from solid fuels (19.5%), and occupational particulate matter, gases, and fumes (15.8%). The overall burden of COPD has been increasing despite improvements in some rates since 1990. It’s crucial to focus on interventions such as smoking cessation and addressing environmental and occupational exposures.&quot;,&quot;publisher&quot;:&quot;BioMed Central&quot;,&quot;issue&quot;:&quot;1&quot;,&quot;volume&quot;:&quot;26&quot;},&quot;isTemporary&quot;:false}]},{&quot;citationID&quot;:&quot;MENDELEY_CITATION_11d0e7fc-ac2a-4290-bcbd-645c167b993b&quot;,&quot;properties&quot;:{&quot;noteIndex&quot;:0},&quot;isEdited&quot;:false,&quot;manualOverride&quot;:{&quot;isManuallyOverridden&quot;:false,&quot;citeprocText&quot;:&quot;[38]&quot;,&quot;manualOverrideText&quot;:&quot;&quot;},&quot;citationTag&quot;:&quot;MENDELEY_CITATION_v3_eyJjaXRhdGlvbklEIjoiTUVOREVMRVlfQ0lUQVRJT05fMTFkMGU3ZmMtYWMyYS00MjkwLWJjYmQtNjQ1YzE2N2I5OTNi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quot;,&quot;citationItems&quot;:[{&quot;id&quot;:&quot;348032de-3fdb-3bdf-8e98-69592486d898&quot;,&quot;itemData&quot;:{&quot;type&quot;:&quot;article-journal&quot;,&quot;id&quot;:&quot;348032de-3fdb-3bdf-8e98-69592486d898&quot;,&quot;title&quot;:&quot;Global, regional, and national prevalence of, and risk factors for, chronic obstructive pulmonary disease (COPD) in 2019: a systematic review and modelling analysis&quot;,&quot;author&quot;:[{&quot;family&quot;:&quot;Adeloye&quot;,&quot;given&quot;:&quot;Davies&quot;,&quot;parse-names&quot;:false,&quot;dropping-particle&quot;:&quot;&quot;,&quot;non-dropping-particle&quot;:&quot;&quot;},{&quot;family&quot;:&quot;Song&quot;,&quot;given&quot;:&quot;Peige&quot;,&quot;parse-names&quot;:false,&quot;dropping-particle&quot;:&quot;&quot;,&quot;non-dropping-particle&quot;:&quot;&quot;},{&quot;family&quot;:&quot;Zhu&quot;,&quot;given&quot;:&quot;Yajie&quot;,&quot;parse-names&quot;:false,&quot;dropping-particle&quot;:&quot;&quot;,&quot;non-dropping-particle&quot;:&quot;&quot;},{&quot;family&quot;:&quot;Campbell&quot;,&quot;given&quot;:&quot;Harry&quot;,&quot;parse-names&quot;:false,&quot;dropping-particle&quot;:&quot;&quot;,&quot;non-dropping-particle&quot;:&quot;&quot;},{&quot;family&quot;:&quot;Sheikh&quot;,&quot;given&quot;:&quot;Aziz&quot;,&quot;parse-names&quot;:false,&quot;dropping-particle&quot;:&quot;&quot;,&quot;non-dropping-particle&quot;:&quot;&quot;},{&quot;family&quot;:&quot;Rudan&quot;,&quot;given&quot;:&quot;Igor&quot;,&quot;parse-names&quot;:false,&quot;dropping-particle&quot;:&quot;&quot;,&quot;non-dropping-particle&quot;:&quot;&quot;}],&quot;container-title&quot;:&quot;The Lancet. Respiratory Medicine&quot;,&quot;container-title-short&quot;:&quot;Lancet Respir Med&quot;,&quot;accessed&quot;:{&quot;date-parts&quot;:[[2024,3,17]]},&quot;DOI&quot;:&quot;10.1016/S2213-2600(21)00511-7&quot;,&quot;ISSN&quot;:&quot;22132619&quot;,&quot;PMID&quot;:&quot;35279265&quot;,&quot;URL&quot;:&quot;/pmc/articles/PMC9050565/&quot;,&quot;issued&quot;:{&quot;date-parts&quot;:[[2022,5,1]]},&quot;page&quot;:&quot;447&quot;,&quot;abstract&quot;:&quot;Background: Chronic obstructive pulmonary disease (COPD) is an increasingly important cause of morbidity, disability, and mortality worldwide. We aimed to estimate global, regional, and national COPD prevalence and risk factors to guide policy and population interventions. Methods: For this systematic review and modelling study, we searched MEDLINE, Embase, Global Health, and CINAHL, for population-based studies on COPD prevalence published between Jan 1, 1990, and Dec 31, 2019. We included data reported using the two main case definitions: the Global Initiative for Chronic Obstructive Lung Disease fixed ratio (GOLD; FEV1/FVC&lt;0·7) and the lower limit of normal (LLN; FEV1/FVC&lt;LLN). We employed a multilevel multivariable mixed-effects meta-regression approach to generate the age-specific and sex-specific prevalence of COPD in 2019 for high-income countries (HICs) and low-income and middle-income countries (LMICs) according to the World Bank definition. Common risk factors for GOLD-COPD were evaluated using a random-effects meta-analysis. Findings: We identified 162 articles reporting population-based studies conducted across 260 sites in 65 countries. In 2019, the global prevalence of COPD among people aged 30–79 years was 10·3% (95% CI 8·2–12·8) using the GOLD case definition, which translates to 391·9 million people (95% CI 312·6–487·9), and 7·6% (5·8–10·1) using the LLN definition, which translates to 292·0 million people (219·8–385·6). Using the GOLD definition, we estimated that 391·9 million (95% CI 312·6–487·9) people aged 30–79 years had COPD worldwide in 2019, with most (315·5 million [246·7–399·6]; 80·5%) living in LMICs. The overall prevalence of GOLD-COPD among people aged 30–79 years was the highest in the Western Pacific region (11·7% [95% CI 9·3–14·6]) and lowest in the region of the Americas (6·8% [95% CI 5·6–8·2]). Globally, male sex (OR 2·1 [95% CI 1·8–2·3]), smoking (current smoker 3·2 [2·5–4·0]; ever smoker 2·3 [2·0–2·5]), body-mass index of less than 18·5 kg/m2 (2·2 [1·7–2·7]), biomass exposure (1·4 [1·2–1·7]), and occupational exposure to dust or smoke (1·4 [1·3–1·6]) were all substantial risk factors for COPD. Interpretation: With more than three-quarters of global COPD cases in LMICs, tackling this chronic condition is a major and increasing challenge for health systems in these settings. In the absence of targeted population-wide efforts and health system reforms in these settings, many of which are under-resourced, achieving a substantial reduction in the burden of COPD globally might remain a difficult task. Funding: National Institute for Health Research and Health Data Research UK.&quot;,&quot;publisher&quot;:&quot;Elsevier&quot;,&quot;issue&quot;:&quot;5&quot;,&quot;volume&quot;:&quot;10&quot;},&quot;isTemporary&quot;:false}]},{&quot;citationID&quot;:&quot;MENDELEY_CITATION_8c09ed93-fba4-45da-8760-f8f375cfcb54&quot;,&quot;properties&quot;:{&quot;noteIndex&quot;:0},&quot;isEdited&quot;:false,&quot;manualOverride&quot;:{&quot;isManuallyOverridden&quot;:false,&quot;citeprocText&quot;:&quot;[38]&quot;,&quot;manualOverrideText&quot;:&quot;&quot;},&quot;citationTag&quot;:&quot;MENDELEY_CITATION_v3_eyJjaXRhdGlvbklEIjoiTUVOREVMRVlfQ0lUQVRJT05fOGMwOWVkOTMtZmJhNC00NWRhLTg3NjAtZjhmMzc1Y2ZjYjU0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quot;,&quot;citationItems&quot;:[{&quot;id&quot;:&quot;348032de-3fdb-3bdf-8e98-69592486d898&quot;,&quot;itemData&quot;:{&quot;type&quot;:&quot;article-journal&quot;,&quot;id&quot;:&quot;348032de-3fdb-3bdf-8e98-69592486d898&quot;,&quot;title&quot;:&quot;Global, regional, and national prevalence of, and risk factors for, chronic obstructive pulmonary disease (COPD) in 2019: a systematic review and modelling analysis&quot;,&quot;author&quot;:[{&quot;family&quot;:&quot;Adeloye&quot;,&quot;given&quot;:&quot;Davies&quot;,&quot;parse-names&quot;:false,&quot;dropping-particle&quot;:&quot;&quot;,&quot;non-dropping-particle&quot;:&quot;&quot;},{&quot;family&quot;:&quot;Song&quot;,&quot;given&quot;:&quot;Peige&quot;,&quot;parse-names&quot;:false,&quot;dropping-particle&quot;:&quot;&quot;,&quot;non-dropping-particle&quot;:&quot;&quot;},{&quot;family&quot;:&quot;Zhu&quot;,&quot;given&quot;:&quot;Yajie&quot;,&quot;parse-names&quot;:false,&quot;dropping-particle&quot;:&quot;&quot;,&quot;non-dropping-particle&quot;:&quot;&quot;},{&quot;family&quot;:&quot;Campbell&quot;,&quot;given&quot;:&quot;Harry&quot;,&quot;parse-names&quot;:false,&quot;dropping-particle&quot;:&quot;&quot;,&quot;non-dropping-particle&quot;:&quot;&quot;},{&quot;family&quot;:&quot;Sheikh&quot;,&quot;given&quot;:&quot;Aziz&quot;,&quot;parse-names&quot;:false,&quot;dropping-particle&quot;:&quot;&quot;,&quot;non-dropping-particle&quot;:&quot;&quot;},{&quot;family&quot;:&quot;Rudan&quot;,&quot;given&quot;:&quot;Igor&quot;,&quot;parse-names&quot;:false,&quot;dropping-particle&quot;:&quot;&quot;,&quot;non-dropping-particle&quot;:&quot;&quot;}],&quot;container-title&quot;:&quot;The Lancet. Respiratory Medicine&quot;,&quot;container-title-short&quot;:&quot;Lancet Respir Med&quot;,&quot;accessed&quot;:{&quot;date-parts&quot;:[[2024,3,17]]},&quot;DOI&quot;:&quot;10.1016/S2213-2600(21)00511-7&quot;,&quot;ISSN&quot;:&quot;22132619&quot;,&quot;PMID&quot;:&quot;35279265&quot;,&quot;URL&quot;:&quot;/pmc/articles/PMC9050565/&quot;,&quot;issued&quot;:{&quot;date-parts&quot;:[[2022,5,1]]},&quot;page&quot;:&quot;447&quot;,&quot;abstract&quot;:&quot;Background: Chronic obstructive pulmonary disease (COPD) is an increasingly important cause of morbidity, disability, and mortality worldwide. We aimed to estimate global, regional, and national COPD prevalence and risk factors to guide policy and population interventions. Methods: For this systematic review and modelling study, we searched MEDLINE, Embase, Global Health, and CINAHL, for population-based studies on COPD prevalence published between Jan 1, 1990, and Dec 31, 2019. We included data reported using the two main case definitions: the Global Initiative for Chronic Obstructive Lung Disease fixed ratio (GOLD; FEV1/FVC&lt;0·7) and the lower limit of normal (LLN; FEV1/FVC&lt;LLN). We employed a multilevel multivariable mixed-effects meta-regression approach to generate the age-specific and sex-specific prevalence of COPD in 2019 for high-income countries (HICs) and low-income and middle-income countries (LMICs) according to the World Bank definition. Common risk factors for GOLD-COPD were evaluated using a random-effects meta-analysis. Findings: We identified 162 articles reporting population-based studies conducted across 260 sites in 65 countries. In 2019, the global prevalence of COPD among people aged 30–79 years was 10·3% (95% CI 8·2–12·8) using the GOLD case definition, which translates to 391·9 million people (95% CI 312·6–487·9), and 7·6% (5·8–10·1) using the LLN definition, which translates to 292·0 million people (219·8–385·6). Using the GOLD definition, we estimated that 391·9 million (95% CI 312·6–487·9) people aged 30–79 years had COPD worldwide in 2019, with most (315·5 million [246·7–399·6]; 80·5%) living in LMICs. The overall prevalence of GOLD-COPD among people aged 30–79 years was the highest in the Western Pacific region (11·7% [95% CI 9·3–14·6]) and lowest in the region of the Americas (6·8% [95% CI 5·6–8·2]). Globally, male sex (OR 2·1 [95% CI 1·8–2·3]), smoking (current smoker 3·2 [2·5–4·0]; ever smoker 2·3 [2·0–2·5]), body-mass index of less than 18·5 kg/m2 (2·2 [1·7–2·7]), biomass exposure (1·4 [1·2–1·7]), and occupational exposure to dust or smoke (1·4 [1·3–1·6]) were all substantial risk factors for COPD. Interpretation: With more than three-quarters of global COPD cases in LMICs, tackling this chronic condition is a major and increasing challenge for health systems in these settings. In the absence of targeted population-wide efforts and health system reforms in these settings, many of which are under-resourced, achieving a substantial reduction in the burden of COPD globally might remain a difficult task. Funding: National Institute for Health Research and Health Data Research UK.&quot;,&quot;publisher&quot;:&quot;Elsevier&quot;,&quot;issue&quot;:&quot;5&quot;,&quot;volume&quot;:&quot;10&quot;},&quot;isTemporary&quot;:false}]},{&quot;citationID&quot;:&quot;MENDELEY_CITATION_69e9e211-c066-4afa-8686-6da40df8eac4&quot;,&quot;properties&quot;:{&quot;noteIndex&quot;:0},&quot;isEdited&quot;:false,&quot;manualOverride&quot;:{&quot;isManuallyOverridden&quot;:false,&quot;citeprocText&quot;:&quot;[38]&quot;,&quot;manualOverrideText&quot;:&quot;&quot;},&quot;citationTag&quot;:&quot;MENDELEY_CITATION_v3_eyJjaXRhdGlvbklEIjoiTUVOREVMRVlfQ0lUQVRJT05fNjllOWUyMTEtYzA2Ni00YWZhLTg2ODYtNmRhNDBkZjhlYWM0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quot;,&quot;citationItems&quot;:[{&quot;id&quot;:&quot;348032de-3fdb-3bdf-8e98-69592486d898&quot;,&quot;itemData&quot;:{&quot;type&quot;:&quot;article-journal&quot;,&quot;id&quot;:&quot;348032de-3fdb-3bdf-8e98-69592486d898&quot;,&quot;title&quot;:&quot;Global, regional, and national prevalence of, and risk factors for, chronic obstructive pulmonary disease (COPD) in 2019: a systematic review and modelling analysis&quot;,&quot;author&quot;:[{&quot;family&quot;:&quot;Adeloye&quot;,&quot;given&quot;:&quot;Davies&quot;,&quot;parse-names&quot;:false,&quot;dropping-particle&quot;:&quot;&quot;,&quot;non-dropping-particle&quot;:&quot;&quot;},{&quot;family&quot;:&quot;Song&quot;,&quot;given&quot;:&quot;Peige&quot;,&quot;parse-names&quot;:false,&quot;dropping-particle&quot;:&quot;&quot;,&quot;non-dropping-particle&quot;:&quot;&quot;},{&quot;family&quot;:&quot;Zhu&quot;,&quot;given&quot;:&quot;Yajie&quot;,&quot;parse-names&quot;:false,&quot;dropping-particle&quot;:&quot;&quot;,&quot;non-dropping-particle&quot;:&quot;&quot;},{&quot;family&quot;:&quot;Campbell&quot;,&quot;given&quot;:&quot;Harry&quot;,&quot;parse-names&quot;:false,&quot;dropping-particle&quot;:&quot;&quot;,&quot;non-dropping-particle&quot;:&quot;&quot;},{&quot;family&quot;:&quot;Sheikh&quot;,&quot;given&quot;:&quot;Aziz&quot;,&quot;parse-names&quot;:false,&quot;dropping-particle&quot;:&quot;&quot;,&quot;non-dropping-particle&quot;:&quot;&quot;},{&quot;family&quot;:&quot;Rudan&quot;,&quot;given&quot;:&quot;Igor&quot;,&quot;parse-names&quot;:false,&quot;dropping-particle&quot;:&quot;&quot;,&quot;non-dropping-particle&quot;:&quot;&quot;}],&quot;container-title&quot;:&quot;The Lancet. Respiratory Medicine&quot;,&quot;container-title-short&quot;:&quot;Lancet Respir Med&quot;,&quot;accessed&quot;:{&quot;date-parts&quot;:[[2024,3,17]]},&quot;DOI&quot;:&quot;10.1016/S2213-2600(21)00511-7&quot;,&quot;ISSN&quot;:&quot;22132619&quot;,&quot;PMID&quot;:&quot;35279265&quot;,&quot;URL&quot;:&quot;/pmc/articles/PMC9050565/&quot;,&quot;issued&quot;:{&quot;date-parts&quot;:[[2022,5,1]]},&quot;page&quot;:&quot;447&quot;,&quot;abstract&quot;:&quot;Background: Chronic obstructive pulmonary disease (COPD) is an increasingly important cause of morbidity, disability, and mortality worldwide. We aimed to estimate global, regional, and national COPD prevalence and risk factors to guide policy and population interventions. Methods: For this systematic review and modelling study, we searched MEDLINE, Embase, Global Health, and CINAHL, for population-based studies on COPD prevalence published between Jan 1, 1990, and Dec 31, 2019. We included data reported using the two main case definitions: the Global Initiative for Chronic Obstructive Lung Disease fixed ratio (GOLD; FEV1/FVC&lt;0·7) and the lower limit of normal (LLN; FEV1/FVC&lt;LLN). We employed a multilevel multivariable mixed-effects meta-regression approach to generate the age-specific and sex-specific prevalence of COPD in 2019 for high-income countries (HICs) and low-income and middle-income countries (LMICs) according to the World Bank definition. Common risk factors for GOLD-COPD were evaluated using a random-effects meta-analysis. Findings: We identified 162 articles reporting population-based studies conducted across 260 sites in 65 countries. In 2019, the global prevalence of COPD among people aged 30–79 years was 10·3% (95% CI 8·2–12·8) using the GOLD case definition, which translates to 391·9 million people (95% CI 312·6–487·9), and 7·6% (5·8–10·1) using the LLN definition, which translates to 292·0 million people (219·8–385·6). Using the GOLD definition, we estimated that 391·9 million (95% CI 312·6–487·9) people aged 30–79 years had COPD worldwide in 2019, with most (315·5 million [246·7–399·6]; 80·5%) living in LMICs. The overall prevalence of GOLD-COPD among people aged 30–79 years was the highest in the Western Pacific region (11·7% [95% CI 9·3–14·6]) and lowest in the region of the Americas (6·8% [95% CI 5·6–8·2]). Globally, male sex (OR 2·1 [95% CI 1·8–2·3]), smoking (current smoker 3·2 [2·5–4·0]; ever smoker 2·3 [2·0–2·5]), body-mass index of less than 18·5 kg/m2 (2·2 [1·7–2·7]), biomass exposure (1·4 [1·2–1·7]), and occupational exposure to dust or smoke (1·4 [1·3–1·6]) were all substantial risk factors for COPD. Interpretation: With more than three-quarters of global COPD cases in LMICs, tackling this chronic condition is a major and increasing challenge for health systems in these settings. In the absence of targeted population-wide efforts and health system reforms in these settings, many of which are under-resourced, achieving a substantial reduction in the burden of COPD globally might remain a difficult task. Funding: National Institute for Health Research and Health Data Research UK.&quot;,&quot;publisher&quot;:&quot;Elsevier&quot;,&quot;issue&quot;:&quot;5&quot;,&quot;volume&quot;:&quot;10&quot;},&quot;isTemporary&quot;:false}]},{&quot;citationID&quot;:&quot;MENDELEY_CITATION_747e369f-51c0-475c-bf1b-8516e1970b9f&quot;,&quot;properties&quot;:{&quot;noteIndex&quot;:0},&quot;isEdited&quot;:false,&quot;manualOverride&quot;:{&quot;isManuallyOverridden&quot;:false,&quot;citeprocText&quot;:&quot;[38]&quot;,&quot;manualOverrideText&quot;:&quot;&quot;},&quot;citationTag&quot;:&quot;MENDELEY_CITATION_v3_eyJjaXRhdGlvbklEIjoiTUVOREVMRVlfQ0lUQVRJT05fNzQ3ZTM2OWYtNTFjMC00NzVjLWJmMWItODUxNmUxOTcwYjlm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quot;,&quot;citationItems&quot;:[{&quot;id&quot;:&quot;348032de-3fdb-3bdf-8e98-69592486d898&quot;,&quot;itemData&quot;:{&quot;type&quot;:&quot;article-journal&quot;,&quot;id&quot;:&quot;348032de-3fdb-3bdf-8e98-69592486d898&quot;,&quot;title&quot;:&quot;Global, regional, and national prevalence of, and risk factors for, chronic obstructive pulmonary disease (COPD) in 2019: a systematic review and modelling analysis&quot;,&quot;author&quot;:[{&quot;family&quot;:&quot;Adeloye&quot;,&quot;given&quot;:&quot;Davies&quot;,&quot;parse-names&quot;:false,&quot;dropping-particle&quot;:&quot;&quot;,&quot;non-dropping-particle&quot;:&quot;&quot;},{&quot;family&quot;:&quot;Song&quot;,&quot;given&quot;:&quot;Peige&quot;,&quot;parse-names&quot;:false,&quot;dropping-particle&quot;:&quot;&quot;,&quot;non-dropping-particle&quot;:&quot;&quot;},{&quot;family&quot;:&quot;Zhu&quot;,&quot;given&quot;:&quot;Yajie&quot;,&quot;parse-names&quot;:false,&quot;dropping-particle&quot;:&quot;&quot;,&quot;non-dropping-particle&quot;:&quot;&quot;},{&quot;family&quot;:&quot;Campbell&quot;,&quot;given&quot;:&quot;Harry&quot;,&quot;parse-names&quot;:false,&quot;dropping-particle&quot;:&quot;&quot;,&quot;non-dropping-particle&quot;:&quot;&quot;},{&quot;family&quot;:&quot;Sheikh&quot;,&quot;given&quot;:&quot;Aziz&quot;,&quot;parse-names&quot;:false,&quot;dropping-particle&quot;:&quot;&quot;,&quot;non-dropping-particle&quot;:&quot;&quot;},{&quot;family&quot;:&quot;Rudan&quot;,&quot;given&quot;:&quot;Igor&quot;,&quot;parse-names&quot;:false,&quot;dropping-particle&quot;:&quot;&quot;,&quot;non-dropping-particle&quot;:&quot;&quot;}],&quot;container-title&quot;:&quot;The Lancet. Respiratory Medicine&quot;,&quot;container-title-short&quot;:&quot;Lancet Respir Med&quot;,&quot;accessed&quot;:{&quot;date-parts&quot;:[[2024,3,17]]},&quot;DOI&quot;:&quot;10.1016/S2213-2600(21)00511-7&quot;,&quot;ISSN&quot;:&quot;22132619&quot;,&quot;PMID&quot;:&quot;35279265&quot;,&quot;URL&quot;:&quot;/pmc/articles/PMC9050565/&quot;,&quot;issued&quot;:{&quot;date-parts&quot;:[[2022,5,1]]},&quot;page&quot;:&quot;447&quot;,&quot;abstract&quot;:&quot;Background: Chronic obstructive pulmonary disease (COPD) is an increasingly important cause of morbidity, disability, and mortality worldwide. We aimed to estimate global, regional, and national COPD prevalence and risk factors to guide policy and population interventions. Methods: For this systematic review and modelling study, we searched MEDLINE, Embase, Global Health, and CINAHL, for population-based studies on COPD prevalence published between Jan 1, 1990, and Dec 31, 2019. We included data reported using the two main case definitions: the Global Initiative for Chronic Obstructive Lung Disease fixed ratio (GOLD; FEV1/FVC&lt;0·7) and the lower limit of normal (LLN; FEV1/FVC&lt;LLN). We employed a multilevel multivariable mixed-effects meta-regression approach to generate the age-specific and sex-specific prevalence of COPD in 2019 for high-income countries (HICs) and low-income and middle-income countries (LMICs) according to the World Bank definition. Common risk factors for GOLD-COPD were evaluated using a random-effects meta-analysis. Findings: We identified 162 articles reporting population-based studies conducted across 260 sites in 65 countries. In 2019, the global prevalence of COPD among people aged 30–79 years was 10·3% (95% CI 8·2–12·8) using the GOLD case definition, which translates to 391·9 million people (95% CI 312·6–487·9), and 7·6% (5·8–10·1) using the LLN definition, which translates to 292·0 million people (219·8–385·6). Using the GOLD definition, we estimated that 391·9 million (95% CI 312·6–487·9) people aged 30–79 years had COPD worldwide in 2019, with most (315·5 million [246·7–399·6]; 80·5%) living in LMICs. The overall prevalence of GOLD-COPD among people aged 30–79 years was the highest in the Western Pacific region (11·7% [95% CI 9·3–14·6]) and lowest in the region of the Americas (6·8% [95% CI 5·6–8·2]). Globally, male sex (OR 2·1 [95% CI 1·8–2·3]), smoking (current smoker 3·2 [2·5–4·0]; ever smoker 2·3 [2·0–2·5]), body-mass index of less than 18·5 kg/m2 (2·2 [1·7–2·7]), biomass exposure (1·4 [1·2–1·7]), and occupational exposure to dust or smoke (1·4 [1·3–1·6]) were all substantial risk factors for COPD. Interpretation: With more than three-quarters of global COPD cases in LMICs, tackling this chronic condition is a major and increasing challenge for health systems in these settings. In the absence of targeted population-wide efforts and health system reforms in these settings, many of which are under-resourced, achieving a substantial reduction in the burden of COPD globally might remain a difficult task. Funding: National Institute for Health Research and Health Data Research UK.&quot;,&quot;publisher&quot;:&quot;Elsevier&quot;,&quot;issue&quot;:&quot;5&quot;,&quot;volume&quot;:&quot;10&quot;},&quot;isTemporary&quot;:false}]},{&quot;citationID&quot;:&quot;MENDELEY_CITATION_8cf05f13-850d-47b5-b51a-e68243866dab&quot;,&quot;properties&quot;:{&quot;noteIndex&quot;:0},&quot;isEdited&quot;:false,&quot;manualOverride&quot;:{&quot;isManuallyOverridden&quot;:false,&quot;citeprocText&quot;:&quot;[20]&quot;,&quot;manualOverrideText&quot;:&quot;&quot;},&quot;citationTag&quot;:&quot;MENDELEY_CITATION_v3_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&quot;,&quot;citationItems&quot;:[{&quot;id&quot;:&quot;855cdb1c-92ad-3fd1-9adb-14cd6ec2b40f&quot;,&quot;itemData&quot;:{&quot;type&quot;:&quot;article-journal&quot;,&quot;id&quot;:&quot;855cdb1c-92ad-3fd1-9adb-14cd6ec2b40f&quot;,&quot;title&quot;:&quot;The lower limit of normal versus a fixed ratio to assess airflow limitation: will the debate ever end?&quot;,&quot;author&quot;:[{&quot;family&quot;:&quot;Smith&quot;,&quot;given&quot;:&quot;Lewis J.&quot;,&quot;parse-names&quot;:false,&quot;dropping-particle&quot;:&quot;&quot;,&quot;non-dropping-particle&quot;:&quot;&quot;}],&quot;container-title&quot;:&quot;European Respiratory Journal&quot;,&quot;accessed&quot;:{&quot;date-parts&quot;:[[2024,6,29]]},&quot;DOI&quot;:&quot;10.1183/13993003.00403-2018&quot;,&quot;ISSN&quot;:&quot;0903-1936&quot;,&quot;PMID&quot;:&quot;29599119&quot;,&quot;URL&quot;:&quot;https://erj.ersjournals.com/content/51/3/1800403&quot;,&quot;issued&quot;:{&quot;date-parts&quot;:[[2018,3,1]]},&quot;abstract&quot;:&quot;A normal test result is typically differentiated from an abnormal result by identifying those values that fall within (normal) and outside (abnormal) the 95% confidence interval for that test, after the test is evaluated in healthy individuals from the intended population. This approach acknowledges that 5% of a normal population will have an abnormal test result and some individuals with a normal test result will have the disease the test is designed to identify. Such trade-offs are common in the practice of medicine.\n\nIdentifying airflow limitation using an FEV1/FVC less than 0.70 in a general population of young adults can no longer be justified &lt;http://ow.ly/MRzo30iWja5&gt;&quot;,&quot;publisher&quot;:&quot;European Respiratory Society&quot;,&quot;issue&quot;:&quot;3&quot;,&quot;volume&quot;:&quot;51&quot;,&quot;container-title-short&quot;:&quot;&quot;},&quot;isTemporary&quot;:false}]},{&quot;citationID&quot;:&quot;MENDELEY_CITATION_cbb9c5c7-c9e3-4662-a30f-a614229231b2&quot;,&quot;properties&quot;:{&quot;noteIndex&quot;:0},&quot;isEdited&quot;:false,&quot;manualOverride&quot;:{&quot;isManuallyOverridden&quot;:false,&quot;citeprocText&quot;:&quot;[38]&quot;,&quot;manualOverrideText&quot;:&quot;&quot;},&quot;citationTag&quot;:&quot;MENDELEY_CITATION_v3_eyJjaXRhdGlvbklEIjoiTUVOREVMRVlfQ0lUQVRJT05fY2JiOWM1YzctYzllMy00NjYyLWEzMGYtYTYxNDIyOTIzMWIy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quot;,&quot;citationItems&quot;:[{&quot;id&quot;:&quot;348032de-3fdb-3bdf-8e98-69592486d898&quot;,&quot;itemData&quot;:{&quot;type&quot;:&quot;article-journal&quot;,&quot;id&quot;:&quot;348032de-3fdb-3bdf-8e98-69592486d898&quot;,&quot;title&quot;:&quot;Global, regional, and national prevalence of, and risk factors for, chronic obstructive pulmonary disease (COPD) in 2019: a systematic review and modelling analysis&quot;,&quot;author&quot;:[{&quot;family&quot;:&quot;Adeloye&quot;,&quot;given&quot;:&quot;Davies&quot;,&quot;parse-names&quot;:false,&quot;dropping-particle&quot;:&quot;&quot;,&quot;non-dropping-particle&quot;:&quot;&quot;},{&quot;family&quot;:&quot;Song&quot;,&quot;given&quot;:&quot;Peige&quot;,&quot;parse-names&quot;:false,&quot;dropping-particle&quot;:&quot;&quot;,&quot;non-dropping-particle&quot;:&quot;&quot;},{&quot;family&quot;:&quot;Zhu&quot;,&quot;given&quot;:&quot;Yajie&quot;,&quot;parse-names&quot;:false,&quot;dropping-particle&quot;:&quot;&quot;,&quot;non-dropping-particle&quot;:&quot;&quot;},{&quot;family&quot;:&quot;Campbell&quot;,&quot;given&quot;:&quot;Harry&quot;,&quot;parse-names&quot;:false,&quot;dropping-particle&quot;:&quot;&quot;,&quot;non-dropping-particle&quot;:&quot;&quot;},{&quot;family&quot;:&quot;Sheikh&quot;,&quot;given&quot;:&quot;Aziz&quot;,&quot;parse-names&quot;:false,&quot;dropping-particle&quot;:&quot;&quot;,&quot;non-dropping-particle&quot;:&quot;&quot;},{&quot;family&quot;:&quot;Rudan&quot;,&quot;given&quot;:&quot;Igor&quot;,&quot;parse-names&quot;:false,&quot;dropping-particle&quot;:&quot;&quot;,&quot;non-dropping-particle&quot;:&quot;&quot;}],&quot;container-title&quot;:&quot;The Lancet. Respiratory Medicine&quot;,&quot;container-title-short&quot;:&quot;Lancet Respir Med&quot;,&quot;accessed&quot;:{&quot;date-parts&quot;:[[2024,3,17]]},&quot;DOI&quot;:&quot;10.1016/S2213-2600(21)00511-7&quot;,&quot;ISSN&quot;:&quot;22132619&quot;,&quot;PMID&quot;:&quot;35279265&quot;,&quot;URL&quot;:&quot;/pmc/articles/PMC9050565/&quot;,&quot;issued&quot;:{&quot;date-parts&quot;:[[2022,5,1]]},&quot;page&quot;:&quot;447&quot;,&quot;abstract&quot;:&quot;Background: Chronic obstructive pulmonary disease (COPD) is an increasingly important cause of morbidity, disability, and mortality worldwide. We aimed to estimate global, regional, and national COPD prevalence and risk factors to guide policy and population interventions. Methods: For this systematic review and modelling study, we searched MEDLINE, Embase, Global Health, and CINAHL, for population-based studies on COPD prevalence published between Jan 1, 1990, and Dec 31, 2019. We included data reported using the two main case definitions: the Global Initiative for Chronic Obstructive Lung Disease fixed ratio (GOLD; FEV1/FVC&lt;0·7) and the lower limit of normal (LLN; FEV1/FVC&lt;LLN). We employed a multilevel multivariable mixed-effects meta-regression approach to generate the age-specific and sex-specific prevalence of COPD in 2019 for high-income countries (HICs) and low-income and middle-income countries (LMICs) according to the World Bank definition. Common risk factors for GOLD-COPD were evaluated using a random-effects meta-analysis. Findings: We identified 162 articles reporting population-based studies conducted across 260 sites in 65 countries. In 2019, the global prevalence of COPD among people aged 30–79 years was 10·3% (95% CI 8·2–12·8) using the GOLD case definition, which translates to 391·9 million people (95% CI 312·6–487·9), and 7·6% (5·8–10·1) using the LLN definition, which translates to 292·0 million people (219·8–385·6). Using the GOLD definition, we estimated that 391·9 million (95% CI 312·6–487·9) people aged 30–79 years had COPD worldwide in 2019, with most (315·5 million [246·7–399·6]; 80·5%) living in LMICs. The overall prevalence of GOLD-COPD among people aged 30–79 years was the highest in the Western Pacific region (11·7% [95% CI 9·3–14·6]) and lowest in the region of the Americas (6·8% [95% CI 5·6–8·2]). Globally, male sex (OR 2·1 [95% CI 1·8–2·3]), smoking (current smoker 3·2 [2·5–4·0]; ever smoker 2·3 [2·0–2·5]), body-mass index of less than 18·5 kg/m2 (2·2 [1·7–2·7]), biomass exposure (1·4 [1·2–1·7]), and occupational exposure to dust or smoke (1·4 [1·3–1·6]) were all substantial risk factors for COPD. Interpretation: With more than three-quarters of global COPD cases in LMICs, tackling this chronic condition is a major and increasing challenge for health systems in these settings. In the absence of targeted population-wide efforts and health system reforms in these settings, many of which are under-resourced, achieving a substantial reduction in the burden of COPD globally might remain a difficult task. Funding: National Institute for Health Research and Health Data Research UK.&quot;,&quot;publisher&quot;:&quot;Elsevier&quot;,&quot;issue&quot;:&quot;5&quot;,&quot;volume&quot;:&quot;10&quot;},&quot;isTemporary&quot;:false}]},{&quot;citationID&quot;:&quot;MENDELEY_CITATION_b8f6f408-3249-4ba6-9b1e-281361419250&quot;,&quot;properties&quot;:{&quot;noteIndex&quot;:0},&quot;isEdited&quot;:false,&quot;manualOverride&quot;:{&quot;isManuallyOverridden&quot;:false,&quot;citeprocText&quot;:&quot;[38]&quot;,&quot;manualOverrideText&quot;:&quot;&quot;},&quot;citationTag&quot;:&quot;MENDELEY_CITATION_v3_eyJjaXRhdGlvbklEIjoiTUVOREVMRVlfQ0lUQVRJT05fYjhmNmY0MDgtMzI0OS00YmE2LTliMWUtMjgxMzYxNDE5MjUw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quot;,&quot;citationItems&quot;:[{&quot;id&quot;:&quot;348032de-3fdb-3bdf-8e98-69592486d898&quot;,&quot;itemData&quot;:{&quot;type&quot;:&quot;article-journal&quot;,&quot;id&quot;:&quot;348032de-3fdb-3bdf-8e98-69592486d898&quot;,&quot;title&quot;:&quot;Global, regional, and national prevalence of, and risk factors for, chronic obstructive pulmonary disease (COPD) in 2019: a systematic review and modelling analysis&quot;,&quot;author&quot;:[{&quot;family&quot;:&quot;Adeloye&quot;,&quot;given&quot;:&quot;Davies&quot;,&quot;parse-names&quot;:false,&quot;dropping-particle&quot;:&quot;&quot;,&quot;non-dropping-particle&quot;:&quot;&quot;},{&quot;family&quot;:&quot;Song&quot;,&quot;given&quot;:&quot;Peige&quot;,&quot;parse-names&quot;:false,&quot;dropping-particle&quot;:&quot;&quot;,&quot;non-dropping-particle&quot;:&quot;&quot;},{&quot;family&quot;:&quot;Zhu&quot;,&quot;given&quot;:&quot;Yajie&quot;,&quot;parse-names&quot;:false,&quot;dropping-particle&quot;:&quot;&quot;,&quot;non-dropping-particle&quot;:&quot;&quot;},{&quot;family&quot;:&quot;Campbell&quot;,&quot;given&quot;:&quot;Harry&quot;,&quot;parse-names&quot;:false,&quot;dropping-particle&quot;:&quot;&quot;,&quot;non-dropping-particle&quot;:&quot;&quot;},{&quot;family&quot;:&quot;Sheikh&quot;,&quot;given&quot;:&quot;Aziz&quot;,&quot;parse-names&quot;:false,&quot;dropping-particle&quot;:&quot;&quot;,&quot;non-dropping-particle&quot;:&quot;&quot;},{&quot;family&quot;:&quot;Rudan&quot;,&quot;given&quot;:&quot;Igor&quot;,&quot;parse-names&quot;:false,&quot;dropping-particle&quot;:&quot;&quot;,&quot;non-dropping-particle&quot;:&quot;&quot;}],&quot;container-title&quot;:&quot;The Lancet. Respiratory Medicine&quot;,&quot;container-title-short&quot;:&quot;Lancet Respir Med&quot;,&quot;accessed&quot;:{&quot;date-parts&quot;:[[2024,3,17]]},&quot;DOI&quot;:&quot;10.1016/S2213-2600(21)00511-7&quot;,&quot;ISSN&quot;:&quot;22132619&quot;,&quot;PMID&quot;:&quot;35279265&quot;,&quot;URL&quot;:&quot;/pmc/articles/PMC9050565/&quot;,&quot;issued&quot;:{&quot;date-parts&quot;:[[2022,5,1]]},&quot;page&quot;:&quot;447&quot;,&quot;abstract&quot;:&quot;Background: Chronic obstructive pulmonary disease (COPD) is an increasingly important cause of morbidity, disability, and mortality worldwide. We aimed to estimate global, regional, and national COPD prevalence and risk factors to guide policy and population interventions. Methods: For this systematic review and modelling study, we searched MEDLINE, Embase, Global Health, and CINAHL, for population-based studies on COPD prevalence published between Jan 1, 1990, and Dec 31, 2019. We included data reported using the two main case definitions: the Global Initiative for Chronic Obstructive Lung Disease fixed ratio (GOLD; FEV1/FVC&lt;0·7) and the lower limit of normal (LLN; FEV1/FVC&lt;LLN). We employed a multilevel multivariable mixed-effects meta-regression approach to generate the age-specific and sex-specific prevalence of COPD in 2019 for high-income countries (HICs) and low-income and middle-income countries (LMICs) according to the World Bank definition. Common risk factors for GOLD-COPD were evaluated using a random-effects meta-analysis. Findings: We identified 162 articles reporting population-based studies conducted across 260 sites in 65 countries. In 2019, the global prevalence of COPD among people aged 30–79 years was 10·3% (95% CI 8·2–12·8) using the GOLD case definition, which translates to 391·9 million people (95% CI 312·6–487·9), and 7·6% (5·8–10·1) using the LLN definition, which translates to 292·0 million people (219·8–385·6). Using the GOLD definition, we estimated that 391·9 million (95% CI 312·6–487·9) people aged 30–79 years had COPD worldwide in 2019, with most (315·5 million [246·7–399·6]; 80·5%) living in LMICs. The overall prevalence of GOLD-COPD among people aged 30–79 years was the highest in the Western Pacific region (11·7% [95% CI 9·3–14·6]) and lowest in the region of the Americas (6·8% [95% CI 5·6–8·2]). Globally, male sex (OR 2·1 [95% CI 1·8–2·3]), smoking (current smoker 3·2 [2·5–4·0]; ever smoker 2·3 [2·0–2·5]), body-mass index of less than 18·5 kg/m2 (2·2 [1·7–2·7]), biomass exposure (1·4 [1·2–1·7]), and occupational exposure to dust or smoke (1·4 [1·3–1·6]) were all substantial risk factors for COPD. Interpretation: With more than three-quarters of global COPD cases in LMICs, tackling this chronic condition is a major and increasing challenge for health systems in these settings. In the absence of targeted population-wide efforts and health system reforms in these settings, many of which are under-resourced, achieving a substantial reduction in the burden of COPD globally might remain a difficult task. Funding: National Institute for Health Research and Health Data Research UK.&quot;,&quot;publisher&quot;:&quot;Elsevier&quot;,&quot;issue&quot;:&quot;5&quot;,&quot;volume&quot;:&quot;10&quot;},&quot;isTemporary&quot;:false}]},{&quot;citationID&quot;:&quot;MENDELEY_CITATION_240adaf6-6480-43ed-9ec0-6481b8488029&quot;,&quot;properties&quot;:{&quot;noteIndex&quot;:0},&quot;isEdited&quot;:false,&quot;manualOverride&quot;:{&quot;isManuallyOverridden&quot;:false,&quot;citeprocText&quot;:&quot;[38]&quot;,&quot;manualOverrideText&quot;:&quot;&quot;},&quot;citationTag&quot;:&quot;MENDELEY_CITATION_v3_eyJjaXRhdGlvbklEIjoiTUVOREVMRVlfQ0lUQVRJT05fMjQwYWRhZjYtNjQ4MC00M2VkLTllYzAtNjQ4MWI4NDg4MDI5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quot;,&quot;citationItems&quot;:[{&quot;id&quot;:&quot;348032de-3fdb-3bdf-8e98-69592486d898&quot;,&quot;itemData&quot;:{&quot;type&quot;:&quot;article-journal&quot;,&quot;id&quot;:&quot;348032de-3fdb-3bdf-8e98-69592486d898&quot;,&quot;title&quot;:&quot;Global, regional, and national prevalence of, and risk factors for, chronic obstructive pulmonary disease (COPD) in 2019: a systematic review and modelling analysis&quot;,&quot;author&quot;:[{&quot;family&quot;:&quot;Adeloye&quot;,&quot;given&quot;:&quot;Davies&quot;,&quot;parse-names&quot;:false,&quot;dropping-particle&quot;:&quot;&quot;,&quot;non-dropping-particle&quot;:&quot;&quot;},{&quot;family&quot;:&quot;Song&quot;,&quot;given&quot;:&quot;Peige&quot;,&quot;parse-names&quot;:false,&quot;dropping-particle&quot;:&quot;&quot;,&quot;non-dropping-particle&quot;:&quot;&quot;},{&quot;family&quot;:&quot;Zhu&quot;,&quot;given&quot;:&quot;Yajie&quot;,&quot;parse-names&quot;:false,&quot;dropping-particle&quot;:&quot;&quot;,&quot;non-dropping-particle&quot;:&quot;&quot;},{&quot;family&quot;:&quot;Campbell&quot;,&quot;given&quot;:&quot;Harry&quot;,&quot;parse-names&quot;:false,&quot;dropping-particle&quot;:&quot;&quot;,&quot;non-dropping-particle&quot;:&quot;&quot;},{&quot;family&quot;:&quot;Sheikh&quot;,&quot;given&quot;:&quot;Aziz&quot;,&quot;parse-names&quot;:false,&quot;dropping-particle&quot;:&quot;&quot;,&quot;non-dropping-particle&quot;:&quot;&quot;},{&quot;family&quot;:&quot;Rudan&quot;,&quot;given&quot;:&quot;Igor&quot;,&quot;parse-names&quot;:false,&quot;dropping-particle&quot;:&quot;&quot;,&quot;non-dropping-particle&quot;:&quot;&quot;}],&quot;container-title&quot;:&quot;The Lancet. Respiratory Medicine&quot;,&quot;container-title-short&quot;:&quot;Lancet Respir Med&quot;,&quot;accessed&quot;:{&quot;date-parts&quot;:[[2024,3,17]]},&quot;DOI&quot;:&quot;10.1016/S2213-2600(21)00511-7&quot;,&quot;ISSN&quot;:&quot;22132619&quot;,&quot;PMID&quot;:&quot;35279265&quot;,&quot;URL&quot;:&quot;/pmc/articles/PMC9050565/&quot;,&quot;issued&quot;:{&quot;date-parts&quot;:[[2022,5,1]]},&quot;page&quot;:&quot;447&quot;,&quot;abstract&quot;:&quot;Background: Chronic obstructive pulmonary disease (COPD) is an increasingly important cause of morbidity, disability, and mortality worldwide. We aimed to estimate global, regional, and national COPD prevalence and risk factors to guide policy and population interventions. Methods: For this systematic review and modelling study, we searched MEDLINE, Embase, Global Health, and CINAHL, for population-based studies on COPD prevalence published between Jan 1, 1990, and Dec 31, 2019. We included data reported using the two main case definitions: the Global Initiative for Chronic Obstructive Lung Disease fixed ratio (GOLD; FEV1/FVC&lt;0·7) and the lower limit of normal (LLN; FEV1/FVC&lt;LLN). We employed a multilevel multivariable mixed-effects meta-regression approach to generate the age-specific and sex-specific prevalence of COPD in 2019 for high-income countries (HICs) and low-income and middle-income countries (LMICs) according to the World Bank definition. Common risk factors for GOLD-COPD were evaluated using a random-effects meta-analysis. Findings: We identified 162 articles reporting population-based studies conducted across 260 sites in 65 countries. In 2019, the global prevalence of COPD among people aged 30–79 years was 10·3% (95% CI 8·2–12·8) using the GOLD case definition, which translates to 391·9 million people (95% CI 312·6–487·9), and 7·6% (5·8–10·1) using the LLN definition, which translates to 292·0 million people (219·8–385·6). Using the GOLD definition, we estimated that 391·9 million (95% CI 312·6–487·9) people aged 30–79 years had COPD worldwide in 2019, with most (315·5 million [246·7–399·6]; 80·5%) living in LMICs. The overall prevalence of GOLD-COPD among people aged 30–79 years was the highest in the Western Pacific region (11·7% [95% CI 9·3–14·6]) and lowest in the region of the Americas (6·8% [95% CI 5·6–8·2]). Globally, male sex (OR 2·1 [95% CI 1·8–2·3]), smoking (current smoker 3·2 [2·5–4·0]; ever smoker 2·3 [2·0–2·5]), body-mass index of less than 18·5 kg/m2 (2·2 [1·7–2·7]), biomass exposure (1·4 [1·2–1·7]), and occupational exposure to dust or smoke (1·4 [1·3–1·6]) were all substantial risk factors for COPD. Interpretation: With more than three-quarters of global COPD cases in LMICs, tackling this chronic condition is a major and increasing challenge for health systems in these settings. In the absence of targeted population-wide efforts and health system reforms in these settings, many of which are under-resourced, achieving a substantial reduction in the burden of COPD globally might remain a difficult task. Funding: National Institute for Health Research and Health Data Research UK.&quot;,&quot;publisher&quot;:&quot;Elsevier&quot;,&quot;issue&quot;:&quot;5&quot;,&quot;volume&quot;:&quot;10&quot;},&quot;isTemporary&quot;:false}]},{&quot;citationID&quot;:&quot;MENDELEY_CITATION_1a2a20a6-5e1e-47e2-9526-e82eb5a1c7c9&quot;,&quot;properties&quot;:{&quot;noteIndex&quot;:0},&quot;isEdited&quot;:false,&quot;manualOverride&quot;:{&quot;isManuallyOverridden&quot;:false,&quot;citeprocText&quot;:&quot;[38]&quot;,&quot;manualOverrideText&quot;:&quot;&quot;},&quot;citationTag&quot;:&quot;MENDELEY_CITATION_v3_eyJjaXRhdGlvbklEIjoiTUVOREVMRVlfQ0lUQVRJT05fMWEyYTIwYTYtNWUxZS00N2UyLTk1MjYtZTgyZWI1YTFjN2M5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quot;,&quot;citationItems&quot;:[{&quot;id&quot;:&quot;348032de-3fdb-3bdf-8e98-69592486d898&quot;,&quot;itemData&quot;:{&quot;type&quot;:&quot;article-journal&quot;,&quot;id&quot;:&quot;348032de-3fdb-3bdf-8e98-69592486d898&quot;,&quot;title&quot;:&quot;Global, regional, and national prevalence of, and risk factors for, chronic obstructive pulmonary disease (COPD) in 2019: a systematic review and modelling analysis&quot;,&quot;author&quot;:[{&quot;family&quot;:&quot;Adeloye&quot;,&quot;given&quot;:&quot;Davies&quot;,&quot;parse-names&quot;:false,&quot;dropping-particle&quot;:&quot;&quot;,&quot;non-dropping-particle&quot;:&quot;&quot;},{&quot;family&quot;:&quot;Song&quot;,&quot;given&quot;:&quot;Peige&quot;,&quot;parse-names&quot;:false,&quot;dropping-particle&quot;:&quot;&quot;,&quot;non-dropping-particle&quot;:&quot;&quot;},{&quot;family&quot;:&quot;Zhu&quot;,&quot;given&quot;:&quot;Yajie&quot;,&quot;parse-names&quot;:false,&quot;dropping-particle&quot;:&quot;&quot;,&quot;non-dropping-particle&quot;:&quot;&quot;},{&quot;family&quot;:&quot;Campbell&quot;,&quot;given&quot;:&quot;Harry&quot;,&quot;parse-names&quot;:false,&quot;dropping-particle&quot;:&quot;&quot;,&quot;non-dropping-particle&quot;:&quot;&quot;},{&quot;family&quot;:&quot;Sheikh&quot;,&quot;given&quot;:&quot;Aziz&quot;,&quot;parse-names&quot;:false,&quot;dropping-particle&quot;:&quot;&quot;,&quot;non-dropping-particle&quot;:&quot;&quot;},{&quot;family&quot;:&quot;Rudan&quot;,&quot;given&quot;:&quot;Igor&quot;,&quot;parse-names&quot;:false,&quot;dropping-particle&quot;:&quot;&quot;,&quot;non-dropping-particle&quot;:&quot;&quot;}],&quot;container-title&quot;:&quot;The Lancet. Respiratory Medicine&quot;,&quot;container-title-short&quot;:&quot;Lancet Respir Med&quot;,&quot;accessed&quot;:{&quot;date-parts&quot;:[[2024,3,17]]},&quot;DOI&quot;:&quot;10.1016/S2213-2600(21)00511-7&quot;,&quot;ISSN&quot;:&quot;22132619&quot;,&quot;PMID&quot;:&quot;35279265&quot;,&quot;URL&quot;:&quot;/pmc/articles/PMC9050565/&quot;,&quot;issued&quot;:{&quot;date-parts&quot;:[[2022,5,1]]},&quot;page&quot;:&quot;447&quot;,&quot;abstract&quot;:&quot;Background: Chronic obstructive pulmonary disease (COPD) is an increasingly important cause of morbidity, disability, and mortality worldwide. We aimed to estimate global, regional, and national COPD prevalence and risk factors to guide policy and population interventions. Methods: For this systematic review and modelling study, we searched MEDLINE, Embase, Global Health, and CINAHL, for population-based studies on COPD prevalence published between Jan 1, 1990, and Dec 31, 2019. We included data reported using the two main case definitions: the Global Initiative for Chronic Obstructive Lung Disease fixed ratio (GOLD; FEV1/FVC&lt;0·7) and the lower limit of normal (LLN; FEV1/FVC&lt;LLN). We employed a multilevel multivariable mixed-effects meta-regression approach to generate the age-specific and sex-specific prevalence of COPD in 2019 for high-income countries (HICs) and low-income and middle-income countries (LMICs) according to the World Bank definition. Common risk factors for GOLD-COPD were evaluated using a random-effects meta-analysis. Findings: We identified 162 articles reporting population-based studies conducted across 260 sites in 65 countries. In 2019, the global prevalence of COPD among people aged 30–79 years was 10·3% (95% CI 8·2–12·8) using the GOLD case definition, which translates to 391·9 million people (95% CI 312·6–487·9), and 7·6% (5·8–10·1) using the LLN definition, which translates to 292·0 million people (219·8–385·6). Using the GOLD definition, we estimated that 391·9 million (95% CI 312·6–487·9) people aged 30–79 years had COPD worldwide in 2019, with most (315·5 million [246·7–399·6]; 80·5%) living in LMICs. The overall prevalence of GOLD-COPD among people aged 30–79 years was the highest in the Western Pacific region (11·7% [95% CI 9·3–14·6]) and lowest in the region of the Americas (6·8% [95% CI 5·6–8·2]). Globally, male sex (OR 2·1 [95% CI 1·8–2·3]), smoking (current smoker 3·2 [2·5–4·0]; ever smoker 2·3 [2·0–2·5]), body-mass index of less than 18·5 kg/m2 (2·2 [1·7–2·7]), biomass exposure (1·4 [1·2–1·7]), and occupational exposure to dust or smoke (1·4 [1·3–1·6]) were all substantial risk factors for COPD. Interpretation: With more than three-quarters of global COPD cases in LMICs, tackling this chronic condition is a major and increasing challenge for health systems in these settings. In the absence of targeted population-wide efforts and health system reforms in these settings, many of which are under-resourced, achieving a substantial reduction in the burden of COPD globally might remain a difficult task. Funding: National Institute for Health Research and Health Data Research UK.&quot;,&quot;publisher&quot;:&quot;Elsevier&quot;,&quot;issue&quot;:&quot;5&quot;,&quot;volume&quot;:&quot;10&quot;},&quot;isTemporary&quot;:false}]},{&quot;citationID&quot;:&quot;MENDELEY_CITATION_6e168cea-a02d-423d-a527-15ebdf904ce4&quot;,&quot;properties&quot;:{&quot;noteIndex&quot;:0},&quot;isEdited&quot;:false,&quot;manualOverride&quot;:{&quot;isManuallyOverridden&quot;:false,&quot;citeprocText&quot;:&quot;[38]&quot;,&quot;manualOverrideText&quot;:&quot;&quot;},&quot;citationTag&quot;:&quot;MENDELEY_CITATION_v3_eyJjaXRhdGlvbklEIjoiTUVOREVMRVlfQ0lUQVRJT05fNmUxNjhjZWEtYTAyZC00MjNkLWE1MjctMTVlYmRmOTA0Y2U0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quot;,&quot;citationItems&quot;:[{&quot;id&quot;:&quot;348032de-3fdb-3bdf-8e98-69592486d898&quot;,&quot;itemData&quot;:{&quot;type&quot;:&quot;article-journal&quot;,&quot;id&quot;:&quot;348032de-3fdb-3bdf-8e98-69592486d898&quot;,&quot;title&quot;:&quot;Global, regional, and national prevalence of, and risk factors for, chronic obstructive pulmonary disease (COPD) in 2019: a systematic review and modelling analysis&quot;,&quot;author&quot;:[{&quot;family&quot;:&quot;Adeloye&quot;,&quot;given&quot;:&quot;Davies&quot;,&quot;parse-names&quot;:false,&quot;dropping-particle&quot;:&quot;&quot;,&quot;non-dropping-particle&quot;:&quot;&quot;},{&quot;family&quot;:&quot;Song&quot;,&quot;given&quot;:&quot;Peige&quot;,&quot;parse-names&quot;:false,&quot;dropping-particle&quot;:&quot;&quot;,&quot;non-dropping-particle&quot;:&quot;&quot;},{&quot;family&quot;:&quot;Zhu&quot;,&quot;given&quot;:&quot;Yajie&quot;,&quot;parse-names&quot;:false,&quot;dropping-particle&quot;:&quot;&quot;,&quot;non-dropping-particle&quot;:&quot;&quot;},{&quot;family&quot;:&quot;Campbell&quot;,&quot;given&quot;:&quot;Harry&quot;,&quot;parse-names&quot;:false,&quot;dropping-particle&quot;:&quot;&quot;,&quot;non-dropping-particle&quot;:&quot;&quot;},{&quot;family&quot;:&quot;Sheikh&quot;,&quot;given&quot;:&quot;Aziz&quot;,&quot;parse-names&quot;:false,&quot;dropping-particle&quot;:&quot;&quot;,&quot;non-dropping-particle&quot;:&quot;&quot;},{&quot;family&quot;:&quot;Rudan&quot;,&quot;given&quot;:&quot;Igor&quot;,&quot;parse-names&quot;:false,&quot;dropping-particle&quot;:&quot;&quot;,&quot;non-dropping-particle&quot;:&quot;&quot;}],&quot;container-title&quot;:&quot;The Lancet. Respiratory Medicine&quot;,&quot;container-title-short&quot;:&quot;Lancet Respir Med&quot;,&quot;accessed&quot;:{&quot;date-parts&quot;:[[2024,3,17]]},&quot;DOI&quot;:&quot;10.1016/S2213-2600(21)00511-7&quot;,&quot;ISSN&quot;:&quot;22132619&quot;,&quot;PMID&quot;:&quot;35279265&quot;,&quot;URL&quot;:&quot;/pmc/articles/PMC9050565/&quot;,&quot;issued&quot;:{&quot;date-parts&quot;:[[2022,5,1]]},&quot;page&quot;:&quot;447&quot;,&quot;abstract&quot;:&quot;Background: Chronic obstructive pulmonary disease (COPD) is an increasingly important cause of morbidity, disability, and mortality worldwide. We aimed to estimate global, regional, and national COPD prevalence and risk factors to guide policy and population interventions. Methods: For this systematic review and modelling study, we searched MEDLINE, Embase, Global Health, and CINAHL, for population-based studies on COPD prevalence published between Jan 1, 1990, and Dec 31, 2019. We included data reported using the two main case definitions: the Global Initiative for Chronic Obstructive Lung Disease fixed ratio (GOLD; FEV1/FVC&lt;0·7) and the lower limit of normal (LLN; FEV1/FVC&lt;LLN). We employed a multilevel multivariable mixed-effects meta-regression approach to generate the age-specific and sex-specific prevalence of COPD in 2019 for high-income countries (HICs) and low-income and middle-income countries (LMICs) according to the World Bank definition. Common risk factors for GOLD-COPD were evaluated using a random-effects meta-analysis. Findings: We identified 162 articles reporting population-based studies conducted across 260 sites in 65 countries. In 2019, the global prevalence of COPD among people aged 30–79 years was 10·3% (95% CI 8·2–12·8) using the GOLD case definition, which translates to 391·9 million people (95% CI 312·6–487·9), and 7·6% (5·8–10·1) using the LLN definition, which translates to 292·0 million people (219·8–385·6). Using the GOLD definition, we estimated that 391·9 million (95% CI 312·6–487·9) people aged 30–79 years had COPD worldwide in 2019, with most (315·5 million [246·7–399·6]; 80·5%) living in LMICs. The overall prevalence of GOLD-COPD among people aged 30–79 years was the highest in the Western Pacific region (11·7% [95% CI 9·3–14·6]) and lowest in the region of the Americas (6·8% [95% CI 5·6–8·2]). Globally, male sex (OR 2·1 [95% CI 1·8–2·3]), smoking (current smoker 3·2 [2·5–4·0]; ever smoker 2·3 [2·0–2·5]), body-mass index of less than 18·5 kg/m2 (2·2 [1·7–2·7]), biomass exposure (1·4 [1·2–1·7]), and occupational exposure to dust or smoke (1·4 [1·3–1·6]) were all substantial risk factors for COPD. Interpretation: With more than three-quarters of global COPD cases in LMICs, tackling this chronic condition is a major and increasing challenge for health systems in these settings. In the absence of targeted population-wide efforts and health system reforms in these settings, many of which are under-resourced, achieving a substantial reduction in the burden of COPD globally might remain a difficult task. Funding: National Institute for Health Research and Health Data Research UK.&quot;,&quot;publisher&quot;:&quot;Elsevier&quot;,&quot;issue&quot;:&quot;5&quot;,&quot;volume&quot;:&quot;10&quot;},&quot;isTemporary&quot;:false}]},{&quot;citationID&quot;:&quot;MENDELEY_CITATION_b9515af5-d4d6-4eec-8db1-992dec05be6e&quot;,&quot;properties&quot;:{&quot;noteIndex&quot;:0},&quot;isEdited&quot;:false,&quot;manualOverride&quot;:{&quot;isManuallyOverridden&quot;:false,&quot;citeprocText&quot;:&quot;[39]&quot;,&quot;manualOverrideText&quot;:&quot;&quot;},&quot;citationTag&quot;:&quot;MENDELEY_CITATION_v3_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&quot;,&quot;citationItems&quot;:[{&quot;id&quot;:&quot;2b307aa1-aa8e-3dc1-831c-b4fd7bd518fc&quot;,&quot;itemData&quot;:{&quot;type&quot;:&quot;article-journal&quot;,&quot;id&quot;:&quot;2b307aa1-aa8e-3dc1-831c-b4fd7bd518fc&quot;,&quot;title&quot;:&quot;Global Burden of Chronic Obstructive Pulmonary Disease Through 2050&quot;,&quot;author&quot;:[{&quot;family&quot;:&quot;Boers&quot;,&quot;given&quot;:&quot;Elroy&quot;,&quot;parse-names&quot;:false,&quot;dropping-particle&quot;:&quot;&quot;,&quot;non-dropping-particle&quot;:&quot;&quot;},{&quot;family&quot;:&quot;Barrett&quot;,&quot;given&quot;:&quot;Meredith&quot;,&quot;parse-names&quot;:false,&quot;dropping-particle&quot;:&quot;&quot;,&quot;non-dropping-particle&quot;:&quot;&quot;},{&quot;family&quot;:&quot;Su&quot;,&quot;given&quot;:&quot;Jason G.&quot;,&quot;parse-names&quot;:false,&quot;dropping-particle&quot;:&quot;&quot;,&quot;non-dropping-particle&quot;:&quot;&quot;},{&quot;family&quot;:&quot;Benjafield&quot;,&quot;given&quot;:&quot;Adam&quot;,&quot;parse-names&quot;:false,&quot;dropping-particle&quot;:&quot;V.&quot;,&quot;non-dropping-particle&quot;:&quot;&quot;},{&quot;family&quot;:&quot;Sinha&quot;,&quot;given&quot;:&quot;Sanjeev&quot;,&quot;parse-names&quot;:false,&quot;dropping-particle&quot;:&quot;&quot;,&quot;non-dropping-particle&quot;:&quot;&quot;},{&quot;family&quot;:&quot;Kaye&quot;,&quot;given&quot;:&quot;Leanne&quot;,&quot;parse-names&quot;:false,&quot;dropping-particle&quot;:&quot;&quot;,&quot;non-dropping-particle&quot;:&quot;&quot;},{&quot;family&quot;:&quot;Zar&quot;,&quot;given&quot;:&quot;Heather J.&quot;,&quot;parse-names&quot;:false,&quot;dropping-particle&quot;:&quot;&quot;,&quot;non-dropping-particle&quot;:&quot;&quot;},{&quot;family&quot;:&quot;Vuong&quot;,&quot;given&quot;:&quot;Vy&quot;,&quot;parse-names&quot;:false,&quot;dropping-particle&quot;:&quot;&quot;,&quot;non-dropping-particle&quot;:&quot;&quot;},{&quot;family&quot;:&quot;Tellez&quot;,&quot;given&quot;:&quot;Daniela&quot;,&quot;parse-names&quot;:false,&quot;dropping-particle&quot;:&quot;&quot;,&quot;non-dropping-particle&quot;:&quot;&quot;},{&quot;family&quot;:&quot;Gondalia&quot;,&quot;given&quot;:&quot;Rahul&quot;,&quot;parse-names&quot;:false,&quot;dropping-particle&quot;:&quot;&quot;,&quot;non-dropping-particle&quot;:&quot;&quot;},{&quot;family&quot;:&quot;Rice&quot;,&quot;given&quot;:&quot;Mary B.&quot;,&quot;parse-names&quot;:false,&quot;dropping-particle&quot;:&quot;&quot;,&quot;non-dropping-particle&quot;:&quot;&quot;},{&quot;family&quot;:&quot;Nunez&quot;,&quot;given&quot;:&quot;Carlos M.&quot;,&quot;parse-names&quot;:false,&quot;dropping-particle&quot;:&quot;&quot;,&quot;non-dropping-particle&quot;:&quot;&quot;},{&quot;family&quot;:&quot;Wedzicha&quot;,&quot;given&quot;:&quot;Jadwiga A.&quot;,&quot;parse-names&quot;:false,&quot;dropping-particle&quot;:&quot;&quot;,&quot;non-dropping-particle&quot;:&quot;&quot;},{&quot;family&quot;:&quot;Malhotra&quot;,&quot;given&quot;:&quot;Atul&quot;,&quot;parse-names&quot;:false,&quot;dropping-particle&quot;:&quot;&quot;,&quot;non-dropping-particle&quot;:&quot;&quot;}],&quot;container-title&quot;:&quot;JAMA Network Open&quot;,&quot;container-title-short&quot;:&quot;JAMA Netw Open&quot;,&quot;accessed&quot;:{&quot;date-parts&quot;:[[2024,7,4]]},&quot;DOI&quot;:&quot;10.1001/JAMANETWORKOPEN.2023.46598&quot;,&quot;ISSN&quot;:&quot;25743805&quot;,&quot;PMID&quot;:&quot;38060225&quot;,&quot;URL&quot;:&quot;https://jamanetwork.com/journals/jamanetworkopen/fullarticle/2812622&quot;,&quot;issued&quot;:{&quot;date-parts&quot;:[[2023,12,1]]},&quot;page&quot;:&quot;e2346598-e2346598&quot;,&quot;abstract&quot;:&quot;&lt;h3&gt;Importance&lt;/h3&gt;&lt;p&gt;Chronic obstructive pulmonary disease (COPD) is a respiratory condition that is associated with significant health and economic burden worldwide. Previous studies assessed the global current-day prevalence of COPD, but to better facilitate resource planning and intervention development, long-term projections are needed.&lt;/p&gt;&lt;h3&gt;Objective&lt;/h3&gt;&lt;p&gt;To assess the global burden of COPD through 2050, considering COPD risk factors.&lt;/p&gt;&lt;h3&gt;Design, Setting, and Participants&lt;/h3&gt;&lt;p&gt;In this modeling study, historical data on COPD prevalence was extracted from a recent meta-analysis on 2019 global COPD prevalence, and 2010 to 2018 historical prevalence was estimated using random-effects meta-analytical models. COPD risk factor data were obtained from the Global Burden of Disease database.&lt;/p&gt;&lt;h3&gt;Main Outcomes and Measures&lt;/h3&gt;&lt;p&gt;To project global COPD prevalence to 2050, generalized additive models were developed, including smoking prevalence, indoor and outdoor air pollution, and development indices as predictors, and stratified by age, sex, and World Bank region.&lt;/p&gt;&lt;h3&gt;Results&lt;/h3&gt;&lt;p&gt;The models estimated that the number of COPD cases globally among those aged 25 years and older will increase by 23% from 2020 to 2050, approaching 600 million patients with COPD globally by 2050. Growth in the burden of COPD was projected to be the largest among women and in low- and middle-income regions. The number of female cases was projected to increase by 47.1% (vs a 9.4% increase for males), and the number of cases in low- and middle-income regions was expected to be more than double that of high-income regions by 2050.&lt;/p&gt;&lt;h3&gt;Conclusions and Relevance&lt;/h3&gt;&lt;p&gt;In this modeling study of future COPD burden, projections indicated that COPD would continue to affect hundreds of millions of people globally, with disproportionate growth among females and in low-middle income regions through 2050. Further research, prevention, and advocacy are needed to address these issues so that adequate preparation and resource allocation can take place.&lt;/p&gt;&quot;,&quot;publisher&quot;:&quot;American Medical Association&quot;,&quot;issue&quot;:&quot;12&quot;,&quot;volume&quot;:&quot;6&quot;},&quot;isTemporary&quot;:false}]},{&quot;citationID&quot;:&quot;MENDELEY_CITATION_9220442f-43cb-4158-ac85-7221b3a39691&quot;,&quot;properties&quot;:{&quot;noteIndex&quot;:0},&quot;isEdited&quot;:false,&quot;manualOverride&quot;:{&quot;isManuallyOverridden&quot;:false,&quot;citeprocText&quot;:&quot;[39]&quot;,&quot;manualOverrideText&quot;:&quot;&quot;},&quot;citationTag&quot;:&quot;MENDELEY_CITATION_v3_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&quot;,&quot;citationItems&quot;:[{&quot;id&quot;:&quot;2b307aa1-aa8e-3dc1-831c-b4fd7bd518fc&quot;,&quot;itemData&quot;:{&quot;type&quot;:&quot;article-journal&quot;,&quot;id&quot;:&quot;2b307aa1-aa8e-3dc1-831c-b4fd7bd518fc&quot;,&quot;title&quot;:&quot;Global Burden of Chronic Obstructive Pulmonary Disease Through 2050&quot;,&quot;author&quot;:[{&quot;family&quot;:&quot;Boers&quot;,&quot;given&quot;:&quot;Elroy&quot;,&quot;parse-names&quot;:false,&quot;dropping-particle&quot;:&quot;&quot;,&quot;non-dropping-particle&quot;:&quot;&quot;},{&quot;family&quot;:&quot;Barrett&quot;,&quot;given&quot;:&quot;Meredith&quot;,&quot;parse-names&quot;:false,&quot;dropping-particle&quot;:&quot;&quot;,&quot;non-dropping-particle&quot;:&quot;&quot;},{&quot;family&quot;:&quot;Su&quot;,&quot;given&quot;:&quot;Jason G.&quot;,&quot;parse-names&quot;:false,&quot;dropping-particle&quot;:&quot;&quot;,&quot;non-dropping-particle&quot;:&quot;&quot;},{&quot;family&quot;:&quot;Benjafield&quot;,&quot;given&quot;:&quot;Adam&quot;,&quot;parse-names&quot;:false,&quot;dropping-particle&quot;:&quot;V.&quot;,&quot;non-dropping-particle&quot;:&quot;&quot;},{&quot;family&quot;:&quot;Sinha&quot;,&quot;given&quot;:&quot;Sanjeev&quot;,&quot;parse-names&quot;:false,&quot;dropping-particle&quot;:&quot;&quot;,&quot;non-dropping-particle&quot;:&quot;&quot;},{&quot;family&quot;:&quot;Kaye&quot;,&quot;given&quot;:&quot;Leanne&quot;,&quot;parse-names&quot;:false,&quot;dropping-particle&quot;:&quot;&quot;,&quot;non-dropping-particle&quot;:&quot;&quot;},{&quot;family&quot;:&quot;Zar&quot;,&quot;given&quot;:&quot;Heather J.&quot;,&quot;parse-names&quot;:false,&quot;dropping-particle&quot;:&quot;&quot;,&quot;non-dropping-particle&quot;:&quot;&quot;},{&quot;family&quot;:&quot;Vuong&quot;,&quot;given&quot;:&quot;Vy&quot;,&quot;parse-names&quot;:false,&quot;dropping-particle&quot;:&quot;&quot;,&quot;non-dropping-particle&quot;:&quot;&quot;},{&quot;family&quot;:&quot;Tellez&quot;,&quot;given&quot;:&quot;Daniela&quot;,&quot;parse-names&quot;:false,&quot;dropping-particle&quot;:&quot;&quot;,&quot;non-dropping-particle&quot;:&quot;&quot;},{&quot;family&quot;:&quot;Gondalia&quot;,&quot;given&quot;:&quot;Rahul&quot;,&quot;parse-names&quot;:false,&quot;dropping-particle&quot;:&quot;&quot;,&quot;non-dropping-particle&quot;:&quot;&quot;},{&quot;family&quot;:&quot;Rice&quot;,&quot;given&quot;:&quot;Mary B.&quot;,&quot;parse-names&quot;:false,&quot;dropping-particle&quot;:&quot;&quot;,&quot;non-dropping-particle&quot;:&quot;&quot;},{&quot;family&quot;:&quot;Nunez&quot;,&quot;given&quot;:&quot;Carlos M.&quot;,&quot;parse-names&quot;:false,&quot;dropping-particle&quot;:&quot;&quot;,&quot;non-dropping-particle&quot;:&quot;&quot;},{&quot;family&quot;:&quot;Wedzicha&quot;,&quot;given&quot;:&quot;Jadwiga A.&quot;,&quot;parse-names&quot;:false,&quot;dropping-particle&quot;:&quot;&quot;,&quot;non-dropping-particle&quot;:&quot;&quot;},{&quot;family&quot;:&quot;Malhotra&quot;,&quot;given&quot;:&quot;Atul&quot;,&quot;parse-names&quot;:false,&quot;dropping-particle&quot;:&quot;&quot;,&quot;non-dropping-particle&quot;:&quot;&quot;}],&quot;container-title&quot;:&quot;JAMA Network Open&quot;,&quot;container-title-short&quot;:&quot;JAMA Netw Open&quot;,&quot;accessed&quot;:{&quot;date-parts&quot;:[[2024,7,4]]},&quot;DOI&quot;:&quot;10.1001/JAMANETWORKOPEN.2023.46598&quot;,&quot;ISSN&quot;:&quot;25743805&quot;,&quot;PMID&quot;:&quot;38060225&quot;,&quot;URL&quot;:&quot;https://jamanetwork.com/journals/jamanetworkopen/fullarticle/2812622&quot;,&quot;issued&quot;:{&quot;date-parts&quot;:[[2023,12,1]]},&quot;page&quot;:&quot;e2346598-e2346598&quot;,&quot;abstract&quot;:&quot;&lt;h3&gt;Importance&lt;/h3&gt;&lt;p&gt;Chronic obstructive pulmonary disease (COPD) is a respiratory condition that is associated with significant health and economic burden worldwide. Previous studies assessed the global current-day prevalence of COPD, but to better facilitate resource planning and intervention development, long-term projections are needed.&lt;/p&gt;&lt;h3&gt;Objective&lt;/h3&gt;&lt;p&gt;To assess the global burden of COPD through 2050, considering COPD risk factors.&lt;/p&gt;&lt;h3&gt;Design, Setting, and Participants&lt;/h3&gt;&lt;p&gt;In this modeling study, historical data on COPD prevalence was extracted from a recent meta-analysis on 2019 global COPD prevalence, and 2010 to 2018 historical prevalence was estimated using random-effects meta-analytical models. COPD risk factor data were obtained from the Global Burden of Disease database.&lt;/p&gt;&lt;h3&gt;Main Outcomes and Measures&lt;/h3&gt;&lt;p&gt;To project global COPD prevalence to 2050, generalized additive models were developed, including smoking prevalence, indoor and outdoor air pollution, and development indices as predictors, and stratified by age, sex, and World Bank region.&lt;/p&gt;&lt;h3&gt;Results&lt;/h3&gt;&lt;p&gt;The models estimated that the number of COPD cases globally among those aged 25 years and older will increase by 23% from 2020 to 2050, approaching 600 million patients with COPD globally by 2050. Growth in the burden of COPD was projected to be the largest among women and in low- and middle-income regions. The number of female cases was projected to increase by 47.1% (vs a 9.4% increase for males), and the number of cases in low- and middle-income regions was expected to be more than double that of high-income regions by 2050.&lt;/p&gt;&lt;h3&gt;Conclusions and Relevance&lt;/h3&gt;&lt;p&gt;In this modeling study of future COPD burden, projections indicated that COPD would continue to affect hundreds of millions of people globally, with disproportionate growth among females and in low-middle income regions through 2050. Further research, prevention, and advocacy are needed to address these issues so that adequate preparation and resource allocation can take place.&lt;/p&gt;&quot;,&quot;publisher&quot;:&quot;American Medical Association&quot;,&quot;issue&quot;:&quot;12&quot;,&quot;volume&quot;:&quot;6&quot;},&quot;isTemporary&quot;:false}]},{&quot;citationID&quot;:&quot;MENDELEY_CITATION_32313378-aa4c-4bb4-ba03-5b173cfa07ed&quot;,&quot;properties&quot;:{&quot;noteIndex&quot;:0},&quot;isEdited&quot;:false,&quot;manualOverride&quot;:{&quot;isManuallyOverridden&quot;:false,&quot;citeprocText&quot;:&quot;[39]&quot;,&quot;manualOverrideText&quot;:&quot;&quot;},&quot;citationTag&quot;:&quot;MENDELEY_CITATION_v3_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&quot;,&quot;citationItems&quot;:[{&quot;id&quot;:&quot;2b307aa1-aa8e-3dc1-831c-b4fd7bd518fc&quot;,&quot;itemData&quot;:{&quot;type&quot;:&quot;article-journal&quot;,&quot;id&quot;:&quot;2b307aa1-aa8e-3dc1-831c-b4fd7bd518fc&quot;,&quot;title&quot;:&quot;Global Burden of Chronic Obstructive Pulmonary Disease Through 2050&quot;,&quot;author&quot;:[{&quot;family&quot;:&quot;Boers&quot;,&quot;given&quot;:&quot;Elroy&quot;,&quot;parse-names&quot;:false,&quot;dropping-particle&quot;:&quot;&quot;,&quot;non-dropping-particle&quot;:&quot;&quot;},{&quot;family&quot;:&quot;Barrett&quot;,&quot;given&quot;:&quot;Meredith&quot;,&quot;parse-names&quot;:false,&quot;dropping-particle&quot;:&quot;&quot;,&quot;non-dropping-particle&quot;:&quot;&quot;},{&quot;family&quot;:&quot;Su&quot;,&quot;given&quot;:&quot;Jason G.&quot;,&quot;parse-names&quot;:false,&quot;dropping-particle&quot;:&quot;&quot;,&quot;non-dropping-particle&quot;:&quot;&quot;},{&quot;family&quot;:&quot;Benjafield&quot;,&quot;given&quot;:&quot;Adam&quot;,&quot;parse-names&quot;:false,&quot;dropping-particle&quot;:&quot;V.&quot;,&quot;non-dropping-particle&quot;:&quot;&quot;},{&quot;family&quot;:&quot;Sinha&quot;,&quot;given&quot;:&quot;Sanjeev&quot;,&quot;parse-names&quot;:false,&quot;dropping-particle&quot;:&quot;&quot;,&quot;non-dropping-particle&quot;:&quot;&quot;},{&quot;family&quot;:&quot;Kaye&quot;,&quot;given&quot;:&quot;Leanne&quot;,&quot;parse-names&quot;:false,&quot;dropping-particle&quot;:&quot;&quot;,&quot;non-dropping-particle&quot;:&quot;&quot;},{&quot;family&quot;:&quot;Zar&quot;,&quot;given&quot;:&quot;Heather J.&quot;,&quot;parse-names&quot;:false,&quot;dropping-particle&quot;:&quot;&quot;,&quot;non-dropping-particle&quot;:&quot;&quot;},{&quot;family&quot;:&quot;Vuong&quot;,&quot;given&quot;:&quot;Vy&quot;,&quot;parse-names&quot;:false,&quot;dropping-particle&quot;:&quot;&quot;,&quot;non-dropping-particle&quot;:&quot;&quot;},{&quot;family&quot;:&quot;Tellez&quot;,&quot;given&quot;:&quot;Daniela&quot;,&quot;parse-names&quot;:false,&quot;dropping-particle&quot;:&quot;&quot;,&quot;non-dropping-particle&quot;:&quot;&quot;},{&quot;family&quot;:&quot;Gondalia&quot;,&quot;given&quot;:&quot;Rahul&quot;,&quot;parse-names&quot;:false,&quot;dropping-particle&quot;:&quot;&quot;,&quot;non-dropping-particle&quot;:&quot;&quot;},{&quot;family&quot;:&quot;Rice&quot;,&quot;given&quot;:&quot;Mary B.&quot;,&quot;parse-names&quot;:false,&quot;dropping-particle&quot;:&quot;&quot;,&quot;non-dropping-particle&quot;:&quot;&quot;},{&quot;family&quot;:&quot;Nunez&quot;,&quot;given&quot;:&quot;Carlos M.&quot;,&quot;parse-names&quot;:false,&quot;dropping-particle&quot;:&quot;&quot;,&quot;non-dropping-particle&quot;:&quot;&quot;},{&quot;family&quot;:&quot;Wedzicha&quot;,&quot;given&quot;:&quot;Jadwiga A.&quot;,&quot;parse-names&quot;:false,&quot;dropping-particle&quot;:&quot;&quot;,&quot;non-dropping-particle&quot;:&quot;&quot;},{&quot;family&quot;:&quot;Malhotra&quot;,&quot;given&quot;:&quot;Atul&quot;,&quot;parse-names&quot;:false,&quot;dropping-particle&quot;:&quot;&quot;,&quot;non-dropping-particle&quot;:&quot;&quot;}],&quot;container-title&quot;:&quot;JAMA Network Open&quot;,&quot;container-title-short&quot;:&quot;JAMA Netw Open&quot;,&quot;accessed&quot;:{&quot;date-parts&quot;:[[2024,7,4]]},&quot;DOI&quot;:&quot;10.1001/JAMANETWORKOPEN.2023.46598&quot;,&quot;ISSN&quot;:&quot;25743805&quot;,&quot;PMID&quot;:&quot;38060225&quot;,&quot;URL&quot;:&quot;https://jamanetwork.com/journals/jamanetworkopen/fullarticle/2812622&quot;,&quot;issued&quot;:{&quot;date-parts&quot;:[[2023,12,1]]},&quot;page&quot;:&quot;e2346598-e2346598&quot;,&quot;abstract&quot;:&quot;&lt;h3&gt;Importance&lt;/h3&gt;&lt;p&gt;Chronic obstructive pulmonary disease (COPD) is a respiratory condition that is associated with significant health and economic burden worldwide. Previous studies assessed the global current-day prevalence of COPD, but to better facilitate resource planning and intervention development, long-term projections are needed.&lt;/p&gt;&lt;h3&gt;Objective&lt;/h3&gt;&lt;p&gt;To assess the global burden of COPD through 2050, considering COPD risk factors.&lt;/p&gt;&lt;h3&gt;Design, Setting, and Participants&lt;/h3&gt;&lt;p&gt;In this modeling study, historical data on COPD prevalence was extracted from a recent meta-analysis on 2019 global COPD prevalence, and 2010 to 2018 historical prevalence was estimated using random-effects meta-analytical models. COPD risk factor data were obtained from the Global Burden of Disease database.&lt;/p&gt;&lt;h3&gt;Main Outcomes and Measures&lt;/h3&gt;&lt;p&gt;To project global COPD prevalence to 2050, generalized additive models were developed, including smoking prevalence, indoor and outdoor air pollution, and development indices as predictors, and stratified by age, sex, and World Bank region.&lt;/p&gt;&lt;h3&gt;Results&lt;/h3&gt;&lt;p&gt;The models estimated that the number of COPD cases globally among those aged 25 years and older will increase by 23% from 2020 to 2050, approaching 600 million patients with COPD globally by 2050. Growth in the burden of COPD was projected to be the largest among women and in low- and middle-income regions. The number of female cases was projected to increase by 47.1% (vs a 9.4% increase for males), and the number of cases in low- and middle-income regions was expected to be more than double that of high-income regions by 2050.&lt;/p&gt;&lt;h3&gt;Conclusions and Relevance&lt;/h3&gt;&lt;p&gt;In this modeling study of future COPD burden, projections indicated that COPD would continue to affect hundreds of millions of people globally, with disproportionate growth among females and in low-middle income regions through 2050. Further research, prevention, and advocacy are needed to address these issues so that adequate preparation and resource allocation can take place.&lt;/p&gt;&quot;,&quot;publisher&quot;:&quot;American Medical Association&quot;,&quot;issue&quot;:&quot;12&quot;,&quot;volume&quot;:&quot;6&quot;},&quot;isTemporary&quot;:false}]},{&quot;citationID&quot;:&quot;MENDELEY_CITATION_07aedb56-08b3-409e-a652-7a619c64c1eb&quot;,&quot;properties&quot;:{&quot;noteIndex&quot;:0},&quot;isEdited&quot;:false,&quot;manualOverride&quot;:{&quot;isManuallyOverridden&quot;:false,&quot;citeprocText&quot;:&quot;[39]&quot;,&quot;manualOverrideText&quot;:&quot;&quot;},&quot;citationTag&quot;:&quot;MENDELEY_CITATION_v3_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&quot;,&quot;citationItems&quot;:[{&quot;id&quot;:&quot;2b307aa1-aa8e-3dc1-831c-b4fd7bd518fc&quot;,&quot;itemData&quot;:{&quot;type&quot;:&quot;article-journal&quot;,&quot;id&quot;:&quot;2b307aa1-aa8e-3dc1-831c-b4fd7bd518fc&quot;,&quot;title&quot;:&quot;Global Burden of Chronic Obstructive Pulmonary Disease Through 2050&quot;,&quot;author&quot;:[{&quot;family&quot;:&quot;Boers&quot;,&quot;given&quot;:&quot;Elroy&quot;,&quot;parse-names&quot;:false,&quot;dropping-particle&quot;:&quot;&quot;,&quot;non-dropping-particle&quot;:&quot;&quot;},{&quot;family&quot;:&quot;Barrett&quot;,&quot;given&quot;:&quot;Meredith&quot;,&quot;parse-names&quot;:false,&quot;dropping-particle&quot;:&quot;&quot;,&quot;non-dropping-particle&quot;:&quot;&quot;},{&quot;family&quot;:&quot;Su&quot;,&quot;given&quot;:&quot;Jason G.&quot;,&quot;parse-names&quot;:false,&quot;dropping-particle&quot;:&quot;&quot;,&quot;non-dropping-particle&quot;:&quot;&quot;},{&quot;family&quot;:&quot;Benjafield&quot;,&quot;given&quot;:&quot;Adam&quot;,&quot;parse-names&quot;:false,&quot;dropping-particle&quot;:&quot;V.&quot;,&quot;non-dropping-particle&quot;:&quot;&quot;},{&quot;family&quot;:&quot;Sinha&quot;,&quot;given&quot;:&quot;Sanjeev&quot;,&quot;parse-names&quot;:false,&quot;dropping-particle&quot;:&quot;&quot;,&quot;non-dropping-particle&quot;:&quot;&quot;},{&quot;family&quot;:&quot;Kaye&quot;,&quot;given&quot;:&quot;Leanne&quot;,&quot;parse-names&quot;:false,&quot;dropping-particle&quot;:&quot;&quot;,&quot;non-dropping-particle&quot;:&quot;&quot;},{&quot;family&quot;:&quot;Zar&quot;,&quot;given&quot;:&quot;Heather J.&quot;,&quot;parse-names&quot;:false,&quot;dropping-particle&quot;:&quot;&quot;,&quot;non-dropping-particle&quot;:&quot;&quot;},{&quot;family&quot;:&quot;Vuong&quot;,&quot;given&quot;:&quot;Vy&quot;,&quot;parse-names&quot;:false,&quot;dropping-particle&quot;:&quot;&quot;,&quot;non-dropping-particle&quot;:&quot;&quot;},{&quot;family&quot;:&quot;Tellez&quot;,&quot;given&quot;:&quot;Daniela&quot;,&quot;parse-names&quot;:false,&quot;dropping-particle&quot;:&quot;&quot;,&quot;non-dropping-particle&quot;:&quot;&quot;},{&quot;family&quot;:&quot;Gondalia&quot;,&quot;given&quot;:&quot;Rahul&quot;,&quot;parse-names&quot;:false,&quot;dropping-particle&quot;:&quot;&quot;,&quot;non-dropping-particle&quot;:&quot;&quot;},{&quot;family&quot;:&quot;Rice&quot;,&quot;given&quot;:&quot;Mary B.&quot;,&quot;parse-names&quot;:false,&quot;dropping-particle&quot;:&quot;&quot;,&quot;non-dropping-particle&quot;:&quot;&quot;},{&quot;family&quot;:&quot;Nunez&quot;,&quot;given&quot;:&quot;Carlos M.&quot;,&quot;parse-names&quot;:false,&quot;dropping-particle&quot;:&quot;&quot;,&quot;non-dropping-particle&quot;:&quot;&quot;},{&quot;family&quot;:&quot;Wedzicha&quot;,&quot;given&quot;:&quot;Jadwiga A.&quot;,&quot;parse-names&quot;:false,&quot;dropping-particle&quot;:&quot;&quot;,&quot;non-dropping-particle&quot;:&quot;&quot;},{&quot;family&quot;:&quot;Malhotra&quot;,&quot;given&quot;:&quot;Atul&quot;,&quot;parse-names&quot;:false,&quot;dropping-particle&quot;:&quot;&quot;,&quot;non-dropping-particle&quot;:&quot;&quot;}],&quot;container-title&quot;:&quot;JAMA Network Open&quot;,&quot;container-title-short&quot;:&quot;JAMA Netw Open&quot;,&quot;accessed&quot;:{&quot;date-parts&quot;:[[2024,7,4]]},&quot;DOI&quot;:&quot;10.1001/JAMANETWORKOPEN.2023.46598&quot;,&quot;ISSN&quot;:&quot;25743805&quot;,&quot;PMID&quot;:&quot;38060225&quot;,&quot;URL&quot;:&quot;https://jamanetwork.com/journals/jamanetworkopen/fullarticle/2812622&quot;,&quot;issued&quot;:{&quot;date-parts&quot;:[[2023,12,1]]},&quot;page&quot;:&quot;e2346598-e2346598&quot;,&quot;abstract&quot;:&quot;&lt;h3&gt;Importance&lt;/h3&gt;&lt;p&gt;Chronic obstructive pulmonary disease (COPD) is a respiratory condition that is associated with significant health and economic burden worldwide. Previous studies assessed the global current-day prevalence of COPD, but to better facilitate resource planning and intervention development, long-term projections are needed.&lt;/p&gt;&lt;h3&gt;Objective&lt;/h3&gt;&lt;p&gt;To assess the global burden of COPD through 2050, considering COPD risk factors.&lt;/p&gt;&lt;h3&gt;Design, Setting, and Participants&lt;/h3&gt;&lt;p&gt;In this modeling study, historical data on COPD prevalence was extracted from a recent meta-analysis on 2019 global COPD prevalence, and 2010 to 2018 historical prevalence was estimated using random-effects meta-analytical models. COPD risk factor data were obtained from the Global Burden of Disease database.&lt;/p&gt;&lt;h3&gt;Main Outcomes and Measures&lt;/h3&gt;&lt;p&gt;To project global COPD prevalence to 2050, generalized additive models were developed, including smoking prevalence, indoor and outdoor air pollution, and development indices as predictors, and stratified by age, sex, and World Bank region.&lt;/p&gt;&lt;h3&gt;Results&lt;/h3&gt;&lt;p&gt;The models estimated that the number of COPD cases globally among those aged 25 years and older will increase by 23% from 2020 to 2050, approaching 600 million patients with COPD globally by 2050. Growth in the burden of COPD was projected to be the largest among women and in low- and middle-income regions. The number of female cases was projected to increase by 47.1% (vs a 9.4% increase for males), and the number of cases in low- and middle-income regions was expected to be more than double that of high-income regions by 2050.&lt;/p&gt;&lt;h3&gt;Conclusions and Relevance&lt;/h3&gt;&lt;p&gt;In this modeling study of future COPD burden, projections indicated that COPD would continue to affect hundreds of millions of people globally, with disproportionate growth among females and in low-middle income regions through 2050. Further research, prevention, and advocacy are needed to address these issues so that adequate preparation and resource allocation can take place.&lt;/p&gt;&quot;,&quot;publisher&quot;:&quot;American Medical Association&quot;,&quot;issue&quot;:&quot;12&quot;,&quot;volume&quot;:&quot;6&quot;},&quot;isTemporary&quot;:false}]},{&quot;citationID&quot;:&quot;MENDELEY_CITATION_a72a2fa3-1130-444b-9faa-ffadf166afcb&quot;,&quot;properties&quot;:{&quot;noteIndex&quot;:0},&quot;isEdited&quot;:false,&quot;manualOverride&quot;:{&quot;isManuallyOverridden&quot;:false,&quot;citeprocText&quot;:&quot;[40]&quot;,&quot;manualOverrideText&quot;:&quot;&quot;},&quot;citationTag&quot;:&quot;MENDELEY_CITATION_v3_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&quot;,&quot;citationItems&quot;:[{&quot;id&quot;:&quot;74545d43-2810-3f2c-b706-f129f1af340d&quot;,&quot;itemData&quot;:{&quot;type&quot;:&quot;webpage&quot;,&quot;id&quot;:&quot;74545d43-2810-3f2c-b706-f129f1af340d&quot;,&quot;title&quot;:&quot; Percentage of COPD, emphysema, or chronic bronchitis for adults aged 18 and over, United States, 2019—2023&quot;,&quot;author&quot;:[{&quot;family&quot;:&quot;National Center for Health Statistics&quot;,&quot;given&quot;:&quot;&quot;,&quot;parse-names&quot;:false,&quot;dropping-particle&quot;:&quot;&quot;,&quot;non-dropping-particle&quot;:&quot;&quot;}],&quot;container-title&quot;:&quot;National Health Interview Survey&quot;,&quot;URL&quot;:&quot;https://wwwn.cdc.gov/NHISDataQueryTool/SHS_adult/index.html&quot;,&quot;issued&quot;:{&quot;date-parts&quot;:[[2023]]},&quot;container-title-short&quot;:&quot;&quot;},&quot;isTemporary&quot;:false}]},{&quot;citationID&quot;:&quot;MENDELEY_CITATION_08dc64f7-5e6d-4102-9fba-b7e5587f99d6&quot;,&quot;properties&quot;:{&quot;noteIndex&quot;:0},&quot;isEdited&quot;:false,&quot;manualOverride&quot;:{&quot;isManuallyOverridden&quot;:false,&quot;citeprocText&quot;:&quot;[40]&quot;,&quot;manualOverrideText&quot;:&quot;&quot;},&quot;citationTag&quot;:&quot;MENDELEY_CITATION_v3_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&quot;,&quot;citationItems&quot;:[{&quot;id&quot;:&quot;74545d43-2810-3f2c-b706-f129f1af340d&quot;,&quot;itemData&quot;:{&quot;type&quot;:&quot;webpage&quot;,&quot;id&quot;:&quot;74545d43-2810-3f2c-b706-f129f1af340d&quot;,&quot;title&quot;:&quot; Percentage of COPD, emphysema, or chronic bronchitis for adults aged 18 and over, United States, 2019—2023&quot;,&quot;author&quot;:[{&quot;family&quot;:&quot;National Center for Health Statistics&quot;,&quot;given&quot;:&quot;&quot;,&quot;parse-names&quot;:false,&quot;dropping-particle&quot;:&quot;&quot;,&quot;non-dropping-particle&quot;:&quot;&quot;}],&quot;container-title&quot;:&quot;National Health Interview Survey&quot;,&quot;URL&quot;:&quot;https://wwwn.cdc.gov/NHISDataQueryTool/SHS_adult/index.html&quot;,&quot;issued&quot;:{&quot;date-parts&quot;:[[2023]]},&quot;container-title-short&quot;:&quot;&quot;},&quot;isTemporary&quot;:false}]},{&quot;citationID&quot;:&quot;MENDELEY_CITATION_bf54293a-48f8-48d0-9d4b-ad473b2cc8e2&quot;,&quot;properties&quot;:{&quot;noteIndex&quot;:0},&quot;isEdited&quot;:false,&quot;manualOverride&quot;:{&quot;isManuallyOverridden&quot;:false,&quot;citeprocText&quot;:&quot;[40]&quot;,&quot;manualOverrideText&quot;:&quot;&quot;},&quot;citationTag&quot;:&quot;MENDELEY_CITATION_v3_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&quot;,&quot;citationItems&quot;:[{&quot;id&quot;:&quot;74545d43-2810-3f2c-b706-f129f1af340d&quot;,&quot;itemData&quot;:{&quot;type&quot;:&quot;webpage&quot;,&quot;id&quot;:&quot;74545d43-2810-3f2c-b706-f129f1af340d&quot;,&quot;title&quot;:&quot; Percentage of COPD, emphysema, or chronic bronchitis for adults aged 18 and over, United States, 2019—2023&quot;,&quot;author&quot;:[{&quot;family&quot;:&quot;National Center for Health Statistics&quot;,&quot;given&quot;:&quot;&quot;,&quot;parse-names&quot;:false,&quot;dropping-particle&quot;:&quot;&quot;,&quot;non-dropping-particle&quot;:&quot;&quot;}],&quot;container-title&quot;:&quot;National Health Interview Survey&quot;,&quot;URL&quot;:&quot;https://wwwn.cdc.gov/NHISDataQueryTool/SHS_adult/index.html&quot;,&quot;issued&quot;:{&quot;date-parts&quot;:[[2023]]},&quot;container-title-short&quot;:&quot;&quot;},&quot;isTemporary&quot;:false}]},{&quot;citationID&quot;:&quot;MENDELEY_CITATION_31e8223d-0321-4e48-9fef-3516705c79dd&quot;,&quot;properties&quot;:{&quot;noteIndex&quot;:0},&quot;isEdited&quot;:false,&quot;manualOverride&quot;:{&quot;isManuallyOverridden&quot;:false,&quot;citeprocText&quot;:&quot;[40]&quot;,&quot;manualOverrideText&quot;:&quot;&quot;},&quot;citationTag&quot;:&quot;MENDELEY_CITATION_v3_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&quot;,&quot;citationItems&quot;:[{&quot;id&quot;:&quot;74545d43-2810-3f2c-b706-f129f1af340d&quot;,&quot;itemData&quot;:{&quot;type&quot;:&quot;webpage&quot;,&quot;id&quot;:&quot;74545d43-2810-3f2c-b706-f129f1af340d&quot;,&quot;title&quot;:&quot; Percentage of COPD, emphysema, or chronic bronchitis for adults aged 18 and over, United States, 2019—2023&quot;,&quot;author&quot;:[{&quot;family&quot;:&quot;National Center for Health Statistics&quot;,&quot;given&quot;:&quot;&quot;,&quot;parse-names&quot;:false,&quot;dropping-particle&quot;:&quot;&quot;,&quot;non-dropping-particle&quot;:&quot;&quot;}],&quot;container-title&quot;:&quot;National Health Interview Survey&quot;,&quot;URL&quot;:&quot;https://wwwn.cdc.gov/NHISDataQueryTool/SHS_adult/index.html&quot;,&quot;issued&quot;:{&quot;date-parts&quot;:[[2023]]},&quot;container-title-short&quot;:&quot;&quot;},&quot;isTemporary&quot;:false}]},{&quot;citationID&quot;:&quot;MENDELEY_CITATION_c86ea2c8-f621-4f0b-9921-362c98e78c91&quot;,&quot;properties&quot;:{&quot;noteIndex&quot;:0},&quot;isEdited&quot;:false,&quot;manualOverride&quot;:{&quot;isManuallyOverridden&quot;:false,&quot;citeprocText&quot;:&quot;[40]&quot;,&quot;manualOverrideText&quot;:&quot;&quot;},&quot;citationTag&quot;:&quot;MENDELEY_CITATION_v3_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&quot;,&quot;citationItems&quot;:[{&quot;id&quot;:&quot;74545d43-2810-3f2c-b706-f129f1af340d&quot;,&quot;itemData&quot;:{&quot;type&quot;:&quot;webpage&quot;,&quot;id&quot;:&quot;74545d43-2810-3f2c-b706-f129f1af340d&quot;,&quot;title&quot;:&quot; Percentage of COPD, emphysema, or chronic bronchitis for adults aged 18 and over, United States, 2019—2023&quot;,&quot;author&quot;:[{&quot;family&quot;:&quot;National Center for Health Statistics&quot;,&quot;given&quot;:&quot;&quot;,&quot;parse-names&quot;:false,&quot;dropping-particle&quot;:&quot;&quot;,&quot;non-dropping-particle&quot;:&quot;&quot;}],&quot;container-title&quot;:&quot;National Health Interview Survey&quot;,&quot;URL&quot;:&quot;https://wwwn.cdc.gov/NHISDataQueryTool/SHS_adult/index.html&quot;,&quot;issued&quot;:{&quot;date-parts&quot;:[[2023]]},&quot;container-title-short&quot;:&quot;&quot;},&quot;isTemporary&quot;:false}]},{&quot;citationID&quot;:&quot;MENDELEY_CITATION_3847ac1d-f1be-4c08-8f18-3b74b466db9c&quot;,&quot;properties&quot;:{&quot;noteIndex&quot;:0},&quot;isEdited&quot;:false,&quot;manualOverride&quot;:{&quot;isManuallyOverridden&quot;:false,&quot;citeprocText&quot;:&quot;[41]&quot;,&quot;manualOverrideText&quot;:&quot;&quot;},&quot;citationTag&quot;:&quot;MENDELEY_CITATION_v3_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&quot;,&quot;citationItems&quot;:[{&quot;id&quot;:&quot;8ed6aa1b-1718-3ef6-89ec-e78e04ea0ca5&quot;,&quot;itemData&quot;:{&quot;type&quot;:&quot;article-journal&quot;,&quot;id&quot;:&quot;8ed6aa1b-1718-3ef6-89ec-e78e04ea0ca5&quot;,&quot;title&quot;:&quot;Trends in the Prevalence of Chronic Obstructive Pulmonary Disease Among Adults Aged ≥18 Years — United States, 2011–2021&quot;,&quot;author&quot;:[{&quot;family&quot;:&quot;Liu&quot;,&quot;given&quot;:&quot;Yong&quot;,&quot;parse-names&quot;:false,&quot;dropping-particle&quot;:&quot;&quot;,&quot;non-dropping-particle&quot;:&quot;&quot;},{&quot;family&quot;:&quot;Carlson&quot;,&quot;given&quot;:&quot;Susan A.&quot;,&quot;parse-names&quot;:false,&quot;dropping-particle&quot;:&quot;&quot;,&quot;non-dropping-particle&quot;:&quot;&quot;},{&quot;family&quot;:&quot;Watson&quot;,&quot;given&quot;:&quot;Kathleen B.&quot;,&quot;parse-names&quot;:false,&quot;dropping-particle&quot;:&quot;&quot;,&quot;non-dropping-particle&quot;:&quot;&quot;},{&quot;family&quot;:&quot;Xu&quot;,&quot;given&quot;:&quot;Fang&quot;,&quot;parse-names&quot;:false,&quot;dropping-particle&quot;:&quot;&quot;,&quot;non-dropping-particle&quot;:&quot;&quot;},{&quot;family&quot;:&quot;Greenlund&quot;,&quot;given&quot;:&quot;Kurt J.&quot;,&quot;parse-names&quot;:false,&quot;dropping-particle&quot;:&quot;&quot;,&quot;non-dropping-particle&quot;:&quot;&quot;}],&quot;container-title&quot;:&quot;MMWR. Morbidity and Mortality Weekly Report&quot;,&quot;container-title-short&quot;:&quot;MMWR Morb Mortal Wkly Rep&quot;,&quot;accessed&quot;:{&quot;date-parts&quot;:[[2024,6,30]]},&quot;DOI&quot;:&quot;10.15585/MMWR.MM7246A1&quot;,&quot;ISSN&quot;:&quot;0149-21951545-861X&quot;,&quot;PMID&quot;:&quot;37971940&quot;,&quot;URL&quot;:&quot;https://www.cdc.gov/mmwr/volumes/72/wr/mm7246a1.htm&quot;,&quot;issued&quot;:{&quot;date-parts&quot;:[[2023]]},&quot;page&quot;:&quot;1250-1256&quot;,&quot;abstract&quot;:&quot;Chronic obstructive pulmonary disease (COPD) is a leading cause of death in the United States. Overall COPD prevalence declined during 1999–2011. Trends in COPD prevalence during the previous decade have not been reported. CDC analyzed 2011–2021 Behavioral Risk Factor Surveillance System data to assess trends and differences in self-reported physician-diagnosed COPD prevalence among U.S. adults aged ≥18 years. Age-standardized prevalence of COPD did not change significantly from 2011 (6.1%) to 2021 (6.0%). Prevalence was stable for most states and subgroups; however, it decreased significantly among adults aged 18–44 years (average annual percent change [AAPC] = −2.0%) and increased significantly among those aged ≥75 years (AAPC = 1.3%), those living in micropolitan counties (0.8%), and among current (1.5%) or former (1.2%) smokers. COPD prevalence remained elevated in the following groups: women, adults aged ≥65 years, those with a lower education level, unable to work, living in rural areas, and who ever smoked. Evidence-based strategies, especially those tailored for adults disproportionately affected, can reduce COPD prevalence, and address the continued need for prevention, early diagnosis, treatment, and management.&quot;,&quot;publisher&quot;:&quot;Centers for Disease Control and Prevention (CDC)&quot;,&quot;issue&quot;:&quot;46&quot;,&quot;volume&quot;:&quot;72&quot;},&quot;isTemporary&quot;:false}]},{&quot;citationID&quot;:&quot;MENDELEY_CITATION_a8f93580-a834-4750-8b6f-58e3bb74d103&quot;,&quot;properties&quot;:{&quot;noteIndex&quot;:0},&quot;isEdited&quot;:false,&quot;manualOverride&quot;:{&quot;isManuallyOverridden&quot;:false,&quot;citeprocText&quot;:&quot;[41]&quot;,&quot;manualOverrideText&quot;:&quot;&quot;},&quot;citationTag&quot;:&quot;MENDELEY_CITATION_v3_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&quot;,&quot;citationItems&quot;:[{&quot;id&quot;:&quot;8ed6aa1b-1718-3ef6-89ec-e78e04ea0ca5&quot;,&quot;itemData&quot;:{&quot;type&quot;:&quot;article-journal&quot;,&quot;id&quot;:&quot;8ed6aa1b-1718-3ef6-89ec-e78e04ea0ca5&quot;,&quot;title&quot;:&quot;Trends in the Prevalence of Chronic Obstructive Pulmonary Disease Among Adults Aged ≥18 Years — United States, 2011–2021&quot;,&quot;author&quot;:[{&quot;family&quot;:&quot;Liu&quot;,&quot;given&quot;:&quot;Yong&quot;,&quot;parse-names&quot;:false,&quot;dropping-particle&quot;:&quot;&quot;,&quot;non-dropping-particle&quot;:&quot;&quot;},{&quot;family&quot;:&quot;Carlson&quot;,&quot;given&quot;:&quot;Susan A.&quot;,&quot;parse-names&quot;:false,&quot;dropping-particle&quot;:&quot;&quot;,&quot;non-dropping-particle&quot;:&quot;&quot;},{&quot;family&quot;:&quot;Watson&quot;,&quot;given&quot;:&quot;Kathleen B.&quot;,&quot;parse-names&quot;:false,&quot;dropping-particle&quot;:&quot;&quot;,&quot;non-dropping-particle&quot;:&quot;&quot;},{&quot;family&quot;:&quot;Xu&quot;,&quot;given&quot;:&quot;Fang&quot;,&quot;parse-names&quot;:false,&quot;dropping-particle&quot;:&quot;&quot;,&quot;non-dropping-particle&quot;:&quot;&quot;},{&quot;family&quot;:&quot;Greenlund&quot;,&quot;given&quot;:&quot;Kurt J.&quot;,&quot;parse-names&quot;:false,&quot;dropping-particle&quot;:&quot;&quot;,&quot;non-dropping-particle&quot;:&quot;&quot;}],&quot;container-title&quot;:&quot;MMWR. Morbidity and Mortality Weekly Report&quot;,&quot;container-title-short&quot;:&quot;MMWR Morb Mortal Wkly Rep&quot;,&quot;accessed&quot;:{&quot;date-parts&quot;:[[2024,6,30]]},&quot;DOI&quot;:&quot;10.15585/MMWR.MM7246A1&quot;,&quot;ISSN&quot;:&quot;0149-21951545-861X&quot;,&quot;PMID&quot;:&quot;37971940&quot;,&quot;URL&quot;:&quot;https://www.cdc.gov/mmwr/volumes/72/wr/mm7246a1.htm&quot;,&quot;issued&quot;:{&quot;date-parts&quot;:[[2023]]},&quot;page&quot;:&quot;1250-1256&quot;,&quot;abstract&quot;:&quot;Chronic obstructive pulmonary disease (COPD) is a leading cause of death in the United States. Overall COPD prevalence declined during 1999–2011. Trends in COPD prevalence during the previous decade have not been reported. CDC analyzed 2011–2021 Behavioral Risk Factor Surveillance System data to assess trends and differences in self-reported physician-diagnosed COPD prevalence among U.S. adults aged ≥18 years. Age-standardized prevalence of COPD did not change significantly from 2011 (6.1%) to 2021 (6.0%). Prevalence was stable for most states and subgroups; however, it decreased significantly among adults aged 18–44 years (average annual percent change [AAPC] = −2.0%) and increased significantly among those aged ≥75 years (AAPC = 1.3%), those living in micropolitan counties (0.8%), and among current (1.5%) or former (1.2%) smokers. COPD prevalence remained elevated in the following groups: women, adults aged ≥65 years, those with a lower education level, unable to work, living in rural areas, and who ever smoked. Evidence-based strategies, especially those tailored for adults disproportionately affected, can reduce COPD prevalence, and address the continued need for prevention, early diagnosis, treatment, and management.&quot;,&quot;publisher&quot;:&quot;Centers for Disease Control and Prevention (CDC)&quot;,&quot;issue&quot;:&quot;46&quot;,&quot;volume&quot;:&quot;72&quot;},&quot;isTemporary&quot;:false}]},{&quot;citationID&quot;:&quot;MENDELEY_CITATION_6aafd8db-269d-4a3d-8153-28990de7621d&quot;,&quot;properties&quot;:{&quot;noteIndex&quot;:0},&quot;isEdited&quot;:false,&quot;manualOverride&quot;:{&quot;isManuallyOverridden&quot;:false,&quot;citeprocText&quot;:&quot;[41]&quot;,&quot;manualOverrideText&quot;:&quot;&quot;},&quot;citationTag&quot;:&quot;MENDELEY_CITATION_v3_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&quot;,&quot;citationItems&quot;:[{&quot;id&quot;:&quot;8ed6aa1b-1718-3ef6-89ec-e78e04ea0ca5&quot;,&quot;itemData&quot;:{&quot;type&quot;:&quot;article-journal&quot;,&quot;id&quot;:&quot;8ed6aa1b-1718-3ef6-89ec-e78e04ea0ca5&quot;,&quot;title&quot;:&quot;Trends in the Prevalence of Chronic Obstructive Pulmonary Disease Among Adults Aged ≥18 Years — United States, 2011–2021&quot;,&quot;author&quot;:[{&quot;family&quot;:&quot;Liu&quot;,&quot;given&quot;:&quot;Yong&quot;,&quot;parse-names&quot;:false,&quot;dropping-particle&quot;:&quot;&quot;,&quot;non-dropping-particle&quot;:&quot;&quot;},{&quot;family&quot;:&quot;Carlson&quot;,&quot;given&quot;:&quot;Susan A.&quot;,&quot;parse-names&quot;:false,&quot;dropping-particle&quot;:&quot;&quot;,&quot;non-dropping-particle&quot;:&quot;&quot;},{&quot;family&quot;:&quot;Watson&quot;,&quot;given&quot;:&quot;Kathleen B.&quot;,&quot;parse-names&quot;:false,&quot;dropping-particle&quot;:&quot;&quot;,&quot;non-dropping-particle&quot;:&quot;&quot;},{&quot;family&quot;:&quot;Xu&quot;,&quot;given&quot;:&quot;Fang&quot;,&quot;parse-names&quot;:false,&quot;dropping-particle&quot;:&quot;&quot;,&quot;non-dropping-particle&quot;:&quot;&quot;},{&quot;family&quot;:&quot;Greenlund&quot;,&quot;given&quot;:&quot;Kurt J.&quot;,&quot;parse-names&quot;:false,&quot;dropping-particle&quot;:&quot;&quot;,&quot;non-dropping-particle&quot;:&quot;&quot;}],&quot;container-title&quot;:&quot;MMWR. Morbidity and Mortality Weekly Report&quot;,&quot;container-title-short&quot;:&quot;MMWR Morb Mortal Wkly Rep&quot;,&quot;accessed&quot;:{&quot;date-parts&quot;:[[2024,6,30]]},&quot;DOI&quot;:&quot;10.15585/MMWR.MM7246A1&quot;,&quot;ISSN&quot;:&quot;0149-21951545-861X&quot;,&quot;PMID&quot;:&quot;37971940&quot;,&quot;URL&quot;:&quot;https://www.cdc.gov/mmwr/volumes/72/wr/mm7246a1.htm&quot;,&quot;issued&quot;:{&quot;date-parts&quot;:[[2023]]},&quot;page&quot;:&quot;1250-1256&quot;,&quot;abstract&quot;:&quot;Chronic obstructive pulmonary disease (COPD) is a leading cause of death in the United States. Overall COPD prevalence declined during 1999–2011. Trends in COPD prevalence during the previous decade have not been reported. CDC analyzed 2011–2021 Behavioral Risk Factor Surveillance System data to assess trends and differences in self-reported physician-diagnosed COPD prevalence among U.S. adults aged ≥18 years. Age-standardized prevalence of COPD did not change significantly from 2011 (6.1%) to 2021 (6.0%). Prevalence was stable for most states and subgroups; however, it decreased significantly among adults aged 18–44 years (average annual percent change [AAPC] = −2.0%) and increased significantly among those aged ≥75 years (AAPC = 1.3%), those living in micropolitan counties (0.8%), and among current (1.5%) or former (1.2%) smokers. COPD prevalence remained elevated in the following groups: women, adults aged ≥65 years, those with a lower education level, unable to work, living in rural areas, and who ever smoked. Evidence-based strategies, especially those tailored for adults disproportionately affected, can reduce COPD prevalence, and address the continued need for prevention, early diagnosis, treatment, and management.&quot;,&quot;publisher&quot;:&quot;Centers for Disease Control and Prevention (CDC)&quot;,&quot;issue&quot;:&quot;46&quot;,&quot;volume&quot;:&quot;72&quot;},&quot;isTemporary&quot;:false}]},{&quot;citationID&quot;:&quot;MENDELEY_CITATION_9b0a4aaf-d6a3-4c9e-9ca8-98443b1e09fd&quot;,&quot;properties&quot;:{&quot;noteIndex&quot;:0},&quot;isEdited&quot;:false,&quot;manualOverride&quot;:{&quot;isManuallyOverridden&quot;:false,&quot;citeprocText&quot;:&quot;[42–45]&quot;,&quot;manualOverrideText&quot;:&quot;&quot;},&quot;citationTag&quot;:&quot;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&quot;,&quot;citationItems&quot;:[{&quot;id&quot;:&quot;2e9c5de0-590e-31cf-9d76-003cab38c26a&quot;,&quot;itemData&quot;:{&quot;type&quot;:&quot;article-journal&quot;,&quot;id&quot;:&quot;2e9c5de0-590e-31cf-9d76-003cab38c26a&quot;,&quot;title&quot;:&quot;The global economic burden of chronic obstructive pulmonary disease for 204 countries and territories in 2020–50: a health-augmented macroeconomic modelling study&quot;,&quot;author&quot;:[{&quot;family&quot;:&quot;Chen&quot;,&quot;given&quot;:&quot;Simiao&quot;,&quot;parse-names&quot;:false,&quot;dropping-particle&quot;:&quot;&quot;,&quot;non-dropping-particle&quot;:&quot;&quot;},{&quot;family&quot;:&quot;Kuhn&quot;,&quot;given&quot;:&quot;Michael&quot;,&quot;parse-names&quot;:false,&quot;dropping-particle&quot;:&quot;&quot;,&quot;non-dropping-particle&quot;:&quot;&quot;},{&quot;family&quot;:&quot;Prettner&quot;,&quot;given&quot;:&quot;Klaus&quot;,&quot;parse-names&quot;:false,&quot;dropping-particle&quot;:&quot;&quot;,&quot;non-dropping-particle&quot;:&quot;&quot;},{&quot;family&quot;:&quot;Yu&quot;,&quot;given&quot;:&quot;Fengyun&quot;,&quot;parse-names&quot;:false,&quot;dropping-particle&quot;:&quot;&quot;,&quot;non-dropping-particle&quot;:&quot;&quot;},{&quot;family&quot;:&quot;Yang&quot;,&quot;given&quot;:&quot;Ting&quot;,&quot;parse-names&quot;:false,&quot;dropping-particle&quot;:&quot;&quot;,&quot;non-dropping-particle&quot;:&quot;&quot;},{&quot;family&quot;:&quot;Bärnighausen&quot;,&quot;given&quot;:&quot;Till&quot;,&quot;parse-names&quot;:false,&quot;dropping-particle&quot;:&quot;&quot;,&quot;non-dropping-particle&quot;:&quot;&quot;},{&quot;family&quot;:&quot;Bloom&quot;,&quot;given&quot;:&quot;David E.&quot;,&quot;parse-names&quot;:false,&quot;dropping-particle&quot;:&quot;&quot;,&quot;non-dropping-particle&quot;:&quot;&quot;},{&quot;family&quot;:&quot;Wang&quot;,&quot;given&quot;:&quot;Chen&quot;,&quot;parse-names&quot;:false,&quot;dropping-particle&quot;:&quot;&quot;,&quot;non-dropping-particle&quot;:&quot;&quot;}],&quot;container-title&quot;:&quot;The Lancet. Global Health&quot;,&quot;container-title-short&quot;:&quot;Lancet Glob Health&quot;,&quot;accessed&quot;:{&quot;date-parts&quot;:[[2024,8,30]]},&quot;DOI&quot;:&quot;10.1016/S2214-109X(23)00217-6&quot;,&quot;ISSN&quot;:&quot;2214109X&quot;,&quot;PMID&quot;:&quot;37474226&quot;,&quot;URL&quot;:&quot;/pmc/articles/PMC10369014/&quot;,&quot;issued&quot;:{&quot;date-parts&quot;:[[2023,8,1]]},&quot;page&quot;:&quot;e1183&quot;,&quot;abstract&quot;:&quot;Background: Chronic obstructive pulmonary disease (COPD) is the third leading cause of death worldwide and imposes a substantial economic burden. Gaining a thorough understanding of the economic implications of COPD is an important prerequisite for sound, evidence-based policy making. We aimed to estimate the macroeconomic burden of COPD for each country and establish its distribution across world regions. Methods: In this health-augmented macroeconomic modelling study we estimated the macroeconomic burden of COPD for 204 countries and territories over the period 2020–50. The model accounted for (1) the effect of COPD mortality and morbidity on labour supply, (2) age and sex specific differences in education and work experience among those affected by COPD, and (3) the impact of COPD treatment costs on physical capital accumulation. We obtained data from various public sources including the Global Burden of Disease Study 2019, the World Bank database, and the literature. The macroeconomic burden of COPD was assessed by comparing gross domestic product (GDP) between a scenario projecting disease prevalence based on current estimates and a counterfactual scenario with zero COPD prevalence from 2020 to 2050. Findings: Our findings suggest that COPD will cost the world economy INT$4·326 trillion (uncertainty interval 3·327–5·516; at constant 2017 prices) in 2020–50. This economic effect is equivalent to a yearly tax of 0·111% (0·085–0·141) on global GDP. China and the USA face the largest economic burdens from COPD, accounting for INT$1·363 trillion (uncertainty interval 1·034–1·801) and INT$1·037 trillion (0·868–1·175), respectively. Interpretation: The macroeconomic burden of COPD is large and unequally distributed across countries, world regions, and income levels. Our study stresses the urgent need to invest in global efforts to curb the health and economic burdens of COPD. Investments in effective interventions against COPD do not represent a burden but could instead provide substantial economic returns in the foreseeable future. Funding: Alexander von Humboldt Foundation, National Natural Science Foundation of China, CAMS Innovation Fund for Medical Science, Chinese Academy of Engineering project, Chinese Academy of Medical Sciences and Peking Union Medical College project, and Horizon Europe. Translations: For the Chinese and German translations of the abstract see Supplementary Materials section.&quot;,&quot;publisher&quot;:&quot;Elsevier&quot;,&quot;issue&quot;:&quot;8&quot;,&quot;volume&quot;:&quot;11&quot;},&quot;isTemporary&quot;:false},{&quot;id&quot;:&quot;73b54aec-db21-34ac-af03-bb0c98142181&quot;,&quot;itemData&quot;:{&quot;type&quot;:&quot;article-journal&quot;,&quot;id&quot;:&quot;73b54aec-db21-34ac-af03-bb0c98142181&quot;,&quot;title&quot;:&quot;Economic Burden of Chronic Obstructive Pulmonary Disease (COPD): A Systematic Literature Review&quot;,&quot;author&quot;:[{&quot;family&quot;:&quot;Iheanacho&quot;,&quot;given&quot;:&quot;Ike&quot;,&quot;parse-names&quot;:false,&quot;dropping-particle&quot;:&quot;&quot;,&quot;non-dropping-particle&quot;:&quot;&quot;},{&quot;family&quot;:&quot;Zhang&quot;,&quot;given&quot;:&quot;Shiyuan&quot;,&quot;parse-names&quot;:false,&quot;dropping-particle&quot;:&quot;&quot;,&quot;non-dropping-particle&quot;:&quot;&quot;},{&quot;family&quot;:&quot;King&quot;,&quot;given&quot;:&quot;Denise&quot;,&quot;parse-names&quot;:false,&quot;dropping-particle&quot;:&quot;&quot;,&quot;non-dropping-particle&quot;:&quot;&quot;},{&quot;family&quot;:&quot;Rizzo&quot;,&quot;given&quot;:&quot;Maria&quot;,&quot;parse-names&quot;:false,&quot;dropping-particle&quot;:&quot;&quot;,&quot;non-dropping-particle&quot;:&quot;&quot;},{&quot;family&quot;:&quot;Ismaila&quot;,&quot;given&quot;:&quot;Afisi S.&quot;,&quot;parse-names&quot;:false,&quot;dropping-particle&quot;:&quot;&quot;,&quot;non-dropping-particle&quot;:&quot;&quot;}],&quot;container-title&quot;:&quot;International Journal of Chronic Obstructive Pulmonary Disease&quot;,&quot;accessed&quot;:{&quot;date-parts&quot;:[[2024,8,29]]},&quot;DOI&quot;:&quot;10.2147/COPD.S234942&quot;,&quot;ISSN&quot;:&quot;11782005&quot;,&quot;PMID&quot;:&quot;32161455&quot;,&quot;URL&quot;:&quot;/pmc/articles/PMC7049777/&quot;,&quot;issued&quot;:{&quot;date-parts&quot;:[[2020]]},&quot;page&quot;:&quot;439&quot;,&quot;abstract&quot;:&quot;Background and Objectives: Chronic obstructive pulmonary disease (COPD) affects over 250 million people globally, carrying a notable economic burden. This systematic literature review aimed to highlight the economic burden associated with moderate-to-very severe COPD and to investigate key drivers of healthcare resource utilization (HRU), direct costs and indirect costs for this patient population. Materials and Methods: Relevant publications published between January 1, 2006 and November 14, 2016 were captured from the Embase, MEDLINE and MEDLINE In-Process databases. Supplemental searches from relevant 2015–2016 conferences were also performed. Titles and abstracts were reviewed by two independent researchers against predefined inclusion and exclusion criteria. Studies were grouped by the type of economic outcome presented (HRU or costs). Where possible, data were also grouped according to COPD severity and/or patient exacerbation history. Results: In total, 73 primary publications were included in this review: 66 reported HRU, 22 reported direct costs and one reported indirect costs. Most of the studies (94%) reported on data from either Europe or North America. Trends were noted across multiple studies for higher direct costs (including mean costs per patient per year and mean costs per exacerbation) being associated with increasingly severe COPD and/or a history of more frequent or severe exacerbations. Similar trends were noted according to COPD severity and/or exacerbation history for rate of hospitalization and primary care visits. Multivariate analyses were reported by 29 studies and demonstrated the statistical significance of these associations. Several other drivers of increased costs and HRU were highlighted for patients with moderate-to-very severe COPD, including comorbidities, and treatment history. Conclusion: Moderate-to-very severe COPD represents a considerable economic burden for healthcare providers despite the availability of efficacious treatments and comprehensive guidelines on their use. Further research is warranted to ensure cost-efficient COPD management, to improve treatments and ease budgetary pressures.&quot;,&quot;publisher&quot;:&quot;Dove Press&quot;,&quot;volume&quot;:&quot;15&quot;,&quot;container-title-short&quot;:&quot;Int J Chron Obstruct Pulmon Dis&quot;},&quot;isTemporary&quot;:false},{&quot;id&quot;:&quot;cae57de1-000c-3797-9024-2ce5bd7d83fa&quot;,&quot;itemData&quot;:{&quot;type&quot;:&quot;article-journal&quot;,&quot;id&quot;:&quot;cae57de1-000c-3797-9024-2ce5bd7d83fa&quot;,&quot;title&quot;:&quot;The economic burden of chronic obstructive pulmonary disease (COPD) in Europe: results from a systematic review of the literature&quot;,&quot;author&quot;:[{&quot;family&quot;:&quot;Rehman&quot;,&quot;given&quot;:&quot;Anees ur&quot;,&quot;parse-names&quot;:false,&quot;dropping-particle&quot;:&quot;&quot;,&quot;non-dropping-particle&quot;:&quot;&quot;},{&quot;family&quot;:&quot;Hassali&quot;,&quot;given&quot;:&quot;Mohamed Azmi Ahmad&quot;,&quot;parse-names&quot;:false,&quot;dropping-particle&quot;:&quot;&quot;,&quot;non-dropping-particle&quot;:&quot;&quot;},{&quot;family&quot;:&quot;Muhammad&quot;,&quot;given&quot;:&quot;Sohail Ayaz&quot;,&quot;parse-names&quot;:false,&quot;dropping-particle&quot;:&quot;&quot;,&quot;non-dropping-particle&quot;:&quot;&quot;},{&quot;family&quot;:&quot;Harun&quot;,&quot;given&quot;:&quot;Sabariah Noor&quot;,&quot;parse-names&quot;:false,&quot;dropping-particle&quot;:&quot;&quot;,&quot;non-dropping-particle&quot;:&quot;&quot;},{&quot;family&quot;:&quot;Shah&quot;,&quot;given&quot;:&quot;Shahid&quot;,&quot;parse-names&quot;:false,&quot;dropping-particle&quot;:&quot;&quot;,&quot;non-dropping-particle&quot;:&quot;&quot;},{&quot;family&quot;:&quot;Abbas&quot;,&quot;given&quot;:&quot;Sameen&quot;,&quot;parse-names&quot;:false,&quot;dropping-particle&quot;:&quot;&quot;,&quot;non-dropping-particle&quot;:&quot;&quot;}],&quot;container-title&quot;:&quot;European Journal of Health Economics&quot;,&quot;accessed&quot;:{&quot;date-parts&quot;:[[2024,8,29]]},&quot;DOI&quot;:&quot;10.1007/S10198-019-01119-1/FIGURES/2&quot;,&quot;ISSN&quot;:&quot;16187601&quot;,&quot;PMID&quot;:&quot;31564007&quot;,&quot;URL&quot;:&quot;https://link.springer.com/article/10.1007/s10198-019-01119-1&quot;,&quot;issued&quot;:{&quot;date-parts&quot;:[[2020,3,1]]},&quot;page&quot;:&quot;181-194&quot;,&quot;abstract&quot;:&quot;Objectives: To find the economic burden of COPD and to identify the key cost drivers in the management of COPD patients across different European countries. Background: COPD is a major cause of mortality and morbidity and is associated with considerable economic burden on the individual and society. It limits the daily activities and working ability of the patients. Methodology: We conducted a systematic search of PUBMED, SCIENCE DIRECT, Cochrane CENTRAL, SCOPUS, Google Scholar and SAGE Premier Databases to find scientific research articles evaluating the cost of COPD management from patient and societal perspective. Results: Estimated per patient per year direct cost in Norway, Denmark, Germany, Italy, Sweden, Greece, Belgium, and Serbia was €10,701, €9580, €7847, €7448, €7045, €2896, €1963, and €2047, respectively. Annual per patient cost of work productivity loss was highest in Germany as €5735 and lowest in Greece as €998. It was estimated as €4824, €2033 and €1298 in Bulgaria, Denmark and Sweden, respectively. Several factors found associated with increasing cost of COPD management that include but not limited to late diagnosis, severity of disease, frequency of exacerbation, hospital readmissions, non-adherence to the therapy and exposure to COPD risk factors. Conclusion: Minimizing the COPD exacerbations and controlling the worsening of symptoms may potentially reduce the cost of COPD management at any stage.&quot;,&quot;publisher&quot;:&quot;Springer&quot;,&quot;issue&quot;:&quot;2&quot;,&quot;volume&quot;:&quot;21&quot;,&quot;container-title-short&quot;:&quot;&quot;},&quot;isTemporary&quot;:false},{&quot;id&quot;:&quot;f973ec89-8429-3bfb-9177-7671f681666b&quot;,&quot;itemData&quot;:{&quot;type&quot;:&quot;article-journal&quot;,&quot;id&quot;:&quot;f973ec89-8429-3bfb-9177-7671f681666b&quot;,&quot;title&quot;:&quot;Projecting Long-term Health and Economic Burden of COPD in the United States&quot;,&quot;author&quot;:[{&quot;family&quot;:&quot;Zafari&quot;,&quot;given&quot;:&quot;Zafar&quot;,&quot;parse-names&quot;:false,&quot;dropping-particle&quot;:&quot;&quot;,&quot;non-dropping-particle&quot;:&quot;&quot;},{&quot;family&quot;:&quot;Li&quot;,&quot;given&quot;:&quot;Shukai&quot;,&quot;parse-names&quot;:false,&quot;dropping-particle&quot;:&quot;&quot;,&quot;non-dropping-particle&quot;:&quot;&quot;},{&quot;family&quot;:&quot;Eakin&quot;,&quot;given&quot;:&quot;Michelle N.&quot;,&quot;parse-names&quot;:false,&quot;dropping-particle&quot;:&quot;&quot;,&quot;non-dropping-particle&quot;:&quot;&quot;},{&quot;family&quot;:&quot;Bellanger&quot;,&quot;given&quot;:&quot;Martine&quot;,&quot;parse-names&quot;:false,&quot;dropping-particle&quot;:&quot;&quot;,&quot;non-dropping-particle&quot;:&quot;&quot;},{&quot;family&quot;:&quot;Reed&quot;,&quot;given&quot;:&quot;Robert M.&quot;,&quot;parse-names&quot;:false,&quot;dropping-particle&quot;:&quot;&quot;,&quot;non-dropping-particle&quot;:&quot;&quot;}],&quot;container-title&quot;:&quot;Chest&quot;,&quot;container-title-short&quot;:&quot;Chest&quot;,&quot;accessed&quot;:{&quot;date-parts&quot;:[[2024,7,21]]},&quot;DOI&quot;:&quot;10.1016/J.CHEST.2020.09.255&quot;,&quot;ISSN&quot;:&quot;1931-3543&quot;,&quot;PMID&quot;:&quot;33011203&quot;,&quot;URL&quot;:&quot;https://pubmed.ncbi.nlm.nih.gov/33011203/&quot;,&quot;issued&quot;:{&quot;date-parts&quot;:[[2021,4,1]]},&quot;page&quot;:&quot;1400-1410&quot;,&quot;abstract&quot;:&quot;Background: In the United States, COPD is a leading cause of mortality, with a substantial societal health and economic burden. With anticipated population growth, it is important for various stakeholders to have an estimate for the projected burden of disease. Research Question: The goal of this study was to model the 20-year health and economic burden of COPD, from 2019 to 2038, in the United States. Study Design and Methods: Using country-specific data from published literature and publicly available datasets, a dynamic open cohort Markov model was developed in a probabilistic Monte Carlo simulation. Population growth was modeled across different subgroups of age, sex, and smoking. The COPD prevalence rates were calibrated for different subgroups, and distributions of severity grades were modeled based on smoking status. Direct costs, indirect absenteeism costs, losses of quality-adjusted life years (QALYs), and number of exacerbations and deaths associated with COPD were projected. Results: The 20-year discounted direct medical costs attributable to COPD were estimated to be $800.90 billion (95% credible interval [CrI], 565.29 billion-1,081.29 billion), with an expected $337.13 billion in male subjects and $463.77 billion in female subjects. The 20-year discounted indirect absenteeism costs were projected to be $101.30 billion (70.82 billion-137.41 billion). The 20-year losses of QALYs, number of exacerbations, and number of deaths associated with COPD were 45.38 million (8.63 million-112.07 million), 315.08 million (228.59 million-425.33 million), and 9.42 million (8.93 million-9.93 million), respectively. The proportion of disease burden attributable to continued smoking was 34% in direct medical costs, 35% in indirect absenteeism costs, and 37% in losses of QALYs over 20 years. Interpretation: This study projects the substantial burden of COPD that the American society is expected to incur with current patterns for treatments and smoking rates. Mitigating such burden requires targeted budget appropriations and cost-effective interventions.&quot;,&quot;publisher&quot;:&quot;Chest&quot;,&quot;issue&quot;:&quot;4&quot;,&quot;volume&quot;:&quot;159&quot;},&quot;isTemporary&quot;:false}]},{&quot;citationID&quot;:&quot;MENDELEY_CITATION_acf854c8-7e32-4ace-9324-e0668ce40bd7&quot;,&quot;properties&quot;:{&quot;noteIndex&quot;:0},&quot;isEdited&quot;:false,&quot;manualOverride&quot;:{&quot;isManuallyOverridden&quot;:false,&quot;citeprocText&quot;:&quot;[43,46]&quot;,&quot;manualOverrideText&quot;:&quot;&quot;},&quot;citationTag&quot;:&quot;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&quot;,&quot;citationItems&quot;:[{&quot;id&quot;:&quot;73b54aec-db21-34ac-af03-bb0c98142181&quot;,&quot;itemData&quot;:{&quot;type&quot;:&quot;article-journal&quot;,&quot;id&quot;:&quot;73b54aec-db21-34ac-af03-bb0c98142181&quot;,&quot;title&quot;:&quot;Economic Burden of Chronic Obstructive Pulmonary Disease (COPD): A Systematic Literature Review&quot;,&quot;author&quot;:[{&quot;family&quot;:&quot;Iheanacho&quot;,&quot;given&quot;:&quot;Ike&quot;,&quot;parse-names&quot;:false,&quot;dropping-particle&quot;:&quot;&quot;,&quot;non-dropping-particle&quot;:&quot;&quot;},{&quot;family&quot;:&quot;Zhang&quot;,&quot;given&quot;:&quot;Shiyuan&quot;,&quot;parse-names&quot;:false,&quot;dropping-particle&quot;:&quot;&quot;,&quot;non-dropping-particle&quot;:&quot;&quot;},{&quot;family&quot;:&quot;King&quot;,&quot;given&quot;:&quot;Denise&quot;,&quot;parse-names&quot;:false,&quot;dropping-particle&quot;:&quot;&quot;,&quot;non-dropping-particle&quot;:&quot;&quot;},{&quot;family&quot;:&quot;Rizzo&quot;,&quot;given&quot;:&quot;Maria&quot;,&quot;parse-names&quot;:false,&quot;dropping-particle&quot;:&quot;&quot;,&quot;non-dropping-particle&quot;:&quot;&quot;},{&quot;family&quot;:&quot;Ismaila&quot;,&quot;given&quot;:&quot;Afisi S.&quot;,&quot;parse-names&quot;:false,&quot;dropping-particle&quot;:&quot;&quot;,&quot;non-dropping-particle&quot;:&quot;&quot;}],&quot;container-title&quot;:&quot;International Journal of Chronic Obstructive Pulmonary Disease&quot;,&quot;container-title-short&quot;:&quot;Int J Chron Obstruct Pulmon Dis&quot;,&quot;accessed&quot;:{&quot;date-parts&quot;:[[2024,8,29]]},&quot;DOI&quot;:&quot;10.2147/COPD.S234942&quot;,&quot;ISSN&quot;:&quot;11782005&quot;,&quot;PMID&quot;:&quot;32161455&quot;,&quot;URL&quot;:&quot;/pmc/articles/PMC7049777/&quot;,&quot;issued&quot;:{&quot;date-parts&quot;:[[2020]]},&quot;page&quot;:&quot;439&quot;,&quot;abstract&quot;:&quot;Background and Objectives: Chronic obstructive pulmonary disease (COPD) affects over 250 million people globally, carrying a notable economic burden. This systematic literature review aimed to highlight the economic burden associated with moderate-to-very severe COPD and to investigate key drivers of healthcare resource utilization (HRU), direct costs and indirect costs for this patient population. Materials and Methods: Relevant publications published between January 1, 2006 and November 14, 2016 were captured from the Embase, MEDLINE and MEDLINE In-Process databases. Supplemental searches from relevant 2015–2016 conferences were also performed. Titles and abstracts were reviewed by two independent researchers against predefined inclusion and exclusion criteria. Studies were grouped by the type of economic outcome presented (HRU or costs). Where possible, data were also grouped according to COPD severity and/or patient exacerbation history. Results: In total, 73 primary publications were included in this review: 66 reported HRU, 22 reported direct costs and one reported indirect costs. Most of the studies (94%) reported on data from either Europe or North America. Trends were noted across multiple studies for higher direct costs (including mean costs per patient per year and mean costs per exacerbation) being associated with increasingly severe COPD and/or a history of more frequent or severe exacerbations. Similar trends were noted according to COPD severity and/or exacerbation history for rate of hospitalization and primary care visits. Multivariate analyses were reported by 29 studies and demonstrated the statistical significance of these associations. Several other drivers of increased costs and HRU were highlighted for patients with moderate-to-very severe COPD, including comorbidities, and treatment history. Conclusion: Moderate-to-very severe COPD represents a considerable economic burden for healthcare providers despite the availability of efficacious treatments and comprehensive guidelines on their use. Further research is warranted to ensure cost-efficient COPD management, to improve treatments and ease budgetary pressures.&quot;,&quot;publisher&quot;:&quot;Dove Press&quot;,&quot;volume&quot;:&quot;15&quot;},&quot;isTemporary&quot;:false},{&quot;id&quot;:&quot;72a9c3d6-d6a1-3966-8947-db877f43c961&quot;,&quot;itemData&quot;:{&quot;type&quot;:&quot;article-journal&quot;,&quot;id&quot;:&quot;72a9c3d6-d6a1-3966-8947-db877f43c961&quot;,&quot;title&quot;:&quot;Mapping the Global distribution, risk factors, and temporal trends of COPD incidence and mortality (1990–2021): ecological analysis&quot;,&quot;author&quot;:[{&quot;family&quot;:&quot;Naeem&quot;,&quot;given&quot;:&quot;Shafaq&quot;,&quot;parse-names&quot;:false,&quot;dropping-particle&quot;:&quot;&quot;,&quot;non-dropping-particle&quot;:&quot;&quot;},{&quot;family&quot;:&quot;Wang&quot;,&quot;given&quot;:&quot;Fang&quot;,&quot;parse-names&quot;:false,&quot;dropping-particle&quot;:&quot;&quot;,&quot;non-dropping-particle&quot;:&quot;&quot;},{&quot;family&quot;:&quot;Mubarak&quot;,&quot;given&quot;:&quot;Rabia&quot;,&quot;parse-names&quot;:false,&quot;dropping-particle&quot;:&quot;&quot;,&quot;non-dropping-particle&quot;:&quot;&quot;},{&quot;family&quot;:&quot;Shen&quot;,&quot;given&quot;:&quot;Hui&quot;,&quot;parse-names&quot;:false,&quot;dropping-particle&quot;:&quot;&quot;,&quot;non-dropping-particle&quot;:&quot;&quot;},{&quot;family&quot;:&quot;Li&quot;,&quot;given&quot;:&quot;Xuechun&quot;,&quot;parse-names&quot;:false,&quot;dropping-particle&quot;:&quot;&quot;,&quot;non-dropping-particle&quot;:&quot;&quot;},{&quot;family&quot;:&quot;Mommers&quot;,&quot;given&quot;:&quot;Irene&quot;,&quot;parse-names&quot;:false,&quot;dropping-particle&quot;:&quot;&quot;,&quot;non-dropping-particle&quot;:&quot;&quot;},{&quot;family&quot;:&quot;Hussain&quot;,&quot;given&quot;:&quot;Syeda Rija&quot;,&quot;parse-names&quot;:false,&quot;dropping-particle&quot;:&quot;&quot;,&quot;non-dropping-particle&quot;:&quot;&quot;},{&quot;family&quot;:&quot;Malik&quot;,&quot;given&quot;:&quot;Saima Shakil&quot;,&quot;parse-names&quot;:false,&quot;dropping-particle&quot;:&quot;&quot;,&quot;non-dropping-particle&quot;:&quot;&quot;},{&quot;family&quot;:&quot;Yu&quot;,&quot;given&quot;:&quot;Chuanhua&quot;,&quot;parse-names&quot;:false,&quot;dropping-particle&quot;:&quot;&quot;,&quot;non-dropping-particle&quot;:&quot;&quot;},{&quot;family&quot;:&quot;Hak&quot;,&quot;given&quot;:&quot;Eelko&quot;,&quot;parse-names&quot;:false,&quot;dropping-particle&quot;:&quot;&quot;,&quot;non-dropping-particle&quot;:&quot;&quot;},{&quot;family&quot;:&quot;Xu&quot;,&quot;given&quot;:&quot;Xiaolin&quot;,&quot;parse-names&quot;:false,&quot;dropping-particle&quot;:&quot;&quot;,&quot;non-dropping-particle&quot;:&quot;&quot;},{&quot;family&quot;:&quot;Fawad&quot;,&quot;given&quot;:&quot;Muhammad&quot;,&quot;parse-names&quot;:false,&quot;dropping-particle&quot;:&quot;&quot;,&quot;non-dropping-particle&quot;:&quot;&quot;},{&quot;family&quot;:&quot;Mubarik&quot;,&quot;given&quot;:&quot;Sumaira&quot;,&quot;parse-names&quot;:false,&quot;dropping-particle&quot;:&quot;&quot;,&quot;non-dropping-particle&quot;:&quot;&quot;}],&quot;container-title&quot;:&quot;BMC Medicine&quot;,&quot;container-title-short&quot;:&quot;BMC Med&quot;,&quot;accessed&quot;:{&quot;date-parts&quot;:[[2025,6,1]]},&quot;DOI&quot;:&quot;10.1186/S12916-025-04014-0/FIGURES/5&quot;,&quot;ISSN&quot;:&quot;17417015&quot;,&quot;URL&quot;:&quot;https://bmcmedicine.biomedcentral.com/articles/10.1186/s12916-025-04014-0&quot;,&quot;issued&quot;:{&quot;date-parts&quot;:[[2025,12,1]]},&quot;page&quot;:&quot;1-14&quot;,&quot;abstract&quot;:&quot;Background: Chronic Obstructive Pulmonary Disease (COPD) remains a significant global public health challenge, contributing to substantial morbidity and mortality worldwide. This study aims to analyze global trends in COPD from 1990 to 2021, with a focus on age, sex, and regional variations. By assessing the global burden of COPD and its association with key risk factors, this research provides critical insights into progress toward health-related Sustainable Development Goals (SDGs) and underscores the urgent need to prioritize COPD in public health agendas. Methods: Utilizing data from the Global Burden of Disease (GBD) study, this research conducted a comprehensive ecological analysis of COPD epidemiology from 1990 to 2021. Key measures included incidence, mortality, and age-standardized rates, alongside an examination of risk factors such as smoking and ambient particulate matter pollution, quantified using country-level summary exposure values (SEV). Statistical analyses, including descriptive analysis, annual rate of change (ARC), and correlation analysis, were applied to assess the burden of COPD and investigate its ecological associations with major risk factors. Results: In 2021, COPD accounted for 16.90 million new cases and 3.70 million deaths globally. The age-standardized incidence rate was 197.37 (95% UI: 181.6–213.42) per 100,000 person-years, while the age-standardized mortality rate was 45.22 (95% UI: 40.61–49.70) per 100,000 person-years. Although global COPD incidence rates declined by 2% from 1990 to 2021, the pace and extent of this decline varied, with some age groups, sexes, and regions experiencing slower reductions or even increases. Higher COPD burden was observed in areas with elevated smoking prevalence, air pollution and greater socioeconomic development. Conclusions: This study highlights the ongoing global burden of COPD and its varying trends from 1990 to 2021 across age groups, sexes, and regions. While incidence and mortality rates have slightly declined, disparities persist, particularly among older adults, men, and regions with higher smoking prevalence and air pollution. These findings emphasize the urgent need to integrate COPD into public health priorities, focusing on targeted interventions to reduce key risk factors. Sustained efforts are essential to achieving health-related Sustainable Development Goals (SDGs) and improving global COPD outcomes.&quot;,&quot;publisher&quot;:&quot;BioMed Central Ltd&quot;,&quot;issue&quot;:&quot;1&quot;,&quot;volume&quot;:&quot;23&quot;},&quot;isTemporary&quot;:false}]},{&quot;citationID&quot;:&quot;MENDELEY_CITATION_0eeab651-6619-4037-8163-c2b039f20875&quot;,&quot;properties&quot;:{&quot;noteIndex&quot;:0},&quot;isEdited&quot;:false,&quot;manualOverride&quot;:{&quot;isManuallyOverridden&quot;:false,&quot;citeprocText&quot;:&quot;[42]&quot;,&quot;manualOverrideText&quot;:&quot;&quot;},&quot;citationTag&quot;:&quot;MENDELEY_CITATION_v3_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&quot;,&quot;citationItems&quot;:[{&quot;id&quot;:&quot;2e9c5de0-590e-31cf-9d76-003cab38c26a&quot;,&quot;itemData&quot;:{&quot;type&quot;:&quot;article-journal&quot;,&quot;id&quot;:&quot;2e9c5de0-590e-31cf-9d76-003cab38c26a&quot;,&quot;title&quot;:&quot;The global economic burden of chronic obstructive pulmonary disease for 204 countries and territories in 2020–50: a health-augmented macroeconomic modelling study&quot;,&quot;author&quot;:[{&quot;family&quot;:&quot;Chen&quot;,&quot;given&quot;:&quot;Simiao&quot;,&quot;parse-names&quot;:false,&quot;dropping-particle&quot;:&quot;&quot;,&quot;non-dropping-particle&quot;:&quot;&quot;},{&quot;family&quot;:&quot;Kuhn&quot;,&quot;given&quot;:&quot;Michael&quot;,&quot;parse-names&quot;:false,&quot;dropping-particle&quot;:&quot;&quot;,&quot;non-dropping-particle&quot;:&quot;&quot;},{&quot;family&quot;:&quot;Prettner&quot;,&quot;given&quot;:&quot;Klaus&quot;,&quot;parse-names&quot;:false,&quot;dropping-particle&quot;:&quot;&quot;,&quot;non-dropping-particle&quot;:&quot;&quot;},{&quot;family&quot;:&quot;Yu&quot;,&quot;given&quot;:&quot;Fengyun&quot;,&quot;parse-names&quot;:false,&quot;dropping-particle&quot;:&quot;&quot;,&quot;non-dropping-particle&quot;:&quot;&quot;},{&quot;family&quot;:&quot;Yang&quot;,&quot;given&quot;:&quot;Ting&quot;,&quot;parse-names&quot;:false,&quot;dropping-particle&quot;:&quot;&quot;,&quot;non-dropping-particle&quot;:&quot;&quot;},{&quot;family&quot;:&quot;Bärnighausen&quot;,&quot;given&quot;:&quot;Till&quot;,&quot;parse-names&quot;:false,&quot;dropping-particle&quot;:&quot;&quot;,&quot;non-dropping-particle&quot;:&quot;&quot;},{&quot;family&quot;:&quot;Bloom&quot;,&quot;given&quot;:&quot;David E.&quot;,&quot;parse-names&quot;:false,&quot;dropping-particle&quot;:&quot;&quot;,&quot;non-dropping-particle&quot;:&quot;&quot;},{&quot;family&quot;:&quot;Wang&quot;,&quot;given&quot;:&quot;Chen&quot;,&quot;parse-names&quot;:false,&quot;dropping-particle&quot;:&quot;&quot;,&quot;non-dropping-particle&quot;:&quot;&quot;}],&quot;container-title&quot;:&quot;The Lancet. Global Health&quot;,&quot;container-title-short&quot;:&quot;Lancet Glob Health&quot;,&quot;accessed&quot;:{&quot;date-parts&quot;:[[2024,8,30]]},&quot;DOI&quot;:&quot;10.1016/S2214-109X(23)00217-6&quot;,&quot;ISSN&quot;:&quot;2214109X&quot;,&quot;PMID&quot;:&quot;37474226&quot;,&quot;URL&quot;:&quot;/pmc/articles/PMC10369014/&quot;,&quot;issued&quot;:{&quot;date-parts&quot;:[[2023,8,1]]},&quot;page&quot;:&quot;e1183&quot;,&quot;abstract&quot;:&quot;Background: Chronic obstructive pulmonary disease (COPD) is the third leading cause of death worldwide and imposes a substantial economic burden. Gaining a thorough understanding of the economic implications of COPD is an important prerequisite for sound, evidence-based policy making. We aimed to estimate the macroeconomic burden of COPD for each country and establish its distribution across world regions. Methods: In this health-augmented macroeconomic modelling study we estimated the macroeconomic burden of COPD for 204 countries and territories over the period 2020–50. The model accounted for (1) the effect of COPD mortality and morbidity on labour supply, (2) age and sex specific differences in education and work experience among those affected by COPD, and (3) the impact of COPD treatment costs on physical capital accumulation. We obtained data from various public sources including the Global Burden of Disease Study 2019, the World Bank database, and the literature. The macroeconomic burden of COPD was assessed by comparing gross domestic product (GDP) between a scenario projecting disease prevalence based on current estimates and a counterfactual scenario with zero COPD prevalence from 2020 to 2050. Findings: Our findings suggest that COPD will cost the world economy INT$4·326 trillion (uncertainty interval 3·327–5·516; at constant 2017 prices) in 2020–50. This economic effect is equivalent to a yearly tax of 0·111% (0·085–0·141) on global GDP. China and the USA face the largest economic burdens from COPD, accounting for INT$1·363 trillion (uncertainty interval 1·034–1·801) and INT$1·037 trillion (0·868–1·175), respectively. Interpretation: The macroeconomic burden of COPD is large and unequally distributed across countries, world regions, and income levels. Our study stresses the urgent need to invest in global efforts to curb the health and economic burdens of COPD. Investments in effective interventions against COPD do not represent a burden but could instead provide substantial economic returns in the foreseeable future. Funding: Alexander von Humboldt Foundation, National Natural Science Foundation of China, CAMS Innovation Fund for Medical Science, Chinese Academy of Engineering project, Chinese Academy of Medical Sciences and Peking Union Medical College project, and Horizon Europe. Translations: For the Chinese and German translations of the abstract see Supplementary Materials section.&quot;,&quot;publisher&quot;:&quot;Elsevier&quot;,&quot;issue&quot;:&quot;8&quot;,&quot;volume&quot;:&quot;11&quot;},&quot;isTemporary&quot;:false}]},{&quot;citationID&quot;:&quot;MENDELEY_CITATION_d3fb2f77-eda5-4add-9a5d-d81b2b650668&quot;,&quot;properties&quot;:{&quot;noteIndex&quot;:0},&quot;isEdited&quot;:false,&quot;manualOverride&quot;:{&quot;isManuallyOverridden&quot;:false,&quot;citeprocText&quot;:&quot;[42]&quot;,&quot;manualOverrideText&quot;:&quot;&quot;},&quot;citationTag&quot;:&quot;MENDELEY_CITATION_v3_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&quot;,&quot;citationItems&quot;:[{&quot;id&quot;:&quot;2e9c5de0-590e-31cf-9d76-003cab38c26a&quot;,&quot;itemData&quot;:{&quot;type&quot;:&quot;article-journal&quot;,&quot;id&quot;:&quot;2e9c5de0-590e-31cf-9d76-003cab38c26a&quot;,&quot;title&quot;:&quot;The global economic burden of chronic obstructive pulmonary disease for 204 countries and territories in 2020–50: a health-augmented macroeconomic modelling study&quot;,&quot;author&quot;:[{&quot;family&quot;:&quot;Chen&quot;,&quot;given&quot;:&quot;Simiao&quot;,&quot;parse-names&quot;:false,&quot;dropping-particle&quot;:&quot;&quot;,&quot;non-dropping-particle&quot;:&quot;&quot;},{&quot;family&quot;:&quot;Kuhn&quot;,&quot;given&quot;:&quot;Michael&quot;,&quot;parse-names&quot;:false,&quot;dropping-particle&quot;:&quot;&quot;,&quot;non-dropping-particle&quot;:&quot;&quot;},{&quot;family&quot;:&quot;Prettner&quot;,&quot;given&quot;:&quot;Klaus&quot;,&quot;parse-names&quot;:false,&quot;dropping-particle&quot;:&quot;&quot;,&quot;non-dropping-particle&quot;:&quot;&quot;},{&quot;family&quot;:&quot;Yu&quot;,&quot;given&quot;:&quot;Fengyun&quot;,&quot;parse-names&quot;:false,&quot;dropping-particle&quot;:&quot;&quot;,&quot;non-dropping-particle&quot;:&quot;&quot;},{&quot;family&quot;:&quot;Yang&quot;,&quot;given&quot;:&quot;Ting&quot;,&quot;parse-names&quot;:false,&quot;dropping-particle&quot;:&quot;&quot;,&quot;non-dropping-particle&quot;:&quot;&quot;},{&quot;family&quot;:&quot;Bärnighausen&quot;,&quot;given&quot;:&quot;Till&quot;,&quot;parse-names&quot;:false,&quot;dropping-particle&quot;:&quot;&quot;,&quot;non-dropping-particle&quot;:&quot;&quot;},{&quot;family&quot;:&quot;Bloom&quot;,&quot;given&quot;:&quot;David E.&quot;,&quot;parse-names&quot;:false,&quot;dropping-particle&quot;:&quot;&quot;,&quot;non-dropping-particle&quot;:&quot;&quot;},{&quot;family&quot;:&quot;Wang&quot;,&quot;given&quot;:&quot;Chen&quot;,&quot;parse-names&quot;:false,&quot;dropping-particle&quot;:&quot;&quot;,&quot;non-dropping-particle&quot;:&quot;&quot;}],&quot;container-title&quot;:&quot;The Lancet. Global Health&quot;,&quot;container-title-short&quot;:&quot;Lancet Glob Health&quot;,&quot;accessed&quot;:{&quot;date-parts&quot;:[[2024,8,30]]},&quot;DOI&quot;:&quot;10.1016/S2214-109X(23)00217-6&quot;,&quot;ISSN&quot;:&quot;2214109X&quot;,&quot;PMID&quot;:&quot;37474226&quot;,&quot;URL&quot;:&quot;/pmc/articles/PMC10369014/&quot;,&quot;issued&quot;:{&quot;date-parts&quot;:[[2023,8,1]]},&quot;page&quot;:&quot;e1183&quot;,&quot;abstract&quot;:&quot;Background: Chronic obstructive pulmonary disease (COPD) is the third leading cause of death worldwide and imposes a substantial economic burden. Gaining a thorough understanding of the economic implications of COPD is an important prerequisite for sound, evidence-based policy making. We aimed to estimate the macroeconomic burden of COPD for each country and establish its distribution across world regions. Methods: In this health-augmented macroeconomic modelling study we estimated the macroeconomic burden of COPD for 204 countries and territories over the period 2020–50. The model accounted for (1) the effect of COPD mortality and morbidity on labour supply, (2) age and sex specific differences in education and work experience among those affected by COPD, and (3) the impact of COPD treatment costs on physical capital accumulation. We obtained data from various public sources including the Global Burden of Disease Study 2019, the World Bank database, and the literature. The macroeconomic burden of COPD was assessed by comparing gross domestic product (GDP) between a scenario projecting disease prevalence based on current estimates and a counterfactual scenario with zero COPD prevalence from 2020 to 2050. Findings: Our findings suggest that COPD will cost the world economy INT$4·326 trillion (uncertainty interval 3·327–5·516; at constant 2017 prices) in 2020–50. This economic effect is equivalent to a yearly tax of 0·111% (0·085–0·141) on global GDP. China and the USA face the largest economic burdens from COPD, accounting for INT$1·363 trillion (uncertainty interval 1·034–1·801) and INT$1·037 trillion (0·868–1·175), respectively. Interpretation: The macroeconomic burden of COPD is large and unequally distributed across countries, world regions, and income levels. Our study stresses the urgent need to invest in global efforts to curb the health and economic burdens of COPD. Investments in effective interventions against COPD do not represent a burden but could instead provide substantial economic returns in the foreseeable future. Funding: Alexander von Humboldt Foundation, National Natural Science Foundation of China, CAMS Innovation Fund for Medical Science, Chinese Academy of Engineering project, Chinese Academy of Medical Sciences and Peking Union Medical College project, and Horizon Europe. Translations: For the Chinese and German translations of the abstract see Supplementary Materials section.&quot;,&quot;publisher&quot;:&quot;Elsevier&quot;,&quot;issue&quot;:&quot;8&quot;,&quot;volume&quot;:&quot;11&quot;},&quot;isTemporary&quot;:false}]},{&quot;citationID&quot;:&quot;MENDELEY_CITATION_e7991f44-c516-462c-82d1-9799f88204a2&quot;,&quot;properties&quot;:{&quot;noteIndex&quot;:0},&quot;isEdited&quot;:false,&quot;manualOverride&quot;:{&quot;isManuallyOverridden&quot;:false,&quot;citeprocText&quot;:&quot;[44]&quot;,&quot;manualOverrideText&quot;:&quot;&quot;},&quot;citationTag&quot;:&quot;MENDELEY_CITATION_v3_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&quot;,&quot;citationItems&quot;:[{&quot;id&quot;:&quot;cae57de1-000c-3797-9024-2ce5bd7d83fa&quot;,&quot;itemData&quot;:{&quot;type&quot;:&quot;article-journal&quot;,&quot;id&quot;:&quot;cae57de1-000c-3797-9024-2ce5bd7d83fa&quot;,&quot;title&quot;:&quot;The economic burden of chronic obstructive pulmonary disease (COPD) in Europe: results from a systematic review of the literature&quot;,&quot;author&quot;:[{&quot;family&quot;:&quot;Rehman&quot;,&quot;given&quot;:&quot;Anees ur&quot;,&quot;parse-names&quot;:false,&quot;dropping-particle&quot;:&quot;&quot;,&quot;non-dropping-particle&quot;:&quot;&quot;},{&quot;family&quot;:&quot;Hassali&quot;,&quot;given&quot;:&quot;Mohamed Azmi Ahmad&quot;,&quot;parse-names&quot;:false,&quot;dropping-particle&quot;:&quot;&quot;,&quot;non-dropping-particle&quot;:&quot;&quot;},{&quot;family&quot;:&quot;Muhammad&quot;,&quot;given&quot;:&quot;Sohail Ayaz&quot;,&quot;parse-names&quot;:false,&quot;dropping-particle&quot;:&quot;&quot;,&quot;non-dropping-particle&quot;:&quot;&quot;},{&quot;family&quot;:&quot;Harun&quot;,&quot;given&quot;:&quot;Sabariah Noor&quot;,&quot;parse-names&quot;:false,&quot;dropping-particle&quot;:&quot;&quot;,&quot;non-dropping-particle&quot;:&quot;&quot;},{&quot;family&quot;:&quot;Shah&quot;,&quot;given&quot;:&quot;Shahid&quot;,&quot;parse-names&quot;:false,&quot;dropping-particle&quot;:&quot;&quot;,&quot;non-dropping-particle&quot;:&quot;&quot;},{&quot;family&quot;:&quot;Abbas&quot;,&quot;given&quot;:&quot;Sameen&quot;,&quot;parse-names&quot;:false,&quot;dropping-particle&quot;:&quot;&quot;,&quot;non-dropping-particle&quot;:&quot;&quot;}],&quot;container-title&quot;:&quot;European Journal of Health Economics&quot;,&quot;accessed&quot;:{&quot;date-parts&quot;:[[2024,8,29]]},&quot;DOI&quot;:&quot;10.1007/S10198-019-01119-1/FIGURES/2&quot;,&quot;ISSN&quot;:&quot;16187601&quot;,&quot;PMID&quot;:&quot;31564007&quot;,&quot;URL&quot;:&quot;https://link.springer.com/article/10.1007/s10198-019-01119-1&quot;,&quot;issued&quot;:{&quot;date-parts&quot;:[[2020,3,1]]},&quot;page&quot;:&quot;181-194&quot;,&quot;abstract&quot;:&quot;Objectives: To find the economic burden of COPD and to identify the key cost drivers in the management of COPD patients across different European countries. Background: COPD is a major cause of mortality and morbidity and is associated with considerable economic burden on the individual and society. It limits the daily activities and working ability of the patients. Methodology: We conducted a systematic search of PUBMED, SCIENCE DIRECT, Cochrane CENTRAL, SCOPUS, Google Scholar and SAGE Premier Databases to find scientific research articles evaluating the cost of COPD management from patient and societal perspective. Results: Estimated per patient per year direct cost in Norway, Denmark, Germany, Italy, Sweden, Greece, Belgium, and Serbia was €10,701, €9580, €7847, €7448, €7045, €2896, €1963, and €2047, respectively. Annual per patient cost of work productivity loss was highest in Germany as €5735 and lowest in Greece as €998. It was estimated as €4824, €2033 and €1298 in Bulgaria, Denmark and Sweden, respectively. Several factors found associated with increasing cost of COPD management that include but not limited to late diagnosis, severity of disease, frequency of exacerbation, hospital readmissions, non-adherence to the therapy and exposure to COPD risk factors. Conclusion: Minimizing the COPD exacerbations and controlling the worsening of symptoms may potentially reduce the cost of COPD management at any stage.&quot;,&quot;publisher&quot;:&quot;Springer&quot;,&quot;issue&quot;:&quot;2&quot;,&quot;volume&quot;:&quot;21&quot;,&quot;container-title-short&quot;:&quot;&quot;},&quot;isTemporary&quot;:false}]},{&quot;citationID&quot;:&quot;MENDELEY_CITATION_fc25e02d-d435-4167-bbec-d969c31ecbfa&quot;,&quot;properties&quot;:{&quot;noteIndex&quot;:0},&quot;isEdited&quot;:false,&quot;manualOverride&quot;:{&quot;isManuallyOverridden&quot;:false,&quot;citeprocText&quot;:&quot;[44]&quot;,&quot;manualOverrideText&quot;:&quot;&quot;},&quot;citationTag&quot;:&quot;MENDELEY_CITATION_v3_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&quot;,&quot;citationItems&quot;:[{&quot;id&quot;:&quot;cae57de1-000c-3797-9024-2ce5bd7d83fa&quot;,&quot;itemData&quot;:{&quot;type&quot;:&quot;article-journal&quot;,&quot;id&quot;:&quot;cae57de1-000c-3797-9024-2ce5bd7d83fa&quot;,&quot;title&quot;:&quot;The economic burden of chronic obstructive pulmonary disease (COPD) in Europe: results from a systematic review of the literature&quot;,&quot;author&quot;:[{&quot;family&quot;:&quot;Rehman&quot;,&quot;given&quot;:&quot;Anees ur&quot;,&quot;parse-names&quot;:false,&quot;dropping-particle&quot;:&quot;&quot;,&quot;non-dropping-particle&quot;:&quot;&quot;},{&quot;family&quot;:&quot;Hassali&quot;,&quot;given&quot;:&quot;Mohamed Azmi Ahmad&quot;,&quot;parse-names&quot;:false,&quot;dropping-particle&quot;:&quot;&quot;,&quot;non-dropping-particle&quot;:&quot;&quot;},{&quot;family&quot;:&quot;Muhammad&quot;,&quot;given&quot;:&quot;Sohail Ayaz&quot;,&quot;parse-names&quot;:false,&quot;dropping-particle&quot;:&quot;&quot;,&quot;non-dropping-particle&quot;:&quot;&quot;},{&quot;family&quot;:&quot;Harun&quot;,&quot;given&quot;:&quot;Sabariah Noor&quot;,&quot;parse-names&quot;:false,&quot;dropping-particle&quot;:&quot;&quot;,&quot;non-dropping-particle&quot;:&quot;&quot;},{&quot;family&quot;:&quot;Shah&quot;,&quot;given&quot;:&quot;Shahid&quot;,&quot;parse-names&quot;:false,&quot;dropping-particle&quot;:&quot;&quot;,&quot;non-dropping-particle&quot;:&quot;&quot;},{&quot;family&quot;:&quot;Abbas&quot;,&quot;given&quot;:&quot;Sameen&quot;,&quot;parse-names&quot;:false,&quot;dropping-particle&quot;:&quot;&quot;,&quot;non-dropping-particle&quot;:&quot;&quot;}],&quot;container-title&quot;:&quot;European Journal of Health Economics&quot;,&quot;accessed&quot;:{&quot;date-parts&quot;:[[2024,8,29]]},&quot;DOI&quot;:&quot;10.1007/S10198-019-01119-1/FIGURES/2&quot;,&quot;ISSN&quot;:&quot;16187601&quot;,&quot;PMID&quot;:&quot;31564007&quot;,&quot;URL&quot;:&quot;https://link.springer.com/article/10.1007/s10198-019-01119-1&quot;,&quot;issued&quot;:{&quot;date-parts&quot;:[[2020,3,1]]},&quot;page&quot;:&quot;181-194&quot;,&quot;abstract&quot;:&quot;Objectives: To find the economic burden of COPD and to identify the key cost drivers in the management of COPD patients across different European countries. Background: COPD is a major cause of mortality and morbidity and is associated with considerable economic burden on the individual and society. It limits the daily activities and working ability of the patients. Methodology: We conducted a systematic search of PUBMED, SCIENCE DIRECT, Cochrane CENTRAL, SCOPUS, Google Scholar and SAGE Premier Databases to find scientific research articles evaluating the cost of COPD management from patient and societal perspective. Results: Estimated per patient per year direct cost in Norway, Denmark, Germany, Italy, Sweden, Greece, Belgium, and Serbia was €10,701, €9580, €7847, €7448, €7045, €2896, €1963, and €2047, respectively. Annual per patient cost of work productivity loss was highest in Germany as €5735 and lowest in Greece as €998. It was estimated as €4824, €2033 and €1298 in Bulgaria, Denmark and Sweden, respectively. Several factors found associated with increasing cost of COPD management that include but not limited to late diagnosis, severity of disease, frequency of exacerbation, hospital readmissions, non-adherence to the therapy and exposure to COPD risk factors. Conclusion: Minimizing the COPD exacerbations and controlling the worsening of symptoms may potentially reduce the cost of COPD management at any stage.&quot;,&quot;publisher&quot;:&quot;Springer&quot;,&quot;issue&quot;:&quot;2&quot;,&quot;volume&quot;:&quot;21&quot;,&quot;container-title-short&quot;:&quot;&quot;},&quot;isTemporary&quot;:false}]},{&quot;citationID&quot;:&quot;MENDELEY_CITATION_ff2af69b-654f-444e-a471-d3046dc86ee1&quot;,&quot;properties&quot;:{&quot;noteIndex&quot;:0},&quot;isEdited&quot;:false,&quot;manualOverride&quot;:{&quot;isManuallyOverridden&quot;:false,&quot;citeprocText&quot;:&quot;[43]&quot;,&quot;manualOverrideText&quot;:&quot;&quot;},&quot;citationTag&quot;:&quot;MENDELEY_CITATION_v3_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&quot;,&quot;citationItems&quot;:[{&quot;id&quot;:&quot;73b54aec-db21-34ac-af03-bb0c98142181&quot;,&quot;itemData&quot;:{&quot;type&quot;:&quot;article-journal&quot;,&quot;id&quot;:&quot;73b54aec-db21-34ac-af03-bb0c98142181&quot;,&quot;title&quot;:&quot;Economic Burden of Chronic Obstructive Pulmonary Disease (COPD): A Systematic Literature Review&quot;,&quot;author&quot;:[{&quot;family&quot;:&quot;Iheanacho&quot;,&quot;given&quot;:&quot;Ike&quot;,&quot;parse-names&quot;:false,&quot;dropping-particle&quot;:&quot;&quot;,&quot;non-dropping-particle&quot;:&quot;&quot;},{&quot;family&quot;:&quot;Zhang&quot;,&quot;given&quot;:&quot;Shiyuan&quot;,&quot;parse-names&quot;:false,&quot;dropping-particle&quot;:&quot;&quot;,&quot;non-dropping-particle&quot;:&quot;&quot;},{&quot;family&quot;:&quot;King&quot;,&quot;given&quot;:&quot;Denise&quot;,&quot;parse-names&quot;:false,&quot;dropping-particle&quot;:&quot;&quot;,&quot;non-dropping-particle&quot;:&quot;&quot;},{&quot;family&quot;:&quot;Rizzo&quot;,&quot;given&quot;:&quot;Maria&quot;,&quot;parse-names&quot;:false,&quot;dropping-particle&quot;:&quot;&quot;,&quot;non-dropping-particle&quot;:&quot;&quot;},{&quot;family&quot;:&quot;Ismaila&quot;,&quot;given&quot;:&quot;Afisi S.&quot;,&quot;parse-names&quot;:false,&quot;dropping-particle&quot;:&quot;&quot;,&quot;non-dropping-particle&quot;:&quot;&quot;}],&quot;container-title&quot;:&quot;International Journal of Chronic Obstructive Pulmonary Disease&quot;,&quot;accessed&quot;:{&quot;date-parts&quot;:[[2024,8,29]]},&quot;DOI&quot;:&quot;10.2147/COPD.S234942&quot;,&quot;ISSN&quot;:&quot;11782005&quot;,&quot;PMID&quot;:&quot;32161455&quot;,&quot;URL&quot;:&quot;/pmc/articles/PMC7049777/&quot;,&quot;issued&quot;:{&quot;date-parts&quot;:[[2020]]},&quot;page&quot;:&quot;439&quot;,&quot;abstract&quot;:&quot;Background and Objectives: Chronic obstructive pulmonary disease (COPD) affects over 250 million people globally, carrying a notable economic burden. This systematic literature review aimed to highlight the economic burden associated with moderate-to-very severe COPD and to investigate key drivers of healthcare resource utilization (HRU), direct costs and indirect costs for this patient population. Materials and Methods: Relevant publications published between January 1, 2006 and November 14, 2016 were captured from the Embase, MEDLINE and MEDLINE In-Process databases. Supplemental searches from relevant 2015–2016 conferences were also performed. Titles and abstracts were reviewed by two independent researchers against predefined inclusion and exclusion criteria. Studies were grouped by the type of economic outcome presented (HRU or costs). Where possible, data were also grouped according to COPD severity and/or patient exacerbation history. Results: In total, 73 primary publications were included in this review: 66 reported HRU, 22 reported direct costs and one reported indirect costs. Most of the studies (94%) reported on data from either Europe or North America. Trends were noted across multiple studies for higher direct costs (including mean costs per patient per year and mean costs per exacerbation) being associated with increasingly severe COPD and/or a history of more frequent or severe exacerbations. Similar trends were noted according to COPD severity and/or exacerbation history for rate of hospitalization and primary care visits. Multivariate analyses were reported by 29 studies and demonstrated the statistical significance of these associations. Several other drivers of increased costs and HRU were highlighted for patients with moderate-to-very severe COPD, including comorbidities, and treatment history. Conclusion: Moderate-to-very severe COPD represents a considerable economic burden for healthcare providers despite the availability of efficacious treatments and comprehensive guidelines on their use. Further research is warranted to ensure cost-efficient COPD management, to improve treatments and ease budgetary pressures.&quot;,&quot;publisher&quot;:&quot;Dove Press&quot;,&quot;volume&quot;:&quot;15&quot;,&quot;container-title-short&quot;:&quot;Int J Chron Obstruct Pulmon Dis&quot;},&quot;isTemporary&quot;:false}]},{&quot;citationID&quot;:&quot;MENDELEY_CITATION_9b1b78ac-c358-47f5-b341-2bd4bab10f0c&quot;,&quot;properties&quot;:{&quot;noteIndex&quot;:0},&quot;isEdited&quot;:false,&quot;manualOverride&quot;:{&quot;isManuallyOverridden&quot;:false,&quot;citeprocText&quot;:&quot;[47]&quot;,&quot;manualOverrideText&quot;:&quot;&quot;},&quot;citationTag&quot;:&quot;MENDELEY_CITATION_v3_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&quot;,&quot;citationItems&quot;:[{&quot;id&quot;:&quot;7f3bdcc9-1eb8-3b7c-a136-f37089604535&quot;,&quot;itemData&quot;:{&quot;type&quot;:&quot;article-journal&quot;,&quot;id&quot;:&quot;7f3bdcc9-1eb8-3b7c-a136-f37089604535&quot;,&quot;title&quot;:&quot;The clinical and economic burden of chronic obstructive pulmonary disease in the USA&quot;,&quot;author&quot;:[{&quot;family&quot;:&quot;Guarascio&quot;,&quot;given&quot;:&quot;Anthony J.&quot;,&quot;parse-names&quot;:false,&quot;dropping-particle&quot;:&quot;&quot;,&quot;non-dropping-particle&quot;:&quot;&quot;},{&quot;family&quot;:&quot;Ray&quot;,&quot;given&quot;:&quot;Shauntá M.&quot;,&quot;parse-names&quot;:false,&quot;dropping-particle&quot;:&quot;&quot;,&quot;non-dropping-particle&quot;:&quot;&quot;},{&quot;family&quot;:&quot;Finch&quot;,&quot;given&quot;:&quot;Christopher K.&quot;,&quot;parse-names&quot;:false,&quot;dropping-particle&quot;:&quot;&quot;,&quot;non-dropping-particle&quot;:&quot;&quot;},{&quot;family&quot;:&quot;Self&quot;,&quot;given&quot;:&quot;Timothy H.&quot;,&quot;parse-names&quot;:false,&quot;dropping-particle&quot;:&quot;&quot;,&quot;non-dropping-particle&quot;:&quot;&quot;}],&quot;container-title&quot;:&quot;ClinicoEconomics and Outcomes Research: CEOR&quot;,&quot;accessed&quot;:{&quot;date-parts&quot;:[[2024,9,1]]},&quot;DOI&quot;:&quot;10.2147/CEOR.S34321&quot;,&quot;ISSN&quot;:&quot;11786981&quot;,&quot;PMID&quot;:&quot;23818799&quot;,&quot;URL&quot;:&quot;/pmc/articles/PMC3694800/&quot;,&quot;issued&quot;:{&quot;date-parts&quot;:[[2013]]},&quot;page&quot;:&quot;235&quot;,&quot;abstract&quot;:&quot;Chronic obstructive pulmonary disease (COPD) is the third most common cause of death in the USA. In 2010, the cost of COPD in the USA was projected to be approximately US$50 billion, which includes $20 billion in indirect costs and $30 billion in direct health care expenditures. These costs can be expected to continue to rise with this progressive disease. Costs increase with increasing severity of disease, and hospital stays account for the majority of these costs. Patients are diagnosed with COPD following a multi factorial assessment that includes spirometry, clinical presentation, symptomatology, and risk factors. Smoking cessation interventions are the most influential factor in COPD management. The primary goal of chronic COPD management is stabilization of chronic disease and prevention of acute exacerbations. Bronchodilators are the mainstay of COPD therapy. Patients with few symptoms and low exacerbation risk should be treated with a short-acting bronchodilator as needed for breathlessness. Progression of symptoms, as well as possible decline in forced expiratory volume in the first second of expiration (FEV1), warrant the use of long-acting bronchodilators. For patients with frequent exacerbations with or without consistent symptoms, inhaled corticosteroids should be considered in addition to a long-acting beta2-agonist (LABA) or long-acting muscarinic antagonist (LAMA) and may even consist of \&quot;triple therapy\&quot; with all three agents with more severe disease. Phosphodiesterase-4 inhibitors may be an option in patients with frequent exacerbations and symptoms of chronic bronchitis. In addition to a variety of novel ultra-LABAs, LAMAs and combination bronchodilator and inhaled corticosteroid (ICS) therapies, other bronchodilators with a variety of mechanisms are also being considered, to expand therapeutic options for the treatment of COPD. With more than 50 new medications in the pipeline for the treatment of COPD, optimal management will continue to evolve and grow more complex as benefits of therapy are balanced with the limitations and needs of each patient. © 2013 Guarascio et al, publisher and licensee Dove Medical Press Ltd.&quot;,&quot;publisher&quot;:&quot;Dove Press&quot;,&quot;issue&quot;:&quot;1&quot;,&quot;volume&quot;:&quot;5&quot;,&quot;container-title-short&quot;:&quot;Clinicoecon Outcomes Res&quot;},&quot;isTemporary&quot;:false}]},{&quot;citationID&quot;:&quot;MENDELEY_CITATION_b84c06cf-f575-433a-a577-1451daf480e1&quot;,&quot;properties&quot;:{&quot;noteIndex&quot;:0},&quot;isEdited&quot;:false,&quot;manualOverride&quot;:{&quot;isManuallyOverridden&quot;:false,&quot;citeprocText&quot;:&quot;[9]&quot;,&quot;manualOverrideText&quot;:&quot;&quot;},&quot;citationTag&quot;:&quot;MENDELEY_CITATION_v3_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&quot;,&quot;citationItems&quot;:[{&quot;id&quot;:&quot;d9253a9a-c28b-34c9-b795-7eaa454c43c8&quot;,&quot;itemData&quot;:{&quot;type&quot;:&quot;article-journal&quot;,&quot;id&quot;:&quot;d9253a9a-c28b-34c9-b795-7eaa454c43c8&quot;,&quot;title&quot;:&quot;National and Local Direct Medical Cost Burden of COPD in the United States From 2016 to 2019 and Projections Through 2029&quot;,&quot;author&quot;:[{&quot;family&quot;:&quot;Mannino&quot;,&quot;given&quot;:&quot;David M.&quot;,&quot;parse-names&quot;:false,&quot;dropping-particle&quot;:&quot;&quot;,&quot;non-dropping-particle&quot;:&quot;&quot;},{&quot;family&quot;:&quot;Roberts&quot;,&quot;given&quot;:&quot;Melissa H.&quot;,&quot;parse-names&quot;:false,&quot;dropping-particle&quot;:&quot;&quot;,&quot;non-dropping-particle&quot;:&quot;&quot;},{&quot;family&quot;:&quot;Mapel&quot;,&quot;given&quot;:&quot;Douglas W.&quot;,&quot;parse-names&quot;:false,&quot;dropping-particle&quot;:&quot;&quot;,&quot;non-dropping-particle&quot;:&quot;&quot;},{&quot;family&quot;:&quot;Zhang&quot;,&quot;given&quot;:&quot;Qisu&quot;,&quot;parse-names&quot;:false,&quot;dropping-particle&quot;:&quot;&quot;,&quot;non-dropping-particle&quot;:&quot;&quot;},{&quot;family&quot;:&quot;Lunacsek&quot;,&quot;given&quot;:&quot;Orsolya&quot;,&quot;parse-names&quot;:false,&quot;dropping-particle&quot;:&quot;&quot;,&quot;non-dropping-particle&quot;:&quot;&quot;},{&quot;family&quot;:&quot;Grabich&quot;,&quot;given&quot;:&quot;Shannon&quot;,&quot;parse-names&quot;:false,&quot;dropping-particle&quot;:&quot;&quot;,&quot;non-dropping-particle&quot;:&quot;&quot;},{&quot;family&quot;:&quot;Stiphout&quot;,&quot;given&quot;:&quot;Joris&quot;,&quot;parse-names&quot;:false,&quot;dropping-particle&quot;:&quot;&quot;,&quot;non-dropping-particle&quot;:&quot;van&quot;},{&quot;family&quot;:&quot;Meadors&quot;,&quot;given&quot;:&quot;Brian L.&quot;,&quot;parse-names&quot;:false,&quot;dropping-particle&quot;:&quot;&quot;,&quot;non-dropping-particle&quot;:&quot;&quot;},{&quot;family&quot;:&quot;Feigler&quot;,&quot;given&quot;:&quot;Norbert&quot;,&quot;parse-names&quot;:false,&quot;dropping-particle&quot;:&quot;&quot;,&quot;non-dropping-particle&quot;:&quot;&quot;},{&quot;family&quot;:&quot;Pollack&quot;,&quot;given&quot;:&quot;Michael F.&quot;,&quot;parse-names&quot;:false,&quot;dropping-particle&quot;:&quot;&quot;,&quot;non-dropping-particle&quot;:&quot;&quot;}],&quot;container-title&quot;:&quot;Chest&quot;,&quot;container-title-short&quot;:&quot;Chest&quot;,&quot;accessed&quot;:{&quot;date-parts&quot;:[[2024,9,1]]},&quot;DOI&quot;:&quot;10.1016/J.CHEST.2023.11.040&quot;,&quot;ISSN&quot;:&quot;1931-3543&quot;,&quot;PMID&quot;:&quot;38042365&quot;,&quot;URL&quot;:&quot;https://pubmed.ncbi.nlm.nih.gov/38042365/&quot;,&quot;issued&quot;:{&quot;date-parts&quot;:[[2024,5,1]]},&quot;page&quot;:&quot;1093-1106&quot;,&quot;abstract&quot;:&quot;Background: Despite the significant burden posed by COPD to health care systems, there is a lack of up-to-date information quantifying the general COPD burden, costs, and long-term projections to various stakeholders in the United States. Research Question: What are the updated state-specific and nationwide estimates of the COPD disease burden and direct costs in 2019, along with projections of COPD-attributable medical costs through 2029? Study Design and Methods: A cross-sectional, retrospective study design using the 2016 to 2019 Medical Expenditure Panel Survey, 2019 American Community Survey, and 2019 Behavioral Risk Factor Surveillance System data was applied to generate COPD-attributable expenditure estimates. Cost projections for the years 2020 to 2029 were based on 2017 national population projections reported by the US Census Bureau, and all costs were adjusted to 2019 US dollars. Results: In total, 4,135 people living with COPD were included; a higher proportion had other concurrent conditions such as cardiovascular-related conditions compared with people without COPD (n = 86,021). Overall, in 2019, COPD-attributable medical costs after adjusting for demographic characteristics and 19 concurrent conditions (including COPD-related and non-COPD-related conditions) were estimated at $31.3 billion, with state-specific cost estimates reporting wide variation, from $44.8 million in Alaska to $3.1 billion in Florida. Nationwide COPD-attributable medical costs borne by payer type were as follows: private insurance, $11.4 billion; Medicare, $10.8 billion; and Medicaid, $3.0 billion. Projections of national medical costs attributable to COPD are reported to increase to $60.5 billion in 2029. Interpretation: Understanding the current disease and economic burden of COPD in the United States, along with the projected costs attributable to COPD in the next decade, will highlight unmet needs and gaps in care that help inform health care decision-makers in planning future actions to alleviate this disease burden.&quot;,&quot;publisher&quot;:&quot;Chest&quot;,&quot;issue&quot;:&quot;5&quot;,&quot;volume&quot;:&quot;165&quot;},&quot;isTemporary&quot;:false}]},{&quot;citationID&quot;:&quot;MENDELEY_CITATION_cb451d73-bd91-4326-b8be-51f739e8dd02&quot;,&quot;properties&quot;:{&quot;noteIndex&quot;:0},&quot;isEdited&quot;:false,&quot;manualOverride&quot;:{&quot;isManuallyOverridden&quot;:false,&quot;citeprocText&quot;:&quot;[9]&quot;,&quot;manualOverrideText&quot;:&quot;&quot;},&quot;citationTag&quot;:&quot;MENDELEY_CITATION_v3_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&quot;,&quot;citationItems&quot;:[{&quot;id&quot;:&quot;d9253a9a-c28b-34c9-b795-7eaa454c43c8&quot;,&quot;itemData&quot;:{&quot;type&quot;:&quot;article-journal&quot;,&quot;id&quot;:&quot;d9253a9a-c28b-34c9-b795-7eaa454c43c8&quot;,&quot;title&quot;:&quot;National and Local Direct Medical Cost Burden of COPD in the United States From 2016 to 2019 and Projections Through 2029&quot;,&quot;author&quot;:[{&quot;family&quot;:&quot;Mannino&quot;,&quot;given&quot;:&quot;David M.&quot;,&quot;parse-names&quot;:false,&quot;dropping-particle&quot;:&quot;&quot;,&quot;non-dropping-particle&quot;:&quot;&quot;},{&quot;family&quot;:&quot;Roberts&quot;,&quot;given&quot;:&quot;Melissa H.&quot;,&quot;parse-names&quot;:false,&quot;dropping-particle&quot;:&quot;&quot;,&quot;non-dropping-particle&quot;:&quot;&quot;},{&quot;family&quot;:&quot;Mapel&quot;,&quot;given&quot;:&quot;Douglas W.&quot;,&quot;parse-names&quot;:false,&quot;dropping-particle&quot;:&quot;&quot;,&quot;non-dropping-particle&quot;:&quot;&quot;},{&quot;family&quot;:&quot;Zhang&quot;,&quot;given&quot;:&quot;Qisu&quot;,&quot;parse-names&quot;:false,&quot;dropping-particle&quot;:&quot;&quot;,&quot;non-dropping-particle&quot;:&quot;&quot;},{&quot;family&quot;:&quot;Lunacsek&quot;,&quot;given&quot;:&quot;Orsolya&quot;,&quot;parse-names&quot;:false,&quot;dropping-particle&quot;:&quot;&quot;,&quot;non-dropping-particle&quot;:&quot;&quot;},{&quot;family&quot;:&quot;Grabich&quot;,&quot;given&quot;:&quot;Shannon&quot;,&quot;parse-names&quot;:false,&quot;dropping-particle&quot;:&quot;&quot;,&quot;non-dropping-particle&quot;:&quot;&quot;},{&quot;family&quot;:&quot;Stiphout&quot;,&quot;given&quot;:&quot;Joris&quot;,&quot;parse-names&quot;:false,&quot;dropping-particle&quot;:&quot;&quot;,&quot;non-dropping-particle&quot;:&quot;van&quot;},{&quot;family&quot;:&quot;Meadors&quot;,&quot;given&quot;:&quot;Brian L.&quot;,&quot;parse-names&quot;:false,&quot;dropping-particle&quot;:&quot;&quot;,&quot;non-dropping-particle&quot;:&quot;&quot;},{&quot;family&quot;:&quot;Feigler&quot;,&quot;given&quot;:&quot;Norbert&quot;,&quot;parse-names&quot;:false,&quot;dropping-particle&quot;:&quot;&quot;,&quot;non-dropping-particle&quot;:&quot;&quot;},{&quot;family&quot;:&quot;Pollack&quot;,&quot;given&quot;:&quot;Michael F.&quot;,&quot;parse-names&quot;:false,&quot;dropping-particle&quot;:&quot;&quot;,&quot;non-dropping-particle&quot;:&quot;&quot;}],&quot;container-title&quot;:&quot;Chest&quot;,&quot;container-title-short&quot;:&quot;Chest&quot;,&quot;accessed&quot;:{&quot;date-parts&quot;:[[2024,9,1]]},&quot;DOI&quot;:&quot;10.1016/J.CHEST.2023.11.040&quot;,&quot;ISSN&quot;:&quot;1931-3543&quot;,&quot;PMID&quot;:&quot;38042365&quot;,&quot;URL&quot;:&quot;https://pubmed.ncbi.nlm.nih.gov/38042365/&quot;,&quot;issued&quot;:{&quot;date-parts&quot;:[[2024,5,1]]},&quot;page&quot;:&quot;1093-1106&quot;,&quot;abstract&quot;:&quot;Background: Despite the significant burden posed by COPD to health care systems, there is a lack of up-to-date information quantifying the general COPD burden, costs, and long-term projections to various stakeholders in the United States. Research Question: What are the updated state-specific and nationwide estimates of the COPD disease burden and direct costs in 2019, along with projections of COPD-attributable medical costs through 2029? Study Design and Methods: A cross-sectional, retrospective study design using the 2016 to 2019 Medical Expenditure Panel Survey, 2019 American Community Survey, and 2019 Behavioral Risk Factor Surveillance System data was applied to generate COPD-attributable expenditure estimates. Cost projections for the years 2020 to 2029 were based on 2017 national population projections reported by the US Census Bureau, and all costs were adjusted to 2019 US dollars. Results: In total, 4,135 people living with COPD were included; a higher proportion had other concurrent conditions such as cardiovascular-related conditions compared with people without COPD (n = 86,021). Overall, in 2019, COPD-attributable medical costs after adjusting for demographic characteristics and 19 concurrent conditions (including COPD-related and non-COPD-related conditions) were estimated at $31.3 billion, with state-specific cost estimates reporting wide variation, from $44.8 million in Alaska to $3.1 billion in Florida. Nationwide COPD-attributable medical costs borne by payer type were as follows: private insurance, $11.4 billion; Medicare, $10.8 billion; and Medicaid, $3.0 billion. Projections of national medical costs attributable to COPD are reported to increase to $60.5 billion in 2029. Interpretation: Understanding the current disease and economic burden of COPD in the United States, along with the projected costs attributable to COPD in the next decade, will highlight unmet needs and gaps in care that help inform health care decision-makers in planning future actions to alleviate this disease burden.&quot;,&quot;publisher&quot;:&quot;Chest&quot;,&quot;issue&quot;:&quot;5&quot;,&quot;volume&quot;:&quot;165&quot;},&quot;isTemporary&quot;:false}]},{&quot;citationID&quot;:&quot;MENDELEY_CITATION_a4c1795a-4dd3-4d9f-8097-c540b0730824&quot;,&quot;properties&quot;:{&quot;noteIndex&quot;:0},&quot;isEdited&quot;:false,&quot;manualOverride&quot;:{&quot;isManuallyOverridden&quot;:false,&quot;citeprocText&quot;:&quot;[9]&quot;,&quot;manualOverrideText&quot;:&quot;&quot;},&quot;citationTag&quot;:&quot;MENDELEY_CITATION_v3_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&quot;,&quot;citationItems&quot;:[{&quot;id&quot;:&quot;d9253a9a-c28b-34c9-b795-7eaa454c43c8&quot;,&quot;itemData&quot;:{&quot;type&quot;:&quot;article-journal&quot;,&quot;id&quot;:&quot;d9253a9a-c28b-34c9-b795-7eaa454c43c8&quot;,&quot;title&quot;:&quot;National and Local Direct Medical Cost Burden of COPD in the United States From 2016 to 2019 and Projections Through 2029&quot;,&quot;author&quot;:[{&quot;family&quot;:&quot;Mannino&quot;,&quot;given&quot;:&quot;David M.&quot;,&quot;parse-names&quot;:false,&quot;dropping-particle&quot;:&quot;&quot;,&quot;non-dropping-particle&quot;:&quot;&quot;},{&quot;family&quot;:&quot;Roberts&quot;,&quot;given&quot;:&quot;Melissa H.&quot;,&quot;parse-names&quot;:false,&quot;dropping-particle&quot;:&quot;&quot;,&quot;non-dropping-particle&quot;:&quot;&quot;},{&quot;family&quot;:&quot;Mapel&quot;,&quot;given&quot;:&quot;Douglas W.&quot;,&quot;parse-names&quot;:false,&quot;dropping-particle&quot;:&quot;&quot;,&quot;non-dropping-particle&quot;:&quot;&quot;},{&quot;family&quot;:&quot;Zhang&quot;,&quot;given&quot;:&quot;Qisu&quot;,&quot;parse-names&quot;:false,&quot;dropping-particle&quot;:&quot;&quot;,&quot;non-dropping-particle&quot;:&quot;&quot;},{&quot;family&quot;:&quot;Lunacsek&quot;,&quot;given&quot;:&quot;Orsolya&quot;,&quot;parse-names&quot;:false,&quot;dropping-particle&quot;:&quot;&quot;,&quot;non-dropping-particle&quot;:&quot;&quot;},{&quot;family&quot;:&quot;Grabich&quot;,&quot;given&quot;:&quot;Shannon&quot;,&quot;parse-names&quot;:false,&quot;dropping-particle&quot;:&quot;&quot;,&quot;non-dropping-particle&quot;:&quot;&quot;},{&quot;family&quot;:&quot;Stiphout&quot;,&quot;given&quot;:&quot;Joris&quot;,&quot;parse-names&quot;:false,&quot;dropping-particle&quot;:&quot;&quot;,&quot;non-dropping-particle&quot;:&quot;van&quot;},{&quot;family&quot;:&quot;Meadors&quot;,&quot;given&quot;:&quot;Brian L.&quot;,&quot;parse-names&quot;:false,&quot;dropping-particle&quot;:&quot;&quot;,&quot;non-dropping-particle&quot;:&quot;&quot;},{&quot;family&quot;:&quot;Feigler&quot;,&quot;given&quot;:&quot;Norbert&quot;,&quot;parse-names&quot;:false,&quot;dropping-particle&quot;:&quot;&quot;,&quot;non-dropping-particle&quot;:&quot;&quot;},{&quot;family&quot;:&quot;Pollack&quot;,&quot;given&quot;:&quot;Michael F.&quot;,&quot;parse-names&quot;:false,&quot;dropping-particle&quot;:&quot;&quot;,&quot;non-dropping-particle&quot;:&quot;&quot;}],&quot;container-title&quot;:&quot;Chest&quot;,&quot;container-title-short&quot;:&quot;Chest&quot;,&quot;accessed&quot;:{&quot;date-parts&quot;:[[2024,9,1]]},&quot;DOI&quot;:&quot;10.1016/J.CHEST.2023.11.040&quot;,&quot;ISSN&quot;:&quot;1931-3543&quot;,&quot;PMID&quot;:&quot;38042365&quot;,&quot;URL&quot;:&quot;https://pubmed.ncbi.nlm.nih.gov/38042365/&quot;,&quot;issued&quot;:{&quot;date-parts&quot;:[[2024,5,1]]},&quot;page&quot;:&quot;1093-1106&quot;,&quot;abstract&quot;:&quot;Background: Despite the significant burden posed by COPD to health care systems, there is a lack of up-to-date information quantifying the general COPD burden, costs, and long-term projections to various stakeholders in the United States. Research Question: What are the updated state-specific and nationwide estimates of the COPD disease burden and direct costs in 2019, along with projections of COPD-attributable medical costs through 2029? Study Design and Methods: A cross-sectional, retrospective study design using the 2016 to 2019 Medical Expenditure Panel Survey, 2019 American Community Survey, and 2019 Behavioral Risk Factor Surveillance System data was applied to generate COPD-attributable expenditure estimates. Cost projections for the years 2020 to 2029 were based on 2017 national population projections reported by the US Census Bureau, and all costs were adjusted to 2019 US dollars. Results: In total, 4,135 people living with COPD were included; a higher proportion had other concurrent conditions such as cardiovascular-related conditions compared with people without COPD (n = 86,021). Overall, in 2019, COPD-attributable medical costs after adjusting for demographic characteristics and 19 concurrent conditions (including COPD-related and non-COPD-related conditions) were estimated at $31.3 billion, with state-specific cost estimates reporting wide variation, from $44.8 million in Alaska to $3.1 billion in Florida. Nationwide COPD-attributable medical costs borne by payer type were as follows: private insurance, $11.4 billion; Medicare, $10.8 billion; and Medicaid, $3.0 billion. Projections of national medical costs attributable to COPD are reported to increase to $60.5 billion in 2029. Interpretation: Understanding the current disease and economic burden of COPD in the United States, along with the projected costs attributable to COPD in the next decade, will highlight unmet needs and gaps in care that help inform health care decision-makers in planning future actions to alleviate this disease burden.&quot;,&quot;publisher&quot;:&quot;Chest&quot;,&quot;issue&quot;:&quot;5&quot;,&quot;volume&quot;:&quot;165&quot;},&quot;isTemporary&quot;:false}]},{&quot;citationID&quot;:&quot;MENDELEY_CITATION_369aa6eb-4ba6-415b-9fa1-eaa1d19849e7&quot;,&quot;properties&quot;:{&quot;noteIndex&quot;:0},&quot;isEdited&quot;:false,&quot;manualOverride&quot;:{&quot;isManuallyOverridden&quot;:false,&quot;citeprocText&quot;:&quot;[9]&quot;,&quot;manualOverrideText&quot;:&quot;&quot;},&quot;citationTag&quot;:&quot;MENDELEY_CITATION_v3_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&quot;,&quot;citationItems&quot;:[{&quot;id&quot;:&quot;d9253a9a-c28b-34c9-b795-7eaa454c43c8&quot;,&quot;itemData&quot;:{&quot;type&quot;:&quot;article-journal&quot;,&quot;id&quot;:&quot;d9253a9a-c28b-34c9-b795-7eaa454c43c8&quot;,&quot;title&quot;:&quot;National and Local Direct Medical Cost Burden of COPD in the United States From 2016 to 2019 and Projections Through 2029&quot;,&quot;author&quot;:[{&quot;family&quot;:&quot;Mannino&quot;,&quot;given&quot;:&quot;David M.&quot;,&quot;parse-names&quot;:false,&quot;dropping-particle&quot;:&quot;&quot;,&quot;non-dropping-particle&quot;:&quot;&quot;},{&quot;family&quot;:&quot;Roberts&quot;,&quot;given&quot;:&quot;Melissa H.&quot;,&quot;parse-names&quot;:false,&quot;dropping-particle&quot;:&quot;&quot;,&quot;non-dropping-particle&quot;:&quot;&quot;},{&quot;family&quot;:&quot;Mapel&quot;,&quot;given&quot;:&quot;Douglas W.&quot;,&quot;parse-names&quot;:false,&quot;dropping-particle&quot;:&quot;&quot;,&quot;non-dropping-particle&quot;:&quot;&quot;},{&quot;family&quot;:&quot;Zhang&quot;,&quot;given&quot;:&quot;Qisu&quot;,&quot;parse-names&quot;:false,&quot;dropping-particle&quot;:&quot;&quot;,&quot;non-dropping-particle&quot;:&quot;&quot;},{&quot;family&quot;:&quot;Lunacsek&quot;,&quot;given&quot;:&quot;Orsolya&quot;,&quot;parse-names&quot;:false,&quot;dropping-particle&quot;:&quot;&quot;,&quot;non-dropping-particle&quot;:&quot;&quot;},{&quot;family&quot;:&quot;Grabich&quot;,&quot;given&quot;:&quot;Shannon&quot;,&quot;parse-names&quot;:false,&quot;dropping-particle&quot;:&quot;&quot;,&quot;non-dropping-particle&quot;:&quot;&quot;},{&quot;family&quot;:&quot;Stiphout&quot;,&quot;given&quot;:&quot;Joris&quot;,&quot;parse-names&quot;:false,&quot;dropping-particle&quot;:&quot;&quot;,&quot;non-dropping-particle&quot;:&quot;van&quot;},{&quot;family&quot;:&quot;Meadors&quot;,&quot;given&quot;:&quot;Brian L.&quot;,&quot;parse-names&quot;:false,&quot;dropping-particle&quot;:&quot;&quot;,&quot;non-dropping-particle&quot;:&quot;&quot;},{&quot;family&quot;:&quot;Feigler&quot;,&quot;given&quot;:&quot;Norbert&quot;,&quot;parse-names&quot;:false,&quot;dropping-particle&quot;:&quot;&quot;,&quot;non-dropping-particle&quot;:&quot;&quot;},{&quot;family&quot;:&quot;Pollack&quot;,&quot;given&quot;:&quot;Michael F.&quot;,&quot;parse-names&quot;:false,&quot;dropping-particle&quot;:&quot;&quot;,&quot;non-dropping-particle&quot;:&quot;&quot;}],&quot;container-title&quot;:&quot;Chest&quot;,&quot;container-title-short&quot;:&quot;Chest&quot;,&quot;accessed&quot;:{&quot;date-parts&quot;:[[2024,9,1]]},&quot;DOI&quot;:&quot;10.1016/J.CHEST.2023.11.040&quot;,&quot;ISSN&quot;:&quot;1931-3543&quot;,&quot;PMID&quot;:&quot;38042365&quot;,&quot;URL&quot;:&quot;https://pubmed.ncbi.nlm.nih.gov/38042365/&quot;,&quot;issued&quot;:{&quot;date-parts&quot;:[[2024,5,1]]},&quot;page&quot;:&quot;1093-1106&quot;,&quot;abstract&quot;:&quot;Background: Despite the significant burden posed by COPD to health care systems, there is a lack of up-to-date information quantifying the general COPD burden, costs, and long-term projections to various stakeholders in the United States. Research Question: What are the updated state-specific and nationwide estimates of the COPD disease burden and direct costs in 2019, along with projections of COPD-attributable medical costs through 2029? Study Design and Methods: A cross-sectional, retrospective study design using the 2016 to 2019 Medical Expenditure Panel Survey, 2019 American Community Survey, and 2019 Behavioral Risk Factor Surveillance System data was applied to generate COPD-attributable expenditure estimates. Cost projections for the years 2020 to 2029 were based on 2017 national population projections reported by the US Census Bureau, and all costs were adjusted to 2019 US dollars. Results: In total, 4,135 people living with COPD were included; a higher proportion had other concurrent conditions such as cardiovascular-related conditions compared with people without COPD (n = 86,021). Overall, in 2019, COPD-attributable medical costs after adjusting for demographic characteristics and 19 concurrent conditions (including COPD-related and non-COPD-related conditions) were estimated at $31.3 billion, with state-specific cost estimates reporting wide variation, from $44.8 million in Alaska to $3.1 billion in Florida. Nationwide COPD-attributable medical costs borne by payer type were as follows: private insurance, $11.4 billion; Medicare, $10.8 billion; and Medicaid, $3.0 billion. Projections of national medical costs attributable to COPD are reported to increase to $60.5 billion in 2029. Interpretation: Understanding the current disease and economic burden of COPD in the United States, along with the projected costs attributable to COPD in the next decade, will highlight unmet needs and gaps in care that help inform health care decision-makers in planning future actions to alleviate this disease burden.&quot;,&quot;publisher&quot;:&quot;Chest&quot;,&quot;issue&quot;:&quot;5&quot;,&quot;volume&quot;:&quot;165&quot;},&quot;isTemporary&quot;:false}]},{&quot;citationID&quot;:&quot;MENDELEY_CITATION_32752406-cd1e-48c8-8ef4-e7adf2d87c73&quot;,&quot;properties&quot;:{&quot;noteIndex&quot;:0},&quot;isEdited&quot;:false,&quot;manualOverride&quot;:{&quot;isManuallyOverridden&quot;:false,&quot;citeprocText&quot;:&quot;[9]&quot;,&quot;manualOverrideText&quot;:&quot;&quot;},&quot;citationTag&quot;:&quot;MENDELEY_CITATION_v3_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&quot;,&quot;citationItems&quot;:[{&quot;id&quot;:&quot;d9253a9a-c28b-34c9-b795-7eaa454c43c8&quot;,&quot;itemData&quot;:{&quot;type&quot;:&quot;article-journal&quot;,&quot;id&quot;:&quot;d9253a9a-c28b-34c9-b795-7eaa454c43c8&quot;,&quot;title&quot;:&quot;National and Local Direct Medical Cost Burden of COPD in the United States From 2016 to 2019 and Projections Through 2029&quot;,&quot;author&quot;:[{&quot;family&quot;:&quot;Mannino&quot;,&quot;given&quot;:&quot;David M.&quot;,&quot;parse-names&quot;:false,&quot;dropping-particle&quot;:&quot;&quot;,&quot;non-dropping-particle&quot;:&quot;&quot;},{&quot;family&quot;:&quot;Roberts&quot;,&quot;given&quot;:&quot;Melissa H.&quot;,&quot;parse-names&quot;:false,&quot;dropping-particle&quot;:&quot;&quot;,&quot;non-dropping-particle&quot;:&quot;&quot;},{&quot;family&quot;:&quot;Mapel&quot;,&quot;given&quot;:&quot;Douglas W.&quot;,&quot;parse-names&quot;:false,&quot;dropping-particle&quot;:&quot;&quot;,&quot;non-dropping-particle&quot;:&quot;&quot;},{&quot;family&quot;:&quot;Zhang&quot;,&quot;given&quot;:&quot;Qisu&quot;,&quot;parse-names&quot;:false,&quot;dropping-particle&quot;:&quot;&quot;,&quot;non-dropping-particle&quot;:&quot;&quot;},{&quot;family&quot;:&quot;Lunacsek&quot;,&quot;given&quot;:&quot;Orsolya&quot;,&quot;parse-names&quot;:false,&quot;dropping-particle&quot;:&quot;&quot;,&quot;non-dropping-particle&quot;:&quot;&quot;},{&quot;family&quot;:&quot;Grabich&quot;,&quot;given&quot;:&quot;Shannon&quot;,&quot;parse-names&quot;:false,&quot;dropping-particle&quot;:&quot;&quot;,&quot;non-dropping-particle&quot;:&quot;&quot;},{&quot;family&quot;:&quot;Stiphout&quot;,&quot;given&quot;:&quot;Joris&quot;,&quot;parse-names&quot;:false,&quot;dropping-particle&quot;:&quot;&quot;,&quot;non-dropping-particle&quot;:&quot;van&quot;},{&quot;family&quot;:&quot;Meadors&quot;,&quot;given&quot;:&quot;Brian L.&quot;,&quot;parse-names&quot;:false,&quot;dropping-particle&quot;:&quot;&quot;,&quot;non-dropping-particle&quot;:&quot;&quot;},{&quot;family&quot;:&quot;Feigler&quot;,&quot;given&quot;:&quot;Norbert&quot;,&quot;parse-names&quot;:false,&quot;dropping-particle&quot;:&quot;&quot;,&quot;non-dropping-particle&quot;:&quot;&quot;},{&quot;family&quot;:&quot;Pollack&quot;,&quot;given&quot;:&quot;Michael F.&quot;,&quot;parse-names&quot;:false,&quot;dropping-particle&quot;:&quot;&quot;,&quot;non-dropping-particle&quot;:&quot;&quot;}],&quot;container-title&quot;:&quot;Chest&quot;,&quot;container-title-short&quot;:&quot;Chest&quot;,&quot;accessed&quot;:{&quot;date-parts&quot;:[[2024,9,1]]},&quot;DOI&quot;:&quot;10.1016/J.CHEST.2023.11.040&quot;,&quot;ISSN&quot;:&quot;1931-3543&quot;,&quot;PMID&quot;:&quot;38042365&quot;,&quot;URL&quot;:&quot;https://pubmed.ncbi.nlm.nih.gov/38042365/&quot;,&quot;issued&quot;:{&quot;date-parts&quot;:[[2024,5,1]]},&quot;page&quot;:&quot;1093-1106&quot;,&quot;abstract&quot;:&quot;Background: Despite the significant burden posed by COPD to health care systems, there is a lack of up-to-date information quantifying the general COPD burden, costs, and long-term projections to various stakeholders in the United States. Research Question: What are the updated state-specific and nationwide estimates of the COPD disease burden and direct costs in 2019, along with projections of COPD-attributable medical costs through 2029? Study Design and Methods: A cross-sectional, retrospective study design using the 2016 to 2019 Medical Expenditure Panel Survey, 2019 American Community Survey, and 2019 Behavioral Risk Factor Surveillance System data was applied to generate COPD-attributable expenditure estimates. Cost projections for the years 2020 to 2029 were based on 2017 national population projections reported by the US Census Bureau, and all costs were adjusted to 2019 US dollars. Results: In total, 4,135 people living with COPD were included; a higher proportion had other concurrent conditions such as cardiovascular-related conditions compared with people without COPD (n = 86,021). Overall, in 2019, COPD-attributable medical costs after adjusting for demographic characteristics and 19 concurrent conditions (including COPD-related and non-COPD-related conditions) were estimated at $31.3 billion, with state-specific cost estimates reporting wide variation, from $44.8 million in Alaska to $3.1 billion in Florida. Nationwide COPD-attributable medical costs borne by payer type were as follows: private insurance, $11.4 billion; Medicare, $10.8 billion; and Medicaid, $3.0 billion. Projections of national medical costs attributable to COPD are reported to increase to $60.5 billion in 2029. Interpretation: Understanding the current disease and economic burden of COPD in the United States, along with the projected costs attributable to COPD in the next decade, will highlight unmet needs and gaps in care that help inform health care decision-makers in planning future actions to alleviate this disease burden.&quot;,&quot;publisher&quot;:&quot;Chest&quot;,&quot;issue&quot;:&quot;5&quot;,&quot;volume&quot;:&quot;165&quot;},&quot;isTemporary&quot;:false}]},{&quot;citationID&quot;:&quot;MENDELEY_CITATION_ac34d132-a51c-4f1f-859f-246894231094&quot;,&quot;properties&quot;:{&quot;noteIndex&quot;:0},&quot;isEdited&quot;:false,&quot;manualOverride&quot;:{&quot;isManuallyOverridden&quot;:false,&quot;citeprocText&quot;:&quot;[9]&quot;,&quot;manualOverrideText&quot;:&quot;&quot;},&quot;citationTag&quot;:&quot;MENDELEY_CITATION_v3_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&quot;,&quot;citationItems&quot;:[{&quot;id&quot;:&quot;d9253a9a-c28b-34c9-b795-7eaa454c43c8&quot;,&quot;itemData&quot;:{&quot;type&quot;:&quot;article-journal&quot;,&quot;id&quot;:&quot;d9253a9a-c28b-34c9-b795-7eaa454c43c8&quot;,&quot;title&quot;:&quot;National and Local Direct Medical Cost Burden of COPD in the United States From 2016 to 2019 and Projections Through 2029&quot;,&quot;author&quot;:[{&quot;family&quot;:&quot;Mannino&quot;,&quot;given&quot;:&quot;David M.&quot;,&quot;parse-names&quot;:false,&quot;dropping-particle&quot;:&quot;&quot;,&quot;non-dropping-particle&quot;:&quot;&quot;},{&quot;family&quot;:&quot;Roberts&quot;,&quot;given&quot;:&quot;Melissa H.&quot;,&quot;parse-names&quot;:false,&quot;dropping-particle&quot;:&quot;&quot;,&quot;non-dropping-particle&quot;:&quot;&quot;},{&quot;family&quot;:&quot;Mapel&quot;,&quot;given&quot;:&quot;Douglas W.&quot;,&quot;parse-names&quot;:false,&quot;dropping-particle&quot;:&quot;&quot;,&quot;non-dropping-particle&quot;:&quot;&quot;},{&quot;family&quot;:&quot;Zhang&quot;,&quot;given&quot;:&quot;Qisu&quot;,&quot;parse-names&quot;:false,&quot;dropping-particle&quot;:&quot;&quot;,&quot;non-dropping-particle&quot;:&quot;&quot;},{&quot;family&quot;:&quot;Lunacsek&quot;,&quot;given&quot;:&quot;Orsolya&quot;,&quot;parse-names&quot;:false,&quot;dropping-particle&quot;:&quot;&quot;,&quot;non-dropping-particle&quot;:&quot;&quot;},{&quot;family&quot;:&quot;Grabich&quot;,&quot;given&quot;:&quot;Shannon&quot;,&quot;parse-names&quot;:false,&quot;dropping-particle&quot;:&quot;&quot;,&quot;non-dropping-particle&quot;:&quot;&quot;},{&quot;family&quot;:&quot;Stiphout&quot;,&quot;given&quot;:&quot;Joris&quot;,&quot;parse-names&quot;:false,&quot;dropping-particle&quot;:&quot;&quot;,&quot;non-dropping-particle&quot;:&quot;van&quot;},{&quot;family&quot;:&quot;Meadors&quot;,&quot;given&quot;:&quot;Brian L.&quot;,&quot;parse-names&quot;:false,&quot;dropping-particle&quot;:&quot;&quot;,&quot;non-dropping-particle&quot;:&quot;&quot;},{&quot;family&quot;:&quot;Feigler&quot;,&quot;given&quot;:&quot;Norbert&quot;,&quot;parse-names&quot;:false,&quot;dropping-particle&quot;:&quot;&quot;,&quot;non-dropping-particle&quot;:&quot;&quot;},{&quot;family&quot;:&quot;Pollack&quot;,&quot;given&quot;:&quot;Michael F.&quot;,&quot;parse-names&quot;:false,&quot;dropping-particle&quot;:&quot;&quot;,&quot;non-dropping-particle&quot;:&quot;&quot;}],&quot;container-title&quot;:&quot;Chest&quot;,&quot;container-title-short&quot;:&quot;Chest&quot;,&quot;accessed&quot;:{&quot;date-parts&quot;:[[2024,9,1]]},&quot;DOI&quot;:&quot;10.1016/J.CHEST.2023.11.040&quot;,&quot;ISSN&quot;:&quot;1931-3543&quot;,&quot;PMID&quot;:&quot;38042365&quot;,&quot;URL&quot;:&quot;https://pubmed.ncbi.nlm.nih.gov/38042365/&quot;,&quot;issued&quot;:{&quot;date-parts&quot;:[[2024,5,1]]},&quot;page&quot;:&quot;1093-1106&quot;,&quot;abstract&quot;:&quot;Background: Despite the significant burden posed by COPD to health care systems, there is a lack of up-to-date information quantifying the general COPD burden, costs, and long-term projections to various stakeholders in the United States. Research Question: What are the updated state-specific and nationwide estimates of the COPD disease burden and direct costs in 2019, along with projections of COPD-attributable medical costs through 2029? Study Design and Methods: A cross-sectional, retrospective study design using the 2016 to 2019 Medical Expenditure Panel Survey, 2019 American Community Survey, and 2019 Behavioral Risk Factor Surveillance System data was applied to generate COPD-attributable expenditure estimates. Cost projections for the years 2020 to 2029 were based on 2017 national population projections reported by the US Census Bureau, and all costs were adjusted to 2019 US dollars. Results: In total, 4,135 people living with COPD were included; a higher proportion had other concurrent conditions such as cardiovascular-related conditions compared with people without COPD (n = 86,021). Overall, in 2019, COPD-attributable medical costs after adjusting for demographic characteristics and 19 concurrent conditions (including COPD-related and non-COPD-related conditions) were estimated at $31.3 billion, with state-specific cost estimates reporting wide variation, from $44.8 million in Alaska to $3.1 billion in Florida. Nationwide COPD-attributable medical costs borne by payer type were as follows: private insurance, $11.4 billion; Medicare, $10.8 billion; and Medicaid, $3.0 billion. Projections of national medical costs attributable to COPD are reported to increase to $60.5 billion in 2029. Interpretation: Understanding the current disease and economic burden of COPD in the United States, along with the projected costs attributable to COPD in the next decade, will highlight unmet needs and gaps in care that help inform health care decision-makers in planning future actions to alleviate this disease burden.&quot;,&quot;publisher&quot;:&quot;Chest&quot;,&quot;issue&quot;:&quot;5&quot;,&quot;volume&quot;:&quot;165&quot;},&quot;isTemporary&quot;:false}]},{&quot;citationID&quot;:&quot;MENDELEY_CITATION_4470ec81-6027-439d-95bb-de9090963d96&quot;,&quot;properties&quot;:{&quot;noteIndex&quot;:0},&quot;isEdited&quot;:false,&quot;manualOverride&quot;:{&quot;isManuallyOverridden&quot;:false,&quot;citeprocText&quot;:&quot;[9]&quot;,&quot;manualOverrideText&quot;:&quot;&quot;},&quot;citationTag&quot;:&quot;MENDELEY_CITATION_v3_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&quot;,&quot;citationItems&quot;:[{&quot;id&quot;:&quot;d9253a9a-c28b-34c9-b795-7eaa454c43c8&quot;,&quot;itemData&quot;:{&quot;type&quot;:&quot;article-journal&quot;,&quot;id&quot;:&quot;d9253a9a-c28b-34c9-b795-7eaa454c43c8&quot;,&quot;title&quot;:&quot;National and Local Direct Medical Cost Burden of COPD in the United States From 2016 to 2019 and Projections Through 2029&quot;,&quot;author&quot;:[{&quot;family&quot;:&quot;Mannino&quot;,&quot;given&quot;:&quot;David M.&quot;,&quot;parse-names&quot;:false,&quot;dropping-particle&quot;:&quot;&quot;,&quot;non-dropping-particle&quot;:&quot;&quot;},{&quot;family&quot;:&quot;Roberts&quot;,&quot;given&quot;:&quot;Melissa H.&quot;,&quot;parse-names&quot;:false,&quot;dropping-particle&quot;:&quot;&quot;,&quot;non-dropping-particle&quot;:&quot;&quot;},{&quot;family&quot;:&quot;Mapel&quot;,&quot;given&quot;:&quot;Douglas W.&quot;,&quot;parse-names&quot;:false,&quot;dropping-particle&quot;:&quot;&quot;,&quot;non-dropping-particle&quot;:&quot;&quot;},{&quot;family&quot;:&quot;Zhang&quot;,&quot;given&quot;:&quot;Qisu&quot;,&quot;parse-names&quot;:false,&quot;dropping-particle&quot;:&quot;&quot;,&quot;non-dropping-particle&quot;:&quot;&quot;},{&quot;family&quot;:&quot;Lunacsek&quot;,&quot;given&quot;:&quot;Orsolya&quot;,&quot;parse-names&quot;:false,&quot;dropping-particle&quot;:&quot;&quot;,&quot;non-dropping-particle&quot;:&quot;&quot;},{&quot;family&quot;:&quot;Grabich&quot;,&quot;given&quot;:&quot;Shannon&quot;,&quot;parse-names&quot;:false,&quot;dropping-particle&quot;:&quot;&quot;,&quot;non-dropping-particle&quot;:&quot;&quot;},{&quot;family&quot;:&quot;Stiphout&quot;,&quot;given&quot;:&quot;Joris&quot;,&quot;parse-names&quot;:false,&quot;dropping-particle&quot;:&quot;&quot;,&quot;non-dropping-particle&quot;:&quot;van&quot;},{&quot;family&quot;:&quot;Meadors&quot;,&quot;given&quot;:&quot;Brian L.&quot;,&quot;parse-names&quot;:false,&quot;dropping-particle&quot;:&quot;&quot;,&quot;non-dropping-particle&quot;:&quot;&quot;},{&quot;family&quot;:&quot;Feigler&quot;,&quot;given&quot;:&quot;Norbert&quot;,&quot;parse-names&quot;:false,&quot;dropping-particle&quot;:&quot;&quot;,&quot;non-dropping-particle&quot;:&quot;&quot;},{&quot;family&quot;:&quot;Pollack&quot;,&quot;given&quot;:&quot;Michael F.&quot;,&quot;parse-names&quot;:false,&quot;dropping-particle&quot;:&quot;&quot;,&quot;non-dropping-particle&quot;:&quot;&quot;}],&quot;container-title&quot;:&quot;Chest&quot;,&quot;container-title-short&quot;:&quot;Chest&quot;,&quot;accessed&quot;:{&quot;date-parts&quot;:[[2024,9,1]]},&quot;DOI&quot;:&quot;10.1016/J.CHEST.2023.11.040&quot;,&quot;ISSN&quot;:&quot;1931-3543&quot;,&quot;PMID&quot;:&quot;38042365&quot;,&quot;URL&quot;:&quot;https://pubmed.ncbi.nlm.nih.gov/38042365/&quot;,&quot;issued&quot;:{&quot;date-parts&quot;:[[2024,5,1]]},&quot;page&quot;:&quot;1093-1106&quot;,&quot;abstract&quot;:&quot;Background: Despite the significant burden posed by COPD to health care systems, there is a lack of up-to-date information quantifying the general COPD burden, costs, and long-term projections to various stakeholders in the United States. Research Question: What are the updated state-specific and nationwide estimates of the COPD disease burden and direct costs in 2019, along with projections of COPD-attributable medical costs through 2029? Study Design and Methods: A cross-sectional, retrospective study design using the 2016 to 2019 Medical Expenditure Panel Survey, 2019 American Community Survey, and 2019 Behavioral Risk Factor Surveillance System data was applied to generate COPD-attributable expenditure estimates. Cost projections for the years 2020 to 2029 were based on 2017 national population projections reported by the US Census Bureau, and all costs were adjusted to 2019 US dollars. Results: In total, 4,135 people living with COPD were included; a higher proportion had other concurrent conditions such as cardiovascular-related conditions compared with people without COPD (n = 86,021). Overall, in 2019, COPD-attributable medical costs after adjusting for demographic characteristics and 19 concurrent conditions (including COPD-related and non-COPD-related conditions) were estimated at $31.3 billion, with state-specific cost estimates reporting wide variation, from $44.8 million in Alaska to $3.1 billion in Florida. Nationwide COPD-attributable medical costs borne by payer type were as follows: private insurance, $11.4 billion; Medicare, $10.8 billion; and Medicaid, $3.0 billion. Projections of national medical costs attributable to COPD are reported to increase to $60.5 billion in 2029. Interpretation: Understanding the current disease and economic burden of COPD in the United States, along with the projected costs attributable to COPD in the next decade, will highlight unmet needs and gaps in care that help inform health care decision-makers in planning future actions to alleviate this disease burden.&quot;,&quot;publisher&quot;:&quot;Chest&quot;,&quot;issue&quot;:&quot;5&quot;,&quot;volume&quot;:&quot;165&quot;},&quot;isTemporary&quot;:false}]},{&quot;citationID&quot;:&quot;MENDELEY_CITATION_a862e05b-e2f9-4cc1-a697-3c264d82431f&quot;,&quot;properties&quot;:{&quot;noteIndex&quot;:0},&quot;isEdited&quot;:false,&quot;manualOverride&quot;:{&quot;isManuallyOverridden&quot;:false,&quot;citeprocText&quot;:&quot;[48]&quot;,&quot;manualOverrideText&quot;:&quot;&quot;},&quot;citationTag&quot;:&quot;MENDELEY_CITATION_v3_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&quot;,&quot;citationItems&quot;:[{&quot;id&quot;:&quot;26cc9b5f-0ec5-31ba-9563-e59af551ca1c&quot;,&quot;itemData&quot;:{&quot;type&quot;:&quot;article-journal&quot;,&quot;id&quot;:&quot;26cc9b5f-0ec5-31ba-9563-e59af551ca1c&quot;,&quot;title&quot;:&quot;Medical Expenditures Attributed to Asthma and Chronic Obstructive Pulmonary Disease Among Workers - United States, 2011-2015&quot;,&quot;author&quot;:[{&quot;family&quot;:&quot;Syamlal&quot;,&quot;given&quot;:&quot;Girija&quot;,&quot;parse-names&quot;:false,&quot;dropping-particle&quot;:&quot;&quot;,&quot;non-dropping-particle&quot;:&quot;&quot;},{&quot;family&quot;:&quot;Bhattacharya&quot;,&quot;given&quot;:&quot;Anasua&quot;,&quot;parse-names&quot;:false,&quot;dropping-particle&quot;:&quot;&quot;,&quot;non-dropping-particle&quot;:&quot;&quot;},{&quot;family&quot;:&quot;Dodd&quot;,&quot;given&quot;:&quot;Katelynn E.&quot;,&quot;parse-names&quot;:false,&quot;dropping-particle&quot;:&quot;&quot;,&quot;non-dropping-particle&quot;:&quot;&quot;}],&quot;container-title&quot;:&quot;MMWR. Morbidity and mortality weekly report&quot;,&quot;accessed&quot;:{&quot;date-parts&quot;:[[2024,10,6]]},&quot;DOI&quot;:&quot;10.15585/MMWR.MM6926A1&quot;,&quot;ISSN&quot;:&quot;1545-861X&quot;,&quot;PMID&quot;:&quot;32614807&quot;,&quot;URL&quot;:&quot;https://pubmed.ncbi.nlm.nih.gov/32614807/&quot;,&quot;issued&quot;:{&quot;date-parts&quot;:[[2020,7,3]]},&quot;page&quot;:&quot;809-814&quot;,&quot;abstract&quot;:&quot;Asthma and chronic obstructive pulmonary disease (COPD) are respiratory conditions  associated with a significant economic cost among U.S. adults (1,2), and up to 44% of asthma and 50% of COPD cases among adults are associated with workplace exposures (3). CDC analyzed 2011-2015 Medical Expenditure Panel Survey (MEPS) data to determine the medical expenditures attributed to treatment of asthma and COPD among U.S. workers aged ≥18 years who were employed at any time during the survey year. During 2011-2015, among the estimated 166 million U.S. workers, 8 million had at least one asthma-related medical event,* and 7 million had at least one COPD-related medical event. The annualized total medical expenditures, in 2017 dollars, were $7 billion for asthma and $5 billion for COPD. Private health insurance paid for 61% of expenditures attributable to treatment of asthma and 59% related to COPD. By type of medical event, the highest annualized per-person asthma- and COPD-related expenditures were for inpatient visits: $8,238 for asthma and $27,597 for COPD. By industry group, the highest annualized per-person expenditures ($1,279 for asthma and $1,819 for COPD) were among workers in public administration. Early identification and reduction of risk factors, including workplace exposures, and implementation of proven interventions are needed to reduce the adverse health and economic impacts of asthma and COPD among workers.&quot;,&quot;publisher&quot;:&quot;MMWR Morb Mortal Wkly Rep&quot;,&quot;issue&quot;:&quot;26&quot;,&quot;volume&quot;:&quot;69&quot;,&quot;container-title-short&quot;:&quot;MMWR Morb Mortal Wkly Rep&quot;},&quot;isTemporary&quot;:false}]},{&quot;citationID&quot;:&quot;MENDELEY_CITATION_e6d39209-5fc3-4267-8b45-a34ec1a99b44&quot;,&quot;properties&quot;:{&quot;noteIndex&quot;:0},&quot;isEdited&quot;:false,&quot;manualOverride&quot;:{&quot;isManuallyOverridden&quot;:false,&quot;citeprocText&quot;:&quot;[48]&quot;,&quot;manualOverrideText&quot;:&quot;&quot;},&quot;citationTag&quot;:&quot;MENDELEY_CITATION_v3_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&quot;,&quot;citationItems&quot;:[{&quot;id&quot;:&quot;26cc9b5f-0ec5-31ba-9563-e59af551ca1c&quot;,&quot;itemData&quot;:{&quot;type&quot;:&quot;article-journal&quot;,&quot;id&quot;:&quot;26cc9b5f-0ec5-31ba-9563-e59af551ca1c&quot;,&quot;title&quot;:&quot;Medical Expenditures Attributed to Asthma and Chronic Obstructive Pulmonary Disease Among Workers - United States, 2011-2015&quot;,&quot;author&quot;:[{&quot;family&quot;:&quot;Syamlal&quot;,&quot;given&quot;:&quot;Girija&quot;,&quot;parse-names&quot;:false,&quot;dropping-particle&quot;:&quot;&quot;,&quot;non-dropping-particle&quot;:&quot;&quot;},{&quot;family&quot;:&quot;Bhattacharya&quot;,&quot;given&quot;:&quot;Anasua&quot;,&quot;parse-names&quot;:false,&quot;dropping-particle&quot;:&quot;&quot;,&quot;non-dropping-particle&quot;:&quot;&quot;},{&quot;family&quot;:&quot;Dodd&quot;,&quot;given&quot;:&quot;Katelynn E.&quot;,&quot;parse-names&quot;:false,&quot;dropping-particle&quot;:&quot;&quot;,&quot;non-dropping-particle&quot;:&quot;&quot;}],&quot;container-title&quot;:&quot;MMWR. Morbidity and mortality weekly report&quot;,&quot;accessed&quot;:{&quot;date-parts&quot;:[[2024,10,6]]},&quot;DOI&quot;:&quot;10.15585/MMWR.MM6926A1&quot;,&quot;ISSN&quot;:&quot;1545-861X&quot;,&quot;PMID&quot;:&quot;32614807&quot;,&quot;URL&quot;:&quot;https://pubmed.ncbi.nlm.nih.gov/32614807/&quot;,&quot;issued&quot;:{&quot;date-parts&quot;:[[2020,7,3]]},&quot;page&quot;:&quot;809-814&quot;,&quot;abstract&quot;:&quot;Asthma and chronic obstructive pulmonary disease (COPD) are respiratory conditions  associated with a significant economic cost among U.S. adults (1,2), and up to 44% of asthma and 50% of COPD cases among adults are associated with workplace exposures (3). CDC analyzed 2011-2015 Medical Expenditure Panel Survey (MEPS) data to determine the medical expenditures attributed to treatment of asthma and COPD among U.S. workers aged ≥18 years who were employed at any time during the survey year. During 2011-2015, among the estimated 166 million U.S. workers, 8 million had at least one asthma-related medical event,* and 7 million had at least one COPD-related medical event. The annualized total medical expenditures, in 2017 dollars, were $7 billion for asthma and $5 billion for COPD. Private health insurance paid for 61% of expenditures attributable to treatment of asthma and 59% related to COPD. By type of medical event, the highest annualized per-person asthma- and COPD-related expenditures were for inpatient visits: $8,238 for asthma and $27,597 for COPD. By industry group, the highest annualized per-person expenditures ($1,279 for asthma and $1,819 for COPD) were among workers in public administration. Early identification and reduction of risk factors, including workplace exposures, and implementation of proven interventions are needed to reduce the adverse health and economic impacts of asthma and COPD among workers.&quot;,&quot;publisher&quot;:&quot;MMWR Morb Mortal Wkly Rep&quot;,&quot;issue&quot;:&quot;26&quot;,&quot;volume&quot;:&quot;69&quot;,&quot;container-title-short&quot;:&quot;MMWR Morb Mortal Wkly Rep&quot;},&quot;isTemporary&quot;:false}]},{&quot;citationID&quot;:&quot;MENDELEY_CITATION_1a1ac0e9-5e75-4e8b-a986-866481e94a2b&quot;,&quot;properties&quot;:{&quot;noteIndex&quot;:0},&quot;isEdited&quot;:false,&quot;manualOverride&quot;:{&quot;isManuallyOverridden&quot;:false,&quot;citeprocText&quot;:&quot;[9]&quot;,&quot;manualOverrideText&quot;:&quot;&quot;},&quot;citationTag&quot;:&quot;MENDELEY_CITATION_v3_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&quot;,&quot;citationItems&quot;:[{&quot;id&quot;:&quot;d9253a9a-c28b-34c9-b795-7eaa454c43c8&quot;,&quot;itemData&quot;:{&quot;type&quot;:&quot;article-journal&quot;,&quot;id&quot;:&quot;d9253a9a-c28b-34c9-b795-7eaa454c43c8&quot;,&quot;title&quot;:&quot;National and Local Direct Medical Cost Burden of COPD in the United States From 2016 to 2019 and Projections Through 2029&quot;,&quot;author&quot;:[{&quot;family&quot;:&quot;Mannino&quot;,&quot;given&quot;:&quot;David M.&quot;,&quot;parse-names&quot;:false,&quot;dropping-particle&quot;:&quot;&quot;,&quot;non-dropping-particle&quot;:&quot;&quot;},{&quot;family&quot;:&quot;Roberts&quot;,&quot;given&quot;:&quot;Melissa H.&quot;,&quot;parse-names&quot;:false,&quot;dropping-particle&quot;:&quot;&quot;,&quot;non-dropping-particle&quot;:&quot;&quot;},{&quot;family&quot;:&quot;Mapel&quot;,&quot;given&quot;:&quot;Douglas W.&quot;,&quot;parse-names&quot;:false,&quot;dropping-particle&quot;:&quot;&quot;,&quot;non-dropping-particle&quot;:&quot;&quot;},{&quot;family&quot;:&quot;Zhang&quot;,&quot;given&quot;:&quot;Qisu&quot;,&quot;parse-names&quot;:false,&quot;dropping-particle&quot;:&quot;&quot;,&quot;non-dropping-particle&quot;:&quot;&quot;},{&quot;family&quot;:&quot;Lunacsek&quot;,&quot;given&quot;:&quot;Orsolya&quot;,&quot;parse-names&quot;:false,&quot;dropping-particle&quot;:&quot;&quot;,&quot;non-dropping-particle&quot;:&quot;&quot;},{&quot;family&quot;:&quot;Grabich&quot;,&quot;given&quot;:&quot;Shannon&quot;,&quot;parse-names&quot;:false,&quot;dropping-particle&quot;:&quot;&quot;,&quot;non-dropping-particle&quot;:&quot;&quot;},{&quot;family&quot;:&quot;Stiphout&quot;,&quot;given&quot;:&quot;Joris&quot;,&quot;parse-names&quot;:false,&quot;dropping-particle&quot;:&quot;&quot;,&quot;non-dropping-particle&quot;:&quot;van&quot;},{&quot;family&quot;:&quot;Meadors&quot;,&quot;given&quot;:&quot;Brian L.&quot;,&quot;parse-names&quot;:false,&quot;dropping-particle&quot;:&quot;&quot;,&quot;non-dropping-particle&quot;:&quot;&quot;},{&quot;family&quot;:&quot;Feigler&quot;,&quot;given&quot;:&quot;Norbert&quot;,&quot;parse-names&quot;:false,&quot;dropping-particle&quot;:&quot;&quot;,&quot;non-dropping-particle&quot;:&quot;&quot;},{&quot;family&quot;:&quot;Pollack&quot;,&quot;given&quot;:&quot;Michael F.&quot;,&quot;parse-names&quot;:false,&quot;dropping-particle&quot;:&quot;&quot;,&quot;non-dropping-particle&quot;:&quot;&quot;}],&quot;container-title&quot;:&quot;Chest&quot;,&quot;container-title-short&quot;:&quot;Chest&quot;,&quot;accessed&quot;:{&quot;date-parts&quot;:[[2024,9,1]]},&quot;DOI&quot;:&quot;10.1016/J.CHEST.2023.11.040&quot;,&quot;ISSN&quot;:&quot;1931-3543&quot;,&quot;PMID&quot;:&quot;38042365&quot;,&quot;URL&quot;:&quot;https://pubmed.ncbi.nlm.nih.gov/38042365/&quot;,&quot;issued&quot;:{&quot;date-parts&quot;:[[2024,5,1]]},&quot;page&quot;:&quot;1093-1106&quot;,&quot;abstract&quot;:&quot;Background: Despite the significant burden posed by COPD to health care systems, there is a lack of up-to-date information quantifying the general COPD burden, costs, and long-term projections to various stakeholders in the United States. Research Question: What are the updated state-specific and nationwide estimates of the COPD disease burden and direct costs in 2019, along with projections of COPD-attributable medical costs through 2029? Study Design and Methods: A cross-sectional, retrospective study design using the 2016 to 2019 Medical Expenditure Panel Survey, 2019 American Community Survey, and 2019 Behavioral Risk Factor Surveillance System data was applied to generate COPD-attributable expenditure estimates. Cost projections for the years 2020 to 2029 were based on 2017 national population projections reported by the US Census Bureau, and all costs were adjusted to 2019 US dollars. Results: In total, 4,135 people living with COPD were included; a higher proportion had other concurrent conditions such as cardiovascular-related conditions compared with people without COPD (n = 86,021). Overall, in 2019, COPD-attributable medical costs after adjusting for demographic characteristics and 19 concurrent conditions (including COPD-related and non-COPD-related conditions) were estimated at $31.3 billion, with state-specific cost estimates reporting wide variation, from $44.8 million in Alaska to $3.1 billion in Florida. Nationwide COPD-attributable medical costs borne by payer type were as follows: private insurance, $11.4 billion; Medicare, $10.8 billion; and Medicaid, $3.0 billion. Projections of national medical costs attributable to COPD are reported to increase to $60.5 billion in 2029. Interpretation: Understanding the current disease and economic burden of COPD in the United States, along with the projected costs attributable to COPD in the next decade, will highlight unmet needs and gaps in care that help inform health care decision-makers in planning future actions to alleviate this disease burden.&quot;,&quot;publisher&quot;:&quot;Chest&quot;,&quot;issue&quot;:&quot;5&quot;,&quot;volume&quot;:&quot;165&quot;},&quot;isTemporary&quot;:false}]},{&quot;citationID&quot;:&quot;MENDELEY_CITATION_3b0753b2-f314-40dc-95e4-ed4cf0517429&quot;,&quot;properties&quot;:{&quot;noteIndex&quot;:0},&quot;isEdited&quot;:false,&quot;manualOverride&quot;:{&quot;isManuallyOverridden&quot;:false,&quot;citeprocText&quot;:&quot;[49]&quot;,&quot;manualOverrideText&quot;:&quot;&quot;},&quot;citationTag&quot;:&quot;MENDELEY_CITATION_v3_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&quot;,&quot;citationItems&quot;:[{&quot;id&quot;:&quot;189b7ed0-2387-318f-85e3-c6dca10ac39a&quot;,&quot;itemData&quot;:{&quot;type&quot;:&quot;article-journal&quot;,&quot;id&quot;:&quot;189b7ed0-2387-318f-85e3-c6dca10ac39a&quot;,&quot;title&quot;:&quot;Projecting Long-term Health and Economic Burden of COPD in the United States&quot;,&quot;author&quot;:[{&quot;family&quot;:&quot;Zafari&quot;,&quot;given&quot;:&quot;Zafar&quot;,&quot;parse-names&quot;:false,&quot;dropping-particle&quot;:&quot;&quot;,&quot;non-dropping-particle&quot;:&quot;&quot;},{&quot;family&quot;:&quot;Li&quot;,&quot;given&quot;:&quot;Shukai&quot;,&quot;parse-names&quot;:false,&quot;dropping-particle&quot;:&quot;&quot;,&quot;non-dropping-particle&quot;:&quot;&quot;},{&quot;family&quot;:&quot;Eakin&quot;,&quot;given&quot;:&quot;Michelle N.&quot;,&quot;parse-names&quot;:false,&quot;dropping-particle&quot;:&quot;&quot;,&quot;non-dropping-particle&quot;:&quot;&quot;},{&quot;family&quot;:&quot;Bellanger&quot;,&quot;given&quot;:&quot;Martine&quot;,&quot;parse-names&quot;:false,&quot;dropping-particle&quot;:&quot;&quot;,&quot;non-dropping-particle&quot;:&quot;&quot;},{&quot;family&quot;:&quot;Reed&quot;,&quot;given&quot;:&quot;Robert M.&quot;,&quot;parse-names&quot;:false,&quot;dropping-particle&quot;:&quot;&quot;,&quot;non-dropping-particle&quot;:&quot;&quot;}],&quot;container-title&quot;:&quot;Chest&quot;,&quot;container-title-short&quot;:&quot;Chest&quot;,&quot;accessed&quot;:{&quot;date-parts&quot;:[[2024,9,1]]},&quot;DOI&quot;:&quot;10.1016/J.CHEST.2020.09.255&quot;,&quot;ISSN&quot;:&quot;0012-3692&quot;,&quot;PMID&quot;:&quot;33011203&quot;,&quot;issued&quot;:{&quot;date-parts&quot;:[[2021,4,1]]},&quot;page&quot;:&quot;1400-1410&quot;,&quot;abstract&quot;:&quot;Background: In the United States, COPD is a leading cause of mortality, with a substantial societal health and economic burden. With anticipated population growth, it is important for various stakeholders to have an estimate for the projected burden of disease. Research Question: The goal of this study was to model the 20-year health and economic burden of COPD, from 2019 to 2038, in the United States. Study Design and Methods: Using country-specific data from published literature and publicly available datasets, a dynamic open cohort Markov model was developed in a probabilistic Monte Carlo simulation. Population growth was modeled across different subgroups of age, sex, and smoking. The COPD prevalence rates were calibrated for different subgroups, and distributions of severity grades were modeled based on smoking status. Direct costs, indirect absenteeism costs, losses of quality-adjusted life years (QALYs), and number of exacerbations and deaths associated with COPD were projected. Results: The 20-year discounted direct medical costs attributable to COPD were estimated to be $800.90 billion (95% credible interval [CrI], 565.29 billion-1,081.29 billion), with an expected $337.13 billion in male subjects and $463.77 billion in female subjects. The 20-year discounted indirect absenteeism costs were projected to be $101.30 billion (70.82 billion-137.41 billion). The 20-year losses of QALYs, number of exacerbations, and number of deaths associated with COPD were 45.38 million (8.63 million-112.07 million), 315.08 million (228.59 million-425.33 million), and 9.42 million (8.93 million-9.93 million), respectively. The proportion of disease burden attributable to continued smoking was 34% in direct medical costs, 35% in indirect absenteeism costs, and 37% in losses of QALYs over 20 years. Interpretation: This study projects the substantial burden of COPD that the American society is expected to incur with current patterns for treatments and smoking rates. Mitigating such burden requires targeted budget appropriations and cost-effective interventions.&quot;,&quot;publisher&quot;:&quot;Elsevier&quot;,&quot;issue&quot;:&quot;4&quot;,&quot;volume&quot;:&quot;159&quot;},&quot;isTemporary&quot;:false}]},{&quot;citationID&quot;:&quot;MENDELEY_CITATION_90def174-d553-4a00-98ba-5018a5108abc&quot;,&quot;properties&quot;:{&quot;noteIndex&quot;:0},&quot;isEdited&quot;:false,&quot;manualOverride&quot;:{&quot;isManuallyOverridden&quot;:false,&quot;citeprocText&quot;:&quot;[49]&quot;,&quot;manualOverrideText&quot;:&quot;&quot;},&quot;citationTag&quot;:&quot;MENDELEY_CITATION_v3_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&quot;,&quot;citationItems&quot;:[{&quot;id&quot;:&quot;189b7ed0-2387-318f-85e3-c6dca10ac39a&quot;,&quot;itemData&quot;:{&quot;type&quot;:&quot;article-journal&quot;,&quot;id&quot;:&quot;189b7ed0-2387-318f-85e3-c6dca10ac39a&quot;,&quot;title&quot;:&quot;Projecting Long-term Health and Economic Burden of COPD in the United States&quot;,&quot;author&quot;:[{&quot;family&quot;:&quot;Zafari&quot;,&quot;given&quot;:&quot;Zafar&quot;,&quot;parse-names&quot;:false,&quot;dropping-particle&quot;:&quot;&quot;,&quot;non-dropping-particle&quot;:&quot;&quot;},{&quot;family&quot;:&quot;Li&quot;,&quot;given&quot;:&quot;Shukai&quot;,&quot;parse-names&quot;:false,&quot;dropping-particle&quot;:&quot;&quot;,&quot;non-dropping-particle&quot;:&quot;&quot;},{&quot;family&quot;:&quot;Eakin&quot;,&quot;given&quot;:&quot;Michelle N.&quot;,&quot;parse-names&quot;:false,&quot;dropping-particle&quot;:&quot;&quot;,&quot;non-dropping-particle&quot;:&quot;&quot;},{&quot;family&quot;:&quot;Bellanger&quot;,&quot;given&quot;:&quot;Martine&quot;,&quot;parse-names&quot;:false,&quot;dropping-particle&quot;:&quot;&quot;,&quot;non-dropping-particle&quot;:&quot;&quot;},{&quot;family&quot;:&quot;Reed&quot;,&quot;given&quot;:&quot;Robert M.&quot;,&quot;parse-names&quot;:false,&quot;dropping-particle&quot;:&quot;&quot;,&quot;non-dropping-particle&quot;:&quot;&quot;}],&quot;container-title&quot;:&quot;Chest&quot;,&quot;container-title-short&quot;:&quot;Chest&quot;,&quot;accessed&quot;:{&quot;date-parts&quot;:[[2024,9,1]]},&quot;DOI&quot;:&quot;10.1016/J.CHEST.2020.09.255&quot;,&quot;ISSN&quot;:&quot;0012-3692&quot;,&quot;PMID&quot;:&quot;33011203&quot;,&quot;issued&quot;:{&quot;date-parts&quot;:[[2021,4,1]]},&quot;page&quot;:&quot;1400-1410&quot;,&quot;abstract&quot;:&quot;Background: In the United States, COPD is a leading cause of mortality, with a substantial societal health and economic burden. With anticipated population growth, it is important for various stakeholders to have an estimate for the projected burden of disease. Research Question: The goal of this study was to model the 20-year health and economic burden of COPD, from 2019 to 2038, in the United States. Study Design and Methods: Using country-specific data from published literature and publicly available datasets, a dynamic open cohort Markov model was developed in a probabilistic Monte Carlo simulation. Population growth was modeled across different subgroups of age, sex, and smoking. The COPD prevalence rates were calibrated for different subgroups, and distributions of severity grades were modeled based on smoking status. Direct costs, indirect absenteeism costs, losses of quality-adjusted life years (QALYs), and number of exacerbations and deaths associated with COPD were projected. Results: The 20-year discounted direct medical costs attributable to COPD were estimated to be $800.90 billion (95% credible interval [CrI], 565.29 billion-1,081.29 billion), with an expected $337.13 billion in male subjects and $463.77 billion in female subjects. The 20-year discounted indirect absenteeism costs were projected to be $101.30 billion (70.82 billion-137.41 billion). The 20-year losses of QALYs, number of exacerbations, and number of deaths associated with COPD were 45.38 million (8.63 million-112.07 million), 315.08 million (228.59 million-425.33 million), and 9.42 million (8.93 million-9.93 million), respectively. The proportion of disease burden attributable to continued smoking was 34% in direct medical costs, 35% in indirect absenteeism costs, and 37% in losses of QALYs over 20 years. Interpretation: This study projects the substantial burden of COPD that the American society is expected to incur with current patterns for treatments and smoking rates. Mitigating such burden requires targeted budget appropriations and cost-effective interventions.&quot;,&quot;publisher&quot;:&quot;Elsevier&quot;,&quot;issue&quot;:&quot;4&quot;,&quot;volume&quot;:&quot;159&quot;},&quot;isTemporary&quot;:false}]},{&quot;citationID&quot;:&quot;MENDELEY_CITATION_a28c59b8-25b7-4390-ae4e-18e4af46d8f9&quot;,&quot;properties&quot;:{&quot;noteIndex&quot;:0},&quot;isEdited&quot;:false,&quot;manualOverride&quot;:{&quot;isManuallyOverridden&quot;:false,&quot;citeprocText&quot;:&quot;[49]&quot;,&quot;manualOverrideText&quot;:&quot;&quot;},&quot;citationTag&quot;:&quot;MENDELEY_CITATION_v3_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&quot;,&quot;citationItems&quot;:[{&quot;id&quot;:&quot;189b7ed0-2387-318f-85e3-c6dca10ac39a&quot;,&quot;itemData&quot;:{&quot;type&quot;:&quot;article-journal&quot;,&quot;id&quot;:&quot;189b7ed0-2387-318f-85e3-c6dca10ac39a&quot;,&quot;title&quot;:&quot;Projecting Long-term Health and Economic Burden of COPD in the United States&quot;,&quot;author&quot;:[{&quot;family&quot;:&quot;Zafari&quot;,&quot;given&quot;:&quot;Zafar&quot;,&quot;parse-names&quot;:false,&quot;dropping-particle&quot;:&quot;&quot;,&quot;non-dropping-particle&quot;:&quot;&quot;},{&quot;family&quot;:&quot;Li&quot;,&quot;given&quot;:&quot;Shukai&quot;,&quot;parse-names&quot;:false,&quot;dropping-particle&quot;:&quot;&quot;,&quot;non-dropping-particle&quot;:&quot;&quot;},{&quot;family&quot;:&quot;Eakin&quot;,&quot;given&quot;:&quot;Michelle N.&quot;,&quot;parse-names&quot;:false,&quot;dropping-particle&quot;:&quot;&quot;,&quot;non-dropping-particle&quot;:&quot;&quot;},{&quot;family&quot;:&quot;Bellanger&quot;,&quot;given&quot;:&quot;Martine&quot;,&quot;parse-names&quot;:false,&quot;dropping-particle&quot;:&quot;&quot;,&quot;non-dropping-particle&quot;:&quot;&quot;},{&quot;family&quot;:&quot;Reed&quot;,&quot;given&quot;:&quot;Robert M.&quot;,&quot;parse-names&quot;:false,&quot;dropping-particle&quot;:&quot;&quot;,&quot;non-dropping-particle&quot;:&quot;&quot;}],&quot;container-title&quot;:&quot;Chest&quot;,&quot;container-title-short&quot;:&quot;Chest&quot;,&quot;accessed&quot;:{&quot;date-parts&quot;:[[2024,9,1]]},&quot;DOI&quot;:&quot;10.1016/J.CHEST.2020.09.255&quot;,&quot;ISSN&quot;:&quot;0012-3692&quot;,&quot;PMID&quot;:&quot;33011203&quot;,&quot;issued&quot;:{&quot;date-parts&quot;:[[2021,4,1]]},&quot;page&quot;:&quot;1400-1410&quot;,&quot;abstract&quot;:&quot;Background: In the United States, COPD is a leading cause of mortality, with a substantial societal health and economic burden. With anticipated population growth, it is important for various stakeholders to have an estimate for the projected burden of disease. Research Question: The goal of this study was to model the 20-year health and economic burden of COPD, from 2019 to 2038, in the United States. Study Design and Methods: Using country-specific data from published literature and publicly available datasets, a dynamic open cohort Markov model was developed in a probabilistic Monte Carlo simulation. Population growth was modeled across different subgroups of age, sex, and smoking. The COPD prevalence rates were calibrated for different subgroups, and distributions of severity grades were modeled based on smoking status. Direct costs, indirect absenteeism costs, losses of quality-adjusted life years (QALYs), and number of exacerbations and deaths associated with COPD were projected. Results: The 20-year discounted direct medical costs attributable to COPD were estimated to be $800.90 billion (95% credible interval [CrI], 565.29 billion-1,081.29 billion), with an expected $337.13 billion in male subjects and $463.77 billion in female subjects. The 20-year discounted indirect absenteeism costs were projected to be $101.30 billion (70.82 billion-137.41 billion). The 20-year losses of QALYs, number of exacerbations, and number of deaths associated with COPD were 45.38 million (8.63 million-112.07 million), 315.08 million (228.59 million-425.33 million), and 9.42 million (8.93 million-9.93 million), respectively. The proportion of disease burden attributable to continued smoking was 34% in direct medical costs, 35% in indirect absenteeism costs, and 37% in losses of QALYs over 20 years. Interpretation: This study projects the substantial burden of COPD that the American society is expected to incur with current patterns for treatments and smoking rates. Mitigating such burden requires targeted budget appropriations and cost-effective interventions.&quot;,&quot;publisher&quot;:&quot;Elsevier&quot;,&quot;issue&quot;:&quot;4&quot;,&quot;volume&quot;:&quot;159&quot;},&quot;isTemporary&quot;:false}]},{&quot;citationID&quot;:&quot;MENDELEY_CITATION_fc9c2030-e857-4ac4-b951-fe8c75f3387b&quot;,&quot;properties&quot;:{&quot;noteIndex&quot;:0},&quot;isEdited&quot;:false,&quot;manualOverride&quot;:{&quot;isManuallyOverridden&quot;:false,&quot;citeprocText&quot;:&quot;[50]&quot;,&quot;manualOverrideText&quot;:&quot;&quot;},&quot;citationTag&quot;:&quot;MENDELEY_CITATION_v3_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&quot;,&quot;citationItems&quot;:[{&quot;id&quot;:&quot;7d726ca8-aec1-374a-b574-549132dd6ab0&quot;,&quot;itemData&quot;:{&quot;type&quot;:&quot;article-journal&quot;,&quot;id&quot;:&quot;7d726ca8-aec1-374a-b574-549132dd6ab0&quot;,&quot;title&quot;:&quot;COPD uncovered: an international survey on the impact of chronic obstructive pulmonary disease [COPD] on a working age population&quot;,&quot;author&quot;:[{&quot;family&quot;:&quot;Fletcher&quot;,&quot;given&quot;:&quot;Monica J.&quot;,&quot;parse-names&quot;:false,&quot;dropping-particle&quot;:&quot;&quot;,&quot;non-dropping-particle&quot;:&quot;&quot;},{&quot;family&quot;:&quot;Upton&quot;,&quot;given&quot;:&quot;Jane&quot;,&quot;parse-names&quot;:false,&quot;dropping-particle&quot;:&quot;&quot;,&quot;non-dropping-particle&quot;:&quot;&quot;},{&quot;family&quot;:&quot;Taylor-Fishwick&quot;,&quot;given&quot;:&quot;Judith&quot;,&quot;parse-names&quot;:false,&quot;dropping-particle&quot;:&quot;&quot;,&quot;non-dropping-particle&quot;:&quot;&quot;},{&quot;family&quot;:&quot;Buist&quot;,&quot;given&quot;:&quot;Sonia A.&quot;,&quot;parse-names&quot;:false,&quot;dropping-particle&quot;:&quot;&quot;,&quot;non-dropping-particle&quot;:&quot;&quot;},{&quot;family&quot;:&quot;Jenkins&quot;,&quot;given&quot;:&quot;Christine&quot;,&quot;parse-names&quot;:false,&quot;dropping-particle&quot;:&quot;&quot;,&quot;non-dropping-particle&quot;:&quot;&quot;},{&quot;family&quot;:&quot;Hutton&quot;,&quot;given&quot;:&quot;John&quot;,&quot;parse-names&quot;:false,&quot;dropping-particle&quot;:&quot;&quot;,&quot;non-dropping-particle&quot;:&quot;&quot;},{&quot;family&quot;:&quot;Barnes&quot;,&quot;given&quot;:&quot;Neil&quot;,&quot;parse-names&quot;:false,&quot;dropping-particle&quot;:&quot;&quot;,&quot;non-dropping-particle&quot;:&quot;&quot;},{&quot;family&quot;:&quot;Molen&quot;,&quot;given&quot;:&quot;Thys&quot;,&quot;parse-names&quot;:false,&quot;dropping-particle&quot;:&quot;&quot;,&quot;non-dropping-particle&quot;:&quot;Van Der&quot;},{&quot;family&quot;:&quot;Walsh&quot;,&quot;given&quot;:&quot;John W.&quot;,&quot;parse-names&quot;:false,&quot;dropping-particle&quot;:&quot;&quot;,&quot;non-dropping-particle&quot;:&quot;&quot;},{&quot;family&quot;:&quot;Jones&quot;,&quot;given&quot;:&quot;Paul&quot;,&quot;parse-names&quot;:false,&quot;dropping-particle&quot;:&quot;&quot;,&quot;non-dropping-particle&quot;:&quot;&quot;},{&quot;family&quot;:&quot;Walker&quot;,&quot;given&quot;:&quot;Samantha&quot;,&quot;parse-names&quot;:false,&quot;dropping-particle&quot;:&quot;&quot;,&quot;non-dropping-particle&quot;:&quot;&quot;}],&quot;container-title&quot;:&quot;BMC Public Health&quot;,&quot;container-title-short&quot;:&quot;BMC Public Health&quot;,&quot;accessed&quot;:{&quot;date-parts&quot;:[[2024,9,7]]},&quot;DOI&quot;:&quot;10.1186/1471-2458-11-612&quot;,&quot;ISSN&quot;:&quot;14712458&quot;,&quot;PMID&quot;:&quot;21806798&quot;,&quot;URL&quot;:&quot;/pmc/articles/PMC3163200/&quot;,&quot;issued&quot;:{&quot;date-parts&quot;:[[2011]]},&quot;page&quot;:&quot;612&quot;,&quot;abstract&quot;:&quot;Background: Approximately 210 million people are estimated to have chronic obstructive pulmonary disease [COPD] worldwide. The burden of disease is known to be high, though less is known about those of a younger age. The aim of this study was to investigate the wider personal, economic and societal burden of COPD on a cross country working-age cohort. Methods. A cross-country [Brazil, China, Germany, Turkey, US, UK] cross-sectional survey methodology was utilised to answer the research questions. 2426 participants aged 45-67 recruited via a number of recruitment methods specific to each country completed the full survey. Inclusion criteria were a recalled physician diagnosis of COPD, a smoking history of &gt; 10 pack years and the use of COPD medications in the previous 3 months prior to questioning. The survey included items from the validated Work Productivity and Activity Impairment [WPAI] scale and the EuroQoL 5 Dimension [EQ-5D] scale. Disease severity was measured using the 5-point MRC [Medical Research Council] dyspnoea scale as a surrogate measure. Results: 64% had either moderate [n = 1012] or severe [n = 521] COPD, although this varied by country. 75% of the cohort reported at least one comorbid condition. Quality of life declined with severity of illness [mild, mean EQ-5D score = 0.84; moderate 0.58; severe 0.41]. The annual cost of healthcare utilisation [excluding treatment costs and diagnostic tests] per individual was estimated to be $2,364 [1,500]. For those remaining in active employment [n: 677]: lost time from work cost the individual an average of $880 [556] per annum and lifetime losses of $7,365 [4,661] amounting to $596,000 [377,000] for the cohort. 447 [∼40%] of the working population had retired prematurely because of COPD incurring individual estimated lifetime income losses of $316,000 [200,000] or a combined total of $141 m [89.6 m]. As the mean age of retirees was 58.3 and average time since retirement was 4 years, this suggests the average age of retirement is around 54. This would mean a high societal and economic impact in all study countries, particularly where typical state retirement ages are higher, for example in Brazil, Germany and the UK [65] and the US [65,66,67], compared to Turkey [58 for women, 60 for men] and China [60]. Conclusions: Although generalisation across a broader COPD population is limited due to the varied participant recruitment methods, these data nevertheless suggest that COPD has significant personal, economic and societal burden on working age people. Further efforts to improve COPD diagnosis and management are required. © 2011 Fletcher et al; licensee BioMed Central Ltd.&quot;,&quot;publisher&quot;:&quot;BMC&quot;,&quot;volume&quot;:&quot;11&quot;},&quot;isTemporary&quot;:false}]},{&quot;citationID&quot;:&quot;MENDELEY_CITATION_ecd84707-3941-4854-a2cf-de39d3a93f7a&quot;,&quot;properties&quot;:{&quot;noteIndex&quot;:0},&quot;isEdited&quot;:false,&quot;manualOverride&quot;:{&quot;isManuallyOverridden&quot;:false,&quot;citeprocText&quot;:&quot;[51]&quot;,&quot;manualOverrideText&quot;:&quot;&quot;},&quot;citationTag&quot;:&quot;MENDELEY_CITATION_v3_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&quot;,&quot;citationItems&quot;:[{&quot;id&quot;:&quot;a6fd5cfd-df09-3418-8944-956b9c24984d&quot;,&quot;itemData&quot;:{&quot;type&quot;:&quot;article-journal&quot;,&quot;id&quot;:&quot;a6fd5cfd-df09-3418-8944-956b9c24984d&quot;,&quot;title&quot;:&quot;Unemployment in chronic airflow obstruction around the world: results from the BOLD study&quot;,&quot;author&quot;:[{&quot;family&quot;:&quot;Grønseth&quot;,&quot;given&quot;:&quot;Rune&quot;,&quot;parse-names&quot;:false,&quot;dropping-particle&quot;:&quot;&quot;,&quot;non-dropping-particle&quot;:&quot;&quot;},{&quot;family&quot;:&quot;Erdal&quot;,&quot;given&quot;:&quot;Marta&quot;,&quot;parse-names&quot;:false,&quot;dropping-particle&quot;:&quot;&quot;,&quot;non-dropping-particle&quot;:&quot;&quot;},{&quot;family&quot;:&quot;Tan&quot;,&quot;given&quot;:&quot;Wan C.&quot;,&quot;parse-names&quot;:false,&quot;dropping-particle&quot;:&quot;&quot;,&quot;non-dropping-particle&quot;:&quot;&quot;},{&quot;family&quot;:&quot;Obaseki&quot;,&quot;given&quot;:&quot;Daniel O.&quot;,&quot;parse-names&quot;:false,&quot;dropping-particle&quot;:&quot;&quot;,&quot;non-dropping-particle&quot;:&quot;&quot;},{&quot;family&quot;:&quot;Amaral&quot;,&quot;given&quot;:&quot;Andre F.S.&quot;,&quot;parse-names&quot;:false,&quot;dropping-particle&quot;:&quot;&quot;,&quot;non-dropping-particle&quot;:&quot;&quot;},{&quot;family&quot;:&quot;Gislason&quot;,&quot;given&quot;:&quot;Thorarinn&quot;,&quot;parse-names&quot;:false,&quot;dropping-particle&quot;:&quot;&quot;,&quot;non-dropping-particle&quot;:&quot;&quot;},{&quot;family&quot;:&quot;Juvekar&quot;,&quot;given&quot;:&quot;Sanjay K.&quot;,&quot;parse-names&quot;:false,&quot;dropping-particle&quot;:&quot;&quot;,&quot;non-dropping-particle&quot;:&quot;&quot;},{&quot;family&quot;:&quot;Koul&quot;,&quot;given&quot;:&quot;Parvaiz A.&quot;,&quot;parse-names&quot;:false,&quot;dropping-particle&quot;:&quot;&quot;,&quot;non-dropping-particle&quot;:&quot;&quot;},{&quot;family&quot;:&quot;Studnicka&quot;,&quot;given&quot;:&quot;Michael&quot;,&quot;parse-names&quot;:false,&quot;dropping-particle&quot;:&quot;&quot;,&quot;non-dropping-particle&quot;:&quot;&quot;},{&quot;family&quot;:&quot;Salvi&quot;,&quot;given&quot;:&quot;Sundeep&quot;,&quot;parse-names&quot;:false,&quot;dropping-particle&quot;:&quot;&quot;,&quot;non-dropping-particle&quot;:&quot;&quot;},{&quot;family&quot;:&quot;Burney&quot;,&quot;given&quot;:&quot;Peter&quot;,&quot;parse-names&quot;:false,&quot;dropping-particle&quot;:&quot;&quot;,&quot;non-dropping-particle&quot;:&quot;&quot;},{&quot;family&quot;:&quot;Buist&quot;,&quot;given&quot;:&quot;A. Sonia&quot;,&quot;parse-names&quot;:false,&quot;dropping-particle&quot;:&quot;&quot;,&quot;non-dropping-particle&quot;:&quot;&quot;},{&quot;family&quot;:&quot;Vollmer&quot;,&quot;given&quot;:&quot;William M.&quot;,&quot;parse-names&quot;:false,&quot;dropping-particle&quot;:&quot;&quot;,&quot;non-dropping-particle&quot;:&quot;&quot;},{&quot;family&quot;:&quot;Johannessen&quot;,&quot;given&quot;:&quot;Ane&quot;,&quot;parse-names&quot;:false,&quot;dropping-particle&quot;:&quot;&quot;,&quot;non-dropping-particle&quot;:&quot;&quot;}],&quot;container-title&quot;:&quot;The European Respiratory Journal&quot;,&quot;accessed&quot;:{&quot;date-parts&quot;:[[2024,9,7]]},&quot;DOI&quot;:&quot;10.1183/13993003.00499-2017&quot;,&quot;ISSN&quot;:&quot;13993003&quot;,&quot;PMID&quot;:&quot;28931661&quot;,&quot;URL&quot;:&quot;/pmc/articles/PMC5898950/&quot;,&quot;issued&quot;:{&quot;date-parts&quot;:[[2017,9,1]]},&quot;abstract&quot;:&quot;We aimed to examine associations between chronic airflow obstruction (CAO) and unemployment across the world. Cross-sectional data from 26 sites in the Burden of Obstructive Lung Disease (BOLD) study were used to analyse effects of CAO on unemployment. Odds ratios for unemployment in subjects aged 40-65 years were estimated using a multilevel mixed-effects generalised linear model with study site as random effect. Site-by-site heterogeneity was assessed using individual participant data meta-analyses. Out of 18 710 participants, 11.3% had CAO. The ratio of unemployed subjects with CAO divided by subjects without CAO showed large site discrepancies, although these were no longer significant after adjusting for age, sex, smoking and education. The site-adjusted odds ratio (95% CI) for unemployment was 1.79 (1.41-2.27) for CAO cases, decreasing to 1.43 (1.14-1.79) after adjusting for sociodemographic factors, comorbidities and forced vital capacity. Of other covariates that were associated with unemployment, age and education were important risk factors in high-income sites (4.02 (3.53-4.57) and 3.86 (2.80-5.30), respectively), while female sex was important in low- to middle-income sites (3.23 (2.66-3.91)). In the global BOLD study, CAO was associated with increased levels of unemployment, even after adjusting for sociodemographic factors, comorbidities and lung function.&quot;,&quot;publisher&quot;:&quot;European Respiratory Society&quot;,&quot;issue&quot;:&quot;3&quot;,&quot;volume&quot;:&quot;50&quot;,&quot;container-title-short&quot;:&quot;Eur Respir J&quot;},&quot;isTemporary&quot;:false}]},{&quot;citationID&quot;:&quot;MENDELEY_CITATION_724fc975-fa4b-4d25-bc85-897c6e39ecc5&quot;,&quot;properties&quot;:{&quot;noteIndex&quot;:0},&quot;isEdited&quot;:false,&quot;manualOverride&quot;:{&quot;isManuallyOverridden&quot;:false,&quot;citeprocText&quot;:&quot;[52]&quot;,&quot;manualOverrideText&quot;:&quot;&quot;},&quot;citationTag&quot;:&quot;MENDELEY_CITATION_v3_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&quot;,&quot;citationItems&quot;:[{&quot;id&quot;:&quot;2294397b-210f-32c9-a00f-dadd88912541&quot;,&quot;itemData&quot;:{&quot;type&quot;:&quot;article-journal&quot;,&quot;id&quot;:&quot;2294397b-210f-32c9-a00f-dadd88912541&quot;,&quot;title&quot;:&quot;Systematic review: chronic obstructive pulmonary disease and work-related outcomes&quot;,&quot;author&quot;:[{&quot;family&quot;:&quot;Rai&quot;,&quot;given&quot;:&quot;K. K.&quot;,&quot;parse-names&quot;:false,&quot;dropping-particle&quot;:&quot;&quot;,&quot;non-dropping-particle&quot;:&quot;&quot;},{&quot;family&quot;:&quot;Adab&quot;,&quot;given&quot;:&quot;P.&quot;,&quot;parse-names&quot;:false,&quot;dropping-particle&quot;:&quot;&quot;,&quot;non-dropping-particle&quot;:&quot;&quot;},{&quot;family&quot;:&quot;Ayres&quot;,&quot;given&quot;:&quot;J. G.&quot;,&quot;parse-names&quot;:false,&quot;dropping-particle&quot;:&quot;&quot;,&quot;non-dropping-particle&quot;:&quot;&quot;},{&quot;family&quot;:&quot;Jordan&quot;,&quot;given&quot;:&quot;R. E.&quot;,&quot;parse-names&quot;:false,&quot;dropping-particle&quot;:&quot;&quot;,&quot;non-dropping-particle&quot;:&quot;&quot;}],&quot;container-title&quot;:&quot;Occupational Medicine&quot;,&quot;accessed&quot;:{&quot;date-parts&quot;:[[2024,9,2]]},&quot;DOI&quot;:&quot;10.1093/OCCMED/KQY012&quot;,&quot;ISSN&quot;:&quot;0962-7480&quot;,&quot;PMID&quot;:&quot;29528460&quot;,&quot;URL&quot;:&quot;https://dx.doi.org/10.1093/occmed/kqy012&quot;,&quot;issued&quot;:{&quot;date-parts&quot;:[[2018,3,27]]},&quot;page&quot;:&quot;99-108&quot;,&quot;abstract&quot;:&quot;Background Several studies have assessed the impact of chronic obstructive pulmonary disease (COPD) on work ability and work productivity; however, this relationship is poorly understood. Aims To undertake a systematic review to assess the effects of COPD on employment, absenteeism and presenteeism. Methods A comprehensive search using CINAHL, Embase, MEDLINE and the Cochrane Library was conducted to include epidemiological studies from 1937 to August 2017. One reviewer screened all citations. Shortlisted full-text articles were independently assessed by a second reviewer. Data were extracted by one reviewer with a random sample of papers (45%) checked by a second reviewer. Results Forty-four studies were included; the majority of evidence was from cross-sectional studies, and some cohort studies. COPD patients had lower employment rates than those without COPD. Among those in work, most studies showed patients with COPD took more time off work than those without and reported poorer work performance (presenteeism), although evidence for this association was weaker. The influence of disease severity on these outcomes was unclear; however, it appeared that increasing severity of airflow obstruction was associated with reduced likelihood of being employed. A number of methodological limitations were found among the evidence, including the lack of adjustment for important confounders. Conclusions Future studies are required which assess the impact of COPD on presenteeism using validated presenteeism instruments and consistent reporting methods. Robust studies are now needed to identify modifiable factors associated with these poorer working outcomes to inform future interventions aimed at improving work productivity among those with COPD.&quot;,&quot;publisher&quot;:&quot;Oxford Academic&quot;,&quot;issue&quot;:&quot;2&quot;,&quot;volume&quot;:&quot;68&quot;,&quot;container-title-short&quot;:&quot;Occup Med (Chic Ill)&quot;},&quot;isTemporary&quot;:false}]},{&quot;citationID&quot;:&quot;MENDELEY_CITATION_9164e21a-02cb-4ee5-8a83-393ad4f8ff5c&quot;,&quot;properties&quot;:{&quot;noteIndex&quot;:0},&quot;isEdited&quot;:false,&quot;manualOverride&quot;:{&quot;isManuallyOverridden&quot;:false,&quot;citeprocText&quot;:&quot;[53]&quot;,&quot;manualOverrideText&quot;:&quot;&quot;},&quot;citationTag&quot;:&quot;MENDELEY_CITATION_v3_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&quot;,&quot;citationItems&quot;:[{&quot;id&quot;:&quot;9a141601-9bd3-3b09-9c90-f03ef8238658&quot;,&quot;itemData&quot;:{&quot;type&quot;:&quot;article-journal&quot;,&quot;id&quot;:&quot;9a141601-9bd3-3b09-9c90-f03ef8238658&quot;,&quot;title&quot;:&quot;Factors affecting work productivity and activity impairment among chronic\nobstructive pulmonary disease patients&quot;,&quot;author&quot;:[{&quot;family&quot;:&quot;Abdelwahab&quot;,&quot;given&quot;:&quot;Heba Wagih&quot;,&quot;parse-names&quot;:false,&quot;dropping-particle&quot;:&quot;&quot;,&quot;non-dropping-particle&quot;:&quot;&quot;},{&quot;family&quot;:&quot;Sehsah&quot;,&quot;given&quot;:&quot;Radwa&quot;,&quot;parse-names&quot;:false,&quot;dropping-particle&quot;:&quot;&quot;,&quot;non-dropping-particle&quot;:&quot;&quot;},{&quot;family&quot;:&quot;El-Gilany&quot;,&quot;given&quot;:&quot;Abdel Hady&quot;,&quot;parse-names&quot;:false,&quot;dropping-particle&quot;:&quot;&quot;,&quot;non-dropping-particle&quot;:&quot;&quot;},{&quot;family&quot;:&quot;Shehta&quot;,&quot;given&quot;:&quot;Mohammed&quot;,&quot;parse-names&quot;:false,&quot;dropping-particle&quot;:&quot;&quot;,&quot;non-dropping-particle&quot;:&quot;&quot;}],&quot;container-title&quot;:&quot;Industrial Health&quot;,&quot;accessed&quot;:{&quot;date-parts&quot;:[[2024,9,2]]},&quot;DOI&quot;:&quot;10.2486/INDHEALTH.2022-0174&quot;,&quot;ISSN&quot;:&quot;00198366&quot;,&quot;PMID&quot;:&quot;37081622&quot;,&quot;URL&quot;:&quot;/pmc/articles/PMC10865086/&quot;,&quot;issued&quot;:{&quot;date-parts&quot;:[[2024]]},&quot;page&quot;:&quot;20&quot;,&quot;abstract&quot;:&quot;Chronic obstructive pulmonary disease (COPD) can negatively affect patients’ employment and work-life activities with a significant indirect economic impact. The current study aimed to measure unemployment, work productivity, activity impairment, and their associated factors among COPD patients. A cross-sectional study was conducted in the Chest outpatient clinic, Mansoura University Hospital, Egypt. COPD patients completed an interviewer-administered questionnaire including sociodemographic, occupational data, clinical history, medical research council (mMRC) dyspnea scale, the COPD assessment test (CAT), and work productivity and activity impairment Questionnaire (WPAI-COPD). A total 140 patients were included in the study and 22.1% of them gave up their jobs because of their COPD. Due to COPD, the mean percentage of daily activity impairment was 39.8 among all patients. The mean percentages of absenteeism, presenteeism, and overall work impairment among the 84 working patients were 0.07, 24.4, and 24.5. The CAT score was the significant predictor of all components of WPAI. In conclusion, COPD causes early retirement, high work productivity loss, and impaired daily activities. Higher CAT scores and increased disease severity significantly increase absenteeism, presenteeism, overall work, and activity impairment. Thus, timely diagnosis of COPD with appropriate management can help improve outcomes and lower the disease burden and economic impact.&quot;,&quot;publisher&quot;:&quot;National Institute of Occupational Safety and Health, Japan&quot;,&quot;issue&quot;:&quot;1&quot;,&quot;volume&quot;:&quot;62&quot;,&quot;container-title-short&quot;:&quot;Ind Health&quot;},&quot;isTemporary&quot;:false}]},{&quot;citationID&quot;:&quot;MENDELEY_CITATION_ec1bd6e4-542a-408c-b4fe-54cecf2465dc&quot;,&quot;properties&quot;:{&quot;noteIndex&quot;:0},&quot;isEdited&quot;:false,&quot;manualOverride&quot;:{&quot;isManuallyOverridden&quot;:false,&quot;citeprocText&quot;:&quot;[54]&quot;,&quot;manualOverrideText&quot;:&quot;&quot;},&quot;citationTag&quot;:&quot;MENDELEY_CITATION_v3_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&quot;,&quot;citationItems&quot;:[{&quot;id&quot;:&quot;36fe6f41-ac09-30f7-9fb8-28ce30fc303f&quot;,&quot;itemData&quot;:{&quot;type&quot;:&quot;article-journal&quot;,&quot;id&quot;:&quot;36fe6f41-ac09-30f7-9fb8-28ce30fc303f&quot;,&quot;title&quot;:&quot;Chronic obstructive pulmonary disease and breathlessness in older workers predict economic inactivity a prospective cohort study&quot;,&quot;author&quot;:[{&quot;family&quot;:&quot;Schofield&quot;,&quot;given&quot;:&quot;Susie J.&quot;,&quot;parse-names&quot;:false,&quot;dropping-particle&quot;:&quot;&quot;,&quot;non-dropping-particle&quot;:&quot;&quot;},{&quot;family&quot;:&quot;Woods&quot;,&quot;given&quot;:&quot;Annette&quot;,&quot;parse-names&quot;:false,&quot;dropping-particle&quot;:&quot;&quot;,&quot;non-dropping-particle&quot;:&quot;&quot;},{&quot;family&quot;:&quot;Szram&quot;,&quot;given&quot;:&quot;Joanna&quot;,&quot;parse-names&quot;:false,&quot;dropping-particle&quot;:&quot;&quot;,&quot;non-dropping-particle&quot;:&quot;&quot;},{&quot;family&quot;:&quot;Newman Taylor&quot;,&quot;given&quot;:&quot;Anthony J.&quot;,&quot;parse-names&quot;:false,&quot;dropping-particle&quot;:&quot;&quot;,&quot;non-dropping-particle&quot;:&quot;&quot;},{&quot;family&quot;:&quot;Cullinan&quot;,&quot;given&quot;:&quot;Paul&quot;,&quot;parse-names&quot;:false,&quot;dropping-particle&quot;:&quot;&quot;,&quot;non-dropping-particle&quot;:&quot;&quot;}],&quot;container-title&quot;:&quot;American Journal of Respiratory and Critical Care Medicine&quot;,&quot;accessed&quot;:{&quot;date-parts&quot;:[[2024,9,7]]},&quot;DOI&quot;:&quot;10.1164/RCCM.201902-0297OC/SUPPL_FILE/DISCLOSURES.PDF&quot;,&quot;ISSN&quot;:&quot;15354970&quot;,&quot;PMID&quot;:&quot;31348686&quot;,&quot;URL&quot;:&quot;www.atsjournals.org.&quot;,&quot;issued&quot;:{&quot;date-parts&quot;:[[2019,11,15]]},&quot;page&quot;:&quot;1228-1233&quot;,&quot;abstract&quot;:&quot;Rationale: There is an aspiration to retain increasing numbers of older workers in employment, and strategies to achieve this need to make provision for the increasing prevalence of chronic diseases with age. There is a consistent body of cross-sectional evidence that suggests that patients with chronic obstructive pulmonary disease are more likely to have adverse employment outcomes. Objectives: We report the findings of the first longitudinal study of this issue. Methods: We recruited full-time employed men and women in their 50s and followed them for a period of 18 months; we examined, after adjustment for potential confounders, the associations between breathlessness and airway obstruction at baseline and loss of employment in the intervening period. Measurements and Main Results: Among participants responding to the follow-up questionnaire (1,656 of 1,773 [93%]), the majority (78.5%) continued in full-time employment, but 10.6% were in part-time employment and 10.9% were no longer in paid employment. The adjusted risk of loss of employment was significantly increased for those with moderate or severe chronic obstructive pulmonary disease (risk ratio, 2.89; 95% confidence interval, 1.80–4.65) or breathlessness (risk ratio, 3.07; 95% confidence interval, 2.16–4.37) at baseline. There was no evident modification by sex or by manual/nonmanual work. Conclusions: Airway obstruction and breathlessness are independently associated with premature loss from the workforce in older workers; these observations provide strong support to the available cross-sectional evidence and suggest that interventions to help those with chronic obstructive pulmonary disease who wish to remain in work need to be tested.&quot;,&quot;publisher&quot;:&quot;American Thoracic Society&quot;,&quot;issue&quot;:&quot;10&quot;,&quot;volume&quot;:&quot;200&quot;,&quot;container-title-short&quot;:&quot;Am J Respir Crit Care Med&quot;},&quot;isTemporary&quot;:false}]},{&quot;citationID&quot;:&quot;MENDELEY_CITATION_82dee49e-76ee-44c3-b7dd-07c31f86f523&quot;,&quot;properties&quot;:{&quot;noteIndex&quot;:0},&quot;isEdited&quot;:false,&quot;manualOverride&quot;:{&quot;isManuallyOverridden&quot;:false,&quot;citeprocText&quot;:&quot;[55]&quot;,&quot;manualOverrideText&quot;:&quot;&quot;},&quot;citationTag&quot;:&quot;MENDELEY_CITATION_v3_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&quot;,&quot;citationItems&quot;:[{&quot;id&quot;:&quot;954048fc-319a-3bc8-8112-097c11b02ad4&quot;,&quot;itemData&quot;:{&quot;type&quot;:&quot;article-journal&quot;,&quot;id&quot;:&quot;954048fc-319a-3bc8-8112-097c11b02ad4&quot;,&quot;title&quot;:&quot;Employment Status, Readmission and Mortality After Acute Exacerbation of COPD&quot;,&quot;author&quot;:[{&quot;family&quot;:&quot;Jacobsen&quot;,&quot;given&quot;:&quot;Peter Ascanius&quot;,&quot;parse-names&quot;:false,&quot;dropping-particle&quot;:&quot;&quot;,&quot;non-dropping-particle&quot;:&quot;&quot;},{&quot;family&quot;:&quot;Kragholm&quot;,&quot;given&quot;:&quot;Kristian Hay&quot;,&quot;parse-names&quot;:false,&quot;dropping-particle&quot;:&quot;&quot;,&quot;non-dropping-particle&quot;:&quot;&quot;},{&quot;family&quot;:&quot;Torp-Pedersen&quot;,&quot;given&quot;:&quot;Christian&quot;,&quot;parse-names&quot;:false,&quot;dropping-particle&quot;:&quot;&quot;,&quot;non-dropping-particle&quot;:&quot;&quot;},{&quot;family&quot;:&quot;Janssen&quot;,&quot;given&quot;:&quot;Daisy J.A.&quot;,&quot;parse-names&quot;:false,&quot;dropping-particle&quot;:&quot;&quot;,&quot;non-dropping-particle&quot;:&quot;&quot;},{&quot;family&quot;:&quot;Spruit&quot;,&quot;given&quot;:&quot;Martijn A.&quot;,&quot;parse-names&quot;:false,&quot;dropping-particle&quot;:&quot;&quot;,&quot;non-dropping-particle&quot;:&quot;&quot;},{&quot;family&quot;:&quot;Weinreich&quot;,&quot;given&quot;:&quot;Ulla Møller&quot;,&quot;parse-names&quot;:false,&quot;dropping-particle&quot;:&quot;&quot;,&quot;non-dropping-particle&quot;:&quot;&quot;}],&quot;container-title&quot;:&quot;International Journal of Chronic Obstructive Pulmonary Disease&quot;,&quot;accessed&quot;:{&quot;date-parts&quot;:[[2024,9,5]]},&quot;DOI&quot;:&quot;10.2147/COPD.S319840&quot;,&quot;ISSN&quot;:&quot;11782005&quot;,&quot;PMID&quot;:&quot;34385815&quot;,&quot;URL&quot;:&quot;/pmc/articles/PMC8352575/&quot;,&quot;issued&quot;:{&quot;date-parts&quot;:[[2021]]},&quot;page&quot;:&quot;2257&quot;,&quot;abstract&quot;:&quot;Introduction: The understanding of whether and to what extent employment status affects readmission and mortality is limited in patients with COPD. Aim: To explore how employment status affects readmission and mortality after first admission to the hospital with acute exacerbation of COPD (AECOPD). Methods: This study used Danish national registry-based data. All patients admitted for the first time to the hospital between 1999 and 2014 with a diagnosis of AECOPD, age 35–59, without a previous asthma diagnosis were included in the study. Employment status effect on 30-, 90-, and 365-day readmission and mortality was examined using logistic regression, adjusting for relevant confounders. Results: A total of 11,850 COPD patients were included in the study of which 3563 (30%) were working, 1368 (12%) unemployed, 840 (7%) on sick leave, and 6079 (51%) receiving early retirement. Patients receiving early retirement had, compared to patients working, an adjusted increased likelihood of readmission at 30, 90, and 365 days (odds ratio (OR) 1.26 (CI95% (1.06–1.49)), 1.33 (CI95% (1.16–1.53)), and 1.48 (CI95% (1.33–1.66)), respectively). An increased likelihood was also seen in unemployed at 365 days follow-up (OR 1.44 (CI95% (1.22–1.68))). Early retirement was associated with an increased mortality at 30, 90, and 365 days (OR 1.39 (CI95% (1.07–1.80)) 1.37 (CI95% (1.09–1.79)) and 1.48 (CI95% (1.25–1.75)), respectively). An increased likelihood was also seen in patients receiving sick leave (OR 1.57 (CI95% (1.21–2.04))). Conclusion: Patients with COPD who are not working at the time of first admission have a higher likelihood of readmission and mortality.&quot;,&quot;publisher&quot;:&quot;Dove Press&quot;,&quot;volume&quot;:&quot;16&quot;,&quot;container-title-short&quot;:&quot;Int J Chron Obstruct Pulmon Dis&quot;},&quot;isTemporary&quot;:false}]},{&quot;citationID&quot;:&quot;MENDELEY_CITATION_093ae2bc-5351-4ce5-9fae-2a25030ae90f&quot;,&quot;properties&quot;:{&quot;noteIndex&quot;:0},&quot;isEdited&quot;:false,&quot;manualOverride&quot;:{&quot;isManuallyOverridden&quot;:false,&quot;citeprocText&quot;:&quot;[55]&quot;,&quot;manualOverrideText&quot;:&quot;&quot;},&quot;citationTag&quot;:&quot;MENDELEY_CITATION_v3_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&quot;,&quot;citationItems&quot;:[{&quot;id&quot;:&quot;954048fc-319a-3bc8-8112-097c11b02ad4&quot;,&quot;itemData&quot;:{&quot;type&quot;:&quot;article-journal&quot;,&quot;id&quot;:&quot;954048fc-319a-3bc8-8112-097c11b02ad4&quot;,&quot;title&quot;:&quot;Employment Status, Readmission and Mortality After Acute Exacerbation of COPD&quot;,&quot;author&quot;:[{&quot;family&quot;:&quot;Jacobsen&quot;,&quot;given&quot;:&quot;Peter Ascanius&quot;,&quot;parse-names&quot;:false,&quot;dropping-particle&quot;:&quot;&quot;,&quot;non-dropping-particle&quot;:&quot;&quot;},{&quot;family&quot;:&quot;Kragholm&quot;,&quot;given&quot;:&quot;Kristian Hay&quot;,&quot;parse-names&quot;:false,&quot;dropping-particle&quot;:&quot;&quot;,&quot;non-dropping-particle&quot;:&quot;&quot;},{&quot;family&quot;:&quot;Torp-Pedersen&quot;,&quot;given&quot;:&quot;Christian&quot;,&quot;parse-names&quot;:false,&quot;dropping-particle&quot;:&quot;&quot;,&quot;non-dropping-particle&quot;:&quot;&quot;},{&quot;family&quot;:&quot;Janssen&quot;,&quot;given&quot;:&quot;Daisy J.A.&quot;,&quot;parse-names&quot;:false,&quot;dropping-particle&quot;:&quot;&quot;,&quot;non-dropping-particle&quot;:&quot;&quot;},{&quot;family&quot;:&quot;Spruit&quot;,&quot;given&quot;:&quot;Martijn A.&quot;,&quot;parse-names&quot;:false,&quot;dropping-particle&quot;:&quot;&quot;,&quot;non-dropping-particle&quot;:&quot;&quot;},{&quot;family&quot;:&quot;Weinreich&quot;,&quot;given&quot;:&quot;Ulla Møller&quot;,&quot;parse-names&quot;:false,&quot;dropping-particle&quot;:&quot;&quot;,&quot;non-dropping-particle&quot;:&quot;&quot;}],&quot;container-title&quot;:&quot;International Journal of Chronic Obstructive Pulmonary Disease&quot;,&quot;accessed&quot;:{&quot;date-parts&quot;:[[2024,9,5]]},&quot;DOI&quot;:&quot;10.2147/COPD.S319840&quot;,&quot;ISSN&quot;:&quot;11782005&quot;,&quot;PMID&quot;:&quot;34385815&quot;,&quot;URL&quot;:&quot;/pmc/articles/PMC8352575/&quot;,&quot;issued&quot;:{&quot;date-parts&quot;:[[2021]]},&quot;page&quot;:&quot;2257&quot;,&quot;abstract&quot;:&quot;Introduction: The understanding of whether and to what extent employment status affects readmission and mortality is limited in patients with COPD. Aim: To explore how employment status affects readmission and mortality after first admission to the hospital with acute exacerbation of COPD (AECOPD). Methods: This study used Danish national registry-based data. All patients admitted for the first time to the hospital between 1999 and 2014 with a diagnosis of AECOPD, age 35–59, without a previous asthma diagnosis were included in the study. Employment status effect on 30-, 90-, and 365-day readmission and mortality was examined using logistic regression, adjusting for relevant confounders. Results: A total of 11,850 COPD patients were included in the study of which 3563 (30%) were working, 1368 (12%) unemployed, 840 (7%) on sick leave, and 6079 (51%) receiving early retirement. Patients receiving early retirement had, compared to patients working, an adjusted increased likelihood of readmission at 30, 90, and 365 days (odds ratio (OR) 1.26 (CI95% (1.06–1.49)), 1.33 (CI95% (1.16–1.53)), and 1.48 (CI95% (1.33–1.66)), respectively). An increased likelihood was also seen in unemployed at 365 days follow-up (OR 1.44 (CI95% (1.22–1.68))). Early retirement was associated with an increased mortality at 30, 90, and 365 days (OR 1.39 (CI95% (1.07–1.80)) 1.37 (CI95% (1.09–1.79)) and 1.48 (CI95% (1.25–1.75)), respectively). An increased likelihood was also seen in patients receiving sick leave (OR 1.57 (CI95% (1.21–2.04))). Conclusion: Patients with COPD who are not working at the time of first admission have a higher likelihood of readmission and mortality.&quot;,&quot;publisher&quot;:&quot;Dove Press&quot;,&quot;volume&quot;:&quot;16&quot;,&quot;container-title-short&quot;:&quot;Int J Chron Obstruct Pulmon Dis&quot;},&quot;isTemporary&quot;:false}]},{&quot;citationID&quot;:&quot;MENDELEY_CITATION_a7baea6a-5971-447c-aec8-8843786f1fad&quot;,&quot;properties&quot;:{&quot;noteIndex&quot;:0},&quot;isEdited&quot;:false,&quot;manualOverride&quot;:{&quot;isManuallyOverridden&quot;:false,&quot;citeprocText&quot;:&quot;[55]&quot;,&quot;manualOverrideText&quot;:&quot;&quot;},&quot;citationTag&quot;:&quot;MENDELEY_CITATION_v3_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&quot;,&quot;citationItems&quot;:[{&quot;id&quot;:&quot;954048fc-319a-3bc8-8112-097c11b02ad4&quot;,&quot;itemData&quot;:{&quot;type&quot;:&quot;article-journal&quot;,&quot;id&quot;:&quot;954048fc-319a-3bc8-8112-097c11b02ad4&quot;,&quot;title&quot;:&quot;Employment Status, Readmission and Mortality After Acute Exacerbation of COPD&quot;,&quot;author&quot;:[{&quot;family&quot;:&quot;Jacobsen&quot;,&quot;given&quot;:&quot;Peter Ascanius&quot;,&quot;parse-names&quot;:false,&quot;dropping-particle&quot;:&quot;&quot;,&quot;non-dropping-particle&quot;:&quot;&quot;},{&quot;family&quot;:&quot;Kragholm&quot;,&quot;given&quot;:&quot;Kristian Hay&quot;,&quot;parse-names&quot;:false,&quot;dropping-particle&quot;:&quot;&quot;,&quot;non-dropping-particle&quot;:&quot;&quot;},{&quot;family&quot;:&quot;Torp-Pedersen&quot;,&quot;given&quot;:&quot;Christian&quot;,&quot;parse-names&quot;:false,&quot;dropping-particle&quot;:&quot;&quot;,&quot;non-dropping-particle&quot;:&quot;&quot;},{&quot;family&quot;:&quot;Janssen&quot;,&quot;given&quot;:&quot;Daisy J.A.&quot;,&quot;parse-names&quot;:false,&quot;dropping-particle&quot;:&quot;&quot;,&quot;non-dropping-particle&quot;:&quot;&quot;},{&quot;family&quot;:&quot;Spruit&quot;,&quot;given&quot;:&quot;Martijn A.&quot;,&quot;parse-names&quot;:false,&quot;dropping-particle&quot;:&quot;&quot;,&quot;non-dropping-particle&quot;:&quot;&quot;},{&quot;family&quot;:&quot;Weinreich&quot;,&quot;given&quot;:&quot;Ulla Møller&quot;,&quot;parse-names&quot;:false,&quot;dropping-particle&quot;:&quot;&quot;,&quot;non-dropping-particle&quot;:&quot;&quot;}],&quot;container-title&quot;:&quot;International Journal of Chronic Obstructive Pulmonary Disease&quot;,&quot;accessed&quot;:{&quot;date-parts&quot;:[[2024,9,5]]},&quot;DOI&quot;:&quot;10.2147/COPD.S319840&quot;,&quot;ISSN&quot;:&quot;11782005&quot;,&quot;PMID&quot;:&quot;34385815&quot;,&quot;URL&quot;:&quot;/pmc/articles/PMC8352575/&quot;,&quot;issued&quot;:{&quot;date-parts&quot;:[[2021]]},&quot;page&quot;:&quot;2257&quot;,&quot;abstract&quot;:&quot;Introduction: The understanding of whether and to what extent employment status affects readmission and mortality is limited in patients with COPD. Aim: To explore how employment status affects readmission and mortality after first admission to the hospital with acute exacerbation of COPD (AECOPD). Methods: This study used Danish national registry-based data. All patients admitted for the first time to the hospital between 1999 and 2014 with a diagnosis of AECOPD, age 35–59, without a previous asthma diagnosis were included in the study. Employment status effect on 30-, 90-, and 365-day readmission and mortality was examined using logistic regression, adjusting for relevant confounders. Results: A total of 11,850 COPD patients were included in the study of which 3563 (30%) were working, 1368 (12%) unemployed, 840 (7%) on sick leave, and 6079 (51%) receiving early retirement. Patients receiving early retirement had, compared to patients working, an adjusted increased likelihood of readmission at 30, 90, and 365 days (odds ratio (OR) 1.26 (CI95% (1.06–1.49)), 1.33 (CI95% (1.16–1.53)), and 1.48 (CI95% (1.33–1.66)), respectively). An increased likelihood was also seen in unemployed at 365 days follow-up (OR 1.44 (CI95% (1.22–1.68))). Early retirement was associated with an increased mortality at 30, 90, and 365 days (OR 1.39 (CI95% (1.07–1.80)) 1.37 (CI95% (1.09–1.79)) and 1.48 (CI95% (1.25–1.75)), respectively). An increased likelihood was also seen in patients receiving sick leave (OR 1.57 (CI95% (1.21–2.04))). Conclusion: Patients with COPD who are not working at the time of first admission have a higher likelihood of readmission and mortality.&quot;,&quot;publisher&quot;:&quot;Dove Press&quot;,&quot;volume&quot;:&quot;16&quot;,&quot;container-title-short&quot;:&quot;Int J Chron Obstruct Pulmon Dis&quot;},&quot;isTemporary&quot;:false}]},{&quot;citationID&quot;:&quot;MENDELEY_CITATION_f685b367-d6eb-403c-9306-1a5c804a7a4e&quot;,&quot;properties&quot;:{&quot;noteIndex&quot;:0},&quot;isEdited&quot;:false,&quot;manualOverride&quot;:{&quot;isManuallyOverridden&quot;:false,&quot;citeprocText&quot;:&quot;[56]&quot;,&quot;manualOverrideText&quot;:&quot;&quot;},&quot;citationTag&quot;:&quot;MENDELEY_CITATION_v3_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&quot;,&quot;citationItems&quot;:[{&quot;id&quot;:&quot;a9501ab4-056d-315d-beb1-3927762b8c13&quot;,&quot;itemData&quot;:{&quot;type&quot;:&quot;article-journal&quot;,&quot;id&quot;:&quot;a9501ab4-056d-315d-beb1-3927762b8c13&quot;,&quot;title&quot;:&quot;Disability Retirement After First Admission with Acute Exacerbation of Chronic Obstructive Pulmonary Disease: A Danish Nationwide Registry Cohort Study Using a Retrospective Follow-Up Design&quot;,&quot;author&quot;:[{&quot;family&quot;:&quot;Jacobsen&quot;,&quot;given&quot;:&quot;Peter Ascanius&quot;,&quot;parse-names&quot;:false,&quot;dropping-particle&quot;:&quot;&quot;,&quot;non-dropping-particle&quot;:&quot;&quot;},{&quot;family&quot;:&quot;Kragholm&quot;,&quot;given&quot;:&quot;Kristian&quot;,&quot;parse-names&quot;:false,&quot;dropping-particle&quot;:&quot;&quot;,&quot;non-dropping-particle&quot;:&quot;&quot;},{&quot;family&quot;:&quot;Torp-Pedersen&quot;,&quot;given&quot;:&quot;Christian&quot;,&quot;parse-names&quot;:false,&quot;dropping-particle&quot;:&quot;&quot;,&quot;non-dropping-particle&quot;:&quot;&quot;},{&quot;family&quot;:&quot;Weinreich&quot;,&quot;given&quot;:&quot;Ulla Møller&quot;,&quot;parse-names&quot;:false,&quot;dropping-particle&quot;:&quot;&quot;,&quot;non-dropping-particle&quot;:&quot;&quot;}],&quot;container-title&quot;:&quot;International Journal of Chronic Obstructive Pulmonary Disease&quot;,&quot;accessed&quot;:{&quot;date-parts&quot;:[[2024,9,2]]},&quot;DOI&quot;:&quot;10.2147/COPD.S377311&quot;,&quot;ISSN&quot;:&quot;11782005&quot;,&quot;PMID&quot;:&quot;36254163&quot;,&quot;URL&quot;:&quot;/pmc/articles/PMC9569162/&quot;,&quot;issued&quot;:{&quot;date-parts&quot;:[[2022]]},&quot;page&quot;:&quot;2541&quot;,&quot;abstract&quot;:&quot;Introduction: Many chronic obstructive pulmonary disease (COPD) patients below retirement age are outside the workforce. The existing knowledge about association between acute exacerbation of COPD (AECOPD) and disability retirement is limited. Aim: The aim of this study is to explore disability retirement in COPD patients 3 years following first-ever AECOPD. Methods: This retrospective registry-based follow-up cohort study design is based on nationwide Danish registry data. Patients admitted to the hospital for the first time between 1999 and 2017 with AECOPD and age between 35 and 59 years, active in the workforce, were included in the study. Socio-demographics, comorbidities and inhaled medication use were explored. COPD patients’ hazard ratio of disability retirement during 3-year follow-up was calculated. Cox regression was used to examine the effects of covariates on disability retirement. Results: A total of 4032 patients were included in the study. During follow-up, 17.2% (692/4032) experienced disability retirement from the workforce. Factors associated with disability retirement were expressed as hazard ratio (95% confidence intervals): Higher age (ref. age 46–50: Age 51–55, 1.42, (1.12–1.81); age 56–59, 1.37 (1.08–1.74)); living alone (1.34 (1.14–1.56)); number of comorbidities for 1, 2, and 3 comorbidities (1.36 (1.14–1.62), 1.57 (1.19–2.07), 1.77 (1.20–2.60)); emphysema (2.01 (1.44–2.79)); depression (1.60 (1.12–2.28)); cardiac comorbidity (1.38 (1.07–1.78)); triple inhalation therapy (2.76 (2.20–3.47)); ICS + LAMA or ICS + LABA treatment (1.82 (1.48–2.23)); and ICS treatment (1.49 (1.17–1.90)). Higher educational level was associated with a significantly reduced risk of disability retirement, medium, short higher and long higher educational level, relative to low education level (0.78 (0.67–0.91), 0.63 (0.48–0.83) and 0.27 (0.12–0.60)). Conclusion: Patients vulnerable to disability retirement are patients with markers of severe COPD, comorbidities, and social vulnerability.&quot;,&quot;publisher&quot;:&quot;Dove Press&quot;,&quot;volume&quot;:&quot;17&quot;,&quot;container-title-short&quot;:&quot;Int J Chron Obstruct Pulmon Dis&quot;},&quot;isTemporary&quot;:false}]},{&quot;citationID&quot;:&quot;MENDELEY_CITATION_b239cefd-61ef-44e5-aeb1-38e96237ef66&quot;,&quot;properties&quot;:{&quot;noteIndex&quot;:0},&quot;isEdited&quot;:false,&quot;manualOverride&quot;:{&quot;isManuallyOverridden&quot;:false,&quot;citeprocText&quot;:&quot;[13]&quot;,&quot;manualOverrideText&quot;:&quot;&quot;},&quot;citationTag&quot;:&quot;MENDELEY_CITATION_v3_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&quot;,&quot;citationItems&quot;:[{&quot;id&quot;:&quot;33a313ba-178c-31a1-8972-99be31d99a6f&quot;,&quot;itemData&quot;:{&quot;type&quot;:&quot;article-journal&quot;,&quot;id&quot;:&quot;33a313ba-178c-31a1-8972-99be31d99a6f&quot;,&quot;title&quot;:&quot;The Occupational Burden of Nonmalignant Respiratory Diseases An Official American Thoracic Society and European Respiratory Society Statement&quot;,&quot;author&quot;:[{&quot;family&quot;:&quot;Blanc&quot;,&quot;given&quot;:&quot;Paul D&quot;,&quot;parse-names&quot;:false,&quot;dropping-particle&quot;:&quot;&quot;,&quot;non-dropping-particle&quot;:&quot;&quot;},{&quot;family&quot;:&quot;Annesi-Maesano&quot;,&quot;given&quot;:&quot;Isabella&quot;,&quot;parse-names&quot;:false,&quot;dropping-particle&quot;:&quot;&quot;,&quot;non-dropping-particle&quot;:&quot;&quot;},{&quot;family&quot;:&quot;Balmes&quot;,&quot;given&quot;:&quot;John R&quot;,&quot;parse-names&quot;:false,&quot;dropping-particle&quot;:&quot;&quot;,&quot;non-dropping-particle&quot;:&quot;&quot;},{&quot;family&quot;:&quot;Cummings&quot;,&quot;given&quot;:&quot;Kristin J&quot;,&quot;parse-names&quot;:false,&quot;dropping-particle&quot;:&quot;&quot;,&quot;non-dropping-particle&quot;:&quot;&quot;},{&quot;family&quot;:&quot;Fishwick&quot;,&quot;given&quot;:&quot;David&quot;,&quot;parse-names&quot;:false,&quot;dropping-particle&quot;:&quot;&quot;,&quot;non-dropping-particle&quot;:&quot;&quot;},{&quot;family&quot;:&quot;Miedinger&quot;,&quot;given&quot;:&quot;David&quot;,&quot;parse-names&quot;:false,&quot;dropping-particle&quot;:&quot;&quot;,&quot;non-dropping-particle&quot;:&quot;&quot;},{&quot;family&quot;:&quot;Murgia&quot;,&quot;given&quot;:&quot;Nicola&quot;,&quot;parse-names&quot;:false,&quot;dropping-particle&quot;:&quot;&quot;,&quot;non-dropping-particle&quot;:&quot;&quot;},{&quot;family&quot;:&quot;Naidoo&quot;,&quot;given&quot;:&quot;Rajen N&quot;,&quot;parse-names&quot;:false,&quot;dropping-particle&quot;:&quot;&quot;,&quot;non-dropping-particle&quot;:&quot;&quot;},{&quot;family&quot;:&quot;Reynolds&quot;,&quot;given&quot;:&quot;Carl J&quot;,&quot;parse-names&quot;:false,&quot;dropping-particle&quot;:&quot;&quot;,&quot;non-dropping-particle&quot;:&quot;&quot;},{&quot;family&quot;:&quot;Sigsgaard&quot;,&quot;given&quot;:&quot;Torben&quot;,&quot;parse-names&quot;:false,&quot;dropping-particle&quot;:&quot;&quot;,&quot;non-dropping-particle&quot;:&quot;&quot;},{&quot;family&quot;:&quot;Torén&quot;,&quot;given&quot;:&quot;Kjell&quot;,&quot;parse-names&quot;:false,&quot;dropping-particle&quot;:&quot;&quot;,&quot;non-dropping-particle&quot;:&quot;&quot;},{&quot;family&quot;:&quot;Torén&quot;,&quot;given&quot;:&quot;Tor´&quot;,&quot;parse-names&quot;:false,&quot;dropping-particle&quot;:&quot;&quot;,&quot;non-dropping-particle&quot;:&quot;&quot;},{&quot;family&quot;:&quot;Vinnikov&quot;,&quot;given&quot;:&quot;Denis&quot;,&quot;parse-names&quot;:false,&quot;dropping-particle&quot;:&quot;&quot;,&quot;non-dropping-particle&quot;:&quot;&quot;},{&quot;family&quot;:&quot;Redlich&quot;,&quot;given&quot;:&quot;Carrie A&quot;,&quot;parse-names&quot;:false,&quot;dropping-particle&quot;:&quot;&quot;,&quot;non-dropping-particle&quot;:&quot;&quot;}],&quot;container-title&quot;:&quot;American  Journal of Respiratory and Critical Care Medicine&quot;,&quot;accessed&quot;:{&quot;date-parts&quot;:[[2020,12,9]]},&quot;DOI&quot;:&quot;10.1164/rccm.201904-0717ST&quot;,&quot;URL&quot;:&quot;www.atsjournals.org.&quot;,&quot;issued&quot;:{&quot;date-parts&quot;:[[2019,6,1]]},&quot;page&quot;:&quot;1312-1334&quot;,&quot;issue&quot;:&quot;11&quot;,&quot;volume&quot;:&quot;199&quot;,&quot;container-title-short&quot;:&quot;Am J Respir Crit Care Med&quot;},&quot;isTemporary&quot;:false}]},{&quot;citationID&quot;:&quot;MENDELEY_CITATION_1ed8f937-d531-4ea4-8b0d-52f05181ed19&quot;,&quot;properties&quot;:{&quot;noteIndex&quot;:0},&quot;isEdited&quot;:false,&quot;manualOverride&quot;:{&quot;isManuallyOverridden&quot;:false,&quot;citeprocText&quot;:&quot;[57]&quot;,&quot;manualOverrideText&quot;:&quot;&quot;},&quot;citationTag&quot;:&quot;MENDELEY_CITATION_v3_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&quot;,&quot;citationItems&quot;:[{&quot;id&quot;:&quot;fff3e1a4-b50b-38d3-a6a8-9d1774266b55&quot;,&quot;itemData&quot;:{&quot;type&quot;:&quot;article-journal&quot;,&quot;id&quot;:&quot;fff3e1a4-b50b-38d3-a6a8-9d1774266b55&quot;,&quot;title&quot;:&quot;Chronic Obstructive Pulmonary Disease and U.S. Workers: Prevalence, Trends, and Attributable Cases Associated With Work&quot;,&quot;author&quot;:[{&quot;family&quot;:&quot;Syamlal&quot;,&quot;given&quot;:&quot;Girija&quot;,&quot;parse-names&quot;:false,&quot;dropping-particle&quot;:&quot;&quot;,&quot;non-dropping-particle&quot;:&quot;&quot;},{&quot;family&quot;:&quot;Doney&quot;,&quot;given&quot;:&quot;Brent&quot;,&quot;parse-names&quot;:false,&quot;dropping-particle&quot;:&quot;&quot;,&quot;non-dropping-particle&quot;:&quot;&quot;},{&quot;family&quot;:&quot;Hendricks&quot;,&quot;given&quot;:&quot;Scott&quot;,&quot;parse-names&quot;:false,&quot;dropping-particle&quot;:&quot;&quot;,&quot;non-dropping-particle&quot;:&quot;&quot;},{&quot;family&quot;:&quot;Mazurek&quot;,&quot;given&quot;:&quot;Jacek M.&quot;,&quot;parse-names&quot;:false,&quot;dropping-particle&quot;:&quot;&quot;,&quot;non-dropping-particle&quot;:&quot;&quot;}],&quot;container-title&quot;:&quot;American journal of preventive medicine&quot;,&quot;accessed&quot;:{&quot;date-parts&quot;:[[2024,9,28]]},&quot;DOI&quot;:&quot;10.1016/J.AMEPRE.2021.04.011&quot;,&quot;ISSN&quot;:&quot;18732607&quot;,&quot;PMID&quot;:&quot;34419236&quot;,&quot;URL&quot;:&quot;/pmc/articles/PMC8672326/&quot;,&quot;issued&quot;:{&quot;date-parts&quot;:[[2021,9,1]]},&quot;page&quot;:&quot;e127&quot;,&quot;abstract&quot;:&quot;Introduction: Chronic obstructive pulmonary disease is the fourth leading cause of death in the U.S. Workplace exposures are important modifiable contributors to the burden of chronic obstructive pulmonary disease. Among U.S. workers, 19% of chronic obstructive pulmonary disease cases are attributable to workplace exposures. This study examines the trends in chronic obstructive pulmonary disease prevalence during 2012–2018 among workers and assesses the population attributable fraction for chronic obstructive pulmonary disease associated with work by smoking status, industry, and occupation. Methods: The 2012–2018 National Health Interview Survey data for workers aged ≥18 years employed during the 12 months before the interview were analyzed in 2019. Annual trends were examined using the Poisson regression model. Multivariate logistic regression was used to calculate adjusted prevalence ORs. Results: During 2012–2018, an estimated age-adjusted annual average of 4.1% of workers had chronic obstructive pulmonary disease, and prevalence varied by industry and occupation. Overall, chronic obstructive pulmonary disease prevalence increased by an estimated annual average of 1.5% (p&lt;0.05). The prevalence trends increased significantly among workers in the merchant wholesale nondurable and the arts, entertainment, and recreation industries and among financial specialists; supervisors, other food services workers; supervisors, building grounds workers, and maintenance workers; personal care and services workers; supervisors and office and administrative support workers; and motor-vehicle operators and material moving workers. The proportion of chronic obstructive pulmonary disease cases attributable to work was 27.3% among all workers and 24.0% among never smokers. Conclusions: Public health efforts to increase the awareness and understanding of chronic obstructive pulmonary disease associated with occupational risk factors are needed to prevent chronic obstructive pulmonary disease among workers, especially among those employed in industries and occupations with increasing prevalence trends.&quot;,&quot;publisher&quot;:&quot;NIH Public Access&quot;,&quot;issue&quot;:&quot;3&quot;,&quot;volume&quot;:&quot;61&quot;,&quot;container-title-short&quot;:&quot;Am J Prev Med&quot;},&quot;isTemporary&quot;:false}]},{&quot;citationID&quot;:&quot;MENDELEY_CITATION_586782ed-e688-4fa0-90d9-19723bb4676d&quot;,&quot;properties&quot;:{&quot;noteIndex&quot;:0},&quot;isEdited&quot;:false,&quot;manualOverride&quot;:{&quot;isManuallyOverridden&quot;:false,&quot;citeprocText&quot;:&quot;[58]&quot;,&quot;manualOverrideText&quot;:&quot;&quot;},&quot;citationTag&quot;:&quot;MENDELEY_CITATION_v3_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&quot;,&quot;citationItems&quot;:[{&quot;id&quot;:&quot;e328cb65-3896-34f8-a051-ad758ca44c27&quot;,&quot;itemData&quot;:{&quot;type&quot;:&quot;article-journal&quot;,&quot;id&quot;:&quot;e328cb65-3896-34f8-a051-ad758ca44c27&quot;,&quot;title&quot;:&quot;Employment and activity limitations among adults with chronic obstructive pulmonary disease--United States, 2013 - PubMed&quot;,&quot;author&quot;:[{&quot;family&quot;:&quot;Wheaton&quot;,&quot;given&quot;:&quot;Anne&quot;,&quot;parse-names&quot;:false,&quot;dropping-particle&quot;:&quot;&quot;,&quot;non-dropping-particle&quot;:&quot;&quot;},{&quot;family&quot;:&quot;Cunningham&quot;,&quot;given&quot;:&quot;Timothy&quot;,&quot;parse-names&quot;:false,&quot;dropping-particle&quot;:&quot;&quot;,&quot;non-dropping-particle&quot;:&quot;&quot;},{&quot;family&quot;:&quot;Ford&quot;,&quot;given&quot;:&quot;Earl&quot;,&quot;parse-names&quot;:false,&quot;dropping-particle&quot;:&quot;&quot;,&quot;non-dropping-particle&quot;:&quot;&quot;},{&quot;family&quot;:&quot;Croft&quot;,&quot;given&quot;:&quot;Janet&quot;,&quot;parse-names&quot;:false,&quot;dropping-particle&quot;:&quot;&quot;,&quot;non-dropping-particle&quot;:&quot;&quot;}],&quot;container-title&quot;:&quot;MMWR&quot;,&quot;accessed&quot;:{&quot;date-parts&quot;:[[2024,10,7]]},&quot;PMID&quot;:&quot;25811677&quot;,&quot;URL&quot;:&quot;https://pubmed.ncbi.nlm.nih.gov/25811677/&quot;,&quot;issued&quot;:{&quot;date-parts&quot;:[[2015,3,27]]},&quot;page&quot;:&quot;289-295&quot;,&quot;issue&quot;:&quot;11&quot;,&quot;volume&quot;:&quot;64&quot;,&quot;container-title-short&quot;:&quot;&quot;},&quot;isTemporary&quot;:false}]},{&quot;citationID&quot;:&quot;MENDELEY_CITATION_e7856de0-4072-41c6-9fed-d14189b8a999&quot;,&quot;properties&quot;:{&quot;noteIndex&quot;:0},&quot;isEdited&quot;:false,&quot;manualOverride&quot;:{&quot;isManuallyOverridden&quot;:false,&quot;citeprocText&quot;:&quot;[59]&quot;,&quot;manualOverrideText&quot;:&quot;&quot;},&quot;citationTag&quot;:&quot;MENDELEY_CITATION_v3_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&quot;,&quot;citationItems&quot;:[{&quot;id&quot;:&quot;dc8d83fb-5a17-35be-952d-698b117ac524&quot;,&quot;itemData&quot;:{&quot;type&quot;:&quot;article-journal&quot;,&quot;id&quot;:&quot;dc8d83fb-5a17-35be-952d-698b117ac524&quot;,&quot;title&quot;:&quot;COPD affects worker productivity and health care costs&quot;,&quot;author&quot;:[{&quot;family&quot;:&quot;Patel&quot;,&quot;given&quot;:&quot;Jeetvan G.&quot;,&quot;parse-names&quot;:false,&quot;dropping-particle&quot;:&quot;&quot;,&quot;non-dropping-particle&quot;:&quot;&quot;},{&quot;family&quot;:&quot;Coutinho&quot;,&quot;given&quot;:&quot;Anna D.&quot;,&quot;parse-names&quot;:false,&quot;dropping-particle&quot;:&quot;&quot;,&quot;non-dropping-particle&quot;:&quot;&quot;},{&quot;family&quot;:&quot;Lunacsek&quot;,&quot;given&quot;:&quot;Orsolya E.&quot;,&quot;parse-names&quot;:false,&quot;dropping-particle&quot;:&quot;&quot;,&quot;non-dropping-particle&quot;:&quot;&quot;},{&quot;family&quot;:&quot;Dalal&quot;,&quot;given&quot;:&quot;Anand A.&quot;,&quot;parse-names&quot;:false,&quot;dropping-particle&quot;:&quot;&quot;,&quot;non-dropping-particle&quot;:&quot;&quot;}],&quot;container-title&quot;:&quot;International Journal of Chronic Obstructive Pulmonary Disease&quot;,&quot;container-title-short&quot;:&quot;Int J Chron Obstruct Pulmon Dis&quot;,&quot;accessed&quot;:{&quot;date-parts&quot;:[[2024,9,7]]},&quot;DOI&quot;:&quot;10.2147/COPD.S163795&quot;,&quot;ISSN&quot;:&quot;11782005&quot;,&quot;PMID&quot;:&quot;30104870&quot;,&quot;URL&quot;:&quot;/pmc/articles/PMC6072680/&quot;,&quot;issued&quot;:{&quot;date-parts&quot;:[[2018]]},&quot;page&quot;:&quot;2301&quot;,&quot;abstract&quot;:&quot;Purpose: This study aimed to measure the true burden of COPD by calculating incremental direct and indirect costs. Direct medical resource use, productivity metrics, and COPD-specific resource use and costs were also evaluated. Patients and methods: This was a retrospective, observational, matched cohort study using administrative claims data from the Truven Health MarketScan® Commercial Claims and Encounters and the Health and Productivity Management databases (2007−2010). Working-age (18–65 years) patients with COPD were identified as having at least one hospitalization or one emergency department visit or two outpatient visits. Patients in the non-COPD cohort did not have a diagnosis of COPD during the study period. Outcomes were evaluated in the first full calendar year after the year of identification (index). Results: Of the 5,701 patients with COPD identified, 3.6% patients were frequent exacerbators (≥2), 10.4% patients were infrequent exacerbators (1), and 86% patients were non-exacerbators (0). When compared with the 17,103 patients without COPD, the incremental direct cost of COPD was estimated at $6,246/patient/year (95% confidence interval: $4,620, $8,623; P&lt;0.001). Loss in productivity was significantly greater in patients with COPD, with an average of 5 more days/year of absence from work and incremental indirect costs from short-term disability of $641 (P&lt;0.001). Direct costs for frequent exacerbators ($17,651/year) and infrequent exacerbators ($14,501/year) were significantly higher than those for non-exacerbators ($11,395, P&lt;0.001). Conclusion: Working-age patients with COPD incur statistically significantly higher direct and indirect costs and use more resources compared with those who do not have COPD.&quot;,&quot;publisher&quot;:&quot;Dove Press&quot;,&quot;volume&quot;:&quot;13&quot;},&quot;isTemporary&quot;:false}]},{&quot;citationID&quot;:&quot;MENDELEY_CITATION_8e41a0c6-dd3d-49c7-a742-4751ff155eff&quot;,&quot;properties&quot;:{&quot;noteIndex&quot;:0},&quot;isEdited&quot;:false,&quot;manualOverride&quot;:{&quot;isManuallyOverridden&quot;:false,&quot;citeprocText&quot;:&quot;[59]&quot;,&quot;manualOverrideText&quot;:&quot;&quot;},&quot;citationTag&quot;:&quot;MENDELEY_CITATION_v3_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&quot;,&quot;citationItems&quot;:[{&quot;id&quot;:&quot;dc8d83fb-5a17-35be-952d-698b117ac524&quot;,&quot;itemData&quot;:{&quot;type&quot;:&quot;article-journal&quot;,&quot;id&quot;:&quot;dc8d83fb-5a17-35be-952d-698b117ac524&quot;,&quot;title&quot;:&quot;COPD affects worker productivity and health care costs&quot;,&quot;author&quot;:[{&quot;family&quot;:&quot;Patel&quot;,&quot;given&quot;:&quot;Jeetvan G.&quot;,&quot;parse-names&quot;:false,&quot;dropping-particle&quot;:&quot;&quot;,&quot;non-dropping-particle&quot;:&quot;&quot;},{&quot;family&quot;:&quot;Coutinho&quot;,&quot;given&quot;:&quot;Anna D.&quot;,&quot;parse-names&quot;:false,&quot;dropping-particle&quot;:&quot;&quot;,&quot;non-dropping-particle&quot;:&quot;&quot;},{&quot;family&quot;:&quot;Lunacsek&quot;,&quot;given&quot;:&quot;Orsolya E.&quot;,&quot;parse-names&quot;:false,&quot;dropping-particle&quot;:&quot;&quot;,&quot;non-dropping-particle&quot;:&quot;&quot;},{&quot;family&quot;:&quot;Dalal&quot;,&quot;given&quot;:&quot;Anand A.&quot;,&quot;parse-names&quot;:false,&quot;dropping-particle&quot;:&quot;&quot;,&quot;non-dropping-particle&quot;:&quot;&quot;}],&quot;container-title&quot;:&quot;International Journal of Chronic Obstructive Pulmonary Disease&quot;,&quot;accessed&quot;:{&quot;date-parts&quot;:[[2024,9,7]]},&quot;DOI&quot;:&quot;10.2147/COPD.S163795&quot;,&quot;ISSN&quot;:&quot;11782005&quot;,&quot;PMID&quot;:&quot;30104870&quot;,&quot;URL&quot;:&quot;/pmc/articles/PMC6072680/&quot;,&quot;issued&quot;:{&quot;date-parts&quot;:[[2018]]},&quot;page&quot;:&quot;2301&quot;,&quot;abstract&quot;:&quot;Purpose: This study aimed to measure the true burden of COPD by calculating incremental direct and indirect costs. Direct medical resource use, productivity metrics, and COPD-specific resource use and costs were also evaluated. Patients and methods: This was a retrospective, observational, matched cohort study using administrative claims data from the Truven Health MarketScan® Commercial Claims and Encounters and the Health and Productivity Management databases (2007−2010). Working-age (18–65 years) patients with COPD were identified as having at least one hospitalization or one emergency department visit or two outpatient visits. Patients in the non-COPD cohort did not have a diagnosis of COPD during the study period. Outcomes were evaluated in the first full calendar year after the year of identification (index). Results: Of the 5,701 patients with COPD identified, 3.6% patients were frequent exacerbators (≥2), 10.4% patients were infrequent exacerbators (1), and 86% patients were non-exacerbators (0). When compared with the 17,103 patients without COPD, the incremental direct cost of COPD was estimated at $6,246/patient/year (95% confidence interval: $4,620, $8,623; P&lt;0.001). Loss in productivity was significantly greater in patients with COPD, with an average of 5 more days/year of absence from work and incremental indirect costs from short-term disability of $641 (P&lt;0.001). Direct costs for frequent exacerbators ($17,651/year) and infrequent exacerbators ($14,501/year) were significantly higher than those for non-exacerbators ($11,395, P&lt;0.001). Conclusion: Working-age patients with COPD incur statistically significantly higher direct and indirect costs and use more resources compared with those who do not have COPD.&quot;,&quot;publisher&quot;:&quot;Dove Press&quot;,&quot;volume&quot;:&quot;13&quot;,&quot;container-title-short&quot;:&quot;Int J Chron Obstruct Pulmon Dis&quot;},&quot;isTemporary&quot;:false}]},{&quot;citationID&quot;:&quot;MENDELEY_CITATION_bb52fc25-62b0-422f-bc70-835011190263&quot;,&quot;properties&quot;:{&quot;noteIndex&quot;:0},&quot;isEdited&quot;:false,&quot;manualOverride&quot;:{&quot;isManuallyOverridden&quot;:false,&quot;citeprocText&quot;:&quot;[38,60–64]&quot;,&quot;manualOverrideText&quot;:&quot;&quot;},&quot;citationTag&quot;:&quot;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&quot;,&quot;citationItems&quot;:[{&quot;id&quot;:&quot;1680166e-81f4-3f17-9307-0e35ada80782&quot;,&quot;itemData&quot;:{&quot;type&quot;:&quot;article-journal&quot;,&quot;id&quot;:&quot;1680166e-81f4-3f17-9307-0e35ada80782&quot;,&quot;title&quot;:&quot;Influence of country-level differences on COPD prevalence&quot;,&quot;author&quot;:[{&quot;family&quot;:&quot;Aaron&quot;,&quot;given&quot;:&quot;Shawn D.&quot;,&quot;parse-names&quot;:false,&quot;dropping-particle&quot;:&quot;&quot;,&quot;non-dropping-particle&quot;:&quot;&quot;},{&quot;family&quot;:&quot;Gershon&quot;,&quot;given&quot;:&quot;Andrea S.&quot;,&quot;parse-names&quot;:false,&quot;dropping-particle&quot;:&quot;&quot;,&quot;non-dropping-particle&quot;:&quot;&quot;},{&quot;family&quot;:&quot;Gao&quot;,&quot;given&quot;:&quot;Yuan&quot;,&quot;parse-names&quot;:false,&quot;dropping-particle&quot;:&quot;&quot;,&quot;non-dropping-particle&quot;:&quot;&quot;},{&quot;family&quot;:&quot;Yang&quot;,&quot;given&quot;:&quot;Jenna&quot;,&quot;parse-names&quot;:false,&quot;dropping-particle&quot;:&quot;&quot;,&quot;non-dropping-particle&quot;:&quot;&quot;},{&quot;family&quot;:&quot;Whitmore&quot;,&quot;given&quot;:&quot;G. A.&quot;,&quot;parse-names&quot;:false,&quot;dropping-particle&quot;:&quot;&quot;,&quot;non-dropping-particle&quot;:&quot;&quot;}],&quot;container-title&quot;:&quot;International journal of chronic obstructive pulmonary disease&quot;,&quot;accessed&quot;:{&quot;date-parts&quot;:[[2024,12,7]]},&quot;DOI&quot;:&quot;10.2147/COPD.S113868&quot;,&quot;ISSN&quot;:&quot;1178-2005&quot;,&quot;PMID&quot;:&quot;27698561&quot;,&quot;URL&quot;:&quot;https://pubmed.ncbi.nlm.nih.gov/27698561/&quot;,&quot;issued&quot;:{&quot;date-parts&quot;:[[2016,9,19]]},&quot;page&quot;:&quot;2305-2313&quot;,&quot;abstract&quot;:&quot;Purpose: Studies suggest that COPD prevalence may vary between countries. We conducted an ecological study of data from COPD prevalence articles to assess the influence of differences in country-level risk factors on COPD prevalence. Patients and methods: Our study covered English language articles published during 2003–2014. Qualified articles used spirometry to assess COPD prevalence and used representative samples from national or subnational populations. Stepwise binomial regression was used to analyze associations between study- and country-level factors and COPD prevalence. Results: Eighty articles provided 1,583 measures of COPD prevalence for subjects in different sex, age, and smoking categories for 112 districts in 41 countries. Adjusted prevalence rates for COPD were significantly lower for Australia/New Zealand and the Mediterranean and significantly higher for Latin America, compared to North America, Southeast Asia, and Northern Europe. Country-level socioeconomic development variables had an uneven and mixed association with COPD prevalence. High elevation above sea level was shown to be a protective factor for COPD. Study-level variables for the established risk factors of sex, age, and smoking explained 64% of variability in COPD prevalence. Country-level risk factors raised the explanatory power to 72%. Approximately 28% of worldwide variability in COPD prevalence remained unexplained. Conclusion: Our study suggests that COPD prevalence varies across world regions, even after adjustment for established risk factors. Major country-level risk factors contributing to the worldwide epidemic of COPD remain to be investigated.&quot;,&quot;publisher&quot;:&quot;Int J Chron Obstruct Pulmon Dis&quot;,&quot;issue&quot;:&quot;1&quot;,&quot;volume&quot;:&quot;11&quot;,&quot;container-title-short&quot;:&quot;Int J Chron Obstruct Pulmon Dis&quot;},&quot;isTemporary&quot;:false},{&quot;id&quot;:&quot;89091200-5b27-3645-8cdc-60b7ab576c70&quot;,&quot;itemData&quot;:{&quot;type&quot;:&quot;article-journal&quot;,&quot;id&quot;:&quot;89091200-5b27-3645-8cdc-60b7ab576c70&quot;,&quot;title&quot;:&quot;Prevalence and attributable health burden of chronic respiratory diseases, 1990–2017: a systematic analysis for the Global Burden of Disease Study 2017&quot;,&quot;author&quot;:[{&quot;family&quot;:&quot;Soriano&quot;,&quot;given&quot;:&quot;Joan B.&quot;,&quot;parse-names&quot;:false,&quot;dropping-particle&quot;:&quot;&quot;,&quot;non-dropping-particle&quot;:&quot;&quot;},{&quot;family&quot;:&quot;Kendrick&quot;,&quot;given&quot;:&quot;Parkes J.&quot;,&quot;parse-names&quot;:false,&quot;dropping-particle&quot;:&quot;&quot;,&quot;non-dropping-particle&quot;:&quot;&quot;},{&quot;family&quot;:&quot;Paulson&quot;,&quot;given&quot;:&quot;Katherine R.&quot;,&quot;parse-names&quot;:false,&quot;dropping-particle&quot;:&quot;&quot;,&quot;non-dropping-particle&quot;:&quot;&quot;},{&quot;family&quot;:&quot;Gupta&quot;,&quot;given&quot;:&quot;Vinay&quot;,&quot;parse-names&quot;:false,&quot;dropping-particle&quot;:&quot;&quot;,&quot;non-dropping-particle&quot;:&quot;&quot;},{&quot;family&quot;:&quot;Abrams&quot;,&quot;given&quot;:&quot;Elissa M.&quot;,&quot;parse-names&quot;:false,&quot;dropping-particle&quot;:&quot;&quot;,&quot;non-dropping-particle&quot;:&quot;&quot;},{&quot;family&quot;:&quot;Adedoyin&quot;,&quot;given&quot;:&quot;Rufus Adesoji&quot;,&quot;parse-names&quot;:false,&quot;dropping-particle&quot;:&quot;&quot;,&quot;non-dropping-particle&quot;:&quot;&quot;},{&quot;family&quot;:&quot;Adhikari&quot;,&quot;given&quot;:&quot;Tara Ballav&quot;,&quot;parse-names&quot;:false,&quot;dropping-particle&quot;:&quot;&quot;,&quot;non-dropping-particle&quot;:&quot;&quot;},{&quot;family&quot;:&quot;Advani&quot;,&quot;given&quot;:&quot;Shailesh M.&quot;,&quot;parse-names&quot;:false,&quot;dropping-particle&quot;:&quot;&quot;,&quot;non-dropping-particle&quot;:&quot;&quot;},{&quot;family&quot;:&quot;Agrawal&quot;,&quot;given&quot;:&quot;Anurag&quot;,&quot;parse-names&quot;:false,&quot;dropping-particle&quot;:&quot;&quot;,&quot;non-dropping-particle&quot;:&quot;&quot;},{&quot;family&quot;:&quot;Ahmadian&quot;,&quot;given&quot;:&quot;Elham&quot;,&quot;parse-names&quot;:false,&quot;dropping-particle&quot;:&quot;&quot;,&quot;non-dropping-particle&quot;:&quot;&quot;},{&quot;family&quot;:&quot;Alahdab&quot;,&quot;given&quot;:&quot;Fares&quot;,&quot;parse-names&quot;:false,&quot;dropping-particle&quot;:&quot;&quot;,&quot;non-dropping-particle&quot;:&quot;&quot;},{&quot;family&quot;:&quot;Aljunid&quot;,&quot;given&quot;:&quot;Syed Mohamed&quot;,&quot;parse-names&quot;:false,&quot;dropping-particle&quot;:&quot;&quot;,&quot;non-dropping-particle&quot;:&quot;&quot;},{&quot;family&quot;:&quot;Altirkawi&quot;,&quot;given&quot;:&quot;Khalid A.&quot;,&quot;parse-names&quot;:false,&quot;dropping-particle&quot;:&quot;&quot;,&quot;non-dropping-particle&quot;:&quot;&quot;},{&quot;family&quot;:&quot;Alvis-Guzman&quot;,&quot;given&quot;:&quot;Nelson&quot;,&quot;parse-names&quot;:false,&quot;dropping-particle&quot;:&quot;&quot;,&quot;non-dropping-particle&quot;:&quot;&quot;},{&quot;family&quot;:&quot;Anber&quot;,&quot;given&quot;:&quot;Nahla Hamed&quot;,&quot;parse-names&quot;:false,&quot;dropping-particle&quot;:&quot;&quot;,&quot;non-dropping-particle&quot;:&quot;&quot;},{&quot;family&quot;:&quot;Andrei&quot;,&quot;given&quot;:&quot;Catalina Liliana&quot;,&quot;parse-names&quot;:false,&quot;dropping-particle&quot;:&quot;&quot;,&quot;non-dropping-particle&quot;:&quot;&quot;},{&quot;family&quot;:&quot;Anjomshoa&quot;,&quot;given&quot;:&quot;Mina&quot;,&quot;parse-names&quot;:false,&quot;dropping-particle&quot;:&quot;&quot;,&quot;non-dropping-particle&quot;:&quot;&quot;},{&quot;family&quot;:&quot;Ansari&quot;,&quot;given&quot;:&quot;Fereshteh&quot;,&quot;parse-names&quot;:false,&quot;dropping-particle&quot;:&quot;&quot;,&quot;non-dropping-particle&quot;:&quot;&quot;},{&quot;family&quot;:&quot;Antó&quot;,&quot;given&quot;:&quot;Josep M.&quot;,&quot;parse-names&quot;:false,&quot;dropping-particle&quot;:&quot;&quot;,&quot;non-dropping-particle&quot;:&quot;&quot;},{&quot;family&quot;:&quot;Arabloo&quot;,&quot;given&quot;:&quot;Jalal&quot;,&quot;parse-names&quot;:false,&quot;dropping-particle&quot;:&quot;&quot;,&quot;non-dropping-particle&quot;:&quot;&quot;},{&quot;family&quot;:&quot;Athari&quot;,&quot;given&quot;:&quot;Seyyede Masoume&quot;,&quot;parse-names&quot;:false,&quot;dropping-particle&quot;:&quot;&quot;,&quot;non-dropping-particle&quot;:&quot;&quot;},{&quot;family&quot;:&quot;Athari&quot;,&quot;given&quot;:&quot;Seyyed Shamsadin&quot;,&quot;parse-names&quot;:false,&quot;dropping-particle&quot;:&quot;&quot;,&quot;non-dropping-particle&quot;:&quot;&quot;},{&quot;family&quot;:&quot;Awoke&quot;,&quot;given&quot;:&quot;Nefsu&quot;,&quot;parse-names&quot;:false,&quot;dropping-particle&quot;:&quot;&quot;,&quot;non-dropping-particle&quot;:&quot;&quot;},{&quot;family&quot;:&quot;Badawi&quot;,&quot;given&quot;:&quot;Alaa&quot;,&quot;parse-names&quot;:false,&quot;dropping-particle&quot;:&quot;&quot;,&quot;non-dropping-particle&quot;:&quot;&quot;},{&quot;family&quot;:&quot;Banoub&quot;,&quot;given&quot;:&quot;Joseph Adel Mattar&quot;,&quot;parse-names&quot;:false,&quot;dropping-particle&quot;:&quot;&quot;,&quot;non-dropping-particle&quot;:&quot;&quot;},{&quot;family&quot;:&quot;Bennett&quot;,&quot;given&quot;:&quot;Derrick A.&quot;,&quot;parse-names&quot;:false,&quot;dropping-particle&quot;:&quot;&quot;,&quot;non-dropping-particle&quot;:&quot;&quot;},{&quot;family&quot;:&quot;Bensenor&quot;,&quot;given&quot;:&quot;Isabela M.&quot;,&quot;parse-names&quot;:false,&quot;dropping-particle&quot;:&quot;&quot;,&quot;non-dropping-particle&quot;:&quot;&quot;},{&quot;family&quot;:&quot;Berfield&quot;,&quot;given&quot;:&quot;Kathleen S.Sachiko&quot;,&quot;parse-names&quot;:false,&quot;dropping-particle&quot;:&quot;&quot;,&quot;non-dropping-particle&quot;:&quot;&quot;},{&quot;family&quot;:&quot;Bernstein&quot;,&quot;given&quot;:&quot;Robert S.&quot;,&quot;parse-names&quot;:false,&quot;dropping-particle&quot;:&quot;&quot;,&quot;non-dropping-particle&quot;:&quot;&quot;},{&quot;family&quot;:&quot;Bhattacharyya&quot;,&quot;given&quot;:&quot;Krittika&quot;,&quot;parse-names&quot;:false,&quot;dropping-particle&quot;:&quot;&quot;,&quot;non-dropping-particle&quot;:&quot;&quot;},{&quot;family&quot;:&quot;Bijani&quot;,&quot;given&quot;:&quot;Ali&quot;,&quot;parse-names&quot;:false,&quot;dropping-particle&quot;:&quot;&quot;,&quot;non-dropping-particle&quot;:&quot;&quot;},{&quot;family&quot;:&quot;Brauer&quot;,&quot;given&quot;:&quot;Michael&quot;,&quot;parse-names&quot;:false,&quot;dropping-particle&quot;:&quot;&quot;,&quot;non-dropping-particle&quot;:&quot;&quot;},{&quot;family&quot;:&quot;Bukhman&quot;,&quot;given&quot;:&quot;Gene&quot;,&quot;parse-names&quot;:false,&quot;dropping-particle&quot;:&quot;&quot;,&quot;non-dropping-particle&quot;:&quot;&quot;},{&quot;family&quot;:&quot;Butt&quot;,&quot;given&quot;:&quot;Zahid A.&quot;,&quot;parse-names&quot;:false,&quot;dropping-particle&quot;:&quot;&quot;,&quot;non-dropping-particle&quot;:&quot;&quot;},{&quot;family&quot;:&quot;Cámera&quot;,&quot;given&quot;:&quot;Luis Alberto&quot;,&quot;parse-names&quot;:false,&quot;dropping-particle&quot;:&quot;&quot;,&quot;non-dropping-particle&quot;:&quot;&quot;},{&quot;family&quot;:&quot;Car&quot;,&quot;given&quot;:&quot;Josip&quot;,&quot;parse-names&quot;:false,&quot;dropping-particle&quot;:&quot;&quot;,&quot;non-dropping-particle&quot;:&quot;&quot;},{&quot;family&quot;:&quot;Carrero&quot;,&quot;given&quot;:&quot;Juan J.&quot;,&quot;parse-names&quot;:false,&quot;dropping-particle&quot;:&quot;&quot;,&quot;non-dropping-particle&quot;:&quot;&quot;},{&quot;family&quot;:&quot;Carvalho&quot;,&quot;given&quot;:&quot;Felix&quot;,&quot;parse-names&quot;:false,&quot;dropping-particle&quot;:&quot;&quot;,&quot;non-dropping-particle&quot;:&quot;&quot;},{&quot;family&quot;:&quot;Castañeda-Orjuela&quot;,&quot;given&quot;:&quot;Carlos A.&quot;,&quot;parse-names&quot;:false,&quot;dropping-particle&quot;:&quot;&quot;,&quot;non-dropping-particle&quot;:&quot;&quot;},{&quot;family&quot;:&quot;Choi&quot;,&quot;given&quot;:&quot;Jee Young Jasmine&quot;,&quot;parse-names&quot;:false,&quot;dropping-particle&quot;:&quot;&quot;,&quot;non-dropping-particle&quot;:&quot;&quot;},{&quot;family&quot;:&quot;Christopher&quot;,&quot;given&quot;:&quot;Devasahayam J.&quot;,&quot;parse-names&quot;:false,&quot;dropping-particle&quot;:&quot;&quot;,&quot;non-dropping-particle&quot;:&quot;&quot;},{&quot;family&quot;:&quot;Cohen&quot;,&quot;given&quot;:&quot;Aaron J.&quot;,&quot;parse-names&quot;:false,&quot;dropping-particle&quot;:&quot;&quot;,&quot;non-dropping-particle&quot;:&quot;&quot;},{&quot;family&quot;:&quot;Dandona&quot;,&quot;given&quot;:&quot;Lalit&quot;,&quot;parse-names&quot;:false,&quot;dropping-particle&quot;:&quot;&quot;,&quot;non-dropping-particle&quot;:&quot;&quot;},{&quot;family&quot;:&quot;Dandona&quot;,&quot;given&quot;:&quot;Rakhi&quot;,&quot;parse-names&quot;:false,&quot;dropping-particle&quot;:&quot;&quot;,&quot;non-dropping-particle&quot;:&quot;&quot;},{&quot;family&quot;:&quot;Dang&quot;,&quot;given&quot;:&quot;Anh Kim&quot;,&quot;parse-names&quot;:false,&quot;dropping-particle&quot;:&quot;&quot;,&quot;non-dropping-particle&quot;:&quot;&quot;},{&quot;family&quot;:&quot;Daryani&quot;,&quot;given&quot;:&quot;Ahmad&quot;,&quot;parse-names&quot;:false,&quot;dropping-particle&quot;:&quot;&quot;,&quot;non-dropping-particle&quot;:&quot;&quot;},{&quot;family&quot;:&quot;Courten&quot;,&quot;given&quot;:&quot;Barbora&quot;,&quot;parse-names&quot;:false,&quot;dropping-particle&quot;:&quot;&quot;,&quot;non-dropping-particle&quot;:&quot;de&quot;},{&quot;family&quot;:&quot;Demeke&quot;,&quot;given&quot;:&quot;Feleke Mekonnen&quot;,&quot;parse-names&quot;:false,&quot;dropping-particle&quot;:&quot;&quot;,&quot;non-dropping-particle&quot;:&quot;&quot;},{&quot;family&quot;:&quot;Demoz&quot;,&quot;given&quot;:&quot;Gebre Teklemariam&quot;,&quot;parse-names&quot;:false,&quot;dropping-particle&quot;:&quot;&quot;,&quot;non-dropping-particle&quot;:&quot;&quot;},{&quot;family&quot;:&quot;Neve&quot;,&quot;given&quot;:&quot;Jan Walter&quot;,&quot;parse-names&quot;:false,&quot;dropping-particle&quot;:&quot;&quot;,&quot;non-dropping-particle&quot;:&quot;De&quot;},{&quot;family&quot;:&quot;Desai&quot;,&quot;given&quot;:&quot;Rupak&quot;,&quot;parse-names&quot;:false,&quot;dropping-particle&quot;:&quot;&quot;,&quot;non-dropping-particle&quot;:&quot;&quot;},{&quot;family&quot;:&quot;Dharmaratne&quot;,&quot;given&quot;:&quot;Samath Dhamminda&quot;,&quot;parse-names&quot;:false,&quot;dropping-particle&quot;:&quot;&quot;,&quot;non-dropping-particle&quot;:&quot;&quot;},{&quot;family&quot;:&quot;Diaz&quot;,&quot;given&quot;:&quot;Daniel&quot;,&quot;parse-names&quot;:false,&quot;dropping-particle&quot;:&quot;&quot;,&quot;non-dropping-particle&quot;:&quot;&quot;},{&quot;family&quot;:&quot;Douiri&quot;,&quot;given&quot;:&quot;Abdel&quot;,&quot;parse-names&quot;:false,&quot;dropping-particle&quot;:&quot;&quot;,&quot;non-dropping-particle&quot;:&quot;&quot;},{&quot;family&quot;:&quot;Driscoll&quot;,&quot;given&quot;:&quot;Tim Robert&quot;,&quot;parse-names&quot;:false,&quot;dropping-particle&quot;:&quot;&quot;,&quot;non-dropping-particle&quot;:&quot;&quot;},{&quot;family&quot;:&quot;Duken&quot;,&quot;given&quot;:&quot;Eyasu Ejeta&quot;,&quot;parse-names&quot;:false,&quot;dropping-particle&quot;:&quot;&quot;,&quot;non-dropping-particle&quot;:&quot;&quot;},{&quot;family&quot;:&quot;Eftekhari&quot;,&quot;given&quot;:&quot;Aziz&quot;,&quot;parse-names&quot;:false,&quot;dropping-particle&quot;:&quot;&quot;,&quot;non-dropping-particle&quot;:&quot;&quot;},{&quot;family&quot;:&quot;Elkout&quot;,&quot;given&quot;:&quot;Hajer&quot;,&quot;parse-names&quot;:false,&quot;dropping-particle&quot;:&quot;&quot;,&quot;non-dropping-particle&quot;:&quot;&quot;},{&quot;family&quot;:&quot;Endries&quot;,&quot;given&quot;:&quot;Aman Yesuf&quot;,&quot;parse-names&quot;:false,&quot;dropping-particle&quot;:&quot;&quot;,&quot;non-dropping-particle&quot;:&quot;&quot;},{&quot;family&quot;:&quot;Fadhil&quot;,&quot;given&quot;:&quot;Ibtihal&quot;,&quot;parse-names&quot;:false,&quot;dropping-particle&quot;:&quot;&quot;,&quot;non-dropping-particle&quot;:&quot;&quot;},{&quot;family&quot;:&quot;Faro&quot;,&quot;given&quot;:&quot;Andre&quot;,&quot;parse-names&quot;:false,&quot;dropping-particle&quot;:&quot;&quot;,&quot;non-dropping-particle&quot;:&quot;&quot;},{&quot;family&quot;:&quot;Farzadfar&quot;,&quot;given&quot;:&quot;Farshad&quot;,&quot;parse-names&quot;:false,&quot;dropping-particle&quot;:&quot;&quot;,&quot;non-dropping-particle&quot;:&quot;&quot;},{&quot;family&quot;:&quot;Fernandes&quot;,&quot;given&quot;:&quot;Eduarda&quot;,&quot;parse-names&quot;:false,&quot;dropping-particle&quot;:&quot;&quot;,&quot;non-dropping-particle&quot;:&quot;&quot;},{&quot;family&quot;:&quot;Filip&quot;,&quot;given&quot;:&quot;Irina&quot;,&quot;parse-names&quot;:false,&quot;dropping-particle&quot;:&quot;&quot;,&quot;non-dropping-particle&quot;:&quot;&quot;},{&quot;family&quot;:&quot;Fischer&quot;,&quot;given&quot;:&quot;Florian&quot;,&quot;parse-names&quot;:false,&quot;dropping-particle&quot;:&quot;&quot;,&quot;non-dropping-particle&quot;:&quot;&quot;},{&quot;family&quot;:&quot;Foroutan&quot;,&quot;given&quot;:&quot;Masoud&quot;,&quot;parse-names&quot;:false,&quot;dropping-particle&quot;:&quot;&quot;,&quot;non-dropping-particle&quot;:&quot;&quot;},{&quot;family&quot;:&quot;Garcia-Gordillo&quot;,&quot;given&quot;:&quot;M. A.&quot;,&quot;parse-names&quot;:false,&quot;dropping-particle&quot;:&quot;&quot;,&quot;non-dropping-particle&quot;:&quot;&quot;},{&quot;family&quot;:&quot;Gebre&quot;,&quot;given&quot;:&quot;Abadi Kahsu&quot;,&quot;parse-names&quot;:false,&quot;dropping-particle&quot;:&quot;&quot;,&quot;non-dropping-particle&quot;:&quot;&quot;},{&quot;family&quot;:&quot;Gebremedhin&quot;,&quot;given&quot;:&quot;Ketema Bizuwork&quot;,&quot;parse-names&quot;:false,&quot;dropping-particle&quot;:&quot;&quot;,&quot;non-dropping-particle&quot;:&quot;&quot;},{&quot;family&quot;:&quot;Gebremeskel&quot;,&quot;given&quot;:&quot;Gebreamlak Gebremedhn&quot;,&quot;parse-names&quot;:false,&quot;dropping-particle&quot;:&quot;&quot;,&quot;non-dropping-particle&quot;:&quot;&quot;},{&quot;family&quot;:&quot;Gezae&quot;,&quot;given&quot;:&quot;Kebede Embaye&quot;,&quot;parse-names&quot;:false,&quot;dropping-particle&quot;:&quot;&quot;,&quot;non-dropping-particle&quot;:&quot;&quot;},{&quot;family&quot;:&quot;Ghoshal&quot;,&quot;given&quot;:&quot;Aloke Gopal&quot;,&quot;parse-names&quot;:false,&quot;dropping-particle&quot;:&quot;&quot;,&quot;non-dropping-particle&quot;:&quot;&quot;},{&quot;family&quot;:&quot;Gill&quot;,&quot;given&quot;:&quot;Paramjit Singh&quot;,&quot;parse-names&quot;:false,&quot;dropping-particle&quot;:&quot;&quot;,&quot;non-dropping-particle&quot;:&quot;&quot;},{&quot;family&quot;:&quot;Gillum&quot;,&quot;given&quot;:&quot;Richard F.&quot;,&quot;parse-names&quot;:false,&quot;dropping-particle&quot;:&quot;&quot;,&quot;non-dropping-particle&quot;:&quot;&quot;},{&quot;family&quot;:&quot;Goudarzi&quot;,&quot;given&quot;:&quot;Houman&quot;,&quot;parse-names&quot;:false,&quot;dropping-particle&quot;:&quot;&quot;,&quot;non-dropping-particle&quot;:&quot;&quot;},{&quot;family&quot;:&quot;Guo&quot;,&quot;given&quot;:&quot;Yuming&quot;,&quot;parse-names&quot;:false,&quot;dropping-particle&quot;:&quot;&quot;,&quot;non-dropping-particle&quot;:&quot;&quot;},{&quot;family&quot;:&quot;Gupta&quot;,&quot;given&quot;:&quot;Rajeev&quot;,&quot;parse-names&quot;:false,&quot;dropping-particle&quot;:&quot;&quot;,&quot;non-dropping-particle&quot;:&quot;&quot;},{&quot;family&quot;:&quot;Hailu&quot;,&quot;given&quot;:&quot;Gessessew Bugssa&quot;,&quot;parse-names&quot;:false,&quot;dropping-particle&quot;:&quot;&quot;,&quot;non-dropping-particle&quot;:&quot;&quot;},{&quot;family&quot;:&quot;Hasanzadeh&quot;,&quot;given&quot;:&quot;Amir&quot;,&quot;parse-names&quot;:false,&quot;dropping-particle&quot;:&quot;&quot;,&quot;non-dropping-particle&quot;:&quot;&quot;},{&quot;family&quot;:&quot;Hassen&quot;,&quot;given&quot;:&quot;Hamid Yimam&quot;,&quot;parse-names&quot;:false,&quot;dropping-particle&quot;:&quot;&quot;,&quot;non-dropping-particle&quot;:&quot;&quot;},{&quot;family&quot;:&quot;Hay&quot;,&quot;given&quot;:&quot;Simon I.&quot;,&quot;parse-names&quot;:false,&quot;dropping-particle&quot;:&quot;&quot;,&quot;non-dropping-particle&quot;:&quot;&quot;},{&quot;family&quot;:&quot;Hoang&quot;,&quot;given&quot;:&quot;Chi Linh&quot;,&quot;parse-names&quot;:false,&quot;dropping-particle&quot;:&quot;&quot;,&quot;non-dropping-particle&quot;:&quot;&quot;},{&quot;family&quot;:&quot;Hole&quot;,&quot;given&quot;:&quot;Michael K.&quot;,&quot;parse-names&quot;:false,&quot;dropping-particle&quot;:&quot;&quot;,&quot;non-dropping-particle&quot;:&quot;&quot;},{&quot;family&quot;:&quot;Horita&quot;,&quot;given&quot;:&quot;Nobuyuki&quot;,&quot;parse-names&quot;:false,&quot;dropping-particle&quot;:&quot;&quot;,&quot;non-dropping-particle&quot;:&quot;&quot;},{&quot;family&quot;:&quot;Hosgood&quot;,&quot;given&quot;:&quot;H. Dean&quot;,&quot;parse-names&quot;:false,&quot;dropping-particle&quot;:&quot;&quot;,&quot;non-dropping-particle&quot;:&quot;&quot;},{&quot;family&quot;:&quot;Hostiuc&quot;,&quot;given&quot;:&quot;Mihaela&quot;,&quot;parse-names&quot;:false,&quot;dropping-particle&quot;:&quot;&quot;,&quot;non-dropping-particle&quot;:&quot;&quot;},{&quot;family&quot;:&quot;Househ&quot;,&quot;given&quot;:&quot;Mowafa&quot;,&quot;parse-names&quot;:false,&quot;dropping-particle&quot;:&quot;&quot;,&quot;non-dropping-particle&quot;:&quot;&quot;},{&quot;family&quot;:&quot;Ilesanmi&quot;,&quot;given&quot;:&quot;Olayinka Stephen&quot;,&quot;parse-names&quot;:false,&quot;dropping-particle&quot;:&quot;&quot;,&quot;non-dropping-particle&quot;:&quot;&quot;},{&quot;family&quot;:&quot;Ilic&quot;,&quot;given&quot;:&quot;Milena D.&quot;,&quot;parse-names&quot;:false,&quot;dropping-particle&quot;:&quot;&quot;,&quot;non-dropping-particle&quot;:&quot;&quot;},{&quot;family&quot;:&quot;Irvani&quot;,&quot;given&quot;:&quot;Seyed Sina Naghibi&quot;,&quot;parse-names&quot;:false,&quot;dropping-particle&quot;:&quot;&quot;,&quot;non-dropping-particle&quot;:&quot;&quot;},{&quot;family&quot;:&quot;Islam&quot;,&quot;given&quot;:&quot;Sheikh Mohammed Shariful&quot;,&quot;parse-names&quot;:false,&quot;dropping-particle&quot;:&quot;&quot;,&quot;non-dropping-particle&quot;:&quot;&quot;},{&quot;family&quot;:&quot;Jakovljevic&quot;,&quot;given&quot;:&quot;Mihajlo&quot;,&quot;parse-names&quot;:false,&quot;dropping-particle&quot;:&quot;&quot;,&quot;non-dropping-particle&quot;:&quot;&quot;},{&quot;family&quot;:&quot;Jamal&quot;,&quot;given&quot;:&quot;Amr A.&quot;,&quot;parse-names&quot;:false,&quot;dropping-particle&quot;:&quot;&quot;,&quot;non-dropping-particle&quot;:&quot;&quot;},{&quot;family&quot;:&quot;Jha&quot;,&quot;given&quot;:&quot;Ravi Prakash&quot;,&quot;parse-names&quot;:false,&quot;dropping-particle&quot;:&quot;&quot;,&quot;non-dropping-particle&quot;:&quot;&quot;},{&quot;family&quot;:&quot;Jonas&quot;,&quot;given&quot;:&quot;Jost B.&quot;,&quot;parse-names&quot;:false,&quot;dropping-particle&quot;:&quot;&quot;,&quot;non-dropping-particle&quot;:&quot;&quot;},{&quot;family&quot;:&quot;Kabir&quot;,&quot;given&quot;:&quot;Zubair&quot;,&quot;parse-names&quot;:false,&quot;dropping-particle&quot;:&quot;&quot;,&quot;non-dropping-particle&quot;:&quot;&quot;},{&quot;family&quot;:&quot;Kasaeian&quot;,&quot;given&quot;:&quot;Amir&quot;,&quot;parse-names&quot;:false,&quot;dropping-particle&quot;:&quot;&quot;,&quot;non-dropping-particle&quot;:&quot;&quot;},{&quot;family&quot;:&quot;Kasahun&quot;,&quot;given&quot;:&quot;Gebremicheal Gebreslassie&quot;,&quot;parse-names&quot;:false,&quot;dropping-particle&quot;:&quot;&quot;,&quot;non-dropping-particle&quot;:&quot;&quot;},{&quot;family&quot;:&quot;Kassa&quot;,&quot;given&quot;:&quot;Getachew Mullu&quot;,&quot;parse-names&quot;:false,&quot;dropping-particle&quot;:&quot;&quot;,&quot;non-dropping-particle&quot;:&quot;&quot;},{&quot;family&quot;:&quot;Kefale&quot;,&quot;given&quot;:&quot;Adane Teshome&quot;,&quot;parse-names&quot;:false,&quot;dropping-particle&quot;:&quot;&quot;,&quot;non-dropping-particle&quot;:&quot;&quot;},{&quot;family&quot;:&quot;Kengne&quot;,&quot;given&quot;:&quot;Andre Pascal&quot;,&quot;parse-names&quot;:false,&quot;dropping-particle&quot;:&quot;&quot;,&quot;non-dropping-particle&quot;:&quot;&quot;},{&quot;family&quot;:&quot;Khader&quot;,&quot;given&quot;:&quot;Yousef Saleh&quot;,&quot;parse-names&quot;:false,&quot;dropping-particle&quot;:&quot;&quot;,&quot;non-dropping-particle&quot;:&quot;&quot;},{&quot;family&quot;:&quot;Khafaie&quot;,&quot;given&quot;:&quot;Morteza Abdullatif&quot;,&quot;parse-names&quot;:false,&quot;dropping-particle&quot;:&quot;&quot;,&quot;non-dropping-particle&quot;:&quot;&quot;},{&quot;family&quot;:&quot;Khan&quot;,&quot;given&quot;:&quot;Ejaz Ahmad&quot;,&quot;parse-names&quot;:false,&quot;dropping-particle&quot;:&quot;&quot;,&quot;non-dropping-particle&quot;:&quot;&quot;},{&quot;family&quot;:&quot;Khan&quot;,&quot;given&quot;:&quot;Junaid&quot;,&quot;parse-names&quot;:false,&quot;dropping-particle&quot;:&quot;&quot;,&quot;non-dropping-particle&quot;:&quot;&quot;},{&quot;family&quot;:&quot;Khubchandani&quot;,&quot;given&quot;:&quot;Jagdish&quot;,&quot;parse-names&quot;:false,&quot;dropping-particle&quot;:&quot;&quot;,&quot;non-dropping-particle&quot;:&quot;&quot;},{&quot;family&quot;:&quot;Kim&quot;,&quot;given&quot;:&quot;Young Eun&quot;,&quot;parse-names&quot;:false,&quot;dropping-particle&quot;:&quot;&quot;,&quot;non-dropping-particle&quot;:&quot;&quot;},{&quot;family&quot;:&quot;Kim&quot;,&quot;given&quot;:&quot;Yun Jin&quot;,&quot;parse-names&quot;:false,&quot;dropping-particle&quot;:&quot;&quot;,&quot;non-dropping-particle&quot;:&quot;&quot;},{&quot;family&quot;:&quot;Kisa&quot;,&quot;given&quot;:&quot;Sezer&quot;,&quot;parse-names&quot;:false,&quot;dropping-particle&quot;:&quot;&quot;,&quot;non-dropping-particle&quot;:&quot;&quot;},{&quot;family&quot;:&quot;Kisa&quot;,&quot;given&quot;:&quot;Adnan&quot;,&quot;parse-names&quot;:false,&quot;dropping-particle&quot;:&quot;&quot;,&quot;non-dropping-particle&quot;:&quot;&quot;},{&quot;family&quot;:&quot;Knibbs&quot;,&quot;given&quot;:&quot;Luke D.&quot;,&quot;parse-names&quot;:false,&quot;dropping-particle&quot;:&quot;&quot;,&quot;non-dropping-particle&quot;:&quot;&quot;},{&quot;family&quot;:&quot;Komaki&quot;,&quot;given&quot;:&quot;Hamidreza&quot;,&quot;parse-names&quot;:false,&quot;dropping-particle&quot;:&quot;&quot;,&quot;non-dropping-particle&quot;:&quot;&quot;},{&quot;family&quot;:&quot;Koul&quot;,&quot;given&quot;:&quot;Parvaiz A.&quot;,&quot;parse-names&quot;:false,&quot;dropping-particle&quot;:&quot;&quot;,&quot;non-dropping-particle&quot;:&quot;&quot;},{&quot;family&quot;:&quot;Koyanagi&quot;,&quot;given&quot;:&quot;Ai&quot;,&quot;parse-names&quot;:false,&quot;dropping-particle&quot;:&quot;&quot;,&quot;non-dropping-particle&quot;:&quot;&quot;},{&quot;family&quot;:&quot;Kumar&quot;,&quot;given&quot;:&quot;G. Anil&quot;,&quot;parse-names&quot;:false,&quot;dropping-particle&quot;:&quot;&quot;,&quot;non-dropping-particle&quot;:&quot;&quot;},{&quot;family&quot;:&quot;Lan&quot;,&quot;given&quot;:&quot;Qing&quot;,&quot;parse-names&quot;:false,&quot;dropping-particle&quot;:&quot;&quot;,&quot;non-dropping-particle&quot;:&quot;&quot;},{&quot;family&quot;:&quot;Lasrado&quot;,&quot;given&quot;:&quot;Savita&quot;,&quot;parse-names&quot;:false,&quot;dropping-particle&quot;:&quot;&quot;,&quot;non-dropping-particle&quot;:&quot;&quot;},{&quot;family&quot;:&quot;Lauriola&quot;,&quot;given&quot;:&quot;Paolo&quot;,&quot;parse-names&quot;:false,&quot;dropping-particle&quot;:&quot;&quot;,&quot;non-dropping-particle&quot;:&quot;&quot;},{&quot;family&quot;:&quot;Vecchia&quot;,&quot;given&quot;:&quot;Carlo&quot;,&quot;parse-names&quot;:false,&quot;dropping-particle&quot;:&quot;&quot;,&quot;non-dropping-particle&quot;:&quot;La&quot;},{&quot;family&quot;:&quot;Le&quot;,&quot;given&quot;:&quot;Tham Thi&quot;,&quot;parse-names&quot;:false,&quot;dropping-particle&quot;:&quot;&quot;,&quot;non-dropping-particle&quot;:&quot;&quot;},{&quot;family&quot;:&quot;Leigh&quot;,&quot;given&quot;:&quot;James&quot;,&quot;parse-names&quot;:false,&quot;dropping-particle&quot;:&quot;&quot;,&quot;non-dropping-particle&quot;:&quot;&quot;},{&quot;family&quot;:&quot;Levi&quot;,&quot;given&quot;:&quot;Miriam&quot;,&quot;parse-names&quot;:false,&quot;dropping-particle&quot;:&quot;&quot;,&quot;non-dropping-particle&quot;:&quot;&quot;},{&quot;family&quot;:&quot;Li&quot;,&quot;given&quot;:&quot;Shanshan&quot;,&quot;parse-names&quot;:false,&quot;dropping-particle&quot;:&quot;&quot;,&quot;non-dropping-particle&quot;:&quot;&quot;},{&quot;family&quot;:&quot;Lopez&quot;,&quot;given&quot;:&quot;Alan D.&quot;,&quot;parse-names&quot;:false,&quot;dropping-particle&quot;:&quot;&quot;,&quot;non-dropping-particle&quot;:&quot;&quot;},{&quot;family&quot;:&quot;Lotufo&quot;,&quot;given&quot;:&quot;Paulo A.&quot;,&quot;parse-names&quot;:false,&quot;dropping-particle&quot;:&quot;&quot;,&quot;non-dropping-particle&quot;:&quot;&quot;},{&quot;family&quot;:&quot;Madotto&quot;,&quot;given&quot;:&quot;Fabiana&quot;,&quot;parse-names&quot;:false,&quot;dropping-particle&quot;:&quot;&quot;,&quot;non-dropping-particle&quot;:&quot;&quot;},{&quot;family&quot;:&quot;Mahotra&quot;,&quot;given&quot;:&quot;Narayan B.&quot;,&quot;parse-names&quot;:false,&quot;dropping-particle&quot;:&quot;&quot;,&quot;non-dropping-particle&quot;:&quot;&quot;},{&quot;family&quot;:&quot;Majdan&quot;,&quot;given&quot;:&quot;Marek&quot;,&quot;parse-names&quot;:false,&quot;dropping-particle&quot;:&quot;&quot;,&quot;non-dropping-particle&quot;:&quot;&quot;},{&quot;family&quot;:&quot;Majeed&quot;,&quot;given&quot;:&quot;Azeem&quot;,&quot;parse-names&quot;:false,&quot;dropping-particle&quot;:&quot;&quot;,&quot;non-dropping-particle&quot;:&quot;&quot;},{&quot;family&quot;:&quot;Malekzadeh&quot;,&quot;given&quot;:&quot;Reza&quot;,&quot;parse-names&quot;:false,&quot;dropping-particle&quot;:&quot;&quot;,&quot;non-dropping-particle&quot;:&quot;&quot;},{&quot;family&quot;:&quot;Mamun&quot;,&quot;given&quot;:&quot;Abdullah A.&quot;,&quot;parse-names&quot;:false,&quot;dropping-particle&quot;:&quot;&quot;,&quot;non-dropping-particle&quot;:&quot;&quot;},{&quot;family&quot;:&quot;Manafi&quot;,&quot;given&quot;:&quot;Navid&quot;,&quot;parse-names&quot;:false,&quot;dropping-particle&quot;:&quot;&quot;,&quot;non-dropping-particle&quot;:&quot;&quot;},{&quot;family&quot;:&quot;Manafi&quot;,&quot;given&quot;:&quot;Farzad&quot;,&quot;parse-names&quot;:false,&quot;dropping-particle&quot;:&quot;&quot;,&quot;non-dropping-particle&quot;:&quot;&quot;},{&quot;family&quot;:&quot;Mantovani&quot;,&quot;given&quot;:&quot;Lorenzo Giovanni&quot;,&quot;parse-names&quot;:false,&quot;dropping-particle&quot;:&quot;&quot;,&quot;non-dropping-particle&quot;:&quot;&quot;},{&quot;family&quot;:&quot;Meharie&quot;,&quot;given&quot;:&quot;Birhanu Geta&quot;,&quot;parse-names&quot;:false,&quot;dropping-particle&quot;:&quot;&quot;,&quot;non-dropping-particle&quot;:&quot;&quot;},{&quot;family&quot;:&quot;Meles&quot;,&quot;given&quot;:&quot;Hagazi Gebre&quot;,&quot;parse-names&quot;:false,&quot;dropping-particle&quot;:&quot;&quot;,&quot;non-dropping-particle&quot;:&quot;&quot;},{&quot;family&quot;:&quot;Meles&quot;,&quot;given&quot;:&quot;Gebrekiros Gebremichael&quot;,&quot;parse-names&quot;:false,&quot;dropping-particle&quot;:&quot;&quot;,&quot;non-dropping-particle&quot;:&quot;&quot;},{&quot;family&quot;:&quot;Menezes&quot;,&quot;given&quot;:&quot;Ritesh G.&quot;,&quot;parse-names&quot;:false,&quot;dropping-particle&quot;:&quot;&quot;,&quot;non-dropping-particle&quot;:&quot;&quot;},{&quot;family&quot;:&quot;Mestrovic&quot;,&quot;given&quot;:&quot;Tomislav&quot;,&quot;parse-names&quot;:false,&quot;dropping-particle&quot;:&quot;&quot;,&quot;non-dropping-particle&quot;:&quot;&quot;},{&quot;family&quot;:&quot;Miller&quot;,&quot;given&quot;:&quot;Ted R.&quot;,&quot;parse-names&quot;:false,&quot;dropping-particle&quot;:&quot;&quot;,&quot;non-dropping-particle&quot;:&quot;&quot;},{&quot;family&quot;:&quot;Mini&quot;,&quot;given&quot;:&quot;G. K.&quot;,&quot;parse-names&quot;:false,&quot;dropping-particle&quot;:&quot;&quot;,&quot;non-dropping-particle&quot;:&quot;&quot;},{&quot;family&quot;:&quot;Mirrakhimov&quot;,&quot;given&quot;:&quot;Erkin M.&quot;,&quot;parse-names&quot;:false,&quot;dropping-particle&quot;:&quot;&quot;,&quot;non-dropping-particle&quot;:&quot;&quot;},{&quot;family&quot;:&quot;Moazen&quot;,&quot;given&quot;:&quot;Babak&quot;,&quot;parse-names&quot;:false,&quot;dropping-particle&quot;:&quot;&quot;,&quot;non-dropping-particle&quot;:&quot;&quot;},{&quot;family&quot;:&quot;Mohammad&quot;,&quot;given&quot;:&quot;Karzan Abdulmuhsin&quot;,&quot;parse-names&quot;:false,&quot;dropping-particle&quot;:&quot;&quot;,&quot;non-dropping-particle&quot;:&quot;&quot;},{&quot;family&quot;:&quot;Mohammed&quot;,&quot;given&quot;:&quot;Shafiu&quot;,&quot;parse-names&quot;:false,&quot;dropping-particle&quot;:&quot;&quot;,&quot;non-dropping-particle&quot;:&quot;&quot;},{&quot;family&quot;:&quot;Mohebi&quot;,&quot;given&quot;:&quot;Farnam&quot;,&quot;parse-names&quot;:false,&quot;dropping-particle&quot;:&quot;&quot;,&quot;non-dropping-particle&quot;:&quot;&quot;},{&quot;family&quot;:&quot;Mokdad&quot;,&quot;given&quot;:&quot;Ali H.&quot;,&quot;parse-names&quot;:false,&quot;dropping-particle&quot;:&quot;&quot;,&quot;non-dropping-particle&quot;:&quot;&quot;},{&quot;family&quot;:&quot;Molokhia&quot;,&quot;given&quot;:&quot;Mariam&quot;,&quot;parse-names&quot;:false,&quot;dropping-particle&quot;:&quot;&quot;,&quot;non-dropping-particle&quot;:&quot;&quot;},{&quot;family&quot;:&quot;Monasta&quot;,&quot;given&quot;:&quot;Lorenzo&quot;,&quot;parse-names&quot;:false,&quot;dropping-particle&quot;:&quot;&quot;,&quot;non-dropping-particle&quot;:&quot;&quot;},{&quot;family&quot;:&quot;Moradi&quot;,&quot;given&quot;:&quot;Masoud&quot;,&quot;parse-names&quot;:false,&quot;dropping-particle&quot;:&quot;&quot;,&quot;non-dropping-particle&quot;:&quot;&quot;},{&quot;family&quot;:&quot;Moradi&quot;,&quot;given&quot;:&quot;Ghobad&quot;,&quot;parse-names&quot;:false,&quot;dropping-particle&quot;:&quot;&quot;,&quot;non-dropping-particle&quot;:&quot;&quot;},{&quot;family&quot;:&quot;Morawska&quot;,&quot;given&quot;:&quot;Lidia&quot;,&quot;parse-names&quot;:false,&quot;dropping-particle&quot;:&quot;&quot;,&quot;non-dropping-particle&quot;:&quot;&quot;},{&quot;family&quot;:&quot;Mousavi&quot;,&quot;given&quot;:&quot;Seyyed Meysam&quot;,&quot;parse-names&quot;:false,&quot;dropping-particle&quot;:&quot;&quot;,&quot;non-dropping-particle&quot;:&quot;&quot;},{&quot;family&quot;:&quot;Musa&quot;,&quot;given&quot;:&quot;Kamarul Imran&quot;,&quot;parse-names&quot;:false,&quot;dropping-particle&quot;:&quot;&quot;,&quot;non-dropping-particle&quot;:&quot;&quot;},{&quot;family&quot;:&quot;Mustafa&quot;,&quot;given&quot;:&quot;Ghulam&quot;,&quot;parse-names&quot;:false,&quot;dropping-particle&quot;:&quot;&quot;,&quot;non-dropping-particle&quot;:&quot;&quot;},{&quot;family&quot;:&quot;Naderi&quot;,&quot;given&quot;:&quot;Mehdi&quot;,&quot;parse-names&quot;:false,&quot;dropping-particle&quot;:&quot;&quot;,&quot;non-dropping-particle&quot;:&quot;&quot;},{&quot;family&quot;:&quot;Naghavi&quot;,&quot;given&quot;:&quot;Mohsen&quot;,&quot;parse-names&quot;:false,&quot;dropping-particle&quot;:&quot;&quot;,&quot;non-dropping-particle&quot;:&quot;&quot;},{&quot;family&quot;:&quot;Naik&quot;,&quot;given&quot;:&quot;Gurudatta&quot;,&quot;parse-names&quot;:false,&quot;dropping-particle&quot;:&quot;&quot;,&quot;non-dropping-particle&quot;:&quot;&quot;},{&quot;family&quot;:&quot;Nair&quot;,&quot;given&quot;:&quot;Sanjeev&quot;,&quot;parse-names&quot;:false,&quot;dropping-particle&quot;:&quot;&quot;,&quot;non-dropping-particle&quot;:&quot;&quot;},{&quot;family&quot;:&quot;Nangia&quot;,&quot;given&quot;:&quot;Vinay&quot;,&quot;parse-names&quot;:false,&quot;dropping-particle&quot;:&quot;&quot;,&quot;non-dropping-particle&quot;:&quot;&quot;},{&quot;family&quot;:&quot;Nansseu&quot;,&quot;given&quot;:&quot;Jobert Richie&quot;,&quot;parse-names&quot;:false,&quot;dropping-particle&quot;:&quot;&quot;,&quot;non-dropping-particle&quot;:&quot;&quot;},{&quot;family&quot;:&quot;Nazari&quot;,&quot;given&quot;:&quot;Javad&quot;,&quot;parse-names&quot;:false,&quot;dropping-particle&quot;:&quot;&quot;,&quot;non-dropping-particle&quot;:&quot;&quot;},{&quot;family&quot;:&quot;Ndwandwe&quot;,&quot;given&quot;:&quot;Duduzile Edith&quot;,&quot;parse-names&quot;:false,&quot;dropping-particle&quot;:&quot;&quot;,&quot;non-dropping-particle&quot;:&quot;&quot;},{&quot;family&quot;:&quot;Negoi&quot;,&quot;given&quot;:&quot;Ruxandra Irina&quot;,&quot;parse-names&quot;:false,&quot;dropping-particle&quot;:&quot;&quot;,&quot;non-dropping-particle&quot;:&quot;&quot;},{&quot;family&quot;:&quot;Nguyen&quot;,&quot;given&quot;:&quot;Trang Huyen&quot;,&quot;parse-names&quot;:false,&quot;dropping-particle&quot;:&quot;&quot;,&quot;non-dropping-particle&quot;:&quot;&quot;},{&quot;family&quot;:&quot;Nguyen&quot;,&quot;given&quot;:&quot;Cuong Tat&quot;,&quot;parse-names&quot;:false,&quot;dropping-particle&quot;:&quot;&quot;,&quot;non-dropping-particle&quot;:&quot;&quot;},{&quot;family&quot;:&quot;Nguyen&quot;,&quot;given&quot;:&quot;Huong Lan Thi&quot;,&quot;parse-names&quot;:false,&quot;dropping-particle&quot;:&quot;&quot;,&quot;non-dropping-particle&quot;:&quot;&quot;},{&quot;family&quot;:&quot;Nixon&quot;,&quot;given&quot;:&quot;Molly R.&quot;,&quot;parse-names&quot;:false,&quot;dropping-particle&quot;:&quot;&quot;,&quot;non-dropping-particle&quot;:&quot;&quot;},{&quot;family&quot;:&quot;Ofori-Asenso&quot;,&quot;given&quot;:&quot;Richard&quot;,&quot;parse-names&quot;:false,&quot;dropping-particle&quot;:&quot;&quot;,&quot;non-dropping-particle&quot;:&quot;&quot;},{&quot;family&quot;:&quot;Ogbo&quot;,&quot;given&quot;:&quot;Felix Akpojene&quot;,&quot;parse-names&quot;:false,&quot;dropping-particle&quot;:&quot;&quot;,&quot;non-dropping-particle&quot;:&quot;&quot;},{&quot;family&quot;:&quot;Olagunju&quot;,&quot;given&quot;:&quot;Andrew T.&quot;,&quot;parse-names&quot;:false,&quot;dropping-particle&quot;:&quot;&quot;,&quot;non-dropping-particle&quot;:&quot;&quot;},{&quot;family&quot;:&quot;Olagunju&quot;,&quot;given&quot;:&quot;Tinuke O.&quot;,&quot;parse-names&quot;:false,&quot;dropping-particle&quot;:&quot;&quot;,&quot;non-dropping-particle&quot;:&quot;&quot;},{&quot;family&quot;:&quot;Oren&quot;,&quot;given&quot;:&quot;Eyal&quot;,&quot;parse-names&quot;:false,&quot;dropping-particle&quot;:&quot;&quot;,&quot;non-dropping-particle&quot;:&quot;&quot;},{&quot;family&quot;:&quot;Ortiz&quot;,&quot;given&quot;:&quot;Justin R.&quot;,&quot;parse-names&quot;:false,&quot;dropping-particle&quot;:&quot;&quot;,&quot;non-dropping-particle&quot;:&quot;&quot;},{&quot;family&quot;:&quot;Owolabi&quot;,&quot;given&quot;:&quot;Mayowa O.&quot;,&quot;parse-names&quot;:false,&quot;dropping-particle&quot;:&quot;&quot;,&quot;non-dropping-particle&quot;:&quot;&quot;},{&quot;family&quot;:&quot;DNB&quot;,&quot;given&quot;:&quot;M. P.A.&quot;,&quot;parse-names&quot;:false,&quot;dropping-particle&quot;:&quot;&quot;,&quot;non-dropping-particle&quot;:&quot;&quot;},{&quot;family&quot;:&quot;Pakhale&quot;,&quot;given&quot;:&quot;Smita&quot;,&quot;parse-names&quot;:false,&quot;dropping-particle&quot;:&quot;&quot;,&quot;non-dropping-particle&quot;:&quot;&quot;},{&quot;family&quot;:&quot;Pana&quot;,&quot;given&quot;:&quot;Adrian&quot;,&quot;parse-names&quot;:false,&quot;dropping-particle&quot;:&quot;&quot;,&quot;non-dropping-particle&quot;:&quot;&quot;},{&quot;family&quot;:&quot;Panda-Jonas&quot;,&quot;given&quot;:&quot;Songhomitra&quot;,&quot;parse-names&quot;:false,&quot;dropping-particle&quot;:&quot;&quot;,&quot;non-dropping-particle&quot;:&quot;&quot;},{&quot;family&quot;:&quot;Park&quot;,&quot;given&quot;:&quot;Eun Kee&quot;,&quot;parse-names&quot;:false,&quot;dropping-particle&quot;:&quot;&quot;,&quot;non-dropping-particle&quot;:&quot;&quot;},{&quot;family&quot;:&quot;Pham&quot;,&quot;given&quot;:&quot;Hai Quang&quot;,&quot;parse-names&quot;:false,&quot;dropping-particle&quot;:&quot;&quot;,&quot;non-dropping-particle&quot;:&quot;&quot;},{&quot;family&quot;:&quot;Postma&quot;,&quot;given&quot;:&quot;Maarten J.&quot;,&quot;parse-names&quot;:false,&quot;dropping-particle&quot;:&quot;&quot;,&quot;non-dropping-particle&quot;:&quot;&quot;},{&quot;family&quot;:&quot;Pourjafar&quot;,&quot;given&quot;:&quot;Hadi&quot;,&quot;parse-names&quot;:false,&quot;dropping-particle&quot;:&quot;&quot;,&quot;non-dropping-particle&quot;:&quot;&quot;},{&quot;family&quot;:&quot;Poustchi&quot;,&quot;given&quot;:&quot;Hossein&quot;,&quot;parse-names&quot;:false,&quot;dropping-particle&quot;:&quot;&quot;,&quot;non-dropping-particle&quot;:&quot;&quot;},{&quot;family&quot;:&quot;Radfar&quot;,&quot;given&quot;:&quot;Amir&quot;,&quot;parse-names&quot;:false,&quot;dropping-particle&quot;:&quot;&quot;,&quot;non-dropping-particle&quot;:&quot;&quot;},{&quot;family&quot;:&quot;Rafiei&quot;,&quot;given&quot;:&quot;Alireza&quot;,&quot;parse-names&quot;:false,&quot;dropping-particle&quot;:&quot;&quot;,&quot;non-dropping-particle&quot;:&quot;&quot;},{&quot;family&quot;:&quot;Rahim&quot;,&quot;given&quot;:&quot;Fakher&quot;,&quot;parse-names&quot;:false,&quot;dropping-particle&quot;:&quot;&quot;,&quot;non-dropping-particle&quot;:&quot;&quot;},{&quot;family&quot;:&quot;Rahman&quot;,&quot;given&quot;:&quot;Mohammad Hifz Ur&quot;,&quot;parse-names&quot;:false,&quot;dropping-particle&quot;:&quot;&quot;,&quot;non-dropping-particle&quot;:&quot;&quot;},{&quot;family&quot;:&quot;Rahman&quot;,&quot;given&quot;:&quot;Muhammad Aziz&quot;,&quot;parse-names&quot;:false,&quot;dropping-particle&quot;:&quot;&quot;,&quot;non-dropping-particle&quot;:&quot;&quot;},{&quot;family&quot;:&quot;Rawaf&quot;,&quot;given&quot;:&quot;Salman&quot;,&quot;parse-names&quot;:false,&quot;dropping-particle&quot;:&quot;&quot;,&quot;non-dropping-particle&quot;:&quot;&quot;},{&quot;family&quot;:&quot;Rawaf&quot;,&quot;given&quot;:&quot;David Laith&quot;,&quot;parse-names&quot;:false,&quot;dropping-particle&quot;:&quot;&quot;,&quot;non-dropping-particle&quot;:&quot;&quot;},{&quot;family&quot;:&quot;Rawal&quot;,&quot;given&quot;:&quot;Lal&quot;,&quot;parse-names&quot;:false,&quot;dropping-particle&quot;:&quot;&quot;,&quot;non-dropping-particle&quot;:&quot;&quot;},{&quot;family&quot;:&quot;Reiner&quot;,&quot;given&quot;:&quot;Robert C.&quot;,&quot;parse-names&quot;:false,&quot;dropping-particle&quot;:&quot;&quot;,&quot;non-dropping-particle&quot;:&quot;&quot;},{&quot;family&quot;:&quot;Reitsma&quot;,&quot;given&quot;:&quot;Marissa Bettay&quot;,&quot;parse-names&quot;:false,&quot;dropping-particle&quot;:&quot;&quot;,&quot;non-dropping-particle&quot;:&quot;&quot;},{&quot;family&quot;:&quot;Roever&quot;,&quot;given&quot;:&quot;Leonardo&quot;,&quot;parse-names&quot;:false,&quot;dropping-particle&quot;:&quot;&quot;,&quot;non-dropping-particle&quot;:&quot;&quot;},{&quot;family&quot;:&quot;Ronfani&quot;,&quot;given&quot;:&quot;Luca&quot;,&quot;parse-names&quot;:false,&quot;dropping-particle&quot;:&quot;&quot;,&quot;non-dropping-particle&quot;:&quot;&quot;},{&quot;family&quot;:&quot;Roro&quot;,&quot;given&quot;:&quot;Elias Merdassa&quot;,&quot;parse-names&quot;:false,&quot;dropping-particle&quot;:&quot;&quot;,&quot;non-dropping-particle&quot;:&quot;&quot;},{&quot;family&quot;:&quot;Roshandel&quot;,&quot;given&quot;:&quot;Gholamreza&quot;,&quot;parse-names&quot;:false,&quot;dropping-particle&quot;:&quot;&quot;,&quot;non-dropping-particle&quot;:&quot;&quot;},{&quot;family&quot;:&quot;Rudd&quot;,&quot;given&quot;:&quot;Kristina E.&quot;,&quot;parse-names&quot;:false,&quot;dropping-particle&quot;:&quot;&quot;,&quot;non-dropping-particle&quot;:&quot;&quot;},{&quot;family&quot;:&quot;Sabde&quot;,&quot;given&quot;:&quot;Yogesh Damodar&quot;,&quot;parse-names&quot;:false,&quot;dropping-particle&quot;:&quot;&quot;,&quot;non-dropping-particle&quot;:&quot;&quot;},{&quot;family&quot;:&quot;Sabour&quot;,&quot;given&quot;:&quot;Siamak&quot;,&quot;parse-names&quot;:false,&quot;dropping-particle&quot;:&quot;&quot;,&quot;non-dropping-particle&quot;:&quot;&quot;},{&quot;family&quot;:&quot;Saddik&quot;,&quot;given&quot;:&quot;Basema&quot;,&quot;parse-names&quot;:false,&quot;dropping-particle&quot;:&quot;&quot;,&quot;non-dropping-particle&quot;:&quot;&quot;},{&quot;family&quot;:&quot;Safari&quot;,&quot;given&quot;:&quot;Saeed&quot;,&quot;parse-names&quot;:false,&quot;dropping-particle&quot;:&quot;&quot;,&quot;non-dropping-particle&quot;:&quot;&quot;},{&quot;family&quot;:&quot;Saleem&quot;,&quot;given&quot;:&quot;Komal&quot;,&quot;parse-names&quot;:false,&quot;dropping-particle&quot;:&quot;&quot;,&quot;non-dropping-particle&quot;:&quot;&quot;},{&quot;family&quot;:&quot;Samy&quot;,&quot;given&quot;:&quot;Abdallah M.&quot;,&quot;parse-names&quot;:false,&quot;dropping-particle&quot;:&quot;&quot;,&quot;non-dropping-particle&quot;:&quot;&quot;},{&quot;family&quot;:&quot;Santric-Milicevic&quot;,&quot;given&quot;:&quot;Milena M.&quot;,&quot;parse-names&quot;:false,&quot;dropping-particle&quot;:&quot;&quot;,&quot;non-dropping-particle&quot;:&quot;&quot;},{&quot;family&quot;:&quot;Sao Jose&quot;,&quot;given&quot;:&quot;Bruno Piassi&quot;,&quot;parse-names&quot;:false,&quot;dropping-particle&quot;:&quot;&quot;,&quot;non-dropping-particle&quot;:&quot;&quot;},{&quot;family&quot;:&quot;Sartorius&quot;,&quot;given&quot;:&quot;Benn&quot;,&quot;parse-names&quot;:false,&quot;dropping-particle&quot;:&quot;&quot;,&quot;non-dropping-particle&quot;:&quot;&quot;},{&quot;family&quot;:&quot;Satpathy&quot;,&quot;given&quot;:&quot;Maheswar&quot;,&quot;parse-names&quot;:false,&quot;dropping-particle&quot;:&quot;&quot;,&quot;non-dropping-particle&quot;:&quot;&quot;},{&quot;family&quot;:&quot;Savic&quot;,&quot;given&quot;:&quot;Miloje&quot;,&quot;parse-names&quot;:false,&quot;dropping-particle&quot;:&quot;&quot;,&quot;non-dropping-particle&quot;:&quot;&quot;},{&quot;family&quot;:&quot;Sawhney&quot;,&quot;given&quot;:&quot;Monika&quot;,&quot;parse-names&quot;:false,&quot;dropping-particle&quot;:&quot;&quot;,&quot;non-dropping-particle&quot;:&quot;&quot;},{&quot;family&quot;:&quot;Sepanlou&quot;,&quot;given&quot;:&quot;Sadaf G.&quot;,&quot;parse-names&quot;:false,&quot;dropping-particle&quot;:&quot;&quot;,&quot;non-dropping-particle&quot;:&quot;&quot;},{&quot;family&quot;:&quot;Shaikh&quot;,&quot;given&quot;:&quot;Masood Ali&quot;,&quot;parse-names&quot;:false,&quot;dropping-particle&quot;:&quot;&quot;,&quot;non-dropping-particle&quot;:&quot;&quot;},{&quot;family&quot;:&quot;Sheikh&quot;,&quot;given&quot;:&quot;Aziz&quot;,&quot;parse-names&quot;:false,&quot;dropping-particle&quot;:&quot;&quot;,&quot;non-dropping-particle&quot;:&quot;&quot;},{&quot;family&quot;:&quot;Shigematsu&quot;,&quot;given&quot;:&quot;Mika&quot;,&quot;parse-names&quot;:false,&quot;dropping-particle&quot;:&quot;&quot;,&quot;non-dropping-particle&quot;:&quot;&quot;},{&quot;family&quot;:&quot;Shirkoohi&quot;,&quot;given&quot;:&quot;Reza&quot;,&quot;parse-names&quot;:false,&quot;dropping-particle&quot;:&quot;&quot;,&quot;non-dropping-particle&quot;:&quot;&quot;},{&quot;family&quot;:&quot;Si&quot;,&quot;given&quot;:&quot;Si&quot;,&quot;parse-names&quot;:false,&quot;dropping-particle&quot;:&quot;&quot;,&quot;non-dropping-particle&quot;:&quot;&quot;},{&quot;family&quot;:&quot;Siabani&quot;,&quot;given&quot;:&quot;Soraya&quot;,&quot;parse-names&quot;:false,&quot;dropping-particle&quot;:&quot;&quot;,&quot;non-dropping-particle&quot;:&quot;&quot;},{&quot;family&quot;:&quot;Singh&quot;,&quot;given&quot;:&quot;Virendra&quot;,&quot;parse-names&quot;:false,&quot;dropping-particle&quot;:&quot;&quot;,&quot;non-dropping-particle&quot;:&quot;&quot;},{&quot;family&quot;:&quot;Singh&quot;,&quot;given&quot;:&quot;Jasvinder A.&quot;,&quot;parse-names&quot;:false,&quot;dropping-particle&quot;:&quot;&quot;,&quot;non-dropping-particle&quot;:&quot;&quot;},{&quot;family&quot;:&quot;Soljak&quot;,&quot;given&quot;:&quot;Michael&quot;,&quot;parse-names&quot;:false,&quot;dropping-particle&quot;:&quot;&quot;,&quot;non-dropping-particle&quot;:&quot;&quot;},{&quot;family&quot;:&quot;Somayaji&quot;,&quot;given&quot;:&quot;Ranjani&quot;,&quot;parse-names&quot;:false,&quot;dropping-particle&quot;:&quot;&quot;,&quot;non-dropping-particle&quot;:&quot;&quot;},{&quot;family&quot;:&quot;Soofi&quot;,&quot;given&quot;:&quot;Moslem&quot;,&quot;parse-names&quot;:false,&quot;dropping-particle&quot;:&quot;&quot;,&quot;non-dropping-particle&quot;:&quot;&quot;},{&quot;family&quot;:&quot;Soyiri&quot;,&quot;given&quot;:&quot;Ireneous N.&quot;,&quot;parse-names&quot;:false,&quot;dropping-particle&quot;:&quot;&quot;,&quot;non-dropping-particle&quot;:&quot;&quot;},{&quot;family&quot;:&quot;Tefera&quot;,&quot;given&quot;:&quot;Yonatal Mesfin&quot;,&quot;parse-names&quot;:false,&quot;dropping-particle&quot;:&quot;&quot;,&quot;non-dropping-particle&quot;:&quot;&quot;},{&quot;family&quot;:&quot;Temsah&quot;,&quot;given&quot;:&quot;Mohamad Hani&quot;,&quot;parse-names&quot;:false,&quot;dropping-particle&quot;:&quot;&quot;,&quot;non-dropping-particle&quot;:&quot;&quot;},{&quot;family&quot;:&quot;Tesfay&quot;,&quot;given&quot;:&quot;Berhe Etsay&quot;,&quot;parse-names&quot;:false,&quot;dropping-particle&quot;:&quot;&quot;,&quot;non-dropping-particle&quot;:&quot;&quot;},{&quot;family&quot;:&quot;Thakur&quot;,&quot;given&quot;:&quot;Jarnail Singh&quot;,&quot;parse-names&quot;:false,&quot;dropping-particle&quot;:&quot;&quot;,&quot;non-dropping-particle&quot;:&quot;&quot;},{&quot;family&quot;:&quot;Toma&quot;,&quot;given&quot;:&quot;Alemayehu Toma&quot;,&quot;parse-names&quot;:false,&quot;dropping-particle&quot;:&quot;&quot;,&quot;non-dropping-particle&quot;:&quot;&quot;},{&quot;family&quot;:&quot;Tortajada-Girbés&quot;,&quot;given&quot;:&quot;Miguel&quot;,&quot;parse-names&quot;:false,&quot;dropping-particle&quot;:&quot;&quot;,&quot;non-dropping-particle&quot;:&quot;&quot;},{&quot;family&quot;:&quot;Tran&quot;,&quot;given&quot;:&quot;Khanh Bao&quot;,&quot;parse-names&quot;:false,&quot;dropping-particle&quot;:&quot;&quot;,&quot;non-dropping-particle&quot;:&quot;&quot;},{&quot;family&quot;:&quot;Tran&quot;,&quot;given&quot;:&quot;Bach Xuan&quot;,&quot;parse-names&quot;:false,&quot;dropping-particle&quot;:&quot;&quot;,&quot;non-dropping-particle&quot;:&quot;&quot;},{&quot;family&quot;:&quot;Tudor Car&quot;,&quot;given&quot;:&quot;Lorainne&quot;,&quot;parse-names&quot;:false,&quot;dropping-particle&quot;:&quot;&quot;,&quot;non-dropping-particle&quot;:&quot;&quot;},{&quot;family&quot;:&quot;Ullah&quot;,&quot;given&quot;:&quot;Irfan&quot;,&quot;parse-names&quot;:false,&quot;dropping-particle&quot;:&quot;&quot;,&quot;non-dropping-particle&quot;:&quot;&quot;},{&quot;family&quot;:&quot;Vacante&quot;,&quot;given&quot;:&quot;Marco&quot;,&quot;parse-names&quot;:false,&quot;dropping-particle&quot;:&quot;&quot;,&quot;non-dropping-particle&quot;:&quot;&quot;},{&quot;family&quot;:&quot;Valdez&quot;,&quot;given&quot;:&quot;Pascual R.&quot;,&quot;parse-names&quot;:false,&quot;dropping-particle&quot;:&quot;&quot;,&quot;non-dropping-particle&quot;:&quot;&quot;},{&quot;family&quot;:&quot;Boven&quot;,&quot;given&quot;:&quot;Job F.M.&quot;,&quot;parse-names&quot;:false,&quot;dropping-particle&quot;:&quot;&quot;,&quot;non-dropping-particle&quot;:&quot;van&quot;},{&quot;family&quot;:&quot;Vasankari&quot;,&quot;given&quot;:&quot;Tommi Juhani&quot;,&quot;parse-names&quot;:false,&quot;dropping-particle&quot;:&quot;&quot;,&quot;non-dropping-particle&quot;:&quot;&quot;},{&quot;family&quot;:&quot;Veisani&quot;,&quot;given&quot;:&quot;Yousef&quot;,&quot;parse-names&quot;:false,&quot;dropping-particle&quot;:&quot;&quot;,&quot;non-dropping-particle&quot;:&quot;&quot;},{&quot;family&quot;:&quot;Violante&quot;,&quot;given&quot;:&quot;Francesco S.&quot;,&quot;parse-names&quot;:false,&quot;dropping-particle&quot;:&quot;&quot;,&quot;non-dropping-particle&quot;:&quot;&quot;},{&quot;family&quot;:&quot;Wagner&quot;,&quot;given&quot;:&quot;Gregory R.&quot;,&quot;parse-names&quot;:false,&quot;dropping-particle&quot;:&quot;&quot;,&quot;non-dropping-particle&quot;:&quot;&quot;},{&quot;family&quot;:&quot;Westerman&quot;,&quot;given&quot;:&quot;Ronny&quot;,&quot;parse-names&quot;:false,&quot;dropping-particle&quot;:&quot;&quot;,&quot;non-dropping-particle&quot;:&quot;&quot;},{&quot;family&quot;:&quot;Wolfe&quot;,&quot;given&quot;:&quot;Charles D.A.&quot;,&quot;parse-names&quot;:false,&quot;dropping-particle&quot;:&quot;&quot;,&quot;non-dropping-particle&quot;:&quot;&quot;},{&quot;family&quot;:&quot;Wondafrash&quot;,&quot;given&quot;:&quot;Dawit Zewdu&quot;,&quot;parse-names&quot;:false,&quot;dropping-particle&quot;:&quot;&quot;,&quot;non-dropping-particle&quot;:&quot;&quot;},{&quot;family&quot;:&quot;Wondmieneh&quot;,&quot;given&quot;:&quot;Adam Belay&quot;,&quot;parse-names&quot;:false,&quot;dropping-particle&quot;:&quot;&quot;,&quot;non-dropping-particle&quot;:&quot;&quot;},{&quot;family&quot;:&quot;Yonemoto&quot;,&quot;given&quot;:&quot;Naohiro&quot;,&quot;parse-names&quot;:false,&quot;dropping-particle&quot;:&quot;&quot;,&quot;non-dropping-particle&quot;:&quot;&quot;},{&quot;family&quot;:&quot;Yoon&quot;,&quot;given&quot;:&quot;Seok Jun&quot;,&quot;parse-names&quot;:false,&quot;dropping-particle&quot;:&quot;&quot;,&quot;non-dropping-particle&quot;:&quot;&quot;},{&quot;family&quot;:&quot;Zaidi&quot;,&quot;given&quot;:&quot;Zoubida&quot;,&quot;parse-names&quot;:false,&quot;dropping-particle&quot;:&quot;&quot;,&quot;non-dropping-particle&quot;:&quot;&quot;},{&quot;family&quot;:&quot;Zamani&quot;,&quot;given&quot;:&quot;Mohammad&quot;,&quot;parse-names&quot;:false,&quot;dropping-particle&quot;:&quot;&quot;,&quot;non-dropping-particle&quot;:&quot;&quot;},{&quot;family&quot;:&quot;Zar&quot;,&quot;given&quot;:&quot;Heather J.&quot;,&quot;parse-names&quot;:false,&quot;dropping-particle&quot;:&quot;&quot;,&quot;non-dropping-particle&quot;:&quot;&quot;},{&quot;family&quot;:&quot;Zhang&quot;,&quot;given&quot;:&quot;Yunquan&quot;,&quot;parse-names&quot;:false,&quot;dropping-particle&quot;:&quot;&quot;,&quot;non-dropping-particle&quot;:&quot;&quot;},{&quot;family&quot;:&quot;Vos&quot;,&quot;given&quot;:&quot;Theo&quot;,&quot;parse-names&quot;:false,&quot;dropping-particle&quot;:&quot;&quot;,&quot;non-dropping-particle&quot;:&quot;&quot;}],&quot;container-title&quot;:&quot;The Lancet. Respiratory Medicine&quot;,&quot;container-title-short&quot;:&quot;Lancet Respir Med&quot;,&quot;accessed&quot;:{&quot;date-parts&quot;:[[2024,6,30]]},&quot;DOI&quot;:&quot;10.1016/S2213-2600(20)30105-3&quot;,&quot;ISSN&quot;:&quot;22132619&quot;,&quot;PMID&quot;:&quot;32526187&quot;,&quot;URL&quot;:&quot;/pmc/articles/PMC7284317/&quot;,&quot;issued&quot;:{&quot;date-parts&quot;:[[2020,6,1]]},&quot;page&quot;:&quot;585&quot;,&quot;abstract&quot;:&quot;Background: Previous attempts to characterise the burden of chronic respiratory diseases have focused only on specific disease conditions, such as chronic obstructive pulmonary disease (COPD) or asthma. In this study, we aimed to characterise the burden of chronic respiratory diseases globally, providing a comprehensive and up-to-date analysis on geographical and time trends from 1990 to 2017. Methods: Using data from the Global Burden of Diseases, Injuries, and Risk Factors Study (GBD) 2017, we estimated the prevalence, morbidity, and mortality attributable to chronic respiratory diseases through an analysis of deaths, disability-adjusted life-years (DALYs), and years of life lost (YLL) by GBD super-region, from 1990 to 2017, stratified by age and sex. Specific diseases analysed included asthma, COPD, interstitial lung disease and pulmonary sarcoidosis, pneumoconiosis, and other chronic respiratory diseases. We also assessed the contribution of risk factors (smoking, second-hand smoke, ambient particulate matter and ozone pollution, household air pollution from solid fuels, and occupational risks) to chronic respiratory disease-attributable DALYs. Findings: In 2017, 544·9 million people (95% uncertainty interval [UI] 506·9–584·8) worldwide had a chronic respiratory disease, representing an increase of 39·8% compared with 1990. Chronic respiratory disease prevalence showed wide variability across GBD super-regions, with the highest prevalence among both males and females in high-income regions, and the lowest prevalence in sub-Saharan Africa and south Asia. The age-sex-specific prevalence of each chronic respiratory disease in 2017 was also highly variable geographically. Chronic respiratory diseases were the third leading cause of death in 2017 (7·0% [95% UI 6·8–7·2] of all deaths), behind cardiovascular diseases and neoplasms. Deaths due to chronic respiratory diseases numbered 3 914 196 (95% UI 3 790 578–4 044 819) in 2017, an increase of 18·0% since 1990, while total DALYs increased by 13·3%. However, when accounting for ageing and population growth, declines were observed in age-standardised prevalence (14·3% decrease), age-standardised death rates (42·6%), and age-standardised DALY rates (38·2%). In males and females, most chronic respiratory disease-attributable deaths and DALYs were due to COPD. In regional analyses, mortality rates from chronic respiratory diseases were greatest in south Asia and lowest in sub-Saharan Africa, also across both sexes. Notably, although absolute prevalence was lower in south Asia than in most other super-regions, YLLs due to chronic respiratory diseases across the subcontinent were the highest in the world. Death rates due to interstitial lung disease and pulmonary sarcoidosis were greater than those due to pneumoconiosis in all super-regions. Smoking was the leading risk factor for chronic respiratory disease-related disability across all regions for men. Among women, household air pollution from solid fuels was the predominant risk factor for chronic respiratory diseases in south Asia and sub-Saharan Africa, while ambient particulate matter represented the leading risk factor in southeast Asia, east Asia, and Oceania, and in the Middle East and north Africa super-region. Interpretation: Our study shows that chronic respiratory diseases remain a leading cause of death and disability worldwide, with growth in absolute numbers but sharp declines in several age-standardised estimators since 1990. Premature mortality from chronic respiratory diseases seems to be highest in regions with less-resourced health systems on a per-capita basis. Funding: Bill &amp; Melinda Gates Foundation.&quot;,&quot;publisher&quot;:&quot;Elsevier&quot;,&quot;issue&quot;:&quot;6&quot;,&quot;volume&quot;:&quot;8&quot;},&quot;isTemporary&quot;:false},{&quot;id&quot;:&quot;8e9b8bb6-4919-3057-8071-a2c62a0670ee&quot;,&quot;itemData&quot;:{&quot;type&quot;:&quot;article-journal&quot;,&quot;id&quot;:&quot;8e9b8bb6-4919-3057-8071-a2c62a0670ee&quot;,&quot;title&quot;:&quot;Global burden of chronic respiratory diseases and risk factors, 1990–2019: an update from the Global Burden of Disease Study 2019&quot;,&quot;author&quot;:[{&quot;family&quot;:&quot;Momtazmanesh&quot;,&quot;given&quot;:&quot;Sara&quot;,&quot;parse-names&quot;:false,&quot;dropping-particle&quot;:&quot;&quot;,&quot;non-dropping-particle&quot;:&quot;&quot;},{&quot;family&quot;:&quot;Moghaddam&quot;,&quot;given&quot;:&quot;Sahar Saeedi&quot;,&quot;parse-names&quot;:false,&quot;dropping-particle&quot;:&quot;&quot;,&quot;non-dropping-particle&quot;:&quot;&quot;},{&quot;family&quot;:&quot;Ghamari&quot;,&quot;given&quot;:&quot;Seyyed Hadi&quot;,&quot;parse-names&quot;:false,&quot;dropping-particle&quot;:&quot;&quot;,&quot;non-dropping-particle&quot;:&quot;&quot;},{&quot;family&quot;:&quot;Rad&quot;,&quot;given&quot;:&quot;Elaheh Malakan&quot;,&quot;parse-names&quot;:false,&quot;dropping-particle&quot;:&quot;&quot;,&quot;non-dropping-particle&quot;:&quot;&quot;},{&quot;family&quot;:&quot;Rezaei&quot;,&quot;given&quot;:&quot;Negar&quot;,&quot;parse-names&quot;:false,&quot;dropping-particle&quot;:&quot;&quot;,&quot;non-dropping-particle&quot;:&quot;&quot;},{&quot;family&quot;:&quot;Shobeiri&quot;,&quot;given&quot;:&quot;Parnian&quot;,&quot;parse-names&quot;:false,&quot;dropping-particle&quot;:&quot;&quot;,&quot;non-dropping-particle&quot;:&quot;&quot;},{&quot;family&quot;:&quot;Aali&quot;,&quot;given&quot;:&quot;Amirali&quot;,&quot;parse-names&quot;:false,&quot;dropping-particle&quot;:&quot;&quot;,&quot;non-dropping-particle&quot;:&quot;&quot;},{&quot;family&quot;:&quot;Abbasi-Kangevari&quot;,&quot;given&quot;:&quot;Mohsen&quot;,&quot;parse-names&quot;:false,&quot;dropping-particle&quot;:&quot;&quot;,&quot;non-dropping-particle&quot;:&quot;&quot;},{&quot;family&quot;:&quot;Abbasi-Kangevari&quot;,&quot;given&quot;:&quot;Zeinab&quot;,&quot;parse-names&quot;:false,&quot;dropping-particle&quot;:&quot;&quot;,&quot;non-dropping-particle&quot;:&quot;&quot;},{&quot;family&quot;:&quot;Abdelmasseh&quot;,&quot;given&quot;:&quot;Michael&quot;,&quot;parse-names&quot;:false,&quot;dropping-particle&quot;:&quot;&quot;,&quot;non-dropping-particle&quot;:&quot;&quot;},{&quot;family&quot;:&quot;Abdoun&quot;,&quot;given&quot;:&quot;Meriem&quot;,&quot;parse-names&quot;:false,&quot;dropping-particle&quot;:&quot;&quot;,&quot;non-dropping-particle&quot;:&quot;&quot;},{&quot;family&quot;:&quot;Abdulah&quot;,&quot;given&quot;:&quot;Deldar Morad&quot;,&quot;parse-names&quot;:false,&quot;dropping-particle&quot;:&quot;&quot;,&quot;non-dropping-particle&quot;:&quot;&quot;},{&quot;family&quot;:&quot;Md Abdullah&quot;,&quot;given&quot;:&quot;Abu Yousuf&quot;,&quot;parse-names&quot;:false,&quot;dropping-particle&quot;:&quot;&quot;,&quot;non-dropping-particle&quot;:&quot;&quot;},{&quot;family&quot;:&quot;Abedi&quot;,&quot;given&quot;:&quot;Aidin&quot;,&quot;parse-names&quot;:false,&quot;dropping-particle&quot;:&quot;&quot;,&quot;non-dropping-particle&quot;:&quot;&quot;},{&quot;family&quot;:&quot;Abolhassani&quot;,&quot;given&quot;:&quot;Hassan&quot;,&quot;parse-names&quot;:false,&quot;dropping-particle&quot;:&quot;&quot;,&quot;non-dropping-particle&quot;:&quot;&quot;},{&quot;family&quot;:&quot;Abrehdari-Tafreshi&quot;,&quot;given&quot;:&quot;Zahra&quot;,&quot;parse-names&quot;:false,&quot;dropping-particle&quot;:&quot;&quot;,&quot;non-dropping-particle&quot;:&quot;&quot;},{&quot;family&quot;:&quot;Achappa&quot;,&quot;given&quot;:&quot;Basavaprabhu&quot;,&quot;parse-names&quot;:false,&quot;dropping-particle&quot;:&quot;&quot;,&quot;non-dropping-particle&quot;:&quot;&quot;},{&quot;family&quot;:&quot;Adane&quot;,&quot;given&quot;:&quot;Denberu Eshetie Adane&quot;,&quot;parse-names&quot;:false,&quot;dropping-particle&quot;:&quot;&quot;,&quot;non-dropping-particle&quot;:&quot;&quot;},{&quot;family&quot;:&quot;Adane&quot;,&quot;given&quot;:&quot;Tigist Demssew&quot;,&quot;parse-names&quot;:false,&quot;dropping-particle&quot;:&quot;&quot;,&quot;non-dropping-particle&quot;:&quot;&quot;},{&quot;family&quot;:&quot;Addo&quot;,&quot;given&quot;:&quot;Isaac Yeboah&quot;,&quot;parse-names&quot;:false,&quot;dropping-particle&quot;:&quot;&quot;,&quot;non-dropping-particle&quot;:&quot;&quot;},{&quot;family&quot;:&quot;Adnan&quot;,&quot;given&quot;:&quot;Mohammad&quot;,&quot;parse-names&quot;:false,&quot;dropping-particle&quot;:&quot;&quot;,&quot;non-dropping-particle&quot;:&quot;&quot;},{&quot;family&quot;:&quot;Adnani&quot;,&quot;given&quot;:&quot;Qorinah Estiningtyas Sakilah&quot;,&quot;parse-names&quot;:false,&quot;dropping-particle&quot;:&quot;&quot;,&quot;non-dropping-particle&quot;:&quot;&quot;},{&quot;family&quot;:&quot;Ahmad&quot;,&quot;given&quot;:&quot;Sajjad&quot;,&quot;parse-names&quot;:false,&quot;dropping-particle&quot;:&quot;&quot;,&quot;non-dropping-particle&quot;:&quot;&quot;},{&quot;family&quot;:&quot;Ahmadi&quot;,&quot;given&quot;:&quot;Ali&quot;,&quot;parse-names&quot;:false,&quot;dropping-particle&quot;:&quot;&quot;,&quot;non-dropping-particle&quot;:&quot;&quot;},{&quot;family&quot;:&quot;Ahmadi&quot;,&quot;given&quot;:&quot;Keivan&quot;,&quot;parse-names&quot;:false,&quot;dropping-particle&quot;:&quot;&quot;,&quot;non-dropping-particle&quot;:&quot;&quot;},{&quot;family&quot;:&quot;Ahmed&quot;,&quot;given&quot;:&quot;Ali&quot;,&quot;parse-names&quot;:false,&quot;dropping-particle&quot;:&quot;&quot;,&quot;non-dropping-particle&quot;:&quot;&quot;},{&quot;family&quot;:&quot;Ahmed&quot;,&quot;given&quot;:&quot;Ayman&quot;,&quot;parse-names&quot;:false,&quot;dropping-particle&quot;:&quot;&quot;,&quot;non-dropping-particle&quot;:&quot;&quot;},{&quot;family&quot;:&quot;Rashid&quot;,&quot;given&quot;:&quot;Tarik Ahmed&quot;,&quot;parse-names&quot;:false,&quot;dropping-particle&quot;:&quot;&quot;,&quot;non-dropping-particle&quot;:&quot;&quot;},{&quot;family&quot;:&quot;Hamad&quot;,&quot;given&quot;:&quot;Hanadi&quot;,&quot;parse-names&quot;:false,&quot;dropping-particle&quot;:&quot;&quot;,&quot;non-dropping-particle&quot;:&quot;Al&quot;},{&quot;family&quot;:&quot;Alahdab&quot;,&quot;given&quot;:&quot;Fares&quot;,&quot;parse-names&quot;:false,&quot;dropping-particle&quot;:&quot;&quot;,&quot;non-dropping-particle&quot;:&quot;&quot;},{&quot;family&quot;:&quot;Alemayehu&quot;,&quot;given&quot;:&quot;Astawus&quot;,&quot;parse-names&quot;:false,&quot;dropping-particle&quot;:&quot;&quot;,&quot;non-dropping-particle&quot;:&quot;&quot;},{&quot;family&quot;:&quot;Alif&quot;,&quot;given&quot;:&quot;Sheikh Mohammad&quot;,&quot;parse-names&quot;:false,&quot;dropping-particle&quot;:&quot;&quot;,&quot;non-dropping-particle&quot;:&quot;&quot;},{&quot;family&quot;:&quot;Aljunid&quot;,&quot;given&quot;:&quot;Syed Mohamed&quot;,&quot;parse-names&quot;:false,&quot;dropping-particle&quot;:&quot;&quot;,&quot;non-dropping-particle&quot;:&quot;&quot;},{&quot;family&quot;:&quot;Almustanyir&quot;,&quot;given&quot;:&quot;Sami&quot;,&quot;parse-names&quot;:false,&quot;dropping-particle&quot;:&quot;&quot;,&quot;non-dropping-particle&quot;:&quot;&quot;},{&quot;family&quot;:&quot;Altirkawi&quot;,&quot;given&quot;:&quot;Khalid A.&quot;,&quot;parse-names&quot;:false,&quot;dropping-particle&quot;:&quot;&quot;,&quot;non-dropping-particle&quot;:&quot;&quot;},{&quot;family&quot;:&quot;Alvis-Guzman&quot;,&quot;given&quot;:&quot;Nelson&quot;,&quot;parse-names&quot;:false,&quot;dropping-particle&quot;:&quot;&quot;,&quot;non-dropping-particle&quot;:&quot;&quot;},{&quot;family&quot;:&quot;Dehkordi&quot;,&quot;given&quot;:&quot;Javad Aminian&quot;,&quot;parse-names&quot;:false,&quot;dropping-particle&quot;:&quot;&quot;,&quot;non-dropping-particle&quot;:&quot;&quot;},{&quot;family&quot;:&quot;Amir-Behghadami&quot;,&quot;given&quot;:&quot;Mehrdad&quot;,&quot;parse-names&quot;:false,&quot;dropping-particle&quot;:&quot;&quot;,&quot;non-dropping-particle&quot;:&quot;&quot;},{&quot;family&quot;:&quot;Ancuceanu&quot;,&quot;given&quot;:&quot;Robert&quot;,&quot;parse-names&quot;:false,&quot;dropping-particle&quot;:&quot;&quot;,&quot;non-dropping-particle&quot;:&quot;&quot;},{&quot;family&quot;:&quot;Andrei&quot;,&quot;given&quot;:&quot;Catalina Liliana&quot;,&quot;parse-names&quot;:false,&quot;dropping-particle&quot;:&quot;&quot;,&quot;non-dropping-particle&quot;:&quot;&quot;},{&quot;family&quot;:&quot;Andrei&quot;,&quot;given&quot;:&quot;Tudorel&quot;,&quot;parse-names&quot;:false,&quot;dropping-particle&quot;:&quot;&quot;,&quot;non-dropping-particle&quot;:&quot;&quot;},{&quot;family&quot;:&quot;Antony&quot;,&quot;given&quot;:&quot;Catherine M.&quot;,&quot;parse-names&quot;:false,&quot;dropping-particle&quot;:&quot;&quot;,&quot;non-dropping-particle&quot;:&quot;&quot;},{&quot;family&quot;:&quot;Anyasodor&quot;,&quot;given&quot;:&quot;Anayochukwu Edward&quot;,&quot;parse-names&quot;:false,&quot;dropping-particle&quot;:&quot;&quot;,&quot;non-dropping-particle&quot;:&quot;&quot;},{&quot;family&quot;:&quot;Arabloo&quot;,&quot;given&quot;:&quot;Jalal&quot;,&quot;parse-names&quot;:false,&quot;dropping-particle&quot;:&quot;&quot;,&quot;non-dropping-particle&quot;:&quot;&quot;},{&quot;family&quot;:&quot;Arulappan&quot;,&quot;given&quot;:&quot;Judie&quot;,&quot;parse-names&quot;:false,&quot;dropping-particle&quot;:&quot;&quot;,&quot;non-dropping-particle&quot;:&quot;&quot;},{&quot;family&quot;:&quot;Ashraf&quot;,&quot;given&quot;:&quot;Tahira&quot;,&quot;parse-names&quot;:false,&quot;dropping-particle&quot;:&quot;&quot;,&quot;non-dropping-particle&quot;:&quot;&quot;},{&quot;family&quot;:&quot;Athari&quot;,&quot;given&quot;:&quot;Seyyed Shamsadin&quot;,&quot;parse-names&quot;:false,&quot;dropping-particle&quot;:&quot;&quot;,&quot;non-dropping-particle&quot;:&quot;&quot;},{&quot;family&quot;:&quot;Attia&quot;,&quot;given&quot;:&quot;Engi F.&quot;,&quot;parse-names&quot;:false,&quot;dropping-particle&quot;:&quot;&quot;,&quot;non-dropping-particle&quot;:&quot;&quot;},{&quot;family&quot;:&quot;Ayele&quot;,&quot;given&quot;:&quot;Meshesha Tsegazeab&quot;,&quot;parse-names&quot;:false,&quot;dropping-particle&quot;:&quot;&quot;,&quot;non-dropping-particle&quot;:&quot;&quot;},{&quot;family&quot;:&quot;Azadnajafabad&quot;,&quot;given&quot;:&quot;Sina&quot;,&quot;parse-names&quot;:false,&quot;dropping-particle&quot;:&quot;&quot;,&quot;non-dropping-particle&quot;:&quot;&quot;},{&quot;family&quot;:&quot;Babu&quot;,&quot;given&quot;:&quot;Abraham Samuel&quot;,&quot;parse-names&quot;:false,&quot;dropping-particle&quot;:&quot;&quot;,&quot;non-dropping-particle&quot;:&quot;&quot;},{&quot;family&quot;:&quot;Bagherieh&quot;,&quot;given&quot;:&quot;Sara&quot;,&quot;parse-names&quot;:false,&quot;dropping-particle&quot;:&quot;&quot;,&quot;non-dropping-particle&quot;:&quot;&quot;},{&quot;family&quot;:&quot;Baltatu&quot;,&quot;given&quot;:&quot;Ovidiu Constantin&quot;,&quot;parse-names&quot;:false,&quot;dropping-particle&quot;:&quot;&quot;,&quot;non-dropping-particle&quot;:&quot;&quot;},{&quot;family&quot;:&quot;Banach&quot;,&quot;given&quot;:&quot;MacIej&quot;,&quot;parse-names&quot;:false,&quot;dropping-particle&quot;:&quot;&quot;,&quot;non-dropping-particle&quot;:&quot;&quot;},{&quot;family&quot;:&quot;Bardhan&quot;,&quot;given&quot;:&quot;Mainak&quot;,&quot;parse-names&quot;:false,&quot;dropping-particle&quot;:&quot;&quot;,&quot;non-dropping-particle&quot;:&quot;&quot;},{&quot;family&quot;:&quot;Barone-Adesi&quot;,&quot;given&quot;:&quot;Francesco&quot;,&quot;parse-names&quot;:false,&quot;dropping-particle&quot;:&quot;&quot;,&quot;non-dropping-particle&quot;:&quot;&quot;},{&quot;family&quot;:&quot;Barrow&quot;,&quot;given&quot;:&quot;Amadou&quot;,&quot;parse-names&quot;:false,&quot;dropping-particle&quot;:&quot;&quot;,&quot;non-dropping-particle&quot;:&quot;&quot;},{&quot;family&quot;:&quot;Basu&quot;,&quot;given&quot;:&quot;Saurav&quot;,&quot;parse-names&quot;:false,&quot;dropping-particle&quot;:&quot;&quot;,&quot;non-dropping-particle&quot;:&quot;&quot;},{&quot;family&quot;:&quot;Bayileyegn&quot;,&quot;given&quot;:&quot;Nebiyou Simegnew&quot;,&quot;parse-names&quot;:false,&quot;dropping-particle&quot;:&quot;&quot;,&quot;non-dropping-particle&quot;:&quot;&quot;},{&quot;family&quot;:&quot;Bensenor&quot;,&quot;given&quot;:&quot;Isabela M.&quot;,&quot;parse-names&quot;:false,&quot;dropping-particle&quot;:&quot;&quot;,&quot;non-dropping-particle&quot;:&quot;&quot;},{&quot;family&quot;:&quot;Bhardwaj&quot;,&quot;given&quot;:&quot;Nikha&quot;,&quot;parse-names&quot;:false,&quot;dropping-particle&quot;:&quot;&quot;,&quot;non-dropping-particle&quot;:&quot;&quot;},{&quot;family&quot;:&quot;Bhardwaj&quot;,&quot;given&quot;:&quot;Pankaj&quot;,&quot;parse-names&quot;:false,&quot;dropping-particle&quot;:&quot;&quot;,&quot;non-dropping-particle&quot;:&quot;&quot;},{&quot;family&quot;:&quot;Bhat&quot;,&quot;given&quot;:&quot;Ajay Nagesh&quot;,&quot;parse-names&quot;:false,&quot;dropping-particle&quot;:&quot;&quot;,&quot;non-dropping-particle&quot;:&quot;&quot;},{&quot;family&quot;:&quot;Bhattacharyya&quot;,&quot;given&quot;:&quot;Krittika&quot;,&quot;parse-names&quot;:false,&quot;dropping-particle&quot;:&quot;&quot;,&quot;non-dropping-particle&quot;:&quot;&quot;},{&quot;family&quot;:&quot;Bouaoud&quot;,&quot;given&quot;:&quot;Souad&quot;,&quot;parse-names&quot;:false,&quot;dropping-particle&quot;:&quot;&quot;,&quot;non-dropping-particle&quot;:&quot;&quot;},{&quot;family&quot;:&quot;Braithwaite&quot;,&quot;given&quot;:&quot;Dejana&quot;,&quot;parse-names&quot;:false,&quot;dropping-particle&quot;:&quot;&quot;,&quot;non-dropping-particle&quot;:&quot;&quot;},{&quot;family&quot;:&quot;Brauer&quot;,&quot;given&quot;:&quot;Michael&quot;,&quot;parse-names&quot;:false,&quot;dropping-particle&quot;:&quot;&quot;,&quot;non-dropping-particle&quot;:&quot;&quot;},{&quot;family&quot;:&quot;Butt&quot;,&quot;given&quot;:&quot;Muhammad Hammad&quot;,&quot;parse-names&quot;:false,&quot;dropping-particle&quot;:&quot;&quot;,&quot;non-dropping-particle&quot;:&quot;&quot;},{&quot;family&quot;:&quot;Butt&quot;,&quot;given&quot;:&quot;Zahid A.&quot;,&quot;parse-names&quot;:false,&quot;dropping-particle&quot;:&quot;&quot;,&quot;non-dropping-particle&quot;:&quot;&quot;},{&quot;family&quot;:&quot;Calina&quot;,&quot;given&quot;:&quot;Daniela&quot;,&quot;parse-names&quot;:false,&quot;dropping-particle&quot;:&quot;&quot;,&quot;non-dropping-particle&quot;:&quot;&quot;},{&quot;family&quot;:&quot;Cámera&quot;,&quot;given&quot;:&quot;Luis Alberto&quot;,&quot;parse-names&quot;:false,&quot;dropping-particle&quot;:&quot;&quot;,&quot;non-dropping-particle&quot;:&quot;&quot;},{&quot;family&quot;:&quot;Chanie&quot;,&quot;given&quot;:&quot;Gashaw Sisay&quot;,&quot;parse-names&quot;:false,&quot;dropping-particle&quot;:&quot;&quot;,&quot;non-dropping-particle&quot;:&quot;&quot;},{&quot;family&quot;:&quot;Charalampous&quot;,&quot;given&quot;:&quot;Periklis&quot;,&quot;parse-names&quot;:false,&quot;dropping-particle&quot;:&quot;&quot;,&quot;non-dropping-particle&quot;:&quot;&quot;},{&quot;family&quot;:&quot;Chattu&quot;,&quot;given&quot;:&quot;Vijay Kumar&quot;,&quot;parse-names&quot;:false,&quot;dropping-particle&quot;:&quot;&quot;,&quot;non-dropping-particle&quot;:&quot;&quot;},{&quot;family&quot;:&quot;Chimed-Ochir&quot;,&quot;given&quot;:&quot;Odgerel&quot;,&quot;parse-names&quot;:false,&quot;dropping-particle&quot;:&quot;&quot;,&quot;non-dropping-particle&quot;:&quot;&quot;},{&quot;family&quot;:&quot;Chu&quot;,&quot;given&quot;:&quot;Dinh Toi&quot;,&quot;parse-names&quot;:false,&quot;dropping-particle&quot;:&quot;&quot;,&quot;non-dropping-particle&quot;:&quot;&quot;},{&quot;family&quot;:&quot;Cohen&quot;,&quot;given&quot;:&quot;Aaron J.&quot;,&quot;parse-names&quot;:false,&quot;dropping-particle&quot;:&quot;&quot;,&quot;non-dropping-particle&quot;:&quot;&quot;},{&quot;family&quot;:&quot;Cruz-Martins&quot;,&quot;given&quot;:&quot;Natália&quot;,&quot;parse-names&quot;:false,&quot;dropping-particle&quot;:&quot;&quot;,&quot;non-dropping-particle&quot;:&quot;&quot;},{&quot;family&quot;:&quot;Dadras&quot;,&quot;given&quot;:&quot;Omid&quot;,&quot;parse-names&quot;:false,&quot;dropping-particle&quot;:&quot;&quot;,&quot;non-dropping-particle&quot;:&quot;&quot;},{&quot;family&quot;:&quot;Darwesh&quot;,&quot;given&quot;:&quot;Aso Mohammad&quot;,&quot;parse-names&quot;:false,&quot;dropping-particle&quot;:&quot;&quot;,&quot;non-dropping-particle&quot;:&quot;&quot;},{&quot;family&quot;:&quot;Das&quot;,&quot;given&quot;:&quot;Saswati&quot;,&quot;parse-names&quot;:false,&quot;dropping-particle&quot;:&quot;&quot;,&quot;non-dropping-particle&quot;:&quot;&quot;},{&quot;family&quot;:&quot;Debela&quot;,&quot;given&quot;:&quot;Sisay Abebe&quot;,&quot;parse-names&quot;:false,&quot;dropping-particle&quot;:&quot;&quot;,&quot;non-dropping-particle&quot;:&quot;&quot;},{&quot;family&quot;:&quot;Delgado-Ortiz&quot;,&quot;given&quot;:&quot;Laura&quot;,&quot;parse-names&quot;:false,&quot;dropping-particle&quot;:&quot;&quot;,&quot;non-dropping-particle&quot;:&quot;&quot;},{&quot;family&quot;:&quot;Dereje&quot;,&quot;given&quot;:&quot;Diriba&quot;,&quot;parse-names&quot;:false,&quot;dropping-particle&quot;:&quot;&quot;,&quot;non-dropping-particle&quot;:&quot;&quot;},{&quot;family&quot;:&quot;Dianatinasab&quot;,&quot;given&quot;:&quot;Mostafa&quot;,&quot;parse-names&quot;:false,&quot;dropping-particle&quot;:&quot;&quot;,&quot;non-dropping-particle&quot;:&quot;&quot;},{&quot;family&quot;:&quot;Diao&quot;,&quot;given&quot;:&quot;Nancy&quot;,&quot;parse-names&quot;:false,&quot;dropping-particle&quot;:&quot;&quot;,&quot;non-dropping-particle&quot;:&quot;&quot;},{&quot;family&quot;:&quot;Diaz&quot;,&quot;given&quot;:&quot;Daniel&quot;,&quot;parse-names&quot;:false,&quot;dropping-particle&quot;:&quot;&quot;,&quot;non-dropping-particle&quot;:&quot;&quot;},{&quot;family&quot;:&quot;Digesa&quot;,&quot;given&quot;:&quot;Lankamo Ena&quot;,&quot;parse-names&quot;:false,&quot;dropping-particle&quot;:&quot;&quot;,&quot;non-dropping-particle&quot;:&quot;&quot;},{&quot;family&quot;:&quot;Dirirsa&quot;,&quot;given&quot;:&quot;Gebisa&quot;,&quot;parse-names&quot;:false,&quot;dropping-particle&quot;:&quot;&quot;,&quot;non-dropping-particle&quot;:&quot;&quot;},{&quot;family&quot;:&quot;Doku&quot;,&quot;given&quot;:&quot;Paul Narh&quot;,&quot;parse-names&quot;:false,&quot;dropping-particle&quot;:&quot;&quot;,&quot;non-dropping-particle&quot;:&quot;&quot;},{&quot;family&quot;:&quot;Dongarwar&quot;,&quot;given&quot;:&quot;Deepa&quot;,&quot;parse-names&quot;:false,&quot;dropping-particle&quot;:&quot;&quot;,&quot;non-dropping-particle&quot;:&quot;&quot;},{&quot;family&quot;:&quot;Douiri&quot;,&quot;given&quot;:&quot;Abdel&quot;,&quot;parse-names&quot;:false,&quot;dropping-particle&quot;:&quot;&quot;,&quot;non-dropping-particle&quot;:&quot;&quot;},{&quot;family&quot;:&quot;Dsouza&quot;,&quot;given&quot;:&quot;Haneil Larson&quot;,&quot;parse-names&quot;:false,&quot;dropping-particle&quot;:&quot;&quot;,&quot;non-dropping-particle&quot;:&quot;&quot;},{&quot;family&quot;:&quot;Eini&quot;,&quot;given&quot;:&quot;Ebrahim&quot;,&quot;parse-names&quot;:false,&quot;dropping-particle&quot;:&quot;&quot;,&quot;non-dropping-particle&quot;:&quot;&quot;},{&quot;family&quot;:&quot;Ekholuenetale&quot;,&quot;given&quot;:&quot;Michael&quot;,&quot;parse-names&quot;:false,&quot;dropping-particle&quot;:&quot;&quot;,&quot;non-dropping-particle&quot;:&quot;&quot;},{&quot;family&quot;:&quot;Ekundayo&quot;,&quot;given&quot;:&quot;Temitope Cyrus&quot;,&quot;parse-names&quot;:false,&quot;dropping-particle&quot;:&quot;&quot;,&quot;non-dropping-particle&quot;:&quot;&quot;},{&quot;family&quot;:&quot;Elagali&quot;,&quot;given&quot;:&quot;Ahmed Elabbas Mustafa&quot;,&quot;parse-names&quot;:false,&quot;dropping-particle&quot;:&quot;&quot;,&quot;non-dropping-particle&quot;:&quot;&quot;},{&quot;family&quot;:&quot;Elhadi&quot;,&quot;given&quot;:&quot;Muhammed&quot;,&quot;parse-names&quot;:false,&quot;dropping-particle&quot;:&quot;&quot;,&quot;non-dropping-particle&quot;:&quot;&quot;},{&quot;family&quot;:&quot;Enyew&quot;,&quot;given&quot;:&quot;Daniel Berhanie&quot;,&quot;parse-names&quot;:false,&quot;dropping-particle&quot;:&quot;&quot;,&quot;non-dropping-particle&quot;:&quot;&quot;},{&quot;family&quot;:&quot;Erkhembayar&quot;,&quot;given&quot;:&quot;Ryenchindorj&quot;,&quot;parse-names&quot;:false,&quot;dropping-particle&quot;:&quot;&quot;,&quot;non-dropping-particle&quot;:&quot;&quot;},{&quot;family&quot;:&quot;Etaee&quot;,&quot;given&quot;:&quot;Farshid&quot;,&quot;parse-names&quot;:false,&quot;dropping-particle&quot;:&quot;&quot;,&quot;non-dropping-particle&quot;:&quot;&quot;},{&quot;family&quot;:&quot;Fagbamigbe&quot;,&quot;given&quot;:&quot;Adeniyi Francis&quot;,&quot;parse-names&quot;:false,&quot;dropping-particle&quot;:&quot;&quot;,&quot;non-dropping-particle&quot;:&quot;&quot;},{&quot;family&quot;:&quot;Faro&quot;,&quot;given&quot;:&quot;Andre&quot;,&quot;parse-names&quot;:false,&quot;dropping-particle&quot;:&quot;&quot;,&quot;non-dropping-particle&quot;:&quot;&quot;},{&quot;family&quot;:&quot;Fatehizadeh&quot;,&quot;given&quot;:&quot;Ali&quot;,&quot;parse-names&quot;:false,&quot;dropping-particle&quot;:&quot;&quot;,&quot;non-dropping-particle&quot;:&quot;&quot;},{&quot;family&quot;:&quot;Fekadu&quot;,&quot;given&quot;:&quot;Ginenus&quot;,&quot;parse-names&quot;:false,&quot;dropping-particle&quot;:&quot;&quot;,&quot;non-dropping-particle&quot;:&quot;&quot;},{&quot;family&quot;:&quot;Filip&quot;,&quot;given&quot;:&quot;Irina&quot;,&quot;parse-names&quot;:false,&quot;dropping-particle&quot;:&quot;&quot;,&quot;non-dropping-particle&quot;:&quot;&quot;},{&quot;family&quot;:&quot;Fischer&quot;,&quot;given&quot;:&quot;Florian&quot;,&quot;parse-names&quot;:false,&quot;dropping-particle&quot;:&quot;&quot;,&quot;non-dropping-particle&quot;:&quot;&quot;},{&quot;family&quot;:&quot;Foroutan&quot;,&quot;given&quot;:&quot;Masoud&quot;,&quot;parse-names&quot;:false,&quot;dropping-particle&quot;:&quot;&quot;,&quot;non-dropping-particle&quot;:&quot;&quot;},{&quot;family&quot;:&quot;Franklin&quot;,&quot;given&quot;:&quot;Richard Charles&quot;,&quot;parse-names&quot;:false,&quot;dropping-particle&quot;:&quot;&quot;,&quot;non-dropping-particle&quot;:&quot;&quot;},{&quot;family&quot;:&quot;Gaal&quot;,&quot;given&quot;:&quot;Peter Andras&quot;,&quot;parse-names&quot;:false,&quot;dropping-particle&quot;:&quot;&quot;,&quot;non-dropping-particle&quot;:&quot;&quot;},{&quot;family&quot;:&quot;Gaihre&quot;,&quot;given&quot;:&quot;Santosh&quot;,&quot;parse-names&quot;:false,&quot;dropping-particle&quot;:&quot;&quot;,&quot;non-dropping-particle&quot;:&quot;&quot;},{&quot;family&quot;:&quot;Gaipov&quot;,&quot;given&quot;:&quot;Abduzhappar&quot;,&quot;parse-names&quot;:false,&quot;dropping-particle&quot;:&quot;&quot;,&quot;non-dropping-particle&quot;:&quot;&quot;},{&quot;family&quot;:&quot;Gebrehiwot&quot;,&quot;given&quot;:&quot;Mesfin&quot;,&quot;parse-names&quot;:false,&quot;dropping-particle&quot;:&quot;&quot;,&quot;non-dropping-particle&quot;:&quot;&quot;},{&quot;family&quot;:&quot;Gerema&quot;,&quot;given&quot;:&quot;Urge&quot;,&quot;parse-names&quot;:false,&quot;dropping-particle&quot;:&quot;&quot;,&quot;non-dropping-particle&quot;:&quot;&quot;},{&quot;family&quot;:&quot;Getachew&quot;,&quot;given&quot;:&quot;Motuma Erena&quot;,&quot;parse-names&quot;:false,&quot;dropping-particle&quot;:&quot;&quot;,&quot;non-dropping-particle&quot;:&quot;&quot;},{&quot;family&quot;:&quot;Getachew&quot;,&quot;given&quot;:&quot;Tamiru&quot;,&quot;parse-names&quot;:false,&quot;dropping-particle&quot;:&quot;&quot;,&quot;non-dropping-particle&quot;:&quot;&quot;},{&quot;family&quot;:&quot;Ghafourifard&quot;,&quot;given&quot;:&quot;Mansour&quot;,&quot;parse-names&quot;:false,&quot;dropping-particle&quot;:&quot;&quot;,&quot;non-dropping-particle&quot;:&quot;&quot;},{&quot;family&quot;:&quot;Ghanbari&quot;,&quot;given&quot;:&quot;Reza&quot;,&quot;parse-names&quot;:false,&quot;dropping-particle&quot;:&quot;&quot;,&quot;non-dropping-particle&quot;:&quot;&quot;},{&quot;family&quot;:&quot;Ghashghaee&quot;,&quot;given&quot;:&quot;Ahmad&quot;,&quot;parse-names&quot;:false,&quot;dropping-particle&quot;:&quot;&quot;,&quot;non-dropping-particle&quot;:&quot;&quot;},{&quot;family&quot;:&quot;Gholami&quot;,&quot;given&quot;:&quot;Ali&quot;,&quot;parse-names&quot;:false,&quot;dropping-particle&quot;:&quot;&quot;,&quot;non-dropping-particle&quot;:&quot;&quot;},{&quot;family&quot;:&quot;Gil&quot;,&quot;given&quot;:&quot;Artyom Urievich&quot;,&quot;parse-names&quot;:false,&quot;dropping-particle&quot;:&quot;&quot;,&quot;non-dropping-particle&quot;:&quot;&quot;},{&quot;family&quot;:&quot;Golechha&quot;,&quot;given&quot;:&quot;Mahaveer&quot;,&quot;parse-names&quot;:false,&quot;dropping-particle&quot;:&quot;&quot;,&quot;non-dropping-particle&quot;:&quot;&quot;},{&quot;family&quot;:&quot;Goleij&quot;,&quot;given&quot;:&quot;Pouya&quot;,&quot;parse-names&quot;:false,&quot;dropping-particle&quot;:&quot;&quot;,&quot;non-dropping-particle&quot;:&quot;&quot;},{&quot;family&quot;:&quot;Golinelli&quot;,&quot;given&quot;:&quot;Davide&quot;,&quot;parse-names&quot;:false,&quot;dropping-particle&quot;:&quot;&quot;,&quot;non-dropping-particle&quot;:&quot;&quot;},{&quot;family&quot;:&quot;Guadie&quot;,&quot;given&quot;:&quot;Habtamu Alganeh&quot;,&quot;parse-names&quot;:false,&quot;dropping-particle&quot;:&quot;&quot;,&quot;non-dropping-particle&quot;:&quot;&quot;},{&quot;family&quot;:&quot;Gupta&quot;,&quot;given&quot;:&quot;Bhawna&quot;,&quot;parse-names&quot;:false,&quot;dropping-particle&quot;:&quot;&quot;,&quot;non-dropping-particle&quot;:&quot;&quot;},{&quot;family&quot;:&quot;Gupta&quot;,&quot;given&quot;:&quot;Sapna&quot;,&quot;parse-names&quot;:false,&quot;dropping-particle&quot;:&quot;&quot;,&quot;non-dropping-particle&quot;:&quot;&quot;},{&quot;family&quot;:&quot;Gupta&quot;,&quot;given&quot;:&quot;Veer Bala&quot;,&quot;parse-names&quot;:false,&quot;dropping-particle&quot;:&quot;&quot;,&quot;non-dropping-particle&quot;:&quot;&quot;},{&quot;family&quot;:&quot;Gupta&quot;,&quot;given&quot;:&quot;Vivek Kumar&quot;,&quot;parse-names&quot;:false,&quot;dropping-particle&quot;:&quot;&quot;,&quot;non-dropping-particle&quot;:&quot;&quot;},{&quot;family&quot;:&quot;Hadei&quot;,&quot;given&quot;:&quot;Mostafa&quot;,&quot;parse-names&quot;:false,&quot;dropping-particle&quot;:&quot;&quot;,&quot;non-dropping-particle&quot;:&quot;&quot;},{&quot;family&quot;:&quot;Halwani&quot;,&quot;given&quot;:&quot;Rabih&quot;,&quot;parse-names&quot;:false,&quot;dropping-particle&quot;:&quot;&quot;,&quot;non-dropping-particle&quot;:&quot;&quot;},{&quot;family&quot;:&quot;Hanif&quot;,&quot;given&quot;:&quot;Asif&quot;,&quot;parse-names&quot;:false,&quot;dropping-particle&quot;:&quot;&quot;,&quot;non-dropping-particle&quot;:&quot;&quot;},{&quot;family&quot;:&quot;Hargono&quot;,&quot;given&quot;:&quot;Arief&quot;,&quot;parse-names&quot;:false,&quot;dropping-particle&quot;:&quot;&quot;,&quot;non-dropping-particle&quot;:&quot;&quot;},{&quot;family&quot;:&quot;Harorani&quot;,&quot;given&quot;:&quot;Mehdi&quot;,&quot;parse-names&quot;:false,&quot;dropping-particle&quot;:&quot;&quot;,&quot;non-dropping-particle&quot;:&quot;&quot;},{&quot;family&quot;:&quot;Hartono&quot;,&quot;given&quot;:&quot;Risky Kusuma&quot;,&quot;parse-names&quot;:false,&quot;dropping-particle&quot;:&quot;&quot;,&quot;non-dropping-particle&quot;:&quot;&quot;},{&quot;family&quot;:&quot;Hasani&quot;,&quot;given&quot;:&quot;Hamidreza&quot;,&quot;parse-names&quot;:false,&quot;dropping-particle&quot;:&quot;&quot;,&quot;non-dropping-particle&quot;:&quot;&quot;},{&quot;family&quot;:&quot;Hashi&quot;,&quot;given&quot;:&quot;Abdiwahab&quot;,&quot;parse-names&quot;:false,&quot;dropping-particle&quot;:&quot;&quot;,&quot;non-dropping-particle&quot;:&quot;&quot;},{&quot;family&quot;:&quot;Hay&quot;,&quot;given&quot;:&quot;Simon I.&quot;,&quot;parse-names&quot;:false,&quot;dropping-particle&quot;:&quot;&quot;,&quot;non-dropping-particle&quot;:&quot;&quot;},{&quot;family&quot;:&quot;Heidari&quot;,&quot;given&quot;:&quot;Mohammad&quot;,&quot;parse-names&quot;:false,&quot;dropping-particle&quot;:&quot;&quot;,&quot;non-dropping-particle&quot;:&quot;&quot;},{&quot;family&quot;:&quot;Hellemons&quot;,&quot;given&quot;:&quot;Merel E.&quot;,&quot;parse-names&quot;:false,&quot;dropping-particle&quot;:&quot;&quot;,&quot;non-dropping-particle&quot;:&quot;&quot;},{&quot;family&quot;:&quot;Herteliu&quot;,&quot;given&quot;:&quot;Claudiu&quot;,&quot;parse-names&quot;:false,&quot;dropping-particle&quot;:&quot;&quot;,&quot;non-dropping-particle&quot;:&quot;&quot;},{&quot;family&quot;:&quot;Holla&quot;,&quot;given&quot;:&quot;Ramesh&quot;,&quot;parse-names&quot;:false,&quot;dropping-particle&quot;:&quot;&quot;,&quot;non-dropping-particle&quot;:&quot;&quot;},{&quot;family&quot;:&quot;Horita&quot;,&quot;given&quot;:&quot;Nobuyuki&quot;,&quot;parse-names&quot;:false,&quot;dropping-particle&quot;:&quot;&quot;,&quot;non-dropping-particle&quot;:&quot;&quot;},{&quot;family&quot;:&quot;Hoseini&quot;,&quot;given&quot;:&quot;Mohammad&quot;,&quot;parse-names&quot;:false,&quot;dropping-particle&quot;:&quot;&quot;,&quot;non-dropping-particle&quot;:&quot;&quot;},{&quot;family&quot;:&quot;Hosseinzadeh&quot;,&quot;given&quot;:&quot;Mehdi&quot;,&quot;parse-names&quot;:false,&quot;dropping-particle&quot;:&quot;&quot;,&quot;non-dropping-particle&quot;:&quot;&quot;},{&quot;family&quot;:&quot;Huang&quot;,&quot;given&quot;:&quot;Junjie&quot;,&quot;parse-names&quot;:false,&quot;dropping-particle&quot;:&quot;&quot;,&quot;non-dropping-particle&quot;:&quot;&quot;},{&quot;family&quot;:&quot;Hussain&quot;,&quot;given&quot;:&quot;Salman&quot;,&quot;parse-names&quot;:false,&quot;dropping-particle&quot;:&quot;&quot;,&quot;non-dropping-particle&quot;:&quot;&quot;},{&quot;family&quot;:&quot;Hwang&quot;,&quot;given&quot;:&quot;Bing Fang&quot;,&quot;parse-names&quot;:false,&quot;dropping-particle&quot;:&quot;&quot;,&quot;non-dropping-particle&quot;:&quot;&quot;},{&quot;family&quot;:&quot;Iavicoli&quot;,&quot;given&quot;:&quot;Ivo&quot;,&quot;parse-names&quot;:false,&quot;dropping-particle&quot;:&quot;&quot;,&quot;non-dropping-particle&quot;:&quot;&quot;},{&quot;family&quot;:&quot;Ibitoye&quot;,&quot;given&quot;:&quot;Segun Emmanuel&quot;,&quot;parse-names&quot;:false,&quot;dropping-particle&quot;:&quot;&quot;,&quot;non-dropping-particle&quot;:&quot;&quot;},{&quot;family&quot;:&quot;Ibrahim&quot;,&quot;given&quot;:&quot;Sufyan&quot;,&quot;parse-names&quot;:false,&quot;dropping-particle&quot;:&quot;&quot;,&quot;non-dropping-particle&quot;:&quot;&quot;},{&quot;family&quot;:&quot;Ilesanmi&quot;,&quot;given&quot;:&quot;Olayinka Stephen&quot;,&quot;parse-names&quot;:false,&quot;dropping-particle&quot;:&quot;&quot;,&quot;non-dropping-particle&quot;:&quot;&quot;},{&quot;family&quot;:&quot;Ilic&quot;,&quot;given&quot;:&quot;Irena M.&quot;,&quot;parse-names&quot;:false,&quot;dropping-particle&quot;:&quot;&quot;,&quot;non-dropping-particle&quot;:&quot;&quot;},{&quot;family&quot;:&quot;Ilic&quot;,&quot;given&quot;:&quot;Milena D.&quot;,&quot;parse-names&quot;:false,&quot;dropping-particle&quot;:&quot;&quot;,&quot;non-dropping-particle&quot;:&quot;&quot;},{&quot;family&quot;:&quot;Immurana&quot;,&quot;given&quot;:&quot;Mustapha&quot;,&quot;parse-names&quot;:false,&quot;dropping-particle&quot;:&quot;&quot;,&quot;non-dropping-particle&quot;:&quot;&quot;},{&quot;family&quot;:&quot;Ismail&quot;,&quot;given&quot;:&quot;Nahlah Elkudssiah&quot;,&quot;parse-names&quot;:false,&quot;dropping-particle&quot;:&quot;&quot;,&quot;non-dropping-particle&quot;:&quot;&quot;},{&quot;family&quot;:&quot;Merin J&quot;,&quot;given&quot;:&quot;Linda&quot;,&quot;parse-names&quot;:false,&quot;dropping-particle&quot;:&quot;&quot;,&quot;non-dropping-particle&quot;:&quot;&quot;},{&quot;family&quot;:&quot;Jakovljevic&quot;,&quot;given&quot;:&quot;Mihajlo&quot;,&quot;parse-names&quot;:false,&quot;dropping-particle&quot;:&quot;&quot;,&quot;non-dropping-particle&quot;:&quot;&quot;},{&quot;family&quot;:&quot;Jamshidi&quot;,&quot;given&quot;:&quot;Elham&quot;,&quot;parse-names&quot;:false,&quot;dropping-particle&quot;:&quot;&quot;,&quot;non-dropping-particle&quot;:&quot;&quot;},{&quot;family&quot;:&quot;Janodia&quot;,&quot;given&quot;:&quot;Manthan Dilipkumar&quot;,&quot;parse-names&quot;:false,&quot;dropping-particle&quot;:&quot;&quot;,&quot;non-dropping-particle&quot;:&quot;&quot;},{&quot;family&quot;:&quot;Javaheri&quot;,&quot;given&quot;:&quot;Tahereh&quot;,&quot;parse-names&quot;:false,&quot;dropping-particle&quot;:&quot;&quot;,&quot;non-dropping-particle&quot;:&quot;&quot;},{&quot;family&quot;:&quot;Jayapal&quot;,&quot;given&quot;:&quot;Sathish Kumar&quot;,&quot;parse-names&quot;:false,&quot;dropping-particle&quot;:&quot;&quot;,&quot;non-dropping-particle&quot;:&quot;&quot;},{&quot;family&quot;:&quot;Jayaram&quot;,&quot;given&quot;:&quot;Shubha&quot;,&quot;parse-names&quot;:false,&quot;dropping-particle&quot;:&quot;&quot;,&quot;non-dropping-particle&quot;:&quot;&quot;},{&quot;family&quot;:&quot;Jha&quot;,&quot;given&quot;:&quot;Ravi Prakash&quot;,&quot;parse-names&quot;:false,&quot;dropping-particle&quot;:&quot;&quot;,&quot;non-dropping-particle&quot;:&quot;&quot;},{&quot;family&quot;:&quot;Johnson&quot;,&quot;given&quot;:&quot;Olatunji&quot;,&quot;parse-names&quot;:false,&quot;dropping-particle&quot;:&quot;&quot;,&quot;non-dropping-particle&quot;:&quot;&quot;},{&quot;family&quot;:&quot;Joo&quot;,&quot;given&quot;:&quot;Tamas&quot;,&quot;parse-names&quot;:false,&quot;dropping-particle&quot;:&quot;&quot;,&quot;non-dropping-particle&quot;:&quot;&quot;},{&quot;family&quot;:&quot;Joseph&quot;,&quot;given&quot;:&quot;Nitin&quot;,&quot;parse-names&quot;:false,&quot;dropping-particle&quot;:&quot;&quot;,&quot;non-dropping-particle&quot;:&quot;&quot;},{&quot;family&quot;:&quot;Jozwiak&quot;,&quot;given&quot;:&quot;Jacek Jerzy&quot;,&quot;parse-names&quot;:false,&quot;dropping-particle&quot;:&quot;&quot;,&quot;non-dropping-particle&quot;:&quot;&quot;},{&quot;family&quot;:&quot;Kraghuabr&quot;,&quot;given&quot;:&quot;Vaishali&quot;,&quot;parse-names&quot;:false,&quot;dropping-particle&quot;:&quot;&quot;,&quot;non-dropping-particle&quot;:&quot;&quot;},{&quot;family&quot;:&quot;Kaambwa&quot;,&quot;given&quot;:&quot;Billingsley&quot;,&quot;parse-names&quot;:false,&quot;dropping-particle&quot;:&quot;&quot;,&quot;non-dropping-particle&quot;:&quot;&quot;},{&quot;family&quot;:&quot;Kabir&quot;,&quot;given&quot;:&quot;Zubair&quot;,&quot;parse-names&quot;:false,&quot;dropping-particle&quot;:&quot;&quot;,&quot;non-dropping-particle&quot;:&quot;&quot;},{&quot;family&quot;:&quot;Kalankesh&quot;,&quot;given&quot;:&quot;Laleh R.&quot;,&quot;parse-names&quot;:false,&quot;dropping-particle&quot;:&quot;&quot;,&quot;non-dropping-particle&quot;:&quot;&quot;},{&quot;family&quot;:&quot;Kalhor&quot;,&quot;given&quot;:&quot;Rohollah&quot;,&quot;parse-names&quot;:false,&quot;dropping-particle&quot;:&quot;&quot;,&quot;non-dropping-particle&quot;:&quot;&quot;},{&quot;family&quot;:&quot;Kandel&quot;,&quot;given&quot;:&quot;Himal&quot;,&quot;parse-names&quot;:false,&quot;dropping-particle&quot;:&quot;&quot;,&quot;non-dropping-particle&quot;:&quot;&quot;},{&quot;family&quot;:&quot;Karanth&quot;,&quot;given&quot;:&quot;Shama D.&quot;,&quot;parse-names&quot;:false,&quot;dropping-particle&quot;:&quot;&quot;,&quot;non-dropping-particle&quot;:&quot;&quot;},{&quot;family&quot;:&quot;Karaye&quot;,&quot;given&quot;:&quot;Ibraheem M.&quot;,&quot;parse-names&quot;:false,&quot;dropping-particle&quot;:&quot;&quot;,&quot;non-dropping-particle&quot;:&quot;&quot;},{&quot;family&quot;:&quot;Kassa&quot;,&quot;given&quot;:&quot;Bekalu Getnet&quot;,&quot;parse-names&quot;:false,&quot;dropping-particle&quot;:&quot;&quot;,&quot;non-dropping-particle&quot;:&quot;&quot;},{&quot;family&quot;:&quot;Kassie&quot;,&quot;given&quot;:&quot;Gizat M.&quot;,&quot;parse-names&quot;:false,&quot;dropping-particle&quot;:&quot;&quot;,&quot;non-dropping-particle&quot;:&quot;&quot;},{&quot;family&quot;:&quot;Keikavoosi-Arani&quot;,&quot;given&quot;:&quot;Leila&quot;,&quot;parse-names&quot;:false,&quot;dropping-particle&quot;:&quot;&quot;,&quot;non-dropping-particle&quot;:&quot;&quot;},{&quot;family&quot;:&quot;Keykhaei&quot;,&quot;given&quot;:&quot;Mohammad&quot;,&quot;parse-names&quot;:false,&quot;dropping-particle&quot;:&quot;&quot;,&quot;non-dropping-particle&quot;:&quot;&quot;},{&quot;family&quot;:&quot;Khajuria&quot;,&quot;given&quot;:&quot;Himanshu&quot;,&quot;parse-names&quot;:false,&quot;dropping-particle&quot;:&quot;&quot;,&quot;non-dropping-particle&quot;:&quot;&quot;},{&quot;family&quot;:&quot;Khan&quot;,&quot;given&quot;:&quot;Imteyaz A.&quot;,&quot;parse-names&quot;:false,&quot;dropping-particle&quot;:&quot;&quot;,&quot;non-dropping-particle&quot;:&quot;&quot;},{&quot;family&quot;:&quot;Khan&quot;,&quot;given&quot;:&quot;Moien A.B.&quot;,&quot;parse-names&quot;:false,&quot;dropping-particle&quot;:&quot;&quot;,&quot;non-dropping-particle&quot;:&quot;&quot;},{&quot;family&quot;:&quot;Khan&quot;,&quot;given&quot;:&quot;Yusra H.&quot;,&quot;parse-names&quot;:false,&quot;dropping-particle&quot;:&quot;&quot;,&quot;non-dropping-particle&quot;:&quot;&quot;},{&quot;family&quot;:&quot;Khreis&quot;,&quot;given&quot;:&quot;Haneen&quot;,&quot;parse-names&quot;:false,&quot;dropping-particle&quot;:&quot;&quot;,&quot;non-dropping-particle&quot;:&quot;&quot;},{&quot;family&quot;:&quot;Kim&quot;,&quot;given&quot;:&quot;Min Seo&quot;,&quot;parse-names&quot;:false,&quot;dropping-particle&quot;:&quot;&quot;,&quot;non-dropping-particle&quot;:&quot;&quot;},{&quot;family&quot;:&quot;Kisa&quot;,&quot;given&quot;:&quot;Adnan&quot;,&quot;parse-names&quot;:false,&quot;dropping-particle&quot;:&quot;&quot;,&quot;non-dropping-particle&quot;:&quot;&quot;},{&quot;family&quot;:&quot;Kisa&quot;,&quot;given&quot;:&quot;Sezer&quot;,&quot;parse-names&quot;:false,&quot;dropping-particle&quot;:&quot;&quot;,&quot;non-dropping-particle&quot;:&quot;&quot;},{&quot;family&quot;:&quot;Knibbs&quot;,&quot;given&quot;:&quot;Luke D.&quot;,&quot;parse-names&quot;:false,&quot;dropping-particle&quot;:&quot;&quot;,&quot;non-dropping-particle&quot;:&quot;&quot;},{&quot;family&quot;:&quot;Kolkhir&quot;,&quot;given&quot;:&quot;Pavel&quot;,&quot;parse-names&quot;:false,&quot;dropping-particle&quot;:&quot;&quot;,&quot;non-dropping-particle&quot;:&quot;&quot;},{&quot;family&quot;:&quot;Komaki&quot;,&quot;given&quot;:&quot;Somayeh&quot;,&quot;parse-names&quot;:false,&quot;dropping-particle&quot;:&quot;&quot;,&quot;non-dropping-particle&quot;:&quot;&quot;},{&quot;family&quot;:&quot;Kompani&quot;,&quot;given&quot;:&quot;Farzad&quot;,&quot;parse-names&quot;:false,&quot;dropping-particle&quot;:&quot;&quot;,&quot;non-dropping-particle&quot;:&quot;&quot;},{&quot;family&quot;:&quot;Koohestani&quot;,&quot;given&quot;:&quot;Hamid Reza&quot;,&quot;parse-names&quot;:false,&quot;dropping-particle&quot;:&quot;&quot;,&quot;non-dropping-particle&quot;:&quot;&quot;},{&quot;family&quot;:&quot;Koolivand&quot;,&quot;given&quot;:&quot;Ali&quot;,&quot;parse-names&quot;:false,&quot;dropping-particle&quot;:&quot;&quot;,&quot;non-dropping-particle&quot;:&quot;&quot;},{&quot;family&quot;:&quot;Korzh&quot;,&quot;given&quot;:&quot;Oleksii&quot;,&quot;parse-names&quot;:false,&quot;dropping-particle&quot;:&quot;&quot;,&quot;non-dropping-particle&quot;:&quot;&quot;},{&quot;family&quot;:&quot;Koyanagi&quot;,&quot;given&quot;:&quot;Ai&quot;,&quot;parse-names&quot;:false,&quot;dropping-particle&quot;:&quot;&quot;,&quot;non-dropping-particle&quot;:&quot;&quot;},{&quot;family&quot;:&quot;Krishan&quot;,&quot;given&quot;:&quot;Kewal&quot;,&quot;parse-names&quot;:false,&quot;dropping-particle&quot;:&quot;&quot;,&quot;non-dropping-particle&quot;:&quot;&quot;},{&quot;family&quot;:&quot;Krohn&quot;,&quot;given&quot;:&quot;Kris J.&quot;,&quot;parse-names&quot;:false,&quot;dropping-particle&quot;:&quot;&quot;,&quot;non-dropping-particle&quot;:&quot;&quot;},{&quot;family&quot;:&quot;Kumar&quot;,&quot;given&quot;:&quot;Naveen&quot;,&quot;parse-names&quot;:false,&quot;dropping-particle&quot;:&quot;&quot;,&quot;non-dropping-particle&quot;:&quot;&quot;},{&quot;family&quot;:&quot;Kumar&quot;,&quot;given&quot;:&quot;Nithin&quot;,&quot;parse-names&quot;:false,&quot;dropping-particle&quot;:&quot;&quot;,&quot;non-dropping-particle&quot;:&quot;&quot;},{&quot;family&quot;:&quot;Kurmi&quot;,&quot;given&quot;:&quot;Om P.&quot;,&quot;parse-names&quot;:false,&quot;dropping-particle&quot;:&quot;&quot;,&quot;non-dropping-particle&quot;:&quot;&quot;},{&quot;family&quot;:&quot;Kuttikkattu&quot;,&quot;given&quot;:&quot;Ambily&quot;,&quot;parse-names&quot;:false,&quot;dropping-particle&quot;:&quot;&quot;,&quot;non-dropping-particle&quot;:&quot;&quot;},{&quot;family&quot;:&quot;Vecchia&quot;,&quot;given&quot;:&quot;Carlo&quot;,&quot;parse-names&quot;:false,&quot;dropping-particle&quot;:&quot;La&quot;,&quot;non-dropping-particle&quot;:&quot;&quot;},{&quot;family&quot;:&quot;Lám&quot;,&quot;given&quot;:&quot;Judit&quot;,&quot;parse-names&quot;:false,&quot;dropping-particle&quot;:&quot;&quot;,&quot;non-dropping-particle&quot;:&quot;&quot;},{&quot;family&quot;:&quot;Lan&quot;,&quot;given&quot;:&quot;Qing&quot;,&quot;parse-names&quot;:false,&quot;dropping-particle&quot;:&quot;&quot;,&quot;non-dropping-particle&quot;:&quot;&quot;},{&quot;family&quot;:&quot;Lasrado&quot;,&quot;given&quot;:&quot;Savita&quot;,&quot;parse-names&quot;:false,&quot;dropping-particle&quot;:&quot;&quot;,&quot;non-dropping-particle&quot;:&quot;&quot;},{&quot;family&quot;:&quot;Latief&quot;,&quot;given&quot;:&quot;Kamaluddin&quot;,&quot;parse-names&quot;:false,&quot;dropping-particle&quot;:&quot;&quot;,&quot;non-dropping-particle&quot;:&quot;&quot;},{&quot;family&quot;:&quot;Lauriola&quot;,&quot;given&quot;:&quot;Paolo&quot;,&quot;parse-names&quot;:false,&quot;dropping-particle&quot;:&quot;&quot;,&quot;non-dropping-particle&quot;:&quot;&quot;},{&quot;family&quot;:&quot;Lee&quot;,&quot;given&quot;:&quot;Sang Woong&quot;,&quot;parse-names&quot;:false,&quot;dropping-particle&quot;:&quot;&quot;,&quot;non-dropping-particle&quot;:&quot;&quot;},{&quot;family&quot;:&quot;Lee&quot;,&quot;given&quot;:&quot;Yo Han&quot;,&quot;parse-names&quot;:false,&quot;dropping-particle&quot;:&quot;&quot;,&quot;non-dropping-particle&quot;:&quot;&quot;},{&quot;family&quot;:&quot;Legesse&quot;,&quot;given&quot;:&quot;Samson Mideksa&quot;,&quot;parse-names&quot;:false,&quot;dropping-particle&quot;:&quot;&quot;,&quot;non-dropping-particle&quot;:&quot;&quot;},{&quot;family&quot;:&quot;Lenzi&quot;,&quot;given&quot;:&quot;Jacopo&quot;,&quot;parse-names&quot;:false,&quot;dropping-particle&quot;:&quot;&quot;,&quot;non-dropping-particle&quot;:&quot;&quot;},{&quot;family&quot;:&quot;Li&quot;,&quot;given&quot;:&quot;Ming Chieh&quot;,&quot;parse-names&quot;:false,&quot;dropping-particle&quot;:&quot;&quot;,&quot;non-dropping-particle&quot;:&quot;&quot;},{&quot;family&quot;:&quot;Lin&quot;,&quot;given&quot;:&quot;Ro Ting&quot;,&quot;parse-names&quot;:false,&quot;dropping-particle&quot;:&quot;&quot;,&quot;non-dropping-particle&quot;:&quot;&quot;},{&quot;family&quot;:&quot;Liu&quot;,&quot;given&quot;:&quot;Gang&quot;,&quot;parse-names&quot;:false,&quot;dropping-particle&quot;:&quot;&quot;,&quot;non-dropping-particle&quot;:&quot;&quot;},{&quot;family&quot;:&quot;Liu&quot;,&quot;given&quot;:&quot;Wei&quot;,&quot;parse-names&quot;:false,&quot;dropping-particle&quot;:&quot;&quot;,&quot;non-dropping-particle&quot;:&quot;&quot;},{&quot;family&quot;:&quot;Lo&quot;,&quot;given&quot;:&quot;Chun Han&quot;,&quot;parse-names&quot;:false,&quot;dropping-particle&quot;:&quot;&quot;,&quot;non-dropping-particle&quot;:&quot;&quot;},{&quot;family&quot;:&quot;Lorenzovici&quot;,&quot;given&quot;:&quot;László&quot;,&quot;parse-names&quot;:false,&quot;dropping-particle&quot;:&quot;&quot;,&quot;non-dropping-particle&quot;:&quot;&quot;},{&quot;family&quot;:&quot;Lu&quot;,&quot;given&quot;:&quot;Yifei&quot;,&quot;parse-names&quot;:false,&quot;dropping-particle&quot;:&quot;&quot;,&quot;non-dropping-particle&quot;:&quot;&quot;},{&quot;family&quot;:&quot;Mahalingam&quot;,&quot;given&quot;:&quot;Soundarya&quot;,&quot;parse-names&quot;:false,&quot;dropping-particle&quot;:&quot;&quot;,&quot;non-dropping-particle&quot;:&quot;&quot;},{&quot;family&quot;:&quot;Mahmoudi&quot;,&quot;given&quot;:&quot;Elham&quot;,&quot;parse-names&quot;:false,&quot;dropping-particle&quot;:&quot;&quot;,&quot;non-dropping-particle&quot;:&quot;&quot;},{&quot;family&quot;:&quot;Mahotra&quot;,&quot;given&quot;:&quot;Narayan B.&quot;,&quot;parse-names&quot;:false,&quot;dropping-particle&quot;:&quot;&quot;,&quot;non-dropping-particle&quot;:&quot;&quot;},{&quot;family&quot;:&quot;Malekpour&quot;,&quot;given&quot;:&quot;Mohammad Reza&quot;,&quot;parse-names&quot;:false,&quot;dropping-particle&quot;:&quot;&quot;,&quot;non-dropping-particle&quot;:&quot;&quot;},{&quot;family&quot;:&quot;Malik&quot;,&quot;given&quot;:&quot;Ahmad Azam&quot;,&quot;parse-names&quot;:false,&quot;dropping-particle&quot;:&quot;&quot;,&quot;non-dropping-particle&quot;:&quot;&quot;},{&quot;family&quot;:&quot;Mallhi&quot;,&quot;given&quot;:&quot;Tauqeer Hussain&quot;,&quot;parse-names&quot;:false,&quot;dropping-particle&quot;:&quot;&quot;,&quot;non-dropping-particle&quot;:&quot;&quot;},{&quot;family&quot;:&quot;Malta&quot;,&quot;given&quot;:&quot;Deborah Carvalho&quot;,&quot;parse-names&quot;:false,&quot;dropping-particle&quot;:&quot;&quot;,&quot;non-dropping-particle&quot;:&quot;&quot;},{&quot;family&quot;:&quot;Mansouri&quot;,&quot;given&quot;:&quot;Borhan&quot;,&quot;parse-names&quot;:false,&quot;dropping-particle&quot;:&quot;&quot;,&quot;non-dropping-particle&quot;:&quot;&quot;},{&quot;family&quot;:&quot;Mathews&quot;,&quot;given&quot;:&quot;Elezebeth&quot;,&quot;parse-names&quot;:false,&quot;dropping-particle&quot;:&quot;&quot;,&quot;non-dropping-particle&quot;:&quot;&quot;},{&quot;family&quot;:&quot;Maulud&quot;,&quot;given&quot;:&quot;Sazan Qadir&quot;,&quot;parse-names&quot;:false,&quot;dropping-particle&quot;:&quot;&quot;,&quot;non-dropping-particle&quot;:&quot;&quot;},{&quot;family&quot;:&quot;Mechili&quot;,&quot;given&quot;:&quot;Enkeleint A.&quot;,&quot;parse-names&quot;:false,&quot;dropping-particle&quot;:&quot;&quot;,&quot;non-dropping-particle&quot;:&quot;&quot;},{&quot;family&quot;:&quot;Nasab&quot;,&quot;given&quot;:&quot;Entezar Mehrabi&quot;,&quot;parse-names&quot;:false,&quot;dropping-particle&quot;:&quot;&quot;,&quot;non-dropping-particle&quot;:&quot;&quot;},{&quot;family&quot;:&quot;Menezes&quot;,&quot;given&quot;:&quot;Ritesh G.&quot;,&quot;parse-names&quot;:false,&quot;dropping-particle&quot;:&quot;&quot;,&quot;non-dropping-particle&quot;:&quot;&quot;},{&quot;family&quot;:&quot;Mengistu&quot;,&quot;given&quot;:&quot;Dechasa Adare&quot;,&quot;parse-names&quot;:false,&quot;dropping-particle&quot;:&quot;&quot;,&quot;non-dropping-particle&quot;:&quot;&quot;},{&quot;family&quot;:&quot;Mentis&quot;,&quot;given&quot;:&quot;Alexios Fotios A.&quot;,&quot;parse-names&quot;:false,&quot;dropping-particle&quot;:&quot;&quot;,&quot;non-dropping-particle&quot;:&quot;&quot;},{&quot;family&quot;:&quot;Meshkat&quot;,&quot;given&quot;:&quot;Mahboobeh&quot;,&quot;parse-names&quot;:false,&quot;dropping-particle&quot;:&quot;&quot;,&quot;non-dropping-particle&quot;:&quot;&quot;},{&quot;family&quot;:&quot;Mestrovic&quot;,&quot;given&quot;:&quot;Tomislav&quot;,&quot;parse-names&quot;:false,&quot;dropping-particle&quot;:&quot;&quot;,&quot;non-dropping-particle&quot;:&quot;&quot;},{&quot;family&quot;:&quot;Sá&quot;,&quot;given&quot;:&quot;Ana Carolina Micheletti Gomide Nogueira&quot;,&quot;parse-names&quot;:false,&quot;dropping-particle&quot;:&quot;&quot;,&quot;non-dropping-particle&quot;:&quot;De&quot;},{&quot;family&quot;:&quot;Mirrakhimov&quot;,&quot;given&quot;:&quot;Erkin M.&quot;,&quot;parse-names&quot;:false,&quot;dropping-particle&quot;:&quot;&quot;,&quot;non-dropping-particle&quot;:&quot;&quot;},{&quot;family&quot;:&quot;Misganaw&quot;,&quot;given&quot;:&quot;Awoke&quot;,&quot;parse-names&quot;:false,&quot;dropping-particle&quot;:&quot;&quot;,&quot;non-dropping-particle&quot;:&quot;&quot;},{&quot;family&quot;:&quot;Mithra&quot;,&quot;given&quot;:&quot;Prasanna&quot;,&quot;parse-names&quot;:false,&quot;dropping-particle&quot;:&quot;&quot;,&quot;non-dropping-particle&quot;:&quot;&quot;},{&quot;family&quot;:&quot;Moghadasi&quot;,&quot;given&quot;:&quot;Javad&quot;,&quot;parse-names&quot;:false,&quot;dropping-particle&quot;:&quot;&quot;,&quot;non-dropping-particle&quot;:&quot;&quot;},{&quot;family&quot;:&quot;Mohammadi&quot;,&quot;given&quot;:&quot;Esmaeil&quot;,&quot;parse-names&quot;:false,&quot;dropping-particle&quot;:&quot;&quot;,&quot;non-dropping-particle&quot;:&quot;&quot;},{&quot;family&quot;:&quot;Mohammadi&quot;,&quot;given&quot;:&quot;Mokhtar&quot;,&quot;parse-names&quot;:false,&quot;dropping-particle&quot;:&quot;&quot;,&quot;non-dropping-particle&quot;:&quot;&quot;},{&quot;family&quot;:&quot;Mohammadshahi&quot;,&quot;given&quot;:&quot;Marita&quot;,&quot;parse-names&quot;:false,&quot;dropping-particle&quot;:&quot;&quot;,&quot;non-dropping-particle&quot;:&quot;&quot;},{&quot;family&quot;:&quot;Mohammed&quot;,&quot;given&quot;:&quot;Shafiu&quot;,&quot;parse-names&quot;:false,&quot;dropping-particle&quot;:&quot;&quot;,&quot;non-dropping-particle&quot;:&quot;&quot;},{&quot;family&quot;:&quot;Mohan&quot;,&quot;given&quot;:&quot;Syam&quot;,&quot;parse-names&quot;:false,&quot;dropping-particle&quot;:&quot;&quot;,&quot;non-dropping-particle&quot;:&quot;&quot;},{&quot;family&quot;:&quot;Moka&quot;,&quot;given&quot;:&quot;Nagabhishek&quot;,&quot;parse-names&quot;:false,&quot;dropping-particle&quot;:&quot;&quot;,&quot;non-dropping-particle&quot;:&quot;&quot;},{&quot;family&quot;:&quot;Monasta&quot;,&quot;given&quot;:&quot;Lorenzo&quot;,&quot;parse-names&quot;:false,&quot;dropping-particle&quot;:&quot;&quot;,&quot;non-dropping-particle&quot;:&quot;&quot;},{&quot;family&quot;:&quot;Moni&quot;,&quot;given&quot;:&quot;Mohammad Ali&quot;,&quot;parse-names&quot;:false,&quot;dropping-particle&quot;:&quot;&quot;,&quot;non-dropping-particle&quot;:&quot;&quot;},{&quot;family&quot;:&quot;Moniruzzaman&quot;,&quot;given&quot;:&quot;Md&quot;,&quot;parse-names&quot;:false,&quot;dropping-particle&quot;:&quot;&quot;,&quot;non-dropping-particle&quot;:&quot;&quot;},{&quot;family&quot;:&quot;Montazeri&quot;,&quot;given&quot;:&quot;Fateme&quot;,&quot;parse-names&quot;:false,&quot;dropping-particle&quot;:&quot;&quot;,&quot;non-dropping-particle&quot;:&quot;&quot;},{&quot;family&quot;:&quot;Moradi&quot;,&quot;given&quot;:&quot;Maryam&quot;,&quot;parse-names&quot;:false,&quot;dropping-particle&quot;:&quot;&quot;,&quot;non-dropping-particle&quot;:&quot;&quot;},{&quot;family&quot;:&quot;Mostafavi&quot;,&quot;given&quot;:&quot;Ebrahim&quot;,&quot;parse-names&quot;:false,&quot;dropping-particle&quot;:&quot;&quot;,&quot;non-dropping-particle&quot;:&quot;&quot;},{&quot;family&quot;:&quot;Mpundu-Kaambwa&quot;,&quot;given&quot;:&quot;Christine&quot;,&quot;parse-names&quot;:false,&quot;dropping-particle&quot;:&quot;&quot;,&quot;non-dropping-particle&quot;:&quot;&quot;},{&quot;family&quot;:&quot;Murillo-Zamora&quot;,&quot;given&quot;:&quot;Efrén&quot;,&quot;parse-names&quot;:false,&quot;dropping-particle&quot;:&quot;&quot;,&quot;non-dropping-particle&quot;:&quot;&quot;},{&quot;family&quot;:&quot;Murray&quot;,&quot;given&quot;:&quot;Christopher J.L.&quot;,&quot;parse-names&quot;:false,&quot;dropping-particle&quot;:&quot;&quot;,&quot;non-dropping-particle&quot;:&quot;&quot;},{&quot;family&quot;:&quot;Nair&quot;,&quot;given&quot;:&quot;Tapas Sadasivan&quot;,&quot;parse-names&quot;:false,&quot;dropping-particle&quot;:&quot;&quot;,&quot;non-dropping-particle&quot;:&quot;&quot;},{&quot;family&quot;:&quot;Nangia&quot;,&quot;given&quot;:&quot;Vinay&quot;,&quot;parse-names&quot;:false,&quot;dropping-particle&quot;:&quot;&quot;,&quot;non-dropping-particle&quot;:&quot;&quot;},{&quot;family&quot;:&quot;Swamy&quot;,&quot;given&quot;:&quot;Sreenivas Narasimha&quot;,&quot;parse-names&quot;:false,&quot;dropping-particle&quot;:&quot;&quot;,&quot;non-dropping-particle&quot;:&quot;&quot;},{&quot;family&quot;:&quot;Narayana&quot;,&quot;given&quot;:&quot;Aparna Ichalangod&quot;,&quot;parse-names&quot;:false,&quot;dropping-particle&quot;:&quot;&quot;,&quot;non-dropping-particle&quot;:&quot;&quot;},{&quot;family&quot;:&quot;Natto&quot;,&quot;given&quot;:&quot;Zuhair S.&quot;,&quot;parse-names&quot;:false,&quot;dropping-particle&quot;:&quot;&quot;,&quot;non-dropping-particle&quot;:&quot;&quot;},{&quot;family&quot;:&quot;Nayak&quot;,&quot;given&quot;:&quot;Biswa Prakash&quot;,&quot;parse-names&quot;:false,&quot;dropping-particle&quot;:&quot;&quot;,&quot;non-dropping-particle&quot;:&quot;&quot;},{&quot;family&quot;:&quot;Negash&quot;,&quot;given&quot;:&quot;Wogene Wogene&quot;,&quot;parse-names&quot;:false,&quot;dropping-particle&quot;:&quot;&quot;,&quot;non-dropping-particle&quot;:&quot;&quot;},{&quot;family&quot;:&quot;Nena&quot;,&quot;given&quot;:&quot;Evangelia&quot;,&quot;parse-names&quot;:false,&quot;dropping-particle&quot;:&quot;&quot;,&quot;non-dropping-particle&quot;:&quot;&quot;},{&quot;family&quot;:&quot;Kandel&quot;,&quot;given&quot;:&quot;Sandhya Neupane&quot;,&quot;parse-names&quot;:false,&quot;dropping-particle&quot;:&quot;&quot;,&quot;non-dropping-particle&quot;:&quot;&quot;},{&quot;family&quot;:&quot;Niazi&quot;,&quot;given&quot;:&quot;Robina Khan&quot;,&quot;parse-names&quot;:false,&quot;dropping-particle&quot;:&quot;&quot;,&quot;non-dropping-particle&quot;:&quot;&quot;},{&quot;family&quot;:&quot;Sá&quot;,&quot;given&quot;:&quot;Antonio Tolentino Nogueira&quot;,&quot;parse-names&quot;:false,&quot;dropping-particle&quot;:&quot;&quot;,&quot;non-dropping-particle&quot;:&quot;De&quot;},{&quot;family&quot;:&quot;Nowroozi&quot;,&quot;given&quot;:&quot;Ali&quot;,&quot;parse-names&quot;:false,&quot;dropping-particle&quot;:&quot;&quot;,&quot;non-dropping-particle&quot;:&quot;&quot;},{&quot;family&quot;:&quot;Nzoputam&quot;,&quot;given&quot;:&quot;Chimezie Igwegbe&quot;,&quot;parse-names&quot;:false,&quot;dropping-particle&quot;:&quot;&quot;,&quot;non-dropping-particle&quot;:&quot;&quot;},{&quot;family&quot;:&quot;Nzoputam&quot;,&quot;given&quot;:&quot;Ogochukwu Janet&quot;,&quot;parse-names&quot;:false,&quot;dropping-particle&quot;:&quot;&quot;,&quot;non-dropping-particle&quot;:&quot;&quot;},{&quot;family&quot;:&quot;Oancea&quot;,&quot;given&quot;:&quot;Bogdan&quot;,&quot;parse-names&quot;:false,&quot;dropping-particle&quot;:&quot;&quot;,&quot;non-dropping-particle&quot;:&quot;&quot;},{&quot;family&quot;:&quot;Obaidur&quot;,&quot;given&quot;:&quot;Rahman Md&quot;,&quot;parse-names&quot;:false,&quot;dropping-particle&quot;:&quot;&quot;,&quot;non-dropping-particle&quot;:&quot;&quot;},{&quot;family&quot;:&quot;Odukoya&quot;,&quot;given&quot;:&quot;Oluwakemi Ololade&quot;,&quot;parse-names&quot;:false,&quot;dropping-particle&quot;:&quot;&quot;,&quot;non-dropping-particle&quot;:&quot;&quot;},{&quot;family&quot;:&quot;Okati-Aliabad&quot;,&quot;given&quot;:&quot;Hassan&quot;,&quot;parse-names&quot;:false,&quot;dropping-particle&quot;:&quot;&quot;,&quot;non-dropping-particle&quot;:&quot;&quot;},{&quot;family&quot;:&quot;Okekunle&quot;,&quot;given&quot;:&quot;Akinkunmi Paul&quot;,&quot;parse-names&quot;:false,&quot;dropping-particle&quot;:&quot;&quot;,&quot;non-dropping-particle&quot;:&quot;&quot;},{&quot;family&quot;:&quot;Okonji&quot;,&quot;given&quot;:&quot;Osaretin Christabel&quot;,&quot;parse-names&quot;:false,&quot;dropping-particle&quot;:&quot;&quot;,&quot;non-dropping-particle&quot;:&quot;&quot;},{&quot;family&quot;:&quot;Olagunju&quot;,&quot;given&quot;:&quot;Andrew T.&quot;,&quot;parse-names&quot;:false,&quot;dropping-particle&quot;:&quot;&quot;,&quot;non-dropping-particle&quot;:&quot;&quot;},{&quot;family&quot;:&quot;Bali&quot;,&quot;given&quot;:&quot;Ahmed Omar&quot;,&quot;parse-names&quot;:false,&quot;dropping-particle&quot;:&quot;&quot;,&quot;non-dropping-particle&quot;:&quot;&quot;},{&quot;family&quot;:&quot;Ostojic&quot;,&quot;given&quot;:&quot;Sergej M.&quot;,&quot;parse-names&quot;:false,&quot;dropping-particle&quot;:&quot;&quot;,&quot;non-dropping-particle&quot;:&quot;&quot;},{&quot;family&quot;:&quot;Mahesh&quot;,&quot;given&quot;:&quot;P. A.&quot;,&quot;parse-names&quot;:false,&quot;dropping-particle&quot;:&quot;&quot;,&quot;non-dropping-particle&quot;:&quot;&quot;},{&quot;family&quot;:&quot;Padron-Monedero&quot;,&quot;given&quot;:&quot;Alicia&quot;,&quot;parse-names&quot;:false,&quot;dropping-particle&quot;:&quot;&quot;,&quot;non-dropping-particle&quot;:&quot;&quot;},{&quot;family&quot;:&quot;Padubidri&quot;,&quot;given&quot;:&quot;Jagadish Rao&quot;,&quot;parse-names&quot;:false,&quot;dropping-particle&quot;:&quot;&quot;,&quot;non-dropping-particle&quot;:&quot;&quot;},{&quot;family&quot;:&quot;Fallahy&quot;,&quot;given&quot;:&quot;Mohammad Taha Pahlevan&quot;,&quot;parse-names&quot;:false,&quot;dropping-particle&quot;:&quot;&quot;,&quot;non-dropping-particle&quot;:&quot;&quot;},{&quot;family&quot;:&quot;Palicz&quot;,&quot;given&quot;:&quot;Tamás&quot;,&quot;parse-names&quot;:false,&quot;dropping-particle&quot;:&quot;&quot;,&quot;non-dropping-particle&quot;:&quot;&quot;},{&quot;family&quot;:&quot;Pana&quot;,&quot;given&quot;:&quot;Adrian&quot;,&quot;parse-names&quot;:false,&quot;dropping-particle&quot;:&quot;&quot;,&quot;non-dropping-particle&quot;:&quot;&quot;},{&quot;family&quot;:&quot;Park&quot;,&quot;given&quot;:&quot;Eun Kee&quot;,&quot;parse-names&quot;:false,&quot;dropping-particle&quot;:&quot;&quot;,&quot;non-dropping-particle&quot;:&quot;&quot;},{&quot;family&quot;:&quot;Patel&quot;,&quot;given&quot;:&quot;Jay&quot;,&quot;parse-names&quot;:false,&quot;dropping-particle&quot;:&quot;&quot;,&quot;non-dropping-particle&quot;:&quot;&quot;},{&quot;family&quot;:&quot;Paudel&quot;,&quot;given&quot;:&quot;Rajan&quot;,&quot;parse-names&quot;:false,&quot;dropping-particle&quot;:&quot;&quot;,&quot;non-dropping-particle&quot;:&quot;&quot;},{&quot;family&quot;:&quot;Paudel&quot;,&quot;given&quot;:&quot;Uttam&quot;,&quot;parse-names&quot;:false,&quot;dropping-particle&quot;:&quot;&quot;,&quot;non-dropping-particle&quot;:&quot;&quot;},{&quot;family&quot;:&quot;Pedersini&quot;,&quot;given&quot;:&quot;Paolo&quot;,&quot;parse-names&quot;:false,&quot;dropping-particle&quot;:&quot;&quot;,&quot;non-dropping-particle&quot;:&quot;&quot;},{&quot;family&quot;:&quot;Pereira&quot;,&quot;given&quot;:&quot;Marcos&quot;,&quot;parse-names&quot;:false,&quot;dropping-particle&quot;:&quot;&quot;,&quot;non-dropping-particle&quot;:&quot;&quot;},{&quot;family&quot;:&quot;Pereira&quot;,&quot;given&quot;:&quot;Renato B.&quot;,&quot;parse-names&quot;:false,&quot;dropping-particle&quot;:&quot;&quot;,&quot;non-dropping-particle&quot;:&quot;&quot;},{&quot;family&quot;:&quot;Petcu&quot;,&quot;given&quot;:&quot;Ionela Roxana&quot;,&quot;parse-names&quot;:false,&quot;dropping-particle&quot;:&quot;&quot;,&quot;non-dropping-particle&quot;:&quot;&quot;},{&quot;family&quot;:&quot;Pirestani&quot;,&quot;given&quot;:&quot;Majid&quot;,&quot;parse-names&quot;:false,&quot;dropping-particle&quot;:&quot;&quot;,&quot;non-dropping-particle&quot;:&quot;&quot;},{&quot;family&quot;:&quot;Postma&quot;,&quot;given&quot;:&quot;Maarten J.&quot;,&quot;parse-names&quot;:false,&quot;dropping-particle&quot;:&quot;&quot;,&quot;non-dropping-particle&quot;:&quot;&quot;},{&quot;family&quot;:&quot;Prashant&quot;,&quot;given&quot;:&quot;Akila&quot;,&quot;parse-names&quot;:false,&quot;dropping-particle&quot;:&quot;&quot;,&quot;non-dropping-particle&quot;:&quot;&quot;},{&quot;family&quot;:&quot;Rabiee&quot;,&quot;given&quot;:&quot;Mohammad&quot;,&quot;parse-names&quot;:false,&quot;dropping-particle&quot;:&quot;&quot;,&quot;non-dropping-particle&quot;:&quot;&quot;},{&quot;family&quot;:&quot;Radfar&quot;,&quot;given&quot;:&quot;Amir&quot;,&quot;parse-names&quot;:false,&quot;dropping-particle&quot;:&quot;&quot;,&quot;non-dropping-particle&quot;:&quot;&quot;},{&quot;family&quot;:&quot;Rafiei&quot;,&quot;given&quot;:&quot;Sima&quot;,&quot;parse-names&quot;:false,&quot;dropping-particle&quot;:&quot;&quot;,&quot;non-dropping-particle&quot;:&quot;&quot;},{&quot;family&quot;:&quot;Rahim&quot;,&quot;given&quot;:&quot;Fakher&quot;,&quot;parse-names&quot;:false,&quot;dropping-particle&quot;:&quot;&quot;,&quot;non-dropping-particle&quot;:&quot;&quot;},{&quot;family&quot;:&quot;Ur Rahman&quot;,&quot;given&quot;:&quot;Mohammad Hifz&quot;,&quot;parse-names&quot;:false,&quot;dropping-particle&quot;:&quot;&quot;,&quot;non-dropping-particle&quot;:&quot;&quot;},{&quot;family&quot;:&quot;Rahman&quot;,&quot;given&quot;:&quot;Mosiur&quot;,&quot;parse-names&quot;:false,&quot;dropping-particle&quot;:&quot;&quot;,&quot;non-dropping-particle&quot;:&quot;&quot;},{&quot;family&quot;:&quot;Rahman&quot;,&quot;given&quot;:&quot;Muhammad Aziz&quot;,&quot;parse-names&quot;:false,&quot;dropping-particle&quot;:&quot;&quot;,&quot;non-dropping-particle&quot;:&quot;&quot;},{&quot;family&quot;:&quot;Rahmani&quot;,&quot;given&quot;:&quot;Amir Masoud&quot;,&quot;parse-names&quot;:false,&quot;dropping-particle&quot;:&quot;&quot;,&quot;non-dropping-particle&quot;:&quot;&quot;},{&quot;family&quot;:&quot;Rahmani&quot;,&quot;given&quot;:&quot;Shayan&quot;,&quot;parse-names&quot;:false,&quot;dropping-particle&quot;:&quot;&quot;,&quot;non-dropping-particle&quot;:&quot;&quot;},{&quot;family&quot;:&quot;Rahmanian&quot;,&quot;given&quot;:&quot;Vahid&quot;,&quot;parse-names&quot;:false,&quot;dropping-particle&quot;:&quot;&quot;,&quot;non-dropping-particle&quot;:&quot;&quot;},{&quot;family&quot;:&quot;Rajput&quot;,&quot;given&quot;:&quot;Prashant&quot;,&quot;parse-names&quot;:false,&quot;dropping-particle&quot;:&quot;&quot;,&quot;non-dropping-particle&quot;:&quot;&quot;},{&quot;family&quot;:&quot;Rana&quot;,&quot;given&quot;:&quot;Juwel&quot;,&quot;parse-names&quot;:false,&quot;dropping-particle&quot;:&quot;&quot;,&quot;non-dropping-particle&quot;:&quot;&quot;},{&quot;family&quot;:&quot;Rao&quot;,&quot;given&quot;:&quot;Chythra R.&quot;,&quot;parse-names&quot;:false,&quot;dropping-particle&quot;:&quot;&quot;,&quot;non-dropping-particle&quot;:&quot;&quot;},{&quot;family&quot;:&quot;Rao&quot;,&quot;given&quot;:&quot;Sowmya J.&quot;,&quot;parse-names&quot;:false,&quot;dropping-particle&quot;:&quot;&quot;,&quot;non-dropping-particle&quot;:&quot;&quot;},{&quot;family&quot;:&quot;Rashedi&quot;,&quot;given&quot;:&quot;Sina&quot;,&quot;parse-names&quot;:false,&quot;dropping-particle&quot;:&quot;&quot;,&quot;non-dropping-particle&quot;:&quot;&quot;},{&quot;family&quot;:&quot;Rashidi&quot;,&quot;given&quot;:&quot;Mohammad Mahdi&quot;,&quot;parse-names&quot;:false,&quot;dropping-particle&quot;:&quot;&quot;,&quot;non-dropping-particle&quot;:&quot;&quot;},{&quot;family&quot;:&quot;Ratan&quot;,&quot;given&quot;:&quot;Zubair Ahmed&quot;,&quot;parse-names&quot;:false,&quot;dropping-particle&quot;:&quot;&quot;,&quot;non-dropping-particle&quot;:&quot;&quot;},{&quot;family&quot;:&quot;Rawaf&quot;,&quot;given&quot;:&quot;David Laith&quot;,&quot;parse-names&quot;:false,&quot;dropping-particle&quot;:&quot;&quot;,&quot;non-dropping-particle&quot;:&quot;&quot;},{&quot;family&quot;:&quot;Rawaf&quot;,&quot;given&quot;:&quot;Salman&quot;,&quot;parse-names&quot;:false,&quot;dropping-particle&quot;:&quot;&quot;,&quot;non-dropping-particle&quot;:&quot;&quot;},{&quot;family&quot;:&quot;Rawal&quot;,&quot;given&quot;:&quot;Lal&quot;,&quot;parse-names&quot;:false,&quot;dropping-particle&quot;:&quot;&quot;,&quot;non-dropping-particle&quot;:&quot;&quot;},{&quot;family&quot;:&quot;Rawassizadeh&quot;,&quot;given&quot;:&quot;Reza&quot;,&quot;parse-names&quot;:false,&quot;dropping-particle&quot;:&quot;&quot;,&quot;non-dropping-particle&quot;:&quot;&quot;},{&quot;family&quot;:&quot;Razeghinia&quot;,&quot;given&quot;:&quot;Mohammad Sadegh&quot;,&quot;parse-names&quot;:false,&quot;dropping-particle&quot;:&quot;&quot;,&quot;non-dropping-particle&quot;:&quot;&quot;},{&quot;family&quot;:&quot;Redwan&quot;,&quot;given&quot;:&quot;Elrashdy Moustafa Mohamed&quot;,&quot;parse-names&quot;:false,&quot;dropping-particle&quot;:&quot;&quot;,&quot;non-dropping-particle&quot;:&quot;&quot;},{&quot;family&quot;:&quot;Rezaei&quot;,&quot;given&quot;:&quot;Maryam&quot;,&quot;parse-names&quot;:false,&quot;dropping-particle&quot;:&quot;&quot;,&quot;non-dropping-particle&quot;:&quot;&quot;},{&quot;family&quot;:&quot;Rezaei&quot;,&quot;given&quot;:&quot;Nazila&quot;,&quot;parse-names&quot;:false,&quot;dropping-particle&quot;:&quot;&quot;,&quot;non-dropping-particle&quot;:&quot;&quot;},{&quot;family&quot;:&quot;Rezaei&quot;,&quot;given&quot;:&quot;Nima&quot;,&quot;parse-names&quot;:false,&quot;dropping-particle&quot;:&quot;&quot;,&quot;non-dropping-particle&quot;:&quot;&quot;},{&quot;family&quot;:&quot;Rezaeian&quot;,&quot;given&quot;:&quot;Mohsen&quot;,&quot;parse-names&quot;:false,&quot;dropping-particle&quot;:&quot;&quot;,&quot;non-dropping-particle&quot;:&quot;&quot;},{&quot;family&quot;:&quot;Rodrigues&quot;,&quot;given&quot;:&quot;Mónica&quot;,&quot;parse-names&quot;:false,&quot;dropping-particle&quot;:&quot;&quot;,&quot;non-dropping-particle&quot;:&quot;&quot;},{&quot;family&quot;:&quot;Rodriguez&quot;,&quot;given&quot;:&quot;Jefferson Antonio Buendia&quot;,&quot;parse-names&quot;:false,&quot;dropping-particle&quot;:&quot;&quot;,&quot;non-dropping-particle&quot;:&quot;&quot;},{&quot;family&quot;:&quot;Roever&quot;,&quot;given&quot;:&quot;Leonardo&quot;,&quot;parse-names&quot;:false,&quot;dropping-particle&quot;:&quot;&quot;,&quot;non-dropping-particle&quot;:&quot;&quot;},{&quot;family&quot;:&quot;Rojas-Rueda&quot;,&quot;given&quot;:&quot;David&quot;,&quot;parse-names&quot;:false,&quot;dropping-particle&quot;:&quot;&quot;,&quot;non-dropping-particle&quot;:&quot;&quot;},{&quot;family&quot;:&quot;Rudd&quot;,&quot;given&quot;:&quot;Kristina E.&quot;,&quot;parse-names&quot;:false,&quot;dropping-particle&quot;:&quot;&quot;,&quot;non-dropping-particle&quot;:&quot;&quot;},{&quot;family&quot;:&quot;Saad&quot;,&quot;given&quot;:&quot;Aly M.A.&quot;,&quot;parse-names&quot;:false,&quot;dropping-particle&quot;:&quot;&quot;,&quot;non-dropping-particle&quot;:&quot;&quot;},{&quot;family&quot;:&quot;Sabour&quot;,&quot;given&quot;:&quot;Siamak&quot;,&quot;parse-names&quot;:false,&quot;dropping-particle&quot;:&quot;&quot;,&quot;non-dropping-particle&quot;:&quot;&quot;},{&quot;family&quot;:&quot;Saddik&quot;,&quot;given&quot;:&quot;Basema&quot;,&quot;parse-names&quot;:false,&quot;dropping-particle&quot;:&quot;&quot;,&quot;non-dropping-particle&quot;:&quot;&quot;},{&quot;family&quot;:&quot;Sadeghi&quot;,&quot;given&quot;:&quot;Erfan&quot;,&quot;parse-names&quot;:false,&quot;dropping-particle&quot;:&quot;&quot;,&quot;non-dropping-particle&quot;:&quot;&quot;},{&quot;family&quot;:&quot;Sadeghi&quot;,&quot;given&quot;:&quot;Masoumeh&quot;,&quot;parse-names&quot;:false,&quot;dropping-particle&quot;:&quot;&quot;,&quot;non-dropping-particle&quot;:&quot;&quot;},{&quot;family&quot;:&quot;Saeed&quot;,&quot;given&quot;:&quot;Umar&quot;,&quot;parse-names&quot;:false,&quot;dropping-particle&quot;:&quot;&quot;,&quot;non-dropping-particle&quot;:&quot;&quot;},{&quot;family&quot;:&quot;Sahebazzamani&quot;,&quot;given&quot;:&quot;Maryam&quot;,&quot;parse-names&quot;:false,&quot;dropping-particle&quot;:&quot;&quot;,&quot;non-dropping-particle&quot;:&quot;&quot;},{&quot;family&quot;:&quot;Sahebkar&quot;,&quot;given&quot;:&quot;Amirhossein&quot;,&quot;parse-names&quot;:false,&quot;dropping-particle&quot;:&quot;&quot;,&quot;non-dropping-particle&quot;:&quot;&quot;},{&quot;family&quot;:&quot;Sahoo&quot;,&quot;given&quot;:&quot;Harihar&quot;,&quot;parse-names&quot;:false,&quot;dropping-particle&quot;:&quot;&quot;,&quot;non-dropping-particle&quot;:&quot;&quot;},{&quot;family&quot;:&quot;Sajid&quot;,&quot;given&quot;:&quot;Mirza Rizwan&quot;,&quot;parse-names&quot;:false,&quot;dropping-particle&quot;:&quot;&quot;,&quot;non-dropping-particle&quot;:&quot;&quot;},{&quot;family&quot;:&quot;Sakhamuri&quot;,&quot;given&quot;:&quot;Sateesh&quot;,&quot;parse-names&quot;:false,&quot;dropping-particle&quot;:&quot;&quot;,&quot;non-dropping-particle&quot;:&quot;&quot;},{&quot;family&quot;:&quot;Salehi&quot;,&quot;given&quot;:&quot;Sana&quot;,&quot;parse-names&quot;:false,&quot;dropping-particle&quot;:&quot;&quot;,&quot;non-dropping-particle&quot;:&quot;&quot;},{&quot;family&quot;:&quot;Samy&quot;,&quot;given&quot;:&quot;Abdallah M.&quot;,&quot;parse-names&quot;:false,&quot;dropping-particle&quot;:&quot;&quot;,&quot;non-dropping-particle&quot;:&quot;&quot;},{&quot;family&quot;:&quot;Santric-Milicevic&quot;,&quot;given&quot;:&quot;Milena M.&quot;,&quot;parse-names&quot;:false,&quot;dropping-particle&quot;:&quot;&quot;,&quot;non-dropping-particle&quot;:&quot;&quot;},{&quot;family&quot;:&quot;Jose&quot;,&quot;given&quot;:&quot;Bruno Piassi Sao&quot;,&quot;parse-names&quot;:false,&quot;dropping-particle&quot;:&quot;&quot;,&quot;non-dropping-particle&quot;:&quot;&quot;},{&quot;family&quot;:&quot;Sathian&quot;,&quot;given&quot;:&quot;Brijesh&quot;,&quot;parse-names&quot;:false,&quot;dropping-particle&quot;:&quot;&quot;,&quot;non-dropping-particle&quot;:&quot;&quot;},{&quot;family&quot;:&quot;Satpathy&quot;,&quot;given&quot;:&quot;Maheswar&quot;,&quot;parse-names&quot;:false,&quot;dropping-particle&quot;:&quot;&quot;,&quot;non-dropping-particle&quot;:&quot;&quot;},{&quot;family&quot;:&quot;Saya&quot;,&quot;given&quot;:&quot;Ganesh Kumar&quot;,&quot;parse-names&quot;:false,&quot;dropping-particle&quot;:&quot;&quot;,&quot;non-dropping-particle&quot;:&quot;&quot;},{&quot;family&quot;:&quot;Senthilkumaran&quot;,&quot;given&quot;:&quot;Subramanian&quot;,&quot;parse-names&quot;:false,&quot;dropping-particle&quot;:&quot;&quot;,&quot;non-dropping-particle&quot;:&quot;&quot;},{&quot;family&quot;:&quot;Seylani&quot;,&quot;given&quot;:&quot;Allen&quot;,&quot;parse-names&quot;:false,&quot;dropping-particle&quot;:&quot;&quot;,&quot;non-dropping-particle&quot;:&quot;&quot;},{&quot;family&quot;:&quot;Shahabi&quot;,&quot;given&quot;:&quot;Saeed&quot;,&quot;parse-names&quot;:false,&quot;dropping-particle&quot;:&quot;&quot;,&quot;non-dropping-particle&quot;:&quot;&quot;},{&quot;family&quot;:&quot;Shaikh&quot;,&quot;given&quot;:&quot;Masood Ali&quot;,&quot;parse-names&quot;:false,&quot;dropping-particle&quot;:&quot;&quot;,&quot;non-dropping-particle&quot;:&quot;&quot;},{&quot;family&quot;:&quot;Shanawaz&quot;,&quot;given&quot;:&quot;Mohd&quot;,&quot;parse-names&quot;:false,&quot;dropping-particle&quot;:&quot;&quot;,&quot;non-dropping-particle&quot;:&quot;&quot;},{&quot;family&quot;:&quot;Shannawaz&quot;,&quot;given&quot;:&quot;Mohammed&quot;,&quot;parse-names&quot;:false,&quot;dropping-particle&quot;:&quot;&quot;,&quot;non-dropping-particle&quot;:&quot;&quot;},{&quot;family&quot;:&quot;Sheikhi&quot;,&quot;given&quot;:&quot;Rahim Ali&quot;,&quot;parse-names&quot;:false,&quot;dropping-particle&quot;:&quot;&quot;,&quot;non-dropping-particle&quot;:&quot;&quot;},{&quot;family&quot;:&quot;Shekhar&quot;,&quot;given&quot;:&quot;Shashank&quot;,&quot;parse-names&quot;:false,&quot;dropping-particle&quot;:&quot;&quot;,&quot;non-dropping-particle&quot;:&quot;&quot;},{&quot;family&quot;:&quot;Sibhat&quot;,&quot;given&quot;:&quot;Migbar Mekonnen&quot;,&quot;parse-names&quot;:false,&quot;dropping-particle&quot;:&quot;&quot;,&quot;non-dropping-particle&quot;:&quot;&quot;},{&quot;family&quot;:&quot;Simpson&quot;,&quot;given&quot;:&quot;Colin R.&quot;,&quot;parse-names&quot;:false,&quot;dropping-particle&quot;:&quot;&quot;,&quot;non-dropping-particle&quot;:&quot;&quot;},{&quot;family&quot;:&quot;Singh&quot;,&quot;given&quot;:&quot;Jasvinder A.&quot;,&quot;parse-names&quot;:false,&quot;dropping-particle&quot;:&quot;&quot;,&quot;non-dropping-particle&quot;:&quot;&quot;},{&quot;family&quot;:&quot;Singh&quot;,&quot;given&quot;:&quot;Paramdeep&quot;,&quot;parse-names&quot;:false,&quot;dropping-particle&quot;:&quot;&quot;,&quot;non-dropping-particle&quot;:&quot;&quot;},{&quot;family&quot;:&quot;Singh&quot;,&quot;given&quot;:&quot;Surjit&quot;,&quot;parse-names&quot;:false,&quot;dropping-particle&quot;:&quot;&quot;,&quot;non-dropping-particle&quot;:&quot;&quot;},{&quot;family&quot;:&quot;Skryabin&quot;,&quot;given&quot;:&quot;Valentin Yurievich&quot;,&quot;parse-names&quot;:false,&quot;dropping-particle&quot;:&quot;&quot;,&quot;non-dropping-particle&quot;:&quot;&quot;},{&quot;family&quot;:&quot;Skryabina&quot;,&quot;given&quot;:&quot;Anna Aleksandrovna&quot;,&quot;parse-names&quot;:false,&quot;dropping-particle&quot;:&quot;&quot;,&quot;non-dropping-particle&quot;:&quot;&quot;},{&quot;family&quot;:&quot;Soltani-Zangbar&quot;,&quot;given&quot;:&quot;Mohammad Sadegh&quot;,&quot;parse-names&quot;:false,&quot;dropping-particle&quot;:&quot;&quot;,&quot;non-dropping-particle&quot;:&quot;&quot;},{&quot;family&quot;:&quot;Song&quot;,&quot;given&quot;:&quot;Suhang&quot;,&quot;parse-names&quot;:false,&quot;dropping-particle&quot;:&quot;&quot;,&quot;non-dropping-particle&quot;:&quot;&quot;},{&quot;family&quot;:&quot;Soyiri&quot;,&quot;given&quot;:&quot;Ireneous N.&quot;,&quot;parse-names&quot;:false,&quot;dropping-particle&quot;:&quot;&quot;,&quot;non-dropping-particle&quot;:&quot;&quot;},{&quot;family&quot;:&quot;Steiropoulos&quot;,&quot;given&quot;:&quot;Paschalis&quot;,&quot;parse-names&quot;:false,&quot;dropping-particle&quot;:&quot;&quot;,&quot;non-dropping-particle&quot;:&quot;&quot;},{&quot;family&quot;:&quot;Stockfelt&quot;,&quot;given&quot;:&quot;Leo&quot;,&quot;parse-names&quot;:false,&quot;dropping-particle&quot;:&quot;&quot;,&quot;non-dropping-particle&quot;:&quot;&quot;},{&quot;family&quot;:&quot;Sun&quot;,&quot;given&quot;:&quot;Jing&quot;,&quot;parse-names&quot;:false,&quot;dropping-particle&quot;:&quot;&quot;,&quot;non-dropping-particle&quot;:&quot;&quot;},{&quot;family&quot;:&quot;Takahashi&quot;,&quot;given&quot;:&quot;Ken&quot;,&quot;parse-names&quot;:false,&quot;dropping-particle&quot;:&quot;&quot;,&quot;non-dropping-particle&quot;:&quot;&quot;},{&quot;family&quot;:&quot;Talaat&quot;,&quot;given&quot;:&quot;Iman M.&quot;,&quot;parse-names&quot;:false,&quot;dropping-particle&quot;:&quot;&quot;,&quot;non-dropping-particle&quot;:&quot;&quot;},{&quot;family&quot;:&quot;Tan&quot;,&quot;given&quot;:&quot;Ker Kan&quot;,&quot;parse-names&quot;:false,&quot;dropping-particle&quot;:&quot;&quot;,&quot;non-dropping-particle&quot;:&quot;&quot;},{&quot;family&quot;:&quot;Tat&quot;,&quot;given&quot;:&quot;Nathan Y.&quot;,&quot;parse-names&quot;:false,&quot;dropping-particle&quot;:&quot;&quot;,&quot;non-dropping-particle&quot;:&quot;&quot;},{&quot;family&quot;:&quot;Tat&quot;,&quot;given&quot;:&quot;Vivian Y.&quot;,&quot;parse-names&quot;:false,&quot;dropping-particle&quot;:&quot;&quot;,&quot;non-dropping-particle&quot;:&quot;&quot;},{&quot;family&quot;:&quot;Taye&quot;,&quot;given&quot;:&quot;Birhan Tsegaw&quot;,&quot;parse-names&quot;:false,&quot;dropping-particle&quot;:&quot;&quot;,&quot;non-dropping-particle&quot;:&quot;&quot;},{&quot;family&quot;:&quot;Thangaraju&quot;,&quot;given&quot;:&quot;Pugazhenthan&quot;,&quot;parse-names&quot;:false,&quot;dropping-particle&quot;:&quot;&quot;,&quot;non-dropping-particle&quot;:&quot;&quot;},{&quot;family&quot;:&quot;Thapar&quot;,&quot;given&quot;:&quot;Rekha&quot;,&quot;parse-names&quot;:false,&quot;dropping-particle&quot;:&quot;&quot;,&quot;non-dropping-particle&quot;:&quot;&quot;},{&quot;family&quot;:&quot;Thienemann&quot;,&quot;given&quot;:&quot;Friedrich&quot;,&quot;parse-names&quot;:false,&quot;dropping-particle&quot;:&quot;&quot;,&quot;non-dropping-particle&quot;:&quot;&quot;},{&quot;family&quot;:&quot;Tiyuri&quot;,&quot;given&quot;:&quot;Amir&quot;,&quot;parse-names&quot;:false,&quot;dropping-particle&quot;:&quot;&quot;,&quot;non-dropping-particle&quot;:&quot;&quot;},{&quot;family&quot;:&quot;Tran&quot;,&quot;given&quot;:&quot;Mai Thi Ngoc&quot;,&quot;parse-names&quot;:false,&quot;dropping-particle&quot;:&quot;&quot;,&quot;non-dropping-particle&quot;:&quot;&quot;},{&quot;family&quot;:&quot;Tripathy&quot;,&quot;given&quot;:&quot;Jaya Prasad&quot;,&quot;parse-names&quot;:false,&quot;dropping-particle&quot;:&quot;&quot;,&quot;non-dropping-particle&quot;:&quot;&quot;},{&quot;family&quot;:&quot;Car&quot;,&quot;given&quot;:&quot;Lorainne Tudor&quot;,&quot;parse-names&quot;:false,&quot;dropping-particle&quot;:&quot;&quot;,&quot;non-dropping-particle&quot;:&quot;&quot;},{&quot;family&quot;:&quot;Tusa&quot;,&quot;given&quot;:&quot;Biruk Shalmeno&quot;,&quot;parse-names&quot;:false,&quot;dropping-particle&quot;:&quot;&quot;,&quot;non-dropping-particle&quot;:&quot;&quot;},{&quot;family&quot;:&quot;Ullah&quot;,&quot;given&quot;:&quot;Irfan&quot;,&quot;parse-names&quot;:false,&quot;dropping-particle&quot;:&quot;&quot;,&quot;non-dropping-particle&quot;:&quot;&quot;},{&quot;family&quot;:&quot;Ullah&quot;,&quot;given&quot;:&quot;Sana&quot;,&quot;parse-names&quot;:false,&quot;dropping-particle&quot;:&quot;&quot;,&quot;non-dropping-particle&quot;:&quot;&quot;},{&quot;family&quot;:&quot;Vacante&quot;,&quot;given&quot;:&quot;Marco&quot;,&quot;parse-names&quot;:false,&quot;dropping-particle&quot;:&quot;&quot;,&quot;non-dropping-particle&quot;:&quot;&quot;},{&quot;family&quot;:&quot;Valdez&quot;,&quot;given&quot;:&quot;Pascual R.&quot;,&quot;parse-names&quot;:false,&quot;dropping-particle&quot;:&quot;&quot;,&quot;non-dropping-particle&quot;:&quot;&quot;},{&quot;family&quot;:&quot;Valizadeh&quot;,&quot;given&quot;:&quot;Rohollah&quot;,&quot;parse-names&quot;:false,&quot;dropping-particle&quot;:&quot;&quot;,&quot;non-dropping-particle&quot;:&quot;&quot;},{&quot;family&quot;:&quot;Boven&quot;,&quot;given&quot;:&quot;Job F.M.&quot;,&quot;parse-names&quot;:false,&quot;dropping-particle&quot;:&quot;&quot;,&quot;non-dropping-particle&quot;:&quot;Van&quot;},{&quot;family&quot;:&quot;Vasankari&quot;,&quot;given&quot;:&quot;Tommi Juhani&quot;,&quot;parse-names&quot;:false,&quot;dropping-particle&quot;:&quot;&quot;,&quot;non-dropping-particle&quot;:&quot;&quot;},{&quot;family&quot;:&quot;Vaziri&quot;,&quot;given&quot;:&quot;Siavash&quot;,&quot;parse-names&quot;:false,&quot;dropping-particle&quot;:&quot;&quot;,&quot;non-dropping-particle&quot;:&quot;&quot;},{&quot;family&quot;:&quot;Violante&quot;,&quot;given&quot;:&quot;Francesco S.&quot;,&quot;parse-names&quot;:false,&quot;dropping-particle&quot;:&quot;&quot;,&quot;non-dropping-particle&quot;:&quot;&quot;},{&quot;family&quot;:&quot;Vo&quot;,&quot;given&quot;:&quot;Bay&quot;,&quot;parse-names&quot;:false,&quot;dropping-particle&quot;:&quot;&quot;,&quot;non-dropping-particle&quot;:&quot;&quot;},{&quot;family&quot;:&quot;Wang&quot;,&quot;given&quot;:&quot;Ning&quot;,&quot;parse-names&quot;:false,&quot;dropping-particle&quot;:&quot;&quot;,&quot;non-dropping-particle&quot;:&quot;&quot;},{&quot;family&quot;:&quot;Wei&quot;,&quot;given&quot;:&quot;Melissa Y.&quot;,&quot;parse-names&quot;:false,&quot;dropping-particle&quot;:&quot;&quot;,&quot;non-dropping-particle&quot;:&quot;&quot;},{&quot;family&quot;:&quot;Westerman&quot;,&quot;given&quot;:&quot;Ronny&quot;,&quot;parse-names&quot;:false,&quot;dropping-particle&quot;:&quot;&quot;,&quot;non-dropping-particle&quot;:&quot;&quot;},{&quot;family&quot;:&quot;Wickramasinghe&quot;,&quot;given&quot;:&quot;Nuwan Darshana&quot;,&quot;parse-names&quot;:false,&quot;dropping-particle&quot;:&quot;&quot;,&quot;non-dropping-particle&quot;:&quot;&quot;},{&quot;family&quot;:&quot;Xu&quot;,&quot;given&quot;:&quot;Suowen&quot;,&quot;parse-names&quot;:false,&quot;dropping-particle&quot;:&quot;&quot;,&quot;non-dropping-particle&quot;:&quot;&quot;},{&quot;family&quot;:&quot;Xu&quot;,&quot;given&quot;:&quot;Xiaoyue&quot;,&quot;parse-names&quot;:false,&quot;dropping-particle&quot;:&quot;&quot;,&quot;non-dropping-particle&quot;:&quot;&quot;},{&quot;family&quot;:&quot;Yadav&quot;,&quot;given&quot;:&quot;Lalit&quot;,&quot;parse-names&quot;:false,&quot;dropping-particle&quot;:&quot;&quot;,&quot;non-dropping-particle&quot;:&quot;&quot;},{&quot;family&quot;:&quot;Yismaw&quot;,&quot;given&quot;:&quot;Yazachew&quot;,&quot;parse-names&quot;:false,&quot;dropping-particle&quot;:&quot;&quot;,&quot;non-dropping-particle&quot;:&quot;&quot;},{&quot;family&quot;:&quot;Yon&quot;,&quot;given&quot;:&quot;Dong Keon&quot;,&quot;parse-names&quot;:false,&quot;dropping-particle&quot;:&quot;&quot;,&quot;non-dropping-particle&quot;:&quot;&quot;},{&quot;family&quot;:&quot;Yonemoto&quot;,&quot;given&quot;:&quot;Naohiro&quot;,&quot;parse-names&quot;:false,&quot;dropping-particle&quot;:&quot;&quot;,&quot;non-dropping-particle&quot;:&quot;&quot;},{&quot;family&quot;:&quot;Yu&quot;,&quot;given&quot;:&quot;Chuanhua&quot;,&quot;parse-names&quot;:false,&quot;dropping-particle&quot;:&quot;&quot;,&quot;non-dropping-particle&quot;:&quot;&quot;},{&quot;family&quot;:&quot;Yu&quot;,&quot;given&quot;:&quot;Yong&quot;,&quot;parse-names&quot;:false,&quot;dropping-particle&quot;:&quot;&quot;,&quot;non-dropping-particle&quot;:&quot;&quot;},{&quot;family&quot;:&quot;Yunusa&quot;,&quot;given&quot;:&quot;Ismaeel&quot;,&quot;parse-names&quot;:false,&quot;dropping-particle&quot;:&quot;&quot;,&quot;non-dropping-particle&quot;:&quot;&quot;},{&quot;family&quot;:&quot;Zahir&quot;,&quot;given&quot;:&quot;Mazyar&quot;,&quot;parse-names&quot;:false,&quot;dropping-particle&quot;:&quot;&quot;,&quot;non-dropping-particle&quot;:&quot;&quot;},{&quot;family&quot;:&quot;Zangiabadian&quot;,&quot;given&quot;:&quot;Moein&quot;,&quot;parse-names&quot;:false,&quot;dropping-particle&quot;:&quot;&quot;,&quot;non-dropping-particle&quot;:&quot;&quot;},{&quot;family&quot;:&quot;Zareshahrabadi&quot;,&quot;given&quot;:&quot;Zahra&quot;,&quot;parse-names&quot;:false,&quot;dropping-particle&quot;:&quot;&quot;,&quot;non-dropping-particle&quot;:&quot;&quot;},{&quot;family&quot;:&quot;Zarrintan&quot;,&quot;given&quot;:&quot;Armin&quot;,&quot;parse-names&quot;:false,&quot;dropping-particle&quot;:&quot;&quot;,&quot;non-dropping-particle&quot;:&quot;&quot;},{&quot;family&quot;:&quot;Zastrozhin&quot;,&quot;given&quot;:&quot;Mikhail Sergeevich&quot;,&quot;parse-names&quot;:false,&quot;dropping-particle&quot;:&quot;&quot;,&quot;non-dropping-particle&quot;:&quot;&quot;},{&quot;family&quot;:&quot;Zegeye&quot;,&quot;given&quot;:&quot;Zelalem Banjaw&quot;,&quot;parse-names&quot;:false,&quot;dropping-particle&quot;:&quot;&quot;,&quot;non-dropping-particle&quot;:&quot;&quot;},{&quot;family&quot;:&quot;Zhang&quot;,&quot;given&quot;:&quot;Yunquan&quot;,&quot;parse-names&quot;:false,&quot;dropping-particle&quot;:&quot;&quot;,&quot;non-dropping-particle&quot;:&quot;&quot;},{&quot;family&quot;:&quot;Naghavi&quot;,&quot;given&quot;:&quot;Mohsen&quot;,&quot;parse-names&quot;:false,&quot;dropping-particle&quot;:&quot;&quot;,&quot;non-dropping-particle&quot;:&quot;&quot;},{&quot;family&quot;:&quot;Larijani&quot;,&quot;given&quot;:&quot;Bagher&quot;,&quot;parse-names&quot;:false,&quot;dropping-particle&quot;:&quot;&quot;,&quot;non-dropping-particle&quot;:&quot;&quot;},{&quot;family&quot;:&quot;Farzadfar&quot;,&quot;given&quot;:&quot;Farshad&quot;,&quot;parse-names&quot;:false,&quot;dropping-particle&quot;:&quot;&quot;,&quot;non-dropping-particle&quot;:&quot;&quot;}],&quot;container-title&quot;:&quot;eClinicalMedicine&quot;,&quot;accessed&quot;:{&quot;date-parts&quot;:[[2024,9,2]]},&quot;DOI&quot;:&quot;10.1016/J.ECLINM.2023.101936&quot;,&quot;ISSN&quot;:&quot;25895370&quot;,&quot;PMID&quot;:&quot;37229504&quot;,&quot;URL&quot;:&quot;/pmc/articles/PMC7614570/&quot;,&quot;issued&quot;:{&quot;date-parts&quot;:[[2023,5,1]]},&quot;page&quot;:&quot;101936&quot;,&quot;abstract&quot;:&quot;Background: Updated data on chronic respiratory diseases (CRDs) are vital in their prevention, control, and treatment in the path to achieving the third UN Sustainable Development Goals (SDGs), a one-third reduction in premature mortality from non-communicable diseases by 2030. We provided global, regional, and national estimates of the burden of CRDs and their attributable risks from 1990 to 2019. Methods: Using data from the Global Burden of Diseases, Injuries, and Risk Factors Study (GBD) 2019, we estimated mortality, years lived with disability, years of life lost, disability-adjusted life years (DALYs), prevalence, and incidence of CRDs, i.e. chronic obstructive pulmonary disease (COPD), asthma, pneumoconiosis, interstitial lung disease and pulmonary sarcoidosis, and other CRDs, from 1990 to 2019 by sex, age, region, and Socio-demographic Index (SDI) in 204 countries and territories. Deaths and DALYs from CRDs attributable to each risk factor were estimated according to relative risks, risk exposure, and the theoretical minimum risk exposure level input. Findings: In 2019, CRDs were the third leading cause of death responsible for 4.0 million deaths (95% uncertainty interval 3.6–4.3) with a prevalence of 454.6 million cases (417.4–499.1) globally. While the total deaths and prevalence of CRDs have increased by 28.5% and 39.8%, the age-standardised rates have dropped by 41.7% and 16.9% from 1990 to 2019, respectively. COPD, with 212.3 million (200.4–225.1) prevalent cases, was the primary cause of deaths from CRDs, accounting for 3.3 million (2.9–3.6) deaths. With 262.4 million (224.1–309.5) prevalent cases, asthma had the highest prevalence among CRDs. The age-standardised rates of all burden measures of COPD, asthma, and pneumoconiosis have reduced globally from 1990 to 2019. Nevertheless, the age-standardised rates of incidence and prevalence of interstitial lung disease and pulmonary sarcoidosis have increased throughout this period. Low- and low-middle SDI countries had the highest age-standardised death and DALYs rates while the high SDI quintile had the highest prevalence rate of CRDs. The highest deaths and DALYs from CRDs were attributed to smoking globally, followed by air pollution and occupational risks. Non-optimal temperature and high body-mass index were additional risk factors for COPD and asthma, respectively. Interpretation: Albeit the age-standardised prevalence, death, and DALYs rates of CRDs have decreased, they still cause a substantial burden and deaths worldwide. The high death and DALYs rates in low and low-middle SDI countries highlights the urgent need for improved preventive, diagnostic, and therapeutic measures. Global strategies for tobacco control, enhancing air quality, reducing occupational hazards, and fostering clean cooking fuels are crucial steps in reducing the burden of CRDs, especially in low- and lower-middle income countries. Funding: Bill &amp; Melinda Gates Foundation.&quot;,&quot;publisher&quot;:&quot;Elsevier&quot;,&quot;volume&quot;:&quot;59&quot;,&quot;container-title-short&quot;:&quot;EClinicalMedicine&quot;},&quot;isTemporary&quot;:false},{&quot;id&quot;:&quot;c7ba4f5a-291e-35f7-b8fd-6271dd31800b&quot;,&quot;itemData&quot;:{&quot;type&quot;:&quot;article-journal&quot;,&quot;id&quot;:&quot;c7ba4f5a-291e-35f7-b8fd-6271dd31800b&quot;,&quot;title&quot;:&quot;Geographical distribution of COPD prevalence in Europe, estimated by an inverse distance weighting interpolation technique&quot;,&quot;author&quot;:[{&quot;family&quot;:&quot;Blanco&quot;,&quot;given&quot;:&quot;Ignacio&quot;,&quot;parse-names&quot;:false,&quot;dropping-particle&quot;:&quot;&quot;,&quot;non-dropping-particle&quot;:&quot;&quot;},{&quot;family&quot;:&quot;Diego&quot;,&quot;given&quot;:&quot;Isidro&quot;,&quot;parse-names&quot;:false,&quot;dropping-particle&quot;:&quot;&quot;,&quot;non-dropping-particle&quot;:&quot;&quot;},{&quot;family&quot;:&quot;Bueno&quot;,&quot;given&quot;:&quot;Patricia&quot;,&quot;parse-names&quot;:false,&quot;dropping-particle&quot;:&quot;&quot;,&quot;non-dropping-particle&quot;:&quot;&quot;},{&quot;family&quot;:&quot;Fernández&quot;,&quot;given&quot;:&quot;Eloy&quot;,&quot;parse-names&quot;:false,&quot;dropping-particle&quot;:&quot;&quot;,&quot;non-dropping-particle&quot;:&quot;&quot;},{&quot;family&quot;:&quot;Casas-Maldonado&quot;,&quot;given&quot;:&quot;Francisco&quot;,&quot;parse-names&quot;:false,&quot;dropping-particle&quot;:&quot;&quot;,&quot;non-dropping-particle&quot;:&quot;&quot;},{&quot;family&quot;:&quot;Esquinas&quot;,&quot;given&quot;:&quot;Cristina&quot;,&quot;parse-names&quot;:false,&quot;dropping-particle&quot;:&quot;&quot;,&quot;non-dropping-particle&quot;:&quot;&quot;},{&quot;family&quot;:&quot;Soriano&quot;,&quot;given&quot;:&quot;Joan B.&quot;,&quot;parse-names&quot;:false,&quot;dropping-particle&quot;:&quot;&quot;,&quot;non-dropping-particle&quot;:&quot;&quot;},{&quot;family&quot;:&quot;Miravitlles&quot;,&quot;given&quot;:&quot;Marc&quot;,&quot;parse-names&quot;:false,&quot;dropping-particle&quot;:&quot;&quot;,&quot;non-dropping-particle&quot;:&quot;&quot;}],&quot;container-title&quot;:&quot;International journal of chronic obstructive pulmonary disease&quot;,&quot;accessed&quot;:{&quot;date-parts&quot;:[[2025,4,10]]},&quot;DOI&quot;:&quot;10.2147/COPD.S150853&quot;,&quot;ISSN&quot;:&quot;1178-2005&quot;,&quot;PMID&quot;:&quot;29317811&quot;,&quot;URL&quot;:&quot;https://pubmed.ncbi.nlm.nih.gov/29317811/&quot;,&quot;issued&quot;:{&quot;date-parts&quot;:[[2017]]},&quot;page&quot;:&quot;57-67&quot;,&quot;abstract&quot;:&quot;Existing data on COPD prevalence are limited or totally lacking in many regions of Europe. The geographic information system inverse distance weighted (IDW) interpolation technique has proved to be an effective tool in spatial distribution estimation of epidemiological variables, when real data are few and widely separated. Therefore, in order to represent cartographically the prevalence of COPD in Europe, an IDW interpolation mapping was performed. The point prevalence data provided by 62 studies from 19 countries (21 from 5 Northern European countries, 11 from 3 Western European countries, 14 from 5 Central European countries, and 16 from 6 Southern European countries) were identified using validated spirometric criteria. Despite the lack of data in many areas (including all regions of the eastern part of the continent), the IDW mapping predicted the COPD prevalence in the whole territory, even in extensive areas lacking real data. Although the quality of the data obtained from some studies may have some limitations related to different confounding factors, this methodology may be a suitable tool for obtaining epidemiological estimates that can enable us to better address this major public health problem.&quot;,&quot;publisher&quot;:&quot;Int J Chron Obstruct Pulmon Dis&quot;,&quot;volume&quot;:&quot;13&quot;,&quot;container-title-short&quot;:&quot;Int J Chron Obstruct Pulmon Dis&quot;},&quot;isTemporary&quot;:false},{&quot;id&quot;:&quot;bf6b5e6a-2586-308b-9732-6edc36a9b258&quot;,&quot;itemData&quot;:{&quot;type&quot;:&quot;article-journal&quot;,&quot;id&quot;:&quot;bf6b5e6a-2586-308b-9732-6edc36a9b258&quot;,&quot;title&quot;:&quot;Geographical Distribution of COPD Prevalence in the Americas&quot;,&quot;author&quot;:[{&quot;family&quot;:&quot;Blanco&quot;,&quot;given&quot;:&quot;Ignacio&quot;,&quot;parse-names&quot;:false,&quot;dropping-particle&quot;:&quot;&quot;,&quot;non-dropping-particle&quot;:&quot;&quot;},{&quot;family&quot;:&quot;Diego&quot;,&quot;given&quot;:&quot;Isidro&quot;,&quot;parse-names&quot;:false,&quot;dropping-particle&quot;:&quot;&quot;,&quot;non-dropping-particle&quot;:&quot;&quot;},{&quot;family&quot;:&quot;Bueno&quot;,&quot;given&quot;:&quot;Patricia&quot;,&quot;parse-names&quot;:false,&quot;dropping-particle&quot;:&quot;&quot;,&quot;non-dropping-particle&quot;:&quot;&quot;},{&quot;family&quot;:&quot;Fernández&quot;,&quot;given&quot;:&quot;Eloy&quot;,&quot;parse-names&quot;:false,&quot;dropping-particle&quot;:&quot;&quot;,&quot;non-dropping-particle&quot;:&quot;&quot;},{&quot;family&quot;:&quot;Casas-Maldonado&quot;,&quot;given&quot;:&quot;Francisco&quot;,&quot;parse-names&quot;:false,&quot;dropping-particle&quot;:&quot;&quot;,&quot;non-dropping-particle&quot;:&quot;&quot;},{&quot;family&quot;:&quot;Esquinas&quot;,&quot;given&quot;:&quot;Cristina&quot;,&quot;parse-names&quot;:false,&quot;dropping-particle&quot;:&quot;&quot;,&quot;non-dropping-particle&quot;:&quot;&quot;},{&quot;family&quot;:&quot;Soriano&quot;,&quot;given&quot;:&quot;Joan B.&quot;,&quot;parse-names&quot;:false,&quot;dropping-particle&quot;:&quot;&quot;,&quot;non-dropping-particle&quot;:&quot;&quot;},{&quot;family&quot;:&quot;Miravitlles&quot;,&quot;given&quot;:&quot;Marc&quot;,&quot;parse-names&quot;:false,&quot;dropping-particle&quot;:&quot;&quot;,&quot;non-dropping-particle&quot;:&quot;&quot;}],&quot;container-title&quot;:&quot;https://doi.org/10.1080/15412555.2018.1481936&quot;,&quot;accessed&quot;:{&quot;date-parts&quot;:[[2022,5,8]]},&quot;DOI&quot;:&quot;10.1080/15412555.2018.1481936&quot;,&quot;ISSN&quot;:&quot;15412563&quot;,&quot;PMID&quot;:&quot;30375898&quot;,&quot;URL&quot;:&quot;https://www.tandfonline.com/doi/abs/10.1080/15412555.2018.1481936&quot;,&quot;issued&quot;:{&quot;date-parts&quot;:[[2018,7,4]]},&quot;page&quot;:&quot;317-325&quot;,&quot;abstract&quot;:&quot;Surveys estimating chronic obstructive pulmonary disease (COPD) prevalence are unevenly distributed in the Americas, which make it difficult to estimate accurately its geographical distribution. Th...&quot;,&quot;publisher&quot;:&quot;Taylor &amp; Francis&quot;,&quot;issue&quot;:&quot;4&quot;,&quot;volume&quot;:&quot;15&quot;,&quot;container-title-short&quot;:&quot;&quot;},&quot;isTemporary&quot;:false},{&quot;id&quot;:&quot;348032de-3fdb-3bdf-8e98-69592486d898&quot;,&quot;itemData&quot;:{&quot;type&quot;:&quot;article-journal&quot;,&quot;id&quot;:&quot;348032de-3fdb-3bdf-8e98-69592486d898&quot;,&quot;title&quot;:&quot;Global, regional, and national prevalence of, and risk factors for, chronic obstructive pulmonary disease (COPD) in 2019: a systematic review and modelling analysis&quot;,&quot;author&quot;:[{&quot;family&quot;:&quot;Adeloye&quot;,&quot;given&quot;:&quot;Davies&quot;,&quot;parse-names&quot;:false,&quot;dropping-particle&quot;:&quot;&quot;,&quot;non-dropping-particle&quot;:&quot;&quot;},{&quot;family&quot;:&quot;Song&quot;,&quot;given&quot;:&quot;Peige&quot;,&quot;parse-names&quot;:false,&quot;dropping-particle&quot;:&quot;&quot;,&quot;non-dropping-particle&quot;:&quot;&quot;},{&quot;family&quot;:&quot;Zhu&quot;,&quot;given&quot;:&quot;Yajie&quot;,&quot;parse-names&quot;:false,&quot;dropping-particle&quot;:&quot;&quot;,&quot;non-dropping-particle&quot;:&quot;&quot;},{&quot;family&quot;:&quot;Campbell&quot;,&quot;given&quot;:&quot;Harry&quot;,&quot;parse-names&quot;:false,&quot;dropping-particle&quot;:&quot;&quot;,&quot;non-dropping-particle&quot;:&quot;&quot;},{&quot;family&quot;:&quot;Sheikh&quot;,&quot;given&quot;:&quot;Aziz&quot;,&quot;parse-names&quot;:false,&quot;dropping-particle&quot;:&quot;&quot;,&quot;non-dropping-particle&quot;:&quot;&quot;},{&quot;family&quot;:&quot;Rudan&quot;,&quot;given&quot;:&quot;Igor&quot;,&quot;parse-names&quot;:false,&quot;dropping-particle&quot;:&quot;&quot;,&quot;non-dropping-particle&quot;:&quot;&quot;}],&quot;container-title&quot;:&quot;The Lancet. Respiratory Medicine&quot;,&quot;container-title-short&quot;:&quot;Lancet Respir Med&quot;,&quot;accessed&quot;:{&quot;date-parts&quot;:[[2024,3,17]]},&quot;DOI&quot;:&quot;10.1016/S2213-2600(21)00511-7&quot;,&quot;ISSN&quot;:&quot;22132619&quot;,&quot;PMID&quot;:&quot;35279265&quot;,&quot;URL&quot;:&quot;/pmc/articles/PMC9050565/&quot;,&quot;issued&quot;:{&quot;date-parts&quot;:[[2022,5,1]]},&quot;page&quot;:&quot;447&quot;,&quot;abstract&quot;:&quot;Background: Chronic obstructive pulmonary disease (COPD) is an increasingly important cause of morbidity, disability, and mortality worldwide. We aimed to estimate global, regional, and national COPD prevalence and risk factors to guide policy and population interventions. Methods: For this systematic review and modelling study, we searched MEDLINE, Embase, Global Health, and CINAHL, for population-based studies on COPD prevalence published between Jan 1, 1990, and Dec 31, 2019. We included data reported using the two main case definitions: the Global Initiative for Chronic Obstructive Lung Disease fixed ratio (GOLD; FEV1/FVC&lt;0·7) and the lower limit of normal (LLN; FEV1/FVC&lt;LLN). We employed a multilevel multivariable mixed-effects meta-regression approach to generate the age-specific and sex-specific prevalence of COPD in 2019 for high-income countries (HICs) and low-income and middle-income countries (LMICs) according to the World Bank definition. Common risk factors for GOLD-COPD were evaluated using a random-effects meta-analysis. Findings: We identified 162 articles reporting population-based studies conducted across 260 sites in 65 countries. In 2019, the global prevalence of COPD among people aged 30–79 years was 10·3% (95% CI 8·2–12·8) using the GOLD case definition, which translates to 391·9 million people (95% CI 312·6–487·9), and 7·6% (5·8–10·1) using the LLN definition, which translates to 292·0 million people (219·8–385·6). Using the GOLD definition, we estimated that 391·9 million (95% CI 312·6–487·9) people aged 30–79 years had COPD worldwide in 2019, with most (315·5 million [246·7–399·6]; 80·5%) living in LMICs. The overall prevalence of GOLD-COPD among people aged 30–79 years was the highest in the Western Pacific region (11·7% [95% CI 9·3–14·6]) and lowest in the region of the Americas (6·8% [95% CI 5·6–8·2]). Globally, male sex (OR 2·1 [95% CI 1·8–2·3]), smoking (current smoker 3·2 [2·5–4·0]; ever smoker 2·3 [2·0–2·5]), body-mass index of less than 18·5 kg/m2 (2·2 [1·7–2·7]), biomass exposure (1·4 [1·2–1·7]), and occupational exposure to dust or smoke (1·4 [1·3–1·6]) were all substantial risk factors for COPD. Interpretation: With more than three-quarters of global COPD cases in LMICs, tackling this chronic condition is a major and increasing challenge for health systems in these settings. In the absence of targeted population-wide efforts and health system reforms in these settings, many of which are under-resourced, achieving a substantial reduction in the burden of COPD globally might remain a difficult task. Funding: National Institute for Health Research and Health Data Research UK.&quot;,&quot;publisher&quot;:&quot;Elsevier&quot;,&quot;issue&quot;:&quot;5&quot;,&quot;volume&quot;:&quot;10&quot;},&quot;isTemporary&quot;:false}]},{&quot;citationID&quot;:&quot;MENDELEY_CITATION_e9d43ceb-eab2-4f04-bcbf-b02a98a31fd4&quot;,&quot;properties&quot;:{&quot;noteIndex&quot;:0},&quot;isEdited&quot;:false,&quot;manualOverride&quot;:{&quot;isManuallyOverridden&quot;:false,&quot;citeprocText&quot;:&quot;[38]&quot;,&quot;manualOverrideText&quot;:&quot;&quot;},&quot;citationTag&quot;:&quot;MENDELEY_CITATION_v3_eyJjaXRhdGlvbklEIjoiTUVOREVMRVlfQ0lUQVRJT05fZTlkNDNjZWItZWFiMi00ZjA0LWJjYmYtYjAyYTk4YTMxZmQ0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quot;,&quot;citationItems&quot;:[{&quot;id&quot;:&quot;348032de-3fdb-3bdf-8e98-69592486d898&quot;,&quot;itemData&quot;:{&quot;type&quot;:&quot;article-journal&quot;,&quot;id&quot;:&quot;348032de-3fdb-3bdf-8e98-69592486d898&quot;,&quot;title&quot;:&quot;Global, regional, and national prevalence of, and risk factors for, chronic obstructive pulmonary disease (COPD) in 2019: a systematic review and modelling analysis&quot;,&quot;author&quot;:[{&quot;family&quot;:&quot;Adeloye&quot;,&quot;given&quot;:&quot;Davies&quot;,&quot;parse-names&quot;:false,&quot;dropping-particle&quot;:&quot;&quot;,&quot;non-dropping-particle&quot;:&quot;&quot;},{&quot;family&quot;:&quot;Song&quot;,&quot;given&quot;:&quot;Peige&quot;,&quot;parse-names&quot;:false,&quot;dropping-particle&quot;:&quot;&quot;,&quot;non-dropping-particle&quot;:&quot;&quot;},{&quot;family&quot;:&quot;Zhu&quot;,&quot;given&quot;:&quot;Yajie&quot;,&quot;parse-names&quot;:false,&quot;dropping-particle&quot;:&quot;&quot;,&quot;non-dropping-particle&quot;:&quot;&quot;},{&quot;family&quot;:&quot;Campbell&quot;,&quot;given&quot;:&quot;Harry&quot;,&quot;parse-names&quot;:false,&quot;dropping-particle&quot;:&quot;&quot;,&quot;non-dropping-particle&quot;:&quot;&quot;},{&quot;family&quot;:&quot;Sheikh&quot;,&quot;given&quot;:&quot;Aziz&quot;,&quot;parse-names&quot;:false,&quot;dropping-particle&quot;:&quot;&quot;,&quot;non-dropping-particle&quot;:&quot;&quot;},{&quot;family&quot;:&quot;Rudan&quot;,&quot;given&quot;:&quot;Igor&quot;,&quot;parse-names&quot;:false,&quot;dropping-particle&quot;:&quot;&quot;,&quot;non-dropping-particle&quot;:&quot;&quot;}],&quot;container-title&quot;:&quot;The Lancet. Respiratory Medicine&quot;,&quot;container-title-short&quot;:&quot;Lancet Respir Med&quot;,&quot;accessed&quot;:{&quot;date-parts&quot;:[[2024,3,17]]},&quot;DOI&quot;:&quot;10.1016/S2213-2600(21)00511-7&quot;,&quot;ISSN&quot;:&quot;22132619&quot;,&quot;PMID&quot;:&quot;35279265&quot;,&quot;URL&quot;:&quot;/pmc/articles/PMC9050565/&quot;,&quot;issued&quot;:{&quot;date-parts&quot;:[[2022,5,1]]},&quot;page&quot;:&quot;447&quot;,&quot;abstract&quot;:&quot;Background: Chronic obstructive pulmonary disease (COPD) is an increasingly important cause of morbidity, disability, and mortality worldwide. We aimed to estimate global, regional, and national COPD prevalence and risk factors to guide policy and population interventions. Methods: For this systematic review and modelling study, we searched MEDLINE, Embase, Global Health, and CINAHL, for population-based studies on COPD prevalence published between Jan 1, 1990, and Dec 31, 2019. We included data reported using the two main case definitions: the Global Initiative for Chronic Obstructive Lung Disease fixed ratio (GOLD; FEV1/FVC&lt;0·7) and the lower limit of normal (LLN; FEV1/FVC&lt;LLN). We employed a multilevel multivariable mixed-effects meta-regression approach to generate the age-specific and sex-specific prevalence of COPD in 2019 for high-income countries (HICs) and low-income and middle-income countries (LMICs) according to the World Bank definition. Common risk factors for GOLD-COPD were evaluated using a random-effects meta-analysis. Findings: We identified 162 articles reporting population-based studies conducted across 260 sites in 65 countries. In 2019, the global prevalence of COPD among people aged 30–79 years was 10·3% (95% CI 8·2–12·8) using the GOLD case definition, which translates to 391·9 million people (95% CI 312·6–487·9), and 7·6% (5·8–10·1) using the LLN definition, which translates to 292·0 million people (219·8–385·6). Using the GOLD definition, we estimated that 391·9 million (95% CI 312·6–487·9) people aged 30–79 years had COPD worldwide in 2019, with most (315·5 million [246·7–399·6]; 80·5%) living in LMICs. The overall prevalence of GOLD-COPD among people aged 30–79 years was the highest in the Western Pacific region (11·7% [95% CI 9·3–14·6]) and lowest in the region of the Americas (6·8% [95% CI 5·6–8·2]). Globally, male sex (OR 2·1 [95% CI 1·8–2·3]), smoking (current smoker 3·2 [2·5–4·0]; ever smoker 2·3 [2·0–2·5]), body-mass index of less than 18·5 kg/m2 (2·2 [1·7–2·7]), biomass exposure (1·4 [1·2–1·7]), and occupational exposure to dust or smoke (1·4 [1·3–1·6]) were all substantial risk factors for COPD. Interpretation: With more than three-quarters of global COPD cases in LMICs, tackling this chronic condition is a major and increasing challenge for health systems in these settings. In the absence of targeted population-wide efforts and health system reforms in these settings, many of which are under-resourced, achieving a substantial reduction in the burden of COPD globally might remain a difficult task. Funding: National Institute for Health Research and Health Data Research UK.&quot;,&quot;publisher&quot;:&quot;Elsevier&quot;,&quot;issue&quot;:&quot;5&quot;,&quot;volume&quot;:&quot;10&quot;},&quot;isTemporary&quot;:false}]},{&quot;citationID&quot;:&quot;MENDELEY_CITATION_58f158c1-a9e2-4d08-b962-1834b30105b1&quot;,&quot;properties&quot;:{&quot;noteIndex&quot;:0},&quot;isEdited&quot;:false,&quot;manualOverride&quot;:{&quot;isManuallyOverridden&quot;:false,&quot;citeprocText&quot;:&quot;[38]&quot;,&quot;manualOverrideText&quot;:&quot;&quot;},&quot;citationTag&quot;:&quot;MENDELEY_CITATION_v3_eyJjaXRhdGlvbklEIjoiTUVOREVMRVlfQ0lUQVRJT05fNThmMTU4YzEtYTllMi00ZDA4LWI5NjItMTgzNGIzMDEwNWIxIiwicHJvcGVydGllcyI6eyJub3RlSW5kZXgiOjB9LCJpc0VkaXRlZCI6ZmFsc2UsIm1hbnVhbE92ZXJyaWRlIjp7ImlzTWFudWFsbHlPdmVycmlkZGVuIjpmYWxzZSwiY2l0ZXByb2NUZXh0IjoiWzM4XSIsIm1hbnVhbE92ZXJyaWRlVGV4dCI6IiJ9LCJjaXRhdGlvbkl0ZW1zIjpb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V19&quot;,&quot;citationItems&quot;:[{&quot;id&quot;:&quot;348032de-3fdb-3bdf-8e98-69592486d898&quot;,&quot;itemData&quot;:{&quot;type&quot;:&quot;article-journal&quot;,&quot;id&quot;:&quot;348032de-3fdb-3bdf-8e98-69592486d898&quot;,&quot;title&quot;:&quot;Global, regional, and national prevalence of, and risk factors for, chronic obstructive pulmonary disease (COPD) in 2019: a systematic review and modelling analysis&quot;,&quot;author&quot;:[{&quot;family&quot;:&quot;Adeloye&quot;,&quot;given&quot;:&quot;Davies&quot;,&quot;parse-names&quot;:false,&quot;dropping-particle&quot;:&quot;&quot;,&quot;non-dropping-particle&quot;:&quot;&quot;},{&quot;family&quot;:&quot;Song&quot;,&quot;given&quot;:&quot;Peige&quot;,&quot;parse-names&quot;:false,&quot;dropping-particle&quot;:&quot;&quot;,&quot;non-dropping-particle&quot;:&quot;&quot;},{&quot;family&quot;:&quot;Zhu&quot;,&quot;given&quot;:&quot;Yajie&quot;,&quot;parse-names&quot;:false,&quot;dropping-particle&quot;:&quot;&quot;,&quot;non-dropping-particle&quot;:&quot;&quot;},{&quot;family&quot;:&quot;Campbell&quot;,&quot;given&quot;:&quot;Harry&quot;,&quot;parse-names&quot;:false,&quot;dropping-particle&quot;:&quot;&quot;,&quot;non-dropping-particle&quot;:&quot;&quot;},{&quot;family&quot;:&quot;Sheikh&quot;,&quot;given&quot;:&quot;Aziz&quot;,&quot;parse-names&quot;:false,&quot;dropping-particle&quot;:&quot;&quot;,&quot;non-dropping-particle&quot;:&quot;&quot;},{&quot;family&quot;:&quot;Rudan&quot;,&quot;given&quot;:&quot;Igor&quot;,&quot;parse-names&quot;:false,&quot;dropping-particle&quot;:&quot;&quot;,&quot;non-dropping-particle&quot;:&quot;&quot;}],&quot;container-title&quot;:&quot;The Lancet. Respiratory Medicine&quot;,&quot;container-title-short&quot;:&quot;Lancet Respir Med&quot;,&quot;accessed&quot;:{&quot;date-parts&quot;:[[2024,3,17]]},&quot;DOI&quot;:&quot;10.1016/S2213-2600(21)00511-7&quot;,&quot;ISSN&quot;:&quot;22132619&quot;,&quot;PMID&quot;:&quot;35279265&quot;,&quot;URL&quot;:&quot;/pmc/articles/PMC9050565/&quot;,&quot;issued&quot;:{&quot;date-parts&quot;:[[2022,5,1]]},&quot;page&quot;:&quot;447&quot;,&quot;abstract&quot;:&quot;Background: Chronic obstructive pulmonary disease (COPD) is an increasingly important cause of morbidity, disability, and mortality worldwide. We aimed to estimate global, regional, and national COPD prevalence and risk factors to guide policy and population interventions. Methods: For this systematic review and modelling study, we searched MEDLINE, Embase, Global Health, and CINAHL, for population-based studies on COPD prevalence published between Jan 1, 1990, and Dec 31, 2019. We included data reported using the two main case definitions: the Global Initiative for Chronic Obstructive Lung Disease fixed ratio (GOLD; FEV1/FVC&lt;0·7) and the lower limit of normal (LLN; FEV1/FVC&lt;LLN). We employed a multilevel multivariable mixed-effects meta-regression approach to generate the age-specific and sex-specific prevalence of COPD in 2019 for high-income countries (HICs) and low-income and middle-income countries (LMICs) according to the World Bank definition. Common risk factors for GOLD-COPD were evaluated using a random-effects meta-analysis. Findings: We identified 162 articles reporting population-based studies conducted across 260 sites in 65 countries. In 2019, the global prevalence of COPD among people aged 30–79 years was 10·3% (95% CI 8·2–12·8) using the GOLD case definition, which translates to 391·9 million people (95% CI 312·6–487·9), and 7·6% (5·8–10·1) using the LLN definition, which translates to 292·0 million people (219·8–385·6). Using the GOLD definition, we estimated that 391·9 million (95% CI 312·6–487·9) people aged 30–79 years had COPD worldwide in 2019, with most (315·5 million [246·7–399·6]; 80·5%) living in LMICs. The overall prevalence of GOLD-COPD among people aged 30–79 years was the highest in the Western Pacific region (11·7% [95% CI 9·3–14·6]) and lowest in the region of the Americas (6·8% [95% CI 5·6–8·2]). Globally, male sex (OR 2·1 [95% CI 1·8–2·3]), smoking (current smoker 3·2 [2·5–4·0]; ever smoker 2·3 [2·0–2·5]), body-mass index of less than 18·5 kg/m2 (2·2 [1·7–2·7]), biomass exposure (1·4 [1·2–1·7]), and occupational exposure to dust or smoke (1·4 [1·3–1·6]) were all substantial risk factors for COPD. Interpretation: With more than three-quarters of global COPD cases in LMICs, tackling this chronic condition is a major and increasing challenge for health systems in these settings. In the absence of targeted population-wide efforts and health system reforms in these settings, many of which are under-resourced, achieving a substantial reduction in the burden of COPD globally might remain a difficult task. Funding: National Institute for Health Research and Health Data Research UK.&quot;,&quot;publisher&quot;:&quot;Elsevier&quot;,&quot;issue&quot;:&quot;5&quot;,&quot;volume&quot;:&quot;10&quot;},&quot;isTemporary&quot;:false}]},{&quot;citationID&quot;:&quot;MENDELEY_CITATION_723163c5-c7a1-4a5a-a218-73b5656c309b&quot;,&quot;properties&quot;:{&quot;noteIndex&quot;:0},&quot;isEdited&quot;:false,&quot;manualOverride&quot;:{&quot;isManuallyOverridden&quot;:false,&quot;citeprocText&quot;:&quot;[3]&quot;,&quot;manualOverrideText&quot;:&quot;&quot;},&quot;citationTag&quot;:&quot;MENDELEY_CITATION_v3_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&quot;,&quot;citationItems&quot;:[{&quot;id&quot;:&quot;d91c2a48-0b53-3583-bc0e-0a62f1fba2c4&quot;,&quot;itemData&quot;:{&quot;type&quot;:&quot;article-journal&quot;,&quot;id&quot;:&quot;d91c2a48-0b53-3583-bc0e-0a62f1fba2c4&quot;,&quot;title&quot;:&quot;Burden of chronic obstructive pulmonary disease and its attributable risk factors in 204 countries and territories, 1990-2019: results from the Global Burden of Disease Study 2019&quot;,&quot;author&quot;:[{&quot;family&quot;:&quot;Safiri&quot;,&quot;given&quot;:&quot;Saeid&quot;,&quot;parse-names&quot;:false,&quot;dropping-particle&quot;:&quot;&quot;,&quot;non-dropping-particle&quot;:&quot;&quot;},{&quot;family&quot;:&quot;Carson-Chahhoud&quot;,&quot;given&quot;:&quot;Kristin&quot;,&quot;parse-names&quot;:false,&quot;dropping-particle&quot;:&quot;&quot;,&quot;non-dropping-particle&quot;:&quot;&quot;},{&quot;family&quot;:&quot;Noori&quot;,&quot;given&quot;:&quot;Maryam&quot;,&quot;parse-names&quot;:false,&quot;dropping-particle&quot;:&quot;&quot;,&quot;non-dropping-particle&quot;:&quot;&quot;},{&quot;family&quot;:&quot;Nejadghaderi&quot;,&quot;given&quot;:&quot;Seyed Aria&quot;,&quot;parse-names&quot;:false,&quot;dropping-particle&quot;:&quot;&quot;,&quot;non-dropping-particle&quot;:&quot;&quot;},{&quot;family&quot;:&quot;Sullman&quot;,&quot;given&quot;:&quot;Mark J.M.&quot;,&quot;parse-names&quot;:false,&quot;dropping-particle&quot;:&quot;&quot;,&quot;non-dropping-particle&quot;:&quot;&quot;},{&quot;family&quot;:&quot;Ahmadian Heris&quot;,&quot;given&quot;:&quot;Javad&quot;,&quot;parse-names&quot;:false,&quot;dropping-particle&quot;:&quot;&quot;,&quot;non-dropping-particle&quot;:&quot;&quot;},{&quot;family&quot;:&quot;Ansarin&quot;,&quot;given&quot;:&quot;Khalil&quot;,&quot;parse-names&quot;:false,&quot;dropping-particle&quot;:&quot;&quot;,&quot;non-dropping-particle&quot;:&quot;&quot;},{&quot;family&quot;:&quot;Mansournia&quot;,&quot;given&quot;:&quot;Mohammad Ali&quot;,&quot;parse-names&quot;:false,&quot;dropping-particle&quot;:&quot;&quot;,&quot;non-dropping-particle&quot;:&quot;&quot;},{&quot;family&quot;:&quot;Collins&quot;,&quot;given&quot;:&quot;Gary S.&quot;,&quot;parse-names&quot;:false,&quot;dropping-particle&quot;:&quot;&quot;,&quot;non-dropping-particle&quot;:&quot;&quot;},{&quot;family&quot;:&quot;Kolahi&quot;,&quot;given&quot;:&quot;Ali Asghar&quot;,&quot;parse-names&quot;:false,&quot;dropping-particle&quot;:&quot;&quot;,&quot;non-dropping-particle&quot;:&quot;&quot;},{&quot;family&quot;:&quot;Kaufman&quot;,&quot;given&quot;:&quot;Jay S.&quot;,&quot;parse-names&quot;:false,&quot;dropping-particle&quot;:&quot;&quot;,&quot;non-dropping-particle&quot;:&quot;&quot;}],&quot;container-title&quot;:&quot;BMJ&quot;,&quot;accessed&quot;:{&quot;date-parts&quot;:[[2024,7,4]]},&quot;DOI&quot;:&quot;10.1136/BMJ-2021-069679&quot;,&quot;ISSN&quot;:&quot;1756-1833&quot;,&quot;PMID&quot;:&quot;35896191&quot;,&quot;URL&quot;:&quot;https://www.bmj.com/content/378/bmj-2021-069679&quot;,&quot;issued&quot;:{&quot;date-parts&quot;:[[2022,7,27]]},&quot;abstract&quot;:&quot;Objective To report the global, regional, and national burden of chronic obstructive pulmonary disease (COPD) and its attributable risk factors between 1990 and 2019, by age, sex, and sociodemographic index.\n\nDesign Systematic analysis.\n\nData source Global Burden of Disease Study 2019.\n\nMain outcome measures Data on the prevalence, deaths, and disability adjusted life years (DALYs) of COPD, and its attributable risk factors, were retrieved from the Global Burden of Disease 2019 project for 204 countries and territories, between 1990 and 2019. The counts and rates per 100 000 population, along with 95% uncertainty intervals, were presented for each estimate.\n\nResults In 2019, 212.3 million prevalent cases of COPD were reported globally, with COPD accounting for 3.3 million deaths and 74.4 million DALYs. The global age standardised point prevalence, death, and DALY rates for COPD were 2638.2 (95% uncertainty intervals 2492.2 to 2796.1), 42.5 (37.6 to 46.3), and 926.1 (848.8 to 997.7) per 100 000 population, which were 8.7%, 41.7%, and 39.8% lower than in 1990, respectively. In 2019, Denmark (4299.5), Myanmar (3963.7), and Belgium (3927.7) had the highest age standardised point prevalence of COPD. Egypt (62.0%), Georgia (54.9%), and Nicaragua (51.6%) showed the largest increases in age standardised point prevalence across the study period. In 2019, Nepal (182.5) and Japan (7.4) had the highest and lowest age standardised death rates per 100 000, respectively, and Nepal (3318.4) and Barbados (177.7) had the highest and lowest age standardised DALY rates per 100 000, respectively. In men, the global DALY rate of COPD increased up to age 85-89 years and then decreased with advancing age, whereas for women the rate increased up to the oldest age group (≥95 years). Regionally, an overall reversed V shaped association was found between sociodemographic index and the age standardised DALY rate of COPD. Factors contributing most to the DALYs rates for COPD were smoking (46.0%), pollution from ambient particulate matter (20.7%), and occupational exposure to particulate matter, gases, and fumes (15.6%).\n\nConclusions Despite the decreasing burden of COPD, this disease remains a major public health problem, especially in countries with a low sociodemographic index. Preventive programmes should focus on smoking cessation, improving air quality, and reducing occupational exposures to further reduce the burden of COPD.\n\nThe data used for the analyses in the study are publicly available at &lt;https://ghdx.healthdata.org/gbd-results-tool&gt;.&quot;,&quot;publisher&quot;:&quot;British Medical Journal Publishing Group&quot;,&quot;volume&quot;:&quot;378&quot;,&quot;container-title-short&quot;:&quot;&quot;},&quot;isTemporary&quot;:false}]},{&quot;citationID&quot;:&quot;MENDELEY_CITATION_ccc828b4-7ecb-47cc-855e-a17b0c675617&quot;,&quot;properties&quot;:{&quot;noteIndex&quot;:0},&quot;isEdited&quot;:false,&quot;manualOverride&quot;:{&quot;isManuallyOverridden&quot;:false,&quot;citeprocText&quot;:&quot;[3]&quot;,&quot;manualOverrideText&quot;:&quot;&quot;},&quot;citationTag&quot;:&quot;MENDELEY_CITATION_v3_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&quot;,&quot;citationItems&quot;:[{&quot;id&quot;:&quot;d91c2a48-0b53-3583-bc0e-0a62f1fba2c4&quot;,&quot;itemData&quot;:{&quot;type&quot;:&quot;article-journal&quot;,&quot;id&quot;:&quot;d91c2a48-0b53-3583-bc0e-0a62f1fba2c4&quot;,&quot;title&quot;:&quot;Burden of chronic obstructive pulmonary disease and its attributable risk factors in 204 countries and territories, 1990-2019: results from the Global Burden of Disease Study 2019&quot;,&quot;author&quot;:[{&quot;family&quot;:&quot;Safiri&quot;,&quot;given&quot;:&quot;Saeid&quot;,&quot;parse-names&quot;:false,&quot;dropping-particle&quot;:&quot;&quot;,&quot;non-dropping-particle&quot;:&quot;&quot;},{&quot;family&quot;:&quot;Carson-Chahhoud&quot;,&quot;given&quot;:&quot;Kristin&quot;,&quot;parse-names&quot;:false,&quot;dropping-particle&quot;:&quot;&quot;,&quot;non-dropping-particle&quot;:&quot;&quot;},{&quot;family&quot;:&quot;Noori&quot;,&quot;given&quot;:&quot;Maryam&quot;,&quot;parse-names&quot;:false,&quot;dropping-particle&quot;:&quot;&quot;,&quot;non-dropping-particle&quot;:&quot;&quot;},{&quot;family&quot;:&quot;Nejadghaderi&quot;,&quot;given&quot;:&quot;Seyed Aria&quot;,&quot;parse-names&quot;:false,&quot;dropping-particle&quot;:&quot;&quot;,&quot;non-dropping-particle&quot;:&quot;&quot;},{&quot;family&quot;:&quot;Sullman&quot;,&quot;given&quot;:&quot;Mark J.M.&quot;,&quot;parse-names&quot;:false,&quot;dropping-particle&quot;:&quot;&quot;,&quot;non-dropping-particle&quot;:&quot;&quot;},{&quot;family&quot;:&quot;Ahmadian Heris&quot;,&quot;given&quot;:&quot;Javad&quot;,&quot;parse-names&quot;:false,&quot;dropping-particle&quot;:&quot;&quot;,&quot;non-dropping-particle&quot;:&quot;&quot;},{&quot;family&quot;:&quot;Ansarin&quot;,&quot;given&quot;:&quot;Khalil&quot;,&quot;parse-names&quot;:false,&quot;dropping-particle&quot;:&quot;&quot;,&quot;non-dropping-particle&quot;:&quot;&quot;},{&quot;family&quot;:&quot;Mansournia&quot;,&quot;given&quot;:&quot;Mohammad Ali&quot;,&quot;parse-names&quot;:false,&quot;dropping-particle&quot;:&quot;&quot;,&quot;non-dropping-particle&quot;:&quot;&quot;},{&quot;family&quot;:&quot;Collins&quot;,&quot;given&quot;:&quot;Gary S.&quot;,&quot;parse-names&quot;:false,&quot;dropping-particle&quot;:&quot;&quot;,&quot;non-dropping-particle&quot;:&quot;&quot;},{&quot;family&quot;:&quot;Kolahi&quot;,&quot;given&quot;:&quot;Ali Asghar&quot;,&quot;parse-names&quot;:false,&quot;dropping-particle&quot;:&quot;&quot;,&quot;non-dropping-particle&quot;:&quot;&quot;},{&quot;family&quot;:&quot;Kaufman&quot;,&quot;given&quot;:&quot;Jay S.&quot;,&quot;parse-names&quot;:false,&quot;dropping-particle&quot;:&quot;&quot;,&quot;non-dropping-particle&quot;:&quot;&quot;}],&quot;container-title&quot;:&quot;BMJ&quot;,&quot;accessed&quot;:{&quot;date-parts&quot;:[[2024,7,4]]},&quot;DOI&quot;:&quot;10.1136/BMJ-2021-069679&quot;,&quot;ISSN&quot;:&quot;1756-1833&quot;,&quot;PMID&quot;:&quot;35896191&quot;,&quot;URL&quot;:&quot;https://www.bmj.com/content/378/bmj-2021-069679&quot;,&quot;issued&quot;:{&quot;date-parts&quot;:[[2022,7,27]]},&quot;abstract&quot;:&quot;Objective To report the global, regional, and national burden of chronic obstructive pulmonary disease (COPD) and its attributable risk factors between 1990 and 2019, by age, sex, and sociodemographic index.\n\nDesign Systematic analysis.\n\nData source Global Burden of Disease Study 2019.\n\nMain outcome measures Data on the prevalence, deaths, and disability adjusted life years (DALYs) of COPD, and its attributable risk factors, were retrieved from the Global Burden of Disease 2019 project for 204 countries and territories, between 1990 and 2019. The counts and rates per 100 000 population, along with 95% uncertainty intervals, were presented for each estimate.\n\nResults In 2019, 212.3 million prevalent cases of COPD were reported globally, with COPD accounting for 3.3 million deaths and 74.4 million DALYs. The global age standardised point prevalence, death, and DALY rates for COPD were 2638.2 (95% uncertainty intervals 2492.2 to 2796.1), 42.5 (37.6 to 46.3), and 926.1 (848.8 to 997.7) per 100 000 population, which were 8.7%, 41.7%, and 39.8% lower than in 1990, respectively. In 2019, Denmark (4299.5), Myanmar (3963.7), and Belgium (3927.7) had the highest age standardised point prevalence of COPD. Egypt (62.0%), Georgia (54.9%), and Nicaragua (51.6%) showed the largest increases in age standardised point prevalence across the study period. In 2019, Nepal (182.5) and Japan (7.4) had the highest and lowest age standardised death rates per 100 000, respectively, and Nepal (3318.4) and Barbados (177.7) had the highest and lowest age standardised DALY rates per 100 000, respectively. In men, the global DALY rate of COPD increased up to age 85-89 years and then decreased with advancing age, whereas for women the rate increased up to the oldest age group (≥95 years). Regionally, an overall reversed V shaped association was found between sociodemographic index and the age standardised DALY rate of COPD. Factors contributing most to the DALYs rates for COPD were smoking (46.0%), pollution from ambient particulate matter (20.7%), and occupational exposure to particulate matter, gases, and fumes (15.6%).\n\nConclusions Despite the decreasing burden of COPD, this disease remains a major public health problem, especially in countries with a low sociodemographic index. Preventive programmes should focus on smoking cessation, improving air quality, and reducing occupational exposures to further reduce the burden of COPD.\n\nThe data used for the analyses in the study are publicly available at &lt;https://ghdx.healthdata.org/gbd-results-tool&gt;.&quot;,&quot;publisher&quot;:&quot;British Medical Journal Publishing Group&quot;,&quot;volume&quot;:&quot;378&quot;,&quot;container-title-short&quot;:&quot;&quot;},&quot;isTemporary&quot;:false}]},{&quot;citationID&quot;:&quot;MENDELEY_CITATION_83ddb617-647c-4e0b-8421-81d737b2baa8&quot;,&quot;properties&quot;:{&quot;noteIndex&quot;:0},&quot;isEdited&quot;:false,&quot;manualOverride&quot;:{&quot;isManuallyOverridden&quot;:false,&quot;citeprocText&quot;:&quot;[3]&quot;,&quot;manualOverrideText&quot;:&quot;&quot;},&quot;citationTag&quot;:&quot;MENDELEY_CITATION_v3_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&quot;,&quot;citationItems&quot;:[{&quot;id&quot;:&quot;d91c2a48-0b53-3583-bc0e-0a62f1fba2c4&quot;,&quot;itemData&quot;:{&quot;type&quot;:&quot;article-journal&quot;,&quot;id&quot;:&quot;d91c2a48-0b53-3583-bc0e-0a62f1fba2c4&quot;,&quot;title&quot;:&quot;Burden of chronic obstructive pulmonary disease and its attributable risk factors in 204 countries and territories, 1990-2019: results from the Global Burden of Disease Study 2019&quot;,&quot;author&quot;:[{&quot;family&quot;:&quot;Safiri&quot;,&quot;given&quot;:&quot;Saeid&quot;,&quot;parse-names&quot;:false,&quot;dropping-particle&quot;:&quot;&quot;,&quot;non-dropping-particle&quot;:&quot;&quot;},{&quot;family&quot;:&quot;Carson-Chahhoud&quot;,&quot;given&quot;:&quot;Kristin&quot;,&quot;parse-names&quot;:false,&quot;dropping-particle&quot;:&quot;&quot;,&quot;non-dropping-particle&quot;:&quot;&quot;},{&quot;family&quot;:&quot;Noori&quot;,&quot;given&quot;:&quot;Maryam&quot;,&quot;parse-names&quot;:false,&quot;dropping-particle&quot;:&quot;&quot;,&quot;non-dropping-particle&quot;:&quot;&quot;},{&quot;family&quot;:&quot;Nejadghaderi&quot;,&quot;given&quot;:&quot;Seyed Aria&quot;,&quot;parse-names&quot;:false,&quot;dropping-particle&quot;:&quot;&quot;,&quot;non-dropping-particle&quot;:&quot;&quot;},{&quot;family&quot;:&quot;Sullman&quot;,&quot;given&quot;:&quot;Mark J.M.&quot;,&quot;parse-names&quot;:false,&quot;dropping-particle&quot;:&quot;&quot;,&quot;non-dropping-particle&quot;:&quot;&quot;},{&quot;family&quot;:&quot;Ahmadian Heris&quot;,&quot;given&quot;:&quot;Javad&quot;,&quot;parse-names&quot;:false,&quot;dropping-particle&quot;:&quot;&quot;,&quot;non-dropping-particle&quot;:&quot;&quot;},{&quot;family&quot;:&quot;Ansarin&quot;,&quot;given&quot;:&quot;Khalil&quot;,&quot;parse-names&quot;:false,&quot;dropping-particle&quot;:&quot;&quot;,&quot;non-dropping-particle&quot;:&quot;&quot;},{&quot;family&quot;:&quot;Mansournia&quot;,&quot;given&quot;:&quot;Mohammad Ali&quot;,&quot;parse-names&quot;:false,&quot;dropping-particle&quot;:&quot;&quot;,&quot;non-dropping-particle&quot;:&quot;&quot;},{&quot;family&quot;:&quot;Collins&quot;,&quot;given&quot;:&quot;Gary S.&quot;,&quot;parse-names&quot;:false,&quot;dropping-particle&quot;:&quot;&quot;,&quot;non-dropping-particle&quot;:&quot;&quot;},{&quot;family&quot;:&quot;Kolahi&quot;,&quot;given&quot;:&quot;Ali Asghar&quot;,&quot;parse-names&quot;:false,&quot;dropping-particle&quot;:&quot;&quot;,&quot;non-dropping-particle&quot;:&quot;&quot;},{&quot;family&quot;:&quot;Kaufman&quot;,&quot;given&quot;:&quot;Jay S.&quot;,&quot;parse-names&quot;:false,&quot;dropping-particle&quot;:&quot;&quot;,&quot;non-dropping-particle&quot;:&quot;&quot;}],&quot;container-title&quot;:&quot;BMJ&quot;,&quot;accessed&quot;:{&quot;date-parts&quot;:[[2024,7,4]]},&quot;DOI&quot;:&quot;10.1136/BMJ-2021-069679&quot;,&quot;ISSN&quot;:&quot;1756-1833&quot;,&quot;PMID&quot;:&quot;35896191&quot;,&quot;URL&quot;:&quot;https://www.bmj.com/content/378/bmj-2021-069679&quot;,&quot;issued&quot;:{&quot;date-parts&quot;:[[2022,7,27]]},&quot;abstract&quot;:&quot;Objective To report the global, regional, and national burden of chronic obstructive pulmonary disease (COPD) and its attributable risk factors between 1990 and 2019, by age, sex, and sociodemographic index.\n\nDesign Systematic analysis.\n\nData source Global Burden of Disease Study 2019.\n\nMain outcome measures Data on the prevalence, deaths, and disability adjusted life years (DALYs) of COPD, and its attributable risk factors, were retrieved from the Global Burden of Disease 2019 project for 204 countries and territories, between 1990 and 2019. The counts and rates per 100 000 population, along with 95% uncertainty intervals, were presented for each estimate.\n\nResults In 2019, 212.3 million prevalent cases of COPD were reported globally, with COPD accounting for 3.3 million deaths and 74.4 million DALYs. The global age standardised point prevalence, death, and DALY rates for COPD were 2638.2 (95% uncertainty intervals 2492.2 to 2796.1), 42.5 (37.6 to 46.3), and 926.1 (848.8 to 997.7) per 100 000 population, which were 8.7%, 41.7%, and 39.8% lower than in 1990, respectively. In 2019, Denmark (4299.5), Myanmar (3963.7), and Belgium (3927.7) had the highest age standardised point prevalence of COPD. Egypt (62.0%), Georgia (54.9%), and Nicaragua (51.6%) showed the largest increases in age standardised point prevalence across the study period. In 2019, Nepal (182.5) and Japan (7.4) had the highest and lowest age standardised death rates per 100 000, respectively, and Nepal (3318.4) and Barbados (177.7) had the highest and lowest age standardised DALY rates per 100 000, respectively. In men, the global DALY rate of COPD increased up to age 85-89 years and then decreased with advancing age, whereas for women the rate increased up to the oldest age group (≥95 years). Regionally, an overall reversed V shaped association was found between sociodemographic index and the age standardised DALY rate of COPD. Factors contributing most to the DALYs rates for COPD were smoking (46.0%), pollution from ambient particulate matter (20.7%), and occupational exposure to particulate matter, gases, and fumes (15.6%).\n\nConclusions Despite the decreasing burden of COPD, this disease remains a major public health problem, especially in countries with a low sociodemographic index. Preventive programmes should focus on smoking cessation, improving air quality, and reducing occupational exposures to further reduce the burden of COPD.\n\nThe data used for the analyses in the study are publicly available at &lt;https://ghdx.healthdata.org/gbd-results-tool&gt;.&quot;,&quot;publisher&quot;:&quot;British Medical Journal Publishing Group&quot;,&quot;volume&quot;:&quot;378&quot;,&quot;container-title-short&quot;:&quot;&quot;},&quot;isTemporary&quot;:false}]},{&quot;citationID&quot;:&quot;MENDELEY_CITATION_ff4a8fbd-d854-42e6-a79d-cdafb387430d&quot;,&quot;properties&quot;:{&quot;noteIndex&quot;:0},&quot;isEdited&quot;:false,&quot;manualOverride&quot;:{&quot;isManuallyOverridden&quot;:false,&quot;citeprocText&quot;:&quot;[65]&quot;,&quot;manualOverrideText&quot;:&quot;&quot;},&quot;citationTag&quot;:&quot;MENDELEY_CITATION_v3_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&quot;,&quot;citationItems&quot;:[{&quot;id&quot;:&quot;01c7986e-9075-3eea-ab89-095a7530e159&quot;,&quot;itemData&quot;:{&quot;type&quot;:&quot;article-journal&quot;,&quot;id&quot;:&quot;01c7986e-9075-3eea-ab89-095a7530e159&quot;,&quot;title&quot;:&quot;Geographical Disparity and Associated Factors of COPD Prevalence in China: A Spatial Analysis of National Cross-Sectional Study&quot;,&quot;author&quot;:[{&quot;family&quot;:&quot;Wang&quot;,&quot;given&quot;:&quot;Ning&quot;,&quot;parse-names&quot;:false,&quot;dropping-particle&quot;:&quot;&quot;,&quot;non-dropping-particle&quot;:&quot;&quot;},{&quot;family&quot;:&quot;Cong&quot;,&quot;given&quot;:&quot;Shu&quot;,&quot;parse-names&quot;:false,&quot;dropping-particle&quot;:&quot;&quot;,&quot;non-dropping-particle&quot;:&quot;&quot;},{&quot;family&quot;:&quot;Fan&quot;,&quot;given&quot;:&quot;Jing&quot;,&quot;parse-names&quot;:false,&quot;dropping-particle&quot;:&quot;&quot;,&quot;non-dropping-particle&quot;:&quot;&quot;},{&quot;family&quot;:&quot;Bao&quot;,&quot;given&quot;:&quot;Heling&quot;,&quot;parse-names&quot;:false,&quot;dropping-particle&quot;:&quot;&quot;,&quot;non-dropping-particle&quot;:&quot;&quot;},{&quot;family&quot;:&quot;Wang&quot;,&quot;given&quot;:&quot;Baohua&quot;,&quot;parse-names&quot;:false,&quot;dropping-particle&quot;:&quot;&quot;,&quot;non-dropping-particle&quot;:&quot;&quot;},{&quot;family&quot;:&quot;Yang&quot;,&quot;given&quot;:&quot;Ting&quot;,&quot;parse-names&quot;:false,&quot;dropping-particle&quot;:&quot;&quot;,&quot;non-dropping-particle&quot;:&quot;&quot;},{&quot;family&quot;:&quot;Feng&quot;,&quot;given&quot;:&quot;Yajing&quot;,&quot;parse-names&quot;:false,&quot;dropping-particle&quot;:&quot;&quot;,&quot;non-dropping-particle&quot;:&quot;&quot;},{&quot;family&quot;:&quot;Liu&quot;,&quot;given&quot;:&quot;Yang&quot;,&quot;parse-names&quot;:false,&quot;dropping-particle&quot;:&quot;&quot;,&quot;non-dropping-particle&quot;:&quot;&quot;},{&quot;family&quot;:&quot;Wang&quot;,&quot;given&quot;:&quot;Linhong&quot;,&quot;parse-names&quot;:false,&quot;dropping-particle&quot;:&quot;&quot;,&quot;non-dropping-particle&quot;:&quot;&quot;},{&quot;family&quot;:&quot;Wang&quot;,&quot;given&quot;:&quot;Chen&quot;,&quot;parse-names&quot;:false,&quot;dropping-particle&quot;:&quot;&quot;,&quot;non-dropping-particle&quot;:&quot;&quot;},{&quot;family&quot;:&quot;Hu&quot;,&quot;given&quot;:&quot;Wenbiao&quot;,&quot;parse-names&quot;:false,&quot;dropping-particle&quot;:&quot;&quot;,&quot;non-dropping-particle&quot;:&quot;&quot;},{&quot;family&quot;:&quot;Fang&quot;,&quot;given&quot;:&quot;Liwen&quot;,&quot;parse-names&quot;:false,&quot;dropping-particle&quot;:&quot;&quot;,&quot;non-dropping-particle&quot;:&quot;&quot;}],&quot;container-title&quot;:&quot;International journal of chronic obstructive pulmonary disease&quot;,&quot;accessed&quot;:{&quot;date-parts&quot;:[[2025,4,10]]},&quot;DOI&quot;:&quot;10.2147/COPD.S234042&quot;,&quot;ISSN&quot;:&quot;1178-2005&quot;,&quot;PMID&quot;:&quot;32103935&quot;,&quot;URL&quot;:&quot;https://pubmed.ncbi.nlm.nih.gov/32103935/&quot;,&quot;issued&quot;:{&quot;date-parts&quot;:[[2020]]},&quot;page&quot;:&quot;367-377&quot;,&quot;abstract&quot;:&quot;Purpose: COPD prevalence has rapidly increased in China, but the geographical disparities in COPD prevalence remain largely unknown. This study aimed to assess city-level disparities in COPD prevalence and identify the relative importance of COPD related risk factors in mainland China. Patients and Methods: A nationwide cross-sectional study of COPD recruited 66,752 adults across the mainland China between 2014 and 2015. Patients with COPD were ascertained by a post-bronchodilator pulmonary function test. We estimated the city-specific prevalence of COPD by spatial kriging interpolation method. We detected spatial clusters with a significantly higher prevalence of COPD by spatial scan statistics. We determined the relative importance of COPD associated risk factors by a nonparametric and nonlinear classification and regression tree (CART) model. Results: The three spatial clusters with the highest prevalence of COPD were located in parts of Sichuan, Gansu, and Shaanxi, etc. (relative risks (RRs)) ranging from 1.55 (95% CI 1.55–1.56) to 1.33 (95% CI 1.33–1.33)). CART showed that advanced age (≥60 years) was the most important factor associated with COPD in the overall population, followed by smoking. We estimated that there were about 28.5 million potentially avoidable cases of COPD among people aged 40 or older if they never smoked. PM2.5 was an important associated risk factor for COPD in the north, northeast, and southwest of China. After adjusting for age and smoking, the spatial cluster with the highest prevalence shifted to most of Sichuan, Gansu, Qinghai, and Ningxia, etc. (RR 1.65 (95% CI 1.63–1.67)). Conclusion: The spatial clusters of COPD at the city level and regionally varied important risk factors for COPD would help develop tailored interventions for COPD in China. After adjusting for the main risk factors, the spatial clusters of COPD shifted, indicating that there would be other potential risk factors for the remaining clusters which call for further studies.&quot;,&quot;publisher&quot;:&quot;Int J Chron Obstruct Pulmon Dis&quot;,&quot;volume&quot;:&quot;15&quot;,&quot;container-title-short&quot;:&quot;Int J Chron Obstruct Pulmon Dis&quot;},&quot;isTemporary&quot;:false}]},{&quot;citationID&quot;:&quot;MENDELEY_CITATION_47e15283-87fe-4e7f-a369-50f6d454d728&quot;,&quot;properties&quot;:{&quot;noteIndex&quot;:0},&quot;isEdited&quot;:false,&quot;manualOverride&quot;:{&quot;isManuallyOverridden&quot;:false,&quot;citeprocText&quot;:&quot;[65]&quot;,&quot;manualOverrideText&quot;:&quot;&quot;},&quot;citationTag&quot;:&quot;MENDELEY_CITATION_v3_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&quot;,&quot;citationItems&quot;:[{&quot;id&quot;:&quot;01c7986e-9075-3eea-ab89-095a7530e159&quot;,&quot;itemData&quot;:{&quot;type&quot;:&quot;article-journal&quot;,&quot;id&quot;:&quot;01c7986e-9075-3eea-ab89-095a7530e159&quot;,&quot;title&quot;:&quot;Geographical Disparity and Associated Factors of COPD Prevalence in China: A Spatial Analysis of National Cross-Sectional Study&quot;,&quot;author&quot;:[{&quot;family&quot;:&quot;Wang&quot;,&quot;given&quot;:&quot;Ning&quot;,&quot;parse-names&quot;:false,&quot;dropping-particle&quot;:&quot;&quot;,&quot;non-dropping-particle&quot;:&quot;&quot;},{&quot;family&quot;:&quot;Cong&quot;,&quot;given&quot;:&quot;Shu&quot;,&quot;parse-names&quot;:false,&quot;dropping-particle&quot;:&quot;&quot;,&quot;non-dropping-particle&quot;:&quot;&quot;},{&quot;family&quot;:&quot;Fan&quot;,&quot;given&quot;:&quot;Jing&quot;,&quot;parse-names&quot;:false,&quot;dropping-particle&quot;:&quot;&quot;,&quot;non-dropping-particle&quot;:&quot;&quot;},{&quot;family&quot;:&quot;Bao&quot;,&quot;given&quot;:&quot;Heling&quot;,&quot;parse-names&quot;:false,&quot;dropping-particle&quot;:&quot;&quot;,&quot;non-dropping-particle&quot;:&quot;&quot;},{&quot;family&quot;:&quot;Wang&quot;,&quot;given&quot;:&quot;Baohua&quot;,&quot;parse-names&quot;:false,&quot;dropping-particle&quot;:&quot;&quot;,&quot;non-dropping-particle&quot;:&quot;&quot;},{&quot;family&quot;:&quot;Yang&quot;,&quot;given&quot;:&quot;Ting&quot;,&quot;parse-names&quot;:false,&quot;dropping-particle&quot;:&quot;&quot;,&quot;non-dropping-particle&quot;:&quot;&quot;},{&quot;family&quot;:&quot;Feng&quot;,&quot;given&quot;:&quot;Yajing&quot;,&quot;parse-names&quot;:false,&quot;dropping-particle&quot;:&quot;&quot;,&quot;non-dropping-particle&quot;:&quot;&quot;},{&quot;family&quot;:&quot;Liu&quot;,&quot;given&quot;:&quot;Yang&quot;,&quot;parse-names&quot;:false,&quot;dropping-particle&quot;:&quot;&quot;,&quot;non-dropping-particle&quot;:&quot;&quot;},{&quot;family&quot;:&quot;Wang&quot;,&quot;given&quot;:&quot;Linhong&quot;,&quot;parse-names&quot;:false,&quot;dropping-particle&quot;:&quot;&quot;,&quot;non-dropping-particle&quot;:&quot;&quot;},{&quot;family&quot;:&quot;Wang&quot;,&quot;given&quot;:&quot;Chen&quot;,&quot;parse-names&quot;:false,&quot;dropping-particle&quot;:&quot;&quot;,&quot;non-dropping-particle&quot;:&quot;&quot;},{&quot;family&quot;:&quot;Hu&quot;,&quot;given&quot;:&quot;Wenbiao&quot;,&quot;parse-names&quot;:false,&quot;dropping-particle&quot;:&quot;&quot;,&quot;non-dropping-particle&quot;:&quot;&quot;},{&quot;family&quot;:&quot;Fang&quot;,&quot;given&quot;:&quot;Liwen&quot;,&quot;parse-names&quot;:false,&quot;dropping-particle&quot;:&quot;&quot;,&quot;non-dropping-particle&quot;:&quot;&quot;}],&quot;container-title&quot;:&quot;International journal of chronic obstructive pulmonary disease&quot;,&quot;accessed&quot;:{&quot;date-parts&quot;:[[2025,4,10]]},&quot;DOI&quot;:&quot;10.2147/COPD.S234042&quot;,&quot;ISSN&quot;:&quot;1178-2005&quot;,&quot;PMID&quot;:&quot;32103935&quot;,&quot;URL&quot;:&quot;https://pubmed.ncbi.nlm.nih.gov/32103935/&quot;,&quot;issued&quot;:{&quot;date-parts&quot;:[[2020]]},&quot;page&quot;:&quot;367-377&quot;,&quot;abstract&quot;:&quot;Purpose: COPD prevalence has rapidly increased in China, but the geographical disparities in COPD prevalence remain largely unknown. This study aimed to assess city-level disparities in COPD prevalence and identify the relative importance of COPD related risk factors in mainland China. Patients and Methods: A nationwide cross-sectional study of COPD recruited 66,752 adults across the mainland China between 2014 and 2015. Patients with COPD were ascertained by a post-bronchodilator pulmonary function test. We estimated the city-specific prevalence of COPD by spatial kriging interpolation method. We detected spatial clusters with a significantly higher prevalence of COPD by spatial scan statistics. We determined the relative importance of COPD associated risk factors by a nonparametric and nonlinear classification and regression tree (CART) model. Results: The three spatial clusters with the highest prevalence of COPD were located in parts of Sichuan, Gansu, and Shaanxi, etc. (relative risks (RRs)) ranging from 1.55 (95% CI 1.55–1.56) to 1.33 (95% CI 1.33–1.33)). CART showed that advanced age (≥60 years) was the most important factor associated with COPD in the overall population, followed by smoking. We estimated that there were about 28.5 million potentially avoidable cases of COPD among people aged 40 or older if they never smoked. PM2.5 was an important associated risk factor for COPD in the north, northeast, and southwest of China. After adjusting for age and smoking, the spatial cluster with the highest prevalence shifted to most of Sichuan, Gansu, Qinghai, and Ningxia, etc. (RR 1.65 (95% CI 1.63–1.67)). Conclusion: The spatial clusters of COPD at the city level and regionally varied important risk factors for COPD would help develop tailored interventions for COPD in China. After adjusting for the main risk factors, the spatial clusters of COPD shifted, indicating that there would be other potential risk factors for the remaining clusters which call for further studies.&quot;,&quot;publisher&quot;:&quot;Int J Chron Obstruct Pulmon Dis&quot;,&quot;volume&quot;:&quot;15&quot;,&quot;container-title-short&quot;:&quot;Int J Chron Obstruct Pulmon Dis&quot;},&quot;isTemporary&quot;:false}]},{&quot;citationID&quot;:&quot;MENDELEY_CITATION_e20ad98d-09fe-4b0b-ac8d-097e4d8e1645&quot;,&quot;properties&quot;:{&quot;noteIndex&quot;:0},&quot;isEdited&quot;:false,&quot;manualOverride&quot;:{&quot;isManuallyOverridden&quot;:false,&quot;citeprocText&quot;:&quot;[66]&quot;,&quot;manualOverrideText&quot;:&quot;&quot;},&quot;citationTag&quot;:&quot;MENDELEY_CITATION_v3_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&quot;,&quot;citationItems&quot;:[{&quot;id&quot;:&quot;ad9cc166-286c-3e56-b47e-58896a48d503&quot;,&quot;itemData&quot;:{&quot;type&quot;:&quot;article-journal&quot;,&quot;id&quot;:&quot;ad9cc166-286c-3e56-b47e-58896a48d503&quot;,&quot;title&quot;:&quot;Spatial Analysis of the Neighborhood Risk Factors for Respiratory Health in the Australian Capital Territory (ACT): Implications for Emergency Planning&quot;,&quot;author&quot;:[{&quot;family&quot;:&quot;Davies&quot;,&quot;given&quot;:&quot;Sarah&quot;,&quot;parse-names&quot;:false,&quot;dropping-particle&quot;:&quot;&quot;,&quot;non-dropping-particle&quot;:&quot;&quot;},{&quot;family&quot;:&quot;Konings&quot;,&quot;given&quot;:&quot;Paul&quot;,&quot;parse-names&quot;:false,&quot;dropping-particle&quot;:&quot;&quot;,&quot;non-dropping-particle&quot;:&quot;&quot;},{&quot;family&quot;:&quot;Lal&quot;,&quot;given&quot;:&quot;Aparna&quot;,&quot;parse-names&quot;:false,&quot;dropping-particle&quot;:&quot;&quot;,&quot;non-dropping-particle&quot;:&quot;&quot;}],&quot;container-title&quot;:&quot;International journal of environmental research and public health&quot;,&quot;container-title-short&quot;:&quot;Int J Environ Res Public Health&quot;,&quot;accessed&quot;:{&quot;date-parts&quot;:[[2025,4,12]]},&quot;DOI&quot;:&quot;10.3390/IJERPH17176396&quot;,&quot;ISSN&quot;:&quot;1660-4601&quot;,&quot;PMID&quot;:&quot;32887415&quot;,&quot;URL&quot;:&quot;https://pubmed.ncbi.nlm.nih.gov/32887415/&quot;,&quot;issued&quot;:{&quot;date-parts&quot;:[[2020,9,1]]},&quot;page&quot;:&quot;1-17&quot;,&quot;abstract&quot;:&quot;The Australian Capital Territory (ACT) experienced the worst air quality in the world for several consecutive days following the 2019–2020 Australian bushfires. With a focus on asthma and Chronic Obstructive Pulmonary Disease (COPD), this retrospective study examined the neighborhood-level risk factors for these diseases from 2011 to 2013, including household distance to hospital emergency departments (ED) and general practitioners (GP) and area-level socioeconomic disadvantage and demographic characteristics at a high spatial resolution. Poisson and Geographically Weighted Poisson Regression (GWR) were compared to examine the need for spatially explicit models. GWR performed significantly better, with rates of both respiratory diseases positively associated with area-level socioeconomic disadvantage. Asthma rates were positively associated with increasing distance from a hospital. Increasing distance to GP was not associated with asthma or COPD rates. These results suggest that respiratory health improvements could be made by prioritizing areas of socioeconomic disadvantage. The ACT has a relatively high density of GP that is geographically well spaced. This distribution of GP could be leveraged to improve emergency response planning in the future.&quot;,&quot;publisher&quot;:&quot;Int J Environ Res Public Health&quot;,&quot;issue&quot;:&quot;17&quot;,&quot;volume&quot;:&quot;17&quot;},&quot;isTemporary&quot;:false}]},{&quot;citationID&quot;:&quot;MENDELEY_CITATION_316069f2-0faf-43f4-8556-60f9a32b1039&quot;,&quot;properties&quot;:{&quot;noteIndex&quot;:0},&quot;isEdited&quot;:false,&quot;manualOverride&quot;:{&quot;isManuallyOverridden&quot;:false,&quot;citeprocText&quot;:&quot;[66]&quot;,&quot;manualOverrideText&quot;:&quot;&quot;},&quot;citationTag&quot;:&quot;MENDELEY_CITATION_v3_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&quot;,&quot;citationItems&quot;:[{&quot;id&quot;:&quot;ad9cc166-286c-3e56-b47e-58896a48d503&quot;,&quot;itemData&quot;:{&quot;type&quot;:&quot;article-journal&quot;,&quot;id&quot;:&quot;ad9cc166-286c-3e56-b47e-58896a48d503&quot;,&quot;title&quot;:&quot;Spatial Analysis of the Neighborhood Risk Factors for Respiratory Health in the Australian Capital Territory (ACT): Implications for Emergency Planning&quot;,&quot;author&quot;:[{&quot;family&quot;:&quot;Davies&quot;,&quot;given&quot;:&quot;Sarah&quot;,&quot;parse-names&quot;:false,&quot;dropping-particle&quot;:&quot;&quot;,&quot;non-dropping-particle&quot;:&quot;&quot;},{&quot;family&quot;:&quot;Konings&quot;,&quot;given&quot;:&quot;Paul&quot;,&quot;parse-names&quot;:false,&quot;dropping-particle&quot;:&quot;&quot;,&quot;non-dropping-particle&quot;:&quot;&quot;},{&quot;family&quot;:&quot;Lal&quot;,&quot;given&quot;:&quot;Aparna&quot;,&quot;parse-names&quot;:false,&quot;dropping-particle&quot;:&quot;&quot;,&quot;non-dropping-particle&quot;:&quot;&quot;}],&quot;container-title&quot;:&quot;International journal of environmental research and public health&quot;,&quot;container-title-short&quot;:&quot;Int J Environ Res Public Health&quot;,&quot;accessed&quot;:{&quot;date-parts&quot;:[[2025,4,12]]},&quot;DOI&quot;:&quot;10.3390/IJERPH17176396&quot;,&quot;ISSN&quot;:&quot;1660-4601&quot;,&quot;PMID&quot;:&quot;32887415&quot;,&quot;URL&quot;:&quot;https://pubmed.ncbi.nlm.nih.gov/32887415/&quot;,&quot;issued&quot;:{&quot;date-parts&quot;:[[2020,9,1]]},&quot;page&quot;:&quot;1-17&quot;,&quot;abstract&quot;:&quot;The Australian Capital Territory (ACT) experienced the worst air quality in the world for several consecutive days following the 2019–2020 Australian bushfires. With a focus on asthma and Chronic Obstructive Pulmonary Disease (COPD), this retrospective study examined the neighborhood-level risk factors for these diseases from 2011 to 2013, including household distance to hospital emergency departments (ED) and general practitioners (GP) and area-level socioeconomic disadvantage and demographic characteristics at a high spatial resolution. Poisson and Geographically Weighted Poisson Regression (GWR) were compared to examine the need for spatially explicit models. GWR performed significantly better, with rates of both respiratory diseases positively associated with area-level socioeconomic disadvantage. Asthma rates were positively associated with increasing distance from a hospital. Increasing distance to GP was not associated with asthma or COPD rates. These results suggest that respiratory health improvements could be made by prioritizing areas of socioeconomic disadvantage. The ACT has a relatively high density of GP that is geographically well spaced. This distribution of GP could be leveraged to improve emergency response planning in the future.&quot;,&quot;publisher&quot;:&quot;Int J Environ Res Public Health&quot;,&quot;issue&quot;:&quot;17&quot;,&quot;volume&quot;:&quot;17&quot;},&quot;isTemporary&quot;:false}]},{&quot;citationID&quot;:&quot;MENDELEY_CITATION_ed818d3a-6d24-45ad-8da7-2653b154633e&quot;,&quot;properties&quot;:{&quot;noteIndex&quot;:0},&quot;isEdited&quot;:false,&quot;manualOverride&quot;:{&quot;isManuallyOverridden&quot;:false,&quot;citeprocText&quot;:&quot;[63]&quot;,&quot;manualOverrideText&quot;:&quot;&quot;},&quot;citationTag&quot;:&quot;MENDELEY_CITATION_v3_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&quot;,&quot;citationItems&quot;:[{&quot;id&quot;:&quot;c7ba4f5a-291e-35f7-b8fd-6271dd31800b&quot;,&quot;itemData&quot;:{&quot;type&quot;:&quot;article-journal&quot;,&quot;id&quot;:&quot;c7ba4f5a-291e-35f7-b8fd-6271dd31800b&quot;,&quot;title&quot;:&quot;Geographical distribution of COPD prevalence in Europe, estimated by an inverse distance weighting interpolation technique&quot;,&quot;author&quot;:[{&quot;family&quot;:&quot;Blanco&quot;,&quot;given&quot;:&quot;Ignacio&quot;,&quot;parse-names&quot;:false,&quot;dropping-particle&quot;:&quot;&quot;,&quot;non-dropping-particle&quot;:&quot;&quot;},{&quot;family&quot;:&quot;Diego&quot;,&quot;given&quot;:&quot;Isidro&quot;,&quot;parse-names&quot;:false,&quot;dropping-particle&quot;:&quot;&quot;,&quot;non-dropping-particle&quot;:&quot;&quot;},{&quot;family&quot;:&quot;Bueno&quot;,&quot;given&quot;:&quot;Patricia&quot;,&quot;parse-names&quot;:false,&quot;dropping-particle&quot;:&quot;&quot;,&quot;non-dropping-particle&quot;:&quot;&quot;},{&quot;family&quot;:&quot;Fernández&quot;,&quot;given&quot;:&quot;Eloy&quot;,&quot;parse-names&quot;:false,&quot;dropping-particle&quot;:&quot;&quot;,&quot;non-dropping-particle&quot;:&quot;&quot;},{&quot;family&quot;:&quot;Casas-Maldonado&quot;,&quot;given&quot;:&quot;Francisco&quot;,&quot;parse-names&quot;:false,&quot;dropping-particle&quot;:&quot;&quot;,&quot;non-dropping-particle&quot;:&quot;&quot;},{&quot;family&quot;:&quot;Esquinas&quot;,&quot;given&quot;:&quot;Cristina&quot;,&quot;parse-names&quot;:false,&quot;dropping-particle&quot;:&quot;&quot;,&quot;non-dropping-particle&quot;:&quot;&quot;},{&quot;family&quot;:&quot;Soriano&quot;,&quot;given&quot;:&quot;Joan B.&quot;,&quot;parse-names&quot;:false,&quot;dropping-particle&quot;:&quot;&quot;,&quot;non-dropping-particle&quot;:&quot;&quot;},{&quot;family&quot;:&quot;Miravitlles&quot;,&quot;given&quot;:&quot;Marc&quot;,&quot;parse-names&quot;:false,&quot;dropping-particle&quot;:&quot;&quot;,&quot;non-dropping-particle&quot;:&quot;&quot;}],&quot;container-title&quot;:&quot;International journal of chronic obstructive pulmonary disease&quot;,&quot;container-title-short&quot;:&quot;Int J Chron Obstruct Pulmon Dis&quot;,&quot;accessed&quot;:{&quot;date-parts&quot;:[[2025,4,10]]},&quot;DOI&quot;:&quot;10.2147/COPD.S150853&quot;,&quot;ISSN&quot;:&quot;1178-2005&quot;,&quot;PMID&quot;:&quot;29317811&quot;,&quot;URL&quot;:&quot;https://pubmed.ncbi.nlm.nih.gov/29317811/&quot;,&quot;issued&quot;:{&quot;date-parts&quot;:[[2017]]},&quot;page&quot;:&quot;57-67&quot;,&quot;abstract&quot;:&quot;Existing data on COPD prevalence are limited or totally lacking in many regions of Europe. The geographic information system inverse distance weighted (IDW) interpolation technique has proved to be an effective tool in spatial distribution estimation of epidemiological variables, when real data are few and widely separated. Therefore, in order to represent cartographically the prevalence of COPD in Europe, an IDW interpolation mapping was performed. The point prevalence data provided by 62 studies from 19 countries (21 from 5 Northern European countries, 11 from 3 Western European countries, 14 from 5 Central European countries, and 16 from 6 Southern European countries) were identified using validated spirometric criteria. Despite the lack of data in many areas (including all regions of the eastern part of the continent), the IDW mapping predicted the COPD prevalence in the whole territory, even in extensive areas lacking real data. Although the quality of the data obtained from some studies may have some limitations related to different confounding factors, this methodology may be a suitable tool for obtaining epidemiological estimates that can enable us to better address this major public health problem.&quot;,&quot;publisher&quot;:&quot;Int J Chron Obstruct Pulmon Dis&quot;,&quot;volume&quot;:&quot;13&quot;},&quot;isTemporary&quot;:false}]},{&quot;citationID&quot;:&quot;MENDELEY_CITATION_065ce874-a03b-4cc8-852f-428facbaeb6f&quot;,&quot;properties&quot;:{&quot;noteIndex&quot;:0},&quot;isEdited&quot;:false,&quot;manualOverride&quot;:{&quot;isManuallyOverridden&quot;:false,&quot;citeprocText&quot;:&quot;[63]&quot;,&quot;manualOverrideText&quot;:&quot;&quot;},&quot;citationTag&quot;:&quot;MENDELEY_CITATION_v3_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&quot;,&quot;citationItems&quot;:[{&quot;id&quot;:&quot;c7ba4f5a-291e-35f7-b8fd-6271dd31800b&quot;,&quot;itemData&quot;:{&quot;type&quot;:&quot;article-journal&quot;,&quot;id&quot;:&quot;c7ba4f5a-291e-35f7-b8fd-6271dd31800b&quot;,&quot;title&quot;:&quot;Geographical distribution of COPD prevalence in Europe, estimated by an inverse distance weighting interpolation technique&quot;,&quot;author&quot;:[{&quot;family&quot;:&quot;Blanco&quot;,&quot;given&quot;:&quot;Ignacio&quot;,&quot;parse-names&quot;:false,&quot;dropping-particle&quot;:&quot;&quot;,&quot;non-dropping-particle&quot;:&quot;&quot;},{&quot;family&quot;:&quot;Diego&quot;,&quot;given&quot;:&quot;Isidro&quot;,&quot;parse-names&quot;:false,&quot;dropping-particle&quot;:&quot;&quot;,&quot;non-dropping-particle&quot;:&quot;&quot;},{&quot;family&quot;:&quot;Bueno&quot;,&quot;given&quot;:&quot;Patricia&quot;,&quot;parse-names&quot;:false,&quot;dropping-particle&quot;:&quot;&quot;,&quot;non-dropping-particle&quot;:&quot;&quot;},{&quot;family&quot;:&quot;Fernández&quot;,&quot;given&quot;:&quot;Eloy&quot;,&quot;parse-names&quot;:false,&quot;dropping-particle&quot;:&quot;&quot;,&quot;non-dropping-particle&quot;:&quot;&quot;},{&quot;family&quot;:&quot;Casas-Maldonado&quot;,&quot;given&quot;:&quot;Francisco&quot;,&quot;parse-names&quot;:false,&quot;dropping-particle&quot;:&quot;&quot;,&quot;non-dropping-particle&quot;:&quot;&quot;},{&quot;family&quot;:&quot;Esquinas&quot;,&quot;given&quot;:&quot;Cristina&quot;,&quot;parse-names&quot;:false,&quot;dropping-particle&quot;:&quot;&quot;,&quot;non-dropping-particle&quot;:&quot;&quot;},{&quot;family&quot;:&quot;Soriano&quot;,&quot;given&quot;:&quot;Joan B.&quot;,&quot;parse-names&quot;:false,&quot;dropping-particle&quot;:&quot;&quot;,&quot;non-dropping-particle&quot;:&quot;&quot;},{&quot;family&quot;:&quot;Miravitlles&quot;,&quot;given&quot;:&quot;Marc&quot;,&quot;parse-names&quot;:false,&quot;dropping-particle&quot;:&quot;&quot;,&quot;non-dropping-particle&quot;:&quot;&quot;}],&quot;container-title&quot;:&quot;International journal of chronic obstructive pulmonary disease&quot;,&quot;container-title-short&quot;:&quot;Int J Chron Obstruct Pulmon Dis&quot;,&quot;accessed&quot;:{&quot;date-parts&quot;:[[2025,4,10]]},&quot;DOI&quot;:&quot;10.2147/COPD.S150853&quot;,&quot;ISSN&quot;:&quot;1178-2005&quot;,&quot;PMID&quot;:&quot;29317811&quot;,&quot;URL&quot;:&quot;https://pubmed.ncbi.nlm.nih.gov/29317811/&quot;,&quot;issued&quot;:{&quot;date-parts&quot;:[[2017]]},&quot;page&quot;:&quot;57-67&quot;,&quot;abstract&quot;:&quot;Existing data on COPD prevalence are limited or totally lacking in many regions of Europe. The geographic information system inverse distance weighted (IDW) interpolation technique has proved to be an effective tool in spatial distribution estimation of epidemiological variables, when real data are few and widely separated. Therefore, in order to represent cartographically the prevalence of COPD in Europe, an IDW interpolation mapping was performed. The point prevalence data provided by 62 studies from 19 countries (21 from 5 Northern European countries, 11 from 3 Western European countries, 14 from 5 Central European countries, and 16 from 6 Southern European countries) were identified using validated spirometric criteria. Despite the lack of data in many areas (including all regions of the eastern part of the continent), the IDW mapping predicted the COPD prevalence in the whole territory, even in extensive areas lacking real data. Although the quality of the data obtained from some studies may have some limitations related to different confounding factors, this methodology may be a suitable tool for obtaining epidemiological estimates that can enable us to better address this major public health problem.&quot;,&quot;publisher&quot;:&quot;Int J Chron Obstruct Pulmon Dis&quot;,&quot;volume&quot;:&quot;13&quot;},&quot;isTemporary&quot;:false}]},{&quot;citationID&quot;:&quot;MENDELEY_CITATION_6220f760-1f2b-4b3b-8cad-862722d6ad05&quot;,&quot;properties&quot;:{&quot;noteIndex&quot;:0},&quot;isEdited&quot;:false,&quot;manualOverride&quot;:{&quot;isManuallyOverridden&quot;:false,&quot;citeprocText&quot;:&quot;[67]&quot;,&quot;manualOverrideText&quot;:&quot;&quot;},&quot;citationTag&quot;:&quot;MENDELEY_CITATION_v3_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&quot;,&quot;citationItems&quot;:[{&quot;id&quot;:&quot;4ec9d0d8-2909-31c1-bf78-99e77b936bb3&quot;,&quot;itemData&quot;:{&quot;type&quot;:&quot;article-journal&quot;,&quot;id&quot;:&quot;4ec9d0d8-2909-31c1-bf78-99e77b936bb3&quot;,&quot;title&quot;:&quot;The geography of chronic obstructive pulmonary disease: a population-based study of Norway&quot;,&quot;author&quot;:[{&quot;family&quot;:&quot;Halvorsen&quot;,&quot;given&quot;:&quot;Thomas&quot;,&quot;parse-names&quot;:false,&quot;dropping-particle&quot;:&quot;&quot;,&quot;non-dropping-particle&quot;:&quot;&quot;},{&quot;family&quot;:&quot;Martinussen&quot;,&quot;given&quot;:&quot;Pål E.&quot;,&quot;parse-names&quot;:false,&quot;dropping-particle&quot;:&quot;&quot;,&quot;non-dropping-particle&quot;:&quot;&quot;}],&quot;container-title&quot;:&quot;Social science &amp; medicine (1982)&quot;,&quot;container-title-short&quot;:&quot;Soc Sci Med&quot;,&quot;accessed&quot;:{&quot;date-parts&quot;:[[2025,4,5]]},&quot;DOI&quot;:&quot;10.1016/J.SOCSCIMED.2014.03.018&quot;,&quot;ISSN&quot;:&quot;1873-5347&quot;,&quot;PMID&quot;:&quot;24739936&quot;,&quot;URL&quot;:&quot;https://pubmed.ncbi.nlm.nih.gov/24739936/&quot;,&quot;issued&quot;:{&quot;date-parts&quot;:[[2014]]},&quot;page&quot;:&quot;25-34&quot;,&quot;abstract&quot;:&quot;Research on chronic obstructive pulmonary disease (COPD) that includes geographic information is important in order to improve care and appropriate allocation of resources to patients suffering from COPD. The purpose of this study is to investigate the geography of COPD and factors associated with the spatial patterns of COPD prevalence. Particular emphasis is put on the role of the local socioeconomic environment. Utilising information from the Norwegian Prescription Database on all lung medication prescribed in 2009 we identified 62,882 persons with COPD in the Norwegian population. Patterns of spatial clustering in the prevalence of COPD are clearly evident, even when age and gender are controlled for. Gender and age are strongly related to COPD risk. Socio-economic characteristics of the community such as education and unemployment are also significantly correlated with COPD risk. People living in rural parts of the country are generally associated with less risk than people in urban settings, and in particular people living in communities with high levels of farm and fisheries employment. © 2014 Elsevier Ltd.&quot;,&quot;publisher&quot;:&quot;Soc Sci Med&quot;,&quot;volume&quot;:&quot;111&quot;},&quot;isTemporary&quot;:false}]},{&quot;citationID&quot;:&quot;MENDELEY_CITATION_d4e447ac-4726-4e43-9928-73307f677f41&quot;,&quot;properties&quot;:{&quot;noteIndex&quot;:0},&quot;isEdited&quot;:false,&quot;manualOverride&quot;:{&quot;isManuallyOverridden&quot;:false,&quot;citeprocText&quot;:&quot;[67]&quot;,&quot;manualOverrideText&quot;:&quot;&quot;},&quot;citationTag&quot;:&quot;MENDELEY_CITATION_v3_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&quot;,&quot;citationItems&quot;:[{&quot;id&quot;:&quot;4ec9d0d8-2909-31c1-bf78-99e77b936bb3&quot;,&quot;itemData&quot;:{&quot;type&quot;:&quot;article-journal&quot;,&quot;id&quot;:&quot;4ec9d0d8-2909-31c1-bf78-99e77b936bb3&quot;,&quot;title&quot;:&quot;The geography of chronic obstructive pulmonary disease: a population-based study of Norway&quot;,&quot;author&quot;:[{&quot;family&quot;:&quot;Halvorsen&quot;,&quot;given&quot;:&quot;Thomas&quot;,&quot;parse-names&quot;:false,&quot;dropping-particle&quot;:&quot;&quot;,&quot;non-dropping-particle&quot;:&quot;&quot;},{&quot;family&quot;:&quot;Martinussen&quot;,&quot;given&quot;:&quot;Pål E.&quot;,&quot;parse-names&quot;:false,&quot;dropping-particle&quot;:&quot;&quot;,&quot;non-dropping-particle&quot;:&quot;&quot;}],&quot;container-title&quot;:&quot;Social science &amp; medicine (1982)&quot;,&quot;container-title-short&quot;:&quot;Soc Sci Med&quot;,&quot;accessed&quot;:{&quot;date-parts&quot;:[[2025,4,5]]},&quot;DOI&quot;:&quot;10.1016/J.SOCSCIMED.2014.03.018&quot;,&quot;ISSN&quot;:&quot;1873-5347&quot;,&quot;PMID&quot;:&quot;24739936&quot;,&quot;URL&quot;:&quot;https://pubmed.ncbi.nlm.nih.gov/24739936/&quot;,&quot;issued&quot;:{&quot;date-parts&quot;:[[2014]]},&quot;page&quot;:&quot;25-34&quot;,&quot;abstract&quot;:&quot;Research on chronic obstructive pulmonary disease (COPD) that includes geographic information is important in order to improve care and appropriate allocation of resources to patients suffering from COPD. The purpose of this study is to investigate the geography of COPD and factors associated with the spatial patterns of COPD prevalence. Particular emphasis is put on the role of the local socioeconomic environment. Utilising information from the Norwegian Prescription Database on all lung medication prescribed in 2009 we identified 62,882 persons with COPD in the Norwegian population. Patterns of spatial clustering in the prevalence of COPD are clearly evident, even when age and gender are controlled for. Gender and age are strongly related to COPD risk. Socio-economic characteristics of the community such as education and unemployment are also significantly correlated with COPD risk. People living in rural parts of the country are generally associated with less risk than people in urban settings, and in particular people living in communities with high levels of farm and fisheries employment. © 2014 Elsevier Ltd.&quot;,&quot;publisher&quot;:&quot;Soc Sci Med&quot;,&quot;volume&quot;:&quot;111&quot;},&quot;isTemporary&quot;:false}]},{&quot;citationID&quot;:&quot;MENDELEY_CITATION_8d42fb84-dcdc-45bb-9494-d227f2b62a5e&quot;,&quot;properties&quot;:{&quot;noteIndex&quot;:0},&quot;isEdited&quot;:false,&quot;manualOverride&quot;:{&quot;isManuallyOverridden&quot;:false,&quot;citeprocText&quot;:&quot;[68]&quot;,&quot;manualOverrideText&quot;:&quot;&quot;},&quot;citationTag&quot;:&quot;MENDELEY_CITATION_v3_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&quot;,&quot;citationItems&quot;:[{&quot;id&quot;:&quot;7d45dffa-b7c6-39f7-9461-7fcb1e1ed238&quot;,&quot;itemData&quot;:{&quot;type&quot;:&quot;article-journal&quot;,&quot;id&quot;:&quot;7d45dffa-b7c6-39f7-9461-7fcb1e1ed238&quot;,&quot;title&quot;:&quot;Who is where at risk for Chronic Obstructive Pulmonary Disease? A spatial epidemiological analysis of health insurance claims for COPD in Northeastern Germany&quot;,&quot;author&quot;:[{&quot;family&quot;:&quot;Kauhl&quot;,&quot;given&quot;:&quot;Boris&quot;,&quot;parse-names&quot;:false,&quot;dropping-particle&quot;:&quot;&quot;,&quot;non-dropping-particle&quot;:&quot;&quot;},{&quot;family&quot;:&quot;Maier&quot;,&quot;given&quot;:&quot;Werner&quot;,&quot;parse-names&quot;:false,&quot;dropping-particle&quot;:&quot;&quot;,&quot;non-dropping-particle&quot;:&quot;&quot;},{&quot;family&quot;:&quot;Schweikart&quot;,&quot;given&quot;:&quot;Jürgen&quot;,&quot;parse-names&quot;:false,&quot;dropping-particle&quot;:&quot;&quot;,&quot;non-dropping-particle&quot;:&quot;&quot;},{&quot;family&quot;:&quot;Keste&quot;,&quot;given&quot;:&quot;Andrea&quot;,&quot;parse-names&quot;:false,&quot;dropping-particle&quot;:&quot;&quot;,&quot;non-dropping-particle&quot;:&quot;&quot;},{&quot;family&quot;:&quot;Moskwyn&quot;,&quot;given&quot;:&quot;Marita&quot;,&quot;parse-names&quot;:false,&quot;dropping-particle&quot;:&quot;&quot;,&quot;non-dropping-particle&quot;:&quot;&quot;}],&quot;container-title&quot;:&quot;PloS one&quot;,&quot;container-title-short&quot;:&quot;PLoS One&quot;,&quot;accessed&quot;:{&quot;date-parts&quot;:[[2025,4,12]]},&quot;DOI&quot;:&quot;10.1371/JOURNAL.PONE.0190865&quot;,&quot;ISSN&quot;:&quot;1932-6203&quot;,&quot;PMID&quot;:&quot;29414997&quot;,&quot;URL&quot;:&quot;https://pubmed.ncbi.nlm.nih.gov/29414997/&quot;,&quot;issued&quot;:{&quot;date-parts&quot;:[[2018,2,1]]},&quot;abstract&quot;:&quot;Background Chronic obstructive pulmonary disease (COPD) has a high prevalence rate in Germany and a further increase is expected within the next years. Although risk factors on an individual level are widely understood, only little is known about the spatial heterogeneity and population-based risk factors of COPD. Background knowledge about broader, population-based processes could help to plan the future provision of healthcare and prevention strategies more aligned to the expected demand. The aim of this study is to analyze how the prevalence of COPD varies across northeastern Germany on the smallest spatial-scale possible and to identify the location-specific population-based risk factors using health insurance claims of the AOK Nordost. Methods To visualize the spatial distribution of COPD prevalence at the level of municipalities and urban districts, we used the conditional autoregressive Besag–York–Mollié (BYM) model. Geographically weighted regression modelling (GWR) was applied to analyze the location-specific ecological risk factors for COPD. Results The sex- and age-adjusted prevalence of COPD was 6.5% in 2012 and varied widely across northeastern Germany. Population-based risk factors consist of the proportions of insurants aged 65 and older, insurants with migration background, household size and area deprivation. The results of the GWR model revealed that the population at risk for COPD varies considerably across northeastern Germany. Conclusion Area deprivation has a direct and an indirect influence on the prevalence of COPD. Persons ageing in socially disadvantaged areas have a higher chance of developing COPD, even when they are not necessarily directly affected by deprivation on an individual level. This underlines the importance of considering the impact of area deprivation on health for planning of healthcare. Additionally, our results reveal that in some parts of the study area, insurants with migration background and persons living in multi-persons households are at elevated risk of COPD.&quot;,&quot;publisher&quot;:&quot;PLoS One&quot;,&quot;issue&quot;:&quot;2&quot;,&quot;volume&quot;:&quot;13&quot;},&quot;isTemporary&quot;:false}]},{&quot;citationID&quot;:&quot;MENDELEY_CITATION_390b25fc-96ad-471d-aa00-4a1877a48fe7&quot;,&quot;properties&quot;:{&quot;noteIndex&quot;:0},&quot;isEdited&quot;:false,&quot;manualOverride&quot;:{&quot;isManuallyOverridden&quot;:false,&quot;citeprocText&quot;:&quot;[69]&quot;,&quot;manualOverrideText&quot;:&quot;&quot;},&quot;citationTag&quot;:&quot;MENDELEY_CITATION_v3_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&quot;,&quot;citationItems&quot;:[{&quot;id&quot;:&quot;a806d78a-2847-3c3d-b267-f76ab8c71b0f&quot;,&quot;itemData&quot;:{&quot;type&quot;:&quot;article-journal&quot;,&quot;id&quot;:&quot;a806d78a-2847-3c3d-b267-f76ab8c71b0f&quot;,&quot;title&quot;:&quot;Spatial characteristics of non-communicable diseases and their associations to social conditions in a large urban cohort in Germany-Results from the Hamburg City Health Study&quot;,&quot;author&quot;:[{&quot;family&quot;:&quot;Andrees&quot;,&quot;given&quot;:&quot;Valerie&quot;,&quot;parse-names&quot;:false,&quot;dropping-particle&quot;:&quot;&quot;,&quot;non-dropping-particle&quot;:&quot;&quot;},{&quot;family&quot;:&quot;Kellen&quot;,&quot;given&quot;:&quot;Ramona Bei&quot;,&quot;parse-names&quot;:false,&quot;dropping-particle&quot;:&quot;&quot;,&quot;non-dropping-particle&quot;:&quot;der&quot;},{&quot;family&quot;:&quot;Augustin&quot;,&quot;given&quot;:&quot;Matthias&quot;,&quot;parse-names&quot;:false,&quot;dropping-particle&quot;:&quot;&quot;,&quot;non-dropping-particle&quot;:&quot;&quot;},{&quot;family&quot;:&quot;Gallinat&quot;,&quot;given&quot;:&quot;Jürgen&quot;,&quot;parse-names&quot;:false,&quot;dropping-particle&quot;:&quot;&quot;,&quot;non-dropping-particle&quot;:&quot;&quot;},{&quot;family&quot;:&quot;Harth&quot;,&quot;given&quot;:&quot;Volker&quot;,&quot;parse-names&quot;:false,&quot;dropping-particle&quot;:&quot;&quot;,&quot;non-dropping-particle&quot;:&quot;&quot;},{&quot;family&quot;:&quot;Hoven&quot;,&quot;given&quot;:&quot;Hanno&quot;,&quot;parse-names&quot;:false,&quot;dropping-particle&quot;:&quot;&quot;,&quot;non-dropping-particle&quot;:&quot;&quot;},{&quot;family&quot;:&quot;Kühn&quot;,&quot;given&quot;:&quot;Simone&quot;,&quot;parse-names&quot;:false,&quot;dropping-particle&quot;:&quot;&quot;,&quot;non-dropping-particle&quot;:&quot;&quot;},{&quot;family&quot;:&quot;Lautenbach&quot;,&quot;given&quot;:&quot;Anne&quot;,&quot;parse-names&quot;:false,&quot;dropping-particle&quot;:&quot;&quot;,&quot;non-dropping-particle&quot;:&quot;&quot;},{&quot;family&quot;:&quot;Magnussen&quot;,&quot;given&quot;:&quot;Christina&quot;,&quot;parse-names&quot;:false,&quot;dropping-particle&quot;:&quot;&quot;,&quot;non-dropping-particle&quot;:&quot;&quot;},{&quot;family&quot;:&quot;Mohr&quot;,&quot;given&quot;:&quot;Nicole&quot;,&quot;parse-names&quot;:false,&quot;dropping-particle&quot;:&quot;&quot;,&quot;non-dropping-particle&quot;:&quot;&quot;},{&quot;family&quot;:&quot;Twerenbold&quot;,&quot;given&quot;:&quot;Raphael&quot;,&quot;parse-names&quot;:false,&quot;dropping-particle&quot;:&quot;&quot;,&quot;non-dropping-particle&quot;:&quot;&quot;},{&quot;family&quot;:&quot;Schäfer&quot;,&quot;given&quot;:&quot;Ines&quot;,&quot;parse-names&quot;:false,&quot;dropping-particle&quot;:&quot;&quot;,&quot;non-dropping-particle&quot;:&quot;&quot;},{&quot;family&quot;:&quot;Waschki&quot;,&quot;given&quot;:&quot;Benjamin&quot;,&quot;parse-names&quot;:false,&quot;dropping-particle&quot;:&quot;&quot;,&quot;non-dropping-particle&quot;:&quot;&quot;},{&quot;family&quot;:&quot;Zyriax&quot;,&quot;given&quot;:&quot;Birgit Christiane&quot;,&quot;parse-names&quot;:false,&quot;dropping-particle&quot;:&quot;&quot;,&quot;non-dropping-particle&quot;:&quot;&quot;},{&quot;family&quot;:&quot;Augustin&quot;,&quot;given&quot;:&quot;Jobst&quot;,&quot;parse-names&quot;:false,&quot;dropping-particle&quot;:&quot;&quot;,&quot;non-dropping-particle&quot;:&quot;&quot;}],&quot;container-title&quot;:&quot;PloS one&quot;,&quot;container-title-short&quot;:&quot;PLoS One&quot;,&quot;accessed&quot;:{&quot;date-parts&quot;:[[2025,4,12]]},&quot;DOI&quot;:&quot;10.1371/JOURNAL.PONE.0301475&quot;,&quot;ISSN&quot;:&quot;1932-6203&quot;,&quot;PMID&quot;:&quot;38593150&quot;,&quot;URL&quot;:&quot;https://pubmed.ncbi.nlm.nih.gov/38593150/&quot;,&quot;issued&quot;:{&quot;date-parts&quot;:[[2024,4,1]]},&quot;abstract&quot;:&quot;Background Non-communicable diseases (NCDs) are responsible for many deaths. They are associated with several modifiable and metabolic risk factors and are therefore prone to significant regional variations on different scales. However, only few intra-urban studies examined spatial variation in NCDs and its association with social circumstances, especially in Germany. Thus, the present study aimed to identify associations of personal risk factors and local social conditions with NCDs in a large German city. Methods This study is based on a population-based cohort of the Hamburg City Health Study including 10,000 probands. Six NCDs were analyzed (chronic obstructive pulmonary disease [COPD], coronary heart disease [CHD], diabetes mellitus, heart failure, depression, and hypertension) in 68 city district clusters. As risk factors, we considered socio-demographic variables (age, sex, education) and risk behaviour variables (smoking, alcohol consumption). Logistic regression analyses identified associations between the district clusters and the prevalence rates for each NCD. Regional variation was detected by Gini coefficients and spatial cluster analyses. Local social condition indexes were correlated with prevalence rates of NCDs on city district level and hot-spot analyses were performed for significant high or low values. Results The analyses included 7,308 participants with a mean age of 63.1 years (51.5% female). The prevalence of hypertension (67.6%) was the highest. Risk factor associations were identified between smoking, alcohol consumption and education and the prevalence of NCDs (hypertension, diabetes, and COPD). Significant regional variations were detected and persisted after adjusting for personal risk factors. Correlations for prevalence rates with the local social conditions were significant for hypertension (r = 0.294, p &lt; 0.02), diabetes (r = 0.259, p = 0.03), and COPD (r = 0.360, p &lt; 0.01). Conclusions The study shows that regional differences in NCD prevalence persist even after adjusting for personal risk factors. This highlights the central role of both personal socio-economic status and behaviors such as alcohol and tobacco consumption. It also highlights the importance of other potential regional factors (e.g. the environment) in shaping NCD prevalence. This knowledge helps policy- and decision-makers to develop intervention strategies.&quot;,&quot;publisher&quot;:&quot;PLoS One&quot;,&quot;issue&quot;:&quot;4&quot;,&quot;volume&quot;:&quot;19&quot;},&quot;isTemporary&quot;:false}]},{&quot;citationID&quot;:&quot;MENDELEY_CITATION_91572fde-25e3-4270-9c65-a699225a6794&quot;,&quot;properties&quot;:{&quot;noteIndex&quot;:0},&quot;isEdited&quot;:false,&quot;manualOverride&quot;:{&quot;isManuallyOverridden&quot;:false,&quot;citeprocText&quot;:&quot;[60]&quot;,&quot;manualOverrideText&quot;:&quot;&quot;},&quot;citationTag&quot;:&quot;MENDELEY_CITATION_v3_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&quot;,&quot;citationItems&quot;:[{&quot;id&quot;:&quot;1680166e-81f4-3f17-9307-0e35ada80782&quot;,&quot;itemData&quot;:{&quot;type&quot;:&quot;article-journal&quot;,&quot;id&quot;:&quot;1680166e-81f4-3f17-9307-0e35ada80782&quot;,&quot;title&quot;:&quot;Influence of country-level differences on COPD prevalence&quot;,&quot;author&quot;:[{&quot;family&quot;:&quot;Aaron&quot;,&quot;given&quot;:&quot;Shawn D.&quot;,&quot;parse-names&quot;:false,&quot;dropping-particle&quot;:&quot;&quot;,&quot;non-dropping-particle&quot;:&quot;&quot;},{&quot;family&quot;:&quot;Gershon&quot;,&quot;given&quot;:&quot;Andrea S.&quot;,&quot;parse-names&quot;:false,&quot;dropping-particle&quot;:&quot;&quot;,&quot;non-dropping-particle&quot;:&quot;&quot;},{&quot;family&quot;:&quot;Gao&quot;,&quot;given&quot;:&quot;Yuan&quot;,&quot;parse-names&quot;:false,&quot;dropping-particle&quot;:&quot;&quot;,&quot;non-dropping-particle&quot;:&quot;&quot;},{&quot;family&quot;:&quot;Yang&quot;,&quot;given&quot;:&quot;Jenna&quot;,&quot;parse-names&quot;:false,&quot;dropping-particle&quot;:&quot;&quot;,&quot;non-dropping-particle&quot;:&quot;&quot;},{&quot;family&quot;:&quot;Whitmore&quot;,&quot;given&quot;:&quot;G. A.&quot;,&quot;parse-names&quot;:false,&quot;dropping-particle&quot;:&quot;&quot;,&quot;non-dropping-particle&quot;:&quot;&quot;}],&quot;container-title&quot;:&quot;International journal of chronic obstructive pulmonary disease&quot;,&quot;accessed&quot;:{&quot;date-parts&quot;:[[2024,12,7]]},&quot;DOI&quot;:&quot;10.2147/COPD.S113868&quot;,&quot;ISSN&quot;:&quot;1178-2005&quot;,&quot;PMID&quot;:&quot;27698561&quot;,&quot;URL&quot;:&quot;https://pubmed.ncbi.nlm.nih.gov/27698561/&quot;,&quot;issued&quot;:{&quot;date-parts&quot;:[[2016,9,19]]},&quot;page&quot;:&quot;2305-2313&quot;,&quot;abstract&quot;:&quot;Purpose: Studies suggest that COPD prevalence may vary between countries. We conducted an ecological study of data from COPD prevalence articles to assess the influence of differences in country-level risk factors on COPD prevalence. Patients and methods: Our study covered English language articles published during 2003–2014. Qualified articles used spirometry to assess COPD prevalence and used representative samples from national or subnational populations. Stepwise binomial regression was used to analyze associations between study- and country-level factors and COPD prevalence. Results: Eighty articles provided 1,583 measures of COPD prevalence for subjects in different sex, age, and smoking categories for 112 districts in 41 countries. Adjusted prevalence rates for COPD were significantly lower for Australia/New Zealand and the Mediterranean and significantly higher for Latin America, compared to North America, Southeast Asia, and Northern Europe. Country-level socioeconomic development variables had an uneven and mixed association with COPD prevalence. High elevation above sea level was shown to be a protective factor for COPD. Study-level variables for the established risk factors of sex, age, and smoking explained 64% of variability in COPD prevalence. Country-level risk factors raised the explanatory power to 72%. Approximately 28% of worldwide variability in COPD prevalence remained unexplained. Conclusion: Our study suggests that COPD prevalence varies across world regions, even after adjustment for established risk factors. Major country-level risk factors contributing to the worldwide epidemic of COPD remain to be investigated.&quot;,&quot;publisher&quot;:&quot;Int J Chron Obstruct Pulmon Dis&quot;,&quot;issue&quot;:&quot;1&quot;,&quot;volume&quot;:&quot;11&quot;,&quot;container-title-short&quot;:&quot;Int J Chron Obstruct Pulmon Dis&quot;},&quot;isTemporary&quot;:false}]},{&quot;citationID&quot;:&quot;MENDELEY_CITATION_9346d50d-3801-4884-a4c1-360ae3639a9c&quot;,&quot;properties&quot;:{&quot;noteIndex&quot;:0},&quot;isEdited&quot;:false,&quot;manualOverride&quot;:{&quot;isManuallyOverridden&quot;:false,&quot;citeprocText&quot;:&quot;[60]&quot;,&quot;manualOverrideText&quot;:&quot;&quot;},&quot;citationTag&quot;:&quot;MENDELEY_CITATION_v3_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&quot;,&quot;citationItems&quot;:[{&quot;id&quot;:&quot;1680166e-81f4-3f17-9307-0e35ada80782&quot;,&quot;itemData&quot;:{&quot;type&quot;:&quot;article-journal&quot;,&quot;id&quot;:&quot;1680166e-81f4-3f17-9307-0e35ada80782&quot;,&quot;title&quot;:&quot;Influence of country-level differences on COPD prevalence&quot;,&quot;author&quot;:[{&quot;family&quot;:&quot;Aaron&quot;,&quot;given&quot;:&quot;Shawn D.&quot;,&quot;parse-names&quot;:false,&quot;dropping-particle&quot;:&quot;&quot;,&quot;non-dropping-particle&quot;:&quot;&quot;},{&quot;family&quot;:&quot;Gershon&quot;,&quot;given&quot;:&quot;Andrea S.&quot;,&quot;parse-names&quot;:false,&quot;dropping-particle&quot;:&quot;&quot;,&quot;non-dropping-particle&quot;:&quot;&quot;},{&quot;family&quot;:&quot;Gao&quot;,&quot;given&quot;:&quot;Yuan&quot;,&quot;parse-names&quot;:false,&quot;dropping-particle&quot;:&quot;&quot;,&quot;non-dropping-particle&quot;:&quot;&quot;},{&quot;family&quot;:&quot;Yang&quot;,&quot;given&quot;:&quot;Jenna&quot;,&quot;parse-names&quot;:false,&quot;dropping-particle&quot;:&quot;&quot;,&quot;non-dropping-particle&quot;:&quot;&quot;},{&quot;family&quot;:&quot;Whitmore&quot;,&quot;given&quot;:&quot;G. A.&quot;,&quot;parse-names&quot;:false,&quot;dropping-particle&quot;:&quot;&quot;,&quot;non-dropping-particle&quot;:&quot;&quot;}],&quot;container-title&quot;:&quot;International journal of chronic obstructive pulmonary disease&quot;,&quot;container-title-short&quot;:&quot;Int J Chron Obstruct Pulmon Dis&quot;,&quot;accessed&quot;:{&quot;date-parts&quot;:[[2024,12,7]]},&quot;DOI&quot;:&quot;10.2147/COPD.S113868&quot;,&quot;ISSN&quot;:&quot;1178-2005&quot;,&quot;PMID&quot;:&quot;27698561&quot;,&quot;URL&quot;:&quot;https://pubmed.ncbi.nlm.nih.gov/27698561/&quot;,&quot;issued&quot;:{&quot;date-parts&quot;:[[2016,9,19]]},&quot;page&quot;:&quot;2305-2313&quot;,&quot;abstract&quot;:&quot;Purpose: Studies suggest that COPD prevalence may vary between countries. We conducted an ecological study of data from COPD prevalence articles to assess the influence of differences in country-level risk factors on COPD prevalence. Patients and methods: Our study covered English language articles published during 2003–2014. Qualified articles used spirometry to assess COPD prevalence and used representative samples from national or subnational populations. Stepwise binomial regression was used to analyze associations between study- and country-level factors and COPD prevalence. Results: Eighty articles provided 1,583 measures of COPD prevalence for subjects in different sex, age, and smoking categories for 112 districts in 41 countries. Adjusted prevalence rates for COPD were significantly lower for Australia/New Zealand and the Mediterranean and significantly higher for Latin America, compared to North America, Southeast Asia, and Northern Europe. Country-level socioeconomic development variables had an uneven and mixed association with COPD prevalence. High elevation above sea level was shown to be a protective factor for COPD. Study-level variables for the established risk factors of sex, age, and smoking explained 64% of variability in COPD prevalence. Country-level risk factors raised the explanatory power to 72%. Approximately 28% of worldwide variability in COPD prevalence remained unexplained. Conclusion: Our study suggests that COPD prevalence varies across world regions, even after adjustment for established risk factors. Major country-level risk factors contributing to the worldwide epidemic of COPD remain to be investigated.&quot;,&quot;publisher&quot;:&quot;Int J Chron Obstruct Pulmon Dis&quot;,&quot;issue&quot;:&quot;1&quot;,&quot;volume&quot;:&quot;11&quot;},&quot;isTemporary&quot;:false}]},{&quot;citationID&quot;:&quot;MENDELEY_CITATION_31357420-beb4-4e9e-979e-37cfdfcab464&quot;,&quot;properties&quot;:{&quot;noteIndex&quot;:0},&quot;isEdited&quot;:false,&quot;manualOverride&quot;:{&quot;isManuallyOverridden&quot;:false,&quot;citeprocText&quot;:&quot;[64]&quot;,&quot;manualOverrideText&quot;:&quot;&quot;},&quot;citationTag&quot;:&quot;MENDELEY_CITATION_v3_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&quot;,&quot;citationItems&quot;:[{&quot;id&quot;:&quot;bf6b5e6a-2586-308b-9732-6edc36a9b258&quot;,&quot;itemData&quot;:{&quot;type&quot;:&quot;article-journal&quot;,&quot;id&quot;:&quot;bf6b5e6a-2586-308b-9732-6edc36a9b258&quot;,&quot;title&quot;:&quot;Geographical Distribution of COPD Prevalence in the Americas&quot;,&quot;author&quot;:[{&quot;family&quot;:&quot;Blanco&quot;,&quot;given&quot;:&quot;Ignacio&quot;,&quot;parse-names&quot;:false,&quot;dropping-particle&quot;:&quot;&quot;,&quot;non-dropping-particle&quot;:&quot;&quot;},{&quot;family&quot;:&quot;Diego&quot;,&quot;given&quot;:&quot;Isidro&quot;,&quot;parse-names&quot;:false,&quot;dropping-particle&quot;:&quot;&quot;,&quot;non-dropping-particle&quot;:&quot;&quot;},{&quot;family&quot;:&quot;Bueno&quot;,&quot;given&quot;:&quot;Patricia&quot;,&quot;parse-names&quot;:false,&quot;dropping-particle&quot;:&quot;&quot;,&quot;non-dropping-particle&quot;:&quot;&quot;},{&quot;family&quot;:&quot;Fernández&quot;,&quot;given&quot;:&quot;Eloy&quot;,&quot;parse-names&quot;:false,&quot;dropping-particle&quot;:&quot;&quot;,&quot;non-dropping-particle&quot;:&quot;&quot;},{&quot;family&quot;:&quot;Casas-Maldonado&quot;,&quot;given&quot;:&quot;Francisco&quot;,&quot;parse-names&quot;:false,&quot;dropping-particle&quot;:&quot;&quot;,&quot;non-dropping-particle&quot;:&quot;&quot;},{&quot;family&quot;:&quot;Esquinas&quot;,&quot;given&quot;:&quot;Cristina&quot;,&quot;parse-names&quot;:false,&quot;dropping-particle&quot;:&quot;&quot;,&quot;non-dropping-particle&quot;:&quot;&quot;},{&quot;family&quot;:&quot;Soriano&quot;,&quot;given&quot;:&quot;Joan B.&quot;,&quot;parse-names&quot;:false,&quot;dropping-particle&quot;:&quot;&quot;,&quot;non-dropping-particle&quot;:&quot;&quot;},{&quot;family&quot;:&quot;Miravitlles&quot;,&quot;given&quot;:&quot;Marc&quot;,&quot;parse-names&quot;:false,&quot;dropping-particle&quot;:&quot;&quot;,&quot;non-dropping-particle&quot;:&quot;&quot;}],&quot;container-title&quot;:&quot;https://doi.org/10.1080/15412555.2018.1481936&quot;,&quot;accessed&quot;:{&quot;date-parts&quot;:[[2022,5,8]]},&quot;DOI&quot;:&quot;10.1080/15412555.2018.1481936&quot;,&quot;ISSN&quot;:&quot;15412563&quot;,&quot;PMID&quot;:&quot;30375898&quot;,&quot;URL&quot;:&quot;https://www.tandfonline.com/doi/abs/10.1080/15412555.2018.1481936&quot;,&quot;issued&quot;:{&quot;date-parts&quot;:[[2018,7,4]]},&quot;page&quot;:&quot;317-325&quot;,&quot;abstract&quot;:&quot;Surveys estimating chronic obstructive pulmonary disease (COPD) prevalence are unevenly distributed in the Americas, which make it difficult to estimate accurately its geographical distribution. Th...&quot;,&quot;publisher&quot;:&quot;Taylor &amp; Francis&quot;,&quot;issue&quot;:&quot;4&quot;,&quot;volume&quot;:&quot;15&quot;,&quot;container-title-short&quot;:&quot;&quot;},&quot;isTemporary&quot;:false}]},{&quot;citationID&quot;:&quot;MENDELEY_CITATION_8fdb076b-2d71-4d21-8955-107c455f6e56&quot;,&quot;properties&quot;:{&quot;noteIndex&quot;:0},&quot;isEdited&quot;:false,&quot;manualOverride&quot;:{&quot;isManuallyOverridden&quot;:false,&quot;citeprocText&quot;:&quot;[64]&quot;,&quot;manualOverrideText&quot;:&quot;&quot;},&quot;citationTag&quot;:&quot;MENDELEY_CITATION_v3_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&quot;,&quot;citationItems&quot;:[{&quot;id&quot;:&quot;bf6b5e6a-2586-308b-9732-6edc36a9b258&quot;,&quot;itemData&quot;:{&quot;type&quot;:&quot;article-journal&quot;,&quot;id&quot;:&quot;bf6b5e6a-2586-308b-9732-6edc36a9b258&quot;,&quot;title&quot;:&quot;Geographical Distribution of COPD Prevalence in the Americas&quot;,&quot;author&quot;:[{&quot;family&quot;:&quot;Blanco&quot;,&quot;given&quot;:&quot;Ignacio&quot;,&quot;parse-names&quot;:false,&quot;dropping-particle&quot;:&quot;&quot;,&quot;non-dropping-particle&quot;:&quot;&quot;},{&quot;family&quot;:&quot;Diego&quot;,&quot;given&quot;:&quot;Isidro&quot;,&quot;parse-names&quot;:false,&quot;dropping-particle&quot;:&quot;&quot;,&quot;non-dropping-particle&quot;:&quot;&quot;},{&quot;family&quot;:&quot;Bueno&quot;,&quot;given&quot;:&quot;Patricia&quot;,&quot;parse-names&quot;:false,&quot;dropping-particle&quot;:&quot;&quot;,&quot;non-dropping-particle&quot;:&quot;&quot;},{&quot;family&quot;:&quot;Fernández&quot;,&quot;given&quot;:&quot;Eloy&quot;,&quot;parse-names&quot;:false,&quot;dropping-particle&quot;:&quot;&quot;,&quot;non-dropping-particle&quot;:&quot;&quot;},{&quot;family&quot;:&quot;Casas-Maldonado&quot;,&quot;given&quot;:&quot;Francisco&quot;,&quot;parse-names&quot;:false,&quot;dropping-particle&quot;:&quot;&quot;,&quot;non-dropping-particle&quot;:&quot;&quot;},{&quot;family&quot;:&quot;Esquinas&quot;,&quot;given&quot;:&quot;Cristina&quot;,&quot;parse-names&quot;:false,&quot;dropping-particle&quot;:&quot;&quot;,&quot;non-dropping-particle&quot;:&quot;&quot;},{&quot;family&quot;:&quot;Soriano&quot;,&quot;given&quot;:&quot;Joan B.&quot;,&quot;parse-names&quot;:false,&quot;dropping-particle&quot;:&quot;&quot;,&quot;non-dropping-particle&quot;:&quot;&quot;},{&quot;family&quot;:&quot;Miravitlles&quot;,&quot;given&quot;:&quot;Marc&quot;,&quot;parse-names&quot;:false,&quot;dropping-particle&quot;:&quot;&quot;,&quot;non-dropping-particle&quot;:&quot;&quot;}],&quot;container-title&quot;:&quot;https://doi.org/10.1080/15412555.2018.1481936&quot;,&quot;accessed&quot;:{&quot;date-parts&quot;:[[2022,5,8]]},&quot;DOI&quot;:&quot;10.1080/15412555.2018.1481936&quot;,&quot;ISSN&quot;:&quot;15412563&quot;,&quot;PMID&quot;:&quot;30375898&quot;,&quot;URL&quot;:&quot;https://www.tandfonline.com/doi/abs/10.1080/15412555.2018.1481936&quot;,&quot;issued&quot;:{&quot;date-parts&quot;:[[2018,7,4]]},&quot;page&quot;:&quot;317-325&quot;,&quot;abstract&quot;:&quot;Surveys estimating chronic obstructive pulmonary disease (COPD) prevalence are unevenly distributed in the Americas, which make it difficult to estimate accurately its geographical distribution. Th...&quot;,&quot;publisher&quot;:&quot;Taylor &amp; Francis&quot;,&quot;issue&quot;:&quot;4&quot;,&quot;volume&quot;:&quot;15&quot;,&quot;container-title-short&quot;:&quot;&quot;},&quot;isTemporary&quot;:false}]},{&quot;citationID&quot;:&quot;MENDELEY_CITATION_6afc01d8-d1e0-424f-81cb-bef306582884&quot;,&quot;properties&quot;:{&quot;noteIndex&quot;:0},&quot;isEdited&quot;:false,&quot;manualOverride&quot;:{&quot;isManuallyOverridden&quot;:false,&quot;citeprocText&quot;:&quot;[64]&quot;,&quot;manualOverrideText&quot;:&quot;&quot;},&quot;citationTag&quot;:&quot;MENDELEY_CITATION_v3_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&quot;,&quot;citationItems&quot;:[{&quot;id&quot;:&quot;bf6b5e6a-2586-308b-9732-6edc36a9b258&quot;,&quot;itemData&quot;:{&quot;type&quot;:&quot;article-journal&quot;,&quot;id&quot;:&quot;bf6b5e6a-2586-308b-9732-6edc36a9b258&quot;,&quot;title&quot;:&quot;Geographical Distribution of COPD Prevalence in the Americas&quot;,&quot;author&quot;:[{&quot;family&quot;:&quot;Blanco&quot;,&quot;given&quot;:&quot;Ignacio&quot;,&quot;parse-names&quot;:false,&quot;dropping-particle&quot;:&quot;&quot;,&quot;non-dropping-particle&quot;:&quot;&quot;},{&quot;family&quot;:&quot;Diego&quot;,&quot;given&quot;:&quot;Isidro&quot;,&quot;parse-names&quot;:false,&quot;dropping-particle&quot;:&quot;&quot;,&quot;non-dropping-particle&quot;:&quot;&quot;},{&quot;family&quot;:&quot;Bueno&quot;,&quot;given&quot;:&quot;Patricia&quot;,&quot;parse-names&quot;:false,&quot;dropping-particle&quot;:&quot;&quot;,&quot;non-dropping-particle&quot;:&quot;&quot;},{&quot;family&quot;:&quot;Fernández&quot;,&quot;given&quot;:&quot;Eloy&quot;,&quot;parse-names&quot;:false,&quot;dropping-particle&quot;:&quot;&quot;,&quot;non-dropping-particle&quot;:&quot;&quot;},{&quot;family&quot;:&quot;Casas-Maldonado&quot;,&quot;given&quot;:&quot;Francisco&quot;,&quot;parse-names&quot;:false,&quot;dropping-particle&quot;:&quot;&quot;,&quot;non-dropping-particle&quot;:&quot;&quot;},{&quot;family&quot;:&quot;Esquinas&quot;,&quot;given&quot;:&quot;Cristina&quot;,&quot;parse-names&quot;:false,&quot;dropping-particle&quot;:&quot;&quot;,&quot;non-dropping-particle&quot;:&quot;&quot;},{&quot;family&quot;:&quot;Soriano&quot;,&quot;given&quot;:&quot;Joan B.&quot;,&quot;parse-names&quot;:false,&quot;dropping-particle&quot;:&quot;&quot;,&quot;non-dropping-particle&quot;:&quot;&quot;},{&quot;family&quot;:&quot;Miravitlles&quot;,&quot;given&quot;:&quot;Marc&quot;,&quot;parse-names&quot;:false,&quot;dropping-particle&quot;:&quot;&quot;,&quot;non-dropping-particle&quot;:&quot;&quot;}],&quot;container-title&quot;:&quot;https://doi.org/10.1080/15412555.2018.1481936&quot;,&quot;accessed&quot;:{&quot;date-parts&quot;:[[2022,5,8]]},&quot;DOI&quot;:&quot;10.1080/15412555.2018.1481936&quot;,&quot;ISSN&quot;:&quot;15412563&quot;,&quot;PMID&quot;:&quot;30375898&quot;,&quot;URL&quot;:&quot;https://www.tandfonline.com/doi/abs/10.1080/15412555.2018.1481936&quot;,&quot;issued&quot;:{&quot;date-parts&quot;:[[2018,7,4]]},&quot;page&quot;:&quot;317-325&quot;,&quot;abstract&quot;:&quot;Surveys estimating chronic obstructive pulmonary disease (COPD) prevalence are unevenly distributed in the Americas, which make it difficult to estimate accurately its geographical distribution. Th...&quot;,&quot;publisher&quot;:&quot;Taylor &amp; Francis&quot;,&quot;issue&quot;:&quot;4&quot;,&quot;volume&quot;:&quot;15&quot;,&quot;container-title-short&quot;:&quot;&quot;},&quot;isTemporary&quot;:false}]},{&quot;citationID&quot;:&quot;MENDELEY_CITATION_ad5f212e-80e2-49fc-ad68-2cc7b2e98436&quot;,&quot;properties&quot;:{&quot;noteIndex&quot;:0},&quot;isEdited&quot;:false,&quot;manualOverride&quot;:{&quot;isManuallyOverridden&quot;:false,&quot;citeprocText&quot;:&quot;[4]&quot;,&quot;manualOverrideText&quot;:&quot;&quot;},&quot;citationTag&quot;:&quot;MENDELEY_CITATION_v3_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&quot;,&quot;citationItems&quot;:[{&quot;id&quot;:&quot;4a66e3c3-580e-3af8-91d2-c4eb6b2c00f5&quot;,&quot;itemData&quot;:{&quot;type&quot;:&quot;article-journal&quot;,&quot;id&quot;:&quot;4a66e3c3-580e-3af8-91d2-c4eb6b2c00f5&quot;,&quot;title&quot;:&quot;Chronic Obstructive Pulmonary Disease and Smoking Status — United States, 2017&quot;,&quot;author&quot;:[{&quot;family&quot;:&quot;Wheaton&quot;,&quot;given&quot;:&quot;Anne G.&quot;,&quot;parse-names&quot;:false,&quot;dropping-particle&quot;:&quot;&quot;,&quot;non-dropping-particle&quot;:&quot;&quot;},{&quot;family&quot;:&quot;Liu&quot;,&quot;given&quot;:&quot;Yong&quot;,&quot;parse-names&quot;:false,&quot;dropping-particle&quot;:&quot;&quot;,&quot;non-dropping-particle&quot;:&quot;&quot;},{&quot;family&quot;:&quot;Croft&quot;,&quot;given&quot;:&quot;Janet B.&quot;,&quot;parse-names&quot;:false,&quot;dropping-particle&quot;:&quot;&quot;,&quot;non-dropping-particle&quot;:&quot;&quot;},{&quot;family&quot;:&quot;VanFrank&quot;,&quot;given&quot;:&quot;Brenna&quot;,&quot;parse-names&quot;:false,&quot;dropping-particle&quot;:&quot;&quot;,&quot;non-dropping-particle&quot;:&quot;&quot;},{&quot;family&quot;:&quot;Croxton&quot;,&quot;given&quot;:&quot;Thomas L.&quot;,&quot;parse-names&quot;:false,&quot;dropping-particle&quot;:&quot;&quot;,&quot;non-dropping-particle&quot;:&quot;&quot;},{&quot;family&quot;:&quot;Punturieri&quot;,&quot;given&quot;:&quot;Antonello&quot;,&quot;parse-names&quot;:false,&quot;dropping-particle&quot;:&quot;&quot;,&quot;non-dropping-particle&quot;:&quot;&quot;},{&quot;family&quot;:&quot;Postow&quot;,&quot;given&quot;:&quot;Lisa&quot;,&quot;parse-names&quot;:false,&quot;dropping-particle&quot;:&quot;&quot;,&quot;non-dropping-particle&quot;:&quot;&quot;},{&quot;family&quot;:&quot;Greenlund&quot;,&quot;given&quot;:&quot;Kurt J.&quot;,&quot;parse-names&quot;:false,&quot;dropping-particle&quot;:&quot;&quot;,&quot;non-dropping-particle&quot;:&quot;&quot;}],&quot;container-title&quot;:&quot;MMWR. Morbidity and Mortality Weekly Report&quot;,&quot;container-title-short&quot;:&quot;MMWR Morb Mortal Wkly Rep&quot;,&quot;accessed&quot;:{&quot;date-parts&quot;:[[2020,12,7]]},&quot;DOI&quot;:&quot;10.15585/mmwr.mm6824a1&quot;,&quot;ISSN&quot;:&quot;0149-2195&quot;,&quot;PMID&quot;:&quot;31220055&quot;,&quot;URL&quot;:&quot;https://www.ncbi.nlm.nih.gov/pmc/articles/PMC6586372/&quot;,&quot;issued&quot;:{&quot;date-parts&quot;:[[2019,6,21]]},&quot;page&quot;:&quot;533-538&quot;,&quot;abstract&quot;:&quot;Cigarette smoking is the leading cause of chronic obstructive pulmonary disease (COPD) in the United States; however, an estimated one fourth of adults with COPD have never smoked (1). CDC analyzed state-specific Behavioral Risk Factor Surveillance System (BRFSS) data from 2017, which indicated that, overall among U.S. adults, 6.2% (age-adjusted) reported having been told by a health care professional that they had COPD. The age-adjusted prevalence of COPD was 15.2% among current cigarette smokers, 7.6% among former smokers, and 2.8% among adults who had never smoked. Higher prevalences of COPD were observed in southeastern and Appalachian states, regardless of smoking status of respondents. Whereas the strong positive correlation between state prevalence of COPD and state prevalence of current smoking was expected among current and former smokers, a similar relationship among adults who had never smoked suggests secondhand smoke exposure as a potential risk factor for COPD. Continued promotion of smoke-free environments might reduce COPD among both those who smoke and those who do not.&quot;,&quot;publisher&quot;:&quot;Centers for Disease Control MMWR Office&quot;,&quot;issue&quot;:&quot;24&quot;,&quot;volume&quot;:&quot;68&quot;},&quot;isTemporary&quot;:false}]},{&quot;citationID&quot;:&quot;MENDELEY_CITATION_5e621721-f756-4fab-8158-27c30767f35b&quot;,&quot;properties&quot;:{&quot;noteIndex&quot;:0},&quot;isEdited&quot;:false,&quot;manualOverride&quot;:{&quot;isManuallyOverridden&quot;:false,&quot;citeprocText&quot;:&quot;[4]&quot;,&quot;manualOverrideText&quot;:&quot;&quot;},&quot;citationTag&quot;:&quot;MENDELEY_CITATION_v3_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&quot;,&quot;citationItems&quot;:[{&quot;id&quot;:&quot;4a66e3c3-580e-3af8-91d2-c4eb6b2c00f5&quot;,&quot;itemData&quot;:{&quot;type&quot;:&quot;article-journal&quot;,&quot;id&quot;:&quot;4a66e3c3-580e-3af8-91d2-c4eb6b2c00f5&quot;,&quot;title&quot;:&quot;Chronic Obstructive Pulmonary Disease and Smoking Status — United States, 2017&quot;,&quot;author&quot;:[{&quot;family&quot;:&quot;Wheaton&quot;,&quot;given&quot;:&quot;Anne G.&quot;,&quot;parse-names&quot;:false,&quot;dropping-particle&quot;:&quot;&quot;,&quot;non-dropping-particle&quot;:&quot;&quot;},{&quot;family&quot;:&quot;Liu&quot;,&quot;given&quot;:&quot;Yong&quot;,&quot;parse-names&quot;:false,&quot;dropping-particle&quot;:&quot;&quot;,&quot;non-dropping-particle&quot;:&quot;&quot;},{&quot;family&quot;:&quot;Croft&quot;,&quot;given&quot;:&quot;Janet B.&quot;,&quot;parse-names&quot;:false,&quot;dropping-particle&quot;:&quot;&quot;,&quot;non-dropping-particle&quot;:&quot;&quot;},{&quot;family&quot;:&quot;VanFrank&quot;,&quot;given&quot;:&quot;Brenna&quot;,&quot;parse-names&quot;:false,&quot;dropping-particle&quot;:&quot;&quot;,&quot;non-dropping-particle&quot;:&quot;&quot;},{&quot;family&quot;:&quot;Croxton&quot;,&quot;given&quot;:&quot;Thomas L.&quot;,&quot;parse-names&quot;:false,&quot;dropping-particle&quot;:&quot;&quot;,&quot;non-dropping-particle&quot;:&quot;&quot;},{&quot;family&quot;:&quot;Punturieri&quot;,&quot;given&quot;:&quot;Antonello&quot;,&quot;parse-names&quot;:false,&quot;dropping-particle&quot;:&quot;&quot;,&quot;non-dropping-particle&quot;:&quot;&quot;},{&quot;family&quot;:&quot;Postow&quot;,&quot;given&quot;:&quot;Lisa&quot;,&quot;parse-names&quot;:false,&quot;dropping-particle&quot;:&quot;&quot;,&quot;non-dropping-particle&quot;:&quot;&quot;},{&quot;family&quot;:&quot;Greenlund&quot;,&quot;given&quot;:&quot;Kurt J.&quot;,&quot;parse-names&quot;:false,&quot;dropping-particle&quot;:&quot;&quot;,&quot;non-dropping-particle&quot;:&quot;&quot;}],&quot;container-title&quot;:&quot;MMWR. Morbidity and Mortality Weekly Report&quot;,&quot;container-title-short&quot;:&quot;MMWR Morb Mortal Wkly Rep&quot;,&quot;accessed&quot;:{&quot;date-parts&quot;:[[2020,12,7]]},&quot;DOI&quot;:&quot;10.15585/mmwr.mm6824a1&quot;,&quot;ISSN&quot;:&quot;0149-2195&quot;,&quot;PMID&quot;:&quot;31220055&quot;,&quot;URL&quot;:&quot;https://www.ncbi.nlm.nih.gov/pmc/articles/PMC6586372/&quot;,&quot;issued&quot;:{&quot;date-parts&quot;:[[2019,6,21]]},&quot;page&quot;:&quot;533-538&quot;,&quot;abstract&quot;:&quot;Cigarette smoking is the leading cause of chronic obstructive pulmonary disease (COPD) in the United States; however, an estimated one fourth of adults with COPD have never smoked (1). CDC analyzed state-specific Behavioral Risk Factor Surveillance System (BRFSS) data from 2017, which indicated that, overall among U.S. adults, 6.2% (age-adjusted) reported having been told by a health care professional that they had COPD. The age-adjusted prevalence of COPD was 15.2% among current cigarette smokers, 7.6% among former smokers, and 2.8% among adults who had never smoked. Higher prevalences of COPD were observed in southeastern and Appalachian states, regardless of smoking status of respondents. Whereas the strong positive correlation between state prevalence of COPD and state prevalence of current smoking was expected among current and former smokers, a similar relationship among adults who had never smoked suggests secondhand smoke exposure as a potential risk factor for COPD. Continued promotion of smoke-free environments might reduce COPD among both those who smoke and those who do not.&quot;,&quot;publisher&quot;:&quot;Centers for Disease Control MMWR Office&quot;,&quot;issue&quot;:&quot;24&quot;,&quot;volume&quot;:&quot;68&quot;},&quot;isTemporary&quot;:false}]},{&quot;citationID&quot;:&quot;MENDELEY_CITATION_00490c11-b39c-4b16-a67c-0c8c65f9fa7e&quot;,&quot;properties&quot;:{&quot;noteIndex&quot;:0},&quot;isEdited&quot;:false,&quot;manualOverride&quot;:{&quot;isManuallyOverridden&quot;:false,&quot;citeprocText&quot;:&quot;[70]&quot;,&quot;manualOverrideText&quot;:&quot;&quot;},&quot;citationTag&quot;:&quot;MENDELEY_CITATION_v3_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&quot;,&quot;citationItems&quot;:[{&quot;id&quot;:&quot;eb99642b-8484-390a-9b48-beeeda13f8fa&quot;,&quot;itemData&quot;:{&quot;type&quot;:&quot;article-journal&quot;,&quot;id&quot;:&quot;eb99642b-8484-390a-9b48-beeeda13f8fa&quot;,&quot;title&quot;:&quot;Urban-Rural County and State Differences in Chronic Obstructive Pulmonary Disease — United States, 2015&quot;,&quot;author&quot;:[{&quot;family&quot;:&quot;Croft&quot;,&quot;given&quot;:&quot;Janet B.&quot;,&quot;parse-names&quot;:false,&quot;dropping-particle&quot;:&quot;&quot;,&quot;non-dropping-particle&quot;:&quot;&quot;},{&quot;family&quot;:&quot;Wheaton&quot;,&quot;given&quot;:&quot;Anne G.&quot;,&quot;parse-names&quot;:false,&quot;dropping-particle&quot;:&quot;&quot;,&quot;non-dropping-particle&quot;:&quot;&quot;},{&quot;family&quot;:&quot;Liu&quot;,&quot;given&quot;:&quot;Yong&quot;,&quot;parse-names&quot;:false,&quot;dropping-particle&quot;:&quot;&quot;,&quot;non-dropping-particle&quot;:&quot;&quot;},{&quot;family&quot;:&quot;Xu&quot;,&quot;given&quot;:&quot;Fang&quot;,&quot;parse-names&quot;:false,&quot;dropping-particle&quot;:&quot;&quot;,&quot;non-dropping-particle&quot;:&quot;&quot;},{&quot;family&quot;:&quot;Lu&quot;,&quot;given&quot;:&quot;Hua&quot;,&quot;parse-names&quot;:false,&quot;dropping-particle&quot;:&quot;&quot;,&quot;non-dropping-particle&quot;:&quot;&quot;},{&quot;family&quot;:&quot;Matthews&quot;,&quot;given&quot;:&quot;Kevin A.&quot;,&quot;parse-names&quot;:false,&quot;dropping-particle&quot;:&quot;&quot;,&quot;non-dropping-particle&quot;:&quot;&quot;},{&quot;family&quot;:&quot;Cunningham&quot;,&quot;given&quot;:&quot;Timothy J.&quot;,&quot;parse-names&quot;:false,&quot;dropping-particle&quot;:&quot;&quot;,&quot;non-dropping-particle&quot;:&quot;&quot;},{&quot;family&quot;:&quot;Wang&quot;,&quot;given&quot;:&quot;Yan&quot;,&quot;parse-names&quot;:false,&quot;dropping-particle&quot;:&quot;&quot;,&quot;non-dropping-particle&quot;:&quot;&quot;},{&quot;family&quot;:&quot;Holt&quot;,&quot;given&quot;:&quot;James B.&quot;,&quot;parse-names&quot;:false,&quot;dropping-particle&quot;:&quot;&quot;,&quot;non-dropping-particle&quot;:&quot;&quot;}],&quot;container-title&quot;:&quot;Morbidity and Mortality Weekly Report&quot;,&quot;accessed&quot;:{&quot;date-parts&quot;:[[2022,5,8]]},&quot;DOI&quot;:&quot;10.15585/MMWR.MM6707A1&quot;,&quot;ISSN&quot;:&quot;0149-2195&quot;,&quot;PMID&quot;:&quot;29470455&quot;,&quot;URL&quot;:&quot;/pmc/articles/PMC5858043/&quot;,&quot;issued&quot;:{&quot;date-parts&quot;:[[2018,2,23]]},&quot;page&quot;:&quot;205&quot;,&quot;abstract&quot;:&quot;© 2018, Department of Health and Human Services. All rights reserved. What is already known about this topic? Chronic obstructive pulmonary disease (COPD) is a leading cause of death and has been diagnosed in 15.5 million adults in 2015 in the United States. Risk factors include tobacco exposure, occupational and environmental exposures, respiratory infections, and genetics. What is added by this report? In 2015, rural U.S. residents had higher age-adjusted prevalence of COPD, of Medicare hospitalizations, and deaths caused by COPD than did residents living in micropolitan or metropolitan areas. Several states with the highest percentages of rural populations also had the highest estimates for all three measures. What are the implications for public health practice? Additional efforts are needed to prevent risk factors and overcome barriers to early diagnosis, and the appropriate treatment and management of COPD. Improving access to such health care might improve quality of life and reduce hospital readmissions among COPD patients and reduce COPD mortality.&quot;,&quot;publisher&quot;:&quot;Centers for Disease Control and Prevention&quot;,&quot;issue&quot;:&quot;7&quot;,&quot;volume&quot;:&quot;67&quot;,&quot;container-title-short&quot;:&quot;&quot;},&quot;isTemporary&quot;:false}]},{&quot;citationID&quot;:&quot;MENDELEY_CITATION_5362331e-808d-4ce8-aaad-f4d333cd34ec&quot;,&quot;properties&quot;:{&quot;noteIndex&quot;:0},&quot;isEdited&quot;:false,&quot;manualOverride&quot;:{&quot;isManuallyOverridden&quot;:false,&quot;citeprocText&quot;:&quot;[71]&quot;,&quot;manualOverrideText&quot;:&quot;&quot;},&quot;citationTag&quot;:&quot;MENDELEY_CITATION_v3_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&quot;,&quot;citationItems&quot;:[{&quot;id&quot;:&quot;09c3002e-7250-35cf-bb31-9008af3f63ef&quot;,&quot;itemData&quot;:{&quot;type&quot;:&quot;article-journal&quot;,&quot;id&quot;:&quot;09c3002e-7250-35cf-bb31-9008af3f63ef&quot;,&quot;title&quot;:&quot;Prevalence of chronic obstructive pulmonary disease: county-level risk factors based on the Social Ecological Model&quot;,&quot;author&quot;:[{&quot;family&quot;:&quot;McDaniel&quot;,&quot;given&quot;:&quot;J. T.&quot;,&quot;parse-names&quot;:false,&quot;dropping-particle&quot;:&quot;&quot;,&quot;non-dropping-particle&quot;:&quot;&quot;}],&quot;container-title&quot;:&quot;Perspectives in public health&quot;,&quot;container-title-short&quot;:&quot;Perspect Public Health&quot;,&quot;accessed&quot;:{&quot;date-parts&quot;:[[2025,4,4]]},&quot;DOI&quot;:&quot;10.1177/1757913918772598&quot;,&quot;ISSN&quot;:&quot;1757-9147&quot;,&quot;PMID&quot;:&quot;29745294&quot;,&quot;URL&quot;:&quot;https://pubmed.ncbi.nlm.nih.gov/29745294/&quot;,&quot;issued&quot;:{&quot;date-parts&quot;:[[2018,7,1]]},&quot;page&quot;:&quot;200-208&quot;,&quot;abstract&quot;:&quot;Aims: Chronic obstructive pulmonary disease (COPD) was the third leading cause of death among Americans in 2014. Multiple factors, ranging from proximal (i.e. biological characteristics and behaviors) to distal (i.e. environmental characteristics and policies), have been shown to predict COPD outcomes. The Social Ecological Model (SEM), which specifies that five levels of influence (i.e. intrapersonal, interpersonal, institutional, community, and public policy factors) are implicated in the development of ill health, has not been used in epidemiological studies of COPD prevalence. A better understanding of the community-level correlates of COPD prevalence may improve community health practice. Methods: Using several sources of county-level secondary data (n = 646), changes in COPD prevalence from 2012 to 2014 were predicted from the five levels of the SEM using ordinary least squares (OLS) hierarchical linear regression. The geographic distribution of county-level changes in COPD prevalence was analyzed with a choropleth map. Results: County-level COPD prevalence increased by 4.76% between 2012 and 2014 overall; however, the greatest increases were observed among counties within the Appalachian region (i.e. counties in West Virginia). Results showed that the SEM, with five levels of influence, was a statistically significant framework for examining changes in county-level COPD prevalence, F = 10.21, p &lt;.001, R2 = 0.28. Statistically significant county-level predictors of changes in COPD prevalence included racial composition, ethnic composition, poverty, altitude, air pollution, and smoking policy. Conclusion: COPD prevention may be assisted by the implementation of community-based programs rooted in a multilevel approach.&quot;,&quot;publisher&quot;:&quot;Perspect Public Health&quot;,&quot;issue&quot;:&quot;4&quot;,&quot;volume&quot;:&quot;138&quot;},&quot;isTemporary&quot;:false}]},{&quot;citationID&quot;:&quot;MENDELEY_CITATION_73b40ff1-f64d-4afc-8d5f-9f638a73d546&quot;,&quot;properties&quot;:{&quot;noteIndex&quot;:0},&quot;isEdited&quot;:false,&quot;manualOverride&quot;:{&quot;isManuallyOverridden&quot;:false,&quot;citeprocText&quot;:&quot;[72]&quot;,&quot;manualOverrideText&quot;:&quot;&quot;},&quot;citationTag&quot;:&quot;MENDELEY_CITATION_v3_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&quot;,&quot;citationItems&quot;:[{&quot;id&quot;:&quot;d5e2acfb-6d6a-3542-a753-11d79b99091d&quot;,&quot;itemData&quot;:{&quot;type&quot;:&quot;article-journal&quot;,&quot;id&quot;:&quot;d5e2acfb-6d6a-3542-a753-11d79b99091d&quot;,&quot;title&quot;:&quot;The Geography of COPD Hospitalization in California&quot;,&quot;author&quot;:[{&quot;family&quot;:&quot;Lipton&quot;,&quot;given&quot;:&quot;Robert&quot;,&quot;parse-names&quot;:false,&quot;dropping-particle&quot;:&quot;&quot;,&quot;non-dropping-particle&quot;:&quot;&quot;},{&quot;family&quot;:&quot;Banerjee&quot;,&quot;given&quot;:&quot;Aniruddha&quot;,&quot;parse-names&quot;:false,&quot;dropping-particle&quot;:&quot;&quot;,&quot;non-dropping-particle&quot;:&quot;&quot;},{&quot;family&quot;:&quot;Dowling&quot;,&quot;given&quot;:&quot;Kathryn C&quot;,&quot;parse-names&quot;:false,&quot;dropping-particle&quot;:&quot;&quot;,&quot;non-dropping-particle&quot;:&quot;&quot;},{&quot;family&quot;:&quot;Treno&quot;,&quot;given&quot;:&quot;Andrew J&quot;,&quot;parse-names&quot;:false,&quot;dropping-particle&quot;:&quot;&quot;,&quot;non-dropping-particle&quot;:&quot;&quot;}],&quot;container-title&quot;:&quot;COPD: Journal of Chronic Obstructive Pulmonary Disease&quot;,&quot;accessed&quot;:{&quot;date-parts&quot;:[[2022,5,8]]},&quot;DOI&quot;:&quot;10.1080/15412550500346543&quot;,&quot;ISSN&quot;:&quot;1541-2563&quot;,&quot;URL&quot;:&quot;https://www.tandfonline.com/action/journalInformation?journalCode=icop20&quot;,&quot;issued&quot;:{&quot;date-parts&quot;:[[2005]]},&quot;page&quot;:&quot;435-444&quot;,&quot;abstract&quot;:&quot;Exposure to tobacco smoke is an important risk factor for chronic obstructive pulmonary disease. We investigated the relationship between chronic obstructive pulmonary disease hospitalization counts (and hospitalization-related charges) in California and sociodemographic and smoking measures, employing geospatial techniques that permit more sensitive scrutiny at the zip code level while controlling for spatial confounding. We analyzed 1,707 zip code tabulation areas in California for chronic obstructive pulmonary disease hospitalization rates and related hospitalization charges (using 1999 hospital discharge data). After controlling for spatial auto-correlation, positive relationships were found for age, percentage Hispanics, number of tobacco outlets and level of smoking. Inverse relationships were found for percentage with undergraduate degrees and income level. When examining \&quot;hotspot\&quot; zip code tabulation areas (those with higher than expected model-based chronic obstructive pulmonary disease hospitalization counts), minority/immigrant status, depressed socioeconomic measures, and elevated tobacco use were clearly associated, suggesting the need for increased intervention among the poor and persons of color. Although limited by the availability of air pollution monitoring data, a preliminary descriptive analysis indicated that the numbers of particulate matter exceedances mirrored both the hotspots of the Los Angeles air basin and coldspots in the San Francisco Bay Area.&quot;,&quot;issue&quot;:&quot;4&quot;,&quot;volume&quot;:&quot;2&quot;,&quot;container-title-short&quot;:&quot;&quot;},&quot;isTemporary&quot;:false}]},{&quot;citationID&quot;:&quot;MENDELEY_CITATION_52ef8fcb-1e66-452e-bb3a-74d1c755ee17&quot;,&quot;properties&quot;:{&quot;noteIndex&quot;:0},&quot;isEdited&quot;:false,&quot;manualOverride&quot;:{&quot;isManuallyOverridden&quot;:false,&quot;citeprocText&quot;:&quot;[72]&quot;,&quot;manualOverrideText&quot;:&quot;&quot;},&quot;citationTag&quot;:&quot;MENDELEY_CITATION_v3_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&quot;,&quot;citationItems&quot;:[{&quot;id&quot;:&quot;d5e2acfb-6d6a-3542-a753-11d79b99091d&quot;,&quot;itemData&quot;:{&quot;type&quot;:&quot;article-journal&quot;,&quot;id&quot;:&quot;d5e2acfb-6d6a-3542-a753-11d79b99091d&quot;,&quot;title&quot;:&quot;The Geography of COPD Hospitalization in California&quot;,&quot;author&quot;:[{&quot;family&quot;:&quot;Lipton&quot;,&quot;given&quot;:&quot;Robert&quot;,&quot;parse-names&quot;:false,&quot;dropping-particle&quot;:&quot;&quot;,&quot;non-dropping-particle&quot;:&quot;&quot;},{&quot;family&quot;:&quot;Banerjee&quot;,&quot;given&quot;:&quot;Aniruddha&quot;,&quot;parse-names&quot;:false,&quot;dropping-particle&quot;:&quot;&quot;,&quot;non-dropping-particle&quot;:&quot;&quot;},{&quot;family&quot;:&quot;Dowling&quot;,&quot;given&quot;:&quot;Kathryn C&quot;,&quot;parse-names&quot;:false,&quot;dropping-particle&quot;:&quot;&quot;,&quot;non-dropping-particle&quot;:&quot;&quot;},{&quot;family&quot;:&quot;Treno&quot;,&quot;given&quot;:&quot;Andrew J&quot;,&quot;parse-names&quot;:false,&quot;dropping-particle&quot;:&quot;&quot;,&quot;non-dropping-particle&quot;:&quot;&quot;}],&quot;container-title&quot;:&quot;COPD: Journal of Chronic Obstructive Pulmonary Disease&quot;,&quot;accessed&quot;:{&quot;date-parts&quot;:[[2022,5,8]]},&quot;DOI&quot;:&quot;10.1080/15412550500346543&quot;,&quot;ISSN&quot;:&quot;1541-2563&quot;,&quot;URL&quot;:&quot;https://www.tandfonline.com/action/journalInformation?journalCode=icop20&quot;,&quot;issued&quot;:{&quot;date-parts&quot;:[[2005]]},&quot;page&quot;:&quot;435-444&quot;,&quot;abstract&quot;:&quot;Exposure to tobacco smoke is an important risk factor for chronic obstructive pulmonary disease. We investigated the relationship between chronic obstructive pulmonary disease hospitalization counts (and hospitalization-related charges) in California and sociodemographic and smoking measures, employing geospatial techniques that permit more sensitive scrutiny at the zip code level while controlling for spatial confounding. We analyzed 1,707 zip code tabulation areas in California for chronic obstructive pulmonary disease hospitalization rates and related hospitalization charges (using 1999 hospital discharge data). After controlling for spatial auto-correlation, positive relationships were found for age, percentage Hispanics, number of tobacco outlets and level of smoking. Inverse relationships were found for percentage with undergraduate degrees and income level. When examining \&quot;hotspot\&quot; zip code tabulation areas (those with higher than expected model-based chronic obstructive pulmonary disease hospitalization counts), minority/immigrant status, depressed socioeconomic measures, and elevated tobacco use were clearly associated, suggesting the need for increased intervention among the poor and persons of color. Although limited by the availability of air pollution monitoring data, a preliminary descriptive analysis indicated that the numbers of particulate matter exceedances mirrored both the hotspots of the Los Angeles air basin and coldspots in the San Francisco Bay Area.&quot;,&quot;issue&quot;:&quot;4&quot;,&quot;volume&quot;:&quot;2&quot;,&quot;container-title-short&quot;:&quot;&quot;},&quot;isTemporary&quot;:false}]},{&quot;citationID&quot;:&quot;MENDELEY_CITATION_34ed8bfb-9ef2-41c5-980a-40feacbcfad0&quot;,&quot;properties&quot;:{&quot;noteIndex&quot;:0},&quot;isEdited&quot;:false,&quot;manualOverride&quot;:{&quot;isManuallyOverridden&quot;:false,&quot;citeprocText&quot;:&quot;[73]&quot;,&quot;manualOverrideText&quot;:&quot;&quot;},&quot;citationTag&quot;:&quot;MENDELEY_CITATION_v3_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&quot;,&quot;citationItems&quot;:[{&quot;id&quot;:&quot;7986486d-c290-3383-8b0b-f3c6368f8fef&quot;,&quot;itemData&quot;:{&quot;type&quot;:&quot;article-journal&quot;,&quot;id&quot;:&quot;7986486d-c290-3383-8b0b-f3c6368f8fef&quot;,&quot;title&quot;:&quot;The Geography of Chronic Obstructive Pulmonary Disease Across Time: California in 1993 and 1999&quot;,&quot;author&quot;:[{&quot;family&quot;:&quot;Lipton&quot;,&quot;given&quot;:&quot;Robert&quot;,&quot;parse-names&quot;:false,&quot;dropping-particle&quot;:&quot;&quot;,&quot;non-dropping-particle&quot;:&quot;&quot;},{&quot;family&quot;:&quot;Banerjee&quot;,&quot;given&quot;:&quot;Anirudhha&quot;,&quot;parse-names&quot;:false,&quot;dropping-particle&quot;:&quot;&quot;,&quot;non-dropping-particle&quot;:&quot;&quot;}],&quot;container-title&quot;:&quot;International Journal of Medical Sciences&quot;,&quot;container-title-short&quot;:&quot;Int J Med Sci&quot;,&quot;accessed&quot;:{&quot;date-parts&quot;:[[2022,5,8]]},&quot;DOI&quot;:&quot;10.7150/IJMS.4.179&quot;,&quot;ISSN&quot;:&quot;14491907&quot;,&quot;PMID&quot;:&quot;17664956&quot;,&quot;URL&quot;:&quot;/pmc/articles/PMC1925151/&quot;,&quot;issued&quot;:{&quot;date-parts&quot;:[[2007,6,28]]},&quot;page&quot;:&quot;179&quot;,&quot;abstract&quot;:&quot;We investigated changes in the geography of Chronic Obstructuve Pulmonary Disease (COPD) hospitalization charges in California over the period of 1993 and 1999. There is little information available at less than the county level for this increasingly costly disease in California. We found, using a uniform grid unit method, (4X4 and 16X16 mile urban and rural grids respectively, using zip codes as the base source for information) positive relationships between COPD charges and age, percentage Hispanics, and number of tobacco outlets. Further, inverse relationships were found between the incidence of COPD charges and income level and the percentage of the population with undergraduate degrees. When examining \&quot;hotspot\&quot; grid units, we found that COPD was clearly associated with minority/immigrant status and depressed socio-economic measures, suggesting the need for better smoking interventions among persons of color and the poor. In summary, the Los Angeles area had a marked increase in hotspots both in 1993 and 1999, and also experienced a significant increase in COPD hospitalization charges between 1993 and 1999. Transforming zip code level data into a uniform grid allows for relatively simple comparisons across time, without such a transformation, such temporal comparisons are extremely difficult to implement. This more, \&quot;fine grained\&quot; geographical analysis allows public health planners a better platform than is typically available to assess changes in COPD. © Ivyspring International Publisher. All rights reserved.&quot;,&quot;publisher&quot;:&quot;Ivyspring International Publisher&quot;,&quot;issue&quot;:&quot;4&quot;,&quot;volume&quot;:&quot;4&quot;},&quot;isTemporary&quot;:false}]},{&quot;citationID&quot;:&quot;MENDELEY_CITATION_592faa92-f598-4908-b239-3c70cd26a064&quot;,&quot;properties&quot;:{&quot;noteIndex&quot;:0},&quot;isEdited&quot;:false,&quot;manualOverride&quot;:{&quot;isManuallyOverridden&quot;:false,&quot;citeprocText&quot;:&quot;[74]&quot;,&quot;manualOverrideText&quot;:&quot;&quot;},&quot;citationTag&quot;:&quot;MENDELEY_CITATION_v3_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&quot;,&quot;citationItems&quot;:[{&quot;id&quot;:&quot;8b3c4685-fddd-349a-8f17-db337f7010d9&quot;,&quot;itemData&quot;:{&quot;type&quot;:&quot;article-journal&quot;,&quot;id&quot;:&quot;8b3c4685-fddd-349a-8f17-db337f7010d9&quot;,&quot;title&quot;:&quot;Geographic disparity in COPD hospitalization rates among the Texas population&quot;,&quot;author&quot;:[{&quot;family&quot;:&quot;Jackson&quot;,&quot;given&quot;:&quot;Bradford E.&quot;,&quot;parse-names&quot;:false,&quot;dropping-particle&quot;:&quot;&quot;,&quot;non-dropping-particle&quot;:&quot;&quot;},{&quot;family&quot;:&quot;Suzuki&quot;,&quot;given&quot;:&quot;Sumihiro&quot;,&quot;parse-names&quot;:false,&quot;dropping-particle&quot;:&quot;&quot;,&quot;non-dropping-particle&quot;:&quot;&quot;},{&quot;family&quot;:&quot;Lo&quot;,&quot;given&quot;:&quot;Kaming&quot;,&quot;parse-names&quot;:false,&quot;dropping-particle&quot;:&quot;&quot;,&quot;non-dropping-particle&quot;:&quot;&quot;},{&quot;family&quot;:&quot;Su&quot;,&quot;given&quot;:&quot;Fenghsiu&quot;,&quot;parse-names&quot;:false,&quot;dropping-particle&quot;:&quot;&quot;,&quot;non-dropping-particle&quot;:&quot;&quot;},{&quot;family&quot;:&quot;Singh&quot;,&quot;given&quot;:&quot;Karan P.&quot;,&quot;parse-names&quot;:false,&quot;dropping-particle&quot;:&quot;&quot;,&quot;non-dropping-particle&quot;:&quot;&quot;},{&quot;family&quot;:&quot;Coultas&quot;,&quot;given&quot;:&quot;David&quot;,&quot;parse-names&quot;:false,&quot;dropping-particle&quot;:&quot;&quot;,&quot;non-dropping-particle&quot;:&quot;&quot;},{&quot;family&quot;:&quot;Bartolucci&quot;,&quot;given&quot;:&quot;Alfred&quot;,&quot;parse-names&quot;:false,&quot;dropping-particle&quot;:&quot;&quot;,&quot;non-dropping-particle&quot;:&quot;&quot;},{&quot;family&quot;:&quot;Bae&quot;,&quot;given&quot;:&quot;Sejong&quot;,&quot;parse-names&quot;:false,&quot;dropping-particle&quot;:&quot;&quot;,&quot;non-dropping-particle&quot;:&quot;&quot;}],&quot;container-title&quot;:&quot;Respiratory medicine&quot;,&quot;container-title-short&quot;:&quot;Respir Med&quot;,&quot;accessed&quot;:{&quot;date-parts&quot;:[[2025,4,4]]},&quot;DOI&quot;:&quot;10.1016/J.RMED.2010.12.019&quot;,&quot;ISSN&quot;:&quot;1532-3064&quot;,&quot;PMID&quot;:&quot;21255991&quot;,&quot;URL&quot;:&quot;https://pubmed.ncbi.nlm.nih.gov/21255991/&quot;,&quot;issued&quot;:{&quot;date-parts&quot;:[[2011,5]]},&quot;page&quot;:&quot;734-739&quot;,&quot;abstract&quot;:&quot;Background: Chronic obstructive pulmonary disease (COPD) is a major cause of morbidity and mortality caused by cigarette smoking and other environmental exposures. While variation in exposures may affect COPD morbidity and mortality, little is known about geographic variation, a surrogate of exposures. The objective of this manuscript is to explore the geographic variation in COPD hospitalization rates among the Texas population in 2006. Methods: The study population consisted of all Texas residents with COPD hospitalizations in the 2006 Texas Health Care Information Council (THCIC) data. County population estimates stratified by race, age, and gender were linked to THCIC data to calculate county level COPD hospitalization rates per 100,000 admissions. The data were merged with Urban Influence Codes by county, and metropolitan status was determined by United States Department of Agriculture (USDA) criteria. Variation in COPD hospitalization rates were analyzed using Poisson Regression. Results: Overall, non Hispanic (NH) Whites had the highest rate of hospitalization, followed by NH Blacks (rate ratio = 0.42) and Hispanics (RR = 0.17), the 65+ age category had the highest rates of hospitalization. In the metropolitan counties COPD hospitalization rates were lower than non-metropolitan counties, however in metropolitan counties the rates of hospitalization were significantly higher (p &lt; 0.0001) in females compared to males. The rates were significantly higher in males in public health regions 10 and 11, which are predominantly non-metropolitan counties. Conclusions: In Texas there is substantial geographic variation in hospitalization rates associated with gender and race/ethnicity. Other factors that may contribute to the variation and require further investigation include differences in smoking and exposure to other environmental risk factors, access to primary care, medical practice patterns, and coding practices. © 2010 Elsevier Ltd. All rights reserved.&quot;,&quot;publisher&quot;:&quot;Respir Med&quot;,&quot;issue&quot;:&quot;5&quot;,&quot;volume&quot;:&quot;105&quot;},&quot;isTemporary&quot;:false}]},{&quot;citationID&quot;:&quot;MENDELEY_CITATION_f24d3549-95b2-42fd-84b6-cbcef6baf487&quot;,&quot;properties&quot;:{&quot;noteIndex&quot;:0},&quot;isEdited&quot;:false,&quot;manualOverride&quot;:{&quot;isManuallyOverridden&quot;:false,&quot;citeprocText&quot;:&quot;[75]&quot;,&quot;manualOverrideText&quot;:&quot;&quot;},&quot;citationTag&quot;:&quot;MENDELEY_CITATION_v3_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&quot;,&quot;citationItems&quot;:[{&quot;id&quot;:&quot;c6cf3923-a361-3308-9d3d-cc729e84d9e7&quot;,&quot;itemData&quot;:{&quot;type&quot;:&quot;article-journal&quot;,&quot;id&quot;:&quot;c6cf3923-a361-3308-9d3d-cc729e84d9e7&quot;,&quot;title&quot;:&quot;Spatial prevalence and associations among respiratory diseases in Maine&quot;,&quot;author&quot;:[{&quot;family&quot;:&quot;Farah&quot;,&quot;given&quot;:&quot;Christopher&quot;,&quot;parse-names&quot;:false,&quot;dropping-particle&quot;:&quot;&quot;,&quot;non-dropping-particle&quot;:&quot;&quot;},{&quot;family&quot;:&quot;Dean&quot;,&quot;given&quot;:&quot;H&quot;,&quot;parse-names&quot;:false,&quot;dropping-particle&quot;:&quot;&quot;,&quot;non-dropping-particle&quot;:&quot;&quot;},{&quot;family&quot;:&quot;Iii&quot;,&quot;given&quot;:&quot;Hosgood&quot;,&quot;parse-names&quot;:false,&quot;dropping-particle&quot;:&quot;&quot;,&quot;non-dropping-particle&quot;:&quot;&quot;},{&quot;family&quot;:&quot;Hock&quot;,&quot;given&quot;:&quot;Janet M&quot;,&quot;parse-names&quot;:false,&quot;dropping-particle&quot;:&quot;&quot;,&quot;non-dropping-particle&quot;:&quot;&quot;}],&quot;accessed&quot;:{&quot;date-parts&quot;:[[2022,5,8]]},&quot;DOI&quot;:&quot;10.1016/j.sste.2014.07.004&quot;,&quot;URL&quot;:&quot;http://dx.doi.org/10.1016/j.sste.2014.07.004&quot;,&quot;issued&quot;:{&quot;date-parts&quot;:[[2014]]},&quot;abstract&quot;:&quot;Chronic respiratory diseases rank among the leading global disease burdens. Maine's respiratory disease prevalence exceeds the US average, despite limited urbanization/industrial-ization. To provide insight into potential etiologic factors among this unique, rural population, we analyzed the spatial distributions of, and potential associations among asthma, COPD, pneumonia, and URI adult outpatient data (n = 47,099) from all outpatient transactions (n = 5,052,900) in 2009 for Maine hospitals and affiliate clinics, using spatial scan statistic, geographic weighted regression (GWR), and a Delaunay graph algorithm. Non-random high prevalence regions were identified, the majority of which (84% of the population underlying all regions) exhibited clusters for all four respiratory diseases. GWR provided further evidence of spatial correlation (R 2 = 0.991) between the communi-cable and noncommunicable diseases under investigation, suggesting spatial interdependence in risk. Sensitivity analyses of known respiratory disease risks did not fully explain our results. Prospective epidemiology studies are needed to clarify all contributors to risk.&quot;,&quot;container-title-short&quot;:&quot;&quot;},&quot;isTemporary&quot;:false}]},{&quot;citationID&quot;:&quot;MENDELEY_CITATION_b9c836c2-6e6c-4cab-b33c-3f55e8dfc33e&quot;,&quot;properties&quot;:{&quot;noteIndex&quot;:0},&quot;isEdited&quot;:false,&quot;manualOverride&quot;:{&quot;isManuallyOverridden&quot;:false,&quot;citeprocText&quot;:&quot;[76]&quot;,&quot;manualOverrideText&quot;:&quot;&quot;},&quot;citationTag&quot;:&quot;MENDELEY_CITATION_v3_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&quot;,&quot;citationItems&quot;:[{&quot;id&quot;:&quot;5482d838-eb48-39a6-8b03-45dde7125006&quot;,&quot;itemData&quot;:{&quot;type&quot;:&quot;article-journal&quot;,&quot;id&quot;:&quot;5482d838-eb48-39a6-8b03-45dde7125006&quot;,&quot;title&quot;:&quot;Disparities in COPD Hospitalizations: A Spatial Analysis of Proximity to Toxics Release Inventory Facilities in Illinois&quot;,&quot;author&quot;:[{&quot;family&quot;:&quot;Brown-Amilian&quot;,&quot;given&quot;:&quot;Stacey&quot;,&quot;parse-names&quot;:false,&quot;dropping-particle&quot;:&quot;&quot;,&quot;non-dropping-particle&quot;:&quot;&quot;},{&quot;family&quot;:&quot;Akolade&quot;,&quot;given&quot;:&quot;Yussuf&quot;,&quot;parse-names&quot;:false,&quot;dropping-particle&quot;:&quot;&quot;,&quot;non-dropping-particle&quot;:&quot;&quot;}],&quot;container-title&quot;:&quot;International journal of environmental research and public health&quot;,&quot;container-title-short&quot;:&quot;Int J Environ Res Public Health&quot;,&quot;accessed&quot;:{&quot;date-parts&quot;:[[2024,12,7]]},&quot;DOI&quot;:&quot;10.3390/IJERPH182413128&quot;,&quot;ISSN&quot;:&quot;1660-4601&quot;,&quot;PMID&quot;:&quot;34948739&quot;,&quot;URL&quot;:&quot;https://pubmed.ncbi.nlm.nih.gov/34948739/&quot;,&quot;issued&quot;:{&quot;date-parts&quot;:[[2021,12,1]]},&quot;abstract&quot;:&quot;Disproportionate distribution of air pollution is a major burden on the health of people living in proximity to toxic facilities. There are over 1000 Toxics Release Inventory (TRI) facilities distributed across the state of Illinois. This study investigates and spatially analyzes the relationship between chronic obstructive pulmonary disease (COPD) hospitalizations and toxic emissions from TRI facilities. In addition, this study investigates the connection between COPD hospitalizations and socioeconomic variables. Accounting for dispersion of air pollution beyond the TRI facilities source was attained using the inverse distance weighting interpolation approach. Multiple statistical methods were used including principal components analysis, linear regression, and bivariate local indicators of spatial association (BiLISA). The results from the linear regression model and BiLISA clustering maps show there is a strong connection between COPD hospitalizations and socioeconomic status along with race. TRI emissions were not statistically significant, but there are three major clusters of high COPD hospitalizations with high TRI emissions. Rural areas also seem to carry a higher burden of pollution-emitting facilities and respiratory hospitalizations.&quot;,&quot;publisher&quot;:&quot;Int J Environ Res Public Health&quot;,&quot;issue&quot;:&quot;24&quot;,&quot;volume&quot;:&quot;18&quot;},&quot;isTemporary&quot;:false}]},{&quot;citationID&quot;:&quot;MENDELEY_CITATION_105c6409-11af-4150-9e1a-b7879c6e2461&quot;,&quot;properties&quot;:{&quot;noteIndex&quot;:0},&quot;isEdited&quot;:false,&quot;manualOverride&quot;:{&quot;isManuallyOverridden&quot;:false,&quot;citeprocText&quot;:&quot;[76]&quot;,&quot;manualOverrideText&quot;:&quot;&quot;},&quot;citationTag&quot;:&quot;MENDELEY_CITATION_v3_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&quot;,&quot;citationItems&quot;:[{&quot;id&quot;:&quot;5482d838-eb48-39a6-8b03-45dde7125006&quot;,&quot;itemData&quot;:{&quot;type&quot;:&quot;article-journal&quot;,&quot;id&quot;:&quot;5482d838-eb48-39a6-8b03-45dde7125006&quot;,&quot;title&quot;:&quot;Disparities in COPD Hospitalizations: A Spatial Analysis of Proximity to Toxics Release Inventory Facilities in Illinois&quot;,&quot;author&quot;:[{&quot;family&quot;:&quot;Brown-Amilian&quot;,&quot;given&quot;:&quot;Stacey&quot;,&quot;parse-names&quot;:false,&quot;dropping-particle&quot;:&quot;&quot;,&quot;non-dropping-particle&quot;:&quot;&quot;},{&quot;family&quot;:&quot;Akolade&quot;,&quot;given&quot;:&quot;Yussuf&quot;,&quot;parse-names&quot;:false,&quot;dropping-particle&quot;:&quot;&quot;,&quot;non-dropping-particle&quot;:&quot;&quot;}],&quot;container-title&quot;:&quot;International journal of environmental research and public health&quot;,&quot;container-title-short&quot;:&quot;Int J Environ Res Public Health&quot;,&quot;accessed&quot;:{&quot;date-parts&quot;:[[2024,12,7]]},&quot;DOI&quot;:&quot;10.3390/IJERPH182413128&quot;,&quot;ISSN&quot;:&quot;1660-4601&quot;,&quot;PMID&quot;:&quot;34948739&quot;,&quot;URL&quot;:&quot;https://pubmed.ncbi.nlm.nih.gov/34948739/&quot;,&quot;issued&quot;:{&quot;date-parts&quot;:[[2021,12,1]]},&quot;abstract&quot;:&quot;Disproportionate distribution of air pollution is a major burden on the health of people living in proximity to toxic facilities. There are over 1000 Toxics Release Inventory (TRI) facilities distributed across the state of Illinois. This study investigates and spatially analyzes the relationship between chronic obstructive pulmonary disease (COPD) hospitalizations and toxic emissions from TRI facilities. In addition, this study investigates the connection between COPD hospitalizations and socioeconomic variables. Accounting for dispersion of air pollution beyond the TRI facilities source was attained using the inverse distance weighting interpolation approach. Multiple statistical methods were used including principal components analysis, linear regression, and bivariate local indicators of spatial association (BiLISA). The results from the linear regression model and BiLISA clustering maps show there is a strong connection between COPD hospitalizations and socioeconomic status along with race. TRI emissions were not statistically significant, but there are three major clusters of high COPD hospitalizations with high TRI emissions. Rural areas also seem to carry a higher burden of pollution-emitting facilities and respiratory hospitalizations.&quot;,&quot;publisher&quot;:&quot;Int J Environ Res Public Health&quot;,&quot;issue&quot;:&quot;24&quot;,&quot;volume&quot;:&quot;18&quot;},&quot;isTemporary&quot;:false}]},{&quot;citationID&quot;:&quot;MENDELEY_CITATION_4260ca29-5bd6-4e6c-b6b3-e224f2b0610b&quot;,&quot;properties&quot;:{&quot;noteIndex&quot;:0},&quot;isEdited&quot;:false,&quot;manualOverride&quot;:{&quot;isManuallyOverridden&quot;:false,&quot;citeprocText&quot;:&quot;[77]&quot;,&quot;manualOverrideText&quot;:&quot;&quot;},&quot;citationTag&quot;:&quot;MENDELEY_CITATION_v3_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&quot;,&quot;citationItems&quot;:[{&quot;id&quot;:&quot;1f5789fb-4c8d-3e9a-a737-4ea29e91657d&quot;,&quot;itemData&quot;:{&quot;type&quot;:&quot;article-journal&quot;,&quot;id&quot;:&quot;1f5789fb-4c8d-3e9a-a737-4ea29e91657d&quot;,&quot;title&quot;:&quot;Environmental exposure and respiratory health: Unraveling the impact of toxic release inventory facilities on COPD prevalence&quot;,&quot;author&quot;:[{&quot;family&quot;:&quot;Kaushal&quot;,&quot;given&quot;:&quot;Aishwarya&quot;,&quot;parse-names&quot;:false,&quot;dropping-particle&quot;:&quot;&quot;,&quot;non-dropping-particle&quot;:&quot;&quot;},{&quot;family&quot;:&quot;Karimi&quot;,&quot;given&quot;:&quot;Maryam&quot;,&quot;parse-names&quot;:false,&quot;dropping-particle&quot;:&quot;&quot;,&quot;non-dropping-particle&quot;:&quot;&quot;},{&quot;family&quot;:&quot;Nazari&quot;,&quot;given&quot;:&quot;Rouzbeh&quot;,&quot;parse-names&quot;:false,&quot;dropping-particle&quot;:&quot;&quot;,&quot;non-dropping-particle&quot;:&quot;&quot;},{&quot;family&quot;:&quot;Opare&quot;,&quot;given&quot;:&quot;Kofi&quot;,&quot;parse-names&quot;:false,&quot;dropping-particle&quot;:&quot;&quot;,&quot;non-dropping-particle&quot;:&quot;&quot;},{&quot;family&quot;:&quot;Museru&quot;,&quot;given&quot;:&quot;Mujungu&quot;,&quot;parse-names&quot;:false,&quot;dropping-particle&quot;:&quot;&quot;,&quot;non-dropping-particle&quot;:&quot;&quot;},{&quot;family&quot;:&quot;Reza Nikoo&quot;,&quot;given&quot;:&quot;Mohammad&quot;,&quot;parse-names&quot;:false,&quot;dropping-particle&quot;:&quot;&quot;,&quot;non-dropping-particle&quot;:&quot;&quot;}],&quot;container-title&quot;:&quot;Environmental pollution (Barking, Essex : 1987)&quot;,&quot;container-title-short&quot;:&quot;Environ Pollut&quot;,&quot;accessed&quot;:{&quot;date-parts&quot;:[[2024,12,7]]},&quot;DOI&quot;:&quot;10.1016/J.ENVPOL.2024.124286&quot;,&quot;ISSN&quot;:&quot;1873-6424&quot;,&quot;PMID&quot;:&quot;38823548&quot;,&quot;URL&quot;:&quot;https://pubmed.ncbi.nlm.nih.gov/38823548/&quot;,&quot;issued&quot;:{&quot;date-parts&quot;:[[2024,9,1]]},&quot;abstract&quot;:&quot;This cross-sectional geospatial analysis explores the prevalence of Chronic Obstructive Pulmonary Disease (COPD) concerning the proximity to toxic release inventory (TRI) facilities in Jefferson County, Alabama. Employing the fuzzy analytical hierarchy process (FAHP), the study evaluates COPD prevalence, comorbidities, healthcare access, and individual health assessments. Given the mounting evidence linking environmental pollutants to COPD exacerbations, the research probes the influence of TRI sites on respiratory health, integrating Geographic Information Systems (GIS) to scrutinize the geospatial vulnerability of communities neighboring TRI sites. Socio-demographic disparities, economic conditions, and air pollution are emphasized in the analysis. The EPA's Toxic Release Inventory serves as the cornerstone for assessing the association between TRI proximity and COPD prevalence. The analysis uncovers a notable inverse correlation between distance from TRI sites and COPD prevalence, signaling potential health risks for populations residing closer to these facilities. Moreover, factors such as minority status, low income, and air pollution are associated with higher COPD prevalence, underscoring the imperative of comprehending the interplay between environmental exposure and respiratory health. This study bridges gaps in the literature by addressing the geographical nexus between COPD prevalence and pollution exposure. By leveraging FAHP, the research furnishes a holistic understanding of the multifaceted factors influencing vulnerability to COPD. The findings underscore the necessity for targeted public health interventions and policy measures to redress environmental disparities and alleviate the repercussions of TRI facilities on respiratory health.&quot;,&quot;publisher&quot;:&quot;Environ Pollut&quot;,&quot;volume&quot;:&quot;356&quot;},&quot;isTemporary&quot;:false}]},{&quot;citationID&quot;:&quot;MENDELEY_CITATION_de608573-dcd4-45a7-ac0e-76377ef8da16&quot;,&quot;properties&quot;:{&quot;noteIndex&quot;:0},&quot;isEdited&quot;:false,&quot;manualOverride&quot;:{&quot;isManuallyOverridden&quot;:false,&quot;citeprocText&quot;:&quot;[37]&quot;,&quot;manualOverrideText&quot;:&quot;&quot;},&quot;citationTag&quot;:&quot;MENDELEY_CITATION_v3_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&quot;,&quot;citationItems&quot;:[{&quot;id&quot;:&quot;5f78842a-9535-31b5-b3e7-0d59d16a51d2&quot;,&quot;itemData&quot;:{&quot;type&quot;:&quot;article-journal&quot;,&quot;id&quot;:&quot;5f78842a-9535-31b5-b3e7-0d59d16a51d2&quot;,&quot;title&quot;:&quot;Global, regional, and national burden of chronic obstructive pulmonary disease and its attributable risk factors from 1990 to 2021: an analysis for the Global Burden of Disease Study 2021&quot;,&quot;author&quot;:[{&quot;family&quot;:&quot;Wang&quot;,&quot;given&quot;:&quot;Zhufeng&quot;,&quot;parse-names&quot;:false,&quot;dropping-particle&quot;:&quot;&quot;,&quot;non-dropping-particle&quot;:&quot;&quot;},{&quot;family&quot;:&quot;Lin&quot;,&quot;given&quot;:&quot;Junfeng&quot;,&quot;parse-names&quot;:false,&quot;dropping-particle&quot;:&quot;&quot;,&quot;non-dropping-particle&quot;:&quot;&quot;},{&quot;family&quot;:&quot;Liang&quot;,&quot;given&quot;:&quot;Lina&quot;,&quot;parse-names&quot;:false,&quot;dropping-particle&quot;:&quot;&quot;,&quot;non-dropping-particle&quot;:&quot;&quot;},{&quot;family&quot;:&quot;Huang&quot;,&quot;given&quot;:&quot;Feifei&quot;,&quot;parse-names&quot;:false,&quot;dropping-particle&quot;:&quot;&quot;,&quot;non-dropping-particle&quot;:&quot;&quot;},{&quot;family&quot;:&quot;Yao&quot;,&quot;given&quot;:&quot;Xiaoyin&quot;,&quot;parse-names&quot;:false,&quot;dropping-particle&quot;:&quot;&quot;,&quot;non-dropping-particle&quot;:&quot;&quot;},{&quot;family&quot;:&quot;Peng&quot;,&quot;given&quot;:&quot;Kang&quot;,&quot;parse-names&quot;:false,&quot;dropping-particle&quot;:&quot;&quot;,&quot;non-dropping-particle&quot;:&quot;&quot;},{&quot;family&quot;:&quot;Gao&quot;,&quot;given&quot;:&quot;Yi&quot;,&quot;parse-names&quot;:false,&quot;dropping-particle&quot;:&quot;&quot;,&quot;non-dropping-particle&quot;:&quot;&quot;},{&quot;family&quot;:&quot;Zheng&quot;,&quot;given&quot;:&quot;Jinping&quot;,&quot;parse-names&quot;:false,&quot;dropping-particle&quot;:&quot;&quot;,&quot;non-dropping-particle&quot;:&quot;&quot;}],&quot;container-title&quot;:&quot;Respiratory Research 2024 26:1&quot;,&quot;accessed&quot;:{&quot;date-parts&quot;:[[2025,5,31]]},&quot;DOI&quot;:&quot;10.1186/S12931-024-03051-2&quot;,&quot;ISSN&quot;:&quot;1465-993X&quot;,&quot;URL&quot;:&quot;https://respiratory-research.biomedcentral.com/articles/10.1186/s12931-024-03051-2&quot;,&quot;issued&quot;:{&quot;date-parts&quot;:[[2025,1,2]]},&quot;page&quot;:&quot;1-11&quot;,&quot;abstract&quot;:&quot;Chronic obstructive pulmonary disease (COPD) continues to be a significant issue, leading to premature death or reduced quality of life. It’s important to assess the current burden of COPD and its risk factors on a geographical basis to guide health policy. Data on the prevalence, deaths, and disability-adjusted life years (DALYs) related to COPD, and risk-attributable burden were obtained from the Global Burden of Diseases, Injuries, and Risk Factors Study (GBD) 2021 database. The relationship between COPD DALYs and the sociodemographic index (SDI) was estimated using Smoothing Splines models. Between 1990 and 2021, the changes were -1.46% (95% uncertainty interval [UI] -3.36% to&amp;nbsp;0.39%) in age-standardized prevalence, -37.12% (-43.37% to -27.68%) in mortality, and -36.98% (-42.37% to -28.54%) in DALYs rate. In 2021, a total of 213.39&amp;nbsp;million prevalent cases of COPD were estimated. The age-standardized prevalence of COPD increased with age and was more common in males. The age-standardized COPD DALYs had a reversed U-shaped relationship with SDI at the regional level, with the highest burden at an SDI of about 0.45. At the global level, smoking had the highest influence on COPD DALYs, accounting for 34.8%, followed by ambient particulate matter pollution (22.2%), household air pollution from solid fuels (19.5%), and occupational particulate matter, gases, and fumes (15.8%). The overall burden of COPD has been increasing despite improvements in some rates since 1990. It’s crucial to focus on interventions such as smoking cessation and addressing environmental and occupational exposures.&quot;,&quot;publisher&quot;:&quot;BioMed Central&quot;,&quot;issue&quot;:&quot;1&quot;,&quot;volume&quot;:&quot;26&quot;},&quot;isTemporary&quot;:false}]},{&quot;citationID&quot;:&quot;MENDELEY_CITATION_13304746-0f59-4d42-beee-afee4af7e310&quot;,&quot;properties&quot;:{&quot;noteIndex&quot;:0},&quot;isEdited&quot;:false,&quot;manualOverride&quot;:{&quot;isManuallyOverridden&quot;:false,&quot;citeprocText&quot;:&quot;[37]&quot;,&quot;manualOverrideText&quot;:&quot;&quot;},&quot;citationTag&quot;:&quot;MENDELEY_CITATION_v3_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&quot;,&quot;citationItems&quot;:[{&quot;id&quot;:&quot;5f78842a-9535-31b5-b3e7-0d59d16a51d2&quot;,&quot;itemData&quot;:{&quot;type&quot;:&quot;article-journal&quot;,&quot;id&quot;:&quot;5f78842a-9535-31b5-b3e7-0d59d16a51d2&quot;,&quot;title&quot;:&quot;Global, regional, and national burden of chronic obstructive pulmonary disease and its attributable risk factors from 1990 to 2021: an analysis for the Global Burden of Disease Study 2021&quot;,&quot;author&quot;:[{&quot;family&quot;:&quot;Wang&quot;,&quot;given&quot;:&quot;Zhufeng&quot;,&quot;parse-names&quot;:false,&quot;dropping-particle&quot;:&quot;&quot;,&quot;non-dropping-particle&quot;:&quot;&quot;},{&quot;family&quot;:&quot;Lin&quot;,&quot;given&quot;:&quot;Junfeng&quot;,&quot;parse-names&quot;:false,&quot;dropping-particle&quot;:&quot;&quot;,&quot;non-dropping-particle&quot;:&quot;&quot;},{&quot;family&quot;:&quot;Liang&quot;,&quot;given&quot;:&quot;Lina&quot;,&quot;parse-names&quot;:false,&quot;dropping-particle&quot;:&quot;&quot;,&quot;non-dropping-particle&quot;:&quot;&quot;},{&quot;family&quot;:&quot;Huang&quot;,&quot;given&quot;:&quot;Feifei&quot;,&quot;parse-names&quot;:false,&quot;dropping-particle&quot;:&quot;&quot;,&quot;non-dropping-particle&quot;:&quot;&quot;},{&quot;family&quot;:&quot;Yao&quot;,&quot;given&quot;:&quot;Xiaoyin&quot;,&quot;parse-names&quot;:false,&quot;dropping-particle&quot;:&quot;&quot;,&quot;non-dropping-particle&quot;:&quot;&quot;},{&quot;family&quot;:&quot;Peng&quot;,&quot;given&quot;:&quot;Kang&quot;,&quot;parse-names&quot;:false,&quot;dropping-particle&quot;:&quot;&quot;,&quot;non-dropping-particle&quot;:&quot;&quot;},{&quot;family&quot;:&quot;Gao&quot;,&quot;given&quot;:&quot;Yi&quot;,&quot;parse-names&quot;:false,&quot;dropping-particle&quot;:&quot;&quot;,&quot;non-dropping-particle&quot;:&quot;&quot;},{&quot;family&quot;:&quot;Zheng&quot;,&quot;given&quot;:&quot;Jinping&quot;,&quot;parse-names&quot;:false,&quot;dropping-particle&quot;:&quot;&quot;,&quot;non-dropping-particle&quot;:&quot;&quot;}],&quot;container-title&quot;:&quot;Respiratory Research 2024 26:1&quot;,&quot;accessed&quot;:{&quot;date-parts&quot;:[[2025,5,31]]},&quot;DOI&quot;:&quot;10.1186/S12931-024-03051-2&quot;,&quot;ISSN&quot;:&quot;1465-993X&quot;,&quot;URL&quot;:&quot;https://respiratory-research.biomedcentral.com/articles/10.1186/s12931-024-03051-2&quot;,&quot;issued&quot;:{&quot;date-parts&quot;:[[2025,1,2]]},&quot;page&quot;:&quot;1-11&quot;,&quot;abstract&quot;:&quot;Chronic obstructive pulmonary disease (COPD) continues to be a significant issue, leading to premature death or reduced quality of life. It’s important to assess the current burden of COPD and its risk factors on a geographical basis to guide health policy. Data on the prevalence, deaths, and disability-adjusted life years (DALYs) related to COPD, and risk-attributable burden were obtained from the Global Burden of Diseases, Injuries, and Risk Factors Study (GBD) 2021 database. The relationship between COPD DALYs and the sociodemographic index (SDI) was estimated using Smoothing Splines models. Between 1990 and 2021, the changes were -1.46% (95% uncertainty interval [UI] -3.36% to&amp;nbsp;0.39%) in age-standardized prevalence, -37.12% (-43.37% to -27.68%) in mortality, and -36.98% (-42.37% to -28.54%) in DALYs rate. In 2021, a total of 213.39&amp;nbsp;million prevalent cases of COPD were estimated. The age-standardized prevalence of COPD increased with age and was more common in males. The age-standardized COPD DALYs had a reversed U-shaped relationship with SDI at the regional level, with the highest burden at an SDI of about 0.45. At the global level, smoking had the highest influence on COPD DALYs, accounting for 34.8%, followed by ambient particulate matter pollution (22.2%), household air pollution from solid fuels (19.5%), and occupational particulate matter, gases, and fumes (15.8%). The overall burden of COPD has been increasing despite improvements in some rates since 1990. It’s crucial to focus on interventions such as smoking cessation and addressing environmental and occupational exposures.&quot;,&quot;publisher&quot;:&quot;BioMed Central&quot;,&quot;issue&quot;:&quot;1&quot;,&quot;volume&quot;:&quot;26&quot;},&quot;isTemporary&quot;:false}]},{&quot;citationID&quot;:&quot;MENDELEY_CITATION_525bd806-e7fc-4f1f-80fe-9c279e62fa86&quot;,&quot;properties&quot;:{&quot;noteIndex&quot;:0},&quot;isEdited&quot;:false,&quot;manualOverride&quot;:{&quot;isManuallyOverridden&quot;:false,&quot;citeprocText&quot;:&quot;[37]&quot;,&quot;manualOverrideText&quot;:&quot;&quot;},&quot;citationTag&quot;:&quot;MENDELEY_CITATION_v3_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&quot;,&quot;citationItems&quot;:[{&quot;id&quot;:&quot;5f78842a-9535-31b5-b3e7-0d59d16a51d2&quot;,&quot;itemData&quot;:{&quot;type&quot;:&quot;article-journal&quot;,&quot;id&quot;:&quot;5f78842a-9535-31b5-b3e7-0d59d16a51d2&quot;,&quot;title&quot;:&quot;Global, regional, and national burden of chronic obstructive pulmonary disease and its attributable risk factors from 1990 to 2021: an analysis for the Global Burden of Disease Study 2021&quot;,&quot;author&quot;:[{&quot;family&quot;:&quot;Wang&quot;,&quot;given&quot;:&quot;Zhufeng&quot;,&quot;parse-names&quot;:false,&quot;dropping-particle&quot;:&quot;&quot;,&quot;non-dropping-particle&quot;:&quot;&quot;},{&quot;family&quot;:&quot;Lin&quot;,&quot;given&quot;:&quot;Junfeng&quot;,&quot;parse-names&quot;:false,&quot;dropping-particle&quot;:&quot;&quot;,&quot;non-dropping-particle&quot;:&quot;&quot;},{&quot;family&quot;:&quot;Liang&quot;,&quot;given&quot;:&quot;Lina&quot;,&quot;parse-names&quot;:false,&quot;dropping-particle&quot;:&quot;&quot;,&quot;non-dropping-particle&quot;:&quot;&quot;},{&quot;family&quot;:&quot;Huang&quot;,&quot;given&quot;:&quot;Feifei&quot;,&quot;parse-names&quot;:false,&quot;dropping-particle&quot;:&quot;&quot;,&quot;non-dropping-particle&quot;:&quot;&quot;},{&quot;family&quot;:&quot;Yao&quot;,&quot;given&quot;:&quot;Xiaoyin&quot;,&quot;parse-names&quot;:false,&quot;dropping-particle&quot;:&quot;&quot;,&quot;non-dropping-particle&quot;:&quot;&quot;},{&quot;family&quot;:&quot;Peng&quot;,&quot;given&quot;:&quot;Kang&quot;,&quot;parse-names&quot;:false,&quot;dropping-particle&quot;:&quot;&quot;,&quot;non-dropping-particle&quot;:&quot;&quot;},{&quot;family&quot;:&quot;Gao&quot;,&quot;given&quot;:&quot;Yi&quot;,&quot;parse-names&quot;:false,&quot;dropping-particle&quot;:&quot;&quot;,&quot;non-dropping-particle&quot;:&quot;&quot;},{&quot;family&quot;:&quot;Zheng&quot;,&quot;given&quot;:&quot;Jinping&quot;,&quot;parse-names&quot;:false,&quot;dropping-particle&quot;:&quot;&quot;,&quot;non-dropping-particle&quot;:&quot;&quot;}],&quot;container-title&quot;:&quot;Respiratory Research 2024 26:1&quot;,&quot;accessed&quot;:{&quot;date-parts&quot;:[[2025,5,31]]},&quot;DOI&quot;:&quot;10.1186/S12931-024-03051-2&quot;,&quot;ISSN&quot;:&quot;1465-993X&quot;,&quot;URL&quot;:&quot;https://respiratory-research.biomedcentral.com/articles/10.1186/s12931-024-03051-2&quot;,&quot;issued&quot;:{&quot;date-parts&quot;:[[2025,1,2]]},&quot;page&quot;:&quot;1-11&quot;,&quot;abstract&quot;:&quot;Chronic obstructive pulmonary disease (COPD) continues to be a significant issue, leading to premature death or reduced quality of life. It’s important to assess the current burden of COPD and its risk factors on a geographical basis to guide health policy. Data on the prevalence, deaths, and disability-adjusted life years (DALYs) related to COPD, and risk-attributable burden were obtained from the Global Burden of Diseases, Injuries, and Risk Factors Study (GBD) 2021 database. The relationship between COPD DALYs and the sociodemographic index (SDI) was estimated using Smoothing Splines models. Between 1990 and 2021, the changes were -1.46% (95% uncertainty interval [UI] -3.36% to&amp;nbsp;0.39%) in age-standardized prevalence, -37.12% (-43.37% to -27.68%) in mortality, and -36.98% (-42.37% to -28.54%) in DALYs rate. In 2021, a total of 213.39&amp;nbsp;million prevalent cases of COPD were estimated. The age-standardized prevalence of COPD increased with age and was more common in males. The age-standardized COPD DALYs had a reversed U-shaped relationship with SDI at the regional level, with the highest burden at an SDI of about 0.45. At the global level, smoking had the highest influence on COPD DALYs, accounting for 34.8%, followed by ambient particulate matter pollution (22.2%), household air pollution from solid fuels (19.5%), and occupational particulate matter, gases, and fumes (15.8%). The overall burden of COPD has been increasing despite improvements in some rates since 1990. It’s crucial to focus on interventions such as smoking cessation and addressing environmental and occupational exposures.&quot;,&quot;publisher&quot;:&quot;BioMed Central&quot;,&quot;issue&quot;:&quot;1&quot;,&quot;volume&quot;:&quot;26&quot;},&quot;isTemporary&quot;:false}]},{&quot;citationID&quot;:&quot;MENDELEY_CITATION_4216df3b-c53b-4296-b290-994865945377&quot;,&quot;properties&quot;:{&quot;noteIndex&quot;:0},&quot;isEdited&quot;:false,&quot;manualOverride&quot;:{&quot;isManuallyOverridden&quot;:false,&quot;citeprocText&quot;:&quot;[3]&quot;,&quot;manualOverrideText&quot;:&quot;&quot;},&quot;citationTag&quot;:&quot;MENDELEY_CITATION_v3_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&quot;,&quot;citationItems&quot;:[{&quot;id&quot;:&quot;d91c2a48-0b53-3583-bc0e-0a62f1fba2c4&quot;,&quot;itemData&quot;:{&quot;type&quot;:&quot;article-journal&quot;,&quot;id&quot;:&quot;d91c2a48-0b53-3583-bc0e-0a62f1fba2c4&quot;,&quot;title&quot;:&quot;Burden of chronic obstructive pulmonary disease and its attributable risk factors in 204 countries and territories, 1990-2019: results from the Global Burden of Disease Study 2019&quot;,&quot;author&quot;:[{&quot;family&quot;:&quot;Safiri&quot;,&quot;given&quot;:&quot;Saeid&quot;,&quot;parse-names&quot;:false,&quot;dropping-particle&quot;:&quot;&quot;,&quot;non-dropping-particle&quot;:&quot;&quot;},{&quot;family&quot;:&quot;Carson-Chahhoud&quot;,&quot;given&quot;:&quot;Kristin&quot;,&quot;parse-names&quot;:false,&quot;dropping-particle&quot;:&quot;&quot;,&quot;non-dropping-particle&quot;:&quot;&quot;},{&quot;family&quot;:&quot;Noori&quot;,&quot;given&quot;:&quot;Maryam&quot;,&quot;parse-names&quot;:false,&quot;dropping-particle&quot;:&quot;&quot;,&quot;non-dropping-particle&quot;:&quot;&quot;},{&quot;family&quot;:&quot;Nejadghaderi&quot;,&quot;given&quot;:&quot;Seyed Aria&quot;,&quot;parse-names&quot;:false,&quot;dropping-particle&quot;:&quot;&quot;,&quot;non-dropping-particle&quot;:&quot;&quot;},{&quot;family&quot;:&quot;Sullman&quot;,&quot;given&quot;:&quot;Mark J.M.&quot;,&quot;parse-names&quot;:false,&quot;dropping-particle&quot;:&quot;&quot;,&quot;non-dropping-particle&quot;:&quot;&quot;},{&quot;family&quot;:&quot;Ahmadian Heris&quot;,&quot;given&quot;:&quot;Javad&quot;,&quot;parse-names&quot;:false,&quot;dropping-particle&quot;:&quot;&quot;,&quot;non-dropping-particle&quot;:&quot;&quot;},{&quot;family&quot;:&quot;Ansarin&quot;,&quot;given&quot;:&quot;Khalil&quot;,&quot;parse-names&quot;:false,&quot;dropping-particle&quot;:&quot;&quot;,&quot;non-dropping-particle&quot;:&quot;&quot;},{&quot;family&quot;:&quot;Mansournia&quot;,&quot;given&quot;:&quot;Mohammad Ali&quot;,&quot;parse-names&quot;:false,&quot;dropping-particle&quot;:&quot;&quot;,&quot;non-dropping-particle&quot;:&quot;&quot;},{&quot;family&quot;:&quot;Collins&quot;,&quot;given&quot;:&quot;Gary S.&quot;,&quot;parse-names&quot;:false,&quot;dropping-particle&quot;:&quot;&quot;,&quot;non-dropping-particle&quot;:&quot;&quot;},{&quot;family&quot;:&quot;Kolahi&quot;,&quot;given&quot;:&quot;Ali Asghar&quot;,&quot;parse-names&quot;:false,&quot;dropping-particle&quot;:&quot;&quot;,&quot;non-dropping-particle&quot;:&quot;&quot;},{&quot;family&quot;:&quot;Kaufman&quot;,&quot;given&quot;:&quot;Jay S.&quot;,&quot;parse-names&quot;:false,&quot;dropping-particle&quot;:&quot;&quot;,&quot;non-dropping-particle&quot;:&quot;&quot;}],&quot;container-title&quot;:&quot;BMJ&quot;,&quot;accessed&quot;:{&quot;date-parts&quot;:[[2024,7,4]]},&quot;DOI&quot;:&quot;10.1136/BMJ-2021-069679&quot;,&quot;ISSN&quot;:&quot;1756-1833&quot;,&quot;PMID&quot;:&quot;35896191&quot;,&quot;URL&quot;:&quot;https://www.bmj.com/content/378/bmj-2021-069679&quot;,&quot;issued&quot;:{&quot;date-parts&quot;:[[2022,7,27]]},&quot;abstract&quot;:&quot;Objective To report the global, regional, and national burden of chronic obstructive pulmonary disease (COPD) and its attributable risk factors between 1990 and 2019, by age, sex, and sociodemographic index.\n\nDesign Systematic analysis.\n\nData source Global Burden of Disease Study 2019.\n\nMain outcome measures Data on the prevalence, deaths, and disability adjusted life years (DALYs) of COPD, and its attributable risk factors, were retrieved from the Global Burden of Disease 2019 project for 204 countries and territories, between 1990 and 2019. The counts and rates per 100 000 population, along with 95% uncertainty intervals, were presented for each estimate.\n\nResults In 2019, 212.3 million prevalent cases of COPD were reported globally, with COPD accounting for 3.3 million deaths and 74.4 million DALYs. The global age standardised point prevalence, death, and DALY rates for COPD were 2638.2 (95% uncertainty intervals 2492.2 to 2796.1), 42.5 (37.6 to 46.3), and 926.1 (848.8 to 997.7) per 100 000 population, which were 8.7%, 41.7%, and 39.8% lower than in 1990, respectively. In 2019, Denmark (4299.5), Myanmar (3963.7), and Belgium (3927.7) had the highest age standardised point prevalence of COPD. Egypt (62.0%), Georgia (54.9%), and Nicaragua (51.6%) showed the largest increases in age standardised point prevalence across the study period. In 2019, Nepal (182.5) and Japan (7.4) had the highest and lowest age standardised death rates per 100 000, respectively, and Nepal (3318.4) and Barbados (177.7) had the highest and lowest age standardised DALY rates per 100 000, respectively. In men, the global DALY rate of COPD increased up to age 85-89 years and then decreased with advancing age, whereas for women the rate increased up to the oldest age group (≥95 years). Regionally, an overall reversed V shaped association was found between sociodemographic index and the age standardised DALY rate of COPD. Factors contributing most to the DALYs rates for COPD were smoking (46.0%), pollution from ambient particulate matter (20.7%), and occupational exposure to particulate matter, gases, and fumes (15.6%).\n\nConclusions Despite the decreasing burden of COPD, this disease remains a major public health problem, especially in countries with a low sociodemographic index. Preventive programmes should focus on smoking cessation, improving air quality, and reducing occupational exposures to further reduce the burden of COPD.\n\nThe data used for the analyses in the study are publicly available at &lt;https://ghdx.healthdata.org/gbd-results-tool&gt;.&quot;,&quot;publisher&quot;:&quot;British Medical Journal Publishing Group&quot;,&quot;volume&quot;:&quot;378&quot;,&quot;container-title-short&quot;:&quot;&quot;},&quot;isTemporary&quot;:false}]},{&quot;citationID&quot;:&quot;MENDELEY_CITATION_9007c476-b97b-49bd-8254-fc800fc37af6&quot;,&quot;properties&quot;:{&quot;noteIndex&quot;:0},&quot;isEdited&quot;:false,&quot;manualOverride&quot;:{&quot;isManuallyOverridden&quot;:false,&quot;citeprocText&quot;:&quot;[3]&quot;,&quot;manualOverrideText&quot;:&quot;&quot;},&quot;citationTag&quot;:&quot;MENDELEY_CITATION_v3_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&quot;,&quot;citationItems&quot;:[{&quot;id&quot;:&quot;d91c2a48-0b53-3583-bc0e-0a62f1fba2c4&quot;,&quot;itemData&quot;:{&quot;type&quot;:&quot;article-journal&quot;,&quot;id&quot;:&quot;d91c2a48-0b53-3583-bc0e-0a62f1fba2c4&quot;,&quot;title&quot;:&quot;Burden of chronic obstructive pulmonary disease and its attributable risk factors in 204 countries and territories, 1990-2019: results from the Global Burden of Disease Study 2019&quot;,&quot;author&quot;:[{&quot;family&quot;:&quot;Safiri&quot;,&quot;given&quot;:&quot;Saeid&quot;,&quot;parse-names&quot;:false,&quot;dropping-particle&quot;:&quot;&quot;,&quot;non-dropping-particle&quot;:&quot;&quot;},{&quot;family&quot;:&quot;Carson-Chahhoud&quot;,&quot;given&quot;:&quot;Kristin&quot;,&quot;parse-names&quot;:false,&quot;dropping-particle&quot;:&quot;&quot;,&quot;non-dropping-particle&quot;:&quot;&quot;},{&quot;family&quot;:&quot;Noori&quot;,&quot;given&quot;:&quot;Maryam&quot;,&quot;parse-names&quot;:false,&quot;dropping-particle&quot;:&quot;&quot;,&quot;non-dropping-particle&quot;:&quot;&quot;},{&quot;family&quot;:&quot;Nejadghaderi&quot;,&quot;given&quot;:&quot;Seyed Aria&quot;,&quot;parse-names&quot;:false,&quot;dropping-particle&quot;:&quot;&quot;,&quot;non-dropping-particle&quot;:&quot;&quot;},{&quot;family&quot;:&quot;Sullman&quot;,&quot;given&quot;:&quot;Mark J.M.&quot;,&quot;parse-names&quot;:false,&quot;dropping-particle&quot;:&quot;&quot;,&quot;non-dropping-particle&quot;:&quot;&quot;},{&quot;family&quot;:&quot;Ahmadian Heris&quot;,&quot;given&quot;:&quot;Javad&quot;,&quot;parse-names&quot;:false,&quot;dropping-particle&quot;:&quot;&quot;,&quot;non-dropping-particle&quot;:&quot;&quot;},{&quot;family&quot;:&quot;Ansarin&quot;,&quot;given&quot;:&quot;Khalil&quot;,&quot;parse-names&quot;:false,&quot;dropping-particle&quot;:&quot;&quot;,&quot;non-dropping-particle&quot;:&quot;&quot;},{&quot;family&quot;:&quot;Mansournia&quot;,&quot;given&quot;:&quot;Mohammad Ali&quot;,&quot;parse-names&quot;:false,&quot;dropping-particle&quot;:&quot;&quot;,&quot;non-dropping-particle&quot;:&quot;&quot;},{&quot;family&quot;:&quot;Collins&quot;,&quot;given&quot;:&quot;Gary S.&quot;,&quot;parse-names&quot;:false,&quot;dropping-particle&quot;:&quot;&quot;,&quot;non-dropping-particle&quot;:&quot;&quot;},{&quot;family&quot;:&quot;Kolahi&quot;,&quot;given&quot;:&quot;Ali Asghar&quot;,&quot;parse-names&quot;:false,&quot;dropping-particle&quot;:&quot;&quot;,&quot;non-dropping-particle&quot;:&quot;&quot;},{&quot;family&quot;:&quot;Kaufman&quot;,&quot;given&quot;:&quot;Jay S.&quot;,&quot;parse-names&quot;:false,&quot;dropping-particle&quot;:&quot;&quot;,&quot;non-dropping-particle&quot;:&quot;&quot;}],&quot;container-title&quot;:&quot;BMJ&quot;,&quot;accessed&quot;:{&quot;date-parts&quot;:[[2024,7,4]]},&quot;DOI&quot;:&quot;10.1136/BMJ-2021-069679&quot;,&quot;ISSN&quot;:&quot;1756-1833&quot;,&quot;PMID&quot;:&quot;35896191&quot;,&quot;URL&quot;:&quot;https://www.bmj.com/content/378/bmj-2021-069679&quot;,&quot;issued&quot;:{&quot;date-parts&quot;:[[2022,7,27]]},&quot;abstract&quot;:&quot;Objective To report the global, regional, and national burden of chronic obstructive pulmonary disease (COPD) and its attributable risk factors between 1990 and 2019, by age, sex, and sociodemographic index.\n\nDesign Systematic analysis.\n\nData source Global Burden of Disease Study 2019.\n\nMain outcome measures Data on the prevalence, deaths, and disability adjusted life years (DALYs) of COPD, and its attributable risk factors, were retrieved from the Global Burden of Disease 2019 project for 204 countries and territories, between 1990 and 2019. The counts and rates per 100 000 population, along with 95% uncertainty intervals, were presented for each estimate.\n\nResults In 2019, 212.3 million prevalent cases of COPD were reported globally, with COPD accounting for 3.3 million deaths and 74.4 million DALYs. The global age standardised point prevalence, death, and DALY rates for COPD were 2638.2 (95% uncertainty intervals 2492.2 to 2796.1), 42.5 (37.6 to 46.3), and 926.1 (848.8 to 997.7) per 100 000 population, which were 8.7%, 41.7%, and 39.8% lower than in 1990, respectively. In 2019, Denmark (4299.5), Myanmar (3963.7), and Belgium (3927.7) had the highest age standardised point prevalence of COPD. Egypt (62.0%), Georgia (54.9%), and Nicaragua (51.6%) showed the largest increases in age standardised point prevalence across the study period. In 2019, Nepal (182.5) and Japan (7.4) had the highest and lowest age standardised death rates per 100 000, respectively, and Nepal (3318.4) and Barbados (177.7) had the highest and lowest age standardised DALY rates per 100 000, respectively. In men, the global DALY rate of COPD increased up to age 85-89 years and then decreased with advancing age, whereas for women the rate increased up to the oldest age group (≥95 years). Regionally, an overall reversed V shaped association was found between sociodemographic index and the age standardised DALY rate of COPD. Factors contributing most to the DALYs rates for COPD were smoking (46.0%), pollution from ambient particulate matter (20.7%), and occupational exposure to particulate matter, gases, and fumes (15.6%).\n\nConclusions Despite the decreasing burden of COPD, this disease remains a major public health problem, especially in countries with a low sociodemographic index. Preventive programmes should focus on smoking cessation, improving air quality, and reducing occupational exposures to further reduce the burden of COPD.\n\nThe data used for the analyses in the study are publicly available at &lt;https://ghdx.healthdata.org/gbd-results-tool&gt;.&quot;,&quot;publisher&quot;:&quot;British Medical Journal Publishing Group&quot;,&quot;volume&quot;:&quot;378&quot;,&quot;container-title-short&quot;:&quot;&quot;},&quot;isTemporary&quot;:false}]},{&quot;citationID&quot;:&quot;MENDELEY_CITATION_90f0ada6-a55a-40d0-91db-66fb24b8d57d&quot;,&quot;properties&quot;:{&quot;noteIndex&quot;:0},&quot;isEdited&quot;:false,&quot;manualOverride&quot;:{&quot;isManuallyOverridden&quot;:false,&quot;citeprocText&quot;:&quot;[3]&quot;,&quot;manualOverrideText&quot;:&quot;&quot;},&quot;citationTag&quot;:&quot;MENDELEY_CITATION_v3_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&quot;,&quot;citationItems&quot;:[{&quot;id&quot;:&quot;d91c2a48-0b53-3583-bc0e-0a62f1fba2c4&quot;,&quot;itemData&quot;:{&quot;type&quot;:&quot;article-journal&quot;,&quot;id&quot;:&quot;d91c2a48-0b53-3583-bc0e-0a62f1fba2c4&quot;,&quot;title&quot;:&quot;Burden of chronic obstructive pulmonary disease and its attributable risk factors in 204 countries and territories, 1990-2019: results from the Global Burden of Disease Study 2019&quot;,&quot;author&quot;:[{&quot;family&quot;:&quot;Safiri&quot;,&quot;given&quot;:&quot;Saeid&quot;,&quot;parse-names&quot;:false,&quot;dropping-particle&quot;:&quot;&quot;,&quot;non-dropping-particle&quot;:&quot;&quot;},{&quot;family&quot;:&quot;Carson-Chahhoud&quot;,&quot;given&quot;:&quot;Kristin&quot;,&quot;parse-names&quot;:false,&quot;dropping-particle&quot;:&quot;&quot;,&quot;non-dropping-particle&quot;:&quot;&quot;},{&quot;family&quot;:&quot;Noori&quot;,&quot;given&quot;:&quot;Maryam&quot;,&quot;parse-names&quot;:false,&quot;dropping-particle&quot;:&quot;&quot;,&quot;non-dropping-particle&quot;:&quot;&quot;},{&quot;family&quot;:&quot;Nejadghaderi&quot;,&quot;given&quot;:&quot;Seyed Aria&quot;,&quot;parse-names&quot;:false,&quot;dropping-particle&quot;:&quot;&quot;,&quot;non-dropping-particle&quot;:&quot;&quot;},{&quot;family&quot;:&quot;Sullman&quot;,&quot;given&quot;:&quot;Mark J.M.&quot;,&quot;parse-names&quot;:false,&quot;dropping-particle&quot;:&quot;&quot;,&quot;non-dropping-particle&quot;:&quot;&quot;},{&quot;family&quot;:&quot;Ahmadian Heris&quot;,&quot;given&quot;:&quot;Javad&quot;,&quot;parse-names&quot;:false,&quot;dropping-particle&quot;:&quot;&quot;,&quot;non-dropping-particle&quot;:&quot;&quot;},{&quot;family&quot;:&quot;Ansarin&quot;,&quot;given&quot;:&quot;Khalil&quot;,&quot;parse-names&quot;:false,&quot;dropping-particle&quot;:&quot;&quot;,&quot;non-dropping-particle&quot;:&quot;&quot;},{&quot;family&quot;:&quot;Mansournia&quot;,&quot;given&quot;:&quot;Mohammad Ali&quot;,&quot;parse-names&quot;:false,&quot;dropping-particle&quot;:&quot;&quot;,&quot;non-dropping-particle&quot;:&quot;&quot;},{&quot;family&quot;:&quot;Collins&quot;,&quot;given&quot;:&quot;Gary S.&quot;,&quot;parse-names&quot;:false,&quot;dropping-particle&quot;:&quot;&quot;,&quot;non-dropping-particle&quot;:&quot;&quot;},{&quot;family&quot;:&quot;Kolahi&quot;,&quot;given&quot;:&quot;Ali Asghar&quot;,&quot;parse-names&quot;:false,&quot;dropping-particle&quot;:&quot;&quot;,&quot;non-dropping-particle&quot;:&quot;&quot;},{&quot;family&quot;:&quot;Kaufman&quot;,&quot;given&quot;:&quot;Jay S.&quot;,&quot;parse-names&quot;:false,&quot;dropping-particle&quot;:&quot;&quot;,&quot;non-dropping-particle&quot;:&quot;&quot;}],&quot;container-title&quot;:&quot;BMJ&quot;,&quot;accessed&quot;:{&quot;date-parts&quot;:[[2024,7,4]]},&quot;DOI&quot;:&quot;10.1136/BMJ-2021-069679&quot;,&quot;ISSN&quot;:&quot;1756-1833&quot;,&quot;PMID&quot;:&quot;35896191&quot;,&quot;URL&quot;:&quot;https://www.bmj.com/content/378/bmj-2021-069679&quot;,&quot;issued&quot;:{&quot;date-parts&quot;:[[2022,7,27]]},&quot;abstract&quot;:&quot;Objective To report the global, regional, and national burden of chronic obstructive pulmonary disease (COPD) and its attributable risk factors between 1990 and 2019, by age, sex, and sociodemographic index.\n\nDesign Systematic analysis.\n\nData source Global Burden of Disease Study 2019.\n\nMain outcome measures Data on the prevalence, deaths, and disability adjusted life years (DALYs) of COPD, and its attributable risk factors, were retrieved from the Global Burden of Disease 2019 project for 204 countries and territories, between 1990 and 2019. The counts and rates per 100 000 population, along with 95% uncertainty intervals, were presented for each estimate.\n\nResults In 2019, 212.3 million prevalent cases of COPD were reported globally, with COPD accounting for 3.3 million deaths and 74.4 million DALYs. The global age standardised point prevalence, death, and DALY rates for COPD were 2638.2 (95% uncertainty intervals 2492.2 to 2796.1), 42.5 (37.6 to 46.3), and 926.1 (848.8 to 997.7) per 100 000 population, which were 8.7%, 41.7%, and 39.8% lower than in 1990, respectively. In 2019, Denmark (4299.5), Myanmar (3963.7), and Belgium (3927.7) had the highest age standardised point prevalence of COPD. Egypt (62.0%), Georgia (54.9%), and Nicaragua (51.6%) showed the largest increases in age standardised point prevalence across the study period. In 2019, Nepal (182.5) and Japan (7.4) had the highest and lowest age standardised death rates per 100 000, respectively, and Nepal (3318.4) and Barbados (177.7) had the highest and lowest age standardised DALY rates per 100 000, respectively. In men, the global DALY rate of COPD increased up to age 85-89 years and then decreased with advancing age, whereas for women the rate increased up to the oldest age group (≥95 years). Regionally, an overall reversed V shaped association was found between sociodemographic index and the age standardised DALY rate of COPD. Factors contributing most to the DALYs rates for COPD were smoking (46.0%), pollution from ambient particulate matter (20.7%), and occupational exposure to particulate matter, gases, and fumes (15.6%).\n\nConclusions Despite the decreasing burden of COPD, this disease remains a major public health problem, especially in countries with a low sociodemographic index. Preventive programmes should focus on smoking cessation, improving air quality, and reducing occupational exposures to further reduce the burden of COPD.\n\nThe data used for the analyses in the study are publicly available at &lt;https://ghdx.healthdata.org/gbd-results-tool&gt;.&quot;,&quot;publisher&quot;:&quot;British Medical Journal Publishing Group&quot;,&quot;volume&quot;:&quot;378&quot;,&quot;container-title-short&quot;:&quot;&quot;},&quot;isTemporary&quot;:false}]},{&quot;citationID&quot;:&quot;MENDELEY_CITATION_e71a8ebc-0fea-45bf-91b7-a90085cf7ff5&quot;,&quot;properties&quot;:{&quot;noteIndex&quot;:0},&quot;isEdited&quot;:false,&quot;manualOverride&quot;:{&quot;isManuallyOverridden&quot;:false,&quot;citeprocText&quot;:&quot;[61]&quot;,&quot;manualOverrideText&quot;:&quot;&quot;},&quot;citationTag&quot;:&quot;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&quot;,&quot;citationItems&quot;:[{&quot;id&quot;:&quot;89091200-5b27-3645-8cdc-60b7ab576c70&quot;,&quot;itemData&quot;:{&quot;type&quot;:&quot;article-journal&quot;,&quot;id&quot;:&quot;89091200-5b27-3645-8cdc-60b7ab576c70&quot;,&quot;title&quot;:&quot;Prevalence and attributable health burden of chronic respiratory diseases, 1990–2017: a systematic analysis for the Global Burden of Disease Study 2017&quot;,&quot;author&quot;:[{&quot;family&quot;:&quot;Soriano&quot;,&quot;given&quot;:&quot;Joan B.&quot;,&quot;parse-names&quot;:false,&quot;dropping-particle&quot;:&quot;&quot;,&quot;non-dropping-particle&quot;:&quot;&quot;},{&quot;family&quot;:&quot;Kendrick&quot;,&quot;given&quot;:&quot;Parkes J.&quot;,&quot;parse-names&quot;:false,&quot;dropping-particle&quot;:&quot;&quot;,&quot;non-dropping-particle&quot;:&quot;&quot;},{&quot;family&quot;:&quot;Paulson&quot;,&quot;given&quot;:&quot;Katherine R.&quot;,&quot;parse-names&quot;:false,&quot;dropping-particle&quot;:&quot;&quot;,&quot;non-dropping-particle&quot;:&quot;&quot;},{&quot;family&quot;:&quot;Gupta&quot;,&quot;given&quot;:&quot;Vinay&quot;,&quot;parse-names&quot;:false,&quot;dropping-particle&quot;:&quot;&quot;,&quot;non-dropping-particle&quot;:&quot;&quot;},{&quot;family&quot;:&quot;Abrams&quot;,&quot;given&quot;:&quot;Elissa M.&quot;,&quot;parse-names&quot;:false,&quot;dropping-particle&quot;:&quot;&quot;,&quot;non-dropping-particle&quot;:&quot;&quot;},{&quot;family&quot;:&quot;Adedoyin&quot;,&quot;given&quot;:&quot;Rufus Adesoji&quot;,&quot;parse-names&quot;:false,&quot;dropping-particle&quot;:&quot;&quot;,&quot;non-dropping-particle&quot;:&quot;&quot;},{&quot;family&quot;:&quot;Adhikari&quot;,&quot;given&quot;:&quot;Tara Ballav&quot;,&quot;parse-names&quot;:false,&quot;dropping-particle&quot;:&quot;&quot;,&quot;non-dropping-particle&quot;:&quot;&quot;},{&quot;family&quot;:&quot;Advani&quot;,&quot;given&quot;:&quot;Shailesh M.&quot;,&quot;parse-names&quot;:false,&quot;dropping-particle&quot;:&quot;&quot;,&quot;non-dropping-particle&quot;:&quot;&quot;},{&quot;family&quot;:&quot;Agrawal&quot;,&quot;given&quot;:&quot;Anurag&quot;,&quot;parse-names&quot;:false,&quot;dropping-particle&quot;:&quot;&quot;,&quot;non-dropping-particle&quot;:&quot;&quot;},{&quot;family&quot;:&quot;Ahmadian&quot;,&quot;given&quot;:&quot;Elham&quot;,&quot;parse-names&quot;:false,&quot;dropping-particle&quot;:&quot;&quot;,&quot;non-dropping-particle&quot;:&quot;&quot;},{&quot;family&quot;:&quot;Alahdab&quot;,&quot;given&quot;:&quot;Fares&quot;,&quot;parse-names&quot;:false,&quot;dropping-particle&quot;:&quot;&quot;,&quot;non-dropping-particle&quot;:&quot;&quot;},{&quot;family&quot;:&quot;Aljunid&quot;,&quot;given&quot;:&quot;Syed Mohamed&quot;,&quot;parse-names&quot;:false,&quot;dropping-particle&quot;:&quot;&quot;,&quot;non-dropping-particle&quot;:&quot;&quot;},{&quot;family&quot;:&quot;Altirkawi&quot;,&quot;given&quot;:&quot;Khalid A.&quot;,&quot;parse-names&quot;:false,&quot;dropping-particle&quot;:&quot;&quot;,&quot;non-dropping-particle&quot;:&quot;&quot;},{&quot;family&quot;:&quot;Alvis-Guzman&quot;,&quot;given&quot;:&quot;Nelson&quot;,&quot;parse-names&quot;:false,&quot;dropping-particle&quot;:&quot;&quot;,&quot;non-dropping-particle&quot;:&quot;&quot;},{&quot;family&quot;:&quot;Anber&quot;,&quot;given&quot;:&quot;Nahla Hamed&quot;,&quot;parse-names&quot;:false,&quot;dropping-particle&quot;:&quot;&quot;,&quot;non-dropping-particle&quot;:&quot;&quot;},{&quot;family&quot;:&quot;Andrei&quot;,&quot;given&quot;:&quot;Catalina Liliana&quot;,&quot;parse-names&quot;:false,&quot;dropping-particle&quot;:&quot;&quot;,&quot;non-dropping-particle&quot;:&quot;&quot;},{&quot;family&quot;:&quot;Anjomshoa&quot;,&quot;given&quot;:&quot;Mina&quot;,&quot;parse-names&quot;:false,&quot;dropping-particle&quot;:&quot;&quot;,&quot;non-dropping-particle&quot;:&quot;&quot;},{&quot;family&quot;:&quot;Ansari&quot;,&quot;given&quot;:&quot;Fereshteh&quot;,&quot;parse-names&quot;:false,&quot;dropping-particle&quot;:&quot;&quot;,&quot;non-dropping-particle&quot;:&quot;&quot;},{&quot;family&quot;:&quot;Antó&quot;,&quot;given&quot;:&quot;Josep M.&quot;,&quot;parse-names&quot;:false,&quot;dropping-particle&quot;:&quot;&quot;,&quot;non-dropping-particle&quot;:&quot;&quot;},{&quot;family&quot;:&quot;Arabloo&quot;,&quot;given&quot;:&quot;Jalal&quot;,&quot;parse-names&quot;:false,&quot;dropping-particle&quot;:&quot;&quot;,&quot;non-dropping-particle&quot;:&quot;&quot;},{&quot;family&quot;:&quot;Athari&quot;,&quot;given&quot;:&quot;Seyyede Masoume&quot;,&quot;parse-names&quot;:false,&quot;dropping-particle&quot;:&quot;&quot;,&quot;non-dropping-particle&quot;:&quot;&quot;},{&quot;family&quot;:&quot;Athari&quot;,&quot;given&quot;:&quot;Seyyed Shamsadin&quot;,&quot;parse-names&quot;:false,&quot;dropping-particle&quot;:&quot;&quot;,&quot;non-dropping-particle&quot;:&quot;&quot;},{&quot;family&quot;:&quot;Awoke&quot;,&quot;given&quot;:&quot;Nefsu&quot;,&quot;parse-names&quot;:false,&quot;dropping-particle&quot;:&quot;&quot;,&quot;non-dropping-particle&quot;:&quot;&quot;},{&quot;family&quot;:&quot;Badawi&quot;,&quot;given&quot;:&quot;Alaa&quot;,&quot;parse-names&quot;:false,&quot;dropping-particle&quot;:&quot;&quot;,&quot;non-dropping-particle&quot;:&quot;&quot;},{&quot;family&quot;:&quot;Banoub&quot;,&quot;given&quot;:&quot;Joseph Adel Mattar&quot;,&quot;parse-names&quot;:false,&quot;dropping-particle&quot;:&quot;&quot;,&quot;non-dropping-particle&quot;:&quot;&quot;},{&quot;family&quot;:&quot;Bennett&quot;,&quot;given&quot;:&quot;Derrick A.&quot;,&quot;parse-names&quot;:false,&quot;dropping-particle&quot;:&quot;&quot;,&quot;non-dropping-particle&quot;:&quot;&quot;},{&quot;family&quot;:&quot;Bensenor&quot;,&quot;given&quot;:&quot;Isabela M.&quot;,&quot;parse-names&quot;:false,&quot;dropping-particle&quot;:&quot;&quot;,&quot;non-dropping-particle&quot;:&quot;&quot;},{&quot;family&quot;:&quot;Berfield&quot;,&quot;given&quot;:&quot;Kathleen S.Sachiko&quot;,&quot;parse-names&quot;:false,&quot;dropping-particle&quot;:&quot;&quot;,&quot;non-dropping-particle&quot;:&quot;&quot;},{&quot;family&quot;:&quot;Bernstein&quot;,&quot;given&quot;:&quot;Robert S.&quot;,&quot;parse-names&quot;:false,&quot;dropping-particle&quot;:&quot;&quot;,&quot;non-dropping-particle&quot;:&quot;&quot;},{&quot;family&quot;:&quot;Bhattacharyya&quot;,&quot;given&quot;:&quot;Krittika&quot;,&quot;parse-names&quot;:false,&quot;dropping-particle&quot;:&quot;&quot;,&quot;non-dropping-particle&quot;:&quot;&quot;},{&quot;family&quot;:&quot;Bijani&quot;,&quot;given&quot;:&quot;Ali&quot;,&quot;parse-names&quot;:false,&quot;dropping-particle&quot;:&quot;&quot;,&quot;non-dropping-particle&quot;:&quot;&quot;},{&quot;family&quot;:&quot;Brauer&quot;,&quot;given&quot;:&quot;Michael&quot;,&quot;parse-names&quot;:false,&quot;dropping-particle&quot;:&quot;&quot;,&quot;non-dropping-particle&quot;:&quot;&quot;},{&quot;family&quot;:&quot;Bukhman&quot;,&quot;given&quot;:&quot;Gene&quot;,&quot;parse-names&quot;:false,&quot;dropping-particle&quot;:&quot;&quot;,&quot;non-dropping-particle&quot;:&quot;&quot;},{&quot;family&quot;:&quot;Butt&quot;,&quot;given&quot;:&quot;Zahid A.&quot;,&quot;parse-names&quot;:false,&quot;dropping-particle&quot;:&quot;&quot;,&quot;non-dropping-particle&quot;:&quot;&quot;},{&quot;family&quot;:&quot;Cámera&quot;,&quot;given&quot;:&quot;Luis Alberto&quot;,&quot;parse-names&quot;:false,&quot;dropping-particle&quot;:&quot;&quot;,&quot;non-dropping-particle&quot;:&quot;&quot;},{&quot;family&quot;:&quot;Car&quot;,&quot;given&quot;:&quot;Josip&quot;,&quot;parse-names&quot;:false,&quot;dropping-particle&quot;:&quot;&quot;,&quot;non-dropping-particle&quot;:&quot;&quot;},{&quot;family&quot;:&quot;Carrero&quot;,&quot;given&quot;:&quot;Juan J.&quot;,&quot;parse-names&quot;:false,&quot;dropping-particle&quot;:&quot;&quot;,&quot;non-dropping-particle&quot;:&quot;&quot;},{&quot;family&quot;:&quot;Carvalho&quot;,&quot;given&quot;:&quot;Felix&quot;,&quot;parse-names&quot;:false,&quot;dropping-particle&quot;:&quot;&quot;,&quot;non-dropping-particle&quot;:&quot;&quot;},{&quot;family&quot;:&quot;Castañeda-Orjuela&quot;,&quot;given&quot;:&quot;Carlos A.&quot;,&quot;parse-names&quot;:false,&quot;dropping-particle&quot;:&quot;&quot;,&quot;non-dropping-particle&quot;:&quot;&quot;},{&quot;family&quot;:&quot;Choi&quot;,&quot;given&quot;:&quot;Jee Young Jasmine&quot;,&quot;parse-names&quot;:false,&quot;dropping-particle&quot;:&quot;&quot;,&quot;non-dropping-particle&quot;:&quot;&quot;},{&quot;family&quot;:&quot;Christopher&quot;,&quot;given&quot;:&quot;Devasahayam J.&quot;,&quot;parse-names&quot;:false,&quot;dropping-particle&quot;:&quot;&quot;,&quot;non-dropping-particle&quot;:&quot;&quot;},{&quot;family&quot;:&quot;Cohen&quot;,&quot;given&quot;:&quot;Aaron J.&quot;,&quot;parse-names&quot;:false,&quot;dropping-particle&quot;:&quot;&quot;,&quot;non-dropping-particle&quot;:&quot;&quot;},{&quot;family&quot;:&quot;Dandona&quot;,&quot;given&quot;:&quot;Lalit&quot;,&quot;parse-names&quot;:false,&quot;dropping-particle&quot;:&quot;&quot;,&quot;non-dropping-particle&quot;:&quot;&quot;},{&quot;family&quot;:&quot;Dandona&quot;,&quot;given&quot;:&quot;Rakhi&quot;,&quot;parse-names&quot;:false,&quot;dropping-particle&quot;:&quot;&quot;,&quot;non-dropping-particle&quot;:&quot;&quot;},{&quot;family&quot;:&quot;Dang&quot;,&quot;given&quot;:&quot;Anh Kim&quot;,&quot;parse-names&quot;:false,&quot;dropping-particle&quot;:&quot;&quot;,&quot;non-dropping-particle&quot;:&quot;&quot;},{&quot;family&quot;:&quot;Daryani&quot;,&quot;given&quot;:&quot;Ahmad&quot;,&quot;parse-names&quot;:false,&quot;dropping-particle&quot;:&quot;&quot;,&quot;non-dropping-particle&quot;:&quot;&quot;},{&quot;family&quot;:&quot;Courten&quot;,&quot;given&quot;:&quot;Barbora&quot;,&quot;parse-names&quot;:false,&quot;dropping-particle&quot;:&quot;&quot;,&quot;non-dropping-particle&quot;:&quot;de&quot;},{&quot;family&quot;:&quot;Demeke&quot;,&quot;given&quot;:&quot;Feleke Mekonnen&quot;,&quot;parse-names&quot;:false,&quot;dropping-particle&quot;:&quot;&quot;,&quot;non-dropping-particle&quot;:&quot;&quot;},{&quot;family&quot;:&quot;Demoz&quot;,&quot;given&quot;:&quot;Gebre Teklemariam&quot;,&quot;parse-names&quot;:false,&quot;dropping-particle&quot;:&quot;&quot;,&quot;non-dropping-particle&quot;:&quot;&quot;},{&quot;family&quot;:&quot;Neve&quot;,&quot;given&quot;:&quot;Jan Walter&quot;,&quot;parse-names&quot;:false,&quot;dropping-particle&quot;:&quot;&quot;,&quot;non-dropping-particle&quot;:&quot;De&quot;},{&quot;family&quot;:&quot;Desai&quot;,&quot;given&quot;:&quot;Rupak&quot;,&quot;parse-names&quot;:false,&quot;dropping-particle&quot;:&quot;&quot;,&quot;non-dropping-particle&quot;:&quot;&quot;},{&quot;family&quot;:&quot;Dharmaratne&quot;,&quot;given&quot;:&quot;Samath Dhamminda&quot;,&quot;parse-names&quot;:false,&quot;dropping-particle&quot;:&quot;&quot;,&quot;non-dropping-particle&quot;:&quot;&quot;},{&quot;family&quot;:&quot;Diaz&quot;,&quot;given&quot;:&quot;Daniel&quot;,&quot;parse-names&quot;:false,&quot;dropping-particle&quot;:&quot;&quot;,&quot;non-dropping-particle&quot;:&quot;&quot;},{&quot;family&quot;:&quot;Douiri&quot;,&quot;given&quot;:&quot;Abdel&quot;,&quot;parse-names&quot;:false,&quot;dropping-particle&quot;:&quot;&quot;,&quot;non-dropping-particle&quot;:&quot;&quot;},{&quot;family&quot;:&quot;Driscoll&quot;,&quot;given&quot;:&quot;Tim Robert&quot;,&quot;parse-names&quot;:false,&quot;dropping-particle&quot;:&quot;&quot;,&quot;non-dropping-particle&quot;:&quot;&quot;},{&quot;family&quot;:&quot;Duken&quot;,&quot;given&quot;:&quot;Eyasu Ejeta&quot;,&quot;parse-names&quot;:false,&quot;dropping-particle&quot;:&quot;&quot;,&quot;non-dropping-particle&quot;:&quot;&quot;},{&quot;family&quot;:&quot;Eftekhari&quot;,&quot;given&quot;:&quot;Aziz&quot;,&quot;parse-names&quot;:false,&quot;dropping-particle&quot;:&quot;&quot;,&quot;non-dropping-particle&quot;:&quot;&quot;},{&quot;family&quot;:&quot;Elkout&quot;,&quot;given&quot;:&quot;Hajer&quot;,&quot;parse-names&quot;:false,&quot;dropping-particle&quot;:&quot;&quot;,&quot;non-dropping-particle&quot;:&quot;&quot;},{&quot;family&quot;:&quot;Endries&quot;,&quot;given&quot;:&quot;Aman Yesuf&quot;,&quot;parse-names&quot;:false,&quot;dropping-particle&quot;:&quot;&quot;,&quot;non-dropping-particle&quot;:&quot;&quot;},{&quot;family&quot;:&quot;Fadhil&quot;,&quot;given&quot;:&quot;Ibtihal&quot;,&quot;parse-names&quot;:false,&quot;dropping-particle&quot;:&quot;&quot;,&quot;non-dropping-particle&quot;:&quot;&quot;},{&quot;family&quot;:&quot;Faro&quot;,&quot;given&quot;:&quot;Andre&quot;,&quot;parse-names&quot;:false,&quot;dropping-particle&quot;:&quot;&quot;,&quot;non-dropping-particle&quot;:&quot;&quot;},{&quot;family&quot;:&quot;Farzadfar&quot;,&quot;given&quot;:&quot;Farshad&quot;,&quot;parse-names&quot;:false,&quot;dropping-particle&quot;:&quot;&quot;,&quot;non-dropping-particle&quot;:&quot;&quot;},{&quot;family&quot;:&quot;Fernandes&quot;,&quot;given&quot;:&quot;Eduarda&quot;,&quot;parse-names&quot;:false,&quot;dropping-particle&quot;:&quot;&quot;,&quot;non-dropping-particle&quot;:&quot;&quot;},{&quot;family&quot;:&quot;Filip&quot;,&quot;given&quot;:&quot;Irina&quot;,&quot;parse-names&quot;:false,&quot;dropping-particle&quot;:&quot;&quot;,&quot;non-dropping-particle&quot;:&quot;&quot;},{&quot;family&quot;:&quot;Fischer&quot;,&quot;given&quot;:&quot;Florian&quot;,&quot;parse-names&quot;:false,&quot;dropping-particle&quot;:&quot;&quot;,&quot;non-dropping-particle&quot;:&quot;&quot;},{&quot;family&quot;:&quot;Foroutan&quot;,&quot;given&quot;:&quot;Masoud&quot;,&quot;parse-names&quot;:false,&quot;dropping-particle&quot;:&quot;&quot;,&quot;non-dropping-particle&quot;:&quot;&quot;},{&quot;family&quot;:&quot;Garcia-Gordillo&quot;,&quot;given&quot;:&quot;M. A.&quot;,&quot;parse-names&quot;:false,&quot;dropping-particle&quot;:&quot;&quot;,&quot;non-dropping-particle&quot;:&quot;&quot;},{&quot;family&quot;:&quot;Gebre&quot;,&quot;given&quot;:&quot;Abadi Kahsu&quot;,&quot;parse-names&quot;:false,&quot;dropping-particle&quot;:&quot;&quot;,&quot;non-dropping-particle&quot;:&quot;&quot;},{&quot;family&quot;:&quot;Gebremedhin&quot;,&quot;given&quot;:&quot;Ketema Bizuwork&quot;,&quot;parse-names&quot;:false,&quot;dropping-particle&quot;:&quot;&quot;,&quot;non-dropping-particle&quot;:&quot;&quot;},{&quot;family&quot;:&quot;Gebremeskel&quot;,&quot;given&quot;:&quot;Gebreamlak Gebremedhn&quot;,&quot;parse-names&quot;:false,&quot;dropping-particle&quot;:&quot;&quot;,&quot;non-dropping-particle&quot;:&quot;&quot;},{&quot;family&quot;:&quot;Gezae&quot;,&quot;given&quot;:&quot;Kebede Embaye&quot;,&quot;parse-names&quot;:false,&quot;dropping-particle&quot;:&quot;&quot;,&quot;non-dropping-particle&quot;:&quot;&quot;},{&quot;family&quot;:&quot;Ghoshal&quot;,&quot;given&quot;:&quot;Aloke Gopal&quot;,&quot;parse-names&quot;:false,&quot;dropping-particle&quot;:&quot;&quot;,&quot;non-dropping-particle&quot;:&quot;&quot;},{&quot;family&quot;:&quot;Gill&quot;,&quot;given&quot;:&quot;Paramjit Singh&quot;,&quot;parse-names&quot;:false,&quot;dropping-particle&quot;:&quot;&quot;,&quot;non-dropping-particle&quot;:&quot;&quot;},{&quot;family&quot;:&quot;Gillum&quot;,&quot;given&quot;:&quot;Richard F.&quot;,&quot;parse-names&quot;:false,&quot;dropping-particle&quot;:&quot;&quot;,&quot;non-dropping-particle&quot;:&quot;&quot;},{&quot;family&quot;:&quot;Goudarzi&quot;,&quot;given&quot;:&quot;Houman&quot;,&quot;parse-names&quot;:false,&quot;dropping-particle&quot;:&quot;&quot;,&quot;non-dropping-particle&quot;:&quot;&quot;},{&quot;family&quot;:&quot;Guo&quot;,&quot;given&quot;:&quot;Yuming&quot;,&quot;parse-names&quot;:false,&quot;dropping-particle&quot;:&quot;&quot;,&quot;non-dropping-particle&quot;:&quot;&quot;},{&quot;family&quot;:&quot;Gupta&quot;,&quot;given&quot;:&quot;Rajeev&quot;,&quot;parse-names&quot;:false,&quot;dropping-particle&quot;:&quot;&quot;,&quot;non-dropping-particle&quot;:&quot;&quot;},{&quot;family&quot;:&quot;Hailu&quot;,&quot;given&quot;:&quot;Gessessew Bugssa&quot;,&quot;parse-names&quot;:false,&quot;dropping-particle&quot;:&quot;&quot;,&quot;non-dropping-particle&quot;:&quot;&quot;},{&quot;family&quot;:&quot;Hasanzadeh&quot;,&quot;given&quot;:&quot;Amir&quot;,&quot;parse-names&quot;:false,&quot;dropping-particle&quot;:&quot;&quot;,&quot;non-dropping-particle&quot;:&quot;&quot;},{&quot;family&quot;:&quot;Hassen&quot;,&quot;given&quot;:&quot;Hamid Yimam&quot;,&quot;parse-names&quot;:false,&quot;dropping-particle&quot;:&quot;&quot;,&quot;non-dropping-particle&quot;:&quot;&quot;},{&quot;family&quot;:&quot;Hay&quot;,&quot;given&quot;:&quot;Simon I.&quot;,&quot;parse-names&quot;:false,&quot;dropping-particle&quot;:&quot;&quot;,&quot;non-dropping-particle&quot;:&quot;&quot;},{&quot;family&quot;:&quot;Hoang&quot;,&quot;given&quot;:&quot;Chi Linh&quot;,&quot;parse-names&quot;:false,&quot;dropping-particle&quot;:&quot;&quot;,&quot;non-dropping-particle&quot;:&quot;&quot;},{&quot;family&quot;:&quot;Hole&quot;,&quot;given&quot;:&quot;Michael K.&quot;,&quot;parse-names&quot;:false,&quot;dropping-particle&quot;:&quot;&quot;,&quot;non-dropping-particle&quot;:&quot;&quot;},{&quot;family&quot;:&quot;Horita&quot;,&quot;given&quot;:&quot;Nobuyuki&quot;,&quot;parse-names&quot;:false,&quot;dropping-particle&quot;:&quot;&quot;,&quot;non-dropping-particle&quot;:&quot;&quot;},{&quot;family&quot;:&quot;Hosgood&quot;,&quot;given&quot;:&quot;H. Dean&quot;,&quot;parse-names&quot;:false,&quot;dropping-particle&quot;:&quot;&quot;,&quot;non-dropping-particle&quot;:&quot;&quot;},{&quot;family&quot;:&quot;Hostiuc&quot;,&quot;given&quot;:&quot;Mihaela&quot;,&quot;parse-names&quot;:false,&quot;dropping-particle&quot;:&quot;&quot;,&quot;non-dropping-particle&quot;:&quot;&quot;},{&quot;family&quot;:&quot;Househ&quot;,&quot;given&quot;:&quot;Mowafa&quot;,&quot;parse-names&quot;:false,&quot;dropping-particle&quot;:&quot;&quot;,&quot;non-dropping-particle&quot;:&quot;&quot;},{&quot;family&quot;:&quot;Ilesanmi&quot;,&quot;given&quot;:&quot;Olayinka Stephen&quot;,&quot;parse-names&quot;:false,&quot;dropping-particle&quot;:&quot;&quot;,&quot;non-dropping-particle&quot;:&quot;&quot;},{&quot;family&quot;:&quot;Ilic&quot;,&quot;given&quot;:&quot;Milena D.&quot;,&quot;parse-names&quot;:false,&quot;dropping-particle&quot;:&quot;&quot;,&quot;non-dropping-particle&quot;:&quot;&quot;},{&quot;family&quot;:&quot;Irvani&quot;,&quot;given&quot;:&quot;Seyed Sina Naghibi&quot;,&quot;parse-names&quot;:false,&quot;dropping-particle&quot;:&quot;&quot;,&quot;non-dropping-particle&quot;:&quot;&quot;},{&quot;family&quot;:&quot;Islam&quot;,&quot;given&quot;:&quot;Sheikh Mohammed Shariful&quot;,&quot;parse-names&quot;:false,&quot;dropping-particle&quot;:&quot;&quot;,&quot;non-dropping-particle&quot;:&quot;&quot;},{&quot;family&quot;:&quot;Jakovljevic&quot;,&quot;given&quot;:&quot;Mihajlo&quot;,&quot;parse-names&quot;:false,&quot;dropping-particle&quot;:&quot;&quot;,&quot;non-dropping-particle&quot;:&quot;&quot;},{&quot;family&quot;:&quot;Jamal&quot;,&quot;given&quot;:&quot;Amr A.&quot;,&quot;parse-names&quot;:false,&quot;dropping-particle&quot;:&quot;&quot;,&quot;non-dropping-particle&quot;:&quot;&quot;},{&quot;family&quot;:&quot;Jha&quot;,&quot;given&quot;:&quot;Ravi Prakash&quot;,&quot;parse-names&quot;:false,&quot;dropping-particle&quot;:&quot;&quot;,&quot;non-dropping-particle&quot;:&quot;&quot;},{&quot;family&quot;:&quot;Jonas&quot;,&quot;given&quot;:&quot;Jost B.&quot;,&quot;parse-names&quot;:false,&quot;dropping-particle&quot;:&quot;&quot;,&quot;non-dropping-particle&quot;:&quot;&quot;},{&quot;family&quot;:&quot;Kabir&quot;,&quot;given&quot;:&quot;Zubair&quot;,&quot;parse-names&quot;:false,&quot;dropping-particle&quot;:&quot;&quot;,&quot;non-dropping-particle&quot;:&quot;&quot;},{&quot;family&quot;:&quot;Kasaeian&quot;,&quot;given&quot;:&quot;Amir&quot;,&quot;parse-names&quot;:false,&quot;dropping-particle&quot;:&quot;&quot;,&quot;non-dropping-particle&quot;:&quot;&quot;},{&quot;family&quot;:&quot;Kasahun&quot;,&quot;given&quot;:&quot;Gebremicheal Gebreslassie&quot;,&quot;parse-names&quot;:false,&quot;dropping-particle&quot;:&quot;&quot;,&quot;non-dropping-particle&quot;:&quot;&quot;},{&quot;family&quot;:&quot;Kassa&quot;,&quot;given&quot;:&quot;Getachew Mullu&quot;,&quot;parse-names&quot;:false,&quot;dropping-particle&quot;:&quot;&quot;,&quot;non-dropping-particle&quot;:&quot;&quot;},{&quot;family&quot;:&quot;Kefale&quot;,&quot;given&quot;:&quot;Adane Teshome&quot;,&quot;parse-names&quot;:false,&quot;dropping-particle&quot;:&quot;&quot;,&quot;non-dropping-particle&quot;:&quot;&quot;},{&quot;family&quot;:&quot;Kengne&quot;,&quot;given&quot;:&quot;Andre Pascal&quot;,&quot;parse-names&quot;:false,&quot;dropping-particle&quot;:&quot;&quot;,&quot;non-dropping-particle&quot;:&quot;&quot;},{&quot;family&quot;:&quot;Khader&quot;,&quot;given&quot;:&quot;Yousef Saleh&quot;,&quot;parse-names&quot;:false,&quot;dropping-particle&quot;:&quot;&quot;,&quot;non-dropping-particle&quot;:&quot;&quot;},{&quot;family&quot;:&quot;Khafaie&quot;,&quot;given&quot;:&quot;Morteza Abdullatif&quot;,&quot;parse-names&quot;:false,&quot;dropping-particle&quot;:&quot;&quot;,&quot;non-dropping-particle&quot;:&quot;&quot;},{&quot;family&quot;:&quot;Khan&quot;,&quot;given&quot;:&quot;Ejaz Ahmad&quot;,&quot;parse-names&quot;:false,&quot;dropping-particle&quot;:&quot;&quot;,&quot;non-dropping-particle&quot;:&quot;&quot;},{&quot;family&quot;:&quot;Khan&quot;,&quot;given&quot;:&quot;Junaid&quot;,&quot;parse-names&quot;:false,&quot;dropping-particle&quot;:&quot;&quot;,&quot;non-dropping-particle&quot;:&quot;&quot;},{&quot;family&quot;:&quot;Khubchandani&quot;,&quot;given&quot;:&quot;Jagdish&quot;,&quot;parse-names&quot;:false,&quot;dropping-particle&quot;:&quot;&quot;,&quot;non-dropping-particle&quot;:&quot;&quot;},{&quot;family&quot;:&quot;Kim&quot;,&quot;given&quot;:&quot;Young Eun&quot;,&quot;parse-names&quot;:false,&quot;dropping-particle&quot;:&quot;&quot;,&quot;non-dropping-particle&quot;:&quot;&quot;},{&quot;family&quot;:&quot;Kim&quot;,&quot;given&quot;:&quot;Yun Jin&quot;,&quot;parse-names&quot;:false,&quot;dropping-particle&quot;:&quot;&quot;,&quot;non-dropping-particle&quot;:&quot;&quot;},{&quot;family&quot;:&quot;Kisa&quot;,&quot;given&quot;:&quot;Sezer&quot;,&quot;parse-names&quot;:false,&quot;dropping-particle&quot;:&quot;&quot;,&quot;non-dropping-particle&quot;:&quot;&quot;},{&quot;family&quot;:&quot;Kisa&quot;,&quot;given&quot;:&quot;Adnan&quot;,&quot;parse-names&quot;:false,&quot;dropping-particle&quot;:&quot;&quot;,&quot;non-dropping-particle&quot;:&quot;&quot;},{&quot;family&quot;:&quot;Knibbs&quot;,&quot;given&quot;:&quot;Luke D.&quot;,&quot;parse-names&quot;:false,&quot;dropping-particle&quot;:&quot;&quot;,&quot;non-dropping-particle&quot;:&quot;&quot;},{&quot;family&quot;:&quot;Komaki&quot;,&quot;given&quot;:&quot;Hamidreza&quot;,&quot;parse-names&quot;:false,&quot;dropping-particle&quot;:&quot;&quot;,&quot;non-dropping-particle&quot;:&quot;&quot;},{&quot;family&quot;:&quot;Koul&quot;,&quot;given&quot;:&quot;Parvaiz A.&quot;,&quot;parse-names&quot;:false,&quot;dropping-particle&quot;:&quot;&quot;,&quot;non-dropping-particle&quot;:&quot;&quot;},{&quot;family&quot;:&quot;Koyanagi&quot;,&quot;given&quot;:&quot;Ai&quot;,&quot;parse-names&quot;:false,&quot;dropping-particle&quot;:&quot;&quot;,&quot;non-dropping-particle&quot;:&quot;&quot;},{&quot;family&quot;:&quot;Kumar&quot;,&quot;given&quot;:&quot;G. Anil&quot;,&quot;parse-names&quot;:false,&quot;dropping-particle&quot;:&quot;&quot;,&quot;non-dropping-particle&quot;:&quot;&quot;},{&quot;family&quot;:&quot;Lan&quot;,&quot;given&quot;:&quot;Qing&quot;,&quot;parse-names&quot;:false,&quot;dropping-particle&quot;:&quot;&quot;,&quot;non-dropping-particle&quot;:&quot;&quot;},{&quot;family&quot;:&quot;Lasrado&quot;,&quot;given&quot;:&quot;Savita&quot;,&quot;parse-names&quot;:false,&quot;dropping-particle&quot;:&quot;&quot;,&quot;non-dropping-particle&quot;:&quot;&quot;},{&quot;family&quot;:&quot;Lauriola&quot;,&quot;given&quot;:&quot;Paolo&quot;,&quot;parse-names&quot;:false,&quot;dropping-particle&quot;:&quot;&quot;,&quot;non-dropping-particle&quot;:&quot;&quot;},{&quot;family&quot;:&quot;Vecchia&quot;,&quot;given&quot;:&quot;Carlo&quot;,&quot;parse-names&quot;:false,&quot;dropping-particle&quot;:&quot;&quot;,&quot;non-dropping-particle&quot;:&quot;La&quot;},{&quot;family&quot;:&quot;Le&quot;,&quot;given&quot;:&quot;Tham Thi&quot;,&quot;parse-names&quot;:false,&quot;dropping-particle&quot;:&quot;&quot;,&quot;non-dropping-particle&quot;:&quot;&quot;},{&quot;family&quot;:&quot;Leigh&quot;,&quot;given&quot;:&quot;James&quot;,&quot;parse-names&quot;:false,&quot;dropping-particle&quot;:&quot;&quot;,&quot;non-dropping-particle&quot;:&quot;&quot;},{&quot;family&quot;:&quot;Levi&quot;,&quot;given&quot;:&quot;Miriam&quot;,&quot;parse-names&quot;:false,&quot;dropping-particle&quot;:&quot;&quot;,&quot;non-dropping-particle&quot;:&quot;&quot;},{&quot;family&quot;:&quot;Li&quot;,&quot;given&quot;:&quot;Shanshan&quot;,&quot;parse-names&quot;:false,&quot;dropping-particle&quot;:&quot;&quot;,&quot;non-dropping-particle&quot;:&quot;&quot;},{&quot;family&quot;:&quot;Lopez&quot;,&quot;given&quot;:&quot;Alan D.&quot;,&quot;parse-names&quot;:false,&quot;dropping-particle&quot;:&quot;&quot;,&quot;non-dropping-particle&quot;:&quot;&quot;},{&quot;family&quot;:&quot;Lotufo&quot;,&quot;given&quot;:&quot;Paulo A.&quot;,&quot;parse-names&quot;:false,&quot;dropping-particle&quot;:&quot;&quot;,&quot;non-dropping-particle&quot;:&quot;&quot;},{&quot;family&quot;:&quot;Madotto&quot;,&quot;given&quot;:&quot;Fabiana&quot;,&quot;parse-names&quot;:false,&quot;dropping-particle&quot;:&quot;&quot;,&quot;non-dropping-particle&quot;:&quot;&quot;},{&quot;family&quot;:&quot;Mahotra&quot;,&quot;given&quot;:&quot;Narayan B.&quot;,&quot;parse-names&quot;:false,&quot;dropping-particle&quot;:&quot;&quot;,&quot;non-dropping-particle&quot;:&quot;&quot;},{&quot;family&quot;:&quot;Majdan&quot;,&quot;given&quot;:&quot;Marek&quot;,&quot;parse-names&quot;:false,&quot;dropping-particle&quot;:&quot;&quot;,&quot;non-dropping-particle&quot;:&quot;&quot;},{&quot;family&quot;:&quot;Majeed&quot;,&quot;given&quot;:&quot;Azeem&quot;,&quot;parse-names&quot;:false,&quot;dropping-particle&quot;:&quot;&quot;,&quot;non-dropping-particle&quot;:&quot;&quot;},{&quot;family&quot;:&quot;Malekzadeh&quot;,&quot;given&quot;:&quot;Reza&quot;,&quot;parse-names&quot;:false,&quot;dropping-particle&quot;:&quot;&quot;,&quot;non-dropping-particle&quot;:&quot;&quot;},{&quot;family&quot;:&quot;Mamun&quot;,&quot;given&quot;:&quot;Abdullah A.&quot;,&quot;parse-names&quot;:false,&quot;dropping-particle&quot;:&quot;&quot;,&quot;non-dropping-particle&quot;:&quot;&quot;},{&quot;family&quot;:&quot;Manafi&quot;,&quot;given&quot;:&quot;Navid&quot;,&quot;parse-names&quot;:false,&quot;dropping-particle&quot;:&quot;&quot;,&quot;non-dropping-particle&quot;:&quot;&quot;},{&quot;family&quot;:&quot;Manafi&quot;,&quot;given&quot;:&quot;Farzad&quot;,&quot;parse-names&quot;:false,&quot;dropping-particle&quot;:&quot;&quot;,&quot;non-dropping-particle&quot;:&quot;&quot;},{&quot;family&quot;:&quot;Mantovani&quot;,&quot;given&quot;:&quot;Lorenzo Giovanni&quot;,&quot;parse-names&quot;:false,&quot;dropping-particle&quot;:&quot;&quot;,&quot;non-dropping-particle&quot;:&quot;&quot;},{&quot;family&quot;:&quot;Meharie&quot;,&quot;given&quot;:&quot;Birhanu Geta&quot;,&quot;parse-names&quot;:false,&quot;dropping-particle&quot;:&quot;&quot;,&quot;non-dropping-particle&quot;:&quot;&quot;},{&quot;family&quot;:&quot;Meles&quot;,&quot;given&quot;:&quot;Hagazi Gebre&quot;,&quot;parse-names&quot;:false,&quot;dropping-particle&quot;:&quot;&quot;,&quot;non-dropping-particle&quot;:&quot;&quot;},{&quot;family&quot;:&quot;Meles&quot;,&quot;given&quot;:&quot;Gebrekiros Gebremichael&quot;,&quot;parse-names&quot;:false,&quot;dropping-particle&quot;:&quot;&quot;,&quot;non-dropping-particle&quot;:&quot;&quot;},{&quot;family&quot;:&quot;Menezes&quot;,&quot;given&quot;:&quot;Ritesh G.&quot;,&quot;parse-names&quot;:false,&quot;dropping-particle&quot;:&quot;&quot;,&quot;non-dropping-particle&quot;:&quot;&quot;},{&quot;family&quot;:&quot;Mestrovic&quot;,&quot;given&quot;:&quot;Tomislav&quot;,&quot;parse-names&quot;:false,&quot;dropping-particle&quot;:&quot;&quot;,&quot;non-dropping-particle&quot;:&quot;&quot;},{&quot;family&quot;:&quot;Miller&quot;,&quot;given&quot;:&quot;Ted R.&quot;,&quot;parse-names&quot;:false,&quot;dropping-particle&quot;:&quot;&quot;,&quot;non-dropping-particle&quot;:&quot;&quot;},{&quot;family&quot;:&quot;Mini&quot;,&quot;given&quot;:&quot;G. K.&quot;,&quot;parse-names&quot;:false,&quot;dropping-particle&quot;:&quot;&quot;,&quot;non-dropping-particle&quot;:&quot;&quot;},{&quot;family&quot;:&quot;Mirrakhimov&quot;,&quot;given&quot;:&quot;Erkin M.&quot;,&quot;parse-names&quot;:false,&quot;dropping-particle&quot;:&quot;&quot;,&quot;non-dropping-particle&quot;:&quot;&quot;},{&quot;family&quot;:&quot;Moazen&quot;,&quot;given&quot;:&quot;Babak&quot;,&quot;parse-names&quot;:false,&quot;dropping-particle&quot;:&quot;&quot;,&quot;non-dropping-particle&quot;:&quot;&quot;},{&quot;family&quot;:&quot;Mohammad&quot;,&quot;given&quot;:&quot;Karzan Abdulmuhsin&quot;,&quot;parse-names&quot;:false,&quot;dropping-particle&quot;:&quot;&quot;,&quot;non-dropping-particle&quot;:&quot;&quot;},{&quot;family&quot;:&quot;Mohammed&quot;,&quot;given&quot;:&quot;Shafiu&quot;,&quot;parse-names&quot;:false,&quot;dropping-particle&quot;:&quot;&quot;,&quot;non-dropping-particle&quot;:&quot;&quot;},{&quot;family&quot;:&quot;Mohebi&quot;,&quot;given&quot;:&quot;Farnam&quot;,&quot;parse-names&quot;:false,&quot;dropping-particle&quot;:&quot;&quot;,&quot;non-dropping-particle&quot;:&quot;&quot;},{&quot;family&quot;:&quot;Mokdad&quot;,&quot;given&quot;:&quot;Ali H.&quot;,&quot;parse-names&quot;:false,&quot;dropping-particle&quot;:&quot;&quot;,&quot;non-dropping-particle&quot;:&quot;&quot;},{&quot;family&quot;:&quot;Molokhia&quot;,&quot;given&quot;:&quot;Mariam&quot;,&quot;parse-names&quot;:false,&quot;dropping-particle&quot;:&quot;&quot;,&quot;non-dropping-particle&quot;:&quot;&quot;},{&quot;family&quot;:&quot;Monasta&quot;,&quot;given&quot;:&quot;Lorenzo&quot;,&quot;parse-names&quot;:false,&quot;dropping-particle&quot;:&quot;&quot;,&quot;non-dropping-particle&quot;:&quot;&quot;},{&quot;family&quot;:&quot;Moradi&quot;,&quot;given&quot;:&quot;Masoud&quot;,&quot;parse-names&quot;:false,&quot;dropping-particle&quot;:&quot;&quot;,&quot;non-dropping-particle&quot;:&quot;&quot;},{&quot;family&quot;:&quot;Moradi&quot;,&quot;given&quot;:&quot;Ghobad&quot;,&quot;parse-names&quot;:false,&quot;dropping-particle&quot;:&quot;&quot;,&quot;non-dropping-particle&quot;:&quot;&quot;},{&quot;family&quot;:&quot;Morawska&quot;,&quot;given&quot;:&quot;Lidia&quot;,&quot;parse-names&quot;:false,&quot;dropping-particle&quot;:&quot;&quot;,&quot;non-dropping-particle&quot;:&quot;&quot;},{&quot;family&quot;:&quot;Mousavi&quot;,&quot;given&quot;:&quot;Seyyed Meysam&quot;,&quot;parse-names&quot;:false,&quot;dropping-particle&quot;:&quot;&quot;,&quot;non-dropping-particle&quot;:&quot;&quot;},{&quot;family&quot;:&quot;Musa&quot;,&quot;given&quot;:&quot;Kamarul Imran&quot;,&quot;parse-names&quot;:false,&quot;dropping-particle&quot;:&quot;&quot;,&quot;non-dropping-particle&quot;:&quot;&quot;},{&quot;family&quot;:&quot;Mustafa&quot;,&quot;given&quot;:&quot;Ghulam&quot;,&quot;parse-names&quot;:false,&quot;dropping-particle&quot;:&quot;&quot;,&quot;non-dropping-particle&quot;:&quot;&quot;},{&quot;family&quot;:&quot;Naderi&quot;,&quot;given&quot;:&quot;Mehdi&quot;,&quot;parse-names&quot;:false,&quot;dropping-particle&quot;:&quot;&quot;,&quot;non-dropping-particle&quot;:&quot;&quot;},{&quot;family&quot;:&quot;Naghavi&quot;,&quot;given&quot;:&quot;Mohsen&quot;,&quot;parse-names&quot;:false,&quot;dropping-particle&quot;:&quot;&quot;,&quot;non-dropping-particle&quot;:&quot;&quot;},{&quot;family&quot;:&quot;Naik&quot;,&quot;given&quot;:&quot;Gurudatta&quot;,&quot;parse-names&quot;:false,&quot;dropping-particle&quot;:&quot;&quot;,&quot;non-dropping-particle&quot;:&quot;&quot;},{&quot;family&quot;:&quot;Nair&quot;,&quot;given&quot;:&quot;Sanjeev&quot;,&quot;parse-names&quot;:false,&quot;dropping-particle&quot;:&quot;&quot;,&quot;non-dropping-particle&quot;:&quot;&quot;},{&quot;family&quot;:&quot;Nangia&quot;,&quot;given&quot;:&quot;Vinay&quot;,&quot;parse-names&quot;:false,&quot;dropping-particle&quot;:&quot;&quot;,&quot;non-dropping-particle&quot;:&quot;&quot;},{&quot;family&quot;:&quot;Nansseu&quot;,&quot;given&quot;:&quot;Jobert Richie&quot;,&quot;parse-names&quot;:false,&quot;dropping-particle&quot;:&quot;&quot;,&quot;non-dropping-particle&quot;:&quot;&quot;},{&quot;family&quot;:&quot;Nazari&quot;,&quot;given&quot;:&quot;Javad&quot;,&quot;parse-names&quot;:false,&quot;dropping-particle&quot;:&quot;&quot;,&quot;non-dropping-particle&quot;:&quot;&quot;},{&quot;family&quot;:&quot;Ndwandwe&quot;,&quot;given&quot;:&quot;Duduzile Edith&quot;,&quot;parse-names&quot;:false,&quot;dropping-particle&quot;:&quot;&quot;,&quot;non-dropping-particle&quot;:&quot;&quot;},{&quot;family&quot;:&quot;Negoi&quot;,&quot;given&quot;:&quot;Ruxandra Irina&quot;,&quot;parse-names&quot;:false,&quot;dropping-particle&quot;:&quot;&quot;,&quot;non-dropping-particle&quot;:&quot;&quot;},{&quot;family&quot;:&quot;Nguyen&quot;,&quot;given&quot;:&quot;Trang Huyen&quot;,&quot;parse-names&quot;:false,&quot;dropping-particle&quot;:&quot;&quot;,&quot;non-dropping-particle&quot;:&quot;&quot;},{&quot;family&quot;:&quot;Nguyen&quot;,&quot;given&quot;:&quot;Cuong Tat&quot;,&quot;parse-names&quot;:false,&quot;dropping-particle&quot;:&quot;&quot;,&quot;non-dropping-particle&quot;:&quot;&quot;},{&quot;family&quot;:&quot;Nguyen&quot;,&quot;given&quot;:&quot;Huong Lan Thi&quot;,&quot;parse-names&quot;:false,&quot;dropping-particle&quot;:&quot;&quot;,&quot;non-dropping-particle&quot;:&quot;&quot;},{&quot;family&quot;:&quot;Nixon&quot;,&quot;given&quot;:&quot;Molly R.&quot;,&quot;parse-names&quot;:false,&quot;dropping-particle&quot;:&quot;&quot;,&quot;non-dropping-particle&quot;:&quot;&quot;},{&quot;family&quot;:&quot;Ofori-Asenso&quot;,&quot;given&quot;:&quot;Richard&quot;,&quot;parse-names&quot;:false,&quot;dropping-particle&quot;:&quot;&quot;,&quot;non-dropping-particle&quot;:&quot;&quot;},{&quot;family&quot;:&quot;Ogbo&quot;,&quot;given&quot;:&quot;Felix Akpojene&quot;,&quot;parse-names&quot;:false,&quot;dropping-particle&quot;:&quot;&quot;,&quot;non-dropping-particle&quot;:&quot;&quot;},{&quot;family&quot;:&quot;Olagunju&quot;,&quot;given&quot;:&quot;Andrew T.&quot;,&quot;parse-names&quot;:false,&quot;dropping-particle&quot;:&quot;&quot;,&quot;non-dropping-particle&quot;:&quot;&quot;},{&quot;family&quot;:&quot;Olagunju&quot;,&quot;given&quot;:&quot;Tinuke O.&quot;,&quot;parse-names&quot;:false,&quot;dropping-particle&quot;:&quot;&quot;,&quot;non-dropping-particle&quot;:&quot;&quot;},{&quot;family&quot;:&quot;Oren&quot;,&quot;given&quot;:&quot;Eyal&quot;,&quot;parse-names&quot;:false,&quot;dropping-particle&quot;:&quot;&quot;,&quot;non-dropping-particle&quot;:&quot;&quot;},{&quot;family&quot;:&quot;Ortiz&quot;,&quot;given&quot;:&quot;Justin R.&quot;,&quot;parse-names&quot;:false,&quot;dropping-particle&quot;:&quot;&quot;,&quot;non-dropping-particle&quot;:&quot;&quot;},{&quot;family&quot;:&quot;Owolabi&quot;,&quot;given&quot;:&quot;Mayowa O.&quot;,&quot;parse-names&quot;:false,&quot;dropping-particle&quot;:&quot;&quot;,&quot;non-dropping-particle&quot;:&quot;&quot;},{&quot;family&quot;:&quot;DNB&quot;,&quot;given&quot;:&quot;M. P.A.&quot;,&quot;parse-names&quot;:false,&quot;dropping-particle&quot;:&quot;&quot;,&quot;non-dropping-particle&quot;:&quot;&quot;},{&quot;family&quot;:&quot;Pakhale&quot;,&quot;given&quot;:&quot;Smita&quot;,&quot;parse-names&quot;:false,&quot;dropping-particle&quot;:&quot;&quot;,&quot;non-dropping-particle&quot;:&quot;&quot;},{&quot;family&quot;:&quot;Pana&quot;,&quot;given&quot;:&quot;Adrian&quot;,&quot;parse-names&quot;:false,&quot;dropping-particle&quot;:&quot;&quot;,&quot;non-dropping-particle&quot;:&quot;&quot;},{&quot;family&quot;:&quot;Panda-Jonas&quot;,&quot;given&quot;:&quot;Songhomitra&quot;,&quot;parse-names&quot;:false,&quot;dropping-particle&quot;:&quot;&quot;,&quot;non-dropping-particle&quot;:&quot;&quot;},{&quot;family&quot;:&quot;Park&quot;,&quot;given&quot;:&quot;Eun Kee&quot;,&quot;parse-names&quot;:false,&quot;dropping-particle&quot;:&quot;&quot;,&quot;non-dropping-particle&quot;:&quot;&quot;},{&quot;family&quot;:&quot;Pham&quot;,&quot;given&quot;:&quot;Hai Quang&quot;,&quot;parse-names&quot;:false,&quot;dropping-particle&quot;:&quot;&quot;,&quot;non-dropping-particle&quot;:&quot;&quot;},{&quot;family&quot;:&quot;Postma&quot;,&quot;given&quot;:&quot;Maarten J.&quot;,&quot;parse-names&quot;:false,&quot;dropping-particle&quot;:&quot;&quot;,&quot;non-dropping-particle&quot;:&quot;&quot;},{&quot;family&quot;:&quot;Pourjafar&quot;,&quot;given&quot;:&quot;Hadi&quot;,&quot;parse-names&quot;:false,&quot;dropping-particle&quot;:&quot;&quot;,&quot;non-dropping-particle&quot;:&quot;&quot;},{&quot;family&quot;:&quot;Poustchi&quot;,&quot;given&quot;:&quot;Hossein&quot;,&quot;parse-names&quot;:false,&quot;dropping-particle&quot;:&quot;&quot;,&quot;non-dropping-particle&quot;:&quot;&quot;},{&quot;family&quot;:&quot;Radfar&quot;,&quot;given&quot;:&quot;Amir&quot;,&quot;parse-names&quot;:false,&quot;dropping-particle&quot;:&quot;&quot;,&quot;non-dropping-particle&quot;:&quot;&quot;},{&quot;family&quot;:&quot;Rafiei&quot;,&quot;given&quot;:&quot;Alireza&quot;,&quot;parse-names&quot;:false,&quot;dropping-particle&quot;:&quot;&quot;,&quot;non-dropping-particle&quot;:&quot;&quot;},{&quot;family&quot;:&quot;Rahim&quot;,&quot;given&quot;:&quot;Fakher&quot;,&quot;parse-names&quot;:false,&quot;dropping-particle&quot;:&quot;&quot;,&quot;non-dropping-particle&quot;:&quot;&quot;},{&quot;family&quot;:&quot;Rahman&quot;,&quot;given&quot;:&quot;Mohammad Hifz Ur&quot;,&quot;parse-names&quot;:false,&quot;dropping-particle&quot;:&quot;&quot;,&quot;non-dropping-particle&quot;:&quot;&quot;},{&quot;family&quot;:&quot;Rahman&quot;,&quot;given&quot;:&quot;Muhammad Aziz&quot;,&quot;parse-names&quot;:false,&quot;dropping-particle&quot;:&quot;&quot;,&quot;non-dropping-particle&quot;:&quot;&quot;},{&quot;family&quot;:&quot;Rawaf&quot;,&quot;given&quot;:&quot;Salman&quot;,&quot;parse-names&quot;:false,&quot;dropping-particle&quot;:&quot;&quot;,&quot;non-dropping-particle&quot;:&quot;&quot;},{&quot;family&quot;:&quot;Rawaf&quot;,&quot;given&quot;:&quot;David Laith&quot;,&quot;parse-names&quot;:false,&quot;dropping-particle&quot;:&quot;&quot;,&quot;non-dropping-particle&quot;:&quot;&quot;},{&quot;family&quot;:&quot;Rawal&quot;,&quot;given&quot;:&quot;Lal&quot;,&quot;parse-names&quot;:false,&quot;dropping-particle&quot;:&quot;&quot;,&quot;non-dropping-particle&quot;:&quot;&quot;},{&quot;family&quot;:&quot;Reiner&quot;,&quot;given&quot;:&quot;Robert C.&quot;,&quot;parse-names&quot;:false,&quot;dropping-particle&quot;:&quot;&quot;,&quot;non-dropping-particle&quot;:&quot;&quot;},{&quot;family&quot;:&quot;Reitsma&quot;,&quot;given&quot;:&quot;Marissa Bettay&quot;,&quot;parse-names&quot;:false,&quot;dropping-particle&quot;:&quot;&quot;,&quot;non-dropping-particle&quot;:&quot;&quot;},{&quot;family&quot;:&quot;Roever&quot;,&quot;given&quot;:&quot;Leonardo&quot;,&quot;parse-names&quot;:false,&quot;dropping-particle&quot;:&quot;&quot;,&quot;non-dropping-particle&quot;:&quot;&quot;},{&quot;family&quot;:&quot;Ronfani&quot;,&quot;given&quot;:&quot;Luca&quot;,&quot;parse-names&quot;:false,&quot;dropping-particle&quot;:&quot;&quot;,&quot;non-dropping-particle&quot;:&quot;&quot;},{&quot;family&quot;:&quot;Roro&quot;,&quot;given&quot;:&quot;Elias Merdassa&quot;,&quot;parse-names&quot;:false,&quot;dropping-particle&quot;:&quot;&quot;,&quot;non-dropping-particle&quot;:&quot;&quot;},{&quot;family&quot;:&quot;Roshandel&quot;,&quot;given&quot;:&quot;Gholamreza&quot;,&quot;parse-names&quot;:false,&quot;dropping-particle&quot;:&quot;&quot;,&quot;non-dropping-particle&quot;:&quot;&quot;},{&quot;family&quot;:&quot;Rudd&quot;,&quot;given&quot;:&quot;Kristina E.&quot;,&quot;parse-names&quot;:false,&quot;dropping-particle&quot;:&quot;&quot;,&quot;non-dropping-particle&quot;:&quot;&quot;},{&quot;family&quot;:&quot;Sabde&quot;,&quot;given&quot;:&quot;Yogesh Damodar&quot;,&quot;parse-names&quot;:false,&quot;dropping-particle&quot;:&quot;&quot;,&quot;non-dropping-particle&quot;:&quot;&quot;},{&quot;family&quot;:&quot;Sabour&quot;,&quot;given&quot;:&quot;Siamak&quot;,&quot;parse-names&quot;:false,&quot;dropping-particle&quot;:&quot;&quot;,&quot;non-dropping-particle&quot;:&quot;&quot;},{&quot;family&quot;:&quot;Saddik&quot;,&quot;given&quot;:&quot;Basema&quot;,&quot;parse-names&quot;:false,&quot;dropping-particle&quot;:&quot;&quot;,&quot;non-dropping-particle&quot;:&quot;&quot;},{&quot;family&quot;:&quot;Safari&quot;,&quot;given&quot;:&quot;Saeed&quot;,&quot;parse-names&quot;:false,&quot;dropping-particle&quot;:&quot;&quot;,&quot;non-dropping-particle&quot;:&quot;&quot;},{&quot;family&quot;:&quot;Saleem&quot;,&quot;given&quot;:&quot;Komal&quot;,&quot;parse-names&quot;:false,&quot;dropping-particle&quot;:&quot;&quot;,&quot;non-dropping-particle&quot;:&quot;&quot;},{&quot;family&quot;:&quot;Samy&quot;,&quot;given&quot;:&quot;Abdallah M.&quot;,&quot;parse-names&quot;:false,&quot;dropping-particle&quot;:&quot;&quot;,&quot;non-dropping-particle&quot;:&quot;&quot;},{&quot;family&quot;:&quot;Santric-Milicevic&quot;,&quot;given&quot;:&quot;Milena M.&quot;,&quot;parse-names&quot;:false,&quot;dropping-particle&quot;:&quot;&quot;,&quot;non-dropping-particle&quot;:&quot;&quot;},{&quot;family&quot;:&quot;Sao Jose&quot;,&quot;given&quot;:&quot;Bruno Piassi&quot;,&quot;parse-names&quot;:false,&quot;dropping-particle&quot;:&quot;&quot;,&quot;non-dropping-particle&quot;:&quot;&quot;},{&quot;family&quot;:&quot;Sartorius&quot;,&quot;given&quot;:&quot;Benn&quot;,&quot;parse-names&quot;:false,&quot;dropping-particle&quot;:&quot;&quot;,&quot;non-dropping-particle&quot;:&quot;&quot;},{&quot;family&quot;:&quot;Satpathy&quot;,&quot;given&quot;:&quot;Maheswar&quot;,&quot;parse-names&quot;:false,&quot;dropping-particle&quot;:&quot;&quot;,&quot;non-dropping-particle&quot;:&quot;&quot;},{&quot;family&quot;:&quot;Savic&quot;,&quot;given&quot;:&quot;Miloje&quot;,&quot;parse-names&quot;:false,&quot;dropping-particle&quot;:&quot;&quot;,&quot;non-dropping-particle&quot;:&quot;&quot;},{&quot;family&quot;:&quot;Sawhney&quot;,&quot;given&quot;:&quot;Monika&quot;,&quot;parse-names&quot;:false,&quot;dropping-particle&quot;:&quot;&quot;,&quot;non-dropping-particle&quot;:&quot;&quot;},{&quot;family&quot;:&quot;Sepanlou&quot;,&quot;given&quot;:&quot;Sadaf G.&quot;,&quot;parse-names&quot;:false,&quot;dropping-particle&quot;:&quot;&quot;,&quot;non-dropping-particle&quot;:&quot;&quot;},{&quot;family&quot;:&quot;Shaikh&quot;,&quot;given&quot;:&quot;Masood Ali&quot;,&quot;parse-names&quot;:false,&quot;dropping-particle&quot;:&quot;&quot;,&quot;non-dropping-particle&quot;:&quot;&quot;},{&quot;family&quot;:&quot;Sheikh&quot;,&quot;given&quot;:&quot;Aziz&quot;,&quot;parse-names&quot;:false,&quot;dropping-particle&quot;:&quot;&quot;,&quot;non-dropping-particle&quot;:&quot;&quot;},{&quot;family&quot;:&quot;Shigematsu&quot;,&quot;given&quot;:&quot;Mika&quot;,&quot;parse-names&quot;:false,&quot;dropping-particle&quot;:&quot;&quot;,&quot;non-dropping-particle&quot;:&quot;&quot;},{&quot;family&quot;:&quot;Shirkoohi&quot;,&quot;given&quot;:&quot;Reza&quot;,&quot;parse-names&quot;:false,&quot;dropping-particle&quot;:&quot;&quot;,&quot;non-dropping-particle&quot;:&quot;&quot;},{&quot;family&quot;:&quot;Si&quot;,&quot;given&quot;:&quot;Si&quot;,&quot;parse-names&quot;:false,&quot;dropping-particle&quot;:&quot;&quot;,&quot;non-dropping-particle&quot;:&quot;&quot;},{&quot;family&quot;:&quot;Siabani&quot;,&quot;given&quot;:&quot;Soraya&quot;,&quot;parse-names&quot;:false,&quot;dropping-particle&quot;:&quot;&quot;,&quot;non-dropping-particle&quot;:&quot;&quot;},{&quot;family&quot;:&quot;Singh&quot;,&quot;given&quot;:&quot;Virendra&quot;,&quot;parse-names&quot;:false,&quot;dropping-particle&quot;:&quot;&quot;,&quot;non-dropping-particle&quot;:&quot;&quot;},{&quot;family&quot;:&quot;Singh&quot;,&quot;given&quot;:&quot;Jasvinder A.&quot;,&quot;parse-names&quot;:false,&quot;dropping-particle&quot;:&quot;&quot;,&quot;non-dropping-particle&quot;:&quot;&quot;},{&quot;family&quot;:&quot;Soljak&quot;,&quot;given&quot;:&quot;Michael&quot;,&quot;parse-names&quot;:false,&quot;dropping-particle&quot;:&quot;&quot;,&quot;non-dropping-particle&quot;:&quot;&quot;},{&quot;family&quot;:&quot;Somayaji&quot;,&quot;given&quot;:&quot;Ranjani&quot;,&quot;parse-names&quot;:false,&quot;dropping-particle&quot;:&quot;&quot;,&quot;non-dropping-particle&quot;:&quot;&quot;},{&quot;family&quot;:&quot;Soofi&quot;,&quot;given&quot;:&quot;Moslem&quot;,&quot;parse-names&quot;:false,&quot;dropping-particle&quot;:&quot;&quot;,&quot;non-dropping-particle&quot;:&quot;&quot;},{&quot;family&quot;:&quot;Soyiri&quot;,&quot;given&quot;:&quot;Ireneous N.&quot;,&quot;parse-names&quot;:false,&quot;dropping-particle&quot;:&quot;&quot;,&quot;non-dropping-particle&quot;:&quot;&quot;},{&quot;family&quot;:&quot;Tefera&quot;,&quot;given&quot;:&quot;Yonatal Mesfin&quot;,&quot;parse-names&quot;:false,&quot;dropping-particle&quot;:&quot;&quot;,&quot;non-dropping-particle&quot;:&quot;&quot;},{&quot;family&quot;:&quot;Temsah&quot;,&quot;given&quot;:&quot;Mohamad Hani&quot;,&quot;parse-names&quot;:false,&quot;dropping-particle&quot;:&quot;&quot;,&quot;non-dropping-particle&quot;:&quot;&quot;},{&quot;family&quot;:&quot;Tesfay&quot;,&quot;given&quot;:&quot;Berhe Etsay&quot;,&quot;parse-names&quot;:false,&quot;dropping-particle&quot;:&quot;&quot;,&quot;non-dropping-particle&quot;:&quot;&quot;},{&quot;family&quot;:&quot;Thakur&quot;,&quot;given&quot;:&quot;Jarnail Singh&quot;,&quot;parse-names&quot;:false,&quot;dropping-particle&quot;:&quot;&quot;,&quot;non-dropping-particle&quot;:&quot;&quot;},{&quot;family&quot;:&quot;Toma&quot;,&quot;given&quot;:&quot;Alemayehu Toma&quot;,&quot;parse-names&quot;:false,&quot;dropping-particle&quot;:&quot;&quot;,&quot;non-dropping-particle&quot;:&quot;&quot;},{&quot;family&quot;:&quot;Tortajada-Girbés&quot;,&quot;given&quot;:&quot;Miguel&quot;,&quot;parse-names&quot;:false,&quot;dropping-particle&quot;:&quot;&quot;,&quot;non-dropping-particle&quot;:&quot;&quot;},{&quot;family&quot;:&quot;Tran&quot;,&quot;given&quot;:&quot;Khanh Bao&quot;,&quot;parse-names&quot;:false,&quot;dropping-particle&quot;:&quot;&quot;,&quot;non-dropping-particle&quot;:&quot;&quot;},{&quot;family&quot;:&quot;Tran&quot;,&quot;given&quot;:&quot;Bach Xuan&quot;,&quot;parse-names&quot;:false,&quot;dropping-particle&quot;:&quot;&quot;,&quot;non-dropping-particle&quot;:&quot;&quot;},{&quot;family&quot;:&quot;Tudor Car&quot;,&quot;given&quot;:&quot;Lorainne&quot;,&quot;parse-names&quot;:false,&quot;dropping-particle&quot;:&quot;&quot;,&quot;non-dropping-particle&quot;:&quot;&quot;},{&quot;family&quot;:&quot;Ullah&quot;,&quot;given&quot;:&quot;Irfan&quot;,&quot;parse-names&quot;:false,&quot;dropping-particle&quot;:&quot;&quot;,&quot;non-dropping-particle&quot;:&quot;&quot;},{&quot;family&quot;:&quot;Vacante&quot;,&quot;given&quot;:&quot;Marco&quot;,&quot;parse-names&quot;:false,&quot;dropping-particle&quot;:&quot;&quot;,&quot;non-dropping-particle&quot;:&quot;&quot;},{&quot;family&quot;:&quot;Valdez&quot;,&quot;given&quot;:&quot;Pascual R.&quot;,&quot;parse-names&quot;:false,&quot;dropping-particle&quot;:&quot;&quot;,&quot;non-dropping-particle&quot;:&quot;&quot;},{&quot;family&quot;:&quot;Boven&quot;,&quot;given&quot;:&quot;Job F.M.&quot;,&quot;parse-names&quot;:false,&quot;dropping-particle&quot;:&quot;&quot;,&quot;non-dropping-particle&quot;:&quot;van&quot;},{&quot;family&quot;:&quot;Vasankari&quot;,&quot;given&quot;:&quot;Tommi Juhani&quot;,&quot;parse-names&quot;:false,&quot;dropping-particle&quot;:&quot;&quot;,&quot;non-dropping-particle&quot;:&quot;&quot;},{&quot;family&quot;:&quot;Veisani&quot;,&quot;given&quot;:&quot;Yousef&quot;,&quot;parse-names&quot;:false,&quot;dropping-particle&quot;:&quot;&quot;,&quot;non-dropping-particle&quot;:&quot;&quot;},{&quot;family&quot;:&quot;Violante&quot;,&quot;given&quot;:&quot;Francesco S.&quot;,&quot;parse-names&quot;:false,&quot;dropping-particle&quot;:&quot;&quot;,&quot;non-dropping-particle&quot;:&quot;&quot;},{&quot;family&quot;:&quot;Wagner&quot;,&quot;given&quot;:&quot;Gregory R.&quot;,&quot;parse-names&quot;:false,&quot;dropping-particle&quot;:&quot;&quot;,&quot;non-dropping-particle&quot;:&quot;&quot;},{&quot;family&quot;:&quot;Westerman&quot;,&quot;given&quot;:&quot;Ronny&quot;,&quot;parse-names&quot;:false,&quot;dropping-particle&quot;:&quot;&quot;,&quot;non-dropping-particle&quot;:&quot;&quot;},{&quot;family&quot;:&quot;Wolfe&quot;,&quot;given&quot;:&quot;Charles D.A.&quot;,&quot;parse-names&quot;:false,&quot;dropping-particle&quot;:&quot;&quot;,&quot;non-dropping-particle&quot;:&quot;&quot;},{&quot;family&quot;:&quot;Wondafrash&quot;,&quot;given&quot;:&quot;Dawit Zewdu&quot;,&quot;parse-names&quot;:false,&quot;dropping-particle&quot;:&quot;&quot;,&quot;non-dropping-particle&quot;:&quot;&quot;},{&quot;family&quot;:&quot;Wondmieneh&quot;,&quot;given&quot;:&quot;Adam Belay&quot;,&quot;parse-names&quot;:false,&quot;dropping-particle&quot;:&quot;&quot;,&quot;non-dropping-particle&quot;:&quot;&quot;},{&quot;family&quot;:&quot;Yonemoto&quot;,&quot;given&quot;:&quot;Naohiro&quot;,&quot;parse-names&quot;:false,&quot;dropping-particle&quot;:&quot;&quot;,&quot;non-dropping-particle&quot;:&quot;&quot;},{&quot;family&quot;:&quot;Yoon&quot;,&quot;given&quot;:&quot;Seok Jun&quot;,&quot;parse-names&quot;:false,&quot;dropping-particle&quot;:&quot;&quot;,&quot;non-dropping-particle&quot;:&quot;&quot;},{&quot;family&quot;:&quot;Zaidi&quot;,&quot;given&quot;:&quot;Zoubida&quot;,&quot;parse-names&quot;:false,&quot;dropping-particle&quot;:&quot;&quot;,&quot;non-dropping-particle&quot;:&quot;&quot;},{&quot;family&quot;:&quot;Zamani&quot;,&quot;given&quot;:&quot;Mohammad&quot;,&quot;parse-names&quot;:false,&quot;dropping-particle&quot;:&quot;&quot;,&quot;non-dropping-particle&quot;:&quot;&quot;},{&quot;family&quot;:&quot;Zar&quot;,&quot;given&quot;:&quot;Heather J.&quot;,&quot;parse-names&quot;:false,&quot;dropping-particle&quot;:&quot;&quot;,&quot;non-dropping-particle&quot;:&quot;&quot;},{&quot;family&quot;:&quot;Zhang&quot;,&quot;given&quot;:&quot;Yunquan&quot;,&quot;parse-names&quot;:false,&quot;dropping-particle&quot;:&quot;&quot;,&quot;non-dropping-particle&quot;:&quot;&quot;},{&quot;family&quot;:&quot;Vos&quot;,&quot;given&quot;:&quot;Theo&quot;,&quot;parse-names&quot;:false,&quot;dropping-particle&quot;:&quot;&quot;,&quot;non-dropping-particle&quot;:&quot;&quot;}],&quot;container-title&quot;:&quot;The Lancet. Respiratory Medicine&quot;,&quot;container-title-short&quot;:&quot;Lancet Respir Med&quot;,&quot;accessed&quot;:{&quot;date-parts&quot;:[[2024,6,30]]},&quot;DOI&quot;:&quot;10.1016/S2213-2600(20)30105-3&quot;,&quot;ISSN&quot;:&quot;22132619&quot;,&quot;PMID&quot;:&quot;32526187&quot;,&quot;URL&quot;:&quot;/pmc/articles/PMC7284317/&quot;,&quot;issued&quot;:{&quot;date-parts&quot;:[[2020,6,1]]},&quot;page&quot;:&quot;585&quot;,&quot;abstract&quot;:&quot;Background: Previous attempts to characterise the burden of chronic respiratory diseases have focused only on specific disease conditions, such as chronic obstructive pulmonary disease (COPD) or asthma. In this study, we aimed to characterise the burden of chronic respiratory diseases globally, providing a comprehensive and up-to-date analysis on geographical and time trends from 1990 to 2017. Methods: Using data from the Global Burden of Diseases, Injuries, and Risk Factors Study (GBD) 2017, we estimated the prevalence, morbidity, and mortality attributable to chronic respiratory diseases through an analysis of deaths, disability-adjusted life-years (DALYs), and years of life lost (YLL) by GBD super-region, from 1990 to 2017, stratified by age and sex. Specific diseases analysed included asthma, COPD, interstitial lung disease and pulmonary sarcoidosis, pneumoconiosis, and other chronic respiratory diseases. We also assessed the contribution of risk factors (smoking, second-hand smoke, ambient particulate matter and ozone pollution, household air pollution from solid fuels, and occupational risks) to chronic respiratory disease-attributable DALYs. Findings: In 2017, 544·9 million people (95% uncertainty interval [UI] 506·9–584·8) worldwide had a chronic respiratory disease, representing an increase of 39·8% compared with 1990. Chronic respiratory disease prevalence showed wide variability across GBD super-regions, with the highest prevalence among both males and females in high-income regions, and the lowest prevalence in sub-Saharan Africa and south Asia. The age-sex-specific prevalence of each chronic respiratory disease in 2017 was also highly variable geographically. Chronic respiratory diseases were the third leading cause of death in 2017 (7·0% [95% UI 6·8–7·2] of all deaths), behind cardiovascular diseases and neoplasms. Deaths due to chronic respiratory diseases numbered 3 914 196 (95% UI 3 790 578–4 044 819) in 2017, an increase of 18·0% since 1990, while total DALYs increased by 13·3%. However, when accounting for ageing and population growth, declines were observed in age-standardised prevalence (14·3% decrease), age-standardised death rates (42·6%), and age-standardised DALY rates (38·2%). In males and females, most chronic respiratory disease-attributable deaths and DALYs were due to COPD. In regional analyses, mortality rates from chronic respiratory diseases were greatest in south Asia and lowest in sub-Saharan Africa, also across both sexes. Notably, although absolute prevalence was lower in south Asia than in most other super-regions, YLLs due to chronic respiratory diseases across the subcontinent were the highest in the world. Death rates due to interstitial lung disease and pulmonary sarcoidosis were greater than those due to pneumoconiosis in all super-regions. Smoking was the leading risk factor for chronic respiratory disease-related disability across all regions for men. Among women, household air pollution from solid fuels was the predominant risk factor for chronic respiratory diseases in south Asia and sub-Saharan Africa, while ambient particulate matter represented the leading risk factor in southeast Asia, east Asia, and Oceania, and in the Middle East and north Africa super-region. Interpretation: Our study shows that chronic respiratory diseases remain a leading cause of death and disability worldwide, with growth in absolute numbers but sharp declines in several age-standardised estimators since 1990. Premature mortality from chronic respiratory diseases seems to be highest in regions with less-resourced health systems on a per-capita basis. Funding: Bill &amp; Melinda Gates Foundation.&quot;,&quot;publisher&quot;:&quot;Elsevier&quot;,&quot;issue&quot;:&quot;6&quot;,&quot;volume&quot;:&quot;8&quot;},&quot;isTemporary&quot;:false}]},{&quot;citationID&quot;:&quot;MENDELEY_CITATION_d4fb47a1-1615-4273-9a95-60458c8d78a0&quot;,&quot;properties&quot;:{&quot;noteIndex&quot;:0},&quot;isEdited&quot;:false,&quot;manualOverride&quot;:{&quot;isManuallyOverridden&quot;:false,&quot;citeprocText&quot;:&quot;[61]&quot;,&quot;manualOverrideText&quot;:&quot;&quot;},&quot;citationTag&quot;:&quot;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&quot;,&quot;citationItems&quot;:[{&quot;id&quot;:&quot;89091200-5b27-3645-8cdc-60b7ab576c70&quot;,&quot;itemData&quot;:{&quot;type&quot;:&quot;article-journal&quot;,&quot;id&quot;:&quot;89091200-5b27-3645-8cdc-60b7ab576c70&quot;,&quot;title&quot;:&quot;Prevalence and attributable health burden of chronic respiratory diseases, 1990–2017: a systematic analysis for the Global Burden of Disease Study 2017&quot;,&quot;author&quot;:[{&quot;family&quot;:&quot;Soriano&quot;,&quot;given&quot;:&quot;Joan B.&quot;,&quot;parse-names&quot;:false,&quot;dropping-particle&quot;:&quot;&quot;,&quot;non-dropping-particle&quot;:&quot;&quot;},{&quot;family&quot;:&quot;Kendrick&quot;,&quot;given&quot;:&quot;Parkes J.&quot;,&quot;parse-names&quot;:false,&quot;dropping-particle&quot;:&quot;&quot;,&quot;non-dropping-particle&quot;:&quot;&quot;},{&quot;family&quot;:&quot;Paulson&quot;,&quot;given&quot;:&quot;Katherine R.&quot;,&quot;parse-names&quot;:false,&quot;dropping-particle&quot;:&quot;&quot;,&quot;non-dropping-particle&quot;:&quot;&quot;},{&quot;family&quot;:&quot;Gupta&quot;,&quot;given&quot;:&quot;Vinay&quot;,&quot;parse-names&quot;:false,&quot;dropping-particle&quot;:&quot;&quot;,&quot;non-dropping-particle&quot;:&quot;&quot;},{&quot;family&quot;:&quot;Abrams&quot;,&quot;given&quot;:&quot;Elissa M.&quot;,&quot;parse-names&quot;:false,&quot;dropping-particle&quot;:&quot;&quot;,&quot;non-dropping-particle&quot;:&quot;&quot;},{&quot;family&quot;:&quot;Adedoyin&quot;,&quot;given&quot;:&quot;Rufus Adesoji&quot;,&quot;parse-names&quot;:false,&quot;dropping-particle&quot;:&quot;&quot;,&quot;non-dropping-particle&quot;:&quot;&quot;},{&quot;family&quot;:&quot;Adhikari&quot;,&quot;given&quot;:&quot;Tara Ballav&quot;,&quot;parse-names&quot;:false,&quot;dropping-particle&quot;:&quot;&quot;,&quot;non-dropping-particle&quot;:&quot;&quot;},{&quot;family&quot;:&quot;Advani&quot;,&quot;given&quot;:&quot;Shailesh M.&quot;,&quot;parse-names&quot;:false,&quot;dropping-particle&quot;:&quot;&quot;,&quot;non-dropping-particle&quot;:&quot;&quot;},{&quot;family&quot;:&quot;Agrawal&quot;,&quot;given&quot;:&quot;Anurag&quot;,&quot;parse-names&quot;:false,&quot;dropping-particle&quot;:&quot;&quot;,&quot;non-dropping-particle&quot;:&quot;&quot;},{&quot;family&quot;:&quot;Ahmadian&quot;,&quot;given&quot;:&quot;Elham&quot;,&quot;parse-names&quot;:false,&quot;dropping-particle&quot;:&quot;&quot;,&quot;non-dropping-particle&quot;:&quot;&quot;},{&quot;family&quot;:&quot;Alahdab&quot;,&quot;given&quot;:&quot;Fares&quot;,&quot;parse-names&quot;:false,&quot;dropping-particle&quot;:&quot;&quot;,&quot;non-dropping-particle&quot;:&quot;&quot;},{&quot;family&quot;:&quot;Aljunid&quot;,&quot;given&quot;:&quot;Syed Mohamed&quot;,&quot;parse-names&quot;:false,&quot;dropping-particle&quot;:&quot;&quot;,&quot;non-dropping-particle&quot;:&quot;&quot;},{&quot;family&quot;:&quot;Altirkawi&quot;,&quot;given&quot;:&quot;Khalid A.&quot;,&quot;parse-names&quot;:false,&quot;dropping-particle&quot;:&quot;&quot;,&quot;non-dropping-particle&quot;:&quot;&quot;},{&quot;family&quot;:&quot;Alvis-Guzman&quot;,&quot;given&quot;:&quot;Nelson&quot;,&quot;parse-names&quot;:false,&quot;dropping-particle&quot;:&quot;&quot;,&quot;non-dropping-particle&quot;:&quot;&quot;},{&quot;family&quot;:&quot;Anber&quot;,&quot;given&quot;:&quot;Nahla Hamed&quot;,&quot;parse-names&quot;:false,&quot;dropping-particle&quot;:&quot;&quot;,&quot;non-dropping-particle&quot;:&quot;&quot;},{&quot;family&quot;:&quot;Andrei&quot;,&quot;given&quot;:&quot;Catalina Liliana&quot;,&quot;parse-names&quot;:false,&quot;dropping-particle&quot;:&quot;&quot;,&quot;non-dropping-particle&quot;:&quot;&quot;},{&quot;family&quot;:&quot;Anjomshoa&quot;,&quot;given&quot;:&quot;Mina&quot;,&quot;parse-names&quot;:false,&quot;dropping-particle&quot;:&quot;&quot;,&quot;non-dropping-particle&quot;:&quot;&quot;},{&quot;family&quot;:&quot;Ansari&quot;,&quot;given&quot;:&quot;Fereshteh&quot;,&quot;parse-names&quot;:false,&quot;dropping-particle&quot;:&quot;&quot;,&quot;non-dropping-particle&quot;:&quot;&quot;},{&quot;family&quot;:&quot;Antó&quot;,&quot;given&quot;:&quot;Josep M.&quot;,&quot;parse-names&quot;:false,&quot;dropping-particle&quot;:&quot;&quot;,&quot;non-dropping-particle&quot;:&quot;&quot;},{&quot;family&quot;:&quot;Arabloo&quot;,&quot;given&quot;:&quot;Jalal&quot;,&quot;parse-names&quot;:false,&quot;dropping-particle&quot;:&quot;&quot;,&quot;non-dropping-particle&quot;:&quot;&quot;},{&quot;family&quot;:&quot;Athari&quot;,&quot;given&quot;:&quot;Seyyede Masoume&quot;,&quot;parse-names&quot;:false,&quot;dropping-particle&quot;:&quot;&quot;,&quot;non-dropping-particle&quot;:&quot;&quot;},{&quot;family&quot;:&quot;Athari&quot;,&quot;given&quot;:&quot;Seyyed Shamsadin&quot;,&quot;parse-names&quot;:false,&quot;dropping-particle&quot;:&quot;&quot;,&quot;non-dropping-particle&quot;:&quot;&quot;},{&quot;family&quot;:&quot;Awoke&quot;,&quot;given&quot;:&quot;Nefsu&quot;,&quot;parse-names&quot;:false,&quot;dropping-particle&quot;:&quot;&quot;,&quot;non-dropping-particle&quot;:&quot;&quot;},{&quot;family&quot;:&quot;Badawi&quot;,&quot;given&quot;:&quot;Alaa&quot;,&quot;parse-names&quot;:false,&quot;dropping-particle&quot;:&quot;&quot;,&quot;non-dropping-particle&quot;:&quot;&quot;},{&quot;family&quot;:&quot;Banoub&quot;,&quot;given&quot;:&quot;Joseph Adel Mattar&quot;,&quot;parse-names&quot;:false,&quot;dropping-particle&quot;:&quot;&quot;,&quot;non-dropping-particle&quot;:&quot;&quot;},{&quot;family&quot;:&quot;Bennett&quot;,&quot;given&quot;:&quot;Derrick A.&quot;,&quot;parse-names&quot;:false,&quot;dropping-particle&quot;:&quot;&quot;,&quot;non-dropping-particle&quot;:&quot;&quot;},{&quot;family&quot;:&quot;Bensenor&quot;,&quot;given&quot;:&quot;Isabela M.&quot;,&quot;parse-names&quot;:false,&quot;dropping-particle&quot;:&quot;&quot;,&quot;non-dropping-particle&quot;:&quot;&quot;},{&quot;family&quot;:&quot;Berfield&quot;,&quot;given&quot;:&quot;Kathleen S.Sachiko&quot;,&quot;parse-names&quot;:false,&quot;dropping-particle&quot;:&quot;&quot;,&quot;non-dropping-particle&quot;:&quot;&quot;},{&quot;family&quot;:&quot;Bernstein&quot;,&quot;given&quot;:&quot;Robert S.&quot;,&quot;parse-names&quot;:false,&quot;dropping-particle&quot;:&quot;&quot;,&quot;non-dropping-particle&quot;:&quot;&quot;},{&quot;family&quot;:&quot;Bhattacharyya&quot;,&quot;given&quot;:&quot;Krittika&quot;,&quot;parse-names&quot;:false,&quot;dropping-particle&quot;:&quot;&quot;,&quot;non-dropping-particle&quot;:&quot;&quot;},{&quot;family&quot;:&quot;Bijani&quot;,&quot;given&quot;:&quot;Ali&quot;,&quot;parse-names&quot;:false,&quot;dropping-particle&quot;:&quot;&quot;,&quot;non-dropping-particle&quot;:&quot;&quot;},{&quot;family&quot;:&quot;Brauer&quot;,&quot;given&quot;:&quot;Michael&quot;,&quot;parse-names&quot;:false,&quot;dropping-particle&quot;:&quot;&quot;,&quot;non-dropping-particle&quot;:&quot;&quot;},{&quot;family&quot;:&quot;Bukhman&quot;,&quot;given&quot;:&quot;Gene&quot;,&quot;parse-names&quot;:false,&quot;dropping-particle&quot;:&quot;&quot;,&quot;non-dropping-particle&quot;:&quot;&quot;},{&quot;family&quot;:&quot;Butt&quot;,&quot;given&quot;:&quot;Zahid A.&quot;,&quot;parse-names&quot;:false,&quot;dropping-particle&quot;:&quot;&quot;,&quot;non-dropping-particle&quot;:&quot;&quot;},{&quot;family&quot;:&quot;Cámera&quot;,&quot;given&quot;:&quot;Luis Alberto&quot;,&quot;parse-names&quot;:false,&quot;dropping-particle&quot;:&quot;&quot;,&quot;non-dropping-particle&quot;:&quot;&quot;},{&quot;family&quot;:&quot;Car&quot;,&quot;given&quot;:&quot;Josip&quot;,&quot;parse-names&quot;:false,&quot;dropping-particle&quot;:&quot;&quot;,&quot;non-dropping-particle&quot;:&quot;&quot;},{&quot;family&quot;:&quot;Carrero&quot;,&quot;given&quot;:&quot;Juan J.&quot;,&quot;parse-names&quot;:false,&quot;dropping-particle&quot;:&quot;&quot;,&quot;non-dropping-particle&quot;:&quot;&quot;},{&quot;family&quot;:&quot;Carvalho&quot;,&quot;given&quot;:&quot;Felix&quot;,&quot;parse-names&quot;:false,&quot;dropping-particle&quot;:&quot;&quot;,&quot;non-dropping-particle&quot;:&quot;&quot;},{&quot;family&quot;:&quot;Castañeda-Orjuela&quot;,&quot;given&quot;:&quot;Carlos A.&quot;,&quot;parse-names&quot;:false,&quot;dropping-particle&quot;:&quot;&quot;,&quot;non-dropping-particle&quot;:&quot;&quot;},{&quot;family&quot;:&quot;Choi&quot;,&quot;given&quot;:&quot;Jee Young Jasmine&quot;,&quot;parse-names&quot;:false,&quot;dropping-particle&quot;:&quot;&quot;,&quot;non-dropping-particle&quot;:&quot;&quot;},{&quot;family&quot;:&quot;Christopher&quot;,&quot;given&quot;:&quot;Devasahayam J.&quot;,&quot;parse-names&quot;:false,&quot;dropping-particle&quot;:&quot;&quot;,&quot;non-dropping-particle&quot;:&quot;&quot;},{&quot;family&quot;:&quot;Cohen&quot;,&quot;given&quot;:&quot;Aaron J.&quot;,&quot;parse-names&quot;:false,&quot;dropping-particle&quot;:&quot;&quot;,&quot;non-dropping-particle&quot;:&quot;&quot;},{&quot;family&quot;:&quot;Dandona&quot;,&quot;given&quot;:&quot;Lalit&quot;,&quot;parse-names&quot;:false,&quot;dropping-particle&quot;:&quot;&quot;,&quot;non-dropping-particle&quot;:&quot;&quot;},{&quot;family&quot;:&quot;Dandona&quot;,&quot;given&quot;:&quot;Rakhi&quot;,&quot;parse-names&quot;:false,&quot;dropping-particle&quot;:&quot;&quot;,&quot;non-dropping-particle&quot;:&quot;&quot;},{&quot;family&quot;:&quot;Dang&quot;,&quot;given&quot;:&quot;Anh Kim&quot;,&quot;parse-names&quot;:false,&quot;dropping-particle&quot;:&quot;&quot;,&quot;non-dropping-particle&quot;:&quot;&quot;},{&quot;family&quot;:&quot;Daryani&quot;,&quot;given&quot;:&quot;Ahmad&quot;,&quot;parse-names&quot;:false,&quot;dropping-particle&quot;:&quot;&quot;,&quot;non-dropping-particle&quot;:&quot;&quot;},{&quot;family&quot;:&quot;Courten&quot;,&quot;given&quot;:&quot;Barbora&quot;,&quot;parse-names&quot;:false,&quot;dropping-particle&quot;:&quot;&quot;,&quot;non-dropping-particle&quot;:&quot;de&quot;},{&quot;family&quot;:&quot;Demeke&quot;,&quot;given&quot;:&quot;Feleke Mekonnen&quot;,&quot;parse-names&quot;:false,&quot;dropping-particle&quot;:&quot;&quot;,&quot;non-dropping-particle&quot;:&quot;&quot;},{&quot;family&quot;:&quot;Demoz&quot;,&quot;given&quot;:&quot;Gebre Teklemariam&quot;,&quot;parse-names&quot;:false,&quot;dropping-particle&quot;:&quot;&quot;,&quot;non-dropping-particle&quot;:&quot;&quot;},{&quot;family&quot;:&quot;Neve&quot;,&quot;given&quot;:&quot;Jan Walter&quot;,&quot;parse-names&quot;:false,&quot;dropping-particle&quot;:&quot;&quot;,&quot;non-dropping-particle&quot;:&quot;De&quot;},{&quot;family&quot;:&quot;Desai&quot;,&quot;given&quot;:&quot;Rupak&quot;,&quot;parse-names&quot;:false,&quot;dropping-particle&quot;:&quot;&quot;,&quot;non-dropping-particle&quot;:&quot;&quot;},{&quot;family&quot;:&quot;Dharmaratne&quot;,&quot;given&quot;:&quot;Samath Dhamminda&quot;,&quot;parse-names&quot;:false,&quot;dropping-particle&quot;:&quot;&quot;,&quot;non-dropping-particle&quot;:&quot;&quot;},{&quot;family&quot;:&quot;Diaz&quot;,&quot;given&quot;:&quot;Daniel&quot;,&quot;parse-names&quot;:false,&quot;dropping-particle&quot;:&quot;&quot;,&quot;non-dropping-particle&quot;:&quot;&quot;},{&quot;family&quot;:&quot;Douiri&quot;,&quot;given&quot;:&quot;Abdel&quot;,&quot;parse-names&quot;:false,&quot;dropping-particle&quot;:&quot;&quot;,&quot;non-dropping-particle&quot;:&quot;&quot;},{&quot;family&quot;:&quot;Driscoll&quot;,&quot;given&quot;:&quot;Tim Robert&quot;,&quot;parse-names&quot;:false,&quot;dropping-particle&quot;:&quot;&quot;,&quot;non-dropping-particle&quot;:&quot;&quot;},{&quot;family&quot;:&quot;Duken&quot;,&quot;given&quot;:&quot;Eyasu Ejeta&quot;,&quot;parse-names&quot;:false,&quot;dropping-particle&quot;:&quot;&quot;,&quot;non-dropping-particle&quot;:&quot;&quot;},{&quot;family&quot;:&quot;Eftekhari&quot;,&quot;given&quot;:&quot;Aziz&quot;,&quot;parse-names&quot;:false,&quot;dropping-particle&quot;:&quot;&quot;,&quot;non-dropping-particle&quot;:&quot;&quot;},{&quot;family&quot;:&quot;Elkout&quot;,&quot;given&quot;:&quot;Hajer&quot;,&quot;parse-names&quot;:false,&quot;dropping-particle&quot;:&quot;&quot;,&quot;non-dropping-particle&quot;:&quot;&quot;},{&quot;family&quot;:&quot;Endries&quot;,&quot;given&quot;:&quot;Aman Yesuf&quot;,&quot;parse-names&quot;:false,&quot;dropping-particle&quot;:&quot;&quot;,&quot;non-dropping-particle&quot;:&quot;&quot;},{&quot;family&quot;:&quot;Fadhil&quot;,&quot;given&quot;:&quot;Ibtihal&quot;,&quot;parse-names&quot;:false,&quot;dropping-particle&quot;:&quot;&quot;,&quot;non-dropping-particle&quot;:&quot;&quot;},{&quot;family&quot;:&quot;Faro&quot;,&quot;given&quot;:&quot;Andre&quot;,&quot;parse-names&quot;:false,&quot;dropping-particle&quot;:&quot;&quot;,&quot;non-dropping-particle&quot;:&quot;&quot;},{&quot;family&quot;:&quot;Farzadfar&quot;,&quot;given&quot;:&quot;Farshad&quot;,&quot;parse-names&quot;:false,&quot;dropping-particle&quot;:&quot;&quot;,&quot;non-dropping-particle&quot;:&quot;&quot;},{&quot;family&quot;:&quot;Fernandes&quot;,&quot;given&quot;:&quot;Eduarda&quot;,&quot;parse-names&quot;:false,&quot;dropping-particle&quot;:&quot;&quot;,&quot;non-dropping-particle&quot;:&quot;&quot;},{&quot;family&quot;:&quot;Filip&quot;,&quot;given&quot;:&quot;Irina&quot;,&quot;parse-names&quot;:false,&quot;dropping-particle&quot;:&quot;&quot;,&quot;non-dropping-particle&quot;:&quot;&quot;},{&quot;family&quot;:&quot;Fischer&quot;,&quot;given&quot;:&quot;Florian&quot;,&quot;parse-names&quot;:false,&quot;dropping-particle&quot;:&quot;&quot;,&quot;non-dropping-particle&quot;:&quot;&quot;},{&quot;family&quot;:&quot;Foroutan&quot;,&quot;given&quot;:&quot;Masoud&quot;,&quot;parse-names&quot;:false,&quot;dropping-particle&quot;:&quot;&quot;,&quot;non-dropping-particle&quot;:&quot;&quot;},{&quot;family&quot;:&quot;Garcia-Gordillo&quot;,&quot;given&quot;:&quot;M. A.&quot;,&quot;parse-names&quot;:false,&quot;dropping-particle&quot;:&quot;&quot;,&quot;non-dropping-particle&quot;:&quot;&quot;},{&quot;family&quot;:&quot;Gebre&quot;,&quot;given&quot;:&quot;Abadi Kahsu&quot;,&quot;parse-names&quot;:false,&quot;dropping-particle&quot;:&quot;&quot;,&quot;non-dropping-particle&quot;:&quot;&quot;},{&quot;family&quot;:&quot;Gebremedhin&quot;,&quot;given&quot;:&quot;Ketema Bizuwork&quot;,&quot;parse-names&quot;:false,&quot;dropping-particle&quot;:&quot;&quot;,&quot;non-dropping-particle&quot;:&quot;&quot;},{&quot;family&quot;:&quot;Gebremeskel&quot;,&quot;given&quot;:&quot;Gebreamlak Gebremedhn&quot;,&quot;parse-names&quot;:false,&quot;dropping-particle&quot;:&quot;&quot;,&quot;non-dropping-particle&quot;:&quot;&quot;},{&quot;family&quot;:&quot;Gezae&quot;,&quot;given&quot;:&quot;Kebede Embaye&quot;,&quot;parse-names&quot;:false,&quot;dropping-particle&quot;:&quot;&quot;,&quot;non-dropping-particle&quot;:&quot;&quot;},{&quot;family&quot;:&quot;Ghoshal&quot;,&quot;given&quot;:&quot;Aloke Gopal&quot;,&quot;parse-names&quot;:false,&quot;dropping-particle&quot;:&quot;&quot;,&quot;non-dropping-particle&quot;:&quot;&quot;},{&quot;family&quot;:&quot;Gill&quot;,&quot;given&quot;:&quot;Paramjit Singh&quot;,&quot;parse-names&quot;:false,&quot;dropping-particle&quot;:&quot;&quot;,&quot;non-dropping-particle&quot;:&quot;&quot;},{&quot;family&quot;:&quot;Gillum&quot;,&quot;given&quot;:&quot;Richard F.&quot;,&quot;parse-names&quot;:false,&quot;dropping-particle&quot;:&quot;&quot;,&quot;non-dropping-particle&quot;:&quot;&quot;},{&quot;family&quot;:&quot;Goudarzi&quot;,&quot;given&quot;:&quot;Houman&quot;,&quot;parse-names&quot;:false,&quot;dropping-particle&quot;:&quot;&quot;,&quot;non-dropping-particle&quot;:&quot;&quot;},{&quot;family&quot;:&quot;Guo&quot;,&quot;given&quot;:&quot;Yuming&quot;,&quot;parse-names&quot;:false,&quot;dropping-particle&quot;:&quot;&quot;,&quot;non-dropping-particle&quot;:&quot;&quot;},{&quot;family&quot;:&quot;Gupta&quot;,&quot;given&quot;:&quot;Rajeev&quot;,&quot;parse-names&quot;:false,&quot;dropping-particle&quot;:&quot;&quot;,&quot;non-dropping-particle&quot;:&quot;&quot;},{&quot;family&quot;:&quot;Hailu&quot;,&quot;given&quot;:&quot;Gessessew Bugssa&quot;,&quot;parse-names&quot;:false,&quot;dropping-particle&quot;:&quot;&quot;,&quot;non-dropping-particle&quot;:&quot;&quot;},{&quot;family&quot;:&quot;Hasanzadeh&quot;,&quot;given&quot;:&quot;Amir&quot;,&quot;parse-names&quot;:false,&quot;dropping-particle&quot;:&quot;&quot;,&quot;non-dropping-particle&quot;:&quot;&quot;},{&quot;family&quot;:&quot;Hassen&quot;,&quot;given&quot;:&quot;Hamid Yimam&quot;,&quot;parse-names&quot;:false,&quot;dropping-particle&quot;:&quot;&quot;,&quot;non-dropping-particle&quot;:&quot;&quot;},{&quot;family&quot;:&quot;Hay&quot;,&quot;given&quot;:&quot;Simon I.&quot;,&quot;parse-names&quot;:false,&quot;dropping-particle&quot;:&quot;&quot;,&quot;non-dropping-particle&quot;:&quot;&quot;},{&quot;family&quot;:&quot;Hoang&quot;,&quot;given&quot;:&quot;Chi Linh&quot;,&quot;parse-names&quot;:false,&quot;dropping-particle&quot;:&quot;&quot;,&quot;non-dropping-particle&quot;:&quot;&quot;},{&quot;family&quot;:&quot;Hole&quot;,&quot;given&quot;:&quot;Michael K.&quot;,&quot;parse-names&quot;:false,&quot;dropping-particle&quot;:&quot;&quot;,&quot;non-dropping-particle&quot;:&quot;&quot;},{&quot;family&quot;:&quot;Horita&quot;,&quot;given&quot;:&quot;Nobuyuki&quot;,&quot;parse-names&quot;:false,&quot;dropping-particle&quot;:&quot;&quot;,&quot;non-dropping-particle&quot;:&quot;&quot;},{&quot;family&quot;:&quot;Hosgood&quot;,&quot;given&quot;:&quot;H. Dean&quot;,&quot;parse-names&quot;:false,&quot;dropping-particle&quot;:&quot;&quot;,&quot;non-dropping-particle&quot;:&quot;&quot;},{&quot;family&quot;:&quot;Hostiuc&quot;,&quot;given&quot;:&quot;Mihaela&quot;,&quot;parse-names&quot;:false,&quot;dropping-particle&quot;:&quot;&quot;,&quot;non-dropping-particle&quot;:&quot;&quot;},{&quot;family&quot;:&quot;Househ&quot;,&quot;given&quot;:&quot;Mowafa&quot;,&quot;parse-names&quot;:false,&quot;dropping-particle&quot;:&quot;&quot;,&quot;non-dropping-particle&quot;:&quot;&quot;},{&quot;family&quot;:&quot;Ilesanmi&quot;,&quot;given&quot;:&quot;Olayinka Stephen&quot;,&quot;parse-names&quot;:false,&quot;dropping-particle&quot;:&quot;&quot;,&quot;non-dropping-particle&quot;:&quot;&quot;},{&quot;family&quot;:&quot;Ilic&quot;,&quot;given&quot;:&quot;Milena D.&quot;,&quot;parse-names&quot;:false,&quot;dropping-particle&quot;:&quot;&quot;,&quot;non-dropping-particle&quot;:&quot;&quot;},{&quot;family&quot;:&quot;Irvani&quot;,&quot;given&quot;:&quot;Seyed Sina Naghibi&quot;,&quot;parse-names&quot;:false,&quot;dropping-particle&quot;:&quot;&quot;,&quot;non-dropping-particle&quot;:&quot;&quot;},{&quot;family&quot;:&quot;Islam&quot;,&quot;given&quot;:&quot;Sheikh Mohammed Shariful&quot;,&quot;parse-names&quot;:false,&quot;dropping-particle&quot;:&quot;&quot;,&quot;non-dropping-particle&quot;:&quot;&quot;},{&quot;family&quot;:&quot;Jakovljevic&quot;,&quot;given&quot;:&quot;Mihajlo&quot;,&quot;parse-names&quot;:false,&quot;dropping-particle&quot;:&quot;&quot;,&quot;non-dropping-particle&quot;:&quot;&quot;},{&quot;family&quot;:&quot;Jamal&quot;,&quot;given&quot;:&quot;Amr A.&quot;,&quot;parse-names&quot;:false,&quot;dropping-particle&quot;:&quot;&quot;,&quot;non-dropping-particle&quot;:&quot;&quot;},{&quot;family&quot;:&quot;Jha&quot;,&quot;given&quot;:&quot;Ravi Prakash&quot;,&quot;parse-names&quot;:false,&quot;dropping-particle&quot;:&quot;&quot;,&quot;non-dropping-particle&quot;:&quot;&quot;},{&quot;family&quot;:&quot;Jonas&quot;,&quot;given&quot;:&quot;Jost B.&quot;,&quot;parse-names&quot;:false,&quot;dropping-particle&quot;:&quot;&quot;,&quot;non-dropping-particle&quot;:&quot;&quot;},{&quot;family&quot;:&quot;Kabir&quot;,&quot;given&quot;:&quot;Zubair&quot;,&quot;parse-names&quot;:false,&quot;dropping-particle&quot;:&quot;&quot;,&quot;non-dropping-particle&quot;:&quot;&quot;},{&quot;family&quot;:&quot;Kasaeian&quot;,&quot;given&quot;:&quot;Amir&quot;,&quot;parse-names&quot;:false,&quot;dropping-particle&quot;:&quot;&quot;,&quot;non-dropping-particle&quot;:&quot;&quot;},{&quot;family&quot;:&quot;Kasahun&quot;,&quot;given&quot;:&quot;Gebremicheal Gebreslassie&quot;,&quot;parse-names&quot;:false,&quot;dropping-particle&quot;:&quot;&quot;,&quot;non-dropping-particle&quot;:&quot;&quot;},{&quot;family&quot;:&quot;Kassa&quot;,&quot;given&quot;:&quot;Getachew Mullu&quot;,&quot;parse-names&quot;:false,&quot;dropping-particle&quot;:&quot;&quot;,&quot;non-dropping-particle&quot;:&quot;&quot;},{&quot;family&quot;:&quot;Kefale&quot;,&quot;given&quot;:&quot;Adane Teshome&quot;,&quot;parse-names&quot;:false,&quot;dropping-particle&quot;:&quot;&quot;,&quot;non-dropping-particle&quot;:&quot;&quot;},{&quot;family&quot;:&quot;Kengne&quot;,&quot;given&quot;:&quot;Andre Pascal&quot;,&quot;parse-names&quot;:false,&quot;dropping-particle&quot;:&quot;&quot;,&quot;non-dropping-particle&quot;:&quot;&quot;},{&quot;family&quot;:&quot;Khader&quot;,&quot;given&quot;:&quot;Yousef Saleh&quot;,&quot;parse-names&quot;:false,&quot;dropping-particle&quot;:&quot;&quot;,&quot;non-dropping-particle&quot;:&quot;&quot;},{&quot;family&quot;:&quot;Khafaie&quot;,&quot;given&quot;:&quot;Morteza Abdullatif&quot;,&quot;parse-names&quot;:false,&quot;dropping-particle&quot;:&quot;&quot;,&quot;non-dropping-particle&quot;:&quot;&quot;},{&quot;family&quot;:&quot;Khan&quot;,&quot;given&quot;:&quot;Ejaz Ahmad&quot;,&quot;parse-names&quot;:false,&quot;dropping-particle&quot;:&quot;&quot;,&quot;non-dropping-particle&quot;:&quot;&quot;},{&quot;family&quot;:&quot;Khan&quot;,&quot;given&quot;:&quot;Junaid&quot;,&quot;parse-names&quot;:false,&quot;dropping-particle&quot;:&quot;&quot;,&quot;non-dropping-particle&quot;:&quot;&quot;},{&quot;family&quot;:&quot;Khubchandani&quot;,&quot;given&quot;:&quot;Jagdish&quot;,&quot;parse-names&quot;:false,&quot;dropping-particle&quot;:&quot;&quot;,&quot;non-dropping-particle&quot;:&quot;&quot;},{&quot;family&quot;:&quot;Kim&quot;,&quot;given&quot;:&quot;Young Eun&quot;,&quot;parse-names&quot;:false,&quot;dropping-particle&quot;:&quot;&quot;,&quot;non-dropping-particle&quot;:&quot;&quot;},{&quot;family&quot;:&quot;Kim&quot;,&quot;given&quot;:&quot;Yun Jin&quot;,&quot;parse-names&quot;:false,&quot;dropping-particle&quot;:&quot;&quot;,&quot;non-dropping-particle&quot;:&quot;&quot;},{&quot;family&quot;:&quot;Kisa&quot;,&quot;given&quot;:&quot;Sezer&quot;,&quot;parse-names&quot;:false,&quot;dropping-particle&quot;:&quot;&quot;,&quot;non-dropping-particle&quot;:&quot;&quot;},{&quot;family&quot;:&quot;Kisa&quot;,&quot;given&quot;:&quot;Adnan&quot;,&quot;parse-names&quot;:false,&quot;dropping-particle&quot;:&quot;&quot;,&quot;non-dropping-particle&quot;:&quot;&quot;},{&quot;family&quot;:&quot;Knibbs&quot;,&quot;given&quot;:&quot;Luke D.&quot;,&quot;parse-names&quot;:false,&quot;dropping-particle&quot;:&quot;&quot;,&quot;non-dropping-particle&quot;:&quot;&quot;},{&quot;family&quot;:&quot;Komaki&quot;,&quot;given&quot;:&quot;Hamidreza&quot;,&quot;parse-names&quot;:false,&quot;dropping-particle&quot;:&quot;&quot;,&quot;non-dropping-particle&quot;:&quot;&quot;},{&quot;family&quot;:&quot;Koul&quot;,&quot;given&quot;:&quot;Parvaiz A.&quot;,&quot;parse-names&quot;:false,&quot;dropping-particle&quot;:&quot;&quot;,&quot;non-dropping-particle&quot;:&quot;&quot;},{&quot;family&quot;:&quot;Koyanagi&quot;,&quot;given&quot;:&quot;Ai&quot;,&quot;parse-names&quot;:false,&quot;dropping-particle&quot;:&quot;&quot;,&quot;non-dropping-particle&quot;:&quot;&quot;},{&quot;family&quot;:&quot;Kumar&quot;,&quot;given&quot;:&quot;G. Anil&quot;,&quot;parse-names&quot;:false,&quot;dropping-particle&quot;:&quot;&quot;,&quot;non-dropping-particle&quot;:&quot;&quot;},{&quot;family&quot;:&quot;Lan&quot;,&quot;given&quot;:&quot;Qing&quot;,&quot;parse-names&quot;:false,&quot;dropping-particle&quot;:&quot;&quot;,&quot;non-dropping-particle&quot;:&quot;&quot;},{&quot;family&quot;:&quot;Lasrado&quot;,&quot;given&quot;:&quot;Savita&quot;,&quot;parse-names&quot;:false,&quot;dropping-particle&quot;:&quot;&quot;,&quot;non-dropping-particle&quot;:&quot;&quot;},{&quot;family&quot;:&quot;Lauriola&quot;,&quot;given&quot;:&quot;Paolo&quot;,&quot;parse-names&quot;:false,&quot;dropping-particle&quot;:&quot;&quot;,&quot;non-dropping-particle&quot;:&quot;&quot;},{&quot;family&quot;:&quot;Vecchia&quot;,&quot;given&quot;:&quot;Carlo&quot;,&quot;parse-names&quot;:false,&quot;dropping-particle&quot;:&quot;&quot;,&quot;non-dropping-particle&quot;:&quot;La&quot;},{&quot;family&quot;:&quot;Le&quot;,&quot;given&quot;:&quot;Tham Thi&quot;,&quot;parse-names&quot;:false,&quot;dropping-particle&quot;:&quot;&quot;,&quot;non-dropping-particle&quot;:&quot;&quot;},{&quot;family&quot;:&quot;Leigh&quot;,&quot;given&quot;:&quot;James&quot;,&quot;parse-names&quot;:false,&quot;dropping-particle&quot;:&quot;&quot;,&quot;non-dropping-particle&quot;:&quot;&quot;},{&quot;family&quot;:&quot;Levi&quot;,&quot;given&quot;:&quot;Miriam&quot;,&quot;parse-names&quot;:false,&quot;dropping-particle&quot;:&quot;&quot;,&quot;non-dropping-particle&quot;:&quot;&quot;},{&quot;family&quot;:&quot;Li&quot;,&quot;given&quot;:&quot;Shanshan&quot;,&quot;parse-names&quot;:false,&quot;dropping-particle&quot;:&quot;&quot;,&quot;non-dropping-particle&quot;:&quot;&quot;},{&quot;family&quot;:&quot;Lopez&quot;,&quot;given&quot;:&quot;Alan D.&quot;,&quot;parse-names&quot;:false,&quot;dropping-particle&quot;:&quot;&quot;,&quot;non-dropping-particle&quot;:&quot;&quot;},{&quot;family&quot;:&quot;Lotufo&quot;,&quot;given&quot;:&quot;Paulo A.&quot;,&quot;parse-names&quot;:false,&quot;dropping-particle&quot;:&quot;&quot;,&quot;non-dropping-particle&quot;:&quot;&quot;},{&quot;family&quot;:&quot;Madotto&quot;,&quot;given&quot;:&quot;Fabiana&quot;,&quot;parse-names&quot;:false,&quot;dropping-particle&quot;:&quot;&quot;,&quot;non-dropping-particle&quot;:&quot;&quot;},{&quot;family&quot;:&quot;Mahotra&quot;,&quot;given&quot;:&quot;Narayan B.&quot;,&quot;parse-names&quot;:false,&quot;dropping-particle&quot;:&quot;&quot;,&quot;non-dropping-particle&quot;:&quot;&quot;},{&quot;family&quot;:&quot;Majdan&quot;,&quot;given&quot;:&quot;Marek&quot;,&quot;parse-names&quot;:false,&quot;dropping-particle&quot;:&quot;&quot;,&quot;non-dropping-particle&quot;:&quot;&quot;},{&quot;family&quot;:&quot;Majeed&quot;,&quot;given&quot;:&quot;Azeem&quot;,&quot;parse-names&quot;:false,&quot;dropping-particle&quot;:&quot;&quot;,&quot;non-dropping-particle&quot;:&quot;&quot;},{&quot;family&quot;:&quot;Malekzadeh&quot;,&quot;given&quot;:&quot;Reza&quot;,&quot;parse-names&quot;:false,&quot;dropping-particle&quot;:&quot;&quot;,&quot;non-dropping-particle&quot;:&quot;&quot;},{&quot;family&quot;:&quot;Mamun&quot;,&quot;given&quot;:&quot;Abdullah A.&quot;,&quot;parse-names&quot;:false,&quot;dropping-particle&quot;:&quot;&quot;,&quot;non-dropping-particle&quot;:&quot;&quot;},{&quot;family&quot;:&quot;Manafi&quot;,&quot;given&quot;:&quot;Navid&quot;,&quot;parse-names&quot;:false,&quot;dropping-particle&quot;:&quot;&quot;,&quot;non-dropping-particle&quot;:&quot;&quot;},{&quot;family&quot;:&quot;Manafi&quot;,&quot;given&quot;:&quot;Farzad&quot;,&quot;parse-names&quot;:false,&quot;dropping-particle&quot;:&quot;&quot;,&quot;non-dropping-particle&quot;:&quot;&quot;},{&quot;family&quot;:&quot;Mantovani&quot;,&quot;given&quot;:&quot;Lorenzo Giovanni&quot;,&quot;parse-names&quot;:false,&quot;dropping-particle&quot;:&quot;&quot;,&quot;non-dropping-particle&quot;:&quot;&quot;},{&quot;family&quot;:&quot;Meharie&quot;,&quot;given&quot;:&quot;Birhanu Geta&quot;,&quot;parse-names&quot;:false,&quot;dropping-particle&quot;:&quot;&quot;,&quot;non-dropping-particle&quot;:&quot;&quot;},{&quot;family&quot;:&quot;Meles&quot;,&quot;given&quot;:&quot;Hagazi Gebre&quot;,&quot;parse-names&quot;:false,&quot;dropping-particle&quot;:&quot;&quot;,&quot;non-dropping-particle&quot;:&quot;&quot;},{&quot;family&quot;:&quot;Meles&quot;,&quot;given&quot;:&quot;Gebrekiros Gebremichael&quot;,&quot;parse-names&quot;:false,&quot;dropping-particle&quot;:&quot;&quot;,&quot;non-dropping-particle&quot;:&quot;&quot;},{&quot;family&quot;:&quot;Menezes&quot;,&quot;given&quot;:&quot;Ritesh G.&quot;,&quot;parse-names&quot;:false,&quot;dropping-particle&quot;:&quot;&quot;,&quot;non-dropping-particle&quot;:&quot;&quot;},{&quot;family&quot;:&quot;Mestrovic&quot;,&quot;given&quot;:&quot;Tomislav&quot;,&quot;parse-names&quot;:false,&quot;dropping-particle&quot;:&quot;&quot;,&quot;non-dropping-particle&quot;:&quot;&quot;},{&quot;family&quot;:&quot;Miller&quot;,&quot;given&quot;:&quot;Ted R.&quot;,&quot;parse-names&quot;:false,&quot;dropping-particle&quot;:&quot;&quot;,&quot;non-dropping-particle&quot;:&quot;&quot;},{&quot;family&quot;:&quot;Mini&quot;,&quot;given&quot;:&quot;G. K.&quot;,&quot;parse-names&quot;:false,&quot;dropping-particle&quot;:&quot;&quot;,&quot;non-dropping-particle&quot;:&quot;&quot;},{&quot;family&quot;:&quot;Mirrakhimov&quot;,&quot;given&quot;:&quot;Erkin M.&quot;,&quot;parse-names&quot;:false,&quot;dropping-particle&quot;:&quot;&quot;,&quot;non-dropping-particle&quot;:&quot;&quot;},{&quot;family&quot;:&quot;Moazen&quot;,&quot;given&quot;:&quot;Babak&quot;,&quot;parse-names&quot;:false,&quot;dropping-particle&quot;:&quot;&quot;,&quot;non-dropping-particle&quot;:&quot;&quot;},{&quot;family&quot;:&quot;Mohammad&quot;,&quot;given&quot;:&quot;Karzan Abdulmuhsin&quot;,&quot;parse-names&quot;:false,&quot;dropping-particle&quot;:&quot;&quot;,&quot;non-dropping-particle&quot;:&quot;&quot;},{&quot;family&quot;:&quot;Mohammed&quot;,&quot;given&quot;:&quot;Shafiu&quot;,&quot;parse-names&quot;:false,&quot;dropping-particle&quot;:&quot;&quot;,&quot;non-dropping-particle&quot;:&quot;&quot;},{&quot;family&quot;:&quot;Mohebi&quot;,&quot;given&quot;:&quot;Farnam&quot;,&quot;parse-names&quot;:false,&quot;dropping-particle&quot;:&quot;&quot;,&quot;non-dropping-particle&quot;:&quot;&quot;},{&quot;family&quot;:&quot;Mokdad&quot;,&quot;given&quot;:&quot;Ali H.&quot;,&quot;parse-names&quot;:false,&quot;dropping-particle&quot;:&quot;&quot;,&quot;non-dropping-particle&quot;:&quot;&quot;},{&quot;family&quot;:&quot;Molokhia&quot;,&quot;given&quot;:&quot;Mariam&quot;,&quot;parse-names&quot;:false,&quot;dropping-particle&quot;:&quot;&quot;,&quot;non-dropping-particle&quot;:&quot;&quot;},{&quot;family&quot;:&quot;Monasta&quot;,&quot;given&quot;:&quot;Lorenzo&quot;,&quot;parse-names&quot;:false,&quot;dropping-particle&quot;:&quot;&quot;,&quot;non-dropping-particle&quot;:&quot;&quot;},{&quot;family&quot;:&quot;Moradi&quot;,&quot;given&quot;:&quot;Masoud&quot;,&quot;parse-names&quot;:false,&quot;dropping-particle&quot;:&quot;&quot;,&quot;non-dropping-particle&quot;:&quot;&quot;},{&quot;family&quot;:&quot;Moradi&quot;,&quot;given&quot;:&quot;Ghobad&quot;,&quot;parse-names&quot;:false,&quot;dropping-particle&quot;:&quot;&quot;,&quot;non-dropping-particle&quot;:&quot;&quot;},{&quot;family&quot;:&quot;Morawska&quot;,&quot;given&quot;:&quot;Lidia&quot;,&quot;parse-names&quot;:false,&quot;dropping-particle&quot;:&quot;&quot;,&quot;non-dropping-particle&quot;:&quot;&quot;},{&quot;family&quot;:&quot;Mousavi&quot;,&quot;given&quot;:&quot;Seyyed Meysam&quot;,&quot;parse-names&quot;:false,&quot;dropping-particle&quot;:&quot;&quot;,&quot;non-dropping-particle&quot;:&quot;&quot;},{&quot;family&quot;:&quot;Musa&quot;,&quot;given&quot;:&quot;Kamarul Imran&quot;,&quot;parse-names&quot;:false,&quot;dropping-particle&quot;:&quot;&quot;,&quot;non-dropping-particle&quot;:&quot;&quot;},{&quot;family&quot;:&quot;Mustafa&quot;,&quot;given&quot;:&quot;Ghulam&quot;,&quot;parse-names&quot;:false,&quot;dropping-particle&quot;:&quot;&quot;,&quot;non-dropping-particle&quot;:&quot;&quot;},{&quot;family&quot;:&quot;Naderi&quot;,&quot;given&quot;:&quot;Mehdi&quot;,&quot;parse-names&quot;:false,&quot;dropping-particle&quot;:&quot;&quot;,&quot;non-dropping-particle&quot;:&quot;&quot;},{&quot;family&quot;:&quot;Naghavi&quot;,&quot;given&quot;:&quot;Mohsen&quot;,&quot;parse-names&quot;:false,&quot;dropping-particle&quot;:&quot;&quot;,&quot;non-dropping-particle&quot;:&quot;&quot;},{&quot;family&quot;:&quot;Naik&quot;,&quot;given&quot;:&quot;Gurudatta&quot;,&quot;parse-names&quot;:false,&quot;dropping-particle&quot;:&quot;&quot;,&quot;non-dropping-particle&quot;:&quot;&quot;},{&quot;family&quot;:&quot;Nair&quot;,&quot;given&quot;:&quot;Sanjeev&quot;,&quot;parse-names&quot;:false,&quot;dropping-particle&quot;:&quot;&quot;,&quot;non-dropping-particle&quot;:&quot;&quot;},{&quot;family&quot;:&quot;Nangia&quot;,&quot;given&quot;:&quot;Vinay&quot;,&quot;parse-names&quot;:false,&quot;dropping-particle&quot;:&quot;&quot;,&quot;non-dropping-particle&quot;:&quot;&quot;},{&quot;family&quot;:&quot;Nansseu&quot;,&quot;given&quot;:&quot;Jobert Richie&quot;,&quot;parse-names&quot;:false,&quot;dropping-particle&quot;:&quot;&quot;,&quot;non-dropping-particle&quot;:&quot;&quot;},{&quot;family&quot;:&quot;Nazari&quot;,&quot;given&quot;:&quot;Javad&quot;,&quot;parse-names&quot;:false,&quot;dropping-particle&quot;:&quot;&quot;,&quot;non-dropping-particle&quot;:&quot;&quot;},{&quot;family&quot;:&quot;Ndwandwe&quot;,&quot;given&quot;:&quot;Duduzile Edith&quot;,&quot;parse-names&quot;:false,&quot;dropping-particle&quot;:&quot;&quot;,&quot;non-dropping-particle&quot;:&quot;&quot;},{&quot;family&quot;:&quot;Negoi&quot;,&quot;given&quot;:&quot;Ruxandra Irina&quot;,&quot;parse-names&quot;:false,&quot;dropping-particle&quot;:&quot;&quot;,&quot;non-dropping-particle&quot;:&quot;&quot;},{&quot;family&quot;:&quot;Nguyen&quot;,&quot;given&quot;:&quot;Trang Huyen&quot;,&quot;parse-names&quot;:false,&quot;dropping-particle&quot;:&quot;&quot;,&quot;non-dropping-particle&quot;:&quot;&quot;},{&quot;family&quot;:&quot;Nguyen&quot;,&quot;given&quot;:&quot;Cuong Tat&quot;,&quot;parse-names&quot;:false,&quot;dropping-particle&quot;:&quot;&quot;,&quot;non-dropping-particle&quot;:&quot;&quot;},{&quot;family&quot;:&quot;Nguyen&quot;,&quot;given&quot;:&quot;Huong Lan Thi&quot;,&quot;parse-names&quot;:false,&quot;dropping-particle&quot;:&quot;&quot;,&quot;non-dropping-particle&quot;:&quot;&quot;},{&quot;family&quot;:&quot;Nixon&quot;,&quot;given&quot;:&quot;Molly R.&quot;,&quot;parse-names&quot;:false,&quot;dropping-particle&quot;:&quot;&quot;,&quot;non-dropping-particle&quot;:&quot;&quot;},{&quot;family&quot;:&quot;Ofori-Asenso&quot;,&quot;given&quot;:&quot;Richard&quot;,&quot;parse-names&quot;:false,&quot;dropping-particle&quot;:&quot;&quot;,&quot;non-dropping-particle&quot;:&quot;&quot;},{&quot;family&quot;:&quot;Ogbo&quot;,&quot;given&quot;:&quot;Felix Akpojene&quot;,&quot;parse-names&quot;:false,&quot;dropping-particle&quot;:&quot;&quot;,&quot;non-dropping-particle&quot;:&quot;&quot;},{&quot;family&quot;:&quot;Olagunju&quot;,&quot;given&quot;:&quot;Andrew T.&quot;,&quot;parse-names&quot;:false,&quot;dropping-particle&quot;:&quot;&quot;,&quot;non-dropping-particle&quot;:&quot;&quot;},{&quot;family&quot;:&quot;Olagunju&quot;,&quot;given&quot;:&quot;Tinuke O.&quot;,&quot;parse-names&quot;:false,&quot;dropping-particle&quot;:&quot;&quot;,&quot;non-dropping-particle&quot;:&quot;&quot;},{&quot;family&quot;:&quot;Oren&quot;,&quot;given&quot;:&quot;Eyal&quot;,&quot;parse-names&quot;:false,&quot;dropping-particle&quot;:&quot;&quot;,&quot;non-dropping-particle&quot;:&quot;&quot;},{&quot;family&quot;:&quot;Ortiz&quot;,&quot;given&quot;:&quot;Justin R.&quot;,&quot;parse-names&quot;:false,&quot;dropping-particle&quot;:&quot;&quot;,&quot;non-dropping-particle&quot;:&quot;&quot;},{&quot;family&quot;:&quot;Owolabi&quot;,&quot;given&quot;:&quot;Mayowa O.&quot;,&quot;parse-names&quot;:false,&quot;dropping-particle&quot;:&quot;&quot;,&quot;non-dropping-particle&quot;:&quot;&quot;},{&quot;family&quot;:&quot;DNB&quot;,&quot;given&quot;:&quot;M. P.A.&quot;,&quot;parse-names&quot;:false,&quot;dropping-particle&quot;:&quot;&quot;,&quot;non-dropping-particle&quot;:&quot;&quot;},{&quot;family&quot;:&quot;Pakhale&quot;,&quot;given&quot;:&quot;Smita&quot;,&quot;parse-names&quot;:false,&quot;dropping-particle&quot;:&quot;&quot;,&quot;non-dropping-particle&quot;:&quot;&quot;},{&quot;family&quot;:&quot;Pana&quot;,&quot;given&quot;:&quot;Adrian&quot;,&quot;parse-names&quot;:false,&quot;dropping-particle&quot;:&quot;&quot;,&quot;non-dropping-particle&quot;:&quot;&quot;},{&quot;family&quot;:&quot;Panda-Jonas&quot;,&quot;given&quot;:&quot;Songhomitra&quot;,&quot;parse-names&quot;:false,&quot;dropping-particle&quot;:&quot;&quot;,&quot;non-dropping-particle&quot;:&quot;&quot;},{&quot;family&quot;:&quot;Park&quot;,&quot;given&quot;:&quot;Eun Kee&quot;,&quot;parse-names&quot;:false,&quot;dropping-particle&quot;:&quot;&quot;,&quot;non-dropping-particle&quot;:&quot;&quot;},{&quot;family&quot;:&quot;Pham&quot;,&quot;given&quot;:&quot;Hai Quang&quot;,&quot;parse-names&quot;:false,&quot;dropping-particle&quot;:&quot;&quot;,&quot;non-dropping-particle&quot;:&quot;&quot;},{&quot;family&quot;:&quot;Postma&quot;,&quot;given&quot;:&quot;Maarten J.&quot;,&quot;parse-names&quot;:false,&quot;dropping-particle&quot;:&quot;&quot;,&quot;non-dropping-particle&quot;:&quot;&quot;},{&quot;family&quot;:&quot;Pourjafar&quot;,&quot;given&quot;:&quot;Hadi&quot;,&quot;parse-names&quot;:false,&quot;dropping-particle&quot;:&quot;&quot;,&quot;non-dropping-particle&quot;:&quot;&quot;},{&quot;family&quot;:&quot;Poustchi&quot;,&quot;given&quot;:&quot;Hossein&quot;,&quot;parse-names&quot;:false,&quot;dropping-particle&quot;:&quot;&quot;,&quot;non-dropping-particle&quot;:&quot;&quot;},{&quot;family&quot;:&quot;Radfar&quot;,&quot;given&quot;:&quot;Amir&quot;,&quot;parse-names&quot;:false,&quot;dropping-particle&quot;:&quot;&quot;,&quot;non-dropping-particle&quot;:&quot;&quot;},{&quot;family&quot;:&quot;Rafiei&quot;,&quot;given&quot;:&quot;Alireza&quot;,&quot;parse-names&quot;:false,&quot;dropping-particle&quot;:&quot;&quot;,&quot;non-dropping-particle&quot;:&quot;&quot;},{&quot;family&quot;:&quot;Rahim&quot;,&quot;given&quot;:&quot;Fakher&quot;,&quot;parse-names&quot;:false,&quot;dropping-particle&quot;:&quot;&quot;,&quot;non-dropping-particle&quot;:&quot;&quot;},{&quot;family&quot;:&quot;Rahman&quot;,&quot;given&quot;:&quot;Mohammad Hifz Ur&quot;,&quot;parse-names&quot;:false,&quot;dropping-particle&quot;:&quot;&quot;,&quot;non-dropping-particle&quot;:&quot;&quot;},{&quot;family&quot;:&quot;Rahman&quot;,&quot;given&quot;:&quot;Muhammad Aziz&quot;,&quot;parse-names&quot;:false,&quot;dropping-particle&quot;:&quot;&quot;,&quot;non-dropping-particle&quot;:&quot;&quot;},{&quot;family&quot;:&quot;Rawaf&quot;,&quot;given&quot;:&quot;Salman&quot;,&quot;parse-names&quot;:false,&quot;dropping-particle&quot;:&quot;&quot;,&quot;non-dropping-particle&quot;:&quot;&quot;},{&quot;family&quot;:&quot;Rawaf&quot;,&quot;given&quot;:&quot;David Laith&quot;,&quot;parse-names&quot;:false,&quot;dropping-particle&quot;:&quot;&quot;,&quot;non-dropping-particle&quot;:&quot;&quot;},{&quot;family&quot;:&quot;Rawal&quot;,&quot;given&quot;:&quot;Lal&quot;,&quot;parse-names&quot;:false,&quot;dropping-particle&quot;:&quot;&quot;,&quot;non-dropping-particle&quot;:&quot;&quot;},{&quot;family&quot;:&quot;Reiner&quot;,&quot;given&quot;:&quot;Robert C.&quot;,&quot;parse-names&quot;:false,&quot;dropping-particle&quot;:&quot;&quot;,&quot;non-dropping-particle&quot;:&quot;&quot;},{&quot;family&quot;:&quot;Reitsma&quot;,&quot;given&quot;:&quot;Marissa Bettay&quot;,&quot;parse-names&quot;:false,&quot;dropping-particle&quot;:&quot;&quot;,&quot;non-dropping-particle&quot;:&quot;&quot;},{&quot;family&quot;:&quot;Roever&quot;,&quot;given&quot;:&quot;Leonardo&quot;,&quot;parse-names&quot;:false,&quot;dropping-particle&quot;:&quot;&quot;,&quot;non-dropping-particle&quot;:&quot;&quot;},{&quot;family&quot;:&quot;Ronfani&quot;,&quot;given&quot;:&quot;Luca&quot;,&quot;parse-names&quot;:false,&quot;dropping-particle&quot;:&quot;&quot;,&quot;non-dropping-particle&quot;:&quot;&quot;},{&quot;family&quot;:&quot;Roro&quot;,&quot;given&quot;:&quot;Elias Merdassa&quot;,&quot;parse-names&quot;:false,&quot;dropping-particle&quot;:&quot;&quot;,&quot;non-dropping-particle&quot;:&quot;&quot;},{&quot;family&quot;:&quot;Roshandel&quot;,&quot;given&quot;:&quot;Gholamreza&quot;,&quot;parse-names&quot;:false,&quot;dropping-particle&quot;:&quot;&quot;,&quot;non-dropping-particle&quot;:&quot;&quot;},{&quot;family&quot;:&quot;Rudd&quot;,&quot;given&quot;:&quot;Kristina E.&quot;,&quot;parse-names&quot;:false,&quot;dropping-particle&quot;:&quot;&quot;,&quot;non-dropping-particle&quot;:&quot;&quot;},{&quot;family&quot;:&quot;Sabde&quot;,&quot;given&quot;:&quot;Yogesh Damodar&quot;,&quot;parse-names&quot;:false,&quot;dropping-particle&quot;:&quot;&quot;,&quot;non-dropping-particle&quot;:&quot;&quot;},{&quot;family&quot;:&quot;Sabour&quot;,&quot;given&quot;:&quot;Siamak&quot;,&quot;parse-names&quot;:false,&quot;dropping-particle&quot;:&quot;&quot;,&quot;non-dropping-particle&quot;:&quot;&quot;},{&quot;family&quot;:&quot;Saddik&quot;,&quot;given&quot;:&quot;Basema&quot;,&quot;parse-names&quot;:false,&quot;dropping-particle&quot;:&quot;&quot;,&quot;non-dropping-particle&quot;:&quot;&quot;},{&quot;family&quot;:&quot;Safari&quot;,&quot;given&quot;:&quot;Saeed&quot;,&quot;parse-names&quot;:false,&quot;dropping-particle&quot;:&quot;&quot;,&quot;non-dropping-particle&quot;:&quot;&quot;},{&quot;family&quot;:&quot;Saleem&quot;,&quot;given&quot;:&quot;Komal&quot;,&quot;parse-names&quot;:false,&quot;dropping-particle&quot;:&quot;&quot;,&quot;non-dropping-particle&quot;:&quot;&quot;},{&quot;family&quot;:&quot;Samy&quot;,&quot;given&quot;:&quot;Abdallah M.&quot;,&quot;parse-names&quot;:false,&quot;dropping-particle&quot;:&quot;&quot;,&quot;non-dropping-particle&quot;:&quot;&quot;},{&quot;family&quot;:&quot;Santric-Milicevic&quot;,&quot;given&quot;:&quot;Milena M.&quot;,&quot;parse-names&quot;:false,&quot;dropping-particle&quot;:&quot;&quot;,&quot;non-dropping-particle&quot;:&quot;&quot;},{&quot;family&quot;:&quot;Sao Jose&quot;,&quot;given&quot;:&quot;Bruno Piassi&quot;,&quot;parse-names&quot;:false,&quot;dropping-particle&quot;:&quot;&quot;,&quot;non-dropping-particle&quot;:&quot;&quot;},{&quot;family&quot;:&quot;Sartorius&quot;,&quot;given&quot;:&quot;Benn&quot;,&quot;parse-names&quot;:false,&quot;dropping-particle&quot;:&quot;&quot;,&quot;non-dropping-particle&quot;:&quot;&quot;},{&quot;family&quot;:&quot;Satpathy&quot;,&quot;given&quot;:&quot;Maheswar&quot;,&quot;parse-names&quot;:false,&quot;dropping-particle&quot;:&quot;&quot;,&quot;non-dropping-particle&quot;:&quot;&quot;},{&quot;family&quot;:&quot;Savic&quot;,&quot;given&quot;:&quot;Miloje&quot;,&quot;parse-names&quot;:false,&quot;dropping-particle&quot;:&quot;&quot;,&quot;non-dropping-particle&quot;:&quot;&quot;},{&quot;family&quot;:&quot;Sawhney&quot;,&quot;given&quot;:&quot;Monika&quot;,&quot;parse-names&quot;:false,&quot;dropping-particle&quot;:&quot;&quot;,&quot;non-dropping-particle&quot;:&quot;&quot;},{&quot;family&quot;:&quot;Sepanlou&quot;,&quot;given&quot;:&quot;Sadaf G.&quot;,&quot;parse-names&quot;:false,&quot;dropping-particle&quot;:&quot;&quot;,&quot;non-dropping-particle&quot;:&quot;&quot;},{&quot;family&quot;:&quot;Shaikh&quot;,&quot;given&quot;:&quot;Masood Ali&quot;,&quot;parse-names&quot;:false,&quot;dropping-particle&quot;:&quot;&quot;,&quot;non-dropping-particle&quot;:&quot;&quot;},{&quot;family&quot;:&quot;Sheikh&quot;,&quot;given&quot;:&quot;Aziz&quot;,&quot;parse-names&quot;:false,&quot;dropping-particle&quot;:&quot;&quot;,&quot;non-dropping-particle&quot;:&quot;&quot;},{&quot;family&quot;:&quot;Shigematsu&quot;,&quot;given&quot;:&quot;Mika&quot;,&quot;parse-names&quot;:false,&quot;dropping-particle&quot;:&quot;&quot;,&quot;non-dropping-particle&quot;:&quot;&quot;},{&quot;family&quot;:&quot;Shirkoohi&quot;,&quot;given&quot;:&quot;Reza&quot;,&quot;parse-names&quot;:false,&quot;dropping-particle&quot;:&quot;&quot;,&quot;non-dropping-particle&quot;:&quot;&quot;},{&quot;family&quot;:&quot;Si&quot;,&quot;given&quot;:&quot;Si&quot;,&quot;parse-names&quot;:false,&quot;dropping-particle&quot;:&quot;&quot;,&quot;non-dropping-particle&quot;:&quot;&quot;},{&quot;family&quot;:&quot;Siabani&quot;,&quot;given&quot;:&quot;Soraya&quot;,&quot;parse-names&quot;:false,&quot;dropping-particle&quot;:&quot;&quot;,&quot;non-dropping-particle&quot;:&quot;&quot;},{&quot;family&quot;:&quot;Singh&quot;,&quot;given&quot;:&quot;Virendra&quot;,&quot;parse-names&quot;:false,&quot;dropping-particle&quot;:&quot;&quot;,&quot;non-dropping-particle&quot;:&quot;&quot;},{&quot;family&quot;:&quot;Singh&quot;,&quot;given&quot;:&quot;Jasvinder A.&quot;,&quot;parse-names&quot;:false,&quot;dropping-particle&quot;:&quot;&quot;,&quot;non-dropping-particle&quot;:&quot;&quot;},{&quot;family&quot;:&quot;Soljak&quot;,&quot;given&quot;:&quot;Michael&quot;,&quot;parse-names&quot;:false,&quot;dropping-particle&quot;:&quot;&quot;,&quot;non-dropping-particle&quot;:&quot;&quot;},{&quot;family&quot;:&quot;Somayaji&quot;,&quot;given&quot;:&quot;Ranjani&quot;,&quot;parse-names&quot;:false,&quot;dropping-particle&quot;:&quot;&quot;,&quot;non-dropping-particle&quot;:&quot;&quot;},{&quot;family&quot;:&quot;Soofi&quot;,&quot;given&quot;:&quot;Moslem&quot;,&quot;parse-names&quot;:false,&quot;dropping-particle&quot;:&quot;&quot;,&quot;non-dropping-particle&quot;:&quot;&quot;},{&quot;family&quot;:&quot;Soyiri&quot;,&quot;given&quot;:&quot;Ireneous N.&quot;,&quot;parse-names&quot;:false,&quot;dropping-particle&quot;:&quot;&quot;,&quot;non-dropping-particle&quot;:&quot;&quot;},{&quot;family&quot;:&quot;Tefera&quot;,&quot;given&quot;:&quot;Yonatal Mesfin&quot;,&quot;parse-names&quot;:false,&quot;dropping-particle&quot;:&quot;&quot;,&quot;non-dropping-particle&quot;:&quot;&quot;},{&quot;family&quot;:&quot;Temsah&quot;,&quot;given&quot;:&quot;Mohamad Hani&quot;,&quot;parse-names&quot;:false,&quot;dropping-particle&quot;:&quot;&quot;,&quot;non-dropping-particle&quot;:&quot;&quot;},{&quot;family&quot;:&quot;Tesfay&quot;,&quot;given&quot;:&quot;Berhe Etsay&quot;,&quot;parse-names&quot;:false,&quot;dropping-particle&quot;:&quot;&quot;,&quot;non-dropping-particle&quot;:&quot;&quot;},{&quot;family&quot;:&quot;Thakur&quot;,&quot;given&quot;:&quot;Jarnail Singh&quot;,&quot;parse-names&quot;:false,&quot;dropping-particle&quot;:&quot;&quot;,&quot;non-dropping-particle&quot;:&quot;&quot;},{&quot;family&quot;:&quot;Toma&quot;,&quot;given&quot;:&quot;Alemayehu Toma&quot;,&quot;parse-names&quot;:false,&quot;dropping-particle&quot;:&quot;&quot;,&quot;non-dropping-particle&quot;:&quot;&quot;},{&quot;family&quot;:&quot;Tortajada-Girbés&quot;,&quot;given&quot;:&quot;Miguel&quot;,&quot;parse-names&quot;:false,&quot;dropping-particle&quot;:&quot;&quot;,&quot;non-dropping-particle&quot;:&quot;&quot;},{&quot;family&quot;:&quot;Tran&quot;,&quot;given&quot;:&quot;Khanh Bao&quot;,&quot;parse-names&quot;:false,&quot;dropping-particle&quot;:&quot;&quot;,&quot;non-dropping-particle&quot;:&quot;&quot;},{&quot;family&quot;:&quot;Tran&quot;,&quot;given&quot;:&quot;Bach Xuan&quot;,&quot;parse-names&quot;:false,&quot;dropping-particle&quot;:&quot;&quot;,&quot;non-dropping-particle&quot;:&quot;&quot;},{&quot;family&quot;:&quot;Tudor Car&quot;,&quot;given&quot;:&quot;Lorainne&quot;,&quot;parse-names&quot;:false,&quot;dropping-particle&quot;:&quot;&quot;,&quot;non-dropping-particle&quot;:&quot;&quot;},{&quot;family&quot;:&quot;Ullah&quot;,&quot;given&quot;:&quot;Irfan&quot;,&quot;parse-names&quot;:false,&quot;dropping-particle&quot;:&quot;&quot;,&quot;non-dropping-particle&quot;:&quot;&quot;},{&quot;family&quot;:&quot;Vacante&quot;,&quot;given&quot;:&quot;Marco&quot;,&quot;parse-names&quot;:false,&quot;dropping-particle&quot;:&quot;&quot;,&quot;non-dropping-particle&quot;:&quot;&quot;},{&quot;family&quot;:&quot;Valdez&quot;,&quot;given&quot;:&quot;Pascual R.&quot;,&quot;parse-names&quot;:false,&quot;dropping-particle&quot;:&quot;&quot;,&quot;non-dropping-particle&quot;:&quot;&quot;},{&quot;family&quot;:&quot;Boven&quot;,&quot;given&quot;:&quot;Job F.M.&quot;,&quot;parse-names&quot;:false,&quot;dropping-particle&quot;:&quot;&quot;,&quot;non-dropping-particle&quot;:&quot;van&quot;},{&quot;family&quot;:&quot;Vasankari&quot;,&quot;given&quot;:&quot;Tommi Juhani&quot;,&quot;parse-names&quot;:false,&quot;dropping-particle&quot;:&quot;&quot;,&quot;non-dropping-particle&quot;:&quot;&quot;},{&quot;family&quot;:&quot;Veisani&quot;,&quot;given&quot;:&quot;Yousef&quot;,&quot;parse-names&quot;:false,&quot;dropping-particle&quot;:&quot;&quot;,&quot;non-dropping-particle&quot;:&quot;&quot;},{&quot;family&quot;:&quot;Violante&quot;,&quot;given&quot;:&quot;Francesco S.&quot;,&quot;parse-names&quot;:false,&quot;dropping-particle&quot;:&quot;&quot;,&quot;non-dropping-particle&quot;:&quot;&quot;},{&quot;family&quot;:&quot;Wagner&quot;,&quot;given&quot;:&quot;Gregory R.&quot;,&quot;parse-names&quot;:false,&quot;dropping-particle&quot;:&quot;&quot;,&quot;non-dropping-particle&quot;:&quot;&quot;},{&quot;family&quot;:&quot;Westerman&quot;,&quot;given&quot;:&quot;Ronny&quot;,&quot;parse-names&quot;:false,&quot;dropping-particle&quot;:&quot;&quot;,&quot;non-dropping-particle&quot;:&quot;&quot;},{&quot;family&quot;:&quot;Wolfe&quot;,&quot;given&quot;:&quot;Charles D.A.&quot;,&quot;parse-names&quot;:false,&quot;dropping-particle&quot;:&quot;&quot;,&quot;non-dropping-particle&quot;:&quot;&quot;},{&quot;family&quot;:&quot;Wondafrash&quot;,&quot;given&quot;:&quot;Dawit Zewdu&quot;,&quot;parse-names&quot;:false,&quot;dropping-particle&quot;:&quot;&quot;,&quot;non-dropping-particle&quot;:&quot;&quot;},{&quot;family&quot;:&quot;Wondmieneh&quot;,&quot;given&quot;:&quot;Adam Belay&quot;,&quot;parse-names&quot;:false,&quot;dropping-particle&quot;:&quot;&quot;,&quot;non-dropping-particle&quot;:&quot;&quot;},{&quot;family&quot;:&quot;Yonemoto&quot;,&quot;given&quot;:&quot;Naohiro&quot;,&quot;parse-names&quot;:false,&quot;dropping-particle&quot;:&quot;&quot;,&quot;non-dropping-particle&quot;:&quot;&quot;},{&quot;family&quot;:&quot;Yoon&quot;,&quot;given&quot;:&quot;Seok Jun&quot;,&quot;parse-names&quot;:false,&quot;dropping-particle&quot;:&quot;&quot;,&quot;non-dropping-particle&quot;:&quot;&quot;},{&quot;family&quot;:&quot;Zaidi&quot;,&quot;given&quot;:&quot;Zoubida&quot;,&quot;parse-names&quot;:false,&quot;dropping-particle&quot;:&quot;&quot;,&quot;non-dropping-particle&quot;:&quot;&quot;},{&quot;family&quot;:&quot;Zamani&quot;,&quot;given&quot;:&quot;Mohammad&quot;,&quot;parse-names&quot;:false,&quot;dropping-particle&quot;:&quot;&quot;,&quot;non-dropping-particle&quot;:&quot;&quot;},{&quot;family&quot;:&quot;Zar&quot;,&quot;given&quot;:&quot;Heather J.&quot;,&quot;parse-names&quot;:false,&quot;dropping-particle&quot;:&quot;&quot;,&quot;non-dropping-particle&quot;:&quot;&quot;},{&quot;family&quot;:&quot;Zhang&quot;,&quot;given&quot;:&quot;Yunquan&quot;,&quot;parse-names&quot;:false,&quot;dropping-particle&quot;:&quot;&quot;,&quot;non-dropping-particle&quot;:&quot;&quot;},{&quot;family&quot;:&quot;Vos&quot;,&quot;given&quot;:&quot;Theo&quot;,&quot;parse-names&quot;:false,&quot;dropping-particle&quot;:&quot;&quot;,&quot;non-dropping-particle&quot;:&quot;&quot;}],&quot;container-title&quot;:&quot;The Lancet. Respiratory Medicine&quot;,&quot;container-title-short&quot;:&quot;Lancet Respir Med&quot;,&quot;accessed&quot;:{&quot;date-parts&quot;:[[2024,6,30]]},&quot;DOI&quot;:&quot;10.1016/S2213-2600(20)30105-3&quot;,&quot;ISSN&quot;:&quot;22132619&quot;,&quot;PMID&quot;:&quot;32526187&quot;,&quot;URL&quot;:&quot;/pmc/articles/PMC7284317/&quot;,&quot;issued&quot;:{&quot;date-parts&quot;:[[2020,6,1]]},&quot;page&quot;:&quot;585&quot;,&quot;abstract&quot;:&quot;Background: Previous attempts to characterise the burden of chronic respiratory diseases have focused only on specific disease conditions, such as chronic obstructive pulmonary disease (COPD) or asthma. In this study, we aimed to characterise the burden of chronic respiratory diseases globally, providing a comprehensive and up-to-date analysis on geographical and time trends from 1990 to 2017. Methods: Using data from the Global Burden of Diseases, Injuries, and Risk Factors Study (GBD) 2017, we estimated the prevalence, morbidity, and mortality attributable to chronic respiratory diseases through an analysis of deaths, disability-adjusted life-years (DALYs), and years of life lost (YLL) by GBD super-region, from 1990 to 2017, stratified by age and sex. Specific diseases analysed included asthma, COPD, interstitial lung disease and pulmonary sarcoidosis, pneumoconiosis, and other chronic respiratory diseases. We also assessed the contribution of risk factors (smoking, second-hand smoke, ambient particulate matter and ozone pollution, household air pollution from solid fuels, and occupational risks) to chronic respiratory disease-attributable DALYs. Findings: In 2017, 544·9 million people (95% uncertainty interval [UI] 506·9–584·8) worldwide had a chronic respiratory disease, representing an increase of 39·8% compared with 1990. Chronic respiratory disease prevalence showed wide variability across GBD super-regions, with the highest prevalence among both males and females in high-income regions, and the lowest prevalence in sub-Saharan Africa and south Asia. The age-sex-specific prevalence of each chronic respiratory disease in 2017 was also highly variable geographically. Chronic respiratory diseases were the third leading cause of death in 2017 (7·0% [95% UI 6·8–7·2] of all deaths), behind cardiovascular diseases and neoplasms. Deaths due to chronic respiratory diseases numbered 3 914 196 (95% UI 3 790 578–4 044 819) in 2017, an increase of 18·0% since 1990, while total DALYs increased by 13·3%. However, when accounting for ageing and population growth, declines were observed in age-standardised prevalence (14·3% decrease), age-standardised death rates (42·6%), and age-standardised DALY rates (38·2%). In males and females, most chronic respiratory disease-attributable deaths and DALYs were due to COPD. In regional analyses, mortality rates from chronic respiratory diseases were greatest in south Asia and lowest in sub-Saharan Africa, also across both sexes. Notably, although absolute prevalence was lower in south Asia than in most other super-regions, YLLs due to chronic respiratory diseases across the subcontinent were the highest in the world. Death rates due to interstitial lung disease and pulmonary sarcoidosis were greater than those due to pneumoconiosis in all super-regions. Smoking was the leading risk factor for chronic respiratory disease-related disability across all regions for men. Among women, household air pollution from solid fuels was the predominant risk factor for chronic respiratory diseases in south Asia and sub-Saharan Africa, while ambient particulate matter represented the leading risk factor in southeast Asia, east Asia, and Oceania, and in the Middle East and north Africa super-region. Interpretation: Our study shows that chronic respiratory diseases remain a leading cause of death and disability worldwide, with growth in absolute numbers but sharp declines in several age-standardised estimators since 1990. Premature mortality from chronic respiratory diseases seems to be highest in regions with less-resourced health systems on a per-capita basis. Funding: Bill &amp; Melinda Gates Foundation.&quot;,&quot;publisher&quot;:&quot;Elsevier&quot;,&quot;issue&quot;:&quot;6&quot;,&quot;volume&quot;:&quot;8&quot;},&quot;isTemporary&quot;:false}]},{&quot;citationID&quot;:&quot;MENDELEY_CITATION_4963d2c3-db9f-4300-9b6a-774376f01a52&quot;,&quot;properties&quot;:{&quot;noteIndex&quot;:0},&quot;isEdited&quot;:false,&quot;manualOverride&quot;:{&quot;isManuallyOverridden&quot;:false,&quot;citeprocText&quot;:&quot;[41]&quot;,&quot;manualOverrideText&quot;:&quot;&quot;},&quot;citationTag&quot;:&quot;MENDELEY_CITATION_v3_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&quot;,&quot;citationItems&quot;:[{&quot;id&quot;:&quot;8ed6aa1b-1718-3ef6-89ec-e78e04ea0ca5&quot;,&quot;itemData&quot;:{&quot;type&quot;:&quot;article-journal&quot;,&quot;id&quot;:&quot;8ed6aa1b-1718-3ef6-89ec-e78e04ea0ca5&quot;,&quot;title&quot;:&quot;Trends in the Prevalence of Chronic Obstructive Pulmonary Disease Among Adults Aged ≥18 Years — United States, 2011–2021&quot;,&quot;author&quot;:[{&quot;family&quot;:&quot;Liu&quot;,&quot;given&quot;:&quot;Yong&quot;,&quot;parse-names&quot;:false,&quot;dropping-particle&quot;:&quot;&quot;,&quot;non-dropping-particle&quot;:&quot;&quot;},{&quot;family&quot;:&quot;Carlson&quot;,&quot;given&quot;:&quot;Susan A.&quot;,&quot;parse-names&quot;:false,&quot;dropping-particle&quot;:&quot;&quot;,&quot;non-dropping-particle&quot;:&quot;&quot;},{&quot;family&quot;:&quot;Watson&quot;,&quot;given&quot;:&quot;Kathleen B.&quot;,&quot;parse-names&quot;:false,&quot;dropping-particle&quot;:&quot;&quot;,&quot;non-dropping-particle&quot;:&quot;&quot;},{&quot;family&quot;:&quot;Xu&quot;,&quot;given&quot;:&quot;Fang&quot;,&quot;parse-names&quot;:false,&quot;dropping-particle&quot;:&quot;&quot;,&quot;non-dropping-particle&quot;:&quot;&quot;},{&quot;family&quot;:&quot;Greenlund&quot;,&quot;given&quot;:&quot;Kurt J.&quot;,&quot;parse-names&quot;:false,&quot;dropping-particle&quot;:&quot;&quot;,&quot;non-dropping-particle&quot;:&quot;&quot;}],&quot;container-title&quot;:&quot;MMWR. Morbidity and Mortality Weekly Report&quot;,&quot;container-title-short&quot;:&quot;MMWR Morb Mortal Wkly Rep&quot;,&quot;accessed&quot;:{&quot;date-parts&quot;:[[2024,6,30]]},&quot;DOI&quot;:&quot;10.15585/MMWR.MM7246A1&quot;,&quot;ISSN&quot;:&quot;0149-21951545-861X&quot;,&quot;PMID&quot;:&quot;37971940&quot;,&quot;URL&quot;:&quot;https://www.cdc.gov/mmwr/volumes/72/wr/mm7246a1.htm&quot;,&quot;issued&quot;:{&quot;date-parts&quot;:[[2023]]},&quot;page&quot;:&quot;1250-1256&quot;,&quot;abstract&quot;:&quot;Chronic obstructive pulmonary disease (COPD) is a leading cause of death in the United States. Overall COPD prevalence declined during 1999–2011. Trends in COPD prevalence during the previous decade have not been reported. CDC analyzed 2011–2021 Behavioral Risk Factor Surveillance System data to assess trends and differences in self-reported physician-diagnosed COPD prevalence among U.S. adults aged ≥18 years. Age-standardized prevalence of COPD did not change significantly from 2011 (6.1%) to 2021 (6.0%). Prevalence was stable for most states and subgroups; however, it decreased significantly among adults aged 18–44 years (average annual percent change [AAPC] = −2.0%) and increased significantly among those aged ≥75 years (AAPC = 1.3%), those living in micropolitan counties (0.8%), and among current (1.5%) or former (1.2%) smokers. COPD prevalence remained elevated in the following groups: women, adults aged ≥65 years, those with a lower education level, unable to work, living in rural areas, and who ever smoked. Evidence-based strategies, especially those tailored for adults disproportionately affected, can reduce COPD prevalence, and address the continued need for prevention, early diagnosis, treatment, and management.&quot;,&quot;publisher&quot;:&quot;Centers for Disease Control and Prevention (CDC)&quot;,&quot;issue&quot;:&quot;46&quot;,&quot;volume&quot;:&quot;72&quot;},&quot;isTemporary&quot;:false}]},{&quot;citationID&quot;:&quot;MENDELEY_CITATION_d90d7ba6-3132-4e1d-b1ed-a9af955ccf09&quot;,&quot;properties&quot;:{&quot;noteIndex&quot;:0},&quot;isEdited&quot;:false,&quot;manualOverride&quot;:{&quot;isManuallyOverridden&quot;:false,&quot;citeprocText&quot;:&quot;[41]&quot;,&quot;manualOverrideText&quot;:&quot;&quot;},&quot;citationTag&quot;:&quot;MENDELEY_CITATION_v3_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&quot;,&quot;citationItems&quot;:[{&quot;id&quot;:&quot;8ed6aa1b-1718-3ef6-89ec-e78e04ea0ca5&quot;,&quot;itemData&quot;:{&quot;type&quot;:&quot;article-journal&quot;,&quot;id&quot;:&quot;8ed6aa1b-1718-3ef6-89ec-e78e04ea0ca5&quot;,&quot;title&quot;:&quot;Trends in the Prevalence of Chronic Obstructive Pulmonary Disease Among Adults Aged ≥18 Years — United States, 2011–2021&quot;,&quot;author&quot;:[{&quot;family&quot;:&quot;Liu&quot;,&quot;given&quot;:&quot;Yong&quot;,&quot;parse-names&quot;:false,&quot;dropping-particle&quot;:&quot;&quot;,&quot;non-dropping-particle&quot;:&quot;&quot;},{&quot;family&quot;:&quot;Carlson&quot;,&quot;given&quot;:&quot;Susan A.&quot;,&quot;parse-names&quot;:false,&quot;dropping-particle&quot;:&quot;&quot;,&quot;non-dropping-particle&quot;:&quot;&quot;},{&quot;family&quot;:&quot;Watson&quot;,&quot;given&quot;:&quot;Kathleen B.&quot;,&quot;parse-names&quot;:false,&quot;dropping-particle&quot;:&quot;&quot;,&quot;non-dropping-particle&quot;:&quot;&quot;},{&quot;family&quot;:&quot;Xu&quot;,&quot;given&quot;:&quot;Fang&quot;,&quot;parse-names&quot;:false,&quot;dropping-particle&quot;:&quot;&quot;,&quot;non-dropping-particle&quot;:&quot;&quot;},{&quot;family&quot;:&quot;Greenlund&quot;,&quot;given&quot;:&quot;Kurt J.&quot;,&quot;parse-names&quot;:false,&quot;dropping-particle&quot;:&quot;&quot;,&quot;non-dropping-particle&quot;:&quot;&quot;}],&quot;container-title&quot;:&quot;MMWR. Morbidity and Mortality Weekly Report&quot;,&quot;container-title-short&quot;:&quot;MMWR Morb Mortal Wkly Rep&quot;,&quot;accessed&quot;:{&quot;date-parts&quot;:[[2024,6,30]]},&quot;DOI&quot;:&quot;10.15585/MMWR.MM7246A1&quot;,&quot;ISSN&quot;:&quot;0149-21951545-861X&quot;,&quot;PMID&quot;:&quot;37971940&quot;,&quot;URL&quot;:&quot;https://www.cdc.gov/mmwr/volumes/72/wr/mm7246a1.htm&quot;,&quot;issued&quot;:{&quot;date-parts&quot;:[[2023]]},&quot;page&quot;:&quot;1250-1256&quot;,&quot;abstract&quot;:&quot;Chronic obstructive pulmonary disease (COPD) is a leading cause of death in the United States. Overall COPD prevalence declined during 1999–2011. Trends in COPD prevalence during the previous decade have not been reported. CDC analyzed 2011–2021 Behavioral Risk Factor Surveillance System data to assess trends and differences in self-reported physician-diagnosed COPD prevalence among U.S. adults aged ≥18 years. Age-standardized prevalence of COPD did not change significantly from 2011 (6.1%) to 2021 (6.0%). Prevalence was stable for most states and subgroups; however, it decreased significantly among adults aged 18–44 years (average annual percent change [AAPC] = −2.0%) and increased significantly among those aged ≥75 years (AAPC = 1.3%), those living in micropolitan counties (0.8%), and among current (1.5%) or former (1.2%) smokers. COPD prevalence remained elevated in the following groups: women, adults aged ≥65 years, those with a lower education level, unable to work, living in rural areas, and who ever smoked. Evidence-based strategies, especially those tailored for adults disproportionately affected, can reduce COPD prevalence, and address the continued need for prevention, early diagnosis, treatment, and management.&quot;,&quot;publisher&quot;:&quot;Centers for Disease Control and Prevention (CDC)&quot;,&quot;issue&quot;:&quot;46&quot;,&quot;volume&quot;:&quot;72&quot;},&quot;isTemporary&quot;:false}]},{&quot;citationID&quot;:&quot;MENDELEY_CITATION_1dffc022-966c-4262-a4da-2797888951ca&quot;,&quot;properties&quot;:{&quot;noteIndex&quot;:0},&quot;isEdited&quot;:false,&quot;manualOverride&quot;:{&quot;isManuallyOverridden&quot;:false,&quot;citeprocText&quot;:&quot;[41]&quot;,&quot;manualOverrideText&quot;:&quot;&quot;},&quot;citationTag&quot;:&quot;MENDELEY_CITATION_v3_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&quot;,&quot;citationItems&quot;:[{&quot;id&quot;:&quot;8ed6aa1b-1718-3ef6-89ec-e78e04ea0ca5&quot;,&quot;itemData&quot;:{&quot;type&quot;:&quot;article-journal&quot;,&quot;id&quot;:&quot;8ed6aa1b-1718-3ef6-89ec-e78e04ea0ca5&quot;,&quot;title&quot;:&quot;Trends in the Prevalence of Chronic Obstructive Pulmonary Disease Among Adults Aged ≥18 Years — United States, 2011–2021&quot;,&quot;author&quot;:[{&quot;family&quot;:&quot;Liu&quot;,&quot;given&quot;:&quot;Yong&quot;,&quot;parse-names&quot;:false,&quot;dropping-particle&quot;:&quot;&quot;,&quot;non-dropping-particle&quot;:&quot;&quot;},{&quot;family&quot;:&quot;Carlson&quot;,&quot;given&quot;:&quot;Susan A.&quot;,&quot;parse-names&quot;:false,&quot;dropping-particle&quot;:&quot;&quot;,&quot;non-dropping-particle&quot;:&quot;&quot;},{&quot;family&quot;:&quot;Watson&quot;,&quot;given&quot;:&quot;Kathleen B.&quot;,&quot;parse-names&quot;:false,&quot;dropping-particle&quot;:&quot;&quot;,&quot;non-dropping-particle&quot;:&quot;&quot;},{&quot;family&quot;:&quot;Xu&quot;,&quot;given&quot;:&quot;Fang&quot;,&quot;parse-names&quot;:false,&quot;dropping-particle&quot;:&quot;&quot;,&quot;non-dropping-particle&quot;:&quot;&quot;},{&quot;family&quot;:&quot;Greenlund&quot;,&quot;given&quot;:&quot;Kurt J.&quot;,&quot;parse-names&quot;:false,&quot;dropping-particle&quot;:&quot;&quot;,&quot;non-dropping-particle&quot;:&quot;&quot;}],&quot;container-title&quot;:&quot;MMWR. Morbidity and Mortality Weekly Report&quot;,&quot;container-title-short&quot;:&quot;MMWR Morb Mortal Wkly Rep&quot;,&quot;accessed&quot;:{&quot;date-parts&quot;:[[2024,6,30]]},&quot;DOI&quot;:&quot;10.15585/MMWR.MM7246A1&quot;,&quot;ISSN&quot;:&quot;0149-21951545-861X&quot;,&quot;PMID&quot;:&quot;37971940&quot;,&quot;URL&quot;:&quot;https://www.cdc.gov/mmwr/volumes/72/wr/mm7246a1.htm&quot;,&quot;issued&quot;:{&quot;date-parts&quot;:[[2023]]},&quot;page&quot;:&quot;1250-1256&quot;,&quot;abstract&quot;:&quot;Chronic obstructive pulmonary disease (COPD) is a leading cause of death in the United States. Overall COPD prevalence declined during 1999–2011. Trends in COPD prevalence during the previous decade have not been reported. CDC analyzed 2011–2021 Behavioral Risk Factor Surveillance System data to assess trends and differences in self-reported physician-diagnosed COPD prevalence among U.S. adults aged ≥18 years. Age-standardized prevalence of COPD did not change significantly from 2011 (6.1%) to 2021 (6.0%). Prevalence was stable for most states and subgroups; however, it decreased significantly among adults aged 18–44 years (average annual percent change [AAPC] = −2.0%) and increased significantly among those aged ≥75 years (AAPC = 1.3%), those living in micropolitan counties (0.8%), and among current (1.5%) or former (1.2%) smokers. COPD prevalence remained elevated in the following groups: women, adults aged ≥65 years, those with a lower education level, unable to work, living in rural areas, and who ever smoked. Evidence-based strategies, especially those tailored for adults disproportionately affected, can reduce COPD prevalence, and address the continued need for prevention, early diagnosis, treatment, and management.&quot;,&quot;publisher&quot;:&quot;Centers for Disease Control and Prevention (CDC)&quot;,&quot;issue&quot;:&quot;46&quot;,&quot;volume&quot;:&quot;72&quot;},&quot;isTemporary&quot;:false}]},{&quot;citationID&quot;:&quot;MENDELEY_CITATION_2308ec30-347d-484f-b72f-af64d088fcb3&quot;,&quot;properties&quot;:{&quot;noteIndex&quot;:0},&quot;isEdited&quot;:false,&quot;manualOverride&quot;:{&quot;isManuallyOverridden&quot;:false,&quot;citeprocText&quot;:&quot;[41]&quot;,&quot;manualOverrideText&quot;:&quot;&quot;},&quot;citationTag&quot;:&quot;MENDELEY_CITATION_v3_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&quot;,&quot;citationItems&quot;:[{&quot;id&quot;:&quot;8ed6aa1b-1718-3ef6-89ec-e78e04ea0ca5&quot;,&quot;itemData&quot;:{&quot;type&quot;:&quot;article-journal&quot;,&quot;id&quot;:&quot;8ed6aa1b-1718-3ef6-89ec-e78e04ea0ca5&quot;,&quot;title&quot;:&quot;Trends in the Prevalence of Chronic Obstructive Pulmonary Disease Among Adults Aged ≥18 Years — United States, 2011–2021&quot;,&quot;author&quot;:[{&quot;family&quot;:&quot;Liu&quot;,&quot;given&quot;:&quot;Yong&quot;,&quot;parse-names&quot;:false,&quot;dropping-particle&quot;:&quot;&quot;,&quot;non-dropping-particle&quot;:&quot;&quot;},{&quot;family&quot;:&quot;Carlson&quot;,&quot;given&quot;:&quot;Susan A.&quot;,&quot;parse-names&quot;:false,&quot;dropping-particle&quot;:&quot;&quot;,&quot;non-dropping-particle&quot;:&quot;&quot;},{&quot;family&quot;:&quot;Watson&quot;,&quot;given&quot;:&quot;Kathleen B.&quot;,&quot;parse-names&quot;:false,&quot;dropping-particle&quot;:&quot;&quot;,&quot;non-dropping-particle&quot;:&quot;&quot;},{&quot;family&quot;:&quot;Xu&quot;,&quot;given&quot;:&quot;Fang&quot;,&quot;parse-names&quot;:false,&quot;dropping-particle&quot;:&quot;&quot;,&quot;non-dropping-particle&quot;:&quot;&quot;},{&quot;family&quot;:&quot;Greenlund&quot;,&quot;given&quot;:&quot;Kurt J.&quot;,&quot;parse-names&quot;:false,&quot;dropping-particle&quot;:&quot;&quot;,&quot;non-dropping-particle&quot;:&quot;&quot;}],&quot;container-title&quot;:&quot;MMWR. Morbidity and Mortality Weekly Report&quot;,&quot;container-title-short&quot;:&quot;MMWR Morb Mortal Wkly Rep&quot;,&quot;accessed&quot;:{&quot;date-parts&quot;:[[2024,6,30]]},&quot;DOI&quot;:&quot;10.15585/MMWR.MM7246A1&quot;,&quot;ISSN&quot;:&quot;0149-21951545-861X&quot;,&quot;PMID&quot;:&quot;37971940&quot;,&quot;URL&quot;:&quot;https://www.cdc.gov/mmwr/volumes/72/wr/mm7246a1.htm&quot;,&quot;issued&quot;:{&quot;date-parts&quot;:[[2023]]},&quot;page&quot;:&quot;1250-1256&quot;,&quot;abstract&quot;:&quot;Chronic obstructive pulmonary disease (COPD) is a leading cause of death in the United States. Overall COPD prevalence declined during 1999–2011. Trends in COPD prevalence during the previous decade have not been reported. CDC analyzed 2011–2021 Behavioral Risk Factor Surveillance System data to assess trends and differences in self-reported physician-diagnosed COPD prevalence among U.S. adults aged ≥18 years. Age-standardized prevalence of COPD did not change significantly from 2011 (6.1%) to 2021 (6.0%). Prevalence was stable for most states and subgroups; however, it decreased significantly among adults aged 18–44 years (average annual percent change [AAPC] = −2.0%) and increased significantly among those aged ≥75 years (AAPC = 1.3%), those living in micropolitan counties (0.8%), and among current (1.5%) or former (1.2%) smokers. COPD prevalence remained elevated in the following groups: women, adults aged ≥65 years, those with a lower education level, unable to work, living in rural areas, and who ever smoked. Evidence-based strategies, especially those tailored for adults disproportionately affected, can reduce COPD prevalence, and address the continued need for prevention, early diagnosis, treatment, and management.&quot;,&quot;publisher&quot;:&quot;Centers for Disease Control and Prevention (CDC)&quot;,&quot;issue&quot;:&quot;46&quot;,&quot;volume&quot;:&quot;72&quot;},&quot;isTemporary&quot;:false}]},{&quot;citationID&quot;:&quot;MENDELEY_CITATION_6717759c-37f6-4297-8f9e-de733a068059&quot;,&quot;properties&quot;:{&quot;noteIndex&quot;:0},&quot;isEdited&quot;:false,&quot;manualOverride&quot;:{&quot;isManuallyOverridden&quot;:false,&quot;citeprocText&quot;:&quot;[78]&quot;,&quot;manualOverrideText&quot;:&quot;&quot;},&quot;citationTag&quot;:&quot;MENDELEY_CITATION_v3_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&quot;,&quot;citationItems&quot;:[{&quot;id&quot;:&quot;87d42ebd-3afa-37ce-a176-8680b216c5d4&quot;,&quot;itemData&quot;:{&quot;type&quot;:&quot;article-journal&quot;,&quot;id&quot;:&quot;87d42ebd-3afa-37ce-a176-8680b216c5d4&quot;,&quot;title&quot;:&quot;A time for everything and everything in its time – exploring the mechanisms underlying seasonality of COPD exacerbations&quot;,&quot;author&quot;:[{&quot;family&quot;:&quot;Hicks&quot;,&quot;given&quot;:&quot;Alexander&quot;,&quot;parse-names&quot;:false,&quot;dropping-particle&quot;:&quot;&quot;,&quot;non-dropping-particle&quot;:&quot;&quot;},{&quot;family&quot;:&quot;Healy&quot;,&quot;given&quot;:&quot;Eugene&quot;,&quot;parse-names&quot;:false,&quot;dropping-particle&quot;:&quot;&quot;,&quot;non-dropping-particle&quot;:&quot;&quot;},{&quot;family&quot;:&quot;Sandeman&quot;,&quot;given&quot;:&quot;Natasha&quot;,&quot;parse-names&quot;:false,&quot;dropping-particle&quot;:&quot;&quot;,&quot;non-dropping-particle&quot;:&quot;&quot;},{&quot;family&quot;:&quot;Feelisch&quot;,&quot;given&quot;:&quot;Martin&quot;,&quot;parse-names&quot;:false,&quot;dropping-particle&quot;:&quot;&quot;,&quot;non-dropping-particle&quot;:&quot;&quot;},{&quot;family&quot;:&quot;Wilkinson&quot;,&quot;given&quot;:&quot;Tom&quot;,&quot;parse-names&quot;:false,&quot;dropping-particle&quot;:&quot;&quot;,&quot;non-dropping-particle&quot;:&quot;&quot;}],&quot;container-title&quot;:&quot;International Journal of Chronic Obstructive Pulmonary Disease&quot;,&quot;container-title-short&quot;:&quot;Int J Chron Obstruct Pulmon Dis&quot;,&quot;accessed&quot;:{&quot;date-parts&quot;:[[2025,6,4]]},&quot;DOI&quot;:&quot;10.2147/COPD.S146015&quot;,&quot;ISSN&quot;:&quot;11782005&quot;,&quot;PMID&quot;:&quot;30233164&quot;,&quot;URL&quot;:&quot;https://pmc.ncbi.nlm.nih.gov/articles/PMC6130531/&quot;,&quot;issued&quot;:{&quot;date-parts&quot;:[[2018]]},&quot;page&quot;:&quot;2739&quot;,&quot;abstract&quot;:&quot;Across Europe, COPD affects 23 million people leading to annual health care costs of ~€25.1 billion. This burden is particularly severe during winter months in association with the peak incidence of exacerbation events. Seasonal variation in the health status of patients with COPD places additional and often critical pressure on already strained health care resources. COPD exacerbations are characterized by worsening day-to-day symptoms of an individual and often triggered by respiratory infections, but the process by which this occurs in a seasonal fashion is likely to be multifactorial. In this review, we discuss recent population studies that highlight the impact of seasonality in COPD and review the proposed biological mechanisms underlying this. An appraisal of the role of the host susceptibility and response, environmental triggers and the biology of respiratory pathogens is detailed. The impact of each aspect is considered, and an integrated model of the context for the whole individual and society in general is explored.&quot;,&quot;publisher&quot;:&quot;Dove Medical Press Ltd.&quot;,&quot;volume&quot;:&quot;13&quot;},&quot;isTemporary&quot;:false}]},{&quot;citationID&quot;:&quot;MENDELEY_CITATION_340acc41-cf76-4638-b5b9-97baf7d3b2aa&quot;,&quot;properties&quot;:{&quot;noteIndex&quot;:0},&quot;isEdited&quot;:false,&quot;manualOverride&quot;:{&quot;isManuallyOverridden&quot;:false,&quot;citeprocText&quot;:&quot;[79]&quot;,&quot;manualOverrideText&quot;:&quot;&quot;},&quot;citationTag&quot;:&quot;MENDELEY_CITATION_v3_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&quot;,&quot;citationItems&quot;:[{&quot;id&quot;:&quot;eac5e507-c560-3a0a-9e3f-4b550da8060e&quot;,&quot;itemData&quot;:{&quot;type&quot;:&quot;article-journal&quot;,&quot;id&quot;:&quot;eac5e507-c560-3a0a-9e3f-4b550da8060e&quot;,&quot;title&quot;:&quot;Seasonality and determinants of moderate and severe COPD exacerbations in the TORCH study&quot;,&quot;author&quot;:[{&quot;family&quot;:&quot;Jenkins&quot;,&quot;given&quot;:&quot;C. R.&quot;,&quot;parse-names&quot;:false,&quot;dropping-particle&quot;:&quot;&quot;,&quot;non-dropping-particle&quot;:&quot;&quot;},{&quot;family&quot;:&quot;Celli&quot;,&quot;given&quot;:&quot;B.&quot;,&quot;parse-names&quot;:false,&quot;dropping-particle&quot;:&quot;&quot;,&quot;non-dropping-particle&quot;:&quot;&quot;},{&quot;family&quot;:&quot;Anderson&quot;,&quot;given&quot;:&quot;J. A.&quot;,&quot;parse-names&quot;:false,&quot;dropping-particle&quot;:&quot;&quot;,&quot;non-dropping-particle&quot;:&quot;&quot;},{&quot;family&quot;:&quot;Ferguson&quot;,&quot;given&quot;:&quot;G. T.&quot;,&quot;parse-names&quot;:false,&quot;dropping-particle&quot;:&quot;&quot;,&quot;non-dropping-particle&quot;:&quot;&quot;},{&quot;family&quot;:&quot;Jones&quot;,&quot;given&quot;:&quot;P. W.&quot;,&quot;parse-names&quot;:false,&quot;dropping-particle&quot;:&quot;&quot;,&quot;non-dropping-particle&quot;:&quot;&quot;},{&quot;family&quot;:&quot;Vestbo&quot;,&quot;given&quot;:&quot;J.&quot;,&quot;parse-names&quot;:false,&quot;dropping-particle&quot;:&quot;&quot;,&quot;non-dropping-particle&quot;:&quot;&quot;},{&quot;family&quot;:&quot;Yates&quot;,&quot;given&quot;:&quot;J. C.&quot;,&quot;parse-names&quot;:false,&quot;dropping-particle&quot;:&quot;&quot;,&quot;non-dropping-particle&quot;:&quot;&quot;},{&quot;family&quot;:&quot;Calverley&quot;,&quot;given&quot;:&quot;P. M.A.&quot;,&quot;parse-names&quot;:false,&quot;dropping-particle&quot;:&quot;&quot;,&quot;non-dropping-particle&quot;:&quot;&quot;}],&quot;container-title&quot;:&quot;European Respiratory Journal&quot;,&quot;accessed&quot;:{&quot;date-parts&quot;:[[2025,6,4]]},&quot;DOI&quot;:&quot;10.1183/09031936.00194610&quot;,&quot;ISSN&quot;:&quot;0903-1936&quot;,&quot;PMID&quot;:&quot;21737561&quot;,&quot;URL&quot;:&quot;https://publications.ersnet.org/content/erj/39/1/38&quot;,&quot;issued&quot;:{&quot;date-parts&quot;:[[2011,12,31]]},&quot;page&quot;:&quot;38-45&quot;,&quot;abstract&quot;:&quot;We investigated the impact of season relative to other determinants of chronic obstructive pulmonary disease (COPD) exacerbation frequency in a long-term international study of patients with forced expiratory volume in 1 s (FEV1) &lt;60% predicted.\nCOPD exacerbations were defined by worsening symptoms requiring systemic corticosteroids and/or antibiotics (moderate) or hospital admission (severe). Seasonality effect was calculated as the proportion of patients experiencing an exacerbation each month.\nExacerbations in the northern and southern regions showed an almost two-fold increase in the winter months. No seasonal pattern occurred in the tropics. Overall, 38% of exacerbations were treated with antibiotics only, 19% with systemic corticosteroids only and 43% with both, while 20% required hospital admission irrespective of the season. Exacerbation frequency was associated with older age, lower body mass index, lower FEV1 % pred and history of prior exacerbations. Females and patients with worse baseline breathlessness, assessed using the Medical Research Council (MRC) dyspnoea scale, exacerbated more often (rate ratio (RR) for male versus female 0.7, 95% CI 0.7–0.8 (p&lt;0.001); RR for MRC dyspnoea score 3 versus 1 and 2 combined 1.1, 95% CI 1.1–1.2 (p&lt;0.001)). The effect of season was independent of these risk factors.\nCOPD exacerbations and hospitalisations were more frequent in winter.&quot;,&quot;publisher&quot;:&quot;European Respiratory Society&quot;,&quot;issue&quot;:&quot;1&quot;,&quot;volume&quot;:&quot;39&quot;,&quot;container-title-short&quot;:&quot;&quot;},&quot;isTemporary&quot;:false}]},{&quot;citationID&quot;:&quot;MENDELEY_CITATION_7645775e-dbda-42dc-b81d-9462df8742e1&quot;,&quot;properties&quot;:{&quot;noteIndex&quot;:0},&quot;isEdited&quot;:false,&quot;manualOverride&quot;:{&quot;isManuallyOverridden&quot;:false,&quot;citeprocText&quot;:&quot;[79]&quot;,&quot;manualOverrideText&quot;:&quot;&quot;},&quot;citationTag&quot;:&quot;MENDELEY_CITATION_v3_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&quot;,&quot;citationItems&quot;:[{&quot;id&quot;:&quot;eac5e507-c560-3a0a-9e3f-4b550da8060e&quot;,&quot;itemData&quot;:{&quot;type&quot;:&quot;article-journal&quot;,&quot;id&quot;:&quot;eac5e507-c560-3a0a-9e3f-4b550da8060e&quot;,&quot;title&quot;:&quot;Seasonality and determinants of moderate and severe COPD exacerbations in the TORCH study&quot;,&quot;author&quot;:[{&quot;family&quot;:&quot;Jenkins&quot;,&quot;given&quot;:&quot;C. R.&quot;,&quot;parse-names&quot;:false,&quot;dropping-particle&quot;:&quot;&quot;,&quot;non-dropping-particle&quot;:&quot;&quot;},{&quot;family&quot;:&quot;Celli&quot;,&quot;given&quot;:&quot;B.&quot;,&quot;parse-names&quot;:false,&quot;dropping-particle&quot;:&quot;&quot;,&quot;non-dropping-particle&quot;:&quot;&quot;},{&quot;family&quot;:&quot;Anderson&quot;,&quot;given&quot;:&quot;J. A.&quot;,&quot;parse-names&quot;:false,&quot;dropping-particle&quot;:&quot;&quot;,&quot;non-dropping-particle&quot;:&quot;&quot;},{&quot;family&quot;:&quot;Ferguson&quot;,&quot;given&quot;:&quot;G. T.&quot;,&quot;parse-names&quot;:false,&quot;dropping-particle&quot;:&quot;&quot;,&quot;non-dropping-particle&quot;:&quot;&quot;},{&quot;family&quot;:&quot;Jones&quot;,&quot;given&quot;:&quot;P. W.&quot;,&quot;parse-names&quot;:false,&quot;dropping-particle&quot;:&quot;&quot;,&quot;non-dropping-particle&quot;:&quot;&quot;},{&quot;family&quot;:&quot;Vestbo&quot;,&quot;given&quot;:&quot;J.&quot;,&quot;parse-names&quot;:false,&quot;dropping-particle&quot;:&quot;&quot;,&quot;non-dropping-particle&quot;:&quot;&quot;},{&quot;family&quot;:&quot;Yates&quot;,&quot;given&quot;:&quot;J. C.&quot;,&quot;parse-names&quot;:false,&quot;dropping-particle&quot;:&quot;&quot;,&quot;non-dropping-particle&quot;:&quot;&quot;},{&quot;family&quot;:&quot;Calverley&quot;,&quot;given&quot;:&quot;P. M.A.&quot;,&quot;parse-names&quot;:false,&quot;dropping-particle&quot;:&quot;&quot;,&quot;non-dropping-particle&quot;:&quot;&quot;}],&quot;container-title&quot;:&quot;European Respiratory Journal&quot;,&quot;accessed&quot;:{&quot;date-parts&quot;:[[2025,6,4]]},&quot;DOI&quot;:&quot;10.1183/09031936.00194610&quot;,&quot;ISSN&quot;:&quot;0903-1936&quot;,&quot;PMID&quot;:&quot;21737561&quot;,&quot;URL&quot;:&quot;https://publications.ersnet.org/content/erj/39/1/38&quot;,&quot;issued&quot;:{&quot;date-parts&quot;:[[2011,12,31]]},&quot;page&quot;:&quot;38-45&quot;,&quot;abstract&quot;:&quot;We investigated the impact of season relative to other determinants of chronic obstructive pulmonary disease (COPD) exacerbation frequency in a long-term international study of patients with forced expiratory volume in 1 s (FEV1) &lt;60% predicted.\nCOPD exacerbations were defined by worsening symptoms requiring systemic corticosteroids and/or antibiotics (moderate) or hospital admission (severe). Seasonality effect was calculated as the proportion of patients experiencing an exacerbation each month.\nExacerbations in the northern and southern regions showed an almost two-fold increase in the winter months. No seasonal pattern occurred in the tropics. Overall, 38% of exacerbations were treated with antibiotics only, 19% with systemic corticosteroids only and 43% with both, while 20% required hospital admission irrespective of the season. Exacerbation frequency was associated with older age, lower body mass index, lower FEV1 % pred and history of prior exacerbations. Females and patients with worse baseline breathlessness, assessed using the Medical Research Council (MRC) dyspnoea scale, exacerbated more often (rate ratio (RR) for male versus female 0.7, 95% CI 0.7–0.8 (p&lt;0.001); RR for MRC dyspnoea score 3 versus 1 and 2 combined 1.1, 95% CI 1.1–1.2 (p&lt;0.001)). The effect of season was independent of these risk factors.\nCOPD exacerbations and hospitalisations were more frequent in winter.&quot;,&quot;publisher&quot;:&quot;European Respiratory Society&quot;,&quot;issue&quot;:&quot;1&quot;,&quot;volume&quot;:&quot;39&quot;,&quot;container-title-short&quot;:&quot;&quot;},&quot;isTemporary&quot;:false}]},{&quot;citationID&quot;:&quot;MENDELEY_CITATION_b72f352c-ff81-4e08-b3c3-c25a9d72d0e2&quot;,&quot;properties&quot;:{&quot;noteIndex&quot;:0},&quot;isEdited&quot;:false,&quot;manualOverride&quot;:{&quot;isManuallyOverridden&quot;:false,&quot;citeprocText&quot;:&quot;[80]&quot;,&quot;manualOverrideText&quot;:&quot;&quot;},&quot;citationTag&quot;:&quot;MENDELEY_CITATION_v3_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&quot;,&quot;citationItems&quot;:[{&quot;id&quot;:&quot;ed9f6623-978d-3e72-90de-8dc8790ac5dd&quot;,&quot;itemData&quot;:{&quot;type&quot;:&quot;article-journal&quot;,&quot;id&quot;:&quot;ed9f6623-978d-3e72-90de-8dc8790ac5dd&quot;,&quot;title&quot;:&quot;Seasonal distribution of COPD exacerbations in the prevention of exacerbations with tiotropium in COPD trial&quot;,&quot;author&quot;:[{&quot;family&quot;:&quot;Rabe&quot;,&quot;given&quot;:&quot;Klaus F.&quot;,&quot;parse-names&quot;:false,&quot;dropping-particle&quot;:&quot;&quot;,&quot;non-dropping-particle&quot;:&quot;&quot;},{&quot;family&quot;:&quot;Fabbri&quot;,&quot;given&quot;:&quot;Leonardo M.&quot;,&quot;parse-names&quot;:false,&quot;dropping-particle&quot;:&quot;&quot;,&quot;non-dropping-particle&quot;:&quot;&quot;},{&quot;family&quot;:&quot;Vogelmeier&quot;,&quot;given&quot;:&quot;Claus&quot;,&quot;parse-names&quot;:false,&quot;dropping-particle&quot;:&quot;&quot;,&quot;non-dropping-particle&quot;:&quot;&quot;},{&quot;family&quot;:&quot;Kögler&quot;,&quot;given&quot;:&quot;Harald&quot;,&quot;parse-names&quot;:false,&quot;dropping-particle&quot;:&quot;&quot;,&quot;non-dropping-particle&quot;:&quot;&quot;},{&quot;family&quot;:&quot;Schmidt&quot;,&quot;given&quot;:&quot;Hendrik&quot;,&quot;parse-names&quot;:false,&quot;dropping-particle&quot;:&quot;&quot;,&quot;non-dropping-particle&quot;:&quot;&quot;},{&quot;family&quot;:&quot;Beeh&quot;,&quot;given&quot;:&quot;Kai M.&quot;,&quot;parse-names&quot;:false,&quot;dropping-particle&quot;:&quot;&quot;,&quot;non-dropping-particle&quot;:&quot;&quot;},{&quot;family&quot;:&quot;Glaab&quot;,&quot;given&quot;:&quot;Thomas&quot;,&quot;parse-names&quot;:false,&quot;dropping-particle&quot;:&quot;&quot;,&quot;non-dropping-particle&quot;:&quot;&quot;}],&quot;container-title&quot;:&quot;Chest&quot;,&quot;container-title-short&quot;:&quot;Chest&quot;,&quot;accessed&quot;:{&quot;date-parts&quot;:[[2025,6,4]]},&quot;DOI&quot;:&quot;10.1378/chest.12-1277&quot;,&quot;ISSN&quot;:&quot;19313543&quot;,&quot;URL&quot;:&quot;https://pubmed.ncbi.nlm.nih.gov/23188489/&quot;,&quot;issued&quot;:{&quot;date-parts&quot;:[[2013]]},&quot;page&quot;:&quot;711-719&quot;,&quot;abstract&quot;:&quot;Background: There is still a lack of data on the seasonality of exacerbations of COPD based on large randomized studies using COPD exacerbations as primary end points. The objective of this study was to assess the seasonal pattern of moderate and severe exacerbations and analyze the influence of associated baseline factors. We also determined the timing of second exacerbations and the potential impact of the 2009 influenza A(H1N1) pandemic on exacerbations. Methods: Analyses of exacerbation rates across treatment groups were adjusted for differing times on treatment by means of descriptive statistics based on the 1-year Prevention of Exacerbations with Tiotropium in COPD (POET-COPD) trial, in which exacerbations were the primary end point. Results: Of the 7,376 patients who were randomized, a total of 4,411 exacerbations were reported in 2,691 patients. Mean monthly exacerbation rates during winter were 2.16-fold higher than during summer, regardless of baseline characteristics (age, sex, COPD severity, smoking status, BMI, inhaled corticosteroid use, cardiovascular comorbidity, concomitant cardiovascular medication). Second exacerbations after a previous event in October to March occurred 1 month earlier than during the warmer half of the season. The portion of exacerbation-related hospitalizations remained constant throughout the year. Most exacerbations were treated with antibiotics and reached a peak in the colder season. All-cause mortality showed a seasonal pattern similar to exacerbations. The 2009 A(H1N1) pandemic was not associated with an increase in exacerbation rates or deaths. Conclusions: This analysis presented a marked impact of season on exacerbation outcomes, antibiotic treatment, timing of second exacerbations, and all-cause mortality. © 2013 American College of Chest Physicians.&quot;,&quot;publisher&quot;:&quot;American College of Chest Physicians&quot;,&quot;issue&quot;:&quot;3&quot;,&quot;volume&quot;:&quot;143&quot;},&quot;isTemporary&quot;:false}]},{&quot;citationID&quot;:&quot;MENDELEY_CITATION_1441399f-c60d-4af9-8bd8-bbad9e10c0cb&quot;,&quot;properties&quot;:{&quot;noteIndex&quot;:0},&quot;isEdited&quot;:false,&quot;manualOverride&quot;:{&quot;isManuallyOverridden&quot;:false,&quot;citeprocText&quot;:&quot;[78]&quot;,&quot;manualOverrideText&quot;:&quot;&quot;},&quot;citationTag&quot;:&quot;MENDELEY_CITATION_v3_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&quot;,&quot;citationItems&quot;:[{&quot;id&quot;:&quot;87d42ebd-3afa-37ce-a176-8680b216c5d4&quot;,&quot;itemData&quot;:{&quot;type&quot;:&quot;article-journal&quot;,&quot;id&quot;:&quot;87d42ebd-3afa-37ce-a176-8680b216c5d4&quot;,&quot;title&quot;:&quot;A time for everything and everything in its time – exploring the mechanisms underlying seasonality of COPD exacerbations&quot;,&quot;author&quot;:[{&quot;family&quot;:&quot;Hicks&quot;,&quot;given&quot;:&quot;Alexander&quot;,&quot;parse-names&quot;:false,&quot;dropping-particle&quot;:&quot;&quot;,&quot;non-dropping-particle&quot;:&quot;&quot;},{&quot;family&quot;:&quot;Healy&quot;,&quot;given&quot;:&quot;Eugene&quot;,&quot;parse-names&quot;:false,&quot;dropping-particle&quot;:&quot;&quot;,&quot;non-dropping-particle&quot;:&quot;&quot;},{&quot;family&quot;:&quot;Sandeman&quot;,&quot;given&quot;:&quot;Natasha&quot;,&quot;parse-names&quot;:false,&quot;dropping-particle&quot;:&quot;&quot;,&quot;non-dropping-particle&quot;:&quot;&quot;},{&quot;family&quot;:&quot;Feelisch&quot;,&quot;given&quot;:&quot;Martin&quot;,&quot;parse-names&quot;:false,&quot;dropping-particle&quot;:&quot;&quot;,&quot;non-dropping-particle&quot;:&quot;&quot;},{&quot;family&quot;:&quot;Wilkinson&quot;,&quot;given&quot;:&quot;Tom&quot;,&quot;parse-names&quot;:false,&quot;dropping-particle&quot;:&quot;&quot;,&quot;non-dropping-particle&quot;:&quot;&quot;}],&quot;container-title&quot;:&quot;International Journal of Chronic Obstructive Pulmonary Disease&quot;,&quot;container-title-short&quot;:&quot;Int J Chron Obstruct Pulmon Dis&quot;,&quot;accessed&quot;:{&quot;date-parts&quot;:[[2025,6,4]]},&quot;DOI&quot;:&quot;10.2147/COPD.S146015&quot;,&quot;ISSN&quot;:&quot;11782005&quot;,&quot;PMID&quot;:&quot;30233164&quot;,&quot;URL&quot;:&quot;https://pmc.ncbi.nlm.nih.gov/articles/PMC6130531/&quot;,&quot;issued&quot;:{&quot;date-parts&quot;:[[2018]]},&quot;page&quot;:&quot;2739&quot;,&quot;abstract&quot;:&quot;Across Europe, COPD affects 23 million people leading to annual health care costs of ~€25.1 billion. This burden is particularly severe during winter months in association with the peak incidence of exacerbation events. Seasonal variation in the health status of patients with COPD places additional and often critical pressure on already strained health care resources. COPD exacerbations are characterized by worsening day-to-day symptoms of an individual and often triggered by respiratory infections, but the process by which this occurs in a seasonal fashion is likely to be multifactorial. In this review, we discuss recent population studies that highlight the impact of seasonality in COPD and review the proposed biological mechanisms underlying this. An appraisal of the role of the host susceptibility and response, environmental triggers and the biology of respiratory pathogens is detailed. The impact of each aspect is considered, and an integrated model of the context for the whole individual and society in general is explored.&quot;,&quot;publisher&quot;:&quot;Dove Medical Press Ltd.&quot;,&quot;volume&quot;:&quot;13&quot;},&quot;isTemporary&quot;:false}]},{&quot;citationID&quot;:&quot;MENDELEY_CITATION_3a7315a9-13ee-40df-ba27-68ea3235619f&quot;,&quot;properties&quot;:{&quot;noteIndex&quot;:0},&quot;isEdited&quot;:false,&quot;manualOverride&quot;:{&quot;isManuallyOverridden&quot;:false,&quot;citeprocText&quot;:&quot;[81]&quot;,&quot;manualOverrideText&quot;:&quot;&quot;},&quot;citationTag&quot;:&quot;MENDELEY_CITATION_v3_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&quot;,&quot;citationItems&quot;:[{&quot;id&quot;:&quot;5627838f-64d1-3ea3-b8f9-aedd2a09b121&quot;,&quot;itemData&quot;:{&quot;type&quot;:&quot;article-journal&quot;,&quot;id&quot;:&quot;5627838f-64d1-3ea3-b8f9-aedd2a09b121&quot;,&quot;title&quot;:&quot;Mortality, seasonal variation, and susceptibility to acute exacerbation of COPD in the pandemic year: a nationwide population study&quot;,&quot;author&quot;:[{&quot;family&quot;:&quot;Sarc&quot;,&quot;given&quot;:&quot;Irena&quot;,&quot;parse-names&quot;:false,&quot;dropping-particle&quot;:&quot;&quot;,&quot;non-dropping-particle&quot;:&quot;&quot;},{&quot;family&quot;:&quot;Lotric Dolinar&quot;,&quot;given&quot;:&quot;Alesa&quot;,&quot;parse-names&quot;:false,&quot;dropping-particle&quot;:&quot;&quot;,&quot;non-dropping-particle&quot;:&quot;&quot;},{&quot;family&quot;:&quot;Morgan&quot;,&quot;given&quot;:&quot;Tina&quot;,&quot;parse-names&quot;:false,&quot;dropping-particle&quot;:&quot;&quot;,&quot;non-dropping-particle&quot;:&quot;&quot;},{&quot;family&quot;:&quot;Sambt&quot;,&quot;given&quot;:&quot;Joze&quot;,&quot;parse-names&quot;:false,&quot;dropping-particle&quot;:&quot;&quot;,&quot;non-dropping-particle&quot;:&quot;&quot;},{&quot;family&quot;:&quot;Ziherl&quot;,&quot;given&quot;:&quot;Kristina&quot;,&quot;parse-names&quot;:false,&quot;dropping-particle&quot;:&quot;&quot;,&quot;non-dropping-particle&quot;:&quot;&quot;},{&quot;family&quot;:&quot;Gavric&quot;,&quot;given&quot;:&quot;Dalibor&quot;,&quot;parse-names&quot;:false,&quot;dropping-particle&quot;:&quot;&quot;,&quot;non-dropping-particle&quot;:&quot;&quot;},{&quot;family&quot;:&quot;Selb&quot;,&quot;given&quot;:&quot;Julij&quot;,&quot;parse-names&quot;:false,&quot;dropping-particle&quot;:&quot;&quot;,&quot;non-dropping-particle&quot;:&quot;&quot;},{&quot;family&quot;:&quot;Rozman&quot;,&quot;given&quot;:&quot;Ales&quot;,&quot;parse-names&quot;:false,&quot;dropping-particle&quot;:&quot;&quot;,&quot;non-dropping-particle&quot;:&quot;&quot;},{&quot;family&quot;:&quot;Dosenovic Bonca&quot;,&quot;given&quot;:&quot;Petra&quot;,&quot;parse-names&quot;:false,&quot;dropping-particle&quot;:&quot;&quot;,&quot;non-dropping-particle&quot;:&quot;&quot;}],&quot;container-title&quot;:&quot;Therapeutic Advances in Respiratory Disease&quot;,&quot;container-title-short&quot;:&quot;Ther Adv Respir Dis&quot;,&quot;accessed&quot;:{&quot;date-parts&quot;:[[2025,6,4]]},&quot;DOI&quot;:&quot;10.1177/17534666221081047&quot;,&quot;ISSN&quot;:&quot;17534666&quot;,&quot;PMID&quot;:&quot;35253548&quot;,&quot;URL&quot;:&quot;https://pmc.ncbi.nlm.nih.gov/articles/PMC8905064/&quot;,&quot;issued&quot;:{&quot;date-parts&quot;:[[2022,3,1]]},&quot;page&quot;:&quot;17534666221081047&quot;,&quot;abstract&quot;:&quot;Background: Previous studies have suggested that the coronavirus disease 2019 (COVID-19) pandemic was associated with a decreased rate of acute exacerbation of chronic obstructive pulmonary disease (AECOPD). Data on how the COVID-19 pandemic has influenced mortality, seasonality of, and susceptibility to AECOPD in the chronic obstructive pulmonary disease (COPD) population is scarce. Methods: We conducted a national population-based retrospective study using data from the Health Insurance Institute of Slovenia from 2015 to February 2021, with 2015–2019 as the reference. We extracted patient and healthcare data for AECOPD, dividing AECOPD into severe, resulting in hospitalisation, and moderate, requiring outpatient care. The national COPD population was generated based on dispensed prescriptions of inhalation therapies, and moderate AECOPD events were analysed based on dispensed AECOPD medications. We extracted data on all-cause and non-COVID mortality. Results: The numbers of severe and moderate AECOPD were reduced by 48% and 34%, respectively, in 2020. In the pandemic year, the seasonality of AECOPD was reversed, with a 1.5-fold higher number of severe AECOPD in summer compared to winter. The proportion of frequent exacerbators (⩾2 AECOPD hospitalisations per year) was reduced by 9% in 2020, with a 30% reduction in repeated severe AECOPD in frequent exacerbators and a 34% reduction in persistent frequent exacerbators (⩾2 AECOPD hospitalisations per year for 2 consecutive years) from 2019. The risk of two or more moderate AECOPD decreased by 43% in 2020. In the multivariate model, pandemic year follow-up was the only independent factor associated with a decreased risk for severe AECOPD (hazard ratio [HR]: 0.71; 95% confidence interval [CI]: 0.61–0.84; p &lt; 0.0001). In 2020, non-COVID mortality decreased (−15%) and no excessive mortality was observed in the COPD population. Conclusion: In the pandemic year, we found decreased susceptibility to AECOPD across severity spectrum of COPD, reversed seasonal distribution of severe AECOPD and decreased non-COVID mortality in the COPD population.&quot;,&quot;publisher&quot;:&quot;SAGE Publications Ltd&quot;,&quot;volume&quot;:&quot;16&quot;},&quot;isTemporary&quot;:false}]},{&quot;citationID&quot;:&quot;MENDELEY_CITATION_28fc17b9-4e23-4b1b-ad36-90351847b77d&quot;,&quot;properties&quot;:{&quot;noteIndex&quot;:0},&quot;isEdited&quot;:false,&quot;manualOverride&quot;:{&quot;isManuallyOverridden&quot;:false,&quot;citeprocText&quot;:&quot;[81]&quot;,&quot;manualOverrideText&quot;:&quot;&quot;},&quot;citationTag&quot;:&quot;MENDELEY_CITATION_v3_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&quot;,&quot;citationItems&quot;:[{&quot;id&quot;:&quot;5627838f-64d1-3ea3-b8f9-aedd2a09b121&quot;,&quot;itemData&quot;:{&quot;type&quot;:&quot;article-journal&quot;,&quot;id&quot;:&quot;5627838f-64d1-3ea3-b8f9-aedd2a09b121&quot;,&quot;title&quot;:&quot;Mortality, seasonal variation, and susceptibility to acute exacerbation of COPD in the pandemic year: a nationwide population study&quot;,&quot;author&quot;:[{&quot;family&quot;:&quot;Sarc&quot;,&quot;given&quot;:&quot;Irena&quot;,&quot;parse-names&quot;:false,&quot;dropping-particle&quot;:&quot;&quot;,&quot;non-dropping-particle&quot;:&quot;&quot;},{&quot;family&quot;:&quot;Lotric Dolinar&quot;,&quot;given&quot;:&quot;Alesa&quot;,&quot;parse-names&quot;:false,&quot;dropping-particle&quot;:&quot;&quot;,&quot;non-dropping-particle&quot;:&quot;&quot;},{&quot;family&quot;:&quot;Morgan&quot;,&quot;given&quot;:&quot;Tina&quot;,&quot;parse-names&quot;:false,&quot;dropping-particle&quot;:&quot;&quot;,&quot;non-dropping-particle&quot;:&quot;&quot;},{&quot;family&quot;:&quot;Sambt&quot;,&quot;given&quot;:&quot;Joze&quot;,&quot;parse-names&quot;:false,&quot;dropping-particle&quot;:&quot;&quot;,&quot;non-dropping-particle&quot;:&quot;&quot;},{&quot;family&quot;:&quot;Ziherl&quot;,&quot;given&quot;:&quot;Kristina&quot;,&quot;parse-names&quot;:false,&quot;dropping-particle&quot;:&quot;&quot;,&quot;non-dropping-particle&quot;:&quot;&quot;},{&quot;family&quot;:&quot;Gavric&quot;,&quot;given&quot;:&quot;Dalibor&quot;,&quot;parse-names&quot;:false,&quot;dropping-particle&quot;:&quot;&quot;,&quot;non-dropping-particle&quot;:&quot;&quot;},{&quot;family&quot;:&quot;Selb&quot;,&quot;given&quot;:&quot;Julij&quot;,&quot;parse-names&quot;:false,&quot;dropping-particle&quot;:&quot;&quot;,&quot;non-dropping-particle&quot;:&quot;&quot;},{&quot;family&quot;:&quot;Rozman&quot;,&quot;given&quot;:&quot;Ales&quot;,&quot;parse-names&quot;:false,&quot;dropping-particle&quot;:&quot;&quot;,&quot;non-dropping-particle&quot;:&quot;&quot;},{&quot;family&quot;:&quot;Dosenovic Bonca&quot;,&quot;given&quot;:&quot;Petra&quot;,&quot;parse-names&quot;:false,&quot;dropping-particle&quot;:&quot;&quot;,&quot;non-dropping-particle&quot;:&quot;&quot;}],&quot;container-title&quot;:&quot;Therapeutic Advances in Respiratory Disease&quot;,&quot;container-title-short&quot;:&quot;Ther Adv Respir Dis&quot;,&quot;accessed&quot;:{&quot;date-parts&quot;:[[2025,6,4]]},&quot;DOI&quot;:&quot;10.1177/17534666221081047&quot;,&quot;ISSN&quot;:&quot;17534666&quot;,&quot;PMID&quot;:&quot;35253548&quot;,&quot;URL&quot;:&quot;https://pmc.ncbi.nlm.nih.gov/articles/PMC8905064/&quot;,&quot;issued&quot;:{&quot;date-parts&quot;:[[2022,3,1]]},&quot;page&quot;:&quot;17534666221081047&quot;,&quot;abstract&quot;:&quot;Background: Previous studies have suggested that the coronavirus disease 2019 (COVID-19) pandemic was associated with a decreased rate of acute exacerbation of chronic obstructive pulmonary disease (AECOPD). Data on how the COVID-19 pandemic has influenced mortality, seasonality of, and susceptibility to AECOPD in the chronic obstructive pulmonary disease (COPD) population is scarce. Methods: We conducted a national population-based retrospective study using data from the Health Insurance Institute of Slovenia from 2015 to February 2021, with 2015–2019 as the reference. We extracted patient and healthcare data for AECOPD, dividing AECOPD into severe, resulting in hospitalisation, and moderate, requiring outpatient care. The national COPD population was generated based on dispensed prescriptions of inhalation therapies, and moderate AECOPD events were analysed based on dispensed AECOPD medications. We extracted data on all-cause and non-COVID mortality. Results: The numbers of severe and moderate AECOPD were reduced by 48% and 34%, respectively, in 2020. In the pandemic year, the seasonality of AECOPD was reversed, with a 1.5-fold higher number of severe AECOPD in summer compared to winter. The proportion of frequent exacerbators (⩾2 AECOPD hospitalisations per year) was reduced by 9% in 2020, with a 30% reduction in repeated severe AECOPD in frequent exacerbators and a 34% reduction in persistent frequent exacerbators (⩾2 AECOPD hospitalisations per year for 2 consecutive years) from 2019. The risk of two or more moderate AECOPD decreased by 43% in 2020. In the multivariate model, pandemic year follow-up was the only independent factor associated with a decreased risk for severe AECOPD (hazard ratio [HR]: 0.71; 95% confidence interval [CI]: 0.61–0.84; p &lt; 0.0001). In 2020, non-COVID mortality decreased (−15%) and no excessive mortality was observed in the COPD population. Conclusion: In the pandemic year, we found decreased susceptibility to AECOPD across severity spectrum of COPD, reversed seasonal distribution of severe AECOPD and decreased non-COVID mortality in the COPD population.&quot;,&quot;publisher&quot;:&quot;SAGE Publications Ltd&quot;,&quot;volume&quot;:&quot;16&quot;},&quot;isTemporary&quot;:false}]},{&quot;citationID&quot;:&quot;MENDELEY_CITATION_4acc52a9-26e8-42aa-8712-7dacb8bd29c9&quot;,&quot;properties&quot;:{&quot;noteIndex&quot;:0},&quot;isEdited&quot;:false,&quot;manualOverride&quot;:{&quot;isManuallyOverridden&quot;:false,&quot;citeprocText&quot;:&quot;[82]&quot;,&quot;manualOverrideText&quot;:&quot;&quot;},&quot;citationTag&quot;:&quot;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&quot;,&quot;citationItems&quot;:[{&quot;id&quot;:&quot;40c2a82a-f568-3da3-8965-27201e1edcd6&quot;,&quot;itemData&quot;:{&quot;type&quot;:&quot;article-journal&quot;,&quot;id&quot;:&quot;40c2a82a-f568-3da3-8965-27201e1edcd6&quot;,&quot;title&quot;:&quot;Lung-function trajectories: relevance and implementation in clinical practice&quot;,&quot;author&quot;:[{&quot;family&quot;:&quot;Melén&quot;,&quot;given&quot;:&quot;Erik&quot;,&quot;parse-names&quot;:false,&quot;dropping-particle&quot;:&quot;&quot;,&quot;non-dropping-particle&quot;:&quot;&quot;},{&quot;family&quot;:&quot;Faner&quot;,&quot;given&quot;:&quot;Rosa&quot;,&quot;parse-names&quot;:false,&quot;dropping-particle&quot;:&quot;&quot;,&quot;non-dropping-particle&quot;:&quot;&quot;},{&quot;family&quot;:&quot;Allinson&quot;,&quot;given&quot;:&quot;James P.&quot;,&quot;parse-names&quot;:false,&quot;dropping-particle&quot;:&quot;&quot;,&quot;non-dropping-particle&quot;:&quot;&quot;},{&quot;family&quot;:&quot;Bui&quot;,&quot;given&quot;:&quot;Dinh&quot;,&quot;parse-names&quot;:false,&quot;dropping-particle&quot;:&quot;&quot;,&quot;non-dropping-particle&quot;:&quot;&quot;},{&quot;family&quot;:&quot;Bush&quot;,&quot;given&quot;:&quot;Andrew&quot;,&quot;parse-names&quot;:false,&quot;dropping-particle&quot;:&quot;&quot;,&quot;non-dropping-particle&quot;:&quot;&quot;},{&quot;family&quot;:&quot;Custovic&quot;,&quot;given&quot;:&quot;Adnan&quot;,&quot;parse-names&quot;:false,&quot;dropping-particle&quot;:&quot;&quot;,&quot;non-dropping-particle&quot;:&quot;&quot;},{&quot;family&quot;:&quot;Garcia-Aymerich&quot;,&quot;given&quot;:&quot;Judith&quot;,&quot;parse-names&quot;:false,&quot;dropping-particle&quot;:&quot;&quot;,&quot;non-dropping-particle&quot;:&quot;&quot;},{&quot;family&quot;:&quot;Guerra&quot;,&quot;given&quot;:&quot;Stefano&quot;,&quot;parse-names&quot;:false,&quot;dropping-particle&quot;:&quot;&quot;,&quot;non-dropping-particle&quot;:&quot;&quot;},{&quot;family&quot;:&quot;Breyer-Kohansal&quot;,&quot;given&quot;:&quot;Robab&quot;,&quot;parse-names&quot;:false,&quot;dropping-particle&quot;:&quot;&quot;,&quot;non-dropping-particle&quot;:&quot;&quot;},{&quot;family&quot;:&quot;Hallberg&quot;,&quot;given&quot;:&quot;Jenny&quot;,&quot;parse-names&quot;:false,&quot;dropping-particle&quot;:&quot;&quot;,&quot;non-dropping-particle&quot;:&quot;&quot;},{&quot;family&quot;:&quot;Lahousse&quot;,&quot;given&quot;:&quot;Lies&quot;,&quot;parse-names&quot;:false,&quot;dropping-particle&quot;:&quot;&quot;,&quot;non-dropping-particle&quot;:&quot;&quot;},{&quot;family&quot;:&quot;Martinez&quot;,&quot;given&quot;:&quot;Fernando D.&quot;,&quot;parse-names&quot;:false,&quot;dropping-particle&quot;:&quot;&quot;,&quot;non-dropping-particle&quot;:&quot;&quot;},{&quot;family&quot;:&quot;Merid&quot;,&quot;given&quot;:&quot;Simon Kebede&quot;,&quot;parse-names&quot;:false,&quot;dropping-particle&quot;:&quot;&quot;,&quot;non-dropping-particle&quot;:&quot;&quot;},{&quot;family&quot;:&quot;Powell&quot;,&quot;given&quot;:&quot;Pippa&quot;,&quot;parse-names&quot;:false,&quot;dropping-particle&quot;:&quot;&quot;,&quot;non-dropping-particle&quot;:&quot;&quot;},{&quot;family&quot;:&quot;Pinnock&quot;,&quot;given&quot;:&quot;Hilary&quot;,&quot;parse-names&quot;:false,&quot;dropping-particle&quot;:&quot;&quot;,&quot;non-dropping-particle&quot;:&quot;&quot;},{&quot;family&quot;:&quot;Stanojevic&quot;,&quot;given&quot;:&quot;Sanja&quot;,&quot;parse-names&quot;:false,&quot;dropping-particle&quot;:&quot;&quot;,&quot;non-dropping-particle&quot;:&quot;&quot;},{&quot;family&quot;:&quot;Vanfleteren&quot;,&quot;given&quot;:&quot;Lowie E.G.W.&quot;,&quot;parse-names&quot;:false,&quot;dropping-particle&quot;:&quot;&quot;,&quot;non-dropping-particle&quot;:&quot;&quot;},{&quot;family&quot;:&quot;Wang&quot;,&quot;given&quot;:&quot;Gang&quot;,&quot;parse-names&quot;:false,&quot;dropping-particle&quot;:&quot;&quot;,&quot;non-dropping-particle&quot;:&quot;&quot;},{&quot;family&quot;:&quot;Dharmage&quot;,&quot;given&quot;:&quot;Shyamali C.&quot;,&quot;parse-names&quot;:false,&quot;dropping-particle&quot;:&quot;&quot;,&quot;non-dropping-particle&quot;:&quot;&quot;},{&quot;family&quot;:&quot;Wedzicha&quot;,&quot;given&quot;:&quot;Jadwiga&quot;,&quot;parse-names&quot;:false,&quot;dropping-particle&quot;:&quot;&quot;,&quot;non-dropping-particle&quot;:&quot;&quot;},{&quot;family&quot;:&quot;Agusti&quot;,&quot;given&quot;:&quot;Alvar&quot;,&quot;parse-names&quot;:false,&quot;dropping-particle&quot;:&quot;&quot;,&quot;non-dropping-particle&quot;:&quot;&quot;},{&quot;family&quot;:&quot;Abellan&quot;,&quot;given&quot;:&quot;Alicia&quot;,&quot;parse-names&quot;:false,&quot;dropping-particle&quot;:&quot;&quot;,&quot;non-dropping-particle&quot;:&quot;&quot;},{&quot;family&quot;:&quot;Adcock&quot;,&quot;given&quot;:&quot;Ian&quot;,&quot;parse-names&quot;:false,&quot;dropping-particle&quot;:&quot;&quot;,&quot;non-dropping-particle&quot;:&quot;&quot;},{&quot;family&quot;:&quot;Afzal&quot;,&quot;given&quot;:&quot;Shoaib&quot;,&quot;parse-names&quot;:false,&quot;dropping-particle&quot;:&quot;&quot;,&quot;non-dropping-particle&quot;:&quot;&quot;},{&quot;family&quot;:&quot;Alter&quot;,&quot;given&quot;:&quot;Peter&quot;,&quot;parse-names&quot;:false,&quot;dropping-particle&quot;:&quot;&quot;,&quot;non-dropping-particle&quot;:&quot;&quot;},{&quot;family&quot;:&quot;Backman&quot;,&quot;given&quot;:&quot;Helena&quot;,&quot;parse-names&quot;:false,&quot;dropping-particle&quot;:&quot;&quot;,&quot;non-dropping-particle&quot;:&quot;&quot;},{&quot;family&quot;:&quot;Bertels&quot;,&quot;given&quot;:&quot;Xander&quot;,&quot;parse-names&quot;:false,&quot;dropping-particle&quot;:&quot;&quot;,&quot;non-dropping-particle&quot;:&quot;&quot;},{&quot;family&quot;:&quot;Bloom&quot;,&quot;given&quot;:&quot;Chloe&quot;,&quot;parse-names&quot;:false,&quot;dropping-particle&quot;:&quot;&quot;,&quot;non-dropping-particle&quot;:&quot;&quot;},{&quot;family&quot;:&quot;Bønnelykke&quot;,&quot;given&quot;:&quot;Klaus&quot;,&quot;parse-names&quot;:false,&quot;dropping-particle&quot;:&quot;&quot;,&quot;non-dropping-particle&quot;:&quot;&quot;},{&quot;family&quot;:&quot;Breyer&quot;,&quot;given&quot;:&quot;Marie Kathrin&quot;,&quot;parse-names&quot;:false,&quot;dropping-particle&quot;:&quot;&quot;,&quot;non-dropping-particle&quot;:&quot;&quot;},{&quot;family&quot;:&quot;Casas&quot;,&quot;given&quot;:&quot;Sandra&quot;,&quot;parse-names&quot;:false,&quot;dropping-particle&quot;:&quot;&quot;,&quot;non-dropping-particle&quot;:&quot;&quot;},{&quot;family&quot;:&quot;Chung&quot;,&quot;given&quot;:&quot;Fan (Kian)&quot;,&quot;parse-names&quot;:false,&quot;dropping-particle&quot;:&quot;&quot;,&quot;non-dropping-particle&quot;:&quot;&quot;},{&quot;family&quot;:&quot;Colak&quot;,&quot;given&quot;:&quot;Yunus&quot;,&quot;parse-names&quot;:false,&quot;dropping-particle&quot;:&quot;&quot;,&quot;non-dropping-particle&quot;:&quot;&quot;},{&quot;family&quot;:&quot;Cosio&quot;,&quot;given&quot;:&quot;Borja G.&quot;,&quot;parse-names&quot;:false,&quot;dropping-particle&quot;:&quot;&quot;,&quot;non-dropping-particle&quot;:&quot;&quot;},{&quot;family&quot;:&quot;Duijts&quot;,&quot;given&quot;:&quot;Liesbeth&quot;,&quot;parse-names&quot;:false,&quot;dropping-particle&quot;:&quot;&quot;,&quot;non-dropping-particle&quot;:&quot;&quot;},{&quot;family&quot;:&quot;Fabbri&quot;,&quot;given&quot;:&quot;Leonardo&quot;,&quot;parse-names&quot;:false,&quot;dropping-particle&quot;:&quot;&quot;,&quot;non-dropping-particle&quot;:&quot;&quot;},{&quot;family&quot;:&quot;Fontanella&quot;,&quot;given&quot;:&quot;Sara&quot;,&quot;parse-names&quot;:false,&quot;dropping-particle&quot;:&quot;&quot;,&quot;non-dropping-particle&quot;:&quot;&quot;},{&quot;family&quot;:&quot;Fuertes&quot;,&quot;given&quot;:&quot;Elaine&quot;,&quot;parse-names&quot;:false,&quot;dropping-particle&quot;:&quot;&quot;,&quot;non-dropping-particle&quot;:&quot;&quot;},{&quot;family&quot;:&quot;Gonzalez&quot;,&quot;given&quot;:&quot;Juan Ramón&quot;,&quot;parse-names&quot;:false,&quot;dropping-particle&quot;:&quot;&quot;,&quot;non-dropping-particle&quot;:&quot;&quot;},{&quot;family&quot;:&quot;Granell&quot;,&quot;given&quot;:&quot;Raquel&quot;,&quot;parse-names&quot;:false,&quot;dropping-particle&quot;:&quot;&quot;,&quot;non-dropping-particle&quot;:&quot;&quot;},{&quot;family&quot;:&quot;Hartl&quot;,&quot;given&quot;:&quot;Sylvia&quot;,&quot;parse-names&quot;:false,&quot;dropping-particle&quot;:&quot;&quot;,&quot;non-dropping-particle&quot;:&quot;&quot;},{&quot;family&quot;:&quot;Hernandez-Pacheco&quot;,&quot;given&quot;:&quot;Natalia&quot;,&quot;parse-names&quot;:false,&quot;dropping-particle&quot;:&quot;&quot;,&quot;non-dropping-particle&quot;:&quot;&quot;},{&quot;family&quot;:&quot;Holloway&quot;,&quot;given&quot;:&quot;John&quot;,&quot;parse-names&quot;:false,&quot;dropping-particle&quot;:&quot;&quot;,&quot;non-dropping-particle&quot;:&quot;&quot;},{&quot;family&quot;:&quot;Jarvis&quot;,&quot;given&quot;:&quot;Deborah&quot;,&quot;parse-names&quot;:false,&quot;dropping-particle&quot;:&quot;&quot;,&quot;non-dropping-particle&quot;:&quot;&quot;},{&quot;family&quot;:&quot;Koefoed&quot;,&quot;given&quot;:&quot;Hans Jacob&quot;,&quot;parse-names&quot;:false,&quot;dropping-particle&quot;:&quot;&quot;,&quot;non-dropping-particle&quot;:&quot;&quot;},{&quot;family&quot;:&quot;Kole&quot;,&quot;given&quot;:&quot;Tessa&quot;,&quot;parse-names&quot;:false,&quot;dropping-particle&quot;:&quot;&quot;,&quot;non-dropping-particle&quot;:&quot;&quot;},{&quot;family&quot;:&quot;Kumar&quot;,&quot;given&quot;:&quot;Ashish&quot;,&quot;parse-names&quot;:false,&quot;dropping-particle&quot;:&quot;&quot;,&quot;non-dropping-particle&quot;:&quot;&quot;},{&quot;family&quot;:&quot;Langhammer&quot;,&quot;given&quot;:&quot;Arnulf&quot;,&quot;parse-names&quot;:false,&quot;dropping-particle&quot;:&quot;&quot;,&quot;non-dropping-particle&quot;:&quot;&quot;},{&quot;family&quot;:&quot;Lindberg&quot;,&quot;given&quot;:&quot;Anne&quot;,&quot;parse-names&quot;:false,&quot;dropping-particle&quot;:&quot;&quot;,&quot;non-dropping-particle&quot;:&quot;&quot;},{&quot;family&quot;:&quot;Llopis&quot;,&quot;given&quot;:&quot;Maria&quot;,&quot;parse-names&quot;:false,&quot;dropping-particle&quot;:&quot;&quot;,&quot;non-dropping-particle&quot;:&quot;&quot;},{&quot;family&quot;:&quot;Maitland van der Zee&quot;,&quot;given&quot;:&quot;Anke Hilse&quot;,&quot;parse-names&quot;:false,&quot;dropping-particle&quot;:&quot;&quot;,&quot;non-dropping-particle&quot;:&quot;&quot;},{&quot;family&quot;:&quot;Meteran&quot;,&quot;given&quot;:&quot;Howraman&quot;,&quot;parse-names&quot;:false,&quot;dropping-particle&quot;:&quot;&quot;,&quot;non-dropping-particle&quot;:&quot;&quot;},{&quot;family&quot;:&quot;Minelli&quot;,&quot;given&quot;:&quot;Cosetta&quot;,&quot;parse-names&quot;:false,&quot;dropping-particle&quot;:&quot;&quot;,&quot;non-dropping-particle&quot;:&quot;&quot;},{&quot;family&quot;:&quot;Nwaru&quot;,&quot;given&quot;:&quot;Bright&quot;,&quot;parse-names&quot;:false,&quot;dropping-particle&quot;:&quot;&quot;,&quot;non-dropping-particle&quot;:&quot;&quot;},{&quot;family&quot;:&quot;Olvera&quot;,&quot;given&quot;:&quot;Nuria&quot;,&quot;parse-names&quot;:false,&quot;dropping-particle&quot;:&quot;&quot;,&quot;non-dropping-particle&quot;:&quot;&quot;},{&quot;family&quot;:&quot;Peralta&quot;,&quot;given&quot;:&quot;Gabriela&quot;,&quot;parse-names&quot;:false,&quot;dropping-particle&quot;:&quot;&quot;,&quot;non-dropping-particle&quot;:&quot;&quot;},{&quot;family&quot;:&quot;Ritchie&quot;,&quot;given&quot;:&quot;Andrew&quot;,&quot;parse-names&quot;:false,&quot;dropping-particle&quot;:&quot;&quot;,&quot;non-dropping-particle&quot;:&quot;&quot;},{&quot;family&quot;:&quot;Rönmark&quot;,&quot;given&quot;:&quot;Eva&quot;,&quot;parse-names&quot;:false,&quot;dropping-particle&quot;:&quot;&quot;,&quot;non-dropping-particle&quot;:&quot;&quot;},{&quot;family&quot;:&quot;Ross Chapman&quot;,&quot;given&quot;:&quot;James&quot;,&quot;parse-names&quot;:false,&quot;dropping-particle&quot;:&quot;&quot;,&quot;non-dropping-particle&quot;:&quot;&quot;},{&quot;family&quot;:&quot;Sangüesa Boix&quot;,&quot;given&quot;:&quot;Júlia&quot;,&quot;parse-names&quot;:false,&quot;dropping-particle&quot;:&quot;&quot;,&quot;non-dropping-particle&quot;:&quot;&quot;},{&quot;family&quot;:&quot;Schikowski&quot;,&quot;given&quot;:&quot;Tamara&quot;,&quot;parse-names&quot;:false,&quot;dropping-particle&quot;:&quot;&quot;,&quot;non-dropping-particle&quot;:&quot;&quot;},{&quot;family&quot;:&quot;Schlünssen&quot;,&quot;given&quot;:&quot;Vivi&quot;,&quot;parse-names&quot;:false,&quot;dropping-particle&quot;:&quot;&quot;,&quot;non-dropping-particle&quot;:&quot;&quot;},{&quot;family&quot;:&quot;Shaheen&quot;,&quot;given&quot;:&quot;Seif&quot;,&quot;parse-names&quot;:false,&quot;dropping-particle&quot;:&quot;&quot;,&quot;non-dropping-particle&quot;:&quot;&quot;},{&quot;family&quot;:&quot;Sigsgaard&quot;,&quot;given&quot;:&quot;Torben&quot;,&quot;parse-names&quot;:false,&quot;dropping-particle&quot;:&quot;&quot;,&quot;non-dropping-particle&quot;:&quot;&quot;},{&quot;family&quot;:&quot;Standl&quot;,&quot;given&quot;:&quot;Marie&quot;,&quot;parse-names&quot;:false,&quot;dropping-particle&quot;:&quot;&quot;,&quot;non-dropping-particle&quot;:&quot;&quot;},{&quot;family&quot;:&quot;Talaei&quot;,&quot;given&quot;:&quot;Mohammad&quot;,&quot;parse-names&quot;:false,&quot;dropping-particle&quot;:&quot;&quot;,&quot;non-dropping-particle&quot;:&quot;&quot;},{&quot;family&quot;:&quot;Ullah&quot;,&quot;given&quot;:&quot;Anhar&quot;,&quot;parse-names&quot;:false,&quot;dropping-particle&quot;:&quot;&quot;,&quot;non-dropping-particle&quot;:&quot;&quot;},{&quot;family&quot;:&quot;Ullman&quot;,&quot;given&quot;:&quot;Anders&quot;,&quot;parse-names&quot;:false,&quot;dropping-particle&quot;:&quot;&quot;,&quot;non-dropping-particle&quot;:&quot;&quot;},{&quot;family&quot;:&quot;Valencia-Hernandez&quot;,&quot;given&quot;:&quot;Carlos&quot;,&quot;parse-names&quot;:false,&quot;dropping-particle&quot;:&quot;&quot;,&quot;non-dropping-particle&quot;:&quot;&quot;},{&quot;family&quot;:&quot;Berge&quot;,&quot;given&quot;:&quot;Maarten&quot;,&quot;parse-names&quot;:false,&quot;dropping-particle&quot;:&quot;&quot;,&quot;non-dropping-particle&quot;:&quot;van den&quot;},{&quot;family&quot;:&quot;Dijk&quot;,&quot;given&quot;:&quot;Yoni&quot;,&quot;parse-names&quot;:false,&quot;dropping-particle&quot;:&quot;&quot;,&quot;non-dropping-particle&quot;:&quot;van&quot;},{&quot;family&quot;:&quot;Vestbo&quot;,&quot;given&quot;:&quot;Jørgen&quot;,&quot;parse-names&quot;:false,&quot;dropping-particle&quot;:&quot;&quot;,&quot;non-dropping-particle&quot;:&quot;&quot;},{&quot;family&quot;:&quot;Vijverberg&quot;,&quot;given&quot;:&quot;Susanne&quot;,&quot;parse-names&quot;:false,&quot;dropping-particle&quot;:&quot;&quot;,&quot;non-dropping-particle&quot;:&quot;&quot;},{&quot;family&quot;:&quot;Vikjord&quot;,&quot;given&quot;:&quot;Sigrid Anna&quot;,&quot;parse-names&quot;:false,&quot;dropping-particle&quot;:&quot;&quot;,&quot;non-dropping-particle&quot;:&quot;&quot;},{&quot;family&quot;:&quot;Volgelmeier&quot;,&quot;given&quot;:&quot;Claus&quot;,&quot;parse-names&quot;:false,&quot;dropping-particle&quot;:&quot;&quot;,&quot;non-dropping-particle&quot;:&quot;&quot;},{&quot;family&quot;:&quot;Vonk&quot;,&quot;given&quot;:&quot;Judith&quot;,&quot;parse-names&quot;:false,&quot;dropping-particle&quot;:&quot;&quot;,&quot;non-dropping-particle&quot;:&quot;&quot;},{&quot;family&quot;:&quot;Zounemat Kermani&quot;,&quot;given&quot;:&quot;Nazanin&quot;,&quot;parse-names&quot;:false,&quot;dropping-particle&quot;:&quot;&quot;,&quot;non-dropping-particle&quot;:&quot;&quot;}],&quot;container-title&quot;:&quot;Lancet (London, England)&quot;,&quot;accessed&quot;:{&quot;date-parts&quot;:[[2024,10,16]]},&quot;DOI&quot;:&quot;10.1016/S0140-6736(24)00016-3&quot;,&quot;ISSN&quot;:&quot;1474-547X&quot;,&quot;PMID&quot;:&quot;38490231&quot;,&quot;URL&quot;:&quot;https://pubmed.ncbi.nlm.nih.gov/38490231/&quot;,&quot;issued&quot;:{&quot;date-parts&quot;:[[2024,4,13]]},&quot;page&quot;:&quot;1494-1503&quot;,&quot;abstract&quot;:&quot;Lung development starts in utero and continues during childhood through to adolescence, reaching its peak in early adulthood. This growth is followed by gradual decline due to physiological lung ageing. Lung-function development can be altered by several host and environmental factors during the life course. As a result, a range of lung-function trajectories exist in the population. Below average trajectories are associated with respiratory, cardiovascular, metabolic, and mental health comorbidities, as well as with premature death. This Review presents progressive research into lung-function trajectories and assists the implementation of this knowledge in clinical practice as an innovative approach to detect poor lung health early, monitor respiratory disease progression, and promote lung health. Specifically, we propose that, similar to paediatric height and weight charts used globally to monitor children's growth, lung-function charts could be used for both children and adults to monitor lung health status across the life course. To achieve this proposal, we introduce our free online Lung Function Tracker tool. Finally, we discuss challenges and opportunities for effective implementation of the trajectory concept at population level and outline an agenda for crucial research needed to support such implementation.&quot;,&quot;publisher&quot;:&quot;Lancet&quot;,&quot;issue&quot;:&quot;10435&quot;,&quot;volume&quot;:&quot;403&quot;,&quot;container-title-short&quot;:&quot;Lancet&quot;},&quot;isTemporary&quot;:false}]},{&quot;citationID&quot;:&quot;MENDELEY_CITATION_53633851-a15f-4b3f-918c-82ea890b3040&quot;,&quot;properties&quot;:{&quot;noteIndex&quot;:0},&quot;isEdited&quot;:false,&quot;manualOverride&quot;:{&quot;isManuallyOverridden&quot;:false,&quot;citeprocText&quot;:&quot;[83]&quot;,&quot;manualOverrideText&quot;:&quot;&quot;},&quot;citationTag&quot;:&quot;MENDELEY_CITATION_v3_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&quot;,&quot;citationItems&quot;:[{&quot;id&quot;:&quot;ebb6c942-9ae0-3887-b240-a220785c7d48&quot;,&quot;itemData&quot;:{&quot;type&quot;:&quot;article-journal&quot;,&quot;id&quot;:&quot;ebb6c942-9ae0-3887-b240-a220785c7d48&quot;,&quot;title&quot;:&quot;Rate of normal lung function decline in ageing adults: a systematic review of prospective cohort studies&quot;,&quot;author&quot;:[{&quot;family&quot;:&quot;Thomas&quot;,&quot;given&quot;:&quot;Elizabeth T.&quot;,&quot;parse-names&quot;:false,&quot;dropping-particle&quot;:&quot;&quot;,&quot;non-dropping-particle&quot;:&quot;&quot;},{&quot;family&quot;:&quot;Guppy&quot;,&quot;given&quot;:&quot;Michelle&quot;,&quot;parse-names&quot;:false,&quot;dropping-particle&quot;:&quot;&quot;,&quot;non-dropping-particle&quot;:&quot;&quot;},{&quot;family&quot;:&quot;Straus&quot;,&quot;given&quot;:&quot;Sharon E.&quot;,&quot;parse-names&quot;:false,&quot;dropping-particle&quot;:&quot;&quot;,&quot;non-dropping-particle&quot;:&quot;&quot;},{&quot;family&quot;:&quot;Bell&quot;,&quot;given&quot;:&quot;Katy J.L.&quot;,&quot;parse-names&quot;:false,&quot;dropping-particle&quot;:&quot;&quot;,&quot;non-dropping-particle&quot;:&quot;&quot;},{&quot;family&quot;:&quot;Glasziou&quot;,&quot;given&quot;:&quot;Paul&quot;,&quot;parse-names&quot;:false,&quot;dropping-particle&quot;:&quot;&quot;,&quot;non-dropping-particle&quot;:&quot;&quot;}],&quot;container-title&quot;:&quot;BMJ Open&quot;,&quot;accessed&quot;:{&quot;date-parts&quot;:[[2024,10,16]]},&quot;DOI&quot;:&quot;10.1136/BMJOPEN-2018-028150&quot;,&quot;ISSN&quot;:&quot;2044-6055&quot;,&quot;PMID&quot;:&quot;31248928&quot;,&quot;URL&quot;:&quot;https://bmjopen.bmj.com/content/9/6/e028150&quot;,&quot;issued&quot;:{&quot;date-parts&quot;:[[2019,6,1]]},&quot;page&quot;:&quot;e028150&quot;,&quot;abstract&quot;:&quot;Objective To conduct a systematic review investigating the normal age-related changes in lung function in adults without known lung disease.\n\nDesign Systematic review.\n\nData sources MEDLINE, Embase and Cumulative Index to Nursing and Allied Health Literature (CINAHL) were searched for eligible studies from inception to February 12, 2019, supplemented by manual searches of reference lists and clinical trial registries.\n\nEligibility criteria We planned to include prospective cohort studies and randomised controlled trials (control arms) that measured changes in lung function over time in asymptomatic adults without known respiratory disease.\n\nData extraction and synthesis Two authors independently determined the eligibility of studies, extracted data and assessed the risk of bias of included studies using the modified Newcastle–Ottawa Scale.\n\nResults From 4385 records screened, we identified 16 cohort studies with 31 099 participants. All included studies demonstrated decline in lung function—forced expiratory volume in 1 s (FEV1), forced vital capacity (FVC) and peak expiratory flow rate (PEFR) with age. In studies with longer follow-up (&gt;10 years), rates of FEV1 decline ranged from 17.7 to 46.4 mL/year (median 22.4 mL/year). Overall, men had faster absolute rates of decline (median 43.5 mL/year) compared with women (median 30.5 mL/year). Differences in relative FEV1 change, however, were not observed between men and women. FEV1/FVC change was reported in only one study, declining by 0.29% per year. An age-specific analysis suggested the rate of FEV1 function decline may accelerate with each decade of age.\n\nConclusions Lung function—FEV1, FVC and PEFR—decline with age in individuals without known lung disease. The definition of chronic airway disease may need to be reconsidered to allow for normal ageing and ensure that people likely to benefit from interventions are identified rather than healthy people who may be harmed by potential overdiagnosis and overtreatment. The first step would be to apply age, sex and ethnicity-adjusted FEV1/FVC thresholds to the disease definition of chronic obstructive pulmonary disease.\n\nPROSPERO registration number CRD42018087066.&quot;,&quot;publisher&quot;:&quot;British Medical Journal Publishing Group&quot;,&quot;issue&quot;:&quot;6&quot;,&quot;volume&quot;:&quot;9&quot;,&quot;container-title-short&quot;:&quot;BMJ Open&quot;},&quot;isTemporary&quot;:false}]},{&quot;citationID&quot;:&quot;MENDELEY_CITATION_7ecc4a36-2a5d-4e2d-939a-36ab9c0f3b8c&quot;,&quot;properties&quot;:{&quot;noteIndex&quot;:0},&quot;isEdited&quot;:false,&quot;manualOverride&quot;:{&quot;isManuallyOverridden&quot;:false,&quot;citeprocText&quot;:&quot;[83,84]&quot;,&quot;manualOverrideText&quot;:&quot;&quot;},&quot;citationTag&quot;:&quot;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&quot;,&quot;citationItems&quot;:[{&quot;id&quot;:&quot;d2777025-1ee7-3a1e-9f66-bd1da4dd76e0&quot;,&quot;itemData&quot;:{&quot;type&quot;:&quot;article-journal&quot;,&quot;id&quot;:&quot;d2777025-1ee7-3a1e-9f66-bd1da4dd76e0&quot;,&quot;title&quot;:&quot;Lung-Function Trajectories Leading to Chronic Obstructive Pulmonary Disease&quot;,&quot;author&quot;:[{&quot;family&quot;:&quot;Lange&quot;,&quot;given&quot;:&quot;Peter&quot;,&quot;parse-names&quot;:false,&quot;dropping-particle&quot;:&quot;&quot;,&quot;non-dropping-particle&quot;:&quot;&quot;},{&quot;family&quot;:&quot;Celli&quot;,&quot;given&quot;:&quot;Bartolome&quot;,&quot;parse-names&quot;:false,&quot;dropping-particle&quot;:&quot;&quot;,&quot;non-dropping-particle&quot;:&quot;&quot;},{&quot;family&quot;:&quot;Agustí&quot;,&quot;given&quot;:&quot;Alvar&quot;,&quot;parse-names&quot;:false,&quot;dropping-particle&quot;:&quot;&quot;,&quot;non-dropping-particle&quot;:&quot;&quot;},{&quot;family&quot;:&quot;Boje Jensen&quot;,&quot;given&quot;:&quot;Gorm&quot;,&quot;parse-names&quot;:false,&quot;dropping-particle&quot;:&quot;&quot;,&quot;non-dropping-particle&quot;:&quot;&quot;},{&quot;family&quot;:&quot;Divo&quot;,&quot;given&quot;:&quot;Miguel&quot;,&quot;parse-names&quot;:false,&quot;dropping-particle&quot;:&quot;&quot;,&quot;non-dropping-particle&quot;:&quot;&quot;},{&quot;family&quot;:&quot;Faner&quot;,&quot;given&quot;:&quot;Rosa&quot;,&quot;parse-names&quot;:false,&quot;dropping-particle&quot;:&quot;&quot;,&quot;non-dropping-particle&quot;:&quot;&quot;},{&quot;family&quot;:&quot;Guerra&quot;,&quot;given&quot;:&quot;Stefano&quot;,&quot;parse-names&quot;:false,&quot;dropping-particle&quot;:&quot;&quot;,&quot;non-dropping-particle&quot;:&quot;&quot;},{&quot;family&quot;:&quot;Marott&quot;,&quot;given&quot;:&quot;Jacob Louis&quot;,&quot;parse-names&quot;:false,&quot;dropping-particle&quot;:&quot;&quot;,&quot;non-dropping-particle&quot;:&quot;&quot;},{&quot;family&quot;:&quot;Martinez&quot;,&quot;given&quot;:&quot;Fernando D.&quot;,&quot;parse-names&quot;:false,&quot;dropping-particle&quot;:&quot;&quot;,&quot;non-dropping-particle&quot;:&quot;&quot;},{&quot;family&quot;:&quot;Martinez-Camblor&quot;,&quot;given&quot;:&quot;Pablo&quot;,&quot;parse-names&quot;:false,&quot;dropping-particle&quot;:&quot;&quot;,&quot;non-dropping-particle&quot;:&quot;&quot;},{&quot;family&quot;:&quot;Meek&quot;,&quot;given&quot;:&quot;Paula&quot;,&quot;parse-names&quot;:false,&quot;dropping-particle&quot;:&quot;&quot;,&quot;non-dropping-particle&quot;:&quot;&quot;},{&quot;family&quot;:&quot;Owen&quot;,&quot;given&quot;:&quot;Caroline A.&quot;,&quot;parse-names&quot;:false,&quot;dropping-particle&quot;:&quot;&quot;,&quot;non-dropping-particle&quot;:&quot;&quot;},{&quot;family&quot;:&quot;Petersen&quot;,&quot;given&quot;:&quot;Hans&quot;,&quot;parse-names&quot;:false,&quot;dropping-particle&quot;:&quot;&quot;,&quot;non-dropping-particle&quot;:&quot;&quot;},{&quot;family&quot;:&quot;Pinto-Plata&quot;,&quot;given&quot;:&quot;Victor&quot;,&quot;parse-names&quot;:false,&quot;dropping-particle&quot;:&quot;&quot;,&quot;non-dropping-particle&quot;:&quot;&quot;},{&quot;family&quot;:&quot;Schnohr&quot;,&quot;given&quot;:&quot;Peter&quot;,&quot;parse-names&quot;:false,&quot;dropping-particle&quot;:&quot;&quot;,&quot;non-dropping-particle&quot;:&quot;&quot;},{&quot;family&quot;:&quot;Sood&quot;,&quot;given&quot;:&quot;Akshay&quot;,&quot;parse-names&quot;:false,&quot;dropping-particle&quot;:&quot;&quot;,&quot;non-dropping-particle&quot;:&quot;&quot;},{&quot;family&quot;:&quot;Soriano&quot;,&quot;given&quot;:&quot;Joan B.&quot;,&quot;parse-names&quot;:false,&quot;dropping-particle&quot;:&quot;&quot;,&quot;non-dropping-particle&quot;:&quot;&quot;},{&quot;family&quot;:&quot;Tesfaigzi&quot;,&quot;given&quot;:&quot;Yohannes&quot;,&quot;parse-names&quot;:false,&quot;dropping-particle&quot;:&quot;&quot;,&quot;non-dropping-particle&quot;:&quot;&quot;},{&quot;family&quot;:&quot;Vestbo&quot;,&quot;given&quot;:&quot;Jørgen&quot;,&quot;parse-names&quot;:false,&quot;dropping-particle&quot;:&quot;&quot;,&quot;non-dropping-particle&quot;:&quot;&quot;}],&quot;container-title&quot;:&quot;The New England journal of medicine&quot;,&quot;accessed&quot;:{&quot;date-parts&quot;:[[2025,3,27]]},&quot;DOI&quot;:&quot;10.1056/NEJMOA1411532&quot;,&quot;ISSN&quot;:&quot;1533-4406&quot;,&quot;PMID&quot;:&quot;26154786&quot;,&quot;URL&quot;:&quot;https://pubmed.ncbi.nlm.nih.gov/26154786/&quot;,&quot;issued&quot;:{&quot;date-parts&quot;:[[2015,7,9]]},&quot;page&quot;:&quot;111-122&quot;,&quot;abstract&quot;:&quot;BACKGROUND Chronic obstructive pulmonary disease (COPD) is thought to result from an accelerated decline in forced expiratory volume in 1 second (FEV1) over time. Yet it is possible that a normal decline in FEV1 could also lead to COPD in persons whose maximally attained FEV1 is less than population norms. METHODS We stratified participants in three independent cohorts (the Framingham Offspring Cohort, the Copenhagen City Heart Study, and the Lovelace Smokers Cohort) according to lung function (FEV1 ≥80% or &lt;80% of the predicted value) at cohort inception (mean age of patients, approximately 40 years) and the presence or absence of COPD at the last study visit. We then determined the rate of decline in FEV1 over time among the participants according to their FEV1 at cohort inception and COPD status at study end. RESULTS Among 657 persons who had an FEV1 of less than 80% of the predicted value before 40 years of age, 174 (26%) had COPD after 22 years of observation, whereas among 2207 persons who had a baseline FEV1 of at least 80% of the predicted value before 40 years of age, 158 (7%) had COPD after 22 years of observation (P&lt;0.001). Approximately half the 332 persons with COPD at the end of the observation period had had a normal FEV1 before 40 years of age and had a rapid decline in FEV1 thereafter, with a mean (±SD) decline of 53±21 ml per year. The remaining half had had a low FEV1 in early adulthood and a subsequent mean decline in FEV1 of 27±18 ml per year (P&lt;0.001), despite similar smoking exposure. CONCLUSIONS Our study suggests that low FEV1 in early adulthood is important in the genesis of COPD and that accelerated decline in FEV1 is not an obligate feature of COPD. (Funded by an unrestricted grant from GlaxoSmithKline and others.).&quot;,&quot;publisher&quot;:&quot;N Engl J Med&quot;,&quot;issue&quot;:&quot;2&quot;,&quot;volume&quot;:&quot;373&quot;,&quot;container-title-short&quot;:&quot;N Engl J Med&quot;},&quot;isTemporary&quot;:false},{&quot;id&quot;:&quot;ebb6c942-9ae0-3887-b240-a220785c7d48&quot;,&quot;itemData&quot;:{&quot;type&quot;:&quot;article-journal&quot;,&quot;id&quot;:&quot;ebb6c942-9ae0-3887-b240-a220785c7d48&quot;,&quot;title&quot;:&quot;Rate of normal lung function decline in ageing adults: a systematic review of prospective cohort studies&quot;,&quot;author&quot;:[{&quot;family&quot;:&quot;Thomas&quot;,&quot;given&quot;:&quot;Elizabeth T.&quot;,&quot;parse-names&quot;:false,&quot;dropping-particle&quot;:&quot;&quot;,&quot;non-dropping-particle&quot;:&quot;&quot;},{&quot;family&quot;:&quot;Guppy&quot;,&quot;given&quot;:&quot;Michelle&quot;,&quot;parse-names&quot;:false,&quot;dropping-particle&quot;:&quot;&quot;,&quot;non-dropping-particle&quot;:&quot;&quot;},{&quot;family&quot;:&quot;Straus&quot;,&quot;given&quot;:&quot;Sharon E.&quot;,&quot;parse-names&quot;:false,&quot;dropping-particle&quot;:&quot;&quot;,&quot;non-dropping-particle&quot;:&quot;&quot;},{&quot;family&quot;:&quot;Bell&quot;,&quot;given&quot;:&quot;Katy J.L.&quot;,&quot;parse-names&quot;:false,&quot;dropping-particle&quot;:&quot;&quot;,&quot;non-dropping-particle&quot;:&quot;&quot;},{&quot;family&quot;:&quot;Glasziou&quot;,&quot;given&quot;:&quot;Paul&quot;,&quot;parse-names&quot;:false,&quot;dropping-particle&quot;:&quot;&quot;,&quot;non-dropping-particle&quot;:&quot;&quot;}],&quot;container-title&quot;:&quot;BMJ Open&quot;,&quot;accessed&quot;:{&quot;date-parts&quot;:[[2024,10,16]]},&quot;DOI&quot;:&quot;10.1136/BMJOPEN-2018-028150&quot;,&quot;ISSN&quot;:&quot;2044-6055&quot;,&quot;PMID&quot;:&quot;31248928&quot;,&quot;URL&quot;:&quot;https://bmjopen.bmj.com/content/9/6/e028150&quot;,&quot;issued&quot;:{&quot;date-parts&quot;:[[2019,6,1]]},&quot;page&quot;:&quot;e028150&quot;,&quot;abstract&quot;:&quot;Objective To conduct a systematic review investigating the normal age-related changes in lung function in adults without known lung disease.\n\nDesign Systematic review.\n\nData sources MEDLINE, Embase and Cumulative Index to Nursing and Allied Health Literature (CINAHL) were searched for eligible studies from inception to February 12, 2019, supplemented by manual searches of reference lists and clinical trial registries.\n\nEligibility criteria We planned to include prospective cohort studies and randomised controlled trials (control arms) that measured changes in lung function over time in asymptomatic adults without known respiratory disease.\n\nData extraction and synthesis Two authors independently determined the eligibility of studies, extracted data and assessed the risk of bias of included studies using the modified Newcastle–Ottawa Scale.\n\nResults From 4385 records screened, we identified 16 cohort studies with 31 099 participants. All included studies demonstrated decline in lung function—forced expiratory volume in 1 s (FEV1), forced vital capacity (FVC) and peak expiratory flow rate (PEFR) with age. In studies with longer follow-up (&gt;10 years), rates of FEV1 decline ranged from 17.7 to 46.4 mL/year (median 22.4 mL/year). Overall, men had faster absolute rates of decline (median 43.5 mL/year) compared with women (median 30.5 mL/year). Differences in relative FEV1 change, however, were not observed between men and women. FEV1/FVC change was reported in only one study, declining by 0.29% per year. An age-specific analysis suggested the rate of FEV1 function decline may accelerate with each decade of age.\n\nConclusions Lung function—FEV1, FVC and PEFR—decline with age in individuals without known lung disease. The definition of chronic airway disease may need to be reconsidered to allow for normal ageing and ensure that people likely to benefit from interventions are identified rather than healthy people who may be harmed by potential overdiagnosis and overtreatment. The first step would be to apply age, sex and ethnicity-adjusted FEV1/FVC thresholds to the disease definition of chronic obstructive pulmonary disease.\n\nPROSPERO registration number CRD42018087066.&quot;,&quot;publisher&quot;:&quot;British Medical Journal Publishing Group&quot;,&quot;issue&quot;:&quot;6&quot;,&quot;volume&quot;:&quot;9&quot;,&quot;container-title-short&quot;:&quot;BMJ Open&quot;},&quot;isTemporary&quot;:false}]},{&quot;citationID&quot;:&quot;MENDELEY_CITATION_5f83df49-1170-4fc3-83b6-d8aa91c96ff3&quot;,&quot;properties&quot;:{&quot;noteIndex&quot;:0},&quot;isEdited&quot;:false,&quot;manualOverride&quot;:{&quot;isManuallyOverridden&quot;:false,&quot;citeprocText&quot;:&quot;[85]&quot;,&quot;manualOverrideText&quot;:&quot;&quot;},&quot;citationTag&quot;:&quot;MENDELEY_CITATION_v3_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&quot;,&quot;citationItems&quot;:[{&quot;id&quot;:&quot;80bca7e0-e2e9-38a8-a134-7029d40e9fa2&quot;,&quot;itemData&quot;:{&quot;type&quot;:&quot;article-journal&quot;,&quot;id&quot;:&quot;80bca7e0-e2e9-38a8-a134-7029d40e9fa2&quot;,&quot;title&quot;:&quot;Genetics of COPD&quot;,&quot;author&quot;:[{&quot;family&quot;:&quot;Silverman&quot;,&quot;given&quot;:&quot;Edwin K.&quot;,&quot;parse-names&quot;:false,&quot;dropping-particle&quot;:&quot;&quot;,&quot;non-dropping-particle&quot;:&quot;&quot;}],&quot;container-title&quot;:&quot;Annual review of physiology&quot;,&quot;container-title-short&quot;:&quot;Annu Rev Physiol&quot;,&quot;accessed&quot;:{&quot;date-parts&quot;:[[2025,6,1]]},&quot;DOI&quot;:&quot;10.1146/ANNUREV-PHYSIOL-021317-121224&quot;,&quot;ISSN&quot;:&quot;15451585&quot;,&quot;PMID&quot;:&quot;31730394&quot;,&quot;URL&quot;:&quot;https://pmc.ncbi.nlm.nih.gov/articles/PMC7193187/&quot;,&quot;issued&quot;:{&quot;date-parts&quot;:[[2019]]},&quot;page&quot;:&quot;413&quot;,&quot;abstract&quot;:&quot;Although chronic obstructive pulmonary disease (COPD) risk is strongly influenced by cigarette smoking, genetic factors are also important determinants of COPD. In addition to Mendelian syndromes such as alpha-1 antitrypsin deficiency, many genomic regions that influence COPD susceptibility have been identified in genome-wide association studies. Similarly, multiple genomic regions associated with COPD-related phenotypes, such as quantitative emphysema measures, have been found. Identifying the functional variants and key genes within these association regions remains a major challenge. However, newly identified COPD susceptibility genes are already providing novel insights into COPD pathogenesis. Network-based approaches that leverage these genetic discoveries have the potential to assist in decoding the complex genetic architecture of COPD.&quot;,&quot;publisher&quot;:&quot;Annual Reviews Inc.&quot;,&quot;volume&quot;:&quot;82&quot;},&quot;isTemporary&quot;:false}]},{&quot;citationID&quot;:&quot;MENDELEY_CITATION_81bfa4c1-5845-4c7f-91ec-4b1491bfb985&quot;,&quot;properties&quot;:{&quot;noteIndex&quot;:0},&quot;isEdited&quot;:false,&quot;manualOverride&quot;:{&quot;isManuallyOverridden&quot;:false,&quot;citeprocText&quot;:&quot;[85]&quot;,&quot;manualOverrideText&quot;:&quot;&quot;},&quot;citationTag&quot;:&quot;MENDELEY_CITATION_v3_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&quot;,&quot;citationItems&quot;:[{&quot;id&quot;:&quot;80bca7e0-e2e9-38a8-a134-7029d40e9fa2&quot;,&quot;itemData&quot;:{&quot;type&quot;:&quot;article-journal&quot;,&quot;id&quot;:&quot;80bca7e0-e2e9-38a8-a134-7029d40e9fa2&quot;,&quot;title&quot;:&quot;Genetics of COPD&quot;,&quot;author&quot;:[{&quot;family&quot;:&quot;Silverman&quot;,&quot;given&quot;:&quot;Edwin K.&quot;,&quot;parse-names&quot;:false,&quot;dropping-particle&quot;:&quot;&quot;,&quot;non-dropping-particle&quot;:&quot;&quot;}],&quot;container-title&quot;:&quot;Annual review of physiology&quot;,&quot;container-title-short&quot;:&quot;Annu Rev Physiol&quot;,&quot;accessed&quot;:{&quot;date-parts&quot;:[[2025,6,1]]},&quot;DOI&quot;:&quot;10.1146/ANNUREV-PHYSIOL-021317-121224&quot;,&quot;ISSN&quot;:&quot;15451585&quot;,&quot;PMID&quot;:&quot;31730394&quot;,&quot;URL&quot;:&quot;https://pmc.ncbi.nlm.nih.gov/articles/PMC7193187/&quot;,&quot;issued&quot;:{&quot;date-parts&quot;:[[2019]]},&quot;page&quot;:&quot;413&quot;,&quot;abstract&quot;:&quot;Although chronic obstructive pulmonary disease (COPD) risk is strongly influenced by cigarette smoking, genetic factors are also important determinants of COPD. In addition to Mendelian syndromes such as alpha-1 antitrypsin deficiency, many genomic regions that influence COPD susceptibility have been identified in genome-wide association studies. Similarly, multiple genomic regions associated with COPD-related phenotypes, such as quantitative emphysema measures, have been found. Identifying the functional variants and key genes within these association regions remains a major challenge. However, newly identified COPD susceptibility genes are already providing novel insights into COPD pathogenesis. Network-based approaches that leverage these genetic discoveries have the potential to assist in decoding the complex genetic architecture of COPD.&quot;,&quot;publisher&quot;:&quot;Annual Reviews Inc.&quot;,&quot;volume&quot;:&quot;82&quot;},&quot;isTemporary&quot;:false}]},{&quot;citationID&quot;:&quot;MENDELEY_CITATION_dc425795-f196-466c-a91d-efbac935c093&quot;,&quot;properties&quot;:{&quot;noteIndex&quot;:0},&quot;isEdited&quot;:false,&quot;manualOverride&quot;:{&quot;isManuallyOverridden&quot;:false,&quot;citeprocText&quot;:&quot;[85]&quot;,&quot;manualOverrideText&quot;:&quot;&quot;},&quot;citationTag&quot;:&quot;MENDELEY_CITATION_v3_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&quot;,&quot;citationItems&quot;:[{&quot;id&quot;:&quot;80bca7e0-e2e9-38a8-a134-7029d40e9fa2&quot;,&quot;itemData&quot;:{&quot;type&quot;:&quot;article-journal&quot;,&quot;id&quot;:&quot;80bca7e0-e2e9-38a8-a134-7029d40e9fa2&quot;,&quot;title&quot;:&quot;Genetics of COPD&quot;,&quot;author&quot;:[{&quot;family&quot;:&quot;Silverman&quot;,&quot;given&quot;:&quot;Edwin K.&quot;,&quot;parse-names&quot;:false,&quot;dropping-particle&quot;:&quot;&quot;,&quot;non-dropping-particle&quot;:&quot;&quot;}],&quot;container-title&quot;:&quot;Annual review of physiology&quot;,&quot;container-title-short&quot;:&quot;Annu Rev Physiol&quot;,&quot;accessed&quot;:{&quot;date-parts&quot;:[[2025,6,1]]},&quot;DOI&quot;:&quot;10.1146/ANNUREV-PHYSIOL-021317-121224&quot;,&quot;ISSN&quot;:&quot;15451585&quot;,&quot;PMID&quot;:&quot;31730394&quot;,&quot;URL&quot;:&quot;https://pmc.ncbi.nlm.nih.gov/articles/PMC7193187/&quot;,&quot;issued&quot;:{&quot;date-parts&quot;:[[2019]]},&quot;page&quot;:&quot;413&quot;,&quot;abstract&quot;:&quot;Although chronic obstructive pulmonary disease (COPD) risk is strongly influenced by cigarette smoking, genetic factors are also important determinants of COPD. In addition to Mendelian syndromes such as alpha-1 antitrypsin deficiency, many genomic regions that influence COPD susceptibility have been identified in genome-wide association studies. Similarly, multiple genomic regions associated with COPD-related phenotypes, such as quantitative emphysema measures, have been found. Identifying the functional variants and key genes within these association regions remains a major challenge. However, newly identified COPD susceptibility genes are already providing novel insights into COPD pathogenesis. Network-based approaches that leverage these genetic discoveries have the potential to assist in decoding the complex genetic architecture of COPD.&quot;,&quot;publisher&quot;:&quot;Annual Reviews Inc.&quot;,&quot;volume&quot;:&quot;82&quot;},&quot;isTemporary&quot;:false}]},{&quot;citationID&quot;:&quot;MENDELEY_CITATION_666f9731-2975-4d48-ae05-50fc6cc128c4&quot;,&quot;properties&quot;:{&quot;noteIndex&quot;:0},&quot;isEdited&quot;:false,&quot;manualOverride&quot;:{&quot;isManuallyOverridden&quot;:false,&quot;citeprocText&quot;:&quot;[85]&quot;,&quot;manualOverrideText&quot;:&quot;&quot;},&quot;citationTag&quot;:&quot;MENDELEY_CITATION_v3_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&quot;,&quot;citationItems&quot;:[{&quot;id&quot;:&quot;80bca7e0-e2e9-38a8-a134-7029d40e9fa2&quot;,&quot;itemData&quot;:{&quot;type&quot;:&quot;article-journal&quot;,&quot;id&quot;:&quot;80bca7e0-e2e9-38a8-a134-7029d40e9fa2&quot;,&quot;title&quot;:&quot;Genetics of COPD&quot;,&quot;author&quot;:[{&quot;family&quot;:&quot;Silverman&quot;,&quot;given&quot;:&quot;Edwin K.&quot;,&quot;parse-names&quot;:false,&quot;dropping-particle&quot;:&quot;&quot;,&quot;non-dropping-particle&quot;:&quot;&quot;}],&quot;container-title&quot;:&quot;Annual review of physiology&quot;,&quot;container-title-short&quot;:&quot;Annu Rev Physiol&quot;,&quot;accessed&quot;:{&quot;date-parts&quot;:[[2025,6,1]]},&quot;DOI&quot;:&quot;10.1146/ANNUREV-PHYSIOL-021317-121224&quot;,&quot;ISSN&quot;:&quot;15451585&quot;,&quot;PMID&quot;:&quot;31730394&quot;,&quot;URL&quot;:&quot;https://pmc.ncbi.nlm.nih.gov/articles/PMC7193187/&quot;,&quot;issued&quot;:{&quot;date-parts&quot;:[[2019]]},&quot;page&quot;:&quot;413&quot;,&quot;abstract&quot;:&quot;Although chronic obstructive pulmonary disease (COPD) risk is strongly influenced by cigarette smoking, genetic factors are also important determinants of COPD. In addition to Mendelian syndromes such as alpha-1 antitrypsin deficiency, many genomic regions that influence COPD susceptibility have been identified in genome-wide association studies. Similarly, multiple genomic regions associated with COPD-related phenotypes, such as quantitative emphysema measures, have been found. Identifying the functional variants and key genes within these association regions remains a major challenge. However, newly identified COPD susceptibility genes are already providing novel insights into COPD pathogenesis. Network-based approaches that leverage these genetic discoveries have the potential to assist in decoding the complex genetic architecture of COPD.&quot;,&quot;publisher&quot;:&quot;Annual Reviews Inc.&quot;,&quot;volume&quot;:&quot;82&quot;},&quot;isTemporary&quot;:false}]},{&quot;citationID&quot;:&quot;MENDELEY_CITATION_8dab178e-2dd4-4394-984f-a3349786a152&quot;,&quot;properties&quot;:{&quot;noteIndex&quot;:0},&quot;isEdited&quot;:false,&quot;manualOverride&quot;:{&quot;isManuallyOverridden&quot;:false,&quot;citeprocText&quot;:&quot;[7]&quot;,&quot;manualOverrideText&quot;:&quot;&quot;},&quot;citationTag&quot;:&quot;MENDELEY_CITATION_v3_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&quot;,&quot;citationItems&quot;:[{&quot;id&quot;:&quot;c5d4e97f-8a72-355d-9174-6adce33d6f36&quot;,&quot;itemData&quot;:{&quot;type&quot;:&quot;article-journal&quot;,&quot;id&quot;:&quot;c5d4e97f-8a72-355d-9174-6adce33d6f36&quot;,&quot;title&quot;:&quot;The etiologic origins for chronic obstructive pulmonary disease&quot;,&quot;author&quot;:[{&quot;family&quot;:&quot;Huang&quot;,&quot;given&quot;:&quot;Xinwei&quot;,&quot;parse-names&quot;:false,&quot;dropping-particle&quot;:&quot;&quot;,&quot;non-dropping-particle&quot;:&quot;&quot;},{&quot;family&quot;:&quot;Mu&quot;,&quot;given&quot;:&quot;Xi&quot;,&quot;parse-names&quot;:false,&quot;dropping-particle&quot;:&quot;&quot;,&quot;non-dropping-particle&quot;:&quot;&quot;},{&quot;family&quot;:&quot;Deng&quot;,&quot;given&quot;:&quot;Li&quot;,&quot;parse-names&quot;:false,&quot;dropping-particle&quot;:&quot;&quot;,&quot;non-dropping-particle&quot;:&quot;&quot;},{&quot;family&quot;:&quot;Fu&quot;,&quot;given&quot;:&quot;Aili&quot;,&quot;parse-names&quot;:false,&quot;dropping-particle&quot;:&quot;&quot;,&quot;non-dropping-particle&quot;:&quot;&quot;},{&quot;family&quot;:&quot;Pu&quot;,&quot;given&quot;:&quot;Endong&quot;,&quot;parse-names&quot;:false,&quot;dropping-particle&quot;:&quot;&quot;,&quot;non-dropping-particle&quot;:&quot;&quot;},{&quot;family&quot;:&quot;Tang&quot;,&quot;given&quot;:&quot;Tao&quot;,&quot;parse-names&quot;:false,&quot;dropping-particle&quot;:&quot;&quot;,&quot;non-dropping-particle&quot;:&quot;&quot;},{&quot;family&quot;:&quot;Kong&quot;,&quot;given&quot;:&quot;Xiangyang&quot;,&quot;parse-names&quot;:false,&quot;dropping-particle&quot;:&quot;&quot;,&quot;non-dropping-particle&quot;:&quot;&quot;}],&quot;accessed&quot;:{&quot;date-parts&quot;:[[2024,7,4]]},&quot;DOI&quot;:&quot;10.2147/COPD.S203215&quot;,&quot;ISBN&quot;:&quot;3517826707&quot;,&quot;URL&quot;:&quot;http://doi.org/10.2147/COPD.S203215&quot;,&quot;issued&quot;:{&quot;date-parts&quot;:[[2019]]},&quot;abstract&quot;:&quot;COPD, characterized by long-term poorly irreversible airway limitation and persistent respiratory symptoms, has resulted in enormous challenges to human health worldwide, with increasing rates of prevalence, death, and disability. Although its origin was thought to be in the interactions of genetic with environmental factors, the effects of environmental factors on the disease during different life stages remain little known. Without clear mechanisms and radical cure for it, early screening and prevention of COPD seem to be important. In this review, we will discuss the etiologic origins for poor lung function and COPD caused by specific adverse effects during corresponding life stages, as well as try to find new insights and potential prevention strategies for this disease.&quot;,&quot;container-title-short&quot;:&quot;&quot;},&quot;isTemporary&quot;:false}]},{&quot;citationID&quot;:&quot;MENDELEY_CITATION_29828bcb-64f1-493a-b288-b42cf4c2bd55&quot;,&quot;properties&quot;:{&quot;noteIndex&quot;:0},&quot;isEdited&quot;:false,&quot;manualOverride&quot;:{&quot;isManuallyOverridden&quot;:false,&quot;citeprocText&quot;:&quot;[86–89]&quot;,&quot;manualOverrideText&quot;:&quot;&quot;},&quot;citationTag&quot;:&quot;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&quot;,&quot;citationItems&quot;:[{&quot;id&quot;:&quot;6139b7ea-c2c7-3cf2-bc46-400b0a1622f6&quot;,&quot;itemData&quot;:{&quot;type&quot;:&quot;article-journal&quot;,&quot;id&quot;:&quot;6139b7ea-c2c7-3cf2-bc46-400b0a1622f6&quot;,&quot;title&quot;:&quot;Impact of early life exposures on COPD in adulthood: A systematic review and meta-analysis&quot;,&quot;author&quot;:[{&quot;family&quot;:&quot;Duan&quot;,&quot;given&quot;:&quot;Pengfei&quot;,&quot;parse-names&quot;:false,&quot;dropping-particle&quot;:&quot;&quot;,&quot;non-dropping-particle&quot;:&quot;&quot;},{&quot;family&quot;:&quot;Wang&quot;,&quot;given&quot;:&quot;Yao&quot;,&quot;parse-names&quot;:false,&quot;dropping-particle&quot;:&quot;&quot;,&quot;non-dropping-particle&quot;:&quot;&quot;},{&quot;family&quot;:&quot;Lin&quot;,&quot;given&quot;:&quot;Rongqing&quot;,&quot;parse-names&quot;:false,&quot;dropping-particle&quot;:&quot;&quot;,&quot;non-dropping-particle&quot;:&quot;&quot;},{&quot;family&quot;:&quot;Zeng&quot;,&quot;given&quot;:&quot;Yiming&quot;,&quot;parse-names&quot;:false,&quot;dropping-particle&quot;:&quot;&quot;,&quot;non-dropping-particle&quot;:&quot;&quot;},{&quot;family&quot;:&quot;Chen&quot;,&quot;given&quot;:&quot;Chengshui&quot;,&quot;parse-names&quot;:false,&quot;dropping-particle&quot;:&quot;&quot;,&quot;non-dropping-particle&quot;:&quot;&quot;},{&quot;family&quot;:&quot;Yang&quot;,&quot;given&quot;:&quot;Li&quot;,&quot;parse-names&quot;:false,&quot;dropping-particle&quot;:&quot;&quot;,&quot;non-dropping-particle&quot;:&quot;&quot;},{&quot;family&quot;:&quot;Yue&quot;,&quot;given&quot;:&quot;Minghui&quot;,&quot;parse-names&quot;:false,&quot;dropping-particle&quot;:&quot;&quot;,&quot;non-dropping-particle&quot;:&quot;&quot;},{&quot;family&quot;:&quot;Zhong&quot;,&quot;given&quot;:&quot;Shan&quot;,&quot;parse-names&quot;:false,&quot;dropping-particle&quot;:&quot;&quot;,&quot;non-dropping-particle&quot;:&quot;&quot;},{&quot;family&quot;:&quot;Wang&quot;,&quot;given&quot;:&quot;Yun&quot;,&quot;parse-names&quot;:false,&quot;dropping-particle&quot;:&quot;&quot;,&quot;non-dropping-particle&quot;:&quot;&quot;},{&quot;family&quot;:&quot;Zhang&quot;,&quot;given&quot;:&quot;Qingying&quot;,&quot;parse-names&quot;:false,&quot;dropping-particle&quot;:&quot;&quot;,&quot;non-dropping-particle&quot;:&quot;&quot;}],&quot;container-title&quot;:&quot;Respirology&quot;,&quot;accessed&quot;:{&quot;date-parts&quot;:[[2025,6,1]]},&quot;DOI&quot;:&quot;10.1111/RESP.14144,&quot;,&quot;ISSN&quot;:&quot;14401843&quot;,&quot;PMID&quot;:&quot;34541740&quot;,&quot;URL&quot;:&quot;https://pubmed.ncbi.nlm.nih.gov/34541740/&quot;,&quot;issued&quot;:{&quot;date-parts&quot;:[[2021,12,1]]},&quot;page&quot;:&quot;1131-1151&quot;,&quot;abstract&quot;:&quot;Early life represents a critical period for the development and growth of the lungs. Adverse exposures in this stage may drive the development of chronic obstructive pulmonary disease (COPD). Thus, we quantitatively evaluated the impact of different early life exposures on COPD in adulthood. The PubMed, Embase and Cochrane Library electronic databases were searched for articles published from January 2001 to October 2020. A total of 30 studies (795,935 participants) met the criteria and were included in the review. We found a significant association of COPD with childhood serious respiratory infections, pneumonia or bronchitis (pooled adjusted OR [aOR], 2.23 [95% CI, 1.63–3.07]). The probability of COPD was increased 3.45-fold for children with than without asthma (pooled aOR, 3.45 [95% CI, 2.37–5.02]). In addition, the probability of COPD was associated with maternal smoking (pooled aOR, 1.42 [95% CI, 1.17–1.72]), any child maltreatment (pooled aOR, 1.30 [95% CI, 1.18–1.42]) and low birth weight (pooled aOR, 1.58 [95% CI, 1.08–2.32]) but not childhood environmental tobacco smoke exposure (pooled aOR, 1.15 [0.83–1.61]) or premature birth (pooled aOR, 1.17 [95% CI, 0.87–1.58]). Furthermore, subgroup analyses revealed that probability was increased for only women with childhood physical abuse, sexual abuse and exposure to intimate partner violence. Factors resulting in COPD in adults could trace back to early life. Childhood respiratory disease, maltreatment, maternal smoking and low birth weight increase the risk of COPD. Promising advances in prevention strategies for early life exposures could markedly decrease the risk of COPD.&quot;,&quot;publisher&quot;:&quot;John Wiley and Sons Inc&quot;,&quot;issue&quot;:&quot;12&quot;,&quot;volume&quot;:&quot;26&quot;,&quot;container-title-short&quot;:&quot;&quot;},&quot;isTemporary&quot;:false},{&quot;id&quot;:&quot;fec9ea2a-e1a8-3c40-8476-78e065bb641b&quot;,&quot;itemData&quot;:{&quot;type&quot;:&quot;article-journal&quot;,&quot;id&quot;:&quot;fec9ea2a-e1a8-3c40-8476-78e065bb641b&quot;,&quot;title&quot;:&quot;Association between birth weight and chronic obstructive pulmonary disease in the UK Biobank: a prospective cohort study&quot;,&quot;author&quot;:[{&quot;family&quot;:&quot;Luo&quot;,&quot;given&quot;:&quot;Pengfei&quot;,&quot;parse-names&quot;:false,&quot;dropping-particle&quot;:&quot;&quot;,&quot;non-dropping-particle&quot;:&quot;&quot;},{&quot;family&quot;:&quot;He&quot;,&quot;given&quot;:&quot;Jialiu&quot;,&quot;parse-names&quot;:false,&quot;dropping-particle&quot;:&quot;&quot;,&quot;non-dropping-particle&quot;:&quot;&quot;},{&quot;family&quot;:&quot;Wan&quot;,&quot;given&quot;:&quot;Xinglin&quot;,&quot;parse-names&quot;:false,&quot;dropping-particle&quot;:&quot;&quot;,&quot;non-dropping-particle&quot;:&quot;&quot;},{&quot;family&quot;:&quot;Li&quot;,&quot;given&quot;:&quot;Mengxia&quot;,&quot;parse-names&quot;:false,&quot;dropping-particle&quot;:&quot;&quot;,&quot;non-dropping-particle&quot;:&quot;&quot;},{&quot;family&quot;:&quot;Zhu&quot;,&quot;given&quot;:&quot;Zheng&quot;,&quot;parse-names&quot;:false,&quot;dropping-particle&quot;:&quot;&quot;,&quot;non-dropping-particle&quot;:&quot;&quot;},{&quot;family&quot;:&quot;Chen&quot;,&quot;given&quot;:&quot;Lulu&quot;,&quot;parse-names&quot;:false,&quot;dropping-particle&quot;:&quot;&quot;,&quot;non-dropping-particle&quot;:&quot;&quot;},{&quot;family&quot;:&quot;Hang&quot;,&quot;given&quot;:&quot;Dong&quot;,&quot;parse-names&quot;:false,&quot;dropping-particle&quot;:&quot;&quot;,&quot;non-dropping-particle&quot;:&quot;&quot;},{&quot;family&quot;:&quot;Su&quot;,&quot;given&quot;:&quot;Jian&quot;,&quot;parse-names&quot;:false,&quot;dropping-particle&quot;:&quot;&quot;,&quot;non-dropping-particle&quot;:&quot;&quot;},{&quot;family&quot;:&quot;Tao&quot;,&quot;given&quot;:&quot;Ran&quot;,&quot;parse-names&quot;:false,&quot;dropping-particle&quot;:&quot;&quot;,&quot;non-dropping-particle&quot;:&quot;&quot;},{&quot;family&quot;:&quot;Zhou&quot;,&quot;given&quot;:&quot;Jinyi&quot;,&quot;parse-names&quot;:false,&quot;dropping-particle&quot;:&quot;&quot;,&quot;non-dropping-particle&quot;:&quot;&quot;},{&quot;family&quot;:&quot;Fan&quot;,&quot;given&quot;:&quot;Xikang&quot;,&quot;parse-names&quot;:false,&quot;dropping-particle&quot;:&quot;&quot;,&quot;non-dropping-particle&quot;:&quot;&quot;}],&quot;container-title&quot;:&quot;BMJ open respiratory research&quot;,&quot;container-title-short&quot;:&quot;BMJ Open Respir Res&quot;,&quot;accessed&quot;:{&quot;date-parts&quot;:[[2025,6,1]]},&quot;DOI&quot;:&quot;10.1136/BMJRESP-2024-002366,&quot;,&quot;ISSN&quot;:&quot;20524439&quot;,&quot;PMID&quot;:&quot;39668106&quot;,&quot;URL&quot;:&quot;https://pubmed.ncbi.nlm.nih.gov/39668106/&quot;,&quot;issued&quot;:{&quot;date-parts&quot;:[[2024,12,12]]},&quot;abstract&quot;:&quot;BACKGROUND: Birth weight has been reported to be associated with chronic obstructive pulmonary disease (COPD) in adulthood, but the results have not yet been determined. This study aims to analyse the potential association of birth weight with COPD risk in UK Biobank. METHODS: We conducted a prospective analysis for participants without baseline COPD in UK Biobank. The HRs and 95% CIs were calculated by multivariable Cox regression models, and dose-response relationship was evaluated by restricted cubic splines. Besides, we also calculated the interactions for covariates and further analysed the joint effects. RESULTS: A total of 251 172 participants with birth weight data were included in this study, and 5602 COPD cases were found during follow-up. According to Cox regression models, participants with the lowest quintile of birth weight (&lt; 2.86 kg) had higher risk for COPD (HR=1.21, 95% CI 1.11 to 1.32). In addition, the dose‒response analysis showed a non-linear relationship between birth weight and COPD risk, which first decreased and then increased, and the interactions for age, passive smoking and maternal smoking were also found by stratified analysis. Furthermore, we also found the joint effects between COPD risk and maternal smoking in the lowest quintile group. CONCLUSIONS: This study indicated that lower birth weight may increase the risk of COPD. The non-linear associations between birth weight and COPD risk for prospective cohort; as birth weight increased, the risk showed a trend of decreasing first and then increasing. Moreover, maternal smoking had a joint effect with low birth weight for COPD risk.&quot;,&quot;publisher&quot;:&quot;BMJ Open Respir Res&quot;,&quot;issue&quot;:&quot;1&quot;,&quot;volume&quot;:&quot;11&quot;},&quot;isTemporary&quot;:false},{&quot;id&quot;:&quot;fd2ec96c-b50a-3570-a722-4823f1f56063&quot;,&quot;itemData&quot;:{&quot;type&quot;:&quot;article-journal&quot;,&quot;id&quot;:&quot;fd2ec96c-b50a-3570-a722-4823f1f56063&quot;,&quot;title&quot;:&quot;Early life insults as determinants of chronic obstructive pulmonary disease in adult life&quot;,&quot;author&quot;:[{&quot;family&quot;:&quot;Savran&quot;,&quot;given&quot;:&quot;Osman&quot;,&quot;parse-names&quot;:false,&quot;dropping-particle&quot;:&quot;&quot;,&quot;non-dropping-particle&quot;:&quot;&quot;},{&quot;family&quot;:&quot;Ulrik&quot;,&quot;given&quot;:&quot;Charlotte Suppli&quot;,&quot;parse-names&quot;:false,&quot;dropping-particle&quot;:&quot;&quot;,&quot;non-dropping-particle&quot;:&quot;&quot;}],&quot;container-title&quot;:&quot;International Journal of Chronic Obstructive Pulmonary Disease&quot;,&quot;container-title-short&quot;:&quot;Int J Chron Obstruct Pulmon Dis&quot;,&quot;accessed&quot;:{&quot;date-parts&quot;:[[2025,6,1]]},&quot;DOI&quot;:&quot;10.2147/COPD.S153555&quot;,&quot;ISSN&quot;:&quot;11782005&quot;,&quot;PMID&quot;:&quot;29520136&quot;,&quot;URL&quot;:&quot;https://pmc.ncbi.nlm.nih.gov/articles/PMC5834168/&quot;,&quot;issued&quot;:{&quot;date-parts&quot;:[[2018,2,26]]},&quot;page&quot;:&quot;683&quot;,&quot;abstract&quot;:&quot;Background: Early life events may predispose to the development of chronic lung disease in adulthood. Aim: To provide an update on current knowledge of early nongenetic origins of COPD. Materials and methods: Systematic literature review was performed according to the Preferred Reporting Items for Systematic Reviews and Meta-Analyses guidelines. Results: A total of 16 studies, comprising 69,365 individuals, met the predefined criteria and were included in the present review. Studies have shown that in utero tobacco exposure, low birth weight, preterm birth, and respiratory diseases, primarily asthma and pneumonia, in early childhood are associated with lung function impairment later in childhood, and by that predispose to subsequent development of COPD, although the causal association between childhood respiratory diseases and COPD has been questioned in one study. Environmental tobacco exposure has also been shown to have negative impact on lung function in childhood possibly leading to COPD in adulthood, although it is at present not possible to clearly distinguish between the impact of active and the environmental tobacco exposure on subsequent development of COPD. Conclusion: Tobacco exposure in utero and early life is a risk factor for subsequent development of COPD. Furthermore, low birth weight, lower respiratory tract infections and asthma, including wheezy bronchitis, in childhood also seem to be important determinants for later development of COPD. Early life insults may, therefore, be crucial to COPD development.&quot;,&quot;publisher&quot;:&quot;Dove Medical Press Ltd.&quot;,&quot;volume&quot;:&quot;13&quot;},&quot;isTemporary&quot;:false},{&quot;id&quot;:&quot;e006c4d4-b366-3cc9-93cf-89897418c22e&quot;,&quot;itemData&quot;:{&quot;type&quot;:&quot;article-journal&quot;,&quot;id&quot;:&quot;e006c4d4-b366-3cc9-93cf-89897418c22e&quot;,&quot;title&quot;:&quot;Preterm birth and asthma and COPD in adulthood: a nationwide register study from two Nordic countries&quot;,&quot;author&quot;:[{&quot;family&quot;:&quot;Pulakka&quot;,&quot;given&quot;:&quot;Anna&quot;,&quot;parse-names&quot;:false,&quot;dropping-particle&quot;:&quot;&quot;,&quot;non-dropping-particle&quot;:&quot;&quot;},{&quot;family&quot;:&quot;Risnes&quot;,&quot;given&quot;:&quot;Kari&quot;,&quot;parse-names&quot;:false,&quot;dropping-particle&quot;:&quot;&quot;,&quot;non-dropping-particle&quot;:&quot;&quot;},{&quot;family&quot;:&quot;Metsälä&quot;,&quot;given&quot;:&quot;Johanna&quot;,&quot;parse-names&quot;:false,&quot;dropping-particle&quot;:&quot;&quot;,&quot;non-dropping-particle&quot;:&quot;&quot;},{&quot;family&quot;:&quot;Alenius&quot;,&quot;given&quot;:&quot;Suvi&quot;,&quot;parse-names&quot;:false,&quot;dropping-particle&quot;:&quot;&quot;,&quot;non-dropping-particle&quot;:&quot;&quot;},{&quot;family&quot;:&quot;Heikkilä&quot;,&quot;given&quot;:&quot;Katriina&quot;,&quot;parse-names&quot;:false,&quot;dropping-particle&quot;:&quot;&quot;,&quot;non-dropping-particle&quot;:&quot;&quot;},{&quot;family&quot;:&quot;Nilsen&quot;,&quot;given&quot;:&quot;Sara Marie&quot;,&quot;parse-names&quot;:false,&quot;dropping-particle&quot;:&quot;&quot;,&quot;non-dropping-particle&quot;:&quot;&quot;},{&quot;family&quot;:&quot;Näsänen-Gilmore&quot;,&quot;given&quot;:&quot;Pieta&quot;,&quot;parse-names&quot;:false,&quot;dropping-particle&quot;:&quot;&quot;,&quot;non-dropping-particle&quot;:&quot;&quot;},{&quot;family&quot;:&quot;Haaramo&quot;,&quot;given&quot;:&quot;Peija&quot;,&quot;parse-names&quot;:false,&quot;dropping-particle&quot;:&quot;&quot;,&quot;non-dropping-particle&quot;:&quot;&quot;},{&quot;family&quot;:&quot;Gissler&quot;,&quot;given&quot;:&quot;Mika&quot;,&quot;parse-names&quot;:false,&quot;dropping-particle&quot;:&quot;&quot;,&quot;non-dropping-particle&quot;:&quot;&quot;},{&quot;family&quot;:&quot;Opdahl&quot;,&quot;given&quot;:&quot;Signe&quot;,&quot;parse-names&quot;:false,&quot;dropping-particle&quot;:&quot;&quot;,&quot;non-dropping-particle&quot;:&quot;&quot;},{&quot;family&quot;:&quot;Kajantie&quot;,&quot;given&quot;:&quot;Eero&quot;,&quot;parse-names&quot;:false,&quot;dropping-particle&quot;:&quot;&quot;,&quot;non-dropping-particle&quot;:&quot;&quot;}],&quot;container-title&quot;:&quot;European Respiratory Journal&quot;,&quot;accessed&quot;:{&quot;date-parts&quot;:[[2025,6,1]]},&quot;DOI&quot;:&quot;10.1183/13993003.01763-2022,&quot;,&quot;ISSN&quot;:&quot;13993003&quot;,&quot;PMID&quot;:&quot;36990472&quot;,&quot;URL&quot;:&quot;https://pubmed.ncbi.nlm.nih.gov/36990472/&quot;,&quot;issued&quot;:{&quot;date-parts&quot;:[[2023]]},&quot;abstract&quot;:&quot;Background Preterm birth affects lungs in several ways but few studies have follow-up until adulthood. We investigated the association of the entire spectrum of gestational ages with specialist care episodes for obstructive airway disease (asthma and chronic obstructive pulmonary disease (COPD)) at age 18–50 years. Methods We used nationwide registry data on 706 717 people born 1987–1998 in Finland (4.8% preterm) and 1 669 528 born 1967–1999 in Norway (5.0% preterm). Care episodes of asthma and COPD were obtained from specialised healthcare registers, available in Finland for 2005–2016 and in Norway for 2008–2017. We used logistic regression to estimate odds ratios (ORs) for having a care episode with either disease outcome. Results Odds of any obstructive airway disease in adulthood for those born at &lt;28 or 28–31 completed weeks were 2–3-fold of those born full term (39–41 completed weeks), persisting after adjustments. For individuals born at 32–33, 34–36 or 37–38 weeks, the odds were 1.1- to 1.5-fold. Associations were similar in the Finnish and the Norwegian data and among people aged 18–29 and 30–50 years. For COPD at age 30–50 years, the OR was 7.44 (95% CI 3.49–15.85) for those born at &lt;28 weeks, 3.18 (95% CI 2.23–4.54) for those born at 28–31 weeks and 2.32 (95% CI 1.72–3.12) for those born at 32–33 weeks. Bronchopulmonary dysplasia in infancy increased the odds further for those born at &lt;28 and 28–31 weeks. Conclusion Preterm birth is a risk factor for asthma and COPD in adulthood. The high odds of COPD call for diagnostic vigilance when adults born very preterm present with respiratory symptoms.&quot;,&quot;publisher&quot;:&quot;European Respiratory Society&quot;,&quot;issue&quot;:&quot;6&quot;,&quot;volume&quot;:&quot;61&quot;,&quot;container-title-short&quot;:&quot;&quot;},&quot;isTemporary&quot;:false}]},{&quot;citationID&quot;:&quot;MENDELEY_CITATION_7d4c1b40-5f27-4d62-a722-17d9f8750aea&quot;,&quot;properties&quot;:{&quot;noteIndex&quot;:0},&quot;isEdited&quot;:false,&quot;manualOverride&quot;:{&quot;isManuallyOverridden&quot;:false,&quot;citeprocText&quot;:&quot;[86]&quot;,&quot;manualOverrideText&quot;:&quot;&quot;},&quot;citationTag&quot;:&quot;MENDELEY_CITATION_v3_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&quot;,&quot;citationItems&quot;:[{&quot;id&quot;:&quot;6139b7ea-c2c7-3cf2-bc46-400b0a1622f6&quot;,&quot;itemData&quot;:{&quot;type&quot;:&quot;article-journal&quot;,&quot;id&quot;:&quot;6139b7ea-c2c7-3cf2-bc46-400b0a1622f6&quot;,&quot;title&quot;:&quot;Impact of early life exposures on COPD in adulthood: A systematic review and meta-analysis&quot;,&quot;author&quot;:[{&quot;family&quot;:&quot;Duan&quot;,&quot;given&quot;:&quot;Pengfei&quot;,&quot;parse-names&quot;:false,&quot;dropping-particle&quot;:&quot;&quot;,&quot;non-dropping-particle&quot;:&quot;&quot;},{&quot;family&quot;:&quot;Wang&quot;,&quot;given&quot;:&quot;Yao&quot;,&quot;parse-names&quot;:false,&quot;dropping-particle&quot;:&quot;&quot;,&quot;non-dropping-particle&quot;:&quot;&quot;},{&quot;family&quot;:&quot;Lin&quot;,&quot;given&quot;:&quot;Rongqing&quot;,&quot;parse-names&quot;:false,&quot;dropping-particle&quot;:&quot;&quot;,&quot;non-dropping-particle&quot;:&quot;&quot;},{&quot;family&quot;:&quot;Zeng&quot;,&quot;given&quot;:&quot;Yiming&quot;,&quot;parse-names&quot;:false,&quot;dropping-particle&quot;:&quot;&quot;,&quot;non-dropping-particle&quot;:&quot;&quot;},{&quot;family&quot;:&quot;Chen&quot;,&quot;given&quot;:&quot;Chengshui&quot;,&quot;parse-names&quot;:false,&quot;dropping-particle&quot;:&quot;&quot;,&quot;non-dropping-particle&quot;:&quot;&quot;},{&quot;family&quot;:&quot;Yang&quot;,&quot;given&quot;:&quot;Li&quot;,&quot;parse-names&quot;:false,&quot;dropping-particle&quot;:&quot;&quot;,&quot;non-dropping-particle&quot;:&quot;&quot;},{&quot;family&quot;:&quot;Yue&quot;,&quot;given&quot;:&quot;Minghui&quot;,&quot;parse-names&quot;:false,&quot;dropping-particle&quot;:&quot;&quot;,&quot;non-dropping-particle&quot;:&quot;&quot;},{&quot;family&quot;:&quot;Zhong&quot;,&quot;given&quot;:&quot;Shan&quot;,&quot;parse-names&quot;:false,&quot;dropping-particle&quot;:&quot;&quot;,&quot;non-dropping-particle&quot;:&quot;&quot;},{&quot;family&quot;:&quot;Wang&quot;,&quot;given&quot;:&quot;Yun&quot;,&quot;parse-names&quot;:false,&quot;dropping-particle&quot;:&quot;&quot;,&quot;non-dropping-particle&quot;:&quot;&quot;},{&quot;family&quot;:&quot;Zhang&quot;,&quot;given&quot;:&quot;Qingying&quot;,&quot;parse-names&quot;:false,&quot;dropping-particle&quot;:&quot;&quot;,&quot;non-dropping-particle&quot;:&quot;&quot;}],&quot;container-title&quot;:&quot;Respirology&quot;,&quot;accessed&quot;:{&quot;date-parts&quot;:[[2025,6,1]]},&quot;DOI&quot;:&quot;10.1111/RESP.14144,&quot;,&quot;ISSN&quot;:&quot;14401843&quot;,&quot;PMID&quot;:&quot;34541740&quot;,&quot;URL&quot;:&quot;https://pubmed.ncbi.nlm.nih.gov/34541740/&quot;,&quot;issued&quot;:{&quot;date-parts&quot;:[[2021,12,1]]},&quot;page&quot;:&quot;1131-1151&quot;,&quot;abstract&quot;:&quot;Early life represents a critical period for the development and growth of the lungs. Adverse exposures in this stage may drive the development of chronic obstructive pulmonary disease (COPD). Thus, we quantitatively evaluated the impact of different early life exposures on COPD in adulthood. The PubMed, Embase and Cochrane Library electronic databases were searched for articles published from January 2001 to October 2020. A total of 30 studies (795,935 participants) met the criteria and were included in the review. We found a significant association of COPD with childhood serious respiratory infections, pneumonia or bronchitis (pooled adjusted OR [aOR], 2.23 [95% CI, 1.63–3.07]). The probability of COPD was increased 3.45-fold for children with than without asthma (pooled aOR, 3.45 [95% CI, 2.37–5.02]). In addition, the probability of COPD was associated with maternal smoking (pooled aOR, 1.42 [95% CI, 1.17–1.72]), any child maltreatment (pooled aOR, 1.30 [95% CI, 1.18–1.42]) and low birth weight (pooled aOR, 1.58 [95% CI, 1.08–2.32]) but not childhood environmental tobacco smoke exposure (pooled aOR, 1.15 [0.83–1.61]) or premature birth (pooled aOR, 1.17 [95% CI, 0.87–1.58]). Furthermore, subgroup analyses revealed that probability was increased for only women with childhood physical abuse, sexual abuse and exposure to intimate partner violence. Factors resulting in COPD in adults could trace back to early life. Childhood respiratory disease, maltreatment, maternal smoking and low birth weight increase the risk of COPD. Promising advances in prevention strategies for early life exposures could markedly decrease the risk of COPD.&quot;,&quot;publisher&quot;:&quot;John Wiley and Sons Inc&quot;,&quot;issue&quot;:&quot;12&quot;,&quot;volume&quot;:&quot;26&quot;,&quot;container-title-short&quot;:&quot;&quot;},&quot;isTemporary&quot;:false}]},{&quot;citationID&quot;:&quot;MENDELEY_CITATION_67dd987a-0814-4a35-9bc5-90b4a238442c&quot;,&quot;properties&quot;:{&quot;noteIndex&quot;:0},&quot;isEdited&quot;:false,&quot;manualOverride&quot;:{&quot;isManuallyOverridden&quot;:false,&quot;citeprocText&quot;:&quot;[86]&quot;,&quot;manualOverrideText&quot;:&quot;&quot;},&quot;citationTag&quot;:&quot;MENDELEY_CITATION_v3_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&quot;,&quot;citationItems&quot;:[{&quot;id&quot;:&quot;6139b7ea-c2c7-3cf2-bc46-400b0a1622f6&quot;,&quot;itemData&quot;:{&quot;type&quot;:&quot;article-journal&quot;,&quot;id&quot;:&quot;6139b7ea-c2c7-3cf2-bc46-400b0a1622f6&quot;,&quot;title&quot;:&quot;Impact of early life exposures on COPD in adulthood: A systematic review and meta-analysis&quot;,&quot;author&quot;:[{&quot;family&quot;:&quot;Duan&quot;,&quot;given&quot;:&quot;Pengfei&quot;,&quot;parse-names&quot;:false,&quot;dropping-particle&quot;:&quot;&quot;,&quot;non-dropping-particle&quot;:&quot;&quot;},{&quot;family&quot;:&quot;Wang&quot;,&quot;given&quot;:&quot;Yao&quot;,&quot;parse-names&quot;:false,&quot;dropping-particle&quot;:&quot;&quot;,&quot;non-dropping-particle&quot;:&quot;&quot;},{&quot;family&quot;:&quot;Lin&quot;,&quot;given&quot;:&quot;Rongqing&quot;,&quot;parse-names&quot;:false,&quot;dropping-particle&quot;:&quot;&quot;,&quot;non-dropping-particle&quot;:&quot;&quot;},{&quot;family&quot;:&quot;Zeng&quot;,&quot;given&quot;:&quot;Yiming&quot;,&quot;parse-names&quot;:false,&quot;dropping-particle&quot;:&quot;&quot;,&quot;non-dropping-particle&quot;:&quot;&quot;},{&quot;family&quot;:&quot;Chen&quot;,&quot;given&quot;:&quot;Chengshui&quot;,&quot;parse-names&quot;:false,&quot;dropping-particle&quot;:&quot;&quot;,&quot;non-dropping-particle&quot;:&quot;&quot;},{&quot;family&quot;:&quot;Yang&quot;,&quot;given&quot;:&quot;Li&quot;,&quot;parse-names&quot;:false,&quot;dropping-particle&quot;:&quot;&quot;,&quot;non-dropping-particle&quot;:&quot;&quot;},{&quot;family&quot;:&quot;Yue&quot;,&quot;given&quot;:&quot;Minghui&quot;,&quot;parse-names&quot;:false,&quot;dropping-particle&quot;:&quot;&quot;,&quot;non-dropping-particle&quot;:&quot;&quot;},{&quot;family&quot;:&quot;Zhong&quot;,&quot;given&quot;:&quot;Shan&quot;,&quot;parse-names&quot;:false,&quot;dropping-particle&quot;:&quot;&quot;,&quot;non-dropping-particle&quot;:&quot;&quot;},{&quot;family&quot;:&quot;Wang&quot;,&quot;given&quot;:&quot;Yun&quot;,&quot;parse-names&quot;:false,&quot;dropping-particle&quot;:&quot;&quot;,&quot;non-dropping-particle&quot;:&quot;&quot;},{&quot;family&quot;:&quot;Zhang&quot;,&quot;given&quot;:&quot;Qingying&quot;,&quot;parse-names&quot;:false,&quot;dropping-particle&quot;:&quot;&quot;,&quot;non-dropping-particle&quot;:&quot;&quot;}],&quot;container-title&quot;:&quot;Respirology&quot;,&quot;accessed&quot;:{&quot;date-parts&quot;:[[2025,6,1]]},&quot;DOI&quot;:&quot;10.1111/RESP.14144,&quot;,&quot;ISSN&quot;:&quot;14401843&quot;,&quot;PMID&quot;:&quot;34541740&quot;,&quot;URL&quot;:&quot;https://pubmed.ncbi.nlm.nih.gov/34541740/&quot;,&quot;issued&quot;:{&quot;date-parts&quot;:[[2021,12,1]]},&quot;page&quot;:&quot;1131-1151&quot;,&quot;abstract&quot;:&quot;Early life represents a critical period for the development and growth of the lungs. Adverse exposures in this stage may drive the development of chronic obstructive pulmonary disease (COPD). Thus, we quantitatively evaluated the impact of different early life exposures on COPD in adulthood. The PubMed, Embase and Cochrane Library electronic databases were searched for articles published from January 2001 to October 2020. A total of 30 studies (795,935 participants) met the criteria and were included in the review. We found a significant association of COPD with childhood serious respiratory infections, pneumonia or bronchitis (pooled adjusted OR [aOR], 2.23 [95% CI, 1.63–3.07]). The probability of COPD was increased 3.45-fold for children with than without asthma (pooled aOR, 3.45 [95% CI, 2.37–5.02]). In addition, the probability of COPD was associated with maternal smoking (pooled aOR, 1.42 [95% CI, 1.17–1.72]), any child maltreatment (pooled aOR, 1.30 [95% CI, 1.18–1.42]) and low birth weight (pooled aOR, 1.58 [95% CI, 1.08–2.32]) but not childhood environmental tobacco smoke exposure (pooled aOR, 1.15 [0.83–1.61]) or premature birth (pooled aOR, 1.17 [95% CI, 0.87–1.58]). Furthermore, subgroup analyses revealed that probability was increased for only women with childhood physical abuse, sexual abuse and exposure to intimate partner violence. Factors resulting in COPD in adults could trace back to early life. Childhood respiratory disease, maltreatment, maternal smoking and low birth weight increase the risk of COPD. Promising advances in prevention strategies for early life exposures could markedly decrease the risk of COPD.&quot;,&quot;publisher&quot;:&quot;John Wiley and Sons Inc&quot;,&quot;issue&quot;:&quot;12&quot;,&quot;volume&quot;:&quot;26&quot;,&quot;container-title-short&quot;:&quot;&quot;},&quot;isTemporary&quot;:false}]},{&quot;citationID&quot;:&quot;MENDELEY_CITATION_ace45fb3-aeed-438f-8e63-6191fa07f688&quot;,&quot;properties&quot;:{&quot;noteIndex&quot;:0},&quot;isEdited&quot;:false,&quot;manualOverride&quot;:{&quot;isManuallyOverridden&quot;:false,&quot;citeprocText&quot;:&quot;[89]&quot;,&quot;manualOverrideText&quot;:&quot;&quot;},&quot;citationTag&quot;:&quot;MENDELEY_CITATION_v3_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&quot;,&quot;citationItems&quot;:[{&quot;id&quot;:&quot;e006c4d4-b366-3cc9-93cf-89897418c22e&quot;,&quot;itemData&quot;:{&quot;type&quot;:&quot;article-journal&quot;,&quot;id&quot;:&quot;e006c4d4-b366-3cc9-93cf-89897418c22e&quot;,&quot;title&quot;:&quot;Preterm birth and asthma and COPD in adulthood: a nationwide register study from two Nordic countries&quot;,&quot;author&quot;:[{&quot;family&quot;:&quot;Pulakka&quot;,&quot;given&quot;:&quot;Anna&quot;,&quot;parse-names&quot;:false,&quot;dropping-particle&quot;:&quot;&quot;,&quot;non-dropping-particle&quot;:&quot;&quot;},{&quot;family&quot;:&quot;Risnes&quot;,&quot;given&quot;:&quot;Kari&quot;,&quot;parse-names&quot;:false,&quot;dropping-particle&quot;:&quot;&quot;,&quot;non-dropping-particle&quot;:&quot;&quot;},{&quot;family&quot;:&quot;Metsälä&quot;,&quot;given&quot;:&quot;Johanna&quot;,&quot;parse-names&quot;:false,&quot;dropping-particle&quot;:&quot;&quot;,&quot;non-dropping-particle&quot;:&quot;&quot;},{&quot;family&quot;:&quot;Alenius&quot;,&quot;given&quot;:&quot;Suvi&quot;,&quot;parse-names&quot;:false,&quot;dropping-particle&quot;:&quot;&quot;,&quot;non-dropping-particle&quot;:&quot;&quot;},{&quot;family&quot;:&quot;Heikkilä&quot;,&quot;given&quot;:&quot;Katriina&quot;,&quot;parse-names&quot;:false,&quot;dropping-particle&quot;:&quot;&quot;,&quot;non-dropping-particle&quot;:&quot;&quot;},{&quot;family&quot;:&quot;Nilsen&quot;,&quot;given&quot;:&quot;Sara Marie&quot;,&quot;parse-names&quot;:false,&quot;dropping-particle&quot;:&quot;&quot;,&quot;non-dropping-particle&quot;:&quot;&quot;},{&quot;family&quot;:&quot;Näsänen-Gilmore&quot;,&quot;given&quot;:&quot;Pieta&quot;,&quot;parse-names&quot;:false,&quot;dropping-particle&quot;:&quot;&quot;,&quot;non-dropping-particle&quot;:&quot;&quot;},{&quot;family&quot;:&quot;Haaramo&quot;,&quot;given&quot;:&quot;Peija&quot;,&quot;parse-names&quot;:false,&quot;dropping-particle&quot;:&quot;&quot;,&quot;non-dropping-particle&quot;:&quot;&quot;},{&quot;family&quot;:&quot;Gissler&quot;,&quot;given&quot;:&quot;Mika&quot;,&quot;parse-names&quot;:false,&quot;dropping-particle&quot;:&quot;&quot;,&quot;non-dropping-particle&quot;:&quot;&quot;},{&quot;family&quot;:&quot;Opdahl&quot;,&quot;given&quot;:&quot;Signe&quot;,&quot;parse-names&quot;:false,&quot;dropping-particle&quot;:&quot;&quot;,&quot;non-dropping-particle&quot;:&quot;&quot;},{&quot;family&quot;:&quot;Kajantie&quot;,&quot;given&quot;:&quot;Eero&quot;,&quot;parse-names&quot;:false,&quot;dropping-particle&quot;:&quot;&quot;,&quot;non-dropping-particle&quot;:&quot;&quot;}],&quot;container-title&quot;:&quot;European Respiratory Journal&quot;,&quot;accessed&quot;:{&quot;date-parts&quot;:[[2025,6,1]]},&quot;DOI&quot;:&quot;10.1183/13993003.01763-2022,&quot;,&quot;ISSN&quot;:&quot;13993003&quot;,&quot;PMID&quot;:&quot;36990472&quot;,&quot;URL&quot;:&quot;https://pubmed.ncbi.nlm.nih.gov/36990472/&quot;,&quot;issued&quot;:{&quot;date-parts&quot;:[[2023]]},&quot;abstract&quot;:&quot;Background Preterm birth affects lungs in several ways but few studies have follow-up until adulthood. We investigated the association of the entire spectrum of gestational ages with specialist care episodes for obstructive airway disease (asthma and chronic obstructive pulmonary disease (COPD)) at age 18–50 years. Methods We used nationwide registry data on 706 717 people born 1987–1998 in Finland (4.8% preterm) and 1 669 528 born 1967–1999 in Norway (5.0% preterm). Care episodes of asthma and COPD were obtained from specialised healthcare registers, available in Finland for 2005–2016 and in Norway for 2008–2017. We used logistic regression to estimate odds ratios (ORs) for having a care episode with either disease outcome. Results Odds of any obstructive airway disease in adulthood for those born at &lt;28 or 28–31 completed weeks were 2–3-fold of those born full term (39–41 completed weeks), persisting after adjustments. For individuals born at 32–33, 34–36 or 37–38 weeks, the odds were 1.1- to 1.5-fold. Associations were similar in the Finnish and the Norwegian data and among people aged 18–29 and 30–50 years. For COPD at age 30–50 years, the OR was 7.44 (95% CI 3.49–15.85) for those born at &lt;28 weeks, 3.18 (95% CI 2.23–4.54) for those born at 28–31 weeks and 2.32 (95% CI 1.72–3.12) for those born at 32–33 weeks. Bronchopulmonary dysplasia in infancy increased the odds further for those born at &lt;28 and 28–31 weeks. Conclusion Preterm birth is a risk factor for asthma and COPD in adulthood. The high odds of COPD call for diagnostic vigilance when adults born very preterm present with respiratory symptoms.&quot;,&quot;publisher&quot;:&quot;European Respiratory Society&quot;,&quot;issue&quot;:&quot;6&quot;,&quot;volume&quot;:&quot;61&quot;,&quot;container-title-short&quot;:&quot;&quot;},&quot;isTemporary&quot;:false}]},{&quot;citationID&quot;:&quot;MENDELEY_CITATION_2a4debd9-264f-4e4d-83d3-d6a1d1a1db68&quot;,&quot;properties&quot;:{&quot;noteIndex&quot;:0},&quot;isEdited&quot;:false,&quot;manualOverride&quot;:{&quot;isManuallyOverridden&quot;:false,&quot;citeprocText&quot;:&quot;[87]&quot;,&quot;manualOverrideText&quot;:&quot;&quot;},&quot;citationTag&quot;:&quot;MENDELEY_CITATION_v3_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&quot;,&quot;citationItems&quot;:[{&quot;id&quot;:&quot;fec9ea2a-e1a8-3c40-8476-78e065bb641b&quot;,&quot;itemData&quot;:{&quot;type&quot;:&quot;article-journal&quot;,&quot;id&quot;:&quot;fec9ea2a-e1a8-3c40-8476-78e065bb641b&quot;,&quot;title&quot;:&quot;Association between birth weight and chronic obstructive pulmonary disease in the UK Biobank: a prospective cohort study&quot;,&quot;author&quot;:[{&quot;family&quot;:&quot;Luo&quot;,&quot;given&quot;:&quot;Pengfei&quot;,&quot;parse-names&quot;:false,&quot;dropping-particle&quot;:&quot;&quot;,&quot;non-dropping-particle&quot;:&quot;&quot;},{&quot;family&quot;:&quot;He&quot;,&quot;given&quot;:&quot;Jialiu&quot;,&quot;parse-names&quot;:false,&quot;dropping-particle&quot;:&quot;&quot;,&quot;non-dropping-particle&quot;:&quot;&quot;},{&quot;family&quot;:&quot;Wan&quot;,&quot;given&quot;:&quot;Xinglin&quot;,&quot;parse-names&quot;:false,&quot;dropping-particle&quot;:&quot;&quot;,&quot;non-dropping-particle&quot;:&quot;&quot;},{&quot;family&quot;:&quot;Li&quot;,&quot;given&quot;:&quot;Mengxia&quot;,&quot;parse-names&quot;:false,&quot;dropping-particle&quot;:&quot;&quot;,&quot;non-dropping-particle&quot;:&quot;&quot;},{&quot;family&quot;:&quot;Zhu&quot;,&quot;given&quot;:&quot;Zheng&quot;,&quot;parse-names&quot;:false,&quot;dropping-particle&quot;:&quot;&quot;,&quot;non-dropping-particle&quot;:&quot;&quot;},{&quot;family&quot;:&quot;Chen&quot;,&quot;given&quot;:&quot;Lulu&quot;,&quot;parse-names&quot;:false,&quot;dropping-particle&quot;:&quot;&quot;,&quot;non-dropping-particle&quot;:&quot;&quot;},{&quot;family&quot;:&quot;Hang&quot;,&quot;given&quot;:&quot;Dong&quot;,&quot;parse-names&quot;:false,&quot;dropping-particle&quot;:&quot;&quot;,&quot;non-dropping-particle&quot;:&quot;&quot;},{&quot;family&quot;:&quot;Su&quot;,&quot;given&quot;:&quot;Jian&quot;,&quot;parse-names&quot;:false,&quot;dropping-particle&quot;:&quot;&quot;,&quot;non-dropping-particle&quot;:&quot;&quot;},{&quot;family&quot;:&quot;Tao&quot;,&quot;given&quot;:&quot;Ran&quot;,&quot;parse-names&quot;:false,&quot;dropping-particle&quot;:&quot;&quot;,&quot;non-dropping-particle&quot;:&quot;&quot;},{&quot;family&quot;:&quot;Zhou&quot;,&quot;given&quot;:&quot;Jinyi&quot;,&quot;parse-names&quot;:false,&quot;dropping-particle&quot;:&quot;&quot;,&quot;non-dropping-particle&quot;:&quot;&quot;},{&quot;family&quot;:&quot;Fan&quot;,&quot;given&quot;:&quot;Xikang&quot;,&quot;parse-names&quot;:false,&quot;dropping-particle&quot;:&quot;&quot;,&quot;non-dropping-particle&quot;:&quot;&quot;}],&quot;container-title&quot;:&quot;BMJ open respiratory research&quot;,&quot;container-title-short&quot;:&quot;BMJ Open Respir Res&quot;,&quot;accessed&quot;:{&quot;date-parts&quot;:[[2025,6,1]]},&quot;DOI&quot;:&quot;10.1136/BMJRESP-2024-002366,&quot;,&quot;ISSN&quot;:&quot;20524439&quot;,&quot;PMID&quot;:&quot;39668106&quot;,&quot;URL&quot;:&quot;https://pubmed.ncbi.nlm.nih.gov/39668106/&quot;,&quot;issued&quot;:{&quot;date-parts&quot;:[[2024,12,12]]},&quot;abstract&quot;:&quot;BACKGROUND: Birth weight has been reported to be associated with chronic obstructive pulmonary disease (COPD) in adulthood, but the results have not yet been determined. This study aims to analyse the potential association of birth weight with COPD risk in UK Biobank. METHODS: We conducted a prospective analysis for participants without baseline COPD in UK Biobank. The HRs and 95% CIs were calculated by multivariable Cox regression models, and dose-response relationship was evaluated by restricted cubic splines. Besides, we also calculated the interactions for covariates and further analysed the joint effects. RESULTS: A total of 251 172 participants with birth weight data were included in this study, and 5602 COPD cases were found during follow-up. According to Cox regression models, participants with the lowest quintile of birth weight (&lt; 2.86 kg) had higher risk for COPD (HR=1.21, 95% CI 1.11 to 1.32). In addition, the dose‒response analysis showed a non-linear relationship between birth weight and COPD risk, which first decreased and then increased, and the interactions for age, passive smoking and maternal smoking were also found by stratified analysis. Furthermore, we also found the joint effects between COPD risk and maternal smoking in the lowest quintile group. CONCLUSIONS: This study indicated that lower birth weight may increase the risk of COPD. The non-linear associations between birth weight and COPD risk for prospective cohort; as birth weight increased, the risk showed a trend of decreasing first and then increasing. Moreover, maternal smoking had a joint effect with low birth weight for COPD risk.&quot;,&quot;publisher&quot;:&quot;BMJ Open Respir Res&quot;,&quot;issue&quot;:&quot;1&quot;,&quot;volume&quot;:&quot;11&quot;},&quot;isTemporary&quot;:false}]},{&quot;citationID&quot;:&quot;MENDELEY_CITATION_e0951a25-9fe6-45b1-b519-ed65001e6327&quot;,&quot;properties&quot;:{&quot;noteIndex&quot;:0},&quot;isEdited&quot;:false,&quot;manualOverride&quot;:{&quot;isManuallyOverridden&quot;:false,&quot;citeprocText&quot;:&quot;[87]&quot;,&quot;manualOverrideText&quot;:&quot;&quot;},&quot;citationTag&quot;:&quot;MENDELEY_CITATION_v3_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&quot;,&quot;citationItems&quot;:[{&quot;id&quot;:&quot;fec9ea2a-e1a8-3c40-8476-78e065bb641b&quot;,&quot;itemData&quot;:{&quot;type&quot;:&quot;article-journal&quot;,&quot;id&quot;:&quot;fec9ea2a-e1a8-3c40-8476-78e065bb641b&quot;,&quot;title&quot;:&quot;Association between birth weight and chronic obstructive pulmonary disease in the UK Biobank: a prospective cohort study&quot;,&quot;author&quot;:[{&quot;family&quot;:&quot;Luo&quot;,&quot;given&quot;:&quot;Pengfei&quot;,&quot;parse-names&quot;:false,&quot;dropping-particle&quot;:&quot;&quot;,&quot;non-dropping-particle&quot;:&quot;&quot;},{&quot;family&quot;:&quot;He&quot;,&quot;given&quot;:&quot;Jialiu&quot;,&quot;parse-names&quot;:false,&quot;dropping-particle&quot;:&quot;&quot;,&quot;non-dropping-particle&quot;:&quot;&quot;},{&quot;family&quot;:&quot;Wan&quot;,&quot;given&quot;:&quot;Xinglin&quot;,&quot;parse-names&quot;:false,&quot;dropping-particle&quot;:&quot;&quot;,&quot;non-dropping-particle&quot;:&quot;&quot;},{&quot;family&quot;:&quot;Li&quot;,&quot;given&quot;:&quot;Mengxia&quot;,&quot;parse-names&quot;:false,&quot;dropping-particle&quot;:&quot;&quot;,&quot;non-dropping-particle&quot;:&quot;&quot;},{&quot;family&quot;:&quot;Zhu&quot;,&quot;given&quot;:&quot;Zheng&quot;,&quot;parse-names&quot;:false,&quot;dropping-particle&quot;:&quot;&quot;,&quot;non-dropping-particle&quot;:&quot;&quot;},{&quot;family&quot;:&quot;Chen&quot;,&quot;given&quot;:&quot;Lulu&quot;,&quot;parse-names&quot;:false,&quot;dropping-particle&quot;:&quot;&quot;,&quot;non-dropping-particle&quot;:&quot;&quot;},{&quot;family&quot;:&quot;Hang&quot;,&quot;given&quot;:&quot;Dong&quot;,&quot;parse-names&quot;:false,&quot;dropping-particle&quot;:&quot;&quot;,&quot;non-dropping-particle&quot;:&quot;&quot;},{&quot;family&quot;:&quot;Su&quot;,&quot;given&quot;:&quot;Jian&quot;,&quot;parse-names&quot;:false,&quot;dropping-particle&quot;:&quot;&quot;,&quot;non-dropping-particle&quot;:&quot;&quot;},{&quot;family&quot;:&quot;Tao&quot;,&quot;given&quot;:&quot;Ran&quot;,&quot;parse-names&quot;:false,&quot;dropping-particle&quot;:&quot;&quot;,&quot;non-dropping-particle&quot;:&quot;&quot;},{&quot;family&quot;:&quot;Zhou&quot;,&quot;given&quot;:&quot;Jinyi&quot;,&quot;parse-names&quot;:false,&quot;dropping-particle&quot;:&quot;&quot;,&quot;non-dropping-particle&quot;:&quot;&quot;},{&quot;family&quot;:&quot;Fan&quot;,&quot;given&quot;:&quot;Xikang&quot;,&quot;parse-names&quot;:false,&quot;dropping-particle&quot;:&quot;&quot;,&quot;non-dropping-particle&quot;:&quot;&quot;}],&quot;container-title&quot;:&quot;BMJ open respiratory research&quot;,&quot;container-title-short&quot;:&quot;BMJ Open Respir Res&quot;,&quot;accessed&quot;:{&quot;date-parts&quot;:[[2025,6,1]]},&quot;DOI&quot;:&quot;10.1136/BMJRESP-2024-002366,&quot;,&quot;ISSN&quot;:&quot;20524439&quot;,&quot;PMID&quot;:&quot;39668106&quot;,&quot;URL&quot;:&quot;https://pubmed.ncbi.nlm.nih.gov/39668106/&quot;,&quot;issued&quot;:{&quot;date-parts&quot;:[[2024,12,12]]},&quot;abstract&quot;:&quot;BACKGROUND: Birth weight has been reported to be associated with chronic obstructive pulmonary disease (COPD) in adulthood, but the results have not yet been determined. This study aims to analyse the potential association of birth weight with COPD risk in UK Biobank. METHODS: We conducted a prospective analysis for participants without baseline COPD in UK Biobank. The HRs and 95% CIs were calculated by multivariable Cox regression models, and dose-response relationship was evaluated by restricted cubic splines. Besides, we also calculated the interactions for covariates and further analysed the joint effects. RESULTS: A total of 251 172 participants with birth weight data were included in this study, and 5602 COPD cases were found during follow-up. According to Cox regression models, participants with the lowest quintile of birth weight (&lt; 2.86 kg) had higher risk for COPD (HR=1.21, 95% CI 1.11 to 1.32). In addition, the dose‒response analysis showed a non-linear relationship between birth weight and COPD risk, which first decreased and then increased, and the interactions for age, passive smoking and maternal smoking were also found by stratified analysis. Furthermore, we also found the joint effects between COPD risk and maternal smoking in the lowest quintile group. CONCLUSIONS: This study indicated that lower birth weight may increase the risk of COPD. The non-linear associations between birth weight and COPD risk for prospective cohort; as birth weight increased, the risk showed a trend of decreasing first and then increasing. Moreover, maternal smoking had a joint effect with low birth weight for COPD risk.&quot;,&quot;publisher&quot;:&quot;BMJ Open Respir Res&quot;,&quot;issue&quot;:&quot;1&quot;,&quot;volume&quot;:&quot;11&quot;},&quot;isTemporary&quot;:false}]},{&quot;citationID&quot;:&quot;MENDELEY_CITATION_2aaba9e4-8015-4850-a57a-a41abc86af33&quot;,&quot;properties&quot;:{&quot;noteIndex&quot;:0},&quot;isEdited&quot;:false,&quot;manualOverride&quot;:{&quot;isManuallyOverridden&quot;:false,&quot;citeprocText&quot;:&quot;[86]&quot;,&quot;manualOverrideText&quot;:&quot;&quot;},&quot;citationTag&quot;:&quot;MENDELEY_CITATION_v3_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&quot;,&quot;citationItems&quot;:[{&quot;id&quot;:&quot;6139b7ea-c2c7-3cf2-bc46-400b0a1622f6&quot;,&quot;itemData&quot;:{&quot;type&quot;:&quot;article-journal&quot;,&quot;id&quot;:&quot;6139b7ea-c2c7-3cf2-bc46-400b0a1622f6&quot;,&quot;title&quot;:&quot;Impact of early life exposures on COPD in adulthood: A systematic review and meta-analysis&quot;,&quot;author&quot;:[{&quot;family&quot;:&quot;Duan&quot;,&quot;given&quot;:&quot;Pengfei&quot;,&quot;parse-names&quot;:false,&quot;dropping-particle&quot;:&quot;&quot;,&quot;non-dropping-particle&quot;:&quot;&quot;},{&quot;family&quot;:&quot;Wang&quot;,&quot;given&quot;:&quot;Yao&quot;,&quot;parse-names&quot;:false,&quot;dropping-particle&quot;:&quot;&quot;,&quot;non-dropping-particle&quot;:&quot;&quot;},{&quot;family&quot;:&quot;Lin&quot;,&quot;given&quot;:&quot;Rongqing&quot;,&quot;parse-names&quot;:false,&quot;dropping-particle&quot;:&quot;&quot;,&quot;non-dropping-particle&quot;:&quot;&quot;},{&quot;family&quot;:&quot;Zeng&quot;,&quot;given&quot;:&quot;Yiming&quot;,&quot;parse-names&quot;:false,&quot;dropping-particle&quot;:&quot;&quot;,&quot;non-dropping-particle&quot;:&quot;&quot;},{&quot;family&quot;:&quot;Chen&quot;,&quot;given&quot;:&quot;Chengshui&quot;,&quot;parse-names&quot;:false,&quot;dropping-particle&quot;:&quot;&quot;,&quot;non-dropping-particle&quot;:&quot;&quot;},{&quot;family&quot;:&quot;Yang&quot;,&quot;given&quot;:&quot;Li&quot;,&quot;parse-names&quot;:false,&quot;dropping-particle&quot;:&quot;&quot;,&quot;non-dropping-particle&quot;:&quot;&quot;},{&quot;family&quot;:&quot;Yue&quot;,&quot;given&quot;:&quot;Minghui&quot;,&quot;parse-names&quot;:false,&quot;dropping-particle&quot;:&quot;&quot;,&quot;non-dropping-particle&quot;:&quot;&quot;},{&quot;family&quot;:&quot;Zhong&quot;,&quot;given&quot;:&quot;Shan&quot;,&quot;parse-names&quot;:false,&quot;dropping-particle&quot;:&quot;&quot;,&quot;non-dropping-particle&quot;:&quot;&quot;},{&quot;family&quot;:&quot;Wang&quot;,&quot;given&quot;:&quot;Yun&quot;,&quot;parse-names&quot;:false,&quot;dropping-particle&quot;:&quot;&quot;,&quot;non-dropping-particle&quot;:&quot;&quot;},{&quot;family&quot;:&quot;Zhang&quot;,&quot;given&quot;:&quot;Qingying&quot;,&quot;parse-names&quot;:false,&quot;dropping-particle&quot;:&quot;&quot;,&quot;non-dropping-particle&quot;:&quot;&quot;}],&quot;container-title&quot;:&quot;Respirology&quot;,&quot;accessed&quot;:{&quot;date-parts&quot;:[[2025,6,1]]},&quot;DOI&quot;:&quot;10.1111/RESP.14144,&quot;,&quot;ISSN&quot;:&quot;14401843&quot;,&quot;PMID&quot;:&quot;34541740&quot;,&quot;URL&quot;:&quot;https://pubmed.ncbi.nlm.nih.gov/34541740/&quot;,&quot;issued&quot;:{&quot;date-parts&quot;:[[2021,12,1]]},&quot;page&quot;:&quot;1131-1151&quot;,&quot;abstract&quot;:&quot;Early life represents a critical period for the development and growth of the lungs. Adverse exposures in this stage may drive the development of chronic obstructive pulmonary disease (COPD). Thus, we quantitatively evaluated the impact of different early life exposures on COPD in adulthood. The PubMed, Embase and Cochrane Library electronic databases were searched for articles published from January 2001 to October 2020. A total of 30 studies (795,935 participants) met the criteria and were included in the review. We found a significant association of COPD with childhood serious respiratory infections, pneumonia or bronchitis (pooled adjusted OR [aOR], 2.23 [95% CI, 1.63–3.07]). The probability of COPD was increased 3.45-fold for children with than without asthma (pooled aOR, 3.45 [95% CI, 2.37–5.02]). In addition, the probability of COPD was associated with maternal smoking (pooled aOR, 1.42 [95% CI, 1.17–1.72]), any child maltreatment (pooled aOR, 1.30 [95% CI, 1.18–1.42]) and low birth weight (pooled aOR, 1.58 [95% CI, 1.08–2.32]) but not childhood environmental tobacco smoke exposure (pooled aOR, 1.15 [0.83–1.61]) or premature birth (pooled aOR, 1.17 [95% CI, 0.87–1.58]). Furthermore, subgroup analyses revealed that probability was increased for only women with childhood physical abuse, sexual abuse and exposure to intimate partner violence. Factors resulting in COPD in adults could trace back to early life. Childhood respiratory disease, maltreatment, maternal smoking and low birth weight increase the risk of COPD. Promising advances in prevention strategies for early life exposures could markedly decrease the risk of COPD.&quot;,&quot;publisher&quot;:&quot;John Wiley and Sons Inc&quot;,&quot;issue&quot;:&quot;12&quot;,&quot;volume&quot;:&quot;26&quot;,&quot;container-title-short&quot;:&quot;&quot;},&quot;isTemporary&quot;:false}]},{&quot;citationID&quot;:&quot;MENDELEY_CITATION_793b3e1c-dcb7-406b-af2b-99b1441e9ec7&quot;,&quot;properties&quot;:{&quot;noteIndex&quot;:0},&quot;isEdited&quot;:false,&quot;manualOverride&quot;:{&quot;isManuallyOverridden&quot;:false,&quot;citeprocText&quot;:&quot;[86]&quot;,&quot;manualOverrideText&quot;:&quot;&quot;},&quot;citationTag&quot;:&quot;MENDELEY_CITATION_v3_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&quot;,&quot;citationItems&quot;:[{&quot;id&quot;:&quot;6139b7ea-c2c7-3cf2-bc46-400b0a1622f6&quot;,&quot;itemData&quot;:{&quot;type&quot;:&quot;article-journal&quot;,&quot;id&quot;:&quot;6139b7ea-c2c7-3cf2-bc46-400b0a1622f6&quot;,&quot;title&quot;:&quot;Impact of early life exposures on COPD in adulthood: A systematic review and meta-analysis&quot;,&quot;author&quot;:[{&quot;family&quot;:&quot;Duan&quot;,&quot;given&quot;:&quot;Pengfei&quot;,&quot;parse-names&quot;:false,&quot;dropping-particle&quot;:&quot;&quot;,&quot;non-dropping-particle&quot;:&quot;&quot;},{&quot;family&quot;:&quot;Wang&quot;,&quot;given&quot;:&quot;Yao&quot;,&quot;parse-names&quot;:false,&quot;dropping-particle&quot;:&quot;&quot;,&quot;non-dropping-particle&quot;:&quot;&quot;},{&quot;family&quot;:&quot;Lin&quot;,&quot;given&quot;:&quot;Rongqing&quot;,&quot;parse-names&quot;:false,&quot;dropping-particle&quot;:&quot;&quot;,&quot;non-dropping-particle&quot;:&quot;&quot;},{&quot;family&quot;:&quot;Zeng&quot;,&quot;given&quot;:&quot;Yiming&quot;,&quot;parse-names&quot;:false,&quot;dropping-particle&quot;:&quot;&quot;,&quot;non-dropping-particle&quot;:&quot;&quot;},{&quot;family&quot;:&quot;Chen&quot;,&quot;given&quot;:&quot;Chengshui&quot;,&quot;parse-names&quot;:false,&quot;dropping-particle&quot;:&quot;&quot;,&quot;non-dropping-particle&quot;:&quot;&quot;},{&quot;family&quot;:&quot;Yang&quot;,&quot;given&quot;:&quot;Li&quot;,&quot;parse-names&quot;:false,&quot;dropping-particle&quot;:&quot;&quot;,&quot;non-dropping-particle&quot;:&quot;&quot;},{&quot;family&quot;:&quot;Yue&quot;,&quot;given&quot;:&quot;Minghui&quot;,&quot;parse-names&quot;:false,&quot;dropping-particle&quot;:&quot;&quot;,&quot;non-dropping-particle&quot;:&quot;&quot;},{&quot;family&quot;:&quot;Zhong&quot;,&quot;given&quot;:&quot;Shan&quot;,&quot;parse-names&quot;:false,&quot;dropping-particle&quot;:&quot;&quot;,&quot;non-dropping-particle&quot;:&quot;&quot;},{&quot;family&quot;:&quot;Wang&quot;,&quot;given&quot;:&quot;Yun&quot;,&quot;parse-names&quot;:false,&quot;dropping-particle&quot;:&quot;&quot;,&quot;non-dropping-particle&quot;:&quot;&quot;},{&quot;family&quot;:&quot;Zhang&quot;,&quot;given&quot;:&quot;Qingying&quot;,&quot;parse-names&quot;:false,&quot;dropping-particle&quot;:&quot;&quot;,&quot;non-dropping-particle&quot;:&quot;&quot;}],&quot;container-title&quot;:&quot;Respirology&quot;,&quot;accessed&quot;:{&quot;date-parts&quot;:[[2025,6,1]]},&quot;DOI&quot;:&quot;10.1111/RESP.14144,&quot;,&quot;ISSN&quot;:&quot;14401843&quot;,&quot;PMID&quot;:&quot;34541740&quot;,&quot;URL&quot;:&quot;https://pubmed.ncbi.nlm.nih.gov/34541740/&quot;,&quot;issued&quot;:{&quot;date-parts&quot;:[[2021,12,1]]},&quot;page&quot;:&quot;1131-1151&quot;,&quot;abstract&quot;:&quot;Early life represents a critical period for the development and growth of the lungs. Adverse exposures in this stage may drive the development of chronic obstructive pulmonary disease (COPD). Thus, we quantitatively evaluated the impact of different early life exposures on COPD in adulthood. The PubMed, Embase and Cochrane Library electronic databases were searched for articles published from January 2001 to October 2020. A total of 30 studies (795,935 participants) met the criteria and were included in the review. We found a significant association of COPD with childhood serious respiratory infections, pneumonia or bronchitis (pooled adjusted OR [aOR], 2.23 [95% CI, 1.63–3.07]). The probability of COPD was increased 3.45-fold for children with than without asthma (pooled aOR, 3.45 [95% CI, 2.37–5.02]). In addition, the probability of COPD was associated with maternal smoking (pooled aOR, 1.42 [95% CI, 1.17–1.72]), any child maltreatment (pooled aOR, 1.30 [95% CI, 1.18–1.42]) and low birth weight (pooled aOR, 1.58 [95% CI, 1.08–2.32]) but not childhood environmental tobacco smoke exposure (pooled aOR, 1.15 [0.83–1.61]) or premature birth (pooled aOR, 1.17 [95% CI, 0.87–1.58]). Furthermore, subgroup analyses revealed that probability was increased for only women with childhood physical abuse, sexual abuse and exposure to intimate partner violence. Factors resulting in COPD in adults could trace back to early life. Childhood respiratory disease, maltreatment, maternal smoking and low birth weight increase the risk of COPD. Promising advances in prevention strategies for early life exposures could markedly decrease the risk of COPD.&quot;,&quot;publisher&quot;:&quot;John Wiley and Sons Inc&quot;,&quot;issue&quot;:&quot;12&quot;,&quot;volume&quot;:&quot;26&quot;,&quot;container-title-short&quot;:&quot;&quot;},&quot;isTemporary&quot;:false}]},{&quot;citationID&quot;:&quot;MENDELEY_CITATION_4caa43b5-583e-4e87-b731-4a78af89bb2b&quot;,&quot;properties&quot;:{&quot;noteIndex&quot;:0},&quot;isEdited&quot;:false,&quot;manualOverride&quot;:{&quot;isManuallyOverridden&quot;:false,&quot;citeprocText&quot;:&quot;[87,90]&quot;,&quot;manualOverrideText&quot;:&quot;&quot;},&quot;citationTag&quot;:&quot;MENDELEY_CITATION_v3_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&quot;,&quot;citationItems&quot;:[{&quot;id&quot;:&quot;fec9ea2a-e1a8-3c40-8476-78e065bb641b&quot;,&quot;itemData&quot;:{&quot;type&quot;:&quot;article-journal&quot;,&quot;id&quot;:&quot;fec9ea2a-e1a8-3c40-8476-78e065bb641b&quot;,&quot;title&quot;:&quot;Association between birth weight and chronic obstructive pulmonary disease in the UK Biobank: a prospective cohort study&quot;,&quot;author&quot;:[{&quot;family&quot;:&quot;Luo&quot;,&quot;given&quot;:&quot;Pengfei&quot;,&quot;parse-names&quot;:false,&quot;dropping-particle&quot;:&quot;&quot;,&quot;non-dropping-particle&quot;:&quot;&quot;},{&quot;family&quot;:&quot;He&quot;,&quot;given&quot;:&quot;Jialiu&quot;,&quot;parse-names&quot;:false,&quot;dropping-particle&quot;:&quot;&quot;,&quot;non-dropping-particle&quot;:&quot;&quot;},{&quot;family&quot;:&quot;Wan&quot;,&quot;given&quot;:&quot;Xinglin&quot;,&quot;parse-names&quot;:false,&quot;dropping-particle&quot;:&quot;&quot;,&quot;non-dropping-particle&quot;:&quot;&quot;},{&quot;family&quot;:&quot;Li&quot;,&quot;given&quot;:&quot;Mengxia&quot;,&quot;parse-names&quot;:false,&quot;dropping-particle&quot;:&quot;&quot;,&quot;non-dropping-particle&quot;:&quot;&quot;},{&quot;family&quot;:&quot;Zhu&quot;,&quot;given&quot;:&quot;Zheng&quot;,&quot;parse-names&quot;:false,&quot;dropping-particle&quot;:&quot;&quot;,&quot;non-dropping-particle&quot;:&quot;&quot;},{&quot;family&quot;:&quot;Chen&quot;,&quot;given&quot;:&quot;Lulu&quot;,&quot;parse-names&quot;:false,&quot;dropping-particle&quot;:&quot;&quot;,&quot;non-dropping-particle&quot;:&quot;&quot;},{&quot;family&quot;:&quot;Hang&quot;,&quot;given&quot;:&quot;Dong&quot;,&quot;parse-names&quot;:false,&quot;dropping-particle&quot;:&quot;&quot;,&quot;non-dropping-particle&quot;:&quot;&quot;},{&quot;family&quot;:&quot;Su&quot;,&quot;given&quot;:&quot;Jian&quot;,&quot;parse-names&quot;:false,&quot;dropping-particle&quot;:&quot;&quot;,&quot;non-dropping-particle&quot;:&quot;&quot;},{&quot;family&quot;:&quot;Tao&quot;,&quot;given&quot;:&quot;Ran&quot;,&quot;parse-names&quot;:false,&quot;dropping-particle&quot;:&quot;&quot;,&quot;non-dropping-particle&quot;:&quot;&quot;},{&quot;family&quot;:&quot;Zhou&quot;,&quot;given&quot;:&quot;Jinyi&quot;,&quot;parse-names&quot;:false,&quot;dropping-particle&quot;:&quot;&quot;,&quot;non-dropping-particle&quot;:&quot;&quot;},{&quot;family&quot;:&quot;Fan&quot;,&quot;given&quot;:&quot;Xikang&quot;,&quot;parse-names&quot;:false,&quot;dropping-particle&quot;:&quot;&quot;,&quot;non-dropping-particle&quot;:&quot;&quot;}],&quot;container-title&quot;:&quot;BMJ open respiratory research&quot;,&quot;container-title-short&quot;:&quot;BMJ Open Respir Res&quot;,&quot;accessed&quot;:{&quot;date-parts&quot;:[[2025,6,1]]},&quot;DOI&quot;:&quot;10.1136/BMJRESP-2024-002366,&quot;,&quot;ISSN&quot;:&quot;20524439&quot;,&quot;PMID&quot;:&quot;39668106&quot;,&quot;URL&quot;:&quot;https://pubmed.ncbi.nlm.nih.gov/39668106/&quot;,&quot;issued&quot;:{&quot;date-parts&quot;:[[2024,12,12]]},&quot;abstract&quot;:&quot;BACKGROUND: Birth weight has been reported to be associated with chronic obstructive pulmonary disease (COPD) in adulthood, but the results have not yet been determined. This study aims to analyse the potential association of birth weight with COPD risk in UK Biobank. METHODS: We conducted a prospective analysis for participants without baseline COPD in UK Biobank. The HRs and 95% CIs were calculated by multivariable Cox regression models, and dose-response relationship was evaluated by restricted cubic splines. Besides, we also calculated the interactions for covariates and further analysed the joint effects. RESULTS: A total of 251 172 participants with birth weight data were included in this study, and 5602 COPD cases were found during follow-up. According to Cox regression models, participants with the lowest quintile of birth weight (&lt; 2.86 kg) had higher risk for COPD (HR=1.21, 95% CI 1.11 to 1.32). In addition, the dose‒response analysis showed a non-linear relationship between birth weight and COPD risk, which first decreased and then increased, and the interactions for age, passive smoking and maternal smoking were also found by stratified analysis. Furthermore, we also found the joint effects between COPD risk and maternal smoking in the lowest quintile group. CONCLUSIONS: This study indicated that lower birth weight may increase the risk of COPD. The non-linear associations between birth weight and COPD risk for prospective cohort; as birth weight increased, the risk showed a trend of decreasing first and then increasing. Moreover, maternal smoking had a joint effect with low birth weight for COPD risk.&quot;,&quot;publisher&quot;:&quot;BMJ Open Respir Res&quot;,&quot;issue&quot;:&quot;1&quot;,&quot;volume&quot;:&quot;11&quot;},&quot;isTemporary&quot;:false},{&quot;id&quot;:&quot;824b6b74-a6f7-380d-8f95-7edf31861d65&quot;,&quot;itemData&quot;:{&quot;type&quot;:&quot;article-journal&quot;,&quot;id&quot;:&quot;824b6b74-a6f7-380d-8f95-7edf31861d65&quot;,&quot;title&quot;:&quot;“Pulmonary Effects of Maternal Smoking on the Fetus and Child: Effects on Lung Development, Respiratory Morbidities, and Life Long Lung Health”&quot;,&quot;author&quot;:[{&quot;family&quot;:&quot;McEvoy&quot;,&quot;given&quot;:&quot;Cindy T.&quot;,&quot;parse-names&quot;:false,&quot;dropping-particle&quot;:&quot;&quot;,&quot;non-dropping-particle&quot;:&quot;&quot;},{&quot;family&quot;:&quot;Spindel&quot;,&quot;given&quot;:&quot;Eliot R.&quot;,&quot;parse-names&quot;:false,&quot;dropping-particle&quot;:&quot;&quot;,&quot;non-dropping-particle&quot;:&quot;&quot;}],&quot;container-title&quot;:&quot;Paediatric respiratory reviews&quot;,&quot;container-title-short&quot;:&quot;Paediatr Respir Rev&quot;,&quot;accessed&quot;:{&quot;date-parts&quot;:[[2025,6,1]]},&quot;DOI&quot;:&quot;10.1016/J.PRRV.2016.08.005&quot;,&quot;ISSN&quot;:&quot;15260550&quot;,&quot;PMID&quot;:&quot;27639458&quot;,&quot;URL&quot;:&quot;https://pmc.ncbi.nlm.nih.gov/articles/PMC5303131/&quot;,&quot;issued&quot;:{&quot;date-parts&quot;:[[2016,1,1]]},&quot;page&quot;:&quot;27&quot;,&quot;abstract&quot;:&quot;Maternal smoking during pregnancy is the largest preventable cause of abnormal in-utero lung development. Despite well known risks, rates of smoking during pregnancy have only slightly decreased over the last ten years, with rates varying from 5-40% worldwide resulting in tens of millions of fetal exposures. Despite multiple approaches to smoking cessation about 50% of smokers will continue to smoke during pregnancy. Maternal genotype plays an important role in the likelihood of continued smoking during pregnancy and the degree to which maternal smoking will affect the fetus. The primary effects of maternal smoking on offspring lung function and health are decreases in forced expiratory flows, decreased passive respiratory compliance, increased hospitalization for respiratory infections, and an increased prevalence of childhood wheeze and asthma. Nicotine appears to be the responsible component of tobacco smoke that affects lung development, and some of the effects of maternal smoking on lung development can be prevented by supplemental vitamin C. Because nicotine is the key agent for affecting lung development, e-cigarette usage during pregnancy is likely to be as dangerous to fetal lung development as is maternal smoking.&quot;,&quot;publisher&quot;:&quot;W.B. Saunders Ltd&quot;,&quot;volume&quot;:&quot;21&quot;},&quot;isTemporary&quot;:false}]},{&quot;citationID&quot;:&quot;MENDELEY_CITATION_513fdc01-b126-4c72-83ee-778c4ffcfb76&quot;,&quot;properties&quot;:{&quot;noteIndex&quot;:0},&quot;isEdited&quot;:false,&quot;manualOverride&quot;:{&quot;isManuallyOverridden&quot;:false,&quot;citeprocText&quot;:&quot;[91]&quot;,&quot;manualOverrideText&quot;:&quot;&quot;},&quot;citationTag&quot;:&quot;MENDELEY_CITATION_v3_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&quot;,&quot;citationItems&quot;:[{&quot;id&quot;:&quot;0b8b3a30-b5f7-36e7-a103-eb18ff5ad66b&quot;,&quot;itemData&quot;:{&quot;type&quot;:&quot;article-journal&quot;,&quot;id&quot;:&quot;0b8b3a30-b5f7-36e7-a103-eb18ff5ad66b&quot;,&quot;title&quot;:&quot;Cigarette Smoking Among Pregnant Women During the Perinatal Period: Prevalence and Health Care Provider Inquiries — Pregnancy Risk Assessment Monitoring System, United States, 2021&quot;,&quot;author&quot;:[{&quot;family&quot;:&quot;Kipling&quot;,&quot;given&quot;:&quot;Lauren&quot;,&quot;parse-names&quot;:false,&quot;dropping-particle&quot;:&quot;&quot;,&quot;non-dropping-particle&quot;:&quot;&quot;},{&quot;family&quot;:&quot;Bombard&quot;,&quot;given&quot;:&quot;Jennifer&quot;,&quot;parse-names&quot;:false,&quot;dropping-particle&quot;:&quot;&quot;,&quot;non-dropping-particle&quot;:&quot;&quot;},{&quot;family&quot;:&quot;Wang&quot;,&quot;given&quot;:&quot;Xu&quot;,&quot;parse-names&quot;:false,&quot;dropping-particle&quot;:&quot;&quot;,&quot;non-dropping-particle&quot;:&quot;&quot;},{&quot;family&quot;:&quot;Cox&quot;,&quot;given&quot;:&quot;Shanna&quot;,&quot;parse-names&quot;:false,&quot;dropping-particle&quot;:&quot;&quot;,&quot;non-dropping-particle&quot;:&quot;&quot;}],&quot;container-title&quot;:&quot;MMWR. Morbidity and Mortality Weekly Report&quot;,&quot;container-title-short&quot;:&quot;MMWR Morb Mortal Wkly Rep&quot;,&quot;accessed&quot;:{&quot;date-parts&quot;:[[2025,6,1]]},&quot;DOI&quot;:&quot;10.15585/MMWR.MM7317A2&quot;,&quot;ISSN&quot;:&quot;0149-21951545-861X&quot;,&quot;PMID&quot;:&quot;38696343&quot;,&quot;URL&quot;:&quot;https://www.cdc.gov/mmwr/volumes/73/wr/mm7317a2.htm&quot;,&quot;issued&quot;:{&quot;date-parts&quot;:[[2024,5,2]]},&quot;page&quot;:&quot;393-398&quot;,&quot;abstract&quot;:&quot;Cigarette smoking during pregnancy increases the risk for pregnancy complications and adverse infant outcomes such as preterm delivery, restricted fetal growth, and infant death. Health care provider counseling can support smoking cessation. Data from the 2021 Pregnancy Risk Assessment Monitoring System were analyzed to estimate the prevalence of smoking before, during , and after pregnancy; quitting smoking during pregnancy; and whether health care providers asked about cigarette smoking before, during, and after pregnancy among women with a recent live birth. In 2021, the prevalence of cigarette smoking was 12.1% before pregnancy, 5.4% during pregnancy, and 7.2% during the postpartum period; 56.1% of women who smoked before pregnancy quit smoking while pregnant. Jurisdiction-specific prevalences of smoking ranged from 3.5% to 20.2% before pregnancy, 0.4% to 11.0% during pregnancy, and 1.0% to 15.1% during the postpartum period. Among women with a health care visit during the associated period, the percentage of women who reported that a health care provider asked about smoking was 73.7% at any health care visit before pregnancy, 93.7% at any prenatal care visit, and 57.3% at a postpartum checkup. Routine assessment of smoking behaviors among pregnant and postpartum women can guide the development and implementation of evidence-based tobacco control measures at the jurisdiction and health care-system level to reduce smoking among pregnant and postpartum women.&quot;,&quot;publisher&quot;:&quot;Centers for Disease Control MMWR Office&quot;,&quot;issue&quot;:&quot;17&quot;,&quot;volume&quot;:&quot;73&quot;},&quot;isTemporary&quot;:false}]},{&quot;citationID&quot;:&quot;MENDELEY_CITATION_b4770fbb-009a-4028-a616-46b0f275bc61&quot;,&quot;properties&quot;:{&quot;noteIndex&quot;:0},&quot;isEdited&quot;:false,&quot;manualOverride&quot;:{&quot;isManuallyOverridden&quot;:false,&quot;citeprocText&quot;:&quot;[90,92]&quot;,&quot;manualOverrideText&quot;:&quot;&quot;},&quot;citationTag&quot;:&quot;MENDELEY_CITATION_v3_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&quot;,&quot;citationItems&quot;:[{&quot;id&quot;:&quot;824b6b74-a6f7-380d-8f95-7edf31861d65&quot;,&quot;itemData&quot;:{&quot;type&quot;:&quot;article-journal&quot;,&quot;id&quot;:&quot;824b6b74-a6f7-380d-8f95-7edf31861d65&quot;,&quot;title&quot;:&quot;“Pulmonary Effects of Maternal Smoking on the Fetus and Child: Effects on Lung Development, Respiratory Morbidities, and Life Long Lung Health”&quot;,&quot;author&quot;:[{&quot;family&quot;:&quot;McEvoy&quot;,&quot;given&quot;:&quot;Cindy T.&quot;,&quot;parse-names&quot;:false,&quot;dropping-particle&quot;:&quot;&quot;,&quot;non-dropping-particle&quot;:&quot;&quot;},{&quot;family&quot;:&quot;Spindel&quot;,&quot;given&quot;:&quot;Eliot R.&quot;,&quot;parse-names&quot;:false,&quot;dropping-particle&quot;:&quot;&quot;,&quot;non-dropping-particle&quot;:&quot;&quot;}],&quot;container-title&quot;:&quot;Paediatric respiratory reviews&quot;,&quot;container-title-short&quot;:&quot;Paediatr Respir Rev&quot;,&quot;accessed&quot;:{&quot;date-parts&quot;:[[2025,6,1]]},&quot;DOI&quot;:&quot;10.1016/J.PRRV.2016.08.005&quot;,&quot;ISSN&quot;:&quot;15260550&quot;,&quot;PMID&quot;:&quot;27639458&quot;,&quot;URL&quot;:&quot;https://pmc.ncbi.nlm.nih.gov/articles/PMC5303131/&quot;,&quot;issued&quot;:{&quot;date-parts&quot;:[[2016,1,1]]},&quot;page&quot;:&quot;27&quot;,&quot;abstract&quot;:&quot;Maternal smoking during pregnancy is the largest preventable cause of abnormal in-utero lung development. Despite well known risks, rates of smoking during pregnancy have only slightly decreased over the last ten years, with rates varying from 5-40% worldwide resulting in tens of millions of fetal exposures. Despite multiple approaches to smoking cessation about 50% of smokers will continue to smoke during pregnancy. Maternal genotype plays an important role in the likelihood of continued smoking during pregnancy and the degree to which maternal smoking will affect the fetus. The primary effects of maternal smoking on offspring lung function and health are decreases in forced expiratory flows, decreased passive respiratory compliance, increased hospitalization for respiratory infections, and an increased prevalence of childhood wheeze and asthma. Nicotine appears to be the responsible component of tobacco smoke that affects lung development, and some of the effects of maternal smoking on lung development can be prevented by supplemental vitamin C. Because nicotine is the key agent for affecting lung development, e-cigarette usage during pregnancy is likely to be as dangerous to fetal lung development as is maternal smoking.&quot;,&quot;publisher&quot;:&quot;W.B. Saunders Ltd&quot;,&quot;volume&quot;:&quot;21&quot;},&quot;isTemporary&quot;:false},{&quot;id&quot;:&quot;eda88efb-f34e-3dd0-a859-2cf2d1df1907&quot;,&quot;itemData&quot;:{&quot;type&quot;:&quot;article-journal&quot;,&quot;id&quot;:&quot;eda88efb-f34e-3dd0-a859-2cf2d1df1907&quot;,&quot;title&quot;:&quot;Childhood asthma as a risk factor for adult chronic obstructive pulmonary disease: a systematic review and meta-analysis&quot;,&quot;author&quot;:[{&quot;family&quot;:&quot;Ali&quot;,&quot;given&quot;:&quot;Kosar Mohamed&quot;,&quot;parse-names&quot;:false,&quot;dropping-particle&quot;:&quot;&quot;,&quot;non-dropping-particle&quot;:&quot;&quot;}],&quot;container-title&quot;:&quot;Expert Review of Respiratory Medicine&quot;,&quot;container-title-short&quot;:&quot;Expert Rev Respir Med&quot;,&quot;accessed&quot;:{&quot;date-parts&quot;:[[2025,6,1]]},&quot;DOI&quot;:&quot;10.1080/17476348.2021.1864328,&quot;,&quot;ISSN&quot;:&quot;17476356&quot;,&quot;PMID&quot;:&quot;33317352&quot;,&quot;URL&quot;:&quot;https://pubmed.ncbi.nlm.nih.gov/33317352/&quot;,&quot;issued&quot;:{&quot;date-parts&quot;:[[2022]]},&quot;page&quot;:&quot;461-467&quot;,&quot;abstract&quot;:&quot;Background: Due to the disagreement in studies, the present study performed a systematic review and meta-analysis to investigate the relationship between childhood asthma and the development of chronic obstructive pulmonary disease (COPD) in adulthood. Methods: Literature search was performed in Medline and Embase databases until the end of 2019. Data were recorded as adjusted odds ratio (OR) and 95% confidence interval (95%CI). Analyses were performed on STATA 14.0 and an overall OR was reported. Subgroup analysis was performed to determine the source of heterogeneity. Results: Data from 11 articles were included in the meta-analysis. Overall, the odds of developing adulthood COPD in children with asthma were 3.0 times higher than that in non-asthmatic children (OR = 3.00; 95%CI: 2.25–4.00; p &lt; 0.001). The relationship between childhood asthma and COPD in adulthood was reported somewhat greater in random sampling method studies than consecutive sampling method studies (OR = 2.89; 95% CI: 1.72–4.86; p = 0.001). Conclusion: Asthma in childhood could be considered as an independent risk factor for COPD in adulthood. Since type of study, sampling method, sample size of study and COPD prevalence are the main sources of heterogeneity, further prospective high-quality studies assessing the relationship of childhood asthma and adulthood COPD are recommended to be performed.&quot;,&quot;publisher&quot;:&quot;Taylor and Francis Ltd.&quot;,&quot;issue&quot;:&quot;4&quot;,&quot;volume&quot;:&quot;16&quot;},&quot;isTemporary&quot;:false}]},{&quot;citationID&quot;:&quot;MENDELEY_CITATION_0f4e7943-a1cf-4580-a80f-399c75f1e7e6&quot;,&quot;properties&quot;:{&quot;noteIndex&quot;:0},&quot;isEdited&quot;:false,&quot;manualOverride&quot;:{&quot;isManuallyOverridden&quot;:false,&quot;citeprocText&quot;:&quot;[92]&quot;,&quot;manualOverrideText&quot;:&quot;&quot;},&quot;citationTag&quot;:&quot;MENDELEY_CITATION_v3_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&quot;,&quot;citationItems&quot;:[{&quot;id&quot;:&quot;eda88efb-f34e-3dd0-a859-2cf2d1df1907&quot;,&quot;itemData&quot;:{&quot;type&quot;:&quot;article-journal&quot;,&quot;id&quot;:&quot;eda88efb-f34e-3dd0-a859-2cf2d1df1907&quot;,&quot;title&quot;:&quot;Childhood asthma as a risk factor for adult chronic obstructive pulmonary disease: a systematic review and meta-analysis&quot;,&quot;author&quot;:[{&quot;family&quot;:&quot;Ali&quot;,&quot;given&quot;:&quot;Kosar Mohamed&quot;,&quot;parse-names&quot;:false,&quot;dropping-particle&quot;:&quot;&quot;,&quot;non-dropping-particle&quot;:&quot;&quot;}],&quot;container-title&quot;:&quot;Expert Review of Respiratory Medicine&quot;,&quot;container-title-short&quot;:&quot;Expert Rev Respir Med&quot;,&quot;accessed&quot;:{&quot;date-parts&quot;:[[2025,6,1]]},&quot;DOI&quot;:&quot;10.1080/17476348.2021.1864328,&quot;,&quot;ISSN&quot;:&quot;17476356&quot;,&quot;PMID&quot;:&quot;33317352&quot;,&quot;URL&quot;:&quot;https://pubmed.ncbi.nlm.nih.gov/33317352/&quot;,&quot;issued&quot;:{&quot;date-parts&quot;:[[2022]]},&quot;page&quot;:&quot;461-467&quot;,&quot;abstract&quot;:&quot;Background: Due to the disagreement in studies, the present study performed a systematic review and meta-analysis to investigate the relationship between childhood asthma and the development of chronic obstructive pulmonary disease (COPD) in adulthood. Methods: Literature search was performed in Medline and Embase databases until the end of 2019. Data were recorded as adjusted odds ratio (OR) and 95% confidence interval (95%CI). Analyses were performed on STATA 14.0 and an overall OR was reported. Subgroup analysis was performed to determine the source of heterogeneity. Results: Data from 11 articles were included in the meta-analysis. Overall, the odds of developing adulthood COPD in children with asthma were 3.0 times higher than that in non-asthmatic children (OR = 3.00; 95%CI: 2.25–4.00; p &lt; 0.001). The relationship between childhood asthma and COPD in adulthood was reported somewhat greater in random sampling method studies than consecutive sampling method studies (OR = 2.89; 95% CI: 1.72–4.86; p = 0.001). Conclusion: Asthma in childhood could be considered as an independent risk factor for COPD in adulthood. Since type of study, sampling method, sample size of study and COPD prevalence are the main sources of heterogeneity, further prospective high-quality studies assessing the relationship of childhood asthma and adulthood COPD are recommended to be performed.&quot;,&quot;publisher&quot;:&quot;Taylor and Francis Ltd.&quot;,&quot;issue&quot;:&quot;4&quot;,&quot;volume&quot;:&quot;16&quot;},&quot;isTemporary&quot;:false}]},{&quot;citationID&quot;:&quot;MENDELEY_CITATION_f6bfe274-665f-4c14-9c32-1996c0111006&quot;,&quot;properties&quot;:{&quot;noteIndex&quot;:0},&quot;isEdited&quot;:false,&quot;manualOverride&quot;:{&quot;isManuallyOverridden&quot;:false,&quot;citeprocText&quot;:&quot;[93]&quot;,&quot;manualOverrideText&quot;:&quot;&quot;},&quot;citationTag&quot;:&quot;MENDELEY_CITATION_v3_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&quot;,&quot;citationItems&quot;:[{&quot;id&quot;:&quot;e1af1649-2072-3692-b57d-6528e1db89ee&quot;,&quot;itemData&quot;:{&quot;type&quot;:&quot;article-journal&quot;,&quot;id&quot;:&quot;e1af1649-2072-3692-b57d-6528e1db89ee&quot;,&quot;title&quot;:&quot;Association between early history of asthma and COPD diagnosis in later life: a systematic review and meta-analysis&quot;,&quot;author&quot;:[{&quot;family&quot;:&quot;Asamoah-Boaheng&quot;,&quot;given&quot;:&quot;Michael&quot;,&quot;parse-names&quot;:false,&quot;dropping-particle&quot;:&quot;&quot;,&quot;non-dropping-particle&quot;:&quot;&quot;},{&quot;family&quot;:&quot;Acheampong&quot;,&quot;given&quot;:&quot;Lily&quot;,&quot;parse-names&quot;:false,&quot;dropping-particle&quot;:&quot;&quot;,&quot;non-dropping-particle&quot;:&quot;&quot;},{&quot;family&quot;:&quot;Tenkorang&quot;,&quot;given&quot;:&quot;Eric Y.&quot;,&quot;parse-names&quot;:false,&quot;dropping-particle&quot;:&quot;&quot;,&quot;non-dropping-particle&quot;:&quot;&quot;},{&quot;family&quot;:&quot;Farrell&quot;,&quot;given&quot;:&quot;Jamie&quot;,&quot;parse-names&quot;:false,&quot;dropping-particle&quot;:&quot;&quot;,&quot;non-dropping-particle&quot;:&quot;&quot;},{&quot;family&quot;:&quot;Oyet&quot;,&quot;given&quot;:&quot;Alwell&quot;,&quot;parse-names&quot;:false,&quot;dropping-particle&quot;:&quot;&quot;,&quot;non-dropping-particle&quot;:&quot;&quot;},{&quot;family&quot;:&quot;Midodzi&quot;,&quot;given&quot;:&quot;William K.&quot;,&quot;parse-names&quot;:false,&quot;dropping-particle&quot;:&quot;&quot;,&quot;non-dropping-particle&quot;:&quot;&quot;}],&quot;container-title&quot;:&quot;International Journal of Epidemiology&quot;,&quot;container-title-short&quot;:&quot;Int J Epidemiol&quot;,&quot;accessed&quot;:{&quot;date-parts&quot;:[[2025,6,1]]},&quot;DOI&quot;:&quot;10.1093/IJE/DYY207&quot;,&quot;ISSN&quot;:&quot;0300-5771&quot;,&quot;PMID&quot;:&quot;30277533&quot;,&quot;URL&quot;:&quot;https://dx.doi.org/10.1093/ije/dyy207&quot;,&quot;issued&quot;:{&quot;date-parts&quot;:[[2018,12,1]]},&quot;page&quot;:&quot;1865-1876&quot;,&quot;abstract&quot;:&quot;Background: Whereas most studies have reported prior history/diagnosis of asthma as an independent risk factor for chronic obstructive pulmonary disease (COPD) development in later life, no systematic review and meta-analysis has been conducted to synthesize these observational studies. The aim of this review is to investigate associations between prior history of asthma and later development of COPD. Methods: We conducted a comprehensive search in PubMed, CINAHL and EMBASE for studies related to prior history of asthma and COPD diagnosis. Articles were screened for relevance by two independent reviewers. Methodological quality was independently assessed and data extracted for qualitative and quantitative review. We explored heterogeneity and performed a publication bias check. Results: From the 1260 articles retrieved, 9 were included in the qualitative review and 7 in the meta-analysis. History of asthma was associated with developing COPD in later life (Inverse Variance Random-effects model, odds ratio: 7.87, 95% confidence interval: 5.40–11.45, p &lt; 0.00001). Conclusions: Studies with high methodological quality provided sufficient evidence to suggest that individuals with previous history of asthma have an increasing likelihood of developing COPD in later life.&quot;,&quot;publisher&quot;:&quot;Oxford Academic&quot;,&quot;issue&quot;:&quot;6&quot;,&quot;volume&quot;:&quot;47&quot;},&quot;isTemporary&quot;:false}]},{&quot;citationID&quot;:&quot;MENDELEY_CITATION_cdabf2c9-1adc-46b1-88eb-4551590ec965&quot;,&quot;properties&quot;:{&quot;noteIndex&quot;:0},&quot;isEdited&quot;:false,&quot;manualOverride&quot;:{&quot;isManuallyOverridden&quot;:false,&quot;citeprocText&quot;:&quot;[83]&quot;,&quot;manualOverrideText&quot;:&quot;&quot;},&quot;citationTag&quot;:&quot;MENDELEY_CITATION_v3_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&quot;,&quot;citationItems&quot;:[{&quot;id&quot;:&quot;ebb6c942-9ae0-3887-b240-a220785c7d48&quot;,&quot;itemData&quot;:{&quot;type&quot;:&quot;article-journal&quot;,&quot;id&quot;:&quot;ebb6c942-9ae0-3887-b240-a220785c7d48&quot;,&quot;title&quot;:&quot;Rate of normal lung function decline in ageing adults: a systematic review of prospective cohort studies&quot;,&quot;author&quot;:[{&quot;family&quot;:&quot;Thomas&quot;,&quot;given&quot;:&quot;Elizabeth T.&quot;,&quot;parse-names&quot;:false,&quot;dropping-particle&quot;:&quot;&quot;,&quot;non-dropping-particle&quot;:&quot;&quot;},{&quot;family&quot;:&quot;Guppy&quot;,&quot;given&quot;:&quot;Michelle&quot;,&quot;parse-names&quot;:false,&quot;dropping-particle&quot;:&quot;&quot;,&quot;non-dropping-particle&quot;:&quot;&quot;},{&quot;family&quot;:&quot;Straus&quot;,&quot;given&quot;:&quot;Sharon E.&quot;,&quot;parse-names&quot;:false,&quot;dropping-particle&quot;:&quot;&quot;,&quot;non-dropping-particle&quot;:&quot;&quot;},{&quot;family&quot;:&quot;Bell&quot;,&quot;given&quot;:&quot;Katy J.L.&quot;,&quot;parse-names&quot;:false,&quot;dropping-particle&quot;:&quot;&quot;,&quot;non-dropping-particle&quot;:&quot;&quot;},{&quot;family&quot;:&quot;Glasziou&quot;,&quot;given&quot;:&quot;Paul&quot;,&quot;parse-names&quot;:false,&quot;dropping-particle&quot;:&quot;&quot;,&quot;non-dropping-particle&quot;:&quot;&quot;}],&quot;container-title&quot;:&quot;BMJ Open&quot;,&quot;accessed&quot;:{&quot;date-parts&quot;:[[2024,10,16]]},&quot;DOI&quot;:&quot;10.1136/BMJOPEN-2018-028150&quot;,&quot;ISSN&quot;:&quot;2044-6055&quot;,&quot;PMID&quot;:&quot;31248928&quot;,&quot;URL&quot;:&quot;https://bmjopen.bmj.com/content/9/6/e028150&quot;,&quot;issued&quot;:{&quot;date-parts&quot;:[[2019,6,1]]},&quot;page&quot;:&quot;e028150&quot;,&quot;abstract&quot;:&quot;Objective To conduct a systematic review investigating the normal age-related changes in lung function in adults without known lung disease.\n\nDesign Systematic review.\n\nData sources MEDLINE, Embase and Cumulative Index to Nursing and Allied Health Literature (CINAHL) were searched for eligible studies from inception to February 12, 2019, supplemented by manual searches of reference lists and clinical trial registries.\n\nEligibility criteria We planned to include prospective cohort studies and randomised controlled trials (control arms) that measured changes in lung function over time in asymptomatic adults without known respiratory disease.\n\nData extraction and synthesis Two authors independently determined the eligibility of studies, extracted data and assessed the risk of bias of included studies using the modified Newcastle–Ottawa Scale.\n\nResults From 4385 records screened, we identified 16 cohort studies with 31 099 participants. All included studies demonstrated decline in lung function—forced expiratory volume in 1 s (FEV1), forced vital capacity (FVC) and peak expiratory flow rate (PEFR) with age. In studies with longer follow-up (&gt;10 years), rates of FEV1 decline ranged from 17.7 to 46.4 mL/year (median 22.4 mL/year). Overall, men had faster absolute rates of decline (median 43.5 mL/year) compared with women (median 30.5 mL/year). Differences in relative FEV1 change, however, were not observed between men and women. FEV1/FVC change was reported in only one study, declining by 0.29% per year. An age-specific analysis suggested the rate of FEV1 function decline may accelerate with each decade of age.\n\nConclusions Lung function—FEV1, FVC and PEFR—decline with age in individuals without known lung disease. The definition of chronic airway disease may need to be reconsidered to allow for normal ageing and ensure that people likely to benefit from interventions are identified rather than healthy people who may be harmed by potential overdiagnosis and overtreatment. The first step would be to apply age, sex and ethnicity-adjusted FEV1/FVC thresholds to the disease definition of chronic obstructive pulmonary disease.\n\nPROSPERO registration number CRD42018087066.&quot;,&quot;publisher&quot;:&quot;British Medical Journal Publishing Group&quot;,&quot;issue&quot;:&quot;6&quot;,&quot;volume&quot;:&quot;9&quot;,&quot;container-title-short&quot;:&quot;BMJ Open&quot;},&quot;isTemporary&quot;:false}]},{&quot;citationID&quot;:&quot;MENDELEY_CITATION_082cea41-6e7f-4fd6-86c4-53a7990ff9e3&quot;,&quot;properties&quot;:{&quot;noteIndex&quot;:0},&quot;isEdited&quot;:false,&quot;manualOverride&quot;:{&quot;isManuallyOverridden&quot;:false,&quot;citeprocText&quot;:&quot;[83]&quot;,&quot;manualOverrideText&quot;:&quot;&quot;},&quot;citationTag&quot;:&quot;MENDELEY_CITATION_v3_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&quot;,&quot;citationItems&quot;:[{&quot;id&quot;:&quot;ebb6c942-9ae0-3887-b240-a220785c7d48&quot;,&quot;itemData&quot;:{&quot;type&quot;:&quot;article-journal&quot;,&quot;id&quot;:&quot;ebb6c942-9ae0-3887-b240-a220785c7d48&quot;,&quot;title&quot;:&quot;Rate of normal lung function decline in ageing adults: a systematic review of prospective cohort studies&quot;,&quot;author&quot;:[{&quot;family&quot;:&quot;Thomas&quot;,&quot;given&quot;:&quot;Elizabeth T.&quot;,&quot;parse-names&quot;:false,&quot;dropping-particle&quot;:&quot;&quot;,&quot;non-dropping-particle&quot;:&quot;&quot;},{&quot;family&quot;:&quot;Guppy&quot;,&quot;given&quot;:&quot;Michelle&quot;,&quot;parse-names&quot;:false,&quot;dropping-particle&quot;:&quot;&quot;,&quot;non-dropping-particle&quot;:&quot;&quot;},{&quot;family&quot;:&quot;Straus&quot;,&quot;given&quot;:&quot;Sharon E.&quot;,&quot;parse-names&quot;:false,&quot;dropping-particle&quot;:&quot;&quot;,&quot;non-dropping-particle&quot;:&quot;&quot;},{&quot;family&quot;:&quot;Bell&quot;,&quot;given&quot;:&quot;Katy J.L.&quot;,&quot;parse-names&quot;:false,&quot;dropping-particle&quot;:&quot;&quot;,&quot;non-dropping-particle&quot;:&quot;&quot;},{&quot;family&quot;:&quot;Glasziou&quot;,&quot;given&quot;:&quot;Paul&quot;,&quot;parse-names&quot;:false,&quot;dropping-particle&quot;:&quot;&quot;,&quot;non-dropping-particle&quot;:&quot;&quot;}],&quot;container-title&quot;:&quot;BMJ Open&quot;,&quot;accessed&quot;:{&quot;date-parts&quot;:[[2024,10,16]]},&quot;DOI&quot;:&quot;10.1136/BMJOPEN-2018-028150&quot;,&quot;ISSN&quot;:&quot;2044-6055&quot;,&quot;PMID&quot;:&quot;31248928&quot;,&quot;URL&quot;:&quot;https://bmjopen.bmj.com/content/9/6/e028150&quot;,&quot;issued&quot;:{&quot;date-parts&quot;:[[2019,6,1]]},&quot;page&quot;:&quot;e028150&quot;,&quot;abstract&quot;:&quot;Objective To conduct a systematic review investigating the normal age-related changes in lung function in adults without known lung disease.\n\nDesign Systematic review.\n\nData sources MEDLINE, Embase and Cumulative Index to Nursing and Allied Health Literature (CINAHL) were searched for eligible studies from inception to February 12, 2019, supplemented by manual searches of reference lists and clinical trial registries.\n\nEligibility criteria We planned to include prospective cohort studies and randomised controlled trials (control arms) that measured changes in lung function over time in asymptomatic adults without known respiratory disease.\n\nData extraction and synthesis Two authors independently determined the eligibility of studies, extracted data and assessed the risk of bias of included studies using the modified Newcastle–Ottawa Scale.\n\nResults From 4385 records screened, we identified 16 cohort studies with 31 099 participants. All included studies demonstrated decline in lung function—forced expiratory volume in 1 s (FEV1), forced vital capacity (FVC) and peak expiratory flow rate (PEFR) with age. In studies with longer follow-up (&gt;10 years), rates of FEV1 decline ranged from 17.7 to 46.4 mL/year (median 22.4 mL/year). Overall, men had faster absolute rates of decline (median 43.5 mL/year) compared with women (median 30.5 mL/year). Differences in relative FEV1 change, however, were not observed between men and women. FEV1/FVC change was reported in only one study, declining by 0.29% per year. An age-specific analysis suggested the rate of FEV1 function decline may accelerate with each decade of age.\n\nConclusions Lung function—FEV1, FVC and PEFR—decline with age in individuals without known lung disease. The definition of chronic airway disease may need to be reconsidered to allow for normal ageing and ensure that people likely to benefit from interventions are identified rather than healthy people who may be harmed by potential overdiagnosis and overtreatment. The first step would be to apply age, sex and ethnicity-adjusted FEV1/FVC thresholds to the disease definition of chronic obstructive pulmonary disease.\n\nPROSPERO registration number CRD42018087066.&quot;,&quot;publisher&quot;:&quot;British Medical Journal Publishing Group&quot;,&quot;issue&quot;:&quot;6&quot;,&quot;volume&quot;:&quot;9&quot;,&quot;container-title-short&quot;:&quot;BMJ Open&quot;},&quot;isTemporary&quot;:false}]},{&quot;citationID&quot;:&quot;MENDELEY_CITATION_cec29b7d-1141-4643-925b-95555c90376c&quot;,&quot;properties&quot;:{&quot;noteIndex&quot;:0},&quot;isEdited&quot;:false,&quot;manualOverride&quot;:{&quot;isManuallyOverridden&quot;:false,&quot;citeprocText&quot;:&quot;[94,95]&quot;,&quot;manualOverrideText&quot;:&quot;&quot;},&quot;citationTag&quot;:&quot;MENDELEY_CITATION_v3_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&quot;,&quot;citationItems&quot;:[{&quot;id&quot;:&quot;26c1204d-a734-3189-a9ea-4d36ee00a649&quot;,&quot;itemData&quot;:{&quot;type&quot;:&quot;article-journal&quot;,&quot;id&quot;:&quot;26c1204d-a734-3189-a9ea-4d36ee00a649&quot;,&quot;title&quot;:&quot;Lung function decline in COPD&quot;,&quot;author&quot;:[{&quot;family&quot;:&quot;Tantucci&quot;,&quot;given&quot;:&quot;Claudio&quot;,&quot;parse-names&quot;:false,&quot;dropping-particle&quot;:&quot;&quot;,&quot;non-dropping-particle&quot;:&quot;&quot;},{&quot;family&quot;:&quot;Modina&quot;,&quot;given&quot;:&quot;Denise&quot;,&quot;parse-names&quot;:false,&quot;dropping-particle&quot;:&quot;&quot;,&quot;non-dropping-particle&quot;:&quot;&quot;}],&quot;container-title&quot;:&quot;International Journal of Chronic Obstructive Pulmonary Disease&quot;,&quot;accessed&quot;:{&quot;date-parts&quot;:[[2022,6,13]]},&quot;DOI&quot;:&quot;10.2147/COPD.S27480&quot;,&quot;ISSN&quot;:&quot;11769106&quot;,&quot;PMID&quot;:&quot;22371650&quot;,&quot;URL&quot;:&quot;/pmc/articles/PMC3282601/&quot;,&quot;issued&quot;:{&quot;date-parts&quot;:[[2012]]},&quot;page&quot;:&quot;95&quot;,&quot;abstract&quot;:&quot;The landmark study of Fletcher and Peto on the natural history of tobacco smoke-related chronic airflow obstruction suggested that decline in the forced expiratory volume in the first second (FEV1) in chronic obstructive pulmonary disease (COPD) is slow at the beginning, becoming faster with more advanced disease. The present authors reviewed spirometric data of COPD patients included in the placebo arms of recent clinical trials to assess the lung function decline of each stage, defined according to the severity of airflow obstruction as proposed by the Global Initiative for Chronic Obstructive Lung Disease (GOLD) guidelines. In large COPD populations the mean rate of FEV1 decline in GOLD stages II and III is between 47 and 79 mL/year and 56 and 59 mL/year, respectively, and lower than 35 mL/year in GOLD stage IV. Few data on FEV1 decline are available for GOLD stage I. Hence, the loss of lung function, assessed as expiratory airflow reduction, seems more accelerated and therefore more relevant in the initial phases of COPD. To have an impact on the natural history of COPD, it is logical to look at the effects of treatment in the earlier stages. © 2012 Tantucci and Modina, publisher and licensee Dove Medical Press Ltd.&quot;,&quot;publisher&quot;:&quot;Dove Press&quot;,&quot;volume&quot;:&quot;7&quot;,&quot;container-title-short&quot;:&quot;Int J Chron Obstruct Pulmon Dis&quot;},&quot;isTemporary&quot;:false},{&quot;id&quot;:&quot;ba277781-0e8d-364f-ae19-f0e2023944bc&quot;,&quot;itemData&quot;:{&quot;type&quot;:&quot;article-journal&quot;,&quot;id&quot;:&quot;ba277781-0e8d-364f-ae19-f0e2023944bc&quot;,&quot;title&quot;:&quot;Chronic obstructive pulmonary disease&quot;,&quot;author&quot;:[{&quot;family&quot;:&quot;Christenson&quot;,&quot;given&quot;:&quot;Stephanie A&quot;,&quot;parse-names&quot;:false,&quot;dropping-particle&quot;:&quot;&quot;,&quot;non-dropping-particle&quot;:&quot;&quot;},{&quot;family&quot;:&quot;Smith&quot;,&quot;given&quot;:&quot;Benjamin M&quot;,&quot;parse-names&quot;:false,&quot;dropping-particle&quot;:&quot;&quot;,&quot;non-dropping-particle&quot;:&quot;&quot;},{&quot;family&quot;:&quot;Bafadhel&quot;,&quot;given&quot;:&quot;Mona&quot;,&quot;parse-names&quot;:false,&quot;dropping-particle&quot;:&quot;&quot;,&quot;non-dropping-particle&quot;:&quot;&quot;},{&quot;family&quot;:&quot;Putcha&quot;,&quot;given&quot;:&quot;Nirupama&quot;,&quot;parse-names&quot;:false,&quot;dropping-particle&quot;:&quot;&quot;,&quot;non-dropping-particle&quot;:&quot;&quot;}],&quot;container-title&quot;:&quot;www.thelancet.com&quot;,&quot;accessed&quot;:{&quot;date-parts&quot;:[[2024,3,17]]},&quot;DOI&quot;:&quot;10.1016/S0140-6736(22)00470-6&quot;,&quot;URL&quot;:&quot;https://doi.org/10.1016/&quot;,&quot;issued&quot;:{&quot;date-parts&quot;:[[2022]]},&quot;abstract&quot;:&quot;Chronic obstructive pulmonary disease (COPD) is a major cause of morbidity, mortality, and health-care use worldwide. COPD is caused by exposure to inhaled noxious particles, notably tobacco smoke and pollutants. However, the broad range of factors that increase the risk of development and progression of COPD throughout the life course are increasingly being recognised. Innovations in omics and imaging techniques have provided greater insight into disease pathobiology, which might result in advances in COPD prevention, diagnosis, and treatment. Although few novel treatments have been approved for COPD in the past 5 years, advances have been made in targeting existing therapies to specific subpopulations using new biomarker-based strategies. Additionally, COVID-19 has undeniably affected individuals with COPD, who are not only at higher risk for severe disease manifestations than healthy individuals but also negatively affected by interruptions in health-care delivery and social isolation. This Seminar reviews COPD with an emphasis on recent advances in epidemiology, pathophysiology, imaging, diagnosis, and treatment.&quot;,&quot;volume&quot;:&quot;399&quot;,&quot;container-title-short&quot;:&quot;&quot;},&quot;isTemporary&quot;:false}]},{&quot;citationID&quot;:&quot;MENDELEY_CITATION_bc7871c8-d149-4867-b4ef-247b0b08a5df&quot;,&quot;properties&quot;:{&quot;noteIndex&quot;:0},&quot;isEdited&quot;:false,&quot;manualOverride&quot;:{&quot;isManuallyOverridden&quot;:false,&quot;citeprocText&quot;:&quot;[82]&quot;,&quot;manualOverrideText&quot;:&quot;&quot;},&quot;citationTag&quot;:&quot;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&quot;,&quot;citationItems&quot;:[{&quot;id&quot;:&quot;40c2a82a-f568-3da3-8965-27201e1edcd6&quot;,&quot;itemData&quot;:{&quot;type&quot;:&quot;article-journal&quot;,&quot;id&quot;:&quot;40c2a82a-f568-3da3-8965-27201e1edcd6&quot;,&quot;title&quot;:&quot;Lung-function trajectories: relevance and implementation in clinical practice&quot;,&quot;author&quot;:[{&quot;family&quot;:&quot;Melén&quot;,&quot;given&quot;:&quot;Erik&quot;,&quot;parse-names&quot;:false,&quot;dropping-particle&quot;:&quot;&quot;,&quot;non-dropping-particle&quot;:&quot;&quot;},{&quot;family&quot;:&quot;Faner&quot;,&quot;given&quot;:&quot;Rosa&quot;,&quot;parse-names&quot;:false,&quot;dropping-particle&quot;:&quot;&quot;,&quot;non-dropping-particle&quot;:&quot;&quot;},{&quot;family&quot;:&quot;Allinson&quot;,&quot;given&quot;:&quot;James P.&quot;,&quot;parse-names&quot;:false,&quot;dropping-particle&quot;:&quot;&quot;,&quot;non-dropping-particle&quot;:&quot;&quot;},{&quot;family&quot;:&quot;Bui&quot;,&quot;given&quot;:&quot;Dinh&quot;,&quot;parse-names&quot;:false,&quot;dropping-particle&quot;:&quot;&quot;,&quot;non-dropping-particle&quot;:&quot;&quot;},{&quot;family&quot;:&quot;Bush&quot;,&quot;given&quot;:&quot;Andrew&quot;,&quot;parse-names&quot;:false,&quot;dropping-particle&quot;:&quot;&quot;,&quot;non-dropping-particle&quot;:&quot;&quot;},{&quot;family&quot;:&quot;Custovic&quot;,&quot;given&quot;:&quot;Adnan&quot;,&quot;parse-names&quot;:false,&quot;dropping-particle&quot;:&quot;&quot;,&quot;non-dropping-particle&quot;:&quot;&quot;},{&quot;family&quot;:&quot;Garcia-Aymerich&quot;,&quot;given&quot;:&quot;Judith&quot;,&quot;parse-names&quot;:false,&quot;dropping-particle&quot;:&quot;&quot;,&quot;non-dropping-particle&quot;:&quot;&quot;},{&quot;family&quot;:&quot;Guerra&quot;,&quot;given&quot;:&quot;Stefano&quot;,&quot;parse-names&quot;:false,&quot;dropping-particle&quot;:&quot;&quot;,&quot;non-dropping-particle&quot;:&quot;&quot;},{&quot;family&quot;:&quot;Breyer-Kohansal&quot;,&quot;given&quot;:&quot;Robab&quot;,&quot;parse-names&quot;:false,&quot;dropping-particle&quot;:&quot;&quot;,&quot;non-dropping-particle&quot;:&quot;&quot;},{&quot;family&quot;:&quot;Hallberg&quot;,&quot;given&quot;:&quot;Jenny&quot;,&quot;parse-names&quot;:false,&quot;dropping-particle&quot;:&quot;&quot;,&quot;non-dropping-particle&quot;:&quot;&quot;},{&quot;family&quot;:&quot;Lahousse&quot;,&quot;given&quot;:&quot;Lies&quot;,&quot;parse-names&quot;:false,&quot;dropping-particle&quot;:&quot;&quot;,&quot;non-dropping-particle&quot;:&quot;&quot;},{&quot;family&quot;:&quot;Martinez&quot;,&quot;given&quot;:&quot;Fernando D.&quot;,&quot;parse-names&quot;:false,&quot;dropping-particle&quot;:&quot;&quot;,&quot;non-dropping-particle&quot;:&quot;&quot;},{&quot;family&quot;:&quot;Merid&quot;,&quot;given&quot;:&quot;Simon Kebede&quot;,&quot;parse-names&quot;:false,&quot;dropping-particle&quot;:&quot;&quot;,&quot;non-dropping-particle&quot;:&quot;&quot;},{&quot;family&quot;:&quot;Powell&quot;,&quot;given&quot;:&quot;Pippa&quot;,&quot;parse-names&quot;:false,&quot;dropping-particle&quot;:&quot;&quot;,&quot;non-dropping-particle&quot;:&quot;&quot;},{&quot;family&quot;:&quot;Pinnock&quot;,&quot;given&quot;:&quot;Hilary&quot;,&quot;parse-names&quot;:false,&quot;dropping-particle&quot;:&quot;&quot;,&quot;non-dropping-particle&quot;:&quot;&quot;},{&quot;family&quot;:&quot;Stanojevic&quot;,&quot;given&quot;:&quot;Sanja&quot;,&quot;parse-names&quot;:false,&quot;dropping-particle&quot;:&quot;&quot;,&quot;non-dropping-particle&quot;:&quot;&quot;},{&quot;family&quot;:&quot;Vanfleteren&quot;,&quot;given&quot;:&quot;Lowie E.G.W.&quot;,&quot;parse-names&quot;:false,&quot;dropping-particle&quot;:&quot;&quot;,&quot;non-dropping-particle&quot;:&quot;&quot;},{&quot;family&quot;:&quot;Wang&quot;,&quot;given&quot;:&quot;Gang&quot;,&quot;parse-names&quot;:false,&quot;dropping-particle&quot;:&quot;&quot;,&quot;non-dropping-particle&quot;:&quot;&quot;},{&quot;family&quot;:&quot;Dharmage&quot;,&quot;given&quot;:&quot;Shyamali C.&quot;,&quot;parse-names&quot;:false,&quot;dropping-particle&quot;:&quot;&quot;,&quot;non-dropping-particle&quot;:&quot;&quot;},{&quot;family&quot;:&quot;Wedzicha&quot;,&quot;given&quot;:&quot;Jadwiga&quot;,&quot;parse-names&quot;:false,&quot;dropping-particle&quot;:&quot;&quot;,&quot;non-dropping-particle&quot;:&quot;&quot;},{&quot;family&quot;:&quot;Agusti&quot;,&quot;given&quot;:&quot;Alvar&quot;,&quot;parse-names&quot;:false,&quot;dropping-particle&quot;:&quot;&quot;,&quot;non-dropping-particle&quot;:&quot;&quot;},{&quot;family&quot;:&quot;Abellan&quot;,&quot;given&quot;:&quot;Alicia&quot;,&quot;parse-names&quot;:false,&quot;dropping-particle&quot;:&quot;&quot;,&quot;non-dropping-particle&quot;:&quot;&quot;},{&quot;family&quot;:&quot;Adcock&quot;,&quot;given&quot;:&quot;Ian&quot;,&quot;parse-names&quot;:false,&quot;dropping-particle&quot;:&quot;&quot;,&quot;non-dropping-particle&quot;:&quot;&quot;},{&quot;family&quot;:&quot;Afzal&quot;,&quot;given&quot;:&quot;Shoaib&quot;,&quot;parse-names&quot;:false,&quot;dropping-particle&quot;:&quot;&quot;,&quot;non-dropping-particle&quot;:&quot;&quot;},{&quot;family&quot;:&quot;Alter&quot;,&quot;given&quot;:&quot;Peter&quot;,&quot;parse-names&quot;:false,&quot;dropping-particle&quot;:&quot;&quot;,&quot;non-dropping-particle&quot;:&quot;&quot;},{&quot;family&quot;:&quot;Backman&quot;,&quot;given&quot;:&quot;Helena&quot;,&quot;parse-names&quot;:false,&quot;dropping-particle&quot;:&quot;&quot;,&quot;non-dropping-particle&quot;:&quot;&quot;},{&quot;family&quot;:&quot;Bertels&quot;,&quot;given&quot;:&quot;Xander&quot;,&quot;parse-names&quot;:false,&quot;dropping-particle&quot;:&quot;&quot;,&quot;non-dropping-particle&quot;:&quot;&quot;},{&quot;family&quot;:&quot;Bloom&quot;,&quot;given&quot;:&quot;Chloe&quot;,&quot;parse-names&quot;:false,&quot;dropping-particle&quot;:&quot;&quot;,&quot;non-dropping-particle&quot;:&quot;&quot;},{&quot;family&quot;:&quot;Bønnelykke&quot;,&quot;given&quot;:&quot;Klaus&quot;,&quot;parse-names&quot;:false,&quot;dropping-particle&quot;:&quot;&quot;,&quot;non-dropping-particle&quot;:&quot;&quot;},{&quot;family&quot;:&quot;Breyer&quot;,&quot;given&quot;:&quot;Marie Kathrin&quot;,&quot;parse-names&quot;:false,&quot;dropping-particle&quot;:&quot;&quot;,&quot;non-dropping-particle&quot;:&quot;&quot;},{&quot;family&quot;:&quot;Casas&quot;,&quot;given&quot;:&quot;Sandra&quot;,&quot;parse-names&quot;:false,&quot;dropping-particle&quot;:&quot;&quot;,&quot;non-dropping-particle&quot;:&quot;&quot;},{&quot;family&quot;:&quot;Chung&quot;,&quot;given&quot;:&quot;Fan (Kian)&quot;,&quot;parse-names&quot;:false,&quot;dropping-particle&quot;:&quot;&quot;,&quot;non-dropping-particle&quot;:&quot;&quot;},{&quot;family&quot;:&quot;Colak&quot;,&quot;given&quot;:&quot;Yunus&quot;,&quot;parse-names&quot;:false,&quot;dropping-particle&quot;:&quot;&quot;,&quot;non-dropping-particle&quot;:&quot;&quot;},{&quot;family&quot;:&quot;Cosio&quot;,&quot;given&quot;:&quot;Borja G.&quot;,&quot;parse-names&quot;:false,&quot;dropping-particle&quot;:&quot;&quot;,&quot;non-dropping-particle&quot;:&quot;&quot;},{&quot;family&quot;:&quot;Duijts&quot;,&quot;given&quot;:&quot;Liesbeth&quot;,&quot;parse-names&quot;:false,&quot;dropping-particle&quot;:&quot;&quot;,&quot;non-dropping-particle&quot;:&quot;&quot;},{&quot;family&quot;:&quot;Fabbri&quot;,&quot;given&quot;:&quot;Leonardo&quot;,&quot;parse-names&quot;:false,&quot;dropping-particle&quot;:&quot;&quot;,&quot;non-dropping-particle&quot;:&quot;&quot;},{&quot;family&quot;:&quot;Fontanella&quot;,&quot;given&quot;:&quot;Sara&quot;,&quot;parse-names&quot;:false,&quot;dropping-particle&quot;:&quot;&quot;,&quot;non-dropping-particle&quot;:&quot;&quot;},{&quot;family&quot;:&quot;Fuertes&quot;,&quot;given&quot;:&quot;Elaine&quot;,&quot;parse-names&quot;:false,&quot;dropping-particle&quot;:&quot;&quot;,&quot;non-dropping-particle&quot;:&quot;&quot;},{&quot;family&quot;:&quot;Gonzalez&quot;,&quot;given&quot;:&quot;Juan Ramón&quot;,&quot;parse-names&quot;:false,&quot;dropping-particle&quot;:&quot;&quot;,&quot;non-dropping-particle&quot;:&quot;&quot;},{&quot;family&quot;:&quot;Granell&quot;,&quot;given&quot;:&quot;Raquel&quot;,&quot;parse-names&quot;:false,&quot;dropping-particle&quot;:&quot;&quot;,&quot;non-dropping-particle&quot;:&quot;&quot;},{&quot;family&quot;:&quot;Hartl&quot;,&quot;given&quot;:&quot;Sylvia&quot;,&quot;parse-names&quot;:false,&quot;dropping-particle&quot;:&quot;&quot;,&quot;non-dropping-particle&quot;:&quot;&quot;},{&quot;family&quot;:&quot;Hernandez-Pacheco&quot;,&quot;given&quot;:&quot;Natalia&quot;,&quot;parse-names&quot;:false,&quot;dropping-particle&quot;:&quot;&quot;,&quot;non-dropping-particle&quot;:&quot;&quot;},{&quot;family&quot;:&quot;Holloway&quot;,&quot;given&quot;:&quot;John&quot;,&quot;parse-names&quot;:false,&quot;dropping-particle&quot;:&quot;&quot;,&quot;non-dropping-particle&quot;:&quot;&quot;},{&quot;family&quot;:&quot;Jarvis&quot;,&quot;given&quot;:&quot;Deborah&quot;,&quot;parse-names&quot;:false,&quot;dropping-particle&quot;:&quot;&quot;,&quot;non-dropping-particle&quot;:&quot;&quot;},{&quot;family&quot;:&quot;Koefoed&quot;,&quot;given&quot;:&quot;Hans Jacob&quot;,&quot;parse-names&quot;:false,&quot;dropping-particle&quot;:&quot;&quot;,&quot;non-dropping-particle&quot;:&quot;&quot;},{&quot;family&quot;:&quot;Kole&quot;,&quot;given&quot;:&quot;Tessa&quot;,&quot;parse-names&quot;:false,&quot;dropping-particle&quot;:&quot;&quot;,&quot;non-dropping-particle&quot;:&quot;&quot;},{&quot;family&quot;:&quot;Kumar&quot;,&quot;given&quot;:&quot;Ashish&quot;,&quot;parse-names&quot;:false,&quot;dropping-particle&quot;:&quot;&quot;,&quot;non-dropping-particle&quot;:&quot;&quot;},{&quot;family&quot;:&quot;Langhammer&quot;,&quot;given&quot;:&quot;Arnulf&quot;,&quot;parse-names&quot;:false,&quot;dropping-particle&quot;:&quot;&quot;,&quot;non-dropping-particle&quot;:&quot;&quot;},{&quot;family&quot;:&quot;Lindberg&quot;,&quot;given&quot;:&quot;Anne&quot;,&quot;parse-names&quot;:false,&quot;dropping-particle&quot;:&quot;&quot;,&quot;non-dropping-particle&quot;:&quot;&quot;},{&quot;family&quot;:&quot;Llopis&quot;,&quot;given&quot;:&quot;Maria&quot;,&quot;parse-names&quot;:false,&quot;dropping-particle&quot;:&quot;&quot;,&quot;non-dropping-particle&quot;:&quot;&quot;},{&quot;family&quot;:&quot;Maitland van der Zee&quot;,&quot;given&quot;:&quot;Anke Hilse&quot;,&quot;parse-names&quot;:false,&quot;dropping-particle&quot;:&quot;&quot;,&quot;non-dropping-particle&quot;:&quot;&quot;},{&quot;family&quot;:&quot;Meteran&quot;,&quot;given&quot;:&quot;Howraman&quot;,&quot;parse-names&quot;:false,&quot;dropping-particle&quot;:&quot;&quot;,&quot;non-dropping-particle&quot;:&quot;&quot;},{&quot;family&quot;:&quot;Minelli&quot;,&quot;given&quot;:&quot;Cosetta&quot;,&quot;parse-names&quot;:false,&quot;dropping-particle&quot;:&quot;&quot;,&quot;non-dropping-particle&quot;:&quot;&quot;},{&quot;family&quot;:&quot;Nwaru&quot;,&quot;given&quot;:&quot;Bright&quot;,&quot;parse-names&quot;:false,&quot;dropping-particle&quot;:&quot;&quot;,&quot;non-dropping-particle&quot;:&quot;&quot;},{&quot;family&quot;:&quot;Olvera&quot;,&quot;given&quot;:&quot;Nuria&quot;,&quot;parse-names&quot;:false,&quot;dropping-particle&quot;:&quot;&quot;,&quot;non-dropping-particle&quot;:&quot;&quot;},{&quot;family&quot;:&quot;Peralta&quot;,&quot;given&quot;:&quot;Gabriela&quot;,&quot;parse-names&quot;:false,&quot;dropping-particle&quot;:&quot;&quot;,&quot;non-dropping-particle&quot;:&quot;&quot;},{&quot;family&quot;:&quot;Ritchie&quot;,&quot;given&quot;:&quot;Andrew&quot;,&quot;parse-names&quot;:false,&quot;dropping-particle&quot;:&quot;&quot;,&quot;non-dropping-particle&quot;:&quot;&quot;},{&quot;family&quot;:&quot;Rönmark&quot;,&quot;given&quot;:&quot;Eva&quot;,&quot;parse-names&quot;:false,&quot;dropping-particle&quot;:&quot;&quot;,&quot;non-dropping-particle&quot;:&quot;&quot;},{&quot;family&quot;:&quot;Ross Chapman&quot;,&quot;given&quot;:&quot;James&quot;,&quot;parse-names&quot;:false,&quot;dropping-particle&quot;:&quot;&quot;,&quot;non-dropping-particle&quot;:&quot;&quot;},{&quot;family&quot;:&quot;Sangüesa Boix&quot;,&quot;given&quot;:&quot;Júlia&quot;,&quot;parse-names&quot;:false,&quot;dropping-particle&quot;:&quot;&quot;,&quot;non-dropping-particle&quot;:&quot;&quot;},{&quot;family&quot;:&quot;Schikowski&quot;,&quot;given&quot;:&quot;Tamara&quot;,&quot;parse-names&quot;:false,&quot;dropping-particle&quot;:&quot;&quot;,&quot;non-dropping-particle&quot;:&quot;&quot;},{&quot;family&quot;:&quot;Schlünssen&quot;,&quot;given&quot;:&quot;Vivi&quot;,&quot;parse-names&quot;:false,&quot;dropping-particle&quot;:&quot;&quot;,&quot;non-dropping-particle&quot;:&quot;&quot;},{&quot;family&quot;:&quot;Shaheen&quot;,&quot;given&quot;:&quot;Seif&quot;,&quot;parse-names&quot;:false,&quot;dropping-particle&quot;:&quot;&quot;,&quot;non-dropping-particle&quot;:&quot;&quot;},{&quot;family&quot;:&quot;Sigsgaard&quot;,&quot;given&quot;:&quot;Torben&quot;,&quot;parse-names&quot;:false,&quot;dropping-particle&quot;:&quot;&quot;,&quot;non-dropping-particle&quot;:&quot;&quot;},{&quot;family&quot;:&quot;Standl&quot;,&quot;given&quot;:&quot;Marie&quot;,&quot;parse-names&quot;:false,&quot;dropping-particle&quot;:&quot;&quot;,&quot;non-dropping-particle&quot;:&quot;&quot;},{&quot;family&quot;:&quot;Talaei&quot;,&quot;given&quot;:&quot;Mohammad&quot;,&quot;parse-names&quot;:false,&quot;dropping-particle&quot;:&quot;&quot;,&quot;non-dropping-particle&quot;:&quot;&quot;},{&quot;family&quot;:&quot;Ullah&quot;,&quot;given&quot;:&quot;Anhar&quot;,&quot;parse-names&quot;:false,&quot;dropping-particle&quot;:&quot;&quot;,&quot;non-dropping-particle&quot;:&quot;&quot;},{&quot;family&quot;:&quot;Ullman&quot;,&quot;given&quot;:&quot;Anders&quot;,&quot;parse-names&quot;:false,&quot;dropping-particle&quot;:&quot;&quot;,&quot;non-dropping-particle&quot;:&quot;&quot;},{&quot;family&quot;:&quot;Valencia-Hernandez&quot;,&quot;given&quot;:&quot;Carlos&quot;,&quot;parse-names&quot;:false,&quot;dropping-particle&quot;:&quot;&quot;,&quot;non-dropping-particle&quot;:&quot;&quot;},{&quot;family&quot;:&quot;Berge&quot;,&quot;given&quot;:&quot;Maarten&quot;,&quot;parse-names&quot;:false,&quot;dropping-particle&quot;:&quot;&quot;,&quot;non-dropping-particle&quot;:&quot;van den&quot;},{&quot;family&quot;:&quot;Dijk&quot;,&quot;given&quot;:&quot;Yoni&quot;,&quot;parse-names&quot;:false,&quot;dropping-particle&quot;:&quot;&quot;,&quot;non-dropping-particle&quot;:&quot;van&quot;},{&quot;family&quot;:&quot;Vestbo&quot;,&quot;given&quot;:&quot;Jørgen&quot;,&quot;parse-names&quot;:false,&quot;dropping-particle&quot;:&quot;&quot;,&quot;non-dropping-particle&quot;:&quot;&quot;},{&quot;family&quot;:&quot;Vijverberg&quot;,&quot;given&quot;:&quot;Susanne&quot;,&quot;parse-names&quot;:false,&quot;dropping-particle&quot;:&quot;&quot;,&quot;non-dropping-particle&quot;:&quot;&quot;},{&quot;family&quot;:&quot;Vikjord&quot;,&quot;given&quot;:&quot;Sigrid Anna&quot;,&quot;parse-names&quot;:false,&quot;dropping-particle&quot;:&quot;&quot;,&quot;non-dropping-particle&quot;:&quot;&quot;},{&quot;family&quot;:&quot;Volgelmeier&quot;,&quot;given&quot;:&quot;Claus&quot;,&quot;parse-names&quot;:false,&quot;dropping-particle&quot;:&quot;&quot;,&quot;non-dropping-particle&quot;:&quot;&quot;},{&quot;family&quot;:&quot;Vonk&quot;,&quot;given&quot;:&quot;Judith&quot;,&quot;parse-names&quot;:false,&quot;dropping-particle&quot;:&quot;&quot;,&quot;non-dropping-particle&quot;:&quot;&quot;},{&quot;family&quot;:&quot;Zounemat Kermani&quot;,&quot;given&quot;:&quot;Nazanin&quot;,&quot;parse-names&quot;:false,&quot;dropping-particle&quot;:&quot;&quot;,&quot;non-dropping-particle&quot;:&quot;&quot;}],&quot;container-title&quot;:&quot;Lancet (London, England)&quot;,&quot;accessed&quot;:{&quot;date-parts&quot;:[[2024,10,16]]},&quot;DOI&quot;:&quot;10.1016/S0140-6736(24)00016-3&quot;,&quot;ISSN&quot;:&quot;1474-547X&quot;,&quot;PMID&quot;:&quot;38490231&quot;,&quot;URL&quot;:&quot;https://pubmed.ncbi.nlm.nih.gov/38490231/&quot;,&quot;issued&quot;:{&quot;date-parts&quot;:[[2024,4,13]]},&quot;page&quot;:&quot;1494-1503&quot;,&quot;abstract&quot;:&quot;Lung development starts in utero and continues during childhood through to adolescence, reaching its peak in early adulthood. This growth is followed by gradual decline due to physiological lung ageing. Lung-function development can be altered by several host and environmental factors during the life course. As a result, a range of lung-function trajectories exist in the population. Below average trajectories are associated with respiratory, cardiovascular, metabolic, and mental health comorbidities, as well as with premature death. This Review presents progressive research into lung-function trajectories and assists the implementation of this knowledge in clinical practice as an innovative approach to detect poor lung health early, monitor respiratory disease progression, and promote lung health. Specifically, we propose that, similar to paediatric height and weight charts used globally to monitor children's growth, lung-function charts could be used for both children and adults to monitor lung health status across the life course. To achieve this proposal, we introduce our free online Lung Function Tracker tool. Finally, we discuss challenges and opportunities for effective implementation of the trajectory concept at population level and outline an agenda for crucial research needed to support such implementation.&quot;,&quot;publisher&quot;:&quot;Lancet&quot;,&quot;issue&quot;:&quot;10435&quot;,&quot;volume&quot;:&quot;403&quot;,&quot;container-title-short&quot;:&quot;Lancet&quot;},&quot;isTemporary&quot;:false}]},{&quot;citationID&quot;:&quot;MENDELEY_CITATION_95a8221f-392d-404f-9d52-0b912f8b6ec9&quot;,&quot;properties&quot;:{&quot;noteIndex&quot;:0},&quot;isEdited&quot;:false,&quot;manualOverride&quot;:{&quot;isManuallyOverridden&quot;:false,&quot;citeprocText&quot;:&quot;[82,95]&quot;,&quot;manualOverrideText&quot;:&quot;&quot;},&quot;citationTag&quot;:&quot;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&quot;,&quot;citationItems&quot;:[{&quot;id&quot;:&quot;40c2a82a-f568-3da3-8965-27201e1edcd6&quot;,&quot;itemData&quot;:{&quot;type&quot;:&quot;article-journal&quot;,&quot;id&quot;:&quot;40c2a82a-f568-3da3-8965-27201e1edcd6&quot;,&quot;title&quot;:&quot;Lung-function trajectories: relevance and implementation in clinical practice&quot;,&quot;author&quot;:[{&quot;family&quot;:&quot;Melén&quot;,&quot;given&quot;:&quot;Erik&quot;,&quot;parse-names&quot;:false,&quot;dropping-particle&quot;:&quot;&quot;,&quot;non-dropping-particle&quot;:&quot;&quot;},{&quot;family&quot;:&quot;Faner&quot;,&quot;given&quot;:&quot;Rosa&quot;,&quot;parse-names&quot;:false,&quot;dropping-particle&quot;:&quot;&quot;,&quot;non-dropping-particle&quot;:&quot;&quot;},{&quot;family&quot;:&quot;Allinson&quot;,&quot;given&quot;:&quot;James P.&quot;,&quot;parse-names&quot;:false,&quot;dropping-particle&quot;:&quot;&quot;,&quot;non-dropping-particle&quot;:&quot;&quot;},{&quot;family&quot;:&quot;Bui&quot;,&quot;given&quot;:&quot;Dinh&quot;,&quot;parse-names&quot;:false,&quot;dropping-particle&quot;:&quot;&quot;,&quot;non-dropping-particle&quot;:&quot;&quot;},{&quot;family&quot;:&quot;Bush&quot;,&quot;given&quot;:&quot;Andrew&quot;,&quot;parse-names&quot;:false,&quot;dropping-particle&quot;:&quot;&quot;,&quot;non-dropping-particle&quot;:&quot;&quot;},{&quot;family&quot;:&quot;Custovic&quot;,&quot;given&quot;:&quot;Adnan&quot;,&quot;parse-names&quot;:false,&quot;dropping-particle&quot;:&quot;&quot;,&quot;non-dropping-particle&quot;:&quot;&quot;},{&quot;family&quot;:&quot;Garcia-Aymerich&quot;,&quot;given&quot;:&quot;Judith&quot;,&quot;parse-names&quot;:false,&quot;dropping-particle&quot;:&quot;&quot;,&quot;non-dropping-particle&quot;:&quot;&quot;},{&quot;family&quot;:&quot;Guerra&quot;,&quot;given&quot;:&quot;Stefano&quot;,&quot;parse-names&quot;:false,&quot;dropping-particle&quot;:&quot;&quot;,&quot;non-dropping-particle&quot;:&quot;&quot;},{&quot;family&quot;:&quot;Breyer-Kohansal&quot;,&quot;given&quot;:&quot;Robab&quot;,&quot;parse-names&quot;:false,&quot;dropping-particle&quot;:&quot;&quot;,&quot;non-dropping-particle&quot;:&quot;&quot;},{&quot;family&quot;:&quot;Hallberg&quot;,&quot;given&quot;:&quot;Jenny&quot;,&quot;parse-names&quot;:false,&quot;dropping-particle&quot;:&quot;&quot;,&quot;non-dropping-particle&quot;:&quot;&quot;},{&quot;family&quot;:&quot;Lahousse&quot;,&quot;given&quot;:&quot;Lies&quot;,&quot;parse-names&quot;:false,&quot;dropping-particle&quot;:&quot;&quot;,&quot;non-dropping-particle&quot;:&quot;&quot;},{&quot;family&quot;:&quot;Martinez&quot;,&quot;given&quot;:&quot;Fernando D.&quot;,&quot;parse-names&quot;:false,&quot;dropping-particle&quot;:&quot;&quot;,&quot;non-dropping-particle&quot;:&quot;&quot;},{&quot;family&quot;:&quot;Merid&quot;,&quot;given&quot;:&quot;Simon Kebede&quot;,&quot;parse-names&quot;:false,&quot;dropping-particle&quot;:&quot;&quot;,&quot;non-dropping-particle&quot;:&quot;&quot;},{&quot;family&quot;:&quot;Powell&quot;,&quot;given&quot;:&quot;Pippa&quot;,&quot;parse-names&quot;:false,&quot;dropping-particle&quot;:&quot;&quot;,&quot;non-dropping-particle&quot;:&quot;&quot;},{&quot;family&quot;:&quot;Pinnock&quot;,&quot;given&quot;:&quot;Hilary&quot;,&quot;parse-names&quot;:false,&quot;dropping-particle&quot;:&quot;&quot;,&quot;non-dropping-particle&quot;:&quot;&quot;},{&quot;family&quot;:&quot;Stanojevic&quot;,&quot;given&quot;:&quot;Sanja&quot;,&quot;parse-names&quot;:false,&quot;dropping-particle&quot;:&quot;&quot;,&quot;non-dropping-particle&quot;:&quot;&quot;},{&quot;family&quot;:&quot;Vanfleteren&quot;,&quot;given&quot;:&quot;Lowie E.G.W.&quot;,&quot;parse-names&quot;:false,&quot;dropping-particle&quot;:&quot;&quot;,&quot;non-dropping-particle&quot;:&quot;&quot;},{&quot;family&quot;:&quot;Wang&quot;,&quot;given&quot;:&quot;Gang&quot;,&quot;parse-names&quot;:false,&quot;dropping-particle&quot;:&quot;&quot;,&quot;non-dropping-particle&quot;:&quot;&quot;},{&quot;family&quot;:&quot;Dharmage&quot;,&quot;given&quot;:&quot;Shyamali C.&quot;,&quot;parse-names&quot;:false,&quot;dropping-particle&quot;:&quot;&quot;,&quot;non-dropping-particle&quot;:&quot;&quot;},{&quot;family&quot;:&quot;Wedzicha&quot;,&quot;given&quot;:&quot;Jadwiga&quot;,&quot;parse-names&quot;:false,&quot;dropping-particle&quot;:&quot;&quot;,&quot;non-dropping-particle&quot;:&quot;&quot;},{&quot;family&quot;:&quot;Agusti&quot;,&quot;given&quot;:&quot;Alvar&quot;,&quot;parse-names&quot;:false,&quot;dropping-particle&quot;:&quot;&quot;,&quot;non-dropping-particle&quot;:&quot;&quot;},{&quot;family&quot;:&quot;Abellan&quot;,&quot;given&quot;:&quot;Alicia&quot;,&quot;parse-names&quot;:false,&quot;dropping-particle&quot;:&quot;&quot;,&quot;non-dropping-particle&quot;:&quot;&quot;},{&quot;family&quot;:&quot;Adcock&quot;,&quot;given&quot;:&quot;Ian&quot;,&quot;parse-names&quot;:false,&quot;dropping-particle&quot;:&quot;&quot;,&quot;non-dropping-particle&quot;:&quot;&quot;},{&quot;family&quot;:&quot;Afzal&quot;,&quot;given&quot;:&quot;Shoaib&quot;,&quot;parse-names&quot;:false,&quot;dropping-particle&quot;:&quot;&quot;,&quot;non-dropping-particle&quot;:&quot;&quot;},{&quot;family&quot;:&quot;Alter&quot;,&quot;given&quot;:&quot;Peter&quot;,&quot;parse-names&quot;:false,&quot;dropping-particle&quot;:&quot;&quot;,&quot;non-dropping-particle&quot;:&quot;&quot;},{&quot;family&quot;:&quot;Backman&quot;,&quot;given&quot;:&quot;Helena&quot;,&quot;parse-names&quot;:false,&quot;dropping-particle&quot;:&quot;&quot;,&quot;non-dropping-particle&quot;:&quot;&quot;},{&quot;family&quot;:&quot;Bertels&quot;,&quot;given&quot;:&quot;Xander&quot;,&quot;parse-names&quot;:false,&quot;dropping-particle&quot;:&quot;&quot;,&quot;non-dropping-particle&quot;:&quot;&quot;},{&quot;family&quot;:&quot;Bloom&quot;,&quot;given&quot;:&quot;Chloe&quot;,&quot;parse-names&quot;:false,&quot;dropping-particle&quot;:&quot;&quot;,&quot;non-dropping-particle&quot;:&quot;&quot;},{&quot;family&quot;:&quot;Bønnelykke&quot;,&quot;given&quot;:&quot;Klaus&quot;,&quot;parse-names&quot;:false,&quot;dropping-particle&quot;:&quot;&quot;,&quot;non-dropping-particle&quot;:&quot;&quot;},{&quot;family&quot;:&quot;Breyer&quot;,&quot;given&quot;:&quot;Marie Kathrin&quot;,&quot;parse-names&quot;:false,&quot;dropping-particle&quot;:&quot;&quot;,&quot;non-dropping-particle&quot;:&quot;&quot;},{&quot;family&quot;:&quot;Casas&quot;,&quot;given&quot;:&quot;Sandra&quot;,&quot;parse-names&quot;:false,&quot;dropping-particle&quot;:&quot;&quot;,&quot;non-dropping-particle&quot;:&quot;&quot;},{&quot;family&quot;:&quot;Chung&quot;,&quot;given&quot;:&quot;Fan (Kian)&quot;,&quot;parse-names&quot;:false,&quot;dropping-particle&quot;:&quot;&quot;,&quot;non-dropping-particle&quot;:&quot;&quot;},{&quot;family&quot;:&quot;Colak&quot;,&quot;given&quot;:&quot;Yunus&quot;,&quot;parse-names&quot;:false,&quot;dropping-particle&quot;:&quot;&quot;,&quot;non-dropping-particle&quot;:&quot;&quot;},{&quot;family&quot;:&quot;Cosio&quot;,&quot;given&quot;:&quot;Borja G.&quot;,&quot;parse-names&quot;:false,&quot;dropping-particle&quot;:&quot;&quot;,&quot;non-dropping-particle&quot;:&quot;&quot;},{&quot;family&quot;:&quot;Duijts&quot;,&quot;given&quot;:&quot;Liesbeth&quot;,&quot;parse-names&quot;:false,&quot;dropping-particle&quot;:&quot;&quot;,&quot;non-dropping-particle&quot;:&quot;&quot;},{&quot;family&quot;:&quot;Fabbri&quot;,&quot;given&quot;:&quot;Leonardo&quot;,&quot;parse-names&quot;:false,&quot;dropping-particle&quot;:&quot;&quot;,&quot;non-dropping-particle&quot;:&quot;&quot;},{&quot;family&quot;:&quot;Fontanella&quot;,&quot;given&quot;:&quot;Sara&quot;,&quot;parse-names&quot;:false,&quot;dropping-particle&quot;:&quot;&quot;,&quot;non-dropping-particle&quot;:&quot;&quot;},{&quot;family&quot;:&quot;Fuertes&quot;,&quot;given&quot;:&quot;Elaine&quot;,&quot;parse-names&quot;:false,&quot;dropping-particle&quot;:&quot;&quot;,&quot;non-dropping-particle&quot;:&quot;&quot;},{&quot;family&quot;:&quot;Gonzalez&quot;,&quot;given&quot;:&quot;Juan Ramón&quot;,&quot;parse-names&quot;:false,&quot;dropping-particle&quot;:&quot;&quot;,&quot;non-dropping-particle&quot;:&quot;&quot;},{&quot;family&quot;:&quot;Granell&quot;,&quot;given&quot;:&quot;Raquel&quot;,&quot;parse-names&quot;:false,&quot;dropping-particle&quot;:&quot;&quot;,&quot;non-dropping-particle&quot;:&quot;&quot;},{&quot;family&quot;:&quot;Hartl&quot;,&quot;given&quot;:&quot;Sylvia&quot;,&quot;parse-names&quot;:false,&quot;dropping-particle&quot;:&quot;&quot;,&quot;non-dropping-particle&quot;:&quot;&quot;},{&quot;family&quot;:&quot;Hernandez-Pacheco&quot;,&quot;given&quot;:&quot;Natalia&quot;,&quot;parse-names&quot;:false,&quot;dropping-particle&quot;:&quot;&quot;,&quot;non-dropping-particle&quot;:&quot;&quot;},{&quot;family&quot;:&quot;Holloway&quot;,&quot;given&quot;:&quot;John&quot;,&quot;parse-names&quot;:false,&quot;dropping-particle&quot;:&quot;&quot;,&quot;non-dropping-particle&quot;:&quot;&quot;},{&quot;family&quot;:&quot;Jarvis&quot;,&quot;given&quot;:&quot;Deborah&quot;,&quot;parse-names&quot;:false,&quot;dropping-particle&quot;:&quot;&quot;,&quot;non-dropping-particle&quot;:&quot;&quot;},{&quot;family&quot;:&quot;Koefoed&quot;,&quot;given&quot;:&quot;Hans Jacob&quot;,&quot;parse-names&quot;:false,&quot;dropping-particle&quot;:&quot;&quot;,&quot;non-dropping-particle&quot;:&quot;&quot;},{&quot;family&quot;:&quot;Kole&quot;,&quot;given&quot;:&quot;Tessa&quot;,&quot;parse-names&quot;:false,&quot;dropping-particle&quot;:&quot;&quot;,&quot;non-dropping-particle&quot;:&quot;&quot;},{&quot;family&quot;:&quot;Kumar&quot;,&quot;given&quot;:&quot;Ashish&quot;,&quot;parse-names&quot;:false,&quot;dropping-particle&quot;:&quot;&quot;,&quot;non-dropping-particle&quot;:&quot;&quot;},{&quot;family&quot;:&quot;Langhammer&quot;,&quot;given&quot;:&quot;Arnulf&quot;,&quot;parse-names&quot;:false,&quot;dropping-particle&quot;:&quot;&quot;,&quot;non-dropping-particle&quot;:&quot;&quot;},{&quot;family&quot;:&quot;Lindberg&quot;,&quot;given&quot;:&quot;Anne&quot;,&quot;parse-names&quot;:false,&quot;dropping-particle&quot;:&quot;&quot;,&quot;non-dropping-particle&quot;:&quot;&quot;},{&quot;family&quot;:&quot;Llopis&quot;,&quot;given&quot;:&quot;Maria&quot;,&quot;parse-names&quot;:false,&quot;dropping-particle&quot;:&quot;&quot;,&quot;non-dropping-particle&quot;:&quot;&quot;},{&quot;family&quot;:&quot;Maitland van der Zee&quot;,&quot;given&quot;:&quot;Anke Hilse&quot;,&quot;parse-names&quot;:false,&quot;dropping-particle&quot;:&quot;&quot;,&quot;non-dropping-particle&quot;:&quot;&quot;},{&quot;family&quot;:&quot;Meteran&quot;,&quot;given&quot;:&quot;Howraman&quot;,&quot;parse-names&quot;:false,&quot;dropping-particle&quot;:&quot;&quot;,&quot;non-dropping-particle&quot;:&quot;&quot;},{&quot;family&quot;:&quot;Minelli&quot;,&quot;given&quot;:&quot;Cosetta&quot;,&quot;parse-names&quot;:false,&quot;dropping-particle&quot;:&quot;&quot;,&quot;non-dropping-particle&quot;:&quot;&quot;},{&quot;family&quot;:&quot;Nwaru&quot;,&quot;given&quot;:&quot;Bright&quot;,&quot;parse-names&quot;:false,&quot;dropping-particle&quot;:&quot;&quot;,&quot;non-dropping-particle&quot;:&quot;&quot;},{&quot;family&quot;:&quot;Olvera&quot;,&quot;given&quot;:&quot;Nuria&quot;,&quot;parse-names&quot;:false,&quot;dropping-particle&quot;:&quot;&quot;,&quot;non-dropping-particle&quot;:&quot;&quot;},{&quot;family&quot;:&quot;Peralta&quot;,&quot;given&quot;:&quot;Gabriela&quot;,&quot;parse-names&quot;:false,&quot;dropping-particle&quot;:&quot;&quot;,&quot;non-dropping-particle&quot;:&quot;&quot;},{&quot;family&quot;:&quot;Ritchie&quot;,&quot;given&quot;:&quot;Andrew&quot;,&quot;parse-names&quot;:false,&quot;dropping-particle&quot;:&quot;&quot;,&quot;non-dropping-particle&quot;:&quot;&quot;},{&quot;family&quot;:&quot;Rönmark&quot;,&quot;given&quot;:&quot;Eva&quot;,&quot;parse-names&quot;:false,&quot;dropping-particle&quot;:&quot;&quot;,&quot;non-dropping-particle&quot;:&quot;&quot;},{&quot;family&quot;:&quot;Ross Chapman&quot;,&quot;given&quot;:&quot;James&quot;,&quot;parse-names&quot;:false,&quot;dropping-particle&quot;:&quot;&quot;,&quot;non-dropping-particle&quot;:&quot;&quot;},{&quot;family&quot;:&quot;Sangüesa Boix&quot;,&quot;given&quot;:&quot;Júlia&quot;,&quot;parse-names&quot;:false,&quot;dropping-particle&quot;:&quot;&quot;,&quot;non-dropping-particle&quot;:&quot;&quot;},{&quot;family&quot;:&quot;Schikowski&quot;,&quot;given&quot;:&quot;Tamara&quot;,&quot;parse-names&quot;:false,&quot;dropping-particle&quot;:&quot;&quot;,&quot;non-dropping-particle&quot;:&quot;&quot;},{&quot;family&quot;:&quot;Schlünssen&quot;,&quot;given&quot;:&quot;Vivi&quot;,&quot;parse-names&quot;:false,&quot;dropping-particle&quot;:&quot;&quot;,&quot;non-dropping-particle&quot;:&quot;&quot;},{&quot;family&quot;:&quot;Shaheen&quot;,&quot;given&quot;:&quot;Seif&quot;,&quot;parse-names&quot;:false,&quot;dropping-particle&quot;:&quot;&quot;,&quot;non-dropping-particle&quot;:&quot;&quot;},{&quot;family&quot;:&quot;Sigsgaard&quot;,&quot;given&quot;:&quot;Torben&quot;,&quot;parse-names&quot;:false,&quot;dropping-particle&quot;:&quot;&quot;,&quot;non-dropping-particle&quot;:&quot;&quot;},{&quot;family&quot;:&quot;Standl&quot;,&quot;given&quot;:&quot;Marie&quot;,&quot;parse-names&quot;:false,&quot;dropping-particle&quot;:&quot;&quot;,&quot;non-dropping-particle&quot;:&quot;&quot;},{&quot;family&quot;:&quot;Talaei&quot;,&quot;given&quot;:&quot;Mohammad&quot;,&quot;parse-names&quot;:false,&quot;dropping-particle&quot;:&quot;&quot;,&quot;non-dropping-particle&quot;:&quot;&quot;},{&quot;family&quot;:&quot;Ullah&quot;,&quot;given&quot;:&quot;Anhar&quot;,&quot;parse-names&quot;:false,&quot;dropping-particle&quot;:&quot;&quot;,&quot;non-dropping-particle&quot;:&quot;&quot;},{&quot;family&quot;:&quot;Ullman&quot;,&quot;given&quot;:&quot;Anders&quot;,&quot;parse-names&quot;:false,&quot;dropping-particle&quot;:&quot;&quot;,&quot;non-dropping-particle&quot;:&quot;&quot;},{&quot;family&quot;:&quot;Valencia-Hernandez&quot;,&quot;given&quot;:&quot;Carlos&quot;,&quot;parse-names&quot;:false,&quot;dropping-particle&quot;:&quot;&quot;,&quot;non-dropping-particle&quot;:&quot;&quot;},{&quot;family&quot;:&quot;Berge&quot;,&quot;given&quot;:&quot;Maarten&quot;,&quot;parse-names&quot;:false,&quot;dropping-particle&quot;:&quot;&quot;,&quot;non-dropping-particle&quot;:&quot;van den&quot;},{&quot;family&quot;:&quot;Dijk&quot;,&quot;given&quot;:&quot;Yoni&quot;,&quot;parse-names&quot;:false,&quot;dropping-particle&quot;:&quot;&quot;,&quot;non-dropping-particle&quot;:&quot;van&quot;},{&quot;family&quot;:&quot;Vestbo&quot;,&quot;given&quot;:&quot;Jørgen&quot;,&quot;parse-names&quot;:false,&quot;dropping-particle&quot;:&quot;&quot;,&quot;non-dropping-particle&quot;:&quot;&quot;},{&quot;family&quot;:&quot;Vijverberg&quot;,&quot;given&quot;:&quot;Susanne&quot;,&quot;parse-names&quot;:false,&quot;dropping-particle&quot;:&quot;&quot;,&quot;non-dropping-particle&quot;:&quot;&quot;},{&quot;family&quot;:&quot;Vikjord&quot;,&quot;given&quot;:&quot;Sigrid Anna&quot;,&quot;parse-names&quot;:false,&quot;dropping-particle&quot;:&quot;&quot;,&quot;non-dropping-particle&quot;:&quot;&quot;},{&quot;family&quot;:&quot;Volgelmeier&quot;,&quot;given&quot;:&quot;Claus&quot;,&quot;parse-names&quot;:false,&quot;dropping-particle&quot;:&quot;&quot;,&quot;non-dropping-particle&quot;:&quot;&quot;},{&quot;family&quot;:&quot;Vonk&quot;,&quot;given&quot;:&quot;Judith&quot;,&quot;parse-names&quot;:false,&quot;dropping-particle&quot;:&quot;&quot;,&quot;non-dropping-particle&quot;:&quot;&quot;},{&quot;family&quot;:&quot;Zounemat Kermani&quot;,&quot;given&quot;:&quot;Nazanin&quot;,&quot;parse-names&quot;:false,&quot;dropping-particle&quot;:&quot;&quot;,&quot;non-dropping-particle&quot;:&quot;&quot;}],&quot;container-title&quot;:&quot;Lancet (London, England)&quot;,&quot;accessed&quot;:{&quot;date-parts&quot;:[[2024,10,16]]},&quot;DOI&quot;:&quot;10.1016/S0140-6736(24)00016-3&quot;,&quot;ISSN&quot;:&quot;1474-547X&quot;,&quot;PMID&quot;:&quot;38490231&quot;,&quot;URL&quot;:&quot;https://pubmed.ncbi.nlm.nih.gov/38490231/&quot;,&quot;issued&quot;:{&quot;date-parts&quot;:[[2024,4,13]]},&quot;page&quot;:&quot;1494-1503&quot;,&quot;abstract&quot;:&quot;Lung development starts in utero and continues during childhood through to adolescence, reaching its peak in early adulthood. This growth is followed by gradual decline due to physiological lung ageing. Lung-function development can be altered by several host and environmental factors during the life course. As a result, a range of lung-function trajectories exist in the population. Below average trajectories are associated with respiratory, cardiovascular, metabolic, and mental health comorbidities, as well as with premature death. This Review presents progressive research into lung-function trajectories and assists the implementation of this knowledge in clinical practice as an innovative approach to detect poor lung health early, monitor respiratory disease progression, and promote lung health. Specifically, we propose that, similar to paediatric height and weight charts used globally to monitor children's growth, lung-function charts could be used for both children and adults to monitor lung health status across the life course. To achieve this proposal, we introduce our free online Lung Function Tracker tool. Finally, we discuss challenges and opportunities for effective implementation of the trajectory concept at population level and outline an agenda for crucial research needed to support such implementation.&quot;,&quot;publisher&quot;:&quot;Lancet&quot;,&quot;issue&quot;:&quot;10435&quot;,&quot;volume&quot;:&quot;403&quot;,&quot;container-title-short&quot;:&quot;Lancet&quot;},&quot;isTemporary&quot;:false},{&quot;id&quot;:&quot;ba277781-0e8d-364f-ae19-f0e2023944bc&quot;,&quot;itemData&quot;:{&quot;type&quot;:&quot;article-journal&quot;,&quot;id&quot;:&quot;ba277781-0e8d-364f-ae19-f0e2023944bc&quot;,&quot;title&quot;:&quot;Chronic obstructive pulmonary disease&quot;,&quot;author&quot;:[{&quot;family&quot;:&quot;Christenson&quot;,&quot;given&quot;:&quot;Stephanie A&quot;,&quot;parse-names&quot;:false,&quot;dropping-particle&quot;:&quot;&quot;,&quot;non-dropping-particle&quot;:&quot;&quot;},{&quot;family&quot;:&quot;Smith&quot;,&quot;given&quot;:&quot;Benjamin M&quot;,&quot;parse-names&quot;:false,&quot;dropping-particle&quot;:&quot;&quot;,&quot;non-dropping-particle&quot;:&quot;&quot;},{&quot;family&quot;:&quot;Bafadhel&quot;,&quot;given&quot;:&quot;Mona&quot;,&quot;parse-names&quot;:false,&quot;dropping-particle&quot;:&quot;&quot;,&quot;non-dropping-particle&quot;:&quot;&quot;},{&quot;family&quot;:&quot;Putcha&quot;,&quot;given&quot;:&quot;Nirupama&quot;,&quot;parse-names&quot;:false,&quot;dropping-particle&quot;:&quot;&quot;,&quot;non-dropping-particle&quot;:&quot;&quot;}],&quot;container-title&quot;:&quot;www.thelancet.com&quot;,&quot;accessed&quot;:{&quot;date-parts&quot;:[[2024,3,17]]},&quot;DOI&quot;:&quot;10.1016/S0140-6736(22)00470-6&quot;,&quot;URL&quot;:&quot;https://doi.org/10.1016/&quot;,&quot;issued&quot;:{&quot;date-parts&quot;:[[2022]]},&quot;abstract&quot;:&quot;Chronic obstructive pulmonary disease (COPD) is a major cause of morbidity, mortality, and health-care use worldwide. COPD is caused by exposure to inhaled noxious particles, notably tobacco smoke and pollutants. However, the broad range of factors that increase the risk of development and progression of COPD throughout the life course are increasingly being recognised. Innovations in omics and imaging techniques have provided greater insight into disease pathobiology, which might result in advances in COPD prevention, diagnosis, and treatment. Although few novel treatments have been approved for COPD in the past 5 years, advances have been made in targeting existing therapies to specific subpopulations using new biomarker-based strategies. Additionally, COVID-19 has undeniably affected individuals with COPD, who are not only at higher risk for severe disease manifestations than healthy individuals but also negatively affected by interruptions in health-care delivery and social isolation. This Seminar reviews COPD with an emphasis on recent advances in epidemiology, pathophysiology, imaging, diagnosis, and treatment.&quot;,&quot;volume&quot;:&quot;399&quot;,&quot;container-title-short&quot;:&quot;&quot;},&quot;isTemporary&quot;:false}]},{&quot;citationID&quot;:&quot;MENDELEY_CITATION_c6e4f5d1-346c-4c00-abb7-174459652fb9&quot;,&quot;properties&quot;:{&quot;noteIndex&quot;:0},&quot;isEdited&quot;:false,&quot;manualOverride&quot;:{&quot;isManuallyOverridden&quot;:false,&quot;citeprocText&quot;:&quot;[82,95]&quot;,&quot;manualOverrideText&quot;:&quot;&quot;},&quot;citationTag&quot;:&quot;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&quot;,&quot;citationItems&quot;:[{&quot;id&quot;:&quot;ba277781-0e8d-364f-ae19-f0e2023944bc&quot;,&quot;itemData&quot;:{&quot;type&quot;:&quot;article-journal&quot;,&quot;id&quot;:&quot;ba277781-0e8d-364f-ae19-f0e2023944bc&quot;,&quot;title&quot;:&quot;Chronic obstructive pulmonary disease&quot;,&quot;author&quot;:[{&quot;family&quot;:&quot;Christenson&quot;,&quot;given&quot;:&quot;Stephanie A&quot;,&quot;parse-names&quot;:false,&quot;dropping-particle&quot;:&quot;&quot;,&quot;non-dropping-particle&quot;:&quot;&quot;},{&quot;family&quot;:&quot;Smith&quot;,&quot;given&quot;:&quot;Benjamin M&quot;,&quot;parse-names&quot;:false,&quot;dropping-particle&quot;:&quot;&quot;,&quot;non-dropping-particle&quot;:&quot;&quot;},{&quot;family&quot;:&quot;Bafadhel&quot;,&quot;given&quot;:&quot;Mona&quot;,&quot;parse-names&quot;:false,&quot;dropping-particle&quot;:&quot;&quot;,&quot;non-dropping-particle&quot;:&quot;&quot;},{&quot;family&quot;:&quot;Putcha&quot;,&quot;given&quot;:&quot;Nirupama&quot;,&quot;parse-names&quot;:false,&quot;dropping-particle&quot;:&quot;&quot;,&quot;non-dropping-particle&quot;:&quot;&quot;}],&quot;container-title&quot;:&quot;www.thelancet.com&quot;,&quot;accessed&quot;:{&quot;date-parts&quot;:[[2024,3,17]]},&quot;DOI&quot;:&quot;10.1016/S0140-6736(22)00470-6&quot;,&quot;URL&quot;:&quot;https://doi.org/10.1016/&quot;,&quot;issued&quot;:{&quot;date-parts&quot;:[[2022]]},&quot;abstract&quot;:&quot;Chronic obstructive pulmonary disease (COPD) is a major cause of morbidity, mortality, and health-care use worldwide. COPD is caused by exposure to inhaled noxious particles, notably tobacco smoke and pollutants. However, the broad range of factors that increase the risk of development and progression of COPD throughout the life course are increasingly being recognised. Innovations in omics and imaging techniques have provided greater insight into disease pathobiology, which might result in advances in COPD prevention, diagnosis, and treatment. Although few novel treatments have been approved for COPD in the past 5 years, advances have been made in targeting existing therapies to specific subpopulations using new biomarker-based strategies. Additionally, COVID-19 has undeniably affected individuals with COPD, who are not only at higher risk for severe disease manifestations than healthy individuals but also negatively affected by interruptions in health-care delivery and social isolation. This Seminar reviews COPD with an emphasis on recent advances in epidemiology, pathophysiology, imaging, diagnosis, and treatment.&quot;,&quot;volume&quot;:&quot;399&quot;,&quot;container-title-short&quot;:&quot;&quot;},&quot;isTemporary&quot;:false},{&quot;id&quot;:&quot;40c2a82a-f568-3da3-8965-27201e1edcd6&quot;,&quot;itemData&quot;:{&quot;type&quot;:&quot;article-journal&quot;,&quot;id&quot;:&quot;40c2a82a-f568-3da3-8965-27201e1edcd6&quot;,&quot;title&quot;:&quot;Lung-function trajectories: relevance and implementation in clinical practice&quot;,&quot;author&quot;:[{&quot;family&quot;:&quot;Melén&quot;,&quot;given&quot;:&quot;Erik&quot;,&quot;parse-names&quot;:false,&quot;dropping-particle&quot;:&quot;&quot;,&quot;non-dropping-particle&quot;:&quot;&quot;},{&quot;family&quot;:&quot;Faner&quot;,&quot;given&quot;:&quot;Rosa&quot;,&quot;parse-names&quot;:false,&quot;dropping-particle&quot;:&quot;&quot;,&quot;non-dropping-particle&quot;:&quot;&quot;},{&quot;family&quot;:&quot;Allinson&quot;,&quot;given&quot;:&quot;James P.&quot;,&quot;parse-names&quot;:false,&quot;dropping-particle&quot;:&quot;&quot;,&quot;non-dropping-particle&quot;:&quot;&quot;},{&quot;family&quot;:&quot;Bui&quot;,&quot;given&quot;:&quot;Dinh&quot;,&quot;parse-names&quot;:false,&quot;dropping-particle&quot;:&quot;&quot;,&quot;non-dropping-particle&quot;:&quot;&quot;},{&quot;family&quot;:&quot;Bush&quot;,&quot;given&quot;:&quot;Andrew&quot;,&quot;parse-names&quot;:false,&quot;dropping-particle&quot;:&quot;&quot;,&quot;non-dropping-particle&quot;:&quot;&quot;},{&quot;family&quot;:&quot;Custovic&quot;,&quot;given&quot;:&quot;Adnan&quot;,&quot;parse-names&quot;:false,&quot;dropping-particle&quot;:&quot;&quot;,&quot;non-dropping-particle&quot;:&quot;&quot;},{&quot;family&quot;:&quot;Garcia-Aymerich&quot;,&quot;given&quot;:&quot;Judith&quot;,&quot;parse-names&quot;:false,&quot;dropping-particle&quot;:&quot;&quot;,&quot;non-dropping-particle&quot;:&quot;&quot;},{&quot;family&quot;:&quot;Guerra&quot;,&quot;given&quot;:&quot;Stefano&quot;,&quot;parse-names&quot;:false,&quot;dropping-particle&quot;:&quot;&quot;,&quot;non-dropping-particle&quot;:&quot;&quot;},{&quot;family&quot;:&quot;Breyer-Kohansal&quot;,&quot;given&quot;:&quot;Robab&quot;,&quot;parse-names&quot;:false,&quot;dropping-particle&quot;:&quot;&quot;,&quot;non-dropping-particle&quot;:&quot;&quot;},{&quot;family&quot;:&quot;Hallberg&quot;,&quot;given&quot;:&quot;Jenny&quot;,&quot;parse-names&quot;:false,&quot;dropping-particle&quot;:&quot;&quot;,&quot;non-dropping-particle&quot;:&quot;&quot;},{&quot;family&quot;:&quot;Lahousse&quot;,&quot;given&quot;:&quot;Lies&quot;,&quot;parse-names&quot;:false,&quot;dropping-particle&quot;:&quot;&quot;,&quot;non-dropping-particle&quot;:&quot;&quot;},{&quot;family&quot;:&quot;Martinez&quot;,&quot;given&quot;:&quot;Fernando D.&quot;,&quot;parse-names&quot;:false,&quot;dropping-particle&quot;:&quot;&quot;,&quot;non-dropping-particle&quot;:&quot;&quot;},{&quot;family&quot;:&quot;Merid&quot;,&quot;given&quot;:&quot;Simon Kebede&quot;,&quot;parse-names&quot;:false,&quot;dropping-particle&quot;:&quot;&quot;,&quot;non-dropping-particle&quot;:&quot;&quot;},{&quot;family&quot;:&quot;Powell&quot;,&quot;given&quot;:&quot;Pippa&quot;,&quot;parse-names&quot;:false,&quot;dropping-particle&quot;:&quot;&quot;,&quot;non-dropping-particle&quot;:&quot;&quot;},{&quot;family&quot;:&quot;Pinnock&quot;,&quot;given&quot;:&quot;Hilary&quot;,&quot;parse-names&quot;:false,&quot;dropping-particle&quot;:&quot;&quot;,&quot;non-dropping-particle&quot;:&quot;&quot;},{&quot;family&quot;:&quot;Stanojevic&quot;,&quot;given&quot;:&quot;Sanja&quot;,&quot;parse-names&quot;:false,&quot;dropping-particle&quot;:&quot;&quot;,&quot;non-dropping-particle&quot;:&quot;&quot;},{&quot;family&quot;:&quot;Vanfleteren&quot;,&quot;given&quot;:&quot;Lowie E.G.W.&quot;,&quot;parse-names&quot;:false,&quot;dropping-particle&quot;:&quot;&quot;,&quot;non-dropping-particle&quot;:&quot;&quot;},{&quot;family&quot;:&quot;Wang&quot;,&quot;given&quot;:&quot;Gang&quot;,&quot;parse-names&quot;:false,&quot;dropping-particle&quot;:&quot;&quot;,&quot;non-dropping-particle&quot;:&quot;&quot;},{&quot;family&quot;:&quot;Dharmage&quot;,&quot;given&quot;:&quot;Shyamali C.&quot;,&quot;parse-names&quot;:false,&quot;dropping-particle&quot;:&quot;&quot;,&quot;non-dropping-particle&quot;:&quot;&quot;},{&quot;family&quot;:&quot;Wedzicha&quot;,&quot;given&quot;:&quot;Jadwiga&quot;,&quot;parse-names&quot;:false,&quot;dropping-particle&quot;:&quot;&quot;,&quot;non-dropping-particle&quot;:&quot;&quot;},{&quot;family&quot;:&quot;Agusti&quot;,&quot;given&quot;:&quot;Alvar&quot;,&quot;parse-names&quot;:false,&quot;dropping-particle&quot;:&quot;&quot;,&quot;non-dropping-particle&quot;:&quot;&quot;},{&quot;family&quot;:&quot;Abellan&quot;,&quot;given&quot;:&quot;Alicia&quot;,&quot;parse-names&quot;:false,&quot;dropping-particle&quot;:&quot;&quot;,&quot;non-dropping-particle&quot;:&quot;&quot;},{&quot;family&quot;:&quot;Adcock&quot;,&quot;given&quot;:&quot;Ian&quot;,&quot;parse-names&quot;:false,&quot;dropping-particle&quot;:&quot;&quot;,&quot;non-dropping-particle&quot;:&quot;&quot;},{&quot;family&quot;:&quot;Afzal&quot;,&quot;given&quot;:&quot;Shoaib&quot;,&quot;parse-names&quot;:false,&quot;dropping-particle&quot;:&quot;&quot;,&quot;non-dropping-particle&quot;:&quot;&quot;},{&quot;family&quot;:&quot;Alter&quot;,&quot;given&quot;:&quot;Peter&quot;,&quot;parse-names&quot;:false,&quot;dropping-particle&quot;:&quot;&quot;,&quot;non-dropping-particle&quot;:&quot;&quot;},{&quot;family&quot;:&quot;Backman&quot;,&quot;given&quot;:&quot;Helena&quot;,&quot;parse-names&quot;:false,&quot;dropping-particle&quot;:&quot;&quot;,&quot;non-dropping-particle&quot;:&quot;&quot;},{&quot;family&quot;:&quot;Bertels&quot;,&quot;given&quot;:&quot;Xander&quot;,&quot;parse-names&quot;:false,&quot;dropping-particle&quot;:&quot;&quot;,&quot;non-dropping-particle&quot;:&quot;&quot;},{&quot;family&quot;:&quot;Bloom&quot;,&quot;given&quot;:&quot;Chloe&quot;,&quot;parse-names&quot;:false,&quot;dropping-particle&quot;:&quot;&quot;,&quot;non-dropping-particle&quot;:&quot;&quot;},{&quot;family&quot;:&quot;Bønnelykke&quot;,&quot;given&quot;:&quot;Klaus&quot;,&quot;parse-names&quot;:false,&quot;dropping-particle&quot;:&quot;&quot;,&quot;non-dropping-particle&quot;:&quot;&quot;},{&quot;family&quot;:&quot;Breyer&quot;,&quot;given&quot;:&quot;Marie Kathrin&quot;,&quot;parse-names&quot;:false,&quot;dropping-particle&quot;:&quot;&quot;,&quot;non-dropping-particle&quot;:&quot;&quot;},{&quot;family&quot;:&quot;Casas&quot;,&quot;given&quot;:&quot;Sandra&quot;,&quot;parse-names&quot;:false,&quot;dropping-particle&quot;:&quot;&quot;,&quot;non-dropping-particle&quot;:&quot;&quot;},{&quot;family&quot;:&quot;Chung&quot;,&quot;given&quot;:&quot;Fan (Kian)&quot;,&quot;parse-names&quot;:false,&quot;dropping-particle&quot;:&quot;&quot;,&quot;non-dropping-particle&quot;:&quot;&quot;},{&quot;family&quot;:&quot;Colak&quot;,&quot;given&quot;:&quot;Yunus&quot;,&quot;parse-names&quot;:false,&quot;dropping-particle&quot;:&quot;&quot;,&quot;non-dropping-particle&quot;:&quot;&quot;},{&quot;family&quot;:&quot;Cosio&quot;,&quot;given&quot;:&quot;Borja G.&quot;,&quot;parse-names&quot;:false,&quot;dropping-particle&quot;:&quot;&quot;,&quot;non-dropping-particle&quot;:&quot;&quot;},{&quot;family&quot;:&quot;Duijts&quot;,&quot;given&quot;:&quot;Liesbeth&quot;,&quot;parse-names&quot;:false,&quot;dropping-particle&quot;:&quot;&quot;,&quot;non-dropping-particle&quot;:&quot;&quot;},{&quot;family&quot;:&quot;Fabbri&quot;,&quot;given&quot;:&quot;Leonardo&quot;,&quot;parse-names&quot;:false,&quot;dropping-particle&quot;:&quot;&quot;,&quot;non-dropping-particle&quot;:&quot;&quot;},{&quot;family&quot;:&quot;Fontanella&quot;,&quot;given&quot;:&quot;Sara&quot;,&quot;parse-names&quot;:false,&quot;dropping-particle&quot;:&quot;&quot;,&quot;non-dropping-particle&quot;:&quot;&quot;},{&quot;family&quot;:&quot;Fuertes&quot;,&quot;given&quot;:&quot;Elaine&quot;,&quot;parse-names&quot;:false,&quot;dropping-particle&quot;:&quot;&quot;,&quot;non-dropping-particle&quot;:&quot;&quot;},{&quot;family&quot;:&quot;Gonzalez&quot;,&quot;given&quot;:&quot;Juan Ramón&quot;,&quot;parse-names&quot;:false,&quot;dropping-particle&quot;:&quot;&quot;,&quot;non-dropping-particle&quot;:&quot;&quot;},{&quot;family&quot;:&quot;Granell&quot;,&quot;given&quot;:&quot;Raquel&quot;,&quot;parse-names&quot;:false,&quot;dropping-particle&quot;:&quot;&quot;,&quot;non-dropping-particle&quot;:&quot;&quot;},{&quot;family&quot;:&quot;Hartl&quot;,&quot;given&quot;:&quot;Sylvia&quot;,&quot;parse-names&quot;:false,&quot;dropping-particle&quot;:&quot;&quot;,&quot;non-dropping-particle&quot;:&quot;&quot;},{&quot;family&quot;:&quot;Hernandez-Pacheco&quot;,&quot;given&quot;:&quot;Natalia&quot;,&quot;parse-names&quot;:false,&quot;dropping-particle&quot;:&quot;&quot;,&quot;non-dropping-particle&quot;:&quot;&quot;},{&quot;family&quot;:&quot;Holloway&quot;,&quot;given&quot;:&quot;John&quot;,&quot;parse-names&quot;:false,&quot;dropping-particle&quot;:&quot;&quot;,&quot;non-dropping-particle&quot;:&quot;&quot;},{&quot;family&quot;:&quot;Jarvis&quot;,&quot;given&quot;:&quot;Deborah&quot;,&quot;parse-names&quot;:false,&quot;dropping-particle&quot;:&quot;&quot;,&quot;non-dropping-particle&quot;:&quot;&quot;},{&quot;family&quot;:&quot;Koefoed&quot;,&quot;given&quot;:&quot;Hans Jacob&quot;,&quot;parse-names&quot;:false,&quot;dropping-particle&quot;:&quot;&quot;,&quot;non-dropping-particle&quot;:&quot;&quot;},{&quot;family&quot;:&quot;Kole&quot;,&quot;given&quot;:&quot;Tessa&quot;,&quot;parse-names&quot;:false,&quot;dropping-particle&quot;:&quot;&quot;,&quot;non-dropping-particle&quot;:&quot;&quot;},{&quot;family&quot;:&quot;Kumar&quot;,&quot;given&quot;:&quot;Ashish&quot;,&quot;parse-names&quot;:false,&quot;dropping-particle&quot;:&quot;&quot;,&quot;non-dropping-particle&quot;:&quot;&quot;},{&quot;family&quot;:&quot;Langhammer&quot;,&quot;given&quot;:&quot;Arnulf&quot;,&quot;parse-names&quot;:false,&quot;dropping-particle&quot;:&quot;&quot;,&quot;non-dropping-particle&quot;:&quot;&quot;},{&quot;family&quot;:&quot;Lindberg&quot;,&quot;given&quot;:&quot;Anne&quot;,&quot;parse-names&quot;:false,&quot;dropping-particle&quot;:&quot;&quot;,&quot;non-dropping-particle&quot;:&quot;&quot;},{&quot;family&quot;:&quot;Llopis&quot;,&quot;given&quot;:&quot;Maria&quot;,&quot;parse-names&quot;:false,&quot;dropping-particle&quot;:&quot;&quot;,&quot;non-dropping-particle&quot;:&quot;&quot;},{&quot;family&quot;:&quot;Maitland van der Zee&quot;,&quot;given&quot;:&quot;Anke Hilse&quot;,&quot;parse-names&quot;:false,&quot;dropping-particle&quot;:&quot;&quot;,&quot;non-dropping-particle&quot;:&quot;&quot;},{&quot;family&quot;:&quot;Meteran&quot;,&quot;given&quot;:&quot;Howraman&quot;,&quot;parse-names&quot;:false,&quot;dropping-particle&quot;:&quot;&quot;,&quot;non-dropping-particle&quot;:&quot;&quot;},{&quot;family&quot;:&quot;Minelli&quot;,&quot;given&quot;:&quot;Cosetta&quot;,&quot;parse-names&quot;:false,&quot;dropping-particle&quot;:&quot;&quot;,&quot;non-dropping-particle&quot;:&quot;&quot;},{&quot;family&quot;:&quot;Nwaru&quot;,&quot;given&quot;:&quot;Bright&quot;,&quot;parse-names&quot;:false,&quot;dropping-particle&quot;:&quot;&quot;,&quot;non-dropping-particle&quot;:&quot;&quot;},{&quot;family&quot;:&quot;Olvera&quot;,&quot;given&quot;:&quot;Nuria&quot;,&quot;parse-names&quot;:false,&quot;dropping-particle&quot;:&quot;&quot;,&quot;non-dropping-particle&quot;:&quot;&quot;},{&quot;family&quot;:&quot;Peralta&quot;,&quot;given&quot;:&quot;Gabriela&quot;,&quot;parse-names&quot;:false,&quot;dropping-particle&quot;:&quot;&quot;,&quot;non-dropping-particle&quot;:&quot;&quot;},{&quot;family&quot;:&quot;Ritchie&quot;,&quot;given&quot;:&quot;Andrew&quot;,&quot;parse-names&quot;:false,&quot;dropping-particle&quot;:&quot;&quot;,&quot;non-dropping-particle&quot;:&quot;&quot;},{&quot;family&quot;:&quot;Rönmark&quot;,&quot;given&quot;:&quot;Eva&quot;,&quot;parse-names&quot;:false,&quot;dropping-particle&quot;:&quot;&quot;,&quot;non-dropping-particle&quot;:&quot;&quot;},{&quot;family&quot;:&quot;Ross Chapman&quot;,&quot;given&quot;:&quot;James&quot;,&quot;parse-names&quot;:false,&quot;dropping-particle&quot;:&quot;&quot;,&quot;non-dropping-particle&quot;:&quot;&quot;},{&quot;family&quot;:&quot;Sangüesa Boix&quot;,&quot;given&quot;:&quot;Júlia&quot;,&quot;parse-names&quot;:false,&quot;dropping-particle&quot;:&quot;&quot;,&quot;non-dropping-particle&quot;:&quot;&quot;},{&quot;family&quot;:&quot;Schikowski&quot;,&quot;given&quot;:&quot;Tamara&quot;,&quot;parse-names&quot;:false,&quot;dropping-particle&quot;:&quot;&quot;,&quot;non-dropping-particle&quot;:&quot;&quot;},{&quot;family&quot;:&quot;Schlünssen&quot;,&quot;given&quot;:&quot;Vivi&quot;,&quot;parse-names&quot;:false,&quot;dropping-particle&quot;:&quot;&quot;,&quot;non-dropping-particle&quot;:&quot;&quot;},{&quot;family&quot;:&quot;Shaheen&quot;,&quot;given&quot;:&quot;Seif&quot;,&quot;parse-names&quot;:false,&quot;dropping-particle&quot;:&quot;&quot;,&quot;non-dropping-particle&quot;:&quot;&quot;},{&quot;family&quot;:&quot;Sigsgaard&quot;,&quot;given&quot;:&quot;Torben&quot;,&quot;parse-names&quot;:false,&quot;dropping-particle&quot;:&quot;&quot;,&quot;non-dropping-particle&quot;:&quot;&quot;},{&quot;family&quot;:&quot;Standl&quot;,&quot;given&quot;:&quot;Marie&quot;,&quot;parse-names&quot;:false,&quot;dropping-particle&quot;:&quot;&quot;,&quot;non-dropping-particle&quot;:&quot;&quot;},{&quot;family&quot;:&quot;Talaei&quot;,&quot;given&quot;:&quot;Mohammad&quot;,&quot;parse-names&quot;:false,&quot;dropping-particle&quot;:&quot;&quot;,&quot;non-dropping-particle&quot;:&quot;&quot;},{&quot;family&quot;:&quot;Ullah&quot;,&quot;given&quot;:&quot;Anhar&quot;,&quot;parse-names&quot;:false,&quot;dropping-particle&quot;:&quot;&quot;,&quot;non-dropping-particle&quot;:&quot;&quot;},{&quot;family&quot;:&quot;Ullman&quot;,&quot;given&quot;:&quot;Anders&quot;,&quot;parse-names&quot;:false,&quot;dropping-particle&quot;:&quot;&quot;,&quot;non-dropping-particle&quot;:&quot;&quot;},{&quot;family&quot;:&quot;Valencia-Hernandez&quot;,&quot;given&quot;:&quot;Carlos&quot;,&quot;parse-names&quot;:false,&quot;dropping-particle&quot;:&quot;&quot;,&quot;non-dropping-particle&quot;:&quot;&quot;},{&quot;family&quot;:&quot;Berge&quot;,&quot;given&quot;:&quot;Maarten&quot;,&quot;parse-names&quot;:false,&quot;dropping-particle&quot;:&quot;&quot;,&quot;non-dropping-particle&quot;:&quot;van den&quot;},{&quot;family&quot;:&quot;Dijk&quot;,&quot;given&quot;:&quot;Yoni&quot;,&quot;parse-names&quot;:false,&quot;dropping-particle&quot;:&quot;&quot;,&quot;non-dropping-particle&quot;:&quot;van&quot;},{&quot;family&quot;:&quot;Vestbo&quot;,&quot;given&quot;:&quot;Jørgen&quot;,&quot;parse-names&quot;:false,&quot;dropping-particle&quot;:&quot;&quot;,&quot;non-dropping-particle&quot;:&quot;&quot;},{&quot;family&quot;:&quot;Vijverberg&quot;,&quot;given&quot;:&quot;Susanne&quot;,&quot;parse-names&quot;:false,&quot;dropping-particle&quot;:&quot;&quot;,&quot;non-dropping-particle&quot;:&quot;&quot;},{&quot;family&quot;:&quot;Vikjord&quot;,&quot;given&quot;:&quot;Sigrid Anna&quot;,&quot;parse-names&quot;:false,&quot;dropping-particle&quot;:&quot;&quot;,&quot;non-dropping-particle&quot;:&quot;&quot;},{&quot;family&quot;:&quot;Volgelmeier&quot;,&quot;given&quot;:&quot;Claus&quot;,&quot;parse-names&quot;:false,&quot;dropping-particle&quot;:&quot;&quot;,&quot;non-dropping-particle&quot;:&quot;&quot;},{&quot;family&quot;:&quot;Vonk&quot;,&quot;given&quot;:&quot;Judith&quot;,&quot;parse-names&quot;:false,&quot;dropping-particle&quot;:&quot;&quot;,&quot;non-dropping-particle&quot;:&quot;&quot;},{&quot;family&quot;:&quot;Zounemat Kermani&quot;,&quot;given&quot;:&quot;Nazanin&quot;,&quot;parse-names&quot;:false,&quot;dropping-particle&quot;:&quot;&quot;,&quot;non-dropping-particle&quot;:&quot;&quot;}],&quot;container-title&quot;:&quot;Lancet (London, England)&quot;,&quot;accessed&quot;:{&quot;date-parts&quot;:[[2024,10,16]]},&quot;DOI&quot;:&quot;10.1016/S0140-6736(24)00016-3&quot;,&quot;ISSN&quot;:&quot;1474-547X&quot;,&quot;PMID&quot;:&quot;38490231&quot;,&quot;URL&quot;:&quot;https://pubmed.ncbi.nlm.nih.gov/38490231/&quot;,&quot;issued&quot;:{&quot;date-parts&quot;:[[2024,4,13]]},&quot;page&quot;:&quot;1494-1503&quot;,&quot;abstract&quot;:&quot;Lung development starts in utero and continues during childhood through to adolescence, reaching its peak in early adulthood. This growth is followed by gradual decline due to physiological lung ageing. Lung-function development can be altered by several host and environmental factors during the life course. As a result, a range of lung-function trajectories exist in the population. Below average trajectories are associated with respiratory, cardiovascular, metabolic, and mental health comorbidities, as well as with premature death. This Review presents progressive research into lung-function trajectories and assists the implementation of this knowledge in clinical practice as an innovative approach to detect poor lung health early, monitor respiratory disease progression, and promote lung health. Specifically, we propose that, similar to paediatric height and weight charts used globally to monitor children's growth, lung-function charts could be used for both children and adults to monitor lung health status across the life course. To achieve this proposal, we introduce our free online Lung Function Tracker tool. Finally, we discuss challenges and opportunities for effective implementation of the trajectory concept at population level and outline an agenda for crucial research needed to support such implementation.&quot;,&quot;publisher&quot;:&quot;Lancet&quot;,&quot;issue&quot;:&quot;10435&quot;,&quot;volume&quot;:&quot;403&quot;,&quot;container-title-short&quot;:&quot;Lancet&quot;},&quot;isTemporary&quot;:false}]},{&quot;citationID&quot;:&quot;MENDELEY_CITATION_17fbef38-6682-4848-a9c8-48caac29f76b&quot;,&quot;properties&quot;:{&quot;noteIndex&quot;:0},&quot;isEdited&quot;:false,&quot;manualOverride&quot;:{&quot;isManuallyOverridden&quot;:false,&quot;citeprocText&quot;:&quot;[82]&quot;,&quot;manualOverrideText&quot;:&quot;&quot;},&quot;citationTag&quot;:&quot;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&quot;,&quot;citationItems&quot;:[{&quot;id&quot;:&quot;40c2a82a-f568-3da3-8965-27201e1edcd6&quot;,&quot;itemData&quot;:{&quot;type&quot;:&quot;article-journal&quot;,&quot;id&quot;:&quot;40c2a82a-f568-3da3-8965-27201e1edcd6&quot;,&quot;title&quot;:&quot;Lung-function trajectories: relevance and implementation in clinical practice&quot;,&quot;author&quot;:[{&quot;family&quot;:&quot;Melén&quot;,&quot;given&quot;:&quot;Erik&quot;,&quot;parse-names&quot;:false,&quot;dropping-particle&quot;:&quot;&quot;,&quot;non-dropping-particle&quot;:&quot;&quot;},{&quot;family&quot;:&quot;Faner&quot;,&quot;given&quot;:&quot;Rosa&quot;,&quot;parse-names&quot;:false,&quot;dropping-particle&quot;:&quot;&quot;,&quot;non-dropping-particle&quot;:&quot;&quot;},{&quot;family&quot;:&quot;Allinson&quot;,&quot;given&quot;:&quot;James P.&quot;,&quot;parse-names&quot;:false,&quot;dropping-particle&quot;:&quot;&quot;,&quot;non-dropping-particle&quot;:&quot;&quot;},{&quot;family&quot;:&quot;Bui&quot;,&quot;given&quot;:&quot;Dinh&quot;,&quot;parse-names&quot;:false,&quot;dropping-particle&quot;:&quot;&quot;,&quot;non-dropping-particle&quot;:&quot;&quot;},{&quot;family&quot;:&quot;Bush&quot;,&quot;given&quot;:&quot;Andrew&quot;,&quot;parse-names&quot;:false,&quot;dropping-particle&quot;:&quot;&quot;,&quot;non-dropping-particle&quot;:&quot;&quot;},{&quot;family&quot;:&quot;Custovic&quot;,&quot;given&quot;:&quot;Adnan&quot;,&quot;parse-names&quot;:false,&quot;dropping-particle&quot;:&quot;&quot;,&quot;non-dropping-particle&quot;:&quot;&quot;},{&quot;family&quot;:&quot;Garcia-Aymerich&quot;,&quot;given&quot;:&quot;Judith&quot;,&quot;parse-names&quot;:false,&quot;dropping-particle&quot;:&quot;&quot;,&quot;non-dropping-particle&quot;:&quot;&quot;},{&quot;family&quot;:&quot;Guerra&quot;,&quot;given&quot;:&quot;Stefano&quot;,&quot;parse-names&quot;:false,&quot;dropping-particle&quot;:&quot;&quot;,&quot;non-dropping-particle&quot;:&quot;&quot;},{&quot;family&quot;:&quot;Breyer-Kohansal&quot;,&quot;given&quot;:&quot;Robab&quot;,&quot;parse-names&quot;:false,&quot;dropping-particle&quot;:&quot;&quot;,&quot;non-dropping-particle&quot;:&quot;&quot;},{&quot;family&quot;:&quot;Hallberg&quot;,&quot;given&quot;:&quot;Jenny&quot;,&quot;parse-names&quot;:false,&quot;dropping-particle&quot;:&quot;&quot;,&quot;non-dropping-particle&quot;:&quot;&quot;},{&quot;family&quot;:&quot;Lahousse&quot;,&quot;given&quot;:&quot;Lies&quot;,&quot;parse-names&quot;:false,&quot;dropping-particle&quot;:&quot;&quot;,&quot;non-dropping-particle&quot;:&quot;&quot;},{&quot;family&quot;:&quot;Martinez&quot;,&quot;given&quot;:&quot;Fernando D.&quot;,&quot;parse-names&quot;:false,&quot;dropping-particle&quot;:&quot;&quot;,&quot;non-dropping-particle&quot;:&quot;&quot;},{&quot;family&quot;:&quot;Merid&quot;,&quot;given&quot;:&quot;Simon Kebede&quot;,&quot;parse-names&quot;:false,&quot;dropping-particle&quot;:&quot;&quot;,&quot;non-dropping-particle&quot;:&quot;&quot;},{&quot;family&quot;:&quot;Powell&quot;,&quot;given&quot;:&quot;Pippa&quot;,&quot;parse-names&quot;:false,&quot;dropping-particle&quot;:&quot;&quot;,&quot;non-dropping-particle&quot;:&quot;&quot;},{&quot;family&quot;:&quot;Pinnock&quot;,&quot;given&quot;:&quot;Hilary&quot;,&quot;parse-names&quot;:false,&quot;dropping-particle&quot;:&quot;&quot;,&quot;non-dropping-particle&quot;:&quot;&quot;},{&quot;family&quot;:&quot;Stanojevic&quot;,&quot;given&quot;:&quot;Sanja&quot;,&quot;parse-names&quot;:false,&quot;dropping-particle&quot;:&quot;&quot;,&quot;non-dropping-particle&quot;:&quot;&quot;},{&quot;family&quot;:&quot;Vanfleteren&quot;,&quot;given&quot;:&quot;Lowie E.G.W.&quot;,&quot;parse-names&quot;:false,&quot;dropping-particle&quot;:&quot;&quot;,&quot;non-dropping-particle&quot;:&quot;&quot;},{&quot;family&quot;:&quot;Wang&quot;,&quot;given&quot;:&quot;Gang&quot;,&quot;parse-names&quot;:false,&quot;dropping-particle&quot;:&quot;&quot;,&quot;non-dropping-particle&quot;:&quot;&quot;},{&quot;family&quot;:&quot;Dharmage&quot;,&quot;given&quot;:&quot;Shyamali C.&quot;,&quot;parse-names&quot;:false,&quot;dropping-particle&quot;:&quot;&quot;,&quot;non-dropping-particle&quot;:&quot;&quot;},{&quot;family&quot;:&quot;Wedzicha&quot;,&quot;given&quot;:&quot;Jadwiga&quot;,&quot;parse-names&quot;:false,&quot;dropping-particle&quot;:&quot;&quot;,&quot;non-dropping-particle&quot;:&quot;&quot;},{&quot;family&quot;:&quot;Agusti&quot;,&quot;given&quot;:&quot;Alvar&quot;,&quot;parse-names&quot;:false,&quot;dropping-particle&quot;:&quot;&quot;,&quot;non-dropping-particle&quot;:&quot;&quot;},{&quot;family&quot;:&quot;Abellan&quot;,&quot;given&quot;:&quot;Alicia&quot;,&quot;parse-names&quot;:false,&quot;dropping-particle&quot;:&quot;&quot;,&quot;non-dropping-particle&quot;:&quot;&quot;},{&quot;family&quot;:&quot;Adcock&quot;,&quot;given&quot;:&quot;Ian&quot;,&quot;parse-names&quot;:false,&quot;dropping-particle&quot;:&quot;&quot;,&quot;non-dropping-particle&quot;:&quot;&quot;},{&quot;family&quot;:&quot;Afzal&quot;,&quot;given&quot;:&quot;Shoaib&quot;,&quot;parse-names&quot;:false,&quot;dropping-particle&quot;:&quot;&quot;,&quot;non-dropping-particle&quot;:&quot;&quot;},{&quot;family&quot;:&quot;Alter&quot;,&quot;given&quot;:&quot;Peter&quot;,&quot;parse-names&quot;:false,&quot;dropping-particle&quot;:&quot;&quot;,&quot;non-dropping-particle&quot;:&quot;&quot;},{&quot;family&quot;:&quot;Backman&quot;,&quot;given&quot;:&quot;Helena&quot;,&quot;parse-names&quot;:false,&quot;dropping-particle&quot;:&quot;&quot;,&quot;non-dropping-particle&quot;:&quot;&quot;},{&quot;family&quot;:&quot;Bertels&quot;,&quot;given&quot;:&quot;Xander&quot;,&quot;parse-names&quot;:false,&quot;dropping-particle&quot;:&quot;&quot;,&quot;non-dropping-particle&quot;:&quot;&quot;},{&quot;family&quot;:&quot;Bloom&quot;,&quot;given&quot;:&quot;Chloe&quot;,&quot;parse-names&quot;:false,&quot;dropping-particle&quot;:&quot;&quot;,&quot;non-dropping-particle&quot;:&quot;&quot;},{&quot;family&quot;:&quot;Bønnelykke&quot;,&quot;given&quot;:&quot;Klaus&quot;,&quot;parse-names&quot;:false,&quot;dropping-particle&quot;:&quot;&quot;,&quot;non-dropping-particle&quot;:&quot;&quot;},{&quot;family&quot;:&quot;Breyer&quot;,&quot;given&quot;:&quot;Marie Kathrin&quot;,&quot;parse-names&quot;:false,&quot;dropping-particle&quot;:&quot;&quot;,&quot;non-dropping-particle&quot;:&quot;&quot;},{&quot;family&quot;:&quot;Casas&quot;,&quot;given&quot;:&quot;Sandra&quot;,&quot;parse-names&quot;:false,&quot;dropping-particle&quot;:&quot;&quot;,&quot;non-dropping-particle&quot;:&quot;&quot;},{&quot;family&quot;:&quot;Chung&quot;,&quot;given&quot;:&quot;Fan (Kian)&quot;,&quot;parse-names&quot;:false,&quot;dropping-particle&quot;:&quot;&quot;,&quot;non-dropping-particle&quot;:&quot;&quot;},{&quot;family&quot;:&quot;Colak&quot;,&quot;given&quot;:&quot;Yunus&quot;,&quot;parse-names&quot;:false,&quot;dropping-particle&quot;:&quot;&quot;,&quot;non-dropping-particle&quot;:&quot;&quot;},{&quot;family&quot;:&quot;Cosio&quot;,&quot;given&quot;:&quot;Borja G.&quot;,&quot;parse-names&quot;:false,&quot;dropping-particle&quot;:&quot;&quot;,&quot;non-dropping-particle&quot;:&quot;&quot;},{&quot;family&quot;:&quot;Duijts&quot;,&quot;given&quot;:&quot;Liesbeth&quot;,&quot;parse-names&quot;:false,&quot;dropping-particle&quot;:&quot;&quot;,&quot;non-dropping-particle&quot;:&quot;&quot;},{&quot;family&quot;:&quot;Fabbri&quot;,&quot;given&quot;:&quot;Leonardo&quot;,&quot;parse-names&quot;:false,&quot;dropping-particle&quot;:&quot;&quot;,&quot;non-dropping-particle&quot;:&quot;&quot;},{&quot;family&quot;:&quot;Fontanella&quot;,&quot;given&quot;:&quot;Sara&quot;,&quot;parse-names&quot;:false,&quot;dropping-particle&quot;:&quot;&quot;,&quot;non-dropping-particle&quot;:&quot;&quot;},{&quot;family&quot;:&quot;Fuertes&quot;,&quot;given&quot;:&quot;Elaine&quot;,&quot;parse-names&quot;:false,&quot;dropping-particle&quot;:&quot;&quot;,&quot;non-dropping-particle&quot;:&quot;&quot;},{&quot;family&quot;:&quot;Gonzalez&quot;,&quot;given&quot;:&quot;Juan Ramón&quot;,&quot;parse-names&quot;:false,&quot;dropping-particle&quot;:&quot;&quot;,&quot;non-dropping-particle&quot;:&quot;&quot;},{&quot;family&quot;:&quot;Granell&quot;,&quot;given&quot;:&quot;Raquel&quot;,&quot;parse-names&quot;:false,&quot;dropping-particle&quot;:&quot;&quot;,&quot;non-dropping-particle&quot;:&quot;&quot;},{&quot;family&quot;:&quot;Hartl&quot;,&quot;given&quot;:&quot;Sylvia&quot;,&quot;parse-names&quot;:false,&quot;dropping-particle&quot;:&quot;&quot;,&quot;non-dropping-particle&quot;:&quot;&quot;},{&quot;family&quot;:&quot;Hernandez-Pacheco&quot;,&quot;given&quot;:&quot;Natalia&quot;,&quot;parse-names&quot;:false,&quot;dropping-particle&quot;:&quot;&quot;,&quot;non-dropping-particle&quot;:&quot;&quot;},{&quot;family&quot;:&quot;Holloway&quot;,&quot;given&quot;:&quot;John&quot;,&quot;parse-names&quot;:false,&quot;dropping-particle&quot;:&quot;&quot;,&quot;non-dropping-particle&quot;:&quot;&quot;},{&quot;family&quot;:&quot;Jarvis&quot;,&quot;given&quot;:&quot;Deborah&quot;,&quot;parse-names&quot;:false,&quot;dropping-particle&quot;:&quot;&quot;,&quot;non-dropping-particle&quot;:&quot;&quot;},{&quot;family&quot;:&quot;Koefoed&quot;,&quot;given&quot;:&quot;Hans Jacob&quot;,&quot;parse-names&quot;:false,&quot;dropping-particle&quot;:&quot;&quot;,&quot;non-dropping-particle&quot;:&quot;&quot;},{&quot;family&quot;:&quot;Kole&quot;,&quot;given&quot;:&quot;Tessa&quot;,&quot;parse-names&quot;:false,&quot;dropping-particle&quot;:&quot;&quot;,&quot;non-dropping-particle&quot;:&quot;&quot;},{&quot;family&quot;:&quot;Kumar&quot;,&quot;given&quot;:&quot;Ashish&quot;,&quot;parse-names&quot;:false,&quot;dropping-particle&quot;:&quot;&quot;,&quot;non-dropping-particle&quot;:&quot;&quot;},{&quot;family&quot;:&quot;Langhammer&quot;,&quot;given&quot;:&quot;Arnulf&quot;,&quot;parse-names&quot;:false,&quot;dropping-particle&quot;:&quot;&quot;,&quot;non-dropping-particle&quot;:&quot;&quot;},{&quot;family&quot;:&quot;Lindberg&quot;,&quot;given&quot;:&quot;Anne&quot;,&quot;parse-names&quot;:false,&quot;dropping-particle&quot;:&quot;&quot;,&quot;non-dropping-particle&quot;:&quot;&quot;},{&quot;family&quot;:&quot;Llopis&quot;,&quot;given&quot;:&quot;Maria&quot;,&quot;parse-names&quot;:false,&quot;dropping-particle&quot;:&quot;&quot;,&quot;non-dropping-particle&quot;:&quot;&quot;},{&quot;family&quot;:&quot;Maitland van der Zee&quot;,&quot;given&quot;:&quot;Anke Hilse&quot;,&quot;parse-names&quot;:false,&quot;dropping-particle&quot;:&quot;&quot;,&quot;non-dropping-particle&quot;:&quot;&quot;},{&quot;family&quot;:&quot;Meteran&quot;,&quot;given&quot;:&quot;Howraman&quot;,&quot;parse-names&quot;:false,&quot;dropping-particle&quot;:&quot;&quot;,&quot;non-dropping-particle&quot;:&quot;&quot;},{&quot;family&quot;:&quot;Minelli&quot;,&quot;given&quot;:&quot;Cosetta&quot;,&quot;parse-names&quot;:false,&quot;dropping-particle&quot;:&quot;&quot;,&quot;non-dropping-particle&quot;:&quot;&quot;},{&quot;family&quot;:&quot;Nwaru&quot;,&quot;given&quot;:&quot;Bright&quot;,&quot;parse-names&quot;:false,&quot;dropping-particle&quot;:&quot;&quot;,&quot;non-dropping-particle&quot;:&quot;&quot;},{&quot;family&quot;:&quot;Olvera&quot;,&quot;given&quot;:&quot;Nuria&quot;,&quot;parse-names&quot;:false,&quot;dropping-particle&quot;:&quot;&quot;,&quot;non-dropping-particle&quot;:&quot;&quot;},{&quot;family&quot;:&quot;Peralta&quot;,&quot;given&quot;:&quot;Gabriela&quot;,&quot;parse-names&quot;:false,&quot;dropping-particle&quot;:&quot;&quot;,&quot;non-dropping-particle&quot;:&quot;&quot;},{&quot;family&quot;:&quot;Ritchie&quot;,&quot;given&quot;:&quot;Andrew&quot;,&quot;parse-names&quot;:false,&quot;dropping-particle&quot;:&quot;&quot;,&quot;non-dropping-particle&quot;:&quot;&quot;},{&quot;family&quot;:&quot;Rönmark&quot;,&quot;given&quot;:&quot;Eva&quot;,&quot;parse-names&quot;:false,&quot;dropping-particle&quot;:&quot;&quot;,&quot;non-dropping-particle&quot;:&quot;&quot;},{&quot;family&quot;:&quot;Ross Chapman&quot;,&quot;given&quot;:&quot;James&quot;,&quot;parse-names&quot;:false,&quot;dropping-particle&quot;:&quot;&quot;,&quot;non-dropping-particle&quot;:&quot;&quot;},{&quot;family&quot;:&quot;Sangüesa Boix&quot;,&quot;given&quot;:&quot;Júlia&quot;,&quot;parse-names&quot;:false,&quot;dropping-particle&quot;:&quot;&quot;,&quot;non-dropping-particle&quot;:&quot;&quot;},{&quot;family&quot;:&quot;Schikowski&quot;,&quot;given&quot;:&quot;Tamara&quot;,&quot;parse-names&quot;:false,&quot;dropping-particle&quot;:&quot;&quot;,&quot;non-dropping-particle&quot;:&quot;&quot;},{&quot;family&quot;:&quot;Schlünssen&quot;,&quot;given&quot;:&quot;Vivi&quot;,&quot;parse-names&quot;:false,&quot;dropping-particle&quot;:&quot;&quot;,&quot;non-dropping-particle&quot;:&quot;&quot;},{&quot;family&quot;:&quot;Shaheen&quot;,&quot;given&quot;:&quot;Seif&quot;,&quot;parse-names&quot;:false,&quot;dropping-particle&quot;:&quot;&quot;,&quot;non-dropping-particle&quot;:&quot;&quot;},{&quot;family&quot;:&quot;Sigsgaard&quot;,&quot;given&quot;:&quot;Torben&quot;,&quot;parse-names&quot;:false,&quot;dropping-particle&quot;:&quot;&quot;,&quot;non-dropping-particle&quot;:&quot;&quot;},{&quot;family&quot;:&quot;Standl&quot;,&quot;given&quot;:&quot;Marie&quot;,&quot;parse-names&quot;:false,&quot;dropping-particle&quot;:&quot;&quot;,&quot;non-dropping-particle&quot;:&quot;&quot;},{&quot;family&quot;:&quot;Talaei&quot;,&quot;given&quot;:&quot;Mohammad&quot;,&quot;parse-names&quot;:false,&quot;dropping-particle&quot;:&quot;&quot;,&quot;non-dropping-particle&quot;:&quot;&quot;},{&quot;family&quot;:&quot;Ullah&quot;,&quot;given&quot;:&quot;Anhar&quot;,&quot;parse-names&quot;:false,&quot;dropping-particle&quot;:&quot;&quot;,&quot;non-dropping-particle&quot;:&quot;&quot;},{&quot;family&quot;:&quot;Ullman&quot;,&quot;given&quot;:&quot;Anders&quot;,&quot;parse-names&quot;:false,&quot;dropping-particle&quot;:&quot;&quot;,&quot;non-dropping-particle&quot;:&quot;&quot;},{&quot;family&quot;:&quot;Valencia-Hernandez&quot;,&quot;given&quot;:&quot;Carlos&quot;,&quot;parse-names&quot;:false,&quot;dropping-particle&quot;:&quot;&quot;,&quot;non-dropping-particle&quot;:&quot;&quot;},{&quot;family&quot;:&quot;Berge&quot;,&quot;given&quot;:&quot;Maarten&quot;,&quot;parse-names&quot;:false,&quot;dropping-particle&quot;:&quot;&quot;,&quot;non-dropping-particle&quot;:&quot;van den&quot;},{&quot;family&quot;:&quot;Dijk&quot;,&quot;given&quot;:&quot;Yoni&quot;,&quot;parse-names&quot;:false,&quot;dropping-particle&quot;:&quot;&quot;,&quot;non-dropping-particle&quot;:&quot;van&quot;},{&quot;family&quot;:&quot;Vestbo&quot;,&quot;given&quot;:&quot;Jørgen&quot;,&quot;parse-names&quot;:false,&quot;dropping-particle&quot;:&quot;&quot;,&quot;non-dropping-particle&quot;:&quot;&quot;},{&quot;family&quot;:&quot;Vijverberg&quot;,&quot;given&quot;:&quot;Susanne&quot;,&quot;parse-names&quot;:false,&quot;dropping-particle&quot;:&quot;&quot;,&quot;non-dropping-particle&quot;:&quot;&quot;},{&quot;family&quot;:&quot;Vikjord&quot;,&quot;given&quot;:&quot;Sigrid Anna&quot;,&quot;parse-names&quot;:false,&quot;dropping-particle&quot;:&quot;&quot;,&quot;non-dropping-particle&quot;:&quot;&quot;},{&quot;family&quot;:&quot;Volgelmeier&quot;,&quot;given&quot;:&quot;Claus&quot;,&quot;parse-names&quot;:false,&quot;dropping-particle&quot;:&quot;&quot;,&quot;non-dropping-particle&quot;:&quot;&quot;},{&quot;family&quot;:&quot;Vonk&quot;,&quot;given&quot;:&quot;Judith&quot;,&quot;parse-names&quot;:false,&quot;dropping-particle&quot;:&quot;&quot;,&quot;non-dropping-particle&quot;:&quot;&quot;},{&quot;family&quot;:&quot;Zounemat Kermani&quot;,&quot;given&quot;:&quot;Nazanin&quot;,&quot;parse-names&quot;:false,&quot;dropping-particle&quot;:&quot;&quot;,&quot;non-dropping-particle&quot;:&quot;&quot;}],&quot;container-title&quot;:&quot;Lancet (London, England)&quot;,&quot;container-title-short&quot;:&quot;Lancet&quot;,&quot;accessed&quot;:{&quot;date-parts&quot;:[[2024,10,16]]},&quot;DOI&quot;:&quot;10.1016/S0140-6736(24)00016-3&quot;,&quot;ISSN&quot;:&quot;1474-547X&quot;,&quot;PMID&quot;:&quot;38490231&quot;,&quot;URL&quot;:&quot;https://pubmed.ncbi.nlm.nih.gov/38490231/&quot;,&quot;issued&quot;:{&quot;date-parts&quot;:[[2024,4,13]]},&quot;page&quot;:&quot;1494-1503&quot;,&quot;abstract&quot;:&quot;Lung development starts in utero and continues during childhood through to adolescence, reaching its peak in early adulthood. This growth is followed by gradual decline due to physiological lung ageing. Lung-function development can be altered by several host and environmental factors during the life course. As a result, a range of lung-function trajectories exist in the population. Below average trajectories are associated with respiratory, cardiovascular, metabolic, and mental health comorbidities, as well as with premature death. This Review presents progressive research into lung-function trajectories and assists the implementation of this knowledge in clinical practice as an innovative approach to detect poor lung health early, monitor respiratory disease progression, and promote lung health. Specifically, we propose that, similar to paediatric height and weight charts used globally to monitor children's growth, lung-function charts could be used for both children and adults to monitor lung health status across the life course. To achieve this proposal, we introduce our free online Lung Function Tracker tool. Finally, we discuss challenges and opportunities for effective implementation of the trajectory concept at population level and outline an agenda for crucial research needed to support such implementation.&quot;,&quot;publisher&quot;:&quot;Lancet&quot;,&quot;issue&quot;:&quot;10435&quot;,&quot;volume&quot;:&quot;403&quot;},&quot;isTemporary&quot;:false}]},{&quot;citationID&quot;:&quot;MENDELEY_CITATION_a3fadf61-5c2b-4553-bb34-7dd656080b92&quot;,&quot;properties&quot;:{&quot;noteIndex&quot;:0},&quot;isEdited&quot;:false,&quot;manualOverride&quot;:{&quot;isManuallyOverridden&quot;:false,&quot;citeprocText&quot;:&quot;[82]&quot;,&quot;manualOverrideText&quot;:&quot;&quot;},&quot;citationTag&quot;:&quot;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&quot;,&quot;citationItems&quot;:[{&quot;id&quot;:&quot;40c2a82a-f568-3da3-8965-27201e1edcd6&quot;,&quot;itemData&quot;:{&quot;type&quot;:&quot;article-journal&quot;,&quot;id&quot;:&quot;40c2a82a-f568-3da3-8965-27201e1edcd6&quot;,&quot;title&quot;:&quot;Lung-function trajectories: relevance and implementation in clinical practice&quot;,&quot;author&quot;:[{&quot;family&quot;:&quot;Melén&quot;,&quot;given&quot;:&quot;Erik&quot;,&quot;parse-names&quot;:false,&quot;dropping-particle&quot;:&quot;&quot;,&quot;non-dropping-particle&quot;:&quot;&quot;},{&quot;family&quot;:&quot;Faner&quot;,&quot;given&quot;:&quot;Rosa&quot;,&quot;parse-names&quot;:false,&quot;dropping-particle&quot;:&quot;&quot;,&quot;non-dropping-particle&quot;:&quot;&quot;},{&quot;family&quot;:&quot;Allinson&quot;,&quot;given&quot;:&quot;James P.&quot;,&quot;parse-names&quot;:false,&quot;dropping-particle&quot;:&quot;&quot;,&quot;non-dropping-particle&quot;:&quot;&quot;},{&quot;family&quot;:&quot;Bui&quot;,&quot;given&quot;:&quot;Dinh&quot;,&quot;parse-names&quot;:false,&quot;dropping-particle&quot;:&quot;&quot;,&quot;non-dropping-particle&quot;:&quot;&quot;},{&quot;family&quot;:&quot;Bush&quot;,&quot;given&quot;:&quot;Andrew&quot;,&quot;parse-names&quot;:false,&quot;dropping-particle&quot;:&quot;&quot;,&quot;non-dropping-particle&quot;:&quot;&quot;},{&quot;family&quot;:&quot;Custovic&quot;,&quot;given&quot;:&quot;Adnan&quot;,&quot;parse-names&quot;:false,&quot;dropping-particle&quot;:&quot;&quot;,&quot;non-dropping-particle&quot;:&quot;&quot;},{&quot;family&quot;:&quot;Garcia-Aymerich&quot;,&quot;given&quot;:&quot;Judith&quot;,&quot;parse-names&quot;:false,&quot;dropping-particle&quot;:&quot;&quot;,&quot;non-dropping-particle&quot;:&quot;&quot;},{&quot;family&quot;:&quot;Guerra&quot;,&quot;given&quot;:&quot;Stefano&quot;,&quot;parse-names&quot;:false,&quot;dropping-particle&quot;:&quot;&quot;,&quot;non-dropping-particle&quot;:&quot;&quot;},{&quot;family&quot;:&quot;Breyer-Kohansal&quot;,&quot;given&quot;:&quot;Robab&quot;,&quot;parse-names&quot;:false,&quot;dropping-particle&quot;:&quot;&quot;,&quot;non-dropping-particle&quot;:&quot;&quot;},{&quot;family&quot;:&quot;Hallberg&quot;,&quot;given&quot;:&quot;Jenny&quot;,&quot;parse-names&quot;:false,&quot;dropping-particle&quot;:&quot;&quot;,&quot;non-dropping-particle&quot;:&quot;&quot;},{&quot;family&quot;:&quot;Lahousse&quot;,&quot;given&quot;:&quot;Lies&quot;,&quot;parse-names&quot;:false,&quot;dropping-particle&quot;:&quot;&quot;,&quot;non-dropping-particle&quot;:&quot;&quot;},{&quot;family&quot;:&quot;Martinez&quot;,&quot;given&quot;:&quot;Fernando D.&quot;,&quot;parse-names&quot;:false,&quot;dropping-particle&quot;:&quot;&quot;,&quot;non-dropping-particle&quot;:&quot;&quot;},{&quot;family&quot;:&quot;Merid&quot;,&quot;given&quot;:&quot;Simon Kebede&quot;,&quot;parse-names&quot;:false,&quot;dropping-particle&quot;:&quot;&quot;,&quot;non-dropping-particle&quot;:&quot;&quot;},{&quot;family&quot;:&quot;Powell&quot;,&quot;given&quot;:&quot;Pippa&quot;,&quot;parse-names&quot;:false,&quot;dropping-particle&quot;:&quot;&quot;,&quot;non-dropping-particle&quot;:&quot;&quot;},{&quot;family&quot;:&quot;Pinnock&quot;,&quot;given&quot;:&quot;Hilary&quot;,&quot;parse-names&quot;:false,&quot;dropping-particle&quot;:&quot;&quot;,&quot;non-dropping-particle&quot;:&quot;&quot;},{&quot;family&quot;:&quot;Stanojevic&quot;,&quot;given&quot;:&quot;Sanja&quot;,&quot;parse-names&quot;:false,&quot;dropping-particle&quot;:&quot;&quot;,&quot;non-dropping-particle&quot;:&quot;&quot;},{&quot;family&quot;:&quot;Vanfleteren&quot;,&quot;given&quot;:&quot;Lowie E.G.W.&quot;,&quot;parse-names&quot;:false,&quot;dropping-particle&quot;:&quot;&quot;,&quot;non-dropping-particle&quot;:&quot;&quot;},{&quot;family&quot;:&quot;Wang&quot;,&quot;given&quot;:&quot;Gang&quot;,&quot;parse-names&quot;:false,&quot;dropping-particle&quot;:&quot;&quot;,&quot;non-dropping-particle&quot;:&quot;&quot;},{&quot;family&quot;:&quot;Dharmage&quot;,&quot;given&quot;:&quot;Shyamali C.&quot;,&quot;parse-names&quot;:false,&quot;dropping-particle&quot;:&quot;&quot;,&quot;non-dropping-particle&quot;:&quot;&quot;},{&quot;family&quot;:&quot;Wedzicha&quot;,&quot;given&quot;:&quot;Jadwiga&quot;,&quot;parse-names&quot;:false,&quot;dropping-particle&quot;:&quot;&quot;,&quot;non-dropping-particle&quot;:&quot;&quot;},{&quot;family&quot;:&quot;Agusti&quot;,&quot;given&quot;:&quot;Alvar&quot;,&quot;parse-names&quot;:false,&quot;dropping-particle&quot;:&quot;&quot;,&quot;non-dropping-particle&quot;:&quot;&quot;},{&quot;family&quot;:&quot;Abellan&quot;,&quot;given&quot;:&quot;Alicia&quot;,&quot;parse-names&quot;:false,&quot;dropping-particle&quot;:&quot;&quot;,&quot;non-dropping-particle&quot;:&quot;&quot;},{&quot;family&quot;:&quot;Adcock&quot;,&quot;given&quot;:&quot;Ian&quot;,&quot;parse-names&quot;:false,&quot;dropping-particle&quot;:&quot;&quot;,&quot;non-dropping-particle&quot;:&quot;&quot;},{&quot;family&quot;:&quot;Afzal&quot;,&quot;given&quot;:&quot;Shoaib&quot;,&quot;parse-names&quot;:false,&quot;dropping-particle&quot;:&quot;&quot;,&quot;non-dropping-particle&quot;:&quot;&quot;},{&quot;family&quot;:&quot;Alter&quot;,&quot;given&quot;:&quot;Peter&quot;,&quot;parse-names&quot;:false,&quot;dropping-particle&quot;:&quot;&quot;,&quot;non-dropping-particle&quot;:&quot;&quot;},{&quot;family&quot;:&quot;Backman&quot;,&quot;given&quot;:&quot;Helena&quot;,&quot;parse-names&quot;:false,&quot;dropping-particle&quot;:&quot;&quot;,&quot;non-dropping-particle&quot;:&quot;&quot;},{&quot;family&quot;:&quot;Bertels&quot;,&quot;given&quot;:&quot;Xander&quot;,&quot;parse-names&quot;:false,&quot;dropping-particle&quot;:&quot;&quot;,&quot;non-dropping-particle&quot;:&quot;&quot;},{&quot;family&quot;:&quot;Bloom&quot;,&quot;given&quot;:&quot;Chloe&quot;,&quot;parse-names&quot;:false,&quot;dropping-particle&quot;:&quot;&quot;,&quot;non-dropping-particle&quot;:&quot;&quot;},{&quot;family&quot;:&quot;Bønnelykke&quot;,&quot;given&quot;:&quot;Klaus&quot;,&quot;parse-names&quot;:false,&quot;dropping-particle&quot;:&quot;&quot;,&quot;non-dropping-particle&quot;:&quot;&quot;},{&quot;family&quot;:&quot;Breyer&quot;,&quot;given&quot;:&quot;Marie Kathrin&quot;,&quot;parse-names&quot;:false,&quot;dropping-particle&quot;:&quot;&quot;,&quot;non-dropping-particle&quot;:&quot;&quot;},{&quot;family&quot;:&quot;Casas&quot;,&quot;given&quot;:&quot;Sandra&quot;,&quot;parse-names&quot;:false,&quot;dropping-particle&quot;:&quot;&quot;,&quot;non-dropping-particle&quot;:&quot;&quot;},{&quot;family&quot;:&quot;Chung&quot;,&quot;given&quot;:&quot;Fan (Kian)&quot;,&quot;parse-names&quot;:false,&quot;dropping-particle&quot;:&quot;&quot;,&quot;non-dropping-particle&quot;:&quot;&quot;},{&quot;family&quot;:&quot;Colak&quot;,&quot;given&quot;:&quot;Yunus&quot;,&quot;parse-names&quot;:false,&quot;dropping-particle&quot;:&quot;&quot;,&quot;non-dropping-particle&quot;:&quot;&quot;},{&quot;family&quot;:&quot;Cosio&quot;,&quot;given&quot;:&quot;Borja G.&quot;,&quot;parse-names&quot;:false,&quot;dropping-particle&quot;:&quot;&quot;,&quot;non-dropping-particle&quot;:&quot;&quot;},{&quot;family&quot;:&quot;Duijts&quot;,&quot;given&quot;:&quot;Liesbeth&quot;,&quot;parse-names&quot;:false,&quot;dropping-particle&quot;:&quot;&quot;,&quot;non-dropping-particle&quot;:&quot;&quot;},{&quot;family&quot;:&quot;Fabbri&quot;,&quot;given&quot;:&quot;Leonardo&quot;,&quot;parse-names&quot;:false,&quot;dropping-particle&quot;:&quot;&quot;,&quot;non-dropping-particle&quot;:&quot;&quot;},{&quot;family&quot;:&quot;Fontanella&quot;,&quot;given&quot;:&quot;Sara&quot;,&quot;parse-names&quot;:false,&quot;dropping-particle&quot;:&quot;&quot;,&quot;non-dropping-particle&quot;:&quot;&quot;},{&quot;family&quot;:&quot;Fuertes&quot;,&quot;given&quot;:&quot;Elaine&quot;,&quot;parse-names&quot;:false,&quot;dropping-particle&quot;:&quot;&quot;,&quot;non-dropping-particle&quot;:&quot;&quot;},{&quot;family&quot;:&quot;Gonzalez&quot;,&quot;given&quot;:&quot;Juan Ramón&quot;,&quot;parse-names&quot;:false,&quot;dropping-particle&quot;:&quot;&quot;,&quot;non-dropping-particle&quot;:&quot;&quot;},{&quot;family&quot;:&quot;Granell&quot;,&quot;given&quot;:&quot;Raquel&quot;,&quot;parse-names&quot;:false,&quot;dropping-particle&quot;:&quot;&quot;,&quot;non-dropping-particle&quot;:&quot;&quot;},{&quot;family&quot;:&quot;Hartl&quot;,&quot;given&quot;:&quot;Sylvia&quot;,&quot;parse-names&quot;:false,&quot;dropping-particle&quot;:&quot;&quot;,&quot;non-dropping-particle&quot;:&quot;&quot;},{&quot;family&quot;:&quot;Hernandez-Pacheco&quot;,&quot;given&quot;:&quot;Natalia&quot;,&quot;parse-names&quot;:false,&quot;dropping-particle&quot;:&quot;&quot;,&quot;non-dropping-particle&quot;:&quot;&quot;},{&quot;family&quot;:&quot;Holloway&quot;,&quot;given&quot;:&quot;John&quot;,&quot;parse-names&quot;:false,&quot;dropping-particle&quot;:&quot;&quot;,&quot;non-dropping-particle&quot;:&quot;&quot;},{&quot;family&quot;:&quot;Jarvis&quot;,&quot;given&quot;:&quot;Deborah&quot;,&quot;parse-names&quot;:false,&quot;dropping-particle&quot;:&quot;&quot;,&quot;non-dropping-particle&quot;:&quot;&quot;},{&quot;family&quot;:&quot;Koefoed&quot;,&quot;given&quot;:&quot;Hans Jacob&quot;,&quot;parse-names&quot;:false,&quot;dropping-particle&quot;:&quot;&quot;,&quot;non-dropping-particle&quot;:&quot;&quot;},{&quot;family&quot;:&quot;Kole&quot;,&quot;given&quot;:&quot;Tessa&quot;,&quot;parse-names&quot;:false,&quot;dropping-particle&quot;:&quot;&quot;,&quot;non-dropping-particle&quot;:&quot;&quot;},{&quot;family&quot;:&quot;Kumar&quot;,&quot;given&quot;:&quot;Ashish&quot;,&quot;parse-names&quot;:false,&quot;dropping-particle&quot;:&quot;&quot;,&quot;non-dropping-particle&quot;:&quot;&quot;},{&quot;family&quot;:&quot;Langhammer&quot;,&quot;given&quot;:&quot;Arnulf&quot;,&quot;parse-names&quot;:false,&quot;dropping-particle&quot;:&quot;&quot;,&quot;non-dropping-particle&quot;:&quot;&quot;},{&quot;family&quot;:&quot;Lindberg&quot;,&quot;given&quot;:&quot;Anne&quot;,&quot;parse-names&quot;:false,&quot;dropping-particle&quot;:&quot;&quot;,&quot;non-dropping-particle&quot;:&quot;&quot;},{&quot;family&quot;:&quot;Llopis&quot;,&quot;given&quot;:&quot;Maria&quot;,&quot;parse-names&quot;:false,&quot;dropping-particle&quot;:&quot;&quot;,&quot;non-dropping-particle&quot;:&quot;&quot;},{&quot;family&quot;:&quot;Maitland van der Zee&quot;,&quot;given&quot;:&quot;Anke Hilse&quot;,&quot;parse-names&quot;:false,&quot;dropping-particle&quot;:&quot;&quot;,&quot;non-dropping-particle&quot;:&quot;&quot;},{&quot;family&quot;:&quot;Meteran&quot;,&quot;given&quot;:&quot;Howraman&quot;,&quot;parse-names&quot;:false,&quot;dropping-particle&quot;:&quot;&quot;,&quot;non-dropping-particle&quot;:&quot;&quot;},{&quot;family&quot;:&quot;Minelli&quot;,&quot;given&quot;:&quot;Cosetta&quot;,&quot;parse-names&quot;:false,&quot;dropping-particle&quot;:&quot;&quot;,&quot;non-dropping-particle&quot;:&quot;&quot;},{&quot;family&quot;:&quot;Nwaru&quot;,&quot;given&quot;:&quot;Bright&quot;,&quot;parse-names&quot;:false,&quot;dropping-particle&quot;:&quot;&quot;,&quot;non-dropping-particle&quot;:&quot;&quot;},{&quot;family&quot;:&quot;Olvera&quot;,&quot;given&quot;:&quot;Nuria&quot;,&quot;parse-names&quot;:false,&quot;dropping-particle&quot;:&quot;&quot;,&quot;non-dropping-particle&quot;:&quot;&quot;},{&quot;family&quot;:&quot;Peralta&quot;,&quot;given&quot;:&quot;Gabriela&quot;,&quot;parse-names&quot;:false,&quot;dropping-particle&quot;:&quot;&quot;,&quot;non-dropping-particle&quot;:&quot;&quot;},{&quot;family&quot;:&quot;Ritchie&quot;,&quot;given&quot;:&quot;Andrew&quot;,&quot;parse-names&quot;:false,&quot;dropping-particle&quot;:&quot;&quot;,&quot;non-dropping-particle&quot;:&quot;&quot;},{&quot;family&quot;:&quot;Rönmark&quot;,&quot;given&quot;:&quot;Eva&quot;,&quot;parse-names&quot;:false,&quot;dropping-particle&quot;:&quot;&quot;,&quot;non-dropping-particle&quot;:&quot;&quot;},{&quot;family&quot;:&quot;Ross Chapman&quot;,&quot;given&quot;:&quot;James&quot;,&quot;parse-names&quot;:false,&quot;dropping-particle&quot;:&quot;&quot;,&quot;non-dropping-particle&quot;:&quot;&quot;},{&quot;family&quot;:&quot;Sangüesa Boix&quot;,&quot;given&quot;:&quot;Júlia&quot;,&quot;parse-names&quot;:false,&quot;dropping-particle&quot;:&quot;&quot;,&quot;non-dropping-particle&quot;:&quot;&quot;},{&quot;family&quot;:&quot;Schikowski&quot;,&quot;given&quot;:&quot;Tamara&quot;,&quot;parse-names&quot;:false,&quot;dropping-particle&quot;:&quot;&quot;,&quot;non-dropping-particle&quot;:&quot;&quot;},{&quot;family&quot;:&quot;Schlünssen&quot;,&quot;given&quot;:&quot;Vivi&quot;,&quot;parse-names&quot;:false,&quot;dropping-particle&quot;:&quot;&quot;,&quot;non-dropping-particle&quot;:&quot;&quot;},{&quot;family&quot;:&quot;Shaheen&quot;,&quot;given&quot;:&quot;Seif&quot;,&quot;parse-names&quot;:false,&quot;dropping-particle&quot;:&quot;&quot;,&quot;non-dropping-particle&quot;:&quot;&quot;},{&quot;family&quot;:&quot;Sigsgaard&quot;,&quot;given&quot;:&quot;Torben&quot;,&quot;parse-names&quot;:false,&quot;dropping-particle&quot;:&quot;&quot;,&quot;non-dropping-particle&quot;:&quot;&quot;},{&quot;family&quot;:&quot;Standl&quot;,&quot;given&quot;:&quot;Marie&quot;,&quot;parse-names&quot;:false,&quot;dropping-particle&quot;:&quot;&quot;,&quot;non-dropping-particle&quot;:&quot;&quot;},{&quot;family&quot;:&quot;Talaei&quot;,&quot;given&quot;:&quot;Mohammad&quot;,&quot;parse-names&quot;:false,&quot;dropping-particle&quot;:&quot;&quot;,&quot;non-dropping-particle&quot;:&quot;&quot;},{&quot;family&quot;:&quot;Ullah&quot;,&quot;given&quot;:&quot;Anhar&quot;,&quot;parse-names&quot;:false,&quot;dropping-particle&quot;:&quot;&quot;,&quot;non-dropping-particle&quot;:&quot;&quot;},{&quot;family&quot;:&quot;Ullman&quot;,&quot;given&quot;:&quot;Anders&quot;,&quot;parse-names&quot;:false,&quot;dropping-particle&quot;:&quot;&quot;,&quot;non-dropping-particle&quot;:&quot;&quot;},{&quot;family&quot;:&quot;Valencia-Hernandez&quot;,&quot;given&quot;:&quot;Carlos&quot;,&quot;parse-names&quot;:false,&quot;dropping-particle&quot;:&quot;&quot;,&quot;non-dropping-particle&quot;:&quot;&quot;},{&quot;family&quot;:&quot;Berge&quot;,&quot;given&quot;:&quot;Maarten&quot;,&quot;parse-names&quot;:false,&quot;dropping-particle&quot;:&quot;&quot;,&quot;non-dropping-particle&quot;:&quot;van den&quot;},{&quot;family&quot;:&quot;Dijk&quot;,&quot;given&quot;:&quot;Yoni&quot;,&quot;parse-names&quot;:false,&quot;dropping-particle&quot;:&quot;&quot;,&quot;non-dropping-particle&quot;:&quot;van&quot;},{&quot;family&quot;:&quot;Vestbo&quot;,&quot;given&quot;:&quot;Jørgen&quot;,&quot;parse-names&quot;:false,&quot;dropping-particle&quot;:&quot;&quot;,&quot;non-dropping-particle&quot;:&quot;&quot;},{&quot;family&quot;:&quot;Vijverberg&quot;,&quot;given&quot;:&quot;Susanne&quot;,&quot;parse-names&quot;:false,&quot;dropping-particle&quot;:&quot;&quot;,&quot;non-dropping-particle&quot;:&quot;&quot;},{&quot;family&quot;:&quot;Vikjord&quot;,&quot;given&quot;:&quot;Sigrid Anna&quot;,&quot;parse-names&quot;:false,&quot;dropping-particle&quot;:&quot;&quot;,&quot;non-dropping-particle&quot;:&quot;&quot;},{&quot;family&quot;:&quot;Volgelmeier&quot;,&quot;given&quot;:&quot;Claus&quot;,&quot;parse-names&quot;:false,&quot;dropping-particle&quot;:&quot;&quot;,&quot;non-dropping-particle&quot;:&quot;&quot;},{&quot;family&quot;:&quot;Vonk&quot;,&quot;given&quot;:&quot;Judith&quot;,&quot;parse-names&quot;:false,&quot;dropping-particle&quot;:&quot;&quot;,&quot;non-dropping-particle&quot;:&quot;&quot;},{&quot;family&quot;:&quot;Zounemat Kermani&quot;,&quot;given&quot;:&quot;Nazanin&quot;,&quot;parse-names&quot;:false,&quot;dropping-particle&quot;:&quot;&quot;,&quot;non-dropping-particle&quot;:&quot;&quot;}],&quot;container-title&quot;:&quot;Lancet (London, England)&quot;,&quot;accessed&quot;:{&quot;date-parts&quot;:[[2024,10,16]]},&quot;DOI&quot;:&quot;10.1016/S0140-6736(24)00016-3&quot;,&quot;ISSN&quot;:&quot;1474-547X&quot;,&quot;PMID&quot;:&quot;38490231&quot;,&quot;URL&quot;:&quot;https://pubmed.ncbi.nlm.nih.gov/38490231/&quot;,&quot;issued&quot;:{&quot;date-parts&quot;:[[2024,4,13]]},&quot;page&quot;:&quot;1494-1503&quot;,&quot;abstract&quot;:&quot;Lung development starts in utero and continues during childhood through to adolescence, reaching its peak in early adulthood. This growth is followed by gradual decline due to physiological lung ageing. Lung-function development can be altered by several host and environmental factors during the life course. As a result, a range of lung-function trajectories exist in the population. Below average trajectories are associated with respiratory, cardiovascular, metabolic, and mental health comorbidities, as well as with premature death. This Review presents progressive research into lung-function trajectories and assists the implementation of this knowledge in clinical practice as an innovative approach to detect poor lung health early, monitor respiratory disease progression, and promote lung health. Specifically, we propose that, similar to paediatric height and weight charts used globally to monitor children's growth, lung-function charts could be used for both children and adults to monitor lung health status across the life course. To achieve this proposal, we introduce our free online Lung Function Tracker tool. Finally, we discuss challenges and opportunities for effective implementation of the trajectory concept at population level and outline an agenda for crucial research needed to support such implementation.&quot;,&quot;publisher&quot;:&quot;Lancet&quot;,&quot;issue&quot;:&quot;10435&quot;,&quot;volume&quot;:&quot;403&quot;,&quot;container-title-short&quot;:&quot;Lancet&quot;},&quot;isTemporary&quot;:false}]},{&quot;citationID&quot;:&quot;MENDELEY_CITATION_588cc3a3-3ad1-4f61-81d2-60fe069f736b&quot;,&quot;properties&quot;:{&quot;noteIndex&quot;:0},&quot;isEdited&quot;:false,&quot;manualOverride&quot;:{&quot;isManuallyOverridden&quot;:false,&quot;citeprocText&quot;:&quot;[6,95,96]&quot;,&quot;manualOverrideText&quot;:&quot;&quot;},&quot;citationTag&quot;:&quot;MENDELEY_CITATION_v3_eyJjaXRhdGlvbklEIjoiTUVOREVMRVlfQ0lUQVRJT05fNTg4Y2MzYTMtM2FkMS00ZjYxLTgxZDItNjBmZTA2OWY3MzZiIiwicHJvcGVydGllcyI6eyJub3RlSW5kZXgiOjB9LCJpc0VkaXRlZCI6ZmFsc2UsIm1hbnVhbE92ZXJyaWRlIjp7ImlzTWFudWFsbHlPdmVycmlkZGVuIjpmYWxzZSwiY2l0ZXByb2NUZXh0IjoiWzYsOTUsOT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&quot;,&quot;citationItems&quot;:[{&quot;id&quot;:&quot;f6bf6552-f6e0-3ff4-a77d-6750f2546b26&quot;,&quot;itemData&quot;:{&quot;type&quot;:&quot;report&quot;,&quot;id&quot;:&quot;f6bf6552-f6e0-3ff4-a77d-6750f2546b26&quot;,&quot;title&quot;:&quot;GOLD Report 2020&quot;,&quot;author&quot;:[{&quot;family&quot;:&quot;Global Initiative for Chronic Obstructive Lung Disease&quot;,&quot;given&quot;:&quot;&quot;,&quot;parse-names&quot;:false,&quot;dropping-particle&quot;:&quot;&quot;,&quot;non-dropping-particle&quot;:&quot;&quot;}],&quot;container-title&quot;:&quot;Global Strategy for the Diagnosis, Management, and Prevention of Chronic Obstructive Pulmonary Disease: 2020 Report&quot;,&quot;URL&quot;:&quot;https://goldcopd.org/wp-content/uploads/2019/12/GOLD-2020-FINAL-ver1.2-03Dec19_WMV.pdf&quot;,&quot;issued&quot;:{&quot;date-parts&quot;:[[2020]]},&quot;number-of-pages&quot;:&quot;141&quot;,&quot;abstract&quot;:&quot;Global Strategy for the Diagnosis, Management, and Prevention of Chronic Obstructive Pulmonary Disease&quot;,&quot;container-title-short&quot;:&quot;&quot;},&quot;isTemporary&quot;:false},{&quot;id&quot;:&quot;ba277781-0e8d-364f-ae19-f0e2023944bc&quot;,&quot;itemData&quot;:{&quot;type&quot;:&quot;article-journal&quot;,&quot;id&quot;:&quot;ba277781-0e8d-364f-ae19-f0e2023944bc&quot;,&quot;title&quot;:&quot;Chronic obstructive pulmonary disease&quot;,&quot;author&quot;:[{&quot;family&quot;:&quot;Christenson&quot;,&quot;given&quot;:&quot;Stephanie A&quot;,&quot;parse-names&quot;:false,&quot;dropping-particle&quot;:&quot;&quot;,&quot;non-dropping-particle&quot;:&quot;&quot;},{&quot;family&quot;:&quot;Smith&quot;,&quot;given&quot;:&quot;Benjamin M&quot;,&quot;parse-names&quot;:false,&quot;dropping-particle&quot;:&quot;&quot;,&quot;non-dropping-particle&quot;:&quot;&quot;},{&quot;family&quot;:&quot;Bafadhel&quot;,&quot;given&quot;:&quot;Mona&quot;,&quot;parse-names&quot;:false,&quot;dropping-particle&quot;:&quot;&quot;,&quot;non-dropping-particle&quot;:&quot;&quot;},{&quot;family&quot;:&quot;Putcha&quot;,&quot;given&quot;:&quot;Nirupama&quot;,&quot;parse-names&quot;:false,&quot;dropping-particle&quot;:&quot;&quot;,&quot;non-dropping-particle&quot;:&quot;&quot;}],&quot;container-title&quot;:&quot;www.thelancet.com&quot;,&quot;accessed&quot;:{&quot;date-parts&quot;:[[2024,3,17]]},&quot;DOI&quot;:&quot;10.1016/S0140-6736(22)00470-6&quot;,&quot;URL&quot;:&quot;https://doi.org/10.1016/&quot;,&quot;issued&quot;:{&quot;date-parts&quot;:[[2022]]},&quot;abstract&quot;:&quot;Chronic obstructive pulmonary disease (COPD) is a major cause of morbidity, mortality, and health-care use worldwide. COPD is caused by exposure to inhaled noxious particles, notably tobacco smoke and pollutants. However, the broad range of factors that increase the risk of development and progression of COPD throughout the life course are increasingly being recognised. Innovations in omics and imaging techniques have provided greater insight into disease pathobiology, which might result in advances in COPD prevention, diagnosis, and treatment. Although few novel treatments have been approved for COPD in the past 5 years, advances have been made in targeting existing therapies to specific subpopulations using new biomarker-based strategies. Additionally, COVID-19 has undeniably affected individuals with COPD, who are not only at higher risk for severe disease manifestations than healthy individuals but also negatively affected by interruptions in health-care delivery and social isolation. This Seminar reviews COPD with an emphasis on recent advances in epidemiology, pathophysiology, imaging, diagnosis, and treatment.&quot;,&quot;volume&quot;:&quot;399&quot;,&quot;container-title-short&quot;:&quot;&quot;},&quot;isTemporary&quot;:false},{&quot;id&quot;:&quot;37b1dad0-ad6a-378b-ad9c-0a2ac1660a00&quot;,&quot;itemData&quot;:{&quot;type&quot;:&quot;article-journal&quot;,&quot;id&quot;:&quot;37b1dad0-ad6a-378b-ad9c-0a2ac1660a00&quot;,&quot;title&quot;:&quot;Identifying risk factors for COPD and adult-onset asthma: an umbrella review&quot;,&quot;author&quot;:[{&quot;family&quot;:&quot;Holtjer&quot;,&quot;given&quot;:&quot;Judith C.S.&quot;,&quot;parse-names&quot;:false,&quot;dropping-particle&quot;:&quot;&quot;,&quot;non-dropping-particle&quot;:&quot;&quot;},{&quot;family&quot;:&quot;Bloemsma&quot;,&quot;given&quot;:&quot;Lizan D.&quot;,&quot;parse-names&quot;:false,&quot;dropping-particle&quot;:&quot;&quot;,&quot;non-dropping-particle&quot;:&quot;&quot;},{&quot;family&quot;:&quot;Beijers&quot;,&quot;given&quot;:&quot;Rosanne J.H.C.G.&quot;,&quot;parse-names&quot;:false,&quot;dropping-particle&quot;:&quot;&quot;,&quot;non-dropping-particle&quot;:&quot;&quot;},{&quot;family&quot;:&quot;Cornelissen&quot;,&quot;given&quot;:&quot;Merel E.B.&quot;,&quot;parse-names&quot;:false,&quot;dropping-particle&quot;:&quot;&quot;,&quot;non-dropping-particle&quot;:&quot;&quot;},{&quot;family&quot;:&quot;Hilvering&quot;,&quot;given&quot;:&quot;Bart&quot;,&quot;parse-names&quot;:false,&quot;dropping-particle&quot;:&quot;&quot;,&quot;non-dropping-particle&quot;:&quot;&quot;},{&quot;family&quot;:&quot;Houweling&quot;,&quot;given&quot;:&quot;Laura&quot;,&quot;parse-names&quot;:false,&quot;dropping-particle&quot;:&quot;&quot;,&quot;non-dropping-particle&quot;:&quot;&quot;},{&quot;family&quot;:&quot;Vermeulen&quot;,&quot;given&quot;:&quot;Roel C.H.&quot;,&quot;parse-names&quot;:false,&quot;dropping-particle&quot;:&quot;&quot;,&quot;non-dropping-particle&quot;:&quot;&quot;},{&quot;family&quot;:&quot;Downward&quot;,&quot;given&quot;:&quot;George S.&quot;,&quot;parse-names&quot;:false,&quot;dropping-particle&quot;:&quot;&quot;,&quot;non-dropping-particle&quot;:&quot;&quot;},{&quot;family&quot;:&quot;Zee&quot;,&quot;given&quot;:&quot;Anke Hilse Maitland&quot;,&quot;parse-names&quot;:false,&quot;dropping-particle&quot;:&quot;Van&quot;,&quot;non-dropping-particle&quot;:&quot;der&quot;}],&quot;container-title&quot;:&quot;European Respiratory Review&quot;,&quot;accessed&quot;:{&quot;date-parts&quot;:[[2025,4,24]]},&quot;DOI&quot;:&quot;10.1183/16000617.0009-2023,&quot;,&quot;ISSN&quot;:&quot;16000617&quot;,&quot;PMID&quot;:&quot;37137510&quot;,&quot;URL&quot;:&quot;https://pubmed.ncbi.nlm.nih.gov/37137510/&quot;,&quot;issued&quot;:{&quot;date-parts&quot;:[[2023,6,30]]},&quot;abstract&quot;:&quot;Background COPD and adult-onset asthma (AOA) are the most common noncommunicable respiratory diseases. To improve early identification and prevention, an overview of risk factors is needed. We therefore aimed to systematically summarise the nongenetic (exposome) risk factors for AOA and COPD. Additionally, we aimed to compare the risk factors for COPD and AOA. Methods In this umbrella review, we searched PubMed for articles from inception until 1 February 2023 and screened the references of relevant articles. We included systematic reviews and meta-analyses of observational epidemiological studies in humans that assessed a minimum of one lifestyle or environmental risk factor for AOA or COPD. Results In total, 75 reviews were included, of which 45 focused on risk factors for COPD, 28 on AOA and two examined both. For asthma, 43 different risk factors were identified while 45 were identified for COPD. For AOA, smoking, a high body mass index (BMI), wood dust exposure and residential chemical exposures, such as formaldehyde exposure or exposure to volatile organic compounds, were amongst the risk factors found. For COPD, smoking, ambient air pollution including nitrogen dioxide, a low BMI, indoor biomass burning, childhood asthma, occupational dust exposure and diet were amongst the risk factors found. Conclusions Many different factors for COPD and asthma have been found, highlighting the differences and similarities. The results of this systematic review can be used to target and identify people at high risk for COPD or AOA.&quot;,&quot;publisher&quot;:&quot;European Respiratory Society&quot;,&quot;issue&quot;:&quot;168&quot;,&quot;volume&quot;:&quot;32&quot;,&quot;container-title-short&quot;:&quot;&quot;},&quot;isTemporary&quot;:false}]},{&quot;citationID&quot;:&quot;MENDELEY_CITATION_810e12e4-562e-4134-ac2b-4bcc4ee50a32&quot;,&quot;properties&quot;:{&quot;noteIndex&quot;:0},&quot;isEdited&quot;:false,&quot;manualOverride&quot;:{&quot;isManuallyOverridden&quot;:false,&quot;citeprocText&quot;:&quot;[97]&quot;,&quot;manualOverrideText&quot;:&quot;&quot;},&quot;citationTag&quot;:&quot;MENDELEY_CITATION_v3_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&quot;,&quot;citationItems&quot;:[{&quot;id&quot;:&quot;9f8bc563-a705-3b03-bce1-601de6efc5ec&quot;,&quot;itemData&quot;:{&quot;type&quot;:&quot;article-journal&quot;,&quot;id&quot;:&quot;9f8bc563-a705-3b03-bce1-601de6efc5ec&quot;,&quot;title&quot;:&quot;Identifying risk factors for COPD and adult-onset asthma: an umbrella review&quot;,&quot;author&quot;:[{&quot;family&quot;:&quot;Holtjer&quot;,&quot;given&quot;:&quot;Judith C.S.&quot;,&quot;parse-names&quot;:false,&quot;dropping-particle&quot;:&quot;&quot;,&quot;non-dropping-particle&quot;:&quot;&quot;},{&quot;family&quot;:&quot;Bloemsma&quot;,&quot;given&quot;:&quot;Lizan D.&quot;,&quot;parse-names&quot;:false,&quot;dropping-particle&quot;:&quot;&quot;,&quot;non-dropping-particle&quot;:&quot;&quot;},{&quot;family&quot;:&quot;Beijers&quot;,&quot;given&quot;:&quot;Rosanne J.H.C.G.&quot;,&quot;parse-names&quot;:false,&quot;dropping-particle&quot;:&quot;&quot;,&quot;non-dropping-particle&quot;:&quot;&quot;},{&quot;family&quot;:&quot;Cornelissen&quot;,&quot;given&quot;:&quot;Merel E.B.&quot;,&quot;parse-names&quot;:false,&quot;dropping-particle&quot;:&quot;&quot;,&quot;non-dropping-particle&quot;:&quot;&quot;},{&quot;family&quot;:&quot;Hilvering&quot;,&quot;given&quot;:&quot;Bart&quot;,&quot;parse-names&quot;:false,&quot;dropping-particle&quot;:&quot;&quot;,&quot;non-dropping-particle&quot;:&quot;&quot;},{&quot;family&quot;:&quot;Houweling&quot;,&quot;given&quot;:&quot;Laura&quot;,&quot;parse-names&quot;:false,&quot;dropping-particle&quot;:&quot;&quot;,&quot;non-dropping-particle&quot;:&quot;&quot;},{&quot;family&quot;:&quot;Vermeulen&quot;,&quot;given&quot;:&quot;Roel C.H.&quot;,&quot;parse-names&quot;:false,&quot;dropping-particle&quot;:&quot;&quot;,&quot;non-dropping-particle&quot;:&quot;&quot;},{&quot;family&quot;:&quot;Downward&quot;,&quot;given&quot;:&quot;George S.&quot;,&quot;parse-names&quot;:false,&quot;dropping-particle&quot;:&quot;&quot;,&quot;non-dropping-particle&quot;:&quot;&quot;},{&quot;family&quot;:&quot;Zee&quot;,&quot;given&quot;:&quot;Anke Hilse Maitland&quot;,&quot;parse-names&quot;:false,&quot;dropping-particle&quot;:&quot;Van&quot;,&quot;non-dropping-particle&quot;:&quot;der&quot;}],&quot;container-title&quot;:&quot;European Respiratory Review&quot;,&quot;accessed&quot;:{&quot;date-parts&quot;:[[2024,3,17]]},&quot;DOI&quot;:&quot;10.1183/16000617.0009-2023&quot;,&quot;ISSN&quot;:&quot;16000617&quot;,&quot;PMID&quot;:&quot;37137510&quot;,&quot;URL&quot;:&quot;/pmc/articles/PMC10155046/&quot;,&quot;issued&quot;:{&quot;date-parts&quot;:[[2023,6,6]]},&quot;abstract&quot;:&quot;Background COPD and adult-onset asthma (AOA) are the most common noncommunicable respiratory diseases. To improve early identification and prevention, an overview of risk factors is needed. We therefore aimed to systematically summarise the nongenetic (exposome) risk factors for AOA and COPD. Additionally, we aimed to compare the risk factors for COPD and AOA. Methods In this umbrella review, we searched PubMed for articles from inception until 1 February 2023 and screened the references of relevant articles. We included systematic reviews and meta-analyses of observational epidemiological studies in humans that assessed a minimum of one lifestyle or environmental risk factor for AOA or COPD. Results In total, 75 reviews were included, of which 45 focused on risk factors for COPD, 28 on AOA and two examined both. For asthma, 43 different risk factors were identified while 45 were identified for COPD. For AOA, smoking, a high body mass index (BMI), wood dust exposure and residential chemical exposures, such as formaldehyde exposure or exposure to volatile organic compounds, were amongst the risk factors found. For COPD, smoking, ambient air pollution including nitrogen dioxide, a low BMI, indoor biomass burning, childhood asthma, occupational dust exposure and diet were amongst the risk factors found. Conclusions Many different factors for COPD and asthma have been found, highlighting the differences and similarities. The results of this systematic review can be used to target and identify people at high risk for COPD or AOA.&quot;,&quot;publisher&quot;:&quot;European Respiratory Society&quot;,&quot;issue&quot;:&quot;168&quot;,&quot;volume&quot;:&quot;32&quot;,&quot;container-title-short&quot;:&quot;&quot;},&quot;isTemporary&quot;:false}]},{&quot;citationID&quot;:&quot;MENDELEY_CITATION_97e48e05-42b2-4feb-ab32-502de725f5ae&quot;,&quot;properties&quot;:{&quot;noteIndex&quot;:0},&quot;isEdited&quot;:false,&quot;manualOverride&quot;:{&quot;isManuallyOverridden&quot;:false,&quot;citeprocText&quot;:&quot;[98]&quot;,&quot;manualOverrideText&quot;:&quot;&quot;},&quot;citationTag&quot;:&quot;MENDELEY_CITATION_v3_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&quot;,&quot;citationItems&quot;:[{&quot;id&quot;:&quot;6f123b88-d5c2-341b-9860-94ef0433022a&quot;,&quot;itemData&quot;:{&quot;type&quot;:&quot;article-journal&quot;,&quot;id&quot;:&quot;6f123b88-d5c2-341b-9860-94ef0433022a&quot;,&quot;title&quot;:&quot;Risk factors for chronic obstructive pulmonary disease in never-smokers: A systematic review&quot;,&quot;author&quot;:[{&quot;family&quot;:&quot;Pando-Sandoval&quot;,&quot;given&quot;:&quot;Ana&quot;,&quot;parse-names&quot;:false,&quot;dropping-particle&quot;:&quot;&quot;,&quot;non-dropping-particle&quot;:&quot;&quot;},{&quot;family&quot;:&quot;Ruano-Ravina&quot;,&quot;given&quot;:&quot;Alberto&quot;,&quot;parse-names&quot;:false,&quot;dropping-particle&quot;:&quot;&quot;,&quot;non-dropping-particle&quot;:&quot;&quot;},{&quot;family&quot;:&quot;Candal-Pedreira&quot;,&quot;given&quot;:&quot;Cristina&quot;,&quot;parse-names&quot;:false,&quot;dropping-particle&quot;:&quot;&quot;,&quot;non-dropping-particle&quot;:&quot;&quot;},{&quot;family&quot;:&quot;Rodríguez-García&quot;,&quot;given&quot;:&quot;Carlota&quot;,&quot;parse-names&quot;:false,&quot;dropping-particle&quot;:&quot;&quot;,&quot;non-dropping-particle&quot;:&quot;&quot;},{&quot;family&quot;:&quot;Represas-Represas&quot;,&quot;given&quot;:&quot;Cristina&quot;,&quot;parse-names&quot;:false,&quot;dropping-particle&quot;:&quot;&quot;,&quot;non-dropping-particle&quot;:&quot;&quot;},{&quot;family&quot;:&quot;Golpe&quot;,&quot;given&quot;:&quot;Rafael&quot;,&quot;parse-names&quot;:false,&quot;dropping-particle&quot;:&quot;&quot;,&quot;non-dropping-particle&quot;:&quot;&quot;},{&quot;family&quot;:&quot;Fernández-Villar&quot;,&quot;given&quot;:&quot;Alberto&quot;,&quot;parse-names&quot;:false,&quot;dropping-particle&quot;:&quot;&quot;,&quot;non-dropping-particle&quot;:&quot;&quot;},{&quot;family&quot;:&quot;Pérez-Ríos&quot;,&quot;given&quot;:&quot;Mónica&quot;,&quot;parse-names&quot;:false,&quot;dropping-particle&quot;:&quot;&quot;,&quot;non-dropping-particle&quot;:&quot;&quot;}],&quot;container-title&quot;:&quot;Clinical Respiratory Journal&quot;,&quot;accessed&quot;:{&quot;date-parts&quot;:[[2025,4,24]]},&quot;DOI&quot;:&quot;10.1111/CRJ.13479,&quot;,&quot;ISSN&quot;:&quot;1752699X&quot;,&quot;PMID&quot;:&quot;35142054&quot;,&quot;URL&quot;:&quot;https://pubmed.ncbi.nlm.nih.gov/35142054/&quot;,&quot;issued&quot;:{&quot;date-parts&quot;:[[2022,4,1]]},&quot;page&quot;:&quot;261-275&quot;,&quot;abstract&quot;:&quot;Introduction: Relatively little is known about the risk factors for chronic obstructive pulmonary disease (COPD) in never-smokers, and these factors have not yet been fully characterised. This study therefore sought to analyse COPD risk factors in never-smokers by conducting a systematic review of the literature on the topic. Materials and methods: We performed a search in PubMed (Medline) and Embase from 2000 onwards, to locate studies on COPD in never-smokers. For literature search and evidence synthesis purposes, we used the PRISMA guidelines and drew up a specific quality scale to quantify the evidence of each study included. Results: The bibliographic search retrieved a total of 557 papers, 20 of which fulfilled the designated inclusion criteria (two case–control studies, four cohort studies and 14 cross-sectional studies). These studies were undertaken in Europe, the United States, Latin America, Asia and Africa. The risk factors for never-smokers were varied and ranged from exposure to biomass, occupational exposure and passive smoking to having a history of asthma, tuberculosis or respiratory infections during childhood. The effect of residential radon was unclear. The highest risk was obtained for previous respiratory diseases of any type, with a magnitude much higher than that observed for other risk factors. Conclusions: There are few studies on COPD risk factors in never-smokers. More purpose-designed studies in this subpopulation are thus called for, including well-designed studies to specifically assess if indoor radon has any role on COPD onset.&quot;,&quot;publisher&quot;:&quot;John Wiley and Sons Inc&quot;,&quot;issue&quot;:&quot;4&quot;,&quot;volume&quot;:&quot;16&quot;,&quot;container-title-short&quot;:&quot;&quot;},&quot;isTemporary&quot;:false}]},{&quot;citationID&quot;:&quot;MENDELEY_CITATION_c6a4b320-fe26-4ceb-b48c-d4aab183bf5e&quot;,&quot;properties&quot;:{&quot;noteIndex&quot;:0},&quot;isEdited&quot;:false,&quot;manualOverride&quot;:{&quot;isManuallyOverridden&quot;:false,&quot;citeprocText&quot;:&quot;[6]&quot;,&quot;manualOverrideText&quot;:&quot;&quot;},&quot;citationTag&quot;:&quot;MENDELEY_CITATION_v3_eyJjaXRhdGlvbklEIjoiTUVOREVMRVlfQ0lUQVRJT05fYzZhNGIzMjAtZmUyNi00Y2ViLWI0OGMtZDRhYWIxODNiZjVl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quot;,&quot;citationItems&quot;:[{&quot;id&quot;:&quot;f6bf6552-f6e0-3ff4-a77d-6750f2546b26&quot;,&quot;itemData&quot;:{&quot;type&quot;:&quot;report&quot;,&quot;id&quot;:&quot;f6bf6552-f6e0-3ff4-a77d-6750f2546b26&quot;,&quot;title&quot;:&quot;GOLD Report 2020&quot;,&quot;author&quot;:[{&quot;family&quot;:&quot;Global Initiative for Chronic Obstructive Lung Disease&quot;,&quot;given&quot;:&quot;&quot;,&quot;parse-names&quot;:false,&quot;dropping-particle&quot;:&quot;&quot;,&quot;non-dropping-particle&quot;:&quot;&quot;}],&quot;container-title&quot;:&quot;Global Strategy for the Diagnosis, Management, and Prevention of Chronic Obstructive Pulmonary Disease: 2020 Report&quot;,&quot;URL&quot;:&quot;https://goldcopd.org/wp-content/uploads/2019/12/GOLD-2020-FINAL-ver1.2-03Dec19_WMV.pdf&quot;,&quot;issued&quot;:{&quot;date-parts&quot;:[[2020]]},&quot;number-of-pages&quot;:&quot;141&quot;,&quot;abstract&quot;:&quot;Global Strategy for the Diagnosis, Management, and Prevention of Chronic Obstructive Pulmonary Disease&quot;,&quot;container-title-short&quot;:&quot;&quot;},&quot;isTemporary&quot;:false}]},{&quot;citationID&quot;:&quot;MENDELEY_CITATION_735105dc-d6ff-49a4-b41e-44aa6659ed17&quot;,&quot;properties&quot;:{&quot;noteIndex&quot;:0},&quot;isEdited&quot;:false,&quot;manualOverride&quot;:{&quot;isManuallyOverridden&quot;:false,&quot;citeprocText&quot;:&quot;[99]&quot;,&quot;manualOverrideText&quot;:&quot;&quot;},&quot;citationTag&quot;:&quot;MENDELEY_CITATION_v3_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&quot;,&quot;citationItems&quot;:[{&quot;id&quot;:&quot;c14b9be1-fada-3937-84bc-603ddc1195da&quot;,&quot;itemData&quot;:{&quot;type&quot;:&quot;article-journal&quot;,&quot;id&quot;:&quot;c14b9be1-fada-3937-84bc-603ddc1195da&quot;,&quot;title&quot;:&quot;Sex, Gender, and COPD&quot;,&quot;author&quot;:[{&quot;family&quot;:&quot;DeMeo&quot;,&quot;given&quot;:&quot;Dawn L.&quot;,&quot;parse-names&quot;:false,&quot;dropping-particle&quot;:&quot;&quot;,&quot;non-dropping-particle&quot;:&quot;&quot;}],&quot;container-title&quot;:&quot;Annual review of physiology&quot;,&quot;accessed&quot;:{&quot;date-parts&quot;:[[2025,5,3]]},&quot;DOI&quot;:&quot;10.1146/ANNUREV-PHYSIOL-042022-014322,&quot;,&quot;ISSN&quot;:&quot;15451585&quot;,&quot;PMID&quot;:&quot;39586033&quot;,&quot;URL&quot;:&quot;https://pubmed.ncbi.nlm.nih.gov/39586033/&quot;,&quot;issued&quot;:{&quot;date-parts&quot;:[[2025,2,10]]},&quot;page&quot;:&quot;471-490&quot;,&quot;abstract&quot;:&quot;Sex and gender have emerged as critical considerations relevant to chronic obstructive pulmonary disease (COPD). Sex differences in lung development and physiologic response to hormones and environmental exposures influence COPD susceptibility, progression, severity, morbidity, and mortality. Gender has been poorly measured in the context of COPD, and gendered exposures further impact biology. The hormonal milieu is critical to study across the life course. Differences in immunity and inflammation likely impact sex- and gender-related features of COPD. Emerging evidence from multiple types of omics data is revealing new genes and pathways to consider as relevant to sex- and gender-divergent features of COPD. Much research to date has focused on autosomes, but the growing awareness of a role for allosomes is highlighting knowledge gaps. Reproductive aging impacts lung function and requires more investigation. Network medicine holds promise as an approach to sex and gender omics to uncover drivers of COPD in men and women.&quot;,&quot;publisher&quot;:&quot;Annu Rev Physiol&quot;,&quot;issue&quot;:&quot;1&quot;,&quot;volume&quot;:&quot;87&quot;,&quot;container-title-short&quot;:&quot;Annu Rev Physiol&quot;},&quot;isTemporary&quot;:false}]},{&quot;citationID&quot;:&quot;MENDELEY_CITATION_57c2b254-cc5b-487a-94d8-f2e928bff56b&quot;,&quot;properties&quot;:{&quot;noteIndex&quot;:0},&quot;isEdited&quot;:false,&quot;manualOverride&quot;:{&quot;isManuallyOverridden&quot;:false,&quot;citeprocText&quot;:&quot;[99]&quot;,&quot;manualOverrideText&quot;:&quot;&quot;},&quot;citationTag&quot;:&quot;MENDELEY_CITATION_v3_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&quot;,&quot;citationItems&quot;:[{&quot;id&quot;:&quot;c14b9be1-fada-3937-84bc-603ddc1195da&quot;,&quot;itemData&quot;:{&quot;type&quot;:&quot;article-journal&quot;,&quot;id&quot;:&quot;c14b9be1-fada-3937-84bc-603ddc1195da&quot;,&quot;title&quot;:&quot;Sex, Gender, and COPD&quot;,&quot;author&quot;:[{&quot;family&quot;:&quot;DeMeo&quot;,&quot;given&quot;:&quot;Dawn L.&quot;,&quot;parse-names&quot;:false,&quot;dropping-particle&quot;:&quot;&quot;,&quot;non-dropping-particle&quot;:&quot;&quot;}],&quot;container-title&quot;:&quot;Annual review of physiology&quot;,&quot;accessed&quot;:{&quot;date-parts&quot;:[[2025,5,3]]},&quot;DOI&quot;:&quot;10.1146/ANNUREV-PHYSIOL-042022-014322,&quot;,&quot;ISSN&quot;:&quot;15451585&quot;,&quot;PMID&quot;:&quot;39586033&quot;,&quot;URL&quot;:&quot;https://pubmed.ncbi.nlm.nih.gov/39586033/&quot;,&quot;issued&quot;:{&quot;date-parts&quot;:[[2025,2,10]]},&quot;page&quot;:&quot;471-490&quot;,&quot;abstract&quot;:&quot;Sex and gender have emerged as critical considerations relevant to chronic obstructive pulmonary disease (COPD). Sex differences in lung development and physiologic response to hormones and environmental exposures influence COPD susceptibility, progression, severity, morbidity, and mortality. Gender has been poorly measured in the context of COPD, and gendered exposures further impact biology. The hormonal milieu is critical to study across the life course. Differences in immunity and inflammation likely impact sex- and gender-related features of COPD. Emerging evidence from multiple types of omics data is revealing new genes and pathways to consider as relevant to sex- and gender-divergent features of COPD. Much research to date has focused on autosomes, but the growing awareness of a role for allosomes is highlighting knowledge gaps. Reproductive aging impacts lung function and requires more investigation. Network medicine holds promise as an approach to sex and gender omics to uncover drivers of COPD in men and women.&quot;,&quot;publisher&quot;:&quot;Annu Rev Physiol&quot;,&quot;issue&quot;:&quot;1&quot;,&quot;volume&quot;:&quot;87&quot;,&quot;container-title-short&quot;:&quot;Annu Rev Physiol&quot;},&quot;isTemporary&quot;:false}]},{&quot;citationID&quot;:&quot;MENDELEY_CITATION_0b89f039-257a-4937-b9d1-7cd3a2633288&quot;,&quot;properties&quot;:{&quot;noteIndex&quot;:0},&quot;isEdited&quot;:false,&quot;manualOverride&quot;:{&quot;isManuallyOverridden&quot;:false,&quot;citeprocText&quot;:&quot;[100]&quot;,&quot;manualOverrideText&quot;:&quot;&quot;},&quot;citationTag&quot;:&quot;MENDELEY_CITATION_v3_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&quot;,&quot;citationItems&quot;:[{&quot;id&quot;:&quot;24b6a98f-c4e1-36e2-96fa-bd7432057cf9&quot;,&quot;itemData&quot;:{&quot;type&quot;:&quot;article-journal&quot;,&quot;id&quot;:&quot;24b6a98f-c4e1-36e2-96fa-bd7432057cf9&quot;,&quot;title&quot;:&quot;Risk of COPD due to indoor air pollution from biomass cooking fuel: a systematic review and meta-analysis&quot;,&quot;author&quot;:[{&quot;family&quot;:&quot;Pathak&quot;,&quot;given&quot;:&quot;Utkarsha&quot;,&quot;parse-names&quot;:false,&quot;dropping-particle&quot;:&quot;&quot;,&quot;non-dropping-particle&quot;:&quot;&quot;},{&quot;family&quot;:&quot;Gupta&quot;,&quot;given&quot;:&quot;Naresh Chandra&quot;,&quot;parse-names&quot;:false,&quot;dropping-particle&quot;:&quot;&quot;,&quot;non-dropping-particle&quot;:&quot;&quot;},{&quot;family&quot;:&quot;Suri&quot;,&quot;given&quot;:&quot;Jagdish Chandra&quot;,&quot;parse-names&quot;:false,&quot;dropping-particle&quot;:&quot;&quot;,&quot;non-dropping-particle&quot;:&quot;&quot;}],&quot;container-title&quot;:&quot;International journal of environmental health research&quot;,&quot;accessed&quot;:{&quot;date-parts&quot;:[[2024,11,30]]},&quot;DOI&quot;:&quot;10.1080/09603123.2019.1575951&quot;,&quot;ISSN&quot;:&quot;1369-1619&quot;,&quot;PMID&quot;:&quot;30754998&quot;,&quot;URL&quot;:&quot;https://pubmed.ncbi.nlm.nih.gov/30754998/&quot;,&quot;issued&quot;:{&quot;date-parts&quot;:[[2020,1,2]]},&quot;page&quot;:&quot;75-88&quot;,&quot;abstract&quot;:&quot;Chronic obstructive pulmonary disease (COPD) is one of the leading causes of mortality in developing nations. In this meta-analysis, we aimed to determine the association between indoor air pollution and risk of COPD. Database searches were conducted using indoor air pollution, biomass and COPD related terms to identify relevant articles. The eligible studies were case-control, retrospective cohort, cross-sectional studies and conducted in adults that assessed COPD using any diagnostic criteria. A total of 35 studies with 73,122 participants were included. The pooled analysis showed that exposure to indoor air pollution due to solid biomass fuels increased risk of COPD by 2.65 (95% confidence interval [CI] 2.13–3.31; n = 73,122) and chronic bronchitis by 2.89 (95% CI 2.18–3.82) times more compared to non-biomass fuels. The risk of COPD was higher in Africa region (odds ratio [OR] 3.19), Asia (OR 2.88), South America (OR 2.15), Europe (OR 2.30) and North America (OR 2.14). The results of our meta-analysis indicated that exposure to indoor air pollution due to biomass smoke is strongly associated with COPD. Abbreviations: CS: cross-sectional; CC: case-control; NR: not reported; ATS: American Thoracic Society; BMRC: British Medical Research Council; GOLD: Global Initiative for Obstructive Lung Disease; IAP: indoor air pollution; BMF: biomass fuel; CB: chronic bronchitis; OR: odds ratio; UCI; upper confidence interval; LCI: lower confidence interval; COPD: chronic obstructive pulmonary disease.&quot;,&quot;publisher&quot;:&quot;Int J Environ Health Res&quot;,&quot;issue&quot;:&quot;1&quot;,&quot;volume&quot;:&quot;30&quot;,&quot;container-title-short&quot;:&quot;Int J Environ Health Res&quot;},&quot;isTemporary&quot;:false}]},{&quot;citationID&quot;:&quot;MENDELEY_CITATION_b0940590-4e8b-4674-a97b-52b079c4941b&quot;,&quot;properties&quot;:{&quot;noteIndex&quot;:0},&quot;isEdited&quot;:false,&quot;manualOverride&quot;:{&quot;isManuallyOverridden&quot;:false,&quot;citeprocText&quot;:&quot;[99]&quot;,&quot;manualOverrideText&quot;:&quot;&quot;},&quot;citationTag&quot;:&quot;MENDELEY_CITATION_v3_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&quot;,&quot;citationItems&quot;:[{&quot;id&quot;:&quot;c14b9be1-fada-3937-84bc-603ddc1195da&quot;,&quot;itemData&quot;:{&quot;type&quot;:&quot;article-journal&quot;,&quot;id&quot;:&quot;c14b9be1-fada-3937-84bc-603ddc1195da&quot;,&quot;title&quot;:&quot;Sex, Gender, and COPD&quot;,&quot;author&quot;:[{&quot;family&quot;:&quot;DeMeo&quot;,&quot;given&quot;:&quot;Dawn L.&quot;,&quot;parse-names&quot;:false,&quot;dropping-particle&quot;:&quot;&quot;,&quot;non-dropping-particle&quot;:&quot;&quot;}],&quot;container-title&quot;:&quot;Annual review of physiology&quot;,&quot;accessed&quot;:{&quot;date-parts&quot;:[[2025,5,3]]},&quot;DOI&quot;:&quot;10.1146/ANNUREV-PHYSIOL-042022-014322,&quot;,&quot;ISSN&quot;:&quot;15451585&quot;,&quot;PMID&quot;:&quot;39586033&quot;,&quot;URL&quot;:&quot;https://pubmed.ncbi.nlm.nih.gov/39586033/&quot;,&quot;issued&quot;:{&quot;date-parts&quot;:[[2025,2,10]]},&quot;page&quot;:&quot;471-490&quot;,&quot;abstract&quot;:&quot;Sex and gender have emerged as critical considerations relevant to chronic obstructive pulmonary disease (COPD). Sex differences in lung development and physiologic response to hormones and environmental exposures influence COPD susceptibility, progression, severity, morbidity, and mortality. Gender has been poorly measured in the context of COPD, and gendered exposures further impact biology. The hormonal milieu is critical to study across the life course. Differences in immunity and inflammation likely impact sex- and gender-related features of COPD. Emerging evidence from multiple types of omics data is revealing new genes and pathways to consider as relevant to sex- and gender-divergent features of COPD. Much research to date has focused on autosomes, but the growing awareness of a role for allosomes is highlighting knowledge gaps. Reproductive aging impacts lung function and requires more investigation. Network medicine holds promise as an approach to sex and gender omics to uncover drivers of COPD in men and women.&quot;,&quot;publisher&quot;:&quot;Annu Rev Physiol&quot;,&quot;issue&quot;:&quot;1&quot;,&quot;volume&quot;:&quot;87&quot;,&quot;container-title-short&quot;:&quot;Annu Rev Physiol&quot;},&quot;isTemporary&quot;:false}]},{&quot;citationID&quot;:&quot;MENDELEY_CITATION_8a51cdb5-6aa7-4350-8e62-fa4e4237a006&quot;,&quot;properties&quot;:{&quot;noteIndex&quot;:0},&quot;isEdited&quot;:false,&quot;manualOverride&quot;:{&quot;isManuallyOverridden&quot;:false,&quot;citeprocText&quot;:&quot;[96,101–103]&quot;,&quot;manualOverrideText&quot;:&quot;&quot;},&quot;citationTag&quot;:&quot;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&quot;,&quot;citationItems&quot;:[{&quot;id&quot;:&quot;aebf6d6d-c2a9-3033-a4ab-4abb19da08b6&quot;,&quot;itemData&quot;:{&quot;type&quot;:&quot;article-journal&quot;,&quot;id&quot;:&quot;aebf6d6d-c2a9-3033-a4ab-4abb19da08b6&quot;,&quot;title&quot;:&quot;The Role of Nutrition in the Development and Management of Chronic Obstructive Pulmonary Disease&quot;,&quot;author&quot;:[{&quot;family&quot;:&quot;Heefner&quot;,&quot;given&quot;:&quot;Allison&quot;,&quot;parse-names&quot;:false,&quot;dropping-particle&quot;:&quot;&quot;,&quot;non-dropping-particle&quot;:&quot;&quot;},{&quot;family&quot;:&quot;Simovic&quot;,&quot;given&quot;:&quot;Tijana&quot;,&quot;parse-names&quot;:false,&quot;dropping-particle&quot;:&quot;&quot;,&quot;non-dropping-particle&quot;:&quot;&quot;},{&quot;family&quot;:&quot;Mize&quot;,&quot;given&quot;:&quot;Kasey&quot;,&quot;parse-names&quot;:false,&quot;dropping-particle&quot;:&quot;&quot;,&quot;non-dropping-particle&quot;:&quot;&quot;},{&quot;family&quot;:&quot;Rodriguez-Miguelez&quot;,&quot;given&quot;:&quot;Paula&quot;,&quot;parse-names&quot;:false,&quot;dropping-particle&quot;:&quot;&quot;,&quot;non-dropping-particle&quot;:&quot;&quot;}],&quot;container-title&quot;:&quot;Nutrients&quot;,&quot;accessed&quot;:{&quot;date-parts&quot;:[[2025,4,24]]},&quot;DOI&quot;:&quot;10.3390/NU16081136,&quot;,&quot;ISSN&quot;:&quot;20726643&quot;,&quot;PMID&quot;:&quot;38674827&quot;,&quot;URL&quot;:&quot;https://pubmed.ncbi.nlm.nih.gov/38674827/&quot;,&quot;issued&quot;:{&quot;date-parts&quot;:[[2024,4,11]]},&quot;abstract&quot;:&quot;Chronic obstructive pulmonary disease (COPD) is a prevalent lung condition associated with significant morbidity and mortality. The management of COPD classically involves pulmonary rehabilitation, bronchodilators, and corticosteroids. An aspect of COPD management that is currently lacking in the literature is nutritional management, despite the prevalence of inadequate nutritional status in patients with COPD. In addition, certain nutritional imbalances have been reported to increase the risk of COPD development. This review summarizes the current literature on the role diet and nutrients may play in the risk and management of COPD development.&quot;,&quot;publisher&quot;:&quot;Nutrients&quot;,&quot;issue&quot;:&quot;8&quot;,&quot;volume&quot;:&quot;16&quot;,&quot;container-title-short&quot;:&quot;Nutrients&quot;},&quot;isTemporary&quot;:false},{&quot;id&quot;:&quot;37b1dad0-ad6a-378b-ad9c-0a2ac1660a00&quot;,&quot;itemData&quot;:{&quot;type&quot;:&quot;article-journal&quot;,&quot;id&quot;:&quot;37b1dad0-ad6a-378b-ad9c-0a2ac1660a00&quot;,&quot;title&quot;:&quot;Identifying risk factors for COPD and adult-onset asthma: an umbrella review&quot;,&quot;author&quot;:[{&quot;family&quot;:&quot;Holtjer&quot;,&quot;given&quot;:&quot;Judith C.S.&quot;,&quot;parse-names&quot;:false,&quot;dropping-particle&quot;:&quot;&quot;,&quot;non-dropping-particle&quot;:&quot;&quot;},{&quot;family&quot;:&quot;Bloemsma&quot;,&quot;given&quot;:&quot;Lizan D.&quot;,&quot;parse-names&quot;:false,&quot;dropping-particle&quot;:&quot;&quot;,&quot;non-dropping-particle&quot;:&quot;&quot;},{&quot;family&quot;:&quot;Beijers&quot;,&quot;given&quot;:&quot;Rosanne J.H.C.G.&quot;,&quot;parse-names&quot;:false,&quot;dropping-particle&quot;:&quot;&quot;,&quot;non-dropping-particle&quot;:&quot;&quot;},{&quot;family&quot;:&quot;Cornelissen&quot;,&quot;given&quot;:&quot;Merel E.B.&quot;,&quot;parse-names&quot;:false,&quot;dropping-particle&quot;:&quot;&quot;,&quot;non-dropping-particle&quot;:&quot;&quot;},{&quot;family&quot;:&quot;Hilvering&quot;,&quot;given&quot;:&quot;Bart&quot;,&quot;parse-names&quot;:false,&quot;dropping-particle&quot;:&quot;&quot;,&quot;non-dropping-particle&quot;:&quot;&quot;},{&quot;family&quot;:&quot;Houweling&quot;,&quot;given&quot;:&quot;Laura&quot;,&quot;parse-names&quot;:false,&quot;dropping-particle&quot;:&quot;&quot;,&quot;non-dropping-particle&quot;:&quot;&quot;},{&quot;family&quot;:&quot;Vermeulen&quot;,&quot;given&quot;:&quot;Roel C.H.&quot;,&quot;parse-names&quot;:false,&quot;dropping-particle&quot;:&quot;&quot;,&quot;non-dropping-particle&quot;:&quot;&quot;},{&quot;family&quot;:&quot;Downward&quot;,&quot;given&quot;:&quot;George S.&quot;,&quot;parse-names&quot;:false,&quot;dropping-particle&quot;:&quot;&quot;,&quot;non-dropping-particle&quot;:&quot;&quot;},{&quot;family&quot;:&quot;Zee&quot;,&quot;given&quot;:&quot;Anke Hilse Maitland&quot;,&quot;parse-names&quot;:false,&quot;dropping-particle&quot;:&quot;Van&quot;,&quot;non-dropping-particle&quot;:&quot;der&quot;}],&quot;container-title&quot;:&quot;European Respiratory Review&quot;,&quot;accessed&quot;:{&quot;date-parts&quot;:[[2025,4,24]]},&quot;DOI&quot;:&quot;10.1183/16000617.0009-2023,&quot;,&quot;ISSN&quot;:&quot;16000617&quot;,&quot;PMID&quot;:&quot;37137510&quot;,&quot;URL&quot;:&quot;https://pubmed.ncbi.nlm.nih.gov/37137510/&quot;,&quot;issued&quot;:{&quot;date-parts&quot;:[[2023,6,30]]},&quot;abstract&quot;:&quot;Background COPD and adult-onset asthma (AOA) are the most common noncommunicable respiratory diseases. To improve early identification and prevention, an overview of risk factors is needed. We therefore aimed to systematically summarise the nongenetic (exposome) risk factors for AOA and COPD. Additionally, we aimed to compare the risk factors for COPD and AOA. Methods In this umbrella review, we searched PubMed for articles from inception until 1 February 2023 and screened the references of relevant articles. We included systematic reviews and meta-analyses of observational epidemiological studies in humans that assessed a minimum of one lifestyle or environmental risk factor for AOA or COPD. Results In total, 75 reviews were included, of which 45 focused on risk factors for COPD, 28 on AOA and two examined both. For asthma, 43 different risk factors were identified while 45 were identified for COPD. For AOA, smoking, a high body mass index (BMI), wood dust exposure and residential chemical exposures, such as formaldehyde exposure or exposure to volatile organic compounds, were amongst the risk factors found. For COPD, smoking, ambient air pollution including nitrogen dioxide, a low BMI, indoor biomass burning, childhood asthma, occupational dust exposure and diet were amongst the risk factors found. Conclusions Many different factors for COPD and asthma have been found, highlighting the differences and similarities. The results of this systematic review can be used to target and identify people at high risk for COPD or AOA.&quot;,&quot;publisher&quot;:&quot;European Respiratory Society&quot;,&quot;issue&quot;:&quot;168&quot;,&quot;volume&quot;:&quot;32&quot;,&quot;container-title-short&quot;:&quot;&quot;},&quot;isTemporary&quot;:false},{&quot;id&quot;:&quot;9ed62eae-8290-3819-b946-2c0aeb42cc70&quot;,&quot;itemData&quot;:{&quot;type&quot;:&quot;article-journal&quot;,&quot;id&quot;:&quot;9ed62eae-8290-3819-b946-2c0aeb42cc70&quot;,&quot;title&quot;:&quot;Combined Lifestyle Interventions in the Prevention and Management of Asthma and COPD: A Systematic Review&quot;,&quot;author&quot;:[{&quot;family&quot;:&quot;Born&quot;,&quot;given&quot;:&quot;Charlotte D.C.&quot;,&quot;parse-names&quot;:false,&quot;dropping-particle&quot;:&quot;&quot;,&quot;non-dropping-particle&quot;:&quot;&quot;},{&quot;family&quot;:&quot;Bhadra&quot;,&quot;given&quot;:&quot;Rohini&quot;,&quot;parse-names&quot;:false,&quot;dropping-particle&quot;:&quot;&quot;,&quot;non-dropping-particle&quot;:&quot;&quot;},{&quot;family&quot;:&quot;D'Souza&quot;,&quot;given&quot;:&quot;George&quot;,&quot;parse-names&quot;:false,&quot;dropping-particle&quot;:&quot;&quot;,&quot;non-dropping-particle&quot;:&quot;&quot;},{&quot;family&quot;:&quot;Kremers&quot;,&quot;given&quot;:&quot;Stef P.J.&quot;,&quot;parse-names&quot;:false,&quot;dropping-particle&quot;:&quot;&quot;,&quot;non-dropping-particle&quot;:&quot;&quot;},{&quot;family&quot;:&quot;Sambashivaiah&quot;,&quot;given&quot;:&quot;Sucharita&quot;,&quot;parse-names&quot;:false,&quot;dropping-particle&quot;:&quot;&quot;,&quot;non-dropping-particle&quot;:&quot;&quot;},{&quot;family&quot;:&quot;Schols&quot;,&quot;given&quot;:&quot;Annemie M.W.J.&quot;,&quot;parse-names&quot;:false,&quot;dropping-particle&quot;:&quot;&quot;,&quot;non-dropping-particle&quot;:&quot;&quot;},{&quot;family&quot;:&quot;Crutzen&quot;,&quot;given&quot;:&quot;Rik&quot;,&quot;parse-names&quot;:false,&quot;dropping-particle&quot;:&quot;&quot;,&quot;non-dropping-particle&quot;:&quot;&quot;},{&quot;family&quot;:&quot;Beijers&quot;,&quot;given&quot;:&quot;Rosanne J.H.C.G.&quot;,&quot;parse-names&quot;:false,&quot;dropping-particle&quot;:&quot;&quot;,&quot;non-dropping-particle&quot;:&quot;&quot;}],&quot;container-title&quot;:&quot;Nutrients&quot;,&quot;accessed&quot;:{&quot;date-parts&quot;:[[2025,5,4]]},&quot;DOI&quot;:&quot;10.3390/NU16101515/S1&quot;,&quot;ISSN&quot;:&quot;20726643&quot;,&quot;PMID&quot;:&quot;38794757&quot;,&quot;URL&quot;:&quot;https://pmc.ncbi.nlm.nih.gov/articles/PMC11124109/&quot;,&quot;issued&quot;:{&quot;date-parts&quot;:[[2024,5,17]]},&quot;page&quot;:&quot;1515&quot;,&quot;abstract&quot;:&quot;(1) Background: A healthy lifestyle has a protective role against the onset and management of asthma and chronic obstructive pulmonary disease (COPD). Therefore, combined lifestyle interventions (CLIs) are a potentially valuable prevention approach. This review aims to provide an overview of existing CLIs for the prevention and management of asthma or COPD. (2) Methods: A systematic literature search was conducted using PubMed, EMBASE, and PsycInfo. Studies were included if CLIs targeted at least two lifestyle factors. (3) Results: Among the 56 included studies, 9 addressed asthma and 47 addressed COPD management, with no studies focusing on prevention. For both conditions, the most prevalent combination of lifestyle targets was diet and physical activity (PA), often combined with smoking cessation in COPD. The studied CLIs led to improvements in quality of life, respiratory symptoms, body mass index/weight, and exercise capacity. Behavioural changes were only measured in a limited number of studies and mainly showed improvements in dietary intake and PA level. (4) Conclusions: CLIs are effective within asthma and COPD management. Next to optimising the content and implementation of CLIs, these positive results warrant paying more attention to CLIs for persons with an increased risk profile for these chronic respiratory diseases.&quot;,&quot;issue&quot;:&quot;10&quot;,&quot;volume&quot;:&quot;16&quot;,&quot;container-title-short&quot;:&quot;Nutrients&quot;},&quot;isTemporary&quot;:false},{&quot;id&quot;:&quot;8b86266f-b22b-3aaf-9f1c-8cf049bcd4ac&quot;,&quot;itemData&quot;:{&quot;type&quot;:&quot;article-journal&quot;,&quot;id&quot;:&quot;8b86266f-b22b-3aaf-9f1c-8cf049bcd4ac&quot;,&quot;title&quot;:&quot;The role of diet and nutrition in the management of COPD&quot;,&quot;author&quot;:[{&quot;family&quot;:&quot;Beijers&quot;,&quot;given&quot;:&quot;Rosanne J.H.C.G.&quot;,&quot;parse-names&quot;:false,&quot;dropping-particle&quot;:&quot;&quot;,&quot;non-dropping-particle&quot;:&quot;&quot;},{&quot;family&quot;:&quot;Steiner&quot;,&quot;given&quot;:&quot;Michael C.&quot;,&quot;parse-names&quot;:false,&quot;dropping-particle&quot;:&quot;&quot;,&quot;non-dropping-particle&quot;:&quot;&quot;},{&quot;family&quot;:&quot;Schols&quot;,&quot;given&quot;:&quot;Annemie M.W.J.&quot;,&quot;parse-names&quot;:false,&quot;dropping-particle&quot;:&quot;&quot;,&quot;non-dropping-particle&quot;:&quot;&quot;}],&quot;container-title&quot;:&quot;European Respiratory Review&quot;,&quot;accessed&quot;:{&quot;date-parts&quot;:[[2025,5,4]]},&quot;DOI&quot;:&quot;10.1183/16000617.0003-2023&quot;,&quot;ISSN&quot;:&quot;16000617&quot;,&quot;PMID&quot;:&quot;37286221&quot;,&quot;URL&quot;:&quot;https://pmc.ncbi.nlm.nih.gov/articles/PMC10245132/&quot;,&quot;issued&quot;:{&quot;date-parts&quot;:[[2023,6,30]]},&quot;page&quot;:&quot;230003&quot;,&quot;abstract&quot;:&quot;In 2014, the European Respiratory Society published a statement on nutritional assessment and therapy in COPD. Since then, increasing research has been performed on the role of diet and nutrition in the prevention and management of COPD. Here, we provide an overview of recent scientific advances and clinical implications. Evidence for a potential role of diet and nutrition as a risk factor in the development of COPD has been accumulating and is reflected in the dietary patterns of patients with COPD. Consuming a healthy diet should, therefore, be promoted in patients with COPD. Distinct COPD phenotypes have been identified incorporating nutritional status, ranging from cachexia and frailty to obesity. The importance of body composition assessment and the need for tailored nutritional screening instruments is further highlighted. Dietary interventions and targeted single or multi-nutrient supplementation can be beneficial when optimal timing is considered. The therapeutic window of opportunity for nutritional interventions during and recovering from an acute exacerbation and hospitalisation is underexplored&quot;,&quot;publisher&quot;:&quot;European Respiratory Society&quot;,&quot;issue&quot;:&quot;168&quot;,&quot;volume&quot;:&quot;32&quot;,&quot;container-title-short&quot;:&quot;&quot;},&quot;isTemporary&quot;:false}]},{&quot;citationID&quot;:&quot;MENDELEY_CITATION_0855b1f8-242a-44cb-8006-3794dc972871&quot;,&quot;properties&quot;:{&quot;noteIndex&quot;:0},&quot;isEdited&quot;:false,&quot;manualOverride&quot;:{&quot;isManuallyOverridden&quot;:false,&quot;citeprocText&quot;:&quot;[102]&quot;,&quot;manualOverrideText&quot;:&quot;&quot;},&quot;citationTag&quot;:&quot;MENDELEY_CITATION_v3_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&quot;,&quot;citationItems&quot;:[{&quot;id&quot;:&quot;9ed62eae-8290-3819-b946-2c0aeb42cc70&quot;,&quot;itemData&quot;:{&quot;type&quot;:&quot;article-journal&quot;,&quot;id&quot;:&quot;9ed62eae-8290-3819-b946-2c0aeb42cc70&quot;,&quot;title&quot;:&quot;Combined Lifestyle Interventions in the Prevention and Management of Asthma and COPD: A Systematic Review&quot;,&quot;author&quot;:[{&quot;family&quot;:&quot;Born&quot;,&quot;given&quot;:&quot;Charlotte D.C.&quot;,&quot;parse-names&quot;:false,&quot;dropping-particle&quot;:&quot;&quot;,&quot;non-dropping-particle&quot;:&quot;&quot;},{&quot;family&quot;:&quot;Bhadra&quot;,&quot;given&quot;:&quot;Rohini&quot;,&quot;parse-names&quot;:false,&quot;dropping-particle&quot;:&quot;&quot;,&quot;non-dropping-particle&quot;:&quot;&quot;},{&quot;family&quot;:&quot;D'Souza&quot;,&quot;given&quot;:&quot;George&quot;,&quot;parse-names&quot;:false,&quot;dropping-particle&quot;:&quot;&quot;,&quot;non-dropping-particle&quot;:&quot;&quot;},{&quot;family&quot;:&quot;Kremers&quot;,&quot;given&quot;:&quot;Stef P.J.&quot;,&quot;parse-names&quot;:false,&quot;dropping-particle&quot;:&quot;&quot;,&quot;non-dropping-particle&quot;:&quot;&quot;},{&quot;family&quot;:&quot;Sambashivaiah&quot;,&quot;given&quot;:&quot;Sucharita&quot;,&quot;parse-names&quot;:false,&quot;dropping-particle&quot;:&quot;&quot;,&quot;non-dropping-particle&quot;:&quot;&quot;},{&quot;family&quot;:&quot;Schols&quot;,&quot;given&quot;:&quot;Annemie M.W.J.&quot;,&quot;parse-names&quot;:false,&quot;dropping-particle&quot;:&quot;&quot;,&quot;non-dropping-particle&quot;:&quot;&quot;},{&quot;family&quot;:&quot;Crutzen&quot;,&quot;given&quot;:&quot;Rik&quot;,&quot;parse-names&quot;:false,&quot;dropping-particle&quot;:&quot;&quot;,&quot;non-dropping-particle&quot;:&quot;&quot;},{&quot;family&quot;:&quot;Beijers&quot;,&quot;given&quot;:&quot;Rosanne J.H.C.G.&quot;,&quot;parse-names&quot;:false,&quot;dropping-particle&quot;:&quot;&quot;,&quot;non-dropping-particle&quot;:&quot;&quot;}],&quot;container-title&quot;:&quot;Nutrients&quot;,&quot;container-title-short&quot;:&quot;Nutrients&quot;,&quot;accessed&quot;:{&quot;date-parts&quot;:[[2025,5,4]]},&quot;DOI&quot;:&quot;10.3390/NU16101515/S1&quot;,&quot;ISSN&quot;:&quot;20726643&quot;,&quot;PMID&quot;:&quot;38794757&quot;,&quot;URL&quot;:&quot;https://pmc.ncbi.nlm.nih.gov/articles/PMC11124109/&quot;,&quot;issued&quot;:{&quot;date-parts&quot;:[[2024,5,17]]},&quot;page&quot;:&quot;1515&quot;,&quot;abstract&quot;:&quot;(1) Background: A healthy lifestyle has a protective role against the onset and management of asthma and chronic obstructive pulmonary disease (COPD). Therefore, combined lifestyle interventions (CLIs) are a potentially valuable prevention approach. This review aims to provide an overview of existing CLIs for the prevention and management of asthma or COPD. (2) Methods: A systematic literature search was conducted using PubMed, EMBASE, and PsycInfo. Studies were included if CLIs targeted at least two lifestyle factors. (3) Results: Among the 56 included studies, 9 addressed asthma and 47 addressed COPD management, with no studies focusing on prevention. For both conditions, the most prevalent combination of lifestyle targets was diet and physical activity (PA), often combined with smoking cessation in COPD. The studied CLIs led to improvements in quality of life, respiratory symptoms, body mass index/weight, and exercise capacity. Behavioural changes were only measured in a limited number of studies and mainly showed improvements in dietary intake and PA level. (4) Conclusions: CLIs are effective within asthma and COPD management. Next to optimising the content and implementation of CLIs, these positive results warrant paying more attention to CLIs for persons with an increased risk profile for these chronic respiratory diseases.&quot;,&quot;issue&quot;:&quot;10&quot;,&quot;volume&quot;:&quot;16&quot;},&quot;isTemporary&quot;:false}]},{&quot;citationID&quot;:&quot;MENDELEY_CITATION_b8943a24-88dc-498b-b537-c8be28730ca4&quot;,&quot;properties&quot;:{&quot;noteIndex&quot;:0},&quot;isEdited&quot;:false,&quot;manualOverride&quot;:{&quot;isManuallyOverridden&quot;:false,&quot;citeprocText&quot;:&quot;[103]&quot;,&quot;manualOverrideText&quot;:&quot;&quot;},&quot;citationTag&quot;:&quot;MENDELEY_CITATION_v3_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&quot;,&quot;citationItems&quot;:[{&quot;id&quot;:&quot;8b86266f-b22b-3aaf-9f1c-8cf049bcd4ac&quot;,&quot;itemData&quot;:{&quot;type&quot;:&quot;article-journal&quot;,&quot;id&quot;:&quot;8b86266f-b22b-3aaf-9f1c-8cf049bcd4ac&quot;,&quot;title&quot;:&quot;The role of diet and nutrition in the management of COPD&quot;,&quot;author&quot;:[{&quot;family&quot;:&quot;Beijers&quot;,&quot;given&quot;:&quot;Rosanne J.H.C.G.&quot;,&quot;parse-names&quot;:false,&quot;dropping-particle&quot;:&quot;&quot;,&quot;non-dropping-particle&quot;:&quot;&quot;},{&quot;family&quot;:&quot;Steiner&quot;,&quot;given&quot;:&quot;Michael C.&quot;,&quot;parse-names&quot;:false,&quot;dropping-particle&quot;:&quot;&quot;,&quot;non-dropping-particle&quot;:&quot;&quot;},{&quot;family&quot;:&quot;Schols&quot;,&quot;given&quot;:&quot;Annemie M.W.J.&quot;,&quot;parse-names&quot;:false,&quot;dropping-particle&quot;:&quot;&quot;,&quot;non-dropping-particle&quot;:&quot;&quot;}],&quot;container-title&quot;:&quot;European Respiratory Review&quot;,&quot;accessed&quot;:{&quot;date-parts&quot;:[[2025,5,4]]},&quot;DOI&quot;:&quot;10.1183/16000617.0003-2023&quot;,&quot;ISSN&quot;:&quot;16000617&quot;,&quot;PMID&quot;:&quot;37286221&quot;,&quot;URL&quot;:&quot;https://pmc.ncbi.nlm.nih.gov/articles/PMC10245132/&quot;,&quot;issued&quot;:{&quot;date-parts&quot;:[[2023,6,30]]},&quot;page&quot;:&quot;230003&quot;,&quot;abstract&quot;:&quot;In 2014, the European Respiratory Society published a statement on nutritional assessment and therapy in COPD. Since then, increasing research has been performed on the role of diet and nutrition in the prevention and management of COPD. Here, we provide an overview of recent scientific advances and clinical implications. Evidence for a potential role of diet and nutrition as a risk factor in the development of COPD has been accumulating and is reflected in the dietary patterns of patients with COPD. Consuming a healthy diet should, therefore, be promoted in patients with COPD. Distinct COPD phenotypes have been identified incorporating nutritional status, ranging from cachexia and frailty to obesity. The importance of body composition assessment and the need for tailored nutritional screening instruments is further highlighted. Dietary interventions and targeted single or multi-nutrient supplementation can be beneficial when optimal timing is considered. The therapeutic window of opportunity for nutritional interventions during and recovering from an acute exacerbation and hospitalisation is underexplored&quot;,&quot;publisher&quot;:&quot;European Respiratory Society&quot;,&quot;issue&quot;:&quot;168&quot;,&quot;volume&quot;:&quot;32&quot;,&quot;container-title-short&quot;:&quot;&quot;},&quot;isTemporary&quot;:false}]},{&quot;citationID&quot;:&quot;MENDELEY_CITATION_9369b486-a651-4057-9bbd-074a396be22f&quot;,&quot;properties&quot;:{&quot;noteIndex&quot;:0},&quot;isEdited&quot;:false,&quot;manualOverride&quot;:{&quot;isManuallyOverridden&quot;:false,&quot;citeprocText&quot;:&quot;[103]&quot;,&quot;manualOverrideText&quot;:&quot;&quot;},&quot;citationTag&quot;:&quot;MENDELEY_CITATION_v3_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&quot;,&quot;citationItems&quot;:[{&quot;id&quot;:&quot;8b86266f-b22b-3aaf-9f1c-8cf049bcd4ac&quot;,&quot;itemData&quot;:{&quot;type&quot;:&quot;article-journal&quot;,&quot;id&quot;:&quot;8b86266f-b22b-3aaf-9f1c-8cf049bcd4ac&quot;,&quot;title&quot;:&quot;The role of diet and nutrition in the management of COPD&quot;,&quot;author&quot;:[{&quot;family&quot;:&quot;Beijers&quot;,&quot;given&quot;:&quot;Rosanne J.H.C.G.&quot;,&quot;parse-names&quot;:false,&quot;dropping-particle&quot;:&quot;&quot;,&quot;non-dropping-particle&quot;:&quot;&quot;},{&quot;family&quot;:&quot;Steiner&quot;,&quot;given&quot;:&quot;Michael C.&quot;,&quot;parse-names&quot;:false,&quot;dropping-particle&quot;:&quot;&quot;,&quot;non-dropping-particle&quot;:&quot;&quot;},{&quot;family&quot;:&quot;Schols&quot;,&quot;given&quot;:&quot;Annemie M.W.J.&quot;,&quot;parse-names&quot;:false,&quot;dropping-particle&quot;:&quot;&quot;,&quot;non-dropping-particle&quot;:&quot;&quot;}],&quot;container-title&quot;:&quot;European Respiratory Review&quot;,&quot;accessed&quot;:{&quot;date-parts&quot;:[[2025,5,4]]},&quot;DOI&quot;:&quot;10.1183/16000617.0003-2023&quot;,&quot;ISSN&quot;:&quot;16000617&quot;,&quot;PMID&quot;:&quot;37286221&quot;,&quot;URL&quot;:&quot;https://pmc.ncbi.nlm.nih.gov/articles/PMC10245132/&quot;,&quot;issued&quot;:{&quot;date-parts&quot;:[[2023,6,30]]},&quot;page&quot;:&quot;230003&quot;,&quot;abstract&quot;:&quot;In 2014, the European Respiratory Society published a statement on nutritional assessment and therapy in COPD. Since then, increasing research has been performed on the role of diet and nutrition in the prevention and management of COPD. Here, we provide an overview of recent scientific advances and clinical implications. Evidence for a potential role of diet and nutrition as a risk factor in the development of COPD has been accumulating and is reflected in the dietary patterns of patients with COPD. Consuming a healthy diet should, therefore, be promoted in patients with COPD. Distinct COPD phenotypes have been identified incorporating nutritional status, ranging from cachexia and frailty to obesity. The importance of body composition assessment and the need for tailored nutritional screening instruments is further highlighted. Dietary interventions and targeted single or multi-nutrient supplementation can be beneficial when optimal timing is considered. The therapeutic window of opportunity for nutritional interventions during and recovering from an acute exacerbation and hospitalisation is underexplored&quot;,&quot;publisher&quot;:&quot;European Respiratory Society&quot;,&quot;issue&quot;:&quot;168&quot;,&quot;volume&quot;:&quot;32&quot;,&quot;container-title-short&quot;:&quot;&quot;},&quot;isTemporary&quot;:false}]},{&quot;citationID&quot;:&quot;MENDELEY_CITATION_85c10e1a-c77d-427d-87cd-5d197de9dfda&quot;,&quot;properties&quot;:{&quot;noteIndex&quot;:0},&quot;isEdited&quot;:false,&quot;manualOverride&quot;:{&quot;isManuallyOverridden&quot;:false,&quot;citeprocText&quot;:&quot;[101]&quot;,&quot;manualOverrideText&quot;:&quot;&quot;},&quot;citationTag&quot;:&quot;MENDELEY_CITATION_v3_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&quot;,&quot;citationItems&quot;:[{&quot;id&quot;:&quot;aebf6d6d-c2a9-3033-a4ab-4abb19da08b6&quot;,&quot;itemData&quot;:{&quot;type&quot;:&quot;article-journal&quot;,&quot;id&quot;:&quot;aebf6d6d-c2a9-3033-a4ab-4abb19da08b6&quot;,&quot;title&quot;:&quot;The Role of Nutrition in the Development and Management of Chronic Obstructive Pulmonary Disease&quot;,&quot;author&quot;:[{&quot;family&quot;:&quot;Heefner&quot;,&quot;given&quot;:&quot;Allison&quot;,&quot;parse-names&quot;:false,&quot;dropping-particle&quot;:&quot;&quot;,&quot;non-dropping-particle&quot;:&quot;&quot;},{&quot;family&quot;:&quot;Simovic&quot;,&quot;given&quot;:&quot;Tijana&quot;,&quot;parse-names&quot;:false,&quot;dropping-particle&quot;:&quot;&quot;,&quot;non-dropping-particle&quot;:&quot;&quot;},{&quot;family&quot;:&quot;Mize&quot;,&quot;given&quot;:&quot;Kasey&quot;,&quot;parse-names&quot;:false,&quot;dropping-particle&quot;:&quot;&quot;,&quot;non-dropping-particle&quot;:&quot;&quot;},{&quot;family&quot;:&quot;Rodriguez-Miguelez&quot;,&quot;given&quot;:&quot;Paula&quot;,&quot;parse-names&quot;:false,&quot;dropping-particle&quot;:&quot;&quot;,&quot;non-dropping-particle&quot;:&quot;&quot;}],&quot;container-title&quot;:&quot;Nutrients&quot;,&quot;container-title-short&quot;:&quot;Nutrients&quot;,&quot;accessed&quot;:{&quot;date-parts&quot;:[[2025,4,24]]},&quot;DOI&quot;:&quot;10.3390/NU16081136,&quot;,&quot;ISSN&quot;:&quot;20726643&quot;,&quot;PMID&quot;:&quot;38674827&quot;,&quot;URL&quot;:&quot;https://pubmed.ncbi.nlm.nih.gov/38674827/&quot;,&quot;issued&quot;:{&quot;date-parts&quot;:[[2024,4,11]]},&quot;abstract&quot;:&quot;Chronic obstructive pulmonary disease (COPD) is a prevalent lung condition associated with significant morbidity and mortality. The management of COPD classically involves pulmonary rehabilitation, bronchodilators, and corticosteroids. An aspect of COPD management that is currently lacking in the literature is nutritional management, despite the prevalence of inadequate nutritional status in patients with COPD. In addition, certain nutritional imbalances have been reported to increase the risk of COPD development. This review summarizes the current literature on the role diet and nutrients may play in the risk and management of COPD development.&quot;,&quot;publisher&quot;:&quot;Nutrients&quot;,&quot;issue&quot;:&quot;8&quot;,&quot;volume&quot;:&quot;16&quot;},&quot;isTemporary&quot;:false}]},{&quot;citationID&quot;:&quot;MENDELEY_CITATION_81f725b0-3deb-40a3-bb9d-11c0225c5071&quot;,&quot;properties&quot;:{&quot;noteIndex&quot;:0},&quot;isEdited&quot;:false,&quot;manualOverride&quot;:{&quot;isManuallyOverridden&quot;:false,&quot;citeprocText&quot;:&quot;[101]&quot;,&quot;manualOverrideText&quot;:&quot;&quot;},&quot;citationTag&quot;:&quot;MENDELEY_CITATION_v3_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&quot;,&quot;citationItems&quot;:[{&quot;id&quot;:&quot;aebf6d6d-c2a9-3033-a4ab-4abb19da08b6&quot;,&quot;itemData&quot;:{&quot;type&quot;:&quot;article-journal&quot;,&quot;id&quot;:&quot;aebf6d6d-c2a9-3033-a4ab-4abb19da08b6&quot;,&quot;title&quot;:&quot;The Role of Nutrition in the Development and Management of Chronic Obstructive Pulmonary Disease&quot;,&quot;author&quot;:[{&quot;family&quot;:&quot;Heefner&quot;,&quot;given&quot;:&quot;Allison&quot;,&quot;parse-names&quot;:false,&quot;dropping-particle&quot;:&quot;&quot;,&quot;non-dropping-particle&quot;:&quot;&quot;},{&quot;family&quot;:&quot;Simovic&quot;,&quot;given&quot;:&quot;Tijana&quot;,&quot;parse-names&quot;:false,&quot;dropping-particle&quot;:&quot;&quot;,&quot;non-dropping-particle&quot;:&quot;&quot;},{&quot;family&quot;:&quot;Mize&quot;,&quot;given&quot;:&quot;Kasey&quot;,&quot;parse-names&quot;:false,&quot;dropping-particle&quot;:&quot;&quot;,&quot;non-dropping-particle&quot;:&quot;&quot;},{&quot;family&quot;:&quot;Rodriguez-Miguelez&quot;,&quot;given&quot;:&quot;Paula&quot;,&quot;parse-names&quot;:false,&quot;dropping-particle&quot;:&quot;&quot;,&quot;non-dropping-particle&quot;:&quot;&quot;}],&quot;container-title&quot;:&quot;Nutrients&quot;,&quot;container-title-short&quot;:&quot;Nutrients&quot;,&quot;accessed&quot;:{&quot;date-parts&quot;:[[2025,4,24]]},&quot;DOI&quot;:&quot;10.3390/NU16081136,&quot;,&quot;ISSN&quot;:&quot;20726643&quot;,&quot;PMID&quot;:&quot;38674827&quot;,&quot;URL&quot;:&quot;https://pubmed.ncbi.nlm.nih.gov/38674827/&quot;,&quot;issued&quot;:{&quot;date-parts&quot;:[[2024,4,11]]},&quot;abstract&quot;:&quot;Chronic obstructive pulmonary disease (COPD) is a prevalent lung condition associated with significant morbidity and mortality. The management of COPD classically involves pulmonary rehabilitation, bronchodilators, and corticosteroids. An aspect of COPD management that is currently lacking in the literature is nutritional management, despite the prevalence of inadequate nutritional status in patients with COPD. In addition, certain nutritional imbalances have been reported to increase the risk of COPD development. This review summarizes the current literature on the role diet and nutrients may play in the risk and management of COPD development.&quot;,&quot;publisher&quot;:&quot;Nutrients&quot;,&quot;issue&quot;:&quot;8&quot;,&quot;volume&quot;:&quot;16&quot;},&quot;isTemporary&quot;:false}]},{&quot;citationID&quot;:&quot;MENDELEY_CITATION_5a0026a4-0af9-47e2-b957-3393a0cf10fa&quot;,&quot;properties&quot;:{&quot;noteIndex&quot;:0},&quot;isEdited&quot;:false,&quot;manualOverride&quot;:{&quot;isManuallyOverridden&quot;:false,&quot;citeprocText&quot;:&quot;[101]&quot;,&quot;manualOverrideText&quot;:&quot;&quot;},&quot;citationTag&quot;:&quot;MENDELEY_CITATION_v3_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&quot;,&quot;citationItems&quot;:[{&quot;id&quot;:&quot;aebf6d6d-c2a9-3033-a4ab-4abb19da08b6&quot;,&quot;itemData&quot;:{&quot;type&quot;:&quot;article-journal&quot;,&quot;id&quot;:&quot;aebf6d6d-c2a9-3033-a4ab-4abb19da08b6&quot;,&quot;title&quot;:&quot;The Role of Nutrition in the Development and Management of Chronic Obstructive Pulmonary Disease&quot;,&quot;author&quot;:[{&quot;family&quot;:&quot;Heefner&quot;,&quot;given&quot;:&quot;Allison&quot;,&quot;parse-names&quot;:false,&quot;dropping-particle&quot;:&quot;&quot;,&quot;non-dropping-particle&quot;:&quot;&quot;},{&quot;family&quot;:&quot;Simovic&quot;,&quot;given&quot;:&quot;Tijana&quot;,&quot;parse-names&quot;:false,&quot;dropping-particle&quot;:&quot;&quot;,&quot;non-dropping-particle&quot;:&quot;&quot;},{&quot;family&quot;:&quot;Mize&quot;,&quot;given&quot;:&quot;Kasey&quot;,&quot;parse-names&quot;:false,&quot;dropping-particle&quot;:&quot;&quot;,&quot;non-dropping-particle&quot;:&quot;&quot;},{&quot;family&quot;:&quot;Rodriguez-Miguelez&quot;,&quot;given&quot;:&quot;Paula&quot;,&quot;parse-names&quot;:false,&quot;dropping-particle&quot;:&quot;&quot;,&quot;non-dropping-particle&quot;:&quot;&quot;}],&quot;container-title&quot;:&quot;Nutrients&quot;,&quot;accessed&quot;:{&quot;date-parts&quot;:[[2025,4,24]]},&quot;DOI&quot;:&quot;10.3390/NU16081136,&quot;,&quot;ISSN&quot;:&quot;20726643&quot;,&quot;PMID&quot;:&quot;38674827&quot;,&quot;URL&quot;:&quot;https://pubmed.ncbi.nlm.nih.gov/38674827/&quot;,&quot;issued&quot;:{&quot;date-parts&quot;:[[2024,4,11]]},&quot;abstract&quot;:&quot;Chronic obstructive pulmonary disease (COPD) is a prevalent lung condition associated with significant morbidity and mortality. The management of COPD classically involves pulmonary rehabilitation, bronchodilators, and corticosteroids. An aspect of COPD management that is currently lacking in the literature is nutritional management, despite the prevalence of inadequate nutritional status in patients with COPD. In addition, certain nutritional imbalances have been reported to increase the risk of COPD development. This review summarizes the current literature on the role diet and nutrients may play in the risk and management of COPD development.&quot;,&quot;publisher&quot;:&quot;Nutrients&quot;,&quot;issue&quot;:&quot;8&quot;,&quot;volume&quot;:&quot;16&quot;,&quot;container-title-short&quot;:&quot;Nutrients&quot;},&quot;isTemporary&quot;:false}]},{&quot;citationID&quot;:&quot;MENDELEY_CITATION_3978d3b5-5eec-4106-b274-fd953a24e634&quot;,&quot;properties&quot;:{&quot;noteIndex&quot;:0},&quot;isEdited&quot;:false,&quot;manualOverride&quot;:{&quot;isManuallyOverridden&quot;:false,&quot;citeprocText&quot;:&quot;[103]&quot;,&quot;manualOverrideText&quot;:&quot;&quot;},&quot;citationTag&quot;:&quot;MENDELEY_CITATION_v3_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&quot;,&quot;citationItems&quot;:[{&quot;id&quot;:&quot;8b86266f-b22b-3aaf-9f1c-8cf049bcd4ac&quot;,&quot;itemData&quot;:{&quot;type&quot;:&quot;article-journal&quot;,&quot;id&quot;:&quot;8b86266f-b22b-3aaf-9f1c-8cf049bcd4ac&quot;,&quot;title&quot;:&quot;The role of diet and nutrition in the management of COPD&quot;,&quot;author&quot;:[{&quot;family&quot;:&quot;Beijers&quot;,&quot;given&quot;:&quot;Rosanne J.H.C.G.&quot;,&quot;parse-names&quot;:false,&quot;dropping-particle&quot;:&quot;&quot;,&quot;non-dropping-particle&quot;:&quot;&quot;},{&quot;family&quot;:&quot;Steiner&quot;,&quot;given&quot;:&quot;Michael C.&quot;,&quot;parse-names&quot;:false,&quot;dropping-particle&quot;:&quot;&quot;,&quot;non-dropping-particle&quot;:&quot;&quot;},{&quot;family&quot;:&quot;Schols&quot;,&quot;given&quot;:&quot;Annemie M.W.J.&quot;,&quot;parse-names&quot;:false,&quot;dropping-particle&quot;:&quot;&quot;,&quot;non-dropping-particle&quot;:&quot;&quot;}],&quot;container-title&quot;:&quot;European Respiratory Review&quot;,&quot;accessed&quot;:{&quot;date-parts&quot;:[[2025,5,4]]},&quot;DOI&quot;:&quot;10.1183/16000617.0003-2023&quot;,&quot;ISSN&quot;:&quot;16000617&quot;,&quot;PMID&quot;:&quot;37286221&quot;,&quot;URL&quot;:&quot;https://pmc.ncbi.nlm.nih.gov/articles/PMC10245132/&quot;,&quot;issued&quot;:{&quot;date-parts&quot;:[[2023,6,30]]},&quot;page&quot;:&quot;230003&quot;,&quot;abstract&quot;:&quot;In 2014, the European Respiratory Society published a statement on nutritional assessment and therapy in COPD. Since then, increasing research has been performed on the role of diet and nutrition in the prevention and management of COPD. Here, we provide an overview of recent scientific advances and clinical implications. Evidence for a potential role of diet and nutrition as a risk factor in the development of COPD has been accumulating and is reflected in the dietary patterns of patients with COPD. Consuming a healthy diet should, therefore, be promoted in patients with COPD. Distinct COPD phenotypes have been identified incorporating nutritional status, ranging from cachexia and frailty to obesity. The importance of body composition assessment and the need for tailored nutritional screening instruments is further highlighted. Dietary interventions and targeted single or multi-nutrient supplementation can be beneficial when optimal timing is considered. The therapeutic window of opportunity for nutritional interventions during and recovering from an acute exacerbation and hospitalisation is underexplored&quot;,&quot;publisher&quot;:&quot;European Respiratory Society&quot;,&quot;issue&quot;:&quot;168&quot;,&quot;volume&quot;:&quot;32&quot;,&quot;container-title-short&quot;:&quot;&quot;},&quot;isTemporary&quot;:false}]},{&quot;citationID&quot;:&quot;MENDELEY_CITATION_71d48cf5-ddbd-48c2-ba18-2bf7a9f63182&quot;,&quot;properties&quot;:{&quot;noteIndex&quot;:0},&quot;isEdited&quot;:false,&quot;manualOverride&quot;:{&quot;isManuallyOverridden&quot;:false,&quot;citeprocText&quot;:&quot;[11]&quot;,&quot;manualOverrideText&quot;:&quot;&quot;},&quot;citationTag&quot;:&quot;MENDELEY_CITATION_v3_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&quot;,&quot;citationItems&quot;:[{&quot;id&quot;:&quot;8ec0c7d1-fcf8-3271-9b5c-53dc7461f721&quot;,&quot;itemData&quot;:{&quot;type&quot;:&quot;article-journal&quot;,&quot;id&quot;:&quot;8ec0c7d1-fcf8-3271-9b5c-53dc7461f721&quot;,&quot;title&quot;:&quot;Occupational COPD-The most under-recognized occupational lung disease?&quot;,&quot;author&quot;:[{&quot;family&quot;:&quot;Murgia&quot;,&quot;given&quot;:&quot;Nicola&quot;,&quot;parse-names&quot;:false,&quot;dropping-particle&quot;:&quot;&quot;,&quot;non-dropping-particle&quot;:&quot;&quot;},{&quot;family&quot;:&quot;Gambelunghe&quot;,&quot;given&quot;:&quot;Angela&quot;,&quot;parse-names&quot;:false,&quot;dropping-particle&quot;:&quot;&quot;,&quot;non-dropping-particle&quot;:&quot;&quot;}],&quot;container-title&quot;:&quot;Respirology (Carlton, Vic.)&quot;,&quot;accessed&quot;:{&quot;date-parts&quot;:[[2024,12,2]]},&quot;DOI&quot;:&quot;10.1111/RESP.14272&quot;,&quot;ISSN&quot;:&quot;1440-1843&quot;,&quot;PMID&quot;:&quot;35513770&quot;,&quot;URL&quot;:&quot;https://pubmed.ncbi.nlm.nih.gov/35513770/&quot;,&quot;issued&quot;:{&quot;date-parts&quot;:[[2022,6,1]]},&quot;page&quot;:&quot;399-410&quot;,&quot;abstract&quot;:&quot;Chronic obstructive pulmonary disease (COPD) is caused by exposure to noxious particles and gases. Smoking is the main risk factor, but other factors are also associated with COPD. Occupational exposure to vapours, gases, dusts and fumes contributes to the development and progression of COPD, accounting for a population attributable fraction of 14%. Workplace pollutants, in particular inorganic dust, can initiate airway damage and inflammation, which are the hallmarks of COPD pathogenesis. Occupational COPD is still underdiagnosed, mainly due to the challenges of assessing the occupational component of the disease in clinical settings, especially if other risk factors are present. There is a need for specific education and training for clinicians, and research with a focus on evaluating the role of occupational exposure in causing COPD. Early diagnosis and identification of occupational causes is very important to prevent further decline in lung function and to reduce the health and socio-economic burden of COPD. Establishing details of the occupational history by general practitioners or respiratory physicians could help to define the occupational burden of COPD for individual patients, providing the first useful interventions (smoking cessation, best therapeutic management, etc.). Once patients are diagnosed with occupational COPD, there is a wide international variation in access to specialist occupational medicine and public health services, along with limitations in workplace and income support. Therefore, a strong collaboration between primary care physicians, respiratory physicians and occupational medicine specialists is desirable to help manage COPD patients' health and social issues.&quot;,&quot;publisher&quot;:&quot;Respirology&quot;,&quot;issue&quot;:&quot;6&quot;,&quot;volume&quot;:&quot;27&quot;,&quot;container-title-short&quot;:&quot;Respirology&quot;},&quot;isTemporary&quot;:false}]},{&quot;citationID&quot;:&quot;MENDELEY_CITATION_6d2a93eb-879a-426a-8e9a-ad72c2262908&quot;,&quot;properties&quot;:{&quot;noteIndex&quot;:0},&quot;isEdited&quot;:false,&quot;manualOverride&quot;:{&quot;isManuallyOverridden&quot;:false,&quot;citeprocText&quot;:&quot;[11,13,104–107]&quot;,&quot;manualOverrideText&quot;:&quot;&quot;},&quot;citationTag&quot;:&quot;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&quot;,&quot;citationItems&quot;:[{&quot;id&quot;:&quot;ee8dc374-a29d-35fe-a3e5-1469b4dad09a&quot;,&quot;itemData&quot;:{&quot;type&quot;:&quot;article-journal&quot;,&quot;id&quot;:&quot;ee8dc374-a29d-35fe-a3e5-1469b4dad09a&quot;,&quot;title&quot;:&quot;Cleaning products and respiratory health outcomes in occupational cleaners: a systematic review and meta-analysis&quot;,&quot;author&quot;:[{&quot;family&quot;:&quot;Archangelidi&quot;,&quot;given&quot;:&quot;Olia&quot;,&quot;parse-names&quot;:false,&quot;dropping-particle&quot;:&quot;&quot;,&quot;non-dropping-particle&quot;:&quot;&quot;},{&quot;family&quot;:&quot;Sathiyajit&quot;,&quot;given&quot;:&quot;Sean&quot;,&quot;parse-names&quot;:false,&quot;dropping-particle&quot;:&quot;&quot;,&quot;non-dropping-particle&quot;:&quot;&quot;},{&quot;family&quot;:&quot;Consonni&quot;,&quot;given&quot;:&quot;Dario&quot;,&quot;parse-names&quot;:false,&quot;dropping-particle&quot;:&quot;&quot;,&quot;non-dropping-particle&quot;:&quot;&quot;},{&quot;family&quot;:&quot;Jarvis&quot;,&quot;given&quot;:&quot;Debbie&quot;,&quot;parse-names&quot;:false,&quot;dropping-particle&quot;:&quot;&quot;,&quot;non-dropping-particle&quot;:&quot;&quot;},{&quot;family&quot;:&quot;Matteis&quot;,&quot;given&quot;:&quot;Sara&quot;,&quot;parse-names&quot;:false,&quot;dropping-particle&quot;:&quot;&quot;,&quot;non-dropping-particle&quot;:&quot;De&quot;}],&quot;container-title&quot;:&quot;Occupational and Environmental Medicine&quot;,&quot;accessed&quot;:{&quot;date-parts&quot;:[[2025,4,19]]},&quot;DOI&quot;:&quot;10.1136/OEMED-2020-106776&quot;,&quot;ISSN&quot;:&quot;1351-0711&quot;,&quot;PMID&quot;:&quot;33234692&quot;,&quot;URL&quot;:&quot;https://oem.bmj.com/content/78/8/604&quot;,&quot;issued&quot;:{&quot;date-parts&quot;:[[2021,8,1]]},&quot;page&quot;:&quot;604-617&quot;,&quot;abstract&quot;:&quot;There is consistent evidence of increased respiratory symptoms in occupational cleaners; however, uncertainty remains on type of respiratory health effects, underlying causal agents, mechanisms and respiratory phenotypes. We aimed to conduct a systematic review and if possible, a meta-analysis of the available literature to characterise and quantify the cleaning-related respiratory health effects. We searched MEDLINE and EMBASE databases and included studies that evaluated the association of any respiratory health outcome with exposure to cleaning occupation or products in occupational cleaners. A modified GRADE was used to appraise the quality of included studies. We retrieved 1124 articles, and after applying our inclusion criteria, 39 were selected for the systematic review. We performed a meta-analysis of the 21 studies evaluating asthma which showed a 50% increased pooled relative risk in cleaners (meta-relative risk (RR)=1.50; 95% CI 1.44 to 1.56). Population-based cross-sectional studies showed more stable associations with asthma risk. No evidence of atopic asthma as dominant phenotype emerged. Also, we estimated a 43% increased risk (meta-RR=1.43; 95% CI 1.31 to 1.56) of chronic obstructive pulmonary disease. Evidence for associations with bronchial-hyper-responsiveness, lung function decline, rhinitis, upper and lower respiratory tract symptoms was weaker. In our systematic review and meta-analysis, we found that working as a cleaner is associated with an increased risk of reversible and even irreversible obstructive airway diseases. All studies lacked quantitative exposure assessment to cleaning products; this would help elucidate underlying causal agents and mechanisms. Exposure control and respiratory surveillance among cleaners is warranted to prevent the associated respiratory health burden. Trial registration number: CRD4201705915.&quot;,&quot;publisher&quot;:&quot;BMJ Publishing Group Ltd&quot;,&quot;issue&quot;:&quot;8&quot;,&quot;volume&quot;:&quot;78&quot;,&quot;container-title-short&quot;:&quot;Occup Environ Med&quot;},&quot;isTemporary&quot;:false},{&quot;id&quot;:&quot;101ea27a-779f-39ca-b6bd-4cfae1105e84&quot;,&quot;itemData&quot;:{&quot;type&quot;:&quot;article-journal&quot;,&quot;id&quot;:&quot;101ea27a-779f-39ca-b6bd-4cfae1105e84&quot;,&quot;title&quot;:&quot;Occupational exposures and the risk of COPD: Dusty trades revisited&quot;,&quot;author&quot;:[{&quot;family&quot;:&quot;Blanc&quot;,&quot;given&quot;:&quot;P. D.&quot;,&quot;parse-names&quot;:false,&quot;dropping-particle&quot;:&quot;&quot;,&quot;non-dropping-particle&quot;:&quot;&quot;},{&quot;family&quot;:&quot;Iribarren&quot;,&quot;given&quot;:&quot;C.&quot;,&quot;parse-names&quot;:false,&quot;dropping-particle&quot;:&quot;&quot;,&quot;non-dropping-particle&quot;:&quot;&quot;},{&quot;family&quot;:&quot;Trupin&quot;,&quot;given&quot;:&quot;L.&quot;,&quot;parse-names&quot;:false,&quot;dropping-particle&quot;:&quot;&quot;,&quot;non-dropping-particle&quot;:&quot;&quot;},{&quot;family&quot;:&quot;Earnest&quot;,&quot;given&quot;:&quot;G.&quot;,&quot;parse-names&quot;:false,&quot;dropping-particle&quot;:&quot;&quot;,&quot;non-dropping-particle&quot;:&quot;&quot;},{&quot;family&quot;:&quot;Katz&quot;,&quot;given&quot;:&quot;P. P.&quot;,&quot;parse-names&quot;:false,&quot;dropping-particle&quot;:&quot;&quot;,&quot;non-dropping-particle&quot;:&quot;&quot;},{&quot;family&quot;:&quot;Balmes&quot;,&quot;given&quot;:&quot;J.&quot;,&quot;parse-names&quot;:false,&quot;dropping-particle&quot;:&quot;&quot;,&quot;non-dropping-particle&quot;:&quot;&quot;},{&quot;family&quot;:&quot;Sidney&quot;,&quot;given&quot;:&quot;S.&quot;,&quot;parse-names&quot;:false,&quot;dropping-particle&quot;:&quot;&quot;,&quot;non-dropping-particle&quot;:&quot;&quot;},{&quot;family&quot;:&quot;Eisner&quot;,&quot;given&quot;:&quot;M. D.&quot;,&quot;parse-names&quot;:false,&quot;dropping-particle&quot;:&quot;&quot;,&quot;non-dropping-particle&quot;:&quot;&quot;}],&quot;container-title&quot;:&quot;Thorax&quot;,&quot;accessed&quot;:{&quot;date-parts&quot;:[[2020,12,9]]},&quot;DOI&quot;:&quot;10.1136/thx.2008.099390&quot;,&quot;ISSN&quot;:&quot;14683296&quot;,&quot;PMID&quot;:&quot;18678700&quot;,&quot;URL&quot;:&quot;/pmc/articles/PMC2775075/?report=abstract&quot;,&quot;issued&quot;:{&quot;date-parts&quot;:[[2009]]},&quot;page&quot;:&quot;6-12&quot;,&quot;abstract&quot;:&quot;Background: The contribution of occupational exposures to chronic obstructive pulmonary disease (COPD) and, in particular, their potential interaction with cigarette smoking remains underappreciated. Methods: Data from the FLOW study of 1202 subjects with COPD (of which 742 had disease classified as stage II or above by Global Obstructive Lung Disease (GOLD) criteria) and 302 referent subjects matched by age, sex and race recruited from a large managed care organisation were analysed. Occupational exposures were assessed using two methods: self-reported exposure to vapours, gas, dust or fumes on the longest held job (VGDF) and a job exposure matrix (JEM) for probability of exposure based on occupation. Multivariate analysis was used to control for age, sex, race and smoking history. The odds ratio (OR) and adjusted population attributable fraction (PAF) associated with occupational exposure were calculated. Results: VGDF exposure was associated with an increased risk of COPD (OR 2.11; 95% CI 1.59 to 2.82) and a PAF of 31% (95% CI 22% to 39%). The risk associated with high probability of workplace exposure by JEM was similar (OR 2.27; 95% Cl 1.46 to 3.52), although the PAF was lower (13%; 95% CI 8% to 18%). These estimates were not substantively different when the analysis was limited to COPD GOLD stage II or above. Joint exposure to both smoking and occupational factors markedly increased the risk of COPD (OR 14.1; 95% CI 9.33 to 21.2). Conclusions: Workplace exposures are strongly associated with an increased risk of COPD. On a population level, prevention of both smoking and occupational exposure, and especially both together, is needed to prevent the global burden of disease.&quot;,&quot;publisher&quot;:&quot;BMJ Publishing Group&quot;,&quot;issue&quot;:&quot;1&quot;,&quot;volume&quot;:&quot;64&quot;,&quot;container-title-short&quot;:&quot;Thorax&quot;},&quot;isTemporary&quot;:false},{&quot;id&quot;:&quot;33a313ba-178c-31a1-8972-99be31d99a6f&quot;,&quot;itemData&quot;:{&quot;type&quot;:&quot;article-journal&quot;,&quot;id&quot;:&quot;33a313ba-178c-31a1-8972-99be31d99a6f&quot;,&quot;title&quot;:&quot;The Occupational Burden of Nonmalignant Respiratory Diseases An Official American Thoracic Society and European Respiratory Society Statement&quot;,&quot;author&quot;:[{&quot;family&quot;:&quot;Blanc&quot;,&quot;given&quot;:&quot;Paul D&quot;,&quot;parse-names&quot;:false,&quot;dropping-particle&quot;:&quot;&quot;,&quot;non-dropping-particle&quot;:&quot;&quot;},{&quot;family&quot;:&quot;Annesi-Maesano&quot;,&quot;given&quot;:&quot;Isabella&quot;,&quot;parse-names&quot;:false,&quot;dropping-particle&quot;:&quot;&quot;,&quot;non-dropping-particle&quot;:&quot;&quot;},{&quot;family&quot;:&quot;Balmes&quot;,&quot;given&quot;:&quot;John R&quot;,&quot;parse-names&quot;:false,&quot;dropping-particle&quot;:&quot;&quot;,&quot;non-dropping-particle&quot;:&quot;&quot;},{&quot;family&quot;:&quot;Cummings&quot;,&quot;given&quot;:&quot;Kristin J&quot;,&quot;parse-names&quot;:false,&quot;dropping-particle&quot;:&quot;&quot;,&quot;non-dropping-particle&quot;:&quot;&quot;},{&quot;family&quot;:&quot;Fishwick&quot;,&quot;given&quot;:&quot;David&quot;,&quot;parse-names&quot;:false,&quot;dropping-particle&quot;:&quot;&quot;,&quot;non-dropping-particle&quot;:&quot;&quot;},{&quot;family&quot;:&quot;Miedinger&quot;,&quot;given&quot;:&quot;David&quot;,&quot;parse-names&quot;:false,&quot;dropping-particle&quot;:&quot;&quot;,&quot;non-dropping-particle&quot;:&quot;&quot;},{&quot;family&quot;:&quot;Murgia&quot;,&quot;given&quot;:&quot;Nicola&quot;,&quot;parse-names&quot;:false,&quot;dropping-particle&quot;:&quot;&quot;,&quot;non-dropping-particle&quot;:&quot;&quot;},{&quot;family&quot;:&quot;Naidoo&quot;,&quot;given&quot;:&quot;Rajen N&quot;,&quot;parse-names&quot;:false,&quot;dropping-particle&quot;:&quot;&quot;,&quot;non-dropping-particle&quot;:&quot;&quot;},{&quot;family&quot;:&quot;Reynolds&quot;,&quot;given&quot;:&quot;Carl J&quot;,&quot;parse-names&quot;:false,&quot;dropping-particle&quot;:&quot;&quot;,&quot;non-dropping-particle&quot;:&quot;&quot;},{&quot;family&quot;:&quot;Sigsgaard&quot;,&quot;given&quot;:&quot;Torben&quot;,&quot;parse-names&quot;:false,&quot;dropping-particle&quot;:&quot;&quot;,&quot;non-dropping-particle&quot;:&quot;&quot;},{&quot;family&quot;:&quot;Torén&quot;,&quot;given&quot;:&quot;Kjell&quot;,&quot;parse-names&quot;:false,&quot;dropping-particle&quot;:&quot;&quot;,&quot;non-dropping-particle&quot;:&quot;&quot;},{&quot;family&quot;:&quot;Torén&quot;,&quot;given&quot;:&quot;Tor´&quot;,&quot;parse-names&quot;:false,&quot;dropping-particle&quot;:&quot;&quot;,&quot;non-dropping-particle&quot;:&quot;&quot;},{&quot;family&quot;:&quot;Vinnikov&quot;,&quot;given&quot;:&quot;Denis&quot;,&quot;parse-names&quot;:false,&quot;dropping-particle&quot;:&quot;&quot;,&quot;non-dropping-particle&quot;:&quot;&quot;},{&quot;family&quot;:&quot;Redlich&quot;,&quot;given&quot;:&quot;Carrie A&quot;,&quot;parse-names&quot;:false,&quot;dropping-particle&quot;:&quot;&quot;,&quot;non-dropping-particle&quot;:&quot;&quot;}],&quot;container-title&quot;:&quot;American  Journal of Respiratory and Critical Care Medicine&quot;,&quot;accessed&quot;:{&quot;date-parts&quot;:[[2020,12,9]]},&quot;DOI&quot;:&quot;10.1164/rccm.201904-0717ST&quot;,&quot;URL&quot;:&quot;www.atsjournals.org.&quot;,&quot;issued&quot;:{&quot;date-parts&quot;:[[2019,6,1]]},&quot;page&quot;:&quot;1312-1334&quot;,&quot;issue&quot;:&quot;11&quot;,&quot;volume&quot;:&quot;199&quot;,&quot;container-title-short&quot;:&quot;Am J Respir Crit Care Med&quot;},&quot;isTemporary&quot;:false},{&quot;id&quot;:&quot;8ec0c7d1-fcf8-3271-9b5c-53dc7461f721&quot;,&quot;itemData&quot;:{&quot;type&quot;:&quot;article-journal&quot;,&quot;id&quot;:&quot;8ec0c7d1-fcf8-3271-9b5c-53dc7461f721&quot;,&quot;title&quot;:&quot;Occupational COPD-The most under-recognized occupational lung disease?&quot;,&quot;author&quot;:[{&quot;family&quot;:&quot;Murgia&quot;,&quot;given&quot;:&quot;Nicola&quot;,&quot;parse-names&quot;:false,&quot;dropping-particle&quot;:&quot;&quot;,&quot;non-dropping-particle&quot;:&quot;&quot;},{&quot;family&quot;:&quot;Gambelunghe&quot;,&quot;given&quot;:&quot;Angela&quot;,&quot;parse-names&quot;:false,&quot;dropping-particle&quot;:&quot;&quot;,&quot;non-dropping-particle&quot;:&quot;&quot;}],&quot;container-title&quot;:&quot;Respirology (Carlton, Vic.)&quot;,&quot;accessed&quot;:{&quot;date-parts&quot;:[[2024,12,2]]},&quot;DOI&quot;:&quot;10.1111/RESP.14272&quot;,&quot;ISSN&quot;:&quot;1440-1843&quot;,&quot;PMID&quot;:&quot;35513770&quot;,&quot;URL&quot;:&quot;https://pubmed.ncbi.nlm.nih.gov/35513770/&quot;,&quot;issued&quot;:{&quot;date-parts&quot;:[[2022,6,1]]},&quot;page&quot;:&quot;399-410&quot;,&quot;abstract&quot;:&quot;Chronic obstructive pulmonary disease (COPD) is caused by exposure to noxious particles and gases. Smoking is the main risk factor, but other factors are also associated with COPD. Occupational exposure to vapours, gases, dusts and fumes contributes to the development and progression of COPD, accounting for a population attributable fraction of 14%. Workplace pollutants, in particular inorganic dust, can initiate airway damage and inflammation, which are the hallmarks of COPD pathogenesis. Occupational COPD is still underdiagnosed, mainly due to the challenges of assessing the occupational component of the disease in clinical settings, especially if other risk factors are present. There is a need for specific education and training for clinicians, and research with a focus on evaluating the role of occupational exposure in causing COPD. Early diagnosis and identification of occupational causes is very important to prevent further decline in lung function and to reduce the health and socio-economic burden of COPD. Establishing details of the occupational history by general practitioners or respiratory physicians could help to define the occupational burden of COPD for individual patients, providing the first useful interventions (smoking cessation, best therapeutic management, etc.). Once patients are diagnosed with occupational COPD, there is a wide international variation in access to specialist occupational medicine and public health services, along with limitations in workplace and income support. Therefore, a strong collaboration between primary care physicians, respiratory physicians and occupational medicine specialists is desirable to help manage COPD patients' health and social issues.&quot;,&quot;publisher&quot;:&quot;Respirology&quot;,&quot;issue&quot;:&quot;6&quot;,&quot;volume&quot;:&quot;27&quot;,&quot;container-title-short&quot;:&quot;Respirology&quot;},&quot;isTemporary&quot;:false},{&quot;id&quot;:&quot;e4bbad33-82d4-39da-a635-10fcf7695a8c&quot;,&quot;itemData&quot;:{&quot;type&quot;:&quot;article-journal&quot;,&quot;id&quot;:&quot;e4bbad33-82d4-39da-a635-10fcf7695a8c&quot;,&quot;title&quot;:&quot;Risk of obstructive pulmonary diseases and occupational exposure to pesticides: a systematic review and meta-analysis&quot;,&quot;author&quot;:[{&quot;family&quot;:&quot;Pourhassan&quot;,&quot;given&quot;:&quot;B.&quot;,&quot;parse-names&quot;:false,&quot;dropping-particle&quot;:&quot;&quot;,&quot;non-dropping-particle&quot;:&quot;&quot;},{&quot;family&quot;:&quot;Meysamie&quot;,&quot;given&quot;:&quot;A.&quot;,&quot;parse-names&quot;:false,&quot;dropping-particle&quot;:&quot;&quot;,&quot;non-dropping-particle&quot;:&quot;&quot;},{&quot;family&quot;:&quot;Alizadeh&quot;,&quot;given&quot;:&quot;S.&quot;,&quot;parse-names&quot;:false,&quot;dropping-particle&quot;:&quot;&quot;,&quot;non-dropping-particle&quot;:&quot;&quot;},{&quot;family&quot;:&quot;Habibian&quot;,&quot;given&quot;:&quot;A.&quot;,&quot;parse-names&quot;:false,&quot;dropping-particle&quot;:&quot;&quot;,&quot;non-dropping-particle&quot;:&quot;&quot;},{&quot;family&quot;:&quot;Beigzadeh&quot;,&quot;given&quot;:&quot;Z.&quot;,&quot;parse-names&quot;:false,&quot;dropping-particle&quot;:&quot;&quot;,&quot;non-dropping-particle&quot;:&quot;&quot;}],&quot;container-title&quot;:&quot;Public health&quot;,&quot;accessed&quot;:{&quot;date-parts&quot;:[[2024,12,3]]},&quot;DOI&quot;:&quot;10.1016/J.PUHE.2019.05.024&quot;,&quot;ISSN&quot;:&quot;1476-5616&quot;,&quot;PMID&quot;:&quot;31306887&quot;,&quot;URL&quot;:&quot;https://pubmed.ncbi.nlm.nih.gov/31306887/&quot;,&quot;issued&quot;:{&quot;date-parts&quot;:[[2019,9,1]]},&quot;page&quot;:&quot;31-41&quot;,&quot;abstract&quot;:&quot;Objective: This meta-analysis study was performed to examine the relationship between occupational exposure to pesticides and the risk of obstructive pulmonary diseases such as chronic obstructive pulmonary disease (COPD) and chronic bronchitis. Study design: This is a systematic review and meta-analysis study. Methods: PubMed and Scopus databases were searched for English-language publications. Eight cohort studies and one case–control study were included in the pooled analysis. Results: These studies had a total of 101,353 participants from eleven different countries and were published between 2006 and 2018. The heterogeneity among the studies was high (P &lt; 0.001, I2 = 68.7%). In a random-effects model meta-analysis, a pooled odds ratio (OR) analysis showed that there was a direct relationship between occupational exposure to the pesticides and obstructive pulmonary diseases (OR = 1.33, 95% confidence interval [CI]: 1.21–1.47). A positive significant relationship was also observed between exposure to the pesticides and risk of chronic bronchitis (OR = 1.27, 95% CI: 1.23–1.31). Also, there was a significant relationship between occupational exposure to the pesticides and an increased risk of COPD (OR = 1.44, 95% CI: 1.14–1.81). No evidence of publication bias was found among the studies according to the results of the Egger's test (P of bias = 0.157). Conclusions: Findings of this study show that occupational exposure to pesticides can be associated with an increased risk of obstructive lung diseases including chronic bronchitis and COPD.&quot;,&quot;publisher&quot;:&quot;Public Health&quot;,&quot;volume&quot;:&quot;174&quot;,&quot;container-title-short&quot;:&quot;Public Health&quot;},&quot;isTemporary&quot;:false},{&quot;id&quot;:&quot;10593b90-18ed-35c4-9c96-95f79683078f&quot;,&quot;itemData&quot;:{&quot;type&quot;:&quot;article-journal&quot;,&quot;id&quot;:&quot;10593b90-18ed-35c4-9c96-95f79683078f&quot;,&quot;title&quot;:&quot;COPD in Firefighters: A Specific Event-Related Condition Rather than a Common Occupational Respiratory Disorder&quot;,&quot;author&quot;:[{&quot;family&quot;:&quot;Rajnoveanu&quot;,&quot;given&quot;:&quot;Armand Gabriel&quot;,&quot;parse-names&quot;:false,&quot;dropping-particle&quot;:&quot;&quot;,&quot;non-dropping-particle&quot;:&quot;&quot;},{&quot;family&quot;:&quot;Rajnoveanu&quot;,&quot;given&quot;:&quot;Ruxandra Mioara&quot;,&quot;parse-names&quot;:false,&quot;dropping-particle&quot;:&quot;&quot;,&quot;non-dropping-particle&quot;:&quot;&quot;},{&quot;family&quot;:&quot;Motoc&quot;,&quot;given&quot;:&quot;Nicoleta Stefania&quot;,&quot;parse-names&quot;:false,&quot;dropping-particle&quot;:&quot;&quot;,&quot;non-dropping-particle&quot;:&quot;&quot;},{&quot;family&quot;:&quot;Postolache&quot;,&quot;given&quot;:&quot;Paraschiva&quot;,&quot;parse-names&quot;:false,&quot;dropping-particle&quot;:&quot;&quot;,&quot;non-dropping-particle&quot;:&quot;&quot;},{&quot;family&quot;:&quot;Gusetu&quot;,&quot;given&quot;:&quot;Gabriel&quot;,&quot;parse-names&quot;:false,&quot;dropping-particle&quot;:&quot;&quot;,&quot;non-dropping-particle&quot;:&quot;&quot;},{&quot;family&quot;:&quot;Man&quot;,&quot;given&quot;:&quot;Milena Adina&quot;,&quot;parse-names&quot;:false,&quot;dropping-particle&quot;:&quot;&quot;,&quot;non-dropping-particle&quot;:&quot;&quot;}],&quot;container-title&quot;:&quot;Medicina (Kaunas, Lithuania)&quot;,&quot;accessed&quot;:{&quot;date-parts&quot;:[[2025,4,14]]},&quot;DOI&quot;:&quot;10.3390/MEDICINA58020239&quot;,&quot;ISSN&quot;:&quot;1648-9144&quot;,&quot;PMID&quot;:&quot;35208563&quot;,&quot;URL&quot;:&quot;https://pubmed.ncbi.nlm.nih.gov/35208563/&quot;,&quot;issued&quot;:{&quot;date-parts&quot;:[[2022,2,1]]},&quot;abstract&quot;:&quot;Chronic obstructive pulmonary disease (COPD) is a leading cause of morbidity and mortality worldwide. Smoking remains the most important risk factor, but occupational exposures may play an essential role as well. Firefighters are among occupations regularly exposed to a variety of irritative inhalational products, and they may be expected to develop respiratory health problems because of such an occupational exposure. To better understand and characterize this relationship, we performed an extensive search of the scientific literature, and we identified two major research areas: firefighters exposed to wildland fire smoke and firefighters involved in the World Trade Centre disaster-related operations. Most of the studies did not report a significant increase in COPD diagnosis in firefighters. An accelerated rate of decline in lung function was seen, a short time after major exposure events. This is the reason for an increased rate of exacerbations observed in individuals already diagnosed with obstructive respiratory disorders. A limited number of studies not covering these specific circumstances of exposure were found. They reported long-term morbidity and mortality data, and the results are controversial. Major confounding factors for most of the studies were the “healthy worker effect” and the lack of useful data regarding smoking habits. Efforts should be made in the future to better characterize specific biomarkers for the progression of COPD; to establish exposure limits; and to implement preventive strategies like rotation of workers, smoking cessation programs, and long-term monitoring programs for respiratory disorders.&quot;,&quot;publisher&quot;:&quot;Medicina (Kaunas)&quot;,&quot;issue&quot;:&quot;2&quot;,&quot;volume&quot;:&quot;58&quot;,&quot;container-title-short&quot;:&quot;Medicina (Kaunas)&quot;},&quot;isTemporary&quot;:false}]},{&quot;citationID&quot;:&quot;MENDELEY_CITATION_1f3933d5-0c7b-4d88-b437-33b5fbfeceb4&quot;,&quot;properties&quot;:{&quot;noteIndex&quot;:0},&quot;isEdited&quot;:false,&quot;manualOverride&quot;:{&quot;isManuallyOverridden&quot;:false,&quot;citeprocText&quot;:&quot;[108]&quot;,&quot;manualOverrideText&quot;:&quot;&quot;},&quot;citationTag&quot;:&quot;MENDELEY_CITATION_v3_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&quot;,&quot;citationItems&quot;:[{&quot;id&quot;:&quot;959fdc2e-a568-3be8-8c91-ced94c5d8f34&quot;,&quot;itemData&quot;:{&quot;type&quot;:&quot;article-journal&quot;,&quot;id&quot;:&quot;959fdc2e-a568-3be8-8c91-ced94c5d8f34&quot;,&quot;title&quot;:&quot;Global, Regional, and National Burden of COPD Attributable to Occupational Particulate Matter, Gases, and Fumes, 1990-2019: Findings from the Global Burden of Disease Study 2019&quot;,&quot;author&quot;:[{&quot;family&quot;:&quot;Su&quot;,&quot;given&quot;:&quot;Xin&quot;,&quot;parse-names&quot;:false,&quot;dropping-particle&quot;:&quot;&quot;,&quot;non-dropping-particle&quot;:&quot;&quot;},{&quot;family&quot;:&quot;Gu&quot;,&quot;given&quot;:&quot;Hengqiong&quot;,&quot;parse-names&quot;:false,&quot;dropping-particle&quot;:&quot;&quot;,&quot;non-dropping-particle&quot;:&quot;&quot;},{&quot;family&quot;:&quot;Li&quot;,&quot;given&quot;:&quot;Fajun&quot;,&quot;parse-names&quot;:false,&quot;dropping-particle&quot;:&quot;&quot;,&quot;non-dropping-particle&quot;:&quot;&quot;},{&quot;family&quot;:&quot;Shi&quot;,&quot;given&quot;:&quot;Donglei&quot;,&quot;parse-names&quot;:false,&quot;dropping-particle&quot;:&quot;&quot;,&quot;non-dropping-particle&quot;:&quot;&quot;},{&quot;family&quot;:&quot;Wang&quot;,&quot;given&quot;:&quot;Zhaojun&quot;,&quot;parse-names&quot;:false,&quot;dropping-particle&quot;:&quot;&quot;,&quot;non-dropping-particle&quot;:&quot;&quot;}],&quot;container-title&quot;:&quot;International journal of chronic obstructive pulmonary disease&quot;,&quot;accessed&quot;:{&quot;date-parts&quot;:[[2025,4,14]]},&quot;DOI&quot;:&quot;10.2147/COPD.S436879&quot;,&quot;ISSN&quot;:&quot;1178-2005&quot;,&quot;PMID&quot;:&quot;38111466&quot;,&quot;URL&quot;:&quot;https://pubmed.ncbi.nlm.nih.gov/38111466/&quot;,&quot;issued&quot;:{&quot;date-parts&quot;:[[2023]]},&quot;page&quot;:&quot;2971-2983&quot;,&quot;abstract&quot;:&quot;Background: A study aimed to estimate the burden of Chronic obstructive pulmonary disease (COPD) caused by occupational exposure to particulate matter, gases, and fumes in 204 countries from 1990 to 2019. Methods: Data on the deaths number, age-standardized mortality rates (ASMR), and age-standardized disability-adjusted life years (DALYs) rates (ASDR) of COPD attributable to occupational particulate matter, gases, and fumes were collected from the GBD study 2019. We also investigated the association between the ASDR and SDI. Results: There were 517.7 thousand deaths [95% UI: 413.9 to 634.5] in 2019. The number of deaths increased from 1990 to 2019. The ASMR and ASDR were 6.61 (5.24 to 8.17) and 143.02 (118.56 to 168.69) in 2019, respectively, representing a 46% and 44.5% decrease since 1990. China had the highest number of deaths [200,748.4 (151,897.6 to 260,703.9)], while Nepal had the highest ASMR [39 (27.7 to 50)] and ASDR [724.5 (549 to 894.2)]. Males and females 75–79 and 80–84 years old had the highest number of COPD deaths. A negative correlation was observed when SDI &gt; 0.4, whereas a positive correlation was found when SDI &lt; 0.4. Conclusion: From 1990 to 2019, there was an increase in the number of deaths, but a decline in ASMR and ASDR globally. Besides, there was a heterogeneous burden of COPD attributable to occupational particulate matter, gases, and fumes across regions and countries. It is important to develop and implement strategies to prevent and reduce the burden of COPD attributable to occupational particulate matter, gases, and fumes.&quot;,&quot;publisher&quot;:&quot;Int J Chron Obstruct Pulmon Dis&quot;,&quot;volume&quot;:&quot;18&quot;,&quot;container-title-short&quot;:&quot;Int J Chron Obstruct Pulmon Dis&quot;},&quot;isTemporary&quot;:false}]},{&quot;citationID&quot;:&quot;MENDELEY_CITATION_a924e374-23e0-4a40-a3d3-68c06767dcee&quot;,&quot;properties&quot;:{&quot;noteIndex&quot;:0},&quot;isEdited&quot;:false,&quot;manualOverride&quot;:{&quot;isManuallyOverridden&quot;:false,&quot;citeprocText&quot;:&quot;[13,108]&quot;,&quot;manualOverrideText&quot;:&quot;&quot;},&quot;citationTag&quot;:&quot;MENDELEY_CITATION_v3_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&quot;,&quot;citationItems&quot;:[{&quot;id&quot;:&quot;33a313ba-178c-31a1-8972-99be31d99a6f&quot;,&quot;itemData&quot;:{&quot;type&quot;:&quot;article-journal&quot;,&quot;id&quot;:&quot;33a313ba-178c-31a1-8972-99be31d99a6f&quot;,&quot;title&quot;:&quot;The Occupational Burden of Nonmalignant Respiratory Diseases An Official American Thoracic Society and European Respiratory Society Statement&quot;,&quot;author&quot;:[{&quot;family&quot;:&quot;Blanc&quot;,&quot;given&quot;:&quot;Paul D&quot;,&quot;parse-names&quot;:false,&quot;dropping-particle&quot;:&quot;&quot;,&quot;non-dropping-particle&quot;:&quot;&quot;},{&quot;family&quot;:&quot;Annesi-Maesano&quot;,&quot;given&quot;:&quot;Isabella&quot;,&quot;parse-names&quot;:false,&quot;dropping-particle&quot;:&quot;&quot;,&quot;non-dropping-particle&quot;:&quot;&quot;},{&quot;family&quot;:&quot;Balmes&quot;,&quot;given&quot;:&quot;John R&quot;,&quot;parse-names&quot;:false,&quot;dropping-particle&quot;:&quot;&quot;,&quot;non-dropping-particle&quot;:&quot;&quot;},{&quot;family&quot;:&quot;Cummings&quot;,&quot;given&quot;:&quot;Kristin J&quot;,&quot;parse-names&quot;:false,&quot;dropping-particle&quot;:&quot;&quot;,&quot;non-dropping-particle&quot;:&quot;&quot;},{&quot;family&quot;:&quot;Fishwick&quot;,&quot;given&quot;:&quot;David&quot;,&quot;parse-names&quot;:false,&quot;dropping-particle&quot;:&quot;&quot;,&quot;non-dropping-particle&quot;:&quot;&quot;},{&quot;family&quot;:&quot;Miedinger&quot;,&quot;given&quot;:&quot;David&quot;,&quot;parse-names&quot;:false,&quot;dropping-particle&quot;:&quot;&quot;,&quot;non-dropping-particle&quot;:&quot;&quot;},{&quot;family&quot;:&quot;Murgia&quot;,&quot;given&quot;:&quot;Nicola&quot;,&quot;parse-names&quot;:false,&quot;dropping-particle&quot;:&quot;&quot;,&quot;non-dropping-particle&quot;:&quot;&quot;},{&quot;family&quot;:&quot;Naidoo&quot;,&quot;given&quot;:&quot;Rajen N&quot;,&quot;parse-names&quot;:false,&quot;dropping-particle&quot;:&quot;&quot;,&quot;non-dropping-particle&quot;:&quot;&quot;},{&quot;family&quot;:&quot;Reynolds&quot;,&quot;given&quot;:&quot;Carl J&quot;,&quot;parse-names&quot;:false,&quot;dropping-particle&quot;:&quot;&quot;,&quot;non-dropping-particle&quot;:&quot;&quot;},{&quot;family&quot;:&quot;Sigsgaard&quot;,&quot;given&quot;:&quot;Torben&quot;,&quot;parse-names&quot;:false,&quot;dropping-particle&quot;:&quot;&quot;,&quot;non-dropping-particle&quot;:&quot;&quot;},{&quot;family&quot;:&quot;Torén&quot;,&quot;given&quot;:&quot;Kjell&quot;,&quot;parse-names&quot;:false,&quot;dropping-particle&quot;:&quot;&quot;,&quot;non-dropping-particle&quot;:&quot;&quot;},{&quot;family&quot;:&quot;Torén&quot;,&quot;given&quot;:&quot;Tor´&quot;,&quot;parse-names&quot;:false,&quot;dropping-particle&quot;:&quot;&quot;,&quot;non-dropping-particle&quot;:&quot;&quot;},{&quot;family&quot;:&quot;Vinnikov&quot;,&quot;given&quot;:&quot;Denis&quot;,&quot;parse-names&quot;:false,&quot;dropping-particle&quot;:&quot;&quot;,&quot;non-dropping-particle&quot;:&quot;&quot;},{&quot;family&quot;:&quot;Redlich&quot;,&quot;given&quot;:&quot;Carrie A&quot;,&quot;parse-names&quot;:false,&quot;dropping-particle&quot;:&quot;&quot;,&quot;non-dropping-particle&quot;:&quot;&quot;}],&quot;container-title&quot;:&quot;American  Journal of Respiratory and Critical Care Medicine&quot;,&quot;accessed&quot;:{&quot;date-parts&quot;:[[2020,12,9]]},&quot;DOI&quot;:&quot;10.1164/rccm.201904-0717ST&quot;,&quot;URL&quot;:&quot;www.atsjournals.org.&quot;,&quot;issued&quot;:{&quot;date-parts&quot;:[[2019,6,1]]},&quot;page&quot;:&quot;1312-1334&quot;,&quot;issue&quot;:&quot;11&quot;,&quot;volume&quot;:&quot;199&quot;,&quot;container-title-short&quot;:&quot;Am J Respir Crit Care Med&quot;},&quot;isTemporary&quot;:false},{&quot;id&quot;:&quot;959fdc2e-a568-3be8-8c91-ced94c5d8f34&quot;,&quot;itemData&quot;:{&quot;type&quot;:&quot;article-journal&quot;,&quot;id&quot;:&quot;959fdc2e-a568-3be8-8c91-ced94c5d8f34&quot;,&quot;title&quot;:&quot;Global, Regional, and National Burden of COPD Attributable to Occupational Particulate Matter, Gases, and Fumes, 1990-2019: Findings from the Global Burden of Disease Study 2019&quot;,&quot;author&quot;:[{&quot;family&quot;:&quot;Su&quot;,&quot;given&quot;:&quot;Xin&quot;,&quot;parse-names&quot;:false,&quot;dropping-particle&quot;:&quot;&quot;,&quot;non-dropping-particle&quot;:&quot;&quot;},{&quot;family&quot;:&quot;Gu&quot;,&quot;given&quot;:&quot;Hengqiong&quot;,&quot;parse-names&quot;:false,&quot;dropping-particle&quot;:&quot;&quot;,&quot;non-dropping-particle&quot;:&quot;&quot;},{&quot;family&quot;:&quot;Li&quot;,&quot;given&quot;:&quot;Fajun&quot;,&quot;parse-names&quot;:false,&quot;dropping-particle&quot;:&quot;&quot;,&quot;non-dropping-particle&quot;:&quot;&quot;},{&quot;family&quot;:&quot;Shi&quot;,&quot;given&quot;:&quot;Donglei&quot;,&quot;parse-names&quot;:false,&quot;dropping-particle&quot;:&quot;&quot;,&quot;non-dropping-particle&quot;:&quot;&quot;},{&quot;family&quot;:&quot;Wang&quot;,&quot;given&quot;:&quot;Zhaojun&quot;,&quot;parse-names&quot;:false,&quot;dropping-particle&quot;:&quot;&quot;,&quot;non-dropping-particle&quot;:&quot;&quot;}],&quot;container-title&quot;:&quot;International journal of chronic obstructive pulmonary disease&quot;,&quot;accessed&quot;:{&quot;date-parts&quot;:[[2025,4,14]]},&quot;DOI&quot;:&quot;10.2147/COPD.S436879&quot;,&quot;ISSN&quot;:&quot;1178-2005&quot;,&quot;PMID&quot;:&quot;38111466&quot;,&quot;URL&quot;:&quot;https://pubmed.ncbi.nlm.nih.gov/38111466/&quot;,&quot;issued&quot;:{&quot;date-parts&quot;:[[2023]]},&quot;page&quot;:&quot;2971-2983&quot;,&quot;abstract&quot;:&quot;Background: A study aimed to estimate the burden of Chronic obstructive pulmonary disease (COPD) caused by occupational exposure to particulate matter, gases, and fumes in 204 countries from 1990 to 2019. Methods: Data on the deaths number, age-standardized mortality rates (ASMR), and age-standardized disability-adjusted life years (DALYs) rates (ASDR) of COPD attributable to occupational particulate matter, gases, and fumes were collected from the GBD study 2019. We also investigated the association between the ASDR and SDI. Results: There were 517.7 thousand deaths [95% UI: 413.9 to 634.5] in 2019. The number of deaths increased from 1990 to 2019. The ASMR and ASDR were 6.61 (5.24 to 8.17) and 143.02 (118.56 to 168.69) in 2019, respectively, representing a 46% and 44.5% decrease since 1990. China had the highest number of deaths [200,748.4 (151,897.6 to 260,703.9)], while Nepal had the highest ASMR [39 (27.7 to 50)] and ASDR [724.5 (549 to 894.2)]. Males and females 75–79 and 80–84 years old had the highest number of COPD deaths. A negative correlation was observed when SDI &gt; 0.4, whereas a positive correlation was found when SDI &lt; 0.4. Conclusion: From 1990 to 2019, there was an increase in the number of deaths, but a decline in ASMR and ASDR globally. Besides, there was a heterogeneous burden of COPD attributable to occupational particulate matter, gases, and fumes across regions and countries. It is important to develop and implement strategies to prevent and reduce the burden of COPD attributable to occupational particulate matter, gases, and fumes.&quot;,&quot;publisher&quot;:&quot;Int J Chron Obstruct Pulmon Dis&quot;,&quot;volume&quot;:&quot;18&quot;,&quot;container-title-short&quot;:&quot;Int J Chron Obstruct Pulmon Dis&quot;},&quot;isTemporary&quot;:false}]},{&quot;citationID&quot;:&quot;MENDELEY_CITATION_316c1dad-b49c-45f8-ac9e-d371ae63478a&quot;,&quot;properties&quot;:{&quot;noteIndex&quot;:0},&quot;isEdited&quot;:false,&quot;manualOverride&quot;:{&quot;isManuallyOverridden&quot;:false,&quot;citeprocText&quot;:&quot;[97]&quot;,&quot;manualOverrideText&quot;:&quot;&quot;},&quot;citationTag&quot;:&quot;MENDELEY_CITATION_v3_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&quot;,&quot;citationItems&quot;:[{&quot;id&quot;:&quot;9f8bc563-a705-3b03-bce1-601de6efc5ec&quot;,&quot;itemData&quot;:{&quot;type&quot;:&quot;article-journal&quot;,&quot;id&quot;:&quot;9f8bc563-a705-3b03-bce1-601de6efc5ec&quot;,&quot;title&quot;:&quot;Identifying risk factors for COPD and adult-onset asthma: an umbrella review&quot;,&quot;author&quot;:[{&quot;family&quot;:&quot;Holtjer&quot;,&quot;given&quot;:&quot;Judith C.S.&quot;,&quot;parse-names&quot;:false,&quot;dropping-particle&quot;:&quot;&quot;,&quot;non-dropping-particle&quot;:&quot;&quot;},{&quot;family&quot;:&quot;Bloemsma&quot;,&quot;given&quot;:&quot;Lizan D.&quot;,&quot;parse-names&quot;:false,&quot;dropping-particle&quot;:&quot;&quot;,&quot;non-dropping-particle&quot;:&quot;&quot;},{&quot;family&quot;:&quot;Beijers&quot;,&quot;given&quot;:&quot;Rosanne J.H.C.G.&quot;,&quot;parse-names&quot;:false,&quot;dropping-particle&quot;:&quot;&quot;,&quot;non-dropping-particle&quot;:&quot;&quot;},{&quot;family&quot;:&quot;Cornelissen&quot;,&quot;given&quot;:&quot;Merel E.B.&quot;,&quot;parse-names&quot;:false,&quot;dropping-particle&quot;:&quot;&quot;,&quot;non-dropping-particle&quot;:&quot;&quot;},{&quot;family&quot;:&quot;Hilvering&quot;,&quot;given&quot;:&quot;Bart&quot;,&quot;parse-names&quot;:false,&quot;dropping-particle&quot;:&quot;&quot;,&quot;non-dropping-particle&quot;:&quot;&quot;},{&quot;family&quot;:&quot;Houweling&quot;,&quot;given&quot;:&quot;Laura&quot;,&quot;parse-names&quot;:false,&quot;dropping-particle&quot;:&quot;&quot;,&quot;non-dropping-particle&quot;:&quot;&quot;},{&quot;family&quot;:&quot;Vermeulen&quot;,&quot;given&quot;:&quot;Roel C.H.&quot;,&quot;parse-names&quot;:false,&quot;dropping-particle&quot;:&quot;&quot;,&quot;non-dropping-particle&quot;:&quot;&quot;},{&quot;family&quot;:&quot;Downward&quot;,&quot;given&quot;:&quot;George S.&quot;,&quot;parse-names&quot;:false,&quot;dropping-particle&quot;:&quot;&quot;,&quot;non-dropping-particle&quot;:&quot;&quot;},{&quot;family&quot;:&quot;Zee&quot;,&quot;given&quot;:&quot;Anke Hilse Maitland&quot;,&quot;parse-names&quot;:false,&quot;dropping-particle&quot;:&quot;Van&quot;,&quot;non-dropping-particle&quot;:&quot;der&quot;}],&quot;container-title&quot;:&quot;European Respiratory Review&quot;,&quot;accessed&quot;:{&quot;date-parts&quot;:[[2024,3,17]]},&quot;DOI&quot;:&quot;10.1183/16000617.0009-2023&quot;,&quot;ISSN&quot;:&quot;16000617&quot;,&quot;PMID&quot;:&quot;37137510&quot;,&quot;URL&quot;:&quot;/pmc/articles/PMC10155046/&quot;,&quot;issued&quot;:{&quot;date-parts&quot;:[[2023,6,6]]},&quot;abstract&quot;:&quot;Background COPD and adult-onset asthma (AOA) are the most common noncommunicable respiratory diseases. To improve early identification and prevention, an overview of risk factors is needed. We therefore aimed to systematically summarise the nongenetic (exposome) risk factors for AOA and COPD. Additionally, we aimed to compare the risk factors for COPD and AOA. Methods In this umbrella review, we searched PubMed for articles from inception until 1 February 2023 and screened the references of relevant articles. We included systematic reviews and meta-analyses of observational epidemiological studies in humans that assessed a minimum of one lifestyle or environmental risk factor for AOA or COPD. Results In total, 75 reviews were included, of which 45 focused on risk factors for COPD, 28 on AOA and two examined both. For asthma, 43 different risk factors were identified while 45 were identified for COPD. For AOA, smoking, a high body mass index (BMI), wood dust exposure and residential chemical exposures, such as formaldehyde exposure or exposure to volatile organic compounds, were amongst the risk factors found. For COPD, smoking, ambient air pollution including nitrogen dioxide, a low BMI, indoor biomass burning, childhood asthma, occupational dust exposure and diet were amongst the risk factors found. Conclusions Many different factors for COPD and asthma have been found, highlighting the differences and similarities. The results of this systematic review can be used to target and identify people at high risk for COPD or AOA.&quot;,&quot;publisher&quot;:&quot;European Respiratory Society&quot;,&quot;issue&quot;:&quot;168&quot;,&quot;volume&quot;:&quot;32&quot;,&quot;container-title-short&quot;:&quot;&quot;},&quot;isTemporary&quot;:false}]},{&quot;citationID&quot;:&quot;MENDELEY_CITATION_80e58810-d3a7-488b-8a11-972c11d8f72c&quot;,&quot;properties&quot;:{&quot;noteIndex&quot;:0},&quot;isEdited&quot;:false,&quot;manualOverride&quot;:{&quot;isManuallyOverridden&quot;:false,&quot;citeprocText&quot;:&quot;[109]&quot;,&quot;manualOverrideText&quot;:&quot;&quot;},&quot;citationTag&quot;:&quot;MENDELEY_CITATION_v3_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&quot;,&quot;citationItems&quot;:[{&quot;id&quot;:&quot;5d612fbc-8182-3eff-80b1-f73dea3a19d3&quot;,&quot;itemData&quot;:{&quot;type&quot;:&quot;article-journal&quot;,&quot;id&quot;:&quot;5d612fbc-8182-3eff-80b1-f73dea3a19d3&quot;,&quot;title&quot;:&quot;Occupational exposure and airflow obstruction and self-reported COPD among ever-employed US adults using a COPD-job exposure matrix&quot;,&quot;author&quot;:[{&quot;family&quot;:&quot;Doney&quot;,&quot;given&quot;:&quot;Brent&quot;,&quot;parse-names&quot;:false,&quot;dropping-particle&quot;:&quot;&quot;,&quot;non-dropping-particle&quot;:&quot;&quot;},{&quot;family&quot;:&quot;Kurth&quot;,&quot;given&quot;:&quot;Laura&quot;,&quot;parse-names&quot;:false,&quot;dropping-particle&quot;:&quot;&quot;,&quot;non-dropping-particle&quot;:&quot;&quot;},{&quot;family&quot;:&quot;Halldin&quot;,&quot;given&quot;:&quot;Cara&quot;,&quot;parse-names&quot;:false,&quot;dropping-particle&quot;:&quot;&quot;,&quot;non-dropping-particle&quot;:&quot;&quot;},{&quot;family&quot;:&quot;Hale&quot;,&quot;given&quot;:&quot;Janet&quot;,&quot;parse-names&quot;:false,&quot;dropping-particle&quot;:&quot;&quot;,&quot;non-dropping-particle&quot;:&quot;&quot;},{&quot;family&quot;:&quot;Frenk&quot;,&quot;given&quot;:&quot;Steven M.&quot;,&quot;parse-names&quot;:false,&quot;dropping-particle&quot;:&quot;&quot;,&quot;non-dropping-particle&quot;:&quot;&quot;}],&quot;container-title&quot;:&quot;American journal of industrial medicine&quot;,&quot;container-title-short&quot;:&quot;Am J Ind Med&quot;,&quot;accessed&quot;:{&quot;date-parts&quot;:[[2025,6,1]]},&quot;DOI&quot;:&quot;10.1002/AJIM.22958&quot;,&quot;ISSN&quot;:&quot;10970274&quot;,&quot;PMID&quot;:&quot;30775792&quot;,&quot;URL&quot;:&quot;https://pmc.ncbi.nlm.nih.gov/articles/PMC6661888/&quot;,&quot;issued&quot;:{&quot;date-parts&quot;:[[2019,5,1]]},&quot;page&quot;:&quot;393&quot;,&quot;abstract&quot;:&quot;Introduction: This study examined the association of spirometry-defined airflow obstruction and self-reported COPD defined as self-reported doctor diagnosed chronic bronchitis or emphysema, with occupational exposure among ever-employed US adults. Methods: Data were obtained from the National Health and Nutrition Examination Survey (NHANES) 2007-2008 to 2011-2012, a nationally representative study of the non-institutionalized civilian US population. Reported current and/or longest held job were used to create prevalence estimates and prevalence odds ratios (PORs) (adjusted for age, gender, race, and smoking status) for airflow obstruction and self-reported COPD by occupational exposure, determined using both NHANES participants’ self-reported exposures and eight categories of COPD job exposure matrix (JEM) assigned exposures. Results: Significant PORs for airflow obstruction and self-reported COPD respectively were observed with self-reported exposure for ≥20 years to mineral dust (POR = 1.44; 95% confidence interval (CI) 1.13-1.85; POR = 1.69; 95% CI 1.17-2.43) and exhaust fumes (POR = 1.65; 95% CI 1.27-2.15; POR = 2.22; 95% CI 1.37-3.58). Airflow obstruction or self-reported COPD were also associated with COPD-JEM assigned high exposure to mineral dust, combined dust, diesel exhaust, vapor-gas, sensitizers, and overall exposure. Conclusion: Airflow obstruction and self-reported COPD are associated with both self-reported and JEM-assigned exposures.&quot;,&quot;publisher&quot;:&quot;Wiley-Liss Inc.&quot;,&quot;issue&quot;:&quot;5&quot;,&quot;volume&quot;:&quot;62&quot;},&quot;isTemporary&quot;:false}]},{&quot;citationID&quot;:&quot;MENDELEY_CITATION_40a3f90a-2b82-4f4d-8dd3-c0f3603916f1&quot;,&quot;properties&quot;:{&quot;noteIndex&quot;:0},&quot;isEdited&quot;:false,&quot;manualOverride&quot;:{&quot;isManuallyOverridden&quot;:false,&quot;citeprocText&quot;:&quot;[110]&quot;,&quot;manualOverrideText&quot;:&quot;&quot;},&quot;citationTag&quot;:&quot;MENDELEY_CITATION_v3_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&quot;,&quot;citationItems&quot;:[{&quot;id&quot;:&quot;0e23028f-0edb-3b95-95c9-8a8acbe4fed4&quot;,&quot;itemData&quot;:{&quot;type&quot;:&quot;article-journal&quot;,&quot;id&quot;:&quot;0e23028f-0edb-3b95-95c9-8a8acbe4fed4&quot;,&quot;title&quot;:&quot;Incident chronic obstructive pulmonary disease associated with occupation, industry, and workplace exposures in the Health and Retirement Study&quot;,&quot;author&quot;:[{&quot;family&quot;:&quot;Silver&quot;,&quot;given&quot;:&quot;Sharon R.&quot;,&quot;parse-names&quot;:false,&quot;dropping-particle&quot;:&quot;&quot;,&quot;non-dropping-particle&quot;:&quot;&quot;},{&quot;family&quot;:&quot;Alarcon&quot;,&quot;given&quot;:&quot;Walter A.&quot;,&quot;parse-names&quot;:false,&quot;dropping-particle&quot;:&quot;&quot;,&quot;non-dropping-particle&quot;:&quot;&quot;},{&quot;family&quot;:&quot;Li&quot;,&quot;given&quot;:&quot;Jia&quot;,&quot;parse-names&quot;:false,&quot;dropping-particle&quot;:&quot;&quot;,&quot;non-dropping-particle&quot;:&quot;&quot;}],&quot;container-title&quot;:&quot;American journal of industrial medicine&quot;,&quot;container-title-short&quot;:&quot;Am J Ind Med&quot;,&quot;accessed&quot;:{&quot;date-parts&quot;:[[2025,6,1]]},&quot;DOI&quot;:&quot;10.1002/AJIM.23196&quot;,&quot;ISSN&quot;:&quot;10970274&quot;,&quot;PMID&quot;:&quot;33124723&quot;,&quot;URL&quot;:&quot;https://pmc.ncbi.nlm.nih.gov/articles/PMC7736507/&quot;,&quot;issued&quot;:{&quot;date-parts&quot;:[[2020,1,1]]},&quot;page&quot;:&quot;26&quot;,&quot;abstract&quot;:&quot;Background: Chronic health effects from accumulated occupational exposures manifest as the workforce ages. The Health and Retirement Study (HRS), a panel survey of U.S. adults nearing/in retirement, allows assessment of associations among industry and occupation (I/O), workplace exposures, and incident chronic obstructive pulmonary disease (COPD). Methods: The study population comprised respondents from the 1992 HRS cohort employed in 1972 or later and not diagnosed with COPD as of initial interview. We examined associations with incident COPD through 2016 and: (1) broad and selected detailed I/O, (2) workplace exposures, and (3) exposures within I/O. Given the cohort's baseline age (50–62), we calculated subhazard ratios (SHRs) for COPD accounting for competing risk of death. Results: SHRs for COPD were significantly elevated for several industries: mining; blast furnaces, steelworks, rolling and finishing mills; groceries and related products; and automotive repair shops. Occupations with significantly elevated SHRs were maids and housemen; farmworkers; vehicle/mobile equipment mechanics and repair workers; material moving equipment operators; and nonconstruction laborers. Significantly elevated COPD SHRs were observed for specific I/O-exposure pairs: blast furnace/steelworks/rolling/finishing mills and asbestos; automotive repair shops and aerosol paints; farmworkers and pesticide exposures; and both material moving equipment operators and nonconstruction laborers exposed to dust and ash. Conclusions: Certain jobs and occupational exposures are associated with increased risk for developing COPD in late preretirement and during retirement. Given the disability and economic costs of COPD, these findings support focusing exposure prevention and medical monitoring resources on groups of workers at increased risk.&quot;,&quot;publisher&quot;:&quot;Wiley-Liss Inc.&quot;,&quot;issue&quot;:&quot;1&quot;,&quot;volume&quot;:&quot;64&quot;},&quot;isTemporary&quot;:false}]},{&quot;citationID&quot;:&quot;MENDELEY_CITATION_af22a5aa-3a1e-4d9d-981f-caec60244ff9&quot;,&quot;properties&quot;:{&quot;noteIndex&quot;:0},&quot;isEdited&quot;:false,&quot;manualOverride&quot;:{&quot;isManuallyOverridden&quot;:false,&quot;citeprocText&quot;:&quot;[11–13,111]&quot;,&quot;manualOverrideText&quot;:&quot;&quot;},&quot;citationTag&quot;:&quot;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&quot;,&quot;citationItems&quot;:[{&quot;id&quot;:&quot;8ec0c7d1-fcf8-3271-9b5c-53dc7461f721&quot;,&quot;itemData&quot;:{&quot;type&quot;:&quot;article-journal&quot;,&quot;id&quot;:&quot;8ec0c7d1-fcf8-3271-9b5c-53dc7461f721&quot;,&quot;title&quot;:&quot;Occupational COPD-The most under-recognized occupational lung disease?&quot;,&quot;author&quot;:[{&quot;family&quot;:&quot;Murgia&quot;,&quot;given&quot;:&quot;Nicola&quot;,&quot;parse-names&quot;:false,&quot;dropping-particle&quot;:&quot;&quot;,&quot;non-dropping-particle&quot;:&quot;&quot;},{&quot;family&quot;:&quot;Gambelunghe&quot;,&quot;given&quot;:&quot;Angela&quot;,&quot;parse-names&quot;:false,&quot;dropping-particle&quot;:&quot;&quot;,&quot;non-dropping-particle&quot;:&quot;&quot;}],&quot;container-title&quot;:&quot;Respirology (Carlton, Vic.)&quot;,&quot;accessed&quot;:{&quot;date-parts&quot;:[[2024,12,2]]},&quot;DOI&quot;:&quot;10.1111/RESP.14272&quot;,&quot;ISSN&quot;:&quot;1440-1843&quot;,&quot;PMID&quot;:&quot;35513770&quot;,&quot;URL&quot;:&quot;https://pubmed.ncbi.nlm.nih.gov/35513770/&quot;,&quot;issued&quot;:{&quot;date-parts&quot;:[[2022,6,1]]},&quot;page&quot;:&quot;399-410&quot;,&quot;abstract&quot;:&quot;Chronic obstructive pulmonary disease (COPD) is caused by exposure to noxious particles and gases. Smoking is the main risk factor, but other factors are also associated with COPD. Occupational exposure to vapours, gases, dusts and fumes contributes to the development and progression of COPD, accounting for a population attributable fraction of 14%. Workplace pollutants, in particular inorganic dust, can initiate airway damage and inflammation, which are the hallmarks of COPD pathogenesis. Occupational COPD is still underdiagnosed, mainly due to the challenges of assessing the occupational component of the disease in clinical settings, especially if other risk factors are present. There is a need for specific education and training for clinicians, and research with a focus on evaluating the role of occupational exposure in causing COPD. Early diagnosis and identification of occupational causes is very important to prevent further decline in lung function and to reduce the health and socio-economic burden of COPD. Establishing details of the occupational history by general practitioners or respiratory physicians could help to define the occupational burden of COPD for individual patients, providing the first useful interventions (smoking cessation, best therapeutic management, etc.). Once patients are diagnosed with occupational COPD, there is a wide international variation in access to specialist occupational medicine and public health services, along with limitations in workplace and income support. Therefore, a strong collaboration between primary care physicians, respiratory physicians and occupational medicine specialists is desirable to help manage COPD patients' health and social issues.&quot;,&quot;publisher&quot;:&quot;Respirology&quot;,&quot;issue&quot;:&quot;6&quot;,&quot;volume&quot;:&quot;27&quot;,&quot;container-title-short&quot;:&quot;Respirology&quot;},&quot;isTemporary&quot;:false},{&quot;id&quot;:&quot;7f1bc2d1-bfb5-3092-a027-f476b5c282b3&quot;,&quot;itemData&quot;:{&quot;type&quot;:&quot;article-journal&quot;,&quot;id&quot;:&quot;7f1bc2d1-bfb5-3092-a027-f476b5c282b3&quot;,&quot;title&quot;:&quot;Occupational causes of chronic obstructive pulmonary disease: an update&quot;,&quot;author&quot;:[{&quot;family&quot;:&quot;Matteis&quot;,&quot;given&quot;:&quot;Sara&quot;,&quot;parse-names&quot;:false,&quot;dropping-particle&quot;:&quot;&quot;,&quot;non-dropping-particle&quot;:&quot;De&quot;}],&quot;container-title&quot;:&quot;Current opinion in allergy and clinical immunology&quot;,&quot;accessed&quot;:{&quot;date-parts&quot;:[[2024,11,30]]},&quot;DOI&quot;:&quot;10.1097/ACI.0000000000000817&quot;,&quot;ISSN&quot;:&quot;1473-6322&quot;,&quot;PMID&quot;:&quot;35125392&quot;,&quot;URL&quot;:&quot;https://pubmed.ncbi.nlm.nih.gov/35125392/&quot;,&quot;issued&quot;:{&quot;date-parts&quot;:[[2022,4,1]]},&quot;page&quot;:&quot;73-79&quot;,&quot;abstract&quot;:&quot;Purpose of reviewThis brief narrative review aims to highlight relevant recent updates on occupational causes of chronic obstructive pulmonary disease (COPD).Recent findingsThe most recent literature has been searched for any new relevant association between occupational exposures and COPD. Only large epidemiological studies of high quality have been included. Beyond the more traditional exposures, such as mineral or organic dusts, new chemicals have emerged as potential occupational causal agents for COPD. In particular, pesticides and cleaning products, including disinfectants, that have shown also positive exposure-response trends. For cleaning products, some specific chemicals have been identified, but for pesticides the identification of specific causal compounds is more challenging. The biological underlying mechanisms are still under study.SummaryIn the recent literature, occupational exposure to pesticides and cleaning products has emerged as potential cause of COPD. Awareness on occupational causes of COPD should increase among all stakeholders, from health professionals to public to prevent the associated public health burden. More studies on identifying the specific causal agents and mechanisms are needed to focus preventive strategies.&quot;,&quot;publisher&quot;:&quot;Curr Opin Allergy Clin Immunol&quot;,&quot;issue&quot;:&quot;2&quot;,&quot;volume&quot;:&quot;22&quot;,&quot;container-title-short&quot;:&quot;Curr Opin Allergy Clin Immunol&quot;},&quot;isTemporary&quot;:false},{&quot;id&quot;:&quot;33a313ba-178c-31a1-8972-99be31d99a6f&quot;,&quot;itemData&quot;:{&quot;type&quot;:&quot;article-journal&quot;,&quot;id&quot;:&quot;33a313ba-178c-31a1-8972-99be31d99a6f&quot;,&quot;title&quot;:&quot;The Occupational Burden of Nonmalignant Respiratory Diseases An Official American Thoracic Society and European Respiratory Society Statement&quot;,&quot;author&quot;:[{&quot;family&quot;:&quot;Blanc&quot;,&quot;given&quot;:&quot;Paul D&quot;,&quot;parse-names&quot;:false,&quot;dropping-particle&quot;:&quot;&quot;,&quot;non-dropping-particle&quot;:&quot;&quot;},{&quot;family&quot;:&quot;Annesi-Maesano&quot;,&quot;given&quot;:&quot;Isabella&quot;,&quot;parse-names&quot;:false,&quot;dropping-particle&quot;:&quot;&quot;,&quot;non-dropping-particle&quot;:&quot;&quot;},{&quot;family&quot;:&quot;Balmes&quot;,&quot;given&quot;:&quot;John R&quot;,&quot;parse-names&quot;:false,&quot;dropping-particle&quot;:&quot;&quot;,&quot;non-dropping-particle&quot;:&quot;&quot;},{&quot;family&quot;:&quot;Cummings&quot;,&quot;given&quot;:&quot;Kristin J&quot;,&quot;parse-names&quot;:false,&quot;dropping-particle&quot;:&quot;&quot;,&quot;non-dropping-particle&quot;:&quot;&quot;},{&quot;family&quot;:&quot;Fishwick&quot;,&quot;given&quot;:&quot;David&quot;,&quot;parse-names&quot;:false,&quot;dropping-particle&quot;:&quot;&quot;,&quot;non-dropping-particle&quot;:&quot;&quot;},{&quot;family&quot;:&quot;Miedinger&quot;,&quot;given&quot;:&quot;David&quot;,&quot;parse-names&quot;:false,&quot;dropping-particle&quot;:&quot;&quot;,&quot;non-dropping-particle&quot;:&quot;&quot;},{&quot;family&quot;:&quot;Murgia&quot;,&quot;given&quot;:&quot;Nicola&quot;,&quot;parse-names&quot;:false,&quot;dropping-particle&quot;:&quot;&quot;,&quot;non-dropping-particle&quot;:&quot;&quot;},{&quot;family&quot;:&quot;Naidoo&quot;,&quot;given&quot;:&quot;Rajen N&quot;,&quot;parse-names&quot;:false,&quot;dropping-particle&quot;:&quot;&quot;,&quot;non-dropping-particle&quot;:&quot;&quot;},{&quot;family&quot;:&quot;Reynolds&quot;,&quot;given&quot;:&quot;Carl J&quot;,&quot;parse-names&quot;:false,&quot;dropping-particle&quot;:&quot;&quot;,&quot;non-dropping-particle&quot;:&quot;&quot;},{&quot;family&quot;:&quot;Sigsgaard&quot;,&quot;given&quot;:&quot;Torben&quot;,&quot;parse-names&quot;:false,&quot;dropping-particle&quot;:&quot;&quot;,&quot;non-dropping-particle&quot;:&quot;&quot;},{&quot;family&quot;:&quot;Torén&quot;,&quot;given&quot;:&quot;Kjell&quot;,&quot;parse-names&quot;:false,&quot;dropping-particle&quot;:&quot;&quot;,&quot;non-dropping-particle&quot;:&quot;&quot;},{&quot;family&quot;:&quot;Torén&quot;,&quot;given&quot;:&quot;Tor´&quot;,&quot;parse-names&quot;:false,&quot;dropping-particle&quot;:&quot;&quot;,&quot;non-dropping-particle&quot;:&quot;&quot;},{&quot;family&quot;:&quot;Vinnikov&quot;,&quot;given&quot;:&quot;Denis&quot;,&quot;parse-names&quot;:false,&quot;dropping-particle&quot;:&quot;&quot;,&quot;non-dropping-particle&quot;:&quot;&quot;},{&quot;family&quot;:&quot;Redlich&quot;,&quot;given&quot;:&quot;Carrie A&quot;,&quot;parse-names&quot;:false,&quot;dropping-particle&quot;:&quot;&quot;,&quot;non-dropping-particle&quot;:&quot;&quot;}],&quot;container-title&quot;:&quot;American  Journal of Respiratory and Critical Care Medicine&quot;,&quot;accessed&quot;:{&quot;date-parts&quot;:[[2020,12,9]]},&quot;DOI&quot;:&quot;10.1164/rccm.201904-0717ST&quot;,&quot;URL&quot;:&quot;www.atsjournals.org.&quot;,&quot;issued&quot;:{&quot;date-parts&quot;:[[2019,6,1]]},&quot;page&quot;:&quot;1312-1334&quot;,&quot;issue&quot;:&quot;11&quot;,&quot;volume&quot;:&quot;199&quot;,&quot;container-title-short&quot;:&quot;Am J Respir Crit Care Med&quot;},&quot;isTemporary&quot;:false},{&quot;id&quot;:&quot;daafc41a-81fa-35ec-be12-0fa1bb1135c2&quot;,&quot;itemData&quot;:{&quot;type&quot;:&quot;article-journal&quot;,&quot;id&quot;:&quot;daafc41a-81fa-35ec-be12-0fa1bb1135c2&quot;,&quot;title&quot;:&quot;Contemporary Concise Review 2023: Environmental and occupational lung diseases&quot;,&quot;author&quot;:[{&quot;family&quot;:&quot;Yatera&quot;,&quot;given&quot;:&quot;Kazuhiro&quot;,&quot;parse-names&quot;:false,&quot;dropping-particle&quot;:&quot;&quot;,&quot;non-dropping-particle&quot;:&quot;&quot;},{&quot;family&quot;:&quot;Nishida&quot;,&quot;given&quot;:&quot;Chinatsu&quot;,&quot;parse-names&quot;:false,&quot;dropping-particle&quot;:&quot;&quot;,&quot;non-dropping-particle&quot;:&quot;&quot;}],&quot;container-title&quot;:&quot;Respirology (Carlton, Vic.)&quot;,&quot;accessed&quot;:{&quot;date-parts&quot;:[[2024,12,1]]},&quot;DOI&quot;:&quot;10.1111/RESP.14761&quot;,&quot;ISSN&quot;:&quot;1440-1843&quot;,&quot;PMID&quot;:&quot;38826078&quot;,&quot;URL&quot;:&quot;https://pubmed.ncbi.nlm.nih.gov/38826078/&quot;,&quot;issued&quot;:{&quot;date-parts&quot;:[[2024,7,1]]},&quot;page&quot;:&quot;574-587&quot;,&quot;abstract&quot;:&quot;Air pollutants have various effects on human health in environmental and occupational settings. Air pollutants can be a risk factor for incidence, exacerbation/aggravation and death due to various lung diseases, including asthma, chronic obstructive pulmonary disease (COPD), hypersensitivity pneumonitis or pneumonia (HP), pulmonary fibrosis such as pneumoconiosis and malignant respiratory diseases such as lung cancer and malignant pleural mesothelioma. Environmental and occupational respiratory diseases are crucial clinical and social issues worldwide, although the burden of respiratory disease due to environmental and occupational causes varies depending on country/region, demographic variables, geographical location, industrial structure and socioeconomic situation. The correct recognition of environmental and occupational lung diseases and taking appropriate measures are essential to their effective prevention.&quot;,&quot;publisher&quot;:&quot;Respirology&quot;,&quot;issue&quot;:&quot;7&quot;,&quot;volume&quot;:&quot;29&quot;,&quot;container-title-short&quot;:&quot;Respirology&quot;},&quot;isTemporary&quot;:false}]},{&quot;citationID&quot;:&quot;MENDELEY_CITATION_e3c87b2e-1df3-4b62-9336-65fc9b94a731&quot;,&quot;properties&quot;:{&quot;noteIndex&quot;:0},&quot;isEdited&quot;:false,&quot;manualOverride&quot;:{&quot;isManuallyOverridden&quot;:false,&quot;citeprocText&quot;:&quot;[12]&quot;,&quot;manualOverrideText&quot;:&quot;&quot;},&quot;citationTag&quot;:&quot;MENDELEY_CITATION_v3_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&quot;,&quot;citationItems&quot;:[{&quot;id&quot;:&quot;7f1bc2d1-bfb5-3092-a027-f476b5c282b3&quot;,&quot;itemData&quot;:{&quot;type&quot;:&quot;article-journal&quot;,&quot;id&quot;:&quot;7f1bc2d1-bfb5-3092-a027-f476b5c282b3&quot;,&quot;title&quot;:&quot;Occupational causes of chronic obstructive pulmonary disease: an update&quot;,&quot;author&quot;:[{&quot;family&quot;:&quot;Matteis&quot;,&quot;given&quot;:&quot;Sara&quot;,&quot;parse-names&quot;:false,&quot;dropping-particle&quot;:&quot;&quot;,&quot;non-dropping-particle&quot;:&quot;De&quot;}],&quot;container-title&quot;:&quot;Current opinion in allergy and clinical immunology&quot;,&quot;accessed&quot;:{&quot;date-parts&quot;:[[2024,11,30]]},&quot;DOI&quot;:&quot;10.1097/ACI.0000000000000817&quot;,&quot;ISSN&quot;:&quot;1473-6322&quot;,&quot;PMID&quot;:&quot;35125392&quot;,&quot;URL&quot;:&quot;https://pubmed.ncbi.nlm.nih.gov/35125392/&quot;,&quot;issued&quot;:{&quot;date-parts&quot;:[[2022,4,1]]},&quot;page&quot;:&quot;73-79&quot;,&quot;abstract&quot;:&quot;Purpose of reviewThis brief narrative review aims to highlight relevant recent updates on occupational causes of chronic obstructive pulmonary disease (COPD).Recent findingsThe most recent literature has been searched for any new relevant association between occupational exposures and COPD. Only large epidemiological studies of high quality have been included. Beyond the more traditional exposures, such as mineral or organic dusts, new chemicals have emerged as potential occupational causal agents for COPD. In particular, pesticides and cleaning products, including disinfectants, that have shown also positive exposure-response trends. For cleaning products, some specific chemicals have been identified, but for pesticides the identification of specific causal compounds is more challenging. The biological underlying mechanisms are still under study.SummaryIn the recent literature, occupational exposure to pesticides and cleaning products has emerged as potential cause of COPD. Awareness on occupational causes of COPD should increase among all stakeholders, from health professionals to public to prevent the associated public health burden. More studies on identifying the specific causal agents and mechanisms are needed to focus preventive strategies.&quot;,&quot;publisher&quot;:&quot;Curr Opin Allergy Clin Immunol&quot;,&quot;issue&quot;:&quot;2&quot;,&quot;volume&quot;:&quot;22&quot;,&quot;container-title-short&quot;:&quot;Curr Opin Allergy Clin Immunol&quot;},&quot;isTemporary&quot;:false}]},{&quot;citationID&quot;:&quot;MENDELEY_CITATION_37b4ebb3-2b56-4579-b5ac-95dcc28ef889&quot;,&quot;properties&quot;:{&quot;noteIndex&quot;:0},&quot;isEdited&quot;:false,&quot;manualOverride&quot;:{&quot;isManuallyOverridden&quot;:false,&quot;citeprocText&quot;:&quot;[98,111]&quot;,&quot;manualOverrideText&quot;:&quot;&quot;},&quot;citationTag&quot;:&quot;MENDELEY_CITATION_v3_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&quot;,&quot;citationItems&quot;:[{&quot;id&quot;:&quot;6f123b88-d5c2-341b-9860-94ef0433022a&quot;,&quot;itemData&quot;:{&quot;type&quot;:&quot;article-journal&quot;,&quot;id&quot;:&quot;6f123b88-d5c2-341b-9860-94ef0433022a&quot;,&quot;title&quot;:&quot;Risk factors for chronic obstructive pulmonary disease in never-smokers: A systematic review&quot;,&quot;author&quot;:[{&quot;family&quot;:&quot;Pando-Sandoval&quot;,&quot;given&quot;:&quot;Ana&quot;,&quot;parse-names&quot;:false,&quot;dropping-particle&quot;:&quot;&quot;,&quot;non-dropping-particle&quot;:&quot;&quot;},{&quot;family&quot;:&quot;Ruano-Ravina&quot;,&quot;given&quot;:&quot;Alberto&quot;,&quot;parse-names&quot;:false,&quot;dropping-particle&quot;:&quot;&quot;,&quot;non-dropping-particle&quot;:&quot;&quot;},{&quot;family&quot;:&quot;Candal-Pedreira&quot;,&quot;given&quot;:&quot;Cristina&quot;,&quot;parse-names&quot;:false,&quot;dropping-particle&quot;:&quot;&quot;,&quot;non-dropping-particle&quot;:&quot;&quot;},{&quot;family&quot;:&quot;Rodríguez-García&quot;,&quot;given&quot;:&quot;Carlota&quot;,&quot;parse-names&quot;:false,&quot;dropping-particle&quot;:&quot;&quot;,&quot;non-dropping-particle&quot;:&quot;&quot;},{&quot;family&quot;:&quot;Represas-Represas&quot;,&quot;given&quot;:&quot;Cristina&quot;,&quot;parse-names&quot;:false,&quot;dropping-particle&quot;:&quot;&quot;,&quot;non-dropping-particle&quot;:&quot;&quot;},{&quot;family&quot;:&quot;Golpe&quot;,&quot;given&quot;:&quot;Rafael&quot;,&quot;parse-names&quot;:false,&quot;dropping-particle&quot;:&quot;&quot;,&quot;non-dropping-particle&quot;:&quot;&quot;},{&quot;family&quot;:&quot;Fernández-Villar&quot;,&quot;given&quot;:&quot;Alberto&quot;,&quot;parse-names&quot;:false,&quot;dropping-particle&quot;:&quot;&quot;,&quot;non-dropping-particle&quot;:&quot;&quot;},{&quot;family&quot;:&quot;Pérez-Ríos&quot;,&quot;given&quot;:&quot;Mónica&quot;,&quot;parse-names&quot;:false,&quot;dropping-particle&quot;:&quot;&quot;,&quot;non-dropping-particle&quot;:&quot;&quot;}],&quot;container-title&quot;:&quot;Clinical Respiratory Journal&quot;,&quot;accessed&quot;:{&quot;date-parts&quot;:[[2025,4,24]]},&quot;DOI&quot;:&quot;10.1111/CRJ.13479,&quot;,&quot;ISSN&quot;:&quot;1752699X&quot;,&quot;PMID&quot;:&quot;35142054&quot;,&quot;URL&quot;:&quot;https://pubmed.ncbi.nlm.nih.gov/35142054/&quot;,&quot;issued&quot;:{&quot;date-parts&quot;:[[2022,4,1]]},&quot;page&quot;:&quot;261-275&quot;,&quot;abstract&quot;:&quot;Introduction: Relatively little is known about the risk factors for chronic obstructive pulmonary disease (COPD) in never-smokers, and these factors have not yet been fully characterised. This study therefore sought to analyse COPD risk factors in never-smokers by conducting a systematic review of the literature on the topic. Materials and methods: We performed a search in PubMed (Medline) and Embase from 2000 onwards, to locate studies on COPD in never-smokers. For literature search and evidence synthesis purposes, we used the PRISMA guidelines and drew up a specific quality scale to quantify the evidence of each study included. Results: The bibliographic search retrieved a total of 557 papers, 20 of which fulfilled the designated inclusion criteria (two case–control studies, four cohort studies and 14 cross-sectional studies). These studies were undertaken in Europe, the United States, Latin America, Asia and Africa. The risk factors for never-smokers were varied and ranged from exposure to biomass, occupational exposure and passive smoking to having a history of asthma, tuberculosis or respiratory infections during childhood. The effect of residential radon was unclear. The highest risk was obtained for previous respiratory diseases of any type, with a magnitude much higher than that observed for other risk factors. Conclusions: There are few studies on COPD risk factors in never-smokers. More purpose-designed studies in this subpopulation are thus called for, including well-designed studies to specifically assess if indoor radon has any role on COPD onset.&quot;,&quot;publisher&quot;:&quot;John Wiley and Sons Inc&quot;,&quot;issue&quot;:&quot;4&quot;,&quot;volume&quot;:&quot;16&quot;,&quot;container-title-short&quot;:&quot;&quot;},&quot;isTemporary&quot;:false},{&quot;id&quot;:&quot;daafc41a-81fa-35ec-be12-0fa1bb1135c2&quot;,&quot;itemData&quot;:{&quot;type&quot;:&quot;article-journal&quot;,&quot;id&quot;:&quot;daafc41a-81fa-35ec-be12-0fa1bb1135c2&quot;,&quot;title&quot;:&quot;Contemporary Concise Review 2023: Environmental and occupational lung diseases&quot;,&quot;author&quot;:[{&quot;family&quot;:&quot;Yatera&quot;,&quot;given&quot;:&quot;Kazuhiro&quot;,&quot;parse-names&quot;:false,&quot;dropping-particle&quot;:&quot;&quot;,&quot;non-dropping-particle&quot;:&quot;&quot;},{&quot;family&quot;:&quot;Nishida&quot;,&quot;given&quot;:&quot;Chinatsu&quot;,&quot;parse-names&quot;:false,&quot;dropping-particle&quot;:&quot;&quot;,&quot;non-dropping-particle&quot;:&quot;&quot;}],&quot;container-title&quot;:&quot;Respirology (Carlton, Vic.)&quot;,&quot;accessed&quot;:{&quot;date-parts&quot;:[[2024,12,1]]},&quot;DOI&quot;:&quot;10.1111/RESP.14761&quot;,&quot;ISSN&quot;:&quot;1440-1843&quot;,&quot;PMID&quot;:&quot;38826078&quot;,&quot;URL&quot;:&quot;https://pubmed.ncbi.nlm.nih.gov/38826078/&quot;,&quot;issued&quot;:{&quot;date-parts&quot;:[[2024,7,1]]},&quot;page&quot;:&quot;574-587&quot;,&quot;abstract&quot;:&quot;Air pollutants have various effects on human health in environmental and occupational settings. Air pollutants can be a risk factor for incidence, exacerbation/aggravation and death due to various lung diseases, including asthma, chronic obstructive pulmonary disease (COPD), hypersensitivity pneumonitis or pneumonia (HP), pulmonary fibrosis such as pneumoconiosis and malignant respiratory diseases such as lung cancer and malignant pleural mesothelioma. Environmental and occupational respiratory diseases are crucial clinical and social issues worldwide, although the burden of respiratory disease due to environmental and occupational causes varies depending on country/region, demographic variables, geographical location, industrial structure and socioeconomic situation. The correct recognition of environmental and occupational lung diseases and taking appropriate measures are essential to their effective prevention.&quot;,&quot;publisher&quot;:&quot;Respirology&quot;,&quot;issue&quot;:&quot;7&quot;,&quot;volume&quot;:&quot;29&quot;,&quot;container-title-short&quot;:&quot;Respirology&quot;},&quot;isTemporary&quot;:false}]},{&quot;citationID&quot;:&quot;MENDELEY_CITATION_83a9f41a-f709-4583-8153-a08a088df920&quot;,&quot;properties&quot;:{&quot;noteIndex&quot;:0},&quot;isEdited&quot;:false,&quot;manualOverride&quot;:{&quot;isManuallyOverridden&quot;:false,&quot;citeprocText&quot;:&quot;[112]&quot;,&quot;manualOverrideText&quot;:&quot;&quot;},&quot;citationTag&quot;:&quot;MENDELEY_CITATION_v3_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&quot;,&quot;citationItems&quot;:[{&quot;id&quot;:&quot;512c5224-1126-3543-ae23-0293848faab9&quot;,&quot;itemData&quot;:{&quot;type&quot;:&quot;article-journal&quot;,&quot;id&quot;:&quot;512c5224-1126-3543-ae23-0293848faab9&quot;,&quot;title&quot;:&quot;Air pollution and COPD: GOLD 2023 committee report&quot;,&quot;author&quot;:[{&quot;family&quot;:&quot;Sin&quot;,&quot;given&quot;:&quot;Don D.&quot;,&quot;parse-names&quot;:false,&quot;dropping-particle&quot;:&quot;&quot;,&quot;non-dropping-particle&quot;:&quot;&quot;},{&quot;family&quot;:&quot;Doiron&quot;,&quot;given&quot;:&quot;Dany&quot;,&quot;parse-names&quot;:false,&quot;dropping-particle&quot;:&quot;&quot;,&quot;non-dropping-particle&quot;:&quot;&quot;},{&quot;family&quot;:&quot;Agusti&quot;,&quot;given&quot;:&quot;Alvar&quot;,&quot;parse-names&quot;:false,&quot;dropping-particle&quot;:&quot;&quot;,&quot;non-dropping-particle&quot;:&quot;&quot;},{&quot;family&quot;:&quot;Anzueto&quot;,&quot;given&quot;:&quot;Antonio&quot;,&quot;parse-names&quot;:false,&quot;dropping-particle&quot;:&quot;&quot;,&quot;non-dropping-particle&quot;:&quot;&quot;},{&quot;family&quot;:&quot;Barnes&quot;,&quot;given&quot;:&quot;Peter J.&quot;,&quot;parse-names&quot;:false,&quot;dropping-particle&quot;:&quot;&quot;,&quot;non-dropping-particle&quot;:&quot;&quot;},{&quot;family&quot;:&quot;Celli&quot;,&quot;given&quot;:&quot;Bartolome R.&quot;,&quot;parse-names&quot;:false,&quot;dropping-particle&quot;:&quot;&quot;,&quot;non-dropping-particle&quot;:&quot;&quot;},{&quot;family&quot;:&quot;Criner&quot;,&quot;given&quot;:&quot;Gerard J.&quot;,&quot;parse-names&quot;:false,&quot;dropping-particle&quot;:&quot;&quot;,&quot;non-dropping-particle&quot;:&quot;&quot;},{&quot;family&quot;:&quot;Halpin&quot;,&quot;given&quot;:&quot;David&quot;,&quot;parse-names&quot;:false,&quot;dropping-particle&quot;:&quot;&quot;,&quot;non-dropping-particle&quot;:&quot;&quot;},{&quot;family&quot;:&quot;Han&quot;,&quot;given&quot;:&quot;Mei Lan K.&quot;,&quot;parse-names&quot;:false,&quot;dropping-particle&quot;:&quot;&quot;,&quot;non-dropping-particle&quot;:&quot;&quot;},{&quot;family&quot;:&quot;Martinez&quot;,&quot;given&quot;:&quot;Fernando J.&quot;,&quot;parse-names&quot;:false,&quot;dropping-particle&quot;:&quot;&quot;,&quot;non-dropping-particle&quot;:&quot;&quot;},{&quot;family&quot;:&quot;Oca&quot;,&quot;given&quot;:&quot;Maria Montes&quot;,&quot;parse-names&quot;:false,&quot;dropping-particle&quot;:&quot;&quot;,&quot;non-dropping-particle&quot;:&quot;de&quot;},{&quot;family&quot;:&quot;Papi&quot;,&quot;given&quot;:&quot;Alberto&quot;,&quot;parse-names&quot;:false,&quot;dropping-particle&quot;:&quot;&quot;,&quot;non-dropping-particle&quot;:&quot;&quot;},{&quot;family&quot;:&quot;Pavord&quot;,&quot;given&quot;:&quot;Ian&quot;,&quot;parse-names&quot;:false,&quot;dropping-particle&quot;:&quot;&quot;,&quot;non-dropping-particle&quot;:&quot;&quot;},{&quot;family&quot;:&quot;Roche&quot;,&quot;given&quot;:&quot;Nicolas&quot;,&quot;parse-names&quot;:false,&quot;dropping-particle&quot;:&quot;&quot;,&quot;non-dropping-particle&quot;:&quot;&quot;},{&quot;family&quot;:&quot;Singh&quot;,&quot;given&quot;:&quot;Dave&quot;,&quot;parse-names&quot;:false,&quot;dropping-particle&quot;:&quot;&quot;,&quot;non-dropping-particle&quot;:&quot;&quot;},{&quot;family&quot;:&quot;Stockley&quot;,&quot;given&quot;:&quot;Robert&quot;,&quot;parse-names&quot;:false,&quot;dropping-particle&quot;:&quot;&quot;,&quot;non-dropping-particle&quot;:&quot;&quot;},{&quot;family&quot;:&quot;Lopez Varlera&quot;,&quot;given&quot;:&quot;M. Victorina&quot;,&quot;parse-names&quot;:false,&quot;dropping-particle&quot;:&quot;&quot;,&quot;non-dropping-particle&quot;:&quot;&quot;},{&quot;family&quot;:&quot;Wedzicha&quot;,&quot;given&quot;:&quot;Jadwiga&quot;,&quot;parse-names&quot;:false,&quot;dropping-particle&quot;:&quot;&quot;,&quot;non-dropping-particle&quot;:&quot;&quot;},{&quot;family&quot;:&quot;Vogelmeier&quot;,&quot;given&quot;:&quot;Claus&quot;,&quot;parse-names&quot;:false,&quot;dropping-particle&quot;:&quot;&quot;,&quot;non-dropping-particle&quot;:&quot;&quot;},{&quot;family&quot;:&quot;Bourbeau&quot;,&quot;given&quot;:&quot;Jean&quot;,&quot;parse-names&quot;:false,&quot;dropping-particle&quot;:&quot;&quot;,&quot;non-dropping-particle&quot;:&quot;&quot;}],&quot;container-title&quot;:&quot;The European respiratory journal&quot;,&quot;accessed&quot;:{&quot;date-parts&quot;:[[2025,4,12]]},&quot;DOI&quot;:&quot;10.1183/13993003.02469-2022&quot;,&quot;ISSN&quot;:&quot;1399-3003&quot;,&quot;PMID&quot;:&quot;36958741&quot;,&quot;URL&quot;:&quot;https://pubmed.ncbi.nlm.nih.gov/36958741/&quot;,&quot;issued&quot;:{&quot;date-parts&quot;:[[2023,5,1]]},&quot;abstract&quot;:&quot;Exposure to air pollution is a major contributor to the pathogenesis of COPD worldwide. Indeed, most recent estimates suggest that 50% of the total attributable risk of COPD may be related to air pollution. In response, the Global Initiative for Chronic Obstructive Lung Disease (GOLD) Scientific Committee performed a comprehensive review on this topic, qualitatively synthesised the evidence to date and proffered recommendations to mitigate the risk. The review found that both gaseous and particulate components of air pollution are likely contributors to COPD. There are no absolutely safe levels of ambient air pollution and the relationship between air pollution levels and respiratory events is supra-linear. Wildfires and extreme weather events such as heat waves, which are becoming more common owing to climate change, are major threats to COPD patients and acutely increase their risk of morbidity and mortality. Exposure to air pollution also impairs lung growth in children and as such may lead to developmental COPD. GOLD recommends strong public health policies around the world to reduce ambient air pollution and for implementation of public warning systems and advisories, including where possible the use of personalised apps, to alert patients when ambient air pollution levels exceed acceptable minimal thresholds. When household particulate content exceeds acceptable thresholds, patients should consider using air cleaners and filters where feasible. Air pollution is a major health threat to patients living with COPD and actions are urgently required to reduce the morbidity and mortality related to poor air quality around the world.&quot;,&quot;publisher&quot;:&quot;Eur Respir J&quot;,&quot;issue&quot;:&quot;5&quot;,&quot;volume&quot;:&quot;61&quot;,&quot;container-title-short&quot;:&quot;Eur Respir J&quot;},&quot;isTemporary&quot;:false}]},{&quot;citationID&quot;:&quot;MENDELEY_CITATION_f4546e22-b0cc-4fdf-85fb-8de9a3196cce&quot;,&quot;properties&quot;:{&quot;noteIndex&quot;:0},&quot;isEdited&quot;:false,&quot;manualOverride&quot;:{&quot;isManuallyOverridden&quot;:false,&quot;citeprocText&quot;:&quot;[97,100,113,114]&quot;,&quot;manualOverrideText&quot;:&quot;&quot;},&quot;citationTag&quot;:&quot;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&quot;,&quot;citationItems&quot;:[{&quot;id&quot;:&quot;dcdf1c9b-82b2-3286-97da-631f9fdfb667&quot;,&quot;itemData&quot;:{&quot;type&quot;:&quot;article-journal&quot;,&quot;id&quot;:&quot;dcdf1c9b-82b2-3286-97da-631f9fdfb667&quot;,&quot;title&quot;:&quot;Indoor Air Pollution and Respiratory Health&quot;,&quot;author&quot;:[{&quot;family&quot;:&quot;Raju&quot;,&quot;given&quot;:&quot;Sarath&quot;,&quot;parse-names&quot;:false,&quot;dropping-particle&quot;:&quot;&quot;,&quot;non-dropping-particle&quot;:&quot;&quot;},{&quot;family&quot;:&quot;Siddharthan&quot;,&quot;given&quot;:&quot;Trishul&quot;,&quot;parse-names&quot;:false,&quot;dropping-particle&quot;:&quot;&quot;,&quot;non-dropping-particle&quot;:&quot;&quot;},{&quot;family&quot;:&quot;McCormack&quot;,&quot;given&quot;:&quot;Meredith C.&quot;,&quot;parse-names&quot;:false,&quot;dropping-particle&quot;:&quot;&quot;,&quot;non-dropping-particle&quot;:&quot;&quot;}],&quot;container-title&quot;:&quot;Clinics in chest medicine&quot;,&quot;accessed&quot;:{&quot;date-parts&quot;:[[2025,4,14]]},&quot;DOI&quot;:&quot;10.1016/J.CCM.2020.08.014&quot;,&quot;ISSN&quot;:&quot;15578216&quot;,&quot;PMID&quot;:&quot;33153698&quot;,&quot;URL&quot;:&quot;https://pmc.ncbi.nlm.nih.gov/articles/PMC7665158/&quot;,&quot;issued&quot;:{&quot;date-parts&quot;:[[2020,12,1]]},&quot;page&quot;:&quot;825&quot;,&quot;abstract&quot;:&quot;Worldwide, more than 4 million deaths annually are attributed to indoor air pollution. This largely preventable exposure represents a key target for reducing morbidity and mortality worldwide. Significant respiratory health effects are observed, ranging from attenuated lung growth and development in childhood to accelerated lung function decline and is determined by chronic obstructive pulmonary disease later in life. Personal exposure to household air pollutants include household characteristics, combustion of solid fuels, cooking practices, and household pest allergens. This review outlines important sources of indoor air pollution, their respiratory health effects, and strategies to reduce household pollution and improve lung health across the globe.&quot;,&quot;publisher&quot;:&quot;W.B. Saunders&quot;,&quot;issue&quot;:&quot;4&quot;,&quot;volume&quot;:&quot;41&quot;,&quot;container-title-short&quot;:&quot;Clin Chest Med&quot;},&quot;isTemporary&quot;:false},{&quot;id&quot;:&quot;24b6a98f-c4e1-36e2-96fa-bd7432057cf9&quot;,&quot;itemData&quot;:{&quot;type&quot;:&quot;article-journal&quot;,&quot;id&quot;:&quot;24b6a98f-c4e1-36e2-96fa-bd7432057cf9&quot;,&quot;title&quot;:&quot;Risk of COPD due to indoor air pollution from biomass cooking fuel: a systematic review and meta-analysis&quot;,&quot;author&quot;:[{&quot;family&quot;:&quot;Pathak&quot;,&quot;given&quot;:&quot;Utkarsha&quot;,&quot;parse-names&quot;:false,&quot;dropping-particle&quot;:&quot;&quot;,&quot;non-dropping-particle&quot;:&quot;&quot;},{&quot;family&quot;:&quot;Gupta&quot;,&quot;given&quot;:&quot;Naresh Chandra&quot;,&quot;parse-names&quot;:false,&quot;dropping-particle&quot;:&quot;&quot;,&quot;non-dropping-particle&quot;:&quot;&quot;},{&quot;family&quot;:&quot;Suri&quot;,&quot;given&quot;:&quot;Jagdish Chandra&quot;,&quot;parse-names&quot;:false,&quot;dropping-particle&quot;:&quot;&quot;,&quot;non-dropping-particle&quot;:&quot;&quot;}],&quot;container-title&quot;:&quot;International journal of environmental health research&quot;,&quot;accessed&quot;:{&quot;date-parts&quot;:[[2024,11,30]]},&quot;DOI&quot;:&quot;10.1080/09603123.2019.1575951&quot;,&quot;ISSN&quot;:&quot;1369-1619&quot;,&quot;PMID&quot;:&quot;30754998&quot;,&quot;URL&quot;:&quot;https://pubmed.ncbi.nlm.nih.gov/30754998/&quot;,&quot;issued&quot;:{&quot;date-parts&quot;:[[2020,1,2]]},&quot;page&quot;:&quot;75-88&quot;,&quot;abstract&quot;:&quot;Chronic obstructive pulmonary disease (COPD) is one of the leading causes of mortality in developing nations. In this meta-analysis, we aimed to determine the association between indoor air pollution and risk of COPD. Database searches were conducted using indoor air pollution, biomass and COPD related terms to identify relevant articles. The eligible studies were case-control, retrospective cohort, cross-sectional studies and conducted in adults that assessed COPD using any diagnostic criteria. A total of 35 studies with 73,122 participants were included. The pooled analysis showed that exposure to indoor air pollution due to solid biomass fuels increased risk of COPD by 2.65 (95% confidence interval [CI] 2.13–3.31; n = 73,122) and chronic bronchitis by 2.89 (95% CI 2.18–3.82) times more compared to non-biomass fuels. The risk of COPD was higher in Africa region (odds ratio [OR] 3.19), Asia (OR 2.88), South America (OR 2.15), Europe (OR 2.30) and North America (OR 2.14). The results of our meta-analysis indicated that exposure to indoor air pollution due to biomass smoke is strongly associated with COPD. Abbreviations: CS: cross-sectional; CC: case-control; NR: not reported; ATS: American Thoracic Society; BMRC: British Medical Research Council; GOLD: Global Initiative for Obstructive Lung Disease; IAP: indoor air pollution; BMF: biomass fuel; CB: chronic bronchitis; OR: odds ratio; UCI; upper confidence interval; LCI: lower confidence interval; COPD: chronic obstructive pulmonary disease.&quot;,&quot;publisher&quot;:&quot;Int J Environ Health Res&quot;,&quot;issue&quot;:&quot;1&quot;,&quot;volume&quot;:&quot;30&quot;,&quot;container-title-short&quot;:&quot;Int J Environ Health Res&quot;},&quot;isTemporary&quot;:false},{&quot;id&quot;:&quot;9f8bc563-a705-3b03-bce1-601de6efc5ec&quot;,&quot;itemData&quot;:{&quot;type&quot;:&quot;article-journal&quot;,&quot;id&quot;:&quot;9f8bc563-a705-3b03-bce1-601de6efc5ec&quot;,&quot;title&quot;:&quot;Identifying risk factors for COPD and adult-onset asthma: an umbrella review&quot;,&quot;author&quot;:[{&quot;family&quot;:&quot;Holtjer&quot;,&quot;given&quot;:&quot;Judith C.S.&quot;,&quot;parse-names&quot;:false,&quot;dropping-particle&quot;:&quot;&quot;,&quot;non-dropping-particle&quot;:&quot;&quot;},{&quot;family&quot;:&quot;Bloemsma&quot;,&quot;given&quot;:&quot;Lizan D.&quot;,&quot;parse-names&quot;:false,&quot;dropping-particle&quot;:&quot;&quot;,&quot;non-dropping-particle&quot;:&quot;&quot;},{&quot;family&quot;:&quot;Beijers&quot;,&quot;given&quot;:&quot;Rosanne J.H.C.G.&quot;,&quot;parse-names&quot;:false,&quot;dropping-particle&quot;:&quot;&quot;,&quot;non-dropping-particle&quot;:&quot;&quot;},{&quot;family&quot;:&quot;Cornelissen&quot;,&quot;given&quot;:&quot;Merel E.B.&quot;,&quot;parse-names&quot;:false,&quot;dropping-particle&quot;:&quot;&quot;,&quot;non-dropping-particle&quot;:&quot;&quot;},{&quot;family&quot;:&quot;Hilvering&quot;,&quot;given&quot;:&quot;Bart&quot;,&quot;parse-names&quot;:false,&quot;dropping-particle&quot;:&quot;&quot;,&quot;non-dropping-particle&quot;:&quot;&quot;},{&quot;family&quot;:&quot;Houweling&quot;,&quot;given&quot;:&quot;Laura&quot;,&quot;parse-names&quot;:false,&quot;dropping-particle&quot;:&quot;&quot;,&quot;non-dropping-particle&quot;:&quot;&quot;},{&quot;family&quot;:&quot;Vermeulen&quot;,&quot;given&quot;:&quot;Roel C.H.&quot;,&quot;parse-names&quot;:false,&quot;dropping-particle&quot;:&quot;&quot;,&quot;non-dropping-particle&quot;:&quot;&quot;},{&quot;family&quot;:&quot;Downward&quot;,&quot;given&quot;:&quot;George S.&quot;,&quot;parse-names&quot;:false,&quot;dropping-particle&quot;:&quot;&quot;,&quot;non-dropping-particle&quot;:&quot;&quot;},{&quot;family&quot;:&quot;Zee&quot;,&quot;given&quot;:&quot;Anke Hilse Maitland&quot;,&quot;parse-names&quot;:false,&quot;dropping-particle&quot;:&quot;Van&quot;,&quot;non-dropping-particle&quot;:&quot;der&quot;}],&quot;container-title&quot;:&quot;European Respiratory Review&quot;,&quot;accessed&quot;:{&quot;date-parts&quot;:[[2024,3,17]]},&quot;DOI&quot;:&quot;10.1183/16000617.0009-2023&quot;,&quot;ISSN&quot;:&quot;16000617&quot;,&quot;PMID&quot;:&quot;37137510&quot;,&quot;URL&quot;:&quot;/pmc/articles/PMC10155046/&quot;,&quot;issued&quot;:{&quot;date-parts&quot;:[[2023,6,6]]},&quot;abstract&quot;:&quot;Background COPD and adult-onset asthma (AOA) are the most common noncommunicable respiratory diseases. To improve early identification and prevention, an overview of risk factors is needed. We therefore aimed to systematically summarise the nongenetic (exposome) risk factors for AOA and COPD. Additionally, we aimed to compare the risk factors for COPD and AOA. Methods In this umbrella review, we searched PubMed for articles from inception until 1 February 2023 and screened the references of relevant articles. We included systematic reviews and meta-analyses of observational epidemiological studies in humans that assessed a minimum of one lifestyle or environmental risk factor for AOA or COPD. Results In total, 75 reviews were included, of which 45 focused on risk factors for COPD, 28 on AOA and two examined both. For asthma, 43 different risk factors were identified while 45 were identified for COPD. For AOA, smoking, a high body mass index (BMI), wood dust exposure and residential chemical exposures, such as formaldehyde exposure or exposure to volatile organic compounds, were amongst the risk factors found. For COPD, smoking, ambient air pollution including nitrogen dioxide, a low BMI, indoor biomass burning, childhood asthma, occupational dust exposure and diet were amongst the risk factors found. Conclusions Many different factors for COPD and asthma have been found, highlighting the differences and similarities. The results of this systematic review can be used to target and identify people at high risk for COPD or AOA.&quot;,&quot;publisher&quot;:&quot;European Respiratory Society&quot;,&quot;issue&quot;:&quot;168&quot;,&quot;volume&quot;:&quot;32&quot;,&quot;container-title-short&quot;:&quot;&quot;},&quot;isTemporary&quot;:false},{&quot;id&quot;:&quot;e5b80a00-033f-338c-81f5-ce54dcf506c7&quot;,&quot;itemData&quot;:{&quot;type&quot;:&quot;article-journal&quot;,&quot;id&quot;:&quot;e5b80a00-033f-338c-81f5-ce54dcf506c7&quot;,&quot;title&quot;:&quot;Indoor Air Pollution and the Health of Vulnerable Groups: A Systematic Review Focused on Particulate Matter (PM), Volatile Organic Compounds (VOCs) and Their Effects on Children and People with Pre-Existing Lung Disease&quot;,&quot;author&quot;:[{&quot;family&quot;:&quot;Maung&quot;,&quot;given&quot;:&quot;Tun Z.&quot;,&quot;parse-names&quot;:false,&quot;dropping-particle&quot;:&quot;&quot;,&quot;non-dropping-particle&quot;:&quot;&quot;},{&quot;family&quot;:&quot;Bishop&quot;,&quot;given&quot;:&quot;Jack E.&quot;,&quot;parse-names&quot;:false,&quot;dropping-particle&quot;:&quot;&quot;,&quot;non-dropping-particle&quot;:&quot;&quot;},{&quot;family&quot;:&quot;Holt&quot;,&quot;given&quot;:&quot;Eleanor&quot;,&quot;parse-names&quot;:false,&quot;dropping-particle&quot;:&quot;&quot;,&quot;non-dropping-particle&quot;:&quot;&quot;},{&quot;family&quot;:&quot;Turner&quot;,&quot;given&quot;:&quot;Alice M.&quot;,&quot;parse-names&quot;:false,&quot;dropping-particle&quot;:&quot;&quot;,&quot;non-dropping-particle&quot;:&quot;&quot;},{&quot;family&quot;:&quot;Pfrang&quot;,&quot;given&quot;:&quot;Christian&quot;,&quot;parse-names&quot;:false,&quot;dropping-particle&quot;:&quot;&quot;,&quot;non-dropping-particle&quot;:&quot;&quot;}],&quot;container-title&quot;:&quot;International Journal of Environmental Research and Public Health&quot;,&quot;accessed&quot;:{&quot;date-parts&quot;:[[2024,11,26]]},&quot;DOI&quot;:&quot;10.3390/IJERPH19148752/S1&quot;,&quot;ISSN&quot;:&quot;16604601&quot;,&quot;PMID&quot;:&quot;35886604&quot;,&quot;URL&quot;:&quot;https://pmc.ncbi.nlm.nih.gov/articles/PMC9316830/&quot;,&quot;issued&quot;:{&quot;date-parts&quot;:[[2022,7,1]]},&quot;page&quot;:&quot;8752&quot;,&quot;abstract&quot;:&quot;Air pollution affects health, but much of the focus to this point has been on outdoor air. Higher indoor pollution is anticipated due to increasingly energy-efficient and less leaky buildings together with more indoor activities. Studies of indoor air pollution focusing on children and people with respiratory disease from the database Web of Science (1991–2021) were systemically reviewed according to the PRISMA guidelines, with 69 studies included in the final selection. Emissions from building materials affected indoor air quality, and ventilation also had an influence. The main indoor air pollutants are Volatile Organic Compounds (VOCs) and Particulate Matter (PM). PM sources included smoking, cooking, heating, candles, and insecticides, whereas sources of coarse particles were pets, housework and human movements. VOC sources included household products, cleaning agents, glue, personal care products, building materials and vehicle emissions. Formaldehyde levels were particularly high in new houses. Personal exposure related to both indoor and outdoor pollutant levels, highlighting home characteristics and air exchange rates as important factors. Temperature, humidity, educational level, air purifiers and time near sources were also related to personal exposure. There was an association between PM and Fractional exhaled Nitric Oxide (FeNO), lung function, oxygen saturation, childhood asthma and symptoms of chronic obstructive pulmonary disease (COPD) patients. High VOCs were associated with upper airways and asthma symptoms and cancer. Effective interventional studies for PM in the future might focus on human behavior together with air purifiers and increased ventilation, whereas VOC interventions might center more on building materials and household products, alongside purification and ventilation.&quot;,&quot;publisher&quot;:&quot;MDPI&quot;,&quot;issue&quot;:&quot;14&quot;,&quot;volume&quot;:&quot;19&quot;,&quot;container-title-short&quot;:&quot;Int J Environ Res Public Health&quot;},&quot;isTemporary&quot;:false}]},{&quot;citationID&quot;:&quot;MENDELEY_CITATION_7c4ce26d-1425-4c63-b5eb-5f10d15750f6&quot;,&quot;properties&quot;:{&quot;noteIndex&quot;:0},&quot;isEdited&quot;:false,&quot;manualOverride&quot;:{&quot;isManuallyOverridden&quot;:false,&quot;citeprocText&quot;:&quot;[115,116]&quot;,&quot;manualOverrideText&quot;:&quot;&quot;},&quot;citationTag&quot;:&quot;MENDELEY_CITATION_v3_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&quot;,&quot;citationItems&quot;:[{&quot;id&quot;:&quot;41722e73-49cc-3c61-8806-f9ebfdf9fe9a&quot;,&quot;itemData&quot;:{&quot;type&quot;:&quot;article-journal&quot;,&quot;id&quot;:&quot;41722e73-49cc-3c61-8806-f9ebfdf9fe9a&quot;,&quot;title&quot;:&quot;Air pollution as an early determinant of COPD&quot;,&quot;author&quot;:[{&quot;family&quot;:&quot;Lu&quot;,&quot;given&quot;:&quot;Zhuyi&quot;,&quot;parse-names&quot;:false,&quot;dropping-particle&quot;:&quot;&quot;,&quot;non-dropping-particle&quot;:&quot;&quot;},{&quot;family&quot;:&quot;Coll&quot;,&quot;given&quot;:&quot;Patrice&quot;,&quot;parse-names&quot;:false,&quot;dropping-particle&quot;:&quot;&quot;,&quot;non-dropping-particle&quot;:&quot;&quot;},{&quot;family&quot;:&quot;Maitre&quot;,&quot;given&quot;:&quot;Bernard&quot;,&quot;parse-names&quot;:false,&quot;dropping-particle&quot;:&quot;&quot;,&quot;non-dropping-particle&quot;:&quot;&quot;},{&quot;family&quot;:&quot;Epaud&quot;,&quot;given&quot;:&quot;Ralph&quot;,&quot;parse-names&quot;:false,&quot;dropping-particle&quot;:&quot;&quot;,&quot;non-dropping-particle&quot;:&quot;&quot;},{&quot;family&quot;:&quot;Lanone&quot;,&quot;given&quot;:&quot;Sophie&quot;,&quot;parse-names&quot;:false,&quot;dropping-particle&quot;:&quot;&quot;,&quot;non-dropping-particle&quot;:&quot;&quot;}],&quot;container-title&quot;:&quot;European Respiratory Review&quot;,&quot;accessed&quot;:{&quot;date-parts&quot;:[[2025,4,12]]},&quot;DOI&quot;:&quot;10.1183/16000617.0059-2022&quot;,&quot;ISSN&quot;:&quot;16000617&quot;,&quot;PMID&quot;:&quot;35948393&quot;,&quot;URL&quot;:&quot;https://pmc.ncbi.nlm.nih.gov/articles/PMC9724895/&quot;,&quot;issued&quot;:{&quot;date-parts&quot;:[[2022,9,30]]},&quot;page&quot;:&quot;220059&quot;,&quot;abstract&quot;:&quot;COPD is a progressive and debilitating disease often diagnosed after 50 years of age, but more recent evidence suggests that its onset could originate very early on in life. In this context, exposure to air pollution appears to be a potential contributor. Although the potential role of air pollution as an early determinant of COPD is emerging, knowledge gaps still remain, including an accurate qualification of air pollutants (number of pollutants quantified and exact composition) or the “one exposure–one disease” concept, which might limit the current understanding. To fill these gaps, improvements in the field are needed, such as the use of atmosphere simulation chambers able to realistically reproduce the complexity of air pollution, consideration of the exposome, as well as improving exchanges between paediatricians and adult lung specialists to take advantage of reciprocal expertise. This review should lead to a better understanding of the current knowledge on air pollution as an early determinant of COPD, as well as identify the existing knowledge gaps and opportunities to fill them. Hopefully, this will lead to better prevention strategies to scale down the development of COPD in future generations.&quot;,&quot;publisher&quot;:&quot;European Respiratory Society&quot;,&quot;issue&quot;:&quot;165&quot;,&quot;volume&quot;:&quot;31&quot;,&quot;container-title-short&quot;:&quot;&quot;},&quot;isTemporary&quot;:false},{&quot;id&quot;:&quot;e0259380-5206-3dea-a050-ade7b5b439c9&quot;,&quot;itemData&quot;:{&quot;type&quot;:&quot;article-journal&quot;,&quot;id&quot;:&quot;e0259380-5206-3dea-a050-ade7b5b439c9&quot;,&quot;title&quot;:&quot;Effects of Air Pollutants on Airway Diseases&quot;,&quot;author&quot;:[{&quot;family&quot;:&quot;Lee&quot;,&quot;given&quot;:&quot;Yun Gi&quot;,&quot;parse-names&quot;:false,&quot;dropping-particle&quot;:&quot;&quot;,&quot;non-dropping-particle&quot;:&quot;&quot;},{&quot;family&quot;:&quot;Lee&quot;,&quot;given&quot;:&quot;Pureun Haneul&quot;,&quot;parse-names&quot;:false,&quot;dropping-particle&quot;:&quot;&quot;,&quot;non-dropping-particle&quot;:&quot;&quot;},{&quot;family&quot;:&quot;Choi&quot;,&quot;given&quot;:&quot;Seon Muk&quot;,&quot;parse-names&quot;:false,&quot;dropping-particle&quot;:&quot;&quot;,&quot;non-dropping-particle&quot;:&quot;&quot;},{&quot;family&quot;:&quot;An&quot;,&quot;given&quot;:&quot;Min Hyeok&quot;,&quot;parse-names&quot;:false,&quot;dropping-particle&quot;:&quot;&quot;,&quot;non-dropping-particle&quot;:&quot;&quot;},{&quot;family&quot;:&quot;Jang&quot;,&quot;given&quot;:&quot;An Soo&quot;,&quot;parse-names&quot;:false,&quot;dropping-particle&quot;:&quot;&quot;,&quot;non-dropping-particle&quot;:&quot;&quot;}],&quot;container-title&quot;:&quot;International Journal of Environmental Research and Public Health&quot;,&quot;accessed&quot;:{&quot;date-parts&quot;:[[2024,12,2]]},&quot;DOI&quot;:&quot;10.3390/IJERPH18189905&quot;,&quot;ISSN&quot;:&quot;16604601&quot;,&quot;PMID&quot;:&quot;34574829&quot;,&quot;URL&quot;:&quot;https://pmc.ncbi.nlm.nih.gov/articles/PMC8465980/&quot;,&quot;issued&quot;:{&quot;date-parts&quot;:[[2021,9,1]]},&quot;page&quot;:&quot;9905&quot;,&quot;abstract&quot;:&quot;Air pollutants include toxic particles and gases emitted in large quantities from many different combustible materials. They also include particulate matter (PM) and ozone, and biological contaminants, such as viruses and bacteria, which can penetrate the human airway and reach the bloodstream, triggering airway inflammation, dysfunction, and fibrosis. Pollutants that accumulate in the lungs exacerbate symptoms of respiratory diseases such as asthma and chronic obstructive pulmonary disease (COPD). Asthma, a heterogeneous disease with complex pathological mecha-nisms, is characterized by particular symptoms such as shortness of breath, a tight chest, coughing, and wheezing. Patients with COPD often experience exacerbations and worsening of symptoms, which may result in hospitalization and disease progression. PM varies in terms of composition, and can include solid and liquid particles of various sizes. PM concentrations are higher in urban areas. Ozone is one of the most toxic photochemical air pollutants. In general, air pollution decreases quality of life and life expectancy. It exacerbates acute and chronic respiratory symptoms in patients with chronic airway diseases, and increases the morbidity and risk of hospitalization associated with respiratory diseases. However, the mechanisms underlying these effects remain unclear. Therefore, we reviewed the impact of air pollutants on airway diseases such as asthma and COPD, focusing on their underlying mechanisms.&quot;,&quot;publisher&quot;:&quot;MDPI&quot;,&quot;issue&quot;:&quot;18&quot;,&quot;volume&quot;:&quot;18&quot;,&quot;container-title-short&quot;:&quot;Int J Environ Res Public Health&quot;},&quot;isTemporary&quot;:false}]},{&quot;citationID&quot;:&quot;MENDELEY_CITATION_7d73b50e-faa9-40f5-8630-597175db06d3&quot;,&quot;properties&quot;:{&quot;noteIndex&quot;:0},&quot;isEdited&quot;:false,&quot;manualOverride&quot;:{&quot;isManuallyOverridden&quot;:false,&quot;citeprocText&quot;:&quot;[100]&quot;,&quot;manualOverrideText&quot;:&quot;&quot;},&quot;citationTag&quot;:&quot;MENDELEY_CITATION_v3_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&quot;,&quot;citationItems&quot;:[{&quot;id&quot;:&quot;24b6a98f-c4e1-36e2-96fa-bd7432057cf9&quot;,&quot;itemData&quot;:{&quot;type&quot;:&quot;article-journal&quot;,&quot;id&quot;:&quot;24b6a98f-c4e1-36e2-96fa-bd7432057cf9&quot;,&quot;title&quot;:&quot;Risk of COPD due to indoor air pollution from biomass cooking fuel: a systematic review and meta-analysis&quot;,&quot;author&quot;:[{&quot;family&quot;:&quot;Pathak&quot;,&quot;given&quot;:&quot;Utkarsha&quot;,&quot;parse-names&quot;:false,&quot;dropping-particle&quot;:&quot;&quot;,&quot;non-dropping-particle&quot;:&quot;&quot;},{&quot;family&quot;:&quot;Gupta&quot;,&quot;given&quot;:&quot;Naresh Chandra&quot;,&quot;parse-names&quot;:false,&quot;dropping-particle&quot;:&quot;&quot;,&quot;non-dropping-particle&quot;:&quot;&quot;},{&quot;family&quot;:&quot;Suri&quot;,&quot;given&quot;:&quot;Jagdish Chandra&quot;,&quot;parse-names&quot;:false,&quot;dropping-particle&quot;:&quot;&quot;,&quot;non-dropping-particle&quot;:&quot;&quot;}],&quot;container-title&quot;:&quot;International journal of environmental health research&quot;,&quot;container-title-short&quot;:&quot;Int J Environ Health Res&quot;,&quot;accessed&quot;:{&quot;date-parts&quot;:[[2024,11,30]]},&quot;DOI&quot;:&quot;10.1080/09603123.2019.1575951&quot;,&quot;ISSN&quot;:&quot;1369-1619&quot;,&quot;PMID&quot;:&quot;30754998&quot;,&quot;URL&quot;:&quot;https://pubmed.ncbi.nlm.nih.gov/30754998/&quot;,&quot;issued&quot;:{&quot;date-parts&quot;:[[2020,1,2]]},&quot;page&quot;:&quot;75-88&quot;,&quot;abstract&quot;:&quot;Chronic obstructive pulmonary disease (COPD) is one of the leading causes of mortality in developing nations. In this meta-analysis, we aimed to determine the association between indoor air pollution and risk of COPD. Database searches were conducted using indoor air pollution, biomass and COPD related terms to identify relevant articles. The eligible studies were case-control, retrospective cohort, cross-sectional studies and conducted in adults that assessed COPD using any diagnostic criteria. A total of 35 studies with 73,122 participants were included. The pooled analysis showed that exposure to indoor air pollution due to solid biomass fuels increased risk of COPD by 2.65 (95% confidence interval [CI] 2.13–3.31; n = 73,122) and chronic bronchitis by 2.89 (95% CI 2.18–3.82) times more compared to non-biomass fuels. The risk of COPD was higher in Africa region (odds ratio [OR] 3.19), Asia (OR 2.88), South America (OR 2.15), Europe (OR 2.30) and North America (OR 2.14). The results of our meta-analysis indicated that exposure to indoor air pollution due to biomass smoke is strongly associated with COPD. Abbreviations: CS: cross-sectional; CC: case-control; NR: not reported; ATS: American Thoracic Society; BMRC: British Medical Research Council; GOLD: Global Initiative for Obstructive Lung Disease; IAP: indoor air pollution; BMF: biomass fuel; CB: chronic bronchitis; OR: odds ratio; UCI; upper confidence interval; LCI: lower confidence interval; COPD: chronic obstructive pulmonary disease.&quot;,&quot;publisher&quot;:&quot;Int J Environ Health Res&quot;,&quot;issue&quot;:&quot;1&quot;,&quot;volume&quot;:&quot;30&quot;},&quot;isTemporary&quot;:false}]},{&quot;citationID&quot;:&quot;MENDELEY_CITATION_4cde7a7d-924e-4da6-849c-df324e8c2c87&quot;,&quot;properties&quot;:{&quot;noteIndex&quot;:0},&quot;isEdited&quot;:false,&quot;manualOverride&quot;:{&quot;isManuallyOverridden&quot;:false,&quot;citeprocText&quot;:&quot;[100]&quot;,&quot;manualOverrideText&quot;:&quot;&quot;},&quot;citationTag&quot;:&quot;MENDELEY_CITATION_v3_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&quot;,&quot;citationItems&quot;:[{&quot;id&quot;:&quot;24b6a98f-c4e1-36e2-96fa-bd7432057cf9&quot;,&quot;itemData&quot;:{&quot;type&quot;:&quot;article-journal&quot;,&quot;id&quot;:&quot;24b6a98f-c4e1-36e2-96fa-bd7432057cf9&quot;,&quot;title&quot;:&quot;Risk of COPD due to indoor air pollution from biomass cooking fuel: a systematic review and meta-analysis&quot;,&quot;author&quot;:[{&quot;family&quot;:&quot;Pathak&quot;,&quot;given&quot;:&quot;Utkarsha&quot;,&quot;parse-names&quot;:false,&quot;dropping-particle&quot;:&quot;&quot;,&quot;non-dropping-particle&quot;:&quot;&quot;},{&quot;family&quot;:&quot;Gupta&quot;,&quot;given&quot;:&quot;Naresh Chandra&quot;,&quot;parse-names&quot;:false,&quot;dropping-particle&quot;:&quot;&quot;,&quot;non-dropping-particle&quot;:&quot;&quot;},{&quot;family&quot;:&quot;Suri&quot;,&quot;given&quot;:&quot;Jagdish Chandra&quot;,&quot;parse-names&quot;:false,&quot;dropping-particle&quot;:&quot;&quot;,&quot;non-dropping-particle&quot;:&quot;&quot;}],&quot;container-title&quot;:&quot;International journal of environmental health research&quot;,&quot;accessed&quot;:{&quot;date-parts&quot;:[[2024,11,30]]},&quot;DOI&quot;:&quot;10.1080/09603123.2019.1575951&quot;,&quot;ISSN&quot;:&quot;1369-1619&quot;,&quot;PMID&quot;:&quot;30754998&quot;,&quot;URL&quot;:&quot;https://pubmed.ncbi.nlm.nih.gov/30754998/&quot;,&quot;issued&quot;:{&quot;date-parts&quot;:[[2020,1,2]]},&quot;page&quot;:&quot;75-88&quot;,&quot;abstract&quot;:&quot;Chronic obstructive pulmonary disease (COPD) is one of the leading causes of mortality in developing nations. In this meta-analysis, we aimed to determine the association between indoor air pollution and risk of COPD. Database searches were conducted using indoor air pollution, biomass and COPD related terms to identify relevant articles. The eligible studies were case-control, retrospective cohort, cross-sectional studies and conducted in adults that assessed COPD using any diagnostic criteria. A total of 35 studies with 73,122 participants were included. The pooled analysis showed that exposure to indoor air pollution due to solid biomass fuels increased risk of COPD by 2.65 (95% confidence interval [CI] 2.13–3.31; n = 73,122) and chronic bronchitis by 2.89 (95% CI 2.18–3.82) times more compared to non-biomass fuels. The risk of COPD was higher in Africa region (odds ratio [OR] 3.19), Asia (OR 2.88), South America (OR 2.15), Europe (OR 2.30) and North America (OR 2.14). The results of our meta-analysis indicated that exposure to indoor air pollution due to biomass smoke is strongly associated with COPD. Abbreviations: CS: cross-sectional; CC: case-control; NR: not reported; ATS: American Thoracic Society; BMRC: British Medical Research Council; GOLD: Global Initiative for Obstructive Lung Disease; IAP: indoor air pollution; BMF: biomass fuel; CB: chronic bronchitis; OR: odds ratio; UCI; upper confidence interval; LCI: lower confidence interval; COPD: chronic obstructive pulmonary disease.&quot;,&quot;publisher&quot;:&quot;Int J Environ Health Res&quot;,&quot;issue&quot;:&quot;1&quot;,&quot;volume&quot;:&quot;30&quot;,&quot;container-title-short&quot;:&quot;Int J Environ Health Res&quot;},&quot;isTemporary&quot;:false}]},{&quot;citationID&quot;:&quot;MENDELEY_CITATION_40fb9b30-a0b9-483e-a698-f60500e0b970&quot;,&quot;properties&quot;:{&quot;noteIndex&quot;:0},&quot;isEdited&quot;:false,&quot;manualOverride&quot;:{&quot;isManuallyOverridden&quot;:false,&quot;citeprocText&quot;:&quot;[113]&quot;,&quot;manualOverrideText&quot;:&quot;&quot;},&quot;citationTag&quot;:&quot;MENDELEY_CITATION_v3_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&quot;,&quot;citationItems&quot;:[{&quot;id&quot;:&quot;dcdf1c9b-82b2-3286-97da-631f9fdfb667&quot;,&quot;itemData&quot;:{&quot;type&quot;:&quot;article-journal&quot;,&quot;id&quot;:&quot;dcdf1c9b-82b2-3286-97da-631f9fdfb667&quot;,&quot;title&quot;:&quot;Indoor Air Pollution and Respiratory Health&quot;,&quot;author&quot;:[{&quot;family&quot;:&quot;Raju&quot;,&quot;given&quot;:&quot;Sarath&quot;,&quot;parse-names&quot;:false,&quot;dropping-particle&quot;:&quot;&quot;,&quot;non-dropping-particle&quot;:&quot;&quot;},{&quot;family&quot;:&quot;Siddharthan&quot;,&quot;given&quot;:&quot;Trishul&quot;,&quot;parse-names&quot;:false,&quot;dropping-particle&quot;:&quot;&quot;,&quot;non-dropping-particle&quot;:&quot;&quot;},{&quot;family&quot;:&quot;McCormack&quot;,&quot;given&quot;:&quot;Meredith C.&quot;,&quot;parse-names&quot;:false,&quot;dropping-particle&quot;:&quot;&quot;,&quot;non-dropping-particle&quot;:&quot;&quot;}],&quot;container-title&quot;:&quot;Clinics in chest medicine&quot;,&quot;accessed&quot;:{&quot;date-parts&quot;:[[2025,4,14]]},&quot;DOI&quot;:&quot;10.1016/J.CCM.2020.08.014&quot;,&quot;ISSN&quot;:&quot;15578216&quot;,&quot;PMID&quot;:&quot;33153698&quot;,&quot;URL&quot;:&quot;https://pmc.ncbi.nlm.nih.gov/articles/PMC7665158/&quot;,&quot;issued&quot;:{&quot;date-parts&quot;:[[2020,12,1]]},&quot;page&quot;:&quot;825&quot;,&quot;abstract&quot;:&quot;Worldwide, more than 4 million deaths annually are attributed to indoor air pollution. This largely preventable exposure represents a key target for reducing morbidity and mortality worldwide. Significant respiratory health effects are observed, ranging from attenuated lung growth and development in childhood to accelerated lung function decline and is determined by chronic obstructive pulmonary disease later in life. Personal exposure to household air pollutants include household characteristics, combustion of solid fuels, cooking practices, and household pest allergens. This review outlines important sources of indoor air pollution, their respiratory health effects, and strategies to reduce household pollution and improve lung health across the globe.&quot;,&quot;publisher&quot;:&quot;W.B. Saunders&quot;,&quot;issue&quot;:&quot;4&quot;,&quot;volume&quot;:&quot;41&quot;,&quot;container-title-short&quot;:&quot;Clin Chest Med&quot;},&quot;isTemporary&quot;:false}]},{&quot;citationID&quot;:&quot;MENDELEY_CITATION_08441283-32f1-4694-a143-59ddd7dfd340&quot;,&quot;properties&quot;:{&quot;noteIndex&quot;:0},&quot;isEdited&quot;:false,&quot;manualOverride&quot;:{&quot;isManuallyOverridden&quot;:false,&quot;citeprocText&quot;:&quot;[117]&quot;,&quot;manualOverrideText&quot;:&quot;&quot;},&quot;citationTag&quot;:&quot;MENDELEY_CITATION_v3_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&quot;,&quot;citationItems&quot;:[{&quot;id&quot;:&quot;0882d5a9-4192-3023-bfad-940eb37eabb5&quot;,&quot;itemData&quot;:{&quot;type&quot;:&quot;article-journal&quot;,&quot;id&quot;:&quot;0882d5a9-4192-3023-bfad-940eb37eabb5&quot;,&quot;title&quot;:&quot;COPD Exposed to Air Pollution: A Path to Understand and Protect a Susceptible Population&quot;,&quot;author&quot;:[{&quot;family&quot;:&quot;Ryu&quot;,&quot;given&quot;:&quot;Min Hyung&quot;,&quot;parse-names&quot;:false,&quot;dropping-particle&quot;:&quot;&quot;,&quot;non-dropping-particle&quot;:&quot;&quot;},{&quot;family&quot;:&quot;Murphy&quot;,&quot;given&quot;:&quot;Shane&quot;,&quot;parse-names&quot;:false,&quot;dropping-particle&quot;:&quot;&quot;,&quot;non-dropping-particle&quot;:&quot;&quot;},{&quot;family&quot;:&quot;Hinkley&quot;,&quot;given&quot;:&quot;Madison&quot;,&quot;parse-names&quot;:false,&quot;dropping-particle&quot;:&quot;&quot;,&quot;non-dropping-particle&quot;:&quot;&quot;},{&quot;family&quot;:&quot;Carlsten&quot;,&quot;given&quot;:&quot;Chris&quot;,&quot;parse-names&quot;:false,&quot;dropping-particle&quot;:&quot;&quot;,&quot;non-dropping-particle&quot;:&quot;&quot;}],&quot;container-title&quot;:&quot;Chest&quot;,&quot;accessed&quot;:{&quot;date-parts&quot;:[[2025,4,12]]},&quot;DOI&quot;:&quot;10.1016/J.CHEST.2023.11.012&quot;,&quot;ISSN&quot;:&quot;1931-3543&quot;,&quot;PMID&quot;:&quot;37972689&quot;,&quot;URL&quot;:&quot;https://pubmed.ncbi.nlm.nih.gov/37972689/&quot;,&quot;issued&quot;:{&quot;date-parts&quot;:[[2024,4,1]]},&quot;page&quot;:&quot;836-846&quot;,&quot;abstract&quot;:&quot;Topic Importance: Air pollution poses a risk to the respiratory health of individuals with COPD. Long- and short-term exposures to higher levels of particulate-rich air pollution are associated with increased COPD exacerbation, hospitalization, and mortality, collectively implicating air pollution as a cause of adverse COPD-related outcomes. Review Findings: This review summarizes the evidence for COPD as a phenotype that confers susceptibility for adverse health outcomes in the face of common air pollution. We highlight how typical contributors to compromised urban air quality, including that from traffic, wildfire smoke, and indoor biomass combustion, adversely affect the COPD patient population. Evidence underscoring the burden of ongoing air pollution exposure on patients with COPD is discussed. We then detail the detrimental impact of that exposure on COPD pathophysiology, which in turn increases the patient's susceptibility. We specifically propose that indoor air is a particularly rational target for increased monitoring and remediation to protect patients with COPD. Because COPD is a heterogeneous disease with several endotypes, future intervention studies need to better include control populations, to highlight COPD-specific risks and identify subpopulations within patients with COPD who will benefit the most from improved indoor air quality. Regulatory efforts must continue to broadly lower emission standards to protect this susceptible population from the negative health impacts of air pollution.&quot;,&quot;publisher&quot;:&quot;Chest&quot;,&quot;issue&quot;:&quot;4&quot;,&quot;volume&quot;:&quot;165&quot;,&quot;container-title-short&quot;:&quot;Chest&quot;},&quot;isTemporary&quot;:false}]},{&quot;citationID&quot;:&quot;MENDELEY_CITATION_ca6a7997-5518-40cc-b75a-a3a2576800b9&quot;,&quot;properties&quot;:{&quot;noteIndex&quot;:0},&quot;isEdited&quot;:false,&quot;manualOverride&quot;:{&quot;isManuallyOverridden&quot;:false,&quot;citeprocText&quot;:&quot;[115,117,118]&quot;,&quot;manualOverrideText&quot;:&quot;&quot;},&quot;citationTag&quot;:&quot;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&quot;,&quot;citationItems&quot;:[{&quot;id&quot;:&quot;fad97e61-9b61-362f-828f-b676cdf1a9b4&quot;,&quot;itemData&quot;:{&quot;type&quot;:&quot;article-journal&quot;,&quot;id&quot;:&quot;fad97e61-9b61-362f-828f-b676cdf1a9b4&quot;,&quot;title&quot;:&quot;Outdoor Air Pollution and New-Onset Airway Disease. An Official American Thoracic Society Workshop Report&quot;,&quot;author&quot;:[{&quot;family&quot;:&quot;Thurston&quot;,&quot;given&quot;:&quot;George D.&quot;,&quot;parse-names&quot;:false,&quot;dropping-particle&quot;:&quot;&quot;,&quot;non-dropping-particle&quot;:&quot;&quot;},{&quot;family&quot;:&quot;Balmes&quot;,&quot;given&quot;:&quot;John R.&quot;,&quot;parse-names&quot;:false,&quot;dropping-particle&quot;:&quot;&quot;,&quot;non-dropping-particle&quot;:&quot;&quot;},{&quot;family&quot;:&quot;Garcia&quot;,&quot;given&quot;:&quot;Erika&quot;,&quot;parse-names&quot;:false,&quot;dropping-particle&quot;:&quot;&quot;,&quot;non-dropping-particle&quot;:&quot;&quot;},{&quot;family&quot;:&quot;Gilliland&quot;,&quot;given&quot;:&quot;Frank D.&quot;,&quot;parse-names&quot;:false,&quot;dropping-particle&quot;:&quot;&quot;,&quot;non-dropping-particle&quot;:&quot;&quot;},{&quot;family&quot;:&quot;Rice&quot;,&quot;given&quot;:&quot;Mary B.&quot;,&quot;parse-names&quot;:false,&quot;dropping-particle&quot;:&quot;&quot;,&quot;non-dropping-particle&quot;:&quot;&quot;},{&quot;family&quot;:&quot;Schikowski&quot;,&quot;given&quot;:&quot;Tamara&quot;,&quot;parse-names&quot;:false,&quot;dropping-particle&quot;:&quot;&quot;,&quot;non-dropping-particle&quot;:&quot;&quot;},{&quot;family&quot;:&quot;Winkle&quot;,&quot;given&quot;:&quot;Laura S.&quot;,&quot;parse-names&quot;:false,&quot;dropping-particle&quot;:&quot;&quot;,&quot;non-dropping-particle&quot;:&quot;Van&quot;},{&quot;family&quot;:&quot;Annesi-Maesano&quot;,&quot;given&quot;:&quot;Isabella&quot;,&quot;parse-names&quot;:false,&quot;dropping-particle&quot;:&quot;&quot;,&quot;non-dropping-particle&quot;:&quot;&quot;},{&quot;family&quot;:&quot;Burchard&quot;,&quot;given&quot;:&quot;Esteban G.&quot;,&quot;parse-names&quot;:false,&quot;dropping-particle&quot;:&quot;&quot;,&quot;non-dropping-particle&quot;:&quot;&quot;},{&quot;family&quot;:&quot;Carlsten&quot;,&quot;given&quot;:&quot;Christopher&quot;,&quot;parse-names&quot;:false,&quot;dropping-particle&quot;:&quot;&quot;,&quot;non-dropping-particle&quot;:&quot;&quot;},{&quot;family&quot;:&quot;Harkema&quot;,&quot;given&quot;:&quot;Jack R.&quot;,&quot;parse-names&quot;:false,&quot;dropping-particle&quot;:&quot;&quot;,&quot;non-dropping-particle&quot;:&quot;&quot;},{&quot;family&quot;:&quot;Khreis&quot;,&quot;given&quot;:&quot;Haneen&quot;,&quot;parse-names&quot;:false,&quot;dropping-particle&quot;:&quot;&quot;,&quot;non-dropping-particle&quot;:&quot;&quot;},{&quot;family&quot;:&quot;Kleeberger&quot;,&quot;given&quot;:&quot;Steven R.&quot;,&quot;parse-names&quot;:false,&quot;dropping-particle&quot;:&quot;&quot;,&quot;non-dropping-particle&quot;:&quot;&quot;},{&quot;family&quot;:&quot;Kodavanti&quot;,&quot;given&quot;:&quot;Urmila P.&quot;,&quot;parse-names&quot;:false,&quot;dropping-particle&quot;:&quot;&quot;,&quot;non-dropping-particle&quot;:&quot;&quot;},{&quot;family&quot;:&quot;London&quot;,&quot;given&quot;:&quot;Stephanie J.&quot;,&quot;parse-names&quot;:false,&quot;dropping-particle&quot;:&quot;&quot;,&quot;non-dropping-particle&quot;:&quot;&quot;},{&quot;family&quot;:&quot;McConnell&quot;,&quot;given&quot;:&quot;Rob&quot;,&quot;parse-names&quot;:false,&quot;dropping-particle&quot;:&quot;&quot;,&quot;non-dropping-particle&quot;:&quot;&quot;},{&quot;family&quot;:&quot;Peden&quot;,&quot;given&quot;:&quot;Dave B.&quot;,&quot;parse-names&quot;:false,&quot;dropping-particle&quot;:&quot;&quot;,&quot;non-dropping-particle&quot;:&quot;&quot;},{&quot;family&quot;:&quot;Pinkerton&quot;,&quot;given&quot;:&quot;Kent E.&quot;,&quot;parse-names&quot;:false,&quot;dropping-particle&quot;:&quot;&quot;,&quot;non-dropping-particle&quot;:&quot;&quot;},{&quot;family&quot;:&quot;Reibman&quot;,&quot;given&quot;:&quot;Joan&quot;,&quot;parse-names&quot;:false,&quot;dropping-particle&quot;:&quot;&quot;,&quot;non-dropping-particle&quot;:&quot;&quot;},{&quot;family&quot;:&quot;White&quot;,&quot;given&quot;:&quot;Carl W.&quot;,&quot;parse-names&quot;:false,&quot;dropping-particle&quot;:&quot;&quot;,&quot;non-dropping-particle&quot;:&quot;&quot;}],&quot;container-title&quot;:&quot;Annals of the American Thoracic Society&quot;,&quot;accessed&quot;:{&quot;date-parts&quot;:[[2025,4,14]]},&quot;DOI&quot;:&quot;10.1513/ANNALSATS.202001-046ST&quot;,&quot;ISSN&quot;:&quot;2325-6621&quot;,&quot;PMID&quot;:&quot;32233861&quot;,&quot;URL&quot;:&quot;https://pubmed.ncbi.nlm.nih.gov/32233861/&quot;,&quot;issued&quot;:{&quot;date-parts&quot;:[[2020]]},&quot;page&quot;:&quot;387-398&quot;,&quot;abstract&quot;:&quot;Although it is well accepted that air pollution exposure exacerbates preexisting airway disease, it has not been firmly established that long-term pollution exposure increases the risk of new-onset asthma or chronic obstruction pulmonary disease (COPD). This Workshop brought together experts on mechanistic, epidemiological, and clinical aspects of airway disease to review current knowledge regarding whether air pollution is a causal factor in the development of asthma and/or COPD. Speakers presented recent evidence in their respective areas of expertise related to air pollution and new airway disease incidence, followed by interactive discussions. A writing committee summarized their collective findings. The Epidemiology Group found that long-term exposure to air pollution, especially metrics of traffic-related air pollution such as nitrogen dioxide and black carbon, is associated with onset of childhood asthma. However, the evidence for a causal role in adultonset asthma or COPD remains insufficient. The Mechanistic Group concluded that air pollution exposure can cause airway remodeling, which can lead to asthma or COPD, as well as asthma-like phenotypes that worsen with long-term exposure to air pollution, especially fine particulate matter and ozone. The Clinical Group concluded that air pollution is a plausible contributor to the onset of both asthma and COPD. Available evidence indicates that long-term exposure to air pollution is a cause of childhood asthma, but the evidence for a similar determination for adult asthma or COPD remains insufficient. Further research is needed to elucidate the exact biological mechanism underlying incident childhood asthma, and the specific air pollutant that causes it.&quot;,&quot;publisher&quot;:&quot;Ann Am Thorac Soc&quot;,&quot;issue&quot;:&quot;4&quot;,&quot;volume&quot;:&quot;17&quot;,&quot;container-title-short&quot;:&quot;Ann Am Thorac Soc&quot;},&quot;isTemporary&quot;:false},{&quot;id&quot;:&quot;0882d5a9-4192-3023-bfad-940eb37eabb5&quot;,&quot;itemData&quot;:{&quot;type&quot;:&quot;article-journal&quot;,&quot;id&quot;:&quot;0882d5a9-4192-3023-bfad-940eb37eabb5&quot;,&quot;title&quot;:&quot;COPD Exposed to Air Pollution: A Path to Understand and Protect a Susceptible Population&quot;,&quot;author&quot;:[{&quot;family&quot;:&quot;Ryu&quot;,&quot;given&quot;:&quot;Min Hyung&quot;,&quot;parse-names&quot;:false,&quot;dropping-particle&quot;:&quot;&quot;,&quot;non-dropping-particle&quot;:&quot;&quot;},{&quot;family&quot;:&quot;Murphy&quot;,&quot;given&quot;:&quot;Shane&quot;,&quot;parse-names&quot;:false,&quot;dropping-particle&quot;:&quot;&quot;,&quot;non-dropping-particle&quot;:&quot;&quot;},{&quot;family&quot;:&quot;Hinkley&quot;,&quot;given&quot;:&quot;Madison&quot;,&quot;parse-names&quot;:false,&quot;dropping-particle&quot;:&quot;&quot;,&quot;non-dropping-particle&quot;:&quot;&quot;},{&quot;family&quot;:&quot;Carlsten&quot;,&quot;given&quot;:&quot;Chris&quot;,&quot;parse-names&quot;:false,&quot;dropping-particle&quot;:&quot;&quot;,&quot;non-dropping-particle&quot;:&quot;&quot;}],&quot;container-title&quot;:&quot;Chest&quot;,&quot;accessed&quot;:{&quot;date-parts&quot;:[[2025,4,12]]},&quot;DOI&quot;:&quot;10.1016/J.CHEST.2023.11.012&quot;,&quot;ISSN&quot;:&quot;1931-3543&quot;,&quot;PMID&quot;:&quot;37972689&quot;,&quot;URL&quot;:&quot;https://pubmed.ncbi.nlm.nih.gov/37972689/&quot;,&quot;issued&quot;:{&quot;date-parts&quot;:[[2024,4,1]]},&quot;page&quot;:&quot;836-846&quot;,&quot;abstract&quot;:&quot;Topic Importance: Air pollution poses a risk to the respiratory health of individuals with COPD. Long- and short-term exposures to higher levels of particulate-rich air pollution are associated with increased COPD exacerbation, hospitalization, and mortality, collectively implicating air pollution as a cause of adverse COPD-related outcomes. Review Findings: This review summarizes the evidence for COPD as a phenotype that confers susceptibility for adverse health outcomes in the face of common air pollution. We highlight how typical contributors to compromised urban air quality, including that from traffic, wildfire smoke, and indoor biomass combustion, adversely affect the COPD patient population. Evidence underscoring the burden of ongoing air pollution exposure on patients with COPD is discussed. We then detail the detrimental impact of that exposure on COPD pathophysiology, which in turn increases the patient's susceptibility. We specifically propose that indoor air is a particularly rational target for increased monitoring and remediation to protect patients with COPD. Because COPD is a heterogeneous disease with several endotypes, future intervention studies need to better include control populations, to highlight COPD-specific risks and identify subpopulations within patients with COPD who will benefit the most from improved indoor air quality. Regulatory efforts must continue to broadly lower emission standards to protect this susceptible population from the negative health impacts of air pollution.&quot;,&quot;publisher&quot;:&quot;Chest&quot;,&quot;issue&quot;:&quot;4&quot;,&quot;volume&quot;:&quot;165&quot;,&quot;container-title-short&quot;:&quot;Chest&quot;},&quot;isTemporary&quot;:false},{&quot;id&quot;:&quot;41722e73-49cc-3c61-8806-f9ebfdf9fe9a&quot;,&quot;itemData&quot;:{&quot;type&quot;:&quot;article-journal&quot;,&quot;id&quot;:&quot;41722e73-49cc-3c61-8806-f9ebfdf9fe9a&quot;,&quot;title&quot;:&quot;Air pollution as an early determinant of COPD&quot;,&quot;author&quot;:[{&quot;family&quot;:&quot;Lu&quot;,&quot;given&quot;:&quot;Zhuyi&quot;,&quot;parse-names&quot;:false,&quot;dropping-particle&quot;:&quot;&quot;,&quot;non-dropping-particle&quot;:&quot;&quot;},{&quot;family&quot;:&quot;Coll&quot;,&quot;given&quot;:&quot;Patrice&quot;,&quot;parse-names&quot;:false,&quot;dropping-particle&quot;:&quot;&quot;,&quot;non-dropping-particle&quot;:&quot;&quot;},{&quot;family&quot;:&quot;Maitre&quot;,&quot;given&quot;:&quot;Bernard&quot;,&quot;parse-names&quot;:false,&quot;dropping-particle&quot;:&quot;&quot;,&quot;non-dropping-particle&quot;:&quot;&quot;},{&quot;family&quot;:&quot;Epaud&quot;,&quot;given&quot;:&quot;Ralph&quot;,&quot;parse-names&quot;:false,&quot;dropping-particle&quot;:&quot;&quot;,&quot;non-dropping-particle&quot;:&quot;&quot;},{&quot;family&quot;:&quot;Lanone&quot;,&quot;given&quot;:&quot;Sophie&quot;,&quot;parse-names&quot;:false,&quot;dropping-particle&quot;:&quot;&quot;,&quot;non-dropping-particle&quot;:&quot;&quot;}],&quot;container-title&quot;:&quot;European Respiratory Review&quot;,&quot;accessed&quot;:{&quot;date-parts&quot;:[[2025,4,12]]},&quot;DOI&quot;:&quot;10.1183/16000617.0059-2022&quot;,&quot;ISSN&quot;:&quot;16000617&quot;,&quot;PMID&quot;:&quot;35948393&quot;,&quot;URL&quot;:&quot;https://pmc.ncbi.nlm.nih.gov/articles/PMC9724895/&quot;,&quot;issued&quot;:{&quot;date-parts&quot;:[[2022,9,30]]},&quot;page&quot;:&quot;220059&quot;,&quot;abstract&quot;:&quot;COPD is a progressive and debilitating disease often diagnosed after 50 years of age, but more recent evidence suggests that its onset could originate very early on in life. In this context, exposure to air pollution appears to be a potential contributor. Although the potential role of air pollution as an early determinant of COPD is emerging, knowledge gaps still remain, including an accurate qualification of air pollutants (number of pollutants quantified and exact composition) or the “one exposure–one disease” concept, which might limit the current understanding. To fill these gaps, improvements in the field are needed, such as the use of atmosphere simulation chambers able to realistically reproduce the complexity of air pollution, consideration of the exposome, as well as improving exchanges between paediatricians and adult lung specialists to take advantage of reciprocal expertise. This review should lead to a better understanding of the current knowledge on air pollution as an early determinant of COPD, as well as identify the existing knowledge gaps and opportunities to fill them. Hopefully, this will lead to better prevention strategies to scale down the development of COPD in future generations.&quot;,&quot;publisher&quot;:&quot;European Respiratory Society&quot;,&quot;issue&quot;:&quot;165&quot;,&quot;volume&quot;:&quot;31&quot;,&quot;container-title-short&quot;:&quot;&quot;},&quot;isTemporary&quot;:false}]},{&quot;citationID&quot;:&quot;MENDELEY_CITATION_083a9adb-f161-45e3-9e2a-9ea4412bf403&quot;,&quot;properties&quot;:{&quot;noteIndex&quot;:0},&quot;isEdited&quot;:false,&quot;manualOverride&quot;:{&quot;isManuallyOverridden&quot;:false,&quot;citeprocText&quot;:&quot;[118]&quot;,&quot;manualOverrideText&quot;:&quot;&quot;},&quot;citationTag&quot;:&quot;MENDELEY_CITATION_v3_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&quot;,&quot;citationItems&quot;:[{&quot;id&quot;:&quot;fad97e61-9b61-362f-828f-b676cdf1a9b4&quot;,&quot;itemData&quot;:{&quot;type&quot;:&quot;article-journal&quot;,&quot;id&quot;:&quot;fad97e61-9b61-362f-828f-b676cdf1a9b4&quot;,&quot;title&quot;:&quot;Outdoor Air Pollution and New-Onset Airway Disease. An Official American Thoracic Society Workshop Report&quot;,&quot;author&quot;:[{&quot;family&quot;:&quot;Thurston&quot;,&quot;given&quot;:&quot;George D.&quot;,&quot;parse-names&quot;:false,&quot;dropping-particle&quot;:&quot;&quot;,&quot;non-dropping-particle&quot;:&quot;&quot;},{&quot;family&quot;:&quot;Balmes&quot;,&quot;given&quot;:&quot;John R.&quot;,&quot;parse-names&quot;:false,&quot;dropping-particle&quot;:&quot;&quot;,&quot;non-dropping-particle&quot;:&quot;&quot;},{&quot;family&quot;:&quot;Garcia&quot;,&quot;given&quot;:&quot;Erika&quot;,&quot;parse-names&quot;:false,&quot;dropping-particle&quot;:&quot;&quot;,&quot;non-dropping-particle&quot;:&quot;&quot;},{&quot;family&quot;:&quot;Gilliland&quot;,&quot;given&quot;:&quot;Frank D.&quot;,&quot;parse-names&quot;:false,&quot;dropping-particle&quot;:&quot;&quot;,&quot;non-dropping-particle&quot;:&quot;&quot;},{&quot;family&quot;:&quot;Rice&quot;,&quot;given&quot;:&quot;Mary B.&quot;,&quot;parse-names&quot;:false,&quot;dropping-particle&quot;:&quot;&quot;,&quot;non-dropping-particle&quot;:&quot;&quot;},{&quot;family&quot;:&quot;Schikowski&quot;,&quot;given&quot;:&quot;Tamara&quot;,&quot;parse-names&quot;:false,&quot;dropping-particle&quot;:&quot;&quot;,&quot;non-dropping-particle&quot;:&quot;&quot;},{&quot;family&quot;:&quot;Winkle&quot;,&quot;given&quot;:&quot;Laura S.&quot;,&quot;parse-names&quot;:false,&quot;dropping-particle&quot;:&quot;&quot;,&quot;non-dropping-particle&quot;:&quot;Van&quot;},{&quot;family&quot;:&quot;Annesi-Maesano&quot;,&quot;given&quot;:&quot;Isabella&quot;,&quot;parse-names&quot;:false,&quot;dropping-particle&quot;:&quot;&quot;,&quot;non-dropping-particle&quot;:&quot;&quot;},{&quot;family&quot;:&quot;Burchard&quot;,&quot;given&quot;:&quot;Esteban G.&quot;,&quot;parse-names&quot;:false,&quot;dropping-particle&quot;:&quot;&quot;,&quot;non-dropping-particle&quot;:&quot;&quot;},{&quot;family&quot;:&quot;Carlsten&quot;,&quot;given&quot;:&quot;Christopher&quot;,&quot;parse-names&quot;:false,&quot;dropping-particle&quot;:&quot;&quot;,&quot;non-dropping-particle&quot;:&quot;&quot;},{&quot;family&quot;:&quot;Harkema&quot;,&quot;given&quot;:&quot;Jack R.&quot;,&quot;parse-names&quot;:false,&quot;dropping-particle&quot;:&quot;&quot;,&quot;non-dropping-particle&quot;:&quot;&quot;},{&quot;family&quot;:&quot;Khreis&quot;,&quot;given&quot;:&quot;Haneen&quot;,&quot;parse-names&quot;:false,&quot;dropping-particle&quot;:&quot;&quot;,&quot;non-dropping-particle&quot;:&quot;&quot;},{&quot;family&quot;:&quot;Kleeberger&quot;,&quot;given&quot;:&quot;Steven R.&quot;,&quot;parse-names&quot;:false,&quot;dropping-particle&quot;:&quot;&quot;,&quot;non-dropping-particle&quot;:&quot;&quot;},{&quot;family&quot;:&quot;Kodavanti&quot;,&quot;given&quot;:&quot;Urmila P.&quot;,&quot;parse-names&quot;:false,&quot;dropping-particle&quot;:&quot;&quot;,&quot;non-dropping-particle&quot;:&quot;&quot;},{&quot;family&quot;:&quot;London&quot;,&quot;given&quot;:&quot;Stephanie J.&quot;,&quot;parse-names&quot;:false,&quot;dropping-particle&quot;:&quot;&quot;,&quot;non-dropping-particle&quot;:&quot;&quot;},{&quot;family&quot;:&quot;McConnell&quot;,&quot;given&quot;:&quot;Rob&quot;,&quot;parse-names&quot;:false,&quot;dropping-particle&quot;:&quot;&quot;,&quot;non-dropping-particle&quot;:&quot;&quot;},{&quot;family&quot;:&quot;Peden&quot;,&quot;given&quot;:&quot;Dave B.&quot;,&quot;parse-names&quot;:false,&quot;dropping-particle&quot;:&quot;&quot;,&quot;non-dropping-particle&quot;:&quot;&quot;},{&quot;family&quot;:&quot;Pinkerton&quot;,&quot;given&quot;:&quot;Kent E.&quot;,&quot;parse-names&quot;:false,&quot;dropping-particle&quot;:&quot;&quot;,&quot;non-dropping-particle&quot;:&quot;&quot;},{&quot;family&quot;:&quot;Reibman&quot;,&quot;given&quot;:&quot;Joan&quot;,&quot;parse-names&quot;:false,&quot;dropping-particle&quot;:&quot;&quot;,&quot;non-dropping-particle&quot;:&quot;&quot;},{&quot;family&quot;:&quot;White&quot;,&quot;given&quot;:&quot;Carl W.&quot;,&quot;parse-names&quot;:false,&quot;dropping-particle&quot;:&quot;&quot;,&quot;non-dropping-particle&quot;:&quot;&quot;}],&quot;container-title&quot;:&quot;Annals of the American Thoracic Society&quot;,&quot;accessed&quot;:{&quot;date-parts&quot;:[[2025,4,14]]},&quot;DOI&quot;:&quot;10.1513/ANNALSATS.202001-046ST&quot;,&quot;ISSN&quot;:&quot;2325-6621&quot;,&quot;PMID&quot;:&quot;32233861&quot;,&quot;URL&quot;:&quot;https://pubmed.ncbi.nlm.nih.gov/32233861/&quot;,&quot;issued&quot;:{&quot;date-parts&quot;:[[2020]]},&quot;page&quot;:&quot;387-398&quot;,&quot;abstract&quot;:&quot;Although it is well accepted that air pollution exposure exacerbates preexisting airway disease, it has not been firmly established that long-term pollution exposure increases the risk of new-onset asthma or chronic obstruction pulmonary disease (COPD). This Workshop brought together experts on mechanistic, epidemiological, and clinical aspects of airway disease to review current knowledge regarding whether air pollution is a causal factor in the development of asthma and/or COPD. Speakers presented recent evidence in their respective areas of expertise related to air pollution and new airway disease incidence, followed by interactive discussions. A writing committee summarized their collective findings. The Epidemiology Group found that long-term exposure to air pollution, especially metrics of traffic-related air pollution such as nitrogen dioxide and black carbon, is associated with onset of childhood asthma. However, the evidence for a causal role in adultonset asthma or COPD remains insufficient. The Mechanistic Group concluded that air pollution exposure can cause airway remodeling, which can lead to asthma or COPD, as well as asthma-like phenotypes that worsen with long-term exposure to air pollution, especially fine particulate matter and ozone. The Clinical Group concluded that air pollution is a plausible contributor to the onset of both asthma and COPD. Available evidence indicates that long-term exposure to air pollution is a cause of childhood asthma, but the evidence for a similar determination for adult asthma or COPD remains insufficient. Further research is needed to elucidate the exact biological mechanism underlying incident childhood asthma, and the specific air pollutant that causes it.&quot;,&quot;publisher&quot;:&quot;Ann Am Thorac Soc&quot;,&quot;issue&quot;:&quot;4&quot;,&quot;volume&quot;:&quot;17&quot;,&quot;container-title-short&quot;:&quot;Ann Am Thorac Soc&quot;},&quot;isTemporary&quot;:false}]},{&quot;citationID&quot;:&quot;MENDELEY_CITATION_bb6f173e-5031-41e3-9e94-bc7bff214c46&quot;,&quot;properties&quot;:{&quot;noteIndex&quot;:0},&quot;isEdited&quot;:false,&quot;manualOverride&quot;:{&quot;isManuallyOverridden&quot;:false,&quot;citeprocText&quot;:&quot;[118]&quot;,&quot;manualOverrideText&quot;:&quot;&quot;},&quot;citationTag&quot;:&quot;MENDELEY_CITATION_v3_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&quot;,&quot;citationItems&quot;:[{&quot;id&quot;:&quot;fad97e61-9b61-362f-828f-b676cdf1a9b4&quot;,&quot;itemData&quot;:{&quot;type&quot;:&quot;article-journal&quot;,&quot;id&quot;:&quot;fad97e61-9b61-362f-828f-b676cdf1a9b4&quot;,&quot;title&quot;:&quot;Outdoor Air Pollution and New-Onset Airway Disease. An Official American Thoracic Society Workshop Report&quot;,&quot;author&quot;:[{&quot;family&quot;:&quot;Thurston&quot;,&quot;given&quot;:&quot;George D.&quot;,&quot;parse-names&quot;:false,&quot;dropping-particle&quot;:&quot;&quot;,&quot;non-dropping-particle&quot;:&quot;&quot;},{&quot;family&quot;:&quot;Balmes&quot;,&quot;given&quot;:&quot;John R.&quot;,&quot;parse-names&quot;:false,&quot;dropping-particle&quot;:&quot;&quot;,&quot;non-dropping-particle&quot;:&quot;&quot;},{&quot;family&quot;:&quot;Garcia&quot;,&quot;given&quot;:&quot;Erika&quot;,&quot;parse-names&quot;:false,&quot;dropping-particle&quot;:&quot;&quot;,&quot;non-dropping-particle&quot;:&quot;&quot;},{&quot;family&quot;:&quot;Gilliland&quot;,&quot;given&quot;:&quot;Frank D.&quot;,&quot;parse-names&quot;:false,&quot;dropping-particle&quot;:&quot;&quot;,&quot;non-dropping-particle&quot;:&quot;&quot;},{&quot;family&quot;:&quot;Rice&quot;,&quot;given&quot;:&quot;Mary B.&quot;,&quot;parse-names&quot;:false,&quot;dropping-particle&quot;:&quot;&quot;,&quot;non-dropping-particle&quot;:&quot;&quot;},{&quot;family&quot;:&quot;Schikowski&quot;,&quot;given&quot;:&quot;Tamara&quot;,&quot;parse-names&quot;:false,&quot;dropping-particle&quot;:&quot;&quot;,&quot;non-dropping-particle&quot;:&quot;&quot;},{&quot;family&quot;:&quot;Winkle&quot;,&quot;given&quot;:&quot;Laura S.&quot;,&quot;parse-names&quot;:false,&quot;dropping-particle&quot;:&quot;&quot;,&quot;non-dropping-particle&quot;:&quot;Van&quot;},{&quot;family&quot;:&quot;Annesi-Maesano&quot;,&quot;given&quot;:&quot;Isabella&quot;,&quot;parse-names&quot;:false,&quot;dropping-particle&quot;:&quot;&quot;,&quot;non-dropping-particle&quot;:&quot;&quot;},{&quot;family&quot;:&quot;Burchard&quot;,&quot;given&quot;:&quot;Esteban G.&quot;,&quot;parse-names&quot;:false,&quot;dropping-particle&quot;:&quot;&quot;,&quot;non-dropping-particle&quot;:&quot;&quot;},{&quot;family&quot;:&quot;Carlsten&quot;,&quot;given&quot;:&quot;Christopher&quot;,&quot;parse-names&quot;:false,&quot;dropping-particle&quot;:&quot;&quot;,&quot;non-dropping-particle&quot;:&quot;&quot;},{&quot;family&quot;:&quot;Harkema&quot;,&quot;given&quot;:&quot;Jack R.&quot;,&quot;parse-names&quot;:false,&quot;dropping-particle&quot;:&quot;&quot;,&quot;non-dropping-particle&quot;:&quot;&quot;},{&quot;family&quot;:&quot;Khreis&quot;,&quot;given&quot;:&quot;Haneen&quot;,&quot;parse-names&quot;:false,&quot;dropping-particle&quot;:&quot;&quot;,&quot;non-dropping-particle&quot;:&quot;&quot;},{&quot;family&quot;:&quot;Kleeberger&quot;,&quot;given&quot;:&quot;Steven R.&quot;,&quot;parse-names&quot;:false,&quot;dropping-particle&quot;:&quot;&quot;,&quot;non-dropping-particle&quot;:&quot;&quot;},{&quot;family&quot;:&quot;Kodavanti&quot;,&quot;given&quot;:&quot;Urmila P.&quot;,&quot;parse-names&quot;:false,&quot;dropping-particle&quot;:&quot;&quot;,&quot;non-dropping-particle&quot;:&quot;&quot;},{&quot;family&quot;:&quot;London&quot;,&quot;given&quot;:&quot;Stephanie J.&quot;,&quot;parse-names&quot;:false,&quot;dropping-particle&quot;:&quot;&quot;,&quot;non-dropping-particle&quot;:&quot;&quot;},{&quot;family&quot;:&quot;McConnell&quot;,&quot;given&quot;:&quot;Rob&quot;,&quot;parse-names&quot;:false,&quot;dropping-particle&quot;:&quot;&quot;,&quot;non-dropping-particle&quot;:&quot;&quot;},{&quot;family&quot;:&quot;Peden&quot;,&quot;given&quot;:&quot;Dave B.&quot;,&quot;parse-names&quot;:false,&quot;dropping-particle&quot;:&quot;&quot;,&quot;non-dropping-particle&quot;:&quot;&quot;},{&quot;family&quot;:&quot;Pinkerton&quot;,&quot;given&quot;:&quot;Kent E.&quot;,&quot;parse-names&quot;:false,&quot;dropping-particle&quot;:&quot;&quot;,&quot;non-dropping-particle&quot;:&quot;&quot;},{&quot;family&quot;:&quot;Reibman&quot;,&quot;given&quot;:&quot;Joan&quot;,&quot;parse-names&quot;:false,&quot;dropping-particle&quot;:&quot;&quot;,&quot;non-dropping-particle&quot;:&quot;&quot;},{&quot;family&quot;:&quot;White&quot;,&quot;given&quot;:&quot;Carl W.&quot;,&quot;parse-names&quot;:false,&quot;dropping-particle&quot;:&quot;&quot;,&quot;non-dropping-particle&quot;:&quot;&quot;}],&quot;container-title&quot;:&quot;Annals of the American Thoracic Society&quot;,&quot;accessed&quot;:{&quot;date-parts&quot;:[[2025,4,14]]},&quot;DOI&quot;:&quot;10.1513/ANNALSATS.202001-046ST&quot;,&quot;ISSN&quot;:&quot;2325-6621&quot;,&quot;PMID&quot;:&quot;32233861&quot;,&quot;URL&quot;:&quot;https://pubmed.ncbi.nlm.nih.gov/32233861/&quot;,&quot;issued&quot;:{&quot;date-parts&quot;:[[2020]]},&quot;page&quot;:&quot;387-398&quot;,&quot;abstract&quot;:&quot;Although it is well accepted that air pollution exposure exacerbates preexisting airway disease, it has not been firmly established that long-term pollution exposure increases the risk of new-onset asthma or chronic obstruction pulmonary disease (COPD). This Workshop brought together experts on mechanistic, epidemiological, and clinical aspects of airway disease to review current knowledge regarding whether air pollution is a causal factor in the development of asthma and/or COPD. Speakers presented recent evidence in their respective areas of expertise related to air pollution and new airway disease incidence, followed by interactive discussions. A writing committee summarized their collective findings. The Epidemiology Group found that long-term exposure to air pollution, especially metrics of traffic-related air pollution such as nitrogen dioxide and black carbon, is associated with onset of childhood asthma. However, the evidence for a causal role in adultonset asthma or COPD remains insufficient. The Mechanistic Group concluded that air pollution exposure can cause airway remodeling, which can lead to asthma or COPD, as well as asthma-like phenotypes that worsen with long-term exposure to air pollution, especially fine particulate matter and ozone. The Clinical Group concluded that air pollution is a plausible contributor to the onset of both asthma and COPD. Available evidence indicates that long-term exposure to air pollution is a cause of childhood asthma, but the evidence for a similar determination for adult asthma or COPD remains insufficient. Further research is needed to elucidate the exact biological mechanism underlying incident childhood asthma, and the specific air pollutant that causes it.&quot;,&quot;publisher&quot;:&quot;Ann Am Thorac Soc&quot;,&quot;issue&quot;:&quot;4&quot;,&quot;volume&quot;:&quot;17&quot;,&quot;container-title-short&quot;:&quot;Ann Am Thorac Soc&quot;},&quot;isTemporary&quot;:false}]},{&quot;citationID&quot;:&quot;MENDELEY_CITATION_17032eca-1e00-4469-b50f-c7bb9dd1891c&quot;,&quot;properties&quot;:{&quot;noteIndex&quot;:0},&quot;isEdited&quot;:false,&quot;manualOverride&quot;:{&quot;isManuallyOverridden&quot;:false,&quot;citeprocText&quot;:&quot;[112,117]&quot;,&quot;manualOverrideText&quot;:&quot;&quot;},&quot;citationTag&quot;:&quot;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&quot;,&quot;citationItems&quot;:[{&quot;id&quot;:&quot;512c5224-1126-3543-ae23-0293848faab9&quot;,&quot;itemData&quot;:{&quot;type&quot;:&quot;article-journal&quot;,&quot;id&quot;:&quot;512c5224-1126-3543-ae23-0293848faab9&quot;,&quot;title&quot;:&quot;Air pollution and COPD: GOLD 2023 committee report&quot;,&quot;author&quot;:[{&quot;family&quot;:&quot;Sin&quot;,&quot;given&quot;:&quot;Don D.&quot;,&quot;parse-names&quot;:false,&quot;dropping-particle&quot;:&quot;&quot;,&quot;non-dropping-particle&quot;:&quot;&quot;},{&quot;family&quot;:&quot;Doiron&quot;,&quot;given&quot;:&quot;Dany&quot;,&quot;parse-names&quot;:false,&quot;dropping-particle&quot;:&quot;&quot;,&quot;non-dropping-particle&quot;:&quot;&quot;},{&quot;family&quot;:&quot;Agusti&quot;,&quot;given&quot;:&quot;Alvar&quot;,&quot;parse-names&quot;:false,&quot;dropping-particle&quot;:&quot;&quot;,&quot;non-dropping-particle&quot;:&quot;&quot;},{&quot;family&quot;:&quot;Anzueto&quot;,&quot;given&quot;:&quot;Antonio&quot;,&quot;parse-names&quot;:false,&quot;dropping-particle&quot;:&quot;&quot;,&quot;non-dropping-particle&quot;:&quot;&quot;},{&quot;family&quot;:&quot;Barnes&quot;,&quot;given&quot;:&quot;Peter J.&quot;,&quot;parse-names&quot;:false,&quot;dropping-particle&quot;:&quot;&quot;,&quot;non-dropping-particle&quot;:&quot;&quot;},{&quot;family&quot;:&quot;Celli&quot;,&quot;given&quot;:&quot;Bartolome R.&quot;,&quot;parse-names&quot;:false,&quot;dropping-particle&quot;:&quot;&quot;,&quot;non-dropping-particle&quot;:&quot;&quot;},{&quot;family&quot;:&quot;Criner&quot;,&quot;given&quot;:&quot;Gerard J.&quot;,&quot;parse-names&quot;:false,&quot;dropping-particle&quot;:&quot;&quot;,&quot;non-dropping-particle&quot;:&quot;&quot;},{&quot;family&quot;:&quot;Halpin&quot;,&quot;given&quot;:&quot;David&quot;,&quot;parse-names&quot;:false,&quot;dropping-particle&quot;:&quot;&quot;,&quot;non-dropping-particle&quot;:&quot;&quot;},{&quot;family&quot;:&quot;Han&quot;,&quot;given&quot;:&quot;Mei Lan K.&quot;,&quot;parse-names&quot;:false,&quot;dropping-particle&quot;:&quot;&quot;,&quot;non-dropping-particle&quot;:&quot;&quot;},{&quot;family&quot;:&quot;Martinez&quot;,&quot;given&quot;:&quot;Fernando J.&quot;,&quot;parse-names&quot;:false,&quot;dropping-particle&quot;:&quot;&quot;,&quot;non-dropping-particle&quot;:&quot;&quot;},{&quot;family&quot;:&quot;Oca&quot;,&quot;given&quot;:&quot;Maria Montes&quot;,&quot;parse-names&quot;:false,&quot;dropping-particle&quot;:&quot;&quot;,&quot;non-dropping-particle&quot;:&quot;de&quot;},{&quot;family&quot;:&quot;Papi&quot;,&quot;given&quot;:&quot;Alberto&quot;,&quot;parse-names&quot;:false,&quot;dropping-particle&quot;:&quot;&quot;,&quot;non-dropping-particle&quot;:&quot;&quot;},{&quot;family&quot;:&quot;Pavord&quot;,&quot;given&quot;:&quot;Ian&quot;,&quot;parse-names&quot;:false,&quot;dropping-particle&quot;:&quot;&quot;,&quot;non-dropping-particle&quot;:&quot;&quot;},{&quot;family&quot;:&quot;Roche&quot;,&quot;given&quot;:&quot;Nicolas&quot;,&quot;parse-names&quot;:false,&quot;dropping-particle&quot;:&quot;&quot;,&quot;non-dropping-particle&quot;:&quot;&quot;},{&quot;family&quot;:&quot;Singh&quot;,&quot;given&quot;:&quot;Dave&quot;,&quot;parse-names&quot;:false,&quot;dropping-particle&quot;:&quot;&quot;,&quot;non-dropping-particle&quot;:&quot;&quot;},{&quot;family&quot;:&quot;Stockley&quot;,&quot;given&quot;:&quot;Robert&quot;,&quot;parse-names&quot;:false,&quot;dropping-particle&quot;:&quot;&quot;,&quot;non-dropping-particle&quot;:&quot;&quot;},{&quot;family&quot;:&quot;Lopez Varlera&quot;,&quot;given&quot;:&quot;M. Victorina&quot;,&quot;parse-names&quot;:false,&quot;dropping-particle&quot;:&quot;&quot;,&quot;non-dropping-particle&quot;:&quot;&quot;},{&quot;family&quot;:&quot;Wedzicha&quot;,&quot;given&quot;:&quot;Jadwiga&quot;,&quot;parse-names&quot;:false,&quot;dropping-particle&quot;:&quot;&quot;,&quot;non-dropping-particle&quot;:&quot;&quot;},{&quot;family&quot;:&quot;Vogelmeier&quot;,&quot;given&quot;:&quot;Claus&quot;,&quot;parse-names&quot;:false,&quot;dropping-particle&quot;:&quot;&quot;,&quot;non-dropping-particle&quot;:&quot;&quot;},{&quot;family&quot;:&quot;Bourbeau&quot;,&quot;given&quot;:&quot;Jean&quot;,&quot;parse-names&quot;:false,&quot;dropping-particle&quot;:&quot;&quot;,&quot;non-dropping-particle&quot;:&quot;&quot;}],&quot;container-title&quot;:&quot;The European respiratory journal&quot;,&quot;accessed&quot;:{&quot;date-parts&quot;:[[2025,4,12]]},&quot;DOI&quot;:&quot;10.1183/13993003.02469-2022&quot;,&quot;ISSN&quot;:&quot;1399-3003&quot;,&quot;PMID&quot;:&quot;36958741&quot;,&quot;URL&quot;:&quot;https://pubmed.ncbi.nlm.nih.gov/36958741/&quot;,&quot;issued&quot;:{&quot;date-parts&quot;:[[2023,5,1]]},&quot;abstract&quot;:&quot;Exposure to air pollution is a major contributor to the pathogenesis of COPD worldwide. Indeed, most recent estimates suggest that 50% of the total attributable risk of COPD may be related to air pollution. In response, the Global Initiative for Chronic Obstructive Lung Disease (GOLD) Scientific Committee performed a comprehensive review on this topic, qualitatively synthesised the evidence to date and proffered recommendations to mitigate the risk. The review found that both gaseous and particulate components of air pollution are likely contributors to COPD. There are no absolutely safe levels of ambient air pollution and the relationship between air pollution levels and respiratory events is supra-linear. Wildfires and extreme weather events such as heat waves, which are becoming more common owing to climate change, are major threats to COPD patients and acutely increase their risk of morbidity and mortality. Exposure to air pollution also impairs lung growth in children and as such may lead to developmental COPD. GOLD recommends strong public health policies around the world to reduce ambient air pollution and for implementation of public warning systems and advisories, including where possible the use of personalised apps, to alert patients when ambient air pollution levels exceed acceptable minimal thresholds. When household particulate content exceeds acceptable thresholds, patients should consider using air cleaners and filters where feasible. Air pollution is a major health threat to patients living with COPD and actions are urgently required to reduce the morbidity and mortality related to poor air quality around the world.&quot;,&quot;publisher&quot;:&quot;Eur Respir J&quot;,&quot;issue&quot;:&quot;5&quot;,&quot;volume&quot;:&quot;61&quot;,&quot;container-title-short&quot;:&quot;Eur Respir J&quot;},&quot;isTemporary&quot;:false},{&quot;id&quot;:&quot;0882d5a9-4192-3023-bfad-940eb37eabb5&quot;,&quot;itemData&quot;:{&quot;type&quot;:&quot;article-journal&quot;,&quot;id&quot;:&quot;0882d5a9-4192-3023-bfad-940eb37eabb5&quot;,&quot;title&quot;:&quot;COPD Exposed to Air Pollution: A Path to Understand and Protect a Susceptible Population&quot;,&quot;author&quot;:[{&quot;family&quot;:&quot;Ryu&quot;,&quot;given&quot;:&quot;Min Hyung&quot;,&quot;parse-names&quot;:false,&quot;dropping-particle&quot;:&quot;&quot;,&quot;non-dropping-particle&quot;:&quot;&quot;},{&quot;family&quot;:&quot;Murphy&quot;,&quot;given&quot;:&quot;Shane&quot;,&quot;parse-names&quot;:false,&quot;dropping-particle&quot;:&quot;&quot;,&quot;non-dropping-particle&quot;:&quot;&quot;},{&quot;family&quot;:&quot;Hinkley&quot;,&quot;given&quot;:&quot;Madison&quot;,&quot;parse-names&quot;:false,&quot;dropping-particle&quot;:&quot;&quot;,&quot;non-dropping-particle&quot;:&quot;&quot;},{&quot;family&quot;:&quot;Carlsten&quot;,&quot;given&quot;:&quot;Chris&quot;,&quot;parse-names&quot;:false,&quot;dropping-particle&quot;:&quot;&quot;,&quot;non-dropping-particle&quot;:&quot;&quot;}],&quot;container-title&quot;:&quot;Chest&quot;,&quot;accessed&quot;:{&quot;date-parts&quot;:[[2025,4,12]]},&quot;DOI&quot;:&quot;10.1016/J.CHEST.2023.11.012&quot;,&quot;ISSN&quot;:&quot;1931-3543&quot;,&quot;PMID&quot;:&quot;37972689&quot;,&quot;URL&quot;:&quot;https://pubmed.ncbi.nlm.nih.gov/37972689/&quot;,&quot;issued&quot;:{&quot;date-parts&quot;:[[2024,4,1]]},&quot;page&quot;:&quot;836-846&quot;,&quot;abstract&quot;:&quot;Topic Importance: Air pollution poses a risk to the respiratory health of individuals with COPD. Long- and short-term exposures to higher levels of particulate-rich air pollution are associated with increased COPD exacerbation, hospitalization, and mortality, collectively implicating air pollution as a cause of adverse COPD-related outcomes. Review Findings: This review summarizes the evidence for COPD as a phenotype that confers susceptibility for adverse health outcomes in the face of common air pollution. We highlight how typical contributors to compromised urban air quality, including that from traffic, wildfire smoke, and indoor biomass combustion, adversely affect the COPD patient population. Evidence underscoring the burden of ongoing air pollution exposure on patients with COPD is discussed. We then detail the detrimental impact of that exposure on COPD pathophysiology, which in turn increases the patient's susceptibility. We specifically propose that indoor air is a particularly rational target for increased monitoring and remediation to protect patients with COPD. Because COPD is a heterogeneous disease with several endotypes, future intervention studies need to better include control populations, to highlight COPD-specific risks and identify subpopulations within patients with COPD who will benefit the most from improved indoor air quality. Regulatory efforts must continue to broadly lower emission standards to protect this susceptible population from the negative health impacts of air pollution.&quot;,&quot;publisher&quot;:&quot;Chest&quot;,&quot;issue&quot;:&quot;4&quot;,&quot;volume&quot;:&quot;165&quot;,&quot;container-title-short&quot;:&quot;Chest&quot;},&quot;isTemporary&quot;:false}]},{&quot;citationID&quot;:&quot;MENDELEY_CITATION_eb389566-817c-494c-ba73-8ce1816b769f&quot;,&quot;properties&quot;:{&quot;noteIndex&quot;:0},&quot;isEdited&quot;:false,&quot;manualOverride&quot;:{&quot;isManuallyOverridden&quot;:false,&quot;citeprocText&quot;:&quot;[112]&quot;,&quot;manualOverrideText&quot;:&quot;&quot;},&quot;citationTag&quot;:&quot;MENDELEY_CITATION_v3_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&quot;,&quot;citationItems&quot;:[{&quot;id&quot;:&quot;512c5224-1126-3543-ae23-0293848faab9&quot;,&quot;itemData&quot;:{&quot;type&quot;:&quot;article-journal&quot;,&quot;id&quot;:&quot;512c5224-1126-3543-ae23-0293848faab9&quot;,&quot;title&quot;:&quot;Air pollution and COPD: GOLD 2023 committee report&quot;,&quot;author&quot;:[{&quot;family&quot;:&quot;Sin&quot;,&quot;given&quot;:&quot;Don D.&quot;,&quot;parse-names&quot;:false,&quot;dropping-particle&quot;:&quot;&quot;,&quot;non-dropping-particle&quot;:&quot;&quot;},{&quot;family&quot;:&quot;Doiron&quot;,&quot;given&quot;:&quot;Dany&quot;,&quot;parse-names&quot;:false,&quot;dropping-particle&quot;:&quot;&quot;,&quot;non-dropping-particle&quot;:&quot;&quot;},{&quot;family&quot;:&quot;Agusti&quot;,&quot;given&quot;:&quot;Alvar&quot;,&quot;parse-names&quot;:false,&quot;dropping-particle&quot;:&quot;&quot;,&quot;non-dropping-particle&quot;:&quot;&quot;},{&quot;family&quot;:&quot;Anzueto&quot;,&quot;given&quot;:&quot;Antonio&quot;,&quot;parse-names&quot;:false,&quot;dropping-particle&quot;:&quot;&quot;,&quot;non-dropping-particle&quot;:&quot;&quot;},{&quot;family&quot;:&quot;Barnes&quot;,&quot;given&quot;:&quot;Peter J.&quot;,&quot;parse-names&quot;:false,&quot;dropping-particle&quot;:&quot;&quot;,&quot;non-dropping-particle&quot;:&quot;&quot;},{&quot;family&quot;:&quot;Celli&quot;,&quot;given&quot;:&quot;Bartolome R.&quot;,&quot;parse-names&quot;:false,&quot;dropping-particle&quot;:&quot;&quot;,&quot;non-dropping-particle&quot;:&quot;&quot;},{&quot;family&quot;:&quot;Criner&quot;,&quot;given&quot;:&quot;Gerard J.&quot;,&quot;parse-names&quot;:false,&quot;dropping-particle&quot;:&quot;&quot;,&quot;non-dropping-particle&quot;:&quot;&quot;},{&quot;family&quot;:&quot;Halpin&quot;,&quot;given&quot;:&quot;David&quot;,&quot;parse-names&quot;:false,&quot;dropping-particle&quot;:&quot;&quot;,&quot;non-dropping-particle&quot;:&quot;&quot;},{&quot;family&quot;:&quot;Han&quot;,&quot;given&quot;:&quot;Mei Lan K.&quot;,&quot;parse-names&quot;:false,&quot;dropping-particle&quot;:&quot;&quot;,&quot;non-dropping-particle&quot;:&quot;&quot;},{&quot;family&quot;:&quot;Martinez&quot;,&quot;given&quot;:&quot;Fernando J.&quot;,&quot;parse-names&quot;:false,&quot;dropping-particle&quot;:&quot;&quot;,&quot;non-dropping-particle&quot;:&quot;&quot;},{&quot;family&quot;:&quot;Oca&quot;,&quot;given&quot;:&quot;Maria Montes&quot;,&quot;parse-names&quot;:false,&quot;dropping-particle&quot;:&quot;&quot;,&quot;non-dropping-particle&quot;:&quot;de&quot;},{&quot;family&quot;:&quot;Papi&quot;,&quot;given&quot;:&quot;Alberto&quot;,&quot;parse-names&quot;:false,&quot;dropping-particle&quot;:&quot;&quot;,&quot;non-dropping-particle&quot;:&quot;&quot;},{&quot;family&quot;:&quot;Pavord&quot;,&quot;given&quot;:&quot;Ian&quot;,&quot;parse-names&quot;:false,&quot;dropping-particle&quot;:&quot;&quot;,&quot;non-dropping-particle&quot;:&quot;&quot;},{&quot;family&quot;:&quot;Roche&quot;,&quot;given&quot;:&quot;Nicolas&quot;,&quot;parse-names&quot;:false,&quot;dropping-particle&quot;:&quot;&quot;,&quot;non-dropping-particle&quot;:&quot;&quot;},{&quot;family&quot;:&quot;Singh&quot;,&quot;given&quot;:&quot;Dave&quot;,&quot;parse-names&quot;:false,&quot;dropping-particle&quot;:&quot;&quot;,&quot;non-dropping-particle&quot;:&quot;&quot;},{&quot;family&quot;:&quot;Stockley&quot;,&quot;given&quot;:&quot;Robert&quot;,&quot;parse-names&quot;:false,&quot;dropping-particle&quot;:&quot;&quot;,&quot;non-dropping-particle&quot;:&quot;&quot;},{&quot;family&quot;:&quot;Lopez Varlera&quot;,&quot;given&quot;:&quot;M. Victorina&quot;,&quot;parse-names&quot;:false,&quot;dropping-particle&quot;:&quot;&quot;,&quot;non-dropping-particle&quot;:&quot;&quot;},{&quot;family&quot;:&quot;Wedzicha&quot;,&quot;given&quot;:&quot;Jadwiga&quot;,&quot;parse-names&quot;:false,&quot;dropping-particle&quot;:&quot;&quot;,&quot;non-dropping-particle&quot;:&quot;&quot;},{&quot;family&quot;:&quot;Vogelmeier&quot;,&quot;given&quot;:&quot;Claus&quot;,&quot;parse-names&quot;:false,&quot;dropping-particle&quot;:&quot;&quot;,&quot;non-dropping-particle&quot;:&quot;&quot;},{&quot;family&quot;:&quot;Bourbeau&quot;,&quot;given&quot;:&quot;Jean&quot;,&quot;parse-names&quot;:false,&quot;dropping-particle&quot;:&quot;&quot;,&quot;non-dropping-particle&quot;:&quot;&quot;}],&quot;container-title&quot;:&quot;The European respiratory journal&quot;,&quot;accessed&quot;:{&quot;date-parts&quot;:[[2025,4,12]]},&quot;DOI&quot;:&quot;10.1183/13993003.02469-2022&quot;,&quot;ISSN&quot;:&quot;1399-3003&quot;,&quot;PMID&quot;:&quot;36958741&quot;,&quot;URL&quot;:&quot;https://pubmed.ncbi.nlm.nih.gov/36958741/&quot;,&quot;issued&quot;:{&quot;date-parts&quot;:[[2023,5,1]]},&quot;abstract&quot;:&quot;Exposure to air pollution is a major contributor to the pathogenesis of COPD worldwide. Indeed, most recent estimates suggest that 50% of the total attributable risk of COPD may be related to air pollution. In response, the Global Initiative for Chronic Obstructive Lung Disease (GOLD) Scientific Committee performed a comprehensive review on this topic, qualitatively synthesised the evidence to date and proffered recommendations to mitigate the risk. The review found that both gaseous and particulate components of air pollution are likely contributors to COPD. There are no absolutely safe levels of ambient air pollution and the relationship between air pollution levels and respiratory events is supra-linear. Wildfires and extreme weather events such as heat waves, which are becoming more common owing to climate change, are major threats to COPD patients and acutely increase their risk of morbidity and mortality. Exposure to air pollution also impairs lung growth in children and as such may lead to developmental COPD. GOLD recommends strong public health policies around the world to reduce ambient air pollution and for implementation of public warning systems and advisories, including where possible the use of personalised apps, to alert patients when ambient air pollution levels exceed acceptable minimal thresholds. When household particulate content exceeds acceptable thresholds, patients should consider using air cleaners and filters where feasible. Air pollution is a major health threat to patients living with COPD and actions are urgently required to reduce the morbidity and mortality related to poor air quality around the world.&quot;,&quot;publisher&quot;:&quot;Eur Respir J&quot;,&quot;issue&quot;:&quot;5&quot;,&quot;volume&quot;:&quot;61&quot;,&quot;container-title-short&quot;:&quot;Eur Respir J&quot;},&quot;isTemporary&quot;:false}]},{&quot;citationID&quot;:&quot;MENDELEY_CITATION_269dd131-a9bf-4234-99e7-966457745946&quot;,&quot;properties&quot;:{&quot;noteIndex&quot;:0},&quot;isEdited&quot;:false,&quot;manualOverride&quot;:{&quot;isManuallyOverridden&quot;:false,&quot;citeprocText&quot;:&quot;[86]&quot;,&quot;manualOverrideText&quot;:&quot;&quot;},&quot;citationTag&quot;:&quot;MENDELEY_CITATION_v3_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&quot;,&quot;citationItems&quot;:[{&quot;id&quot;:&quot;6139b7ea-c2c7-3cf2-bc46-400b0a1622f6&quot;,&quot;itemData&quot;:{&quot;type&quot;:&quot;article-journal&quot;,&quot;id&quot;:&quot;6139b7ea-c2c7-3cf2-bc46-400b0a1622f6&quot;,&quot;title&quot;:&quot;Impact of early life exposures on COPD in adulthood: A systematic review and meta-analysis&quot;,&quot;author&quot;:[{&quot;family&quot;:&quot;Duan&quot;,&quot;given&quot;:&quot;Pengfei&quot;,&quot;parse-names&quot;:false,&quot;dropping-particle&quot;:&quot;&quot;,&quot;non-dropping-particle&quot;:&quot;&quot;},{&quot;family&quot;:&quot;Wang&quot;,&quot;given&quot;:&quot;Yao&quot;,&quot;parse-names&quot;:false,&quot;dropping-particle&quot;:&quot;&quot;,&quot;non-dropping-particle&quot;:&quot;&quot;},{&quot;family&quot;:&quot;Lin&quot;,&quot;given&quot;:&quot;Rongqing&quot;,&quot;parse-names&quot;:false,&quot;dropping-particle&quot;:&quot;&quot;,&quot;non-dropping-particle&quot;:&quot;&quot;},{&quot;family&quot;:&quot;Zeng&quot;,&quot;given&quot;:&quot;Yiming&quot;,&quot;parse-names&quot;:false,&quot;dropping-particle&quot;:&quot;&quot;,&quot;non-dropping-particle&quot;:&quot;&quot;},{&quot;family&quot;:&quot;Chen&quot;,&quot;given&quot;:&quot;Chengshui&quot;,&quot;parse-names&quot;:false,&quot;dropping-particle&quot;:&quot;&quot;,&quot;non-dropping-particle&quot;:&quot;&quot;},{&quot;family&quot;:&quot;Yang&quot;,&quot;given&quot;:&quot;Li&quot;,&quot;parse-names&quot;:false,&quot;dropping-particle&quot;:&quot;&quot;,&quot;non-dropping-particle&quot;:&quot;&quot;},{&quot;family&quot;:&quot;Yue&quot;,&quot;given&quot;:&quot;Minghui&quot;,&quot;parse-names&quot;:false,&quot;dropping-particle&quot;:&quot;&quot;,&quot;non-dropping-particle&quot;:&quot;&quot;},{&quot;family&quot;:&quot;Zhong&quot;,&quot;given&quot;:&quot;Shan&quot;,&quot;parse-names&quot;:false,&quot;dropping-particle&quot;:&quot;&quot;,&quot;non-dropping-particle&quot;:&quot;&quot;},{&quot;family&quot;:&quot;Wang&quot;,&quot;given&quot;:&quot;Yun&quot;,&quot;parse-names&quot;:false,&quot;dropping-particle&quot;:&quot;&quot;,&quot;non-dropping-particle&quot;:&quot;&quot;},{&quot;family&quot;:&quot;Zhang&quot;,&quot;given&quot;:&quot;Qingying&quot;,&quot;parse-names&quot;:false,&quot;dropping-particle&quot;:&quot;&quot;,&quot;non-dropping-particle&quot;:&quot;&quot;}],&quot;container-title&quot;:&quot;Respirology&quot;,&quot;accessed&quot;:{&quot;date-parts&quot;:[[2025,6,1]]},&quot;DOI&quot;:&quot;10.1111/RESP.14144,&quot;,&quot;ISSN&quot;:&quot;14401843&quot;,&quot;PMID&quot;:&quot;34541740&quot;,&quot;URL&quot;:&quot;https://pubmed.ncbi.nlm.nih.gov/34541740/&quot;,&quot;issued&quot;:{&quot;date-parts&quot;:[[2021,12,1]]},&quot;page&quot;:&quot;1131-1151&quot;,&quot;abstract&quot;:&quot;Early life represents a critical period for the development and growth of the lungs. Adverse exposures in this stage may drive the development of chronic obstructive pulmonary disease (COPD). Thus, we quantitatively evaluated the impact of different early life exposures on COPD in adulthood. The PubMed, Embase and Cochrane Library electronic databases were searched for articles published from January 2001 to October 2020. A total of 30 studies (795,935 participants) met the criteria and were included in the review. We found a significant association of COPD with childhood serious respiratory infections, pneumonia or bronchitis (pooled adjusted OR [aOR], 2.23 [95% CI, 1.63–3.07]). The probability of COPD was increased 3.45-fold for children with than without asthma (pooled aOR, 3.45 [95% CI, 2.37–5.02]). In addition, the probability of COPD was associated with maternal smoking (pooled aOR, 1.42 [95% CI, 1.17–1.72]), any child maltreatment (pooled aOR, 1.30 [95% CI, 1.18–1.42]) and low birth weight (pooled aOR, 1.58 [95% CI, 1.08–2.32]) but not childhood environmental tobacco smoke exposure (pooled aOR, 1.15 [0.83–1.61]) or premature birth (pooled aOR, 1.17 [95% CI, 0.87–1.58]). Furthermore, subgroup analyses revealed that probability was increased for only women with childhood physical abuse, sexual abuse and exposure to intimate partner violence. Factors resulting in COPD in adults could trace back to early life. Childhood respiratory disease, maltreatment, maternal smoking and low birth weight increase the risk of COPD. Promising advances in prevention strategies for early life exposures could markedly decrease the risk of COPD.&quot;,&quot;publisher&quot;:&quot;John Wiley and Sons Inc&quot;,&quot;issue&quot;:&quot;12&quot;,&quot;volume&quot;:&quot;26&quot;,&quot;container-title-short&quot;:&quot;&quot;},&quot;isTemporary&quot;:false}]},{&quot;citationID&quot;:&quot;MENDELEY_CITATION_40c9aa51-2d3d-4e89-b764-cb3cf41bf857&quot;,&quot;properties&quot;:{&quot;noteIndex&quot;:0},&quot;isEdited&quot;:false,&quot;manualOverride&quot;:{&quot;isManuallyOverridden&quot;:false,&quot;citeprocText&quot;:&quot;[86]&quot;,&quot;manualOverrideText&quot;:&quot;&quot;},&quot;citationTag&quot;:&quot;MENDELEY_CITATION_v3_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&quot;,&quot;citationItems&quot;:[{&quot;id&quot;:&quot;6139b7ea-c2c7-3cf2-bc46-400b0a1622f6&quot;,&quot;itemData&quot;:{&quot;type&quot;:&quot;article-journal&quot;,&quot;id&quot;:&quot;6139b7ea-c2c7-3cf2-bc46-400b0a1622f6&quot;,&quot;title&quot;:&quot;Impact of early life exposures on COPD in adulthood: A systematic review and meta-analysis&quot;,&quot;author&quot;:[{&quot;family&quot;:&quot;Duan&quot;,&quot;given&quot;:&quot;Pengfei&quot;,&quot;parse-names&quot;:false,&quot;dropping-particle&quot;:&quot;&quot;,&quot;non-dropping-particle&quot;:&quot;&quot;},{&quot;family&quot;:&quot;Wang&quot;,&quot;given&quot;:&quot;Yao&quot;,&quot;parse-names&quot;:false,&quot;dropping-particle&quot;:&quot;&quot;,&quot;non-dropping-particle&quot;:&quot;&quot;},{&quot;family&quot;:&quot;Lin&quot;,&quot;given&quot;:&quot;Rongqing&quot;,&quot;parse-names&quot;:false,&quot;dropping-particle&quot;:&quot;&quot;,&quot;non-dropping-particle&quot;:&quot;&quot;},{&quot;family&quot;:&quot;Zeng&quot;,&quot;given&quot;:&quot;Yiming&quot;,&quot;parse-names&quot;:false,&quot;dropping-particle&quot;:&quot;&quot;,&quot;non-dropping-particle&quot;:&quot;&quot;},{&quot;family&quot;:&quot;Chen&quot;,&quot;given&quot;:&quot;Chengshui&quot;,&quot;parse-names&quot;:false,&quot;dropping-particle&quot;:&quot;&quot;,&quot;non-dropping-particle&quot;:&quot;&quot;},{&quot;family&quot;:&quot;Yang&quot;,&quot;given&quot;:&quot;Li&quot;,&quot;parse-names&quot;:false,&quot;dropping-particle&quot;:&quot;&quot;,&quot;non-dropping-particle&quot;:&quot;&quot;},{&quot;family&quot;:&quot;Yue&quot;,&quot;given&quot;:&quot;Minghui&quot;,&quot;parse-names&quot;:false,&quot;dropping-particle&quot;:&quot;&quot;,&quot;non-dropping-particle&quot;:&quot;&quot;},{&quot;family&quot;:&quot;Zhong&quot;,&quot;given&quot;:&quot;Shan&quot;,&quot;parse-names&quot;:false,&quot;dropping-particle&quot;:&quot;&quot;,&quot;non-dropping-particle&quot;:&quot;&quot;},{&quot;family&quot;:&quot;Wang&quot;,&quot;given&quot;:&quot;Yun&quot;,&quot;parse-names&quot;:false,&quot;dropping-particle&quot;:&quot;&quot;,&quot;non-dropping-particle&quot;:&quot;&quot;},{&quot;family&quot;:&quot;Zhang&quot;,&quot;given&quot;:&quot;Qingying&quot;,&quot;parse-names&quot;:false,&quot;dropping-particle&quot;:&quot;&quot;,&quot;non-dropping-particle&quot;:&quot;&quot;}],&quot;container-title&quot;:&quot;Respirology&quot;,&quot;accessed&quot;:{&quot;date-parts&quot;:[[2025,6,1]]},&quot;DOI&quot;:&quot;10.1111/RESP.14144,&quot;,&quot;ISSN&quot;:&quot;14401843&quot;,&quot;PMID&quot;:&quot;34541740&quot;,&quot;URL&quot;:&quot;https://pubmed.ncbi.nlm.nih.gov/34541740/&quot;,&quot;issued&quot;:{&quot;date-parts&quot;:[[2021,12,1]]},&quot;page&quot;:&quot;1131-1151&quot;,&quot;abstract&quot;:&quot;Early life represents a critical period for the development and growth of the lungs. Adverse exposures in this stage may drive the development of chronic obstructive pulmonary disease (COPD). Thus, we quantitatively evaluated the impact of different early life exposures on COPD in adulthood. The PubMed, Embase and Cochrane Library electronic databases were searched for articles published from January 2001 to October 2020. A total of 30 studies (795,935 participants) met the criteria and were included in the review. We found a significant association of COPD with childhood serious respiratory infections, pneumonia or bronchitis (pooled adjusted OR [aOR], 2.23 [95% CI, 1.63–3.07]). The probability of COPD was increased 3.45-fold for children with than without asthma (pooled aOR, 3.45 [95% CI, 2.37–5.02]). In addition, the probability of COPD was associated with maternal smoking (pooled aOR, 1.42 [95% CI, 1.17–1.72]), any child maltreatment (pooled aOR, 1.30 [95% CI, 1.18–1.42]) and low birth weight (pooled aOR, 1.58 [95% CI, 1.08–2.32]) but not childhood environmental tobacco smoke exposure (pooled aOR, 1.15 [0.83–1.61]) or premature birth (pooled aOR, 1.17 [95% CI, 0.87–1.58]). Furthermore, subgroup analyses revealed that probability was increased for only women with childhood physical abuse, sexual abuse and exposure to intimate partner violence. Factors resulting in COPD in adults could trace back to early life. Childhood respiratory disease, maltreatment, maternal smoking and low birth weight increase the risk of COPD. Promising advances in prevention strategies for early life exposures could markedly decrease the risk of COPD.&quot;,&quot;publisher&quot;:&quot;John Wiley and Sons Inc&quot;,&quot;issue&quot;:&quot;12&quot;,&quot;volume&quot;:&quot;26&quot;,&quot;container-title-short&quot;:&quot;&quot;},&quot;isTemporary&quot;:false}]},{&quot;citationID&quot;:&quot;MENDELEY_CITATION_a79520dc-840e-4be4-ba95-fb0c6c7a8d1d&quot;,&quot;properties&quot;:{&quot;noteIndex&quot;:0},&quot;isEdited&quot;:false,&quot;manualOverride&quot;:{&quot;isManuallyOverridden&quot;:false,&quot;citeprocText&quot;:&quot;[86]&quot;,&quot;manualOverrideText&quot;:&quot;&quot;},&quot;citationTag&quot;:&quot;MENDELEY_CITATION_v3_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&quot;,&quot;citationItems&quot;:[{&quot;id&quot;:&quot;6139b7ea-c2c7-3cf2-bc46-400b0a1622f6&quot;,&quot;itemData&quot;:{&quot;type&quot;:&quot;article-journal&quot;,&quot;id&quot;:&quot;6139b7ea-c2c7-3cf2-bc46-400b0a1622f6&quot;,&quot;title&quot;:&quot;Impact of early life exposures on COPD in adulthood: A systematic review and meta-analysis&quot;,&quot;author&quot;:[{&quot;family&quot;:&quot;Duan&quot;,&quot;given&quot;:&quot;Pengfei&quot;,&quot;parse-names&quot;:false,&quot;dropping-particle&quot;:&quot;&quot;,&quot;non-dropping-particle&quot;:&quot;&quot;},{&quot;family&quot;:&quot;Wang&quot;,&quot;given&quot;:&quot;Yao&quot;,&quot;parse-names&quot;:false,&quot;dropping-particle&quot;:&quot;&quot;,&quot;non-dropping-particle&quot;:&quot;&quot;},{&quot;family&quot;:&quot;Lin&quot;,&quot;given&quot;:&quot;Rongqing&quot;,&quot;parse-names&quot;:false,&quot;dropping-particle&quot;:&quot;&quot;,&quot;non-dropping-particle&quot;:&quot;&quot;},{&quot;family&quot;:&quot;Zeng&quot;,&quot;given&quot;:&quot;Yiming&quot;,&quot;parse-names&quot;:false,&quot;dropping-particle&quot;:&quot;&quot;,&quot;non-dropping-particle&quot;:&quot;&quot;},{&quot;family&quot;:&quot;Chen&quot;,&quot;given&quot;:&quot;Chengshui&quot;,&quot;parse-names&quot;:false,&quot;dropping-particle&quot;:&quot;&quot;,&quot;non-dropping-particle&quot;:&quot;&quot;},{&quot;family&quot;:&quot;Yang&quot;,&quot;given&quot;:&quot;Li&quot;,&quot;parse-names&quot;:false,&quot;dropping-particle&quot;:&quot;&quot;,&quot;non-dropping-particle&quot;:&quot;&quot;},{&quot;family&quot;:&quot;Yue&quot;,&quot;given&quot;:&quot;Minghui&quot;,&quot;parse-names&quot;:false,&quot;dropping-particle&quot;:&quot;&quot;,&quot;non-dropping-particle&quot;:&quot;&quot;},{&quot;family&quot;:&quot;Zhong&quot;,&quot;given&quot;:&quot;Shan&quot;,&quot;parse-names&quot;:false,&quot;dropping-particle&quot;:&quot;&quot;,&quot;non-dropping-particle&quot;:&quot;&quot;},{&quot;family&quot;:&quot;Wang&quot;,&quot;given&quot;:&quot;Yun&quot;,&quot;parse-names&quot;:false,&quot;dropping-particle&quot;:&quot;&quot;,&quot;non-dropping-particle&quot;:&quot;&quot;},{&quot;family&quot;:&quot;Zhang&quot;,&quot;given&quot;:&quot;Qingying&quot;,&quot;parse-names&quot;:false,&quot;dropping-particle&quot;:&quot;&quot;,&quot;non-dropping-particle&quot;:&quot;&quot;}],&quot;container-title&quot;:&quot;Respirology&quot;,&quot;accessed&quot;:{&quot;date-parts&quot;:[[2025,6,1]]},&quot;DOI&quot;:&quot;10.1111/RESP.14144,&quot;,&quot;ISSN&quot;:&quot;14401843&quot;,&quot;PMID&quot;:&quot;34541740&quot;,&quot;URL&quot;:&quot;https://pubmed.ncbi.nlm.nih.gov/34541740/&quot;,&quot;issued&quot;:{&quot;date-parts&quot;:[[2021,12,1]]},&quot;page&quot;:&quot;1131-1151&quot;,&quot;abstract&quot;:&quot;Early life represents a critical period for the development and growth of the lungs. Adverse exposures in this stage may drive the development of chronic obstructive pulmonary disease (COPD). Thus, we quantitatively evaluated the impact of different early life exposures on COPD in adulthood. The PubMed, Embase and Cochrane Library electronic databases were searched for articles published from January 2001 to October 2020. A total of 30 studies (795,935 participants) met the criteria and were included in the review. We found a significant association of COPD with childhood serious respiratory infections, pneumonia or bronchitis (pooled adjusted OR [aOR], 2.23 [95% CI, 1.63–3.07]). The probability of COPD was increased 3.45-fold for children with than without asthma (pooled aOR, 3.45 [95% CI, 2.37–5.02]). In addition, the probability of COPD was associated with maternal smoking (pooled aOR, 1.42 [95% CI, 1.17–1.72]), any child maltreatment (pooled aOR, 1.30 [95% CI, 1.18–1.42]) and low birth weight (pooled aOR, 1.58 [95% CI, 1.08–2.32]) but not childhood environmental tobacco smoke exposure (pooled aOR, 1.15 [0.83–1.61]) or premature birth (pooled aOR, 1.17 [95% CI, 0.87–1.58]). Furthermore, subgroup analyses revealed that probability was increased for only women with childhood physical abuse, sexual abuse and exposure to intimate partner violence. Factors resulting in COPD in adults could trace back to early life. Childhood respiratory disease, maltreatment, maternal smoking and low birth weight increase the risk of COPD. Promising advances in prevention strategies for early life exposures could markedly decrease the risk of COPD.&quot;,&quot;publisher&quot;:&quot;John Wiley and Sons Inc&quot;,&quot;issue&quot;:&quot;12&quot;,&quot;volume&quot;:&quot;26&quot;,&quot;container-title-short&quot;:&quot;&quot;},&quot;isTemporary&quot;:false}]},{&quot;citationID&quot;:&quot;MENDELEY_CITATION_b3e9ecd5-c99b-4046-aad1-adf67ac10e8f&quot;,&quot;properties&quot;:{&quot;noteIndex&quot;:0},&quot;isEdited&quot;:false,&quot;manualOverride&quot;:{&quot;isManuallyOverridden&quot;:false,&quot;citeprocText&quot;:&quot;[86]&quot;,&quot;manualOverrideText&quot;:&quot;&quot;},&quot;citationTag&quot;:&quot;MENDELEY_CITATION_v3_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&quot;,&quot;citationItems&quot;:[{&quot;id&quot;:&quot;6139b7ea-c2c7-3cf2-bc46-400b0a1622f6&quot;,&quot;itemData&quot;:{&quot;type&quot;:&quot;article-journal&quot;,&quot;id&quot;:&quot;6139b7ea-c2c7-3cf2-bc46-400b0a1622f6&quot;,&quot;title&quot;:&quot;Impact of early life exposures on COPD in adulthood: A systematic review and meta-analysis&quot;,&quot;author&quot;:[{&quot;family&quot;:&quot;Duan&quot;,&quot;given&quot;:&quot;Pengfei&quot;,&quot;parse-names&quot;:false,&quot;dropping-particle&quot;:&quot;&quot;,&quot;non-dropping-particle&quot;:&quot;&quot;},{&quot;family&quot;:&quot;Wang&quot;,&quot;given&quot;:&quot;Yao&quot;,&quot;parse-names&quot;:false,&quot;dropping-particle&quot;:&quot;&quot;,&quot;non-dropping-particle&quot;:&quot;&quot;},{&quot;family&quot;:&quot;Lin&quot;,&quot;given&quot;:&quot;Rongqing&quot;,&quot;parse-names&quot;:false,&quot;dropping-particle&quot;:&quot;&quot;,&quot;non-dropping-particle&quot;:&quot;&quot;},{&quot;family&quot;:&quot;Zeng&quot;,&quot;given&quot;:&quot;Yiming&quot;,&quot;parse-names&quot;:false,&quot;dropping-particle&quot;:&quot;&quot;,&quot;non-dropping-particle&quot;:&quot;&quot;},{&quot;family&quot;:&quot;Chen&quot;,&quot;given&quot;:&quot;Chengshui&quot;,&quot;parse-names&quot;:false,&quot;dropping-particle&quot;:&quot;&quot;,&quot;non-dropping-particle&quot;:&quot;&quot;},{&quot;family&quot;:&quot;Yang&quot;,&quot;given&quot;:&quot;Li&quot;,&quot;parse-names&quot;:false,&quot;dropping-particle&quot;:&quot;&quot;,&quot;non-dropping-particle&quot;:&quot;&quot;},{&quot;family&quot;:&quot;Yue&quot;,&quot;given&quot;:&quot;Minghui&quot;,&quot;parse-names&quot;:false,&quot;dropping-particle&quot;:&quot;&quot;,&quot;non-dropping-particle&quot;:&quot;&quot;},{&quot;family&quot;:&quot;Zhong&quot;,&quot;given&quot;:&quot;Shan&quot;,&quot;parse-names&quot;:false,&quot;dropping-particle&quot;:&quot;&quot;,&quot;non-dropping-particle&quot;:&quot;&quot;},{&quot;family&quot;:&quot;Wang&quot;,&quot;given&quot;:&quot;Yun&quot;,&quot;parse-names&quot;:false,&quot;dropping-particle&quot;:&quot;&quot;,&quot;non-dropping-particle&quot;:&quot;&quot;},{&quot;family&quot;:&quot;Zhang&quot;,&quot;given&quot;:&quot;Qingying&quot;,&quot;parse-names&quot;:false,&quot;dropping-particle&quot;:&quot;&quot;,&quot;non-dropping-particle&quot;:&quot;&quot;}],&quot;container-title&quot;:&quot;Respirology&quot;,&quot;accessed&quot;:{&quot;date-parts&quot;:[[2025,6,1]]},&quot;DOI&quot;:&quot;10.1111/RESP.14144,&quot;,&quot;ISSN&quot;:&quot;14401843&quot;,&quot;PMID&quot;:&quot;34541740&quot;,&quot;URL&quot;:&quot;https://pubmed.ncbi.nlm.nih.gov/34541740/&quot;,&quot;issued&quot;:{&quot;date-parts&quot;:[[2021,12,1]]},&quot;page&quot;:&quot;1131-1151&quot;,&quot;abstract&quot;:&quot;Early life represents a critical period for the development and growth of the lungs. Adverse exposures in this stage may drive the development of chronic obstructive pulmonary disease (COPD). Thus, we quantitatively evaluated the impact of different early life exposures on COPD in adulthood. The PubMed, Embase and Cochrane Library electronic databases were searched for articles published from January 2001 to October 2020. A total of 30 studies (795,935 participants) met the criteria and were included in the review. We found a significant association of COPD with childhood serious respiratory infections, pneumonia or bronchitis (pooled adjusted OR [aOR], 2.23 [95% CI, 1.63–3.07]). The probability of COPD was increased 3.45-fold for children with than without asthma (pooled aOR, 3.45 [95% CI, 2.37–5.02]). In addition, the probability of COPD was associated with maternal smoking (pooled aOR, 1.42 [95% CI, 1.17–1.72]), any child maltreatment (pooled aOR, 1.30 [95% CI, 1.18–1.42]) and low birth weight (pooled aOR, 1.58 [95% CI, 1.08–2.32]) but not childhood environmental tobacco smoke exposure (pooled aOR, 1.15 [0.83–1.61]) or premature birth (pooled aOR, 1.17 [95% CI, 0.87–1.58]). Furthermore, subgroup analyses revealed that probability was increased for only women with childhood physical abuse, sexual abuse and exposure to intimate partner violence. Factors resulting in COPD in adults could trace back to early life. Childhood respiratory disease, maltreatment, maternal smoking and low birth weight increase the risk of COPD. Promising advances in prevention strategies for early life exposures could markedly decrease the risk of COPD.&quot;,&quot;publisher&quot;:&quot;John Wiley and Sons Inc&quot;,&quot;issue&quot;:&quot;12&quot;,&quot;volume&quot;:&quot;26&quot;,&quot;container-title-short&quot;:&quot;&quot;},&quot;isTemporary&quot;:false}]},{&quot;citationID&quot;:&quot;MENDELEY_CITATION_8e9fd96f-6538-4a55-8be6-386013689295&quot;,&quot;properties&quot;:{&quot;noteIndex&quot;:0},&quot;isEdited&quot;:false,&quot;manualOverride&quot;:{&quot;isManuallyOverridden&quot;:false,&quot;citeprocText&quot;:&quot;[119]&quot;,&quot;manualOverrideText&quot;:&quot;&quot;},&quot;citationTag&quot;:&quot;MENDELEY_CITATION_v3_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&quot;,&quot;citationItems&quot;:[{&quot;id&quot;:&quot;07fad52c-8ddc-3d40-b708-d867a7d72891&quot;,&quot;itemData&quot;:{&quot;type&quot;:&quot;article-journal&quot;,&quot;id&quot;:&quot;07fad52c-8ddc-3d40-b708-d867a7d72891&quot;,&quot;title&quot;:&quot;The role of acute and chronic respiratory colonization and infections in the pathogenesis of COPD&quot;,&quot;author&quot;:[{&quot;family&quot;:&quot;Leung&quot;,&quot;given&quot;:&quot;Janice M.&quot;,&quot;parse-names&quot;:false,&quot;dropping-particle&quot;:&quot;&quot;,&quot;non-dropping-particle&quot;:&quot;&quot;},{&quot;family&quot;:&quot;Tiew&quot;,&quot;given&quot;:&quot;Pei Yee&quot;,&quot;parse-names&quot;:false,&quot;dropping-particle&quot;:&quot;&quot;,&quot;non-dropping-particle&quot;:&quot;&quot;},{&quot;family&quot;:&quot;Aogáin&quot;,&quot;given&quot;:&quot;Micheál&quot;,&quot;parse-names&quot;:false,&quot;dropping-particle&quot;:&quot;&quot;,&quot;non-dropping-particle&quot;:&quot;Mac&quot;},{&quot;family&quot;:&quot;Budden&quot;,&quot;given&quot;:&quot;Kurtis F.&quot;,&quot;parse-names&quot;:false,&quot;dropping-particle&quot;:&quot;&quot;,&quot;non-dropping-particle&quot;:&quot;&quot;},{&quot;family&quot;:&quot;Yong&quot;,&quot;given&quot;:&quot;Valerie Fei Lee&quot;,&quot;parse-names&quot;:false,&quot;dropping-particle&quot;:&quot;&quot;,&quot;non-dropping-particle&quot;:&quot;&quot;},{&quot;family&quot;:&quot;Thomas&quot;,&quot;given&quot;:&quot;Sangeeta S.&quot;,&quot;parse-names&quot;:false,&quot;dropping-particle&quot;:&quot;&quot;,&quot;non-dropping-particle&quot;:&quot;&quot;},{&quot;family&quot;:&quot;Pethe&quot;,&quot;given&quot;:&quot;Kevin&quot;,&quot;parse-names&quot;:false,&quot;dropping-particle&quot;:&quot;&quot;,&quot;non-dropping-particle&quot;:&quot;&quot;},{&quot;family&quot;:&quot;Hansbro&quot;,&quot;given&quot;:&quot;Philip M.&quot;,&quot;parse-names&quot;:false,&quot;dropping-particle&quot;:&quot;&quot;,&quot;non-dropping-particle&quot;:&quot;&quot;},{&quot;family&quot;:&quot;Chotirmall&quot;,&quot;given&quot;:&quot;Sanjay H.&quot;,&quot;parse-names&quot;:false,&quot;dropping-particle&quot;:&quot;&quot;,&quot;non-dropping-particle&quot;:&quot;&quot;}],&quot;container-title&quot;:&quot;Respirology (Carlton, Vic.)&quot;,&quot;container-title-short&quot;:&quot;Respirology&quot;,&quot;accessed&quot;:{&quot;date-parts&quot;:[[2025,6,1]]},&quot;DOI&quot;:&quot;10.1111/RESP.13032&quot;,&quot;ISSN&quot;:&quot;14401843&quot;,&quot;PMID&quot;:&quot;28342288&quot;,&quot;URL&quot;:&quot;https://pmc.ncbi.nlm.nih.gov/articles/PMC7169176/&quot;,&quot;issued&quot;:{&quot;date-parts&quot;:[[2017,5,1]]},&quot;page&quot;:&quot;634&quot;,&quot;abstract&quot;:&quot;COPD is a major global concern, increasingly so in the context of ageing populations. The role of infections in disease pathogenesis and progression is known to be important, yet the mechanisms involved remain to be fully elucidated. While COPD pathogens such as Haemophilus influenzae, Moraxella catarrhalis and Streptococcus pneumoniae are strongly associated with acute exacerbations of COPD (AECOPD), the clinical relevance of these pathogens in stable COPD patients remains unclear. Immune responses in stable and colonized COPD patients are comparable to those detected in AECOPD, supporting a role for chronic colonization in COPD pathogenesis through perpetuation of deleterious immune responses. Advances in molecular diagnostics and metagenomics now allow the assessment of microbe–COPD interactions with unprecedented personalization and precision, revealing changes in microbiota associated with the COPD disease state. As microbial changes associated with AECOPD, disease severity and therapeutic intervention become apparent, a renewed focus has been placed on the microbiology of COPD and the characterization of the lung microbiome in both its acute and chronic states. Characterization of bacterial, viral and fungal microbiota as part of the lung microbiome has the potential to reveal previously unrecognized prognostic markers of COPD that predict disease outcome or infection susceptibility. Addressing such knowledge gaps will ultimately lead to a more complete understanding of the microbe–host interplay in COPD. This will permit clearer distinctions between acute and chronic infections and more granular patient stratification that will enable better management of these features and of COPD.&quot;,&quot;publisher&quot;:&quot;Blackwell Publishing&quot;,&quot;issue&quot;:&quot;4&quot;,&quot;volume&quot;:&quot;22&quot;},&quot;isTemporary&quot;:false}]},{&quot;citationID&quot;:&quot;MENDELEY_CITATION_56e91185-27b6-445e-9ea0-410c67d86e10&quot;,&quot;properties&quot;:{&quot;noteIndex&quot;:0},&quot;isEdited&quot;:false,&quot;manualOverride&quot;:{&quot;isManuallyOverridden&quot;:false,&quot;citeprocText&quot;:&quot;[120]&quot;,&quot;manualOverrideText&quot;:&quot;&quot;},&quot;citationTag&quot;:&quot;MENDELEY_CITATION_v3_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&quot;,&quot;citationItems&quot;:[{&quot;id&quot;:&quot;1afb6458-97cb-3092-a5f3-30579b3f0d1f&quot;,&quot;itemData&quot;:{&quot;type&quot;:&quot;article-journal&quot;,&quot;id&quot;:&quot;1afb6458-97cb-3092-a5f3-30579b3f0d1f&quot;,&quot;title&quot;:&quot;Risk factors of chronic obstructive pulmonary disease exacerbations&quot;,&quot;author&quot;:[{&quot;family&quot;:&quot;Hogea&quot;,&quot;given&quot;:&quot;Stanca Patricia&quot;,&quot;parse-names&quot;:false,&quot;dropping-particle&quot;:&quot;&quot;,&quot;non-dropping-particle&quot;:&quot;&quot;},{&quot;family&quot;:&quot;Tudorache&quot;,&quot;given&quot;:&quot;Emanuela&quot;,&quot;parse-names&quot;:false,&quot;dropping-particle&quot;:&quot;&quot;,&quot;non-dropping-particle&quot;:&quot;&quot;},{&quot;family&quot;:&quot;Fildan&quot;,&quot;given&quot;:&quot;Ariadna Petronela&quot;,&quot;parse-names&quot;:false,&quot;dropping-particle&quot;:&quot;&quot;,&quot;non-dropping-particle&quot;:&quot;&quot;},{&quot;family&quot;:&quot;Fira-Mladinescu&quot;,&quot;given&quot;:&quot;Ovidiu&quot;,&quot;parse-names&quot;:false,&quot;dropping-particle&quot;:&quot;&quot;,&quot;non-dropping-particle&quot;:&quot;&quot;},{&quot;family&quot;:&quot;Marc&quot;,&quot;given&quot;:&quot;Monica&quot;,&quot;parse-names&quot;:false,&quot;dropping-particle&quot;:&quot;&quot;,&quot;non-dropping-particle&quot;:&quot;&quot;},{&quot;family&quot;:&quot;Oancea&quot;,&quot;given&quot;:&quot;Cristian&quot;,&quot;parse-names&quot;:false,&quot;dropping-particle&quot;:&quot;&quot;,&quot;non-dropping-particle&quot;:&quot;&quot;}],&quot;container-title&quot;:&quot;The Clinical Respiratory Journal&quot;,&quot;container-title-short&quot;:&quot;Clin Respir J&quot;,&quot;accessed&quot;:{&quot;date-parts&quot;:[[2025,6,1]]},&quot;DOI&quot;:&quot;10.1111/CRJ.13129&quot;,&quot;ISSN&quot;:&quot;1752-699X&quot;,&quot;PMID&quot;:&quot;31814260&quot;,&quot;URL&quot;:&quot;/doi/pdf/10.1111/crj.13129&quot;,&quot;issued&quot;:{&quot;date-parts&quot;:[[2020,3,1]]},&quot;page&quot;:&quot;183-197&quot;,&quot;abstract&quot;:&quot;Chronic Obstructive Pulmonary Disease (COPD) is a chronic respiratory disease characterised by persistent respiratory symptoms and airflow limitation. COPD has a major impact on public health, mainly because of its increasing prevalence, morbidity and mortality. The natural course of COPD is aggravated by episodes of respiratory symptom worsening termed exacerbations that contribute to disease progression. Acute Exacerbations of COPD (AECOPD) can be triggered by a multitude of different factors, including respiratory tract infections, various exposures, prior exacerbations, non-adherence to treatment and associated comorbidities. AECOPD are associated with an inexorable decline of lung function and a significantly worse survival outcome. This review will summarise the most important aspects regarding the impact of different factors that contribute to COPD exacerbations.&quot;,&quot;publisher&quot;:&quot;John Wiley &amp; Sons, Ltd&quot;,&quot;issue&quot;:&quot;3&quot;,&quot;volume&quot;:&quot;14&quot;},&quot;isTemporary&quot;:false}]},{&quot;citationID&quot;:&quot;MENDELEY_CITATION_a0a68f29-d57f-43fd-baae-89203e74e9d2&quot;,&quot;properties&quot;:{&quot;noteIndex&quot;:0},&quot;isEdited&quot;:false,&quot;manualOverride&quot;:{&quot;isManuallyOverridden&quot;:false,&quot;citeprocText&quot;:&quot;[24]&quot;,&quot;manualOverrideText&quot;:&quot;&quot;},&quot;citationTag&quot;:&quot;MENDELEY_CITATION_v3_eyJjaXRhdGlvbklEIjoiTUVOREVMRVlfQ0lUQVRJT05fYTBhNjhmMjktZDU3Zi00M2ZkLWJhYWUtODkyMDNlNzRlOWQy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quot;,&quot;citationItems&quot;:[{&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citationID&quot;:&quot;MENDELEY_CITATION_eb2be334-5a4e-4943-9be1-35fd5ed3aab0&quot;,&quot;properties&quot;:{&quot;noteIndex&quot;:0},&quot;isEdited&quot;:false,&quot;manualOverride&quot;:{&quot;isManuallyOverridden&quot;:false,&quot;citeprocText&quot;:&quot;[121]&quot;,&quot;manualOverrideText&quot;:&quot;&quot;},&quot;citationTag&quot;:&quot;MENDELEY_CITATION_v3_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&quot;,&quot;citationItems&quot;:[{&quot;id&quot;:&quot;ffe2310b-c607-3149-be29-7f54962d549d&quot;,&quot;itemData&quot;:{&quot;type&quot;:&quot;article&quot;,&quot;id&quot;:&quot;ffe2310b-c607-3149-be29-7f54962d549d&quot;,&quot;title&quot;:&quot;Epidemiology and clinical impact of major comorbidities in patients with COPD&quot;,&quot;author&quot;:[{&quot;family&quot;:&quot;Smith&quot;,&quot;given&quot;:&quot;Miranda Caroline&quot;,&quot;parse-names&quot;:false,&quot;dropping-particle&quot;:&quot;&quot;,&quot;non-dropping-particle&quot;:&quot;&quot;},{&quot;family&quot;:&quot;Wrobel&quot;,&quot;given&quot;:&quot;Jeremy P.&quot;,&quot;parse-names&quot;:false,&quot;dropping-particle&quot;:&quot;&quot;,&quot;non-dropping-particle&quot;:&quot;&quot;}],&quot;container-title&quot;:&quot;International Journal of COPD&quot;,&quot;accessed&quot;:{&quot;date-parts&quot;:[[2021,5,27]]},&quot;DOI&quot;:&quot;10.2147/COPD.S49621&quot;,&quot;ISSN&quot;:&quot;11782005&quot;,&quot;PMID&quot;:&quot;25210449&quot;,&quot;URL&quot;:&quot;/pmc/articles/PMC4154888/&quot;,&quot;issued&quot;:{&quot;date-parts&quot;:[[2014,8,27]]},&quot;page&quot;:&quot;871-888&quot;,&quot;abstract&quot;:&quot;omorbidities are frequent in chronic obstructive pulmonary disease (COPD) and significantly impact on patients' quality of life, exacerbation frequency, and survival. There is increasing evidence that certain diseases occur in greater frequency amongst patients with COPD than in the general population, and that these comorbidities significantly impact on patient outcomes. Although the mechanisms are yet to be defined, many comorbidities likely result from the chronic inflammatory state that is present in COPD. Common problems in the clinical management of COPD include recognizing new comorbidities, determining the impact of comorbidities on patient symptoms, the concurrent treatment of COPD and comorbidities, and accurate prognostication. The majority of comorbidities in COPD should be treated according to usual practice, and specific COPD management is infrequently altered by the presence of comorbidities. Unfortunately, comorbidities are often under-recognized and under-treated. This review focuses on the epidemiology of ten major comorbidities in patients with COPD. Further, we emphasize the clinical impact upon prognosis and management considerations. This review will highlight the importance of comorbidity identification and management in the practice of caring for patients with COPD.&quot;,&quot;publisher&quot;:&quot;Dove Medical Press Ltd.&quot;,&quot;volume&quot;:&quot;9&quot;,&quot;container-title-short&quot;:&quot;&quot;},&quot;isTemporary&quot;:false}]},{&quot;citationID&quot;:&quot;MENDELEY_CITATION_ad075dd1-ac63-4f38-8aac-66da44d36243&quot;,&quot;properties&quot;:{&quot;noteIndex&quot;:0},&quot;isEdited&quot;:false,&quot;manualOverride&quot;:{&quot;isManuallyOverridden&quot;:false,&quot;citeprocText&quot;:&quot;[14,25,121]&quot;,&quot;manualOverrideText&quot;:&quot;&quot;},&quot;citationTag&quot;:&quot;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&quot;,&quot;citationItems&quot;:[{&quot;id&quot;:&quot;ffe2310b-c607-3149-be29-7f54962d549d&quot;,&quot;itemData&quot;:{&quot;type&quot;:&quot;article&quot;,&quot;id&quot;:&quot;ffe2310b-c607-3149-be29-7f54962d549d&quot;,&quot;title&quot;:&quot;Epidemiology and clinical impact of major comorbidities in patients with COPD&quot;,&quot;author&quot;:[{&quot;family&quot;:&quot;Smith&quot;,&quot;given&quot;:&quot;Miranda Caroline&quot;,&quot;parse-names&quot;:false,&quot;dropping-particle&quot;:&quot;&quot;,&quot;non-dropping-particle&quot;:&quot;&quot;},{&quot;family&quot;:&quot;Wrobel&quot;,&quot;given&quot;:&quot;Jeremy P.&quot;,&quot;parse-names&quot;:false,&quot;dropping-particle&quot;:&quot;&quot;,&quot;non-dropping-particle&quot;:&quot;&quot;}],&quot;container-title&quot;:&quot;International Journal of COPD&quot;,&quot;accessed&quot;:{&quot;date-parts&quot;:[[2021,5,27]]},&quot;DOI&quot;:&quot;10.2147/COPD.S49621&quot;,&quot;ISSN&quot;:&quot;11782005&quot;,&quot;PMID&quot;:&quot;25210449&quot;,&quot;URL&quot;:&quot;/pmc/articles/PMC4154888/&quot;,&quot;issued&quot;:{&quot;date-parts&quot;:[[2014,8,27]]},&quot;page&quot;:&quot;871-888&quot;,&quot;abstract&quot;:&quot;omorbidities are frequent in chronic obstructive pulmonary disease (COPD) and significantly impact on patients' quality of life, exacerbation frequency, and survival. There is increasing evidence that certain diseases occur in greater frequency amongst patients with COPD than in the general population, and that these comorbidities significantly impact on patient outcomes. Although the mechanisms are yet to be defined, many comorbidities likely result from the chronic inflammatory state that is present in COPD. Common problems in the clinical management of COPD include recognizing new comorbidities, determining the impact of comorbidities on patient symptoms, the concurrent treatment of COPD and comorbidities, and accurate prognostication. The majority of comorbidities in COPD should be treated according to usual practice, and specific COPD management is infrequently altered by the presence of comorbidities. Unfortunately, comorbidities are often under-recognized and under-treated. This review focuses on the epidemiology of ten major comorbidities in patients with COPD. Further, we emphasize the clinical impact upon prognosis and management considerations. This review will highlight the importance of comorbidity identification and management in the practice of caring for patients with COPD.&quot;,&quot;publisher&quot;:&quot;Dove Medical Press Ltd.&quot;,&quot;volume&quot;:&quot;9&quot;,&quot;container-title-short&quot;:&quot;&quot;},&quot;isTemporary&quot;:false},{&quot;id&quot;:&quot;f8167413-56a3-394c-9c40-7f4153a8ecae&quot;,&quot;itemData&quot;:{&quot;type&quot;:&quot;article-journal&quot;,&quot;id&quot;:&quot;f8167413-56a3-394c-9c40-7f4153a8ecae&quot;,&quot;title&quot;:&quot;Prevalence and burden of comorbidities in Chronic Obstructive Pulmonary Disease&quot;,&quot;author&quot;:[{&quot;family&quot;:&quot;Corlateanu&quot;,&quot;given&quot;:&quot;Alexandru&quot;,&quot;parse-names&quot;:false,&quot;dropping-particle&quot;:&quot;&quot;,&quot;non-dropping-particle&quot;:&quot;&quot;},{&quot;family&quot;:&quot;Covantev&quot;,&quot;given&quot;:&quot;Serghei&quot;,&quot;parse-names&quot;:false,&quot;dropping-particle&quot;:&quot;&quot;,&quot;non-dropping-particle&quot;:&quot;&quot;},{&quot;family&quot;:&quot;Mathioudakis&quot;,&quot;given&quot;:&quot;Alexander G.&quot;,&quot;parse-names&quot;:false,&quot;dropping-particle&quot;:&quot;&quot;,&quot;non-dropping-particle&quot;:&quot;&quot;},{&quot;family&quot;:&quot;Botnaru&quot;,&quot;given&quot;:&quot;Victor&quot;,&quot;parse-names&quot;:false,&quot;dropping-particle&quot;:&quot;&quot;,&quot;non-dropping-particle&quot;:&quot;&quot;},{&quot;family&quot;:&quot;Siafakas&quot;,&quot;given&quot;:&quot;Nikolaos&quot;,&quot;parse-names&quot;:false,&quot;dropping-particle&quot;:&quot;&quot;,&quot;non-dropping-particle&quot;:&quot;&quot;}],&quot;container-title&quot;:&quot;Respiratory Investigation&quot;,&quot;accessed&quot;:{&quot;date-parts&quot;:[[2024,5,27]]},&quot;DOI&quot;:&quot;10.1016/J.RESINV.2016.07.001&quot;,&quot;ISSN&quot;:&quot;2212-5345&quot;,&quot;PMID&quot;:&quot;27886849&quot;,&quot;issued&quot;:{&quot;date-parts&quot;:[[2016,11,1]]},&quot;page&quot;:&quot;387-396&quot;,&quot;abstract&quot;:&quot;The classical definition of Chronic Obstructive Pulmonary Disease (COPD) as a lung condition characterized by irreversible airway obstruction is outdated. The systemic involvement in patients with COPD, as well as the interactions between COPD and its comorbidities, justify the description of chronic systemic inflammatory syndrome. The pathogenesis of COPD is closely linked with aging, as well as with cardiovascular, endocrine, musculoskeletal, renal, and gastrointestinal pathologies, decreasing the quality of life of patients with COPD and, furthermore, complicating the management of the disease. The most frequently described comorbidities include skeletal muscle wasting, cachexia (loss of fat-free mass), lung cancer (small cell or non-small cell), pulmonary hypertension, ischemic heart disease, hyperlipidemia, congestive heart failure, normocytic anemia, diabetes, metabolic syndrome, osteoporosis, obstructive sleep apnea, depression, and arthritis. These complex interactions are based on chronic low-grade systemic inflammation, chronic hypoxia, and multiple common predisposing factors, and are currently under intense research. This review article is an overview of the comorbidities of COPD, as well as their interaction and influence on mutual disease progression, prognosis, and quality of life.&quot;,&quot;publisher&quot;:&quot;Elsevier&quot;,&quot;issue&quot;:&quot;6&quot;,&quot;volume&quot;:&quot;54&quot;,&quot;container-title-short&quot;:&quot;Respir Investig&quot;},&quot;isTemporary&quot;:false},{&quot;id&quot;:&quot;1cf921ad-2528-3f6b-a993-da116f5bf649&quot;,&quot;itemData&quot;:{&quot;type&quot;:&quot;article-journal&quot;,&quot;id&quot;:&quot;1cf921ad-2528-3f6b-a993-da116f5bf649&quot;,&quot;title&quot;:&quot;The Diagnosis and Treatment of COPD and Its Comorbidities&quot;,&quot;author&quot;:[{&quot;family&quot;:&quot;Kahnert&quot;,&quot;given&quot;:&quot;Kathrin&quot;,&quot;parse-names&quot;:false,&quot;dropping-particle&quot;:&quot;&quot;,&quot;non-dropping-particle&quot;:&quot;&quot;},{&quot;family&quot;:&quot;Jörres&quot;,&quot;given&quot;:&quot;Rudolf A.&quot;,&quot;parse-names&quot;:false,&quot;dropping-particle&quot;:&quot;&quot;,&quot;non-dropping-particle&quot;:&quot;&quot;},{&quot;family&quot;:&quot;Behr&quot;,&quot;given&quot;:&quot;Jürgen&quot;,&quot;parse-names&quot;:false,&quot;dropping-particle&quot;:&quot;&quot;,&quot;non-dropping-particle&quot;:&quot;&quot;},{&quot;family&quot;:&quot;Welte&quot;,&quot;given&quot;:&quot;Tobias&quot;,&quot;parse-names&quot;:false,&quot;dropping-particle&quot;:&quot;&quot;,&quot;non-dropping-particle&quot;:&quot;&quot;}],&quot;container-title&quot;:&quot;Deutsches Ärzteblatt International&quot;,&quot;accessed&quot;:{&quot;date-parts&quot;:[[2024,10,7]]},&quot;DOI&quot;:&quot;10.3238/ARZTEBL.M2023.027&quot;,&quot;ISSN&quot;:&quot;18660452&quot;,&quot;PMID&quot;:&quot;36794439&quot;,&quot;URL&quot;:&quot;/pmc/articles/PMC10478768/&quot;,&quot;issued&quot;:{&quot;date-parts&quot;:[[2023,6,23]]},&quot;page&quot;:&quot;434&quot;,&quot;abstract&quot;:&quot;Background: Chronic obstructive pulmonary disease (COPD) is the third most common cause of death around the world. The affected patients suffer not only from impaired lung function, but also from a wide variety of comorbidities. Their cardiac comorbidities, in particular, lead to increased mortality. Methods: This review is based on pertinent publications retrieved by a selective search in PubMed, including guidelines from Germany and abroad. Results: The usual diagnostic criteria for COPD are a post-bronchodilator FEV1/FVC quotient below the fixed threshold of 0.7, or, preferably, below the lower limit of normal (LLN) according to the GLI reference values for the avoidance of over- and underdiagnosis. The overall prognosis is markedly affected by comorbidities of the lung itself and those that involve other organs; in particular, many persons with COPD die of heart disease. The potential presence of heart disease must be borne in mind in the evaluation of patients with COPD, as lung disease can impair the detection of heart disease. Conclusion: As patients with COPD are often multimorbid, the early diagnosis and adequate treatment not only of their lung disease, but also of their extrapulmonary comorbidities are very important. Well-established diagnostic instruments and well-tested treatments are available and are described in detail in the guidelines concerning the comorbidities. Preliminary observations suggest that more attention should be paid to the potential positive effects of treating comorbidities on the lung disease itself, and vice versa.&quot;,&quot;publisher&quot;:&quot;Deutscher Arzte-Verlag GmbH&quot;,&quot;issue&quot;:&quot;25&quot;,&quot;volume&quot;:&quot;120&quot;,&quot;container-title-short&quot;:&quot;Dtsch Arztebl Int&quot;},&quot;isTemporary&quot;:false}]},{&quot;citationID&quot;:&quot;MENDELEY_CITATION_a8998366-f392-4cc9-95d0-5373c684fc32&quot;,&quot;properties&quot;:{&quot;noteIndex&quot;:0},&quot;isEdited&quot;:false,&quot;manualOverride&quot;:{&quot;isManuallyOverridden&quot;:false,&quot;citeprocText&quot;:&quot;[122]&quot;,&quot;manualOverrideText&quot;:&quot;&quot;},&quot;citationTag&quot;:&quot;MENDELEY_CITATION_v3_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&quot;,&quot;citationItems&quot;:[{&quot;id&quot;:&quot;4ac906ef-88e1-305f-8c34-1dccfbaf0e31&quot;,&quot;itemData&quot;:{&quot;type&quot;:&quot;article-journal&quot;,&quot;id&quot;:&quot;4ac906ef-88e1-305f-8c34-1dccfbaf0e31&quot;,&quot;title&quot;:&quot;Comorbidities, Patient Knowledge, and Disease Management in a National Sample of Patients with Chronic Obstructive Pulmonary Disease&quot;,&quot;author&quot;:[{&quot;family&quot;:&quot;Barr&quot;,&quot;given&quot;:&quot;R. Graham&quot;,&quot;parse-names&quot;:false,&quot;dropping-particle&quot;:&quot;&quot;,&quot;non-dropping-particle&quot;:&quot;&quot;},{&quot;family&quot;:&quot;Celli&quot;,&quot;given&quot;:&quot;Bartolome R.&quot;,&quot;parse-names&quot;:false,&quot;dropping-particle&quot;:&quot;&quot;,&quot;non-dropping-particle&quot;:&quot;&quot;},{&quot;family&quot;:&quot;Mannino&quot;,&quot;given&quot;:&quot;David M.&quot;,&quot;parse-names&quot;:false,&quot;dropping-particle&quot;:&quot;&quot;,&quot;non-dropping-particle&quot;:&quot;&quot;},{&quot;family&quot;:&quot;Petty&quot;,&quot;given&quot;:&quot;Thomas&quot;,&quot;parse-names&quot;:false,&quot;dropping-particle&quot;:&quot;&quot;,&quot;non-dropping-particle&quot;:&quot;&quot;},{&quot;family&quot;:&quot;Rennard&quot;,&quot;given&quot;:&quot;Stephen I.&quot;,&quot;parse-names&quot;:false,&quot;dropping-particle&quot;:&quot;&quot;,&quot;non-dropping-particle&quot;:&quot;&quot;},{&quot;family&quot;:&quot;Sciurba&quot;,&quot;given&quot;:&quot;Frank C.&quot;,&quot;parse-names&quot;:false,&quot;dropping-particle&quot;:&quot;&quot;,&quot;non-dropping-particle&quot;:&quot;&quot;},{&quot;family&quot;:&quot;Stoller&quot;,&quot;given&quot;:&quot;James K.&quot;,&quot;parse-names&quot;:false,&quot;dropping-particle&quot;:&quot;&quot;,&quot;non-dropping-particle&quot;:&quot;&quot;},{&quot;family&quot;:&quot;Thomashow&quot;,&quot;given&quot;:&quot;Byron M.&quot;,&quot;parse-names&quot;:false,&quot;dropping-particle&quot;:&quot;&quot;,&quot;non-dropping-particle&quot;:&quot;&quot;},{&quot;family&quot;:&quot;Turino&quot;,&quot;given&quot;:&quot;Gerard M.&quot;,&quot;parse-names&quot;:false,&quot;dropping-particle&quot;:&quot;&quot;,&quot;non-dropping-particle&quot;:&quot;&quot;}],&quot;container-title&quot;:&quot;American Journal of Medicine&quot;,&quot;DOI&quot;:&quot;10.1016/j.amjmed.2008.09.042.Comorbidities&quot;,&quot;ISBN&quot;:&quot;6176321972&quot;,&quot;ISSN&quot;:&quot;15378276&quot;,&quot;PMID&quot;:&quot;1000000221&quot;,&quot;issued&quot;:{&quot;date-parts&quot;:[[2009]]},&quot;page&quot;:&quot;348-355&quot;,&quot;abstract&quot;:&quot;Purpose—Chronic obstructive pulmonary disease (COPD) is the fourth leading cause of death in the United States but is often under-treated. COPD often overlaps with other conditions such as hypertension and osteoporosis, which are less morbid but which may be treated more aggressively. We evaluated the prevalence of these comorbid conditions and compared testing, patient knowledge, and management in a national sample of patients with COPD. Methods and Methods—A survey was administered by telephone in 2006 to 1,003 COPD patients to evaluate the prevalence of comorbid conditions, diagnostic testing, knowledge, and management using standardized instruments. The completion rate was 87%. Results—Among 1,003 patients with COPD, 61% reported moderate or severe dyspnea and 41% a prior hospitalization for COPD. The most prevalent comorbid diagnoses were hypertension (55%), hypercholesterolemia (52%), depression (37%), cataracts (31%) and osteoporosis (28%). Only 10% of respondents knew their FEV1 (95% CI: 8, 12%) compared to 79% who knew their blood pressure (95% CI: 76%, 83%). Seventy-two percent (95% CI: 69%, 75%) reported taking any medication for COPD – usually a short-acting bronchodilator – whereas 87% (95% CI: 84%, 90%) of patients with COPD and hypertension were taking an antihypertensive medication and 72% (95% CI: 68%, 75%) of patients with COPD and hypercholesterolemia were taking a statin. Conclusion—Although most of these COPD patients in this national sample were symptomatic and many had been hospitalized for COPD, COPD self-knowledge was low and COPD was undertreated compared to generally asymptomatic, less morbid conditions such as hypertension.&quot;,&quot;issue&quot;:&quot;4&quot;,&quot;volume&quot;:&quot;122&quot;,&quot;container-title-short&quot;:&quot;&quot;},&quot;isTemporary&quot;:false}]},{&quot;citationID&quot;:&quot;MENDELEY_CITATION_1f6fb350-9971-4da7-9091-cafcaf6eabef&quot;,&quot;properties&quot;:{&quot;noteIndex&quot;:0},&quot;isEdited&quot;:false,&quot;manualOverride&quot;:{&quot;isManuallyOverridden&quot;:false,&quot;citeprocText&quot;:&quot;[5]&quot;,&quot;manualOverrideText&quot;:&quot;&quot;},&quot;citationTag&quot;:&quot;MENDELEY_CITATION_v3_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&quot;,&quot;citationItems&quot;:[{&quot;id&quot;:&quot;40e30623-6004-3ba4-bc18-b1528e200abc&quot;,&quot;itemData&quot;:{&quot;type&quot;:&quot;article-journal&quot;,&quot;id&quot;:&quot;40e30623-6004-3ba4-bc18-b1528e200abc&quot;,&quot;title&quot;:&quot;Disease Progression and Age as Factors Underlying Multimorbidity in Patients with COPD: Results from COSYCONET&quot;,&quot;author&quot;:[{&quot;family&quot;:&quot;Alter&quot;,&quot;given&quot;:&quot;Peter&quot;,&quot;parse-names&quot;:false,&quot;dropping-particle&quot;:&quot;&quot;,&quot;non-dropping-particle&quot;:&quot;&quot;},{&quot;family&quot;:&quot;Kahnert&quot;,&quot;given&quot;:&quot;Kathrin&quot;,&quot;parse-names&quot;:false,&quot;dropping-particle&quot;:&quot;&quot;,&quot;non-dropping-particle&quot;:&quot;&quot;},{&quot;family&quot;:&quot;Trudzinski&quot;,&quot;given&quot;:&quot;Franziska C.&quot;,&quot;parse-names&quot;:false,&quot;dropping-particle&quot;:&quot;&quot;,&quot;non-dropping-particle&quot;:&quot;&quot;},{&quot;family&quot;:&quot;Bals&quot;,&quot;given&quot;:&quot;Robert&quot;,&quot;parse-names&quot;:false,&quot;dropping-particle&quot;:&quot;&quot;,&quot;non-dropping-particle&quot;:&quot;&quot;},{&quot;family&quot;:&quot;Watz&quot;,&quot;given&quot;:&quot;Henrik&quot;,&quot;parse-names&quot;:false,&quot;dropping-particle&quot;:&quot;&quot;,&quot;non-dropping-particle&quot;:&quot;&quot;},{&quot;family&quot;:&quot;Speicher&quot;,&quot;given&quot;:&quot;Tim&quot;,&quot;parse-names&quot;:false,&quot;dropping-particle&quot;:&quot;&quot;,&quot;non-dropping-particle&quot;:&quot;&quot;},{&quot;family&quot;:&quot;Söhler&quot;,&quot;given&quot;:&quot;Sandra&quot;,&quot;parse-names&quot;:false,&quot;dropping-particle&quot;:&quot;&quot;,&quot;non-dropping-particle&quot;:&quot;&quot;},{&quot;family&quot;:&quot;Andreas&quot;,&quot;given&quot;:&quot;Stefan&quot;,&quot;parse-names&quot;:false,&quot;dropping-particle&quot;:&quot;&quot;,&quot;non-dropping-particle&quot;:&quot;&quot;},{&quot;family&quot;:&quot;Welte&quot;,&quot;given&quot;:&quot;Tobias&quot;,&quot;parse-names&quot;:false,&quot;dropping-particle&quot;:&quot;&quot;,&quot;non-dropping-particle&quot;:&quot;&quot;},{&quot;family&quot;:&quot;Rabe&quot;,&quot;given&quot;:&quot;Klaus F.&quot;,&quot;parse-names&quot;:false,&quot;dropping-particle&quot;:&quot;&quot;,&quot;non-dropping-particle&quot;:&quot;&quot;},{&quot;family&quot;:&quot;Wouters&quot;,&quot;given&quot;:&quot;Emiel F.M.&quot;,&quot;parse-names&quot;:false,&quot;dropping-particle&quot;:&quot;&quot;,&quot;non-dropping-particle&quot;:&quot;&quot;},{&quot;family&quot;:&quot;Sassmann-Schweda&quot;,&quot;given&quot;:&quot;Antonia&quot;,&quot;parse-names&quot;:false,&quot;dropping-particle&quot;:&quot;&quot;,&quot;non-dropping-particle&quot;:&quot;&quot;},{&quot;family&quot;:&quot;Wirtz&quot;,&quot;given&quot;:&quot;Hubert&quot;,&quot;parse-names&quot;:false,&quot;dropping-particle&quot;:&quot;&quot;,&quot;non-dropping-particle&quot;:&quot;&quot;},{&quot;family&quot;:&quot;Ficker&quot;,&quot;given&quot;:&quot;Joachim H.&quot;,&quot;parse-names&quot;:false,&quot;dropping-particle&quot;:&quot;&quot;,&quot;non-dropping-particle&quot;:&quot;&quot;},{&quot;family&quot;:&quot;Vogelmeier&quot;,&quot;given&quot;:&quot;Claus F.&quot;,&quot;parse-names&quot;:false,&quot;dropping-particle&quot;:&quot;&quot;,&quot;non-dropping-particle&quot;:&quot;&quot;},{&quot;family&quot;:&quot;Jörres&quot;,&quot;given&quot;:&quot;Rudolf A.&quot;,&quot;parse-names&quot;:false,&quot;dropping-particle&quot;:&quot;&quot;,&quot;non-dropping-particle&quot;:&quot;&quot;}],&quot;container-title&quot;:&quot;International journal of chronic obstructive pulmonary disease&quot;,&quot;accessed&quot;:{&quot;date-parts&quot;:[[2024,6,1]]},&quot;DOI&quot;:&quot;10.2147/COPD.S364812&quot;,&quot;ISSN&quot;:&quot;1178-2005&quot;,&quot;PMID&quot;:&quot;35936574&quot;,&quot;URL&quot;:&quot;https://pubmed.ncbi.nlm.nih.gov/35936574/&quot;,&quot;issued&quot;:{&quot;date-parts&quot;:[[2022]]},&quot;page&quot;:&quot;1703-1713&quot;,&quot;abstract&quot;:&quot;Background: Multimorbidity plays an important role in chronic obstructive pulmonary disease (COPD) but is also a feature of ageing. We estimated to what extent increases in the prevalence of multimorbidity over time are attributable to COPD progression compared to increasing patient age. Methods: Patients with COPD from the long-term COSYCONET (COPD and Systemic Consequences-Comorbidities Network) cohort with four follow-up visits were included in this analysis. At each visit, symptoms, exacerbation history, quality of life and lung function were assessed, along with the comorbidities heart failure (HF), coronary artery disease (CAD), peripheral arterial disease (PAD), hypertension, sleep apnea, diabetes mellitus, hyperlipidemia, hyperuricemia and osteoporosis. Using longitudinal logistic regression analysis, we determined what proportion of the increase in the prevalence of comorbidities could be attributed to patients’ age or to the progression of COPD over visits. Results: Of 2030 patients at baseline, 878 completed four follow-up visits (up to 4.5 years). CAD prevalence increased over time, with similar effects attributable to the 4.5-year follow-up, used as indicator of COPD progression, and to a 5-year increase in patients’ age. The prevalence of HF, diabetes, hyperlipidemia, hyperuricemia, osteoporosis and sleep apnea showed stronger contributions of COPD progression than of age; in contrast, age dominated for hypertension and PAD. There were different relationships to patients’ characteristics including BMI and sex. The results were not critically dependent on the duration of COPD prior to enrolment, or the inclusion of patients with all four follow-up visits vs those attending only at least one of them. Conclusion: Analyzing the increasing prevalence of multimorbidity in COPD over time, we separated age-independent contributions, probably reflecting intrinsic COPD-related disease progression, from age-dependent contributions. This distinction might be useful for the individual assessment of disease progression in COPD.&quot;,&quot;publisher&quot;:&quot;Int J Chron Obstruct Pulmon Dis&quot;,&quot;volume&quot;:&quot;17&quot;,&quot;container-title-short&quot;:&quot;Int J Chron Obstruct Pulmon Dis&quot;},&quot;isTemporary&quot;:false}]},{&quot;citationID&quot;:&quot;MENDELEY_CITATION_a371b1d5-c431-40aa-9442-8b81f1825380&quot;,&quot;properties&quot;:{&quot;noteIndex&quot;:0},&quot;isEdited&quot;:false,&quot;manualOverride&quot;:{&quot;isManuallyOverridden&quot;:false,&quot;citeprocText&quot;:&quot;[123]&quot;,&quot;manualOverrideText&quot;:&quot;&quot;},&quot;citationTag&quot;:&quot;MENDELEY_CITATION_v3_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&quot;,&quot;citationItems&quot;:[{&quot;id&quot;:&quot;96ff5287-4943-36a9-ba58-a4ee99e373aa&quot;,&quot;itemData&quot;:{&quot;type&quot;:&quot;article-journal&quot;,&quot;id&quot;:&quot;96ff5287-4943-36a9-ba58-a4ee99e373aa&quot;,&quot;title&quot;:&quot;COPD and its comorbidities: Impact, measurement and mechanisms&quot;,&quot;author&quot;:[{&quot;family&quot;:&quot;Negewo&quot;,&quot;given&quot;:&quot;Netsanet A.&quot;,&quot;parse-names&quot;:false,&quot;dropping-particle&quot;:&quot;&quot;,&quot;non-dropping-particle&quot;:&quot;&quot;},{&quot;family&quot;:&quot;Gibson&quot;,&quot;given&quot;:&quot;Peter G.&quot;,&quot;parse-names&quot;:false,&quot;dropping-particle&quot;:&quot;&quot;,&quot;non-dropping-particle&quot;:&quot;&quot;},{&quot;family&quot;:&quot;McDonald&quot;,&quot;given&quot;:&quot;Vanessa M.&quot;,&quot;parse-names&quot;:false,&quot;dropping-particle&quot;:&quot;&quot;,&quot;non-dropping-particle&quot;:&quot;&quot;}],&quot;container-title&quot;:&quot;Respirology&quot;,&quot;accessed&quot;:{&quot;date-parts&quot;:[[2024,4,20]]},&quot;DOI&quot;:&quot;10.1111/RESP.12642&quot;,&quot;ISSN&quot;:&quot;1440-1843&quot;,&quot;PMID&quot;:&quot;26374280&quot;,&quot;URL&quot;:&quot;https://onlinelibrary.wiley.com/doi/full/10.1111/resp.12642&quot;,&quot;issued&quot;:{&quot;date-parts&quot;:[[2015,11,1]]},&quot;page&quot;:&quot;1160-1171&quot;,&quot;abstract&quot;:&quot;Chronic obstructive pulmonary disease (COPD) frequently coexists with other conditions often known as comorbidities. The prevalence of most of the common comorbid conditions that accompany COPD has been widely reported. It is also recognized that comorbidities have significant health and economic consequences. Nevertheless, there is scant research examining how comorbidities should be assessed and managed in the context of COPD. Also, the underlying mechanisms linking COPD with its comorbidities are still not fully understood. Owing to these knowledge gaps, current disease-specific approaches provide clinicians with little guidance in terms of managing comorbid conditions in the clinical care of multi-diseased COPD patients. This review discusses the concepts of comorbidity and multi-morbidity in COPD in relation to the overall clinical outcome of COPD management. It also summarizes some of the currently available clinical scores used to measure comorbid conditions and their prognostic abilities. Furthermore, recent developments in the proposed mechanisms linking COPD with its comorbidities are discussed.&quot;,&quot;publisher&quot;:&quot;John Wiley &amp; Sons, Ltd&quot;,&quot;issue&quot;:&quot;8&quot;,&quot;volume&quot;:&quot;20&quot;,&quot;container-title-short&quot;:&quot;&quot;},&quot;isTemporary&quot;:false}]},{&quot;citationID&quot;:&quot;MENDELEY_CITATION_ae2094c0-0b89-458f-9ce1-8fc6e1adc1d3&quot;,&quot;properties&quot;:{&quot;noteIndex&quot;:0},&quot;isEdited&quot;:false,&quot;manualOverride&quot;:{&quot;isManuallyOverridden&quot;:false,&quot;citeprocText&quot;:&quot;[123]&quot;,&quot;manualOverrideText&quot;:&quot;&quot;},&quot;citationTag&quot;:&quot;MENDELEY_CITATION_v3_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&quot;,&quot;citationItems&quot;:[{&quot;id&quot;:&quot;96ff5287-4943-36a9-ba58-a4ee99e373aa&quot;,&quot;itemData&quot;:{&quot;type&quot;:&quot;article-journal&quot;,&quot;id&quot;:&quot;96ff5287-4943-36a9-ba58-a4ee99e373aa&quot;,&quot;title&quot;:&quot;COPD and its comorbidities: Impact, measurement and mechanisms&quot;,&quot;author&quot;:[{&quot;family&quot;:&quot;Negewo&quot;,&quot;given&quot;:&quot;Netsanet A.&quot;,&quot;parse-names&quot;:false,&quot;dropping-particle&quot;:&quot;&quot;,&quot;non-dropping-particle&quot;:&quot;&quot;},{&quot;family&quot;:&quot;Gibson&quot;,&quot;given&quot;:&quot;Peter G.&quot;,&quot;parse-names&quot;:false,&quot;dropping-particle&quot;:&quot;&quot;,&quot;non-dropping-particle&quot;:&quot;&quot;},{&quot;family&quot;:&quot;McDonald&quot;,&quot;given&quot;:&quot;Vanessa M.&quot;,&quot;parse-names&quot;:false,&quot;dropping-particle&quot;:&quot;&quot;,&quot;non-dropping-particle&quot;:&quot;&quot;}],&quot;container-title&quot;:&quot;Respirology&quot;,&quot;accessed&quot;:{&quot;date-parts&quot;:[[2024,4,20]]},&quot;DOI&quot;:&quot;10.1111/RESP.12642&quot;,&quot;ISSN&quot;:&quot;1440-1843&quot;,&quot;PMID&quot;:&quot;26374280&quot;,&quot;URL&quot;:&quot;https://onlinelibrary.wiley.com/doi/full/10.1111/resp.12642&quot;,&quot;issued&quot;:{&quot;date-parts&quot;:[[2015,11,1]]},&quot;page&quot;:&quot;1160-1171&quot;,&quot;abstract&quot;:&quot;Chronic obstructive pulmonary disease (COPD) frequently coexists with other conditions often known as comorbidities. The prevalence of most of the common comorbid conditions that accompany COPD has been widely reported. It is also recognized that comorbidities have significant health and economic consequences. Nevertheless, there is scant research examining how comorbidities should be assessed and managed in the context of COPD. Also, the underlying mechanisms linking COPD with its comorbidities are still not fully understood. Owing to these knowledge gaps, current disease-specific approaches provide clinicians with little guidance in terms of managing comorbid conditions in the clinical care of multi-diseased COPD patients. This review discusses the concepts of comorbidity and multi-morbidity in COPD in relation to the overall clinical outcome of COPD management. It also summarizes some of the currently available clinical scores used to measure comorbid conditions and their prognostic abilities. Furthermore, recent developments in the proposed mechanisms linking COPD with its comorbidities are discussed.&quot;,&quot;publisher&quot;:&quot;John Wiley &amp; Sons, Ltd&quot;,&quot;issue&quot;:&quot;8&quot;,&quot;volume&quot;:&quot;20&quot;,&quot;container-title-short&quot;:&quot;&quot;},&quot;isTemporary&quot;:false}]},{&quot;citationID&quot;:&quot;MENDELEY_CITATION_00059bb0-c9df-4549-97a7-fe7d1077f769&quot;,&quot;properties&quot;:{&quot;noteIndex&quot;:0},&quot;isEdited&quot;:false,&quot;manualOverride&quot;:{&quot;isManuallyOverridden&quot;:false,&quot;citeprocText&quot;:&quot;[121,123]&quot;,&quot;manualOverrideText&quot;:&quot;&quot;},&quot;citationTag&quot;:&quot;MENDELEY_CITATION_v3_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&quot;,&quot;citationItems&quot;:[{&quot;id&quot;:&quot;ffe2310b-c607-3149-be29-7f54962d549d&quot;,&quot;itemData&quot;:{&quot;type&quot;:&quot;article&quot;,&quot;id&quot;:&quot;ffe2310b-c607-3149-be29-7f54962d549d&quot;,&quot;title&quot;:&quot;Epidemiology and clinical impact of major comorbidities in patients with COPD&quot;,&quot;author&quot;:[{&quot;family&quot;:&quot;Smith&quot;,&quot;given&quot;:&quot;Miranda Caroline&quot;,&quot;parse-names&quot;:false,&quot;dropping-particle&quot;:&quot;&quot;,&quot;non-dropping-particle&quot;:&quot;&quot;},{&quot;family&quot;:&quot;Wrobel&quot;,&quot;given&quot;:&quot;Jeremy P.&quot;,&quot;parse-names&quot;:false,&quot;dropping-particle&quot;:&quot;&quot;,&quot;non-dropping-particle&quot;:&quot;&quot;}],&quot;container-title&quot;:&quot;International Journal of COPD&quot;,&quot;accessed&quot;:{&quot;date-parts&quot;:[[2021,5,27]]},&quot;DOI&quot;:&quot;10.2147/COPD.S49621&quot;,&quot;ISSN&quot;:&quot;11782005&quot;,&quot;PMID&quot;:&quot;25210449&quot;,&quot;URL&quot;:&quot;/pmc/articles/PMC4154888/&quot;,&quot;issued&quot;:{&quot;date-parts&quot;:[[2014,8,27]]},&quot;page&quot;:&quot;871-888&quot;,&quot;abstract&quot;:&quot;omorbidities are frequent in chronic obstructive pulmonary disease (COPD) and significantly impact on patients' quality of life, exacerbation frequency, and survival. There is increasing evidence that certain diseases occur in greater frequency amongst patients with COPD than in the general population, and that these comorbidities significantly impact on patient outcomes. Although the mechanisms are yet to be defined, many comorbidities likely result from the chronic inflammatory state that is present in COPD. Common problems in the clinical management of COPD include recognizing new comorbidities, determining the impact of comorbidities on patient symptoms, the concurrent treatment of COPD and comorbidities, and accurate prognostication. The majority of comorbidities in COPD should be treated according to usual practice, and specific COPD management is infrequently altered by the presence of comorbidities. Unfortunately, comorbidities are often under-recognized and under-treated. This review focuses on the epidemiology of ten major comorbidities in patients with COPD. Further, we emphasize the clinical impact upon prognosis and management considerations. This review will highlight the importance of comorbidity identification and management in the practice of caring for patients with COPD.&quot;,&quot;publisher&quot;:&quot;Dove Medical Press Ltd.&quot;,&quot;volume&quot;:&quot;9&quot;,&quot;container-title-short&quot;:&quot;&quot;},&quot;isTemporary&quot;:false},{&quot;id&quot;:&quot;96ff5287-4943-36a9-ba58-a4ee99e373aa&quot;,&quot;itemData&quot;:{&quot;type&quot;:&quot;article-journal&quot;,&quot;id&quot;:&quot;96ff5287-4943-36a9-ba58-a4ee99e373aa&quot;,&quot;title&quot;:&quot;COPD and its comorbidities: Impact, measurement and mechanisms&quot;,&quot;author&quot;:[{&quot;family&quot;:&quot;Negewo&quot;,&quot;given&quot;:&quot;Netsanet A.&quot;,&quot;parse-names&quot;:false,&quot;dropping-particle&quot;:&quot;&quot;,&quot;non-dropping-particle&quot;:&quot;&quot;},{&quot;family&quot;:&quot;Gibson&quot;,&quot;given&quot;:&quot;Peter G.&quot;,&quot;parse-names&quot;:false,&quot;dropping-particle&quot;:&quot;&quot;,&quot;non-dropping-particle&quot;:&quot;&quot;},{&quot;family&quot;:&quot;McDonald&quot;,&quot;given&quot;:&quot;Vanessa M.&quot;,&quot;parse-names&quot;:false,&quot;dropping-particle&quot;:&quot;&quot;,&quot;non-dropping-particle&quot;:&quot;&quot;}],&quot;container-title&quot;:&quot;Respirology&quot;,&quot;accessed&quot;:{&quot;date-parts&quot;:[[2024,4,20]]},&quot;DOI&quot;:&quot;10.1111/RESP.12642&quot;,&quot;ISSN&quot;:&quot;1440-1843&quot;,&quot;PMID&quot;:&quot;26374280&quot;,&quot;URL&quot;:&quot;https://onlinelibrary.wiley.com/doi/full/10.1111/resp.12642&quot;,&quot;issued&quot;:{&quot;date-parts&quot;:[[2015,11,1]]},&quot;page&quot;:&quot;1160-1171&quot;,&quot;abstract&quot;:&quot;Chronic obstructive pulmonary disease (COPD) frequently coexists with other conditions often known as comorbidities. The prevalence of most of the common comorbid conditions that accompany COPD has been widely reported. It is also recognized that comorbidities have significant health and economic consequences. Nevertheless, there is scant research examining how comorbidities should be assessed and managed in the context of COPD. Also, the underlying mechanisms linking COPD with its comorbidities are still not fully understood. Owing to these knowledge gaps, current disease-specific approaches provide clinicians with little guidance in terms of managing comorbid conditions in the clinical care of multi-diseased COPD patients. This review discusses the concepts of comorbidity and multi-morbidity in COPD in relation to the overall clinical outcome of COPD management. It also summarizes some of the currently available clinical scores used to measure comorbid conditions and their prognostic abilities. Furthermore, recent developments in the proposed mechanisms linking COPD with its comorbidities are discussed.&quot;,&quot;publisher&quot;:&quot;John Wiley &amp; Sons, Ltd&quot;,&quot;issue&quot;:&quot;8&quot;,&quot;volume&quot;:&quot;20&quot;,&quot;container-title-short&quot;:&quot;&quot;},&quot;isTemporary&quot;:false}]},{&quot;citationID&quot;:&quot;MENDELEY_CITATION_6cf63951-5700-43de-bfb3-03e3a05eb1bb&quot;,&quot;properties&quot;:{&quot;noteIndex&quot;:0},&quot;isEdited&quot;:false,&quot;manualOverride&quot;:{&quot;isManuallyOverridden&quot;:false,&quot;citeprocText&quot;:&quot;[24]&quot;,&quot;manualOverrideText&quot;:&quot;&quot;},&quot;citationTag&quot;:&quot;MENDELEY_CITATION_v3_eyJjaXRhdGlvbklEIjoiTUVOREVMRVlfQ0lUQVRJT05fNmNmNjM5NTEtNTcwMC00M2RlLWJmYjMtMDNlM2EwNWViMWJi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quot;,&quot;citationItems&quot;:[{&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citationID&quot;:&quot;MENDELEY_CITATION_42fe3e93-9231-497d-85a0-75b3d7d3c4c0&quot;,&quot;properties&quot;:{&quot;noteIndex&quot;:0},&quot;isEdited&quot;:false,&quot;manualOverride&quot;:{&quot;isManuallyOverridden&quot;:false,&quot;citeprocText&quot;:&quot;[24]&quot;,&quot;manualOverrideText&quot;:&quot;&quot;},&quot;citationTag&quot;:&quot;MENDELEY_CITATION_v3_eyJjaXRhdGlvbklEIjoiTUVOREVMRVlfQ0lUQVRJT05fNDJmZTNlOTMtOTIzMS00OTdkLTg1YTAtNzViM2Q3ZDNjNGMw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quot;,&quot;citationItems&quot;:[{&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citationID&quot;:&quot;MENDELEY_CITATION_8299ad70-8b42-4fc7-be33-f1dd4895f53c&quot;,&quot;properties&quot;:{&quot;noteIndex&quot;:0},&quot;isEdited&quot;:false,&quot;manualOverride&quot;:{&quot;isManuallyOverridden&quot;:false,&quot;citeprocText&quot;:&quot;[24]&quot;,&quot;manualOverrideText&quot;:&quot;&quot;},&quot;citationTag&quot;:&quot;MENDELEY_CITATION_v3_eyJjaXRhdGlvbklEIjoiTUVOREVMRVlfQ0lUQVRJT05fODI5OWFkNzAtOGI0Mi00ZmM3LWJlMzMtZjFkZDQ4OTVmNTNj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quot;,&quot;citationItems&quot;:[{&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citationID&quot;:&quot;MENDELEY_CITATION_80a9a09f-eca7-4ad5-8d95-c0fcd7df5eed&quot;,&quot;properties&quot;:{&quot;noteIndex&quot;:0},&quot;isEdited&quot;:false,&quot;manualOverride&quot;:{&quot;isManuallyOverridden&quot;:false,&quot;citeprocText&quot;:&quot;[24]&quot;,&quot;manualOverrideText&quot;:&quot;&quot;},&quot;citationTag&quot;:&quot;MENDELEY_CITATION_v3_eyJjaXRhdGlvbklEIjoiTUVOREVMRVlfQ0lUQVRJT05fODBhOWEwOWYtZWNhNy00YWQ1LThkOTUtYzBmY2Q3ZGY1ZWVk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quot;,&quot;citationItems&quot;:[{&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citationID&quot;:&quot;MENDELEY_CITATION_a1945165-3329-4139-b696-0fcc87ef56c8&quot;,&quot;properties&quot;:{&quot;noteIndex&quot;:0},&quot;isEdited&quot;:false,&quot;manualOverride&quot;:{&quot;isManuallyOverridden&quot;:false,&quot;citeprocText&quot;:&quot;[24]&quot;,&quot;manualOverrideText&quot;:&quot;&quot;},&quot;citationTag&quot;:&quot;MENDELEY_CITATION_v3_eyJjaXRhdGlvbklEIjoiTUVOREVMRVlfQ0lUQVRJT05fYTE5NDUxNjUtMzMyOS00MTM5LWI2OTYtMGZjYzg3ZWY1NmM4IiwicHJvcGVydGllcyI6eyJub3RlSW5kZXgiOjB9LCJpc0VkaXRlZCI6ZmFsc2UsIm1hbnVhbE92ZXJyaWRlIjp7ImlzTWFudWFsbHlPdmVycmlkZGVuIjpmYWxzZSwiY2l0ZXByb2NUZXh0IjoiWzI0XSIsIm1hbnVhbE92ZXJyaWRlVGV4dCI6IiJ9LCJjaXRhdGlvbkl0ZW1zIjpb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quot;,&quot;citationItems&quot;:[{&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citationID&quot;:&quot;MENDELEY_CITATION_b10e2750-40da-418d-9e39-b9f90669d17f&quot;,&quot;properties&quot;:{&quot;noteIndex&quot;:0},&quot;isEdited&quot;:false,&quot;manualOverride&quot;:{&quot;isManuallyOverridden&quot;:false,&quot;citeprocText&quot;:&quot;[17]&quot;,&quot;manualOverrideText&quot;:&quot;&quot;},&quot;citationTag&quot;:&quot;MENDELEY_CITATION_v3_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&quot;,&quot;citationItems&quot;:[{&quot;id&quot;:&quot;c8ef2b64-d30d-3299-bceb-951b4add0611&quot;,&quot;itemData&quot;:{&quot;type&quot;:&quot;article&quot;,&quot;id&quot;:&quot;c8ef2b64-d30d-3299-bceb-951b4add0611&quot;,&quot;title&quot;:&quot;Targeting aging pathways in chronic obstructive pulmonary disease&quot;,&quot;author&quot;:[{&quot;family&quot;:&quot;Easter&quot;,&quot;given&quot;:&quot;Molly&quot;,&quot;parse-names&quot;:false,&quot;dropping-particle&quot;:&quot;&quot;,&quot;non-dropping-particle&quot;:&quot;&quot;},{&quot;family&quot;:&quot;Bollenbecker&quot;,&quot;given&quot;:&quot;Seth&quot;,&quot;parse-names&quot;:false,&quot;dropping-particle&quot;:&quot;&quot;,&quot;non-dropping-particle&quot;:&quot;&quot;},{&quot;family&quot;:&quot;Barnes&quot;,&quot;given&quot;:&quot;Jarrod W.&quot;,&quot;parse-names&quot;:false,&quot;dropping-particle&quot;:&quot;&quot;,&quot;non-dropping-particle&quot;:&quot;&quot;},{&quot;family&quot;:&quot;Krick&quot;,&quot;given&quot;:&quot;Stefanie&quot;,&quot;parse-names&quot;:false,&quot;dropping-particle&quot;:&quot;&quot;,&quot;non-dropping-particle&quot;:&quot;&quot;}],&quot;container-title&quot;:&quot;International Journal of Molecular Sciences&quot;,&quot;container-title-short&quot;:&quot;Int J Mol Sci&quot;,&quot;accessed&quot;:{&quot;date-parts&quot;:[[2020,12,9]]},&quot;DOI&quot;:&quot;10.3390/ijms21186924&quot;,&quot;ISSN&quot;:&quot;14220067&quot;,&quot;PMID&quot;:&quot;32967225&quot;,&quot;URL&quot;:&quot;/pmc/articles/PMC7555616/?report=abstract&quot;,&quot;issued&quot;:{&quot;date-parts&quot;:[[2020,9,2]]},&quot;page&quot;:&quot;1-17&quot;,&quot;abstract&quot;:&quot;Chronic obstructive pulmonary disease (COPD) has become a global epidemic and is the third leading cause of death worldwide. COPD is characterized by chronic airway inflammation, loss of alveolar-capillary units, and progressive decline in lung function. Major risk factors for COPD are cigarette smoking and aging. COPD-associated pathomechanisms include multiple aging pathways such as telomere attrition, epigenetic alterations, altered nutrient sensing, mitochondrial dysfunction, cell senescence, stem cell exhaustion and chronic inflammation. In this review, we will highlight the current literature that focuses on the role of age and aging-associated signaling pathways as well as their impact on current treatment strategies in the pathogenesis of COPD. Furthermore, we will discuss established and experimental COPD treatments including senolytic and anti-aging therapies and their potential use as novel treatment strategies in COPD.&quot;,&quot;publisher&quot;:&quot;MDPI AG&quot;,&quot;issue&quot;:&quot;18&quot;,&quot;volume&quot;:&quot;21&quot;},&quot;isTemporary&quot;:false}]},{&quot;citationID&quot;:&quot;MENDELEY_CITATION_5be165d0-44ac-4335-a487-510df9d9055b&quot;,&quot;properties&quot;:{&quot;noteIndex&quot;:0},&quot;isEdited&quot;:false,&quot;manualOverride&quot;:{&quot;isManuallyOverridden&quot;:false,&quot;citeprocText&quot;:&quot;[1]&quot;,&quot;manualOverrideText&quot;:&quot;&quot;},&quot;citationTag&quot;:&quot;MENDELEY_CITATION_v3_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&quot;,&quot;citationItems&quot;:[{&quot;id&quot;:&quot;a9be3ac6-3cd4-34d4-9032-4aade0b51d13&quot;,&quot;itemData&quot;:{&quot;type&quot;:&quot;webpage&quot;,&quot;id&quot;:&quot;a9be3ac6-3cd4-34d4-9032-4aade0b51d13&quot;,&quot;title&quot;:&quot;Chronic obstructive pulmonary disease (COPD)&quot;,&quot;author&quot;:[{&quot;family&quot;:&quot;World Health Organization&quot;,&quot;given&quot;:&quot;&quot;,&quot;parse-names&quot;:false,&quot;dropping-particle&quot;:&quot;&quot;,&quot;non-dropping-particle&quot;:&quot;&quot;}],&quot;accessed&quot;:{&quot;date-parts&quot;:[[2025,5,10]]},&quot;URL&quot;:&quot;https://www.who.int/news-room/fact-sheets/detail/chronic-obstructive-pulmonary-disease-(copd)&quot;,&quot;container-title-short&quot;:&quot;&quot;},&quot;isTemporary&quot;:false}]},{&quot;citationID&quot;:&quot;MENDELEY_CITATION_a6f158b4-35f7-4cbd-bdc8-fcab3e3d9f4d&quot;,&quot;properties&quot;:{&quot;noteIndex&quot;:0},&quot;isEdited&quot;:false,&quot;manualOverride&quot;:{&quot;isManuallyOverridden&quot;:false,&quot;citeprocText&quot;:&quot;[3]&quot;,&quot;manualOverrideText&quot;:&quot;&quot;},&quot;citationTag&quot;:&quot;MENDELEY_CITATION_v3_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&quot;,&quot;citationItems&quot;:[{&quot;id&quot;:&quot;d91c2a48-0b53-3583-bc0e-0a62f1fba2c4&quot;,&quot;itemData&quot;:{&quot;type&quot;:&quot;article-journal&quot;,&quot;id&quot;:&quot;d91c2a48-0b53-3583-bc0e-0a62f1fba2c4&quot;,&quot;title&quot;:&quot;Burden of chronic obstructive pulmonary disease and its attributable risk factors in 204 countries and territories, 1990-2019: results from the Global Burden of Disease Study 2019&quot;,&quot;author&quot;:[{&quot;family&quot;:&quot;Safiri&quot;,&quot;given&quot;:&quot;Saeid&quot;,&quot;parse-names&quot;:false,&quot;dropping-particle&quot;:&quot;&quot;,&quot;non-dropping-particle&quot;:&quot;&quot;},{&quot;family&quot;:&quot;Carson-Chahhoud&quot;,&quot;given&quot;:&quot;Kristin&quot;,&quot;parse-names&quot;:false,&quot;dropping-particle&quot;:&quot;&quot;,&quot;non-dropping-particle&quot;:&quot;&quot;},{&quot;family&quot;:&quot;Noori&quot;,&quot;given&quot;:&quot;Maryam&quot;,&quot;parse-names&quot;:false,&quot;dropping-particle&quot;:&quot;&quot;,&quot;non-dropping-particle&quot;:&quot;&quot;},{&quot;family&quot;:&quot;Nejadghaderi&quot;,&quot;given&quot;:&quot;Seyed Aria&quot;,&quot;parse-names&quot;:false,&quot;dropping-particle&quot;:&quot;&quot;,&quot;non-dropping-particle&quot;:&quot;&quot;},{&quot;family&quot;:&quot;Sullman&quot;,&quot;given&quot;:&quot;Mark J.M.&quot;,&quot;parse-names&quot;:false,&quot;dropping-particle&quot;:&quot;&quot;,&quot;non-dropping-particle&quot;:&quot;&quot;},{&quot;family&quot;:&quot;Ahmadian Heris&quot;,&quot;given&quot;:&quot;Javad&quot;,&quot;parse-names&quot;:false,&quot;dropping-particle&quot;:&quot;&quot;,&quot;non-dropping-particle&quot;:&quot;&quot;},{&quot;family&quot;:&quot;Ansarin&quot;,&quot;given&quot;:&quot;Khalil&quot;,&quot;parse-names&quot;:false,&quot;dropping-particle&quot;:&quot;&quot;,&quot;non-dropping-particle&quot;:&quot;&quot;},{&quot;family&quot;:&quot;Mansournia&quot;,&quot;given&quot;:&quot;Mohammad Ali&quot;,&quot;parse-names&quot;:false,&quot;dropping-particle&quot;:&quot;&quot;,&quot;non-dropping-particle&quot;:&quot;&quot;},{&quot;family&quot;:&quot;Collins&quot;,&quot;given&quot;:&quot;Gary S.&quot;,&quot;parse-names&quot;:false,&quot;dropping-particle&quot;:&quot;&quot;,&quot;non-dropping-particle&quot;:&quot;&quot;},{&quot;family&quot;:&quot;Kolahi&quot;,&quot;given&quot;:&quot;Ali Asghar&quot;,&quot;parse-names&quot;:false,&quot;dropping-particle&quot;:&quot;&quot;,&quot;non-dropping-particle&quot;:&quot;&quot;},{&quot;family&quot;:&quot;Kaufman&quot;,&quot;given&quot;:&quot;Jay S.&quot;,&quot;parse-names&quot;:false,&quot;dropping-particle&quot;:&quot;&quot;,&quot;non-dropping-particle&quot;:&quot;&quot;}],&quot;container-title&quot;:&quot;BMJ&quot;,&quot;accessed&quot;:{&quot;date-parts&quot;:[[2024,7,4]]},&quot;DOI&quot;:&quot;10.1136/BMJ-2021-069679&quot;,&quot;ISSN&quot;:&quot;1756-1833&quot;,&quot;PMID&quot;:&quot;35896191&quot;,&quot;URL&quot;:&quot;https://www.bmj.com/content/378/bmj-2021-069679&quot;,&quot;issued&quot;:{&quot;date-parts&quot;:[[2022,7,27]]},&quot;abstract&quot;:&quot;Objective To report the global, regional, and national burden of chronic obstructive pulmonary disease (COPD) and its attributable risk factors between 1990 and 2019, by age, sex, and sociodemographic index.\n\nDesign Systematic analysis.\n\nData source Global Burden of Disease Study 2019.\n\nMain outcome measures Data on the prevalence, deaths, and disability adjusted life years (DALYs) of COPD, and its attributable risk factors, were retrieved from the Global Burden of Disease 2019 project for 204 countries and territories, between 1990 and 2019. The counts and rates per 100 000 population, along with 95% uncertainty intervals, were presented for each estimate.\n\nResults In 2019, 212.3 million prevalent cases of COPD were reported globally, with COPD accounting for 3.3 million deaths and 74.4 million DALYs. The global age standardised point prevalence, death, and DALY rates for COPD were 2638.2 (95% uncertainty intervals 2492.2 to 2796.1), 42.5 (37.6 to 46.3), and 926.1 (848.8 to 997.7) per 100 000 population, which were 8.7%, 41.7%, and 39.8% lower than in 1990, respectively. In 2019, Denmark (4299.5), Myanmar (3963.7), and Belgium (3927.7) had the highest age standardised point prevalence of COPD. Egypt (62.0%), Georgia (54.9%), and Nicaragua (51.6%) showed the largest increases in age standardised point prevalence across the study period. In 2019, Nepal (182.5) and Japan (7.4) had the highest and lowest age standardised death rates per 100 000, respectively, and Nepal (3318.4) and Barbados (177.7) had the highest and lowest age standardised DALY rates per 100 000, respectively. In men, the global DALY rate of COPD increased up to age 85-89 years and then decreased with advancing age, whereas for women the rate increased up to the oldest age group (≥95 years). Regionally, an overall reversed V shaped association was found between sociodemographic index and the age standardised DALY rate of COPD. Factors contributing most to the DALYs rates for COPD were smoking (46.0%), pollution from ambient particulate matter (20.7%), and occupational exposure to particulate matter, gases, and fumes (15.6%).\n\nConclusions Despite the decreasing burden of COPD, this disease remains a major public health problem, especially in countries with a low sociodemographic index. Preventive programmes should focus on smoking cessation, improving air quality, and reducing occupational exposures to further reduce the burden of COPD.\n\nThe data used for the analyses in the study are publicly available at &lt;https://ghdx.healthdata.org/gbd-results-tool&gt;.&quot;,&quot;publisher&quot;:&quot;British Medical Journal Publishing Group&quot;,&quot;volume&quot;:&quot;378&quot;,&quot;container-title-short&quot;:&quot;&quot;},&quot;isTemporary&quot;:false}]},{&quot;citationID&quot;:&quot;MENDELEY_CITATION_0a6ac564-e773-465a-9226-a51b79ad6894&quot;,&quot;properties&quot;:{&quot;noteIndex&quot;:0},&quot;isEdited&quot;:false,&quot;manualOverride&quot;:{&quot;isManuallyOverridden&quot;:false,&quot;citeprocText&quot;:&quot;[4]&quot;,&quot;manualOverrideText&quot;:&quot;&quot;},&quot;citationTag&quot;:&quot;MENDELEY_CITATION_v3_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&quot;,&quot;citationItems&quot;:[{&quot;id&quot;:&quot;4a66e3c3-580e-3af8-91d2-c4eb6b2c00f5&quot;,&quot;itemData&quot;:{&quot;type&quot;:&quot;article-journal&quot;,&quot;id&quot;:&quot;4a66e3c3-580e-3af8-91d2-c4eb6b2c00f5&quot;,&quot;title&quot;:&quot;Chronic Obstructive Pulmonary Disease and Smoking Status — United States, 2017&quot;,&quot;author&quot;:[{&quot;family&quot;:&quot;Wheaton&quot;,&quot;given&quot;:&quot;Anne G.&quot;,&quot;parse-names&quot;:false,&quot;dropping-particle&quot;:&quot;&quot;,&quot;non-dropping-particle&quot;:&quot;&quot;},{&quot;family&quot;:&quot;Liu&quot;,&quot;given&quot;:&quot;Yong&quot;,&quot;parse-names&quot;:false,&quot;dropping-particle&quot;:&quot;&quot;,&quot;non-dropping-particle&quot;:&quot;&quot;},{&quot;family&quot;:&quot;Croft&quot;,&quot;given&quot;:&quot;Janet B.&quot;,&quot;parse-names&quot;:false,&quot;dropping-particle&quot;:&quot;&quot;,&quot;non-dropping-particle&quot;:&quot;&quot;},{&quot;family&quot;:&quot;VanFrank&quot;,&quot;given&quot;:&quot;Brenna&quot;,&quot;parse-names&quot;:false,&quot;dropping-particle&quot;:&quot;&quot;,&quot;non-dropping-particle&quot;:&quot;&quot;},{&quot;family&quot;:&quot;Croxton&quot;,&quot;given&quot;:&quot;Thomas L.&quot;,&quot;parse-names&quot;:false,&quot;dropping-particle&quot;:&quot;&quot;,&quot;non-dropping-particle&quot;:&quot;&quot;},{&quot;family&quot;:&quot;Punturieri&quot;,&quot;given&quot;:&quot;Antonello&quot;,&quot;parse-names&quot;:false,&quot;dropping-particle&quot;:&quot;&quot;,&quot;non-dropping-particle&quot;:&quot;&quot;},{&quot;family&quot;:&quot;Postow&quot;,&quot;given&quot;:&quot;Lisa&quot;,&quot;parse-names&quot;:false,&quot;dropping-particle&quot;:&quot;&quot;,&quot;non-dropping-particle&quot;:&quot;&quot;},{&quot;family&quot;:&quot;Greenlund&quot;,&quot;given&quot;:&quot;Kurt J.&quot;,&quot;parse-names&quot;:false,&quot;dropping-particle&quot;:&quot;&quot;,&quot;non-dropping-particle&quot;:&quot;&quot;}],&quot;container-title&quot;:&quot;MMWR. Morbidity and Mortality Weekly Report&quot;,&quot;container-title-short&quot;:&quot;MMWR Morb Mortal Wkly Rep&quot;,&quot;accessed&quot;:{&quot;date-parts&quot;:[[2020,12,7]]},&quot;DOI&quot;:&quot;10.15585/mmwr.mm6824a1&quot;,&quot;ISSN&quot;:&quot;0149-2195&quot;,&quot;PMID&quot;:&quot;31220055&quot;,&quot;URL&quot;:&quot;https://www.ncbi.nlm.nih.gov/pmc/articles/PMC6586372/&quot;,&quot;issued&quot;:{&quot;date-parts&quot;:[[2019,6,21]]},&quot;page&quot;:&quot;533-538&quot;,&quot;abstract&quot;:&quot;Cigarette smoking is the leading cause of chronic obstructive pulmonary disease (COPD) in the United States; however, an estimated one fourth of adults with COPD have never smoked (1). CDC analyzed state-specific Behavioral Risk Factor Surveillance System (BRFSS) data from 2017, which indicated that, overall among U.S. adults, 6.2% (age-adjusted) reported having been told by a health care professional that they had COPD. The age-adjusted prevalence of COPD was 15.2% among current cigarette smokers, 7.6% among former smokers, and 2.8% among adults who had never smoked. Higher prevalences of COPD were observed in southeastern and Appalachian states, regardless of smoking status of respondents. Whereas the strong positive correlation between state prevalence of COPD and state prevalence of current smoking was expected among current and former smokers, a similar relationship among adults who had never smoked suggests secondhand smoke exposure as a potential risk factor for COPD. Continued promotion of smoke-free environments might reduce COPD among both those who smoke and those who do not.&quot;,&quot;publisher&quot;:&quot;Centers for Disease Control MMWR Office&quot;,&quot;issue&quot;:&quot;24&quot;,&quot;volume&quot;:&quot;68&quot;},&quot;isTemporary&quot;:false}]},{&quot;citationID&quot;:&quot;MENDELEY_CITATION_cef75318-af4a-4617-974a-17fd98bd5e9f&quot;,&quot;properties&quot;:{&quot;noteIndex&quot;:0},&quot;isEdited&quot;:false,&quot;manualOverride&quot;:{&quot;isManuallyOverridden&quot;:false,&quot;citeprocText&quot;:&quot;[2]&quot;,&quot;manualOverrideText&quot;:&quot;&quot;},&quot;citationTag&quot;:&quot;MENDELEY_CITATION_v3_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&quot;,&quot;citationItems&quot;:[{&quot;id&quot;:&quot;3c00f3b6-9628-3033-9567-78c987be2fcf&quot;,&quot;itemData&quot;:{&quot;type&quot;:&quot;article-journal&quot;,&quot;id&quot;:&quot;3c00f3b6-9628-3033-9567-78c987be2fcf&quot;,&quot;title&quot;:&quot;Morbidity and Mortality Weekly Report Chronic Obstructive Pulmonary Disease Mortality by Industry and Occupation-United States, 2020&quot;,&quot;author&quot;:[{&quot;family&quot;:&quot;Syamlal&quot;,&quot;given&quot;:&quot;Girija&quot;,&quot;parse-names&quot;:false,&quot;dropping-particle&quot;:&quot;&quot;,&quot;non-dropping-particle&quot;:&quot;&quot;},{&quot;family&quot;:&quot;Kurth&quot;,&quot;given&quot;:&quot;Laura M&quot;,&quot;parse-names&quot;:false,&quot;dropping-particle&quot;:&quot;&quot;,&quot;non-dropping-particle&quot;:&quot;&quot;},{&quot;family&quot;:&quot;Dodd&quot;,&quot;given&quot;:&quot;Katelynn E&quot;,&quot;parse-names&quot;:false,&quot;dropping-particle&quot;:&quot;&quot;,&quot;non-dropping-particle&quot;:&quot;&quot;},{&quot;family&quot;:&quot;David&quot;,&quot;given&quot;:&quot;;&quot;,&quot;parse-names&quot;:false,&quot;dropping-particle&quot;:&quot;&quot;,&quot;non-dropping-particle&quot;:&quot;&quot;},{&quot;family&quot;:&quot;Blackley&quot;,&quot;given&quot;:&quot;J&quot;,&quot;parse-names&quot;:false,&quot;dropping-particle&quot;:&quot;&quot;,&quot;non-dropping-particle&quot;:&quot;&quot;},{&quot;family&quot;:&quot;Hall&quot;,&quot;given&quot;:&quot;Noemi B&quot;,&quot;parse-names&quot;:false,&quot;dropping-particle&quot;:&quot;&quot;,&quot;non-dropping-particle&quot;:&quot;&quot;},{&quot;family&quot;:&quot;Mazurek&quot;,&quot;given&quot;:&quot;Jacek M&quot;,&quot;parse-names&quot;:false,&quot;dropping-particle&quot;:&quot;&quot;,&quot;non-dropping-particle&quot;:&quot;&quot;}],&quot;accessed&quot;:{&quot;date-parts&quot;:[[2024,5,4]]},&quot;URL&quot;:&quot;https://www.cdc.gov/nchs/data/dvs/Industry-and-Occupation-&quot;,&quot;container-title-short&quot;:&quot;&quot;},&quot;isTemporary&quot;:false}]},{&quot;citationID&quot;:&quot;MENDELEY_CITATION_88e029d4-d023-46a0-a98a-4649adf1c1c4&quot;,&quot;properties&quot;:{&quot;noteIndex&quot;:0},&quot;isEdited&quot;:false,&quot;manualOverride&quot;:{&quot;isManuallyOverridden&quot;:false,&quot;citeprocText&quot;:&quot;[15]&quot;,&quot;manualOverrideText&quot;:&quot;&quot;},&quot;citationTag&quot;:&quot;MENDELEY_CITATION_v3_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&quot;,&quot;citationItems&quot;:[{&quot;id&quot;:&quot;9ab03fd0-05be-3bb2-88aa-d016125c96d2&quot;,&quot;itemData&quot;:{&quot;type&quot;:&quot;article-journal&quot;,&quot;id&quot;:&quot;9ab03fd0-05be-3bb2-88aa-d016125c96d2&quot;,&quot;title&quot;:&quot;Managing comorbidities in COPD&quot;,&quot;author&quot;:[{&quot;family&quot;:&quot;Hillas&quot;,&quot;given&quot;:&quot;Georgios&quot;,&quot;parse-names&quot;:false,&quot;dropping-particle&quot;:&quot;&quot;,&quot;non-dropping-particle&quot;:&quot;&quot;},{&quot;family&quot;:&quot;Perlikos&quot;,&quot;given&quot;:&quot;Fotis&quot;,&quot;parse-names&quot;:false,&quot;dropping-particle&quot;:&quot;&quot;,&quot;non-dropping-particle&quot;:&quot;&quot;},{&quot;family&quot;:&quot;Tsiligianni&quot;,&quot;given&quot;:&quot;Ioanna&quot;,&quot;parse-names&quot;:false,&quot;dropping-particle&quot;:&quot;&quot;,&quot;non-dropping-particle&quot;:&quot;&quot;},{&quot;family&quot;:&quot;Tzanakis&quot;,&quot;given&quot;:&quot;Nikolaos&quot;,&quot;parse-names&quot;:false,&quot;dropping-particle&quot;:&quot;&quot;,&quot;non-dropping-particle&quot;:&quot;&quot;}],&quot;container-title&quot;:&quot;International Journal of COPD&quot;,&quot;DOI&quot;:&quot;10.2147/COPD.S54473&quot;,&quot;ISSN&quot;:&quot;11782005&quot;,&quot;PMID&quot;:&quot;25609943&quot;,&quot;issued&quot;:{&quot;date-parts&quot;:[[2015]]},&quot;page&quot;:&quot;95-109&quot;,&quot;abstract&quot;:&quot;Chronic obstructive pulmonary disease (COPD) is a leading cause of morbidity and mortality worldwide. Age and smoking are common risk factors for COPD and other illnesses, often leading COPD patients to demonstrate multiple coexisting comorbidities. COPD exacerbations and comorbidities contribute to the overall severity in individual patients. Clinical trials investigating the treatment of COPD routinely exclude patients with multiple comorbidities or advanced age. Clinical practice guidelines for a specific disease do not usually address comorbidities in their recommendations. However, the management and the medical intervention in COPD patients with comorbidities need a holistic approach that is not clearly established worldwide. This holistic approach should include the specific burden of each comorbidity in the COPD severity classification scale. Further, the pharmacological and nonpharmacological management should also include optimal interventions and risk factor modifications simultaneously for all diseases. All health care specialists in COPD management need to work together with professionals specialized in the management of the other major chronic diseases in order to provide a multidisciplinary approach to COPD patients with multiple diseases. In this review, we focus on the major comorbidities that affect COPD patients. We present an overview of the problems faced, the reasons and risk factors for the most commonly encountered comorbidities, and the burden on health care costs. We also provide a rationale for approaching the therapeutic options of the COPD patient afflicted by comorbidity.&quot;,&quot;volume&quot;:&quot;10&quot;,&quot;container-title-short&quot;:&quot;&quot;},&quot;isTemporary&quot;:false}]},{&quot;citationID&quot;:&quot;MENDELEY_CITATION_61ab3e19-6c1f-46ef-8342-a9a7d905347c&quot;,&quot;properties&quot;:{&quot;noteIndex&quot;:0},&quot;isEdited&quot;:false,&quot;manualOverride&quot;:{&quot;isManuallyOverridden&quot;:false,&quot;citeprocText&quot;:&quot;[47]&quot;,&quot;manualOverrideText&quot;:&quot;&quot;},&quot;citationTag&quot;:&quot;MENDELEY_CITATION_v3_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&quot;,&quot;citationItems&quot;:[{&quot;id&quot;:&quot;7f3bdcc9-1eb8-3b7c-a136-f37089604535&quot;,&quot;itemData&quot;:{&quot;type&quot;:&quot;article-journal&quot;,&quot;id&quot;:&quot;7f3bdcc9-1eb8-3b7c-a136-f37089604535&quot;,&quot;title&quot;:&quot;The clinical and economic burden of chronic obstructive pulmonary disease in the USA&quot;,&quot;author&quot;:[{&quot;family&quot;:&quot;Guarascio&quot;,&quot;given&quot;:&quot;Anthony J.&quot;,&quot;parse-names&quot;:false,&quot;dropping-particle&quot;:&quot;&quot;,&quot;non-dropping-particle&quot;:&quot;&quot;},{&quot;family&quot;:&quot;Ray&quot;,&quot;given&quot;:&quot;Shauntá M.&quot;,&quot;parse-names&quot;:false,&quot;dropping-particle&quot;:&quot;&quot;,&quot;non-dropping-particle&quot;:&quot;&quot;},{&quot;family&quot;:&quot;Finch&quot;,&quot;given&quot;:&quot;Christopher K.&quot;,&quot;parse-names&quot;:false,&quot;dropping-particle&quot;:&quot;&quot;,&quot;non-dropping-particle&quot;:&quot;&quot;},{&quot;family&quot;:&quot;Self&quot;,&quot;given&quot;:&quot;Timothy H.&quot;,&quot;parse-names&quot;:false,&quot;dropping-particle&quot;:&quot;&quot;,&quot;non-dropping-particle&quot;:&quot;&quot;}],&quot;container-title&quot;:&quot;ClinicoEconomics and Outcomes Research: CEOR&quot;,&quot;container-title-short&quot;:&quot;Clinicoecon Outcomes Res&quot;,&quot;accessed&quot;:{&quot;date-parts&quot;:[[2024,9,1]]},&quot;DOI&quot;:&quot;10.2147/CEOR.S34321&quot;,&quot;ISSN&quot;:&quot;11786981&quot;,&quot;PMID&quot;:&quot;23818799&quot;,&quot;URL&quot;:&quot;/pmc/articles/PMC3694800/&quot;,&quot;issued&quot;:{&quot;date-parts&quot;:[[2013]]},&quot;page&quot;:&quot;235&quot;,&quot;abstract&quot;:&quot;Chronic obstructive pulmonary disease (COPD) is the third most common cause of death in the USA. In 2010, the cost of COPD in the USA was projected to be approximately US$50 billion, which includes $20 billion in indirect costs and $30 billion in direct health care expenditures. These costs can be expected to continue to rise with this progressive disease. Costs increase with increasing severity of disease, and hospital stays account for the majority of these costs. Patients are diagnosed with COPD following a multi factorial assessment that includes spirometry, clinical presentation, symptomatology, and risk factors. Smoking cessation interventions are the most influential factor in COPD management. The primary goal of chronic COPD management is stabilization of chronic disease and prevention of acute exacerbations. Bronchodilators are the mainstay of COPD therapy. Patients with few symptoms and low exacerbation risk should be treated with a short-acting bronchodilator as needed for breathlessness. Progression of symptoms, as well as possible decline in forced expiratory volume in the first second of expiration (FEV1), warrant the use of long-acting bronchodilators. For patients with frequent exacerbations with or without consistent symptoms, inhaled corticosteroids should be considered in addition to a long-acting beta2-agonist (LABA) or long-acting muscarinic antagonist (LAMA) and may even consist of \&quot;triple therapy\&quot; with all three agents with more severe disease. Phosphodiesterase-4 inhibitors may be an option in patients with frequent exacerbations and symptoms of chronic bronchitis. In addition to a variety of novel ultra-LABAs, LAMAs and combination bronchodilator and inhaled corticosteroid (ICS) therapies, other bronchodilators with a variety of mechanisms are also being considered, to expand therapeutic options for the treatment of COPD. With more than 50 new medications in the pipeline for the treatment of COPD, optimal management will continue to evolve and grow more complex as benefits of therapy are balanced with the limitations and needs of each patient. © 2013 Guarascio et al, publisher and licensee Dove Medical Press Ltd.&quot;,&quot;publisher&quot;:&quot;Dove Press&quot;,&quot;issue&quot;:&quot;1&quot;,&quot;volume&quot;:&quot;5&quot;},&quot;isTemporary&quot;:false}]},{&quot;citationID&quot;:&quot;MENDELEY_CITATION_426476f1-fe01-4c1d-b0fa-ec549bf9c840&quot;,&quot;properties&quot;:{&quot;noteIndex&quot;:0},&quot;isEdited&quot;:false,&quot;manualOverride&quot;:{&quot;isManuallyOverridden&quot;:false,&quot;citeprocText&quot;:&quot;[7]&quot;,&quot;manualOverrideText&quot;:&quot;&quot;},&quot;citationTag&quot;:&quot;MENDELEY_CITATION_v3_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&quot;,&quot;citationItems&quot;:[{&quot;id&quot;:&quot;c5d4e97f-8a72-355d-9174-6adce33d6f36&quot;,&quot;itemData&quot;:{&quot;type&quot;:&quot;article-journal&quot;,&quot;id&quot;:&quot;c5d4e97f-8a72-355d-9174-6adce33d6f36&quot;,&quot;title&quot;:&quot;The etiologic origins for chronic obstructive pulmonary disease&quot;,&quot;author&quot;:[{&quot;family&quot;:&quot;Huang&quot;,&quot;given&quot;:&quot;Xinwei&quot;,&quot;parse-names&quot;:false,&quot;dropping-particle&quot;:&quot;&quot;,&quot;non-dropping-particle&quot;:&quot;&quot;},{&quot;family&quot;:&quot;Mu&quot;,&quot;given&quot;:&quot;Xi&quot;,&quot;parse-names&quot;:false,&quot;dropping-particle&quot;:&quot;&quot;,&quot;non-dropping-particle&quot;:&quot;&quot;},{&quot;family&quot;:&quot;Deng&quot;,&quot;given&quot;:&quot;Li&quot;,&quot;parse-names&quot;:false,&quot;dropping-particle&quot;:&quot;&quot;,&quot;non-dropping-particle&quot;:&quot;&quot;},{&quot;family&quot;:&quot;Fu&quot;,&quot;given&quot;:&quot;Aili&quot;,&quot;parse-names&quot;:false,&quot;dropping-particle&quot;:&quot;&quot;,&quot;non-dropping-particle&quot;:&quot;&quot;},{&quot;family&quot;:&quot;Pu&quot;,&quot;given&quot;:&quot;Endong&quot;,&quot;parse-names&quot;:false,&quot;dropping-particle&quot;:&quot;&quot;,&quot;non-dropping-particle&quot;:&quot;&quot;},{&quot;family&quot;:&quot;Tang&quot;,&quot;given&quot;:&quot;Tao&quot;,&quot;parse-names&quot;:false,&quot;dropping-particle&quot;:&quot;&quot;,&quot;non-dropping-particle&quot;:&quot;&quot;},{&quot;family&quot;:&quot;Kong&quot;,&quot;given&quot;:&quot;Xiangyang&quot;,&quot;parse-names&quot;:false,&quot;dropping-particle&quot;:&quot;&quot;,&quot;non-dropping-particle&quot;:&quot;&quot;}],&quot;accessed&quot;:{&quot;date-parts&quot;:[[2024,7,4]]},&quot;DOI&quot;:&quot;10.2147/COPD.S203215&quot;,&quot;ISBN&quot;:&quot;3517826707&quot;,&quot;URL&quot;:&quot;http://doi.org/10.2147/COPD.S203215&quot;,&quot;issued&quot;:{&quot;date-parts&quot;:[[2019]]},&quot;abstract&quot;:&quot;COPD, characterized by long-term poorly irreversible airway limitation and persistent respiratory symptoms, has resulted in enormous challenges to human health worldwide, with increasing rates of prevalence, death, and disability. Although its origin was thought to be in the interactions of genetic with environmental factors, the effects of environmental factors on the disease during different life stages remain little known. Without clear mechanisms and radical cure for it, early screening and prevention of COPD seem to be important. In this review, we will discuss the etiologic origins for poor lung function and COPD caused by specific adverse effects during corresponding life stages, as well as try to find new insights and potential prevention strategies for this disease.&quot;,&quot;container-title-short&quot;:&quot;&quot;},&quot;isTemporary&quot;:false}]},{&quot;citationID&quot;:&quot;MENDELEY_CITATION_0e7cac9b-30f2-4e16-98b5-1f00095d8db7&quot;,&quot;properties&quot;:{&quot;noteIndex&quot;:0},&quot;isEdited&quot;:false,&quot;manualOverride&quot;:{&quot;isManuallyOverridden&quot;:false,&quot;citeprocText&quot;:&quot;[70,124]&quot;,&quot;manualOverrideText&quot;:&quot;&quot;},&quot;citationTag&quot;:&quot;MENDELEY_CITATION_v3_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&quot;,&quot;citationItems&quot;:[{&quot;id&quot;:&quot;eb99642b-8484-390a-9b48-beeeda13f8fa&quot;,&quot;itemData&quot;:{&quot;type&quot;:&quot;article-journal&quot;,&quot;id&quot;:&quot;eb99642b-8484-390a-9b48-beeeda13f8fa&quot;,&quot;title&quot;:&quot;Urban-Rural County and State Differences in Chronic Obstructive Pulmonary Disease — United States, 2015&quot;,&quot;author&quot;:[{&quot;family&quot;:&quot;Croft&quot;,&quot;given&quot;:&quot;Janet B.&quot;,&quot;parse-names&quot;:false,&quot;dropping-particle&quot;:&quot;&quot;,&quot;non-dropping-particle&quot;:&quot;&quot;},{&quot;family&quot;:&quot;Wheaton&quot;,&quot;given&quot;:&quot;Anne G.&quot;,&quot;parse-names&quot;:false,&quot;dropping-particle&quot;:&quot;&quot;,&quot;non-dropping-particle&quot;:&quot;&quot;},{&quot;family&quot;:&quot;Liu&quot;,&quot;given&quot;:&quot;Yong&quot;,&quot;parse-names&quot;:false,&quot;dropping-particle&quot;:&quot;&quot;,&quot;non-dropping-particle&quot;:&quot;&quot;},{&quot;family&quot;:&quot;Xu&quot;,&quot;given&quot;:&quot;Fang&quot;,&quot;parse-names&quot;:false,&quot;dropping-particle&quot;:&quot;&quot;,&quot;non-dropping-particle&quot;:&quot;&quot;},{&quot;family&quot;:&quot;Lu&quot;,&quot;given&quot;:&quot;Hua&quot;,&quot;parse-names&quot;:false,&quot;dropping-particle&quot;:&quot;&quot;,&quot;non-dropping-particle&quot;:&quot;&quot;},{&quot;family&quot;:&quot;Matthews&quot;,&quot;given&quot;:&quot;Kevin A.&quot;,&quot;parse-names&quot;:false,&quot;dropping-particle&quot;:&quot;&quot;,&quot;non-dropping-particle&quot;:&quot;&quot;},{&quot;family&quot;:&quot;Cunningham&quot;,&quot;given&quot;:&quot;Timothy J.&quot;,&quot;parse-names&quot;:false,&quot;dropping-particle&quot;:&quot;&quot;,&quot;non-dropping-particle&quot;:&quot;&quot;},{&quot;family&quot;:&quot;Wang&quot;,&quot;given&quot;:&quot;Yan&quot;,&quot;parse-names&quot;:false,&quot;dropping-particle&quot;:&quot;&quot;,&quot;non-dropping-particle&quot;:&quot;&quot;},{&quot;family&quot;:&quot;Holt&quot;,&quot;given&quot;:&quot;James B.&quot;,&quot;parse-names&quot;:false,&quot;dropping-particle&quot;:&quot;&quot;,&quot;non-dropping-particle&quot;:&quot;&quot;}],&quot;container-title&quot;:&quot;Morbidity and Mortality Weekly Report&quot;,&quot;accessed&quot;:{&quot;date-parts&quot;:[[2022,5,8]]},&quot;DOI&quot;:&quot;10.15585/MMWR.MM6707A1&quot;,&quot;ISSN&quot;:&quot;0149-2195&quot;,&quot;PMID&quot;:&quot;29470455&quot;,&quot;URL&quot;:&quot;/pmc/articles/PMC5858043/&quot;,&quot;issued&quot;:{&quot;date-parts&quot;:[[2018,2,23]]},&quot;page&quot;:&quot;205&quot;,&quot;abstract&quot;:&quot;© 2018, Department of Health and Human Services. All rights reserved. What is already known about this topic? Chronic obstructive pulmonary disease (COPD) is a leading cause of death and has been diagnosed in 15.5 million adults in 2015 in the United States. Risk factors include tobacco exposure, occupational and environmental exposures, respiratory infections, and genetics. What is added by this report? In 2015, rural U.S. residents had higher age-adjusted prevalence of COPD, of Medicare hospitalizations, and deaths caused by COPD than did residents living in micropolitan or metropolitan areas. Several states with the highest percentages of rural populations also had the highest estimates for all three measures. What are the implications for public health practice? Additional efforts are needed to prevent risk factors and overcome barriers to early diagnosis, and the appropriate treatment and management of COPD. Improving access to such health care might improve quality of life and reduce hospital readmissions among COPD patients and reduce COPD mortality.&quot;,&quot;publisher&quot;:&quot;Centers for Disease Control and Prevention&quot;,&quot;issue&quot;:&quot;7&quot;,&quot;volume&quot;:&quot;67&quot;,&quot;container-title-short&quot;:&quot;&quot;},&quot;isTemporary&quot;:false},{&quot;id&quot;:&quot;efaeec36-337f-3461-8f26-febe4bbd2174&quot;,&quot;itemData&quot;:{&quot;type&quot;:&quot;article-journal&quot;,&quot;id&quot;:&quot;efaeec36-337f-3461-8f26-febe4bbd2174&quot;,&quot;title&quot;:&quot;Rural residence and poverty are independent risk factors for chronic obstructive pulmonary disease in the United States&quot;,&quot;author&quot;:[{&quot;family&quot;:&quot;Raju&quot;,&quot;given&quot;:&quot;Sarath&quot;,&quot;parse-names&quot;:false,&quot;dropping-particle&quot;:&quot;&quot;,&quot;non-dropping-particle&quot;:&quot;&quot;},{&quot;family&quot;:&quot;Keet&quot;,&quot;given&quot;:&quot;Corinne A.&quot;,&quot;parse-names&quot;:false,&quot;dropping-particle&quot;:&quot;&quot;,&quot;non-dropping-particle&quot;:&quot;&quot;},{&quot;family&quot;:&quot;Paulin&quot;,&quot;given&quot;:&quot;Laura M.&quot;,&quot;parse-names&quot;:false,&quot;dropping-particle&quot;:&quot;&quot;,&quot;non-dropping-particle&quot;:&quot;&quot;},{&quot;family&quot;:&quot;Matsui&quot;,&quot;given&quot;:&quot;Elizabeth C.&quot;,&quot;parse-names&quot;:false,&quot;dropping-particle&quot;:&quot;&quot;,&quot;non-dropping-particle&quot;:&quot;&quot;},{&quot;family&quot;:&quot;Peng&quot;,&quot;given&quot;:&quot;Roger D.&quot;,&quot;parse-names&quot;:false,&quot;dropping-particle&quot;:&quot;&quot;,&quot;non-dropping-particle&quot;:&quot;&quot;},{&quot;family&quot;:&quot;Hansel&quot;,&quot;given&quot;:&quot;Nadia N.&quot;,&quot;parse-names&quot;:false,&quot;dropping-particle&quot;:&quot;&quot;,&quot;non-dropping-particle&quot;:&quot;&quot;},{&quot;family&quot;:&quot;McCormack&quot;,&quot;given&quot;:&quot;Meredith C.&quot;,&quot;parse-names&quot;:false,&quot;dropping-particle&quot;:&quot;&quot;,&quot;non-dropping-particle&quot;:&quot;&quot;}],&quot;container-title&quot;:&quot;American Journal of Respiratory and Critical Care Medicine&quot;,&quot;container-title-short&quot;:&quot;Am J Respir Crit Care Med&quot;,&quot;accessed&quot;:{&quot;date-parts&quot;:[[2022,5,8]]},&quot;DOI&quot;:&quot;10.1164/RCCM.201807-1374OC/SUPPL_FILE/DISCLOSURES.PDF&quot;,&quot;ISSN&quot;:&quot;15354970&quot;,&quot;PMID&quot;:&quot;30384774&quot;,&quot;URL&quot;:&quot;/pmc/articles/PMC6467317/&quot;,&quot;issued&quot;:{&quot;date-parts&quot;:[[2019,4,15]]},&quot;page&quot;:&quot;961-969&quot;,&quot;abstract&quot;:&quot;Rationale: In developing countries, poor and rural areas have a high burden of chronic obstructive pulmonary disease (COPD), and environmental pollutants and indoor burning of biomass have been implicated as potential causal exposures. Less is known about the prevalence of COPD in the United States with respect to urban-rural distribution, poverty, and factors that uniquely contribute to COPD among never-smokers. Objectives: To understand the impact of urban-rural status, poverty, and other community factors on COPD prevalence nationwide and among never-smokers. Methods: We studied a nationally representative sample of adults in the National Health Interview Survey 2012-2015, with data linkage between neighborhood data from the U.S. Census's American Community Survey and the National Center for Health Statistics Urban-Rural Classification Scheme. The main outcome was COPD prevalence. Measurements and Main Results: The prevalence of COPD in poor, rural areas was almost twice that in the overall population (15.4% vs. 8.4%). In adjusted models, rural residence (odds ratio [OR], 1.23; P &lt; 0.001) and census-level poverty (OR, 1.12; P = 0.012) were both associated with COPD prevalence, as were indicators of household wealth. Among never-smokers, rural residence was also associated with COPD (OR, 1.34; P &lt; 0.001), as was neighborhood use of coal for heating (OR, 1.09; P &lt; 0.001). Conclusions: In a nationally representative sample, rural residence and poverty were risk factors for COPD, even among never-smokers. The use of coal for heating was also a risk factor for COPD among never-smokers. Future disparities research to elucidate contributors to COPD development in poor and rural areas, including assessments of heating sources and environmental pollutants, is needed.&quot;,&quot;publisher&quot;:&quot;American Thoracic Society&quot;,&quot;issue&quot;:&quot;8&quot;,&quot;volume&quot;:&quot;199&quot;},&quot;isTemporary&quot;:false}]},{&quot;citationID&quot;:&quot;MENDELEY_CITATION_706d7085-08ea-4ef6-bdf9-6ddd213da668&quot;,&quot;properties&quot;:{&quot;noteIndex&quot;:0},&quot;isEdited&quot;:false,&quot;manualOverride&quot;:{&quot;isManuallyOverridden&quot;:false,&quot;citeprocText&quot;:&quot;[7,124]&quot;,&quot;manualOverrideText&quot;:&quot;&quot;},&quot;citationTag&quot;:&quot;MENDELEY_CITATION_v3_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&quot;,&quot;citationItems&quot;:[{&quot;id&quot;:&quot;efaeec36-337f-3461-8f26-febe4bbd2174&quot;,&quot;itemData&quot;:{&quot;type&quot;:&quot;article-journal&quot;,&quot;id&quot;:&quot;efaeec36-337f-3461-8f26-febe4bbd2174&quot;,&quot;title&quot;:&quot;Rural residence and poverty are independent risk factors for chronic obstructive pulmonary disease in the United States&quot;,&quot;author&quot;:[{&quot;family&quot;:&quot;Raju&quot;,&quot;given&quot;:&quot;Sarath&quot;,&quot;parse-names&quot;:false,&quot;dropping-particle&quot;:&quot;&quot;,&quot;non-dropping-particle&quot;:&quot;&quot;},{&quot;family&quot;:&quot;Keet&quot;,&quot;given&quot;:&quot;Corinne A.&quot;,&quot;parse-names&quot;:false,&quot;dropping-particle&quot;:&quot;&quot;,&quot;non-dropping-particle&quot;:&quot;&quot;},{&quot;family&quot;:&quot;Paulin&quot;,&quot;given&quot;:&quot;Laura M.&quot;,&quot;parse-names&quot;:false,&quot;dropping-particle&quot;:&quot;&quot;,&quot;non-dropping-particle&quot;:&quot;&quot;},{&quot;family&quot;:&quot;Matsui&quot;,&quot;given&quot;:&quot;Elizabeth C.&quot;,&quot;parse-names&quot;:false,&quot;dropping-particle&quot;:&quot;&quot;,&quot;non-dropping-particle&quot;:&quot;&quot;},{&quot;family&quot;:&quot;Peng&quot;,&quot;given&quot;:&quot;Roger D.&quot;,&quot;parse-names&quot;:false,&quot;dropping-particle&quot;:&quot;&quot;,&quot;non-dropping-particle&quot;:&quot;&quot;},{&quot;family&quot;:&quot;Hansel&quot;,&quot;given&quot;:&quot;Nadia N.&quot;,&quot;parse-names&quot;:false,&quot;dropping-particle&quot;:&quot;&quot;,&quot;non-dropping-particle&quot;:&quot;&quot;},{&quot;family&quot;:&quot;McCormack&quot;,&quot;given&quot;:&quot;Meredith C.&quot;,&quot;parse-names&quot;:false,&quot;dropping-particle&quot;:&quot;&quot;,&quot;non-dropping-particle&quot;:&quot;&quot;}],&quot;container-title&quot;:&quot;American Journal of Respiratory and Critical Care Medicine&quot;,&quot;container-title-short&quot;:&quot;Am J Respir Crit Care Med&quot;,&quot;accessed&quot;:{&quot;date-parts&quot;:[[2022,5,8]]},&quot;DOI&quot;:&quot;10.1164/RCCM.201807-1374OC/SUPPL_FILE/DISCLOSURES.PDF&quot;,&quot;ISSN&quot;:&quot;15354970&quot;,&quot;PMID&quot;:&quot;30384774&quot;,&quot;URL&quot;:&quot;/pmc/articles/PMC6467317/&quot;,&quot;issued&quot;:{&quot;date-parts&quot;:[[2019,4,15]]},&quot;page&quot;:&quot;961-969&quot;,&quot;abstract&quot;:&quot;Rationale: In developing countries, poor and rural areas have a high burden of chronic obstructive pulmonary disease (COPD), and environmental pollutants and indoor burning of biomass have been implicated as potential causal exposures. Less is known about the prevalence of COPD in the United States with respect to urban-rural distribution, poverty, and factors that uniquely contribute to COPD among never-smokers. Objectives: To understand the impact of urban-rural status, poverty, and other community factors on COPD prevalence nationwide and among never-smokers. Methods: We studied a nationally representative sample of adults in the National Health Interview Survey 2012-2015, with data linkage between neighborhood data from the U.S. Census's American Community Survey and the National Center for Health Statistics Urban-Rural Classification Scheme. The main outcome was COPD prevalence. Measurements and Main Results: The prevalence of COPD in poor, rural areas was almost twice that in the overall population (15.4% vs. 8.4%). In adjusted models, rural residence (odds ratio [OR], 1.23; P &lt; 0.001) and census-level poverty (OR, 1.12; P = 0.012) were both associated with COPD prevalence, as were indicators of household wealth. Among never-smokers, rural residence was also associated with COPD (OR, 1.34; P &lt; 0.001), as was neighborhood use of coal for heating (OR, 1.09; P &lt; 0.001). Conclusions: In a nationally representative sample, rural residence and poverty were risk factors for COPD, even among never-smokers. The use of coal for heating was also a risk factor for COPD among never-smokers. Future disparities research to elucidate contributors to COPD development in poor and rural areas, including assessments of heating sources and environmental pollutants, is needed.&quot;,&quot;publisher&quot;:&quot;American Thoracic Society&quot;,&quot;issue&quot;:&quot;8&quot;,&quot;volume&quot;:&quot;199&quot;},&quot;isTemporary&quot;:false},{&quot;id&quot;:&quot;c5d4e97f-8a72-355d-9174-6adce33d6f36&quot;,&quot;itemData&quot;:{&quot;type&quot;:&quot;article-journal&quot;,&quot;id&quot;:&quot;c5d4e97f-8a72-355d-9174-6adce33d6f36&quot;,&quot;title&quot;:&quot;The etiologic origins for chronic obstructive pulmonary disease&quot;,&quot;author&quot;:[{&quot;family&quot;:&quot;Huang&quot;,&quot;given&quot;:&quot;Xinwei&quot;,&quot;parse-names&quot;:false,&quot;dropping-particle&quot;:&quot;&quot;,&quot;non-dropping-particle&quot;:&quot;&quot;},{&quot;family&quot;:&quot;Mu&quot;,&quot;given&quot;:&quot;Xi&quot;,&quot;parse-names&quot;:false,&quot;dropping-particle&quot;:&quot;&quot;,&quot;non-dropping-particle&quot;:&quot;&quot;},{&quot;family&quot;:&quot;Deng&quot;,&quot;given&quot;:&quot;Li&quot;,&quot;parse-names&quot;:false,&quot;dropping-particle&quot;:&quot;&quot;,&quot;non-dropping-particle&quot;:&quot;&quot;},{&quot;family&quot;:&quot;Fu&quot;,&quot;given&quot;:&quot;Aili&quot;,&quot;parse-names&quot;:false,&quot;dropping-particle&quot;:&quot;&quot;,&quot;non-dropping-particle&quot;:&quot;&quot;},{&quot;family&quot;:&quot;Pu&quot;,&quot;given&quot;:&quot;Endong&quot;,&quot;parse-names&quot;:false,&quot;dropping-particle&quot;:&quot;&quot;,&quot;non-dropping-particle&quot;:&quot;&quot;},{&quot;family&quot;:&quot;Tang&quot;,&quot;given&quot;:&quot;Tao&quot;,&quot;parse-names&quot;:false,&quot;dropping-particle&quot;:&quot;&quot;,&quot;non-dropping-particle&quot;:&quot;&quot;},{&quot;family&quot;:&quot;Kong&quot;,&quot;given&quot;:&quot;Xiangyang&quot;,&quot;parse-names&quot;:false,&quot;dropping-particle&quot;:&quot;&quot;,&quot;non-dropping-particle&quot;:&quot;&quot;}],&quot;accessed&quot;:{&quot;date-parts&quot;:[[2024,7,4]]},&quot;DOI&quot;:&quot;10.2147/COPD.S203215&quot;,&quot;ISBN&quot;:&quot;3517826707&quot;,&quot;URL&quot;:&quot;http://doi.org/10.2147/COPD.S203215&quot;,&quot;issued&quot;:{&quot;date-parts&quot;:[[2019]]},&quot;abstract&quot;:&quot;COPD, characterized by long-term poorly irreversible airway limitation and persistent respiratory symptoms, has resulted in enormous challenges to human health worldwide, with increasing rates of prevalence, death, and disability. Although its origin was thought to be in the interactions of genetic with environmental factors, the effects of environmental factors on the disease during different life stages remain little known. Without clear mechanisms and radical cure for it, early screening and prevention of COPD seem to be important. In this review, we will discuss the etiologic origins for poor lung function and COPD caused by specific adverse effects during corresponding life stages, as well as try to find new insights and potential prevention strategies for this disease.&quot;,&quot;container-title-short&quot;:&quot;&quot;},&quot;isTemporary&quot;:false}]},{&quot;citationID&quot;:&quot;MENDELEY_CITATION_83547a8d-07ef-4fe5-8c0e-0e1c47509e93&quot;,&quot;properties&quot;:{&quot;noteIndex&quot;:0},&quot;isEdited&quot;:false,&quot;manualOverride&quot;:{&quot;isManuallyOverridden&quot;:false,&quot;citeprocText&quot;:&quot;[7]&quot;,&quot;manualOverrideText&quot;:&quot;&quot;},&quot;citationTag&quot;:&quot;MENDELEY_CITATION_v3_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&quot;,&quot;citationItems&quot;:[{&quot;id&quot;:&quot;c5d4e97f-8a72-355d-9174-6adce33d6f36&quot;,&quot;itemData&quot;:{&quot;type&quot;:&quot;article-journal&quot;,&quot;id&quot;:&quot;c5d4e97f-8a72-355d-9174-6adce33d6f36&quot;,&quot;title&quot;:&quot;The etiologic origins for chronic obstructive pulmonary disease&quot;,&quot;author&quot;:[{&quot;family&quot;:&quot;Huang&quot;,&quot;given&quot;:&quot;Xinwei&quot;,&quot;parse-names&quot;:false,&quot;dropping-particle&quot;:&quot;&quot;,&quot;non-dropping-particle&quot;:&quot;&quot;},{&quot;family&quot;:&quot;Mu&quot;,&quot;given&quot;:&quot;Xi&quot;,&quot;parse-names&quot;:false,&quot;dropping-particle&quot;:&quot;&quot;,&quot;non-dropping-particle&quot;:&quot;&quot;},{&quot;family&quot;:&quot;Deng&quot;,&quot;given&quot;:&quot;Li&quot;,&quot;parse-names&quot;:false,&quot;dropping-particle&quot;:&quot;&quot;,&quot;non-dropping-particle&quot;:&quot;&quot;},{&quot;family&quot;:&quot;Fu&quot;,&quot;given&quot;:&quot;Aili&quot;,&quot;parse-names&quot;:false,&quot;dropping-particle&quot;:&quot;&quot;,&quot;non-dropping-particle&quot;:&quot;&quot;},{&quot;family&quot;:&quot;Pu&quot;,&quot;given&quot;:&quot;Endong&quot;,&quot;parse-names&quot;:false,&quot;dropping-particle&quot;:&quot;&quot;,&quot;non-dropping-particle&quot;:&quot;&quot;},{&quot;family&quot;:&quot;Tang&quot;,&quot;given&quot;:&quot;Tao&quot;,&quot;parse-names&quot;:false,&quot;dropping-particle&quot;:&quot;&quot;,&quot;non-dropping-particle&quot;:&quot;&quot;},{&quot;family&quot;:&quot;Kong&quot;,&quot;given&quot;:&quot;Xiangyang&quot;,&quot;parse-names&quot;:false,&quot;dropping-particle&quot;:&quot;&quot;,&quot;non-dropping-particle&quot;:&quot;&quot;}],&quot;accessed&quot;:{&quot;date-parts&quot;:[[2024,7,4]]},&quot;DOI&quot;:&quot;10.2147/COPD.S203215&quot;,&quot;ISBN&quot;:&quot;3517826707&quot;,&quot;URL&quot;:&quot;http://doi.org/10.2147/COPD.S203215&quot;,&quot;issued&quot;:{&quot;date-parts&quot;:[[2019]]},&quot;abstract&quot;:&quot;COPD, characterized by long-term poorly irreversible airway limitation and persistent respiratory symptoms, has resulted in enormous challenges to human health worldwide, with increasing rates of prevalence, death, and disability. Although its origin was thought to be in the interactions of genetic with environmental factors, the effects of environmental factors on the disease during different life stages remain little known. Without clear mechanisms and radical cure for it, early screening and prevention of COPD seem to be important. In this review, we will discuss the etiologic origins for poor lung function and COPD caused by specific adverse effects during corresponding life stages, as well as try to find new insights and potential prevention strategies for this disease.&quot;,&quot;container-title-short&quot;:&quot;&quot;},&quot;isTemporary&quot;:false}]},{&quot;citationID&quot;:&quot;MENDELEY_CITATION_6fa75fe5-ffbe-42df-a192-e0d5628069de&quot;,&quot;properties&quot;:{&quot;noteIndex&quot;:0},&quot;isEdited&quot;:false,&quot;manualOverride&quot;:{&quot;isManuallyOverridden&quot;:false,&quot;citeprocText&quot;:&quot;[70]&quot;,&quot;manualOverrideText&quot;:&quot;&quot;},&quot;citationTag&quot;:&quot;MENDELEY_CITATION_v3_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&quot;,&quot;citationItems&quot;:[{&quot;id&quot;:&quot;eb99642b-8484-390a-9b48-beeeda13f8fa&quot;,&quot;itemData&quot;:{&quot;type&quot;:&quot;article-journal&quot;,&quot;id&quot;:&quot;eb99642b-8484-390a-9b48-beeeda13f8fa&quot;,&quot;title&quot;:&quot;Urban-Rural County and State Differences in Chronic Obstructive Pulmonary Disease — United States, 2015&quot;,&quot;author&quot;:[{&quot;family&quot;:&quot;Croft&quot;,&quot;given&quot;:&quot;Janet B.&quot;,&quot;parse-names&quot;:false,&quot;dropping-particle&quot;:&quot;&quot;,&quot;non-dropping-particle&quot;:&quot;&quot;},{&quot;family&quot;:&quot;Wheaton&quot;,&quot;given&quot;:&quot;Anne G.&quot;,&quot;parse-names&quot;:false,&quot;dropping-particle&quot;:&quot;&quot;,&quot;non-dropping-particle&quot;:&quot;&quot;},{&quot;family&quot;:&quot;Liu&quot;,&quot;given&quot;:&quot;Yong&quot;,&quot;parse-names&quot;:false,&quot;dropping-particle&quot;:&quot;&quot;,&quot;non-dropping-particle&quot;:&quot;&quot;},{&quot;family&quot;:&quot;Xu&quot;,&quot;given&quot;:&quot;Fang&quot;,&quot;parse-names&quot;:false,&quot;dropping-particle&quot;:&quot;&quot;,&quot;non-dropping-particle&quot;:&quot;&quot;},{&quot;family&quot;:&quot;Lu&quot;,&quot;given&quot;:&quot;Hua&quot;,&quot;parse-names&quot;:false,&quot;dropping-particle&quot;:&quot;&quot;,&quot;non-dropping-particle&quot;:&quot;&quot;},{&quot;family&quot;:&quot;Matthews&quot;,&quot;given&quot;:&quot;Kevin A.&quot;,&quot;parse-names&quot;:false,&quot;dropping-particle&quot;:&quot;&quot;,&quot;non-dropping-particle&quot;:&quot;&quot;},{&quot;family&quot;:&quot;Cunningham&quot;,&quot;given&quot;:&quot;Timothy J.&quot;,&quot;parse-names&quot;:false,&quot;dropping-particle&quot;:&quot;&quot;,&quot;non-dropping-particle&quot;:&quot;&quot;},{&quot;family&quot;:&quot;Wang&quot;,&quot;given&quot;:&quot;Yan&quot;,&quot;parse-names&quot;:false,&quot;dropping-particle&quot;:&quot;&quot;,&quot;non-dropping-particle&quot;:&quot;&quot;},{&quot;family&quot;:&quot;Holt&quot;,&quot;given&quot;:&quot;James B.&quot;,&quot;parse-names&quot;:false,&quot;dropping-particle&quot;:&quot;&quot;,&quot;non-dropping-particle&quot;:&quot;&quot;}],&quot;container-title&quot;:&quot;Morbidity and Mortality Weekly Report&quot;,&quot;accessed&quot;:{&quot;date-parts&quot;:[[2022,5,8]]},&quot;DOI&quot;:&quot;10.15585/MMWR.MM6707A1&quot;,&quot;ISSN&quot;:&quot;0149-2195&quot;,&quot;PMID&quot;:&quot;29470455&quot;,&quot;URL&quot;:&quot;/pmc/articles/PMC5858043/&quot;,&quot;issued&quot;:{&quot;date-parts&quot;:[[2018,2,23]]},&quot;page&quot;:&quot;205&quot;,&quot;abstract&quot;:&quot;© 2018, Department of Health and Human Services. All rights reserved. What is already known about this topic? Chronic obstructive pulmonary disease (COPD) is a leading cause of death and has been diagnosed in 15.5 million adults in 2015 in the United States. Risk factors include tobacco exposure, occupational and environmental exposures, respiratory infections, and genetics. What is added by this report? In 2015, rural U.S. residents had higher age-adjusted prevalence of COPD, of Medicare hospitalizations, and deaths caused by COPD than did residents living in micropolitan or metropolitan areas. Several states with the highest percentages of rural populations also had the highest estimates for all three measures. What are the implications for public health practice? Additional efforts are needed to prevent risk factors and overcome barriers to early diagnosis, and the appropriate treatment and management of COPD. Improving access to such health care might improve quality of life and reduce hospital readmissions among COPD patients and reduce COPD mortality.&quot;,&quot;publisher&quot;:&quot;Centers for Disease Control and Prevention&quot;,&quot;issue&quot;:&quot;7&quot;,&quot;volume&quot;:&quot;67&quot;,&quot;container-title-short&quot;:&quot;&quot;},&quot;isTemporary&quot;:false}]},{&quot;citationID&quot;:&quot;MENDELEY_CITATION_9bea3e47-877a-4569-b747-5988f37da294&quot;,&quot;properties&quot;:{&quot;noteIndex&quot;:0},&quot;isEdited&quot;:false,&quot;manualOverride&quot;:{&quot;isManuallyOverridden&quot;:false,&quot;citeprocText&quot;:&quot;[125]&quot;,&quot;manualOverrideText&quot;:&quot;&quot;},&quot;citationTag&quot;:&quot;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&quot;,&quot;citationItems&quot;:[{&quot;id&quot;:&quot;2235e58a-f322-311a-9ff2-243882ec4f51&quot;,&quot;itemData&quot;:{&quot;type&quot;:&quot;article-journal&quot;,&quot;id&quot;:&quot;2235e58a-f322-311a-9ff2-243882ec4f51&quot;,&quot;title&quot;:&quot;Rural and Urban Differences in Air Quality, 2008–2012, and Community Drinking Water Quality, 2010–2015 — United States&quot;,&quot;author&quot;:[{&quot;family&quot;:&quot;Strosnider&quot;,&quot;given&quot;:&quot;Heather&quot;,&quot;parse-names&quot;:false,&quot;dropping-particle&quot;:&quot;&quot;,&quot;non-dropping-particle&quot;:&quot;&quot;},{&quot;family&quot;:&quot;Kennedy&quot;,&quot;given&quot;:&quot;Caitlin&quot;,&quot;parse-names&quot;:false,&quot;dropping-particle&quot;:&quot;&quot;,&quot;non-dropping-particle&quot;:&quot;&quot;},{&quot;family&quot;:&quot;Monti&quot;,&quot;given&quot;:&quot;Michele&quot;,&quot;parse-names&quot;:false,&quot;dropping-particle&quot;:&quot;&quot;,&quot;non-dropping-particle&quot;:&quot;&quot;},{&quot;family&quot;:&quot;Yip&quot;,&quot;given&quot;:&quot;Fuyuen&quot;,&quot;parse-names&quot;:false,&quot;dropping-particle&quot;:&quot;&quot;,&quot;non-dropping-particle&quot;:&quot;&quot;}],&quot;container-title&quot;:&quot;MMWR. Surveillance Summaries&quot;,&quot;accessed&quot;:{&quot;date-parts&quot;:[[2022,5,8]]},&quot;DOI&quot;:&quot;10.15585/MMWR.SS6613A1&quot;,&quot;ISSN&quot;:&quot;1546-07381545-8636&quot;,&quot;PMID&quot;:&quot;28640797&quot;,&quot;URL&quot;:&quot;https://www.facebook.com/CDCMMWR&quot;,&quot;issued&quot;:{&quot;date-parts&quot;:[[2019]]},&quot;abstract&quot;:&quot;Problem/Condition: The places in which persons live, work, and play can contribute to the development of adverse health outcomes. Understanding the differences in risk factors in various environments can help to explain differences in the occurrence of these outcomes and can be used to develop public health programs, interventions, and policies. Efforts to characterize urban and rural differences have largely focused on social and demographic characteristics. A paucity of national standardized environmental data has hindered efforts to characterize differences in the physical aspects of urban and rural areas, such as air and water quality. Reporting Period: 2008-2012 for air quality and 2010-2015 for water quality. Description of System: Since 2002, CDC's National Environmental Public Health Tracking Program has collaborated with federal, state, and local partners to gather standardized environmental data by creating national data standards, collecting available data, and disseminating data to be used in developing public health actions. The National Environmental Public Health Tracking Network (i.e., the tracking network) collects data provided by national, state, and local partners and includes 21 health outcomes, exposures, and environmental hazards. To assess environmental factors that affect health, CDC analyzed three air-quality measures from the tracking network for all counties in the contiguous United States during 2008-2012 and one water-quality measure for 26 states during 2010-2015. The three air-quality measures include 1) total number of days with fine particulate matter (PM2.5) levels greater than the U.S. Environmental Protection Agency's (EPA's) National Ambient Air Quality Standards (NAAQS) for 24-hour average PM2.5 (PM2.5 days); 2) mean annual average ambient concentrations of PM2.5 in micrograms per cubic meter (mean PM2.5); and 3) total number of days with maximum 8-hour average ozone concentrations greater than the NAAQS (ozone days). The water-quality measure compared the annual mean concentration for a community water system (CWS) to the maximum contaminant level (MCL) defined by EPA for 10 contaminants: arsenic, atrazine, di(2-ethylhexyl) phthalate (DEHP), haloacetic acids (HAA5), nitrate, perchloroethene (PCE), radium, trichloroethene (TCE), total trihalomethanes (TTHM), and uranium. Findings are presented by urban-rural classification scheme: four metropolitan (large central metropolitan, large fringe metropolitan, medium metropolitan, and small metropolitan) and two nonmetropolitan (micropolitan and noncore) categories. Regression modeling was used to determine whether differences in the measures by urban-rural categories were statistically significant. Results: Patterns for all three air-quality measures suggest that air quality improves as areas become more rural (or less urban). The mean total number of ozone days decreased from 47.54 days in large central metropolitan counties to 3.81 days in noncore counties, whereas the mean total number of PM2.5 days decreased from 11.21 in large central metropolitan counties to 0.95 in noncore counties. The mean average annual PM2.5 concentration decreased from 11.15 μg/m3 in large central metropolitan counties to 8.87 μg/m3 in noncore counties. Patterns for the water-quality measure suggest that water quality improves as areas become more urban (or less rural). Overall, 7% of CWSs reported at least one annual mean concentration greater than the MCL for all 10 contaminants combined. The percentage increased from 5.4% in large central metropolitan counties to 10% in noncore counties, a difference that was significant, adjusting for U.S. region, CWS size, water source, and potential spatial correlation. Similar results were found for two disinfection by-products, HAA5 and TTHM. Arsenic was the only other contaminant with a significant result. Medium metropolitan counties had 3.1% of CWSs reporting at least one annual mean greater than the MCL, compared with 2.4% in large central counties. Interpretation: Noncore (rural) counties experienced fewer unhealthy air-quality days than large central metropolitan counties, likely because of fewer air pollution sources in the noncore counties. All categories of counties had a mean annual average PM2.5 concentration lower than the EPA standard. Among all CWSs analyzed, the number reporting one or more annual mean contaminant concentrations greater the MCL was small. The water-quality measure suggests that water quality worsens as counties become more rural, in regards to all contaminants combined and for the two disinfection by-products individually. Although significant differences were found for the water-quality measure, the odds ratios were very small, making it difficult to determine whether these differences have a meaningful effect on public health. These differences might be a result of variations in water treatment practices in rural versus urban counties. Public Health Action: Understanding the differences between rural and urban areas in air and water quality can help public health departments to identify, monitor, and prioritize potential environmental public health concerns and opportunities for action. These findings suggest a continued need to develop more geographically targeted, evidence-based interventions to prevent morbidity and mortality associated with poor air and water quality.&quot;,&quot;publisher&quot;:&quot;Centers for Disease Control and Prevention (CDC)&quot;,&quot;issue&quot;:&quot;13&quot;,&quot;volume&quot;:&quot;66&quot;,&quot;container-title-short&quot;:&quot;&quot;},&quot;isTemporary&quot;:false}]},{&quot;citationID&quot;:&quot;MENDELEY_CITATION_038ac412-44b4-407e-8384-62f70e406d65&quot;,&quot;properties&quot;:{&quot;noteIndex&quot;:0},&quot;isEdited&quot;:false,&quot;manualOverride&quot;:{&quot;isManuallyOverridden&quot;:false,&quot;citeprocText&quot;:&quot;[70,124,126]&quot;,&quot;manualOverrideText&quot;:&quot;&quot;},&quot;citationTag&quot;:&quot;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&quot;,&quot;citationItems&quot;:[{&quot;id&quot;:&quot;eb99642b-8484-390a-9b48-beeeda13f8fa&quot;,&quot;itemData&quot;:{&quot;type&quot;:&quot;article-journal&quot;,&quot;id&quot;:&quot;eb99642b-8484-390a-9b48-beeeda13f8fa&quot;,&quot;title&quot;:&quot;Urban-Rural County and State Differences in Chronic Obstructive Pulmonary Disease — United States, 2015&quot;,&quot;author&quot;:[{&quot;family&quot;:&quot;Croft&quot;,&quot;given&quot;:&quot;Janet B.&quot;,&quot;parse-names&quot;:false,&quot;dropping-particle&quot;:&quot;&quot;,&quot;non-dropping-particle&quot;:&quot;&quot;},{&quot;family&quot;:&quot;Wheaton&quot;,&quot;given&quot;:&quot;Anne G.&quot;,&quot;parse-names&quot;:false,&quot;dropping-particle&quot;:&quot;&quot;,&quot;non-dropping-particle&quot;:&quot;&quot;},{&quot;family&quot;:&quot;Liu&quot;,&quot;given&quot;:&quot;Yong&quot;,&quot;parse-names&quot;:false,&quot;dropping-particle&quot;:&quot;&quot;,&quot;non-dropping-particle&quot;:&quot;&quot;},{&quot;family&quot;:&quot;Xu&quot;,&quot;given&quot;:&quot;Fang&quot;,&quot;parse-names&quot;:false,&quot;dropping-particle&quot;:&quot;&quot;,&quot;non-dropping-particle&quot;:&quot;&quot;},{&quot;family&quot;:&quot;Lu&quot;,&quot;given&quot;:&quot;Hua&quot;,&quot;parse-names&quot;:false,&quot;dropping-particle&quot;:&quot;&quot;,&quot;non-dropping-particle&quot;:&quot;&quot;},{&quot;family&quot;:&quot;Matthews&quot;,&quot;given&quot;:&quot;Kevin A.&quot;,&quot;parse-names&quot;:false,&quot;dropping-particle&quot;:&quot;&quot;,&quot;non-dropping-particle&quot;:&quot;&quot;},{&quot;family&quot;:&quot;Cunningham&quot;,&quot;given&quot;:&quot;Timothy J.&quot;,&quot;parse-names&quot;:false,&quot;dropping-particle&quot;:&quot;&quot;,&quot;non-dropping-particle&quot;:&quot;&quot;},{&quot;family&quot;:&quot;Wang&quot;,&quot;given&quot;:&quot;Yan&quot;,&quot;parse-names&quot;:false,&quot;dropping-particle&quot;:&quot;&quot;,&quot;non-dropping-particle&quot;:&quot;&quot;},{&quot;family&quot;:&quot;Holt&quot;,&quot;given&quot;:&quot;James B.&quot;,&quot;parse-names&quot;:false,&quot;dropping-particle&quot;:&quot;&quot;,&quot;non-dropping-particle&quot;:&quot;&quot;}],&quot;container-title&quot;:&quot;Morbidity and Mortality Weekly Report&quot;,&quot;accessed&quot;:{&quot;date-parts&quot;:[[2022,5,8]]},&quot;DOI&quot;:&quot;10.15585/MMWR.MM6707A1&quot;,&quot;ISSN&quot;:&quot;0149-2195&quot;,&quot;PMID&quot;:&quot;29470455&quot;,&quot;URL&quot;:&quot;/pmc/articles/PMC5858043/&quot;,&quot;issued&quot;:{&quot;date-parts&quot;:[[2018,2,23]]},&quot;page&quot;:&quot;205&quot;,&quot;abstract&quot;:&quot;© 2018, Department of Health and Human Services. All rights reserved. What is already known about this topic? Chronic obstructive pulmonary disease (COPD) is a leading cause of death and has been diagnosed in 15.5 million adults in 2015 in the United States. Risk factors include tobacco exposure, occupational and environmental exposures, respiratory infections, and genetics. What is added by this report? In 2015, rural U.S. residents had higher age-adjusted prevalence of COPD, of Medicare hospitalizations, and deaths caused by COPD than did residents living in micropolitan or metropolitan areas. Several states with the highest percentages of rural populations also had the highest estimates for all three measures. What are the implications for public health practice? Additional efforts are needed to prevent risk factors and overcome barriers to early diagnosis, and the appropriate treatment and management of COPD. Improving access to such health care might improve quality of life and reduce hospital readmissions among COPD patients and reduce COPD mortality.&quot;,&quot;publisher&quot;:&quot;Centers for Disease Control and Prevention&quot;,&quot;issue&quot;:&quot;7&quot;,&quot;volume&quot;:&quot;67&quot;,&quot;container-title-short&quot;:&quot;&quot;},&quot;isTemporary&quot;:false},{&quot;id&quot;:&quot;efaeec36-337f-3461-8f26-febe4bbd2174&quot;,&quot;itemData&quot;:{&quot;type&quot;:&quot;article-journal&quot;,&quot;id&quot;:&quot;efaeec36-337f-3461-8f26-febe4bbd2174&quot;,&quot;title&quot;:&quot;Rural residence and poverty are independent risk factors for chronic obstructive pulmonary disease in the United States&quot;,&quot;author&quot;:[{&quot;family&quot;:&quot;Raju&quot;,&quot;given&quot;:&quot;Sarath&quot;,&quot;parse-names&quot;:false,&quot;dropping-particle&quot;:&quot;&quot;,&quot;non-dropping-particle&quot;:&quot;&quot;},{&quot;family&quot;:&quot;Keet&quot;,&quot;given&quot;:&quot;Corinne A.&quot;,&quot;parse-names&quot;:false,&quot;dropping-particle&quot;:&quot;&quot;,&quot;non-dropping-particle&quot;:&quot;&quot;},{&quot;family&quot;:&quot;Paulin&quot;,&quot;given&quot;:&quot;Laura M.&quot;,&quot;parse-names&quot;:false,&quot;dropping-particle&quot;:&quot;&quot;,&quot;non-dropping-particle&quot;:&quot;&quot;},{&quot;family&quot;:&quot;Matsui&quot;,&quot;given&quot;:&quot;Elizabeth C.&quot;,&quot;parse-names&quot;:false,&quot;dropping-particle&quot;:&quot;&quot;,&quot;non-dropping-particle&quot;:&quot;&quot;},{&quot;family&quot;:&quot;Peng&quot;,&quot;given&quot;:&quot;Roger D.&quot;,&quot;parse-names&quot;:false,&quot;dropping-particle&quot;:&quot;&quot;,&quot;non-dropping-particle&quot;:&quot;&quot;},{&quot;family&quot;:&quot;Hansel&quot;,&quot;given&quot;:&quot;Nadia N.&quot;,&quot;parse-names&quot;:false,&quot;dropping-particle&quot;:&quot;&quot;,&quot;non-dropping-particle&quot;:&quot;&quot;},{&quot;family&quot;:&quot;McCormack&quot;,&quot;given&quot;:&quot;Meredith C.&quot;,&quot;parse-names&quot;:false,&quot;dropping-particle&quot;:&quot;&quot;,&quot;non-dropping-particle&quot;:&quot;&quot;}],&quot;container-title&quot;:&quot;American Journal of Respiratory and Critical Care Medicine&quot;,&quot;container-title-short&quot;:&quot;Am J Respir Crit Care Med&quot;,&quot;accessed&quot;:{&quot;date-parts&quot;:[[2022,5,8]]},&quot;DOI&quot;:&quot;10.1164/RCCM.201807-1374OC/SUPPL_FILE/DISCLOSURES.PDF&quot;,&quot;ISSN&quot;:&quot;15354970&quot;,&quot;PMID&quot;:&quot;30384774&quot;,&quot;URL&quot;:&quot;/pmc/articles/PMC6467317/&quot;,&quot;issued&quot;:{&quot;date-parts&quot;:[[2019,4,15]]},&quot;page&quot;:&quot;961-969&quot;,&quot;abstract&quot;:&quot;Rationale: In developing countries, poor and rural areas have a high burden of chronic obstructive pulmonary disease (COPD), and environmental pollutants and indoor burning of biomass have been implicated as potential causal exposures. Less is known about the prevalence of COPD in the United States with respect to urban-rural distribution, poverty, and factors that uniquely contribute to COPD among never-smokers. Objectives: To understand the impact of urban-rural status, poverty, and other community factors on COPD prevalence nationwide and among never-smokers. Methods: We studied a nationally representative sample of adults in the National Health Interview Survey 2012-2015, with data linkage between neighborhood data from the U.S. Census's American Community Survey and the National Center for Health Statistics Urban-Rural Classification Scheme. The main outcome was COPD prevalence. Measurements and Main Results: The prevalence of COPD in poor, rural areas was almost twice that in the overall population (15.4% vs. 8.4%). In adjusted models, rural residence (odds ratio [OR], 1.23; P &lt; 0.001) and census-level poverty (OR, 1.12; P = 0.012) were both associated with COPD prevalence, as were indicators of household wealth. Among never-smokers, rural residence was also associated with COPD (OR, 1.34; P &lt; 0.001), as was neighborhood use of coal for heating (OR, 1.09; P &lt; 0.001). Conclusions: In a nationally representative sample, rural residence and poverty were risk factors for COPD, even among never-smokers. The use of coal for heating was also a risk factor for COPD among never-smokers. Future disparities research to elucidate contributors to COPD development in poor and rural areas, including assessments of heating sources and environmental pollutants, is needed.&quot;,&quot;publisher&quot;:&quot;American Thoracic Society&quot;,&quot;issue&quot;:&quot;8&quot;,&quot;volume&quot;:&quot;199&quot;},&quot;isTemporary&quot;:false},{&quot;id&quot;:&quot;feff7559-97bf-3ff6-a195-b515f724fa65&quot;,&quot;itemData&quot;:{&quot;type&quot;:&quot;article-journal&quot;,&quot;id&quot;:&quot;feff7559-97bf-3ff6-a195-b515f724fa65&quot;,&quot;title&quot;:&quot;The burden of rural chronic obstructive pulmonary disease: Analyses from the National Health and Nutrition Examination survey&quot;,&quot;author&quot;:[{&quot;family&quot;:&quot;Raju&quot;,&quot;given&quot;:&quot;Sarath&quot;,&quot;parse-names&quot;:false,&quot;dropping-particle&quot;:&quot;&quot;,&quot;non-dropping-particle&quot;:&quot;&quot;},{&quot;family&quot;:&quot;Brigham&quot;,&quot;given&quot;:&quot;Emily P.&quot;,&quot;parse-names&quot;:false,&quot;dropping-particle&quot;:&quot;&quot;,&quot;non-dropping-particle&quot;:&quot;&quot;},{&quot;family&quot;:&quot;Paulin&quot;,&quot;given&quot;:&quot;Laura M.&quot;,&quot;parse-names&quot;:false,&quot;dropping-particle&quot;:&quot;&quot;,&quot;non-dropping-particle&quot;:&quot;&quot;},{&quot;family&quot;:&quot;Putcha&quot;,&quot;given&quot;:&quot;Nirupama&quot;,&quot;parse-names&quot;:false,&quot;dropping-particle&quot;:&quot;&quot;,&quot;non-dropping-particle&quot;:&quot;&quot;},{&quot;family&quot;:&quot;Balasubramanian&quot;,&quot;given&quot;:&quot;Aparna&quot;,&quot;parse-names&quot;:false,&quot;dropping-particle&quot;:&quot;&quot;,&quot;non-dropping-particle&quot;:&quot;&quot;},{&quot;family&quot;:&quot;Hansel&quot;,&quot;given&quot;:&quot;Nadia N.&quot;,&quot;parse-names&quot;:false,&quot;dropping-particle&quot;:&quot;&quot;,&quot;non-dropping-particle&quot;:&quot;&quot;},{&quot;family&quot;:&quot;McCormack&quot;,&quot;given&quot;:&quot;Meredith C.&quot;,&quot;parse-names&quot;:false,&quot;dropping-particle&quot;:&quot;&quot;,&quot;non-dropping-particle&quot;:&quot;&quot;}],&quot;container-title&quot;:&quot;American Journal of Respiratory and Critical Care Medicine&quot;,&quot;container-title-short&quot;:&quot;Am J Respir Crit Care Med&quot;,&quot;accessed&quot;:{&quot;date-parts&quot;:[[2025,5,18]]},&quot;DOI&quot;:&quot;10.1164/RCCM.201906-1128LE,&quot;,&quot;ISSN&quot;:&quot;15354970&quot;,&quot;PMID&quot;:&quot;31644882&quot;,&quot;URL&quot;:&quot;https://www.atsjournals.org/doi/pdf/10.1164/rccm.201906-1128LE?download=true&quot;,&quot;issued&quot;:{&quot;date-parts&quot;:[[2020,2,15]]},&quot;page&quot;:&quot;488-491&quot;,&quot;publisher&quot;:&quot;American Thoracic Society&quot;,&quot;issue&quot;:&quot;4&quot;,&quot;volume&quot;:&quot;201&quot;},&quot;isTemporary&quot;:false}]},{&quot;citationID&quot;:&quot;MENDELEY_CITATION_002c062d-ac50-4409-a0b6-a9922aa6aa87&quot;,&quot;properties&quot;:{&quot;noteIndex&quot;:0},&quot;isEdited&quot;:false,&quot;manualOverride&quot;:{&quot;isManuallyOverridden&quot;:false,&quot;citeprocText&quot;:&quot;[124]&quot;,&quot;manualOverrideText&quot;:&quot;&quot;},&quot;citationTag&quot;:&quot;MENDELEY_CITATION_v3_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&quot;,&quot;citationItems&quot;:[{&quot;id&quot;:&quot;efaeec36-337f-3461-8f26-febe4bbd2174&quot;,&quot;itemData&quot;:{&quot;type&quot;:&quot;article-journal&quot;,&quot;id&quot;:&quot;efaeec36-337f-3461-8f26-febe4bbd2174&quot;,&quot;title&quot;:&quot;Rural residence and poverty are independent risk factors for chronic obstructive pulmonary disease in the United States&quot;,&quot;author&quot;:[{&quot;family&quot;:&quot;Raju&quot;,&quot;given&quot;:&quot;Sarath&quot;,&quot;parse-names&quot;:false,&quot;dropping-particle&quot;:&quot;&quot;,&quot;non-dropping-particle&quot;:&quot;&quot;},{&quot;family&quot;:&quot;Keet&quot;,&quot;given&quot;:&quot;Corinne A.&quot;,&quot;parse-names&quot;:false,&quot;dropping-particle&quot;:&quot;&quot;,&quot;non-dropping-particle&quot;:&quot;&quot;},{&quot;family&quot;:&quot;Paulin&quot;,&quot;given&quot;:&quot;Laura M.&quot;,&quot;parse-names&quot;:false,&quot;dropping-particle&quot;:&quot;&quot;,&quot;non-dropping-particle&quot;:&quot;&quot;},{&quot;family&quot;:&quot;Matsui&quot;,&quot;given&quot;:&quot;Elizabeth C.&quot;,&quot;parse-names&quot;:false,&quot;dropping-particle&quot;:&quot;&quot;,&quot;non-dropping-particle&quot;:&quot;&quot;},{&quot;family&quot;:&quot;Peng&quot;,&quot;given&quot;:&quot;Roger D.&quot;,&quot;parse-names&quot;:false,&quot;dropping-particle&quot;:&quot;&quot;,&quot;non-dropping-particle&quot;:&quot;&quot;},{&quot;family&quot;:&quot;Hansel&quot;,&quot;given&quot;:&quot;Nadia N.&quot;,&quot;parse-names&quot;:false,&quot;dropping-particle&quot;:&quot;&quot;,&quot;non-dropping-particle&quot;:&quot;&quot;},{&quot;family&quot;:&quot;McCormack&quot;,&quot;given&quot;:&quot;Meredith C.&quot;,&quot;parse-names&quot;:false,&quot;dropping-particle&quot;:&quot;&quot;,&quot;non-dropping-particle&quot;:&quot;&quot;}],&quot;container-title&quot;:&quot;American Journal of Respiratory and Critical Care Medicine&quot;,&quot;container-title-short&quot;:&quot;Am J Respir Crit Care Med&quot;,&quot;accessed&quot;:{&quot;date-parts&quot;:[[2022,5,8]]},&quot;DOI&quot;:&quot;10.1164/RCCM.201807-1374OC/SUPPL_FILE/DISCLOSURES.PDF&quot;,&quot;ISSN&quot;:&quot;15354970&quot;,&quot;PMID&quot;:&quot;30384774&quot;,&quot;URL&quot;:&quot;/pmc/articles/PMC6467317/&quot;,&quot;issued&quot;:{&quot;date-parts&quot;:[[2019,4,15]]},&quot;page&quot;:&quot;961-969&quot;,&quot;abstract&quot;:&quot;Rationale: In developing countries, poor and rural areas have a high burden of chronic obstructive pulmonary disease (COPD), and environmental pollutants and indoor burning of biomass have been implicated as potential causal exposures. Less is known about the prevalence of COPD in the United States with respect to urban-rural distribution, poverty, and factors that uniquely contribute to COPD among never-smokers. Objectives: To understand the impact of urban-rural status, poverty, and other community factors on COPD prevalence nationwide and among never-smokers. Methods: We studied a nationally representative sample of adults in the National Health Interview Survey 2012-2015, with data linkage between neighborhood data from the U.S. Census's American Community Survey and the National Center for Health Statistics Urban-Rural Classification Scheme. The main outcome was COPD prevalence. Measurements and Main Results: The prevalence of COPD in poor, rural areas was almost twice that in the overall population (15.4% vs. 8.4%). In adjusted models, rural residence (odds ratio [OR], 1.23; P &lt; 0.001) and census-level poverty (OR, 1.12; P = 0.012) were both associated with COPD prevalence, as were indicators of household wealth. Among never-smokers, rural residence was also associated with COPD (OR, 1.34; P &lt; 0.001), as was neighborhood use of coal for heating (OR, 1.09; P &lt; 0.001). Conclusions: In a nationally representative sample, rural residence and poverty were risk factors for COPD, even among never-smokers. The use of coal for heating was also a risk factor for COPD among never-smokers. Future disparities research to elucidate contributors to COPD development in poor and rural areas, including assessments of heating sources and environmental pollutants, is needed.&quot;,&quot;publisher&quot;:&quot;American Thoracic Society&quot;,&quot;issue&quot;:&quot;8&quot;,&quot;volume&quot;:&quot;199&quot;},&quot;isTemporary&quot;:false}]},{&quot;citationID&quot;:&quot;MENDELEY_CITATION_d2b91744-793b-4915-862d-3fd8739c2aa6&quot;,&quot;properties&quot;:{&quot;noteIndex&quot;:0},&quot;isEdited&quot;:false,&quot;manualOverride&quot;:{&quot;isManuallyOverridden&quot;:false,&quot;citeprocText&quot;:&quot;[8]&quot;,&quot;manualOverrideText&quot;:&quot;&quot;},&quot;citationTag&quot;:&quot;MENDELEY_CITATION_v3_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&quot;,&quot;citationItems&quot;:[{&quot;id&quot;:&quot;99fb7faa-18e6-31a1-a5a4-c93adde04e37&quot;,&quot;itemData&quot;:{&quot;type&quot;:&quot;report&quot;,&quot;id&quot;:&quot;99fb7faa-18e6-31a1-a5a4-c93adde04e37&quot;,&quot;title&quot;:&quot;2020 Profile of Older Americans&quot;,&quot;author&quot;:[{&quot;family&quot;:&quot;United States Department of Health and Human Services&quot;,&quot;given&quot;:&quot;Administration for Community Living&quot;,&quot;parse-names&quot;:false,&quot;dropping-particle&quot;:&quot;&quot;,&quot;non-dropping-particle&quot;:&quot;&quot;}],&quot;issued&quot;:{&quot;date-parts&quot;:[[2021]]},&quot;number-of-pages&quot;:&quot;1-26&quot;,&quot;issue&quot;:&quot;May&quot;,&quot;container-title-short&quot;:&quot;&quot;},&quot;isTemporary&quot;:false}]},{&quot;citationID&quot;:&quot;MENDELEY_CITATION_11ee193f-3dfa-443f-8888-93ef98acb4ab&quot;,&quot;properties&quot;:{&quot;noteIndex&quot;:0},&quot;isEdited&quot;:false,&quot;manualOverride&quot;:{&quot;isManuallyOverridden&quot;:false,&quot;citeprocText&quot;:&quot;[4]&quot;,&quot;manualOverrideText&quot;:&quot;&quot;},&quot;citationTag&quot;:&quot;MENDELEY_CITATION_v3_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&quot;,&quot;citationItems&quot;:[{&quot;id&quot;:&quot;4a66e3c3-580e-3af8-91d2-c4eb6b2c00f5&quot;,&quot;itemData&quot;:{&quot;type&quot;:&quot;article-journal&quot;,&quot;id&quot;:&quot;4a66e3c3-580e-3af8-91d2-c4eb6b2c00f5&quot;,&quot;title&quot;:&quot;Chronic Obstructive Pulmonary Disease and Smoking Status — United States, 2017&quot;,&quot;author&quot;:[{&quot;family&quot;:&quot;Wheaton&quot;,&quot;given&quot;:&quot;Anne G.&quot;,&quot;parse-names&quot;:false,&quot;dropping-particle&quot;:&quot;&quot;,&quot;non-dropping-particle&quot;:&quot;&quot;},{&quot;family&quot;:&quot;Liu&quot;,&quot;given&quot;:&quot;Yong&quot;,&quot;parse-names&quot;:false,&quot;dropping-particle&quot;:&quot;&quot;,&quot;non-dropping-particle&quot;:&quot;&quot;},{&quot;family&quot;:&quot;Croft&quot;,&quot;given&quot;:&quot;Janet B.&quot;,&quot;parse-names&quot;:false,&quot;dropping-particle&quot;:&quot;&quot;,&quot;non-dropping-particle&quot;:&quot;&quot;},{&quot;family&quot;:&quot;VanFrank&quot;,&quot;given&quot;:&quot;Brenna&quot;,&quot;parse-names&quot;:false,&quot;dropping-particle&quot;:&quot;&quot;,&quot;non-dropping-particle&quot;:&quot;&quot;},{&quot;family&quot;:&quot;Croxton&quot;,&quot;given&quot;:&quot;Thomas L.&quot;,&quot;parse-names&quot;:false,&quot;dropping-particle&quot;:&quot;&quot;,&quot;non-dropping-particle&quot;:&quot;&quot;},{&quot;family&quot;:&quot;Punturieri&quot;,&quot;given&quot;:&quot;Antonello&quot;,&quot;parse-names&quot;:false,&quot;dropping-particle&quot;:&quot;&quot;,&quot;non-dropping-particle&quot;:&quot;&quot;},{&quot;family&quot;:&quot;Postow&quot;,&quot;given&quot;:&quot;Lisa&quot;,&quot;parse-names&quot;:false,&quot;dropping-particle&quot;:&quot;&quot;,&quot;non-dropping-particle&quot;:&quot;&quot;},{&quot;family&quot;:&quot;Greenlund&quot;,&quot;given&quot;:&quot;Kurt J.&quot;,&quot;parse-names&quot;:false,&quot;dropping-particle&quot;:&quot;&quot;,&quot;non-dropping-particle&quot;:&quot;&quot;}],&quot;container-title&quot;:&quot;MMWR. Morbidity and Mortality Weekly Report&quot;,&quot;container-title-short&quot;:&quot;MMWR Morb Mortal Wkly Rep&quot;,&quot;accessed&quot;:{&quot;date-parts&quot;:[[2020,12,7]]},&quot;DOI&quot;:&quot;10.15585/mmwr.mm6824a1&quot;,&quot;ISSN&quot;:&quot;0149-2195&quot;,&quot;PMID&quot;:&quot;31220055&quot;,&quot;URL&quot;:&quot;https://www.ncbi.nlm.nih.gov/pmc/articles/PMC6586372/&quot;,&quot;issued&quot;:{&quot;date-parts&quot;:[[2019,6,21]]},&quot;page&quot;:&quot;533-538&quot;,&quot;abstract&quot;:&quot;Cigarette smoking is the leading cause of chronic obstructive pulmonary disease (COPD) in the United States; however, an estimated one fourth of adults with COPD have never smoked (1). CDC analyzed state-specific Behavioral Risk Factor Surveillance System (BRFSS) data from 2017, which indicated that, overall among U.S. adults, 6.2% (age-adjusted) reported having been told by a health care professional that they had COPD. The age-adjusted prevalence of COPD was 15.2% among current cigarette smokers, 7.6% among former smokers, and 2.8% among adults who had never smoked. Higher prevalences of COPD were observed in southeastern and Appalachian states, regardless of smoking status of respondents. Whereas the strong positive correlation between state prevalence of COPD and state prevalence of current smoking was expected among current and former smokers, a similar relationship among adults who had never smoked suggests secondhand smoke exposure as a potential risk factor for COPD. Continued promotion of smoke-free environments might reduce COPD among both those who smoke and those who do not.&quot;,&quot;publisher&quot;:&quot;Centers for Disease Control MMWR Office&quot;,&quot;issue&quot;:&quot;24&quot;,&quot;volume&quot;:&quot;68&quot;},&quot;isTemporary&quot;:false}]},{&quot;citationID&quot;:&quot;MENDELEY_CITATION_a91aaa8d-3af5-493d-a3bd-899572617e6d&quot;,&quot;properties&quot;:{&quot;noteIndex&quot;:0},&quot;isEdited&quot;:false,&quot;manualOverride&quot;:{&quot;isManuallyOverridden&quot;:false,&quot;citeprocText&quot;:&quot;[10]&quot;,&quot;manualOverrideText&quot;:&quot;&quot;},&quot;citationTag&quot;:&quot;MENDELEY_CITATION_v3_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&quot;,&quot;citationItems&quot;:[{&quot;id&quot;:&quot;a0ec3fee-6d5a-30d4-a60a-635d804a021c&quot;,&quot;itemData&quot;:{&quot;type&quot;:&quot;webpage&quot;,&quot;id&quot;:&quot;a0ec3fee-6d5a-30d4-a60a-635d804a021c&quot;,&quot;title&quot;:&quot;Florida Department of Health - Public Health Tracking System&quot;,&quot;accessed&quot;:{&quot;date-parts&quot;:[[2025,5,15]]},&quot;URL&quot;:&quot;https://www.floridatracking.com/healthtracking/topic.htm?i=30&quot;,&quot;container-title-short&quot;:&quot;&quot;},&quot;isTemporary&quot;:false}]},{&quot;citationID&quot;:&quot;MENDELEY_CITATION_06005d38-d301-46eb-9288-70c064ad49d3&quot;,&quot;properties&quot;:{&quot;noteIndex&quot;:0},&quot;isEdited&quot;:false,&quot;manualOverride&quot;:{&quot;isManuallyOverridden&quot;:false,&quot;citeprocText&quot;:&quot;[10]&quot;,&quot;manualOverrideText&quot;:&quot;&quot;},&quot;citationTag&quot;:&quot;MENDELEY_CITATION_v3_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&quot;,&quot;citationItems&quot;:[{&quot;id&quot;:&quot;a0ec3fee-6d5a-30d4-a60a-635d804a021c&quot;,&quot;itemData&quot;:{&quot;type&quot;:&quot;webpage&quot;,&quot;id&quot;:&quot;a0ec3fee-6d5a-30d4-a60a-635d804a021c&quot;,&quot;title&quot;:&quot;Florida Department of Health - Public Health Tracking System&quot;,&quot;accessed&quot;:{&quot;date-parts&quot;:[[2025,5,15]]},&quot;URL&quot;:&quot;https://www.floridatracking.com/healthtracking/topic.htm?i=30&quot;,&quot;container-title-short&quot;:&quot;&quot;},&quot;isTemporary&quot;:false}]},{&quot;citationID&quot;:&quot;MENDELEY_CITATION_5fad3849-86da-499b-bdcc-0541ecc9f272&quot;,&quot;properties&quot;:{&quot;noteIndex&quot;:0},&quot;isEdited&quot;:false,&quot;manualOverride&quot;:{&quot;isManuallyOverridden&quot;:false,&quot;citeprocText&quot;:&quot;[127]&quot;,&quot;manualOverrideText&quot;:&quot;&quot;},&quot;citationTag&quot;:&quot;MENDELEY_CITATION_v3_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&quot;,&quot;citationItems&quot;:[{&quot;id&quot;:&quot;a01d2ef0-e0fc-3ba7-87eb-177ba9e71d48&quot;,&quot;itemData&quot;:{&quot;type&quot;:&quot;webpage&quot;,&quot;id&quot;:&quot;a01d2ef0-e0fc-3ba7-87eb-177ba9e71d48&quot;,&quot;title&quot;:&quot;U.S. Census Bureau QuickFacts: Florida; United States&quot;,&quot;author&quot;:[{&quot;family&quot;:&quot;US. Census Bureau&quot;,&quot;given&quot;:&quot;&quot;,&quot;parse-names&quot;:false,&quot;dropping-particle&quot;:&quot;&quot;,&quot;non-dropping-particle&quot;:&quot;&quot;}],&quot;accessed&quot;:{&quot;date-parts&quot;:[[2022,8,24]]},&quot;URL&quot;:&quot;https://www.census.gov/quickfacts/fact/table/FL,US/PST045221&quot;,&quot;issued&quot;:{&quot;date-parts&quot;:[[2020]]},&quot;container-title-short&quot;:&quot;&quot;},&quot;isTemporary&quot;:false}]},{&quot;citationID&quot;:&quot;MENDELEY_CITATION_39242023-2180-41fa-88d0-43a1cab04dff&quot;,&quot;properties&quot;:{&quot;noteIndex&quot;:0},&quot;isEdited&quot;:false,&quot;manualOverride&quot;:{&quot;isManuallyOverridden&quot;:false,&quot;citeprocText&quot;:&quot;[128]&quot;,&quot;manualOverrideText&quot;:&quot;&quot;},&quot;citationTag&quot;:&quot;MENDELEY_CITATION_v3_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&quot;,&quot;citationItems&quot;:[{&quot;id&quot;:&quot;b341efc4-5de2-3bd3-88d3-1d0b2cafdba1&quot;,&quot;itemData&quot;:{&quot;type&quot;:&quot;article&quot;,&quot;id&quot;:&quot;b341efc4-5de2-3bd3-88d3-1d0b2cafdba1&quot;,&quot;title&quot;:&quot;Florida ’ s Rural Counties&quot;,&quot;author&quot;:[{&quot;family&quot;:&quot;Florida Department of Health&quot;,&quot;given&quot;:&quot;Provider and Partner Resources&quot;,&quot;parse-names&quot;:false,&quot;dropping-particle&quot;:&quot;&quot;,&quot;non-dropping-particle&quot;:&quot;&quot;}],&quot;URL&quot;:&quot;https://www.floridahealth.gov/provider-and-partner-resources/community-health-workers/health-professional-shortage-designations/Rural Counties Map 2016.pdf&quot;,&quot;issued&quot;:{&quot;date-parts&quot;:[[2016]]},&quot;container-title-short&quot;:&quot;&quot;},&quot;isTemporary&quot;:false}]},{&quot;citationID&quot;:&quot;MENDELEY_CITATION_7a8256e5-dde6-4eeb-89f9-dd092ce9ba3f&quot;,&quot;properties&quot;:{&quot;noteIndex&quot;:0},&quot;isEdited&quot;:false,&quot;manualOverride&quot;:{&quot;isManuallyOverridden&quot;:false,&quot;citeprocText&quot;:&quot;[129]&quot;,&quot;manualOverrideText&quot;:&quot;&quot;},&quot;citationTag&quot;:&quot;MENDELEY_CITATION_v3_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&quot;,&quot;citationItems&quot;:[{&quot;id&quot;:&quot;27590509-e359-38bd-94cb-09fa8d390fac&quot;,&quot;itemData&quot;:{&quot;type&quot;:&quot;webpage&quot;,&quot;id&quot;:&quot;27590509-e359-38bd-94cb-09fa8d390fac&quot;,&quot;title&quot;:&quot;FLHealthCHARTS.gov: Home&quot;,&quot;author&quot;:[{&quot;family&quot;:&quot;Florida Department of Health&quot;,&quot;given&quot;:&quot;Division of Public Health Statistics and Performance Management&quot;,&quot;parse-names&quot;:false,&quot;dropping-particle&quot;:&quot;&quot;,&quot;non-dropping-particle&quot;:&quot;&quot;}],&quot;accessed&quot;:{&quot;date-parts&quot;:[[2022,5,7]]},&quot;URL&quot;:&quot;https://www.flhealthcharts.gov/charts/default.aspx&quot;,&quot;container-title-short&quot;:&quot;&quot;},&quot;isTemporary&quot;:false}]},{&quot;citationID&quot;:&quot;MENDELEY_CITATION_a7429292-45c8-4ff6-bc5a-cba047248ea8&quot;,&quot;properties&quot;:{&quot;noteIndex&quot;:0},&quot;isEdited&quot;:false,&quot;manualOverride&quot;:{&quot;isManuallyOverridden&quot;:false,&quot;citeprocText&quot;:&quot;[127]&quot;,&quot;manualOverrideText&quot;:&quot;&quot;},&quot;citationTag&quot;:&quot;MENDELEY_CITATION_v3_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&quot;,&quot;citationItems&quot;:[{&quot;id&quot;:&quot;a01d2ef0-e0fc-3ba7-87eb-177ba9e71d48&quot;,&quot;itemData&quot;:{&quot;type&quot;:&quot;webpage&quot;,&quot;id&quot;:&quot;a01d2ef0-e0fc-3ba7-87eb-177ba9e71d48&quot;,&quot;title&quot;:&quot;U.S. Census Bureau QuickFacts: Florida; United States&quot;,&quot;author&quot;:[{&quot;family&quot;:&quot;US. Census Bureau&quot;,&quot;given&quot;:&quot;&quot;,&quot;parse-names&quot;:false,&quot;dropping-particle&quot;:&quot;&quot;,&quot;non-dropping-particle&quot;:&quot;&quot;}],&quot;accessed&quot;:{&quot;date-parts&quot;:[[2022,8,24]]},&quot;URL&quot;:&quot;https://www.census.gov/quickfacts/fact/table/FL,US/PST045221&quot;,&quot;issued&quot;:{&quot;date-parts&quot;:[[2020]]},&quot;container-title-short&quot;:&quot;&quot;},&quot;isTemporary&quot;:false}]},{&quot;citationID&quot;:&quot;MENDELEY_CITATION_a41dbc90-1b49-4d9c-ab69-09c8e8007525&quot;,&quot;properties&quot;:{&quot;noteIndex&quot;:0},&quot;isEdited&quot;:false,&quot;manualOverride&quot;:{&quot;isManuallyOverridden&quot;:false,&quot;citeprocText&quot;:&quot;[127]&quot;,&quot;manualOverrideText&quot;:&quot;&quot;},&quot;citationTag&quot;:&quot;MENDELEY_CITATION_v3_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&quot;,&quot;citationItems&quot;:[{&quot;id&quot;:&quot;a01d2ef0-e0fc-3ba7-87eb-177ba9e71d48&quot;,&quot;itemData&quot;:{&quot;type&quot;:&quot;webpage&quot;,&quot;id&quot;:&quot;a01d2ef0-e0fc-3ba7-87eb-177ba9e71d48&quot;,&quot;title&quot;:&quot;U.S. Census Bureau QuickFacts: Florida; United States&quot;,&quot;author&quot;:[{&quot;family&quot;:&quot;US. Census Bureau&quot;,&quot;given&quot;:&quot;&quot;,&quot;parse-names&quot;:false,&quot;dropping-particle&quot;:&quot;&quot;,&quot;non-dropping-particle&quot;:&quot;&quot;}],&quot;accessed&quot;:{&quot;date-parts&quot;:[[2022,8,24]]},&quot;URL&quot;:&quot;https://www.census.gov/quickfacts/fact/table/FL,US/PST045221&quot;,&quot;issued&quot;:{&quot;date-parts&quot;:[[2020]]},&quot;container-title-short&quot;:&quot;&quot;},&quot;isTemporary&quot;:false}]},{&quot;citationID&quot;:&quot;MENDELEY_CITATION_12dcf168-e062-402c-9b2d-dd4a93c0ce6c&quot;,&quot;properties&quot;:{&quot;noteIndex&quot;:0},&quot;isEdited&quot;:false,&quot;manualOverride&quot;:{&quot;isManuallyOverridden&quot;:false,&quot;citeprocText&quot;:&quot;[129]&quot;,&quot;manualOverrideText&quot;:&quot;&quot;},&quot;citationTag&quot;:&quot;MENDELEY_CITATION_v3_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&quot;,&quot;citationItems&quot;:[{&quot;id&quot;:&quot;27590509-e359-38bd-94cb-09fa8d390fac&quot;,&quot;itemData&quot;:{&quot;type&quot;:&quot;webpage&quot;,&quot;id&quot;:&quot;27590509-e359-38bd-94cb-09fa8d390fac&quot;,&quot;title&quot;:&quot;FLHealthCHARTS.gov: Home&quot;,&quot;author&quot;:[{&quot;family&quot;:&quot;Florida Department of Health&quot;,&quot;given&quot;:&quot;Division of Public Health Statistics and Performance Management&quot;,&quot;parse-names&quot;:false,&quot;dropping-particle&quot;:&quot;&quot;,&quot;non-dropping-particle&quot;:&quot;&quot;}],&quot;accessed&quot;:{&quot;date-parts&quot;:[[2022,5,7]]},&quot;URL&quot;:&quot;https://www.flhealthcharts.gov/charts/default.aspx&quot;,&quot;container-title-short&quot;:&quot;&quot;},&quot;isTemporary&quot;:false}]},{&quot;citationID&quot;:&quot;MENDELEY_CITATION_c1a49c1e-a48b-409f-bc00-2df9b5c18fb0&quot;,&quot;properties&quot;:{&quot;noteIndex&quot;:0},&quot;isEdited&quot;:false,&quot;manualOverride&quot;:{&quot;isManuallyOverridden&quot;:false,&quot;citeprocText&quot;:&quot;[127]&quot;,&quot;manualOverrideText&quot;:&quot;&quot;},&quot;citationTag&quot;:&quot;MENDELEY_CITATION_v3_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&quot;,&quot;citationItems&quot;:[{&quot;id&quot;:&quot;a01d2ef0-e0fc-3ba7-87eb-177ba9e71d48&quot;,&quot;itemData&quot;:{&quot;type&quot;:&quot;webpage&quot;,&quot;id&quot;:&quot;a01d2ef0-e0fc-3ba7-87eb-177ba9e71d48&quot;,&quot;title&quot;:&quot;U.S. Census Bureau QuickFacts: Florida; United States&quot;,&quot;author&quot;:[{&quot;family&quot;:&quot;US. Census Bureau&quot;,&quot;given&quot;:&quot;&quot;,&quot;parse-names&quot;:false,&quot;dropping-particle&quot;:&quot;&quot;,&quot;non-dropping-particle&quot;:&quot;&quot;}],&quot;accessed&quot;:{&quot;date-parts&quot;:[[2022,8,24]]},&quot;URL&quot;:&quot;https://www.census.gov/quickfacts/fact/table/FL,US/PST045221&quot;,&quot;issued&quot;:{&quot;date-parts&quot;:[[2020]]},&quot;container-title-short&quot;:&quot;&quot;},&quot;isTemporary&quot;:false}]},{&quot;citationID&quot;:&quot;MENDELEY_CITATION_3d863b81-3332-44b2-b070-69f47f1b2afe&quot;,&quot;properties&quot;:{&quot;noteIndex&quot;:0},&quot;isEdited&quot;:false,&quot;manualOverride&quot;:{&quot;isManuallyOverridden&quot;:false,&quot;citeprocText&quot;:&quot;[127]&quot;,&quot;manualOverrideText&quot;:&quot;&quot;},&quot;citationTag&quot;:&quot;MENDELEY_CITATION_v3_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&quot;,&quot;citationItems&quot;:[{&quot;id&quot;:&quot;a01d2ef0-e0fc-3ba7-87eb-177ba9e71d48&quot;,&quot;itemData&quot;:{&quot;type&quot;:&quot;webpage&quot;,&quot;id&quot;:&quot;a01d2ef0-e0fc-3ba7-87eb-177ba9e71d48&quot;,&quot;title&quot;:&quot;U.S. Census Bureau QuickFacts: Florida; United States&quot;,&quot;author&quot;:[{&quot;family&quot;:&quot;US. Census Bureau&quot;,&quot;given&quot;:&quot;&quot;,&quot;parse-names&quot;:false,&quot;dropping-particle&quot;:&quot;&quot;,&quot;non-dropping-particle&quot;:&quot;&quot;}],&quot;accessed&quot;:{&quot;date-parts&quot;:[[2022,8,24]]},&quot;URL&quot;:&quot;https://www.census.gov/quickfacts/fact/table/FL,US/PST045221&quot;,&quot;issued&quot;:{&quot;date-parts&quot;:[[2020]]},&quot;container-title-short&quot;:&quot;&quot;},&quot;isTemporary&quot;:false}]},{&quot;citationID&quot;:&quot;MENDELEY_CITATION_5bef692d-b840-414b-824c-52d160e704a6&quot;,&quot;properties&quot;:{&quot;noteIndex&quot;:0},&quot;isEdited&quot;:false,&quot;manualOverride&quot;:{&quot;isManuallyOverridden&quot;:false,&quot;citeprocText&quot;:&quot;[129]&quot;,&quot;manualOverrideText&quot;:&quot;&quot;},&quot;citationTag&quot;:&quot;MENDELEY_CITATION_v3_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&quot;,&quot;citationItems&quot;:[{&quot;id&quot;:&quot;27590509-e359-38bd-94cb-09fa8d390fac&quot;,&quot;itemData&quot;:{&quot;type&quot;:&quot;webpage&quot;,&quot;id&quot;:&quot;27590509-e359-38bd-94cb-09fa8d390fac&quot;,&quot;title&quot;:&quot;FLHealthCHARTS.gov: Home&quot;,&quot;author&quot;:[{&quot;family&quot;:&quot;Florida Department of Health&quot;,&quot;given&quot;:&quot;Division of Public Health Statistics and Performance Management&quot;,&quot;parse-names&quot;:false,&quot;dropping-particle&quot;:&quot;&quot;,&quot;non-dropping-particle&quot;:&quot;&quot;}],&quot;accessed&quot;:{&quot;date-parts&quot;:[[2022,5,7]]},&quot;URL&quot;:&quot;https://www.flhealthcharts.gov/charts/default.aspx&quot;,&quot;container-title-short&quot;:&quot;&quot;},&quot;isTemporary&quot;:false}]},{&quot;citationID&quot;:&quot;MENDELEY_CITATION_b85597c8-b126-4680-8a66-69fa573a87f1&quot;,&quot;properties&quot;:{&quot;noteIndex&quot;:0},&quot;isEdited&quot;:false,&quot;manualOverride&quot;:{&quot;isManuallyOverridden&quot;:false,&quot;citeprocText&quot;:&quot;[129]&quot;,&quot;manualOverrideText&quot;:&quot;&quot;},&quot;citationTag&quot;:&quot;MENDELEY_CITATION_v3_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&quot;,&quot;citationItems&quot;:[{&quot;id&quot;:&quot;27590509-e359-38bd-94cb-09fa8d390fac&quot;,&quot;itemData&quot;:{&quot;type&quot;:&quot;webpage&quot;,&quot;id&quot;:&quot;27590509-e359-38bd-94cb-09fa8d390fac&quot;,&quot;title&quot;:&quot;FLHealthCHARTS.gov: Home&quot;,&quot;author&quot;:[{&quot;family&quot;:&quot;Florida Department of Health&quot;,&quot;given&quot;:&quot;Division of Public Health Statistics and Performance Management&quot;,&quot;parse-names&quot;:false,&quot;dropping-particle&quot;:&quot;&quot;,&quot;non-dropping-particle&quot;:&quot;&quot;}],&quot;accessed&quot;:{&quot;date-parts&quot;:[[2022,5,7]]},&quot;URL&quot;:&quot;https://www.flhealthcharts.gov/charts/default.aspx&quot;,&quot;container-title-short&quot;:&quot;&quot;},&quot;isTemporary&quot;:false}]},{&quot;citationID&quot;:&quot;MENDELEY_CITATION_159f9435-4354-4a42-83a7-6bc75b8fbeaa&quot;,&quot;properties&quot;:{&quot;noteIndex&quot;:0},&quot;isEdited&quot;:false,&quot;manualOverride&quot;:{&quot;isManuallyOverridden&quot;:false,&quot;citeprocText&quot;:&quot;[130]&quot;,&quot;manualOverrideText&quot;:&quot;&quot;},&quot;citationTag&quot;:&quot;MENDELEY_CITATION_v3_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&quot;,&quot;citationItems&quot;:[{&quot;id&quot;:&quot;abc880c5-96e9-39ae-99db-5aa8844e38a5&quot;,&quot;itemData&quot;:{&quot;type&quot;:&quot;webpage&quot;,&quot;id&quot;:&quot;abc880c5-96e9-39ae-99db-5aa8844e38a5&quot;,&quot;title&quot;:&quot;Florida Downloads | County Health Rankings &amp; Roadmaps&quot;,&quot;author&quot;:[{&quot;family&quot;:&quot;County Health Rankings &amp; Roadmaps&quot;,&quot;given&quot;:&quot;&quot;,&quot;parse-names&quot;:false,&quot;dropping-particle&quot;:&quot;&quot;,&quot;non-dropping-particle&quot;:&quot;&quot;}],&quot;accessed&quot;:{&quot;date-parts&quot;:[[2022,5,7]]},&quot;URL&quot;:&quot;https://www.countyhealthrankings.org/app/florida/2019/downloads&quot;,&quot;container-title-short&quot;:&quot;&quot;},&quot;isTemporary&quot;:false}]},{&quot;citationID&quot;:&quot;MENDELEY_CITATION_c6ad5a34-2c17-495c-829a-9ac912d22f75&quot;,&quot;properties&quot;:{&quot;noteIndex&quot;:0},&quot;isEdited&quot;:false,&quot;manualOverride&quot;:{&quot;isManuallyOverridden&quot;:false,&quot;citeprocText&quot;:&quot;[131]&quot;,&quot;manualOverrideText&quot;:&quot;&quot;},&quot;citationTag&quot;:&quot;MENDELEY_CITATION_v3_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&quot;,&quot;citationItems&quot;:[{&quot;id&quot;:&quot;0aa645ec-9291-3c83-baf4-8f59ae41eed8&quot;,&quot;itemData&quot;:{&quot;type&quot;:&quot;webpage&quot;,&quot;id&quot;:&quot;0aa645ec-9291-3c83-baf4-8f59ae41eed8&quot;,&quot;title&quot;:&quot;2020 TIGER/Line® Shapefiles&quot;,&quot;author&quot;:[{&quot;family&quot;:&quot;United States Census Bureau&quot;,&quot;given&quot;:&quot;&quot;,&quot;parse-names&quot;:false,&quot;dropping-particle&quot;:&quot;&quot;,&quot;non-dropping-particle&quot;:&quot;&quot;}],&quot;accessed&quot;:{&quot;date-parts&quot;:[[2021,9,16]]},&quot;URL&quot;:&quot;https://www.census.gov/cgi-bin/geo/shapefiles/index.php?year=2020&amp;layergroup=ZIP+Code+Tabulation+Areas&quot;,&quot;container-title-short&quot;:&quot;&quot;},&quot;isTemporary&quot;:false}]},{&quot;citationID&quot;:&quot;MENDELEY_CITATION_5f2ebcbc-d15b-4c15-9f61-e4582eebc42a&quot;,&quot;properties&quot;:{&quot;noteIndex&quot;:0},&quot;isEdited&quot;:false,&quot;manualOverride&quot;:{&quot;isManuallyOverridden&quot;:false,&quot;citeprocText&quot;:&quot;[132]&quot;,&quot;manualOverrideText&quot;:&quot;&quot;},&quot;citationTag&quot;:&quot;MENDELEY_CITATION_v3_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&quot;,&quot;citationItems&quot;:[{&quot;id&quot;:&quot;31af522d-5e00-3e3f-a9f9-b9bdfb73a29a&quot;,&quot;itemData&quot;:{&quot;type&quot;:&quot;article&quot;,&quot;id&quot;:&quot;31af522d-5e00-3e3f-a9f9-b9bdfb73a29a&quot;,&quot;title&quot;:&quot;RStudio: Integrated Development Environment for R&quot;,&quot;author&quot;:[{&quot;family&quot;:&quot;RStudio Team&quot;,&quot;given&quot;:&quot;&quot;,&quot;parse-names&quot;:false,&quot;dropping-particle&quot;:&quot;&quot;,&quot;non-dropping-particle&quot;:&quot;&quot;}],&quot;number&quot;:&quot;2021.09.2&quot;,&quot;issued&quot;:{&quot;date-parts&quot;:[[2020]]},&quot;publisher-place&quot;:&quot;Boston, MA, USA&quot;,&quot;publisher&quot;:&quot;RStudio, Inc.&quot;,&quot;container-title-short&quot;:&quot;&quot;},&quot;isTemporary&quot;:false}]},{&quot;citationID&quot;:&quot;MENDELEY_CITATION_5c3cac44-354b-4442-891b-d7963f25fba9&quot;,&quot;properties&quot;:{&quot;noteIndex&quot;:0},&quot;isEdited&quot;:false,&quot;manualOverride&quot;:{&quot;isManuallyOverridden&quot;:false,&quot;citeprocText&quot;:&quot;[133]&quot;,&quot;manualOverrideText&quot;:&quot;&quot;},&quot;citationTag&quot;:&quot;MENDELEY_CITATION_v3_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&quot;,&quot;citationItems&quot;:[{&quot;id&quot;:&quot;d6f70ed0-456f-37c1-97f8-ca34de1881d8&quot;,&quot;itemData&quot;:{&quot;type&quot;:&quot;article&quot;,&quot;id&quot;:&quot;d6f70ed0-456f-37c1-97f8-ca34de1881d8&quot;,&quot;title&quot;:&quot;R: A Language and Environment for Statistical Computing&quot;,&quot;author&quot;:[{&quot;family&quot;:&quot;R Core Team&quot;,&quot;given&quot;:&quot;&quot;,&quot;parse-names&quot;:false,&quot;dropping-particle&quot;:&quot;&quot;,&quot;non-dropping-particle&quot;:&quot;&quot;}],&quot;number&quot;:&quot;4.0.3&quot;,&quot;URL&quot;:&quot;https://www.r-project.org/&quot;,&quot;issued&quot;:{&quot;date-parts&quot;:[[2020]]},&quot;publisher-place&quot;:&quot;Vienna, Austria&quot;,&quot;container-title-short&quot;:&quot;&quot;},&quot;isTemporary&quot;:false}]},{&quot;citationID&quot;:&quot;MENDELEY_CITATION_3e5f20b4-5f08-458e-805c-a74774d74089&quot;,&quot;properties&quot;:{&quot;noteIndex&quot;:0},&quot;isEdited&quot;:false,&quot;manualOverride&quot;:{&quot;isManuallyOverridden&quot;:false,&quot;citeprocText&quot;:&quot;[134]&quot;,&quot;manualOverrideText&quot;:&quot;&quot;},&quot;citationTag&quot;:&quot;MENDELEY_CITATION_v3_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&quot;,&quot;citationItems&quot;:[{&quot;id&quot;:&quot;36563a6b-929c-3d2d-acdc-befd07c3d8fd&quot;,&quot;itemData&quot;:{&quot;type&quot;:&quot;book&quot;,&quot;id&quot;:&quot;36563a6b-929c-3d2d-acdc-befd07c3d8fd&quot;,&quot;title&quot;:&quot;Methods in Epidemiologic Research&quot;,&quot;author&quot;:[{&quot;family&quot;:&quot;Dohoo&quot;,&quot;given&quot;:&quot;Ian&quot;,&quot;parse-names&quot;:false,&quot;dropping-particle&quot;:&quot;&quot;,&quot;non-dropping-particle&quot;:&quot;&quot;},{&quot;family&quot;:&quot;Martin&quot;,&quot;given&quot;:&quot;Wayne&quot;,&quot;parse-names&quot;:false,&quot;dropping-particle&quot;:&quot;&quot;,&quot;non-dropping-particle&quot;:&quot;&quot;},{&quot;family&quot;:&quot;Stryhn&quot;,&quot;given&quot;:&quot;Henrik&quot;,&quot;parse-names&quot;:false,&quot;dropping-particle&quot;:&quot;&quot;,&quot;non-dropping-particle&quot;:&quot;&quot;}],&quot;editor&quot;:[{&quot;family&quot;:&quot;McPike&quot;,&quot;given&quot;:&quot;S Margaret&quot;,&quot;parse-names&quot;:false,&quot;dropping-particle&quot;:&quot;&quot;,&quot;non-dropping-particle&quot;:&quot;&quot;}],&quot;ISBN&quot;:&quot;978-0-919013-73-5&quot;,&quot;issued&quot;:{&quot;date-parts&quot;:[[2012]]},&quot;publisher-place&quot;:&quot;Charlottetown, Prince Edward Island, Canda&quot;,&quot;number-of-pages&quot;:&quot;90-93&quot;,&quot;edition&quot;:&quot;1&quot;,&quot;publisher&quot;:&quot;VER Inc.&quot;,&quot;container-title-short&quot;:&quot;&quot;},&quot;isTemporary&quot;:false}]},{&quot;citationID&quot;:&quot;MENDELEY_CITATION_653b8d1e-06f3-44eb-b1e1-b19fc5982b05&quot;,&quot;properties&quot;:{&quot;noteIndex&quot;:0},&quot;isEdited&quot;:false,&quot;manualOverride&quot;:{&quot;isManuallyOverridden&quot;:false,&quot;citeprocText&quot;:&quot;[135]&quot;,&quot;manualOverrideText&quot;:&quot;&quot;},&quot;citationTag&quot;:&quot;MENDELEY_CITATION_v3_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&quot;,&quot;citationItems&quot;:[{&quot;id&quot;:&quot;0fa14948-6cb7-3732-983a-913a7f148899&quot;,&quot;itemData&quot;:{&quot;type&quot;:&quot;webpage&quot;,&quot;id&quot;:&quot;0fa14948-6cb7-3732-983a-913a7f148899&quot;,&quot;title&quot;:&quot;2016-2020 American Community Survey 5-Year Estimates&quot;,&quot;author&quot;:[{&quot;family&quot;:&quot;US Census Bureau&quot;,&quot;given&quot;:&quot;&quot;,&quot;parse-names&quot;:false,&quot;dropping-particle&quot;:&quot;&quot;,&quot;non-dropping-particle&quot;:&quot;&quot;}],&quot;accessed&quot;:{&quot;date-parts&quot;:[[2022,8,13]]},&quot;URL&quot;:&quot;https://data.census.gov/cedsci/table?q=age&amp;g=0400000US12&amp;tid=ACSST5Y2020.S0101&quot;,&quot;issued&quot;:{&quot;date-parts&quot;:[[2020]]},&quot;container-title-short&quot;:&quot;&quot;},&quot;isTemporary&quot;:false}]},{&quot;citationID&quot;:&quot;MENDELEY_CITATION_27614c56-75d8-487b-ab34-ece3358e90b7&quot;,&quot;properties&quot;:{&quot;noteIndex&quot;:0},&quot;isEdited&quot;:false,&quot;manualOverride&quot;:{&quot;isManuallyOverridden&quot;:false,&quot;citeprocText&quot;:&quot;[136]&quot;,&quot;manualOverrideText&quot;:&quot;&quot;},&quot;citationTag&quot;:&quot;MENDELEY_CITATION_v3_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&quot;,&quot;citationItems&quot;:[{&quot;id&quot;:&quot;3927b58f-a1c9-3e65-ba89-65f246078035&quot;,&quot;itemData&quot;:{&quot;type&quot;:&quot;article-journal&quot;,&quot;id&quot;:&quot;3927b58f-a1c9-3e65-ba89-65f246078035&quot;,&quot;title&quot;:&quot;Algorithm AS 181: The W Test for Normality&quot;,&quot;author&quot;:[{&quot;family&quot;:&quot;Royston&quot;,&quot;given&quot;:&quot;J. P.&quot;,&quot;parse-names&quot;:false,&quot;dropping-particle&quot;:&quot;&quot;,&quot;non-dropping-particle&quot;:&quot;&quot;}],&quot;container-title&quot;:&quot;Applied Statistics&quot;,&quot;container-title-short&quot;:&quot;Appl Stat&quot;,&quot;accessed&quot;:{&quot;date-parts&quot;:[[2025,1,15]]},&quot;DOI&quot;:&quot;10.2307/2347986&quot;,&quot;ISSN&quot;:&quot;00359254&quot;,&quot;issued&quot;:{&quot;date-parts&quot;:[[1982]]},&quot;page&quot;:&quot;176&quot;,&quot;abstract&quot;:&quo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quot;,&quot;publisher&quot;:&quot;JSTOR&quot;,&quot;issue&quot;:&quot;2&quot;,&quot;volume&quot;:&quot;31&quot;},&quot;isTemporary&quot;:false}]},{&quot;citationID&quot;:&quot;MENDELEY_CITATION_5496a188-2c61-4a23-ba58-0c7d5382d305&quot;,&quot;properties&quot;:{&quot;noteIndex&quot;:0},&quot;isEdited&quot;:false,&quot;manualOverride&quot;:{&quot;isManuallyOverridden&quot;:false,&quot;citeprocText&quot;:&quot;[137]&quot;,&quot;manualOverrideText&quot;:&quot;&quot;},&quot;citationTag&quot;:&quot;MENDELEY_CITATION_v3_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&quot;,&quot;citationItems&quot;:[{&quot;id&quot;:&quot;2e3cfbe9-284a-3dde-854d-bd86af91ae7e&quot;,&quot;itemData&quot;:{&quot;type&quot;:&quot;article-journal&quot;,&quot;id&quot;:&quot;2e3cfbe9-284a-3dde-854d-bd86af91ae7e&quot;,&quot;title&quot;:&quot;A flexibly shaped spatial scan statistic for detecting clusters&quot;,&quot;author&quot;:[{&quot;family&quot;:&quot;Tango&quot;,&quot;given&quot;:&quot;Toshiro&quot;,&quot;parse-names&quot;:false,&quot;dropping-particle&quot;:&quot;&quot;,&quot;non-dropping-particle&quot;:&quot;&quot;},{&quot;family&quot;:&quot;Takahashi&quot;,&quot;given&quot;:&quot;Kunihiko&quot;,&quot;parse-names&quot;:false,&quot;dropping-particle&quot;:&quot;&quot;,&quot;non-dropping-particle&quot;:&quot;&quot;}],&quot;container-title&quot;:&quot;International Journal of Health Geographics&quot;,&quot;container-title-short&quot;:&quot;Int J Health Geogr&quot;,&quot;accessed&quot;:{&quot;date-parts&quot;:[[2022,5,7]]},&quot;DOI&quot;:&quot;10.1186/1476-072X-4-11/TABLES/6&quot;,&quot;ISSN&quot;:&quot;1476072X&quot;,&quot;URL&quot;:&quot;https://ij-healthgeographics.biomedcentral.com/articles/10.1186/1476-072X-4-11&quot;,&quot;issued&quot;:{&quot;date-parts&quot;:[[2005,5,18]]},&quot;page&quot;:&quot;1-15&quot;,&quot;abstract&quot;:&quot;Background: The spatial scan statistic proposed by Kulldorff has been applied to a wide variety of epidemiological studies for cluster detection. This scan statistic, however, uses a circular window to define the potential cluster areas and thus has difficulty in correctly detecting actual noncircular clusters. A recent proposal by Duczmal and Assunção for detecting noncircular clusters is shown to detect a cluster of very irregular shape that is much larger than the true cluster in our experiences. Methods: We propose a flexibly shaped spatial scan statistic that can detect irregular shaped clusters within relatively small neighborhoods of each region. The performance of the proposed spatial scan statistic is compared to that of Kulldorff's circular spatial scan statistic with Monte Carlo simulation by considering several circular and noncircular hot-spot cluster models. For comparison, we also propose a new bivariate power distribution classified by the number of regions detected as the most likely cluster and the number of hot-spot regions included in the most likely cluster. Results: The circular spatial scan statistics shows a high level of accuracy in detecting circular clusters exactly. The proposed spatial scan statistic is shown to have good usual powers plus the ability to detect the noncircular hot-spot clusters more accurately than the circular one. Conclusions: The proposed spatial scan statistic is shown to work well for small to moderate cluster size, up to say 30. For larger cluster sizes, the method is not practically feasible and a more efficient algorithm is needed. © 2005 Tango and Takahashi, licensee BioMed Central Ltd.&quot;,&quot;publisher&quot;:&quot;BioMed Central&quot;,&quot;issue&quot;:&quot;1&quot;,&quot;volume&quot;:&quot;4&quot;},&quot;isTemporary&quot;:false}]},{&quot;citationID&quot;:&quot;MENDELEY_CITATION_b14d572b-c442-4a47-b006-38df4c76f9a9&quot;,&quot;properties&quot;:{&quot;noteIndex&quot;:0},&quot;isEdited&quot;:false,&quot;manualOverride&quot;:{&quot;isManuallyOverridden&quot;:false,&quot;citeprocText&quot;:&quot;[138–140]&quot;,&quot;manualOverrideText&quot;:&quot;&quot;},&quot;citationTag&quot;:&quot;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&quot;,&quot;citationItems&quot;:[{&quot;id&quot;:&quot;09d0888c-4ab4-32c2-9599-000be1622598&quot;,&quot;itemData&quot;:{&quot;type&quot;:&quot;article-journal&quot;,&quot;id&quot;:&quot;09d0888c-4ab4-32c2-9599-000be1622598&quot;,&quot;title&quot;:&quot;Geographic disparities in COVID-19 testing and outcomes in Florida&quot;,&quot;author&quot;:[{&quot;family&quot;:&quot;Khan&quot;,&quot;given&quot;:&quot;Md Marufuzzaman&quot;,&quot;parse-names&quot;:false,&quot;dropping-particle&quot;:&quot;&quot;,&quot;non-dropping-particle&quot;:&quot;&quot;},{&quot;family&quot;:&quot;Odoi&quot;,&quot;given&quot;:&quot;Agricola&quot;,&quot;parse-names&quot;:false,&quot;dropping-particle&quot;:&quot;&quot;,&quot;non-dropping-particle&quot;:&quot;&quot;},{&quot;family&quot;:&quot;Odoi&quot;,&quot;given&quot;:&quot;Evah W.&quot;,&quot;parse-names&quot;:false,&quot;dropping-particle&quot;:&quot;&quot;,&quot;non-dropping-particle&quot;:&quot;&quot;}],&quot;container-title&quot;:&quot;BMC Public Health&quot;,&quot;container-title-short&quot;:&quot;BMC Public Health&quot;,&quot;accessed&quot;:{&quot;date-parts&quot;:[[2025,5,18]]},&quot;DOI&quot;:&quot;10.1186/S12889-022-14450-9/TABLES/4&quot;,&quot;ISSN&quot;:&quot;14712458&quot;,&quot;PMID&quot;:&quot;36631768&quot;,&quot;URL&quot;:&quot;https://bmcpublichealth.biomedcentral.com/articles/10.1186/s12889-022-14450-9&quot;,&quot;issued&quot;:{&quot;date-parts&quot;:[[2023,12,1]]},&quot;page&quot;:&quot;1-13&quot;,&quot;abstract&quot;:&quot;Background: Understanding geographic disparities in Coronavirus Disease 2019 (COVID-19) testing and outcomes at the local level during the early stages of the pandemic can guide policies, inform allocation of control and prevention resources, and provide valuable baseline data to evaluate the effectiveness of interventions for mitigating health, economic and social impacts. Therefore, the objective of this study was to identify geographic disparities in COVID-19 testing, incidence, hospitalizations, and deaths during the first five months of the pandemic in Florida. Methods: Florida county-level COVID-19 data for the time period March-July 2020 were used to compute various COVID-19 metrics including testing rates, positivity rates, incidence risks, percent of hospitalized cases, hospitalization risks, case-fatality rates, and mortality risks. High or low risk clusters were identified using either Kulldorff’s circular spatial scan statistics or Tango’s flexible spatial scan statistics and their locations were visually displayed using QGIS. Results: Visual examination of spatial patterns showed high estimates of all COVID-19 metrics for Southern Florida. Similar to the spatial patterns, high-risk clusters for testing and positivity rates and all COVID-19 outcomes (i.e. hospitalizations and deaths) were concentrated in Southern Florida. The distributions of these metrics in the other parts of Florida were more heterogeneous. For instance, testing rates for parts of Northwest Florida were well below the state median (11,697 tests/100,000 persons) but they were above the state median for North Central Florida. The incidence risks for Northwest Florida were equal to or above the state median incidence risk (878 cases/100,000 persons), but the converse was true for parts of North Central Florida. Consequently, a cluster of high testing rates was identified in North Central Florida, while a cluster of low testing rate and 1–3 clusters of high incidence risks, percent of hospitalized cases, hospitalization risks, and case fatality rates were identified in Northwest Florida. Central Florida had low-rate clusters of testing and positivity rates but it had a high-risk cluster of percent of hospitalized cases. Conclusions: Substantial disparities in the spatial distribution of COVID-19 outcomes and testing and positivity rates exist in Florida, with Southern Florida counties generally having higher testing and positivity rates and more severe outcomes (i.e. hospitalizations and deaths) compared to Northern Florida. These findings provide valuable baseline data that is useful for assessing the effectiveness of preventive interventions, such as vaccinations, in various geographic locations in the state. Future studies will need to assess changes in spatial patterns over time at lower geographical scales and determinants of any identified patterns.&quot;,&quot;publisher&quot;:&quot;BioMed Central Ltd&quot;,&quot;issue&quot;:&quot;1&quot;,&quot;volume&quot;:&quot;23&quot;},&quot;isTemporary&quot;:false},{&quot;id&quot;:&quot;3978beee-e0e0-31e5-8f3f-e0f6f9767a64&quot;,&quot;itemData&quot;:{&quot;type&quot;:&quot;article-journal&quot;,&quot;id&quot;:&quot;3978beee-e0e0-31e5-8f3f-e0f6f9767a64&quot;,&quot;title&quot;:&quot;Geographic disparities, determinants, and temporal changes in the prevalence of pre-diabetes in Florida&quot;,&quot;author&quot;:[{&quot;family&quot;:&quot;Lord&quot;,&quot;given&quot;:&quot;Jennifer&quot;,&quot;parse-names&quot;:false,&quot;dropping-particle&quot;:&quot;&quot;,&quot;non-dropping-particle&quot;:&quot;&quot;},{&quot;family&quot;:&quot;Roberson&quot;,&quot;given&quot;:&quot;Shamarial&quot;,&quot;parse-names&quot;:false,&quot;dropping-particle&quot;:&quot;&quot;,&quot;non-dropping-particle&quot;:&quot;&quot;},{&quot;family&quot;:&quot;Odoi&quot;,&quot;given&quot;:&quot;Agricola&quot;,&quot;parse-names&quot;:false,&quot;dropping-particle&quot;:&quot;&quot;,&quot;non-dropping-particle&quot;:&quot;&quot;}],&quot;container-title&quot;:&quot;PeerJ&quot;,&quot;container-title-short&quot;:&quot;PeerJ&quot;,&quot;accessed&quot;:{&quot;date-parts&quot;:[[2025,5,18]]},&quot;DOI&quot;:&quot;10.7717/PEERJ.10443,&quot;,&quot;ISSN&quot;:&quot;21678359&quot;,&quot;URL&quot;:&quot;https://pubmed.ncbi.nlm.nih.gov/33520433/&quot;,&quot;issued&quot;:{&quot;date-parts&quot;:[[2021,1,13]]},&quot;abstract&quot;:&quot;Background. Left unchecked, pre-diabetes progresses to diabetes and its complications that are important health burdens in the United States. There is evidence of geographic disparities in the condition with some areas having a significantly high risks of the condition and its risk factors. Identifying these disparities, their determinants, and changes in burden are useful for guiding control programs and stopping the progression of pre-diabetes to diabetes. Therefore, the objectives of this study were to investigate geographic disparities of pre-diabetes prevalence in Florida, identify predictors of the observed spatial patterns, as well as changes in disease burden between 2013 and 2016. Methods. The 2013 and 2016 Behavioral Risk Factor Surveillance System data were obtained from the Florida Department of Health. Counties with significant changes in the prevalence of the condition between 2013 and 2016 were identified using tests for equality of proportions adjusted for multiple comparisons using the Simes method. Flexible scan statistics were used to identify significant high prevalence geographic clusters. Multivariable regression models were used to identify determinants of county-level pre-diabetes prevalence. Results. The state-wide age-adjusted prevalence of pre-diabetes increased significantly (p ≤ 0.05) from 8.0% in 2013 to 10.5% in 2016 with 72% (48/67) of the counties reporting statistically significant increases. Significant local geographic hotspots were identified. High prevalence of pre-diabetes tended to occur in counties with high proportions of non-Hispanic black population, low median household income, and low proportion of the population without health insurance coverage. Conclusions. Geographic disparities of pre-diabetes continues to exist in Florida with most counties reporting significant increases in prevalence between 2013 and 2016. These findings are critical for guiding health planning, resource allocation and intervention programs.&quot;,&quot;publisher&quot;:&quot;PeerJ Inc.&quot;,&quot;volume&quot;:&quot;9&quot;},&quot;isTemporary&quot;:false},{&quot;id&quot;:&quot;94b3778e-9d74-3cef-b832-aa7714de69d6&quot;,&quot;itemData&quot;:{&quot;type&quot;:&quot;article-journal&quot;,&quot;id&quot;:&quot;94b3778e-9d74-3cef-b832-aa7714de69d6&quot;,&quot;title&quot;:&quot;Relative risk estimates from spatial and space-time scan statistics: Are they biased?&quot;,&quot;author&quot;:[{&quot;family&quot;:&quot;Prates&quot;,&quot;given&quot;:&quot;Marcos O.&quot;,&quot;parse-names&quot;:false,&quot;dropping-particle&quot;:&quot;&quot;,&quot;non-dropping-particle&quot;:&quot;&quot;},{&quot;family&quot;:&quot;Kulldorff&quot;,&quot;given&quot;:&quot;Martin&quot;,&quot;parse-names&quot;:false,&quot;dropping-particle&quot;:&quot;&quot;,&quot;non-dropping-particle&quot;:&quot;&quot;},{&quot;family&quot;:&quot;Assunção&quot;,&quot;given&quot;:&quot;Renato M.&quot;,&quot;parse-names&quot;:false,&quot;dropping-particle&quot;:&quot;&quot;,&quot;non-dropping-particle&quot;:&quot;&quot;}],&quot;container-title&quot;:&quot;Statistics in medicine&quot;,&quot;container-title-short&quot;:&quot;Stat Med&quot;,&quot;accessed&quot;:{&quot;date-parts&quot;:[[2025,5,18]]},&quot;DOI&quot;:&quot;10.1002/SIM.6143&quot;,&quot;ISSN&quot;:&quot;10970258&quot;,&quot;PMID&quot;:&quot;24639031&quot;,&quot;URL&quot;:&quot;https://pmc.ncbi.nlm.nih.gov/articles/PMC4047196/&quot;,&quot;issued&quot;:{&quot;date-parts&quot;:[[2014,7,10]]},&quot;page&quot;:&quot;2634&quot;,&quot;abstract&quot;:&quot;The purely spatial and space-time scan statistics have been successfully used by many scientists to detect and evaluate geographical disease clusters. Although the scan statistic has high power in correctly identifying a cluster, no study has considered the estimates of the cluster relative risk in the detected cluster. In this paper, we evaluate whether there is any bias on these estimated relative risks. Intuitively, one may expect that the estimated relative risks has upward bias, because the scan statistic cherry picks high rate areas to include in the cluster. We show that this intuition is correct for clusters with low statistical power, but with medium to high power, the bias becomes negligible. The same behavior is not observed for the prospective space-time scan statistic, where there is an increasing conservative downward bias of the relative risk as the power to detect the cluster increases. © 2014 John Wiley &amp; Sons, Ltd.&quot;,&quot;publisher&quot;:&quot;John Wiley and Sons Ltd&quot;,&quot;issue&quot;:&quot;15&quot;,&quot;volume&quot;:&quot;33&quot;},&quot;isTemporary&quot;:false}]},{&quot;citationID&quot;:&quot;MENDELEY_CITATION_de43d694-805d-4e09-8ce4-d92c40e078a8&quot;,&quot;properties&quot;:{&quot;noteIndex&quot;:0},&quot;isEdited&quot;:false,&quot;manualOverride&quot;:{&quot;isManuallyOverridden&quot;:false,&quot;citeprocText&quot;:&quot;[132]&quot;,&quot;manualOverrideText&quot;:&quot;&quot;},&quot;citationTag&quot;:&quot;MENDELEY_CITATION_v3_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&quot;,&quot;citationItems&quot;:[{&quot;id&quot;:&quot;31af522d-5e00-3e3f-a9f9-b9bdfb73a29a&quot;,&quot;itemData&quot;:{&quot;type&quot;:&quot;article&quot;,&quot;id&quot;:&quot;31af522d-5e00-3e3f-a9f9-b9bdfb73a29a&quot;,&quot;title&quot;:&quot;RStudio: Integrated Development Environment for R&quot;,&quot;author&quot;:[{&quot;family&quot;:&quot;RStudio Team&quot;,&quot;given&quot;:&quot;&quot;,&quot;parse-names&quot;:false,&quot;dropping-particle&quot;:&quot;&quot;,&quot;non-dropping-particle&quot;:&quot;&quot;}],&quot;number&quot;:&quot;2021.09.2&quot;,&quot;issued&quot;:{&quot;date-parts&quot;:[[2020]]},&quot;publisher-place&quot;:&quot;Boston, MA, USA&quot;,&quot;publisher&quot;:&quot;RStudio, Inc.&quot;,&quot;container-title-short&quot;:&quot;&quot;},&quot;isTemporary&quot;:false}]},{&quot;citationID&quot;:&quot;MENDELEY_CITATION_3915d058-f7d0-4566-91f1-31b24b94f49e&quot;,&quot;properties&quot;:{&quot;noteIndex&quot;:0},&quot;isEdited&quot;:false,&quot;manualOverride&quot;:{&quot;isManuallyOverridden&quot;:false,&quot;citeprocText&quot;:&quot;[133]&quot;,&quot;manualOverrideText&quot;:&quot;&quot;},&quot;citationTag&quot;:&quot;MENDELEY_CITATION_v3_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&quot;,&quot;citationItems&quot;:[{&quot;id&quot;:&quot;d6f70ed0-456f-37c1-97f8-ca34de1881d8&quot;,&quot;itemData&quot;:{&quot;type&quot;:&quot;article&quot;,&quot;id&quot;:&quot;d6f70ed0-456f-37c1-97f8-ca34de1881d8&quot;,&quot;title&quot;:&quot;R: A Language and Environment for Statistical Computing&quot;,&quot;author&quot;:[{&quot;family&quot;:&quot;R Core Team&quot;,&quot;given&quot;:&quot;&quot;,&quot;parse-names&quot;:false,&quot;dropping-particle&quot;:&quot;&quot;,&quot;non-dropping-particle&quot;:&quot;&quot;}],&quot;number&quot;:&quot;4.0.3&quot;,&quot;URL&quot;:&quot;https://www.r-project.org/&quot;,&quot;issued&quot;:{&quot;date-parts&quot;:[[2020]]},&quot;publisher-place&quot;:&quot;Vienna, Austria&quot;,&quot;container-title-short&quot;:&quot;&quot;},&quot;isTemporary&quot;:false}]},{&quot;citationID&quot;:&quot;MENDELEY_CITATION_34c69c8e-ecdf-4f1e-9e37-93ec4d138694&quot;,&quot;properties&quot;:{&quot;noteIndex&quot;:0},&quot;isEdited&quot;:false,&quot;manualOverride&quot;:{&quot;isManuallyOverridden&quot;:false,&quot;citeprocText&quot;:&quot;[136]&quot;,&quot;manualOverrideText&quot;:&quot;&quot;},&quot;citationTag&quot;:&quot;MENDELEY_CITATION_v3_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&quot;,&quot;citationItems&quot;:[{&quot;id&quot;:&quot;3927b58f-a1c9-3e65-ba89-65f246078035&quot;,&quot;itemData&quot;:{&quot;type&quot;:&quot;article-journal&quot;,&quot;id&quot;:&quot;3927b58f-a1c9-3e65-ba89-65f246078035&quot;,&quot;title&quot;:&quot;Algorithm AS 181: The W Test for Normality&quot;,&quot;author&quot;:[{&quot;family&quot;:&quot;Royston&quot;,&quot;given&quot;:&quot;J. P.&quot;,&quot;parse-names&quot;:false,&quot;dropping-particle&quot;:&quot;&quot;,&quot;non-dropping-particle&quot;:&quot;&quot;}],&quot;container-title&quot;:&quot;Applied Statistics&quot;,&quot;container-title-short&quot;:&quot;Appl Stat&quot;,&quot;accessed&quot;:{&quot;date-parts&quot;:[[2025,1,15]]},&quot;DOI&quot;:&quot;10.2307/2347986&quot;,&quot;ISSN&quot;:&quot;00359254&quot;,&quot;issued&quot;:{&quot;date-parts&quot;:[[1982]]},&quot;page&quot;:&quot;176&quot;,&quot;abstract&quot;:&quo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quot;,&quot;publisher&quot;:&quot;JSTOR&quot;,&quot;issue&quot;:&quot;2&quot;,&quot;volume&quot;:&quot;31&quot;},&quot;isTemporary&quot;:false}]},{&quot;citationID&quot;:&quot;MENDELEY_CITATION_f441cf78-678b-47e4-a4f1-00c4af394054&quot;,&quot;properties&quot;:{&quot;noteIndex&quot;:0},&quot;isEdited&quot;:false,&quot;manualOverride&quot;:{&quot;isManuallyOverridden&quot;:false,&quot;citeprocText&quot;:&quot;[141]&quot;,&quot;manualOverrideText&quot;:&quot;&quot;},&quot;citationTag&quot;:&quot;MENDELEY_CITATION_v3_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&quot;,&quot;citationItems&quot;:[{&quot;id&quot;:&quot;37c97856-f5f4-3b16-b6b2-c342486e86b4&quot;,&quot;itemData&quot;:{&quot;type&quot;:&quot;article-journal&quot;,&quot;id&quot;:&quot;37c97856-f5f4-3b16-b6b2-c342486e86b4&quot;,&quot;title&quot;:&quot;A Simple Test for Heteroscedasticity and Random Coefficient Variation&quot;,&quot;author&quot;:[{&quot;family&quot;:&quot;Breusch&quot;,&quot;given&quot;:&quot;T. S.&quot;,&quot;parse-names&quot;:false,&quot;dropping-particle&quot;:&quot;&quot;,&quot;non-dropping-particle&quot;:&quot;&quot;},{&quot;family&quot;:&quot;Pagan&quot;,&quot;given&quot;:&quot;A. R.&quot;,&quot;parse-names&quot;:false,&quot;dropping-particle&quot;:&quot;&quot;,&quot;non-dropping-particle&quot;:&quot;&quot;}],&quot;container-title&quot;:&quot;Econometrica&quot;,&quot;accessed&quot;:{&quot;date-parts&quot;:[[2025,5,18]]},&quot;DOI&quot;:&quot;10.2307/1911963&quot;,&quot;ISSN&quot;:&quot;00129682&quot;,&quot;issued&quot;:{&quot;date-parts&quot;:[[1979,9]]},&quot;page&quot;:&quot;1287&quot;,&quot;abstract&quot;:&quot;A simple test for heteroscedastic disturbances in a linear regression model is developed using the framework of the Lagrangian multiplier test. For a wide range of heteroscedastic and random coeffecient specifications, the criterion is given as a readily computed fucntion of the OLS residuals. Some finite sample evidence is presented to supplement the general asymptotic properties of Lagrangian multiplier tests.&quot;,&quot;publisher&quot;:&quot;JSTOR&quot;,&quot;issue&quot;:&quot;5&quot;,&quot;volume&quot;:&quot;47&quot;,&quot;container-title-short&quot;:&quot;&quot;},&quot;isTemporary&quot;:false}]},{&quot;citationID&quot;:&quot;MENDELEY_CITATION_5d7e9b4b-02a3-48c7-9683-c9b893d843f5&quot;,&quot;properties&quot;:{&quot;noteIndex&quot;:0},&quot;isEdited&quot;:false,&quot;manualOverride&quot;:{&quot;isManuallyOverridden&quot;:false,&quot;citeprocText&quot;:&quot;[134]&quot;,&quot;manualOverrideText&quot;:&quot;&quot;},&quot;citationTag&quot;:&quot;MENDELEY_CITATION_v3_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&quot;,&quot;citationItems&quot;:[{&quot;id&quot;:&quot;36563a6b-929c-3d2d-acdc-befd07c3d8fd&quot;,&quot;itemData&quot;:{&quot;type&quot;:&quot;book&quot;,&quot;id&quot;:&quot;36563a6b-929c-3d2d-acdc-befd07c3d8fd&quot;,&quot;title&quot;:&quot;Methods in Epidemiologic Research&quot;,&quot;author&quot;:[{&quot;family&quot;:&quot;Dohoo&quot;,&quot;given&quot;:&quot;Ian&quot;,&quot;parse-names&quot;:false,&quot;dropping-particle&quot;:&quot;&quot;,&quot;non-dropping-particle&quot;:&quot;&quot;},{&quot;family&quot;:&quot;Martin&quot;,&quot;given&quot;:&quot;Wayne&quot;,&quot;parse-names&quot;:false,&quot;dropping-particle&quot;:&quot;&quot;,&quot;non-dropping-particle&quot;:&quot;&quot;},{&quot;family&quot;:&quot;Stryhn&quot;,&quot;given&quot;:&quot;Henrik&quot;,&quot;parse-names&quot;:false,&quot;dropping-particle&quot;:&quot;&quot;,&quot;non-dropping-particle&quot;:&quot;&quot;}],&quot;editor&quot;:[{&quot;family&quot;:&quot;McPike&quot;,&quot;given&quot;:&quot;S Margaret&quot;,&quot;parse-names&quot;:false,&quot;dropping-particle&quot;:&quot;&quot;,&quot;non-dropping-particle&quot;:&quot;&quot;}],&quot;ISBN&quot;:&quot;978-0-919013-73-5&quot;,&quot;issued&quot;:{&quot;date-parts&quot;:[[2012]]},&quot;publisher-place&quot;:&quot;Charlottetown, Prince Edward Island, Canda&quot;,&quot;number-of-pages&quot;:&quot;90-93&quot;,&quot;edition&quot;:&quot;1&quot;,&quot;publisher&quot;:&quot;VER Inc.&quot;,&quot;container-title-short&quot;:&quot;&quot;},&quot;isTemporary&quot;:false}]},{&quot;citationID&quot;:&quot;MENDELEY_CITATION_70024a16-6258-4094-a3a1-946ccb9a914f&quot;,&quot;properties&quot;:{&quot;noteIndex&quot;:0},&quot;isEdited&quot;:false,&quot;manualOverride&quot;:{&quot;isManuallyOverridden&quot;:false,&quot;citeprocText&quot;:&quot;[133]&quot;,&quot;manualOverrideText&quot;:&quot;&quot;},&quot;citationTag&quot;:&quot;MENDELEY_CITATION_v3_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&quot;,&quot;citationItems&quot;:[{&quot;id&quot;:&quot;d6f70ed0-456f-37c1-97f8-ca34de1881d8&quot;,&quot;itemData&quot;:{&quot;type&quot;:&quot;article&quot;,&quot;id&quot;:&quot;d6f70ed0-456f-37c1-97f8-ca34de1881d8&quot;,&quot;title&quot;:&quot;R: A Language and Environment for Statistical Computing&quot;,&quot;author&quot;:[{&quot;family&quot;:&quot;R Core Team&quot;,&quot;given&quot;:&quot;&quot;,&quot;parse-names&quot;:false,&quot;dropping-particle&quot;:&quot;&quot;,&quot;non-dropping-particle&quot;:&quot;&quot;}],&quot;number&quot;:&quot;4.0.3&quot;,&quot;URL&quot;:&quot;https://www.r-project.org/&quot;,&quot;issued&quot;:{&quot;date-parts&quot;:[[2020]]},&quot;publisher-place&quot;:&quot;Vienna, Austria&quot;,&quot;container-title-short&quot;:&quot;&quot;},&quot;isTemporary&quot;:false}]},{&quot;citationID&quot;:&quot;MENDELEY_CITATION_9930eb57-d292-4f2a-8ea4-f57928708dc7&quot;,&quot;properties&quot;:{&quot;noteIndex&quot;:0},&quot;isEdited&quot;:false,&quot;manualOverride&quot;:{&quot;isManuallyOverridden&quot;:false,&quot;citeprocText&quot;:&quot;[132]&quot;,&quot;manualOverrideText&quot;:&quot;&quot;},&quot;citationTag&quot;:&quot;MENDELEY_CITATION_v3_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&quot;,&quot;citationItems&quot;:[{&quot;id&quot;:&quot;31af522d-5e00-3e3f-a9f9-b9bdfb73a29a&quot;,&quot;itemData&quot;:{&quot;type&quot;:&quot;article&quot;,&quot;id&quot;:&quot;31af522d-5e00-3e3f-a9f9-b9bdfb73a29a&quot;,&quot;title&quot;:&quot;RStudio: Integrated Development Environment for R&quot;,&quot;author&quot;:[{&quot;family&quot;:&quot;RStudio Team&quot;,&quot;given&quot;:&quot;&quot;,&quot;parse-names&quot;:false,&quot;dropping-particle&quot;:&quot;&quot;,&quot;non-dropping-particle&quot;:&quot;&quot;}],&quot;number&quot;:&quot;2021.09.2&quot;,&quot;issued&quot;:{&quot;date-parts&quot;:[[2020]]},&quot;publisher-place&quot;:&quot;Boston, MA, USA&quot;,&quot;publisher&quot;:&quot;RStudio, Inc.&quot;,&quot;container-title-short&quot;:&quot;&quot;},&quot;isTemporary&quot;:false}]},{&quot;citationID&quot;:&quot;MENDELEY_CITATION_be6f8e9e-61d0-4beb-a705-78e91899b717&quot;,&quot;properties&quot;:{&quot;noteIndex&quot;:0},&quot;isEdited&quot;:false,&quot;manualOverride&quot;:{&quot;isManuallyOverridden&quot;:false,&quot;citeprocText&quot;:&quot;[142]&quot;,&quot;manualOverrideText&quot;:&quot;&quot;},&quot;citationTag&quot;:&quot;MENDELEY_CITATION_v3_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&quot;,&quot;citationItems&quot;:[{&quot;id&quot;:&quot;ddc85407-9190-3bf8-98b1-8c79ee6a24db&quot;,&quot;itemData&quot;:{&quot;type&quot;:&quot;article-journal&quot;,&quot;id&quot;:&quot;ddc85407-9190-3bf8-98b1-8c79ee6a24db&quot;,&quot;title&quot;:&quot;GeoDa: An Introduction to Spatial Data Analysis&quot;,&quot;author&quot;:[{&quot;family&quot;:&quot;Anselin&quot;,&quot;given&quot;:&quot;Luc&quot;,&quot;parse-names&quot;:false,&quot;dropping-particle&quot;:&quot;&quot;,&quot;non-dropping-particle&quot;:&quot;&quot;},{&quot;family&quot;:&quot;Syabri&quot;,&quot;given&quot;:&quot;Ibnu&quot;,&quot;parse-names&quot;:false,&quot;dropping-particle&quot;:&quot;&quot;,&quot;non-dropping-particle&quot;:&quot;&quot;},{&quot;family&quot;:&quot;Kho&quot;,&quot;given&quot;:&quot;Youngihn&quot;,&quot;parse-names&quot;:false,&quot;dropping-particle&quot;:&quot;&quot;,&quot;non-dropping-particle&quot;:&quot;&quot;}],&quot;container-title&quot;:&quot;Geographical Analysis&quot;,&quot;container-title-short&quot;:&quot;Geogr Anal&quot;,&quot;accessed&quot;:{&quot;date-parts&quot;:[[2022,5,7]]},&quot;DOI&quot;:&quot;10.1111/J.0016-7363.2005.00671.X&quot;,&quot;ISSN&quot;:&quot;1538-4632&quot;,&quot;URL&quot;:&quot;https://onlinelibrary.wiley.com/doi/full/10.1111/j.0016-7363.2005.00671.x&quot;,&quot;issued&quot;:{&quot;date-parts&quot;:[[2006,1,1]]},&quot;page&quot;:&quot;5-22&quot;,&quot;abstract&quot;:&quot;This article presents an overview of GeoDa™, a free software program intended to serve as a user-friendly and graphical introduction to spatial analysis for non-geographic information systems (GIS) specialists. It includes functionality ranging from simple mapping to exploratory data analysis, the visualization of global and local spatial autocorrelation, and spatial regression. A key feature of GeoDa is an interactive environment that combines maps with statistical graphics, using the technology of dynamically linked windows. A brief review of the software design is given, as well as some illustrative examples that highlight distinctive features of the program in applications dealing with public health, economic development, real estate analysis, and criminology. © 2006 The Ohio State University.&quot;,&quot;publisher&quot;:&quot;John Wiley &amp; Sons, Ltd&quot;,&quot;issue&quot;:&quot;1&quot;,&quot;volume&quot;:&quot;38&quot;},&quot;isTemporary&quot;:false}]},{&quot;citationID&quot;:&quot;MENDELEY_CITATION_3f27560b-9ee7-46f8-94e2-fd25b5b26ad2&quot;,&quot;properties&quot;:{&quot;noteIndex&quot;:0},&quot;isEdited&quot;:false,&quot;manualOverride&quot;:{&quot;isManuallyOverridden&quot;:false,&quot;citeprocText&quot;:&quot;[143]&quot;,&quot;manualOverrideText&quot;:&quot;&quot;},&quot;citationTag&quot;:&quot;MENDELEY_CITATION_v3_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&quot;,&quot;citationItems&quot;:[{&quot;id&quot;:&quot;244c8456-4552-3fcf-b04e-e772a5c5a4e1&quot;,&quot;itemData&quot;:{&quot;type&quot;:&quot;article&quot;,&quot;id&quot;:&quot;244c8456-4552-3fcf-b04e-e772a5c5a4e1&quot;,&quot;title&quot;:&quot;ArcGIS Desktop&quot;,&quot;author&quot;:[{&quot;family&quot;:&quot;Environmental Systems Research Institute (ESRI)&quot;,&quot;given&quot;:&quot;&quot;,&quot;parse-names&quot;:false,&quot;dropping-particle&quot;:&quot;&quot;,&quot;non-dropping-particle&quot;:&quot;&quot;}],&quot;issued&quot;:{&quot;date-parts&quot;:[[2017]]},&quot;container-title-short&quot;:&quot;&quot;},&quot;isTemporary&quot;:false}]},{&quot;citationID&quot;:&quot;MENDELEY_CITATION_6114fe9c-0a89-4402-b5e9-d3620dfc0426&quot;,&quot;properties&quot;:{&quot;noteIndex&quot;:0},&quot;isEdited&quot;:false,&quot;manualOverride&quot;:{&quot;isManuallyOverridden&quot;:false,&quot;citeprocText&quot;:&quot;[144]&quot;,&quot;manualOverrideText&quot;:&quot;&quot;},&quot;citationTag&quot;:&quot;MENDELEY_CITATION_v3_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&quot;,&quot;citationItems&quot;:[{&quot;id&quot;:&quot;26a5aa03-4015-3d0b-a35a-653b21e0aa7f&quot;,&quot;itemData&quot;:{&quot;type&quot;:&quot;article-journal&quot;,&quot;id&quot;:&quot;26a5aa03-4015-3d0b-a35a-653b21e0aa7f&quot;,&quot;title&quot;:&quot;Evaluation of Methods for Classifying Epidemiological Data on Choropleth Maps in Series&quot;,&quot;author&quot;:[{&quot;family&quot;:&quot;Brewer&quot;,&quot;given&quot;:&quot;Cynthia A.&quot;,&quot;parse-names&quot;:false,&quot;dropping-particle&quot;:&quot;&quot;,&quot;non-dropping-particle&quot;:&quot;&quot;},{&quot;family&quot;:&quot;Pickle&quot;,&quot;given&quot;:&quot;Linda&quot;,&quot;parse-names&quot;:false,&quot;dropping-particle&quot;:&quot;&quot;,&quot;non-dropping-particle&quot;:&quot;&quot;}],&quot;container-title&quot;:&quot;Annals of the Association of American Geographers&quot;,&quot;accessed&quot;:{&quot;date-parts&quot;:[[2025,5,18]]},&quot;DOI&quot;:&quot;10.1111/1467-8306.00310&quot;,&quot;ISSN&quot;:&quot;1467-8306&quot;,&quot;URL&quot;:&quot;/doi/pdf/10.1111/1467-8306.00310&quot;,&quot;issued&quot;:{&quot;date-parts&quot;:[[2002,12,1]]},&quot;page&quot;:&quot;662-681&quot;,&quot;abstract&quot;:&quot;Our research goal was to determine which choropleth classification methods are most suitable for epidemiological rate maps. We compared seven methods using responses by fifty-six subjects in a two-part experiment involving nine series of U.S. mortality maps. Subjects answered a wide range of general map-reading questions that involved individual maps and comparisons among maps in a series. The questions addressed varied scales of map-reading, from individual enumeration units, to regions, to whole-map distributions. Quantiles and minimum boundary error classification methods were best suited for these general choropleth map-reading tasks. Natural breaks (Jenks) and a hybrid version of equal-intervals classing formed a second grouping in the results, both producing responses less than 70 percent as accurate as for quantiles. Using matched legends across a series of maps (when possible) increased map-comparison accuracy by approximately 28 percent. The advantages of careful optimization procedures in choropleth classification seem to offer no benefit over the simpler quantile method for the general map-reading tasks tested in the reported experiment. © 2002 by Association of American Geographers.&quot;,&quot;publisher&quot;:&quot;John Wiley &amp; Sons, Ltd&quot;,&quot;issue&quot;:&quot;4&quot;,&quot;volume&quot;:&quot;92&quot;,&quot;container-title-short&quot;:&quot;&quot;},&quot;isTemporary&quot;:false}]},{&quot;citationID&quot;:&quot;MENDELEY_CITATION_6f4ded89-5fbb-466b-85f4-210c81036652&quot;,&quot;properties&quot;:{&quot;noteIndex&quot;:0},&quot;isEdited&quot;:false,&quot;manualOverride&quot;:{&quot;isManuallyOverridden&quot;:false,&quot;citeprocText&quot;:&quot;[4,64,70,72,73,75]&quot;,&quot;manualOverrideText&quot;:&quot;&quot;},&quot;citationTag&quot;:&quot;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&quot;,&quot;citationItems&quot;:[{&quot;id&quot;:&quot;d5e2acfb-6d6a-3542-a753-11d79b99091d&quot;,&quot;itemData&quot;:{&quot;type&quot;:&quot;article-journal&quot;,&quot;id&quot;:&quot;d5e2acfb-6d6a-3542-a753-11d79b99091d&quot;,&quot;title&quot;:&quot;The Geography of COPD Hospitalization in California&quot;,&quot;author&quot;:[{&quot;family&quot;:&quot;Lipton&quot;,&quot;given&quot;:&quot;Robert&quot;,&quot;parse-names&quot;:false,&quot;dropping-particle&quot;:&quot;&quot;,&quot;non-dropping-particle&quot;:&quot;&quot;},{&quot;family&quot;:&quot;Banerjee&quot;,&quot;given&quot;:&quot;Aniruddha&quot;,&quot;parse-names&quot;:false,&quot;dropping-particle&quot;:&quot;&quot;,&quot;non-dropping-particle&quot;:&quot;&quot;},{&quot;family&quot;:&quot;Dowling&quot;,&quot;given&quot;:&quot;Kathryn C&quot;,&quot;parse-names&quot;:false,&quot;dropping-particle&quot;:&quot;&quot;,&quot;non-dropping-particle&quot;:&quot;&quot;},{&quot;family&quot;:&quot;Treno&quot;,&quot;given&quot;:&quot;Andrew J&quot;,&quot;parse-names&quot;:false,&quot;dropping-particle&quot;:&quot;&quot;,&quot;non-dropping-particle&quot;:&quot;&quot;}],&quot;container-title&quot;:&quot;COPD: Journal of Chronic Obstructive Pulmonary Disease&quot;,&quot;accessed&quot;:{&quot;date-parts&quot;:[[2022,5,8]]},&quot;DOI&quot;:&quot;10.1080/15412550500346543&quot;,&quot;ISSN&quot;:&quot;1541-2563&quot;,&quot;URL&quot;:&quot;https://www.tandfonline.com/action/journalInformation?journalCode=icop20&quot;,&quot;issued&quot;:{&quot;date-parts&quot;:[[2005]]},&quot;page&quot;:&quot;435-444&quot;,&quot;abstract&quot;:&quot;Exposure to tobacco smoke is an important risk factor for chronic obstructive pulmonary disease. We investigated the relationship between chronic obstructive pulmonary disease hospitalization counts (and hospitalization-related charges) in California and sociodemographic and smoking measures, employing geospatial techniques that permit more sensitive scrutiny at the zip code level while controlling for spatial confounding. We analyzed 1,707 zip code tabulation areas in California for chronic obstructive pulmonary disease hospitalization rates and related hospitalization charges (using 1999 hospital discharge data). After controlling for spatial auto-correlation, positive relationships were found for age, percentage Hispanics, number of tobacco outlets and level of smoking. Inverse relationships were found for percentage with undergraduate degrees and income level. When examining \&quot;hotspot\&quot; zip code tabulation areas (those with higher than expected model-based chronic obstructive pulmonary disease hospitalization counts), minority/immigrant status, depressed socioeconomic measures, and elevated tobacco use were clearly associated, suggesting the need for increased intervention among the poor and persons of color. Although limited by the availability of air pollution monitoring data, a preliminary descriptive analysis indicated that the numbers of particulate matter exceedances mirrored both the hotspots of the Los Angeles air basin and coldspots in the San Francisco Bay Area.&quot;,&quot;issue&quot;:&quot;4&quot;,&quot;volume&quot;:&quot;2&quot;,&quot;container-title-short&quot;:&quot;&quot;},&quot;isTemporary&quot;:false},{&quot;id&quot;:&quot;7986486d-c290-3383-8b0b-f3c6368f8fef&quot;,&quot;itemData&quot;:{&quot;type&quot;:&quot;article-journal&quot;,&quot;id&quot;:&quot;7986486d-c290-3383-8b0b-f3c6368f8fef&quot;,&quot;title&quot;:&quot;The Geography of Chronic Obstructive Pulmonary Disease Across Time: California in 1993 and 1999&quot;,&quot;author&quot;:[{&quot;family&quot;:&quot;Lipton&quot;,&quot;given&quot;:&quot;Robert&quot;,&quot;parse-names&quot;:false,&quot;dropping-particle&quot;:&quot;&quot;,&quot;non-dropping-particle&quot;:&quot;&quot;},{&quot;family&quot;:&quot;Banerjee&quot;,&quot;given&quot;:&quot;Anirudhha&quot;,&quot;parse-names&quot;:false,&quot;dropping-particle&quot;:&quot;&quot;,&quot;non-dropping-particle&quot;:&quot;&quot;}],&quot;container-title&quot;:&quot;International Journal of Medical Sciences&quot;,&quot;container-title-short&quot;:&quot;Int J Med Sci&quot;,&quot;accessed&quot;:{&quot;date-parts&quot;:[[2022,5,8]]},&quot;DOI&quot;:&quot;10.7150/IJMS.4.179&quot;,&quot;ISSN&quot;:&quot;14491907&quot;,&quot;PMID&quot;:&quot;17664956&quot;,&quot;URL&quot;:&quot;/pmc/articles/PMC1925151/&quot;,&quot;issued&quot;:{&quot;date-parts&quot;:[[2007,6,28]]},&quot;page&quot;:&quot;179&quot;,&quot;abstract&quot;:&quot;We investigated changes in the geography of Chronic Obstructuve Pulmonary Disease (COPD) hospitalization charges in California over the period of 1993 and 1999. There is little information available at less than the county level for this increasingly costly disease in California. We found, using a uniform grid unit method, (4X4 and 16X16 mile urban and rural grids respectively, using zip codes as the base source for information) positive relationships between COPD charges and age, percentage Hispanics, and number of tobacco outlets. Further, inverse relationships were found between the incidence of COPD charges and income level and the percentage of the population with undergraduate degrees. When examining \&quot;hotspot\&quot; grid units, we found that COPD was clearly associated with minority/immigrant status and depressed socio-economic measures, suggesting the need for better smoking interventions among persons of color and the poor. In summary, the Los Angeles area had a marked increase in hotspots both in 1993 and 1999, and also experienced a significant increase in COPD hospitalization charges between 1993 and 1999. Transforming zip code level data into a uniform grid allows for relatively simple comparisons across time, without such a transformation, such temporal comparisons are extremely difficult to implement. This more, \&quot;fine grained\&quot; geographical analysis allows public health planners a better platform than is typically available to assess changes in COPD. © Ivyspring International Publisher. All rights reserved.&quot;,&quot;publisher&quot;:&quot;Ivyspring International Publisher&quot;,&quot;issue&quot;:&quot;4&quot;,&quot;volume&quot;:&quot;4&quot;},&quot;isTemporary&quot;:false},{&quot;id&quot;:&quot;c6cf3923-a361-3308-9d3d-cc729e84d9e7&quot;,&quot;itemData&quot;:{&quot;type&quot;:&quot;article-journal&quot;,&quot;id&quot;:&quot;c6cf3923-a361-3308-9d3d-cc729e84d9e7&quot;,&quot;title&quot;:&quot;Spatial prevalence and associations among respiratory diseases in Maine&quot;,&quot;author&quot;:[{&quot;family&quot;:&quot;Farah&quot;,&quot;given&quot;:&quot;Christopher&quot;,&quot;parse-names&quot;:false,&quot;dropping-particle&quot;:&quot;&quot;,&quot;non-dropping-particle&quot;:&quot;&quot;},{&quot;family&quot;:&quot;Dean&quot;,&quot;given&quot;:&quot;H&quot;,&quot;parse-names&quot;:false,&quot;dropping-particle&quot;:&quot;&quot;,&quot;non-dropping-particle&quot;:&quot;&quot;},{&quot;family&quot;:&quot;Iii&quot;,&quot;given&quot;:&quot;Hosgood&quot;,&quot;parse-names&quot;:false,&quot;dropping-particle&quot;:&quot;&quot;,&quot;non-dropping-particle&quot;:&quot;&quot;},{&quot;family&quot;:&quot;Hock&quot;,&quot;given&quot;:&quot;Janet M&quot;,&quot;parse-names&quot;:false,&quot;dropping-particle&quot;:&quot;&quot;,&quot;non-dropping-particle&quot;:&quot;&quot;}],&quot;accessed&quot;:{&quot;date-parts&quot;:[[2022,5,8]]},&quot;DOI&quot;:&quot;10.1016/j.sste.2014.07.004&quot;,&quot;URL&quot;:&quot;http://dx.doi.org/10.1016/j.sste.2014.07.004&quot;,&quot;issued&quot;:{&quot;date-parts&quot;:[[2014]]},&quot;abstract&quot;:&quot;Chronic respiratory diseases rank among the leading global disease burdens. Maine's respiratory disease prevalence exceeds the US average, despite limited urbanization/industrial-ization. To provide insight into potential etiologic factors among this unique, rural population, we analyzed the spatial distributions of, and potential associations among asthma, COPD, pneumonia, and URI adult outpatient data (n = 47,099) from all outpatient transactions (n = 5,052,900) in 2009 for Maine hospitals and affiliate clinics, using spatial scan statistic, geographic weighted regression (GWR), and a Delaunay graph algorithm. Non-random high prevalence regions were identified, the majority of which (84% of the population underlying all regions) exhibited clusters for all four respiratory diseases. GWR provided further evidence of spatial correlation (R 2 = 0.991) between the communi-cable and noncommunicable diseases under investigation, suggesting spatial interdependence in risk. Sensitivity analyses of known respiratory disease risks did not fully explain our results. Prospective epidemiology studies are needed to clarify all contributors to risk.&quot;,&quot;container-title-short&quot;:&quot;&quot;},&quot;isTemporary&quot;:false},{&quot;id&quot;:&quot;eb99642b-8484-390a-9b48-beeeda13f8fa&quot;,&quot;itemData&quot;:{&quot;type&quot;:&quot;article-journal&quot;,&quot;id&quot;:&quot;eb99642b-8484-390a-9b48-beeeda13f8fa&quot;,&quot;title&quot;:&quot;Urban-Rural County and State Differences in Chronic Obstructive Pulmonary Disease — United States, 2015&quot;,&quot;author&quot;:[{&quot;family&quot;:&quot;Croft&quot;,&quot;given&quot;:&quot;Janet B.&quot;,&quot;parse-names&quot;:false,&quot;dropping-particle&quot;:&quot;&quot;,&quot;non-dropping-particle&quot;:&quot;&quot;},{&quot;family&quot;:&quot;Wheaton&quot;,&quot;given&quot;:&quot;Anne G.&quot;,&quot;parse-names&quot;:false,&quot;dropping-particle&quot;:&quot;&quot;,&quot;non-dropping-particle&quot;:&quot;&quot;},{&quot;family&quot;:&quot;Liu&quot;,&quot;given&quot;:&quot;Yong&quot;,&quot;parse-names&quot;:false,&quot;dropping-particle&quot;:&quot;&quot;,&quot;non-dropping-particle&quot;:&quot;&quot;},{&quot;family&quot;:&quot;Xu&quot;,&quot;given&quot;:&quot;Fang&quot;,&quot;parse-names&quot;:false,&quot;dropping-particle&quot;:&quot;&quot;,&quot;non-dropping-particle&quot;:&quot;&quot;},{&quot;family&quot;:&quot;Lu&quot;,&quot;given&quot;:&quot;Hua&quot;,&quot;parse-names&quot;:false,&quot;dropping-particle&quot;:&quot;&quot;,&quot;non-dropping-particle&quot;:&quot;&quot;},{&quot;family&quot;:&quot;Matthews&quot;,&quot;given&quot;:&quot;Kevin A.&quot;,&quot;parse-names&quot;:false,&quot;dropping-particle&quot;:&quot;&quot;,&quot;non-dropping-particle&quot;:&quot;&quot;},{&quot;family&quot;:&quot;Cunningham&quot;,&quot;given&quot;:&quot;Timothy J.&quot;,&quot;parse-names&quot;:false,&quot;dropping-particle&quot;:&quot;&quot;,&quot;non-dropping-particle&quot;:&quot;&quot;},{&quot;family&quot;:&quot;Wang&quot;,&quot;given&quot;:&quot;Yan&quot;,&quot;parse-names&quot;:false,&quot;dropping-particle&quot;:&quot;&quot;,&quot;non-dropping-particle&quot;:&quot;&quot;},{&quot;family&quot;:&quot;Holt&quot;,&quot;given&quot;:&quot;James B.&quot;,&quot;parse-names&quot;:false,&quot;dropping-particle&quot;:&quot;&quot;,&quot;non-dropping-particle&quot;:&quot;&quot;}],&quot;container-title&quot;:&quot;Morbidity and Mortality Weekly Report&quot;,&quot;accessed&quot;:{&quot;date-parts&quot;:[[2022,5,8]]},&quot;DOI&quot;:&quot;10.15585/MMWR.MM6707A1&quot;,&quot;ISSN&quot;:&quot;0149-2195&quot;,&quot;PMID&quot;:&quot;29470455&quot;,&quot;URL&quot;:&quot;/pmc/articles/PMC5858043/&quot;,&quot;issued&quot;:{&quot;date-parts&quot;:[[2018,2,23]]},&quot;page&quot;:&quot;205&quot;,&quot;abstract&quot;:&quot;© 2018, Department of Health and Human Services. All rights reserved. What is already known about this topic? Chronic obstructive pulmonary disease (COPD) is a leading cause of death and has been diagnosed in 15.5 million adults in 2015 in the United States. Risk factors include tobacco exposure, occupational and environmental exposures, respiratory infections, and genetics. What is added by this report? In 2015, rural U.S. residents had higher age-adjusted prevalence of COPD, of Medicare hospitalizations, and deaths caused by COPD than did residents living in micropolitan or metropolitan areas. Several states with the highest percentages of rural populations also had the highest estimates for all three measures. What are the implications for public health practice? Additional efforts are needed to prevent risk factors and overcome barriers to early diagnosis, and the appropriate treatment and management of COPD. Improving access to such health care might improve quality of life and reduce hospital readmissions among COPD patients and reduce COPD mortality.&quot;,&quot;publisher&quot;:&quot;Centers for Disease Control and Prevention&quot;,&quot;issue&quot;:&quot;7&quot;,&quot;volume&quot;:&quot;67&quot;,&quot;container-title-short&quot;:&quot;&quot;},&quot;isTemporary&quot;:false},{&quot;id&quot;:&quot;bf6b5e6a-2586-308b-9732-6edc36a9b258&quot;,&quot;itemData&quot;:{&quot;type&quot;:&quot;article-journal&quot;,&quot;id&quot;:&quot;bf6b5e6a-2586-308b-9732-6edc36a9b258&quot;,&quot;title&quot;:&quot;Geographical Distribution of COPD Prevalence in the Americas&quot;,&quot;author&quot;:[{&quot;family&quot;:&quot;Blanco&quot;,&quot;given&quot;:&quot;Ignacio&quot;,&quot;parse-names&quot;:false,&quot;dropping-particle&quot;:&quot;&quot;,&quot;non-dropping-particle&quot;:&quot;&quot;},{&quot;family&quot;:&quot;Diego&quot;,&quot;given&quot;:&quot;Isidro&quot;,&quot;parse-names&quot;:false,&quot;dropping-particle&quot;:&quot;&quot;,&quot;non-dropping-particle&quot;:&quot;&quot;},{&quot;family&quot;:&quot;Bueno&quot;,&quot;given&quot;:&quot;Patricia&quot;,&quot;parse-names&quot;:false,&quot;dropping-particle&quot;:&quot;&quot;,&quot;non-dropping-particle&quot;:&quot;&quot;},{&quot;family&quot;:&quot;Fernández&quot;,&quot;given&quot;:&quot;Eloy&quot;,&quot;parse-names&quot;:false,&quot;dropping-particle&quot;:&quot;&quot;,&quot;non-dropping-particle&quot;:&quot;&quot;},{&quot;family&quot;:&quot;Casas-Maldonado&quot;,&quot;given&quot;:&quot;Francisco&quot;,&quot;parse-names&quot;:false,&quot;dropping-particle&quot;:&quot;&quot;,&quot;non-dropping-particle&quot;:&quot;&quot;},{&quot;family&quot;:&quot;Esquinas&quot;,&quot;given&quot;:&quot;Cristina&quot;,&quot;parse-names&quot;:false,&quot;dropping-particle&quot;:&quot;&quot;,&quot;non-dropping-particle&quot;:&quot;&quot;},{&quot;family&quot;:&quot;Soriano&quot;,&quot;given&quot;:&quot;Joan B.&quot;,&quot;parse-names&quot;:false,&quot;dropping-particle&quot;:&quot;&quot;,&quot;non-dropping-particle&quot;:&quot;&quot;},{&quot;family&quot;:&quot;Miravitlles&quot;,&quot;given&quot;:&quot;Marc&quot;,&quot;parse-names&quot;:false,&quot;dropping-particle&quot;:&quot;&quot;,&quot;non-dropping-particle&quot;:&quot;&quot;}],&quot;container-title&quot;:&quot;https://doi.org/10.1080/15412555.2018.1481936&quot;,&quot;accessed&quot;:{&quot;date-parts&quot;:[[2022,5,8]]},&quot;DOI&quot;:&quot;10.1080/15412555.2018.1481936&quot;,&quot;ISSN&quot;:&quot;15412563&quot;,&quot;PMID&quot;:&quot;30375898&quot;,&quot;URL&quot;:&quot;https://www.tandfonline.com/doi/abs/10.1080/15412555.2018.1481936&quot;,&quot;issued&quot;:{&quot;date-parts&quot;:[[2018,7,4]]},&quot;page&quot;:&quot;317-325&quot;,&quot;abstract&quot;:&quot;Surveys estimating chronic obstructive pulmonary disease (COPD) prevalence are unevenly distributed in the Americas, which make it difficult to estimate accurately its geographical distribution. Th...&quot;,&quot;publisher&quot;:&quot;Taylor &amp; Francis&quot;,&quot;issue&quot;:&quot;4&quot;,&quot;volume&quot;:&quot;15&quot;,&quot;container-title-short&quot;:&quot;&quot;},&quot;isTemporary&quot;:false},{&quot;id&quot;:&quot;4a66e3c3-580e-3af8-91d2-c4eb6b2c00f5&quot;,&quot;itemData&quot;:{&quot;type&quot;:&quot;article-journal&quot;,&quot;id&quot;:&quot;4a66e3c3-580e-3af8-91d2-c4eb6b2c00f5&quot;,&quot;title&quot;:&quot;Chronic Obstructive Pulmonary Disease and Smoking Status — United States, 2017&quot;,&quot;author&quot;:[{&quot;family&quot;:&quot;Wheaton&quot;,&quot;given&quot;:&quot;Anne G.&quot;,&quot;parse-names&quot;:false,&quot;dropping-particle&quot;:&quot;&quot;,&quot;non-dropping-particle&quot;:&quot;&quot;},{&quot;family&quot;:&quot;Liu&quot;,&quot;given&quot;:&quot;Yong&quot;,&quot;parse-names&quot;:false,&quot;dropping-particle&quot;:&quot;&quot;,&quot;non-dropping-particle&quot;:&quot;&quot;},{&quot;family&quot;:&quot;Croft&quot;,&quot;given&quot;:&quot;Janet B.&quot;,&quot;parse-names&quot;:false,&quot;dropping-particle&quot;:&quot;&quot;,&quot;non-dropping-particle&quot;:&quot;&quot;},{&quot;family&quot;:&quot;VanFrank&quot;,&quot;given&quot;:&quot;Brenna&quot;,&quot;parse-names&quot;:false,&quot;dropping-particle&quot;:&quot;&quot;,&quot;non-dropping-particle&quot;:&quot;&quot;},{&quot;family&quot;:&quot;Croxton&quot;,&quot;given&quot;:&quot;Thomas L.&quot;,&quot;parse-names&quot;:false,&quot;dropping-particle&quot;:&quot;&quot;,&quot;non-dropping-particle&quot;:&quot;&quot;},{&quot;family&quot;:&quot;Punturieri&quot;,&quot;given&quot;:&quot;Antonello&quot;,&quot;parse-names&quot;:false,&quot;dropping-particle&quot;:&quot;&quot;,&quot;non-dropping-particle&quot;:&quot;&quot;},{&quot;family&quot;:&quot;Postow&quot;,&quot;given&quot;:&quot;Lisa&quot;,&quot;parse-names&quot;:false,&quot;dropping-particle&quot;:&quot;&quot;,&quot;non-dropping-particle&quot;:&quot;&quot;},{&quot;family&quot;:&quot;Greenlund&quot;,&quot;given&quot;:&quot;Kurt J.&quot;,&quot;parse-names&quot;:false,&quot;dropping-particle&quot;:&quot;&quot;,&quot;non-dropping-particle&quot;:&quot;&quot;}],&quot;container-title&quot;:&quot;MMWR. Morbidity and Mortality Weekly Report&quot;,&quot;container-title-short&quot;:&quot;MMWR Morb Mortal Wkly Rep&quot;,&quot;accessed&quot;:{&quot;date-parts&quot;:[[2020,12,7]]},&quot;DOI&quot;:&quot;10.15585/mmwr.mm6824a1&quot;,&quot;ISSN&quot;:&quot;0149-2195&quot;,&quot;PMID&quot;:&quot;31220055&quot;,&quot;URL&quot;:&quot;https://www.ncbi.nlm.nih.gov/pmc/articles/PMC6586372/&quot;,&quot;issued&quot;:{&quot;date-parts&quot;:[[2019,6,21]]},&quot;page&quot;:&quot;533-538&quot;,&quot;abstract&quot;:&quot;Cigarette smoking is the leading cause of chronic obstructive pulmonary disease (COPD) in the United States; however, an estimated one fourth of adults with COPD have never smoked (1). CDC analyzed state-specific Behavioral Risk Factor Surveillance System (BRFSS) data from 2017, which indicated that, overall among U.S. adults, 6.2% (age-adjusted) reported having been told by a health care professional that they had COPD. The age-adjusted prevalence of COPD was 15.2% among current cigarette smokers, 7.6% among former smokers, and 2.8% among adults who had never smoked. Higher prevalences of COPD were observed in southeastern and Appalachian states, regardless of smoking status of respondents. Whereas the strong positive correlation between state prevalence of COPD and state prevalence of current smoking was expected among current and former smokers, a similar relationship among adults who had never smoked suggests secondhand smoke exposure as a potential risk factor for COPD. Continued promotion of smoke-free environments might reduce COPD among both those who smoke and those who do not.&quot;,&quot;publisher&quot;:&quot;Centers for Disease Control MMWR Office&quot;,&quot;issue&quot;:&quot;24&quot;,&quot;volume&quot;:&quot;68&quot;},&quot;isTemporary&quot;:false}]},{&quot;citationID&quot;:&quot;MENDELEY_CITATION_c8e89c63-b972-4d66-be8a-7f32ee1789ca&quot;,&quot;properties&quot;:{&quot;noteIndex&quot;:0},&quot;isEdited&quot;:false,&quot;manualOverride&quot;:{&quot;isManuallyOverridden&quot;:false,&quot;citeprocText&quot;:&quot;[4]&quot;,&quot;manualOverrideText&quot;:&quot;&quot;},&quot;citationTag&quot;:&quot;MENDELEY_CITATION_v3_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&quot;,&quot;citationItems&quot;:[{&quot;id&quot;:&quot;4a66e3c3-580e-3af8-91d2-c4eb6b2c00f5&quot;,&quot;itemData&quot;:{&quot;type&quot;:&quot;article-journal&quot;,&quot;id&quot;:&quot;4a66e3c3-580e-3af8-91d2-c4eb6b2c00f5&quot;,&quot;title&quot;:&quot;Chronic Obstructive Pulmonary Disease and Smoking Status — United States, 2017&quot;,&quot;author&quot;:[{&quot;family&quot;:&quot;Wheaton&quot;,&quot;given&quot;:&quot;Anne G.&quot;,&quot;parse-names&quot;:false,&quot;dropping-particle&quot;:&quot;&quot;,&quot;non-dropping-particle&quot;:&quot;&quot;},{&quot;family&quot;:&quot;Liu&quot;,&quot;given&quot;:&quot;Yong&quot;,&quot;parse-names&quot;:false,&quot;dropping-particle&quot;:&quot;&quot;,&quot;non-dropping-particle&quot;:&quot;&quot;},{&quot;family&quot;:&quot;Croft&quot;,&quot;given&quot;:&quot;Janet B.&quot;,&quot;parse-names&quot;:false,&quot;dropping-particle&quot;:&quot;&quot;,&quot;non-dropping-particle&quot;:&quot;&quot;},{&quot;family&quot;:&quot;VanFrank&quot;,&quot;given&quot;:&quot;Brenna&quot;,&quot;parse-names&quot;:false,&quot;dropping-particle&quot;:&quot;&quot;,&quot;non-dropping-particle&quot;:&quot;&quot;},{&quot;family&quot;:&quot;Croxton&quot;,&quot;given&quot;:&quot;Thomas L.&quot;,&quot;parse-names&quot;:false,&quot;dropping-particle&quot;:&quot;&quot;,&quot;non-dropping-particle&quot;:&quot;&quot;},{&quot;family&quot;:&quot;Punturieri&quot;,&quot;given&quot;:&quot;Antonello&quot;,&quot;parse-names&quot;:false,&quot;dropping-particle&quot;:&quot;&quot;,&quot;non-dropping-particle&quot;:&quot;&quot;},{&quot;family&quot;:&quot;Postow&quot;,&quot;given&quot;:&quot;Lisa&quot;,&quot;parse-names&quot;:false,&quot;dropping-particle&quot;:&quot;&quot;,&quot;non-dropping-particle&quot;:&quot;&quot;},{&quot;family&quot;:&quot;Greenlund&quot;,&quot;given&quot;:&quot;Kurt J.&quot;,&quot;parse-names&quot;:false,&quot;dropping-particle&quot;:&quot;&quot;,&quot;non-dropping-particle&quot;:&quot;&quot;}],&quot;container-title&quot;:&quot;MMWR. Morbidity and Mortality Weekly Report&quot;,&quot;container-title-short&quot;:&quot;MMWR Morb Mortal Wkly Rep&quot;,&quot;accessed&quot;:{&quot;date-parts&quot;:[[2020,12,7]]},&quot;DOI&quot;:&quot;10.15585/mmwr.mm6824a1&quot;,&quot;ISSN&quot;:&quot;0149-2195&quot;,&quot;PMID&quot;:&quot;31220055&quot;,&quot;URL&quot;:&quot;https://www.ncbi.nlm.nih.gov/pmc/articles/PMC6586372/&quot;,&quot;issued&quot;:{&quot;date-parts&quot;:[[2019,6,21]]},&quot;page&quot;:&quot;533-538&quot;,&quot;abstract&quot;:&quot;Cigarette smoking is the leading cause of chronic obstructive pulmonary disease (COPD) in the United States; however, an estimated one fourth of adults with COPD have never smoked (1). CDC analyzed state-specific Behavioral Risk Factor Surveillance System (BRFSS) data from 2017, which indicated that, overall among U.S. adults, 6.2% (age-adjusted) reported having been told by a health care professional that they had COPD. The age-adjusted prevalence of COPD was 15.2% among current cigarette smokers, 7.6% among former smokers, and 2.8% among adults who had never smoked. Higher prevalences of COPD were observed in southeastern and Appalachian states, regardless of smoking status of respondents. Whereas the strong positive correlation between state prevalence of COPD and state prevalence of current smoking was expected among current and former smokers, a similar relationship among adults who had never smoked suggests secondhand smoke exposure as a potential risk factor for COPD. Continued promotion of smoke-free environments might reduce COPD among both those who smoke and those who do not.&quot;,&quot;publisher&quot;:&quot;Centers for Disease Control MMWR Office&quot;,&quot;issue&quot;:&quot;24&quot;,&quot;volume&quot;:&quot;68&quot;},&quot;isTemporary&quot;:false}]},{&quot;citationID&quot;:&quot;MENDELEY_CITATION_db49a989-18ec-435d-81ab-bbfc08211759&quot;,&quot;properties&quot;:{&quot;noteIndex&quot;:0},&quot;isEdited&quot;:false,&quot;manualOverride&quot;:{&quot;isManuallyOverridden&quot;:false,&quot;citeprocText&quot;:&quot;[75]&quot;,&quot;manualOverrideText&quot;:&quot;&quot;},&quot;citationTag&quot;:&quot;MENDELEY_CITATION_v3_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&quot;,&quot;citationItems&quot;:[{&quot;id&quot;:&quot;c6cf3923-a361-3308-9d3d-cc729e84d9e7&quot;,&quot;itemData&quot;:{&quot;type&quot;:&quot;article-journal&quot;,&quot;id&quot;:&quot;c6cf3923-a361-3308-9d3d-cc729e84d9e7&quot;,&quot;title&quot;:&quot;Spatial prevalence and associations among respiratory diseases in Maine&quot;,&quot;author&quot;:[{&quot;family&quot;:&quot;Farah&quot;,&quot;given&quot;:&quot;Christopher&quot;,&quot;parse-names&quot;:false,&quot;dropping-particle&quot;:&quot;&quot;,&quot;non-dropping-particle&quot;:&quot;&quot;},{&quot;family&quot;:&quot;Dean&quot;,&quot;given&quot;:&quot;H&quot;,&quot;parse-names&quot;:false,&quot;dropping-particle&quot;:&quot;&quot;,&quot;non-dropping-particle&quot;:&quot;&quot;},{&quot;family&quot;:&quot;Iii&quot;,&quot;given&quot;:&quot;Hosgood&quot;,&quot;parse-names&quot;:false,&quot;dropping-particle&quot;:&quot;&quot;,&quot;non-dropping-particle&quot;:&quot;&quot;},{&quot;family&quot;:&quot;Hock&quot;,&quot;given&quot;:&quot;Janet M&quot;,&quot;parse-names&quot;:false,&quot;dropping-particle&quot;:&quot;&quot;,&quot;non-dropping-particle&quot;:&quot;&quot;}],&quot;accessed&quot;:{&quot;date-parts&quot;:[[2022,5,8]]},&quot;DOI&quot;:&quot;10.1016/j.sste.2014.07.004&quot;,&quot;URL&quot;:&quot;http://dx.doi.org/10.1016/j.sste.2014.07.004&quot;,&quot;issued&quot;:{&quot;date-parts&quot;:[[2014]]},&quot;abstract&quot;:&quot;Chronic respiratory diseases rank among the leading global disease burdens. Maine's respiratory disease prevalence exceeds the US average, despite limited urbanization/industrial-ization. To provide insight into potential etiologic factors among this unique, rural population, we analyzed the spatial distributions of, and potential associations among asthma, COPD, pneumonia, and URI adult outpatient data (n = 47,099) from all outpatient transactions (n = 5,052,900) in 2009 for Maine hospitals and affiliate clinics, using spatial scan statistic, geographic weighted regression (GWR), and a Delaunay graph algorithm. Non-random high prevalence regions were identified, the majority of which (84% of the population underlying all regions) exhibited clusters for all four respiratory diseases. GWR provided further evidence of spatial correlation (R 2 = 0.991) between the communi-cable and noncommunicable diseases under investigation, suggesting spatial interdependence in risk. Sensitivity analyses of known respiratory disease risks did not fully explain our results. Prospective epidemiology studies are needed to clarify all contributors to risk.&quot;,&quot;container-title-short&quot;:&quot;&quot;},&quot;isTemporary&quot;:false}]},{&quot;citationID&quot;:&quot;MENDELEY_CITATION_5ee451a0-8d4d-4042-843d-eb0ea90629e8&quot;,&quot;properties&quot;:{&quot;noteIndex&quot;:0},&quot;isEdited&quot;:false,&quot;manualOverride&quot;:{&quot;isManuallyOverridden&quot;:false,&quot;citeprocText&quot;:&quot;[75]&quot;,&quot;manualOverrideText&quot;:&quot;&quot;},&quot;citationTag&quot;:&quot;MENDELEY_CITATION_v3_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&quot;,&quot;citationItems&quot;:[{&quot;id&quot;:&quot;c6cf3923-a361-3308-9d3d-cc729e84d9e7&quot;,&quot;itemData&quot;:{&quot;type&quot;:&quot;article-journal&quot;,&quot;id&quot;:&quot;c6cf3923-a361-3308-9d3d-cc729e84d9e7&quot;,&quot;title&quot;:&quot;Spatial prevalence and associations among respiratory diseases in Maine&quot;,&quot;author&quot;:[{&quot;family&quot;:&quot;Farah&quot;,&quot;given&quot;:&quot;Christopher&quot;,&quot;parse-names&quot;:false,&quot;dropping-particle&quot;:&quot;&quot;,&quot;non-dropping-particle&quot;:&quot;&quot;},{&quot;family&quot;:&quot;Dean&quot;,&quot;given&quot;:&quot;H&quot;,&quot;parse-names&quot;:false,&quot;dropping-particle&quot;:&quot;&quot;,&quot;non-dropping-particle&quot;:&quot;&quot;},{&quot;family&quot;:&quot;Iii&quot;,&quot;given&quot;:&quot;Hosgood&quot;,&quot;parse-names&quot;:false,&quot;dropping-particle&quot;:&quot;&quot;,&quot;non-dropping-particle&quot;:&quot;&quot;},{&quot;family&quot;:&quot;Hock&quot;,&quot;given&quot;:&quot;Janet M&quot;,&quot;parse-names&quot;:false,&quot;dropping-particle&quot;:&quot;&quot;,&quot;non-dropping-particle&quot;:&quot;&quot;}],&quot;accessed&quot;:{&quot;date-parts&quot;:[[2022,5,8]]},&quot;DOI&quot;:&quot;10.1016/j.sste.2014.07.004&quot;,&quot;URL&quot;:&quot;http://dx.doi.org/10.1016/j.sste.2014.07.004&quot;,&quot;issued&quot;:{&quot;date-parts&quot;:[[2014]]},&quot;abstract&quot;:&quot;Chronic respiratory diseases rank among the leading global disease burdens. Maine's respiratory disease prevalence exceeds the US average, despite limited urbanization/industrial-ization. To provide insight into potential etiologic factors among this unique, rural population, we analyzed the spatial distributions of, and potential associations among asthma, COPD, pneumonia, and URI adult outpatient data (n = 47,099) from all outpatient transactions (n = 5,052,900) in 2009 for Maine hospitals and affiliate clinics, using spatial scan statistic, geographic weighted regression (GWR), and a Delaunay graph algorithm. Non-random high prevalence regions were identified, the majority of which (84% of the population underlying all regions) exhibited clusters for all four respiratory diseases. GWR provided further evidence of spatial correlation (R 2 = 0.991) between the communi-cable and noncommunicable diseases under investigation, suggesting spatial interdependence in risk. Sensitivity analyses of known respiratory disease risks did not fully explain our results. Prospective epidemiology studies are needed to clarify all contributors to risk.&quot;,&quot;container-title-short&quot;:&quot;&quot;},&quot;isTemporary&quot;:false}]},{&quot;citationID&quot;:&quot;MENDELEY_CITATION_c84d94d3-3d86-463a-935b-acdcea9b290d&quot;,&quot;properties&quot;:{&quot;noteIndex&quot;:0},&quot;isEdited&quot;:false,&quot;manualOverride&quot;:{&quot;isManuallyOverridden&quot;:false,&quot;citeprocText&quot;:&quot;[4]&quot;,&quot;manualOverrideText&quot;:&quot;&quot;},&quot;citationTag&quot;:&quot;MENDELEY_CITATION_v3_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&quot;,&quot;citationItems&quot;:[{&quot;id&quot;:&quot;4a66e3c3-580e-3af8-91d2-c4eb6b2c00f5&quot;,&quot;itemData&quot;:{&quot;type&quot;:&quot;article-journal&quot;,&quot;id&quot;:&quot;4a66e3c3-580e-3af8-91d2-c4eb6b2c00f5&quot;,&quot;title&quot;:&quot;Chronic Obstructive Pulmonary Disease and Smoking Status — United States, 2017&quot;,&quot;author&quot;:[{&quot;family&quot;:&quot;Wheaton&quot;,&quot;given&quot;:&quot;Anne G.&quot;,&quot;parse-names&quot;:false,&quot;dropping-particle&quot;:&quot;&quot;,&quot;non-dropping-particle&quot;:&quot;&quot;},{&quot;family&quot;:&quot;Liu&quot;,&quot;given&quot;:&quot;Yong&quot;,&quot;parse-names&quot;:false,&quot;dropping-particle&quot;:&quot;&quot;,&quot;non-dropping-particle&quot;:&quot;&quot;},{&quot;family&quot;:&quot;Croft&quot;,&quot;given&quot;:&quot;Janet B.&quot;,&quot;parse-names&quot;:false,&quot;dropping-particle&quot;:&quot;&quot;,&quot;non-dropping-particle&quot;:&quot;&quot;},{&quot;family&quot;:&quot;VanFrank&quot;,&quot;given&quot;:&quot;Brenna&quot;,&quot;parse-names&quot;:false,&quot;dropping-particle&quot;:&quot;&quot;,&quot;non-dropping-particle&quot;:&quot;&quot;},{&quot;family&quot;:&quot;Croxton&quot;,&quot;given&quot;:&quot;Thomas L.&quot;,&quot;parse-names&quot;:false,&quot;dropping-particle&quot;:&quot;&quot;,&quot;non-dropping-particle&quot;:&quot;&quot;},{&quot;family&quot;:&quot;Punturieri&quot;,&quot;given&quot;:&quot;Antonello&quot;,&quot;parse-names&quot;:false,&quot;dropping-particle&quot;:&quot;&quot;,&quot;non-dropping-particle&quot;:&quot;&quot;},{&quot;family&quot;:&quot;Postow&quot;,&quot;given&quot;:&quot;Lisa&quot;,&quot;parse-names&quot;:false,&quot;dropping-particle&quot;:&quot;&quot;,&quot;non-dropping-particle&quot;:&quot;&quot;},{&quot;family&quot;:&quot;Greenlund&quot;,&quot;given&quot;:&quot;Kurt J.&quot;,&quot;parse-names&quot;:false,&quot;dropping-particle&quot;:&quot;&quot;,&quot;non-dropping-particle&quot;:&quot;&quot;}],&quot;container-title&quot;:&quot;MMWR. Morbidity and Mortality Weekly Report&quot;,&quot;container-title-short&quot;:&quot;MMWR Morb Mortal Wkly Rep&quot;,&quot;accessed&quot;:{&quot;date-parts&quot;:[[2020,12,7]]},&quot;DOI&quot;:&quot;10.15585/mmwr.mm6824a1&quot;,&quot;ISSN&quot;:&quot;0149-2195&quot;,&quot;PMID&quot;:&quot;31220055&quot;,&quot;URL&quot;:&quot;https://www.ncbi.nlm.nih.gov/pmc/articles/PMC6586372/&quot;,&quot;issued&quot;:{&quot;date-parts&quot;:[[2019,6,21]]},&quot;page&quot;:&quot;533-538&quot;,&quot;abstract&quot;:&quot;Cigarette smoking is the leading cause of chronic obstructive pulmonary disease (COPD) in the United States; however, an estimated one fourth of adults with COPD have never smoked (1). CDC analyzed state-specific Behavioral Risk Factor Surveillance System (BRFSS) data from 2017, which indicated that, overall among U.S. adults, 6.2% (age-adjusted) reported having been told by a health care professional that they had COPD. The age-adjusted prevalence of COPD was 15.2% among current cigarette smokers, 7.6% among former smokers, and 2.8% among adults who had never smoked. Higher prevalences of COPD were observed in southeastern and Appalachian states, regardless of smoking status of respondents. Whereas the strong positive correlation between state prevalence of COPD and state prevalence of current smoking was expected among current and former smokers, a similar relationship among adults who had never smoked suggests secondhand smoke exposure as a potential risk factor for COPD. Continued promotion of smoke-free environments might reduce COPD among both those who smoke and those who do not.&quot;,&quot;publisher&quot;:&quot;Centers for Disease Control MMWR Office&quot;,&quot;issue&quot;:&quot;24&quot;,&quot;volume&quot;:&quot;68&quot;},&quot;isTemporary&quot;:false}]},{&quot;citationID&quot;:&quot;MENDELEY_CITATION_37ea692e-5203-44d5-ad55-a03ce403075c&quot;,&quot;properties&quot;:{&quot;noteIndex&quot;:0},&quot;isEdited&quot;:false,&quot;manualOverride&quot;:{&quot;isManuallyOverridden&quot;:false,&quot;citeprocText&quot;:&quot;[72,73]&quot;,&quot;manualOverrideText&quot;:&quot;&quot;},&quot;citationTag&quot;:&quot;MENDELEY_CITATION_v3_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&quot;,&quot;citationItems&quot;:[{&quot;id&quot;:&quot;d5e2acfb-6d6a-3542-a753-11d79b99091d&quot;,&quot;itemData&quot;:{&quot;type&quot;:&quot;article-journal&quot;,&quot;id&quot;:&quot;d5e2acfb-6d6a-3542-a753-11d79b99091d&quot;,&quot;title&quot;:&quot;The Geography of COPD Hospitalization in California&quot;,&quot;author&quot;:[{&quot;family&quot;:&quot;Lipton&quot;,&quot;given&quot;:&quot;Robert&quot;,&quot;parse-names&quot;:false,&quot;dropping-particle&quot;:&quot;&quot;,&quot;non-dropping-particle&quot;:&quot;&quot;},{&quot;family&quot;:&quot;Banerjee&quot;,&quot;given&quot;:&quot;Aniruddha&quot;,&quot;parse-names&quot;:false,&quot;dropping-particle&quot;:&quot;&quot;,&quot;non-dropping-particle&quot;:&quot;&quot;},{&quot;family&quot;:&quot;Dowling&quot;,&quot;given&quot;:&quot;Kathryn C&quot;,&quot;parse-names&quot;:false,&quot;dropping-particle&quot;:&quot;&quot;,&quot;non-dropping-particle&quot;:&quot;&quot;},{&quot;family&quot;:&quot;Treno&quot;,&quot;given&quot;:&quot;Andrew J&quot;,&quot;parse-names&quot;:false,&quot;dropping-particle&quot;:&quot;&quot;,&quot;non-dropping-particle&quot;:&quot;&quot;}],&quot;container-title&quot;:&quot;COPD: Journal of Chronic Obstructive Pulmonary Disease&quot;,&quot;accessed&quot;:{&quot;date-parts&quot;:[[2022,5,8]]},&quot;DOI&quot;:&quot;10.1080/15412550500346543&quot;,&quot;ISSN&quot;:&quot;1541-2563&quot;,&quot;URL&quot;:&quot;https://www.tandfonline.com/action/journalInformation?journalCode=icop20&quot;,&quot;issued&quot;:{&quot;date-parts&quot;:[[2005]]},&quot;page&quot;:&quot;435-444&quot;,&quot;abstract&quot;:&quot;Exposure to tobacco smoke is an important risk factor for chronic obstructive pulmonary disease. We investigated the relationship between chronic obstructive pulmonary disease hospitalization counts (and hospitalization-related charges) in California and sociodemographic and smoking measures, employing geospatial techniques that permit more sensitive scrutiny at the zip code level while controlling for spatial confounding. We analyzed 1,707 zip code tabulation areas in California for chronic obstructive pulmonary disease hospitalization rates and related hospitalization charges (using 1999 hospital discharge data). After controlling for spatial auto-correlation, positive relationships were found for age, percentage Hispanics, number of tobacco outlets and level of smoking. Inverse relationships were found for percentage with undergraduate degrees and income level. When examining \&quot;hotspot\&quot; zip code tabulation areas (those with higher than expected model-based chronic obstructive pulmonary disease hospitalization counts), minority/immigrant status, depressed socioeconomic measures, and elevated tobacco use were clearly associated, suggesting the need for increased intervention among the poor and persons of color. Although limited by the availability of air pollution monitoring data, a preliminary descriptive analysis indicated that the numbers of particulate matter exceedances mirrored both the hotspots of the Los Angeles air basin and coldspots in the San Francisco Bay Area.&quot;,&quot;issue&quot;:&quot;4&quot;,&quot;volume&quot;:&quot;2&quot;,&quot;container-title-short&quot;:&quot;&quot;},&quot;isTemporary&quot;:false},{&quot;id&quot;:&quot;7986486d-c290-3383-8b0b-f3c6368f8fef&quot;,&quot;itemData&quot;:{&quot;type&quot;:&quot;article-journal&quot;,&quot;id&quot;:&quot;7986486d-c290-3383-8b0b-f3c6368f8fef&quot;,&quot;title&quot;:&quot;The Geography of Chronic Obstructive Pulmonary Disease Across Time: California in 1993 and 1999&quot;,&quot;author&quot;:[{&quot;family&quot;:&quot;Lipton&quot;,&quot;given&quot;:&quot;Robert&quot;,&quot;parse-names&quot;:false,&quot;dropping-particle&quot;:&quot;&quot;,&quot;non-dropping-particle&quot;:&quot;&quot;},{&quot;family&quot;:&quot;Banerjee&quot;,&quot;given&quot;:&quot;Anirudhha&quot;,&quot;parse-names&quot;:false,&quot;dropping-particle&quot;:&quot;&quot;,&quot;non-dropping-particle&quot;:&quot;&quot;}],&quot;container-title&quot;:&quot;International Journal of Medical Sciences&quot;,&quot;container-title-short&quot;:&quot;Int J Med Sci&quot;,&quot;accessed&quot;:{&quot;date-parts&quot;:[[2022,5,8]]},&quot;DOI&quot;:&quot;10.7150/IJMS.4.179&quot;,&quot;ISSN&quot;:&quot;14491907&quot;,&quot;PMID&quot;:&quot;17664956&quot;,&quot;URL&quot;:&quot;/pmc/articles/PMC1925151/&quot;,&quot;issued&quot;:{&quot;date-parts&quot;:[[2007,6,28]]},&quot;page&quot;:&quot;179&quot;,&quot;abstract&quot;:&quot;We investigated changes in the geography of Chronic Obstructuve Pulmonary Disease (COPD) hospitalization charges in California over the period of 1993 and 1999. There is little information available at less than the county level for this increasingly costly disease in California. We found, using a uniform grid unit method, (4X4 and 16X16 mile urban and rural grids respectively, using zip codes as the base source for information) positive relationships between COPD charges and age, percentage Hispanics, and number of tobacco outlets. Further, inverse relationships were found between the incidence of COPD charges and income level and the percentage of the population with undergraduate degrees. When examining \&quot;hotspot\&quot; grid units, we found that COPD was clearly associated with minority/immigrant status and depressed socio-economic measures, suggesting the need for better smoking interventions among persons of color and the poor. In summary, the Los Angeles area had a marked increase in hotspots both in 1993 and 1999, and also experienced a significant increase in COPD hospitalization charges between 1993 and 1999. Transforming zip code level data into a uniform grid allows for relatively simple comparisons across time, without such a transformation, such temporal comparisons are extremely difficult to implement. This more, \&quot;fine grained\&quot; geographical analysis allows public health planners a better platform than is typically available to assess changes in COPD. © Ivyspring International Publisher. All rights reserved.&quot;,&quot;publisher&quot;:&quot;Ivyspring International Publisher&quot;,&quot;issue&quot;:&quot;4&quot;,&quot;volume&quot;:&quot;4&quot;},&quot;isTemporary&quot;:false}]},{&quot;citationID&quot;:&quot;MENDELEY_CITATION_17e5c921-ce60-4e06-8883-8e338eb689d8&quot;,&quot;properties&quot;:{&quot;noteIndex&quot;:0},&quot;isEdited&quot;:false,&quot;manualOverride&quot;:{&quot;isManuallyOverridden&quot;:false,&quot;citeprocText&quot;:&quot;[72]&quot;,&quot;manualOverrideText&quot;:&quot;&quot;},&quot;citationTag&quot;:&quot;MENDELEY_CITATION_v3_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&quot;,&quot;citationItems&quot;:[{&quot;id&quot;:&quot;d5e2acfb-6d6a-3542-a753-11d79b99091d&quot;,&quot;itemData&quot;:{&quot;type&quot;:&quot;article-journal&quot;,&quot;id&quot;:&quot;d5e2acfb-6d6a-3542-a753-11d79b99091d&quot;,&quot;title&quot;:&quot;The Geography of COPD Hospitalization in California&quot;,&quot;author&quot;:[{&quot;family&quot;:&quot;Lipton&quot;,&quot;given&quot;:&quot;Robert&quot;,&quot;parse-names&quot;:false,&quot;dropping-particle&quot;:&quot;&quot;,&quot;non-dropping-particle&quot;:&quot;&quot;},{&quot;family&quot;:&quot;Banerjee&quot;,&quot;given&quot;:&quot;Aniruddha&quot;,&quot;parse-names&quot;:false,&quot;dropping-particle&quot;:&quot;&quot;,&quot;non-dropping-particle&quot;:&quot;&quot;},{&quot;family&quot;:&quot;Dowling&quot;,&quot;given&quot;:&quot;Kathryn C&quot;,&quot;parse-names&quot;:false,&quot;dropping-particle&quot;:&quot;&quot;,&quot;non-dropping-particle&quot;:&quot;&quot;},{&quot;family&quot;:&quot;Treno&quot;,&quot;given&quot;:&quot;Andrew J&quot;,&quot;parse-names&quot;:false,&quot;dropping-particle&quot;:&quot;&quot;,&quot;non-dropping-particle&quot;:&quot;&quot;}],&quot;container-title&quot;:&quot;COPD: Journal of Chronic Obstructive Pulmonary Disease&quot;,&quot;accessed&quot;:{&quot;date-parts&quot;:[[2022,5,8]]},&quot;DOI&quot;:&quot;10.1080/15412550500346543&quot;,&quot;ISSN&quot;:&quot;1541-2563&quot;,&quot;URL&quot;:&quot;https://www.tandfonline.com/action/journalInformation?journalCode=icop20&quot;,&quot;issued&quot;:{&quot;date-parts&quot;:[[2005]]},&quot;page&quot;:&quot;435-444&quot;,&quot;abstract&quot;:&quot;Exposure to tobacco smoke is an important risk factor for chronic obstructive pulmonary disease. We investigated the relationship between chronic obstructive pulmonary disease hospitalization counts (and hospitalization-related charges) in California and sociodemographic and smoking measures, employing geospatial techniques that permit more sensitive scrutiny at the zip code level while controlling for spatial confounding. We analyzed 1,707 zip code tabulation areas in California for chronic obstructive pulmonary disease hospitalization rates and related hospitalization charges (using 1999 hospital discharge data). After controlling for spatial auto-correlation, positive relationships were found for age, percentage Hispanics, number of tobacco outlets and level of smoking. Inverse relationships were found for percentage with undergraduate degrees and income level. When examining \&quot;hotspot\&quot; zip code tabulation areas (those with higher than expected model-based chronic obstructive pulmonary disease hospitalization counts), minority/immigrant status, depressed socioeconomic measures, and elevated tobacco use were clearly associated, suggesting the need for increased intervention among the poor and persons of color. Although limited by the availability of air pollution monitoring data, a preliminary descriptive analysis indicated that the numbers of particulate matter exceedances mirrored both the hotspots of the Los Angeles air basin and coldspots in the San Francisco Bay Area.&quot;,&quot;issue&quot;:&quot;4&quot;,&quot;volume&quot;:&quot;2&quot;,&quot;container-title-short&quot;:&quot;&quot;},&quot;isTemporary&quot;:false}]},{&quot;citationID&quot;:&quot;MENDELEY_CITATION_9854dc85-b930-4a7b-a524-520034641bca&quot;,&quot;properties&quot;:{&quot;noteIndex&quot;:0},&quot;isEdited&quot;:false,&quot;manualOverride&quot;:{&quot;isManuallyOverridden&quot;:false,&quot;citeprocText&quot;:&quot;[4,6,145]&quot;,&quot;manualOverrideText&quot;:&quot;&quot;},&quot;citationTag&quot;:&quot;MENDELEY_CITATION_v3_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quot;,&quot;citationItems&quot;:[{&quot;id&quot;:&quot;33084287-1d34-326e-810d-870f2596ddc4&quot;,&quot;itemData&quot;:{&quot;type&quot;:&quot;article-journal&quot;,&quot;id&quot;:&quot;33084287-1d34-326e-810d-870f2596ddc4&quot;,&quot;title&quot;:&quot;Journal of the COPD Foundation Chronic Obstructive Pulmonary Diseases : National and State Estimates of COPD Morbidity and Mortality — United States , 2014-2015&quot;,&quot;author&quot;:[{&quot;family&quot;:&quot;Sullivan&quot;,&quot;given&quot;:&quot;Jamie&quot;,&quot;parse-names&quot;:false,&quot;dropping-particle&quot;:&quot;&quot;,&quot;non-dropping-particle&quot;:&quot;&quot;},{&quot;family&quot;:&quot;Pravosud&quot;,&quot;given&quot;:&quot;M P H Vira&quot;,&quot;parse-names&quot;:false,&quot;dropping-particle&quot;:&quot;&quot;,&quot;non-dropping-particle&quot;:&quot;&quot;},{&quot;family&quot;:&quot;Mannino&quot;,&quot;given&quot;:&quot;M P H David M&quot;,&quot;parse-names&quot;:false,&quot;dropping-particle&quot;:&quot;&quot;,&quot;non-dropping-particle&quot;:&quot;&quot;},{&quot;family&quot;:&quot;Siegel&quot;,&quot;given&quot;:&quot;Keith&quot;,&quot;parse-names&quot;:false,&quot;dropping-particle&quot;:&quot;&quot;,&quot;non-dropping-particle&quot;:&quot;&quot;}],&quot;container-title&quot;:&quot;Journal of the COPD Foundation&quot;,&quot;issued&quot;:{&quot;date-parts&quot;:[[2018]]},&quot;page&quot;:&quot;324-333&quot;,&quot;abstract&quot;:&quot;Background: Chronic obstructive pulmonary disease (COPD) remains a leading cause of disability and death in the United States. The “COPD in the United States” project gathered data about the impact of COPD to highlight variability across states and provide a single point of access to data for state decision makers, the public health community and advocates. This report provides a summary of COPD-related morbidity and mortality in the United States and individual states during 2014-2015 (some metrics contain data from other years). Methods: We used data from multiple sources (the Behavioral Risk Factor Surveillance System [BRFSS], the Centers for Disease Control and Prevention (CDC) Wide-ranging ONline Data for Epidemiologic Research online database, the CDC’s chronic disease indicators data, Centers from Medicare and Medicaid Services Chronic Conditions Data Warehouse, Medical Expenditures Panel Survey and the American Association of Cardiovascular and Pulmonary Rehabilitation Pulmonary Rehabilitation Directory) to estimate 10 national and state-specific COPD metrics (prevalence, hospitalizations and emergency department visits, 30-day hospital readmissions, mortality, vaccinations, smoking prevalence, per capita medical cost, and the number of COPD patients per a pulmonary rehabilitation program) and to calculate average score across the 10 metrics. Additionally, we used BRFSS data to calculate the prevalence of common comorbid diseases among people who also report having a diagnosis of COPD. Results: During 2014-2015, 5.9% of adults (more than 15.9 million) reported having been told by their health care professional that they had COPD. The age-adjusted prevalence ranged from 3.7% for Puerto Rico and Hawaii, to 12% for West Virginia. The average score, 1 being best and 5 being worst, of the overall COPD burden based on the 10 key metrics ranged from 1.5 for Puerto Rico and Utah to 4.6 for West Virginia. Conclusion: The level of COPD morbidity and mortality is severe throughout the United States. There is considerable variability in COPD metrics by state. These differences may be useful in identifying and addressing policy gaps in the public health approach to COPD and in implementing the COPD National Action Plan.&quot;,&quot;issue&quot;:&quot;4&quot;,&quot;volume&quot;:&quot;5&quot;,&quot;container-title-short&quot;:&quot;&quot;},&quot;isTemporary&quot;:false},{&quot;id&quot;:&quot;4a66e3c3-580e-3af8-91d2-c4eb6b2c00f5&quot;,&quot;itemData&quot;:{&quot;type&quot;:&quot;article-journal&quot;,&quot;id&quot;:&quot;4a66e3c3-580e-3af8-91d2-c4eb6b2c00f5&quot;,&quot;title&quot;:&quot;Chronic Obstructive Pulmonary Disease and Smoking Status — United States, 2017&quot;,&quot;author&quot;:[{&quot;family&quot;:&quot;Wheaton&quot;,&quot;given&quot;:&quot;Anne G.&quot;,&quot;parse-names&quot;:false,&quot;dropping-particle&quot;:&quot;&quot;,&quot;non-dropping-particle&quot;:&quot;&quot;},{&quot;family&quot;:&quot;Liu&quot;,&quot;given&quot;:&quot;Yong&quot;,&quot;parse-names&quot;:false,&quot;dropping-particle&quot;:&quot;&quot;,&quot;non-dropping-particle&quot;:&quot;&quot;},{&quot;family&quot;:&quot;Croft&quot;,&quot;given&quot;:&quot;Janet B.&quot;,&quot;parse-names&quot;:false,&quot;dropping-particle&quot;:&quot;&quot;,&quot;non-dropping-particle&quot;:&quot;&quot;},{&quot;family&quot;:&quot;VanFrank&quot;,&quot;given&quot;:&quot;Brenna&quot;,&quot;parse-names&quot;:false,&quot;dropping-particle&quot;:&quot;&quot;,&quot;non-dropping-particle&quot;:&quot;&quot;},{&quot;family&quot;:&quot;Croxton&quot;,&quot;given&quot;:&quot;Thomas L.&quot;,&quot;parse-names&quot;:false,&quot;dropping-particle&quot;:&quot;&quot;,&quot;non-dropping-particle&quot;:&quot;&quot;},{&quot;family&quot;:&quot;Punturieri&quot;,&quot;given&quot;:&quot;Antonello&quot;,&quot;parse-names&quot;:false,&quot;dropping-particle&quot;:&quot;&quot;,&quot;non-dropping-particle&quot;:&quot;&quot;},{&quot;family&quot;:&quot;Postow&quot;,&quot;given&quot;:&quot;Lisa&quot;,&quot;parse-names&quot;:false,&quot;dropping-particle&quot;:&quot;&quot;,&quot;non-dropping-particle&quot;:&quot;&quot;},{&quot;family&quot;:&quot;Greenlund&quot;,&quot;given&quot;:&quot;Kurt J.&quot;,&quot;parse-names&quot;:false,&quot;dropping-particle&quot;:&quot;&quot;,&quot;non-dropping-particle&quot;:&quot;&quot;}],&quot;container-title&quot;:&quot;MMWR. Morbidity and Mortality Weekly Report&quot;,&quot;container-title-short&quot;:&quot;MMWR Morb Mortal Wkly Rep&quot;,&quot;accessed&quot;:{&quot;date-parts&quot;:[[2020,12,7]]},&quot;DOI&quot;:&quot;10.15585/mmwr.mm6824a1&quot;,&quot;ISSN&quot;:&quot;0149-2195&quot;,&quot;PMID&quot;:&quot;31220055&quot;,&quot;URL&quot;:&quot;https://www.ncbi.nlm.nih.gov/pmc/articles/PMC6586372/&quot;,&quot;issued&quot;:{&quot;date-parts&quot;:[[2019,6,21]]},&quot;page&quot;:&quot;533-538&quot;,&quot;abstract&quot;:&quot;Cigarette smoking is the leading cause of chronic obstructive pulmonary disease (COPD) in the United States; however, an estimated one fourth of adults with COPD have never smoked (1). CDC analyzed state-specific Behavioral Risk Factor Surveillance System (BRFSS) data from 2017, which indicated that, overall among U.S. adults, 6.2% (age-adjusted) reported having been told by a health care professional that they had COPD. The age-adjusted prevalence of COPD was 15.2% among current cigarette smokers, 7.6% among former smokers, and 2.8% among adults who had never smoked. Higher prevalences of COPD were observed in southeastern and Appalachian states, regardless of smoking status of respondents. Whereas the strong positive correlation between state prevalence of COPD and state prevalence of current smoking was expected among current and former smokers, a similar relationship among adults who had never smoked suggests secondhand smoke exposure as a potential risk factor for COPD. Continued promotion of smoke-free environments might reduce COPD among both those who smoke and those who do not.&quot;,&quot;publisher&quot;:&quot;Centers for Disease Control MMWR Office&quot;,&quot;issue&quot;:&quot;24&quot;,&quot;volume&quot;:&quot;68&quot;},&quot;isTemporary&quot;:false},{&quot;id&quot;:&quot;f6bf6552-f6e0-3ff4-a77d-6750f2546b26&quot;,&quot;itemData&quot;:{&quot;type&quot;:&quot;report&quot;,&quot;id&quot;:&quot;f6bf6552-f6e0-3ff4-a77d-6750f2546b26&quot;,&quot;title&quot;:&quot;GOLD Report 2020&quot;,&quot;author&quot;:[{&quot;family&quot;:&quot;Global Initiative for Chronic Obstructive Lung Disease&quot;,&quot;given&quot;:&quot;&quot;,&quot;parse-names&quot;:false,&quot;dropping-particle&quot;:&quot;&quot;,&quot;non-dropping-particle&quot;:&quot;&quot;}],&quot;container-title&quot;:&quot;Global Strategy for the Diagnosis, Management, and Prevention of Chronic Obstructive Pulmonary Disease: 2020 Report&quot;,&quot;URL&quot;:&quot;https://goldcopd.org/wp-content/uploads/2019/12/GOLD-2020-FINAL-ver1.2-03Dec19_WMV.pdf&quot;,&quot;issued&quot;:{&quot;date-parts&quot;:[[2020]]},&quot;number-of-pages&quot;:&quot;141&quot;,&quot;abstract&quot;:&quot;Global Strategy for the Diagnosis, Management, and Prevention of Chronic Obstructive Pulmonary Disease&quot;,&quot;container-title-short&quot;:&quot;&quot;},&quot;isTemporary&quot;:false}]},{&quot;citationID&quot;:&quot;MENDELEY_CITATION_7f64e687-15ff-4f69-9486-f1c0d2ffad6c&quot;,&quot;properties&quot;:{&quot;noteIndex&quot;:0},&quot;isEdited&quot;:false,&quot;manualOverride&quot;:{&quot;isManuallyOverridden&quot;:false,&quot;citeprocText&quot;:&quot;[66,68,75,146,147]&quot;,&quot;manualOverrideText&quot;:&quot;&quot;},&quot;citationTag&quot;:&quot;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&quot;,&quot;citationItems&quot;:[{&quot;id&quot;:&quot;c6cf3923-a361-3308-9d3d-cc729e84d9e7&quot;,&quot;itemData&quot;:{&quot;type&quot;:&quot;article-journal&quot;,&quot;id&quot;:&quot;c6cf3923-a361-3308-9d3d-cc729e84d9e7&quot;,&quot;title&quot;:&quot;Spatial prevalence and associations among respiratory diseases in Maine&quot;,&quot;author&quot;:[{&quot;family&quot;:&quot;Farah&quot;,&quot;given&quot;:&quot;Christopher&quot;,&quot;parse-names&quot;:false,&quot;dropping-particle&quot;:&quot;&quot;,&quot;non-dropping-particle&quot;:&quot;&quot;},{&quot;family&quot;:&quot;Dean&quot;,&quot;given&quot;:&quot;H&quot;,&quot;parse-names&quot;:false,&quot;dropping-particle&quot;:&quot;&quot;,&quot;non-dropping-particle&quot;:&quot;&quot;},{&quot;family&quot;:&quot;Iii&quot;,&quot;given&quot;:&quot;Hosgood&quot;,&quot;parse-names&quot;:false,&quot;dropping-particle&quot;:&quot;&quot;,&quot;non-dropping-particle&quot;:&quot;&quot;},{&quot;family&quot;:&quot;Hock&quot;,&quot;given&quot;:&quot;Janet M&quot;,&quot;parse-names&quot;:false,&quot;dropping-particle&quot;:&quot;&quot;,&quot;non-dropping-particle&quot;:&quot;&quot;}],&quot;accessed&quot;:{&quot;date-parts&quot;:[[2022,5,8]]},&quot;DOI&quot;:&quot;10.1016/j.sste.2014.07.004&quot;,&quot;URL&quot;:&quot;http://dx.doi.org/10.1016/j.sste.2014.07.004&quot;,&quot;issued&quot;:{&quot;date-parts&quot;:[[2014]]},&quot;abstract&quot;:&quot;Chronic respiratory diseases rank among the leading global disease burdens. Maine's respiratory disease prevalence exceeds the US average, despite limited urbanization/industrial-ization. To provide insight into potential etiologic factors among this unique, rural population, we analyzed the spatial distributions of, and potential associations among asthma, COPD, pneumonia, and URI adult outpatient data (n = 47,099) from all outpatient transactions (n = 5,052,900) in 2009 for Maine hospitals and affiliate clinics, using spatial scan statistic, geographic weighted regression (GWR), and a Delaunay graph algorithm. Non-random high prevalence regions were identified, the majority of which (84% of the population underlying all regions) exhibited clusters for all four respiratory diseases. GWR provided further evidence of spatial correlation (R 2 = 0.991) between the communi-cable and noncommunicable diseases under investigation, suggesting spatial interdependence in risk. Sensitivity analyses of known respiratory disease risks did not fully explain our results. Prospective epidemiology studies are needed to clarify all contributors to risk.&quot;,&quot;container-title-short&quot;:&quot;&quot;},&quot;isTemporary&quot;:false},{&quot;id&quot;:&quot;7d45dffa-b7c6-39f7-9461-7fcb1e1ed238&quot;,&quot;itemData&quot;:{&quot;type&quot;:&quot;article-journal&quot;,&quot;id&quot;:&quot;7d45dffa-b7c6-39f7-9461-7fcb1e1ed238&quot;,&quot;title&quot;:&quot;Who is where at risk for Chronic Obstructive Pulmonary Disease? A spatial epidemiological analysis of health insurance claims for COPD in Northeastern Germany&quot;,&quot;author&quot;:[{&quot;family&quot;:&quot;Kauhl&quot;,&quot;given&quot;:&quot;Boris&quot;,&quot;parse-names&quot;:false,&quot;dropping-particle&quot;:&quot;&quot;,&quot;non-dropping-particle&quot;:&quot;&quot;},{&quot;family&quot;:&quot;Maier&quot;,&quot;given&quot;:&quot;Werner&quot;,&quot;parse-names&quot;:false,&quot;dropping-particle&quot;:&quot;&quot;,&quot;non-dropping-particle&quot;:&quot;&quot;},{&quot;family&quot;:&quot;Schweikart&quot;,&quot;given&quot;:&quot;Jürgen&quot;,&quot;parse-names&quot;:false,&quot;dropping-particle&quot;:&quot;&quot;,&quot;non-dropping-particle&quot;:&quot;&quot;},{&quot;family&quot;:&quot;Keste&quot;,&quot;given&quot;:&quot;Andrea&quot;,&quot;parse-names&quot;:false,&quot;dropping-particle&quot;:&quot;&quot;,&quot;non-dropping-particle&quot;:&quot;&quot;},{&quot;family&quot;:&quot;Moskwyn&quot;,&quot;given&quot;:&quot;Marita&quot;,&quot;parse-names&quot;:false,&quot;dropping-particle&quot;:&quot;&quot;,&quot;non-dropping-particle&quot;:&quot;&quot;}],&quot;container-title&quot;:&quot;PloS one&quot;,&quot;container-title-short&quot;:&quot;PLoS One&quot;,&quot;accessed&quot;:{&quot;date-parts&quot;:[[2025,4,12]]},&quot;DOI&quot;:&quot;10.1371/JOURNAL.PONE.0190865&quot;,&quot;ISSN&quot;:&quot;1932-6203&quot;,&quot;PMID&quot;:&quot;29414997&quot;,&quot;URL&quot;:&quot;https://pubmed.ncbi.nlm.nih.gov/29414997/&quot;,&quot;issued&quot;:{&quot;date-parts&quot;:[[2018,2,1]]},&quot;abstract&quot;:&quot;Background Chronic obstructive pulmonary disease (COPD) has a high prevalence rate in Germany and a further increase is expected within the next years. Although risk factors on an individual level are widely understood, only little is known about the spatial heterogeneity and population-based risk factors of COPD. Background knowledge about broader, population-based processes could help to plan the future provision of healthcare and prevention strategies more aligned to the expected demand. The aim of this study is to analyze how the prevalence of COPD varies across northeastern Germany on the smallest spatial-scale possible and to identify the location-specific population-based risk factors using health insurance claims of the AOK Nordost. Methods To visualize the spatial distribution of COPD prevalence at the level of municipalities and urban districts, we used the conditional autoregressive Besag–York–Mollié (BYM) model. Geographically weighted regression modelling (GWR) was applied to analyze the location-specific ecological risk factors for COPD. Results The sex- and age-adjusted prevalence of COPD was 6.5% in 2012 and varied widely across northeastern Germany. Population-based risk factors consist of the proportions of insurants aged 65 and older, insurants with migration background, household size and area deprivation. The results of the GWR model revealed that the population at risk for COPD varies considerably across northeastern Germany. Conclusion Area deprivation has a direct and an indirect influence on the prevalence of COPD. Persons ageing in socially disadvantaged areas have a higher chance of developing COPD, even when they are not necessarily directly affected by deprivation on an individual level. This underlines the importance of considering the impact of area deprivation on health for planning of healthcare. Additionally, our results reveal that in some parts of the study area, insurants with migration background and persons living in multi-persons households are at elevated risk of COPD.&quot;,&quot;publisher&quot;:&quot;PLoS One&quot;,&quot;issue&quot;:&quot;2&quot;,&quot;volume&quot;:&quot;13&quot;},&quot;isTemporary&quot;:false},{&quot;id&quot;:&quot;a6b20493-9fb8-3a98-83f5-c3630452943d&quot;,&quot;itemData&quot;:{&quot;type&quot;:&quot;article-journal&quot;,&quot;id&quot;:&quot;a6b20493-9fb8-3a98-83f5-c3630452943d&quot;,&quot;title&quot;:&quot;Geostatistical predictive modeling for asthma and chronic obstructive pulmonary disease using socioeconomic and environmental determinants&quot;,&quot;author&quot;:[{&quot;family&quot;:&quot;Kumarihamy&quot;,&quot;given&quot;:&quot;R. M.K.&quot;,&quot;parse-names&quot;:false,&quot;dropping-particle&quot;:&quot;&quot;,&quot;non-dropping-particle&quot;:&quot;&quot;},{&quot;family&quot;:&quot;Tripathi&quot;,&quot;given&quot;:&quot;N. K.&quot;,&quot;parse-names&quot;:false,&quot;dropping-particle&quot;:&quot;&quot;,&quot;non-dropping-particle&quot;:&quot;&quot;}],&quot;container-title&quot;:&quot;Environmental monitoring and assessment&quot;,&quot;container-title-short&quot;:&quot;Environ Monit Assess&quot;,&quot;accessed&quot;:{&quot;date-parts&quot;:[[2025,4,12]]},&quot;DOI&quot;:&quot;10.1007/S10661-019-7417-0&quot;,&quot;ISSN&quot;:&quot;1573-2959&quot;,&quot;PMID&quot;:&quot;31254075&quot;,&quot;URL&quot;:&quot;https://pubmed.ncbi.nlm.nih.gov/31254075/&quot;,&quot;issued&quot;:{&quot;date-parts&quot;:[[2019,6,1]]},&quot;abstract&quot;:&quot;The spatial distribution of the prevalence of asthma and chronic obstructive pulmonary disease (COPD) remains under the influence of a wide array of environmental, climatic, and socioeconomic determinants. However, a large proportion of these influences remain unexplained. In completion, this study examined the spatial associations between asthma/COPD morbidity and their determinants using ordinary least squares (OLS) and geographically weighted regressions (GWR). Inpatient records collected from the secondary and tertiary care hospitals in Kandy from 2010 to 2014 were considered as the dependent variable. Potential risk factors (explanatory variables) were identified in four distinguished classes: 1) meteorological factors, (2) direct and indirect factors of air pollution, (3) socioeconomic factors, and (4) characteristics of the physical environment. All possible combinations of candidate explanatory variables were evaluated through an exploratory regression. A comparison between the regression models was also explored. The best OLS regression models revealed about 55% of asthma variation and 62% of COPD variation while GWR models yielded 78% and 74% of the variation of asthma and COPD occurrences respectively. Relative humidity, proximity to roads (0–200 m), road density, use of firewood as a source of fuel, and elevation play a vital role in predicting morbidity from asthma and COPD. Both local and global regression models are important in assessing spatial relationships of asthma and COPD. However, the local models exhibit a better prediction capability for assessing non-stationary relationships of asthma and COPD than global models. The geostatistical aspects used in this study may also provide insights for evaluating heterogeneous environmental risk factors in other epidemiological studies across different spatial settings.&quot;,&quot;publisher&quot;:&quot;Environ Monit Assess&quot;,&quot;issue&quot;:&quot;Suppl 2&quot;,&quot;volume&quot;:&quot;191&quot;},&quot;isTemporary&quot;:false},{&quot;id&quot;:&quot;ad9cc166-286c-3e56-b47e-58896a48d503&quot;,&quot;itemData&quot;:{&quot;type&quot;:&quot;article-journal&quot;,&quot;id&quot;:&quot;ad9cc166-286c-3e56-b47e-58896a48d503&quot;,&quot;title&quot;:&quot;Spatial Analysis of the Neighborhood Risk Factors for Respiratory Health in the Australian Capital Territory (ACT): Implications for Emergency Planning&quot;,&quot;author&quot;:[{&quot;family&quot;:&quot;Davies&quot;,&quot;given&quot;:&quot;Sarah&quot;,&quot;parse-names&quot;:false,&quot;dropping-particle&quot;:&quot;&quot;,&quot;non-dropping-particle&quot;:&quot;&quot;},{&quot;family&quot;:&quot;Konings&quot;,&quot;given&quot;:&quot;Paul&quot;,&quot;parse-names&quot;:false,&quot;dropping-particle&quot;:&quot;&quot;,&quot;non-dropping-particle&quot;:&quot;&quot;},{&quot;family&quot;:&quot;Lal&quot;,&quot;given&quot;:&quot;Aparna&quot;,&quot;parse-names&quot;:false,&quot;dropping-particle&quot;:&quot;&quot;,&quot;non-dropping-particle&quot;:&quot;&quot;}],&quot;container-title&quot;:&quot;International journal of environmental research and public health&quot;,&quot;container-title-short&quot;:&quot;Int J Environ Res Public Health&quot;,&quot;accessed&quot;:{&quot;date-parts&quot;:[[2025,4,12]]},&quot;DOI&quot;:&quot;10.3390/IJERPH17176396&quot;,&quot;ISSN&quot;:&quot;1660-4601&quot;,&quot;PMID&quot;:&quot;32887415&quot;,&quot;URL&quot;:&quot;https://pubmed.ncbi.nlm.nih.gov/32887415/&quot;,&quot;issued&quot;:{&quot;date-parts&quot;:[[2020,9,1]]},&quot;page&quot;:&quot;1-17&quot;,&quot;abstract&quot;:&quot;The Australian Capital Territory (ACT) experienced the worst air quality in the world for several consecutive days following the 2019–2020 Australian bushfires. With a focus on asthma and Chronic Obstructive Pulmonary Disease (COPD), this retrospective study examined the neighborhood-level risk factors for these diseases from 2011 to 2013, including household distance to hospital emergency departments (ED) and general practitioners (GP) and area-level socioeconomic disadvantage and demographic characteristics at a high spatial resolution. Poisson and Geographically Weighted Poisson Regression (GWR) were compared to examine the need for spatially explicit models. GWR performed significantly better, with rates of both respiratory diseases positively associated with area-level socioeconomic disadvantage. Asthma rates were positively associated with increasing distance from a hospital. Increasing distance to GP was not associated with asthma or COPD rates. These results suggest that respiratory health improvements could be made by prioritizing areas of socioeconomic disadvantage. The ACT has a relatively high density of GP that is geographically well spaced. This distribution of GP could be leveraged to improve emergency response planning in the future.&quot;,&quot;publisher&quot;:&quot;Int J Environ Res Public Health&quot;,&quot;issue&quot;:&quot;17&quot;,&quot;volume&quot;:&quot;17&quot;},&quot;isTemporary&quot;:false},{&quot;id&quot;:&quot;69f85eaf-a257-346d-94cb-32037c9302a9&quot;,&quot;itemData&quot;:{&quot;type&quot;:&quot;article-journal&quot;,&quot;id&quot;:&quot;69f85eaf-a257-346d-94cb-32037c9302a9&quot;,&quot;title&quot;:&quot;Air Pollution and Socio-Economic Determinants of Chronic Obstructive Pulmonary Disease in Albania&quot;,&quot;author&quot;:[{&quot;family&quot;:&quot;SHEHU&quot;,&quot;given&quot;:&quot;ERBLIN&quot;,&quot;parse-names&quot;:false,&quot;dropping-particle&quot;:&quot;&quot;,&quot;non-dropping-particle&quot;:&quot;&quot;},{&quot;family&quot;:&quot;FARRUKU&quot;,&quot;given&quot;:&quot;HYGERTA&quot;,&quot;parse-names&quot;:false,&quot;dropping-particle&quot;:&quot;&quot;,&quot;non-dropping-particle&quot;:&quot;&quot;},{&quot;family&quot;:&quot;SMAILI&quot;,&quot;given&quot;:&quot;HAJAR&quot;,&quot;parse-names&quot;:false,&quot;dropping-particle&quot;:&quot;&quot;,&quot;non-dropping-particle&quot;:&quot;&quot;}],&quot;container-title&quot;:&quot;Current Health Sciences Journal&quot;,&quot;container-title-short&quot;:&quot;Curr Health Sci J&quot;,&quot;accessed&quot;:{&quot;date-parts&quot;:[[2025,4,12]]},&quot;DOI&quot;:&quot;10.12865/CHSJ.48.01.07&quot;,&quot;ISSN&quot;:&quot;2067-0656 (Print)&quot;,&quot;PMID&quot;:&quot;35911949&quot;,&quot;URL&quot;:&quot;https://pmc.ncbi.nlm.nih.gov/articles/PMC9289595/&quot;,&quot;issued&quot;:{&quot;date-parts&quot;:[[2022]]},&quot;page&quot;:&quot;51&quot;,&quot;abstract&quot;:&quot;INTRODUCTION: Chronic obstructive pulmonary disease (COPD) has become a global  issue. The Global Burden of Disease Study reports a prevalence of 251 million cases of COPD in 2016, while it is estimated that 3.17 million deaths were caused by the disease during that period. In this paper we conduct an ecological study, to analyze the effects of socio-economic factors and air pollution on the COPD prevalence at the population level in Albania. METHODS: Group-level data from 61 municipalities in Albania was used to assess the relationship between environmental exposures, living conditions, and socioeconomic factors with the prevalence of chronic obstructive pulmonary disease. RESULTS: The regression analysis shows that for every percent increase in the concentration of PM2.5 in Albanian cities, a 32% increase in the prevalence of COPD was observed. Similarly, there was an increase in COPD prevalence associated with the increase of the urban population and the number of vehicles registered per city. It is worth mentioning that no statistically significant relationship was observed between the prevalence of COPD, smoking levels, and the Poverty Index. CONCLUSIONS: Within the limitations of an ecological analysis, these findings support an association between the prevalence of chronic obstructive pulmonary disease and environmental exposures, socioeconomic factors, and living conditions. However, there is a call to more individual-level analysis and more in-depth research to further investigate the extent of this association in Albania.&quot;,&quot;issue&quot;:&quot;1&quot;,&quot;volume&quot;:&quot;48&quot;},&quot;isTemporary&quot;:false}]},{&quot;citationID&quot;:&quot;MENDELEY_CITATION_42940441-2812-4830-8ffd-eeb3b1c5c3f2&quot;,&quot;properties&quot;:{&quot;noteIndex&quot;:0},&quot;isEdited&quot;:false,&quot;manualOverride&quot;:{&quot;isManuallyOverridden&quot;:false,&quot;citeprocText&quot;:&quot;[75,147]&quot;,&quot;manualOverrideText&quot;:&quot;&quot;},&quot;citationTag&quot;:&quot;MENDELEY_CITATION_v3_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&quot;,&quot;citationItems&quot;:[{&quot;id&quot;:&quot;c6cf3923-a361-3308-9d3d-cc729e84d9e7&quot;,&quot;itemData&quot;:{&quot;type&quot;:&quot;article-journal&quot;,&quot;id&quot;:&quot;c6cf3923-a361-3308-9d3d-cc729e84d9e7&quot;,&quot;title&quot;:&quot;Spatial prevalence and associations among respiratory diseases in Maine&quot;,&quot;author&quot;:[{&quot;family&quot;:&quot;Farah&quot;,&quot;given&quot;:&quot;Christopher&quot;,&quot;parse-names&quot;:false,&quot;dropping-particle&quot;:&quot;&quot;,&quot;non-dropping-particle&quot;:&quot;&quot;},{&quot;family&quot;:&quot;Dean&quot;,&quot;given&quot;:&quot;H&quot;,&quot;parse-names&quot;:false,&quot;dropping-particle&quot;:&quot;&quot;,&quot;non-dropping-particle&quot;:&quot;&quot;},{&quot;family&quot;:&quot;Iii&quot;,&quot;given&quot;:&quot;Hosgood&quot;,&quot;parse-names&quot;:false,&quot;dropping-particle&quot;:&quot;&quot;,&quot;non-dropping-particle&quot;:&quot;&quot;},{&quot;family&quot;:&quot;Hock&quot;,&quot;given&quot;:&quot;Janet M&quot;,&quot;parse-names&quot;:false,&quot;dropping-particle&quot;:&quot;&quot;,&quot;non-dropping-particle&quot;:&quot;&quot;}],&quot;accessed&quot;:{&quot;date-parts&quot;:[[2022,5,8]]},&quot;DOI&quot;:&quot;10.1016/j.sste.2014.07.004&quot;,&quot;URL&quot;:&quot;http://dx.doi.org/10.1016/j.sste.2014.07.004&quot;,&quot;issued&quot;:{&quot;date-parts&quot;:[[2014]]},&quot;abstract&quot;:&quot;Chronic respiratory diseases rank among the leading global disease burdens. Maine's respiratory disease prevalence exceeds the US average, despite limited urbanization/industrial-ization. To provide insight into potential etiologic factors among this unique, rural population, we analyzed the spatial distributions of, and potential associations among asthma, COPD, pneumonia, and URI adult outpatient data (n = 47,099) from all outpatient transactions (n = 5,052,900) in 2009 for Maine hospitals and affiliate clinics, using spatial scan statistic, geographic weighted regression (GWR), and a Delaunay graph algorithm. Non-random high prevalence regions were identified, the majority of which (84% of the population underlying all regions) exhibited clusters for all four respiratory diseases. GWR provided further evidence of spatial correlation (R 2 = 0.991) between the communi-cable and noncommunicable diseases under investigation, suggesting spatial interdependence in risk. Sensitivity analyses of known respiratory disease risks did not fully explain our results. Prospective epidemiology studies are needed to clarify all contributors to risk.&quot;,&quot;container-title-short&quot;:&quot;&quot;},&quot;isTemporary&quot;:false},{&quot;id&quot;:&quot;69f85eaf-a257-346d-94cb-32037c9302a9&quot;,&quot;itemData&quot;:{&quot;type&quot;:&quot;article-journal&quot;,&quot;id&quot;:&quot;69f85eaf-a257-346d-94cb-32037c9302a9&quot;,&quot;title&quot;:&quot;Air Pollution and Socio-Economic Determinants of Chronic Obstructive Pulmonary Disease in Albania&quot;,&quot;author&quot;:[{&quot;family&quot;:&quot;SHEHU&quot;,&quot;given&quot;:&quot;ERBLIN&quot;,&quot;parse-names&quot;:false,&quot;dropping-particle&quot;:&quot;&quot;,&quot;non-dropping-particle&quot;:&quot;&quot;},{&quot;family&quot;:&quot;FARRUKU&quot;,&quot;given&quot;:&quot;HYGERTA&quot;,&quot;parse-names&quot;:false,&quot;dropping-particle&quot;:&quot;&quot;,&quot;non-dropping-particle&quot;:&quot;&quot;},{&quot;family&quot;:&quot;SMAILI&quot;,&quot;given&quot;:&quot;HAJAR&quot;,&quot;parse-names&quot;:false,&quot;dropping-particle&quot;:&quot;&quot;,&quot;non-dropping-particle&quot;:&quot;&quot;}],&quot;container-title&quot;:&quot;Current Health Sciences Journal&quot;,&quot;container-title-short&quot;:&quot;Curr Health Sci J&quot;,&quot;accessed&quot;:{&quot;date-parts&quot;:[[2025,4,12]]},&quot;DOI&quot;:&quot;10.12865/CHSJ.48.01.07&quot;,&quot;ISSN&quot;:&quot;2067-0656 (Print)&quot;,&quot;PMID&quot;:&quot;35911949&quot;,&quot;URL&quot;:&quot;https://pmc.ncbi.nlm.nih.gov/articles/PMC9289595/&quot;,&quot;issued&quot;:{&quot;date-parts&quot;:[[2022]]},&quot;page&quot;:&quot;51&quot;,&quot;abstract&quot;:&quot;INTRODUCTION: Chronic obstructive pulmonary disease (COPD) has become a global  issue. The Global Burden of Disease Study reports a prevalence of 251 million cases of COPD in 2016, while it is estimated that 3.17 million deaths were caused by the disease during that period. In this paper we conduct an ecological study, to analyze the effects of socio-economic factors and air pollution on the COPD prevalence at the population level in Albania. METHODS: Group-level data from 61 municipalities in Albania was used to assess the relationship between environmental exposures, living conditions, and socioeconomic factors with the prevalence of chronic obstructive pulmonary disease. RESULTS: The regression analysis shows that for every percent increase in the concentration of PM2.5 in Albanian cities, a 32% increase in the prevalence of COPD was observed. Similarly, there was an increase in COPD prevalence associated with the increase of the urban population and the number of vehicles registered per city. It is worth mentioning that no statistically significant relationship was observed between the prevalence of COPD, smoking levels, and the Poverty Index. CONCLUSIONS: Within the limitations of an ecological analysis, these findings support an association between the prevalence of chronic obstructive pulmonary disease and environmental exposures, socioeconomic factors, and living conditions. However, there is a call to more individual-level analysis and more in-depth research to further investigate the extent of this association in Albania.&quot;,&quot;issue&quot;:&quot;1&quot;,&quot;volume&quot;:&quot;48&quot;},&quot;isTemporary&quot;:false}]},{&quot;citationID&quot;:&quot;MENDELEY_CITATION_e7495437-35b1-488b-b958-5cd97f057254&quot;,&quot;properties&quot;:{&quot;noteIndex&quot;:0},&quot;isEdited&quot;:false,&quot;manualOverride&quot;:{&quot;isManuallyOverridden&quot;:false,&quot;citeprocText&quot;:&quot;[6]&quot;,&quot;manualOverrideText&quot;:&quot;&quot;},&quot;citationTag&quot;:&quot;MENDELEY_CITATION_v3_eyJjaXRhdGlvbklEIjoiTUVOREVMRVlfQ0lUQVRJT05fZTc0OTU0MzctMzViMS00ODhiLWI5NTgtNWNkOTdmMDU3MjU0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quot;,&quot;citationItems&quot;:[{&quot;id&quot;:&quot;f6bf6552-f6e0-3ff4-a77d-6750f2546b26&quot;,&quot;itemData&quot;:{&quot;type&quot;:&quot;report&quot;,&quot;id&quot;:&quot;f6bf6552-f6e0-3ff4-a77d-6750f2546b26&quot;,&quot;title&quot;:&quot;GOLD Report 2020&quot;,&quot;author&quot;:[{&quot;family&quot;:&quot;Global Initiative for Chronic Obstructive Lung Disease&quot;,&quot;given&quot;:&quot;&quot;,&quot;parse-names&quot;:false,&quot;dropping-particle&quot;:&quot;&quot;,&quot;non-dropping-particle&quot;:&quot;&quot;}],&quot;container-title&quot;:&quot;Global Strategy for the Diagnosis, Management, and Prevention of Chronic Obstructive Pulmonary Disease: 2020 Report&quot;,&quot;URL&quot;:&quot;https://goldcopd.org/wp-content/uploads/2019/12/GOLD-2020-FINAL-ver1.2-03Dec19_WMV.pdf&quot;,&quot;issued&quot;:{&quot;date-parts&quot;:[[2020]]},&quot;number-of-pages&quot;:&quot;141&quot;,&quot;abstract&quot;:&quot;Global Strategy for the Diagnosis, Management, and Prevention of Chronic Obstructive Pulmonary Disease&quot;,&quot;container-title-short&quot;:&quot;&quot;},&quot;isTemporary&quot;:false}]},{&quot;citationID&quot;:&quot;MENDELEY_CITATION_70d0b5e5-eea6-484a-b91b-681f22611a6b&quot;,&quot;properties&quot;:{&quot;noteIndex&quot;:0},&quot;isEdited&quot;:false,&quot;manualOverride&quot;:{&quot;isManuallyOverridden&quot;:false,&quot;citeprocText&quot;:&quot;[148,149]&quot;,&quot;manualOverrideText&quot;:&quot;&quot;},&quot;citationTag&quot;:&quot;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&quot;,&quot;citationItems&quot;:[{&quot;id&quot;:&quot;083b7b99-ee9c-36cb-94e8-1f3bbb5204ac&quot;,&quot;itemData&quot;:{&quot;type&quot;:&quot;article-journal&quot;,&quot;id&quot;:&quot;083b7b99-ee9c-36cb-94e8-1f3bbb5204ac&quot;,&quot;title&quot;:&quot;Asthma as a Risk Factor for COPD in a Longitudinal Study&quot;,&quot;author&quot;:[{&quot;family&quot;:&quot;Silva&quot;,&quot;given&quot;:&quot;Graciela&quot;,&quot;parse-names&quot;:false,&quot;dropping-particle&quot;:&quot;&quot;,&quot;non-dropping-particle&quot;:&quot;&quot;},{&quot;family&quot;:&quot;Sherrille&quot;,&quot;given&quot;:&quot;Dunane&quot;,&quot;parse-names&quot;:false,&quot;dropping-particle&quot;:&quot;&quot;,&quot;non-dropping-particle&quot;:&quot;&quot;},{&quot;family&quot;:&quot;Guerra&quot;,&quot;given&quot;:&quot;Stefano&quot;,&quot;parse-names&quot;:false,&quot;dropping-particle&quot;:&quot;&quot;,&quot;non-dropping-particle&quot;:&quot;&quot;},{&quot;family&quot;:&quot;Barbee&quot;,&quot;given&quot;:&quot;Robert&quot;,&quot;parse-names&quot;:false,&quot;dropping-particle&quot;:&quot;&quot;,&quot;non-dropping-particle&quot;:&quot;&quot;}],&quot;container-title&quot;:&quot;Chest&quot;,&quot;container-title-short&quot;:&quot;Chest&quot;,&quot;DOI&quot;:&quot;10.1016/s8756-3452(08)70006-9&quot;,&quot;ISSN&quot;:&quot;87563452&quot;,&quot;issued&quot;:{&quot;date-parts&quot;:[[2004]]},&quot;page&quot;:&quot;59-65&quot;,&quot;issue&quot;:&quot;1&quot;,&quot;volume&quot;:&quot;126&quot;},&quot;isTemporary&quot;:false},{&quot;id&quot;:&quot;e5dc4953-b650-340c-a09b-f07d3fd3d258&quot;,&quot;itemData&quot;:{&quot;type&quot;:&quot;article-journal&quot;,&quot;id&quot;:&quot;e5dc4953-b650-340c-a09b-f07d3fd3d258&quot;,&quot;title&quot;:&quot;Patterns of Growth and Decline in Lung Function in Persistent Childhood Asthma&quot;,&quot;author&quot;:[{&quot;family&quot;:&quot;McGeachie&quot;,&quot;given&quot;:&quot;Michael J.&quot;,&quot;parse-names&quot;:false,&quot;dropping-particle&quot;:&quot;&quot;,&quot;non-dropping-particle&quot;:&quot;&quot;},{&quot;family&quot;:&quot;Yates&quot;,&quot;given&quot;:&quot;Katherine P.&quot;,&quot;parse-names&quot;:false,&quot;dropping-particle&quot;:&quot;&quot;,&quot;non-dropping-particle&quot;:&quot;&quot;},{&quot;family&quot;:&quot;Zhou&quot;,&quot;given&quot;:&quot;Xiaobo&quot;,&quot;parse-names&quot;:false,&quot;dropping-particle&quot;:&quot;&quot;,&quot;non-dropping-particle&quot;:&quot;&quot;},{&quot;family&quot;:&quot;Guo&quot;,&quot;given&quot;:&quot;Feng&quot;,&quot;parse-names&quot;:false,&quot;dropping-particle&quot;:&quot;&quot;,&quot;non-dropping-particle&quot;:&quot;&quot;},{&quot;family&quot;:&quot;Sternberg&quot;,&quot;given&quot;:&quot;Alice L.&quot;,&quot;parse-names&quot;:false,&quot;dropping-particle&quot;:&quot;&quot;,&quot;non-dropping-particle&quot;:&quot;&quot;},{&quot;family&quot;:&quot;Natta&quot;,&quot;given&quot;:&quot;Mark L.&quot;,&quot;parse-names&quot;:false,&quot;dropping-particle&quot;:&quot;&quot;,&quot;non-dropping-particle&quot;:&quot;Van&quot;},{&quot;family&quot;:&quot;Wise&quot;,&quot;given&quot;:&quot;Robert A.&quot;,&quot;parse-names&quot;:false,&quot;dropping-particle&quot;:&quot;&quot;,&quot;non-dropping-particle&quot;:&quot;&quot;},{&quot;family&quot;:&quot;Szefler&quot;,&quot;given&quot;:&quot;Stanley J.&quot;,&quot;parse-names&quot;:false,&quot;dropping-particle&quot;:&quot;&quot;,&quot;non-dropping-particle&quot;:&quot;&quot;},{&quot;family&quot;:&quot;Sharma&quot;,&quot;given&quot;:&quot;Sunita&quot;,&quot;parse-names&quot;:false,&quot;dropping-particle&quot;:&quot;&quot;,&quot;non-dropping-particle&quot;:&quot;&quot;},{&quot;family&quot;:&quot;Kho&quot;,&quot;given&quot;:&quot;Alvin T.&quot;,&quot;parse-names&quot;:false,&quot;dropping-particle&quot;:&quot;&quot;,&quot;non-dropping-particle&quot;:&quot;&quot;},{&quot;family&quot;:&quot;Cho&quot;,&quot;given&quot;:&quot;Michael H.&quot;,&quot;parse-names&quot;:false,&quot;dropping-particle&quot;:&quot;&quot;,&quot;non-dropping-particle&quot;:&quot;&quot;},{&quot;family&quot;:&quot;Croteau-Chonka&quot;,&quot;given&quot;:&quot;Damien C.&quot;,&quot;parse-names&quot;:false,&quot;dropping-particle&quot;:&quot;&quot;,&quot;non-dropping-particle&quot;:&quot;&quot;},{&quot;family&quot;:&quot;Castaldi&quot;,&quot;given&quot;:&quot;Peter J.&quot;,&quot;parse-names&quot;:false,&quot;dropping-particle&quot;:&quot;&quot;,&quot;non-dropping-particle&quot;:&quot;&quot;},{&quot;family&quot;:&quot;Jain&quot;,&quot;given&quot;:&quot;Gaurav&quot;,&quot;parse-names&quot;:false,&quot;dropping-particle&quot;:&quot;&quot;,&quot;non-dropping-particle&quot;:&quot;&quot;},{&quot;family&quot;:&quot;Sanyal&quot;,&quot;given&quot;:&quot;Amartya&quot;,&quot;parse-names&quot;:false,&quot;dropping-particle&quot;:&quot;&quot;,&quot;non-dropping-particle&quot;:&quot;&quot;},{&quot;family&quot;:&quot;Zhan&quot;,&quot;given&quot;:&quot;Ye&quot;,&quot;parse-names&quot;:false,&quot;dropping-particle&quot;:&quot;&quot;,&quot;non-dropping-particle&quot;:&quot;&quot;},{&quot;family&quot;:&quot;Lajoie&quot;,&quot;given&quot;:&quot;Bryan R.&quot;,&quot;parse-names&quot;:false,&quot;dropping-particle&quot;:&quot;&quot;,&quot;non-dropping-particle&quot;:&quot;&quot;},{&quot;family&quot;:&quot;Dekker&quot;,&quot;given&quot;:&quot;Job&quot;,&quot;parse-names&quot;:false,&quot;dropping-particle&quot;:&quot;&quot;,&quot;non-dropping-particle&quot;:&quot;&quot;},{&quot;family&quot;:&quot;Stamatoyannopoulos&quot;,&quot;given&quot;:&quot;John&quot;,&quot;parse-names&quot;:false,&quot;dropping-particle&quot;:&quot;&quot;,&quot;non-dropping-particle&quot;:&quot;&quot;},{&quot;family&quot;:&quot;Covar&quot;,&quot;given&quot;:&quot;Ronina A.&quot;,&quot;parse-names&quot;:false,&quot;dropping-particle&quot;:&quot;&quot;,&quot;non-dropping-particle&quot;:&quot;&quot;},{&quot;family&quot;:&quot;Zeiger&quot;,&quot;given&quot;:&quot;Robert S.&quot;,&quot;parse-names&quot;:false,&quot;dropping-particle&quot;:&quot;&quot;,&quot;non-dropping-particle&quot;:&quot;&quot;},{&quot;family&quot;:&quot;Adkinson&quot;,&quot;given&quot;:&quot;N. Franklin&quot;,&quot;parse-names&quot;:false,&quot;dropping-particle&quot;:&quot;&quot;,&quot;non-dropping-particle&quot;:&quot;&quot;},{&quot;family&quot;:&quot;Williams&quot;,&quot;given&quot;:&quot;Paul&quot;,&quot;parse-names&quot;:false,&quot;dropping-particle&quot;:&quot;V.&quot;,&quot;non-dropping-particle&quot;:&quot;&quot;},{&quot;family&quot;:&quot;Kelly&quot;,&quot;given&quot;:&quot;H. William&quot;,&quot;parse-names&quot;:false,&quot;dropping-particle&quot;:&quot;&quot;,&quot;non-dropping-particle&quot;:&quot;&quot;},{&quot;family&quot;:&quot;Grasemann&quot;,&quot;given&quot;:&quot;Hartmut&quot;,&quot;parse-names&quot;:false,&quot;dropping-particle&quot;:&quot;&quot;,&quot;non-dropping-particle&quot;:&quot;&quot;},{&quot;family&quot;:&quot;Vonk&quot;,&quot;given&quot;:&quot;Judith M.&quot;,&quot;parse-names&quot;:false,&quot;dropping-particle&quot;:&quot;&quot;,&quot;non-dropping-particle&quot;:&quot;&quot;},{&quot;family&quot;:&quot;Koppelman&quot;,&quot;given&quot;:&quot;Gerard H.&quot;,&quot;parse-names&quot;:false,&quot;dropping-particle&quot;:&quot;&quot;,&quot;non-dropping-particle&quot;:&quot;&quot;},{&quot;family&quot;:&quot;Postma&quot;,&quot;given&quot;:&quot;Dirkje S.&quot;,&quot;parse-names&quot;:false,&quot;dropping-particle&quot;:&quot;&quot;,&quot;non-dropping-particle&quot;:&quot;&quot;},{&quot;family&quot;:&quot;Raby&quot;,&quot;given&quot;:&quot;Benjamin A.&quot;,&quot;parse-names&quot;:false,&quot;dropping-particle&quot;:&quot;&quot;,&quot;non-dropping-particle&quot;:&quot;&quot;},{&quot;family&quot;:&quot;Houston&quot;,&quot;given&quot;:&quot;Isaac&quot;,&quot;parse-names&quot;:false,&quot;dropping-particle&quot;:&quot;&quot;,&quot;non-dropping-particle&quot;:&quot;&quot;},{&quot;family&quot;:&quot;Lu&quot;,&quot;given&quot;:&quot;Quan&quot;,&quot;parse-names&quot;:false,&quot;dropping-particle&quot;:&quot;&quot;,&quot;non-dropping-particle&quot;:&quot;&quot;},{&quot;family&quot;:&quot;Fuhlbrigge&quot;,&quot;given&quot;:&quot;Anne L.&quot;,&quot;parse-names&quot;:false,&quot;dropping-particle&quot;:&quot;&quot;,&quot;non-dropping-particle&quot;:&quot;&quot;},{&quot;family&quot;:&quot;Tantisira&quot;,&quot;given&quot;:&quot;Kelan G.&quot;,&quot;parse-names&quot;:false,&quot;dropping-particle&quot;:&quot;&quot;,&quot;non-dropping-particle&quot;:&quot;&quot;},{&quot;family&quot;:&quot;Silverman&quot;,&quot;given&quot;:&quot;Edwin K.&quot;,&quot;parse-names&quot;:false,&quot;dropping-particle&quot;:&quot;&quot;,&quot;non-dropping-particle&quot;:&quot;&quot;},{&quot;family&quot;:&quot;Tonascia&quot;,&quot;given&quot;:&quot;James&quot;,&quot;parse-names&quot;:false,&quot;dropping-particle&quot;:&quot;&quot;,&quot;non-dropping-particle&quot;:&quot;&quot;},{&quot;family&quot;:&quot;Weiss&quot;,&quot;given&quot;:&quot;Scott T.&quot;,&quot;parse-names&quot;:false,&quot;dropping-particle&quot;:&quot;&quot;,&quot;non-dropping-particle&quot;:&quot;&quot;},{&quot;family&quot;:&quot;Strunk&quot;,&quot;given&quot;:&quot;Robert C.&quot;,&quot;parse-names&quot;:false,&quot;dropping-particle&quot;:&quot;&quot;,&quot;non-dropping-particle&quot;:&quot;&quot;}],&quot;container-title&quot;:&quot;The New England journal of medicine&quot;,&quot;container-title-short&quot;:&quot;N Engl J Med&quot;,&quot;accessed&quot;:{&quot;date-parts&quot;:[[2022,5,8]]},&quot;DOI&quot;:&quot;10.1056/NEJMOA1513737&quot;,&quot;ISSN&quot;:&quot;0028-4793&quot;,&quot;PMID&quot;:&quot;27168434&quot;,&quot;URL&quot;:&quot;/pmc/articles/PMC5032024/&quot;,&quot;issued&quot;:{&quot;date-parts&quot;:[[2016,5,12]]},&quot;page&quot;:&quot;1842&quot;,&quot;abstract&quot;:&quot;BACKGROUND Tracking longitudinal measurements of growth and decline in lung function in patients with persistent childhood asthma may reveal links between asthma and subsequent chronic airflow obstruction. METHODS We classified children with asthma according to four characteristic patterns of lung-function growth and decline on the basis of graphs showing forced expiratory volume in 1 second (FEV1), representing spirometric measurements performed from childhood into adulthood. Risk factors associated with abnormal patterns were also examined. To define normal values, we used FEV1 values from participants in the National Health and Nutrition Examination Survey who did not have asthma. RESULTS Of the 684 study participants, 170 (25%) had a normal pattern of lung-function growth without early decline, and 514 (75%) had abnormal patterns: 176 (26%) had reduced growth and an early decline, 160 (23%) had reduced growth only, and 178 (26%) had normal growth and an early decline. Lower baseline values for FEV1, smaller bronchodilator response, airway hyperresponsiveness at baseline, and male sex were associated with reduced growth (P&lt;0.001 for all comparisons). At the last spirometric measurement (mean [±SD] age, 26.0±1.8 years), 73 participants (11%) met Global Initiative for Chronic Obstructive Lung Disease spirometric criteria for lung-function impairment that was consistent with chronic obstructive pulmonary disease (COPD); these participants were more likely to have a reduced pattern of growth than a normal pattern (18% vs. 3%, P&lt;0.001). CONCLUSIONS Childhood impairment of lung function and male sex were the most significant predictors of abnormal longitudinal patterns of lung-function growth and decline. Children with persistent asthma and reduced growth of lung function are at increased risk for fixed airflow obstruction and possibly COPD in early adulthood. (Funded by the Parker B. Francis Foundation and others; ClinicalTrials.gov number, NCT00000575.)&quot;,&quot;publisher&quot;:&quot;NIH Public Access&quot;,&quot;issue&quot;:&quot;19&quot;,&quot;volume&quot;:&quot;374&quot;},&quot;isTemporary&quot;:false}]},{&quot;citationID&quot;:&quot;MENDELEY_CITATION_8749a00d-daaf-4cf9-bb17-64333e30c0cc&quot;,&quot;properties&quot;:{&quot;noteIndex&quot;:0},&quot;isEdited&quot;:false,&quot;manualOverride&quot;:{&quot;isManuallyOverridden&quot;:false,&quot;citeprocText&quot;:&quot;[68,146,147]&quot;,&quot;manualOverrideText&quot;:&quot;&quot;},&quot;citationTag&quot;:&quot;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&quot;,&quot;citationItems&quot;:[{&quot;id&quot;:&quot;7d45dffa-b7c6-39f7-9461-7fcb1e1ed238&quot;,&quot;itemData&quot;:{&quot;type&quot;:&quot;article-journal&quot;,&quot;id&quot;:&quot;7d45dffa-b7c6-39f7-9461-7fcb1e1ed238&quot;,&quot;title&quot;:&quot;Who is where at risk for Chronic Obstructive Pulmonary Disease? A spatial epidemiological analysis of health insurance claims for COPD in Northeastern Germany&quot;,&quot;author&quot;:[{&quot;family&quot;:&quot;Kauhl&quot;,&quot;given&quot;:&quot;Boris&quot;,&quot;parse-names&quot;:false,&quot;dropping-particle&quot;:&quot;&quot;,&quot;non-dropping-particle&quot;:&quot;&quot;},{&quot;family&quot;:&quot;Maier&quot;,&quot;given&quot;:&quot;Werner&quot;,&quot;parse-names&quot;:false,&quot;dropping-particle&quot;:&quot;&quot;,&quot;non-dropping-particle&quot;:&quot;&quot;},{&quot;family&quot;:&quot;Schweikart&quot;,&quot;given&quot;:&quot;Jürgen&quot;,&quot;parse-names&quot;:false,&quot;dropping-particle&quot;:&quot;&quot;,&quot;non-dropping-particle&quot;:&quot;&quot;},{&quot;family&quot;:&quot;Keste&quot;,&quot;given&quot;:&quot;Andrea&quot;,&quot;parse-names&quot;:false,&quot;dropping-particle&quot;:&quot;&quot;,&quot;non-dropping-particle&quot;:&quot;&quot;},{&quot;family&quot;:&quot;Moskwyn&quot;,&quot;given&quot;:&quot;Marita&quot;,&quot;parse-names&quot;:false,&quot;dropping-particle&quot;:&quot;&quot;,&quot;non-dropping-particle&quot;:&quot;&quot;}],&quot;container-title&quot;:&quot;PloS one&quot;,&quot;container-title-short&quot;:&quot;PLoS One&quot;,&quot;accessed&quot;:{&quot;date-parts&quot;:[[2025,4,12]]},&quot;DOI&quot;:&quot;10.1371/JOURNAL.PONE.0190865&quot;,&quot;ISSN&quot;:&quot;1932-6203&quot;,&quot;PMID&quot;:&quot;29414997&quot;,&quot;URL&quot;:&quot;https://pubmed.ncbi.nlm.nih.gov/29414997/&quot;,&quot;issued&quot;:{&quot;date-parts&quot;:[[2018,2,1]]},&quot;abstract&quot;:&quot;Background Chronic obstructive pulmonary disease (COPD) has a high prevalence rate in Germany and a further increase is expected within the next years. Although risk factors on an individual level are widely understood, only little is known about the spatial heterogeneity and population-based risk factors of COPD. Background knowledge about broader, population-based processes could help to plan the future provision of healthcare and prevention strategies more aligned to the expected demand. The aim of this study is to analyze how the prevalence of COPD varies across northeastern Germany on the smallest spatial-scale possible and to identify the location-specific population-based risk factors using health insurance claims of the AOK Nordost. Methods To visualize the spatial distribution of COPD prevalence at the level of municipalities and urban districts, we used the conditional autoregressive Besag–York–Mollié (BYM) model. Geographically weighted regression modelling (GWR) was applied to analyze the location-specific ecological risk factors for COPD. Results The sex- and age-adjusted prevalence of COPD was 6.5% in 2012 and varied widely across northeastern Germany. Population-based risk factors consist of the proportions of insurants aged 65 and older, insurants with migration background, household size and area deprivation. The results of the GWR model revealed that the population at risk for COPD varies considerably across northeastern Germany. Conclusion Area deprivation has a direct and an indirect influence on the prevalence of COPD. Persons ageing in socially disadvantaged areas have a higher chance of developing COPD, even when they are not necessarily directly affected by deprivation on an individual level. This underlines the importance of considering the impact of area deprivation on health for planning of healthcare. Additionally, our results reveal that in some parts of the study area, insurants with migration background and persons living in multi-persons households are at elevated risk of COPD.&quot;,&quot;publisher&quot;:&quot;PLoS One&quot;,&quot;issue&quot;:&quot;2&quot;,&quot;volume&quot;:&quot;13&quot;},&quot;isTemporary&quot;:false},{&quot;id&quot;:&quot;a6b20493-9fb8-3a98-83f5-c3630452943d&quot;,&quot;itemData&quot;:{&quot;type&quot;:&quot;article-journal&quot;,&quot;id&quot;:&quot;a6b20493-9fb8-3a98-83f5-c3630452943d&quot;,&quot;title&quot;:&quot;Geostatistical predictive modeling for asthma and chronic obstructive pulmonary disease using socioeconomic and environmental determinants&quot;,&quot;author&quot;:[{&quot;family&quot;:&quot;Kumarihamy&quot;,&quot;given&quot;:&quot;R. M.K.&quot;,&quot;parse-names&quot;:false,&quot;dropping-particle&quot;:&quot;&quot;,&quot;non-dropping-particle&quot;:&quot;&quot;},{&quot;family&quot;:&quot;Tripathi&quot;,&quot;given&quot;:&quot;N. K.&quot;,&quot;parse-names&quot;:false,&quot;dropping-particle&quot;:&quot;&quot;,&quot;non-dropping-particle&quot;:&quot;&quot;}],&quot;container-title&quot;:&quot;Environmental monitoring and assessment&quot;,&quot;container-title-short&quot;:&quot;Environ Monit Assess&quot;,&quot;accessed&quot;:{&quot;date-parts&quot;:[[2025,4,12]]},&quot;DOI&quot;:&quot;10.1007/S10661-019-7417-0&quot;,&quot;ISSN&quot;:&quot;1573-2959&quot;,&quot;PMID&quot;:&quot;31254075&quot;,&quot;URL&quot;:&quot;https://pubmed.ncbi.nlm.nih.gov/31254075/&quot;,&quot;issued&quot;:{&quot;date-parts&quot;:[[2019,6,1]]},&quot;abstract&quot;:&quot;The spatial distribution of the prevalence of asthma and chronic obstructive pulmonary disease (COPD) remains under the influence of a wide array of environmental, climatic, and socioeconomic determinants. However, a large proportion of these influences remain unexplained. In completion, this study examined the spatial associations between asthma/COPD morbidity and their determinants using ordinary least squares (OLS) and geographically weighted regressions (GWR). Inpatient records collected from the secondary and tertiary care hospitals in Kandy from 2010 to 2014 were considered as the dependent variable. Potential risk factors (explanatory variables) were identified in four distinguished classes: 1) meteorological factors, (2) direct and indirect factors of air pollution, (3) socioeconomic factors, and (4) characteristics of the physical environment. All possible combinations of candidate explanatory variables were evaluated through an exploratory regression. A comparison between the regression models was also explored. The best OLS regression models revealed about 55% of asthma variation and 62% of COPD variation while GWR models yielded 78% and 74% of the variation of asthma and COPD occurrences respectively. Relative humidity, proximity to roads (0–200 m), road density, use of firewood as a source of fuel, and elevation play a vital role in predicting morbidity from asthma and COPD. Both local and global regression models are important in assessing spatial relationships of asthma and COPD. However, the local models exhibit a better prediction capability for assessing non-stationary relationships of asthma and COPD than global models. The geostatistical aspects used in this study may also provide insights for evaluating heterogeneous environmental risk factors in other epidemiological studies across different spatial settings.&quot;,&quot;publisher&quot;:&quot;Environ Monit Assess&quot;,&quot;issue&quot;:&quot;Suppl 2&quot;,&quot;volume&quot;:&quot;191&quot;},&quot;isTemporary&quot;:false},{&quot;id&quot;:&quot;69f85eaf-a257-346d-94cb-32037c9302a9&quot;,&quot;itemData&quot;:{&quot;type&quot;:&quot;article-journal&quot;,&quot;id&quot;:&quot;69f85eaf-a257-346d-94cb-32037c9302a9&quot;,&quot;title&quot;:&quot;Air Pollution and Socio-Economic Determinants of Chronic Obstructive Pulmonary Disease in Albania&quot;,&quot;author&quot;:[{&quot;family&quot;:&quot;SHEHU&quot;,&quot;given&quot;:&quot;ERBLIN&quot;,&quot;parse-names&quot;:false,&quot;dropping-particle&quot;:&quot;&quot;,&quot;non-dropping-particle&quot;:&quot;&quot;},{&quot;family&quot;:&quot;FARRUKU&quot;,&quot;given&quot;:&quot;HYGERTA&quot;,&quot;parse-names&quot;:false,&quot;dropping-particle&quot;:&quot;&quot;,&quot;non-dropping-particle&quot;:&quot;&quot;},{&quot;family&quot;:&quot;SMAILI&quot;,&quot;given&quot;:&quot;HAJAR&quot;,&quot;parse-names&quot;:false,&quot;dropping-particle&quot;:&quot;&quot;,&quot;non-dropping-particle&quot;:&quot;&quot;}],&quot;container-title&quot;:&quot;Current Health Sciences Journal&quot;,&quot;container-title-short&quot;:&quot;Curr Health Sci J&quot;,&quot;accessed&quot;:{&quot;date-parts&quot;:[[2025,4,12]]},&quot;DOI&quot;:&quot;10.12865/CHSJ.48.01.07&quot;,&quot;ISSN&quot;:&quot;2067-0656 (Print)&quot;,&quot;PMID&quot;:&quot;35911949&quot;,&quot;URL&quot;:&quot;https://pmc.ncbi.nlm.nih.gov/articles/PMC9289595/&quot;,&quot;issued&quot;:{&quot;date-parts&quot;:[[2022]]},&quot;page&quot;:&quot;51&quot;,&quot;abstract&quot;:&quot;INTRODUCTION: Chronic obstructive pulmonary disease (COPD) has become a global  issue. The Global Burden of Disease Study reports a prevalence of 251 million cases of COPD in 2016, while it is estimated that 3.17 million deaths were caused by the disease during that period. In this paper we conduct an ecological study, to analyze the effects of socio-economic factors and air pollution on the COPD prevalence at the population level in Albania. METHODS: Group-level data from 61 municipalities in Albania was used to assess the relationship between environmental exposures, living conditions, and socioeconomic factors with the prevalence of chronic obstructive pulmonary disease. RESULTS: The regression analysis shows that for every percent increase in the concentration of PM2.5 in Albanian cities, a 32% increase in the prevalence of COPD was observed. Similarly, there was an increase in COPD prevalence associated with the increase of the urban population and the number of vehicles registered per city. It is worth mentioning that no statistically significant relationship was observed between the prevalence of COPD, smoking levels, and the Poverty Index. CONCLUSIONS: Within the limitations of an ecological analysis, these findings support an association between the prevalence of chronic obstructive pulmonary disease and environmental exposures, socioeconomic factors, and living conditions. However, there is a call to more individual-level analysis and more in-depth research to further investigate the extent of this association in Albania.&quot;,&quot;issue&quot;:&quot;1&quot;,&quot;volume&quot;:&quot;48&quot;},&quot;isTemporary&quot;:false}]},{&quot;citationID&quot;:&quot;MENDELEY_CITATION_565e5d63-79e0-48cc-9357-4543287add1b&quot;,&quot;properties&quot;:{&quot;noteIndex&quot;:0},&quot;isEdited&quot;:false,&quot;manualOverride&quot;:{&quot;isManuallyOverridden&quot;:false,&quot;citeprocText&quot;:&quot;[75]&quot;,&quot;manualOverrideText&quot;:&quot;&quot;},&quot;citationTag&quot;:&quot;MENDELEY_CITATION_v3_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&quot;,&quot;citationItems&quot;:[{&quot;id&quot;:&quot;c6cf3923-a361-3308-9d3d-cc729e84d9e7&quot;,&quot;itemData&quot;:{&quot;type&quot;:&quot;article-journal&quot;,&quot;id&quot;:&quot;c6cf3923-a361-3308-9d3d-cc729e84d9e7&quot;,&quot;title&quot;:&quot;Spatial prevalence and associations among respiratory diseases in Maine&quot;,&quot;author&quot;:[{&quot;family&quot;:&quot;Farah&quot;,&quot;given&quot;:&quot;Christopher&quot;,&quot;parse-names&quot;:false,&quot;dropping-particle&quot;:&quot;&quot;,&quot;non-dropping-particle&quot;:&quot;&quot;},{&quot;family&quot;:&quot;Dean&quot;,&quot;given&quot;:&quot;H&quot;,&quot;parse-names&quot;:false,&quot;dropping-particle&quot;:&quot;&quot;,&quot;non-dropping-particle&quot;:&quot;&quot;},{&quot;family&quot;:&quot;Iii&quot;,&quot;given&quot;:&quot;Hosgood&quot;,&quot;parse-names&quot;:false,&quot;dropping-particle&quot;:&quot;&quot;,&quot;non-dropping-particle&quot;:&quot;&quot;},{&quot;family&quot;:&quot;Hock&quot;,&quot;given&quot;:&quot;Janet M&quot;,&quot;parse-names&quot;:false,&quot;dropping-particle&quot;:&quot;&quot;,&quot;non-dropping-particle&quot;:&quot;&quot;}],&quot;accessed&quot;:{&quot;date-parts&quot;:[[2022,5,8]]},&quot;DOI&quot;:&quot;10.1016/j.sste.2014.07.004&quot;,&quot;URL&quot;:&quot;http://dx.doi.org/10.1016/j.sste.2014.07.004&quot;,&quot;issued&quot;:{&quot;date-parts&quot;:[[2014]]},&quot;abstract&quot;:&quot;Chronic respiratory diseases rank among the leading global disease burdens. Maine's respiratory disease prevalence exceeds the US average, despite limited urbanization/industrial-ization. To provide insight into potential etiologic factors among this unique, rural population, we analyzed the spatial distributions of, and potential associations among asthma, COPD, pneumonia, and URI adult outpatient data (n = 47,099) from all outpatient transactions (n = 5,052,900) in 2009 for Maine hospitals and affiliate clinics, using spatial scan statistic, geographic weighted regression (GWR), and a Delaunay graph algorithm. Non-random high prevalence regions were identified, the majority of which (84% of the population underlying all regions) exhibited clusters for all four respiratory diseases. GWR provided further evidence of spatial correlation (R 2 = 0.991) between the communi-cable and noncommunicable diseases under investigation, suggesting spatial interdependence in risk. Sensitivity analyses of known respiratory disease risks did not fully explain our results. Prospective epidemiology studies are needed to clarify all contributors to risk.&quot;,&quot;container-title-short&quot;:&quot;&quot;},&quot;isTemporary&quot;:false}]},{&quot;citationID&quot;:&quot;MENDELEY_CITATION_a0fd4a1d-0006-45c9-9ee8-0fd24d7e3be3&quot;,&quot;properties&quot;:{&quot;noteIndex&quot;:0},&quot;isEdited&quot;:false,&quot;manualOverride&quot;:{&quot;isManuallyOverridden&quot;:false,&quot;citeprocText&quot;:&quot;[97]&quot;,&quot;manualOverrideText&quot;:&quot;&quot;},&quot;citationTag&quot;:&quot;MENDELEY_CITATION_v3_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&quot;,&quot;citationItems&quot;:[{&quot;id&quot;:&quot;9f8bc563-a705-3b03-bce1-601de6efc5ec&quot;,&quot;itemData&quot;:{&quot;type&quot;:&quot;article-journal&quot;,&quot;id&quot;:&quot;9f8bc563-a705-3b03-bce1-601de6efc5ec&quot;,&quot;title&quot;:&quot;Identifying risk factors for COPD and adult-onset asthma: an umbrella review&quot;,&quot;author&quot;:[{&quot;family&quot;:&quot;Holtjer&quot;,&quot;given&quot;:&quot;Judith C.S.&quot;,&quot;parse-names&quot;:false,&quot;dropping-particle&quot;:&quot;&quot;,&quot;non-dropping-particle&quot;:&quot;&quot;},{&quot;family&quot;:&quot;Bloemsma&quot;,&quot;given&quot;:&quot;Lizan D.&quot;,&quot;parse-names&quot;:false,&quot;dropping-particle&quot;:&quot;&quot;,&quot;non-dropping-particle&quot;:&quot;&quot;},{&quot;family&quot;:&quot;Beijers&quot;,&quot;given&quot;:&quot;Rosanne J.H.C.G.&quot;,&quot;parse-names&quot;:false,&quot;dropping-particle&quot;:&quot;&quot;,&quot;non-dropping-particle&quot;:&quot;&quot;},{&quot;family&quot;:&quot;Cornelissen&quot;,&quot;given&quot;:&quot;Merel E.B.&quot;,&quot;parse-names&quot;:false,&quot;dropping-particle&quot;:&quot;&quot;,&quot;non-dropping-particle&quot;:&quot;&quot;},{&quot;family&quot;:&quot;Hilvering&quot;,&quot;given&quot;:&quot;Bart&quot;,&quot;parse-names&quot;:false,&quot;dropping-particle&quot;:&quot;&quot;,&quot;non-dropping-particle&quot;:&quot;&quot;},{&quot;family&quot;:&quot;Houweling&quot;,&quot;given&quot;:&quot;Laura&quot;,&quot;parse-names&quot;:false,&quot;dropping-particle&quot;:&quot;&quot;,&quot;non-dropping-particle&quot;:&quot;&quot;},{&quot;family&quot;:&quot;Vermeulen&quot;,&quot;given&quot;:&quot;Roel C.H.&quot;,&quot;parse-names&quot;:false,&quot;dropping-particle&quot;:&quot;&quot;,&quot;non-dropping-particle&quot;:&quot;&quot;},{&quot;family&quot;:&quot;Downward&quot;,&quot;given&quot;:&quot;George S.&quot;,&quot;parse-names&quot;:false,&quot;dropping-particle&quot;:&quot;&quot;,&quot;non-dropping-particle&quot;:&quot;&quot;},{&quot;family&quot;:&quot;Zee&quot;,&quot;given&quot;:&quot;Anke Hilse Maitland&quot;,&quot;parse-names&quot;:false,&quot;dropping-particle&quot;:&quot;Van&quot;,&quot;non-dropping-particle&quot;:&quot;der&quot;}],&quot;container-title&quot;:&quot;European Respiratory Review&quot;,&quot;accessed&quot;:{&quot;date-parts&quot;:[[2024,3,17]]},&quot;DOI&quot;:&quot;10.1183/16000617.0009-2023&quot;,&quot;ISSN&quot;:&quot;16000617&quot;,&quot;PMID&quot;:&quot;37137510&quot;,&quot;URL&quot;:&quot;/pmc/articles/PMC10155046/&quot;,&quot;issued&quot;:{&quot;date-parts&quot;:[[2023,6,6]]},&quot;abstract&quot;:&quot;Background COPD and adult-onset asthma (AOA) are the most common noncommunicable respiratory diseases. To improve early identification and prevention, an overview of risk factors is needed. We therefore aimed to systematically summarise the nongenetic (exposome) risk factors for AOA and COPD. Additionally, we aimed to compare the risk factors for COPD and AOA. Methods In this umbrella review, we searched PubMed for articles from inception until 1 February 2023 and screened the references of relevant articles. We included systematic reviews and meta-analyses of observational epidemiological studies in humans that assessed a minimum of one lifestyle or environmental risk factor for AOA or COPD. Results In total, 75 reviews were included, of which 45 focused on risk factors for COPD, 28 on AOA and two examined both. For asthma, 43 different risk factors were identified while 45 were identified for COPD. For AOA, smoking, a high body mass index (BMI), wood dust exposure and residential chemical exposures, such as formaldehyde exposure or exposure to volatile organic compounds, were amongst the risk factors found. For COPD, smoking, ambient air pollution including nitrogen dioxide, a low BMI, indoor biomass burning, childhood asthma, occupational dust exposure and diet were amongst the risk factors found. Conclusions Many different factors for COPD and asthma have been found, highlighting the differences and similarities. The results of this systematic review can be used to target and identify people at high risk for COPD or AOA.&quot;,&quot;publisher&quot;:&quot;European Respiratory Society&quot;,&quot;issue&quot;:&quot;168&quot;,&quot;volume&quot;:&quot;32&quot;,&quot;container-title-short&quot;:&quot;&quot;},&quot;isTemporary&quot;:false}]},{&quot;citationID&quot;:&quot;MENDELEY_CITATION_98f6cd2f-fceb-4423-94c2-daacc595469e&quot;,&quot;properties&quot;:{&quot;noteIndex&quot;:0},&quot;isEdited&quot;:false,&quot;manualOverride&quot;:{&quot;isManuallyOverridden&quot;:false,&quot;citeprocText&quot;:&quot;[150,151]&quot;,&quot;manualOverrideText&quot;:&quot;&quot;},&quot;citationTag&quot;:&quot;MENDELEY_CITATION_v3_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&quot;,&quot;citationItems&quot;:[{&quot;id&quot;:&quot;ca5e991d-30ba-3677-945d-beda5cb3150f&quot;,&quot;itemData&quot;:{&quot;type&quot;:&quot;article-journal&quot;,&quot;id&quot;:&quot;ca5e991d-30ba-3677-945d-beda5cb3150f&quot;,&quot;title&quot;:&quot;Asthma-COPD overlap syndrome: pathogenesis, clinical features, and therapeutic targets&quot;,&quot;author&quot;:[{&quot;family&quot;:&quot;Leung&quot;,&quot;given&quot;:&quot;Janice M.&quot;,&quot;parse-names&quot;:false,&quot;dropping-particle&quot;:&quot;&quot;,&quot;non-dropping-particle&quot;:&quot;&quot;},{&quot;family&quot;:&quot;Sin&quot;,&quot;given&quot;:&quot;Don D.&quot;,&quot;parse-names&quot;:false,&quot;dropping-particle&quot;:&quot;&quot;,&quot;non-dropping-particle&quot;:&quot;&quot;}],&quot;container-title&quot;:&quot;BMJ&quot;,&quot;accessed&quot;:{&quot;date-parts&quot;:[[2024,3,17]]},&quot;DOI&quot;:&quot;10.1136/BMJ.J3772&quot;,&quot;ISSN&quot;:&quot;0959-8138&quot;,&quot;PMID&quot;:&quot;28947632&quot;,&quot;URL&quot;:&quot;https://www-bmj-com.utk.idm.oclc.org/content/358/bmj.j3772&quot;,&quot;issued&quot;:{&quot;date-parts&quot;:[[2017,9,25]]},&quot;abstract&quot;:&quot;Asthma-COPD overlap syndrome (ACOS) or asthma-COPD overlap captures the subset of patients with airways disease who have features of both asthma and chronic obstructive pulmonary disease (COPD). Although definitions of ACOS vary, it is generally thought to encompass persistent airflow limitation in a patient older than 40 years of age with either a history of asthma or large bronchodilator reversibility. ACOS affects about a quarter of patients with COPD and almost a third of patients who previously had asthma. Compared with their counterparts with asthma or COPD alone, patients with ACOS have significantly worse respiratory symptoms, poorer quality of life, and increased risk of exacerbations and hospital admissions. Whether this condition emerges after gradual shifts in airway remodelling and inflammation in a patient with COPD, as the result of noxious exposures in a patient with asthma, or even as a de novo disease with its own pathology is yet to be determined. Nevertheless, using treatments developed for asthma or COPD that target eosinophilic, neutrophilic, or paucigranulocytic airway inflammation may be a helpful approach to these patients until further clinical trials can be performed.&quot;,&quot;publisher&quot;:&quot;British Medical Journal Publishing Group&quot;,&quot;volume&quot;:&quot;358&quot;,&quot;container-title-short&quot;:&quot;&quot;},&quot;isTemporary&quot;:false},{&quot;id&quot;:&quot;7f76c0d5-b40e-3f7e-a68f-aace49c05588&quot;,&quot;itemData&quot;:{&quot;type&quot;:&quot;article-journal&quot;,&quot;id&quot;:&quot;7f76c0d5-b40e-3f7e-a68f-aace49c05588&quot;,&quot;title&quot;:&quot;GOLD 2021 Strategy Report: Implications for Asthma–COPD Overlap&quot;,&quot;author&quot;:[{&quot;family&quot;:&quot;Roman-Rodriguez&quot;,&quot;given&quot;:&quot;Miguel&quot;,&quot;parse-names&quot;:false,&quot;dropping-particle&quot;:&quot;&quot;,&quot;non-dropping-particle&quot;:&quot;&quot;},{&quot;family&quot;:&quot;Kaplan&quot;,&quot;given&quot;:&quot;Alan&quot;,&quot;parse-names&quot;:false,&quot;dropping-particle&quot;:&quot;&quot;,&quot;non-dropping-particle&quot;:&quot;&quot;}],&quot;container-title&quot;:&quot;International Journal of Chronic Obstructive Pulmonary Disease&quot;,&quot;container-title-short&quot;:&quot;Int J Chron Obstruct Pulmon Dis&quot;,&quot;accessed&quot;:{&quot;date-parts&quot;:[[2024,3,17]]},&quot;DOI&quot;:&quot;10.2147/COPD.S300902&quot;,&quot;ISSN&quot;:&quot;11782005&quot;,&quot;PMID&quot;:&quot;34163155&quot;,&quot;URL&quot;:&quot;/pmc/articles/PMC8214338/&quot;,&quot;issued&quot;:{&quot;date-parts&quot;:[[2021]]},&quot;page&quot;:&quot;1709&quot;,&quot;abstract&quot;:&quot;In its 2021 strategy report, the Global Initiative for Chronic Obstructive Lung Disease states: “we no longer refer to asthma-COPD overlap (ACO), instead we emphasize that asthma and COPD are different disorders, although they may […] coexist in an individual patient. If a concurrent diagnosis of asthma is suspected, pharmacotherapy should primarily follow asthma guidelines, but pharmacological and non-pharmacological approaches may also be needed for their COPD.” What does this mean for the treating physician? In this review, we explore the implications of this new guidance on treating patients with chronic obstructive pulmonary disease, arguing for a personalized approach to treatment.&quot;,&quot;publisher&quot;:&quot;Dove Press&quot;,&quot;volume&quot;:&quot;16&quot;},&quot;isTemporary&quot;:false}]},{&quot;citationID&quot;:&quot;MENDELEY_CITATION_a82e5391-676f-4f94-b207-4bb78ff254d5&quot;,&quot;properties&quot;:{&quot;noteIndex&quot;:0},&quot;isEdited&quot;:false,&quot;manualOverride&quot;:{&quot;isManuallyOverridden&quot;:false,&quot;citeprocText&quot;:&quot;[150]&quot;,&quot;manualOverrideText&quot;:&quot;&quot;},&quot;citationTag&quot;:&quot;MENDELEY_CITATION_v3_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&quot;,&quot;citationItems&quot;:[{&quot;id&quot;:&quot;ca5e991d-30ba-3677-945d-beda5cb3150f&quot;,&quot;itemData&quot;:{&quot;type&quot;:&quot;article-journal&quot;,&quot;id&quot;:&quot;ca5e991d-30ba-3677-945d-beda5cb3150f&quot;,&quot;title&quot;:&quot;Asthma-COPD overlap syndrome: pathogenesis, clinical features, and therapeutic targets&quot;,&quot;author&quot;:[{&quot;family&quot;:&quot;Leung&quot;,&quot;given&quot;:&quot;Janice M.&quot;,&quot;parse-names&quot;:false,&quot;dropping-particle&quot;:&quot;&quot;,&quot;non-dropping-particle&quot;:&quot;&quot;},{&quot;family&quot;:&quot;Sin&quot;,&quot;given&quot;:&quot;Don D.&quot;,&quot;parse-names&quot;:false,&quot;dropping-particle&quot;:&quot;&quot;,&quot;non-dropping-particle&quot;:&quot;&quot;}],&quot;container-title&quot;:&quot;BMJ&quot;,&quot;accessed&quot;:{&quot;date-parts&quot;:[[2024,3,17]]},&quot;DOI&quot;:&quot;10.1136/BMJ.J3772&quot;,&quot;ISSN&quot;:&quot;0959-8138&quot;,&quot;PMID&quot;:&quot;28947632&quot;,&quot;URL&quot;:&quot;https://www-bmj-com.utk.idm.oclc.org/content/358/bmj.j3772&quot;,&quot;issued&quot;:{&quot;date-parts&quot;:[[2017,9,25]]},&quot;abstract&quot;:&quot;Asthma-COPD overlap syndrome (ACOS) or asthma-COPD overlap captures the subset of patients with airways disease who have features of both asthma and chronic obstructive pulmonary disease (COPD). Although definitions of ACOS vary, it is generally thought to encompass persistent airflow limitation in a patient older than 40 years of age with either a history of asthma or large bronchodilator reversibility. ACOS affects about a quarter of patients with COPD and almost a third of patients who previously had asthma. Compared with their counterparts with asthma or COPD alone, patients with ACOS have significantly worse respiratory symptoms, poorer quality of life, and increased risk of exacerbations and hospital admissions. Whether this condition emerges after gradual shifts in airway remodelling and inflammation in a patient with COPD, as the result of noxious exposures in a patient with asthma, or even as a de novo disease with its own pathology is yet to be determined. Nevertheless, using treatments developed for asthma or COPD that target eosinophilic, neutrophilic, or paucigranulocytic airway inflammation may be a helpful approach to these patients until further clinical trials can be performed.&quot;,&quot;publisher&quot;:&quot;British Medical Journal Publishing Group&quot;,&quot;volume&quot;:&quot;358&quot;,&quot;container-title-short&quot;:&quot;&quot;},&quot;isTemporary&quot;:false}]},{&quot;citationID&quot;:&quot;MENDELEY_CITATION_47f8cb92-ee92-49f2-8d71-66b698b342dd&quot;,&quot;properties&quot;:{&quot;noteIndex&quot;:0},&quot;isEdited&quot;:false,&quot;manualOverride&quot;:{&quot;isManuallyOverridden&quot;:false,&quot;citeprocText&quot;:&quot;[152]&quot;,&quot;manualOverrideText&quot;:&quot;&quot;},&quot;citationTag&quot;:&quot;MENDELEY_CITATION_v3_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&quot;,&quot;citationItems&quot;:[{&quot;id&quot;:&quot;443e636f-858b-3727-8810-a7a1847741c2&quot;,&quot;itemData&quot;:{&quot;type&quot;:&quot;article-journal&quot;,&quot;id&quot;:&quot;443e636f-858b-3727-8810-a7a1847741c2&quot;,&quot;title&quot;:&quot;Asthma Surveillance — United States, 2006–2018&quot;,&quot;author&quot;:[{&quot;family&quot;:&quot;Pate&quot;,&quot;given&quot;:&quot;Cynthia A.&quot;,&quot;parse-names&quot;:false,&quot;dropping-particle&quot;:&quot;&quot;,&quot;non-dropping-particle&quot;:&quot;&quot;},{&quot;family&quot;:&quot;Zahran&quot;,&quot;given&quot;:&quot;Hatice S.&quot;,&quot;parse-names&quot;:false,&quot;dropping-particle&quot;:&quot;&quot;,&quot;non-dropping-particle&quot;:&quot;&quot;},{&quot;family&quot;:&quot;Qin&quot;,&quot;given&quot;:&quot;Xiaoting&quot;,&quot;parse-names&quot;:false,&quot;dropping-particle&quot;:&quot;&quot;,&quot;non-dropping-particle&quot;:&quot;&quot;},{&quot;family&quot;:&quot;Johnson&quot;,&quot;given&quot;:&quot;Carol&quot;,&quot;parse-names&quot;:false,&quot;dropping-particle&quot;:&quot;&quot;,&quot;non-dropping-particle&quot;:&quot;&quot;},{&quot;family&quot;:&quot;Hummelman&quot;,&quot;given&quot;:&quot;Erik&quot;,&quot;parse-names&quot;:false,&quot;dropping-particle&quot;:&quot;&quot;,&quot;non-dropping-particle&quot;:&quot;&quot;},{&quot;family&quot;:&quot;Malilay&quot;,&quot;given&quot;:&quot;Josephine&quot;,&quot;parse-names&quot;:false,&quot;dropping-particle&quot;:&quot;&quot;,&quot;non-dropping-particle&quot;:&quot;&quot;}],&quot;container-title&quot;:&quot;MMWR Surveillance Summaries&quot;,&quot;accessed&quot;:{&quot;date-parts&quot;:[[2025,5,19]]},&quot;DOI&quot;:&quot;10.15585/MMWR.SS7005A1&quot;,&quot;ISSN&quot;:&quot;15458636&quot;,&quot;PMID&quot;:&quot;34529643&quot;,&quot;URL&quot;:&quot;https://pmc.ncbi.nlm.nih.gov/articles/PMC8480992/&quot;,&quot;issued&quot;:{&quot;date-parts&quot;:[[2021]]},&quot;page&quot;:&quot;1&quot;,&quot;abstract&quot;:&quot;Problem: Asthma is a chronic disease of the airways that requires ongoing medical management. Socioeconomic and demographic factors as well as health care use might influence health patterns in urban and rural areas. Persons living in rural areas tend to have less access to health care and health resources and worse health outcomes. Characterizing asthma indicators (i.e., prevalence of current asthma, asthma attacks, emergency department and urgent care center [ED/UCC] visits, and asthma-associated deaths) and determining how asthma exacerbations and health care use vary across the United States by geographic area, including differences between urban and rural areas, and by sociodemographic factors can help identify subpopulations at risk for asthmarelated complications.&quot;,&quot;publisher&quot;:&quot;Centers for Disease Control and Prevention (CDC)&quot;,&quot;issue&quot;:&quot;5&quot;,&quot;volume&quot;:&quot;70&quot;,&quot;container-title-short&quot;:&quot;&quot;},&quot;isTemporary&quot;:false}]},{&quot;citationID&quot;:&quot;MENDELEY_CITATION_aae5dc60-3117-4100-bcdc-f078a56dbd58&quot;,&quot;properties&quot;:{&quot;noteIndex&quot;:0},&quot;isEdited&quot;:false,&quot;manualOverride&quot;:{&quot;isManuallyOverridden&quot;:false,&quot;citeprocText&quot;:&quot;[153]&quot;,&quot;manualOverrideText&quot;:&quot;&quot;},&quot;citationTag&quot;:&quot;MENDELEY_CITATION_v3_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&quot;,&quot;citationItems&quot;:[{&quot;id&quot;:&quot;bd408286-aa4d-3d1c-b2aa-fc95030ee033&quot;,&quot;itemData&quot;:{&quot;type&quot;:&quot;article-journal&quot;,&quot;id&quot;:&quot;bd408286-aa4d-3d1c-b2aa-fc95030ee033&quot;,&quot;title&quot;:&quot;Asthma and the Social Determinants of Health&quot;,&quot;author&quot;:[{&quot;family&quot;:&quot;Grant&quot;,&quot;given&quot;:&quot;Torie&quot;,&quot;parse-names&quot;:false,&quot;dropping-particle&quot;:&quot;&quot;,&quot;non-dropping-particle&quot;:&quot;&quot;},{&quot;family&quot;:&quot;Croce&quot;,&quot;given&quot;:&quot;Emily&quot;,&quot;parse-names&quot;:false,&quot;dropping-particle&quot;:&quot;&quot;,&quot;non-dropping-particle&quot;:&quot;&quot;},{&quot;family&quot;:&quot;Matsui&quot;,&quot;given&quot;:&quot;Elizabeth C.&quot;,&quot;parse-names&quot;:false,&quot;dropping-particle&quot;:&quot;&quot;,&quot;non-dropping-particle&quot;:&quot;&quot;}],&quot;container-title&quot;:&quot;Annals of allergy, asthma &amp; immunology : official publication of the American College of Allergy, Asthma, &amp; Immunology&quot;,&quot;container-title-short&quot;:&quot;Ann Allergy Asthma Immunol&quot;,&quot;accessed&quot;:{&quot;date-parts&quot;:[[2025,5,19]]},&quot;DOI&quot;:&quot;10.1016/J.ANAI.2021.10.002&quot;,&quot;ISSN&quot;:&quot;15344436&quot;,&quot;PMID&quot;:&quot;34673220&quot;,&quot;URL&quot;:&quot;https://pmc.ncbi.nlm.nih.gov/articles/PMC8671352/&quot;,&quot;issued&quot;:{&quot;date-parts&quot;:[[2021,1,1]]},&quot;page&quot;:&quot;5&quot;,&quot;abstract&quot;:&quot;Objective: To synthesize the growing body of literature on the role of social determinants of health (SDoH) in asthma and asthma disparities. Data Sources: A pubmed.gov search was performed to identify published literature on SDoH, asthma, asthma disparities, and race and ethnicity. Current asthma statistics of the Centers for Disease Control and Prevention were reviewed. Study Selections: Relevant articles on SDoH, asthma, asthma disparities, and race and ethnicity were reviewed in detail. Results: Black and Latinx Americans have a higher asthma prevalence and greater asthma morbidity than White Americans and also bear a disproportionate burden of SDoH. Inequities in SDoH are rooted in structural racism and population-level injustices that affect the socioeconomic status, physical environment, and health care access/quality of Black and Latinx Americans. There is evidence that racial/ethnic inequities in SDoH, such as socioeconomic status, neighborhood environment, housing, environmental exposures, and health care access/quality, contribute to excess burden of asthma prevalence/incidence, morbidity, exacerbations, and abnormal lung function among certain racial/ethnic populations. In addition, Black and Latinx communities experience high levels of long-term stress, which may increase asthma risk through direct effects on the immune system and hypothalamic-pituitary-adrenocortical activation. Long-term stress may also mediate the effects of SDoH on asthma. Conclusion: Although there is clear evidence linking SDoH to excess asthma risk and implicating SDoH in asthma disparities, the extent to which asthma disparities are explained by inequities in SDoH and the relative contributions of each of these SDoH to asthma disparities remain unclear. This knowledge is needed to effectively develop and test systems-level interventions targeting SDoH, with the ultimate goal of meaningfully reducing racial/ethnic asthma disparities.&quot;,&quot;publisher&quot;:&quot;American College of Allergy, Asthma and Immunology&quot;,&quot;issue&quot;:&quot;1&quot;,&quot;volume&quot;:&quot;128&quot;},&quot;isTemporary&quot;:false}]},{&quot;citationID&quot;:&quot;MENDELEY_CITATION_e82f3e4b-a40c-4fcf-9f83-50714951de8f&quot;,&quot;properties&quot;:{&quot;noteIndex&quot;:0},&quot;isEdited&quot;:false,&quot;manualOverride&quot;:{&quot;isManuallyOverridden&quot;:false,&quot;citeprocText&quot;:&quot;[38,124,154]&quot;,&quot;manualOverrideText&quot;:&quot;&quot;},&quot;citationTag&quot;:&quot;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&quot;,&quot;citationItems&quot;:[{&quot;id&quot;:&quot;efaeec36-337f-3461-8f26-febe4bbd2174&quot;,&quot;itemData&quot;:{&quot;type&quot;:&quot;article-journal&quot;,&quot;id&quot;:&quot;efaeec36-337f-3461-8f26-febe4bbd2174&quot;,&quot;title&quot;:&quot;Rural residence and poverty are independent risk factors for chronic obstructive pulmonary disease in the United States&quot;,&quot;author&quot;:[{&quot;family&quot;:&quot;Raju&quot;,&quot;given&quot;:&quot;Sarath&quot;,&quot;parse-names&quot;:false,&quot;dropping-particle&quot;:&quot;&quot;,&quot;non-dropping-particle&quot;:&quot;&quot;},{&quot;family&quot;:&quot;Keet&quot;,&quot;given&quot;:&quot;Corinne A.&quot;,&quot;parse-names&quot;:false,&quot;dropping-particle&quot;:&quot;&quot;,&quot;non-dropping-particle&quot;:&quot;&quot;},{&quot;family&quot;:&quot;Paulin&quot;,&quot;given&quot;:&quot;Laura M.&quot;,&quot;parse-names&quot;:false,&quot;dropping-particle&quot;:&quot;&quot;,&quot;non-dropping-particle&quot;:&quot;&quot;},{&quot;family&quot;:&quot;Matsui&quot;,&quot;given&quot;:&quot;Elizabeth C.&quot;,&quot;parse-names&quot;:false,&quot;dropping-particle&quot;:&quot;&quot;,&quot;non-dropping-particle&quot;:&quot;&quot;},{&quot;family&quot;:&quot;Peng&quot;,&quot;given&quot;:&quot;Roger D.&quot;,&quot;parse-names&quot;:false,&quot;dropping-particle&quot;:&quot;&quot;,&quot;non-dropping-particle&quot;:&quot;&quot;},{&quot;family&quot;:&quot;Hansel&quot;,&quot;given&quot;:&quot;Nadia N.&quot;,&quot;parse-names&quot;:false,&quot;dropping-particle&quot;:&quot;&quot;,&quot;non-dropping-particle&quot;:&quot;&quot;},{&quot;family&quot;:&quot;McCormack&quot;,&quot;given&quot;:&quot;Meredith C.&quot;,&quot;parse-names&quot;:false,&quot;dropping-particle&quot;:&quot;&quot;,&quot;non-dropping-particle&quot;:&quot;&quot;}],&quot;container-title&quot;:&quot;American Journal of Respiratory and Critical Care Medicine&quot;,&quot;container-title-short&quot;:&quot;Am J Respir Crit Care Med&quot;,&quot;accessed&quot;:{&quot;date-parts&quot;:[[2022,5,8]]},&quot;DOI&quot;:&quot;10.1164/RCCM.201807-1374OC/SUPPL_FILE/DISCLOSURES.PDF&quot;,&quot;ISSN&quot;:&quot;15354970&quot;,&quot;PMID&quot;:&quot;30384774&quot;,&quot;URL&quot;:&quot;/pmc/articles/PMC6467317/&quot;,&quot;issued&quot;:{&quot;date-parts&quot;:[[2019,4,15]]},&quot;page&quot;:&quot;961-969&quot;,&quot;abstract&quot;:&quot;Rationale: In developing countries, poor and rural areas have a high burden of chronic obstructive pulmonary disease (COPD), and environmental pollutants and indoor burning of biomass have been implicated as potential causal exposures. Less is known about the prevalence of COPD in the United States with respect to urban-rural distribution, poverty, and factors that uniquely contribute to COPD among never-smokers. Objectives: To understand the impact of urban-rural status, poverty, and other community factors on COPD prevalence nationwide and among never-smokers. Methods: We studied a nationally representative sample of adults in the National Health Interview Survey 2012-2015, with data linkage between neighborhood data from the U.S. Census's American Community Survey and the National Center for Health Statistics Urban-Rural Classification Scheme. The main outcome was COPD prevalence. Measurements and Main Results: The prevalence of COPD in poor, rural areas was almost twice that in the overall population (15.4% vs. 8.4%). In adjusted models, rural residence (odds ratio [OR], 1.23; P &lt; 0.001) and census-level poverty (OR, 1.12; P = 0.012) were both associated with COPD prevalence, as were indicators of household wealth. Among never-smokers, rural residence was also associated with COPD (OR, 1.34; P &lt; 0.001), as was neighborhood use of coal for heating (OR, 1.09; P &lt; 0.001). Conclusions: In a nationally representative sample, rural residence and poverty were risk factors for COPD, even among never-smokers. The use of coal for heating was also a risk factor for COPD among never-smokers. Future disparities research to elucidate contributors to COPD development in poor and rural areas, including assessments of heating sources and environmental pollutants, is needed.&quot;,&quot;publisher&quot;:&quot;American Thoracic Society&quot;,&quot;issue&quot;:&quot;8&quot;,&quot;volume&quot;:&quot;199&quot;},&quot;isTemporary&quot;:false},{&quot;id&quot;:&quot;348032de-3fdb-3bdf-8e98-69592486d898&quot;,&quot;itemData&quot;:{&quot;type&quot;:&quot;article-journal&quot;,&quot;id&quot;:&quot;348032de-3fdb-3bdf-8e98-69592486d898&quot;,&quot;title&quot;:&quot;Global, regional, and national prevalence of, and risk factors for, chronic obstructive pulmonary disease (COPD) in 2019: a systematic review and modelling analysis&quot;,&quot;author&quot;:[{&quot;family&quot;:&quot;Adeloye&quot;,&quot;given&quot;:&quot;Davies&quot;,&quot;parse-names&quot;:false,&quot;dropping-particle&quot;:&quot;&quot;,&quot;non-dropping-particle&quot;:&quot;&quot;},{&quot;family&quot;:&quot;Song&quot;,&quot;given&quot;:&quot;Peige&quot;,&quot;parse-names&quot;:false,&quot;dropping-particle&quot;:&quot;&quot;,&quot;non-dropping-particle&quot;:&quot;&quot;},{&quot;family&quot;:&quot;Zhu&quot;,&quot;given&quot;:&quot;Yajie&quot;,&quot;parse-names&quot;:false,&quot;dropping-particle&quot;:&quot;&quot;,&quot;non-dropping-particle&quot;:&quot;&quot;},{&quot;family&quot;:&quot;Campbell&quot;,&quot;given&quot;:&quot;Harry&quot;,&quot;parse-names&quot;:false,&quot;dropping-particle&quot;:&quot;&quot;,&quot;non-dropping-particle&quot;:&quot;&quot;},{&quot;family&quot;:&quot;Sheikh&quot;,&quot;given&quot;:&quot;Aziz&quot;,&quot;parse-names&quot;:false,&quot;dropping-particle&quot;:&quot;&quot;,&quot;non-dropping-particle&quot;:&quot;&quot;},{&quot;family&quot;:&quot;Rudan&quot;,&quot;given&quot;:&quot;Igor&quot;,&quot;parse-names&quot;:false,&quot;dropping-particle&quot;:&quot;&quot;,&quot;non-dropping-particle&quot;:&quot;&quot;}],&quot;container-title&quot;:&quot;The Lancet. Respiratory Medicine&quot;,&quot;container-title-short&quot;:&quot;Lancet Respir Med&quot;,&quot;accessed&quot;:{&quot;date-parts&quot;:[[2024,3,17]]},&quot;DOI&quot;:&quot;10.1016/S2213-2600(21)00511-7&quot;,&quot;ISSN&quot;:&quot;22132619&quot;,&quot;PMID&quot;:&quot;35279265&quot;,&quot;URL&quot;:&quot;/pmc/articles/PMC9050565/&quot;,&quot;issued&quot;:{&quot;date-parts&quot;:[[2022,5,1]]},&quot;page&quot;:&quot;447&quot;,&quot;abstract&quot;:&quot;Background: Chronic obstructive pulmonary disease (COPD) is an increasingly important cause of morbidity, disability, and mortality worldwide. We aimed to estimate global, regional, and national COPD prevalence and risk factors to guide policy and population interventions. Methods: For this systematic review and modelling study, we searched MEDLINE, Embase, Global Health, and CINAHL, for population-based studies on COPD prevalence published between Jan 1, 1990, and Dec 31, 2019. We included data reported using the two main case definitions: the Global Initiative for Chronic Obstructive Lung Disease fixed ratio (GOLD; FEV1/FVC&lt;0·7) and the lower limit of normal (LLN; FEV1/FVC&lt;LLN). We employed a multilevel multivariable mixed-effects meta-regression approach to generate the age-specific and sex-specific prevalence of COPD in 2019 for high-income countries (HICs) and low-income and middle-income countries (LMICs) according to the World Bank definition. Common risk factors for GOLD-COPD were evaluated using a random-effects meta-analysis. Findings: We identified 162 articles reporting population-based studies conducted across 260 sites in 65 countries. In 2019, the global prevalence of COPD among people aged 30–79 years was 10·3% (95% CI 8·2–12·8) using the GOLD case definition, which translates to 391·9 million people (95% CI 312·6–487·9), and 7·6% (5·8–10·1) using the LLN definition, which translates to 292·0 million people (219·8–385·6). Using the GOLD definition, we estimated that 391·9 million (95% CI 312·6–487·9) people aged 30–79 years had COPD worldwide in 2019, with most (315·5 million [246·7–399·6]; 80·5%) living in LMICs. The overall prevalence of GOLD-COPD among people aged 30–79 years was the highest in the Western Pacific region (11·7% [95% CI 9·3–14·6]) and lowest in the region of the Americas (6·8% [95% CI 5·6–8·2]). Globally, male sex (OR 2·1 [95% CI 1·8–2·3]), smoking (current smoker 3·2 [2·5–4·0]; ever smoker 2·3 [2·0–2·5]), body-mass index of less than 18·5 kg/m2 (2·2 [1·7–2·7]), biomass exposure (1·4 [1·2–1·7]), and occupational exposure to dust or smoke (1·4 [1·3–1·6]) were all substantial risk factors for COPD. Interpretation: With more than three-quarters of global COPD cases in LMICs, tackling this chronic condition is a major and increasing challenge for health systems in these settings. In the absence of targeted population-wide efforts and health system reforms in these settings, many of which are under-resourced, achieving a substantial reduction in the burden of COPD globally might remain a difficult task. Funding: National Institute for Health Research and Health Data Research UK.&quot;,&quot;publisher&quot;:&quot;Elsevier&quot;,&quot;issue&quot;:&quot;5&quot;,&quot;volume&quot;:&quot;10&quot;},&quot;isTemporary&quot;:false},{&quot;id&quot;:&quot;9cb6f55a-ec57-37bf-b451-d85e6535a21a&quot;,&quot;itemData&quot;:{&quot;type&quot;:&quot;article-journal&quot;,&quot;id&quot;:&quot;9cb6f55a-ec57-37bf-b451-d85e6535a21a&quot;,&quot;title&quot;:&quot;Socioeconomic status and its relationship to chronic respiratory disease&quot;,&quot;author&quot;:[{&quot;family&quot;:&quot;Sahni&quot;,&quot;given&quot;:&quot;Sonu&quot;,&quot;parse-names&quot;:false,&quot;dropping-particle&quot;:&quot;&quot;,&quot;non-dropping-particle&quot;:&quot;&quot;},{&quot;family&quot;:&quot;Talwar&quot;,&quot;given&quot;:&quot;Ankoor&quot;,&quot;parse-names&quot;:false,&quot;dropping-particle&quot;:&quot;&quot;,&quot;non-dropping-particle&quot;:&quot;&quot;},{&quot;family&quot;:&quot;Khanijo&quot;,&quot;given&quot;:&quot;Sameer&quot;,&quot;parse-names&quot;:false,&quot;dropping-particle&quot;:&quot;&quot;,&quot;non-dropping-particle&quot;:&quot;&quot;},{&quot;family&quot;:&quot;Talwar&quot;,&quot;given&quot;:&quot;Arunabh&quot;,&quot;parse-names&quot;:false,&quot;dropping-particle&quot;:&quot;&quot;,&quot;non-dropping-particle&quot;:&quot;&quot;}],&quot;container-title&quot;:&quot;Advances in Respiratory Medicine&quot;,&quot;container-title-short&quot;:&quot;Adv Respir Med&quot;,&quot;accessed&quot;:{&quot;date-parts&quot;:[[2025,5,19]]},&quot;DOI&quot;:&quot;10.5603/ARM.2017.0016,&quot;,&quot;ISSN&quot;:&quot;25436031&quot;,&quot;PMID&quot;:&quot;28440535&quot;,&quot;URL&quot;:&quot;https://pubmed.ncbi.nlm.nih.gov/28440535/&quot;,&quot;issued&quot;:{&quot;date-parts&quot;:[[2017]]},&quot;page&quot;:&quot;97-108&quot;,&quot;abstract&quot;:&quot;Socioeconomic status (SES) is defined as an individual’s social or economic standing, and is a measure of an individual’s or family’s social or economic position or rank in a social group. It is a composite of several measures including income, education, occupation, location of residence or housing. Studies have found a lower SES has been linked to disproportionate access to health care in many diseases. There is emerging data in pulmonary diseases such as COPD, asthma, cystic fibrosis, pulmonary hypertension and other chronic respiratory conditions that allude to a similar observation noted in other chronic diseases. In the setting of COPD, SES has an inverse relationship with COPD prevalence, mortality, health utilization costs and HRQoL. Asthma and cystic fibrosis show an increased severity and hospitalizations in relationship to a lower SES. Similar observations were seen in sarcoidosis, PHTN and obstructive sleep apnea. There remains a limited data on non-CF bronchiectasis and interstitial lung diseases. Population SES may be gauged by various measures such as education, occupation, marital status but no value is more indicative than income. Currently guidelines and management algorithms do not factor the effect of SES in the disease process. Despite the great amount of data available, a standardized method must be created to include SES in the prognostic calculations and management of chronic pulmonary diseases.&quot;,&quot;publisher&quot;:&quot;Via Medica&quot;,&quot;issue&quot;:&quot;2&quot;,&quot;volume&quot;:&quot;85&quot;},&quot;isTemporary&quot;:false}]},{&quot;citationID&quot;:&quot;MENDELEY_CITATION_fb8edb8d-6a8f-4b42-8399-dd69f3aa9531&quot;,&quot;properties&quot;:{&quot;noteIndex&quot;:0},&quot;isEdited&quot;:false,&quot;manualOverride&quot;:{&quot;isManuallyOverridden&quot;:false,&quot;citeprocText&quot;:&quot;[154]&quot;,&quot;manualOverrideText&quot;:&quot;&quot;},&quot;citationTag&quot;:&quot;MENDELEY_CITATION_v3_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&quot;,&quot;citationItems&quot;:[{&quot;id&quot;:&quot;9cb6f55a-ec57-37bf-b451-d85e6535a21a&quot;,&quot;itemData&quot;:{&quot;type&quot;:&quot;article-journal&quot;,&quot;id&quot;:&quot;9cb6f55a-ec57-37bf-b451-d85e6535a21a&quot;,&quot;title&quot;:&quot;Socioeconomic status and its relationship to chronic respiratory disease&quot;,&quot;author&quot;:[{&quot;family&quot;:&quot;Sahni&quot;,&quot;given&quot;:&quot;Sonu&quot;,&quot;parse-names&quot;:false,&quot;dropping-particle&quot;:&quot;&quot;,&quot;non-dropping-particle&quot;:&quot;&quot;},{&quot;family&quot;:&quot;Talwar&quot;,&quot;given&quot;:&quot;Ankoor&quot;,&quot;parse-names&quot;:false,&quot;dropping-particle&quot;:&quot;&quot;,&quot;non-dropping-particle&quot;:&quot;&quot;},{&quot;family&quot;:&quot;Khanijo&quot;,&quot;given&quot;:&quot;Sameer&quot;,&quot;parse-names&quot;:false,&quot;dropping-particle&quot;:&quot;&quot;,&quot;non-dropping-particle&quot;:&quot;&quot;},{&quot;family&quot;:&quot;Talwar&quot;,&quot;given&quot;:&quot;Arunabh&quot;,&quot;parse-names&quot;:false,&quot;dropping-particle&quot;:&quot;&quot;,&quot;non-dropping-particle&quot;:&quot;&quot;}],&quot;container-title&quot;:&quot;Advances in Respiratory Medicine&quot;,&quot;container-title-short&quot;:&quot;Adv Respir Med&quot;,&quot;accessed&quot;:{&quot;date-parts&quot;:[[2025,5,19]]},&quot;DOI&quot;:&quot;10.5603/ARM.2017.0016,&quot;,&quot;ISSN&quot;:&quot;25436031&quot;,&quot;PMID&quot;:&quot;28440535&quot;,&quot;URL&quot;:&quot;https://pubmed.ncbi.nlm.nih.gov/28440535/&quot;,&quot;issued&quot;:{&quot;date-parts&quot;:[[2017]]},&quot;page&quot;:&quot;97-108&quot;,&quot;abstract&quot;:&quot;Socioeconomic status (SES) is defined as an individual’s social or economic standing, and is a measure of an individual’s or family’s social or economic position or rank in a social group. It is a composite of several measures including income, education, occupation, location of residence or housing. Studies have found a lower SES has been linked to disproportionate access to health care in many diseases. There is emerging data in pulmonary diseases such as COPD, asthma, cystic fibrosis, pulmonary hypertension and other chronic respiratory conditions that allude to a similar observation noted in other chronic diseases. In the setting of COPD, SES has an inverse relationship with COPD prevalence, mortality, health utilization costs and HRQoL. Asthma and cystic fibrosis show an increased severity and hospitalizations in relationship to a lower SES. Similar observations were seen in sarcoidosis, PHTN and obstructive sleep apnea. There remains a limited data on non-CF bronchiectasis and interstitial lung diseases. Population SES may be gauged by various measures such as education, occupation, marital status but no value is more indicative than income. Currently guidelines and management algorithms do not factor the effect of SES in the disease process. Despite the great amount of data available, a standardized method must be created to include SES in the prognostic calculations and management of chronic pulmonary diseases.&quot;,&quot;publisher&quot;:&quot;Via Medica&quot;,&quot;issue&quot;:&quot;2&quot;,&quot;volume&quot;:&quot;85&quot;},&quot;isTemporary&quot;:false}]},{&quot;citationID&quot;:&quot;MENDELEY_CITATION_23b0f336-548d-4538-ba8f-928f96e7f9b4&quot;,&quot;properties&quot;:{&quot;noteIndex&quot;:0},&quot;isEdited&quot;:false,&quot;manualOverride&quot;:{&quot;isManuallyOverridden&quot;:false,&quot;citeprocText&quot;:&quot;[155,156]&quot;,&quot;manualOverrideText&quot;:&quot;&quot;},&quot;citationTag&quot;:&quot;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&quot;,&quot;citationItems&quot;:[{&quot;id&quot;:&quot;bf468682-643c-3e32-9b60-ff0f541226f1&quot;,&quot;itemData&quot;:{&quot;type&quot;:&quot;article-journal&quot;,&quot;id&quot;:&quot;bf468682-643c-3e32-9b60-ff0f541226f1&quot;,&quot;title&quot;:&quot;Air pollution exposures from multiple point sources and risk of incident chronic obstructive pulmonary disease (COPD) and asthma&quot;,&quot;author&quot;:[{&quot;family&quot;:&quot;Hendryx&quot;,&quot;given&quot;:&quot;Michael&quot;,&quot;parse-names&quot;:false,&quot;dropping-particle&quot;:&quot;&quot;,&quot;non-dropping-particle&quot;:&quot;&quot;},{&quot;family&quot;:&quot;Luo&quot;,&quot;given&quot;:&quot;Juhua&quot;,&quot;parse-names&quot;:false,&quot;dropping-particle&quot;:&quot;&quot;,&quot;non-dropping-particle&quot;:&quot;&quot;},{&quot;family&quot;:&quot;Chojenta&quot;,&quot;given&quot;:&quot;Catherine&quot;,&quot;parse-names&quot;:false,&quot;dropping-particle&quot;:&quot;&quot;,&quot;non-dropping-particle&quot;:&quot;&quot;},{&quot;family&quot;:&quot;Byles&quot;,&quot;given&quot;:&quot;Julie E.&quot;,&quot;parse-names&quot;:false,&quot;dropping-particle&quot;:&quot;&quot;,&quot;non-dropping-particle&quot;:&quot;&quot;}],&quot;container-title&quot;:&quot;Environmental Research&quot;,&quot;container-title-short&quot;:&quot;Environ Res&quot;,&quot;accessed&quot;:{&quot;date-parts&quot;:[[2025,5,19]]},&quot;DOI&quot;:&quot;10.1016/j.envres.2019.108783&quot;,&quot;ISSN&quot;:&quot;10960953&quot;,&quot;PMID&quot;:&quot;31590000&quot;,&quot;URL&quot;:&quot;https://pubmed.ncbi.nlm.nih.gov/31590000/&quot;,&quot;issued&quot;:{&quot;date-parts&quot;:[[2019,12,1]]},&quot;abstract&quot;:&quot;Background: Exposure to environmental air pollutants exacerbates respiratory illness, but prospective studies of disease incidence are uncommon. Further, attempts to estimate effects from multiple point sources have rarely been undertaken. The current study examined risk of incident chronic obstructive pulmonary disease (COPD) and asthma in association with emissions of multiple air pollutants from point pollution sources in Australia. Methods: We analyzed prospective cohort data from the Australian Longitudinal Study on Women's Health. Women from three age-cohorts (N = 35,755) were followed for up to 21 years for incident COPD and asthma. Exposures were measured from the National Pollutant Inventory and included carbon monoxide, nitrogen oxides, sulfur dioxide, and particulate matter (PM2.5 and PM10). We identified inverse-distance weighted emissions in kilograms that women experienced over time from point sources within 10 km of their residences. Cox proportional hazards regression models examined risk of self-reported doctor-diagnosed COPD and asthma in association with pollutant exposures and covariates. Results: New COPD cases numbered 3616 (11.5%) and new asthma cases numbered 2725 (9.4%). Participants were exposed to an average of 47–59 sites with air pollution emissions within 10 km of their residences. Fossil fuel electricity generation and mining made the largest contributions to air pollution but hundreds of other types of emissions also occurred. Controlling for covariates, all five air pollutants modeled individually were significantly associated with risk of COPD. Modeled jointly, only sulfur dioxide (SO2) remained significantly associated with COPD (HR = 1.038, 95% CI = 1.010–1.067), although the five pollutants were highly correlated (r = 0.89). None of the pollutants were significantly associated with adult onset asthma. Cohort-specific analyses indicated that COPD risk was significantly associated with SO2 exposure for younger (HR = 1.021, CI = 1.001–1.047), middle-age (HR = 1.019, CI = 1.004–1.034) and older cohorts (HR = 1.025, CI = 1.004–1.047). Conclusions: Multiple exposure sources and pollutants contributed to COPD risk, including electricity generation and mining but extending to many industrial processes. The results highlight the importance of policy efforts and technological improvements to reduce harmful air pollution emissions across the industrial landscape.&quot;,&quot;publisher&quot;:&quot;Academic Press Inc.&quot;,&quot;issue&quot;:&quot;Pt A&quot;,&quot;volume&quot;:&quot;179&quot;},&quot;isTemporary&quot;:false},{&quot;id&quot;:&quot;b107dd28-dbd8-3e3c-9cc8-53f0be27e468&quot;,&quot;itemData&quot;:{&quot;type&quot;:&quot;article-journal&quot;,&quot;id&quot;:&quot;b107dd28-dbd8-3e3c-9cc8-53f0be27e468&quot;,&quot;title&quot;:&quot;Air pollution as a risk factor for incident chronic obstructive pulmonary disease and Asthma: A 15-year population-based cohort study&quot;,&quot;author&quot;:[{&quot;family&quot;:&quot;Shin&quot;,&quot;given&quot;:&quot;Saeha&quot;,&quot;parse-names&quot;:false,&quot;dropping-particle&quot;:&quot;&quot;,&quot;non-dropping-particle&quot;:&quot;&quot;},{&quot;family&quot;:&quot;Bai&quot;,&quot;given&quot;:&quot;Li&quot;,&quot;parse-names&quot;:false,&quot;dropping-particle&quot;:&quot;&quot;,&quot;non-dropping-particle&quot;:&quot;&quot;},{&quot;family&quot;:&quot;Burnett&quot;,&quot;given&quot;:&quot;Richard T.&quot;,&quot;parse-names&quot;:false,&quot;dropping-particle&quot;:&quot;&quot;,&quot;non-dropping-particle&quot;:&quot;&quot;},{&quot;family&quot;:&quot;Kwong&quot;,&quot;given&quot;:&quot;Jeffrey C.&quot;,&quot;parse-names&quot;:false,&quot;dropping-particle&quot;:&quot;&quot;,&quot;non-dropping-particle&quot;:&quot;&quot;},{&quot;family&quot;:&quot;Hystad&quot;,&quot;given&quot;:&quot;Perry&quot;,&quot;parse-names&quot;:false,&quot;dropping-particle&quot;:&quot;&quot;,&quot;non-dropping-particle&quot;:&quot;&quot;},{&quot;family&quot;:&quot;Donkelaar&quot;,&quot;given&quot;:&quot;Aaron&quot;,&quot;parse-names&quot;:false,&quot;dropping-particle&quot;:&quot;&quot;,&quot;non-dropping-particle&quot;:&quot;van&quot;},{&quot;family&quot;:&quot;Lavigne&quot;,&quot;given&quot;:&quot;Eric&quot;,&quot;parse-names&quot;:false,&quot;dropping-particle&quot;:&quot;&quot;,&quot;non-dropping-particle&quot;:&quot;&quot;},{&quot;family&quot;:&quot;Weichenthal&quot;,&quot;given&quot;:&quot;Scott&quot;,&quot;parse-names&quot;:false,&quot;dropping-particle&quot;:&quot;&quot;,&quot;non-dropping-particle&quot;:&quot;&quot;},{&quot;family&quot;:&quot;Copes&quot;,&quot;given&quot;:&quot;Ray&quot;,&quot;parse-names&quot;:false,&quot;dropping-particle&quot;:&quot;&quot;,&quot;non-dropping-particle&quot;:&quot;&quot;},{&quot;family&quot;:&quot;Martin&quot;,&quot;given&quot;:&quot;Randall&quot;,&quot;parse-names&quot;:false,&quot;dropping-particle&quot;:&quot;V.&quot;,&quot;non-dropping-particle&quot;:&quot;&quot;},{&quot;family&quot;:&quot;Kopp&quot;,&quot;given&quot;:&quot;Alexander&quot;,&quot;parse-names&quot;:false,&quot;dropping-particle&quot;:&quot;&quot;,&quot;non-dropping-particle&quot;:&quot;&quot;},{&quot;family&quot;:&quot;Chen&quot;,&quot;given&quot;:&quot;Hong&quot;,&quot;parse-names&quot;:false,&quot;dropping-particle&quot;:&quot;&quot;,&quot;non-dropping-particle&quot;:&quot;&quot;}],&quot;container-title&quot;:&quot;American Journal of Respiratory and Critical Care Medicine&quot;,&quot;container-title-short&quot;:&quot;Am J Respir Crit Care Med&quot;,&quot;accessed&quot;:{&quot;date-parts&quot;:[[2025,5,19]]},&quot;DOI&quot;:&quot;10.1164/RCCM.201909-1744OC,&quot;,&quot;ISSN&quot;:&quot;15354970&quot;,&quot;PMID&quot;:&quot;33147059&quot;,&quot;URL&quot;:&quot;https://pubmed.ncbi.nlm.nih.gov/33147059/&quot;,&quot;issued&quot;:{&quot;date-parts&quot;:[[2021,5,1]]},&quot;page&quot;:&quot;1138-1148&quot;,&quot;abstract&quot;:&quot;Rationale: Current evidence on the relationship between long-term exposure to air pollution and new onset of chronic lung disease is inconclusive. Objectives: To examine associations of incident chronic obstructive pulmonary disease (COPD) and adult-onset asthma with past exposure to fine particulate matter &lt; 2.5 mm in diameter (PM2.5), nitrogen dioxide (NO2), ozone (O3), and the redox-weighted average of NO2 and O3 (Ox) and characterize the concentration–response relationship. Methods: We conducted a population-based cohort study of all Ontarians, aged 35–85 years, from 2001 to 2015. A 3-year moving average of residential exposures to selected pollutants with a 1-year lag were estimated during follow-up. We used Cox proportional hazard models and Aalen additive-hazard models to quantify the pollution–disease associations and characterized the shape of these relationships using newly developed nonlinear risk models. Measurements and Main Results: Among 5.1 million adults, we identified 340,733 and 218,005 incident cases of COPD and asthma, respectively. We found positive associations of COPD with PM2.5 per interquartile-range (IQR) increase of 3.4 mg/m3 (hazard ratio, 1.07; 95% confidence interval, 1.06–1.08), NO2 per IQR increase of 13.9 ppb (1.04; 1.02–1.05), O3 per IQR increase of 6.3 ppb (1.04; 1.03–1.04), and Ox per IQR increase of 4.4 ppb (1.03; 1.03–1.03). By contrast, we did not find strong evidence linking these pollutants to adult-onset asthma. In addition, we quantified that each IQR increase in pollution exposure yielded 3.0 (2.4–3.6), 3.2 (2.0–4.3), 1.9 (1.3–2.5), and 2.3 (1.7–2.9) excess cases of COPD per 100,000 adults for PM2.5, NO2, O3, and Ox, respectively. Furthermore, most pollutant–COPD relationships exhibited supralinear shapes. Conclusions: Air pollution was associated with a higher incidence of COPD but was not associated with a higher incidence of adult-onset asthma.&quot;,&quot;publisher&quot;:&quot;American Thoracic Society&quot;,&quot;issue&quot;:&quot;9&quot;,&quot;volume&quot;:&quot;203&quot;},&quot;isTemporary&quot;:false}]},{&quot;citationID&quot;:&quot;MENDELEY_CITATION_755fa9b6-96e1-49b4-b3dd-f360eb5b9fdd&quot;,&quot;properties&quot;:{&quot;noteIndex&quot;:0},&quot;isEdited&quot;:false,&quot;manualOverride&quot;:{&quot;isManuallyOverridden&quot;:false,&quot;citeprocText&quot;:&quot;[118]&quot;,&quot;manualOverrideText&quot;:&quot;&quot;},&quot;citationTag&quot;:&quot;MENDELEY_CITATION_v3_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&quot;,&quot;citationItems&quot;:[{&quot;id&quot;:&quot;fad97e61-9b61-362f-828f-b676cdf1a9b4&quot;,&quot;itemData&quot;:{&quot;type&quot;:&quot;article-journal&quot;,&quot;id&quot;:&quot;fad97e61-9b61-362f-828f-b676cdf1a9b4&quot;,&quot;title&quot;:&quot;Outdoor Air Pollution and New-Onset Airway Disease. An Official American Thoracic Society Workshop Report&quot;,&quot;author&quot;:[{&quot;family&quot;:&quot;Thurston&quot;,&quot;given&quot;:&quot;George D.&quot;,&quot;parse-names&quot;:false,&quot;dropping-particle&quot;:&quot;&quot;,&quot;non-dropping-particle&quot;:&quot;&quot;},{&quot;family&quot;:&quot;Balmes&quot;,&quot;given&quot;:&quot;John R.&quot;,&quot;parse-names&quot;:false,&quot;dropping-particle&quot;:&quot;&quot;,&quot;non-dropping-particle&quot;:&quot;&quot;},{&quot;family&quot;:&quot;Garcia&quot;,&quot;given&quot;:&quot;Erika&quot;,&quot;parse-names&quot;:false,&quot;dropping-particle&quot;:&quot;&quot;,&quot;non-dropping-particle&quot;:&quot;&quot;},{&quot;family&quot;:&quot;Gilliland&quot;,&quot;given&quot;:&quot;Frank D.&quot;,&quot;parse-names&quot;:false,&quot;dropping-particle&quot;:&quot;&quot;,&quot;non-dropping-particle&quot;:&quot;&quot;},{&quot;family&quot;:&quot;Rice&quot;,&quot;given&quot;:&quot;Mary B.&quot;,&quot;parse-names&quot;:false,&quot;dropping-particle&quot;:&quot;&quot;,&quot;non-dropping-particle&quot;:&quot;&quot;},{&quot;family&quot;:&quot;Schikowski&quot;,&quot;given&quot;:&quot;Tamara&quot;,&quot;parse-names&quot;:false,&quot;dropping-particle&quot;:&quot;&quot;,&quot;non-dropping-particle&quot;:&quot;&quot;},{&quot;family&quot;:&quot;Winkle&quot;,&quot;given&quot;:&quot;Laura S.&quot;,&quot;parse-names&quot;:false,&quot;dropping-particle&quot;:&quot;&quot;,&quot;non-dropping-particle&quot;:&quot;Van&quot;},{&quot;family&quot;:&quot;Annesi-Maesano&quot;,&quot;given&quot;:&quot;Isabella&quot;,&quot;parse-names&quot;:false,&quot;dropping-particle&quot;:&quot;&quot;,&quot;non-dropping-particle&quot;:&quot;&quot;},{&quot;family&quot;:&quot;Burchard&quot;,&quot;given&quot;:&quot;Esteban G.&quot;,&quot;parse-names&quot;:false,&quot;dropping-particle&quot;:&quot;&quot;,&quot;non-dropping-particle&quot;:&quot;&quot;},{&quot;family&quot;:&quot;Carlsten&quot;,&quot;given&quot;:&quot;Christopher&quot;,&quot;parse-names&quot;:false,&quot;dropping-particle&quot;:&quot;&quot;,&quot;non-dropping-particle&quot;:&quot;&quot;},{&quot;family&quot;:&quot;Harkema&quot;,&quot;given&quot;:&quot;Jack R.&quot;,&quot;parse-names&quot;:false,&quot;dropping-particle&quot;:&quot;&quot;,&quot;non-dropping-particle&quot;:&quot;&quot;},{&quot;family&quot;:&quot;Khreis&quot;,&quot;given&quot;:&quot;Haneen&quot;,&quot;parse-names&quot;:false,&quot;dropping-particle&quot;:&quot;&quot;,&quot;non-dropping-particle&quot;:&quot;&quot;},{&quot;family&quot;:&quot;Kleeberger&quot;,&quot;given&quot;:&quot;Steven R.&quot;,&quot;parse-names&quot;:false,&quot;dropping-particle&quot;:&quot;&quot;,&quot;non-dropping-particle&quot;:&quot;&quot;},{&quot;family&quot;:&quot;Kodavanti&quot;,&quot;given&quot;:&quot;Urmila P.&quot;,&quot;parse-names&quot;:false,&quot;dropping-particle&quot;:&quot;&quot;,&quot;non-dropping-particle&quot;:&quot;&quot;},{&quot;family&quot;:&quot;London&quot;,&quot;given&quot;:&quot;Stephanie J.&quot;,&quot;parse-names&quot;:false,&quot;dropping-particle&quot;:&quot;&quot;,&quot;non-dropping-particle&quot;:&quot;&quot;},{&quot;family&quot;:&quot;McConnell&quot;,&quot;given&quot;:&quot;Rob&quot;,&quot;parse-names&quot;:false,&quot;dropping-particle&quot;:&quot;&quot;,&quot;non-dropping-particle&quot;:&quot;&quot;},{&quot;family&quot;:&quot;Peden&quot;,&quot;given&quot;:&quot;Dave B.&quot;,&quot;parse-names&quot;:false,&quot;dropping-particle&quot;:&quot;&quot;,&quot;non-dropping-particle&quot;:&quot;&quot;},{&quot;family&quot;:&quot;Pinkerton&quot;,&quot;given&quot;:&quot;Kent E.&quot;,&quot;parse-names&quot;:false,&quot;dropping-particle&quot;:&quot;&quot;,&quot;non-dropping-particle&quot;:&quot;&quot;},{&quot;family&quot;:&quot;Reibman&quot;,&quot;given&quot;:&quot;Joan&quot;,&quot;parse-names&quot;:false,&quot;dropping-particle&quot;:&quot;&quot;,&quot;non-dropping-particle&quot;:&quot;&quot;},{&quot;family&quot;:&quot;White&quot;,&quot;given&quot;:&quot;Carl W.&quot;,&quot;parse-names&quot;:false,&quot;dropping-particle&quot;:&quot;&quot;,&quot;non-dropping-particle&quot;:&quot;&quot;}],&quot;container-title&quot;:&quot;Annals of the American Thoracic Society&quot;,&quot;container-title-short&quot;:&quot;Ann Am Thorac Soc&quot;,&quot;accessed&quot;:{&quot;date-parts&quot;:[[2025,4,14]]},&quot;DOI&quot;:&quot;10.1513/ANNALSATS.202001-046ST&quot;,&quot;ISSN&quot;:&quot;2325-6621&quot;,&quot;PMID&quot;:&quot;32233861&quot;,&quot;URL&quot;:&quot;https://pubmed.ncbi.nlm.nih.gov/32233861/&quot;,&quot;issued&quot;:{&quot;date-parts&quot;:[[2020]]},&quot;page&quot;:&quot;387-398&quot;,&quot;abstract&quot;:&quot;Although it is well accepted that air pollution exposure exacerbates preexisting airway disease, it has not been firmly established that long-term pollution exposure increases the risk of new-onset asthma or chronic obstruction pulmonary disease (COPD). This Workshop brought together experts on mechanistic, epidemiological, and clinical aspects of airway disease to review current knowledge regarding whether air pollution is a causal factor in the development of asthma and/or COPD. Speakers presented recent evidence in their respective areas of expertise related to air pollution and new airway disease incidence, followed by interactive discussions. A writing committee summarized their collective findings. The Epidemiology Group found that long-term exposure to air pollution, especially metrics of traffic-related air pollution such as nitrogen dioxide and black carbon, is associated with onset of childhood asthma. However, the evidence for a causal role in adultonset asthma or COPD remains insufficient. The Mechanistic Group concluded that air pollution exposure can cause airway remodeling, which can lead to asthma or COPD, as well as asthma-like phenotypes that worsen with long-term exposure to air pollution, especially fine particulate matter and ozone. The Clinical Group concluded that air pollution is a plausible contributor to the onset of both asthma and COPD. Available evidence indicates that long-term exposure to air pollution is a cause of childhood asthma, but the evidence for a similar determination for adult asthma or COPD remains insufficient. Further research is needed to elucidate the exact biological mechanism underlying incident childhood asthma, and the specific air pollutant that causes it.&quot;,&quot;publisher&quot;:&quot;Ann Am Thorac Soc&quot;,&quot;issue&quot;:&quot;4&quot;,&quot;volume&quot;:&quot;17&quot;},&quot;isTemporary&quot;:false}]},{&quot;citationID&quot;:&quot;MENDELEY_CITATION_44907481-88e3-4885-a8bf-f0881601002f&quot;,&quot;properties&quot;:{&quot;noteIndex&quot;:0},&quot;isEdited&quot;:false,&quot;manualOverride&quot;:{&quot;isManuallyOverridden&quot;:false,&quot;citeprocText&quot;:&quot;[118]&quot;,&quot;manualOverrideText&quot;:&quot;&quot;},&quot;citationTag&quot;:&quot;MENDELEY_CITATION_v3_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&quot;,&quot;citationItems&quot;:[{&quot;id&quot;:&quot;fad97e61-9b61-362f-828f-b676cdf1a9b4&quot;,&quot;itemData&quot;:{&quot;type&quot;:&quot;article-journal&quot;,&quot;id&quot;:&quot;fad97e61-9b61-362f-828f-b676cdf1a9b4&quot;,&quot;title&quot;:&quot;Outdoor Air Pollution and New-Onset Airway Disease. An Official American Thoracic Society Workshop Report&quot;,&quot;author&quot;:[{&quot;family&quot;:&quot;Thurston&quot;,&quot;given&quot;:&quot;George D.&quot;,&quot;parse-names&quot;:false,&quot;dropping-particle&quot;:&quot;&quot;,&quot;non-dropping-particle&quot;:&quot;&quot;},{&quot;family&quot;:&quot;Balmes&quot;,&quot;given&quot;:&quot;John R.&quot;,&quot;parse-names&quot;:false,&quot;dropping-particle&quot;:&quot;&quot;,&quot;non-dropping-particle&quot;:&quot;&quot;},{&quot;family&quot;:&quot;Garcia&quot;,&quot;given&quot;:&quot;Erika&quot;,&quot;parse-names&quot;:false,&quot;dropping-particle&quot;:&quot;&quot;,&quot;non-dropping-particle&quot;:&quot;&quot;},{&quot;family&quot;:&quot;Gilliland&quot;,&quot;given&quot;:&quot;Frank D.&quot;,&quot;parse-names&quot;:false,&quot;dropping-particle&quot;:&quot;&quot;,&quot;non-dropping-particle&quot;:&quot;&quot;},{&quot;family&quot;:&quot;Rice&quot;,&quot;given&quot;:&quot;Mary B.&quot;,&quot;parse-names&quot;:false,&quot;dropping-particle&quot;:&quot;&quot;,&quot;non-dropping-particle&quot;:&quot;&quot;},{&quot;family&quot;:&quot;Schikowski&quot;,&quot;given&quot;:&quot;Tamara&quot;,&quot;parse-names&quot;:false,&quot;dropping-particle&quot;:&quot;&quot;,&quot;non-dropping-particle&quot;:&quot;&quot;},{&quot;family&quot;:&quot;Winkle&quot;,&quot;given&quot;:&quot;Laura S.&quot;,&quot;parse-names&quot;:false,&quot;dropping-particle&quot;:&quot;&quot;,&quot;non-dropping-particle&quot;:&quot;Van&quot;},{&quot;family&quot;:&quot;Annesi-Maesano&quot;,&quot;given&quot;:&quot;Isabella&quot;,&quot;parse-names&quot;:false,&quot;dropping-particle&quot;:&quot;&quot;,&quot;non-dropping-particle&quot;:&quot;&quot;},{&quot;family&quot;:&quot;Burchard&quot;,&quot;given&quot;:&quot;Esteban G.&quot;,&quot;parse-names&quot;:false,&quot;dropping-particle&quot;:&quot;&quot;,&quot;non-dropping-particle&quot;:&quot;&quot;},{&quot;family&quot;:&quot;Carlsten&quot;,&quot;given&quot;:&quot;Christopher&quot;,&quot;parse-names&quot;:false,&quot;dropping-particle&quot;:&quot;&quot;,&quot;non-dropping-particle&quot;:&quot;&quot;},{&quot;family&quot;:&quot;Harkema&quot;,&quot;given&quot;:&quot;Jack R.&quot;,&quot;parse-names&quot;:false,&quot;dropping-particle&quot;:&quot;&quot;,&quot;non-dropping-particle&quot;:&quot;&quot;},{&quot;family&quot;:&quot;Khreis&quot;,&quot;given&quot;:&quot;Haneen&quot;,&quot;parse-names&quot;:false,&quot;dropping-particle&quot;:&quot;&quot;,&quot;non-dropping-particle&quot;:&quot;&quot;},{&quot;family&quot;:&quot;Kleeberger&quot;,&quot;given&quot;:&quot;Steven R.&quot;,&quot;parse-names&quot;:false,&quot;dropping-particle&quot;:&quot;&quot;,&quot;non-dropping-particle&quot;:&quot;&quot;},{&quot;family&quot;:&quot;Kodavanti&quot;,&quot;given&quot;:&quot;Urmila P.&quot;,&quot;parse-names&quot;:false,&quot;dropping-particle&quot;:&quot;&quot;,&quot;non-dropping-particle&quot;:&quot;&quot;},{&quot;family&quot;:&quot;London&quot;,&quot;given&quot;:&quot;Stephanie J.&quot;,&quot;parse-names&quot;:false,&quot;dropping-particle&quot;:&quot;&quot;,&quot;non-dropping-particle&quot;:&quot;&quot;},{&quot;family&quot;:&quot;McConnell&quot;,&quot;given&quot;:&quot;Rob&quot;,&quot;parse-names&quot;:false,&quot;dropping-particle&quot;:&quot;&quot;,&quot;non-dropping-particle&quot;:&quot;&quot;},{&quot;family&quot;:&quot;Peden&quot;,&quot;given&quot;:&quot;Dave B.&quot;,&quot;parse-names&quot;:false,&quot;dropping-particle&quot;:&quot;&quot;,&quot;non-dropping-particle&quot;:&quot;&quot;},{&quot;family&quot;:&quot;Pinkerton&quot;,&quot;given&quot;:&quot;Kent E.&quot;,&quot;parse-names&quot;:false,&quot;dropping-particle&quot;:&quot;&quot;,&quot;non-dropping-particle&quot;:&quot;&quot;},{&quot;family&quot;:&quot;Reibman&quot;,&quot;given&quot;:&quot;Joan&quot;,&quot;parse-names&quot;:false,&quot;dropping-particle&quot;:&quot;&quot;,&quot;non-dropping-particle&quot;:&quot;&quot;},{&quot;family&quot;:&quot;White&quot;,&quot;given&quot;:&quot;Carl W.&quot;,&quot;parse-names&quot;:false,&quot;dropping-particle&quot;:&quot;&quot;,&quot;non-dropping-particle&quot;:&quot;&quot;}],&quot;container-title&quot;:&quot;Annals of the American Thoracic Society&quot;,&quot;container-title-short&quot;:&quot;Ann Am Thorac Soc&quot;,&quot;accessed&quot;:{&quot;date-parts&quot;:[[2025,4,14]]},&quot;DOI&quot;:&quot;10.1513/ANNALSATS.202001-046ST&quot;,&quot;ISSN&quot;:&quot;2325-6621&quot;,&quot;PMID&quot;:&quot;32233861&quot;,&quot;URL&quot;:&quot;https://pubmed.ncbi.nlm.nih.gov/32233861/&quot;,&quot;issued&quot;:{&quot;date-parts&quot;:[[2020]]},&quot;page&quot;:&quot;387-398&quot;,&quot;abstract&quot;:&quot;Although it is well accepted that air pollution exposure exacerbates preexisting airway disease, it has not been firmly established that long-term pollution exposure increases the risk of new-onset asthma or chronic obstruction pulmonary disease (COPD). This Workshop brought together experts on mechanistic, epidemiological, and clinical aspects of airway disease to review current knowledge regarding whether air pollution is a causal factor in the development of asthma and/or COPD. Speakers presented recent evidence in their respective areas of expertise related to air pollution and new airway disease incidence, followed by interactive discussions. A writing committee summarized their collective findings. The Epidemiology Group found that long-term exposure to air pollution, especially metrics of traffic-related air pollution such as nitrogen dioxide and black carbon, is associated with onset of childhood asthma. However, the evidence for a causal role in adultonset asthma or COPD remains insufficient. The Mechanistic Group concluded that air pollution exposure can cause airway remodeling, which can lead to asthma or COPD, as well as asthma-like phenotypes that worsen with long-term exposure to air pollution, especially fine particulate matter and ozone. The Clinical Group concluded that air pollution is a plausible contributor to the onset of both asthma and COPD. Available evidence indicates that long-term exposure to air pollution is a cause of childhood asthma, but the evidence for a similar determination for adult asthma or COPD remains insufficient. Further research is needed to elucidate the exact biological mechanism underlying incident childhood asthma, and the specific air pollutant that causes it.&quot;,&quot;publisher&quot;:&quot;Ann Am Thorac Soc&quot;,&quot;issue&quot;:&quot;4&quot;,&quot;volume&quot;:&quot;17&quot;},&quot;isTemporary&quot;:false}]},{&quot;citationID&quot;:&quot;MENDELEY_CITATION_95ba0f85-c2fa-4655-bd06-288dbd26593e&quot;,&quot;properties&quot;:{&quot;noteIndex&quot;:0},&quot;isEdited&quot;:false,&quot;manualOverride&quot;:{&quot;isManuallyOverridden&quot;:false,&quot;citeprocText&quot;:&quot;[137]&quot;,&quot;manualOverrideText&quot;:&quot;&quot;},&quot;citationTag&quot;:&quot;MENDELEY_CITATION_v3_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&quot;,&quot;citationItems&quot;:[{&quot;id&quot;:&quot;2e3cfbe9-284a-3dde-854d-bd86af91ae7e&quot;,&quot;itemData&quot;:{&quot;type&quot;:&quot;article-journal&quot;,&quot;id&quot;:&quot;2e3cfbe9-284a-3dde-854d-bd86af91ae7e&quot;,&quot;title&quot;:&quot;A flexibly shaped spatial scan statistic for detecting clusters&quot;,&quot;author&quot;:[{&quot;family&quot;:&quot;Tango&quot;,&quot;given&quot;:&quot;Toshiro&quot;,&quot;parse-names&quot;:false,&quot;dropping-particle&quot;:&quot;&quot;,&quot;non-dropping-particle&quot;:&quot;&quot;},{&quot;family&quot;:&quot;Takahashi&quot;,&quot;given&quot;:&quot;Kunihiko&quot;,&quot;parse-names&quot;:false,&quot;dropping-particle&quot;:&quot;&quot;,&quot;non-dropping-particle&quot;:&quot;&quot;}],&quot;container-title&quot;:&quot;International Journal of Health Geographics&quot;,&quot;container-title-short&quot;:&quot;Int J Health Geogr&quot;,&quot;accessed&quot;:{&quot;date-parts&quot;:[[2022,5,7]]},&quot;DOI&quot;:&quot;10.1186/1476-072X-4-11/TABLES/6&quot;,&quot;ISSN&quot;:&quot;1476072X&quot;,&quot;URL&quot;:&quot;https://ij-healthgeographics.biomedcentral.com/articles/10.1186/1476-072X-4-11&quot;,&quot;issued&quot;:{&quot;date-parts&quot;:[[2005,5,18]]},&quot;page&quot;:&quot;1-15&quot;,&quot;abstract&quot;:&quot;Background: The spatial scan statistic proposed by Kulldorff has been applied to a wide variety of epidemiological studies for cluster detection. This scan statistic, however, uses a circular window to define the potential cluster areas and thus has difficulty in correctly detecting actual noncircular clusters. A recent proposal by Duczmal and Assunção for detecting noncircular clusters is shown to detect a cluster of very irregular shape that is much larger than the true cluster in our experiences. Methods: We propose a flexibly shaped spatial scan statistic that can detect irregular shaped clusters within relatively small neighborhoods of each region. The performance of the proposed spatial scan statistic is compared to that of Kulldorff's circular spatial scan statistic with Monte Carlo simulation by considering several circular and noncircular hot-spot cluster models. For comparison, we also propose a new bivariate power distribution classified by the number of regions detected as the most likely cluster and the number of hot-spot regions included in the most likely cluster. Results: The circular spatial scan statistics shows a high level of accuracy in detecting circular clusters exactly. The proposed spatial scan statistic is shown to have good usual powers plus the ability to detect the noncircular hot-spot clusters more accurately than the circular one. Conclusions: The proposed spatial scan statistic is shown to work well for small to moderate cluster size, up to say 30. For larger cluster sizes, the method is not practically feasible and a more efficient algorithm is needed. © 2005 Tango and Takahashi, licensee BioMed Central Ltd.&quot;,&quot;publisher&quot;:&quot;BioMed Central&quot;,&quot;issue&quot;:&quot;1&quot;,&quot;volume&quot;:&quot;4&quot;},&quot;isTemporary&quot;:false}]},{&quot;citationID&quot;:&quot;MENDELEY_CITATION_343b984b-6728-46c7-870d-3f91d3555de6&quot;,&quot;properties&quot;:{&quot;noteIndex&quot;:0},&quot;isEdited&quot;:false,&quot;manualOverride&quot;:{&quot;isManuallyOverridden&quot;:false,&quot;citeprocText&quot;:&quot;[129]&quot;,&quot;manualOverrideText&quot;:&quot;&quot;},&quot;citationTag&quot;:&quot;MENDELEY_CITATION_v3_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&quot;,&quot;citationItems&quot;:[{&quot;id&quot;:&quot;27590509-e359-38bd-94cb-09fa8d390fac&quot;,&quot;itemData&quot;:{&quot;type&quot;:&quot;webpage&quot;,&quot;id&quot;:&quot;27590509-e359-38bd-94cb-09fa8d390fac&quot;,&quot;title&quot;:&quot;FLHealthCHARTS.gov: Home&quot;,&quot;author&quot;:[{&quot;family&quot;:&quot;Florida Department of Health&quot;,&quot;given&quot;:&quot;Division of Public Health Statistics and Performance Management&quot;,&quot;parse-names&quot;:false,&quot;dropping-particle&quot;:&quot;&quot;,&quot;non-dropping-particle&quot;:&quot;&quot;}],&quot;accessed&quot;:{&quot;date-parts&quot;:[[2022,5,7]]},&quot;URL&quot;:&quot;https://www.flhealthcharts.gov/charts/default.aspx&quot;,&quot;container-title-short&quot;:&quot;&quot;},&quot;isTemporary&quot;:false}]},{&quot;citationID&quot;:&quot;MENDELEY_CITATION_fbf248bd-4a75-4e80-98d4-1816eee65c22&quot;,&quot;properties&quot;:{&quot;noteIndex&quot;:0},&quot;isEdited&quot;:false,&quot;manualOverride&quot;:{&quot;isManuallyOverridden&quot;:false,&quot;citeprocText&quot;:&quot;[157]&quot;,&quot;manualOverrideText&quot;:&quot;&quot;},&quot;citationTag&quot;:&quot;MENDELEY_CITATION_v3_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&quot;,&quot;citationItems&quot;:[{&quot;id&quot;:&quot;9b88c017-4b50-3771-a762-377684fbd238&quot;,&quot;itemData&quot;:{&quot;type&quot;:&quot;article-journal&quot;,&quot;id&quot;:&quot;9b88c017-4b50-3771-a762-377684fbd238&quot;,&quot;title&quot;:&quot;Information bias in health research: definition, pitfalls, and adjustment methods&quot;,&quot;author&quot;:[{&quot;family&quot;:&quot;Althubaiti&quot;,&quot;given&quot;:&quot;Alaa&quot;,&quot;parse-names&quot;:false,&quot;dropping-particle&quot;:&quot;&quot;,&quot;non-dropping-particle&quot;:&quot;&quot;}],&quot;container-title&quot;:&quot;Journal of Multidisciplinary Healthcare&quot;,&quot;container-title-short&quot;:&quot;J Multidiscip Healthc&quot;,&quot;accessed&quot;:{&quot;date-parts&quot;:[[2022,5,8]]},&quot;DOI&quot;:&quot;10.2147/JMDH.S104807&quot;,&quot;ISSN&quot;:&quot;11782390&quot;,&quot;PMID&quot;:&quot;27217764&quot;,&quot;URL&quot;:&quot;/pmc/articles/PMC4862344/&quot;,&quot;issued&quot;:{&quot;date-parts&quot;:[[2016,5,4]]},&quot;page&quot;:&quot;211&quot;,&quot;abstract&quot;:&quot;As with other fields, medical sciences are subject to different sources of bias. While understanding sources of bias is a key element for drawing valid conclusions, bias in health research continues to be a very sensitive issue that can affect the focus and outcome of investigations. Information bias, otherwise known as misclassification, is one of the most common sources of bias that affects the validity of health research. It originates from the approach that is utilized to obtain or confirm study measurements. This paper seeks to raise awareness of information bias in observational and experimental research study designs as well as to enrich discussions concerning bias problems. Specifying the types of bias can be essential to limit its effects and, the use of adjustment methods might serve to improve clinical evaluation and health care practice.&quot;,&quot;publisher&quot;:&quot;Dove Press&quot;,&quot;volume&quot;:&quot;9&quot;},&quot;isTemporary&quot;:false}]},{&quot;citationID&quot;:&quot;MENDELEY_CITATION_e9483f60-3d03-4909-866e-277138e1b11f&quot;,&quot;properties&quot;:{&quot;noteIndex&quot;:0},&quot;isEdited&quot;:false,&quot;manualOverride&quot;:{&quot;isManuallyOverridden&quot;:false,&quot;citeprocText&quot;:&quot;[158,159]&quot;,&quot;manualOverrideText&quot;:&quot;&quot;},&quot;citationTag&quot;:&quot;MENDELEY_CITATION_v3_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&quot;,&quot;citationItems&quot;:[{&quot;id&quot;:&quot;2be4a8ab-13c7-3890-92d3-4697f0bec515&quot;,&quot;itemData&quot;:{&quot;type&quot;:&quot;article&quot;,&quot;id&quot;:&quot;2be4a8ab-13c7-3890-92d3-4697f0bec515&quot;,&quot;title&quot;:&quot;Occupational diesel exhaust exposure as a risk factor for chronic obstructive pulmonary disease&quot;,&quot;author&quot;:[{&quot;family&quot;:&quot;Hart&quot;,&quot;given&quot;:&quot;Jaime E.&quot;,&quot;parse-names&quot;:false,&quot;dropping-particle&quot;:&quot;&quot;,&quot;non-dropping-particle&quot;:&quot;&quot;},{&quot;family&quot;:&quot;Eisen&quot;,&quot;given&quot;:&quot;Ellen A.&quot;,&quot;parse-names&quot;:false,&quot;dropping-particle&quot;:&quot;&quot;,&quot;non-dropping-particle&quot;:&quot;&quot;},{&quot;family&quot;:&quot;Laden&quot;,&quot;given&quot;:&quot;Francine&quot;,&quot;parse-names&quot;:false,&quot;dropping-particle&quot;:&quot;&quot;,&quot;non-dropping-particle&quot;:&quot;&quot;}],&quot;container-title&quot;:&quot;Current Opinion in Pulmonary Medicine&quot;,&quot;container-title-short&quot;:&quot;Curr Opin Pulm Med&quot;,&quot;accessed&quot;:{&quot;date-parts&quot;:[[2020,12,16]]},&quot;DOI&quot;:&quot;10.1097/MCP.0b013e32834f0eaa&quot;,&quot;ISSN&quot;:&quot;10705287&quot;,&quot;PMID&quot;:&quot;22234274&quot;,&quot;URL&quot;:&quot;/pmc/articles/PMC3648416/?report=abstract&quot;,&quot;issued&quot;:{&quot;date-parts&quot;:[[2012,3]]},&quot;page&quot;:&quot;151-154&quot;,&quot;abstract&quot;:&quot;PURPOSE OF REVIEW: Chronic obstructive pulmonary disease (COPD) is a major source of morbidity and mortality worldwide. Although cigarette smoking is the major cause of COPD, occupational exposures have emerged as an important risk factor, especially in nonsmokers. In this review, we assess the state of the literature on the association of COPD with a specific occupational exposure, diesel exhaust. RECENT FINDINGS: A large body of literature links general occupational exposures to dust and fumes with an increased risk of COPD, particularly in nonsmokers. Few studies, however, have explicitly examined the role of occupational diesel exhaust exposures to COPD risk. Suggestive recent findings link occupational diesel exposures to an increased risk of COPD. SUMMARY: The available literature directly examining the effects of occupational diesel exhaust on risk of COPD is quite small, but does suggest that increasing exposures are associated with increasing risk. Additional research, with more advanced exposure metrics, is needed to fully elucidate this association. © 2012 Wolters Kluwer Health | Lippincott Williams &amp; Wilkins.&quot;,&quot;publisher&quot;:&quot;NIH Public Access&quot;,&quot;issue&quot;:&quot;2&quot;,&quot;volume&quot;:&quot;18&quot;},&quot;isTemporary&quot;:false},{&quot;id&quot;:&quot;d793a85d-0702-3b5f-a1c4-79246638b963&quot;,&quot;itemData&quot;:{&quot;type&quot;:&quot;article-journal&quot;,&quot;id&quot;:&quot;d793a85d-0702-3b5f-a1c4-79246638b963&quot;,&quot;title&quot;:&quot;Welding fume exposure and chronic obstructive pulmonary disease in welders&quot;,&quot;author&quot;:[{&quot;family&quot;:&quot;Koh&quot;,&quot;given&quot;:&quot;D.-H&quot;,&quot;parse-names&quot;:false,&quot;dropping-particle&quot;:&quot;&quot;,&quot;non-dropping-particle&quot;:&quot;&quot;},{&quot;family&quot;:&quot;Kim&quot;,&quot;given&quot;:&quot;J.-I&quot;,&quot;parse-names&quot;:false,&quot;dropping-particle&quot;:&quot;&quot;,&quot;non-dropping-particle&quot;:&quot;&quot;},{&quot;family&quot;:&quot;Kim&quot;,&quot;given&quot;:&quot;K.-H&quot;,&quot;parse-names&quot;:false,&quot;dropping-particle&quot;:&quot;&quot;,&quot;non-dropping-particle&quot;:&quot;&quot;},{&quot;family&quot;:&quot;Yoo&quot;,&quot;given&quot;:&quot;S.-W&quot;,&quot;parse-names&quot;:false,&quot;dropping-particle&quot;:&quot;&quot;,&quot;non-dropping-particle&quot;:&quot;&quot;}],&quot;container-title&quot;:&quot;Occupational Medicine&quot;,&quot;container-title-short&quot;:&quot;Occup Med (Chic Ill)&quot;,&quot;accessed&quot;:{&quot;date-parts&quot;:[[2020,12,16]]},&quot;DOI&quot;:&quot;10.1093/occmed/kqu136&quot;,&quot;URL&quot;:&quot;https://academic.oup.com/occmed/article/65/1/72/1431717&quot;,&quot;issued&quot;:{&quot;date-parts&quot;:[[2015]]},&quot;page&quot;:&quot;72-77&quot;,&quot;abstract&quot;:&quot;Background Occupational exposure is estimated to contribute 15% to the burden of chronic obstructive pulmonary disease (COPD). Welding fumes are suspected to accelerate the decline of lung function and development of COPD. Aims To examine the relationship between welding fume exposure and COPD in Korean shipyard welders. Methods The study involved a group of male welders working at two shipyards who underwent an annual health examination in 2010. Subjects completed a questionnaire about smoking habits and occupational history and a pulmonary function test (PFT) was carried out with strict quality control measures. Welding fume exposure concentrations were estimated using 884 measurements taken between 2002 and 2009 in one of the shipyards. Multiple linear and logistic regression was employed to evaluate the association between cumulative fume exposure and lung function parameters, controlling for age, height and cigarette smoking. Results Two hundred and forty subjects participated, with a mean age of 48 and mean work duration of 15 years. The mean cumulative fume exposure was 7.7 mg/m 3. The prevalence of COPD was 15%. FEV 1 and FVC showed non-significant negative correlations with cumulative fume exposure. Odds ratios of COPD were significantly elevated for the middle (3.9; 95% CI 1.4-13.3) and high exposure groups (3.8; 95% CI 1.03-16.2) compared with the low fume exposure group. Conclusions Our findings support an association between welding fume exposure and increased risk of COPD. Further prospective study is needed to investigate whether this is a causal relationship.&quot;,&quot;volume&quot;:&quot;65&quot;},&quot;isTemporary&quot;:false}]},{&quot;citationID&quot;:&quot;MENDELEY_CITATION_7c7d0886-ec65-4e7c-abb4-66ce5b2af9fa&quot;,&quot;properties&quot;:{&quot;noteIndex&quot;:0},&quot;isEdited&quot;:false,&quot;manualOverride&quot;:{&quot;isManuallyOverridden&quot;:false,&quot;citeprocText&quot;:&quot;[17]&quot;,&quot;manualOverrideText&quot;:&quot;&quot;},&quot;citationTag&quot;:&quot;MENDELEY_CITATION_v3_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&quot;,&quot;citationItems&quot;:[{&quot;id&quot;:&quot;c8ef2b64-d30d-3299-bceb-951b4add0611&quot;,&quot;itemData&quot;:{&quot;type&quot;:&quot;article&quot;,&quot;id&quot;:&quot;c8ef2b64-d30d-3299-bceb-951b4add0611&quot;,&quot;title&quot;:&quot;Targeting aging pathways in chronic obstructive pulmonary disease&quot;,&quot;author&quot;:[{&quot;family&quot;:&quot;Easter&quot;,&quot;given&quot;:&quot;Molly&quot;,&quot;parse-names&quot;:false,&quot;dropping-particle&quot;:&quot;&quot;,&quot;non-dropping-particle&quot;:&quot;&quot;},{&quot;family&quot;:&quot;Bollenbecker&quot;,&quot;given&quot;:&quot;Seth&quot;,&quot;parse-names&quot;:false,&quot;dropping-particle&quot;:&quot;&quot;,&quot;non-dropping-particle&quot;:&quot;&quot;},{&quot;family&quot;:&quot;Barnes&quot;,&quot;given&quot;:&quot;Jarrod W.&quot;,&quot;parse-names&quot;:false,&quot;dropping-particle&quot;:&quot;&quot;,&quot;non-dropping-particle&quot;:&quot;&quot;},{&quot;family&quot;:&quot;Krick&quot;,&quot;given&quot;:&quot;Stefanie&quot;,&quot;parse-names&quot;:false,&quot;dropping-particle&quot;:&quot;&quot;,&quot;non-dropping-particle&quot;:&quot;&quot;}],&quot;container-title&quot;:&quot;International Journal of Molecular Sciences&quot;,&quot;container-title-short&quot;:&quot;Int J Mol Sci&quot;,&quot;accessed&quot;:{&quot;date-parts&quot;:[[2020,12,9]]},&quot;DOI&quot;:&quot;10.3390/ijms21186924&quot;,&quot;ISSN&quot;:&quot;14220067&quot;,&quot;PMID&quot;:&quot;32967225&quot;,&quot;URL&quot;:&quot;/pmc/articles/PMC7555616/?report=abstract&quot;,&quot;issued&quot;:{&quot;date-parts&quot;:[[2020,9,2]]},&quot;page&quot;:&quot;1-17&quot;,&quot;abstract&quot;:&quot;Chronic obstructive pulmonary disease (COPD) has become a global epidemic and is the third leading cause of death worldwide. COPD is characterized by chronic airway inflammation, loss of alveolar-capillary units, and progressive decline in lung function. Major risk factors for COPD are cigarette smoking and aging. COPD-associated pathomechanisms include multiple aging pathways such as telomere attrition, epigenetic alterations, altered nutrient sensing, mitochondrial dysfunction, cell senescence, stem cell exhaustion and chronic inflammation. In this review, we will highlight the current literature that focuses on the role of age and aging-associated signaling pathways as well as their impact on current treatment strategies in the pathogenesis of COPD. Furthermore, we will discuss established and experimental COPD treatments including senolytic and anti-aging therapies and their potential use as novel treatment strategies in COPD.&quot;,&quot;publisher&quot;:&quot;MDPI AG&quot;,&quot;issue&quot;:&quot;18&quot;,&quot;volume&quot;:&quot;21&quot;},&quot;isTemporary&quot;:false}]},{&quot;citationID&quot;:&quot;MENDELEY_CITATION_bae5aa9e-b726-402d-b85e-69ddd0eed632&quot;,&quot;properties&quot;:{&quot;noteIndex&quot;:0},&quot;isEdited&quot;:false,&quot;manualOverride&quot;:{&quot;isManuallyOverridden&quot;:false,&quot;citeprocText&quot;:&quot;[4]&quot;,&quot;manualOverrideText&quot;:&quot;&quot;},&quot;citationTag&quot;:&quot;MENDELEY_CITATION_v3_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&quot;,&quot;citationItems&quot;:[{&quot;id&quot;:&quot;4a66e3c3-580e-3af8-91d2-c4eb6b2c00f5&quot;,&quot;itemData&quot;:{&quot;type&quot;:&quot;article-journal&quot;,&quot;id&quot;:&quot;4a66e3c3-580e-3af8-91d2-c4eb6b2c00f5&quot;,&quot;title&quot;:&quot;Chronic Obstructive Pulmonary Disease and Smoking Status — United States, 2017&quot;,&quot;author&quot;:[{&quot;family&quot;:&quot;Wheaton&quot;,&quot;given&quot;:&quot;Anne G.&quot;,&quot;parse-names&quot;:false,&quot;dropping-particle&quot;:&quot;&quot;,&quot;non-dropping-particle&quot;:&quot;&quot;},{&quot;family&quot;:&quot;Liu&quot;,&quot;given&quot;:&quot;Yong&quot;,&quot;parse-names&quot;:false,&quot;dropping-particle&quot;:&quot;&quot;,&quot;non-dropping-particle&quot;:&quot;&quot;},{&quot;family&quot;:&quot;Croft&quot;,&quot;given&quot;:&quot;Janet B.&quot;,&quot;parse-names&quot;:false,&quot;dropping-particle&quot;:&quot;&quot;,&quot;non-dropping-particle&quot;:&quot;&quot;},{&quot;family&quot;:&quot;VanFrank&quot;,&quot;given&quot;:&quot;Brenna&quot;,&quot;parse-names&quot;:false,&quot;dropping-particle&quot;:&quot;&quot;,&quot;non-dropping-particle&quot;:&quot;&quot;},{&quot;family&quot;:&quot;Croxton&quot;,&quot;given&quot;:&quot;Thomas L.&quot;,&quot;parse-names&quot;:false,&quot;dropping-particle&quot;:&quot;&quot;,&quot;non-dropping-particle&quot;:&quot;&quot;},{&quot;family&quot;:&quot;Punturieri&quot;,&quot;given&quot;:&quot;Antonello&quot;,&quot;parse-names&quot;:false,&quot;dropping-particle&quot;:&quot;&quot;,&quot;non-dropping-particle&quot;:&quot;&quot;},{&quot;family&quot;:&quot;Postow&quot;,&quot;given&quot;:&quot;Lisa&quot;,&quot;parse-names&quot;:false,&quot;dropping-particle&quot;:&quot;&quot;,&quot;non-dropping-particle&quot;:&quot;&quot;},{&quot;family&quot;:&quot;Greenlund&quot;,&quot;given&quot;:&quot;Kurt J.&quot;,&quot;parse-names&quot;:false,&quot;dropping-particle&quot;:&quot;&quot;,&quot;non-dropping-particle&quot;:&quot;&quot;}],&quot;container-title&quot;:&quot;MMWR. Morbidity and Mortality Weekly Report&quot;,&quot;container-title-short&quot;:&quot;MMWR Morb Mortal Wkly Rep&quot;,&quot;accessed&quot;:{&quot;date-parts&quot;:[[2020,12,7]]},&quot;DOI&quot;:&quot;10.15585/mmwr.mm6824a1&quot;,&quot;ISSN&quot;:&quot;0149-2195&quot;,&quot;PMID&quot;:&quot;31220055&quot;,&quot;URL&quot;:&quot;https://www.ncbi.nlm.nih.gov/pmc/articles/PMC6586372/&quot;,&quot;issued&quot;:{&quot;date-parts&quot;:[[2019,6,21]]},&quot;page&quot;:&quot;533-538&quot;,&quot;abstract&quot;:&quot;Cigarette smoking is the leading cause of chronic obstructive pulmonary disease (COPD) in the United States; however, an estimated one fourth of adults with COPD have never smoked (1). CDC analyzed state-specific Behavioral Risk Factor Surveillance System (BRFSS) data from 2017, which indicated that, overall among U.S. adults, 6.2% (age-adjusted) reported having been told by a health care professional that they had COPD. The age-adjusted prevalence of COPD was 15.2% among current cigarette smokers, 7.6% among former smokers, and 2.8% among adults who had never smoked. Higher prevalences of COPD were observed in southeastern and Appalachian states, regardless of smoking status of respondents. Whereas the strong positive correlation between state prevalence of COPD and state prevalence of current smoking was expected among current and former smokers, a similar relationship among adults who had never smoked suggests secondhand smoke exposure as a potential risk factor for COPD. Continued promotion of smoke-free environments might reduce COPD among both those who smoke and those who do not.&quot;,&quot;publisher&quot;:&quot;Centers for Disease Control MMWR Office&quot;,&quot;issue&quot;:&quot;24&quot;,&quot;volume&quot;:&quot;68&quot;},&quot;isTemporary&quot;:false}]},{&quot;citationID&quot;:&quot;MENDELEY_CITATION_8036529e-1992-4dc0-a72f-ddd15e6579a0&quot;,&quot;properties&quot;:{&quot;noteIndex&quot;:0},&quot;isEdited&quot;:false,&quot;manualOverride&quot;:{&quot;isManuallyOverridden&quot;:false,&quot;citeprocText&quot;:&quot;[6]&quot;,&quot;manualOverrideText&quot;:&quot;&quot;},&quot;citationTag&quot;:&quot;MENDELEY_CITATION_v3_eyJjaXRhdGlvbklEIjoiTUVOREVMRVlfQ0lUQVRJT05fODAzNjUyOWUtMTk5Mi00ZGMwLWE3MmYtZGRkMTVlNjU3OWEw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quot;,&quot;citationItems&quot;:[{&quot;id&quot;:&quot;f6bf6552-f6e0-3ff4-a77d-6750f2546b26&quot;,&quot;itemData&quot;:{&quot;type&quot;:&quot;report&quot;,&quot;id&quot;:&quot;f6bf6552-f6e0-3ff4-a77d-6750f2546b26&quot;,&quot;title&quot;:&quot;GOLD Report 2020&quot;,&quot;author&quot;:[{&quot;family&quot;:&quot;Global Initiative for Chronic Obstructive Lung Disease&quot;,&quot;given&quot;:&quot;&quot;,&quot;parse-names&quot;:false,&quot;dropping-particle&quot;:&quot;&quot;,&quot;non-dropping-particle&quot;:&quot;&quot;}],&quot;container-title&quot;:&quot;Global Strategy for the Diagnosis, Management, and Prevention of Chronic Obstructive Pulmonary Disease: 2020 Report&quot;,&quot;URL&quot;:&quot;https://goldcopd.org/wp-content/uploads/2019/12/GOLD-2020-FINAL-ver1.2-03Dec19_WMV.pdf&quot;,&quot;issued&quot;:{&quot;date-parts&quot;:[[2020]]},&quot;number-of-pages&quot;:&quot;141&quot;,&quot;abstract&quot;:&quot;Global Strategy for the Diagnosis, Management, and Prevention of Chronic Obstructive Pulmonary Disease&quot;,&quot;container-title-short&quot;:&quot;&quot;},&quot;isTemporary&quot;:false}]},{&quot;citationID&quot;:&quot;MENDELEY_CITATION_39c87115-68f5-4f90-aaaf-8ce94bc0f58e&quot;,&quot;properties&quot;:{&quot;noteIndex&quot;:0},&quot;isEdited&quot;:false,&quot;manualOverride&quot;:{&quot;citeprocText&quot;:&quot;[160]&quot;,&quot;isManuallyOverridden&quot;:false,&quot;manualOverrideText&quot;:&quot;&quot;},&quot;citationTag&quot;:&quot;MENDELEY_CITATION_v3_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&quot;,&quot;citationItems&quot;:[{&quot;id&quot;:&quot;d51fe419-8e70-5800-9099-628db7445bd9&quot;,&quot;itemData&quot;:{&quot;DOI&quot;:&quot;10.1016/j.envres.2014.04.008&quot;,&quot;ISSN&quot;:&quot;10960953&quot;,&quot;PMID&quot;:&quot;24769560&quot;,&quot;abstract&quot;:&quot;Background: Cadmium exposure was found to cause a decline in lung function among the general population, but these findings were limited to smokers and gender differences were not explored. Objectives: To examine the relationship between cadmium and chronic obstructive pulmonary disease (COPD) according to gender and smoking status in Korea. Methods: Cross-sectional data from the Korean National Health and Nutrition Examination Survey from 2008 to 2011 were analyzed. COPD was defined by a pre-bronchodilator forced expiratory volume in 1. s divided by forced vital capacity of &lt;0.70. A logistic regression model was used to elucidate the association between blood cadmium levels and COPD according to gender and smoking status. Results: Among 3861 eligible participants, 3622 were included in the analysis. The prevalence of COPD demonstrated an increasing trend in males (P for trend&lt;0.001), but not in females (P for trend=0.67). After adjusting for covariates, a higher blood cadmium level, but within the normal range, was associated with COPD in males, including those who had never-smoked (P for trend &lt;0.001 and P for trend=0.008). However, a higher blood cadmium level was not significantly associated with COPD in females, including those who had never smoked (P for trend=0.39 and P for trend=0.43). Conclusions: A higher blood cadmium level, within the normal range, was associated with COPD in males, including those who had never smoked. However, there was no significant association between blood cadmium levels and COPD in females. © 2014.&quot;,&quot;author&quot;:[{&quot;dropping-particle&quot;:&quot;&quot;,&quot;family&quot;:&quot;Oh&quot;,&quot;given&quot;:&quot;Chang Mo&quot;,&quot;non-dropping-particle&quot;:&quot;&quot;,&quot;parse-names&quot;:false,&quot;suffix&quot;:&quot;&quot;},{&quot;dropping-particle&quot;:&quot;&quot;,&quot;family&quot;:&quot;Oh&quot;,&quot;given&quot;:&quot;In Hwan&quot;,&quot;non-dropping-particle&quot;:&quot;&quot;,&quot;parse-names&quot;:false,&quot;suffix&quot;:&quot;&quot;},{&quot;dropping-particle&quot;:&quot;&quot;,&quot;family&quot;:&quot;Lee&quot;,&quot;given&quot;:&quot;Jong Keun&quot;,&quot;non-dropping-particle&quot;:&quot;&quot;,&quot;parse-names&quot;:false,&quot;suffix&quot;:&quot;&quot;},{&quot;dropping-particle&quot;:&quot;&quot;,&quot;family&quot;:&quot;Park&quot;,&quot;given&quot;:&quot;Yoon Hyung&quot;,&quot;non-dropping-particle&quot;:&quot;&quot;,&quot;parse-names&quot;:false,&quot;suffix&quot;:&quot;&quot;},{&quot;dropping-particle&quot;:&quot;&quot;,&quot;family&quot;:&quot;Choe&quot;,&quot;given&quot;:&quot;Bong Keun&quot;,&quot;non-dropping-particle&quot;:&quot;&quot;,&quot;parse-names&quot;:false,&quot;suffix&quot;:&quot;&quot;},{&quot;dropping-particle&quot;:&quot;&quot;,&quot;family&quot;:&quot;Yoon&quot;,&quot;given&quot;:&quot;Tai Young&quot;,&quot;non-dropping-particle&quot;:&quot;&quot;,&quot;parse-names&quot;:false,&quot;suffix&quot;:&quot;&quot;},{&quot;dropping-particle&quot;:&quot;&quot;,&quot;family&quot;:&quot;Choi&quot;,&quot;given&quot;:&quot;Joong Myung&quot;,&quot;non-dropping-particle&quot;:&quot;&quot;,&quot;parse-names&quot;:false,&quot;suffix&quot;:&quot;&quot;}],&quot;container-title&quot;:&quot;Environmental Research&quot;,&quot;id&quot;:&quot;d51fe419-8e70-5800-9099-628db7445bd9&quot;,&quot;issued&quot;:{&quot;date-parts&quot;:[[&quot;2014&quot;]]},&quot;page&quot;:&quot;119-125&quot;,&quot;publisher&quot;:&quot;Elsevier&quot;,&quot;title&quot;:&quot;Blood cadmium levels are associated with a decline in lung function in males&quot;,&quot;type&quot;:&quot;article-journal&quot;,&quot;volume&quot;:&quot;132&quot;,&quot;container-title-short&quot;:&quot;Environ Res&quot;},&quot;uris&quot;:[&quot;http://www.mendeley.com/documents/?uuid=ce408a02-dc03-4b27-a810-23bcf1e9298f&quot;],&quot;isTemporary&quot;:false,&quot;legacyDesktopId&quot;:&quot;ce408a02-dc03-4b27-a810-23bcf1e9298f&quot;}]},{&quot;citationID&quot;:&quot;MENDELEY_CITATION_dfafca3e-c8ee-48c6-aa30-81f04a464788&quot;,&quot;properties&quot;:{&quot;noteIndex&quot;:0},&quot;isEdited&quot;:false,&quot;manualOverride&quot;:{&quot;citeprocText&quot;:&quot;[158]&quot;,&quot;isManuallyOverridden&quot;:false,&quot;manualOverrideText&quot;:&quot;&quot;},&quot;citationTag&quot;:&quot;MENDELEY_CITATION_v3_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&quot;,&quot;citationItems&quot;:[{&quot;id&quot;:&quot;2be4a8ab-13c7-3890-92d3-4697f0bec515&quot;,&quot;itemData&quot;:{&quot;type&quot;:&quot;article&quot;,&quot;id&quot;:&quot;2be4a8ab-13c7-3890-92d3-4697f0bec515&quot;,&quot;title&quot;:&quot;Occupational diesel exhaust exposure as a risk factor for chronic obstructive pulmonary disease&quot;,&quot;author&quot;:[{&quot;family&quot;:&quot;Hart&quot;,&quot;given&quot;:&quot;Jaime E.&quot;,&quot;parse-names&quot;:false,&quot;dropping-particle&quot;:&quot;&quot;,&quot;non-dropping-particle&quot;:&quot;&quot;},{&quot;family&quot;:&quot;Eisen&quot;,&quot;given&quot;:&quot;Ellen A.&quot;,&quot;parse-names&quot;:false,&quot;dropping-particle&quot;:&quot;&quot;,&quot;non-dropping-particle&quot;:&quot;&quot;},{&quot;family&quot;:&quot;Laden&quot;,&quot;given&quot;:&quot;Francine&quot;,&quot;parse-names&quot;:false,&quot;dropping-particle&quot;:&quot;&quot;,&quot;non-dropping-particle&quot;:&quot;&quot;}],&quot;container-title&quot;:&quot;Current Opinion in Pulmonary Medicine&quot;,&quot;container-title-short&quot;:&quot;Curr Opin Pulm Med&quot;,&quot;accessed&quot;:{&quot;date-parts&quot;:[[2020,12,16]]},&quot;DOI&quot;:&quot;10.1097/MCP.0b013e32834f0eaa&quot;,&quot;ISSN&quot;:&quot;10705287&quot;,&quot;PMID&quot;:&quot;22234274&quot;,&quot;URL&quot;:&quot;/pmc/articles/PMC3648416/?report=abstract&quot;,&quot;issued&quot;:{&quot;date-parts&quot;:[[2012,3]]},&quot;page&quot;:&quot;151-154&quot;,&quot;abstract&quot;:&quot;PURPOSE OF REVIEW: Chronic obstructive pulmonary disease (COPD) is a major source of morbidity and mortality worldwide. Although cigarette smoking is the major cause of COPD, occupational exposures have emerged as an important risk factor, especially in nonsmokers. In this review, we assess the state of the literature on the association of COPD with a specific occupational exposure, diesel exhaust. RECENT FINDINGS: A large body of literature links general occupational exposures to dust and fumes with an increased risk of COPD, particularly in nonsmokers. Few studies, however, have explicitly examined the role of occupational diesel exhaust exposures to COPD risk. Suggestive recent findings link occupational diesel exposures to an increased risk of COPD. SUMMARY: The available literature directly examining the effects of occupational diesel exhaust on risk of COPD is quite small, but does suggest that increasing exposures are associated with increasing risk. Additional research, with more advanced exposure metrics, is needed to fully elucidate this association. © 2012 Wolters Kluwer Health | Lippincott Williams &amp; Wilkins.&quot;,&quot;publisher&quot;:&quot;NIH Public Access&quot;,&quot;issue&quot;:&quot;2&quot;,&quot;volume&quot;:&quot;18&quot;},&quot;isTemporary&quot;:false}]},{&quot;citationID&quot;:&quot;MENDELEY_CITATION_d1dedecc-d5ef-4bff-a8aa-67fcccb13f4d&quot;,&quot;properties&quot;:{&quot;noteIndex&quot;:0},&quot;isEdited&quot;:false,&quot;manualOverride&quot;:{&quot;citeprocText&quot;:&quot;[161]&quot;,&quot;isManuallyOverridden&quot;:false,&quot;manualOverrideText&quot;:&quot;&quot;},&quot;citationTag&quot;:&quot;MENDELEY_CITATION_v3_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&quot;,&quot;citationItems&quot;:[{&quot;id&quot;:&quot;7ad6c9f3-2050-5670-98ed-2a9405136ea4&quot;,&quot;itemData&quot;:{&quot;DOI&quot;:&quot;10.1093/occmed/kqu136&quot;,&quot;abstract&quot;:&quot;Background Occupational exposure is estimated to contribute 15% to the burden of chronic obstructive pulmonary disease (COPD). Welding fumes are suspected to accelerate the decline of lung function and development of COPD. Aims To examine the relationship between welding fume exposure and COPD in Korean shipyard welders. Methods The study involved a group of male welders working at two shipyards who underwent an annual health examination in 2010. Subjects completed a questionnaire about smoking habits and occupational history and a pulmonary function test (PFT) was carried out with strict quality control measures. Welding fume exposure concentrations were estimated using 884 measurements taken between 2002 and 2009 in one of the shipyards. Multiple linear and logistic regression was employed to evaluate the association between cumulative fume exposure and lung function parameters, controlling for age, height and cigarette smoking. Results Two hundred and forty subjects participated, with a mean age of 48 and mean work duration of 15 years. The mean cumulative fume exposure was 7.7 mg/m 3. The prevalence of COPD was 15%. FEV 1 and FVC showed non-significant negative correlations with cumulative fume exposure. Odds ratios of COPD were significantly elevated for the middle (3.9; 95% CI 1.4-13.3) and high exposure groups (3.8; 95% CI 1.03-16.2) compared with the low fume exposure group. Conclusions Our findings support an association between welding fume exposure and increased risk of COPD. Further prospective study is needed to investigate whether this is a causal relationship.&quot;,&quot;author&quot;:[{&quot;dropping-particle&quot;:&quot;&quot;,&quot;family&quot;:&quot;Koh&quot;,&quot;given&quot;:&quot;D.-H&quot;,&quot;non-dropping-particle&quot;:&quot;&quot;,&quot;parse-names&quot;:false,&quot;suffix&quot;:&quot;&quot;},{&quot;dropping-particle&quot;:&quot;&quot;,&quot;family&quot;:&quot;Kim&quot;,&quot;given&quot;:&quot;J.-I&quot;,&quot;non-dropping-particle&quot;:&quot;&quot;,&quot;parse-names&quot;:false,&quot;suffix&quot;:&quot;&quot;},{&quot;dropping-particle&quot;:&quot;&quot;,&quot;family&quot;:&quot;Kim&quot;,&quot;given&quot;:&quot;K.-H&quot;,&quot;non-dropping-particle&quot;:&quot;&quot;,&quot;parse-names&quot;:false,&quot;suffix&quot;:&quot;&quot;},{&quot;dropping-particle&quot;:&quot;&quot;,&quot;family&quot;:&quot;Yoo&quot;,&quot;given&quot;:&quot;S.-W&quot;,&quot;non-dropping-particle&quot;:&quot;&quot;,&quot;parse-names&quot;:false,&quot;suffix&quot;:&quot;&quot;}],&quot;container-title&quot;:&quot;Occupational Medicine&quot;,&quot;id&quot;:&quot;7ad6c9f3-2050-5670-98ed-2a9405136ea4&quot;,&quot;issued&quot;:{&quot;date-parts&quot;:[[&quot;2015&quot;]]},&quot;page&quot;:&quot;72-77&quot;,&quot;title&quot;:&quot;Welding fume exposure and chronic obstructive pulmonary disease in welders&quot;,&quot;type&quot;:&quot;article-journal&quot;,&quot;volume&quot;:&quot;65&quot;,&quot;container-title-short&quot;:&quot;Occup Med (Chic Ill)&quot;},&quot;uris&quot;:[&quot;http://www.mendeley.com/documents/?uuid=d793a85d-0702-3b5f-a1c4-79246638b963&quot;],&quot;isTemporary&quot;:false,&quot;legacyDesktopId&quot;:&quot;d793a85d-0702-3b5f-a1c4-79246638b963&quot;}]},{&quot;citationID&quot;:&quot;MENDELEY_CITATION_f812c147-8cf4-48bb-8925-c4746b97543b&quot;,&quot;properties&quot;:{&quot;noteIndex&quot;:0},&quot;isEdited&quot;:false,&quot;manualOverride&quot;:{&quot;citeprocText&quot;:&quot;[162]&quot;,&quot;isManuallyOverridden&quot;:false,&quot;manualOverrideText&quot;:&quot;&quot;},&quot;citationTag&quot;:&quot;MENDELEY_CITATION_v3_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&quot;,&quot;citationItems&quot;:[{&quot;id&quot;:&quot;60284c5a-3a19-5f95-a96f-b6e078b38f10&quot;,&quot;itemData&quot;:{&quot;DOI&quot;:&quot;10.1136/oemed-2012-100775&quot;,&quot;ISBN&quot;:&quot;2012100775&quot;,&quot;ISSN&quot;:&quot;13510711&quot;,&quot;PMID&quot;:&quot;23000825&quot;,&quot;abstract&quot;:&quot;Objectives: The present study sought to examine the long-term effects of exposure to respirable quartz on pulmonary function with particular focus on chronic obstructive pulmonary disease (COPD). Methods: The study is based on the Wismut cohort of former uranium miners. Spirometric data were ascertained together with quantitative estimates of cumulative exposure to respirable quartz for each of 1421 study subjects born between 1954 and 1956. The case definition for COPD is based on the criteria of the Global Initiative for Chronic Obstructive Lung Disease. Linear mixed regression models were fitted to identify significant determinants of longitudinal changes in lung function parameters. Results: An average of five spirometries were available for each miner. It was shown that cumulative exposure to 1 mg/m3-year respirable quartz leads, on average, to a relative reduction in forced expiratory volume in 1 s/ orced vital capacity (FEV1/FVC) of 2.75% (p&lt;0.001). A nested case-control approach demonstrated that the risk for COPD stage I increases with increasing cumulative exposure to respirable quartz (OR 1.81 per 1 mg/m 3-year). Conclusions: This paper adds further evidence on the long-term effects of exposure to respirable quartz, which include a decline in pulmonary function parameters and an increase in the incidence of COPD.&quot;,&quot;author&quot;:[{&quot;dropping-particle&quot;:&quot;&quot;,&quot;family&quot;:&quot;Möhner&quot;,&quot;given&quot;:&quot;Matthias&quot;,&quot;non-dropping-particle&quot;:&quot;&quot;,&quot;parse-names&quot;:false,&quot;suffix&quot;:&quot;&quot;},{&quot;dropping-particle&quot;:&quot;&quot;,&quot;family&quot;:&quot;Kersten&quot;,&quot;given&quot;:&quot;Norbert&quot;,&quot;non-dropping-particle&quot;:&quot;&quot;,&quot;parse-names&quot;:false,&quot;suffix&quot;:&quot;&quot;},{&quot;dropping-particle&quot;:&quot;&quot;,&quot;family&quot;:&quot;Gellissen&quot;,&quot;given&quot;:&quot;Johannes&quot;,&quot;non-dropping-particle&quot;:&quot;&quot;,&quot;parse-names&quot;:false,&quot;suffix&quot;:&quot;&quot;}],&quot;container-title&quot;:&quot;Occupational and Environmental Medicine&quot;,&quot;id&quot;:&quot;60284c5a-3a19-5f95-a96f-b6e078b38f10&quot;,&quot;issue&quot;:&quot;1&quot;,&quot;issued&quot;:{&quot;date-parts&quot;:[[&quot;2013&quot;]]},&quot;page&quot;:&quot;9-14&quot;,&quot;title&quot;:&quot;Chronic obstructive pulmonary disease and longitudinal changes in pulmonary function due to occupational exposure to respirable quartz&quot;,&quot;type&quot;:&quot;article-journal&quot;,&quot;volume&quot;:&quot;70&quot;,&quot;container-title-short&quot;:&quot;Occup Environ Med&quot;},&quot;uris&quot;:[&quot;http://www.mendeley.com/documents/?uuid=ef28659d-b1df-4aec-8fb1-2b954efc227e&quot;],&quot;isTemporary&quot;:false,&quot;legacyDesktopId&quot;:&quot;ef28659d-b1df-4aec-8fb1-2b954efc227e&quot;}]},{&quot;citationID&quot;:&quot;MENDELEY_CITATION_5a424829-91cb-4d14-9fad-75bff616691c&quot;,&quot;properties&quot;:{&quot;noteIndex&quot;:0},&quot;isEdited&quot;:false,&quot;manualOverride&quot;:{&quot;citeprocText&quot;:&quot;[13]&quot;,&quot;isManuallyOverridden&quot;:false,&quot;manualOverrideText&quot;:&quot;&quot;},&quot;citationTag&quot;:&quot;MENDELEY_CITATION_v3_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&quot;,&quot;citationItems&quot;:[{&quot;id&quot;:&quot;33a313ba-178c-31a1-8972-99be31d99a6f&quot;,&quot;itemData&quot;:{&quot;type&quot;:&quot;article-journal&quot;,&quot;id&quot;:&quot;33a313ba-178c-31a1-8972-99be31d99a6f&quot;,&quot;title&quot;:&quot;The Occupational Burden of Nonmalignant Respiratory Diseases An Official American Thoracic Society and European Respiratory Society Statement&quot;,&quot;author&quot;:[{&quot;family&quot;:&quot;Blanc&quot;,&quot;given&quot;:&quot;Paul D&quot;,&quot;parse-names&quot;:false,&quot;dropping-particle&quot;:&quot;&quot;,&quot;non-dropping-particle&quot;:&quot;&quot;},{&quot;family&quot;:&quot;Annesi-Maesano&quot;,&quot;given&quot;:&quot;Isabella&quot;,&quot;parse-names&quot;:false,&quot;dropping-particle&quot;:&quot;&quot;,&quot;non-dropping-particle&quot;:&quot;&quot;},{&quot;family&quot;:&quot;Balmes&quot;,&quot;given&quot;:&quot;John R&quot;,&quot;parse-names&quot;:false,&quot;dropping-particle&quot;:&quot;&quot;,&quot;non-dropping-particle&quot;:&quot;&quot;},{&quot;family&quot;:&quot;Cummings&quot;,&quot;given&quot;:&quot;Kristin J&quot;,&quot;parse-names&quot;:false,&quot;dropping-particle&quot;:&quot;&quot;,&quot;non-dropping-particle&quot;:&quot;&quot;},{&quot;family&quot;:&quot;Fishwick&quot;,&quot;given&quot;:&quot;David&quot;,&quot;parse-names&quot;:false,&quot;dropping-particle&quot;:&quot;&quot;,&quot;non-dropping-particle&quot;:&quot;&quot;},{&quot;family&quot;:&quot;Miedinger&quot;,&quot;given&quot;:&quot;David&quot;,&quot;parse-names&quot;:false,&quot;dropping-particle&quot;:&quot;&quot;,&quot;non-dropping-particle&quot;:&quot;&quot;},{&quot;family&quot;:&quot;Murgia&quot;,&quot;given&quot;:&quot;Nicola&quot;,&quot;parse-names&quot;:false,&quot;dropping-particle&quot;:&quot;&quot;,&quot;non-dropping-particle&quot;:&quot;&quot;},{&quot;family&quot;:&quot;Naidoo&quot;,&quot;given&quot;:&quot;Rajen N&quot;,&quot;parse-names&quot;:false,&quot;dropping-particle&quot;:&quot;&quot;,&quot;non-dropping-particle&quot;:&quot;&quot;},{&quot;family&quot;:&quot;Reynolds&quot;,&quot;given&quot;:&quot;Carl J&quot;,&quot;parse-names&quot;:false,&quot;dropping-particle&quot;:&quot;&quot;,&quot;non-dropping-particle&quot;:&quot;&quot;},{&quot;family&quot;:&quot;Sigsgaard&quot;,&quot;given&quot;:&quot;Torben&quot;,&quot;parse-names&quot;:false,&quot;dropping-particle&quot;:&quot;&quot;,&quot;non-dropping-particle&quot;:&quot;&quot;},{&quot;family&quot;:&quot;Torén&quot;,&quot;given&quot;:&quot;Kjell&quot;,&quot;parse-names&quot;:false,&quot;dropping-particle&quot;:&quot;&quot;,&quot;non-dropping-particle&quot;:&quot;&quot;},{&quot;family&quot;:&quot;Torén&quot;,&quot;given&quot;:&quot;Tor´&quot;,&quot;parse-names&quot;:false,&quot;dropping-particle&quot;:&quot;&quot;,&quot;non-dropping-particle&quot;:&quot;&quot;},{&quot;family&quot;:&quot;Vinnikov&quot;,&quot;given&quot;:&quot;Denis&quot;,&quot;parse-names&quot;:false,&quot;dropping-particle&quot;:&quot;&quot;,&quot;non-dropping-particle&quot;:&quot;&quot;},{&quot;family&quot;:&quot;Redlich&quot;,&quot;given&quot;:&quot;Carrie A&quot;,&quot;parse-names&quot;:false,&quot;dropping-particle&quot;:&quot;&quot;,&quot;non-dropping-particle&quot;:&quot;&quot;}],&quot;container-title&quot;:&quot;American  Journal of Respiratory and Critical Care Medicine&quot;,&quot;container-title-short&quot;:&quot;Am J Respir Crit Care Med&quot;,&quot;accessed&quot;:{&quot;date-parts&quot;:[[2020,12,9]]},&quot;DOI&quot;:&quot;10.1164/rccm.201904-0717ST&quot;,&quot;URL&quot;:&quot;www.atsjournals.org.&quot;,&quot;issued&quot;:{&quot;date-parts&quot;:[[2019,6,1]]},&quot;page&quot;:&quot;1312-1334&quot;,&quot;issue&quot;:&quot;11&quot;,&quot;volume&quot;:&quot;199&quot;},&quot;isTemporary&quot;:false}]},{&quot;citationID&quot;:&quot;MENDELEY_CITATION_1a516094-53e5-4a13-a9b2-b75dbf5703ad&quot;,&quot;properties&quot;:{&quot;noteIndex&quot;:0},&quot;isEdited&quot;:false,&quot;manualOverride&quot;:{&quot;citeprocText&quot;:&quot;[16]&quot;,&quot;isManuallyOverridden&quot;:false,&quot;manualOverrideText&quot;:&quot;&quot;},&quot;citationTag&quot;:&quot;MENDELEY_CITATION_v3_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&quot;,&quot;citationItems&quot;:[{&quot;id&quot;:&quot;f7ae9350-0e3a-3b06-b6a8-bb3522626137&quot;,&quot;itemData&quot;:{&quot;type&quot;:&quot;report&quot;,&quot;id&quot;:&quot;f7ae9350-0e3a-3b06-b6a8-bb3522626137&quot;,&quot;title&quot;:&quot;Former Worker Medical Screening Program Report 2019&quot;,&quot;author&quot;:[{&quot;family&quot;:&quot;United States Department of Energy&quot;,&quot;given&quot;:&quot;&quot;,&quot;parse-names&quot;:false,&quot;dropping-particle&quot;:&quot;&quot;,&quot;non-dropping-particle&quot;:&quot;&quot;}],&quot;accessed&quot;:{&quot;date-parts&quot;:[[2020,12,9]]},&quot;URL&quot;:&quot;energy.gov/sites/prod/files/2020/06/f75/2019-FW-Medical-Screening-Program-Annual-Report.pdf&quot;,&quot;issued&quot;:{&quot;date-parts&quot;:[[2019]]},&quot;number-of-pages&quot;:&quot;1-76&quot;,&quot;container-title-short&quot;:&quot;&quot;},&quot;isTemporary&quot;:false}]},{&quot;citationID&quot;:&quot;MENDELEY_CITATION_235cc7ad-bd14-4878-a316-273dcdbfab6b&quot;,&quot;properties&quot;:{&quot;noteIndex&quot;:0},&quot;isEdited&quot;:false,&quot;manualOverride&quot;:{&quot;citeprocText&quot;:&quot;[16]&quot;,&quot;isManuallyOverridden&quot;:false,&quot;manualOverrideText&quot;:&quot;&quot;},&quot;citationTag&quot;:&quot;MENDELEY_CITATION_v3_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&quot;,&quot;citationItems&quot;:[{&quot;id&quot;:&quot;f7ae9350-0e3a-3b06-b6a8-bb3522626137&quot;,&quot;itemData&quot;:{&quot;type&quot;:&quot;report&quot;,&quot;id&quot;:&quot;f7ae9350-0e3a-3b06-b6a8-bb3522626137&quot;,&quot;title&quot;:&quot;Former Worker Medical Screening Program Report 2019&quot;,&quot;author&quot;:[{&quot;family&quot;:&quot;United States Department of Energy&quot;,&quot;given&quot;:&quot;&quot;,&quot;parse-names&quot;:false,&quot;dropping-particle&quot;:&quot;&quot;,&quot;non-dropping-particle&quot;:&quot;&quot;}],&quot;accessed&quot;:{&quot;date-parts&quot;:[[2020,12,9]]},&quot;URL&quot;:&quot;energy.gov/sites/prod/files/2020/06/f75/2019-FW-Medical-Screening-Program-Annual-Report.pdf&quot;,&quot;issued&quot;:{&quot;date-parts&quot;:[[2019]]},&quot;number-of-pages&quot;:&quot;1-76&quot;,&quot;container-title-short&quot;:&quot;&quot;},&quot;isTemporary&quot;:false}]},{&quot;citationID&quot;:&quot;MENDELEY_CITATION_8c9a4168-fc61-4ebf-90a4-e86df097c8f7&quot;,&quot;properties&quot;:{&quot;noteIndex&quot;:0},&quot;isEdited&quot;:false,&quot;manualOverride&quot;:{&quot;citeprocText&quot;:&quot;[6]&quot;,&quot;isManuallyOverridden&quot;:false,&quot;manualOverrideText&quot;:&quot;&quot;},&quot;citationTag&quot;:&quot;MENDELEY_CITATION_v3_eyJjaXRhdGlvbklEIjoiTUVOREVMRVlfQ0lUQVRJT05fOGM5YTQxNjgtZmM2MS00ZWJmLTkwYTQtZTg2ZGYwOTdjOGY3IiwicHJvcGVydGllcyI6eyJub3RlSW5kZXgiOjB9LCJpc0VkaXRlZCI6ZmFsc2UsIm1hbnVhbE92ZXJyaWRlIjp7ImNpdGVwcm9jVGV4dCI6Ils2XSIsImlzTWFudWFsbHlPdmVycmlkZGVuIjpmYWxzZS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quot;,&quot;citationItems&quot;:[{&quot;id&quot;:&quot;f6bf6552-f6e0-3ff4-a77d-6750f2546b26&quot;,&quot;itemData&quot;:{&quot;type&quot;:&quot;report&quot;,&quot;id&quot;:&quot;f6bf6552-f6e0-3ff4-a77d-6750f2546b26&quot;,&quot;title&quot;:&quot;GOLD Report 2020&quot;,&quot;author&quot;:[{&quot;family&quot;:&quot;Global Initiative for Chronic Obstructive Lung Disease&quot;,&quot;given&quot;:&quot;&quot;,&quot;parse-names&quot;:false,&quot;dropping-particle&quot;:&quot;&quot;,&quot;non-dropping-particle&quot;:&quot;&quot;}],&quot;container-title&quot;:&quot;Global Strategy for the Diagnosis, Management, and Prevention of Chronic Obstructive Pulmonary Disease: 2020 Report&quot;,&quot;URL&quot;:&quot;https://goldcopd.org/wp-content/uploads/2019/12/GOLD-2020-FINAL-ver1.2-03Dec19_WMV.pdf&quot;,&quot;issued&quot;:{&quot;date-parts&quot;:[[2020]]},&quot;number-of-pages&quot;:&quot;141&quot;,&quot;abstract&quot;:&quot;Global Strategy for the Diagnosis, Management, and Prevention of Chronic Obstructive Pulmonary Disease&quot;,&quot;container-title-short&quot;:&quot;&quot;},&quot;isTemporary&quot;:false}]},{&quot;citationID&quot;:&quot;MENDELEY_CITATION_3fffe093-bffc-4140-b175-df55e52a35b7&quot;,&quot;properties&quot;:{&quot;noteIndex&quot;:0},&quot;isEdited&quot;:false,&quot;manualOverride&quot;:{&quot;isManuallyOverridden&quot;:false,&quot;citeprocText&quot;:&quot;[163]&quot;,&quot;manualOverrideText&quot;:&quot;&quot;},&quot;citationTag&quot;:&quot;MENDELEY_CITATION_v3_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&quot;,&quot;citationItems&quot;:[{&quot;id&quot;:&quot;b3933bae-c657-34a5-8860-a5cb61ca96ff&quot;,&quot;itemData&quot;:{&quot;type&quot;:&quot;article-journal&quot;,&quot;id&quot;:&quot;b3933bae-c657-34a5-8860-a5cb61ca96ff&quot;,&quot;title&quot;:&quot;An official American Thoracic Society public policy statement: Novel risk factors and the global burden of chronic obstructive pulmonary disease&quot;,&quot;author&quot;:[{&quot;family&quot;:&quot;Eisner&quot;,&quot;given&quot;:&quot;Mark D.&quot;,&quot;parse-names&quot;:false,&quot;dropping-particle&quot;:&quot;&quot;,&quot;non-dropping-particle&quot;:&quot;&quot;},{&quot;family&quot;:&quot;Anthonisen&quot;,&quot;given&quot;:&quot;Nicholas&quot;,&quot;parse-names&quot;:false,&quot;dropping-particle&quot;:&quot;&quot;,&quot;non-dropping-particle&quot;:&quot;&quot;},{&quot;family&quot;:&quot;Coultas&quot;,&quot;given&quot;:&quot;David&quot;,&quot;parse-names&quot;:false,&quot;dropping-particle&quot;:&quot;&quot;,&quot;non-dropping-particle&quot;:&quot;&quot;},{&quot;family&quot;:&quot;Kuenzli&quot;,&quot;given&quot;:&quot;Nino&quot;,&quot;parse-names&quot;:false,&quot;dropping-particle&quot;:&quot;&quot;,&quot;non-dropping-particle&quot;:&quot;&quot;},{&quot;family&quot;:&quot;Perez-Padilla&quot;,&quot;given&quot;:&quot;Rogelio&quot;,&quot;parse-names&quot;:false,&quot;dropping-particle&quot;:&quot;&quot;,&quot;non-dropping-particle&quot;:&quot;&quot;},{&quot;family&quot;:&quot;Postma&quot;,&quot;given&quot;:&quot;Dirkje&quot;,&quot;parse-names&quot;:false,&quot;dropping-particle&quot;:&quot;&quot;,&quot;non-dropping-particle&quot;:&quot;&quot;},{&quot;family&quot;:&quot;Romieu&quot;,&quot;given&quot;:&quot;Isabelle&quot;,&quot;parse-names&quot;:false,&quot;dropping-particle&quot;:&quot;&quot;,&quot;non-dropping-particle&quot;:&quot;&quot;},{&quot;family&quot;:&quot;Silverman&quot;,&quot;given&quot;:&quot;Edwin K.&quot;,&quot;parse-names&quot;:false,&quot;dropping-particle&quot;:&quot;&quot;,&quot;non-dropping-particle&quot;:&quot;&quot;},{&quot;family&quot;:&quot;Balmes&quot;,&quot;given&quot;:&quot;John R.&quot;,&quot;parse-names&quot;:false,&quot;dropping-particle&quot;:&quot;&quot;,&quot;non-dropping-particle&quot;:&quot;&quot;}],&quot;container-title&quot;:&quot;American Journal of Respiratory and Critical Care Medicine&quot;,&quot;container-title-short&quot;:&quot;Am J Respir Crit Care Med&quot;,&quot;DOI&quot;:&quot;10.1164/rccm.200811-1757ST&quot;,&quot;ISSN&quot;:&quot;1073449X&quot;,&quot;PMID&quot;:&quot;20802169&quot;,&quot;issued&quot;:{&quot;date-parts&quot;:[[2010]]},&quot;page&quot;:&quot;693-718&quot;,&quot;abstract&quot;:&quot;Rationale: Although cigarette smoking is the most important cause of chronic obstructive pulmonary disease (COPD), a substantial proportion of COPD cases cannot be explained by smoking alone. Objectives: To evaluate the risk factors for COPD besides personal cigarette smoking. Methods: We constituted an ad hoc subcommittee of the American Thoracic Society Environmental and Occupational Health Assembly. An international group of members was invited, based on their scientific expertise in a specific risk factor for COPD. For each risk factor area, the committee reviewed the literature, summarized the evidence, and developed conclusions about the likelihood of it causing COPD. All conclusions were based on unanimous consensus. Measurements and Main Results: The population-attributable fraction for smoking as a cause of COPD ranged from 9.7 to 97.9%, but was less than 80% in most studies, indicating a substantial burden of disease attributable to nonsmoking risk factors. On the basis of our review, we concluded that specific genetic syndromes and occupational exposures were causally related to the development of COPD. Traffic and other outdoor pollution, secondhand smoke, biomass smoke, and dietary factors are associated with COPD, but sufficient criteria for causation were not met. Chronic asthma and tuberculosis are associated with irreversible loss of lung function, but there remains uncertainty about whether there are important phenotypic differences compared with COPD as it is typically encountered in clinical settings. Conclusions: In public health terms, a substantive burden of COPD is attributable to risk factors other than smoking. To prevent COPD-related disability and mortality, efforts must focus on prevention and cessation of exposure to smoking and these other, less well-recognized risk factors.&quot;,&quot;issue&quot;:&quot;5&quot;,&quot;volume&quot;:&quot;182&quot;},&quot;isTemporary&quot;:false}]},{&quot;citationID&quot;:&quot;MENDELEY_CITATION_ba48c8a4-3b06-4b54-87aa-88d9a1167ca0&quot;,&quot;properties&quot;:{&quot;noteIndex&quot;:0},&quot;isEdited&quot;:false,&quot;manualOverride&quot;:{&quot;citeprocText&quot;:&quot;[16,164]&quot;,&quot;isManuallyOverridden&quot;:false,&quot;manualOverrideText&quot;:&quot;&quot;},&quot;citationTag&quot;:&quot;MENDELEY_CITATION_v3_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&quot;,&quot;citationItems&quot;:[{&quot;id&quot;:&quot;8de6efcb-6c3f-5447-bdda-bab2f433f597&quot;,&quot;itemData&quot;:{&quot;DOI&quot;:&quot;10.1002/ajim.22554&quot;,&quot;ISSN&quot;:&quot;10970274&quot;,&quot;PMID&quot;:&quot;26891339&quot;,&quot;abstract&quot;:&quot;Background: The National Supplemental Screening Program (NSSP) uses a Total Worker HealthTM approach to address U.S. Department of Energy (DOE) former worker health. This article provides the design of the integrated occupational health screening and promotion program. Methods: The NSSP implemented a web-based relational health records system to process demographic, exposure, and clinical data. We present medical findings for 12,000 DOE former workers that completed an initial NSSP medical screening between October 1, 2005 and October 4, 2013. We discuss the DOE former worker participant population and the exposure-based and non-occupational medical screening tests used. Results: The NSSP identified potential occupationally related health conditions in 40.5% of those screened. Notably, we identified 85.8% of participants with addressable non-occupational health conditions, many of which were previously undiagnosed. Conclusion: The NSSP demonstrates that the identification of potential occupational health issues in conjunction with addressable non-occupational health conditions provides former workers with information to more effectively manage health. Am. J. Ind. Med. 59:200-211, 2016.&quot;,&quot;author&quot;:[{&quot;dropping-particle&quot;:&quot;&quot;,&quot;family&quot;:&quot;Stange&quot;,&quot;given&quot;:&quot;Bill&quot;,&quot;non-dropping-particle&quot;:&quot;&quot;,&quot;parse-names&quot;:false,&quot;suffix&quot;:&quot;&quot;},{&quot;dropping-particle&quot;:&quot;&quot;,&quot;family&quot;:&quot;Mcinerney&quot;,&quot;given&quot;:&quot;John&quot;,&quot;non-dropping-particle&quot;:&quot;&quot;,&quot;parse-names&quot;:false,&quot;suffix&quot;:&quot;&quot;},{&quot;dropping-particle&quot;:&quot;&quot;,&quot;family&quot;:&quot;Golden&quot;,&quot;given&quot;:&quot;Ashley&quot;,&quot;non-dropping-particle&quot;:&quot;&quot;,&quot;parse-names&quot;:false,&quot;suffix&quot;:&quot;&quot;},{&quot;dropping-particle&quot;:&quot;&quot;,&quot;family&quot;:&quot;Benade&quot;,&quot;given&quot;:&quot;Wendy&quot;,&quot;non-dropping-particle&quot;:&quot;&quot;,&quot;parse-names&quot;:false,&quot;suffix&quot;:&quot;&quot;},{&quot;dropping-particle&quot;:&quot;&quot;,&quot;family&quot;:&quot;Neill&quot;,&quot;given&quot;:&quot;Barbara&quot;,&quot;non-dropping-particle&quot;:&quot;&quot;,&quot;parse-names&quot;:false,&quot;suffix&quot;:&quot;&quot;},{&quot;dropping-particle&quot;:&quot;&quot;,&quot;family&quot;:&quot;Mayer&quot;,&quot;given&quot;:&quot;Annyce&quot;,&quot;non-dropping-particle&quot;:&quot;&quot;,&quot;parse-names&quot;:false,&quot;suffix&quot;:&quot;&quot;},{&quot;dropping-particle&quot;:&quot;&quot;,&quot;family&quot;:&quot;Witter&quot;,&quot;given&quot;:&quot;Roxana&quot;,&quot;non-dropping-particle&quot;:&quot;&quot;,&quot;parse-names&quot;:false,&quot;suffix&quot;:&quot;&quot;},{&quot;dropping-particle&quot;:&quot;&quot;,&quot;family&quot;:&quot;Tenney&quot;,&quot;given&quot;:&quot;Liliana&quot;,&quot;non-dropping-particle&quot;:&quot;&quot;,&quot;parse-names&quot;:false,&quot;suffix&quot;:&quot;&quot;},{&quot;dropping-particle&quot;:&quot;&quot;,&quot;family&quot;:&quot;Stinson&quot;,&quot;given&quot;:&quot;Kaylan&quot;,&quot;non-dropping-particle&quot;:&quot;&quot;,&quot;parse-names&quot;:false,&quot;suffix&quot;:&quot;&quot;},{&quot;dropping-particle&quot;:&quot;&quot;,&quot;family&quot;:&quot;Cragle&quot;,&quot;given&quot;:&quot;Donna&quot;,&quot;non-dropping-particle&quot;:&quot;&quot;,&quot;parse-names&quot;:false,&quot;suffix&quot;:&quot;&quot;},{&quot;dropping-particle&quot;:&quot;&quot;,&quot;family&quot;:&quot;Newman&quot;,&quot;given&quot;:&quot;Lee S.&quot;,&quot;non-dropping-particle&quot;:&quot;&quot;,&quot;parse-names&quot;:false,&quot;suffix&quot;:&quot;&quot;}],&quot;container-title&quot;:&quot;American Journal of Industrial Medicine&quot;,&quot;id&quot;:&quot;8de6efcb-6c3f-5447-bdda-bab2f433f597&quot;,&quot;issue&quot;:&quot;3&quot;,&quot;issued&quot;:{&quot;date-parts&quot;:[[&quot;2016&quot;]]},&quot;page&quot;:&quot;200-211&quot;,&quot;title&quot;:&quot;Integrated approach to health screening of former department of energy workers detects both occupational and non-occupational illness&quot;,&quot;type&quot;:&quot;article-journal&quot;,&quot;volume&quot;:&quot;59&quot;,&quot;container-title-short&quot;:&quot;Am J Ind Med&quot;},&quot;uris&quot;:[&quot;http://www.mendeley.com/documents/?uuid=846609db-f713-4bba-a24b-4c43f3eafc07&quot;],&quot;isTemporary&quot;:false,&quot;legacyDesktopId&quot;:&quot;846609db-f713-4bba-a24b-4c43f3eafc07&quot;},{&quot;id&quot;:&quot;f7ae9350-0e3a-3b06-b6a8-bb3522626137&quot;,&quot;itemData&quot;:{&quot;type&quot;:&quot;report&quot;,&quot;id&quot;:&quot;f7ae9350-0e3a-3b06-b6a8-bb3522626137&quot;,&quot;title&quot;:&quot;Former Worker Medical Screening Program Report 2019&quot;,&quot;author&quot;:[{&quot;family&quot;:&quot;United States Department of Energy&quot;,&quot;given&quot;:&quot;&quot;,&quot;parse-names&quot;:false,&quot;dropping-particle&quot;:&quot;&quot;,&quot;non-dropping-particle&quot;:&quot;&quot;}],&quot;accessed&quot;:{&quot;date-parts&quot;:[[2020,12,9]]},&quot;URL&quot;:&quot;energy.gov/sites/prod/files/2020/06/f75/2019-FW-Medical-Screening-Program-Annual-Report.pdf&quot;,&quot;issued&quot;:{&quot;date-parts&quot;:[[2019]]},&quot;number-of-pages&quot;:&quot;1-76&quot;,&quot;container-title-short&quot;:&quot;&quot;},&quot;isTemporary&quot;:false}]},{&quot;citationID&quot;:&quot;MENDELEY_CITATION_4ffc4755-a7df-49f4-9556-53f7d06b68f0&quot;,&quot;properties&quot;:{&quot;noteIndex&quot;:0},&quot;isEdited&quot;:false,&quot;manualOverride&quot;:{&quot;citeprocText&quot;:&quot;[165]&quot;,&quot;isManuallyOverridden&quot;:false,&quot;manualOverrideText&quot;:&quot;&quot;},&quot;citationTag&quot;:&quot;MENDELEY_CITATION_v3_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&quot;,&quot;citationItems&quot;:[{&quot;id&quot;:&quot;8d9bdf78-31f4-3408-a18b-f508069274c9&quot;,&quot;itemData&quot;:{&quot;type&quot;:&quot;book&quot;,&quot;id&quot;:&quot;8d9bdf78-31f4-3408-a18b-f508069274c9&quot;,&quot;title&quot;:&quot;Restrictive Lung Disease&quot;,&quot;author&quot;:[{&quot;family&quot;:&quot;Martinez-Pitre&quot;,&quot;given&quot;:&quot;Pedro J.&quot;,&quot;parse-names&quot;:false,&quot;dropping-particle&quot;:&quot;&quot;,&quot;non-dropping-particle&quot;:&quot;&quot;},{&quot;family&quot;:&quot;Sabbula&quot;,&quot;given&quot;:&quot;Bhanusivakumar R.&quot;,&quot;parse-names&quot;:false,&quot;dropping-particle&quot;:&quot;&quot;,&quot;non-dropping-particle&quot;:&quot;&quot;},{&quot;family&quot;:&quot;Cascella&quot;,&quot;given&quot;:&quot;Marco&quot;,&quot;parse-names&quot;:false,&quot;dropping-particle&quot;:&quot;&quot;,&quot;non-dropping-particle&quot;:&quot;&quot;}],&quot;container-title&quot;:&quot;StatPearls[Internet]&quot;,&quot;accessed&quot;:{&quot;date-parts&quot;:[[2024,3,18]]},&quot;DOI&quot;:&quot;10.1007/978-3-030-58842-7_16&quot;,&quot;ISBN&quot;:&quot;9783030588427&quot;,&quot;PMID&quot;:&quot;32809715&quot;,&quot;URL&quot;:&quot;https://www.ncbi.nlm.nih.gov/books/NBK560880/&quot;,&quot;issued&quot;:{&quot;date-parts&quot;:[[2023,7,25]]},&quot;number-of-pages&quot;:&quot;1-21&quot;,&quot;publisher&quot;:&quot;StatPearls Publishing&quot;,&quot;container-title-short&quot;:&quot;&quot;},&quot;isTemporary&quot;:false}]},{&quot;citationID&quot;:&quot;MENDELEY_CITATION_51adba93-e005-4ea4-b165-6d6acf96a4c0&quot;,&quot;properties&quot;:{&quot;noteIndex&quot;:0},&quot;isEdited&quot;:false,&quot;manualOverride&quot;:{&quot;isManuallyOverridden&quot;:false,&quot;citeprocText&quot;:&quot;[6]&quot;,&quot;manualOverrideText&quot;:&quot;&quot;},&quot;citationTag&quot;:&quot;MENDELEY_CITATION_v3_eyJjaXRhdGlvbklEIjoiTUVOREVMRVlfQ0lUQVRJT05fNTFhZGJhOTMtZTAwNS00ZWE0LWIxNjUtNmQ2YWNmOTZhNGMw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quot;,&quot;citationItems&quot;:[{&quot;id&quot;:&quot;f6bf6552-f6e0-3ff4-a77d-6750f2546b26&quot;,&quot;itemData&quot;:{&quot;type&quot;:&quot;report&quot;,&quot;id&quot;:&quot;f6bf6552-f6e0-3ff4-a77d-6750f2546b26&quot;,&quot;title&quot;:&quot;GOLD Report 2020&quot;,&quot;author&quot;:[{&quot;family&quot;:&quot;Global Initiative for Chronic Obstructive Lung Disease&quot;,&quot;given&quot;:&quot;&quot;,&quot;parse-names&quot;:false,&quot;dropping-particle&quot;:&quot;&quot;,&quot;non-dropping-particle&quot;:&quot;&quot;}],&quot;container-title&quot;:&quot;Global Strategy for the Diagnosis, Management, and Prevention of Chronic Obstructive Pulmonary Disease: 2020 Report&quot;,&quot;URL&quot;:&quot;https://goldcopd.org/wp-content/uploads/2019/12/GOLD-2020-FINAL-ver1.2-03Dec19_WMV.pdf&quot;,&quot;issued&quot;:{&quot;date-parts&quot;:[[2020]]},&quot;number-of-pages&quot;:&quot;141&quot;,&quot;abstract&quot;:&quot;Global Strategy for the Diagnosis, Management, and Prevention of Chronic Obstructive Pulmonary Disease&quot;,&quot;container-title-short&quot;:&quot;&quot;},&quot;isTemporary&quot;:false}]},{&quot;citationID&quot;:&quot;MENDELEY_CITATION_42fcd3ef-0250-4e24-8749-a6b1cbe0a08e&quot;,&quot;properties&quot;:{&quot;noteIndex&quot;:0},&quot;isEdited&quot;:false,&quot;manualOverride&quot;:{&quot;isManuallyOverridden&quot;:false,&quot;citeprocText&quot;:&quot;[6,21]&quot;,&quot;manualOverrideText&quot;:&quot;&quot;},&quot;citationTag&quot;:&quot;MENDELEY_CITATION_v3_eyJjaXRhdGlvbklEIjoiTUVOREVMRVlfQ0lUQVRJT05fNDJmY2QzZWYtMDI1MC00ZTI0LTg3NDktYTZiMWNiZTBhMDhlIiwicHJvcGVydGllcyI6eyJub3RlSW5kZXgiOjB9LCJpc0VkaXRlZCI6ZmFsc2UsIm1hbnVhbE92ZXJyaWRlIjp7ImlzTWFudWFsbHlPdmVycmlkZGVuIjpmYWxzZSwiY2l0ZXByb2NUZXh0IjoiWzYsMjF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&quot;,&quot;citationItems&quot;:[{&quot;id&quot;:&quot;f6bf6552-f6e0-3ff4-a77d-6750f2546b26&quot;,&quot;itemData&quot;:{&quot;type&quot;:&quot;report&quot;,&quot;id&quot;:&quot;f6bf6552-f6e0-3ff4-a77d-6750f2546b26&quot;,&quot;title&quot;:&quot;GOLD Report 2020&quot;,&quot;author&quot;:[{&quot;family&quot;:&quot;Global Initiative for Chronic Obstructive Lung Disease&quot;,&quot;given&quot;:&quot;&quot;,&quot;parse-names&quot;:false,&quot;dropping-particle&quot;:&quot;&quot;,&quot;non-dropping-particle&quot;:&quot;&quot;}],&quot;container-title&quot;:&quot;Global Strategy for the Diagnosis, Management, and Prevention of Chronic Obstructive Pulmonary Disease: 2020 Report&quot;,&quot;URL&quot;:&quot;https://goldcopd.org/wp-content/uploads/2019/12/GOLD-2020-FINAL-ver1.2-03Dec19_WMV.pdf&quot;,&quot;issued&quot;:{&quot;date-parts&quot;:[[2020]]},&quot;number-of-pages&quot;:&quot;141&quot;,&quot;abstract&quot;:&quot;Global Strategy for the Diagnosis, Management, and Prevention of Chronic Obstructive Pulmonary Disease&quot;,&quot;container-title-short&quot;:&quot;&quot;},&quot;isTemporary&quot;:false},{&quot;id&quot;:&quot;bb0e04a4-6cae-352b-9eec-3cdfc40775b2&quot;,&quot;itemData&quot;:{&quot;type&quot;:&quot;article-journal&quot;,&quot;id&quot;:&quot;bb0e04a4-6cae-352b-9eec-3cdfc40775b2&quot;,&quot;title&quot;:&quot;Recommendations for epidemiological studies on COPD&quot;,&quot;author&quot;:[{&quot;family&quot;:&quot;Bakke&quot;,&quot;given&quot;:&quot;P. S.&quot;,&quot;parse-names&quot;:false,&quot;dropping-particle&quot;:&quot;&quot;,&quot;non-dropping-particle&quot;:&quot;&quot;},{&quot;family&quot;:&quot;Rönmark&quot;,&quot;given&quot;:&quot;E.&quot;,&quot;parse-names&quot;:false,&quot;dropping-particle&quot;:&quot;&quot;,&quot;non-dropping-particle&quot;:&quot;&quot;},{&quot;family&quot;:&quot;Eagan&quot;,&quot;given&quot;:&quot;T.&quot;,&quot;parse-names&quot;:false,&quot;dropping-particle&quot;:&quot;&quot;,&quot;non-dropping-particle&quot;:&quot;&quot;},{&quot;family&quot;:&quot;Pistelli&quot;,&quot;given&quot;:&quot;F.&quot;,&quot;parse-names&quot;:false,&quot;dropping-particle&quot;:&quot;&quot;,&quot;non-dropping-particle&quot;:&quot;&quot;},{&quot;family&quot;:&quot;Annesi-Maesano&quot;,&quot;given&quot;:&quot;I.&quot;,&quot;parse-names&quot;:false,&quot;dropping-particle&quot;:&quot;&quot;,&quot;non-dropping-particle&quot;:&quot;&quot;},{&quot;family&quot;:&quot;Maly&quot;,&quot;given&quot;:&quot;M.&quot;,&quot;parse-names&quot;:false,&quot;dropping-particle&quot;:&quot;&quot;,&quot;non-dropping-particle&quot;:&quot;&quot;},{&quot;family&quot;:&quot;Meren&quot;,&quot;given&quot;:&quot;M.&quot;,&quot;parse-names&quot;:false,&quot;dropping-particle&quot;:&quot;&quot;,&quot;non-dropping-particle&quot;:&quot;&quot;},{&quot;family&quot;:&quot;Vermeire&quot;,&quot;given&quot;:&quot;P.&quot;,&quot;parse-names&quot;:false,&quot;dropping-particle&quot;:&quot;&quot;,&quot;non-dropping-particle&quot;:&quot;&quot;},{&quot;family&quot;:&quot;Vestbo&quot;,&quot;given&quot;:&quot;J.&quot;,&quot;parse-names&quot;:false,&quot;dropping-particle&quot;:&quot;&quot;,&quot;non-dropping-particle&quot;:&quot;&quot;},{&quot;family&quot;:&quot;Viegi&quot;,&quot;given&quot;:&quot;G.&quot;,&quot;parse-names&quot;:false,&quot;dropping-particle&quot;:&quot;&quot;,&quot;non-dropping-particle&quot;:&quot;&quot;},{&quot;family&quot;:&quot;Zielinski&quot;,&quot;given&quot;:&quot;J.&quot;,&quot;parse-names&quot;:false,&quot;dropping-particle&quot;:&quot;&quot;,&quot;non-dropping-particle&quot;:&quot;&quot;},{&quot;family&quot;:&quot;Lundbäck&quot;,&quot;given&quot;:&quot;B.&quot;,&quot;parse-names&quot;:false,&quot;dropping-particle&quot;:&quot;&quot;,&quot;non-dropping-particle&quot;:&quot;&quot;}],&quot;container-title&quot;:&quot;European Respiratory Journal&quot;,&quot;DOI&quot;:&quot;10.1183/09031936.00193809&quot;,&quot;ISSN&quot;:&quot;09031936&quot;,&quot;PMID&quot;:&quot;22130763&quot;,&quot;issued&quot;:{&quot;date-parts&quot;:[[2011]]},&quot;page&quot;:&quot;1261-1277&quot;,&quot;abstract&quot;:&quot;The prevalence of chronic obstructive pulmonary disease (COPD) has been extensively studied, especially in Western Europe and North America. Few of these data are directly comparable because of differences between the surveys regarding composition of study populations, diagnostic criteria of the disease and definitions of the risk factors. Few community studies have examined phenotypes of COPD and included other ways of characterising the disease beyond that of spirometry. The objective of the present Task Force report is to present recommendations for the performance of general population studies in COPD in order to facilitate comparable and valid estimates on COPD prevalence by various risk factors. Diagnostic criteria in epidemiological settings, and standardised methods to examine the disease and its potential risk factors are discussed. The paper also offers practical advice for planning and performing an epidemiological study on COPD. The main message of the paper is that thorough planning is worth half the study. It is crucial to stick to standardised methods and good quality control during sampling. We recommend collecting biological markers, depending on the specific objectives of the study. Finally, studies of COPD in the population at large should assess various phenotypes of the disease.&quot;,&quot;issue&quot;:&quot;6&quot;,&quot;volume&quot;:&quot;38&quot;,&quot;container-title-short&quot;:&quot;&quot;},&quot;isTemporary&quot;:false}]},{&quot;citationID&quot;:&quot;MENDELEY_CITATION_6aa6c087-25d2-46c5-a073-8896cb78a73c&quot;,&quot;properties&quot;:{&quot;noteIndex&quot;:0},&quot;isEdited&quot;:false,&quot;manualOverride&quot;:{&quot;isManuallyOverridden&quot;:false,&quot;citeprocText&quot;:&quot;[166]&quot;,&quot;manualOverrideText&quot;:&quot;&quot;},&quot;citationTag&quot;:&quot;MENDELEY_CITATION_v3_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&quot;,&quot;citationItems&quot;:[{&quot;id&quot;:&quot;ec90a4d2-b434-3075-8953-4cc9cb121ae2&quot;,&quot;itemData&quot;:{&quot;type&quot;:&quot;report&quot;,&quot;id&quot;:&quot;ec90a4d2-b434-3075-8953-4cc9cb121ae2&quot;,&quot;title&quot;:&quot;Illness and Injury Surveillance Program: Worker Health Summary, 1995-2004&quot;,&quot;author&quot;:[{&quot;family&quot;:&quot;ORISE OEWH&quot;,&quot;given&quot;:&quot;&quot;,&quot;parse-names&quot;:false,&quot;dropping-particle&quot;:&quot;&quot;,&quot;non-dropping-particle&quot;:&quot;&quot;}],&quot;accessed&quot;:{&quot;date-parts&quot;:[[2024,7,31]]},&quot;URL&quot;:&quot;oriseapps.orau.gov/cedr/pdf/hist-docs/13066.pdf&quot;,&quot;issued&quot;:{&quot;date-parts&quot;:[[2007]]},&quot;container-title-short&quot;:&quot;&quot;},&quot;isTemporary&quot;:false}]},{&quot;citationID&quot;:&quot;MENDELEY_CITATION_40110f40-b983-4af8-a322-4abbfaba326c&quot;,&quot;properties&quot;:{&quot;noteIndex&quot;:0},&quot;isEdited&quot;:false,&quot;manualOverride&quot;:{&quot;citeprocText&quot;:&quot;[167]&quot;,&quot;isManuallyOverridden&quot;:false,&quot;manualOverrideText&quot;:&quot;&quot;},&quot;citationTag&quot;:&quot;MENDELEY_CITATION_v3_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&quot;,&quot;citationItems&quot;:[{&quot;id&quot;:&quot;1bb0ef44-ac72-517d-8693-e65b56b3e742&quot;,&quot;itemData&quot;:{&quot;URL&quot;:&quot;https://aqs.epa.gov/aqsweb/airdata/download_files.html&quot;,&quot;accessed&quot;:{&quot;date-parts&quot;:[[&quot;2021&quot;,&quot;9&quot;,&quot;16&quot;]]},&quot;author&quot;:[{&quot;dropping-particle&quot;:&quot;&quot;,&quot;family&quot;:&quot;United States Enviromental Protection Agency&quot;,&quot;given&quot;:&quot;&quot;,&quot;non-dropping-particle&quot;:&quot;&quot;,&quot;parse-names&quot;:false,&quot;suffix&quot;:&quot;&quot;}],&quot;id&quot;:&quot;1bb0ef44-ac72-517d-8693-e65b56b3e742&quot;,&quot;issued&quot;:{&quot;date-parts&quot;:[[&quot;0&quot;]]},&quot;title&quot;:&quot;AirData | US EPA&quot;,&quot;type&quot;:&quot;webpage&quot;,&quot;container-title-short&quot;:&quot;&quot;},&quot;uris&quot;:[&quot;http://www.mendeley.com/documents/?uuid=346ba5fe-a7d0-3708-b0bd-ee4bb30464f6&quot;],&quot;isTemporary&quot;:false,&quot;legacyDesktopId&quot;:&quot;346ba5fe-a7d0-3708-b0bd-ee4bb30464f6&quot;}]},{&quot;citationID&quot;:&quot;MENDELEY_CITATION_e31e1994-a0aa-4467-adb0-9ca02b0ccbfb&quot;,&quot;properties&quot;:{&quot;noteIndex&quot;:0},&quot;isEdited&quot;:false,&quot;manualOverride&quot;:{&quot;citeprocText&quot;:&quot;[168]&quot;,&quot;isManuallyOverridden&quot;:false,&quot;manualOverrideText&quot;:&quot;&quot;},&quot;citationTag&quot;:&quot;MENDELEY_CITATION_v3_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&quot;,&quot;citationItems&quot;:[{&quot;id&quot;:&quot;4779eaca-d927-5d89-a1a2-598c0cf2c25f&quot;,&quot;itemData&quot;:{&quot;abstract&quot;:&quot;We present a new precision measurement of gas-phase abundances of S, O, N, Si, Fe, P, Al, Ca as well as molecular hydrogen (H 2) in the Leading Arm (region II, LA II) of the Magellanic Stream (MS) towards the Seyfert galaxy NGC 3783. The results are based on high-quality archival ultravio-let/optical/radio data from various different instruments (HST/STIS, FUSE, AAT, GBT, GB140 ft, ATCA). Our study updates previous results from lower-resolution data and provides for the first time a self-consistent component model of the complex multi-phase absorber, delivering important constraints on the nature and origin of LA II. We derive a uniform, moderate α abundance in the two main absorber groups at +245 and +190 km s −1 of α/H = 0.30 ± 0.05 solar, a low nitrogen abundance of N/H = 0.05 ± 0.01 solar, and a high dust content with substantial dust depletion values for Si, Fe, Al, and Ca. These α, N, and dust abundances in LA II are similar to those observed in the Small Magellanic Cloud (SMC). From the analysis of the H 2 absorption, we determine a high thermal pressure of P/k ≈ 1680 K cm −3 in LA II, in line with the idea that LA II is located in the inner Milky Way halo at a z-height of &lt; 20 kpc where it hydrodynamically interacts with the ambient hot coronal gas. Our study supports a scenario, in which LA II stems from the break-up of a metal-and dust-enriched progenitor cloud that was recently (200 − 500 Myr ago) stripped from the SMC.&quot;,&quot;author&quot;:[{&quot;dropping-particle&quot;:&quot;&quot;,&quot;family&quot;:&quot;United States Environmental Protection Agency&quot;,&quot;given&quot;:&quot;&quot;,&quot;non-dropping-particle&quot;:&quot;&quot;,&quot;parse-names&quot;:false,&quot;suffix&quot;:&quot;&quot;}],&quot;container-title&quot;:&quot;Environmental Protection&quot;,&quot;id&quot;:&quot;4779eaca-d927-5d89-a1a2-598c0cf2c25f&quot;,&quot;issued&quot;:{&quot;date-parts&quot;:[[&quot;2018&quot;]]},&quot;page&quot;:&quot;22&quot;,&quot;title&quot;:&quot;Technical Assistance Document for the Reporting of Daily Air Quality – the Air Quality Index (AQI)&quot;,&quot;type&quot;:&quot;article-journal&quot;,&quot;container-title-short&quot;:&quot;&quot;},&quot;uris&quot;:[&quot;http://www.mendeley.com/documents/?uuid=cf585f66-7df6-45e5-991b-44a1787f5c78&quot;],&quot;isTemporary&quot;:false,&quot;legacyDesktopId&quot;:&quot;cf585f66-7df6-45e5-991b-44a1787f5c78&quot;}]},{&quot;citationID&quot;:&quot;MENDELEY_CITATION_b73f8752-d0f4-4cc5-86d3-634f7d13d2b1&quot;,&quot;properties&quot;:{&quot;noteIndex&quot;:0},&quot;isEdited&quot;:false,&quot;manualOverride&quot;:{&quot;citeprocText&quot;:&quot;[169]&quot;,&quot;isManuallyOverridden&quot;:false,&quot;manualOverrideText&quot;:&quot;&quot;},&quot;citationTag&quot;:&quot;MENDELEY_CITATION_v3_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&quot;,&quot;citationItems&quot;:[{&quot;id&quot;:&quot;b12abf03-10d5-5dda-884c-eb3c5a3e606f&quot;,&quot;itemData&quot;:{&quot;URL&quot;:&quot;https://udsmapper.org/zip-code-to-zcta-crosswalk/&quot;,&quot;accessed&quot;:{&quot;date-parts&quot;:[[&quot;2021&quot;,&quot;9&quot;,&quot;17&quot;]]},&quot;author&quot;:[{&quot;dropping-particle&quot;:&quot;&quot;,&quot;family&quot;:&quot;UDS Mapper&quot;,&quot;given&quot;:&quot;&quot;,&quot;non-dropping-particle&quot;:&quot;&quot;,&quot;parse-names&quot;:false,&quot;suffix&quot;:&quot;&quot;}],&quot;id&quot;:&quot;b12abf03-10d5-5dda-884c-eb3c5a3e606f&quot;,&quot;issued&quot;:{&quot;date-parts&quot;:[[&quot;0&quot;]]},&quot;title&quot;:&quot;ZIP Code to ZCTA Crosswalk – UDS Mapper&quot;,&quot;type&quot;:&quot;webpage&quot;,&quot;container-title-short&quot;:&quot;&quot;},&quot;uris&quot;:[&quot;http://www.mendeley.com/documents/?uuid=b70006e9-5faf-334d-bcd6-1eeb1b65b60d&quot;],&quot;isTemporary&quot;:false,&quot;legacyDesktopId&quot;:&quot;b70006e9-5faf-334d-bcd6-1eeb1b65b60d&quot;}]},{&quot;citationID&quot;:&quot;MENDELEY_CITATION_a6d6bcca-b429-4e0a-99dc-cd0ca0de3a53&quot;,&quot;properties&quot;:{&quot;noteIndex&quot;:0},&quot;isEdited&quot;:false,&quot;manualOverride&quot;:{&quot;citeprocText&quot;:&quot;[170]&quot;,&quot;isManuallyOverridden&quot;:false,&quot;manualOverrideText&quot;:&quot;&quot;},&quot;citationTag&quot;:&quot;MENDELEY_CITATION_v3_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&quot;,&quot;citationItems&quot;:[{&quot;id&quot;:&quot;07466cdc-6943-5a41-bea5-33f3100a3154&quot;,&quot;itemData&quot;:{&quot;URL&quot;:&quot;https://www.census.gov/cgi-bin/geo/shapefiles/index.php?year=2020&amp;layergroup=ZIP+Code+Tabulation+Areas&quot;,&quot;accessed&quot;:{&quot;date-parts&quot;:[[&quot;2021&quot;,&quot;9&quot;,&quot;17&quot;]]},&quot;author&quot;:[{&quot;dropping-particle&quot;:&quot;&quot;,&quot;family&quot;:&quot;United States Census Bureau&quot;,&quot;given&quot;:&quot;&quot;,&quot;non-dropping-particle&quot;:&quot;&quot;,&quot;parse-names&quot;:false,&quot;suffix&quot;:&quot;&quot;}],&quot;id&quot;:&quot;07466cdc-6943-5a41-bea5-33f3100a3154&quot;,&quot;issued&quot;:{&quot;date-parts&quot;:[[&quot;0&quot;]]},&quot;title&quot;:&quot;2020 TIGER/Line® Shapefiles&quot;,&quot;type&quot;:&quot;webpage&quot;,&quot;container-title-short&quot;:&quot;&quot;},&quot;uris&quot;:[&quot;http://www.mendeley.com/documents/?uuid=0aa645ec-9291-3c83-baf4-8f59ae41eed8&quot;],&quot;isTemporary&quot;:false,&quot;legacyDesktopId&quot;:&quot;0aa645ec-9291-3c83-baf4-8f59ae41eed8&quot;}]},{&quot;citationID&quot;:&quot;MENDELEY_CITATION_3c37e4d8-4d27-4aa5-a984-8d1968d58a0a&quot;,&quot;properties&quot;:{&quot;noteIndex&quot;:0},&quot;isEdited&quot;:false,&quot;manualOverride&quot;:{&quot;citeprocText&quot;:&quot;[171]&quot;,&quot;isManuallyOverridden&quot;:false,&quot;manualOverrideText&quot;:&quot;&quot;},&quot;citationTag&quot;:&quot;MENDELEY_CITATION_v3_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&quot;,&quot;citationItems&quot;:[{&quot;id&quot;:&quot;37325d29-c764-505d-ae94-2d2ae555819f&quot;,&quot;itemData&quot;:{&quot;author&quot;:[{&quot;dropping-particle&quot;:&quot;&quot;,&quot;family&quot;:&quot;SAS Institute&quot;,&quot;given&quot;:&quot;&quot;,&quot;non-dropping-particle&quot;:&quot;&quot;,&quot;parse-names&quot;:false,&quot;suffix&quot;:&quot;&quot;}],&quot;id&quot;:&quot;37325d29-c764-505d-ae94-2d2ae555819f&quot;,&quot;issued&quot;:{&quot;date-parts&quot;:[[&quot;2016&quot;]]},&quot;publisher&quot;:&quot;SAS Institute&quot;,&quot;publisher-place&quot;:&quot;Cary, NC, USA&quot;,&quot;title&quot;:&quot;SAS Version 9.4&quot;,&quot;type&quot;:&quot;article&quot;,&quot;container-title-short&quot;:&quot;&quot;},&quot;uris&quot;:[&quot;http://www.mendeley.com/documents/?uuid=f7301522-de3f-4a92-b8e9-094b8a2bb23b&quot;],&quot;isTemporary&quot;:false,&quot;legacyDesktopId&quot;:&quot;f7301522-de3f-4a92-b8e9-094b8a2bb23b&quot;}]},{&quot;citationID&quot;:&quot;MENDELEY_CITATION_9614ad84-5980-4a03-abb8-09c73cf3bb31&quot;,&quot;properties&quot;:{&quot;noteIndex&quot;:0},&quot;isEdited&quot;:false,&quot;manualOverride&quot;:{&quot;citeprocText&quot;:&quot;[172]&quot;,&quot;isManuallyOverridden&quot;:false,&quot;manualOverrideText&quot;:&quot;&quot;},&quot;citationTag&quot;:&quot;MENDELEY_CITATION_v3_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&quot;,&quot;citationItems&quot;:[{&quot;id&quot;:&quot;23cc65e1-e76a-54be-b3db-85c8dec4357e&quot;,&quot;itemData&quot;:{&quot;author&quot;:[{&quot;dropping-particle&quot;:&quot;&quot;,&quot;family&quot;:&quot;R Core Team&quot;,&quot;given&quot;:&quot;&quot;,&quot;non-dropping-particle&quot;:&quot;&quot;,&quot;parse-names&quot;:false,&quot;suffix&quot;:&quot;&quot;}],&quot;id&quot;:&quot;23cc65e1-e76a-54be-b3db-85c8dec4357e&quot;,&quot;issued&quot;:{&quot;date-parts&quot;:[[&quot;2020&quot;]]},&quot;number&quot;:&quot;4.0.3&quot;,&quot;publisher-place&quot;:&quot;Vienna, Austria&quot;,&quot;title&quot;:&quot;R: A Language and Environment for Statistical Computing&quot;,&quot;type&quot;:&quot;article&quot;,&quot;container-title-short&quot;:&quot;&quot;},&quot;uris&quot;:[&quot;http://www.mendeley.com/documents/?uuid=748b2256-915f-48a1-bf6d-235b70369879&quot;],&quot;isTemporary&quot;:false,&quot;legacyDesktopId&quot;:&quot;748b2256-915f-48a1-bf6d-235b70369879&quot;}]},{&quot;citationID&quot;:&quot;MENDELEY_CITATION_00f0bd78-c0e0-4307-ae0a-4c625fb494f2&quot;,&quot;properties&quot;:{&quot;noteIndex&quot;:0},&quot;isEdited&quot;:false,&quot;manualOverride&quot;:{&quot;isManuallyOverridden&quot;:false,&quot;citeprocText&quot;:&quot;[132]&quot;,&quot;manualOverrideText&quot;:&quot;&quot;},&quot;citationTag&quot;:&quot;MENDELEY_CITATION_v3_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&quot;,&quot;citationItems&quot;:[{&quot;id&quot;:&quot;31af522d-5e00-3e3f-a9f9-b9bdfb73a29a&quot;,&quot;itemData&quot;:{&quot;type&quot;:&quot;article&quot;,&quot;id&quot;:&quot;31af522d-5e00-3e3f-a9f9-b9bdfb73a29a&quot;,&quot;title&quot;:&quot;RStudio: Integrated Development Environment for R&quot;,&quot;author&quot;:[{&quot;family&quot;:&quot;RStudio Team&quot;,&quot;given&quot;:&quot;&quot;,&quot;parse-names&quot;:false,&quot;dropping-particle&quot;:&quot;&quot;,&quot;non-dropping-particle&quot;:&quot;&quot;}],&quot;number&quot;:&quot;2021.09.2&quot;,&quot;issued&quot;:{&quot;date-parts&quot;:[[2020]]},&quot;publisher-place&quot;:&quot;Boston, MA, USA&quot;,&quot;publisher&quot;:&quot;RStudio, Inc.&quot;,&quot;container-title-short&quot;:&quot;&quot;},&quot;isTemporary&quot;:false}]},{&quot;citationID&quot;:&quot;MENDELEY_CITATION_e368a927-b346-4a0f-a724-d3eb2716af0f&quot;,&quot;properties&quot;:{&quot;noteIndex&quot;:0},&quot;isEdited&quot;:false,&quot;manualOverride&quot;:{&quot;isManuallyOverridden&quot;:false,&quot;citeprocText&quot;:&quot;[173]&quot;,&quot;manualOverrideText&quot;:&quot;&quot;},&quot;citationTag&quot;:&quot;MENDELEY_CITATION_v3_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&quot;,&quot;citationItems&quot;:[{&quot;id&quot;:&quot;b81084c0-7771-36a7-bf4f-9f65e2291443&quot;,&quot;itemData&quot;:{&quot;type&quot;:&quot;article-journal&quot;,&quot;id&quot;:&quot;b81084c0-7771-36a7-bf4f-9f65e2291443&quot;,&quot;title&quot;:&quot;mice : Multivariate Imputation by Chained Equations in R&quot;,&quot;author&quot;:[{&quot;family&quot;:&quot;Buuren&quot;,&quot;given&quot;:&quot;Stef&quot;,&quot;parse-names&quot;:false,&quot;dropping-particle&quot;:&quot;van&quot;,&quot;non-dropping-particle&quot;:&quot;&quot;},{&quot;family&quot;:&quot;Groothuis-Oudshoorn&quot;,&quot;given&quot;:&quot;Karin&quot;,&quot;parse-names&quot;:false,&quot;dropping-particle&quot;:&quot;&quot;,&quot;non-dropping-particle&quot;:&quot;&quot;}],&quot;container-title&quot;:&quot;Journal of Statistical Software&quot;,&quot;container-title-short&quot;:&quot;J Stat Softw&quot;,&quot;DOI&quot;:&quot;10.18637/jss.v045.i03&quot;,&quot;ISSN&quot;:&quot;1548-7660&quot;,&quot;issued&quot;:{&quot;date-parts&quot;:[[2011]]},&quot;page&quot;:&quot;1-67&quot;,&quot;issue&quot;:&quot;3&quot;,&quot;volume&quot;:&quot;45&quot;},&quot;isTemporary&quot;:false}]},{&quot;citationID&quot;:&quot;MENDELEY_CITATION_fcd84531-bf27-4675-85c8-47ad92f6b888&quot;,&quot;properties&quot;:{&quot;noteIndex&quot;:0},&quot;isEdited&quot;:false,&quot;manualOverride&quot;:{&quot;isManuallyOverridden&quot;:false,&quot;citeprocText&quot;:&quot;[132]&quot;,&quot;manualOverrideText&quot;:&quot;&quot;},&quot;citationTag&quot;:&quot;MENDELEY_CITATION_v3_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&quot;,&quot;citationItems&quot;:[{&quot;id&quot;:&quot;31af522d-5e00-3e3f-a9f9-b9bdfb73a29a&quot;,&quot;itemData&quot;:{&quot;type&quot;:&quot;article&quot;,&quot;id&quot;:&quot;31af522d-5e00-3e3f-a9f9-b9bdfb73a29a&quot;,&quot;title&quot;:&quot;RStudio: Integrated Development Environment for R&quot;,&quot;author&quot;:[{&quot;family&quot;:&quot;RStudio Team&quot;,&quot;given&quot;:&quot;&quot;,&quot;parse-names&quot;:false,&quot;dropping-particle&quot;:&quot;&quot;,&quot;non-dropping-particle&quot;:&quot;&quot;}],&quot;number&quot;:&quot;2021.09.2&quot;,&quot;issued&quot;:{&quot;date-parts&quot;:[[2020]]},&quot;publisher-place&quot;:&quot;Boston, MA, USA&quot;,&quot;publisher&quot;:&quot;RStudio, Inc.&quot;,&quot;container-title-short&quot;:&quot;&quot;},&quot;isTemporary&quot;:false}]},{&quot;citationID&quot;:&quot;MENDELEY_CITATION_f30b0daf-9d58-4763-add2-18135b7ba203&quot;,&quot;properties&quot;:{&quot;noteIndex&quot;:0},&quot;isEdited&quot;:false,&quot;manualOverride&quot;:{&quot;citeprocText&quot;:&quot;[172]&quot;,&quot;isManuallyOverridden&quot;:false,&quot;manualOverrideText&quot;:&quot;&quot;},&quot;citationTag&quot;:&quot;MENDELEY_CITATION_v3_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&quot;,&quot;citationItems&quot;:[{&quot;id&quot;:&quot;23cc65e1-e76a-54be-b3db-85c8dec4357e&quot;,&quot;itemData&quot;:{&quot;author&quot;:[{&quot;dropping-particle&quot;:&quot;&quot;,&quot;family&quot;:&quot;R Core Team&quot;,&quot;given&quot;:&quot;&quot;,&quot;non-dropping-particle&quot;:&quot;&quot;,&quot;parse-names&quot;:false,&quot;suffix&quot;:&quot;&quot;}],&quot;id&quot;:&quot;23cc65e1-e76a-54be-b3db-85c8dec4357e&quot;,&quot;issued&quot;:{&quot;date-parts&quot;:[[&quot;2020&quot;]]},&quot;number&quot;:&quot;4.0.3&quot;,&quot;publisher-place&quot;:&quot;Vienna, Austria&quot;,&quot;title&quot;:&quot;R: A Language and Environment for Statistical Computing&quot;,&quot;type&quot;:&quot;article&quot;,&quot;container-title-short&quot;:&quot;&quot;},&quot;uris&quot;:[&quot;http://www.mendeley.com/documents/?uuid=748b2256-915f-48a1-bf6d-235b70369879&quot;],&quot;isTemporary&quot;:false,&quot;legacyDesktopId&quot;:&quot;748b2256-915f-48a1-bf6d-235b70369879&quot;}]},{&quot;citationID&quot;:&quot;MENDELEY_CITATION_f8b6ed59-9e0f-4492-9c61-1a13718f148e&quot;,&quot;properties&quot;:{&quot;noteIndex&quot;:0},&quot;isEdited&quot;:false,&quot;manualOverride&quot;:{&quot;isManuallyOverridden&quot;:false,&quot;citeprocText&quot;:&quot;[173]&quot;,&quot;manualOverrideText&quot;:&quot;&quot;},&quot;citationTag&quot;:&quot;MENDELEY_CITATION_v3_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&quot;,&quot;citationItems&quot;:[{&quot;id&quot;:&quot;b81084c0-7771-36a7-bf4f-9f65e2291443&quot;,&quot;itemData&quot;:{&quot;type&quot;:&quot;article-journal&quot;,&quot;id&quot;:&quot;b81084c0-7771-36a7-bf4f-9f65e2291443&quot;,&quot;title&quot;:&quot;mice : Multivariate Imputation by Chained Equations in R&quot;,&quot;author&quot;:[{&quot;family&quot;:&quot;Buuren&quot;,&quot;given&quot;:&quot;Stef&quot;,&quot;parse-names&quot;:false,&quot;dropping-particle&quot;:&quot;van&quot;,&quot;non-dropping-particle&quot;:&quot;&quot;},{&quot;family&quot;:&quot;Groothuis-Oudshoorn&quot;,&quot;given&quot;:&quot;Karin&quot;,&quot;parse-names&quot;:false,&quot;dropping-particle&quot;:&quot;&quot;,&quot;non-dropping-particle&quot;:&quot;&quot;}],&quot;container-title&quot;:&quot;Journal of Statistical Software&quot;,&quot;container-title-short&quot;:&quot;J Stat Softw&quot;,&quot;DOI&quot;:&quot;10.18637/jss.v045.i03&quot;,&quot;ISSN&quot;:&quot;1548-7660&quot;,&quot;issued&quot;:{&quot;date-parts&quot;:[[2011]]},&quot;page&quot;:&quot;1-67&quot;,&quot;issue&quot;:&quot;3&quot;,&quot;volume&quot;:&quot;45&quot;},&quot;isTemporary&quot;:false}]},{&quot;citationID&quot;:&quot;MENDELEY_CITATION_0f4b7e73-ed34-436b-935b-55c53e1adfd3&quot;,&quot;properties&quot;:{&quot;noteIndex&quot;:0},&quot;isEdited&quot;:false,&quot;manualOverride&quot;:{&quot;citeprocText&quot;:&quot;[174]&quot;,&quot;isManuallyOverridden&quot;:false,&quot;manualOverrideText&quot;:&quot;&quot;},&quot;citationTag&quot;:&quot;MENDELEY_CITATION_v3_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&quot;,&quot;citationItems&quot;:[{&quot;id&quot;:&quot;be49b44b-3e14-52b2-95ec-43ef5f6b3e66&quot;,&quot;itemData&quot;:{&quot;DOI&quot;:&quot;10.1136/bmj.b2393&quot;,&quot;ISSN&quot;:&quot;17561833&quot;,&quot;PMID&quot;:&quot;19564179&quot;,&quot;abstract&quot;:&quot;We are enthusiastic about the potential for multiple imputation and other methods 14 to improve the validity of medical research results and to reduce the waste of resources caused by missing data. The cost of multiple imputation analyses is small compared with the cost of collecting the data. It would be a pity if the avoidable pitfalls of multiple imputation slowed progress towards the wider use of these methods. It is no longer excusable for missing values and the reason they arose to be swept under the carpet, nor for potentially misleading and inefficient analyses of complete cases to be considered adequate. We hope that the pitfalls and guidelines discussed here will contribute to the appropriate use and reporting of methods to deal with missing data.&quot;,&quot;author&quot;:[{&quot;dropping-particle&quot;:&quot;&quot;,&quot;family&quot;:&quot;Sterne&quot;,&quot;given&quot;:&quot;Jonathan A.C.&quot;,&quot;non-dropping-particle&quot;:&quot;&quot;,&quot;parse-names&quot;:false,&quot;suffix&quot;:&quot;&quot;},{&quot;dropping-particle&quot;:&quot;&quot;,&quot;family&quot;:&quot;White&quot;,&quot;given&quot;:&quot;Ian R.&quot;,&quot;non-dropping-particle&quot;:&quot;&quot;,&quot;parse-names&quot;:false,&quot;suffix&quot;:&quot;&quot;},{&quot;dropping-particle&quot;:&quot;&quot;,&quot;family&quot;:&quot;Carlin&quot;,&quot;given&quot;:&quot;John B.&quot;,&quot;non-dropping-particle&quot;:&quot;&quot;,&quot;parse-names&quot;:false,&quot;suffix&quot;:&quot;&quot;},{&quot;dropping-particle&quot;:&quot;&quot;,&quot;family&quot;:&quot;Spratt&quot;,&quot;given&quot;:&quot;Michael&quot;,&quot;non-dropping-particle&quot;:&quot;&quot;,&quot;parse-names&quot;:false,&quot;suffix&quot;:&quot;&quot;},{&quot;dropping-particle&quot;:&quot;&quot;,&quot;family&quot;:&quot;Royston&quot;,&quot;given&quot;:&quot;Patrick&quot;,&quot;non-dropping-particle&quot;:&quot;&quot;,&quot;parse-names&quot;:false,&quot;suffix&quot;:&quot;&quot;},{&quot;dropping-particle&quot;:&quot;&quot;,&quot;family&quot;:&quot;Kenward&quot;,&quot;given&quot;:&quot;Michael G.&quot;,&quot;non-dropping-particle&quot;:&quot;&quot;,&quot;parse-names&quot;:false,&quot;suffix&quot;:&quot;&quot;},{&quot;dropping-particle&quot;:&quot;&quot;,&quot;family&quot;:&quot;Wood&quot;,&quot;given&quot;:&quot;Angela M.&quot;,&quot;non-dropping-particle&quot;:&quot;&quot;,&quot;parse-names&quot;:false,&quot;suffix&quot;:&quot;&quot;},{&quot;dropping-particle&quot;:&quot;&quot;,&quot;family&quot;:&quot;Carpenter&quot;,&quot;given&quot;:&quot;James R.&quot;,&quot;non-dropping-particle&quot;:&quot;&quot;,&quot;parse-names&quot;:false,&quot;suffix&quot;:&quot;&quot;}],&quot;container-title&quot;:&quot;BMJ (Online)&quot;,&quot;id&quot;:&quot;be49b44b-3e14-52b2-95ec-43ef5f6b3e66&quot;,&quot;issue&quot;:&quot;7713&quot;,&quot;issued&quot;:{&quot;date-parts&quot;:[[&quot;2009&quot;]]},&quot;page&quot;:&quot;157-160&quot;,&quot;title&quot;:&quot;Multiple imputation for missing data in epidemiological and clinical research: Potential and pitfalls&quot;,&quot;type&quot;:&quot;article-journal&quot;,&quot;volume&quot;:&quot;339&quot;,&quot;container-title-short&quot;:&quot;&quot;},&quot;uris&quot;:[&quot;http://www.mendeley.com/documents/?uuid=41df7e01-e6ce-4d2e-baca-bfc71c8b44a7&quot;,&quot;http://www.mendeley.com/documents/?uuid=0661d916-9a7d-40b1-8b16-5ebae0afc03f&quot;],&quot;isTemporary&quot;:false,&quot;legacyDesktopId&quot;:&quot;41df7e01-e6ce-4d2e-baca-bfc71c8b44a7&quot;}]},{&quot;citationID&quot;:&quot;MENDELEY_CITATION_77f65a48-f13f-4c35-b3b4-055a6487f722&quot;,&quot;properties&quot;:{&quot;noteIndex&quot;:0},&quot;isEdited&quot;:false,&quot;manualOverride&quot;:{&quot;isManuallyOverridden&quot;:false,&quot;citeprocText&quot;:&quot;[175]&quot;,&quot;manualOverrideText&quot;:&quot;&quot;},&quot;citationTag&quot;:&quot;MENDELEY_CITATION_v3_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&quot;,&quot;citationItems&quot;:[{&quot;id&quot;:&quot;6dddde5d-a6a3-367e-9cc1-71e1ade2e18e&quot;,&quot;itemData&quot;:{&quot;type&quot;:&quot;article-journal&quot;,&quot;id&quot;:&quot;6dddde5d-a6a3-367e-9cc1-71e1ade2e18e&quot;,&quot;title&quot;:&quot;How many imputations are really needed? Some practical clarifications of multiple imputation theory&quot;,&quot;author&quot;:[{&quot;family&quot;:&quot;Graham&quot;,&quot;given&quot;:&quot;John W.&quot;,&quot;parse-names&quot;:false,&quot;dropping-particle&quot;:&quot;&quot;,&quot;non-dropping-particle&quot;:&quot;&quot;},{&quot;family&quot;:&quot;Olchowski&quot;,&quot;given&quot;:&quot;Allison E.&quot;,&quot;parse-names&quot;:false,&quot;dropping-particle&quot;:&quot;&quot;,&quot;non-dropping-particle&quot;:&quot;&quot;},{&quot;family&quot;:&quot;Gilreath&quot;,&quot;given&quot;:&quot;Tamika D.&quot;,&quot;parse-names&quot;:false,&quot;dropping-particle&quot;:&quot;&quot;,&quot;non-dropping-particle&quot;:&quot;&quot;}],&quot;container-title&quot;:&quot;Prevention Science&quot;,&quot;DOI&quot;:&quot;10.1007/s11121-007-0070-9&quot;,&quot;ISSN&quot;:&quot;13894986&quot;,&quot;PMID&quot;:&quot;17549635&quot;,&quot;issued&quot;:{&quot;date-parts&quot;:[[2007,9]]},&quot;page&quot;:&quot;206-213&quot;,&quot;abstract&quot;:&quot;Multiple imputation (MI) and full information maximum likelihood (FIML) are the two most common approaches to missing data analysis. In theory, MI and FIML are equivalent when identical models are tested using the same variables, and when m, the number of imputations performed with MI, approaches infinity. However, it is important to know how many imputations are necessary before MI and FIML are sufficiently equivalent in ways that are important to prevention scientists. MI theory suggests that small values of m, even on the order of three to five imputations, yield excellent results. Previous guidelines for sufficient m are based on relative efficiency, which involves the fraction of missing information (γ) for the parameter being estimated, and m. In the present study, we used a Monte Carlo simulation to test MI models across several scenarios in which γ and m were varied. Standard errors and p-values for the regression coefficient of interest varied as a function of m, but not at the same rate as relative efficiency. Most importantly, statistical power for small effect sizes diminished as m became smaller, and the rate of this power falloff was much greater than predicted by changes in relative efficiency. Based our findings, we recommend that researchers using MI should perform many more imputations than previously considered sufficient. These recommendations are based on γ, and take into consideration one's tolerance for a preventable power falloff (compared to FIML) due to using too few imputations. © 2007 Society of Prevention Research.&quot;,&quot;issue&quot;:&quot;3&quot;,&quot;volume&quot;:&quot;8&quot;,&quot;container-title-short&quot;:&quot;&quot;},&quot;isTemporary&quot;:false}]},{&quot;citationID&quot;:&quot;MENDELEY_CITATION_34bcda3c-4b03-4884-ac7f-8c2c708a6851&quot;,&quot;properties&quot;:{&quot;noteIndex&quot;:0},&quot;isEdited&quot;:false,&quot;manualOverride&quot;:{&quot;isManuallyOverridden&quot;:false,&quot;citeprocText&quot;:&quot;[176]&quot;,&quot;manualOverrideText&quot;:&quot;&quot;},&quot;citationTag&quot;:&quot;MENDELEY_CITATION_v3_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&quot;,&quot;citationItems&quot;:[{&quot;id&quot;:&quot;65100776-214c-3566-b3ad-fe29d3a8b6c0&quot;,&quot;itemData&quot;:{&quot;type&quot;:&quot;article-journal&quot;,&quot;id&quot;:&quot;65100776-214c-3566-b3ad-fe29d3a8b6c0&quot;,&quot;title&quot;:&quot;Multiple Imputation for Nonresponse in Surveys&quot;,&quot;author&quot;:[{&quot;family&quot;:&quot;Rubin&quot;,&quot;given&quot;:&quot;Donald B.&quot;,&quot;parse-names&quot;:false,&quot;dropping-particle&quot;:&quot;&quot;,&quot;non-dropping-particle&quot;:&quot;&quot;}],&quot;collection-title&quot;:&quot;Wiley Series in Probability and Statistics&quot;,&quot;accessed&quot;:{&quot;date-parts&quot;:[[2024,7,3]]},&quot;DOI&quot;:&quot;10.1002/9780470316696&quot;,&quot;ISBN&quot;:&quot;9780471087052&quot;,&quot;URL&quot;:&quot;https://onlinelibrary.wiley.com/doi/book/10.1002/9780470316696&quot;,&quot;issued&quot;:{&quot;date-parts&quot;:[[1987,6,9]]},&quot;publisher&quot;:&quot;Wiley&quot;,&quot;container-title-short&quot;:&quot;&quot;},&quot;isTemporary&quot;:false}]},{&quot;citationID&quot;:&quot;MENDELEY_CITATION_c64d8389-aba1-43f3-ad03-1d469bdc8f63&quot;,&quot;properties&quot;:{&quot;noteIndex&quot;:0},&quot;isEdited&quot;:false,&quot;manualOverride&quot;:{&quot;citeprocText&quot;:&quot;[132]&quot;,&quot;isManuallyOverridden&quot;:false,&quot;manualOverrideText&quot;:&quot;&quot;},&quot;citationTag&quot;:&quot;MENDELEY_CITATION_v3_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&quot;,&quot;citationItems&quot;:[{&quot;id&quot;:&quot;31af522d-5e00-3e3f-a9f9-b9bdfb73a29a&quot;,&quot;itemData&quot;:{&quot;type&quot;:&quot;article&quot;,&quot;id&quot;:&quot;31af522d-5e00-3e3f-a9f9-b9bdfb73a29a&quot;,&quot;title&quot;:&quot;RStudio: Integrated Development Environment for R&quot;,&quot;author&quot;:[{&quot;family&quot;:&quot;RStudio Team&quot;,&quot;given&quot;:&quot;&quot;,&quot;parse-names&quot;:false,&quot;dropping-particle&quot;:&quot;&quot;,&quot;non-dropping-particle&quot;:&quot;&quot;}],&quot;number&quot;:&quot;2021.09.2&quot;,&quot;issued&quot;:{&quot;date-parts&quot;:[[2020]]},&quot;publisher-place&quot;:&quot;Boston, MA, USA&quot;,&quot;publisher&quot;:&quot;RStudio, Inc.&quot;,&quot;container-title-short&quot;:&quot;&quot;},&quot;isTemporary&quot;:false}]},{&quot;citationID&quot;:&quot;MENDELEY_CITATION_9f8463b0-20d4-4421-93d7-d8a48dcb4f18&quot;,&quot;properties&quot;:{&quot;noteIndex&quot;:0},&quot;isEdited&quot;:false,&quot;manualOverride&quot;:{&quot;citeprocText&quot;:&quot;[172]&quot;,&quot;isManuallyOverridden&quot;:false,&quot;manualOverrideText&quot;:&quot;&quot;},&quot;citationTag&quot;:&quot;MENDELEY_CITATION_v3_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&quot;,&quot;citationItems&quot;:[{&quot;id&quot;:&quot;23cc65e1-e76a-54be-b3db-85c8dec4357e&quot;,&quot;itemData&quot;:{&quot;author&quot;:[{&quot;dropping-particle&quot;:&quot;&quot;,&quot;family&quot;:&quot;R Core Team&quot;,&quot;given&quot;:&quot;&quot;,&quot;non-dropping-particle&quot;:&quot;&quot;,&quot;parse-names&quot;:false,&quot;suffix&quot;:&quot;&quot;}],&quot;id&quot;:&quot;23cc65e1-e76a-54be-b3db-85c8dec4357e&quot;,&quot;issued&quot;:{&quot;date-parts&quot;:[[&quot;2020&quot;]]},&quot;number&quot;:&quot;4.0.3&quot;,&quot;publisher-place&quot;:&quot;Vienna, Austria&quot;,&quot;title&quot;:&quot;R: A Language and Environment for Statistical Computing&quot;,&quot;type&quot;:&quot;article&quot;,&quot;container-title-short&quot;:&quot;&quot;},&quot;uris&quot;:[&quot;http://www.mendeley.com/documents/?uuid=748b2256-915f-48a1-bf6d-235b70369879&quot;],&quot;isTemporary&quot;:false,&quot;legacyDesktopId&quot;:&quot;748b2256-915f-48a1-bf6d-235b70369879&quot;}]},{&quot;citationID&quot;:&quot;MENDELEY_CITATION_6b0f90b9-ae2d-4cb0-a4f4-064535432968&quot;,&quot;properties&quot;:{&quot;noteIndex&quot;:0},&quot;isEdited&quot;:false,&quot;manualOverride&quot;:{&quot;isManuallyOverridden&quot;:false,&quot;citeprocText&quot;:&quot;[134]&quot;,&quot;manualOverrideText&quot;:&quot;&quot;},&quot;citationTag&quot;:&quot;MENDELEY_CITATION_v3_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&quot;,&quot;citationItems&quot;:[{&quot;id&quot;:&quot;36563a6b-929c-3d2d-acdc-befd07c3d8fd&quot;,&quot;itemData&quot;:{&quot;type&quot;:&quot;book&quot;,&quot;id&quot;:&quot;36563a6b-929c-3d2d-acdc-befd07c3d8fd&quot;,&quot;title&quot;:&quot;Methods in Epidemiologic Research&quot;,&quot;author&quot;:[{&quot;family&quot;:&quot;Dohoo&quot;,&quot;given&quot;:&quot;Ian&quot;,&quot;parse-names&quot;:false,&quot;dropping-particle&quot;:&quot;&quot;,&quot;non-dropping-particle&quot;:&quot;&quot;},{&quot;family&quot;:&quot;Martin&quot;,&quot;given&quot;:&quot;Wayne&quot;,&quot;parse-names&quot;:false,&quot;dropping-particle&quot;:&quot;&quot;,&quot;non-dropping-particle&quot;:&quot;&quot;},{&quot;family&quot;:&quot;Stryhn&quot;,&quot;given&quot;:&quot;Henrik&quot;,&quot;parse-names&quot;:false,&quot;dropping-particle&quot;:&quot;&quot;,&quot;non-dropping-particle&quot;:&quot;&quot;}],&quot;editor&quot;:[{&quot;family&quot;:&quot;McPike&quot;,&quot;given&quot;:&quot;S Margaret&quot;,&quot;parse-names&quot;:false,&quot;dropping-particle&quot;:&quot;&quot;,&quot;non-dropping-particle&quot;:&quot;&quot;}],&quot;ISBN&quot;:&quot;978-0-919013-73-5&quot;,&quot;issued&quot;:{&quot;date-parts&quot;:[[2012]]},&quot;publisher-place&quot;:&quot;Charlottetown, Prince Edward Island, Canda&quot;,&quot;number-of-pages&quot;:&quot;90-93&quot;,&quot;edition&quot;:&quot;1&quot;,&quot;publisher&quot;:&quot;VER Inc.&quot;,&quot;container-title-short&quot;:&quot;&quot;},&quot;isTemporary&quot;:false}]},{&quot;citationID&quot;:&quot;MENDELEY_CITATION_6a1beba8-6aaa-4df0-a012-f5a28cf5ca23&quot;,&quot;properties&quot;:{&quot;noteIndex&quot;:0},&quot;isEdited&quot;:false,&quot;manualOverride&quot;:{&quot;isManuallyOverridden&quot;:false,&quot;citeprocText&quot;:&quot;[177]&quot;,&quot;manualOverrideText&quot;:&quot;&quot;},&quot;citationTag&quot;:&quot;MENDELEY_CITATION_v3_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&quot;,&quot;citationItems&quot;:[{&quot;id&quot;:&quot;5d50bee6-ba1e-3b32-acf5-70aac4a9d2bf&quot;,&quot;itemData&quot;:{&quot;type&quot;:&quot;article-journal&quot;,&quot;id&quot;:&quot;5d50bee6-ba1e-3b32-acf5-70aac4a9d2bf&quot;,&quot;title&quot;:&quot;Goodness‐of‐Fit Testing for the Logistic Regression Model when the Estimated Probabilities are Small&quot;,&quot;author&quot;:[{&quot;family&quot;:&quot;Hosmer&quot;,&quot;given&quot;:&quot;D. W.&quot;,&quot;parse-names&quot;:false,&quot;dropping-particle&quot;:&quot;&quot;,&quot;non-dropping-particle&quot;:&quot;&quot;},{&quot;family&quot;:&quot;Lemeshow&quot;,&quot;given&quot;:&quot;S.&quot;,&quot;parse-names&quot;:false,&quot;dropping-particle&quot;:&quot;&quot;,&quot;non-dropping-particle&quot;:&quot;&quot;},{&quot;family&quot;:&quot;Klar&quot;,&quot;given&quot;:&quot;J.&quot;,&quot;parse-names&quot;:false,&quot;dropping-particle&quot;:&quot;&quot;,&quot;non-dropping-particle&quot;:&quot;&quot;}],&quot;container-title&quot;:&quot;Biometrical Journal&quot;,&quot;accessed&quot;:{&quot;date-parts&quot;:[[2024,4,1]]},&quot;DOI&quot;:&quot;10.1002/BIMJ.4710300805&quot;,&quot;ISSN&quot;:&quot;0323-3847&quot;,&quot;URL&quot;:&quot;https://ohiostate.elsevierpure.com/en/publications/goodnessoffit-testing-for-the-logistic-regression-model-when-the-&quot;,&quot;issued&quot;:{&quot;date-parts&quot;:[[1988]]},&quot;page&quot;:&quot;911-924&quot;,&quot;abstract&quot;:&quot;The distribution of the Hosmer‐Lemeshow chi‐square type goodness‐of‐fit tests (Čg, Ȟg) for the logistic regression model are examined via simulations designed to examine their behavior when most of the estimated probabilities are small or are expected to fall in a few deciles. The results of the simulations show statistic Čg should be used when the two outcome groups (y = 0, 1) are not well separated, Δ≤2, where Δ2 is the Mahalanobis distance. Statistic Ȟg should be used when Δ ≥ 8. Either statistic may be used when 2 ≦ Δ ≦ 8. All tests should be used with caution when the proportion in the sample with y = 1 is less than 0.1. Copyright © 1988 WILEY‐VCH Verlag GmbH &amp; Co. KGaA&quot;,&quot;issue&quot;:&quot;8&quot;,&quot;volume&quot;:&quot;30&quot;,&quot;container-title-short&quot;:&quot;&quot;},&quot;isTemporary&quot;:false}]},{&quot;citationID&quot;:&quot;MENDELEY_CITATION_84671d42-1275-49eb-bac3-98cec63cdfbd&quot;,&quot;properties&quot;:{&quot;noteIndex&quot;:0},&quot;isEdited&quot;:false,&quot;manualOverride&quot;:{&quot;citeprocText&quot;:&quot;[132]&quot;,&quot;isManuallyOverridden&quot;:false,&quot;manualOverrideText&quot;:&quot;&quot;},&quot;citationTag&quot;:&quot;MENDELEY_CITATION_v3_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&quot;,&quot;citationItems&quot;:[{&quot;id&quot;:&quot;31af522d-5e00-3e3f-a9f9-b9bdfb73a29a&quot;,&quot;itemData&quot;:{&quot;type&quot;:&quot;article&quot;,&quot;id&quot;:&quot;31af522d-5e00-3e3f-a9f9-b9bdfb73a29a&quot;,&quot;title&quot;:&quot;RStudio: Integrated Development Environment for R&quot;,&quot;author&quot;:[{&quot;family&quot;:&quot;RStudio Team&quot;,&quot;given&quot;:&quot;&quot;,&quot;parse-names&quot;:false,&quot;dropping-particle&quot;:&quot;&quot;,&quot;non-dropping-particle&quot;:&quot;&quot;}],&quot;number&quot;:&quot;2021.09.2&quot;,&quot;issued&quot;:{&quot;date-parts&quot;:[[2020]]},&quot;publisher-place&quot;:&quot;Boston, MA, USA&quot;,&quot;publisher&quot;:&quot;RStudio, Inc.&quot;,&quot;container-title-short&quot;:&quot;&quot;},&quot;isTemporary&quot;:false}]},{&quot;citationID&quot;:&quot;MENDELEY_CITATION_23530734-2b30-48db-b4ee-7a4cc2bbcf38&quot;,&quot;properties&quot;:{&quot;noteIndex&quot;:0},&quot;isEdited&quot;:false,&quot;manualOverride&quot;:{&quot;citeprocText&quot;:&quot;[172]&quot;,&quot;isManuallyOverridden&quot;:false,&quot;manualOverrideText&quot;:&quot;&quot;},&quot;citationTag&quot;:&quot;MENDELEY_CITATION_v3_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&quot;,&quot;citationItems&quot;:[{&quot;id&quot;:&quot;23cc65e1-e76a-54be-b3db-85c8dec4357e&quot;,&quot;itemData&quot;:{&quot;author&quot;:[{&quot;dropping-particle&quot;:&quot;&quot;,&quot;family&quot;:&quot;R Core Team&quot;,&quot;given&quot;:&quot;&quot;,&quot;non-dropping-particle&quot;:&quot;&quot;,&quot;parse-names&quot;:false,&quot;suffix&quot;:&quot;&quot;}],&quot;id&quot;:&quot;23cc65e1-e76a-54be-b3db-85c8dec4357e&quot;,&quot;issued&quot;:{&quot;date-parts&quot;:[[&quot;2020&quot;]]},&quot;number&quot;:&quot;4.0.3&quot;,&quot;publisher-place&quot;:&quot;Vienna, Austria&quot;,&quot;title&quot;:&quot;R: A Language and Environment for Statistical Computing&quot;,&quot;type&quot;:&quot;article&quot;,&quot;container-title-short&quot;:&quot;&quot;},&quot;uris&quot;:[&quot;http://www.mendeley.com/documents/?uuid=748b2256-915f-48a1-bf6d-235b70369879&quot;],&quot;isTemporary&quot;:false,&quot;legacyDesktopId&quot;:&quot;748b2256-915f-48a1-bf6d-235b70369879&quot;}]},{&quot;citationID&quot;:&quot;MENDELEY_CITATION_4b781971-b2ce-4d27-97ef-7c7ea4c1da02&quot;,&quot;properties&quot;:{&quot;noteIndex&quot;:0},&quot;isEdited&quot;:false,&quot;manualOverride&quot;:{&quot;isManuallyOverridden&quot;:false,&quot;citeprocText&quot;:&quot;[134]&quot;,&quot;manualOverrideText&quot;:&quot;&quot;},&quot;citationTag&quot;:&quot;MENDELEY_CITATION_v3_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&quot;,&quot;citationItems&quot;:[{&quot;id&quot;:&quot;36563a6b-929c-3d2d-acdc-befd07c3d8fd&quot;,&quot;itemData&quot;:{&quot;type&quot;:&quot;book&quot;,&quot;id&quot;:&quot;36563a6b-929c-3d2d-acdc-befd07c3d8fd&quot;,&quot;title&quot;:&quot;Methods in Epidemiologic Research&quot;,&quot;author&quot;:[{&quot;family&quot;:&quot;Dohoo&quot;,&quot;given&quot;:&quot;Ian&quot;,&quot;parse-names&quot;:false,&quot;dropping-particle&quot;:&quot;&quot;,&quot;non-dropping-particle&quot;:&quot;&quot;},{&quot;family&quot;:&quot;Martin&quot;,&quot;given&quot;:&quot;Wayne&quot;,&quot;parse-names&quot;:false,&quot;dropping-particle&quot;:&quot;&quot;,&quot;non-dropping-particle&quot;:&quot;&quot;},{&quot;family&quot;:&quot;Stryhn&quot;,&quot;given&quot;:&quot;Henrik&quot;,&quot;parse-names&quot;:false,&quot;dropping-particle&quot;:&quot;&quot;,&quot;non-dropping-particle&quot;:&quot;&quot;}],&quot;editor&quot;:[{&quot;family&quot;:&quot;McPike&quot;,&quot;given&quot;:&quot;S Margaret&quot;,&quot;parse-names&quot;:false,&quot;dropping-particle&quot;:&quot;&quot;,&quot;non-dropping-particle&quot;:&quot;&quot;}],&quot;ISBN&quot;:&quot;978-0-919013-73-5&quot;,&quot;issued&quot;:{&quot;date-parts&quot;:[[2012]]},&quot;publisher-place&quot;:&quot;Charlottetown, Prince Edward Island, Canda&quot;,&quot;number-of-pages&quot;:&quot;90-93&quot;,&quot;edition&quot;:&quot;1&quot;,&quot;publisher&quot;:&quot;VER Inc.&quot;,&quot;container-title-short&quot;:&quot;&quot;},&quot;isTemporary&quot;:false}]},{&quot;citationID&quot;:&quot;MENDELEY_CITATION_712ba4fa-3972-4d94-b00a-0234b09b1e52&quot;,&quot;properties&quot;:{&quot;noteIndex&quot;:0},&quot;isEdited&quot;:false,&quot;manualOverride&quot;:{&quot;isManuallyOverridden&quot;:false,&quot;citeprocText&quot;:&quot;[178]&quot;,&quot;manualOverrideText&quot;:&quot;&quot;},&quot;citationTag&quot;:&quot;MENDELEY_CITATION_v3_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&quot;,&quot;citationItems&quot;:[{&quot;id&quot;:&quot;06f8428e-18a2-3852-8fdd-5d77e7f0d782&quot;,&quot;itemData&quot;:{&quot;type&quot;:&quot;report&quot;,&quot;id&quot;:&quot;06f8428e-18a2-3852-8fdd-5d77e7f0d782&quot;,&quot;title&quot;:&quot;mlogit-Multinomial (polytomous) logistic regression&quot;,&quot;author&quot;:[{&quot;family&quot;:&quot;StataCorp&quot;,&quot;given&quot;:&quot;&quot;,&quot;parse-names&quot;:false,&quot;dropping-particle&quot;:&quot;&quot;,&quot;non-dropping-particle&quot;:&quot;&quot;}],&quot;accessed&quot;:{&quot;date-parts&quot;:[[2024,7,31]]},&quot;URL&quot;:&quot;stata.com/manuals/rmlogit.pdf&quot;,&quot;publisher-place&quot;:&quot;College Station, TX&quot;,&quot;abstract&quot;:&quot;Description Quick start Menu Syntax Options Remarks and examples Stored results Methods and formulas References Also see Description mlogit fits a multinomial logit (MNL) model for a categorical dependent variable with outcomes that have no natural ordering. The actual values taken by the dependent variable are irrelevant. The MNL model is also known as the polytomous logistic regression model. Some people refer to conditional logistic regression as multinomial logistic regression. If you are one of them, see [R] clogit.&quot;,&quot;container-title-short&quot;:&quot;&quot;},&quot;isTemporary&quot;:false}]},{&quot;citationID&quot;:&quot;MENDELEY_CITATION_39e8aa3c-e5f0-49cb-9a31-a040464aaa44&quot;,&quot;properties&quot;:{&quot;noteIndex&quot;:0},&quot;isEdited&quot;:false,&quot;manualOverride&quot;:{&quot;isManuallyOverridden&quot;:false,&quot;citeprocText&quot;:&quot;[134,178]&quot;,&quot;manualOverrideText&quot;:&quot;&quot;},&quot;citationTag&quot;:&quot;MENDELEY_CITATION_v3_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&quot;,&quot;citationItems&quot;:[{&quot;id&quot;:&quot;36563a6b-929c-3d2d-acdc-befd07c3d8fd&quot;,&quot;itemData&quot;:{&quot;type&quot;:&quot;book&quot;,&quot;id&quot;:&quot;36563a6b-929c-3d2d-acdc-befd07c3d8fd&quot;,&quot;title&quot;:&quot;Methods in Epidemiologic Research&quot;,&quot;author&quot;:[{&quot;family&quot;:&quot;Dohoo&quot;,&quot;given&quot;:&quot;Ian&quot;,&quot;parse-names&quot;:false,&quot;dropping-particle&quot;:&quot;&quot;,&quot;non-dropping-particle&quot;:&quot;&quot;},{&quot;family&quot;:&quot;Martin&quot;,&quot;given&quot;:&quot;Wayne&quot;,&quot;parse-names&quot;:false,&quot;dropping-particle&quot;:&quot;&quot;,&quot;non-dropping-particle&quot;:&quot;&quot;},{&quot;family&quot;:&quot;Stryhn&quot;,&quot;given&quot;:&quot;Henrik&quot;,&quot;parse-names&quot;:false,&quot;dropping-particle&quot;:&quot;&quot;,&quot;non-dropping-particle&quot;:&quot;&quot;}],&quot;editor&quot;:[{&quot;family&quot;:&quot;McPike&quot;,&quot;given&quot;:&quot;S Margaret&quot;,&quot;parse-names&quot;:false,&quot;dropping-particle&quot;:&quot;&quot;,&quot;non-dropping-particle&quot;:&quot;&quot;}],&quot;ISBN&quot;:&quot;978-0-919013-73-5&quot;,&quot;issued&quot;:{&quot;date-parts&quot;:[[2012]]},&quot;publisher-place&quot;:&quot;Charlottetown, Prince Edward Island, Canda&quot;,&quot;number-of-pages&quot;:&quot;90-93&quot;,&quot;edition&quot;:&quot;1&quot;,&quot;publisher&quot;:&quot;VER Inc.&quot;,&quot;container-title-short&quot;:&quot;&quot;},&quot;isTemporary&quot;:false},{&quot;id&quot;:&quot;06f8428e-18a2-3852-8fdd-5d77e7f0d782&quot;,&quot;itemData&quot;:{&quot;type&quot;:&quot;report&quot;,&quot;id&quot;:&quot;06f8428e-18a2-3852-8fdd-5d77e7f0d782&quot;,&quot;title&quot;:&quot;mlogit-Multinomial (polytomous) logistic regression&quot;,&quot;author&quot;:[{&quot;family&quot;:&quot;StataCorp&quot;,&quot;given&quot;:&quot;&quot;,&quot;parse-names&quot;:false,&quot;dropping-particle&quot;:&quot;&quot;,&quot;non-dropping-particle&quot;:&quot;&quot;}],&quot;accessed&quot;:{&quot;date-parts&quot;:[[2024,7,31]]},&quot;URL&quot;:&quot;stata.com/manuals/rmlogit.pdf&quot;,&quot;publisher-place&quot;:&quot;College Station, TX&quot;,&quot;abstract&quot;:&quot;Description Quick start Menu Syntax Options Remarks and examples Stored results Methods and formulas References Also see Description mlogit fits a multinomial logit (MNL) model for a categorical dependent variable with outcomes that have no natural ordering. The actual values taken by the dependent variable are irrelevant. The MNL model is also known as the polytomous logistic regression model. Some people refer to conditional logistic regression as multinomial logistic regression. If you are one of them, see [R] clogit.&quot;,&quot;container-title-short&quot;:&quot;&quot;},&quot;isTemporary&quot;:false}]},{&quot;citationID&quot;:&quot;MENDELEY_CITATION_46749897-1424-45c4-b09a-622dfb5f0f84&quot;,&quot;properties&quot;:{&quot;noteIndex&quot;:0},&quot;isEdited&quot;:false,&quot;manualOverride&quot;:{&quot;isManuallyOverridden&quot;:false,&quot;citeprocText&quot;:&quot;[6]&quot;,&quot;manualOverrideText&quot;:&quot;&quot;},&quot;citationTag&quot;:&quot;MENDELEY_CITATION_v3_eyJjaXRhdGlvbklEIjoiTUVOREVMRVlfQ0lUQVRJT05fNDY3NDk4OTctMTQyNC00NWM0LWIwOWEtNjIyZGZiNWYwZjg0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quot;,&quot;citationItems&quot;:[{&quot;id&quot;:&quot;f6bf6552-f6e0-3ff4-a77d-6750f2546b26&quot;,&quot;itemData&quot;:{&quot;type&quot;:&quot;report&quot;,&quot;id&quot;:&quot;f6bf6552-f6e0-3ff4-a77d-6750f2546b26&quot;,&quot;title&quot;:&quot;GOLD Report 2020&quot;,&quot;author&quot;:[{&quot;family&quot;:&quot;Global Initiative for Chronic Obstructive Lung Disease&quot;,&quot;given&quot;:&quot;&quot;,&quot;parse-names&quot;:false,&quot;dropping-particle&quot;:&quot;&quot;,&quot;non-dropping-particle&quot;:&quot;&quot;}],&quot;container-title&quot;:&quot;Global Strategy for the Diagnosis, Management, and Prevention of Chronic Obstructive Pulmonary Disease: 2020 Report&quot;,&quot;URL&quot;:&quot;https://goldcopd.org/wp-content/uploads/2019/12/GOLD-2020-FINAL-ver1.2-03Dec19_WMV.pdf&quot;,&quot;issued&quot;:{&quot;date-parts&quot;:[[2020]]},&quot;number-of-pages&quot;:&quot;141&quot;,&quot;abstract&quot;:&quot;Global Strategy for the Diagnosis, Management, and Prevention of Chronic Obstructive Pulmonary Disease&quot;,&quot;container-title-short&quot;:&quot;&quot;},&quot;isTemporary&quot;:false}]},{&quot;citationID&quot;:&quot;MENDELEY_CITATION_94afcb93-571f-439e-9c58-c3fe3048554e&quot;,&quot;properties&quot;:{&quot;noteIndex&quot;:0},&quot;isEdited&quot;:false,&quot;manualOverride&quot;:{&quot;isManuallyOverridden&quot;:false,&quot;citeprocText&quot;:&quot;[4,6,17,38,95,163,179]&quot;,&quot;manualOverrideText&quot;:&quot;&quot;},&quot;citationTag&quot;:&quot;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&quot;,&quot;citationItems&quot;:[{&quot;id&quot;:&quot;f6bf6552-f6e0-3ff4-a77d-6750f2546b26&quot;,&quot;itemData&quot;:{&quot;type&quot;:&quot;report&quot;,&quot;id&quot;:&quot;f6bf6552-f6e0-3ff4-a77d-6750f2546b26&quot;,&quot;title&quot;:&quot;GOLD Report 2020&quot;,&quot;author&quot;:[{&quot;family&quot;:&quot;Global Initiative for Chronic Obstructive Lung Disease&quot;,&quot;given&quot;:&quot;&quot;,&quot;parse-names&quot;:false,&quot;dropping-particle&quot;:&quot;&quot;,&quot;non-dropping-particle&quot;:&quot;&quot;}],&quot;container-title&quot;:&quot;Global Strategy for the Diagnosis, Management, and Prevention of Chronic Obstructive Pulmonary Disease: 2020 Report&quot;,&quot;URL&quot;:&quot;https://goldcopd.org/wp-content/uploads/2019/12/GOLD-2020-FINAL-ver1.2-03Dec19_WMV.pdf&quot;,&quot;issued&quot;:{&quot;date-parts&quot;:[[2020]]},&quot;number-of-pages&quot;:&quot;141&quot;,&quot;abstract&quot;:&quot;Global Strategy for the Diagnosis, Management, and Prevention of Chronic Obstructive Pulmonary Disease&quot;,&quot;container-title-short&quot;:&quot;&quot;},&quot;isTemporary&quot;:false},{&quot;id&quot;:&quot;4a66e3c3-580e-3af8-91d2-c4eb6b2c00f5&quot;,&quot;itemData&quot;:{&quot;type&quot;:&quot;article-journal&quot;,&quot;id&quot;:&quot;4a66e3c3-580e-3af8-91d2-c4eb6b2c00f5&quot;,&quot;title&quot;:&quot;Chronic Obstructive Pulmonary Disease and Smoking Status — United States, 2017&quot;,&quot;author&quot;:[{&quot;family&quot;:&quot;Wheaton&quot;,&quot;given&quot;:&quot;Anne G.&quot;,&quot;parse-names&quot;:false,&quot;dropping-particle&quot;:&quot;&quot;,&quot;non-dropping-particle&quot;:&quot;&quot;},{&quot;family&quot;:&quot;Liu&quot;,&quot;given&quot;:&quot;Yong&quot;,&quot;parse-names&quot;:false,&quot;dropping-particle&quot;:&quot;&quot;,&quot;non-dropping-particle&quot;:&quot;&quot;},{&quot;family&quot;:&quot;Croft&quot;,&quot;given&quot;:&quot;Janet B.&quot;,&quot;parse-names&quot;:false,&quot;dropping-particle&quot;:&quot;&quot;,&quot;non-dropping-particle&quot;:&quot;&quot;},{&quot;family&quot;:&quot;VanFrank&quot;,&quot;given&quot;:&quot;Brenna&quot;,&quot;parse-names&quot;:false,&quot;dropping-particle&quot;:&quot;&quot;,&quot;non-dropping-particle&quot;:&quot;&quot;},{&quot;family&quot;:&quot;Croxton&quot;,&quot;given&quot;:&quot;Thomas L.&quot;,&quot;parse-names&quot;:false,&quot;dropping-particle&quot;:&quot;&quot;,&quot;non-dropping-particle&quot;:&quot;&quot;},{&quot;family&quot;:&quot;Punturieri&quot;,&quot;given&quot;:&quot;Antonello&quot;,&quot;parse-names&quot;:false,&quot;dropping-particle&quot;:&quot;&quot;,&quot;non-dropping-particle&quot;:&quot;&quot;},{&quot;family&quot;:&quot;Postow&quot;,&quot;given&quot;:&quot;Lisa&quot;,&quot;parse-names&quot;:false,&quot;dropping-particle&quot;:&quot;&quot;,&quot;non-dropping-particle&quot;:&quot;&quot;},{&quot;family&quot;:&quot;Greenlund&quot;,&quot;given&quot;:&quot;Kurt J.&quot;,&quot;parse-names&quot;:false,&quot;dropping-particle&quot;:&quot;&quot;,&quot;non-dropping-particle&quot;:&quot;&quot;}],&quot;container-title&quot;:&quot;MMWR. Morbidity and Mortality Weekly Report&quot;,&quot;container-title-short&quot;:&quot;MMWR Morb Mortal Wkly Rep&quot;,&quot;accessed&quot;:{&quot;date-parts&quot;:[[2020,12,7]]},&quot;DOI&quot;:&quot;10.15585/mmwr.mm6824a1&quot;,&quot;ISSN&quot;:&quot;0149-2195&quot;,&quot;PMID&quot;:&quot;31220055&quot;,&quot;URL&quot;:&quot;https://www.ncbi.nlm.nih.gov/pmc/articles/PMC6586372/&quot;,&quot;issued&quot;:{&quot;date-parts&quot;:[[2019,6,21]]},&quot;page&quot;:&quot;533-538&quot;,&quot;abstract&quot;:&quot;Cigarette smoking is the leading cause of chronic obstructive pulmonary disease (COPD) in the United States; however, an estimated one fourth of adults with COPD have never smoked (1). CDC analyzed state-specific Behavioral Risk Factor Surveillance System (BRFSS) data from 2017, which indicated that, overall among U.S. adults, 6.2% (age-adjusted) reported having been told by a health care professional that they had COPD. The age-adjusted prevalence of COPD was 15.2% among current cigarette smokers, 7.6% among former smokers, and 2.8% among adults who had never smoked. Higher prevalences of COPD were observed in southeastern and Appalachian states, regardless of smoking status of respondents. Whereas the strong positive correlation between state prevalence of COPD and state prevalence of current smoking was expected among current and former smokers, a similar relationship among adults who had never smoked suggests secondhand smoke exposure as a potential risk factor for COPD. Continued promotion of smoke-free environments might reduce COPD among both those who smoke and those who do not.&quot;,&quot;publisher&quot;:&quot;Centers for Disease Control MMWR Office&quot;,&quot;issue&quot;:&quot;24&quot;,&quot;volume&quot;:&quot;68&quot;},&quot;isTemporary&quot;:false},{&quot;id&quot;:&quot;b3933bae-c657-34a5-8860-a5cb61ca96ff&quot;,&quot;itemData&quot;:{&quot;type&quot;:&quot;article-journal&quot;,&quot;id&quot;:&quot;b3933bae-c657-34a5-8860-a5cb61ca96ff&quot;,&quot;title&quot;:&quot;An official American Thoracic Society public policy statement: Novel risk factors and the global burden of chronic obstructive pulmonary disease&quot;,&quot;author&quot;:[{&quot;family&quot;:&quot;Eisner&quot;,&quot;given&quot;:&quot;Mark D.&quot;,&quot;parse-names&quot;:false,&quot;dropping-particle&quot;:&quot;&quot;,&quot;non-dropping-particle&quot;:&quot;&quot;},{&quot;family&quot;:&quot;Anthonisen&quot;,&quot;given&quot;:&quot;Nicholas&quot;,&quot;parse-names&quot;:false,&quot;dropping-particle&quot;:&quot;&quot;,&quot;non-dropping-particle&quot;:&quot;&quot;},{&quot;family&quot;:&quot;Coultas&quot;,&quot;given&quot;:&quot;David&quot;,&quot;parse-names&quot;:false,&quot;dropping-particle&quot;:&quot;&quot;,&quot;non-dropping-particle&quot;:&quot;&quot;},{&quot;family&quot;:&quot;Kuenzli&quot;,&quot;given&quot;:&quot;Nino&quot;,&quot;parse-names&quot;:false,&quot;dropping-particle&quot;:&quot;&quot;,&quot;non-dropping-particle&quot;:&quot;&quot;},{&quot;family&quot;:&quot;Perez-Padilla&quot;,&quot;given&quot;:&quot;Rogelio&quot;,&quot;parse-names&quot;:false,&quot;dropping-particle&quot;:&quot;&quot;,&quot;non-dropping-particle&quot;:&quot;&quot;},{&quot;family&quot;:&quot;Postma&quot;,&quot;given&quot;:&quot;Dirkje&quot;,&quot;parse-names&quot;:false,&quot;dropping-particle&quot;:&quot;&quot;,&quot;non-dropping-particle&quot;:&quot;&quot;},{&quot;family&quot;:&quot;Romieu&quot;,&quot;given&quot;:&quot;Isabelle&quot;,&quot;parse-names&quot;:false,&quot;dropping-particle&quot;:&quot;&quot;,&quot;non-dropping-particle&quot;:&quot;&quot;},{&quot;family&quot;:&quot;Silverman&quot;,&quot;given&quot;:&quot;Edwin K.&quot;,&quot;parse-names&quot;:false,&quot;dropping-particle&quot;:&quot;&quot;,&quot;non-dropping-particle&quot;:&quot;&quot;},{&quot;family&quot;:&quot;Balmes&quot;,&quot;given&quot;:&quot;John R.&quot;,&quot;parse-names&quot;:false,&quot;dropping-particle&quot;:&quot;&quot;,&quot;non-dropping-particle&quot;:&quot;&quot;}],&quot;container-title&quot;:&quot;American Journal of Respiratory and Critical Care Medicine&quot;,&quot;container-title-short&quot;:&quot;Am J Respir Crit Care Med&quot;,&quot;DOI&quot;:&quot;10.1164/rccm.200811-1757ST&quot;,&quot;ISSN&quot;:&quot;1073449X&quot;,&quot;PMID&quot;:&quot;20802169&quot;,&quot;issued&quot;:{&quot;date-parts&quot;:[[2010]]},&quot;page&quot;:&quot;693-718&quot;,&quot;abstract&quot;:&quot;Rationale: Although cigarette smoking is the most important cause of chronic obstructive pulmonary disease (COPD), a substantial proportion of COPD cases cannot be explained by smoking alone. Objectives: To evaluate the risk factors for COPD besides personal cigarette smoking. Methods: We constituted an ad hoc subcommittee of the American Thoracic Society Environmental and Occupational Health Assembly. An international group of members was invited, based on their scientific expertise in a specific risk factor for COPD. For each risk factor area, the committee reviewed the literature, summarized the evidence, and developed conclusions about the likelihood of it causing COPD. All conclusions were based on unanimous consensus. Measurements and Main Results: The population-attributable fraction for smoking as a cause of COPD ranged from 9.7 to 97.9%, but was less than 80% in most studies, indicating a substantial burden of disease attributable to nonsmoking risk factors. On the basis of our review, we concluded that specific genetic syndromes and occupational exposures were causally related to the development of COPD. Traffic and other outdoor pollution, secondhand smoke, biomass smoke, and dietary factors are associated with COPD, but sufficient criteria for causation were not met. Chronic asthma and tuberculosis are associated with irreversible loss of lung function, but there remains uncertainty about whether there are important phenotypic differences compared with COPD as it is typically encountered in clinical settings. Conclusions: In public health terms, a substantive burden of COPD is attributable to risk factors other than smoking. To prevent COPD-related disability and mortality, efforts must focus on prevention and cessation of exposure to smoking and these other, less well-recognized risk factors.&quot;,&quot;issue&quot;:&quot;5&quot;,&quot;volume&quot;:&quot;182&quot;},&quot;isTemporary&quot;:false},{&quot;id&quot;:&quot;ba277781-0e8d-364f-ae19-f0e2023944bc&quot;,&quot;itemData&quot;:{&quot;type&quot;:&quot;article-journal&quot;,&quot;id&quot;:&quot;ba277781-0e8d-364f-ae19-f0e2023944bc&quot;,&quot;title&quot;:&quot;Chronic obstructive pulmonary disease&quot;,&quot;author&quot;:[{&quot;family&quot;:&quot;Christenson&quot;,&quot;given&quot;:&quot;Stephanie A&quot;,&quot;parse-names&quot;:false,&quot;dropping-particle&quot;:&quot;&quot;,&quot;non-dropping-particle&quot;:&quot;&quot;},{&quot;family&quot;:&quot;Smith&quot;,&quot;given&quot;:&quot;Benjamin M&quot;,&quot;parse-names&quot;:false,&quot;dropping-particle&quot;:&quot;&quot;,&quot;non-dropping-particle&quot;:&quot;&quot;},{&quot;family&quot;:&quot;Bafadhel&quot;,&quot;given&quot;:&quot;Mona&quot;,&quot;parse-names&quot;:false,&quot;dropping-particle&quot;:&quot;&quot;,&quot;non-dropping-particle&quot;:&quot;&quot;},{&quot;family&quot;:&quot;Putcha&quot;,&quot;given&quot;:&quot;Nirupama&quot;,&quot;parse-names&quot;:false,&quot;dropping-particle&quot;:&quot;&quot;,&quot;non-dropping-particle&quot;:&quot;&quot;}],&quot;container-title&quot;:&quot;www.thelancet.com&quot;,&quot;accessed&quot;:{&quot;date-parts&quot;:[[2024,3,17]]},&quot;DOI&quot;:&quot;10.1016/S0140-6736(22)00470-6&quot;,&quot;URL&quot;:&quot;https://doi.org/10.1016/&quot;,&quot;issued&quot;:{&quot;date-parts&quot;:[[2022]]},&quot;abstract&quot;:&quot;Chronic obstructive pulmonary disease (COPD) is a major cause of morbidity, mortality, and health-care use worldwide. COPD is caused by exposure to inhaled noxious particles, notably tobacco smoke and pollutants. However, the broad range of factors that increase the risk of development and progression of COPD throughout the life course are increasingly being recognised. Innovations in omics and imaging techniques have provided greater insight into disease pathobiology, which might result in advances in COPD prevention, diagnosis, and treatment. Although few novel treatments have been approved for COPD in the past 5 years, advances have been made in targeting existing therapies to specific subpopulations using new biomarker-based strategies. Additionally, COVID-19 has undeniably affected individuals with COPD, who are not only at higher risk for severe disease manifestations than healthy individuals but also negatively affected by interruptions in health-care delivery and social isolation. This Seminar reviews COPD with an emphasis on recent advances in epidemiology, pathophysiology, imaging, diagnosis, and treatment.&quot;,&quot;volume&quot;:&quot;399&quot;,&quot;container-title-short&quot;:&quot;&quot;},&quot;isTemporary&quot;:false},{&quot;id&quot;:&quot;348032de-3fdb-3bdf-8e98-69592486d898&quot;,&quot;itemData&quot;:{&quot;type&quot;:&quot;article-journal&quot;,&quot;id&quot;:&quot;348032de-3fdb-3bdf-8e98-69592486d898&quot;,&quot;title&quot;:&quot;Global, regional, and national prevalence of, and risk factors for, chronic obstructive pulmonary disease (COPD) in 2019: a systematic review and modelling analysis&quot;,&quot;author&quot;:[{&quot;family&quot;:&quot;Adeloye&quot;,&quot;given&quot;:&quot;Davies&quot;,&quot;parse-names&quot;:false,&quot;dropping-particle&quot;:&quot;&quot;,&quot;non-dropping-particle&quot;:&quot;&quot;},{&quot;family&quot;:&quot;Song&quot;,&quot;given&quot;:&quot;Peige&quot;,&quot;parse-names&quot;:false,&quot;dropping-particle&quot;:&quot;&quot;,&quot;non-dropping-particle&quot;:&quot;&quot;},{&quot;family&quot;:&quot;Zhu&quot;,&quot;given&quot;:&quot;Yajie&quot;,&quot;parse-names&quot;:false,&quot;dropping-particle&quot;:&quot;&quot;,&quot;non-dropping-particle&quot;:&quot;&quot;},{&quot;family&quot;:&quot;Campbell&quot;,&quot;given&quot;:&quot;Harry&quot;,&quot;parse-names&quot;:false,&quot;dropping-particle&quot;:&quot;&quot;,&quot;non-dropping-particle&quot;:&quot;&quot;},{&quot;family&quot;:&quot;Sheikh&quot;,&quot;given&quot;:&quot;Aziz&quot;,&quot;parse-names&quot;:false,&quot;dropping-particle&quot;:&quot;&quot;,&quot;non-dropping-particle&quot;:&quot;&quot;},{&quot;family&quot;:&quot;Rudan&quot;,&quot;given&quot;:&quot;Igor&quot;,&quot;parse-names&quot;:false,&quot;dropping-particle&quot;:&quot;&quot;,&quot;non-dropping-particle&quot;:&quot;&quot;}],&quot;container-title&quot;:&quot;The Lancet. Respiratory Medicine&quot;,&quot;container-title-short&quot;:&quot;Lancet Respir Med&quot;,&quot;accessed&quot;:{&quot;date-parts&quot;:[[2024,3,17]]},&quot;DOI&quot;:&quot;10.1016/S2213-2600(21)00511-7&quot;,&quot;ISSN&quot;:&quot;22132619&quot;,&quot;PMID&quot;:&quot;35279265&quot;,&quot;URL&quot;:&quot;/pmc/articles/PMC9050565/&quot;,&quot;issued&quot;:{&quot;date-parts&quot;:[[2022,5,1]]},&quot;page&quot;:&quot;447&quot;,&quot;abstract&quot;:&quot;Background: Chronic obstructive pulmonary disease (COPD) is an increasingly important cause of morbidity, disability, and mortality worldwide. We aimed to estimate global, regional, and national COPD prevalence and risk factors to guide policy and population interventions. Methods: For this systematic review and modelling study, we searched MEDLINE, Embase, Global Health, and CINAHL, for population-based studies on COPD prevalence published between Jan 1, 1990, and Dec 31, 2019. We included data reported using the two main case definitions: the Global Initiative for Chronic Obstructive Lung Disease fixed ratio (GOLD; FEV1/FVC&lt;0·7) and the lower limit of normal (LLN; FEV1/FVC&lt;LLN). We employed a multilevel multivariable mixed-effects meta-regression approach to generate the age-specific and sex-specific prevalence of COPD in 2019 for high-income countries (HICs) and low-income and middle-income countries (LMICs) according to the World Bank definition. Common risk factors for GOLD-COPD were evaluated using a random-effects meta-analysis. Findings: We identified 162 articles reporting population-based studies conducted across 260 sites in 65 countries. In 2019, the global prevalence of COPD among people aged 30–79 years was 10·3% (95% CI 8·2–12·8) using the GOLD case definition, which translates to 391·9 million people (95% CI 312·6–487·9), and 7·6% (5·8–10·1) using the LLN definition, which translates to 292·0 million people (219·8–385·6). Using the GOLD definition, we estimated that 391·9 million (95% CI 312·6–487·9) people aged 30–79 years had COPD worldwide in 2019, with most (315·5 million [246·7–399·6]; 80·5%) living in LMICs. The overall prevalence of GOLD-COPD among people aged 30–79 years was the highest in the Western Pacific region (11·7% [95% CI 9·3–14·6]) and lowest in the region of the Americas (6·8% [95% CI 5·6–8·2]). Globally, male sex (OR 2·1 [95% CI 1·8–2·3]), smoking (current smoker 3·2 [2·5–4·0]; ever smoker 2·3 [2·0–2·5]), body-mass index of less than 18·5 kg/m2 (2·2 [1·7–2·7]), biomass exposure (1·4 [1·2–1·7]), and occupational exposure to dust or smoke (1·4 [1·3–1·6]) were all substantial risk factors for COPD. Interpretation: With more than three-quarters of global COPD cases in LMICs, tackling this chronic condition is a major and increasing challenge for health systems in these settings. In the absence of targeted population-wide efforts and health system reforms in these settings, many of which are under-resourced, achieving a substantial reduction in the burden of COPD globally might remain a difficult task. Funding: National Institute for Health Research and Health Data Research UK.&quot;,&quot;publisher&quot;:&quot;Elsevier&quot;,&quot;issue&quot;:&quot;5&quot;,&quot;volume&quot;:&quot;10&quot;},&quot;isTemporary&quot;:false},{&quot;id&quot;:&quot;74dc8e9d-1567-366a-90d0-ada434901b50&quot;,&quot;itemData&quot;:{&quot;type&quot;:&quot;article-journal&quot;,&quot;id&quot;:&quot;74dc8e9d-1567-366a-90d0-ada434901b50&quot;,&quot;title&quot;:&quot;Examining the Effects of Age on Health Outcomes of Chronic Obstructive Pulmonary Disease: Results From the Genetic Epidemiology of Chronic Obstructive Pulmonary Disease Study and Evaluation of Chronic Obstructive Pulmonary Disease Longitudinally to Identify Predictive Surrogate Endpoints Cohorts&quot;,&quot;author&quot;:[{&quot;family&quot;:&quot;Parulekar&quot;,&quot;given&quot;:&quot;Amit D.&quot;,&quot;parse-names&quot;:false,&quot;dropping-particle&quot;:&quot;&quot;,&quot;non-dropping-particle&quot;:&quot;&quot;},{&quot;family&quot;:&quot;Martinez&quot;,&quot;given&quot;:&quot;Carlos&quot;,&quot;parse-names&quot;:false,&quot;dropping-particle&quot;:&quot;&quot;,&quot;non-dropping-particle&quot;:&quot;&quot;},{&quot;family&quot;:&quot;Tsai&quot;,&quot;given&quot;:&quot;Chu Lin&quot;,&quot;parse-names&quot;:false,&quot;dropping-particle&quot;:&quot;&quot;,&quot;non-dropping-particle&quot;:&quot;&quot;},{&quot;family&quot;:&quot;Locantore&quot;,&quot;given&quot;:&quot;Nicholas&quot;,&quot;parse-names&quot;:false,&quot;dropping-particle&quot;:&quot;&quot;,&quot;non-dropping-particle&quot;:&quot;&quot;},{&quot;family&quot;:&quot;Atik&quot;,&quot;given&quot;:&quot;Mustafa&quot;,&quot;parse-names&quot;:false,&quot;dropping-particle&quot;:&quot;&quot;,&quot;non-dropping-particle&quot;:&quot;&quot;},{&quot;family&quot;:&quot;Yohannes&quot;,&quot;given&quot;:&quot;Abebaw M.&quot;,&quot;parse-names&quot;:false,&quot;dropping-particle&quot;:&quot;&quot;,&quot;non-dropping-particle&quot;:&quot;&quot;},{&quot;family&quot;:&quot;Kao&quot;,&quot;given&quot;:&quot;Christina C.&quot;,&quot;parse-names&quot;:false,&quot;dropping-particle&quot;:&quot;&quot;,&quot;non-dropping-particle&quot;:&quot;&quot;},{&quot;family&quot;:&quot;Al-Azzawi&quot;,&quot;given&quot;:&quot;Hassan&quot;,&quot;parse-names&quot;:false,&quot;dropping-particle&quot;:&quot;&quot;,&quot;non-dropping-particle&quot;:&quot;&quot;},{&quot;family&quot;:&quot;Mohsin&quot;,&quot;given&quot;:&quot;Ali&quot;,&quot;parse-names&quot;:false,&quot;dropping-particle&quot;:&quot;&quot;,&quot;non-dropping-particle&quot;:&quot;&quot;},{&quot;family&quot;:&quot;Wise&quot;,&quot;given&quot;:&quot;Robert A.&quot;,&quot;parse-names&quot;:false,&quot;dropping-particle&quot;:&quot;&quot;,&quot;non-dropping-particle&quot;:&quot;&quot;},{&quot;family&quot;:&quot;Foreman&quot;,&quot;given&quot;:&quot;Marilyn G.&quot;,&quot;parse-names&quot;:false,&quot;dropping-particle&quot;:&quot;&quot;,&quot;non-dropping-particle&quot;:&quot;&quot;},{&quot;family&quot;:&quot;Demeo&quot;,&quot;given&quot;:&quot;Dawn L.&quot;,&quot;parse-names&quot;:false,&quot;dropping-particle&quot;:&quot;&quot;,&quot;non-dropping-particle&quot;:&quot;&quot;},{&quot;family&quot;:&quot;Regan&quot;,&quot;given&quot;:&quot;Elizabeth A.&quot;,&quot;parse-names&quot;:false,&quot;dropping-particle&quot;:&quot;&quot;,&quot;non-dropping-particle&quot;:&quot;&quot;},{&quot;family&quot;:&quot;Make&quot;,&quot;given&quot;:&quot;Barry J.&quot;,&quot;parse-names&quot;:false,&quot;dropping-particle&quot;:&quot;&quot;,&quot;non-dropping-particle&quot;:&quot;&quot;},{&quot;family&quot;:&quot;Boriek&quot;,&quot;given&quot;:&quot;Aladin M.&quot;,&quot;parse-names&quot;:false,&quot;dropping-particle&quot;:&quot;&quot;,&quot;non-dropping-particle&quot;:&quot;&quot;},{&quot;family&quot;:&quot;Wiener&quot;,&quot;given&quot;:&quot;Laura E.&quot;,&quot;parse-names&quot;:false,&quot;dropping-particle&quot;:&quot;&quot;,&quot;non-dropping-particle&quot;:&quot;&quot;},{&quot;family&quot;:&quot;Hanania&quot;,&quot;given&quot;:&quot;Nicola A.&quot;,&quot;parse-names&quot;:false,&quot;dropping-particle&quot;:&quot;&quot;,&quot;non-dropping-particle&quot;:&quot;&quot;}],&quot;container-title&quot;:&quot;Journal of the American Medical Directors Association&quot;,&quot;container-title-short&quot;:&quot;J Am Med Dir Assoc&quot;,&quot;accessed&quot;:{&quot;date-parts&quot;:[[2024,3,17]]},&quot;DOI&quot;:&quot;10.1016/J.JAMDA.2017.09.028&quot;,&quot;ISSN&quot;:&quot;15389375&quot;,&quot;PMID&quot;:&quot;29169736&quot;,&quot;URL&quot;:&quot;/pmc/articles/PMC5955393/&quot;,&quot;issued&quot;:{&quot;date-parts&quot;:[[2017,12,12]]},&quot;page&quot;:&quot;1063&quot;,&quot;abstract&quot;:&quot;Rationale The prevalence of chronic obstructive pulmonary disease (COPD) and its associated comorbidities increase with age. However, little is understood about differences in the disease in patients over 65 years of age compared with younger patients. Objectives To determine disease characteristics of COPD and its impact in older patients compared with younger patients. Methods We examined baseline characteristics of patients with COPD (global obstructive lung disease stage II–IV) in 2 large cohorts: Genetic Epidemiology of COPD Study (COPDGene) and Evaluation of COPD Longitudinally to Identify Predictive Surrogate Endpoints (ECLIPSE). We compared demographics, indices of disease severity, prevalence of comorbidities, exacerbation frequency, and quality of life scores in patients ≥65 years of age vs patients &lt;65 years of age. We also tested for associations of age with disease characteristics and health outcomes. Results In the COPDGene cohort, older patients (n = 1663) had more severe disease as measured by forced expiratory volume in 1 second (1.22 vs 1.52 L, P &lt;.001), use of long-term oxygen therapy (35% vs 22%, P &lt;.001), 6-minute walk distance (355 vs 375 m, P &lt;.001), and radiographic evidence of emphysema (14% vs 8%, P &lt;.001) and air trapping (47% vs 36%, P &lt;.001) and were more likely to have comorbidities compared with younger patients (n = 2027). Similarly, in the ECLIPSE cohort, older patients (n = 1030) had lower forced expiratory volume in 1 second (1.22 vs 1.34 L, P &lt;.001), greater use of long-term oxygen therapy (7% vs 5%, P =.02), shorter 6- minute walk distance (360 vs 389 m, P &lt;.001), and more radiographic evidence of emphysema (17% vs 14%, P =.009) than younger patients (n = 1131). In adjusted analyses of both cohorts, older age was associated with decreased frequency of exacerbations [odds ratio = 0.52, 95% confidence interval (CI) = 0.43–0.64 in COPDGene, odds ratio = 0.79, 95% CI = 0.64–0.99 in ECLIPSE] and a better quality of life (lower St. Georges respiratory questionnaire score) (β = −8.7, 95% CI = −10.0 to −7.4 in COPDGene, β = −4.4, 95% CI = −6.1 to −3.2 in ECLIPSE). Conclusions Despite greater severity of illness, older patients with COPD had better quality of life and reported fewer exacerbations than younger patients. Although this observation needs to be explored further, it may be related to the fact that older patients change their expectations and learn to adapt to their disease.&quot;,&quot;publisher&quot;:&quot;NIH Public Access&quot;,&quot;issue&quot;:&quot;12&quot;,&quot;volume&quot;:&quot;18&quot;},&quot;isTemporary&quot;:false},{&quot;id&quot;:&quot;c8ef2b64-d30d-3299-bceb-951b4add0611&quot;,&quot;itemData&quot;:{&quot;type&quot;:&quot;article&quot;,&quot;id&quot;:&quot;c8ef2b64-d30d-3299-bceb-951b4add0611&quot;,&quot;title&quot;:&quot;Targeting aging pathways in chronic obstructive pulmonary disease&quot;,&quot;author&quot;:[{&quot;family&quot;:&quot;Easter&quot;,&quot;given&quot;:&quot;Molly&quot;,&quot;parse-names&quot;:false,&quot;dropping-particle&quot;:&quot;&quot;,&quot;non-dropping-particle&quot;:&quot;&quot;},{&quot;family&quot;:&quot;Bollenbecker&quot;,&quot;given&quot;:&quot;Seth&quot;,&quot;parse-names&quot;:false,&quot;dropping-particle&quot;:&quot;&quot;,&quot;non-dropping-particle&quot;:&quot;&quot;},{&quot;family&quot;:&quot;Barnes&quot;,&quot;given&quot;:&quot;Jarrod W.&quot;,&quot;parse-names&quot;:false,&quot;dropping-particle&quot;:&quot;&quot;,&quot;non-dropping-particle&quot;:&quot;&quot;},{&quot;family&quot;:&quot;Krick&quot;,&quot;given&quot;:&quot;Stefanie&quot;,&quot;parse-names&quot;:false,&quot;dropping-particle&quot;:&quot;&quot;,&quot;non-dropping-particle&quot;:&quot;&quot;}],&quot;container-title&quot;:&quot;International Journal of Molecular Sciences&quot;,&quot;container-title-short&quot;:&quot;Int J Mol Sci&quot;,&quot;accessed&quot;:{&quot;date-parts&quot;:[[2020,12,9]]},&quot;DOI&quot;:&quot;10.3390/ijms21186924&quot;,&quot;ISSN&quot;:&quot;14220067&quot;,&quot;PMID&quot;:&quot;32967225&quot;,&quot;URL&quot;:&quot;/pmc/articles/PMC7555616/?report=abstract&quot;,&quot;issued&quot;:{&quot;date-parts&quot;:[[2020,9,2]]},&quot;page&quot;:&quot;1-17&quot;,&quot;abstract&quot;:&quot;Chronic obstructive pulmonary disease (COPD) has become a global epidemic and is the third leading cause of death worldwide. COPD is characterized by chronic airway inflammation, loss of alveolar-capillary units, and progressive decline in lung function. Major risk factors for COPD are cigarette smoking and aging. COPD-associated pathomechanisms include multiple aging pathways such as telomere attrition, epigenetic alterations, altered nutrient sensing, mitochondrial dysfunction, cell senescence, stem cell exhaustion and chronic inflammation. In this review, we will highlight the current literature that focuses on the role of age and aging-associated signaling pathways as well as their impact on current treatment strategies in the pathogenesis of COPD. Furthermore, we will discuss established and experimental COPD treatments including senolytic and anti-aging therapies and their potential use as novel treatment strategies in COPD.&quot;,&quot;publisher&quot;:&quot;MDPI AG&quot;,&quot;issue&quot;:&quot;18&quot;,&quot;volume&quot;:&quot;21&quot;},&quot;isTemporary&quot;:false}]},{&quot;citationID&quot;:&quot;MENDELEY_CITATION_8d775aca-0f88-4bfe-8a0c-58a98ee6b93a&quot;,&quot;properties&quot;:{&quot;noteIndex&quot;:0},&quot;isEdited&quot;:false,&quot;manualOverride&quot;:{&quot;isManuallyOverridden&quot;:false,&quot;citeprocText&quot;:&quot;[38,97,180,181]&quot;,&quot;manualOverrideText&quot;:&quot;&quot;},&quot;citationTag&quot;:&quot;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&quot;,&quot;citationItems&quot;:[{&quot;id&quot;:&quot;348032de-3fdb-3bdf-8e98-69592486d898&quot;,&quot;itemData&quot;:{&quot;type&quot;:&quot;article-journal&quot;,&quot;id&quot;:&quot;348032de-3fdb-3bdf-8e98-69592486d898&quot;,&quot;title&quot;:&quot;Global, regional, and national prevalence of, and risk factors for, chronic obstructive pulmonary disease (COPD) in 2019: a systematic review and modelling analysis&quot;,&quot;author&quot;:[{&quot;family&quot;:&quot;Adeloye&quot;,&quot;given&quot;:&quot;Davies&quot;,&quot;parse-names&quot;:false,&quot;dropping-particle&quot;:&quot;&quot;,&quot;non-dropping-particle&quot;:&quot;&quot;},{&quot;family&quot;:&quot;Song&quot;,&quot;given&quot;:&quot;Peige&quot;,&quot;parse-names&quot;:false,&quot;dropping-particle&quot;:&quot;&quot;,&quot;non-dropping-particle&quot;:&quot;&quot;},{&quot;family&quot;:&quot;Zhu&quot;,&quot;given&quot;:&quot;Yajie&quot;,&quot;parse-names&quot;:false,&quot;dropping-particle&quot;:&quot;&quot;,&quot;non-dropping-particle&quot;:&quot;&quot;},{&quot;family&quot;:&quot;Campbell&quot;,&quot;given&quot;:&quot;Harry&quot;,&quot;parse-names&quot;:false,&quot;dropping-particle&quot;:&quot;&quot;,&quot;non-dropping-particle&quot;:&quot;&quot;},{&quot;family&quot;:&quot;Sheikh&quot;,&quot;given&quot;:&quot;Aziz&quot;,&quot;parse-names&quot;:false,&quot;dropping-particle&quot;:&quot;&quot;,&quot;non-dropping-particle&quot;:&quot;&quot;},{&quot;family&quot;:&quot;Rudan&quot;,&quot;given&quot;:&quot;Igor&quot;,&quot;parse-names&quot;:false,&quot;dropping-particle&quot;:&quot;&quot;,&quot;non-dropping-particle&quot;:&quot;&quot;}],&quot;container-title&quot;:&quot;The Lancet. Respiratory Medicine&quot;,&quot;container-title-short&quot;:&quot;Lancet Respir Med&quot;,&quot;accessed&quot;:{&quot;date-parts&quot;:[[2024,3,17]]},&quot;DOI&quot;:&quot;10.1016/S2213-2600(21)00511-7&quot;,&quot;ISSN&quot;:&quot;22132619&quot;,&quot;PMID&quot;:&quot;35279265&quot;,&quot;URL&quot;:&quot;/pmc/articles/PMC9050565/&quot;,&quot;issued&quot;:{&quot;date-parts&quot;:[[2022,5,1]]},&quot;page&quot;:&quot;447&quot;,&quot;abstract&quot;:&quot;Background: Chronic obstructive pulmonary disease (COPD) is an increasingly important cause of morbidity, disability, and mortality worldwide. We aimed to estimate global, regional, and national COPD prevalence and risk factors to guide policy and population interventions. Methods: For this systematic review and modelling study, we searched MEDLINE, Embase, Global Health, and CINAHL, for population-based studies on COPD prevalence published between Jan 1, 1990, and Dec 31, 2019. We included data reported using the two main case definitions: the Global Initiative for Chronic Obstructive Lung Disease fixed ratio (GOLD; FEV1/FVC&lt;0·7) and the lower limit of normal (LLN; FEV1/FVC&lt;LLN). We employed a multilevel multivariable mixed-effects meta-regression approach to generate the age-specific and sex-specific prevalence of COPD in 2019 for high-income countries (HICs) and low-income and middle-income countries (LMICs) according to the World Bank definition. Common risk factors for GOLD-COPD were evaluated using a random-effects meta-analysis. Findings: We identified 162 articles reporting population-based studies conducted across 260 sites in 65 countries. In 2019, the global prevalence of COPD among people aged 30–79 years was 10·3% (95% CI 8·2–12·8) using the GOLD case definition, which translates to 391·9 million people (95% CI 312·6–487·9), and 7·6% (5·8–10·1) using the LLN definition, which translates to 292·0 million people (219·8–385·6). Using the GOLD definition, we estimated that 391·9 million (95% CI 312·6–487·9) people aged 30–79 years had COPD worldwide in 2019, with most (315·5 million [246·7–399·6]; 80·5%) living in LMICs. The overall prevalence of GOLD-COPD among people aged 30–79 years was the highest in the Western Pacific region (11·7% [95% CI 9·3–14·6]) and lowest in the region of the Americas (6·8% [95% CI 5·6–8·2]). Globally, male sex (OR 2·1 [95% CI 1·8–2·3]), smoking (current smoker 3·2 [2·5–4·0]; ever smoker 2·3 [2·0–2·5]), body-mass index of less than 18·5 kg/m2 (2·2 [1·7–2·7]), biomass exposure (1·4 [1·2–1·7]), and occupational exposure to dust or smoke (1·4 [1·3–1·6]) were all substantial risk factors for COPD. Interpretation: With more than three-quarters of global COPD cases in LMICs, tackling this chronic condition is a major and increasing challenge for health systems in these settings. In the absence of targeted population-wide efforts and health system reforms in these settings, many of which are under-resourced, achieving a substantial reduction in the burden of COPD globally might remain a difficult task. Funding: National Institute for Health Research and Health Data Research UK.&quot;,&quot;publisher&quot;:&quot;Elsevier&quot;,&quot;issue&quot;:&quot;5&quot;,&quot;volume&quot;:&quot;10&quot;},&quot;isTemporary&quot;:false},{&quot;id&quot;:&quot;57978d9a-ff1c-3952-8b45-47ae07eb6739&quot;,&quot;itemData&quot;:{&quot;type&quot;:&quot;article-journal&quot;,&quot;id&quot;:&quot;57978d9a-ff1c-3952-8b45-47ae07eb6739&quot;,&quot;title&quot;:&quot;Association of Body Mass Index with Risk of Chronic Obstructive Pulmonary Disease: A Systematic Review and Meta-Analysis&quot;,&quot;author&quot;:[{&quot;family&quot;:&quot;Zhang&quot;,&quot;given&quot;:&quot;Xiaofei&quot;,&quot;parse-names&quot;:false,&quot;dropping-particle&quot;:&quot;&quot;,&quot;non-dropping-particle&quot;:&quot;&quot;},{&quot;family&quot;:&quot;Chen&quot;,&quot;given&quot;:&quot;Hongru&quot;,&quot;parse-names&quot;:false,&quot;dropping-particle&quot;:&quot;&quot;,&quot;non-dropping-particle&quot;:&quot;&quot;},{&quot;family&quot;:&quot;Gu&quot;,&quot;given&quot;:&quot;Kunfang&quot;,&quot;parse-names&quot;:false,&quot;dropping-particle&quot;:&quot;&quot;,&quot;non-dropping-particle&quot;:&quot;&quot;},{&quot;family&quot;:&quot;Chen&quot;,&quot;given&quot;:&quot;Jiahao&quot;,&quot;parse-names&quot;:false,&quot;dropping-particle&quot;:&quot;&quot;,&quot;non-dropping-particle&quot;:&quot;&quot;},{&quot;family&quot;:&quot;Jiang&quot;,&quot;given&quot;:&quot;Xiubo&quot;,&quot;parse-names&quot;:false,&quot;dropping-particle&quot;:&quot;&quot;,&quot;non-dropping-particle&quot;:&quot;&quot;}],&quot;container-title&quot;:&quot;COPD: Journal of Chronic Obstructive Pulmonary Disease&quot;,&quot;accessed&quot;:{&quot;date-parts&quot;:[[2024,3,17]]},&quot;DOI&quot;:&quot;10.1080/15412555.2021.1884213&quot;,&quot;URL&quot;:&quot;https://www.tandfonline.com/action/journalInformation?journalCode=icop20&quot;,&quot;issued&quot;:{&quot;date-parts&quot;:[[2021]]},&quot;page&quot;:&quot;101-113&quot;,&quot;abstract&quot;:&quot;The association between body mass index (BMI) and chronic obstructive pulmonary disease (COPD) remains controversial. Therefore, a meta-analysis was conducted to further evaluate the relationship. A comprehensive literature search was performed in PubMed, Web of Science, EMBASE, China National Knowledge Infrastructure (CNKI), and Wanfang databases to identify eligible articles until July 15, 2020. Random effect model (REM) was used to compute the pooled results with 95% confidence intervals (CIs). We conducted meta-regression and subgroup analysis to explore potential sources of heterogeneity. Publication bias was evaluated by funnel plots and Egger's test. Thirty articles with 1,578,449 participants were included in the meta-analysis. The pooled OR of COPD was 1.96 (95% CI: 1.78-2.17) for the underweight group, 0.80 (95% CI: 0.73-0.87) for overweight group, and 0.86 (95% CI: 0.73-1.02) for obesity group. After further excluding 5 studies of high between-study heterogeneity in sensitivity analysis, the pooled OR of COPD was 0.77 (95% CI: 0.68-0.86) for the obesity group. This meta-analysis indicated that BMI was associated with COPD. Specifically, underweight might increase the risk of COPD; overweight and obesity might reduce the risk of COPD. ARTICLE HISTORY&quot;,&quot;issue&quot;:&quot;1&quot;,&quot;volume&quot;:&quot;18&quot;,&quot;container-title-short&quot;:&quot;&quot;},&quot;isTemporary&quot;:false},{&quot;id&quot;:&quot;5d14899c-ee63-3b44-b231-d64ed7f22d8a&quot;,&quot;itemData&quot;:{&quot;type&quot;:&quot;article-journal&quot;,&quot;id&quot;:&quot;5d14899c-ee63-3b44-b231-d64ed7f22d8a&quot;,&quot;title&quot;:&quot;Risk factors of chronic obstructive pulmonary disease among adults in Chinese mainland: A systematic review and meta-analysis&quot;,&quot;author&quot;:[{&quot;family&quot;:&quot;Yang&quot;,&quot;given&quot;:&quot;Ying&quot;,&quot;parse-names&quot;:false,&quot;dropping-particle&quot;:&quot;&quot;,&quot;non-dropping-particle&quot;:&quot;&quot;},{&quot;family&quot;:&quot;Mao&quot;,&quot;given&quot;:&quot;Jing&quot;,&quot;parse-names&quot;:false,&quot;dropping-particle&quot;:&quot;&quot;,&quot;non-dropping-particle&quot;:&quot;&quot;},{&quot;family&quot;:&quot;Ye&quot;,&quot;given&quot;:&quot;Zhiying&quot;,&quot;parse-names&quot;:false,&quot;dropping-particle&quot;:&quot;&quot;,&quot;non-dropping-particle&quot;:&quot;&quot;},{&quot;family&quot;:&quot;Li&quot;,&quot;given&quot;:&quot;Jie&quot;,&quot;parse-names&quot;:false,&quot;dropping-particle&quot;:&quot;&quot;,&quot;non-dropping-particle&quot;:&quot;&quot;},{&quot;family&quot;:&quot;Zhao&quot;,&quot;given&quot;:&quot;Huimin&quot;,&quot;parse-names&quot;:false,&quot;dropping-particle&quot;:&quot;&quot;,&quot;non-dropping-particle&quot;:&quot;&quot;},{&quot;family&quot;:&quot;Liu&quot;,&quot;given&quot;:&quot;Yueting&quot;,&quot;parse-names&quot;:false,&quot;dropping-particle&quot;:&quot;&quot;,&quot;non-dropping-particle&quot;:&quot;&quot;}],&quot;container-title&quot;:&quot;Respiratory Medicine&quot;,&quot;container-title-short&quot;:&quot;Respir Med&quot;,&quot;accessed&quot;:{&quot;date-parts&quot;:[[2024,3,17]]},&quot;DOI&quot;:&quot;10.1016/j.rmed.2017.08.018&quot;,&quot;URL&quot;:&quot;http://dx.doi.org/10.1016/j.rmed.2017.08.018&quot;,&quot;issued&quot;:{&quot;date-parts&quot;:[[2017]]},&quot;page&quot;:&quot;158-165&quot;,&quot;abstract&quot;:&quot;Background: Identifying risk factors is a key point for preventive strategies to reduce the incidence of COPD. The aim of this systematic review and meta-analysis was to determine the most important risk factors for COPD among adults in Chinese Mainland, so as to provide some precautions and interventions on this disease and preventing further recurrences. Methods: A comprehensive literature review relating to risk factors for COPD through PubMed, EMBASE, Cochrane Library, China National Knowledge Infrastructure (CNKI), Wanfang database and VIP database was conducted before March 31, 2017. Odds ratio (OR) with 95% confidence interval (CI) was calculated after data combination to assess the associations between risk factors and COPD. Heterogeneity between the studies was assessed by I 2 and Cochran's Q test. Egger's test was used to assess publication bias. Results: A total of 13893 participants (6383 cases and 7510 controls) from 19 case-controls studies were included. 12 risk factors with significant differences found between COPD and control groups were listed as follows: male sex (OR ¼ 1.467; 95%CI: 1.097e1.962), smoking (OR ¼ 2.092; 95%CI: 1.707e2.565), low educational level (OR ¼ 1.609; 95%CI: 1.206e2.147), low BMI (OR ¼ 3.831; 95%CI: 2.223e6.603), family history of respiratory disease (OR ¼ 2.068; 95%CI: 1.466e2.918), allergy history (OR ¼ 2.381; 95%CI: 1.385 e4.093), respiratory infection during childhood (OR ¼ 2.695; 95%CI: 1.504e4.828), recurrent respiratory infection (OR ¼ 15.015; 95%CI: 4.538e49.684), occupational dust exposure (OR ¼ 1.791; 95%CI: 1.151 e2.788), biomass burning (OR ¼ 2.218; 95%CI: 1.308e3.762), poor housing ventilation (OR ¼ 3.993; 95% CI: 1.244e12.820), and living around polluted area (OR ¼ 1.631; 95%CI: 1.202e2.214). Conclusion: Twelve risk factors are associated with the occurrence of COPD in Chinese Mainland, which can be used to distinguish high-risk population. Health education and promotion campaigns should be designed in order to minimize or prevent the occurrence of COPD in Chinese Mainland.&quot;,&quot;volume&quot;:&quot;131&quot;},&quot;isTemporary&quot;:false},{&quot;id&quot;:&quot;9f8bc563-a705-3b03-bce1-601de6efc5ec&quot;,&quot;itemData&quot;:{&quot;type&quot;:&quot;article-journal&quot;,&quot;id&quot;:&quot;9f8bc563-a705-3b03-bce1-601de6efc5ec&quot;,&quot;title&quot;:&quot;Identifying risk factors for COPD and adult-onset asthma: an umbrella review&quot;,&quot;author&quot;:[{&quot;family&quot;:&quot;Holtjer&quot;,&quot;given&quot;:&quot;Judith C.S.&quot;,&quot;parse-names&quot;:false,&quot;dropping-particle&quot;:&quot;&quot;,&quot;non-dropping-particle&quot;:&quot;&quot;},{&quot;family&quot;:&quot;Bloemsma&quot;,&quot;given&quot;:&quot;Lizan D.&quot;,&quot;parse-names&quot;:false,&quot;dropping-particle&quot;:&quot;&quot;,&quot;non-dropping-particle&quot;:&quot;&quot;},{&quot;family&quot;:&quot;Beijers&quot;,&quot;given&quot;:&quot;Rosanne J.H.C.G.&quot;,&quot;parse-names&quot;:false,&quot;dropping-particle&quot;:&quot;&quot;,&quot;non-dropping-particle&quot;:&quot;&quot;},{&quot;family&quot;:&quot;Cornelissen&quot;,&quot;given&quot;:&quot;Merel E.B.&quot;,&quot;parse-names&quot;:false,&quot;dropping-particle&quot;:&quot;&quot;,&quot;non-dropping-particle&quot;:&quot;&quot;},{&quot;family&quot;:&quot;Hilvering&quot;,&quot;given&quot;:&quot;Bart&quot;,&quot;parse-names&quot;:false,&quot;dropping-particle&quot;:&quot;&quot;,&quot;non-dropping-particle&quot;:&quot;&quot;},{&quot;family&quot;:&quot;Houweling&quot;,&quot;given&quot;:&quot;Laura&quot;,&quot;parse-names&quot;:false,&quot;dropping-particle&quot;:&quot;&quot;,&quot;non-dropping-particle&quot;:&quot;&quot;},{&quot;family&quot;:&quot;Vermeulen&quot;,&quot;given&quot;:&quot;Roel C.H.&quot;,&quot;parse-names&quot;:false,&quot;dropping-particle&quot;:&quot;&quot;,&quot;non-dropping-particle&quot;:&quot;&quot;},{&quot;family&quot;:&quot;Downward&quot;,&quot;given&quot;:&quot;George S.&quot;,&quot;parse-names&quot;:false,&quot;dropping-particle&quot;:&quot;&quot;,&quot;non-dropping-particle&quot;:&quot;&quot;},{&quot;family&quot;:&quot;Zee&quot;,&quot;given&quot;:&quot;Anke Hilse Maitland&quot;,&quot;parse-names&quot;:false,&quot;dropping-particle&quot;:&quot;Van&quot;,&quot;non-dropping-particle&quot;:&quot;der&quot;}],&quot;container-title&quot;:&quot;European Respiratory Review&quot;,&quot;accessed&quot;:{&quot;date-parts&quot;:[[2024,3,17]]},&quot;DOI&quot;:&quot;10.1183/16000617.0009-2023&quot;,&quot;ISSN&quot;:&quot;16000617&quot;,&quot;PMID&quot;:&quot;37137510&quot;,&quot;URL&quot;:&quot;/pmc/articles/PMC10155046/&quot;,&quot;issued&quot;:{&quot;date-parts&quot;:[[2023,6,6]]},&quot;abstract&quot;:&quot;Background COPD and adult-onset asthma (AOA) are the most common noncommunicable respiratory diseases. To improve early identification and prevention, an overview of risk factors is needed. We therefore aimed to systematically summarise the nongenetic (exposome) risk factors for AOA and COPD. Additionally, we aimed to compare the risk factors for COPD and AOA. Methods In this umbrella review, we searched PubMed for articles from inception until 1 February 2023 and screened the references of relevant articles. We included systematic reviews and meta-analyses of observational epidemiological studies in humans that assessed a minimum of one lifestyle or environmental risk factor for AOA or COPD. Results In total, 75 reviews were included, of which 45 focused on risk factors for COPD, 28 on AOA and two examined both. For asthma, 43 different risk factors were identified while 45 were identified for COPD. For AOA, smoking, a high body mass index (BMI), wood dust exposure and residential chemical exposures, such as formaldehyde exposure or exposure to volatile organic compounds, were amongst the risk factors found. For COPD, smoking, ambient air pollution including nitrogen dioxide, a low BMI, indoor biomass burning, childhood asthma, occupational dust exposure and diet were amongst the risk factors found. Conclusions Many different factors for COPD and asthma have been found, highlighting the differences and similarities. The results of this systematic review can be used to target and identify people at high risk for COPD or AOA.&quot;,&quot;publisher&quot;:&quot;European Respiratory Society&quot;,&quot;issue&quot;:&quot;168&quot;,&quot;volume&quot;:&quot;32&quot;,&quot;container-title-short&quot;:&quot;&quot;},&quot;isTemporary&quot;:false}]},{&quot;citationID&quot;:&quot;MENDELEY_CITATION_d9d80d6a-bf2b-4d6b-960c-c463d028ac4c&quot;,&quot;properties&quot;:{&quot;noteIndex&quot;:0},&quot;isEdited&quot;:false,&quot;manualOverride&quot;:{&quot;isManuallyOverridden&quot;:false,&quot;citeprocText&quot;:&quot;[182,183]&quot;,&quot;manualOverrideText&quot;:&quot;&quot;},&quot;citationTag&quot;:&quot;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&quot;,&quot;citationItems&quot;:[{&quot;id&quot;:&quot;3f01b988-2f78-3ee4-9a96-3520a007c727&quot;,&quot;itemData&quot;:{&quot;type&quot;:&quot;article-journal&quot;,&quot;id&quot;:&quot;3f01b988-2f78-3ee4-9a96-3520a007c727&quot;,&quot;title&quot;:&quot;The Relationship Between BMI and Lung Function in Populations with Different Characteristics: A Cross-Sectional Study Based on the Enjoying Breathing Program in China&quot;,&quot;author&quot;:[{&quot;family&quot;:&quot;Tang&quot;,&quot;given&quot;:&quot;Xingyao&quot;,&quot;parse-names&quot;:false,&quot;dropping-particle&quot;:&quot;&quot;,&quot;non-dropping-particle&quot;:&quot;&quot;},{&quot;family&quot;:&quot;Lei&quot;,&quot;given&quot;:&quot;Jieping&quot;,&quot;parse-names&quot;:false,&quot;dropping-particle&quot;:&quot;&quot;,&quot;non-dropping-particle&quot;:&quot;&quot;},{&quot;family&quot;:&quot;Li&quot;,&quot;given&quot;:&quot;Wei&quot;,&quot;parse-names&quot;:false,&quot;dropping-particle&quot;:&quot;&quot;,&quot;non-dropping-particle&quot;:&quot;&quot;},{&quot;family&quot;:&quot;Peng&quot;,&quot;given&quot;:&quot;Yaodie&quot;,&quot;parse-names&quot;:false,&quot;dropping-particle&quot;:&quot;&quot;,&quot;non-dropping-particle&quot;:&quot;&quot;},{&quot;family&quot;:&quot;Wang&quot;,&quot;given&quot;:&quot;Chen&quot;,&quot;parse-names&quot;:false,&quot;dropping-particle&quot;:&quot;&quot;,&quot;non-dropping-particle&quot;:&quot;&quot;},{&quot;family&quot;:&quot;Huang&quot;,&quot;given&quot;:&quot;Ke&quot;,&quot;parse-names&quot;:false,&quot;dropping-particle&quot;:&quot;&quot;,&quot;non-dropping-particle&quot;:&quot;&quot;},{&quot;family&quot;:&quot;Yang&quot;,&quot;given&quot;:&quot;Ting&quot;,&quot;parse-names&quot;:false,&quot;dropping-particle&quot;:&quot;&quot;,&quot;non-dropping-particle&quot;:&quot;&quot;}],&quot;container-title&quot;:&quot;International Journal of Chronic Obstructive Pulmonary Disease&quot;,&quot;container-title-short&quot;:&quot;Int J Chron Obstruct Pulmon Dis&quot;,&quot;accessed&quot;:{&quot;date-parts&quot;:[[2024,3,17]]},&quot;DOI&quot;:&quot;10.2147/COPD.S378247&quot;,&quot;ISSN&quot;:&quot;11782005&quot;,&quot;PMID&quot;:&quot;36281228&quot;,&quot;URL&quot;:&quot;/pmc/articles/PMC9587705/&quot;,&quot;issued&quot;:{&quot;date-parts&quot;:[[2022]]},&quot;page&quot;:&quot;2677&quot;,&quot;abstract&quot;:&quot;Purpose: To analyze the relationship between body mass index (BMI) and lung function, which may help optimize the screening and management process for chronic obstructive pulmonary disease (COPD) in the early stages. Patients and Methods: In this cross-sectional study using data from the Enjoying Breathing Program in China, participants were divided into two groups according to COPD Screening Questionnaire (COPD-SQ) scores (at risk and not at risk of COPD) and three groups based on lung function (normal lung function, preserved ratio impaired spirometry [PRISm], and obstructive lung function). Results: A total of 32,033 subjects were enrolled in the current analysis. First, in people at risk of COPD, overweight and obese participants had better forced expiratory volume in one second (FEV1; overweight: 0.33 liters (l), 95% confidence interval [CI]: 0.27 to 0.38; obesity: 0.31 L, 95% CI: 0.22 to 0.39) values than the normal BMI group. Second, among people with PRISm, underweight participants had a lower FEV1 (−0.56 L, 95% CI: −0.86 to −0.26) and forced vital capacity (FVC; −0.33 L, 95% CI: −0.55 to −0.11) than participants with a normal weight, and obese participants had a higher FEV1 (0.22 L, 95% CI: 0.02 to 0.42) and FVC (0.16 L, 95% CI: 0.02 to 0.30) than participants with a normal weight. Taking normal BMI as the reference group, lower FEV1 (−0.80 L, 95% CI: −0.97 to −0.63) and FVC (−0.53 L, 95% CI: −0.64 to −0.42) were found in underweight participants with obstructive spirometry, and better FEV1 (obesity: 0.26 L, 95% CI: 0.12 to 0.40) was found in obese participants with obstructive spirometry. Conclusion: Being underweight and severely obese are associated with reduced lung function. Slight obesity was shown to be a protective factor for lung function in people at risk of COPD and those with PRISm.&quot;,&quot;publisher&quot;:&quot;Dove Press&quot;,&quot;volume&quot;:&quot;17&quot;},&quot;isTemporary&quot;:false},{&quot;id&quot;:&quot;f5770aed-0a26-341c-9a34-a9c72188a023&quot;,&quot;itemData&quot;:{&quot;type&quot;:&quot;article-journal&quot;,&quot;id&quot;:&quot;f5770aed-0a26-341c-9a34-a9c72188a023&quot;,&quot;title&quot;:&quot;Associations between different body mass index and lung function impairment in Chinese people aged over 40 years: a multicenter cross-sectional study&quot;,&quot;author&quot;:[{&quot;family&quot;:&quot;Tang&quot;,&quot;given&quot;:&quot;Yumeng&quot;,&quot;parse-names&quot;:false,&quot;dropping-particle&quot;:&quot;&quot;,&quot;non-dropping-particle&quot;:&quot;&quot;},{&quot;family&quot;:&quot;Zhang&quot;,&quot;given&quot;:&quot;Lan&quot;,&quot;parse-names&quot;:false,&quot;dropping-particle&quot;:&quot;&quot;,&quot;non-dropping-particle&quot;:&quot;&quot;},{&quot;family&quot;:&quot;Zhu&quot;,&quot;given&quot;:&quot;Shuzhen&quot;,&quot;parse-names&quot;:false,&quot;dropping-particle&quot;:&quot;&quot;,&quot;non-dropping-particle&quot;:&quot;&quot;},{&quot;family&quot;:&quot;Shen&quot;,&quot;given&quot;:&quot;Miaoyan&quot;,&quot;parse-names&quot;:false,&quot;dropping-particle&quot;:&quot;&quot;,&quot;non-dropping-particle&quot;:&quot;&quot;},{&quot;family&quot;:&quot;Cheng&quot;,&quot;given&quot;:&quot;Maowei&quot;,&quot;parse-names&quot;:false,&quot;dropping-particle&quot;:&quot;&quot;,&quot;non-dropping-particle&quot;:&quot;&quot;},{&quot;family&quot;:&quot;Peng&quot;,&quot;given&quot;:&quot;Fei&quot;,&quot;parse-names&quot;:false,&quot;dropping-particle&quot;:&quot;&quot;,&quot;non-dropping-particle&quot;:&quot;&quot;}],&quot;container-title&quot;:&quot;BMC Pulmonary Medicine&quot;,&quot;container-title-short&quot;:&quot;BMC Pulm Med&quot;,&quot;accessed&quot;:{&quot;date-parts&quot;:[[2024,3,17]]},&quot;DOI&quot;:&quot;10.1186/S12890-024-02844-X&quot;,&quot;ISSN&quot;:&quot;14712466&quot;,&quot;PMID&quot;:&quot;38212744&quot;,&quot;URL&quot;:&quot;/pmc/articles/PMC10785338/&quot;,&quot;issued&quot;:{&quot;date-parts&quot;:[[2024,12,1]]},&quot;abstract&quot;:&quot;Objective: The aim of this study was to explore the associations between different body mass index (BMI) levels and different lung function impairment (LFI) in Chinese people aged over 40 years. Methods: We used a multi-stage stratified cluster random sampling method to investigate 3000 residents aged over 40 years from 5 areas in Hubei province of China in 2019-20. The data on questionnaire, physical measurements, and spirometry of the participants were collected. The associations of different BMI levels with different LFI were analyzed using multivariate logistic regressions after complex weighting. The spirometry data were analyzed using one-factor analysis of variance (ANOVA), and post-hoc was performed using the least significance difference (LSD)-t test. Results: A total of 2860 subjects were included. The prevalence (95%CI) of obstructive lung disease (OLD), restrictive lung disease (RLD), mixed lung disease (MLD), chronic obstructive pulmonary disease (COPD), COPD mild, and COPD moderate/severe/very severe were 24.1% (95% CI: 22.2–26.2), 11.6% (95% CI: 10.3–12.9), 4.0% (95% CI: 3.3–4.8), 12.6% (95% CI: 11.0-14.1), 7.2% (95% CI: 6.0-8.4), and 5.3% (95% CI: 4.3–6.4) respectively. After multivariate adjustment, the risk of OLD, COPD, and COPD mild decreased with the increment of BMI levels (both P for trend &lt; 0.05). When compared to the normal weight group, the overweight group and obese group were at lower risk of experiencing OLD than normal group, the ORs were 0.77 (95% CI: 0.59–0.99) and 0.59 (95% CI: 0.40–0.86) respectively. The obese group was at lower risk for people with COPD mild (OR: 0.42, 95%CI: 0.21–0.85). Participants in underweight group were more likely to experience COPD and COPD moderate/severe/very severe, the ORs were 2.82 (95% CI: 1.07–7.39) and 3.89 (95% CI: 1.28–11.87) respectively. Conclusion: Higher BMI levels were associated with an decreased risk of OLD and COPD. Obesity had a protective effect on lung function in OLD patients and COPD patients. However, there was no significant difference in RLD and MLD prevalence between different BMI groups.&quot;,&quot;publisher&quot;:&quot;BMC&quot;,&quot;issue&quot;:&quot;1&quot;,&quot;volume&quot;:&quot;24&quot;},&quot;isTemporary&quot;:false}]},{&quot;citationID&quot;:&quot;MENDELEY_CITATION_c45e0639-1c50-44d6-9b0c-dcc984e34d47&quot;,&quot;properties&quot;:{&quot;noteIndex&quot;:0},&quot;isEdited&quot;:false,&quot;manualOverride&quot;:{&quot;isManuallyOverridden&quot;:false,&quot;citeprocText&quot;:&quot;[184]&quot;,&quot;manualOverrideText&quot;:&quot;&quot;},&quot;citationTag&quot;:&quot;MENDELEY_CITATION_v3_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&quot;,&quot;citationItems&quot;:[{&quot;id&quot;:&quot;27894937-fee0-34f3-af68-cf29ff31e44b&quot;,&quot;itemData&quot;:{&quot;type&quot;:&quot;article-journal&quot;,&quot;id&quot;:&quot;27894937-fee0-34f3-af68-cf29ff31e44b&quot;,&quot;title&quot;:&quot;Update on the Etiology, Assessment, and Management of COPD Cachexia: Considerations for the Clinician&quot;,&quot;author&quot;:[{&quot;family&quot;:&quot;Brandt&quot;,&quot;given&quot;:&quot;Jana&quot;,&quot;parse-names&quot;:false,&quot;dropping-particle&quot;:&quot;&quot;,&quot;non-dropping-particle&quot;:&quot;De&quot;},{&quot;family&quot;:&quot;Beijers&quot;,&quot;given&quot;:&quot;Rosanne J.H.C.G.&quot;,&quot;parse-names&quot;:false,&quot;dropping-particle&quot;:&quot;&quot;,&quot;non-dropping-particle&quot;:&quot;&quot;},{&quot;family&quot;:&quot;Schols&quot;,&quot;given&quot;:&quot;Annemie M.W.J.&quot;,&quot;parse-names&quot;:false,&quot;dropping-particle&quot;:&quot;&quot;,&quot;non-dropping-particle&quot;:&quot;&quot;},{&quot;family&quot;:&quot;Nyberg&quot;,&quot;given&quot;:&quot;André&quot;,&quot;parse-names&quot;:false,&quot;dropping-particle&quot;:&quot;&quot;,&quot;non-dropping-particle&quot;:&quot;&quot;},{&quot;family&quot;:&quot;Chiles&quot;,&quot;given&quot;:&quot;Joe&quot;,&quot;parse-names&quot;:false,&quot;dropping-particle&quot;:&quot;&quot;,&quot;non-dropping-particle&quot;:&quot;&quot;},{&quot;family&quot;:&quot;Maddocks&quot;,&quot;given&quot;:&quot;Matthew&quot;,&quot;parse-names&quot;:false,&quot;dropping-particle&quot;:&quot;&quot;,&quot;non-dropping-particle&quot;:&quot;&quot;},{&quot;family&quot;:&quot;McDonald&quot;,&quot;given&quot;:&quot;Merry Lynn N.&quot;,&quot;parse-names&quot;:false,&quot;dropping-particle&quot;:&quot;&quot;,&quot;non-dropping-particle&quot;:&quot;&quot;}],&quot;container-title&quot;:&quot;International Journal of Chronic Obstructive Pulmonary Disease&quot;,&quot;container-title-short&quot;:&quot;Int J Chron Obstruct Pulmon Dis&quot;,&quot;accessed&quot;:{&quot;date-parts&quot;:[[2025,1,5]]},&quot;DOI&quot;:&quot;10.2147/COPD.S334228&quot;,&quot;ISSN&quot;:&quot;11782005&quot;,&quot;PMID&quot;:&quot;36425061&quot;,&quot;URL&quot;:&quot;https://pmc.ncbi.nlm.nih.gov/articles/PMC9680681/&quot;,&quot;issued&quot;:{&quot;date-parts&quot;:[[2022]]},&quot;page&quot;:&quot;2957&quot;,&quot;abstract&quot;:&quot;Cachexia is a commonly observed but frequently neglected extra-pulmonary manifestation in patients with chronic obstructive pulmonary disease (COPD). Cachexia is a multifactorial syndrome characterized by severe loss of body weight, muscle, and fat, as well as increased protein catabolism. COPD cachexia places a high burden on patients (eg, increased mortality risk and disease burden, reduced exercise capacity and quality of life) and the healthcare system (eg, increased number, length, and cost of hospitalizations). The etiology of COPD cachexia involves a complex interplay of non-modifiable and modifiable factors (eg, smoking, hypoxemia, hypercapnia, physical inactivity, energy imbalance, and exacerbations). Addressing these modifiable factors is needed to prevent and treat COPD cachexia. Oral nutritional supplementation combined with exercise training should be the primary multimodal treatment approach. Adding a pharmacological agent might be considered in some, but not all, patients with COPD cachexia. Clinicians and researchers should use longitudinal measures (eg, weight loss, muscle mass loss) instead of cross-sectional measures (eg, low body mass index or fat-free mass index) where possible to evaluate patients with COPD cachexia. Lastly, in future research, more detailed phenotyping of cachectic patients to enable a better comparison of included patients between studies, prospective longitudinal studies, and more focus on the impact of exacerbations and the role of biomarkers in COPD cachexia, are highly recommended.&quot;,&quot;publisher&quot;:&quot;Dove Medical Press Ltd&quot;,&quot;volume&quot;:&quot;17&quot;},&quot;isTemporary&quot;:false}]},{&quot;citationID&quot;:&quot;MENDELEY_CITATION_74631cd8-fbd1-4e2c-b096-342d2acb598a&quot;,&quot;properties&quot;:{&quot;noteIndex&quot;:0},&quot;isEdited&quot;:false,&quot;manualOverride&quot;:{&quot;isManuallyOverridden&quot;:false,&quot;citeprocText&quot;:&quot;[134]&quot;,&quot;manualOverrideText&quot;:&quot;&quot;},&quot;citationTag&quot;:&quot;MENDELEY_CITATION_v3_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&quot;,&quot;citationItems&quot;:[{&quot;id&quot;:&quot;36563a6b-929c-3d2d-acdc-befd07c3d8fd&quot;,&quot;itemData&quot;:{&quot;type&quot;:&quot;book&quot;,&quot;id&quot;:&quot;36563a6b-929c-3d2d-acdc-befd07c3d8fd&quot;,&quot;title&quot;:&quot;Methods in Epidemiologic Research&quot;,&quot;author&quot;:[{&quot;family&quot;:&quot;Dohoo&quot;,&quot;given&quot;:&quot;Ian&quot;,&quot;parse-names&quot;:false,&quot;dropping-particle&quot;:&quot;&quot;,&quot;non-dropping-particle&quot;:&quot;&quot;},{&quot;family&quot;:&quot;Martin&quot;,&quot;given&quot;:&quot;Wayne&quot;,&quot;parse-names&quot;:false,&quot;dropping-particle&quot;:&quot;&quot;,&quot;non-dropping-particle&quot;:&quot;&quot;},{&quot;family&quot;:&quot;Stryhn&quot;,&quot;given&quot;:&quot;Henrik&quot;,&quot;parse-names&quot;:false,&quot;dropping-particle&quot;:&quot;&quot;,&quot;non-dropping-particle&quot;:&quot;&quot;}],&quot;editor&quot;:[{&quot;family&quot;:&quot;McPike&quot;,&quot;given&quot;:&quot;S Margaret&quot;,&quot;parse-names&quot;:false,&quot;dropping-particle&quot;:&quot;&quot;,&quot;non-dropping-particle&quot;:&quot;&quot;}],&quot;ISBN&quot;:&quot;978-0-919013-73-5&quot;,&quot;issued&quot;:{&quot;date-parts&quot;:[[2012]]},&quot;publisher-place&quot;:&quot;Charlottetown, Prince Edward Island, Canda&quot;,&quot;number-of-pages&quot;:&quot;90-93&quot;,&quot;edition&quot;:&quot;1&quot;,&quot;publisher&quot;:&quot;VER Inc.&quot;,&quot;container-title-short&quot;:&quot;&quot;},&quot;isTemporary&quot;:false}]},{&quot;citationID&quot;:&quot;MENDELEY_CITATION_e4c4b9cb-63ff-407c-adfe-2e56a1cefae5&quot;,&quot;properties&quot;:{&quot;noteIndex&quot;:0},&quot;isEdited&quot;:false,&quot;manualOverride&quot;:{&quot;isManuallyOverridden&quot;:false,&quot;citeprocText&quot;:&quot;[183]&quot;,&quot;manualOverrideText&quot;:&quot;&quot;},&quot;citationTag&quot;:&quot;MENDELEY_CITATION_v3_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&quot;,&quot;citationItems&quot;:[{&quot;id&quot;:&quot;f5770aed-0a26-341c-9a34-a9c72188a023&quot;,&quot;itemData&quot;:{&quot;type&quot;:&quot;article-journal&quot;,&quot;id&quot;:&quot;f5770aed-0a26-341c-9a34-a9c72188a023&quot;,&quot;title&quot;:&quot;Associations between different body mass index and lung function impairment in Chinese people aged over 40 years: a multicenter cross-sectional study&quot;,&quot;author&quot;:[{&quot;family&quot;:&quot;Tang&quot;,&quot;given&quot;:&quot;Yumeng&quot;,&quot;parse-names&quot;:false,&quot;dropping-particle&quot;:&quot;&quot;,&quot;non-dropping-particle&quot;:&quot;&quot;},{&quot;family&quot;:&quot;Zhang&quot;,&quot;given&quot;:&quot;Lan&quot;,&quot;parse-names&quot;:false,&quot;dropping-particle&quot;:&quot;&quot;,&quot;non-dropping-particle&quot;:&quot;&quot;},{&quot;family&quot;:&quot;Zhu&quot;,&quot;given&quot;:&quot;Shuzhen&quot;,&quot;parse-names&quot;:false,&quot;dropping-particle&quot;:&quot;&quot;,&quot;non-dropping-particle&quot;:&quot;&quot;},{&quot;family&quot;:&quot;Shen&quot;,&quot;given&quot;:&quot;Miaoyan&quot;,&quot;parse-names&quot;:false,&quot;dropping-particle&quot;:&quot;&quot;,&quot;non-dropping-particle&quot;:&quot;&quot;},{&quot;family&quot;:&quot;Cheng&quot;,&quot;given&quot;:&quot;Maowei&quot;,&quot;parse-names&quot;:false,&quot;dropping-particle&quot;:&quot;&quot;,&quot;non-dropping-particle&quot;:&quot;&quot;},{&quot;family&quot;:&quot;Peng&quot;,&quot;given&quot;:&quot;Fei&quot;,&quot;parse-names&quot;:false,&quot;dropping-particle&quot;:&quot;&quot;,&quot;non-dropping-particle&quot;:&quot;&quot;}],&quot;container-title&quot;:&quot;BMC Pulmonary Medicine&quot;,&quot;container-title-short&quot;:&quot;BMC Pulm Med&quot;,&quot;accessed&quot;:{&quot;date-parts&quot;:[[2024,3,17]]},&quot;DOI&quot;:&quot;10.1186/S12890-024-02844-X&quot;,&quot;ISSN&quot;:&quot;14712466&quot;,&quot;PMID&quot;:&quot;38212744&quot;,&quot;URL&quot;:&quot;/pmc/articles/PMC10785338/&quot;,&quot;issued&quot;:{&quot;date-parts&quot;:[[2024,12,1]]},&quot;abstract&quot;:&quot;Objective: The aim of this study was to explore the associations between different body mass index (BMI) levels and different lung function impairment (LFI) in Chinese people aged over 40 years. Methods: We used a multi-stage stratified cluster random sampling method to investigate 3000 residents aged over 40 years from 5 areas in Hubei province of China in 2019-20. The data on questionnaire, physical measurements, and spirometry of the participants were collected. The associations of different BMI levels with different LFI were analyzed using multivariate logistic regressions after complex weighting. The spirometry data were analyzed using one-factor analysis of variance (ANOVA), and post-hoc was performed using the least significance difference (LSD)-t test. Results: A total of 2860 subjects were included. The prevalence (95%CI) of obstructive lung disease (OLD), restrictive lung disease (RLD), mixed lung disease (MLD), chronic obstructive pulmonary disease (COPD), COPD mild, and COPD moderate/severe/very severe were 24.1% (95% CI: 22.2–26.2), 11.6% (95% CI: 10.3–12.9), 4.0% (95% CI: 3.3–4.8), 12.6% (95% CI: 11.0-14.1), 7.2% (95% CI: 6.0-8.4), and 5.3% (95% CI: 4.3–6.4) respectively. After multivariate adjustment, the risk of OLD, COPD, and COPD mild decreased with the increment of BMI levels (both P for trend &lt; 0.05). When compared to the normal weight group, the overweight group and obese group were at lower risk of experiencing OLD than normal group, the ORs were 0.77 (95% CI: 0.59–0.99) and 0.59 (95% CI: 0.40–0.86) respectively. The obese group was at lower risk for people with COPD mild (OR: 0.42, 95%CI: 0.21–0.85). Participants in underweight group were more likely to experience COPD and COPD moderate/severe/very severe, the ORs were 2.82 (95% CI: 1.07–7.39) and 3.89 (95% CI: 1.28–11.87) respectively. Conclusion: Higher BMI levels were associated with an decreased risk of OLD and COPD. Obesity had a protective effect on lung function in OLD patients and COPD patients. However, there was no significant difference in RLD and MLD prevalence between different BMI groups.&quot;,&quot;publisher&quot;:&quot;BMC&quot;,&quot;issue&quot;:&quot;1&quot;,&quot;volume&quot;:&quot;24&quot;},&quot;isTemporary&quot;:false}]},{&quot;citationID&quot;:&quot;MENDELEY_CITATION_e3ae7e34-a2ad-419c-959e-1a0e19f5bed6&quot;,&quot;properties&quot;:{&quot;noteIndex&quot;:0},&quot;isEdited&quot;:false,&quot;manualOverride&quot;:{&quot;isManuallyOverridden&quot;:false,&quot;citeprocText&quot;:&quot;[148,149]&quot;,&quot;manualOverrideText&quot;:&quot;&quot;},&quot;citationTag&quot;:&quot;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&quot;,&quot;citationItems&quot;:[{&quot;id&quot;:&quot;083b7b99-ee9c-36cb-94e8-1f3bbb5204ac&quot;,&quot;itemData&quot;:{&quot;type&quot;:&quot;article-journal&quot;,&quot;id&quot;:&quot;083b7b99-ee9c-36cb-94e8-1f3bbb5204ac&quot;,&quot;title&quot;:&quot;Asthma as a Risk Factor for COPD in a Longitudinal Study&quot;,&quot;author&quot;:[{&quot;family&quot;:&quot;Silva&quot;,&quot;given&quot;:&quot;Graciela&quot;,&quot;parse-names&quot;:false,&quot;dropping-particle&quot;:&quot;&quot;,&quot;non-dropping-particle&quot;:&quot;&quot;},{&quot;family&quot;:&quot;Sherrille&quot;,&quot;given&quot;:&quot;Dunane&quot;,&quot;parse-names&quot;:false,&quot;dropping-particle&quot;:&quot;&quot;,&quot;non-dropping-particle&quot;:&quot;&quot;},{&quot;family&quot;:&quot;Guerra&quot;,&quot;given&quot;:&quot;Stefano&quot;,&quot;parse-names&quot;:false,&quot;dropping-particle&quot;:&quot;&quot;,&quot;non-dropping-particle&quot;:&quot;&quot;},{&quot;family&quot;:&quot;Barbee&quot;,&quot;given&quot;:&quot;Robert&quot;,&quot;parse-names&quot;:false,&quot;dropping-particle&quot;:&quot;&quot;,&quot;non-dropping-particle&quot;:&quot;&quot;}],&quot;container-title&quot;:&quot;Chest&quot;,&quot;container-title-short&quot;:&quot;Chest&quot;,&quot;DOI&quot;:&quot;10.1016/s8756-3452(08)70006-9&quot;,&quot;ISSN&quot;:&quot;87563452&quot;,&quot;issued&quot;:{&quot;date-parts&quot;:[[2004]]},&quot;page&quot;:&quot;59-65&quot;,&quot;issue&quot;:&quot;1&quot;,&quot;volume&quot;:&quot;126&quot;},&quot;isTemporary&quot;:false},{&quot;id&quot;:&quot;e5dc4953-b650-340c-a09b-f07d3fd3d258&quot;,&quot;itemData&quot;:{&quot;type&quot;:&quot;article-journal&quot;,&quot;id&quot;:&quot;e5dc4953-b650-340c-a09b-f07d3fd3d258&quot;,&quot;title&quot;:&quot;Patterns of Growth and Decline in Lung Function in Persistent Childhood Asthma&quot;,&quot;author&quot;:[{&quot;family&quot;:&quot;McGeachie&quot;,&quot;given&quot;:&quot;Michael J.&quot;,&quot;parse-names&quot;:false,&quot;dropping-particle&quot;:&quot;&quot;,&quot;non-dropping-particle&quot;:&quot;&quot;},{&quot;family&quot;:&quot;Yates&quot;,&quot;given&quot;:&quot;Katherine P.&quot;,&quot;parse-names&quot;:false,&quot;dropping-particle&quot;:&quot;&quot;,&quot;non-dropping-particle&quot;:&quot;&quot;},{&quot;family&quot;:&quot;Zhou&quot;,&quot;given&quot;:&quot;Xiaobo&quot;,&quot;parse-names&quot;:false,&quot;dropping-particle&quot;:&quot;&quot;,&quot;non-dropping-particle&quot;:&quot;&quot;},{&quot;family&quot;:&quot;Guo&quot;,&quot;given&quot;:&quot;Feng&quot;,&quot;parse-names&quot;:false,&quot;dropping-particle&quot;:&quot;&quot;,&quot;non-dropping-particle&quot;:&quot;&quot;},{&quot;family&quot;:&quot;Sternberg&quot;,&quot;given&quot;:&quot;Alice L.&quot;,&quot;parse-names&quot;:false,&quot;dropping-particle&quot;:&quot;&quot;,&quot;non-dropping-particle&quot;:&quot;&quot;},{&quot;family&quot;:&quot;Natta&quot;,&quot;given&quot;:&quot;Mark L.&quot;,&quot;parse-names&quot;:false,&quot;dropping-particle&quot;:&quot;&quot;,&quot;non-dropping-particle&quot;:&quot;Van&quot;},{&quot;family&quot;:&quot;Wise&quot;,&quot;given&quot;:&quot;Robert A.&quot;,&quot;parse-names&quot;:false,&quot;dropping-particle&quot;:&quot;&quot;,&quot;non-dropping-particle&quot;:&quot;&quot;},{&quot;family&quot;:&quot;Szefler&quot;,&quot;given&quot;:&quot;Stanley J.&quot;,&quot;parse-names&quot;:false,&quot;dropping-particle&quot;:&quot;&quot;,&quot;non-dropping-particle&quot;:&quot;&quot;},{&quot;family&quot;:&quot;Sharma&quot;,&quot;given&quot;:&quot;Sunita&quot;,&quot;parse-names&quot;:false,&quot;dropping-particle&quot;:&quot;&quot;,&quot;non-dropping-particle&quot;:&quot;&quot;},{&quot;family&quot;:&quot;Kho&quot;,&quot;given&quot;:&quot;Alvin T.&quot;,&quot;parse-names&quot;:false,&quot;dropping-particle&quot;:&quot;&quot;,&quot;non-dropping-particle&quot;:&quot;&quot;},{&quot;family&quot;:&quot;Cho&quot;,&quot;given&quot;:&quot;Michael H.&quot;,&quot;parse-names&quot;:false,&quot;dropping-particle&quot;:&quot;&quot;,&quot;non-dropping-particle&quot;:&quot;&quot;},{&quot;family&quot;:&quot;Croteau-Chonka&quot;,&quot;given&quot;:&quot;Damien C.&quot;,&quot;parse-names&quot;:false,&quot;dropping-particle&quot;:&quot;&quot;,&quot;non-dropping-particle&quot;:&quot;&quot;},{&quot;family&quot;:&quot;Castaldi&quot;,&quot;given&quot;:&quot;Peter J.&quot;,&quot;parse-names&quot;:false,&quot;dropping-particle&quot;:&quot;&quot;,&quot;non-dropping-particle&quot;:&quot;&quot;},{&quot;family&quot;:&quot;Jain&quot;,&quot;given&quot;:&quot;Gaurav&quot;,&quot;parse-names&quot;:false,&quot;dropping-particle&quot;:&quot;&quot;,&quot;non-dropping-particle&quot;:&quot;&quot;},{&quot;family&quot;:&quot;Sanyal&quot;,&quot;given&quot;:&quot;Amartya&quot;,&quot;parse-names&quot;:false,&quot;dropping-particle&quot;:&quot;&quot;,&quot;non-dropping-particle&quot;:&quot;&quot;},{&quot;family&quot;:&quot;Zhan&quot;,&quot;given&quot;:&quot;Ye&quot;,&quot;parse-names&quot;:false,&quot;dropping-particle&quot;:&quot;&quot;,&quot;non-dropping-particle&quot;:&quot;&quot;},{&quot;family&quot;:&quot;Lajoie&quot;,&quot;given&quot;:&quot;Bryan R.&quot;,&quot;parse-names&quot;:false,&quot;dropping-particle&quot;:&quot;&quot;,&quot;non-dropping-particle&quot;:&quot;&quot;},{&quot;family&quot;:&quot;Dekker&quot;,&quot;given&quot;:&quot;Job&quot;,&quot;parse-names&quot;:false,&quot;dropping-particle&quot;:&quot;&quot;,&quot;non-dropping-particle&quot;:&quot;&quot;},{&quot;family&quot;:&quot;Stamatoyannopoulos&quot;,&quot;given&quot;:&quot;John&quot;,&quot;parse-names&quot;:false,&quot;dropping-particle&quot;:&quot;&quot;,&quot;non-dropping-particle&quot;:&quot;&quot;},{&quot;family&quot;:&quot;Covar&quot;,&quot;given&quot;:&quot;Ronina A.&quot;,&quot;parse-names&quot;:false,&quot;dropping-particle&quot;:&quot;&quot;,&quot;non-dropping-particle&quot;:&quot;&quot;},{&quot;family&quot;:&quot;Zeiger&quot;,&quot;given&quot;:&quot;Robert S.&quot;,&quot;parse-names&quot;:false,&quot;dropping-particle&quot;:&quot;&quot;,&quot;non-dropping-particle&quot;:&quot;&quot;},{&quot;family&quot;:&quot;Adkinson&quot;,&quot;given&quot;:&quot;N. Franklin&quot;,&quot;parse-names&quot;:false,&quot;dropping-particle&quot;:&quot;&quot;,&quot;non-dropping-particle&quot;:&quot;&quot;},{&quot;family&quot;:&quot;Williams&quot;,&quot;given&quot;:&quot;Paul&quot;,&quot;parse-names&quot;:false,&quot;dropping-particle&quot;:&quot;V.&quot;,&quot;non-dropping-particle&quot;:&quot;&quot;},{&quot;family&quot;:&quot;Kelly&quot;,&quot;given&quot;:&quot;H. William&quot;,&quot;parse-names&quot;:false,&quot;dropping-particle&quot;:&quot;&quot;,&quot;non-dropping-particle&quot;:&quot;&quot;},{&quot;family&quot;:&quot;Grasemann&quot;,&quot;given&quot;:&quot;Hartmut&quot;,&quot;parse-names&quot;:false,&quot;dropping-particle&quot;:&quot;&quot;,&quot;non-dropping-particle&quot;:&quot;&quot;},{&quot;family&quot;:&quot;Vonk&quot;,&quot;given&quot;:&quot;Judith M.&quot;,&quot;parse-names&quot;:false,&quot;dropping-particle&quot;:&quot;&quot;,&quot;non-dropping-particle&quot;:&quot;&quot;},{&quot;family&quot;:&quot;Koppelman&quot;,&quot;given&quot;:&quot;Gerard H.&quot;,&quot;parse-names&quot;:false,&quot;dropping-particle&quot;:&quot;&quot;,&quot;non-dropping-particle&quot;:&quot;&quot;},{&quot;family&quot;:&quot;Postma&quot;,&quot;given&quot;:&quot;Dirkje S.&quot;,&quot;parse-names&quot;:false,&quot;dropping-particle&quot;:&quot;&quot;,&quot;non-dropping-particle&quot;:&quot;&quot;},{&quot;family&quot;:&quot;Raby&quot;,&quot;given&quot;:&quot;Benjamin A.&quot;,&quot;parse-names&quot;:false,&quot;dropping-particle&quot;:&quot;&quot;,&quot;non-dropping-particle&quot;:&quot;&quot;},{&quot;family&quot;:&quot;Houston&quot;,&quot;given&quot;:&quot;Isaac&quot;,&quot;parse-names&quot;:false,&quot;dropping-particle&quot;:&quot;&quot;,&quot;non-dropping-particle&quot;:&quot;&quot;},{&quot;family&quot;:&quot;Lu&quot;,&quot;given&quot;:&quot;Quan&quot;,&quot;parse-names&quot;:false,&quot;dropping-particle&quot;:&quot;&quot;,&quot;non-dropping-particle&quot;:&quot;&quot;},{&quot;family&quot;:&quot;Fuhlbrigge&quot;,&quot;given&quot;:&quot;Anne L.&quot;,&quot;parse-names&quot;:false,&quot;dropping-particle&quot;:&quot;&quot;,&quot;non-dropping-particle&quot;:&quot;&quot;},{&quot;family&quot;:&quot;Tantisira&quot;,&quot;given&quot;:&quot;Kelan G.&quot;,&quot;parse-names&quot;:false,&quot;dropping-particle&quot;:&quot;&quot;,&quot;non-dropping-particle&quot;:&quot;&quot;},{&quot;family&quot;:&quot;Silverman&quot;,&quot;given&quot;:&quot;Edwin K.&quot;,&quot;parse-names&quot;:false,&quot;dropping-particle&quot;:&quot;&quot;,&quot;non-dropping-particle&quot;:&quot;&quot;},{&quot;family&quot;:&quot;Tonascia&quot;,&quot;given&quot;:&quot;James&quot;,&quot;parse-names&quot;:false,&quot;dropping-particle&quot;:&quot;&quot;,&quot;non-dropping-particle&quot;:&quot;&quot;},{&quot;family&quot;:&quot;Weiss&quot;,&quot;given&quot;:&quot;Scott T.&quot;,&quot;parse-names&quot;:false,&quot;dropping-particle&quot;:&quot;&quot;,&quot;non-dropping-particle&quot;:&quot;&quot;},{&quot;family&quot;:&quot;Strunk&quot;,&quot;given&quot;:&quot;Robert C.&quot;,&quot;parse-names&quot;:false,&quot;dropping-particle&quot;:&quot;&quot;,&quot;non-dropping-particle&quot;:&quot;&quot;}],&quot;container-title&quot;:&quot;The New England journal of medicine&quot;,&quot;container-title-short&quot;:&quot;N Engl J Med&quot;,&quot;accessed&quot;:{&quot;date-parts&quot;:[[2022,5,8]]},&quot;DOI&quot;:&quot;10.1056/NEJMOA1513737&quot;,&quot;ISSN&quot;:&quot;0028-4793&quot;,&quot;PMID&quot;:&quot;27168434&quot;,&quot;URL&quot;:&quot;/pmc/articles/PMC5032024/&quot;,&quot;issued&quot;:{&quot;date-parts&quot;:[[2016,5,12]]},&quot;page&quot;:&quot;1842&quot;,&quot;abstract&quot;:&quot;BACKGROUND Tracking longitudinal measurements of growth and decline in lung function in patients with persistent childhood asthma may reveal links between asthma and subsequent chronic airflow obstruction. METHODS We classified children with asthma according to four characteristic patterns of lung-function growth and decline on the basis of graphs showing forced expiratory volume in 1 second (FEV1), representing spirometric measurements performed from childhood into adulthood. Risk factors associated with abnormal patterns were also examined. To define normal values, we used FEV1 values from participants in the National Health and Nutrition Examination Survey who did not have asthma. RESULTS Of the 684 study participants, 170 (25%) had a normal pattern of lung-function growth without early decline, and 514 (75%) had abnormal patterns: 176 (26%) had reduced growth and an early decline, 160 (23%) had reduced growth only, and 178 (26%) had normal growth and an early decline. Lower baseline values for FEV1, smaller bronchodilator response, airway hyperresponsiveness at baseline, and male sex were associated with reduced growth (P&lt;0.001 for all comparisons). At the last spirometric measurement (mean [±SD] age, 26.0±1.8 years), 73 participants (11%) met Global Initiative for Chronic Obstructive Lung Disease spirometric criteria for lung-function impairment that was consistent with chronic obstructive pulmonary disease (COPD); these participants were more likely to have a reduced pattern of growth than a normal pattern (18% vs. 3%, P&lt;0.001). CONCLUSIONS Childhood impairment of lung function and male sex were the most significant predictors of abnormal longitudinal patterns of lung-function growth and decline. Children with persistent asthma and reduced growth of lung function are at increased risk for fixed airflow obstruction and possibly COPD in early adulthood. (Funded by the Parker B. Francis Foundation and others; ClinicalTrials.gov number, NCT00000575.)&quot;,&quot;publisher&quot;:&quot;NIH Public Access&quot;,&quot;issue&quot;:&quot;19&quot;,&quot;volume&quot;:&quot;374&quot;},&quot;isTemporary&quot;:false}]},{&quot;citationID&quot;:&quot;MENDELEY_CITATION_ea819aee-ab76-429e-8ebc-07ce7b4402f9&quot;,&quot;properties&quot;:{&quot;noteIndex&quot;:0},&quot;isEdited&quot;:false,&quot;manualOverride&quot;:{&quot;isManuallyOverridden&quot;:false,&quot;citeprocText&quot;:&quot;[149]&quot;,&quot;manualOverrideText&quot;:&quot;&quot;},&quot;citationTag&quot;:&quot;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&quot;,&quot;citationItems&quot;:[{&quot;id&quot;:&quot;e5dc4953-b650-340c-a09b-f07d3fd3d258&quot;,&quot;itemData&quot;:{&quot;type&quot;:&quot;article-journal&quot;,&quot;id&quot;:&quot;e5dc4953-b650-340c-a09b-f07d3fd3d258&quot;,&quot;title&quot;:&quot;Patterns of Growth and Decline in Lung Function in Persistent Childhood Asthma&quot;,&quot;author&quot;:[{&quot;family&quot;:&quot;McGeachie&quot;,&quot;given&quot;:&quot;Michael J.&quot;,&quot;parse-names&quot;:false,&quot;dropping-particle&quot;:&quot;&quot;,&quot;non-dropping-particle&quot;:&quot;&quot;},{&quot;family&quot;:&quot;Yates&quot;,&quot;given&quot;:&quot;Katherine P.&quot;,&quot;parse-names&quot;:false,&quot;dropping-particle&quot;:&quot;&quot;,&quot;non-dropping-particle&quot;:&quot;&quot;},{&quot;family&quot;:&quot;Zhou&quot;,&quot;given&quot;:&quot;Xiaobo&quot;,&quot;parse-names&quot;:false,&quot;dropping-particle&quot;:&quot;&quot;,&quot;non-dropping-particle&quot;:&quot;&quot;},{&quot;family&quot;:&quot;Guo&quot;,&quot;given&quot;:&quot;Feng&quot;,&quot;parse-names&quot;:false,&quot;dropping-particle&quot;:&quot;&quot;,&quot;non-dropping-particle&quot;:&quot;&quot;},{&quot;family&quot;:&quot;Sternberg&quot;,&quot;given&quot;:&quot;Alice L.&quot;,&quot;parse-names&quot;:false,&quot;dropping-particle&quot;:&quot;&quot;,&quot;non-dropping-particle&quot;:&quot;&quot;},{&quot;family&quot;:&quot;Natta&quot;,&quot;given&quot;:&quot;Mark L.&quot;,&quot;parse-names&quot;:false,&quot;dropping-particle&quot;:&quot;&quot;,&quot;non-dropping-particle&quot;:&quot;Van&quot;},{&quot;family&quot;:&quot;Wise&quot;,&quot;given&quot;:&quot;Robert A.&quot;,&quot;parse-names&quot;:false,&quot;dropping-particle&quot;:&quot;&quot;,&quot;non-dropping-particle&quot;:&quot;&quot;},{&quot;family&quot;:&quot;Szefler&quot;,&quot;given&quot;:&quot;Stanley J.&quot;,&quot;parse-names&quot;:false,&quot;dropping-particle&quot;:&quot;&quot;,&quot;non-dropping-particle&quot;:&quot;&quot;},{&quot;family&quot;:&quot;Sharma&quot;,&quot;given&quot;:&quot;Sunita&quot;,&quot;parse-names&quot;:false,&quot;dropping-particle&quot;:&quot;&quot;,&quot;non-dropping-particle&quot;:&quot;&quot;},{&quot;family&quot;:&quot;Kho&quot;,&quot;given&quot;:&quot;Alvin T.&quot;,&quot;parse-names&quot;:false,&quot;dropping-particle&quot;:&quot;&quot;,&quot;non-dropping-particle&quot;:&quot;&quot;},{&quot;family&quot;:&quot;Cho&quot;,&quot;given&quot;:&quot;Michael H.&quot;,&quot;parse-names&quot;:false,&quot;dropping-particle&quot;:&quot;&quot;,&quot;non-dropping-particle&quot;:&quot;&quot;},{&quot;family&quot;:&quot;Croteau-Chonka&quot;,&quot;given&quot;:&quot;Damien C.&quot;,&quot;parse-names&quot;:false,&quot;dropping-particle&quot;:&quot;&quot;,&quot;non-dropping-particle&quot;:&quot;&quot;},{&quot;family&quot;:&quot;Castaldi&quot;,&quot;given&quot;:&quot;Peter J.&quot;,&quot;parse-names&quot;:false,&quot;dropping-particle&quot;:&quot;&quot;,&quot;non-dropping-particle&quot;:&quot;&quot;},{&quot;family&quot;:&quot;Jain&quot;,&quot;given&quot;:&quot;Gaurav&quot;,&quot;parse-names&quot;:false,&quot;dropping-particle&quot;:&quot;&quot;,&quot;non-dropping-particle&quot;:&quot;&quot;},{&quot;family&quot;:&quot;Sanyal&quot;,&quot;given&quot;:&quot;Amartya&quot;,&quot;parse-names&quot;:false,&quot;dropping-particle&quot;:&quot;&quot;,&quot;non-dropping-particle&quot;:&quot;&quot;},{&quot;family&quot;:&quot;Zhan&quot;,&quot;given&quot;:&quot;Ye&quot;,&quot;parse-names&quot;:false,&quot;dropping-particle&quot;:&quot;&quot;,&quot;non-dropping-particle&quot;:&quot;&quot;},{&quot;family&quot;:&quot;Lajoie&quot;,&quot;given&quot;:&quot;Bryan R.&quot;,&quot;parse-names&quot;:false,&quot;dropping-particle&quot;:&quot;&quot;,&quot;non-dropping-particle&quot;:&quot;&quot;},{&quot;family&quot;:&quot;Dekker&quot;,&quot;given&quot;:&quot;Job&quot;,&quot;parse-names&quot;:false,&quot;dropping-particle&quot;:&quot;&quot;,&quot;non-dropping-particle&quot;:&quot;&quot;},{&quot;family&quot;:&quot;Stamatoyannopoulos&quot;,&quot;given&quot;:&quot;John&quot;,&quot;parse-names&quot;:false,&quot;dropping-particle&quot;:&quot;&quot;,&quot;non-dropping-particle&quot;:&quot;&quot;},{&quot;family&quot;:&quot;Covar&quot;,&quot;given&quot;:&quot;Ronina A.&quot;,&quot;parse-names&quot;:false,&quot;dropping-particle&quot;:&quot;&quot;,&quot;non-dropping-particle&quot;:&quot;&quot;},{&quot;family&quot;:&quot;Zeiger&quot;,&quot;given&quot;:&quot;Robert S.&quot;,&quot;parse-names&quot;:false,&quot;dropping-particle&quot;:&quot;&quot;,&quot;non-dropping-particle&quot;:&quot;&quot;},{&quot;family&quot;:&quot;Adkinson&quot;,&quot;given&quot;:&quot;N. Franklin&quot;,&quot;parse-names&quot;:false,&quot;dropping-particle&quot;:&quot;&quot;,&quot;non-dropping-particle&quot;:&quot;&quot;},{&quot;family&quot;:&quot;Williams&quot;,&quot;given&quot;:&quot;Paul&quot;,&quot;parse-names&quot;:false,&quot;dropping-particle&quot;:&quot;V.&quot;,&quot;non-dropping-particle&quot;:&quot;&quot;},{&quot;family&quot;:&quot;Kelly&quot;,&quot;given&quot;:&quot;H. William&quot;,&quot;parse-names&quot;:false,&quot;dropping-particle&quot;:&quot;&quot;,&quot;non-dropping-particle&quot;:&quot;&quot;},{&quot;family&quot;:&quot;Grasemann&quot;,&quot;given&quot;:&quot;Hartmut&quot;,&quot;parse-names&quot;:false,&quot;dropping-particle&quot;:&quot;&quot;,&quot;non-dropping-particle&quot;:&quot;&quot;},{&quot;family&quot;:&quot;Vonk&quot;,&quot;given&quot;:&quot;Judith M.&quot;,&quot;parse-names&quot;:false,&quot;dropping-particle&quot;:&quot;&quot;,&quot;non-dropping-particle&quot;:&quot;&quot;},{&quot;family&quot;:&quot;Koppelman&quot;,&quot;given&quot;:&quot;Gerard H.&quot;,&quot;parse-names&quot;:false,&quot;dropping-particle&quot;:&quot;&quot;,&quot;non-dropping-particle&quot;:&quot;&quot;},{&quot;family&quot;:&quot;Postma&quot;,&quot;given&quot;:&quot;Dirkje S.&quot;,&quot;parse-names&quot;:false,&quot;dropping-particle&quot;:&quot;&quot;,&quot;non-dropping-particle&quot;:&quot;&quot;},{&quot;family&quot;:&quot;Raby&quot;,&quot;given&quot;:&quot;Benjamin A.&quot;,&quot;parse-names&quot;:false,&quot;dropping-particle&quot;:&quot;&quot;,&quot;non-dropping-particle&quot;:&quot;&quot;},{&quot;family&quot;:&quot;Houston&quot;,&quot;given&quot;:&quot;Isaac&quot;,&quot;parse-names&quot;:false,&quot;dropping-particle&quot;:&quot;&quot;,&quot;non-dropping-particle&quot;:&quot;&quot;},{&quot;family&quot;:&quot;Lu&quot;,&quot;given&quot;:&quot;Quan&quot;,&quot;parse-names&quot;:false,&quot;dropping-particle&quot;:&quot;&quot;,&quot;non-dropping-particle&quot;:&quot;&quot;},{&quot;family&quot;:&quot;Fuhlbrigge&quot;,&quot;given&quot;:&quot;Anne L.&quot;,&quot;parse-names&quot;:false,&quot;dropping-particle&quot;:&quot;&quot;,&quot;non-dropping-particle&quot;:&quot;&quot;},{&quot;family&quot;:&quot;Tantisira&quot;,&quot;given&quot;:&quot;Kelan G.&quot;,&quot;parse-names&quot;:false,&quot;dropping-particle&quot;:&quot;&quot;,&quot;non-dropping-particle&quot;:&quot;&quot;},{&quot;family&quot;:&quot;Silverman&quot;,&quot;given&quot;:&quot;Edwin K.&quot;,&quot;parse-names&quot;:false,&quot;dropping-particle&quot;:&quot;&quot;,&quot;non-dropping-particle&quot;:&quot;&quot;},{&quot;family&quot;:&quot;Tonascia&quot;,&quot;given&quot;:&quot;James&quot;,&quot;parse-names&quot;:false,&quot;dropping-particle&quot;:&quot;&quot;,&quot;non-dropping-particle&quot;:&quot;&quot;},{&quot;family&quot;:&quot;Weiss&quot;,&quot;given&quot;:&quot;Scott T.&quot;,&quot;parse-names&quot;:false,&quot;dropping-particle&quot;:&quot;&quot;,&quot;non-dropping-particle&quot;:&quot;&quot;},{&quot;family&quot;:&quot;Strunk&quot;,&quot;given&quot;:&quot;Robert C.&quot;,&quot;parse-names&quot;:false,&quot;dropping-particle&quot;:&quot;&quot;,&quot;non-dropping-particle&quot;:&quot;&quot;}],&quot;container-title&quot;:&quot;The New England journal of medicine&quot;,&quot;container-title-short&quot;:&quot;N Engl J Med&quot;,&quot;accessed&quot;:{&quot;date-parts&quot;:[[2022,5,8]]},&quot;DOI&quot;:&quot;10.1056/NEJMOA1513737&quot;,&quot;ISSN&quot;:&quot;0028-4793&quot;,&quot;PMID&quot;:&quot;27168434&quot;,&quot;URL&quot;:&quot;/pmc/articles/PMC5032024/&quot;,&quot;issued&quot;:{&quot;date-parts&quot;:[[2016,5,12]]},&quot;page&quot;:&quot;1842&quot;,&quot;abstract&quot;:&quot;BACKGROUND Tracking longitudinal measurements of growth and decline in lung function in patients with persistent childhood asthma may reveal links between asthma and subsequent chronic airflow obstruction. METHODS We classified children with asthma according to four characteristic patterns of lung-function growth and decline on the basis of graphs showing forced expiratory volume in 1 second (FEV1), representing spirometric measurements performed from childhood into adulthood. Risk factors associated with abnormal patterns were also examined. To define normal values, we used FEV1 values from participants in the National Health and Nutrition Examination Survey who did not have asthma. RESULTS Of the 684 study participants, 170 (25%) had a normal pattern of lung-function growth without early decline, and 514 (75%) had abnormal patterns: 176 (26%) had reduced growth and an early decline, 160 (23%) had reduced growth only, and 178 (26%) had normal growth and an early decline. Lower baseline values for FEV1, smaller bronchodilator response, airway hyperresponsiveness at baseline, and male sex were associated with reduced growth (P&lt;0.001 for all comparisons). At the last spirometric measurement (mean [±SD] age, 26.0±1.8 years), 73 participants (11%) met Global Initiative for Chronic Obstructive Lung Disease spirometric criteria for lung-function impairment that was consistent with chronic obstructive pulmonary disease (COPD); these participants were more likely to have a reduced pattern of growth than a normal pattern (18% vs. 3%, P&lt;0.001). CONCLUSIONS Childhood impairment of lung function and male sex were the most significant predictors of abnormal longitudinal patterns of lung-function growth and decline. Children with persistent asthma and reduced growth of lung function are at increased risk for fixed airflow obstruction and possibly COPD in early adulthood. (Funded by the Parker B. Francis Foundation and others; ClinicalTrials.gov number, NCT00000575.)&quot;,&quot;publisher&quot;:&quot;NIH Public Access&quot;,&quot;issue&quot;:&quot;19&quot;,&quot;volume&quot;:&quot;374&quot;},&quot;isTemporary&quot;:false}]},{&quot;citationID&quot;:&quot;MENDELEY_CITATION_0b49646c-0994-4ca8-9b1c-886bfd1b244a&quot;,&quot;properties&quot;:{&quot;noteIndex&quot;:0},&quot;isEdited&quot;:false,&quot;manualOverride&quot;:{&quot;isManuallyOverridden&quot;:false,&quot;citeprocText&quot;:&quot;[6,150,151]&quot;,&quot;manualOverrideText&quot;:&quot;&quot;},&quot;citationTag&quot;:&quot;MENDELEY_CITATION_v3_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&quot;,&quot;citationItems&quot;:[{&quot;id&quot;:&quot;f6bf6552-f6e0-3ff4-a77d-6750f2546b26&quot;,&quot;itemData&quot;:{&quot;type&quot;:&quot;report&quot;,&quot;id&quot;:&quot;f6bf6552-f6e0-3ff4-a77d-6750f2546b26&quot;,&quot;title&quot;:&quot;GOLD Report 2020&quot;,&quot;author&quot;:[{&quot;family&quot;:&quot;Global Initiative for Chronic Obstructive Lung Disease&quot;,&quot;given&quot;:&quot;&quot;,&quot;parse-names&quot;:false,&quot;dropping-particle&quot;:&quot;&quot;,&quot;non-dropping-particle&quot;:&quot;&quot;}],&quot;container-title&quot;:&quot;Global Strategy for the Diagnosis, Management, and Prevention of Chronic Obstructive Pulmonary Disease: 2020 Report&quot;,&quot;URL&quot;:&quot;https://goldcopd.org/wp-content/uploads/2019/12/GOLD-2020-FINAL-ver1.2-03Dec19_WMV.pdf&quot;,&quot;issued&quot;:{&quot;date-parts&quot;:[[2020]]},&quot;number-of-pages&quot;:&quot;141&quot;,&quot;abstract&quot;:&quot;Global Strategy for the Diagnosis, Management, and Prevention of Chronic Obstructive Pulmonary Disease&quot;,&quot;container-title-short&quot;:&quot;&quot;},&quot;isTemporary&quot;:false},{&quot;id&quot;:&quot;7f76c0d5-b40e-3f7e-a68f-aace49c05588&quot;,&quot;itemData&quot;:{&quot;type&quot;:&quot;article-journal&quot;,&quot;id&quot;:&quot;7f76c0d5-b40e-3f7e-a68f-aace49c05588&quot;,&quot;title&quot;:&quot;GOLD 2021 Strategy Report: Implications for Asthma–COPD Overlap&quot;,&quot;author&quot;:[{&quot;family&quot;:&quot;Roman-Rodriguez&quot;,&quot;given&quot;:&quot;Miguel&quot;,&quot;parse-names&quot;:false,&quot;dropping-particle&quot;:&quot;&quot;,&quot;non-dropping-particle&quot;:&quot;&quot;},{&quot;family&quot;:&quot;Kaplan&quot;,&quot;given&quot;:&quot;Alan&quot;,&quot;parse-names&quot;:false,&quot;dropping-particle&quot;:&quot;&quot;,&quot;non-dropping-particle&quot;:&quot;&quot;}],&quot;container-title&quot;:&quot;International Journal of Chronic Obstructive Pulmonary Disease&quot;,&quot;container-title-short&quot;:&quot;Int J Chron Obstruct Pulmon Dis&quot;,&quot;accessed&quot;:{&quot;date-parts&quot;:[[2024,3,17]]},&quot;DOI&quot;:&quot;10.2147/COPD.S300902&quot;,&quot;ISSN&quot;:&quot;11782005&quot;,&quot;PMID&quot;:&quot;34163155&quot;,&quot;URL&quot;:&quot;/pmc/articles/PMC8214338/&quot;,&quot;issued&quot;:{&quot;date-parts&quot;:[[2021]]},&quot;page&quot;:&quot;1709&quot;,&quot;abstract&quot;:&quot;In its 2021 strategy report, the Global Initiative for Chronic Obstructive Lung Disease states: “we no longer refer to asthma-COPD overlap (ACO), instead we emphasize that asthma and COPD are different disorders, although they may […] coexist in an individual patient. If a concurrent diagnosis of asthma is suspected, pharmacotherapy should primarily follow asthma guidelines, but pharmacological and non-pharmacological approaches may also be needed for their COPD.” What does this mean for the treating physician? In this review, we explore the implications of this new guidance on treating patients with chronic obstructive pulmonary disease, arguing for a personalized approach to treatment.&quot;,&quot;publisher&quot;:&quot;Dove Press&quot;,&quot;volume&quot;:&quot;16&quot;},&quot;isTemporary&quot;:false},{&quot;id&quot;:&quot;ca5e991d-30ba-3677-945d-beda5cb3150f&quot;,&quot;itemData&quot;:{&quot;type&quot;:&quot;article-journal&quot;,&quot;id&quot;:&quot;ca5e991d-30ba-3677-945d-beda5cb3150f&quot;,&quot;title&quot;:&quot;Asthma-COPD overlap syndrome: pathogenesis, clinical features, and therapeutic targets&quot;,&quot;author&quot;:[{&quot;family&quot;:&quot;Leung&quot;,&quot;given&quot;:&quot;Janice M.&quot;,&quot;parse-names&quot;:false,&quot;dropping-particle&quot;:&quot;&quot;,&quot;non-dropping-particle&quot;:&quot;&quot;},{&quot;family&quot;:&quot;Sin&quot;,&quot;given&quot;:&quot;Don D.&quot;,&quot;parse-names&quot;:false,&quot;dropping-particle&quot;:&quot;&quot;,&quot;non-dropping-particle&quot;:&quot;&quot;}],&quot;container-title&quot;:&quot;BMJ&quot;,&quot;accessed&quot;:{&quot;date-parts&quot;:[[2024,3,17]]},&quot;DOI&quot;:&quot;10.1136/BMJ.J3772&quot;,&quot;ISSN&quot;:&quot;0959-8138&quot;,&quot;PMID&quot;:&quot;28947632&quot;,&quot;URL&quot;:&quot;https://www-bmj-com.utk.idm.oclc.org/content/358/bmj.j3772&quot;,&quot;issued&quot;:{&quot;date-parts&quot;:[[2017,9,25]]},&quot;abstract&quot;:&quot;Asthma-COPD overlap syndrome (ACOS) or asthma-COPD overlap captures the subset of patients with airways disease who have features of both asthma and chronic obstructive pulmonary disease (COPD). Although definitions of ACOS vary, it is generally thought to encompass persistent airflow limitation in a patient older than 40 years of age with either a history of asthma or large bronchodilator reversibility. ACOS affects about a quarter of patients with COPD and almost a third of patients who previously had asthma. Compared with their counterparts with asthma or COPD alone, patients with ACOS have significantly worse respiratory symptoms, poorer quality of life, and increased risk of exacerbations and hospital admissions. Whether this condition emerges after gradual shifts in airway remodelling and inflammation in a patient with COPD, as the result of noxious exposures in a patient with asthma, or even as a de novo disease with its own pathology is yet to be determined. Nevertheless, using treatments developed for asthma or COPD that target eosinophilic, neutrophilic, or paucigranulocytic airway inflammation may be a helpful approach to these patients until further clinical trials can be performed.&quot;,&quot;publisher&quot;:&quot;British Medical Journal Publishing Group&quot;,&quot;volume&quot;:&quot;358&quot;,&quot;container-title-short&quot;:&quot;&quot;},&quot;isTemporary&quot;:false}]},{&quot;citationID&quot;:&quot;MENDELEY_CITATION_fdf6851f-7fab-491d-ab61-d479e750afe1&quot;,&quot;properties&quot;:{&quot;noteIndex&quot;:0},&quot;isEdited&quot;:false,&quot;manualOverride&quot;:{&quot;isManuallyOverridden&quot;:false,&quot;citeprocText&quot;:&quot;[185]&quot;,&quot;manualOverrideText&quot;:&quot;&quot;},&quot;citationTag&quot;:&quot;MENDELEY_CITATION_v3_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&quot;,&quot;citationItems&quot;:[{&quot;id&quot;:&quot;eb54db1b-9476-3781-b4bc-9d3caad2eb11&quot;,&quot;itemData&quot;:{&quot;type&quot;:&quot;article-journal&quot;,&quot;id&quot;:&quot;eb54db1b-9476-3781-b4bc-9d3caad2eb11&quot;,&quot;title&quot;:&quot;Asthma-COPD Overlap Syndrome: Recent Insights and Unanswered Questions&quot;,&quot;author&quot;:[{&quot;family&quot;:&quot;Fouka&quot;,&quot;given&quot;:&quot;Evangelia&quot;,&quot;parse-names&quot;:false,&quot;dropping-particle&quot;:&quot;&quot;,&quot;non-dropping-particle&quot;:&quot;&quot;},{&quot;family&quot;:&quot;Papaioannou&quot;,&quot;given&quot;:&quot;Andriana I.&quot;,&quot;parse-names&quot;:false,&quot;dropping-particle&quot;:&quot;&quot;,&quot;non-dropping-particle&quot;:&quot;&quot;},{&quot;family&quot;:&quot;Hillas&quot;,&quot;given&quot;:&quot;Georgios&quot;,&quot;parse-names&quot;:false,&quot;dropping-particle&quot;:&quot;&quot;,&quot;non-dropping-particle&quot;:&quot;&quot;},{&quot;family&quot;:&quot;Steiropoulos&quot;,&quot;given&quot;:&quot;Paschalis&quot;,&quot;parse-names&quot;:false,&quot;dropping-particle&quot;:&quot;&quot;,&quot;non-dropping-particle&quot;:&quot;&quot;}],&quot;container-title&quot;:&quot;Journal of Personalized Medicine&quot;,&quot;container-title-short&quot;:&quot;J Pers Med&quot;,&quot;accessed&quot;:{&quot;date-parts&quot;:[[2025,1,5]]},&quot;DOI&quot;:&quot;10.3390/JPM12050708&quot;,&quot;ISSN&quot;:&quot;20754426&quot;,&quot;PMID&quot;:&quot;35629128&quot;,&quot;URL&quot;:&quot;https://pmc.ncbi.nlm.nih.gov/articles/PMC9146831/&quot;,&quot;issued&quot;:{&quot;date-parts&quot;:[[2022,5,1]]},&quot;page&quot;:&quot;708&quot;,&quot;abstract&quot;:&quot;The term asthma-COPD overlap (ACO) has been used to identify a heterogeneous condition in which patients present with airflow limitation that is not completely reversible and clinical and inflammatory features of both asthma and chronic obstructive pulmonary disease (COPD). ACO diagnosis may be difficult in clinical practice, while controversy still exists regarding its definition, pathophysiology, and impact. Patients with ACO experience a greater disease burden compared to patients with asthma or COPD alone, but in contrast they show better response to inhaled corticosteroid treatment than other COPD phenotypes. Current management recommendations focus on defining specific and measurable treatable clinical traits, according to disease phenotypes and underlying biological mechanisms for every single patient. In this publication, we review the current knowledge on definition, pathophysiology, clinical characteristics, and management options of ACO.&quot;,&quot;publisher&quot;:&quot;MDPI&quot;,&quot;issue&quot;:&quot;5&quot;,&quot;volume&quot;:&quot;12&quot;},&quot;isTemporary&quot;:false}]},{&quot;citationID&quot;:&quot;MENDELEY_CITATION_b91fb85c-e908-4465-97c9-d4c3f28aced3&quot;,&quot;properties&quot;:{&quot;noteIndex&quot;:0},&quot;isEdited&quot;:false,&quot;manualOverride&quot;:{&quot;isManuallyOverridden&quot;:false,&quot;citeprocText&quot;:&quot;[185]&quot;,&quot;manualOverrideText&quot;:&quot;&quot;},&quot;citationTag&quot;:&quot;MENDELEY_CITATION_v3_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&quot;,&quot;citationItems&quot;:[{&quot;id&quot;:&quot;eb54db1b-9476-3781-b4bc-9d3caad2eb11&quot;,&quot;itemData&quot;:{&quot;type&quot;:&quot;article-journal&quot;,&quot;id&quot;:&quot;eb54db1b-9476-3781-b4bc-9d3caad2eb11&quot;,&quot;title&quot;:&quot;Asthma-COPD Overlap Syndrome: Recent Insights and Unanswered Questions&quot;,&quot;author&quot;:[{&quot;family&quot;:&quot;Fouka&quot;,&quot;given&quot;:&quot;Evangelia&quot;,&quot;parse-names&quot;:false,&quot;dropping-particle&quot;:&quot;&quot;,&quot;non-dropping-particle&quot;:&quot;&quot;},{&quot;family&quot;:&quot;Papaioannou&quot;,&quot;given&quot;:&quot;Andriana I.&quot;,&quot;parse-names&quot;:false,&quot;dropping-particle&quot;:&quot;&quot;,&quot;non-dropping-particle&quot;:&quot;&quot;},{&quot;family&quot;:&quot;Hillas&quot;,&quot;given&quot;:&quot;Georgios&quot;,&quot;parse-names&quot;:false,&quot;dropping-particle&quot;:&quot;&quot;,&quot;non-dropping-particle&quot;:&quot;&quot;},{&quot;family&quot;:&quot;Steiropoulos&quot;,&quot;given&quot;:&quot;Paschalis&quot;,&quot;parse-names&quot;:false,&quot;dropping-particle&quot;:&quot;&quot;,&quot;non-dropping-particle&quot;:&quot;&quot;}],&quot;container-title&quot;:&quot;Journal of Personalized Medicine&quot;,&quot;container-title-short&quot;:&quot;J Pers Med&quot;,&quot;accessed&quot;:{&quot;date-parts&quot;:[[2025,1,5]]},&quot;DOI&quot;:&quot;10.3390/JPM12050708&quot;,&quot;ISSN&quot;:&quot;20754426&quot;,&quot;PMID&quot;:&quot;35629128&quot;,&quot;URL&quot;:&quot;https://pmc.ncbi.nlm.nih.gov/articles/PMC9146831/&quot;,&quot;issued&quot;:{&quot;date-parts&quot;:[[2022,5,1]]},&quot;page&quot;:&quot;708&quot;,&quot;abstract&quot;:&quot;The term asthma-COPD overlap (ACO) has been used to identify a heterogeneous condition in which patients present with airflow limitation that is not completely reversible and clinical and inflammatory features of both asthma and chronic obstructive pulmonary disease (COPD). ACO diagnosis may be difficult in clinical practice, while controversy still exists regarding its definition, pathophysiology, and impact. Patients with ACO experience a greater disease burden compared to patients with asthma or COPD alone, but in contrast they show better response to inhaled corticosteroid treatment than other COPD phenotypes. Current management recommendations focus on defining specific and measurable treatable clinical traits, according to disease phenotypes and underlying biological mechanisms for every single patient. In this publication, we review the current knowledge on definition, pathophysiology, clinical characteristics, and management options of ACO.&quot;,&quot;publisher&quot;:&quot;MDPI&quot;,&quot;issue&quot;:&quot;5&quot;,&quot;volume&quot;:&quot;12&quot;},&quot;isTemporary&quot;:false}]},{&quot;citationID&quot;:&quot;MENDELEY_CITATION_65f36a1e-4f52-4398-b3bd-b771b79c7ea1&quot;,&quot;properties&quot;:{&quot;noteIndex&quot;:0},&quot;isEdited&quot;:false,&quot;manualOverride&quot;:{&quot;isManuallyOverridden&quot;:false,&quot;citeprocText&quot;:&quot;[186]&quot;,&quot;manualOverrideText&quot;:&quot;&quot;},&quot;citationTag&quot;:&quot;MENDELEY_CITATION_v3_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&quot;,&quot;citationItems&quot;:[{&quot;id&quot;:&quot;dc51b25f-aba7-3c4e-bb60-9a47a4126493&quot;,&quot;itemData&quot;:{&quot;type&quot;:&quot;article-journal&quot;,&quot;id&quot;:&quot;dc51b25f-aba7-3c4e-bb60-9a47a4126493&quot;,&quot;title&quot;:&quot;COPD risk among older construction workers—Updated analyses 2020&quot;,&quot;author&quot;:[{&quot;family&quot;:&quot;Dement&quot;,&quot;given&quot;:&quot;John M.&quot;,&quot;parse-names&quot;:false,&quot;dropping-particle&quot;:&quot;&quot;,&quot;non-dropping-particle&quot;:&quot;&quot;},{&quot;family&quot;:&quot;Cloeren&quot;,&quot;given&quot;:&quot;Marianne&quot;,&quot;parse-names&quot;:false,&quot;dropping-particle&quot;:&quot;&quot;,&quot;non-dropping-particle&quot;:&quot;&quot;},{&quot;family&quot;:&quot;Ringen&quot;,&quot;given&quot;:&quot;Knut&quot;,&quot;parse-names&quot;:false,&quot;dropping-particle&quot;:&quot;&quot;,&quot;non-dropping-particle&quot;:&quot;&quot;},{&quot;family&quot;:&quot;Quinn&quot;,&quot;given&quot;:&quot;Patricia&quot;,&quot;parse-names&quot;:false,&quot;dropping-particle&quot;:&quot;&quot;,&quot;non-dropping-particle&quot;:&quot;&quot;},{&quot;family&quot;:&quot;Chen&quot;,&quot;given&quot;:&quot;Anna&quot;,&quot;parse-names&quot;:false,&quot;dropping-particle&quot;:&quot;&quot;,&quot;non-dropping-particle&quot;:&quot;&quot;},{&quot;family&quot;:&quot;Cranford&quot;,&quot;given&quot;:&quot;Kim&quot;,&quot;parse-names&quot;:false,&quot;dropping-particle&quot;:&quot;&quot;,&quot;non-dropping-particle&quot;:&quot;&quot;},{&quot;family&quot;:&quot;Haas&quot;,&quot;given&quot;:&quot;Scott&quot;,&quot;parse-names&quot;:false,&quot;dropping-particle&quot;:&quot;&quot;,&quot;non-dropping-particle&quot;:&quot;&quot;},{&quot;family&quot;:&quot;Hines&quot;,&quot;given&quot;:&quot;Stella&quot;,&quot;parse-names&quot;:false,&quot;dropping-particle&quot;:&quot;&quot;,&quot;non-dropping-particle&quot;:&quot;&quot;}],&quot;container-title&quot;:&quot;American Journal of Industrial Medicine&quot;,&quot;container-title-short&quot;:&quot;Am J Ind Med&quot;,&quot;accessed&quot;:{&quot;date-parts&quot;:[[2024,3,17]]},&quot;DOI&quot;:&quot;10.1002/AJIM.23244&quot;,&quot;ISSN&quot;:&quot;10970274&quot;,&quot;PMID&quot;:&quot;33728649&quot;,&quot;issued&quot;:{&quot;date-parts&quot;:[[2021,6,1]]},&quot;page&quot;:&quot;462-475&quot;,&quot;abstract&quot;:&quot;Background: A 2010 study of construction workers participating in medical screening programs at the Department of Energy (DOE) nuclear facilities demonstrated increased chronic obstructive pulmonary disease (COPD) risk. The current study of a larger worker cohort allowed for a more nuanced analysis of COPD risk, including for employment beginning after the mid-1990s. Methods: Study participants included 17,941 workers with demographic and smoking data and spirometry with a minimum of three recorded expiratory efforts and reproducibility of forced vital capacity (FVC) and forced expiratory volume in 1 s (FEV1) of 0.2 L or less. COPD was defined as a FEV1/FVC ratio below the lower limit of normal using established prediction equations without use of bronchodilation. Stratified analyses explored COPD prevalence by demographic variables and trade. Logistic regression analyses assessed risks by trade and time periods of trade and DOE site work, controlling for age, gender, race/ethnicity, body mass index, and smoking. Results: Overall COPD prevalence was 13.4% and 67.4% of cases were classified as moderate to severe. Compared to nonconstruction workers, construction trade workers were at significantly increased risk of all COPD (OR = 1.34, 95% CI = 1.29–1.79) and even more so for severe COPD (OR = 1.61, 95% CI = 1.32–1.96). The highest risk trades were cement masons/bricklayers (OR = 2.36; 95% CI = 1.71–3.26) and roofers (OR = 2.22; 95% CI = 1.48–3.32). Risk among workers employed after 1995 was elevated but not statistically significant. Conclusions: Construction workers are at increased COPD risk. Results support the prevention of both smoking and occupational exposures to reduce these risks. While the number of participants employed after 1995 was small, patterns of risk were consistent with findings in the overall cohort.&quot;,&quot;publisher&quot;:&quot;John Wiley and Sons Inc&quot;,&quot;issue&quot;:&quot;6&quot;,&quot;volume&quot;:&quot;64&quot;},&quot;isTemporary&quot;:false}]},{&quot;citationID&quot;:&quot;MENDELEY_CITATION_58533614-8c16-4383-a525-1df091eb5cb9&quot;,&quot;properties&quot;:{&quot;noteIndex&quot;:0},&quot;isEdited&quot;:false,&quot;manualOverride&quot;:{&quot;isManuallyOverridden&quot;:false,&quot;citeprocText&quot;:&quot;[187]&quot;,&quot;manualOverrideText&quot;:&quot;&quot;},&quot;citationTag&quot;:&quot;MENDELEY_CITATION_v3_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&quot;,&quot;citationItems&quot;:[{&quot;id&quot;:&quot;b2ae41a9-e15e-37da-91cd-558d4f9533b2&quot;,&quot;itemData&quot;:{&quot;type&quot;:&quot;article-journal&quot;,&quot;id&quot;:&quot;b2ae41a9-e15e-37da-91cd-558d4f9533b2&quot;,&quot;title&quot;:&quot;Silica-associated lung disease: An old-world exposure in modern industries&quot;,&quot;author&quot;:[{&quot;family&quot;:&quot;Barnes&quot;,&quot;given&quot;:&quot;Hayley&quot;,&quot;parse-names&quot;:false,&quot;dropping-particle&quot;:&quot;&quot;,&quot;non-dropping-particle&quot;:&quot;&quot;},{&quot;family&quot;:&quot;Goh&quot;,&quot;given&quot;:&quot;Nicole S.L.&quot;,&quot;parse-names&quot;:false,&quot;dropping-particle&quot;:&quot;&quot;,&quot;non-dropping-particle&quot;:&quot;&quot;},{&quot;family&quot;:&quot;Leong&quot;,&quot;given&quot;:&quot;Tracy L.&quot;,&quot;parse-names&quot;:false,&quot;dropping-particle&quot;:&quot;&quot;,&quot;non-dropping-particle&quot;:&quot;&quot;},{&quot;family&quot;:&quot;Hoy&quot;,&quot;given&quot;:&quot;Ryan&quot;,&quot;parse-names&quot;:false,&quot;dropping-particle&quot;:&quot;&quot;,&quot;non-dropping-particle&quot;:&quot;&quot;}],&quot;container-title&quot;:&quot;Respirology&quot;,&quot;accessed&quot;:{&quot;date-parts&quot;:[[2024,3,17]]},&quot;DOI&quot;:&quot;10.1111/RESP.13695&quot;,&quot;ISSN&quot;:&quot;14401843&quot;,&quot;PMID&quot;:&quot;31517432&quot;,&quot;issued&quot;:{&quot;date-parts&quot;:[[2019,12,1]]},&quot;page&quot;:&quot;1165-1175&quot;,&quot;abstract&quot;:&quot;Despite silica dust exposure being one of the earliest recognized causes of lung disease, Australia, USA, Israel, Turkey and other countries around the world have recently experienced significant outbreaks of silicosis. These outbreaks have occurred in modern industries such as denim jean production, domestic benchtop fabrication and jewellery polishing, where silica has been introduced without recognition and control of the hazard. Much of our understanding of silica-related lung disease is derived from traditional occupations such as mining, whereby workers may develop slowly progressive chronic silicosis. However, workers in modern industries are developing acute and accelerated silicosis over a short period of time, due to high-intensity silica concentrations, oxidative stress from freshly fractured silica and a rapid pro-inflammatory and pro-fibrotic response. Appropriate methods of screening and diagnosis remain unclear in these workers, and a significant proportion may go on to develop respiratory failure and death. There are no current effective treatments for silicosis. For those with near fatal respiratory failure, lung transplantation remains the only option. Strategies to reduce high-intensity silica dust exposure, enforced screening programmes and the identification of new treatments are urgently required.&quot;,&quot;publisher&quot;:&quot;Blackwell Publishing&quot;,&quot;issue&quot;:&quot;12&quot;,&quot;volume&quot;:&quot;24&quot;,&quot;container-title-short&quot;:&quot;&quot;},&quot;isTemporary&quot;:false}]},{&quot;citationID&quot;:&quot;MENDELEY_CITATION_087dc75a-0901-4ae2-8e77-c579bba3d14c&quot;,&quot;properties&quot;:{&quot;noteIndex&quot;:0},&quot;isEdited&quot;:false,&quot;manualOverride&quot;:{&quot;isManuallyOverridden&quot;:false,&quot;citeprocText&quot;:&quot;[13,188,189]&quot;,&quot;manualOverrideText&quot;:&quot;&quot;},&quot;citationTag&quot;:&quot;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&quot;,&quot;citationItems&quot;:[{&quot;id&quot;:&quot;d4f876b3-c528-31c4-a86b-5a1822bf5635&quot;,&quot;itemData&quot;:{&quot;type&quot;:&quot;article-journal&quot;,&quot;id&quot;:&quot;d4f876b3-c528-31c4-a86b-5a1822bf5635&quot;,&quot;title&quot;:&quot;Chronic obstructive pulmonary disease in Welsh slate miners&quot;,&quot;author&quot;:[{&quot;family&quot;:&quot;Reynolds&quot;,&quot;given&quot;:&quot;C J&quot;,&quot;parse-names&quot;:false,&quot;dropping-particle&quot;:&quot;&quot;,&quot;non-dropping-particle&quot;:&quot;&quot;},{&quot;family&quot;:&quot;Macneill&quot;,&quot;given&quot;:&quot;S J&quot;,&quot;parse-names&quot;:false,&quot;dropping-particle&quot;:&quot;&quot;,&quot;non-dropping-particle&quot;:&quot;&quot;},{&quot;family&quot;:&quot;Williams&quot;,&quot;given&quot;:&quot;J&quot;,&quot;parse-names&quot;:false,&quot;dropping-particle&quot;:&quot;&quot;,&quot;non-dropping-particle&quot;:&quot;&quot;},{&quot;family&quot;:&quot;Hodges&quot;,&quot;given&quot;:&quot;N G&quot;,&quot;parse-names&quot;:false,&quot;dropping-particle&quot;:&quot;&quot;,&quot;non-dropping-particle&quot;:&quot;&quot;},{&quot;family&quot;:&quot;Campbell&quot;,&quot;given&quot;:&quot;M J&quot;,&quot;parse-names&quot;:false,&quot;dropping-particle&quot;:&quot;&quot;,&quot;non-dropping-particle&quot;:&quot;&quot;},{&quot;family&quot;:&quot;Newman Taylor&quot;,&quot;given&quot;:&quot;A J&quot;,&quot;parse-names&quot;:false,&quot;dropping-particle&quot;:&quot;&quot;,&quot;non-dropping-particle&quot;:&quot;&quot;},{&quot;family&quot;:&quot;Cullinan&quot;,&quot;given&quot;:&quot;P&quot;,&quot;parse-names&quot;:false,&quot;dropping-particle&quot;:&quot;&quot;,&quot;non-dropping-particle&quot;:&quot;&quot;}],&quot;container-title&quot;:&quot;Occupational Medicine&quot;,&quot;container-title-short&quot;:&quot;Occup Med (Chic Ill)&quot;,&quot;accessed&quot;:{&quot;date-parts&quot;:[[2024,3,17]]},&quot;DOI&quot;:&quot;10.1093/occmed/kqw147&quot;,&quot;ISBN&quot;:&quot;2017;67:2025&quot;,&quot;URL&quot;:&quot;https://academic.oup.com/occmed/article/67/1/20/2420658&quot;,&quot;issued&quot;:{&quot;date-parts&quot;:[[2017]]},&quot;page&quot;:&quot;20-25&quot;,&quot;abstract&quot;:&quot;Background Exposure to respirable crystalline silica (RCS) causes emphysema, airflow limitation and chronic obstructive pulmonary disease (COPD). Slate miners are exposed to slate dust containing RCS but their COPD risk has not previously been studied. Aims To study the cumulative effect of mining on lung function and risk of COPD in a cohort of Welsh slate miners and whether these were independent of smoking and pneumoconiosis. Methods The study was based on a secondary analysis of Medical Research Council (MRC) survey data. COPD was defined as forced expiratory volume in 1 s/forced vital capacity (FEV 1 /FVC) ratio &lt;0.7. We created multivariable models to assess the association between mining and lung function after adjusting for age and smoking status. We used linear regression models for FEV 1 and FVC and logistic regression for COPD. Results In the original MRC study, 1255 men participated (726 slate miners, 529 unexposed non-miners). COPD was significantly more common in miners (n = 213, 33%) than non-miners (n = 120, 26%), P &lt; 0.05. There was no statistically significant difference in risk of COPD between miners and non-miners when analysis was limited to non-smokers or those without radiographic evidence of pneumoconiosis. After adjustment for smoking, slate mining was associated with a reduction in %predicted FEV 1 [β coefficient = −3.97, 95% confidence interval (CI) −6.65, −1.29] and FVC (β coefficient = −2.32, 95% CI −4.31, −0.33) and increased risk of COPD (odds ratio: 1.38, 95% CI 1.06, 1.81). Conclusions Slate mining may reduce lung function and increase the incidence of COPD independently of smoking and pneumoconiosis.&quot;,&quot;volume&quot;:&quot;67&quot;},&quot;isTemporary&quot;:false},{&quot;id&quot;:&quot;6b724ccc-096d-3f90-98c8-e8127ddeae92&quot;,&quot;itemData&quot;:{&quot;type&quot;:&quot;article-journal&quot;,&quot;id&quot;:&quot;6b724ccc-096d-3f90-98c8-e8127ddeae92&quot;,&quot;title&quot;:&quot;Respirable quartz dust exposure and airway obstruction: A systematic review and meta-analysis&quot;,&quot;author&quot;:[{&quot;family&quot;:&quot;Brüske&quot;,&quot;given&quot;:&quot;Irene&quot;,&quot;parse-names&quot;:false,&quot;dropping-particle&quot;:&quot;&quot;,&quot;non-dropping-particle&quot;:&quot;&quot;},{&quot;family&quot;:&quot;Thiering&quot;,&quot;given&quot;:&quot;Elisabeth&quot;,&quot;parse-names&quot;:false,&quot;dropping-particle&quot;:&quot;&quot;,&quot;non-dropping-particle&quot;:&quot;&quot;},{&quot;family&quot;:&quot;Heinrich&quot;,&quot;given&quot;:&quot;Joachim&quot;,&quot;parse-names&quot;:false,&quot;dropping-particle&quot;:&quot;&quot;,&quot;non-dropping-particle&quot;:&quot;&quot;},{&quot;family&quot;:&quot;Huster&quot;,&quot;given&quot;:&quot;Katharina M.&quot;,&quot;parse-names&quot;:false,&quot;dropping-particle&quot;:&quot;&quot;,&quot;non-dropping-particle&quot;:&quot;&quot;},{&quot;family&quot;:&quot;Nowak&quot;,&quot;given&quot;:&quot;Dennis&quot;,&quot;parse-names&quot;:false,&quot;dropping-particle&quot;:&quot;&quot;,&quot;non-dropping-particle&quot;:&quot;&quot;}],&quot;container-title&quot;:&quot;Occupational and Environmental Medicine&quot;,&quot;container-title-short&quot;:&quot;Occup Environ Med&quot;,&quot;accessed&quot;:{&quot;date-parts&quot;:[[2024,3,17]]},&quot;DOI&quot;:&quot;10.1136/OEMED-2013-101796&quot;,&quot;ISSN&quot;:&quot;14707926&quot;,&quot;PMID&quot;:&quot;24863263&quot;,&quot;issued&quot;:{&quot;date-parts&quot;:[[2014]]},&quot;page&quot;:&quot;583-589&quot;,&quot;abstract&quot;:&quot;Studies on exposure to respirable quartz dust at the workplace and the development of chronic obstructive pulmonary disease (COPD) were selected into a systematic review and meta-analysed to obtain an overall estimate of forced expiratory volume in 1 s (FEV1) and FEV1/forced vital capacity (FVC) reduction. PubMed and Embase were searched from 1970 to 2010. In total, 257 cross-sectional and longitudinal studies were identified that reported on inorganic dust exposure and had available lung function data. Of the 55 publications which met our inclusion criteria, 11 reported on associations with occupational exposure to respirable quartz dust. The combined average effect estimate of respirable quartz dust on spirometric parameters was obtained using a random effects model meta-analysis. Between-study heterogeneity was assessed via the I2 statistic. Most studies found a significant negative association of FEV1 and FEV1/FVC related to increasing exposure to crystalline quartz at the workplace. One study found an effect only for smokers, and one did not observe such an effect at all. The meta-analysis of cross-sectional studies showed that the mean ratio FEV 1 to FVC was reduced and FEV1 of workers exposed to respirable quartz dust was 4.6% less than predicted compared with workers with no/low exposure. Both results showed a statistically significant difference. Occupational exposure to respirable quartz dust was associated with a statistically significant decrease in FEV1 and FEV1/FVC, revealing airway obstruction consistent with COPD.&quot;,&quot;publisher&quot;:&quot;BMJ Publishing Group&quot;,&quot;issue&quot;:&quot;8&quot;,&quot;volume&quot;:&quot;71&quot;},&quot;isTemporary&quot;:false},{&quot;id&quot;:&quot;33a313ba-178c-31a1-8972-99be31d99a6f&quot;,&quot;itemData&quot;:{&quot;type&quot;:&quot;article-journal&quot;,&quot;id&quot;:&quot;33a313ba-178c-31a1-8972-99be31d99a6f&quot;,&quot;title&quot;:&quot;The Occupational Burden of Nonmalignant Respiratory Diseases An Official American Thoracic Society and European Respiratory Society Statement&quot;,&quot;author&quot;:[{&quot;family&quot;:&quot;Blanc&quot;,&quot;given&quot;:&quot;Paul D&quot;,&quot;parse-names&quot;:false,&quot;dropping-particle&quot;:&quot;&quot;,&quot;non-dropping-particle&quot;:&quot;&quot;},{&quot;family&quot;:&quot;Annesi-Maesano&quot;,&quot;given&quot;:&quot;Isabella&quot;,&quot;parse-names&quot;:false,&quot;dropping-particle&quot;:&quot;&quot;,&quot;non-dropping-particle&quot;:&quot;&quot;},{&quot;family&quot;:&quot;Balmes&quot;,&quot;given&quot;:&quot;John R&quot;,&quot;parse-names&quot;:false,&quot;dropping-particle&quot;:&quot;&quot;,&quot;non-dropping-particle&quot;:&quot;&quot;},{&quot;family&quot;:&quot;Cummings&quot;,&quot;given&quot;:&quot;Kristin J&quot;,&quot;parse-names&quot;:false,&quot;dropping-particle&quot;:&quot;&quot;,&quot;non-dropping-particle&quot;:&quot;&quot;},{&quot;family&quot;:&quot;Fishwick&quot;,&quot;given&quot;:&quot;David&quot;,&quot;parse-names&quot;:false,&quot;dropping-particle&quot;:&quot;&quot;,&quot;non-dropping-particle&quot;:&quot;&quot;},{&quot;family&quot;:&quot;Miedinger&quot;,&quot;given&quot;:&quot;David&quot;,&quot;parse-names&quot;:false,&quot;dropping-particle&quot;:&quot;&quot;,&quot;non-dropping-particle&quot;:&quot;&quot;},{&quot;family&quot;:&quot;Murgia&quot;,&quot;given&quot;:&quot;Nicola&quot;,&quot;parse-names&quot;:false,&quot;dropping-particle&quot;:&quot;&quot;,&quot;non-dropping-particle&quot;:&quot;&quot;},{&quot;family&quot;:&quot;Naidoo&quot;,&quot;given&quot;:&quot;Rajen N&quot;,&quot;parse-names&quot;:false,&quot;dropping-particle&quot;:&quot;&quot;,&quot;non-dropping-particle&quot;:&quot;&quot;},{&quot;family&quot;:&quot;Reynolds&quot;,&quot;given&quot;:&quot;Carl J&quot;,&quot;parse-names&quot;:false,&quot;dropping-particle&quot;:&quot;&quot;,&quot;non-dropping-particle&quot;:&quot;&quot;},{&quot;family&quot;:&quot;Sigsgaard&quot;,&quot;given&quot;:&quot;Torben&quot;,&quot;parse-names&quot;:false,&quot;dropping-particle&quot;:&quot;&quot;,&quot;non-dropping-particle&quot;:&quot;&quot;},{&quot;family&quot;:&quot;Torén&quot;,&quot;given&quot;:&quot;Kjell&quot;,&quot;parse-names&quot;:false,&quot;dropping-particle&quot;:&quot;&quot;,&quot;non-dropping-particle&quot;:&quot;&quot;},{&quot;family&quot;:&quot;Torén&quot;,&quot;given&quot;:&quot;Tor´&quot;,&quot;parse-names&quot;:false,&quot;dropping-particle&quot;:&quot;&quot;,&quot;non-dropping-particle&quot;:&quot;&quot;},{&quot;family&quot;:&quot;Vinnikov&quot;,&quot;given&quot;:&quot;Denis&quot;,&quot;parse-names&quot;:false,&quot;dropping-particle&quot;:&quot;&quot;,&quot;non-dropping-particle&quot;:&quot;&quot;},{&quot;family&quot;:&quot;Redlich&quot;,&quot;given&quot;:&quot;Carrie A&quot;,&quot;parse-names&quot;:false,&quot;dropping-particle&quot;:&quot;&quot;,&quot;non-dropping-particle&quot;:&quot;&quot;}],&quot;container-title&quot;:&quot;American  Journal of Respiratory and Critical Care Medicine&quot;,&quot;container-title-short&quot;:&quot;Am J Respir Crit Care Med&quot;,&quot;accessed&quot;:{&quot;date-parts&quot;:[[2020,12,9]]},&quot;DOI&quot;:&quot;10.1164/rccm.201904-0717ST&quot;,&quot;URL&quot;:&quot;www.atsjournals.org.&quot;,&quot;issued&quot;:{&quot;date-parts&quot;:[[2019,6,1]]},&quot;page&quot;:&quot;1312-1334&quot;,&quot;issue&quot;:&quot;11&quot;,&quot;volume&quot;:&quot;199&quot;},&quot;isTemporary&quot;:false}]},{&quot;citationID&quot;:&quot;MENDELEY_CITATION_cf7b03aa-c73e-414b-81c5-e31e996e5aa9&quot;,&quot;properties&quot;:{&quot;noteIndex&quot;:0},&quot;isEdited&quot;:false,&quot;manualOverride&quot;:{&quot;isManuallyOverridden&quot;:false,&quot;citeprocText&quot;:&quot;[158,190–192]&quot;,&quot;manualOverrideText&quot;:&quot;&quot;},&quot;citationTag&quot;:&quot;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&quot;,&quot;citationItems&quot;:[{&quot;id&quot;:&quot;cebd5847-fb4c-365c-9ecf-b92ea8b5b92e&quot;,&quot;itemData&quot;:{&quot;type&quot;:&quot;article-journal&quot;,&quot;id&quot;:&quot;cebd5847-fb4c-365c-9ecf-b92ea8b5b92e&quot;,&quot;title&quot;:&quot;Occupational exposure and airflow obstruction and self-reported COPD among ever-employed US adults using a COPD-job exposure matrix&quot;,&quot;author&quot;:[{&quot;family&quot;:&quot;Doney&quot;,&quot;given&quot;:&quot;Brent&quot;,&quot;parse-names&quot;:false,&quot;dropping-particle&quot;:&quot;&quot;,&quot;non-dropping-particle&quot;:&quot;&quot;},{&quot;family&quot;:&quot;Kurth&quot;,&quot;given&quot;:&quot;Laura&quot;,&quot;parse-names&quot;:false,&quot;dropping-particle&quot;:&quot;&quot;,&quot;non-dropping-particle&quot;:&quot;&quot;},{&quot;family&quot;:&quot;Halldin&quot;,&quot;given&quot;:&quot;Cara&quot;,&quot;parse-names&quot;:false,&quot;dropping-particle&quot;:&quot;&quot;,&quot;non-dropping-particle&quot;:&quot;&quot;},{&quot;family&quot;:&quot;Hale&quot;,&quot;given&quot;:&quot;Janet&quot;,&quot;parse-names&quot;:false,&quot;dropping-particle&quot;:&quot;&quot;,&quot;non-dropping-particle&quot;:&quot;&quot;},{&quot;family&quot;:&quot;Frenk&quot;,&quot;given&quot;:&quot;Steven M&quot;,&quot;parse-names&quot;:false,&quot;dropping-particle&quot;:&quot;&quot;,&quot;non-dropping-particle&quot;:&quot;&quot;}],&quot;accessed&quot;:{&quot;date-parts&quot;:[[2024,3,17]]},&quot;DOI&quot;:&quot;10.1002/ajim.22958&quot;,&quot;abstract&quot;:&quot;Introduction: This study examined the association of spirometry-defined airflow obstruction and self-reported COPD defined as self-reported doctor diagnosed chronic bronchitis or emphysema, with occupational exposure among ever-employed US adults.&quot;,&quot;container-title-short&quot;:&quot;&quot;},&quot;isTemporary&quot;:false},{&quot;id&quot;:&quot;3b611783-1a7f-35c7-8de8-9b2d42158e56&quot;,&quot;itemData&quot;:{&quot;type&quot;:&quot;article-journal&quot;,&quot;id&quot;:&quot;3b611783-1a7f-35c7-8de8-9b2d42158e56&quot;,&quot;title&quot;:&quot;Long-term exposure to diesel engine exhaust induced lung function decline in a cross sectional study&quot;,&quot;author&quot;:[{&quot;family&quot;:&quot;Zhang&quot;,&quot;given&quot;:&quot;Li Ping&quot;,&quot;parse-names&quot;:false,&quot;dropping-particle&quot;:&quot;&quot;,&quot;non-dropping-particle&quot;:&quot;&quot;},{&quot;family&quot;:&quot;Zhang&quot;,&quot;given&quot;:&quot;Xiao&quot;,&quot;parse-names&quot;:false,&quot;dropping-particle&quot;:&quot;&quot;,&quot;non-dropping-particle&quot;:&quot;&quot;},{&quot;family&quot;:&quot;Duan&quot;,&quot;given&quot;:&quot;Hua Wei&quot;,&quot;parse-names&quot;:false,&quot;dropping-particle&quot;:&quot;&quot;,&quot;non-dropping-particle&quot;:&quot;&quot;},{&quot;family&quot;:&quot;Meng&quot;,&quot;given&quot;:&quot;Tao&quot;,&quot;parse-names&quot;:false,&quot;dropping-particle&quot;:&quot;&quot;,&quot;non-dropping-particle&quot;:&quot;&quot;},{&quot;family&quot;:&quot;Niu&quot;,&quot;given&quot;:&quot;Yong&quot;,&quot;parse-names&quot;:false,&quot;dropping-particle&quot;:&quot;&quot;,&quot;non-dropping-particle&quot;:&quot;&quot;},{&quot;family&quot;:&quot;Huang&quot;,&quot;given&quot;:&quot;Chuan Feng&quot;,&quot;parse-names&quot;:false,&quot;dropping-particle&quot;:&quot;&quot;,&quot;non-dropping-particle&quot;:&quot;&quot;},{&quot;family&quot;:&quot;Gao&quot;,&quot;given&quot;:&quot;Wei Min&quot;,&quot;parse-names&quot;:false,&quot;dropping-particle&quot;:&quot;&quot;,&quot;non-dropping-particle&quot;:&quot;&quot;},{&quot;family&quot;:&quot;Yu&quot;,&quot;given&quot;:&quot;Shan Fa&quot;,&quot;parse-names&quot;:false,&quot;dropping-particle&quot;:&quot;&quot;,&quot;non-dropping-particle&quot;:&quot;&quot;},{&quot;family&quot;:&quot;Zheng&quot;,&quot;given&quot;:&quot;Yu Xin&quot;,&quot;parse-names&quot;:false,&quot;dropping-particle&quot;:&quot;&quot;,&quot;non-dropping-particle&quot;:&quot;&quot;}],&quot;container-title&quot;:&quot;Industrial Health&quot;,&quot;container-title-short&quot;:&quot;Ind Health&quot;,&quot;accessed&quot;:{&quot;date-parts&quot;:[[2024,3,17]]},&quot;DOI&quot;:&quot;10.2486/INDHEALTH.2016-0031&quot;,&quot;ISSN&quot;:&quot;00198366&quot;,&quot;PMID&quot;:&quot;27334424&quot;,&quot;URL&quot;:&quot;/pmc/articles/PMC5285310/&quot;,&quot;issued&quot;:{&quot;date-parts&quot;:[[2017]]},&quot;page&quot;:&quot;13&quot;,&quot;abstract&quot;:&quot;To clarify the effects of lung function following exposure to diesel engine exhaust (DEE), we recruited 137 diesel engine testing workers exposed to DEE and 127 non-DEE-exposed workers as study subjects. We performed lung function tests and measured cytokinesis-block micronucleus (CBMN) cytome index and levels of urinary polycyclic aromatic hydrocarbons (PAHs) metabolites. There was a significant decrease of forced expiratory volume in 1 second (FEV1), ratio of forced expiratory volume in 1 second to forced vital capacity (FEV1/ FVC), maximal mid expiratory flow curve (MMF), forced expiratory flow at 50% of FVC (FEF50%), and forced expiratory flow at 75% of FVC (FEF75%) in the DEE-exposed workers than non-DEE-exposed workers (all p&lt;0.05). Among all study subjects, the decreases of FEF75% were associated with the increasing levels of PAHs metabolites (p &lt; 0.05), and there were negative correlations between FEV1, FEV1/FVC, MMF, FEF50%, and FEF75% with CBMN cytome index (all p &lt; 0.05). Our results show that long-term exposure to DEE can induce lung function decline which shows mainly obstructive changes and influence of small airways function. The decreased lung function is associated with internal dosage of DEE exposure, and accompany with the increasing CBMN cytome index.&quot;,&quot;publisher&quot;:&quot;National Institute of Occupational Safety and Health, Japan&quot;,&quot;issue&quot;:&quot;1&quot;,&quot;volume&quot;:&quot;55&quot;},&quot;isTemporary&quot;:false},{&quot;id&quot;:&quot;4fc05050-464f-39e0-9b55-15aee5511994&quot;,&quot;itemData&quot;:{&quot;type&quot;:&quot;article-journal&quot;,&quot;id&quot;:&quot;4fc05050-464f-39e0-9b55-15aee5511994&quot;,&quot;title&quot;:&quot;COPD and occupational exposures: a case-control study&quot;,&quot;author&quot;:[{&quot;family&quot;:&quot;Weinmann&quot;,&quot;given&quot;:&quot;Sheila&quot;,&quot;parse-names&quot;:false,&quot;dropping-particle&quot;:&quot;&quot;,&quot;non-dropping-particle&quot;:&quot;&quot;},{&quot;family&quot;:&quot;Vollmer&quot;,&quot;given&quot;:&quot;William M.&quot;,&quot;parse-names&quot;:false,&quot;dropping-particle&quot;:&quot;&quot;,&quot;non-dropping-particle&quot;:&quot;&quot;},{&quot;family&quot;:&quot;Breen&quot;,&quot;given&quot;:&quot;Victor&quot;,&quot;parse-names&quot;:false,&quot;dropping-particle&quot;:&quot;&quot;,&quot;non-dropping-particle&quot;:&quot;&quot;},{&quot;family&quot;:&quot;Heumann&quot;,&quot;given&quot;:&quot;Michael&quot;,&quot;parse-names&quot;:false,&quot;dropping-particle&quot;:&quot;&quot;,&quot;non-dropping-particle&quot;:&quot;&quot;},{&quot;family&quot;:&quot;Hnizdo&quot;,&quot;given&quot;:&quot;Eva&quot;,&quot;parse-names&quot;:false,&quot;dropping-particle&quot;:&quot;&quot;,&quot;non-dropping-particle&quot;:&quot;&quot;},{&quot;family&quot;:&quot;Villnave&quot;,&quot;given&quot;:&quot;Jacqueline&quot;,&quot;parse-names&quot;:false,&quot;dropping-particle&quot;:&quot;&quot;,&quot;non-dropping-particle&quot;:&quot;&quot;},{&quot;family&quot;:&quot;Doney&quot;,&quot;given&quot;:&quot;Brent&quot;,&quot;parse-names&quot;:false,&quot;dropping-particle&quot;:&quot;&quot;,&quot;non-dropping-particle&quot;:&quot;&quot;},{&quot;family&quot;:&quot;Graziani&quot;,&quot;given&quot;:&quot;Monica&quot;,&quot;parse-names&quot;:false,&quot;dropping-particle&quot;:&quot;&quot;,&quot;non-dropping-particle&quot;:&quot;&quot;},{&quot;family&quot;:&quot;McBurnie&quot;,&quot;given&quot;:&quot;Mary Ann&quot;,&quot;parse-names&quot;:false,&quot;dropping-particle&quot;:&quot;&quot;,&quot;non-dropping-particle&quot;:&quot;&quot;},{&quot;family&quot;:&quot;Buist&quot;,&quot;given&quot;:&quot;A. Sonia&quot;,&quot;parse-names&quot;:false,&quot;dropping-particle&quot;:&quot;&quot;,&quot;non-dropping-particle&quot;:&quot;&quot;}],&quot;container-title&quot;:&quot;Journal of occupational and environmental medicine&quot;,&quot;container-title-short&quot;:&quot;J Occup Environ Med&quot;,&quot;accessed&quot;:{&quot;date-parts&quot;:[[2024,3,17]]},&quot;DOI&quot;:&quot;10.1097/JOM.0B013E3181651556&quot;,&quot;ISSN&quot;:&quot;1536-5948&quot;,&quot;PMID&quot;:&quot;18469625&quot;,&quot;URL&quot;:&quot;https://pubmed.ncbi.nlm.nih.gov/18469625/&quot;,&quot;issued&quot;:{&quot;date-parts&quot;:[[2008]]},&quot;page&quot;:&quot;561-569&quot;,&quot;abstract&quot;:&quot;OBJECTIVE: Evidence demonstrates that occupational exposures are causally linked with chronic obstructive pulmonary disease (COPD). This case-control study evaluated the association between occupational exposures and prevalent COPD based on lifetime occupational history. METHODS: Cases (n = 388) aged 45 years and older with COPD were compared with controls (n = 356), frequency matched on age, sex, and cigarette smoking history. Odds ratios for exposure to each of eight occupational hazard categories and three composite measures of exposure were computed using logistic regression. RESULTS: Occupational exposures most strongly associated with COPD were diesel exhaust, irritant gases and vapors, mineral dust, and metal dust. The composite measures describing aggregate exposure to gases, vapors, solvents, or sensitizers (GVSS) and aggregate exposure to dust, GVSS, or diesel exhaust were also associated with COPD. In the small group of never-smokers, a similar pattern was evident. CONCLUSION: These population-based findings add to the literature linking occupational exposures to COPD. ©2008The American College of Occupational and Environmental Medicine.&quot;,&quot;publisher&quot;:&quot;J Occup Environ Med&quot;,&quot;issue&quot;:&quot;5&quot;,&quot;volume&quot;:&quot;50&quot;},&quot;isTemporary&quot;:false},{&quot;id&quot;:&quot;2be4a8ab-13c7-3890-92d3-4697f0bec515&quot;,&quot;itemData&quot;:{&quot;type&quot;:&quot;article&quot;,&quot;id&quot;:&quot;2be4a8ab-13c7-3890-92d3-4697f0bec515&quot;,&quot;title&quot;:&quot;Occupational diesel exhaust exposure as a risk factor for chronic obstructive pulmonary disease&quot;,&quot;author&quot;:[{&quot;family&quot;:&quot;Hart&quot;,&quot;given&quot;:&quot;Jaime E.&quot;,&quot;parse-names&quot;:false,&quot;dropping-particle&quot;:&quot;&quot;,&quot;non-dropping-particle&quot;:&quot;&quot;},{&quot;family&quot;:&quot;Eisen&quot;,&quot;given&quot;:&quot;Ellen A.&quot;,&quot;parse-names&quot;:false,&quot;dropping-particle&quot;:&quot;&quot;,&quot;non-dropping-particle&quot;:&quot;&quot;},{&quot;family&quot;:&quot;Laden&quot;,&quot;given&quot;:&quot;Francine&quot;,&quot;parse-names&quot;:false,&quot;dropping-particle&quot;:&quot;&quot;,&quot;non-dropping-particle&quot;:&quot;&quot;}],&quot;container-title&quot;:&quot;Current Opinion in Pulmonary Medicine&quot;,&quot;container-title-short&quot;:&quot;Curr Opin Pulm Med&quot;,&quot;accessed&quot;:{&quot;date-parts&quot;:[[2020,12,16]]},&quot;DOI&quot;:&quot;10.1097/MCP.0b013e32834f0eaa&quot;,&quot;ISSN&quot;:&quot;10705287&quot;,&quot;PMID&quot;:&quot;22234274&quot;,&quot;URL&quot;:&quot;/pmc/articles/PMC3648416/?report=abstract&quot;,&quot;issued&quot;:{&quot;date-parts&quot;:[[2012,3]]},&quot;page&quot;:&quot;151-154&quot;,&quot;abstract&quot;:&quot;PURPOSE OF REVIEW: Chronic obstructive pulmonary disease (COPD) is a major source of morbidity and mortality worldwide. Although cigarette smoking is the major cause of COPD, occupational exposures have emerged as an important risk factor, especially in nonsmokers. In this review, we assess the state of the literature on the association of COPD with a specific occupational exposure, diesel exhaust. RECENT FINDINGS: A large body of literature links general occupational exposures to dust and fumes with an increased risk of COPD, particularly in nonsmokers. Few studies, however, have explicitly examined the role of occupational diesel exhaust exposures to COPD risk. Suggestive recent findings link occupational diesel exposures to an increased risk of COPD. SUMMARY: The available literature directly examining the effects of occupational diesel exhaust on risk of COPD is quite small, but does suggest that increasing exposures are associated with increasing risk. Additional research, with more advanced exposure metrics, is needed to fully elucidate this association. © 2012 Wolters Kluwer Health | Lippincott Williams &amp; Wilkins.&quot;,&quot;publisher&quot;:&quot;NIH Public Access&quot;,&quot;issue&quot;:&quot;2&quot;,&quot;volume&quot;:&quot;18&quot;},&quot;isTemporary&quot;:false}]},{&quot;citationID&quot;:&quot;MENDELEY_CITATION_a54ec590-b6a5-4bb6-aee2-0a9a2183b2c1&quot;,&quot;properties&quot;:{&quot;noteIndex&quot;:0},&quot;isEdited&quot;:false,&quot;manualOverride&quot;:{&quot;isManuallyOverridden&quot;:false,&quot;citeprocText&quot;:&quot;[191]&quot;,&quot;manualOverrideText&quot;:&quot;&quot;},&quot;citationTag&quot;:&quot;MENDELEY_CITATION_v3_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&quot;,&quot;citationItems&quot;:[{&quot;id&quot;:&quot;3b611783-1a7f-35c7-8de8-9b2d42158e56&quot;,&quot;itemData&quot;:{&quot;type&quot;:&quot;article-journal&quot;,&quot;id&quot;:&quot;3b611783-1a7f-35c7-8de8-9b2d42158e56&quot;,&quot;title&quot;:&quot;Long-term exposure to diesel engine exhaust induced lung function decline in a cross sectional study&quot;,&quot;author&quot;:[{&quot;family&quot;:&quot;Zhang&quot;,&quot;given&quot;:&quot;Li Ping&quot;,&quot;parse-names&quot;:false,&quot;dropping-particle&quot;:&quot;&quot;,&quot;non-dropping-particle&quot;:&quot;&quot;},{&quot;family&quot;:&quot;Zhang&quot;,&quot;given&quot;:&quot;Xiao&quot;,&quot;parse-names&quot;:false,&quot;dropping-particle&quot;:&quot;&quot;,&quot;non-dropping-particle&quot;:&quot;&quot;},{&quot;family&quot;:&quot;Duan&quot;,&quot;given&quot;:&quot;Hua Wei&quot;,&quot;parse-names&quot;:false,&quot;dropping-particle&quot;:&quot;&quot;,&quot;non-dropping-particle&quot;:&quot;&quot;},{&quot;family&quot;:&quot;Meng&quot;,&quot;given&quot;:&quot;Tao&quot;,&quot;parse-names&quot;:false,&quot;dropping-particle&quot;:&quot;&quot;,&quot;non-dropping-particle&quot;:&quot;&quot;},{&quot;family&quot;:&quot;Niu&quot;,&quot;given&quot;:&quot;Yong&quot;,&quot;parse-names&quot;:false,&quot;dropping-particle&quot;:&quot;&quot;,&quot;non-dropping-particle&quot;:&quot;&quot;},{&quot;family&quot;:&quot;Huang&quot;,&quot;given&quot;:&quot;Chuan Feng&quot;,&quot;parse-names&quot;:false,&quot;dropping-particle&quot;:&quot;&quot;,&quot;non-dropping-particle&quot;:&quot;&quot;},{&quot;family&quot;:&quot;Gao&quot;,&quot;given&quot;:&quot;Wei Min&quot;,&quot;parse-names&quot;:false,&quot;dropping-particle&quot;:&quot;&quot;,&quot;non-dropping-particle&quot;:&quot;&quot;},{&quot;family&quot;:&quot;Yu&quot;,&quot;given&quot;:&quot;Shan Fa&quot;,&quot;parse-names&quot;:false,&quot;dropping-particle&quot;:&quot;&quot;,&quot;non-dropping-particle&quot;:&quot;&quot;},{&quot;family&quot;:&quot;Zheng&quot;,&quot;given&quot;:&quot;Yu Xin&quot;,&quot;parse-names&quot;:false,&quot;dropping-particle&quot;:&quot;&quot;,&quot;non-dropping-particle&quot;:&quot;&quot;}],&quot;container-title&quot;:&quot;Industrial Health&quot;,&quot;container-title-short&quot;:&quot;Ind Health&quot;,&quot;accessed&quot;:{&quot;date-parts&quot;:[[2024,3,17]]},&quot;DOI&quot;:&quot;10.2486/INDHEALTH.2016-0031&quot;,&quot;ISSN&quot;:&quot;00198366&quot;,&quot;PMID&quot;:&quot;27334424&quot;,&quot;URL&quot;:&quot;/pmc/articles/PMC5285310/&quot;,&quot;issued&quot;:{&quot;date-parts&quot;:[[2017]]},&quot;page&quot;:&quot;13&quot;,&quot;abstract&quot;:&quot;To clarify the effects of lung function following exposure to diesel engine exhaust (DEE), we recruited 137 diesel engine testing workers exposed to DEE and 127 non-DEE-exposed workers as study subjects. We performed lung function tests and measured cytokinesis-block micronucleus (CBMN) cytome index and levels of urinary polycyclic aromatic hydrocarbons (PAHs) metabolites. There was a significant decrease of forced expiratory volume in 1 second (FEV1), ratio of forced expiratory volume in 1 second to forced vital capacity (FEV1/ FVC), maximal mid expiratory flow curve (MMF), forced expiratory flow at 50% of FVC (FEF50%), and forced expiratory flow at 75% of FVC (FEF75%) in the DEE-exposed workers than non-DEE-exposed workers (all p&lt;0.05). Among all study subjects, the decreases of FEF75% were associated with the increasing levels of PAHs metabolites (p &lt; 0.05), and there were negative correlations between FEV1, FEV1/FVC, MMF, FEF50%, and FEF75% with CBMN cytome index (all p &lt; 0.05). Our results show that long-term exposure to DEE can induce lung function decline which shows mainly obstructive changes and influence of small airways function. The decreased lung function is associated with internal dosage of DEE exposure, and accompany with the increasing CBMN cytome index.&quot;,&quot;publisher&quot;:&quot;National Institute of Occupational Safety and Health, Japan&quot;,&quot;issue&quot;:&quot;1&quot;,&quot;volume&quot;:&quot;55&quot;},&quot;isTemporary&quot;:false}]},{&quot;citationID&quot;:&quot;MENDELEY_CITATION_e9300502-1fcb-46fc-845a-9915805ab5a6&quot;,&quot;properties&quot;:{&quot;noteIndex&quot;:0},&quot;isEdited&quot;:false,&quot;manualOverride&quot;:{&quot;isManuallyOverridden&quot;:false,&quot;citeprocText&quot;:&quot;[191]&quot;,&quot;manualOverrideText&quot;:&quot;&quot;},&quot;citationTag&quot;:&quot;MENDELEY_CITATION_v3_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&quot;,&quot;citationItems&quot;:[{&quot;id&quot;:&quot;3b611783-1a7f-35c7-8de8-9b2d42158e56&quot;,&quot;itemData&quot;:{&quot;type&quot;:&quot;article-journal&quot;,&quot;id&quot;:&quot;3b611783-1a7f-35c7-8de8-9b2d42158e56&quot;,&quot;title&quot;:&quot;Long-term exposure to diesel engine exhaust induced lung function decline in a cross sectional study&quot;,&quot;author&quot;:[{&quot;family&quot;:&quot;Zhang&quot;,&quot;given&quot;:&quot;Li Ping&quot;,&quot;parse-names&quot;:false,&quot;dropping-particle&quot;:&quot;&quot;,&quot;non-dropping-particle&quot;:&quot;&quot;},{&quot;family&quot;:&quot;Zhang&quot;,&quot;given&quot;:&quot;Xiao&quot;,&quot;parse-names&quot;:false,&quot;dropping-particle&quot;:&quot;&quot;,&quot;non-dropping-particle&quot;:&quot;&quot;},{&quot;family&quot;:&quot;Duan&quot;,&quot;given&quot;:&quot;Hua Wei&quot;,&quot;parse-names&quot;:false,&quot;dropping-particle&quot;:&quot;&quot;,&quot;non-dropping-particle&quot;:&quot;&quot;},{&quot;family&quot;:&quot;Meng&quot;,&quot;given&quot;:&quot;Tao&quot;,&quot;parse-names&quot;:false,&quot;dropping-particle&quot;:&quot;&quot;,&quot;non-dropping-particle&quot;:&quot;&quot;},{&quot;family&quot;:&quot;Niu&quot;,&quot;given&quot;:&quot;Yong&quot;,&quot;parse-names&quot;:false,&quot;dropping-particle&quot;:&quot;&quot;,&quot;non-dropping-particle&quot;:&quot;&quot;},{&quot;family&quot;:&quot;Huang&quot;,&quot;given&quot;:&quot;Chuan Feng&quot;,&quot;parse-names&quot;:false,&quot;dropping-particle&quot;:&quot;&quot;,&quot;non-dropping-particle&quot;:&quot;&quot;},{&quot;family&quot;:&quot;Gao&quot;,&quot;given&quot;:&quot;Wei Min&quot;,&quot;parse-names&quot;:false,&quot;dropping-particle&quot;:&quot;&quot;,&quot;non-dropping-particle&quot;:&quot;&quot;},{&quot;family&quot;:&quot;Yu&quot;,&quot;given&quot;:&quot;Shan Fa&quot;,&quot;parse-names&quot;:false,&quot;dropping-particle&quot;:&quot;&quot;,&quot;non-dropping-particle&quot;:&quot;&quot;},{&quot;family&quot;:&quot;Zheng&quot;,&quot;given&quot;:&quot;Yu Xin&quot;,&quot;parse-names&quot;:false,&quot;dropping-particle&quot;:&quot;&quot;,&quot;non-dropping-particle&quot;:&quot;&quot;}],&quot;container-title&quot;:&quot;Industrial Health&quot;,&quot;container-title-short&quot;:&quot;Ind Health&quot;,&quot;accessed&quot;:{&quot;date-parts&quot;:[[2024,3,17]]},&quot;DOI&quot;:&quot;10.2486/INDHEALTH.2016-0031&quot;,&quot;ISSN&quot;:&quot;00198366&quot;,&quot;PMID&quot;:&quot;27334424&quot;,&quot;URL&quot;:&quot;/pmc/articles/PMC5285310/&quot;,&quot;issued&quot;:{&quot;date-parts&quot;:[[2017]]},&quot;page&quot;:&quot;13&quot;,&quot;abstract&quot;:&quot;To clarify the effects of lung function following exposure to diesel engine exhaust (DEE), we recruited 137 diesel engine testing workers exposed to DEE and 127 non-DEE-exposed workers as study subjects. We performed lung function tests and measured cytokinesis-block micronucleus (CBMN) cytome index and levels of urinary polycyclic aromatic hydrocarbons (PAHs) metabolites. There was a significant decrease of forced expiratory volume in 1 second (FEV1), ratio of forced expiratory volume in 1 second to forced vital capacity (FEV1/ FVC), maximal mid expiratory flow curve (MMF), forced expiratory flow at 50% of FVC (FEF50%), and forced expiratory flow at 75% of FVC (FEF75%) in the DEE-exposed workers than non-DEE-exposed workers (all p&lt;0.05). Among all study subjects, the decreases of FEF75% were associated with the increasing levels of PAHs metabolites (p &lt; 0.05), and there were negative correlations between FEV1, FEV1/FVC, MMF, FEF50%, and FEF75% with CBMN cytome index (all p &lt; 0.05). Our results show that long-term exposure to DEE can induce lung function decline which shows mainly obstructive changes and influence of small airways function. The decreased lung function is associated with internal dosage of DEE exposure, and accompany with the increasing CBMN cytome index.&quot;,&quot;publisher&quot;:&quot;National Institute of Occupational Safety and Health, Japan&quot;,&quot;issue&quot;:&quot;1&quot;,&quot;volume&quot;:&quot;55&quot;},&quot;isTemporary&quot;:false}]},{&quot;citationID&quot;:&quot;MENDELEY_CITATION_9c9fe463-d698-4d29-b939-8d9ef80d03f2&quot;,&quot;properties&quot;:{&quot;noteIndex&quot;:0},&quot;isEdited&quot;:false,&quot;manualOverride&quot;:{&quot;isManuallyOverridden&quot;:false,&quot;citeprocText&quot;:&quot;[13,105,193,194]&quot;,&quot;manualOverrideText&quot;:&quot;&quot;},&quot;citationTag&quot;:&quot;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&quot;,&quot;citationItems&quot;:[{&quot;id&quot;:&quot;9543cf90-aebf-35cd-8065-df8ea7b3d075&quot;,&quot;itemData&quot;:{&quot;type&quot;:&quot;article-journal&quot;,&quot;id&quot;:&quot;9543cf90-aebf-35cd-8065-df8ea7b3d075&quot;,&quot;title&quot;:&quot;Combined effect of smoking and occupational exposure to dusts, gases or fumes on the incidence of COPD&quot;,&quot;author&quot;:[{&quot;family&quot;:&quot;Pallasaho&quot;,&quot;given&quot;:&quot;Paula&quot;,&quot;parse-names&quot;:false,&quot;dropping-particle&quot;:&quot;&quot;,&quot;non-dropping-particle&quot;:&quot;&quot;},{&quot;family&quot;:&quot;Kainu&quot;,&quot;given&quot;:&quot;Annette&quot;,&quot;parse-names&quot;:false,&quot;dropping-particle&quot;:&quot;&quot;,&quot;non-dropping-particle&quot;:&quot;&quot;},{&quot;family&quot;:&quot;Sovijärvi&quot;,&quot;given&quot;:&quot;Anssi&quot;,&quot;parse-names&quot;:false,&quot;dropping-particle&quot;:&quot;&quot;,&quot;non-dropping-particle&quot;:&quot;&quot;},{&quot;family&quot;:&quot;Lindqvist&quot;,&quot;given&quot;:&quot;Ari&quot;,&quot;parse-names&quot;:false,&quot;dropping-particle&quot;:&quot;&quot;,&quot;non-dropping-particle&quot;:&quot;&quot;},{&quot;family&quot;:&quot;Piirilä&quot;,&quot;given&quot;:&quot;Päivi L.&quot;,&quot;parse-names&quot;:false,&quot;dropping-particle&quot;:&quot;&quot;,&quot;non-dropping-particle&quot;:&quot;&quot;}],&quot;container-title&quot;:&quot;COPD: Journal of Chronic Obstructive Pulmonary Disease&quot;,&quot;DOI&quot;:&quot;10.3109/15412555.2013.830095&quot;,&quot;ISSN&quot;:&quot;15412555&quot;,&quot;PMID&quot;:&quot;24111617&quot;,&quot;issued&quot;:{&quot;date-parts&quot;:[[2014]]},&quot;page&quot;:&quot;88-95&quot;,&quot;abstract&quot;:&quot;To assess risk factors related to the development of chronic obstructive pulmonary disease (COPD) including smoking and occupational exposure (OE) to dusts, gases or fumes, we performed a longitudinal 11-year follow-up postal survey. The original study population was a random population sample of 8000 inhabitants of Helsinki aged 20 to 69 years in 1996. Participants of the first postal questionnaire were invited to this follow-up survey in 2007 with 4302 (78%) answers obtained. Cumulative incidence of COPD in 11 years was 3.43% corresponding to an incidence rate of 3.17/1000/year after exclusion of those with self-reported physician-diagnosed COPD and ever COPD in 1996. Smoking and age, but not gender, were associated with incident COPD. Reported family history of COPD increased the cumulative incidence to 8.55% vs 3.04% among those without a family history (p &lt; 0.001). In multivariate analysis, significant independent risk factors for incident COPD were: current smoking in 1996 (OR 4.40 [95% CI 2.89-6.71]), age over 50 (OR 3.42 [95% CI 2.22-5.26]), family history of COPD (OR 2.08 [1.27-3.43]), ever asthma (OR 2.28 [1.35-3.86]), and self-reported OE (OR 2.14 [1.50-3.05]). Occupational exposure to dusts, gases or fumes, assessed both based on self-reported exposure and a job exposure matrix using reported professions, was an independent risk factor for incident COPD. Smoking and OE together yielded an additive effect on incidence of COPD. © 2014 Informa Healthcare USA, Inc.&quot;,&quot;issue&quot;:&quot;1&quot;,&quot;volume&quot;:&quot;11&quot;,&quot;container-title-short&quot;:&quot;&quot;},&quot;isTemporary&quot;:false},{&quot;id&quot;:&quot;101ea27a-779f-39ca-b6bd-4cfae1105e84&quot;,&quot;itemData&quot;:{&quot;type&quot;:&quot;article-journal&quot;,&quot;id&quot;:&quot;101ea27a-779f-39ca-b6bd-4cfae1105e84&quot;,&quot;title&quot;:&quot;Occupational exposures and the risk of COPD: Dusty trades revisited&quot;,&quot;author&quot;:[{&quot;family&quot;:&quot;Blanc&quot;,&quot;given&quot;:&quot;P. D.&quot;,&quot;parse-names&quot;:false,&quot;dropping-particle&quot;:&quot;&quot;,&quot;non-dropping-particle&quot;:&quot;&quot;},{&quot;family&quot;:&quot;Iribarren&quot;,&quot;given&quot;:&quot;C.&quot;,&quot;parse-names&quot;:false,&quot;dropping-particle&quot;:&quot;&quot;,&quot;non-dropping-particle&quot;:&quot;&quot;},{&quot;family&quot;:&quot;Trupin&quot;,&quot;given&quot;:&quot;L.&quot;,&quot;parse-names&quot;:false,&quot;dropping-particle&quot;:&quot;&quot;,&quot;non-dropping-particle&quot;:&quot;&quot;},{&quot;family&quot;:&quot;Earnest&quot;,&quot;given&quot;:&quot;G.&quot;,&quot;parse-names&quot;:false,&quot;dropping-particle&quot;:&quot;&quot;,&quot;non-dropping-particle&quot;:&quot;&quot;},{&quot;family&quot;:&quot;Katz&quot;,&quot;given&quot;:&quot;P. P.&quot;,&quot;parse-names&quot;:false,&quot;dropping-particle&quot;:&quot;&quot;,&quot;non-dropping-particle&quot;:&quot;&quot;},{&quot;family&quot;:&quot;Balmes&quot;,&quot;given&quot;:&quot;J.&quot;,&quot;parse-names&quot;:false,&quot;dropping-particle&quot;:&quot;&quot;,&quot;non-dropping-particle&quot;:&quot;&quot;},{&quot;family&quot;:&quot;Sidney&quot;,&quot;given&quot;:&quot;S.&quot;,&quot;parse-names&quot;:false,&quot;dropping-particle&quot;:&quot;&quot;,&quot;non-dropping-particle&quot;:&quot;&quot;},{&quot;family&quot;:&quot;Eisner&quot;,&quot;given&quot;:&quot;M. D.&quot;,&quot;parse-names&quot;:false,&quot;dropping-particle&quot;:&quot;&quot;,&quot;non-dropping-particle&quot;:&quot;&quot;}],&quot;container-title&quot;:&quot;Thorax&quot;,&quot;container-title-short&quot;:&quot;Thorax&quot;,&quot;accessed&quot;:{&quot;date-parts&quot;:[[2020,12,9]]},&quot;DOI&quot;:&quot;10.1136/thx.2008.099390&quot;,&quot;ISSN&quot;:&quot;14683296&quot;,&quot;PMID&quot;:&quot;18678700&quot;,&quot;URL&quot;:&quot;/pmc/articles/PMC2775075/?report=abstract&quot;,&quot;issued&quot;:{&quot;date-parts&quot;:[[2009]]},&quot;page&quot;:&quot;6-12&quot;,&quot;abstract&quot;:&quot;Background: The contribution of occupational exposures to chronic obstructive pulmonary disease (COPD) and, in particular, their potential interaction with cigarette smoking remains underappreciated. Methods: Data from the FLOW study of 1202 subjects with COPD (of which 742 had disease classified as stage II or above by Global Obstructive Lung Disease (GOLD) criteria) and 302 referent subjects matched by age, sex and race recruited from a large managed care organisation were analysed. Occupational exposures were assessed using two methods: self-reported exposure to vapours, gas, dust or fumes on the longest held job (VGDF) and a job exposure matrix (JEM) for probability of exposure based on occupation. Multivariate analysis was used to control for age, sex, race and smoking history. The odds ratio (OR) and adjusted population attributable fraction (PAF) associated with occupational exposure were calculated. Results: VGDF exposure was associated with an increased risk of COPD (OR 2.11; 95% CI 1.59 to 2.82) and a PAF of 31% (95% CI 22% to 39%). The risk associated with high probability of workplace exposure by JEM was similar (OR 2.27; 95% Cl 1.46 to 3.52), although the PAF was lower (13%; 95% CI 8% to 18%). These estimates were not substantively different when the analysis was limited to COPD GOLD stage II or above. Joint exposure to both smoking and occupational factors markedly increased the risk of COPD (OR 14.1; 95% CI 9.33 to 21.2). Conclusions: Workplace exposures are strongly associated with an increased risk of COPD. On a population level, prevention of both smoking and occupational exposure, and especially both together, is needed to prevent the global burden of disease.&quot;,&quot;publisher&quot;:&quot;BMJ Publishing Group&quot;,&quot;issue&quot;:&quot;1&quot;,&quot;volume&quot;:&quot;64&quot;},&quot;isTemporary&quot;:false},{&quot;id&quot;:&quot;eabc30cb-3fc0-3272-b77b-4975aa9caeb6&quot;,&quot;itemData&quot;:{&quot;type&quot;:&quot;article-journal&quot;,&quot;id&quot;:&quot;eabc30cb-3fc0-3272-b77b-4975aa9caeb6&quot;,&quot;title&quot;:&quot;COPD and occupation: A retrospective cohort study of industrial workers&quot;,&quot;author&quot;:[{&quot;family&quot;:&quot;Mazitova&quot;,&quot;given&quot;:&quot;Nailya N.&quot;,&quot;parse-names&quot;:false,&quot;dropping-particle&quot;:&quot;&quot;,&quot;non-dropping-particle&quot;:&quot;&quot;},{&quot;family&quot;:&quot;Saveliev&quot;,&quot;given&quot;:&quot;Anatoly A.&quot;,&quot;parse-names&quot;:false,&quot;dropping-particle&quot;:&quot;&quot;,&quot;non-dropping-particle&quot;:&quot;&quot;},{&quot;family&quot;:&quot;Berheeva&quot;,&quot;given&quot;:&quot;Zuhra M.&quot;,&quot;parse-names&quot;:false,&quot;dropping-particle&quot;:&quot;&quot;,&quot;non-dropping-particle&quot;:&quot;&quot;},{&quot;family&quot;:&quot;Amirov&quot;,&quot;given&quot;:&quot;Nail Kh&quot;,&quot;parse-names&quot;:false,&quot;dropping-particle&quot;:&quot;&quot;,&quot;non-dropping-particle&quot;:&quot;&quot;}],&quot;container-title&quot;:&quot;Arhiv za Higijenu Rada i Toksikologiju&quot;,&quot;container-title-short&quot;:&quot;Arh Hig Rada Toksikol&quot;,&quot;DOI&quot;:&quot;10.2478/10004-1254-63-2012-2178&quot;,&quot;ISSN&quot;:&quot;00041254&quot;,&quot;PMID&quot;:&quot;23152384&quot;,&quot;issued&quot;:{&quot;date-parts&quot;:[[2012]]},&quot;page&quot;:&quot;345-356&quot;,&quot;abstract&quot;:&quot;The aim of this paper was to ascertain chronic obstructive pulmonary disease (COPD) prevalence among industrial workers in the Russian Federation and determine relative contribution of smoking and occupational factors to COPD. We recruited 1,375 workers aged 30 or over. Six hundred and twenty-four of them were occupationally exposed to vapours, gases, dust, and fumes (VGDF). Physical examination and baseline spirometry were performed for all the participants of the study. Those with airflow limitation of FEV1/FVC&lt;0.70 were considered having COPD and those with presence of cough and sputum production for at least three months in each of two consecutive years were considered having chronic bronchitis (CB), with no overlapping between these 2 groups. Data on occupational history and VGDF levels in the working area were collected from all participants. In total, 105 cases of COPD and 170 cases of CB were diagnosed in the cohort of examined workers. Occupational exposure to VGDF was twice as often present among COPD patients than among both patients with CB and the control group of healthy workers (p&lt;0.05). More than 40 % of COPD patients were occupationally exposed to VGDF above the value of 3.0 of the occupational exposure limit (OEL) and more than 20 % to 6.0 OEL and higher. Overall odds ratio for COPD development due to occupational VGDF exposure was 5.9 (95 % CI=3.6 to 9.8, p=0.0001). Both smoking and VGDF seem to be important for the development of COPD. Analysis of the combined effect of tobacco smoking and occupational noxious particles and gases on COPD development has shown the following order of risk factors based on the strength of their influence: VGDF levels, smoking index, age, and heating microclimate. There is a statistically significant level of relationship and \&quot;dose-effect\&quot; dependence between occupational exposures to VGDF and the development of COPD. The effect of VGDF composition on the probability of COPD development was not found in the study. Results of this study were used to substantiate the inclusion of COPD into the National List of Occupational Diseases of the Russian Federation.&quot;,&quot;issue&quot;:&quot;3&quot;,&quot;volume&quot;:&quot;63&quot;},&quot;isTemporary&quot;:false},{&quot;id&quot;:&quot;33a313ba-178c-31a1-8972-99be31d99a6f&quot;,&quot;itemData&quot;:{&quot;type&quot;:&quot;article-journal&quot;,&quot;id&quot;:&quot;33a313ba-178c-31a1-8972-99be31d99a6f&quot;,&quot;title&quot;:&quot;The Occupational Burden of Nonmalignant Respiratory Diseases An Official American Thoracic Society and European Respiratory Society Statement&quot;,&quot;author&quot;:[{&quot;family&quot;:&quot;Blanc&quot;,&quot;given&quot;:&quot;Paul D&quot;,&quot;parse-names&quot;:false,&quot;dropping-particle&quot;:&quot;&quot;,&quot;non-dropping-particle&quot;:&quot;&quot;},{&quot;family&quot;:&quot;Annesi-Maesano&quot;,&quot;given&quot;:&quot;Isabella&quot;,&quot;parse-names&quot;:false,&quot;dropping-particle&quot;:&quot;&quot;,&quot;non-dropping-particle&quot;:&quot;&quot;},{&quot;family&quot;:&quot;Balmes&quot;,&quot;given&quot;:&quot;John R&quot;,&quot;parse-names&quot;:false,&quot;dropping-particle&quot;:&quot;&quot;,&quot;non-dropping-particle&quot;:&quot;&quot;},{&quot;family&quot;:&quot;Cummings&quot;,&quot;given&quot;:&quot;Kristin J&quot;,&quot;parse-names&quot;:false,&quot;dropping-particle&quot;:&quot;&quot;,&quot;non-dropping-particle&quot;:&quot;&quot;},{&quot;family&quot;:&quot;Fishwick&quot;,&quot;given&quot;:&quot;David&quot;,&quot;parse-names&quot;:false,&quot;dropping-particle&quot;:&quot;&quot;,&quot;non-dropping-particle&quot;:&quot;&quot;},{&quot;family&quot;:&quot;Miedinger&quot;,&quot;given&quot;:&quot;David&quot;,&quot;parse-names&quot;:false,&quot;dropping-particle&quot;:&quot;&quot;,&quot;non-dropping-particle&quot;:&quot;&quot;},{&quot;family&quot;:&quot;Murgia&quot;,&quot;given&quot;:&quot;Nicola&quot;,&quot;parse-names&quot;:false,&quot;dropping-particle&quot;:&quot;&quot;,&quot;non-dropping-particle&quot;:&quot;&quot;},{&quot;family&quot;:&quot;Naidoo&quot;,&quot;given&quot;:&quot;Rajen N&quot;,&quot;parse-names&quot;:false,&quot;dropping-particle&quot;:&quot;&quot;,&quot;non-dropping-particle&quot;:&quot;&quot;},{&quot;family&quot;:&quot;Reynolds&quot;,&quot;given&quot;:&quot;Carl J&quot;,&quot;parse-names&quot;:false,&quot;dropping-particle&quot;:&quot;&quot;,&quot;non-dropping-particle&quot;:&quot;&quot;},{&quot;family&quot;:&quot;Sigsgaard&quot;,&quot;given&quot;:&quot;Torben&quot;,&quot;parse-names&quot;:false,&quot;dropping-particle&quot;:&quot;&quot;,&quot;non-dropping-particle&quot;:&quot;&quot;},{&quot;family&quot;:&quot;Torén&quot;,&quot;given&quot;:&quot;Kjell&quot;,&quot;parse-names&quot;:false,&quot;dropping-particle&quot;:&quot;&quot;,&quot;non-dropping-particle&quot;:&quot;&quot;},{&quot;family&quot;:&quot;Torén&quot;,&quot;given&quot;:&quot;Tor´&quot;,&quot;parse-names&quot;:false,&quot;dropping-particle&quot;:&quot;&quot;,&quot;non-dropping-particle&quot;:&quot;&quot;},{&quot;family&quot;:&quot;Vinnikov&quot;,&quot;given&quot;:&quot;Denis&quot;,&quot;parse-names&quot;:false,&quot;dropping-particle&quot;:&quot;&quot;,&quot;non-dropping-particle&quot;:&quot;&quot;},{&quot;family&quot;:&quot;Redlich&quot;,&quot;given&quot;:&quot;Carrie A&quot;,&quot;parse-names&quot;:false,&quot;dropping-particle&quot;:&quot;&quot;,&quot;non-dropping-particle&quot;:&quot;&quot;}],&quot;container-title&quot;:&quot;American  Journal of Respiratory and Critical Care Medicine&quot;,&quot;container-title-short&quot;:&quot;Am J Respir Crit Care Med&quot;,&quot;accessed&quot;:{&quot;date-parts&quot;:[[2020,12,9]]},&quot;DOI&quot;:&quot;10.1164/rccm.201904-0717ST&quot;,&quot;URL&quot;:&quot;www.atsjournals.org.&quot;,&quot;issued&quot;:{&quot;date-parts&quot;:[[2019,6,1]]},&quot;page&quot;:&quot;1312-1334&quot;,&quot;issue&quot;:&quot;11&quot;,&quot;volume&quot;:&quot;199&quot;},&quot;isTemporary&quot;:false}]},{&quot;citationID&quot;:&quot;MENDELEY_CITATION_419c8e01-2226-4cad-8b9f-67738dd7c28f&quot;,&quot;properties&quot;:{&quot;noteIndex&quot;:0},&quot;isEdited&quot;:false,&quot;manualOverride&quot;:{&quot;isManuallyOverridden&quot;:false,&quot;citeprocText&quot;:&quot;[134]&quot;,&quot;manualOverrideText&quot;:&quot;&quot;},&quot;citationTag&quot;:&quot;MENDELEY_CITATION_v3_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&quot;,&quot;citationItems&quot;:[{&quot;id&quot;:&quot;36563a6b-929c-3d2d-acdc-befd07c3d8fd&quot;,&quot;itemData&quot;:{&quot;type&quot;:&quot;book&quot;,&quot;id&quot;:&quot;36563a6b-929c-3d2d-acdc-befd07c3d8fd&quot;,&quot;title&quot;:&quot;Methods in Epidemiologic Research&quot;,&quot;author&quot;:[{&quot;family&quot;:&quot;Dohoo&quot;,&quot;given&quot;:&quot;Ian&quot;,&quot;parse-names&quot;:false,&quot;dropping-particle&quot;:&quot;&quot;,&quot;non-dropping-particle&quot;:&quot;&quot;},{&quot;family&quot;:&quot;Martin&quot;,&quot;given&quot;:&quot;Wayne&quot;,&quot;parse-names&quot;:false,&quot;dropping-particle&quot;:&quot;&quot;,&quot;non-dropping-particle&quot;:&quot;&quot;},{&quot;family&quot;:&quot;Stryhn&quot;,&quot;given&quot;:&quot;Henrik&quot;,&quot;parse-names&quot;:false,&quot;dropping-particle&quot;:&quot;&quot;,&quot;non-dropping-particle&quot;:&quot;&quot;}],&quot;editor&quot;:[{&quot;family&quot;:&quot;McPike&quot;,&quot;given&quot;:&quot;S Margaret&quot;,&quot;parse-names&quot;:false,&quot;dropping-particle&quot;:&quot;&quot;,&quot;non-dropping-particle&quot;:&quot;&quot;}],&quot;ISBN&quot;:&quot;978-0-919013-73-5&quot;,&quot;issued&quot;:{&quot;date-parts&quot;:[[2012]]},&quot;publisher-place&quot;:&quot;Charlottetown, Prince Edward Island, Canda&quot;,&quot;number-of-pages&quot;:&quot;90-93&quot;,&quot;edition&quot;:&quot;1&quot;,&quot;publisher&quot;:&quot;VER Inc.&quot;,&quot;container-title-short&quot;:&quot;&quot;},&quot;isTemporary&quot;:false}]},{&quot;citationID&quot;:&quot;MENDELEY_CITATION_dedc78fa-fa8f-40e8-8aff-b81370965835&quot;,&quot;properties&quot;:{&quot;noteIndex&quot;:0},&quot;isEdited&quot;:false,&quot;manualOverride&quot;:{&quot;isManuallyOverridden&quot;:false,&quot;citeprocText&quot;:&quot;[157]&quot;,&quot;manualOverrideText&quot;:&quot;&quot;},&quot;citationTag&quot;:&quot;MENDELEY_CITATION_v3_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&quot;,&quot;citationItems&quot;:[{&quot;id&quot;:&quot;9b88c017-4b50-3771-a762-377684fbd238&quot;,&quot;itemData&quot;:{&quot;type&quot;:&quot;article-journal&quot;,&quot;id&quot;:&quot;9b88c017-4b50-3771-a762-377684fbd238&quot;,&quot;title&quot;:&quot;Information bias in health research: definition, pitfalls, and adjustment methods&quot;,&quot;author&quot;:[{&quot;family&quot;:&quot;Althubaiti&quot;,&quot;given&quot;:&quot;Alaa&quot;,&quot;parse-names&quot;:false,&quot;dropping-particle&quot;:&quot;&quot;,&quot;non-dropping-particle&quot;:&quot;&quot;}],&quot;container-title&quot;:&quot;Journal of Multidisciplinary Healthcare&quot;,&quot;container-title-short&quot;:&quot;J Multidiscip Healthc&quot;,&quot;accessed&quot;:{&quot;date-parts&quot;:[[2022,5,8]]},&quot;DOI&quot;:&quot;10.2147/JMDH.S104807&quot;,&quot;ISSN&quot;:&quot;11782390&quot;,&quot;PMID&quot;:&quot;27217764&quot;,&quot;URL&quot;:&quot;/pmc/articles/PMC4862344/&quot;,&quot;issued&quot;:{&quot;date-parts&quot;:[[2016,5,4]]},&quot;page&quot;:&quot;211&quot;,&quot;abstract&quot;:&quot;As with other fields, medical sciences are subject to different sources of bias. While understanding sources of bias is a key element for drawing valid conclusions, bias in health research continues to be a very sensitive issue that can affect the focus and outcome of investigations. Information bias, otherwise known as misclassification, is one of the most common sources of bias that affects the validity of health research. It originates from the approach that is utilized to obtain or confirm study measurements. This paper seeks to raise awareness of information bias in observational and experimental research study designs as well as to enrich discussions concerning bias problems. Specifying the types of bias can be essential to limit its effects and, the use of adjustment methods might serve to improve clinical evaluation and health care practice.&quot;,&quot;publisher&quot;:&quot;Dove Press&quot;,&quot;volume&quot;:&quot;9&quot;},&quot;isTemporary&quot;:false}]},{&quot;citationID&quot;:&quot;MENDELEY_CITATION_d05b4a0e-db9c-477d-ad83-87e3b1d9a1a5&quot;,&quot;properties&quot;:{&quot;noteIndex&quot;:0},&quot;isEdited&quot;:false,&quot;manualOverride&quot;:{&quot;isManuallyOverridden&quot;:false,&quot;citeprocText&quot;:&quot;[21]&quot;,&quot;manualOverrideText&quot;:&quot;&quot;},&quot;citationTag&quot;:&quot;MENDELEY_CITATION_v3_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&quot;,&quot;citationItems&quot;:[{&quot;id&quot;:&quot;bb0e04a4-6cae-352b-9eec-3cdfc40775b2&quot;,&quot;itemData&quot;:{&quot;type&quot;:&quot;article-journal&quot;,&quot;id&quot;:&quot;bb0e04a4-6cae-352b-9eec-3cdfc40775b2&quot;,&quot;title&quot;:&quot;Recommendations for epidemiological studies on COPD&quot;,&quot;author&quot;:[{&quot;family&quot;:&quot;Bakke&quot;,&quot;given&quot;:&quot;P. S.&quot;,&quot;parse-names&quot;:false,&quot;dropping-particle&quot;:&quot;&quot;,&quot;non-dropping-particle&quot;:&quot;&quot;},{&quot;family&quot;:&quot;Rönmark&quot;,&quot;given&quot;:&quot;E.&quot;,&quot;parse-names&quot;:false,&quot;dropping-particle&quot;:&quot;&quot;,&quot;non-dropping-particle&quot;:&quot;&quot;},{&quot;family&quot;:&quot;Eagan&quot;,&quot;given&quot;:&quot;T.&quot;,&quot;parse-names&quot;:false,&quot;dropping-particle&quot;:&quot;&quot;,&quot;non-dropping-particle&quot;:&quot;&quot;},{&quot;family&quot;:&quot;Pistelli&quot;,&quot;given&quot;:&quot;F.&quot;,&quot;parse-names&quot;:false,&quot;dropping-particle&quot;:&quot;&quot;,&quot;non-dropping-particle&quot;:&quot;&quot;},{&quot;family&quot;:&quot;Annesi-Maesano&quot;,&quot;given&quot;:&quot;I.&quot;,&quot;parse-names&quot;:false,&quot;dropping-particle&quot;:&quot;&quot;,&quot;non-dropping-particle&quot;:&quot;&quot;},{&quot;family&quot;:&quot;Maly&quot;,&quot;given&quot;:&quot;M.&quot;,&quot;parse-names&quot;:false,&quot;dropping-particle&quot;:&quot;&quot;,&quot;non-dropping-particle&quot;:&quot;&quot;},{&quot;family&quot;:&quot;Meren&quot;,&quot;given&quot;:&quot;M.&quot;,&quot;parse-names&quot;:false,&quot;dropping-particle&quot;:&quot;&quot;,&quot;non-dropping-particle&quot;:&quot;&quot;},{&quot;family&quot;:&quot;Vermeire&quot;,&quot;given&quot;:&quot;P.&quot;,&quot;parse-names&quot;:false,&quot;dropping-particle&quot;:&quot;&quot;,&quot;non-dropping-particle&quot;:&quot;&quot;},{&quot;family&quot;:&quot;Vestbo&quot;,&quot;given&quot;:&quot;J.&quot;,&quot;parse-names&quot;:false,&quot;dropping-particle&quot;:&quot;&quot;,&quot;non-dropping-particle&quot;:&quot;&quot;},{&quot;family&quot;:&quot;Viegi&quot;,&quot;given&quot;:&quot;G.&quot;,&quot;parse-names&quot;:false,&quot;dropping-particle&quot;:&quot;&quot;,&quot;non-dropping-particle&quot;:&quot;&quot;},{&quot;family&quot;:&quot;Zielinski&quot;,&quot;given&quot;:&quot;J.&quot;,&quot;parse-names&quot;:false,&quot;dropping-particle&quot;:&quot;&quot;,&quot;non-dropping-particle&quot;:&quot;&quot;},{&quot;family&quot;:&quot;Lundbäck&quot;,&quot;given&quot;:&quot;B.&quot;,&quot;parse-names&quot;:false,&quot;dropping-particle&quot;:&quot;&quot;,&quot;non-dropping-particle&quot;:&quot;&quot;}],&quot;container-title&quot;:&quot;European Respiratory Journal&quot;,&quot;DOI&quot;:&quot;10.1183/09031936.00193809&quot;,&quot;ISSN&quot;:&quot;09031936&quot;,&quot;PMID&quot;:&quot;22130763&quot;,&quot;issued&quot;:{&quot;date-parts&quot;:[[2011]]},&quot;page&quot;:&quot;1261-1277&quot;,&quot;abstract&quot;:&quot;The prevalence of chronic obstructive pulmonary disease (COPD) has been extensively studied, especially in Western Europe and North America. Few of these data are directly comparable because of differences between the surveys regarding composition of study populations, diagnostic criteria of the disease and definitions of the risk factors. Few community studies have examined phenotypes of COPD and included other ways of characterising the disease beyond that of spirometry. The objective of the present Task Force report is to present recommendations for the performance of general population studies in COPD in order to facilitate comparable and valid estimates on COPD prevalence by various risk factors. Diagnostic criteria in epidemiological settings, and standardised methods to examine the disease and its potential risk factors are discussed. The paper also offers practical advice for planning and performing an epidemiological study on COPD. The main message of the paper is that thorough planning is worth half the study. It is crucial to stick to standardised methods and good quality control during sampling. We recommend collecting biological markers, depending on the specific objectives of the study. Finally, studies of COPD in the population at large should assess various phenotypes of the disease.&quot;,&quot;issue&quot;:&quot;6&quot;,&quot;volume&quot;:&quot;38&quot;,&quot;container-title-short&quot;:&quot;&quot;},&quot;isTemporary&quot;:false}]},{&quot;citationID&quot;:&quot;MENDELEY_CITATION_f274f5e0-2361-4735-86aa-f1f080fd51b8&quot;,&quot;properties&quot;:{&quot;noteIndex&quot;:0},&quot;isEdited&quot;:false,&quot;manualOverride&quot;:{&quot;isManuallyOverridden&quot;:false,&quot;citeprocText&quot;:&quot;[195]&quot;,&quot;manualOverrideText&quot;:&quot;&quot;},&quot;citationTag&quot;:&quot;MENDELEY_CITATION_v3_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&quot;,&quot;citationItems&quot;:[{&quot;id&quot;:&quot;b8ecaa78-7721-3df3-b987-ef881b992a67&quot;,&quot;itemData&quot;:{&quot;type&quot;:&quot;article-journal&quot;,&quot;id&quot;:&quot;b8ecaa78-7721-3df3-b987-ef881b992a67&quot;,&quot;title&quot;:&quot;Quantifying Disparities in Air Pollution Exposures across the United States Using Home and Work Addresses&quot;,&quot;author&quot;:[{&quot;family&quot;:&quot;Souza&quot;,&quot;given&quot;:&quot;Priyanka&quot;,&quot;parse-names&quot;:false,&quot;dropping-particle&quot;:&quot;&quot;,&quot;non-dropping-particle&quot;:&quot;de&quot;},{&quot;family&quot;:&quot;Anenberg&quot;,&quot;given&quot;:&quot;Susan&quot;,&quot;parse-names&quot;:false,&quot;dropping-particle&quot;:&quot;&quot;,&quot;non-dropping-particle&quot;:&quot;&quot;},{&quot;family&quot;:&quot;Makarewicz&quot;,&quot;given&quot;:&quot;Carrie&quot;,&quot;parse-names&quot;:false,&quot;dropping-particle&quot;:&quot;&quot;,&quot;non-dropping-particle&quot;:&quot;&quot;},{&quot;family&quot;:&quot;Shirgaokar&quot;,&quot;given&quot;:&quot;Manish&quot;,&quot;parse-names&quot;:false,&quot;dropping-particle&quot;:&quot;&quot;,&quot;non-dropping-particle&quot;:&quot;&quot;},{&quot;family&quot;:&quot;Duarte&quot;,&quot;given&quot;:&quot;Fabio&quot;,&quot;parse-names&quot;:false,&quot;dropping-particle&quot;:&quot;&quot;,&quot;non-dropping-particle&quot;:&quot;&quot;},{&quot;family&quot;:&quot;Ratti&quot;,&quot;given&quot;:&quot;Carlo&quot;,&quot;parse-names&quot;:false,&quot;dropping-particle&quot;:&quot;&quot;,&quot;non-dropping-particle&quot;:&quot;&quot;},{&quot;family&quot;:&quot;Durant&quot;,&quot;given&quot;:&quot;John L.&quot;,&quot;parse-names&quot;:false,&quot;dropping-particle&quot;:&quot;&quot;,&quot;non-dropping-particle&quot;:&quot;&quot;},{&quot;family&quot;:&quot;Kinney&quot;,&quot;given&quot;:&quot;Patrick L.&quot;,&quot;parse-names&quot;:false,&quot;dropping-particle&quot;:&quot;&quot;,&quot;non-dropping-particle&quot;:&quot;&quot;},{&quot;family&quot;:&quot;Niemeier&quot;,&quot;given&quot;:&quot;Deb&quot;,&quot;parse-names&quot;:false,&quot;dropping-particle&quot;:&quot;&quot;,&quot;non-dropping-particle&quot;:&quot;&quot;}],&quot;container-title&quot;:&quot;Environmental science &amp; technology&quot;,&quot;container-title-short&quot;:&quot;Environ Sci Technol&quot;,&quot;accessed&quot;:{&quot;date-parts&quot;:[[2025,1,5]]},&quot;DOI&quot;:&quot;10.1021/ACS.EST.3C07926&quot;,&quot;ISSN&quot;:&quot;1520-5851&quot;,&quot;PMID&quot;:&quot;38153403&quot;,&quot;URL&quot;:&quot;https://pubmed.ncbi.nlm.nih.gov/38153403/&quot;,&quot;issued&quot;:{&quot;date-parts&quot;:[[2024,1,9]]},&quot;page&quot;:&quot;280-290&quot;,&quot;abstract&quot;:&quot;While human mobility plays a crucial role in determining ambient air pollution exposures and health risks, research to date has assessed risks on the basis of almost solely residential location. Here, we leveraged a database of ∼128-144 million workers in the United States and published ambient PM2.5 data between 2011 and 2018 to explore how incorporating information on both workplace and residential location changes our understanding of disparities in air pollution exposure. In general, we observed higher workplace exposures relative to home exposures, as well as increased exposures for nonwhite and less educated workers relative to the national average. Workplace exposure disparities were higher among racial and ethnic groups and job types than by income, education, age, and sex. Not considering workplace exposures can lead to systematic underestimations in disparities in exposure among these subpopulations. We also quantified the error in assigning workers home instead of a weighted home-and-work exposure. We observed that biases in associations between PM2.5 and health impacts by using home instead of home-and-work exposure were the highest among urban, younger populations.&quot;,&quot;publisher&quot;:&quot;Environ Sci Technol&quot;,&quot;issue&quot;:&quot;1&quot;,&quot;volume&quot;:&quot;58&quot;},&quot;isTemporary&quot;:false}]},{&quot;citationID&quot;:&quot;MENDELEY_CITATION_a3cf50e1-0c05-4a71-a7e2-e7c865362fd9&quot;,&quot;properties&quot;:{&quot;noteIndex&quot;:0},&quot;isEdited&quot;:false,&quot;manualOverride&quot;:{&quot;isManuallyOverridden&quot;:false,&quot;citeprocText&quot;:&quot;[2,4,121]&quot;,&quot;manualOverrideText&quot;:&quot;&quot;},&quot;citationTag&quot;:&quot;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&quot;,&quot;citationItems&quot;:[{&quot;id&quot;:&quot;4a66e3c3-580e-3af8-91d2-c4eb6b2c00f5&quot;,&quot;itemData&quot;:{&quot;type&quot;:&quot;article-journal&quot;,&quot;id&quot;:&quot;4a66e3c3-580e-3af8-91d2-c4eb6b2c00f5&quot;,&quot;title&quot;:&quot;Chronic Obstructive Pulmonary Disease and Smoking Status — United States, 2017&quot;,&quot;author&quot;:[{&quot;family&quot;:&quot;Wheaton&quot;,&quot;given&quot;:&quot;Anne G.&quot;,&quot;parse-names&quot;:false,&quot;dropping-particle&quot;:&quot;&quot;,&quot;non-dropping-particle&quot;:&quot;&quot;},{&quot;family&quot;:&quot;Liu&quot;,&quot;given&quot;:&quot;Yong&quot;,&quot;parse-names&quot;:false,&quot;dropping-particle&quot;:&quot;&quot;,&quot;non-dropping-particle&quot;:&quot;&quot;},{&quot;family&quot;:&quot;Croft&quot;,&quot;given&quot;:&quot;Janet B.&quot;,&quot;parse-names&quot;:false,&quot;dropping-particle&quot;:&quot;&quot;,&quot;non-dropping-particle&quot;:&quot;&quot;},{&quot;family&quot;:&quot;VanFrank&quot;,&quot;given&quot;:&quot;Brenna&quot;,&quot;parse-names&quot;:false,&quot;dropping-particle&quot;:&quot;&quot;,&quot;non-dropping-particle&quot;:&quot;&quot;},{&quot;family&quot;:&quot;Croxton&quot;,&quot;given&quot;:&quot;Thomas L.&quot;,&quot;parse-names&quot;:false,&quot;dropping-particle&quot;:&quot;&quot;,&quot;non-dropping-particle&quot;:&quot;&quot;},{&quot;family&quot;:&quot;Punturieri&quot;,&quot;given&quot;:&quot;Antonello&quot;,&quot;parse-names&quot;:false,&quot;dropping-particle&quot;:&quot;&quot;,&quot;non-dropping-particle&quot;:&quot;&quot;},{&quot;family&quot;:&quot;Postow&quot;,&quot;given&quot;:&quot;Lisa&quot;,&quot;parse-names&quot;:false,&quot;dropping-particle&quot;:&quot;&quot;,&quot;non-dropping-particle&quot;:&quot;&quot;},{&quot;family&quot;:&quot;Greenlund&quot;,&quot;given&quot;:&quot;Kurt J.&quot;,&quot;parse-names&quot;:false,&quot;dropping-particle&quot;:&quot;&quot;,&quot;non-dropping-particle&quot;:&quot;&quot;}],&quot;container-title&quot;:&quot;MMWR. Morbidity and Mortality Weekly Report&quot;,&quot;container-title-short&quot;:&quot;MMWR Morb Mortal Wkly Rep&quot;,&quot;accessed&quot;:{&quot;date-parts&quot;:[[2020,12,7]]},&quot;DOI&quot;:&quot;10.15585/mmwr.mm6824a1&quot;,&quot;ISSN&quot;:&quot;0149-2195&quot;,&quot;PMID&quot;:&quot;31220055&quot;,&quot;URL&quot;:&quot;https://www.ncbi.nlm.nih.gov/pmc/articles/PMC6586372/&quot;,&quot;issued&quot;:{&quot;date-parts&quot;:[[2019,6,21]]},&quot;page&quot;:&quot;533-538&quot;,&quot;abstract&quot;:&quot;Cigarette smoking is the leading cause of chronic obstructive pulmonary disease (COPD) in the United States; however, an estimated one fourth of adults with COPD have never smoked (1). CDC analyzed state-specific Behavioral Risk Factor Surveillance System (BRFSS) data from 2017, which indicated that, overall among U.S. adults, 6.2% (age-adjusted) reported having been told by a health care professional that they had COPD. The age-adjusted prevalence of COPD was 15.2% among current cigarette smokers, 7.6% among former smokers, and 2.8% among adults who had never smoked. Higher prevalences of COPD were observed in southeastern and Appalachian states, regardless of smoking status of respondents. Whereas the strong positive correlation between state prevalence of COPD and state prevalence of current smoking was expected among current and former smokers, a similar relationship among adults who had never smoked suggests secondhand smoke exposure as a potential risk factor for COPD. Continued promotion of smoke-free environments might reduce COPD among both those who smoke and those who do not.&quot;,&quot;publisher&quot;:&quot;Centers for Disease Control MMWR Office&quot;,&quot;issue&quot;:&quot;24&quot;,&quot;volume&quot;:&quot;68&quot;},&quot;isTemporary&quot;:false},{&quot;id&quot;:&quot;ffe2310b-c607-3149-be29-7f54962d549d&quot;,&quot;itemData&quot;:{&quot;type&quot;:&quot;article&quot;,&quot;id&quot;:&quot;ffe2310b-c607-3149-be29-7f54962d549d&quot;,&quot;title&quot;:&quot;Epidemiology and clinical impact of major comorbidities in patients with COPD&quot;,&quot;author&quot;:[{&quot;family&quot;:&quot;Smith&quot;,&quot;given&quot;:&quot;Miranda Caroline&quot;,&quot;parse-names&quot;:false,&quot;dropping-particle&quot;:&quot;&quot;,&quot;non-dropping-particle&quot;:&quot;&quot;},{&quot;family&quot;:&quot;Wrobel&quot;,&quot;given&quot;:&quot;Jeremy P.&quot;,&quot;parse-names&quot;:false,&quot;dropping-particle&quot;:&quot;&quot;,&quot;non-dropping-particle&quot;:&quot;&quot;}],&quot;container-title&quot;:&quot;International Journal of COPD&quot;,&quot;accessed&quot;:{&quot;date-parts&quot;:[[2021,5,27]]},&quot;DOI&quot;:&quot;10.2147/COPD.S49621&quot;,&quot;ISSN&quot;:&quot;11782005&quot;,&quot;PMID&quot;:&quot;25210449&quot;,&quot;URL&quot;:&quot;/pmc/articles/PMC4154888/&quot;,&quot;issued&quot;:{&quot;date-parts&quot;:[[2014,8,27]]},&quot;page&quot;:&quot;871-888&quot;,&quot;abstract&quot;:&quot;omorbidities are frequent in chronic obstructive pulmonary disease (COPD) and significantly impact on patients' quality of life, exacerbation frequency, and survival. There is increasing evidence that certain diseases occur in greater frequency amongst patients with COPD than in the general population, and that these comorbidities significantly impact on patient outcomes. Although the mechanisms are yet to be defined, many comorbidities likely result from the chronic inflammatory state that is present in COPD. Common problems in the clinical management of COPD include recognizing new comorbidities, determining the impact of comorbidities on patient symptoms, the concurrent treatment of COPD and comorbidities, and accurate prognostication. The majority of comorbidities in COPD should be treated according to usual practice, and specific COPD management is infrequently altered by the presence of comorbidities. Unfortunately, comorbidities are often under-recognized and under-treated. This review focuses on the epidemiology of ten major comorbidities in patients with COPD. Further, we emphasize the clinical impact upon prognosis and management considerations. This review will highlight the importance of comorbidity identification and management in the practice of caring for patients with COPD.&quot;,&quot;publisher&quot;:&quot;Dove Medical Press Ltd.&quot;,&quot;volume&quot;:&quot;9&quot;,&quot;container-title-short&quot;:&quot;&quot;},&quot;isTemporary&quot;:false},{&quot;id&quot;:&quot;3c00f3b6-9628-3033-9567-78c987be2fcf&quot;,&quot;itemData&quot;:{&quot;type&quot;:&quot;article-journal&quot;,&quot;id&quot;:&quot;3c00f3b6-9628-3033-9567-78c987be2fcf&quot;,&quot;title&quot;:&quot;Morbidity and Mortality Weekly Report Chronic Obstructive Pulmonary Disease Mortality by Industry and Occupation-United States, 2020&quot;,&quot;author&quot;:[{&quot;family&quot;:&quot;Syamlal&quot;,&quot;given&quot;:&quot;Girija&quot;,&quot;parse-names&quot;:false,&quot;dropping-particle&quot;:&quot;&quot;,&quot;non-dropping-particle&quot;:&quot;&quot;},{&quot;family&quot;:&quot;Kurth&quot;,&quot;given&quot;:&quot;Laura M&quot;,&quot;parse-names&quot;:false,&quot;dropping-particle&quot;:&quot;&quot;,&quot;non-dropping-particle&quot;:&quot;&quot;},{&quot;family&quot;:&quot;Dodd&quot;,&quot;given&quot;:&quot;Katelynn E&quot;,&quot;parse-names&quot;:false,&quot;dropping-particle&quot;:&quot;&quot;,&quot;non-dropping-particle&quot;:&quot;&quot;},{&quot;family&quot;:&quot;David&quot;,&quot;given&quot;:&quot;;&quot;,&quot;parse-names&quot;:false,&quot;dropping-particle&quot;:&quot;&quot;,&quot;non-dropping-particle&quot;:&quot;&quot;},{&quot;family&quot;:&quot;Blackley&quot;,&quot;given&quot;:&quot;J&quot;,&quot;parse-names&quot;:false,&quot;dropping-particle&quot;:&quot;&quot;,&quot;non-dropping-particle&quot;:&quot;&quot;},{&quot;family&quot;:&quot;Hall&quot;,&quot;given&quot;:&quot;Noemi B&quot;,&quot;parse-names&quot;:false,&quot;dropping-particle&quot;:&quot;&quot;,&quot;non-dropping-particle&quot;:&quot;&quot;},{&quot;family&quot;:&quot;Mazurek&quot;,&quot;given&quot;:&quot;Jacek M&quot;,&quot;parse-names&quot;:false,&quot;dropping-particle&quot;:&quot;&quot;,&quot;non-dropping-particle&quot;:&quot;&quot;}],&quot;accessed&quot;:{&quot;date-parts&quot;:[[2024,5,4]]},&quot;URL&quot;:&quot;https://www.cdc.gov/nchs/data/dvs/Industry-and-Occupation-&quot;,&quot;container-title-short&quot;:&quot;&quot;},&quot;isTemporary&quot;:false}]},{&quot;citationID&quot;:&quot;MENDELEY_CITATION_cc32b9ed-242d-411f-abe1-8e2a48edcfbb&quot;,&quot;properties&quot;:{&quot;noteIndex&quot;:0},&quot;isEdited&quot;:false,&quot;manualOverride&quot;:{&quot;isManuallyOverridden&quot;:false,&quot;citeprocText&quot;:&quot;[14]&quot;,&quot;manualOverrideText&quot;:&quot;&quot;},&quot;citationTag&quot;:&quot;MENDELEY_CITATION_v3_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&quot;,&quot;citationItems&quot;:[{&quot;id&quot;:&quot;f8167413-56a3-394c-9c40-7f4153a8ecae&quot;,&quot;itemData&quot;:{&quot;type&quot;:&quot;article-journal&quot;,&quot;id&quot;:&quot;f8167413-56a3-394c-9c40-7f4153a8ecae&quot;,&quot;title&quot;:&quot;Prevalence and burden of comorbidities in Chronic Obstructive Pulmonary Disease&quot;,&quot;author&quot;:[{&quot;family&quot;:&quot;Corlateanu&quot;,&quot;given&quot;:&quot;Alexandru&quot;,&quot;parse-names&quot;:false,&quot;dropping-particle&quot;:&quot;&quot;,&quot;non-dropping-particle&quot;:&quot;&quot;},{&quot;family&quot;:&quot;Covantev&quot;,&quot;given&quot;:&quot;Serghei&quot;,&quot;parse-names&quot;:false,&quot;dropping-particle&quot;:&quot;&quot;,&quot;non-dropping-particle&quot;:&quot;&quot;},{&quot;family&quot;:&quot;Mathioudakis&quot;,&quot;given&quot;:&quot;Alexander G.&quot;,&quot;parse-names&quot;:false,&quot;dropping-particle&quot;:&quot;&quot;,&quot;non-dropping-particle&quot;:&quot;&quot;},{&quot;family&quot;:&quot;Botnaru&quot;,&quot;given&quot;:&quot;Victor&quot;,&quot;parse-names&quot;:false,&quot;dropping-particle&quot;:&quot;&quot;,&quot;non-dropping-particle&quot;:&quot;&quot;},{&quot;family&quot;:&quot;Siafakas&quot;,&quot;given&quot;:&quot;Nikolaos&quot;,&quot;parse-names&quot;:false,&quot;dropping-particle&quot;:&quot;&quot;,&quot;non-dropping-particle&quot;:&quot;&quot;}],&quot;container-title&quot;:&quot;Respiratory Investigation&quot;,&quot;container-title-short&quot;:&quot;Respir Investig&quot;,&quot;accessed&quot;:{&quot;date-parts&quot;:[[2024,5,27]]},&quot;DOI&quot;:&quot;10.1016/J.RESINV.2016.07.001&quot;,&quot;ISSN&quot;:&quot;2212-5345&quot;,&quot;PMID&quot;:&quot;27886849&quot;,&quot;issued&quot;:{&quot;date-parts&quot;:[[2016,11,1]]},&quot;page&quot;:&quot;387-396&quot;,&quot;abstract&quot;:&quot;The classical definition of Chronic Obstructive Pulmonary Disease (COPD) as a lung condition characterized by irreversible airway obstruction is outdated. The systemic involvement in patients with COPD, as well as the interactions between COPD and its comorbidities, justify the description of chronic systemic inflammatory syndrome. The pathogenesis of COPD is closely linked with aging, as well as with cardiovascular, endocrine, musculoskeletal, renal, and gastrointestinal pathologies, decreasing the quality of life of patients with COPD and, furthermore, complicating the management of the disease. The most frequently described comorbidities include skeletal muscle wasting, cachexia (loss of fat-free mass), lung cancer (small cell or non-small cell), pulmonary hypertension, ischemic heart disease, hyperlipidemia, congestive heart failure, normocytic anemia, diabetes, metabolic syndrome, osteoporosis, obstructive sleep apnea, depression, and arthritis. These complex interactions are based on chronic low-grade systemic inflammation, chronic hypoxia, and multiple common predisposing factors, and are currently under intense research. This review article is an overview of the comorbidities of COPD, as well as their interaction and influence on mutual disease progression, prognosis, and quality of life.&quot;,&quot;publisher&quot;:&quot;Elsevier&quot;,&quot;issue&quot;:&quot;6&quot;,&quot;volume&quot;:&quot;54&quot;},&quot;isTemporary&quot;:false}]},{&quot;citationID&quot;:&quot;MENDELEY_CITATION_898f89fe-0c06-4181-a761-160f74a5025b&quot;,&quot;properties&quot;:{&quot;noteIndex&quot;:0},&quot;isEdited&quot;:false,&quot;manualOverride&quot;:{&quot;isManuallyOverridden&quot;:false,&quot;citeprocText&quot;:&quot;[5]&quot;,&quot;manualOverrideText&quot;:&quot;&quot;},&quot;citationTag&quot;:&quot;MENDELEY_CITATION_v3_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&quot;,&quot;citationItems&quot;:[{&quot;id&quot;:&quot;40e30623-6004-3ba4-bc18-b1528e200abc&quot;,&quot;itemData&quot;:{&quot;type&quot;:&quot;article-journal&quot;,&quot;id&quot;:&quot;40e30623-6004-3ba4-bc18-b1528e200abc&quot;,&quot;title&quot;:&quot;Disease Progression and Age as Factors Underlying Multimorbidity in Patients with COPD: Results from COSYCONET&quot;,&quot;author&quot;:[{&quot;family&quot;:&quot;Alter&quot;,&quot;given&quot;:&quot;Peter&quot;,&quot;parse-names&quot;:false,&quot;dropping-particle&quot;:&quot;&quot;,&quot;non-dropping-particle&quot;:&quot;&quot;},{&quot;family&quot;:&quot;Kahnert&quot;,&quot;given&quot;:&quot;Kathrin&quot;,&quot;parse-names&quot;:false,&quot;dropping-particle&quot;:&quot;&quot;,&quot;non-dropping-particle&quot;:&quot;&quot;},{&quot;family&quot;:&quot;Trudzinski&quot;,&quot;given&quot;:&quot;Franziska C.&quot;,&quot;parse-names&quot;:false,&quot;dropping-particle&quot;:&quot;&quot;,&quot;non-dropping-particle&quot;:&quot;&quot;},{&quot;family&quot;:&quot;Bals&quot;,&quot;given&quot;:&quot;Robert&quot;,&quot;parse-names&quot;:false,&quot;dropping-particle&quot;:&quot;&quot;,&quot;non-dropping-particle&quot;:&quot;&quot;},{&quot;family&quot;:&quot;Watz&quot;,&quot;given&quot;:&quot;Henrik&quot;,&quot;parse-names&quot;:false,&quot;dropping-particle&quot;:&quot;&quot;,&quot;non-dropping-particle&quot;:&quot;&quot;},{&quot;family&quot;:&quot;Speicher&quot;,&quot;given&quot;:&quot;Tim&quot;,&quot;parse-names&quot;:false,&quot;dropping-particle&quot;:&quot;&quot;,&quot;non-dropping-particle&quot;:&quot;&quot;},{&quot;family&quot;:&quot;Söhler&quot;,&quot;given&quot;:&quot;Sandra&quot;,&quot;parse-names&quot;:false,&quot;dropping-particle&quot;:&quot;&quot;,&quot;non-dropping-particle&quot;:&quot;&quot;},{&quot;family&quot;:&quot;Andreas&quot;,&quot;given&quot;:&quot;Stefan&quot;,&quot;parse-names&quot;:false,&quot;dropping-particle&quot;:&quot;&quot;,&quot;non-dropping-particle&quot;:&quot;&quot;},{&quot;family&quot;:&quot;Welte&quot;,&quot;given&quot;:&quot;Tobias&quot;,&quot;parse-names&quot;:false,&quot;dropping-particle&quot;:&quot;&quot;,&quot;non-dropping-particle&quot;:&quot;&quot;},{&quot;family&quot;:&quot;Rabe&quot;,&quot;given&quot;:&quot;Klaus F.&quot;,&quot;parse-names&quot;:false,&quot;dropping-particle&quot;:&quot;&quot;,&quot;non-dropping-particle&quot;:&quot;&quot;},{&quot;family&quot;:&quot;Wouters&quot;,&quot;given&quot;:&quot;Emiel F.M.&quot;,&quot;parse-names&quot;:false,&quot;dropping-particle&quot;:&quot;&quot;,&quot;non-dropping-particle&quot;:&quot;&quot;},{&quot;family&quot;:&quot;Sassmann-Schweda&quot;,&quot;given&quot;:&quot;Antonia&quot;,&quot;parse-names&quot;:false,&quot;dropping-particle&quot;:&quot;&quot;,&quot;non-dropping-particle&quot;:&quot;&quot;},{&quot;family&quot;:&quot;Wirtz&quot;,&quot;given&quot;:&quot;Hubert&quot;,&quot;parse-names&quot;:false,&quot;dropping-particle&quot;:&quot;&quot;,&quot;non-dropping-particle&quot;:&quot;&quot;},{&quot;family&quot;:&quot;Ficker&quot;,&quot;given&quot;:&quot;Joachim H.&quot;,&quot;parse-names&quot;:false,&quot;dropping-particle&quot;:&quot;&quot;,&quot;non-dropping-particle&quot;:&quot;&quot;},{&quot;family&quot;:&quot;Vogelmeier&quot;,&quot;given&quot;:&quot;Claus F.&quot;,&quot;parse-names&quot;:false,&quot;dropping-particle&quot;:&quot;&quot;,&quot;non-dropping-particle&quot;:&quot;&quot;},{&quot;family&quot;:&quot;Jörres&quot;,&quot;given&quot;:&quot;Rudolf A.&quot;,&quot;parse-names&quot;:false,&quot;dropping-particle&quot;:&quot;&quot;,&quot;non-dropping-particle&quot;:&quot;&quot;}],&quot;container-title&quot;:&quot;International journal of chronic obstructive pulmonary disease&quot;,&quot;container-title-short&quot;:&quot;Int J Chron Obstruct Pulmon Dis&quot;,&quot;accessed&quot;:{&quot;date-parts&quot;:[[2024,6,1]]},&quot;DOI&quot;:&quot;10.2147/COPD.S364812&quot;,&quot;ISSN&quot;:&quot;1178-2005&quot;,&quot;PMID&quot;:&quot;35936574&quot;,&quot;URL&quot;:&quot;https://pubmed.ncbi.nlm.nih.gov/35936574/&quot;,&quot;issued&quot;:{&quot;date-parts&quot;:[[2022]]},&quot;page&quot;:&quot;1703-1713&quot;,&quot;abstract&quot;:&quot;Background: Multimorbidity plays an important role in chronic obstructive pulmonary disease (COPD) but is also a feature of ageing. We estimated to what extent increases in the prevalence of multimorbidity over time are attributable to COPD progression compared to increasing patient age. Methods: Patients with COPD from the long-term COSYCONET (COPD and Systemic Consequences-Comorbidities Network) cohort with four follow-up visits were included in this analysis. At each visit, symptoms, exacerbation history, quality of life and lung function were assessed, along with the comorbidities heart failure (HF), coronary artery disease (CAD), peripheral arterial disease (PAD), hypertension, sleep apnea, diabetes mellitus, hyperlipidemia, hyperuricemia and osteoporosis. Using longitudinal logistic regression analysis, we determined what proportion of the increase in the prevalence of comorbidities could be attributed to patients’ age or to the progression of COPD over visits. Results: Of 2030 patients at baseline, 878 completed four follow-up visits (up to 4.5 years). CAD prevalence increased over time, with similar effects attributable to the 4.5-year follow-up, used as indicator of COPD progression, and to a 5-year increase in patients’ age. The prevalence of HF, diabetes, hyperlipidemia, hyperuricemia, osteoporosis and sleep apnea showed stronger contributions of COPD progression than of age; in contrast, age dominated for hypertension and PAD. There were different relationships to patients’ characteristics including BMI and sex. The results were not critically dependent on the duration of COPD prior to enrolment, or the inclusion of patients with all four follow-up visits vs those attending only at least one of them. Conclusion: Analyzing the increasing prevalence of multimorbidity in COPD over time, we separated age-independent contributions, probably reflecting intrinsic COPD-related disease progression, from age-dependent contributions. This distinction might be useful for the individual assessment of disease progression in COPD.&quot;,&quot;publisher&quot;:&quot;Int J Chron Obstruct Pulmon Dis&quot;,&quot;volume&quot;:&quot;17&quot;},&quot;isTemporary&quot;:false}]},{&quot;citationID&quot;:&quot;MENDELEY_CITATION_568ca89c-8132-4d6a-ac8a-1ce2d27790e3&quot;,&quot;properties&quot;:{&quot;noteIndex&quot;:0},&quot;isEdited&quot;:false,&quot;manualOverride&quot;:{&quot;isManuallyOverridden&quot;:false,&quot;citeprocText&quot;:&quot;[196]&quot;,&quot;manualOverrideText&quot;:&quot;&quot;},&quot;citationTag&quot;:&quot;MENDELEY_CITATION_v3_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&quot;,&quot;citationItems&quot;:[{&quot;id&quot;:&quot;b8ba8cfa-9b6c-3680-b7e0-49308de8c835&quot;,&quot;itemData&quot;:{&quot;type&quot;:&quot;article-journal&quot;,&quot;id&quot;:&quot;b8ba8cfa-9b6c-3680-b7e0-49308de8c835&quot;,&quot;title&quot;:&quot;COPD and multimorbidity: recognising and addressing a syndemic occurrence&quot;,&quot;author&quot;:[{&quot;family&quot;:&quot;Fabbri&quot;,&quot;given&quot;:&quot;Leonardo M.&quot;,&quot;parse-names&quot;:false,&quot;dropping-particle&quot;:&quot;&quot;,&quot;non-dropping-particle&quot;:&quot;&quot;},{&quot;family&quot;:&quot;Celli&quot;,&quot;given&quot;:&quot;Bartolome R.&quot;,&quot;parse-names&quot;:false,&quot;dropping-particle&quot;:&quot;&quot;,&quot;non-dropping-particle&quot;:&quot;&quot;},{&quot;family&quot;:&quot;Agustí&quot;,&quot;given&quot;:&quot;Alvar&quot;,&quot;parse-names&quot;:false,&quot;dropping-particle&quot;:&quot;&quot;,&quot;non-dropping-particle&quot;:&quot;&quot;},{&quot;family&quot;:&quot;Criner&quot;,&quot;given&quot;:&quot;Gerard J.&quot;,&quot;parse-names&quot;:false,&quot;dropping-particle&quot;:&quot;&quot;,&quot;non-dropping-particle&quot;:&quot;&quot;},{&quot;family&quot;:&quot;Dransfield&quot;,&quot;given&quot;:&quot;Mark T.&quot;,&quot;parse-names&quot;:false,&quot;dropping-particle&quot;:&quot;&quot;,&quot;non-dropping-particle&quot;:&quot;&quot;},{&quot;family&quot;:&quot;Divo&quot;,&quot;given&quot;:&quot;Miguel&quot;,&quot;parse-names&quot;:false,&quot;dropping-particle&quot;:&quot;&quot;,&quot;non-dropping-particle&quot;:&quot;&quot;},{&quot;family&quot;:&quot;Krishnan&quot;,&quot;given&quot;:&quot;Jamuna K.&quot;,&quot;parse-names&quot;:false,&quot;dropping-particle&quot;:&quot;&quot;,&quot;non-dropping-particle&quot;:&quot;&quot;},{&quot;family&quot;:&quot;Lahousse&quot;,&quot;given&quot;:&quot;Lies&quot;,&quot;parse-names&quot;:false,&quot;dropping-particle&quot;:&quot;&quot;,&quot;non-dropping-particle&quot;:&quot;&quot;},{&quot;family&quot;:&quot;Montes de Oca&quot;,&quot;given&quot;:&quot;Maria&quot;,&quot;parse-names&quot;:false,&quot;dropping-particle&quot;:&quot;&quot;,&quot;non-dropping-particle&quot;:&quot;&quot;},{&quot;family&quot;:&quot;Salvi&quot;,&quot;given&quot;:&quot;Sundeep S.&quot;,&quot;parse-names&quot;:false,&quot;dropping-particle&quot;:&quot;&quot;,&quot;non-dropping-particle&quot;:&quot;&quot;},{&quot;family&quot;:&quot;Stolz&quot;,&quot;given&quot;:&quot;Daiana&quot;,&quot;parse-names&quot;:false,&quot;dropping-particle&quot;:&quot;&quot;,&quot;non-dropping-particle&quot;:&quot;&quot;},{&quot;family&quot;:&quot;Vanfleteren&quot;,&quot;given&quot;:&quot;Lowie E.G.W.&quot;,&quot;parse-names&quot;:false,&quot;dropping-particle&quot;:&quot;&quot;,&quot;non-dropping-particle&quot;:&quot;&quot;},{&quot;family&quot;:&quot;Vogelmeier&quot;,&quot;given&quot;:&quot;Claus F.&quot;,&quot;parse-names&quot;:false,&quot;dropping-particle&quot;:&quot;&quot;,&quot;non-dropping-particle&quot;:&quot;&quot;}],&quot;container-title&quot;:&quot;The Lancet. Respiratory medicine&quot;,&quot;container-title-short&quot;:&quot;Lancet Respir Med&quot;,&quot;accessed&quot;:{&quot;date-parts&quot;:[[2024,5,27]]},&quot;DOI&quot;:&quot;10.1016/S2213-2600(23)00261-8&quot;,&quot;ISSN&quot;:&quot;2213-2619&quot;,&quot;PMID&quot;:&quot;37696283&quot;,&quot;URL&quot;:&quot;https://pubmed.ncbi.nlm.nih.gov/37696283/&quot;,&quot;issued&quot;:{&quot;date-parts&quot;:[[2023,11,1]]},&quot;page&quot;:&quot;1020-1034&quot;,&quot;abstract&quot;:&quot;Most patients with chronic obstructive pulmonary disease (COPD) have at least one additional, clinically relevant chronic disease. Those with the most severe airflow obstruction will die from respiratory failure, but most patients with COPD die from non-respiratory disorders, particularly cardiovascular diseases and cancer. As many chronic diseases have shared risk factors (eg, ageing, smoking, pollution, inactivity, and poverty), we argue that a shift from the current paradigm in which COPD is considered as a single disease with comorbidities, to one in which COPD is considered as part of a multimorbid state—with co-occurring diseases potentially sharing pathobiological mechanisms—is needed to advance disease prevention, diagnosis, and management. The term syndemics is used to describe the co-occurrence of diseases with shared mechanisms and risk factors, a novel concept that we propose helps to explain the clustering of certain morbidities in patients diagnosed with COPD. A syndemics approach to understanding COPD could have important clinical implications, in which the complex disease presentations in these patients are addressed through proactive diagnosis, assessment of severity, and integrated management of the COPD multimorbid state, with a patient-centred rather than a single-disease approach.&quot;,&quot;publisher&quot;:&quot;Lancet Respir Med&quot;,&quot;issue&quot;:&quot;11&quot;,&quot;volume&quot;:&quot;11&quot;},&quot;isTemporary&quot;:false}]},{&quot;citationID&quot;:&quot;MENDELEY_CITATION_0e181425-b308-4bdb-81da-cd36e42a7e20&quot;,&quot;properties&quot;:{&quot;noteIndex&quot;:0},&quot;isEdited&quot;:false,&quot;manualOverride&quot;:{&quot;isManuallyOverridden&quot;:false,&quot;citeprocText&quot;:&quot;[14,122,123,196–198]&quot;,&quot;manualOverrideText&quot;:&quot;&quot;},&quot;citationTag&quot;:&quot;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&quot;,&quot;citationItems&quot;:[{&quot;id&quot;:&quot;5bd8d860-8879-3252-852e-fc814fcba6fd&quot;,&quot;itemData&quot;:{&quot;type&quot;:&quot;article-journal&quot;,&quot;id&quot;:&quot;5bd8d860-8879-3252-852e-fc814fcba6fd&quot;,&quot;title&quot;:&quot;Systemic manifestations and comorbidities of COPD&quot;,&quot;author&quot;:[{&quot;family&quot;:&quot;Barnes&quot;,&quot;given&quot;:&quot;P. J.&quot;,&quot;parse-names&quot;:false,&quot;dropping-particle&quot;:&quot;&quot;,&quot;non-dropping-particle&quot;:&quot;&quot;},{&quot;family&quot;:&quot;Celli&quot;,&quot;given&quot;:&quot;B. R.&quot;,&quot;parse-names&quot;:false,&quot;dropping-particle&quot;:&quot;&quot;,&quot;non-dropping-particle&quot;:&quot;&quot;}],&quot;container-title&quot;:&quot;The European respiratory journal&quot;,&quot;container-title-short&quot;:&quot;Eur Respir J&quot;,&quot;accessed&quot;:{&quot;date-parts&quot;:[[2024,5,28]]},&quot;DOI&quot;:&quot;10.1183/09031936.00128008&quot;,&quot;ISSN&quot;:&quot;1399-3003&quot;,&quot;PMID&quot;:&quot;19407051&quot;,&quot;URL&quot;:&quot;https://pubmed.ncbi.nlm.nih.gov/19407051/&quot;,&quot;issued&quot;:{&quot;date-parts&quot;:[[2009,5]]},&quot;page&quot;:&quot;1165-1185&quot;,&quot;abstract&quot;:&quot;Increasing evidence indicates that chronic obstructive pulmonary disease (COPD) is a complex disease involving more than airflow obstruction. Airflow obstruction has profound effects on cardiac function and gas exchange with systemic consequences. In addition, as COPD results from inflammation and/or alterations in repair mechanisms, the \&quot;spill-over\&quot; of inflammatory mediators into the circulation may result in important systemic manifestations of the disease, such as skeletal muscle wasting and cachexia. Systemic inflammation may also initiate or worsen comorbid diseases, such as ischaemic heart disease, heart failure, osteoporosis, normocytic anaemia, lung cancer, depression and diabetes. Comorbid diseases potentiate the morbidity of COPD, leading to increased hospitalisations, mortality and healthcare costs. Comorbidities complicate the management of COPD and need to be evaluated carefully. Current therapies for comorbid diseases, such as statins and peroxisome proliferator-activated receptor-agonists, may provide unexpected benefits for COPD patients. Treatment of COPD inflammation may concomitantly treat systemic inflammation and associated comorbidities. However, new broad-spectrum anti-inflammatory treatments, such as phosphodiesterase 4 inhibitors, have significant side-effects so it may be necessary to develop inhaled drugs in the future. Another approach is the reversal of corticosteroid resistance, for example with effective antioxidants. More research is needed on COPD comorbidities and their treatment. Copyright © ERS Journals Ltd 2009.&quot;,&quot;publisher&quot;:&quot;Eur Respir J&quot;,&quot;issue&quot;:&quot;5&quot;,&quot;volume&quot;:&quot;33&quot;},&quot;isTemporary&quot;:false},{&quot;id&quot;:&quot;4ac906ef-88e1-305f-8c34-1dccfbaf0e31&quot;,&quot;itemData&quot;:{&quot;type&quot;:&quot;article-journal&quot;,&quot;id&quot;:&quot;4ac906ef-88e1-305f-8c34-1dccfbaf0e31&quot;,&quot;title&quot;:&quot;Comorbidities, Patient Knowledge, and Disease Management in a National Sample of Patients with Chronic Obstructive Pulmonary Disease&quot;,&quot;author&quot;:[{&quot;family&quot;:&quot;Barr&quot;,&quot;given&quot;:&quot;R. Graham&quot;,&quot;parse-names&quot;:false,&quot;dropping-particle&quot;:&quot;&quot;,&quot;non-dropping-particle&quot;:&quot;&quot;},{&quot;family&quot;:&quot;Celli&quot;,&quot;given&quot;:&quot;Bartolome R.&quot;,&quot;parse-names&quot;:false,&quot;dropping-particle&quot;:&quot;&quot;,&quot;non-dropping-particle&quot;:&quot;&quot;},{&quot;family&quot;:&quot;Mannino&quot;,&quot;given&quot;:&quot;David M.&quot;,&quot;parse-names&quot;:false,&quot;dropping-particle&quot;:&quot;&quot;,&quot;non-dropping-particle&quot;:&quot;&quot;},{&quot;family&quot;:&quot;Petty&quot;,&quot;given&quot;:&quot;Thomas&quot;,&quot;parse-names&quot;:false,&quot;dropping-particle&quot;:&quot;&quot;,&quot;non-dropping-particle&quot;:&quot;&quot;},{&quot;family&quot;:&quot;Rennard&quot;,&quot;given&quot;:&quot;Stephen I.&quot;,&quot;parse-names&quot;:false,&quot;dropping-particle&quot;:&quot;&quot;,&quot;non-dropping-particle&quot;:&quot;&quot;},{&quot;family&quot;:&quot;Sciurba&quot;,&quot;given&quot;:&quot;Frank C.&quot;,&quot;parse-names&quot;:false,&quot;dropping-particle&quot;:&quot;&quot;,&quot;non-dropping-particle&quot;:&quot;&quot;},{&quot;family&quot;:&quot;Stoller&quot;,&quot;given&quot;:&quot;James K.&quot;,&quot;parse-names&quot;:false,&quot;dropping-particle&quot;:&quot;&quot;,&quot;non-dropping-particle&quot;:&quot;&quot;},{&quot;family&quot;:&quot;Thomashow&quot;,&quot;given&quot;:&quot;Byron M.&quot;,&quot;parse-names&quot;:false,&quot;dropping-particle&quot;:&quot;&quot;,&quot;non-dropping-particle&quot;:&quot;&quot;},{&quot;family&quot;:&quot;Turino&quot;,&quot;given&quot;:&quot;Gerard M.&quot;,&quot;parse-names&quot;:false,&quot;dropping-particle&quot;:&quot;&quot;,&quot;non-dropping-particle&quot;:&quot;&quot;}],&quot;container-title&quot;:&quot;American Journal of Medicine&quot;,&quot;DOI&quot;:&quot;10.1016/j.amjmed.2008.09.042.Comorbidities&quot;,&quot;ISBN&quot;:&quot;6176321972&quot;,&quot;ISSN&quot;:&quot;15378276&quot;,&quot;PMID&quot;:&quot;1000000221&quot;,&quot;issued&quot;:{&quot;date-parts&quot;:[[2009]]},&quot;page&quot;:&quot;348-355&quot;,&quot;abstract&quot;:&quot;Purpose—Chronic obstructive pulmonary disease (COPD) is the fourth leading cause of death in the United States but is often under-treated. COPD often overlaps with other conditions such as hypertension and osteoporosis, which are less morbid but which may be treated more aggressively. We evaluated the prevalence of these comorbid conditions and compared testing, patient knowledge, and management in a national sample of patients with COPD. Methods and Methods—A survey was administered by telephone in 2006 to 1,003 COPD patients to evaluate the prevalence of comorbid conditions, diagnostic testing, knowledge, and management using standardized instruments. The completion rate was 87%. Results—Among 1,003 patients with COPD, 61% reported moderate or severe dyspnea and 41% a prior hospitalization for COPD. The most prevalent comorbid diagnoses were hypertension (55%), hypercholesterolemia (52%), depression (37%), cataracts (31%) and osteoporosis (28%). Only 10% of respondents knew their FEV1 (95% CI: 8, 12%) compared to 79% who knew their blood pressure (95% CI: 76%, 83%). Seventy-two percent (95% CI: 69%, 75%) reported taking any medication for COPD – usually a short-acting bronchodilator – whereas 87% (95% CI: 84%, 90%) of patients with COPD and hypertension were taking an antihypertensive medication and 72% (95% CI: 68%, 75%) of patients with COPD and hypercholesterolemia were taking a statin. Conclusion—Although most of these COPD patients in this national sample were symptomatic and many had been hospitalized for COPD, COPD self-knowledge was low and COPD was undertreated compared to generally asymptomatic, less morbid conditions such as hypertension.&quot;,&quot;issue&quot;:&quot;4&quot;,&quot;volume&quot;:&quot;122&quot;,&quot;container-title-short&quot;:&quot;&quot;},&quot;isTemporary&quot;:false},{&quot;id&quot;:&quot;720d9155-9c16-3f80-9bd7-0d4ae26f4b41&quot;,&quot;itemData&quot;:{&quot;type&quot;:&quot;article-journal&quot;,&quot;id&quot;:&quot;720d9155-9c16-3f80-9bd7-0d4ae26f4b41&quot;,&quot;title&quot;:&quot;Prevalence of comorbidities in patients with chronic obstructive pulmonary disease&quot;,&quot;author&quot;:[{&quot;family&quot;:&quot;Cazzola&quot;,&quot;given&quot;:&quot;Mario&quot;,&quot;parse-names&quot;:false,&quot;dropping-particle&quot;:&quot;&quot;,&quot;non-dropping-particle&quot;:&quot;&quot;},{&quot;family&quot;:&quot;Bettoncelli&quot;,&quot;given&quot;:&quot;Germano&quot;,&quot;parse-names&quot;:false,&quot;dropping-particle&quot;:&quot;&quot;,&quot;non-dropping-particle&quot;:&quot;&quot;},{&quot;family&quot;:&quot;Sessa&quot;,&quot;given&quot;:&quot;Emiliano&quot;,&quot;parse-names&quot;:false,&quot;dropping-particle&quot;:&quot;&quot;,&quot;non-dropping-particle&quot;:&quot;&quot;},{&quot;family&quot;:&quot;Cricelli&quot;,&quot;given&quot;:&quot;Claudio&quot;,&quot;parse-names&quot;:false,&quot;dropping-particle&quot;:&quot;&quot;,&quot;non-dropping-particle&quot;:&quot;&quot;},{&quot;family&quot;:&quot;Biscione&quot;,&quot;given&quot;:&quot;Gianluca&quot;,&quot;parse-names&quot;:false,&quot;dropping-particle&quot;:&quot;&quot;,&quot;non-dropping-particle&quot;:&quot;&quot;}],&quot;container-title&quot;:&quot;Respiration; international review of thoracic diseases&quot;,&quot;container-title-short&quot;:&quot;Respiration&quot;,&quot;accessed&quot;:{&quot;date-parts&quot;:[[2024,6,1]]},&quot;DOI&quot;:&quot;10.1159/000281880&quot;,&quot;ISSN&quot;:&quot;1423-0356&quot;,&quot;PMID&quot;:&quot;20134148&quot;,&quot;URL&quot;:&quot;https://pubmed.ncbi.nlm.nih.gov/20134148/&quot;,&quot;issued&quot;:{&quot;date-parts&quot;:[[2010,7]]},&quot;page&quot;:&quot;112-119&quot;,&quot;abstract&quot;:&quot;Background: Chronic obstructive pulmonary disease (COPD) is associated with many comorbidities, but the percentage of COPD patients who develop comorbidities has not been clearly defined. Objectives: We aimed to examine the relationship between COPD and comorbidities using information obtained from the Health Search Database (HSD) owned by the Italian College of General Practitioners (SIMG), which stores information on about 1.5% of the total Italian population served by general practitioners. Methods: We conducted a population-based retrospective study using information obtained from the HSD. The software system used codes all the diagnostic records using the 9th Revision of the International Classification of Diseases. Results: Compared to the non-COPD people, COPD patients were at increased risk for cardiovascular events [ischemic heart disease (6.9% in the general population vs. 13.6% in COPD patients), cardiac arrhythmia (6.6% in the general population vs. 15.9% in COPD patients), heart failure (2.0% in the general population vs. 7.9% in COPD patients), and other forms of heart disease (10.7% in the general population vs. 23.1% in COPD patients); with a higher impact of COPD in the elderly]; non-psychotic mental disorders, including depressive disorders (29.1% in the general population vs. 41.6% in COPD patients; with a higher impact of COPD on women aged &lt;75 years); diabetes mellitus (10.5% in the general population vs. 18.7% in COPD patients); osteoporosis (10.8% in the general population vs. 14.8% in COPD patients), with a higher impact of COPD on women aged &lt;75 years, and malignant pulmonary neoplasms (0.4% in the general population vs. 1.9% in COPD patients). Conclusions: Our results indicate that COPD is a risk factor for these comorbid conditions. © 2010 S. Karger AG, Basel.&quot;,&quot;publisher&quot;:&quot;Respiration&quot;,&quot;issue&quot;:&quot;2&quot;,&quot;volume&quot;:&quot;80&quot;},&quot;isTemporary&quot;:false},{&quot;id&quot;:&quot;f8167413-56a3-394c-9c40-7f4153a8ecae&quot;,&quot;itemData&quot;:{&quot;type&quot;:&quot;article-journal&quot;,&quot;id&quot;:&quot;f8167413-56a3-394c-9c40-7f4153a8ecae&quot;,&quot;title&quot;:&quot;Prevalence and burden of comorbidities in Chronic Obstructive Pulmonary Disease&quot;,&quot;author&quot;:[{&quot;family&quot;:&quot;Corlateanu&quot;,&quot;given&quot;:&quot;Alexandru&quot;,&quot;parse-names&quot;:false,&quot;dropping-particle&quot;:&quot;&quot;,&quot;non-dropping-particle&quot;:&quot;&quot;},{&quot;family&quot;:&quot;Covantev&quot;,&quot;given&quot;:&quot;Serghei&quot;,&quot;parse-names&quot;:false,&quot;dropping-particle&quot;:&quot;&quot;,&quot;non-dropping-particle&quot;:&quot;&quot;},{&quot;family&quot;:&quot;Mathioudakis&quot;,&quot;given&quot;:&quot;Alexander G.&quot;,&quot;parse-names&quot;:false,&quot;dropping-particle&quot;:&quot;&quot;,&quot;non-dropping-particle&quot;:&quot;&quot;},{&quot;family&quot;:&quot;Botnaru&quot;,&quot;given&quot;:&quot;Victor&quot;,&quot;parse-names&quot;:false,&quot;dropping-particle&quot;:&quot;&quot;,&quot;non-dropping-particle&quot;:&quot;&quot;},{&quot;family&quot;:&quot;Siafakas&quot;,&quot;given&quot;:&quot;Nikolaos&quot;,&quot;parse-names&quot;:false,&quot;dropping-particle&quot;:&quot;&quot;,&quot;non-dropping-particle&quot;:&quot;&quot;}],&quot;container-title&quot;:&quot;Respiratory Investigation&quot;,&quot;container-title-short&quot;:&quot;Respir Investig&quot;,&quot;accessed&quot;:{&quot;date-parts&quot;:[[2024,5,27]]},&quot;DOI&quot;:&quot;10.1016/J.RESINV.2016.07.001&quot;,&quot;ISSN&quot;:&quot;2212-5345&quot;,&quot;PMID&quot;:&quot;27886849&quot;,&quot;issued&quot;:{&quot;date-parts&quot;:[[2016,11,1]]},&quot;page&quot;:&quot;387-396&quot;,&quot;abstract&quot;:&quot;The classical definition of Chronic Obstructive Pulmonary Disease (COPD) as a lung condition characterized by irreversible airway obstruction is outdated. The systemic involvement in patients with COPD, as well as the interactions between COPD and its comorbidities, justify the description of chronic systemic inflammatory syndrome. The pathogenesis of COPD is closely linked with aging, as well as with cardiovascular, endocrine, musculoskeletal, renal, and gastrointestinal pathologies, decreasing the quality of life of patients with COPD and, furthermore, complicating the management of the disease. The most frequently described comorbidities include skeletal muscle wasting, cachexia (loss of fat-free mass), lung cancer (small cell or non-small cell), pulmonary hypertension, ischemic heart disease, hyperlipidemia, congestive heart failure, normocytic anemia, diabetes, metabolic syndrome, osteoporosis, obstructive sleep apnea, depression, and arthritis. These complex interactions are based on chronic low-grade systemic inflammation, chronic hypoxia, and multiple common predisposing factors, and are currently under intense research. This review article is an overview of the comorbidities of COPD, as well as their interaction and influence on mutual disease progression, prognosis, and quality of life.&quot;,&quot;publisher&quot;:&quot;Elsevier&quot;,&quot;issue&quot;:&quot;6&quot;,&quot;volume&quot;:&quot;54&quot;},&quot;isTemporary&quot;:false},{&quot;id&quot;:&quot;96ff5287-4943-36a9-ba58-a4ee99e373aa&quot;,&quot;itemData&quot;:{&quot;type&quot;:&quot;article-journal&quot;,&quot;id&quot;:&quot;96ff5287-4943-36a9-ba58-a4ee99e373aa&quot;,&quot;title&quot;:&quot;COPD and its comorbidities: Impact, measurement and mechanisms&quot;,&quot;author&quot;:[{&quot;family&quot;:&quot;Negewo&quot;,&quot;given&quot;:&quot;Netsanet A.&quot;,&quot;parse-names&quot;:false,&quot;dropping-particle&quot;:&quot;&quot;,&quot;non-dropping-particle&quot;:&quot;&quot;},{&quot;family&quot;:&quot;Gibson&quot;,&quot;given&quot;:&quot;Peter G.&quot;,&quot;parse-names&quot;:false,&quot;dropping-particle&quot;:&quot;&quot;,&quot;non-dropping-particle&quot;:&quot;&quot;},{&quot;family&quot;:&quot;McDonald&quot;,&quot;given&quot;:&quot;Vanessa M.&quot;,&quot;parse-names&quot;:false,&quot;dropping-particle&quot;:&quot;&quot;,&quot;non-dropping-particle&quot;:&quot;&quot;}],&quot;container-title&quot;:&quot;Respirology&quot;,&quot;accessed&quot;:{&quot;date-parts&quot;:[[2024,4,20]]},&quot;DOI&quot;:&quot;10.1111/RESP.12642&quot;,&quot;ISSN&quot;:&quot;1440-1843&quot;,&quot;PMID&quot;:&quot;26374280&quot;,&quot;URL&quot;:&quot;https://onlinelibrary.wiley.com/doi/full/10.1111/resp.12642&quot;,&quot;issued&quot;:{&quot;date-parts&quot;:[[2015,11,1]]},&quot;page&quot;:&quot;1160-1171&quot;,&quot;abstract&quot;:&quot;Chronic obstructive pulmonary disease (COPD) frequently coexists with other conditions often known as comorbidities. The prevalence of most of the common comorbid conditions that accompany COPD has been widely reported. It is also recognized that comorbidities have significant health and economic consequences. Nevertheless, there is scant research examining how comorbidities should be assessed and managed in the context of COPD. Also, the underlying mechanisms linking COPD with its comorbidities are still not fully understood. Owing to these knowledge gaps, current disease-specific approaches provide clinicians with little guidance in terms of managing comorbid conditions in the clinical care of multi-diseased COPD patients. This review discusses the concepts of comorbidity and multi-morbidity in COPD in relation to the overall clinical outcome of COPD management. It also summarizes some of the currently available clinical scores used to measure comorbid conditions and their prognostic abilities. Furthermore, recent developments in the proposed mechanisms linking COPD with its comorbidities are discussed.&quot;,&quot;publisher&quot;:&quot;John Wiley &amp; Sons, Ltd&quot;,&quot;issue&quot;:&quot;8&quot;,&quot;volume&quot;:&quot;20&quot;,&quot;container-title-short&quot;:&quot;&quot;},&quot;isTemporary&quot;:false},{&quot;id&quot;:&quot;b8ba8cfa-9b6c-3680-b7e0-49308de8c835&quot;,&quot;itemData&quot;:{&quot;type&quot;:&quot;article-journal&quot;,&quot;id&quot;:&quot;b8ba8cfa-9b6c-3680-b7e0-49308de8c835&quot;,&quot;title&quot;:&quot;COPD and multimorbidity: recognising and addressing a syndemic occurrence&quot;,&quot;author&quot;:[{&quot;family&quot;:&quot;Fabbri&quot;,&quot;given&quot;:&quot;Leonardo M.&quot;,&quot;parse-names&quot;:false,&quot;dropping-particle&quot;:&quot;&quot;,&quot;non-dropping-particle&quot;:&quot;&quot;},{&quot;family&quot;:&quot;Celli&quot;,&quot;given&quot;:&quot;Bartolome R.&quot;,&quot;parse-names&quot;:false,&quot;dropping-particle&quot;:&quot;&quot;,&quot;non-dropping-particle&quot;:&quot;&quot;},{&quot;family&quot;:&quot;Agustí&quot;,&quot;given&quot;:&quot;Alvar&quot;,&quot;parse-names&quot;:false,&quot;dropping-particle&quot;:&quot;&quot;,&quot;non-dropping-particle&quot;:&quot;&quot;},{&quot;family&quot;:&quot;Criner&quot;,&quot;given&quot;:&quot;Gerard J.&quot;,&quot;parse-names&quot;:false,&quot;dropping-particle&quot;:&quot;&quot;,&quot;non-dropping-particle&quot;:&quot;&quot;},{&quot;family&quot;:&quot;Dransfield&quot;,&quot;given&quot;:&quot;Mark T.&quot;,&quot;parse-names&quot;:false,&quot;dropping-particle&quot;:&quot;&quot;,&quot;non-dropping-particle&quot;:&quot;&quot;},{&quot;family&quot;:&quot;Divo&quot;,&quot;given&quot;:&quot;Miguel&quot;,&quot;parse-names&quot;:false,&quot;dropping-particle&quot;:&quot;&quot;,&quot;non-dropping-particle&quot;:&quot;&quot;},{&quot;family&quot;:&quot;Krishnan&quot;,&quot;given&quot;:&quot;Jamuna K.&quot;,&quot;parse-names&quot;:false,&quot;dropping-particle&quot;:&quot;&quot;,&quot;non-dropping-particle&quot;:&quot;&quot;},{&quot;family&quot;:&quot;Lahousse&quot;,&quot;given&quot;:&quot;Lies&quot;,&quot;parse-names&quot;:false,&quot;dropping-particle&quot;:&quot;&quot;,&quot;non-dropping-particle&quot;:&quot;&quot;},{&quot;family&quot;:&quot;Montes de Oca&quot;,&quot;given&quot;:&quot;Maria&quot;,&quot;parse-names&quot;:false,&quot;dropping-particle&quot;:&quot;&quot;,&quot;non-dropping-particle&quot;:&quot;&quot;},{&quot;family&quot;:&quot;Salvi&quot;,&quot;given&quot;:&quot;Sundeep S.&quot;,&quot;parse-names&quot;:false,&quot;dropping-particle&quot;:&quot;&quot;,&quot;non-dropping-particle&quot;:&quot;&quot;},{&quot;family&quot;:&quot;Stolz&quot;,&quot;given&quot;:&quot;Daiana&quot;,&quot;parse-names&quot;:false,&quot;dropping-particle&quot;:&quot;&quot;,&quot;non-dropping-particle&quot;:&quot;&quot;},{&quot;family&quot;:&quot;Vanfleteren&quot;,&quot;given&quot;:&quot;Lowie E.G.W.&quot;,&quot;parse-names&quot;:false,&quot;dropping-particle&quot;:&quot;&quot;,&quot;non-dropping-particle&quot;:&quot;&quot;},{&quot;family&quot;:&quot;Vogelmeier&quot;,&quot;given&quot;:&quot;Claus F.&quot;,&quot;parse-names&quot;:false,&quot;dropping-particle&quot;:&quot;&quot;,&quot;non-dropping-particle&quot;:&quot;&quot;}],&quot;container-title&quot;:&quot;The Lancet. Respiratory medicine&quot;,&quot;container-title-short&quot;:&quot;Lancet Respir Med&quot;,&quot;accessed&quot;:{&quot;date-parts&quot;:[[2024,5,27]]},&quot;DOI&quot;:&quot;10.1016/S2213-2600(23)00261-8&quot;,&quot;ISSN&quot;:&quot;2213-2619&quot;,&quot;PMID&quot;:&quot;37696283&quot;,&quot;URL&quot;:&quot;https://pubmed.ncbi.nlm.nih.gov/37696283/&quot;,&quot;issued&quot;:{&quot;date-parts&quot;:[[2023,11,1]]},&quot;page&quot;:&quot;1020-1034&quot;,&quot;abstract&quot;:&quot;Most patients with chronic obstructive pulmonary disease (COPD) have at least one additional, clinically relevant chronic disease. Those with the most severe airflow obstruction will die from respiratory failure, but most patients with COPD die from non-respiratory disorders, particularly cardiovascular diseases and cancer. As many chronic diseases have shared risk factors (eg, ageing, smoking, pollution, inactivity, and poverty), we argue that a shift from the current paradigm in which COPD is considered as a single disease with comorbidities, to one in which COPD is considered as part of a multimorbid state—with co-occurring diseases potentially sharing pathobiological mechanisms—is needed to advance disease prevention, diagnosis, and management. The term syndemics is used to describe the co-occurrence of diseases with shared mechanisms and risk factors, a novel concept that we propose helps to explain the clustering of certain morbidities in patients diagnosed with COPD. A syndemics approach to understanding COPD could have important clinical implications, in which the complex disease presentations in these patients are addressed through proactive diagnosis, assessment of severity, and integrated management of the COPD multimorbid state, with a patient-centred rather than a single-disease approach.&quot;,&quot;publisher&quot;:&quot;Lancet Respir Med&quot;,&quot;issue&quot;:&quot;11&quot;,&quot;volume&quot;:&quot;11&quot;},&quot;isTemporary&quot;:false}]},{&quot;citationID&quot;:&quot;MENDELEY_CITATION_dbc83a09-4493-4bd9-a1d4-c8339f7ee782&quot;,&quot;properties&quot;:{&quot;noteIndex&quot;:0},&quot;isEdited&quot;:false,&quot;manualOverride&quot;:{&quot;isManuallyOverridden&quot;:false,&quot;citeprocText&quot;:&quot;[15,94,121,199,200]&quot;,&quot;manualOverrideText&quot;:&quot;&quot;},&quot;citationTag&quot;:&quot;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&quot;,&quot;citationItems&quot;:[{&quot;id&quot;:&quot;ffe2310b-c607-3149-be29-7f54962d549d&quot;,&quot;itemData&quot;:{&quot;type&quot;:&quot;article&quot;,&quot;id&quot;:&quot;ffe2310b-c607-3149-be29-7f54962d549d&quot;,&quot;title&quot;:&quot;Epidemiology and clinical impact of major comorbidities in patients with COPD&quot;,&quot;author&quot;:[{&quot;family&quot;:&quot;Smith&quot;,&quot;given&quot;:&quot;Miranda Caroline&quot;,&quot;parse-names&quot;:false,&quot;dropping-particle&quot;:&quot;&quot;,&quot;non-dropping-particle&quot;:&quot;&quot;},{&quot;family&quot;:&quot;Wrobel&quot;,&quot;given&quot;:&quot;Jeremy P.&quot;,&quot;parse-names&quot;:false,&quot;dropping-particle&quot;:&quot;&quot;,&quot;non-dropping-particle&quot;:&quot;&quot;}],&quot;container-title&quot;:&quot;International Journal of COPD&quot;,&quot;accessed&quot;:{&quot;date-parts&quot;:[[2021,5,27]]},&quot;DOI&quot;:&quot;10.2147/COPD.S49621&quot;,&quot;ISSN&quot;:&quot;11782005&quot;,&quot;PMID&quot;:&quot;25210449&quot;,&quot;URL&quot;:&quot;/pmc/articles/PMC4154888/&quot;,&quot;issued&quot;:{&quot;date-parts&quot;:[[2014,8,27]]},&quot;page&quot;:&quot;871-888&quot;,&quot;abstract&quot;:&quot;omorbidities are frequent in chronic obstructive pulmonary disease (COPD) and significantly impact on patients' quality of life, exacerbation frequency, and survival. There is increasing evidence that certain diseases occur in greater frequency amongst patients with COPD than in the general population, and that these comorbidities significantly impact on patient outcomes. Although the mechanisms are yet to be defined, many comorbidities likely result from the chronic inflammatory state that is present in COPD. Common problems in the clinical management of COPD include recognizing new comorbidities, determining the impact of comorbidities on patient symptoms, the concurrent treatment of COPD and comorbidities, and accurate prognostication. The majority of comorbidities in COPD should be treated according to usual practice, and specific COPD management is infrequently altered by the presence of comorbidities. Unfortunately, comorbidities are often under-recognized and under-treated. This review focuses on the epidemiology of ten major comorbidities in patients with COPD. Further, we emphasize the clinical impact upon prognosis and management considerations. This review will highlight the importance of comorbidity identification and management in the practice of caring for patients with COPD.&quot;,&quot;publisher&quot;:&quot;Dove Medical Press Ltd.&quot;,&quot;volume&quot;:&quot;9&quot;,&quot;container-title-short&quot;:&quot;&quot;},&quot;isTemporary&quot;:false},{&quot;id&quot;:&quot;9ab03fd0-05be-3bb2-88aa-d016125c96d2&quot;,&quot;itemData&quot;:{&quot;type&quot;:&quot;article-journal&quot;,&quot;id&quot;:&quot;9ab03fd0-05be-3bb2-88aa-d016125c96d2&quot;,&quot;title&quot;:&quot;Managing comorbidities in COPD&quot;,&quot;author&quot;:[{&quot;family&quot;:&quot;Hillas&quot;,&quot;given&quot;:&quot;Georgios&quot;,&quot;parse-names&quot;:false,&quot;dropping-particle&quot;:&quot;&quot;,&quot;non-dropping-particle&quot;:&quot;&quot;},{&quot;family&quot;:&quot;Perlikos&quot;,&quot;given&quot;:&quot;Fotis&quot;,&quot;parse-names&quot;:false,&quot;dropping-particle&quot;:&quot;&quot;,&quot;non-dropping-particle&quot;:&quot;&quot;},{&quot;family&quot;:&quot;Tsiligianni&quot;,&quot;given&quot;:&quot;Ioanna&quot;,&quot;parse-names&quot;:false,&quot;dropping-particle&quot;:&quot;&quot;,&quot;non-dropping-particle&quot;:&quot;&quot;},{&quot;family&quot;:&quot;Tzanakis&quot;,&quot;given&quot;:&quot;Nikolaos&quot;,&quot;parse-names&quot;:false,&quot;dropping-particle&quot;:&quot;&quot;,&quot;non-dropping-particle&quot;:&quot;&quot;}],&quot;container-title&quot;:&quot;International Journal of COPD&quot;,&quot;DOI&quot;:&quot;10.2147/COPD.S54473&quot;,&quot;ISSN&quot;:&quot;11782005&quot;,&quot;PMID&quot;:&quot;25609943&quot;,&quot;issued&quot;:{&quot;date-parts&quot;:[[2015]]},&quot;page&quot;:&quot;95-109&quot;,&quot;abstract&quot;:&quot;Chronic obstructive pulmonary disease (COPD) is a leading cause of morbidity and mortality worldwide. Age and smoking are common risk factors for COPD and other illnesses, often leading COPD patients to demonstrate multiple coexisting comorbidities. COPD exacerbations and comorbidities contribute to the overall severity in individual patients. Clinical trials investigating the treatment of COPD routinely exclude patients with multiple comorbidities or advanced age. Clinical practice guidelines for a specific disease do not usually address comorbidities in their recommendations. However, the management and the medical intervention in COPD patients with comorbidities need a holistic approach that is not clearly established worldwide. This holistic approach should include the specific burden of each comorbidity in the COPD severity classification scale. Further, the pharmacological and nonpharmacological management should also include optimal interventions and risk factor modifications simultaneously for all diseases. All health care specialists in COPD management need to work together with professionals specialized in the management of the other major chronic diseases in order to provide a multidisciplinary approach to COPD patients with multiple diseases. In this review, we focus on the major comorbidities that affect COPD patients. We present an overview of the problems faced, the reasons and risk factors for the most commonly encountered comorbidities, and the burden on health care costs. We also provide a rationale for approaching the therapeutic options of the COPD patient afflicted by comorbidity.&quot;,&quot;volume&quot;:&quot;10&quot;,&quot;container-title-short&quot;:&quot;&quot;},&quot;isTemporary&quot;:false},{&quot;id&quot;:&quot;a5096923-e682-3a69-a59f-f58b8b73a5a0&quot;,&quot;itemData&quot;:{&quot;type&quot;:&quot;article-journal&quot;,&quot;id&quot;:&quot;a5096923-e682-3a69-a59f-f58b8b73a5a0&quot;,&quot;title&quot;:&quot;Changes in forced expiratory volume in 1 second over time in COPD&quot;,&quot;author&quot;:[{&quot;family&quot;:&quot;Vestbo&quot;,&quot;given&quot;:&quot;Jørgen&quot;,&quot;parse-names&quot;:false,&quot;dropping-particle&quot;:&quot;&quot;,&quot;non-dropping-particle&quot;:&quot;&quot;},{&quot;family&quot;:&quot;Edwards&quot;,&quot;given&quot;:&quot;Lisa D.&quot;,&quot;parse-names&quot;:false,&quot;dropping-particle&quot;:&quot;&quot;,&quot;non-dropping-particle&quot;:&quot;&quot;},{&quot;family&quot;:&quot;Scanlon&quot;,&quot;given&quot;:&quot;Paul D.&quot;,&quot;parse-names&quot;:false,&quot;dropping-particle&quot;:&quot;&quot;,&quot;non-dropping-particle&quot;:&quot;&quot;},{&quot;family&quot;:&quot;Yates&quot;,&quot;given&quot;:&quot;Julie C.&quot;,&quot;parse-names&quot;:false,&quot;dropping-particle&quot;:&quot;&quot;,&quot;non-dropping-particle&quot;:&quot;&quot;},{&quot;family&quot;:&quot;Agusti&quot;,&quot;given&quot;:&quot;Alvar&quot;,&quot;parse-names&quot;:false,&quot;dropping-particle&quot;:&quot;&quot;,&quot;non-dropping-particle&quot;:&quot;&quot;},{&quot;family&quot;:&quot;Bakke&quot;,&quot;given&quot;:&quot;Per&quot;,&quot;parse-names&quot;:false,&quot;dropping-particle&quot;:&quot;&quot;,&quot;non-dropping-particle&quot;:&quot;&quot;},{&quot;family&quot;:&quot;Calverley&quot;,&quot;given&quot;:&quot;Peter M.A.&quot;,&quot;parse-names&quot;:false,&quot;dropping-particle&quot;:&quot;&quot;,&quot;non-dropping-particle&quot;:&quot;&quot;},{&quot;family&quot;:&quot;Celli&quot;,&quot;given&quot;:&quot;Bartolome&quot;,&quot;parse-names&quot;:false,&quot;dropping-particle&quot;:&quot;&quot;,&quot;non-dropping-particle&quot;:&quot;&quot;},{&quot;family&quot;:&quot;Coxson&quot;,&quot;given&quot;:&quot;Harvey O.&quot;,&quot;parse-names&quot;:false,&quot;dropping-particle&quot;:&quot;&quot;,&quot;non-dropping-particle&quot;:&quot;&quot;},{&quot;family&quot;:&quot;Crim&quot;,&quot;given&quot;:&quot;Courtney&quot;,&quot;parse-names&quot;:false,&quot;dropping-particle&quot;:&quot;&quot;,&quot;non-dropping-particle&quot;:&quot;&quot;},{&quot;family&quot;:&quot;Lomas&quot;,&quot;given&quot;:&quot;David A.&quot;,&quot;parse-names&quot;:false,&quot;dropping-particle&quot;:&quot;&quot;,&quot;non-dropping-particle&quot;:&quot;&quot;},{&quot;family&quot;:&quot;MacNee&quot;,&quot;given&quot;:&quot;William&quot;,&quot;parse-names&quot;:false,&quot;dropping-particle&quot;:&quot;&quot;,&quot;non-dropping-particle&quot;:&quot;&quot;},{&quot;family&quot;:&quot;Miller&quot;,&quot;given&quot;:&quot;Bruce E.&quot;,&quot;parse-names&quot;:false,&quot;dropping-particle&quot;:&quot;&quot;,&quot;non-dropping-particle&quot;:&quot;&quot;},{&quot;family&quot;:&quot;Silverman&quot;,&quot;given&quot;:&quot;Edwin K.&quot;,&quot;parse-names&quot;:false,&quot;dropping-particle&quot;:&quot;&quot;,&quot;non-dropping-particle&quot;:&quot;&quot;},{&quot;family&quot;:&quot;Tal-Singer&quot;,&quot;given&quot;:&quot;Ruth&quot;,&quot;parse-names&quot;:false,&quot;dropping-particle&quot;:&quot;&quot;,&quot;non-dropping-particle&quot;:&quot;&quot;},{&quot;family&quot;:&quot;Wouters&quot;,&quot;given&quot;:&quot;Emiel&quot;,&quot;parse-names&quot;:false,&quot;dropping-particle&quot;:&quot;&quot;,&quot;non-dropping-particle&quot;:&quot;&quot;},{&quot;family&quot;:&quot;Rennard&quot;,&quot;given&quot;:&quot;Stephen I.&quot;,&quot;parse-names&quot;:false,&quot;dropping-particle&quot;:&quot;&quot;,&quot;non-dropping-particle&quot;:&quot;&quot;}],&quot;container-title&quot;:&quot;The New England journal of medicine&quot;,&quot;container-title-short&quot;:&quot;N Engl J Med&quot;,&quot;accessed&quot;:{&quot;date-parts&quot;:[[2024,5,28]]},&quot;DOI&quot;:&quot;10.1056/NEJMOA1105482&quot;,&quot;ISSN&quot;:&quot;1533-4406&quot;,&quot;PMID&quot;:&quot;21991892&quot;,&quot;URL&quot;:&quot;https://pubmed.ncbi.nlm.nih.gov/21991892/&quot;,&quot;issued&quot;:{&quot;date-parts&quot;:[[2011,9,29]]},&quot;page&quot;:&quot;1184-1192&quot;,&quot;abstract&quot;:&quot;BACKGROUND A key feature of chronic obstructive pulmonary disease (COPD) is an accelerated rate of decline in forced expiratory volume in 1 second (FEV(1)), but data on the variability and determinants of this change in patients who have established disease are scarce. METHODS We analyzed the changes in FEV(1) after administration of a bronchodilator over a 3-year period in 2163 patients. A random-coefficient model was used to evaluate possible predictors of both FEV(1) levels and their changes over time. RESULTS The mean (±SE) rate of change in FEV(1) was a decline of 33±2 ml per year, with significant variation among the patients studied. The between-patient standard deviation for the rate of decline was 59 ml per year. Over the 3-year study period, 38% of patients had an estimated decline in FEV(1) of more than 40 ml per year, 31% had a decline of 21 to 40 ml per year, 23% had a change in FEV(1) that ranged from a decrease of 20 ml per year to an increase of 20 ml per year, and 8% had an increase of more than 20 ml per year. The mean rate of decline in FEV(1) was 21±4 ml per year greater in current smokers than in current nonsmokers, 13±4 ml per year greater in patients with emphysema than in those without emphysema, and 17±4 ml per year greater in patients with bronchodilator reversibility than in those without reversibility. CONCLUSIONS The rate of change in FEV(1) among patients with COPD is highly variable, with increased rates of decline among current smokers, patients with bronchodilator reversibility, and patients with emphysema.&quot;,&quot;publisher&quot;:&quot;N Engl J Med&quot;,&quot;issue&quot;:&quot;13&quot;,&quot;volume&quot;:&quot;365&quot;},&quot;isTemporary&quot;:false},{&quot;id&quot;:&quot;26c1204d-a734-3189-a9ea-4d36ee00a649&quot;,&quot;itemData&quot;:{&quot;type&quot;:&quot;article-journal&quot;,&quot;id&quot;:&quot;26c1204d-a734-3189-a9ea-4d36ee00a649&quot;,&quot;title&quot;:&quot;Lung function decline in COPD&quot;,&quot;author&quot;:[{&quot;family&quot;:&quot;Tantucci&quot;,&quot;given&quot;:&quot;Claudio&quot;,&quot;parse-names&quot;:false,&quot;dropping-particle&quot;:&quot;&quot;,&quot;non-dropping-particle&quot;:&quot;&quot;},{&quot;family&quot;:&quot;Modina&quot;,&quot;given&quot;:&quot;Denise&quot;,&quot;parse-names&quot;:false,&quot;dropping-particle&quot;:&quot;&quot;,&quot;non-dropping-particle&quot;:&quot;&quot;}],&quot;container-title&quot;:&quot;International Journal of Chronic Obstructive Pulmonary Disease&quot;,&quot;container-title-short&quot;:&quot;Int J Chron Obstruct Pulmon Dis&quot;,&quot;accessed&quot;:{&quot;date-parts&quot;:[[2022,6,13]]},&quot;DOI&quot;:&quot;10.2147/COPD.S27480&quot;,&quot;ISSN&quot;:&quot;11769106&quot;,&quot;PMID&quot;:&quot;22371650&quot;,&quot;URL&quot;:&quot;/pmc/articles/PMC3282601/&quot;,&quot;issued&quot;:{&quot;date-parts&quot;:[[2012]]},&quot;page&quot;:&quot;95&quot;,&quot;abstract&quot;:&quot;The landmark study of Fletcher and Peto on the natural history of tobacco smoke-related chronic airflow obstruction suggested that decline in the forced expiratory volume in the first second (FEV1) in chronic obstructive pulmonary disease (COPD) is slow at the beginning, becoming faster with more advanced disease. The present authors reviewed spirometric data of COPD patients included in the placebo arms of recent clinical trials to assess the lung function decline of each stage, defined according to the severity of airflow obstruction as proposed by the Global Initiative for Chronic Obstructive Lung Disease (GOLD) guidelines. In large COPD populations the mean rate of FEV1 decline in GOLD stages II and III is between 47 and 79 mL/year and 56 and 59 mL/year, respectively, and lower than 35 mL/year in GOLD stage IV. Few data on FEV1 decline are available for GOLD stage I. Hence, the loss of lung function, assessed as expiratory airflow reduction, seems more accelerated and therefore more relevant in the initial phases of COPD. To have an impact on the natural history of COPD, it is logical to look at the effects of treatment in the earlier stages. © 2012 Tantucci and Modina, publisher and licensee Dove Medical Press Ltd.&quot;,&quot;publisher&quot;:&quot;Dove Press&quot;,&quot;volume&quot;:&quot;7&quot;},&quot;isTemporary&quot;:false},{&quot;id&quot;:&quot;4a5c7c71-56ea-3283-9052-45f1b3f5ca3d&quot;,&quot;itemData&quot;:{&quot;type&quot;:&quot;article-journal&quot;,&quot;id&quot;:&quot;4a5c7c71-56ea-3283-9052-45f1b3f5ca3d&quot;,&quot;title&quot;:&quot;Mortality in COPD: Role of comorbidities&quot;,&quot;author&quot;:[{&quot;family&quot;:&quot;Sin&quot;,&quot;given&quot;:&quot;D. D.&quot;,&quot;parse-names&quot;:false,&quot;dropping-particle&quot;:&quot;&quot;,&quot;non-dropping-particle&quot;:&quot;&quot;},{&quot;family&quot;:&quot;Anthonisen&quot;,&quot;given&quot;:&quot;N. R.&quot;,&quot;parse-names&quot;:false,&quot;dropping-particle&quot;:&quot;&quot;,&quot;non-dropping-particle&quot;:&quot;&quot;},{&quot;family&quot;:&quot;Soriano&quot;,&quot;given&quot;:&quot;J. B.&quot;,&quot;parse-names&quot;:false,&quot;dropping-particle&quot;:&quot;&quot;,&quot;non-dropping-particle&quot;:&quot;&quot;},{&quot;family&quot;:&quot;Agusti&quot;,&quot;given&quot;:&quot;A. G.&quot;,&quot;parse-names&quot;:false,&quot;dropping-particle&quot;:&quot;&quot;,&quot;non-dropping-particle&quot;:&quot;&quot;}],&quot;container-title&quot;:&quot;The European respiratory journal&quot;,&quot;container-title-short&quot;:&quot;Eur Respir J&quot;,&quot;accessed&quot;:{&quot;date-parts&quot;:[[2024,5,28]]},&quot;DOI&quot;:&quot;10.1183/09031936.00133805&quot;,&quot;ISSN&quot;:&quot;0903-1936&quot;,&quot;PMID&quot;:&quot;17138679&quot;,&quot;URL&quot;:&quot;https://pubmed.ncbi.nlm.nih.gov/17138679/&quot;,&quot;issued&quot;:{&quot;date-parts&quot;:[[2006,12]]},&quot;page&quot;:&quot;1245-1257&quot;,&quot;abstract&quot;:&quot;Chronic obstructive pulmonary disease (COPD) represents an increasing burden throughout the world. COPD-related mortality is probably underestimated because of the difficulties associated with identifying the precise cause of death. Respiratory failure is considered the major cause of death in advanced COPD. Comorbidities such as cardiovascular disease and lung cancer are also major causes and, in mild-to-moderate COPD, are the leading causes of mortality. The links between COPD and these conditions are not fully understood. However, a link through the inflammation pathway has been suggested, as persistent low-grade pulmonary and systemic inflammation, both known risk factors for cardiovascular disease and cancer, are present in COPD independent of cigarette smoking. Lung-specific measurements, such as forced expiratory volume in one second (FEV1), predict mortality in COPD and in the general population. However, composite tools, such as health-status measurements (e.g. St George's Respiratory Questionnaire) and the BODE index, which incorporates Body mass index, lung function (airflow Obstruction), Dyspnoea and Exercise capacity, predict mortality better than FEV1 alone. These multidimensional tools may be more valuable because, unlike predictive approaches based on single parameters, they can reflect the range of comorbidities and the complexity of underlying mechanisms associated with COPD. The current paper reviews the role of comorbidities in chronic obstructive pulmonary disease mortality, the putative underlying pathogenic link between chronic obstructive pulmonary disease and comorbid conditions (i.e. inflammation), and the tools used to predict chronic obstructive pulmonary disease mortality. Copyright © ERS Journals Ltd 2006.&quot;,&quot;publisher&quot;:&quot;Eur Respir J&quot;,&quot;issue&quot;:&quot;6&quot;,&quot;volume&quot;:&quot;28&quot;},&quot;isTemporary&quot;:false}]},{&quot;citationID&quot;:&quot;MENDELEY_CITATION_89803ad7-54de-4c0f-bebd-176a0fa43249&quot;,&quot;properties&quot;:{&quot;noteIndex&quot;:0},&quot;isEdited&quot;:false,&quot;manualOverride&quot;:{&quot;isManuallyOverridden&quot;:false,&quot;citeprocText&quot;:&quot;[15,197]&quot;,&quot;manualOverrideText&quot;:&quot;&quot;},&quot;citationTag&quot;:&quot;MENDELEY_CITATION_v3_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&quot;,&quot;citationItems&quot;:[{&quot;id&quot;:&quot;9ab03fd0-05be-3bb2-88aa-d016125c96d2&quot;,&quot;itemData&quot;:{&quot;type&quot;:&quot;article-journal&quot;,&quot;id&quot;:&quot;9ab03fd0-05be-3bb2-88aa-d016125c96d2&quot;,&quot;title&quot;:&quot;Managing comorbidities in COPD&quot;,&quot;author&quot;:[{&quot;family&quot;:&quot;Hillas&quot;,&quot;given&quot;:&quot;Georgios&quot;,&quot;parse-names&quot;:false,&quot;dropping-particle&quot;:&quot;&quot;,&quot;non-dropping-particle&quot;:&quot;&quot;},{&quot;family&quot;:&quot;Perlikos&quot;,&quot;given&quot;:&quot;Fotis&quot;,&quot;parse-names&quot;:false,&quot;dropping-particle&quot;:&quot;&quot;,&quot;non-dropping-particle&quot;:&quot;&quot;},{&quot;family&quot;:&quot;Tsiligianni&quot;,&quot;given&quot;:&quot;Ioanna&quot;,&quot;parse-names&quot;:false,&quot;dropping-particle&quot;:&quot;&quot;,&quot;non-dropping-particle&quot;:&quot;&quot;},{&quot;family&quot;:&quot;Tzanakis&quot;,&quot;given&quot;:&quot;Nikolaos&quot;,&quot;parse-names&quot;:false,&quot;dropping-particle&quot;:&quot;&quot;,&quot;non-dropping-particle&quot;:&quot;&quot;}],&quot;container-title&quot;:&quot;International Journal of COPD&quot;,&quot;DOI&quot;:&quot;10.2147/COPD.S54473&quot;,&quot;ISSN&quot;:&quot;11782005&quot;,&quot;PMID&quot;:&quot;25609943&quot;,&quot;issued&quot;:{&quot;date-parts&quot;:[[2015]]},&quot;page&quot;:&quot;95-109&quot;,&quot;abstract&quot;:&quot;Chronic obstructive pulmonary disease (COPD) is a leading cause of morbidity and mortality worldwide. Age and smoking are common risk factors for COPD and other illnesses, often leading COPD patients to demonstrate multiple coexisting comorbidities. COPD exacerbations and comorbidities contribute to the overall severity in individual patients. Clinical trials investigating the treatment of COPD routinely exclude patients with multiple comorbidities or advanced age. Clinical practice guidelines for a specific disease do not usually address comorbidities in their recommendations. However, the management and the medical intervention in COPD patients with comorbidities need a holistic approach that is not clearly established worldwide. This holistic approach should include the specific burden of each comorbidity in the COPD severity classification scale. Further, the pharmacological and nonpharmacological management should also include optimal interventions and risk factor modifications simultaneously for all diseases. All health care specialists in COPD management need to work together with professionals specialized in the management of the other major chronic diseases in order to provide a multidisciplinary approach to COPD patients with multiple diseases. In this review, we focus on the major comorbidities that affect COPD patients. We present an overview of the problems faced, the reasons and risk factors for the most commonly encountered comorbidities, and the burden on health care costs. We also provide a rationale for approaching the therapeutic options of the COPD patient afflicted by comorbidity.&quot;,&quot;volume&quot;:&quot;10&quot;,&quot;container-title-short&quot;:&quot;&quot;},&quot;isTemporary&quot;:false},{&quot;id&quot;:&quot;5bd8d860-8879-3252-852e-fc814fcba6fd&quot;,&quot;itemData&quot;:{&quot;type&quot;:&quot;article-journal&quot;,&quot;id&quot;:&quot;5bd8d860-8879-3252-852e-fc814fcba6fd&quot;,&quot;title&quot;:&quot;Systemic manifestations and comorbidities of COPD&quot;,&quot;author&quot;:[{&quot;family&quot;:&quot;Barnes&quot;,&quot;given&quot;:&quot;P. J.&quot;,&quot;parse-names&quot;:false,&quot;dropping-particle&quot;:&quot;&quot;,&quot;non-dropping-particle&quot;:&quot;&quot;},{&quot;family&quot;:&quot;Celli&quot;,&quot;given&quot;:&quot;B. R.&quot;,&quot;parse-names&quot;:false,&quot;dropping-particle&quot;:&quot;&quot;,&quot;non-dropping-particle&quot;:&quot;&quot;}],&quot;container-title&quot;:&quot;The European respiratory journal&quot;,&quot;container-title-short&quot;:&quot;Eur Respir J&quot;,&quot;accessed&quot;:{&quot;date-parts&quot;:[[2024,5,28]]},&quot;DOI&quot;:&quot;10.1183/09031936.00128008&quot;,&quot;ISSN&quot;:&quot;1399-3003&quot;,&quot;PMID&quot;:&quot;19407051&quot;,&quot;URL&quot;:&quot;https://pubmed.ncbi.nlm.nih.gov/19407051/&quot;,&quot;issued&quot;:{&quot;date-parts&quot;:[[2009,5]]},&quot;page&quot;:&quot;1165-1185&quot;,&quot;abstract&quot;:&quot;Increasing evidence indicates that chronic obstructive pulmonary disease (COPD) is a complex disease involving more than airflow obstruction. Airflow obstruction has profound effects on cardiac function and gas exchange with systemic consequences. In addition, as COPD results from inflammation and/or alterations in repair mechanisms, the \&quot;spill-over\&quot; of inflammatory mediators into the circulation may result in important systemic manifestations of the disease, such as skeletal muscle wasting and cachexia. Systemic inflammation may also initiate or worsen comorbid diseases, such as ischaemic heart disease, heart failure, osteoporosis, normocytic anaemia, lung cancer, depression and diabetes. Comorbid diseases potentiate the morbidity of COPD, leading to increased hospitalisations, mortality and healthcare costs. Comorbidities complicate the management of COPD and need to be evaluated carefully. Current therapies for comorbid diseases, such as statins and peroxisome proliferator-activated receptor-agonists, may provide unexpected benefits for COPD patients. Treatment of COPD inflammation may concomitantly treat systemic inflammation and associated comorbidities. However, new broad-spectrum anti-inflammatory treatments, such as phosphodiesterase 4 inhibitors, have significant side-effects so it may be necessary to develop inhaled drugs in the future. Another approach is the reversal of corticosteroid resistance, for example with effective antioxidants. More research is needed on COPD comorbidities and their treatment. Copyright © ERS Journals Ltd 2009.&quot;,&quot;publisher&quot;:&quot;Eur Respir J&quot;,&quot;issue&quot;:&quot;5&quot;,&quot;volume&quot;:&quot;33&quot;},&quot;isTemporary&quot;:false}]},{&quot;citationID&quot;:&quot;MENDELEY_CITATION_ea78b664-2ca8-46c5-9c12-83c418505d04&quot;,&quot;properties&quot;:{&quot;noteIndex&quot;:0},&quot;isEdited&quot;:false,&quot;manualOverride&quot;:{&quot;isManuallyOverridden&quot;:false,&quot;citeprocText&quot;:&quot;[201–205]&quot;,&quot;manualOverrideText&quot;:&quot;&quot;},&quot;citationTag&quot;:&quot;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&quot;,&quot;citationItems&quot;:[{&quot;id&quot;:&quot;bcc822a8-0be5-375e-9671-4a7b81d33b46&quot;,&quot;itemData&quot;:{&quot;type&quot;:&quot;article-journal&quot;,&quot;id&quot;:&quot;bcc822a8-0be5-375e-9671-4a7b81d33b46&quot;,&quot;title&quot;:&quot;Clusters of Comorbidities Based on Validated Objective Measurements and Systemic Inflammation in Patients with Chronic Obstructive Pulmonary Disease&quot;,&quot;author&quot;:[{&quot;family&quot;:&quot;Vanfleteren&quot;,&quot;given&quot;:&quot;Lowie E G W&quot;,&quot;parse-names&quot;:false,&quot;dropping-particle&quot;:&quot;&quot;,&quot;non-dropping-particle&quot;:&quot;&quot;},{&quot;family&quot;:&quot;Spruit&quot;,&quot;given&quot;:&quot;Martijn A&quot;,&quot;parse-names&quot;:false,&quot;dropping-particle&quot;:&quot;&quot;,&quot;non-dropping-particle&quot;:&quot;&quot;},{&quot;family&quot;:&quot;Groenen&quot;,&quot;given&quot;:&quot;Miriam&quot;,&quot;parse-names&quot;:false,&quot;dropping-particle&quot;:&quot;&quot;,&quot;non-dropping-particle&quot;:&quot;&quot;},{&quot;family&quot;:&quot;Gaffron&quot;,&quot;given&quot;:&quot;Swetlana&quot;,&quot;parse-names&quot;:false,&quot;dropping-particle&quot;:&quot;&quot;,&quot;non-dropping-particle&quot;:&quot;&quot;},{&quot;family&quot;:&quot;Empel&quot;,&quot;given&quot;:&quot;Vanessa P M&quot;,&quot;parse-names&quot;:false,&quot;dropping-particle&quot;:&quot;&quot;,&quot;non-dropping-particle&quot;:&quot;Van&quot;},{&quot;family&quot;:&quot;Bruijnzeel&quot;,&quot;given&quot;:&quot;Piet L B&quot;,&quot;parse-names&quot;:false,&quot;dropping-particle&quot;:&quot;&quot;,&quot;non-dropping-particle&quot;:&quot;&quot;},{&quot;family&quot;:&quot;Rutten&quot;,&quot;given&quot;:&quot;Erica P A&quot;,&quot;parse-names&quot;:false,&quot;dropping-particle&quot;:&quot;&quot;,&quot;non-dropping-particle&quot;:&quot;&quot;},{&quot;family&quot;:&quot;Op 't Roodt&quot;,&quot;given&quot;:&quot;Jos&quot;,&quot;parse-names&quot;:false,&quot;dropping-particle&quot;:&quot;&quot;,&quot;non-dropping-particle&quot;:&quot;&quot;},{&quot;family&quot;:&quot;Wouters&quot;,&quot;given&quot;:&quot;Emiel F M&quot;,&quot;parse-names&quot;:false,&quot;dropping-particle&quot;:&quot;&quot;,&quot;non-dropping-particle&quot;:&quot;&quot;},{&quot;family&quot;:&quot;Franssen&quot;,&quot;given&quot;:&quot;Frits M E&quot;,&quot;parse-names&quot;:false,&quot;dropping-particle&quot;:&quot;&quot;,&quot;non-dropping-particle&quot;:&quot;&quot;}],&quot;accessed&quot;:{&quot;date-parts&quot;:[[2024,4,23]]},&quot;DOI&quot;:&quot;10.1164/rccm.201209-1665OC&quot;,&quot;URL&quot;:&quot;www.viscovery.net;&quot;,&quot;abstract&quot;:&quot;Rationale: Comorbidities contribute to disease severity and mortality in patients with chronic obstructive pulmonary disease (COPD). Comorbidities have been studied individually and were mostly based on self-reports. The coexistence of objectively identified comorbid-ities and the role of low-grade systemic inflammation in the patho-physiology of COPD remain to be elucidated. Objectives: To cluster 13 clinically important objectively identified comorbidities, and to characterize the comorbidity clusters in terms of clinical outcomes and systemic inflammation. Methods: A total of 213 patients with COPD (FEV 1 , 51 6 17% predicted ; men, 59%; age, 64 6 7 yr) were included prospectively. Comorbidities were based on well-known cutoffs identified in the peer-reviewed English literature. Systemic inflammatory biomarkers were determined in all patients. Self-organizing maps were used to generate comorbidity clusters. Measurements and Main Results: A total of 97.7% of all patients had one or more comorbidities and 53.5% had four or more comorbid-ities. Five comorbidity clusters were identified: (1) less comorbidity, (2) cardiovascular, (3) cachectic, (4) metabolic, and (5) psychological. Comorbidity clusters differed in health status but were comparable with respect to disease severity. An increased inflammatory state was observed only for tumor necrosis factor (TNF) receptors in the metabolic cluster (geometric mean [lower and upper limit]; TNF-R1, 2,377 [1,850, 3,055] pg/ml, confidence, 98.5%; TNF-R2, 4,080 [3,115, 5,344] pg/ml, confidence, 98.8%) and only for IL-6 in the cardiovascular cluster (IL-6, 3.4 [1.8, 6.6] pg/ml; confidence, 99.8%). Conclusions: Multimorbidity is common in patients with COPD, and different comorbidity clusters can be identified. Low-grade systemic inflammation is mostly comparable among comorbidity clusters. Increasing knowledge on the interactions between comorbidities increases the understanding of their development and contributes to strategies for prevention or improved treatment.&quot;,&quot;container-title-short&quot;:&quot;&quot;},&quot;isTemporary&quot;:false},{&quot;id&quot;:&quot;c664cb3f-7c7f-3475-a086-66e6b703eae6&quot;,&quot;itemData&quot;:{&quot;type&quot;:&quot;article-journal&quot;,&quot;id&quot;:&quot;c664cb3f-7c7f-3475-a086-66e6b703eae6&quot;,&quot;title&quot;:&quot;Identification of five clusters of comorbidities in a longitudinal Japanese chronic obstructive pulmonary disease cohort&quot;,&quot;author&quot;:[{&quot;family&quot;:&quot;Chubachi&quot;,&quot;given&quot;:&quot;Shotaro&quot;,&quot;parse-names&quot;:false,&quot;dropping-particle&quot;:&quot;&quot;,&quot;non-dropping-particle&quot;:&quot;&quot;},{&quot;family&quot;:&quot;Sato&quot;,&quot;given&quot;:&quot;Minako&quot;,&quot;parse-names&quot;:false,&quot;dropping-particle&quot;:&quot;&quot;,&quot;non-dropping-particle&quot;:&quot;&quot;},{&quot;family&quot;:&quot;Kameyama&quot;,&quot;given&quot;:&quot;Naofumi&quot;,&quot;parse-names&quot;:false,&quot;dropping-particle&quot;:&quot;&quot;,&quot;non-dropping-particle&quot;:&quot;&quot;},{&quot;family&quot;:&quot;Tsutsumi&quot;,&quot;given&quot;:&quot;Akihiro&quot;,&quot;parse-names&quot;:false,&quot;dropping-particle&quot;:&quot;&quot;,&quot;non-dropping-particle&quot;:&quot;&quot;},{&quot;family&quot;:&quot;Sasaki&quot;,&quot;given&quot;:&quot;Mamoru&quot;,&quot;parse-names&quot;:false,&quot;dropping-particle&quot;:&quot;&quot;,&quot;non-dropping-particle&quot;:&quot;&quot;},{&quot;family&quot;:&quot;Tateno&quot;,&quot;given&quot;:&quot;Hiroki&quot;,&quot;parse-names&quot;:false,&quot;dropping-particle&quot;:&quot;&quot;,&quot;non-dropping-particle&quot;:&quot;&quot;},{&quot;family&quot;:&quot;Nakamura&quot;,&quot;given&quot;:&quot;Hidetoshi&quot;,&quot;parse-names&quot;:false,&quot;dropping-particle&quot;:&quot;&quot;,&quot;non-dropping-particle&quot;:&quot;&quot;},{&quot;family&quot;:&quot;Asano&quot;,&quot;given&quot;:&quot;Koichiro&quot;,&quot;parse-names&quot;:false,&quot;dropping-particle&quot;:&quot;&quot;,&quot;non-dropping-particle&quot;:&quot;&quot;},{&quot;family&quot;:&quot;Betsuyaku&quot;,&quot;given&quot;:&quot;Tomoko&quot;,&quot;parse-names&quot;:false,&quot;dropping-particle&quot;:&quot;&quot;,&quot;non-dropping-particle&quot;:&quot;&quot;}],&quot;container-title&quot;:&quot;Respiratory Medicine&quot;,&quot;container-title-short&quot;:&quot;Respir Med&quot;,&quot;DOI&quot;:&quot;10.1016/j.rmed.2016.07.002&quot;,&quot;ISSN&quot;:&quot;15323064&quot;,&quot;PMID&quot;:&quot;27492541&quot;,&quot;URL&quot;:&quot;http://dx.doi.org/10.1016/j.rmed.2016.07.002&quot;,&quot;issued&quot;:{&quot;date-parts&quot;:[[2016]]},&quot;page&quot;:&quot;272-279&quot;,&quot;abstract&quot;:&quot;Background and objectives Patients with chronic obstructive pulmonary disease (COPD) frequently suffer from various comorbidities. Recently, cluster analysis has been proposed to examine the phenotypic heterogeneity in COPD. In order to comprehensively understand the comorbidities of COPD in Japan, we conducted multicenter, longitudinal cohort study, called the Keio COPD Comorbidity Research (K-CCR). In this cohort, comorbid diagnoses were established by both objective examination and review of clinical records, in addition to self-report. We aimed to investigate the clustering of nineteen clinically relevant comorbidities and the meaningful outcomes of the clusters over a two-year follow-up period. Material and Methods The present study analyzed data from COPD patients whose data of comorbidities were completed (n = 311). Cluster analysis was performed using Ward's minimum-variance method. Results Five comorbidity clusters were identified: less comorbidity; malignancy; metabolic and cardiovascular; gastroesophageal reflux disease (GERD) and psychological; and underweight and anemic. FEV1 did not differ among the clusters. GERD and psychological cluster had worse COPD assessment test (CAT) and Saint George's respiratory questionnaire (SGRQ) at baseline compared to the other clusters (CAT: p = 0.0003 and SGRQ: p = 0.00046). The rate of change in these scores did not differ within 2 years. The underweight and anemic cluster included subjects with lower baseline ratio of predicted diffusing capacity (DLco/VA) compared to the malignancy cluster (p = 0.036). Conclusions Five clusters of comorbidities were identified in Japanese COPD patients. The clinical characteristics and health-related quality of life were different among these clusters during a follow-up of two years.&quot;,&quot;publisher&quot;:&quot;Elsevier Ltd&quot;,&quot;volume&quot;:&quot;117&quot;},&quot;isTemporary&quot;:false},{&quot;id&quot;:&quot;8ae2385d-0a83-3be4-94f4-02288361a8e8&quot;,&quot;itemData&quot;:{&quot;type&quot;:&quot;article-journal&quot;,&quot;id&quot;:&quot;8ae2385d-0a83-3be4-94f4-02288361a8e8&quot;,&quot;title&quot;:&quot;Comorbidity, systemic inflammation and outcomes in the ECLIPSE cohort&quot;,&quot;author&quot;:[{&quot;family&quot;:&quot;Miller&quot;,&quot;given&quot;:&quot;Joy&quot;,&quot;parse-names&quot;:false,&quot;dropping-particle&quot;:&quot;&quot;,&quot;non-dropping-particle&quot;:&quot;&quot;},{&quot;family&quot;:&quot;Edwards&quot;,&quot;given&quot;:&quot;Lisa D.&quot;,&quot;parse-names&quot;:false,&quot;dropping-particle&quot;:&quot;&quot;,&quot;non-dropping-particle&quot;:&quot;&quot;},{&quot;family&quot;:&quot;Agustí&quot;,&quot;given&quot;:&quot;Alvar&quot;,&quot;parse-names&quot;:false,&quot;dropping-particle&quot;:&quot;&quot;,&quot;non-dropping-particle&quot;:&quot;&quot;},{&quot;family&quot;:&quot;Bakke&quot;,&quot;given&quot;:&quot;Per&quot;,&quot;parse-names&quot;:false,&quot;dropping-particle&quot;:&quot;&quot;,&quot;non-dropping-particle&quot;:&quot;&quot;},{&quot;family&quot;:&quot;Calverley&quot;,&quot;given&quot;:&quot;Peter M.A.&quot;,&quot;parse-names&quot;:false,&quot;dropping-particle&quot;:&quot;&quot;,&quot;non-dropping-particle&quot;:&quot;&quot;},{&quot;family&quot;:&quot;Celli&quot;,&quot;given&quot;:&quot;Bartolome&quot;,&quot;parse-names&quot;:false,&quot;dropping-particle&quot;:&quot;&quot;,&quot;non-dropping-particle&quot;:&quot;&quot;},{&quot;family&quot;:&quot;Coxson&quot;,&quot;given&quot;:&quot;Harvey O.&quot;,&quot;parse-names&quot;:false,&quot;dropping-particle&quot;:&quot;&quot;,&quot;non-dropping-particle&quot;:&quot;&quot;},{&quot;family&quot;:&quot;Crim&quot;,&quot;given&quot;:&quot;Courtney&quot;,&quot;parse-names&quot;:false,&quot;dropping-particle&quot;:&quot;&quot;,&quot;non-dropping-particle&quot;:&quot;&quot;},{&quot;family&quot;:&quot;Lomas&quot;,&quot;given&quot;:&quot;David A.&quot;,&quot;parse-names&quot;:false,&quot;dropping-particle&quot;:&quot;&quot;,&quot;non-dropping-particle&quot;:&quot;&quot;},{&quot;family&quot;:&quot;Miller&quot;,&quot;given&quot;:&quot;Bruce E.&quot;,&quot;parse-names&quot;:false,&quot;dropping-particle&quot;:&quot;&quot;,&quot;non-dropping-particle&quot;:&quot;&quot;},{&quot;family&quot;:&quot;Rennard&quot;,&quot;given&quot;:&quot;Steve&quot;,&quot;parse-names&quot;:false,&quot;dropping-particle&quot;:&quot;&quot;,&quot;non-dropping-particle&quot;:&quot;&quot;},{&quot;family&quot;:&quot;Silverman&quot;,&quot;given&quot;:&quot;Edwin K.&quot;,&quot;parse-names&quot;:false,&quot;dropping-particle&quot;:&quot;&quot;,&quot;non-dropping-particle&quot;:&quot;&quot;},{&quot;family&quot;:&quot;Tal-Singer&quot;,&quot;given&quot;:&quot;Ruth&quot;,&quot;parse-names&quot;:false,&quot;dropping-particle&quot;:&quot;&quot;,&quot;non-dropping-particle&quot;:&quot;&quot;},{&quot;family&quot;:&quot;Vestbo&quot;,&quot;given&quot;:&quot;Jørgen&quot;,&quot;parse-names&quot;:false,&quot;dropping-particle&quot;:&quot;&quot;,&quot;non-dropping-particle&quot;:&quot;&quot;},{&quot;family&quot;:&quot;Wouters&quot;,&quot;given&quot;:&quot;Emiel&quot;,&quot;parse-names&quot;:false,&quot;dropping-particle&quot;:&quot;&quot;,&quot;non-dropping-particle&quot;:&quot;&quot;},{&quot;family&quot;:&quot;Yates&quot;,&quot;given&quot;:&quot;Julie C.&quot;,&quot;parse-names&quot;:false,&quot;dropping-particle&quot;:&quot;&quot;,&quot;non-dropping-particle&quot;:&quot;&quot;},{&quot;family&quot;:&quot;Macnee&quot;,&quot;given&quot;:&quot;William&quot;,&quot;parse-names&quot;:false,&quot;dropping-particle&quot;:&quot;&quot;,&quot;non-dropping-particle&quot;:&quot;&quot;}],&quot;container-title&quot;:&quot;Respiratory Medicine&quot;,&quot;container-title-short&quot;:&quot;Respir Med&quot;,&quot;accessed&quot;:{&quot;date-parts&quot;:[[2024,6,1]]},&quot;DOI&quot;:&quot;10.1016/J.RMED.2013.05.001&quot;,&quot;ISSN&quot;:&quot;0954-6111&quot;,&quot;PMID&quot;:&quot;23791463&quot;,&quot;issued&quot;:{&quot;date-parts&quot;:[[2013,9,1]]},&quot;page&quot;:&quot;1376-1384&quot;,&quot;abstract&quot;:&quot;Comorbidities, are common in COPD, have been associated with poor outcomes and are thought to relate to systemic inflammation. To investigate comorbidities in relation to systemic inflammation and outcomes we recorded comorbidities in a well characterized cohort (ECLIPSE study) for 2164 clinically stable COPD subjects, 337 smokers and 245 non-smokers with normal lung function. COPD patients had a higher prevalence of osteoporosis, anxiety/panic attacks, heart trouble, heart attack, and heart failure, than smokers or nonsmokers. Heart failure (Hazard Ratio [HR] 1.9, 95% Confidence Interval [CI] 1.3-2.9), ischemic heart disease (HR 1.5, 95% CI 1.1-2.0), heart disease (HR 1.5, 95% CI 1.2-2.0), and diabetes (HR 1.7, 95% CI 1.2-2.4) had increased odds of mortality when coexistent with COPD. Multiple comorbidities had accumulative effect on mortality. COPD and cardiovascular disease was associated with poorer quality of life, higher MRC dyspnea scores, reduced 6MWD, higher BODE index scores. Osteoporosis, hypertension and diabetes were associated with higher MRC dyspnea scores and reduced 6MWD. Higher blood concentrations of fibrinogen, IL-6 and IL-8 levels occurred in those with heart disease. Comorbidity is associated with poor clinical outcomes in COPD. The comorbidities of heart disease, hypertension and diabetes are associated with increased systemic inflammation. © 2013 Elsevier Ltd. All rights reserved.&quot;,&quot;publisher&quot;:&quot;W.B. Saunders&quot;,&quot;issue&quot;:&quot;9&quot;,&quot;volume&quot;:&quot;107&quot;},&quot;isTemporary&quot;:false},{&quot;id&quot;:&quot;0bd5eecf-ff6c-335a-8ec8-409ec56dabd3&quot;,&quot;itemData&quot;:{&quot;type&quot;:&quot;article-journal&quot;,&quot;id&quot;:&quot;0bd5eecf-ff6c-335a-8ec8-409ec56dabd3&quot;,&quot;title&quot;:&quot;Identification of clinical phenotypes using cluster analyses in COPD patients with multiple comorbidities&quot;,&quot;author&quot;:[{&quot;family&quot;:&quot;Burgel&quot;,&quot;given&quot;:&quot;Pierre Régis&quot;,&quot;parse-names&quot;:false,&quot;dropping-particle&quot;:&quot;&quot;,&quot;non-dropping-particle&quot;:&quot;&quot;},{&quot;family&quot;:&quot;Paillasseur&quot;,&quot;given&quot;:&quot;Jean Louis&quot;,&quot;parse-names&quot;:false,&quot;dropping-particle&quot;:&quot;&quot;,&quot;non-dropping-particle&quot;:&quot;&quot;},{&quot;family&quot;:&quot;Roche&quot;,&quot;given&quot;:&quot;Nicolas&quot;,&quot;parse-names&quot;:false,&quot;dropping-particle&quot;:&quot;&quot;,&quot;non-dropping-particle&quot;:&quot;&quot;}],&quot;container-title&quot;:&quot;BioMed Research International&quot;,&quot;container-title-short&quot;:&quot;Biomed Res Int&quot;,&quot;accessed&quot;:{&quot;date-parts&quot;:[[2024,6,1]]},&quot;DOI&quot;:&quot;10.1155/2014/420134&quot;,&quot;ISSN&quot;:&quot;23146141&quot;,&quot;PMID&quot;:&quot;24683548&quot;,&quot;issued&quot;:{&quot;date-parts&quot;:[[2014]]},&quot;abstract&quot;:&quot;Chronic obstructive pulmonary disease (COPD) is characterized by persistent airflow limitation, the severity of which is assessed using forced expiratory volume in 1 sec (FEV1, % predicted). Cohort studies have confirmed that COPD patients with similar levels of airflow limitation showed marked heterogeneity in clinical manifestations and outcomes. Chronic coexisting diseases, also called comorbidities, are highly prevalent in COPD patients and likely contribute to this heterogeneity. In recent years, investigators have used innovative statistical methods (e.g., cluster analyses) to examine the hypothesis that subgroups of COPD patients sharing clinically relevant characteristics (phenotypes) can be identified. The objectives of the present paper are to review recent studies that have used cluster analyses for defining phenotypes in observational cohorts of COPD patients. Strengths and weaknesses of these statistical approaches are briefly described. Description of the phenotypes that were reasonably reproducible across studies and received prospective validation in at least one study is provided, with a special focus on differences in age and comorbidities (including cardiovascular diseases). Finally, gaps in current knowledge are described, leading to proposals for future studies. © 2014 Pierre-Régis Burgel et al.&quot;,&quot;publisher&quot;:&quot;Hindawi Publishing Corporation&quot;,&quot;volume&quot;:&quot;2014&quot;},&quot;isTemporary&quot;:false},{&quot;id&quot;:&quot;fbe180ae-2dd7-38f5-a7f9-f8a9015d03ff&quot;,&quot;itemData&quot;:{&quot;type&quot;:&quot;article-journal&quot;,&quot;id&quot;:&quot;fbe180ae-2dd7-38f5-a7f9-f8a9015d03ff&quot;,&quot;title&quot;:&quot;Identification of five chronic obstructive pulmonary disease subgroups with different prognoses in the ECLIPSE cohort using cluster analysis&quot;,&quot;author&quot;:[{&quot;family&quot;:&quot;Rennard&quot;,&quot;given&quot;:&quot;Stephen I.&quot;,&quot;parse-names&quot;:false,&quot;dropping-particle&quot;:&quot;&quot;,&quot;non-dropping-particle&quot;:&quot;&quot;},{&quot;family&quot;:&quot;Locantore&quot;,&quot;given&quot;:&quot;Nicholas&quot;,&quot;parse-names&quot;:false,&quot;dropping-particle&quot;:&quot;&quot;,&quot;non-dropping-particle&quot;:&quot;&quot;},{&quot;family&quot;:&quot;Delafont&quot;,&quot;given&quot;:&quot;Bruno&quot;,&quot;parse-names&quot;:false,&quot;dropping-particle&quot;:&quot;&quot;,&quot;non-dropping-particle&quot;:&quot;&quot;},{&quot;family&quot;:&quot;Tal-Singer&quot;,&quot;given&quot;:&quot;Ruth&quot;,&quot;parse-names&quot;:false,&quot;dropping-particle&quot;:&quot;&quot;,&quot;non-dropping-particle&quot;:&quot;&quot;},{&quot;family&quot;:&quot;Silverman&quot;,&quot;given&quot;:&quot;Edwin K.&quot;,&quot;parse-names&quot;:false,&quot;dropping-particle&quot;:&quot;&quot;,&quot;non-dropping-particle&quot;:&quot;&quot;},{&quot;family&quot;:&quot;Vestbo&quot;,&quot;given&quot;:&quot;Jørgen&quot;,&quot;parse-names&quot;:false,&quot;dropping-particle&quot;:&quot;&quot;,&quot;non-dropping-particle&quot;:&quot;&quot;},{&quot;family&quot;:&quot;Miller&quot;,&quot;given&quot;:&quot;Bruce E.&quot;,&quot;parse-names&quot;:false,&quot;dropping-particle&quot;:&quot;&quot;,&quot;non-dropping-particle&quot;:&quot;&quot;},{&quot;family&quot;:&quot;Bakke&quot;,&quot;given&quot;:&quot;Per&quot;,&quot;parse-names&quot;:false,&quot;dropping-particle&quot;:&quot;&quot;,&quot;non-dropping-particle&quot;:&quot;&quot;},{&quot;family&quot;:&quot;Celli&quot;,&quot;given&quot;:&quot;Bartolomé&quot;,&quot;parse-names&quot;:false,&quot;dropping-particle&quot;:&quot;&quot;,&quot;non-dropping-particle&quot;:&quot;&quot;},{&quot;family&quot;:&quot;Calverley&quot;,&quot;given&quot;:&quot;Peter M.A.&quot;,&quot;parse-names&quot;:false,&quot;dropping-particle&quot;:&quot;&quot;,&quot;non-dropping-particle&quot;:&quot;&quot;},{&quot;family&quot;:&quot;Coxson&quot;,&quot;given&quot;:&quot;Harvey&quot;,&quot;parse-names&quot;:false,&quot;dropping-particle&quot;:&quot;&quot;,&quot;non-dropping-particle&quot;:&quot;&quot;},{&quot;family&quot;:&quot;Crim&quot;,&quot;given&quot;:&quot;Courtney&quot;,&quot;parse-names&quot;:false,&quot;dropping-particle&quot;:&quot;&quot;,&quot;non-dropping-particle&quot;:&quot;&quot;},{&quot;family&quot;:&quot;Edwards&quot;,&quot;given&quot;:&quot;Lisa D.&quot;,&quot;parse-names&quot;:false,&quot;dropping-particle&quot;:&quot;&quot;,&quot;non-dropping-particle&quot;:&quot;&quot;},{&quot;family&quot;:&quot;Lomas&quot;,&quot;given&quot;:&quot;David A.&quot;,&quot;parse-names&quot;:false,&quot;dropping-particle&quot;:&quot;&quot;,&quot;non-dropping-particle&quot;:&quot;&quot;},{&quot;family&quot;:&quot;Macnee&quot;,&quot;given&quot;:&quot;William&quot;,&quot;parse-names&quot;:false,&quot;dropping-particle&quot;:&quot;&quot;,&quot;non-dropping-particle&quot;:&quot;&quot;},{&quot;family&quot;:&quot;Wouters&quot;,&quot;given&quot;:&quot;Emiel F.M.&quot;,&quot;parse-names&quot;:false,&quot;dropping-particle&quot;:&quot;&quot;,&quot;non-dropping-particle&quot;:&quot;&quot;},{&quot;family&quot;:&quot;Yates&quot;,&quot;given&quot;:&quot;Julie C.&quot;,&quot;parse-names&quot;:false,&quot;dropping-particle&quot;:&quot;&quot;,&quot;non-dropping-particle&quot;:&quot;&quot;},{&quot;family&quot;:&quot;Coca&quot;,&quot;given&quot;:&quot;Ignacio&quot;,&quot;parse-names&quot;:false,&quot;dropping-particle&quot;:&quot;&quot;,&quot;non-dropping-particle&quot;:&quot;&quot;},{&quot;family&quot;:&quot;Agustí&quot;,&quot;given&quot;:&quot;Alvar&quot;,&quot;parse-names&quot;:false,&quot;dropping-particle&quot;:&quot;&quot;,&quot;non-dropping-particle&quot;:&quot;&quot;}],&quot;container-title&quot;:&quot;Annals of the American Thoracic Society&quot;,&quot;container-title-short&quot;:&quot;Ann Am Thorac Soc&quot;,&quot;accessed&quot;:{&quot;date-parts&quot;:[[2024,6,1]]},&quot;DOI&quot;:&quot;10.1513/ANNALSATS.201403-125OC/SUPPL_FILE/DISCLOSURES.PDF&quot;,&quot;ISSN&quot;:&quot;23256621&quot;,&quot;PMID&quot;:&quot;25642832&quot;,&quot;URL&quot;:&quot;www.atsjournals.org&quot;,&quot;issued&quot;:{&quot;date-parts&quot;:[[2015,3,1]]},&quot;page&quot;:&quot;303-312&quot;,&quot;abstract&quot;:&quot;Rationale: Chronic obstructive pulmonary disease (COPD) is a heterogeneous disease that likely includes clinically relevant subgroups. Objectives: To identify subgroups of COPD in ECLIPSE (Evaluation of COPD Longitudinally to Identify Predictive Surrogate Endpoints) subjects using cluster analysis and to assess clinically meaningful outcomes of the clusters during 3 years of longitudinal follow-up. Methods: Factor analysis was used to reduce 41 variables determined at recruitment in 2,164 patients with COPD to 13 main factors, and the variables with the highest loading were used for cluster analysis. Clusters were evaluated for their relationship with clinically meaningful outcomes during 3 years of follow-up. The relationships among clinical parameters were evaluated within clusters. Measurements and Main Results: Five subgroups were distinguished using cross-sectional clinical features. These groups differed regarding outcomes. Cluster A included patients with milder disease and had fewer deaths and hospitalizations. Cluster B had less systemic inflammation at baseline but had notable changes in health status and emphysema extent. Cluster C had many comorbidities, evidence of systemic inflammation, and the highest mortality. Cluster D had low FEV1, severe emphysema, and the highest exacerbation and COPD hospitalization rate. Cluster E was intermediate for most variables and may represent a mixed group that includes further clusters. The relationships among clinical variables within clusters differed from that in the entire COPD population. Conclusions: Cluster analysis using baseline data in ECLIPSE identified five COPD subgroups that differ in outcomes and inflammatory biomarkers and show different relationships between clinical parameters, suggesting the clusters represent clinically and biologically different subtypes of COPD.&quot;,&quot;publisher&quot;:&quot;American Thoracic Society&quot;,&quot;issue&quot;:&quot;3&quot;,&quot;volume&quot;:&quot;12&quot;},&quot;isTemporary&quot;:false}]},{&quot;citationID&quot;:&quot;MENDELEY_CITATION_66d116ec-820e-4a55-a021-da61cca5541a&quot;,&quot;properties&quot;:{&quot;noteIndex&quot;:0},&quot;isEdited&quot;:false,&quot;manualOverride&quot;:{&quot;isManuallyOverridden&quot;:false,&quot;citeprocText&quot;:&quot;[16,206]&quot;,&quot;manualOverrideText&quot;:&quot;&quot;},&quot;citationTag&quot;:&quot;MENDELEY_CITATION_v3_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&quot;,&quot;citationItems&quot;:[{&quot;id&quot;:&quot;4a0ac725-061f-3f19-adbc-0951a9c961a3&quot;,&quot;itemData&quot;:{&quot;type&quot;:&quot;article-journal&quot;,&quot;id&quot;:&quot;4a0ac725-061f-3f19-adbc-0951a9c961a3&quot;,&quot;title&quot;:&quot;Integrated approach to health screening of former department of energy workers detects both occupational and non-occupational illness&quot;,&quot;author&quot;:[{&quot;family&quot;:&quot;Stange&quot;,&quot;given&quot;:&quot;Bill&quot;,&quot;parse-names&quot;:false,&quot;dropping-particle&quot;:&quot;&quot;,&quot;non-dropping-particle&quot;:&quot;&quot;},{&quot;family&quot;:&quot;Mcinerney&quot;,&quot;given&quot;:&quot;John&quot;,&quot;parse-names&quot;:false,&quot;dropping-particle&quot;:&quot;&quot;,&quot;non-dropping-particle&quot;:&quot;&quot;},{&quot;family&quot;:&quot;Golden&quot;,&quot;given&quot;:&quot;Ashley&quot;,&quot;parse-names&quot;:false,&quot;dropping-particle&quot;:&quot;&quot;,&quot;non-dropping-particle&quot;:&quot;&quot;},{&quot;family&quot;:&quot;Benade&quot;,&quot;given&quot;:&quot;Wendy&quot;,&quot;parse-names&quot;:false,&quot;dropping-particle&quot;:&quot;&quot;,&quot;non-dropping-particle&quot;:&quot;&quot;},{&quot;family&quot;:&quot;Neill&quot;,&quot;given&quot;:&quot;Barbara&quot;,&quot;parse-names&quot;:false,&quot;dropping-particle&quot;:&quot;&quot;,&quot;non-dropping-particle&quot;:&quot;&quot;},{&quot;family&quot;:&quot;Mayer&quot;,&quot;given&quot;:&quot;Annyce&quot;,&quot;parse-names&quot;:false,&quot;dropping-particle&quot;:&quot;&quot;,&quot;non-dropping-particle&quot;:&quot;&quot;},{&quot;family&quot;:&quot;Witter&quot;,&quot;given&quot;:&quot;Roxana&quot;,&quot;parse-names&quot;:false,&quot;dropping-particle&quot;:&quot;&quot;,&quot;non-dropping-particle&quot;:&quot;&quot;},{&quot;family&quot;:&quot;Tenney&quot;,&quot;given&quot;:&quot;Liliana&quot;,&quot;parse-names&quot;:false,&quot;dropping-particle&quot;:&quot;&quot;,&quot;non-dropping-particle&quot;:&quot;&quot;},{&quot;family&quot;:&quot;Stinson&quot;,&quot;given&quot;:&quot;Kaylan&quot;,&quot;parse-names&quot;:false,&quot;dropping-particle&quot;:&quot;&quot;,&quot;non-dropping-particle&quot;:&quot;&quot;},{&quot;family&quot;:&quot;Cragle&quot;,&quot;given&quot;:&quot;Donna&quot;,&quot;parse-names&quot;:false,&quot;dropping-particle&quot;:&quot;&quot;,&quot;non-dropping-particle&quot;:&quot;&quot;},{&quot;family&quot;:&quot;Newman&quot;,&quot;given&quot;:&quot;Lee S.&quot;,&quot;parse-names&quot;:false,&quot;dropping-particle&quot;:&quot;&quot;,&quot;non-dropping-particle&quot;:&quot;&quot;}],&quot;container-title&quot;:&quot;American Journal of Industrial Medicine&quot;,&quot;container-title-short&quot;:&quot;Am J Ind Med&quot;,&quot;DOI&quot;:&quot;10.1002/ajim.22554&quot;,&quot;ISSN&quot;:&quot;10970274&quot;,&quot;PMID&quot;:&quot;26891339&quot;,&quot;issued&quot;:{&quot;date-parts&quot;:[[2016]]},&quot;page&quot;:&quot;200-211&quot;,&quot;abstract&quot;:&quot;Background: The National Supplemental Screening Program (NSSP) uses a Total Worker HealthTM approach to address U.S. Department of Energy (DOE) former worker health. This article provides the design of the integrated occupational health screening and promotion program. Methods: The NSSP implemented a web-based relational health records system to process demographic, exposure, and clinical data. We present medical findings for 12,000 DOE former workers that completed an initial NSSP medical screening between October 1, 2005 and October 4, 2013. We discuss the DOE former worker participant population and the exposure-based and non-occupational medical screening tests used. Results: The NSSP identified potential occupationally related health conditions in 40.5% of those screened. Notably, we identified 85.8% of participants with addressable non-occupational health conditions, many of which were previously undiagnosed. Conclusion: The NSSP demonstrates that the identification of potential occupational health issues in conjunction with addressable non-occupational health conditions provides former workers with information to more effectively manage health. Am. J. Ind. Med. 59:200-211, 2016.&quot;,&quot;issue&quot;:&quot;3&quot;,&quot;volume&quot;:&quot;59&quot;},&quot;isTemporary&quot;:false},{&quot;id&quot;:&quot;f7ae9350-0e3a-3b06-b6a8-bb3522626137&quot;,&quot;itemData&quot;:{&quot;type&quot;:&quot;report&quot;,&quot;id&quot;:&quot;f7ae9350-0e3a-3b06-b6a8-bb3522626137&quot;,&quot;title&quot;:&quot;Former Worker Medical Screening Program Report 2019&quot;,&quot;author&quot;:[{&quot;family&quot;:&quot;United States Department of Energy&quot;,&quot;given&quot;:&quot;&quot;,&quot;parse-names&quot;:false,&quot;dropping-particle&quot;:&quot;&quot;,&quot;non-dropping-particle&quot;:&quot;&quot;}],&quot;accessed&quot;:{&quot;date-parts&quot;:[[2020,12,9]]},&quot;URL&quot;:&quot;energy.gov/sites/prod/files/2020/06/f75/2019-FW-Medical-Screening-Program-Annual-Report.pdf&quot;,&quot;issued&quot;:{&quot;date-parts&quot;:[[2019]]},&quot;number-of-pages&quot;:&quot;1-76&quot;,&quot;container-title-short&quot;:&quot;&quot;},&quot;isTemporary&quot;:false}]},{&quot;citationID&quot;:&quot;MENDELEY_CITATION_d1318282-849c-45e7-8a28-ecfdf99b1863&quot;,&quot;properties&quot;:{&quot;noteIndex&quot;:0},&quot;isEdited&quot;:false,&quot;manualOverride&quot;:{&quot;isManuallyOverridden&quot;:false,&quot;citeprocText&quot;:&quot;[165]&quot;,&quot;manualOverrideText&quot;:&quot;&quot;},&quot;citationTag&quot;:&quot;MENDELEY_CITATION_v3_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&quot;,&quot;citationItems&quot;:[{&quot;id&quot;:&quot;8d9bdf78-31f4-3408-a18b-f508069274c9&quot;,&quot;itemData&quot;:{&quot;type&quot;:&quot;book&quot;,&quot;id&quot;:&quot;8d9bdf78-31f4-3408-a18b-f508069274c9&quot;,&quot;title&quot;:&quot;Restrictive Lung Disease&quot;,&quot;author&quot;:[{&quot;family&quot;:&quot;Martinez-Pitre&quot;,&quot;given&quot;:&quot;Pedro J.&quot;,&quot;parse-names&quot;:false,&quot;dropping-particle&quot;:&quot;&quot;,&quot;non-dropping-particle&quot;:&quot;&quot;},{&quot;family&quot;:&quot;Sabbula&quot;,&quot;given&quot;:&quot;Bhanusivakumar R.&quot;,&quot;parse-names&quot;:false,&quot;dropping-particle&quot;:&quot;&quot;,&quot;non-dropping-particle&quot;:&quot;&quot;},{&quot;family&quot;:&quot;Cascella&quot;,&quot;given&quot;:&quot;Marco&quot;,&quot;parse-names&quot;:false,&quot;dropping-particle&quot;:&quot;&quot;,&quot;non-dropping-particle&quot;:&quot;&quot;}],&quot;container-title&quot;:&quot;StatPearls[Internet]&quot;,&quot;accessed&quot;:{&quot;date-parts&quot;:[[2024,3,18]]},&quot;DOI&quot;:&quot;10.1007/978-3-030-58842-7_16&quot;,&quot;ISBN&quot;:&quot;9783030588427&quot;,&quot;PMID&quot;:&quot;32809715&quot;,&quot;URL&quot;:&quot;https://www.ncbi.nlm.nih.gov/books/NBK560880/&quot;,&quot;issued&quot;:{&quot;date-parts&quot;:[[2023,7,25]]},&quot;number-of-pages&quot;:&quot;1-21&quot;,&quot;publisher&quot;:&quot;StatPearls Publishing&quot;,&quot;container-title-short&quot;:&quot;&quot;},&quot;isTemporary&quot;:false}]},{&quot;citationID&quot;:&quot;MENDELEY_CITATION_d2549950-e342-4a55-aa8c-e4014439078d&quot;,&quot;properties&quot;:{&quot;noteIndex&quot;:0},&quot;isEdited&quot;:false,&quot;manualOverride&quot;:{&quot;isManuallyOverridden&quot;:false,&quot;citeprocText&quot;:&quot;[6]&quot;,&quot;manualOverrideText&quot;:&quot;&quot;},&quot;citationTag&quot;:&quot;MENDELEY_CITATION_v3_eyJjaXRhdGlvbklEIjoiTUVOREVMRVlfQ0lUQVRJT05fZDI1NDk5NTAtZTM0Mi00YTU1LWFhOGMtZTQwMTQ0MzkwNzhk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quot;,&quot;citationItems&quot;:[{&quot;id&quot;:&quot;f6bf6552-f6e0-3ff4-a77d-6750f2546b26&quot;,&quot;itemData&quot;:{&quot;type&quot;:&quot;report&quot;,&quot;id&quot;:&quot;f6bf6552-f6e0-3ff4-a77d-6750f2546b26&quot;,&quot;title&quot;:&quot;GOLD Report 2020&quot;,&quot;author&quot;:[{&quot;family&quot;:&quot;Global Initiative for Chronic Obstructive Lung Disease&quot;,&quot;given&quot;:&quot;&quot;,&quot;parse-names&quot;:false,&quot;dropping-particle&quot;:&quot;&quot;,&quot;non-dropping-particle&quot;:&quot;&quot;}],&quot;container-title&quot;:&quot;Global Strategy for the Diagnosis, Management, and Prevention of Chronic Obstructive Pulmonary Disease: 2020 Report&quot;,&quot;URL&quot;:&quot;https://goldcopd.org/wp-content/uploads/2019/12/GOLD-2020-FINAL-ver1.2-03Dec19_WMV.pdf&quot;,&quot;issued&quot;:{&quot;date-parts&quot;:[[2020]]},&quot;number-of-pages&quot;:&quot;141&quot;,&quot;abstract&quot;:&quot;Global Strategy for the Diagnosis, Management, and Prevention of Chronic Obstructive Pulmonary Disease&quot;,&quot;container-title-short&quot;:&quot;&quot;},&quot;isTemporary&quot;:false}]},{&quot;citationID&quot;:&quot;MENDELEY_CITATION_63b9a590-5553-43da-a105-5861f8078102&quot;,&quot;properties&quot;:{&quot;noteIndex&quot;:0},&quot;isEdited&quot;:false,&quot;manualOverride&quot;:{&quot;isManuallyOverridden&quot;:false,&quot;citeprocText&quot;:&quot;[6]&quot;,&quot;manualOverrideText&quot;:&quot;&quot;},&quot;citationTag&quot;:&quot;MENDELEY_CITATION_v3_eyJjaXRhdGlvbklEIjoiTUVOREVMRVlfQ0lUQVRJT05fNjNiOWE1OTAtNTU1My00M2RhLWExMDUtNTg2MWY4MDc4MTAy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quot;,&quot;citationItems&quot;:[{&quot;id&quot;:&quot;f6bf6552-f6e0-3ff4-a77d-6750f2546b26&quot;,&quot;itemData&quot;:{&quot;type&quot;:&quot;report&quot;,&quot;id&quot;:&quot;f6bf6552-f6e0-3ff4-a77d-6750f2546b26&quot;,&quot;title&quot;:&quot;GOLD Report 2020&quot;,&quot;author&quot;:[{&quot;family&quot;:&quot;Global Initiative for Chronic Obstructive Lung Disease&quot;,&quot;given&quot;:&quot;&quot;,&quot;parse-names&quot;:false,&quot;dropping-particle&quot;:&quot;&quot;,&quot;non-dropping-particle&quot;:&quot;&quot;}],&quot;container-title&quot;:&quot;Global Strategy for the Diagnosis, Management, and Prevention of Chronic Obstructive Pulmonary Disease: 2020 Report&quot;,&quot;URL&quot;:&quot;https://goldcopd.org/wp-content/uploads/2019/12/GOLD-2020-FINAL-ver1.2-03Dec19_WMV.pdf&quot;,&quot;issued&quot;:{&quot;date-parts&quot;:[[2020]]},&quot;number-of-pages&quot;:&quot;141&quot;,&quot;abstract&quot;:&quot;Global Strategy for the Diagnosis, Management, and Prevention of Chronic Obstructive Pulmonary Disease&quot;,&quot;container-title-short&quot;:&quot;&quot;},&quot;isTemporary&quot;:false}]},{&quot;citationID&quot;:&quot;MENDELEY_CITATION_ced9893e-c97c-4471-8dfa-5296a43fab9f&quot;,&quot;properties&quot;:{&quot;noteIndex&quot;:0},&quot;isEdited&quot;:false,&quot;manualOverride&quot;:{&quot;isManuallyOverridden&quot;:false,&quot;citeprocText&quot;:&quot;[6,21]&quot;,&quot;manualOverrideText&quot;:&quot;&quot;},&quot;citationTag&quot;:&quot;MENDELEY_CITATION_v3_eyJjaXRhdGlvbklEIjoiTUVOREVMRVlfQ0lUQVRJT05fY2VkOTg5M2UtYzk3Yy00NDcxLThkZmEtNTI5NmE0M2ZhYjlmIiwicHJvcGVydGllcyI6eyJub3RlSW5kZXgiOjB9LCJpc0VkaXRlZCI6ZmFsc2UsIm1hbnVhbE92ZXJyaWRlIjp7ImlzTWFudWFsbHlPdmVycmlkZGVuIjpmYWxzZSwiY2l0ZXByb2NUZXh0IjoiWzYsMjF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&quot;,&quot;citationItems&quot;:[{&quot;id&quot;:&quot;f6bf6552-f6e0-3ff4-a77d-6750f2546b26&quot;,&quot;itemData&quot;:{&quot;type&quot;:&quot;report&quot;,&quot;id&quot;:&quot;f6bf6552-f6e0-3ff4-a77d-6750f2546b26&quot;,&quot;title&quot;:&quot;GOLD Report 2020&quot;,&quot;author&quot;:[{&quot;family&quot;:&quot;Global Initiative for Chronic Obstructive Lung Disease&quot;,&quot;given&quot;:&quot;&quot;,&quot;parse-names&quot;:false,&quot;dropping-particle&quot;:&quot;&quot;,&quot;non-dropping-particle&quot;:&quot;&quot;}],&quot;container-title&quot;:&quot;Global Strategy for the Diagnosis, Management, and Prevention of Chronic Obstructive Pulmonary Disease: 2020 Report&quot;,&quot;URL&quot;:&quot;https://goldcopd.org/wp-content/uploads/2019/12/GOLD-2020-FINAL-ver1.2-03Dec19_WMV.pdf&quot;,&quot;issued&quot;:{&quot;date-parts&quot;:[[2020]]},&quot;number-of-pages&quot;:&quot;141&quot;,&quot;abstract&quot;:&quot;Global Strategy for the Diagnosis, Management, and Prevention of Chronic Obstructive Pulmonary Disease&quot;,&quot;container-title-short&quot;:&quot;&quot;},&quot;isTemporary&quot;:false},{&quot;id&quot;:&quot;bb0e04a4-6cae-352b-9eec-3cdfc40775b2&quot;,&quot;itemData&quot;:{&quot;type&quot;:&quot;article-journal&quot;,&quot;id&quot;:&quot;bb0e04a4-6cae-352b-9eec-3cdfc40775b2&quot;,&quot;title&quot;:&quot;Recommendations for epidemiological studies on COPD&quot;,&quot;author&quot;:[{&quot;family&quot;:&quot;Bakke&quot;,&quot;given&quot;:&quot;P. S.&quot;,&quot;parse-names&quot;:false,&quot;dropping-particle&quot;:&quot;&quot;,&quot;non-dropping-particle&quot;:&quot;&quot;},{&quot;family&quot;:&quot;Rönmark&quot;,&quot;given&quot;:&quot;E.&quot;,&quot;parse-names&quot;:false,&quot;dropping-particle&quot;:&quot;&quot;,&quot;non-dropping-particle&quot;:&quot;&quot;},{&quot;family&quot;:&quot;Eagan&quot;,&quot;given&quot;:&quot;T.&quot;,&quot;parse-names&quot;:false,&quot;dropping-particle&quot;:&quot;&quot;,&quot;non-dropping-particle&quot;:&quot;&quot;},{&quot;family&quot;:&quot;Pistelli&quot;,&quot;given&quot;:&quot;F.&quot;,&quot;parse-names&quot;:false,&quot;dropping-particle&quot;:&quot;&quot;,&quot;non-dropping-particle&quot;:&quot;&quot;},{&quot;family&quot;:&quot;Annesi-Maesano&quot;,&quot;given&quot;:&quot;I.&quot;,&quot;parse-names&quot;:false,&quot;dropping-particle&quot;:&quot;&quot;,&quot;non-dropping-particle&quot;:&quot;&quot;},{&quot;family&quot;:&quot;Maly&quot;,&quot;given&quot;:&quot;M.&quot;,&quot;parse-names&quot;:false,&quot;dropping-particle&quot;:&quot;&quot;,&quot;non-dropping-particle&quot;:&quot;&quot;},{&quot;family&quot;:&quot;Meren&quot;,&quot;given&quot;:&quot;M.&quot;,&quot;parse-names&quot;:false,&quot;dropping-particle&quot;:&quot;&quot;,&quot;non-dropping-particle&quot;:&quot;&quot;},{&quot;family&quot;:&quot;Vermeire&quot;,&quot;given&quot;:&quot;P.&quot;,&quot;parse-names&quot;:false,&quot;dropping-particle&quot;:&quot;&quot;,&quot;non-dropping-particle&quot;:&quot;&quot;},{&quot;family&quot;:&quot;Vestbo&quot;,&quot;given&quot;:&quot;J.&quot;,&quot;parse-names&quot;:false,&quot;dropping-particle&quot;:&quot;&quot;,&quot;non-dropping-particle&quot;:&quot;&quot;},{&quot;family&quot;:&quot;Viegi&quot;,&quot;given&quot;:&quot;G.&quot;,&quot;parse-names&quot;:false,&quot;dropping-particle&quot;:&quot;&quot;,&quot;non-dropping-particle&quot;:&quot;&quot;},{&quot;family&quot;:&quot;Zielinski&quot;,&quot;given&quot;:&quot;J.&quot;,&quot;parse-names&quot;:false,&quot;dropping-particle&quot;:&quot;&quot;,&quot;non-dropping-particle&quot;:&quot;&quot;},{&quot;family&quot;:&quot;Lundbäck&quot;,&quot;given&quot;:&quot;B.&quot;,&quot;parse-names&quot;:false,&quot;dropping-particle&quot;:&quot;&quot;,&quot;non-dropping-particle&quot;:&quot;&quot;}],&quot;container-title&quot;:&quot;European Respiratory Journal&quot;,&quot;DOI&quot;:&quot;10.1183/09031936.00193809&quot;,&quot;ISSN&quot;:&quot;09031936&quot;,&quot;PMID&quot;:&quot;22130763&quot;,&quot;issued&quot;:{&quot;date-parts&quot;:[[2011]]},&quot;page&quot;:&quot;1261-1277&quot;,&quot;abstract&quot;:&quot;The prevalence of chronic obstructive pulmonary disease (COPD) has been extensively studied, especially in Western Europe and North America. Few of these data are directly comparable because of differences between the surveys regarding composition of study populations, diagnostic criteria of the disease and definitions of the risk factors. Few community studies have examined phenotypes of COPD and included other ways of characterising the disease beyond that of spirometry. The objective of the present Task Force report is to present recommendations for the performance of general population studies in COPD in order to facilitate comparable and valid estimates on COPD prevalence by various risk factors. Diagnostic criteria in epidemiological settings, and standardised methods to examine the disease and its potential risk factors are discussed. The paper also offers practical advice for planning and performing an epidemiological study on COPD. The main message of the paper is that thorough planning is worth half the study. It is crucial to stick to standardised methods and good quality control during sampling. We recommend collecting biological markers, depending on the specific objectives of the study. Finally, studies of COPD in the population at large should assess various phenotypes of the disease.&quot;,&quot;issue&quot;:&quot;6&quot;,&quot;volume&quot;:&quot;38&quot;,&quot;container-title-short&quot;:&quot;&quot;},&quot;isTemporary&quot;:false}]},{&quot;citationID&quot;:&quot;MENDELEY_CITATION_9066b094-20b9-4dd2-942c-bf5f46cc1c0c&quot;,&quot;properties&quot;:{&quot;noteIndex&quot;:0},&quot;isEdited&quot;:false,&quot;manualOverride&quot;:{&quot;isManuallyOverridden&quot;:false,&quot;citeprocText&quot;:&quot;[207]&quot;,&quot;manualOverrideText&quot;:&quot;&quot;},&quot;citationTag&quot;:&quot;MENDELEY_CITATION_v3_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&quot;,&quot;citationItems&quot;:[{&quot;id&quot;:&quot;8d4a1b71-0daf-3535-8643-d180647f0465&quot;,&quot;itemData&quot;:{&quot;type&quot;:&quot;article&quot;,&quot;id&quot;:&quot;8d4a1b71-0daf-3535-8643-d180647f0465&quot;,&quot;title&quot;:&quot;SAS Version 9.4&quot;,&quot;author&quot;:[{&quot;family&quot;:&quot;SAS Institute&quot;,&quot;given&quot;:&quot;&quot;,&quot;parse-names&quot;:false,&quot;dropping-particle&quot;:&quot;&quot;,&quot;non-dropping-particle&quot;:&quot;&quot;}],&quot;issued&quot;:{&quot;date-parts&quot;:[[2016]]},&quot;publisher-place&quot;:&quot;Cary, NC, USA&quot;,&quot;publisher&quot;:&quot;SAS Institute&quot;,&quot;container-title-short&quot;:&quot;&quot;},&quot;isTemporary&quot;:false}]},{&quot;citationID&quot;:&quot;MENDELEY_CITATION_c7a961e9-c3df-47a5-a903-344574fbbcce&quot;,&quot;properties&quot;:{&quot;noteIndex&quot;:0},&quot;isEdited&quot;:false,&quot;manualOverride&quot;:{&quot;isManuallyOverridden&quot;:false,&quot;citeprocText&quot;:&quot;[132]&quot;,&quot;manualOverrideText&quot;:&quot;&quot;},&quot;citationTag&quot;:&quot;MENDELEY_CITATION_v3_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&quot;,&quot;citationItems&quot;:[{&quot;id&quot;:&quot;31af522d-5e00-3e3f-a9f9-b9bdfb73a29a&quot;,&quot;itemData&quot;:{&quot;type&quot;:&quot;article&quot;,&quot;id&quot;:&quot;31af522d-5e00-3e3f-a9f9-b9bdfb73a29a&quot;,&quot;title&quot;:&quot;RStudio: Integrated Development Environment for R&quot;,&quot;author&quot;:[{&quot;family&quot;:&quot;RStudio Team&quot;,&quot;given&quot;:&quot;&quot;,&quot;parse-names&quot;:false,&quot;dropping-particle&quot;:&quot;&quot;,&quot;non-dropping-particle&quot;:&quot;&quot;}],&quot;number&quot;:&quot;2021.09.2&quot;,&quot;issued&quot;:{&quot;date-parts&quot;:[[2020]]},&quot;publisher-place&quot;:&quot;Boston, MA, USA&quot;,&quot;publisher&quot;:&quot;RStudio, Inc.&quot;,&quot;container-title-short&quot;:&quot;&quot;},&quot;isTemporary&quot;:false}]},{&quot;citationID&quot;:&quot;MENDELEY_CITATION_11111411-a410-4e99-a3ae-cc8f84eebddc&quot;,&quot;properties&quot;:{&quot;noteIndex&quot;:0},&quot;isEdited&quot;:false,&quot;manualOverride&quot;:{&quot;isManuallyOverridden&quot;:false,&quot;citeprocText&quot;:&quot;[133]&quot;,&quot;manualOverrideText&quot;:&quot;&quot;},&quot;citationTag&quot;:&quot;MENDELEY_CITATION_v3_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&quot;,&quot;citationItems&quot;:[{&quot;id&quot;:&quot;d6f70ed0-456f-37c1-97f8-ca34de1881d8&quot;,&quot;itemData&quot;:{&quot;type&quot;:&quot;article&quot;,&quot;id&quot;:&quot;d6f70ed0-456f-37c1-97f8-ca34de1881d8&quot;,&quot;title&quot;:&quot;R: A Language and Environment for Statistical Computing&quot;,&quot;author&quot;:[{&quot;family&quot;:&quot;R Core Team&quot;,&quot;given&quot;:&quot;&quot;,&quot;parse-names&quot;:false,&quot;dropping-particle&quot;:&quot;&quot;,&quot;non-dropping-particle&quot;:&quot;&quot;}],&quot;number&quot;:&quot;4.0.3&quot;,&quot;URL&quot;:&quot;https://www.r-project.org/&quot;,&quot;issued&quot;:{&quot;date-parts&quot;:[[2020]]},&quot;publisher-place&quot;:&quot;Vienna, Austria&quot;,&quot;container-title-short&quot;:&quot;&quot;},&quot;isTemporary&quot;:false}]},{&quot;citationID&quot;:&quot;MENDELEY_CITATION_8879d48a-30cd-4abe-bc66-53733b773413&quot;,&quot;properties&quot;:{&quot;noteIndex&quot;:0},&quot;isEdited&quot;:false,&quot;manualOverride&quot;:{&quot;isManuallyOverridden&quot;:false,&quot;citeprocText&quot;:&quot;[208]&quot;,&quot;manualOverrideText&quot;:&quot;&quot;},&quot;citationTag&quot;:&quot;MENDELEY_CITATION_v3_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&quot;,&quot;citationItems&quot;:[{&quot;id&quot;:&quot;6993056d-84ec-3986-8aed-e0018bb92508&quot;,&quot;itemData&quot;:{&quot;type&quot;:&quot;article-journal&quot;,&quot;id&quot;:&quot;6993056d-84ec-3986-8aed-e0018bb92508&quot;,&quot;title&quot;:&quot;The Kolmogorov-Smirnov Test for Goodness of Fit&quot;,&quot;author&quot;:[{&quot;family&quot;:&quot;Massey&quot;,&quot;given&quot;:&quot;Frank J.&quot;,&quot;parse-names&quot;:false,&quot;dropping-particle&quot;:&quot;&quot;,&quot;non-dropping-particle&quot;:&quot;&quot;}],&quot;container-title&quot;:&quot;Journal of the American Statistical Association&quot;,&quot;container-title-short&quot;:&quot;J Am Stat Assoc&quot;,&quot;accessed&quot;:{&quot;date-parts&quot;:[[2025,1,16]]},&quot;DOI&quot;:&quot;10.2307/2280095&quot;,&quot;ISSN&quot;:&quot;01621459&quot;,&quot;issued&quot;:{&quot;date-parts&quot;:[[1951,3]]},&quot;page&quot;:&quot;68&quot;,&quot;abstract&quot;:&quot;The test is based on the maximum difference between an empirical and a hypothetical cumulative distribution. Percentage points are tabled, and a lower bound to the power function is charted. Confidence limits for a cumulative distribution are described. Examples are given. Indications that the test is superior to the chi-square test are cited.&quot;,&quot;publisher&quot;:&quot;JSTOR&quot;,&quot;issue&quot;:&quot;253&quot;,&quot;volume&quot;:&quot;46&quot;},&quot;isTemporary&quot;:false}]},{&quot;citationID&quot;:&quot;MENDELEY_CITATION_078be9bf-8f07-4968-b0a3-b6c07a6ce36f&quot;,&quot;properties&quot;:{&quot;noteIndex&quot;:0},&quot;isEdited&quot;:false,&quot;manualOverride&quot;:{&quot;isManuallyOverridden&quot;:false,&quot;citeprocText&quot;:&quot;[173]&quot;,&quot;manualOverrideText&quot;:&quot;&quot;},&quot;citationTag&quot;:&quot;MENDELEY_CITATION_v3_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&quot;,&quot;citationItems&quot;:[{&quot;id&quot;:&quot;b81084c0-7771-36a7-bf4f-9f65e2291443&quot;,&quot;itemData&quot;:{&quot;type&quot;:&quot;article-journal&quot;,&quot;id&quot;:&quot;b81084c0-7771-36a7-bf4f-9f65e2291443&quot;,&quot;title&quot;:&quot;mice : Multivariate Imputation by Chained Equations in R&quot;,&quot;author&quot;:[{&quot;family&quot;:&quot;Buuren&quot;,&quot;given&quot;:&quot;Stef&quot;,&quot;parse-names&quot;:false,&quot;dropping-particle&quot;:&quot;van&quot;,&quot;non-dropping-particle&quot;:&quot;&quot;},{&quot;family&quot;:&quot;Groothuis-Oudshoorn&quot;,&quot;given&quot;:&quot;Karin&quot;,&quot;parse-names&quot;:false,&quot;dropping-particle&quot;:&quot;&quot;,&quot;non-dropping-particle&quot;:&quot;&quot;}],&quot;container-title&quot;:&quot;Journal of Statistical Software&quot;,&quot;container-title-short&quot;:&quot;J Stat Softw&quot;,&quot;DOI&quot;:&quot;10.18637/jss.v045.i03&quot;,&quot;ISSN&quot;:&quot;1548-7660&quot;,&quot;issued&quot;:{&quot;date-parts&quot;:[[2011]]},&quot;page&quot;:&quot;1-67&quot;,&quot;issue&quot;:&quot;3&quot;,&quot;volume&quot;:&quot;45&quot;},&quot;isTemporary&quot;:false}]},{&quot;citationID&quot;:&quot;MENDELEY_CITATION_ea7c961f-b860-4731-b1a9-5dbd10be86eb&quot;,&quot;properties&quot;:{&quot;noteIndex&quot;:0},&quot;isEdited&quot;:false,&quot;manualOverride&quot;:{&quot;isManuallyOverridden&quot;:false,&quot;citeprocText&quot;:&quot;[209]&quot;,&quot;manualOverrideText&quot;:&quot;&quot;},&quot;citationTag&quot;:&quot;MENDELEY_CITATION_v3_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&quot;,&quot;citationItems&quot;:[{&quot;id&quot;:&quot;7240944c-99f7-3899-b16e-888fb3242810&quot;,&quot;itemData&quot;:{&quot;type&quot;:&quot;article-journal&quot;,&quot;id&quot;:&quot;7240944c-99f7-3899-b16e-888fb3242810&quot;,&quot;title&quot;:&quot;Multiple imputation for missing data in epidemiological and clinical research: potential and pitfalls.&quot;,&quot;author&quot;:[{&quot;family&quot;:&quot;Sterne&quot;,&quot;given&quot;:&quot;Jonathan A C&quot;,&quot;parse-names&quot;:false,&quot;dropping-particle&quot;:&quot;&quot;,&quot;non-dropping-particle&quot;:&quot;&quot;},{&quot;family&quot;:&quot;White&quot;,&quot;given&quot;:&quot;Ian R&quot;,&quot;parse-names&quot;:false,&quot;dropping-particle&quot;:&quot;&quot;,&quot;non-dropping-particle&quot;:&quot;&quot;},{&quot;family&quot;:&quot;Carlin&quot;,&quot;given&quot;:&quot;John B&quot;,&quot;parse-names&quot;:false,&quot;dropping-particle&quot;:&quot;&quot;,&quot;non-dropping-particle&quot;:&quot;&quot;},{&quot;family&quot;:&quot;Spratt&quot;,&quot;given&quot;:&quot;Michael&quot;,&quot;parse-names&quot;:false,&quot;dropping-particle&quot;:&quot;&quot;,&quot;non-dropping-particle&quot;:&quot;&quot;},{&quot;family&quot;:&quot;Royston&quot;,&quot;given&quot;:&quot;Patrick&quot;,&quot;parse-names&quot;:false,&quot;dropping-particle&quot;:&quot;&quot;,&quot;non-dropping-particle&quot;:&quot;&quot;},{&quot;family&quot;:&quot;Kenward&quot;,&quot;given&quot;:&quot;Michael G&quot;,&quot;parse-names&quot;:false,&quot;dropping-particle&quot;:&quot;&quot;,&quot;non-dropping-particle&quot;:&quot;&quot;},{&quot;family&quot;:&quot;Wood&quot;,&quot;given&quot;:&quot;Angela M&quot;,&quot;parse-names&quot;:false,&quot;dropping-particle&quot;:&quot;&quot;,&quot;non-dropping-particle&quot;:&quot;&quot;},{&quot;family&quot;:&quot;Carpenter&quot;,&quot;given&quot;:&quot;James R&quot;,&quot;parse-names&quot;:false,&quot;dropping-particle&quot;:&quot;&quot;,&quot;non-dropping-particle&quot;:&quot;&quot;}],&quot;container-title&quot;:&quot;BMJ (Clinical research ed.)&quot;,&quot;container-title-short&quot;:&quot;BMJ&quot;,&quot;DOI&quot;:&quot;10.1136/bmj.b2393&quot;,&quot;ISSN&quot;:&quot;1756-1833&quot;,&quot;PMID&quot;:&quot;19564179&quot;,&quot;URL&quot;:&quot;http://www.ncbi.nlm.nih.gov/pubmed/19564179&quot;,&quot;issued&quot;:{&quot;date-parts&quot;:[[2009,6,29]]},&quot;page&quot;:&quot;b2393&quot;,&quot;abstract&quot;:&quot;Most studies have some missing data. Jonathan Sterne and colleagues describe the appropriate use and reporting of the multiple imputation approach to dealing with them&quot;,&quot;issue&quot;:&quot;7713&quot;,&quot;volume&quot;:&quot;338&quot;},&quot;isTemporary&quot;:false}]},{&quot;citationID&quot;:&quot;MENDELEY_CITATION_ab06299e-d3ac-4ade-acca-03e208fddcb2&quot;,&quot;properties&quot;:{&quot;noteIndex&quot;:0},&quot;isEdited&quot;:false,&quot;manualOverride&quot;:{&quot;isManuallyOverridden&quot;:false,&quot;citeprocText&quot;:&quot;[176]&quot;,&quot;manualOverrideText&quot;:&quot;&quot;},&quot;citationTag&quot;:&quot;MENDELEY_CITATION_v3_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&quot;,&quot;citationItems&quot;:[{&quot;id&quot;:&quot;65100776-214c-3566-b3ad-fe29d3a8b6c0&quot;,&quot;itemData&quot;:{&quot;type&quot;:&quot;article-journal&quot;,&quot;id&quot;:&quot;65100776-214c-3566-b3ad-fe29d3a8b6c0&quot;,&quot;title&quot;:&quot;Multiple Imputation for Nonresponse in Surveys&quot;,&quot;author&quot;:[{&quot;family&quot;:&quot;Rubin&quot;,&quot;given&quot;:&quot;Donald B.&quot;,&quot;parse-names&quot;:false,&quot;dropping-particle&quot;:&quot;&quot;,&quot;non-dropping-particle&quot;:&quot;&quot;}],&quot;collection-title&quot;:&quot;Wiley Series in Probability and Statistics&quot;,&quot;accessed&quot;:{&quot;date-parts&quot;:[[2024,7,3]]},&quot;DOI&quot;:&quot;10.1002/9780470316696&quot;,&quot;ISBN&quot;:&quot;9780471087052&quot;,&quot;URL&quot;:&quot;https://onlinelibrary.wiley.com/doi/book/10.1002/9780470316696&quot;,&quot;issued&quot;:{&quot;date-parts&quot;:[[1987,6,9]]},&quot;publisher&quot;:&quot;Wiley&quot;,&quot;container-title-short&quot;:&quot;&quot;},&quot;isTemporary&quot;:false}]},{&quot;citationID&quot;:&quot;MENDELEY_CITATION_93eb508a-55ec-4e8d-8abe-c1301170f994&quot;,&quot;properties&quot;:{&quot;noteIndex&quot;:0},&quot;isEdited&quot;:false,&quot;manualOverride&quot;:{&quot;isManuallyOverridden&quot;:false,&quot;citeprocText&quot;:&quot;[210]&quot;,&quot;manualOverrideText&quot;:&quot;&quot;},&quot;citationTag&quot;:&quot;MENDELEY_CITATION_v3_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&quot;,&quot;citationItems&quot;:[{&quot;id&quot;:&quot;2fae1570-572e-311e-befb-5030a0494150&quot;,&quot;itemData&quot;:{&quot;type&quot;:&quot;article-journal&quot;,&quot;id&quot;:&quot;2fae1570-572e-311e-befb-5030a0494150&quot;,&quot;title&quot;:&quot;A General Coefficient of Similarity and Some of Its Properties&quot;,&quot;author&quot;:[{&quot;family&quot;:&quot;Gower&quot;,&quot;given&quot;:&quot;J. C.&quot;,&quot;parse-names&quot;:false,&quot;dropping-particle&quot;:&quot;&quot;,&quot;non-dropping-particle&quot;:&quot;&quot;}],&quot;container-title&quot;:&quot;Biometrics&quot;,&quot;container-title-short&quot;:&quot;Biometrics&quot;,&quot;accessed&quot;:{&quot;date-parts&quot;:[[2024,12,16]]},&quot;DOI&quot;:&quot;10.2307/2528823&quot;,&quot;ISSN&quot;:&quot;0006341X&quot;,&quot;issued&quot;:{&quot;date-parts&quot;:[[1971,12]]},&quot;page&quot;:&quot;857&quot;,&quot;abstract&quot;:&quot;A general coefficient measuring the similarity between two sampling units is defined. The matrix of similarities between all pairs of sample units is shown to be positive semi- definite (except possibly when there are missing values). This is important for the multi- dimensional Euclidean representation of the sample and also establishes some inequalities amongst the similarities relating three individuals. The definition is extended to cope with a hierarchy of characters.&quot;,&quot;publisher&quot;:&quot;JSTOR&quot;,&quot;issue&quot;:&quot;4&quot;,&quot;volume&quot;:&quot;27&quot;},&quot;isTemporary&quot;:false}]},{&quot;citationID&quot;:&quot;MENDELEY_CITATION_257fdfe0-a991-4575-ba9b-cc6407789bec&quot;,&quot;properties&quot;:{&quot;noteIndex&quot;:0},&quot;isEdited&quot;:false,&quot;manualOverride&quot;:{&quot;isManuallyOverridden&quot;:false,&quot;citeprocText&quot;:&quot;[211]&quot;,&quot;manualOverrideText&quot;:&quot;&quot;},&quot;citationTag&quot;:&quot;MENDELEY_CITATION_v3_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&quot;,&quot;citationItems&quot;:[{&quot;id&quot;:&quot;5b0182d5-523e-34f5-82e4-2767b4a0f79f&quot;,&quot;itemData&quot;:{&quot;type&quot;:&quot;article-journal&quot;,&quot;id&quot;:&quot;5b0182d5-523e-34f5-82e4-2767b4a0f79f&quot;,&quot;title&quot;:&quot;A Framework for Multiple Imputation in Cluster Analysis&quot;,&quot;author&quot;:[{&quot;family&quot;:&quot;Basagaña&quot;,&quot;given&quot;:&quot;Xavier&quot;,&quot;parse-names&quot;:false,&quot;dropping-particle&quot;:&quot;&quot;,&quot;non-dropping-particle&quot;:&quot;&quot;},{&quot;family&quot;:&quot;Barrera-Gómez&quot;,&quot;given&quot;:&quot;Jose&quot;,&quot;parse-names&quot;:false,&quot;dropping-particle&quot;:&quot;&quot;,&quot;non-dropping-particle&quot;:&quot;&quot;},{&quot;family&quot;:&quot;Benet&quot;,&quot;given&quot;:&quot;Marta&quot;,&quot;parse-names&quot;:false,&quot;dropping-particle&quot;:&quot;&quot;,&quot;non-dropping-particle&quot;:&quot;&quot;},{&quot;family&quot;:&quot;Antó&quot;,&quot;given&quot;:&quot;Josep M.&quot;,&quot;parse-names&quot;:false,&quot;dropping-particle&quot;:&quot;&quot;,&quot;non-dropping-particle&quot;:&quot;&quot;},{&quot;family&quot;:&quot;Garcia-Aymerich&quot;,&quot;given&quot;:&quot;Judith&quot;,&quot;parse-names&quot;:false,&quot;dropping-particle&quot;:&quot;&quot;,&quot;non-dropping-particle&quot;:&quot;&quot;}],&quot;container-title&quot;:&quot;American Journal of Epidemiology&quot;,&quot;container-title-short&quot;:&quot;Am J Epidemiol&quot;,&quot;accessed&quot;:{&quot;date-parts&quot;:[[2024,6,6]]},&quot;DOI&quot;:&quot;10.1093/AJE/KWS289&quot;,&quot;ISSN&quot;:&quot;0002-9262&quot;,&quot;PMID&quot;:&quot;23445902&quot;,&quot;URL&quot;:&quot;https://dx.doi.org/10.1093/aje/kws289&quot;,&quot;issued&quot;:{&quot;date-parts&quot;:[[2013,4,1]]},&quot;page&quot;:&quot;718-725&quot;,&quot;abstract&quot;:&quot;Multiple imputation is a common technique for dealing with missing values and is mostly applied in regression settings. Its application in cluster analysis problems, where the main objective is to classify individuals into homogenous groups, involves several difficulties which are not well characterized in the current literature. In this paper, we propose a framework for applying multiple imputation to cluster analysis when the original data contain missing values. The proposed framework incorporates the selection of the final number of clusters and a variable reduction procedure, which may be needed in data sets where the ratio of the number of persons to the number of variables is small. We suggest some ways to report how the uncertainty due to multiple imputation of missing data affects the cluster analysis outcomes - namely the final number of clusters, the results of a variable selection procedure (if applied), and the assignment of individuals to clusters. The proposed framework is illustrated with data from the Phenotype and Course of Chronic Obstructive Pulmonary Disease (PAC-COPD) Study (Spain, 2004-2008), which aimed to classify patients with chronic obstructive pulmonary disease into different disease subtypes. © 2013 The Author.&quot;,&quot;publisher&quot;:&quot;Oxford Academic&quot;,&quot;issue&quot;:&quot;7&quot;,&quot;volume&quot;:&quot;177&quot;},&quot;isTemporary&quot;:false}]},{&quot;citationID&quot;:&quot;MENDELEY_CITATION_032ca4f4-e4f0-45b9-831d-f576bd9a13b4&quot;,&quot;properties&quot;:{&quot;noteIndex&quot;:0},&quot;isEdited&quot;:false,&quot;manualOverride&quot;:{&quot;isManuallyOverridden&quot;:false,&quot;citeprocText&quot;:&quot;[211]&quot;,&quot;manualOverrideText&quot;:&quot;&quot;},&quot;citationTag&quot;:&quot;MENDELEY_CITATION_v3_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&quot;,&quot;citationItems&quot;:[{&quot;id&quot;:&quot;5b0182d5-523e-34f5-82e4-2767b4a0f79f&quot;,&quot;itemData&quot;:{&quot;type&quot;:&quot;article-journal&quot;,&quot;id&quot;:&quot;5b0182d5-523e-34f5-82e4-2767b4a0f79f&quot;,&quot;title&quot;:&quot;A Framework for Multiple Imputation in Cluster Analysis&quot;,&quot;author&quot;:[{&quot;family&quot;:&quot;Basagaña&quot;,&quot;given&quot;:&quot;Xavier&quot;,&quot;parse-names&quot;:false,&quot;dropping-particle&quot;:&quot;&quot;,&quot;non-dropping-particle&quot;:&quot;&quot;},{&quot;family&quot;:&quot;Barrera-Gómez&quot;,&quot;given&quot;:&quot;Jose&quot;,&quot;parse-names&quot;:false,&quot;dropping-particle&quot;:&quot;&quot;,&quot;non-dropping-particle&quot;:&quot;&quot;},{&quot;family&quot;:&quot;Benet&quot;,&quot;given&quot;:&quot;Marta&quot;,&quot;parse-names&quot;:false,&quot;dropping-particle&quot;:&quot;&quot;,&quot;non-dropping-particle&quot;:&quot;&quot;},{&quot;family&quot;:&quot;Antó&quot;,&quot;given&quot;:&quot;Josep M.&quot;,&quot;parse-names&quot;:false,&quot;dropping-particle&quot;:&quot;&quot;,&quot;non-dropping-particle&quot;:&quot;&quot;},{&quot;family&quot;:&quot;Garcia-Aymerich&quot;,&quot;given&quot;:&quot;Judith&quot;,&quot;parse-names&quot;:false,&quot;dropping-particle&quot;:&quot;&quot;,&quot;non-dropping-particle&quot;:&quot;&quot;}],&quot;container-title&quot;:&quot;American Journal of Epidemiology&quot;,&quot;container-title-short&quot;:&quot;Am J Epidemiol&quot;,&quot;accessed&quot;:{&quot;date-parts&quot;:[[2024,6,6]]},&quot;DOI&quot;:&quot;10.1093/AJE/KWS289&quot;,&quot;ISSN&quot;:&quot;0002-9262&quot;,&quot;PMID&quot;:&quot;23445902&quot;,&quot;URL&quot;:&quot;https://dx.doi.org/10.1093/aje/kws289&quot;,&quot;issued&quot;:{&quot;date-parts&quot;:[[2013,4,1]]},&quot;page&quot;:&quot;718-725&quot;,&quot;abstract&quot;:&quot;Multiple imputation is a common technique for dealing with missing values and is mostly applied in regression settings. Its application in cluster analysis problems, where the main objective is to classify individuals into homogenous groups, involves several difficulties which are not well characterized in the current literature. In this paper, we propose a framework for applying multiple imputation to cluster analysis when the original data contain missing values. The proposed framework incorporates the selection of the final number of clusters and a variable reduction procedure, which may be needed in data sets where the ratio of the number of persons to the number of variables is small. We suggest some ways to report how the uncertainty due to multiple imputation of missing data affects the cluster analysis outcomes - namely the final number of clusters, the results of a variable selection procedure (if applied), and the assignment of individuals to clusters. The proposed framework is illustrated with data from the Phenotype and Course of Chronic Obstructive Pulmonary Disease (PAC-COPD) Study (Spain, 2004-2008), which aimed to classify patients with chronic obstructive pulmonary disease into different disease subtypes. © 2013 The Author.&quot;,&quot;publisher&quot;:&quot;Oxford Academic&quot;,&quot;issue&quot;:&quot;7&quot;,&quot;volume&quot;:&quot;177&quot;},&quot;isTemporary&quot;:false}]},{&quot;citationID&quot;:&quot;MENDELEY_CITATION_912afcb7-6bfe-4599-a2e7-4a09cefdd774&quot;,&quot;properties&quot;:{&quot;noteIndex&quot;:0},&quot;isEdited&quot;:false,&quot;manualOverride&quot;:{&quot;isManuallyOverridden&quot;:false,&quot;citeprocText&quot;:&quot;[211]&quot;,&quot;manualOverrideText&quot;:&quot;&quot;},&quot;citationTag&quot;:&quot;MENDELEY_CITATION_v3_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&quot;,&quot;citationItems&quot;:[{&quot;id&quot;:&quot;5b0182d5-523e-34f5-82e4-2767b4a0f79f&quot;,&quot;itemData&quot;:{&quot;type&quot;:&quot;article-journal&quot;,&quot;id&quot;:&quot;5b0182d5-523e-34f5-82e4-2767b4a0f79f&quot;,&quot;title&quot;:&quot;A Framework for Multiple Imputation in Cluster Analysis&quot;,&quot;author&quot;:[{&quot;family&quot;:&quot;Basagaña&quot;,&quot;given&quot;:&quot;Xavier&quot;,&quot;parse-names&quot;:false,&quot;dropping-particle&quot;:&quot;&quot;,&quot;non-dropping-particle&quot;:&quot;&quot;},{&quot;family&quot;:&quot;Barrera-Gómez&quot;,&quot;given&quot;:&quot;Jose&quot;,&quot;parse-names&quot;:false,&quot;dropping-particle&quot;:&quot;&quot;,&quot;non-dropping-particle&quot;:&quot;&quot;},{&quot;family&quot;:&quot;Benet&quot;,&quot;given&quot;:&quot;Marta&quot;,&quot;parse-names&quot;:false,&quot;dropping-particle&quot;:&quot;&quot;,&quot;non-dropping-particle&quot;:&quot;&quot;},{&quot;family&quot;:&quot;Antó&quot;,&quot;given&quot;:&quot;Josep M.&quot;,&quot;parse-names&quot;:false,&quot;dropping-particle&quot;:&quot;&quot;,&quot;non-dropping-particle&quot;:&quot;&quot;},{&quot;family&quot;:&quot;Garcia-Aymerich&quot;,&quot;given&quot;:&quot;Judith&quot;,&quot;parse-names&quot;:false,&quot;dropping-particle&quot;:&quot;&quot;,&quot;non-dropping-particle&quot;:&quot;&quot;}],&quot;container-title&quot;:&quot;American Journal of Epidemiology&quot;,&quot;container-title-short&quot;:&quot;Am J Epidemiol&quot;,&quot;accessed&quot;:{&quot;date-parts&quot;:[[2024,6,6]]},&quot;DOI&quot;:&quot;10.1093/AJE/KWS289&quot;,&quot;ISSN&quot;:&quot;0002-9262&quot;,&quot;PMID&quot;:&quot;23445902&quot;,&quot;URL&quot;:&quot;https://dx.doi.org/10.1093/aje/kws289&quot;,&quot;issued&quot;:{&quot;date-parts&quot;:[[2013,4,1]]},&quot;page&quot;:&quot;718-725&quot;,&quot;abstract&quot;:&quot;Multiple imputation is a common technique for dealing with missing values and is mostly applied in regression settings. Its application in cluster analysis problems, where the main objective is to classify individuals into homogenous groups, involves several difficulties which are not well characterized in the current literature. In this paper, we propose a framework for applying multiple imputation to cluster analysis when the original data contain missing values. The proposed framework incorporates the selection of the final number of clusters and a variable reduction procedure, which may be needed in data sets where the ratio of the number of persons to the number of variables is small. We suggest some ways to report how the uncertainty due to multiple imputation of missing data affects the cluster analysis outcomes - namely the final number of clusters, the results of a variable selection procedure (if applied), and the assignment of individuals to clusters. The proposed framework is illustrated with data from the Phenotype and Course of Chronic Obstructive Pulmonary Disease (PAC-COPD) Study (Spain, 2004-2008), which aimed to classify patients with chronic obstructive pulmonary disease into different disease subtypes. © 2013 The Author.&quot;,&quot;publisher&quot;:&quot;Oxford Academic&quot;,&quot;issue&quot;:&quot;7&quot;,&quot;volume&quot;:&quot;177&quot;},&quot;isTemporary&quot;:false}]},{&quot;citationID&quot;:&quot;MENDELEY_CITATION_c0442860-a739-41b8-ac81-1b21f4738462&quot;,&quot;properties&quot;:{&quot;noteIndex&quot;:0},&quot;isEdited&quot;:false,&quot;manualOverride&quot;:{&quot;isManuallyOverridden&quot;:false,&quot;citeprocText&quot;:&quot;[211]&quot;,&quot;manualOverrideText&quot;:&quot;&quot;},&quot;citationTag&quot;:&quot;MENDELEY_CITATION_v3_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&quot;,&quot;citationItems&quot;:[{&quot;id&quot;:&quot;5b0182d5-523e-34f5-82e4-2767b4a0f79f&quot;,&quot;itemData&quot;:{&quot;type&quot;:&quot;article-journal&quot;,&quot;id&quot;:&quot;5b0182d5-523e-34f5-82e4-2767b4a0f79f&quot;,&quot;title&quot;:&quot;A Framework for Multiple Imputation in Cluster Analysis&quot;,&quot;author&quot;:[{&quot;family&quot;:&quot;Basagaña&quot;,&quot;given&quot;:&quot;Xavier&quot;,&quot;parse-names&quot;:false,&quot;dropping-particle&quot;:&quot;&quot;,&quot;non-dropping-particle&quot;:&quot;&quot;},{&quot;family&quot;:&quot;Barrera-Gómez&quot;,&quot;given&quot;:&quot;Jose&quot;,&quot;parse-names&quot;:false,&quot;dropping-particle&quot;:&quot;&quot;,&quot;non-dropping-particle&quot;:&quot;&quot;},{&quot;family&quot;:&quot;Benet&quot;,&quot;given&quot;:&quot;Marta&quot;,&quot;parse-names&quot;:false,&quot;dropping-particle&quot;:&quot;&quot;,&quot;non-dropping-particle&quot;:&quot;&quot;},{&quot;family&quot;:&quot;Antó&quot;,&quot;given&quot;:&quot;Josep M.&quot;,&quot;parse-names&quot;:false,&quot;dropping-particle&quot;:&quot;&quot;,&quot;non-dropping-particle&quot;:&quot;&quot;},{&quot;family&quot;:&quot;Garcia-Aymerich&quot;,&quot;given&quot;:&quot;Judith&quot;,&quot;parse-names&quot;:false,&quot;dropping-particle&quot;:&quot;&quot;,&quot;non-dropping-particle&quot;:&quot;&quot;}],&quot;container-title&quot;:&quot;American Journal of Epidemiology&quot;,&quot;container-title-short&quot;:&quot;Am J Epidemiol&quot;,&quot;accessed&quot;:{&quot;date-parts&quot;:[[2024,6,6]]},&quot;DOI&quot;:&quot;10.1093/AJE/KWS289&quot;,&quot;ISSN&quot;:&quot;0002-9262&quot;,&quot;PMID&quot;:&quot;23445902&quot;,&quot;URL&quot;:&quot;https://dx.doi.org/10.1093/aje/kws289&quot;,&quot;issued&quot;:{&quot;date-parts&quot;:[[2013,4,1]]},&quot;page&quot;:&quot;718-725&quot;,&quot;abstract&quot;:&quot;Multiple imputation is a common technique for dealing with missing values and is mostly applied in regression settings. Its application in cluster analysis problems, where the main objective is to classify individuals into homogenous groups, involves several difficulties which are not well characterized in the current literature. In this paper, we propose a framework for applying multiple imputation to cluster analysis when the original data contain missing values. The proposed framework incorporates the selection of the final number of clusters and a variable reduction procedure, which may be needed in data sets where the ratio of the number of persons to the number of variables is small. We suggest some ways to report how the uncertainty due to multiple imputation of missing data affects the cluster analysis outcomes - namely the final number of clusters, the results of a variable selection procedure (if applied), and the assignment of individuals to clusters. The proposed framework is illustrated with data from the Phenotype and Course of Chronic Obstructive Pulmonary Disease (PAC-COPD) Study (Spain, 2004-2008), which aimed to classify patients with chronic obstructive pulmonary disease into different disease subtypes. © 2013 The Author.&quot;,&quot;publisher&quot;:&quot;Oxford Academic&quot;,&quot;issue&quot;:&quot;7&quot;,&quot;volume&quot;:&quot;177&quot;},&quot;isTemporary&quot;:false}]},{&quot;citationID&quot;:&quot;MENDELEY_CITATION_25013e19-4480-4592-a4d0-1519af05bc13&quot;,&quot;properties&quot;:{&quot;noteIndex&quot;:0},&quot;isEdited&quot;:false,&quot;manualOverride&quot;:{&quot;isManuallyOverridden&quot;:false,&quot;citeprocText&quot;:&quot;[212]&quot;,&quot;manualOverrideText&quot;:&quot;&quot;},&quot;citationTag&quot;:&quot;MENDELEY_CITATION_v3_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&quot;,&quot;citationItems&quot;:[{&quot;id&quot;:&quot;fc4c8667-28a6-35be-ab19-bf1792425bb6&quot;,&quot;itemData&quot;:{&quot;type&quot;:&quot;article&quot;,&quot;id&quot;:&quot;fc4c8667-28a6-35be-ab19-bf1792425bb6&quot;,&quot;title&quot;:&quot;cluster: Cluster Analysis Basics and Extensions&quot;,&quot;author&quot;:[{&quot;family&quot;:&quot;Maechler&quot;,&quot;given&quot;:&quot;Martin&quot;,&quot;parse-names&quot;:false,&quot;dropping-particle&quot;:&quot;&quot;,&quot;non-dropping-particle&quot;:&quot;&quot;},{&quot;family&quot;:&quot;Rousseeuw&quot;,&quot;given&quot;:&quot;Peter&quot;,&quot;parse-names&quot;:false,&quot;dropping-particle&quot;:&quot;&quot;,&quot;non-dropping-particle&quot;:&quot;&quot;},{&quot;family&quot;:&quot;Strufy&quot;,&quot;given&quot;:&quot;Anja&quot;,&quot;parse-names&quot;:false,&quot;dropping-particle&quot;:&quot;&quot;,&quot;non-dropping-particle&quot;:&quot;&quot;},{&quot;family&quot;:&quot;Hubert&quot;,&quot;given&quot;:&quot;Mia&quot;,&quot;parse-names&quot;:false,&quot;dropping-particle&quot;:&quot;&quot;,&quot;non-dropping-particle&quot;:&quot;&quot;},{&quot;family&quot;:&quot;Hornik&quot;,&quot;given&quot;:&quot;Kurt&quot;,&quot;parse-names&quot;:false,&quot;dropping-particle&quot;:&quot;&quot;,&quot;non-dropping-particle&quot;:&quot;&quot;}],&quot;issued&quot;:{&quot;date-parts&quot;:[[2023]]},&quot;publisher&quot;:&quot;R package version 4.0.3&quot;,&quot;container-title-short&quot;:&quot;&quot;},&quot;isTemporary&quot;:false}]},{&quot;citationID&quot;:&quot;MENDELEY_CITATION_776f42f3-6135-4f3b-8375-78d80d737092&quot;,&quot;properties&quot;:{&quot;noteIndex&quot;:0},&quot;isEdited&quot;:false,&quot;manualOverride&quot;:{&quot;isManuallyOverridden&quot;:false,&quot;citeprocText&quot;:&quot;[176]&quot;,&quot;manualOverrideText&quot;:&quot;&quot;},&quot;citationTag&quot;:&quot;MENDELEY_CITATION_v3_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&quot;,&quot;citationItems&quot;:[{&quot;id&quot;:&quot;65100776-214c-3566-b3ad-fe29d3a8b6c0&quot;,&quot;itemData&quot;:{&quot;type&quot;:&quot;article-journal&quot;,&quot;id&quot;:&quot;65100776-214c-3566-b3ad-fe29d3a8b6c0&quot;,&quot;title&quot;:&quot;Multiple Imputation for Nonresponse in Surveys&quot;,&quot;author&quot;:[{&quot;family&quot;:&quot;Rubin&quot;,&quot;given&quot;:&quot;Donald B.&quot;,&quot;parse-names&quot;:false,&quot;dropping-particle&quot;:&quot;&quot;,&quot;non-dropping-particle&quot;:&quot;&quot;}],&quot;collection-title&quot;:&quot;Wiley Series in Probability and Statistics&quot;,&quot;accessed&quot;:{&quot;date-parts&quot;:[[2024,7,3]]},&quot;DOI&quot;:&quot;10.1002/9780470316696&quot;,&quot;ISBN&quot;:&quot;9780471087052&quot;,&quot;URL&quot;:&quot;https://onlinelibrary.wiley.com/doi/book/10.1002/9780470316696&quot;,&quot;issued&quot;:{&quot;date-parts&quot;:[[1987,6,9]]},&quot;publisher&quot;:&quot;Wiley&quot;,&quot;container-title-short&quot;:&quot;&quot;},&quot;isTemporary&quot;:false}]},{&quot;citationID&quot;:&quot;MENDELEY_CITATION_03e553ce-df88-4ac4-8cce-b0b2ec22856e&quot;,&quot;properties&quot;:{&quot;noteIndex&quot;:0},&quot;isEdited&quot;:false,&quot;manualOverride&quot;:{&quot;isManuallyOverridden&quot;:false,&quot;citeprocText&quot;:&quot;[176]&quot;,&quot;manualOverrideText&quot;:&quot;&quot;},&quot;citationTag&quot;:&quot;MENDELEY_CITATION_v3_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&quot;,&quot;citationItems&quot;:[{&quot;id&quot;:&quot;65100776-214c-3566-b3ad-fe29d3a8b6c0&quot;,&quot;itemData&quot;:{&quot;type&quot;:&quot;article-journal&quot;,&quot;id&quot;:&quot;65100776-214c-3566-b3ad-fe29d3a8b6c0&quot;,&quot;title&quot;:&quot;Multiple Imputation for Nonresponse in Surveys&quot;,&quot;author&quot;:[{&quot;family&quot;:&quot;Rubin&quot;,&quot;given&quot;:&quot;Donald B.&quot;,&quot;parse-names&quot;:false,&quot;dropping-particle&quot;:&quot;&quot;,&quot;non-dropping-particle&quot;:&quot;&quot;}],&quot;collection-title&quot;:&quot;Wiley Series in Probability and Statistics&quot;,&quot;accessed&quot;:{&quot;date-parts&quot;:[[2024,7,3]]},&quot;DOI&quot;:&quot;10.1002/9780470316696&quot;,&quot;ISBN&quot;:&quot;9780471087052&quot;,&quot;URL&quot;:&quot;https://onlinelibrary.wiley.com/doi/book/10.1002/9780470316696&quot;,&quot;issued&quot;:{&quot;date-parts&quot;:[[1987,6,9]]},&quot;publisher&quot;:&quot;Wiley&quot;,&quot;container-title-short&quot;:&quot;&quot;},&quot;isTemporary&quot;:false}]},{&quot;citationID&quot;:&quot;MENDELEY_CITATION_2c757461-fe1e-40c1-a43f-8b4e11a54b93&quot;,&quot;properties&quot;:{&quot;noteIndex&quot;:0},&quot;isEdited&quot;:false,&quot;manualOverride&quot;:{&quot;isManuallyOverridden&quot;:false,&quot;citeprocText&quot;:&quot;[213]&quot;,&quot;manualOverrideText&quot;:&quot;&quot;},&quot;citationTag&quot;:&quot;MENDELEY_CITATION_v3_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&quot;,&quot;citationItems&quot;:[{&quot;id&quot;:&quot;f4b13bb1-7301-3052-a613-8ace775d4bff&quot;,&quot;itemData&quot;:{&quot;type&quot;:&quot;article-journal&quot;,&quot;id&quot;:&quot;f4b13bb1-7301-3052-a613-8ace775d4bff&quot;,&quot;title&quot;:&quot;Building Predictive Models in R Using the caret Package&quot;,&quot;author&quot;:[{&quot;family&quot;:&quot;Kuhn&quot;,&quot;given&quot;:&quot;Max&quot;,&quot;parse-names&quot;:false,&quot;dropping-particle&quot;:&quot;&quot;,&quot;non-dropping-particle&quot;:&quot;&quot;}],&quot;container-title&quot;:&quot;Journal of Statistical Software&quot;,&quot;container-title-short&quot;:&quot;J Stat Softw&quot;,&quot;accessed&quot;:{&quot;date-parts&quot;:[[2024,12,31]]},&quot;DOI&quot;:&quot;10.18637/JSS.V028.I05&quot;,&quot;ISSN&quot;:&quot;1548-7660&quot;,&quot;URL&quot;:&quot;https://www.jstatsoft.org/index.php/jss/article/view/v028i05&quot;,&quot;issued&quot;:{&quot;date-parts&quot;:[[2008,11,10]]},&quot;page&quot;:&quot;1-26&quot;,&quot;abstract&quot;:&quot;The caret package, short for classification and regression training, contains numerous tools for developing predictive models using the rich set of models available in R. The package focuses on simplifying model training and tuning across a wide variety of modeling techniques. It also includes methods for pre-processing training data, calculating variable importance, and model visualizations. An example from computational chemistry is used to illustrate the functionality on a real data set and to benchmark the benefits of parallel processing with several types of models.&quot;,&quot;publisher&quot;:&quot;American Statistical Association&quot;,&quot;issue&quot;:&quot;5&quot;,&quot;volume&quot;:&quot;28&quot;},&quot;isTemporary&quot;:false}]},{&quot;citationID&quot;:&quot;MENDELEY_CITATION_df2788d8-fd61-4aaa-9429-4be63fe2cc21&quot;,&quot;properties&quot;:{&quot;noteIndex&quot;:0},&quot;isEdited&quot;:false,&quot;manualOverride&quot;:{&quot;isManuallyOverridden&quot;:false,&quot;citeprocText&quot;:&quot;[201,202,214–216]&quot;,&quot;manualOverrideText&quot;:&quot;&quot;},&quot;citationTag&quot;:&quot;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&quot;,&quot;citationItems&quot;:[{&quot;id&quot;:&quot;bcc822a8-0be5-375e-9671-4a7b81d33b46&quot;,&quot;itemData&quot;:{&quot;type&quot;:&quot;article-journal&quot;,&quot;id&quot;:&quot;bcc822a8-0be5-375e-9671-4a7b81d33b46&quot;,&quot;title&quot;:&quot;Clusters of Comorbidities Based on Validated Objective Measurements and Systemic Inflammation in Patients with Chronic Obstructive Pulmonary Disease&quot;,&quot;author&quot;:[{&quot;family&quot;:&quot;Vanfleteren&quot;,&quot;given&quot;:&quot;Lowie E G W&quot;,&quot;parse-names&quot;:false,&quot;dropping-particle&quot;:&quot;&quot;,&quot;non-dropping-particle&quot;:&quot;&quot;},{&quot;family&quot;:&quot;Spruit&quot;,&quot;given&quot;:&quot;Martijn A&quot;,&quot;parse-names&quot;:false,&quot;dropping-particle&quot;:&quot;&quot;,&quot;non-dropping-particle&quot;:&quot;&quot;},{&quot;family&quot;:&quot;Groenen&quot;,&quot;given&quot;:&quot;Miriam&quot;,&quot;parse-names&quot;:false,&quot;dropping-particle&quot;:&quot;&quot;,&quot;non-dropping-particle&quot;:&quot;&quot;},{&quot;family&quot;:&quot;Gaffron&quot;,&quot;given&quot;:&quot;Swetlana&quot;,&quot;parse-names&quot;:false,&quot;dropping-particle&quot;:&quot;&quot;,&quot;non-dropping-particle&quot;:&quot;&quot;},{&quot;family&quot;:&quot;Empel&quot;,&quot;given&quot;:&quot;Vanessa P M&quot;,&quot;parse-names&quot;:false,&quot;dropping-particle&quot;:&quot;&quot;,&quot;non-dropping-particle&quot;:&quot;Van&quot;},{&quot;family&quot;:&quot;Bruijnzeel&quot;,&quot;given&quot;:&quot;Piet L B&quot;,&quot;parse-names&quot;:false,&quot;dropping-particle&quot;:&quot;&quot;,&quot;non-dropping-particle&quot;:&quot;&quot;},{&quot;family&quot;:&quot;Rutten&quot;,&quot;given&quot;:&quot;Erica P A&quot;,&quot;parse-names&quot;:false,&quot;dropping-particle&quot;:&quot;&quot;,&quot;non-dropping-particle&quot;:&quot;&quot;},{&quot;family&quot;:&quot;Op 't Roodt&quot;,&quot;given&quot;:&quot;Jos&quot;,&quot;parse-names&quot;:false,&quot;dropping-particle&quot;:&quot;&quot;,&quot;non-dropping-particle&quot;:&quot;&quot;},{&quot;family&quot;:&quot;Wouters&quot;,&quot;given&quot;:&quot;Emiel F M&quot;,&quot;parse-names&quot;:false,&quot;dropping-particle&quot;:&quot;&quot;,&quot;non-dropping-particle&quot;:&quot;&quot;},{&quot;family&quot;:&quot;Franssen&quot;,&quot;given&quot;:&quot;Frits M E&quot;,&quot;parse-names&quot;:false,&quot;dropping-particle&quot;:&quot;&quot;,&quot;non-dropping-particle&quot;:&quot;&quot;}],&quot;accessed&quot;:{&quot;date-parts&quot;:[[2024,4,23]]},&quot;DOI&quot;:&quot;10.1164/rccm.201209-1665OC&quot;,&quot;URL&quot;:&quot;www.viscovery.net;&quot;,&quot;abstract&quot;:&quot;Rationale: Comorbidities contribute to disease severity and mortality in patients with chronic obstructive pulmonary disease (COPD). Comorbidities have been studied individually and were mostly based on self-reports. The coexistence of objectively identified comorbid-ities and the role of low-grade systemic inflammation in the patho-physiology of COPD remain to be elucidated. Objectives: To cluster 13 clinically important objectively identified comorbidities, and to characterize the comorbidity clusters in terms of clinical outcomes and systemic inflammation. Methods: A total of 213 patients with COPD (FEV 1 , 51 6 17% predicted ; men, 59%; age, 64 6 7 yr) were included prospectively. Comorbidities were based on well-known cutoffs identified in the peer-reviewed English literature. Systemic inflammatory biomarkers were determined in all patients. Self-organizing maps were used to generate comorbidity clusters. Measurements and Main Results: A total of 97.7% of all patients had one or more comorbidities and 53.5% had four or more comorbid-ities. Five comorbidity clusters were identified: (1) less comorbidity, (2) cardiovascular, (3) cachectic, (4) metabolic, and (5) psychological. Comorbidity clusters differed in health status but were comparable with respect to disease severity. An increased inflammatory state was observed only for tumor necrosis factor (TNF) receptors in the metabolic cluster (geometric mean [lower and upper limit]; TNF-R1, 2,377 [1,850, 3,055] pg/ml, confidence, 98.5%; TNF-R2, 4,080 [3,115, 5,344] pg/ml, confidence, 98.8%) and only for IL-6 in the cardiovascular cluster (IL-6, 3.4 [1.8, 6.6] pg/ml; confidence, 99.8%). Conclusions: Multimorbidity is common in patients with COPD, and different comorbidity clusters can be identified. Low-grade systemic inflammation is mostly comparable among comorbidity clusters. Increasing knowledge on the interactions between comorbidities increases the understanding of their development and contributes to strategies for prevention or improved treatment.&quot;,&quot;container-title-short&quot;:&quot;&quot;},&quot;isTemporary&quot;:false},{&quot;id&quot;:&quot;c664cb3f-7c7f-3475-a086-66e6b703eae6&quot;,&quot;itemData&quot;:{&quot;type&quot;:&quot;article-journal&quot;,&quot;id&quot;:&quot;c664cb3f-7c7f-3475-a086-66e6b703eae6&quot;,&quot;title&quot;:&quot;Identification of five clusters of comorbidities in a longitudinal Japanese chronic obstructive pulmonary disease cohort&quot;,&quot;author&quot;:[{&quot;family&quot;:&quot;Chubachi&quot;,&quot;given&quot;:&quot;Shotaro&quot;,&quot;parse-names&quot;:false,&quot;dropping-particle&quot;:&quot;&quot;,&quot;non-dropping-particle&quot;:&quot;&quot;},{&quot;family&quot;:&quot;Sato&quot;,&quot;given&quot;:&quot;Minako&quot;,&quot;parse-names&quot;:false,&quot;dropping-particle&quot;:&quot;&quot;,&quot;non-dropping-particle&quot;:&quot;&quot;},{&quot;family&quot;:&quot;Kameyama&quot;,&quot;given&quot;:&quot;Naofumi&quot;,&quot;parse-names&quot;:false,&quot;dropping-particle&quot;:&quot;&quot;,&quot;non-dropping-particle&quot;:&quot;&quot;},{&quot;family&quot;:&quot;Tsutsumi&quot;,&quot;given&quot;:&quot;Akihiro&quot;,&quot;parse-names&quot;:false,&quot;dropping-particle&quot;:&quot;&quot;,&quot;non-dropping-particle&quot;:&quot;&quot;},{&quot;family&quot;:&quot;Sasaki&quot;,&quot;given&quot;:&quot;Mamoru&quot;,&quot;parse-names&quot;:false,&quot;dropping-particle&quot;:&quot;&quot;,&quot;non-dropping-particle&quot;:&quot;&quot;},{&quot;family&quot;:&quot;Tateno&quot;,&quot;given&quot;:&quot;Hiroki&quot;,&quot;parse-names&quot;:false,&quot;dropping-particle&quot;:&quot;&quot;,&quot;non-dropping-particle&quot;:&quot;&quot;},{&quot;family&quot;:&quot;Nakamura&quot;,&quot;given&quot;:&quot;Hidetoshi&quot;,&quot;parse-names&quot;:false,&quot;dropping-particle&quot;:&quot;&quot;,&quot;non-dropping-particle&quot;:&quot;&quot;},{&quot;family&quot;:&quot;Asano&quot;,&quot;given&quot;:&quot;Koichiro&quot;,&quot;parse-names&quot;:false,&quot;dropping-particle&quot;:&quot;&quot;,&quot;non-dropping-particle&quot;:&quot;&quot;},{&quot;family&quot;:&quot;Betsuyaku&quot;,&quot;given&quot;:&quot;Tomoko&quot;,&quot;parse-names&quot;:false,&quot;dropping-particle&quot;:&quot;&quot;,&quot;non-dropping-particle&quot;:&quot;&quot;}],&quot;container-title&quot;:&quot;Respiratory Medicine&quot;,&quot;container-title-short&quot;:&quot;Respir Med&quot;,&quot;DOI&quot;:&quot;10.1016/j.rmed.2016.07.002&quot;,&quot;ISSN&quot;:&quot;15323064&quot;,&quot;PMID&quot;:&quot;27492541&quot;,&quot;URL&quot;:&quot;http://dx.doi.org/10.1016/j.rmed.2016.07.002&quot;,&quot;issued&quot;:{&quot;date-parts&quot;:[[2016]]},&quot;page&quot;:&quot;272-279&quot;,&quot;abstract&quot;:&quot;Background and objectives Patients with chronic obstructive pulmonary disease (COPD) frequently suffer from various comorbidities. Recently, cluster analysis has been proposed to examine the phenotypic heterogeneity in COPD. In order to comprehensively understand the comorbidities of COPD in Japan, we conducted multicenter, longitudinal cohort study, called the Keio COPD Comorbidity Research (K-CCR). In this cohort, comorbid diagnoses were established by both objective examination and review of clinical records, in addition to self-report. We aimed to investigate the clustering of nineteen clinically relevant comorbidities and the meaningful outcomes of the clusters over a two-year follow-up period. Material and Methods The present study analyzed data from COPD patients whose data of comorbidities were completed (n = 311). Cluster analysis was performed using Ward's minimum-variance method. Results Five comorbidity clusters were identified: less comorbidity; malignancy; metabolic and cardiovascular; gastroesophageal reflux disease (GERD) and psychological; and underweight and anemic. FEV1 did not differ among the clusters. GERD and psychological cluster had worse COPD assessment test (CAT) and Saint George's respiratory questionnaire (SGRQ) at baseline compared to the other clusters (CAT: p = 0.0003 and SGRQ: p = 0.00046). The rate of change in these scores did not differ within 2 years. The underweight and anemic cluster included subjects with lower baseline ratio of predicted diffusing capacity (DLco/VA) compared to the malignancy cluster (p = 0.036). Conclusions Five clusters of comorbidities were identified in Japanese COPD patients. The clinical characteristics and health-related quality of life were different among these clusters during a follow-up of two years.&quot;,&quot;publisher&quot;:&quot;Elsevier Ltd&quot;,&quot;volume&quot;:&quot;117&quot;},&quot;isTemporary&quot;:false},{&quot;id&quot;:&quot;ab72590d-56d2-3bed-a96a-3a969bacf3d6&quot;,&quot;itemData&quot;:{&quot;type&quot;:&quot;article-journal&quot;,&quot;id&quot;:&quot;ab72590d-56d2-3bed-a96a-3a969bacf3d6&quot;,&quot;title&quot;:&quot;Prognostication of co-morbidity clusters on hospitalisation and mortality in advanced COPD&quot;,&quot;author&quot;:[{&quot;family&quot;:&quot;James&quot;,&quot;given&quot;:&quot;Benjamin D.&quot;,&quot;parse-names&quot;:false,&quot;dropping-particle&quot;:&quot;&quot;,&quot;non-dropping-particle&quot;:&quot;&quot;},{&quot;family&quot;:&quot;Greening&quot;,&quot;given&quot;:&quot;Neil J.&quot;,&quot;parse-names&quot;:false,&quot;dropping-particle&quot;:&quot;&quot;,&quot;non-dropping-particle&quot;:&quot;&quot;},{&quot;family&quot;:&quot;Tracey&quot;,&quot;given&quot;:&quot;Nicole&quot;,&quot;parse-names&quot;:false,&quot;dropping-particle&quot;:&quot;&quot;,&quot;non-dropping-particle&quot;:&quot;&quot;},{&quot;family&quot;:&quot;Haldar&quot;,&quot;given&quot;:&quot;Pranabashis&quot;,&quot;parse-names&quot;:false,&quot;dropping-particle&quot;:&quot;&quot;,&quot;non-dropping-particle&quot;:&quot;&quot;},{&quot;family&quot;:&quot;Woltmann&quot;,&quot;given&quot;:&quot;Gerrit&quot;,&quot;parse-names&quot;:false,&quot;dropping-particle&quot;:&quot;&quot;,&quot;non-dropping-particle&quot;:&quot;&quot;},{&quot;family&quot;:&quot;Free&quot;,&quot;given&quot;:&quot;Robert C.&quot;,&quot;parse-names&quot;:false,&quot;dropping-particle&quot;:&quot;&quot;,&quot;non-dropping-particle&quot;:&quot;&quot;},{&quot;family&quot;:&quot;Steiner&quot;,&quot;given&quot;:&quot;Michael C.&quot;,&quot;parse-names&quot;:false,&quot;dropping-particle&quot;:&quot;&quot;,&quot;non-dropping-particle&quot;:&quot;&quot;},{&quot;family&quot;:&quot;Evans&quot;,&quot;given&quot;:&quot;Rachael A.&quot;,&quot;parse-names&quot;:false,&quot;dropping-particle&quot;:&quot;&quot;,&quot;non-dropping-particle&quot;:&quot;&quot;},{&quot;family&quot;:&quot;Ward&quot;,&quot;given&quot;:&quot;Thomas JC&quot;,&quot;parse-names&quot;:false,&quot;dropping-particle&quot;:&quot;&quot;,&quot;non-dropping-particle&quot;:&quot;&quot;}],&quot;container-title&quot;:&quot;Respiratory medicine&quot;,&quot;accessed&quot;:{&quot;date-parts&quot;:[[2025,2,20]]},&quot;DOI&quot;:&quot;10.1016/J.RMED.2023.107525&quot;,&quot;ISSN&quot;:&quot;1532-3064&quot;,&quot;PMID&quot;:&quot;38182000&quot;,&quot;URL&quot;:&quot;https://pubmed.ncbi.nlm.nih.gov/38182000/&quot;,&quot;issued&quot;:{&quot;date-parts&quot;:[[2024,2,1]]},&quot;abstract&quot;:&quot;Rationale: As the prevalence of multimorbidity increases, understanding the impact of isolated comorbidities in people COPD becomes increasingly challenging. A simplified model of common comorbidity patterns may improve outcome prediction and allow targeted therapy. Objectives: To assess whether comorbidity phenotypes derived from routinely collected clinical data in people with COPD show differences in risk of hospitalisation and mortality. Methods: Twelve clinical measures related to common comorbidities were collected during annual reviews for people with advanced COPD and k-means cluster analysis performed. Cox proportional hazards with adjustment for covariates was used to determine hospitalisation and mortality risk between clusters. Measurements and main results: In 203 participants (age 66 ± 9 years, 60 % male, FEV1%predicted 31 ± 10 %) no comorbidity in isolation was predictive of worse admission or mortality risk. Four clusters were described: cluster A (cardiometabolic and anaemia), cluster B (malnourished and low mood), cluster C (obese, metabolic and mood disturbance) and cluster D (less comorbid). FEV1%predicted did not significantly differ between clusters. Mortality risk was higher in cluster A (HR 3.73 [95%CI 1.09–12.82] p = 0.036) and B (HR 3.91 [95%CI 1.17–13.14] p = 0.027) compared to cluster D. Time to admission was highest in cluster A (HR 2.01 [95%CI 1.11–3.63] p = 0.020). Cluster C was not associated with increased risk of mortality or hospitalisation. Conclusions: Despite presence of advanced COPD, we report striking differences in prognosis for both mortality and hospital admissions for different co-morbidity phenotypes. Objectively assessing the multi-system nature of COPD could lead to improved prognostication and targeted therapy for patients.&quot;,&quot;publisher&quot;:&quot;Respir Med&quot;,&quot;volume&quot;:&quot;222&quot;,&quot;container-title-short&quot;:&quot;Respir Med&quot;},&quot;isTemporary&quot;:false},{&quot;id&quot;:&quot;c50374c5-1253-37f7-83e2-abf81cd0018e&quot;,&quot;itemData&quot;:{&quot;type&quot;:&quot;article-journal&quot;,&quot;id&quot;:&quot;c50374c5-1253-37f7-83e2-abf81cd0018e&quot;,&quot;title&quot;:&quot;Epidemiology of Chronic Obstructive Pulmonary Disease (COPD) Comorbidities in Lithuanian National Database: A Cluster Analysis&quot;,&quot;author&quot;:[{&quot;family&quot;:&quot;Jurevičienė&quot;,&quot;given&quot;:&quot;Elena&quot;,&quot;parse-names&quot;:false,&quot;dropping-particle&quot;:&quot;&quot;,&quot;non-dropping-particle&quot;:&quot;&quot;},{&quot;family&quot;:&quot;Burneikaitė&quot;,&quot;given&quot;:&quot;Greta&quot;,&quot;parse-names&quot;:false,&quot;dropping-particle&quot;:&quot;&quot;,&quot;non-dropping-particle&quot;:&quot;&quot;},{&quot;family&quot;:&quot;Dambrauskas&quot;,&quot;given&quot;:&quot;Laimis&quot;,&quot;parse-names&quot;:false,&quot;dropping-particle&quot;:&quot;&quot;,&quot;non-dropping-particle&quot;:&quot;&quot;},{&quot;family&quot;:&quot;Kasiulevičius&quot;,&quot;given&quot;:&quot;Vytautas&quot;,&quot;parse-names&quot;:false,&quot;dropping-particle&quot;:&quot;&quot;,&quot;non-dropping-particle&quot;:&quot;&quot;},{&quot;family&quot;:&quot;Kazėnaitė&quot;,&quot;given&quot;:&quot;Edita&quot;,&quot;parse-names&quot;:false,&quot;dropping-particle&quot;:&quot;&quot;,&quot;non-dropping-particle&quot;:&quot;&quot;},{&quot;family&quot;:&quot;Navickas&quot;,&quot;given&quot;:&quot;Rokas&quot;,&quot;parse-names&quot;:false,&quot;dropping-particle&quot;:&quot;&quot;,&quot;non-dropping-particle&quot;:&quot;&quot;},{&quot;family&quot;:&quot;Puronaitė&quot;,&quot;given&quot;:&quot;Roma&quot;,&quot;parse-names&quot;:false,&quot;dropping-particle&quot;:&quot;&quot;,&quot;non-dropping-particle&quot;:&quot;&quot;},{&quot;family&quot;:&quot;Smailytė&quot;,&quot;given&quot;:&quot;Giedrė&quot;,&quot;parse-names&quot;:false,&quot;dropping-particle&quot;:&quot;&quot;,&quot;non-dropping-particle&quot;:&quot;&quot;},{&quot;family&quot;:&quot;Visockienė&quot;,&quot;given&quot;:&quot;Žydrūnė&quot;,&quot;parse-names&quot;:false,&quot;dropping-particle&quot;:&quot;&quot;,&quot;non-dropping-particle&quot;:&quot;&quot;},{&quot;family&quot;:&quot;Danila&quot;,&quot;given&quot;:&quot;Edvardas&quot;,&quot;parse-names&quot;:false,&quot;dropping-particle&quot;:&quot;&quot;,&quot;non-dropping-particle&quot;:&quot;&quot;}],&quot;container-title&quot;:&quot;International Journal of Environmental Research and Public Health&quot;,&quot;DOI&quot;:&quot;10.3390/ijerph19020970&quot;,&quot;ISSN&quot;:&quot;16604601&quot;,&quot;PMID&quot;:&quot;35055792&quot;,&quot;issued&quot;:{&quot;date-parts&quot;:[[2022]]},&quot;abstract&quot;:&quot;Various comorbidities and multimorbidity frequently occur in chronic obstructive pulmonary disease (COPD), leading to the overload of health care systems and increased mortality. We aimed to assess the impact of COPD on the probability and clustering of comorbidities. The cross-sectional analysis of the nationwide Lithuanian database was performed based on the entries of the codes of chronic diseases. COPD was defined on the code J44.8 entry and six-month consumption of bronchodilators. Descriptive statistics and odds ratios (ORs) for associations and agglomerative hierarchical clustering were carried out. 321,297 patients aged 40–79 years were included; 4834 of them had COPD. A significantly higher prevalence of cardiovascular diseases (CVD), lung cancer, kidney diseases, and the association of COPD with six-fold higher odds of lung cancer (OR 6.66; p &lt; 0.0001), a two-fold of heart failure (OR 2.61; p &lt; 0.0001), and CVD (OR 1.83; p &lt; 0.0001) was found. Six clusters in COPD males and five in females were pointed out, in patients without COPD—five and four clusters accordingly. The most prevalent cardiovascular cluster had no significant difference according to sex or COPD presence, but a different linkage of dyslipidemia was found. The study raises the need to elaborate adjusted multimorbidity case management and screening tools enabling better outcomes.&quot;,&quot;issue&quot;:&quot;2&quot;,&quot;volume&quot;:&quot;19&quot;,&quot;container-title-short&quot;:&quot;Int J Environ Res Public Health&quot;},&quot;isTemporary&quot;:false},{&quot;id&quot;:&quot;b9ab0f5b-a6d5-3e4b-9ec3-dd449b956307&quot;,&quot;itemData&quot;:{&quot;type&quot;:&quot;article-journal&quot;,&quot;id&quot;:&quot;b9ab0f5b-a6d5-3e4b-9ec3-dd449b956307&quot;,&quot;title&quot;:&quot;The HUNT study: Association of comorbidity clusters with long-term survival and incidence of exacerbation in a population-based Norwegian COPD cohort&quot;,&quot;author&quot;:[{&quot;family&quot;:&quot;Vikjord&quot;,&quot;given&quot;:&quot;Sigrid Anna Aalberg&quot;,&quot;parse-names&quot;:false,&quot;dropping-particle&quot;:&quot;&quot;,&quot;non-dropping-particle&quot;:&quot;&quot;},{&quot;family&quot;:&quot;Brumpton&quot;,&quot;given&quot;:&quot;Ben Michael&quot;,&quot;parse-names&quot;:false,&quot;dropping-particle&quot;:&quot;&quot;,&quot;non-dropping-particle&quot;:&quot;&quot;},{&quot;family&quot;:&quot;Mai&quot;,&quot;given&quot;:&quot;Xiao Mei&quot;,&quot;parse-names&quot;:false,&quot;dropping-particle&quot;:&quot;&quot;,&quot;non-dropping-particle&quot;:&quot;&quot;},{&quot;family&quot;:&quot;Romundstad&quot;,&quot;given&quot;:&quot;Solfrid&quot;,&quot;parse-names&quot;:false,&quot;dropping-particle&quot;:&quot;&quot;,&quot;non-dropping-particle&quot;:&quot;&quot;},{&quot;family&quot;:&quot;Langhammer&quot;,&quot;given&quot;:&quot;Arnulf&quot;,&quot;parse-names&quot;:false,&quot;dropping-particle&quot;:&quot;&quot;,&quot;non-dropping-particle&quot;:&quot;&quot;},{&quot;family&quot;:&quot;Vanfleteren&quot;,&quot;given&quot;:&quot;Lowie&quot;,&quot;parse-names&quot;:false,&quot;dropping-particle&quot;:&quot;&quot;,&quot;non-dropping-particle&quot;:&quot;&quot;}],&quot;container-title&quot;:&quot;Respirology (Carlton, Vic.)&quot;,&quot;container-title-short&quot;:&quot;Respirology&quot;,&quot;accessed&quot;:{&quot;date-parts&quot;:[[2025,2,20]]},&quot;DOI&quot;:&quot;10.1111/RESP.14222&quot;,&quot;ISSN&quot;:&quot;1440-1843&quot;,&quot;PMID&quot;:&quot;35144315&quot;,&quot;URL&quot;:&quot;https://pubmed.ncbi.nlm.nih.gov/35144315/&quot;,&quot;issued&quot;:{&quot;date-parts&quot;:[[2022,4,1]]},&quot;page&quot;:&quot;277-285&quot;,&quot;abstract&quot;:&quot;Background and objective: Chronic obstructive pulmonary disease (COPD) is a heterogeneous disease often viewed as part of a multimorbidity complex. There is a need for better phenotyping of the disease, characterization of its interplay with other comorbidities and its association with long-term outcomes. This study aims to examine how clusters of comorbidities are associated with severe exacerbations and mortality in COPD. Methods: Participants with potential COPD were recruited from the second (1995–1997) and third (2006–2008) survey of the HUNT Study and followed up until April 2020. Ten objectively identified comorbidities were clustered using self-organizing maps. Severe COPD exacerbations requiring hospitalization were assessed using hospital data. All-cause mortality was collected from national registries. Multivariable Cox regression was used to calculate hazard ratios (HRs) with 95% CIs for the association between comorbidity clusters and all-cause mortality. Poisson regression was used to calculate incidence rate ratios (IRRs) with 95% CI for the cumulative number of severe exacerbations for each cluster. Results: Five distinct clusters were identified, including ‘less comorbidity’, ‘psychological’, ‘cardiovascular’, ‘metabolic’ and ‘cachectic’ clusters. Using the less comorbidity cluster as reference, the psychological and cachectic clusters were associated with all-cause mortality (HR 1.23 [1.04–1.45] and HR 1.83 [1.52–2.20], adjusted for age and sex). The same clusters also had increased risk of exacerbations (unadjusted IRR of 1.24 [95% CI 1.04–1.48] and 1.50 [95% CI 1.23–1.83], respectively). Conclusion: During 25 years of follow-up, individuals in the psychological and cachectic clusters had increased mortality. Furthermore, these clusters were associated with increased risk of severe COPD exacerbations.&quot;,&quot;publisher&quot;:&quot;Respirology&quot;,&quot;issue&quot;:&quot;4&quot;,&quot;volume&quot;:&quot;27&quot;},&quot;isTemporary&quot;:false}]},{&quot;citationID&quot;:&quot;MENDELEY_CITATION_adc4605f-84e3-4a51-aa57-a1ec13f3e8d0&quot;,&quot;properties&quot;:{&quot;noteIndex&quot;:0},&quot;isEdited&quot;:false,&quot;manualOverride&quot;:{&quot;isManuallyOverridden&quot;:false,&quot;citeprocText&quot;:&quot;[201,202,214,216]&quot;,&quot;manualOverrideText&quot;:&quot;&quot;},&quot;citationTag&quot;:&quot;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&quot;,&quot;citationItems&quot;:[{&quot;id&quot;:&quot;bcc822a8-0be5-375e-9671-4a7b81d33b46&quot;,&quot;itemData&quot;:{&quot;type&quot;:&quot;article-journal&quot;,&quot;id&quot;:&quot;bcc822a8-0be5-375e-9671-4a7b81d33b46&quot;,&quot;title&quot;:&quot;Clusters of Comorbidities Based on Validated Objective Measurements and Systemic Inflammation in Patients with Chronic Obstructive Pulmonary Disease&quot;,&quot;author&quot;:[{&quot;family&quot;:&quot;Vanfleteren&quot;,&quot;given&quot;:&quot;Lowie E G W&quot;,&quot;parse-names&quot;:false,&quot;dropping-particle&quot;:&quot;&quot;,&quot;non-dropping-particle&quot;:&quot;&quot;},{&quot;family&quot;:&quot;Spruit&quot;,&quot;given&quot;:&quot;Martijn A&quot;,&quot;parse-names&quot;:false,&quot;dropping-particle&quot;:&quot;&quot;,&quot;non-dropping-particle&quot;:&quot;&quot;},{&quot;family&quot;:&quot;Groenen&quot;,&quot;given&quot;:&quot;Miriam&quot;,&quot;parse-names&quot;:false,&quot;dropping-particle&quot;:&quot;&quot;,&quot;non-dropping-particle&quot;:&quot;&quot;},{&quot;family&quot;:&quot;Gaffron&quot;,&quot;given&quot;:&quot;Swetlana&quot;,&quot;parse-names&quot;:false,&quot;dropping-particle&quot;:&quot;&quot;,&quot;non-dropping-particle&quot;:&quot;&quot;},{&quot;family&quot;:&quot;Empel&quot;,&quot;given&quot;:&quot;Vanessa P M&quot;,&quot;parse-names&quot;:false,&quot;dropping-particle&quot;:&quot;&quot;,&quot;non-dropping-particle&quot;:&quot;Van&quot;},{&quot;family&quot;:&quot;Bruijnzeel&quot;,&quot;given&quot;:&quot;Piet L B&quot;,&quot;parse-names&quot;:false,&quot;dropping-particle&quot;:&quot;&quot;,&quot;non-dropping-particle&quot;:&quot;&quot;},{&quot;family&quot;:&quot;Rutten&quot;,&quot;given&quot;:&quot;Erica P A&quot;,&quot;parse-names&quot;:false,&quot;dropping-particle&quot;:&quot;&quot;,&quot;non-dropping-particle&quot;:&quot;&quot;},{&quot;family&quot;:&quot;Op 't Roodt&quot;,&quot;given&quot;:&quot;Jos&quot;,&quot;parse-names&quot;:false,&quot;dropping-particle&quot;:&quot;&quot;,&quot;non-dropping-particle&quot;:&quot;&quot;},{&quot;family&quot;:&quot;Wouters&quot;,&quot;given&quot;:&quot;Emiel F M&quot;,&quot;parse-names&quot;:false,&quot;dropping-particle&quot;:&quot;&quot;,&quot;non-dropping-particle&quot;:&quot;&quot;},{&quot;family&quot;:&quot;Franssen&quot;,&quot;given&quot;:&quot;Frits M E&quot;,&quot;parse-names&quot;:false,&quot;dropping-particle&quot;:&quot;&quot;,&quot;non-dropping-particle&quot;:&quot;&quot;}],&quot;accessed&quot;:{&quot;date-parts&quot;:[[2024,4,23]]},&quot;DOI&quot;:&quot;10.1164/rccm.201209-1665OC&quot;,&quot;URL&quot;:&quot;www.viscovery.net;&quot;,&quot;abstract&quot;:&quot;Rationale: Comorbidities contribute to disease severity and mortality in patients with chronic obstructive pulmonary disease (COPD). Comorbidities have been studied individually and were mostly based on self-reports. The coexistence of objectively identified comorbid-ities and the role of low-grade systemic inflammation in the patho-physiology of COPD remain to be elucidated. Objectives: To cluster 13 clinically important objectively identified comorbidities, and to characterize the comorbidity clusters in terms of clinical outcomes and systemic inflammation. Methods: A total of 213 patients with COPD (FEV 1 , 51 6 17% predicted ; men, 59%; age, 64 6 7 yr) were included prospectively. Comorbidities were based on well-known cutoffs identified in the peer-reviewed English literature. Systemic inflammatory biomarkers were determined in all patients. Self-organizing maps were used to generate comorbidity clusters. Measurements and Main Results: A total of 97.7% of all patients had one or more comorbidities and 53.5% had four or more comorbid-ities. Five comorbidity clusters were identified: (1) less comorbidity, (2) cardiovascular, (3) cachectic, (4) metabolic, and (5) psychological. Comorbidity clusters differed in health status but were comparable with respect to disease severity. An increased inflammatory state was observed only for tumor necrosis factor (TNF) receptors in the metabolic cluster (geometric mean [lower and upper limit]; TNF-R1, 2,377 [1,850, 3,055] pg/ml, confidence, 98.5%; TNF-R2, 4,080 [3,115, 5,344] pg/ml, confidence, 98.8%) and only for IL-6 in the cardiovascular cluster (IL-6, 3.4 [1.8, 6.6] pg/ml; confidence, 99.8%). Conclusions: Multimorbidity is common in patients with COPD, and different comorbidity clusters can be identified. Low-grade systemic inflammation is mostly comparable among comorbidity clusters. Increasing knowledge on the interactions between comorbidities increases the understanding of their development and contributes to strategies for prevention or improved treatment.&quot;,&quot;container-title-short&quot;:&quot;&quot;},&quot;isTemporary&quot;:false},{&quot;id&quot;:&quot;c664cb3f-7c7f-3475-a086-66e6b703eae6&quot;,&quot;itemData&quot;:{&quot;type&quot;:&quot;article-journal&quot;,&quot;id&quot;:&quot;c664cb3f-7c7f-3475-a086-66e6b703eae6&quot;,&quot;title&quot;:&quot;Identification of five clusters of comorbidities in a longitudinal Japanese chronic obstructive pulmonary disease cohort&quot;,&quot;author&quot;:[{&quot;family&quot;:&quot;Chubachi&quot;,&quot;given&quot;:&quot;Shotaro&quot;,&quot;parse-names&quot;:false,&quot;dropping-particle&quot;:&quot;&quot;,&quot;non-dropping-particle&quot;:&quot;&quot;},{&quot;family&quot;:&quot;Sato&quot;,&quot;given&quot;:&quot;Minako&quot;,&quot;parse-names&quot;:false,&quot;dropping-particle&quot;:&quot;&quot;,&quot;non-dropping-particle&quot;:&quot;&quot;},{&quot;family&quot;:&quot;Kameyama&quot;,&quot;given&quot;:&quot;Naofumi&quot;,&quot;parse-names&quot;:false,&quot;dropping-particle&quot;:&quot;&quot;,&quot;non-dropping-particle&quot;:&quot;&quot;},{&quot;family&quot;:&quot;Tsutsumi&quot;,&quot;given&quot;:&quot;Akihiro&quot;,&quot;parse-names&quot;:false,&quot;dropping-particle&quot;:&quot;&quot;,&quot;non-dropping-particle&quot;:&quot;&quot;},{&quot;family&quot;:&quot;Sasaki&quot;,&quot;given&quot;:&quot;Mamoru&quot;,&quot;parse-names&quot;:false,&quot;dropping-particle&quot;:&quot;&quot;,&quot;non-dropping-particle&quot;:&quot;&quot;},{&quot;family&quot;:&quot;Tateno&quot;,&quot;given&quot;:&quot;Hiroki&quot;,&quot;parse-names&quot;:false,&quot;dropping-particle&quot;:&quot;&quot;,&quot;non-dropping-particle&quot;:&quot;&quot;},{&quot;family&quot;:&quot;Nakamura&quot;,&quot;given&quot;:&quot;Hidetoshi&quot;,&quot;parse-names&quot;:false,&quot;dropping-particle&quot;:&quot;&quot;,&quot;non-dropping-particle&quot;:&quot;&quot;},{&quot;family&quot;:&quot;Asano&quot;,&quot;given&quot;:&quot;Koichiro&quot;,&quot;parse-names&quot;:false,&quot;dropping-particle&quot;:&quot;&quot;,&quot;non-dropping-particle&quot;:&quot;&quot;},{&quot;family&quot;:&quot;Betsuyaku&quot;,&quot;given&quot;:&quot;Tomoko&quot;,&quot;parse-names&quot;:false,&quot;dropping-particle&quot;:&quot;&quot;,&quot;non-dropping-particle&quot;:&quot;&quot;}],&quot;container-title&quot;:&quot;Respiratory Medicine&quot;,&quot;container-title-short&quot;:&quot;Respir Med&quot;,&quot;DOI&quot;:&quot;10.1016/j.rmed.2016.07.002&quot;,&quot;ISSN&quot;:&quot;15323064&quot;,&quot;PMID&quot;:&quot;27492541&quot;,&quot;URL&quot;:&quot;http://dx.doi.org/10.1016/j.rmed.2016.07.002&quot;,&quot;issued&quot;:{&quot;date-parts&quot;:[[2016]]},&quot;page&quot;:&quot;272-279&quot;,&quot;abstract&quot;:&quot;Background and objectives Patients with chronic obstructive pulmonary disease (COPD) frequently suffer from various comorbidities. Recently, cluster analysis has been proposed to examine the phenotypic heterogeneity in COPD. In order to comprehensively understand the comorbidities of COPD in Japan, we conducted multicenter, longitudinal cohort study, called the Keio COPD Comorbidity Research (K-CCR). In this cohort, comorbid diagnoses were established by both objective examination and review of clinical records, in addition to self-report. We aimed to investigate the clustering of nineteen clinically relevant comorbidities and the meaningful outcomes of the clusters over a two-year follow-up period. Material and Methods The present study analyzed data from COPD patients whose data of comorbidities were completed (n = 311). Cluster analysis was performed using Ward's minimum-variance method. Results Five comorbidity clusters were identified: less comorbidity; malignancy; metabolic and cardiovascular; gastroesophageal reflux disease (GERD) and psychological; and underweight and anemic. FEV1 did not differ among the clusters. GERD and psychological cluster had worse COPD assessment test (CAT) and Saint George's respiratory questionnaire (SGRQ) at baseline compared to the other clusters (CAT: p = 0.0003 and SGRQ: p = 0.00046). The rate of change in these scores did not differ within 2 years. The underweight and anemic cluster included subjects with lower baseline ratio of predicted diffusing capacity (DLco/VA) compared to the malignancy cluster (p = 0.036). Conclusions Five clusters of comorbidities were identified in Japanese COPD patients. The clinical characteristics and health-related quality of life were different among these clusters during a follow-up of two years.&quot;,&quot;publisher&quot;:&quot;Elsevier Ltd&quot;,&quot;volume&quot;:&quot;117&quot;},&quot;isTemporary&quot;:false},{&quot;id&quot;:&quot;ab72590d-56d2-3bed-a96a-3a969bacf3d6&quot;,&quot;itemData&quot;:{&quot;type&quot;:&quot;article-journal&quot;,&quot;id&quot;:&quot;ab72590d-56d2-3bed-a96a-3a969bacf3d6&quot;,&quot;title&quot;:&quot;Prognostication of co-morbidity clusters on hospitalisation and mortality in advanced COPD&quot;,&quot;author&quot;:[{&quot;family&quot;:&quot;James&quot;,&quot;given&quot;:&quot;Benjamin D.&quot;,&quot;parse-names&quot;:false,&quot;dropping-particle&quot;:&quot;&quot;,&quot;non-dropping-particle&quot;:&quot;&quot;},{&quot;family&quot;:&quot;Greening&quot;,&quot;given&quot;:&quot;Neil J.&quot;,&quot;parse-names&quot;:false,&quot;dropping-particle&quot;:&quot;&quot;,&quot;non-dropping-particle&quot;:&quot;&quot;},{&quot;family&quot;:&quot;Tracey&quot;,&quot;given&quot;:&quot;Nicole&quot;,&quot;parse-names&quot;:false,&quot;dropping-particle&quot;:&quot;&quot;,&quot;non-dropping-particle&quot;:&quot;&quot;},{&quot;family&quot;:&quot;Haldar&quot;,&quot;given&quot;:&quot;Pranabashis&quot;,&quot;parse-names&quot;:false,&quot;dropping-particle&quot;:&quot;&quot;,&quot;non-dropping-particle&quot;:&quot;&quot;},{&quot;family&quot;:&quot;Woltmann&quot;,&quot;given&quot;:&quot;Gerrit&quot;,&quot;parse-names&quot;:false,&quot;dropping-particle&quot;:&quot;&quot;,&quot;non-dropping-particle&quot;:&quot;&quot;},{&quot;family&quot;:&quot;Free&quot;,&quot;given&quot;:&quot;Robert C.&quot;,&quot;parse-names&quot;:false,&quot;dropping-particle&quot;:&quot;&quot;,&quot;non-dropping-particle&quot;:&quot;&quot;},{&quot;family&quot;:&quot;Steiner&quot;,&quot;given&quot;:&quot;Michael C.&quot;,&quot;parse-names&quot;:false,&quot;dropping-particle&quot;:&quot;&quot;,&quot;non-dropping-particle&quot;:&quot;&quot;},{&quot;family&quot;:&quot;Evans&quot;,&quot;given&quot;:&quot;Rachael A.&quot;,&quot;parse-names&quot;:false,&quot;dropping-particle&quot;:&quot;&quot;,&quot;non-dropping-particle&quot;:&quot;&quot;},{&quot;family&quot;:&quot;Ward&quot;,&quot;given&quot;:&quot;Thomas JC&quot;,&quot;parse-names&quot;:false,&quot;dropping-particle&quot;:&quot;&quot;,&quot;non-dropping-particle&quot;:&quot;&quot;}],&quot;container-title&quot;:&quot;Respiratory medicine&quot;,&quot;accessed&quot;:{&quot;date-parts&quot;:[[2025,2,20]]},&quot;DOI&quot;:&quot;10.1016/J.RMED.2023.107525&quot;,&quot;ISSN&quot;:&quot;1532-3064&quot;,&quot;PMID&quot;:&quot;38182000&quot;,&quot;URL&quot;:&quot;https://pubmed.ncbi.nlm.nih.gov/38182000/&quot;,&quot;issued&quot;:{&quot;date-parts&quot;:[[2024,2,1]]},&quot;abstract&quot;:&quot;Rationale: As the prevalence of multimorbidity increases, understanding the impact of isolated comorbidities in people COPD becomes increasingly challenging. A simplified model of common comorbidity patterns may improve outcome prediction and allow targeted therapy. Objectives: To assess whether comorbidity phenotypes derived from routinely collected clinical data in people with COPD show differences in risk of hospitalisation and mortality. Methods: Twelve clinical measures related to common comorbidities were collected during annual reviews for people with advanced COPD and k-means cluster analysis performed. Cox proportional hazards with adjustment for covariates was used to determine hospitalisation and mortality risk between clusters. Measurements and main results: In 203 participants (age 66 ± 9 years, 60 % male, FEV1%predicted 31 ± 10 %) no comorbidity in isolation was predictive of worse admission or mortality risk. Four clusters were described: cluster A (cardiometabolic and anaemia), cluster B (malnourished and low mood), cluster C (obese, metabolic and mood disturbance) and cluster D (less comorbid). FEV1%predicted did not significantly differ between clusters. Mortality risk was higher in cluster A (HR 3.73 [95%CI 1.09–12.82] p = 0.036) and B (HR 3.91 [95%CI 1.17–13.14] p = 0.027) compared to cluster D. Time to admission was highest in cluster A (HR 2.01 [95%CI 1.11–3.63] p = 0.020). Cluster C was not associated with increased risk of mortality or hospitalisation. Conclusions: Despite presence of advanced COPD, we report striking differences in prognosis for both mortality and hospital admissions for different co-morbidity phenotypes. Objectively assessing the multi-system nature of COPD could lead to improved prognostication and targeted therapy for patients.&quot;,&quot;publisher&quot;:&quot;Respir Med&quot;,&quot;volume&quot;:&quot;222&quot;,&quot;container-title-short&quot;:&quot;Respir Med&quot;},&quot;isTemporary&quot;:false},{&quot;id&quot;:&quot;b9ab0f5b-a6d5-3e4b-9ec3-dd449b956307&quot;,&quot;itemData&quot;:{&quot;type&quot;:&quot;article-journal&quot;,&quot;id&quot;:&quot;b9ab0f5b-a6d5-3e4b-9ec3-dd449b956307&quot;,&quot;title&quot;:&quot;The HUNT study: Association of comorbidity clusters with long-term survival and incidence of exacerbation in a population-based Norwegian COPD cohort&quot;,&quot;author&quot;:[{&quot;family&quot;:&quot;Vikjord&quot;,&quot;given&quot;:&quot;Sigrid Anna Aalberg&quot;,&quot;parse-names&quot;:false,&quot;dropping-particle&quot;:&quot;&quot;,&quot;non-dropping-particle&quot;:&quot;&quot;},{&quot;family&quot;:&quot;Brumpton&quot;,&quot;given&quot;:&quot;Ben Michael&quot;,&quot;parse-names&quot;:false,&quot;dropping-particle&quot;:&quot;&quot;,&quot;non-dropping-particle&quot;:&quot;&quot;},{&quot;family&quot;:&quot;Mai&quot;,&quot;given&quot;:&quot;Xiao Mei&quot;,&quot;parse-names&quot;:false,&quot;dropping-particle&quot;:&quot;&quot;,&quot;non-dropping-particle&quot;:&quot;&quot;},{&quot;family&quot;:&quot;Romundstad&quot;,&quot;given&quot;:&quot;Solfrid&quot;,&quot;parse-names&quot;:false,&quot;dropping-particle&quot;:&quot;&quot;,&quot;non-dropping-particle&quot;:&quot;&quot;},{&quot;family&quot;:&quot;Langhammer&quot;,&quot;given&quot;:&quot;Arnulf&quot;,&quot;parse-names&quot;:false,&quot;dropping-particle&quot;:&quot;&quot;,&quot;non-dropping-particle&quot;:&quot;&quot;},{&quot;family&quot;:&quot;Vanfleteren&quot;,&quot;given&quot;:&quot;Lowie&quot;,&quot;parse-names&quot;:false,&quot;dropping-particle&quot;:&quot;&quot;,&quot;non-dropping-particle&quot;:&quot;&quot;}],&quot;container-title&quot;:&quot;Respirology (Carlton, Vic.)&quot;,&quot;container-title-short&quot;:&quot;Respirology&quot;,&quot;accessed&quot;:{&quot;date-parts&quot;:[[2025,2,20]]},&quot;DOI&quot;:&quot;10.1111/RESP.14222&quot;,&quot;ISSN&quot;:&quot;1440-1843&quot;,&quot;PMID&quot;:&quot;35144315&quot;,&quot;URL&quot;:&quot;https://pubmed.ncbi.nlm.nih.gov/35144315/&quot;,&quot;issued&quot;:{&quot;date-parts&quot;:[[2022,4,1]]},&quot;page&quot;:&quot;277-285&quot;,&quot;abstract&quot;:&quot;Background and objective: Chronic obstructive pulmonary disease (COPD) is a heterogeneous disease often viewed as part of a multimorbidity complex. There is a need for better phenotyping of the disease, characterization of its interplay with other comorbidities and its association with long-term outcomes. This study aims to examine how clusters of comorbidities are associated with severe exacerbations and mortality in COPD. Methods: Participants with potential COPD were recruited from the second (1995–1997) and third (2006–2008) survey of the HUNT Study and followed up until April 2020. Ten objectively identified comorbidities were clustered using self-organizing maps. Severe COPD exacerbations requiring hospitalization were assessed using hospital data. All-cause mortality was collected from national registries. Multivariable Cox regression was used to calculate hazard ratios (HRs) with 95% CIs for the association between comorbidity clusters and all-cause mortality. Poisson regression was used to calculate incidence rate ratios (IRRs) with 95% CI for the cumulative number of severe exacerbations for each cluster. Results: Five distinct clusters were identified, including ‘less comorbidity’, ‘psychological’, ‘cardiovascular’, ‘metabolic’ and ‘cachectic’ clusters. Using the less comorbidity cluster as reference, the psychological and cachectic clusters were associated with all-cause mortality (HR 1.23 [1.04–1.45] and HR 1.83 [1.52–2.20], adjusted for age and sex). The same clusters also had increased risk of exacerbations (unadjusted IRR of 1.24 [95% CI 1.04–1.48] and 1.50 [95% CI 1.23–1.83], respectively). Conclusion: During 25 years of follow-up, individuals in the psychological and cachectic clusters had increased mortality. Furthermore, these clusters were associated with increased risk of severe COPD exacerbations.&quot;,&quot;publisher&quot;:&quot;Respirology&quot;,&quot;issue&quot;:&quot;4&quot;,&quot;volume&quot;:&quot;27&quot;},&quot;isTemporary&quot;:false}]},{&quot;citationID&quot;:&quot;MENDELEY_CITATION_797f3c2d-8a78-4c51-bd2d-e282572070c1&quot;,&quot;properties&quot;:{&quot;noteIndex&quot;:0},&quot;isEdited&quot;:false,&quot;manualOverride&quot;:{&quot;isManuallyOverridden&quot;:false,&quot;citeprocText&quot;:&quot;[214,216]&quot;,&quot;manualOverrideText&quot;:&quot;&quot;},&quot;citationTag&quot;:&quot;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&quot;,&quot;citationItems&quot;:[{&quot;id&quot;:&quot;ab72590d-56d2-3bed-a96a-3a969bacf3d6&quot;,&quot;itemData&quot;:{&quot;type&quot;:&quot;article-journal&quot;,&quot;id&quot;:&quot;ab72590d-56d2-3bed-a96a-3a969bacf3d6&quot;,&quot;title&quot;:&quot;Prognostication of co-morbidity clusters on hospitalisation and mortality in advanced COPD&quot;,&quot;author&quot;:[{&quot;family&quot;:&quot;James&quot;,&quot;given&quot;:&quot;Benjamin D.&quot;,&quot;parse-names&quot;:false,&quot;dropping-particle&quot;:&quot;&quot;,&quot;non-dropping-particle&quot;:&quot;&quot;},{&quot;family&quot;:&quot;Greening&quot;,&quot;given&quot;:&quot;Neil J.&quot;,&quot;parse-names&quot;:false,&quot;dropping-particle&quot;:&quot;&quot;,&quot;non-dropping-particle&quot;:&quot;&quot;},{&quot;family&quot;:&quot;Tracey&quot;,&quot;given&quot;:&quot;Nicole&quot;,&quot;parse-names&quot;:false,&quot;dropping-particle&quot;:&quot;&quot;,&quot;non-dropping-particle&quot;:&quot;&quot;},{&quot;family&quot;:&quot;Haldar&quot;,&quot;given&quot;:&quot;Pranabashis&quot;,&quot;parse-names&quot;:false,&quot;dropping-particle&quot;:&quot;&quot;,&quot;non-dropping-particle&quot;:&quot;&quot;},{&quot;family&quot;:&quot;Woltmann&quot;,&quot;given&quot;:&quot;Gerrit&quot;,&quot;parse-names&quot;:false,&quot;dropping-particle&quot;:&quot;&quot;,&quot;non-dropping-particle&quot;:&quot;&quot;},{&quot;family&quot;:&quot;Free&quot;,&quot;given&quot;:&quot;Robert C.&quot;,&quot;parse-names&quot;:false,&quot;dropping-particle&quot;:&quot;&quot;,&quot;non-dropping-particle&quot;:&quot;&quot;},{&quot;family&quot;:&quot;Steiner&quot;,&quot;given&quot;:&quot;Michael C.&quot;,&quot;parse-names&quot;:false,&quot;dropping-particle&quot;:&quot;&quot;,&quot;non-dropping-particle&quot;:&quot;&quot;},{&quot;family&quot;:&quot;Evans&quot;,&quot;given&quot;:&quot;Rachael A.&quot;,&quot;parse-names&quot;:false,&quot;dropping-particle&quot;:&quot;&quot;,&quot;non-dropping-particle&quot;:&quot;&quot;},{&quot;family&quot;:&quot;Ward&quot;,&quot;given&quot;:&quot;Thomas JC&quot;,&quot;parse-names&quot;:false,&quot;dropping-particle&quot;:&quot;&quot;,&quot;non-dropping-particle&quot;:&quot;&quot;}],&quot;container-title&quot;:&quot;Respiratory medicine&quot;,&quot;accessed&quot;:{&quot;date-parts&quot;:[[2025,2,20]]},&quot;DOI&quot;:&quot;10.1016/J.RMED.2023.107525&quot;,&quot;ISSN&quot;:&quot;1532-3064&quot;,&quot;PMID&quot;:&quot;38182000&quot;,&quot;URL&quot;:&quot;https://pubmed.ncbi.nlm.nih.gov/38182000/&quot;,&quot;issued&quot;:{&quot;date-parts&quot;:[[2024,2,1]]},&quot;abstract&quot;:&quot;Rationale: As the prevalence of multimorbidity increases, understanding the impact of isolated comorbidities in people COPD becomes increasingly challenging. A simplified model of common comorbidity patterns may improve outcome prediction and allow targeted therapy. Objectives: To assess whether comorbidity phenotypes derived from routinely collected clinical data in people with COPD show differences in risk of hospitalisation and mortality. Methods: Twelve clinical measures related to common comorbidities were collected during annual reviews for people with advanced COPD and k-means cluster analysis performed. Cox proportional hazards with adjustment for covariates was used to determine hospitalisation and mortality risk between clusters. Measurements and main results: In 203 participants (age 66 ± 9 years, 60 % male, FEV1%predicted 31 ± 10 %) no comorbidity in isolation was predictive of worse admission or mortality risk. Four clusters were described: cluster A (cardiometabolic and anaemia), cluster B (malnourished and low mood), cluster C (obese, metabolic and mood disturbance) and cluster D (less comorbid). FEV1%predicted did not significantly differ between clusters. Mortality risk was higher in cluster A (HR 3.73 [95%CI 1.09–12.82] p = 0.036) and B (HR 3.91 [95%CI 1.17–13.14] p = 0.027) compared to cluster D. Time to admission was highest in cluster A (HR 2.01 [95%CI 1.11–3.63] p = 0.020). Cluster C was not associated with increased risk of mortality or hospitalisation. Conclusions: Despite presence of advanced COPD, we report striking differences in prognosis for both mortality and hospital admissions for different co-morbidity phenotypes. Objectively assessing the multi-system nature of COPD could lead to improved prognostication and targeted therapy for patients.&quot;,&quot;publisher&quot;:&quot;Respir Med&quot;,&quot;volume&quot;:&quot;222&quot;,&quot;container-title-short&quot;:&quot;Respir Med&quot;},&quot;isTemporary&quot;:false},{&quot;id&quot;:&quot;b9ab0f5b-a6d5-3e4b-9ec3-dd449b956307&quot;,&quot;itemData&quot;:{&quot;type&quot;:&quot;article-journal&quot;,&quot;id&quot;:&quot;b9ab0f5b-a6d5-3e4b-9ec3-dd449b956307&quot;,&quot;title&quot;:&quot;The HUNT study: Association of comorbidity clusters with long-term survival and incidence of exacerbation in a population-based Norwegian COPD cohort&quot;,&quot;author&quot;:[{&quot;family&quot;:&quot;Vikjord&quot;,&quot;given&quot;:&quot;Sigrid Anna Aalberg&quot;,&quot;parse-names&quot;:false,&quot;dropping-particle&quot;:&quot;&quot;,&quot;non-dropping-particle&quot;:&quot;&quot;},{&quot;family&quot;:&quot;Brumpton&quot;,&quot;given&quot;:&quot;Ben Michael&quot;,&quot;parse-names&quot;:false,&quot;dropping-particle&quot;:&quot;&quot;,&quot;non-dropping-particle&quot;:&quot;&quot;},{&quot;family&quot;:&quot;Mai&quot;,&quot;given&quot;:&quot;Xiao Mei&quot;,&quot;parse-names&quot;:false,&quot;dropping-particle&quot;:&quot;&quot;,&quot;non-dropping-particle&quot;:&quot;&quot;},{&quot;family&quot;:&quot;Romundstad&quot;,&quot;given&quot;:&quot;Solfrid&quot;,&quot;parse-names&quot;:false,&quot;dropping-particle&quot;:&quot;&quot;,&quot;non-dropping-particle&quot;:&quot;&quot;},{&quot;family&quot;:&quot;Langhammer&quot;,&quot;given&quot;:&quot;Arnulf&quot;,&quot;parse-names&quot;:false,&quot;dropping-particle&quot;:&quot;&quot;,&quot;non-dropping-particle&quot;:&quot;&quot;},{&quot;family&quot;:&quot;Vanfleteren&quot;,&quot;given&quot;:&quot;Lowie&quot;,&quot;parse-names&quot;:false,&quot;dropping-particle&quot;:&quot;&quot;,&quot;non-dropping-particle&quot;:&quot;&quot;}],&quot;container-title&quot;:&quot;Respirology (Carlton, Vic.)&quot;,&quot;container-title-short&quot;:&quot;Respirology&quot;,&quot;accessed&quot;:{&quot;date-parts&quot;:[[2025,2,20]]},&quot;DOI&quot;:&quot;10.1111/RESP.14222&quot;,&quot;ISSN&quot;:&quot;1440-1843&quot;,&quot;PMID&quot;:&quot;35144315&quot;,&quot;URL&quot;:&quot;https://pubmed.ncbi.nlm.nih.gov/35144315/&quot;,&quot;issued&quot;:{&quot;date-parts&quot;:[[2022,4,1]]},&quot;page&quot;:&quot;277-285&quot;,&quot;abstract&quot;:&quot;Background and objective: Chronic obstructive pulmonary disease (COPD) is a heterogeneous disease often viewed as part of a multimorbidity complex. There is a need for better phenotyping of the disease, characterization of its interplay with other comorbidities and its association with long-term outcomes. This study aims to examine how clusters of comorbidities are associated with severe exacerbations and mortality in COPD. Methods: Participants with potential COPD were recruited from the second (1995–1997) and third (2006–2008) survey of the HUNT Study and followed up until April 2020. Ten objectively identified comorbidities were clustered using self-organizing maps. Severe COPD exacerbations requiring hospitalization were assessed using hospital data. All-cause mortality was collected from national registries. Multivariable Cox regression was used to calculate hazard ratios (HRs) with 95% CIs for the association between comorbidity clusters and all-cause mortality. Poisson regression was used to calculate incidence rate ratios (IRRs) with 95% CI for the cumulative number of severe exacerbations for each cluster. Results: Five distinct clusters were identified, including ‘less comorbidity’, ‘psychological’, ‘cardiovascular’, ‘metabolic’ and ‘cachectic’ clusters. Using the less comorbidity cluster as reference, the psychological and cachectic clusters were associated with all-cause mortality (HR 1.23 [1.04–1.45] and HR 1.83 [1.52–2.20], adjusted for age and sex). The same clusters also had increased risk of exacerbations (unadjusted IRR of 1.24 [95% CI 1.04–1.48] and 1.50 [95% CI 1.23–1.83], respectively). Conclusion: During 25 years of follow-up, individuals in the psychological and cachectic clusters had increased mortality. Furthermore, these clusters were associated with increased risk of severe COPD exacerbations.&quot;,&quot;publisher&quot;:&quot;Respirology&quot;,&quot;issue&quot;:&quot;4&quot;,&quot;volume&quot;:&quot;27&quot;},&quot;isTemporary&quot;:false}]},{&quot;citationID&quot;:&quot;MENDELEY_CITATION_76925d18-07d5-4ed1-9fb5-0956fb77b78c&quot;,&quot;properties&quot;:{&quot;noteIndex&quot;:0},&quot;isEdited&quot;:false,&quot;manualOverride&quot;:{&quot;isManuallyOverridden&quot;:false,&quot;citeprocText&quot;:&quot;[201,202,214–216]&quot;,&quot;manualOverrideText&quot;:&quot;&quot;},&quot;citationTag&quot;:&quot;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&quot;,&quot;citationItems&quot;:[{&quot;id&quot;:&quot;bcc822a8-0be5-375e-9671-4a7b81d33b46&quot;,&quot;itemData&quot;:{&quot;type&quot;:&quot;article-journal&quot;,&quot;id&quot;:&quot;bcc822a8-0be5-375e-9671-4a7b81d33b46&quot;,&quot;title&quot;:&quot;Clusters of Comorbidities Based on Validated Objective Measurements and Systemic Inflammation in Patients with Chronic Obstructive Pulmonary Disease&quot;,&quot;author&quot;:[{&quot;family&quot;:&quot;Vanfleteren&quot;,&quot;given&quot;:&quot;Lowie E G W&quot;,&quot;parse-names&quot;:false,&quot;dropping-particle&quot;:&quot;&quot;,&quot;non-dropping-particle&quot;:&quot;&quot;},{&quot;family&quot;:&quot;Spruit&quot;,&quot;given&quot;:&quot;Martijn A&quot;,&quot;parse-names&quot;:false,&quot;dropping-particle&quot;:&quot;&quot;,&quot;non-dropping-particle&quot;:&quot;&quot;},{&quot;family&quot;:&quot;Groenen&quot;,&quot;given&quot;:&quot;Miriam&quot;,&quot;parse-names&quot;:false,&quot;dropping-particle&quot;:&quot;&quot;,&quot;non-dropping-particle&quot;:&quot;&quot;},{&quot;family&quot;:&quot;Gaffron&quot;,&quot;given&quot;:&quot;Swetlana&quot;,&quot;parse-names&quot;:false,&quot;dropping-particle&quot;:&quot;&quot;,&quot;non-dropping-particle&quot;:&quot;&quot;},{&quot;family&quot;:&quot;Empel&quot;,&quot;given&quot;:&quot;Vanessa P M&quot;,&quot;parse-names&quot;:false,&quot;dropping-particle&quot;:&quot;&quot;,&quot;non-dropping-particle&quot;:&quot;Van&quot;},{&quot;family&quot;:&quot;Bruijnzeel&quot;,&quot;given&quot;:&quot;Piet L B&quot;,&quot;parse-names&quot;:false,&quot;dropping-particle&quot;:&quot;&quot;,&quot;non-dropping-particle&quot;:&quot;&quot;},{&quot;family&quot;:&quot;Rutten&quot;,&quot;given&quot;:&quot;Erica P A&quot;,&quot;parse-names&quot;:false,&quot;dropping-particle&quot;:&quot;&quot;,&quot;non-dropping-particle&quot;:&quot;&quot;},{&quot;family&quot;:&quot;Op 't Roodt&quot;,&quot;given&quot;:&quot;Jos&quot;,&quot;parse-names&quot;:false,&quot;dropping-particle&quot;:&quot;&quot;,&quot;non-dropping-particle&quot;:&quot;&quot;},{&quot;family&quot;:&quot;Wouters&quot;,&quot;given&quot;:&quot;Emiel F M&quot;,&quot;parse-names&quot;:false,&quot;dropping-particle&quot;:&quot;&quot;,&quot;non-dropping-particle&quot;:&quot;&quot;},{&quot;family&quot;:&quot;Franssen&quot;,&quot;given&quot;:&quot;Frits M E&quot;,&quot;parse-names&quot;:false,&quot;dropping-particle&quot;:&quot;&quot;,&quot;non-dropping-particle&quot;:&quot;&quot;}],&quot;accessed&quot;:{&quot;date-parts&quot;:[[2024,4,23]]},&quot;DOI&quot;:&quot;10.1164/rccm.201209-1665OC&quot;,&quot;URL&quot;:&quot;www.viscovery.net;&quot;,&quot;abstract&quot;:&quot;Rationale: Comorbidities contribute to disease severity and mortality in patients with chronic obstructive pulmonary disease (COPD). Comorbidities have been studied individually and were mostly based on self-reports. The coexistence of objectively identified comorbid-ities and the role of low-grade systemic inflammation in the patho-physiology of COPD remain to be elucidated. Objectives: To cluster 13 clinically important objectively identified comorbidities, and to characterize the comorbidity clusters in terms of clinical outcomes and systemic inflammation. Methods: A total of 213 patients with COPD (FEV 1 , 51 6 17% predicted ; men, 59%; age, 64 6 7 yr) were included prospectively. Comorbidities were based on well-known cutoffs identified in the peer-reviewed English literature. Systemic inflammatory biomarkers were determined in all patients. Self-organizing maps were used to generate comorbidity clusters. Measurements and Main Results: A total of 97.7% of all patients had one or more comorbidities and 53.5% had four or more comorbid-ities. Five comorbidity clusters were identified: (1) less comorbidity, (2) cardiovascular, (3) cachectic, (4) metabolic, and (5) psychological. Comorbidity clusters differed in health status but were comparable with respect to disease severity. An increased inflammatory state was observed only for tumor necrosis factor (TNF) receptors in the metabolic cluster (geometric mean [lower and upper limit]; TNF-R1, 2,377 [1,850, 3,055] pg/ml, confidence, 98.5%; TNF-R2, 4,080 [3,115, 5,344] pg/ml, confidence, 98.8%) and only for IL-6 in the cardiovascular cluster (IL-6, 3.4 [1.8, 6.6] pg/ml; confidence, 99.8%). Conclusions: Multimorbidity is common in patients with COPD, and different comorbidity clusters can be identified. Low-grade systemic inflammation is mostly comparable among comorbidity clusters. Increasing knowledge on the interactions between comorbidities increases the understanding of their development and contributes to strategies for prevention or improved treatment.&quot;,&quot;container-title-short&quot;:&quot;&quot;},&quot;isTemporary&quot;:false},{&quot;id&quot;:&quot;b9ab0f5b-a6d5-3e4b-9ec3-dd449b956307&quot;,&quot;itemData&quot;:{&quot;type&quot;:&quot;article-journal&quot;,&quot;id&quot;:&quot;b9ab0f5b-a6d5-3e4b-9ec3-dd449b956307&quot;,&quot;title&quot;:&quot;The HUNT study: Association of comorbidity clusters with long-term survival and incidence of exacerbation in a population-based Norwegian COPD cohort&quot;,&quot;author&quot;:[{&quot;family&quot;:&quot;Vikjord&quot;,&quot;given&quot;:&quot;Sigrid Anna Aalberg&quot;,&quot;parse-names&quot;:false,&quot;dropping-particle&quot;:&quot;&quot;,&quot;non-dropping-particle&quot;:&quot;&quot;},{&quot;family&quot;:&quot;Brumpton&quot;,&quot;given&quot;:&quot;Ben Michael&quot;,&quot;parse-names&quot;:false,&quot;dropping-particle&quot;:&quot;&quot;,&quot;non-dropping-particle&quot;:&quot;&quot;},{&quot;family&quot;:&quot;Mai&quot;,&quot;given&quot;:&quot;Xiao Mei&quot;,&quot;parse-names&quot;:false,&quot;dropping-particle&quot;:&quot;&quot;,&quot;non-dropping-particle&quot;:&quot;&quot;},{&quot;family&quot;:&quot;Romundstad&quot;,&quot;given&quot;:&quot;Solfrid&quot;,&quot;parse-names&quot;:false,&quot;dropping-particle&quot;:&quot;&quot;,&quot;non-dropping-particle&quot;:&quot;&quot;},{&quot;family&quot;:&quot;Langhammer&quot;,&quot;given&quot;:&quot;Arnulf&quot;,&quot;parse-names&quot;:false,&quot;dropping-particle&quot;:&quot;&quot;,&quot;non-dropping-particle&quot;:&quot;&quot;},{&quot;family&quot;:&quot;Vanfleteren&quot;,&quot;given&quot;:&quot;Lowie&quot;,&quot;parse-names&quot;:false,&quot;dropping-particle&quot;:&quot;&quot;,&quot;non-dropping-particle&quot;:&quot;&quot;}],&quot;container-title&quot;:&quot;Respirology (Carlton, Vic.)&quot;,&quot;container-title-short&quot;:&quot;Respirology&quot;,&quot;accessed&quot;:{&quot;date-parts&quot;:[[2025,2,20]]},&quot;DOI&quot;:&quot;10.1111/RESP.14222&quot;,&quot;ISSN&quot;:&quot;1440-1843&quot;,&quot;PMID&quot;:&quot;35144315&quot;,&quot;URL&quot;:&quot;https://pubmed.ncbi.nlm.nih.gov/35144315/&quot;,&quot;issued&quot;:{&quot;date-parts&quot;:[[2022,4,1]]},&quot;page&quot;:&quot;277-285&quot;,&quot;abstract&quot;:&quot;Background and objective: Chronic obstructive pulmonary disease (COPD) is a heterogeneous disease often viewed as part of a multimorbidity complex. There is a need for better phenotyping of the disease, characterization of its interplay with other comorbidities and its association with long-term outcomes. This study aims to examine how clusters of comorbidities are associated with severe exacerbations and mortality in COPD. Methods: Participants with potential COPD were recruited from the second (1995–1997) and third (2006–2008) survey of the HUNT Study and followed up until April 2020. Ten objectively identified comorbidities were clustered using self-organizing maps. Severe COPD exacerbations requiring hospitalization were assessed using hospital data. All-cause mortality was collected from national registries. Multivariable Cox regression was used to calculate hazard ratios (HRs) with 95% CIs for the association between comorbidity clusters and all-cause mortality. Poisson regression was used to calculate incidence rate ratios (IRRs) with 95% CI for the cumulative number of severe exacerbations for each cluster. Results: Five distinct clusters were identified, including ‘less comorbidity’, ‘psychological’, ‘cardiovascular’, ‘metabolic’ and ‘cachectic’ clusters. Using the less comorbidity cluster as reference, the psychological and cachectic clusters were associated with all-cause mortality (HR 1.23 [1.04–1.45] and HR 1.83 [1.52–2.20], adjusted for age and sex). The same clusters also had increased risk of exacerbations (unadjusted IRR of 1.24 [95% CI 1.04–1.48] and 1.50 [95% CI 1.23–1.83], respectively). Conclusion: During 25 years of follow-up, individuals in the psychological and cachectic clusters had increased mortality. Furthermore, these clusters were associated with increased risk of severe COPD exacerbations.&quot;,&quot;publisher&quot;:&quot;Respirology&quot;,&quot;issue&quot;:&quot;4&quot;,&quot;volume&quot;:&quot;27&quot;},&quot;isTemporary&quot;:false},{&quot;id&quot;:&quot;c50374c5-1253-37f7-83e2-abf81cd0018e&quot;,&quot;itemData&quot;:{&quot;type&quot;:&quot;article-journal&quot;,&quot;id&quot;:&quot;c50374c5-1253-37f7-83e2-abf81cd0018e&quot;,&quot;title&quot;:&quot;Epidemiology of Chronic Obstructive Pulmonary Disease (COPD) Comorbidities in Lithuanian National Database: A Cluster Analysis&quot;,&quot;author&quot;:[{&quot;family&quot;:&quot;Jurevičienė&quot;,&quot;given&quot;:&quot;Elena&quot;,&quot;parse-names&quot;:false,&quot;dropping-particle&quot;:&quot;&quot;,&quot;non-dropping-particle&quot;:&quot;&quot;},{&quot;family&quot;:&quot;Burneikaitė&quot;,&quot;given&quot;:&quot;Greta&quot;,&quot;parse-names&quot;:false,&quot;dropping-particle&quot;:&quot;&quot;,&quot;non-dropping-particle&quot;:&quot;&quot;},{&quot;family&quot;:&quot;Dambrauskas&quot;,&quot;given&quot;:&quot;Laimis&quot;,&quot;parse-names&quot;:false,&quot;dropping-particle&quot;:&quot;&quot;,&quot;non-dropping-particle&quot;:&quot;&quot;},{&quot;family&quot;:&quot;Kasiulevičius&quot;,&quot;given&quot;:&quot;Vytautas&quot;,&quot;parse-names&quot;:false,&quot;dropping-particle&quot;:&quot;&quot;,&quot;non-dropping-particle&quot;:&quot;&quot;},{&quot;family&quot;:&quot;Kazėnaitė&quot;,&quot;given&quot;:&quot;Edita&quot;,&quot;parse-names&quot;:false,&quot;dropping-particle&quot;:&quot;&quot;,&quot;non-dropping-particle&quot;:&quot;&quot;},{&quot;family&quot;:&quot;Navickas&quot;,&quot;given&quot;:&quot;Rokas&quot;,&quot;parse-names&quot;:false,&quot;dropping-particle&quot;:&quot;&quot;,&quot;non-dropping-particle&quot;:&quot;&quot;},{&quot;family&quot;:&quot;Puronaitė&quot;,&quot;given&quot;:&quot;Roma&quot;,&quot;parse-names&quot;:false,&quot;dropping-particle&quot;:&quot;&quot;,&quot;non-dropping-particle&quot;:&quot;&quot;},{&quot;family&quot;:&quot;Smailytė&quot;,&quot;given&quot;:&quot;Giedrė&quot;,&quot;parse-names&quot;:false,&quot;dropping-particle&quot;:&quot;&quot;,&quot;non-dropping-particle&quot;:&quot;&quot;},{&quot;family&quot;:&quot;Visockienė&quot;,&quot;given&quot;:&quot;Žydrūnė&quot;,&quot;parse-names&quot;:false,&quot;dropping-particle&quot;:&quot;&quot;,&quot;non-dropping-particle&quot;:&quot;&quot;},{&quot;family&quot;:&quot;Danila&quot;,&quot;given&quot;:&quot;Edvardas&quot;,&quot;parse-names&quot;:false,&quot;dropping-particle&quot;:&quot;&quot;,&quot;non-dropping-particle&quot;:&quot;&quot;}],&quot;container-title&quot;:&quot;International Journal of Environmental Research and Public Health&quot;,&quot;DOI&quot;:&quot;10.3390/ijerph19020970&quot;,&quot;ISSN&quot;:&quot;16604601&quot;,&quot;PMID&quot;:&quot;35055792&quot;,&quot;issued&quot;:{&quot;date-parts&quot;:[[2022]]},&quot;abstract&quot;:&quot;Various comorbidities and multimorbidity frequently occur in chronic obstructive pulmonary disease (COPD), leading to the overload of health care systems and increased mortality. We aimed to assess the impact of COPD on the probability and clustering of comorbidities. The cross-sectional analysis of the nationwide Lithuanian database was performed based on the entries of the codes of chronic diseases. COPD was defined on the code J44.8 entry and six-month consumption of bronchodilators. Descriptive statistics and odds ratios (ORs) for associations and agglomerative hierarchical clustering were carried out. 321,297 patients aged 40–79 years were included; 4834 of them had COPD. A significantly higher prevalence of cardiovascular diseases (CVD), lung cancer, kidney diseases, and the association of COPD with six-fold higher odds of lung cancer (OR 6.66; p &lt; 0.0001), a two-fold of heart failure (OR 2.61; p &lt; 0.0001), and CVD (OR 1.83; p &lt; 0.0001) was found. Six clusters in COPD males and five in females were pointed out, in patients without COPD—five and four clusters accordingly. The most prevalent cardiovascular cluster had no significant difference according to sex or COPD presence, but a different linkage of dyslipidemia was found. The study raises the need to elaborate adjusted multimorbidity case management and screening tools enabling better outcomes.&quot;,&quot;issue&quot;:&quot;2&quot;,&quot;volume&quot;:&quot;19&quot;,&quot;container-title-short&quot;:&quot;Int J Environ Res Public Health&quot;},&quot;isTemporary&quot;:false},{&quot;id&quot;:&quot;ab72590d-56d2-3bed-a96a-3a969bacf3d6&quot;,&quot;itemData&quot;:{&quot;type&quot;:&quot;article-journal&quot;,&quot;id&quot;:&quot;ab72590d-56d2-3bed-a96a-3a969bacf3d6&quot;,&quot;title&quot;:&quot;Prognostication of co-morbidity clusters on hospitalisation and mortality in advanced COPD&quot;,&quot;author&quot;:[{&quot;family&quot;:&quot;James&quot;,&quot;given&quot;:&quot;Benjamin D.&quot;,&quot;parse-names&quot;:false,&quot;dropping-particle&quot;:&quot;&quot;,&quot;non-dropping-particle&quot;:&quot;&quot;},{&quot;family&quot;:&quot;Greening&quot;,&quot;given&quot;:&quot;Neil J.&quot;,&quot;parse-names&quot;:false,&quot;dropping-particle&quot;:&quot;&quot;,&quot;non-dropping-particle&quot;:&quot;&quot;},{&quot;family&quot;:&quot;Tracey&quot;,&quot;given&quot;:&quot;Nicole&quot;,&quot;parse-names&quot;:false,&quot;dropping-particle&quot;:&quot;&quot;,&quot;non-dropping-particle&quot;:&quot;&quot;},{&quot;family&quot;:&quot;Haldar&quot;,&quot;given&quot;:&quot;Pranabashis&quot;,&quot;parse-names&quot;:false,&quot;dropping-particle&quot;:&quot;&quot;,&quot;non-dropping-particle&quot;:&quot;&quot;},{&quot;family&quot;:&quot;Woltmann&quot;,&quot;given&quot;:&quot;Gerrit&quot;,&quot;parse-names&quot;:false,&quot;dropping-particle&quot;:&quot;&quot;,&quot;non-dropping-particle&quot;:&quot;&quot;},{&quot;family&quot;:&quot;Free&quot;,&quot;given&quot;:&quot;Robert C.&quot;,&quot;parse-names&quot;:false,&quot;dropping-particle&quot;:&quot;&quot;,&quot;non-dropping-particle&quot;:&quot;&quot;},{&quot;family&quot;:&quot;Steiner&quot;,&quot;given&quot;:&quot;Michael C.&quot;,&quot;parse-names&quot;:false,&quot;dropping-particle&quot;:&quot;&quot;,&quot;non-dropping-particle&quot;:&quot;&quot;},{&quot;family&quot;:&quot;Evans&quot;,&quot;given&quot;:&quot;Rachael A.&quot;,&quot;parse-names&quot;:false,&quot;dropping-particle&quot;:&quot;&quot;,&quot;non-dropping-particle&quot;:&quot;&quot;},{&quot;family&quot;:&quot;Ward&quot;,&quot;given&quot;:&quot;Thomas JC&quot;,&quot;parse-names&quot;:false,&quot;dropping-particle&quot;:&quot;&quot;,&quot;non-dropping-particle&quot;:&quot;&quot;}],&quot;container-title&quot;:&quot;Respiratory medicine&quot;,&quot;accessed&quot;:{&quot;date-parts&quot;:[[2025,2,20]]},&quot;DOI&quot;:&quot;10.1016/J.RMED.2023.107525&quot;,&quot;ISSN&quot;:&quot;1532-3064&quot;,&quot;PMID&quot;:&quot;38182000&quot;,&quot;URL&quot;:&quot;https://pubmed.ncbi.nlm.nih.gov/38182000/&quot;,&quot;issued&quot;:{&quot;date-parts&quot;:[[2024,2,1]]},&quot;abstract&quot;:&quot;Rationale: As the prevalence of multimorbidity increases, understanding the impact of isolated comorbidities in people COPD becomes increasingly challenging. A simplified model of common comorbidity patterns may improve outcome prediction and allow targeted therapy. Objectives: To assess whether comorbidity phenotypes derived from routinely collected clinical data in people with COPD show differences in risk of hospitalisation and mortality. Methods: Twelve clinical measures related to common comorbidities were collected during annual reviews for people with advanced COPD and k-means cluster analysis performed. Cox proportional hazards with adjustment for covariates was used to determine hospitalisation and mortality risk between clusters. Measurements and main results: In 203 participants (age 66 ± 9 years, 60 % male, FEV1%predicted 31 ± 10 %) no comorbidity in isolation was predictive of worse admission or mortality risk. Four clusters were described: cluster A (cardiometabolic and anaemia), cluster B (malnourished and low mood), cluster C (obese, metabolic and mood disturbance) and cluster D (less comorbid). FEV1%predicted did not significantly differ between clusters. Mortality risk was higher in cluster A (HR 3.73 [95%CI 1.09–12.82] p = 0.036) and B (HR 3.91 [95%CI 1.17–13.14] p = 0.027) compared to cluster D. Time to admission was highest in cluster A (HR 2.01 [95%CI 1.11–3.63] p = 0.020). Cluster C was not associated with increased risk of mortality or hospitalisation. Conclusions: Despite presence of advanced COPD, we report striking differences in prognosis for both mortality and hospital admissions for different co-morbidity phenotypes. Objectively assessing the multi-system nature of COPD could lead to improved prognostication and targeted therapy for patients.&quot;,&quot;publisher&quot;:&quot;Respir Med&quot;,&quot;volume&quot;:&quot;222&quot;,&quot;container-title-short&quot;:&quot;Respir Med&quot;},&quot;isTemporary&quot;:false},{&quot;id&quot;:&quot;c664cb3f-7c7f-3475-a086-66e6b703eae6&quot;,&quot;itemData&quot;:{&quot;type&quot;:&quot;article-journal&quot;,&quot;id&quot;:&quot;c664cb3f-7c7f-3475-a086-66e6b703eae6&quot;,&quot;title&quot;:&quot;Identification of five clusters of comorbidities in a longitudinal Japanese chronic obstructive pulmonary disease cohort&quot;,&quot;author&quot;:[{&quot;family&quot;:&quot;Chubachi&quot;,&quot;given&quot;:&quot;Shotaro&quot;,&quot;parse-names&quot;:false,&quot;dropping-particle&quot;:&quot;&quot;,&quot;non-dropping-particle&quot;:&quot;&quot;},{&quot;family&quot;:&quot;Sato&quot;,&quot;given&quot;:&quot;Minako&quot;,&quot;parse-names&quot;:false,&quot;dropping-particle&quot;:&quot;&quot;,&quot;non-dropping-particle&quot;:&quot;&quot;},{&quot;family&quot;:&quot;Kameyama&quot;,&quot;given&quot;:&quot;Naofumi&quot;,&quot;parse-names&quot;:false,&quot;dropping-particle&quot;:&quot;&quot;,&quot;non-dropping-particle&quot;:&quot;&quot;},{&quot;family&quot;:&quot;Tsutsumi&quot;,&quot;given&quot;:&quot;Akihiro&quot;,&quot;parse-names&quot;:false,&quot;dropping-particle&quot;:&quot;&quot;,&quot;non-dropping-particle&quot;:&quot;&quot;},{&quot;family&quot;:&quot;Sasaki&quot;,&quot;given&quot;:&quot;Mamoru&quot;,&quot;parse-names&quot;:false,&quot;dropping-particle&quot;:&quot;&quot;,&quot;non-dropping-particle&quot;:&quot;&quot;},{&quot;family&quot;:&quot;Tateno&quot;,&quot;given&quot;:&quot;Hiroki&quot;,&quot;parse-names&quot;:false,&quot;dropping-particle&quot;:&quot;&quot;,&quot;non-dropping-particle&quot;:&quot;&quot;},{&quot;family&quot;:&quot;Nakamura&quot;,&quot;given&quot;:&quot;Hidetoshi&quot;,&quot;parse-names&quot;:false,&quot;dropping-particle&quot;:&quot;&quot;,&quot;non-dropping-particle&quot;:&quot;&quot;},{&quot;family&quot;:&quot;Asano&quot;,&quot;given&quot;:&quot;Koichiro&quot;,&quot;parse-names&quot;:false,&quot;dropping-particle&quot;:&quot;&quot;,&quot;non-dropping-particle&quot;:&quot;&quot;},{&quot;family&quot;:&quot;Betsuyaku&quot;,&quot;given&quot;:&quot;Tomoko&quot;,&quot;parse-names&quot;:false,&quot;dropping-particle&quot;:&quot;&quot;,&quot;non-dropping-particle&quot;:&quot;&quot;}],&quot;container-title&quot;:&quot;Respiratory Medicine&quot;,&quot;container-title-short&quot;:&quot;Respir Med&quot;,&quot;DOI&quot;:&quot;10.1016/j.rmed.2016.07.002&quot;,&quot;ISSN&quot;:&quot;15323064&quot;,&quot;PMID&quot;:&quot;27492541&quot;,&quot;URL&quot;:&quot;http://dx.doi.org/10.1016/j.rmed.2016.07.002&quot;,&quot;issued&quot;:{&quot;date-parts&quot;:[[2016]]},&quot;page&quot;:&quot;272-279&quot;,&quot;abstract&quot;:&quot;Background and objectives Patients with chronic obstructive pulmonary disease (COPD) frequently suffer from various comorbidities. Recently, cluster analysis has been proposed to examine the phenotypic heterogeneity in COPD. In order to comprehensively understand the comorbidities of COPD in Japan, we conducted multicenter, longitudinal cohort study, called the Keio COPD Comorbidity Research (K-CCR). In this cohort, comorbid diagnoses were established by both objective examination and review of clinical records, in addition to self-report. We aimed to investigate the clustering of nineteen clinically relevant comorbidities and the meaningful outcomes of the clusters over a two-year follow-up period. Material and Methods The present study analyzed data from COPD patients whose data of comorbidities were completed (n = 311). Cluster analysis was performed using Ward's minimum-variance method. Results Five comorbidity clusters were identified: less comorbidity; malignancy; metabolic and cardiovascular; gastroesophageal reflux disease (GERD) and psychological; and underweight and anemic. FEV1 did not differ among the clusters. GERD and psychological cluster had worse COPD assessment test (CAT) and Saint George's respiratory questionnaire (SGRQ) at baseline compared to the other clusters (CAT: p = 0.0003 and SGRQ: p = 0.00046). The rate of change in these scores did not differ within 2 years. The underweight and anemic cluster included subjects with lower baseline ratio of predicted diffusing capacity (DLco/VA) compared to the malignancy cluster (p = 0.036). Conclusions Five clusters of comorbidities were identified in Japanese COPD patients. The clinical characteristics and health-related quality of life were different among these clusters during a follow-up of two years.&quot;,&quot;publisher&quot;:&quot;Elsevier Ltd&quot;,&quot;volume&quot;:&quot;117&quot;},&quot;isTemporary&quot;:false}]},{&quot;citationID&quot;:&quot;MENDELEY_CITATION_5ec81c56-b39e-4df6-b3d6-cb6a0f3de51f&quot;,&quot;properties&quot;:{&quot;noteIndex&quot;:0},&quot;isEdited&quot;:false,&quot;manualOverride&quot;:{&quot;isManuallyOverridden&quot;:false,&quot;citeprocText&quot;:&quot;[217]&quot;,&quot;manualOverrideText&quot;:&quot;&quot;},&quot;citationTag&quot;:&quot;MENDELEY_CITATION_v3_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&quot;,&quot;citationItems&quot;:[{&quot;id&quot;:&quot;d55616d8-130d-3542-9b85-c671642e7387&quot;,&quot;itemData&quot;:{&quot;type&quot;:&quot;article-journal&quot;,&quot;id&quot;:&quot;d55616d8-130d-3542-9b85-c671642e7387&quot;,&quot;title&quot;:&quot;COPD and Cardiovascular Disease&quot;,&quot;author&quot;:[{&quot;family&quot;:&quot;André&quot;,&quot;given&quot;:&quot;S.&quot;,&quot;parse-names&quot;:false,&quot;dropping-particle&quot;:&quot;&quot;,&quot;non-dropping-particle&quot;:&quot;&quot;},{&quot;family&quot;:&quot;Conde&quot;,&quot;given&quot;:&quot;B.&quot;,&quot;parse-names&quot;:false,&quot;dropping-particle&quot;:&quot;&quot;,&quot;non-dropping-particle&quot;:&quot;&quot;},{&quot;family&quot;:&quot;Fragoso&quot;,&quot;given&quot;:&quot;E.&quot;,&quot;parse-names&quot;:false,&quot;dropping-particle&quot;:&quot;&quot;,&quot;non-dropping-particle&quot;:&quot;&quot;},{&quot;family&quot;:&quot;Boléo-Tomé&quot;,&quot;given&quot;:&quot;J. P.&quot;,&quot;parse-names&quot;:false,&quot;dropping-particle&quot;:&quot;&quot;,&quot;non-dropping-particle&quot;:&quot;&quot;},{&quot;family&quot;:&quot;Areias&quot;,&quot;given&quot;:&quot;V.&quot;,&quot;parse-names&quot;:false,&quot;dropping-particle&quot;:&quot;&quot;,&quot;non-dropping-particle&quot;:&quot;&quot;},{&quot;family&quot;:&quot;Cardoso&quot;,&quot;given&quot;:&quot;J.&quot;,&quot;parse-names&quot;:false,&quot;dropping-particle&quot;:&quot;&quot;,&quot;non-dropping-particle&quot;:&quot;&quot;}],&quot;container-title&quot;:&quot;Pulmonology&quot;,&quot;container-title-short&quot;:&quot;Pulmonology&quot;,&quot;accessed&quot;:{&quot;date-parts&quot;:[[2024,6,1]]},&quot;DOI&quot;:&quot;10.1016/J.PULMOE.2018.09.006&quot;,&quot;ISSN&quot;:&quot;2531-0437&quot;,&quot;PMID&quot;:&quot;30527374&quot;,&quot;issued&quot;:{&quot;date-parts&quot;:[[2019,5,1]]},&quot;page&quot;:&quot;168-176&quot;,&quot;abstract&quot;:&quot;COPD is one of the major public health problems in people aged 40 years or above. It is currently the 4th leading cause of death in the world and projected to be the 3rd leading cause of death by 2020. COPD and cardiac comorbidities are frequently associated. They share common risk factors, pathophysiological processes, signs and symptoms, and act synergistically as negative prognostic factors. Cardiac disease includes a broad spectrum of entities with distinct pathophysiology, treatment and prognosis. From an epidemiological point of view, patients with COPD are particularly vulnerable to cardiac disease. Indeed, mortality due to cardiac disease in patients with moderate COPD is higher than mortality related to respiratory failure. Guidelines reinforce that the control of comorbidities in COPD has a clear benefit over the potential risk associated with the majority of the drugs utilized. On the other hand, the true survival benefits of aggressive treatment of cardiac disease and COPD in patients with both conditions have still not been clarified. Given their relevance in terms of prevalence and prognosis, we will focus in this paper on the management of COPD patients with ischemic coronary disease, heart failure and dysrhythmia.&quot;,&quot;publisher&quot;:&quot;Elsevier Doyma&quot;,&quot;issue&quot;:&quot;3&quot;,&quot;volume&quot;:&quot;25&quot;},&quot;isTemporary&quot;:false}]},{&quot;citationID&quot;:&quot;MENDELEY_CITATION_1187e663-405c-4569-8d64-11d573d38a81&quot;,&quot;properties&quot;:{&quot;noteIndex&quot;:0},&quot;isEdited&quot;:false,&quot;manualOverride&quot;:{&quot;isManuallyOverridden&quot;:false,&quot;citeprocText&quot;:&quot;[214,217]&quot;,&quot;manualOverrideText&quot;:&quot;&quot;},&quot;citationTag&quot;:&quot;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&quot;,&quot;citationItems&quot;:[{&quot;id&quot;:&quot;d55616d8-130d-3542-9b85-c671642e7387&quot;,&quot;itemData&quot;:{&quot;type&quot;:&quot;article-journal&quot;,&quot;id&quot;:&quot;d55616d8-130d-3542-9b85-c671642e7387&quot;,&quot;title&quot;:&quot;COPD and Cardiovascular Disease&quot;,&quot;author&quot;:[{&quot;family&quot;:&quot;André&quot;,&quot;given&quot;:&quot;S.&quot;,&quot;parse-names&quot;:false,&quot;dropping-particle&quot;:&quot;&quot;,&quot;non-dropping-particle&quot;:&quot;&quot;},{&quot;family&quot;:&quot;Conde&quot;,&quot;given&quot;:&quot;B.&quot;,&quot;parse-names&quot;:false,&quot;dropping-particle&quot;:&quot;&quot;,&quot;non-dropping-particle&quot;:&quot;&quot;},{&quot;family&quot;:&quot;Fragoso&quot;,&quot;given&quot;:&quot;E.&quot;,&quot;parse-names&quot;:false,&quot;dropping-particle&quot;:&quot;&quot;,&quot;non-dropping-particle&quot;:&quot;&quot;},{&quot;family&quot;:&quot;Boléo-Tomé&quot;,&quot;given&quot;:&quot;J. P.&quot;,&quot;parse-names&quot;:false,&quot;dropping-particle&quot;:&quot;&quot;,&quot;non-dropping-particle&quot;:&quot;&quot;},{&quot;family&quot;:&quot;Areias&quot;,&quot;given&quot;:&quot;V.&quot;,&quot;parse-names&quot;:false,&quot;dropping-particle&quot;:&quot;&quot;,&quot;non-dropping-particle&quot;:&quot;&quot;},{&quot;family&quot;:&quot;Cardoso&quot;,&quot;given&quot;:&quot;J.&quot;,&quot;parse-names&quot;:false,&quot;dropping-particle&quot;:&quot;&quot;,&quot;non-dropping-particle&quot;:&quot;&quot;}],&quot;container-title&quot;:&quot;Pulmonology&quot;,&quot;container-title-short&quot;:&quot;Pulmonology&quot;,&quot;accessed&quot;:{&quot;date-parts&quot;:[[2024,6,1]]},&quot;DOI&quot;:&quot;10.1016/J.PULMOE.2018.09.006&quot;,&quot;ISSN&quot;:&quot;2531-0437&quot;,&quot;PMID&quot;:&quot;30527374&quot;,&quot;issued&quot;:{&quot;date-parts&quot;:[[2019,5,1]]},&quot;page&quot;:&quot;168-176&quot;,&quot;abstract&quot;:&quot;COPD is one of the major public health problems in people aged 40 years or above. It is currently the 4th leading cause of death in the world and projected to be the 3rd leading cause of death by 2020. COPD and cardiac comorbidities are frequently associated. They share common risk factors, pathophysiological processes, signs and symptoms, and act synergistically as negative prognostic factors. Cardiac disease includes a broad spectrum of entities with distinct pathophysiology, treatment and prognosis. From an epidemiological point of view, patients with COPD are particularly vulnerable to cardiac disease. Indeed, mortality due to cardiac disease in patients with moderate COPD is higher than mortality related to respiratory failure. Guidelines reinforce that the control of comorbidities in COPD has a clear benefit over the potential risk associated with the majority of the drugs utilized. On the other hand, the true survival benefits of aggressive treatment of cardiac disease and COPD in patients with both conditions have still not been clarified. Given their relevance in terms of prevalence and prognosis, we will focus in this paper on the management of COPD patients with ischemic coronary disease, heart failure and dysrhythmia.&quot;,&quot;publisher&quot;:&quot;Elsevier Doyma&quot;,&quot;issue&quot;:&quot;3&quot;,&quot;volume&quot;:&quot;25&quot;},&quot;isTemporary&quot;:false},{&quot;id&quot;:&quot;ab72590d-56d2-3bed-a96a-3a969bacf3d6&quot;,&quot;itemData&quot;:{&quot;type&quot;:&quot;article-journal&quot;,&quot;id&quot;:&quot;ab72590d-56d2-3bed-a96a-3a969bacf3d6&quot;,&quot;title&quot;:&quot;Prognostication of co-morbidity clusters on hospitalisation and mortality in advanced COPD&quot;,&quot;author&quot;:[{&quot;family&quot;:&quot;James&quot;,&quot;given&quot;:&quot;Benjamin D.&quot;,&quot;parse-names&quot;:false,&quot;dropping-particle&quot;:&quot;&quot;,&quot;non-dropping-particle&quot;:&quot;&quot;},{&quot;family&quot;:&quot;Greening&quot;,&quot;given&quot;:&quot;Neil J.&quot;,&quot;parse-names&quot;:false,&quot;dropping-particle&quot;:&quot;&quot;,&quot;non-dropping-particle&quot;:&quot;&quot;},{&quot;family&quot;:&quot;Tracey&quot;,&quot;given&quot;:&quot;Nicole&quot;,&quot;parse-names&quot;:false,&quot;dropping-particle&quot;:&quot;&quot;,&quot;non-dropping-particle&quot;:&quot;&quot;},{&quot;family&quot;:&quot;Haldar&quot;,&quot;given&quot;:&quot;Pranabashis&quot;,&quot;parse-names&quot;:false,&quot;dropping-particle&quot;:&quot;&quot;,&quot;non-dropping-particle&quot;:&quot;&quot;},{&quot;family&quot;:&quot;Woltmann&quot;,&quot;given&quot;:&quot;Gerrit&quot;,&quot;parse-names&quot;:false,&quot;dropping-particle&quot;:&quot;&quot;,&quot;non-dropping-particle&quot;:&quot;&quot;},{&quot;family&quot;:&quot;Free&quot;,&quot;given&quot;:&quot;Robert C.&quot;,&quot;parse-names&quot;:false,&quot;dropping-particle&quot;:&quot;&quot;,&quot;non-dropping-particle&quot;:&quot;&quot;},{&quot;family&quot;:&quot;Steiner&quot;,&quot;given&quot;:&quot;Michael C.&quot;,&quot;parse-names&quot;:false,&quot;dropping-particle&quot;:&quot;&quot;,&quot;non-dropping-particle&quot;:&quot;&quot;},{&quot;family&quot;:&quot;Evans&quot;,&quot;given&quot;:&quot;Rachael A.&quot;,&quot;parse-names&quot;:false,&quot;dropping-particle&quot;:&quot;&quot;,&quot;non-dropping-particle&quot;:&quot;&quot;},{&quot;family&quot;:&quot;Ward&quot;,&quot;given&quot;:&quot;Thomas JC&quot;,&quot;parse-names&quot;:false,&quot;dropping-particle&quot;:&quot;&quot;,&quot;non-dropping-particle&quot;:&quot;&quot;}],&quot;container-title&quot;:&quot;Respiratory medicine&quot;,&quot;container-title-short&quot;:&quot;Respir Med&quot;,&quot;accessed&quot;:{&quot;date-parts&quot;:[[2025,2,20]]},&quot;DOI&quot;:&quot;10.1016/J.RMED.2023.107525&quot;,&quot;ISSN&quot;:&quot;1532-3064&quot;,&quot;PMID&quot;:&quot;38182000&quot;,&quot;URL&quot;:&quot;https://pubmed.ncbi.nlm.nih.gov/38182000/&quot;,&quot;issued&quot;:{&quot;date-parts&quot;:[[2024,2,1]]},&quot;abstract&quot;:&quot;Rationale: As the prevalence of multimorbidity increases, understanding the impact of isolated comorbidities in people COPD becomes increasingly challenging. A simplified model of common comorbidity patterns may improve outcome prediction and allow targeted therapy. Objectives: To assess whether comorbidity phenotypes derived from routinely collected clinical data in people with COPD show differences in risk of hospitalisation and mortality. Methods: Twelve clinical measures related to common comorbidities were collected during annual reviews for people with advanced COPD and k-means cluster analysis performed. Cox proportional hazards with adjustment for covariates was used to determine hospitalisation and mortality risk between clusters. Measurements and main results: In 203 participants (age 66 ± 9 years, 60 % male, FEV1%predicted 31 ± 10 %) no comorbidity in isolation was predictive of worse admission or mortality risk. Four clusters were described: cluster A (cardiometabolic and anaemia), cluster B (malnourished and low mood), cluster C (obese, metabolic and mood disturbance) and cluster D (less comorbid). FEV1%predicted did not significantly differ between clusters. Mortality risk was higher in cluster A (HR 3.73 [95%CI 1.09–12.82] p = 0.036) and B (HR 3.91 [95%CI 1.17–13.14] p = 0.027) compared to cluster D. Time to admission was highest in cluster A (HR 2.01 [95%CI 1.11–3.63] p = 0.020). Cluster C was not associated with increased risk of mortality or hospitalisation. Conclusions: Despite presence of advanced COPD, we report striking differences in prognosis for both mortality and hospital admissions for different co-morbidity phenotypes. Objectively assessing the multi-system nature of COPD could lead to improved prognostication and targeted therapy for patients.&quot;,&quot;publisher&quot;:&quot;Respir Med&quot;,&quot;volume&quot;:&quot;222&quot;},&quot;isTemporary&quot;:false}]},{&quot;citationID&quot;:&quot;MENDELEY_CITATION_b3e30b43-b72a-4e3f-a15f-0ac656e9e0cf&quot;,&quot;properties&quot;:{&quot;noteIndex&quot;:0},&quot;isEdited&quot;:false,&quot;manualOverride&quot;:{&quot;isManuallyOverridden&quot;:false,&quot;citeprocText&quot;:&quot;[214,216]&quot;,&quot;manualOverrideText&quot;:&quot;&quot;},&quot;citationTag&quot;:&quot;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&quot;,&quot;citationItems&quot;:[{&quot;id&quot;:&quot;ab72590d-56d2-3bed-a96a-3a969bacf3d6&quot;,&quot;itemData&quot;:{&quot;type&quot;:&quot;article-journal&quot;,&quot;id&quot;:&quot;ab72590d-56d2-3bed-a96a-3a969bacf3d6&quot;,&quot;title&quot;:&quot;Prognostication of co-morbidity clusters on hospitalisation and mortality in advanced COPD&quot;,&quot;author&quot;:[{&quot;family&quot;:&quot;James&quot;,&quot;given&quot;:&quot;Benjamin D.&quot;,&quot;parse-names&quot;:false,&quot;dropping-particle&quot;:&quot;&quot;,&quot;non-dropping-particle&quot;:&quot;&quot;},{&quot;family&quot;:&quot;Greening&quot;,&quot;given&quot;:&quot;Neil J.&quot;,&quot;parse-names&quot;:false,&quot;dropping-particle&quot;:&quot;&quot;,&quot;non-dropping-particle&quot;:&quot;&quot;},{&quot;family&quot;:&quot;Tracey&quot;,&quot;given&quot;:&quot;Nicole&quot;,&quot;parse-names&quot;:false,&quot;dropping-particle&quot;:&quot;&quot;,&quot;non-dropping-particle&quot;:&quot;&quot;},{&quot;family&quot;:&quot;Haldar&quot;,&quot;given&quot;:&quot;Pranabashis&quot;,&quot;parse-names&quot;:false,&quot;dropping-particle&quot;:&quot;&quot;,&quot;non-dropping-particle&quot;:&quot;&quot;},{&quot;family&quot;:&quot;Woltmann&quot;,&quot;given&quot;:&quot;Gerrit&quot;,&quot;parse-names&quot;:false,&quot;dropping-particle&quot;:&quot;&quot;,&quot;non-dropping-particle&quot;:&quot;&quot;},{&quot;family&quot;:&quot;Free&quot;,&quot;given&quot;:&quot;Robert C.&quot;,&quot;parse-names&quot;:false,&quot;dropping-particle&quot;:&quot;&quot;,&quot;non-dropping-particle&quot;:&quot;&quot;},{&quot;family&quot;:&quot;Steiner&quot;,&quot;given&quot;:&quot;Michael C.&quot;,&quot;parse-names&quot;:false,&quot;dropping-particle&quot;:&quot;&quot;,&quot;non-dropping-particle&quot;:&quot;&quot;},{&quot;family&quot;:&quot;Evans&quot;,&quot;given&quot;:&quot;Rachael A.&quot;,&quot;parse-names&quot;:false,&quot;dropping-particle&quot;:&quot;&quot;,&quot;non-dropping-particle&quot;:&quot;&quot;},{&quot;family&quot;:&quot;Ward&quot;,&quot;given&quot;:&quot;Thomas JC&quot;,&quot;parse-names&quot;:false,&quot;dropping-particle&quot;:&quot;&quot;,&quot;non-dropping-particle&quot;:&quot;&quot;}],&quot;container-title&quot;:&quot;Respiratory medicine&quot;,&quot;container-title-short&quot;:&quot;Respir Med&quot;,&quot;accessed&quot;:{&quot;date-parts&quot;:[[2025,2,20]]},&quot;DOI&quot;:&quot;10.1016/J.RMED.2023.107525&quot;,&quot;ISSN&quot;:&quot;1532-3064&quot;,&quot;PMID&quot;:&quot;38182000&quot;,&quot;URL&quot;:&quot;https://pubmed.ncbi.nlm.nih.gov/38182000/&quot;,&quot;issued&quot;:{&quot;date-parts&quot;:[[2024,2,1]]},&quot;abstract&quot;:&quot;Rationale: As the prevalence of multimorbidity increases, understanding the impact of isolated comorbidities in people COPD becomes increasingly challenging. A simplified model of common comorbidity patterns may improve outcome prediction and allow targeted therapy. Objectives: To assess whether comorbidity phenotypes derived from routinely collected clinical data in people with COPD show differences in risk of hospitalisation and mortality. Methods: Twelve clinical measures related to common comorbidities were collected during annual reviews for people with advanced COPD and k-means cluster analysis performed. Cox proportional hazards with adjustment for covariates was used to determine hospitalisation and mortality risk between clusters. Measurements and main results: In 203 participants (age 66 ± 9 years, 60 % male, FEV1%predicted 31 ± 10 %) no comorbidity in isolation was predictive of worse admission or mortality risk. Four clusters were described: cluster A (cardiometabolic and anaemia), cluster B (malnourished and low mood), cluster C (obese, metabolic and mood disturbance) and cluster D (less comorbid). FEV1%predicted did not significantly differ between clusters. Mortality risk was higher in cluster A (HR 3.73 [95%CI 1.09–12.82] p = 0.036) and B (HR 3.91 [95%CI 1.17–13.14] p = 0.027) compared to cluster D. Time to admission was highest in cluster A (HR 2.01 [95%CI 1.11–3.63] p = 0.020). Cluster C was not associated with increased risk of mortality or hospitalisation. Conclusions: Despite presence of advanced COPD, we report striking differences in prognosis for both mortality and hospital admissions for different co-morbidity phenotypes. Objectively assessing the multi-system nature of COPD could lead to improved prognostication and targeted therapy for patients.&quot;,&quot;publisher&quot;:&quot;Respir Med&quot;,&quot;volume&quot;:&quot;222&quot;},&quot;isTemporary&quot;:false},{&quot;id&quot;:&quot;b9ab0f5b-a6d5-3e4b-9ec3-dd449b956307&quot;,&quot;itemData&quot;:{&quot;type&quot;:&quot;article-journal&quot;,&quot;id&quot;:&quot;b9ab0f5b-a6d5-3e4b-9ec3-dd449b956307&quot;,&quot;title&quot;:&quot;The HUNT study: Association of comorbidity clusters with long-term survival and incidence of exacerbation in a population-based Norwegian COPD cohort&quot;,&quot;author&quot;:[{&quot;family&quot;:&quot;Vikjord&quot;,&quot;given&quot;:&quot;Sigrid Anna Aalberg&quot;,&quot;parse-names&quot;:false,&quot;dropping-particle&quot;:&quot;&quot;,&quot;non-dropping-particle&quot;:&quot;&quot;},{&quot;family&quot;:&quot;Brumpton&quot;,&quot;given&quot;:&quot;Ben Michael&quot;,&quot;parse-names&quot;:false,&quot;dropping-particle&quot;:&quot;&quot;,&quot;non-dropping-particle&quot;:&quot;&quot;},{&quot;family&quot;:&quot;Mai&quot;,&quot;given&quot;:&quot;Xiao Mei&quot;,&quot;parse-names&quot;:false,&quot;dropping-particle&quot;:&quot;&quot;,&quot;non-dropping-particle&quot;:&quot;&quot;},{&quot;family&quot;:&quot;Romundstad&quot;,&quot;given&quot;:&quot;Solfrid&quot;,&quot;parse-names&quot;:false,&quot;dropping-particle&quot;:&quot;&quot;,&quot;non-dropping-particle&quot;:&quot;&quot;},{&quot;family&quot;:&quot;Langhammer&quot;,&quot;given&quot;:&quot;Arnulf&quot;,&quot;parse-names&quot;:false,&quot;dropping-particle&quot;:&quot;&quot;,&quot;non-dropping-particle&quot;:&quot;&quot;},{&quot;family&quot;:&quot;Vanfleteren&quot;,&quot;given&quot;:&quot;Lowie&quot;,&quot;parse-names&quot;:false,&quot;dropping-particle&quot;:&quot;&quot;,&quot;non-dropping-particle&quot;:&quot;&quot;}],&quot;container-title&quot;:&quot;Respirology (Carlton, Vic.)&quot;,&quot;container-title-short&quot;:&quot;Respirology&quot;,&quot;accessed&quot;:{&quot;date-parts&quot;:[[2025,2,20]]},&quot;DOI&quot;:&quot;10.1111/RESP.14222&quot;,&quot;ISSN&quot;:&quot;1440-1843&quot;,&quot;PMID&quot;:&quot;35144315&quot;,&quot;URL&quot;:&quot;https://pubmed.ncbi.nlm.nih.gov/35144315/&quot;,&quot;issued&quot;:{&quot;date-parts&quot;:[[2022,4,1]]},&quot;page&quot;:&quot;277-285&quot;,&quot;abstract&quot;:&quot;Background and objective: Chronic obstructive pulmonary disease (COPD) is a heterogeneous disease often viewed as part of a multimorbidity complex. There is a need for better phenotyping of the disease, characterization of its interplay with other comorbidities and its association with long-term outcomes. This study aims to examine how clusters of comorbidities are associated with severe exacerbations and mortality in COPD. Methods: Participants with potential COPD were recruited from the second (1995–1997) and third (2006–2008) survey of the HUNT Study and followed up until April 2020. Ten objectively identified comorbidities were clustered using self-organizing maps. Severe COPD exacerbations requiring hospitalization were assessed using hospital data. All-cause mortality was collected from national registries. Multivariable Cox regression was used to calculate hazard ratios (HRs) with 95% CIs for the association between comorbidity clusters and all-cause mortality. Poisson regression was used to calculate incidence rate ratios (IRRs) with 95% CI for the cumulative number of severe exacerbations for each cluster. Results: Five distinct clusters were identified, including ‘less comorbidity’, ‘psychological’, ‘cardiovascular’, ‘metabolic’ and ‘cachectic’ clusters. Using the less comorbidity cluster as reference, the psychological and cachectic clusters were associated with all-cause mortality (HR 1.23 [1.04–1.45] and HR 1.83 [1.52–2.20], adjusted for age and sex). The same clusters also had increased risk of exacerbations (unadjusted IRR of 1.24 [95% CI 1.04–1.48] and 1.50 [95% CI 1.23–1.83], respectively). Conclusion: During 25 years of follow-up, individuals in the psychological and cachectic clusters had increased mortality. Furthermore, these clusters were associated with increased risk of severe COPD exacerbations.&quot;,&quot;publisher&quot;:&quot;Respirology&quot;,&quot;issue&quot;:&quot;4&quot;,&quot;volume&quot;:&quot;27&quot;},&quot;isTemporary&quot;:false}]},{&quot;citationID&quot;:&quot;MENDELEY_CITATION_d1e5fb1c-4467-4e5e-9f38-45f3d60b56f1&quot;,&quot;properties&quot;:{&quot;noteIndex&quot;:0},&quot;isEdited&quot;:false,&quot;manualOverride&quot;:{&quot;isManuallyOverridden&quot;:false,&quot;citeprocText&quot;:&quot;[218,219]&quot;,&quot;manualOverrideText&quot;:&quot;&quot;},&quot;citationTag&quot;:&quot;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&quot;,&quot;citationItems&quot;:[{&quot;id&quot;:&quot;81a2ffbc-ce9e-3349-8a6c-962deeffc5dd&quot;,&quot;itemData&quot;:{&quot;type&quot;:&quot;article-journal&quot;,&quot;id&quot;:&quot;81a2ffbc-ce9e-3349-8a6c-962deeffc5dd&quot;,&quot;title&quot;:&quot;From COPD to Lung Cancer: Mechanisms Linking, Diagnosis, Treatment, and Prognosis&quot;,&quot;author&quot;:[{&quot;family&quot;:&quot;Qi&quot;,&quot;given&quot;:&quot;Chang&quot;,&quot;parse-names&quot;:false,&quot;dropping-particle&quot;:&quot;&quot;,&quot;non-dropping-particle&quot;:&quot;&quot;},{&quot;family&quot;:&quot;Sun&quot;,&quot;given&quot;:&quot;Sheng Wen&quot;,&quot;parse-names&quot;:false,&quot;dropping-particle&quot;:&quot;&quot;,&quot;non-dropping-particle&quot;:&quot;&quot;},{&quot;family&quot;:&quot;Xiong&quot;,&quot;given&quot;:&quot;Xian Zhi&quot;,&quot;parse-names&quot;:false,&quot;dropping-particle&quot;:&quot;&quot;,&quot;non-dropping-particle&quot;:&quot;&quot;}],&quot;container-title&quot;:&quot;International Journal of Chronic Obstructive Pulmonary Disease&quot;,&quot;container-title-short&quot;:&quot;Int J Chron Obstruct Pulmon Dis&quot;,&quot;accessed&quot;:{&quot;date-parts&quot;:[[2025,3,29]]},&quot;DOI&quot;:&quot;10.2147/COPD.S380732&quot;,&quot;ISSN&quot;:&quot;11782005&quot;,&quot;PMID&quot;:&quot;36274992&quot;,&quot;URL&quot;:&quot;https://pmc.ncbi.nlm.nih.gov/articles/PMC9586171/&quot;,&quot;issued&quot;:{&quot;date-parts&quot;:[[2022]]},&quot;page&quot;:&quot;2603&quot;,&quot;abstract&quot;:&quot;Many studies have proved that the pathogenesis of the chronic obstructive pulmonary disease (COPD) and lung cancer is related, and may cause and affect each other to a certain extent. In fact, the change of chronic airway obstruction will continue to have an impact on the screening, treatment, and prognosis of lung cancer.In this comprehensive review, we outlined the links and heterogeneity between COPD and lung cancer and finds that factors such as gene expression and genetic susceptibility, epigenetics, smoking, epithelial mesenchymal transformation (EMT), chronic inflammation, and oxidative stress injury may all play a role in the process. Although the relationship between these two diseases have been largely determined, the methods to prevent lung cancer in COPD patients are still limited. Early diagnosis is still the key to a better prognosis. Thus, it is necessary to establish more intuitive screening evaluation criteria and find suitable biomarkers for lung cancer screening in high-risk populations with COPD. Some studies have indicated that COPD may change the efficacy of anti-tumor therapy by affecting the response of lung cancer patients to immune checkpoint inhibitors (ICIs). And for lung cancer patients with COPD, the standardized management of COPD can improve the prognosis. The treatment of lung cancer patients with COPD is an individualized, comprehensive, and precise process. The development of new targets and new strategies of molecular targeted therapy may be the breakthrough for disease treatment in the future.&quot;,&quot;publisher&quot;:&quot;Dove Medical Press Ltd&quot;,&quot;volume&quot;:&quot;17&quot;},&quot;isTemporary&quot;:false},{&quot;id&quot;:&quot;2eaeb6f7-3cfe-3170-92b2-cbf382aa2289&quot;,&quot;itemData&quot;:{&quot;type&quot;:&quot;article-journal&quot;,&quot;id&quot;:&quot;2eaeb6f7-3cfe-3170-92b2-cbf382aa2289&quot;,&quot;title&quot;:&quot;Mechanisms Contributing to the Comorbidity of COPD and Lung Cancer&quot;,&quot;author&quot;:[{&quot;family&quot;:&quot;Forder&quot;,&quot;given&quot;:&quot;Aisling&quot;,&quot;parse-names&quot;:false,&quot;dropping-particle&quot;:&quot;&quot;,&quot;non-dropping-particle&quot;:&quot;&quot;},{&quot;family&quot;:&quot;Zhuang&quot;,&quot;given&quot;:&quot;Rebecca&quot;,&quot;parse-names&quot;:false,&quot;dropping-particle&quot;:&quot;&quot;,&quot;non-dropping-particle&quot;:&quot;&quot;},{&quot;family&quot;:&quot;Souza&quot;,&quot;given&quot;:&quot;Vanessa G.P.&quot;,&quot;parse-names&quot;:false,&quot;dropping-particle&quot;:&quot;&quot;,&quot;non-dropping-particle&quot;:&quot;&quot;},{&quot;family&quot;:&quot;Brockley&quot;,&quot;given&quot;:&quot;Liam J.&quot;,&quot;parse-names&quot;:false,&quot;dropping-particle&quot;:&quot;&quot;,&quot;non-dropping-particle&quot;:&quot;&quot;},{&quot;family&quot;:&quot;Pewarchuk&quot;,&quot;given&quot;:&quot;Michelle E.&quot;,&quot;parse-names&quot;:false,&quot;dropping-particle&quot;:&quot;&quot;,&quot;non-dropping-particle&quot;:&quot;&quot;},{&quot;family&quot;:&quot;Telkar&quot;,&quot;given&quot;:&quot;Nikita&quot;,&quot;parse-names&quot;:false,&quot;dropping-particle&quot;:&quot;&quot;,&quot;non-dropping-particle&quot;:&quot;&quot;},{&quot;family&quot;:&quot;Stewart&quot;,&quot;given&quot;:&quot;Greg L.&quot;,&quot;parse-names&quot;:false,&quot;dropping-particle&quot;:&quot;&quot;,&quot;non-dropping-particle&quot;:&quot;&quot;},{&quot;family&quot;:&quot;Benard&quot;,&quot;given&quot;:&quot;Katya&quot;,&quot;parse-names&quot;:false,&quot;dropping-particle&quot;:&quot;&quot;,&quot;non-dropping-particle&quot;:&quot;&quot;},{&quot;family&quot;:&quot;Marshall&quot;,&quot;given&quot;:&quot;Erin A.&quot;,&quot;parse-names&quot;:false,&quot;dropping-particle&quot;:&quot;&quot;,&quot;non-dropping-particle&quot;:&quot;&quot;},{&quot;family&quot;:&quot;Reis&quot;,&quot;given&quot;:&quot;Patricia P.&quot;,&quot;parse-names&quot;:false,&quot;dropping-particle&quot;:&quot;&quot;,&quot;non-dropping-particle&quot;:&quot;&quot;},{&quot;family&quot;:&quot;Lam&quot;,&quot;given&quot;:&quot;Wan L.&quot;,&quot;parse-names&quot;:false,&quot;dropping-particle&quot;:&quot;&quot;,&quot;non-dropping-particle&quot;:&quot;&quot;}],&quot;container-title&quot;:&quot;International journal of molecular sciences&quot;,&quot;container-title-short&quot;:&quot;Int J Mol Sci&quot;,&quot;accessed&quot;:{&quot;date-parts&quot;:[[2025,3,29]]},&quot;DOI&quot;:&quot;10.3390/IJMS24032859&quot;,&quot;ISSN&quot;:&quot;1422-0067&quot;,&quot;PMID&quot;:&quot;36769181&quot;,&quot;URL&quot;:&quot;https://pubmed.ncbi.nlm.nih.gov/36769181/&quot;,&quot;issued&quot;:{&quot;date-parts&quot;:[[2023,2,1]]},&quot;abstract&quot;:&quot;Lung cancer and chronic obstructive pulmonary disease (COPD) often co-occur, and individuals with COPD are at a higher risk of developing lung cancer. While the underlying mechanism for this risk is not well understood, its major contributing factors have been proposed to include genomic, immune, and microenvironment dysregulation. Here, we review the evidence and significant studies that explore the mechanisms underlying the heightened lung cancer risk in people with COPD. Genetic and epigenetic changes, as well as the aberrant expression of non-coding RNAs, predispose the lung epithelium to carcinogenesis by altering the expression of cancer- and immune-related genes. Oxidative stress generated by tobacco smoking plays a role in reducing genomic integrity, promoting epithelial-mesenchymal-transition, and generating a chronic inflammatory environment. This leads to abnormal immune responses that promote cancer development, though not all smokers develop lung cancer. Sex differences in the metabolism of tobacco smoke predispose females to developing COPD and accumulating damage from oxidative stress that poses a risk for the development of lung cancer. Dysregulation of the lung microenvironment and microbiome contributes to chronic inflammation, which is observed in COPD and known to facilitate cancer initiation in various tumor types. Further, there is a need to better characterize and identify the proportion of individuals with COPD who are at a high risk for developing lung cancer. We evaluate possible novel and individualized screening strategies, including biomarkers identified in genetic studies and exhaled breath condensate analysis. We also discuss the use of corticosteroids and statins as chemopreventive agents to prevent lung cancer. It is crucial that we optimize the current methods for the early detection and management of lung cancer and COPD in order to improve the health outcomes for a large affected population.&quot;,&quot;publisher&quot;:&quot;Int J Mol Sci&quot;,&quot;issue&quot;:&quot;3&quot;,&quot;volume&quot;:&quot;24&quot;},&quot;isTemporary&quot;:false}]},{&quot;citationID&quot;:&quot;MENDELEY_CITATION_56597286-a5d3-4574-86de-d36676cef9d5&quot;,&quot;properties&quot;:{&quot;noteIndex&quot;:0},&quot;isEdited&quot;:false,&quot;manualOverride&quot;:{&quot;isManuallyOverridden&quot;:false,&quot;citeprocText&quot;:&quot;[218,219]&quot;,&quot;manualOverrideText&quot;:&quot;&quot;},&quot;citationTag&quot;:&quot;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&quot;,&quot;citationItems&quot;:[{&quot;id&quot;:&quot;2eaeb6f7-3cfe-3170-92b2-cbf382aa2289&quot;,&quot;itemData&quot;:{&quot;type&quot;:&quot;article-journal&quot;,&quot;id&quot;:&quot;2eaeb6f7-3cfe-3170-92b2-cbf382aa2289&quot;,&quot;title&quot;:&quot;Mechanisms Contributing to the Comorbidity of COPD and Lung Cancer&quot;,&quot;author&quot;:[{&quot;family&quot;:&quot;Forder&quot;,&quot;given&quot;:&quot;Aisling&quot;,&quot;parse-names&quot;:false,&quot;dropping-particle&quot;:&quot;&quot;,&quot;non-dropping-particle&quot;:&quot;&quot;},{&quot;family&quot;:&quot;Zhuang&quot;,&quot;given&quot;:&quot;Rebecca&quot;,&quot;parse-names&quot;:false,&quot;dropping-particle&quot;:&quot;&quot;,&quot;non-dropping-particle&quot;:&quot;&quot;},{&quot;family&quot;:&quot;Souza&quot;,&quot;given&quot;:&quot;Vanessa G.P.&quot;,&quot;parse-names&quot;:false,&quot;dropping-particle&quot;:&quot;&quot;,&quot;non-dropping-particle&quot;:&quot;&quot;},{&quot;family&quot;:&quot;Brockley&quot;,&quot;given&quot;:&quot;Liam J.&quot;,&quot;parse-names&quot;:false,&quot;dropping-particle&quot;:&quot;&quot;,&quot;non-dropping-particle&quot;:&quot;&quot;},{&quot;family&quot;:&quot;Pewarchuk&quot;,&quot;given&quot;:&quot;Michelle E.&quot;,&quot;parse-names&quot;:false,&quot;dropping-particle&quot;:&quot;&quot;,&quot;non-dropping-particle&quot;:&quot;&quot;},{&quot;family&quot;:&quot;Telkar&quot;,&quot;given&quot;:&quot;Nikita&quot;,&quot;parse-names&quot;:false,&quot;dropping-particle&quot;:&quot;&quot;,&quot;non-dropping-particle&quot;:&quot;&quot;},{&quot;family&quot;:&quot;Stewart&quot;,&quot;given&quot;:&quot;Greg L.&quot;,&quot;parse-names&quot;:false,&quot;dropping-particle&quot;:&quot;&quot;,&quot;non-dropping-particle&quot;:&quot;&quot;},{&quot;family&quot;:&quot;Benard&quot;,&quot;given&quot;:&quot;Katya&quot;,&quot;parse-names&quot;:false,&quot;dropping-particle&quot;:&quot;&quot;,&quot;non-dropping-particle&quot;:&quot;&quot;},{&quot;family&quot;:&quot;Marshall&quot;,&quot;given&quot;:&quot;Erin A.&quot;,&quot;parse-names&quot;:false,&quot;dropping-particle&quot;:&quot;&quot;,&quot;non-dropping-particle&quot;:&quot;&quot;},{&quot;family&quot;:&quot;Reis&quot;,&quot;given&quot;:&quot;Patricia P.&quot;,&quot;parse-names&quot;:false,&quot;dropping-particle&quot;:&quot;&quot;,&quot;non-dropping-particle&quot;:&quot;&quot;},{&quot;family&quot;:&quot;Lam&quot;,&quot;given&quot;:&quot;Wan L.&quot;,&quot;parse-names&quot;:false,&quot;dropping-particle&quot;:&quot;&quot;,&quot;non-dropping-particle&quot;:&quot;&quot;}],&quot;container-title&quot;:&quot;International journal of molecular sciences&quot;,&quot;container-title-short&quot;:&quot;Int J Mol Sci&quot;,&quot;accessed&quot;:{&quot;date-parts&quot;:[[2025,3,29]]},&quot;DOI&quot;:&quot;10.3390/IJMS24032859&quot;,&quot;ISSN&quot;:&quot;1422-0067&quot;,&quot;PMID&quot;:&quot;36769181&quot;,&quot;URL&quot;:&quot;https://pubmed.ncbi.nlm.nih.gov/36769181/&quot;,&quot;issued&quot;:{&quot;date-parts&quot;:[[2023,2,1]]},&quot;abstract&quot;:&quot;Lung cancer and chronic obstructive pulmonary disease (COPD) often co-occur, and individuals with COPD are at a higher risk of developing lung cancer. While the underlying mechanism for this risk is not well understood, its major contributing factors have been proposed to include genomic, immune, and microenvironment dysregulation. Here, we review the evidence and significant studies that explore the mechanisms underlying the heightened lung cancer risk in people with COPD. Genetic and epigenetic changes, as well as the aberrant expression of non-coding RNAs, predispose the lung epithelium to carcinogenesis by altering the expression of cancer- and immune-related genes. Oxidative stress generated by tobacco smoking plays a role in reducing genomic integrity, promoting epithelial-mesenchymal-transition, and generating a chronic inflammatory environment. This leads to abnormal immune responses that promote cancer development, though not all smokers develop lung cancer. Sex differences in the metabolism of tobacco smoke predispose females to developing COPD and accumulating damage from oxidative stress that poses a risk for the development of lung cancer. Dysregulation of the lung microenvironment and microbiome contributes to chronic inflammation, which is observed in COPD and known to facilitate cancer initiation in various tumor types. Further, there is a need to better characterize and identify the proportion of individuals with COPD who are at a high risk for developing lung cancer. We evaluate possible novel and individualized screening strategies, including biomarkers identified in genetic studies and exhaled breath condensate analysis. We also discuss the use of corticosteroids and statins as chemopreventive agents to prevent lung cancer. It is crucial that we optimize the current methods for the early detection and management of lung cancer and COPD in order to improve the health outcomes for a large affected population.&quot;,&quot;publisher&quot;:&quot;Int J Mol Sci&quot;,&quot;issue&quot;:&quot;3&quot;,&quot;volume&quot;:&quot;24&quot;},&quot;isTemporary&quot;:false},{&quot;id&quot;:&quot;81a2ffbc-ce9e-3349-8a6c-962deeffc5dd&quot;,&quot;itemData&quot;:{&quot;type&quot;:&quot;article-journal&quot;,&quot;id&quot;:&quot;81a2ffbc-ce9e-3349-8a6c-962deeffc5dd&quot;,&quot;title&quot;:&quot;From COPD to Lung Cancer: Mechanisms Linking, Diagnosis, Treatment, and Prognosis&quot;,&quot;author&quot;:[{&quot;family&quot;:&quot;Qi&quot;,&quot;given&quot;:&quot;Chang&quot;,&quot;parse-names&quot;:false,&quot;dropping-particle&quot;:&quot;&quot;,&quot;non-dropping-particle&quot;:&quot;&quot;},{&quot;family&quot;:&quot;Sun&quot;,&quot;given&quot;:&quot;Sheng Wen&quot;,&quot;parse-names&quot;:false,&quot;dropping-particle&quot;:&quot;&quot;,&quot;non-dropping-particle&quot;:&quot;&quot;},{&quot;family&quot;:&quot;Xiong&quot;,&quot;given&quot;:&quot;Xian Zhi&quot;,&quot;parse-names&quot;:false,&quot;dropping-particle&quot;:&quot;&quot;,&quot;non-dropping-particle&quot;:&quot;&quot;}],&quot;container-title&quot;:&quot;International Journal of Chronic Obstructive Pulmonary Disease&quot;,&quot;container-title-short&quot;:&quot;Int J Chron Obstruct Pulmon Dis&quot;,&quot;accessed&quot;:{&quot;date-parts&quot;:[[2025,3,29]]},&quot;DOI&quot;:&quot;10.2147/COPD.S380732&quot;,&quot;ISSN&quot;:&quot;11782005&quot;,&quot;PMID&quot;:&quot;36274992&quot;,&quot;URL&quot;:&quot;https://pmc.ncbi.nlm.nih.gov/articles/PMC9586171/&quot;,&quot;issued&quot;:{&quot;date-parts&quot;:[[2022]]},&quot;page&quot;:&quot;2603&quot;,&quot;abstract&quot;:&quot;Many studies have proved that the pathogenesis of the chronic obstructive pulmonary disease (COPD) and lung cancer is related, and may cause and affect each other to a certain extent. In fact, the change of chronic airway obstruction will continue to have an impact on the screening, treatment, and prognosis of lung cancer.In this comprehensive review, we outlined the links and heterogeneity between COPD and lung cancer and finds that factors such as gene expression and genetic susceptibility, epigenetics, smoking, epithelial mesenchymal transformation (EMT), chronic inflammation, and oxidative stress injury may all play a role in the process. Although the relationship between these two diseases have been largely determined, the methods to prevent lung cancer in COPD patients are still limited. Early diagnosis is still the key to a better prognosis. Thus, it is necessary to establish more intuitive screening evaluation criteria and find suitable biomarkers for lung cancer screening in high-risk populations with COPD. Some studies have indicated that COPD may change the efficacy of anti-tumor therapy by affecting the response of lung cancer patients to immune checkpoint inhibitors (ICIs). And for lung cancer patients with COPD, the standardized management of COPD can improve the prognosis. The treatment of lung cancer patients with COPD is an individualized, comprehensive, and precise process. The development of new targets and new strategies of molecular targeted therapy may be the breakthrough for disease treatment in the future.&quot;,&quot;publisher&quot;:&quot;Dove Medical Press Ltd&quot;,&quot;volume&quot;:&quot;17&quot;},&quot;isTemporary&quot;:false}]},{&quot;citationID&quot;:&quot;MENDELEY_CITATION_dd935cb6-b3ab-44a7-9cb0-b67be4240409&quot;,&quot;properties&quot;:{&quot;noteIndex&quot;:0},&quot;isEdited&quot;:false,&quot;manualOverride&quot;:{&quot;isManuallyOverridden&quot;:false,&quot;citeprocText&quot;:&quot;[220]&quot;,&quot;manualOverrideText&quot;:&quot;&quot;},&quot;citationTag&quot;:&quot;MENDELEY_CITATION_v3_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&quot;,&quot;citationItems&quot;:[{&quot;id&quot;:&quot;69a60f0b-9855-3179-bdfd-99f6a1ab0d08&quot;,&quot;itemData&quot;:{&quot;type&quot;:&quot;article-journal&quot;,&quot;id&quot;:&quot;69a60f0b-9855-3179-bdfd-99f6a1ab0d08&quot;,&quot;title&quot;:&quot;COPD and multimorbidity: recognising and addressing a syndemic occurrence&quot;,&quot;author&quot;:[{&quot;family&quot;:&quot;Fabbri&quot;,&quot;given&quot;:&quot;Leonardo M.&quot;,&quot;parse-names&quot;:false,&quot;dropping-particle&quot;:&quot;&quot;,&quot;non-dropping-particle&quot;:&quot;&quot;},{&quot;family&quot;:&quot;Celli&quot;,&quot;given&quot;:&quot;Bartolome R.&quot;,&quot;parse-names&quot;:false,&quot;dropping-particle&quot;:&quot;&quot;,&quot;non-dropping-particle&quot;:&quot;&quot;},{&quot;family&quot;:&quot;Agustí&quot;,&quot;given&quot;:&quot;Alvar&quot;,&quot;parse-names&quot;:false,&quot;dropping-particle&quot;:&quot;&quot;,&quot;non-dropping-particle&quot;:&quot;&quot;},{&quot;family&quot;:&quot;Criner&quot;,&quot;given&quot;:&quot;Gerard J.&quot;,&quot;parse-names&quot;:false,&quot;dropping-particle&quot;:&quot;&quot;,&quot;non-dropping-particle&quot;:&quot;&quot;},{&quot;family&quot;:&quot;Dransfield&quot;,&quot;given&quot;:&quot;Mark T.&quot;,&quot;parse-names&quot;:false,&quot;dropping-particle&quot;:&quot;&quot;,&quot;non-dropping-particle&quot;:&quot;&quot;},{&quot;family&quot;:&quot;Divo&quot;,&quot;given&quot;:&quot;Miguel&quot;,&quot;parse-names&quot;:false,&quot;dropping-particle&quot;:&quot;&quot;,&quot;non-dropping-particle&quot;:&quot;&quot;},{&quot;family&quot;:&quot;Krishnan&quot;,&quot;given&quot;:&quot;Jamuna K.&quot;,&quot;parse-names&quot;:false,&quot;dropping-particle&quot;:&quot;&quot;,&quot;non-dropping-particle&quot;:&quot;&quot;},{&quot;family&quot;:&quot;Lahousse&quot;,&quot;given&quot;:&quot;Lies&quot;,&quot;parse-names&quot;:false,&quot;dropping-particle&quot;:&quot;&quot;,&quot;non-dropping-particle&quot;:&quot;&quot;},{&quot;family&quot;:&quot;Montes de Oca&quot;,&quot;given&quot;:&quot;Maria&quot;,&quot;parse-names&quot;:false,&quot;dropping-particle&quot;:&quot;&quot;,&quot;non-dropping-particle&quot;:&quot;&quot;},{&quot;family&quot;:&quot;Salvi&quot;,&quot;given&quot;:&quot;Sundeep S.&quot;,&quot;parse-names&quot;:false,&quot;dropping-particle&quot;:&quot;&quot;,&quot;non-dropping-particle&quot;:&quot;&quot;},{&quot;family&quot;:&quot;Stolz&quot;,&quot;given&quot;:&quot;Daiana&quot;,&quot;parse-names&quot;:false,&quot;dropping-particle&quot;:&quot;&quot;,&quot;non-dropping-particle&quot;:&quot;&quot;},{&quot;family&quot;:&quot;Vanfleteren&quot;,&quot;given&quot;:&quot;Lowie E.G.W.&quot;,&quot;parse-names&quot;:false,&quot;dropping-particle&quot;:&quot;&quot;,&quot;non-dropping-particle&quot;:&quot;&quot;},{&quot;family&quot;:&quot;Vogelmeier&quot;,&quot;given&quot;:&quot;Claus F.&quot;,&quot;parse-names&quot;:false,&quot;dropping-particle&quot;:&quot;&quot;,&quot;non-dropping-particle&quot;:&quot;&quot;}],&quot;container-title&quot;:&quot;The Lancet. Respiratory medicine&quot;,&quot;container-title-short&quot;:&quot;Lancet Respir Med&quot;,&quot;accessed&quot;:{&quot;date-parts&quot;:[[2025,3,25]]},&quot;DOI&quot;:&quot;10.1016/S2213-2600(23)00261-8&quot;,&quot;ISSN&quot;:&quot;2213-2619&quot;,&quot;PMID&quot;:&quot;37696283&quot;,&quot;URL&quot;:&quot;https://pubmed.ncbi.nlm.nih.gov/37696283/&quot;,&quot;issued&quot;:{&quot;date-parts&quot;:[[2023,11,1]]},&quot;page&quot;:&quot;1020-1034&quot;,&quot;abstract&quot;:&quot;Most patients with chronic obstructive pulmonary disease (COPD) have at least one additional, clinically relevant chronic disease. Those with the most severe airflow obstruction will die from respiratory failure, but most patients with COPD die from non-respiratory disorders, particularly cardiovascular diseases and cancer. As many chronic diseases have shared risk factors (eg, ageing, smoking, pollution, inactivity, and poverty), we argue that a shift from the current paradigm in which COPD is considered as a single disease with comorbidities, to one in which COPD is considered as part of a multimorbid state—with co-occurring diseases potentially sharing pathobiological mechanisms—is needed to advance disease prevention, diagnosis, and management. The term syndemics is used to describe the co-occurrence of diseases with shared mechanisms and risk factors, a novel concept that we propose helps to explain the clustering of certain morbidities in patients diagnosed with COPD. A syndemics approach to understanding COPD could have important clinical implications, in which the complex disease presentations in these patients are addressed through proactive diagnosis, assessment of severity, and integrated management of the COPD multimorbid state, with a patient-centred rather than a single-disease approach.&quot;,&quot;publisher&quot;:&quot;Lancet Respir Med&quot;,&quot;issue&quot;:&quot;11&quot;,&quot;volume&quot;:&quot;11&quot;},&quot;isTemporary&quot;:false}]},{&quot;citationID&quot;:&quot;MENDELEY_CITATION_84067743-98ad-4910-8782-4ad42ae66e3f&quot;,&quot;properties&quot;:{&quot;noteIndex&quot;:0},&quot;isEdited&quot;:false,&quot;manualOverride&quot;:{&quot;isManuallyOverridden&quot;:false,&quot;citeprocText&quot;:&quot;[24,95]&quot;,&quot;manualOverrideText&quot;:&quot;&quot;},&quot;citationTag&quot;:&quot;MENDELEY_CITATION_v3_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&quot;,&quot;citationItems&quot;:[{&quot;id&quot;:&quot;ba277781-0e8d-364f-ae19-f0e2023944bc&quot;,&quot;itemData&quot;:{&quot;type&quot;:&quot;article-journal&quot;,&quot;id&quot;:&quot;ba277781-0e8d-364f-ae19-f0e2023944bc&quot;,&quot;title&quot;:&quot;Chronic obstructive pulmonary disease&quot;,&quot;author&quot;:[{&quot;family&quot;:&quot;Christenson&quot;,&quot;given&quot;:&quot;Stephanie A&quot;,&quot;parse-names&quot;:false,&quot;dropping-particle&quot;:&quot;&quot;,&quot;non-dropping-particle&quot;:&quot;&quot;},{&quot;family&quot;:&quot;Smith&quot;,&quot;given&quot;:&quot;Benjamin M&quot;,&quot;parse-names&quot;:false,&quot;dropping-particle&quot;:&quot;&quot;,&quot;non-dropping-particle&quot;:&quot;&quot;},{&quot;family&quot;:&quot;Bafadhel&quot;,&quot;given&quot;:&quot;Mona&quot;,&quot;parse-names&quot;:false,&quot;dropping-particle&quot;:&quot;&quot;,&quot;non-dropping-particle&quot;:&quot;&quot;},{&quot;family&quot;:&quot;Putcha&quot;,&quot;given&quot;:&quot;Nirupama&quot;,&quot;parse-names&quot;:false,&quot;dropping-particle&quot;:&quot;&quot;,&quot;non-dropping-particle&quot;:&quot;&quot;}],&quot;container-title&quot;:&quot;www.thelancet.com&quot;,&quot;accessed&quot;:{&quot;date-parts&quot;:[[2024,3,17]]},&quot;DOI&quot;:&quot;10.1016/S0140-6736(22)00470-6&quot;,&quot;URL&quot;:&quot;https://doi.org/10.1016/&quot;,&quot;issued&quot;:{&quot;date-parts&quot;:[[2022]]},&quot;abstract&quot;:&quot;Chronic obstructive pulmonary disease (COPD) is a major cause of morbidity, mortality, and health-care use worldwide. COPD is caused by exposure to inhaled noxious particles, notably tobacco smoke and pollutants. However, the broad range of factors that increase the risk of development and progression of COPD throughout the life course are increasingly being recognised. Innovations in omics and imaging techniques have provided greater insight into disease pathobiology, which might result in advances in COPD prevention, diagnosis, and treatment. Although few novel treatments have been approved for COPD in the past 5 years, advances have been made in targeting existing therapies to specific subpopulations using new biomarker-based strategies. Additionally, COVID-19 has undeniably affected individuals with COPD, who are not only at higher risk for severe disease manifestations than healthy individuals but also negatively affected by interruptions in health-care delivery and social isolation. This Seminar reviews COPD with an emphasis on recent advances in epidemiology, pathophysiology, imaging, diagnosis, and treatment.&quot;,&quot;volume&quot;:&quot;399&quot;,&quot;container-title-short&quot;:&quot;&quot;},&quot;isTemporary&quot;:false},{&quot;id&quot;:&quot;d08e8fc9-9406-39a8-a9a9-ddae3c32363c&quot;,&quot;itemData&quot;:{&quot;type&quot;:&quot;report&quot;,&quot;id&quot;:&quot;d08e8fc9-9406-39a8-a9a9-ddae3c32363c&quot;,&quot;title&quot;:&quot;Global Strategy for the Diagnosis, Management, and Prevention of Chronic Obstructive Pulmonary Disease - 2024 Report&quot;,&quot;author&quot;:[{&quot;family&quot;:&quot;Global Initiative for Chronic Obstructive Lung Disease&quot;,&quot;given&quot;:&quot;&quot;,&quot;parse-names&quot;:false,&quot;dropping-particle&quot;:&quot;&quot;,&quot;non-dropping-particle&quot;:&quot;&quot;}],&quot;issued&quot;:{&quot;date-parts&quot;:[[2024]]},&quot;container-title-short&quot;:&quot;&quot;},&quot;isTemporary&quot;:false}]},{&quot;citationID&quot;:&quot;MENDELEY_CITATION_5a855712-e69b-49e4-a2b1-7e5c17ef05ba&quot;,&quot;properties&quot;:{&quot;noteIndex&quot;:0},&quot;isEdited&quot;:false,&quot;manualOverride&quot;:{&quot;isManuallyOverridden&quot;:false,&quot;citeprocText&quot;:&quot;[221]&quot;,&quot;manualOverrideText&quot;:&quot;&quot;},&quot;citationTag&quot;:&quot;MENDELEY_CITATION_v3_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&quot;,&quot;citationItems&quot;:[{&quot;id&quot;:&quot;68e3e977-94ff-3c02-bcc5-68ae786be8d8&quot;,&quot;itemData&quot;:{&quot;type&quot;:&quot;article-journal&quot;,&quot;id&quot;:&quot;68e3e977-94ff-3c02-bcc5-68ae786be8d8&quot;,&quot;title&quot;:&quot;Machine Learning Prediction of Progression in Forced Expiratory Volume in 1 Second in the COPDGene® Study&quot;,&quot;author&quot;:[{&quot;family&quot;:&quot;Boueiz&quot;,&quot;given&quot;:&quot;Adel&quot;,&quot;parse-names&quot;:false,&quot;dropping-particle&quot;:&quot;&quot;,&quot;non-dropping-particle&quot;:&quot;&quot;},{&quot;family&quot;:&quot;Xu&quot;,&quot;given&quot;:&quot;Zhonghui&quot;,&quot;parse-names&quot;:false,&quot;dropping-particle&quot;:&quot;&quot;,&quot;non-dropping-particle&quot;:&quot;&quot;},{&quot;family&quot;:&quot;Chang&quot;,&quot;given&quot;:&quot;Yale&quot;,&quot;parse-names&quot;:false,&quot;dropping-particle&quot;:&quot;&quot;,&quot;non-dropping-particle&quot;:&quot;&quot;},{&quot;family&quot;:&quot;Masoomi&quot;,&quot;given&quot;:&quot;Aria&quot;,&quot;parse-names&quot;:false,&quot;dropping-particle&quot;:&quot;&quot;,&quot;non-dropping-particle&quot;:&quot;&quot;},{&quot;family&quot;:&quot;Gregory&quot;,&quot;given&quot;:&quot;Andrew&quot;,&quot;parse-names&quot;:false,&quot;dropping-particle&quot;:&quot;&quot;,&quot;non-dropping-particle&quot;:&quot;&quot;},{&quot;family&quot;:&quot;Lutz&quot;,&quot;given&quot;:&quot;Sharon M.&quot;,&quot;parse-names&quot;:false,&quot;dropping-particle&quot;:&quot;&quot;,&quot;non-dropping-particle&quot;:&quot;&quot;},{&quot;family&quot;:&quot;Qiao&quot;,&quot;given&quot;:&quot;Dandi&quot;,&quot;parse-names&quot;:false,&quot;dropping-particle&quot;:&quot;&quot;,&quot;non-dropping-particle&quot;:&quot;&quot;},{&quot;family&quot;:&quot;Crapo&quot;,&quot;given&quot;:&quot;James D.&quot;,&quot;parse-names&quot;:false,&quot;dropping-particle&quot;:&quot;&quot;,&quot;non-dropping-particle&quot;:&quot;&quot;},{&quot;family&quot;:&quot;Dy&quot;,&quot;given&quot;:&quot;Jennifer G.&quot;,&quot;parse-names&quot;:false,&quot;dropping-particle&quot;:&quot;&quot;,&quot;non-dropping-particle&quot;:&quot;&quot;},{&quot;family&quot;:&quot;Silverman&quot;,&quot;given&quot;:&quot;Edwin K.&quot;,&quot;parse-names&quot;:false,&quot;dropping-particle&quot;:&quot;&quot;,&quot;non-dropping-particle&quot;:&quot;&quot;},{&quot;family&quot;:&quot;Castaldi&quot;,&quot;given&quot;:&quot;Peter J.&quot;,&quot;parse-names&quot;:false,&quot;dropping-particle&quot;:&quot;&quot;,&quot;non-dropping-particle&quot;:&quot;&quot;}],&quot;container-title&quot;:&quot;Chronic obstructive pulmonary diseases (Miami, Fla.)&quot;,&quot;container-title-short&quot;:&quot;Chronic Obstr Pulm Dis&quot;,&quot;accessed&quot;:{&quot;date-parts&quot;:[[2025,2,22]]},&quot;DOI&quot;:&quot;10.15326/JCOPDF.2021.0275&quot;,&quot;ISSN&quot;:&quot;2372-952X&quot;,&quot;PMID&quot;:&quot;35649102&quot;,&quot;URL&quot;:&quot;https://pubmed.ncbi.nlm.nih.gov/35649102/&quot;,&quot;issued&quot;:{&quot;date-parts&quot;:[[2022]]},&quot;page&quot;:&quot;349-365&quot;,&quot;abstract&quot;:&quot;Background: The heterogeneous nature of chronic obstructive pulmonary disease (COPD) complicates the identification of the predictors of disease progression. We aimed to improve the prediction of disease progression in COPD by using machine learning and incorporating a rich dataset of phenotypic features. Methods: We included 4496 smokers with available data from their enrollment and 5-year follow-up visits in the COPD Genetic Epidemiology (COPDGene®) study. We constructed linear regression (LR) and supervised random forest models to predict 5-year progression in forced expiratory in 1 second (FEV1) from 46 baseline features. Using cross-validation, we randomly partitioned participants into training and testing samples. We also validated the results in the COPDGene 10-year follow-up visit. Results: Predicting the change in FEV1 over time is more challenging than simply predicting the future absolute FEV1 level. For random forest, R-squared was 0.15 and the area under the receiver operator characteristic (ROC) curves for the prediction of participants in the top quartile of observed progression was 0.71 (testing) and respectively, 0.10 and 0.70 (validation). Random forest provided slightly better performance than LR. The accuracy was best for Global initiative for chronic Obstructive Lung Disease (GOLD) grades 1-2 participants, and it was harder to achieve accurate prediction in advanced stages of the disease. Predictive variables differed in their relative importance as well as for the predictions by GOLD. Conclusion: Random forest, along with deep phenotyping, predicts FEV1 progression with reasonable accuracy. There is significant room for improvement in future models. This prediction model facilitates the identification of smokers at increased risk for rapid disease progression. Such findings may be useful in the selection of patient populations for targeted clinical trials.&quot;,&quot;publisher&quot;:&quot;Chronic Obstr Pulm Dis&quot;,&quot;issue&quot;:&quot;3&quot;,&quot;volume&quot;:&quot;9&quot;},&quot;isTemporary&quot;:false}]},{&quot;citationID&quot;:&quot;MENDELEY_CITATION_db733c63-fd10-4fde-9f97-5c701f467063&quot;,&quot;properties&quot;:{&quot;noteIndex&quot;:0},&quot;isEdited&quot;:false,&quot;manualOverride&quot;:{&quot;isManuallyOverridden&quot;:false,&quot;citeprocText&quot;:&quot;[221]&quot;,&quot;manualOverrideText&quot;:&quot;&quot;},&quot;citationTag&quot;:&quot;MENDELEY_CITATION_v3_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&quot;,&quot;citationItems&quot;:[{&quot;id&quot;:&quot;68e3e977-94ff-3c02-bcc5-68ae786be8d8&quot;,&quot;itemData&quot;:{&quot;type&quot;:&quot;article-journal&quot;,&quot;id&quot;:&quot;68e3e977-94ff-3c02-bcc5-68ae786be8d8&quot;,&quot;title&quot;:&quot;Machine Learning Prediction of Progression in Forced Expiratory Volume in 1 Second in the COPDGene® Study&quot;,&quot;author&quot;:[{&quot;family&quot;:&quot;Boueiz&quot;,&quot;given&quot;:&quot;Adel&quot;,&quot;parse-names&quot;:false,&quot;dropping-particle&quot;:&quot;&quot;,&quot;non-dropping-particle&quot;:&quot;&quot;},{&quot;family&quot;:&quot;Xu&quot;,&quot;given&quot;:&quot;Zhonghui&quot;,&quot;parse-names&quot;:false,&quot;dropping-particle&quot;:&quot;&quot;,&quot;non-dropping-particle&quot;:&quot;&quot;},{&quot;family&quot;:&quot;Chang&quot;,&quot;given&quot;:&quot;Yale&quot;,&quot;parse-names&quot;:false,&quot;dropping-particle&quot;:&quot;&quot;,&quot;non-dropping-particle&quot;:&quot;&quot;},{&quot;family&quot;:&quot;Masoomi&quot;,&quot;given&quot;:&quot;Aria&quot;,&quot;parse-names&quot;:false,&quot;dropping-particle&quot;:&quot;&quot;,&quot;non-dropping-particle&quot;:&quot;&quot;},{&quot;family&quot;:&quot;Gregory&quot;,&quot;given&quot;:&quot;Andrew&quot;,&quot;parse-names&quot;:false,&quot;dropping-particle&quot;:&quot;&quot;,&quot;non-dropping-particle&quot;:&quot;&quot;},{&quot;family&quot;:&quot;Lutz&quot;,&quot;given&quot;:&quot;Sharon M.&quot;,&quot;parse-names&quot;:false,&quot;dropping-particle&quot;:&quot;&quot;,&quot;non-dropping-particle&quot;:&quot;&quot;},{&quot;family&quot;:&quot;Qiao&quot;,&quot;given&quot;:&quot;Dandi&quot;,&quot;parse-names&quot;:false,&quot;dropping-particle&quot;:&quot;&quot;,&quot;non-dropping-particle&quot;:&quot;&quot;},{&quot;family&quot;:&quot;Crapo&quot;,&quot;given&quot;:&quot;James D.&quot;,&quot;parse-names&quot;:false,&quot;dropping-particle&quot;:&quot;&quot;,&quot;non-dropping-particle&quot;:&quot;&quot;},{&quot;family&quot;:&quot;Dy&quot;,&quot;given&quot;:&quot;Jennifer G.&quot;,&quot;parse-names&quot;:false,&quot;dropping-particle&quot;:&quot;&quot;,&quot;non-dropping-particle&quot;:&quot;&quot;},{&quot;family&quot;:&quot;Silverman&quot;,&quot;given&quot;:&quot;Edwin K.&quot;,&quot;parse-names&quot;:false,&quot;dropping-particle&quot;:&quot;&quot;,&quot;non-dropping-particle&quot;:&quot;&quot;},{&quot;family&quot;:&quot;Castaldi&quot;,&quot;given&quot;:&quot;Peter J.&quot;,&quot;parse-names&quot;:false,&quot;dropping-particle&quot;:&quot;&quot;,&quot;non-dropping-particle&quot;:&quot;&quot;}],&quot;container-title&quot;:&quot;Chronic obstructive pulmonary diseases (Miami, Fla.)&quot;,&quot;container-title-short&quot;:&quot;Chronic Obstr Pulm Dis&quot;,&quot;accessed&quot;:{&quot;date-parts&quot;:[[2025,2,22]]},&quot;DOI&quot;:&quot;10.15326/JCOPDF.2021.0275&quot;,&quot;ISSN&quot;:&quot;2372-952X&quot;,&quot;PMID&quot;:&quot;35649102&quot;,&quot;URL&quot;:&quot;https://pubmed.ncbi.nlm.nih.gov/35649102/&quot;,&quot;issued&quot;:{&quot;date-parts&quot;:[[2022]]},&quot;page&quot;:&quot;349-365&quot;,&quot;abstract&quot;:&quot;Background: The heterogeneous nature of chronic obstructive pulmonary disease (COPD) complicates the identification of the predictors of disease progression. We aimed to improve the prediction of disease progression in COPD by using machine learning and incorporating a rich dataset of phenotypic features. Methods: We included 4496 smokers with available data from their enrollment and 5-year follow-up visits in the COPD Genetic Epidemiology (COPDGene®) study. We constructed linear regression (LR) and supervised random forest models to predict 5-year progression in forced expiratory in 1 second (FEV1) from 46 baseline features. Using cross-validation, we randomly partitioned participants into training and testing samples. We also validated the results in the COPDGene 10-year follow-up visit. Results: Predicting the change in FEV1 over time is more challenging than simply predicting the future absolute FEV1 level. For random forest, R-squared was 0.15 and the area under the receiver operator characteristic (ROC) curves for the prediction of participants in the top quartile of observed progression was 0.71 (testing) and respectively, 0.10 and 0.70 (validation). Random forest provided slightly better performance than LR. The accuracy was best for Global initiative for chronic Obstructive Lung Disease (GOLD) grades 1-2 participants, and it was harder to achieve accurate prediction in advanced stages of the disease. Predictive variables differed in their relative importance as well as for the predictions by GOLD. Conclusion: Random forest, along with deep phenotyping, predicts FEV1 progression with reasonable accuracy. There is significant room for improvement in future models. This prediction model facilitates the identification of smokers at increased risk for rapid disease progression. Such findings may be useful in the selection of patient populations for targeted clinical trials.&quot;,&quot;publisher&quot;:&quot;Chronic Obstr Pulm Dis&quot;,&quot;issue&quot;:&quot;3&quot;,&quot;volume&quot;:&quot;9&quot;},&quot;isTemporary&quot;:false}]},{&quot;citationID&quot;:&quot;MENDELEY_CITATION_ad75e982-d084-4b87-851d-47b515abba1b&quot;,&quot;properties&quot;:{&quot;noteIndex&quot;:0},&quot;isEdited&quot;:false,&quot;manualOverride&quot;:{&quot;isManuallyOverridden&quot;:false,&quot;citeprocText&quot;:&quot;[83,222,223]&quot;,&quot;manualOverrideText&quot;:&quot;&quot;},&quot;citationTag&quot;:&quot;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&quot;,&quot;citationItems&quot;:[{&quot;id&quot;:&quot;ebb6c942-9ae0-3887-b240-a220785c7d48&quot;,&quot;itemData&quot;:{&quot;type&quot;:&quot;article-journal&quot;,&quot;id&quot;:&quot;ebb6c942-9ae0-3887-b240-a220785c7d48&quot;,&quot;title&quot;:&quot;Rate of normal lung function decline in ageing adults: a systematic review of prospective cohort studies&quot;,&quot;author&quot;:[{&quot;family&quot;:&quot;Thomas&quot;,&quot;given&quot;:&quot;Elizabeth T.&quot;,&quot;parse-names&quot;:false,&quot;dropping-particle&quot;:&quot;&quot;,&quot;non-dropping-particle&quot;:&quot;&quot;},{&quot;family&quot;:&quot;Guppy&quot;,&quot;given&quot;:&quot;Michelle&quot;,&quot;parse-names&quot;:false,&quot;dropping-particle&quot;:&quot;&quot;,&quot;non-dropping-particle&quot;:&quot;&quot;},{&quot;family&quot;:&quot;Straus&quot;,&quot;given&quot;:&quot;Sharon E.&quot;,&quot;parse-names&quot;:false,&quot;dropping-particle&quot;:&quot;&quot;,&quot;non-dropping-particle&quot;:&quot;&quot;},{&quot;family&quot;:&quot;Bell&quot;,&quot;given&quot;:&quot;Katy J.L.&quot;,&quot;parse-names&quot;:false,&quot;dropping-particle&quot;:&quot;&quot;,&quot;non-dropping-particle&quot;:&quot;&quot;},{&quot;family&quot;:&quot;Glasziou&quot;,&quot;given&quot;:&quot;Paul&quot;,&quot;parse-names&quot;:false,&quot;dropping-particle&quot;:&quot;&quot;,&quot;non-dropping-particle&quot;:&quot;&quot;}],&quot;container-title&quot;:&quot;BMJ Open&quot;,&quot;container-title-short&quot;:&quot;BMJ Open&quot;,&quot;accessed&quot;:{&quot;date-parts&quot;:[[2024,10,16]]},&quot;DOI&quot;:&quot;10.1136/BMJOPEN-2018-028150&quot;,&quot;ISSN&quot;:&quot;2044-6055&quot;,&quot;PMID&quot;:&quot;31248928&quot;,&quot;URL&quot;:&quot;https://bmjopen.bmj.com/content/9/6/e028150&quot;,&quot;issued&quot;:{&quot;date-parts&quot;:[[2019,6,1]]},&quot;page&quot;:&quot;e028150&quot;,&quot;abstract&quot;:&quot;Objective To conduct a systematic review investigating the normal age-related changes in lung function in adults without known lung disease.\n\nDesign Systematic review.\n\nData sources MEDLINE, Embase and Cumulative Index to Nursing and Allied Health Literature (CINAHL) were searched for eligible studies from inception to February 12, 2019, supplemented by manual searches of reference lists and clinical trial registries.\n\nEligibility criteria We planned to include prospective cohort studies and randomised controlled trials (control arms) that measured changes in lung function over time in asymptomatic adults without known respiratory disease.\n\nData extraction and synthesis Two authors independently determined the eligibility of studies, extracted data and assessed the risk of bias of included studies using the modified Newcastle–Ottawa Scale.\n\nResults From 4385 records screened, we identified 16 cohort studies with 31 099 participants. All included studies demonstrated decline in lung function—forced expiratory volume in 1 s (FEV1), forced vital capacity (FVC) and peak expiratory flow rate (PEFR) with age. In studies with longer follow-up (&gt;10 years), rates of FEV1 decline ranged from 17.7 to 46.4 mL/year (median 22.4 mL/year). Overall, men had faster absolute rates of decline (median 43.5 mL/year) compared with women (median 30.5 mL/year). Differences in relative FEV1 change, however, were not observed between men and women. FEV1/FVC change was reported in only one study, declining by 0.29% per year. An age-specific analysis suggested the rate of FEV1 function decline may accelerate with each decade of age.\n\nConclusions Lung function—FEV1, FVC and PEFR—decline with age in individuals without known lung disease. The definition of chronic airway disease may need to be reconsidered to allow for normal ageing and ensure that people likely to benefit from interventions are identified rather than healthy people who may be harmed by potential overdiagnosis and overtreatment. The first step would be to apply age, sex and ethnicity-adjusted FEV1/FVC thresholds to the disease definition of chronic obstructive pulmonary disease.\n\nPROSPERO registration number CRD42018087066.&quot;,&quot;publisher&quot;:&quot;British Medical Journal Publishing Group&quot;,&quot;issue&quot;:&quot;6&quot;,&quot;volume&quot;:&quot;9&quot;},&quot;isTemporary&quot;:false},{&quot;id&quot;:&quot;03367681-28c6-39f3-92be-6738305cc010&quot;,&quot;itemData&quot;:{&quot;type&quot;:&quot;article-journal&quot;,&quot;id&quot;:&quot;03367681-28c6-39f3-92be-6738305cc010&quot;,&quot;title&quot;:&quot;Aging and extrapulmonary effects of chronic obstructive pulmonary disease&quot;,&quot;author&quot;:[{&quot;family&quot;:&quot;Tudorache&quot;,&quot;given&quot;:&quot;Emanuela&quot;,&quot;parse-names&quot;:false,&quot;dropping-particle&quot;:&quot;&quot;,&quot;non-dropping-particle&quot;:&quot;&quot;},{&quot;family&quot;:&quot;Fildan&quot;,&quot;given&quot;:&quot;Ariadna Petronela&quot;,&quot;parse-names&quot;:false,&quot;dropping-particle&quot;:&quot;&quot;,&quot;non-dropping-particle&quot;:&quot;&quot;},{&quot;family&quot;:&quot;Frandes&quot;,&quot;given&quot;:&quot;Mirela&quot;,&quot;parse-names&quot;:false,&quot;dropping-particle&quot;:&quot;&quot;,&quot;non-dropping-particle&quot;:&quot;&quot;},{&quot;family&quot;:&quot;Dantes&quot;,&quot;given&quot;:&quot;Elena&quot;,&quot;parse-names&quot;:false,&quot;dropping-particle&quot;:&quot;&quot;,&quot;non-dropping-particle&quot;:&quot;&quot;},{&quot;family&quot;:&quot;Tofolean&quot;,&quot;given&quot;:&quot;Doina Ecaterina&quot;,&quot;parse-names&quot;:false,&quot;dropping-particle&quot;:&quot;&quot;,&quot;non-dropping-particle&quot;:&quot;&quot;}],&quot;container-title&quot;:&quot;Clinical interventions in aging&quot;,&quot;container-title-short&quot;:&quot;Clin Interv Aging&quot;,&quot;accessed&quot;:{&quot;date-parts&quot;:[[2025,3,11]]},&quot;DOI&quot;:&quot;10.2147/CIA.S145002&quot;,&quot;ISSN&quot;:&quot;1178-1998&quot;,&quot;PMID&quot;:&quot;28860729&quot;,&quot;URL&quot;:&quot;https://pubmed.ncbi.nlm.nih.gov/28860729/&quot;,&quot;issued&quot;:{&quot;date-parts&quot;:[[2017,8,16]]},&quot;page&quot;:&quot;1281-1287&quot;,&quot;abstract&quot;:&quot;Introduction: People with COPD have a decline in functional status, but little is known about the rate of decline and factors that contribute. Of particular concern is the decline in cognitive and functional performance. Decrease in cognitive and functional performance will finally lead to decreased health status, sedentary life style and premature frailty. Aim: The aim of this study is to compare functional performance and cognitive status in patients with COPD of different ages and to examine the changes in extrapulmonary effects. Patients and methods: This study included 62 patients with COPD risk class D who were divided into two groups (&lt;70 years, N=30 and &gt;70 years, N=32). Patients first completed the Montreal Cognitive Assessment (MoCA), which is a 30-point test that assesses different cognitive domains, while isometric knee extension (IKE) was measured using a digital handheld dynamometer, and functional exercise level was assessed using the 6-minute walking distance (6MWD) test. Results: The patients’ older age (age higher than 70 years) was associated with a significantly lower body mass index (BMI, 27.50 vs 24.24 kg/m2; P=0.020), higher vital capacity parameters, forced vital capacity (FVC, 2.74 vs 2.82 L; P=0.799), FVC (%) (73.00 vs 66.50, P=132), forced expiratory volume in the first second (FEV1, 0.93 vs 1.13 L; P=0.001) and FEV1 (%) (28.50 vs 30.50, P=0.605). In addition, patients at older age presented a significantly reduced physical activity capacity, 6MWD (385.93 vs 320.84 m, P&lt;0.001) and IKE (24.75 vs 22.55 kgf, P=0.005), as well as higher values for inflammatory biomarkers, C-reactive protein (8.77 vs 3.34 mg/L, P=0.022). Moreover, patients at older age presented significantly lower score at the cognitive assessment, MoCA (23.50 vs 20.00, P&lt;0.001). Conclusion: Elderly COPD patients have reduced exercise capacity and muscle strength, deteriorated cognitive function and increased inflammatory markers. Furthermore, inflammation markers were significantly correlated with muscle strength, walking distance and cognitive impairment.&quot;,&quot;publisher&quot;:&quot;Clin Interv Aging&quot;,&quot;volume&quot;:&quot;12&quot;},&quot;isTemporary&quot;:false},{&quot;id&quot;:&quot;35c36eae-9ae0-3de9-8f52-047bcba2d044&quot;,&quot;itemData&quot;:{&quot;type&quot;:&quot;article-journal&quot;,&quot;id&quot;:&quot;35c36eae-9ae0-3de9-8f52-047bcba2d044&quot;,&quot;title&quot;:&quot;Risk factors of acute exacerbation and disease progression in young patients with COPD&quot;,&quot;author&quot;:[{&quot;family&quot;:&quot;Bae&quot;,&quot;given&quot;:&quot;Juye&quot;,&quot;parse-names&quot;:false,&quot;dropping-particle&quot;:&quot;&quot;,&quot;non-dropping-particle&quot;:&quot;&quot;},{&quot;family&quot;:&quot;Lee&quot;,&quot;given&quot;:&quot;Hyo Jin&quot;,&quot;parse-names&quot;:false,&quot;dropping-particle&quot;:&quot;&quot;,&quot;non-dropping-particle&quot;:&quot;&quot;},{&quot;family&quot;:&quot;Choi&quot;,&quot;given&quot;:&quot;Kwang Yong&quot;,&quot;parse-names&quot;:false,&quot;dropping-particle&quot;:&quot;&quot;,&quot;non-dropping-particle&quot;:&quot;&quot;},{&quot;family&quot;:&quot;Lee&quot;,&quot;given&quot;:&quot;Jung Kyu&quot;,&quot;parse-names&quot;:false,&quot;dropping-particle&quot;:&quot;&quot;,&quot;non-dropping-particle&quot;:&quot;&quot;},{&quot;family&quot;:&quot;Park&quot;,&quot;given&quot;:&quot;Tae Yun&quot;,&quot;parse-names&quot;:false,&quot;dropping-particle&quot;:&quot;&quot;,&quot;non-dropping-particle&quot;:&quot;&quot;},{&quot;family&quot;:&quot;Heo&quot;,&quot;given&quot;:&quot;Eun Young&quot;,&quot;parse-names&quot;:false,&quot;dropping-particle&quot;:&quot;&quot;,&quot;non-dropping-particle&quot;:&quot;&quot;},{&quot;family&quot;:&quot;Lee&quot;,&quot;given&quot;:&quot;Chang Hoon&quot;,&quot;parse-names&quot;:false,&quot;dropping-particle&quot;:&quot;&quot;,&quot;non-dropping-particle&quot;:&quot;&quot;},{&quot;family&quot;:&quot;Kim&quot;,&quot;given&quot;:&quot;Deog Kyeom&quot;,&quot;parse-names&quot;:false,&quot;dropping-particle&quot;:&quot;&quot;,&quot;non-dropping-particle&quot;:&quot;&quot;},{&quot;family&quot;:&quot;Lee&quot;,&quot;given&quot;:&quot;Hyun Woo&quot;,&quot;parse-names&quot;:false,&quot;dropping-particle&quot;:&quot;&quot;,&quot;non-dropping-particle&quot;:&quot;&quot;}],&quot;container-title&quot;:&quot;BMJ open respiratory research&quot;,&quot;container-title-short&quot;:&quot;BMJ Open Respir Res&quot;,&quot;accessed&quot;:{&quot;date-parts&quot;:[[2025,3,11]]},&quot;DOI&quot;:&quot;10.1136/BMJRESP-2023-001740&quot;,&quot;ISSN&quot;:&quot;2052-4439&quot;,&quot;PMID&quot;:&quot;39019624&quot;,&quot;URL&quot;:&quot;https://pubmed.ncbi.nlm.nih.gov/39019624/&quot;,&quot;issued&quot;:{&quot;date-parts&quot;:[[2024,7,17]]},&quot;abstract&quot;:&quot;Objective We aimed to elucidate the clinical factors associated with acute exacerbation and disease progression in young patients with chronic obstructive pulmonary disease (COPD). Methods This retrospective longitudinal observational study included patients with COPD aged between 20 and 50 years with post-bronchodilator forced expiratory volume in one second (FEV 1)/forced vital capacity (FVC)&lt;0.7. Eligible patients were followed up with ≥2 spirometry examinations at 1 year interval after COPD diagnosis. The primary outcome was moderate-to-severe acute exacerbation in young patients with COPD. Secondary outcomes were early initiation of regular inhalation therapy and accelerated annual post-bronchodilator FEV 1 decline. Results A total of 342 patients were followed up during a median of 64 months. In multivariable analyses, risk factors for moderate-to-severe exacerbation were history of asthma (adjusted HR (aHR)=2.999, 95% CI=[2.074-4.335]), emphysema (aHR=1.951, 95% CI=[1.331-2.960]), blood eosinophil count &gt;300/μL (aHR=1.469, 95% CI=[1.038-2.081]) and low FEV 1 (%) (aHR=0.979, 95% CI=[0.970-0.987]). A history of asthma, sputum, blood eosinophil count &gt;300/μL, low FEV 1 (%) and low diffusing capacity of the lung for carbon monoxide (DL CO) (%) were identified as clinical factors associated with the early initiation of regular inhalation therapy. The risk factors associated with worsened FEV 1 decline were increasing age, female sex, history of pulmonary tuberculosis, sputum, low FEV 1 (%) and low DL CO (%). Conclusions In young COPD patients, specific high-risk features of acute exacerbation and disease progression need to be identified, including a history of previous respiratory diseases, current respiratory symptoms, blood eosinophil counts, and structural or functional pulmonary impairment.&quot;,&quot;publisher&quot;:&quot;BMJ Open Respir Res&quot;,&quot;issue&quot;:&quot;1&quot;,&quot;volume&quot;:&quot;11&quot;},&quot;isTemporary&quot;:false}]},{&quot;citationID&quot;:&quot;MENDELEY_CITATION_d3fe43cc-4379-4c5a-a43b-39429e260804&quot;,&quot;properties&quot;:{&quot;noteIndex&quot;:0},&quot;isEdited&quot;:false,&quot;manualOverride&quot;:{&quot;isManuallyOverridden&quot;:false,&quot;citeprocText&quot;:&quot;[83]&quot;,&quot;manualOverrideText&quot;:&quot;&quot;},&quot;citationTag&quot;:&quot;MENDELEY_CITATION_v3_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&quot;,&quot;citationItems&quot;:[{&quot;id&quot;:&quot;ebb6c942-9ae0-3887-b240-a220785c7d48&quot;,&quot;itemData&quot;:{&quot;type&quot;:&quot;article-journal&quot;,&quot;id&quot;:&quot;ebb6c942-9ae0-3887-b240-a220785c7d48&quot;,&quot;title&quot;:&quot;Rate of normal lung function decline in ageing adults: a systematic review of prospective cohort studies&quot;,&quot;author&quot;:[{&quot;family&quot;:&quot;Thomas&quot;,&quot;given&quot;:&quot;Elizabeth T.&quot;,&quot;parse-names&quot;:false,&quot;dropping-particle&quot;:&quot;&quot;,&quot;non-dropping-particle&quot;:&quot;&quot;},{&quot;family&quot;:&quot;Guppy&quot;,&quot;given&quot;:&quot;Michelle&quot;,&quot;parse-names&quot;:false,&quot;dropping-particle&quot;:&quot;&quot;,&quot;non-dropping-particle&quot;:&quot;&quot;},{&quot;family&quot;:&quot;Straus&quot;,&quot;given&quot;:&quot;Sharon E.&quot;,&quot;parse-names&quot;:false,&quot;dropping-particle&quot;:&quot;&quot;,&quot;non-dropping-particle&quot;:&quot;&quot;},{&quot;family&quot;:&quot;Bell&quot;,&quot;given&quot;:&quot;Katy J.L.&quot;,&quot;parse-names&quot;:false,&quot;dropping-particle&quot;:&quot;&quot;,&quot;non-dropping-particle&quot;:&quot;&quot;},{&quot;family&quot;:&quot;Glasziou&quot;,&quot;given&quot;:&quot;Paul&quot;,&quot;parse-names&quot;:false,&quot;dropping-particle&quot;:&quot;&quot;,&quot;non-dropping-particle&quot;:&quot;&quot;}],&quot;container-title&quot;:&quot;BMJ Open&quot;,&quot;container-title-short&quot;:&quot;BMJ Open&quot;,&quot;accessed&quot;:{&quot;date-parts&quot;:[[2024,10,16]]},&quot;DOI&quot;:&quot;10.1136/BMJOPEN-2018-028150&quot;,&quot;ISSN&quot;:&quot;2044-6055&quot;,&quot;PMID&quot;:&quot;31248928&quot;,&quot;URL&quot;:&quot;https://bmjopen.bmj.com/content/9/6/e028150&quot;,&quot;issued&quot;:{&quot;date-parts&quot;:[[2019,6,1]]},&quot;page&quot;:&quot;e028150&quot;,&quot;abstract&quot;:&quot;Objective To conduct a systematic review investigating the normal age-related changes in lung function in adults without known lung disease.\n\nDesign Systematic review.\n\nData sources MEDLINE, Embase and Cumulative Index to Nursing and Allied Health Literature (CINAHL) were searched for eligible studies from inception to February 12, 2019, supplemented by manual searches of reference lists and clinical trial registries.\n\nEligibility criteria We planned to include prospective cohort studies and randomised controlled trials (control arms) that measured changes in lung function over time in asymptomatic adults without known respiratory disease.\n\nData extraction and synthesis Two authors independently determined the eligibility of studies, extracted data and assessed the risk of bias of included studies using the modified Newcastle–Ottawa Scale.\n\nResults From 4385 records screened, we identified 16 cohort studies with 31 099 participants. All included studies demonstrated decline in lung function—forced expiratory volume in 1 s (FEV1), forced vital capacity (FVC) and peak expiratory flow rate (PEFR) with age. In studies with longer follow-up (&gt;10 years), rates of FEV1 decline ranged from 17.7 to 46.4 mL/year (median 22.4 mL/year). Overall, men had faster absolute rates of decline (median 43.5 mL/year) compared with women (median 30.5 mL/year). Differences in relative FEV1 change, however, were not observed between men and women. FEV1/FVC change was reported in only one study, declining by 0.29% per year. An age-specific analysis suggested the rate of FEV1 function decline may accelerate with each decade of age.\n\nConclusions Lung function—FEV1, FVC and PEFR—decline with age in individuals without known lung disease. The definition of chronic airway disease may need to be reconsidered to allow for normal ageing and ensure that people likely to benefit from interventions are identified rather than healthy people who may be harmed by potential overdiagnosis and overtreatment. The first step would be to apply age, sex and ethnicity-adjusted FEV1/FVC thresholds to the disease definition of chronic obstructive pulmonary disease.\n\nPROSPERO registration number CRD42018087066.&quot;,&quot;publisher&quot;:&quot;British Medical Journal Publishing Group&quot;,&quot;issue&quot;:&quot;6&quot;,&quot;volume&quot;:&quot;9&quot;},&quot;isTemporary&quot;:false}]},{&quot;citationID&quot;:&quot;MENDELEY_CITATION_36c07692-d936-4e26-b400-073f170f5b48&quot;,&quot;properties&quot;:{&quot;noteIndex&quot;:0},&quot;isEdited&quot;:false,&quot;manualOverride&quot;:{&quot;isManuallyOverridden&quot;:false,&quot;citeprocText&quot;:&quot;[22]&quot;,&quot;manualOverrideText&quot;:&quot;&quot;},&quot;citationTag&quot;:&quot;MENDELEY_CITATION_v3_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&quot;,&quot;citationItems&quot;:[{&quot;id&quot;:&quot;7b6d7736-e193-3d80-85bb-b3a96c05424d&quot;,&quot;itemData&quot;:{&quot;type&quot;:&quot;article-journal&quot;,&quot;id&quot;:&quot;7b6d7736-e193-3d80-85bb-b3a96c05424d&quot;,&quot;title&quot;:&quot;Contemporary Concise Review 2022: Chronic obstructive pulmonary disease&quot;,&quot;author&quot;:[{&quot;family&quot;:&quot;Calverley&quot;,&quot;given&quot;:&quot;Peter M.A.&quot;,&quot;parse-names&quot;:false,&quot;dropping-particle&quot;:&quot;&quot;,&quot;non-dropping-particle&quot;:&quot;&quot;},{&quot;family&quot;:&quot;Walker&quot;,&quot;given&quot;:&quot;Paul P.&quot;,&quot;parse-names&quot;:false,&quot;dropping-particle&quot;:&quot;&quot;,&quot;non-dropping-particle&quot;:&quot;&quot;}],&quot;container-title&quot;:&quot;Respirology&quot;,&quot;accessed&quot;:{&quot;date-parts&quot;:[[2024,5,27]]},&quot;DOI&quot;:&quot;10.1111/RESP.14489&quot;,&quot;ISSN&quot;:&quot;14401843&quot;,&quot;PMID&quot;:&quot;36922031&quot;,&quot;issued&quot;:{&quot;date-parts&quot;:[[2023,5,1]]},&quot;page&quot;:&quot;428-436&quot;,&quot;abstract&quot;:&quot;International respiratory organizations now recommend using lower limit of normal and standardized residuals to diagnose airflow obstruction and COPD though using a fixed ratio &lt;0.7 is simpler and robustly predicts important clinical outcomes. The most common COPD comorbidities are coronary artery calcification, emphysema and bronchiectasis. COPD patients with psychological (high anxiety and depression) and cachectic (underweight and osteoporotic) comorbidity have higher mortality and exacerbate more. Serum eosinophil count remains an important COPD biomarker and we have greater clarity about normal eosinophil levels in COPD and the wider population. Criteria for entry into COPD clinical trials continue to exclude many patients, in particular those at greater risk of exacerbation and death. The effect of hyperinflation on cardiac function impacts COPD mortality and is an important target for successful lung volume reduction procedures.&quot;,&quot;publisher&quot;:&quot;John Wiley and Sons Inc&quot;,&quot;issue&quot;:&quot;5&quot;,&quot;volume&quot;:&quot;28&quot;,&quot;container-title-short&quot;:&quot;&quot;},&quot;isTemporary&quot;:false}]},{&quot;citationID&quot;:&quot;MENDELEY_CITATION_f92e8dd3-af51-422a-b950-e6f19d22255e&quot;,&quot;properties&quot;:{&quot;noteIndex&quot;:0},&quot;isEdited&quot;:false,&quot;manualOverride&quot;:{&quot;isManuallyOverridden&quot;:false,&quot;citeprocText&quot;:&quot;[83,221–223]&quot;,&quot;manualOverrideText&quot;:&quot;&quot;},&quot;citationTag&quot;:&quot;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&quot;,&quot;citationItems&quot;:[{&quot;id&quot;:&quot;68e3e977-94ff-3c02-bcc5-68ae786be8d8&quot;,&quot;itemData&quot;:{&quot;type&quot;:&quot;article-journal&quot;,&quot;id&quot;:&quot;68e3e977-94ff-3c02-bcc5-68ae786be8d8&quot;,&quot;title&quot;:&quot;Machine Learning Prediction of Progression in Forced Expiratory Volume in 1 Second in the COPDGene® Study&quot;,&quot;author&quot;:[{&quot;family&quot;:&quot;Boueiz&quot;,&quot;given&quot;:&quot;Adel&quot;,&quot;parse-names&quot;:false,&quot;dropping-particle&quot;:&quot;&quot;,&quot;non-dropping-particle&quot;:&quot;&quot;},{&quot;family&quot;:&quot;Xu&quot;,&quot;given&quot;:&quot;Zhonghui&quot;,&quot;parse-names&quot;:false,&quot;dropping-particle&quot;:&quot;&quot;,&quot;non-dropping-particle&quot;:&quot;&quot;},{&quot;family&quot;:&quot;Chang&quot;,&quot;given&quot;:&quot;Yale&quot;,&quot;parse-names&quot;:false,&quot;dropping-particle&quot;:&quot;&quot;,&quot;non-dropping-particle&quot;:&quot;&quot;},{&quot;family&quot;:&quot;Masoomi&quot;,&quot;given&quot;:&quot;Aria&quot;,&quot;parse-names&quot;:false,&quot;dropping-particle&quot;:&quot;&quot;,&quot;non-dropping-particle&quot;:&quot;&quot;},{&quot;family&quot;:&quot;Gregory&quot;,&quot;given&quot;:&quot;Andrew&quot;,&quot;parse-names&quot;:false,&quot;dropping-particle&quot;:&quot;&quot;,&quot;non-dropping-particle&quot;:&quot;&quot;},{&quot;family&quot;:&quot;Lutz&quot;,&quot;given&quot;:&quot;Sharon M.&quot;,&quot;parse-names&quot;:false,&quot;dropping-particle&quot;:&quot;&quot;,&quot;non-dropping-particle&quot;:&quot;&quot;},{&quot;family&quot;:&quot;Qiao&quot;,&quot;given&quot;:&quot;Dandi&quot;,&quot;parse-names&quot;:false,&quot;dropping-particle&quot;:&quot;&quot;,&quot;non-dropping-particle&quot;:&quot;&quot;},{&quot;family&quot;:&quot;Crapo&quot;,&quot;given&quot;:&quot;James D.&quot;,&quot;parse-names&quot;:false,&quot;dropping-particle&quot;:&quot;&quot;,&quot;non-dropping-particle&quot;:&quot;&quot;},{&quot;family&quot;:&quot;Dy&quot;,&quot;given&quot;:&quot;Jennifer G.&quot;,&quot;parse-names&quot;:false,&quot;dropping-particle&quot;:&quot;&quot;,&quot;non-dropping-particle&quot;:&quot;&quot;},{&quot;family&quot;:&quot;Silverman&quot;,&quot;given&quot;:&quot;Edwin K.&quot;,&quot;parse-names&quot;:false,&quot;dropping-particle&quot;:&quot;&quot;,&quot;non-dropping-particle&quot;:&quot;&quot;},{&quot;family&quot;:&quot;Castaldi&quot;,&quot;given&quot;:&quot;Peter J.&quot;,&quot;parse-names&quot;:false,&quot;dropping-particle&quot;:&quot;&quot;,&quot;non-dropping-particle&quot;:&quot;&quot;}],&quot;container-title&quot;:&quot;Chronic obstructive pulmonary diseases (Miami, Fla.)&quot;,&quot;container-title-short&quot;:&quot;Chronic Obstr Pulm Dis&quot;,&quot;accessed&quot;:{&quot;date-parts&quot;:[[2025,2,22]]},&quot;DOI&quot;:&quot;10.15326/JCOPDF.2021.0275&quot;,&quot;ISSN&quot;:&quot;2372-952X&quot;,&quot;PMID&quot;:&quot;35649102&quot;,&quot;URL&quot;:&quot;https://pubmed.ncbi.nlm.nih.gov/35649102/&quot;,&quot;issued&quot;:{&quot;date-parts&quot;:[[2022]]},&quot;page&quot;:&quot;349-365&quot;,&quot;abstract&quot;:&quot;Background: The heterogeneous nature of chronic obstructive pulmonary disease (COPD) complicates the identification of the predictors of disease progression. We aimed to improve the prediction of disease progression in COPD by using machine learning and incorporating a rich dataset of phenotypic features. Methods: We included 4496 smokers with available data from their enrollment and 5-year follow-up visits in the COPD Genetic Epidemiology (COPDGene®) study. We constructed linear regression (LR) and supervised random forest models to predict 5-year progression in forced expiratory in 1 second (FEV1) from 46 baseline features. Using cross-validation, we randomly partitioned participants into training and testing samples. We also validated the results in the COPDGene 10-year follow-up visit. Results: Predicting the change in FEV1 over time is more challenging than simply predicting the future absolute FEV1 level. For random forest, R-squared was 0.15 and the area under the receiver operator characteristic (ROC) curves for the prediction of participants in the top quartile of observed progression was 0.71 (testing) and respectively, 0.10 and 0.70 (validation). Random forest provided slightly better performance than LR. The accuracy was best for Global initiative for chronic Obstructive Lung Disease (GOLD) grades 1-2 participants, and it was harder to achieve accurate prediction in advanced stages of the disease. Predictive variables differed in their relative importance as well as for the predictions by GOLD. Conclusion: Random forest, along with deep phenotyping, predicts FEV1 progression with reasonable accuracy. There is significant room for improvement in future models. This prediction model facilitates the identification of smokers at increased risk for rapid disease progression. Such findings may be useful in the selection of patient populations for targeted clinical trials.&quot;,&quot;publisher&quot;:&quot;Chronic Obstr Pulm Dis&quot;,&quot;issue&quot;:&quot;3&quot;,&quot;volume&quot;:&quot;9&quot;},&quot;isTemporary&quot;:false},{&quot;id&quot;:&quot;03367681-28c6-39f3-92be-6738305cc010&quot;,&quot;itemData&quot;:{&quot;type&quot;:&quot;article-journal&quot;,&quot;id&quot;:&quot;03367681-28c6-39f3-92be-6738305cc010&quot;,&quot;title&quot;:&quot;Aging and extrapulmonary effects of chronic obstructive pulmonary disease&quot;,&quot;author&quot;:[{&quot;family&quot;:&quot;Tudorache&quot;,&quot;given&quot;:&quot;Emanuela&quot;,&quot;parse-names&quot;:false,&quot;dropping-particle&quot;:&quot;&quot;,&quot;non-dropping-particle&quot;:&quot;&quot;},{&quot;family&quot;:&quot;Fildan&quot;,&quot;given&quot;:&quot;Ariadna Petronela&quot;,&quot;parse-names&quot;:false,&quot;dropping-particle&quot;:&quot;&quot;,&quot;non-dropping-particle&quot;:&quot;&quot;},{&quot;family&quot;:&quot;Frandes&quot;,&quot;given&quot;:&quot;Mirela&quot;,&quot;parse-names&quot;:false,&quot;dropping-particle&quot;:&quot;&quot;,&quot;non-dropping-particle&quot;:&quot;&quot;},{&quot;family&quot;:&quot;Dantes&quot;,&quot;given&quot;:&quot;Elena&quot;,&quot;parse-names&quot;:false,&quot;dropping-particle&quot;:&quot;&quot;,&quot;non-dropping-particle&quot;:&quot;&quot;},{&quot;family&quot;:&quot;Tofolean&quot;,&quot;given&quot;:&quot;Doina Ecaterina&quot;,&quot;parse-names&quot;:false,&quot;dropping-particle&quot;:&quot;&quot;,&quot;non-dropping-particle&quot;:&quot;&quot;}],&quot;container-title&quot;:&quot;Clinical interventions in aging&quot;,&quot;container-title-short&quot;:&quot;Clin Interv Aging&quot;,&quot;accessed&quot;:{&quot;date-parts&quot;:[[2025,3,11]]},&quot;DOI&quot;:&quot;10.2147/CIA.S145002&quot;,&quot;ISSN&quot;:&quot;1178-1998&quot;,&quot;PMID&quot;:&quot;28860729&quot;,&quot;URL&quot;:&quot;https://pubmed.ncbi.nlm.nih.gov/28860729/&quot;,&quot;issued&quot;:{&quot;date-parts&quot;:[[2017,8,16]]},&quot;page&quot;:&quot;1281-1287&quot;,&quot;abstract&quot;:&quot;Introduction: People with COPD have a decline in functional status, but little is known about the rate of decline and factors that contribute. Of particular concern is the decline in cognitive and functional performance. Decrease in cognitive and functional performance will finally lead to decreased health status, sedentary life style and premature frailty. Aim: The aim of this study is to compare functional performance and cognitive status in patients with COPD of different ages and to examine the changes in extrapulmonary effects. Patients and methods: This study included 62 patients with COPD risk class D who were divided into two groups (&lt;70 years, N=30 and &gt;70 years, N=32). Patients first completed the Montreal Cognitive Assessment (MoCA), which is a 30-point test that assesses different cognitive domains, while isometric knee extension (IKE) was measured using a digital handheld dynamometer, and functional exercise level was assessed using the 6-minute walking distance (6MWD) test. Results: The patients’ older age (age higher than 70 years) was associated with a significantly lower body mass index (BMI, 27.50 vs 24.24 kg/m2; P=0.020), higher vital capacity parameters, forced vital capacity (FVC, 2.74 vs 2.82 L; P=0.799), FVC (%) (73.00 vs 66.50, P=132), forced expiratory volume in the first second (FEV1, 0.93 vs 1.13 L; P=0.001) and FEV1 (%) (28.50 vs 30.50, P=0.605). In addition, patients at older age presented a significantly reduced physical activity capacity, 6MWD (385.93 vs 320.84 m, P&lt;0.001) and IKE (24.75 vs 22.55 kgf, P=0.005), as well as higher values for inflammatory biomarkers, C-reactive protein (8.77 vs 3.34 mg/L, P=0.022). Moreover, patients at older age presented significantly lower score at the cognitive assessment, MoCA (23.50 vs 20.00, P&lt;0.001). Conclusion: Elderly COPD patients have reduced exercise capacity and muscle strength, deteriorated cognitive function and increased inflammatory markers. Furthermore, inflammation markers were significantly correlated with muscle strength, walking distance and cognitive impairment.&quot;,&quot;publisher&quot;:&quot;Clin Interv Aging&quot;,&quot;volume&quot;:&quot;12&quot;},&quot;isTemporary&quot;:false},{&quot;id&quot;:&quot;ebb6c942-9ae0-3887-b240-a220785c7d48&quot;,&quot;itemData&quot;:{&quot;type&quot;:&quot;article-journal&quot;,&quot;id&quot;:&quot;ebb6c942-9ae0-3887-b240-a220785c7d48&quot;,&quot;title&quot;:&quot;Rate of normal lung function decline in ageing adults: a systematic review of prospective cohort studies&quot;,&quot;author&quot;:[{&quot;family&quot;:&quot;Thomas&quot;,&quot;given&quot;:&quot;Elizabeth T.&quot;,&quot;parse-names&quot;:false,&quot;dropping-particle&quot;:&quot;&quot;,&quot;non-dropping-particle&quot;:&quot;&quot;},{&quot;family&quot;:&quot;Guppy&quot;,&quot;given&quot;:&quot;Michelle&quot;,&quot;parse-names&quot;:false,&quot;dropping-particle&quot;:&quot;&quot;,&quot;non-dropping-particle&quot;:&quot;&quot;},{&quot;family&quot;:&quot;Straus&quot;,&quot;given&quot;:&quot;Sharon E.&quot;,&quot;parse-names&quot;:false,&quot;dropping-particle&quot;:&quot;&quot;,&quot;non-dropping-particle&quot;:&quot;&quot;},{&quot;family&quot;:&quot;Bell&quot;,&quot;given&quot;:&quot;Katy J.L.&quot;,&quot;parse-names&quot;:false,&quot;dropping-particle&quot;:&quot;&quot;,&quot;non-dropping-particle&quot;:&quot;&quot;},{&quot;family&quot;:&quot;Glasziou&quot;,&quot;given&quot;:&quot;Paul&quot;,&quot;parse-names&quot;:false,&quot;dropping-particle&quot;:&quot;&quot;,&quot;non-dropping-particle&quot;:&quot;&quot;}],&quot;container-title&quot;:&quot;BMJ Open&quot;,&quot;container-title-short&quot;:&quot;BMJ Open&quot;,&quot;accessed&quot;:{&quot;date-parts&quot;:[[2024,10,16]]},&quot;DOI&quot;:&quot;10.1136/BMJOPEN-2018-028150&quot;,&quot;ISSN&quot;:&quot;2044-6055&quot;,&quot;PMID&quot;:&quot;31248928&quot;,&quot;URL&quot;:&quot;https://bmjopen.bmj.com/content/9/6/e028150&quot;,&quot;issued&quot;:{&quot;date-parts&quot;:[[2019,6,1]]},&quot;page&quot;:&quot;e028150&quot;,&quot;abstract&quot;:&quot;Objective To conduct a systematic review investigating the normal age-related changes in lung function in adults without known lung disease.\n\nDesign Systematic review.\n\nData sources MEDLINE, Embase and Cumulative Index to Nursing and Allied Health Literature (CINAHL) were searched for eligible studies from inception to February 12, 2019, supplemented by manual searches of reference lists and clinical trial registries.\n\nEligibility criteria We planned to include prospective cohort studies and randomised controlled trials (control arms) that measured changes in lung function over time in asymptomatic adults without known respiratory disease.\n\nData extraction and synthesis Two authors independently determined the eligibility of studies, extracted data and assessed the risk of bias of included studies using the modified Newcastle–Ottawa Scale.\n\nResults From 4385 records screened, we identified 16 cohort studies with 31 099 participants. All included studies demonstrated decline in lung function—forced expiratory volume in 1 s (FEV1), forced vital capacity (FVC) and peak expiratory flow rate (PEFR) with age. In studies with longer follow-up (&gt;10 years), rates of FEV1 decline ranged from 17.7 to 46.4 mL/year (median 22.4 mL/year). Overall, men had faster absolute rates of decline (median 43.5 mL/year) compared with women (median 30.5 mL/year). Differences in relative FEV1 change, however, were not observed between men and women. FEV1/FVC change was reported in only one study, declining by 0.29% per year. An age-specific analysis suggested the rate of FEV1 function decline may accelerate with each decade of age.\n\nConclusions Lung function—FEV1, FVC and PEFR—decline with age in individuals without known lung disease. The definition of chronic airway disease may need to be reconsidered to allow for normal ageing and ensure that people likely to benefit from interventions are identified rather than healthy people who may be harmed by potential overdiagnosis and overtreatment. The first step would be to apply age, sex and ethnicity-adjusted FEV1/FVC thresholds to the disease definition of chronic obstructive pulmonary disease.\n\nPROSPERO registration number CRD42018087066.&quot;,&quot;publisher&quot;:&quot;British Medical Journal Publishing Group&quot;,&quot;issue&quot;:&quot;6&quot;,&quot;volume&quot;:&quot;9&quot;},&quot;isTemporary&quot;:false},{&quot;id&quot;:&quot;35c36eae-9ae0-3de9-8f52-047bcba2d044&quot;,&quot;itemData&quot;:{&quot;type&quot;:&quot;article-journal&quot;,&quot;id&quot;:&quot;35c36eae-9ae0-3de9-8f52-047bcba2d044&quot;,&quot;title&quot;:&quot;Risk factors of acute exacerbation and disease progression in young patients with COPD&quot;,&quot;author&quot;:[{&quot;family&quot;:&quot;Bae&quot;,&quot;given&quot;:&quot;Juye&quot;,&quot;parse-names&quot;:false,&quot;dropping-particle&quot;:&quot;&quot;,&quot;non-dropping-particle&quot;:&quot;&quot;},{&quot;family&quot;:&quot;Lee&quot;,&quot;given&quot;:&quot;Hyo Jin&quot;,&quot;parse-names&quot;:false,&quot;dropping-particle&quot;:&quot;&quot;,&quot;non-dropping-particle&quot;:&quot;&quot;},{&quot;family&quot;:&quot;Choi&quot;,&quot;given&quot;:&quot;Kwang Yong&quot;,&quot;parse-names&quot;:false,&quot;dropping-particle&quot;:&quot;&quot;,&quot;non-dropping-particle&quot;:&quot;&quot;},{&quot;family&quot;:&quot;Lee&quot;,&quot;given&quot;:&quot;Jung Kyu&quot;,&quot;parse-names&quot;:false,&quot;dropping-particle&quot;:&quot;&quot;,&quot;non-dropping-particle&quot;:&quot;&quot;},{&quot;family&quot;:&quot;Park&quot;,&quot;given&quot;:&quot;Tae Yun&quot;,&quot;parse-names&quot;:false,&quot;dropping-particle&quot;:&quot;&quot;,&quot;non-dropping-particle&quot;:&quot;&quot;},{&quot;family&quot;:&quot;Heo&quot;,&quot;given&quot;:&quot;Eun Young&quot;,&quot;parse-names&quot;:false,&quot;dropping-particle&quot;:&quot;&quot;,&quot;non-dropping-particle&quot;:&quot;&quot;},{&quot;family&quot;:&quot;Lee&quot;,&quot;given&quot;:&quot;Chang Hoon&quot;,&quot;parse-names&quot;:false,&quot;dropping-particle&quot;:&quot;&quot;,&quot;non-dropping-particle&quot;:&quot;&quot;},{&quot;family&quot;:&quot;Kim&quot;,&quot;given&quot;:&quot;Deog Kyeom&quot;,&quot;parse-names&quot;:false,&quot;dropping-particle&quot;:&quot;&quot;,&quot;non-dropping-particle&quot;:&quot;&quot;},{&quot;family&quot;:&quot;Lee&quot;,&quot;given&quot;:&quot;Hyun Woo&quot;,&quot;parse-names&quot;:false,&quot;dropping-particle&quot;:&quot;&quot;,&quot;non-dropping-particle&quot;:&quot;&quot;}],&quot;container-title&quot;:&quot;BMJ open respiratory research&quot;,&quot;container-title-short&quot;:&quot;BMJ Open Respir Res&quot;,&quot;accessed&quot;:{&quot;date-parts&quot;:[[2025,3,11]]},&quot;DOI&quot;:&quot;10.1136/BMJRESP-2023-001740&quot;,&quot;ISSN&quot;:&quot;2052-4439&quot;,&quot;PMID&quot;:&quot;39019624&quot;,&quot;URL&quot;:&quot;https://pubmed.ncbi.nlm.nih.gov/39019624/&quot;,&quot;issued&quot;:{&quot;date-parts&quot;:[[2024,7,17]]},&quot;abstract&quot;:&quot;Objective We aimed to elucidate the clinical factors associated with acute exacerbation and disease progression in young patients with chronic obstructive pulmonary disease (COPD). Methods This retrospective longitudinal observational study included patients with COPD aged between 20 and 50 years with post-bronchodilator forced expiratory volume in one second (FEV 1)/forced vital capacity (FVC)&lt;0.7. Eligible patients were followed up with ≥2 spirometry examinations at 1 year interval after COPD diagnosis. The primary outcome was moderate-to-severe acute exacerbation in young patients with COPD. Secondary outcomes were early initiation of regular inhalation therapy and accelerated annual post-bronchodilator FEV 1 decline. Results A total of 342 patients were followed up during a median of 64 months. In multivariable analyses, risk factors for moderate-to-severe exacerbation were history of asthma (adjusted HR (aHR)=2.999, 95% CI=[2.074-4.335]), emphysema (aHR=1.951, 95% CI=[1.331-2.960]), blood eosinophil count &gt;300/μL (aHR=1.469, 95% CI=[1.038-2.081]) and low FEV 1 (%) (aHR=0.979, 95% CI=[0.970-0.987]). A history of asthma, sputum, blood eosinophil count &gt;300/μL, low FEV 1 (%) and low diffusing capacity of the lung for carbon monoxide (DL CO) (%) were identified as clinical factors associated with the early initiation of regular inhalation therapy. The risk factors associated with worsened FEV 1 decline were increasing age, female sex, history of pulmonary tuberculosis, sputum, low FEV 1 (%) and low DL CO (%). Conclusions In young COPD patients, specific high-risk features of acute exacerbation and disease progression need to be identified, including a history of previous respiratory diseases, current respiratory symptoms, blood eosinophil counts, and structural or functional pulmonary impairment.&quot;,&quot;publisher&quot;:&quot;BMJ Open Respir Res&quot;,&quot;issue&quot;:&quot;1&quot;,&quot;volume&quot;:&quot;11&quot;},&quot;isTemporary&quot;:false}]},{&quot;citationID&quot;:&quot;MENDELEY_CITATION_7c330c0c-b50e-4150-932a-6dcdba98e0e9&quot;,&quot;properties&quot;:{&quot;noteIndex&quot;:0},&quot;isEdited&quot;:false,&quot;manualOverride&quot;:{&quot;isManuallyOverridden&quot;:false,&quot;citeprocText&quot;:&quot;[224–229]&quot;,&quot;manualOverrideText&quot;:&quot;&quot;},&quot;citationTag&quot;:&quot;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&quot;,&quot;citationItems&quot;:[{&quot;id&quot;:&quot;2d4c9086-aa2a-3e22-8812-a120bb3a39e8&quot;,&quot;itemData&quot;:{&quot;type&quot;:&quot;article-journal&quot;,&quot;id&quot;:&quot;2d4c9086-aa2a-3e22-8812-a120bb3a39e8&quot;,&quot;title&quot;:&quot;Declining Lung Function and Cardiovascular Risk: The Atherosclerosis Risk in Communities (ARIC) Study&quot;,&quot;author&quot;:[{&quot;family&quot;:&quot;Silvestre&quot;,&quot;given&quot;:&quot;Odilson M.&quot;,&quot;parse-names&quot;:false,&quot;dropping-particle&quot;:&quot;&quot;,&quot;non-dropping-particle&quot;:&quot;&quot;},{&quot;family&quot;:&quot;Nadruz&quot;,&quot;given&quot;:&quot;Wilson&quot;,&quot;parse-names&quot;:false,&quot;dropping-particle&quot;:&quot;&quot;,&quot;non-dropping-particle&quot;:&quot;&quot;},{&quot;family&quot;:&quot;Querejeta Roca&quot;,&quot;given&quot;:&quot;Gabriela&quot;,&quot;parse-names&quot;:false,&quot;dropping-particle&quot;:&quot;&quot;,&quot;non-dropping-particle&quot;:&quot;&quot;},{&quot;family&quot;:&quot;Claggett&quot;,&quot;given&quot;:&quot;Brian&quot;,&quot;parse-names&quot;:false,&quot;dropping-particle&quot;:&quot;&quot;,&quot;non-dropping-particle&quot;:&quot;&quot;},{&quot;family&quot;:&quot;Solomon&quot;,&quot;given&quot;:&quot;Scott D.&quot;,&quot;parse-names&quot;:false,&quot;dropping-particle&quot;:&quot;&quot;,&quot;non-dropping-particle&quot;:&quot;&quot;},{&quot;family&quot;:&quot;Mirabelli&quot;,&quot;given&quot;:&quot;Maria C.&quot;,&quot;parse-names&quot;:false,&quot;dropping-particle&quot;:&quot;&quot;,&quot;non-dropping-particle&quot;:&quot;&quot;},{&quot;family&quot;:&quot;London&quot;,&quot;given&quot;:&quot;Stephanie J.&quot;,&quot;parse-names&quot;:false,&quot;dropping-particle&quot;:&quot;&quot;,&quot;non-dropping-particle&quot;:&quot;&quot;},{&quot;family&quot;:&quot;Loehr&quot;,&quot;given&quot;:&quot;Laura R.&quot;,&quot;parse-names&quot;:false,&quot;dropping-particle&quot;:&quot;&quot;,&quot;non-dropping-particle&quot;:&quot;&quot;},{&quot;family&quot;:&quot;Shah&quot;,&quot;given&quot;:&quot;Amil M.&quot;,&quot;parse-names&quot;:false,&quot;dropping-particle&quot;:&quot;&quot;,&quot;non-dropping-particle&quot;:&quot;&quot;}],&quot;container-title&quot;:&quot;Journal of the American College of Cardiology&quot;,&quot;accessed&quot;:{&quot;date-parts&quot;:[[2025,3,24]]},&quot;DOI&quot;:&quot;10.1016/J.JACC.2018.06.049&quot;,&quot;ISSN&quot;:&quot;15583597&quot;,&quot;PMID&quot;:&quot;30165982&quot;,&quot;URL&quot;:&quot;https://pmc.ncbi.nlm.nih.gov/articles/PMC6121739/&quot;,&quot;issued&quot;:{&quot;date-parts&quot;:[[2018,9,4]]},&quot;page&quot;:&quot;1109&quot;,&quot;abstract&quot;:&quot;Background: Pulmonary dysfunction predicts incident cardiovascular disease (CVD). Objectives: The purpose of this study was to evaluate whether longitudinal decline in lung function is associated with incident heart failure (HF), coronary heart disease (CHD), and stroke. Methods: Among 10,351 participants in the ARIC (Atherosclerosis Risk In Communities) study free of CVD, rapid lung function decline was defined as the greatest quartile (n = 2,585) of decline in either forced expiratory volume in 1 s (FEV1) (&gt;1.9% decline/year) or forced vital capacity (FVC) (&gt;2.1% decline/year) over 2.9 ± 0.2 years. The relationship between rapid decline in FEV1 or FVC and subsequent incident HF, CHD, stroke, or a composite of these was assessed using multivariable Cox regression adjusting for the baseline spirometry value, demographics, height, body mass index, heart rate, diabetes, hypertension, low-density lipoprotein, use of lipid-lowering medication, N-terminal fragment of prohormone for B-type natriuretic peptide, and smoking. Results: The mean age was 54 ± 6 years, 56% were women, and 81% were white. At 17 ± 6 years of follow-up, HF occurred in 14%, CHD 11%, stroke 6%, and the composite in 24%. Rapid decline in FEV1 and in FVC were both associated with a heightened risk of incident HF (hazard ratio [HR]: 1.17; 95% confidence interval [CI]: 1.04 to 1.33; p = 0.010; and HR: 1.27; 95% CI: 1.12 to 1.44; p &lt; 0.001; respectively), with rapid decline in FEV1 most prognostic in the first year of follow-up (HR: 4.22; 95% CI: 1.34 to 13.26; p = 0.01). Rapid decline in FEV1 was also associated with incident stroke (HR: 1.25; 95% CI: 1.04 to 1.50; p = 0.015). Conclusions: A rapid decline in lung function, assessed by serial spirometry, is associated with a higher incidence of subsequent CVD, particularly incident HF.&quot;,&quot;publisher&quot;:&quot;Elsevier USA&quot;,&quot;issue&quot;:&quot;10&quot;,&quot;volume&quot;:&quot;72&quot;,&quot;container-title-short&quot;:&quot;J Am Coll Cardiol&quot;},&quot;isTemporary&quot;:false},{&quot;id&quot;:&quot;497275dd-eb7b-3a80-b5ec-214172ba676d&quot;,&quot;itemData&quot;:{&quot;type&quot;:&quot;article-journal&quot;,&quot;id&quot;:&quot;497275dd-eb7b-3a80-b5ec-214172ba676d&quot;,&quot;title&quot;:&quot;Accelerated FEV1 decline and risk of cardiovascular disease and mortality in a primary care population of COPD patients&quot;,&quot;author&quot;:[{&quot;family&quot;:&quot;Whittaker&quot;,&quot;given&quot;:&quot;Hannah R.&quot;,&quot;parse-names&quot;:false,&quot;dropping-particle&quot;:&quot;&quot;,&quot;non-dropping-particle&quot;:&quot;&quot;},{&quot;family&quot;:&quot;Bloom&quot;,&quot;given&quot;:&quot;Chloe&quot;,&quot;parse-names&quot;:false,&quot;dropping-particle&quot;:&quot;&quot;,&quot;non-dropping-particle&quot;:&quot;&quot;},{&quot;family&quot;:&quot;Morgan&quot;,&quot;given&quot;:&quot;Ann&quot;,&quot;parse-names&quot;:false,&quot;dropping-particle&quot;:&quot;&quot;,&quot;non-dropping-particle&quot;:&quot;&quot;},{&quot;family&quot;:&quot;Jarvis&quot;,&quot;given&quot;:&quot;Deborah&quot;,&quot;parse-names&quot;:false,&quot;dropping-particle&quot;:&quot;&quot;,&quot;non-dropping-particle&quot;:&quot;&quot;},{&quot;family&quot;:&quot;Kiddle&quot;,&quot;given&quot;:&quot;Steven J.&quot;,&quot;parse-names&quot;:false,&quot;dropping-particle&quot;:&quot;&quot;,&quot;non-dropping-particle&quot;:&quot;&quot;},{&quot;family&quot;:&quot;Quint&quot;,&quot;given&quot;:&quot;Jennifer K.&quot;,&quot;parse-names&quot;:false,&quot;dropping-particle&quot;:&quot;&quot;,&quot;non-dropping-particle&quot;:&quot;&quot;}],&quot;container-title&quot;:&quot;European Respiratory Journal&quot;,&quot;DOI&quot;:&quot;10.1183/13993003.00918-2020&quot;,&quot;ISSN&quot;:&quot;13993003&quot;,&quot;PMID&quot;:&quot;32972984&quot;,&quot;URL&quot;:&quot;http://dx.doi.org/10.1183/13993003.00918-2020&quot;,&quot;issued&quot;:{&quot;date-parts&quot;:[[2021]]},&quot;page&quot;:&quot;1-12&quot;,&quot;abstract&quot;:&quot;Accelerated lung function decline has been associated with increased risk of cardiovascular disease (CVD) in a general population, but little is known about this association in chronic obstructive pulmonary disease (COPD). We investigated the association between accelerated lung function decline and CVD outcomes and mortality in a primary care COPD population. COPD patients without a history of CVD were identified in the Clinical Practice Research Datalink (CPRD)-GOLD primary care dataset (n=36 382). Accelerated decline in forced expiratory volume in 1 s (FEV1) was defined using the fastest quartile of the COPD population's decline. A Cox regression was used to assess the association between baseline accelerated FEV1 decline and a composite CVD outcome over follow-up (myocardial infarction, ischaemic stroke, heart failure, atrial fibrillation, coronary artery disease and CVD mortality). The model was adjusted for age, sex, smoking status, body mass index, history of asthma, hypertension, diabetes, statin use, Modified Medical Research Council (mMRC) dyspnoea score, exacerbation frequency and baseline FEV1 % predicted. 6110 COPD patients (16.8%) had a CVD event during follow-up; median length of follow-up was 3.6 years (interquartile range (IQR) 1.7-6.1 years). Median rate of FEV1 decline was -19.4 mL·year−1 (IQR -40.5-1.9); 9095 patients (25%) had accelerated FEV1 decline (&gt; -40.5 mL·year−1), 27 287 (75%) did not (≤ -40.5 mL·year−1). Risk of CVD and mortality was similar between patients with and without accelerated FEV1 decline (HRadj 0.98, 95% CI 0.90-1.06). Corresponding risk estimates were 0.99 (95% CI 0.83-1.20) for heart failure, 0.89 (95% CI 0.70-1.12) for myocardial infarction, 1.01 (95% CI 0.82-1.23) for stroke, 0.97 (95% CI 0.81-1.15) for atrial fibrillation, 1.02 (95% CI 0.87-1.19) for coronary artery disease and 0.94 (95% CI 0.71-1.25) for CVD mortality. Rather, risk of CVD was associated with a mMRC score ≥2 and two or more exacerbations in the year prior. CVD outcomes and mortality were associated with exacerbation frequency and severity and increased mMRC dyspnoea score but not with accelerated FEV1 decline.&quot;,&quot;issue&quot;:&quot;3&quot;,&quot;volume&quot;:&quot;57&quot;,&quot;container-title-short&quot;:&quot;&quot;},&quot;isTemporary&quot;:false},{&quot;id&quot;:&quot;94d07f53-764f-3f68-be89-92e8e5dff24c&quot;,&quot;itemData&quot;:{&quot;type&quot;:&quot;article-journal&quot;,&quot;id&quot;:&quot;94d07f53-764f-3f68-be89-92e8e5dff24c&quot;,&quot;title&quot;:&quot;Annual decline rate in FEV1s in community-dwelling older adults diagnosed with mild to moderate COPD&quot;,&quot;author&quot;:[{&quot;family&quot;:&quot;Rosso&quot;,&quot;given&quot;:&quot;Aldana&quot;,&quot;parse-names&quot;:false,&quot;dropping-particle&quot;:&quot;&quot;,&quot;non-dropping-particle&quot;:&quot;&quot;},{&quot;family&quot;:&quot;Egervall&quot;,&quot;given&quot;:&quot;Karl&quot;,&quot;parse-names&quot;:false,&quot;dropping-particle&quot;:&quot;&quot;,&quot;non-dropping-particle&quot;:&quot;&quot;},{&quot;family&quot;:&quot;Elmståhl&quot;,&quot;given&quot;:&quot;Sölve&quot;,&quot;parse-names&quot;:false,&quot;dropping-particle&quot;:&quot;&quot;,&quot;non-dropping-particle&quot;:&quot;&quot;}],&quot;container-title&quot;:&quot;npj Primary Care Respiratory Medicine&quot;,&quot;container-title-short&quot;:&quot;NPJ Prim Care Respir Med&quot;,&quot;DOI&quot;:&quot;10.1038/s41533-022-00292-w&quot;,&quot;ISSN&quot;:&quot;20551010&quot;,&quot;PMID&quot;:&quot;36028513&quot;,&quot;issued&quot;:{&quot;date-parts&quot;:[[2022]]},&quot;page&quot;:&quot;1-4&quot;,&quot;abstract&quot;:&quot;Information about the decline rate in forced expiratory volume in 1 s (FEV1s) in older adults with COPD is scarce. A total of 4082 community-dwelling older adults from the population-based study Good Aging in Skåne were followed for 12 years and 143 participants developed COPD. The average FEV1s decline is estimated to be 66.3 mL/year, (95% CI [56.4; 76.3]) and 43.3 mL/year (1.7%/year, 95% CI [41.2; 45.5]) for COPD and non-COPD participants, respectively.&quot;,&quot;publisher&quot;:&quot;Springer US&quot;,&quot;issue&quot;:&quot;1&quot;,&quot;volume&quot;:&quot;32&quot;},&quot;isTemporary&quot;:false},{&quot;id&quot;:&quot;d2d9f081-fea3-3554-9452-fdd4c55eb188&quot;,&quot;itemData&quot;:{&quot;type&quot;:&quot;article-journal&quot;,&quot;id&quot;:&quot;d2d9f081-fea3-3554-9452-fdd4c55eb188&quot;,&quot;title&quot;:&quot;COPD and Cardiovascular Disease: A Review of Association, Interrelationship, and Basic Principles for Integrated Management&quot;,&quot;author&quot;:[{&quot;family&quot;:&quot;Shnoda&quot;,&quot;given&quot;:&quot;Mina&quot;,&quot;parse-names&quot;:false,&quot;dropping-particle&quot;:&quot;&quot;,&quot;non-dropping-particle&quot;:&quot;&quot;},{&quot;family&quot;:&quot;Gajjar&quot;,&quot;given&quot;:&quot;Kushani&quot;,&quot;parse-names&quot;:false,&quot;dropping-particle&quot;:&quot;&quot;,&quot;non-dropping-particle&quot;:&quot;&quot;},{&quot;family&quot;:&quot;Ivanova&quot;,&quot;given&quot;:&quot;Valentyna&quot;,&quot;parse-names&quot;:false,&quot;dropping-particle&quot;:&quot;&quot;,&quot;non-dropping-particle&quot;:&quot;&quot;}],&quot;container-title&quot;:&quot;Critical care nursing quarterly&quot;,&quot;container-title-short&quot;:&quot;Crit Care Nurs Q&quot;,&quot;accessed&quot;:{&quot;date-parts&quot;:[[2025,3,26]]},&quot;DOI&quot;:&quot;10.1097/CNQ.0000000000000342&quot;,&quot;ISSN&quot;:&quot;1550-5111&quot;,&quot;PMID&quot;:&quot;33234862&quot;,&quot;URL&quot;:&quot;https://pubmed.ncbi.nlm.nih.gov/33234862/&quot;,&quot;issued&quot;:{&quot;date-parts&quot;:[[2021,1,1]]},&quot;page&quot;:&quot;91-102&quot;,&quot;abstract&quot;:&quot;The presence of comorbid cardiovascular disease (CVD) in patients with chronic obstructive pulmonary disease (COPD) can result in unfavorable outcomes, ranging from deterioration in quality of life to increases in all-cause and cardiovascular mortality. Moreover, cardiovascular events are major cause of hospitalization in patients with COPD and contributing significantly to the economic burden of the disease. Despite the acknowledgment of the prognostic significance of CVD comorbidity in COPD patients, CVD remains underrecognized and undertreated in this patient population. In this article, we address the current knowledge about the estimated prevalence, pathophysiologic association, as well as important considerations in the diagnosis and management of CVD in COPD patients.&quot;,&quot;publisher&quot;:&quot;Crit Care Nurs Q&quot;,&quot;issue&quot;:&quot;1&quot;,&quot;volume&quot;:&quot;44&quot;},&quot;isTemporary&quot;:false},{&quot;id&quot;:&quot;2fea6def-f37b-3f75-8925-9313ea469ee0&quot;,&quot;itemData&quot;:{&quot;type&quot;:&quot;article-journal&quot;,&quot;id&quot;:&quot;2fea6def-f37b-3f75-8925-9313ea469ee0&quot;,&quot;title&quot;:&quot;Cardiovascular disease and risk in COPD: a state of the art review&quot;,&quot;author&quot;:[{&quot;family&quot;:&quot;Polman&quot;,&quot;given&quot;:&quot;Ricardo&quot;,&quot;parse-names&quot;:false,&quot;dropping-particle&quot;:&quot;&quot;,&quot;non-dropping-particle&quot;:&quot;&quot;},{&quot;family&quot;:&quot;Hurst&quot;,&quot;given&quot;:&quot;John R.&quot;,&quot;parse-names&quot;:false,&quot;dropping-particle&quot;:&quot;&quot;,&quot;non-dropping-particle&quot;:&quot;&quot;},{&quot;family&quot;:&quot;Uysal&quot;,&quot;given&quot;:&quot;Omer Faruk&quot;,&quot;parse-names&quot;:false,&quot;dropping-particle&quot;:&quot;&quot;,&quot;non-dropping-particle&quot;:&quot;&quot;},{&quot;family&quot;:&quot;Mandal&quot;,&quot;given&quot;:&quot;Swapna&quot;,&quot;parse-names&quot;:false,&quot;dropping-particle&quot;:&quot;&quot;,&quot;non-dropping-particle&quot;:&quot;&quot;},{&quot;family&quot;:&quot;Linz&quot;,&quot;given&quot;:&quot;Dominik&quot;,&quot;parse-names&quot;:false,&quot;dropping-particle&quot;:&quot;&quot;,&quot;non-dropping-particle&quot;:&quot;&quot;},{&quot;family&quot;:&quot;Simons&quot;,&quot;given&quot;:&quot;Sami&quot;,&quot;parse-names&quot;:false,&quot;dropping-particle&quot;:&quot;&quot;,&quot;non-dropping-particle&quot;:&quot;&quot;}],&quot;container-title&quot;:&quot;Expert Review of Cardiovascular Therapy&quot;,&quot;container-title-short&quot;:&quot;Expert Rev Cardiovasc Ther&quot;,&quot;accessed&quot;:{&quot;date-parts&quot;:[[2025,3,26]]},&quot;DOI&quot;:&quot;10.1080/14779072.2024.2333786&quot;,&quot;ISSN&quot;:&quot;17448344&quot;,&quot;PMID&quot;:&quot;38529639&quot;,&quot;URL&quot;:&quot;https://www.tandfonline.com/doi/abs/10.1080/14779072.2024.2333786&quot;,&quot;issued&quot;:{&quot;date-parts&quot;:[[2024,5,3]]},&quot;page&quot;:&quot;177-191&quot;,&quot;abstract&quot;:&quot;1. The Global Initiative for Chronic Obstructive Lung Disease (GOLD) defines COPD as ‘a heterogeneous lung condition, characterized by chronic respiratory symptoms (dyspnoea, cough, expectoration a...&quot;,&quot;publisher&quot;:&quot;Taylor &amp; Francis&quot;,&quot;issue&quot;:&quot;4-5&quot;,&quot;volume&quot;:&quot;22&quot;},&quot;isTemporary&quot;:false},{&quot;id&quot;:&quot;7b726da6-5053-3492-a0b1-f0c4a3c448bf&quot;,&quot;itemData&quot;:{&quot;type&quot;:&quot;article-journal&quot;,&quot;id&quot;:&quot;7b726da6-5053-3492-a0b1-f0c4a3c448bf&quot;,&quot;title&quot;:&quot;Lung function and cardiovascular disease: a link&quot;,&quot;author&quot;:[{&quot;family&quot;:&quot;Ramalho&quot;,&quot;given&quot;:&quot;Sergio H.R.&quot;,&quot;parse-names&quot;:false,&quot;dropping-particle&quot;:&quot;&quot;,&quot;non-dropping-particle&quot;:&quot;&quot;},{&quot;family&quot;:&quot;Shah&quot;,&quot;given&quot;:&quot;Amil M.&quot;,&quot;parse-names&quot;:false,&quot;dropping-particle&quot;:&quot;&quot;,&quot;non-dropping-particle&quot;:&quot;&quot;}],&quot;container-title&quot;:&quot;Trends in cardiovascular medicine&quot;,&quot;container-title-short&quot;:&quot;Trends Cardiovasc Med&quot;,&quot;accessed&quot;:{&quot;date-parts&quot;:[[2025,3,26]]},&quot;DOI&quot;:&quot;10.1016/J.TCM.2019.12.009&quot;,&quot;ISSN&quot;:&quot;18732615&quot;,&quot;PMID&quot;:&quot;31932098&quot;,&quot;URL&quot;:&quot;https://pmc.ncbi.nlm.nih.gov/articles/PMC7332411/&quot;,&quot;issued&quot;:{&quot;date-parts&quot;:[[2020,2,1]]},&quot;page&quot;:&quot;93&quot;,&quot;abstract&quot;:&quot;The relationship between lung and heart diseases has long been recognized, with necropsy studies demonstrating silent myocardial infarctions or coronary artery calcification in patients with advanced emphysema as the death cause. Improvements in non-invasive techniques and epidemiologic approaches established that lung and cardiovascular diseases frequently coexist in mid and late life. Even among those without diagnosed lung disease, lower than expected forced vital capacity, forced expiratory volume in 1 s, and their ratio each portend greater risk of developing cardiovascular risk factors including hypertension, obesity, and metabolic syndrome, and for incident cardiovascular diseases including left heart failure, atrial fibrillation and stroke. Greater longitudinal declines in these spirometric measures are further associated with cardiovascular morbidity and mortality. While obstructive ventilatory patterns are more common, restrictive ventilatory patterns seem to demonstrate an independent and more robust association with cardiovascular diseases such as heart failure. These subclinical alterations in pulmonary function also relate to subclinical abnormalities of cardiac structure and function. Although the biologic pathways linking pulmonary and cardiovascular dysfunction are not clear, chronic systemic inflammation appears to be one important underlying pathophysiologic link. Despite the growing evidence of lung dysfunction as a cardiovascular risk factor, spirometric evaluation is still underutilized in clinical practice, particularly among cardiac patients, and optimal therapeutic and preventive strategies are still unclear. In this review, we address the current knowledge and controversies regarding the links between lung function and cardiovascular disease.&quot;,&quot;publisher&quot;:&quot;Elsevier Inc.&quot;,&quot;issue&quot;:&quot;2&quot;,&quot;volume&quot;:&quot;31&quot;},&quot;isTemporary&quot;:false}]},{&quot;citationID&quot;:&quot;MENDELEY_CITATION_baf145fe-7c90-4ad5-9175-1565e24157eb&quot;,&quot;properties&quot;:{&quot;noteIndex&quot;:0},&quot;isEdited&quot;:false,&quot;manualOverride&quot;:{&quot;isManuallyOverridden&quot;:false,&quot;citeprocText&quot;:&quot;[229]&quot;,&quot;manualOverrideText&quot;:&quot;&quot;},&quot;citationTag&quot;:&quot;MENDELEY_CITATION_v3_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&quot;,&quot;citationItems&quot;:[{&quot;id&quot;:&quot;7b726da6-5053-3492-a0b1-f0c4a3c448bf&quot;,&quot;itemData&quot;:{&quot;type&quot;:&quot;article-journal&quot;,&quot;id&quot;:&quot;7b726da6-5053-3492-a0b1-f0c4a3c448bf&quot;,&quot;title&quot;:&quot;Lung function and cardiovascular disease: a link&quot;,&quot;author&quot;:[{&quot;family&quot;:&quot;Ramalho&quot;,&quot;given&quot;:&quot;Sergio H.R.&quot;,&quot;parse-names&quot;:false,&quot;dropping-particle&quot;:&quot;&quot;,&quot;non-dropping-particle&quot;:&quot;&quot;},{&quot;family&quot;:&quot;Shah&quot;,&quot;given&quot;:&quot;Amil M.&quot;,&quot;parse-names&quot;:false,&quot;dropping-particle&quot;:&quot;&quot;,&quot;non-dropping-particle&quot;:&quot;&quot;}],&quot;container-title&quot;:&quot;Trends in cardiovascular medicine&quot;,&quot;container-title-short&quot;:&quot;Trends Cardiovasc Med&quot;,&quot;accessed&quot;:{&quot;date-parts&quot;:[[2025,3,26]]},&quot;DOI&quot;:&quot;10.1016/J.TCM.2019.12.009&quot;,&quot;ISSN&quot;:&quot;18732615&quot;,&quot;PMID&quot;:&quot;31932098&quot;,&quot;URL&quot;:&quot;https://pmc.ncbi.nlm.nih.gov/articles/PMC7332411/&quot;,&quot;issued&quot;:{&quot;date-parts&quot;:[[2020,2,1]]},&quot;page&quot;:&quot;93&quot;,&quot;abstract&quot;:&quot;The relationship between lung and heart diseases has long been recognized, with necropsy studies demonstrating silent myocardial infarctions or coronary artery calcification in patients with advanced emphysema as the death cause. Improvements in non-invasive techniques and epidemiologic approaches established that lung and cardiovascular diseases frequently coexist in mid and late life. Even among those without diagnosed lung disease, lower than expected forced vital capacity, forced expiratory volume in 1 s, and their ratio each portend greater risk of developing cardiovascular risk factors including hypertension, obesity, and metabolic syndrome, and for incident cardiovascular diseases including left heart failure, atrial fibrillation and stroke. Greater longitudinal declines in these spirometric measures are further associated with cardiovascular morbidity and mortality. While obstructive ventilatory patterns are more common, restrictive ventilatory patterns seem to demonstrate an independent and more robust association with cardiovascular diseases such as heart failure. These subclinical alterations in pulmonary function also relate to subclinical abnormalities of cardiac structure and function. Although the biologic pathways linking pulmonary and cardiovascular dysfunction are not clear, chronic systemic inflammation appears to be one important underlying pathophysiologic link. Despite the growing evidence of lung dysfunction as a cardiovascular risk factor, spirometric evaluation is still underutilized in clinical practice, particularly among cardiac patients, and optimal therapeutic and preventive strategies are still unclear. In this review, we address the current knowledge and controversies regarding the links between lung function and cardiovascular disease.&quot;,&quot;publisher&quot;:&quot;Elsevier Inc.&quot;,&quot;issue&quot;:&quot;2&quot;,&quot;volume&quot;:&quot;31&quot;},&quot;isTemporary&quot;:false}]},{&quot;citationID&quot;:&quot;MENDELEY_CITATION_991683c5-8d6a-494f-9d3b-410786bd023a&quot;,&quot;properties&quot;:{&quot;noteIndex&quot;:0},&quot;isEdited&quot;:false,&quot;manualOverride&quot;:{&quot;isManuallyOverridden&quot;:false,&quot;citeprocText&quot;:&quot;[227,228]&quot;,&quot;manualOverrideText&quot;:&quot;&quot;},&quot;citationTag&quot;:&quot;MENDELEY_CITATION_v3_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&quot;,&quot;citationItems&quot;:[{&quot;id&quot;:&quot;d2d9f081-fea3-3554-9452-fdd4c55eb188&quot;,&quot;itemData&quot;:{&quot;type&quot;:&quot;article-journal&quot;,&quot;id&quot;:&quot;d2d9f081-fea3-3554-9452-fdd4c55eb188&quot;,&quot;title&quot;:&quot;COPD and Cardiovascular Disease: A Review of Association, Interrelationship, and Basic Principles for Integrated Management&quot;,&quot;author&quot;:[{&quot;family&quot;:&quot;Shnoda&quot;,&quot;given&quot;:&quot;Mina&quot;,&quot;parse-names&quot;:false,&quot;dropping-particle&quot;:&quot;&quot;,&quot;non-dropping-particle&quot;:&quot;&quot;},{&quot;family&quot;:&quot;Gajjar&quot;,&quot;given&quot;:&quot;Kushani&quot;,&quot;parse-names&quot;:false,&quot;dropping-particle&quot;:&quot;&quot;,&quot;non-dropping-particle&quot;:&quot;&quot;},{&quot;family&quot;:&quot;Ivanova&quot;,&quot;given&quot;:&quot;Valentyna&quot;,&quot;parse-names&quot;:false,&quot;dropping-particle&quot;:&quot;&quot;,&quot;non-dropping-particle&quot;:&quot;&quot;}],&quot;container-title&quot;:&quot;Critical care nursing quarterly&quot;,&quot;container-title-short&quot;:&quot;Crit Care Nurs Q&quot;,&quot;accessed&quot;:{&quot;date-parts&quot;:[[2025,3,26]]},&quot;DOI&quot;:&quot;10.1097/CNQ.0000000000000342&quot;,&quot;ISSN&quot;:&quot;1550-5111&quot;,&quot;PMID&quot;:&quot;33234862&quot;,&quot;URL&quot;:&quot;https://pubmed.ncbi.nlm.nih.gov/33234862/&quot;,&quot;issued&quot;:{&quot;date-parts&quot;:[[2021,1,1]]},&quot;page&quot;:&quot;91-102&quot;,&quot;abstract&quot;:&quot;The presence of comorbid cardiovascular disease (CVD) in patients with chronic obstructive pulmonary disease (COPD) can result in unfavorable outcomes, ranging from deterioration in quality of life to increases in all-cause and cardiovascular mortality. Moreover, cardiovascular events are major cause of hospitalization in patients with COPD and contributing significantly to the economic burden of the disease. Despite the acknowledgment of the prognostic significance of CVD comorbidity in COPD patients, CVD remains underrecognized and undertreated in this patient population. In this article, we address the current knowledge about the estimated prevalence, pathophysiologic association, as well as important considerations in the diagnosis and management of CVD in COPD patients.&quot;,&quot;publisher&quot;:&quot;Crit Care Nurs Q&quot;,&quot;issue&quot;:&quot;1&quot;,&quot;volume&quot;:&quot;44&quot;},&quot;isTemporary&quot;:false},{&quot;id&quot;:&quot;2fea6def-f37b-3f75-8925-9313ea469ee0&quot;,&quot;itemData&quot;:{&quot;type&quot;:&quot;article-journal&quot;,&quot;id&quot;:&quot;2fea6def-f37b-3f75-8925-9313ea469ee0&quot;,&quot;title&quot;:&quot;Cardiovascular disease and risk in COPD: a state of the art review&quot;,&quot;author&quot;:[{&quot;family&quot;:&quot;Polman&quot;,&quot;given&quot;:&quot;Ricardo&quot;,&quot;parse-names&quot;:false,&quot;dropping-particle&quot;:&quot;&quot;,&quot;non-dropping-particle&quot;:&quot;&quot;},{&quot;family&quot;:&quot;Hurst&quot;,&quot;given&quot;:&quot;John R.&quot;,&quot;parse-names&quot;:false,&quot;dropping-particle&quot;:&quot;&quot;,&quot;non-dropping-particle&quot;:&quot;&quot;},{&quot;family&quot;:&quot;Uysal&quot;,&quot;given&quot;:&quot;Omer Faruk&quot;,&quot;parse-names&quot;:false,&quot;dropping-particle&quot;:&quot;&quot;,&quot;non-dropping-particle&quot;:&quot;&quot;},{&quot;family&quot;:&quot;Mandal&quot;,&quot;given&quot;:&quot;Swapna&quot;,&quot;parse-names&quot;:false,&quot;dropping-particle&quot;:&quot;&quot;,&quot;non-dropping-particle&quot;:&quot;&quot;},{&quot;family&quot;:&quot;Linz&quot;,&quot;given&quot;:&quot;Dominik&quot;,&quot;parse-names&quot;:false,&quot;dropping-particle&quot;:&quot;&quot;,&quot;non-dropping-particle&quot;:&quot;&quot;},{&quot;family&quot;:&quot;Simons&quot;,&quot;given&quot;:&quot;Sami&quot;,&quot;parse-names&quot;:false,&quot;dropping-particle&quot;:&quot;&quot;,&quot;non-dropping-particle&quot;:&quot;&quot;}],&quot;container-title&quot;:&quot;Expert Review of Cardiovascular Therapy&quot;,&quot;container-title-short&quot;:&quot;Expert Rev Cardiovasc Ther&quot;,&quot;accessed&quot;:{&quot;date-parts&quot;:[[2025,3,26]]},&quot;DOI&quot;:&quot;10.1080/14779072.2024.2333786&quot;,&quot;ISSN&quot;:&quot;17448344&quot;,&quot;PMID&quot;:&quot;38529639&quot;,&quot;URL&quot;:&quot;https://www.tandfonline.com/doi/abs/10.1080/14779072.2024.2333786&quot;,&quot;issued&quot;:{&quot;date-parts&quot;:[[2024,5,3]]},&quot;page&quot;:&quot;177-191&quot;,&quot;abstract&quot;:&quot;1. The Global Initiative for Chronic Obstructive Lung Disease (GOLD) defines COPD as ‘a heterogeneous lung condition, characterized by chronic respiratory symptoms (dyspnoea, cough, expectoration a...&quot;,&quot;publisher&quot;:&quot;Taylor &amp; Francis&quot;,&quot;issue&quot;:&quot;4-5&quot;,&quot;volume&quot;:&quot;22&quot;},&quot;isTemporary&quot;:false}]},{&quot;citationID&quot;:&quot;MENDELEY_CITATION_7d1008d8-bb59-43ff-8045-1380ac8a745a&quot;,&quot;properties&quot;:{&quot;noteIndex&quot;:0},&quot;isEdited&quot;:false,&quot;manualOverride&quot;:{&quot;isManuallyOverridden&quot;:false,&quot;citeprocText&quot;:&quot;[225]&quot;,&quot;manualOverrideText&quot;:&quot;&quot;},&quot;citationTag&quot;:&quot;MENDELEY_CITATION_v3_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&quot;,&quot;citationItems&quot;:[{&quot;id&quot;:&quot;497275dd-eb7b-3a80-b5ec-214172ba676d&quot;,&quot;itemData&quot;:{&quot;type&quot;:&quot;article-journal&quot;,&quot;id&quot;:&quot;497275dd-eb7b-3a80-b5ec-214172ba676d&quot;,&quot;title&quot;:&quot;Accelerated FEV1 decline and risk of cardiovascular disease and mortality in a primary care population of COPD patients&quot;,&quot;author&quot;:[{&quot;family&quot;:&quot;Whittaker&quot;,&quot;given&quot;:&quot;Hannah R.&quot;,&quot;parse-names&quot;:false,&quot;dropping-particle&quot;:&quot;&quot;,&quot;non-dropping-particle&quot;:&quot;&quot;},{&quot;family&quot;:&quot;Bloom&quot;,&quot;given&quot;:&quot;Chloe&quot;,&quot;parse-names&quot;:false,&quot;dropping-particle&quot;:&quot;&quot;,&quot;non-dropping-particle&quot;:&quot;&quot;},{&quot;family&quot;:&quot;Morgan&quot;,&quot;given&quot;:&quot;Ann&quot;,&quot;parse-names&quot;:false,&quot;dropping-particle&quot;:&quot;&quot;,&quot;non-dropping-particle&quot;:&quot;&quot;},{&quot;family&quot;:&quot;Jarvis&quot;,&quot;given&quot;:&quot;Deborah&quot;,&quot;parse-names&quot;:false,&quot;dropping-particle&quot;:&quot;&quot;,&quot;non-dropping-particle&quot;:&quot;&quot;},{&quot;family&quot;:&quot;Kiddle&quot;,&quot;given&quot;:&quot;Steven J.&quot;,&quot;parse-names&quot;:false,&quot;dropping-particle&quot;:&quot;&quot;,&quot;non-dropping-particle&quot;:&quot;&quot;},{&quot;family&quot;:&quot;Quint&quot;,&quot;given&quot;:&quot;Jennifer K.&quot;,&quot;parse-names&quot;:false,&quot;dropping-particle&quot;:&quot;&quot;,&quot;non-dropping-particle&quot;:&quot;&quot;}],&quot;container-title&quot;:&quot;European Respiratory Journal&quot;,&quot;DOI&quot;:&quot;10.1183/13993003.00918-2020&quot;,&quot;ISSN&quot;:&quot;13993003&quot;,&quot;PMID&quot;:&quot;32972984&quot;,&quot;URL&quot;:&quot;http://dx.doi.org/10.1183/13993003.00918-2020&quot;,&quot;issued&quot;:{&quot;date-parts&quot;:[[2021]]},&quot;page&quot;:&quot;1-12&quot;,&quot;abstract&quot;:&quot;Accelerated lung function decline has been associated with increased risk of cardiovascular disease (CVD) in a general population, but little is known about this association in chronic obstructive pulmonary disease (COPD). We investigated the association between accelerated lung function decline and CVD outcomes and mortality in a primary care COPD population. COPD patients without a history of CVD were identified in the Clinical Practice Research Datalink (CPRD)-GOLD primary care dataset (n=36 382). Accelerated decline in forced expiratory volume in 1 s (FEV1) was defined using the fastest quartile of the COPD population's decline. A Cox regression was used to assess the association between baseline accelerated FEV1 decline and a composite CVD outcome over follow-up (myocardial infarction, ischaemic stroke, heart failure, atrial fibrillation, coronary artery disease and CVD mortality). The model was adjusted for age, sex, smoking status, body mass index, history of asthma, hypertension, diabetes, statin use, Modified Medical Research Council (mMRC) dyspnoea score, exacerbation frequency and baseline FEV1 % predicted. 6110 COPD patients (16.8%) had a CVD event during follow-up; median length of follow-up was 3.6 years (interquartile range (IQR) 1.7-6.1 years). Median rate of FEV1 decline was -19.4 mL·year−1 (IQR -40.5-1.9); 9095 patients (25%) had accelerated FEV1 decline (&gt; -40.5 mL·year−1), 27 287 (75%) did not (≤ -40.5 mL·year−1). Risk of CVD and mortality was similar between patients with and without accelerated FEV1 decline (HRadj 0.98, 95% CI 0.90-1.06). Corresponding risk estimates were 0.99 (95% CI 0.83-1.20) for heart failure, 0.89 (95% CI 0.70-1.12) for myocardial infarction, 1.01 (95% CI 0.82-1.23) for stroke, 0.97 (95% CI 0.81-1.15) for atrial fibrillation, 1.02 (95% CI 0.87-1.19) for coronary artery disease and 0.94 (95% CI 0.71-1.25) for CVD mortality. Rather, risk of CVD was associated with a mMRC score ≥2 and two or more exacerbations in the year prior. CVD outcomes and mortality were associated with exacerbation frequency and severity and increased mMRC dyspnoea score but not with accelerated FEV1 decline.&quot;,&quot;issue&quot;:&quot;3&quot;,&quot;volume&quot;:&quot;57&quot;,&quot;container-title-short&quot;:&quot;&quot;},&quot;isTemporary&quot;:false}]},{&quot;citationID&quot;:&quot;MENDELEY_CITATION_cdf8ddfe-e6c0-42ba-a2e0-5a021d0be210&quot;,&quot;properties&quot;:{&quot;noteIndex&quot;:0},&quot;isEdited&quot;:false,&quot;manualOverride&quot;:{&quot;isManuallyOverridden&quot;:false,&quot;citeprocText&quot;:&quot;[22]&quot;,&quot;manualOverrideText&quot;:&quot;&quot;},&quot;citationTag&quot;:&quot;MENDELEY_CITATION_v3_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&quot;,&quot;citationItems&quot;:[{&quot;id&quot;:&quot;7b6d7736-e193-3d80-85bb-b3a96c05424d&quot;,&quot;itemData&quot;:{&quot;type&quot;:&quot;article-journal&quot;,&quot;id&quot;:&quot;7b6d7736-e193-3d80-85bb-b3a96c05424d&quot;,&quot;title&quot;:&quot;Contemporary Concise Review 2022: Chronic obstructive pulmonary disease&quot;,&quot;author&quot;:[{&quot;family&quot;:&quot;Calverley&quot;,&quot;given&quot;:&quot;Peter M.A.&quot;,&quot;parse-names&quot;:false,&quot;dropping-particle&quot;:&quot;&quot;,&quot;non-dropping-particle&quot;:&quot;&quot;},{&quot;family&quot;:&quot;Walker&quot;,&quot;given&quot;:&quot;Paul P.&quot;,&quot;parse-names&quot;:false,&quot;dropping-particle&quot;:&quot;&quot;,&quot;non-dropping-particle&quot;:&quot;&quot;}],&quot;container-title&quot;:&quot;Respirology&quot;,&quot;accessed&quot;:{&quot;date-parts&quot;:[[2024,5,27]]},&quot;DOI&quot;:&quot;10.1111/RESP.14489&quot;,&quot;ISSN&quot;:&quot;14401843&quot;,&quot;PMID&quot;:&quot;36922031&quot;,&quot;issued&quot;:{&quot;date-parts&quot;:[[2023,5,1]]},&quot;page&quot;:&quot;428-436&quot;,&quot;abstract&quot;:&quot;International respiratory organizations now recommend using lower limit of normal and standardized residuals to diagnose airflow obstruction and COPD though using a fixed ratio &lt;0.7 is simpler and robustly predicts important clinical outcomes. The most common COPD comorbidities are coronary artery calcification, emphysema and bronchiectasis. COPD patients with psychological (high anxiety and depression) and cachectic (underweight and osteoporotic) comorbidity have higher mortality and exacerbate more. Serum eosinophil count remains an important COPD biomarker and we have greater clarity about normal eosinophil levels in COPD and the wider population. Criteria for entry into COPD clinical trials continue to exclude many patients, in particular those at greater risk of exacerbation and death. The effect of hyperinflation on cardiac function impacts COPD mortality and is an important target for successful lung volume reduction procedures.&quot;,&quot;publisher&quot;:&quot;John Wiley and Sons Inc&quot;,&quot;issue&quot;:&quot;5&quot;,&quot;volume&quot;:&quot;28&quot;,&quot;container-title-short&quot;:&quot;&quot;},&quot;isTemporary&quot;:false}]},{&quot;citationID&quot;:&quot;MENDELEY_CITATION_c2195721-9bb1-4b64-8c7a-a4a5ff378476&quot;,&quot;properties&quot;:{&quot;noteIndex&quot;:0},&quot;isEdited&quot;:false,&quot;manualOverride&quot;:{&quot;isManuallyOverridden&quot;:false,&quot;citeprocText&quot;:&quot;[22]&quot;,&quot;manualOverrideText&quot;:&quot;&quot;},&quot;citationTag&quot;:&quot;MENDELEY_CITATION_v3_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&quot;,&quot;citationItems&quot;:[{&quot;id&quot;:&quot;7b6d7736-e193-3d80-85bb-b3a96c05424d&quot;,&quot;itemData&quot;:{&quot;type&quot;:&quot;article-journal&quot;,&quot;id&quot;:&quot;7b6d7736-e193-3d80-85bb-b3a96c05424d&quot;,&quot;title&quot;:&quot;Contemporary Concise Review 2022: Chronic obstructive pulmonary disease&quot;,&quot;author&quot;:[{&quot;family&quot;:&quot;Calverley&quot;,&quot;given&quot;:&quot;Peter M.A.&quot;,&quot;parse-names&quot;:false,&quot;dropping-particle&quot;:&quot;&quot;,&quot;non-dropping-particle&quot;:&quot;&quot;},{&quot;family&quot;:&quot;Walker&quot;,&quot;given&quot;:&quot;Paul P.&quot;,&quot;parse-names&quot;:false,&quot;dropping-particle&quot;:&quot;&quot;,&quot;non-dropping-particle&quot;:&quot;&quot;}],&quot;container-title&quot;:&quot;Respirology&quot;,&quot;accessed&quot;:{&quot;date-parts&quot;:[[2024,5,27]]},&quot;DOI&quot;:&quot;10.1111/RESP.14489&quot;,&quot;ISSN&quot;:&quot;14401843&quot;,&quot;PMID&quot;:&quot;36922031&quot;,&quot;issued&quot;:{&quot;date-parts&quot;:[[2023,5,1]]},&quot;page&quot;:&quot;428-436&quot;,&quot;abstract&quot;:&quot;International respiratory organizations now recommend using lower limit of normal and standardized residuals to diagnose airflow obstruction and COPD though using a fixed ratio &lt;0.7 is simpler and robustly predicts important clinical outcomes. The most common COPD comorbidities are coronary artery calcification, emphysema and bronchiectasis. COPD patients with psychological (high anxiety and depression) and cachectic (underweight and osteoporotic) comorbidity have higher mortality and exacerbate more. Serum eosinophil count remains an important COPD biomarker and we have greater clarity about normal eosinophil levels in COPD and the wider population. Criteria for entry into COPD clinical trials continue to exclude many patients, in particular those at greater risk of exacerbation and death. The effect of hyperinflation on cardiac function impacts COPD mortality and is an important target for successful lung volume reduction procedures.&quot;,&quot;publisher&quot;:&quot;John Wiley and Sons Inc&quot;,&quot;issue&quot;:&quot;5&quot;,&quot;volume&quot;:&quot;28&quot;,&quot;container-title-short&quot;:&quot;&quot;},&quot;isTemporary&quot;:false}]},{&quot;citationID&quot;:&quot;MENDELEY_CITATION_9ca81e16-6f09-4fb2-93b6-55f05a0af1fa&quot;,&quot;properties&quot;:{&quot;noteIndex&quot;:0},&quot;isEdited&quot;:false,&quot;manualOverride&quot;:{&quot;isManuallyOverridden&quot;:false,&quot;citeprocText&quot;:&quot;[22,84]&quot;,&quot;manualOverrideText&quot;:&quot;&quot;},&quot;citationTag&quot;:&quot;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&quot;,&quot;citationItems&quot;:[{&quot;id&quot;:&quot;d2777025-1ee7-3a1e-9f66-bd1da4dd76e0&quot;,&quot;itemData&quot;:{&quot;type&quot;:&quot;article-journal&quot;,&quot;id&quot;:&quot;d2777025-1ee7-3a1e-9f66-bd1da4dd76e0&quot;,&quot;title&quot;:&quot;Lung-Function Trajectories Leading to Chronic Obstructive Pulmonary Disease&quot;,&quot;author&quot;:[{&quot;family&quot;:&quot;Lange&quot;,&quot;given&quot;:&quot;Peter&quot;,&quot;parse-names&quot;:false,&quot;dropping-particle&quot;:&quot;&quot;,&quot;non-dropping-particle&quot;:&quot;&quot;},{&quot;family&quot;:&quot;Celli&quot;,&quot;given&quot;:&quot;Bartolome&quot;,&quot;parse-names&quot;:false,&quot;dropping-particle&quot;:&quot;&quot;,&quot;non-dropping-particle&quot;:&quot;&quot;},{&quot;family&quot;:&quot;Agustí&quot;,&quot;given&quot;:&quot;Alvar&quot;,&quot;parse-names&quot;:false,&quot;dropping-particle&quot;:&quot;&quot;,&quot;non-dropping-particle&quot;:&quot;&quot;},{&quot;family&quot;:&quot;Boje Jensen&quot;,&quot;given&quot;:&quot;Gorm&quot;,&quot;parse-names&quot;:false,&quot;dropping-particle&quot;:&quot;&quot;,&quot;non-dropping-particle&quot;:&quot;&quot;},{&quot;family&quot;:&quot;Divo&quot;,&quot;given&quot;:&quot;Miguel&quot;,&quot;parse-names&quot;:false,&quot;dropping-particle&quot;:&quot;&quot;,&quot;non-dropping-particle&quot;:&quot;&quot;},{&quot;family&quot;:&quot;Faner&quot;,&quot;given&quot;:&quot;Rosa&quot;,&quot;parse-names&quot;:false,&quot;dropping-particle&quot;:&quot;&quot;,&quot;non-dropping-particle&quot;:&quot;&quot;},{&quot;family&quot;:&quot;Guerra&quot;,&quot;given&quot;:&quot;Stefano&quot;,&quot;parse-names&quot;:false,&quot;dropping-particle&quot;:&quot;&quot;,&quot;non-dropping-particle&quot;:&quot;&quot;},{&quot;family&quot;:&quot;Marott&quot;,&quot;given&quot;:&quot;Jacob Louis&quot;,&quot;parse-names&quot;:false,&quot;dropping-particle&quot;:&quot;&quot;,&quot;non-dropping-particle&quot;:&quot;&quot;},{&quot;family&quot;:&quot;Martinez&quot;,&quot;given&quot;:&quot;Fernando D.&quot;,&quot;parse-names&quot;:false,&quot;dropping-particle&quot;:&quot;&quot;,&quot;non-dropping-particle&quot;:&quot;&quot;},{&quot;family&quot;:&quot;Martinez-Camblor&quot;,&quot;given&quot;:&quot;Pablo&quot;,&quot;parse-names&quot;:false,&quot;dropping-particle&quot;:&quot;&quot;,&quot;non-dropping-particle&quot;:&quot;&quot;},{&quot;family&quot;:&quot;Meek&quot;,&quot;given&quot;:&quot;Paula&quot;,&quot;parse-names&quot;:false,&quot;dropping-particle&quot;:&quot;&quot;,&quot;non-dropping-particle&quot;:&quot;&quot;},{&quot;family&quot;:&quot;Owen&quot;,&quot;given&quot;:&quot;Caroline A.&quot;,&quot;parse-names&quot;:false,&quot;dropping-particle&quot;:&quot;&quot;,&quot;non-dropping-particle&quot;:&quot;&quot;},{&quot;family&quot;:&quot;Petersen&quot;,&quot;given&quot;:&quot;Hans&quot;,&quot;parse-names&quot;:false,&quot;dropping-particle&quot;:&quot;&quot;,&quot;non-dropping-particle&quot;:&quot;&quot;},{&quot;family&quot;:&quot;Pinto-Plata&quot;,&quot;given&quot;:&quot;Victor&quot;,&quot;parse-names&quot;:false,&quot;dropping-particle&quot;:&quot;&quot;,&quot;non-dropping-particle&quot;:&quot;&quot;},{&quot;family&quot;:&quot;Schnohr&quot;,&quot;given&quot;:&quot;Peter&quot;,&quot;parse-names&quot;:false,&quot;dropping-particle&quot;:&quot;&quot;,&quot;non-dropping-particle&quot;:&quot;&quot;},{&quot;family&quot;:&quot;Sood&quot;,&quot;given&quot;:&quot;Akshay&quot;,&quot;parse-names&quot;:false,&quot;dropping-particle&quot;:&quot;&quot;,&quot;non-dropping-particle&quot;:&quot;&quot;},{&quot;family&quot;:&quot;Soriano&quot;,&quot;given&quot;:&quot;Joan B.&quot;,&quot;parse-names&quot;:false,&quot;dropping-particle&quot;:&quot;&quot;,&quot;non-dropping-particle&quot;:&quot;&quot;},{&quot;family&quot;:&quot;Tesfaigzi&quot;,&quot;given&quot;:&quot;Yohannes&quot;,&quot;parse-names&quot;:false,&quot;dropping-particle&quot;:&quot;&quot;,&quot;non-dropping-particle&quot;:&quot;&quot;},{&quot;family&quot;:&quot;Vestbo&quot;,&quot;given&quot;:&quot;Jørgen&quot;,&quot;parse-names&quot;:false,&quot;dropping-particle&quot;:&quot;&quot;,&quot;non-dropping-particle&quot;:&quot;&quot;}],&quot;container-title&quot;:&quot;The New England journal of medicine&quot;,&quot;container-title-short&quot;:&quot;N Engl J Med&quot;,&quot;accessed&quot;:{&quot;date-parts&quot;:[[2025,3,27]]},&quot;DOI&quot;:&quot;10.1056/NEJMOA1411532&quot;,&quot;ISSN&quot;:&quot;1533-4406&quot;,&quot;PMID&quot;:&quot;26154786&quot;,&quot;URL&quot;:&quot;https://pubmed.ncbi.nlm.nih.gov/26154786/&quot;,&quot;issued&quot;:{&quot;date-parts&quot;:[[2015,7,9]]},&quot;page&quot;:&quot;111-122&quot;,&quot;abstract&quot;:&quot;BACKGROUND Chronic obstructive pulmonary disease (COPD) is thought to result from an accelerated decline in forced expiratory volume in 1 second (FEV1) over time. Yet it is possible that a normal decline in FEV1 could also lead to COPD in persons whose maximally attained FEV1 is less than population norms. METHODS We stratified participants in three independent cohorts (the Framingham Offspring Cohort, the Copenhagen City Heart Study, and the Lovelace Smokers Cohort) according to lung function (FEV1 ≥80% or &lt;80% of the predicted value) at cohort inception (mean age of patients, approximately 40 years) and the presence or absence of COPD at the last study visit. We then determined the rate of decline in FEV1 over time among the participants according to their FEV1 at cohort inception and COPD status at study end. RESULTS Among 657 persons who had an FEV1 of less than 80% of the predicted value before 40 years of age, 174 (26%) had COPD after 22 years of observation, whereas among 2207 persons who had a baseline FEV1 of at least 80% of the predicted value before 40 years of age, 158 (7%) had COPD after 22 years of observation (P&lt;0.001). Approximately half the 332 persons with COPD at the end of the observation period had had a normal FEV1 before 40 years of age and had a rapid decline in FEV1 thereafter, with a mean (±SD) decline of 53±21 ml per year. The remaining half had had a low FEV1 in early adulthood and a subsequent mean decline in FEV1 of 27±18 ml per year (P&lt;0.001), despite similar smoking exposure. CONCLUSIONS Our study suggests that low FEV1 in early adulthood is important in the genesis of COPD and that accelerated decline in FEV1 is not an obligate feature of COPD. (Funded by an unrestricted grant from GlaxoSmithKline and others.).&quot;,&quot;publisher&quot;:&quot;N Engl J Med&quot;,&quot;issue&quot;:&quot;2&quot;,&quot;volume&quot;:&quot;373&quot;},&quot;isTemporary&quot;:false},{&quot;id&quot;:&quot;7b6d7736-e193-3d80-85bb-b3a96c05424d&quot;,&quot;itemData&quot;:{&quot;type&quot;:&quot;article-journal&quot;,&quot;id&quot;:&quot;7b6d7736-e193-3d80-85bb-b3a96c05424d&quot;,&quot;title&quot;:&quot;Contemporary Concise Review 2022: Chronic obstructive pulmonary disease&quot;,&quot;author&quot;:[{&quot;family&quot;:&quot;Calverley&quot;,&quot;given&quot;:&quot;Peter M.A.&quot;,&quot;parse-names&quot;:false,&quot;dropping-particle&quot;:&quot;&quot;,&quot;non-dropping-particle&quot;:&quot;&quot;},{&quot;family&quot;:&quot;Walker&quot;,&quot;given&quot;:&quot;Paul P.&quot;,&quot;parse-names&quot;:false,&quot;dropping-particle&quot;:&quot;&quot;,&quot;non-dropping-particle&quot;:&quot;&quot;}],&quot;container-title&quot;:&quot;Respirology&quot;,&quot;accessed&quot;:{&quot;date-parts&quot;:[[2024,5,27]]},&quot;DOI&quot;:&quot;10.1111/RESP.14489&quot;,&quot;ISSN&quot;:&quot;14401843&quot;,&quot;PMID&quot;:&quot;36922031&quot;,&quot;issued&quot;:{&quot;date-parts&quot;:[[2023,5,1]]},&quot;page&quot;:&quot;428-436&quot;,&quot;abstract&quot;:&quot;International respiratory organizations now recommend using lower limit of normal and standardized residuals to diagnose airflow obstruction and COPD though using a fixed ratio &lt;0.7 is simpler and robustly predicts important clinical outcomes. The most common COPD comorbidities are coronary artery calcification, emphysema and bronchiectasis. COPD patients with psychological (high anxiety and depression) and cachectic (underweight and osteoporotic) comorbidity have higher mortality and exacerbate more. Serum eosinophil count remains an important COPD biomarker and we have greater clarity about normal eosinophil levels in COPD and the wider population. Criteria for entry into COPD clinical trials continue to exclude many patients, in particular those at greater risk of exacerbation and death. The effect of hyperinflation on cardiac function impacts COPD mortality and is an important target for successful lung volume reduction procedures.&quot;,&quot;publisher&quot;:&quot;John Wiley and Sons Inc&quot;,&quot;issue&quot;:&quot;5&quot;,&quot;volume&quot;:&quot;28&quot;,&quot;container-title-short&quot;:&quot;&quot;},&quot;isTemporary&quot;:false}]},{&quot;citationID&quot;:&quot;MENDELEY_CITATION_f493c2ef-f1e0-4869-bd81-34516f47fd53&quot;,&quot;properties&quot;:{&quot;noteIndex&quot;:0},&quot;isEdited&quot;:false,&quot;manualOverride&quot;:{&quot;isManuallyOverridden&quot;:false,&quot;citeprocText&quot;:&quot;[22,84]&quot;,&quot;manualOverrideText&quot;:&quot;&quot;},&quot;citationTag&quot;:&quot;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&quot;,&quot;citationItems&quot;:[{&quot;id&quot;:&quot;d2777025-1ee7-3a1e-9f66-bd1da4dd76e0&quot;,&quot;itemData&quot;:{&quot;type&quot;:&quot;article-journal&quot;,&quot;id&quot;:&quot;d2777025-1ee7-3a1e-9f66-bd1da4dd76e0&quot;,&quot;title&quot;:&quot;Lung-Function Trajectories Leading to Chronic Obstructive Pulmonary Disease&quot;,&quot;author&quot;:[{&quot;family&quot;:&quot;Lange&quot;,&quot;given&quot;:&quot;Peter&quot;,&quot;parse-names&quot;:false,&quot;dropping-particle&quot;:&quot;&quot;,&quot;non-dropping-particle&quot;:&quot;&quot;},{&quot;family&quot;:&quot;Celli&quot;,&quot;given&quot;:&quot;Bartolome&quot;,&quot;parse-names&quot;:false,&quot;dropping-particle&quot;:&quot;&quot;,&quot;non-dropping-particle&quot;:&quot;&quot;},{&quot;family&quot;:&quot;Agustí&quot;,&quot;given&quot;:&quot;Alvar&quot;,&quot;parse-names&quot;:false,&quot;dropping-particle&quot;:&quot;&quot;,&quot;non-dropping-particle&quot;:&quot;&quot;},{&quot;family&quot;:&quot;Boje Jensen&quot;,&quot;given&quot;:&quot;Gorm&quot;,&quot;parse-names&quot;:false,&quot;dropping-particle&quot;:&quot;&quot;,&quot;non-dropping-particle&quot;:&quot;&quot;},{&quot;family&quot;:&quot;Divo&quot;,&quot;given&quot;:&quot;Miguel&quot;,&quot;parse-names&quot;:false,&quot;dropping-particle&quot;:&quot;&quot;,&quot;non-dropping-particle&quot;:&quot;&quot;},{&quot;family&quot;:&quot;Faner&quot;,&quot;given&quot;:&quot;Rosa&quot;,&quot;parse-names&quot;:false,&quot;dropping-particle&quot;:&quot;&quot;,&quot;non-dropping-particle&quot;:&quot;&quot;},{&quot;family&quot;:&quot;Guerra&quot;,&quot;given&quot;:&quot;Stefano&quot;,&quot;parse-names&quot;:false,&quot;dropping-particle&quot;:&quot;&quot;,&quot;non-dropping-particle&quot;:&quot;&quot;},{&quot;family&quot;:&quot;Marott&quot;,&quot;given&quot;:&quot;Jacob Louis&quot;,&quot;parse-names&quot;:false,&quot;dropping-particle&quot;:&quot;&quot;,&quot;non-dropping-particle&quot;:&quot;&quot;},{&quot;family&quot;:&quot;Martinez&quot;,&quot;given&quot;:&quot;Fernando D.&quot;,&quot;parse-names&quot;:false,&quot;dropping-particle&quot;:&quot;&quot;,&quot;non-dropping-particle&quot;:&quot;&quot;},{&quot;family&quot;:&quot;Martinez-Camblor&quot;,&quot;given&quot;:&quot;Pablo&quot;,&quot;parse-names&quot;:false,&quot;dropping-particle&quot;:&quot;&quot;,&quot;non-dropping-particle&quot;:&quot;&quot;},{&quot;family&quot;:&quot;Meek&quot;,&quot;given&quot;:&quot;Paula&quot;,&quot;parse-names&quot;:false,&quot;dropping-particle&quot;:&quot;&quot;,&quot;non-dropping-particle&quot;:&quot;&quot;},{&quot;family&quot;:&quot;Owen&quot;,&quot;given&quot;:&quot;Caroline A.&quot;,&quot;parse-names&quot;:false,&quot;dropping-particle&quot;:&quot;&quot;,&quot;non-dropping-particle&quot;:&quot;&quot;},{&quot;family&quot;:&quot;Petersen&quot;,&quot;given&quot;:&quot;Hans&quot;,&quot;parse-names&quot;:false,&quot;dropping-particle&quot;:&quot;&quot;,&quot;non-dropping-particle&quot;:&quot;&quot;},{&quot;family&quot;:&quot;Pinto-Plata&quot;,&quot;given&quot;:&quot;Victor&quot;,&quot;parse-names&quot;:false,&quot;dropping-particle&quot;:&quot;&quot;,&quot;non-dropping-particle&quot;:&quot;&quot;},{&quot;family&quot;:&quot;Schnohr&quot;,&quot;given&quot;:&quot;Peter&quot;,&quot;parse-names&quot;:false,&quot;dropping-particle&quot;:&quot;&quot;,&quot;non-dropping-particle&quot;:&quot;&quot;},{&quot;family&quot;:&quot;Sood&quot;,&quot;given&quot;:&quot;Akshay&quot;,&quot;parse-names&quot;:false,&quot;dropping-particle&quot;:&quot;&quot;,&quot;non-dropping-particle&quot;:&quot;&quot;},{&quot;family&quot;:&quot;Soriano&quot;,&quot;given&quot;:&quot;Joan B.&quot;,&quot;parse-names&quot;:false,&quot;dropping-particle&quot;:&quot;&quot;,&quot;non-dropping-particle&quot;:&quot;&quot;},{&quot;family&quot;:&quot;Tesfaigzi&quot;,&quot;given&quot;:&quot;Yohannes&quot;,&quot;parse-names&quot;:false,&quot;dropping-particle&quot;:&quot;&quot;,&quot;non-dropping-particle&quot;:&quot;&quot;},{&quot;family&quot;:&quot;Vestbo&quot;,&quot;given&quot;:&quot;Jørgen&quot;,&quot;parse-names&quot;:false,&quot;dropping-particle&quot;:&quot;&quot;,&quot;non-dropping-particle&quot;:&quot;&quot;}],&quot;container-title&quot;:&quot;The New England journal of medicine&quot;,&quot;container-title-short&quot;:&quot;N Engl J Med&quot;,&quot;accessed&quot;:{&quot;date-parts&quot;:[[2025,3,27]]},&quot;DOI&quot;:&quot;10.1056/NEJMOA1411532&quot;,&quot;ISSN&quot;:&quot;1533-4406&quot;,&quot;PMID&quot;:&quot;26154786&quot;,&quot;URL&quot;:&quot;https://pubmed.ncbi.nlm.nih.gov/26154786/&quot;,&quot;issued&quot;:{&quot;date-parts&quot;:[[2015,7,9]]},&quot;page&quot;:&quot;111-122&quot;,&quot;abstract&quot;:&quot;BACKGROUND Chronic obstructive pulmonary disease (COPD) is thought to result from an accelerated decline in forced expiratory volume in 1 second (FEV1) over time. Yet it is possible that a normal decline in FEV1 could also lead to COPD in persons whose maximally attained FEV1 is less than population norms. METHODS We stratified participants in three independent cohorts (the Framingham Offspring Cohort, the Copenhagen City Heart Study, and the Lovelace Smokers Cohort) according to lung function (FEV1 ≥80% or &lt;80% of the predicted value) at cohort inception (mean age of patients, approximately 40 years) and the presence or absence of COPD at the last study visit. We then determined the rate of decline in FEV1 over time among the participants according to their FEV1 at cohort inception and COPD status at study end. RESULTS Among 657 persons who had an FEV1 of less than 80% of the predicted value before 40 years of age, 174 (26%) had COPD after 22 years of observation, whereas among 2207 persons who had a baseline FEV1 of at least 80% of the predicted value before 40 years of age, 158 (7%) had COPD after 22 years of observation (P&lt;0.001). Approximately half the 332 persons with COPD at the end of the observation period had had a normal FEV1 before 40 years of age and had a rapid decline in FEV1 thereafter, with a mean (±SD) decline of 53±21 ml per year. The remaining half had had a low FEV1 in early adulthood and a subsequent mean decline in FEV1 of 27±18 ml per year (P&lt;0.001), despite similar smoking exposure. CONCLUSIONS Our study suggests that low FEV1 in early adulthood is important in the genesis of COPD and that accelerated decline in FEV1 is not an obligate feature of COPD. (Funded by an unrestricted grant from GlaxoSmithKline and others.).&quot;,&quot;publisher&quot;:&quot;N Engl J Med&quot;,&quot;issue&quot;:&quot;2&quot;,&quot;volume&quot;:&quot;373&quot;},&quot;isTemporary&quot;:false},{&quot;id&quot;:&quot;7b6d7736-e193-3d80-85bb-b3a96c05424d&quot;,&quot;itemData&quot;:{&quot;type&quot;:&quot;article-journal&quot;,&quot;id&quot;:&quot;7b6d7736-e193-3d80-85bb-b3a96c05424d&quot;,&quot;title&quot;:&quot;Contemporary Concise Review 2022: Chronic obstructive pulmonary disease&quot;,&quot;author&quot;:[{&quot;family&quot;:&quot;Calverley&quot;,&quot;given&quot;:&quot;Peter M.A.&quot;,&quot;parse-names&quot;:false,&quot;dropping-particle&quot;:&quot;&quot;,&quot;non-dropping-particle&quot;:&quot;&quot;},{&quot;family&quot;:&quot;Walker&quot;,&quot;given&quot;:&quot;Paul P.&quot;,&quot;parse-names&quot;:false,&quot;dropping-particle&quot;:&quot;&quot;,&quot;non-dropping-particle&quot;:&quot;&quot;}],&quot;container-title&quot;:&quot;Respirology&quot;,&quot;accessed&quot;:{&quot;date-parts&quot;:[[2024,5,27]]},&quot;DOI&quot;:&quot;10.1111/RESP.14489&quot;,&quot;ISSN&quot;:&quot;14401843&quot;,&quot;PMID&quot;:&quot;36922031&quot;,&quot;issued&quot;:{&quot;date-parts&quot;:[[2023,5,1]]},&quot;page&quot;:&quot;428-436&quot;,&quot;abstract&quot;:&quot;International respiratory organizations now recommend using lower limit of normal and standardized residuals to diagnose airflow obstruction and COPD though using a fixed ratio &lt;0.7 is simpler and robustly predicts important clinical outcomes. The most common COPD comorbidities are coronary artery calcification, emphysema and bronchiectasis. COPD patients with psychological (high anxiety and depression) and cachectic (underweight and osteoporotic) comorbidity have higher mortality and exacerbate more. Serum eosinophil count remains an important COPD biomarker and we have greater clarity about normal eosinophil levels in COPD and the wider population. Criteria for entry into COPD clinical trials continue to exclude many patients, in particular those at greater risk of exacerbation and death. The effect of hyperinflation on cardiac function impacts COPD mortality and is an important target for successful lung volume reduction procedures.&quot;,&quot;publisher&quot;:&quot;John Wiley and Sons Inc&quot;,&quot;issue&quot;:&quot;5&quot;,&quot;volume&quot;:&quot;28&quot;,&quot;container-title-short&quot;:&quot;&quot;},&quot;isTemporary&quot;:false}]},{&quot;citationID&quot;:&quot;MENDELEY_CITATION_702996fb-e25e-4691-b90a-6660ee7d63a3&quot;,&quot;properties&quot;:{&quot;noteIndex&quot;:0},&quot;isEdited&quot;:false,&quot;manualOverride&quot;:{&quot;isManuallyOverridden&quot;:false,&quot;citeprocText&quot;:&quot;[83,230–232]&quot;,&quot;manualOverrideText&quot;:&quot;&quot;},&quot;citationTag&quot;:&quot;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&quot;,&quot;citationItems&quot;:[{&quot;id&quot;:&quot;ff2c41d4-f794-354c-bac3-b981d51ec554&quot;,&quot;itemData&quot;:{&quot;type&quot;:&quot;article-journal&quot;,&quot;id&quot;:&quot;ff2c41d4-f794-354c-bac3-b981d51ec554&quot;,&quot;title&quot;:&quot;An Individualized Prediction Model for Long-term Lung Function Trajectory and Risk of COPD in the General Population&quot;,&quot;author&quot;:[{&quot;family&quot;:&quot;Chen&quot;,&quot;given&quot;:&quot;Wenjia&quot;,&quot;parse-names&quot;:false,&quot;dropping-particle&quot;:&quot;&quot;,&quot;non-dropping-particle&quot;:&quot;&quot;},{&quot;family&quot;:&quot;Sin&quot;,&quot;given&quot;:&quot;Don D&quot;,&quot;parse-names&quot;:false,&quot;dropping-particle&quot;:&quot;&quot;,&quot;non-dropping-particle&quot;:&quot;&quot;},{&quot;family&quot;:&quot;Fitzgerald&quot;,&quot;given&quot;:&quot;; J Mark&quot;,&quot;parse-names&quot;:false,&quot;dropping-particle&quot;:&quot;&quot;,&quot;non-dropping-particle&quot;:&quot;&quot;},{&quot;family&quot;:&quot;Safari&quot;,&quot;given&quot;:&quot;Abdollah&quot;,&quot;parse-names&quot;:false,&quot;dropping-particle&quot;:&quot;&quot;,&quot;non-dropping-particle&quot;:&quot;&quot;},{&quot;family&quot;:&quot;Adibi&quot;,&quot;given&quot;:&quot;Amin&quot;,&quot;parse-names&quot;:false,&quot;dropping-particle&quot;:&quot;&quot;,&quot;non-dropping-particle&quot;:&quot;&quot;},{&quot;family&quot;:&quot;Sadatsafavi&quot;,&quot;given&quot;:&quot;Mohsen&quot;,&quot;parse-names&quot;:false,&quot;dropping-particle&quot;:&quot;&quot;,&quot;non-dropping-particle&quot;:&quot;&quot;}],&quot;accessed&quot;:{&quot;date-parts&quot;:[[2022,6,14]]},&quot;DOI&quot;:&quot;10.1016/j.chest.2019.09.003&quot;,&quot;URL&quot;:&quot;https://doi.org/10.1016/j.chest.2019.09.003&quot;,&quot;abstract&quot;:&quot;BACKGROUND: Prediction of future lung function will enable the identification of individuals at high risk of developing COPD, but the trajectory of lung function decline varies greatly among individuals. This study involved the development and validation of an individualized prediction model of lung function trajectory and risk of airflow limitation in the general population.&quot;,&quot;container-title-short&quot;:&quot;&quot;},&quot;isTemporary&quot;:false},{&quot;id&quot;:&quot;9c5f5ebd-b34e-3399-8fd8-a0fc3b0f279d&quot;,&quot;itemData&quot;:{&quot;type&quot;:&quot;article-journal&quot;,&quot;id&quot;:&quot;9c5f5ebd-b34e-3399-8fd8-a0fc3b0f279d&quot;,&quot;title&quot;:&quot;Risk Factors of Rapid FEV1 Decline in a Real-World Chronic Obstructive Pulmonary Disease Cohort&quot;,&quot;author&quot;:[{&quot;family&quot;:&quot;Lee&quot;,&quot;given&quot;:&quot;Hyun Woo&quot;,&quot;parse-names&quot;:false,&quot;dropping-particle&quot;:&quot;&quot;,&quot;non-dropping-particle&quot;:&quot;&quot;},{&quot;family&quot;:&quot;Lee&quot;,&quot;given&quot;:&quot;Jung Kyu&quot;,&quot;parse-names&quot;:false,&quot;dropping-particle&quot;:&quot;&quot;,&quot;non-dropping-particle&quot;:&quot;&quot;},{&quot;family&quot;:&quot;Lee&quot;,&quot;given&quot;:&quot;Myung Goo&quot;,&quot;parse-names&quot;:false,&quot;dropping-particle&quot;:&quot;&quot;,&quot;non-dropping-particle&quot;:&quot;&quot;},{&quot;family&quot;:&quot;Shin&quot;,&quot;given&quot;:&quot;Kyung Cheol&quot;,&quot;parse-names&quot;:false,&quot;dropping-particle&quot;:&quot;&quot;,&quot;non-dropping-particle&quot;:&quot;&quot;},{&quot;family&quot;:&quot;Ra&quot;,&quot;given&quot;:&quot;Seung Won&quot;,&quot;parse-names&quot;:false,&quot;dropping-particle&quot;:&quot;&quot;,&quot;non-dropping-particle&quot;:&quot;&quot;},{&quot;family&quot;:&quot;Kim&quot;,&quot;given&quot;:&quot;Tae Hyung&quot;,&quot;parse-names&quot;:false,&quot;dropping-particle&quot;:&quot;&quot;,&quot;non-dropping-particle&quot;:&quot;&quot;},{&quot;family&quot;:&quot;Hwang&quot;,&quot;given&quot;:&quot;Yong&quot;,&quot;parse-names&quot;:false,&quot;dropping-particle&quot;:&quot;Il&quot;,&quot;non-dropping-particle&quot;:&quot;&quot;},{&quot;family&quot;:&quot;Jung&quot;,&quot;given&quot;:&quot;Ki Suck&quot;,&quot;parse-names&quot;:false,&quot;dropping-particle&quot;:&quot;&quot;,&quot;non-dropping-particle&quot;:&quot;&quot;},{&quot;family&quot;:&quot;Yoo&quot;,&quot;given&quot;:&quot;Kwang Ha&quot;,&quot;parse-names&quot;:false,&quot;dropping-particle&quot;:&quot;&quot;,&quot;non-dropping-particle&quot;:&quot;&quot;},{&quot;family&quot;:&quot;Kim&quot;,&quot;given&quot;:&quot;Deog Kyeom&quot;,&quot;parse-names&quot;:false,&quot;dropping-particle&quot;:&quot;&quot;,&quot;non-dropping-particle&quot;:&quot;&quot;}],&quot;container-title&quot;:&quot;Respiration; international review of thoracic diseases&quot;,&quot;container-title-short&quot;:&quot;Respiration&quot;,&quot;accessed&quot;:{&quot;date-parts&quot;:[[2025,3,11]]},&quot;DOI&quot;:&quot;10.1159/000525871&quot;,&quot;ISSN&quot;:&quot;1423-0356&quot;,&quot;PMID&quot;:&quot;36349793&quot;,&quot;URL&quot;:&quot;https://pubmed.ncbi.nlm.nih.gov/36349793/&quot;,&quot;issued&quot;:{&quot;date-parts&quot;:[[2022,12,1]]},&quot;page&quot;:&quot;1078-1087&quot;,&quot;abstract&quot;:&quot;Background: Rapid forced expiratory volume in 1 s (FEV&lt;sub&gt;1&lt;/sub&gt;) decliners have been considered a unique subgroup of patients with chronic obstructive pulmonary disease (COPD). Rapid FEV&lt;sub&gt;1&lt;/sub&gt; decline manifests early and is associated with poor prognosis. This necessitates the pre-emptive identification of risk factors for rapid FEV&lt;sub&gt;1&lt;/sub&gt; decline. Objectives: We aimed to determine the risk factors and clinical outcomes in patients with COPD. Methods: This longitudinal, observational study was based on the Korea COPD Subgroup Study cohort (NCT02800499) from January 2012 to December 2019 across 54 medical centers in South Korea. Eligible patients were followed up for 3 years with serial spirometric tests. We calculated the annualized percentage change in FEV&lt;sub&gt;1&lt;/sub&gt; from baseline. Rapid decliners were defined as the quartile of patients with the highest annualized percentage FEV&lt;sub&gt;1&lt;/sub&gt; decline. Results: Of the 518 patients, 130 were rapid decliners who lost 6.2%/year and 100 mL/year of FEV&lt;sub&gt;1&lt;/sub&gt;. The multivariable logistic regression identified male sex, current smoking, blood eosinophil count &lt;150/μL, and high forced vital capacity as the independent risk factors for rapid FEV&lt;sub&gt;1&lt;/sub&gt; decline. Among rapid decliners, the lung function deteriorated more rapidly in current smokers and patients with severe dyspnea, while triple combination therapy attenuated lung function decline in comparison with mono-bronchodilator therapy. Rapid decliners had a higher rate of severe exacerbation than nonrapid decliners (0.2/year vs. 0.1/year, p value = 0.032). Conclusions: We identified the independent risk factors for rapid FEV&lt;sub&gt;1&lt;/sub&gt; decline. This information may assist physicians in the early detection and pertinent management of rapid decline among patients with COPD.&quot;,&quot;publisher&quot;:&quot;Respiration&quot;,&quot;issue&quot;:&quot;12&quot;,&quot;volume&quot;:&quot;101&quot;},&quot;isTemporary&quot;:false},{&quot;id&quot;:&quot;dd9c62c2-a524-3f8a-baa8-512d2123e487&quot;,&quot;itemData&quot;:{&quot;type&quot;:&quot;article-journal&quot;,&quot;id&quot;:&quot;dd9c62c2-a524-3f8a-baa8-512d2123e487&quot;,&quot;title&quot;:&quot;Lung function decline in subjects with and without COPD in a population-based cohort in Latin-America&quot;,&quot;author&quot;:[{&quot;family&quot;:&quot;Perez-Padilla&quot;,&quot;given&quot;:&quot;Rogelio&quot;,&quot;parse-names&quot;:false,&quot;dropping-particle&quot;:&quot;&quot;,&quot;non-dropping-particle&quot;:&quot;&quot;},{&quot;family&quot;:&quot;Fernandez-Plata&quot;,&quot;given&quot;:&quot;Rosario&quot;,&quot;parse-names&quot;:false,&quot;dropping-particle&quot;:&quot;&quot;,&quot;non-dropping-particle&quot;:&quot;&quot;},{&quot;family&quot;:&quot;Oca&quot;,&quot;given&quot;:&quot;Maria Montes&quot;,&quot;parse-names&quot;:false,&quot;dropping-particle&quot;:&quot;&quot;,&quot;non-dropping-particle&quot;:&quot;De&quot;},{&quot;family&quot;:&quot;Lopez-Varela&quot;,&quot;given&quot;:&quot;Maria Victorina&quot;,&quot;parse-names&quot;:false,&quot;dropping-particle&quot;:&quot;&quot;,&quot;non-dropping-particle&quot;:&quot;&quot;},{&quot;family&quot;:&quot;Jardim&quot;,&quot;given&quot;:&quot;Jose R.&quot;,&quot;parse-names&quot;:false,&quot;dropping-particle&quot;:&quot;&quot;,&quot;non-dropping-particle&quot;:&quot;&quot;},{&quot;family&quot;:&quot;Muiño&quot;,&quot;given&quot;:&quot;Adriana&quot;,&quot;parse-names&quot;:false,&quot;dropping-particle&quot;:&quot;&quot;,&quot;non-dropping-particle&quot;:&quot;&quot;},{&quot;family&quot;:&quot;Valdivia&quot;,&quot;given&quot;:&quot;Gonzalo&quot;,&quot;parse-names&quot;:false,&quot;dropping-particle&quot;:&quot;&quot;,&quot;non-dropping-particle&quot;:&quot;&quot;},{&quot;family&quot;:&quot;Menezes&quot;,&quot;given&quot;:&quot;Ana Maria B.&quot;,&quot;parse-names&quot;:false,&quot;dropping-particle&quot;:&quot;&quot;,&quot;non-dropping-particle&quot;:&quot;&quot;}],&quot;container-title&quot;:&quot;PloS one&quot;,&quot;container-title-short&quot;:&quot;PLoS One&quot;,&quot;accessed&quot;:{&quot;date-parts&quot;:[[2025,3,11]]},&quot;DOI&quot;:&quot;10.1371/JOURNAL.PONE.0177032&quot;,&quot;ISSN&quot;:&quot;1932-6203&quot;,&quot;PMID&quot;:&quot;28472184&quot;,&quot;URL&quot;:&quot;https://pubmed.ncbi.nlm.nih.gov/28472184/&quot;,&quot;issued&quot;:{&quot;date-parts&quot;:[[2017,5,1]]},&quot;abstract&quot;:&quot;Background Lung-function decline is one of the possible mechanisms leading to Chronic Obstructive Pulmonary Disease (COPD). Methods We analyzed data obtained from two population-based surveys of adults (n = 2026) conducted in the same individuals 5±9 years (y) after their baseline examination in three Latin-American cities. Post BronchoDilator (postBD) FEV1 decline in mL/y, as %predicted/y (%P/y) and %of baseline/y (%B/y) was calculated and the influence of age, gender, BMI, baseline lung function, BD response, exacerbations rate evaluated using multivariate models. Results Expressed in ml/y, the mean annual postBD FEV1 decline was 27 mL (0.22%P, 1.32%B) in patients with baseline COPD and 36 (0.14%P, 1.36%B) in those without. Faster decline (in mL/y) was associated with higher baseline lung function, with significant response to bronchodilators, older age and smoking at baseline, also in women with chronic cough and phlegm, or2 respiratory exacerbations in the previous year, and in men with asthma. Conclusions Lung function decline in a population-based cohort did not differ in obstructed and nonobstructed individuals, it was proportional to baseline FEV1, and was higher in smokers, elderly, and women with respiratory symptoms.&quot;,&quot;publisher&quot;:&quot;PLoS One&quot;,&quot;issue&quot;:&quot;5&quot;,&quot;volume&quot;:&quot;12&quot;},&quot;isTemporary&quot;:false},{&quot;id&quot;:&quot;ebb6c942-9ae0-3887-b240-a220785c7d48&quot;,&quot;itemData&quot;:{&quot;type&quot;:&quot;article-journal&quot;,&quot;id&quot;:&quot;ebb6c942-9ae0-3887-b240-a220785c7d48&quot;,&quot;title&quot;:&quot;Rate of normal lung function decline in ageing adults: a systematic review of prospective cohort studies&quot;,&quot;author&quot;:[{&quot;family&quot;:&quot;Thomas&quot;,&quot;given&quot;:&quot;Elizabeth T.&quot;,&quot;parse-names&quot;:false,&quot;dropping-particle&quot;:&quot;&quot;,&quot;non-dropping-particle&quot;:&quot;&quot;},{&quot;family&quot;:&quot;Guppy&quot;,&quot;given&quot;:&quot;Michelle&quot;,&quot;parse-names&quot;:false,&quot;dropping-particle&quot;:&quot;&quot;,&quot;non-dropping-particle&quot;:&quot;&quot;},{&quot;family&quot;:&quot;Straus&quot;,&quot;given&quot;:&quot;Sharon E.&quot;,&quot;parse-names&quot;:false,&quot;dropping-particle&quot;:&quot;&quot;,&quot;non-dropping-particle&quot;:&quot;&quot;},{&quot;family&quot;:&quot;Bell&quot;,&quot;given&quot;:&quot;Katy J.L.&quot;,&quot;parse-names&quot;:false,&quot;dropping-particle&quot;:&quot;&quot;,&quot;non-dropping-particle&quot;:&quot;&quot;},{&quot;family&quot;:&quot;Glasziou&quot;,&quot;given&quot;:&quot;Paul&quot;,&quot;parse-names&quot;:false,&quot;dropping-particle&quot;:&quot;&quot;,&quot;non-dropping-particle&quot;:&quot;&quot;}],&quot;container-title&quot;:&quot;BMJ Open&quot;,&quot;container-title-short&quot;:&quot;BMJ Open&quot;,&quot;accessed&quot;:{&quot;date-parts&quot;:[[2024,10,16]]},&quot;DOI&quot;:&quot;10.1136/BMJOPEN-2018-028150&quot;,&quot;ISSN&quot;:&quot;2044-6055&quot;,&quot;PMID&quot;:&quot;31248928&quot;,&quot;URL&quot;:&quot;https://bmjopen.bmj.com/content/9/6/e028150&quot;,&quot;issued&quot;:{&quot;date-parts&quot;:[[2019,6,1]]},&quot;page&quot;:&quot;e028150&quot;,&quot;abstract&quot;:&quot;Objective To conduct a systematic review investigating the normal age-related changes in lung function in adults without known lung disease.\n\nDesign Systematic review.\n\nData sources MEDLINE, Embase and Cumulative Index to Nursing and Allied Health Literature (CINAHL) were searched for eligible studies from inception to February 12, 2019, supplemented by manual searches of reference lists and clinical trial registries.\n\nEligibility criteria We planned to include prospective cohort studies and randomised controlled trials (control arms) that measured changes in lung function over time in asymptomatic adults without known respiratory disease.\n\nData extraction and synthesis Two authors independently determined the eligibility of studies, extracted data and assessed the risk of bias of included studies using the modified Newcastle–Ottawa Scale.\n\nResults From 4385 records screened, we identified 16 cohort studies with 31 099 participants. All included studies demonstrated decline in lung function—forced expiratory volume in 1 s (FEV1), forced vital capacity (FVC) and peak expiratory flow rate (PEFR) with age. In studies with longer follow-up (&gt;10 years), rates of FEV1 decline ranged from 17.7 to 46.4 mL/year (median 22.4 mL/year). Overall, men had faster absolute rates of decline (median 43.5 mL/year) compared with women (median 30.5 mL/year). Differences in relative FEV1 change, however, were not observed between men and women. FEV1/FVC change was reported in only one study, declining by 0.29% per year. An age-specific analysis suggested the rate of FEV1 function decline may accelerate with each decade of age.\n\nConclusions Lung function—FEV1, FVC and PEFR—decline with age in individuals without known lung disease. The definition of chronic airway disease may need to be reconsidered to allow for normal ageing and ensure that people likely to benefit from interventions are identified rather than healthy people who may be harmed by potential overdiagnosis and overtreatment. The first step would be to apply age, sex and ethnicity-adjusted FEV1/FVC thresholds to the disease definition of chronic obstructive pulmonary disease.\n\nPROSPERO registration number CRD42018087066.&quot;,&quot;publisher&quot;:&quot;British Medical Journal Publishing Group&quot;,&quot;issue&quot;:&quot;6&quot;,&quot;volume&quot;:&quot;9&quot;},&quot;isTemporary&quot;:false}]},{&quot;citationID&quot;:&quot;MENDELEY_CITATION_3f41d082-e22a-4ee4-8c32-f030c7c93f5e&quot;,&quot;properties&quot;:{&quot;noteIndex&quot;:0},&quot;isEdited&quot;:false,&quot;manualOverride&quot;:{&quot;isManuallyOverridden&quot;:false,&quot;citeprocText&quot;:&quot;[233–235]&quot;,&quot;manualOverrideText&quot;:&quot;&quot;},&quot;citationTag&quot;:&quot;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&quot;,&quot;citationItems&quot;:[{&quot;id&quot;:&quot;735a7d67-d9aa-3589-a18c-930c7cabb870&quot;,&quot;itemData&quot;:{&quot;type&quot;:&quot;article-journal&quot;,&quot;id&quot;:&quot;735a7d67-d9aa-3589-a18c-930c7cabb870&quot;,&quot;title&quot;:&quot;Welding Fumes, a Risk Factor for Lung Diseases&quot;,&quot;author&quot;:[{&quot;family&quot;:&quot;Riccelli&quot;,&quot;given&quot;:&quot;Maria Grazia&quot;,&quot;parse-names&quot;:false,&quot;dropping-particle&quot;:&quot;&quot;,&quot;non-dropping-particle&quot;:&quot;&quot;},{&quot;family&quot;:&quot;Goldoni&quot;,&quot;given&quot;:&quot;Matteo&quot;,&quot;parse-names&quot;:false,&quot;dropping-particle&quot;:&quot;&quot;,&quot;non-dropping-particle&quot;:&quot;&quot;},{&quot;family&quot;:&quot;Poli&quot;,&quot;given&quot;:&quot;Diana&quot;,&quot;parse-names&quot;:false,&quot;dropping-particle&quot;:&quot;&quot;,&quot;non-dropping-particle&quot;:&quot;&quot;},{&quot;family&quot;:&quot;Mozzoni&quot;,&quot;given&quot;:&quot;Paola&quot;,&quot;parse-names&quot;:false,&quot;dropping-particle&quot;:&quot;&quot;,&quot;non-dropping-particle&quot;:&quot;&quot;},{&quot;family&quot;:&quot;Cavallo&quot;,&quot;given&quot;:&quot;Delia&quot;,&quot;parse-names&quot;:false,&quot;dropping-particle&quot;:&quot;&quot;,&quot;non-dropping-particle&quot;:&quot;&quot;},{&quot;family&quot;:&quot;Corradi&quot;,&quot;given&quot;:&quot;Massimo&quot;,&quot;parse-names&quot;:false,&quot;dropping-particle&quot;:&quot;&quot;,&quot;non-dropping-particle&quot;:&quot;&quot;}],&quot;container-title&quot;:&quot;International Journal of Environmental Research and Public Health&quot;,&quot;container-title-short&quot;:&quot;Int J Environ Res Public Health&quot;,&quot;accessed&quot;:{&quot;date-parts&quot;:[[2024,12,2]]},&quot;DOI&quot;:&quot;10.3390/IJERPH17072552&quot;,&quot;ISSN&quot;:&quot;16604601&quot;,&quot;PMID&quot;:&quot;32276440&quot;,&quot;URL&quot;:&quot;https://pmc.ncbi.nlm.nih.gov/articles/PMC7177922/&quot;,&quot;issued&quot;:{&quot;date-parts&quot;:[[2020,4,1]]},&quot;page&quot;:&quot;2552&quot;,&quot;abstract&quot;:&quot;(1) Background: Welding fumes (WFs) are composed of fine and ultrafine particles, which may reach the distal airways and represent a risk factor for respiratory diseases. (2) Methods: In vitro and in vivo studies to understand WFs pathogenesis were selected. Epidemiological studies, original articles, review, and meta-analysis to examine solely respiratory disease in welders were included. A systematic literature search, using PubMed, National Institute for Occupational Safety and Health Technical Information Center (NIOSHTIC), andWeb of Science databases, was performed. (3) Results: Dose, time of exposure, and composition of WFs affect lung injury. Inflammation, lung defense suppression, oxidative stress, DNA damage, and genotoxic effects were observed after exposure both to mild and stainless steel WFs. (4) Conclusions: The detection of lung diseases associated with specific occupational exposure is crucial as complete avoidance or reduction of the exposure is difficult to achieve. Further studies in the area of particle research may aid the understanding of mechanisms involved in welding-related lung disease and to expand knowledge in welding-related cardiovascular diseases.&quot;,&quot;publisher&quot;:&quot;MDPI AG&quot;,&quot;issue&quot;:&quot;7&quot;,&quot;volume&quot;:&quot;17&quot;},&quot;isTemporary&quot;:false},{&quot;id&quot;:&quot;3f0802eb-ccd5-3bb1-b9db-191f518de6f4&quot;,&quot;itemData&quot;:{&quot;type&quot;:&quot;article-journal&quot;,&quot;id&quot;:&quot;3f0802eb-ccd5-3bb1-b9db-191f518de6f4&quot;,&quot;title&quot;:&quot;Dust is in the air. Part II: Effects of occupational exposure to welding fumes on lung function in a 9-year study&quot;,&quot;author&quot;:[{&quot;family&quot;:&quot;Haluza&quot;,&quot;given&quot;:&quot;Daniela&quot;,&quot;parse-names&quot;:false,&quot;dropping-particle&quot;:&quot;&quot;,&quot;non-dropping-particle&quot;:&quot;&quot;},{&quot;family&quot;:&quot;Moshammer&quot;,&quot;given&quot;:&quot;Hanns&quot;,&quot;parse-names&quot;:false,&quot;dropping-particle&quot;:&quot;&quot;,&quot;non-dropping-particle&quot;:&quot;&quot;},{&quot;family&quot;:&quot;Hochgatterer&quot;,&quot;given&quot;:&quot;Karl&quot;,&quot;parse-names&quot;:false,&quot;dropping-particle&quot;:&quot;&quot;,&quot;non-dropping-particle&quot;:&quot;&quot;}],&quot;container-title&quot;:&quot;Lung&quot;,&quot;container-title-short&quot;:&quot;Lung&quot;,&quot;DOI&quot;:&quot;10.1007/s00408-013-9529-6&quot;,&quot;ISSN&quot;:&quot;03412040&quot;,&quot;PMID&quot;:&quot;24217987&quot;,&quot;issued&quot;:{&quot;date-parts&quot;:[[2014]]},&quot;page&quot;:&quot;111-117&quot;,&quot;abstract&quot;:&quot;Purpose: Adverse health effects of work-related contact with respirable hazardous substances are of great public interest. Because related prospective and long-term follow-up studies are rare, the extent of acute and chronic pulmonary health risks of occupational exposure to welding fumes is discussed controversially in the scientific literature. The objective of the present longitudinal study during a 9-year period was to investigate the annual changes of lung function in welders. Methods: Anthropometric measures and smoking behaviour, and spirometric tests (FVC, FEV1, and MEF50) obtained during routine occupational health checkups of female and male workers (n = 1,982) in Austria during the years 2002-2010 were analyzed. Results: The study participants displayed average lung function values lower than the age- and sex-specific norm. Decrease in respiratory capacity was dependent on smoking habits and duration of occupational exposure. Specifically for welders (n = 1,326), decrease of pulmonary function was significantly associated with heavy smoking (FVC -70.7 ml, p = 0.07; FEV1 -167.4 ml, p &lt; 0.001; MEF50 -356.2 ml/s, p &lt; 0.001), but not with moderate smoking habits, and also with duration of occupational exposure to welding fumes per year (FVC -0.89 ml, p = 0.36; FEV1 -2.91 ml, p &lt; 0.001; MEF50 -4.7 ml/s, p = 0.047). Conclusions: Individual smoking habits as well as duration of occupational exposure to welding fumes showed a negative impact on lung function parameters. To reduce the risk of work-associated respiratory morbidity, smoking cessation is highly recommended to personnel engaged in welding fumes- and dust-exposed occupations. © 2013 Springer Science+Business Media New York.&quot;,&quot;issue&quot;:&quot;1&quot;,&quot;volume&quot;:&quot;192&quot;},&quot;isTemporary&quot;:false},{&quot;id&quot;:&quot;20cfaf50-7532-397d-bae7-7efe2fac74f7&quot;,&quot;itemData&quot;:{&quot;type&quot;:&quot;article-journal&quot;,&quot;id&quot;:&quot;20cfaf50-7532-397d-bae7-7efe2fac74f7&quot;,&quot;title&quot;:&quot;Silica-associated lung disease: An old-world exposure in modern industries&quot;,&quot;author&quot;:[{&quot;family&quot;:&quot;Barnes&quot;,&quot;given&quot;:&quot;Hayley&quot;,&quot;parse-names&quot;:false,&quot;dropping-particle&quot;:&quot;&quot;,&quot;non-dropping-particle&quot;:&quot;&quot;},{&quot;family&quot;:&quot;Goh&quot;,&quot;given&quot;:&quot;Nicole S.L.&quot;,&quot;parse-names&quot;:false,&quot;dropping-particle&quot;:&quot;&quot;,&quot;non-dropping-particle&quot;:&quot;&quot;},{&quot;family&quot;:&quot;Leong&quot;,&quot;given&quot;:&quot;Tracy L.&quot;,&quot;parse-names&quot;:false,&quot;dropping-particle&quot;:&quot;&quot;,&quot;non-dropping-particle&quot;:&quot;&quot;},{&quot;family&quot;:&quot;Hoy&quot;,&quot;given&quot;:&quot;Ryan&quot;,&quot;parse-names&quot;:false,&quot;dropping-particle&quot;:&quot;&quot;,&quot;non-dropping-particle&quot;:&quot;&quot;}],&quot;container-title&quot;:&quot;Respirology&quot;,&quot;accessed&quot;:{&quot;date-parts&quot;:[[2024,3,17]]},&quot;DOI&quot;:&quot;10.1111/RESP.13695&quot;,&quot;ISSN&quot;:&quot;1440-1843&quot;,&quot;PMID&quot;:&quot;31517432&quot;,&quot;URL&quot;:&quot;https://onlinelibrary.wiley.com/doi/full/10.1111/resp.13695&quot;,&quot;issued&quot;:{&quot;date-parts&quot;:[[2019,12,1]]},&quot;page&quot;:&quot;1165-1175&quot;,&quot;abstract&quot;:&quot;Despite silica dust exposure being one of the earliest recognized causes of lung disease, Australia, USA, Israel, Turkey and other countries around the world have recently experienced significant outbreaks of silicosis. These outbreaks have occurred in modern industries such as denim jean production, domestic benchtop fabrication and jewellery polishing, where silica has been introduced without recognition and control of the hazard. Much of our understanding of silica-related lung disease is derived from traditional occupations such as mining, whereby workers may develop slowly progressive chronic silicosis. However, workers in modern industries are developing acute and accelerated silicosis over a short period of time, due to high-intensity silica concentrations, oxidative stress from freshly fractured silica and a rapid pro-inflammatory and pro-fibrotic response. Appropriate methods of screening and diagnosis remain unclear in these workers, and a significant proportion may go on to develop respiratory failure and death. There are no current effective treatments for silicosis. For those with near fatal respiratory failure, lung transplantation remains the only option. Strategies to reduce high-intensity silica dust exposure, enforced screening programmes and the identification of new treatments are urgently required.&quot;,&quot;publisher&quot;:&quot;John Wiley &amp; Sons, Ltd&quot;,&quot;issue&quot;:&quot;12&quot;,&quot;volume&quot;:&quot;24&quot;,&quot;container-title-short&quot;:&quot;&quot;},&quot;isTemporary&quot;:false}]},{&quot;citationID&quot;:&quot;MENDELEY_CITATION_f77dfbb4-0f48-47fd-8605-505ffe388d34&quot;,&quot;properties&quot;:{&quot;noteIndex&quot;:0},&quot;isEdited&quot;:false,&quot;manualOverride&quot;:{&quot;isManuallyOverridden&quot;:false,&quot;citeprocText&quot;:&quot;[134]&quot;,&quot;manualOverrideText&quot;:&quot;&quot;},&quot;citationTag&quot;:&quot;MENDELEY_CITATION_v3_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&quot;,&quot;citationItems&quot;:[{&quot;id&quot;:&quot;36563a6b-929c-3d2d-acdc-befd07c3d8fd&quot;,&quot;itemData&quot;:{&quot;type&quot;:&quot;book&quot;,&quot;id&quot;:&quot;36563a6b-929c-3d2d-acdc-befd07c3d8fd&quot;,&quot;title&quot;:&quot;Methods in Epidemiologic Research&quot;,&quot;author&quot;:[{&quot;family&quot;:&quot;Dohoo&quot;,&quot;given&quot;:&quot;Ian&quot;,&quot;parse-names&quot;:false,&quot;dropping-particle&quot;:&quot;&quot;,&quot;non-dropping-particle&quot;:&quot;&quot;},{&quot;family&quot;:&quot;Martin&quot;,&quot;given&quot;:&quot;Wayne&quot;,&quot;parse-names&quot;:false,&quot;dropping-particle&quot;:&quot;&quot;,&quot;non-dropping-particle&quot;:&quot;&quot;},{&quot;family&quot;:&quot;Stryhn&quot;,&quot;given&quot;:&quot;Henrik&quot;,&quot;parse-names&quot;:false,&quot;dropping-particle&quot;:&quot;&quot;,&quot;non-dropping-particle&quot;:&quot;&quot;}],&quot;editor&quot;:[{&quot;family&quot;:&quot;McPike&quot;,&quot;given&quot;:&quot;S Margaret&quot;,&quot;parse-names&quot;:false,&quot;dropping-particle&quot;:&quot;&quot;,&quot;non-dropping-particle&quot;:&quot;&quot;}],&quot;ISBN&quot;:&quot;978-0-919013-73-5&quot;,&quot;issued&quot;:{&quot;date-parts&quot;:[[2012]]},&quot;publisher-place&quot;:&quot;Charlottetown, Prince Edward Island, Canda&quot;,&quot;number-of-pages&quot;:&quot;90-93&quot;,&quot;edition&quot;:&quot;1&quot;,&quot;publisher&quot;:&quot;VER Inc.&quot;,&quot;container-title-short&quot;:&quot;&quot;},&quot;isTemporary&quot;:false}]},{&quot;citationID&quot;:&quot;MENDELEY_CITATION_39b05325-7bb0-48ea-bb15-0440a29795c5&quot;,&quot;properties&quot;:{&quot;noteIndex&quot;:0},&quot;isEdited&quot;:false,&quot;manualOverride&quot;:{&quot;isManuallyOverridden&quot;:false,&quot;citeprocText&quot;:&quot;[134]&quot;,&quot;manualOverrideText&quot;:&quot;&quot;},&quot;citationTag&quot;:&quot;MENDELEY_CITATION_v3_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&quot;,&quot;citationItems&quot;:[{&quot;id&quot;:&quot;36563a6b-929c-3d2d-acdc-befd07c3d8fd&quot;,&quot;itemData&quot;:{&quot;type&quot;:&quot;book&quot;,&quot;id&quot;:&quot;36563a6b-929c-3d2d-acdc-befd07c3d8fd&quot;,&quot;title&quot;:&quot;Methods in Epidemiologic Research&quot;,&quot;author&quot;:[{&quot;family&quot;:&quot;Dohoo&quot;,&quot;given&quot;:&quot;Ian&quot;,&quot;parse-names&quot;:false,&quot;dropping-particle&quot;:&quot;&quot;,&quot;non-dropping-particle&quot;:&quot;&quot;},{&quot;family&quot;:&quot;Martin&quot;,&quot;given&quot;:&quot;Wayne&quot;,&quot;parse-names&quot;:false,&quot;dropping-particle&quot;:&quot;&quot;,&quot;non-dropping-particle&quot;:&quot;&quot;},{&quot;family&quot;:&quot;Stryhn&quot;,&quot;given&quot;:&quot;Henrik&quot;,&quot;parse-names&quot;:false,&quot;dropping-particle&quot;:&quot;&quot;,&quot;non-dropping-particle&quot;:&quot;&quot;}],&quot;editor&quot;:[{&quot;family&quot;:&quot;McPike&quot;,&quot;given&quot;:&quot;S Margaret&quot;,&quot;parse-names&quot;:false,&quot;dropping-particle&quot;:&quot;&quot;,&quot;non-dropping-particle&quot;:&quot;&quot;}],&quot;ISBN&quot;:&quot;978-0-919013-73-5&quot;,&quot;issued&quot;:{&quot;date-parts&quot;:[[2012]]},&quot;publisher-place&quot;:&quot;Charlottetown, Prince Edward Island, Canda&quot;,&quot;number-of-pages&quot;:&quot;90-93&quot;,&quot;edition&quot;:&quot;1&quot;,&quot;publisher&quot;:&quot;VER Inc.&quot;,&quot;container-title-short&quot;:&quot;&quot;},&quot;isTemporary&quot;:false}]},{&quot;citationID&quot;:&quot;MENDELEY_CITATION_6234b96a-4502-491c-9bee-caed306419df&quot;,&quot;properties&quot;:{&quot;noteIndex&quot;:0},&quot;isEdited&quot;:false,&quot;manualOverride&quot;:{&quot;isManuallyOverridden&quot;:false,&quot;citeprocText&quot;:&quot;[134,211]&quot;,&quot;manualOverrideText&quot;:&quot;&quot;},&quot;citationTag&quot;:&quot;MENDELEY_CITATION_v3_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&quot;,&quot;citationItems&quot;:[{&quot;id&quot;:&quot;36563a6b-929c-3d2d-acdc-befd07c3d8fd&quot;,&quot;itemData&quot;:{&quot;type&quot;:&quot;book&quot;,&quot;id&quot;:&quot;36563a6b-929c-3d2d-acdc-befd07c3d8fd&quot;,&quot;title&quot;:&quot;Methods in Epidemiologic Research&quot;,&quot;author&quot;:[{&quot;family&quot;:&quot;Dohoo&quot;,&quot;given&quot;:&quot;Ian&quot;,&quot;parse-names&quot;:false,&quot;dropping-particle&quot;:&quot;&quot;,&quot;non-dropping-particle&quot;:&quot;&quot;},{&quot;family&quot;:&quot;Martin&quot;,&quot;given&quot;:&quot;Wayne&quot;,&quot;parse-names&quot;:false,&quot;dropping-particle&quot;:&quot;&quot;,&quot;non-dropping-particle&quot;:&quot;&quot;},{&quot;family&quot;:&quot;Stryhn&quot;,&quot;given&quot;:&quot;Henrik&quot;,&quot;parse-names&quot;:false,&quot;dropping-particle&quot;:&quot;&quot;,&quot;non-dropping-particle&quot;:&quot;&quot;}],&quot;editor&quot;:[{&quot;family&quot;:&quot;McPike&quot;,&quot;given&quot;:&quot;S Margaret&quot;,&quot;parse-names&quot;:false,&quot;dropping-particle&quot;:&quot;&quot;,&quot;non-dropping-particle&quot;:&quot;&quot;}],&quot;ISBN&quot;:&quot;978-0-919013-73-5&quot;,&quot;issued&quot;:{&quot;date-parts&quot;:[[2012]]},&quot;publisher-place&quot;:&quot;Charlottetown, Prince Edward Island, Canda&quot;,&quot;number-of-pages&quot;:&quot;90-93&quot;,&quot;edition&quot;:&quot;1&quot;,&quot;publisher&quot;:&quot;VER Inc.&quot;,&quot;container-title-short&quot;:&quot;&quot;},&quot;isTemporary&quot;:false},{&quot;id&quot;:&quot;5b0182d5-523e-34f5-82e4-2767b4a0f79f&quot;,&quot;itemData&quot;:{&quot;type&quot;:&quot;article-journal&quot;,&quot;id&quot;:&quot;5b0182d5-523e-34f5-82e4-2767b4a0f79f&quot;,&quot;title&quot;:&quot;A Framework for Multiple Imputation in Cluster Analysis&quot;,&quot;author&quot;:[{&quot;family&quot;:&quot;Basagaña&quot;,&quot;given&quot;:&quot;Xavier&quot;,&quot;parse-names&quot;:false,&quot;dropping-particle&quot;:&quot;&quot;,&quot;non-dropping-particle&quot;:&quot;&quot;},{&quot;family&quot;:&quot;Barrera-Gómez&quot;,&quot;given&quot;:&quot;Jose&quot;,&quot;parse-names&quot;:false,&quot;dropping-particle&quot;:&quot;&quot;,&quot;non-dropping-particle&quot;:&quot;&quot;},{&quot;family&quot;:&quot;Benet&quot;,&quot;given&quot;:&quot;Marta&quot;,&quot;parse-names&quot;:false,&quot;dropping-particle&quot;:&quot;&quot;,&quot;non-dropping-particle&quot;:&quot;&quot;},{&quot;family&quot;:&quot;Antó&quot;,&quot;given&quot;:&quot;Josep M.&quot;,&quot;parse-names&quot;:false,&quot;dropping-particle&quot;:&quot;&quot;,&quot;non-dropping-particle&quot;:&quot;&quot;},{&quot;family&quot;:&quot;Garcia-Aymerich&quot;,&quot;given&quot;:&quot;Judith&quot;,&quot;parse-names&quot;:false,&quot;dropping-particle&quot;:&quot;&quot;,&quot;non-dropping-particle&quot;:&quot;&quot;}],&quot;container-title&quot;:&quot;American Journal of Epidemiology&quot;,&quot;container-title-short&quot;:&quot;Am J Epidemiol&quot;,&quot;accessed&quot;:{&quot;date-parts&quot;:[[2024,6,6]]},&quot;DOI&quot;:&quot;10.1093/AJE/KWS289&quot;,&quot;ISSN&quot;:&quot;0002-9262&quot;,&quot;PMID&quot;:&quot;23445902&quot;,&quot;URL&quot;:&quot;https://dx.doi.org/10.1093/aje/kws289&quot;,&quot;issued&quot;:{&quot;date-parts&quot;:[[2013,4,1]]},&quot;page&quot;:&quot;718-725&quot;,&quot;abstract&quot;:&quot;Multiple imputation is a common technique for dealing with missing values and is mostly applied in regression settings. Its application in cluster analysis problems, where the main objective is to classify individuals into homogenous groups, involves several difficulties which are not well characterized in the current literature. In this paper, we propose a framework for applying multiple imputation to cluster analysis when the original data contain missing values. The proposed framework incorporates the selection of the final number of clusters and a variable reduction procedure, which may be needed in data sets where the ratio of the number of persons to the number of variables is small. We suggest some ways to report how the uncertainty due to multiple imputation of missing data affects the cluster analysis outcomes - namely the final number of clusters, the results of a variable selection procedure (if applied), and the assignment of individuals to clusters. The proposed framework is illustrated with data from the Phenotype and Course of Chronic Obstructive Pulmonary Disease (PAC-COPD) Study (Spain, 2004-2008), which aimed to classify patients with chronic obstructive pulmonary disease into different disease subtypes. © 2013 The Author.&quot;,&quot;publisher&quot;:&quot;Oxford Academic&quot;,&quot;issue&quot;:&quot;7&quot;,&quot;volume&quot;:&quot;177&quot;},&quot;isTemporary&quot;:false}]},{&quot;citationID&quot;:&quot;MENDELEY_CITATION_5af018e7-b183-4f78-bb5f-f7416c64467b&quot;,&quot;properties&quot;:{&quot;noteIndex&quot;:0},&quot;isEdited&quot;:false,&quot;manualOverride&quot;:{&quot;isManuallyOverridden&quot;:false,&quot;citeprocText&quot;:&quot;[6]&quot;,&quot;manualOverrideText&quot;:&quot;&quot;},&quot;citationTag&quot;:&quot;MENDELEY_CITATION_v3_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&quot;,&quot;citationItems&quot;:[{&quot;id&quot;:&quot;f6bf6552-f6e0-3ff4-a77d-6750f2546b26&quot;,&quot;itemData&quot;:{&quot;type&quot;:&quot;report&quot;,&quot;id&quot;:&quot;f6bf6552-f6e0-3ff4-a77d-6750f2546b26&quot;,&quot;title&quot;:&quot;GOLD Report 2020&quot;,&quot;author&quot;:[{&quot;family&quot;:&quot;Global Initiative for Chronic Obstructive Lung Disease&quot;,&quot;given&quot;:&quot;&quot;,&quot;parse-names&quot;:false,&quot;dropping-particle&quot;:&quot;&quot;,&quot;non-dropping-particle&quot;:&quot;&quot;}],&quot;container-title&quot;:&quot;Global Strategy for the Diagnosis, Management, and Prevention of Chronic Obstructive Pulmonary Disease: 2020 Report&quot;,&quot;URL&quot;:&quot;https://goldcopd.org/wp-content/uploads/2019/12/GOLD-2020-FINAL-ver1.2-03Dec19_WMV.pdf&quot;,&quot;issued&quot;:{&quot;date-parts&quot;:[[2020]]},&quot;number-of-pages&quot;:&quot;141&quot;,&quot;abstract&quot;:&quot;Global Strategy for the Diagnosis, Management, and Prevention of Chronic Obstructive Pulmonary Disease&quot;,&quot;container-title-short&quot;:&quot;&quot;},&quot;isTemporary&quot;:false}]},{&quot;citationID&quot;:&quot;MENDELEY_CITATION_7b4b6b81-9cdf-4ed0-8de6-b3b963d80c4a&quot;,&quot;properties&quot;:{&quot;noteIndex&quot;:0},&quot;isEdited&quot;:false,&quot;manualOverride&quot;:{&quot;isManuallyOverridden&quot;:false,&quot;citeprocText&quot;:&quot;[182–184]&quot;,&quot;manualOverrideText&quot;:&quot;&quot;},&quot;citationTag&quot;:&quot;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&quot;,&quot;citationItems&quot;:[{&quot;id&quot;:&quot;f5770aed-0a26-341c-9a34-a9c72188a023&quot;,&quot;itemData&quot;:{&quot;type&quot;:&quot;article-journal&quot;,&quot;id&quot;:&quot;f5770aed-0a26-341c-9a34-a9c72188a023&quot;,&quot;title&quot;:&quot;Associations between different body mass index and lung function impairment in Chinese people aged over 40 years: a multicenter cross-sectional study&quot;,&quot;author&quot;:[{&quot;family&quot;:&quot;Tang&quot;,&quot;given&quot;:&quot;Yumeng&quot;,&quot;parse-names&quot;:false,&quot;dropping-particle&quot;:&quot;&quot;,&quot;non-dropping-particle&quot;:&quot;&quot;},{&quot;family&quot;:&quot;Zhang&quot;,&quot;given&quot;:&quot;Lan&quot;,&quot;parse-names&quot;:false,&quot;dropping-particle&quot;:&quot;&quot;,&quot;non-dropping-particle&quot;:&quot;&quot;},{&quot;family&quot;:&quot;Zhu&quot;,&quot;given&quot;:&quot;Shuzhen&quot;,&quot;parse-names&quot;:false,&quot;dropping-particle&quot;:&quot;&quot;,&quot;non-dropping-particle&quot;:&quot;&quot;},{&quot;family&quot;:&quot;Shen&quot;,&quot;given&quot;:&quot;Miaoyan&quot;,&quot;parse-names&quot;:false,&quot;dropping-particle&quot;:&quot;&quot;,&quot;non-dropping-particle&quot;:&quot;&quot;},{&quot;family&quot;:&quot;Cheng&quot;,&quot;given&quot;:&quot;Maowei&quot;,&quot;parse-names&quot;:false,&quot;dropping-particle&quot;:&quot;&quot;,&quot;non-dropping-particle&quot;:&quot;&quot;},{&quot;family&quot;:&quot;Peng&quot;,&quot;given&quot;:&quot;Fei&quot;,&quot;parse-names&quot;:false,&quot;dropping-particle&quot;:&quot;&quot;,&quot;non-dropping-particle&quot;:&quot;&quot;}],&quot;container-title&quot;:&quot;BMC Pulmonary Medicine&quot;,&quot;container-title-short&quot;:&quot;BMC Pulm Med&quot;,&quot;accessed&quot;:{&quot;date-parts&quot;:[[2024,3,17]]},&quot;DOI&quot;:&quot;10.1186/S12890-024-02844-X&quot;,&quot;ISSN&quot;:&quot;14712466&quot;,&quot;PMID&quot;:&quot;38212744&quot;,&quot;URL&quot;:&quot;/pmc/articles/PMC10785338/&quot;,&quot;issued&quot;:{&quot;date-parts&quot;:[[2024,12,1]]},&quot;abstract&quot;:&quot;Objective: The aim of this study was to explore the associations between different body mass index (BMI) levels and different lung function impairment (LFI) in Chinese people aged over 40 years. Methods: We used a multi-stage stratified cluster random sampling method to investigate 3000 residents aged over 40 years from 5 areas in Hubei province of China in 2019-20. The data on questionnaire, physical measurements, and spirometry of the participants were collected. The associations of different BMI levels with different LFI were analyzed using multivariate logistic regressions after complex weighting. The spirometry data were analyzed using one-factor analysis of variance (ANOVA), and post-hoc was performed using the least significance difference (LSD)-t test. Results: A total of 2860 subjects were included. The prevalence (95%CI) of obstructive lung disease (OLD), restrictive lung disease (RLD), mixed lung disease (MLD), chronic obstructive pulmonary disease (COPD), COPD mild, and COPD moderate/severe/very severe were 24.1% (95% CI: 22.2–26.2), 11.6% (95% CI: 10.3–12.9), 4.0% (95% CI: 3.3–4.8), 12.6% (95% CI: 11.0-14.1), 7.2% (95% CI: 6.0-8.4), and 5.3% (95% CI: 4.3–6.4) respectively. After multivariate adjustment, the risk of OLD, COPD, and COPD mild decreased with the increment of BMI levels (both P for trend &lt; 0.05). When compared to the normal weight group, the overweight group and obese group were at lower risk of experiencing OLD than normal group, the ORs were 0.77 (95% CI: 0.59–0.99) and 0.59 (95% CI: 0.40–0.86) respectively. The obese group was at lower risk for people with COPD mild (OR: 0.42, 95%CI: 0.21–0.85). Participants in underweight group were more likely to experience COPD and COPD moderate/severe/very severe, the ORs were 2.82 (95% CI: 1.07–7.39) and 3.89 (95% CI: 1.28–11.87) respectively. Conclusion: Higher BMI levels were associated with an decreased risk of OLD and COPD. Obesity had a protective effect on lung function in OLD patients and COPD patients. However, there was no significant difference in RLD and MLD prevalence between different BMI groups.&quot;,&quot;publisher&quot;:&quot;BMC&quot;,&quot;issue&quot;:&quot;1&quot;,&quot;volume&quot;:&quot;24&quot;},&quot;isTemporary&quot;:false},{&quot;id&quot;:&quot;3f01b988-2f78-3ee4-9a96-3520a007c727&quot;,&quot;itemData&quot;:{&quot;type&quot;:&quot;article-journal&quot;,&quot;id&quot;:&quot;3f01b988-2f78-3ee4-9a96-3520a007c727&quot;,&quot;title&quot;:&quot;The Relationship Between BMI and Lung Function in Populations with Different Characteristics: A Cross-Sectional Study Based on the Enjoying Breathing Program in China&quot;,&quot;author&quot;:[{&quot;family&quot;:&quot;Tang&quot;,&quot;given&quot;:&quot;Xingyao&quot;,&quot;parse-names&quot;:false,&quot;dropping-particle&quot;:&quot;&quot;,&quot;non-dropping-particle&quot;:&quot;&quot;},{&quot;family&quot;:&quot;Lei&quot;,&quot;given&quot;:&quot;Jieping&quot;,&quot;parse-names&quot;:false,&quot;dropping-particle&quot;:&quot;&quot;,&quot;non-dropping-particle&quot;:&quot;&quot;},{&quot;family&quot;:&quot;Li&quot;,&quot;given&quot;:&quot;Wei&quot;,&quot;parse-names&quot;:false,&quot;dropping-particle&quot;:&quot;&quot;,&quot;non-dropping-particle&quot;:&quot;&quot;},{&quot;family&quot;:&quot;Peng&quot;,&quot;given&quot;:&quot;Yaodie&quot;,&quot;parse-names&quot;:false,&quot;dropping-particle&quot;:&quot;&quot;,&quot;non-dropping-particle&quot;:&quot;&quot;},{&quot;family&quot;:&quot;Wang&quot;,&quot;given&quot;:&quot;Chen&quot;,&quot;parse-names&quot;:false,&quot;dropping-particle&quot;:&quot;&quot;,&quot;non-dropping-particle&quot;:&quot;&quot;},{&quot;family&quot;:&quot;Huang&quot;,&quot;given&quot;:&quot;Ke&quot;,&quot;parse-names&quot;:false,&quot;dropping-particle&quot;:&quot;&quot;,&quot;non-dropping-particle&quot;:&quot;&quot;},{&quot;family&quot;:&quot;Yang&quot;,&quot;given&quot;:&quot;Ting&quot;,&quot;parse-names&quot;:false,&quot;dropping-particle&quot;:&quot;&quot;,&quot;non-dropping-particle&quot;:&quot;&quot;}],&quot;container-title&quot;:&quot;International Journal of Chronic Obstructive Pulmonary Disease&quot;,&quot;container-title-short&quot;:&quot;Int J Chron Obstruct Pulmon Dis&quot;,&quot;accessed&quot;:{&quot;date-parts&quot;:[[2024,3,17]]},&quot;DOI&quot;:&quot;10.2147/COPD.S378247&quot;,&quot;ISSN&quot;:&quot;11782005&quot;,&quot;PMID&quot;:&quot;36281228&quot;,&quot;URL&quot;:&quot;/pmc/articles/PMC9587705/&quot;,&quot;issued&quot;:{&quot;date-parts&quot;:[[2022]]},&quot;page&quot;:&quot;2677&quot;,&quot;abstract&quot;:&quot;Purpose: To analyze the relationship between body mass index (BMI) and lung function, which may help optimize the screening and management process for chronic obstructive pulmonary disease (COPD) in the early stages. Patients and Methods: In this cross-sectional study using data from the Enjoying Breathing Program in China, participants were divided into two groups according to COPD Screening Questionnaire (COPD-SQ) scores (at risk and not at risk of COPD) and three groups based on lung function (normal lung function, preserved ratio impaired spirometry [PRISm], and obstructive lung function). Results: A total of 32,033 subjects were enrolled in the current analysis. First, in people at risk of COPD, overweight and obese participants had better forced expiratory volume in one second (FEV1; overweight: 0.33 liters (l), 95% confidence interval [CI]: 0.27 to 0.38; obesity: 0.31 L, 95% CI: 0.22 to 0.39) values than the normal BMI group. Second, among people with PRISm, underweight participants had a lower FEV1 (−0.56 L, 95% CI: −0.86 to −0.26) and forced vital capacity (FVC; −0.33 L, 95% CI: −0.55 to −0.11) than participants with a normal weight, and obese participants had a higher FEV1 (0.22 L, 95% CI: 0.02 to 0.42) and FVC (0.16 L, 95% CI: 0.02 to 0.30) than participants with a normal weight. Taking normal BMI as the reference group, lower FEV1 (−0.80 L, 95% CI: −0.97 to −0.63) and FVC (−0.53 L, 95% CI: −0.64 to −0.42) were found in underweight participants with obstructive spirometry, and better FEV1 (obesity: 0.26 L, 95% CI: 0.12 to 0.40) was found in obese participants with obstructive spirometry. Conclusion: Being underweight and severely obese are associated with reduced lung function. Slight obesity was shown to be a protective factor for lung function in people at risk of COPD and those with PRISm.&quot;,&quot;publisher&quot;:&quot;Dove Press&quot;,&quot;volume&quot;:&quot;17&quot;},&quot;isTemporary&quot;:false},{&quot;id&quot;:&quot;27894937-fee0-34f3-af68-cf29ff31e44b&quot;,&quot;itemData&quot;:{&quot;type&quot;:&quot;article-journal&quot;,&quot;id&quot;:&quot;27894937-fee0-34f3-af68-cf29ff31e44b&quot;,&quot;title&quot;:&quot;Update on the Etiology, Assessment, and Management of COPD Cachexia: Considerations for the Clinician&quot;,&quot;author&quot;:[{&quot;family&quot;:&quot;Brandt&quot;,&quot;given&quot;:&quot;Jana&quot;,&quot;parse-names&quot;:false,&quot;dropping-particle&quot;:&quot;&quot;,&quot;non-dropping-particle&quot;:&quot;De&quot;},{&quot;family&quot;:&quot;Beijers&quot;,&quot;given&quot;:&quot;Rosanne J.H.C.G.&quot;,&quot;parse-names&quot;:false,&quot;dropping-particle&quot;:&quot;&quot;,&quot;non-dropping-particle&quot;:&quot;&quot;},{&quot;family&quot;:&quot;Schols&quot;,&quot;given&quot;:&quot;Annemie M.W.J.&quot;,&quot;parse-names&quot;:false,&quot;dropping-particle&quot;:&quot;&quot;,&quot;non-dropping-particle&quot;:&quot;&quot;},{&quot;family&quot;:&quot;Nyberg&quot;,&quot;given&quot;:&quot;André&quot;,&quot;parse-names&quot;:false,&quot;dropping-particle&quot;:&quot;&quot;,&quot;non-dropping-particle&quot;:&quot;&quot;},{&quot;family&quot;:&quot;Chiles&quot;,&quot;given&quot;:&quot;Joe&quot;,&quot;parse-names&quot;:false,&quot;dropping-particle&quot;:&quot;&quot;,&quot;non-dropping-particle&quot;:&quot;&quot;},{&quot;family&quot;:&quot;Maddocks&quot;,&quot;given&quot;:&quot;Matthew&quot;,&quot;parse-names&quot;:false,&quot;dropping-particle&quot;:&quot;&quot;,&quot;non-dropping-particle&quot;:&quot;&quot;},{&quot;family&quot;:&quot;McDonald&quot;,&quot;given&quot;:&quot;Merry Lynn N.&quot;,&quot;parse-names&quot;:false,&quot;dropping-particle&quot;:&quot;&quot;,&quot;non-dropping-particle&quot;:&quot;&quot;}],&quot;container-title&quot;:&quot;International Journal of Chronic Obstructive Pulmonary Disease&quot;,&quot;container-title-short&quot;:&quot;Int J Chron Obstruct Pulmon Dis&quot;,&quot;accessed&quot;:{&quot;date-parts&quot;:[[2025,1,5]]},&quot;DOI&quot;:&quot;10.2147/COPD.S334228&quot;,&quot;ISSN&quot;:&quot;11782005&quot;,&quot;PMID&quot;:&quot;36425061&quot;,&quot;URL&quot;:&quot;https://pmc.ncbi.nlm.nih.gov/articles/PMC9680681/&quot;,&quot;issued&quot;:{&quot;date-parts&quot;:[[2022]]},&quot;page&quot;:&quot;2957&quot;,&quot;abstract&quot;:&quot;Cachexia is a commonly observed but frequently neglected extra-pulmonary manifestation in patients with chronic obstructive pulmonary disease (COPD). Cachexia is a multifactorial syndrome characterized by severe loss of body weight, muscle, and fat, as well as increased protein catabolism. COPD cachexia places a high burden on patients (eg, increased mortality risk and disease burden, reduced exercise capacity and quality of life) and the healthcare system (eg, increased number, length, and cost of hospitalizations). The etiology of COPD cachexia involves a complex interplay of non-modifiable and modifiable factors (eg, smoking, hypoxemia, hypercapnia, physical inactivity, energy imbalance, and exacerbations). Addressing these modifiable factors is needed to prevent and treat COPD cachexia. Oral nutritional supplementation combined with exercise training should be the primary multimodal treatment approach. Adding a pharmacological agent might be considered in some, but not all, patients with COPD cachexia. Clinicians and researchers should use longitudinal measures (eg, weight loss, muscle mass loss) instead of cross-sectional measures (eg, low body mass index or fat-free mass index) where possible to evaluate patients with COPD cachexia. Lastly, in future research, more detailed phenotyping of cachectic patients to enable a better comparison of included patients between studies, prospective longitudinal studies, and more focus on the impact of exacerbations and the role of biomarkers in COPD cachexia, are highly recommended.&quot;,&quot;publisher&quot;:&quot;Dove Medical Press Ltd&quot;,&quot;volume&quot;:&quot;17&quot;},&quot;isTemporary&quot;:false}]},{&quot;citationID&quot;:&quot;MENDELEY_CITATION_795c3d00-91ac-48f4-8b94-896df28cdc8d&quot;,&quot;properties&quot;:{&quot;noteIndex&quot;:0},&quot;isEdited&quot;:false,&quot;manualOverride&quot;:{&quot;isManuallyOverridden&quot;:false,&quot;citeprocText&quot;:&quot;[13,188,189]&quot;,&quot;manualOverrideText&quot;:&quot;&quot;},&quot;citationTag&quot;:&quot;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&quot;,&quot;citationItems&quot;:[{&quot;id&quot;:&quot;33a313ba-178c-31a1-8972-99be31d99a6f&quot;,&quot;itemData&quot;:{&quot;type&quot;:&quot;article-journal&quot;,&quot;id&quot;:&quot;33a313ba-178c-31a1-8972-99be31d99a6f&quot;,&quot;title&quot;:&quot;The Occupational Burden of Nonmalignant Respiratory Diseases An Official American Thoracic Society and European Respiratory Society Statement&quot;,&quot;author&quot;:[{&quot;family&quot;:&quot;Blanc&quot;,&quot;given&quot;:&quot;Paul D&quot;,&quot;parse-names&quot;:false,&quot;dropping-particle&quot;:&quot;&quot;,&quot;non-dropping-particle&quot;:&quot;&quot;},{&quot;family&quot;:&quot;Annesi-Maesano&quot;,&quot;given&quot;:&quot;Isabella&quot;,&quot;parse-names&quot;:false,&quot;dropping-particle&quot;:&quot;&quot;,&quot;non-dropping-particle&quot;:&quot;&quot;},{&quot;family&quot;:&quot;Balmes&quot;,&quot;given&quot;:&quot;John R&quot;,&quot;parse-names&quot;:false,&quot;dropping-particle&quot;:&quot;&quot;,&quot;non-dropping-particle&quot;:&quot;&quot;},{&quot;family&quot;:&quot;Cummings&quot;,&quot;given&quot;:&quot;Kristin J&quot;,&quot;parse-names&quot;:false,&quot;dropping-particle&quot;:&quot;&quot;,&quot;non-dropping-particle&quot;:&quot;&quot;},{&quot;family&quot;:&quot;Fishwick&quot;,&quot;given&quot;:&quot;David&quot;,&quot;parse-names&quot;:false,&quot;dropping-particle&quot;:&quot;&quot;,&quot;non-dropping-particle&quot;:&quot;&quot;},{&quot;family&quot;:&quot;Miedinger&quot;,&quot;given&quot;:&quot;David&quot;,&quot;parse-names&quot;:false,&quot;dropping-particle&quot;:&quot;&quot;,&quot;non-dropping-particle&quot;:&quot;&quot;},{&quot;family&quot;:&quot;Murgia&quot;,&quot;given&quot;:&quot;Nicola&quot;,&quot;parse-names&quot;:false,&quot;dropping-particle&quot;:&quot;&quot;,&quot;non-dropping-particle&quot;:&quot;&quot;},{&quot;family&quot;:&quot;Naidoo&quot;,&quot;given&quot;:&quot;Rajen N&quot;,&quot;parse-names&quot;:false,&quot;dropping-particle&quot;:&quot;&quot;,&quot;non-dropping-particle&quot;:&quot;&quot;},{&quot;family&quot;:&quot;Reynolds&quot;,&quot;given&quot;:&quot;Carl J&quot;,&quot;parse-names&quot;:false,&quot;dropping-particle&quot;:&quot;&quot;,&quot;non-dropping-particle&quot;:&quot;&quot;},{&quot;family&quot;:&quot;Sigsgaard&quot;,&quot;given&quot;:&quot;Torben&quot;,&quot;parse-names&quot;:false,&quot;dropping-particle&quot;:&quot;&quot;,&quot;non-dropping-particle&quot;:&quot;&quot;},{&quot;family&quot;:&quot;Torén&quot;,&quot;given&quot;:&quot;Kjell&quot;,&quot;parse-names&quot;:false,&quot;dropping-particle&quot;:&quot;&quot;,&quot;non-dropping-particle&quot;:&quot;&quot;},{&quot;family&quot;:&quot;Torén&quot;,&quot;given&quot;:&quot;Tor´&quot;,&quot;parse-names&quot;:false,&quot;dropping-particle&quot;:&quot;&quot;,&quot;non-dropping-particle&quot;:&quot;&quot;},{&quot;family&quot;:&quot;Vinnikov&quot;,&quot;given&quot;:&quot;Denis&quot;,&quot;parse-names&quot;:false,&quot;dropping-particle&quot;:&quot;&quot;,&quot;non-dropping-particle&quot;:&quot;&quot;},{&quot;family&quot;:&quot;Redlich&quot;,&quot;given&quot;:&quot;Carrie A&quot;,&quot;parse-names&quot;:false,&quot;dropping-particle&quot;:&quot;&quot;,&quot;non-dropping-particle&quot;:&quot;&quot;}],&quot;container-title&quot;:&quot;American  Journal of Respiratory and Critical Care Medicine&quot;,&quot;container-title-short&quot;:&quot;Am J Respir Crit Care Med&quot;,&quot;accessed&quot;:{&quot;date-parts&quot;:[[2020,12,9]]},&quot;DOI&quot;:&quot;10.1164/rccm.201904-0717ST&quot;,&quot;URL&quot;:&quot;www.atsjournals.org.&quot;,&quot;issued&quot;:{&quot;date-parts&quot;:[[2019,6,1]]},&quot;page&quot;:&quot;1312-1334&quot;,&quot;issue&quot;:&quot;11&quot;,&quot;volume&quot;:&quot;199&quot;},&quot;isTemporary&quot;:false},{&quot;id&quot;:&quot;d4f876b3-c528-31c4-a86b-5a1822bf5635&quot;,&quot;itemData&quot;:{&quot;type&quot;:&quot;article-journal&quot;,&quot;id&quot;:&quot;d4f876b3-c528-31c4-a86b-5a1822bf5635&quot;,&quot;title&quot;:&quot;Chronic obstructive pulmonary disease in Welsh slate miners&quot;,&quot;author&quot;:[{&quot;family&quot;:&quot;Reynolds&quot;,&quot;given&quot;:&quot;C J&quot;,&quot;parse-names&quot;:false,&quot;dropping-particle&quot;:&quot;&quot;,&quot;non-dropping-particle&quot;:&quot;&quot;},{&quot;family&quot;:&quot;Macneill&quot;,&quot;given&quot;:&quot;S J&quot;,&quot;parse-names&quot;:false,&quot;dropping-particle&quot;:&quot;&quot;,&quot;non-dropping-particle&quot;:&quot;&quot;},{&quot;family&quot;:&quot;Williams&quot;,&quot;given&quot;:&quot;J&quot;,&quot;parse-names&quot;:false,&quot;dropping-particle&quot;:&quot;&quot;,&quot;non-dropping-particle&quot;:&quot;&quot;},{&quot;family&quot;:&quot;Hodges&quot;,&quot;given&quot;:&quot;N G&quot;,&quot;parse-names&quot;:false,&quot;dropping-particle&quot;:&quot;&quot;,&quot;non-dropping-particle&quot;:&quot;&quot;},{&quot;family&quot;:&quot;Campbell&quot;,&quot;given&quot;:&quot;M J&quot;,&quot;parse-names&quot;:false,&quot;dropping-particle&quot;:&quot;&quot;,&quot;non-dropping-particle&quot;:&quot;&quot;},{&quot;family&quot;:&quot;Newman Taylor&quot;,&quot;given&quot;:&quot;A J&quot;,&quot;parse-names&quot;:false,&quot;dropping-particle&quot;:&quot;&quot;,&quot;non-dropping-particle&quot;:&quot;&quot;},{&quot;family&quot;:&quot;Cullinan&quot;,&quot;given&quot;:&quot;P&quot;,&quot;parse-names&quot;:false,&quot;dropping-particle&quot;:&quot;&quot;,&quot;non-dropping-particle&quot;:&quot;&quot;}],&quot;container-title&quot;:&quot;Occupational Medicine&quot;,&quot;container-title-short&quot;:&quot;Occup Med (Chic Ill)&quot;,&quot;accessed&quot;:{&quot;date-parts&quot;:[[2024,3,17]]},&quot;DOI&quot;:&quot;10.1093/occmed/kqw147&quot;,&quot;ISBN&quot;:&quot;2017;67:2025&quot;,&quot;URL&quot;:&quot;https://academic.oup.com/occmed/article/67/1/20/2420658&quot;,&quot;issued&quot;:{&quot;date-parts&quot;:[[2017]]},&quot;page&quot;:&quot;20-25&quot;,&quot;abstract&quot;:&quot;Background Exposure to respirable crystalline silica (RCS) causes emphysema, airflow limitation and chronic obstructive pulmonary disease (COPD). Slate miners are exposed to slate dust containing RCS but their COPD risk has not previously been studied. Aims To study the cumulative effect of mining on lung function and risk of COPD in a cohort of Welsh slate miners and whether these were independent of smoking and pneumoconiosis. Methods The study was based on a secondary analysis of Medical Research Council (MRC) survey data. COPD was defined as forced expiratory volume in 1 s/forced vital capacity (FEV 1 /FVC) ratio &lt;0.7. We created multivariable models to assess the association between mining and lung function after adjusting for age and smoking status. We used linear regression models for FEV 1 and FVC and logistic regression for COPD. Results In the original MRC study, 1255 men participated (726 slate miners, 529 unexposed non-miners). COPD was significantly more common in miners (n = 213, 33%) than non-miners (n = 120, 26%), P &lt; 0.05. There was no statistically significant difference in risk of COPD between miners and non-miners when analysis was limited to non-smokers or those without radiographic evidence of pneumoconiosis. After adjustment for smoking, slate mining was associated with a reduction in %predicted FEV 1 [β coefficient = −3.97, 95% confidence interval (CI) −6.65, −1.29] and FVC (β coefficient = −2.32, 95% CI −4.31, −0.33) and increased risk of COPD (odds ratio: 1.38, 95% CI 1.06, 1.81). Conclusions Slate mining may reduce lung function and increase the incidence of COPD independently of smoking and pneumoconiosis.&quot;,&quot;volume&quot;:&quot;67&quot;},&quot;isTemporary&quot;:false},{&quot;id&quot;:&quot;6b724ccc-096d-3f90-98c8-e8127ddeae92&quot;,&quot;itemData&quot;:{&quot;type&quot;:&quot;article-journal&quot;,&quot;id&quot;:&quot;6b724ccc-096d-3f90-98c8-e8127ddeae92&quot;,&quot;title&quot;:&quot;Respirable quartz dust exposure and airway obstruction: A systematic review and meta-analysis&quot;,&quot;author&quot;:[{&quot;family&quot;:&quot;Brüske&quot;,&quot;given&quot;:&quot;Irene&quot;,&quot;parse-names&quot;:false,&quot;dropping-particle&quot;:&quot;&quot;,&quot;non-dropping-particle&quot;:&quot;&quot;},{&quot;family&quot;:&quot;Thiering&quot;,&quot;given&quot;:&quot;Elisabeth&quot;,&quot;parse-names&quot;:false,&quot;dropping-particle&quot;:&quot;&quot;,&quot;non-dropping-particle&quot;:&quot;&quot;},{&quot;family&quot;:&quot;Heinrich&quot;,&quot;given&quot;:&quot;Joachim&quot;,&quot;parse-names&quot;:false,&quot;dropping-particle&quot;:&quot;&quot;,&quot;non-dropping-particle&quot;:&quot;&quot;},{&quot;family&quot;:&quot;Huster&quot;,&quot;given&quot;:&quot;Katharina M.&quot;,&quot;parse-names&quot;:false,&quot;dropping-particle&quot;:&quot;&quot;,&quot;non-dropping-particle&quot;:&quot;&quot;},{&quot;family&quot;:&quot;Nowak&quot;,&quot;given&quot;:&quot;Dennis&quot;,&quot;parse-names&quot;:false,&quot;dropping-particle&quot;:&quot;&quot;,&quot;non-dropping-particle&quot;:&quot;&quot;}],&quot;container-title&quot;:&quot;Occupational and Environmental Medicine&quot;,&quot;container-title-short&quot;:&quot;Occup Environ Med&quot;,&quot;accessed&quot;:{&quot;date-parts&quot;:[[2024,3,17]]},&quot;DOI&quot;:&quot;10.1136/OEMED-2013-101796&quot;,&quot;ISSN&quot;:&quot;14707926&quot;,&quot;PMID&quot;:&quot;24863263&quot;,&quot;issued&quot;:{&quot;date-parts&quot;:[[2014]]},&quot;page&quot;:&quot;583-589&quot;,&quot;abstract&quot;:&quot;Studies on exposure to respirable quartz dust at the workplace and the development of chronic obstructive pulmonary disease (COPD) were selected into a systematic review and meta-analysed to obtain an overall estimate of forced expiratory volume in 1 s (FEV1) and FEV1/forced vital capacity (FVC) reduction. PubMed and Embase were searched from 1970 to 2010. In total, 257 cross-sectional and longitudinal studies were identified that reported on inorganic dust exposure and had available lung function data. Of the 55 publications which met our inclusion criteria, 11 reported on associations with occupational exposure to respirable quartz dust. The combined average effect estimate of respirable quartz dust on spirometric parameters was obtained using a random effects model meta-analysis. Between-study heterogeneity was assessed via the I2 statistic. Most studies found a significant negative association of FEV1 and FEV1/FVC related to increasing exposure to crystalline quartz at the workplace. One study found an effect only for smokers, and one did not observe such an effect at all. The meta-analysis of cross-sectional studies showed that the mean ratio FEV 1 to FVC was reduced and FEV1 of workers exposed to respirable quartz dust was 4.6% less than predicted compared with workers with no/low exposure. Both results showed a statistically significant difference. Occupational exposure to respirable quartz dust was associated with a statistically significant decrease in FEV1 and FEV1/FVC, revealing airway obstruction consistent with COPD.&quot;,&quot;publisher&quot;:&quot;BMJ Publishing Group&quot;,&quot;issue&quot;:&quot;8&quot;,&quot;volume&quot;:&quot;71&quot;},&quot;isTemporary&quot;:false}]},{&quot;citationID&quot;:&quot;MENDELEY_CITATION_a30a54b3-8147-4f63-a694-399304bfd098&quot;,&quot;properties&quot;:{&quot;noteIndex&quot;:0},&quot;isEdited&quot;:false,&quot;manualOverride&quot;:{&quot;isManuallyOverridden&quot;:false,&quot;citeprocText&quot;:&quot;[220]&quot;,&quot;manualOverrideText&quot;:&quot;&quot;},&quot;citationTag&quot;:&quot;MENDELEY_CITATION_v3_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&quot;,&quot;citationItems&quot;:[{&quot;id&quot;:&quot;69a60f0b-9855-3179-bdfd-99f6a1ab0d08&quot;,&quot;itemData&quot;:{&quot;type&quot;:&quot;article-journal&quot;,&quot;id&quot;:&quot;69a60f0b-9855-3179-bdfd-99f6a1ab0d08&quot;,&quot;title&quot;:&quot;COPD and multimorbidity: recognising and addressing a syndemic occurrence&quot;,&quot;author&quot;:[{&quot;family&quot;:&quot;Fabbri&quot;,&quot;given&quot;:&quot;Leonardo M.&quot;,&quot;parse-names&quot;:false,&quot;dropping-particle&quot;:&quot;&quot;,&quot;non-dropping-particle&quot;:&quot;&quot;},{&quot;family&quot;:&quot;Celli&quot;,&quot;given&quot;:&quot;Bartolome R.&quot;,&quot;parse-names&quot;:false,&quot;dropping-particle&quot;:&quot;&quot;,&quot;non-dropping-particle&quot;:&quot;&quot;},{&quot;family&quot;:&quot;Agustí&quot;,&quot;given&quot;:&quot;Alvar&quot;,&quot;parse-names&quot;:false,&quot;dropping-particle&quot;:&quot;&quot;,&quot;non-dropping-particle&quot;:&quot;&quot;},{&quot;family&quot;:&quot;Criner&quot;,&quot;given&quot;:&quot;Gerard J.&quot;,&quot;parse-names&quot;:false,&quot;dropping-particle&quot;:&quot;&quot;,&quot;non-dropping-particle&quot;:&quot;&quot;},{&quot;family&quot;:&quot;Dransfield&quot;,&quot;given&quot;:&quot;Mark T.&quot;,&quot;parse-names&quot;:false,&quot;dropping-particle&quot;:&quot;&quot;,&quot;non-dropping-particle&quot;:&quot;&quot;},{&quot;family&quot;:&quot;Divo&quot;,&quot;given&quot;:&quot;Miguel&quot;,&quot;parse-names&quot;:false,&quot;dropping-particle&quot;:&quot;&quot;,&quot;non-dropping-particle&quot;:&quot;&quot;},{&quot;family&quot;:&quot;Krishnan&quot;,&quot;given&quot;:&quot;Jamuna K.&quot;,&quot;parse-names&quot;:false,&quot;dropping-particle&quot;:&quot;&quot;,&quot;non-dropping-particle&quot;:&quot;&quot;},{&quot;family&quot;:&quot;Lahousse&quot;,&quot;given&quot;:&quot;Lies&quot;,&quot;parse-names&quot;:false,&quot;dropping-particle&quot;:&quot;&quot;,&quot;non-dropping-particle&quot;:&quot;&quot;},{&quot;family&quot;:&quot;Montes de Oca&quot;,&quot;given&quot;:&quot;Maria&quot;,&quot;parse-names&quot;:false,&quot;dropping-particle&quot;:&quot;&quot;,&quot;non-dropping-particle&quot;:&quot;&quot;},{&quot;family&quot;:&quot;Salvi&quot;,&quot;given&quot;:&quot;Sundeep S.&quot;,&quot;parse-names&quot;:false,&quot;dropping-particle&quot;:&quot;&quot;,&quot;non-dropping-particle&quot;:&quot;&quot;},{&quot;family&quot;:&quot;Stolz&quot;,&quot;given&quot;:&quot;Daiana&quot;,&quot;parse-names&quot;:false,&quot;dropping-particle&quot;:&quot;&quot;,&quot;non-dropping-particle&quot;:&quot;&quot;},{&quot;family&quot;:&quot;Vanfleteren&quot;,&quot;given&quot;:&quot;Lowie E.G.W.&quot;,&quot;parse-names&quot;:false,&quot;dropping-particle&quot;:&quot;&quot;,&quot;non-dropping-particle&quot;:&quot;&quot;},{&quot;family&quot;:&quot;Vogelmeier&quot;,&quot;given&quot;:&quot;Claus F.&quot;,&quot;parse-names&quot;:false,&quot;dropping-particle&quot;:&quot;&quot;,&quot;non-dropping-particle&quot;:&quot;&quot;}],&quot;container-title&quot;:&quot;The Lancet. Respiratory medicine&quot;,&quot;container-title-short&quot;:&quot;Lancet Respir Med&quot;,&quot;accessed&quot;:{&quot;date-parts&quot;:[[2025,3,25]]},&quot;DOI&quot;:&quot;10.1016/S2213-2600(23)00261-8&quot;,&quot;ISSN&quot;:&quot;2213-2619&quot;,&quot;PMID&quot;:&quot;37696283&quot;,&quot;URL&quot;:&quot;https://pubmed.ncbi.nlm.nih.gov/37696283/&quot;,&quot;issued&quot;:{&quot;date-parts&quot;:[[2023,11,1]]},&quot;page&quot;:&quot;1020-1034&quot;,&quot;abstract&quot;:&quot;Most patients with chronic obstructive pulmonary disease (COPD) have at least one additional, clinically relevant chronic disease. Those with the most severe airflow obstruction will die from respiratory failure, but most patients with COPD die from non-respiratory disorders, particularly cardiovascular diseases and cancer. As many chronic diseases have shared risk factors (eg, ageing, smoking, pollution, inactivity, and poverty), we argue that a shift from the current paradigm in which COPD is considered as a single disease with comorbidities, to one in which COPD is considered as part of a multimorbid state—with co-occurring diseases potentially sharing pathobiological mechanisms—is needed to advance disease prevention, diagnosis, and management. The term syndemics is used to describe the co-occurrence of diseases with shared mechanisms and risk factors, a novel concept that we propose helps to explain the clustering of certain morbidities in patients diagnosed with COPD. A syndemics approach to understanding COPD could have important clinical implications, in which the complex disease presentations in these patients are addressed through proactive diagnosis, assessment of severity, and integrated management of the COPD multimorbid state, with a patient-centred rather than a single-disease approach.&quot;,&quot;publisher&quot;:&quot;Lancet Respir Med&quot;,&quot;issue&quot;:&quot;11&quot;,&quot;volume&quot;:&quot;11&quot;},&quot;isTemporary&quot;:false}]},{&quot;citationID&quot;:&quot;MENDELEY_CITATION_37b5f64f-a4f9-45c5-8957-6824f40db20c&quot;,&quot;properties&quot;:{&quot;noteIndex&quot;:0},&quot;isEdited&quot;:false,&quot;manualOverride&quot;:{&quot;isManuallyOverridden&quot;:false,&quot;citeprocText&quot;:&quot;[214,217]&quot;,&quot;manualOverrideText&quot;:&quot;&quot;},&quot;citationTag&quot;:&quot;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&quot;,&quot;citationItems&quot;:[{&quot;id&quot;:&quot;d55616d8-130d-3542-9b85-c671642e7387&quot;,&quot;itemData&quot;:{&quot;type&quot;:&quot;article-journal&quot;,&quot;id&quot;:&quot;d55616d8-130d-3542-9b85-c671642e7387&quot;,&quot;title&quot;:&quot;COPD and Cardiovascular Disease&quot;,&quot;author&quot;:[{&quot;family&quot;:&quot;André&quot;,&quot;given&quot;:&quot;S.&quot;,&quot;parse-names&quot;:false,&quot;dropping-particle&quot;:&quot;&quot;,&quot;non-dropping-particle&quot;:&quot;&quot;},{&quot;family&quot;:&quot;Conde&quot;,&quot;given&quot;:&quot;B.&quot;,&quot;parse-names&quot;:false,&quot;dropping-particle&quot;:&quot;&quot;,&quot;non-dropping-particle&quot;:&quot;&quot;},{&quot;family&quot;:&quot;Fragoso&quot;,&quot;given&quot;:&quot;E.&quot;,&quot;parse-names&quot;:false,&quot;dropping-particle&quot;:&quot;&quot;,&quot;non-dropping-particle&quot;:&quot;&quot;},{&quot;family&quot;:&quot;Boléo-Tomé&quot;,&quot;given&quot;:&quot;J. P.&quot;,&quot;parse-names&quot;:false,&quot;dropping-particle&quot;:&quot;&quot;,&quot;non-dropping-particle&quot;:&quot;&quot;},{&quot;family&quot;:&quot;Areias&quot;,&quot;given&quot;:&quot;V.&quot;,&quot;parse-names&quot;:false,&quot;dropping-particle&quot;:&quot;&quot;,&quot;non-dropping-particle&quot;:&quot;&quot;},{&quot;family&quot;:&quot;Cardoso&quot;,&quot;given&quot;:&quot;J.&quot;,&quot;parse-names&quot;:false,&quot;dropping-particle&quot;:&quot;&quot;,&quot;non-dropping-particle&quot;:&quot;&quot;}],&quot;container-title&quot;:&quot;Pulmonology&quot;,&quot;container-title-short&quot;:&quot;Pulmonology&quot;,&quot;accessed&quot;:{&quot;date-parts&quot;:[[2024,6,1]]},&quot;DOI&quot;:&quot;10.1016/J.PULMOE.2018.09.006&quot;,&quot;ISSN&quot;:&quot;2531-0437&quot;,&quot;PMID&quot;:&quot;30527374&quot;,&quot;issued&quot;:{&quot;date-parts&quot;:[[2019,5,1]]},&quot;page&quot;:&quot;168-176&quot;,&quot;abstract&quot;:&quot;COPD is one of the major public health problems in people aged 40 years or above. It is currently the 4th leading cause of death in the world and projected to be the 3rd leading cause of death by 2020. COPD and cardiac comorbidities are frequently associated. They share common risk factors, pathophysiological processes, signs and symptoms, and act synergistically as negative prognostic factors. Cardiac disease includes a broad spectrum of entities with distinct pathophysiology, treatment and prognosis. From an epidemiological point of view, patients with COPD are particularly vulnerable to cardiac disease. Indeed, mortality due to cardiac disease in patients with moderate COPD is higher than mortality related to respiratory failure. Guidelines reinforce that the control of comorbidities in COPD has a clear benefit over the potential risk associated with the majority of the drugs utilized. On the other hand, the true survival benefits of aggressive treatment of cardiac disease and COPD in patients with both conditions have still not been clarified. Given their relevance in terms of prevalence and prognosis, we will focus in this paper on the management of COPD patients with ischemic coronary disease, heart failure and dysrhythmia.&quot;,&quot;publisher&quot;:&quot;Elsevier Doyma&quot;,&quot;issue&quot;:&quot;3&quot;,&quot;volume&quot;:&quot;25&quot;},&quot;isTemporary&quot;:false},{&quot;id&quot;:&quot;ab72590d-56d2-3bed-a96a-3a969bacf3d6&quot;,&quot;itemData&quot;:{&quot;type&quot;:&quot;article-journal&quot;,&quot;id&quot;:&quot;ab72590d-56d2-3bed-a96a-3a969bacf3d6&quot;,&quot;title&quot;:&quot;Prognostication of co-morbidity clusters on hospitalisation and mortality in advanced COPD&quot;,&quot;author&quot;:[{&quot;family&quot;:&quot;James&quot;,&quot;given&quot;:&quot;Benjamin D.&quot;,&quot;parse-names&quot;:false,&quot;dropping-particle&quot;:&quot;&quot;,&quot;non-dropping-particle&quot;:&quot;&quot;},{&quot;family&quot;:&quot;Greening&quot;,&quot;given&quot;:&quot;Neil J.&quot;,&quot;parse-names&quot;:false,&quot;dropping-particle&quot;:&quot;&quot;,&quot;non-dropping-particle&quot;:&quot;&quot;},{&quot;family&quot;:&quot;Tracey&quot;,&quot;given&quot;:&quot;Nicole&quot;,&quot;parse-names&quot;:false,&quot;dropping-particle&quot;:&quot;&quot;,&quot;non-dropping-particle&quot;:&quot;&quot;},{&quot;family&quot;:&quot;Haldar&quot;,&quot;given&quot;:&quot;Pranabashis&quot;,&quot;parse-names&quot;:false,&quot;dropping-particle&quot;:&quot;&quot;,&quot;non-dropping-particle&quot;:&quot;&quot;},{&quot;family&quot;:&quot;Woltmann&quot;,&quot;given&quot;:&quot;Gerrit&quot;,&quot;parse-names&quot;:false,&quot;dropping-particle&quot;:&quot;&quot;,&quot;non-dropping-particle&quot;:&quot;&quot;},{&quot;family&quot;:&quot;Free&quot;,&quot;given&quot;:&quot;Robert C.&quot;,&quot;parse-names&quot;:false,&quot;dropping-particle&quot;:&quot;&quot;,&quot;non-dropping-particle&quot;:&quot;&quot;},{&quot;family&quot;:&quot;Steiner&quot;,&quot;given&quot;:&quot;Michael C.&quot;,&quot;parse-names&quot;:false,&quot;dropping-particle&quot;:&quot;&quot;,&quot;non-dropping-particle&quot;:&quot;&quot;},{&quot;family&quot;:&quot;Evans&quot;,&quot;given&quot;:&quot;Rachael A.&quot;,&quot;parse-names&quot;:false,&quot;dropping-particle&quot;:&quot;&quot;,&quot;non-dropping-particle&quot;:&quot;&quot;},{&quot;family&quot;:&quot;Ward&quot;,&quot;given&quot;:&quot;Thomas JC&quot;,&quot;parse-names&quot;:false,&quot;dropping-particle&quot;:&quot;&quot;,&quot;non-dropping-particle&quot;:&quot;&quot;}],&quot;container-title&quot;:&quot;Respiratory medicine&quot;,&quot;container-title-short&quot;:&quot;Respir Med&quot;,&quot;accessed&quot;:{&quot;date-parts&quot;:[[2025,2,20]]},&quot;DOI&quot;:&quot;10.1016/J.RMED.2023.107525&quot;,&quot;ISSN&quot;:&quot;1532-3064&quot;,&quot;PMID&quot;:&quot;38182000&quot;,&quot;URL&quot;:&quot;https://pubmed.ncbi.nlm.nih.gov/38182000/&quot;,&quot;issued&quot;:{&quot;date-parts&quot;:[[2024,2,1]]},&quot;abstract&quot;:&quot;Rationale: As the prevalence of multimorbidity increases, understanding the impact of isolated comorbidities in people COPD becomes increasingly challenging. A simplified model of common comorbidity patterns may improve outcome prediction and allow targeted therapy. Objectives: To assess whether comorbidity phenotypes derived from routinely collected clinical data in people with COPD show differences in risk of hospitalisation and mortality. Methods: Twelve clinical measures related to common comorbidities were collected during annual reviews for people with advanced COPD and k-means cluster analysis performed. Cox proportional hazards with adjustment for covariates was used to determine hospitalisation and mortality risk between clusters. Measurements and main results: In 203 participants (age 66 ± 9 years, 60 % male, FEV1%predicted 31 ± 10 %) no comorbidity in isolation was predictive of worse admission or mortality risk. Four clusters were described: cluster A (cardiometabolic and anaemia), cluster B (malnourished and low mood), cluster C (obese, metabolic and mood disturbance) and cluster D (less comorbid). FEV1%predicted did not significantly differ between clusters. Mortality risk was higher in cluster A (HR 3.73 [95%CI 1.09–12.82] p = 0.036) and B (HR 3.91 [95%CI 1.17–13.14] p = 0.027) compared to cluster D. Time to admission was highest in cluster A (HR 2.01 [95%CI 1.11–3.63] p = 0.020). Cluster C was not associated with increased risk of mortality or hospitalisation. Conclusions: Despite presence of advanced COPD, we report striking differences in prognosis for both mortality and hospital admissions for different co-morbidity phenotypes. Objectively assessing the multi-system nature of COPD could lead to improved prognostication and targeted therapy for patients.&quot;,&quot;publisher&quot;:&quot;Respir Med&quot;,&quot;volume&quot;:&quot;222&quot;},&quot;isTemporary&quot;:false}]},{&quot;citationID&quot;:&quot;MENDELEY_CITATION_61960f13-2510-45a7-a1ee-50dbce028fbc&quot;,&quot;properties&quot;:{&quot;noteIndex&quot;:0},&quot;isEdited&quot;:false,&quot;manualOverride&quot;:{&quot;isManuallyOverridden&quot;:false,&quot;citeprocText&quot;:&quot;[134]&quot;,&quot;manualOverrideText&quot;:&quot;&quot;},&quot;citationTag&quot;:&quot;MENDELEY_CITATION_v3_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&quot;,&quot;citationItems&quot;:[{&quot;id&quot;:&quot;36563a6b-929c-3d2d-acdc-befd07c3d8fd&quot;,&quot;itemData&quot;:{&quot;type&quot;:&quot;book&quot;,&quot;id&quot;:&quot;36563a6b-929c-3d2d-acdc-befd07c3d8fd&quot;,&quot;title&quot;:&quot;Methods in Epidemiologic Research&quot;,&quot;author&quot;:[{&quot;family&quot;:&quot;Dohoo&quot;,&quot;given&quot;:&quot;Ian&quot;,&quot;parse-names&quot;:false,&quot;dropping-particle&quot;:&quot;&quot;,&quot;non-dropping-particle&quot;:&quot;&quot;},{&quot;family&quot;:&quot;Martin&quot;,&quot;given&quot;:&quot;Wayne&quot;,&quot;parse-names&quot;:false,&quot;dropping-particle&quot;:&quot;&quot;,&quot;non-dropping-particle&quot;:&quot;&quot;},{&quot;family&quot;:&quot;Stryhn&quot;,&quot;given&quot;:&quot;Henrik&quot;,&quot;parse-names&quot;:false,&quot;dropping-particle&quot;:&quot;&quot;,&quot;non-dropping-particle&quot;:&quot;&quot;}],&quot;editor&quot;:[{&quot;family&quot;:&quot;McPike&quot;,&quot;given&quot;:&quot;S Margaret&quot;,&quot;parse-names&quot;:false,&quot;dropping-particle&quot;:&quot;&quot;,&quot;non-dropping-particle&quot;:&quot;&quot;}],&quot;ISBN&quot;:&quot;978-0-919013-73-5&quot;,&quot;issued&quot;:{&quot;date-parts&quot;:[[2012]]},&quot;publisher-place&quot;:&quot;Charlottetown, Prince Edward Island, Canda&quot;,&quot;number-of-pages&quot;:&quot;90-93&quot;,&quot;edition&quot;:&quot;1&quot;,&quot;publisher&quot;:&quot;VER Inc.&quot;,&quot;container-title-short&quot;:&quot;&quot;},&quot;isTemporary&quot;:false}]},{&quot;citationID&quot;:&quot;MENDELEY_CITATION_b39b700e-4581-4049-9f02-5db03131be60&quot;,&quot;properties&quot;:{&quot;noteIndex&quot;:0},&quot;isEdited&quot;:false,&quot;manualOverride&quot;:{&quot;isManuallyOverridden&quot;:false,&quot;citeprocText&quot;:&quot;[134]&quot;,&quot;manualOverrideText&quot;:&quot;&quot;},&quot;citationTag&quot;:&quot;MENDELEY_CITATION_v3_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&quot;,&quot;citationItems&quot;:[{&quot;id&quot;:&quot;36563a6b-929c-3d2d-acdc-befd07c3d8fd&quot;,&quot;itemData&quot;:{&quot;type&quot;:&quot;book&quot;,&quot;id&quot;:&quot;36563a6b-929c-3d2d-acdc-befd07c3d8fd&quot;,&quot;title&quot;:&quot;Methods in Epidemiologic Research&quot;,&quot;author&quot;:[{&quot;family&quot;:&quot;Dohoo&quot;,&quot;given&quot;:&quot;Ian&quot;,&quot;parse-names&quot;:false,&quot;dropping-particle&quot;:&quot;&quot;,&quot;non-dropping-particle&quot;:&quot;&quot;},{&quot;family&quot;:&quot;Martin&quot;,&quot;given&quot;:&quot;Wayne&quot;,&quot;parse-names&quot;:false,&quot;dropping-particle&quot;:&quot;&quot;,&quot;non-dropping-particle&quot;:&quot;&quot;},{&quot;family&quot;:&quot;Stryhn&quot;,&quot;given&quot;:&quot;Henrik&quot;,&quot;parse-names&quot;:false,&quot;dropping-particle&quot;:&quot;&quot;,&quot;non-dropping-particle&quot;:&quot;&quot;}],&quot;editor&quot;:[{&quot;family&quot;:&quot;McPike&quot;,&quot;given&quot;:&quot;S Margaret&quot;,&quot;parse-names&quot;:false,&quot;dropping-particle&quot;:&quot;&quot;,&quot;non-dropping-particle&quot;:&quot;&quot;}],&quot;ISBN&quot;:&quot;978-0-919013-73-5&quot;,&quot;issued&quot;:{&quot;date-parts&quot;:[[2012]]},&quot;publisher-place&quot;:&quot;Charlottetown, Prince Edward Island, Canda&quot;,&quot;number-of-pages&quot;:&quot;90-93&quot;,&quot;edition&quot;:&quot;1&quot;,&quot;publisher&quot;:&quot;VER Inc.&quot;,&quot;container-title-short&quot;:&quot;&quot;},&quot;isTemporary&quot;:false}]}]"/>
    <we:property name="MENDELEY_CITATIONS_LOCALE_CODE" value="&quot;en-US&quot;"/>
    <we:property name="MENDELEY_CITATIONS_STYLE" value="{&quot;id&quot;:&quot;https://www.zotero.org/styles/plos-one&quot;,&quot;title&quot;:&quot;PLOS ON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E8BF0-8845-FB42-BA5C-160A26CC4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160</Pages>
  <Words>37161</Words>
  <Characters>211824</Characters>
  <Application>Microsoft Office Word</Application>
  <DocSecurity>0</DocSecurity>
  <Lines>1765</Lines>
  <Paragraphs>496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Sara Chesnee</dc:creator>
  <cp:keywords/>
  <dc:description/>
  <cp:lastModifiedBy>Howard, Sara Chesnee</cp:lastModifiedBy>
  <cp:revision>2</cp:revision>
  <dcterms:created xsi:type="dcterms:W3CDTF">2025-06-06T17:42:00Z</dcterms:created>
  <dcterms:modified xsi:type="dcterms:W3CDTF">2025-06-06T17:42:00Z</dcterms:modified>
</cp:coreProperties>
</file>